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240.xml" ContentType="application/vnd.openxmlformats-officedocument.wordprocessingml.head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header249.xml" ContentType="application/vnd.openxmlformats-officedocument.wordprocessingml.head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header252.xml" ContentType="application/vnd.openxmlformats-officedocument.wordprocessingml.head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header255.xml" ContentType="application/vnd.openxmlformats-officedocument.wordprocessingml.head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header258.xml" ContentType="application/vnd.openxmlformats-officedocument.wordprocessingml.header+xml"/>
  <Override PartName="/word/header259.xml" ContentType="application/vnd.openxmlformats-officedocument.wordprocessingml.header+xml"/>
  <Override PartName="/word/header260.xml" ContentType="application/vnd.openxmlformats-officedocument.wordprocessingml.header+xml"/>
  <Override PartName="/word/header261.xml" ContentType="application/vnd.openxmlformats-officedocument.wordprocessingml.head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header264.xml" ContentType="application/vnd.openxmlformats-officedocument.wordprocessingml.head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header267.xml" ContentType="application/vnd.openxmlformats-officedocument.wordprocessingml.head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header270.xml" ContentType="application/vnd.openxmlformats-officedocument.wordprocessingml.head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header273.xml" ContentType="application/vnd.openxmlformats-officedocument.wordprocessingml.head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header276.xml" ContentType="application/vnd.openxmlformats-officedocument.wordprocessingml.head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header279.xml" ContentType="application/vnd.openxmlformats-officedocument.wordprocessingml.head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header282.xml" ContentType="application/vnd.openxmlformats-officedocument.wordprocessingml.head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header285.xml" ContentType="application/vnd.openxmlformats-officedocument.wordprocessingml.head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header288.xml" ContentType="application/vnd.openxmlformats-officedocument.wordprocessingml.header+xml"/>
  <Override PartName="/word/header289.xml" ContentType="application/vnd.openxmlformats-officedocument.wordprocessingml.header+xml"/>
  <Override PartName="/word/header290.xml" ContentType="application/vnd.openxmlformats-officedocument.wordprocessingml.header+xml"/>
  <Override PartName="/word/header291.xml" ContentType="application/vnd.openxmlformats-officedocument.wordprocessingml.head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header294.xml" ContentType="application/vnd.openxmlformats-officedocument.wordprocessingml.head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header297.xml" ContentType="application/vnd.openxmlformats-officedocument.wordprocessingml.header+xml"/>
  <Override PartName="/word/header298.xml" ContentType="application/vnd.openxmlformats-officedocument.wordprocessingml.header+xml"/>
  <Override PartName="/word/header299.xml" ContentType="application/vnd.openxmlformats-officedocument.wordprocessingml.header+xml"/>
  <Override PartName="/word/header300.xml" ContentType="application/vnd.openxmlformats-officedocument.wordprocessingml.header+xml"/>
  <Override PartName="/word/header301.xml" ContentType="application/vnd.openxmlformats-officedocument.wordprocessingml.header+xml"/>
  <Override PartName="/word/header302.xml" ContentType="application/vnd.openxmlformats-officedocument.wordprocessingml.header+xml"/>
  <Override PartName="/word/header303.xml" ContentType="application/vnd.openxmlformats-officedocument.wordprocessingml.head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header306.xml" ContentType="application/vnd.openxmlformats-officedocument.wordprocessingml.header+xml"/>
  <Override PartName="/word/header307.xml" ContentType="application/vnd.openxmlformats-officedocument.wordprocessingml.header+xml"/>
  <Override PartName="/word/header308.xml" ContentType="application/vnd.openxmlformats-officedocument.wordprocessingml.header+xml"/>
  <Override PartName="/word/header309.xml" ContentType="application/vnd.openxmlformats-officedocument.wordprocessingml.header+xml"/>
  <Override PartName="/word/header310.xml" ContentType="application/vnd.openxmlformats-officedocument.wordprocessingml.header+xml"/>
  <Override PartName="/word/header311.xml" ContentType="application/vnd.openxmlformats-officedocument.wordprocessingml.header+xml"/>
  <Override PartName="/word/header312.xml" ContentType="application/vnd.openxmlformats-officedocument.wordprocessingml.header+xml"/>
  <Override PartName="/word/header313.xml" ContentType="application/vnd.openxmlformats-officedocument.wordprocessingml.header+xml"/>
  <Override PartName="/word/header314.xml" ContentType="application/vnd.openxmlformats-officedocument.wordprocessingml.header+xml"/>
  <Override PartName="/word/header315.xml" ContentType="application/vnd.openxmlformats-officedocument.wordprocessingml.header+xml"/>
  <Override PartName="/word/header316.xml" ContentType="application/vnd.openxmlformats-officedocument.wordprocessingml.header+xml"/>
  <Override PartName="/word/header317.xml" ContentType="application/vnd.openxmlformats-officedocument.wordprocessingml.header+xml"/>
  <Override PartName="/word/header318.xml" ContentType="application/vnd.openxmlformats-officedocument.wordprocessingml.header+xml"/>
  <Override PartName="/word/header319.xml" ContentType="application/vnd.openxmlformats-officedocument.wordprocessingml.header+xml"/>
  <Override PartName="/word/header320.xml" ContentType="application/vnd.openxmlformats-officedocument.wordprocessingml.header+xml"/>
  <Override PartName="/word/header321.xml" ContentType="application/vnd.openxmlformats-officedocument.wordprocessingml.header+xml"/>
  <Override PartName="/word/header322.xml" ContentType="application/vnd.openxmlformats-officedocument.wordprocessingml.header+xml"/>
  <Override PartName="/word/header323.xml" ContentType="application/vnd.openxmlformats-officedocument.wordprocessingml.header+xml"/>
  <Override PartName="/word/header324.xml" ContentType="application/vnd.openxmlformats-officedocument.wordprocessingml.header+xml"/>
  <Override PartName="/word/header325.xml" ContentType="application/vnd.openxmlformats-officedocument.wordprocessingml.header+xml"/>
  <Override PartName="/word/header326.xml" ContentType="application/vnd.openxmlformats-officedocument.wordprocessingml.header+xml"/>
  <Override PartName="/word/header327.xml" ContentType="application/vnd.openxmlformats-officedocument.wordprocessingml.header+xml"/>
  <Override PartName="/word/header328.xml" ContentType="application/vnd.openxmlformats-officedocument.wordprocessingml.header+xml"/>
  <Override PartName="/word/header329.xml" ContentType="application/vnd.openxmlformats-officedocument.wordprocessingml.header+xml"/>
  <Override PartName="/word/header330.xml" ContentType="application/vnd.openxmlformats-officedocument.wordprocessingml.header+xml"/>
  <Override PartName="/word/header331.xml" ContentType="application/vnd.openxmlformats-officedocument.wordprocessingml.header+xml"/>
  <Override PartName="/word/header332.xml" ContentType="application/vnd.openxmlformats-officedocument.wordprocessingml.header+xml"/>
  <Override PartName="/word/header333.xml" ContentType="application/vnd.openxmlformats-officedocument.wordprocessingml.header+xml"/>
  <Override PartName="/word/header334.xml" ContentType="application/vnd.openxmlformats-officedocument.wordprocessingml.header+xml"/>
  <Override PartName="/word/header335.xml" ContentType="application/vnd.openxmlformats-officedocument.wordprocessingml.header+xml"/>
  <Override PartName="/word/header336.xml" ContentType="application/vnd.openxmlformats-officedocument.wordprocessingml.header+xml"/>
  <Override PartName="/word/header337.xml" ContentType="application/vnd.openxmlformats-officedocument.wordprocessingml.header+xml"/>
  <Override PartName="/word/header338.xml" ContentType="application/vnd.openxmlformats-officedocument.wordprocessingml.header+xml"/>
  <Override PartName="/word/header339.xml" ContentType="application/vnd.openxmlformats-officedocument.wordprocessingml.header+xml"/>
  <Override PartName="/word/header340.xml" ContentType="application/vnd.openxmlformats-officedocument.wordprocessingml.header+xml"/>
  <Override PartName="/word/header341.xml" ContentType="application/vnd.openxmlformats-officedocument.wordprocessingml.header+xml"/>
  <Override PartName="/word/header342.xml" ContentType="application/vnd.openxmlformats-officedocument.wordprocessingml.header+xml"/>
  <Override PartName="/word/header343.xml" ContentType="application/vnd.openxmlformats-officedocument.wordprocessingml.header+xml"/>
  <Override PartName="/word/header344.xml" ContentType="application/vnd.openxmlformats-officedocument.wordprocessingml.header+xml"/>
  <Override PartName="/word/header345.xml" ContentType="application/vnd.openxmlformats-officedocument.wordprocessingml.header+xml"/>
  <Override PartName="/word/header346.xml" ContentType="application/vnd.openxmlformats-officedocument.wordprocessingml.header+xml"/>
  <Override PartName="/word/header347.xml" ContentType="application/vnd.openxmlformats-officedocument.wordprocessingml.header+xml"/>
  <Override PartName="/word/header348.xml" ContentType="application/vnd.openxmlformats-officedocument.wordprocessingml.header+xml"/>
  <Override PartName="/word/header349.xml" ContentType="application/vnd.openxmlformats-officedocument.wordprocessingml.header+xml"/>
  <Override PartName="/word/header350.xml" ContentType="application/vnd.openxmlformats-officedocument.wordprocessingml.header+xml"/>
  <Override PartName="/word/header351.xml" ContentType="application/vnd.openxmlformats-officedocument.wordprocessingml.header+xml"/>
  <Override PartName="/word/header352.xml" ContentType="application/vnd.openxmlformats-officedocument.wordprocessingml.header+xml"/>
  <Override PartName="/word/header353.xml" ContentType="application/vnd.openxmlformats-officedocument.wordprocessingml.header+xml"/>
  <Override PartName="/word/header354.xml" ContentType="application/vnd.openxmlformats-officedocument.wordprocessingml.header+xml"/>
  <Override PartName="/word/header355.xml" ContentType="application/vnd.openxmlformats-officedocument.wordprocessingml.header+xml"/>
  <Override PartName="/word/header356.xml" ContentType="application/vnd.openxmlformats-officedocument.wordprocessingml.header+xml"/>
  <Override PartName="/word/header35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5"/>
        <w:ind w:left="2054" w:right="2462"/>
        <w:jc w:val="center"/>
        <w:rPr>
          <w:rFonts w:ascii="Arial"/>
        </w:rPr>
      </w:pPr>
      <w:r>
        <w:rPr>
          <w:rFonts w:ascii="Arial"/>
          <w:color w:val="2F2B2D"/>
          <w:w w:val="105"/>
        </w:rPr>
        <w:t>Aspen</w:t>
      </w:r>
      <w:r>
        <w:rPr>
          <w:rFonts w:ascii="Arial"/>
          <w:color w:val="2F2B2D"/>
          <w:spacing w:val="-10"/>
          <w:w w:val="105"/>
        </w:rPr>
        <w:t> </w:t>
      </w:r>
      <w:r>
        <w:rPr>
          <w:rFonts w:ascii="Arial"/>
          <w:color w:val="2F2B2D"/>
          <w:w w:val="105"/>
        </w:rPr>
        <w:t>C</w:t>
      </w:r>
      <w:r>
        <w:rPr>
          <w:rFonts w:ascii="Arial"/>
          <w:color w:val="464446"/>
          <w:w w:val="105"/>
        </w:rPr>
        <w:t>o</w:t>
      </w:r>
      <w:r>
        <w:rPr>
          <w:rFonts w:ascii="Arial"/>
          <w:color w:val="2F2B2D"/>
          <w:w w:val="105"/>
        </w:rPr>
        <w:t>ursebook</w:t>
      </w:r>
      <w:r>
        <w:rPr>
          <w:rFonts w:ascii="Arial"/>
          <w:color w:val="2F2B2D"/>
          <w:spacing w:val="-12"/>
          <w:w w:val="105"/>
        </w:rPr>
        <w:t> </w:t>
      </w:r>
      <w:r>
        <w:rPr>
          <w:rFonts w:ascii="Arial"/>
          <w:color w:val="2F2B2D"/>
          <w:w w:val="105"/>
        </w:rPr>
        <w:t>Series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spacing w:before="216"/>
        <w:ind w:left="128" w:right="0" w:firstLine="0"/>
        <w:jc w:val="left"/>
        <w:rPr>
          <w:rFonts w:ascii="Arial"/>
          <w:sz w:val="49"/>
        </w:rPr>
      </w:pPr>
      <w:r>
        <w:rPr>
          <w:rFonts w:ascii="Arial"/>
          <w:color w:val="858789"/>
          <w:w w:val="105"/>
          <w:sz w:val="62"/>
        </w:rPr>
        <w:t>A</w:t>
      </w:r>
      <w:r>
        <w:rPr>
          <w:rFonts w:ascii="Arial"/>
          <w:color w:val="858789"/>
          <w:spacing w:val="3"/>
          <w:w w:val="105"/>
          <w:sz w:val="62"/>
        </w:rPr>
        <w:t> </w:t>
      </w:r>
      <w:r>
        <w:rPr>
          <w:rFonts w:ascii="Arial"/>
          <w:color w:val="858789"/>
          <w:w w:val="105"/>
          <w:sz w:val="49"/>
        </w:rPr>
        <w:t>PRACTiCA</w:t>
      </w:r>
      <w:r>
        <w:rPr>
          <w:rFonts w:ascii="Arial"/>
          <w:color w:val="666769"/>
          <w:w w:val="105"/>
          <w:sz w:val="49"/>
        </w:rPr>
        <w:t>L</w:t>
      </w:r>
      <w:r>
        <w:rPr>
          <w:rFonts w:ascii="Arial"/>
          <w:color w:val="666769"/>
          <w:spacing w:val="14"/>
          <w:w w:val="105"/>
          <w:sz w:val="49"/>
        </w:rPr>
        <w:t> </w:t>
      </w:r>
      <w:r>
        <w:rPr>
          <w:rFonts w:ascii="Arial"/>
          <w:color w:val="757779"/>
          <w:w w:val="105"/>
          <w:sz w:val="49"/>
        </w:rPr>
        <w:t>GUIDE</w:t>
      </w:r>
      <w:r>
        <w:rPr>
          <w:rFonts w:ascii="Arial"/>
          <w:color w:val="757779"/>
          <w:spacing w:val="36"/>
          <w:w w:val="105"/>
          <w:sz w:val="49"/>
        </w:rPr>
        <w:t> </w:t>
      </w:r>
      <w:r>
        <w:rPr>
          <w:rFonts w:ascii="Arial"/>
          <w:color w:val="666769"/>
          <w:w w:val="105"/>
          <w:sz w:val="49"/>
        </w:rPr>
        <w:t>TO</w:t>
      </w:r>
    </w:p>
    <w:p>
      <w:pPr>
        <w:spacing w:before="76"/>
        <w:ind w:left="127" w:right="0" w:firstLine="0"/>
        <w:jc w:val="left"/>
        <w:rPr>
          <w:sz w:val="50"/>
        </w:rPr>
      </w:pPr>
      <w:r>
        <w:rPr>
          <w:rFonts w:ascii="Arial"/>
          <w:color w:val="858789"/>
          <w:w w:val="105"/>
          <w:sz w:val="46"/>
        </w:rPr>
        <w:t>APPELLATE</w:t>
      </w:r>
      <w:r>
        <w:rPr>
          <w:rFonts w:ascii="Arial"/>
          <w:color w:val="858789"/>
          <w:spacing w:val="42"/>
          <w:w w:val="105"/>
          <w:sz w:val="46"/>
        </w:rPr>
        <w:t> </w:t>
      </w:r>
      <w:r>
        <w:rPr>
          <w:color w:val="858789"/>
          <w:w w:val="105"/>
          <w:sz w:val="50"/>
        </w:rPr>
        <w:t>ADVO</w:t>
      </w:r>
      <w:r>
        <w:rPr>
          <w:color w:val="666769"/>
          <w:w w:val="105"/>
          <w:sz w:val="50"/>
        </w:rPr>
        <w:t>CACY</w:t>
      </w:r>
    </w:p>
    <w:p>
      <w:pPr>
        <w:spacing w:before="491"/>
        <w:ind w:left="114" w:right="0" w:firstLine="0"/>
        <w:jc w:val="left"/>
        <w:rPr>
          <w:rFonts w:ascii="Arial"/>
          <w:b/>
          <w:sz w:val="43"/>
        </w:rPr>
      </w:pPr>
      <w:r>
        <w:rPr>
          <w:rFonts w:ascii="Arial"/>
          <w:b/>
          <w:color w:val="2F2B2D"/>
          <w:w w:val="115"/>
          <w:sz w:val="43"/>
        </w:rPr>
        <w:t>Fourth</w:t>
      </w:r>
      <w:r>
        <w:rPr>
          <w:rFonts w:ascii="Arial"/>
          <w:b/>
          <w:color w:val="2F2B2D"/>
          <w:spacing w:val="17"/>
          <w:w w:val="115"/>
          <w:sz w:val="43"/>
        </w:rPr>
        <w:t> </w:t>
      </w:r>
      <w:r>
        <w:rPr>
          <w:rFonts w:ascii="Arial"/>
          <w:b/>
          <w:color w:val="2F2B2D"/>
          <w:w w:val="115"/>
          <w:sz w:val="43"/>
        </w:rPr>
        <w:t>Edition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spacing w:line="289" w:lineRule="exact" w:before="373"/>
        <w:ind w:left="1192" w:right="0" w:firstLine="0"/>
        <w:jc w:val="left"/>
        <w:rPr>
          <w:b/>
          <w:sz w:val="26"/>
        </w:rPr>
      </w:pPr>
      <w:r>
        <w:rPr>
          <w:b/>
          <w:color w:val="2F2B2D"/>
          <w:sz w:val="26"/>
        </w:rPr>
        <w:t>MARY</w:t>
      </w:r>
      <w:r>
        <w:rPr>
          <w:b/>
          <w:color w:val="2F2B2D"/>
          <w:spacing w:val="6"/>
          <w:sz w:val="26"/>
        </w:rPr>
        <w:t> </w:t>
      </w:r>
      <w:r>
        <w:rPr>
          <w:b/>
          <w:color w:val="2F2B2D"/>
          <w:sz w:val="26"/>
        </w:rPr>
        <w:t>BETH</w:t>
      </w:r>
      <w:r>
        <w:rPr>
          <w:b/>
          <w:color w:val="2F2B2D"/>
          <w:spacing w:val="73"/>
          <w:sz w:val="26"/>
        </w:rPr>
        <w:t> </w:t>
      </w:r>
      <w:r>
        <w:rPr>
          <w:b/>
          <w:color w:val="2F2B2D"/>
          <w:sz w:val="26"/>
        </w:rPr>
        <w:t>BEAZLEY</w:t>
      </w:r>
    </w:p>
    <w:p>
      <w:pPr>
        <w:spacing w:line="232" w:lineRule="exact" w:before="0"/>
        <w:ind w:left="1194" w:right="0" w:firstLine="0"/>
        <w:jc w:val="left"/>
        <w:rPr>
          <w:rFonts w:ascii="Arial"/>
          <w:sz w:val="20"/>
        </w:rPr>
      </w:pPr>
      <w:r>
        <w:rPr>
          <w:color w:val="464446"/>
          <w:w w:val="105"/>
          <w:sz w:val="22"/>
        </w:rPr>
        <w:t>P</w:t>
      </w:r>
      <w:r>
        <w:rPr>
          <w:color w:val="2F2B2D"/>
          <w:w w:val="105"/>
          <w:sz w:val="22"/>
        </w:rPr>
        <w:t>r</w:t>
      </w:r>
      <w:r>
        <w:rPr>
          <w:color w:val="464446"/>
          <w:w w:val="105"/>
          <w:sz w:val="22"/>
        </w:rPr>
        <w:t>ofessor</w:t>
      </w:r>
      <w:r>
        <w:rPr>
          <w:color w:val="464446"/>
          <w:spacing w:val="12"/>
          <w:w w:val="105"/>
          <w:sz w:val="22"/>
        </w:rPr>
        <w:t> </w:t>
      </w:r>
      <w:r>
        <w:rPr>
          <w:color w:val="464446"/>
          <w:w w:val="105"/>
          <w:sz w:val="22"/>
        </w:rPr>
        <w:t>of</w:t>
      </w:r>
      <w:r>
        <w:rPr>
          <w:color w:val="464446"/>
          <w:spacing w:val="-1"/>
          <w:w w:val="105"/>
          <w:sz w:val="22"/>
        </w:rPr>
        <w:t> </w:t>
      </w:r>
      <w:r>
        <w:rPr>
          <w:rFonts w:ascii="Arial"/>
          <w:color w:val="464446"/>
          <w:w w:val="105"/>
          <w:sz w:val="20"/>
        </w:rPr>
        <w:t>Law</w:t>
      </w:r>
    </w:p>
    <w:p>
      <w:pPr>
        <w:pStyle w:val="BodyText"/>
        <w:spacing w:line="247" w:lineRule="exact"/>
        <w:ind w:left="1184"/>
        <w:rPr>
          <w:rFonts w:ascii="Arial"/>
          <w:sz w:val="20"/>
        </w:rPr>
      </w:pPr>
      <w:r>
        <w:rPr>
          <w:color w:val="464446"/>
          <w:w w:val="105"/>
        </w:rPr>
        <w:t>Mo</w:t>
      </w:r>
      <w:r>
        <w:rPr>
          <w:color w:val="2F2B2D"/>
          <w:w w:val="105"/>
        </w:rPr>
        <w:t>ri</w:t>
      </w:r>
      <w:r>
        <w:rPr>
          <w:color w:val="464446"/>
          <w:w w:val="105"/>
        </w:rPr>
        <w:t>tz</w:t>
      </w:r>
      <w:r>
        <w:rPr>
          <w:color w:val="464446"/>
          <w:spacing w:val="6"/>
          <w:w w:val="105"/>
        </w:rPr>
        <w:t> </w:t>
      </w:r>
      <w:r>
        <w:rPr>
          <w:color w:val="464446"/>
          <w:w w:val="105"/>
        </w:rPr>
        <w:t>Co</w:t>
      </w:r>
      <w:r>
        <w:rPr>
          <w:color w:val="2F2B2D"/>
          <w:w w:val="105"/>
        </w:rPr>
        <w:t>ll</w:t>
      </w:r>
      <w:r>
        <w:rPr>
          <w:color w:val="464446"/>
          <w:w w:val="105"/>
        </w:rPr>
        <w:t>ege</w:t>
      </w:r>
      <w:r>
        <w:rPr>
          <w:color w:val="464446"/>
          <w:spacing w:val="-8"/>
          <w:w w:val="105"/>
        </w:rPr>
        <w:t> </w:t>
      </w:r>
      <w:r>
        <w:rPr>
          <w:color w:val="464446"/>
          <w:w w:val="105"/>
        </w:rPr>
        <w:t>of</w:t>
      </w:r>
      <w:r>
        <w:rPr>
          <w:color w:val="464446"/>
          <w:spacing w:val="-2"/>
          <w:w w:val="105"/>
        </w:rPr>
        <w:t> </w:t>
      </w:r>
      <w:r>
        <w:rPr>
          <w:rFonts w:ascii="Arial"/>
          <w:color w:val="464446"/>
          <w:w w:val="105"/>
          <w:sz w:val="20"/>
        </w:rPr>
        <w:t>Law</w:t>
      </w:r>
    </w:p>
    <w:p>
      <w:pPr>
        <w:spacing w:line="246" w:lineRule="exact" w:before="0"/>
        <w:ind w:left="1181" w:right="0" w:firstLine="0"/>
        <w:jc w:val="left"/>
        <w:rPr>
          <w:sz w:val="22"/>
        </w:rPr>
      </w:pPr>
      <w:r>
        <w:rPr>
          <w:color w:val="464446"/>
          <w:w w:val="110"/>
          <w:sz w:val="22"/>
        </w:rPr>
        <w:t>The</w:t>
      </w:r>
      <w:r>
        <w:rPr>
          <w:color w:val="464446"/>
          <w:spacing w:val="-6"/>
          <w:w w:val="110"/>
          <w:sz w:val="22"/>
        </w:rPr>
        <w:t> </w:t>
      </w:r>
      <w:r>
        <w:rPr>
          <w:color w:val="464446"/>
          <w:w w:val="110"/>
          <w:sz w:val="22"/>
        </w:rPr>
        <w:t>Oh</w:t>
      </w:r>
      <w:r>
        <w:rPr>
          <w:color w:val="2F2B2D"/>
          <w:w w:val="110"/>
          <w:sz w:val="22"/>
        </w:rPr>
        <w:t>i</w:t>
      </w:r>
      <w:r>
        <w:rPr>
          <w:color w:val="464446"/>
          <w:w w:val="110"/>
          <w:sz w:val="22"/>
        </w:rPr>
        <w:t>o</w:t>
      </w:r>
      <w:r>
        <w:rPr>
          <w:color w:val="464446"/>
          <w:spacing w:val="-9"/>
          <w:w w:val="110"/>
          <w:sz w:val="22"/>
        </w:rPr>
        <w:t> </w:t>
      </w:r>
      <w:r>
        <w:rPr>
          <w:color w:val="464446"/>
          <w:w w:val="110"/>
          <w:sz w:val="22"/>
        </w:rPr>
        <w:t>S</w:t>
      </w:r>
      <w:r>
        <w:rPr>
          <w:color w:val="2F2B2D"/>
          <w:w w:val="110"/>
          <w:sz w:val="22"/>
        </w:rPr>
        <w:t>t</w:t>
      </w:r>
      <w:r>
        <w:rPr>
          <w:color w:val="464446"/>
          <w:w w:val="110"/>
          <w:sz w:val="22"/>
        </w:rPr>
        <w:t>a</w:t>
      </w:r>
      <w:r>
        <w:rPr>
          <w:color w:val="2F2B2D"/>
          <w:w w:val="110"/>
          <w:sz w:val="22"/>
        </w:rPr>
        <w:t>t</w:t>
      </w:r>
      <w:r>
        <w:rPr>
          <w:color w:val="464446"/>
          <w:w w:val="110"/>
          <w:sz w:val="22"/>
        </w:rPr>
        <w:t>e</w:t>
      </w:r>
      <w:r>
        <w:rPr>
          <w:color w:val="464446"/>
          <w:spacing w:val="5"/>
          <w:w w:val="110"/>
          <w:sz w:val="22"/>
        </w:rPr>
        <w:t> </w:t>
      </w:r>
      <w:r>
        <w:rPr>
          <w:color w:val="464446"/>
          <w:w w:val="110"/>
          <w:sz w:val="22"/>
        </w:rPr>
        <w:t>Un</w:t>
      </w:r>
      <w:r>
        <w:rPr>
          <w:color w:val="2F2B2D"/>
          <w:w w:val="110"/>
          <w:sz w:val="22"/>
        </w:rPr>
        <w:t>i</w:t>
      </w:r>
      <w:r>
        <w:rPr>
          <w:color w:val="464446"/>
          <w:w w:val="110"/>
          <w:sz w:val="22"/>
        </w:rPr>
        <w:t>ve</w:t>
      </w:r>
      <w:r>
        <w:rPr>
          <w:color w:val="2F2B2D"/>
          <w:w w:val="110"/>
          <w:sz w:val="22"/>
        </w:rPr>
        <w:t>r</w:t>
      </w:r>
      <w:r>
        <w:rPr>
          <w:color w:val="464446"/>
          <w:w w:val="110"/>
          <w:sz w:val="22"/>
        </w:rPr>
        <w:t>sity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3"/>
        </w:rPr>
      </w:pPr>
    </w:p>
    <w:p>
      <w:pPr>
        <w:spacing w:line="839" w:lineRule="exact" w:before="1"/>
        <w:ind w:left="1397" w:right="0" w:firstLine="0"/>
        <w:jc w:val="left"/>
        <w:rPr>
          <w:rFonts w:ascii="Arial"/>
          <w:sz w:val="44"/>
        </w:rPr>
      </w:pPr>
      <w:r>
        <w:rPr>
          <w:rFonts w:ascii="Arial"/>
          <w:color w:val="464446"/>
          <w:spacing w:val="-1"/>
          <w:w w:val="105"/>
          <w:sz w:val="75"/>
        </w:rPr>
        <w:t>0.</w:t>
      </w:r>
      <w:r>
        <w:rPr>
          <w:rFonts w:ascii="Arial"/>
          <w:color w:val="464446"/>
          <w:spacing w:val="-57"/>
          <w:w w:val="105"/>
          <w:sz w:val="75"/>
        </w:rPr>
        <w:t> </w:t>
      </w:r>
      <w:r>
        <w:rPr>
          <w:rFonts w:ascii="Arial"/>
          <w:color w:val="2F2B2D"/>
          <w:spacing w:val="-1"/>
          <w:w w:val="105"/>
          <w:sz w:val="44"/>
        </w:rPr>
        <w:t>Wolters</w:t>
      </w:r>
      <w:r>
        <w:rPr>
          <w:rFonts w:ascii="Arial"/>
          <w:color w:val="2F2B2D"/>
          <w:spacing w:val="-9"/>
          <w:w w:val="105"/>
          <w:sz w:val="44"/>
        </w:rPr>
        <w:t> </w:t>
      </w:r>
      <w:r>
        <w:rPr>
          <w:rFonts w:ascii="Arial"/>
          <w:color w:val="2F2B2D"/>
          <w:w w:val="105"/>
          <w:sz w:val="44"/>
        </w:rPr>
        <w:t>Kluwer</w:t>
      </w:r>
    </w:p>
    <w:p>
      <w:pPr>
        <w:pStyle w:val="BodyText"/>
        <w:spacing w:line="253" w:lineRule="exact"/>
        <w:ind w:left="2338"/>
        <w:rPr>
          <w:rFonts w:ascii="Arial"/>
        </w:rPr>
      </w:pPr>
      <w:r>
        <w:rPr>
          <w:rFonts w:ascii="Arial"/>
          <w:color w:val="2F2B2D"/>
          <w:w w:val="110"/>
        </w:rPr>
        <w:t>Law</w:t>
      </w:r>
      <w:r>
        <w:rPr>
          <w:rFonts w:ascii="Arial"/>
          <w:color w:val="2F2B2D"/>
          <w:spacing w:val="22"/>
          <w:w w:val="110"/>
        </w:rPr>
        <w:t> </w:t>
      </w:r>
      <w:r>
        <w:rPr>
          <w:color w:val="2F2B2D"/>
          <w:w w:val="110"/>
          <w:sz w:val="24"/>
        </w:rPr>
        <w:t>&amp;</w:t>
      </w:r>
      <w:r>
        <w:rPr>
          <w:color w:val="2F2B2D"/>
          <w:spacing w:val="20"/>
          <w:w w:val="110"/>
          <w:sz w:val="24"/>
        </w:rPr>
        <w:t> </w:t>
      </w:r>
      <w:r>
        <w:rPr>
          <w:rFonts w:ascii="Arial"/>
          <w:color w:val="2F2B2D"/>
          <w:w w:val="110"/>
        </w:rPr>
        <w:t>Bu</w:t>
      </w:r>
      <w:r>
        <w:rPr>
          <w:rFonts w:ascii="Arial"/>
          <w:color w:val="464446"/>
          <w:w w:val="110"/>
        </w:rPr>
        <w:t>si</w:t>
      </w:r>
      <w:r>
        <w:rPr>
          <w:rFonts w:ascii="Arial"/>
          <w:color w:val="2F2B2D"/>
          <w:w w:val="110"/>
        </w:rPr>
        <w:t>n</w:t>
      </w:r>
      <w:r>
        <w:rPr>
          <w:rFonts w:ascii="Arial"/>
          <w:color w:val="464446"/>
          <w:w w:val="110"/>
        </w:rPr>
        <w:t>es</w:t>
      </w:r>
      <w:r>
        <w:rPr>
          <w:rFonts w:ascii="Arial"/>
          <w:color w:val="2F2B2D"/>
          <w:w w:val="110"/>
        </w:rPr>
        <w:t>s</w:t>
      </w:r>
    </w:p>
    <w:p>
      <w:pPr>
        <w:spacing w:after="0" w:line="253" w:lineRule="exact"/>
        <w:rPr>
          <w:rFonts w:ascii="Arial"/>
        </w:rPr>
        <w:sectPr>
          <w:footerReference w:type="even" r:id="rId5"/>
          <w:type w:val="continuous"/>
          <w:pgSz w:w="9720" w:h="13750"/>
          <w:pgMar w:footer="0" w:header="0" w:top="340" w:bottom="280" w:left="1040" w:right="1340"/>
          <w:pgNumType w:start="8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before="199"/>
        <w:ind w:left="735" w:right="0" w:firstLine="0"/>
        <w:jc w:val="left"/>
        <w:rPr>
          <w:b/>
          <w:sz w:val="50"/>
        </w:rPr>
      </w:pPr>
      <w:r>
        <w:rPr>
          <w:color w:val="77777B"/>
          <w:w w:val="110"/>
          <w:sz w:val="49"/>
        </w:rPr>
        <w:t>Summary</w:t>
      </w:r>
      <w:r>
        <w:rPr>
          <w:color w:val="77777B"/>
          <w:spacing w:val="6"/>
          <w:w w:val="110"/>
          <w:sz w:val="49"/>
        </w:rPr>
        <w:t> </w:t>
      </w:r>
      <w:r>
        <w:rPr>
          <w:b/>
          <w:color w:val="87898C"/>
          <w:w w:val="110"/>
          <w:sz w:val="50"/>
        </w:rPr>
        <w:t>of</w:t>
      </w:r>
      <w:r>
        <w:rPr>
          <w:b/>
          <w:color w:val="87898C"/>
          <w:spacing w:val="11"/>
          <w:w w:val="110"/>
          <w:sz w:val="50"/>
        </w:rPr>
        <w:t> </w:t>
      </w:r>
      <w:r>
        <w:rPr>
          <w:b/>
          <w:color w:val="77777B"/>
          <w:w w:val="110"/>
          <w:sz w:val="50"/>
        </w:rPr>
        <w:t>Contents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4"/>
        </w:rPr>
      </w:pPr>
    </w:p>
    <w:p>
      <w:pPr>
        <w:spacing w:after="0"/>
        <w:rPr>
          <w:sz w:val="24"/>
        </w:rPr>
        <w:sectPr>
          <w:pgSz w:w="9570" w:h="13800"/>
          <w:pgMar w:header="0" w:footer="0" w:top="0" w:bottom="280" w:left="420" w:right="1120"/>
        </w:sectPr>
      </w:pPr>
    </w:p>
    <w:p>
      <w:pPr>
        <w:spacing w:before="92"/>
        <w:ind w:left="114" w:right="0" w:firstLine="0"/>
        <w:jc w:val="left"/>
        <w:rPr>
          <w:i/>
          <w:sz w:val="22"/>
        </w:rPr>
      </w:pPr>
      <w:r>
        <w:rPr>
          <w:i/>
          <w:color w:val="343133"/>
          <w:w w:val="105"/>
          <w:sz w:val="22"/>
        </w:rPr>
        <w:t>Contents</w:t>
      </w:r>
    </w:p>
    <w:p>
      <w:pPr>
        <w:spacing w:line="379" w:lineRule="auto" w:before="141"/>
        <w:ind w:left="121" w:right="0" w:hanging="6"/>
        <w:jc w:val="left"/>
        <w:rPr>
          <w:i/>
          <w:sz w:val="22"/>
        </w:rPr>
      </w:pPr>
      <w:r>
        <w:rPr>
          <w:i/>
          <w:color w:val="343133"/>
          <w:sz w:val="22"/>
        </w:rPr>
        <w:t>Using the Examples in</w:t>
      </w:r>
      <w:r>
        <w:rPr>
          <w:i/>
          <w:color w:val="343133"/>
          <w:spacing w:val="1"/>
          <w:sz w:val="22"/>
        </w:rPr>
        <w:t> </w:t>
      </w:r>
      <w:r>
        <w:rPr>
          <w:i/>
          <w:color w:val="343133"/>
          <w:sz w:val="22"/>
        </w:rPr>
        <w:t>This Book</w:t>
      </w:r>
      <w:r>
        <w:rPr>
          <w:i/>
          <w:color w:val="343133"/>
          <w:spacing w:val="1"/>
          <w:sz w:val="22"/>
        </w:rPr>
        <w:t> </w:t>
      </w:r>
      <w:r>
        <w:rPr>
          <w:i/>
          <w:color w:val="343133"/>
          <w:sz w:val="22"/>
        </w:rPr>
        <w:t>Acknowledgments to</w:t>
      </w:r>
      <w:r>
        <w:rPr>
          <w:i/>
          <w:color w:val="343133"/>
          <w:spacing w:val="1"/>
          <w:sz w:val="22"/>
        </w:rPr>
        <w:t> </w:t>
      </w:r>
      <w:r>
        <w:rPr>
          <w:i/>
          <w:color w:val="343133"/>
          <w:sz w:val="22"/>
        </w:rPr>
        <w:t>the First Edition</w:t>
      </w:r>
      <w:r>
        <w:rPr>
          <w:i/>
          <w:color w:val="343133"/>
          <w:spacing w:val="1"/>
          <w:sz w:val="22"/>
        </w:rPr>
        <w:t> </w:t>
      </w:r>
      <w:r>
        <w:rPr>
          <w:i/>
          <w:color w:val="343133"/>
          <w:sz w:val="22"/>
        </w:rPr>
        <w:t>Acknowledgments to the Second</w:t>
      </w:r>
      <w:r>
        <w:rPr>
          <w:i/>
          <w:color w:val="343133"/>
          <w:spacing w:val="1"/>
          <w:sz w:val="22"/>
        </w:rPr>
        <w:t> </w:t>
      </w:r>
      <w:r>
        <w:rPr>
          <w:i/>
          <w:color w:val="343133"/>
          <w:sz w:val="22"/>
        </w:rPr>
        <w:t>Edition</w:t>
      </w:r>
      <w:r>
        <w:rPr>
          <w:i/>
          <w:color w:val="343133"/>
          <w:spacing w:val="-52"/>
          <w:sz w:val="22"/>
        </w:rPr>
        <w:t> </w:t>
      </w:r>
      <w:r>
        <w:rPr>
          <w:i/>
          <w:color w:val="343133"/>
          <w:sz w:val="22"/>
        </w:rPr>
        <w:t>Acknowledgments to the</w:t>
      </w:r>
      <w:r>
        <w:rPr>
          <w:i/>
          <w:color w:val="343133"/>
          <w:spacing w:val="1"/>
          <w:sz w:val="22"/>
        </w:rPr>
        <w:t> </w:t>
      </w:r>
      <w:r>
        <w:rPr>
          <w:i/>
          <w:color w:val="343133"/>
          <w:sz w:val="22"/>
        </w:rPr>
        <w:t>Third</w:t>
      </w:r>
      <w:r>
        <w:rPr>
          <w:i/>
          <w:color w:val="343133"/>
          <w:spacing w:val="1"/>
          <w:sz w:val="22"/>
        </w:rPr>
        <w:t> </w:t>
      </w:r>
      <w:r>
        <w:rPr>
          <w:i/>
          <w:color w:val="343133"/>
          <w:sz w:val="22"/>
        </w:rPr>
        <w:t>Edition</w:t>
      </w:r>
      <w:r>
        <w:rPr>
          <w:i/>
          <w:color w:val="343133"/>
          <w:spacing w:val="1"/>
          <w:sz w:val="22"/>
        </w:rPr>
        <w:t> </w:t>
      </w:r>
      <w:r>
        <w:rPr>
          <w:i/>
          <w:color w:val="343133"/>
          <w:sz w:val="22"/>
        </w:rPr>
        <w:t>Acknowledgments</w:t>
      </w:r>
      <w:r>
        <w:rPr>
          <w:i/>
          <w:color w:val="343133"/>
          <w:spacing w:val="-12"/>
          <w:sz w:val="22"/>
        </w:rPr>
        <w:t> </w:t>
      </w:r>
      <w:r>
        <w:rPr>
          <w:i/>
          <w:color w:val="343133"/>
          <w:sz w:val="22"/>
        </w:rPr>
        <w:t>to</w:t>
      </w:r>
      <w:r>
        <w:rPr>
          <w:i/>
          <w:color w:val="343133"/>
          <w:spacing w:val="9"/>
          <w:sz w:val="22"/>
        </w:rPr>
        <w:t> </w:t>
      </w:r>
      <w:r>
        <w:rPr>
          <w:i/>
          <w:color w:val="343133"/>
          <w:sz w:val="22"/>
        </w:rPr>
        <w:t>Fourth</w:t>
      </w:r>
      <w:r>
        <w:rPr>
          <w:i/>
          <w:color w:val="343133"/>
          <w:spacing w:val="10"/>
          <w:sz w:val="22"/>
        </w:rPr>
        <w:t> </w:t>
      </w:r>
      <w:r>
        <w:rPr>
          <w:i/>
          <w:color w:val="343133"/>
          <w:sz w:val="22"/>
        </w:rPr>
        <w:t>Edition</w:t>
      </w:r>
    </w:p>
    <w:p>
      <w:pPr>
        <w:spacing w:line="374" w:lineRule="auto" w:before="92"/>
        <w:ind w:left="257" w:right="268" w:firstLine="86"/>
        <w:jc w:val="center"/>
        <w:rPr>
          <w:i/>
          <w:sz w:val="22"/>
        </w:rPr>
      </w:pPr>
      <w:r>
        <w:rPr/>
        <w:br w:type="column"/>
      </w:r>
      <w:r>
        <w:rPr>
          <w:i/>
          <w:color w:val="343133"/>
          <w:sz w:val="22"/>
        </w:rPr>
        <w:t>xi</w:t>
      </w:r>
      <w:r>
        <w:rPr>
          <w:i/>
          <w:color w:val="343133"/>
          <w:spacing w:val="-52"/>
          <w:sz w:val="22"/>
        </w:rPr>
        <w:t> </w:t>
      </w:r>
      <w:r>
        <w:rPr>
          <w:i/>
          <w:color w:val="343133"/>
          <w:spacing w:val="-1"/>
          <w:sz w:val="22"/>
        </w:rPr>
        <w:t>xxi</w:t>
      </w:r>
    </w:p>
    <w:p>
      <w:pPr>
        <w:spacing w:before="55"/>
        <w:ind w:left="164" w:right="254" w:firstLine="0"/>
        <w:jc w:val="center"/>
        <w:rPr>
          <w:rFonts w:ascii="Courier New"/>
          <w:i/>
          <w:sz w:val="18"/>
        </w:rPr>
      </w:pPr>
      <w:r>
        <w:rPr>
          <w:rFonts w:ascii="Courier New"/>
          <w:i/>
          <w:color w:val="343133"/>
          <w:sz w:val="18"/>
        </w:rPr>
        <w:t>XXV</w:t>
      </w:r>
    </w:p>
    <w:p>
      <w:pPr>
        <w:spacing w:line="386" w:lineRule="auto" w:before="163"/>
        <w:ind w:left="170" w:right="244" w:hanging="57"/>
        <w:jc w:val="both"/>
        <w:rPr>
          <w:i/>
          <w:sz w:val="22"/>
        </w:rPr>
      </w:pPr>
      <w:r>
        <w:rPr>
          <w:rFonts w:ascii="Arial"/>
          <w:i/>
          <w:color w:val="343133"/>
          <w:sz w:val="19"/>
        </w:rPr>
        <w:t>xxvii</w:t>
      </w:r>
      <w:r>
        <w:rPr>
          <w:rFonts w:ascii="Arial"/>
          <w:i/>
          <w:color w:val="343133"/>
          <w:spacing w:val="1"/>
          <w:sz w:val="19"/>
        </w:rPr>
        <w:t> </w:t>
      </w:r>
      <w:r>
        <w:rPr>
          <w:i/>
          <w:color w:val="424142"/>
          <w:w w:val="95"/>
          <w:sz w:val="23"/>
        </w:rPr>
        <w:t>xxix</w:t>
      </w:r>
      <w:r>
        <w:rPr>
          <w:i/>
          <w:color w:val="424142"/>
          <w:spacing w:val="-53"/>
          <w:w w:val="95"/>
          <w:sz w:val="23"/>
        </w:rPr>
        <w:t> </w:t>
      </w:r>
      <w:r>
        <w:rPr>
          <w:i/>
          <w:color w:val="343133"/>
          <w:sz w:val="22"/>
        </w:rPr>
        <w:t>xxxi</w:t>
      </w:r>
    </w:p>
    <w:p>
      <w:pPr>
        <w:spacing w:after="0" w:line="386" w:lineRule="auto"/>
        <w:jc w:val="both"/>
        <w:rPr>
          <w:sz w:val="22"/>
        </w:rPr>
        <w:sectPr>
          <w:type w:val="continuous"/>
          <w:pgSz w:w="9570" w:h="13800"/>
          <w:pgMar w:header="0" w:footer="0" w:top="340" w:bottom="280" w:left="420" w:right="1120"/>
          <w:cols w:num="2" w:equalWidth="0">
            <w:col w:w="3778" w:space="3468"/>
            <w:col w:w="784"/>
          </w:cols>
        </w:sectPr>
      </w:pPr>
    </w:p>
    <w:p>
      <w:pPr>
        <w:tabs>
          <w:tab w:pos="1547" w:val="left" w:leader="none"/>
          <w:tab w:pos="7625" w:val="left" w:leader="none"/>
        </w:tabs>
        <w:spacing w:line="245" w:lineRule="exact" w:before="0"/>
        <w:ind w:left="120" w:right="0" w:firstLine="0"/>
        <w:jc w:val="left"/>
        <w:rPr>
          <w:b/>
          <w:sz w:val="22"/>
        </w:rPr>
      </w:pPr>
      <w:r>
        <w:rPr>
          <w:b/>
          <w:color w:val="343133"/>
          <w:w w:val="115"/>
          <w:sz w:val="22"/>
        </w:rPr>
        <w:t>Chapter</w:t>
      </w:r>
      <w:r>
        <w:rPr>
          <w:b/>
          <w:color w:val="343133"/>
          <w:spacing w:val="4"/>
          <w:w w:val="115"/>
          <w:sz w:val="22"/>
        </w:rPr>
        <w:t> </w:t>
      </w:r>
      <w:r>
        <w:rPr>
          <w:b/>
          <w:color w:val="343133"/>
          <w:w w:val="115"/>
          <w:sz w:val="22"/>
        </w:rPr>
        <w:t>1</w:t>
        <w:tab/>
      </w:r>
      <w:r>
        <w:rPr>
          <w:rFonts w:ascii="Arial"/>
          <w:color w:val="343133"/>
          <w:w w:val="115"/>
          <w:sz w:val="20"/>
        </w:rPr>
        <w:t>Introduction</w:t>
        <w:tab/>
      </w:r>
      <w:r>
        <w:rPr>
          <w:b/>
          <w:color w:val="343133"/>
          <w:w w:val="115"/>
          <w:sz w:val="22"/>
        </w:rPr>
        <w:t>1</w:t>
      </w:r>
    </w:p>
    <w:p>
      <w:pPr>
        <w:tabs>
          <w:tab w:pos="1556" w:val="left" w:leader="none"/>
          <w:tab w:pos="7500" w:val="left" w:leader="none"/>
        </w:tabs>
        <w:spacing w:before="103"/>
        <w:ind w:left="120" w:right="0" w:firstLine="0"/>
        <w:jc w:val="left"/>
        <w:rPr>
          <w:b/>
          <w:sz w:val="22"/>
        </w:rPr>
      </w:pPr>
      <w:r>
        <w:rPr>
          <w:b/>
          <w:color w:val="343133"/>
          <w:w w:val="105"/>
          <w:sz w:val="22"/>
        </w:rPr>
        <w:t>Chapter</w:t>
      </w:r>
      <w:r>
        <w:rPr>
          <w:b/>
          <w:color w:val="343133"/>
          <w:spacing w:val="44"/>
          <w:w w:val="105"/>
          <w:sz w:val="22"/>
        </w:rPr>
        <w:t> </w:t>
      </w:r>
      <w:r>
        <w:rPr>
          <w:b/>
          <w:color w:val="343133"/>
          <w:w w:val="105"/>
          <w:sz w:val="22"/>
        </w:rPr>
        <w:t>2</w:t>
        <w:tab/>
      </w:r>
      <w:r>
        <w:rPr>
          <w:rFonts w:ascii="Arial"/>
          <w:color w:val="343133"/>
          <w:sz w:val="20"/>
        </w:rPr>
        <w:t>Appellate</w:t>
      </w:r>
      <w:r>
        <w:rPr>
          <w:rFonts w:ascii="Arial"/>
          <w:color w:val="343133"/>
          <w:spacing w:val="13"/>
          <w:sz w:val="20"/>
        </w:rPr>
        <w:t> </w:t>
      </w:r>
      <w:r>
        <w:rPr>
          <w:rFonts w:ascii="Arial"/>
          <w:color w:val="343133"/>
          <w:sz w:val="20"/>
        </w:rPr>
        <w:t>Jurisdiction and</w:t>
      </w:r>
      <w:r>
        <w:rPr>
          <w:rFonts w:ascii="Arial"/>
          <w:color w:val="343133"/>
          <w:spacing w:val="53"/>
          <w:sz w:val="20"/>
        </w:rPr>
        <w:t> </w:t>
      </w:r>
      <w:r>
        <w:rPr>
          <w:rFonts w:ascii="Arial"/>
          <w:color w:val="343133"/>
          <w:sz w:val="20"/>
        </w:rPr>
        <w:t>Standards</w:t>
      </w:r>
      <w:r>
        <w:rPr>
          <w:rFonts w:ascii="Arial"/>
          <w:color w:val="343133"/>
          <w:spacing w:val="15"/>
          <w:sz w:val="20"/>
        </w:rPr>
        <w:t> </w:t>
      </w:r>
      <w:r>
        <w:rPr>
          <w:rFonts w:ascii="Arial"/>
          <w:color w:val="343133"/>
          <w:sz w:val="20"/>
        </w:rPr>
        <w:t>of</w:t>
      </w:r>
      <w:r>
        <w:rPr>
          <w:rFonts w:ascii="Arial"/>
          <w:color w:val="343133"/>
          <w:spacing w:val="36"/>
          <w:sz w:val="20"/>
        </w:rPr>
        <w:t> </w:t>
      </w:r>
      <w:r>
        <w:rPr>
          <w:rFonts w:ascii="Arial"/>
          <w:color w:val="343133"/>
          <w:sz w:val="20"/>
        </w:rPr>
        <w:t>Review</w:t>
        <w:tab/>
      </w:r>
      <w:r>
        <w:rPr>
          <w:b/>
          <w:color w:val="343133"/>
          <w:w w:val="105"/>
          <w:sz w:val="22"/>
        </w:rPr>
        <w:t>13</w:t>
      </w:r>
    </w:p>
    <w:p>
      <w:pPr>
        <w:tabs>
          <w:tab w:pos="1551" w:val="left" w:leader="none"/>
          <w:tab w:pos="7511" w:val="left" w:leader="none"/>
        </w:tabs>
        <w:spacing w:before="113"/>
        <w:ind w:left="120" w:right="0" w:firstLine="0"/>
        <w:jc w:val="left"/>
        <w:rPr>
          <w:b/>
          <w:sz w:val="22"/>
        </w:rPr>
      </w:pPr>
      <w:r>
        <w:rPr>
          <w:b/>
          <w:color w:val="343133"/>
          <w:w w:val="110"/>
          <w:sz w:val="22"/>
        </w:rPr>
        <w:t>Chapter</w:t>
      </w:r>
      <w:r>
        <w:rPr>
          <w:b/>
          <w:color w:val="343133"/>
          <w:spacing w:val="24"/>
          <w:w w:val="110"/>
          <w:sz w:val="22"/>
        </w:rPr>
        <w:t> </w:t>
      </w:r>
      <w:r>
        <w:rPr>
          <w:b/>
          <w:color w:val="343133"/>
          <w:w w:val="110"/>
          <w:sz w:val="22"/>
        </w:rPr>
        <w:t>3</w:t>
        <w:tab/>
      </w:r>
      <w:r>
        <w:rPr>
          <w:rFonts w:ascii="Arial"/>
          <w:color w:val="343133"/>
          <w:w w:val="105"/>
          <w:sz w:val="20"/>
        </w:rPr>
        <w:t>Before</w:t>
      </w:r>
      <w:r>
        <w:rPr>
          <w:rFonts w:ascii="Arial"/>
          <w:color w:val="343133"/>
          <w:spacing w:val="-9"/>
          <w:w w:val="105"/>
          <w:sz w:val="20"/>
        </w:rPr>
        <w:t> </w:t>
      </w:r>
      <w:r>
        <w:rPr>
          <w:rFonts w:ascii="Arial"/>
          <w:color w:val="343133"/>
          <w:w w:val="105"/>
          <w:sz w:val="20"/>
        </w:rPr>
        <w:t>You</w:t>
      </w:r>
      <w:r>
        <w:rPr>
          <w:rFonts w:ascii="Arial"/>
          <w:color w:val="343133"/>
          <w:spacing w:val="-11"/>
          <w:w w:val="105"/>
          <w:sz w:val="20"/>
        </w:rPr>
        <w:t> </w:t>
      </w:r>
      <w:r>
        <w:rPr>
          <w:rFonts w:ascii="Arial"/>
          <w:color w:val="343133"/>
          <w:w w:val="105"/>
          <w:sz w:val="20"/>
        </w:rPr>
        <w:t>Write</w:t>
        <w:tab/>
      </w:r>
      <w:r>
        <w:rPr>
          <w:b/>
          <w:color w:val="343133"/>
          <w:w w:val="110"/>
          <w:sz w:val="22"/>
        </w:rPr>
        <w:t>35</w:t>
      </w:r>
    </w:p>
    <w:p>
      <w:pPr>
        <w:tabs>
          <w:tab w:pos="1559" w:val="left" w:leader="none"/>
          <w:tab w:pos="7506" w:val="left" w:leader="none"/>
        </w:tabs>
        <w:spacing w:before="94"/>
        <w:ind w:left="120" w:right="0" w:firstLine="0"/>
        <w:jc w:val="left"/>
        <w:rPr>
          <w:b/>
          <w:sz w:val="22"/>
        </w:rPr>
      </w:pPr>
      <w:r>
        <w:rPr>
          <w:b/>
          <w:color w:val="343133"/>
          <w:w w:val="110"/>
          <w:sz w:val="22"/>
        </w:rPr>
        <w:t>Chapter</w:t>
      </w:r>
      <w:r>
        <w:rPr>
          <w:b/>
          <w:color w:val="343133"/>
          <w:spacing w:val="22"/>
          <w:w w:val="110"/>
          <w:sz w:val="22"/>
        </w:rPr>
        <w:t> </w:t>
      </w:r>
      <w:r>
        <w:rPr>
          <w:b/>
          <w:color w:val="343133"/>
          <w:w w:val="110"/>
          <w:sz w:val="22"/>
        </w:rPr>
        <w:t>4</w:t>
        <w:tab/>
      </w:r>
      <w:r>
        <w:rPr>
          <w:rFonts w:ascii="Arial"/>
          <w:color w:val="343133"/>
          <w:sz w:val="20"/>
        </w:rPr>
        <w:t>Facing</w:t>
      </w:r>
      <w:r>
        <w:rPr>
          <w:rFonts w:ascii="Arial"/>
          <w:color w:val="343133"/>
          <w:spacing w:val="1"/>
          <w:sz w:val="20"/>
        </w:rPr>
        <w:t> </w:t>
      </w:r>
      <w:r>
        <w:rPr>
          <w:rFonts w:ascii="Arial"/>
          <w:color w:val="343133"/>
          <w:sz w:val="20"/>
        </w:rPr>
        <w:t>the</w:t>
      </w:r>
      <w:r>
        <w:rPr>
          <w:rFonts w:ascii="Arial"/>
          <w:color w:val="343133"/>
          <w:spacing w:val="38"/>
          <w:sz w:val="20"/>
        </w:rPr>
        <w:t> </w:t>
      </w:r>
      <w:r>
        <w:rPr>
          <w:rFonts w:ascii="Arial"/>
          <w:color w:val="343133"/>
          <w:sz w:val="20"/>
        </w:rPr>
        <w:t>Blank</w:t>
      </w:r>
      <w:r>
        <w:rPr>
          <w:rFonts w:ascii="Arial"/>
          <w:color w:val="343133"/>
          <w:spacing w:val="-1"/>
          <w:sz w:val="20"/>
        </w:rPr>
        <w:t> </w:t>
      </w:r>
      <w:r>
        <w:rPr>
          <w:rFonts w:ascii="Arial"/>
          <w:color w:val="343133"/>
          <w:sz w:val="20"/>
        </w:rPr>
        <w:t>Page</w:t>
        <w:tab/>
      </w:r>
      <w:r>
        <w:rPr>
          <w:b/>
          <w:color w:val="343133"/>
          <w:w w:val="110"/>
          <w:sz w:val="22"/>
        </w:rPr>
        <w:t>67</w:t>
      </w:r>
    </w:p>
    <w:p>
      <w:pPr>
        <w:tabs>
          <w:tab w:pos="1556" w:val="left" w:leader="none"/>
          <w:tab w:pos="7516" w:val="left" w:leader="none"/>
        </w:tabs>
        <w:spacing w:before="113"/>
        <w:ind w:left="120" w:right="0" w:firstLine="0"/>
        <w:jc w:val="left"/>
        <w:rPr>
          <w:b/>
          <w:sz w:val="22"/>
        </w:rPr>
      </w:pPr>
      <w:r>
        <w:rPr>
          <w:b/>
          <w:color w:val="343133"/>
          <w:w w:val="110"/>
          <w:sz w:val="22"/>
        </w:rPr>
        <w:t>Chapter</w:t>
      </w:r>
      <w:r>
        <w:rPr>
          <w:b/>
          <w:color w:val="343133"/>
          <w:spacing w:val="11"/>
          <w:w w:val="110"/>
          <w:sz w:val="22"/>
        </w:rPr>
        <w:t> </w:t>
      </w:r>
      <w:r>
        <w:rPr>
          <w:rFonts w:ascii="Arial"/>
          <w:b/>
          <w:i/>
          <w:color w:val="343133"/>
          <w:w w:val="110"/>
          <w:sz w:val="21"/>
        </w:rPr>
        <w:t>5</w:t>
        <w:tab/>
      </w:r>
      <w:r>
        <w:rPr>
          <w:rFonts w:ascii="Arial"/>
          <w:color w:val="343133"/>
          <w:w w:val="105"/>
          <w:sz w:val="20"/>
        </w:rPr>
        <w:t>One</w:t>
      </w:r>
      <w:r>
        <w:rPr>
          <w:rFonts w:ascii="Arial"/>
          <w:color w:val="343133"/>
          <w:spacing w:val="2"/>
          <w:w w:val="105"/>
          <w:sz w:val="20"/>
        </w:rPr>
        <w:t> </w:t>
      </w:r>
      <w:r>
        <w:rPr>
          <w:rFonts w:ascii="Arial"/>
          <w:color w:val="343133"/>
          <w:w w:val="105"/>
          <w:sz w:val="20"/>
        </w:rPr>
        <w:t>Piece</w:t>
      </w:r>
      <w:r>
        <w:rPr>
          <w:rFonts w:ascii="Arial"/>
          <w:color w:val="343133"/>
          <w:spacing w:val="-7"/>
          <w:w w:val="105"/>
          <w:sz w:val="20"/>
        </w:rPr>
        <w:t> </w:t>
      </w:r>
      <w:r>
        <w:rPr>
          <w:rFonts w:ascii="Arial"/>
          <w:color w:val="343133"/>
          <w:w w:val="105"/>
          <w:sz w:val="20"/>
        </w:rPr>
        <w:t>at</w:t>
      </w:r>
      <w:r>
        <w:rPr>
          <w:rFonts w:ascii="Arial"/>
          <w:color w:val="343133"/>
          <w:spacing w:val="33"/>
          <w:w w:val="105"/>
          <w:sz w:val="20"/>
        </w:rPr>
        <w:t> </w:t>
      </w:r>
      <w:r>
        <w:rPr>
          <w:rFonts w:ascii="Arial"/>
          <w:color w:val="343133"/>
          <w:w w:val="105"/>
          <w:sz w:val="20"/>
        </w:rPr>
        <w:t>a</w:t>
      </w:r>
      <w:r>
        <w:rPr>
          <w:rFonts w:ascii="Arial"/>
          <w:color w:val="343133"/>
          <w:spacing w:val="11"/>
          <w:w w:val="105"/>
          <w:sz w:val="20"/>
        </w:rPr>
        <w:t> </w:t>
      </w:r>
      <w:r>
        <w:rPr>
          <w:rFonts w:ascii="Arial"/>
          <w:color w:val="343133"/>
          <w:w w:val="105"/>
          <w:sz w:val="20"/>
        </w:rPr>
        <w:t>Time:</w:t>
      </w:r>
      <w:r>
        <w:rPr>
          <w:rFonts w:ascii="Arial"/>
          <w:color w:val="343133"/>
          <w:spacing w:val="-10"/>
          <w:w w:val="105"/>
          <w:sz w:val="20"/>
        </w:rPr>
        <w:t> </w:t>
      </w:r>
      <w:r>
        <w:rPr>
          <w:rFonts w:ascii="Arial"/>
          <w:color w:val="343133"/>
          <w:w w:val="105"/>
          <w:sz w:val="20"/>
        </w:rPr>
        <w:t>Drafting</w:t>
      </w:r>
      <w:r>
        <w:rPr>
          <w:rFonts w:ascii="Arial"/>
          <w:color w:val="343133"/>
          <w:spacing w:val="2"/>
          <w:w w:val="105"/>
          <w:sz w:val="20"/>
        </w:rPr>
        <w:t> </w:t>
      </w:r>
      <w:r>
        <w:rPr>
          <w:rFonts w:ascii="Arial"/>
          <w:color w:val="343133"/>
          <w:w w:val="105"/>
          <w:sz w:val="20"/>
        </w:rPr>
        <w:t>the</w:t>
      </w:r>
      <w:r>
        <w:rPr>
          <w:rFonts w:ascii="Arial"/>
          <w:color w:val="343133"/>
          <w:spacing w:val="-7"/>
          <w:w w:val="105"/>
          <w:sz w:val="20"/>
        </w:rPr>
        <w:t> </w:t>
      </w:r>
      <w:r>
        <w:rPr>
          <w:rFonts w:ascii="Arial"/>
          <w:color w:val="343133"/>
          <w:w w:val="105"/>
          <w:sz w:val="20"/>
        </w:rPr>
        <w:t>Argument</w:t>
        <w:tab/>
      </w:r>
      <w:r>
        <w:rPr>
          <w:b/>
          <w:color w:val="343133"/>
          <w:w w:val="110"/>
          <w:sz w:val="22"/>
        </w:rPr>
        <w:t>87</w:t>
      </w:r>
    </w:p>
    <w:p>
      <w:pPr>
        <w:tabs>
          <w:tab w:pos="1560" w:val="left" w:leader="none"/>
          <w:tab w:pos="7394" w:val="left" w:leader="none"/>
        </w:tabs>
        <w:spacing w:before="103"/>
        <w:ind w:left="120" w:right="0" w:firstLine="0"/>
        <w:jc w:val="left"/>
        <w:rPr>
          <w:b/>
          <w:sz w:val="22"/>
        </w:rPr>
      </w:pPr>
      <w:r>
        <w:rPr>
          <w:b/>
          <w:color w:val="343133"/>
          <w:w w:val="110"/>
          <w:sz w:val="22"/>
        </w:rPr>
        <w:t>Chapter</w:t>
      </w:r>
      <w:r>
        <w:rPr>
          <w:b/>
          <w:color w:val="343133"/>
          <w:spacing w:val="10"/>
          <w:w w:val="110"/>
          <w:sz w:val="22"/>
        </w:rPr>
        <w:t> </w:t>
      </w:r>
      <w:r>
        <w:rPr>
          <w:b/>
          <w:color w:val="343133"/>
          <w:w w:val="110"/>
          <w:sz w:val="22"/>
        </w:rPr>
        <w:t>6</w:t>
        <w:tab/>
      </w:r>
      <w:r>
        <w:rPr>
          <w:rFonts w:ascii="Arial"/>
          <w:color w:val="343133"/>
          <w:spacing w:val="-1"/>
          <w:w w:val="105"/>
          <w:sz w:val="20"/>
        </w:rPr>
        <w:t>Practice</w:t>
      </w:r>
      <w:r>
        <w:rPr>
          <w:rFonts w:ascii="Arial"/>
          <w:color w:val="343133"/>
          <w:spacing w:val="-7"/>
          <w:w w:val="105"/>
          <w:sz w:val="20"/>
        </w:rPr>
        <w:t> </w:t>
      </w:r>
      <w:r>
        <w:rPr>
          <w:rFonts w:ascii="Arial"/>
          <w:color w:val="343133"/>
          <w:spacing w:val="-1"/>
          <w:w w:val="105"/>
          <w:sz w:val="20"/>
        </w:rPr>
        <w:t>Pointers:</w:t>
      </w:r>
      <w:r>
        <w:rPr>
          <w:rFonts w:ascii="Arial"/>
          <w:color w:val="343133"/>
          <w:spacing w:val="-6"/>
          <w:w w:val="105"/>
          <w:sz w:val="20"/>
        </w:rPr>
        <w:t> </w:t>
      </w:r>
      <w:r>
        <w:rPr>
          <w:rFonts w:ascii="Arial"/>
          <w:color w:val="343133"/>
          <w:spacing w:val="-1"/>
          <w:w w:val="105"/>
          <w:sz w:val="20"/>
        </w:rPr>
        <w:t>Using</w:t>
      </w:r>
      <w:r>
        <w:rPr>
          <w:rFonts w:ascii="Arial"/>
          <w:color w:val="343133"/>
          <w:spacing w:val="-20"/>
          <w:w w:val="105"/>
          <w:sz w:val="20"/>
        </w:rPr>
        <w:t> </w:t>
      </w:r>
      <w:r>
        <w:rPr>
          <w:rFonts w:ascii="Arial"/>
          <w:color w:val="343133"/>
          <w:spacing w:val="-1"/>
          <w:w w:val="105"/>
          <w:sz w:val="20"/>
        </w:rPr>
        <w:t>Case</w:t>
      </w:r>
      <w:r>
        <w:rPr>
          <w:rFonts w:ascii="Arial"/>
          <w:color w:val="343133"/>
          <w:spacing w:val="-20"/>
          <w:w w:val="105"/>
          <w:sz w:val="20"/>
        </w:rPr>
        <w:t> </w:t>
      </w:r>
      <w:r>
        <w:rPr>
          <w:rFonts w:ascii="Arial"/>
          <w:color w:val="343133"/>
          <w:spacing w:val="-1"/>
          <w:w w:val="105"/>
          <w:sz w:val="20"/>
        </w:rPr>
        <w:t>Authority</w:t>
      </w:r>
      <w:r>
        <w:rPr>
          <w:rFonts w:ascii="Arial"/>
          <w:color w:val="343133"/>
          <w:spacing w:val="1"/>
          <w:w w:val="105"/>
          <w:sz w:val="20"/>
        </w:rPr>
        <w:t> </w:t>
      </w:r>
      <w:r>
        <w:rPr>
          <w:rFonts w:ascii="Arial"/>
          <w:color w:val="343133"/>
          <w:w w:val="105"/>
          <w:sz w:val="20"/>
        </w:rPr>
        <w:t>Effectively</w:t>
        <w:tab/>
      </w:r>
      <w:r>
        <w:rPr>
          <w:b/>
          <w:color w:val="343133"/>
          <w:w w:val="110"/>
          <w:sz w:val="22"/>
        </w:rPr>
        <w:t>117</w:t>
      </w:r>
    </w:p>
    <w:p>
      <w:pPr>
        <w:tabs>
          <w:tab w:pos="1566" w:val="left" w:leader="none"/>
          <w:tab w:pos="7404" w:val="left" w:leader="none"/>
        </w:tabs>
        <w:spacing w:before="113"/>
        <w:ind w:left="120" w:right="0" w:firstLine="0"/>
        <w:jc w:val="left"/>
        <w:rPr>
          <w:b/>
          <w:sz w:val="22"/>
        </w:rPr>
      </w:pPr>
      <w:r>
        <w:rPr>
          <w:b/>
          <w:color w:val="343133"/>
          <w:w w:val="110"/>
          <w:sz w:val="22"/>
        </w:rPr>
        <w:t>Chapter</w:t>
      </w:r>
      <w:r>
        <w:rPr>
          <w:b/>
          <w:color w:val="343133"/>
          <w:spacing w:val="18"/>
          <w:w w:val="110"/>
          <w:sz w:val="22"/>
        </w:rPr>
        <w:t> </w:t>
      </w:r>
      <w:r>
        <w:rPr>
          <w:rFonts w:ascii="Arial"/>
          <w:b/>
          <w:i/>
          <w:color w:val="343133"/>
          <w:w w:val="110"/>
          <w:sz w:val="21"/>
        </w:rPr>
        <w:t>7</w:t>
        <w:tab/>
      </w:r>
      <w:r>
        <w:rPr>
          <w:rFonts w:ascii="Arial"/>
          <w:color w:val="343133"/>
          <w:w w:val="105"/>
          <w:sz w:val="20"/>
        </w:rPr>
        <w:t>Seeing What</w:t>
      </w:r>
      <w:r>
        <w:rPr>
          <w:rFonts w:ascii="Arial"/>
          <w:color w:val="343133"/>
          <w:spacing w:val="-11"/>
          <w:w w:val="105"/>
          <w:sz w:val="20"/>
        </w:rPr>
        <w:t> </w:t>
      </w:r>
      <w:r>
        <w:rPr>
          <w:rFonts w:ascii="Arial"/>
          <w:color w:val="343133"/>
          <w:w w:val="105"/>
          <w:sz w:val="20"/>
        </w:rPr>
        <w:t>You</w:t>
      </w:r>
      <w:r>
        <w:rPr>
          <w:rFonts w:ascii="Arial"/>
          <w:color w:val="343133"/>
          <w:spacing w:val="-13"/>
          <w:w w:val="105"/>
          <w:sz w:val="20"/>
        </w:rPr>
        <w:t> </w:t>
      </w:r>
      <w:r>
        <w:rPr>
          <w:rFonts w:ascii="Arial"/>
          <w:color w:val="343133"/>
          <w:w w:val="105"/>
          <w:sz w:val="20"/>
        </w:rPr>
        <w:t>Have</w:t>
      </w:r>
      <w:r>
        <w:rPr>
          <w:rFonts w:ascii="Arial"/>
          <w:color w:val="343133"/>
          <w:spacing w:val="-10"/>
          <w:w w:val="105"/>
          <w:sz w:val="20"/>
        </w:rPr>
        <w:t> </w:t>
      </w:r>
      <w:r>
        <w:rPr>
          <w:rFonts w:ascii="Arial"/>
          <w:color w:val="343133"/>
          <w:w w:val="105"/>
          <w:sz w:val="20"/>
        </w:rPr>
        <w:t>Written</w:t>
        <w:tab/>
      </w:r>
      <w:r>
        <w:rPr>
          <w:b/>
          <w:color w:val="343133"/>
          <w:w w:val="110"/>
          <w:sz w:val="22"/>
        </w:rPr>
        <w:t>153</w:t>
      </w:r>
    </w:p>
    <w:p>
      <w:pPr>
        <w:tabs>
          <w:tab w:pos="1560" w:val="left" w:leader="none"/>
          <w:tab w:pos="7413" w:val="left" w:leader="none"/>
        </w:tabs>
        <w:spacing w:before="103"/>
        <w:ind w:left="120" w:right="0" w:firstLine="0"/>
        <w:jc w:val="left"/>
        <w:rPr>
          <w:b/>
          <w:sz w:val="22"/>
        </w:rPr>
      </w:pPr>
      <w:r>
        <w:rPr>
          <w:b/>
          <w:color w:val="343133"/>
          <w:w w:val="110"/>
          <w:sz w:val="22"/>
        </w:rPr>
        <w:t>Chapter</w:t>
      </w:r>
      <w:r>
        <w:rPr>
          <w:b/>
          <w:color w:val="343133"/>
          <w:spacing w:val="11"/>
          <w:w w:val="110"/>
          <w:sz w:val="22"/>
        </w:rPr>
        <w:t> </w:t>
      </w:r>
      <w:r>
        <w:rPr>
          <w:b/>
          <w:color w:val="343133"/>
          <w:w w:val="110"/>
          <w:sz w:val="22"/>
        </w:rPr>
        <w:t>8</w:t>
        <w:tab/>
      </w:r>
      <w:r>
        <w:rPr>
          <w:rFonts w:ascii="Arial"/>
          <w:color w:val="343133"/>
          <w:spacing w:val="-1"/>
          <w:w w:val="105"/>
          <w:sz w:val="20"/>
        </w:rPr>
        <w:t>Professionalism:</w:t>
      </w:r>
      <w:r>
        <w:rPr>
          <w:rFonts w:ascii="Arial"/>
          <w:color w:val="343133"/>
          <w:spacing w:val="-31"/>
          <w:w w:val="105"/>
          <w:sz w:val="20"/>
        </w:rPr>
        <w:t> </w:t>
      </w:r>
      <w:r>
        <w:rPr>
          <w:rFonts w:ascii="Arial"/>
          <w:color w:val="343133"/>
          <w:spacing w:val="-1"/>
          <w:w w:val="105"/>
          <w:sz w:val="20"/>
        </w:rPr>
        <w:t>Following</w:t>
      </w:r>
      <w:r>
        <w:rPr>
          <w:rFonts w:ascii="Arial"/>
          <w:color w:val="343133"/>
          <w:spacing w:val="3"/>
          <w:w w:val="105"/>
          <w:sz w:val="20"/>
        </w:rPr>
        <w:t> </w:t>
      </w:r>
      <w:r>
        <w:rPr>
          <w:rFonts w:ascii="Arial"/>
          <w:color w:val="343133"/>
          <w:spacing w:val="-1"/>
          <w:w w:val="105"/>
          <w:sz w:val="20"/>
        </w:rPr>
        <w:t>Format</w:t>
      </w:r>
      <w:r>
        <w:rPr>
          <w:rFonts w:ascii="Arial"/>
          <w:color w:val="343133"/>
          <w:spacing w:val="-14"/>
          <w:w w:val="105"/>
          <w:sz w:val="20"/>
        </w:rPr>
        <w:t> </w:t>
      </w:r>
      <w:r>
        <w:rPr>
          <w:rFonts w:ascii="Arial"/>
          <w:color w:val="343133"/>
          <w:w w:val="105"/>
          <w:sz w:val="20"/>
        </w:rPr>
        <w:t>Rules</w:t>
        <w:tab/>
      </w:r>
      <w:r>
        <w:rPr>
          <w:b/>
          <w:color w:val="343133"/>
          <w:w w:val="110"/>
          <w:sz w:val="22"/>
        </w:rPr>
        <w:t>165</w:t>
      </w:r>
    </w:p>
    <w:p>
      <w:pPr>
        <w:tabs>
          <w:tab w:pos="1566" w:val="left" w:leader="none"/>
          <w:tab w:pos="7423" w:val="left" w:leader="none"/>
        </w:tabs>
        <w:spacing w:line="228" w:lineRule="auto" w:before="114"/>
        <w:ind w:left="1566" w:right="254" w:hanging="1446"/>
        <w:jc w:val="left"/>
        <w:rPr>
          <w:b/>
          <w:sz w:val="22"/>
        </w:rPr>
      </w:pPr>
      <w:r>
        <w:rPr>
          <w:b/>
          <w:color w:val="343133"/>
          <w:w w:val="105"/>
          <w:sz w:val="22"/>
        </w:rPr>
        <w:t>Chapter</w:t>
      </w:r>
      <w:r>
        <w:rPr>
          <w:b/>
          <w:color w:val="343133"/>
          <w:spacing w:val="17"/>
          <w:w w:val="105"/>
          <w:sz w:val="22"/>
        </w:rPr>
        <w:t> </w:t>
      </w:r>
      <w:r>
        <w:rPr>
          <w:rFonts w:ascii="Arial"/>
          <w:b/>
          <w:i/>
          <w:color w:val="343133"/>
          <w:w w:val="105"/>
          <w:sz w:val="21"/>
        </w:rPr>
        <w:t>9</w:t>
        <w:tab/>
      </w:r>
      <w:r>
        <w:rPr>
          <w:rFonts w:ascii="Arial"/>
          <w:color w:val="343133"/>
          <w:sz w:val="20"/>
        </w:rPr>
        <w:t>Special Teams: Issue Statements,</w:t>
      </w:r>
      <w:r>
        <w:rPr>
          <w:rFonts w:ascii="Arial"/>
          <w:color w:val="343133"/>
          <w:spacing w:val="56"/>
          <w:sz w:val="20"/>
        </w:rPr>
        <w:t> </w:t>
      </w:r>
      <w:r>
        <w:rPr>
          <w:rFonts w:ascii="Arial"/>
          <w:color w:val="343133"/>
          <w:sz w:val="20"/>
        </w:rPr>
        <w:t>Statement</w:t>
      </w:r>
      <w:r>
        <w:rPr>
          <w:rFonts w:ascii="Arial"/>
          <w:color w:val="343133"/>
          <w:spacing w:val="56"/>
          <w:sz w:val="20"/>
        </w:rPr>
        <w:t> </w:t>
      </w:r>
      <w:r>
        <w:rPr>
          <w:rFonts w:ascii="Arial"/>
          <w:color w:val="343133"/>
          <w:sz w:val="20"/>
        </w:rPr>
        <w:t>of</w:t>
      </w:r>
      <w:r>
        <w:rPr>
          <w:rFonts w:ascii="Arial"/>
          <w:color w:val="343133"/>
          <w:spacing w:val="55"/>
          <w:sz w:val="20"/>
        </w:rPr>
        <w:t> </w:t>
      </w:r>
      <w:r>
        <w:rPr>
          <w:rFonts w:ascii="Arial"/>
          <w:color w:val="343133"/>
          <w:sz w:val="20"/>
        </w:rPr>
        <w:t>the</w:t>
      </w:r>
      <w:r>
        <w:rPr>
          <w:rFonts w:ascii="Arial"/>
          <w:color w:val="343133"/>
          <w:spacing w:val="56"/>
          <w:sz w:val="20"/>
        </w:rPr>
        <w:t> </w:t>
      </w:r>
      <w:r>
        <w:rPr>
          <w:rFonts w:ascii="Arial"/>
          <w:color w:val="343133"/>
          <w:sz w:val="20"/>
        </w:rPr>
        <w:t>Case,</w:t>
      </w:r>
      <w:r>
        <w:rPr>
          <w:rFonts w:ascii="Arial"/>
          <w:color w:val="343133"/>
          <w:spacing w:val="1"/>
          <w:sz w:val="20"/>
        </w:rPr>
        <w:t> </w:t>
      </w:r>
      <w:r>
        <w:rPr>
          <w:rFonts w:ascii="Arial"/>
          <w:color w:val="424142"/>
          <w:w w:val="105"/>
          <w:sz w:val="20"/>
        </w:rPr>
        <w:t>Summary</w:t>
      </w:r>
      <w:r>
        <w:rPr>
          <w:rFonts w:ascii="Arial"/>
          <w:color w:val="424142"/>
          <w:spacing w:val="3"/>
          <w:w w:val="105"/>
          <w:sz w:val="20"/>
        </w:rPr>
        <w:t> </w:t>
      </w:r>
      <w:r>
        <w:rPr>
          <w:rFonts w:ascii="Arial"/>
          <w:color w:val="343133"/>
          <w:w w:val="105"/>
          <w:sz w:val="20"/>
        </w:rPr>
        <w:t>of</w:t>
      </w:r>
      <w:r>
        <w:rPr>
          <w:rFonts w:ascii="Arial"/>
          <w:color w:val="343133"/>
          <w:spacing w:val="27"/>
          <w:w w:val="105"/>
          <w:sz w:val="20"/>
        </w:rPr>
        <w:t> </w:t>
      </w:r>
      <w:r>
        <w:rPr>
          <w:rFonts w:ascii="Arial"/>
          <w:color w:val="343133"/>
          <w:w w:val="105"/>
          <w:sz w:val="20"/>
        </w:rPr>
        <w:t>the</w:t>
      </w:r>
      <w:r>
        <w:rPr>
          <w:rFonts w:ascii="Arial"/>
          <w:color w:val="343133"/>
          <w:spacing w:val="27"/>
          <w:w w:val="105"/>
          <w:sz w:val="20"/>
        </w:rPr>
        <w:t> </w:t>
      </w:r>
      <w:r>
        <w:rPr>
          <w:rFonts w:ascii="Arial"/>
          <w:color w:val="343133"/>
          <w:w w:val="105"/>
          <w:sz w:val="20"/>
        </w:rPr>
        <w:t>Argument,</w:t>
      </w:r>
      <w:r>
        <w:rPr>
          <w:rFonts w:ascii="Arial"/>
          <w:color w:val="343133"/>
          <w:spacing w:val="3"/>
          <w:w w:val="105"/>
          <w:sz w:val="20"/>
        </w:rPr>
        <w:t> </w:t>
      </w:r>
      <w:r>
        <w:rPr>
          <w:rFonts w:ascii="Arial"/>
          <w:color w:val="343133"/>
          <w:w w:val="105"/>
          <w:sz w:val="20"/>
        </w:rPr>
        <w:t>Point</w:t>
      </w:r>
      <w:r>
        <w:rPr>
          <w:rFonts w:ascii="Arial"/>
          <w:color w:val="343133"/>
          <w:spacing w:val="-8"/>
          <w:w w:val="105"/>
          <w:sz w:val="20"/>
        </w:rPr>
        <w:t> </w:t>
      </w:r>
      <w:r>
        <w:rPr>
          <w:rFonts w:ascii="Arial"/>
          <w:color w:val="343133"/>
          <w:w w:val="105"/>
          <w:sz w:val="20"/>
        </w:rPr>
        <w:t>Headings</w:t>
        <w:tab/>
      </w:r>
      <w:r>
        <w:rPr>
          <w:b/>
          <w:color w:val="343133"/>
          <w:spacing w:val="-1"/>
          <w:w w:val="105"/>
          <w:sz w:val="22"/>
        </w:rPr>
        <w:t>189</w:t>
      </w:r>
    </w:p>
    <w:p>
      <w:pPr>
        <w:spacing w:line="247" w:lineRule="exact" w:before="106"/>
        <w:ind w:left="120" w:right="0" w:firstLine="0"/>
        <w:jc w:val="left"/>
        <w:rPr>
          <w:rFonts w:ascii="Arial"/>
          <w:sz w:val="20"/>
        </w:rPr>
      </w:pPr>
      <w:r>
        <w:rPr>
          <w:b/>
          <w:color w:val="343133"/>
          <w:spacing w:val="-1"/>
          <w:w w:val="110"/>
          <w:sz w:val="22"/>
        </w:rPr>
        <w:t>Chapter</w:t>
      </w:r>
      <w:r>
        <w:rPr>
          <w:b/>
          <w:color w:val="343133"/>
          <w:spacing w:val="1"/>
          <w:w w:val="110"/>
          <w:sz w:val="22"/>
        </w:rPr>
        <w:t> </w:t>
      </w:r>
      <w:r>
        <w:rPr>
          <w:b/>
          <w:color w:val="343133"/>
          <w:w w:val="110"/>
          <w:sz w:val="22"/>
        </w:rPr>
        <w:t>10 </w:t>
      </w:r>
      <w:r>
        <w:rPr>
          <w:b/>
          <w:color w:val="343133"/>
          <w:spacing w:val="6"/>
          <w:w w:val="110"/>
          <w:sz w:val="22"/>
        </w:rPr>
        <w:t> </w:t>
      </w:r>
      <w:r>
        <w:rPr>
          <w:rFonts w:ascii="Arial"/>
          <w:color w:val="343133"/>
          <w:w w:val="110"/>
          <w:sz w:val="20"/>
        </w:rPr>
        <w:t>Six</w:t>
      </w:r>
      <w:r>
        <w:rPr>
          <w:rFonts w:ascii="Arial"/>
          <w:color w:val="343133"/>
          <w:spacing w:val="-14"/>
          <w:w w:val="110"/>
          <w:sz w:val="20"/>
        </w:rPr>
        <w:t> </w:t>
      </w:r>
      <w:r>
        <w:rPr>
          <w:rFonts w:ascii="Arial"/>
          <w:color w:val="343133"/>
          <w:w w:val="110"/>
          <w:sz w:val="20"/>
        </w:rPr>
        <w:t>Degrees</w:t>
      </w:r>
      <w:r>
        <w:rPr>
          <w:rFonts w:ascii="Arial"/>
          <w:color w:val="343133"/>
          <w:spacing w:val="-6"/>
          <w:w w:val="110"/>
          <w:sz w:val="20"/>
        </w:rPr>
        <w:t> </w:t>
      </w:r>
      <w:r>
        <w:rPr>
          <w:rFonts w:ascii="Arial"/>
          <w:color w:val="343133"/>
          <w:w w:val="110"/>
          <w:sz w:val="20"/>
        </w:rPr>
        <w:t>of</w:t>
      </w:r>
      <w:r>
        <w:rPr>
          <w:rFonts w:ascii="Arial"/>
          <w:color w:val="343133"/>
          <w:spacing w:val="9"/>
          <w:w w:val="110"/>
          <w:sz w:val="20"/>
        </w:rPr>
        <w:t> </w:t>
      </w:r>
      <w:r>
        <w:rPr>
          <w:rFonts w:ascii="Arial"/>
          <w:color w:val="343133"/>
          <w:w w:val="110"/>
          <w:sz w:val="20"/>
        </w:rPr>
        <w:t>Legal</w:t>
      </w:r>
      <w:r>
        <w:rPr>
          <w:rFonts w:ascii="Arial"/>
          <w:color w:val="343133"/>
          <w:spacing w:val="-20"/>
          <w:w w:val="110"/>
          <w:sz w:val="20"/>
        </w:rPr>
        <w:t> </w:t>
      </w:r>
      <w:r>
        <w:rPr>
          <w:rFonts w:ascii="Arial"/>
          <w:color w:val="343133"/>
          <w:w w:val="110"/>
          <w:sz w:val="20"/>
        </w:rPr>
        <w:t>Writing:</w:t>
      </w:r>
      <w:r>
        <w:rPr>
          <w:rFonts w:ascii="Arial"/>
          <w:color w:val="343133"/>
          <w:spacing w:val="-13"/>
          <w:w w:val="110"/>
          <w:sz w:val="20"/>
        </w:rPr>
        <w:t> </w:t>
      </w:r>
      <w:r>
        <w:rPr>
          <w:rFonts w:ascii="Arial"/>
          <w:color w:val="343133"/>
          <w:w w:val="110"/>
          <w:sz w:val="20"/>
        </w:rPr>
        <w:t>Making</w:t>
      </w:r>
      <w:r>
        <w:rPr>
          <w:rFonts w:ascii="Arial"/>
          <w:color w:val="343133"/>
          <w:spacing w:val="-17"/>
          <w:w w:val="110"/>
          <w:sz w:val="20"/>
        </w:rPr>
        <w:t> </w:t>
      </w:r>
      <w:r>
        <w:rPr>
          <w:rFonts w:ascii="Arial"/>
          <w:color w:val="343133"/>
          <w:w w:val="110"/>
          <w:sz w:val="20"/>
        </w:rPr>
        <w:t>Your</w:t>
      </w:r>
      <w:r>
        <w:rPr>
          <w:rFonts w:ascii="Arial"/>
          <w:color w:val="343133"/>
          <w:spacing w:val="-16"/>
          <w:w w:val="110"/>
          <w:sz w:val="20"/>
        </w:rPr>
        <w:t> </w:t>
      </w:r>
      <w:r>
        <w:rPr>
          <w:rFonts w:ascii="Arial"/>
          <w:color w:val="343133"/>
          <w:w w:val="110"/>
          <w:sz w:val="20"/>
        </w:rPr>
        <w:t>Document</w:t>
      </w:r>
    </w:p>
    <w:p>
      <w:pPr>
        <w:tabs>
          <w:tab w:pos="7432" w:val="left" w:leader="none"/>
        </w:tabs>
        <w:spacing w:line="247" w:lineRule="exact" w:before="0"/>
        <w:ind w:left="1559" w:right="0" w:firstLine="0"/>
        <w:jc w:val="left"/>
        <w:rPr>
          <w:b/>
          <w:sz w:val="22"/>
        </w:rPr>
      </w:pPr>
      <w:r>
        <w:rPr>
          <w:rFonts w:ascii="Arial"/>
          <w:color w:val="424142"/>
          <w:sz w:val="20"/>
        </w:rPr>
        <w:t>Reader-Friendly</w:t>
      </w:r>
      <w:r>
        <w:rPr>
          <w:rFonts w:ascii="Arial"/>
          <w:color w:val="424142"/>
          <w:spacing w:val="-8"/>
          <w:sz w:val="20"/>
        </w:rPr>
        <w:t> </w:t>
      </w:r>
      <w:r>
        <w:rPr>
          <w:rFonts w:ascii="Arial"/>
          <w:color w:val="343133"/>
          <w:sz w:val="20"/>
        </w:rPr>
        <w:t>and</w:t>
      </w:r>
      <w:r>
        <w:rPr>
          <w:rFonts w:ascii="Arial"/>
          <w:color w:val="343133"/>
          <w:spacing w:val="38"/>
          <w:sz w:val="20"/>
        </w:rPr>
        <w:t> </w:t>
      </w:r>
      <w:r>
        <w:rPr>
          <w:rFonts w:ascii="Arial"/>
          <w:color w:val="343133"/>
          <w:sz w:val="20"/>
        </w:rPr>
        <w:t>User-Friendly</w:t>
        <w:tab/>
      </w:r>
      <w:r>
        <w:rPr>
          <w:b/>
          <w:color w:val="343133"/>
          <w:w w:val="105"/>
          <w:sz w:val="22"/>
        </w:rPr>
        <w:t>227</w:t>
      </w:r>
    </w:p>
    <w:p>
      <w:pPr>
        <w:tabs>
          <w:tab w:pos="7442" w:val="left" w:leader="none"/>
        </w:tabs>
        <w:spacing w:before="113"/>
        <w:ind w:left="120" w:right="0" w:firstLine="0"/>
        <w:jc w:val="left"/>
        <w:rPr>
          <w:b/>
          <w:sz w:val="22"/>
        </w:rPr>
      </w:pPr>
      <w:r>
        <w:rPr>
          <w:b/>
          <w:color w:val="343133"/>
          <w:w w:val="110"/>
          <w:sz w:val="22"/>
        </w:rPr>
        <w:t>Chapter</w:t>
      </w:r>
      <w:r>
        <w:rPr>
          <w:b/>
          <w:color w:val="343133"/>
          <w:spacing w:val="-8"/>
          <w:w w:val="110"/>
          <w:sz w:val="22"/>
        </w:rPr>
        <w:t> </w:t>
      </w:r>
      <w:r>
        <w:rPr>
          <w:b/>
          <w:color w:val="343133"/>
          <w:w w:val="110"/>
          <w:sz w:val="22"/>
        </w:rPr>
        <w:t>11 </w:t>
      </w:r>
      <w:r>
        <w:rPr>
          <w:b/>
          <w:color w:val="343133"/>
          <w:spacing w:val="53"/>
          <w:w w:val="110"/>
          <w:sz w:val="22"/>
        </w:rPr>
        <w:t> </w:t>
      </w:r>
      <w:r>
        <w:rPr>
          <w:rFonts w:ascii="Arial"/>
          <w:color w:val="343133"/>
          <w:w w:val="110"/>
          <w:sz w:val="20"/>
        </w:rPr>
        <w:t>Exploiting</w:t>
      </w:r>
      <w:r>
        <w:rPr>
          <w:rFonts w:ascii="Arial"/>
          <w:color w:val="343133"/>
          <w:spacing w:val="-9"/>
          <w:w w:val="110"/>
          <w:sz w:val="20"/>
        </w:rPr>
        <w:t> </w:t>
      </w:r>
      <w:r>
        <w:rPr>
          <w:rFonts w:ascii="Arial"/>
          <w:color w:val="343133"/>
          <w:w w:val="110"/>
          <w:sz w:val="20"/>
        </w:rPr>
        <w:t>Opportunities</w:t>
      </w:r>
      <w:r>
        <w:rPr>
          <w:rFonts w:ascii="Arial"/>
          <w:color w:val="343133"/>
          <w:spacing w:val="3"/>
          <w:w w:val="110"/>
          <w:sz w:val="20"/>
        </w:rPr>
        <w:t> </w:t>
      </w:r>
      <w:r>
        <w:rPr>
          <w:rFonts w:ascii="Arial"/>
          <w:color w:val="343133"/>
          <w:w w:val="110"/>
          <w:sz w:val="20"/>
        </w:rPr>
        <w:t>for</w:t>
      </w:r>
      <w:r>
        <w:rPr>
          <w:rFonts w:ascii="Arial"/>
          <w:color w:val="343133"/>
          <w:spacing w:val="-6"/>
          <w:w w:val="110"/>
          <w:sz w:val="20"/>
        </w:rPr>
        <w:t> </w:t>
      </w:r>
      <w:r>
        <w:rPr>
          <w:rFonts w:ascii="Arial"/>
          <w:color w:val="343133"/>
          <w:w w:val="110"/>
          <w:sz w:val="20"/>
        </w:rPr>
        <w:t>Persuasion</w:t>
        <w:tab/>
      </w:r>
      <w:r>
        <w:rPr>
          <w:b/>
          <w:color w:val="343133"/>
          <w:w w:val="110"/>
          <w:sz w:val="22"/>
        </w:rPr>
        <w:t>251</w:t>
      </w:r>
    </w:p>
    <w:p>
      <w:pPr>
        <w:tabs>
          <w:tab w:pos="7442" w:val="left" w:leader="none"/>
        </w:tabs>
        <w:spacing w:before="103"/>
        <w:ind w:left="120" w:right="0" w:firstLine="0"/>
        <w:jc w:val="left"/>
        <w:rPr>
          <w:b/>
          <w:sz w:val="22"/>
        </w:rPr>
      </w:pPr>
      <w:r>
        <w:rPr>
          <w:b/>
          <w:color w:val="343133"/>
          <w:w w:val="115"/>
          <w:sz w:val="22"/>
        </w:rPr>
        <w:t>Chapter</w:t>
      </w:r>
      <w:r>
        <w:rPr>
          <w:b/>
          <w:color w:val="343133"/>
          <w:spacing w:val="-13"/>
          <w:w w:val="115"/>
          <w:sz w:val="22"/>
        </w:rPr>
        <w:t> </w:t>
      </w:r>
      <w:r>
        <w:rPr>
          <w:b/>
          <w:color w:val="343133"/>
          <w:w w:val="115"/>
          <w:sz w:val="22"/>
        </w:rPr>
        <w:t>12 </w:t>
      </w:r>
      <w:r>
        <w:rPr>
          <w:b/>
          <w:color w:val="343133"/>
          <w:spacing w:val="40"/>
          <w:w w:val="115"/>
          <w:sz w:val="22"/>
        </w:rPr>
        <w:t> </w:t>
      </w:r>
      <w:r>
        <w:rPr>
          <w:rFonts w:ascii="Arial"/>
          <w:color w:val="343133"/>
          <w:w w:val="115"/>
          <w:sz w:val="20"/>
        </w:rPr>
        <w:t>Polishing</w:t>
        <w:tab/>
      </w:r>
      <w:r>
        <w:rPr>
          <w:b/>
          <w:color w:val="343133"/>
          <w:w w:val="115"/>
          <w:sz w:val="22"/>
        </w:rPr>
        <w:t>279</w:t>
      </w:r>
    </w:p>
    <w:p>
      <w:pPr>
        <w:tabs>
          <w:tab w:pos="7461" w:val="left" w:leader="none"/>
        </w:tabs>
        <w:spacing w:before="113"/>
        <w:ind w:left="120" w:right="0" w:firstLine="0"/>
        <w:jc w:val="left"/>
        <w:rPr>
          <w:b/>
          <w:sz w:val="22"/>
        </w:rPr>
      </w:pPr>
      <w:r>
        <w:rPr>
          <w:b/>
          <w:color w:val="343133"/>
          <w:w w:val="115"/>
          <w:sz w:val="22"/>
        </w:rPr>
        <w:t>Chapter</w:t>
      </w:r>
      <w:r>
        <w:rPr>
          <w:b/>
          <w:color w:val="343133"/>
          <w:spacing w:val="-8"/>
          <w:w w:val="115"/>
          <w:sz w:val="22"/>
        </w:rPr>
        <w:t> </w:t>
      </w:r>
      <w:r>
        <w:rPr>
          <w:b/>
          <w:color w:val="343133"/>
          <w:w w:val="115"/>
          <w:sz w:val="22"/>
        </w:rPr>
        <w:t>13 </w:t>
      </w:r>
      <w:r>
        <w:rPr>
          <w:b/>
          <w:color w:val="343133"/>
          <w:spacing w:val="61"/>
          <w:w w:val="115"/>
          <w:sz w:val="22"/>
        </w:rPr>
        <w:t> </w:t>
      </w:r>
      <w:r>
        <w:rPr>
          <w:rFonts w:ascii="Arial"/>
          <w:color w:val="343133"/>
          <w:w w:val="115"/>
          <w:sz w:val="20"/>
        </w:rPr>
        <w:t>Oral</w:t>
      </w:r>
      <w:r>
        <w:rPr>
          <w:rFonts w:ascii="Arial"/>
          <w:color w:val="343133"/>
          <w:spacing w:val="-27"/>
          <w:w w:val="115"/>
          <w:sz w:val="20"/>
        </w:rPr>
        <w:t> </w:t>
      </w:r>
      <w:r>
        <w:rPr>
          <w:rFonts w:ascii="Arial"/>
          <w:color w:val="343133"/>
          <w:w w:val="115"/>
          <w:sz w:val="20"/>
        </w:rPr>
        <w:t>Argument</w:t>
        <w:tab/>
      </w:r>
      <w:r>
        <w:rPr>
          <w:b/>
          <w:color w:val="343133"/>
          <w:w w:val="115"/>
          <w:sz w:val="22"/>
        </w:rPr>
        <w:t>287</w:t>
      </w:r>
    </w:p>
    <w:p>
      <w:pPr>
        <w:tabs>
          <w:tab w:pos="7482" w:val="left" w:leader="none"/>
        </w:tabs>
        <w:spacing w:before="94"/>
        <w:ind w:left="120" w:right="0" w:firstLine="0"/>
        <w:jc w:val="left"/>
        <w:rPr>
          <w:b/>
          <w:sz w:val="22"/>
        </w:rPr>
      </w:pPr>
      <w:r>
        <w:rPr>
          <w:b/>
          <w:color w:val="343133"/>
          <w:w w:val="115"/>
          <w:sz w:val="22"/>
        </w:rPr>
        <w:t>Chapter</w:t>
      </w:r>
      <w:r>
        <w:rPr>
          <w:b/>
          <w:color w:val="343133"/>
          <w:spacing w:val="-9"/>
          <w:w w:val="115"/>
          <w:sz w:val="22"/>
        </w:rPr>
        <w:t> </w:t>
      </w:r>
      <w:r>
        <w:rPr>
          <w:b/>
          <w:color w:val="343133"/>
          <w:w w:val="115"/>
          <w:sz w:val="22"/>
        </w:rPr>
        <w:t>14 </w:t>
      </w:r>
      <w:r>
        <w:rPr>
          <w:b/>
          <w:color w:val="343133"/>
          <w:spacing w:val="61"/>
          <w:w w:val="115"/>
          <w:sz w:val="22"/>
        </w:rPr>
        <w:t> </w:t>
      </w:r>
      <w:r>
        <w:rPr>
          <w:rFonts w:ascii="Arial"/>
          <w:color w:val="343133"/>
          <w:w w:val="115"/>
          <w:sz w:val="20"/>
        </w:rPr>
        <w:t>Moot</w:t>
      </w:r>
      <w:r>
        <w:rPr>
          <w:rFonts w:ascii="Arial"/>
          <w:color w:val="343133"/>
          <w:spacing w:val="-21"/>
          <w:w w:val="115"/>
          <w:sz w:val="20"/>
        </w:rPr>
        <w:t> </w:t>
      </w:r>
      <w:r>
        <w:rPr>
          <w:rFonts w:ascii="Arial"/>
          <w:color w:val="343133"/>
          <w:w w:val="115"/>
          <w:sz w:val="20"/>
        </w:rPr>
        <w:t>Court</w:t>
      </w:r>
      <w:r>
        <w:rPr>
          <w:rFonts w:ascii="Arial"/>
          <w:color w:val="343133"/>
          <w:spacing w:val="-12"/>
          <w:w w:val="115"/>
          <w:sz w:val="20"/>
        </w:rPr>
        <w:t> </w:t>
      </w:r>
      <w:r>
        <w:rPr>
          <w:rFonts w:ascii="Arial"/>
          <w:color w:val="343133"/>
          <w:w w:val="115"/>
          <w:sz w:val="20"/>
        </w:rPr>
        <w:t>Competitions</w:t>
        <w:tab/>
      </w:r>
      <w:r>
        <w:rPr>
          <w:b/>
          <w:color w:val="343133"/>
          <w:w w:val="115"/>
          <w:sz w:val="22"/>
        </w:rPr>
        <w:t>311</w:t>
      </w:r>
    </w:p>
    <w:p>
      <w:pPr>
        <w:spacing w:before="728"/>
        <w:ind w:left="0" w:right="116" w:firstLine="0"/>
        <w:jc w:val="right"/>
        <w:rPr>
          <w:rFonts w:ascii="Arial"/>
          <w:b/>
          <w:sz w:val="21"/>
        </w:rPr>
      </w:pPr>
      <w:r>
        <w:rPr>
          <w:rFonts w:ascii="Arial"/>
          <w:b/>
          <w:color w:val="343133"/>
          <w:w w:val="110"/>
          <w:sz w:val="21"/>
        </w:rPr>
        <w:t>Ix</w:t>
      </w:r>
    </w:p>
    <w:p>
      <w:pPr>
        <w:spacing w:after="0"/>
        <w:jc w:val="right"/>
        <w:rPr>
          <w:rFonts w:ascii="Arial"/>
          <w:sz w:val="21"/>
        </w:rPr>
        <w:sectPr>
          <w:type w:val="continuous"/>
          <w:pgSz w:w="9570" w:h="13800"/>
          <w:pgMar w:header="0" w:footer="0" w:top="340" w:bottom="280" w:left="420" w:right="1120"/>
        </w:sectPr>
      </w:pPr>
    </w:p>
    <w:p>
      <w:pPr>
        <w:tabs>
          <w:tab w:pos="850" w:val="left" w:leader="none"/>
        </w:tabs>
        <w:spacing w:before="365"/>
        <w:ind w:left="101" w:right="0" w:firstLine="0"/>
        <w:jc w:val="left"/>
        <w:rPr>
          <w:rFonts w:ascii="Arial"/>
          <w:sz w:val="17"/>
        </w:rPr>
      </w:pPr>
      <w:r>
        <w:rPr>
          <w:b/>
          <w:color w:val="312F2F"/>
          <w:w w:val="105"/>
          <w:sz w:val="21"/>
        </w:rPr>
        <w:t>x</w:t>
        <w:tab/>
      </w:r>
      <w:r>
        <w:rPr>
          <w:rFonts w:ascii="Arial"/>
          <w:color w:val="312F2F"/>
          <w:spacing w:val="-1"/>
          <w:w w:val="105"/>
          <w:sz w:val="17"/>
        </w:rPr>
        <w:t>Summary</w:t>
      </w:r>
      <w:r>
        <w:rPr>
          <w:rFonts w:ascii="Arial"/>
          <w:color w:val="312F2F"/>
          <w:spacing w:val="-16"/>
          <w:w w:val="105"/>
          <w:sz w:val="17"/>
        </w:rPr>
        <w:t> </w:t>
      </w:r>
      <w:r>
        <w:rPr>
          <w:rFonts w:ascii="Arial"/>
          <w:color w:val="312F2F"/>
          <w:spacing w:val="-1"/>
          <w:w w:val="105"/>
          <w:sz w:val="17"/>
        </w:rPr>
        <w:t>of</w:t>
      </w:r>
      <w:r>
        <w:rPr>
          <w:rFonts w:ascii="Arial"/>
          <w:color w:val="312F2F"/>
          <w:spacing w:val="-8"/>
          <w:w w:val="105"/>
          <w:sz w:val="17"/>
        </w:rPr>
        <w:t> </w:t>
      </w:r>
      <w:r>
        <w:rPr>
          <w:rFonts w:ascii="Arial"/>
          <w:color w:val="312F2F"/>
          <w:w w:val="105"/>
          <w:sz w:val="17"/>
        </w:rPr>
        <w:t>Contents</w:t>
      </w:r>
    </w:p>
    <w:p>
      <w:pPr>
        <w:tabs>
          <w:tab w:pos="7954" w:val="left" w:leader="none"/>
        </w:tabs>
        <w:spacing w:line="338" w:lineRule="auto" w:before="462"/>
        <w:ind w:left="808" w:right="115" w:firstLine="19"/>
        <w:jc w:val="left"/>
        <w:rPr>
          <w:b/>
          <w:sz w:val="22"/>
        </w:rPr>
      </w:pPr>
      <w:r>
        <w:rPr>
          <w:b/>
          <w:color w:val="312F2F"/>
          <w:w w:val="105"/>
          <w:sz w:val="22"/>
        </w:rPr>
        <w:t>Appendix</w:t>
      </w:r>
      <w:r>
        <w:rPr>
          <w:b/>
          <w:color w:val="312F2F"/>
          <w:spacing w:val="19"/>
          <w:w w:val="105"/>
          <w:sz w:val="22"/>
        </w:rPr>
        <w:t> </w:t>
      </w:r>
      <w:r>
        <w:rPr>
          <w:b/>
          <w:color w:val="312F2F"/>
          <w:w w:val="105"/>
          <w:sz w:val="22"/>
        </w:rPr>
        <w:t>A</w:t>
      </w:r>
      <w:r>
        <w:rPr>
          <w:b/>
          <w:color w:val="312F2F"/>
          <w:spacing w:val="16"/>
          <w:w w:val="105"/>
          <w:sz w:val="22"/>
        </w:rPr>
        <w:t> </w:t>
      </w:r>
      <w:r>
        <w:rPr>
          <w:rFonts w:ascii="Arial"/>
          <w:color w:val="312F2F"/>
          <w:w w:val="105"/>
          <w:sz w:val="20"/>
        </w:rPr>
        <w:t>For</w:t>
      </w:r>
      <w:r>
        <w:rPr>
          <w:rFonts w:ascii="Arial"/>
          <w:color w:val="312F2F"/>
          <w:spacing w:val="-6"/>
          <w:w w:val="105"/>
          <w:sz w:val="20"/>
        </w:rPr>
        <w:t> </w:t>
      </w:r>
      <w:r>
        <w:rPr>
          <w:rFonts w:ascii="Arial"/>
          <w:color w:val="312F2F"/>
          <w:w w:val="105"/>
          <w:sz w:val="20"/>
        </w:rPr>
        <w:t>Reference</w:t>
      </w:r>
      <w:r>
        <w:rPr>
          <w:rFonts w:ascii="Arial"/>
          <w:color w:val="4D4B4D"/>
          <w:w w:val="105"/>
          <w:sz w:val="20"/>
        </w:rPr>
        <w:t>:</w:t>
      </w:r>
      <w:r>
        <w:rPr>
          <w:rFonts w:ascii="Arial"/>
          <w:color w:val="4D4B4D"/>
          <w:spacing w:val="7"/>
          <w:w w:val="105"/>
          <w:sz w:val="20"/>
        </w:rPr>
        <w:t> </w:t>
      </w:r>
      <w:r>
        <w:rPr>
          <w:rFonts w:ascii="Arial"/>
          <w:color w:val="312F2F"/>
          <w:w w:val="105"/>
          <w:sz w:val="20"/>
        </w:rPr>
        <w:t>Citation</w:t>
      </w:r>
      <w:r>
        <w:rPr>
          <w:rFonts w:ascii="Arial"/>
          <w:color w:val="312F2F"/>
          <w:spacing w:val="-1"/>
          <w:w w:val="105"/>
          <w:sz w:val="20"/>
        </w:rPr>
        <w:t> </w:t>
      </w:r>
      <w:r>
        <w:rPr>
          <w:rFonts w:ascii="Arial"/>
          <w:color w:val="312F2F"/>
          <w:w w:val="105"/>
          <w:sz w:val="20"/>
        </w:rPr>
        <w:t>Form</w:t>
      </w:r>
      <w:r>
        <w:rPr>
          <w:rFonts w:ascii="Arial"/>
          <w:color w:val="312F2F"/>
          <w:spacing w:val="-3"/>
          <w:w w:val="105"/>
          <w:sz w:val="20"/>
        </w:rPr>
        <w:t> </w:t>
      </w:r>
      <w:r>
        <w:rPr>
          <w:rFonts w:ascii="Arial"/>
          <w:color w:val="312F2F"/>
          <w:w w:val="105"/>
          <w:sz w:val="20"/>
        </w:rPr>
        <w:t>and</w:t>
      </w:r>
      <w:r>
        <w:rPr>
          <w:rFonts w:ascii="Arial"/>
          <w:color w:val="312F2F"/>
          <w:spacing w:val="20"/>
          <w:w w:val="105"/>
          <w:sz w:val="20"/>
        </w:rPr>
        <w:t> </w:t>
      </w:r>
      <w:r>
        <w:rPr>
          <w:rFonts w:ascii="Arial"/>
          <w:color w:val="312F2F"/>
          <w:w w:val="105"/>
          <w:sz w:val="20"/>
        </w:rPr>
        <w:t>Punctuation</w:t>
      </w:r>
      <w:r>
        <w:rPr>
          <w:rFonts w:ascii="Arial"/>
          <w:color w:val="312F2F"/>
          <w:spacing w:val="6"/>
          <w:w w:val="105"/>
          <w:sz w:val="20"/>
        </w:rPr>
        <w:t> </w:t>
      </w:r>
      <w:r>
        <w:rPr>
          <w:rFonts w:ascii="Arial"/>
          <w:color w:val="312F2F"/>
          <w:w w:val="105"/>
          <w:sz w:val="20"/>
        </w:rPr>
        <w:t>Information</w:t>
        <w:tab/>
      </w:r>
      <w:r>
        <w:rPr>
          <w:b/>
          <w:color w:val="312F2F"/>
          <w:w w:val="110"/>
          <w:sz w:val="22"/>
        </w:rPr>
        <w:t>329</w:t>
      </w:r>
      <w:r>
        <w:rPr>
          <w:b/>
          <w:color w:val="312F2F"/>
          <w:spacing w:val="-57"/>
          <w:w w:val="110"/>
          <w:sz w:val="22"/>
        </w:rPr>
        <w:t> </w:t>
      </w:r>
      <w:r>
        <w:rPr>
          <w:b/>
          <w:color w:val="312F2F"/>
          <w:w w:val="105"/>
          <w:sz w:val="22"/>
        </w:rPr>
        <w:t>Appendix</w:t>
      </w:r>
      <w:r>
        <w:rPr>
          <w:b/>
          <w:color w:val="312F2F"/>
          <w:spacing w:val="29"/>
          <w:w w:val="105"/>
          <w:sz w:val="22"/>
        </w:rPr>
        <w:t> </w:t>
      </w:r>
      <w:r>
        <w:rPr>
          <w:b/>
          <w:color w:val="312F2F"/>
          <w:w w:val="105"/>
          <w:sz w:val="22"/>
        </w:rPr>
        <w:t>B</w:t>
      </w:r>
      <w:r>
        <w:rPr>
          <w:b/>
          <w:color w:val="312F2F"/>
          <w:spacing w:val="36"/>
          <w:w w:val="105"/>
          <w:sz w:val="22"/>
        </w:rPr>
        <w:t> </w:t>
      </w:r>
      <w:r>
        <w:rPr>
          <w:rFonts w:ascii="Arial"/>
          <w:color w:val="312F2F"/>
          <w:w w:val="105"/>
          <w:sz w:val="20"/>
        </w:rPr>
        <w:t>For</w:t>
      </w:r>
      <w:r>
        <w:rPr>
          <w:rFonts w:ascii="Arial"/>
          <w:color w:val="312F2F"/>
          <w:spacing w:val="-7"/>
          <w:w w:val="105"/>
          <w:sz w:val="20"/>
        </w:rPr>
        <w:t> </w:t>
      </w:r>
      <w:r>
        <w:rPr>
          <w:rFonts w:ascii="Arial"/>
          <w:color w:val="312F2F"/>
          <w:w w:val="105"/>
          <w:sz w:val="20"/>
        </w:rPr>
        <w:t>Reference:</w:t>
      </w:r>
      <w:r>
        <w:rPr>
          <w:rFonts w:ascii="Arial"/>
          <w:color w:val="312F2F"/>
          <w:spacing w:val="13"/>
          <w:w w:val="105"/>
          <w:sz w:val="20"/>
        </w:rPr>
        <w:t> </w:t>
      </w:r>
      <w:r>
        <w:rPr>
          <w:rFonts w:ascii="Arial"/>
          <w:color w:val="312F2F"/>
          <w:w w:val="105"/>
          <w:sz w:val="20"/>
        </w:rPr>
        <w:t>Court</w:t>
      </w:r>
      <w:r>
        <w:rPr>
          <w:rFonts w:ascii="Arial"/>
          <w:color w:val="312F2F"/>
          <w:spacing w:val="-19"/>
          <w:w w:val="105"/>
          <w:sz w:val="20"/>
        </w:rPr>
        <w:t> </w:t>
      </w:r>
      <w:r>
        <w:rPr>
          <w:rFonts w:ascii="Arial"/>
          <w:color w:val="312F2F"/>
          <w:w w:val="105"/>
          <w:sz w:val="20"/>
        </w:rPr>
        <w:t>Webs</w:t>
      </w:r>
      <w:r>
        <w:rPr>
          <w:rFonts w:ascii="Arial"/>
          <w:color w:val="4D4B4D"/>
          <w:w w:val="105"/>
          <w:sz w:val="20"/>
        </w:rPr>
        <w:t>i</w:t>
      </w:r>
      <w:r>
        <w:rPr>
          <w:rFonts w:ascii="Arial"/>
          <w:color w:val="312F2F"/>
          <w:w w:val="105"/>
          <w:sz w:val="20"/>
        </w:rPr>
        <w:t>te Information</w:t>
        <w:tab/>
      </w:r>
      <w:r>
        <w:rPr>
          <w:b/>
          <w:color w:val="312F2F"/>
          <w:w w:val="110"/>
          <w:sz w:val="22"/>
        </w:rPr>
        <w:t>343</w:t>
      </w:r>
    </w:p>
    <w:p>
      <w:pPr>
        <w:tabs>
          <w:tab w:pos="7954" w:val="left" w:leader="none"/>
        </w:tabs>
        <w:spacing w:line="243" w:lineRule="exact" w:before="0"/>
        <w:ind w:left="798" w:right="0" w:firstLine="0"/>
        <w:jc w:val="left"/>
        <w:rPr>
          <w:b/>
          <w:sz w:val="22"/>
        </w:rPr>
      </w:pPr>
      <w:r>
        <w:rPr>
          <w:b/>
          <w:color w:val="312F2F"/>
          <w:w w:val="105"/>
          <w:sz w:val="22"/>
        </w:rPr>
        <w:t>Appendix</w:t>
      </w:r>
      <w:r>
        <w:rPr>
          <w:b/>
          <w:color w:val="312F2F"/>
          <w:spacing w:val="22"/>
          <w:w w:val="105"/>
          <w:sz w:val="22"/>
        </w:rPr>
        <w:t> </w:t>
      </w:r>
      <w:r>
        <w:rPr>
          <w:b/>
          <w:color w:val="312F2F"/>
          <w:w w:val="105"/>
          <w:sz w:val="22"/>
        </w:rPr>
        <w:t>C</w:t>
      </w:r>
      <w:r>
        <w:rPr>
          <w:b/>
          <w:color w:val="312F2F"/>
          <w:spacing w:val="32"/>
          <w:w w:val="105"/>
          <w:sz w:val="22"/>
        </w:rPr>
        <w:t> </w:t>
      </w:r>
      <w:r>
        <w:rPr>
          <w:rFonts w:ascii="Arial"/>
          <w:color w:val="312F2F"/>
          <w:w w:val="105"/>
          <w:sz w:val="20"/>
        </w:rPr>
        <w:t>Sample</w:t>
      </w:r>
      <w:r>
        <w:rPr>
          <w:rFonts w:ascii="Arial"/>
          <w:color w:val="312F2F"/>
          <w:spacing w:val="1"/>
          <w:w w:val="105"/>
          <w:sz w:val="20"/>
        </w:rPr>
        <w:t> </w:t>
      </w:r>
      <w:r>
        <w:rPr>
          <w:rFonts w:ascii="Arial"/>
          <w:color w:val="312F2F"/>
          <w:w w:val="105"/>
          <w:sz w:val="20"/>
        </w:rPr>
        <w:t>Briefs</w:t>
        <w:tab/>
      </w:r>
      <w:r>
        <w:rPr>
          <w:b/>
          <w:color w:val="312F2F"/>
          <w:w w:val="110"/>
          <w:sz w:val="22"/>
        </w:rPr>
        <w:t>345</w:t>
      </w:r>
    </w:p>
    <w:p>
      <w:pPr>
        <w:tabs>
          <w:tab w:pos="7968" w:val="left" w:leader="none"/>
        </w:tabs>
        <w:spacing w:before="246"/>
        <w:ind w:left="788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color w:val="312F2F"/>
          <w:sz w:val="20"/>
        </w:rPr>
        <w:t>Index</w:t>
        <w:tab/>
        <w:t>427</w:t>
      </w:r>
    </w:p>
    <w:p>
      <w:pPr>
        <w:spacing w:after="0"/>
        <w:jc w:val="left"/>
        <w:rPr>
          <w:rFonts w:ascii="Arial"/>
          <w:sz w:val="20"/>
        </w:rPr>
        <w:sectPr>
          <w:pgSz w:w="9830" w:h="13840"/>
          <w:pgMar w:header="0" w:footer="0" w:top="0" w:bottom="0" w:left="1100" w:right="280"/>
        </w:sectPr>
      </w:pPr>
    </w:p>
    <w:p>
      <w:pPr>
        <w:spacing w:before="957"/>
        <w:ind w:left="708" w:right="0" w:firstLine="0"/>
        <w:jc w:val="left"/>
        <w:rPr>
          <w:b/>
          <w:sz w:val="50"/>
        </w:rPr>
      </w:pPr>
      <w:r>
        <w:rPr>
          <w:b/>
          <w:color w:val="757779"/>
          <w:w w:val="115"/>
          <w:sz w:val="50"/>
        </w:rPr>
        <w:t>Contents</w:t>
      </w:r>
      <w:r>
        <w:rPr>
          <w:b/>
          <w:color w:val="BABCBF"/>
          <w:w w:val="115"/>
          <w:sz w:val="50"/>
        </w:rPr>
        <w:t>·</w:t>
      </w:r>
    </w:p>
    <w:p>
      <w:pPr>
        <w:spacing w:after="0"/>
        <w:jc w:val="left"/>
        <w:rPr>
          <w:sz w:val="50"/>
        </w:rPr>
        <w:sectPr>
          <w:pgSz w:w="9650" w:h="13800"/>
          <w:pgMar w:header="0" w:footer="0" w:top="1300" w:bottom="280" w:left="380" w:right="1220"/>
        </w:sect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spacing w:line="374" w:lineRule="auto" w:before="1"/>
        <w:ind w:left="115" w:right="0" w:hanging="5"/>
        <w:jc w:val="left"/>
        <w:rPr>
          <w:rFonts w:ascii="Arial"/>
          <w:i/>
          <w:sz w:val="20"/>
        </w:rPr>
      </w:pPr>
      <w:r>
        <w:rPr>
          <w:rFonts w:ascii="Arial"/>
          <w:i/>
          <w:color w:val="333131"/>
          <w:sz w:val="20"/>
        </w:rPr>
        <w:t>Using the </w:t>
      </w:r>
      <w:r>
        <w:rPr>
          <w:rFonts w:ascii="Arial"/>
          <w:i/>
          <w:color w:val="444244"/>
          <w:sz w:val="20"/>
        </w:rPr>
        <w:t>Examples </w:t>
      </w:r>
      <w:r>
        <w:rPr>
          <w:rFonts w:ascii="Arial"/>
          <w:i/>
          <w:color w:val="333131"/>
          <w:sz w:val="20"/>
        </w:rPr>
        <w:t>in This Book</w:t>
      </w:r>
      <w:r>
        <w:rPr>
          <w:rFonts w:ascii="Arial"/>
          <w:i/>
          <w:color w:val="333131"/>
          <w:spacing w:val="1"/>
          <w:sz w:val="20"/>
        </w:rPr>
        <w:t> </w:t>
      </w:r>
      <w:r>
        <w:rPr>
          <w:rFonts w:ascii="Arial"/>
          <w:i/>
          <w:color w:val="333131"/>
          <w:spacing w:val="-1"/>
          <w:w w:val="105"/>
          <w:sz w:val="20"/>
        </w:rPr>
        <w:t>Acknowledgments to the </w:t>
      </w:r>
      <w:r>
        <w:rPr>
          <w:rFonts w:ascii="Arial"/>
          <w:i/>
          <w:color w:val="333131"/>
          <w:w w:val="105"/>
          <w:sz w:val="20"/>
        </w:rPr>
        <w:t>First Edition</w:t>
      </w:r>
      <w:r>
        <w:rPr>
          <w:rFonts w:ascii="Arial"/>
          <w:i/>
          <w:color w:val="333131"/>
          <w:spacing w:val="1"/>
          <w:w w:val="105"/>
          <w:sz w:val="20"/>
        </w:rPr>
        <w:t> </w:t>
      </w:r>
      <w:r>
        <w:rPr>
          <w:rFonts w:ascii="Arial"/>
          <w:i/>
          <w:color w:val="333131"/>
          <w:sz w:val="20"/>
        </w:rPr>
        <w:t>Acknowledgments to</w:t>
      </w:r>
      <w:r>
        <w:rPr>
          <w:rFonts w:ascii="Arial"/>
          <w:i/>
          <w:color w:val="333131"/>
          <w:spacing w:val="19"/>
          <w:sz w:val="20"/>
        </w:rPr>
        <w:t> </w:t>
      </w:r>
      <w:r>
        <w:rPr>
          <w:rFonts w:ascii="Arial"/>
          <w:i/>
          <w:color w:val="333131"/>
          <w:sz w:val="20"/>
        </w:rPr>
        <w:t>the</w:t>
      </w:r>
      <w:r>
        <w:rPr>
          <w:rFonts w:ascii="Arial"/>
          <w:i/>
          <w:color w:val="333131"/>
          <w:spacing w:val="-16"/>
          <w:sz w:val="20"/>
        </w:rPr>
        <w:t> </w:t>
      </w:r>
      <w:r>
        <w:rPr>
          <w:rFonts w:ascii="Arial"/>
          <w:i/>
          <w:color w:val="333131"/>
          <w:sz w:val="20"/>
        </w:rPr>
        <w:t>Second</w:t>
      </w:r>
      <w:r>
        <w:rPr>
          <w:rFonts w:ascii="Arial"/>
          <w:i/>
          <w:color w:val="333131"/>
          <w:spacing w:val="4"/>
          <w:sz w:val="20"/>
        </w:rPr>
        <w:t> </w:t>
      </w:r>
      <w:r>
        <w:rPr>
          <w:rFonts w:ascii="Arial"/>
          <w:i/>
          <w:color w:val="333131"/>
          <w:sz w:val="20"/>
        </w:rPr>
        <w:t>Edition</w:t>
      </w:r>
      <w:r>
        <w:rPr>
          <w:rFonts w:ascii="Arial"/>
          <w:i/>
          <w:color w:val="333131"/>
          <w:spacing w:val="-52"/>
          <w:sz w:val="20"/>
        </w:rPr>
        <w:t> </w:t>
      </w:r>
      <w:r>
        <w:rPr>
          <w:rFonts w:ascii="Arial"/>
          <w:i/>
          <w:color w:val="333131"/>
          <w:w w:val="105"/>
          <w:sz w:val="20"/>
        </w:rPr>
        <w:t>Acknowledgments to the Third Edition</w:t>
      </w:r>
      <w:r>
        <w:rPr>
          <w:rFonts w:ascii="Arial"/>
          <w:i/>
          <w:color w:val="333131"/>
          <w:spacing w:val="1"/>
          <w:w w:val="105"/>
          <w:sz w:val="20"/>
        </w:rPr>
        <w:t> </w:t>
      </w:r>
      <w:r>
        <w:rPr>
          <w:rFonts w:ascii="Arial"/>
          <w:i/>
          <w:color w:val="333131"/>
          <w:sz w:val="20"/>
        </w:rPr>
        <w:t>Acknowledgments</w:t>
      </w:r>
      <w:r>
        <w:rPr>
          <w:rFonts w:ascii="Arial"/>
          <w:i/>
          <w:color w:val="333131"/>
          <w:spacing w:val="6"/>
          <w:sz w:val="20"/>
        </w:rPr>
        <w:t> </w:t>
      </w:r>
      <w:r>
        <w:rPr>
          <w:rFonts w:ascii="Arial"/>
          <w:i/>
          <w:color w:val="333131"/>
          <w:sz w:val="20"/>
        </w:rPr>
        <w:t>to</w:t>
      </w:r>
      <w:r>
        <w:rPr>
          <w:rFonts w:ascii="Arial"/>
          <w:i/>
          <w:color w:val="333131"/>
          <w:spacing w:val="20"/>
          <w:sz w:val="20"/>
        </w:rPr>
        <w:t> </w:t>
      </w:r>
      <w:r>
        <w:rPr>
          <w:rFonts w:ascii="Arial"/>
          <w:i/>
          <w:color w:val="333131"/>
          <w:sz w:val="20"/>
        </w:rPr>
        <w:t>Fourth</w:t>
      </w:r>
      <w:r>
        <w:rPr>
          <w:rFonts w:ascii="Arial"/>
          <w:i/>
          <w:color w:val="333131"/>
          <w:spacing w:val="-14"/>
          <w:sz w:val="20"/>
        </w:rPr>
        <w:t> </w:t>
      </w:r>
      <w:r>
        <w:rPr>
          <w:rFonts w:ascii="Arial"/>
          <w:i/>
          <w:color w:val="333131"/>
          <w:sz w:val="20"/>
        </w:rPr>
        <w:t>Edition</w:t>
      </w:r>
    </w:p>
    <w:p>
      <w:pPr>
        <w:pStyle w:val="BodyText"/>
        <w:spacing w:before="6"/>
        <w:rPr>
          <w:rFonts w:ascii="Arial"/>
          <w:i/>
          <w:sz w:val="26"/>
        </w:rPr>
      </w:pPr>
    </w:p>
    <w:p>
      <w:pPr>
        <w:spacing w:before="0"/>
        <w:ind w:left="122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333131"/>
          <w:sz w:val="19"/>
        </w:rPr>
        <w:t>CHAPTER</w:t>
      </w:r>
      <w:r>
        <w:rPr>
          <w:rFonts w:ascii="Arial"/>
          <w:b/>
          <w:color w:val="333131"/>
          <w:spacing w:val="-14"/>
          <w:sz w:val="19"/>
        </w:rPr>
        <w:t> </w:t>
      </w:r>
      <w:r>
        <w:rPr>
          <w:rFonts w:ascii="Arial"/>
          <w:b/>
          <w:color w:val="333131"/>
          <w:sz w:val="19"/>
        </w:rPr>
        <w:t>ONE</w:t>
      </w:r>
    </w:p>
    <w:p>
      <w:pPr>
        <w:spacing w:before="53"/>
        <w:ind w:left="137" w:right="0" w:firstLine="0"/>
        <w:jc w:val="left"/>
        <w:rPr>
          <w:rFonts w:ascii="Arial"/>
          <w:sz w:val="24"/>
        </w:rPr>
      </w:pPr>
      <w:r>
        <w:rPr>
          <w:rFonts w:ascii="Arial"/>
          <w:color w:val="8A8C90"/>
          <w:w w:val="110"/>
          <w:sz w:val="24"/>
        </w:rPr>
        <w:t>INTRODUCTION</w:t>
      </w:r>
    </w:p>
    <w:p>
      <w:pPr>
        <w:pStyle w:val="ListParagraph"/>
        <w:numPr>
          <w:ilvl w:val="1"/>
          <w:numId w:val="1"/>
        </w:numPr>
        <w:tabs>
          <w:tab w:pos="819" w:val="left" w:leader="none"/>
          <w:tab w:pos="820" w:val="left" w:leader="none"/>
        </w:tabs>
        <w:spacing w:line="240" w:lineRule="auto" w:before="110" w:after="0"/>
        <w:ind w:left="819" w:right="0" w:hanging="695"/>
        <w:jc w:val="left"/>
        <w:rPr>
          <w:b/>
          <w:color w:val="333131"/>
          <w:sz w:val="23"/>
        </w:rPr>
      </w:pPr>
      <w:r>
        <w:rPr>
          <w:rFonts w:ascii="Arial"/>
          <w:color w:val="333131"/>
          <w:sz w:val="21"/>
        </w:rPr>
        <w:t>Before</w:t>
      </w:r>
      <w:r>
        <w:rPr>
          <w:rFonts w:ascii="Arial"/>
          <w:color w:val="333131"/>
          <w:spacing w:val="5"/>
          <w:sz w:val="21"/>
        </w:rPr>
        <w:t> </w:t>
      </w:r>
      <w:r>
        <w:rPr>
          <w:rFonts w:ascii="Arial"/>
          <w:color w:val="333131"/>
          <w:sz w:val="21"/>
        </w:rPr>
        <w:t>We</w:t>
      </w:r>
      <w:r>
        <w:rPr>
          <w:rFonts w:ascii="Arial"/>
          <w:color w:val="333131"/>
          <w:spacing w:val="6"/>
          <w:sz w:val="21"/>
        </w:rPr>
        <w:t> </w:t>
      </w:r>
      <w:r>
        <w:rPr>
          <w:rFonts w:ascii="Arial"/>
          <w:color w:val="333131"/>
          <w:sz w:val="21"/>
        </w:rPr>
        <w:t>Begin</w:t>
      </w:r>
    </w:p>
    <w:p>
      <w:pPr>
        <w:pStyle w:val="ListParagraph"/>
        <w:numPr>
          <w:ilvl w:val="1"/>
          <w:numId w:val="1"/>
        </w:numPr>
        <w:tabs>
          <w:tab w:pos="819" w:val="left" w:leader="none"/>
          <w:tab w:pos="820" w:val="left" w:leader="none"/>
        </w:tabs>
        <w:spacing w:line="240" w:lineRule="auto" w:before="13" w:after="0"/>
        <w:ind w:left="819" w:right="0" w:hanging="687"/>
        <w:jc w:val="left"/>
        <w:rPr>
          <w:rFonts w:ascii="Arial"/>
          <w:b/>
          <w:color w:val="333131"/>
          <w:sz w:val="21"/>
        </w:rPr>
      </w:pPr>
      <w:r>
        <w:rPr>
          <w:rFonts w:ascii="Arial"/>
          <w:color w:val="333131"/>
          <w:w w:val="105"/>
          <w:sz w:val="21"/>
        </w:rPr>
        <w:t>Know</w:t>
      </w:r>
      <w:r>
        <w:rPr>
          <w:rFonts w:ascii="Arial"/>
          <w:color w:val="333131"/>
          <w:spacing w:val="-14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Your</w:t>
      </w:r>
      <w:r>
        <w:rPr>
          <w:rFonts w:ascii="Arial"/>
          <w:color w:val="333131"/>
          <w:spacing w:val="-12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Audience</w:t>
      </w:r>
    </w:p>
    <w:p>
      <w:pPr>
        <w:pStyle w:val="ListParagraph"/>
        <w:numPr>
          <w:ilvl w:val="1"/>
          <w:numId w:val="1"/>
        </w:numPr>
        <w:tabs>
          <w:tab w:pos="817" w:val="left" w:leader="none"/>
          <w:tab w:pos="818" w:val="left" w:leader="none"/>
        </w:tabs>
        <w:spacing w:line="240" w:lineRule="auto" w:before="1" w:after="0"/>
        <w:ind w:left="817" w:right="0" w:hanging="683"/>
        <w:jc w:val="left"/>
        <w:rPr>
          <w:b/>
          <w:color w:val="333131"/>
          <w:sz w:val="23"/>
        </w:rPr>
      </w:pPr>
      <w:r>
        <w:rPr>
          <w:rFonts w:ascii="Arial"/>
          <w:color w:val="333131"/>
          <w:spacing w:val="-1"/>
          <w:w w:val="105"/>
          <w:sz w:val="21"/>
        </w:rPr>
        <w:t>Follow</w:t>
      </w:r>
      <w:r>
        <w:rPr>
          <w:rFonts w:ascii="Arial"/>
          <w:color w:val="333131"/>
          <w:spacing w:val="1"/>
          <w:w w:val="105"/>
          <w:sz w:val="21"/>
        </w:rPr>
        <w:t> </w:t>
      </w:r>
      <w:r>
        <w:rPr>
          <w:rFonts w:ascii="Arial"/>
          <w:color w:val="333131"/>
          <w:spacing w:val="-1"/>
          <w:w w:val="105"/>
          <w:sz w:val="21"/>
        </w:rPr>
        <w:t>an</w:t>
      </w:r>
      <w:r>
        <w:rPr>
          <w:rFonts w:ascii="Arial"/>
          <w:color w:val="333131"/>
          <w:spacing w:val="-12"/>
          <w:w w:val="105"/>
          <w:sz w:val="21"/>
        </w:rPr>
        <w:t> </w:t>
      </w:r>
      <w:r>
        <w:rPr>
          <w:rFonts w:ascii="Arial"/>
          <w:color w:val="333131"/>
          <w:spacing w:val="-1"/>
          <w:w w:val="105"/>
          <w:sz w:val="21"/>
        </w:rPr>
        <w:t>Effective</w:t>
      </w:r>
      <w:r>
        <w:rPr>
          <w:rFonts w:ascii="Arial"/>
          <w:color w:val="333131"/>
          <w:spacing w:val="-11"/>
          <w:w w:val="105"/>
          <w:sz w:val="21"/>
        </w:rPr>
        <w:t> </w:t>
      </w:r>
      <w:r>
        <w:rPr>
          <w:rFonts w:ascii="Arial"/>
          <w:color w:val="333131"/>
          <w:spacing w:val="-1"/>
          <w:w w:val="105"/>
          <w:sz w:val="21"/>
        </w:rPr>
        <w:t>Writing</w:t>
      </w:r>
      <w:r>
        <w:rPr>
          <w:rFonts w:ascii="Arial"/>
          <w:color w:val="333131"/>
          <w:spacing w:val="-15"/>
          <w:w w:val="105"/>
          <w:sz w:val="21"/>
        </w:rPr>
        <w:t> </w:t>
      </w:r>
      <w:r>
        <w:rPr>
          <w:rFonts w:ascii="Arial"/>
          <w:color w:val="333131"/>
          <w:spacing w:val="-1"/>
          <w:w w:val="105"/>
          <w:sz w:val="21"/>
        </w:rPr>
        <w:t>Process</w:t>
      </w:r>
    </w:p>
    <w:p>
      <w:pPr>
        <w:pStyle w:val="ListParagraph"/>
        <w:numPr>
          <w:ilvl w:val="1"/>
          <w:numId w:val="1"/>
        </w:numPr>
        <w:tabs>
          <w:tab w:pos="817" w:val="left" w:leader="none"/>
          <w:tab w:pos="818" w:val="left" w:leader="none"/>
        </w:tabs>
        <w:spacing w:line="240" w:lineRule="auto" w:before="13" w:after="0"/>
        <w:ind w:left="817" w:right="0" w:hanging="685"/>
        <w:jc w:val="left"/>
        <w:rPr>
          <w:rFonts w:ascii="Arial"/>
          <w:b/>
          <w:color w:val="333131"/>
          <w:sz w:val="21"/>
        </w:rPr>
      </w:pPr>
      <w:r>
        <w:rPr>
          <w:rFonts w:ascii="Arial"/>
          <w:color w:val="333131"/>
          <w:sz w:val="21"/>
        </w:rPr>
        <w:t>How</w:t>
      </w:r>
      <w:r>
        <w:rPr>
          <w:rFonts w:ascii="Arial"/>
          <w:color w:val="333131"/>
          <w:spacing w:val="15"/>
          <w:sz w:val="21"/>
        </w:rPr>
        <w:t> </w:t>
      </w:r>
      <w:r>
        <w:rPr>
          <w:rFonts w:ascii="Arial"/>
          <w:color w:val="333131"/>
          <w:sz w:val="21"/>
        </w:rPr>
        <w:t>to</w:t>
      </w:r>
      <w:r>
        <w:rPr>
          <w:rFonts w:ascii="Arial"/>
          <w:color w:val="333131"/>
          <w:spacing w:val="30"/>
          <w:sz w:val="21"/>
        </w:rPr>
        <w:t> </w:t>
      </w:r>
      <w:r>
        <w:rPr>
          <w:rFonts w:ascii="Arial"/>
          <w:color w:val="333131"/>
          <w:sz w:val="21"/>
        </w:rPr>
        <w:t>Use</w:t>
      </w:r>
      <w:r>
        <w:rPr>
          <w:rFonts w:ascii="Arial"/>
          <w:color w:val="333131"/>
          <w:spacing w:val="-17"/>
          <w:sz w:val="21"/>
        </w:rPr>
        <w:t> </w:t>
      </w:r>
      <w:r>
        <w:rPr>
          <w:rFonts w:ascii="Arial"/>
          <w:color w:val="333131"/>
          <w:sz w:val="21"/>
        </w:rPr>
        <w:t>This</w:t>
      </w:r>
      <w:r>
        <w:rPr>
          <w:rFonts w:ascii="Arial"/>
          <w:color w:val="333131"/>
          <w:spacing w:val="3"/>
          <w:sz w:val="21"/>
        </w:rPr>
        <w:t> </w:t>
      </w:r>
      <w:r>
        <w:rPr>
          <w:rFonts w:ascii="Arial"/>
          <w:color w:val="333131"/>
          <w:sz w:val="21"/>
        </w:rPr>
        <w:t>Book</w:t>
      </w:r>
    </w:p>
    <w:p>
      <w:pPr>
        <w:pStyle w:val="ListParagraph"/>
        <w:numPr>
          <w:ilvl w:val="1"/>
          <w:numId w:val="1"/>
        </w:numPr>
        <w:tabs>
          <w:tab w:pos="825" w:val="left" w:leader="none"/>
          <w:tab w:pos="826" w:val="left" w:leader="none"/>
        </w:tabs>
        <w:spacing w:line="240" w:lineRule="auto" w:before="11" w:after="0"/>
        <w:ind w:left="825" w:right="0" w:hanging="691"/>
        <w:jc w:val="left"/>
        <w:rPr>
          <w:b/>
          <w:color w:val="333131"/>
          <w:sz w:val="22"/>
        </w:rPr>
      </w:pPr>
      <w:r>
        <w:rPr>
          <w:rFonts w:ascii="Arial"/>
          <w:color w:val="333131"/>
          <w:w w:val="105"/>
          <w:sz w:val="21"/>
        </w:rPr>
        <w:t>Summary</w:t>
      </w:r>
    </w:p>
    <w:p>
      <w:pPr>
        <w:pStyle w:val="BodyText"/>
        <w:rPr>
          <w:rFonts w:ascii="Arial"/>
          <w:sz w:val="24"/>
        </w:rPr>
      </w:pPr>
    </w:p>
    <w:p>
      <w:pPr>
        <w:spacing w:before="153"/>
        <w:ind w:left="131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333131"/>
          <w:sz w:val="19"/>
        </w:rPr>
        <w:t>CHAPTER</w:t>
      </w:r>
      <w:r>
        <w:rPr>
          <w:rFonts w:ascii="Arial"/>
          <w:b/>
          <w:color w:val="333131"/>
          <w:spacing w:val="-13"/>
          <w:sz w:val="19"/>
        </w:rPr>
        <w:t> </w:t>
      </w:r>
      <w:r>
        <w:rPr>
          <w:rFonts w:ascii="Arial"/>
          <w:b/>
          <w:color w:val="333131"/>
          <w:sz w:val="19"/>
        </w:rPr>
        <w:t>TWO</w:t>
      </w:r>
    </w:p>
    <w:p>
      <w:pPr>
        <w:spacing w:line="276" w:lineRule="auto" w:before="52"/>
        <w:ind w:left="150" w:right="323" w:firstLine="0"/>
        <w:jc w:val="left"/>
        <w:rPr>
          <w:rFonts w:ascii="Arial"/>
          <w:sz w:val="24"/>
        </w:rPr>
      </w:pPr>
      <w:r>
        <w:rPr>
          <w:rFonts w:ascii="Arial"/>
          <w:color w:val="757779"/>
          <w:w w:val="105"/>
          <w:sz w:val="24"/>
        </w:rPr>
        <w:t>APPELLATE</w:t>
      </w:r>
      <w:r>
        <w:rPr>
          <w:rFonts w:ascii="Arial"/>
          <w:color w:val="757779"/>
          <w:spacing w:val="8"/>
          <w:w w:val="105"/>
          <w:sz w:val="24"/>
        </w:rPr>
        <w:t> </w:t>
      </w:r>
      <w:r>
        <w:rPr>
          <w:rFonts w:ascii="Arial"/>
          <w:color w:val="757779"/>
          <w:w w:val="105"/>
          <w:sz w:val="24"/>
        </w:rPr>
        <w:t>JURISDIC</w:t>
      </w:r>
      <w:r>
        <w:rPr>
          <w:rFonts w:ascii="Arial"/>
          <w:color w:val="5D5D5E"/>
          <w:w w:val="105"/>
          <w:sz w:val="24"/>
        </w:rPr>
        <w:t>TI</w:t>
      </w:r>
      <w:r>
        <w:rPr>
          <w:rFonts w:ascii="Arial"/>
          <w:color w:val="757779"/>
          <w:w w:val="105"/>
          <w:sz w:val="24"/>
        </w:rPr>
        <w:t>ON</w:t>
      </w:r>
      <w:r>
        <w:rPr>
          <w:rFonts w:ascii="Arial"/>
          <w:color w:val="757779"/>
          <w:spacing w:val="1"/>
          <w:w w:val="105"/>
          <w:sz w:val="24"/>
        </w:rPr>
        <w:t> </w:t>
      </w:r>
      <w:r>
        <w:rPr>
          <w:rFonts w:ascii="Arial"/>
          <w:color w:val="757779"/>
          <w:w w:val="105"/>
          <w:sz w:val="24"/>
        </w:rPr>
        <w:t>AND</w:t>
      </w:r>
      <w:r>
        <w:rPr>
          <w:rFonts w:ascii="Arial"/>
          <w:color w:val="757779"/>
          <w:spacing w:val="10"/>
          <w:w w:val="105"/>
          <w:sz w:val="24"/>
        </w:rPr>
        <w:t> </w:t>
      </w:r>
      <w:r>
        <w:rPr>
          <w:rFonts w:ascii="Arial"/>
          <w:color w:val="757779"/>
          <w:w w:val="105"/>
          <w:sz w:val="24"/>
        </w:rPr>
        <w:t>STANDARDS</w:t>
      </w:r>
      <w:r>
        <w:rPr>
          <w:rFonts w:ascii="Arial"/>
          <w:color w:val="757779"/>
          <w:spacing w:val="16"/>
          <w:w w:val="105"/>
          <w:sz w:val="24"/>
        </w:rPr>
        <w:t> </w:t>
      </w:r>
      <w:r>
        <w:rPr>
          <w:rFonts w:ascii="Arial"/>
          <w:color w:val="757779"/>
          <w:w w:val="105"/>
          <w:sz w:val="24"/>
        </w:rPr>
        <w:t>OF</w:t>
      </w:r>
      <w:r>
        <w:rPr>
          <w:rFonts w:ascii="Arial"/>
          <w:color w:val="757779"/>
          <w:spacing w:val="13"/>
          <w:w w:val="105"/>
          <w:sz w:val="24"/>
        </w:rPr>
        <w:t> </w:t>
      </w:r>
      <w:r>
        <w:rPr>
          <w:rFonts w:ascii="Arial"/>
          <w:color w:val="757779"/>
          <w:w w:val="105"/>
          <w:sz w:val="24"/>
        </w:rPr>
        <w:t>REVIEW</w:t>
      </w:r>
    </w:p>
    <w:p>
      <w:pPr>
        <w:spacing w:line="240" w:lineRule="auto" w:before="0"/>
        <w:rPr>
          <w:rFonts w:ascii="Arial"/>
          <w:sz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19"/>
        </w:rPr>
      </w:pPr>
    </w:p>
    <w:p>
      <w:pPr>
        <w:spacing w:before="0"/>
        <w:ind w:left="0" w:right="306" w:firstLine="0"/>
        <w:jc w:val="right"/>
        <w:rPr>
          <w:rFonts w:ascii="Arial"/>
          <w:i/>
          <w:sz w:val="20"/>
        </w:rPr>
      </w:pPr>
      <w:r>
        <w:rPr>
          <w:rFonts w:ascii="Arial"/>
          <w:i/>
          <w:color w:val="333131"/>
          <w:w w:val="105"/>
          <w:sz w:val="20"/>
        </w:rPr>
        <w:t>xxi</w:t>
      </w:r>
    </w:p>
    <w:p>
      <w:pPr>
        <w:spacing w:before="183"/>
        <w:ind w:left="204" w:right="0" w:firstLine="0"/>
        <w:jc w:val="left"/>
        <w:rPr>
          <w:rFonts w:ascii="Arial"/>
          <w:i/>
          <w:sz w:val="14"/>
        </w:rPr>
      </w:pPr>
      <w:r>
        <w:rPr>
          <w:rFonts w:ascii="Arial"/>
          <w:i/>
          <w:color w:val="444244"/>
          <w:w w:val="105"/>
          <w:sz w:val="14"/>
        </w:rPr>
        <w:t>XXV</w:t>
      </w:r>
    </w:p>
    <w:p>
      <w:pPr>
        <w:spacing w:line="338" w:lineRule="auto" w:before="121"/>
        <w:ind w:left="159" w:right="269" w:hanging="49"/>
        <w:jc w:val="both"/>
        <w:rPr>
          <w:i/>
          <w:sz w:val="22"/>
        </w:rPr>
      </w:pPr>
      <w:r>
        <w:rPr>
          <w:i/>
          <w:color w:val="333131"/>
          <w:sz w:val="22"/>
        </w:rPr>
        <w:t>xxvii</w:t>
      </w:r>
      <w:r>
        <w:rPr>
          <w:i/>
          <w:color w:val="333131"/>
          <w:spacing w:val="-53"/>
          <w:sz w:val="22"/>
        </w:rPr>
        <w:t> </w:t>
      </w:r>
      <w:r>
        <w:rPr>
          <w:i/>
          <w:color w:val="333131"/>
          <w:sz w:val="22"/>
        </w:rPr>
        <w:t>xxix</w:t>
      </w:r>
      <w:r>
        <w:rPr>
          <w:i/>
          <w:color w:val="333131"/>
          <w:spacing w:val="-53"/>
          <w:sz w:val="22"/>
        </w:rPr>
        <w:t> </w:t>
      </w:r>
      <w:r>
        <w:rPr>
          <w:i/>
          <w:color w:val="333131"/>
          <w:sz w:val="22"/>
        </w:rPr>
        <w:t>xxxi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6"/>
        <w:rPr>
          <w:i/>
          <w:sz w:val="29"/>
        </w:rPr>
      </w:pPr>
    </w:p>
    <w:p>
      <w:pPr>
        <w:spacing w:before="0"/>
        <w:ind w:left="90" w:right="0" w:firstLine="0"/>
        <w:jc w:val="center"/>
        <w:rPr>
          <w:b/>
          <w:sz w:val="23"/>
        </w:rPr>
      </w:pPr>
      <w:r>
        <w:rPr>
          <w:b/>
          <w:color w:val="333131"/>
          <w:w w:val="102"/>
          <w:sz w:val="23"/>
        </w:rPr>
        <w:t>1</w:t>
      </w:r>
    </w:p>
    <w:p>
      <w:pPr>
        <w:spacing w:before="102"/>
        <w:ind w:left="93" w:right="0" w:firstLine="0"/>
        <w:jc w:val="center"/>
        <w:rPr>
          <w:b/>
          <w:sz w:val="24"/>
        </w:rPr>
      </w:pPr>
      <w:r>
        <w:rPr>
          <w:b/>
          <w:color w:val="333131"/>
          <w:w w:val="102"/>
          <w:sz w:val="24"/>
        </w:rPr>
        <w:t>1</w:t>
      </w:r>
    </w:p>
    <w:p>
      <w:pPr>
        <w:spacing w:before="2"/>
        <w:ind w:left="0" w:right="271" w:firstLine="0"/>
        <w:jc w:val="right"/>
        <w:rPr>
          <w:rFonts w:ascii="Arial"/>
          <w:b/>
          <w:sz w:val="22"/>
        </w:rPr>
      </w:pPr>
      <w:r>
        <w:rPr>
          <w:rFonts w:ascii="Arial"/>
          <w:b/>
          <w:color w:val="333131"/>
          <w:w w:val="102"/>
          <w:sz w:val="22"/>
        </w:rPr>
        <w:t>3</w:t>
      </w:r>
    </w:p>
    <w:p>
      <w:pPr>
        <w:spacing w:before="16"/>
        <w:ind w:left="0" w:right="295" w:firstLine="0"/>
        <w:jc w:val="right"/>
        <w:rPr>
          <w:rFonts w:ascii="Arial"/>
          <w:b/>
          <w:i/>
          <w:sz w:val="21"/>
        </w:rPr>
      </w:pPr>
      <w:r>
        <w:rPr>
          <w:rFonts w:ascii="Arial"/>
          <w:b/>
          <w:i/>
          <w:color w:val="333131"/>
          <w:w w:val="102"/>
          <w:sz w:val="21"/>
        </w:rPr>
        <w:t>6</w:t>
      </w:r>
    </w:p>
    <w:p>
      <w:pPr>
        <w:spacing w:before="28"/>
        <w:ind w:left="0" w:right="282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333131"/>
          <w:w w:val="102"/>
          <w:sz w:val="20"/>
        </w:rPr>
        <w:t>8</w:t>
      </w:r>
    </w:p>
    <w:p>
      <w:pPr>
        <w:spacing w:before="11"/>
        <w:ind w:left="0" w:right="291" w:firstLine="0"/>
        <w:jc w:val="right"/>
        <w:rPr>
          <w:rFonts w:ascii="Arial"/>
          <w:b/>
          <w:sz w:val="21"/>
        </w:rPr>
      </w:pPr>
      <w:r>
        <w:rPr>
          <w:rFonts w:ascii="Arial"/>
          <w:b/>
          <w:color w:val="333131"/>
          <w:sz w:val="21"/>
        </w:rPr>
        <w:t>11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"/>
        <w:ind w:left="296" w:right="243" w:firstLine="0"/>
        <w:jc w:val="center"/>
        <w:rPr>
          <w:b/>
          <w:sz w:val="23"/>
        </w:rPr>
      </w:pPr>
      <w:r>
        <w:rPr>
          <w:b/>
          <w:color w:val="333131"/>
          <w:sz w:val="23"/>
        </w:rPr>
        <w:t>13</w:t>
      </w:r>
    </w:p>
    <w:p>
      <w:pPr>
        <w:spacing w:after="0"/>
        <w:jc w:val="center"/>
        <w:rPr>
          <w:sz w:val="23"/>
        </w:rPr>
        <w:sectPr>
          <w:type w:val="continuous"/>
          <w:pgSz w:w="9650" w:h="13800"/>
          <w:pgMar w:header="0" w:footer="0" w:top="340" w:bottom="280" w:left="380" w:right="1220"/>
          <w:cols w:num="2" w:equalWidth="0">
            <w:col w:w="4270" w:space="2970"/>
            <w:col w:w="810"/>
          </w:cols>
        </w:sectPr>
      </w:pPr>
    </w:p>
    <w:p>
      <w:pPr>
        <w:pStyle w:val="ListParagraph"/>
        <w:numPr>
          <w:ilvl w:val="1"/>
          <w:numId w:val="2"/>
        </w:numPr>
        <w:tabs>
          <w:tab w:pos="828" w:val="left" w:leader="none"/>
          <w:tab w:pos="830" w:val="left" w:leader="none"/>
          <w:tab w:pos="7792" w:val="right" w:leader="none"/>
        </w:tabs>
        <w:spacing w:line="240" w:lineRule="auto" w:before="97" w:after="0"/>
        <w:ind w:left="829" w:right="0" w:hanging="695"/>
        <w:jc w:val="left"/>
        <w:rPr>
          <w:rFonts w:ascii="Arial"/>
          <w:b/>
          <w:color w:val="333131"/>
          <w:sz w:val="21"/>
        </w:rPr>
      </w:pPr>
      <w:r>
        <w:rPr>
          <w:rFonts w:ascii="Arial"/>
          <w:color w:val="333131"/>
          <w:sz w:val="21"/>
        </w:rPr>
        <w:t>Jurisdiction</w:t>
      </w:r>
      <w:r>
        <w:rPr>
          <w:rFonts w:ascii="Arial"/>
          <w:color w:val="333131"/>
          <w:spacing w:val="4"/>
          <w:sz w:val="21"/>
        </w:rPr>
        <w:t> </w:t>
      </w:r>
      <w:r>
        <w:rPr>
          <w:rFonts w:ascii="Arial"/>
          <w:color w:val="333131"/>
          <w:sz w:val="21"/>
        </w:rPr>
        <w:t>in</w:t>
      </w:r>
      <w:r>
        <w:rPr>
          <w:rFonts w:ascii="Arial"/>
          <w:color w:val="333131"/>
          <w:spacing w:val="17"/>
          <w:sz w:val="21"/>
        </w:rPr>
        <w:t> </w:t>
      </w:r>
      <w:r>
        <w:rPr>
          <w:rFonts w:ascii="Arial"/>
          <w:color w:val="333131"/>
          <w:sz w:val="21"/>
        </w:rPr>
        <w:t>Courts</w:t>
      </w:r>
      <w:r>
        <w:rPr>
          <w:rFonts w:ascii="Arial"/>
          <w:color w:val="333131"/>
          <w:spacing w:val="-4"/>
          <w:sz w:val="21"/>
        </w:rPr>
        <w:t> </w:t>
      </w:r>
      <w:r>
        <w:rPr>
          <w:rFonts w:ascii="Arial"/>
          <w:color w:val="333131"/>
          <w:sz w:val="21"/>
        </w:rPr>
        <w:t>of</w:t>
      </w:r>
      <w:r>
        <w:rPr>
          <w:rFonts w:ascii="Arial"/>
          <w:color w:val="333131"/>
          <w:spacing w:val="26"/>
          <w:sz w:val="21"/>
        </w:rPr>
        <w:t> </w:t>
      </w:r>
      <w:r>
        <w:rPr>
          <w:rFonts w:ascii="Arial"/>
          <w:color w:val="333131"/>
          <w:sz w:val="21"/>
        </w:rPr>
        <w:t>Last</w:t>
      </w:r>
      <w:r>
        <w:rPr>
          <w:rFonts w:ascii="Arial"/>
          <w:color w:val="333131"/>
          <w:spacing w:val="-10"/>
          <w:sz w:val="21"/>
        </w:rPr>
        <w:t> </w:t>
      </w:r>
      <w:r>
        <w:rPr>
          <w:rFonts w:ascii="Arial"/>
          <w:color w:val="333131"/>
          <w:sz w:val="21"/>
        </w:rPr>
        <w:t>Resort</w:t>
        <w:tab/>
      </w:r>
      <w:r>
        <w:rPr>
          <w:rFonts w:ascii="Arial"/>
          <w:b/>
          <w:color w:val="333131"/>
          <w:sz w:val="21"/>
        </w:rPr>
        <w:t>14</w:t>
      </w:r>
    </w:p>
    <w:p>
      <w:pPr>
        <w:pStyle w:val="ListParagraph"/>
        <w:numPr>
          <w:ilvl w:val="1"/>
          <w:numId w:val="2"/>
        </w:numPr>
        <w:tabs>
          <w:tab w:pos="828" w:val="left" w:leader="none"/>
          <w:tab w:pos="830" w:val="left" w:leader="none"/>
          <w:tab w:pos="7785" w:val="right" w:leader="none"/>
        </w:tabs>
        <w:spacing w:line="240" w:lineRule="auto" w:before="0" w:after="0"/>
        <w:ind w:left="829" w:right="0" w:hanging="695"/>
        <w:jc w:val="left"/>
        <w:rPr>
          <w:b/>
          <w:color w:val="333131"/>
          <w:sz w:val="22"/>
        </w:rPr>
      </w:pPr>
      <w:r>
        <w:rPr>
          <w:rFonts w:ascii="Arial"/>
          <w:color w:val="333131"/>
          <w:w w:val="105"/>
          <w:sz w:val="21"/>
        </w:rPr>
        <w:t>Jurisdiction in</w:t>
      </w:r>
      <w:r>
        <w:rPr>
          <w:rFonts w:ascii="Arial"/>
          <w:color w:val="333131"/>
          <w:spacing w:val="13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Intermediate</w:t>
      </w:r>
      <w:r>
        <w:rPr>
          <w:rFonts w:ascii="Arial"/>
          <w:color w:val="333131"/>
          <w:spacing w:val="-8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Courts</w:t>
      </w:r>
      <w:r>
        <w:rPr>
          <w:rFonts w:ascii="Arial"/>
          <w:color w:val="333131"/>
          <w:spacing w:val="-5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of</w:t>
      </w:r>
      <w:r>
        <w:rPr>
          <w:rFonts w:ascii="Arial"/>
          <w:color w:val="333131"/>
          <w:spacing w:val="17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Appeals</w:t>
        <w:tab/>
      </w:r>
      <w:r>
        <w:rPr>
          <w:b/>
          <w:color w:val="333131"/>
          <w:w w:val="105"/>
          <w:sz w:val="22"/>
        </w:rPr>
        <w:t>15</w:t>
      </w:r>
    </w:p>
    <w:p>
      <w:pPr>
        <w:pStyle w:val="ListParagraph"/>
        <w:numPr>
          <w:ilvl w:val="1"/>
          <w:numId w:val="2"/>
        </w:numPr>
        <w:tabs>
          <w:tab w:pos="835" w:val="left" w:leader="none"/>
          <w:tab w:pos="836" w:val="left" w:leader="none"/>
          <w:tab w:pos="7797" w:val="right" w:leader="none"/>
        </w:tabs>
        <w:spacing w:line="252" w:lineRule="exact" w:before="7" w:after="0"/>
        <w:ind w:left="835" w:right="0" w:hanging="691"/>
        <w:jc w:val="left"/>
        <w:rPr>
          <w:b/>
          <w:color w:val="333131"/>
          <w:sz w:val="22"/>
        </w:rPr>
      </w:pPr>
      <w:r>
        <w:rPr>
          <w:rFonts w:ascii="Arial"/>
          <w:color w:val="333131"/>
          <w:w w:val="105"/>
          <w:sz w:val="21"/>
        </w:rPr>
        <w:t>Appellate</w:t>
      </w:r>
      <w:r>
        <w:rPr>
          <w:rFonts w:ascii="Arial"/>
          <w:color w:val="333131"/>
          <w:spacing w:val="7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Standards</w:t>
      </w:r>
      <w:r>
        <w:rPr>
          <w:rFonts w:ascii="Arial"/>
          <w:color w:val="333131"/>
          <w:spacing w:val="3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of</w:t>
      </w:r>
      <w:r>
        <w:rPr>
          <w:rFonts w:ascii="Arial"/>
          <w:color w:val="333131"/>
          <w:spacing w:val="17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Review</w:t>
        <w:tab/>
      </w:r>
      <w:r>
        <w:rPr>
          <w:b/>
          <w:color w:val="333131"/>
          <w:w w:val="105"/>
          <w:sz w:val="22"/>
        </w:rPr>
        <w:t>16</w:t>
      </w:r>
    </w:p>
    <w:p>
      <w:pPr>
        <w:pStyle w:val="ListParagraph"/>
        <w:numPr>
          <w:ilvl w:val="2"/>
          <w:numId w:val="2"/>
        </w:numPr>
        <w:tabs>
          <w:tab w:pos="1581" w:val="left" w:leader="none"/>
          <w:tab w:pos="7802" w:val="right" w:leader="none"/>
        </w:tabs>
        <w:spacing w:line="252" w:lineRule="exact" w:before="0" w:after="0"/>
        <w:ind w:left="1580" w:right="0" w:hanging="742"/>
        <w:jc w:val="left"/>
        <w:rPr>
          <w:b/>
          <w:color w:val="333131"/>
          <w:sz w:val="22"/>
        </w:rPr>
      </w:pPr>
      <w:r>
        <w:rPr>
          <w:rFonts w:ascii="Arial"/>
          <w:color w:val="333131"/>
          <w:w w:val="105"/>
          <w:sz w:val="21"/>
        </w:rPr>
        <w:t>Purpose</w:t>
      </w:r>
      <w:r>
        <w:rPr>
          <w:rFonts w:ascii="Arial"/>
          <w:color w:val="333131"/>
          <w:spacing w:val="-9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and</w:t>
      </w:r>
      <w:r>
        <w:rPr>
          <w:rFonts w:ascii="Arial"/>
          <w:color w:val="333131"/>
          <w:spacing w:val="25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Meaning</w:t>
      </w:r>
      <w:r>
        <w:rPr>
          <w:rFonts w:ascii="Arial"/>
          <w:color w:val="333131"/>
          <w:spacing w:val="-6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of</w:t>
      </w:r>
      <w:r>
        <w:rPr>
          <w:rFonts w:ascii="Arial"/>
          <w:color w:val="333131"/>
          <w:spacing w:val="7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Appellate</w:t>
      </w:r>
      <w:r>
        <w:rPr>
          <w:rFonts w:ascii="Arial"/>
          <w:color w:val="333131"/>
          <w:spacing w:val="-10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Standards</w:t>
      </w:r>
      <w:r>
        <w:rPr>
          <w:rFonts w:ascii="Arial"/>
          <w:color w:val="333131"/>
          <w:spacing w:val="-7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of</w:t>
      </w:r>
      <w:r>
        <w:rPr>
          <w:rFonts w:ascii="Arial"/>
          <w:color w:val="333131"/>
          <w:spacing w:val="25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Review</w:t>
        <w:tab/>
      </w:r>
      <w:r>
        <w:rPr>
          <w:b/>
          <w:color w:val="333131"/>
          <w:w w:val="105"/>
          <w:sz w:val="22"/>
        </w:rPr>
        <w:t>17</w:t>
      </w:r>
    </w:p>
    <w:p>
      <w:pPr>
        <w:pStyle w:val="ListParagraph"/>
        <w:numPr>
          <w:ilvl w:val="3"/>
          <w:numId w:val="2"/>
        </w:numPr>
        <w:tabs>
          <w:tab w:pos="1961" w:val="left" w:leader="none"/>
          <w:tab w:pos="1963" w:val="left" w:leader="none"/>
          <w:tab w:pos="7807" w:val="right" w:leader="none"/>
        </w:tabs>
        <w:spacing w:line="240" w:lineRule="auto" w:before="7" w:after="0"/>
        <w:ind w:left="1962" w:right="0" w:hanging="386"/>
        <w:jc w:val="left"/>
        <w:rPr>
          <w:b/>
          <w:color w:val="333131"/>
          <w:sz w:val="22"/>
        </w:rPr>
      </w:pPr>
      <w:r>
        <w:rPr>
          <w:rFonts w:ascii="Arial"/>
          <w:color w:val="333131"/>
          <w:w w:val="105"/>
          <w:sz w:val="21"/>
        </w:rPr>
        <w:t>Clearly</w:t>
      </w:r>
      <w:r>
        <w:rPr>
          <w:rFonts w:ascii="Arial"/>
          <w:color w:val="333131"/>
          <w:spacing w:val="1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Erroneous</w:t>
        <w:tab/>
      </w:r>
      <w:r>
        <w:rPr>
          <w:rFonts w:ascii="Arial"/>
          <w:b/>
          <w:color w:val="333131"/>
          <w:w w:val="105"/>
          <w:sz w:val="20"/>
        </w:rPr>
        <w:t>18</w:t>
      </w:r>
    </w:p>
    <w:p>
      <w:pPr>
        <w:pStyle w:val="ListParagraph"/>
        <w:numPr>
          <w:ilvl w:val="3"/>
          <w:numId w:val="2"/>
        </w:numPr>
        <w:tabs>
          <w:tab w:pos="1967" w:val="left" w:leader="none"/>
          <w:tab w:pos="7851" w:val="right" w:leader="none"/>
        </w:tabs>
        <w:spacing w:line="240" w:lineRule="auto" w:before="6" w:after="0"/>
        <w:ind w:left="1966" w:right="0" w:hanging="385"/>
        <w:jc w:val="left"/>
        <w:rPr>
          <w:rFonts w:ascii="Arial"/>
          <w:b/>
          <w:color w:val="333131"/>
          <w:sz w:val="21"/>
        </w:rPr>
      </w:pPr>
      <w:r>
        <w:rPr>
          <w:rFonts w:ascii="Arial"/>
          <w:color w:val="333131"/>
          <w:w w:val="110"/>
          <w:sz w:val="21"/>
        </w:rPr>
        <w:t>De</w:t>
      </w:r>
      <w:r>
        <w:rPr>
          <w:rFonts w:ascii="Arial"/>
          <w:color w:val="333131"/>
          <w:spacing w:val="5"/>
          <w:w w:val="110"/>
          <w:sz w:val="21"/>
        </w:rPr>
        <w:t> </w:t>
      </w:r>
      <w:r>
        <w:rPr>
          <w:rFonts w:ascii="Arial"/>
          <w:color w:val="333131"/>
          <w:w w:val="110"/>
          <w:sz w:val="21"/>
        </w:rPr>
        <w:t>Novo</w:t>
        <w:tab/>
      </w:r>
      <w:r>
        <w:rPr>
          <w:rFonts w:ascii="Arial"/>
          <w:b/>
          <w:color w:val="333131"/>
          <w:w w:val="110"/>
          <w:sz w:val="21"/>
        </w:rPr>
        <w:t>19</w:t>
      </w:r>
    </w:p>
    <w:p>
      <w:pPr>
        <w:pStyle w:val="ListParagraph"/>
        <w:numPr>
          <w:ilvl w:val="3"/>
          <w:numId w:val="2"/>
        </w:numPr>
        <w:tabs>
          <w:tab w:pos="1972" w:val="left" w:leader="none"/>
          <w:tab w:pos="1973" w:val="left" w:leader="none"/>
          <w:tab w:pos="7836" w:val="right" w:leader="none"/>
        </w:tabs>
        <w:spacing w:line="240" w:lineRule="auto" w:before="20" w:after="0"/>
        <w:ind w:left="1972" w:right="0" w:hanging="395"/>
        <w:jc w:val="left"/>
        <w:rPr>
          <w:b/>
          <w:color w:val="333131"/>
          <w:sz w:val="22"/>
        </w:rPr>
      </w:pPr>
      <w:r>
        <w:rPr>
          <w:rFonts w:ascii="Arial"/>
          <w:color w:val="333131"/>
          <w:w w:val="105"/>
          <w:sz w:val="21"/>
        </w:rPr>
        <w:t>Abuse</w:t>
      </w:r>
      <w:r>
        <w:rPr>
          <w:rFonts w:ascii="Arial"/>
          <w:color w:val="333131"/>
          <w:spacing w:val="-9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of</w:t>
      </w:r>
      <w:r>
        <w:rPr>
          <w:rFonts w:ascii="Arial"/>
          <w:color w:val="333131"/>
          <w:spacing w:val="18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Discretion</w:t>
        <w:tab/>
      </w:r>
      <w:r>
        <w:rPr>
          <w:b/>
          <w:color w:val="333131"/>
          <w:w w:val="105"/>
          <w:sz w:val="22"/>
        </w:rPr>
        <w:t>20</w:t>
      </w:r>
    </w:p>
    <w:p>
      <w:pPr>
        <w:pStyle w:val="ListParagraph"/>
        <w:numPr>
          <w:ilvl w:val="3"/>
          <w:numId w:val="2"/>
        </w:numPr>
        <w:tabs>
          <w:tab w:pos="1972" w:val="left" w:leader="none"/>
          <w:tab w:pos="1973" w:val="left" w:leader="none"/>
          <w:tab w:pos="7835" w:val="right" w:leader="none"/>
        </w:tabs>
        <w:spacing w:line="252" w:lineRule="exact" w:before="7" w:after="0"/>
        <w:ind w:left="1972" w:right="0" w:hanging="395"/>
        <w:jc w:val="left"/>
        <w:rPr>
          <w:b/>
          <w:color w:val="333131"/>
          <w:sz w:val="22"/>
        </w:rPr>
      </w:pPr>
      <w:r>
        <w:rPr>
          <w:rFonts w:ascii="Arial"/>
          <w:color w:val="333131"/>
          <w:w w:val="110"/>
          <w:sz w:val="21"/>
        </w:rPr>
        <w:t>Other</w:t>
      </w:r>
      <w:r>
        <w:rPr>
          <w:rFonts w:ascii="Arial"/>
          <w:color w:val="333131"/>
          <w:spacing w:val="-15"/>
          <w:w w:val="110"/>
          <w:sz w:val="21"/>
        </w:rPr>
        <w:t> </w:t>
      </w:r>
      <w:r>
        <w:rPr>
          <w:rFonts w:ascii="Arial"/>
          <w:color w:val="333131"/>
          <w:w w:val="110"/>
          <w:sz w:val="21"/>
        </w:rPr>
        <w:t>Appellate</w:t>
      </w:r>
      <w:r>
        <w:rPr>
          <w:rFonts w:ascii="Arial"/>
          <w:color w:val="333131"/>
          <w:spacing w:val="-3"/>
          <w:w w:val="110"/>
          <w:sz w:val="21"/>
        </w:rPr>
        <w:t> </w:t>
      </w:r>
      <w:r>
        <w:rPr>
          <w:rFonts w:ascii="Arial"/>
          <w:color w:val="333131"/>
          <w:w w:val="110"/>
          <w:sz w:val="21"/>
        </w:rPr>
        <w:t>Standards</w:t>
        <w:tab/>
      </w:r>
      <w:r>
        <w:rPr>
          <w:b/>
          <w:color w:val="333131"/>
          <w:w w:val="110"/>
          <w:sz w:val="22"/>
        </w:rPr>
        <w:t>20</w:t>
      </w:r>
    </w:p>
    <w:p>
      <w:pPr>
        <w:pStyle w:val="ListParagraph"/>
        <w:numPr>
          <w:ilvl w:val="2"/>
          <w:numId w:val="2"/>
        </w:numPr>
        <w:tabs>
          <w:tab w:pos="1587" w:val="left" w:leader="none"/>
          <w:tab w:pos="7838" w:val="right" w:leader="none"/>
        </w:tabs>
        <w:spacing w:line="252" w:lineRule="exact" w:before="0" w:after="0"/>
        <w:ind w:left="1586" w:right="0" w:hanging="739"/>
        <w:jc w:val="left"/>
        <w:rPr>
          <w:b/>
          <w:color w:val="333131"/>
          <w:sz w:val="22"/>
        </w:rPr>
      </w:pPr>
      <w:r>
        <w:rPr>
          <w:rFonts w:ascii="Arial"/>
          <w:color w:val="333131"/>
          <w:w w:val="105"/>
          <w:sz w:val="21"/>
        </w:rPr>
        <w:t>Identifying</w:t>
      </w:r>
      <w:r>
        <w:rPr>
          <w:rFonts w:ascii="Arial"/>
          <w:color w:val="333131"/>
          <w:spacing w:val="-5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the Appropriate</w:t>
      </w:r>
      <w:r>
        <w:rPr>
          <w:rFonts w:ascii="Arial"/>
          <w:color w:val="333131"/>
          <w:spacing w:val="-4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Appellate</w:t>
      </w:r>
      <w:r>
        <w:rPr>
          <w:rFonts w:ascii="Arial"/>
          <w:color w:val="333131"/>
          <w:spacing w:val="-5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Standard</w:t>
      </w:r>
      <w:r>
        <w:rPr>
          <w:rFonts w:ascii="Arial"/>
          <w:color w:val="333131"/>
          <w:spacing w:val="-14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of</w:t>
      </w:r>
      <w:r>
        <w:rPr>
          <w:rFonts w:ascii="Arial"/>
          <w:color w:val="333131"/>
          <w:spacing w:val="3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Review</w:t>
        <w:tab/>
      </w:r>
      <w:r>
        <w:rPr>
          <w:b/>
          <w:color w:val="333131"/>
          <w:w w:val="105"/>
          <w:sz w:val="22"/>
        </w:rPr>
        <w:t>21</w:t>
      </w:r>
    </w:p>
    <w:p>
      <w:pPr>
        <w:pStyle w:val="ListParagraph"/>
        <w:numPr>
          <w:ilvl w:val="2"/>
          <w:numId w:val="2"/>
        </w:numPr>
        <w:tabs>
          <w:tab w:pos="1589" w:val="left" w:leader="none"/>
          <w:tab w:pos="7865" w:val="right" w:leader="none"/>
        </w:tabs>
        <w:spacing w:line="240" w:lineRule="auto" w:before="7" w:after="0"/>
        <w:ind w:left="1588" w:right="0" w:hanging="741"/>
        <w:jc w:val="left"/>
        <w:rPr>
          <w:b/>
          <w:color w:val="333131"/>
          <w:sz w:val="22"/>
        </w:rPr>
      </w:pPr>
      <w:r>
        <w:rPr>
          <w:rFonts w:ascii="Arial"/>
          <w:color w:val="333131"/>
          <w:w w:val="105"/>
          <w:sz w:val="21"/>
        </w:rPr>
        <w:t>Format</w:t>
      </w:r>
      <w:r>
        <w:rPr>
          <w:rFonts w:ascii="Arial"/>
          <w:color w:val="333131"/>
          <w:spacing w:val="-14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Considerations</w:t>
        <w:tab/>
      </w:r>
      <w:r>
        <w:rPr>
          <w:b/>
          <w:color w:val="333131"/>
          <w:w w:val="105"/>
          <w:sz w:val="22"/>
        </w:rPr>
        <w:t>22</w:t>
      </w:r>
    </w:p>
    <w:p>
      <w:pPr>
        <w:spacing w:before="420"/>
        <w:ind w:left="0" w:right="103" w:firstLine="0"/>
        <w:jc w:val="right"/>
        <w:rPr>
          <w:rFonts w:ascii="Arial"/>
          <w:b/>
          <w:sz w:val="21"/>
        </w:rPr>
      </w:pPr>
      <w:r>
        <w:rPr>
          <w:rFonts w:ascii="Arial"/>
          <w:b/>
          <w:color w:val="333131"/>
          <w:w w:val="110"/>
          <w:sz w:val="21"/>
        </w:rPr>
        <w:t>xi</w:t>
      </w:r>
    </w:p>
    <w:p>
      <w:pPr>
        <w:spacing w:after="0"/>
        <w:jc w:val="right"/>
        <w:rPr>
          <w:rFonts w:ascii="Arial"/>
          <w:sz w:val="21"/>
        </w:rPr>
        <w:sectPr>
          <w:type w:val="continuous"/>
          <w:pgSz w:w="9650" w:h="13800"/>
          <w:pgMar w:header="0" w:footer="0" w:top="340" w:bottom="280" w:left="380" w:right="12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5"/>
            <w:numPr>
              <w:ilvl w:val="1"/>
              <w:numId w:val="2"/>
            </w:numPr>
            <w:tabs>
              <w:tab w:pos="1060" w:val="left" w:leader="none"/>
              <w:tab w:pos="1061" w:val="left" w:leader="none"/>
              <w:tab w:pos="7830" w:val="right" w:leader="none"/>
            </w:tabs>
            <w:spacing w:line="240" w:lineRule="auto" w:before="81" w:after="0"/>
            <w:ind w:left="1060" w:right="0" w:hanging="700"/>
            <w:jc w:val="left"/>
            <w:rPr>
              <w:rFonts w:ascii="Times New Roman"/>
              <w:b/>
              <w:color w:val="343133"/>
              <w:sz w:val="22"/>
            </w:rPr>
          </w:pPr>
          <w:r>
            <w:rPr>
              <w:color w:val="343133"/>
            </w:rPr>
            <w:t>"Pleading</w:t>
          </w:r>
          <w:r>
            <w:rPr>
              <w:color w:val="343133"/>
              <w:spacing w:val="11"/>
            </w:rPr>
            <w:t> </w:t>
          </w:r>
          <w:r>
            <w:rPr>
              <w:color w:val="343133"/>
            </w:rPr>
            <w:t>Standards"</w:t>
          </w:r>
          <w:r>
            <w:rPr>
              <w:color w:val="343133"/>
              <w:spacing w:val="25"/>
            </w:rPr>
            <w:t> </w:t>
          </w:r>
          <w:r>
            <w:rPr>
              <w:color w:val="343133"/>
            </w:rPr>
            <w:t>or</w:t>
          </w:r>
          <w:r>
            <w:rPr>
              <w:color w:val="343133"/>
              <w:spacing w:val="25"/>
            </w:rPr>
            <w:t> </w:t>
          </w:r>
          <w:r>
            <w:rPr>
              <w:color w:val="343133"/>
            </w:rPr>
            <w:t>Standards</w:t>
          </w:r>
          <w:r>
            <w:rPr>
              <w:color w:val="343133"/>
              <w:spacing w:val="14"/>
            </w:rPr>
            <w:t> </w:t>
          </w:r>
          <w:r>
            <w:rPr>
              <w:color w:val="343133"/>
            </w:rPr>
            <w:t>of</w:t>
          </w:r>
          <w:r>
            <w:rPr>
              <w:color w:val="343133"/>
              <w:spacing w:val="24"/>
            </w:rPr>
            <w:t> </w:t>
          </w:r>
          <w:r>
            <w:rPr>
              <w:color w:val="343133"/>
            </w:rPr>
            <w:t>Review</w:t>
          </w:r>
          <w:r>
            <w:rPr>
              <w:color w:val="343133"/>
              <w:spacing w:val="-10"/>
            </w:rPr>
            <w:t> </w:t>
          </w:r>
          <w:r>
            <w:rPr>
              <w:color w:val="343133"/>
            </w:rPr>
            <w:t>in</w:t>
          </w:r>
          <w:r>
            <w:rPr>
              <w:color w:val="343133"/>
              <w:spacing w:val="35"/>
            </w:rPr>
            <w:t> </w:t>
          </w:r>
          <w:r>
            <w:rPr>
              <w:color w:val="343133"/>
            </w:rPr>
            <w:t>Motion</w:t>
          </w:r>
          <w:r>
            <w:rPr>
              <w:color w:val="343133"/>
              <w:spacing w:val="-6"/>
            </w:rPr>
            <w:t> </w:t>
          </w:r>
          <w:r>
            <w:rPr>
              <w:color w:val="343133"/>
            </w:rPr>
            <w:t>Briefs</w:t>
            <w:tab/>
          </w:r>
          <w:r>
            <w:rPr>
              <w:rFonts w:ascii="Times New Roman"/>
              <w:b/>
              <w:color w:val="343133"/>
              <w:sz w:val="22"/>
            </w:rPr>
            <w:t>23</w:t>
          </w:r>
        </w:p>
        <w:p>
          <w:pPr>
            <w:numPr>
              <w:ilvl w:val="2"/>
              <w:numId w:val="2"/>
            </w:numPr>
            <w:tabs>
              <w:tab w:pos="1769" w:val="left" w:leader="none"/>
              <w:tab w:pos="7830" w:val="right" w:leader="none"/>
            </w:tabs>
            <w:spacing w:line="252" w:lineRule="exact" w:before="17"/>
            <w:ind w:left="1768" w:right="0" w:hanging="724"/>
            <w:jc w:val="left"/>
            <w:rPr>
              <w:b/>
              <w:color w:val="343133"/>
              <w:sz w:val="22"/>
            </w:rPr>
          </w:pPr>
          <w:r>
            <w:rPr>
              <w:rFonts w:ascii="Arial"/>
              <w:color w:val="343133"/>
              <w:w w:val="105"/>
              <w:sz w:val="21"/>
            </w:rPr>
            <w:t>Motions</w:t>
          </w:r>
          <w:r>
            <w:rPr>
              <w:rFonts w:ascii="Arial"/>
              <w:color w:val="343133"/>
              <w:spacing w:val="-7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to</w:t>
          </w:r>
          <w:r>
            <w:rPr>
              <w:rFonts w:ascii="Arial"/>
              <w:color w:val="343133"/>
              <w:spacing w:val="4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Dismiss</w:t>
            <w:tab/>
          </w:r>
          <w:r>
            <w:rPr>
              <w:b/>
              <w:color w:val="343133"/>
              <w:w w:val="105"/>
              <w:sz w:val="22"/>
            </w:rPr>
            <w:t>25</w:t>
          </w:r>
        </w:p>
        <w:p>
          <w:pPr>
            <w:numPr>
              <w:ilvl w:val="2"/>
              <w:numId w:val="2"/>
            </w:numPr>
            <w:tabs>
              <w:tab w:pos="1759" w:val="left" w:leader="none"/>
              <w:tab w:pos="7844" w:val="right" w:leader="none"/>
            </w:tabs>
            <w:spacing w:line="250" w:lineRule="exact" w:before="0"/>
            <w:ind w:left="1758" w:right="0" w:hanging="723"/>
            <w:jc w:val="left"/>
            <w:rPr>
              <w:b/>
              <w:color w:val="343133"/>
              <w:sz w:val="22"/>
            </w:rPr>
          </w:pPr>
          <w:r>
            <w:rPr>
              <w:rFonts w:ascii="Arial"/>
              <w:color w:val="343133"/>
              <w:w w:val="105"/>
              <w:sz w:val="21"/>
            </w:rPr>
            <w:t>Motions</w:t>
          </w:r>
          <w:r>
            <w:rPr>
              <w:rFonts w:ascii="Arial"/>
              <w:color w:val="343133"/>
              <w:spacing w:val="-12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for</w:t>
          </w:r>
          <w:r>
            <w:rPr>
              <w:rFonts w:ascii="Arial"/>
              <w:color w:val="343133"/>
              <w:spacing w:val="8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Summary</w:t>
          </w:r>
          <w:r>
            <w:rPr>
              <w:rFonts w:ascii="Arial"/>
              <w:color w:val="343133"/>
              <w:spacing w:val="-11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Judgment</w:t>
            <w:tab/>
          </w:r>
          <w:r>
            <w:rPr>
              <w:b/>
              <w:color w:val="343133"/>
              <w:w w:val="105"/>
              <w:sz w:val="22"/>
            </w:rPr>
            <w:t>27</w:t>
          </w:r>
        </w:p>
        <w:p>
          <w:pPr>
            <w:numPr>
              <w:ilvl w:val="2"/>
              <w:numId w:val="2"/>
            </w:numPr>
            <w:tabs>
              <w:tab w:pos="1755" w:val="left" w:leader="none"/>
              <w:tab w:pos="7833" w:val="right" w:leader="none"/>
            </w:tabs>
            <w:spacing w:line="252" w:lineRule="exact" w:before="0"/>
            <w:ind w:left="1754" w:right="0" w:hanging="719"/>
            <w:jc w:val="left"/>
            <w:rPr>
              <w:b/>
              <w:color w:val="343133"/>
              <w:sz w:val="22"/>
            </w:rPr>
          </w:pPr>
          <w:r>
            <w:rPr>
              <w:rFonts w:ascii="Arial"/>
              <w:color w:val="343133"/>
              <w:w w:val="105"/>
              <w:sz w:val="21"/>
            </w:rPr>
            <w:t>Identifying</w:t>
          </w:r>
          <w:r>
            <w:rPr>
              <w:rFonts w:ascii="Arial"/>
              <w:color w:val="343133"/>
              <w:spacing w:val="3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the</w:t>
          </w:r>
          <w:r>
            <w:rPr>
              <w:rFonts w:ascii="Arial"/>
              <w:color w:val="343133"/>
              <w:spacing w:val="-10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Appropriate</w:t>
          </w:r>
          <w:r>
            <w:rPr>
              <w:rFonts w:ascii="Arial"/>
              <w:color w:val="343133"/>
              <w:spacing w:val="7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Motion</w:t>
          </w:r>
          <w:r>
            <w:rPr>
              <w:rFonts w:ascii="Arial"/>
              <w:color w:val="343133"/>
              <w:spacing w:val="-7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Standard</w:t>
          </w:r>
          <w:r>
            <w:rPr>
              <w:rFonts w:ascii="Arial"/>
              <w:color w:val="343133"/>
              <w:spacing w:val="2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of</w:t>
          </w:r>
          <w:r>
            <w:rPr>
              <w:rFonts w:ascii="Arial"/>
              <w:color w:val="343133"/>
              <w:spacing w:val="13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Review</w:t>
            <w:tab/>
          </w:r>
          <w:r>
            <w:rPr>
              <w:b/>
              <w:color w:val="343133"/>
              <w:w w:val="105"/>
              <w:sz w:val="22"/>
            </w:rPr>
            <w:t>28</w:t>
          </w:r>
        </w:p>
        <w:p>
          <w:pPr>
            <w:numPr>
              <w:ilvl w:val="2"/>
              <w:numId w:val="2"/>
            </w:numPr>
            <w:tabs>
              <w:tab w:pos="1755" w:val="left" w:leader="none"/>
              <w:tab w:pos="7846" w:val="right" w:leader="none"/>
            </w:tabs>
            <w:spacing w:before="7"/>
            <w:ind w:left="1754" w:right="0" w:hanging="719"/>
            <w:jc w:val="left"/>
            <w:rPr>
              <w:b/>
              <w:color w:val="343133"/>
              <w:sz w:val="22"/>
            </w:rPr>
          </w:pPr>
          <w:r>
            <w:rPr>
              <w:rFonts w:ascii="Arial"/>
              <w:color w:val="343133"/>
              <w:w w:val="105"/>
              <w:sz w:val="21"/>
            </w:rPr>
            <w:t>Incorporating</w:t>
          </w:r>
          <w:r>
            <w:rPr>
              <w:rFonts w:ascii="Arial"/>
              <w:color w:val="343133"/>
              <w:spacing w:val="9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Motion</w:t>
          </w:r>
          <w:r>
            <w:rPr>
              <w:rFonts w:ascii="Arial"/>
              <w:color w:val="343133"/>
              <w:spacing w:val="-7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Standards</w:t>
          </w:r>
          <w:r>
            <w:rPr>
              <w:rFonts w:ascii="Arial"/>
              <w:color w:val="343133"/>
              <w:spacing w:val="2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into</w:t>
          </w:r>
          <w:r>
            <w:rPr>
              <w:rFonts w:ascii="Arial"/>
              <w:color w:val="343133"/>
              <w:spacing w:val="-15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Your</w:t>
          </w:r>
          <w:r>
            <w:rPr>
              <w:rFonts w:ascii="Arial"/>
              <w:color w:val="343133"/>
              <w:spacing w:val="6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Argument</w:t>
            <w:tab/>
          </w:r>
          <w:r>
            <w:rPr>
              <w:rFonts w:ascii="Arial"/>
              <w:b/>
              <w:i/>
              <w:color w:val="343133"/>
              <w:w w:val="105"/>
              <w:sz w:val="20"/>
            </w:rPr>
            <w:t>29</w:t>
          </w:r>
        </w:p>
        <w:p>
          <w:pPr>
            <w:pStyle w:val="TOC5"/>
            <w:numPr>
              <w:ilvl w:val="1"/>
              <w:numId w:val="2"/>
            </w:numPr>
            <w:tabs>
              <w:tab w:pos="1032" w:val="left" w:leader="none"/>
              <w:tab w:pos="1033" w:val="left" w:leader="none"/>
              <w:tab w:pos="7853" w:val="right" w:leader="none"/>
            </w:tabs>
            <w:spacing w:line="262" w:lineRule="exact" w:before="7" w:after="0"/>
            <w:ind w:left="1032" w:right="0" w:hanging="701"/>
            <w:jc w:val="left"/>
            <w:rPr>
              <w:rFonts w:ascii="Times New Roman"/>
              <w:b/>
              <w:color w:val="343133"/>
              <w:sz w:val="23"/>
            </w:rPr>
          </w:pPr>
          <w:r>
            <w:rPr>
              <w:color w:val="343133"/>
              <w:w w:val="105"/>
            </w:rPr>
            <w:t>Avoiding</w:t>
          </w:r>
          <w:r>
            <w:rPr>
              <w:color w:val="343133"/>
              <w:spacing w:val="-4"/>
              <w:w w:val="105"/>
            </w:rPr>
            <w:t> </w:t>
          </w:r>
          <w:r>
            <w:rPr>
              <w:color w:val="343133"/>
              <w:w w:val="105"/>
            </w:rPr>
            <w:t>Confusion</w:t>
            <w:tab/>
          </w:r>
          <w:r>
            <w:rPr>
              <w:rFonts w:ascii="Times New Roman"/>
              <w:b/>
              <w:color w:val="343133"/>
              <w:w w:val="105"/>
              <w:sz w:val="22"/>
            </w:rPr>
            <w:t>31</w:t>
          </w:r>
        </w:p>
        <w:p>
          <w:pPr>
            <w:numPr>
              <w:ilvl w:val="2"/>
              <w:numId w:val="2"/>
            </w:numPr>
            <w:tabs>
              <w:tab w:pos="1754" w:val="left" w:leader="none"/>
              <w:tab w:pos="7844" w:val="right" w:leader="none"/>
            </w:tabs>
            <w:spacing w:line="249" w:lineRule="exact" w:before="0"/>
            <w:ind w:left="1753" w:right="0" w:hanging="718"/>
            <w:jc w:val="left"/>
            <w:rPr>
              <w:b/>
              <w:color w:val="343133"/>
              <w:sz w:val="22"/>
            </w:rPr>
          </w:pPr>
          <w:r>
            <w:rPr>
              <w:rFonts w:ascii="Arial"/>
              <w:color w:val="343133"/>
              <w:w w:val="105"/>
              <w:sz w:val="21"/>
            </w:rPr>
            <w:t>Government</w:t>
          </w:r>
          <w:r>
            <w:rPr>
              <w:rFonts w:ascii="Arial"/>
              <w:color w:val="343133"/>
              <w:spacing w:val="1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Action</w:t>
          </w:r>
          <w:r>
            <w:rPr>
              <w:rFonts w:ascii="Arial"/>
              <w:color w:val="343133"/>
              <w:spacing w:val="-11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Standards</w:t>
          </w:r>
          <w:r>
            <w:rPr>
              <w:rFonts w:ascii="Arial"/>
              <w:color w:val="343133"/>
              <w:spacing w:val="-8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of</w:t>
          </w:r>
          <w:r>
            <w:rPr>
              <w:rFonts w:ascii="Arial"/>
              <w:color w:val="343133"/>
              <w:spacing w:val="18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Review</w:t>
            <w:tab/>
          </w:r>
          <w:r>
            <w:rPr>
              <w:b/>
              <w:color w:val="343133"/>
              <w:w w:val="105"/>
              <w:sz w:val="22"/>
            </w:rPr>
            <w:t>32</w:t>
          </w:r>
        </w:p>
        <w:p>
          <w:pPr>
            <w:numPr>
              <w:ilvl w:val="2"/>
              <w:numId w:val="2"/>
            </w:numPr>
            <w:tabs>
              <w:tab w:pos="1749" w:val="left" w:leader="none"/>
              <w:tab w:pos="7840" w:val="right" w:leader="none"/>
            </w:tabs>
            <w:spacing w:line="252" w:lineRule="exact" w:before="0"/>
            <w:ind w:left="1748" w:right="0" w:hanging="723"/>
            <w:jc w:val="left"/>
            <w:rPr>
              <w:b/>
              <w:color w:val="343133"/>
              <w:sz w:val="22"/>
            </w:rPr>
          </w:pPr>
          <w:r>
            <w:rPr>
              <w:rFonts w:ascii="Arial"/>
              <w:color w:val="343133"/>
              <w:sz w:val="21"/>
            </w:rPr>
            <w:t>Multiple</w:t>
          </w:r>
          <w:r>
            <w:rPr>
              <w:rFonts w:ascii="Arial"/>
              <w:color w:val="343133"/>
              <w:spacing w:val="-4"/>
              <w:sz w:val="21"/>
            </w:rPr>
            <w:t> </w:t>
          </w:r>
          <w:r>
            <w:rPr>
              <w:rFonts w:ascii="Arial"/>
              <w:color w:val="343133"/>
              <w:sz w:val="21"/>
            </w:rPr>
            <w:t>Standards</w:t>
          </w:r>
          <w:r>
            <w:rPr>
              <w:rFonts w:ascii="Arial"/>
              <w:color w:val="343133"/>
              <w:spacing w:val="-1"/>
              <w:sz w:val="21"/>
            </w:rPr>
            <w:t> </w:t>
          </w:r>
          <w:r>
            <w:rPr>
              <w:rFonts w:ascii="Arial"/>
              <w:color w:val="343133"/>
              <w:sz w:val="21"/>
            </w:rPr>
            <w:t>of</w:t>
          </w:r>
          <w:r>
            <w:rPr>
              <w:rFonts w:ascii="Arial"/>
              <w:color w:val="343133"/>
              <w:spacing w:val="18"/>
              <w:sz w:val="21"/>
            </w:rPr>
            <w:t> </w:t>
          </w:r>
          <w:r>
            <w:rPr>
              <w:rFonts w:ascii="Arial"/>
              <w:color w:val="343133"/>
              <w:sz w:val="21"/>
            </w:rPr>
            <w:t>Review</w:t>
          </w:r>
          <w:r>
            <w:rPr>
              <w:rFonts w:ascii="Arial"/>
              <w:color w:val="343133"/>
              <w:spacing w:val="-3"/>
              <w:sz w:val="21"/>
            </w:rPr>
            <w:t> </w:t>
          </w:r>
          <w:r>
            <w:rPr>
              <w:rFonts w:ascii="Arial"/>
              <w:color w:val="343133"/>
              <w:sz w:val="21"/>
            </w:rPr>
            <w:t>in</w:t>
          </w:r>
          <w:r>
            <w:rPr>
              <w:rFonts w:ascii="Arial"/>
              <w:color w:val="343133"/>
              <w:spacing w:val="33"/>
              <w:sz w:val="21"/>
            </w:rPr>
            <w:t> </w:t>
          </w:r>
          <w:r>
            <w:rPr>
              <w:rFonts w:ascii="Arial"/>
              <w:color w:val="343133"/>
              <w:sz w:val="21"/>
            </w:rPr>
            <w:t>the</w:t>
          </w:r>
          <w:r>
            <w:rPr>
              <w:rFonts w:ascii="Arial"/>
              <w:color w:val="343133"/>
              <w:spacing w:val="32"/>
              <w:sz w:val="21"/>
            </w:rPr>
            <w:t> </w:t>
          </w:r>
          <w:r>
            <w:rPr>
              <w:rFonts w:ascii="Arial"/>
              <w:color w:val="343133"/>
              <w:sz w:val="21"/>
            </w:rPr>
            <w:t>Same</w:t>
          </w:r>
          <w:r>
            <w:rPr>
              <w:rFonts w:ascii="Arial"/>
              <w:color w:val="343133"/>
              <w:spacing w:val="-4"/>
              <w:sz w:val="21"/>
            </w:rPr>
            <w:t> </w:t>
          </w:r>
          <w:r>
            <w:rPr>
              <w:rFonts w:ascii="Arial"/>
              <w:color w:val="343133"/>
              <w:sz w:val="21"/>
            </w:rPr>
            <w:t>Case</w:t>
            <w:tab/>
          </w:r>
          <w:r>
            <w:rPr>
              <w:b/>
              <w:color w:val="343133"/>
              <w:sz w:val="22"/>
            </w:rPr>
            <w:t>32</w:t>
          </w:r>
        </w:p>
        <w:p>
          <w:pPr>
            <w:pStyle w:val="TOC5"/>
            <w:numPr>
              <w:ilvl w:val="1"/>
              <w:numId w:val="2"/>
            </w:numPr>
            <w:tabs>
              <w:tab w:pos="1031" w:val="left" w:leader="none"/>
              <w:tab w:pos="1032" w:val="left" w:leader="none"/>
              <w:tab w:pos="7849" w:val="right" w:leader="none"/>
            </w:tabs>
            <w:spacing w:line="240" w:lineRule="auto" w:before="26" w:after="0"/>
            <w:ind w:left="1031" w:right="0" w:hanging="696"/>
            <w:jc w:val="left"/>
            <w:rPr>
              <w:rFonts w:ascii="Times New Roman"/>
              <w:b/>
              <w:i/>
              <w:color w:val="343133"/>
              <w:sz w:val="22"/>
            </w:rPr>
          </w:pPr>
          <w:r>
            <w:rPr>
              <w:color w:val="343133"/>
            </w:rPr>
            <w:t>Summary</w:t>
            <w:tab/>
          </w:r>
          <w:r>
            <w:rPr>
              <w:rFonts w:ascii="Times New Roman"/>
              <w:b/>
              <w:color w:val="343133"/>
              <w:sz w:val="22"/>
            </w:rPr>
            <w:t>34</w:t>
          </w:r>
        </w:p>
        <w:p>
          <w:pPr>
            <w:pStyle w:val="TOC6"/>
          </w:pPr>
          <w:r>
            <w:rPr>
              <w:color w:val="343133"/>
              <w:spacing w:val="-1"/>
              <w:w w:val="95"/>
            </w:rPr>
            <w:t>CHAPTER</w:t>
          </w:r>
          <w:r>
            <w:rPr>
              <w:color w:val="343133"/>
              <w:spacing w:val="-9"/>
              <w:w w:val="95"/>
            </w:rPr>
            <w:t> </w:t>
          </w:r>
          <w:r>
            <w:rPr>
              <w:color w:val="343133"/>
              <w:spacing w:val="-1"/>
              <w:w w:val="95"/>
            </w:rPr>
            <w:t>THREE</w:t>
          </w:r>
        </w:p>
        <w:p>
          <w:pPr>
            <w:pStyle w:val="TOC7"/>
            <w:tabs>
              <w:tab w:pos="7878" w:val="right" w:leader="none"/>
            </w:tabs>
            <w:rPr>
              <w:rFonts w:ascii="Times New Roman"/>
              <w:i w:val="0"/>
              <w:sz w:val="22"/>
            </w:rPr>
          </w:pPr>
          <w:r>
            <w:rPr>
              <w:b w:val="0"/>
              <w:i w:val="0"/>
              <w:color w:val="6B6D70"/>
              <w:w w:val="110"/>
              <w:sz w:val="25"/>
            </w:rPr>
            <w:t>B</w:t>
          </w:r>
          <w:r>
            <w:rPr>
              <w:b w:val="0"/>
              <w:i w:val="0"/>
              <w:color w:val="565456"/>
              <w:w w:val="110"/>
              <w:sz w:val="25"/>
            </w:rPr>
            <w:t>EFO</w:t>
          </w:r>
          <w:r>
            <w:rPr>
              <w:b w:val="0"/>
              <w:i w:val="0"/>
              <w:color w:val="6B6D70"/>
              <w:w w:val="110"/>
              <w:sz w:val="25"/>
            </w:rPr>
            <w:t>R</w:t>
          </w:r>
          <w:r>
            <w:rPr>
              <w:b w:val="0"/>
              <w:i w:val="0"/>
              <w:color w:val="565456"/>
              <w:w w:val="110"/>
              <w:sz w:val="25"/>
            </w:rPr>
            <w:t>E</w:t>
          </w:r>
          <w:r>
            <w:rPr>
              <w:b w:val="0"/>
              <w:i w:val="0"/>
              <w:color w:val="565456"/>
              <w:spacing w:val="-32"/>
              <w:w w:val="110"/>
              <w:sz w:val="25"/>
            </w:rPr>
            <w:t> </w:t>
          </w:r>
          <w:r>
            <w:rPr>
              <w:b w:val="0"/>
              <w:i w:val="0"/>
              <w:color w:val="565456"/>
              <w:w w:val="110"/>
              <w:sz w:val="32"/>
            </w:rPr>
            <w:t>Yo</w:t>
          </w:r>
          <w:r>
            <w:rPr>
              <w:b w:val="0"/>
              <w:i w:val="0"/>
              <w:color w:val="343133"/>
              <w:w w:val="110"/>
              <w:sz w:val="32"/>
            </w:rPr>
            <w:t>u</w:t>
          </w:r>
          <w:r>
            <w:rPr>
              <w:b w:val="0"/>
              <w:i w:val="0"/>
              <w:color w:val="343133"/>
              <w:spacing w:val="-18"/>
              <w:w w:val="110"/>
              <w:sz w:val="32"/>
            </w:rPr>
            <w:t> </w:t>
          </w:r>
          <w:r>
            <w:rPr>
              <w:b w:val="0"/>
              <w:i w:val="0"/>
              <w:color w:val="565456"/>
              <w:w w:val="110"/>
              <w:sz w:val="25"/>
            </w:rPr>
            <w:t>W</w:t>
          </w:r>
          <w:r>
            <w:rPr>
              <w:b w:val="0"/>
              <w:i w:val="0"/>
              <w:color w:val="6B6D70"/>
              <w:w w:val="110"/>
              <w:sz w:val="25"/>
            </w:rPr>
            <w:t>RI</w:t>
          </w:r>
          <w:r>
            <w:rPr>
              <w:b w:val="0"/>
              <w:i w:val="0"/>
              <w:color w:val="565456"/>
              <w:w w:val="110"/>
              <w:sz w:val="25"/>
            </w:rPr>
            <w:t>T</w:t>
          </w:r>
          <w:r>
            <w:rPr>
              <w:b w:val="0"/>
              <w:i w:val="0"/>
              <w:color w:val="343133"/>
              <w:w w:val="110"/>
              <w:sz w:val="25"/>
            </w:rPr>
            <w:t>E</w:t>
            <w:tab/>
          </w:r>
          <w:r>
            <w:rPr>
              <w:rFonts w:ascii="Times New Roman"/>
              <w:i w:val="0"/>
              <w:color w:val="343133"/>
              <w:w w:val="110"/>
              <w:position w:val="2"/>
              <w:sz w:val="22"/>
            </w:rPr>
            <w:t>35</w:t>
          </w:r>
        </w:p>
        <w:p>
          <w:pPr>
            <w:pStyle w:val="TOC5"/>
            <w:numPr>
              <w:ilvl w:val="1"/>
              <w:numId w:val="3"/>
            </w:numPr>
            <w:tabs>
              <w:tab w:pos="1030" w:val="left" w:leader="none"/>
              <w:tab w:pos="1032" w:val="left" w:leader="none"/>
              <w:tab w:pos="7858" w:val="right" w:leader="none"/>
            </w:tabs>
            <w:spacing w:line="240" w:lineRule="auto" w:before="112" w:after="0"/>
            <w:ind w:left="1031" w:right="0" w:hanging="689"/>
            <w:jc w:val="left"/>
            <w:rPr>
              <w:rFonts w:ascii="Times New Roman"/>
              <w:b/>
              <w:color w:val="343133"/>
              <w:sz w:val="22"/>
            </w:rPr>
          </w:pPr>
          <w:r>
            <w:rPr>
              <w:color w:val="343133"/>
              <w:w w:val="105"/>
            </w:rPr>
            <w:t>Creating an</w:t>
          </w:r>
          <w:r>
            <w:rPr>
              <w:color w:val="343133"/>
              <w:spacing w:val="-2"/>
              <w:w w:val="105"/>
            </w:rPr>
            <w:t> </w:t>
          </w:r>
          <w:r>
            <w:rPr>
              <w:color w:val="343133"/>
              <w:w w:val="105"/>
            </w:rPr>
            <w:t>Abstract</w:t>
          </w:r>
          <w:r>
            <w:rPr>
              <w:color w:val="343133"/>
              <w:spacing w:val="2"/>
              <w:w w:val="105"/>
            </w:rPr>
            <w:t> </w:t>
          </w:r>
          <w:r>
            <w:rPr>
              <w:color w:val="343133"/>
              <w:w w:val="105"/>
            </w:rPr>
            <w:t>of</w:t>
          </w:r>
          <w:r>
            <w:rPr>
              <w:color w:val="343133"/>
              <w:spacing w:val="9"/>
              <w:w w:val="105"/>
            </w:rPr>
            <w:t> </w:t>
          </w:r>
          <w:r>
            <w:rPr>
              <w:color w:val="343133"/>
              <w:w w:val="105"/>
            </w:rPr>
            <w:t>the</w:t>
          </w:r>
          <w:r>
            <w:rPr>
              <w:color w:val="343133"/>
              <w:spacing w:val="8"/>
              <w:w w:val="105"/>
            </w:rPr>
            <w:t> </w:t>
          </w:r>
          <w:r>
            <w:rPr>
              <w:color w:val="343133"/>
              <w:w w:val="105"/>
            </w:rPr>
            <w:t>Record</w:t>
            <w:tab/>
          </w:r>
          <w:r>
            <w:rPr>
              <w:rFonts w:ascii="Times New Roman"/>
              <w:b/>
              <w:color w:val="343133"/>
              <w:w w:val="105"/>
              <w:sz w:val="22"/>
            </w:rPr>
            <w:t>36</w:t>
          </w:r>
        </w:p>
        <w:p>
          <w:pPr>
            <w:pStyle w:val="TOC5"/>
            <w:numPr>
              <w:ilvl w:val="1"/>
              <w:numId w:val="3"/>
            </w:numPr>
            <w:tabs>
              <w:tab w:pos="1034" w:val="left" w:leader="none"/>
              <w:tab w:pos="1036" w:val="left" w:leader="none"/>
              <w:tab w:pos="7819" w:val="right" w:leader="none"/>
            </w:tabs>
            <w:spacing w:line="252" w:lineRule="exact" w:before="7" w:after="0"/>
            <w:ind w:left="1035" w:right="0" w:hanging="693"/>
            <w:jc w:val="left"/>
            <w:rPr>
              <w:rFonts w:ascii="Times New Roman"/>
              <w:b/>
              <w:color w:val="343133"/>
              <w:sz w:val="22"/>
            </w:rPr>
          </w:pPr>
          <w:r>
            <w:rPr>
              <w:color w:val="343133"/>
            </w:rPr>
            <w:t>Planning Your</w:t>
          </w:r>
          <w:r>
            <w:rPr>
              <w:color w:val="343133"/>
              <w:spacing w:val="4"/>
            </w:rPr>
            <w:t> </w:t>
          </w:r>
          <w:r>
            <w:rPr>
              <w:color w:val="343133"/>
            </w:rPr>
            <w:t>Research</w:t>
            <w:tab/>
          </w:r>
          <w:r>
            <w:rPr>
              <w:rFonts w:ascii="Times New Roman"/>
              <w:b/>
              <w:color w:val="343133"/>
              <w:sz w:val="22"/>
            </w:rPr>
            <w:t>40</w:t>
          </w:r>
        </w:p>
        <w:p>
          <w:pPr>
            <w:numPr>
              <w:ilvl w:val="2"/>
              <w:numId w:val="3"/>
            </w:numPr>
            <w:tabs>
              <w:tab w:pos="1779" w:val="left" w:leader="none"/>
            </w:tabs>
            <w:spacing w:line="252" w:lineRule="exact" w:before="0"/>
            <w:ind w:left="1778" w:right="0" w:hanging="732"/>
            <w:jc w:val="left"/>
            <w:rPr>
              <w:rFonts w:ascii="Arial"/>
              <w:sz w:val="21"/>
            </w:rPr>
          </w:pPr>
          <w:r>
            <w:rPr>
              <w:rFonts w:ascii="Arial"/>
              <w:color w:val="343133"/>
              <w:spacing w:val="-1"/>
              <w:w w:val="105"/>
              <w:sz w:val="21"/>
            </w:rPr>
            <w:t>Begin</w:t>
          </w:r>
          <w:r>
            <w:rPr>
              <w:rFonts w:ascii="Arial"/>
              <w:color w:val="343133"/>
              <w:spacing w:val="-16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at</w:t>
          </w:r>
          <w:r>
            <w:rPr>
              <w:rFonts w:ascii="Arial"/>
              <w:color w:val="343133"/>
              <w:spacing w:val="10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the</w:t>
          </w:r>
          <w:r>
            <w:rPr>
              <w:rFonts w:ascii="Arial"/>
              <w:color w:val="343133"/>
              <w:spacing w:val="17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Beginning:</w:t>
          </w:r>
          <w:r>
            <w:rPr>
              <w:rFonts w:ascii="Arial"/>
              <w:color w:val="343133"/>
              <w:spacing w:val="1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Decide</w:t>
          </w:r>
          <w:r>
            <w:rPr>
              <w:rFonts w:ascii="Arial"/>
              <w:color w:val="343133"/>
              <w:spacing w:val="-13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What</w:t>
          </w:r>
          <w:r>
            <w:rPr>
              <w:rFonts w:ascii="Arial"/>
              <w:color w:val="343133"/>
              <w:spacing w:val="-16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Questions</w:t>
          </w:r>
        </w:p>
        <w:p>
          <w:pPr>
            <w:tabs>
              <w:tab w:pos="7847" w:val="right" w:leader="none"/>
            </w:tabs>
            <w:spacing w:line="252" w:lineRule="exact" w:before="7"/>
            <w:ind w:left="1783" w:right="0" w:firstLine="0"/>
            <w:jc w:val="left"/>
            <w:rPr>
              <w:b/>
              <w:sz w:val="22"/>
            </w:rPr>
          </w:pPr>
          <w:r>
            <w:rPr>
              <w:rFonts w:ascii="Arial"/>
              <w:color w:val="343133"/>
              <w:sz w:val="21"/>
            </w:rPr>
            <w:t>You</w:t>
          </w:r>
          <w:r>
            <w:rPr>
              <w:rFonts w:ascii="Arial"/>
              <w:color w:val="343133"/>
              <w:spacing w:val="-15"/>
              <w:sz w:val="21"/>
            </w:rPr>
            <w:t> </w:t>
          </w:r>
          <w:r>
            <w:rPr>
              <w:rFonts w:ascii="Arial"/>
              <w:color w:val="343133"/>
              <w:sz w:val="21"/>
            </w:rPr>
            <w:t>Need</w:t>
          </w:r>
          <w:r>
            <w:rPr>
              <w:rFonts w:ascii="Arial"/>
              <w:color w:val="343133"/>
              <w:spacing w:val="-11"/>
              <w:sz w:val="21"/>
            </w:rPr>
            <w:t> </w:t>
          </w:r>
          <w:r>
            <w:rPr>
              <w:rFonts w:ascii="Arial"/>
              <w:color w:val="343133"/>
              <w:sz w:val="21"/>
            </w:rPr>
            <w:t>to</w:t>
          </w:r>
          <w:r>
            <w:rPr>
              <w:rFonts w:ascii="Arial"/>
              <w:color w:val="343133"/>
              <w:spacing w:val="16"/>
              <w:sz w:val="21"/>
            </w:rPr>
            <w:t> </w:t>
          </w:r>
          <w:r>
            <w:rPr>
              <w:rFonts w:ascii="Arial"/>
              <w:color w:val="343133"/>
              <w:sz w:val="21"/>
            </w:rPr>
            <w:t>Answer</w:t>
            <w:tab/>
          </w:r>
          <w:r>
            <w:rPr>
              <w:b/>
              <w:color w:val="343133"/>
              <w:sz w:val="22"/>
            </w:rPr>
            <w:t>40</w:t>
          </w:r>
        </w:p>
        <w:p>
          <w:pPr>
            <w:numPr>
              <w:ilvl w:val="2"/>
              <w:numId w:val="3"/>
            </w:numPr>
            <w:tabs>
              <w:tab w:pos="1788" w:val="left" w:leader="none"/>
            </w:tabs>
            <w:spacing w:line="252" w:lineRule="exact" w:before="0"/>
            <w:ind w:left="1787" w:right="0" w:hanging="721"/>
            <w:jc w:val="left"/>
            <w:rPr>
              <w:rFonts w:ascii="Arial"/>
              <w:sz w:val="21"/>
            </w:rPr>
          </w:pPr>
          <w:r>
            <w:rPr>
              <w:rFonts w:ascii="Arial"/>
              <w:color w:val="343133"/>
              <w:sz w:val="21"/>
            </w:rPr>
            <w:t>Broadening</w:t>
          </w:r>
          <w:r>
            <w:rPr>
              <w:rFonts w:ascii="Arial"/>
              <w:color w:val="343133"/>
              <w:spacing w:val="29"/>
              <w:sz w:val="21"/>
            </w:rPr>
            <w:t> </w:t>
          </w:r>
          <w:r>
            <w:rPr>
              <w:rFonts w:ascii="Arial"/>
              <w:color w:val="343133"/>
              <w:sz w:val="21"/>
            </w:rPr>
            <w:t>Your</w:t>
          </w:r>
          <w:r>
            <w:rPr>
              <w:rFonts w:ascii="Arial"/>
              <w:color w:val="343133"/>
              <w:spacing w:val="19"/>
              <w:sz w:val="21"/>
            </w:rPr>
            <w:t> </w:t>
          </w:r>
          <w:r>
            <w:rPr>
              <w:rFonts w:ascii="Arial"/>
              <w:color w:val="343133"/>
              <w:sz w:val="21"/>
            </w:rPr>
            <w:t>Horizons</w:t>
          </w:r>
          <w:r>
            <w:rPr>
              <w:rFonts w:ascii="Arial"/>
              <w:color w:val="343133"/>
              <w:spacing w:val="4"/>
              <w:sz w:val="21"/>
            </w:rPr>
            <w:t> </w:t>
          </w:r>
          <w:r>
            <w:rPr>
              <w:rFonts w:ascii="Arial"/>
              <w:color w:val="343133"/>
              <w:sz w:val="21"/>
            </w:rPr>
            <w:t>(You</w:t>
          </w:r>
          <w:r>
            <w:rPr>
              <w:rFonts w:ascii="Arial"/>
              <w:color w:val="343133"/>
              <w:spacing w:val="16"/>
              <w:sz w:val="21"/>
            </w:rPr>
            <w:t> </w:t>
          </w:r>
          <w:r>
            <w:rPr>
              <w:rFonts w:ascii="Arial"/>
              <w:i/>
              <w:color w:val="343133"/>
              <w:sz w:val="20"/>
            </w:rPr>
            <w:t>Can</w:t>
          </w:r>
          <w:r>
            <w:rPr>
              <w:rFonts w:ascii="Arial"/>
              <w:i/>
              <w:color w:val="343133"/>
              <w:spacing w:val="-2"/>
              <w:sz w:val="20"/>
            </w:rPr>
            <w:t> </w:t>
          </w:r>
          <w:r>
            <w:rPr>
              <w:rFonts w:ascii="Arial"/>
              <w:color w:val="343133"/>
              <w:sz w:val="21"/>
            </w:rPr>
            <w:t>Compare</w:t>
          </w:r>
          <w:r>
            <w:rPr>
              <w:rFonts w:ascii="Arial"/>
              <w:color w:val="343133"/>
              <w:spacing w:val="21"/>
              <w:sz w:val="21"/>
            </w:rPr>
            <w:t> </w:t>
          </w:r>
          <w:r>
            <w:rPr>
              <w:rFonts w:ascii="Arial"/>
              <w:color w:val="343133"/>
              <w:sz w:val="21"/>
            </w:rPr>
            <w:t>Apples</w:t>
          </w:r>
        </w:p>
        <w:p>
          <w:pPr>
            <w:tabs>
              <w:tab w:pos="7858" w:val="right" w:leader="none"/>
            </w:tabs>
            <w:spacing w:before="7"/>
            <w:ind w:left="1786" w:right="0" w:firstLine="0"/>
            <w:jc w:val="left"/>
            <w:rPr>
              <w:b/>
              <w:sz w:val="22"/>
            </w:rPr>
          </w:pPr>
          <w:r>
            <w:rPr>
              <w:rFonts w:ascii="Arial"/>
              <w:color w:val="343133"/>
              <w:w w:val="105"/>
              <w:sz w:val="21"/>
            </w:rPr>
            <w:t>and</w:t>
          </w:r>
          <w:r>
            <w:rPr>
              <w:rFonts w:ascii="Arial"/>
              <w:color w:val="343133"/>
              <w:spacing w:val="13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Oranges)</w:t>
            <w:tab/>
          </w:r>
          <w:r>
            <w:rPr>
              <w:b/>
              <w:color w:val="343133"/>
              <w:w w:val="105"/>
              <w:sz w:val="22"/>
            </w:rPr>
            <w:t>43</w:t>
          </w:r>
        </w:p>
        <w:p>
          <w:pPr>
            <w:numPr>
              <w:ilvl w:val="2"/>
              <w:numId w:val="3"/>
            </w:numPr>
            <w:tabs>
              <w:tab w:pos="1780" w:val="left" w:leader="none"/>
              <w:tab w:pos="7858" w:val="right" w:leader="none"/>
            </w:tabs>
            <w:spacing w:before="8"/>
            <w:ind w:left="1779" w:right="0" w:hanging="713"/>
            <w:jc w:val="left"/>
            <w:rPr>
              <w:b/>
              <w:sz w:val="22"/>
            </w:rPr>
          </w:pPr>
          <w:r>
            <w:rPr>
              <w:rFonts w:ascii="Arial"/>
              <w:color w:val="343133"/>
              <w:w w:val="105"/>
              <w:sz w:val="21"/>
            </w:rPr>
            <w:t>The</w:t>
          </w:r>
          <w:r>
            <w:rPr>
              <w:rFonts w:ascii="Arial"/>
              <w:color w:val="343133"/>
              <w:spacing w:val="-16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Abstraction</w:t>
          </w:r>
          <w:r>
            <w:rPr>
              <w:rFonts w:ascii="Arial"/>
              <w:color w:val="343133"/>
              <w:spacing w:val="3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Ladder</w:t>
            <w:tab/>
          </w:r>
          <w:r>
            <w:rPr>
              <w:b/>
              <w:color w:val="343133"/>
              <w:w w:val="105"/>
              <w:sz w:val="22"/>
            </w:rPr>
            <w:t>45</w:t>
          </w:r>
        </w:p>
        <w:p>
          <w:pPr>
            <w:numPr>
              <w:ilvl w:val="2"/>
              <w:numId w:val="3"/>
            </w:numPr>
            <w:tabs>
              <w:tab w:pos="1778" w:val="left" w:leader="none"/>
              <w:tab w:pos="7850" w:val="right" w:leader="none"/>
            </w:tabs>
            <w:spacing w:before="7"/>
            <w:ind w:left="1777" w:right="0" w:hanging="711"/>
            <w:jc w:val="left"/>
            <w:rPr>
              <w:rFonts w:ascii="Arial"/>
              <w:b/>
              <w:sz w:val="21"/>
            </w:rPr>
          </w:pPr>
          <w:r>
            <w:rPr>
              <w:rFonts w:ascii="Arial"/>
              <w:color w:val="343133"/>
              <w:spacing w:val="-1"/>
              <w:w w:val="105"/>
              <w:sz w:val="21"/>
            </w:rPr>
            <w:t>Using</w:t>
          </w:r>
          <w:r>
            <w:rPr>
              <w:rFonts w:ascii="Arial"/>
              <w:color w:val="343133"/>
              <w:spacing w:val="-6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the</w:t>
          </w:r>
          <w:r>
            <w:rPr>
              <w:rFonts w:ascii="Arial"/>
              <w:color w:val="343133"/>
              <w:spacing w:val="-5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Abstraction</w:t>
          </w:r>
          <w:r>
            <w:rPr>
              <w:rFonts w:ascii="Arial"/>
              <w:color w:val="343133"/>
              <w:spacing w:val="-10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Ladder</w:t>
          </w:r>
          <w:r>
            <w:rPr>
              <w:rFonts w:ascii="Arial"/>
              <w:color w:val="343133"/>
              <w:spacing w:val="-15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in</w:t>
          </w:r>
          <w:r>
            <w:rPr>
              <w:rFonts w:ascii="Arial"/>
              <w:color w:val="343133"/>
              <w:spacing w:val="16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legal</w:t>
          </w:r>
          <w:r>
            <w:rPr>
              <w:rFonts w:ascii="Arial"/>
              <w:color w:val="343133"/>
              <w:spacing w:val="-13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Research</w:t>
            <w:tab/>
          </w:r>
          <w:r>
            <w:rPr>
              <w:rFonts w:ascii="Arial"/>
              <w:b/>
              <w:color w:val="343133"/>
              <w:w w:val="105"/>
              <w:sz w:val="21"/>
            </w:rPr>
            <w:t>46</w:t>
          </w:r>
        </w:p>
        <w:p>
          <w:pPr>
            <w:numPr>
              <w:ilvl w:val="2"/>
              <w:numId w:val="3"/>
            </w:numPr>
            <w:tabs>
              <w:tab w:pos="1775" w:val="left" w:leader="none"/>
              <w:tab w:pos="7886" w:val="right" w:leader="none"/>
            </w:tabs>
            <w:spacing w:before="7"/>
            <w:ind w:left="1774" w:right="0" w:hanging="718"/>
            <w:jc w:val="left"/>
            <w:rPr>
              <w:rFonts w:ascii="Arial"/>
              <w:b/>
              <w:sz w:val="21"/>
            </w:rPr>
          </w:pPr>
          <w:r>
            <w:rPr>
              <w:rFonts w:ascii="Arial"/>
              <w:color w:val="343133"/>
              <w:w w:val="105"/>
              <w:sz w:val="21"/>
            </w:rPr>
            <w:t>Identifying</w:t>
          </w:r>
          <w:r>
            <w:rPr>
              <w:rFonts w:ascii="Arial"/>
              <w:color w:val="343133"/>
              <w:spacing w:val="4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a</w:t>
          </w:r>
          <w:r>
            <w:rPr>
              <w:rFonts w:ascii="Arial"/>
              <w:color w:val="343133"/>
              <w:spacing w:val="-15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Theme</w:t>
          </w:r>
          <w:r>
            <w:rPr>
              <w:rFonts w:ascii="Arial"/>
              <w:color w:val="343133"/>
              <w:spacing w:val="-10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for</w:t>
          </w:r>
          <w:r>
            <w:rPr>
              <w:rFonts w:ascii="Arial"/>
              <w:color w:val="343133"/>
              <w:spacing w:val="9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Your</w:t>
          </w:r>
          <w:r>
            <w:rPr>
              <w:rFonts w:ascii="Arial"/>
              <w:color w:val="343133"/>
              <w:spacing w:val="-8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Argument</w:t>
            <w:tab/>
          </w:r>
          <w:r>
            <w:rPr>
              <w:rFonts w:ascii="Arial"/>
              <w:b/>
              <w:color w:val="343133"/>
              <w:w w:val="105"/>
              <w:sz w:val="21"/>
            </w:rPr>
            <w:t>47</w:t>
          </w:r>
        </w:p>
        <w:p>
          <w:pPr>
            <w:numPr>
              <w:ilvl w:val="2"/>
              <w:numId w:val="3"/>
            </w:numPr>
            <w:tabs>
              <w:tab w:pos="1775" w:val="left" w:leader="none"/>
              <w:tab w:pos="7890" w:val="right" w:leader="none"/>
            </w:tabs>
            <w:spacing w:before="7"/>
            <w:ind w:left="1774" w:right="0" w:hanging="728"/>
            <w:jc w:val="left"/>
            <w:rPr>
              <w:rFonts w:ascii="Arial"/>
              <w:b/>
              <w:sz w:val="21"/>
            </w:rPr>
          </w:pPr>
          <w:r>
            <w:rPr>
              <w:rFonts w:ascii="Arial"/>
              <w:color w:val="343133"/>
              <w:w w:val="110"/>
              <w:sz w:val="21"/>
            </w:rPr>
            <w:t>Identifying</w:t>
          </w:r>
          <w:r>
            <w:rPr>
              <w:rFonts w:ascii="Arial"/>
              <w:color w:val="343133"/>
              <w:spacing w:val="-4"/>
              <w:w w:val="110"/>
              <w:sz w:val="21"/>
            </w:rPr>
            <w:t> </w:t>
          </w:r>
          <w:r>
            <w:rPr>
              <w:rFonts w:ascii="Arial"/>
              <w:color w:val="343133"/>
              <w:w w:val="110"/>
              <w:sz w:val="21"/>
            </w:rPr>
            <w:t>Valid</w:t>
          </w:r>
          <w:r>
            <w:rPr>
              <w:rFonts w:ascii="Arial"/>
              <w:color w:val="343133"/>
              <w:spacing w:val="-12"/>
              <w:w w:val="110"/>
              <w:sz w:val="21"/>
            </w:rPr>
            <w:t> </w:t>
          </w:r>
          <w:r>
            <w:rPr>
              <w:rFonts w:ascii="Arial"/>
              <w:color w:val="343133"/>
              <w:w w:val="110"/>
              <w:sz w:val="21"/>
            </w:rPr>
            <w:t>Authority</w:t>
            <w:tab/>
          </w:r>
          <w:r>
            <w:rPr>
              <w:rFonts w:ascii="Arial"/>
              <w:b/>
              <w:color w:val="343133"/>
              <w:w w:val="110"/>
              <w:sz w:val="21"/>
            </w:rPr>
            <w:t>48</w:t>
          </w:r>
        </w:p>
        <w:p>
          <w:pPr>
            <w:numPr>
              <w:ilvl w:val="3"/>
              <w:numId w:val="3"/>
            </w:numPr>
            <w:tabs>
              <w:tab w:pos="2153" w:val="left" w:leader="none"/>
              <w:tab w:pos="2154" w:val="left" w:leader="none"/>
              <w:tab w:pos="7843" w:val="right" w:leader="none"/>
            </w:tabs>
            <w:spacing w:line="247" w:lineRule="exact" w:before="7"/>
            <w:ind w:left="2153" w:right="0" w:hanging="390"/>
            <w:jc w:val="left"/>
            <w:rPr>
              <w:b/>
              <w:color w:val="343133"/>
              <w:sz w:val="22"/>
            </w:rPr>
          </w:pPr>
          <w:hyperlink w:history="true" w:anchor="_TOC_250000">
            <w:r>
              <w:rPr>
                <w:rFonts w:ascii="Arial"/>
                <w:color w:val="343133"/>
                <w:sz w:val="21"/>
              </w:rPr>
              <w:t>Relevant</w:t>
            </w:r>
            <w:r>
              <w:rPr>
                <w:rFonts w:ascii="Arial"/>
                <w:color w:val="343133"/>
                <w:spacing w:val="3"/>
                <w:sz w:val="21"/>
              </w:rPr>
              <w:t> </w:t>
            </w:r>
            <w:r>
              <w:rPr>
                <w:rFonts w:ascii="Arial"/>
                <w:color w:val="343133"/>
                <w:sz w:val="21"/>
              </w:rPr>
              <w:t>Facts</w:t>
              <w:tab/>
            </w:r>
            <w:r>
              <w:rPr>
                <w:b/>
                <w:color w:val="343133"/>
                <w:sz w:val="22"/>
              </w:rPr>
              <w:t>49</w:t>
            </w:r>
          </w:hyperlink>
        </w:p>
        <w:p>
          <w:pPr>
            <w:numPr>
              <w:ilvl w:val="3"/>
              <w:numId w:val="3"/>
            </w:numPr>
            <w:tabs>
              <w:tab w:pos="2144" w:val="left" w:leader="none"/>
              <w:tab w:pos="7837" w:val="right" w:leader="none"/>
            </w:tabs>
            <w:spacing w:line="257" w:lineRule="exact" w:before="0"/>
            <w:ind w:left="2143" w:right="0" w:hanging="375"/>
            <w:jc w:val="left"/>
            <w:rPr>
              <w:b/>
              <w:color w:val="343133"/>
              <w:sz w:val="24"/>
            </w:rPr>
          </w:pPr>
          <w:r>
            <w:rPr>
              <w:rFonts w:ascii="Arial"/>
              <w:color w:val="343133"/>
              <w:w w:val="95"/>
              <w:sz w:val="21"/>
            </w:rPr>
            <w:t>Relevant Legal</w:t>
          </w:r>
          <w:r>
            <w:rPr>
              <w:rFonts w:ascii="Arial"/>
              <w:color w:val="343133"/>
              <w:spacing w:val="-12"/>
              <w:w w:val="95"/>
              <w:sz w:val="21"/>
            </w:rPr>
            <w:t> </w:t>
          </w:r>
          <w:r>
            <w:rPr>
              <w:rFonts w:ascii="Arial"/>
              <w:color w:val="343133"/>
              <w:w w:val="95"/>
              <w:sz w:val="21"/>
            </w:rPr>
            <w:t>Issues</w:t>
            <w:tab/>
          </w:r>
          <w:r>
            <w:rPr>
              <w:b/>
              <w:color w:val="343133"/>
              <w:w w:val="95"/>
              <w:sz w:val="22"/>
            </w:rPr>
            <w:t>50</w:t>
          </w:r>
        </w:p>
        <w:p>
          <w:pPr>
            <w:numPr>
              <w:ilvl w:val="3"/>
              <w:numId w:val="3"/>
            </w:numPr>
            <w:tabs>
              <w:tab w:pos="2133" w:val="left" w:leader="none"/>
              <w:tab w:pos="2134" w:val="left" w:leader="none"/>
              <w:tab w:pos="7833" w:val="right" w:leader="none"/>
            </w:tabs>
            <w:spacing w:line="275" w:lineRule="exact" w:before="0"/>
            <w:ind w:left="2133" w:right="0" w:hanging="379"/>
            <w:jc w:val="left"/>
            <w:rPr>
              <w:b/>
              <w:color w:val="343133"/>
              <w:sz w:val="25"/>
            </w:rPr>
          </w:pPr>
          <w:r>
            <w:rPr>
              <w:rFonts w:ascii="Arial"/>
              <w:color w:val="343133"/>
              <w:sz w:val="21"/>
            </w:rPr>
            <w:t>Relevant</w:t>
          </w:r>
          <w:r>
            <w:rPr>
              <w:rFonts w:ascii="Arial"/>
              <w:color w:val="343133"/>
              <w:spacing w:val="2"/>
              <w:sz w:val="21"/>
            </w:rPr>
            <w:t> </w:t>
          </w:r>
          <w:r>
            <w:rPr>
              <w:rFonts w:ascii="Arial"/>
              <w:color w:val="343133"/>
              <w:sz w:val="21"/>
            </w:rPr>
            <w:t>Sources</w:t>
            <w:tab/>
          </w:r>
          <w:r>
            <w:rPr>
              <w:rFonts w:ascii="Arial"/>
              <w:b/>
              <w:i/>
              <w:color w:val="343133"/>
              <w:sz w:val="20"/>
            </w:rPr>
            <w:t>50</w:t>
          </w:r>
        </w:p>
        <w:p>
          <w:pPr>
            <w:numPr>
              <w:ilvl w:val="4"/>
              <w:numId w:val="3"/>
            </w:numPr>
            <w:tabs>
              <w:tab w:pos="2568" w:val="left" w:leader="none"/>
              <w:tab w:pos="2569" w:val="left" w:leader="none"/>
              <w:tab w:pos="7833" w:val="right" w:leader="none"/>
            </w:tabs>
            <w:spacing w:before="9"/>
            <w:ind w:left="2568" w:right="0" w:hanging="448"/>
            <w:jc w:val="left"/>
            <w:rPr>
              <w:rFonts w:ascii="Arial"/>
              <w:b/>
              <w:i/>
              <w:sz w:val="20"/>
            </w:rPr>
          </w:pPr>
          <w:r>
            <w:rPr>
              <w:rFonts w:ascii="Arial"/>
              <w:color w:val="343133"/>
              <w:sz w:val="21"/>
            </w:rPr>
            <w:t>Legal</w:t>
          </w:r>
          <w:r>
            <w:rPr>
              <w:rFonts w:ascii="Arial"/>
              <w:color w:val="343133"/>
              <w:spacing w:val="-7"/>
              <w:sz w:val="21"/>
            </w:rPr>
            <w:t> </w:t>
          </w:r>
          <w:r>
            <w:rPr>
              <w:rFonts w:ascii="Arial"/>
              <w:color w:val="343133"/>
              <w:sz w:val="21"/>
            </w:rPr>
            <w:t>Sources</w:t>
            <w:tab/>
          </w:r>
          <w:r>
            <w:rPr>
              <w:rFonts w:ascii="Arial"/>
              <w:b/>
              <w:i/>
              <w:color w:val="343133"/>
              <w:sz w:val="20"/>
            </w:rPr>
            <w:t>50</w:t>
          </w:r>
        </w:p>
        <w:p>
          <w:pPr>
            <w:numPr>
              <w:ilvl w:val="4"/>
              <w:numId w:val="3"/>
            </w:numPr>
            <w:tabs>
              <w:tab w:pos="2564" w:val="left" w:leader="none"/>
              <w:tab w:pos="2566" w:val="left" w:leader="none"/>
              <w:tab w:pos="7831" w:val="right" w:leader="none"/>
            </w:tabs>
            <w:spacing w:line="252" w:lineRule="exact" w:before="10"/>
            <w:ind w:left="2565" w:right="0" w:hanging="455"/>
            <w:jc w:val="left"/>
            <w:rPr>
              <w:b/>
              <w:i/>
              <w:sz w:val="22"/>
            </w:rPr>
          </w:pPr>
          <w:r>
            <w:rPr>
              <w:rFonts w:ascii="Arial"/>
              <w:color w:val="343133"/>
              <w:sz w:val="21"/>
            </w:rPr>
            <w:t>"Extra-Legal"</w:t>
          </w:r>
          <w:r>
            <w:rPr>
              <w:rFonts w:ascii="Arial"/>
              <w:color w:val="343133"/>
              <w:spacing w:val="18"/>
              <w:sz w:val="21"/>
            </w:rPr>
            <w:t> </w:t>
          </w:r>
          <w:r>
            <w:rPr>
              <w:rFonts w:ascii="Arial"/>
              <w:color w:val="343133"/>
              <w:sz w:val="21"/>
            </w:rPr>
            <w:t>Sources</w:t>
            <w:tab/>
          </w:r>
          <w:r>
            <w:rPr>
              <w:b/>
              <w:i/>
              <w:color w:val="343133"/>
              <w:sz w:val="22"/>
            </w:rPr>
            <w:t>52</w:t>
          </w:r>
        </w:p>
        <w:p>
          <w:pPr>
            <w:tabs>
              <w:tab w:pos="7845" w:val="right" w:leader="none"/>
            </w:tabs>
            <w:spacing w:line="263" w:lineRule="exact" w:before="0"/>
            <w:ind w:left="2101" w:right="0" w:firstLine="0"/>
            <w:jc w:val="left"/>
            <w:rPr>
              <w:b/>
              <w:sz w:val="23"/>
            </w:rPr>
          </w:pPr>
          <w:r>
            <w:rPr>
              <w:rFonts w:ascii="Arial"/>
              <w:color w:val="343133"/>
              <w:spacing w:val="-1"/>
              <w:w w:val="110"/>
              <w:sz w:val="21"/>
            </w:rPr>
            <w:t>Ill.</w:t>
          </w:r>
          <w:r>
            <w:rPr>
              <w:rFonts w:ascii="Arial"/>
              <w:color w:val="343133"/>
              <w:spacing w:val="51"/>
              <w:w w:val="110"/>
              <w:sz w:val="21"/>
            </w:rPr>
            <w:t> </w:t>
          </w:r>
          <w:r>
            <w:rPr>
              <w:rFonts w:ascii="Arial"/>
              <w:color w:val="343133"/>
              <w:spacing w:val="-1"/>
              <w:w w:val="110"/>
              <w:sz w:val="21"/>
            </w:rPr>
            <w:t>Internet</w:t>
          </w:r>
          <w:r>
            <w:rPr>
              <w:rFonts w:ascii="Arial"/>
              <w:color w:val="343133"/>
              <w:spacing w:val="-18"/>
              <w:w w:val="110"/>
              <w:sz w:val="21"/>
            </w:rPr>
            <w:t> </w:t>
          </w:r>
          <w:r>
            <w:rPr>
              <w:rFonts w:ascii="Arial"/>
              <w:color w:val="343133"/>
              <w:spacing w:val="-1"/>
              <w:w w:val="110"/>
              <w:sz w:val="21"/>
            </w:rPr>
            <w:t>Sources</w:t>
            <w:tab/>
          </w:r>
          <w:r>
            <w:rPr>
              <w:b/>
              <w:color w:val="343133"/>
              <w:w w:val="110"/>
              <w:sz w:val="23"/>
            </w:rPr>
            <w:t>53</w:t>
          </w:r>
        </w:p>
        <w:p>
          <w:pPr>
            <w:pStyle w:val="TOC3"/>
            <w:numPr>
              <w:ilvl w:val="1"/>
              <w:numId w:val="3"/>
            </w:numPr>
            <w:tabs>
              <w:tab w:pos="976" w:val="left" w:leader="none"/>
              <w:tab w:pos="977" w:val="left" w:leader="none"/>
              <w:tab w:pos="7848" w:val="right" w:leader="none"/>
            </w:tabs>
            <w:spacing w:line="240" w:lineRule="auto" w:before="5" w:after="0"/>
            <w:ind w:left="976" w:right="0" w:hanging="701"/>
            <w:jc w:val="left"/>
            <w:rPr>
              <w:rFonts w:ascii="Times New Roman"/>
              <w:b/>
              <w:color w:val="343133"/>
              <w:sz w:val="23"/>
            </w:rPr>
          </w:pPr>
          <w:r>
            <w:rPr>
              <w:color w:val="343133"/>
            </w:rPr>
            <w:t>Executing</w:t>
          </w:r>
          <w:r>
            <w:rPr>
              <w:color w:val="343133"/>
              <w:spacing w:val="-2"/>
            </w:rPr>
            <w:t> </w:t>
          </w:r>
          <w:r>
            <w:rPr>
              <w:color w:val="343133"/>
            </w:rPr>
            <w:t>Your</w:t>
          </w:r>
          <w:r>
            <w:rPr>
              <w:color w:val="343133"/>
              <w:spacing w:val="-4"/>
            </w:rPr>
            <w:t> </w:t>
          </w:r>
          <w:r>
            <w:rPr>
              <w:color w:val="343133"/>
            </w:rPr>
            <w:t>Research</w:t>
          </w:r>
          <w:r>
            <w:rPr>
              <w:color w:val="343133"/>
              <w:spacing w:val="10"/>
            </w:rPr>
            <w:t> </w:t>
          </w:r>
          <w:r>
            <w:rPr>
              <w:color w:val="343133"/>
            </w:rPr>
            <w:t>Plan</w:t>
            <w:tab/>
          </w:r>
          <w:r>
            <w:rPr>
              <w:rFonts w:ascii="Times New Roman"/>
              <w:b/>
              <w:color w:val="343133"/>
              <w:sz w:val="23"/>
            </w:rPr>
            <w:t>54</w:t>
          </w:r>
        </w:p>
        <w:p>
          <w:pPr>
            <w:pStyle w:val="TOC9"/>
            <w:numPr>
              <w:ilvl w:val="2"/>
              <w:numId w:val="3"/>
            </w:numPr>
            <w:tabs>
              <w:tab w:pos="1710" w:val="left" w:leader="none"/>
              <w:tab w:pos="7836" w:val="right" w:leader="none"/>
            </w:tabs>
            <w:spacing w:line="240" w:lineRule="auto" w:before="5" w:after="0"/>
            <w:ind w:left="1709" w:right="0" w:hanging="730"/>
            <w:jc w:val="left"/>
            <w:rPr>
              <w:rFonts w:ascii="Times New Roman"/>
              <w:b/>
              <w:sz w:val="23"/>
            </w:rPr>
          </w:pPr>
          <w:r>
            <w:rPr>
              <w:color w:val="343133"/>
            </w:rPr>
            <w:t>Researching</w:t>
          </w:r>
          <w:r>
            <w:rPr>
              <w:color w:val="343133"/>
              <w:spacing w:val="9"/>
            </w:rPr>
            <w:t> </w:t>
          </w:r>
          <w:r>
            <w:rPr>
              <w:color w:val="343133"/>
            </w:rPr>
            <w:t>Statutory</w:t>
          </w:r>
          <w:r>
            <w:rPr>
              <w:color w:val="343133"/>
              <w:spacing w:val="-6"/>
            </w:rPr>
            <w:t> </w:t>
          </w:r>
          <w:r>
            <w:rPr>
              <w:color w:val="343133"/>
            </w:rPr>
            <w:t>Issues</w:t>
            <w:tab/>
          </w:r>
          <w:r>
            <w:rPr>
              <w:rFonts w:ascii="Times New Roman"/>
              <w:b/>
              <w:color w:val="343133"/>
              <w:sz w:val="23"/>
            </w:rPr>
            <w:t>55</w:t>
          </w:r>
        </w:p>
        <w:p>
          <w:pPr>
            <w:pStyle w:val="TOC9"/>
            <w:numPr>
              <w:ilvl w:val="2"/>
              <w:numId w:val="3"/>
            </w:numPr>
            <w:tabs>
              <w:tab w:pos="1705" w:val="left" w:leader="none"/>
              <w:tab w:pos="7837" w:val="right" w:leader="none"/>
            </w:tabs>
            <w:spacing w:line="240" w:lineRule="auto" w:before="5" w:after="0"/>
            <w:ind w:left="1704" w:right="0" w:hanging="735"/>
            <w:jc w:val="left"/>
            <w:rPr>
              <w:rFonts w:ascii="Times New Roman"/>
              <w:b/>
              <w:i/>
              <w:sz w:val="22"/>
            </w:rPr>
          </w:pPr>
          <w:r>
            <w:rPr>
              <w:color w:val="343133"/>
              <w:w w:val="105"/>
            </w:rPr>
            <w:t>Writing to</w:t>
          </w:r>
          <w:r>
            <w:rPr>
              <w:color w:val="343133"/>
              <w:spacing w:val="5"/>
              <w:w w:val="105"/>
            </w:rPr>
            <w:t> </w:t>
          </w:r>
          <w:r>
            <w:rPr>
              <w:color w:val="343133"/>
              <w:w w:val="105"/>
            </w:rPr>
            <w:t>Courts</w:t>
          </w:r>
          <w:r>
            <w:rPr>
              <w:color w:val="343133"/>
              <w:spacing w:val="3"/>
              <w:w w:val="105"/>
            </w:rPr>
            <w:t> </w:t>
          </w:r>
          <w:r>
            <w:rPr>
              <w:color w:val="343133"/>
              <w:w w:val="105"/>
            </w:rPr>
            <w:t>of</w:t>
          </w:r>
          <w:r>
            <w:rPr>
              <w:color w:val="343133"/>
              <w:spacing w:val="4"/>
              <w:w w:val="105"/>
            </w:rPr>
            <w:t> </w:t>
          </w:r>
          <w:r>
            <w:rPr>
              <w:color w:val="343133"/>
              <w:w w:val="105"/>
            </w:rPr>
            <w:t>Last</w:t>
          </w:r>
          <w:r>
            <w:rPr>
              <w:color w:val="343133"/>
              <w:spacing w:val="-14"/>
              <w:w w:val="105"/>
            </w:rPr>
            <w:t> </w:t>
          </w:r>
          <w:r>
            <w:rPr>
              <w:color w:val="343133"/>
              <w:w w:val="105"/>
            </w:rPr>
            <w:t>Resort</w:t>
            <w:tab/>
          </w:r>
          <w:r>
            <w:rPr>
              <w:rFonts w:ascii="Times New Roman"/>
              <w:b/>
              <w:i/>
              <w:color w:val="343133"/>
              <w:w w:val="105"/>
              <w:sz w:val="22"/>
            </w:rPr>
            <w:t>56</w:t>
          </w:r>
        </w:p>
        <w:p>
          <w:pPr>
            <w:pStyle w:val="TOC9"/>
            <w:numPr>
              <w:ilvl w:val="2"/>
              <w:numId w:val="3"/>
            </w:numPr>
            <w:tabs>
              <w:tab w:pos="1690" w:val="left" w:leader="none"/>
            </w:tabs>
            <w:spacing w:line="240" w:lineRule="auto" w:before="7" w:after="0"/>
            <w:ind w:left="1689" w:right="0" w:hanging="739"/>
            <w:jc w:val="left"/>
          </w:pPr>
          <w:r>
            <w:rPr>
              <w:color w:val="343133"/>
              <w:w w:val="105"/>
            </w:rPr>
            <w:t>Harvesting</w:t>
          </w:r>
          <w:r>
            <w:rPr>
              <w:color w:val="343133"/>
              <w:spacing w:val="8"/>
              <w:w w:val="105"/>
            </w:rPr>
            <w:t> </w:t>
          </w:r>
          <w:r>
            <w:rPr>
              <w:color w:val="343133"/>
              <w:w w:val="105"/>
            </w:rPr>
            <w:t>Arguments</w:t>
          </w:r>
          <w:r>
            <w:rPr>
              <w:color w:val="343133"/>
              <w:spacing w:val="21"/>
              <w:w w:val="105"/>
            </w:rPr>
            <w:t> </w:t>
          </w:r>
          <w:r>
            <w:rPr>
              <w:color w:val="343133"/>
              <w:w w:val="105"/>
            </w:rPr>
            <w:t>from</w:t>
          </w:r>
          <w:r>
            <w:rPr>
              <w:color w:val="343133"/>
              <w:spacing w:val="19"/>
              <w:w w:val="105"/>
            </w:rPr>
            <w:t> </w:t>
          </w:r>
          <w:r>
            <w:rPr>
              <w:color w:val="343133"/>
              <w:w w:val="105"/>
            </w:rPr>
            <w:t>Nonmandatory</w:t>
          </w:r>
        </w:p>
        <w:p>
          <w:pPr>
            <w:tabs>
              <w:tab w:pos="7846" w:val="right" w:leader="none"/>
            </w:tabs>
            <w:spacing w:before="7"/>
            <w:ind w:left="1678" w:right="0" w:firstLine="0"/>
            <w:jc w:val="left"/>
            <w:rPr>
              <w:b/>
              <w:sz w:val="22"/>
            </w:rPr>
          </w:pPr>
          <w:r>
            <w:rPr>
              <w:rFonts w:ascii="Arial"/>
              <w:color w:val="343133"/>
              <w:w w:val="105"/>
              <w:sz w:val="21"/>
            </w:rPr>
            <w:t>Authorities</w:t>
            <w:tab/>
          </w:r>
          <w:r>
            <w:rPr>
              <w:b/>
              <w:color w:val="343133"/>
              <w:w w:val="105"/>
              <w:sz w:val="22"/>
            </w:rPr>
            <w:t>58</w:t>
          </w:r>
        </w:p>
        <w:p>
          <w:pPr>
            <w:pStyle w:val="TOC3"/>
            <w:numPr>
              <w:ilvl w:val="1"/>
              <w:numId w:val="3"/>
            </w:numPr>
            <w:tabs>
              <w:tab w:pos="930" w:val="left" w:leader="none"/>
              <w:tab w:pos="931" w:val="left" w:leader="none"/>
              <w:tab w:pos="7816" w:val="right" w:leader="none"/>
            </w:tabs>
            <w:spacing w:line="252" w:lineRule="exact" w:before="7" w:after="0"/>
            <w:ind w:left="930" w:right="0" w:hanging="694"/>
            <w:jc w:val="left"/>
            <w:rPr>
              <w:rFonts w:ascii="Times New Roman"/>
              <w:b/>
              <w:color w:val="343133"/>
              <w:sz w:val="22"/>
            </w:rPr>
          </w:pPr>
          <w:r>
            <w:rPr>
              <w:color w:val="343133"/>
              <w:spacing w:val="-1"/>
              <w:w w:val="105"/>
            </w:rPr>
            <w:t>The</w:t>
          </w:r>
          <w:r>
            <w:rPr>
              <w:color w:val="343133"/>
              <w:spacing w:val="-23"/>
              <w:w w:val="105"/>
            </w:rPr>
            <w:t> </w:t>
          </w:r>
          <w:r>
            <w:rPr>
              <w:color w:val="343133"/>
              <w:spacing w:val="-1"/>
              <w:w w:val="105"/>
            </w:rPr>
            <w:t>Legal</w:t>
          </w:r>
          <w:r>
            <w:rPr>
              <w:color w:val="343133"/>
              <w:spacing w:val="-12"/>
              <w:w w:val="105"/>
            </w:rPr>
            <w:t> </w:t>
          </w:r>
          <w:r>
            <w:rPr>
              <w:color w:val="343133"/>
              <w:spacing w:val="-1"/>
              <w:w w:val="105"/>
            </w:rPr>
            <w:t>Writer</w:t>
          </w:r>
          <w:r>
            <w:rPr>
              <w:color w:val="343133"/>
              <w:spacing w:val="-8"/>
              <w:w w:val="105"/>
            </w:rPr>
            <w:t> </w:t>
          </w:r>
          <w:r>
            <w:rPr>
              <w:color w:val="343133"/>
              <w:spacing w:val="-1"/>
              <w:w w:val="105"/>
            </w:rPr>
            <w:t>as</w:t>
          </w:r>
          <w:r>
            <w:rPr>
              <w:color w:val="343133"/>
              <w:spacing w:val="-14"/>
              <w:w w:val="105"/>
            </w:rPr>
            <w:t> </w:t>
          </w:r>
          <w:r>
            <w:rPr>
              <w:color w:val="343133"/>
              <w:spacing w:val="-1"/>
              <w:w w:val="105"/>
            </w:rPr>
            <w:t>Digital</w:t>
          </w:r>
          <w:r>
            <w:rPr>
              <w:color w:val="343133"/>
              <w:spacing w:val="-11"/>
              <w:w w:val="105"/>
            </w:rPr>
            <w:t> </w:t>
          </w:r>
          <w:r>
            <w:rPr>
              <w:color w:val="343133"/>
              <w:spacing w:val="-1"/>
              <w:w w:val="105"/>
            </w:rPr>
            <w:t>Reader</w:t>
            <w:tab/>
          </w:r>
          <w:r>
            <w:rPr>
              <w:rFonts w:ascii="Times New Roman"/>
              <w:b/>
              <w:color w:val="343133"/>
              <w:w w:val="105"/>
              <w:sz w:val="22"/>
            </w:rPr>
            <w:t>62</w:t>
          </w:r>
        </w:p>
        <w:p>
          <w:pPr>
            <w:pStyle w:val="TOC3"/>
            <w:numPr>
              <w:ilvl w:val="1"/>
              <w:numId w:val="3"/>
            </w:numPr>
            <w:tabs>
              <w:tab w:pos="920" w:val="left" w:leader="none"/>
              <w:tab w:pos="921" w:val="left" w:leader="none"/>
              <w:tab w:pos="7821" w:val="right" w:leader="none"/>
            </w:tabs>
            <w:spacing w:line="263" w:lineRule="exact" w:before="0" w:after="0"/>
            <w:ind w:left="920" w:right="0" w:hanging="684"/>
            <w:jc w:val="left"/>
            <w:rPr>
              <w:rFonts w:ascii="Times New Roman"/>
              <w:b/>
              <w:color w:val="343133"/>
              <w:sz w:val="23"/>
            </w:rPr>
          </w:pPr>
          <w:r>
            <w:rPr>
              <w:color w:val="343133"/>
              <w:w w:val="110"/>
            </w:rPr>
            <w:t>Knowing</w:t>
          </w:r>
          <w:r>
            <w:rPr>
              <w:color w:val="343133"/>
              <w:spacing w:val="-14"/>
              <w:w w:val="110"/>
            </w:rPr>
            <w:t> </w:t>
          </w:r>
          <w:r>
            <w:rPr>
              <w:color w:val="343133"/>
              <w:w w:val="110"/>
            </w:rPr>
            <w:t>When</w:t>
          </w:r>
          <w:r>
            <w:rPr>
              <w:color w:val="343133"/>
              <w:spacing w:val="-14"/>
              <w:w w:val="110"/>
            </w:rPr>
            <w:t> </w:t>
          </w:r>
          <w:r>
            <w:rPr>
              <w:color w:val="343133"/>
              <w:w w:val="110"/>
            </w:rPr>
            <w:t>to</w:t>
          </w:r>
          <w:r>
            <w:rPr>
              <w:color w:val="343133"/>
              <w:spacing w:val="19"/>
              <w:w w:val="110"/>
            </w:rPr>
            <w:t> </w:t>
          </w:r>
          <w:r>
            <w:rPr>
              <w:color w:val="343133"/>
              <w:w w:val="110"/>
            </w:rPr>
            <w:t>Stop</w:t>
            <w:tab/>
          </w:r>
          <w:r>
            <w:rPr>
              <w:rFonts w:ascii="Times New Roman"/>
              <w:b/>
              <w:i/>
              <w:color w:val="343133"/>
              <w:w w:val="110"/>
              <w:sz w:val="22"/>
            </w:rPr>
            <w:t>65</w:t>
          </w:r>
        </w:p>
        <w:p>
          <w:pPr>
            <w:pStyle w:val="TOC3"/>
            <w:numPr>
              <w:ilvl w:val="1"/>
              <w:numId w:val="3"/>
            </w:numPr>
            <w:tabs>
              <w:tab w:pos="925" w:val="left" w:leader="none"/>
              <w:tab w:pos="926" w:val="left" w:leader="none"/>
              <w:tab w:pos="7845" w:val="right" w:leader="none"/>
            </w:tabs>
            <w:spacing w:line="240" w:lineRule="auto" w:before="4" w:after="0"/>
            <w:ind w:left="925" w:right="0" w:hanging="698"/>
            <w:jc w:val="left"/>
            <w:rPr>
              <w:rFonts w:ascii="Times New Roman"/>
              <w:b/>
              <w:color w:val="343133"/>
              <w:sz w:val="22"/>
            </w:rPr>
          </w:pPr>
          <w:r>
            <w:rPr>
              <w:color w:val="343133"/>
              <w:w w:val="105"/>
            </w:rPr>
            <w:t>Summary</w:t>
            <w:tab/>
          </w:r>
          <w:r>
            <w:rPr>
              <w:b/>
              <w:i/>
              <w:color w:val="343133"/>
              <w:w w:val="105"/>
              <w:sz w:val="22"/>
            </w:rPr>
            <w:t>66</w:t>
          </w:r>
        </w:p>
        <w:p>
          <w:pPr>
            <w:pStyle w:val="TOC2"/>
          </w:pPr>
          <w:r>
            <w:rPr>
              <w:color w:val="343133"/>
              <w:w w:val="95"/>
            </w:rPr>
            <w:t>CHAPTER</w:t>
          </w:r>
          <w:r>
            <w:rPr>
              <w:color w:val="343133"/>
              <w:spacing w:val="-3"/>
              <w:w w:val="95"/>
            </w:rPr>
            <w:t> </w:t>
          </w:r>
          <w:r>
            <w:rPr>
              <w:color w:val="343133"/>
              <w:w w:val="95"/>
            </w:rPr>
            <w:t>FOUR</w:t>
          </w:r>
        </w:p>
        <w:p>
          <w:pPr>
            <w:pStyle w:val="TOC4"/>
            <w:tabs>
              <w:tab w:pos="7584" w:val="left" w:leader="none"/>
            </w:tabs>
            <w:rPr>
              <w:rFonts w:ascii="Times New Roman"/>
              <w:i/>
              <w:sz w:val="22"/>
            </w:rPr>
          </w:pPr>
          <w:r>
            <w:rPr>
              <w:b w:val="0"/>
              <w:i w:val="0"/>
              <w:color w:val="565456"/>
              <w:w w:val="105"/>
              <w:position w:val="2"/>
              <w:sz w:val="24"/>
            </w:rPr>
            <w:t>FA</w:t>
          </w:r>
          <w:r>
            <w:rPr>
              <w:b w:val="0"/>
              <w:i w:val="0"/>
              <w:color w:val="343133"/>
              <w:w w:val="105"/>
              <w:position w:val="2"/>
              <w:sz w:val="24"/>
            </w:rPr>
            <w:t>CI</w:t>
          </w:r>
          <w:r>
            <w:rPr>
              <w:b w:val="0"/>
              <w:i w:val="0"/>
              <w:color w:val="565456"/>
              <w:w w:val="105"/>
              <w:position w:val="2"/>
              <w:sz w:val="24"/>
            </w:rPr>
            <w:t>N</w:t>
          </w:r>
          <w:r>
            <w:rPr>
              <w:b w:val="0"/>
              <w:i w:val="0"/>
              <w:color w:val="343133"/>
              <w:w w:val="105"/>
              <w:position w:val="2"/>
              <w:sz w:val="24"/>
            </w:rPr>
            <w:t>G</w:t>
          </w:r>
          <w:r>
            <w:rPr>
              <w:b w:val="0"/>
              <w:i w:val="0"/>
              <w:color w:val="343133"/>
              <w:spacing w:val="41"/>
              <w:w w:val="105"/>
              <w:position w:val="2"/>
              <w:sz w:val="24"/>
            </w:rPr>
            <w:t> </w:t>
          </w:r>
          <w:r>
            <w:rPr>
              <w:b w:val="0"/>
              <w:i w:val="0"/>
              <w:color w:val="343133"/>
              <w:w w:val="105"/>
              <w:position w:val="2"/>
              <w:sz w:val="25"/>
            </w:rPr>
            <w:t>T</w:t>
          </w:r>
          <w:r>
            <w:rPr>
              <w:b w:val="0"/>
              <w:i w:val="0"/>
              <w:color w:val="565456"/>
              <w:w w:val="105"/>
              <w:position w:val="2"/>
              <w:sz w:val="25"/>
            </w:rPr>
            <w:t>H</w:t>
          </w:r>
          <w:r>
            <w:rPr>
              <w:b w:val="0"/>
              <w:i w:val="0"/>
              <w:color w:val="343133"/>
              <w:w w:val="105"/>
              <w:position w:val="2"/>
              <w:sz w:val="25"/>
            </w:rPr>
            <w:t>E</w:t>
          </w:r>
          <w:r>
            <w:rPr>
              <w:b w:val="0"/>
              <w:i w:val="0"/>
              <w:color w:val="343133"/>
              <w:spacing w:val="-11"/>
              <w:w w:val="105"/>
              <w:position w:val="2"/>
              <w:sz w:val="25"/>
            </w:rPr>
            <w:t> </w:t>
          </w:r>
          <w:r>
            <w:rPr>
              <w:b w:val="0"/>
              <w:i w:val="0"/>
              <w:color w:val="565456"/>
              <w:w w:val="105"/>
              <w:position w:val="2"/>
              <w:sz w:val="25"/>
            </w:rPr>
            <w:t>B</w:t>
          </w:r>
          <w:r>
            <w:rPr>
              <w:b w:val="0"/>
              <w:i w:val="0"/>
              <w:color w:val="343133"/>
              <w:w w:val="105"/>
              <w:position w:val="2"/>
              <w:sz w:val="25"/>
            </w:rPr>
            <w:t>LA</w:t>
          </w:r>
          <w:r>
            <w:rPr>
              <w:b w:val="0"/>
              <w:i w:val="0"/>
              <w:color w:val="565456"/>
              <w:w w:val="105"/>
              <w:position w:val="2"/>
              <w:sz w:val="25"/>
            </w:rPr>
            <w:t>NK</w:t>
          </w:r>
          <w:r>
            <w:rPr>
              <w:b w:val="0"/>
              <w:i w:val="0"/>
              <w:color w:val="565456"/>
              <w:spacing w:val="36"/>
              <w:w w:val="105"/>
              <w:position w:val="2"/>
              <w:sz w:val="25"/>
            </w:rPr>
            <w:t> </w:t>
          </w:r>
          <w:r>
            <w:rPr>
              <w:b w:val="0"/>
              <w:i w:val="0"/>
              <w:color w:val="565456"/>
              <w:w w:val="105"/>
              <w:position w:val="2"/>
              <w:sz w:val="25"/>
            </w:rPr>
            <w:t>P</w:t>
          </w:r>
          <w:r>
            <w:rPr>
              <w:b w:val="0"/>
              <w:i w:val="0"/>
              <w:color w:val="343133"/>
              <w:w w:val="105"/>
              <w:position w:val="2"/>
              <w:sz w:val="25"/>
            </w:rPr>
            <w:t>AGE</w:t>
            <w:tab/>
          </w:r>
          <w:r>
            <w:rPr>
              <w:rFonts w:ascii="Times New Roman"/>
              <w:i/>
              <w:color w:val="343133"/>
              <w:w w:val="110"/>
              <w:sz w:val="22"/>
            </w:rPr>
            <w:t>67</w:t>
          </w:r>
        </w:p>
        <w:p>
          <w:pPr>
            <w:pStyle w:val="TOC1"/>
            <w:numPr>
              <w:ilvl w:val="1"/>
              <w:numId w:val="4"/>
            </w:numPr>
            <w:tabs>
              <w:tab w:pos="898" w:val="left" w:leader="none"/>
              <w:tab w:pos="899" w:val="left" w:leader="none"/>
              <w:tab w:pos="7584" w:val="left" w:leader="none"/>
            </w:tabs>
            <w:spacing w:line="240" w:lineRule="auto" w:before="132" w:after="0"/>
            <w:ind w:left="898" w:right="0" w:hanging="712"/>
            <w:jc w:val="left"/>
            <w:rPr>
              <w:rFonts w:ascii="Times New Roman"/>
              <w:b/>
              <w:color w:val="343133"/>
              <w:sz w:val="22"/>
            </w:rPr>
          </w:pPr>
          <w:r>
            <w:rPr>
              <w:color w:val="343133"/>
              <w:w w:val="105"/>
            </w:rPr>
            <w:t>Finding</w:t>
          </w:r>
          <w:r>
            <w:rPr>
              <w:color w:val="343133"/>
              <w:spacing w:val="10"/>
              <w:w w:val="105"/>
            </w:rPr>
            <w:t> </w:t>
          </w:r>
          <w:r>
            <w:rPr>
              <w:color w:val="343133"/>
              <w:w w:val="105"/>
            </w:rPr>
            <w:t>Structure</w:t>
            <w:tab/>
          </w:r>
          <w:r>
            <w:rPr>
              <w:rFonts w:ascii="Times New Roman"/>
              <w:b/>
              <w:i/>
              <w:color w:val="343133"/>
              <w:w w:val="110"/>
              <w:sz w:val="22"/>
            </w:rPr>
            <w:t>67</w:t>
          </w:r>
        </w:p>
        <w:p>
          <w:pPr>
            <w:pStyle w:val="TOC8"/>
            <w:numPr>
              <w:ilvl w:val="2"/>
              <w:numId w:val="4"/>
            </w:numPr>
            <w:tabs>
              <w:tab w:pos="1623" w:val="left" w:leader="none"/>
            </w:tabs>
            <w:spacing w:line="246" w:lineRule="exact" w:before="36" w:after="0"/>
            <w:ind w:left="1622" w:right="0" w:hanging="732"/>
            <w:jc w:val="left"/>
            <w:rPr>
              <w:rFonts w:ascii="Times New Roman"/>
              <w:b/>
              <w:color w:val="343133"/>
              <w:sz w:val="22"/>
            </w:rPr>
          </w:pPr>
          <w:r>
            <w:rPr>
              <w:color w:val="343133"/>
            </w:rPr>
            <w:t>Using</w:t>
          </w:r>
          <w:r>
            <w:rPr>
              <w:color w:val="343133"/>
              <w:spacing w:val="8"/>
            </w:rPr>
            <w:t> </w:t>
          </w:r>
          <w:r>
            <w:rPr>
              <w:color w:val="343133"/>
            </w:rPr>
            <w:t>Existing</w:t>
          </w:r>
          <w:r>
            <w:rPr>
              <w:color w:val="343133"/>
              <w:spacing w:val="6"/>
            </w:rPr>
            <w:t> </w:t>
          </w:r>
          <w:r>
            <w:rPr>
              <w:color w:val="343133"/>
            </w:rPr>
            <w:t>Rules</w:t>
          </w:r>
          <w:r>
            <w:rPr>
              <w:color w:val="343133"/>
              <w:spacing w:val="9"/>
            </w:rPr>
            <w:t> </w:t>
          </w:r>
          <w:r>
            <w:rPr>
              <w:color w:val="343133"/>
            </w:rPr>
            <w:t>and</w:t>
          </w:r>
          <w:r>
            <w:rPr>
              <w:color w:val="343133"/>
              <w:spacing w:val="61"/>
            </w:rPr>
            <w:t> </w:t>
          </w:r>
          <w:r>
            <w:rPr>
              <w:color w:val="343133"/>
            </w:rPr>
            <w:t>the</w:t>
          </w:r>
          <w:r>
            <w:rPr>
              <w:color w:val="343133"/>
              <w:spacing w:val="71"/>
            </w:rPr>
            <w:t> </w:t>
          </w:r>
          <w:r>
            <w:rPr>
              <w:color w:val="343133"/>
            </w:rPr>
            <w:t>"Phrase-That-Pays"</w:t>
          </w:r>
        </w:p>
        <w:p>
          <w:pPr>
            <w:tabs>
              <w:tab w:pos="7578" w:val="left" w:leader="none"/>
            </w:tabs>
            <w:spacing w:line="264" w:lineRule="exact" w:before="0"/>
            <w:ind w:left="1636" w:right="0" w:firstLine="0"/>
            <w:jc w:val="left"/>
            <w:rPr>
              <w:rFonts w:ascii="Arial"/>
              <w:b/>
              <w:sz w:val="23"/>
            </w:rPr>
          </w:pPr>
          <w:r>
            <w:rPr>
              <w:rFonts w:ascii="Arial"/>
              <w:color w:val="343133"/>
              <w:w w:val="105"/>
              <w:sz w:val="21"/>
            </w:rPr>
            <w:t>to</w:t>
          </w:r>
          <w:r>
            <w:rPr>
              <w:rFonts w:ascii="Arial"/>
              <w:color w:val="343133"/>
              <w:spacing w:val="21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Structure</w:t>
          </w:r>
          <w:r>
            <w:rPr>
              <w:rFonts w:ascii="Arial"/>
              <w:color w:val="343133"/>
              <w:spacing w:val="9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Your</w:t>
          </w:r>
          <w:r>
            <w:rPr>
              <w:rFonts w:ascii="Arial"/>
              <w:color w:val="343133"/>
              <w:spacing w:val="-6"/>
              <w:w w:val="105"/>
              <w:sz w:val="21"/>
            </w:rPr>
            <w:t> </w:t>
          </w:r>
          <w:r>
            <w:rPr>
              <w:rFonts w:ascii="Arial"/>
              <w:color w:val="343133"/>
              <w:w w:val="105"/>
              <w:sz w:val="21"/>
            </w:rPr>
            <w:t>Argument</w:t>
            <w:tab/>
          </w:r>
          <w:r>
            <w:rPr>
              <w:rFonts w:ascii="Arial"/>
              <w:b/>
              <w:color w:val="343133"/>
              <w:w w:val="105"/>
              <w:position w:val="1"/>
              <w:sz w:val="23"/>
            </w:rPr>
            <w:t>68</w:t>
          </w:r>
        </w:p>
      </w:sdtContent>
    </w:sdt>
    <w:p>
      <w:pPr>
        <w:spacing w:after="0" w:line="264" w:lineRule="exact"/>
        <w:jc w:val="left"/>
        <w:rPr>
          <w:rFonts w:ascii="Arial"/>
          <w:sz w:val="23"/>
        </w:rPr>
        <w:sectPr>
          <w:headerReference w:type="even" r:id="rId6"/>
          <w:headerReference w:type="default" r:id="rId7"/>
          <w:pgSz w:w="9720" w:h="13830"/>
          <w:pgMar w:header="457" w:footer="0" w:top="1100" w:bottom="280" w:left="1340" w:right="380"/>
          <w:pgNumType w:start="12"/>
        </w:sectPr>
      </w:pPr>
    </w:p>
    <w:p>
      <w:pPr>
        <w:pStyle w:val="ListParagraph"/>
        <w:numPr>
          <w:ilvl w:val="2"/>
          <w:numId w:val="4"/>
        </w:numPr>
        <w:tabs>
          <w:tab w:pos="1536" w:val="left" w:leader="none"/>
        </w:tabs>
        <w:spacing w:line="266" w:lineRule="exact" w:before="83" w:after="0"/>
        <w:ind w:left="1535" w:right="0" w:hanging="735"/>
        <w:jc w:val="left"/>
        <w:rPr>
          <w:rFonts w:ascii="Courier New"/>
          <w:b/>
          <w:color w:val="333131"/>
          <w:sz w:val="23"/>
        </w:rPr>
      </w:pPr>
      <w:r>
        <w:rPr>
          <w:rFonts w:ascii="Arial"/>
          <w:color w:val="333131"/>
          <w:position w:val="1"/>
          <w:sz w:val="21"/>
        </w:rPr>
        <w:t>Using</w:t>
      </w:r>
      <w:r>
        <w:rPr>
          <w:rFonts w:ascii="Arial"/>
          <w:color w:val="333131"/>
          <w:spacing w:val="-4"/>
          <w:position w:val="1"/>
          <w:sz w:val="21"/>
        </w:rPr>
        <w:t> </w:t>
      </w:r>
      <w:r>
        <w:rPr>
          <w:rFonts w:ascii="Arial"/>
          <w:color w:val="333131"/>
          <w:position w:val="1"/>
          <w:sz w:val="21"/>
        </w:rPr>
        <w:t>Your</w:t>
      </w:r>
      <w:r>
        <w:rPr>
          <w:rFonts w:ascii="Arial"/>
          <w:color w:val="333131"/>
          <w:spacing w:val="9"/>
          <w:position w:val="1"/>
          <w:sz w:val="21"/>
        </w:rPr>
        <w:t> </w:t>
      </w:r>
      <w:r>
        <w:rPr>
          <w:rFonts w:ascii="Arial"/>
          <w:color w:val="333131"/>
          <w:position w:val="1"/>
          <w:sz w:val="21"/>
        </w:rPr>
        <w:t>Research</w:t>
      </w:r>
      <w:r>
        <w:rPr>
          <w:rFonts w:ascii="Arial"/>
          <w:color w:val="333131"/>
          <w:spacing w:val="16"/>
          <w:position w:val="1"/>
          <w:sz w:val="21"/>
        </w:rPr>
        <w:t> </w:t>
      </w:r>
      <w:r>
        <w:rPr>
          <w:rFonts w:ascii="Arial"/>
          <w:color w:val="333131"/>
          <w:position w:val="1"/>
          <w:sz w:val="21"/>
        </w:rPr>
        <w:t>to</w:t>
      </w:r>
      <w:r>
        <w:rPr>
          <w:rFonts w:ascii="Arial"/>
          <w:color w:val="333131"/>
          <w:spacing w:val="38"/>
          <w:position w:val="1"/>
          <w:sz w:val="21"/>
        </w:rPr>
        <w:t> </w:t>
      </w:r>
      <w:r>
        <w:rPr>
          <w:rFonts w:ascii="Arial"/>
          <w:color w:val="333131"/>
          <w:position w:val="1"/>
          <w:sz w:val="21"/>
        </w:rPr>
        <w:t>Help</w:t>
      </w:r>
      <w:r>
        <w:rPr>
          <w:rFonts w:ascii="Arial"/>
          <w:color w:val="333131"/>
          <w:spacing w:val="-12"/>
          <w:position w:val="1"/>
          <w:sz w:val="21"/>
        </w:rPr>
        <w:t> </w:t>
      </w:r>
      <w:r>
        <w:rPr>
          <w:rFonts w:ascii="Arial"/>
          <w:color w:val="333131"/>
          <w:position w:val="1"/>
          <w:sz w:val="21"/>
        </w:rPr>
        <w:t>You</w:t>
      </w:r>
      <w:r>
        <w:rPr>
          <w:rFonts w:ascii="Arial"/>
          <w:color w:val="333131"/>
          <w:spacing w:val="-16"/>
          <w:position w:val="1"/>
          <w:sz w:val="21"/>
        </w:rPr>
        <w:t> </w:t>
      </w:r>
      <w:r>
        <w:rPr>
          <w:rFonts w:ascii="Arial"/>
          <w:color w:val="333131"/>
          <w:position w:val="1"/>
          <w:sz w:val="21"/>
        </w:rPr>
        <w:t>Structure</w:t>
      </w:r>
      <w:r>
        <w:rPr>
          <w:rFonts w:ascii="Arial"/>
          <w:color w:val="333131"/>
          <w:spacing w:val="1"/>
          <w:position w:val="1"/>
          <w:sz w:val="21"/>
        </w:rPr>
        <w:t> </w:t>
      </w:r>
      <w:r>
        <w:rPr>
          <w:rFonts w:ascii="Arial"/>
          <w:color w:val="333131"/>
          <w:position w:val="1"/>
          <w:sz w:val="21"/>
        </w:rPr>
        <w:t>Your</w:t>
      </w:r>
    </w:p>
    <w:p>
      <w:pPr>
        <w:tabs>
          <w:tab w:pos="7385" w:val="left" w:leader="none"/>
        </w:tabs>
        <w:spacing w:line="250" w:lineRule="exact" w:before="0"/>
        <w:ind w:left="1552" w:right="0" w:firstLine="0"/>
        <w:jc w:val="left"/>
        <w:rPr>
          <w:rFonts w:ascii="Courier New"/>
          <w:b/>
          <w:sz w:val="23"/>
        </w:rPr>
      </w:pPr>
      <w:r>
        <w:rPr>
          <w:rFonts w:ascii="Arial"/>
          <w:color w:val="333131"/>
          <w:w w:val="105"/>
          <w:sz w:val="21"/>
        </w:rPr>
        <w:t>Argument</w:t>
        <w:tab/>
      </w:r>
      <w:r>
        <w:rPr>
          <w:rFonts w:ascii="Courier New"/>
          <w:b/>
          <w:color w:val="333131"/>
          <w:w w:val="105"/>
          <w:position w:val="2"/>
          <w:sz w:val="23"/>
        </w:rPr>
        <w:t>71</w:t>
      </w:r>
    </w:p>
    <w:p>
      <w:pPr>
        <w:pStyle w:val="ListParagraph"/>
        <w:numPr>
          <w:ilvl w:val="2"/>
          <w:numId w:val="4"/>
        </w:numPr>
        <w:tabs>
          <w:tab w:pos="1545" w:val="left" w:leader="none"/>
          <w:tab w:pos="7395" w:val="left" w:leader="none"/>
        </w:tabs>
        <w:spacing w:line="272" w:lineRule="exact" w:before="0" w:after="0"/>
        <w:ind w:left="1544" w:right="0" w:hanging="744"/>
        <w:jc w:val="left"/>
        <w:rPr>
          <w:rFonts w:ascii="Courier New"/>
          <w:b/>
          <w:color w:val="333131"/>
          <w:sz w:val="23"/>
        </w:rPr>
      </w:pPr>
      <w:r>
        <w:rPr>
          <w:rFonts w:ascii="Arial"/>
          <w:color w:val="333131"/>
          <w:position w:val="1"/>
          <w:sz w:val="21"/>
        </w:rPr>
        <w:t>Using</w:t>
      </w:r>
      <w:r>
        <w:rPr>
          <w:rFonts w:ascii="Arial"/>
          <w:color w:val="333131"/>
          <w:spacing w:val="3"/>
          <w:position w:val="1"/>
          <w:sz w:val="21"/>
        </w:rPr>
        <w:t> </w:t>
      </w:r>
      <w:r>
        <w:rPr>
          <w:rFonts w:ascii="Arial"/>
          <w:color w:val="333131"/>
          <w:position w:val="1"/>
          <w:sz w:val="21"/>
        </w:rPr>
        <w:t>Policy-Based</w:t>
      </w:r>
      <w:r>
        <w:rPr>
          <w:rFonts w:ascii="Arial"/>
          <w:color w:val="333131"/>
          <w:spacing w:val="2"/>
          <w:position w:val="1"/>
          <w:sz w:val="21"/>
        </w:rPr>
        <w:t> </w:t>
      </w:r>
      <w:r>
        <w:rPr>
          <w:rFonts w:ascii="Arial"/>
          <w:color w:val="333131"/>
          <w:position w:val="1"/>
          <w:sz w:val="21"/>
        </w:rPr>
        <w:t>Rules</w:t>
      </w:r>
      <w:r>
        <w:rPr>
          <w:rFonts w:ascii="Arial"/>
          <w:color w:val="333131"/>
          <w:spacing w:val="1"/>
          <w:position w:val="1"/>
          <w:sz w:val="21"/>
        </w:rPr>
        <w:t> </w:t>
      </w:r>
      <w:r>
        <w:rPr>
          <w:rFonts w:ascii="Arial"/>
          <w:color w:val="333131"/>
          <w:position w:val="1"/>
          <w:sz w:val="21"/>
        </w:rPr>
        <w:t>in</w:t>
      </w:r>
      <w:r>
        <w:rPr>
          <w:rFonts w:ascii="Arial"/>
          <w:color w:val="333131"/>
          <w:spacing w:val="39"/>
          <w:position w:val="1"/>
          <w:sz w:val="21"/>
        </w:rPr>
        <w:t> </w:t>
      </w:r>
      <w:r>
        <w:rPr>
          <w:rFonts w:ascii="Arial"/>
          <w:color w:val="333131"/>
          <w:position w:val="1"/>
          <w:sz w:val="21"/>
        </w:rPr>
        <w:t>Your</w:t>
      </w:r>
      <w:r>
        <w:rPr>
          <w:rFonts w:ascii="Arial"/>
          <w:color w:val="333131"/>
          <w:spacing w:val="-2"/>
          <w:position w:val="1"/>
          <w:sz w:val="21"/>
        </w:rPr>
        <w:t> </w:t>
      </w:r>
      <w:r>
        <w:rPr>
          <w:rFonts w:ascii="Arial"/>
          <w:color w:val="333131"/>
          <w:position w:val="1"/>
          <w:sz w:val="21"/>
        </w:rPr>
        <w:t>Argument</w:t>
        <w:tab/>
      </w:r>
      <w:r>
        <w:rPr>
          <w:rFonts w:ascii="Courier New"/>
          <w:b/>
          <w:color w:val="333131"/>
          <w:position w:val="2"/>
          <w:sz w:val="23"/>
        </w:rPr>
        <w:t>74</w:t>
      </w:r>
    </w:p>
    <w:p>
      <w:pPr>
        <w:pStyle w:val="ListParagraph"/>
        <w:numPr>
          <w:ilvl w:val="2"/>
          <w:numId w:val="4"/>
        </w:numPr>
        <w:tabs>
          <w:tab w:pos="1545" w:val="left" w:leader="none"/>
        </w:tabs>
        <w:spacing w:line="251" w:lineRule="exact" w:before="0" w:after="0"/>
        <w:ind w:left="1544" w:right="0" w:hanging="744"/>
        <w:jc w:val="left"/>
        <w:rPr>
          <w:rFonts w:ascii="Courier New"/>
          <w:b/>
          <w:color w:val="333131"/>
          <w:sz w:val="23"/>
        </w:rPr>
      </w:pPr>
      <w:r>
        <w:rPr>
          <w:rFonts w:ascii="Arial"/>
          <w:color w:val="333131"/>
          <w:position w:val="1"/>
          <w:sz w:val="21"/>
        </w:rPr>
        <w:t>Using</w:t>
      </w:r>
      <w:r>
        <w:rPr>
          <w:rFonts w:ascii="Arial"/>
          <w:color w:val="333131"/>
          <w:spacing w:val="-9"/>
          <w:position w:val="1"/>
          <w:sz w:val="21"/>
        </w:rPr>
        <w:t> </w:t>
      </w:r>
      <w:r>
        <w:rPr>
          <w:rFonts w:ascii="Arial"/>
          <w:color w:val="333131"/>
          <w:position w:val="1"/>
          <w:sz w:val="21"/>
        </w:rPr>
        <w:t>a</w:t>
      </w:r>
      <w:r>
        <w:rPr>
          <w:rFonts w:ascii="Arial"/>
          <w:color w:val="333131"/>
          <w:spacing w:val="-3"/>
          <w:position w:val="1"/>
          <w:sz w:val="21"/>
        </w:rPr>
        <w:t> </w:t>
      </w:r>
      <w:r>
        <w:rPr>
          <w:rFonts w:ascii="Arial"/>
          <w:color w:val="333131"/>
          <w:position w:val="1"/>
          <w:sz w:val="21"/>
        </w:rPr>
        <w:t>Reverse Roadmap</w:t>
      </w:r>
      <w:r>
        <w:rPr>
          <w:rFonts w:ascii="Arial"/>
          <w:color w:val="333131"/>
          <w:spacing w:val="14"/>
          <w:position w:val="1"/>
          <w:sz w:val="21"/>
        </w:rPr>
        <w:t> </w:t>
      </w:r>
      <w:r>
        <w:rPr>
          <w:rFonts w:ascii="Arial"/>
          <w:color w:val="333131"/>
          <w:position w:val="1"/>
          <w:sz w:val="21"/>
        </w:rPr>
        <w:t>to</w:t>
      </w:r>
      <w:r>
        <w:rPr>
          <w:rFonts w:ascii="Arial"/>
          <w:color w:val="333131"/>
          <w:spacing w:val="33"/>
          <w:position w:val="1"/>
          <w:sz w:val="21"/>
        </w:rPr>
        <w:t> </w:t>
      </w:r>
      <w:r>
        <w:rPr>
          <w:rFonts w:ascii="Arial"/>
          <w:color w:val="333131"/>
          <w:position w:val="1"/>
          <w:sz w:val="21"/>
        </w:rPr>
        <w:t>Structure</w:t>
      </w:r>
      <w:r>
        <w:rPr>
          <w:rFonts w:ascii="Arial"/>
          <w:color w:val="333131"/>
          <w:spacing w:val="5"/>
          <w:position w:val="1"/>
          <w:sz w:val="21"/>
        </w:rPr>
        <w:t> </w:t>
      </w:r>
      <w:r>
        <w:rPr>
          <w:rFonts w:ascii="Arial"/>
          <w:color w:val="333131"/>
          <w:position w:val="1"/>
          <w:sz w:val="21"/>
        </w:rPr>
        <w:t>Your</w:t>
      </w:r>
    </w:p>
    <w:p>
      <w:pPr>
        <w:tabs>
          <w:tab w:pos="7395" w:val="left" w:leader="none"/>
        </w:tabs>
        <w:spacing w:line="250" w:lineRule="exact" w:before="0"/>
        <w:ind w:left="1552" w:right="0" w:firstLine="0"/>
        <w:jc w:val="left"/>
        <w:rPr>
          <w:b/>
          <w:i/>
          <w:sz w:val="22"/>
        </w:rPr>
      </w:pPr>
      <w:r>
        <w:rPr>
          <w:rFonts w:ascii="Arial"/>
          <w:color w:val="333131"/>
          <w:w w:val="110"/>
          <w:sz w:val="21"/>
        </w:rPr>
        <w:t>Argument</w:t>
        <w:tab/>
      </w:r>
      <w:r>
        <w:rPr>
          <w:b/>
          <w:i/>
          <w:color w:val="333131"/>
          <w:w w:val="110"/>
          <w:position w:val="2"/>
          <w:sz w:val="22"/>
        </w:rPr>
        <w:t>76</w:t>
      </w:r>
    </w:p>
    <w:p>
      <w:pPr>
        <w:pStyle w:val="ListParagraph"/>
        <w:numPr>
          <w:ilvl w:val="2"/>
          <w:numId w:val="4"/>
        </w:numPr>
        <w:tabs>
          <w:tab w:pos="1547" w:val="left" w:leader="none"/>
          <w:tab w:pos="7404" w:val="left" w:leader="none"/>
        </w:tabs>
        <w:spacing w:line="274" w:lineRule="exact" w:before="0" w:after="0"/>
        <w:ind w:left="1546" w:right="0" w:hanging="746"/>
        <w:jc w:val="left"/>
        <w:rPr>
          <w:rFonts w:ascii="Courier New"/>
          <w:b/>
          <w:color w:val="333131"/>
          <w:sz w:val="23"/>
        </w:rPr>
      </w:pPr>
      <w:r>
        <w:rPr>
          <w:rFonts w:ascii="Arial"/>
          <w:color w:val="333131"/>
          <w:w w:val="105"/>
          <w:position w:val="1"/>
          <w:sz w:val="21"/>
        </w:rPr>
        <w:t>The</w:t>
      </w:r>
      <w:r>
        <w:rPr>
          <w:rFonts w:ascii="Arial"/>
          <w:color w:val="333131"/>
          <w:spacing w:val="12"/>
          <w:w w:val="105"/>
          <w:position w:val="1"/>
          <w:sz w:val="21"/>
        </w:rPr>
        <w:t> </w:t>
      </w:r>
      <w:r>
        <w:rPr>
          <w:rFonts w:ascii="Arial"/>
          <w:color w:val="333131"/>
          <w:w w:val="105"/>
          <w:position w:val="1"/>
          <w:sz w:val="21"/>
        </w:rPr>
        <w:t>Working</w:t>
      </w:r>
      <w:r>
        <w:rPr>
          <w:rFonts w:ascii="Arial"/>
          <w:color w:val="333131"/>
          <w:spacing w:val="19"/>
          <w:w w:val="105"/>
          <w:position w:val="1"/>
          <w:sz w:val="21"/>
        </w:rPr>
        <w:t> </w:t>
      </w:r>
      <w:r>
        <w:rPr>
          <w:rFonts w:ascii="Arial"/>
          <w:color w:val="333131"/>
          <w:w w:val="105"/>
          <w:position w:val="1"/>
          <w:sz w:val="21"/>
        </w:rPr>
        <w:t>Outline</w:t>
        <w:tab/>
      </w:r>
      <w:r>
        <w:rPr>
          <w:rFonts w:ascii="Courier New"/>
          <w:b/>
          <w:color w:val="333131"/>
          <w:w w:val="110"/>
          <w:position w:val="3"/>
          <w:sz w:val="23"/>
        </w:rPr>
        <w:t>77</w:t>
      </w:r>
    </w:p>
    <w:p>
      <w:pPr>
        <w:pStyle w:val="ListParagraph"/>
        <w:numPr>
          <w:ilvl w:val="1"/>
          <w:numId w:val="4"/>
        </w:numPr>
        <w:tabs>
          <w:tab w:pos="813" w:val="left" w:leader="none"/>
        </w:tabs>
        <w:spacing w:line="258" w:lineRule="exact" w:before="0" w:after="0"/>
        <w:ind w:left="812" w:right="0" w:hanging="696"/>
        <w:jc w:val="left"/>
        <w:rPr>
          <w:rFonts w:ascii="Courier New"/>
          <w:b/>
          <w:color w:val="333131"/>
          <w:sz w:val="23"/>
        </w:rPr>
      </w:pPr>
      <w:r>
        <w:rPr>
          <w:rFonts w:ascii="Arial"/>
          <w:color w:val="333131"/>
          <w:w w:val="105"/>
          <w:position w:val="2"/>
          <w:sz w:val="21"/>
        </w:rPr>
        <w:t>Using</w:t>
      </w:r>
      <w:r>
        <w:rPr>
          <w:rFonts w:ascii="Arial"/>
          <w:color w:val="333131"/>
          <w:spacing w:val="-2"/>
          <w:w w:val="105"/>
          <w:position w:val="2"/>
          <w:sz w:val="21"/>
        </w:rPr>
        <w:t> </w:t>
      </w:r>
      <w:r>
        <w:rPr>
          <w:rFonts w:ascii="Arial"/>
          <w:color w:val="333131"/>
          <w:w w:val="105"/>
          <w:position w:val="2"/>
          <w:sz w:val="21"/>
        </w:rPr>
        <w:t>"Private</w:t>
      </w:r>
      <w:r>
        <w:rPr>
          <w:rFonts w:ascii="Arial"/>
          <w:color w:val="333131"/>
          <w:spacing w:val="5"/>
          <w:w w:val="105"/>
          <w:position w:val="2"/>
          <w:sz w:val="21"/>
        </w:rPr>
        <w:t> </w:t>
      </w:r>
      <w:r>
        <w:rPr>
          <w:rFonts w:ascii="Arial"/>
          <w:color w:val="333131"/>
          <w:w w:val="105"/>
          <w:position w:val="2"/>
          <w:sz w:val="21"/>
        </w:rPr>
        <w:t>Memos"</w:t>
      </w:r>
      <w:r>
        <w:rPr>
          <w:rFonts w:ascii="Arial"/>
          <w:color w:val="333131"/>
          <w:spacing w:val="16"/>
          <w:w w:val="105"/>
          <w:position w:val="2"/>
          <w:sz w:val="21"/>
        </w:rPr>
        <w:t> </w:t>
      </w:r>
      <w:r>
        <w:rPr>
          <w:rFonts w:ascii="Arial"/>
          <w:color w:val="333131"/>
          <w:w w:val="105"/>
          <w:position w:val="2"/>
          <w:sz w:val="21"/>
        </w:rPr>
        <w:t>to</w:t>
      </w:r>
      <w:r>
        <w:rPr>
          <w:rFonts w:ascii="Arial"/>
          <w:color w:val="333131"/>
          <w:spacing w:val="17"/>
          <w:w w:val="105"/>
          <w:position w:val="2"/>
          <w:sz w:val="21"/>
        </w:rPr>
        <w:t> </w:t>
      </w:r>
      <w:r>
        <w:rPr>
          <w:rFonts w:ascii="Arial"/>
          <w:color w:val="333131"/>
          <w:w w:val="105"/>
          <w:position w:val="2"/>
          <w:sz w:val="21"/>
        </w:rPr>
        <w:t>Quiet</w:t>
      </w:r>
      <w:r>
        <w:rPr>
          <w:rFonts w:ascii="Arial"/>
          <w:color w:val="333131"/>
          <w:spacing w:val="-7"/>
          <w:w w:val="105"/>
          <w:position w:val="2"/>
          <w:sz w:val="21"/>
        </w:rPr>
        <w:t> </w:t>
      </w:r>
      <w:r>
        <w:rPr>
          <w:rFonts w:ascii="Arial"/>
          <w:color w:val="333131"/>
          <w:w w:val="105"/>
          <w:position w:val="2"/>
          <w:sz w:val="21"/>
        </w:rPr>
        <w:t>Your</w:t>
      </w:r>
      <w:r>
        <w:rPr>
          <w:rFonts w:ascii="Arial"/>
          <w:color w:val="333131"/>
          <w:spacing w:val="-13"/>
          <w:w w:val="105"/>
          <w:position w:val="2"/>
          <w:sz w:val="21"/>
        </w:rPr>
        <w:t> </w:t>
      </w:r>
      <w:r>
        <w:rPr>
          <w:rFonts w:ascii="Arial"/>
          <w:color w:val="333131"/>
          <w:w w:val="105"/>
          <w:position w:val="2"/>
          <w:sz w:val="21"/>
        </w:rPr>
        <w:t>Inner Demons</w:t>
      </w:r>
      <w:r>
        <w:rPr>
          <w:rFonts w:ascii="Arial"/>
          <w:color w:val="333131"/>
          <w:spacing w:val="6"/>
          <w:w w:val="105"/>
          <w:position w:val="2"/>
          <w:sz w:val="21"/>
        </w:rPr>
        <w:t> </w:t>
      </w:r>
      <w:r>
        <w:rPr>
          <w:rFonts w:ascii="Arial"/>
          <w:color w:val="333131"/>
          <w:w w:val="105"/>
          <w:position w:val="2"/>
          <w:sz w:val="21"/>
        </w:rPr>
        <w:t>and</w:t>
      </w:r>
    </w:p>
    <w:p>
      <w:pPr>
        <w:tabs>
          <w:tab w:pos="7414" w:val="left" w:leader="none"/>
        </w:tabs>
        <w:spacing w:line="238" w:lineRule="exact" w:before="0"/>
        <w:ind w:left="822" w:right="0" w:firstLine="0"/>
        <w:jc w:val="left"/>
        <w:rPr>
          <w:rFonts w:ascii="Courier New"/>
          <w:b/>
          <w:sz w:val="23"/>
        </w:rPr>
      </w:pPr>
      <w:r>
        <w:rPr>
          <w:rFonts w:ascii="Arial"/>
          <w:color w:val="333131"/>
          <w:sz w:val="21"/>
        </w:rPr>
        <w:t>Prevent</w:t>
      </w:r>
      <w:r>
        <w:rPr>
          <w:rFonts w:ascii="Arial"/>
          <w:color w:val="333131"/>
          <w:spacing w:val="4"/>
          <w:sz w:val="21"/>
        </w:rPr>
        <w:t> </w:t>
      </w:r>
      <w:r>
        <w:rPr>
          <w:rFonts w:ascii="Arial"/>
          <w:color w:val="333131"/>
          <w:sz w:val="21"/>
        </w:rPr>
        <w:t>Writer's</w:t>
      </w:r>
      <w:r>
        <w:rPr>
          <w:rFonts w:ascii="Arial"/>
          <w:color w:val="333131"/>
          <w:spacing w:val="-1"/>
          <w:sz w:val="21"/>
        </w:rPr>
        <w:t> </w:t>
      </w:r>
      <w:r>
        <w:rPr>
          <w:rFonts w:ascii="Arial"/>
          <w:color w:val="333131"/>
          <w:sz w:val="21"/>
        </w:rPr>
        <w:t>Block</w:t>
        <w:tab/>
      </w:r>
      <w:r>
        <w:rPr>
          <w:rFonts w:ascii="Courier New"/>
          <w:b/>
          <w:color w:val="333131"/>
          <w:w w:val="105"/>
          <w:position w:val="2"/>
          <w:sz w:val="23"/>
        </w:rPr>
        <w:t>78</w:t>
      </w:r>
    </w:p>
    <w:p>
      <w:pPr>
        <w:pStyle w:val="ListParagraph"/>
        <w:numPr>
          <w:ilvl w:val="1"/>
          <w:numId w:val="4"/>
        </w:numPr>
        <w:tabs>
          <w:tab w:pos="822" w:val="left" w:leader="none"/>
          <w:tab w:pos="7415" w:val="left" w:leader="none"/>
        </w:tabs>
        <w:spacing w:line="277" w:lineRule="exact" w:before="0" w:after="0"/>
        <w:ind w:left="821" w:right="0" w:hanging="705"/>
        <w:jc w:val="left"/>
        <w:rPr>
          <w:rFonts w:ascii="Courier New"/>
          <w:b/>
          <w:color w:val="333131"/>
          <w:sz w:val="23"/>
        </w:rPr>
      </w:pPr>
      <w:r>
        <w:rPr>
          <w:rFonts w:ascii="Arial"/>
          <w:color w:val="333131"/>
          <w:w w:val="105"/>
          <w:sz w:val="21"/>
        </w:rPr>
        <w:t>Facing</w:t>
      </w:r>
      <w:r>
        <w:rPr>
          <w:rFonts w:ascii="Arial"/>
          <w:color w:val="333131"/>
          <w:spacing w:val="-16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Procrastination</w:t>
        <w:tab/>
      </w:r>
      <w:r>
        <w:rPr>
          <w:b/>
          <w:i/>
          <w:color w:val="333131"/>
          <w:w w:val="105"/>
          <w:position w:val="2"/>
          <w:sz w:val="22"/>
        </w:rPr>
        <w:t>79</w:t>
      </w:r>
    </w:p>
    <w:p>
      <w:pPr>
        <w:pStyle w:val="ListParagraph"/>
        <w:numPr>
          <w:ilvl w:val="2"/>
          <w:numId w:val="4"/>
        </w:numPr>
        <w:tabs>
          <w:tab w:pos="1554" w:val="left" w:leader="none"/>
          <w:tab w:pos="7421" w:val="left" w:leader="none"/>
        </w:tabs>
        <w:spacing w:line="260" w:lineRule="exact" w:before="0" w:after="0"/>
        <w:ind w:left="1553" w:right="0" w:hanging="753"/>
        <w:jc w:val="left"/>
        <w:rPr>
          <w:rFonts w:ascii="Courier New"/>
          <w:b/>
          <w:color w:val="333131"/>
          <w:sz w:val="23"/>
        </w:rPr>
      </w:pPr>
      <w:r>
        <w:rPr>
          <w:rFonts w:ascii="Arial"/>
          <w:color w:val="333131"/>
          <w:w w:val="105"/>
          <w:sz w:val="21"/>
        </w:rPr>
        <w:t>Fear</w:t>
      </w:r>
      <w:r>
        <w:rPr>
          <w:rFonts w:ascii="Arial"/>
          <w:color w:val="333131"/>
          <w:spacing w:val="-3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of</w:t>
      </w:r>
      <w:r>
        <w:rPr>
          <w:rFonts w:ascii="Arial"/>
          <w:color w:val="333131"/>
          <w:spacing w:val="33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Commitment</w:t>
        <w:tab/>
      </w:r>
      <w:r>
        <w:rPr>
          <w:rFonts w:ascii="Courier New"/>
          <w:b/>
          <w:color w:val="333131"/>
          <w:w w:val="110"/>
          <w:position w:val="2"/>
          <w:sz w:val="23"/>
        </w:rPr>
        <w:t>80</w:t>
      </w:r>
    </w:p>
    <w:p>
      <w:pPr>
        <w:pStyle w:val="ListParagraph"/>
        <w:numPr>
          <w:ilvl w:val="2"/>
          <w:numId w:val="4"/>
        </w:numPr>
        <w:tabs>
          <w:tab w:pos="1554" w:val="left" w:leader="none"/>
          <w:tab w:pos="7421" w:val="left" w:leader="none"/>
        </w:tabs>
        <w:spacing w:line="255" w:lineRule="exact" w:before="0" w:after="0"/>
        <w:ind w:left="1553" w:right="0" w:hanging="743"/>
        <w:jc w:val="left"/>
        <w:rPr>
          <w:rFonts w:ascii="Courier New"/>
          <w:b/>
          <w:color w:val="333131"/>
          <w:sz w:val="23"/>
        </w:rPr>
      </w:pPr>
      <w:r>
        <w:rPr>
          <w:rFonts w:ascii="Arial"/>
          <w:color w:val="333131"/>
          <w:sz w:val="21"/>
        </w:rPr>
        <w:t>Fear</w:t>
      </w:r>
      <w:r>
        <w:rPr>
          <w:rFonts w:ascii="Arial"/>
          <w:color w:val="333131"/>
          <w:spacing w:val="-9"/>
          <w:sz w:val="21"/>
        </w:rPr>
        <w:t> </w:t>
      </w:r>
      <w:r>
        <w:rPr>
          <w:rFonts w:ascii="Arial"/>
          <w:color w:val="333131"/>
          <w:sz w:val="21"/>
        </w:rPr>
        <w:t>of</w:t>
      </w:r>
      <w:r>
        <w:rPr>
          <w:rFonts w:ascii="Arial"/>
          <w:color w:val="333131"/>
          <w:spacing w:val="18"/>
          <w:sz w:val="21"/>
        </w:rPr>
        <w:t> </w:t>
      </w:r>
      <w:r>
        <w:rPr>
          <w:rFonts w:ascii="Arial"/>
          <w:color w:val="333131"/>
          <w:sz w:val="21"/>
        </w:rPr>
        <w:t>Failure</w:t>
        <w:tab/>
      </w:r>
      <w:r>
        <w:rPr>
          <w:rFonts w:ascii="Courier New"/>
          <w:b/>
          <w:color w:val="333131"/>
          <w:position w:val="2"/>
          <w:sz w:val="23"/>
        </w:rPr>
        <w:t>81</w:t>
      </w:r>
    </w:p>
    <w:p>
      <w:pPr>
        <w:pStyle w:val="ListParagraph"/>
        <w:numPr>
          <w:ilvl w:val="2"/>
          <w:numId w:val="4"/>
        </w:numPr>
        <w:tabs>
          <w:tab w:pos="1554" w:val="left" w:leader="none"/>
          <w:tab w:pos="7421" w:val="left" w:leader="none"/>
        </w:tabs>
        <w:spacing w:line="260" w:lineRule="exact" w:before="0" w:after="0"/>
        <w:ind w:left="1553" w:right="0" w:hanging="743"/>
        <w:jc w:val="left"/>
        <w:rPr>
          <w:rFonts w:ascii="Courier New"/>
          <w:b/>
          <w:color w:val="333131"/>
          <w:sz w:val="23"/>
        </w:rPr>
      </w:pPr>
      <w:r>
        <w:rPr>
          <w:rFonts w:ascii="Arial"/>
          <w:color w:val="333131"/>
          <w:position w:val="1"/>
          <w:sz w:val="21"/>
        </w:rPr>
        <w:t>Fear</w:t>
      </w:r>
      <w:r>
        <w:rPr>
          <w:rFonts w:ascii="Arial"/>
          <w:color w:val="333131"/>
          <w:spacing w:val="-9"/>
          <w:position w:val="1"/>
          <w:sz w:val="21"/>
        </w:rPr>
        <w:t> </w:t>
      </w:r>
      <w:r>
        <w:rPr>
          <w:rFonts w:ascii="Arial"/>
          <w:color w:val="333131"/>
          <w:position w:val="1"/>
          <w:sz w:val="21"/>
        </w:rPr>
        <w:t>of</w:t>
      </w:r>
      <w:r>
        <w:rPr>
          <w:rFonts w:ascii="Arial"/>
          <w:color w:val="333131"/>
          <w:spacing w:val="27"/>
          <w:position w:val="1"/>
          <w:sz w:val="21"/>
        </w:rPr>
        <w:t> </w:t>
      </w:r>
      <w:r>
        <w:rPr>
          <w:rFonts w:ascii="Arial"/>
          <w:color w:val="333131"/>
          <w:position w:val="1"/>
          <w:sz w:val="21"/>
        </w:rPr>
        <w:t>Pain</w:t>
        <w:tab/>
      </w:r>
      <w:r>
        <w:rPr>
          <w:rFonts w:ascii="Courier New"/>
          <w:b/>
          <w:color w:val="333131"/>
          <w:position w:val="3"/>
          <w:sz w:val="23"/>
        </w:rPr>
        <w:t>82</w:t>
      </w:r>
    </w:p>
    <w:p>
      <w:pPr>
        <w:pStyle w:val="ListParagraph"/>
        <w:numPr>
          <w:ilvl w:val="1"/>
          <w:numId w:val="4"/>
        </w:numPr>
        <w:tabs>
          <w:tab w:pos="829" w:val="left" w:leader="none"/>
          <w:tab w:pos="7431" w:val="left" w:leader="none"/>
        </w:tabs>
        <w:spacing w:line="275" w:lineRule="exact" w:before="0" w:after="0"/>
        <w:ind w:left="828" w:right="0" w:hanging="712"/>
        <w:jc w:val="left"/>
        <w:rPr>
          <w:rFonts w:ascii="Courier New"/>
          <w:b/>
          <w:color w:val="333131"/>
          <w:sz w:val="23"/>
        </w:rPr>
      </w:pPr>
      <w:r>
        <w:rPr>
          <w:rFonts w:ascii="Arial"/>
          <w:color w:val="333131"/>
          <w:w w:val="105"/>
          <w:sz w:val="21"/>
        </w:rPr>
        <w:t>Summary</w:t>
        <w:tab/>
      </w:r>
      <w:r>
        <w:rPr>
          <w:rFonts w:ascii="Courier New"/>
          <w:b/>
          <w:color w:val="333131"/>
          <w:w w:val="105"/>
          <w:position w:val="3"/>
          <w:sz w:val="23"/>
        </w:rPr>
        <w:t>85</w:t>
      </w:r>
    </w:p>
    <w:p>
      <w:pPr>
        <w:spacing w:before="398"/>
        <w:ind w:left="13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333131"/>
          <w:w w:val="95"/>
          <w:sz w:val="20"/>
        </w:rPr>
        <w:t>CHAPTER</w:t>
      </w:r>
      <w:r>
        <w:rPr>
          <w:rFonts w:ascii="Arial"/>
          <w:b/>
          <w:color w:val="333131"/>
          <w:spacing w:val="-7"/>
          <w:w w:val="95"/>
          <w:sz w:val="20"/>
        </w:rPr>
        <w:t> </w:t>
      </w:r>
      <w:r>
        <w:rPr>
          <w:rFonts w:ascii="Arial"/>
          <w:b/>
          <w:color w:val="333131"/>
          <w:w w:val="95"/>
          <w:sz w:val="20"/>
        </w:rPr>
        <w:t>FIVE</w:t>
      </w:r>
    </w:p>
    <w:p>
      <w:pPr>
        <w:tabs>
          <w:tab w:pos="7460" w:val="left" w:leader="none"/>
        </w:tabs>
        <w:spacing w:before="12"/>
        <w:ind w:left="122" w:right="0" w:firstLine="0"/>
        <w:jc w:val="left"/>
        <w:rPr>
          <w:rFonts w:ascii="Courier New"/>
          <w:b/>
          <w:sz w:val="23"/>
        </w:rPr>
      </w:pPr>
      <w:r>
        <w:rPr>
          <w:rFonts w:ascii="Arial"/>
          <w:color w:val="7C7E80"/>
          <w:w w:val="105"/>
          <w:sz w:val="25"/>
        </w:rPr>
        <w:t>O</w:t>
      </w:r>
      <w:r>
        <w:rPr>
          <w:rFonts w:ascii="Arial"/>
          <w:color w:val="606062"/>
          <w:w w:val="105"/>
          <w:sz w:val="25"/>
        </w:rPr>
        <w:t>NE</w:t>
      </w:r>
      <w:r>
        <w:rPr>
          <w:rFonts w:ascii="Arial"/>
          <w:color w:val="606062"/>
          <w:spacing w:val="-24"/>
          <w:w w:val="105"/>
          <w:sz w:val="25"/>
        </w:rPr>
        <w:t> </w:t>
      </w:r>
      <w:r>
        <w:rPr>
          <w:rFonts w:ascii="Arial"/>
          <w:color w:val="606062"/>
          <w:w w:val="105"/>
          <w:sz w:val="25"/>
        </w:rPr>
        <w:t>PIECE</w:t>
      </w:r>
      <w:r>
        <w:rPr>
          <w:rFonts w:ascii="Arial"/>
          <w:color w:val="606062"/>
          <w:spacing w:val="9"/>
          <w:w w:val="105"/>
          <w:sz w:val="25"/>
        </w:rPr>
        <w:t> </w:t>
      </w:r>
      <w:r>
        <w:rPr>
          <w:rFonts w:ascii="Arial"/>
          <w:color w:val="606062"/>
          <w:w w:val="105"/>
          <w:sz w:val="25"/>
        </w:rPr>
        <w:t>AT</w:t>
      </w:r>
      <w:r>
        <w:rPr>
          <w:rFonts w:ascii="Arial"/>
          <w:color w:val="606062"/>
          <w:spacing w:val="-12"/>
          <w:w w:val="105"/>
          <w:sz w:val="25"/>
        </w:rPr>
        <w:t> </w:t>
      </w:r>
      <w:r>
        <w:rPr>
          <w:rFonts w:ascii="Arial"/>
          <w:color w:val="606062"/>
          <w:w w:val="105"/>
          <w:sz w:val="25"/>
        </w:rPr>
        <w:t>A</w:t>
      </w:r>
      <w:r>
        <w:rPr>
          <w:rFonts w:ascii="Arial"/>
          <w:color w:val="606062"/>
          <w:spacing w:val="18"/>
          <w:w w:val="105"/>
          <w:sz w:val="25"/>
        </w:rPr>
        <w:t> </w:t>
      </w:r>
      <w:r>
        <w:rPr>
          <w:rFonts w:ascii="Arial"/>
          <w:color w:val="606062"/>
          <w:w w:val="105"/>
          <w:sz w:val="25"/>
        </w:rPr>
        <w:t>Tll\</w:t>
      </w:r>
      <w:r>
        <w:rPr>
          <w:rFonts w:ascii="Arial"/>
          <w:color w:val="7C7E80"/>
          <w:w w:val="105"/>
          <w:sz w:val="25"/>
        </w:rPr>
        <w:t>1</w:t>
      </w:r>
      <w:r>
        <w:rPr>
          <w:rFonts w:ascii="Arial"/>
          <w:color w:val="606062"/>
          <w:w w:val="105"/>
          <w:sz w:val="25"/>
        </w:rPr>
        <w:t>E:</w:t>
      </w:r>
      <w:r>
        <w:rPr>
          <w:rFonts w:ascii="Arial"/>
          <w:color w:val="606062"/>
          <w:spacing w:val="26"/>
          <w:w w:val="105"/>
          <w:sz w:val="25"/>
        </w:rPr>
        <w:t> </w:t>
      </w:r>
      <w:r>
        <w:rPr>
          <w:rFonts w:ascii="Arial"/>
          <w:color w:val="606062"/>
          <w:w w:val="105"/>
          <w:sz w:val="25"/>
        </w:rPr>
        <w:t>DRAFTING</w:t>
      </w:r>
      <w:r>
        <w:rPr>
          <w:rFonts w:ascii="Arial"/>
          <w:color w:val="606062"/>
          <w:spacing w:val="13"/>
          <w:w w:val="105"/>
          <w:sz w:val="25"/>
        </w:rPr>
        <w:t> </w:t>
      </w:r>
      <w:r>
        <w:rPr>
          <w:rFonts w:ascii="Arial"/>
          <w:color w:val="606062"/>
          <w:w w:val="105"/>
          <w:sz w:val="25"/>
        </w:rPr>
        <w:t>THE</w:t>
      </w:r>
      <w:r>
        <w:rPr>
          <w:rFonts w:ascii="Arial"/>
          <w:color w:val="606062"/>
          <w:spacing w:val="3"/>
          <w:w w:val="105"/>
          <w:sz w:val="25"/>
        </w:rPr>
        <w:t> </w:t>
      </w:r>
      <w:r>
        <w:rPr>
          <w:rFonts w:ascii="Arial"/>
          <w:color w:val="606062"/>
          <w:w w:val="105"/>
          <w:sz w:val="25"/>
        </w:rPr>
        <w:t>ARGUMEN</w:t>
      </w:r>
      <w:r>
        <w:rPr>
          <w:rFonts w:ascii="Arial"/>
          <w:color w:val="333131"/>
          <w:w w:val="105"/>
          <w:sz w:val="25"/>
        </w:rPr>
        <w:t>T</w:t>
        <w:tab/>
      </w:r>
      <w:r>
        <w:rPr>
          <w:rFonts w:ascii="Courier New"/>
          <w:b/>
          <w:color w:val="333131"/>
          <w:w w:val="105"/>
          <w:sz w:val="23"/>
        </w:rPr>
        <w:t>87</w:t>
      </w:r>
    </w:p>
    <w:p>
      <w:pPr>
        <w:pStyle w:val="ListParagraph"/>
        <w:numPr>
          <w:ilvl w:val="1"/>
          <w:numId w:val="5"/>
        </w:numPr>
        <w:tabs>
          <w:tab w:pos="831" w:val="left" w:leader="none"/>
          <w:tab w:pos="832" w:val="left" w:leader="none"/>
          <w:tab w:pos="7460" w:val="left" w:leader="none"/>
        </w:tabs>
        <w:spacing w:line="277" w:lineRule="exact" w:before="114" w:after="0"/>
        <w:ind w:left="831" w:right="0" w:hanging="703"/>
        <w:jc w:val="left"/>
        <w:rPr>
          <w:rFonts w:ascii="Courier New"/>
          <w:b/>
          <w:sz w:val="23"/>
        </w:rPr>
      </w:pPr>
      <w:r>
        <w:rPr>
          <w:rFonts w:ascii="Arial"/>
          <w:color w:val="333131"/>
          <w:spacing w:val="-1"/>
          <w:w w:val="105"/>
          <w:position w:val="1"/>
          <w:sz w:val="21"/>
        </w:rPr>
        <w:t>Using</w:t>
      </w:r>
      <w:r>
        <w:rPr>
          <w:rFonts w:ascii="Arial"/>
          <w:color w:val="333131"/>
          <w:spacing w:val="-16"/>
          <w:w w:val="105"/>
          <w:position w:val="1"/>
          <w:sz w:val="21"/>
        </w:rPr>
        <w:t> </w:t>
      </w:r>
      <w:r>
        <w:rPr>
          <w:rFonts w:ascii="Arial"/>
          <w:color w:val="333131"/>
          <w:spacing w:val="-1"/>
          <w:w w:val="105"/>
          <w:position w:val="1"/>
          <w:sz w:val="21"/>
        </w:rPr>
        <w:t>an</w:t>
      </w:r>
      <w:r>
        <w:rPr>
          <w:rFonts w:ascii="Arial"/>
          <w:color w:val="333131"/>
          <w:spacing w:val="-3"/>
          <w:w w:val="105"/>
          <w:position w:val="1"/>
          <w:sz w:val="21"/>
        </w:rPr>
        <w:t> </w:t>
      </w:r>
      <w:r>
        <w:rPr>
          <w:rFonts w:ascii="Arial"/>
          <w:color w:val="333131"/>
          <w:spacing w:val="-1"/>
          <w:w w:val="105"/>
          <w:position w:val="1"/>
          <w:sz w:val="21"/>
        </w:rPr>
        <w:t>Analytical</w:t>
      </w:r>
      <w:r>
        <w:rPr>
          <w:rFonts w:ascii="Arial"/>
          <w:color w:val="333131"/>
          <w:spacing w:val="-3"/>
          <w:w w:val="105"/>
          <w:position w:val="1"/>
          <w:sz w:val="21"/>
        </w:rPr>
        <w:t> </w:t>
      </w:r>
      <w:r>
        <w:rPr>
          <w:rFonts w:ascii="Arial"/>
          <w:color w:val="333131"/>
          <w:w w:val="105"/>
          <w:position w:val="1"/>
          <w:sz w:val="21"/>
        </w:rPr>
        <w:t>Formula</w:t>
        <w:tab/>
      </w:r>
      <w:r>
        <w:rPr>
          <w:rFonts w:ascii="Courier New"/>
          <w:b/>
          <w:color w:val="333131"/>
          <w:w w:val="105"/>
          <w:position w:val="3"/>
          <w:sz w:val="23"/>
        </w:rPr>
        <w:t>87</w:t>
      </w:r>
    </w:p>
    <w:p>
      <w:pPr>
        <w:pStyle w:val="ListParagraph"/>
        <w:numPr>
          <w:ilvl w:val="2"/>
          <w:numId w:val="5"/>
        </w:numPr>
        <w:tabs>
          <w:tab w:pos="1571" w:val="left" w:leader="none"/>
          <w:tab w:pos="7466" w:val="left" w:leader="none"/>
        </w:tabs>
        <w:spacing w:line="253" w:lineRule="exact" w:before="0" w:after="0"/>
        <w:ind w:left="1570" w:right="0" w:hanging="748"/>
        <w:jc w:val="left"/>
        <w:rPr>
          <w:rFonts w:ascii="Courier New"/>
          <w:b/>
          <w:color w:val="333131"/>
          <w:sz w:val="23"/>
        </w:rPr>
      </w:pPr>
      <w:r>
        <w:rPr>
          <w:rFonts w:ascii="Arial"/>
          <w:color w:val="333131"/>
          <w:sz w:val="21"/>
        </w:rPr>
        <w:t>State</w:t>
      </w:r>
      <w:r>
        <w:rPr>
          <w:rFonts w:ascii="Arial"/>
          <w:color w:val="333131"/>
          <w:spacing w:val="3"/>
          <w:sz w:val="21"/>
        </w:rPr>
        <w:t> </w:t>
      </w:r>
      <w:r>
        <w:rPr>
          <w:rFonts w:ascii="Arial"/>
          <w:color w:val="333131"/>
          <w:sz w:val="21"/>
        </w:rPr>
        <w:t>Your</w:t>
      </w:r>
      <w:r>
        <w:rPr>
          <w:rFonts w:ascii="Arial"/>
          <w:color w:val="333131"/>
          <w:spacing w:val="-2"/>
          <w:sz w:val="21"/>
        </w:rPr>
        <w:t> </w:t>
      </w:r>
      <w:r>
        <w:rPr>
          <w:rFonts w:ascii="Arial"/>
          <w:color w:val="333131"/>
          <w:sz w:val="21"/>
        </w:rPr>
        <w:t>Issue</w:t>
      </w:r>
      <w:r>
        <w:rPr>
          <w:rFonts w:ascii="Arial"/>
          <w:color w:val="333131"/>
          <w:spacing w:val="-9"/>
          <w:sz w:val="21"/>
        </w:rPr>
        <w:t> </w:t>
      </w:r>
      <w:r>
        <w:rPr>
          <w:rFonts w:ascii="Arial"/>
          <w:color w:val="333131"/>
          <w:sz w:val="21"/>
        </w:rPr>
        <w:t>as</w:t>
      </w:r>
      <w:r>
        <w:rPr>
          <w:rFonts w:ascii="Arial"/>
          <w:color w:val="333131"/>
          <w:spacing w:val="-8"/>
          <w:sz w:val="21"/>
        </w:rPr>
        <w:t> </w:t>
      </w:r>
      <w:r>
        <w:rPr>
          <w:rFonts w:ascii="Arial"/>
          <w:color w:val="333131"/>
          <w:sz w:val="21"/>
        </w:rPr>
        <w:t>a</w:t>
      </w:r>
      <w:r>
        <w:rPr>
          <w:rFonts w:ascii="Arial"/>
          <w:color w:val="333131"/>
          <w:spacing w:val="15"/>
          <w:sz w:val="21"/>
        </w:rPr>
        <w:t> </w:t>
      </w:r>
      <w:r>
        <w:rPr>
          <w:rFonts w:ascii="Arial"/>
          <w:color w:val="333131"/>
          <w:sz w:val="21"/>
        </w:rPr>
        <w:t>Conclusion</w:t>
        <w:tab/>
      </w:r>
      <w:r>
        <w:rPr>
          <w:rFonts w:ascii="Arial"/>
          <w:b/>
          <w:i/>
          <w:color w:val="333131"/>
          <w:position w:val="2"/>
          <w:sz w:val="20"/>
        </w:rPr>
        <w:t>90</w:t>
      </w:r>
    </w:p>
    <w:p>
      <w:pPr>
        <w:pStyle w:val="ListParagraph"/>
        <w:numPr>
          <w:ilvl w:val="2"/>
          <w:numId w:val="5"/>
        </w:numPr>
        <w:tabs>
          <w:tab w:pos="1574" w:val="left" w:leader="none"/>
          <w:tab w:pos="7465" w:val="left" w:leader="none"/>
        </w:tabs>
        <w:spacing w:line="265" w:lineRule="exact" w:before="0" w:after="0"/>
        <w:ind w:left="1574" w:right="0" w:hanging="741"/>
        <w:jc w:val="left"/>
        <w:rPr>
          <w:rFonts w:ascii="Courier New"/>
          <w:b/>
          <w:color w:val="333131"/>
          <w:sz w:val="23"/>
        </w:rPr>
      </w:pPr>
      <w:r>
        <w:rPr>
          <w:rFonts w:ascii="Arial"/>
          <w:color w:val="333131"/>
          <w:position w:val="1"/>
          <w:sz w:val="21"/>
        </w:rPr>
        <w:t>Provide</w:t>
      </w:r>
      <w:r>
        <w:rPr>
          <w:rFonts w:ascii="Arial"/>
          <w:color w:val="333131"/>
          <w:spacing w:val="-1"/>
          <w:position w:val="1"/>
          <w:sz w:val="21"/>
        </w:rPr>
        <w:t> </w:t>
      </w:r>
      <w:r>
        <w:rPr>
          <w:rFonts w:ascii="Arial"/>
          <w:color w:val="333131"/>
          <w:position w:val="1"/>
          <w:sz w:val="21"/>
        </w:rPr>
        <w:t>the</w:t>
      </w:r>
      <w:r>
        <w:rPr>
          <w:rFonts w:ascii="Arial"/>
          <w:color w:val="333131"/>
          <w:spacing w:val="29"/>
          <w:position w:val="1"/>
          <w:sz w:val="21"/>
        </w:rPr>
        <w:t> </w:t>
      </w:r>
      <w:r>
        <w:rPr>
          <w:rFonts w:ascii="Arial"/>
          <w:color w:val="333131"/>
          <w:position w:val="1"/>
          <w:sz w:val="21"/>
        </w:rPr>
        <w:t>Rule</w:t>
        <w:tab/>
      </w:r>
      <w:r>
        <w:rPr>
          <w:rFonts w:ascii="Courier New"/>
          <w:b/>
          <w:color w:val="333131"/>
          <w:position w:val="3"/>
          <w:sz w:val="23"/>
        </w:rPr>
        <w:t>92</w:t>
      </w:r>
    </w:p>
    <w:p>
      <w:pPr>
        <w:pStyle w:val="ListParagraph"/>
        <w:numPr>
          <w:ilvl w:val="3"/>
          <w:numId w:val="5"/>
        </w:numPr>
        <w:tabs>
          <w:tab w:pos="1956" w:val="left" w:leader="none"/>
          <w:tab w:pos="1957" w:val="left" w:leader="none"/>
          <w:tab w:pos="7465" w:val="left" w:leader="none"/>
        </w:tabs>
        <w:spacing w:line="244" w:lineRule="exact" w:before="0" w:after="0"/>
        <w:ind w:left="1956" w:right="0" w:hanging="387"/>
        <w:jc w:val="left"/>
        <w:rPr>
          <w:b/>
          <w:color w:val="333131"/>
          <w:sz w:val="22"/>
        </w:rPr>
      </w:pPr>
      <w:r>
        <w:rPr>
          <w:rFonts w:ascii="Arial"/>
          <w:color w:val="333131"/>
          <w:sz w:val="21"/>
        </w:rPr>
        <w:t>Stating</w:t>
      </w:r>
      <w:r>
        <w:rPr>
          <w:rFonts w:ascii="Arial"/>
          <w:color w:val="333131"/>
          <w:spacing w:val="-7"/>
          <w:sz w:val="21"/>
        </w:rPr>
        <w:t> </w:t>
      </w:r>
      <w:r>
        <w:rPr>
          <w:rFonts w:ascii="Arial"/>
          <w:color w:val="333131"/>
          <w:sz w:val="21"/>
        </w:rPr>
        <w:t>Established</w:t>
      </w:r>
      <w:r>
        <w:rPr>
          <w:rFonts w:ascii="Arial"/>
          <w:color w:val="333131"/>
          <w:spacing w:val="17"/>
          <w:sz w:val="21"/>
        </w:rPr>
        <w:t> </w:t>
      </w:r>
      <w:r>
        <w:rPr>
          <w:rFonts w:ascii="Arial"/>
          <w:color w:val="333131"/>
          <w:sz w:val="21"/>
        </w:rPr>
        <w:t>Rules</w:t>
        <w:tab/>
      </w:r>
      <w:r>
        <w:rPr>
          <w:rFonts w:ascii="Courier New"/>
          <w:b/>
          <w:color w:val="333131"/>
          <w:position w:val="2"/>
          <w:sz w:val="23"/>
        </w:rPr>
        <w:t>92</w:t>
      </w:r>
    </w:p>
    <w:p>
      <w:pPr>
        <w:pStyle w:val="ListParagraph"/>
        <w:numPr>
          <w:ilvl w:val="3"/>
          <w:numId w:val="5"/>
        </w:numPr>
        <w:tabs>
          <w:tab w:pos="1956" w:val="left" w:leader="none"/>
          <w:tab w:pos="7465" w:val="left" w:leader="none"/>
        </w:tabs>
        <w:spacing w:line="260" w:lineRule="exact" w:before="0" w:after="0"/>
        <w:ind w:left="1955" w:right="0" w:hanging="371"/>
        <w:jc w:val="left"/>
        <w:rPr>
          <w:b/>
          <w:color w:val="333131"/>
          <w:sz w:val="23"/>
        </w:rPr>
      </w:pPr>
      <w:r>
        <w:rPr>
          <w:rFonts w:ascii="Arial"/>
          <w:color w:val="333131"/>
          <w:w w:val="105"/>
          <w:sz w:val="21"/>
        </w:rPr>
        <w:t>Choosing</w:t>
      </w:r>
      <w:r>
        <w:rPr>
          <w:rFonts w:ascii="Arial"/>
          <w:color w:val="333131"/>
          <w:spacing w:val="-1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Among</w:t>
      </w:r>
      <w:r>
        <w:rPr>
          <w:rFonts w:ascii="Arial"/>
          <w:color w:val="333131"/>
          <w:spacing w:val="-1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Two</w:t>
      </w:r>
      <w:r>
        <w:rPr>
          <w:rFonts w:ascii="Arial"/>
          <w:color w:val="333131"/>
          <w:spacing w:val="1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or</w:t>
      </w:r>
      <w:r>
        <w:rPr>
          <w:rFonts w:ascii="Arial"/>
          <w:color w:val="333131"/>
          <w:spacing w:val="15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More</w:t>
      </w:r>
      <w:r>
        <w:rPr>
          <w:rFonts w:ascii="Arial"/>
          <w:color w:val="333131"/>
          <w:spacing w:val="-3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Rules</w:t>
        <w:tab/>
      </w:r>
      <w:r>
        <w:rPr>
          <w:rFonts w:ascii="Courier New"/>
          <w:b/>
          <w:color w:val="333131"/>
          <w:w w:val="105"/>
          <w:position w:val="2"/>
          <w:sz w:val="23"/>
        </w:rPr>
        <w:t>93</w:t>
      </w:r>
    </w:p>
    <w:p>
      <w:pPr>
        <w:pStyle w:val="ListParagraph"/>
        <w:numPr>
          <w:ilvl w:val="3"/>
          <w:numId w:val="5"/>
        </w:numPr>
        <w:tabs>
          <w:tab w:pos="1959" w:val="left" w:leader="none"/>
          <w:tab w:pos="1960" w:val="left" w:leader="none"/>
        </w:tabs>
        <w:spacing w:line="255" w:lineRule="exact" w:before="0" w:after="0"/>
        <w:ind w:left="1959" w:right="0" w:hanging="388"/>
        <w:jc w:val="left"/>
        <w:rPr>
          <w:b/>
          <w:color w:val="333131"/>
          <w:sz w:val="23"/>
        </w:rPr>
      </w:pPr>
      <w:r>
        <w:rPr>
          <w:rFonts w:ascii="Arial"/>
          <w:color w:val="333131"/>
          <w:w w:val="105"/>
          <w:position w:val="1"/>
          <w:sz w:val="21"/>
        </w:rPr>
        <w:t>Using</w:t>
      </w:r>
      <w:r>
        <w:rPr>
          <w:rFonts w:ascii="Arial"/>
          <w:color w:val="333131"/>
          <w:spacing w:val="-15"/>
          <w:w w:val="105"/>
          <w:position w:val="1"/>
          <w:sz w:val="21"/>
        </w:rPr>
        <w:t> </w:t>
      </w:r>
      <w:r>
        <w:rPr>
          <w:rFonts w:ascii="Arial"/>
          <w:color w:val="333131"/>
          <w:w w:val="105"/>
          <w:position w:val="1"/>
          <w:sz w:val="21"/>
        </w:rPr>
        <w:t>Inductive</w:t>
      </w:r>
      <w:r>
        <w:rPr>
          <w:rFonts w:ascii="Arial"/>
          <w:color w:val="333131"/>
          <w:spacing w:val="1"/>
          <w:w w:val="105"/>
          <w:position w:val="1"/>
          <w:sz w:val="21"/>
        </w:rPr>
        <w:t> </w:t>
      </w:r>
      <w:r>
        <w:rPr>
          <w:rFonts w:ascii="Arial"/>
          <w:color w:val="333131"/>
          <w:w w:val="105"/>
          <w:position w:val="1"/>
          <w:sz w:val="21"/>
        </w:rPr>
        <w:t>Reasoning</w:t>
      </w:r>
      <w:r>
        <w:rPr>
          <w:rFonts w:ascii="Arial"/>
          <w:color w:val="333131"/>
          <w:spacing w:val="9"/>
          <w:w w:val="105"/>
          <w:position w:val="1"/>
          <w:sz w:val="21"/>
        </w:rPr>
        <w:t> </w:t>
      </w:r>
      <w:r>
        <w:rPr>
          <w:rFonts w:ascii="Arial"/>
          <w:color w:val="333131"/>
          <w:w w:val="105"/>
          <w:position w:val="1"/>
          <w:sz w:val="21"/>
        </w:rPr>
        <w:t>to</w:t>
      </w:r>
      <w:r>
        <w:rPr>
          <w:rFonts w:ascii="Arial"/>
          <w:color w:val="333131"/>
          <w:spacing w:val="25"/>
          <w:w w:val="105"/>
          <w:position w:val="1"/>
          <w:sz w:val="21"/>
        </w:rPr>
        <w:t> </w:t>
      </w:r>
      <w:r>
        <w:rPr>
          <w:rFonts w:ascii="Arial"/>
          <w:color w:val="333131"/>
          <w:w w:val="105"/>
          <w:position w:val="1"/>
          <w:sz w:val="21"/>
        </w:rPr>
        <w:t>Find</w:t>
      </w:r>
      <w:r>
        <w:rPr>
          <w:rFonts w:ascii="Arial"/>
          <w:color w:val="333131"/>
          <w:spacing w:val="-18"/>
          <w:w w:val="105"/>
          <w:position w:val="1"/>
          <w:sz w:val="21"/>
        </w:rPr>
        <w:t> </w:t>
      </w:r>
      <w:r>
        <w:rPr>
          <w:rFonts w:ascii="Arial"/>
          <w:color w:val="333131"/>
          <w:w w:val="105"/>
          <w:position w:val="1"/>
          <w:sz w:val="21"/>
        </w:rPr>
        <w:t>and</w:t>
      </w:r>
      <w:r>
        <w:rPr>
          <w:rFonts w:ascii="Arial"/>
          <w:color w:val="333131"/>
          <w:spacing w:val="-1"/>
          <w:w w:val="105"/>
          <w:position w:val="1"/>
          <w:sz w:val="21"/>
        </w:rPr>
        <w:t> </w:t>
      </w:r>
      <w:r>
        <w:rPr>
          <w:rFonts w:ascii="Arial"/>
          <w:color w:val="333131"/>
          <w:w w:val="105"/>
          <w:position w:val="1"/>
          <w:sz w:val="21"/>
        </w:rPr>
        <w:t>Articulate</w:t>
      </w:r>
    </w:p>
    <w:p>
      <w:pPr>
        <w:tabs>
          <w:tab w:pos="7489" w:val="left" w:leader="none"/>
        </w:tabs>
        <w:spacing w:line="252" w:lineRule="exact" w:before="0"/>
        <w:ind w:left="1960" w:right="0" w:firstLine="0"/>
        <w:jc w:val="left"/>
        <w:rPr>
          <w:b/>
          <w:i/>
          <w:sz w:val="22"/>
        </w:rPr>
      </w:pPr>
      <w:r>
        <w:rPr>
          <w:rFonts w:ascii="Arial"/>
          <w:color w:val="333131"/>
          <w:sz w:val="21"/>
        </w:rPr>
        <w:t>Legal</w:t>
      </w:r>
      <w:r>
        <w:rPr>
          <w:rFonts w:ascii="Arial"/>
          <w:color w:val="333131"/>
          <w:spacing w:val="-15"/>
          <w:sz w:val="21"/>
        </w:rPr>
        <w:t> </w:t>
      </w:r>
      <w:r>
        <w:rPr>
          <w:rFonts w:ascii="Arial"/>
          <w:color w:val="333131"/>
          <w:sz w:val="21"/>
        </w:rPr>
        <w:t>Rules</w:t>
        <w:tab/>
      </w:r>
      <w:r>
        <w:rPr>
          <w:b/>
          <w:i/>
          <w:color w:val="333131"/>
          <w:position w:val="2"/>
          <w:sz w:val="22"/>
        </w:rPr>
        <w:t>95</w:t>
      </w:r>
    </w:p>
    <w:p>
      <w:pPr>
        <w:pStyle w:val="ListParagraph"/>
        <w:numPr>
          <w:ilvl w:val="2"/>
          <w:numId w:val="5"/>
        </w:numPr>
        <w:tabs>
          <w:tab w:pos="1584" w:val="left" w:leader="none"/>
          <w:tab w:pos="7499" w:val="left" w:leader="none"/>
        </w:tabs>
        <w:spacing w:line="278" w:lineRule="exact" w:before="0" w:after="0"/>
        <w:ind w:left="1583" w:right="0" w:hanging="751"/>
        <w:jc w:val="left"/>
        <w:rPr>
          <w:rFonts w:ascii="Courier New"/>
          <w:b/>
          <w:color w:val="333131"/>
          <w:sz w:val="23"/>
        </w:rPr>
      </w:pPr>
      <w:r>
        <w:rPr>
          <w:rFonts w:ascii="Arial"/>
          <w:color w:val="333131"/>
          <w:sz w:val="21"/>
        </w:rPr>
        <w:t>Explain</w:t>
      </w:r>
      <w:r>
        <w:rPr>
          <w:rFonts w:ascii="Arial"/>
          <w:color w:val="333131"/>
          <w:spacing w:val="15"/>
          <w:sz w:val="21"/>
        </w:rPr>
        <w:t> </w:t>
      </w:r>
      <w:r>
        <w:rPr>
          <w:rFonts w:ascii="Arial"/>
          <w:color w:val="333131"/>
          <w:sz w:val="21"/>
        </w:rPr>
        <w:t>the</w:t>
      </w:r>
      <w:r>
        <w:rPr>
          <w:rFonts w:ascii="Arial"/>
          <w:color w:val="333131"/>
          <w:spacing w:val="34"/>
          <w:sz w:val="21"/>
        </w:rPr>
        <w:t> </w:t>
      </w:r>
      <w:r>
        <w:rPr>
          <w:rFonts w:ascii="Arial"/>
          <w:color w:val="333131"/>
          <w:sz w:val="21"/>
        </w:rPr>
        <w:t>Rule</w:t>
        <w:tab/>
      </w:r>
      <w:r>
        <w:rPr>
          <w:b/>
          <w:i/>
          <w:color w:val="333131"/>
          <w:position w:val="3"/>
          <w:sz w:val="22"/>
        </w:rPr>
        <w:t>97</w:t>
      </w:r>
    </w:p>
    <w:p>
      <w:pPr>
        <w:pStyle w:val="ListParagraph"/>
        <w:numPr>
          <w:ilvl w:val="3"/>
          <w:numId w:val="5"/>
        </w:numPr>
        <w:tabs>
          <w:tab w:pos="1960" w:val="left" w:leader="none"/>
          <w:tab w:pos="7484" w:val="left" w:leader="none"/>
        </w:tabs>
        <w:spacing w:line="251" w:lineRule="exact" w:before="0" w:after="0"/>
        <w:ind w:left="1959" w:right="0" w:hanging="381"/>
        <w:jc w:val="left"/>
        <w:rPr>
          <w:b/>
          <w:color w:val="333131"/>
          <w:sz w:val="24"/>
        </w:rPr>
      </w:pPr>
      <w:r>
        <w:rPr>
          <w:rFonts w:ascii="Arial"/>
          <w:color w:val="333131"/>
          <w:w w:val="105"/>
          <w:position w:val="1"/>
          <w:sz w:val="21"/>
        </w:rPr>
        <w:t>Deciding</w:t>
      </w:r>
      <w:r>
        <w:rPr>
          <w:rFonts w:ascii="Arial"/>
          <w:color w:val="333131"/>
          <w:spacing w:val="8"/>
          <w:w w:val="105"/>
          <w:position w:val="1"/>
          <w:sz w:val="21"/>
        </w:rPr>
        <w:t> </w:t>
      </w:r>
      <w:r>
        <w:rPr>
          <w:rFonts w:ascii="Arial"/>
          <w:color w:val="333131"/>
          <w:w w:val="105"/>
          <w:position w:val="1"/>
          <w:sz w:val="21"/>
        </w:rPr>
        <w:t>How</w:t>
      </w:r>
      <w:r>
        <w:rPr>
          <w:rFonts w:ascii="Arial"/>
          <w:color w:val="333131"/>
          <w:spacing w:val="17"/>
          <w:w w:val="105"/>
          <w:position w:val="1"/>
          <w:sz w:val="21"/>
        </w:rPr>
        <w:t> </w:t>
      </w:r>
      <w:r>
        <w:rPr>
          <w:rFonts w:ascii="Arial"/>
          <w:color w:val="333131"/>
          <w:w w:val="105"/>
          <w:position w:val="1"/>
          <w:sz w:val="21"/>
        </w:rPr>
        <w:t>Much</w:t>
      </w:r>
      <w:r>
        <w:rPr>
          <w:rFonts w:ascii="Arial"/>
          <w:color w:val="333131"/>
          <w:spacing w:val="-2"/>
          <w:w w:val="105"/>
          <w:position w:val="1"/>
          <w:sz w:val="21"/>
        </w:rPr>
        <w:t> </w:t>
      </w:r>
      <w:r>
        <w:rPr>
          <w:rFonts w:ascii="Arial"/>
          <w:color w:val="333131"/>
          <w:w w:val="105"/>
          <w:position w:val="1"/>
          <w:sz w:val="21"/>
        </w:rPr>
        <w:t>Rule</w:t>
      </w:r>
      <w:r>
        <w:rPr>
          <w:rFonts w:ascii="Arial"/>
          <w:color w:val="333131"/>
          <w:spacing w:val="-5"/>
          <w:w w:val="105"/>
          <w:position w:val="1"/>
          <w:sz w:val="21"/>
        </w:rPr>
        <w:t> </w:t>
      </w:r>
      <w:r>
        <w:rPr>
          <w:rFonts w:ascii="Arial"/>
          <w:color w:val="333131"/>
          <w:w w:val="105"/>
          <w:position w:val="1"/>
          <w:sz w:val="21"/>
        </w:rPr>
        <w:t>Explanation</w:t>
      </w:r>
      <w:r>
        <w:rPr>
          <w:rFonts w:ascii="Arial"/>
          <w:color w:val="333131"/>
          <w:spacing w:val="14"/>
          <w:w w:val="105"/>
          <w:position w:val="1"/>
          <w:sz w:val="21"/>
        </w:rPr>
        <w:t> </w:t>
      </w:r>
      <w:r>
        <w:rPr>
          <w:rFonts w:ascii="Arial"/>
          <w:color w:val="333131"/>
          <w:w w:val="105"/>
          <w:position w:val="1"/>
          <w:sz w:val="21"/>
        </w:rPr>
        <w:t>Is</w:t>
      </w:r>
      <w:r>
        <w:rPr>
          <w:rFonts w:ascii="Arial"/>
          <w:color w:val="333131"/>
          <w:spacing w:val="1"/>
          <w:w w:val="105"/>
          <w:position w:val="1"/>
          <w:sz w:val="21"/>
        </w:rPr>
        <w:t> </w:t>
      </w:r>
      <w:r>
        <w:rPr>
          <w:rFonts w:ascii="Arial"/>
          <w:color w:val="333131"/>
          <w:w w:val="105"/>
          <w:position w:val="1"/>
          <w:sz w:val="21"/>
        </w:rPr>
        <w:t>Needed</w:t>
        <w:tab/>
      </w:r>
      <w:r>
        <w:rPr>
          <w:rFonts w:ascii="Courier New"/>
          <w:b/>
          <w:color w:val="333131"/>
          <w:w w:val="105"/>
          <w:position w:val="3"/>
          <w:sz w:val="23"/>
        </w:rPr>
        <w:t>97</w:t>
      </w:r>
    </w:p>
    <w:p>
      <w:pPr>
        <w:pStyle w:val="ListParagraph"/>
        <w:numPr>
          <w:ilvl w:val="3"/>
          <w:numId w:val="5"/>
        </w:numPr>
        <w:tabs>
          <w:tab w:pos="1964" w:val="left" w:leader="none"/>
          <w:tab w:pos="7505" w:val="left" w:leader="none"/>
        </w:tabs>
        <w:spacing w:line="256" w:lineRule="exact" w:before="0" w:after="0"/>
        <w:ind w:left="1963" w:right="0" w:hanging="369"/>
        <w:jc w:val="left"/>
        <w:rPr>
          <w:b/>
          <w:color w:val="333131"/>
          <w:sz w:val="23"/>
        </w:rPr>
      </w:pPr>
      <w:r>
        <w:rPr>
          <w:rFonts w:ascii="Arial"/>
          <w:color w:val="333131"/>
          <w:spacing w:val="-1"/>
          <w:w w:val="110"/>
          <w:sz w:val="21"/>
        </w:rPr>
        <w:t>Writing</w:t>
      </w:r>
      <w:r>
        <w:rPr>
          <w:rFonts w:ascii="Arial"/>
          <w:color w:val="333131"/>
          <w:spacing w:val="-6"/>
          <w:w w:val="110"/>
          <w:sz w:val="21"/>
        </w:rPr>
        <w:t> </w:t>
      </w:r>
      <w:r>
        <w:rPr>
          <w:rFonts w:ascii="Arial"/>
          <w:color w:val="333131"/>
          <w:spacing w:val="-1"/>
          <w:w w:val="110"/>
          <w:sz w:val="21"/>
        </w:rPr>
        <w:t>the</w:t>
      </w:r>
      <w:r>
        <w:rPr>
          <w:rFonts w:ascii="Arial"/>
          <w:color w:val="333131"/>
          <w:spacing w:val="-15"/>
          <w:w w:val="110"/>
          <w:sz w:val="21"/>
        </w:rPr>
        <w:t> </w:t>
      </w:r>
      <w:r>
        <w:rPr>
          <w:rFonts w:ascii="Arial"/>
          <w:color w:val="333131"/>
          <w:spacing w:val="-1"/>
          <w:w w:val="110"/>
          <w:sz w:val="21"/>
        </w:rPr>
        <w:t>"Rule</w:t>
      </w:r>
      <w:r>
        <w:rPr>
          <w:rFonts w:ascii="Arial"/>
          <w:color w:val="333131"/>
          <w:spacing w:val="-5"/>
          <w:w w:val="110"/>
          <w:sz w:val="21"/>
        </w:rPr>
        <w:t> </w:t>
      </w:r>
      <w:r>
        <w:rPr>
          <w:rFonts w:ascii="Arial"/>
          <w:color w:val="333131"/>
          <w:spacing w:val="-1"/>
          <w:w w:val="110"/>
          <w:sz w:val="21"/>
        </w:rPr>
        <w:t>Summary"</w:t>
        <w:tab/>
      </w:r>
      <w:r>
        <w:rPr>
          <w:rFonts w:ascii="Arial"/>
          <w:b/>
          <w:i/>
          <w:color w:val="333131"/>
          <w:w w:val="110"/>
          <w:position w:val="2"/>
          <w:sz w:val="20"/>
        </w:rPr>
        <w:t>99</w:t>
      </w:r>
    </w:p>
    <w:p>
      <w:pPr>
        <w:pStyle w:val="ListParagraph"/>
        <w:numPr>
          <w:ilvl w:val="2"/>
          <w:numId w:val="5"/>
        </w:numPr>
        <w:tabs>
          <w:tab w:pos="1591" w:val="left" w:leader="none"/>
          <w:tab w:pos="7373" w:val="left" w:leader="none"/>
        </w:tabs>
        <w:spacing w:line="268" w:lineRule="exact" w:before="0" w:after="0"/>
        <w:ind w:left="1590" w:right="0" w:hanging="749"/>
        <w:jc w:val="left"/>
        <w:rPr>
          <w:rFonts w:ascii="Courier New"/>
          <w:b/>
          <w:color w:val="333131"/>
          <w:sz w:val="23"/>
        </w:rPr>
      </w:pPr>
      <w:r>
        <w:rPr>
          <w:rFonts w:ascii="Arial"/>
          <w:color w:val="333131"/>
          <w:sz w:val="21"/>
        </w:rPr>
        <w:t>Apply</w:t>
      </w:r>
      <w:r>
        <w:rPr>
          <w:rFonts w:ascii="Arial"/>
          <w:color w:val="333131"/>
          <w:spacing w:val="17"/>
          <w:sz w:val="21"/>
        </w:rPr>
        <w:t> </w:t>
      </w:r>
      <w:r>
        <w:rPr>
          <w:rFonts w:ascii="Arial"/>
          <w:color w:val="333131"/>
          <w:sz w:val="21"/>
        </w:rPr>
        <w:t>the</w:t>
      </w:r>
      <w:r>
        <w:rPr>
          <w:rFonts w:ascii="Arial"/>
          <w:color w:val="333131"/>
          <w:spacing w:val="8"/>
          <w:sz w:val="21"/>
        </w:rPr>
        <w:t> </w:t>
      </w:r>
      <w:r>
        <w:rPr>
          <w:rFonts w:ascii="Arial"/>
          <w:color w:val="333131"/>
          <w:sz w:val="21"/>
        </w:rPr>
        <w:t>Rule</w:t>
      </w:r>
      <w:r>
        <w:rPr>
          <w:rFonts w:ascii="Arial"/>
          <w:color w:val="333131"/>
          <w:spacing w:val="5"/>
          <w:sz w:val="21"/>
        </w:rPr>
        <w:t> </w:t>
      </w:r>
      <w:r>
        <w:rPr>
          <w:rFonts w:ascii="Arial"/>
          <w:color w:val="333131"/>
          <w:sz w:val="21"/>
        </w:rPr>
        <w:t>to</w:t>
      </w:r>
      <w:r>
        <w:rPr>
          <w:rFonts w:ascii="Arial"/>
          <w:color w:val="333131"/>
          <w:spacing w:val="48"/>
          <w:sz w:val="21"/>
        </w:rPr>
        <w:t> </w:t>
      </w:r>
      <w:r>
        <w:rPr>
          <w:rFonts w:ascii="Arial"/>
          <w:color w:val="333131"/>
          <w:sz w:val="21"/>
        </w:rPr>
        <w:t>the</w:t>
      </w:r>
      <w:r>
        <w:rPr>
          <w:rFonts w:ascii="Arial"/>
          <w:color w:val="333131"/>
          <w:spacing w:val="28"/>
          <w:sz w:val="21"/>
        </w:rPr>
        <w:t> </w:t>
      </w:r>
      <w:r>
        <w:rPr>
          <w:rFonts w:ascii="Arial"/>
          <w:color w:val="333131"/>
          <w:sz w:val="21"/>
        </w:rPr>
        <w:t>Facts</w:t>
        <w:tab/>
      </w:r>
      <w:r>
        <w:rPr>
          <w:rFonts w:ascii="Courier New"/>
          <w:b/>
          <w:color w:val="333131"/>
          <w:position w:val="2"/>
          <w:sz w:val="23"/>
        </w:rPr>
        <w:t>100</w:t>
      </w:r>
    </w:p>
    <w:p>
      <w:pPr>
        <w:pStyle w:val="ListParagraph"/>
        <w:numPr>
          <w:ilvl w:val="3"/>
          <w:numId w:val="5"/>
        </w:numPr>
        <w:tabs>
          <w:tab w:pos="1966" w:val="left" w:leader="none"/>
          <w:tab w:pos="1967" w:val="left" w:leader="none"/>
          <w:tab w:pos="7383" w:val="left" w:leader="none"/>
        </w:tabs>
        <w:spacing w:line="256" w:lineRule="exact" w:before="0" w:after="0"/>
        <w:ind w:left="1966" w:right="0" w:hanging="388"/>
        <w:jc w:val="left"/>
        <w:rPr>
          <w:b/>
          <w:color w:val="333131"/>
          <w:sz w:val="24"/>
        </w:rPr>
      </w:pPr>
      <w:r>
        <w:rPr>
          <w:rFonts w:ascii="Arial"/>
          <w:color w:val="333131"/>
          <w:sz w:val="21"/>
        </w:rPr>
        <w:t>Apply</w:t>
      </w:r>
      <w:r>
        <w:rPr>
          <w:rFonts w:ascii="Arial"/>
          <w:color w:val="333131"/>
          <w:spacing w:val="-13"/>
          <w:sz w:val="21"/>
        </w:rPr>
        <w:t> </w:t>
      </w:r>
      <w:r>
        <w:rPr>
          <w:rFonts w:ascii="Arial"/>
          <w:color w:val="333131"/>
          <w:sz w:val="21"/>
        </w:rPr>
        <w:t>Rules,</w:t>
      </w:r>
      <w:r>
        <w:rPr>
          <w:rFonts w:ascii="Arial"/>
          <w:color w:val="333131"/>
          <w:spacing w:val="-5"/>
          <w:sz w:val="21"/>
        </w:rPr>
        <w:t> </w:t>
      </w:r>
      <w:r>
        <w:rPr>
          <w:rFonts w:ascii="Arial"/>
          <w:color w:val="333131"/>
          <w:sz w:val="21"/>
        </w:rPr>
        <w:t>Not</w:t>
      </w:r>
      <w:r>
        <w:rPr>
          <w:rFonts w:ascii="Arial"/>
          <w:color w:val="333131"/>
          <w:spacing w:val="63"/>
          <w:sz w:val="21"/>
        </w:rPr>
        <w:t> </w:t>
      </w:r>
      <w:r>
        <w:rPr>
          <w:rFonts w:ascii="Arial"/>
          <w:color w:val="333131"/>
          <w:sz w:val="21"/>
        </w:rPr>
        <w:t>Cases</w:t>
        <w:tab/>
      </w:r>
      <w:r>
        <w:rPr>
          <w:rFonts w:ascii="Courier New"/>
          <w:b/>
          <w:color w:val="333131"/>
          <w:position w:val="3"/>
          <w:sz w:val="23"/>
        </w:rPr>
        <w:t>101</w:t>
      </w:r>
    </w:p>
    <w:p>
      <w:pPr>
        <w:pStyle w:val="ListParagraph"/>
        <w:numPr>
          <w:ilvl w:val="3"/>
          <w:numId w:val="5"/>
        </w:numPr>
        <w:tabs>
          <w:tab w:pos="1969" w:val="left" w:leader="none"/>
        </w:tabs>
        <w:spacing w:line="256" w:lineRule="exact" w:before="0" w:after="0"/>
        <w:ind w:left="1968" w:right="0" w:hanging="374"/>
        <w:jc w:val="left"/>
        <w:rPr>
          <w:b/>
          <w:color w:val="333131"/>
          <w:sz w:val="23"/>
        </w:rPr>
      </w:pPr>
      <w:r>
        <w:rPr>
          <w:rFonts w:ascii="Arial"/>
          <w:color w:val="333131"/>
          <w:w w:val="105"/>
          <w:sz w:val="21"/>
        </w:rPr>
        <w:t>Explicitly</w:t>
      </w:r>
      <w:r>
        <w:rPr>
          <w:rFonts w:ascii="Arial"/>
          <w:color w:val="333131"/>
          <w:spacing w:val="-6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Connecting</w:t>
      </w:r>
      <w:r>
        <w:rPr>
          <w:rFonts w:ascii="Arial"/>
          <w:color w:val="333131"/>
          <w:spacing w:val="20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the</w:t>
      </w:r>
      <w:r>
        <w:rPr>
          <w:rFonts w:ascii="Arial"/>
          <w:color w:val="333131"/>
          <w:spacing w:val="12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Rule</w:t>
      </w:r>
      <w:r>
        <w:rPr>
          <w:rFonts w:ascii="Arial"/>
          <w:color w:val="333131"/>
          <w:spacing w:val="5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Application</w:t>
      </w:r>
      <w:r>
        <w:rPr>
          <w:rFonts w:ascii="Arial"/>
          <w:color w:val="333131"/>
          <w:spacing w:val="20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to</w:t>
      </w:r>
      <w:r>
        <w:rPr>
          <w:rFonts w:ascii="Arial"/>
          <w:color w:val="333131"/>
          <w:spacing w:val="33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the</w:t>
      </w:r>
    </w:p>
    <w:p>
      <w:pPr>
        <w:tabs>
          <w:tab w:pos="7402" w:val="left" w:leader="none"/>
        </w:tabs>
        <w:spacing w:line="255" w:lineRule="exact" w:before="0"/>
        <w:ind w:left="1968" w:right="0" w:firstLine="0"/>
        <w:jc w:val="left"/>
        <w:rPr>
          <w:rFonts w:ascii="Courier New"/>
          <w:b/>
          <w:sz w:val="23"/>
        </w:rPr>
      </w:pPr>
      <w:r>
        <w:rPr>
          <w:rFonts w:ascii="Arial"/>
          <w:color w:val="333131"/>
          <w:w w:val="105"/>
          <w:sz w:val="21"/>
        </w:rPr>
        <w:t>Rule</w:t>
      </w:r>
      <w:r>
        <w:rPr>
          <w:rFonts w:ascii="Arial"/>
          <w:color w:val="333131"/>
          <w:spacing w:val="-14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Summary</w:t>
        <w:tab/>
      </w:r>
      <w:r>
        <w:rPr>
          <w:rFonts w:ascii="Courier New"/>
          <w:b/>
          <w:color w:val="333131"/>
          <w:w w:val="105"/>
          <w:position w:val="2"/>
          <w:sz w:val="23"/>
        </w:rPr>
        <w:t>102</w:t>
      </w:r>
    </w:p>
    <w:p>
      <w:pPr>
        <w:pStyle w:val="ListParagraph"/>
        <w:numPr>
          <w:ilvl w:val="3"/>
          <w:numId w:val="5"/>
        </w:numPr>
        <w:tabs>
          <w:tab w:pos="1969" w:val="left" w:leader="none"/>
          <w:tab w:pos="7402" w:val="left" w:leader="none"/>
        </w:tabs>
        <w:spacing w:line="259" w:lineRule="exact" w:before="0" w:after="0"/>
        <w:ind w:left="1968" w:right="0" w:hanging="388"/>
        <w:jc w:val="left"/>
        <w:rPr>
          <w:b/>
          <w:color w:val="333131"/>
          <w:sz w:val="23"/>
        </w:rPr>
      </w:pPr>
      <w:r>
        <w:rPr>
          <w:rFonts w:ascii="Arial"/>
          <w:color w:val="333131"/>
          <w:sz w:val="21"/>
        </w:rPr>
        <w:t>Facts</w:t>
      </w:r>
      <w:r>
        <w:rPr>
          <w:rFonts w:ascii="Arial"/>
          <w:color w:val="333131"/>
          <w:spacing w:val="7"/>
          <w:sz w:val="21"/>
        </w:rPr>
        <w:t> </w:t>
      </w:r>
      <w:r>
        <w:rPr>
          <w:rFonts w:ascii="Arial"/>
          <w:color w:val="333131"/>
          <w:sz w:val="21"/>
        </w:rPr>
        <w:t>Are Relevant</w:t>
      </w:r>
      <w:r>
        <w:rPr>
          <w:rFonts w:ascii="Arial"/>
          <w:color w:val="333131"/>
          <w:spacing w:val="16"/>
          <w:sz w:val="21"/>
        </w:rPr>
        <w:t> </w:t>
      </w:r>
      <w:r>
        <w:rPr>
          <w:rFonts w:ascii="Arial"/>
          <w:color w:val="333131"/>
          <w:sz w:val="21"/>
        </w:rPr>
        <w:t>to</w:t>
      </w:r>
      <w:r>
        <w:rPr>
          <w:rFonts w:ascii="Arial"/>
          <w:color w:val="333131"/>
          <w:spacing w:val="59"/>
          <w:sz w:val="21"/>
        </w:rPr>
        <w:t> </w:t>
      </w:r>
      <w:r>
        <w:rPr>
          <w:rFonts w:ascii="Arial"/>
          <w:color w:val="333131"/>
          <w:sz w:val="21"/>
        </w:rPr>
        <w:t>Questions</w:t>
      </w:r>
      <w:r>
        <w:rPr>
          <w:rFonts w:ascii="Arial"/>
          <w:color w:val="333131"/>
          <w:spacing w:val="1"/>
          <w:sz w:val="21"/>
        </w:rPr>
        <w:t> </w:t>
      </w:r>
      <w:r>
        <w:rPr>
          <w:rFonts w:ascii="Arial"/>
          <w:color w:val="333131"/>
          <w:sz w:val="21"/>
        </w:rPr>
        <w:t>of</w:t>
      </w:r>
      <w:r>
        <w:rPr>
          <w:rFonts w:ascii="Arial"/>
          <w:color w:val="333131"/>
          <w:spacing w:val="36"/>
          <w:sz w:val="21"/>
        </w:rPr>
        <w:t> </w:t>
      </w:r>
      <w:r>
        <w:rPr>
          <w:rFonts w:ascii="Arial"/>
          <w:color w:val="333131"/>
          <w:sz w:val="21"/>
        </w:rPr>
        <w:t>Law</w:t>
        <w:tab/>
      </w:r>
      <w:r>
        <w:rPr>
          <w:rFonts w:ascii="Courier New"/>
          <w:b/>
          <w:color w:val="333131"/>
          <w:w w:val="105"/>
          <w:position w:val="3"/>
          <w:sz w:val="23"/>
        </w:rPr>
        <w:t>103</w:t>
      </w:r>
    </w:p>
    <w:p>
      <w:pPr>
        <w:pStyle w:val="ListParagraph"/>
        <w:numPr>
          <w:ilvl w:val="3"/>
          <w:numId w:val="5"/>
        </w:numPr>
        <w:tabs>
          <w:tab w:pos="1976" w:val="left" w:leader="none"/>
          <w:tab w:pos="7412" w:val="left" w:leader="none"/>
        </w:tabs>
        <w:spacing w:line="257" w:lineRule="exact" w:before="0" w:after="0"/>
        <w:ind w:left="1975" w:right="0" w:hanging="386"/>
        <w:jc w:val="left"/>
        <w:rPr>
          <w:b/>
          <w:color w:val="333131"/>
          <w:sz w:val="23"/>
        </w:rPr>
      </w:pPr>
      <w:r>
        <w:rPr>
          <w:rFonts w:ascii="Arial"/>
          <w:color w:val="333131"/>
          <w:spacing w:val="-1"/>
          <w:w w:val="105"/>
          <w:sz w:val="21"/>
        </w:rPr>
        <w:t>Sometimes</w:t>
      </w:r>
      <w:r>
        <w:rPr>
          <w:rFonts w:ascii="Arial"/>
          <w:color w:val="333131"/>
          <w:w w:val="105"/>
          <w:sz w:val="21"/>
        </w:rPr>
        <w:t> </w:t>
      </w:r>
      <w:r>
        <w:rPr>
          <w:rFonts w:ascii="Arial"/>
          <w:color w:val="333131"/>
          <w:spacing w:val="-1"/>
          <w:w w:val="105"/>
          <w:sz w:val="21"/>
        </w:rPr>
        <w:t>Statutory</w:t>
      </w:r>
      <w:r>
        <w:rPr>
          <w:rFonts w:ascii="Arial"/>
          <w:color w:val="333131"/>
          <w:spacing w:val="7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Language</w:t>
      </w:r>
      <w:r>
        <w:rPr>
          <w:rFonts w:ascii="Arial"/>
          <w:color w:val="333131"/>
          <w:spacing w:val="-10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Is</w:t>
      </w:r>
      <w:r>
        <w:rPr>
          <w:rFonts w:ascii="Arial"/>
          <w:color w:val="333131"/>
          <w:spacing w:val="-17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a</w:t>
      </w:r>
      <w:r>
        <w:rPr>
          <w:rFonts w:ascii="Arial"/>
          <w:color w:val="333131"/>
          <w:spacing w:val="-10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Fact</w:t>
        <w:tab/>
      </w:r>
      <w:r>
        <w:rPr>
          <w:rFonts w:ascii="Courier New"/>
          <w:b/>
          <w:color w:val="333131"/>
          <w:w w:val="105"/>
          <w:position w:val="2"/>
          <w:sz w:val="23"/>
        </w:rPr>
        <w:t>105</w:t>
      </w:r>
    </w:p>
    <w:p>
      <w:pPr>
        <w:pStyle w:val="ListParagraph"/>
        <w:numPr>
          <w:ilvl w:val="2"/>
          <w:numId w:val="5"/>
        </w:numPr>
        <w:tabs>
          <w:tab w:pos="1594" w:val="left" w:leader="none"/>
          <w:tab w:pos="7412" w:val="left" w:leader="none"/>
        </w:tabs>
        <w:spacing w:line="265" w:lineRule="exact" w:before="8" w:after="0"/>
        <w:ind w:left="1593" w:right="0" w:hanging="742"/>
        <w:jc w:val="left"/>
        <w:rPr>
          <w:rFonts w:ascii="Courier New"/>
          <w:b/>
          <w:color w:val="333131"/>
          <w:sz w:val="23"/>
        </w:rPr>
      </w:pPr>
      <w:r>
        <w:rPr>
          <w:rFonts w:ascii="Arial"/>
          <w:color w:val="333131"/>
          <w:spacing w:val="-1"/>
          <w:w w:val="110"/>
          <w:sz w:val="21"/>
        </w:rPr>
        <w:t>Make</w:t>
      </w:r>
      <w:r>
        <w:rPr>
          <w:rFonts w:ascii="Arial"/>
          <w:color w:val="333131"/>
          <w:spacing w:val="-15"/>
          <w:w w:val="110"/>
          <w:sz w:val="21"/>
        </w:rPr>
        <w:t> </w:t>
      </w:r>
      <w:r>
        <w:rPr>
          <w:rFonts w:ascii="Arial"/>
          <w:color w:val="333131"/>
          <w:spacing w:val="-1"/>
          <w:w w:val="110"/>
          <w:sz w:val="21"/>
        </w:rPr>
        <w:t>the</w:t>
      </w:r>
      <w:r>
        <w:rPr>
          <w:rFonts w:ascii="Arial"/>
          <w:color w:val="333131"/>
          <w:spacing w:val="-6"/>
          <w:w w:val="110"/>
          <w:sz w:val="21"/>
        </w:rPr>
        <w:t> </w:t>
      </w:r>
      <w:r>
        <w:rPr>
          <w:rFonts w:ascii="Arial"/>
          <w:color w:val="333131"/>
          <w:spacing w:val="-1"/>
          <w:w w:val="110"/>
          <w:sz w:val="21"/>
        </w:rPr>
        <w:t>Connection</w:t>
        <w:tab/>
      </w:r>
      <w:r>
        <w:rPr>
          <w:rFonts w:ascii="Courier New"/>
          <w:b/>
          <w:color w:val="333131"/>
          <w:w w:val="110"/>
          <w:position w:val="2"/>
          <w:sz w:val="23"/>
        </w:rPr>
        <w:t>106</w:t>
      </w:r>
    </w:p>
    <w:p>
      <w:pPr>
        <w:pStyle w:val="ListParagraph"/>
        <w:numPr>
          <w:ilvl w:val="1"/>
          <w:numId w:val="5"/>
        </w:numPr>
        <w:tabs>
          <w:tab w:pos="856" w:val="left" w:leader="none"/>
          <w:tab w:pos="7422" w:val="left" w:leader="none"/>
        </w:tabs>
        <w:spacing w:line="260" w:lineRule="exact" w:before="0" w:after="0"/>
        <w:ind w:left="855" w:right="0" w:hanging="708"/>
        <w:jc w:val="left"/>
        <w:rPr>
          <w:rFonts w:ascii="Courier New"/>
          <w:b/>
          <w:sz w:val="23"/>
        </w:rPr>
      </w:pPr>
      <w:r>
        <w:rPr>
          <w:rFonts w:ascii="Arial"/>
          <w:color w:val="333131"/>
          <w:sz w:val="21"/>
        </w:rPr>
        <w:t>When</w:t>
      </w:r>
      <w:r>
        <w:rPr>
          <w:rFonts w:ascii="Arial"/>
          <w:color w:val="333131"/>
          <w:spacing w:val="-1"/>
          <w:sz w:val="21"/>
        </w:rPr>
        <w:t> </w:t>
      </w:r>
      <w:r>
        <w:rPr>
          <w:rFonts w:ascii="Arial"/>
          <w:color w:val="333131"/>
          <w:sz w:val="21"/>
        </w:rPr>
        <w:t>Not</w:t>
      </w:r>
      <w:r>
        <w:rPr>
          <w:rFonts w:ascii="Arial"/>
          <w:color w:val="333131"/>
          <w:spacing w:val="50"/>
          <w:sz w:val="21"/>
        </w:rPr>
        <w:t> </w:t>
      </w:r>
      <w:r>
        <w:rPr>
          <w:rFonts w:ascii="Arial"/>
          <w:color w:val="333131"/>
          <w:sz w:val="21"/>
        </w:rPr>
        <w:t>to</w:t>
      </w:r>
      <w:r>
        <w:rPr>
          <w:rFonts w:ascii="Arial"/>
          <w:color w:val="333131"/>
          <w:spacing w:val="32"/>
          <w:sz w:val="21"/>
        </w:rPr>
        <w:t> </w:t>
      </w:r>
      <w:r>
        <w:rPr>
          <w:rFonts w:ascii="Arial"/>
          <w:color w:val="333131"/>
          <w:sz w:val="21"/>
        </w:rPr>
        <w:t>Provide</w:t>
      </w:r>
      <w:r>
        <w:rPr>
          <w:rFonts w:ascii="Arial"/>
          <w:color w:val="333131"/>
          <w:spacing w:val="4"/>
          <w:sz w:val="21"/>
        </w:rPr>
        <w:t> </w:t>
      </w:r>
      <w:r>
        <w:rPr>
          <w:rFonts w:ascii="Arial"/>
          <w:color w:val="333131"/>
          <w:sz w:val="21"/>
        </w:rPr>
        <w:t>a</w:t>
      </w:r>
      <w:r>
        <w:rPr>
          <w:rFonts w:ascii="Arial"/>
          <w:color w:val="333131"/>
          <w:spacing w:val="1"/>
          <w:sz w:val="21"/>
        </w:rPr>
        <w:t> </w:t>
      </w:r>
      <w:r>
        <w:rPr>
          <w:rFonts w:ascii="Arial"/>
          <w:color w:val="333131"/>
          <w:sz w:val="21"/>
        </w:rPr>
        <w:t>CREXAC</w:t>
      </w:r>
      <w:r>
        <w:rPr>
          <w:rFonts w:ascii="Arial"/>
          <w:color w:val="333131"/>
          <w:spacing w:val="17"/>
          <w:sz w:val="21"/>
        </w:rPr>
        <w:t> </w:t>
      </w:r>
      <w:r>
        <w:rPr>
          <w:rFonts w:ascii="Arial"/>
          <w:color w:val="333131"/>
          <w:sz w:val="21"/>
        </w:rPr>
        <w:t>Analysis</w:t>
        <w:tab/>
      </w:r>
      <w:r>
        <w:rPr>
          <w:rFonts w:ascii="Courier New"/>
          <w:b/>
          <w:color w:val="333131"/>
          <w:w w:val="105"/>
          <w:position w:val="3"/>
          <w:sz w:val="23"/>
        </w:rPr>
        <w:t>106</w:t>
      </w:r>
    </w:p>
    <w:p>
      <w:pPr>
        <w:pStyle w:val="ListParagraph"/>
        <w:numPr>
          <w:ilvl w:val="2"/>
          <w:numId w:val="5"/>
        </w:numPr>
        <w:tabs>
          <w:tab w:pos="1590" w:val="left" w:leader="none"/>
          <w:tab w:pos="7431" w:val="left" w:leader="none"/>
        </w:tabs>
        <w:spacing w:line="255" w:lineRule="exact" w:before="0" w:after="0"/>
        <w:ind w:left="1589" w:right="0" w:hanging="738"/>
        <w:jc w:val="left"/>
        <w:rPr>
          <w:rFonts w:ascii="Courier New"/>
          <w:b/>
          <w:color w:val="333131"/>
          <w:sz w:val="23"/>
        </w:rPr>
      </w:pPr>
      <w:r>
        <w:rPr>
          <w:rFonts w:ascii="Arial"/>
          <w:color w:val="333131"/>
          <w:sz w:val="21"/>
        </w:rPr>
        <w:t>Ignore</w:t>
      </w:r>
      <w:r>
        <w:rPr>
          <w:rFonts w:ascii="Arial"/>
          <w:color w:val="333131"/>
          <w:spacing w:val="14"/>
          <w:sz w:val="21"/>
        </w:rPr>
        <w:t> </w:t>
      </w:r>
      <w:r>
        <w:rPr>
          <w:rFonts w:ascii="Arial"/>
          <w:color w:val="333131"/>
          <w:sz w:val="21"/>
        </w:rPr>
        <w:t>Issues</w:t>
        <w:tab/>
      </w:r>
      <w:r>
        <w:rPr>
          <w:rFonts w:ascii="Courier New"/>
          <w:b/>
          <w:color w:val="333131"/>
          <w:w w:val="105"/>
          <w:position w:val="2"/>
          <w:sz w:val="23"/>
        </w:rPr>
        <w:t>107</w:t>
      </w:r>
    </w:p>
    <w:p>
      <w:pPr>
        <w:pStyle w:val="ListParagraph"/>
        <w:numPr>
          <w:ilvl w:val="2"/>
          <w:numId w:val="5"/>
        </w:numPr>
        <w:tabs>
          <w:tab w:pos="1596" w:val="left" w:leader="none"/>
          <w:tab w:pos="7431" w:val="left" w:leader="none"/>
        </w:tabs>
        <w:spacing w:line="250" w:lineRule="exact" w:before="0" w:after="0"/>
        <w:ind w:left="1595" w:right="0" w:hanging="744"/>
        <w:jc w:val="left"/>
        <w:rPr>
          <w:rFonts w:ascii="Courier New"/>
          <w:b/>
          <w:color w:val="333131"/>
          <w:sz w:val="23"/>
        </w:rPr>
      </w:pPr>
      <w:r>
        <w:rPr>
          <w:rFonts w:ascii="Arial"/>
          <w:color w:val="333131"/>
          <w:w w:val="95"/>
          <w:sz w:val="21"/>
        </w:rPr>
        <w:t>Tell</w:t>
      </w:r>
      <w:r>
        <w:rPr>
          <w:rFonts w:ascii="Arial"/>
          <w:color w:val="333131"/>
          <w:spacing w:val="-1"/>
          <w:w w:val="95"/>
          <w:sz w:val="21"/>
        </w:rPr>
        <w:t> </w:t>
      </w:r>
      <w:r>
        <w:rPr>
          <w:rFonts w:ascii="Arial"/>
          <w:color w:val="333131"/>
          <w:w w:val="95"/>
          <w:sz w:val="21"/>
        </w:rPr>
        <w:t>Issues</w:t>
        <w:tab/>
      </w:r>
      <w:r>
        <w:rPr>
          <w:rFonts w:ascii="Courier New"/>
          <w:b/>
          <w:color w:val="333131"/>
          <w:position w:val="2"/>
          <w:sz w:val="23"/>
        </w:rPr>
        <w:t>108</w:t>
      </w:r>
    </w:p>
    <w:p>
      <w:pPr>
        <w:pStyle w:val="ListParagraph"/>
        <w:numPr>
          <w:ilvl w:val="2"/>
          <w:numId w:val="5"/>
        </w:numPr>
        <w:tabs>
          <w:tab w:pos="1599" w:val="left" w:leader="none"/>
          <w:tab w:pos="7441" w:val="left" w:leader="none"/>
        </w:tabs>
        <w:spacing w:line="260" w:lineRule="exact" w:before="0" w:after="0"/>
        <w:ind w:left="1598" w:right="0" w:hanging="747"/>
        <w:jc w:val="left"/>
        <w:rPr>
          <w:rFonts w:ascii="Courier New"/>
          <w:b/>
          <w:color w:val="333131"/>
          <w:sz w:val="23"/>
        </w:rPr>
      </w:pPr>
      <w:r>
        <w:rPr>
          <w:rFonts w:ascii="Arial"/>
          <w:color w:val="333131"/>
          <w:sz w:val="21"/>
        </w:rPr>
        <w:t>Clarify</w:t>
      </w:r>
      <w:r>
        <w:rPr>
          <w:rFonts w:ascii="Arial"/>
          <w:color w:val="333131"/>
          <w:spacing w:val="-11"/>
          <w:sz w:val="21"/>
        </w:rPr>
        <w:t> </w:t>
      </w:r>
      <w:r>
        <w:rPr>
          <w:rFonts w:ascii="Arial"/>
          <w:color w:val="333131"/>
          <w:sz w:val="21"/>
        </w:rPr>
        <w:t>or</w:t>
      </w:r>
      <w:r>
        <w:rPr>
          <w:rFonts w:ascii="Arial"/>
          <w:color w:val="333131"/>
          <w:spacing w:val="17"/>
          <w:sz w:val="21"/>
        </w:rPr>
        <w:t> </w:t>
      </w:r>
      <w:r>
        <w:rPr>
          <w:rFonts w:ascii="Arial"/>
          <w:color w:val="333131"/>
          <w:sz w:val="21"/>
        </w:rPr>
        <w:t>CRAC</w:t>
      </w:r>
      <w:r>
        <w:rPr>
          <w:rFonts w:ascii="Arial"/>
          <w:color w:val="333131"/>
          <w:spacing w:val="-7"/>
          <w:sz w:val="21"/>
        </w:rPr>
        <w:t> </w:t>
      </w:r>
      <w:r>
        <w:rPr>
          <w:rFonts w:ascii="Arial"/>
          <w:color w:val="333131"/>
          <w:sz w:val="21"/>
        </w:rPr>
        <w:t>Issues</w:t>
        <w:tab/>
      </w:r>
      <w:r>
        <w:rPr>
          <w:rFonts w:ascii="Courier New"/>
          <w:b/>
          <w:color w:val="333131"/>
          <w:w w:val="105"/>
          <w:position w:val="3"/>
          <w:sz w:val="23"/>
        </w:rPr>
        <w:t>109</w:t>
      </w:r>
    </w:p>
    <w:p>
      <w:pPr>
        <w:pStyle w:val="ListParagraph"/>
        <w:numPr>
          <w:ilvl w:val="2"/>
          <w:numId w:val="5"/>
        </w:numPr>
        <w:tabs>
          <w:tab w:pos="1603" w:val="left" w:leader="none"/>
          <w:tab w:pos="7451" w:val="left" w:leader="none"/>
        </w:tabs>
        <w:spacing w:line="260" w:lineRule="exact" w:before="0" w:after="0"/>
        <w:ind w:left="1602" w:right="0" w:hanging="751"/>
        <w:jc w:val="left"/>
        <w:rPr>
          <w:rFonts w:ascii="Courier New"/>
          <w:b/>
          <w:color w:val="333131"/>
          <w:sz w:val="23"/>
        </w:rPr>
      </w:pPr>
      <w:r>
        <w:rPr>
          <w:rFonts w:ascii="Arial"/>
          <w:color w:val="333131"/>
          <w:w w:val="95"/>
          <w:sz w:val="21"/>
        </w:rPr>
        <w:t>Prove</w:t>
      </w:r>
      <w:r>
        <w:rPr>
          <w:rFonts w:ascii="Arial"/>
          <w:color w:val="333131"/>
          <w:spacing w:val="10"/>
          <w:w w:val="95"/>
          <w:sz w:val="21"/>
        </w:rPr>
        <w:t> </w:t>
      </w:r>
      <w:r>
        <w:rPr>
          <w:rFonts w:ascii="Arial"/>
          <w:color w:val="333131"/>
          <w:w w:val="95"/>
          <w:sz w:val="21"/>
        </w:rPr>
        <w:t>or</w:t>
      </w:r>
      <w:r>
        <w:rPr>
          <w:rFonts w:ascii="Arial"/>
          <w:color w:val="333131"/>
          <w:spacing w:val="37"/>
          <w:w w:val="95"/>
          <w:sz w:val="21"/>
        </w:rPr>
        <w:t> </w:t>
      </w:r>
      <w:r>
        <w:rPr>
          <w:rFonts w:ascii="Arial"/>
          <w:color w:val="333131"/>
          <w:w w:val="95"/>
          <w:sz w:val="21"/>
        </w:rPr>
        <w:t>CREXAC</w:t>
      </w:r>
      <w:r>
        <w:rPr>
          <w:rFonts w:ascii="Arial"/>
          <w:color w:val="333131"/>
          <w:spacing w:val="14"/>
          <w:w w:val="95"/>
          <w:sz w:val="21"/>
        </w:rPr>
        <w:t> </w:t>
      </w:r>
      <w:r>
        <w:rPr>
          <w:rFonts w:ascii="Arial"/>
          <w:color w:val="333131"/>
          <w:w w:val="95"/>
          <w:sz w:val="21"/>
        </w:rPr>
        <w:t>Issues</w:t>
        <w:tab/>
      </w:r>
      <w:r>
        <w:rPr>
          <w:rFonts w:ascii="Courier New"/>
          <w:b/>
          <w:color w:val="333131"/>
          <w:position w:val="3"/>
          <w:sz w:val="23"/>
        </w:rPr>
        <w:t>111</w:t>
      </w:r>
    </w:p>
    <w:p>
      <w:pPr>
        <w:pStyle w:val="ListParagraph"/>
        <w:numPr>
          <w:ilvl w:val="1"/>
          <w:numId w:val="5"/>
        </w:numPr>
        <w:tabs>
          <w:tab w:pos="861" w:val="left" w:leader="none"/>
          <w:tab w:pos="7460" w:val="left" w:leader="none"/>
        </w:tabs>
        <w:spacing w:line="255" w:lineRule="exact" w:before="0" w:after="0"/>
        <w:ind w:left="860" w:right="0" w:hanging="703"/>
        <w:jc w:val="left"/>
        <w:rPr>
          <w:rFonts w:ascii="Courier New"/>
          <w:b/>
          <w:sz w:val="23"/>
        </w:rPr>
      </w:pPr>
      <w:r>
        <w:rPr>
          <w:rFonts w:ascii="Arial"/>
          <w:color w:val="333131"/>
          <w:w w:val="105"/>
          <w:sz w:val="21"/>
        </w:rPr>
        <w:t>Dealing</w:t>
      </w:r>
      <w:r>
        <w:rPr>
          <w:rFonts w:ascii="Arial"/>
          <w:color w:val="333131"/>
          <w:spacing w:val="7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with</w:t>
      </w:r>
      <w:r>
        <w:rPr>
          <w:rFonts w:ascii="Arial"/>
          <w:color w:val="333131"/>
          <w:spacing w:val="26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Your</w:t>
      </w:r>
      <w:r>
        <w:rPr>
          <w:rFonts w:ascii="Arial"/>
          <w:color w:val="333131"/>
          <w:spacing w:val="32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Opponent's</w:t>
      </w:r>
      <w:r>
        <w:rPr>
          <w:rFonts w:ascii="Arial"/>
          <w:color w:val="333131"/>
          <w:spacing w:val="38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Arguments</w:t>
        <w:tab/>
      </w:r>
      <w:r>
        <w:rPr>
          <w:rFonts w:ascii="Courier New"/>
          <w:b/>
          <w:color w:val="333131"/>
          <w:w w:val="110"/>
          <w:position w:val="2"/>
          <w:sz w:val="23"/>
        </w:rPr>
        <w:t>111</w:t>
      </w:r>
    </w:p>
    <w:p>
      <w:pPr>
        <w:pStyle w:val="ListParagraph"/>
        <w:numPr>
          <w:ilvl w:val="1"/>
          <w:numId w:val="5"/>
        </w:numPr>
        <w:tabs>
          <w:tab w:pos="868" w:val="left" w:leader="none"/>
          <w:tab w:pos="7460" w:val="left" w:leader="none"/>
        </w:tabs>
        <w:spacing w:line="255" w:lineRule="exact" w:before="0" w:after="0"/>
        <w:ind w:left="867" w:right="0" w:hanging="710"/>
        <w:jc w:val="left"/>
        <w:rPr>
          <w:rFonts w:ascii="Courier New"/>
          <w:b/>
          <w:sz w:val="23"/>
        </w:rPr>
      </w:pPr>
      <w:r>
        <w:rPr>
          <w:rFonts w:ascii="Arial"/>
          <w:color w:val="333131"/>
          <w:w w:val="105"/>
          <w:sz w:val="21"/>
        </w:rPr>
        <w:t>Summary</w:t>
        <w:tab/>
      </w:r>
      <w:r>
        <w:rPr>
          <w:rFonts w:ascii="Courier New"/>
          <w:b/>
          <w:color w:val="333131"/>
          <w:w w:val="105"/>
          <w:position w:val="1"/>
          <w:sz w:val="23"/>
        </w:rPr>
        <w:t>115</w:t>
      </w:r>
    </w:p>
    <w:p>
      <w:pPr>
        <w:spacing w:after="0" w:line="255" w:lineRule="exact"/>
        <w:jc w:val="left"/>
        <w:rPr>
          <w:rFonts w:ascii="Courier New"/>
          <w:sz w:val="23"/>
        </w:rPr>
        <w:sectPr>
          <w:pgSz w:w="9680" w:h="13790"/>
          <w:pgMar w:header="533" w:footer="0" w:top="1100" w:bottom="280" w:left="540" w:right="1120"/>
        </w:sectPr>
      </w:pPr>
    </w:p>
    <w:p>
      <w:pPr>
        <w:spacing w:before="474"/>
        <w:ind w:left="530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312F31"/>
          <w:spacing w:val="-1"/>
          <w:sz w:val="19"/>
        </w:rPr>
        <w:t>CHAPTER</w:t>
      </w:r>
      <w:r>
        <w:rPr>
          <w:rFonts w:ascii="Arial"/>
          <w:b/>
          <w:color w:val="312F31"/>
          <w:spacing w:val="-12"/>
          <w:sz w:val="19"/>
        </w:rPr>
        <w:t> </w:t>
      </w:r>
      <w:r>
        <w:rPr>
          <w:rFonts w:ascii="Arial"/>
          <w:b/>
          <w:color w:val="312F31"/>
          <w:sz w:val="19"/>
        </w:rPr>
        <w:t>SIX</w:t>
      </w:r>
    </w:p>
    <w:p>
      <w:pPr>
        <w:tabs>
          <w:tab w:pos="7564" w:val="left" w:leader="none"/>
        </w:tabs>
        <w:spacing w:line="276" w:lineRule="auto" w:before="52"/>
        <w:ind w:left="501" w:right="184" w:firstLine="29"/>
        <w:jc w:val="left"/>
        <w:rPr>
          <w:b/>
          <w:sz w:val="22"/>
        </w:rPr>
      </w:pPr>
      <w:r>
        <w:rPr>
          <w:rFonts w:ascii="Arial"/>
          <w:color w:val="646667"/>
          <w:w w:val="105"/>
          <w:sz w:val="24"/>
        </w:rPr>
        <w:t>PRACTI</w:t>
      </w:r>
      <w:r>
        <w:rPr>
          <w:rFonts w:ascii="Arial"/>
          <w:color w:val="464648"/>
          <w:w w:val="105"/>
          <w:sz w:val="24"/>
        </w:rPr>
        <w:t>C</w:t>
      </w:r>
      <w:r>
        <w:rPr>
          <w:rFonts w:ascii="Arial"/>
          <w:color w:val="646667"/>
          <w:w w:val="105"/>
          <w:sz w:val="24"/>
        </w:rPr>
        <w:t>E POIN</w:t>
      </w:r>
      <w:r>
        <w:rPr>
          <w:rFonts w:ascii="Arial"/>
          <w:color w:val="464648"/>
          <w:w w:val="105"/>
          <w:sz w:val="24"/>
        </w:rPr>
        <w:t>T</w:t>
      </w:r>
      <w:r>
        <w:rPr>
          <w:rFonts w:ascii="Arial"/>
          <w:color w:val="646667"/>
          <w:w w:val="105"/>
          <w:sz w:val="24"/>
        </w:rPr>
        <w:t>ERS:</w:t>
      </w:r>
      <w:r>
        <w:rPr>
          <w:rFonts w:ascii="Arial"/>
          <w:color w:val="646667"/>
          <w:spacing w:val="1"/>
          <w:w w:val="105"/>
          <w:sz w:val="24"/>
        </w:rPr>
        <w:t> </w:t>
      </w:r>
      <w:r>
        <w:rPr>
          <w:rFonts w:ascii="Arial"/>
          <w:color w:val="646667"/>
          <w:w w:val="105"/>
          <w:sz w:val="24"/>
        </w:rPr>
        <w:t>US</w:t>
      </w:r>
      <w:r>
        <w:rPr>
          <w:rFonts w:ascii="Arial"/>
          <w:color w:val="7E8082"/>
          <w:w w:val="105"/>
          <w:sz w:val="24"/>
        </w:rPr>
        <w:t>I</w:t>
      </w:r>
      <w:r>
        <w:rPr>
          <w:rFonts w:ascii="Arial"/>
          <w:color w:val="646667"/>
          <w:w w:val="105"/>
          <w:sz w:val="24"/>
        </w:rPr>
        <w:t>NG</w:t>
      </w:r>
      <w:r>
        <w:rPr>
          <w:rFonts w:ascii="Arial"/>
          <w:color w:val="646667"/>
          <w:spacing w:val="1"/>
          <w:w w:val="105"/>
          <w:sz w:val="24"/>
        </w:rPr>
        <w:t> </w:t>
      </w:r>
      <w:r>
        <w:rPr>
          <w:rFonts w:ascii="Arial"/>
          <w:color w:val="646667"/>
          <w:w w:val="105"/>
          <w:sz w:val="24"/>
        </w:rPr>
        <w:t>CASE </w:t>
      </w:r>
      <w:r>
        <w:rPr>
          <w:rFonts w:ascii="Arial"/>
          <w:color w:val="7E8082"/>
          <w:w w:val="105"/>
          <w:sz w:val="24"/>
        </w:rPr>
        <w:t>AU</w:t>
      </w:r>
      <w:r>
        <w:rPr>
          <w:rFonts w:ascii="Arial"/>
          <w:color w:val="646667"/>
          <w:w w:val="105"/>
          <w:sz w:val="24"/>
        </w:rPr>
        <w:t>THO</w:t>
      </w:r>
      <w:r>
        <w:rPr>
          <w:rFonts w:ascii="Arial"/>
          <w:color w:val="7E8082"/>
          <w:w w:val="105"/>
          <w:sz w:val="24"/>
        </w:rPr>
        <w:t>RI</w:t>
      </w:r>
      <w:r>
        <w:rPr>
          <w:rFonts w:ascii="Arial"/>
          <w:color w:val="646667"/>
          <w:w w:val="105"/>
          <w:sz w:val="24"/>
        </w:rPr>
        <w:t>TY</w:t>
      </w:r>
      <w:r>
        <w:rPr>
          <w:rFonts w:ascii="Arial"/>
          <w:color w:val="646667"/>
          <w:spacing w:val="1"/>
          <w:w w:val="105"/>
          <w:sz w:val="24"/>
        </w:rPr>
        <w:t> </w:t>
      </w:r>
      <w:r>
        <w:rPr>
          <w:rFonts w:ascii="Arial"/>
          <w:color w:val="464648"/>
          <w:sz w:val="24"/>
        </w:rPr>
        <w:t>EFFE</w:t>
      </w:r>
      <w:r>
        <w:rPr>
          <w:rFonts w:ascii="Arial"/>
          <w:color w:val="646667"/>
          <w:sz w:val="24"/>
        </w:rPr>
        <w:t>CT</w:t>
      </w:r>
      <w:r>
        <w:rPr>
          <w:rFonts w:ascii="Arial"/>
          <w:color w:val="464648"/>
          <w:sz w:val="24"/>
        </w:rPr>
        <w:t>I</w:t>
      </w:r>
      <w:r>
        <w:rPr>
          <w:rFonts w:ascii="Arial"/>
          <w:color w:val="646667"/>
          <w:sz w:val="24"/>
        </w:rPr>
        <w:t>VEL</w:t>
      </w:r>
      <w:r>
        <w:rPr>
          <w:rFonts w:ascii="Arial"/>
          <w:color w:val="464648"/>
          <w:sz w:val="24"/>
        </w:rPr>
        <w:t>Y</w:t>
        <w:tab/>
      </w:r>
      <w:r>
        <w:rPr>
          <w:b/>
          <w:color w:val="312F31"/>
          <w:spacing w:val="-6"/>
          <w:position w:val="3"/>
          <w:sz w:val="22"/>
        </w:rPr>
        <w:t>117</w:t>
      </w:r>
    </w:p>
    <w:p>
      <w:pPr>
        <w:pStyle w:val="ListParagraph"/>
        <w:numPr>
          <w:ilvl w:val="1"/>
          <w:numId w:val="6"/>
        </w:numPr>
        <w:tabs>
          <w:tab w:pos="1159" w:val="left" w:leader="none"/>
          <w:tab w:pos="1160" w:val="left" w:leader="none"/>
          <w:tab w:pos="7554" w:val="left" w:leader="none"/>
        </w:tabs>
        <w:spacing w:line="240" w:lineRule="auto" w:before="49" w:after="0"/>
        <w:ind w:left="1159" w:right="0" w:hanging="697"/>
        <w:jc w:val="left"/>
        <w:rPr>
          <w:b/>
          <w:color w:val="312F31"/>
          <w:sz w:val="22"/>
        </w:rPr>
      </w:pPr>
      <w:r>
        <w:rPr>
          <w:rFonts w:ascii="Arial"/>
          <w:color w:val="312F31"/>
          <w:sz w:val="21"/>
        </w:rPr>
        <w:t>Providing</w:t>
      </w:r>
      <w:r>
        <w:rPr>
          <w:rFonts w:ascii="Arial"/>
          <w:color w:val="312F31"/>
          <w:spacing w:val="31"/>
          <w:sz w:val="21"/>
        </w:rPr>
        <w:t> </w:t>
      </w:r>
      <w:r>
        <w:rPr>
          <w:rFonts w:ascii="Arial"/>
          <w:color w:val="312F31"/>
          <w:sz w:val="21"/>
        </w:rPr>
        <w:t>Appropriate</w:t>
      </w:r>
      <w:r>
        <w:rPr>
          <w:rFonts w:ascii="Arial"/>
          <w:color w:val="312F31"/>
          <w:spacing w:val="28"/>
          <w:sz w:val="21"/>
        </w:rPr>
        <w:t> </w:t>
      </w:r>
      <w:r>
        <w:rPr>
          <w:rFonts w:ascii="Arial"/>
          <w:color w:val="312F31"/>
          <w:sz w:val="21"/>
        </w:rPr>
        <w:t>Detail</w:t>
      </w:r>
      <w:r>
        <w:rPr>
          <w:rFonts w:ascii="Arial"/>
          <w:color w:val="312F31"/>
          <w:spacing w:val="15"/>
          <w:sz w:val="21"/>
        </w:rPr>
        <w:t> </w:t>
      </w:r>
      <w:r>
        <w:rPr>
          <w:rFonts w:ascii="Arial"/>
          <w:color w:val="312F31"/>
          <w:sz w:val="21"/>
        </w:rPr>
        <w:t>in</w:t>
      </w:r>
      <w:r>
        <w:rPr>
          <w:rFonts w:ascii="Arial"/>
          <w:color w:val="312F31"/>
          <w:spacing w:val="31"/>
          <w:sz w:val="21"/>
        </w:rPr>
        <w:t> </w:t>
      </w:r>
      <w:r>
        <w:rPr>
          <w:rFonts w:ascii="Arial"/>
          <w:color w:val="312F31"/>
          <w:sz w:val="21"/>
        </w:rPr>
        <w:t>Case</w:t>
      </w:r>
      <w:r>
        <w:rPr>
          <w:rFonts w:ascii="Arial"/>
          <w:color w:val="312F31"/>
          <w:spacing w:val="8"/>
          <w:sz w:val="21"/>
        </w:rPr>
        <w:t> </w:t>
      </w:r>
      <w:r>
        <w:rPr>
          <w:rFonts w:ascii="Arial"/>
          <w:color w:val="312F31"/>
          <w:sz w:val="21"/>
        </w:rPr>
        <w:t>Descriptions</w:t>
        <w:tab/>
      </w:r>
      <w:r>
        <w:rPr>
          <w:b/>
          <w:color w:val="312F31"/>
          <w:w w:val="105"/>
          <w:sz w:val="22"/>
        </w:rPr>
        <w:t>118</w:t>
      </w:r>
    </w:p>
    <w:p>
      <w:pPr>
        <w:pStyle w:val="ListParagraph"/>
        <w:numPr>
          <w:ilvl w:val="2"/>
          <w:numId w:val="6"/>
        </w:numPr>
        <w:tabs>
          <w:tab w:pos="1874" w:val="left" w:leader="none"/>
          <w:tab w:pos="7554" w:val="left" w:leader="none"/>
        </w:tabs>
        <w:spacing w:line="252" w:lineRule="exact" w:before="7" w:after="0"/>
        <w:ind w:left="1873" w:right="0" w:hanging="726"/>
        <w:jc w:val="left"/>
        <w:rPr>
          <w:b/>
          <w:color w:val="312F31"/>
          <w:sz w:val="22"/>
        </w:rPr>
      </w:pPr>
      <w:r>
        <w:rPr>
          <w:rFonts w:ascii="Arial"/>
          <w:color w:val="312F31"/>
          <w:sz w:val="21"/>
        </w:rPr>
        <w:t>Making</w:t>
      </w:r>
      <w:r>
        <w:rPr>
          <w:rFonts w:ascii="Arial"/>
          <w:color w:val="312F31"/>
          <w:spacing w:val="-3"/>
          <w:sz w:val="21"/>
        </w:rPr>
        <w:t> </w:t>
      </w:r>
      <w:r>
        <w:rPr>
          <w:rFonts w:ascii="Arial"/>
          <w:color w:val="312F31"/>
          <w:sz w:val="21"/>
        </w:rPr>
        <w:t>Case</w:t>
      </w:r>
      <w:r>
        <w:rPr>
          <w:rFonts w:ascii="Arial"/>
          <w:color w:val="312F31"/>
          <w:spacing w:val="-3"/>
          <w:sz w:val="21"/>
        </w:rPr>
        <w:t> </w:t>
      </w:r>
      <w:r>
        <w:rPr>
          <w:rFonts w:ascii="Arial"/>
          <w:color w:val="312F31"/>
          <w:sz w:val="21"/>
        </w:rPr>
        <w:t>Descriptions</w:t>
      </w:r>
      <w:r>
        <w:rPr>
          <w:rFonts w:ascii="Arial"/>
          <w:color w:val="312F31"/>
          <w:spacing w:val="15"/>
          <w:sz w:val="21"/>
        </w:rPr>
        <w:t> </w:t>
      </w:r>
      <w:r>
        <w:rPr>
          <w:rFonts w:ascii="Arial"/>
          <w:color w:val="312F31"/>
          <w:sz w:val="21"/>
        </w:rPr>
        <w:t>as</w:t>
      </w:r>
      <w:r>
        <w:rPr>
          <w:rFonts w:ascii="Arial"/>
          <w:color w:val="312F31"/>
          <w:spacing w:val="-10"/>
          <w:sz w:val="21"/>
        </w:rPr>
        <w:t> </w:t>
      </w:r>
      <w:r>
        <w:rPr>
          <w:rFonts w:ascii="Arial"/>
          <w:color w:val="312F31"/>
          <w:sz w:val="21"/>
        </w:rPr>
        <w:t>Succinct</w:t>
      </w:r>
      <w:r>
        <w:rPr>
          <w:rFonts w:ascii="Arial"/>
          <w:color w:val="312F31"/>
          <w:spacing w:val="-3"/>
          <w:sz w:val="21"/>
        </w:rPr>
        <w:t> </w:t>
      </w:r>
      <w:r>
        <w:rPr>
          <w:rFonts w:ascii="Arial"/>
          <w:color w:val="312F31"/>
          <w:sz w:val="21"/>
        </w:rPr>
        <w:t>as</w:t>
      </w:r>
      <w:r>
        <w:rPr>
          <w:rFonts w:ascii="Arial"/>
          <w:color w:val="312F31"/>
          <w:spacing w:val="-17"/>
          <w:sz w:val="21"/>
        </w:rPr>
        <w:t> </w:t>
      </w:r>
      <w:r>
        <w:rPr>
          <w:rFonts w:ascii="Arial"/>
          <w:color w:val="312F31"/>
          <w:sz w:val="21"/>
        </w:rPr>
        <w:t>Possible</w:t>
        <w:tab/>
      </w:r>
      <w:r>
        <w:rPr>
          <w:b/>
          <w:color w:val="312F31"/>
          <w:sz w:val="22"/>
        </w:rPr>
        <w:t>120</w:t>
      </w:r>
    </w:p>
    <w:p>
      <w:pPr>
        <w:pStyle w:val="ListParagraph"/>
        <w:numPr>
          <w:ilvl w:val="3"/>
          <w:numId w:val="6"/>
        </w:numPr>
        <w:tabs>
          <w:tab w:pos="2238" w:val="left" w:leader="none"/>
          <w:tab w:pos="2239" w:val="left" w:leader="none"/>
          <w:tab w:pos="7554" w:val="left" w:leader="none"/>
        </w:tabs>
        <w:spacing w:line="261" w:lineRule="exact" w:before="0" w:after="0"/>
        <w:ind w:left="2238" w:right="0" w:hanging="370"/>
        <w:jc w:val="left"/>
        <w:rPr>
          <w:b/>
          <w:color w:val="312F31"/>
          <w:sz w:val="23"/>
        </w:rPr>
      </w:pPr>
      <w:r>
        <w:rPr>
          <w:rFonts w:ascii="Arial"/>
          <w:color w:val="312F31"/>
          <w:sz w:val="21"/>
        </w:rPr>
        <w:t>Focus</w:t>
        <w:tab/>
      </w:r>
      <w:r>
        <w:rPr>
          <w:b/>
          <w:color w:val="312F31"/>
          <w:sz w:val="22"/>
        </w:rPr>
        <w:t>120</w:t>
      </w:r>
    </w:p>
    <w:p>
      <w:pPr>
        <w:pStyle w:val="ListParagraph"/>
        <w:numPr>
          <w:ilvl w:val="3"/>
          <w:numId w:val="6"/>
        </w:numPr>
        <w:tabs>
          <w:tab w:pos="2230" w:val="left" w:leader="none"/>
          <w:tab w:pos="7554" w:val="left" w:leader="none"/>
        </w:tabs>
        <w:spacing w:line="245" w:lineRule="exact" w:before="0" w:after="0"/>
        <w:ind w:left="2229" w:right="0" w:hanging="365"/>
        <w:jc w:val="left"/>
        <w:rPr>
          <w:b/>
          <w:color w:val="312F31"/>
          <w:sz w:val="22"/>
        </w:rPr>
      </w:pPr>
      <w:r>
        <w:rPr>
          <w:rFonts w:ascii="Arial"/>
          <w:color w:val="312F31"/>
          <w:sz w:val="21"/>
        </w:rPr>
        <w:t>Using</w:t>
      </w:r>
      <w:r>
        <w:rPr>
          <w:rFonts w:ascii="Arial"/>
          <w:color w:val="312F31"/>
          <w:spacing w:val="2"/>
          <w:sz w:val="21"/>
        </w:rPr>
        <w:t> </w:t>
      </w:r>
      <w:r>
        <w:rPr>
          <w:rFonts w:ascii="Arial"/>
          <w:color w:val="312F31"/>
          <w:sz w:val="21"/>
        </w:rPr>
        <w:t>Language</w:t>
      </w:r>
      <w:r>
        <w:rPr>
          <w:rFonts w:ascii="Arial"/>
          <w:color w:val="312F31"/>
          <w:spacing w:val="20"/>
          <w:sz w:val="21"/>
        </w:rPr>
        <w:t> </w:t>
      </w:r>
      <w:r>
        <w:rPr>
          <w:rFonts w:ascii="Arial"/>
          <w:color w:val="312F31"/>
          <w:sz w:val="21"/>
        </w:rPr>
        <w:t>Effectively</w:t>
        <w:tab/>
      </w:r>
      <w:r>
        <w:rPr>
          <w:b/>
          <w:color w:val="312F31"/>
          <w:sz w:val="22"/>
        </w:rPr>
        <w:t>122</w:t>
      </w:r>
    </w:p>
    <w:p>
      <w:pPr>
        <w:pStyle w:val="ListParagraph"/>
        <w:numPr>
          <w:ilvl w:val="3"/>
          <w:numId w:val="6"/>
        </w:numPr>
        <w:tabs>
          <w:tab w:pos="2226" w:val="left" w:leader="none"/>
          <w:tab w:pos="2227" w:val="left" w:leader="none"/>
          <w:tab w:pos="7554" w:val="left" w:leader="none"/>
        </w:tabs>
        <w:spacing w:line="270" w:lineRule="exact" w:before="0" w:after="0"/>
        <w:ind w:left="2226" w:right="0" w:hanging="376"/>
        <w:jc w:val="left"/>
        <w:rPr>
          <w:b/>
          <w:color w:val="312F31"/>
          <w:sz w:val="24"/>
        </w:rPr>
      </w:pPr>
      <w:r>
        <w:rPr>
          <w:rFonts w:ascii="Arial"/>
          <w:color w:val="312F31"/>
          <w:w w:val="95"/>
          <w:sz w:val="21"/>
        </w:rPr>
        <w:t>Verb</w:t>
      </w:r>
      <w:r>
        <w:rPr>
          <w:rFonts w:ascii="Arial"/>
          <w:color w:val="312F31"/>
          <w:spacing w:val="8"/>
          <w:w w:val="95"/>
          <w:sz w:val="21"/>
        </w:rPr>
        <w:t> </w:t>
      </w:r>
      <w:r>
        <w:rPr>
          <w:rFonts w:ascii="Arial"/>
          <w:color w:val="312F31"/>
          <w:w w:val="95"/>
          <w:sz w:val="21"/>
        </w:rPr>
        <w:t>Tense</w:t>
      </w:r>
      <w:r>
        <w:rPr>
          <w:rFonts w:ascii="Arial"/>
          <w:color w:val="312F31"/>
          <w:spacing w:val="13"/>
          <w:w w:val="95"/>
          <w:sz w:val="21"/>
        </w:rPr>
        <w:t> </w:t>
      </w:r>
      <w:r>
        <w:rPr>
          <w:rFonts w:ascii="Arial"/>
          <w:color w:val="312F31"/>
          <w:w w:val="95"/>
          <w:sz w:val="21"/>
        </w:rPr>
        <w:t>in</w:t>
      </w:r>
      <w:r>
        <w:rPr>
          <w:rFonts w:ascii="Arial"/>
          <w:color w:val="312F31"/>
          <w:spacing w:val="63"/>
          <w:sz w:val="21"/>
        </w:rPr>
        <w:t> </w:t>
      </w:r>
      <w:r>
        <w:rPr>
          <w:rFonts w:ascii="Arial"/>
          <w:color w:val="312F31"/>
          <w:w w:val="95"/>
          <w:sz w:val="21"/>
        </w:rPr>
        <w:t>Case</w:t>
      </w:r>
      <w:r>
        <w:rPr>
          <w:rFonts w:ascii="Arial"/>
          <w:color w:val="312F31"/>
          <w:spacing w:val="20"/>
          <w:w w:val="95"/>
          <w:sz w:val="21"/>
        </w:rPr>
        <w:t> </w:t>
      </w:r>
      <w:r>
        <w:rPr>
          <w:rFonts w:ascii="Arial"/>
          <w:color w:val="312F31"/>
          <w:w w:val="95"/>
          <w:sz w:val="21"/>
        </w:rPr>
        <w:t>Descriptions</w:t>
        <w:tab/>
      </w:r>
      <w:r>
        <w:rPr>
          <w:b/>
          <w:color w:val="312F31"/>
          <w:sz w:val="22"/>
        </w:rPr>
        <w:t>123</w:t>
      </w:r>
    </w:p>
    <w:p>
      <w:pPr>
        <w:pStyle w:val="ListParagraph"/>
        <w:numPr>
          <w:ilvl w:val="2"/>
          <w:numId w:val="6"/>
        </w:numPr>
        <w:tabs>
          <w:tab w:pos="1849" w:val="left" w:leader="none"/>
          <w:tab w:pos="7545" w:val="left" w:leader="none"/>
        </w:tabs>
        <w:spacing w:line="252" w:lineRule="exact" w:before="3" w:after="0"/>
        <w:ind w:left="1848" w:right="0" w:hanging="739"/>
        <w:jc w:val="left"/>
        <w:rPr>
          <w:b/>
          <w:color w:val="312F31"/>
          <w:sz w:val="22"/>
        </w:rPr>
      </w:pPr>
      <w:r>
        <w:rPr>
          <w:rFonts w:ascii="Arial"/>
          <w:color w:val="312F31"/>
          <w:sz w:val="21"/>
        </w:rPr>
        <w:t>Writing</w:t>
      </w:r>
      <w:r>
        <w:rPr>
          <w:rFonts w:ascii="Arial"/>
          <w:color w:val="312F31"/>
          <w:spacing w:val="20"/>
          <w:sz w:val="21"/>
        </w:rPr>
        <w:t> </w:t>
      </w:r>
      <w:r>
        <w:rPr>
          <w:rFonts w:ascii="Arial"/>
          <w:color w:val="312F31"/>
          <w:sz w:val="21"/>
        </w:rPr>
        <w:t>and</w:t>
      </w:r>
      <w:r>
        <w:rPr>
          <w:rFonts w:ascii="Arial"/>
          <w:color w:val="312F31"/>
          <w:spacing w:val="13"/>
          <w:sz w:val="21"/>
        </w:rPr>
        <w:t> </w:t>
      </w:r>
      <w:r>
        <w:rPr>
          <w:rFonts w:ascii="Arial"/>
          <w:color w:val="312F31"/>
          <w:sz w:val="21"/>
        </w:rPr>
        <w:t>Using</w:t>
      </w:r>
      <w:r>
        <w:rPr>
          <w:rFonts w:ascii="Arial"/>
          <w:color w:val="312F31"/>
          <w:spacing w:val="21"/>
          <w:sz w:val="21"/>
        </w:rPr>
        <w:t> </w:t>
      </w:r>
      <w:r>
        <w:rPr>
          <w:rFonts w:ascii="Arial"/>
          <w:color w:val="312F31"/>
          <w:sz w:val="21"/>
        </w:rPr>
        <w:t>Effective</w:t>
      </w:r>
      <w:r>
        <w:rPr>
          <w:rFonts w:ascii="Arial"/>
          <w:color w:val="312F31"/>
          <w:spacing w:val="42"/>
          <w:sz w:val="21"/>
        </w:rPr>
        <w:t> </w:t>
      </w:r>
      <w:r>
        <w:rPr>
          <w:rFonts w:ascii="Arial"/>
          <w:color w:val="312F31"/>
          <w:sz w:val="21"/>
        </w:rPr>
        <w:t>Parenthetical</w:t>
      </w:r>
      <w:r>
        <w:rPr>
          <w:rFonts w:ascii="Arial"/>
          <w:color w:val="312F31"/>
          <w:spacing w:val="35"/>
          <w:sz w:val="21"/>
        </w:rPr>
        <w:t> </w:t>
      </w:r>
      <w:r>
        <w:rPr>
          <w:rFonts w:ascii="Arial"/>
          <w:color w:val="312F31"/>
          <w:sz w:val="21"/>
        </w:rPr>
        <w:t>Descriptions</w:t>
        <w:tab/>
      </w:r>
      <w:r>
        <w:rPr>
          <w:b/>
          <w:color w:val="312F31"/>
          <w:w w:val="105"/>
          <w:sz w:val="22"/>
        </w:rPr>
        <w:t>124</w:t>
      </w:r>
    </w:p>
    <w:p>
      <w:pPr>
        <w:pStyle w:val="ListParagraph"/>
        <w:numPr>
          <w:ilvl w:val="2"/>
          <w:numId w:val="6"/>
        </w:numPr>
        <w:tabs>
          <w:tab w:pos="1833" w:val="left" w:leader="none"/>
          <w:tab w:pos="7545" w:val="left" w:leader="none"/>
        </w:tabs>
        <w:spacing w:line="252" w:lineRule="exact" w:before="0" w:after="0"/>
        <w:ind w:left="1832" w:right="0" w:hanging="733"/>
        <w:jc w:val="left"/>
        <w:rPr>
          <w:b/>
          <w:color w:val="312F31"/>
          <w:sz w:val="22"/>
        </w:rPr>
      </w:pPr>
      <w:r>
        <w:rPr>
          <w:rFonts w:ascii="Arial"/>
          <w:color w:val="312F31"/>
          <w:sz w:val="21"/>
        </w:rPr>
        <w:t>Accuracy</w:t>
      </w:r>
      <w:r>
        <w:rPr>
          <w:rFonts w:ascii="Arial"/>
          <w:color w:val="312F31"/>
          <w:spacing w:val="-5"/>
          <w:sz w:val="21"/>
        </w:rPr>
        <w:t> </w:t>
      </w:r>
      <w:r>
        <w:rPr>
          <w:rFonts w:ascii="Arial"/>
          <w:color w:val="312F31"/>
          <w:sz w:val="21"/>
        </w:rPr>
        <w:t>in</w:t>
      </w:r>
      <w:r>
        <w:rPr>
          <w:rFonts w:ascii="Arial"/>
          <w:color w:val="312F31"/>
          <w:spacing w:val="28"/>
          <w:sz w:val="21"/>
        </w:rPr>
        <w:t> </w:t>
      </w:r>
      <w:r>
        <w:rPr>
          <w:rFonts w:ascii="Arial"/>
          <w:color w:val="312F31"/>
          <w:sz w:val="21"/>
        </w:rPr>
        <w:t>Case Descriptions</w:t>
        <w:tab/>
      </w:r>
      <w:r>
        <w:rPr>
          <w:b/>
          <w:color w:val="312F31"/>
          <w:sz w:val="22"/>
        </w:rPr>
        <w:t>127</w:t>
      </w:r>
    </w:p>
    <w:p>
      <w:pPr>
        <w:pStyle w:val="ListParagraph"/>
        <w:numPr>
          <w:ilvl w:val="1"/>
          <w:numId w:val="6"/>
        </w:numPr>
        <w:tabs>
          <w:tab w:pos="1091" w:val="left" w:leader="none"/>
          <w:tab w:pos="1092" w:val="left" w:leader="none"/>
          <w:tab w:pos="7545" w:val="left" w:leader="none"/>
        </w:tabs>
        <w:spacing w:line="240" w:lineRule="auto" w:before="7" w:after="0"/>
        <w:ind w:left="1091" w:right="0" w:hanging="701"/>
        <w:jc w:val="left"/>
        <w:rPr>
          <w:b/>
          <w:i/>
          <w:color w:val="312F31"/>
          <w:sz w:val="22"/>
        </w:rPr>
      </w:pPr>
      <w:r>
        <w:rPr>
          <w:rFonts w:ascii="Arial"/>
          <w:color w:val="312F31"/>
          <w:sz w:val="21"/>
        </w:rPr>
        <w:t>Using</w:t>
      </w:r>
      <w:r>
        <w:rPr>
          <w:rFonts w:ascii="Arial"/>
          <w:color w:val="312F31"/>
          <w:spacing w:val="16"/>
          <w:sz w:val="21"/>
        </w:rPr>
        <w:t> </w:t>
      </w:r>
      <w:r>
        <w:rPr>
          <w:rFonts w:ascii="Arial"/>
          <w:color w:val="312F31"/>
          <w:sz w:val="21"/>
        </w:rPr>
        <w:t>Quotations</w:t>
      </w:r>
      <w:r>
        <w:rPr>
          <w:rFonts w:ascii="Arial"/>
          <w:color w:val="312F31"/>
          <w:spacing w:val="24"/>
          <w:sz w:val="21"/>
        </w:rPr>
        <w:t> </w:t>
      </w:r>
      <w:r>
        <w:rPr>
          <w:rFonts w:ascii="Arial"/>
          <w:color w:val="312F31"/>
          <w:sz w:val="21"/>
        </w:rPr>
        <w:t>Effectively</w:t>
      </w:r>
      <w:r>
        <w:rPr>
          <w:rFonts w:ascii="Arial"/>
          <w:color w:val="312F31"/>
          <w:spacing w:val="18"/>
          <w:sz w:val="21"/>
        </w:rPr>
        <w:t> </w:t>
      </w:r>
      <w:r>
        <w:rPr>
          <w:rFonts w:ascii="Arial"/>
          <w:color w:val="312F31"/>
          <w:sz w:val="21"/>
        </w:rPr>
        <w:t>in</w:t>
      </w:r>
      <w:r>
        <w:rPr>
          <w:rFonts w:ascii="Arial"/>
          <w:color w:val="312F31"/>
          <w:spacing w:val="47"/>
          <w:sz w:val="21"/>
        </w:rPr>
        <w:t> </w:t>
      </w:r>
      <w:r>
        <w:rPr>
          <w:rFonts w:ascii="Arial"/>
          <w:color w:val="312F31"/>
          <w:sz w:val="21"/>
        </w:rPr>
        <w:t>Case</w:t>
      </w:r>
      <w:r>
        <w:rPr>
          <w:rFonts w:ascii="Arial"/>
          <w:color w:val="312F31"/>
          <w:spacing w:val="1"/>
          <w:sz w:val="21"/>
        </w:rPr>
        <w:t> </w:t>
      </w:r>
      <w:r>
        <w:rPr>
          <w:rFonts w:ascii="Arial"/>
          <w:color w:val="312F31"/>
          <w:sz w:val="21"/>
        </w:rPr>
        <w:t>Descriptions</w:t>
        <w:tab/>
      </w:r>
      <w:r>
        <w:rPr>
          <w:b/>
          <w:color w:val="312F31"/>
          <w:w w:val="105"/>
          <w:sz w:val="22"/>
        </w:rPr>
        <w:t>131</w:t>
      </w:r>
    </w:p>
    <w:p>
      <w:pPr>
        <w:pStyle w:val="ListParagraph"/>
        <w:numPr>
          <w:ilvl w:val="2"/>
          <w:numId w:val="6"/>
        </w:numPr>
        <w:tabs>
          <w:tab w:pos="1816" w:val="left" w:leader="none"/>
          <w:tab w:pos="7541" w:val="left" w:leader="none"/>
        </w:tabs>
        <w:spacing w:line="266" w:lineRule="exact" w:before="7" w:after="0"/>
        <w:ind w:left="1815" w:right="0" w:hanging="735"/>
        <w:jc w:val="left"/>
        <w:rPr>
          <w:b/>
          <w:color w:val="312F31"/>
          <w:sz w:val="22"/>
        </w:rPr>
      </w:pPr>
      <w:r>
        <w:rPr>
          <w:rFonts w:ascii="Arial"/>
          <w:color w:val="312F31"/>
          <w:w w:val="105"/>
          <w:sz w:val="21"/>
        </w:rPr>
        <w:t>Not</w:t>
      </w:r>
      <w:r>
        <w:rPr>
          <w:rFonts w:ascii="Arial"/>
          <w:color w:val="312F31"/>
          <w:spacing w:val="39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Enough</w:t>
      </w:r>
      <w:r>
        <w:rPr>
          <w:rFonts w:ascii="Arial"/>
          <w:color w:val="312F31"/>
          <w:spacing w:val="-1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Context</w:t>
        <w:tab/>
      </w:r>
      <w:r>
        <w:rPr>
          <w:rFonts w:ascii="Courier New"/>
          <w:b/>
          <w:color w:val="312F31"/>
          <w:w w:val="105"/>
          <w:sz w:val="22"/>
        </w:rPr>
        <w:t>131</w:t>
      </w:r>
    </w:p>
    <w:p>
      <w:pPr>
        <w:pStyle w:val="ListParagraph"/>
        <w:numPr>
          <w:ilvl w:val="2"/>
          <w:numId w:val="6"/>
        </w:numPr>
        <w:tabs>
          <w:tab w:pos="1808" w:val="left" w:leader="none"/>
          <w:tab w:pos="7535" w:val="left" w:leader="none"/>
        </w:tabs>
        <w:spacing w:line="247" w:lineRule="exact" w:before="0" w:after="0"/>
        <w:ind w:left="1807" w:right="0" w:hanging="742"/>
        <w:jc w:val="left"/>
        <w:rPr>
          <w:b/>
          <w:i/>
          <w:color w:val="312F31"/>
          <w:sz w:val="22"/>
        </w:rPr>
      </w:pPr>
      <w:r>
        <w:rPr>
          <w:rFonts w:ascii="Arial"/>
          <w:color w:val="312F31"/>
          <w:w w:val="105"/>
          <w:sz w:val="21"/>
        </w:rPr>
        <w:t>Too</w:t>
      </w:r>
      <w:r>
        <w:rPr>
          <w:rFonts w:ascii="Arial"/>
          <w:color w:val="312F31"/>
          <w:spacing w:val="-2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Much</w:t>
      </w:r>
      <w:r>
        <w:rPr>
          <w:rFonts w:ascii="Arial"/>
          <w:color w:val="312F31"/>
          <w:spacing w:val="11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Quoted</w:t>
      </w:r>
      <w:r>
        <w:rPr>
          <w:rFonts w:ascii="Arial"/>
          <w:color w:val="312F31"/>
          <w:spacing w:val="4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Language</w:t>
        <w:tab/>
      </w:r>
      <w:r>
        <w:rPr>
          <w:b/>
          <w:color w:val="312F31"/>
          <w:w w:val="105"/>
          <w:sz w:val="22"/>
        </w:rPr>
        <w:t>132</w:t>
      </w:r>
    </w:p>
    <w:p>
      <w:pPr>
        <w:pStyle w:val="ListParagraph"/>
        <w:numPr>
          <w:ilvl w:val="1"/>
          <w:numId w:val="6"/>
        </w:numPr>
        <w:tabs>
          <w:tab w:pos="1062" w:val="left" w:leader="none"/>
          <w:tab w:pos="1064" w:val="left" w:leader="none"/>
        </w:tabs>
        <w:spacing w:line="240" w:lineRule="auto" w:before="8" w:after="0"/>
        <w:ind w:left="1063" w:right="0" w:hanging="697"/>
        <w:jc w:val="left"/>
        <w:rPr>
          <w:b/>
          <w:color w:val="312F31"/>
          <w:sz w:val="22"/>
        </w:rPr>
      </w:pPr>
      <w:r>
        <w:rPr>
          <w:rFonts w:ascii="Arial"/>
          <w:color w:val="312F31"/>
          <w:sz w:val="21"/>
        </w:rPr>
        <w:t>Using</w:t>
      </w:r>
      <w:r>
        <w:rPr>
          <w:rFonts w:ascii="Arial"/>
          <w:color w:val="312F31"/>
          <w:spacing w:val="3"/>
          <w:sz w:val="21"/>
        </w:rPr>
        <w:t> </w:t>
      </w:r>
      <w:r>
        <w:rPr>
          <w:rFonts w:ascii="Arial"/>
          <w:color w:val="312F31"/>
          <w:sz w:val="21"/>
        </w:rPr>
        <w:t>Language</w:t>
      </w:r>
      <w:r>
        <w:rPr>
          <w:rFonts w:ascii="Arial"/>
          <w:color w:val="312F31"/>
          <w:spacing w:val="25"/>
          <w:sz w:val="21"/>
        </w:rPr>
        <w:t> </w:t>
      </w:r>
      <w:r>
        <w:rPr>
          <w:rFonts w:ascii="Arial"/>
          <w:color w:val="312F31"/>
          <w:sz w:val="21"/>
        </w:rPr>
        <w:t>Precisely</w:t>
      </w:r>
      <w:r>
        <w:rPr>
          <w:rFonts w:ascii="Arial"/>
          <w:color w:val="312F31"/>
          <w:spacing w:val="24"/>
          <w:sz w:val="21"/>
        </w:rPr>
        <w:t> </w:t>
      </w:r>
      <w:r>
        <w:rPr>
          <w:rFonts w:ascii="Arial"/>
          <w:color w:val="312F31"/>
          <w:sz w:val="21"/>
        </w:rPr>
        <w:t>When</w:t>
      </w:r>
      <w:r>
        <w:rPr>
          <w:rFonts w:ascii="Arial"/>
          <w:color w:val="312F31"/>
          <w:spacing w:val="15"/>
          <w:sz w:val="21"/>
        </w:rPr>
        <w:t> </w:t>
      </w:r>
      <w:r>
        <w:rPr>
          <w:rFonts w:ascii="Arial"/>
          <w:color w:val="312F31"/>
          <w:sz w:val="21"/>
        </w:rPr>
        <w:t>Analogizing</w:t>
      </w:r>
      <w:r>
        <w:rPr>
          <w:rFonts w:ascii="Arial"/>
          <w:color w:val="312F31"/>
          <w:spacing w:val="38"/>
          <w:sz w:val="21"/>
        </w:rPr>
        <w:t> </w:t>
      </w:r>
      <w:r>
        <w:rPr>
          <w:rFonts w:ascii="Arial"/>
          <w:color w:val="312F31"/>
          <w:sz w:val="21"/>
        </w:rPr>
        <w:t>and</w:t>
      </w:r>
    </w:p>
    <w:p>
      <w:pPr>
        <w:tabs>
          <w:tab w:pos="7531" w:val="left" w:leader="none"/>
        </w:tabs>
        <w:spacing w:line="253" w:lineRule="exact" w:before="15"/>
        <w:ind w:left="1053" w:right="0" w:firstLine="0"/>
        <w:jc w:val="left"/>
        <w:rPr>
          <w:rFonts w:ascii="Courier New"/>
          <w:b/>
          <w:sz w:val="22"/>
        </w:rPr>
      </w:pPr>
      <w:r>
        <w:rPr>
          <w:rFonts w:ascii="Arial"/>
          <w:color w:val="312F31"/>
          <w:sz w:val="21"/>
        </w:rPr>
        <w:t>Distinguishing</w:t>
      </w:r>
      <w:r>
        <w:rPr>
          <w:rFonts w:ascii="Arial"/>
          <w:color w:val="312F31"/>
          <w:spacing w:val="-11"/>
          <w:sz w:val="21"/>
        </w:rPr>
        <w:t> </w:t>
      </w:r>
      <w:r>
        <w:rPr>
          <w:rFonts w:ascii="Arial"/>
          <w:color w:val="312F31"/>
          <w:sz w:val="21"/>
        </w:rPr>
        <w:t>Cases</w:t>
        <w:tab/>
      </w:r>
      <w:r>
        <w:rPr>
          <w:rFonts w:ascii="Courier New"/>
          <w:b/>
          <w:color w:val="312F31"/>
          <w:sz w:val="22"/>
        </w:rPr>
        <w:t>136</w:t>
      </w:r>
    </w:p>
    <w:p>
      <w:pPr>
        <w:pStyle w:val="ListParagraph"/>
        <w:numPr>
          <w:ilvl w:val="1"/>
          <w:numId w:val="6"/>
        </w:numPr>
        <w:tabs>
          <w:tab w:pos="1044" w:val="left" w:leader="none"/>
          <w:tab w:pos="1045" w:val="left" w:leader="none"/>
          <w:tab w:pos="7535" w:val="left" w:leader="none"/>
        </w:tabs>
        <w:spacing w:line="242" w:lineRule="exact" w:before="0" w:after="0"/>
        <w:ind w:left="1044" w:right="0" w:hanging="688"/>
        <w:jc w:val="left"/>
        <w:rPr>
          <w:b/>
          <w:color w:val="312F31"/>
          <w:sz w:val="22"/>
        </w:rPr>
      </w:pPr>
      <w:r>
        <w:rPr>
          <w:rFonts w:ascii="Arial"/>
          <w:color w:val="312F31"/>
          <w:w w:val="105"/>
          <w:sz w:val="21"/>
        </w:rPr>
        <w:t>Dealing</w:t>
      </w:r>
      <w:r>
        <w:rPr>
          <w:rFonts w:ascii="Arial"/>
          <w:color w:val="312F31"/>
          <w:spacing w:val="41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with</w:t>
      </w:r>
      <w:r>
        <w:rPr>
          <w:rFonts w:ascii="Arial"/>
          <w:color w:val="312F31"/>
          <w:spacing w:val="3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Nonprecedential,</w:t>
      </w:r>
      <w:r>
        <w:rPr>
          <w:rFonts w:ascii="Arial"/>
          <w:color w:val="312F31"/>
          <w:spacing w:val="-7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or</w:t>
      </w:r>
      <w:r>
        <w:rPr>
          <w:rFonts w:ascii="Arial"/>
          <w:color w:val="312F31"/>
          <w:spacing w:val="51"/>
          <w:w w:val="105"/>
          <w:sz w:val="21"/>
        </w:rPr>
        <w:t> </w:t>
      </w:r>
      <w:r>
        <w:rPr>
          <w:rFonts w:ascii="Arial"/>
          <w:color w:val="464648"/>
          <w:w w:val="105"/>
          <w:sz w:val="21"/>
        </w:rPr>
        <w:t>"Unpublished,"</w:t>
      </w:r>
      <w:r>
        <w:rPr>
          <w:rFonts w:ascii="Arial"/>
          <w:color w:val="464648"/>
          <w:spacing w:val="18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Decisions</w:t>
        <w:tab/>
      </w:r>
      <w:r>
        <w:rPr>
          <w:b/>
          <w:color w:val="312F31"/>
          <w:w w:val="110"/>
          <w:sz w:val="22"/>
        </w:rPr>
        <w:t>138</w:t>
      </w:r>
    </w:p>
    <w:p>
      <w:pPr>
        <w:pStyle w:val="ListParagraph"/>
        <w:numPr>
          <w:ilvl w:val="1"/>
          <w:numId w:val="6"/>
        </w:numPr>
        <w:tabs>
          <w:tab w:pos="1034" w:val="left" w:leader="none"/>
          <w:tab w:pos="1035" w:val="left" w:leader="none"/>
          <w:tab w:pos="7535" w:val="left" w:leader="none"/>
        </w:tabs>
        <w:spacing w:line="240" w:lineRule="auto" w:before="7" w:after="0"/>
        <w:ind w:left="1034" w:right="0" w:hanging="692"/>
        <w:jc w:val="left"/>
        <w:rPr>
          <w:b/>
          <w:i/>
          <w:color w:val="312F31"/>
          <w:sz w:val="22"/>
        </w:rPr>
      </w:pPr>
      <w:r>
        <w:rPr>
          <w:rFonts w:ascii="Arial"/>
          <w:color w:val="312F31"/>
          <w:sz w:val="21"/>
        </w:rPr>
        <w:t>Using</w:t>
      </w:r>
      <w:r>
        <w:rPr>
          <w:rFonts w:ascii="Arial"/>
          <w:color w:val="312F31"/>
          <w:spacing w:val="26"/>
          <w:sz w:val="21"/>
        </w:rPr>
        <w:t> </w:t>
      </w:r>
      <w:r>
        <w:rPr>
          <w:rFonts w:ascii="Arial"/>
          <w:color w:val="312F31"/>
          <w:sz w:val="21"/>
        </w:rPr>
        <w:t>Citations</w:t>
      </w:r>
      <w:r>
        <w:rPr>
          <w:rFonts w:ascii="Arial"/>
          <w:color w:val="312F31"/>
          <w:spacing w:val="35"/>
          <w:sz w:val="21"/>
        </w:rPr>
        <w:t> </w:t>
      </w:r>
      <w:r>
        <w:rPr>
          <w:rFonts w:ascii="Arial"/>
          <w:color w:val="312F31"/>
          <w:sz w:val="21"/>
        </w:rPr>
        <w:t>Effectively</w:t>
        <w:tab/>
      </w:r>
      <w:r>
        <w:rPr>
          <w:b/>
          <w:color w:val="312F31"/>
          <w:w w:val="105"/>
          <w:sz w:val="22"/>
        </w:rPr>
        <w:t>141</w:t>
      </w:r>
    </w:p>
    <w:p>
      <w:pPr>
        <w:pStyle w:val="ListParagraph"/>
        <w:numPr>
          <w:ilvl w:val="2"/>
          <w:numId w:val="6"/>
        </w:numPr>
        <w:tabs>
          <w:tab w:pos="1772" w:val="left" w:leader="none"/>
          <w:tab w:pos="7535" w:val="left" w:leader="none"/>
        </w:tabs>
        <w:spacing w:line="240" w:lineRule="auto" w:before="7" w:after="0"/>
        <w:ind w:left="1771" w:right="0" w:hanging="740"/>
        <w:jc w:val="left"/>
        <w:rPr>
          <w:b/>
          <w:color w:val="312F31"/>
          <w:sz w:val="22"/>
        </w:rPr>
      </w:pPr>
      <w:r>
        <w:rPr>
          <w:rFonts w:ascii="Arial"/>
          <w:color w:val="312F31"/>
          <w:w w:val="110"/>
          <w:sz w:val="21"/>
        </w:rPr>
        <w:t>When</w:t>
      </w:r>
      <w:r>
        <w:rPr>
          <w:rFonts w:ascii="Arial"/>
          <w:color w:val="312F31"/>
          <w:spacing w:val="-12"/>
          <w:w w:val="110"/>
          <w:sz w:val="21"/>
        </w:rPr>
        <w:t> </w:t>
      </w:r>
      <w:r>
        <w:rPr>
          <w:rFonts w:ascii="Arial"/>
          <w:color w:val="312F31"/>
          <w:w w:val="110"/>
          <w:sz w:val="21"/>
        </w:rPr>
        <w:t>to</w:t>
      </w:r>
      <w:r>
        <w:rPr>
          <w:rFonts w:ascii="Arial"/>
          <w:color w:val="312F31"/>
          <w:spacing w:val="-7"/>
          <w:w w:val="110"/>
          <w:sz w:val="21"/>
        </w:rPr>
        <w:t> </w:t>
      </w:r>
      <w:r>
        <w:rPr>
          <w:rFonts w:ascii="Arial"/>
          <w:color w:val="312F31"/>
          <w:w w:val="110"/>
          <w:sz w:val="21"/>
        </w:rPr>
        <w:t>Cite</w:t>
        <w:tab/>
      </w:r>
      <w:r>
        <w:rPr>
          <w:b/>
          <w:color w:val="312F31"/>
          <w:w w:val="110"/>
          <w:sz w:val="22"/>
        </w:rPr>
        <w:t>141</w:t>
      </w:r>
    </w:p>
    <w:p>
      <w:pPr>
        <w:pStyle w:val="ListParagraph"/>
        <w:numPr>
          <w:ilvl w:val="2"/>
          <w:numId w:val="6"/>
        </w:numPr>
        <w:tabs>
          <w:tab w:pos="1768" w:val="left" w:leader="none"/>
          <w:tab w:pos="7535" w:val="left" w:leader="none"/>
        </w:tabs>
        <w:spacing w:line="240" w:lineRule="auto" w:before="7" w:after="0"/>
        <w:ind w:left="1767" w:right="0" w:hanging="745"/>
        <w:jc w:val="left"/>
        <w:rPr>
          <w:b/>
          <w:color w:val="312F31"/>
          <w:sz w:val="22"/>
        </w:rPr>
      </w:pPr>
      <w:r>
        <w:rPr>
          <w:rFonts w:ascii="Arial"/>
          <w:color w:val="312F31"/>
          <w:spacing w:val="-1"/>
          <w:w w:val="105"/>
          <w:sz w:val="21"/>
        </w:rPr>
        <w:t>Distinguishing</w:t>
      </w:r>
      <w:r>
        <w:rPr>
          <w:rFonts w:ascii="Arial"/>
          <w:color w:val="312F31"/>
          <w:spacing w:val="-21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Between</w:t>
      </w:r>
      <w:r>
        <w:rPr>
          <w:rFonts w:ascii="Arial"/>
          <w:color w:val="312F31"/>
          <w:spacing w:val="-8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Authorities</w:t>
      </w:r>
      <w:r>
        <w:rPr>
          <w:rFonts w:ascii="Arial"/>
          <w:color w:val="312F31"/>
          <w:spacing w:val="7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and</w:t>
      </w:r>
      <w:r>
        <w:rPr>
          <w:rFonts w:ascii="Arial"/>
          <w:color w:val="312F31"/>
          <w:spacing w:val="4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Sources</w:t>
        <w:tab/>
      </w:r>
      <w:r>
        <w:rPr>
          <w:b/>
          <w:color w:val="312F31"/>
          <w:w w:val="105"/>
          <w:sz w:val="22"/>
        </w:rPr>
        <w:t>142</w:t>
      </w:r>
    </w:p>
    <w:p>
      <w:pPr>
        <w:pStyle w:val="ListParagraph"/>
        <w:numPr>
          <w:ilvl w:val="2"/>
          <w:numId w:val="6"/>
        </w:numPr>
        <w:tabs>
          <w:tab w:pos="1762" w:val="left" w:leader="none"/>
          <w:tab w:pos="7535" w:val="left" w:leader="none"/>
        </w:tabs>
        <w:spacing w:line="252" w:lineRule="exact" w:before="8" w:after="0"/>
        <w:ind w:left="1761" w:right="0" w:hanging="749"/>
        <w:jc w:val="left"/>
        <w:rPr>
          <w:b/>
          <w:color w:val="312F31"/>
          <w:sz w:val="22"/>
        </w:rPr>
      </w:pPr>
      <w:r>
        <w:rPr>
          <w:rFonts w:ascii="Arial"/>
          <w:color w:val="312F31"/>
          <w:w w:val="105"/>
          <w:sz w:val="21"/>
        </w:rPr>
        <w:t>Where</w:t>
      </w:r>
      <w:r>
        <w:rPr>
          <w:rFonts w:ascii="Arial"/>
          <w:color w:val="312F31"/>
          <w:spacing w:val="-13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to</w:t>
      </w:r>
      <w:r>
        <w:rPr>
          <w:rFonts w:ascii="Arial"/>
          <w:color w:val="312F31"/>
          <w:spacing w:val="19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Cite</w:t>
        <w:tab/>
      </w:r>
      <w:r>
        <w:rPr>
          <w:b/>
          <w:color w:val="312F31"/>
          <w:w w:val="105"/>
          <w:sz w:val="22"/>
        </w:rPr>
        <w:t>144</w:t>
      </w:r>
    </w:p>
    <w:p>
      <w:pPr>
        <w:pStyle w:val="ListParagraph"/>
        <w:numPr>
          <w:ilvl w:val="2"/>
          <w:numId w:val="6"/>
        </w:numPr>
        <w:tabs>
          <w:tab w:pos="1748" w:val="left" w:leader="none"/>
        </w:tabs>
        <w:spacing w:line="252" w:lineRule="exact" w:before="0" w:after="0"/>
        <w:ind w:left="1747" w:right="0" w:hanging="735"/>
        <w:jc w:val="left"/>
        <w:rPr>
          <w:b/>
          <w:color w:val="312F31"/>
          <w:sz w:val="22"/>
        </w:rPr>
      </w:pPr>
      <w:r>
        <w:rPr>
          <w:rFonts w:ascii="Arial"/>
          <w:color w:val="312F31"/>
          <w:sz w:val="21"/>
        </w:rPr>
        <w:t>Using</w:t>
      </w:r>
      <w:r>
        <w:rPr>
          <w:rFonts w:ascii="Arial"/>
          <w:color w:val="312F31"/>
          <w:spacing w:val="6"/>
          <w:sz w:val="21"/>
        </w:rPr>
        <w:t> </w:t>
      </w:r>
      <w:r>
        <w:rPr>
          <w:rFonts w:ascii="Arial"/>
          <w:color w:val="312F31"/>
          <w:sz w:val="21"/>
        </w:rPr>
        <w:t>Effective</w:t>
      </w:r>
      <w:r>
        <w:rPr>
          <w:rFonts w:ascii="Arial"/>
          <w:color w:val="312F31"/>
          <w:spacing w:val="14"/>
          <w:sz w:val="21"/>
        </w:rPr>
        <w:t> </w:t>
      </w:r>
      <w:r>
        <w:rPr>
          <w:rFonts w:ascii="Arial"/>
          <w:color w:val="312F31"/>
          <w:sz w:val="21"/>
        </w:rPr>
        <w:t>Sentence</w:t>
      </w:r>
      <w:r>
        <w:rPr>
          <w:rFonts w:ascii="Arial"/>
          <w:color w:val="312F31"/>
          <w:spacing w:val="35"/>
          <w:sz w:val="21"/>
        </w:rPr>
        <w:t> </w:t>
      </w:r>
      <w:r>
        <w:rPr>
          <w:rFonts w:ascii="Arial"/>
          <w:color w:val="312F31"/>
          <w:sz w:val="21"/>
        </w:rPr>
        <w:t>Structures</w:t>
      </w:r>
      <w:r>
        <w:rPr>
          <w:rFonts w:ascii="Arial"/>
          <w:color w:val="312F31"/>
          <w:spacing w:val="39"/>
          <w:sz w:val="21"/>
        </w:rPr>
        <w:t> </w:t>
      </w:r>
      <w:r>
        <w:rPr>
          <w:rFonts w:ascii="Arial"/>
          <w:color w:val="312F31"/>
          <w:sz w:val="21"/>
        </w:rPr>
        <w:t>to</w:t>
      </w:r>
      <w:r>
        <w:rPr>
          <w:rFonts w:ascii="Arial"/>
          <w:color w:val="312F31"/>
          <w:spacing w:val="70"/>
          <w:sz w:val="21"/>
        </w:rPr>
        <w:t> </w:t>
      </w:r>
      <w:r>
        <w:rPr>
          <w:rFonts w:ascii="Arial"/>
          <w:color w:val="312F31"/>
          <w:sz w:val="21"/>
        </w:rPr>
        <w:t>Accommodate</w:t>
      </w:r>
    </w:p>
    <w:p>
      <w:pPr>
        <w:tabs>
          <w:tab w:pos="7533" w:val="left" w:leader="none"/>
        </w:tabs>
        <w:spacing w:before="15"/>
        <w:ind w:left="1744" w:right="0" w:firstLine="0"/>
        <w:jc w:val="left"/>
        <w:rPr>
          <w:rFonts w:ascii="Arial"/>
          <w:b/>
          <w:sz w:val="21"/>
        </w:rPr>
      </w:pPr>
      <w:r>
        <w:rPr>
          <w:rFonts w:ascii="Arial"/>
          <w:color w:val="312F31"/>
          <w:w w:val="105"/>
          <w:sz w:val="21"/>
        </w:rPr>
        <w:t>Citation</w:t>
      </w:r>
      <w:r>
        <w:rPr>
          <w:rFonts w:ascii="Arial"/>
          <w:color w:val="312F31"/>
          <w:spacing w:val="-6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Form</w:t>
        <w:tab/>
      </w:r>
      <w:r>
        <w:rPr>
          <w:rFonts w:ascii="Arial"/>
          <w:b/>
          <w:color w:val="312F31"/>
          <w:w w:val="110"/>
          <w:sz w:val="21"/>
        </w:rPr>
        <w:t>146</w:t>
      </w:r>
    </w:p>
    <w:p>
      <w:pPr>
        <w:pStyle w:val="ListParagraph"/>
        <w:numPr>
          <w:ilvl w:val="2"/>
          <w:numId w:val="6"/>
        </w:numPr>
        <w:tabs>
          <w:tab w:pos="1736" w:val="left" w:leader="none"/>
          <w:tab w:pos="7535" w:val="left" w:leader="none"/>
        </w:tabs>
        <w:spacing w:line="240" w:lineRule="auto" w:before="10" w:after="0"/>
        <w:ind w:left="1735" w:right="0" w:hanging="747"/>
        <w:jc w:val="left"/>
        <w:rPr>
          <w:b/>
          <w:i/>
          <w:color w:val="312F31"/>
          <w:sz w:val="22"/>
        </w:rPr>
      </w:pPr>
      <w:r>
        <w:rPr>
          <w:rFonts w:ascii="Arial"/>
          <w:color w:val="312F31"/>
          <w:w w:val="105"/>
          <w:sz w:val="21"/>
        </w:rPr>
        <w:t>Avoiding</w:t>
      </w:r>
      <w:r>
        <w:rPr>
          <w:rFonts w:ascii="Arial"/>
          <w:color w:val="312F31"/>
          <w:spacing w:val="23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String</w:t>
      </w:r>
      <w:r>
        <w:rPr>
          <w:rFonts w:ascii="Arial"/>
          <w:color w:val="312F31"/>
          <w:spacing w:val="3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Citations</w:t>
        <w:tab/>
      </w:r>
      <w:r>
        <w:rPr>
          <w:b/>
          <w:color w:val="312F31"/>
          <w:w w:val="105"/>
          <w:sz w:val="22"/>
        </w:rPr>
        <w:t>147</w:t>
      </w:r>
    </w:p>
    <w:p>
      <w:pPr>
        <w:pStyle w:val="ListParagraph"/>
        <w:numPr>
          <w:ilvl w:val="2"/>
          <w:numId w:val="6"/>
        </w:numPr>
        <w:tabs>
          <w:tab w:pos="1735" w:val="left" w:leader="none"/>
          <w:tab w:pos="7525" w:val="left" w:leader="none"/>
        </w:tabs>
        <w:spacing w:line="266" w:lineRule="exact" w:before="7" w:after="0"/>
        <w:ind w:left="1734" w:right="0" w:hanging="756"/>
        <w:jc w:val="left"/>
        <w:rPr>
          <w:rFonts w:ascii="Courier New"/>
          <w:b/>
          <w:color w:val="312F31"/>
          <w:sz w:val="22"/>
        </w:rPr>
      </w:pPr>
      <w:r>
        <w:rPr>
          <w:rFonts w:ascii="Arial"/>
          <w:color w:val="312F31"/>
          <w:sz w:val="21"/>
        </w:rPr>
        <w:t>Cases</w:t>
      </w:r>
      <w:r>
        <w:rPr>
          <w:rFonts w:ascii="Arial"/>
          <w:color w:val="312F31"/>
          <w:spacing w:val="1"/>
          <w:sz w:val="21"/>
        </w:rPr>
        <w:t> </w:t>
      </w:r>
      <w:r>
        <w:rPr>
          <w:rFonts w:ascii="Arial"/>
          <w:color w:val="312F31"/>
          <w:sz w:val="21"/>
        </w:rPr>
        <w:t>That</w:t>
      </w:r>
      <w:r>
        <w:rPr>
          <w:rFonts w:ascii="Arial"/>
          <w:color w:val="312F31"/>
          <w:spacing w:val="8"/>
          <w:sz w:val="21"/>
        </w:rPr>
        <w:t> </w:t>
      </w:r>
      <w:r>
        <w:rPr>
          <w:rFonts w:ascii="Arial"/>
          <w:color w:val="312F31"/>
          <w:sz w:val="21"/>
        </w:rPr>
        <w:t>Cite</w:t>
      </w:r>
      <w:r>
        <w:rPr>
          <w:rFonts w:ascii="Arial"/>
          <w:color w:val="312F31"/>
          <w:spacing w:val="-1"/>
          <w:sz w:val="21"/>
        </w:rPr>
        <w:t> </w:t>
      </w:r>
      <w:r>
        <w:rPr>
          <w:rFonts w:ascii="Arial"/>
          <w:color w:val="312F31"/>
          <w:sz w:val="21"/>
        </w:rPr>
        <w:t>Other</w:t>
      </w:r>
      <w:r>
        <w:rPr>
          <w:rFonts w:ascii="Arial"/>
          <w:color w:val="312F31"/>
          <w:spacing w:val="3"/>
          <w:sz w:val="21"/>
        </w:rPr>
        <w:t> </w:t>
      </w:r>
      <w:r>
        <w:rPr>
          <w:rFonts w:ascii="Arial"/>
          <w:color w:val="312F31"/>
          <w:sz w:val="21"/>
        </w:rPr>
        <w:t>Cases</w:t>
        <w:tab/>
      </w:r>
      <w:r>
        <w:rPr>
          <w:b/>
          <w:color w:val="312F31"/>
          <w:w w:val="105"/>
          <w:sz w:val="22"/>
        </w:rPr>
        <w:t>149</w:t>
      </w:r>
    </w:p>
    <w:p>
      <w:pPr>
        <w:pStyle w:val="ListParagraph"/>
        <w:numPr>
          <w:ilvl w:val="2"/>
          <w:numId w:val="6"/>
        </w:numPr>
        <w:tabs>
          <w:tab w:pos="1726" w:val="left" w:leader="none"/>
          <w:tab w:pos="7525" w:val="left" w:leader="none"/>
        </w:tabs>
        <w:spacing w:line="247" w:lineRule="exact" w:before="0" w:after="0"/>
        <w:ind w:left="1725" w:right="0" w:hanging="747"/>
        <w:jc w:val="left"/>
        <w:rPr>
          <w:b/>
          <w:i/>
          <w:color w:val="312F31"/>
          <w:sz w:val="22"/>
        </w:rPr>
      </w:pPr>
      <w:r>
        <w:rPr>
          <w:rFonts w:ascii="Arial"/>
          <w:color w:val="312F31"/>
          <w:w w:val="105"/>
          <w:sz w:val="21"/>
        </w:rPr>
        <w:t>Importance</w:t>
      </w:r>
      <w:r>
        <w:rPr>
          <w:rFonts w:ascii="Arial"/>
          <w:color w:val="312F31"/>
          <w:spacing w:val="18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of</w:t>
      </w:r>
      <w:r>
        <w:rPr>
          <w:rFonts w:ascii="Arial"/>
          <w:color w:val="312F31"/>
          <w:spacing w:val="44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Pinpoint</w:t>
      </w:r>
      <w:r>
        <w:rPr>
          <w:rFonts w:ascii="Arial"/>
          <w:color w:val="312F31"/>
          <w:spacing w:val="22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Citations</w:t>
        <w:tab/>
      </w:r>
      <w:r>
        <w:rPr>
          <w:b/>
          <w:color w:val="312F31"/>
          <w:w w:val="110"/>
          <w:sz w:val="22"/>
        </w:rPr>
        <w:t>150</w:t>
      </w:r>
    </w:p>
    <w:p>
      <w:pPr>
        <w:pStyle w:val="ListParagraph"/>
        <w:numPr>
          <w:ilvl w:val="1"/>
          <w:numId w:val="6"/>
        </w:numPr>
        <w:tabs>
          <w:tab w:pos="983" w:val="left" w:leader="none"/>
          <w:tab w:pos="984" w:val="left" w:leader="none"/>
          <w:tab w:pos="7525" w:val="left" w:leader="none"/>
        </w:tabs>
        <w:spacing w:line="240" w:lineRule="auto" w:before="7" w:after="0"/>
        <w:ind w:left="983" w:right="0" w:hanging="708"/>
        <w:jc w:val="left"/>
        <w:rPr>
          <w:b/>
          <w:i/>
          <w:color w:val="312F31"/>
          <w:sz w:val="21"/>
        </w:rPr>
      </w:pPr>
      <w:r>
        <w:rPr>
          <w:rFonts w:ascii="Arial"/>
          <w:color w:val="312F31"/>
          <w:w w:val="105"/>
          <w:sz w:val="21"/>
        </w:rPr>
        <w:t>Summary</w:t>
        <w:tab/>
      </w:r>
      <w:r>
        <w:rPr>
          <w:b/>
          <w:color w:val="312F31"/>
          <w:w w:val="105"/>
          <w:sz w:val="22"/>
        </w:rPr>
        <w:t>151</w:t>
      </w:r>
    </w:p>
    <w:p>
      <w:pPr>
        <w:spacing w:after="0" w:line="240" w:lineRule="auto"/>
        <w:jc w:val="left"/>
        <w:rPr>
          <w:sz w:val="21"/>
        </w:rPr>
        <w:sectPr>
          <w:headerReference w:type="even" r:id="rId8"/>
          <w:headerReference w:type="default" r:id="rId9"/>
          <w:pgSz w:w="9750" w:h="13730"/>
          <w:pgMar w:header="438" w:footer="0" w:top="680" w:bottom="280" w:left="1360" w:right="320"/>
          <w:pgNumType w:start="14"/>
        </w:sectPr>
      </w:pPr>
    </w:p>
    <w:p>
      <w:pPr>
        <w:pStyle w:val="BodyText"/>
        <w:rPr>
          <w:b/>
          <w:sz w:val="22"/>
        </w:rPr>
      </w:pPr>
    </w:p>
    <w:p>
      <w:pPr>
        <w:spacing w:line="232" w:lineRule="exact" w:before="149"/>
        <w:ind w:left="261" w:right="0" w:firstLine="0"/>
        <w:jc w:val="left"/>
        <w:rPr>
          <w:b/>
          <w:sz w:val="21"/>
        </w:rPr>
      </w:pPr>
      <w:r>
        <w:rPr>
          <w:b/>
          <w:color w:val="312F31"/>
          <w:w w:val="90"/>
          <w:sz w:val="21"/>
        </w:rPr>
        <w:t>CHAPTER</w:t>
      </w:r>
      <w:r>
        <w:rPr>
          <w:b/>
          <w:color w:val="312F31"/>
          <w:spacing w:val="1"/>
          <w:w w:val="90"/>
          <w:sz w:val="21"/>
        </w:rPr>
        <w:t> </w:t>
      </w:r>
      <w:r>
        <w:rPr>
          <w:b/>
          <w:color w:val="312F31"/>
          <w:w w:val="90"/>
          <w:sz w:val="21"/>
        </w:rPr>
        <w:t>SEVEN</w:t>
      </w:r>
    </w:p>
    <w:p>
      <w:pPr>
        <w:spacing w:line="359" w:lineRule="exact" w:before="0"/>
        <w:ind w:left="268" w:right="0" w:firstLine="0"/>
        <w:jc w:val="left"/>
        <w:rPr>
          <w:rFonts w:ascii="Arial"/>
          <w:sz w:val="24"/>
        </w:rPr>
      </w:pPr>
      <w:r>
        <w:rPr>
          <w:rFonts w:ascii="Arial"/>
          <w:color w:val="646667"/>
          <w:w w:val="110"/>
          <w:sz w:val="24"/>
        </w:rPr>
        <w:t>S</w:t>
      </w:r>
      <w:r>
        <w:rPr>
          <w:rFonts w:ascii="Arial"/>
          <w:color w:val="464648"/>
          <w:w w:val="110"/>
          <w:sz w:val="24"/>
        </w:rPr>
        <w:t>E</w:t>
      </w:r>
      <w:r>
        <w:rPr>
          <w:rFonts w:ascii="Arial"/>
          <w:color w:val="646667"/>
          <w:w w:val="110"/>
          <w:sz w:val="24"/>
        </w:rPr>
        <w:t>EING</w:t>
      </w:r>
      <w:r>
        <w:rPr>
          <w:rFonts w:ascii="Arial"/>
          <w:color w:val="646667"/>
          <w:spacing w:val="33"/>
          <w:w w:val="110"/>
          <w:sz w:val="24"/>
        </w:rPr>
        <w:t> </w:t>
      </w:r>
      <w:r>
        <w:rPr>
          <w:rFonts w:ascii="Arial"/>
          <w:color w:val="7E8082"/>
          <w:w w:val="110"/>
          <w:sz w:val="24"/>
        </w:rPr>
        <w:t>WHA</w:t>
      </w:r>
      <w:r>
        <w:rPr>
          <w:rFonts w:ascii="Arial"/>
          <w:color w:val="464648"/>
          <w:w w:val="110"/>
          <w:sz w:val="24"/>
        </w:rPr>
        <w:t>T</w:t>
      </w:r>
      <w:r>
        <w:rPr>
          <w:rFonts w:ascii="Arial"/>
          <w:color w:val="464648"/>
          <w:spacing w:val="46"/>
          <w:w w:val="110"/>
          <w:sz w:val="24"/>
        </w:rPr>
        <w:t> </w:t>
      </w:r>
      <w:r>
        <w:rPr>
          <w:rFonts w:ascii="Arial"/>
          <w:color w:val="646667"/>
          <w:w w:val="110"/>
          <w:sz w:val="32"/>
        </w:rPr>
        <w:t>You</w:t>
      </w:r>
      <w:r>
        <w:rPr>
          <w:rFonts w:ascii="Arial"/>
          <w:color w:val="646667"/>
          <w:spacing w:val="-9"/>
          <w:w w:val="110"/>
          <w:sz w:val="32"/>
        </w:rPr>
        <w:t> </w:t>
      </w:r>
      <w:r>
        <w:rPr>
          <w:rFonts w:ascii="Arial"/>
          <w:color w:val="7E8082"/>
          <w:w w:val="110"/>
          <w:sz w:val="24"/>
        </w:rPr>
        <w:t>HA</w:t>
      </w:r>
      <w:r>
        <w:rPr>
          <w:rFonts w:ascii="Arial"/>
          <w:color w:val="646667"/>
          <w:w w:val="110"/>
          <w:sz w:val="24"/>
        </w:rPr>
        <w:t>VE</w:t>
      </w:r>
      <w:r>
        <w:rPr>
          <w:rFonts w:ascii="Arial"/>
          <w:color w:val="646667"/>
          <w:spacing w:val="-11"/>
          <w:w w:val="110"/>
          <w:sz w:val="24"/>
        </w:rPr>
        <w:t> </w:t>
      </w:r>
      <w:r>
        <w:rPr>
          <w:rFonts w:ascii="Arial"/>
          <w:color w:val="7E8082"/>
          <w:w w:val="110"/>
          <w:sz w:val="24"/>
        </w:rPr>
        <w:t>WRITTEN</w:t>
      </w:r>
    </w:p>
    <w:p>
      <w:pPr>
        <w:pStyle w:val="ListParagraph"/>
        <w:numPr>
          <w:ilvl w:val="1"/>
          <w:numId w:val="7"/>
        </w:numPr>
        <w:tabs>
          <w:tab w:pos="936" w:val="left" w:leader="none"/>
          <w:tab w:pos="938" w:val="left" w:leader="none"/>
        </w:tabs>
        <w:spacing w:line="240" w:lineRule="auto" w:before="93" w:after="0"/>
        <w:ind w:left="937" w:right="0" w:hanging="696"/>
        <w:jc w:val="left"/>
        <w:rPr>
          <w:rFonts w:ascii="Arial"/>
          <w:sz w:val="21"/>
        </w:rPr>
      </w:pPr>
      <w:r>
        <w:rPr>
          <w:rFonts w:ascii="Arial"/>
          <w:color w:val="312F31"/>
          <w:sz w:val="21"/>
        </w:rPr>
        <w:t>Focusing</w:t>
      </w:r>
      <w:r>
        <w:rPr>
          <w:rFonts w:ascii="Arial"/>
          <w:color w:val="312F31"/>
          <w:spacing w:val="28"/>
          <w:sz w:val="21"/>
        </w:rPr>
        <w:t> </w:t>
      </w:r>
      <w:r>
        <w:rPr>
          <w:rFonts w:ascii="Arial"/>
          <w:color w:val="312F31"/>
          <w:sz w:val="21"/>
        </w:rPr>
        <w:t>Your</w:t>
      </w:r>
      <w:r>
        <w:rPr>
          <w:rFonts w:ascii="Arial"/>
          <w:color w:val="312F31"/>
          <w:spacing w:val="17"/>
          <w:sz w:val="21"/>
        </w:rPr>
        <w:t> </w:t>
      </w:r>
      <w:r>
        <w:rPr>
          <w:rFonts w:ascii="Arial"/>
          <w:color w:val="312F31"/>
          <w:sz w:val="21"/>
        </w:rPr>
        <w:t>Revision:</w:t>
      </w:r>
      <w:r>
        <w:rPr>
          <w:rFonts w:ascii="Arial"/>
          <w:color w:val="312F31"/>
          <w:spacing w:val="22"/>
          <w:sz w:val="21"/>
        </w:rPr>
        <w:t> </w:t>
      </w:r>
      <w:r>
        <w:rPr>
          <w:rFonts w:ascii="Arial"/>
          <w:color w:val="312F31"/>
          <w:sz w:val="21"/>
        </w:rPr>
        <w:t>Using</w:t>
      </w:r>
      <w:r>
        <w:rPr>
          <w:rFonts w:ascii="Arial"/>
          <w:color w:val="312F31"/>
          <w:spacing w:val="7"/>
          <w:sz w:val="21"/>
        </w:rPr>
        <w:t> </w:t>
      </w:r>
      <w:r>
        <w:rPr>
          <w:rFonts w:ascii="Arial"/>
          <w:color w:val="312F31"/>
          <w:sz w:val="21"/>
        </w:rPr>
        <w:t>the</w:t>
      </w:r>
      <w:r>
        <w:rPr>
          <w:rFonts w:ascii="Arial"/>
          <w:color w:val="312F31"/>
          <w:spacing w:val="42"/>
          <w:sz w:val="21"/>
        </w:rPr>
        <w:t> </w:t>
      </w:r>
      <w:r>
        <w:rPr>
          <w:rFonts w:ascii="Arial"/>
          <w:color w:val="312F31"/>
          <w:sz w:val="21"/>
        </w:rPr>
        <w:t>Self-Graded</w:t>
      </w:r>
      <w:r>
        <w:rPr>
          <w:rFonts w:ascii="Arial"/>
          <w:color w:val="312F31"/>
          <w:spacing w:val="35"/>
          <w:sz w:val="21"/>
        </w:rPr>
        <w:t> </w:t>
      </w:r>
      <w:r>
        <w:rPr>
          <w:rFonts w:ascii="Arial"/>
          <w:color w:val="312F31"/>
          <w:sz w:val="21"/>
        </w:rPr>
        <w:t>Draft</w:t>
      </w:r>
    </w:p>
    <w:p>
      <w:pPr>
        <w:pStyle w:val="ListParagraph"/>
        <w:numPr>
          <w:ilvl w:val="2"/>
          <w:numId w:val="7"/>
        </w:numPr>
        <w:tabs>
          <w:tab w:pos="1682" w:val="left" w:leader="none"/>
        </w:tabs>
        <w:spacing w:line="252" w:lineRule="exact" w:before="7" w:after="0"/>
        <w:ind w:left="1681" w:right="0" w:hanging="737"/>
        <w:jc w:val="left"/>
        <w:rPr>
          <w:rFonts w:ascii="Arial"/>
          <w:b/>
          <w:color w:val="312F31"/>
          <w:sz w:val="21"/>
        </w:rPr>
      </w:pPr>
      <w:r>
        <w:rPr>
          <w:rFonts w:ascii="Arial"/>
          <w:color w:val="312F31"/>
          <w:w w:val="105"/>
          <w:sz w:val="21"/>
        </w:rPr>
        <w:t>Background</w:t>
      </w:r>
    </w:p>
    <w:p>
      <w:pPr>
        <w:pStyle w:val="ListParagraph"/>
        <w:numPr>
          <w:ilvl w:val="2"/>
          <w:numId w:val="7"/>
        </w:numPr>
        <w:tabs>
          <w:tab w:pos="1677" w:val="left" w:leader="none"/>
        </w:tabs>
        <w:spacing w:line="250" w:lineRule="exact" w:before="0" w:after="0"/>
        <w:ind w:left="1676" w:right="0" w:hanging="740"/>
        <w:jc w:val="left"/>
        <w:rPr>
          <w:b/>
          <w:color w:val="312F31"/>
          <w:sz w:val="22"/>
        </w:rPr>
      </w:pPr>
      <w:r>
        <w:rPr>
          <w:rFonts w:ascii="Arial"/>
          <w:color w:val="312F31"/>
          <w:w w:val="105"/>
          <w:sz w:val="21"/>
        </w:rPr>
        <w:t>Completing</w:t>
      </w:r>
      <w:r>
        <w:rPr>
          <w:rFonts w:ascii="Arial"/>
          <w:color w:val="312F31"/>
          <w:spacing w:val="16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the</w:t>
      </w:r>
      <w:r>
        <w:rPr>
          <w:rFonts w:ascii="Arial"/>
          <w:color w:val="312F31"/>
          <w:spacing w:val="23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Self-Grading</w:t>
      </w:r>
    </w:p>
    <w:p>
      <w:pPr>
        <w:pStyle w:val="ListParagraph"/>
        <w:numPr>
          <w:ilvl w:val="1"/>
          <w:numId w:val="7"/>
        </w:numPr>
        <w:tabs>
          <w:tab w:pos="924" w:val="left" w:leader="none"/>
          <w:tab w:pos="925" w:val="left" w:leader="none"/>
        </w:tabs>
        <w:spacing w:line="252" w:lineRule="exact" w:before="0" w:after="0"/>
        <w:ind w:left="924" w:right="0" w:hanging="702"/>
        <w:jc w:val="left"/>
        <w:rPr>
          <w:rFonts w:ascii="Arial"/>
          <w:sz w:val="21"/>
        </w:rPr>
      </w:pPr>
      <w:r>
        <w:rPr>
          <w:rFonts w:ascii="Arial"/>
          <w:color w:val="312F31"/>
          <w:sz w:val="21"/>
        </w:rPr>
        <w:t>Common</w:t>
      </w:r>
      <w:r>
        <w:rPr>
          <w:rFonts w:ascii="Arial"/>
          <w:color w:val="312F31"/>
          <w:spacing w:val="12"/>
          <w:sz w:val="21"/>
        </w:rPr>
        <w:t> </w:t>
      </w:r>
      <w:r>
        <w:rPr>
          <w:rFonts w:ascii="Arial"/>
          <w:color w:val="312F31"/>
          <w:sz w:val="21"/>
        </w:rPr>
        <w:t>Self-Grading</w:t>
      </w:r>
      <w:r>
        <w:rPr>
          <w:rFonts w:ascii="Arial"/>
          <w:color w:val="312F31"/>
          <w:spacing w:val="30"/>
          <w:sz w:val="21"/>
        </w:rPr>
        <w:t> </w:t>
      </w:r>
      <w:r>
        <w:rPr>
          <w:rFonts w:ascii="Arial"/>
          <w:color w:val="312F31"/>
          <w:sz w:val="21"/>
        </w:rPr>
        <w:t>Tasks</w:t>
      </w:r>
      <w:r>
        <w:rPr>
          <w:rFonts w:ascii="Arial"/>
          <w:color w:val="312F31"/>
          <w:spacing w:val="25"/>
          <w:sz w:val="21"/>
        </w:rPr>
        <w:t> </w:t>
      </w:r>
      <w:r>
        <w:rPr>
          <w:rFonts w:ascii="Arial"/>
          <w:color w:val="312F31"/>
          <w:sz w:val="21"/>
        </w:rPr>
        <w:t>and</w:t>
      </w:r>
      <w:r>
        <w:rPr>
          <w:rFonts w:ascii="Arial"/>
          <w:color w:val="312F31"/>
          <w:spacing w:val="90"/>
          <w:sz w:val="21"/>
        </w:rPr>
        <w:t> </w:t>
      </w:r>
      <w:r>
        <w:rPr>
          <w:rFonts w:ascii="Arial"/>
          <w:color w:val="312F31"/>
          <w:sz w:val="21"/>
        </w:rPr>
        <w:t>Explanations</w:t>
      </w:r>
    </w:p>
    <w:p>
      <w:pPr>
        <w:pStyle w:val="ListParagraph"/>
        <w:numPr>
          <w:ilvl w:val="2"/>
          <w:numId w:val="7"/>
        </w:numPr>
        <w:tabs>
          <w:tab w:pos="1668" w:val="left" w:leader="none"/>
        </w:tabs>
        <w:spacing w:line="252" w:lineRule="exact" w:before="7" w:after="0"/>
        <w:ind w:left="1667" w:right="0" w:hanging="741"/>
        <w:jc w:val="left"/>
        <w:rPr>
          <w:b/>
          <w:color w:val="312F31"/>
          <w:sz w:val="22"/>
        </w:rPr>
      </w:pPr>
      <w:r>
        <w:rPr>
          <w:rFonts w:ascii="Arial"/>
          <w:color w:val="312F31"/>
          <w:spacing w:val="-1"/>
          <w:w w:val="105"/>
          <w:sz w:val="21"/>
        </w:rPr>
        <w:t>Identify</w:t>
      </w:r>
      <w:r>
        <w:rPr>
          <w:rFonts w:ascii="Arial"/>
          <w:color w:val="312F31"/>
          <w:spacing w:val="-6"/>
          <w:w w:val="105"/>
          <w:sz w:val="21"/>
        </w:rPr>
        <w:t> </w:t>
      </w:r>
      <w:r>
        <w:rPr>
          <w:rFonts w:ascii="Arial"/>
          <w:color w:val="312F31"/>
          <w:spacing w:val="-1"/>
          <w:w w:val="105"/>
          <w:sz w:val="21"/>
        </w:rPr>
        <w:t>the</w:t>
      </w:r>
      <w:r>
        <w:rPr>
          <w:rFonts w:ascii="Arial"/>
          <w:color w:val="312F31"/>
          <w:spacing w:val="-7"/>
          <w:w w:val="105"/>
          <w:sz w:val="21"/>
        </w:rPr>
        <w:t> </w:t>
      </w:r>
      <w:r>
        <w:rPr>
          <w:rFonts w:ascii="Arial"/>
          <w:color w:val="312F31"/>
          <w:spacing w:val="-1"/>
          <w:w w:val="105"/>
          <w:sz w:val="21"/>
        </w:rPr>
        <w:t>Focus</w:t>
      </w:r>
      <w:r>
        <w:rPr>
          <w:rFonts w:ascii="Arial"/>
          <w:color w:val="312F31"/>
          <w:spacing w:val="-9"/>
          <w:w w:val="105"/>
          <w:sz w:val="21"/>
        </w:rPr>
        <w:t> </w:t>
      </w:r>
      <w:r>
        <w:rPr>
          <w:rFonts w:ascii="Arial"/>
          <w:color w:val="312F31"/>
          <w:spacing w:val="-1"/>
          <w:w w:val="105"/>
          <w:sz w:val="21"/>
        </w:rPr>
        <w:t>of</w:t>
      </w:r>
      <w:r>
        <w:rPr>
          <w:rFonts w:ascii="Arial"/>
          <w:color w:val="312F31"/>
          <w:spacing w:val="10"/>
          <w:w w:val="105"/>
          <w:sz w:val="21"/>
        </w:rPr>
        <w:t> </w:t>
      </w:r>
      <w:r>
        <w:rPr>
          <w:rFonts w:ascii="Arial"/>
          <w:color w:val="312F31"/>
          <w:spacing w:val="-1"/>
          <w:w w:val="105"/>
          <w:sz w:val="21"/>
        </w:rPr>
        <w:t>Each</w:t>
      </w:r>
      <w:r>
        <w:rPr>
          <w:rFonts w:ascii="Arial"/>
          <w:color w:val="312F31"/>
          <w:spacing w:val="-9"/>
          <w:w w:val="105"/>
          <w:sz w:val="21"/>
        </w:rPr>
        <w:t> </w:t>
      </w:r>
      <w:r>
        <w:rPr>
          <w:rFonts w:ascii="Arial"/>
          <w:color w:val="312F31"/>
          <w:spacing w:val="-1"/>
          <w:w w:val="105"/>
          <w:sz w:val="21"/>
        </w:rPr>
        <w:t>CREXAC</w:t>
      </w:r>
      <w:r>
        <w:rPr>
          <w:rFonts w:ascii="Arial"/>
          <w:color w:val="312F31"/>
          <w:spacing w:val="-5"/>
          <w:w w:val="105"/>
          <w:sz w:val="21"/>
        </w:rPr>
        <w:t> </w:t>
      </w:r>
      <w:r>
        <w:rPr>
          <w:rFonts w:ascii="Arial"/>
          <w:color w:val="312F31"/>
          <w:spacing w:val="-1"/>
          <w:w w:val="105"/>
          <w:sz w:val="21"/>
        </w:rPr>
        <w:t>Unit</w:t>
      </w:r>
      <w:r>
        <w:rPr>
          <w:rFonts w:ascii="Arial"/>
          <w:color w:val="312F31"/>
          <w:spacing w:val="-18"/>
          <w:w w:val="105"/>
          <w:sz w:val="21"/>
        </w:rPr>
        <w:t> </w:t>
      </w:r>
      <w:r>
        <w:rPr>
          <w:rFonts w:ascii="Arial"/>
          <w:color w:val="312F31"/>
          <w:spacing w:val="-1"/>
          <w:w w:val="105"/>
          <w:sz w:val="21"/>
        </w:rPr>
        <w:t>of</w:t>
      </w:r>
      <w:r>
        <w:rPr>
          <w:rFonts w:ascii="Arial"/>
          <w:color w:val="312F31"/>
          <w:spacing w:val="-6"/>
          <w:w w:val="105"/>
          <w:sz w:val="21"/>
        </w:rPr>
        <w:t> </w:t>
      </w:r>
      <w:r>
        <w:rPr>
          <w:rFonts w:ascii="Arial"/>
          <w:color w:val="312F31"/>
          <w:spacing w:val="-1"/>
          <w:w w:val="105"/>
          <w:sz w:val="21"/>
        </w:rPr>
        <w:t>Discourse</w:t>
      </w:r>
    </w:p>
    <w:p>
      <w:pPr>
        <w:pStyle w:val="ListParagraph"/>
        <w:numPr>
          <w:ilvl w:val="2"/>
          <w:numId w:val="7"/>
        </w:numPr>
        <w:tabs>
          <w:tab w:pos="1667" w:val="left" w:leader="none"/>
          <w:tab w:pos="1668" w:val="left" w:leader="none"/>
        </w:tabs>
        <w:spacing w:line="235" w:lineRule="auto" w:before="3" w:after="0"/>
        <w:ind w:left="1667" w:right="1117" w:hanging="750"/>
        <w:jc w:val="left"/>
        <w:rPr>
          <w:b/>
          <w:color w:val="312F31"/>
          <w:sz w:val="22"/>
        </w:rPr>
      </w:pPr>
      <w:r>
        <w:rPr>
          <w:rFonts w:ascii="Arial"/>
          <w:color w:val="312F31"/>
          <w:spacing w:val="-1"/>
          <w:w w:val="105"/>
          <w:sz w:val="21"/>
        </w:rPr>
        <w:t>Identify</w:t>
      </w:r>
      <w:r>
        <w:rPr>
          <w:rFonts w:ascii="Arial"/>
          <w:color w:val="312F31"/>
          <w:spacing w:val="-8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the</w:t>
      </w:r>
      <w:r>
        <w:rPr>
          <w:rFonts w:ascii="Arial"/>
          <w:color w:val="312F31"/>
          <w:spacing w:val="-8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Phrases-That-Pay</w:t>
      </w:r>
      <w:r>
        <w:rPr>
          <w:rFonts w:ascii="Arial"/>
          <w:color w:val="312F31"/>
          <w:spacing w:val="-10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Within</w:t>
      </w:r>
      <w:r>
        <w:rPr>
          <w:rFonts w:ascii="Arial"/>
          <w:color w:val="312F31"/>
          <w:spacing w:val="-16"/>
          <w:w w:val="105"/>
          <w:sz w:val="21"/>
        </w:rPr>
        <w:t> </w:t>
      </w:r>
      <w:r>
        <w:rPr>
          <w:rFonts w:ascii="Arial"/>
          <w:color w:val="464648"/>
          <w:w w:val="105"/>
          <w:sz w:val="21"/>
        </w:rPr>
        <w:t>Each</w:t>
      </w:r>
      <w:r>
        <w:rPr>
          <w:rFonts w:ascii="Arial"/>
          <w:color w:val="464648"/>
          <w:spacing w:val="-58"/>
          <w:w w:val="105"/>
          <w:sz w:val="21"/>
        </w:rPr>
        <w:t> </w:t>
      </w:r>
      <w:r>
        <w:rPr>
          <w:rFonts w:ascii="Arial"/>
          <w:color w:val="312F31"/>
          <w:sz w:val="21"/>
        </w:rPr>
        <w:t>CREXAC</w:t>
      </w:r>
      <w:r>
        <w:rPr>
          <w:rFonts w:ascii="Arial"/>
          <w:color w:val="312F31"/>
          <w:spacing w:val="-1"/>
          <w:sz w:val="21"/>
        </w:rPr>
        <w:t> </w:t>
      </w:r>
      <w:r>
        <w:rPr>
          <w:rFonts w:ascii="Arial"/>
          <w:color w:val="312F31"/>
          <w:sz w:val="21"/>
        </w:rPr>
        <w:t>Unit</w:t>
      </w:r>
      <w:r>
        <w:rPr>
          <w:rFonts w:ascii="Arial"/>
          <w:color w:val="312F31"/>
          <w:spacing w:val="-13"/>
          <w:sz w:val="21"/>
        </w:rPr>
        <w:t> </w:t>
      </w:r>
      <w:r>
        <w:rPr>
          <w:rFonts w:ascii="Arial"/>
          <w:color w:val="312F31"/>
          <w:sz w:val="21"/>
        </w:rPr>
        <w:t>of</w:t>
      </w:r>
      <w:r>
        <w:rPr>
          <w:rFonts w:ascii="Arial"/>
          <w:color w:val="312F31"/>
          <w:spacing w:val="-2"/>
          <w:sz w:val="21"/>
        </w:rPr>
        <w:t> </w:t>
      </w:r>
      <w:r>
        <w:rPr>
          <w:rFonts w:ascii="Arial"/>
          <w:color w:val="312F31"/>
          <w:sz w:val="21"/>
        </w:rPr>
        <w:t>Discourse</w:t>
      </w:r>
    </w:p>
    <w:p>
      <w:pPr>
        <w:pStyle w:val="ListParagraph"/>
        <w:numPr>
          <w:ilvl w:val="2"/>
          <w:numId w:val="7"/>
        </w:numPr>
        <w:tabs>
          <w:tab w:pos="1658" w:val="left" w:leader="none"/>
        </w:tabs>
        <w:spacing w:line="252" w:lineRule="exact" w:before="12" w:after="0"/>
        <w:ind w:left="1657" w:right="0" w:hanging="750"/>
        <w:jc w:val="left"/>
        <w:rPr>
          <w:b/>
          <w:color w:val="312F31"/>
          <w:sz w:val="22"/>
        </w:rPr>
      </w:pPr>
      <w:r>
        <w:rPr>
          <w:rFonts w:ascii="Arial"/>
          <w:color w:val="312F31"/>
          <w:spacing w:val="-1"/>
          <w:w w:val="110"/>
          <w:sz w:val="21"/>
        </w:rPr>
        <w:t>Identify</w:t>
      </w:r>
      <w:r>
        <w:rPr>
          <w:rFonts w:ascii="Arial"/>
          <w:color w:val="312F31"/>
          <w:spacing w:val="-6"/>
          <w:w w:val="110"/>
          <w:sz w:val="21"/>
        </w:rPr>
        <w:t> </w:t>
      </w:r>
      <w:r>
        <w:rPr>
          <w:rFonts w:ascii="Arial"/>
          <w:color w:val="312F31"/>
          <w:w w:val="110"/>
          <w:sz w:val="21"/>
        </w:rPr>
        <w:t>Cited</w:t>
      </w:r>
      <w:r>
        <w:rPr>
          <w:rFonts w:ascii="Arial"/>
          <w:color w:val="312F31"/>
          <w:spacing w:val="-17"/>
          <w:w w:val="110"/>
          <w:sz w:val="21"/>
        </w:rPr>
        <w:t> </w:t>
      </w:r>
      <w:r>
        <w:rPr>
          <w:rFonts w:ascii="Arial"/>
          <w:color w:val="312F31"/>
          <w:w w:val="110"/>
          <w:sz w:val="21"/>
        </w:rPr>
        <w:t>Authorities</w:t>
      </w:r>
    </w:p>
    <w:p>
      <w:pPr>
        <w:pStyle w:val="ListParagraph"/>
        <w:numPr>
          <w:ilvl w:val="2"/>
          <w:numId w:val="7"/>
        </w:numPr>
        <w:tabs>
          <w:tab w:pos="1658" w:val="left" w:leader="none"/>
        </w:tabs>
        <w:spacing w:line="252" w:lineRule="exact" w:before="0" w:after="0"/>
        <w:ind w:left="1657" w:right="0" w:hanging="750"/>
        <w:jc w:val="left"/>
        <w:rPr>
          <w:b/>
          <w:color w:val="312F31"/>
          <w:sz w:val="22"/>
        </w:rPr>
      </w:pPr>
      <w:r>
        <w:rPr>
          <w:rFonts w:ascii="Arial"/>
          <w:color w:val="312F31"/>
          <w:w w:val="105"/>
          <w:sz w:val="21"/>
        </w:rPr>
        <w:t>Identify</w:t>
      </w:r>
      <w:r>
        <w:rPr>
          <w:rFonts w:ascii="Arial"/>
          <w:color w:val="312F31"/>
          <w:spacing w:val="1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the</w:t>
      </w:r>
      <w:r>
        <w:rPr>
          <w:rFonts w:ascii="Arial"/>
          <w:color w:val="312F31"/>
          <w:spacing w:val="-1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Explanation</w:t>
      </w:r>
      <w:r>
        <w:rPr>
          <w:rFonts w:ascii="Arial"/>
          <w:color w:val="312F31"/>
          <w:spacing w:val="2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of</w:t>
      </w:r>
      <w:r>
        <w:rPr>
          <w:rFonts w:ascii="Arial"/>
          <w:color w:val="312F31"/>
          <w:spacing w:val="19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Each</w:t>
      </w:r>
      <w:r>
        <w:rPr>
          <w:rFonts w:ascii="Arial"/>
          <w:color w:val="312F31"/>
          <w:spacing w:val="-11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Focus</w:t>
      </w:r>
    </w:p>
    <w:p>
      <w:pPr>
        <w:pStyle w:val="ListParagraph"/>
        <w:numPr>
          <w:ilvl w:val="2"/>
          <w:numId w:val="7"/>
        </w:numPr>
        <w:tabs>
          <w:tab w:pos="1649" w:val="left" w:leader="none"/>
        </w:tabs>
        <w:spacing w:line="252" w:lineRule="exact" w:before="7" w:after="0"/>
        <w:ind w:left="1648" w:right="0" w:hanging="751"/>
        <w:jc w:val="left"/>
        <w:rPr>
          <w:b/>
          <w:color w:val="312F31"/>
          <w:sz w:val="22"/>
        </w:rPr>
      </w:pPr>
      <w:r>
        <w:rPr>
          <w:rFonts w:ascii="Arial"/>
          <w:color w:val="312F31"/>
          <w:w w:val="105"/>
          <w:sz w:val="21"/>
        </w:rPr>
        <w:t>Identify</w:t>
      </w:r>
      <w:r>
        <w:rPr>
          <w:rFonts w:ascii="Arial"/>
          <w:color w:val="312F31"/>
          <w:spacing w:val="4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Your</w:t>
      </w:r>
      <w:r>
        <w:rPr>
          <w:rFonts w:ascii="Arial"/>
          <w:color w:val="312F31"/>
          <w:spacing w:val="-8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Client's</w:t>
      </w:r>
      <w:r>
        <w:rPr>
          <w:rFonts w:ascii="Arial"/>
          <w:color w:val="312F31"/>
          <w:spacing w:val="-12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Facts</w:t>
      </w:r>
    </w:p>
    <w:p>
      <w:pPr>
        <w:spacing w:line="244" w:lineRule="auto" w:before="0"/>
        <w:ind w:left="1638" w:right="142" w:hanging="741"/>
        <w:jc w:val="left"/>
        <w:rPr>
          <w:rFonts w:ascii="Arial"/>
          <w:sz w:val="21"/>
        </w:rPr>
      </w:pPr>
      <w:r>
        <w:rPr>
          <w:rFonts w:ascii="Arial"/>
          <w:b/>
          <w:color w:val="312F31"/>
          <w:w w:val="105"/>
          <w:sz w:val="21"/>
        </w:rPr>
        <w:t>7</w:t>
      </w:r>
      <w:r>
        <w:rPr>
          <w:rFonts w:ascii="Arial"/>
          <w:b/>
          <w:color w:val="312F31"/>
          <w:spacing w:val="-29"/>
          <w:w w:val="105"/>
          <w:sz w:val="21"/>
        </w:rPr>
        <w:t> </w:t>
      </w:r>
      <w:r>
        <w:rPr>
          <w:b/>
          <w:color w:val="312F31"/>
          <w:w w:val="105"/>
          <w:sz w:val="22"/>
        </w:rPr>
        <w:t>.2.6</w:t>
      </w:r>
      <w:r>
        <w:rPr>
          <w:b/>
          <w:color w:val="312F31"/>
          <w:spacing w:val="10"/>
          <w:w w:val="105"/>
          <w:sz w:val="22"/>
        </w:rPr>
        <w:t> </w:t>
      </w:r>
      <w:r>
        <w:rPr>
          <w:rFonts w:ascii="Arial"/>
          <w:color w:val="312F31"/>
          <w:w w:val="105"/>
          <w:sz w:val="21"/>
        </w:rPr>
        <w:t>Identify</w:t>
      </w:r>
      <w:r>
        <w:rPr>
          <w:rFonts w:ascii="Arial"/>
          <w:color w:val="312F31"/>
          <w:spacing w:val="5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the</w:t>
      </w:r>
      <w:r>
        <w:rPr>
          <w:rFonts w:ascii="Arial"/>
          <w:color w:val="312F31"/>
          <w:spacing w:val="8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Application</w:t>
      </w:r>
      <w:r>
        <w:rPr>
          <w:rFonts w:ascii="Arial"/>
          <w:color w:val="312F31"/>
          <w:spacing w:val="19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of</w:t>
      </w:r>
      <w:r>
        <w:rPr>
          <w:rFonts w:ascii="Arial"/>
          <w:color w:val="312F31"/>
          <w:spacing w:val="22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Each</w:t>
      </w:r>
      <w:r>
        <w:rPr>
          <w:rFonts w:ascii="Arial"/>
          <w:color w:val="312F31"/>
          <w:spacing w:val="7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Focus</w:t>
      </w:r>
      <w:r>
        <w:rPr>
          <w:rFonts w:ascii="Arial"/>
          <w:color w:val="312F31"/>
          <w:spacing w:val="10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to</w:t>
      </w:r>
      <w:r>
        <w:rPr>
          <w:rFonts w:ascii="Arial"/>
          <w:color w:val="312F31"/>
          <w:spacing w:val="49"/>
          <w:w w:val="105"/>
          <w:sz w:val="21"/>
        </w:rPr>
        <w:t> </w:t>
      </w:r>
      <w:r>
        <w:rPr>
          <w:rFonts w:ascii="Arial"/>
          <w:color w:val="312F31"/>
          <w:w w:val="105"/>
          <w:sz w:val="21"/>
        </w:rPr>
        <w:t>Your</w:t>
      </w:r>
      <w:r>
        <w:rPr>
          <w:rFonts w:ascii="Arial"/>
          <w:color w:val="312F31"/>
          <w:spacing w:val="-59"/>
          <w:w w:val="105"/>
          <w:sz w:val="21"/>
        </w:rPr>
        <w:t> </w:t>
      </w:r>
      <w:r>
        <w:rPr>
          <w:rFonts w:ascii="Arial"/>
          <w:color w:val="312F31"/>
          <w:w w:val="110"/>
          <w:sz w:val="21"/>
        </w:rPr>
        <w:t>Client's</w:t>
      </w:r>
      <w:r>
        <w:rPr>
          <w:rFonts w:ascii="Arial"/>
          <w:color w:val="312F31"/>
          <w:spacing w:val="-13"/>
          <w:w w:val="110"/>
          <w:sz w:val="21"/>
        </w:rPr>
        <w:t> </w:t>
      </w:r>
      <w:r>
        <w:rPr>
          <w:rFonts w:ascii="Arial"/>
          <w:color w:val="312F31"/>
          <w:w w:val="110"/>
          <w:sz w:val="21"/>
        </w:rPr>
        <w:t>Facts</w:t>
      </w:r>
    </w:p>
    <w:p>
      <w:pPr>
        <w:spacing w:line="250" w:lineRule="exact" w:before="0"/>
        <w:ind w:left="888" w:right="0" w:firstLine="0"/>
        <w:jc w:val="left"/>
        <w:rPr>
          <w:rFonts w:ascii="Arial"/>
          <w:sz w:val="21"/>
        </w:rPr>
      </w:pPr>
      <w:r>
        <w:rPr>
          <w:b/>
          <w:color w:val="312F31"/>
          <w:w w:val="110"/>
          <w:sz w:val="22"/>
        </w:rPr>
        <w:t>7.2.7  </w:t>
      </w:r>
      <w:r>
        <w:rPr>
          <w:b/>
          <w:color w:val="312F31"/>
          <w:spacing w:val="19"/>
          <w:w w:val="110"/>
          <w:sz w:val="22"/>
        </w:rPr>
        <w:t> </w:t>
      </w:r>
      <w:r>
        <w:rPr>
          <w:rFonts w:ascii="Arial"/>
          <w:color w:val="312F31"/>
          <w:w w:val="110"/>
          <w:sz w:val="21"/>
        </w:rPr>
        <w:t>Identify</w:t>
      </w:r>
      <w:r>
        <w:rPr>
          <w:rFonts w:ascii="Arial"/>
          <w:color w:val="312F31"/>
          <w:spacing w:val="17"/>
          <w:w w:val="110"/>
          <w:sz w:val="21"/>
        </w:rPr>
        <w:t> </w:t>
      </w:r>
      <w:r>
        <w:rPr>
          <w:rFonts w:ascii="Arial"/>
          <w:color w:val="312F31"/>
          <w:w w:val="110"/>
          <w:sz w:val="21"/>
        </w:rPr>
        <w:t>the</w:t>
      </w:r>
      <w:r>
        <w:rPr>
          <w:rFonts w:ascii="Arial"/>
          <w:color w:val="312F31"/>
          <w:spacing w:val="-6"/>
          <w:w w:val="110"/>
          <w:sz w:val="21"/>
        </w:rPr>
        <w:t> </w:t>
      </w:r>
      <w:r>
        <w:rPr>
          <w:rFonts w:ascii="Arial"/>
          <w:color w:val="312F31"/>
          <w:w w:val="110"/>
          <w:sz w:val="21"/>
        </w:rPr>
        <w:t>Connection-Conclusion</w:t>
      </w:r>
    </w:p>
    <w:p>
      <w:pPr>
        <w:spacing w:line="240" w:lineRule="auto" w:before="0"/>
        <w:rPr>
          <w:rFonts w:ascii="Arial"/>
          <w:sz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pStyle w:val="BodyText"/>
        <w:rPr>
          <w:rFonts w:ascii="Arial"/>
          <w:sz w:val="24"/>
        </w:rPr>
      </w:pPr>
    </w:p>
    <w:p>
      <w:pPr>
        <w:spacing w:before="200"/>
        <w:ind w:left="262" w:right="0" w:firstLine="0"/>
        <w:jc w:val="left"/>
        <w:rPr>
          <w:rFonts w:ascii="Courier New"/>
          <w:b/>
          <w:sz w:val="22"/>
        </w:rPr>
      </w:pPr>
      <w:r>
        <w:rPr>
          <w:rFonts w:ascii="Courier New"/>
          <w:b/>
          <w:color w:val="312F31"/>
          <w:w w:val="110"/>
          <w:sz w:val="22"/>
        </w:rPr>
        <w:t>153</w:t>
      </w:r>
    </w:p>
    <w:p>
      <w:pPr>
        <w:spacing w:line="248" w:lineRule="exact" w:before="136"/>
        <w:ind w:left="252" w:right="0" w:firstLine="0"/>
        <w:jc w:val="left"/>
        <w:rPr>
          <w:rFonts w:ascii="Courier New"/>
          <w:b/>
          <w:sz w:val="22"/>
        </w:rPr>
      </w:pPr>
      <w:r>
        <w:rPr>
          <w:rFonts w:ascii="Courier New"/>
          <w:b/>
          <w:color w:val="312F31"/>
          <w:w w:val="110"/>
          <w:sz w:val="22"/>
        </w:rPr>
        <w:t>153</w:t>
      </w:r>
    </w:p>
    <w:p>
      <w:pPr>
        <w:spacing w:line="240" w:lineRule="exact" w:before="0"/>
        <w:ind w:left="253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color w:val="312F31"/>
          <w:w w:val="110"/>
          <w:sz w:val="21"/>
        </w:rPr>
        <w:t>154</w:t>
      </w:r>
    </w:p>
    <w:p>
      <w:pPr>
        <w:spacing w:before="11"/>
        <w:ind w:left="246" w:right="0" w:firstLine="0"/>
        <w:jc w:val="left"/>
        <w:rPr>
          <w:b/>
          <w:sz w:val="22"/>
        </w:rPr>
      </w:pPr>
      <w:r>
        <w:rPr>
          <w:b/>
          <w:color w:val="312F31"/>
          <w:w w:val="110"/>
          <w:sz w:val="22"/>
        </w:rPr>
        <w:t>156</w:t>
      </w:r>
    </w:p>
    <w:p>
      <w:pPr>
        <w:spacing w:line="244" w:lineRule="exact" w:before="19"/>
        <w:ind w:left="242" w:right="0" w:firstLine="0"/>
        <w:jc w:val="left"/>
        <w:rPr>
          <w:rFonts w:ascii="Courier New"/>
          <w:b/>
          <w:sz w:val="22"/>
        </w:rPr>
      </w:pPr>
      <w:r>
        <w:rPr>
          <w:rFonts w:ascii="Courier New"/>
          <w:b/>
          <w:color w:val="312F31"/>
          <w:w w:val="110"/>
          <w:sz w:val="22"/>
        </w:rPr>
        <w:t>156</w:t>
      </w:r>
    </w:p>
    <w:p>
      <w:pPr>
        <w:spacing w:line="247" w:lineRule="exact" w:before="0"/>
        <w:ind w:left="236" w:right="0" w:firstLine="0"/>
        <w:jc w:val="left"/>
        <w:rPr>
          <w:b/>
          <w:sz w:val="22"/>
        </w:rPr>
      </w:pPr>
      <w:r>
        <w:rPr>
          <w:b/>
          <w:color w:val="312F31"/>
          <w:w w:val="110"/>
          <w:sz w:val="22"/>
        </w:rPr>
        <w:t>156</w:t>
      </w:r>
    </w:p>
    <w:p>
      <w:pPr>
        <w:pStyle w:val="BodyText"/>
        <w:spacing w:before="2"/>
        <w:rPr>
          <w:b/>
          <w:sz w:val="25"/>
        </w:rPr>
      </w:pPr>
    </w:p>
    <w:p>
      <w:pPr>
        <w:spacing w:before="0"/>
        <w:ind w:left="233" w:right="0" w:firstLine="0"/>
        <w:jc w:val="left"/>
        <w:rPr>
          <w:rFonts w:ascii="Courier New"/>
          <w:b/>
          <w:sz w:val="22"/>
        </w:rPr>
      </w:pPr>
      <w:r>
        <w:rPr>
          <w:rFonts w:ascii="Courier New"/>
          <w:b/>
          <w:color w:val="312F31"/>
          <w:w w:val="110"/>
          <w:sz w:val="22"/>
        </w:rPr>
        <w:t>157</w:t>
      </w:r>
    </w:p>
    <w:p>
      <w:pPr>
        <w:spacing w:before="11"/>
        <w:ind w:left="233" w:right="0" w:firstLine="0"/>
        <w:jc w:val="left"/>
        <w:rPr>
          <w:rFonts w:ascii="Courier New"/>
          <w:b/>
          <w:sz w:val="22"/>
        </w:rPr>
      </w:pPr>
      <w:r>
        <w:rPr>
          <w:rFonts w:ascii="Courier New"/>
          <w:b/>
          <w:color w:val="312F31"/>
          <w:w w:val="110"/>
          <w:sz w:val="22"/>
        </w:rPr>
        <w:t>159</w:t>
      </w:r>
    </w:p>
    <w:p>
      <w:pPr>
        <w:spacing w:line="248" w:lineRule="exact" w:before="11"/>
        <w:ind w:left="223" w:right="0" w:firstLine="0"/>
        <w:jc w:val="left"/>
        <w:rPr>
          <w:rFonts w:ascii="Courier New"/>
          <w:b/>
          <w:sz w:val="22"/>
        </w:rPr>
      </w:pPr>
      <w:r>
        <w:rPr>
          <w:rFonts w:ascii="Courier New"/>
          <w:b/>
          <w:color w:val="312F31"/>
          <w:w w:val="110"/>
          <w:sz w:val="22"/>
        </w:rPr>
        <w:t>159</w:t>
      </w:r>
    </w:p>
    <w:p>
      <w:pPr>
        <w:spacing w:line="240" w:lineRule="exact" w:before="0"/>
        <w:ind w:left="225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color w:val="312F31"/>
          <w:w w:val="110"/>
          <w:sz w:val="21"/>
        </w:rPr>
        <w:t>160</w:t>
      </w:r>
    </w:p>
    <w:p>
      <w:pPr>
        <w:pStyle w:val="BodyText"/>
        <w:spacing w:before="6"/>
        <w:rPr>
          <w:rFonts w:ascii="Arial"/>
          <w:b/>
        </w:rPr>
      </w:pPr>
    </w:p>
    <w:p>
      <w:pPr>
        <w:spacing w:before="0"/>
        <w:ind w:left="227" w:right="0" w:firstLine="0"/>
        <w:jc w:val="left"/>
        <w:rPr>
          <w:b/>
          <w:sz w:val="22"/>
        </w:rPr>
      </w:pPr>
      <w:r>
        <w:rPr>
          <w:b/>
          <w:color w:val="312F31"/>
          <w:w w:val="110"/>
          <w:sz w:val="22"/>
        </w:rPr>
        <w:t>161</w:t>
      </w:r>
    </w:p>
    <w:p>
      <w:pPr>
        <w:spacing w:before="25"/>
        <w:ind w:left="225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color w:val="312F31"/>
          <w:w w:val="110"/>
          <w:sz w:val="21"/>
        </w:rPr>
        <w:t>161</w:t>
      </w:r>
    </w:p>
    <w:p>
      <w:pPr>
        <w:spacing w:after="0"/>
        <w:jc w:val="left"/>
        <w:rPr>
          <w:rFonts w:ascii="Arial"/>
          <w:sz w:val="21"/>
        </w:rPr>
        <w:sectPr>
          <w:type w:val="continuous"/>
          <w:pgSz w:w="9750" w:h="13730"/>
          <w:pgMar w:header="485" w:footer="0" w:top="340" w:bottom="280" w:left="1360" w:right="320"/>
          <w:cols w:num="2" w:equalWidth="0">
            <w:col w:w="6920" w:space="340"/>
            <w:col w:w="810"/>
          </w:cols>
        </w:sect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00"/>
        <w:gridCol w:w="997"/>
      </w:tblGrid>
      <w:tr>
        <w:trPr>
          <w:trHeight w:val="260" w:hRule="atLeast"/>
        </w:trPr>
        <w:tc>
          <w:tcPr>
            <w:tcW w:w="6900" w:type="dxa"/>
          </w:tcPr>
          <w:p>
            <w:pPr>
              <w:pStyle w:val="TableParagraph"/>
              <w:spacing w:line="241" w:lineRule="exact"/>
              <w:ind w:left="746"/>
              <w:rPr>
                <w:sz w:val="21"/>
              </w:rPr>
            </w:pPr>
            <w:r>
              <w:rPr>
                <w:rFonts w:ascii="Courier New"/>
                <w:b/>
                <w:color w:val="2F2D2D"/>
                <w:w w:val="95"/>
                <w:sz w:val="23"/>
              </w:rPr>
              <w:t>7.2.8</w:t>
            </w:r>
            <w:r>
              <w:rPr>
                <w:rFonts w:ascii="Courier New"/>
                <w:b/>
                <w:color w:val="2F2D2D"/>
                <w:spacing w:val="43"/>
                <w:w w:val="95"/>
                <w:sz w:val="23"/>
              </w:rPr>
              <w:t> </w:t>
            </w:r>
            <w:r>
              <w:rPr>
                <w:color w:val="423F41"/>
                <w:w w:val="95"/>
                <w:sz w:val="21"/>
              </w:rPr>
              <w:t>Create</w:t>
            </w:r>
            <w:r>
              <w:rPr>
                <w:color w:val="423F41"/>
                <w:spacing w:val="-7"/>
                <w:w w:val="95"/>
                <w:sz w:val="21"/>
              </w:rPr>
              <w:t> </w:t>
            </w:r>
            <w:r>
              <w:rPr>
                <w:color w:val="2F2D2D"/>
                <w:w w:val="95"/>
                <w:sz w:val="21"/>
              </w:rPr>
              <w:t>a</w:t>
            </w:r>
            <w:r>
              <w:rPr>
                <w:color w:val="2F2D2D"/>
                <w:spacing w:val="9"/>
                <w:w w:val="95"/>
                <w:sz w:val="21"/>
              </w:rPr>
              <w:t> </w:t>
            </w:r>
            <w:r>
              <w:rPr>
                <w:color w:val="423F41"/>
                <w:w w:val="95"/>
                <w:sz w:val="21"/>
              </w:rPr>
              <w:t>Separate</w:t>
            </w:r>
            <w:r>
              <w:rPr>
                <w:color w:val="423F41"/>
                <w:spacing w:val="12"/>
                <w:w w:val="95"/>
                <w:sz w:val="21"/>
              </w:rPr>
              <w:t> </w:t>
            </w:r>
            <w:r>
              <w:rPr>
                <w:color w:val="2F2D2D"/>
                <w:w w:val="95"/>
                <w:sz w:val="21"/>
              </w:rPr>
              <w:t>Focus</w:t>
            </w:r>
            <w:r>
              <w:rPr>
                <w:color w:val="2F2D2D"/>
                <w:spacing w:val="-6"/>
                <w:w w:val="95"/>
                <w:sz w:val="21"/>
              </w:rPr>
              <w:t> </w:t>
            </w:r>
            <w:r>
              <w:rPr>
                <w:color w:val="423F41"/>
                <w:w w:val="95"/>
                <w:sz w:val="21"/>
              </w:rPr>
              <w:t>List</w:t>
            </w:r>
          </w:p>
        </w:tc>
        <w:tc>
          <w:tcPr>
            <w:tcW w:w="997" w:type="dxa"/>
          </w:tcPr>
          <w:p>
            <w:pPr>
              <w:pStyle w:val="TableParagraph"/>
              <w:spacing w:line="240" w:lineRule="exact"/>
              <w:ind w:left="287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w w:val="105"/>
                <w:sz w:val="23"/>
              </w:rPr>
              <w:t>162</w:t>
            </w:r>
          </w:p>
        </w:tc>
      </w:tr>
      <w:tr>
        <w:trPr>
          <w:trHeight w:val="264" w:hRule="atLeast"/>
        </w:trPr>
        <w:tc>
          <w:tcPr>
            <w:tcW w:w="6900" w:type="dxa"/>
          </w:tcPr>
          <w:p>
            <w:pPr>
              <w:pStyle w:val="TableParagraph"/>
              <w:spacing w:line="245" w:lineRule="exact"/>
              <w:ind w:left="746"/>
              <w:rPr>
                <w:sz w:val="21"/>
              </w:rPr>
            </w:pPr>
            <w:r>
              <w:rPr>
                <w:rFonts w:ascii="Courier New"/>
                <w:b/>
                <w:color w:val="2F2D2D"/>
                <w:sz w:val="23"/>
              </w:rPr>
              <w:t>7.2.9</w:t>
            </w:r>
            <w:r>
              <w:rPr>
                <w:rFonts w:ascii="Courier New"/>
                <w:b/>
                <w:color w:val="2F2D2D"/>
                <w:spacing w:val="24"/>
                <w:sz w:val="23"/>
              </w:rPr>
              <w:t> </w:t>
            </w:r>
            <w:r>
              <w:rPr>
                <w:color w:val="423F41"/>
                <w:sz w:val="21"/>
              </w:rPr>
              <w:t>Write</w:t>
            </w:r>
            <w:r>
              <w:rPr>
                <w:color w:val="423F41"/>
                <w:spacing w:val="-4"/>
                <w:sz w:val="21"/>
              </w:rPr>
              <w:t> </w:t>
            </w:r>
            <w:r>
              <w:rPr>
                <w:color w:val="2F2D2D"/>
                <w:sz w:val="21"/>
              </w:rPr>
              <w:t>a</w:t>
            </w:r>
            <w:r>
              <w:rPr>
                <w:color w:val="2F2D2D"/>
                <w:spacing w:val="-22"/>
                <w:sz w:val="21"/>
              </w:rPr>
              <w:t> </w:t>
            </w:r>
            <w:r>
              <w:rPr>
                <w:color w:val="2F2D2D"/>
                <w:sz w:val="21"/>
              </w:rPr>
              <w:t>Final</w:t>
            </w:r>
            <w:r>
              <w:rPr>
                <w:color w:val="2F2D2D"/>
                <w:spacing w:val="-5"/>
                <w:sz w:val="21"/>
              </w:rPr>
              <w:t> </w:t>
            </w:r>
            <w:r>
              <w:rPr>
                <w:color w:val="423F41"/>
                <w:sz w:val="21"/>
              </w:rPr>
              <w:t>Comment</w:t>
            </w:r>
          </w:p>
        </w:tc>
        <w:tc>
          <w:tcPr>
            <w:tcW w:w="997" w:type="dxa"/>
          </w:tcPr>
          <w:p>
            <w:pPr>
              <w:pStyle w:val="TableParagraph"/>
              <w:spacing w:line="235" w:lineRule="exact" w:before="9"/>
              <w:ind w:left="287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w w:val="105"/>
                <w:sz w:val="23"/>
              </w:rPr>
              <w:t>162</w:t>
            </w:r>
          </w:p>
        </w:tc>
      </w:tr>
      <w:tr>
        <w:trPr>
          <w:trHeight w:val="462" w:hRule="atLeast"/>
        </w:trPr>
        <w:tc>
          <w:tcPr>
            <w:tcW w:w="6900" w:type="dxa"/>
          </w:tcPr>
          <w:p>
            <w:pPr>
              <w:pStyle w:val="TableParagraph"/>
              <w:spacing w:line="265" w:lineRule="exact"/>
              <w:ind w:left="61"/>
              <w:rPr>
                <w:sz w:val="21"/>
              </w:rPr>
            </w:pPr>
            <w:r>
              <w:rPr>
                <w:rFonts w:ascii="Courier New"/>
                <w:b/>
                <w:color w:val="2F2D2D"/>
                <w:sz w:val="23"/>
              </w:rPr>
              <w:t>7</w:t>
            </w:r>
            <w:r>
              <w:rPr>
                <w:rFonts w:ascii="Courier New"/>
                <w:b/>
                <w:color w:val="5D5D5D"/>
                <w:sz w:val="23"/>
              </w:rPr>
              <w:t>.</w:t>
            </w:r>
            <w:r>
              <w:rPr>
                <w:rFonts w:ascii="Courier New"/>
                <w:b/>
                <w:color w:val="2F2D2D"/>
                <w:sz w:val="23"/>
              </w:rPr>
              <w:t>3</w:t>
            </w:r>
            <w:r>
              <w:rPr>
                <w:rFonts w:ascii="Courier New"/>
                <w:b/>
                <w:color w:val="2F2D2D"/>
                <w:spacing w:val="169"/>
                <w:sz w:val="23"/>
              </w:rPr>
              <w:t> </w:t>
            </w:r>
            <w:r>
              <w:rPr>
                <w:color w:val="423F41"/>
                <w:position w:val="1"/>
                <w:sz w:val="21"/>
              </w:rPr>
              <w:t>Summary</w:t>
            </w:r>
          </w:p>
        </w:tc>
        <w:tc>
          <w:tcPr>
            <w:tcW w:w="997" w:type="dxa"/>
          </w:tcPr>
          <w:p>
            <w:pPr>
              <w:pStyle w:val="TableParagraph"/>
              <w:spacing w:line="256" w:lineRule="exact"/>
              <w:ind w:left="287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w w:val="110"/>
                <w:sz w:val="23"/>
              </w:rPr>
              <w:t>162</w:t>
            </w:r>
          </w:p>
        </w:tc>
      </w:tr>
      <w:tr>
        <w:trPr>
          <w:trHeight w:val="454" w:hRule="atLeast"/>
        </w:trPr>
        <w:tc>
          <w:tcPr>
            <w:tcW w:w="6900" w:type="dxa"/>
          </w:tcPr>
          <w:p>
            <w:pPr>
              <w:pStyle w:val="TableParagraph"/>
              <w:spacing w:before="191"/>
              <w:ind w:left="59"/>
              <w:rPr>
                <w:b/>
                <w:sz w:val="20"/>
              </w:rPr>
            </w:pPr>
            <w:r>
              <w:rPr>
                <w:b/>
                <w:color w:val="2F2D2D"/>
                <w:w w:val="95"/>
                <w:sz w:val="20"/>
              </w:rPr>
              <w:t>CHAPTER</w:t>
            </w:r>
            <w:r>
              <w:rPr>
                <w:b/>
                <w:color w:val="2F2D2D"/>
                <w:spacing w:val="1"/>
                <w:w w:val="95"/>
                <w:sz w:val="20"/>
              </w:rPr>
              <w:t> </w:t>
            </w:r>
            <w:r>
              <w:rPr>
                <w:b/>
                <w:color w:val="2F2D2D"/>
                <w:w w:val="95"/>
                <w:sz w:val="20"/>
              </w:rPr>
              <w:t>EIGHT</w:t>
            </w:r>
          </w:p>
        </w:tc>
        <w:tc>
          <w:tcPr>
            <w:tcW w:w="99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8" w:hRule="atLeast"/>
        </w:trPr>
        <w:tc>
          <w:tcPr>
            <w:tcW w:w="6900" w:type="dxa"/>
          </w:tcPr>
          <w:p>
            <w:pPr>
              <w:pStyle w:val="TableParagraph"/>
              <w:spacing w:before="26"/>
              <w:ind w:left="79"/>
              <w:rPr>
                <w:sz w:val="23"/>
              </w:rPr>
            </w:pPr>
            <w:r>
              <w:rPr>
                <w:color w:val="6B6D6E"/>
                <w:w w:val="105"/>
                <w:sz w:val="24"/>
              </w:rPr>
              <w:t>PROFESSIONALISM</w:t>
            </w:r>
            <w:r>
              <w:rPr>
                <w:color w:val="423F41"/>
                <w:w w:val="105"/>
                <w:sz w:val="24"/>
              </w:rPr>
              <w:t>:</w:t>
            </w:r>
            <w:r>
              <w:rPr>
                <w:color w:val="423F41"/>
                <w:spacing w:val="38"/>
                <w:w w:val="105"/>
                <w:sz w:val="24"/>
              </w:rPr>
              <w:t> </w:t>
            </w:r>
            <w:r>
              <w:rPr>
                <w:color w:val="6B6D6E"/>
                <w:w w:val="105"/>
                <w:sz w:val="24"/>
              </w:rPr>
              <w:t>FOLLOWING</w:t>
            </w:r>
            <w:r>
              <w:rPr>
                <w:color w:val="6B6D6E"/>
                <w:spacing w:val="44"/>
                <w:w w:val="105"/>
                <w:sz w:val="24"/>
              </w:rPr>
              <w:t> </w:t>
            </w:r>
            <w:r>
              <w:rPr>
                <w:color w:val="5D5D5D"/>
                <w:w w:val="105"/>
                <w:sz w:val="24"/>
              </w:rPr>
              <w:t>FORMA</w:t>
            </w:r>
            <w:r>
              <w:rPr>
                <w:color w:val="423F41"/>
                <w:w w:val="105"/>
                <w:sz w:val="24"/>
              </w:rPr>
              <w:t>T</w:t>
            </w:r>
            <w:r>
              <w:rPr>
                <w:color w:val="423F41"/>
                <w:spacing w:val="49"/>
                <w:w w:val="105"/>
                <w:sz w:val="24"/>
              </w:rPr>
              <w:t> </w:t>
            </w:r>
            <w:r>
              <w:rPr>
                <w:color w:val="7E7E82"/>
                <w:w w:val="105"/>
                <w:sz w:val="23"/>
              </w:rPr>
              <w:t>R</w:t>
            </w:r>
            <w:r>
              <w:rPr>
                <w:color w:val="5D5D5D"/>
                <w:w w:val="105"/>
                <w:sz w:val="23"/>
              </w:rPr>
              <w:t>UL</w:t>
            </w:r>
            <w:r>
              <w:rPr>
                <w:color w:val="7E7E82"/>
                <w:w w:val="105"/>
                <w:sz w:val="23"/>
              </w:rPr>
              <w:t>E</w:t>
            </w:r>
            <w:r>
              <w:rPr>
                <w:color w:val="5D5D5D"/>
                <w:w w:val="105"/>
                <w:sz w:val="23"/>
              </w:rPr>
              <w:t>S</w:t>
            </w:r>
          </w:p>
        </w:tc>
        <w:tc>
          <w:tcPr>
            <w:tcW w:w="997" w:type="dxa"/>
          </w:tcPr>
          <w:p>
            <w:pPr>
              <w:pStyle w:val="TableParagraph"/>
              <w:spacing w:before="50"/>
              <w:ind w:left="316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sz w:val="23"/>
              </w:rPr>
              <w:t>16S</w:t>
            </w:r>
          </w:p>
        </w:tc>
      </w:tr>
      <w:tr>
        <w:trPr>
          <w:trHeight w:val="317" w:hRule="atLeast"/>
        </w:trPr>
        <w:tc>
          <w:tcPr>
            <w:tcW w:w="6900" w:type="dxa"/>
          </w:tcPr>
          <w:p>
            <w:pPr>
              <w:pStyle w:val="TableParagraph"/>
              <w:tabs>
                <w:tab w:pos="757" w:val="left" w:leader="none"/>
              </w:tabs>
              <w:spacing w:line="246" w:lineRule="exact" w:before="52"/>
              <w:ind w:left="50"/>
              <w:rPr>
                <w:sz w:val="21"/>
              </w:rPr>
            </w:pPr>
            <w:r>
              <w:rPr>
                <w:rFonts w:ascii="Courier New"/>
                <w:b/>
                <w:color w:val="2F2D2D"/>
                <w:sz w:val="23"/>
              </w:rPr>
              <w:t>8.1</w:t>
              <w:tab/>
            </w:r>
            <w:r>
              <w:rPr>
                <w:color w:val="423F41"/>
                <w:sz w:val="21"/>
              </w:rPr>
              <w:t>Length</w:t>
            </w:r>
            <w:r>
              <w:rPr>
                <w:color w:val="423F41"/>
                <w:spacing w:val="-3"/>
                <w:sz w:val="21"/>
              </w:rPr>
              <w:t> </w:t>
            </w:r>
            <w:r>
              <w:rPr>
                <w:color w:val="2F2D2D"/>
                <w:sz w:val="21"/>
              </w:rPr>
              <w:t>Requirements</w:t>
            </w:r>
          </w:p>
        </w:tc>
        <w:tc>
          <w:tcPr>
            <w:tcW w:w="997" w:type="dxa"/>
          </w:tcPr>
          <w:p>
            <w:pPr>
              <w:pStyle w:val="TableParagraph"/>
              <w:spacing w:line="240" w:lineRule="exact" w:before="57"/>
              <w:ind w:left="306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w w:val="110"/>
                <w:sz w:val="23"/>
              </w:rPr>
              <w:t>167</w:t>
            </w:r>
          </w:p>
        </w:tc>
      </w:tr>
      <w:tr>
        <w:trPr>
          <w:trHeight w:val="260" w:hRule="atLeast"/>
        </w:trPr>
        <w:tc>
          <w:tcPr>
            <w:tcW w:w="6900" w:type="dxa"/>
          </w:tcPr>
          <w:p>
            <w:pPr>
              <w:pStyle w:val="TableParagraph"/>
              <w:spacing w:line="240" w:lineRule="exact"/>
              <w:ind w:left="50"/>
              <w:rPr>
                <w:sz w:val="21"/>
              </w:rPr>
            </w:pPr>
            <w:r>
              <w:rPr>
                <w:rFonts w:ascii="Courier New"/>
                <w:b/>
                <w:color w:val="2F2D2D"/>
                <w:sz w:val="23"/>
              </w:rPr>
              <w:t>8</w:t>
            </w:r>
            <w:r>
              <w:rPr>
                <w:rFonts w:ascii="Courier New"/>
                <w:b/>
                <w:color w:val="5D5D5D"/>
                <w:sz w:val="23"/>
              </w:rPr>
              <w:t>.</w:t>
            </w:r>
            <w:r>
              <w:rPr>
                <w:rFonts w:ascii="Courier New"/>
                <w:b/>
                <w:color w:val="2F2D2D"/>
                <w:sz w:val="23"/>
              </w:rPr>
              <w:t>2</w:t>
            </w:r>
            <w:r>
              <w:rPr>
                <w:rFonts w:ascii="Courier New"/>
                <w:b/>
                <w:color w:val="2F2D2D"/>
                <w:spacing w:val="198"/>
                <w:sz w:val="23"/>
              </w:rPr>
              <w:t> </w:t>
            </w:r>
            <w:r>
              <w:rPr>
                <w:color w:val="2F2D2D"/>
                <w:sz w:val="21"/>
              </w:rPr>
              <w:t>Typefaces</w:t>
            </w:r>
            <w:r>
              <w:rPr>
                <w:color w:val="2F2D2D"/>
                <w:spacing w:val="9"/>
                <w:sz w:val="21"/>
              </w:rPr>
              <w:t> </w:t>
            </w:r>
            <w:r>
              <w:rPr>
                <w:color w:val="423F41"/>
                <w:sz w:val="21"/>
              </w:rPr>
              <w:t>and</w:t>
            </w:r>
            <w:r>
              <w:rPr>
                <w:color w:val="423F41"/>
                <w:spacing w:val="-7"/>
                <w:sz w:val="21"/>
              </w:rPr>
              <w:t> </w:t>
            </w:r>
            <w:r>
              <w:rPr>
                <w:color w:val="423F41"/>
                <w:sz w:val="21"/>
              </w:rPr>
              <w:t>Margins</w:t>
            </w:r>
          </w:p>
        </w:tc>
        <w:tc>
          <w:tcPr>
            <w:tcW w:w="997" w:type="dxa"/>
          </w:tcPr>
          <w:p>
            <w:pPr>
              <w:pStyle w:val="TableParagraph"/>
              <w:spacing w:line="240" w:lineRule="exact"/>
              <w:ind w:left="316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w w:val="110"/>
                <w:sz w:val="23"/>
              </w:rPr>
              <w:t>168</w:t>
            </w:r>
          </w:p>
        </w:tc>
      </w:tr>
      <w:tr>
        <w:trPr>
          <w:trHeight w:val="260" w:hRule="atLeast"/>
        </w:trPr>
        <w:tc>
          <w:tcPr>
            <w:tcW w:w="6900" w:type="dxa"/>
          </w:tcPr>
          <w:p>
            <w:pPr>
              <w:pStyle w:val="TableParagraph"/>
              <w:spacing w:line="240" w:lineRule="exact"/>
              <w:ind w:left="50"/>
              <w:rPr>
                <w:sz w:val="21"/>
              </w:rPr>
            </w:pPr>
            <w:r>
              <w:rPr>
                <w:rFonts w:ascii="Courier New"/>
                <w:b/>
                <w:color w:val="2F2D2D"/>
                <w:sz w:val="23"/>
              </w:rPr>
              <w:t>8.3</w:t>
            </w:r>
            <w:r>
              <w:rPr>
                <w:rFonts w:ascii="Courier New"/>
                <w:b/>
                <w:color w:val="2F2D2D"/>
                <w:spacing w:val="240"/>
                <w:sz w:val="23"/>
              </w:rPr>
              <w:t> </w:t>
            </w:r>
            <w:r>
              <w:rPr>
                <w:color w:val="2F2D2D"/>
                <w:sz w:val="21"/>
              </w:rPr>
              <w:t>Filing</w:t>
            </w:r>
            <w:r>
              <w:rPr>
                <w:color w:val="2F2D2D"/>
                <w:spacing w:val="-6"/>
                <w:sz w:val="21"/>
              </w:rPr>
              <w:t> </w:t>
            </w:r>
            <w:r>
              <w:rPr>
                <w:color w:val="423F41"/>
                <w:sz w:val="21"/>
              </w:rPr>
              <w:t>Requirements</w:t>
            </w:r>
            <w:r>
              <w:rPr>
                <w:color w:val="423F41"/>
                <w:spacing w:val="24"/>
                <w:sz w:val="21"/>
              </w:rPr>
              <w:t> </w:t>
            </w:r>
            <w:r>
              <w:rPr>
                <w:color w:val="423F41"/>
                <w:sz w:val="21"/>
              </w:rPr>
              <w:t>and</w:t>
            </w:r>
            <w:r>
              <w:rPr>
                <w:color w:val="423F41"/>
                <w:spacing w:val="45"/>
                <w:sz w:val="21"/>
              </w:rPr>
              <w:t> </w:t>
            </w:r>
            <w:r>
              <w:rPr>
                <w:color w:val="2F2D2D"/>
                <w:sz w:val="21"/>
              </w:rPr>
              <w:t>Number</w:t>
            </w:r>
            <w:r>
              <w:rPr>
                <w:color w:val="2F2D2D"/>
                <w:spacing w:val="3"/>
                <w:sz w:val="21"/>
              </w:rPr>
              <w:t> </w:t>
            </w:r>
            <w:r>
              <w:rPr>
                <w:color w:val="423F41"/>
                <w:sz w:val="21"/>
              </w:rPr>
              <w:t>of</w:t>
            </w:r>
            <w:r>
              <w:rPr>
                <w:color w:val="423F41"/>
                <w:spacing w:val="1"/>
                <w:sz w:val="21"/>
              </w:rPr>
              <w:t> </w:t>
            </w:r>
            <w:r>
              <w:rPr>
                <w:color w:val="423F41"/>
                <w:sz w:val="21"/>
              </w:rPr>
              <w:t>Copies</w:t>
            </w:r>
          </w:p>
        </w:tc>
        <w:tc>
          <w:tcPr>
            <w:tcW w:w="997" w:type="dxa"/>
          </w:tcPr>
          <w:p>
            <w:pPr>
              <w:pStyle w:val="TableParagraph"/>
              <w:spacing w:line="240" w:lineRule="exact"/>
              <w:ind w:left="326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w w:val="105"/>
                <w:sz w:val="23"/>
              </w:rPr>
              <w:t>168</w:t>
            </w:r>
          </w:p>
        </w:tc>
      </w:tr>
      <w:tr>
        <w:trPr>
          <w:trHeight w:val="510" w:hRule="atLeast"/>
        </w:trPr>
        <w:tc>
          <w:tcPr>
            <w:tcW w:w="6900" w:type="dxa"/>
          </w:tcPr>
          <w:p>
            <w:pPr>
              <w:pStyle w:val="TableParagraph"/>
              <w:spacing w:line="257" w:lineRule="exact"/>
              <w:ind w:left="50"/>
              <w:rPr>
                <w:sz w:val="21"/>
              </w:rPr>
            </w:pPr>
            <w:r>
              <w:rPr>
                <w:rFonts w:ascii="Courier New"/>
                <w:b/>
                <w:color w:val="2F2D2D"/>
                <w:sz w:val="23"/>
              </w:rPr>
              <w:t>8.4</w:t>
            </w:r>
            <w:r>
              <w:rPr>
                <w:rFonts w:ascii="Courier New"/>
                <w:b/>
                <w:color w:val="2F2D2D"/>
                <w:spacing w:val="236"/>
                <w:sz w:val="23"/>
              </w:rPr>
              <w:t> </w:t>
            </w:r>
            <w:r>
              <w:rPr>
                <w:color w:val="2F2D2D"/>
                <w:sz w:val="21"/>
              </w:rPr>
              <w:t>Document</w:t>
            </w:r>
            <w:r>
              <w:rPr>
                <w:color w:val="2F2D2D"/>
                <w:spacing w:val="13"/>
                <w:sz w:val="21"/>
              </w:rPr>
              <w:t> </w:t>
            </w:r>
            <w:r>
              <w:rPr>
                <w:color w:val="2F2D2D"/>
                <w:sz w:val="21"/>
              </w:rPr>
              <w:t>Format Requirements</w:t>
            </w:r>
            <w:r>
              <w:rPr>
                <w:color w:val="2F2D2D"/>
                <w:spacing w:val="7"/>
                <w:sz w:val="21"/>
              </w:rPr>
              <w:t> </w:t>
            </w:r>
            <w:r>
              <w:rPr>
                <w:color w:val="423F41"/>
                <w:sz w:val="21"/>
              </w:rPr>
              <w:t>and</w:t>
            </w:r>
            <w:r>
              <w:rPr>
                <w:color w:val="423F41"/>
                <w:spacing w:val="36"/>
                <w:sz w:val="21"/>
              </w:rPr>
              <w:t> </w:t>
            </w:r>
            <w:r>
              <w:rPr>
                <w:color w:val="423F41"/>
                <w:sz w:val="21"/>
              </w:rPr>
              <w:t>Service</w:t>
            </w:r>
            <w:r>
              <w:rPr>
                <w:color w:val="423F41"/>
                <w:spacing w:val="-2"/>
                <w:sz w:val="21"/>
              </w:rPr>
              <w:t> </w:t>
            </w:r>
            <w:r>
              <w:rPr>
                <w:color w:val="423F41"/>
                <w:sz w:val="21"/>
              </w:rPr>
              <w:t>Requirements</w:t>
            </w:r>
          </w:p>
          <w:p>
            <w:pPr>
              <w:pStyle w:val="TableParagraph"/>
              <w:spacing w:line="233" w:lineRule="exact"/>
              <w:ind w:left="752"/>
              <w:rPr>
                <w:sz w:val="21"/>
              </w:rPr>
            </w:pPr>
            <w:r>
              <w:rPr>
                <w:color w:val="423F41"/>
                <w:w w:val="105"/>
                <w:sz w:val="21"/>
              </w:rPr>
              <w:t>for</w:t>
            </w:r>
            <w:r>
              <w:rPr>
                <w:color w:val="423F41"/>
                <w:spacing w:val="1"/>
                <w:w w:val="105"/>
                <w:sz w:val="21"/>
              </w:rPr>
              <w:t> </w:t>
            </w:r>
            <w:r>
              <w:rPr>
                <w:color w:val="423F41"/>
                <w:w w:val="105"/>
                <w:sz w:val="21"/>
              </w:rPr>
              <w:t>Appellate</w:t>
            </w:r>
            <w:r>
              <w:rPr>
                <w:color w:val="423F41"/>
                <w:spacing w:val="-11"/>
                <w:w w:val="105"/>
                <w:sz w:val="21"/>
              </w:rPr>
              <w:t> </w:t>
            </w:r>
            <w:r>
              <w:rPr>
                <w:color w:val="423F41"/>
                <w:w w:val="105"/>
                <w:sz w:val="21"/>
              </w:rPr>
              <w:t>Briefs</w:t>
            </w:r>
          </w:p>
        </w:tc>
        <w:tc>
          <w:tcPr>
            <w:tcW w:w="997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 w:before="1"/>
              <w:ind w:left="326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w w:val="110"/>
                <w:sz w:val="23"/>
              </w:rPr>
              <w:t>170</w:t>
            </w:r>
          </w:p>
        </w:tc>
      </w:tr>
      <w:tr>
        <w:trPr>
          <w:trHeight w:val="264" w:hRule="atLeast"/>
        </w:trPr>
        <w:tc>
          <w:tcPr>
            <w:tcW w:w="6900" w:type="dxa"/>
          </w:tcPr>
          <w:p>
            <w:pPr>
              <w:pStyle w:val="TableParagraph"/>
              <w:spacing w:line="241" w:lineRule="exact" w:before="4"/>
              <w:ind w:left="734"/>
              <w:rPr>
                <w:sz w:val="21"/>
              </w:rPr>
            </w:pPr>
            <w:r>
              <w:rPr>
                <w:rFonts w:ascii="Courier New"/>
                <w:b/>
                <w:color w:val="2F2D2D"/>
                <w:w w:val="95"/>
                <w:sz w:val="23"/>
              </w:rPr>
              <w:t>8.4.1</w:t>
            </w:r>
            <w:r>
              <w:rPr>
                <w:rFonts w:ascii="Courier New"/>
                <w:b/>
                <w:color w:val="2F2D2D"/>
                <w:spacing w:val="50"/>
                <w:w w:val="95"/>
                <w:sz w:val="23"/>
              </w:rPr>
              <w:t> </w:t>
            </w:r>
            <w:r>
              <w:rPr>
                <w:color w:val="423F41"/>
                <w:w w:val="95"/>
                <w:sz w:val="21"/>
              </w:rPr>
              <w:t>Cover</w:t>
            </w:r>
            <w:r>
              <w:rPr>
                <w:color w:val="423F41"/>
                <w:spacing w:val="-6"/>
                <w:w w:val="95"/>
                <w:sz w:val="21"/>
              </w:rPr>
              <w:t> </w:t>
            </w:r>
            <w:r>
              <w:rPr>
                <w:color w:val="2F2D2D"/>
                <w:w w:val="95"/>
                <w:sz w:val="21"/>
              </w:rPr>
              <w:t>Page</w:t>
            </w:r>
          </w:p>
        </w:tc>
        <w:tc>
          <w:tcPr>
            <w:tcW w:w="997" w:type="dxa"/>
          </w:tcPr>
          <w:p>
            <w:pPr>
              <w:pStyle w:val="TableParagraph"/>
              <w:spacing w:line="245" w:lineRule="exact"/>
              <w:ind w:left="335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w w:val="110"/>
                <w:sz w:val="23"/>
              </w:rPr>
              <w:t>170</w:t>
            </w:r>
          </w:p>
        </w:tc>
      </w:tr>
      <w:tr>
        <w:trPr>
          <w:trHeight w:val="260" w:hRule="atLeast"/>
        </w:trPr>
        <w:tc>
          <w:tcPr>
            <w:tcW w:w="6900" w:type="dxa"/>
          </w:tcPr>
          <w:p>
            <w:pPr>
              <w:pStyle w:val="TableParagraph"/>
              <w:spacing w:line="240" w:lineRule="exact"/>
              <w:ind w:left="734"/>
              <w:rPr>
                <w:sz w:val="21"/>
              </w:rPr>
            </w:pPr>
            <w:r>
              <w:rPr>
                <w:rFonts w:ascii="Courier New"/>
                <w:b/>
                <w:color w:val="2F2D2D"/>
                <w:w w:val="95"/>
                <w:sz w:val="23"/>
              </w:rPr>
              <w:t>8.4.2</w:t>
            </w:r>
            <w:r>
              <w:rPr>
                <w:rFonts w:ascii="Courier New"/>
                <w:b/>
                <w:color w:val="2F2D2D"/>
                <w:spacing w:val="-19"/>
                <w:w w:val="95"/>
                <w:sz w:val="23"/>
              </w:rPr>
              <w:t> </w:t>
            </w:r>
            <w:r>
              <w:rPr>
                <w:color w:val="2F2D2D"/>
                <w:w w:val="95"/>
                <w:sz w:val="21"/>
              </w:rPr>
              <w:t>Issue</w:t>
            </w:r>
          </w:p>
        </w:tc>
        <w:tc>
          <w:tcPr>
            <w:tcW w:w="997" w:type="dxa"/>
          </w:tcPr>
          <w:p>
            <w:pPr>
              <w:pStyle w:val="TableParagraph"/>
              <w:spacing w:line="240" w:lineRule="exact"/>
              <w:ind w:left="335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sz w:val="23"/>
              </w:rPr>
              <w:t>171</w:t>
            </w:r>
          </w:p>
        </w:tc>
      </w:tr>
      <w:tr>
        <w:trPr>
          <w:trHeight w:val="250" w:hRule="atLeast"/>
        </w:trPr>
        <w:tc>
          <w:tcPr>
            <w:tcW w:w="6900" w:type="dxa"/>
          </w:tcPr>
          <w:p>
            <w:pPr>
              <w:pStyle w:val="TableParagraph"/>
              <w:spacing w:line="230" w:lineRule="exact"/>
              <w:ind w:left="734"/>
              <w:rPr>
                <w:sz w:val="21"/>
              </w:rPr>
            </w:pPr>
            <w:r>
              <w:rPr>
                <w:rFonts w:ascii="Courier New"/>
                <w:b/>
                <w:color w:val="2F2D2D"/>
                <w:sz w:val="23"/>
              </w:rPr>
              <w:t>8</w:t>
            </w:r>
            <w:r>
              <w:rPr>
                <w:rFonts w:ascii="Courier New"/>
                <w:b/>
                <w:color w:val="5D5D5D"/>
                <w:sz w:val="23"/>
              </w:rPr>
              <w:t>.</w:t>
            </w:r>
            <w:r>
              <w:rPr>
                <w:rFonts w:ascii="Courier New"/>
                <w:b/>
                <w:color w:val="2F2D2D"/>
                <w:sz w:val="23"/>
              </w:rPr>
              <w:t>4.3</w:t>
            </w:r>
            <w:r>
              <w:rPr>
                <w:rFonts w:ascii="Courier New"/>
                <w:b/>
                <w:color w:val="2F2D2D"/>
                <w:spacing w:val="-6"/>
                <w:sz w:val="23"/>
              </w:rPr>
              <w:t> </w:t>
            </w:r>
            <w:r>
              <w:rPr>
                <w:color w:val="2F2D2D"/>
                <w:sz w:val="21"/>
              </w:rPr>
              <w:t>Parties</w:t>
            </w:r>
            <w:r>
              <w:rPr>
                <w:color w:val="2F2D2D"/>
                <w:spacing w:val="-10"/>
                <w:sz w:val="21"/>
              </w:rPr>
              <w:t> </w:t>
            </w:r>
            <w:r>
              <w:rPr>
                <w:color w:val="423F41"/>
                <w:sz w:val="21"/>
              </w:rPr>
              <w:t>to</w:t>
            </w:r>
            <w:r>
              <w:rPr>
                <w:color w:val="423F41"/>
                <w:spacing w:val="20"/>
                <w:sz w:val="21"/>
              </w:rPr>
              <w:t> </w:t>
            </w:r>
            <w:r>
              <w:rPr>
                <w:color w:val="2F2D2D"/>
                <w:sz w:val="21"/>
              </w:rPr>
              <w:t>the</w:t>
            </w:r>
            <w:r>
              <w:rPr>
                <w:color w:val="2F2D2D"/>
                <w:spacing w:val="19"/>
                <w:sz w:val="21"/>
              </w:rPr>
              <w:t> </w:t>
            </w:r>
            <w:r>
              <w:rPr>
                <w:color w:val="423F41"/>
                <w:sz w:val="21"/>
              </w:rPr>
              <w:t>Proceeding</w:t>
            </w:r>
          </w:p>
        </w:tc>
        <w:tc>
          <w:tcPr>
            <w:tcW w:w="997" w:type="dxa"/>
          </w:tcPr>
          <w:p>
            <w:pPr>
              <w:pStyle w:val="TableParagraph"/>
              <w:spacing w:line="230" w:lineRule="exact"/>
              <w:ind w:left="345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sz w:val="23"/>
              </w:rPr>
              <w:t>171</w:t>
            </w:r>
          </w:p>
        </w:tc>
      </w:tr>
      <w:tr>
        <w:trPr>
          <w:trHeight w:val="260" w:hRule="atLeast"/>
        </w:trPr>
        <w:tc>
          <w:tcPr>
            <w:tcW w:w="6900" w:type="dxa"/>
          </w:tcPr>
          <w:p>
            <w:pPr>
              <w:pStyle w:val="TableParagraph"/>
              <w:spacing w:line="240" w:lineRule="exact"/>
              <w:ind w:left="734"/>
              <w:rPr>
                <w:sz w:val="21"/>
              </w:rPr>
            </w:pPr>
            <w:r>
              <w:rPr>
                <w:rFonts w:ascii="Courier New"/>
                <w:b/>
                <w:color w:val="2F2D2D"/>
                <w:w w:val="95"/>
                <w:sz w:val="23"/>
              </w:rPr>
              <w:t>8.4</w:t>
            </w:r>
            <w:r>
              <w:rPr>
                <w:rFonts w:ascii="Courier New"/>
                <w:b/>
                <w:color w:val="5D5D5D"/>
                <w:w w:val="95"/>
                <w:sz w:val="23"/>
              </w:rPr>
              <w:t>.</w:t>
            </w:r>
            <w:r>
              <w:rPr>
                <w:rFonts w:ascii="Courier New"/>
                <w:b/>
                <w:color w:val="2F2D2D"/>
                <w:w w:val="95"/>
                <w:sz w:val="23"/>
              </w:rPr>
              <w:t>4</w:t>
            </w:r>
            <w:r>
              <w:rPr>
                <w:rFonts w:ascii="Courier New"/>
                <w:b/>
                <w:color w:val="2F2D2D"/>
                <w:spacing w:val="76"/>
                <w:w w:val="95"/>
                <w:sz w:val="23"/>
              </w:rPr>
              <w:t> </w:t>
            </w:r>
            <w:r>
              <w:rPr>
                <w:color w:val="2F2D2D"/>
                <w:w w:val="95"/>
                <w:sz w:val="21"/>
              </w:rPr>
              <w:t>Table</w:t>
            </w:r>
            <w:r>
              <w:rPr>
                <w:color w:val="2F2D2D"/>
                <w:spacing w:val="-5"/>
                <w:w w:val="95"/>
                <w:sz w:val="21"/>
              </w:rPr>
              <w:t> </w:t>
            </w:r>
            <w:r>
              <w:rPr>
                <w:color w:val="423F41"/>
                <w:w w:val="95"/>
                <w:sz w:val="21"/>
              </w:rPr>
              <w:t>of</w:t>
            </w:r>
            <w:r>
              <w:rPr>
                <w:color w:val="423F41"/>
                <w:spacing w:val="33"/>
                <w:w w:val="95"/>
                <w:sz w:val="21"/>
              </w:rPr>
              <w:t> </w:t>
            </w:r>
            <w:r>
              <w:rPr>
                <w:color w:val="423F41"/>
                <w:w w:val="95"/>
                <w:sz w:val="21"/>
              </w:rPr>
              <w:t>Contents</w:t>
            </w:r>
          </w:p>
        </w:tc>
        <w:tc>
          <w:tcPr>
            <w:tcW w:w="997" w:type="dxa"/>
          </w:tcPr>
          <w:p>
            <w:pPr>
              <w:pStyle w:val="TableParagraph"/>
              <w:spacing w:line="240" w:lineRule="exact"/>
              <w:ind w:left="345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w w:val="110"/>
                <w:sz w:val="23"/>
              </w:rPr>
              <w:t>172</w:t>
            </w:r>
          </w:p>
        </w:tc>
      </w:tr>
      <w:tr>
        <w:trPr>
          <w:trHeight w:val="260" w:hRule="atLeast"/>
        </w:trPr>
        <w:tc>
          <w:tcPr>
            <w:tcW w:w="6900" w:type="dxa"/>
          </w:tcPr>
          <w:p>
            <w:pPr>
              <w:pStyle w:val="TableParagraph"/>
              <w:spacing w:line="240" w:lineRule="exact"/>
              <w:ind w:left="734"/>
              <w:rPr>
                <w:sz w:val="21"/>
              </w:rPr>
            </w:pPr>
            <w:r>
              <w:rPr>
                <w:rFonts w:ascii="Courier New"/>
                <w:b/>
                <w:color w:val="2F2D2D"/>
                <w:sz w:val="23"/>
              </w:rPr>
              <w:t>8</w:t>
            </w:r>
            <w:r>
              <w:rPr>
                <w:rFonts w:ascii="Courier New"/>
                <w:b/>
                <w:color w:val="5D5D5D"/>
                <w:sz w:val="23"/>
              </w:rPr>
              <w:t>.</w:t>
            </w:r>
            <w:r>
              <w:rPr>
                <w:rFonts w:ascii="Courier New"/>
                <w:b/>
                <w:color w:val="2F2D2D"/>
                <w:sz w:val="23"/>
              </w:rPr>
              <w:t>4.5</w:t>
            </w:r>
            <w:r>
              <w:rPr>
                <w:rFonts w:ascii="Courier New"/>
                <w:b/>
                <w:color w:val="2F2D2D"/>
                <w:spacing w:val="5"/>
                <w:sz w:val="23"/>
              </w:rPr>
              <w:t> </w:t>
            </w:r>
            <w:r>
              <w:rPr>
                <w:color w:val="2F2D2D"/>
                <w:sz w:val="21"/>
              </w:rPr>
              <w:t>Table</w:t>
            </w:r>
            <w:r>
              <w:rPr>
                <w:color w:val="2F2D2D"/>
                <w:spacing w:val="-13"/>
                <w:sz w:val="21"/>
              </w:rPr>
              <w:t> </w:t>
            </w:r>
            <w:r>
              <w:rPr>
                <w:color w:val="423F41"/>
                <w:sz w:val="21"/>
              </w:rPr>
              <w:t>of</w:t>
            </w:r>
            <w:r>
              <w:rPr>
                <w:color w:val="423F41"/>
                <w:spacing w:val="10"/>
                <w:sz w:val="21"/>
              </w:rPr>
              <w:t> </w:t>
            </w:r>
            <w:r>
              <w:rPr>
                <w:color w:val="423F41"/>
                <w:sz w:val="21"/>
              </w:rPr>
              <w:t>Authorities</w:t>
            </w:r>
          </w:p>
        </w:tc>
        <w:tc>
          <w:tcPr>
            <w:tcW w:w="997" w:type="dxa"/>
          </w:tcPr>
          <w:p>
            <w:pPr>
              <w:pStyle w:val="TableParagraph"/>
              <w:spacing w:line="240" w:lineRule="exact"/>
              <w:ind w:left="345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w w:val="105"/>
                <w:sz w:val="23"/>
              </w:rPr>
              <w:t>172</w:t>
            </w:r>
          </w:p>
        </w:tc>
      </w:tr>
      <w:tr>
        <w:trPr>
          <w:trHeight w:val="255" w:hRule="atLeast"/>
        </w:trPr>
        <w:tc>
          <w:tcPr>
            <w:tcW w:w="6900" w:type="dxa"/>
          </w:tcPr>
          <w:p>
            <w:pPr>
              <w:pStyle w:val="TableParagraph"/>
              <w:spacing w:line="235" w:lineRule="exact"/>
              <w:ind w:left="744"/>
              <w:rPr>
                <w:sz w:val="21"/>
              </w:rPr>
            </w:pPr>
            <w:r>
              <w:rPr>
                <w:rFonts w:ascii="Courier New"/>
                <w:b/>
                <w:color w:val="2F2D2D"/>
                <w:sz w:val="23"/>
              </w:rPr>
              <w:t>8.4.6</w:t>
            </w:r>
            <w:r>
              <w:rPr>
                <w:rFonts w:ascii="Courier New"/>
                <w:b/>
                <w:color w:val="2F2D2D"/>
                <w:spacing w:val="14"/>
                <w:sz w:val="23"/>
              </w:rPr>
              <w:t> </w:t>
            </w:r>
            <w:r>
              <w:rPr>
                <w:color w:val="423F41"/>
                <w:sz w:val="21"/>
              </w:rPr>
              <w:t>Opinions</w:t>
            </w:r>
            <w:r>
              <w:rPr>
                <w:color w:val="423F41"/>
                <w:spacing w:val="-5"/>
                <w:sz w:val="21"/>
              </w:rPr>
              <w:t> </w:t>
            </w:r>
            <w:r>
              <w:rPr>
                <w:color w:val="423F41"/>
                <w:sz w:val="21"/>
              </w:rPr>
              <w:t>Below</w:t>
            </w:r>
          </w:p>
        </w:tc>
        <w:tc>
          <w:tcPr>
            <w:tcW w:w="997" w:type="dxa"/>
          </w:tcPr>
          <w:p>
            <w:pPr>
              <w:pStyle w:val="TableParagraph"/>
              <w:spacing w:line="235" w:lineRule="exact"/>
              <w:ind w:left="355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w w:val="105"/>
                <w:sz w:val="23"/>
              </w:rPr>
              <w:t>172</w:t>
            </w:r>
          </w:p>
        </w:tc>
      </w:tr>
      <w:tr>
        <w:trPr>
          <w:trHeight w:val="255" w:hRule="atLeast"/>
        </w:trPr>
        <w:tc>
          <w:tcPr>
            <w:tcW w:w="6900" w:type="dxa"/>
          </w:tcPr>
          <w:p>
            <w:pPr>
              <w:pStyle w:val="TableParagraph"/>
              <w:spacing w:line="235" w:lineRule="exact"/>
              <w:ind w:left="744"/>
              <w:rPr>
                <w:sz w:val="21"/>
              </w:rPr>
            </w:pPr>
            <w:r>
              <w:rPr>
                <w:rFonts w:ascii="Courier New"/>
                <w:b/>
                <w:color w:val="2F2D2D"/>
                <w:sz w:val="23"/>
              </w:rPr>
              <w:t>8.4.7</w:t>
            </w:r>
            <w:r>
              <w:rPr>
                <w:rFonts w:ascii="Courier New"/>
                <w:b/>
                <w:color w:val="2F2D2D"/>
                <w:spacing w:val="-26"/>
                <w:sz w:val="23"/>
              </w:rPr>
              <w:t> </w:t>
            </w:r>
            <w:r>
              <w:rPr>
                <w:color w:val="2F2D2D"/>
                <w:sz w:val="21"/>
              </w:rPr>
              <w:t>Jurisdiction</w:t>
            </w:r>
          </w:p>
        </w:tc>
        <w:tc>
          <w:tcPr>
            <w:tcW w:w="997" w:type="dxa"/>
          </w:tcPr>
          <w:p>
            <w:pPr>
              <w:pStyle w:val="TableParagraph"/>
              <w:spacing w:line="235" w:lineRule="exact"/>
              <w:ind w:left="355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w w:val="110"/>
                <w:sz w:val="23"/>
              </w:rPr>
              <w:t>173</w:t>
            </w:r>
          </w:p>
        </w:tc>
      </w:tr>
      <w:tr>
        <w:trPr>
          <w:trHeight w:val="260" w:hRule="atLeast"/>
        </w:trPr>
        <w:tc>
          <w:tcPr>
            <w:tcW w:w="6900" w:type="dxa"/>
          </w:tcPr>
          <w:p>
            <w:pPr>
              <w:pStyle w:val="TableParagraph"/>
              <w:spacing w:line="240" w:lineRule="exact"/>
              <w:ind w:left="744"/>
              <w:rPr>
                <w:sz w:val="21"/>
              </w:rPr>
            </w:pPr>
            <w:r>
              <w:rPr>
                <w:rFonts w:ascii="Courier New"/>
                <w:b/>
                <w:color w:val="2F2D2D"/>
                <w:w w:val="95"/>
                <w:sz w:val="23"/>
              </w:rPr>
              <w:t>8</w:t>
            </w:r>
            <w:r>
              <w:rPr>
                <w:rFonts w:ascii="Courier New"/>
                <w:b/>
                <w:color w:val="5D5D5D"/>
                <w:w w:val="95"/>
                <w:sz w:val="23"/>
              </w:rPr>
              <w:t>.</w:t>
            </w:r>
            <w:r>
              <w:rPr>
                <w:rFonts w:ascii="Courier New"/>
                <w:b/>
                <w:color w:val="2F2D2D"/>
                <w:w w:val="95"/>
                <w:sz w:val="23"/>
              </w:rPr>
              <w:t>4.8</w:t>
            </w:r>
            <w:r>
              <w:rPr>
                <w:rFonts w:ascii="Courier New"/>
                <w:b/>
                <w:color w:val="2F2D2D"/>
                <w:spacing w:val="77"/>
                <w:w w:val="95"/>
                <w:sz w:val="23"/>
              </w:rPr>
              <w:t> </w:t>
            </w:r>
            <w:r>
              <w:rPr>
                <w:color w:val="423F41"/>
                <w:w w:val="95"/>
                <w:sz w:val="21"/>
              </w:rPr>
              <w:t>Relevant</w:t>
            </w:r>
            <w:r>
              <w:rPr>
                <w:color w:val="423F41"/>
                <w:spacing w:val="6"/>
                <w:w w:val="95"/>
                <w:sz w:val="21"/>
              </w:rPr>
              <w:t> </w:t>
            </w:r>
            <w:r>
              <w:rPr>
                <w:color w:val="2F2D2D"/>
                <w:w w:val="95"/>
                <w:sz w:val="21"/>
              </w:rPr>
              <w:t>Enacted</w:t>
            </w:r>
            <w:r>
              <w:rPr>
                <w:color w:val="2F2D2D"/>
                <w:spacing w:val="5"/>
                <w:w w:val="95"/>
                <w:sz w:val="21"/>
              </w:rPr>
              <w:t> </w:t>
            </w:r>
            <w:r>
              <w:rPr>
                <w:color w:val="2F2D2D"/>
                <w:w w:val="95"/>
                <w:sz w:val="21"/>
              </w:rPr>
              <w:t>Law</w:t>
            </w:r>
          </w:p>
        </w:tc>
        <w:tc>
          <w:tcPr>
            <w:tcW w:w="997" w:type="dxa"/>
          </w:tcPr>
          <w:p>
            <w:pPr>
              <w:pStyle w:val="TableParagraph"/>
              <w:spacing w:line="240" w:lineRule="exact"/>
              <w:ind w:left="364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w w:val="110"/>
                <w:sz w:val="23"/>
              </w:rPr>
              <w:t>174</w:t>
            </w:r>
          </w:p>
        </w:tc>
      </w:tr>
      <w:tr>
        <w:trPr>
          <w:trHeight w:val="255" w:hRule="atLeast"/>
        </w:trPr>
        <w:tc>
          <w:tcPr>
            <w:tcW w:w="6900" w:type="dxa"/>
          </w:tcPr>
          <w:p>
            <w:pPr>
              <w:pStyle w:val="TableParagraph"/>
              <w:spacing w:line="235" w:lineRule="exact"/>
              <w:ind w:left="744"/>
              <w:rPr>
                <w:sz w:val="21"/>
              </w:rPr>
            </w:pPr>
            <w:r>
              <w:rPr>
                <w:rFonts w:ascii="Courier New"/>
                <w:b/>
                <w:color w:val="2F2D2D"/>
                <w:position w:val="1"/>
                <w:sz w:val="23"/>
              </w:rPr>
              <w:t>8.4</w:t>
            </w:r>
            <w:r>
              <w:rPr>
                <w:rFonts w:ascii="Courier New"/>
                <w:b/>
                <w:color w:val="5D5D5D"/>
                <w:position w:val="1"/>
                <w:sz w:val="23"/>
              </w:rPr>
              <w:t>.</w:t>
            </w:r>
            <w:r>
              <w:rPr>
                <w:rFonts w:ascii="Courier New"/>
                <w:b/>
                <w:color w:val="2F2D2D"/>
                <w:position w:val="1"/>
                <w:sz w:val="23"/>
              </w:rPr>
              <w:t>9</w:t>
            </w:r>
            <w:r>
              <w:rPr>
                <w:rFonts w:ascii="Courier New"/>
                <w:b/>
                <w:color w:val="2F2D2D"/>
                <w:spacing w:val="12"/>
                <w:position w:val="1"/>
                <w:sz w:val="23"/>
              </w:rPr>
              <w:t> </w:t>
            </w:r>
            <w:r>
              <w:rPr>
                <w:color w:val="423F41"/>
                <w:sz w:val="21"/>
              </w:rPr>
              <w:t>Standard</w:t>
            </w:r>
            <w:r>
              <w:rPr>
                <w:color w:val="423F41"/>
                <w:spacing w:val="-13"/>
                <w:sz w:val="21"/>
              </w:rPr>
              <w:t> </w:t>
            </w:r>
            <w:r>
              <w:rPr>
                <w:color w:val="423F41"/>
                <w:sz w:val="21"/>
              </w:rPr>
              <w:t>of</w:t>
            </w:r>
            <w:r>
              <w:rPr>
                <w:color w:val="423F41"/>
                <w:spacing w:val="-6"/>
                <w:sz w:val="21"/>
              </w:rPr>
              <w:t> </w:t>
            </w:r>
            <w:r>
              <w:rPr>
                <w:color w:val="2F2D2D"/>
                <w:sz w:val="21"/>
              </w:rPr>
              <w:t>Review</w:t>
            </w:r>
          </w:p>
        </w:tc>
        <w:tc>
          <w:tcPr>
            <w:tcW w:w="997" w:type="dxa"/>
          </w:tcPr>
          <w:p>
            <w:pPr>
              <w:pStyle w:val="TableParagraph"/>
              <w:spacing w:line="235" w:lineRule="exact"/>
              <w:ind w:left="364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w w:val="110"/>
                <w:sz w:val="23"/>
              </w:rPr>
              <w:t>174</w:t>
            </w:r>
          </w:p>
        </w:tc>
      </w:tr>
      <w:tr>
        <w:trPr>
          <w:trHeight w:val="264" w:hRule="atLeast"/>
        </w:trPr>
        <w:tc>
          <w:tcPr>
            <w:tcW w:w="6900" w:type="dxa"/>
          </w:tcPr>
          <w:p>
            <w:pPr>
              <w:pStyle w:val="TableParagraph"/>
              <w:spacing w:line="241" w:lineRule="exact" w:before="4"/>
              <w:ind w:left="744"/>
              <w:rPr>
                <w:sz w:val="21"/>
              </w:rPr>
            </w:pPr>
            <w:r>
              <w:rPr>
                <w:rFonts w:ascii="Courier New"/>
                <w:b/>
                <w:color w:val="2F2D2D"/>
                <w:spacing w:val="-3"/>
                <w:sz w:val="23"/>
              </w:rPr>
              <w:t>8.4</w:t>
            </w:r>
            <w:r>
              <w:rPr>
                <w:rFonts w:ascii="Courier New"/>
                <w:b/>
                <w:color w:val="5D5D5D"/>
                <w:spacing w:val="-3"/>
                <w:sz w:val="23"/>
              </w:rPr>
              <w:t>.</w:t>
            </w:r>
            <w:r>
              <w:rPr>
                <w:rFonts w:ascii="Courier New"/>
                <w:b/>
                <w:color w:val="2F2D2D"/>
                <w:spacing w:val="-3"/>
                <w:sz w:val="23"/>
              </w:rPr>
              <w:t>1O</w:t>
            </w:r>
            <w:r>
              <w:rPr>
                <w:rFonts w:ascii="Courier New"/>
                <w:b/>
                <w:color w:val="2F2D2D"/>
                <w:spacing w:val="-80"/>
                <w:sz w:val="23"/>
              </w:rPr>
              <w:t> </w:t>
            </w:r>
            <w:r>
              <w:rPr>
                <w:color w:val="423F41"/>
                <w:spacing w:val="-3"/>
                <w:sz w:val="21"/>
              </w:rPr>
              <w:t>Statement of</w:t>
            </w:r>
            <w:r>
              <w:rPr>
                <w:color w:val="423F41"/>
                <w:spacing w:val="10"/>
                <w:sz w:val="21"/>
              </w:rPr>
              <w:t> </w:t>
            </w:r>
            <w:r>
              <w:rPr>
                <w:color w:val="423F41"/>
                <w:spacing w:val="-3"/>
                <w:sz w:val="21"/>
              </w:rPr>
              <w:t>the</w:t>
            </w:r>
            <w:r>
              <w:rPr>
                <w:color w:val="423F41"/>
                <w:spacing w:val="19"/>
                <w:sz w:val="21"/>
              </w:rPr>
              <w:t> </w:t>
            </w:r>
            <w:r>
              <w:rPr>
                <w:color w:val="423F41"/>
                <w:spacing w:val="-2"/>
                <w:sz w:val="21"/>
              </w:rPr>
              <w:t>Case</w:t>
            </w:r>
          </w:p>
        </w:tc>
        <w:tc>
          <w:tcPr>
            <w:tcW w:w="997" w:type="dxa"/>
          </w:tcPr>
          <w:p>
            <w:pPr>
              <w:pStyle w:val="TableParagraph"/>
              <w:spacing w:line="245" w:lineRule="exact"/>
              <w:ind w:left="374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w w:val="105"/>
                <w:sz w:val="23"/>
              </w:rPr>
              <w:t>17S</w:t>
            </w:r>
          </w:p>
        </w:tc>
      </w:tr>
      <w:tr>
        <w:trPr>
          <w:trHeight w:val="260" w:hRule="atLeast"/>
        </w:trPr>
        <w:tc>
          <w:tcPr>
            <w:tcW w:w="6900" w:type="dxa"/>
          </w:tcPr>
          <w:p>
            <w:pPr>
              <w:pStyle w:val="TableParagraph"/>
              <w:spacing w:line="240" w:lineRule="exact"/>
              <w:ind w:left="744"/>
              <w:rPr>
                <w:sz w:val="21"/>
              </w:rPr>
            </w:pPr>
            <w:r>
              <w:rPr>
                <w:rFonts w:ascii="Courier New"/>
                <w:b/>
                <w:color w:val="2F2D2D"/>
                <w:spacing w:val="-1"/>
                <w:sz w:val="23"/>
              </w:rPr>
              <w:t>8.4.11</w:t>
            </w:r>
            <w:r>
              <w:rPr>
                <w:rFonts w:ascii="Courier New"/>
                <w:b/>
                <w:color w:val="2F2D2D"/>
                <w:spacing w:val="-76"/>
                <w:sz w:val="23"/>
              </w:rPr>
              <w:t> </w:t>
            </w:r>
            <w:r>
              <w:rPr>
                <w:color w:val="423F41"/>
                <w:sz w:val="21"/>
              </w:rPr>
              <w:t>Summary</w:t>
            </w:r>
            <w:r>
              <w:rPr>
                <w:color w:val="423F41"/>
                <w:spacing w:val="10"/>
                <w:sz w:val="21"/>
              </w:rPr>
              <w:t> </w:t>
            </w:r>
            <w:r>
              <w:rPr>
                <w:color w:val="423F41"/>
                <w:sz w:val="21"/>
              </w:rPr>
              <w:t>of</w:t>
            </w:r>
            <w:r>
              <w:rPr>
                <w:color w:val="423F41"/>
                <w:spacing w:val="23"/>
                <w:sz w:val="21"/>
              </w:rPr>
              <w:t> </w:t>
            </w:r>
            <w:r>
              <w:rPr>
                <w:color w:val="423F41"/>
                <w:sz w:val="21"/>
              </w:rPr>
              <w:t>the</w:t>
            </w:r>
            <w:r>
              <w:rPr>
                <w:color w:val="423F41"/>
                <w:spacing w:val="17"/>
                <w:sz w:val="21"/>
              </w:rPr>
              <w:t> </w:t>
            </w:r>
            <w:r>
              <w:rPr>
                <w:color w:val="423F41"/>
                <w:sz w:val="21"/>
              </w:rPr>
              <w:t>Argument</w:t>
            </w:r>
          </w:p>
        </w:tc>
        <w:tc>
          <w:tcPr>
            <w:tcW w:w="997" w:type="dxa"/>
          </w:tcPr>
          <w:p>
            <w:pPr>
              <w:pStyle w:val="TableParagraph"/>
              <w:spacing w:line="240" w:lineRule="exact"/>
              <w:ind w:left="374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w w:val="110"/>
                <w:sz w:val="23"/>
              </w:rPr>
              <w:t>175</w:t>
            </w:r>
          </w:p>
        </w:tc>
      </w:tr>
      <w:tr>
        <w:trPr>
          <w:trHeight w:val="250" w:hRule="atLeast"/>
        </w:trPr>
        <w:tc>
          <w:tcPr>
            <w:tcW w:w="6900" w:type="dxa"/>
          </w:tcPr>
          <w:p>
            <w:pPr>
              <w:pStyle w:val="TableParagraph"/>
              <w:spacing w:line="230" w:lineRule="exact"/>
              <w:ind w:left="744"/>
              <w:rPr>
                <w:sz w:val="21"/>
              </w:rPr>
            </w:pPr>
            <w:r>
              <w:rPr>
                <w:rFonts w:ascii="Courier New"/>
                <w:b/>
                <w:color w:val="2F2D2D"/>
                <w:sz w:val="23"/>
              </w:rPr>
              <w:t>8.4.12</w:t>
            </w:r>
            <w:r>
              <w:rPr>
                <w:rFonts w:ascii="Courier New"/>
                <w:b/>
                <w:color w:val="2F2D2D"/>
                <w:spacing w:val="-112"/>
                <w:sz w:val="23"/>
              </w:rPr>
              <w:t> </w:t>
            </w:r>
            <w:r>
              <w:rPr>
                <w:color w:val="2F2D2D"/>
                <w:sz w:val="21"/>
              </w:rPr>
              <w:t>The</w:t>
            </w:r>
            <w:r>
              <w:rPr>
                <w:color w:val="2F2D2D"/>
                <w:spacing w:val="-18"/>
                <w:sz w:val="21"/>
              </w:rPr>
              <w:t> </w:t>
            </w:r>
            <w:r>
              <w:rPr>
                <w:color w:val="423F41"/>
                <w:sz w:val="21"/>
              </w:rPr>
              <w:t>Argument</w:t>
            </w:r>
          </w:p>
        </w:tc>
        <w:tc>
          <w:tcPr>
            <w:tcW w:w="997" w:type="dxa"/>
          </w:tcPr>
          <w:p>
            <w:pPr>
              <w:pStyle w:val="TableParagraph"/>
              <w:spacing w:line="230" w:lineRule="exact"/>
              <w:ind w:left="383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w w:val="110"/>
                <w:sz w:val="23"/>
              </w:rPr>
              <w:t>176</w:t>
            </w:r>
          </w:p>
        </w:tc>
      </w:tr>
      <w:tr>
        <w:trPr>
          <w:trHeight w:val="260" w:hRule="atLeast"/>
        </w:trPr>
        <w:tc>
          <w:tcPr>
            <w:tcW w:w="6900" w:type="dxa"/>
          </w:tcPr>
          <w:p>
            <w:pPr>
              <w:pStyle w:val="TableParagraph"/>
              <w:spacing w:line="240" w:lineRule="exact"/>
              <w:ind w:left="744"/>
              <w:rPr>
                <w:sz w:val="21"/>
              </w:rPr>
            </w:pPr>
            <w:r>
              <w:rPr>
                <w:rFonts w:ascii="Courier New"/>
                <w:b/>
                <w:color w:val="2F2D2D"/>
                <w:w w:val="95"/>
                <w:sz w:val="23"/>
              </w:rPr>
              <w:t>8.4.13</w:t>
            </w:r>
            <w:r>
              <w:rPr>
                <w:rFonts w:ascii="Courier New"/>
                <w:b/>
                <w:color w:val="2F2D2D"/>
                <w:spacing w:val="-93"/>
                <w:w w:val="95"/>
                <w:sz w:val="23"/>
              </w:rPr>
              <w:t> </w:t>
            </w:r>
            <w:r>
              <w:rPr>
                <w:color w:val="2F2D2D"/>
                <w:w w:val="95"/>
                <w:sz w:val="21"/>
              </w:rPr>
              <w:t>The</w:t>
            </w:r>
            <w:r>
              <w:rPr>
                <w:color w:val="2F2D2D"/>
                <w:spacing w:val="16"/>
                <w:w w:val="95"/>
                <w:sz w:val="21"/>
              </w:rPr>
              <w:t> </w:t>
            </w:r>
            <w:r>
              <w:rPr>
                <w:color w:val="423F41"/>
                <w:w w:val="95"/>
                <w:sz w:val="21"/>
              </w:rPr>
              <w:t>Conclu</w:t>
            </w:r>
            <w:r>
              <w:rPr>
                <w:color w:val="5D5D5D"/>
                <w:w w:val="95"/>
                <w:sz w:val="21"/>
              </w:rPr>
              <w:t>s</w:t>
            </w:r>
            <w:r>
              <w:rPr>
                <w:color w:val="2F2D2D"/>
                <w:w w:val="95"/>
                <w:sz w:val="21"/>
              </w:rPr>
              <w:t>ion</w:t>
            </w:r>
          </w:p>
        </w:tc>
        <w:tc>
          <w:tcPr>
            <w:tcW w:w="997" w:type="dxa"/>
          </w:tcPr>
          <w:p>
            <w:pPr>
              <w:pStyle w:val="TableParagraph"/>
              <w:spacing w:line="240" w:lineRule="exact"/>
              <w:ind w:left="383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w w:val="110"/>
                <w:sz w:val="23"/>
              </w:rPr>
              <w:t>176</w:t>
            </w:r>
          </w:p>
        </w:tc>
      </w:tr>
      <w:tr>
        <w:trPr>
          <w:trHeight w:val="260" w:hRule="atLeast"/>
        </w:trPr>
        <w:tc>
          <w:tcPr>
            <w:tcW w:w="6900" w:type="dxa"/>
          </w:tcPr>
          <w:p>
            <w:pPr>
              <w:pStyle w:val="TableParagraph"/>
              <w:spacing w:line="240" w:lineRule="exact"/>
              <w:ind w:left="754"/>
              <w:rPr>
                <w:sz w:val="21"/>
              </w:rPr>
            </w:pPr>
            <w:r>
              <w:rPr>
                <w:rFonts w:ascii="Courier New"/>
                <w:b/>
                <w:color w:val="2F2D2D"/>
                <w:w w:val="95"/>
                <w:sz w:val="23"/>
              </w:rPr>
              <w:t>8.4.14</w:t>
            </w:r>
            <w:r>
              <w:rPr>
                <w:rFonts w:ascii="Courier New"/>
                <w:b/>
                <w:color w:val="2F2D2D"/>
                <w:spacing w:val="-98"/>
                <w:w w:val="95"/>
                <w:sz w:val="23"/>
              </w:rPr>
              <w:t> </w:t>
            </w:r>
            <w:r>
              <w:rPr>
                <w:color w:val="423F41"/>
                <w:w w:val="95"/>
                <w:sz w:val="21"/>
              </w:rPr>
              <w:t>Signature</w:t>
            </w:r>
          </w:p>
        </w:tc>
        <w:tc>
          <w:tcPr>
            <w:tcW w:w="997" w:type="dxa"/>
          </w:tcPr>
          <w:p>
            <w:pPr>
              <w:pStyle w:val="TableParagraph"/>
              <w:spacing w:line="240" w:lineRule="exact"/>
              <w:ind w:left="383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w w:val="105"/>
                <w:sz w:val="23"/>
              </w:rPr>
              <w:t>177</w:t>
            </w:r>
          </w:p>
        </w:tc>
      </w:tr>
      <w:tr>
        <w:trPr>
          <w:trHeight w:val="260" w:hRule="atLeast"/>
        </w:trPr>
        <w:tc>
          <w:tcPr>
            <w:tcW w:w="6900" w:type="dxa"/>
          </w:tcPr>
          <w:p>
            <w:pPr>
              <w:pStyle w:val="TableParagraph"/>
              <w:spacing w:line="240" w:lineRule="exact"/>
              <w:ind w:left="754"/>
              <w:rPr>
                <w:sz w:val="21"/>
              </w:rPr>
            </w:pPr>
            <w:r>
              <w:rPr>
                <w:rFonts w:ascii="Courier New"/>
                <w:b/>
                <w:color w:val="2F2D2D"/>
                <w:w w:val="95"/>
                <w:sz w:val="23"/>
              </w:rPr>
              <w:t>8</w:t>
            </w:r>
            <w:r>
              <w:rPr>
                <w:rFonts w:ascii="Courier New"/>
                <w:b/>
                <w:color w:val="5D5D5D"/>
                <w:w w:val="95"/>
                <w:sz w:val="23"/>
              </w:rPr>
              <w:t>.</w:t>
            </w:r>
            <w:r>
              <w:rPr>
                <w:rFonts w:ascii="Courier New"/>
                <w:b/>
                <w:color w:val="2F2D2D"/>
                <w:w w:val="95"/>
                <w:sz w:val="23"/>
              </w:rPr>
              <w:t>4</w:t>
            </w:r>
            <w:r>
              <w:rPr>
                <w:rFonts w:ascii="Courier New"/>
                <w:b/>
                <w:color w:val="5D5D5D"/>
                <w:w w:val="95"/>
                <w:sz w:val="23"/>
              </w:rPr>
              <w:t>.</w:t>
            </w:r>
            <w:r>
              <w:rPr>
                <w:rFonts w:ascii="Courier New"/>
                <w:b/>
                <w:color w:val="2F2D2D"/>
                <w:w w:val="95"/>
                <w:sz w:val="23"/>
              </w:rPr>
              <w:t>15</w:t>
            </w:r>
            <w:r>
              <w:rPr>
                <w:rFonts w:ascii="Courier New"/>
                <w:b/>
                <w:color w:val="2F2D2D"/>
                <w:spacing w:val="-94"/>
                <w:w w:val="95"/>
                <w:sz w:val="23"/>
              </w:rPr>
              <w:t> </w:t>
            </w:r>
            <w:r>
              <w:rPr>
                <w:color w:val="423F41"/>
                <w:w w:val="95"/>
                <w:sz w:val="21"/>
              </w:rPr>
              <w:t>Certificate</w:t>
            </w:r>
            <w:r>
              <w:rPr>
                <w:color w:val="423F41"/>
                <w:spacing w:val="26"/>
                <w:w w:val="95"/>
                <w:sz w:val="21"/>
              </w:rPr>
              <w:t> </w:t>
            </w:r>
            <w:r>
              <w:rPr>
                <w:color w:val="423F41"/>
                <w:w w:val="95"/>
                <w:sz w:val="21"/>
              </w:rPr>
              <w:t>of</w:t>
            </w:r>
            <w:r>
              <w:rPr>
                <w:color w:val="423F41"/>
                <w:spacing w:val="41"/>
                <w:w w:val="95"/>
                <w:sz w:val="21"/>
              </w:rPr>
              <w:t> </w:t>
            </w:r>
            <w:r>
              <w:rPr>
                <w:color w:val="423F41"/>
                <w:w w:val="95"/>
                <w:sz w:val="21"/>
              </w:rPr>
              <w:t>Service</w:t>
            </w:r>
          </w:p>
        </w:tc>
        <w:tc>
          <w:tcPr>
            <w:tcW w:w="997" w:type="dxa"/>
          </w:tcPr>
          <w:p>
            <w:pPr>
              <w:pStyle w:val="TableParagraph"/>
              <w:spacing w:line="240" w:lineRule="exact"/>
              <w:ind w:left="393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sz w:val="23"/>
              </w:rPr>
              <w:t>177</w:t>
            </w:r>
          </w:p>
        </w:tc>
      </w:tr>
      <w:tr>
        <w:trPr>
          <w:trHeight w:val="260" w:hRule="atLeast"/>
        </w:trPr>
        <w:tc>
          <w:tcPr>
            <w:tcW w:w="6900" w:type="dxa"/>
          </w:tcPr>
          <w:p>
            <w:pPr>
              <w:pStyle w:val="TableParagraph"/>
              <w:spacing w:line="240" w:lineRule="exact"/>
              <w:ind w:left="754"/>
              <w:rPr>
                <w:sz w:val="21"/>
              </w:rPr>
            </w:pPr>
            <w:r>
              <w:rPr>
                <w:rFonts w:ascii="Courier New"/>
                <w:b/>
                <w:color w:val="2F2D2D"/>
                <w:sz w:val="23"/>
              </w:rPr>
              <w:t>8</w:t>
            </w:r>
            <w:r>
              <w:rPr>
                <w:rFonts w:ascii="Courier New"/>
                <w:b/>
                <w:color w:val="5D5D5D"/>
                <w:sz w:val="23"/>
              </w:rPr>
              <w:t>.</w:t>
            </w:r>
            <w:r>
              <w:rPr>
                <w:rFonts w:ascii="Courier New"/>
                <w:b/>
                <w:color w:val="2F2D2D"/>
                <w:sz w:val="23"/>
              </w:rPr>
              <w:t>4</w:t>
            </w:r>
            <w:r>
              <w:rPr>
                <w:rFonts w:ascii="Courier New"/>
                <w:b/>
                <w:color w:val="5D5D5D"/>
                <w:sz w:val="23"/>
              </w:rPr>
              <w:t>.</w:t>
            </w:r>
            <w:r>
              <w:rPr>
                <w:rFonts w:ascii="Courier New"/>
                <w:b/>
                <w:color w:val="2F2D2D"/>
                <w:sz w:val="23"/>
              </w:rPr>
              <w:t>16</w:t>
            </w:r>
            <w:r>
              <w:rPr>
                <w:rFonts w:ascii="Courier New"/>
                <w:b/>
                <w:color w:val="2F2D2D"/>
                <w:spacing w:val="-96"/>
                <w:sz w:val="23"/>
              </w:rPr>
              <w:t> </w:t>
            </w:r>
            <w:r>
              <w:rPr>
                <w:color w:val="423F41"/>
                <w:sz w:val="21"/>
              </w:rPr>
              <w:t>Certificate</w:t>
            </w:r>
            <w:r>
              <w:rPr>
                <w:color w:val="423F41"/>
                <w:spacing w:val="8"/>
                <w:sz w:val="21"/>
              </w:rPr>
              <w:t> </w:t>
            </w:r>
            <w:r>
              <w:rPr>
                <w:color w:val="2F2D2D"/>
                <w:sz w:val="21"/>
              </w:rPr>
              <w:t>of</w:t>
            </w:r>
            <w:r>
              <w:rPr>
                <w:color w:val="2F2D2D"/>
                <w:spacing w:val="8"/>
                <w:sz w:val="21"/>
              </w:rPr>
              <w:t> </w:t>
            </w:r>
            <w:r>
              <w:rPr>
                <w:color w:val="423F41"/>
                <w:sz w:val="21"/>
              </w:rPr>
              <w:t>Compliance</w:t>
            </w:r>
          </w:p>
        </w:tc>
        <w:tc>
          <w:tcPr>
            <w:tcW w:w="997" w:type="dxa"/>
          </w:tcPr>
          <w:p>
            <w:pPr>
              <w:pStyle w:val="TableParagraph"/>
              <w:spacing w:line="240" w:lineRule="exact"/>
              <w:ind w:left="403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w w:val="110"/>
                <w:sz w:val="23"/>
              </w:rPr>
              <w:t>178</w:t>
            </w:r>
          </w:p>
        </w:tc>
      </w:tr>
      <w:tr>
        <w:trPr>
          <w:trHeight w:val="264" w:hRule="atLeast"/>
        </w:trPr>
        <w:tc>
          <w:tcPr>
            <w:tcW w:w="6900" w:type="dxa"/>
          </w:tcPr>
          <w:p>
            <w:pPr>
              <w:pStyle w:val="TableParagraph"/>
              <w:spacing w:line="245" w:lineRule="exact"/>
              <w:ind w:left="754"/>
              <w:rPr>
                <w:sz w:val="21"/>
              </w:rPr>
            </w:pPr>
            <w:r>
              <w:rPr>
                <w:rFonts w:ascii="Courier New"/>
                <w:b/>
                <w:color w:val="2F2D2D"/>
                <w:spacing w:val="-6"/>
                <w:sz w:val="23"/>
              </w:rPr>
              <w:t>8</w:t>
            </w:r>
            <w:r>
              <w:rPr>
                <w:rFonts w:ascii="Courier New"/>
                <w:b/>
                <w:color w:val="5D5D5D"/>
                <w:spacing w:val="-6"/>
                <w:sz w:val="23"/>
              </w:rPr>
              <w:t>.</w:t>
            </w:r>
            <w:r>
              <w:rPr>
                <w:rFonts w:ascii="Courier New"/>
                <w:b/>
                <w:color w:val="2F2D2D"/>
                <w:spacing w:val="-6"/>
                <w:sz w:val="23"/>
              </w:rPr>
              <w:t>4.17</w:t>
            </w:r>
            <w:r>
              <w:rPr>
                <w:rFonts w:ascii="Courier New"/>
                <w:b/>
                <w:color w:val="2F2D2D"/>
                <w:spacing w:val="-66"/>
                <w:sz w:val="23"/>
              </w:rPr>
              <w:t> </w:t>
            </w:r>
            <w:r>
              <w:rPr>
                <w:color w:val="423F41"/>
                <w:spacing w:val="-5"/>
                <w:sz w:val="21"/>
              </w:rPr>
              <w:t>Appendix</w:t>
            </w:r>
          </w:p>
        </w:tc>
        <w:tc>
          <w:tcPr>
            <w:tcW w:w="997" w:type="dxa"/>
          </w:tcPr>
          <w:p>
            <w:pPr>
              <w:pStyle w:val="TableParagraph"/>
              <w:spacing w:line="245" w:lineRule="exact"/>
              <w:ind w:left="403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w w:val="110"/>
                <w:sz w:val="23"/>
              </w:rPr>
              <w:t>179</w:t>
            </w:r>
          </w:p>
        </w:tc>
      </w:tr>
      <w:tr>
        <w:trPr>
          <w:trHeight w:val="510" w:hRule="atLeast"/>
        </w:trPr>
        <w:tc>
          <w:tcPr>
            <w:tcW w:w="6900" w:type="dxa"/>
          </w:tcPr>
          <w:p>
            <w:pPr>
              <w:pStyle w:val="TableParagraph"/>
              <w:spacing w:line="225" w:lineRule="auto" w:before="6"/>
              <w:ind w:left="771" w:right="217" w:hanging="712"/>
              <w:rPr>
                <w:sz w:val="21"/>
              </w:rPr>
            </w:pPr>
            <w:r>
              <w:rPr>
                <w:rFonts w:ascii="Courier New"/>
                <w:b/>
                <w:color w:val="2F2D2D"/>
                <w:sz w:val="23"/>
              </w:rPr>
              <w:t>8.5</w:t>
            </w:r>
            <w:r>
              <w:rPr>
                <w:rFonts w:ascii="Courier New"/>
                <w:b/>
                <w:color w:val="2F2D2D"/>
                <w:spacing w:val="139"/>
                <w:sz w:val="23"/>
              </w:rPr>
              <w:t> </w:t>
            </w:r>
            <w:r>
              <w:rPr>
                <w:color w:val="423F41"/>
                <w:sz w:val="21"/>
              </w:rPr>
              <w:t>Do</w:t>
            </w:r>
            <w:r>
              <w:rPr>
                <w:color w:val="5D5D5D"/>
                <w:sz w:val="21"/>
              </w:rPr>
              <w:t>c</w:t>
            </w:r>
            <w:r>
              <w:rPr>
                <w:color w:val="2F2D2D"/>
                <w:sz w:val="21"/>
              </w:rPr>
              <w:t>ument </w:t>
            </w:r>
            <w:r>
              <w:rPr>
                <w:color w:val="423F41"/>
                <w:sz w:val="21"/>
              </w:rPr>
              <w:t>Format </w:t>
            </w:r>
            <w:r>
              <w:rPr>
                <w:color w:val="2F2D2D"/>
                <w:sz w:val="21"/>
              </w:rPr>
              <w:t>Requirements</w:t>
            </w:r>
            <w:r>
              <w:rPr>
                <w:color w:val="2F2D2D"/>
                <w:spacing w:val="58"/>
                <w:sz w:val="21"/>
              </w:rPr>
              <w:t> </w:t>
            </w:r>
            <w:r>
              <w:rPr>
                <w:color w:val="423F41"/>
                <w:sz w:val="21"/>
              </w:rPr>
              <w:t>and</w:t>
            </w:r>
            <w:r>
              <w:rPr>
                <w:color w:val="423F41"/>
                <w:spacing w:val="58"/>
                <w:sz w:val="21"/>
              </w:rPr>
              <w:t> </w:t>
            </w:r>
            <w:r>
              <w:rPr>
                <w:color w:val="423F41"/>
                <w:sz w:val="21"/>
              </w:rPr>
              <w:t>Service Requirements</w:t>
            </w:r>
            <w:r>
              <w:rPr>
                <w:color w:val="423F41"/>
                <w:spacing w:val="-56"/>
                <w:sz w:val="21"/>
              </w:rPr>
              <w:t> </w:t>
            </w:r>
            <w:r>
              <w:rPr>
                <w:color w:val="423F41"/>
                <w:w w:val="105"/>
                <w:sz w:val="21"/>
              </w:rPr>
              <w:t>for</w:t>
            </w:r>
            <w:r>
              <w:rPr>
                <w:color w:val="423F41"/>
                <w:spacing w:val="18"/>
                <w:w w:val="105"/>
                <w:sz w:val="21"/>
              </w:rPr>
              <w:t> </w:t>
            </w:r>
            <w:r>
              <w:rPr>
                <w:color w:val="423F41"/>
                <w:w w:val="105"/>
                <w:sz w:val="21"/>
              </w:rPr>
              <w:t>Motion</w:t>
            </w:r>
            <w:r>
              <w:rPr>
                <w:color w:val="423F41"/>
                <w:spacing w:val="-4"/>
                <w:w w:val="105"/>
                <w:sz w:val="21"/>
              </w:rPr>
              <w:t> </w:t>
            </w:r>
            <w:r>
              <w:rPr>
                <w:color w:val="423F41"/>
                <w:w w:val="105"/>
                <w:sz w:val="21"/>
              </w:rPr>
              <w:t>Briefs</w:t>
            </w:r>
          </w:p>
        </w:tc>
        <w:tc>
          <w:tcPr>
            <w:tcW w:w="997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 w:before="1"/>
              <w:ind w:left="412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w w:val="110"/>
                <w:sz w:val="23"/>
              </w:rPr>
              <w:t>180</w:t>
            </w:r>
          </w:p>
        </w:tc>
      </w:tr>
      <w:tr>
        <w:trPr>
          <w:trHeight w:val="260" w:hRule="atLeast"/>
        </w:trPr>
        <w:tc>
          <w:tcPr>
            <w:tcW w:w="6900" w:type="dxa"/>
          </w:tcPr>
          <w:p>
            <w:pPr>
              <w:pStyle w:val="TableParagraph"/>
              <w:spacing w:line="240" w:lineRule="exact"/>
              <w:ind w:left="754"/>
              <w:rPr>
                <w:sz w:val="21"/>
              </w:rPr>
            </w:pPr>
            <w:r>
              <w:rPr>
                <w:rFonts w:ascii="Courier New"/>
                <w:b/>
                <w:color w:val="2F2D2D"/>
                <w:sz w:val="23"/>
              </w:rPr>
              <w:t>8</w:t>
            </w:r>
            <w:r>
              <w:rPr>
                <w:rFonts w:ascii="Courier New"/>
                <w:b/>
                <w:color w:val="5D5D5D"/>
                <w:sz w:val="23"/>
              </w:rPr>
              <w:t>.</w:t>
            </w:r>
            <w:r>
              <w:rPr>
                <w:rFonts w:ascii="Courier New"/>
                <w:b/>
                <w:color w:val="2F2D2D"/>
                <w:sz w:val="23"/>
              </w:rPr>
              <w:t>5.1</w:t>
            </w:r>
            <w:r>
              <w:rPr>
                <w:rFonts w:ascii="Courier New"/>
                <w:b/>
                <w:color w:val="2F2D2D"/>
                <w:spacing w:val="11"/>
                <w:sz w:val="23"/>
              </w:rPr>
              <w:t> </w:t>
            </w:r>
            <w:r>
              <w:rPr>
                <w:color w:val="423F41"/>
                <w:sz w:val="21"/>
              </w:rPr>
              <w:t>Caption</w:t>
            </w:r>
          </w:p>
        </w:tc>
        <w:tc>
          <w:tcPr>
            <w:tcW w:w="997" w:type="dxa"/>
          </w:tcPr>
          <w:p>
            <w:pPr>
              <w:pStyle w:val="TableParagraph"/>
              <w:spacing w:line="240" w:lineRule="exact"/>
              <w:ind w:left="422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w w:val="110"/>
                <w:sz w:val="23"/>
              </w:rPr>
              <w:t>180</w:t>
            </w:r>
          </w:p>
        </w:tc>
      </w:tr>
      <w:tr>
        <w:trPr>
          <w:trHeight w:val="255" w:hRule="atLeast"/>
        </w:trPr>
        <w:tc>
          <w:tcPr>
            <w:tcW w:w="6900" w:type="dxa"/>
          </w:tcPr>
          <w:p>
            <w:pPr>
              <w:pStyle w:val="TableParagraph"/>
              <w:spacing w:line="235" w:lineRule="exact"/>
              <w:ind w:left="754"/>
              <w:rPr>
                <w:sz w:val="21"/>
              </w:rPr>
            </w:pPr>
            <w:r>
              <w:rPr>
                <w:rFonts w:ascii="Courier New"/>
                <w:b/>
                <w:color w:val="2F2D2D"/>
                <w:w w:val="95"/>
                <w:sz w:val="23"/>
              </w:rPr>
              <w:t>8</w:t>
            </w:r>
            <w:r>
              <w:rPr>
                <w:rFonts w:ascii="Courier New"/>
                <w:b/>
                <w:color w:val="5D5D5D"/>
                <w:w w:val="95"/>
                <w:sz w:val="23"/>
              </w:rPr>
              <w:t>.</w:t>
            </w:r>
            <w:r>
              <w:rPr>
                <w:rFonts w:ascii="Courier New"/>
                <w:b/>
                <w:color w:val="2F2D2D"/>
                <w:w w:val="95"/>
                <w:sz w:val="23"/>
              </w:rPr>
              <w:t>5.2</w:t>
            </w:r>
            <w:r>
              <w:rPr>
                <w:rFonts w:ascii="Courier New"/>
                <w:b/>
                <w:color w:val="2F2D2D"/>
                <w:spacing w:val="-3"/>
                <w:w w:val="95"/>
                <w:sz w:val="23"/>
              </w:rPr>
              <w:t> </w:t>
            </w:r>
            <w:r>
              <w:rPr>
                <w:color w:val="423F41"/>
                <w:w w:val="95"/>
                <w:sz w:val="21"/>
              </w:rPr>
              <w:t>Issue</w:t>
            </w:r>
          </w:p>
        </w:tc>
        <w:tc>
          <w:tcPr>
            <w:tcW w:w="997" w:type="dxa"/>
          </w:tcPr>
          <w:p>
            <w:pPr>
              <w:pStyle w:val="TableParagraph"/>
              <w:spacing w:line="235" w:lineRule="exact"/>
              <w:ind w:left="422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sz w:val="23"/>
              </w:rPr>
              <w:t>181</w:t>
            </w:r>
          </w:p>
        </w:tc>
      </w:tr>
      <w:tr>
        <w:trPr>
          <w:trHeight w:val="255" w:hRule="atLeast"/>
        </w:trPr>
        <w:tc>
          <w:tcPr>
            <w:tcW w:w="6900" w:type="dxa"/>
          </w:tcPr>
          <w:p>
            <w:pPr>
              <w:pStyle w:val="TableParagraph"/>
              <w:spacing w:line="235" w:lineRule="exact"/>
              <w:ind w:left="754"/>
              <w:rPr>
                <w:sz w:val="21"/>
              </w:rPr>
            </w:pPr>
            <w:r>
              <w:rPr>
                <w:rFonts w:ascii="Courier New"/>
                <w:b/>
                <w:color w:val="2F2D2D"/>
                <w:position w:val="2"/>
                <w:sz w:val="23"/>
              </w:rPr>
              <w:t>8.5.3</w:t>
            </w:r>
            <w:r>
              <w:rPr>
                <w:rFonts w:ascii="Courier New"/>
                <w:b/>
                <w:color w:val="2F2D2D"/>
                <w:spacing w:val="7"/>
                <w:position w:val="2"/>
                <w:sz w:val="23"/>
              </w:rPr>
              <w:t> </w:t>
            </w:r>
            <w:r>
              <w:rPr>
                <w:color w:val="423F41"/>
                <w:sz w:val="21"/>
              </w:rPr>
              <w:t>Parties</w:t>
            </w:r>
            <w:r>
              <w:rPr>
                <w:color w:val="423F41"/>
                <w:spacing w:val="-7"/>
                <w:sz w:val="21"/>
              </w:rPr>
              <w:t> </w:t>
            </w:r>
            <w:r>
              <w:rPr>
                <w:color w:val="2F2D2D"/>
                <w:sz w:val="21"/>
              </w:rPr>
              <w:t>to</w:t>
            </w:r>
            <w:r>
              <w:rPr>
                <w:color w:val="2F2D2D"/>
                <w:spacing w:val="25"/>
                <w:sz w:val="21"/>
              </w:rPr>
              <w:t> </w:t>
            </w:r>
            <w:r>
              <w:rPr>
                <w:color w:val="423F41"/>
                <w:sz w:val="21"/>
              </w:rPr>
              <w:t>the</w:t>
            </w:r>
            <w:r>
              <w:rPr>
                <w:color w:val="423F41"/>
                <w:spacing w:val="21"/>
                <w:sz w:val="21"/>
              </w:rPr>
              <w:t> </w:t>
            </w:r>
            <w:r>
              <w:rPr>
                <w:color w:val="423F41"/>
                <w:sz w:val="21"/>
              </w:rPr>
              <w:t>Proceeding</w:t>
            </w:r>
          </w:p>
        </w:tc>
        <w:tc>
          <w:tcPr>
            <w:tcW w:w="997" w:type="dxa"/>
          </w:tcPr>
          <w:p>
            <w:pPr>
              <w:pStyle w:val="TableParagraph"/>
              <w:spacing w:line="235" w:lineRule="exact"/>
              <w:ind w:left="432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sz w:val="23"/>
              </w:rPr>
              <w:t>181</w:t>
            </w:r>
          </w:p>
        </w:tc>
      </w:tr>
      <w:tr>
        <w:trPr>
          <w:trHeight w:val="260" w:hRule="atLeast"/>
        </w:trPr>
        <w:tc>
          <w:tcPr>
            <w:tcW w:w="6900" w:type="dxa"/>
          </w:tcPr>
          <w:p>
            <w:pPr>
              <w:pStyle w:val="TableParagraph"/>
              <w:spacing w:line="240" w:lineRule="exact"/>
              <w:ind w:left="763"/>
              <w:rPr>
                <w:sz w:val="21"/>
              </w:rPr>
            </w:pPr>
            <w:r>
              <w:rPr>
                <w:rFonts w:ascii="Courier New"/>
                <w:b/>
                <w:color w:val="2F2D2D"/>
                <w:position w:val="1"/>
                <w:sz w:val="23"/>
              </w:rPr>
              <w:t>8.5.4</w:t>
            </w:r>
            <w:r>
              <w:rPr>
                <w:rFonts w:ascii="Courier New"/>
                <w:b/>
                <w:color w:val="2F2D2D"/>
                <w:spacing w:val="10"/>
                <w:position w:val="1"/>
                <w:sz w:val="23"/>
              </w:rPr>
              <w:t> </w:t>
            </w:r>
            <w:r>
              <w:rPr>
                <w:color w:val="423F41"/>
                <w:sz w:val="21"/>
              </w:rPr>
              <w:t>Table</w:t>
            </w:r>
            <w:r>
              <w:rPr>
                <w:color w:val="423F41"/>
                <w:spacing w:val="-9"/>
                <w:sz w:val="21"/>
              </w:rPr>
              <w:t> </w:t>
            </w:r>
            <w:r>
              <w:rPr>
                <w:color w:val="423F41"/>
                <w:sz w:val="21"/>
              </w:rPr>
              <w:t>of</w:t>
            </w:r>
            <w:r>
              <w:rPr>
                <w:color w:val="423F41"/>
                <w:spacing w:val="12"/>
                <w:sz w:val="21"/>
              </w:rPr>
              <w:t> </w:t>
            </w:r>
            <w:r>
              <w:rPr>
                <w:color w:val="2F2D2D"/>
                <w:sz w:val="21"/>
              </w:rPr>
              <w:t>Contents</w:t>
            </w:r>
          </w:p>
        </w:tc>
        <w:tc>
          <w:tcPr>
            <w:tcW w:w="997" w:type="dxa"/>
          </w:tcPr>
          <w:p>
            <w:pPr>
              <w:pStyle w:val="TableParagraph"/>
              <w:spacing w:line="240" w:lineRule="exact"/>
              <w:ind w:left="441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sz w:val="23"/>
              </w:rPr>
              <w:t>181</w:t>
            </w:r>
          </w:p>
        </w:tc>
      </w:tr>
      <w:tr>
        <w:trPr>
          <w:trHeight w:val="255" w:hRule="atLeast"/>
        </w:trPr>
        <w:tc>
          <w:tcPr>
            <w:tcW w:w="6900" w:type="dxa"/>
          </w:tcPr>
          <w:p>
            <w:pPr>
              <w:pStyle w:val="TableParagraph"/>
              <w:spacing w:line="235" w:lineRule="exact"/>
              <w:ind w:left="754"/>
              <w:rPr>
                <w:sz w:val="21"/>
              </w:rPr>
            </w:pPr>
            <w:r>
              <w:rPr>
                <w:rFonts w:ascii="Courier New"/>
                <w:b/>
                <w:color w:val="2F2D2D"/>
                <w:position w:val="1"/>
                <w:sz w:val="23"/>
              </w:rPr>
              <w:t>8</w:t>
            </w:r>
            <w:r>
              <w:rPr>
                <w:rFonts w:ascii="Courier New"/>
                <w:b/>
                <w:color w:val="5D5D5D"/>
                <w:position w:val="1"/>
                <w:sz w:val="23"/>
              </w:rPr>
              <w:t>.</w:t>
            </w:r>
            <w:r>
              <w:rPr>
                <w:rFonts w:ascii="Courier New"/>
                <w:b/>
                <w:color w:val="2F2D2D"/>
                <w:position w:val="1"/>
                <w:sz w:val="23"/>
              </w:rPr>
              <w:t>5</w:t>
            </w:r>
            <w:r>
              <w:rPr>
                <w:rFonts w:ascii="Courier New"/>
                <w:b/>
                <w:color w:val="5D5D5D"/>
                <w:position w:val="1"/>
                <w:sz w:val="23"/>
              </w:rPr>
              <w:t>.</w:t>
            </w:r>
            <w:r>
              <w:rPr>
                <w:rFonts w:ascii="Courier New"/>
                <w:b/>
                <w:color w:val="2F2D2D"/>
                <w:position w:val="1"/>
                <w:sz w:val="23"/>
              </w:rPr>
              <w:t>5</w:t>
            </w:r>
            <w:r>
              <w:rPr>
                <w:rFonts w:ascii="Courier New"/>
                <w:b/>
                <w:color w:val="2F2D2D"/>
                <w:spacing w:val="21"/>
                <w:position w:val="1"/>
                <w:sz w:val="23"/>
              </w:rPr>
              <w:t> </w:t>
            </w:r>
            <w:r>
              <w:rPr>
                <w:color w:val="423F41"/>
                <w:sz w:val="21"/>
              </w:rPr>
              <w:t>Table</w:t>
            </w:r>
            <w:r>
              <w:rPr>
                <w:color w:val="423F41"/>
                <w:spacing w:val="-9"/>
                <w:sz w:val="21"/>
              </w:rPr>
              <w:t> </w:t>
            </w:r>
            <w:r>
              <w:rPr>
                <w:color w:val="423F41"/>
                <w:sz w:val="21"/>
              </w:rPr>
              <w:t>of</w:t>
            </w:r>
            <w:r>
              <w:rPr>
                <w:color w:val="423F41"/>
                <w:spacing w:val="14"/>
                <w:sz w:val="21"/>
              </w:rPr>
              <w:t> </w:t>
            </w:r>
            <w:r>
              <w:rPr>
                <w:color w:val="2F2D2D"/>
                <w:sz w:val="21"/>
              </w:rPr>
              <w:t>Authorities</w:t>
            </w:r>
          </w:p>
        </w:tc>
        <w:tc>
          <w:tcPr>
            <w:tcW w:w="997" w:type="dxa"/>
          </w:tcPr>
          <w:p>
            <w:pPr>
              <w:pStyle w:val="TableParagraph"/>
              <w:spacing w:line="235" w:lineRule="exact"/>
              <w:ind w:left="441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sz w:val="23"/>
              </w:rPr>
              <w:t>181</w:t>
            </w:r>
          </w:p>
        </w:tc>
      </w:tr>
      <w:tr>
        <w:trPr>
          <w:trHeight w:val="255" w:hRule="atLeast"/>
        </w:trPr>
        <w:tc>
          <w:tcPr>
            <w:tcW w:w="6900" w:type="dxa"/>
          </w:tcPr>
          <w:p>
            <w:pPr>
              <w:pStyle w:val="TableParagraph"/>
              <w:spacing w:line="235" w:lineRule="exact"/>
              <w:ind w:left="763"/>
              <w:rPr>
                <w:sz w:val="21"/>
              </w:rPr>
            </w:pPr>
            <w:r>
              <w:rPr>
                <w:rFonts w:ascii="Courier New"/>
                <w:b/>
                <w:color w:val="2F2D2D"/>
                <w:position w:val="1"/>
                <w:sz w:val="23"/>
              </w:rPr>
              <w:t>8.5.6</w:t>
            </w:r>
            <w:r>
              <w:rPr>
                <w:rFonts w:ascii="Courier New"/>
                <w:b/>
                <w:color w:val="2F2D2D"/>
                <w:spacing w:val="29"/>
                <w:position w:val="1"/>
                <w:sz w:val="23"/>
              </w:rPr>
              <w:t> </w:t>
            </w:r>
            <w:r>
              <w:rPr>
                <w:color w:val="423F41"/>
                <w:sz w:val="21"/>
              </w:rPr>
              <w:t>Opinions</w:t>
            </w:r>
            <w:r>
              <w:rPr>
                <w:color w:val="423F41"/>
                <w:spacing w:val="4"/>
                <w:sz w:val="21"/>
              </w:rPr>
              <w:t> </w:t>
            </w:r>
            <w:r>
              <w:rPr>
                <w:color w:val="2F2D2D"/>
                <w:sz w:val="21"/>
              </w:rPr>
              <w:t>Below</w:t>
            </w:r>
          </w:p>
        </w:tc>
        <w:tc>
          <w:tcPr>
            <w:tcW w:w="997" w:type="dxa"/>
          </w:tcPr>
          <w:p>
            <w:pPr>
              <w:pStyle w:val="TableParagraph"/>
              <w:spacing w:line="235" w:lineRule="exact"/>
              <w:ind w:right="94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w w:val="110"/>
                <w:sz w:val="23"/>
              </w:rPr>
              <w:t>182</w:t>
            </w:r>
          </w:p>
        </w:tc>
      </w:tr>
      <w:tr>
        <w:trPr>
          <w:trHeight w:val="255" w:hRule="atLeast"/>
        </w:trPr>
        <w:tc>
          <w:tcPr>
            <w:tcW w:w="6900" w:type="dxa"/>
          </w:tcPr>
          <w:p>
            <w:pPr>
              <w:pStyle w:val="TableParagraph"/>
              <w:spacing w:line="235" w:lineRule="exact"/>
              <w:ind w:left="754"/>
              <w:rPr>
                <w:sz w:val="21"/>
              </w:rPr>
            </w:pPr>
            <w:r>
              <w:rPr>
                <w:rFonts w:ascii="Courier New"/>
                <w:b/>
                <w:color w:val="2F2D2D"/>
                <w:position w:val="1"/>
                <w:sz w:val="23"/>
              </w:rPr>
              <w:t>8.5.7</w:t>
            </w:r>
            <w:r>
              <w:rPr>
                <w:rFonts w:ascii="Courier New"/>
                <w:b/>
                <w:color w:val="2F2D2D"/>
                <w:spacing w:val="-6"/>
                <w:position w:val="1"/>
                <w:sz w:val="23"/>
              </w:rPr>
              <w:t> </w:t>
            </w:r>
            <w:r>
              <w:rPr>
                <w:color w:val="2F2D2D"/>
                <w:sz w:val="21"/>
              </w:rPr>
              <w:t>Jurisdiction</w:t>
            </w:r>
          </w:p>
        </w:tc>
        <w:tc>
          <w:tcPr>
            <w:tcW w:w="997" w:type="dxa"/>
          </w:tcPr>
          <w:p>
            <w:pPr>
              <w:pStyle w:val="TableParagraph"/>
              <w:spacing w:line="235" w:lineRule="exact"/>
              <w:ind w:right="88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w w:val="110"/>
                <w:sz w:val="23"/>
              </w:rPr>
              <w:t>183</w:t>
            </w:r>
          </w:p>
        </w:tc>
      </w:tr>
      <w:tr>
        <w:trPr>
          <w:trHeight w:val="260" w:hRule="atLeast"/>
        </w:trPr>
        <w:tc>
          <w:tcPr>
            <w:tcW w:w="6900" w:type="dxa"/>
          </w:tcPr>
          <w:p>
            <w:pPr>
              <w:pStyle w:val="TableParagraph"/>
              <w:spacing w:line="240" w:lineRule="exact"/>
              <w:ind w:left="763"/>
              <w:rPr>
                <w:sz w:val="21"/>
              </w:rPr>
            </w:pPr>
            <w:r>
              <w:rPr>
                <w:rFonts w:ascii="Courier New"/>
                <w:b/>
                <w:color w:val="2F2D2D"/>
                <w:position w:val="2"/>
                <w:sz w:val="23"/>
              </w:rPr>
              <w:t>8.5.8</w:t>
            </w:r>
            <w:r>
              <w:rPr>
                <w:rFonts w:ascii="Courier New"/>
                <w:b/>
                <w:color w:val="2F2D2D"/>
                <w:spacing w:val="5"/>
                <w:position w:val="2"/>
                <w:sz w:val="23"/>
              </w:rPr>
              <w:t> </w:t>
            </w:r>
            <w:r>
              <w:rPr>
                <w:color w:val="2F2D2D"/>
                <w:sz w:val="21"/>
              </w:rPr>
              <w:t>Relevant</w:t>
            </w:r>
            <w:r>
              <w:rPr>
                <w:color w:val="2F2D2D"/>
                <w:spacing w:val="-11"/>
                <w:sz w:val="21"/>
              </w:rPr>
              <w:t> </w:t>
            </w:r>
            <w:r>
              <w:rPr>
                <w:color w:val="2F2D2D"/>
                <w:sz w:val="21"/>
              </w:rPr>
              <w:t>Enacted</w:t>
            </w:r>
            <w:r>
              <w:rPr>
                <w:color w:val="2F2D2D"/>
                <w:spacing w:val="-5"/>
                <w:sz w:val="21"/>
              </w:rPr>
              <w:t> </w:t>
            </w:r>
            <w:r>
              <w:rPr>
                <w:color w:val="2F2D2D"/>
                <w:sz w:val="21"/>
              </w:rPr>
              <w:t>Law</w:t>
            </w:r>
          </w:p>
        </w:tc>
        <w:tc>
          <w:tcPr>
            <w:tcW w:w="997" w:type="dxa"/>
          </w:tcPr>
          <w:p>
            <w:pPr>
              <w:pStyle w:val="TableParagraph"/>
              <w:spacing w:line="235" w:lineRule="exact" w:before="4"/>
              <w:ind w:right="88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w w:val="110"/>
                <w:sz w:val="23"/>
              </w:rPr>
              <w:t>183</w:t>
            </w:r>
          </w:p>
        </w:tc>
      </w:tr>
      <w:tr>
        <w:trPr>
          <w:trHeight w:val="260" w:hRule="atLeast"/>
        </w:trPr>
        <w:tc>
          <w:tcPr>
            <w:tcW w:w="6900" w:type="dxa"/>
          </w:tcPr>
          <w:p>
            <w:pPr>
              <w:pStyle w:val="TableParagraph"/>
              <w:spacing w:line="240" w:lineRule="exact"/>
              <w:ind w:left="763"/>
              <w:rPr>
                <w:sz w:val="21"/>
              </w:rPr>
            </w:pPr>
            <w:r>
              <w:rPr>
                <w:rFonts w:ascii="Courier New"/>
                <w:b/>
                <w:color w:val="2F2D2D"/>
                <w:position w:val="2"/>
                <w:sz w:val="23"/>
              </w:rPr>
              <w:t>8.5.9</w:t>
            </w:r>
            <w:r>
              <w:rPr>
                <w:rFonts w:ascii="Courier New"/>
                <w:b/>
                <w:color w:val="2F2D2D"/>
                <w:spacing w:val="45"/>
                <w:position w:val="2"/>
                <w:sz w:val="23"/>
              </w:rPr>
              <w:t> </w:t>
            </w:r>
            <w:r>
              <w:rPr>
                <w:color w:val="423F41"/>
                <w:sz w:val="21"/>
              </w:rPr>
              <w:t>Standard</w:t>
            </w:r>
            <w:r>
              <w:rPr>
                <w:color w:val="423F41"/>
                <w:spacing w:val="-2"/>
                <w:sz w:val="21"/>
              </w:rPr>
              <w:t> </w:t>
            </w:r>
            <w:r>
              <w:rPr>
                <w:color w:val="423F41"/>
                <w:sz w:val="21"/>
              </w:rPr>
              <w:t>of</w:t>
            </w:r>
            <w:r>
              <w:rPr>
                <w:color w:val="423F41"/>
                <w:spacing w:val="23"/>
                <w:sz w:val="21"/>
              </w:rPr>
              <w:t> </w:t>
            </w:r>
            <w:r>
              <w:rPr>
                <w:color w:val="423F41"/>
                <w:sz w:val="21"/>
              </w:rPr>
              <w:t>Review</w:t>
            </w:r>
            <w:r>
              <w:rPr>
                <w:color w:val="423F41"/>
                <w:spacing w:val="9"/>
                <w:sz w:val="21"/>
              </w:rPr>
              <w:t> </w:t>
            </w:r>
            <w:r>
              <w:rPr>
                <w:i/>
                <w:color w:val="423F41"/>
                <w:sz w:val="20"/>
              </w:rPr>
              <w:t>or</w:t>
            </w:r>
            <w:r>
              <w:rPr>
                <w:i/>
                <w:color w:val="423F41"/>
                <w:spacing w:val="36"/>
                <w:sz w:val="20"/>
              </w:rPr>
              <w:t> </w:t>
            </w:r>
            <w:r>
              <w:rPr>
                <w:color w:val="2F2D2D"/>
                <w:sz w:val="21"/>
              </w:rPr>
              <w:t>Pleading </w:t>
            </w:r>
            <w:r>
              <w:rPr>
                <w:color w:val="423F41"/>
                <w:sz w:val="21"/>
              </w:rPr>
              <w:t>Standard</w:t>
            </w:r>
          </w:p>
        </w:tc>
        <w:tc>
          <w:tcPr>
            <w:tcW w:w="997" w:type="dxa"/>
          </w:tcPr>
          <w:p>
            <w:pPr>
              <w:pStyle w:val="TableParagraph"/>
              <w:spacing w:line="235" w:lineRule="exact" w:before="4"/>
              <w:ind w:right="79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w w:val="110"/>
                <w:sz w:val="23"/>
              </w:rPr>
              <w:t>183</w:t>
            </w:r>
          </w:p>
        </w:tc>
      </w:tr>
      <w:tr>
        <w:trPr>
          <w:trHeight w:val="260" w:hRule="atLeast"/>
        </w:trPr>
        <w:tc>
          <w:tcPr>
            <w:tcW w:w="6900" w:type="dxa"/>
          </w:tcPr>
          <w:p>
            <w:pPr>
              <w:pStyle w:val="TableParagraph"/>
              <w:spacing w:line="240" w:lineRule="exact"/>
              <w:ind w:left="763"/>
              <w:rPr>
                <w:sz w:val="21"/>
              </w:rPr>
            </w:pPr>
            <w:r>
              <w:rPr>
                <w:rFonts w:ascii="Courier New"/>
                <w:b/>
                <w:color w:val="2F2D2D"/>
                <w:spacing w:val="-1"/>
                <w:sz w:val="23"/>
              </w:rPr>
              <w:t>8.5.10</w:t>
            </w:r>
            <w:r>
              <w:rPr>
                <w:rFonts w:ascii="Courier New"/>
                <w:b/>
                <w:color w:val="2F2D2D"/>
                <w:spacing w:val="-107"/>
                <w:sz w:val="23"/>
              </w:rPr>
              <w:t> </w:t>
            </w:r>
            <w:r>
              <w:rPr>
                <w:color w:val="423F41"/>
                <w:spacing w:val="-1"/>
                <w:sz w:val="21"/>
              </w:rPr>
              <w:t>Statement</w:t>
            </w:r>
            <w:r>
              <w:rPr>
                <w:color w:val="423F41"/>
                <w:spacing w:val="7"/>
                <w:sz w:val="21"/>
              </w:rPr>
              <w:t> </w:t>
            </w:r>
            <w:r>
              <w:rPr>
                <w:color w:val="423F41"/>
                <w:spacing w:val="-1"/>
                <w:sz w:val="21"/>
              </w:rPr>
              <w:t>of</w:t>
            </w:r>
            <w:r>
              <w:rPr>
                <w:color w:val="423F41"/>
                <w:spacing w:val="19"/>
                <w:sz w:val="21"/>
              </w:rPr>
              <w:t> </w:t>
            </w:r>
            <w:r>
              <w:rPr>
                <w:color w:val="423F41"/>
                <w:spacing w:val="-1"/>
                <w:sz w:val="21"/>
              </w:rPr>
              <w:t>the</w:t>
            </w:r>
            <w:r>
              <w:rPr>
                <w:color w:val="423F41"/>
                <w:spacing w:val="10"/>
                <w:sz w:val="21"/>
              </w:rPr>
              <w:t> </w:t>
            </w:r>
            <w:r>
              <w:rPr>
                <w:color w:val="423F41"/>
                <w:spacing w:val="-1"/>
                <w:sz w:val="21"/>
              </w:rPr>
              <w:t>Case</w:t>
            </w:r>
          </w:p>
        </w:tc>
        <w:tc>
          <w:tcPr>
            <w:tcW w:w="997" w:type="dxa"/>
          </w:tcPr>
          <w:p>
            <w:pPr>
              <w:pStyle w:val="TableParagraph"/>
              <w:spacing w:line="240" w:lineRule="exact"/>
              <w:ind w:right="66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w w:val="110"/>
                <w:sz w:val="23"/>
              </w:rPr>
              <w:t>184</w:t>
            </w:r>
          </w:p>
        </w:tc>
      </w:tr>
      <w:tr>
        <w:trPr>
          <w:trHeight w:val="260" w:hRule="atLeast"/>
        </w:trPr>
        <w:tc>
          <w:tcPr>
            <w:tcW w:w="6900" w:type="dxa"/>
          </w:tcPr>
          <w:p>
            <w:pPr>
              <w:pStyle w:val="TableParagraph"/>
              <w:spacing w:line="240" w:lineRule="exact"/>
              <w:ind w:left="763"/>
              <w:rPr>
                <w:sz w:val="21"/>
              </w:rPr>
            </w:pPr>
            <w:r>
              <w:rPr>
                <w:rFonts w:ascii="Courier New"/>
                <w:b/>
                <w:color w:val="2F2D2D"/>
                <w:sz w:val="23"/>
              </w:rPr>
              <w:t>8.5.11</w:t>
            </w:r>
            <w:r>
              <w:rPr>
                <w:rFonts w:ascii="Courier New"/>
                <w:b/>
                <w:color w:val="2F2D2D"/>
                <w:spacing w:val="-70"/>
                <w:sz w:val="23"/>
              </w:rPr>
              <w:t> </w:t>
            </w:r>
            <w:r>
              <w:rPr>
                <w:color w:val="423F41"/>
                <w:sz w:val="21"/>
              </w:rPr>
              <w:t>Summary</w:t>
            </w:r>
            <w:r>
              <w:rPr>
                <w:color w:val="423F41"/>
                <w:spacing w:val="15"/>
                <w:sz w:val="21"/>
              </w:rPr>
              <w:t> </w:t>
            </w:r>
            <w:r>
              <w:rPr>
                <w:color w:val="423F41"/>
                <w:sz w:val="21"/>
              </w:rPr>
              <w:t>of</w:t>
            </w:r>
            <w:r>
              <w:rPr>
                <w:color w:val="423F41"/>
                <w:spacing w:val="17"/>
                <w:sz w:val="21"/>
              </w:rPr>
              <w:t> </w:t>
            </w:r>
            <w:r>
              <w:rPr>
                <w:color w:val="423F41"/>
                <w:sz w:val="21"/>
              </w:rPr>
              <w:t>the</w:t>
            </w:r>
            <w:r>
              <w:rPr>
                <w:color w:val="423F41"/>
                <w:spacing w:val="39"/>
                <w:sz w:val="21"/>
              </w:rPr>
              <w:t> </w:t>
            </w:r>
            <w:r>
              <w:rPr>
                <w:color w:val="2F2D2D"/>
                <w:sz w:val="21"/>
              </w:rPr>
              <w:t>Argument</w:t>
            </w:r>
          </w:p>
        </w:tc>
        <w:tc>
          <w:tcPr>
            <w:tcW w:w="997" w:type="dxa"/>
          </w:tcPr>
          <w:p>
            <w:pPr>
              <w:pStyle w:val="TableParagraph"/>
              <w:spacing w:line="240" w:lineRule="exact"/>
              <w:ind w:right="57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w w:val="110"/>
                <w:sz w:val="23"/>
              </w:rPr>
              <w:t>184</w:t>
            </w:r>
          </w:p>
        </w:tc>
      </w:tr>
      <w:tr>
        <w:trPr>
          <w:trHeight w:val="255" w:hRule="atLeast"/>
        </w:trPr>
        <w:tc>
          <w:tcPr>
            <w:tcW w:w="6900" w:type="dxa"/>
          </w:tcPr>
          <w:p>
            <w:pPr>
              <w:pStyle w:val="TableParagraph"/>
              <w:spacing w:line="235" w:lineRule="exact"/>
              <w:ind w:left="763"/>
              <w:rPr>
                <w:sz w:val="21"/>
              </w:rPr>
            </w:pPr>
            <w:r>
              <w:rPr>
                <w:rFonts w:ascii="Courier New"/>
                <w:b/>
                <w:color w:val="2F2D2D"/>
                <w:spacing w:val="-3"/>
                <w:sz w:val="23"/>
              </w:rPr>
              <w:t>8.5.12</w:t>
            </w:r>
            <w:r>
              <w:rPr>
                <w:rFonts w:ascii="Courier New"/>
                <w:b/>
                <w:color w:val="2F2D2D"/>
                <w:spacing w:val="-51"/>
                <w:sz w:val="23"/>
              </w:rPr>
              <w:t> </w:t>
            </w:r>
            <w:r>
              <w:rPr>
                <w:color w:val="423F41"/>
                <w:spacing w:val="-3"/>
                <w:sz w:val="21"/>
              </w:rPr>
              <w:t>The</w:t>
            </w:r>
            <w:r>
              <w:rPr>
                <w:color w:val="423F41"/>
                <w:spacing w:val="-11"/>
                <w:sz w:val="21"/>
              </w:rPr>
              <w:t> </w:t>
            </w:r>
            <w:r>
              <w:rPr>
                <w:color w:val="423F41"/>
                <w:spacing w:val="-3"/>
                <w:sz w:val="21"/>
              </w:rPr>
              <w:t>A</w:t>
            </w:r>
            <w:r>
              <w:rPr>
                <w:color w:val="5D5D5D"/>
                <w:spacing w:val="-3"/>
                <w:sz w:val="21"/>
              </w:rPr>
              <w:t>r</w:t>
            </w:r>
            <w:r>
              <w:rPr>
                <w:color w:val="423F41"/>
                <w:spacing w:val="-3"/>
                <w:sz w:val="21"/>
              </w:rPr>
              <w:t>gument</w:t>
            </w:r>
          </w:p>
        </w:tc>
        <w:tc>
          <w:tcPr>
            <w:tcW w:w="997" w:type="dxa"/>
          </w:tcPr>
          <w:p>
            <w:pPr>
              <w:pStyle w:val="TableParagraph"/>
              <w:spacing w:line="235" w:lineRule="exact"/>
              <w:ind w:right="47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w w:val="110"/>
                <w:sz w:val="23"/>
              </w:rPr>
              <w:t>184</w:t>
            </w:r>
          </w:p>
        </w:tc>
      </w:tr>
      <w:tr>
        <w:trPr>
          <w:trHeight w:val="250" w:hRule="atLeast"/>
        </w:trPr>
        <w:tc>
          <w:tcPr>
            <w:tcW w:w="6900" w:type="dxa"/>
          </w:tcPr>
          <w:p>
            <w:pPr>
              <w:pStyle w:val="TableParagraph"/>
              <w:spacing w:line="230" w:lineRule="exact"/>
              <w:ind w:left="763"/>
              <w:rPr>
                <w:sz w:val="21"/>
              </w:rPr>
            </w:pPr>
            <w:r>
              <w:rPr>
                <w:rFonts w:ascii="Courier New"/>
                <w:b/>
                <w:color w:val="2F2D2D"/>
                <w:sz w:val="23"/>
              </w:rPr>
              <w:t>8.5.13</w:t>
            </w:r>
            <w:r>
              <w:rPr>
                <w:color w:val="2F2D2D"/>
                <w:sz w:val="21"/>
              </w:rPr>
              <w:t>The</w:t>
            </w:r>
            <w:r>
              <w:rPr>
                <w:color w:val="2F2D2D"/>
                <w:spacing w:val="3"/>
                <w:sz w:val="21"/>
              </w:rPr>
              <w:t> </w:t>
            </w:r>
            <w:r>
              <w:rPr>
                <w:color w:val="423F41"/>
                <w:sz w:val="21"/>
              </w:rPr>
              <w:t>Conclu</w:t>
            </w:r>
            <w:r>
              <w:rPr>
                <w:color w:val="5D5D5D"/>
                <w:sz w:val="21"/>
              </w:rPr>
              <w:t>s</w:t>
            </w:r>
            <w:r>
              <w:rPr>
                <w:color w:val="423F41"/>
                <w:sz w:val="21"/>
              </w:rPr>
              <w:t>ion</w:t>
            </w:r>
          </w:p>
        </w:tc>
        <w:tc>
          <w:tcPr>
            <w:tcW w:w="997" w:type="dxa"/>
          </w:tcPr>
          <w:p>
            <w:pPr>
              <w:pStyle w:val="TableParagraph"/>
              <w:spacing w:line="230" w:lineRule="exact"/>
              <w:ind w:right="51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w w:val="110"/>
                <w:sz w:val="23"/>
              </w:rPr>
              <w:t>185</w:t>
            </w:r>
          </w:p>
        </w:tc>
      </w:tr>
      <w:tr>
        <w:trPr>
          <w:trHeight w:val="270" w:hRule="atLeast"/>
        </w:trPr>
        <w:tc>
          <w:tcPr>
            <w:tcW w:w="6900" w:type="dxa"/>
          </w:tcPr>
          <w:p>
            <w:pPr>
              <w:pStyle w:val="TableParagraph"/>
              <w:spacing w:line="250" w:lineRule="exact"/>
              <w:ind w:left="773"/>
              <w:rPr>
                <w:sz w:val="21"/>
              </w:rPr>
            </w:pPr>
            <w:r>
              <w:rPr>
                <w:rFonts w:ascii="Courier New"/>
                <w:b/>
                <w:color w:val="2F2D2D"/>
                <w:w w:val="95"/>
                <w:sz w:val="23"/>
              </w:rPr>
              <w:t>8</w:t>
            </w:r>
            <w:r>
              <w:rPr>
                <w:rFonts w:ascii="Courier New"/>
                <w:b/>
                <w:color w:val="5D5D5D"/>
                <w:w w:val="95"/>
                <w:sz w:val="23"/>
              </w:rPr>
              <w:t>.</w:t>
            </w:r>
            <w:r>
              <w:rPr>
                <w:rFonts w:ascii="Courier New"/>
                <w:b/>
                <w:color w:val="2F2D2D"/>
                <w:w w:val="95"/>
                <w:sz w:val="23"/>
              </w:rPr>
              <w:t>5.14</w:t>
            </w:r>
            <w:r>
              <w:rPr>
                <w:rFonts w:ascii="Courier New"/>
                <w:b/>
                <w:color w:val="2F2D2D"/>
                <w:spacing w:val="-76"/>
                <w:w w:val="95"/>
                <w:sz w:val="23"/>
              </w:rPr>
              <w:t> </w:t>
            </w:r>
            <w:r>
              <w:rPr>
                <w:color w:val="423F41"/>
                <w:w w:val="95"/>
                <w:sz w:val="21"/>
              </w:rPr>
              <w:t>Signature</w:t>
            </w:r>
          </w:p>
        </w:tc>
        <w:tc>
          <w:tcPr>
            <w:tcW w:w="997" w:type="dxa"/>
          </w:tcPr>
          <w:p>
            <w:pPr>
              <w:pStyle w:val="TableParagraph"/>
              <w:spacing w:line="241" w:lineRule="exact" w:before="9"/>
              <w:ind w:right="54"/>
              <w:jc w:val="right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D2D"/>
                <w:w w:val="105"/>
                <w:sz w:val="23"/>
              </w:rPr>
              <w:t>186</w:t>
            </w:r>
          </w:p>
        </w:tc>
      </w:tr>
    </w:tbl>
    <w:p>
      <w:pPr>
        <w:spacing w:after="0" w:line="241" w:lineRule="exact"/>
        <w:jc w:val="right"/>
        <w:rPr>
          <w:rFonts w:ascii="Courier New"/>
          <w:sz w:val="23"/>
        </w:rPr>
        <w:sectPr>
          <w:pgSz w:w="9690" w:h="13690"/>
          <w:pgMar w:header="485" w:footer="0" w:top="1140" w:bottom="280" w:left="500" w:right="1080"/>
        </w:sectPr>
      </w:pP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spacing w:after="0"/>
        <w:rPr>
          <w:rFonts w:ascii="Arial"/>
          <w:sz w:val="25"/>
        </w:rPr>
        <w:sectPr>
          <w:headerReference w:type="even" r:id="rId10"/>
          <w:headerReference w:type="default" r:id="rId11"/>
          <w:pgSz w:w="9770" w:h="13790"/>
          <w:pgMar w:header="496" w:footer="0" w:top="660" w:bottom="280" w:left="1360" w:right="320"/>
          <w:pgNumType w:start="16"/>
        </w:sectPr>
      </w:pPr>
    </w:p>
    <w:p>
      <w:pPr>
        <w:pStyle w:val="ListParagraph"/>
        <w:numPr>
          <w:ilvl w:val="2"/>
          <w:numId w:val="8"/>
        </w:numPr>
        <w:tabs>
          <w:tab w:pos="1900" w:val="left" w:leader="none"/>
        </w:tabs>
        <w:spacing w:line="252" w:lineRule="exact" w:before="149" w:after="0"/>
        <w:ind w:left="1899" w:right="0" w:hanging="732"/>
        <w:jc w:val="left"/>
        <w:rPr>
          <w:b/>
          <w:i/>
          <w:color w:val="312D2F"/>
          <w:sz w:val="22"/>
        </w:rPr>
      </w:pPr>
      <w:r>
        <w:rPr>
          <w:rFonts w:ascii="Arial"/>
          <w:color w:val="312D2F"/>
          <w:sz w:val="21"/>
        </w:rPr>
        <w:t>Certificate</w:t>
      </w:r>
      <w:r>
        <w:rPr>
          <w:rFonts w:ascii="Arial"/>
          <w:color w:val="312D2F"/>
          <w:spacing w:val="-8"/>
          <w:sz w:val="21"/>
        </w:rPr>
        <w:t> </w:t>
      </w:r>
      <w:r>
        <w:rPr>
          <w:rFonts w:ascii="Arial"/>
          <w:color w:val="312D2F"/>
          <w:sz w:val="21"/>
        </w:rPr>
        <w:t>of</w:t>
      </w:r>
      <w:r>
        <w:rPr>
          <w:rFonts w:ascii="Arial"/>
          <w:color w:val="312D2F"/>
          <w:spacing w:val="22"/>
          <w:sz w:val="21"/>
        </w:rPr>
        <w:t> </w:t>
      </w:r>
      <w:r>
        <w:rPr>
          <w:rFonts w:ascii="Arial"/>
          <w:color w:val="312D2F"/>
          <w:sz w:val="21"/>
        </w:rPr>
        <w:t>Service</w:t>
      </w:r>
    </w:p>
    <w:p>
      <w:pPr>
        <w:pStyle w:val="ListParagraph"/>
        <w:numPr>
          <w:ilvl w:val="2"/>
          <w:numId w:val="8"/>
        </w:numPr>
        <w:tabs>
          <w:tab w:pos="1890" w:val="left" w:leader="none"/>
        </w:tabs>
        <w:spacing w:line="252" w:lineRule="exact" w:before="0" w:after="0"/>
        <w:ind w:left="1889" w:right="0" w:hanging="722"/>
        <w:jc w:val="left"/>
        <w:rPr>
          <w:b/>
          <w:i/>
          <w:color w:val="312D2F"/>
          <w:sz w:val="20"/>
        </w:rPr>
      </w:pPr>
      <w:r>
        <w:rPr>
          <w:rFonts w:ascii="Arial"/>
          <w:color w:val="312D2F"/>
          <w:w w:val="105"/>
          <w:sz w:val="21"/>
        </w:rPr>
        <w:t>Certificate</w:t>
      </w:r>
      <w:r>
        <w:rPr>
          <w:rFonts w:ascii="Arial"/>
          <w:color w:val="312D2F"/>
          <w:spacing w:val="-11"/>
          <w:w w:val="105"/>
          <w:sz w:val="21"/>
        </w:rPr>
        <w:t> </w:t>
      </w:r>
      <w:r>
        <w:rPr>
          <w:rFonts w:ascii="Arial"/>
          <w:color w:val="312D2F"/>
          <w:w w:val="105"/>
          <w:sz w:val="21"/>
        </w:rPr>
        <w:t>of</w:t>
      </w:r>
      <w:r>
        <w:rPr>
          <w:rFonts w:ascii="Arial"/>
          <w:color w:val="312D2F"/>
          <w:spacing w:val="-5"/>
          <w:w w:val="105"/>
          <w:sz w:val="21"/>
        </w:rPr>
        <w:t> </w:t>
      </w:r>
      <w:r>
        <w:rPr>
          <w:rFonts w:ascii="Arial"/>
          <w:color w:val="312D2F"/>
          <w:w w:val="105"/>
          <w:sz w:val="21"/>
        </w:rPr>
        <w:t>Compliance</w:t>
      </w:r>
    </w:p>
    <w:p>
      <w:pPr>
        <w:pStyle w:val="ListParagraph"/>
        <w:numPr>
          <w:ilvl w:val="2"/>
          <w:numId w:val="8"/>
        </w:numPr>
        <w:tabs>
          <w:tab w:pos="1891" w:val="left" w:leader="none"/>
        </w:tabs>
        <w:spacing w:line="240" w:lineRule="auto" w:before="17" w:after="0"/>
        <w:ind w:left="1890" w:right="0" w:hanging="732"/>
        <w:jc w:val="left"/>
        <w:rPr>
          <w:b/>
          <w:color w:val="312D2F"/>
          <w:sz w:val="22"/>
        </w:rPr>
      </w:pPr>
      <w:r>
        <w:rPr>
          <w:rFonts w:ascii="Arial"/>
          <w:color w:val="312D2F"/>
          <w:w w:val="105"/>
          <w:sz w:val="21"/>
        </w:rPr>
        <w:t>Appendix</w:t>
      </w:r>
    </w:p>
    <w:p>
      <w:pPr>
        <w:tabs>
          <w:tab w:pos="1157" w:val="left" w:leader="none"/>
        </w:tabs>
        <w:spacing w:before="7"/>
        <w:ind w:left="455" w:right="0" w:firstLine="0"/>
        <w:jc w:val="left"/>
        <w:rPr>
          <w:rFonts w:ascii="Arial"/>
          <w:sz w:val="21"/>
        </w:rPr>
      </w:pPr>
      <w:r>
        <w:rPr>
          <w:b/>
          <w:color w:val="312D2F"/>
          <w:w w:val="105"/>
          <w:sz w:val="22"/>
        </w:rPr>
        <w:t>8.6</w:t>
        <w:tab/>
      </w:r>
      <w:r>
        <w:rPr>
          <w:rFonts w:ascii="Arial"/>
          <w:color w:val="312D2F"/>
          <w:w w:val="105"/>
          <w:sz w:val="21"/>
        </w:rPr>
        <w:t>Summary</w:t>
      </w:r>
    </w:p>
    <w:p>
      <w:pPr>
        <w:spacing w:line="252" w:lineRule="exact" w:before="91"/>
        <w:ind w:left="455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color w:val="312D2F"/>
          <w:sz w:val="22"/>
        </w:rPr>
        <w:t>186</w:t>
      </w:r>
    </w:p>
    <w:p>
      <w:pPr>
        <w:spacing w:line="252" w:lineRule="exact" w:before="0"/>
        <w:ind w:left="455" w:right="0" w:firstLine="0"/>
        <w:jc w:val="left"/>
        <w:rPr>
          <w:b/>
          <w:sz w:val="22"/>
        </w:rPr>
      </w:pPr>
      <w:r>
        <w:rPr>
          <w:b/>
          <w:color w:val="312D2F"/>
          <w:sz w:val="22"/>
        </w:rPr>
        <w:t>187</w:t>
      </w:r>
    </w:p>
    <w:p>
      <w:pPr>
        <w:spacing w:before="7"/>
        <w:ind w:left="455" w:right="0" w:firstLine="0"/>
        <w:jc w:val="left"/>
        <w:rPr>
          <w:b/>
          <w:sz w:val="22"/>
        </w:rPr>
      </w:pPr>
      <w:r>
        <w:rPr>
          <w:b/>
          <w:color w:val="312D2F"/>
          <w:sz w:val="22"/>
        </w:rPr>
        <w:t>187</w:t>
      </w:r>
    </w:p>
    <w:p>
      <w:pPr>
        <w:spacing w:before="8"/>
        <w:ind w:left="455" w:right="0" w:firstLine="0"/>
        <w:jc w:val="left"/>
        <w:rPr>
          <w:b/>
          <w:sz w:val="22"/>
        </w:rPr>
      </w:pPr>
      <w:r>
        <w:rPr>
          <w:b/>
          <w:color w:val="312D2F"/>
          <w:sz w:val="22"/>
        </w:rPr>
        <w:t>188</w:t>
      </w:r>
    </w:p>
    <w:p>
      <w:pPr>
        <w:spacing w:after="0"/>
        <w:jc w:val="left"/>
        <w:rPr>
          <w:sz w:val="22"/>
        </w:rPr>
        <w:sectPr>
          <w:type w:val="continuous"/>
          <w:pgSz w:w="9770" w:h="13790"/>
          <w:pgMar w:header="463" w:footer="0" w:top="340" w:bottom="280" w:left="1360" w:right="320"/>
          <w:cols w:num="2" w:equalWidth="0">
            <w:col w:w="4392" w:space="2719"/>
            <w:col w:w="979"/>
          </w:cols>
        </w:sectPr>
      </w:pPr>
    </w:p>
    <w:p>
      <w:pPr>
        <w:pStyle w:val="BodyText"/>
        <w:rPr>
          <w:b/>
          <w:sz w:val="27"/>
        </w:rPr>
      </w:pPr>
    </w:p>
    <w:p>
      <w:pPr>
        <w:spacing w:before="92"/>
        <w:ind w:left="444" w:right="0" w:firstLine="0"/>
        <w:jc w:val="left"/>
        <w:rPr>
          <w:b/>
          <w:sz w:val="21"/>
        </w:rPr>
      </w:pPr>
      <w:r>
        <w:rPr>
          <w:b/>
          <w:color w:val="312D2F"/>
          <w:w w:val="90"/>
          <w:sz w:val="21"/>
        </w:rPr>
        <w:t>CHAPTER</w:t>
      </w:r>
      <w:r>
        <w:rPr>
          <w:b/>
          <w:color w:val="312D2F"/>
          <w:spacing w:val="24"/>
          <w:w w:val="90"/>
          <w:sz w:val="21"/>
        </w:rPr>
        <w:t> </w:t>
      </w:r>
      <w:r>
        <w:rPr>
          <w:b/>
          <w:color w:val="312D2F"/>
          <w:w w:val="90"/>
          <w:sz w:val="21"/>
        </w:rPr>
        <w:t>NINE</w:t>
      </w:r>
    </w:p>
    <w:p>
      <w:pPr>
        <w:spacing w:before="10"/>
        <w:ind w:left="442" w:right="0" w:firstLine="0"/>
        <w:jc w:val="left"/>
        <w:rPr>
          <w:rFonts w:ascii="Arial"/>
          <w:sz w:val="24"/>
        </w:rPr>
      </w:pPr>
      <w:r>
        <w:rPr>
          <w:rFonts w:ascii="Arial"/>
          <w:color w:val="646667"/>
          <w:sz w:val="24"/>
        </w:rPr>
        <w:t>SPECIAL</w:t>
      </w:r>
      <w:r>
        <w:rPr>
          <w:rFonts w:ascii="Arial"/>
          <w:color w:val="646667"/>
          <w:spacing w:val="18"/>
          <w:sz w:val="24"/>
        </w:rPr>
        <w:t> </w:t>
      </w:r>
      <w:r>
        <w:rPr>
          <w:color w:val="797B7E"/>
          <w:sz w:val="26"/>
        </w:rPr>
        <w:t>TEAMS</w:t>
      </w:r>
      <w:r>
        <w:rPr>
          <w:color w:val="3F3D3F"/>
          <w:sz w:val="26"/>
        </w:rPr>
        <w:t>:</w:t>
      </w:r>
      <w:r>
        <w:rPr>
          <w:color w:val="3F3D3F"/>
          <w:spacing w:val="56"/>
          <w:sz w:val="26"/>
        </w:rPr>
        <w:t> </w:t>
      </w:r>
      <w:r>
        <w:rPr>
          <w:color w:val="646667"/>
          <w:sz w:val="26"/>
        </w:rPr>
        <w:t>ISSUE</w:t>
      </w:r>
      <w:r>
        <w:rPr>
          <w:color w:val="646667"/>
          <w:spacing w:val="45"/>
          <w:sz w:val="26"/>
        </w:rPr>
        <w:t> </w:t>
      </w:r>
      <w:r>
        <w:rPr>
          <w:rFonts w:ascii="Arial"/>
          <w:color w:val="646667"/>
          <w:sz w:val="24"/>
        </w:rPr>
        <w:t>STATEMENTS,</w:t>
      </w:r>
      <w:r>
        <w:rPr>
          <w:rFonts w:ascii="Arial"/>
          <w:color w:val="646667"/>
          <w:spacing w:val="5"/>
          <w:sz w:val="24"/>
        </w:rPr>
        <w:t> </w:t>
      </w:r>
      <w:r>
        <w:rPr>
          <w:rFonts w:ascii="Arial"/>
          <w:color w:val="646667"/>
          <w:sz w:val="24"/>
        </w:rPr>
        <w:t>STATEMENT</w:t>
      </w:r>
    </w:p>
    <w:p>
      <w:pPr>
        <w:spacing w:before="19"/>
        <w:ind w:left="441" w:right="0" w:firstLine="0"/>
        <w:jc w:val="left"/>
        <w:rPr>
          <w:rFonts w:ascii="Arial"/>
          <w:sz w:val="24"/>
        </w:rPr>
      </w:pPr>
      <w:r>
        <w:rPr>
          <w:rFonts w:ascii="Arial"/>
          <w:color w:val="525254"/>
          <w:w w:val="105"/>
          <w:sz w:val="25"/>
        </w:rPr>
        <w:t>OF</w:t>
      </w:r>
      <w:r>
        <w:rPr>
          <w:rFonts w:ascii="Arial"/>
          <w:color w:val="525254"/>
          <w:spacing w:val="6"/>
          <w:w w:val="105"/>
          <w:sz w:val="25"/>
        </w:rPr>
        <w:t> </w:t>
      </w:r>
      <w:r>
        <w:rPr>
          <w:rFonts w:ascii="Arial"/>
          <w:color w:val="646667"/>
          <w:w w:val="105"/>
          <w:sz w:val="24"/>
        </w:rPr>
        <w:t>THE</w:t>
      </w:r>
      <w:r>
        <w:rPr>
          <w:rFonts w:ascii="Arial"/>
          <w:color w:val="646667"/>
          <w:spacing w:val="29"/>
          <w:w w:val="105"/>
          <w:sz w:val="24"/>
        </w:rPr>
        <w:t> </w:t>
      </w:r>
      <w:r>
        <w:rPr>
          <w:color w:val="646667"/>
          <w:w w:val="105"/>
          <w:sz w:val="26"/>
        </w:rPr>
        <w:t>(ASE</w:t>
      </w:r>
      <w:r>
        <w:rPr>
          <w:color w:val="3F3D3F"/>
          <w:w w:val="105"/>
          <w:sz w:val="26"/>
        </w:rPr>
        <w:t>, </w:t>
      </w:r>
      <w:r>
        <w:rPr>
          <w:color w:val="3F3D3F"/>
          <w:spacing w:val="6"/>
          <w:w w:val="105"/>
          <w:sz w:val="26"/>
        </w:rPr>
        <w:t> </w:t>
      </w:r>
      <w:r>
        <w:rPr>
          <w:rFonts w:ascii="Arial"/>
          <w:color w:val="646667"/>
          <w:w w:val="105"/>
          <w:sz w:val="24"/>
        </w:rPr>
        <w:t>SUMMARY</w:t>
      </w:r>
      <w:r>
        <w:rPr>
          <w:rFonts w:ascii="Arial"/>
          <w:color w:val="646667"/>
          <w:spacing w:val="47"/>
          <w:w w:val="105"/>
          <w:sz w:val="24"/>
        </w:rPr>
        <w:t> </w:t>
      </w:r>
      <w:r>
        <w:rPr>
          <w:rFonts w:ascii="Arial"/>
          <w:color w:val="646667"/>
          <w:w w:val="105"/>
          <w:sz w:val="25"/>
        </w:rPr>
        <w:t>OF</w:t>
      </w:r>
      <w:r>
        <w:rPr>
          <w:rFonts w:ascii="Arial"/>
          <w:color w:val="646667"/>
          <w:spacing w:val="8"/>
          <w:w w:val="105"/>
          <w:sz w:val="25"/>
        </w:rPr>
        <w:t> </w:t>
      </w:r>
      <w:r>
        <w:rPr>
          <w:rFonts w:ascii="Arial"/>
          <w:color w:val="646667"/>
          <w:w w:val="105"/>
          <w:sz w:val="24"/>
        </w:rPr>
        <w:t>THE</w:t>
      </w:r>
      <w:r>
        <w:rPr>
          <w:rFonts w:ascii="Arial"/>
          <w:color w:val="646667"/>
          <w:spacing w:val="19"/>
          <w:w w:val="105"/>
          <w:sz w:val="24"/>
        </w:rPr>
        <w:t> </w:t>
      </w:r>
      <w:r>
        <w:rPr>
          <w:rFonts w:ascii="Arial"/>
          <w:color w:val="797B7E"/>
          <w:w w:val="105"/>
          <w:sz w:val="24"/>
        </w:rPr>
        <w:t>ARGUMENT</w:t>
      </w:r>
      <w:r>
        <w:rPr>
          <w:rFonts w:ascii="Arial"/>
          <w:color w:val="525254"/>
          <w:w w:val="105"/>
          <w:sz w:val="24"/>
        </w:rPr>
        <w:t>,</w:t>
      </w:r>
    </w:p>
    <w:p>
      <w:pPr>
        <w:tabs>
          <w:tab w:pos="7585" w:val="left" w:leader="none"/>
        </w:tabs>
        <w:spacing w:before="19"/>
        <w:ind w:left="454" w:right="0" w:firstLine="0"/>
        <w:jc w:val="left"/>
        <w:rPr>
          <w:b/>
          <w:sz w:val="22"/>
        </w:rPr>
      </w:pPr>
      <w:r>
        <w:rPr>
          <w:rFonts w:ascii="Arial"/>
          <w:color w:val="646667"/>
          <w:w w:val="105"/>
          <w:sz w:val="24"/>
        </w:rPr>
        <w:t>POINT</w:t>
      </w:r>
      <w:r>
        <w:rPr>
          <w:rFonts w:ascii="Arial"/>
          <w:color w:val="646667"/>
          <w:spacing w:val="43"/>
          <w:w w:val="105"/>
          <w:sz w:val="24"/>
        </w:rPr>
        <w:t> </w:t>
      </w:r>
      <w:r>
        <w:rPr>
          <w:color w:val="797B7E"/>
          <w:w w:val="105"/>
          <w:sz w:val="26"/>
        </w:rPr>
        <w:t>HEADING</w:t>
      </w:r>
      <w:r>
        <w:rPr>
          <w:color w:val="525254"/>
          <w:w w:val="105"/>
          <w:sz w:val="26"/>
        </w:rPr>
        <w:t>S</w:t>
        <w:tab/>
      </w:r>
      <w:r>
        <w:rPr>
          <w:b/>
          <w:color w:val="312D2F"/>
          <w:w w:val="105"/>
          <w:sz w:val="22"/>
        </w:rPr>
        <w:t>189</w:t>
      </w:r>
    </w:p>
    <w:p>
      <w:pPr>
        <w:pStyle w:val="ListParagraph"/>
        <w:numPr>
          <w:ilvl w:val="1"/>
          <w:numId w:val="9"/>
        </w:numPr>
        <w:tabs>
          <w:tab w:pos="1174" w:val="left" w:leader="none"/>
          <w:tab w:pos="1175" w:val="left" w:leader="none"/>
          <w:tab w:pos="7576" w:val="left" w:leader="none"/>
        </w:tabs>
        <w:spacing w:line="252" w:lineRule="exact" w:before="124" w:after="0"/>
        <w:ind w:left="1174" w:right="0" w:hanging="710"/>
        <w:jc w:val="left"/>
        <w:rPr>
          <w:b/>
          <w:color w:val="312D2F"/>
          <w:sz w:val="22"/>
        </w:rPr>
      </w:pPr>
      <w:r>
        <w:rPr>
          <w:rFonts w:ascii="Arial"/>
          <w:color w:val="312D2F"/>
          <w:spacing w:val="-1"/>
          <w:w w:val="105"/>
          <w:sz w:val="21"/>
        </w:rPr>
        <w:t>Writing</w:t>
      </w:r>
      <w:r>
        <w:rPr>
          <w:rFonts w:ascii="Arial"/>
          <w:color w:val="312D2F"/>
          <w:spacing w:val="-12"/>
          <w:w w:val="105"/>
          <w:sz w:val="21"/>
        </w:rPr>
        <w:t> </w:t>
      </w:r>
      <w:r>
        <w:rPr>
          <w:rFonts w:ascii="Arial"/>
          <w:color w:val="312D2F"/>
          <w:w w:val="105"/>
          <w:sz w:val="21"/>
        </w:rPr>
        <w:t>the</w:t>
      </w:r>
      <w:r>
        <w:rPr>
          <w:rFonts w:ascii="Arial"/>
          <w:color w:val="312D2F"/>
          <w:spacing w:val="-22"/>
          <w:w w:val="105"/>
          <w:sz w:val="21"/>
        </w:rPr>
        <w:t> </w:t>
      </w:r>
      <w:r>
        <w:rPr>
          <w:rFonts w:ascii="Arial"/>
          <w:color w:val="312D2F"/>
          <w:w w:val="105"/>
          <w:sz w:val="21"/>
        </w:rPr>
        <w:t>Issue</w:t>
      </w:r>
      <w:r>
        <w:rPr>
          <w:rFonts w:ascii="Arial"/>
          <w:color w:val="312D2F"/>
          <w:spacing w:val="2"/>
          <w:w w:val="105"/>
          <w:sz w:val="21"/>
        </w:rPr>
        <w:t> </w:t>
      </w:r>
      <w:r>
        <w:rPr>
          <w:rFonts w:ascii="Arial"/>
          <w:color w:val="3F3D3F"/>
          <w:w w:val="105"/>
          <w:sz w:val="21"/>
        </w:rPr>
        <w:t>Statement</w:t>
        <w:tab/>
      </w:r>
      <w:r>
        <w:rPr>
          <w:b/>
          <w:color w:val="312D2F"/>
          <w:w w:val="105"/>
          <w:sz w:val="22"/>
        </w:rPr>
        <w:t>190</w:t>
      </w:r>
    </w:p>
    <w:p>
      <w:pPr>
        <w:tabs>
          <w:tab w:pos="7576" w:val="left" w:leader="none"/>
        </w:tabs>
        <w:spacing w:line="252" w:lineRule="exact" w:before="0"/>
        <w:ind w:left="1173" w:right="0" w:firstLine="0"/>
        <w:jc w:val="left"/>
        <w:rPr>
          <w:b/>
          <w:sz w:val="22"/>
        </w:rPr>
      </w:pPr>
      <w:r>
        <w:rPr>
          <w:rFonts w:ascii="Arial"/>
          <w:b/>
          <w:i/>
          <w:color w:val="312D2F"/>
          <w:w w:val="105"/>
          <w:sz w:val="20"/>
        </w:rPr>
        <w:t>9</w:t>
      </w:r>
      <w:r>
        <w:rPr>
          <w:rFonts w:ascii="Arial"/>
          <w:b/>
          <w:i/>
          <w:color w:val="312D2F"/>
          <w:spacing w:val="2"/>
          <w:w w:val="105"/>
          <w:sz w:val="20"/>
        </w:rPr>
        <w:t> </w:t>
      </w:r>
      <w:r>
        <w:rPr>
          <w:b/>
          <w:color w:val="312D2F"/>
          <w:w w:val="105"/>
          <w:sz w:val="22"/>
        </w:rPr>
        <w:t>.1</w:t>
      </w:r>
      <w:r>
        <w:rPr>
          <w:b/>
          <w:color w:val="525254"/>
          <w:w w:val="105"/>
          <w:sz w:val="22"/>
        </w:rPr>
        <w:t>.</w:t>
      </w:r>
      <w:r>
        <w:rPr>
          <w:b/>
          <w:color w:val="312D2F"/>
          <w:w w:val="105"/>
          <w:sz w:val="22"/>
        </w:rPr>
        <w:t>1  </w:t>
      </w:r>
      <w:r>
        <w:rPr>
          <w:b/>
          <w:color w:val="312D2F"/>
          <w:spacing w:val="52"/>
          <w:w w:val="105"/>
          <w:sz w:val="22"/>
        </w:rPr>
        <w:t> </w:t>
      </w:r>
      <w:r>
        <w:rPr>
          <w:rFonts w:ascii="Arial"/>
          <w:color w:val="312D2F"/>
          <w:w w:val="105"/>
          <w:sz w:val="21"/>
        </w:rPr>
        <w:t>Motion</w:t>
      </w:r>
      <w:r>
        <w:rPr>
          <w:rFonts w:ascii="Arial"/>
          <w:color w:val="312D2F"/>
          <w:spacing w:val="-9"/>
          <w:w w:val="105"/>
          <w:sz w:val="21"/>
        </w:rPr>
        <w:t> </w:t>
      </w:r>
      <w:r>
        <w:rPr>
          <w:rFonts w:ascii="Arial"/>
          <w:color w:val="312D2F"/>
          <w:w w:val="105"/>
          <w:sz w:val="21"/>
        </w:rPr>
        <w:t>Brief</w:t>
      </w:r>
      <w:r>
        <w:rPr>
          <w:rFonts w:ascii="Arial"/>
          <w:color w:val="312D2F"/>
          <w:spacing w:val="15"/>
          <w:w w:val="105"/>
          <w:sz w:val="21"/>
        </w:rPr>
        <w:t> </w:t>
      </w:r>
      <w:r>
        <w:rPr>
          <w:rFonts w:ascii="Arial"/>
          <w:color w:val="312D2F"/>
          <w:w w:val="105"/>
          <w:sz w:val="21"/>
        </w:rPr>
        <w:t>Introductions</w:t>
        <w:tab/>
      </w:r>
      <w:r>
        <w:rPr>
          <w:b/>
          <w:color w:val="312D2F"/>
          <w:w w:val="110"/>
          <w:sz w:val="22"/>
        </w:rPr>
        <w:t>190</w:t>
      </w:r>
    </w:p>
    <w:p>
      <w:pPr>
        <w:tabs>
          <w:tab w:pos="7576" w:val="left" w:leader="none"/>
        </w:tabs>
        <w:spacing w:line="242" w:lineRule="exact" w:before="7"/>
        <w:ind w:left="1183" w:right="0" w:firstLine="0"/>
        <w:jc w:val="left"/>
        <w:rPr>
          <w:b/>
          <w:sz w:val="22"/>
        </w:rPr>
      </w:pPr>
      <w:r>
        <w:rPr>
          <w:rFonts w:ascii="Arial"/>
          <w:b/>
          <w:i/>
          <w:color w:val="312D2F"/>
          <w:spacing w:val="-1"/>
          <w:w w:val="105"/>
          <w:sz w:val="20"/>
        </w:rPr>
        <w:t>9</w:t>
      </w:r>
      <w:r>
        <w:rPr>
          <w:rFonts w:ascii="Arial"/>
          <w:b/>
          <w:i/>
          <w:color w:val="312D2F"/>
          <w:spacing w:val="-21"/>
          <w:w w:val="105"/>
          <w:sz w:val="20"/>
        </w:rPr>
        <w:t> </w:t>
      </w:r>
      <w:r>
        <w:rPr>
          <w:b/>
          <w:color w:val="312D2F"/>
          <w:spacing w:val="-1"/>
          <w:w w:val="105"/>
          <w:sz w:val="22"/>
        </w:rPr>
        <w:t>.1.2</w:t>
      </w:r>
      <w:r>
        <w:rPr>
          <w:b/>
          <w:color w:val="312D2F"/>
          <w:spacing w:val="88"/>
          <w:w w:val="105"/>
          <w:sz w:val="22"/>
        </w:rPr>
        <w:t> </w:t>
      </w:r>
      <w:r>
        <w:rPr>
          <w:rFonts w:ascii="Arial"/>
          <w:color w:val="312D2F"/>
          <w:w w:val="105"/>
          <w:sz w:val="21"/>
        </w:rPr>
        <w:t>Questions</w:t>
      </w:r>
      <w:r>
        <w:rPr>
          <w:rFonts w:ascii="Arial"/>
          <w:color w:val="312D2F"/>
          <w:spacing w:val="-5"/>
          <w:w w:val="105"/>
          <w:sz w:val="21"/>
        </w:rPr>
        <w:t> </w:t>
      </w:r>
      <w:r>
        <w:rPr>
          <w:rFonts w:ascii="Arial"/>
          <w:color w:val="312D2F"/>
          <w:w w:val="105"/>
          <w:sz w:val="21"/>
        </w:rPr>
        <w:t>Presented</w:t>
        <w:tab/>
      </w:r>
      <w:r>
        <w:rPr>
          <w:b/>
          <w:color w:val="312D2F"/>
          <w:w w:val="110"/>
          <w:sz w:val="22"/>
        </w:rPr>
        <w:t>191</w:t>
      </w:r>
    </w:p>
    <w:p>
      <w:pPr>
        <w:pStyle w:val="ListParagraph"/>
        <w:numPr>
          <w:ilvl w:val="0"/>
          <w:numId w:val="10"/>
        </w:numPr>
        <w:tabs>
          <w:tab w:pos="2307" w:val="left" w:leader="none"/>
          <w:tab w:pos="2308" w:val="left" w:leader="none"/>
          <w:tab w:pos="7576" w:val="left" w:leader="none"/>
        </w:tabs>
        <w:spacing w:line="262" w:lineRule="exact" w:before="0" w:after="0"/>
        <w:ind w:left="2307" w:right="0" w:hanging="390"/>
        <w:jc w:val="left"/>
        <w:rPr>
          <w:b/>
          <w:color w:val="312D2F"/>
          <w:sz w:val="24"/>
        </w:rPr>
      </w:pPr>
      <w:r>
        <w:rPr>
          <w:rFonts w:ascii="Arial"/>
          <w:color w:val="312D2F"/>
          <w:sz w:val="21"/>
        </w:rPr>
        <w:t>Elements</w:t>
      </w:r>
      <w:r>
        <w:rPr>
          <w:rFonts w:ascii="Arial"/>
          <w:color w:val="312D2F"/>
          <w:spacing w:val="12"/>
          <w:sz w:val="21"/>
        </w:rPr>
        <w:t> </w:t>
      </w:r>
      <w:r>
        <w:rPr>
          <w:rFonts w:ascii="Arial"/>
          <w:color w:val="312D2F"/>
          <w:sz w:val="21"/>
        </w:rPr>
        <w:t>to</w:t>
      </w:r>
      <w:r>
        <w:rPr>
          <w:rFonts w:ascii="Arial"/>
          <w:color w:val="312D2F"/>
          <w:spacing w:val="37"/>
          <w:sz w:val="21"/>
        </w:rPr>
        <w:t> </w:t>
      </w:r>
      <w:r>
        <w:rPr>
          <w:rFonts w:ascii="Arial"/>
          <w:color w:val="312D2F"/>
          <w:sz w:val="21"/>
        </w:rPr>
        <w:t>Include</w:t>
        <w:tab/>
      </w:r>
      <w:r>
        <w:rPr>
          <w:b/>
          <w:color w:val="312D2F"/>
          <w:sz w:val="22"/>
        </w:rPr>
        <w:t>192</w:t>
      </w:r>
    </w:p>
    <w:p>
      <w:pPr>
        <w:pStyle w:val="ListParagraph"/>
        <w:numPr>
          <w:ilvl w:val="0"/>
          <w:numId w:val="10"/>
        </w:numPr>
        <w:tabs>
          <w:tab w:pos="2299" w:val="left" w:leader="none"/>
          <w:tab w:pos="7585" w:val="left" w:leader="none"/>
        </w:tabs>
        <w:spacing w:line="250" w:lineRule="exact" w:before="0" w:after="0"/>
        <w:ind w:left="2298" w:right="0" w:hanging="365"/>
        <w:jc w:val="left"/>
        <w:rPr>
          <w:b/>
          <w:color w:val="312D2F"/>
          <w:sz w:val="22"/>
        </w:rPr>
      </w:pPr>
      <w:r>
        <w:rPr>
          <w:rFonts w:ascii="Arial"/>
          <w:color w:val="312D2F"/>
          <w:w w:val="95"/>
          <w:sz w:val="21"/>
        </w:rPr>
        <w:t>Persuasive</w:t>
      </w:r>
      <w:r>
        <w:rPr>
          <w:rFonts w:ascii="Arial"/>
          <w:color w:val="312D2F"/>
          <w:spacing w:val="38"/>
          <w:w w:val="95"/>
          <w:sz w:val="21"/>
        </w:rPr>
        <w:t> </w:t>
      </w:r>
      <w:r>
        <w:rPr>
          <w:rFonts w:ascii="Arial"/>
          <w:color w:val="312D2F"/>
          <w:w w:val="95"/>
          <w:sz w:val="21"/>
        </w:rPr>
        <w:t>Questions</w:t>
      </w:r>
      <w:r>
        <w:rPr>
          <w:rFonts w:ascii="Arial"/>
          <w:color w:val="312D2F"/>
          <w:spacing w:val="47"/>
          <w:w w:val="95"/>
          <w:sz w:val="21"/>
        </w:rPr>
        <w:t> </w:t>
      </w:r>
      <w:r>
        <w:rPr>
          <w:rFonts w:ascii="Arial"/>
          <w:color w:val="312D2F"/>
          <w:w w:val="95"/>
          <w:sz w:val="21"/>
        </w:rPr>
        <w:t>Presented</w:t>
        <w:tab/>
      </w:r>
      <w:r>
        <w:rPr>
          <w:b/>
          <w:color w:val="312D2F"/>
          <w:sz w:val="22"/>
        </w:rPr>
        <w:t>194</w:t>
      </w:r>
    </w:p>
    <w:p>
      <w:pPr>
        <w:pStyle w:val="ListParagraph"/>
        <w:numPr>
          <w:ilvl w:val="0"/>
          <w:numId w:val="10"/>
        </w:numPr>
        <w:tabs>
          <w:tab w:pos="2298" w:val="left" w:leader="none"/>
          <w:tab w:pos="2299" w:val="left" w:leader="none"/>
          <w:tab w:pos="7583" w:val="left" w:leader="none"/>
        </w:tabs>
        <w:spacing w:line="240" w:lineRule="auto" w:before="7" w:after="0"/>
        <w:ind w:left="2298" w:right="0" w:hanging="379"/>
        <w:jc w:val="left"/>
        <w:rPr>
          <w:b/>
          <w:color w:val="312D2F"/>
          <w:sz w:val="22"/>
        </w:rPr>
      </w:pPr>
      <w:r>
        <w:rPr>
          <w:rFonts w:ascii="Arial"/>
          <w:color w:val="312D2F"/>
          <w:sz w:val="21"/>
        </w:rPr>
        <w:t>Problems</w:t>
      </w:r>
      <w:r>
        <w:rPr>
          <w:rFonts w:ascii="Arial"/>
          <w:color w:val="312D2F"/>
          <w:spacing w:val="9"/>
          <w:sz w:val="21"/>
        </w:rPr>
        <w:t> </w:t>
      </w:r>
      <w:r>
        <w:rPr>
          <w:rFonts w:ascii="Arial"/>
          <w:color w:val="312D2F"/>
          <w:sz w:val="21"/>
        </w:rPr>
        <w:t>to</w:t>
      </w:r>
      <w:r>
        <w:rPr>
          <w:rFonts w:ascii="Arial"/>
          <w:color w:val="312D2F"/>
          <w:spacing w:val="50"/>
          <w:sz w:val="21"/>
        </w:rPr>
        <w:t> </w:t>
      </w:r>
      <w:r>
        <w:rPr>
          <w:rFonts w:ascii="Arial"/>
          <w:color w:val="312D2F"/>
          <w:sz w:val="21"/>
        </w:rPr>
        <w:t>Avoid</w:t>
        <w:tab/>
      </w:r>
      <w:r>
        <w:rPr>
          <w:rFonts w:ascii="Arial"/>
          <w:b/>
          <w:color w:val="312D2F"/>
          <w:w w:val="105"/>
          <w:sz w:val="21"/>
        </w:rPr>
        <w:t>196</w:t>
      </w:r>
    </w:p>
    <w:p>
      <w:pPr>
        <w:pStyle w:val="ListParagraph"/>
        <w:numPr>
          <w:ilvl w:val="1"/>
          <w:numId w:val="10"/>
        </w:numPr>
        <w:tabs>
          <w:tab w:pos="2739" w:val="left" w:leader="none"/>
          <w:tab w:pos="2740" w:val="left" w:leader="none"/>
          <w:tab w:pos="7583" w:val="left" w:leader="none"/>
        </w:tabs>
        <w:spacing w:line="240" w:lineRule="auto" w:before="16" w:after="0"/>
        <w:ind w:left="2739" w:right="0" w:hanging="455"/>
        <w:jc w:val="left"/>
        <w:rPr>
          <w:rFonts w:ascii="Arial"/>
          <w:b/>
          <w:sz w:val="21"/>
        </w:rPr>
      </w:pPr>
      <w:r>
        <w:rPr>
          <w:rFonts w:ascii="Arial"/>
          <w:color w:val="312D2F"/>
          <w:sz w:val="21"/>
        </w:rPr>
        <w:t>Assuming</w:t>
      </w:r>
      <w:r>
        <w:rPr>
          <w:rFonts w:ascii="Arial"/>
          <w:color w:val="312D2F"/>
          <w:spacing w:val="-9"/>
          <w:sz w:val="21"/>
        </w:rPr>
        <w:t> </w:t>
      </w:r>
      <w:r>
        <w:rPr>
          <w:rFonts w:ascii="Arial"/>
          <w:color w:val="312D2F"/>
          <w:sz w:val="21"/>
        </w:rPr>
        <w:t>Elements</w:t>
      </w:r>
      <w:r>
        <w:rPr>
          <w:rFonts w:ascii="Arial"/>
          <w:color w:val="312D2F"/>
          <w:spacing w:val="-15"/>
          <w:sz w:val="21"/>
        </w:rPr>
        <w:t> </w:t>
      </w:r>
      <w:r>
        <w:rPr>
          <w:rFonts w:ascii="Arial"/>
          <w:color w:val="312D2F"/>
          <w:sz w:val="21"/>
        </w:rPr>
        <w:t>at</w:t>
      </w:r>
      <w:r>
        <w:rPr>
          <w:rFonts w:ascii="Arial"/>
          <w:color w:val="312D2F"/>
          <w:spacing w:val="11"/>
          <w:sz w:val="21"/>
        </w:rPr>
        <w:t> </w:t>
      </w:r>
      <w:r>
        <w:rPr>
          <w:rFonts w:ascii="Arial"/>
          <w:color w:val="312D2F"/>
          <w:sz w:val="21"/>
        </w:rPr>
        <w:t>Issue</w:t>
        <w:tab/>
      </w:r>
      <w:r>
        <w:rPr>
          <w:rFonts w:ascii="Arial"/>
          <w:b/>
          <w:color w:val="312D2F"/>
          <w:sz w:val="21"/>
        </w:rPr>
        <w:t>196</w:t>
      </w:r>
    </w:p>
    <w:p>
      <w:pPr>
        <w:pStyle w:val="ListParagraph"/>
        <w:numPr>
          <w:ilvl w:val="1"/>
          <w:numId w:val="10"/>
        </w:numPr>
        <w:tabs>
          <w:tab w:pos="2729" w:val="left" w:leader="none"/>
          <w:tab w:pos="2730" w:val="left" w:leader="none"/>
          <w:tab w:pos="7595" w:val="left" w:leader="none"/>
        </w:tabs>
        <w:spacing w:line="240" w:lineRule="auto" w:before="1" w:after="0"/>
        <w:ind w:left="2729" w:right="0" w:hanging="445"/>
        <w:jc w:val="left"/>
        <w:rPr>
          <w:b/>
          <w:sz w:val="22"/>
        </w:rPr>
      </w:pPr>
      <w:r>
        <w:rPr>
          <w:rFonts w:ascii="Arial"/>
          <w:color w:val="312D2F"/>
          <w:w w:val="105"/>
          <w:sz w:val="21"/>
        </w:rPr>
        <w:t>Overlong</w:t>
      </w:r>
      <w:r>
        <w:rPr>
          <w:rFonts w:ascii="Arial"/>
          <w:color w:val="312D2F"/>
          <w:spacing w:val="-10"/>
          <w:w w:val="105"/>
          <w:sz w:val="21"/>
        </w:rPr>
        <w:t> </w:t>
      </w:r>
      <w:r>
        <w:rPr>
          <w:rFonts w:ascii="Arial"/>
          <w:color w:val="312D2F"/>
          <w:w w:val="105"/>
          <w:sz w:val="21"/>
        </w:rPr>
        <w:t>Questions</w:t>
        <w:tab/>
      </w:r>
      <w:r>
        <w:rPr>
          <w:b/>
          <w:color w:val="312D2F"/>
          <w:w w:val="105"/>
          <w:sz w:val="22"/>
        </w:rPr>
        <w:t>198</w:t>
      </w:r>
    </w:p>
    <w:p>
      <w:pPr>
        <w:pStyle w:val="ListParagraph"/>
        <w:numPr>
          <w:ilvl w:val="0"/>
          <w:numId w:val="10"/>
        </w:numPr>
        <w:tabs>
          <w:tab w:pos="2286" w:val="left" w:leader="none"/>
          <w:tab w:pos="7593" w:val="left" w:leader="none"/>
        </w:tabs>
        <w:spacing w:line="240" w:lineRule="auto" w:before="15" w:after="0"/>
        <w:ind w:left="2285" w:right="0" w:hanging="385"/>
        <w:jc w:val="left"/>
        <w:rPr>
          <w:rFonts w:ascii="Arial"/>
          <w:b/>
          <w:color w:val="312D2F"/>
          <w:sz w:val="21"/>
        </w:rPr>
      </w:pPr>
      <w:r>
        <w:rPr>
          <w:rFonts w:ascii="Arial"/>
          <w:color w:val="312D2F"/>
          <w:w w:val="105"/>
          <w:sz w:val="21"/>
        </w:rPr>
        <w:t>Summing</w:t>
      </w:r>
      <w:r>
        <w:rPr>
          <w:rFonts w:ascii="Arial"/>
          <w:color w:val="312D2F"/>
          <w:spacing w:val="12"/>
          <w:w w:val="105"/>
          <w:sz w:val="21"/>
        </w:rPr>
        <w:t> </w:t>
      </w:r>
      <w:r>
        <w:rPr>
          <w:rFonts w:ascii="Arial"/>
          <w:color w:val="312D2F"/>
          <w:w w:val="105"/>
          <w:sz w:val="21"/>
        </w:rPr>
        <w:t>Up</w:t>
        <w:tab/>
      </w:r>
      <w:r>
        <w:rPr>
          <w:rFonts w:ascii="Arial"/>
          <w:b/>
          <w:color w:val="312D2F"/>
          <w:w w:val="110"/>
          <w:sz w:val="21"/>
        </w:rPr>
        <w:t>199</w:t>
      </w:r>
    </w:p>
    <w:p>
      <w:pPr>
        <w:pStyle w:val="ListParagraph"/>
        <w:numPr>
          <w:ilvl w:val="1"/>
          <w:numId w:val="9"/>
        </w:numPr>
        <w:tabs>
          <w:tab w:pos="1157" w:val="left" w:leader="none"/>
          <w:tab w:pos="1158" w:val="left" w:leader="none"/>
          <w:tab w:pos="7602" w:val="left" w:leader="none"/>
        </w:tabs>
        <w:spacing w:line="240" w:lineRule="auto" w:before="11" w:after="0"/>
        <w:ind w:left="1157" w:right="0" w:hanging="712"/>
        <w:jc w:val="left"/>
        <w:rPr>
          <w:b/>
          <w:color w:val="312D2F"/>
          <w:sz w:val="22"/>
        </w:rPr>
      </w:pPr>
      <w:r>
        <w:rPr>
          <w:rFonts w:ascii="Arial"/>
          <w:color w:val="312D2F"/>
          <w:sz w:val="21"/>
        </w:rPr>
        <w:t>Statements</w:t>
      </w:r>
      <w:r>
        <w:rPr>
          <w:rFonts w:ascii="Arial"/>
          <w:color w:val="312D2F"/>
          <w:spacing w:val="2"/>
          <w:sz w:val="21"/>
        </w:rPr>
        <w:t> </w:t>
      </w:r>
      <w:r>
        <w:rPr>
          <w:rFonts w:ascii="Arial"/>
          <w:color w:val="312D2F"/>
          <w:sz w:val="21"/>
        </w:rPr>
        <w:t>of</w:t>
      </w:r>
      <w:r>
        <w:rPr>
          <w:rFonts w:ascii="Arial"/>
          <w:color w:val="312D2F"/>
          <w:spacing w:val="35"/>
          <w:sz w:val="21"/>
        </w:rPr>
        <w:t> </w:t>
      </w:r>
      <w:r>
        <w:rPr>
          <w:rFonts w:ascii="Arial"/>
          <w:color w:val="312D2F"/>
          <w:sz w:val="21"/>
        </w:rPr>
        <w:t>the</w:t>
      </w:r>
      <w:r>
        <w:rPr>
          <w:rFonts w:ascii="Arial"/>
          <w:color w:val="312D2F"/>
          <w:spacing w:val="17"/>
          <w:sz w:val="21"/>
        </w:rPr>
        <w:t> </w:t>
      </w:r>
      <w:r>
        <w:rPr>
          <w:rFonts w:ascii="Arial"/>
          <w:color w:val="312D2F"/>
          <w:sz w:val="21"/>
        </w:rPr>
        <w:t>Case</w:t>
        <w:tab/>
      </w:r>
      <w:r>
        <w:rPr>
          <w:rFonts w:ascii="Arial"/>
          <w:b/>
          <w:color w:val="312D2F"/>
          <w:sz w:val="21"/>
        </w:rPr>
        <w:t>199</w:t>
      </w:r>
    </w:p>
    <w:p>
      <w:pPr>
        <w:pStyle w:val="ListParagraph"/>
        <w:numPr>
          <w:ilvl w:val="2"/>
          <w:numId w:val="9"/>
        </w:numPr>
        <w:tabs>
          <w:tab w:pos="1893" w:val="left" w:leader="none"/>
          <w:tab w:pos="7604" w:val="left" w:leader="none"/>
        </w:tabs>
        <w:spacing w:line="247" w:lineRule="exact" w:before="7" w:after="0"/>
        <w:ind w:left="1892" w:right="0" w:hanging="762"/>
        <w:jc w:val="left"/>
        <w:rPr>
          <w:rFonts w:ascii="Arial"/>
          <w:b/>
          <w:sz w:val="21"/>
        </w:rPr>
      </w:pPr>
      <w:r>
        <w:rPr>
          <w:rFonts w:ascii="Arial"/>
          <w:color w:val="312D2F"/>
          <w:sz w:val="21"/>
        </w:rPr>
        <w:t>Formal</w:t>
      </w:r>
      <w:r>
        <w:rPr>
          <w:rFonts w:ascii="Arial"/>
          <w:color w:val="312D2F"/>
          <w:spacing w:val="23"/>
          <w:sz w:val="21"/>
        </w:rPr>
        <w:t> </w:t>
      </w:r>
      <w:r>
        <w:rPr>
          <w:rFonts w:ascii="Arial"/>
          <w:color w:val="312D2F"/>
          <w:sz w:val="21"/>
        </w:rPr>
        <w:t>Requirements</w:t>
        <w:tab/>
      </w:r>
      <w:r>
        <w:rPr>
          <w:rFonts w:ascii="Arial"/>
          <w:b/>
          <w:color w:val="312D2F"/>
          <w:w w:val="105"/>
          <w:sz w:val="21"/>
        </w:rPr>
        <w:t>200</w:t>
      </w:r>
    </w:p>
    <w:p>
      <w:pPr>
        <w:pStyle w:val="ListParagraph"/>
        <w:numPr>
          <w:ilvl w:val="2"/>
          <w:numId w:val="9"/>
        </w:numPr>
        <w:tabs>
          <w:tab w:pos="1880" w:val="left" w:leader="none"/>
          <w:tab w:pos="1881" w:val="left" w:leader="none"/>
          <w:tab w:pos="7595" w:val="left" w:leader="none"/>
        </w:tabs>
        <w:spacing w:line="247" w:lineRule="exact" w:before="0" w:after="0"/>
        <w:ind w:left="1880" w:right="0" w:hanging="750"/>
        <w:jc w:val="left"/>
        <w:rPr>
          <w:b/>
          <w:sz w:val="22"/>
        </w:rPr>
      </w:pPr>
      <w:r>
        <w:rPr>
          <w:rFonts w:ascii="Arial"/>
          <w:color w:val="312D2F"/>
          <w:w w:val="105"/>
          <w:sz w:val="21"/>
        </w:rPr>
        <w:t>Organizing</w:t>
      </w:r>
      <w:r>
        <w:rPr>
          <w:rFonts w:ascii="Arial"/>
          <w:color w:val="312D2F"/>
          <w:spacing w:val="10"/>
          <w:w w:val="105"/>
          <w:sz w:val="21"/>
        </w:rPr>
        <w:t> </w:t>
      </w:r>
      <w:r>
        <w:rPr>
          <w:rFonts w:ascii="Arial"/>
          <w:color w:val="312D2F"/>
          <w:w w:val="105"/>
          <w:sz w:val="21"/>
        </w:rPr>
        <w:t>the</w:t>
      </w:r>
      <w:r>
        <w:rPr>
          <w:rFonts w:ascii="Arial"/>
          <w:color w:val="312D2F"/>
          <w:spacing w:val="-5"/>
          <w:w w:val="105"/>
          <w:sz w:val="21"/>
        </w:rPr>
        <w:t> </w:t>
      </w:r>
      <w:r>
        <w:rPr>
          <w:rFonts w:ascii="Arial"/>
          <w:color w:val="312D2F"/>
          <w:w w:val="105"/>
          <w:sz w:val="21"/>
        </w:rPr>
        <w:t>Fact</w:t>
      </w:r>
      <w:r>
        <w:rPr>
          <w:rFonts w:ascii="Arial"/>
          <w:color w:val="312D2F"/>
          <w:spacing w:val="-8"/>
          <w:w w:val="105"/>
          <w:sz w:val="21"/>
        </w:rPr>
        <w:t> </w:t>
      </w:r>
      <w:r>
        <w:rPr>
          <w:rFonts w:ascii="Arial"/>
          <w:color w:val="312D2F"/>
          <w:w w:val="105"/>
          <w:sz w:val="21"/>
        </w:rPr>
        <w:t>Statement</w:t>
        <w:tab/>
      </w:r>
      <w:r>
        <w:rPr>
          <w:b/>
          <w:color w:val="312D2F"/>
          <w:w w:val="105"/>
          <w:sz w:val="22"/>
        </w:rPr>
        <w:t>201</w:t>
      </w:r>
    </w:p>
    <w:p>
      <w:pPr>
        <w:pStyle w:val="ListParagraph"/>
        <w:numPr>
          <w:ilvl w:val="2"/>
          <w:numId w:val="9"/>
        </w:numPr>
        <w:tabs>
          <w:tab w:pos="1874" w:val="left" w:leader="none"/>
          <w:tab w:pos="1875" w:val="left" w:leader="none"/>
          <w:tab w:pos="7595" w:val="left" w:leader="none"/>
        </w:tabs>
        <w:spacing w:line="252" w:lineRule="exact" w:before="7" w:after="0"/>
        <w:ind w:left="1874" w:right="0" w:hanging="754"/>
        <w:jc w:val="left"/>
        <w:rPr>
          <w:b/>
          <w:sz w:val="22"/>
        </w:rPr>
      </w:pPr>
      <w:r>
        <w:rPr>
          <w:rFonts w:ascii="Arial"/>
          <w:color w:val="312D2F"/>
          <w:sz w:val="21"/>
        </w:rPr>
        <w:t>Making</w:t>
      </w:r>
      <w:r>
        <w:rPr>
          <w:rFonts w:ascii="Arial"/>
          <w:color w:val="312D2F"/>
          <w:spacing w:val="15"/>
          <w:sz w:val="21"/>
        </w:rPr>
        <w:t> </w:t>
      </w:r>
      <w:r>
        <w:rPr>
          <w:rFonts w:ascii="Arial"/>
          <w:color w:val="312D2F"/>
          <w:sz w:val="21"/>
        </w:rPr>
        <w:t>the</w:t>
      </w:r>
      <w:r>
        <w:rPr>
          <w:rFonts w:ascii="Arial"/>
          <w:color w:val="312D2F"/>
          <w:spacing w:val="12"/>
          <w:sz w:val="21"/>
        </w:rPr>
        <w:t> </w:t>
      </w:r>
      <w:r>
        <w:rPr>
          <w:rFonts w:ascii="Arial"/>
          <w:color w:val="312D2F"/>
          <w:sz w:val="21"/>
        </w:rPr>
        <w:t>Fact</w:t>
      </w:r>
      <w:r>
        <w:rPr>
          <w:rFonts w:ascii="Arial"/>
          <w:color w:val="312D2F"/>
          <w:spacing w:val="20"/>
          <w:sz w:val="21"/>
        </w:rPr>
        <w:t> </w:t>
      </w:r>
      <w:r>
        <w:rPr>
          <w:rFonts w:ascii="Arial"/>
          <w:color w:val="312D2F"/>
          <w:sz w:val="21"/>
        </w:rPr>
        <w:t>Statement</w:t>
      </w:r>
      <w:r>
        <w:rPr>
          <w:rFonts w:ascii="Arial"/>
          <w:color w:val="312D2F"/>
          <w:spacing w:val="24"/>
          <w:sz w:val="21"/>
        </w:rPr>
        <w:t> </w:t>
      </w:r>
      <w:r>
        <w:rPr>
          <w:rFonts w:ascii="Arial"/>
          <w:color w:val="312D2F"/>
          <w:sz w:val="21"/>
        </w:rPr>
        <w:t>Persuasive</w:t>
        <w:tab/>
      </w:r>
      <w:r>
        <w:rPr>
          <w:b/>
          <w:color w:val="312D2F"/>
          <w:w w:val="105"/>
          <w:sz w:val="22"/>
        </w:rPr>
        <w:t>203</w:t>
      </w:r>
    </w:p>
    <w:p>
      <w:pPr>
        <w:pStyle w:val="ListParagraph"/>
        <w:numPr>
          <w:ilvl w:val="3"/>
          <w:numId w:val="9"/>
        </w:numPr>
        <w:tabs>
          <w:tab w:pos="2250" w:val="left" w:leader="none"/>
          <w:tab w:pos="2251" w:val="left" w:leader="none"/>
          <w:tab w:pos="7578" w:val="left" w:leader="none"/>
        </w:tabs>
        <w:spacing w:line="261" w:lineRule="exact" w:before="0" w:after="0"/>
        <w:ind w:left="2250" w:right="0" w:hanging="391"/>
        <w:jc w:val="left"/>
        <w:rPr>
          <w:rFonts w:ascii="Arial"/>
          <w:b/>
          <w:i/>
          <w:sz w:val="20"/>
        </w:rPr>
      </w:pPr>
      <w:r>
        <w:rPr>
          <w:rFonts w:ascii="Arial"/>
          <w:color w:val="312D2F"/>
          <w:sz w:val="21"/>
        </w:rPr>
        <w:t>Positions</w:t>
      </w:r>
      <w:r>
        <w:rPr>
          <w:rFonts w:ascii="Arial"/>
          <w:color w:val="312D2F"/>
          <w:spacing w:val="-4"/>
          <w:sz w:val="21"/>
        </w:rPr>
        <w:t> </w:t>
      </w:r>
      <w:r>
        <w:rPr>
          <w:rFonts w:ascii="Arial"/>
          <w:color w:val="312D2F"/>
          <w:sz w:val="21"/>
        </w:rPr>
        <w:t>of</w:t>
      </w:r>
      <w:r>
        <w:rPr>
          <w:rFonts w:ascii="Arial"/>
          <w:color w:val="312D2F"/>
          <w:spacing w:val="9"/>
          <w:sz w:val="21"/>
        </w:rPr>
        <w:t> </w:t>
      </w:r>
      <w:r>
        <w:rPr>
          <w:rFonts w:ascii="Arial"/>
          <w:color w:val="312D2F"/>
          <w:sz w:val="21"/>
        </w:rPr>
        <w:t>Emphasis</w:t>
        <w:tab/>
      </w:r>
      <w:r>
        <w:rPr>
          <w:rFonts w:ascii="Arial"/>
          <w:b/>
          <w:i/>
          <w:color w:val="312D2F"/>
          <w:sz w:val="20"/>
        </w:rPr>
        <w:t>209</w:t>
      </w:r>
    </w:p>
    <w:p>
      <w:pPr>
        <w:pStyle w:val="ListParagraph"/>
        <w:numPr>
          <w:ilvl w:val="3"/>
          <w:numId w:val="9"/>
        </w:numPr>
        <w:tabs>
          <w:tab w:pos="2232" w:val="left" w:leader="none"/>
          <w:tab w:pos="7585" w:val="left" w:leader="none"/>
        </w:tabs>
        <w:spacing w:line="260" w:lineRule="exact" w:before="0" w:after="0"/>
        <w:ind w:left="2231" w:right="0" w:hanging="376"/>
        <w:jc w:val="left"/>
        <w:rPr>
          <w:b/>
          <w:sz w:val="22"/>
        </w:rPr>
      </w:pPr>
      <w:r>
        <w:rPr>
          <w:rFonts w:ascii="Arial"/>
          <w:color w:val="312D2F"/>
          <w:w w:val="105"/>
          <w:sz w:val="21"/>
        </w:rPr>
        <w:t>Pointillism</w:t>
        <w:tab/>
      </w:r>
      <w:r>
        <w:rPr>
          <w:b/>
          <w:color w:val="312D2F"/>
          <w:w w:val="105"/>
          <w:sz w:val="22"/>
        </w:rPr>
        <w:t>210</w:t>
      </w:r>
    </w:p>
    <w:p>
      <w:pPr>
        <w:pStyle w:val="ListParagraph"/>
        <w:numPr>
          <w:ilvl w:val="3"/>
          <w:numId w:val="9"/>
        </w:numPr>
        <w:tabs>
          <w:tab w:pos="2227" w:val="left" w:leader="none"/>
          <w:tab w:pos="2228" w:val="left" w:leader="none"/>
        </w:tabs>
        <w:spacing w:line="262" w:lineRule="exact" w:before="0" w:after="0"/>
        <w:ind w:left="2227" w:right="0" w:hanging="385"/>
        <w:jc w:val="left"/>
        <w:rPr>
          <w:rFonts w:ascii="Arial"/>
          <w:sz w:val="21"/>
        </w:rPr>
      </w:pPr>
      <w:r>
        <w:rPr>
          <w:rFonts w:ascii="Arial"/>
          <w:color w:val="3F3D3F"/>
          <w:sz w:val="21"/>
        </w:rPr>
        <w:t>Spending</w:t>
      </w:r>
      <w:r>
        <w:rPr>
          <w:rFonts w:ascii="Arial"/>
          <w:color w:val="3F3D3F"/>
          <w:spacing w:val="3"/>
          <w:sz w:val="21"/>
        </w:rPr>
        <w:t> </w:t>
      </w:r>
      <w:r>
        <w:rPr>
          <w:rFonts w:ascii="Arial"/>
          <w:color w:val="312D2F"/>
          <w:sz w:val="21"/>
        </w:rPr>
        <w:t>the</w:t>
      </w:r>
      <w:r>
        <w:rPr>
          <w:rFonts w:ascii="Arial"/>
          <w:color w:val="312D2F"/>
          <w:spacing w:val="10"/>
          <w:sz w:val="21"/>
        </w:rPr>
        <w:t> </w:t>
      </w:r>
      <w:r>
        <w:rPr>
          <w:rFonts w:ascii="Arial"/>
          <w:color w:val="312D2F"/>
          <w:sz w:val="21"/>
        </w:rPr>
        <w:t>Reader's</w:t>
      </w:r>
      <w:r>
        <w:rPr>
          <w:rFonts w:ascii="Arial"/>
          <w:color w:val="312D2F"/>
          <w:spacing w:val="6"/>
          <w:sz w:val="21"/>
        </w:rPr>
        <w:t> </w:t>
      </w:r>
      <w:r>
        <w:rPr>
          <w:rFonts w:ascii="Arial"/>
          <w:color w:val="312D2F"/>
          <w:sz w:val="21"/>
        </w:rPr>
        <w:t>Time,</w:t>
      </w:r>
      <w:r>
        <w:rPr>
          <w:rFonts w:ascii="Arial"/>
          <w:color w:val="312D2F"/>
          <w:spacing w:val="8"/>
          <w:sz w:val="21"/>
        </w:rPr>
        <w:t> </w:t>
      </w:r>
      <w:r>
        <w:rPr>
          <w:rFonts w:ascii="Arial"/>
          <w:color w:val="312D2F"/>
          <w:sz w:val="21"/>
        </w:rPr>
        <w:t>Saving</w:t>
      </w:r>
      <w:r>
        <w:rPr>
          <w:rFonts w:ascii="Arial"/>
          <w:color w:val="312D2F"/>
          <w:spacing w:val="1"/>
          <w:sz w:val="21"/>
        </w:rPr>
        <w:t> </w:t>
      </w:r>
      <w:r>
        <w:rPr>
          <w:rFonts w:ascii="Arial"/>
          <w:color w:val="312D2F"/>
          <w:sz w:val="21"/>
        </w:rPr>
        <w:t>the</w:t>
      </w:r>
      <w:r>
        <w:rPr>
          <w:rFonts w:ascii="Arial"/>
          <w:color w:val="312D2F"/>
          <w:spacing w:val="35"/>
          <w:sz w:val="21"/>
        </w:rPr>
        <w:t> </w:t>
      </w:r>
      <w:r>
        <w:rPr>
          <w:rFonts w:ascii="Arial"/>
          <w:color w:val="312D2F"/>
          <w:sz w:val="21"/>
        </w:rPr>
        <w:t>Reader's</w:t>
      </w:r>
    </w:p>
    <w:p>
      <w:pPr>
        <w:tabs>
          <w:tab w:pos="7575" w:val="left" w:leader="none"/>
        </w:tabs>
        <w:spacing w:before="5"/>
        <w:ind w:left="2211" w:right="0" w:firstLine="0"/>
        <w:jc w:val="left"/>
        <w:rPr>
          <w:b/>
          <w:sz w:val="22"/>
        </w:rPr>
      </w:pPr>
      <w:r>
        <w:rPr>
          <w:rFonts w:ascii="Arial"/>
          <w:color w:val="312D2F"/>
          <w:sz w:val="21"/>
        </w:rPr>
        <w:t>Energy</w:t>
        <w:tab/>
      </w:r>
      <w:r>
        <w:rPr>
          <w:b/>
          <w:color w:val="312D2F"/>
          <w:sz w:val="22"/>
        </w:rPr>
        <w:t>210</w:t>
      </w:r>
    </w:p>
    <w:p>
      <w:pPr>
        <w:pStyle w:val="ListParagraph"/>
        <w:numPr>
          <w:ilvl w:val="2"/>
          <w:numId w:val="9"/>
        </w:numPr>
        <w:tabs>
          <w:tab w:pos="1832" w:val="left" w:leader="none"/>
          <w:tab w:pos="1833" w:val="left" w:leader="none"/>
          <w:tab w:pos="7575" w:val="left" w:leader="none"/>
        </w:tabs>
        <w:spacing w:line="240" w:lineRule="auto" w:before="7" w:after="0"/>
        <w:ind w:left="1832" w:right="0" w:hanging="741"/>
        <w:jc w:val="left"/>
        <w:rPr>
          <w:b/>
          <w:sz w:val="22"/>
        </w:rPr>
      </w:pPr>
      <w:r>
        <w:rPr>
          <w:rFonts w:ascii="Arial"/>
          <w:color w:val="312D2F"/>
          <w:spacing w:val="-1"/>
          <w:w w:val="105"/>
          <w:sz w:val="21"/>
        </w:rPr>
        <w:t>Special</w:t>
      </w:r>
      <w:r>
        <w:rPr>
          <w:rFonts w:ascii="Arial"/>
          <w:color w:val="312D2F"/>
          <w:spacing w:val="-4"/>
          <w:w w:val="105"/>
          <w:sz w:val="21"/>
        </w:rPr>
        <w:t> </w:t>
      </w:r>
      <w:r>
        <w:rPr>
          <w:rFonts w:ascii="Arial"/>
          <w:color w:val="312D2F"/>
          <w:spacing w:val="-1"/>
          <w:w w:val="105"/>
          <w:sz w:val="21"/>
        </w:rPr>
        <w:t>Considerations</w:t>
      </w:r>
      <w:r>
        <w:rPr>
          <w:rFonts w:ascii="Arial"/>
          <w:color w:val="312D2F"/>
          <w:spacing w:val="-26"/>
          <w:w w:val="105"/>
          <w:sz w:val="21"/>
        </w:rPr>
        <w:t> </w:t>
      </w:r>
      <w:r>
        <w:rPr>
          <w:rFonts w:ascii="Arial"/>
          <w:color w:val="312D2F"/>
          <w:spacing w:val="-1"/>
          <w:w w:val="105"/>
          <w:sz w:val="21"/>
        </w:rPr>
        <w:t>for</w:t>
      </w:r>
      <w:r>
        <w:rPr>
          <w:rFonts w:ascii="Arial"/>
          <w:color w:val="312D2F"/>
          <w:spacing w:val="14"/>
          <w:w w:val="105"/>
          <w:sz w:val="21"/>
        </w:rPr>
        <w:t> </w:t>
      </w:r>
      <w:r>
        <w:rPr>
          <w:rFonts w:ascii="Arial"/>
          <w:color w:val="312D2F"/>
          <w:spacing w:val="-1"/>
          <w:w w:val="105"/>
          <w:sz w:val="21"/>
        </w:rPr>
        <w:t>Motion</w:t>
      </w:r>
      <w:r>
        <w:rPr>
          <w:rFonts w:ascii="Arial"/>
          <w:color w:val="312D2F"/>
          <w:spacing w:val="-15"/>
          <w:w w:val="105"/>
          <w:sz w:val="21"/>
        </w:rPr>
        <w:t> </w:t>
      </w:r>
      <w:r>
        <w:rPr>
          <w:rFonts w:ascii="Arial"/>
          <w:color w:val="312D2F"/>
          <w:spacing w:val="-1"/>
          <w:w w:val="105"/>
          <w:sz w:val="21"/>
        </w:rPr>
        <w:t>Brief</w:t>
      </w:r>
      <w:r>
        <w:rPr>
          <w:rFonts w:ascii="Arial"/>
          <w:color w:val="312D2F"/>
          <w:spacing w:val="-4"/>
          <w:w w:val="105"/>
          <w:sz w:val="21"/>
        </w:rPr>
        <w:t> </w:t>
      </w:r>
      <w:r>
        <w:rPr>
          <w:rFonts w:ascii="Arial"/>
          <w:color w:val="312D2F"/>
          <w:w w:val="105"/>
          <w:sz w:val="21"/>
        </w:rPr>
        <w:t>Fact</w:t>
      </w:r>
      <w:r>
        <w:rPr>
          <w:rFonts w:ascii="Arial"/>
          <w:color w:val="312D2F"/>
          <w:spacing w:val="-8"/>
          <w:w w:val="105"/>
          <w:sz w:val="21"/>
        </w:rPr>
        <w:t> </w:t>
      </w:r>
      <w:r>
        <w:rPr>
          <w:rFonts w:ascii="Arial"/>
          <w:color w:val="312D2F"/>
          <w:w w:val="105"/>
          <w:sz w:val="21"/>
        </w:rPr>
        <w:t>Statements</w:t>
        <w:tab/>
      </w:r>
      <w:r>
        <w:rPr>
          <w:b/>
          <w:color w:val="312D2F"/>
          <w:w w:val="105"/>
          <w:sz w:val="22"/>
        </w:rPr>
        <w:t>212</w:t>
      </w:r>
    </w:p>
    <w:p>
      <w:pPr>
        <w:pStyle w:val="ListParagraph"/>
        <w:numPr>
          <w:ilvl w:val="2"/>
          <w:numId w:val="9"/>
        </w:numPr>
        <w:tabs>
          <w:tab w:pos="1823" w:val="left" w:leader="none"/>
          <w:tab w:pos="7575" w:val="left" w:leader="none"/>
        </w:tabs>
        <w:spacing w:line="240" w:lineRule="auto" w:before="17" w:after="0"/>
        <w:ind w:left="1822" w:right="0" w:hanging="740"/>
        <w:jc w:val="left"/>
        <w:rPr>
          <w:b/>
          <w:sz w:val="22"/>
        </w:rPr>
      </w:pPr>
      <w:r>
        <w:rPr>
          <w:rFonts w:ascii="Arial"/>
          <w:color w:val="312D2F"/>
          <w:w w:val="110"/>
          <w:sz w:val="21"/>
        </w:rPr>
        <w:t>Summing</w:t>
      </w:r>
      <w:r>
        <w:rPr>
          <w:rFonts w:ascii="Arial"/>
          <w:color w:val="312D2F"/>
          <w:spacing w:val="-14"/>
          <w:w w:val="110"/>
          <w:sz w:val="21"/>
        </w:rPr>
        <w:t> </w:t>
      </w:r>
      <w:r>
        <w:rPr>
          <w:rFonts w:ascii="Arial"/>
          <w:color w:val="312D2F"/>
          <w:w w:val="110"/>
          <w:sz w:val="21"/>
        </w:rPr>
        <w:t>Up</w:t>
        <w:tab/>
      </w:r>
      <w:r>
        <w:rPr>
          <w:b/>
          <w:color w:val="312D2F"/>
          <w:w w:val="110"/>
          <w:sz w:val="22"/>
        </w:rPr>
        <w:t>214</w:t>
      </w:r>
    </w:p>
    <w:p>
      <w:pPr>
        <w:pStyle w:val="ListParagraph"/>
        <w:numPr>
          <w:ilvl w:val="1"/>
          <w:numId w:val="9"/>
        </w:numPr>
        <w:tabs>
          <w:tab w:pos="1089" w:val="left" w:leader="none"/>
          <w:tab w:pos="1090" w:val="left" w:leader="none"/>
          <w:tab w:pos="7575" w:val="left" w:leader="none"/>
        </w:tabs>
        <w:spacing w:line="252" w:lineRule="exact" w:before="7" w:after="0"/>
        <w:ind w:left="1089" w:right="0" w:hanging="712"/>
        <w:jc w:val="left"/>
        <w:rPr>
          <w:b/>
          <w:color w:val="312D2F"/>
          <w:sz w:val="22"/>
        </w:rPr>
      </w:pPr>
      <w:r>
        <w:rPr>
          <w:rFonts w:ascii="Arial"/>
          <w:color w:val="312D2F"/>
          <w:w w:val="105"/>
          <w:sz w:val="21"/>
        </w:rPr>
        <w:t>Summary</w:t>
      </w:r>
      <w:r>
        <w:rPr>
          <w:rFonts w:ascii="Arial"/>
          <w:color w:val="312D2F"/>
          <w:spacing w:val="-4"/>
          <w:w w:val="105"/>
          <w:sz w:val="21"/>
        </w:rPr>
        <w:t> </w:t>
      </w:r>
      <w:r>
        <w:rPr>
          <w:rFonts w:ascii="Arial"/>
          <w:color w:val="3F3D3F"/>
          <w:w w:val="105"/>
          <w:sz w:val="21"/>
        </w:rPr>
        <w:t>of</w:t>
      </w:r>
      <w:r>
        <w:rPr>
          <w:rFonts w:ascii="Arial"/>
          <w:color w:val="3F3D3F"/>
          <w:spacing w:val="22"/>
          <w:w w:val="105"/>
          <w:sz w:val="21"/>
        </w:rPr>
        <w:t> </w:t>
      </w:r>
      <w:r>
        <w:rPr>
          <w:rFonts w:ascii="Arial"/>
          <w:color w:val="312D2F"/>
          <w:w w:val="105"/>
          <w:sz w:val="21"/>
        </w:rPr>
        <w:t>the</w:t>
      </w:r>
      <w:r>
        <w:rPr>
          <w:rFonts w:ascii="Arial"/>
          <w:color w:val="312D2F"/>
          <w:spacing w:val="17"/>
          <w:w w:val="105"/>
          <w:sz w:val="21"/>
        </w:rPr>
        <w:t> </w:t>
      </w:r>
      <w:r>
        <w:rPr>
          <w:rFonts w:ascii="Arial"/>
          <w:color w:val="312D2F"/>
          <w:w w:val="105"/>
          <w:sz w:val="21"/>
        </w:rPr>
        <w:t>Argument</w:t>
        <w:tab/>
      </w:r>
      <w:r>
        <w:rPr>
          <w:b/>
          <w:color w:val="312D2F"/>
          <w:w w:val="105"/>
          <w:sz w:val="22"/>
        </w:rPr>
        <w:t>214</w:t>
      </w:r>
    </w:p>
    <w:p>
      <w:pPr>
        <w:pStyle w:val="ListParagraph"/>
        <w:numPr>
          <w:ilvl w:val="1"/>
          <w:numId w:val="9"/>
        </w:numPr>
        <w:tabs>
          <w:tab w:pos="1073" w:val="left" w:leader="none"/>
          <w:tab w:pos="1074" w:val="left" w:leader="none"/>
          <w:tab w:pos="7575" w:val="left" w:leader="none"/>
        </w:tabs>
        <w:spacing w:line="261" w:lineRule="exact" w:before="0" w:after="0"/>
        <w:ind w:left="1073" w:right="0" w:hanging="708"/>
        <w:jc w:val="left"/>
        <w:rPr>
          <w:b/>
          <w:i/>
          <w:color w:val="312D2F"/>
          <w:sz w:val="23"/>
        </w:rPr>
      </w:pPr>
      <w:r>
        <w:rPr>
          <w:rFonts w:ascii="Arial"/>
          <w:color w:val="312D2F"/>
          <w:w w:val="105"/>
          <w:sz w:val="21"/>
        </w:rPr>
        <w:t>Point</w:t>
      </w:r>
      <w:r>
        <w:rPr>
          <w:rFonts w:ascii="Arial"/>
          <w:color w:val="312D2F"/>
          <w:spacing w:val="-13"/>
          <w:w w:val="105"/>
          <w:sz w:val="21"/>
        </w:rPr>
        <w:t> </w:t>
      </w:r>
      <w:r>
        <w:rPr>
          <w:rFonts w:ascii="Arial"/>
          <w:color w:val="312D2F"/>
          <w:w w:val="105"/>
          <w:sz w:val="21"/>
        </w:rPr>
        <w:t>Headings</w:t>
        <w:tab/>
      </w:r>
      <w:r>
        <w:rPr>
          <w:b/>
          <w:color w:val="312D2F"/>
          <w:w w:val="105"/>
          <w:sz w:val="22"/>
        </w:rPr>
        <w:t>218</w:t>
      </w:r>
    </w:p>
    <w:p>
      <w:pPr>
        <w:pStyle w:val="ListParagraph"/>
        <w:numPr>
          <w:ilvl w:val="2"/>
          <w:numId w:val="9"/>
        </w:numPr>
        <w:tabs>
          <w:tab w:pos="1806" w:val="left" w:leader="none"/>
          <w:tab w:pos="7575" w:val="left" w:leader="none"/>
        </w:tabs>
        <w:spacing w:line="251" w:lineRule="exact" w:before="0" w:after="0"/>
        <w:ind w:left="1805" w:right="0" w:hanging="743"/>
        <w:jc w:val="left"/>
        <w:rPr>
          <w:b/>
          <w:sz w:val="22"/>
        </w:rPr>
      </w:pPr>
      <w:r>
        <w:rPr>
          <w:rFonts w:ascii="Arial"/>
          <w:color w:val="312D2F"/>
          <w:w w:val="105"/>
          <w:sz w:val="21"/>
        </w:rPr>
        <w:t>Format and</w:t>
      </w:r>
      <w:r>
        <w:rPr>
          <w:rFonts w:ascii="Arial"/>
          <w:color w:val="312D2F"/>
          <w:spacing w:val="11"/>
          <w:w w:val="105"/>
          <w:sz w:val="21"/>
        </w:rPr>
        <w:t> </w:t>
      </w:r>
      <w:r>
        <w:rPr>
          <w:rFonts w:ascii="Arial"/>
          <w:color w:val="312D2F"/>
          <w:w w:val="105"/>
          <w:sz w:val="21"/>
        </w:rPr>
        <w:t>Function</w:t>
        <w:tab/>
      </w:r>
      <w:r>
        <w:rPr>
          <w:b/>
          <w:color w:val="312D2F"/>
          <w:w w:val="110"/>
          <w:sz w:val="22"/>
        </w:rPr>
        <w:t>218</w:t>
      </w:r>
    </w:p>
    <w:p>
      <w:pPr>
        <w:pStyle w:val="ListParagraph"/>
        <w:numPr>
          <w:ilvl w:val="2"/>
          <w:numId w:val="9"/>
        </w:numPr>
        <w:tabs>
          <w:tab w:pos="1807" w:val="left" w:leader="none"/>
          <w:tab w:pos="7575" w:val="left" w:leader="none"/>
        </w:tabs>
        <w:spacing w:line="240" w:lineRule="auto" w:before="8" w:after="0"/>
        <w:ind w:left="1806" w:right="0" w:hanging="744"/>
        <w:jc w:val="left"/>
        <w:rPr>
          <w:b/>
          <w:sz w:val="22"/>
        </w:rPr>
      </w:pPr>
      <w:r>
        <w:rPr>
          <w:rFonts w:ascii="Arial"/>
          <w:color w:val="312D2F"/>
          <w:w w:val="105"/>
          <w:sz w:val="21"/>
        </w:rPr>
        <w:t>Drafting</w:t>
      </w:r>
      <w:r>
        <w:rPr>
          <w:rFonts w:ascii="Arial"/>
          <w:color w:val="312D2F"/>
          <w:spacing w:val="7"/>
          <w:w w:val="105"/>
          <w:sz w:val="21"/>
        </w:rPr>
        <w:t> </w:t>
      </w:r>
      <w:r>
        <w:rPr>
          <w:rFonts w:ascii="Arial"/>
          <w:color w:val="312D2F"/>
          <w:w w:val="105"/>
          <w:sz w:val="21"/>
        </w:rPr>
        <w:t>the</w:t>
      </w:r>
      <w:r>
        <w:rPr>
          <w:rFonts w:ascii="Arial"/>
          <w:color w:val="312D2F"/>
          <w:spacing w:val="15"/>
          <w:w w:val="105"/>
          <w:sz w:val="21"/>
        </w:rPr>
        <w:t> </w:t>
      </w:r>
      <w:r>
        <w:rPr>
          <w:rFonts w:ascii="Arial"/>
          <w:color w:val="312D2F"/>
          <w:w w:val="105"/>
          <w:sz w:val="21"/>
        </w:rPr>
        <w:t>Point Headings</w:t>
        <w:tab/>
      </w:r>
      <w:r>
        <w:rPr>
          <w:b/>
          <w:color w:val="312D2F"/>
          <w:w w:val="110"/>
          <w:sz w:val="22"/>
        </w:rPr>
        <w:t>221</w:t>
      </w:r>
    </w:p>
    <w:p>
      <w:pPr>
        <w:pStyle w:val="ListParagraph"/>
        <w:numPr>
          <w:ilvl w:val="2"/>
          <w:numId w:val="9"/>
        </w:numPr>
        <w:tabs>
          <w:tab w:pos="1799" w:val="left" w:leader="none"/>
          <w:tab w:pos="7566" w:val="left" w:leader="none"/>
        </w:tabs>
        <w:spacing w:line="240" w:lineRule="auto" w:before="7" w:after="0"/>
        <w:ind w:left="1798" w:right="0" w:hanging="745"/>
        <w:jc w:val="left"/>
        <w:rPr>
          <w:b/>
          <w:sz w:val="22"/>
        </w:rPr>
      </w:pPr>
      <w:r>
        <w:rPr>
          <w:rFonts w:ascii="Arial"/>
          <w:color w:val="312D2F"/>
          <w:spacing w:val="-1"/>
          <w:w w:val="105"/>
          <w:sz w:val="21"/>
        </w:rPr>
        <w:t>The</w:t>
      </w:r>
      <w:r>
        <w:rPr>
          <w:rFonts w:ascii="Arial"/>
          <w:color w:val="312D2F"/>
          <w:spacing w:val="-15"/>
          <w:w w:val="105"/>
          <w:sz w:val="21"/>
        </w:rPr>
        <w:t> </w:t>
      </w:r>
      <w:r>
        <w:rPr>
          <w:rFonts w:ascii="Arial"/>
          <w:color w:val="312D2F"/>
          <w:spacing w:val="-1"/>
          <w:w w:val="105"/>
          <w:sz w:val="21"/>
        </w:rPr>
        <w:t>Relationships</w:t>
      </w:r>
      <w:r>
        <w:rPr>
          <w:rFonts w:ascii="Arial"/>
          <w:color w:val="312D2F"/>
          <w:spacing w:val="1"/>
          <w:w w:val="105"/>
          <w:sz w:val="21"/>
        </w:rPr>
        <w:t> </w:t>
      </w:r>
      <w:r>
        <w:rPr>
          <w:rFonts w:ascii="Arial"/>
          <w:color w:val="312D2F"/>
          <w:spacing w:val="-1"/>
          <w:w w:val="105"/>
          <w:sz w:val="21"/>
        </w:rPr>
        <w:t>Between and</w:t>
      </w:r>
      <w:r>
        <w:rPr>
          <w:rFonts w:ascii="Arial"/>
          <w:color w:val="312D2F"/>
          <w:spacing w:val="9"/>
          <w:w w:val="105"/>
          <w:sz w:val="21"/>
        </w:rPr>
        <w:t> </w:t>
      </w:r>
      <w:r>
        <w:rPr>
          <w:rFonts w:ascii="Arial"/>
          <w:color w:val="312D2F"/>
          <w:spacing w:val="-1"/>
          <w:w w:val="105"/>
          <w:sz w:val="21"/>
        </w:rPr>
        <w:t>Among</w:t>
      </w:r>
      <w:r>
        <w:rPr>
          <w:rFonts w:ascii="Arial"/>
          <w:color w:val="312D2F"/>
          <w:spacing w:val="-9"/>
          <w:w w:val="105"/>
          <w:sz w:val="21"/>
        </w:rPr>
        <w:t> </w:t>
      </w:r>
      <w:r>
        <w:rPr>
          <w:rFonts w:ascii="Arial"/>
          <w:color w:val="312D2F"/>
          <w:spacing w:val="-1"/>
          <w:w w:val="105"/>
          <w:sz w:val="21"/>
        </w:rPr>
        <w:t>Point</w:t>
      </w:r>
      <w:r>
        <w:rPr>
          <w:rFonts w:ascii="Arial"/>
          <w:color w:val="312D2F"/>
          <w:spacing w:val="-17"/>
          <w:w w:val="105"/>
          <w:sz w:val="21"/>
        </w:rPr>
        <w:t> </w:t>
      </w:r>
      <w:r>
        <w:rPr>
          <w:rFonts w:ascii="Arial"/>
          <w:color w:val="312D2F"/>
          <w:w w:val="105"/>
          <w:sz w:val="21"/>
        </w:rPr>
        <w:t>Headings</w:t>
        <w:tab/>
      </w:r>
      <w:r>
        <w:rPr>
          <w:b/>
          <w:color w:val="312D2F"/>
          <w:w w:val="105"/>
          <w:sz w:val="22"/>
        </w:rPr>
        <w:t>223</w:t>
      </w:r>
    </w:p>
    <w:p>
      <w:pPr>
        <w:pStyle w:val="ListParagraph"/>
        <w:numPr>
          <w:ilvl w:val="2"/>
          <w:numId w:val="9"/>
        </w:numPr>
        <w:tabs>
          <w:tab w:pos="1790" w:val="left" w:leader="none"/>
          <w:tab w:pos="7566" w:val="left" w:leader="none"/>
        </w:tabs>
        <w:spacing w:line="254" w:lineRule="auto" w:before="7" w:after="0"/>
        <w:ind w:left="1787" w:right="132" w:hanging="734"/>
        <w:jc w:val="left"/>
        <w:rPr>
          <w:rFonts w:ascii="Arial"/>
          <w:b/>
          <w:sz w:val="21"/>
        </w:rPr>
      </w:pPr>
      <w:r>
        <w:rPr>
          <w:rFonts w:ascii="Arial"/>
          <w:color w:val="312D2F"/>
          <w:w w:val="105"/>
          <w:sz w:val="21"/>
        </w:rPr>
        <w:t>The Relationship </w:t>
      </w:r>
      <w:r>
        <w:rPr>
          <w:rFonts w:ascii="Arial"/>
          <w:color w:val="3F3D3F"/>
          <w:w w:val="105"/>
          <w:sz w:val="21"/>
        </w:rPr>
        <w:t>Between </w:t>
      </w:r>
      <w:r>
        <w:rPr>
          <w:rFonts w:ascii="Arial"/>
          <w:color w:val="312D2F"/>
          <w:w w:val="105"/>
          <w:sz w:val="21"/>
        </w:rPr>
        <w:t>the Point Heading and the</w:t>
      </w:r>
      <w:r>
        <w:rPr>
          <w:rFonts w:ascii="Arial"/>
          <w:color w:val="312D2F"/>
          <w:spacing w:val="1"/>
          <w:w w:val="105"/>
          <w:sz w:val="21"/>
        </w:rPr>
        <w:t> </w:t>
      </w:r>
      <w:r>
        <w:rPr>
          <w:rFonts w:ascii="Arial"/>
          <w:color w:val="312D2F"/>
          <w:w w:val="105"/>
          <w:sz w:val="21"/>
        </w:rPr>
        <w:t>Paragraph</w:t>
      </w:r>
      <w:r>
        <w:rPr>
          <w:rFonts w:ascii="Arial"/>
          <w:color w:val="312D2F"/>
          <w:spacing w:val="11"/>
          <w:w w:val="105"/>
          <w:sz w:val="21"/>
        </w:rPr>
        <w:t> </w:t>
      </w:r>
      <w:r>
        <w:rPr>
          <w:rFonts w:ascii="Arial"/>
          <w:color w:val="312D2F"/>
          <w:w w:val="105"/>
          <w:sz w:val="21"/>
        </w:rPr>
        <w:t>Immediately</w:t>
      </w:r>
      <w:r>
        <w:rPr>
          <w:rFonts w:ascii="Arial"/>
          <w:color w:val="312D2F"/>
          <w:spacing w:val="6"/>
          <w:w w:val="105"/>
          <w:sz w:val="21"/>
        </w:rPr>
        <w:t> </w:t>
      </w:r>
      <w:r>
        <w:rPr>
          <w:rFonts w:ascii="Arial"/>
          <w:color w:val="312D2F"/>
          <w:w w:val="105"/>
          <w:sz w:val="21"/>
        </w:rPr>
        <w:t>Following</w:t>
        <w:tab/>
      </w:r>
      <w:r>
        <w:rPr>
          <w:rFonts w:ascii="Arial"/>
          <w:b/>
          <w:color w:val="312D2F"/>
          <w:w w:val="105"/>
          <w:sz w:val="21"/>
        </w:rPr>
        <w:t>224</w:t>
      </w:r>
    </w:p>
    <w:p>
      <w:pPr>
        <w:pStyle w:val="ListParagraph"/>
        <w:numPr>
          <w:ilvl w:val="2"/>
          <w:numId w:val="9"/>
        </w:numPr>
        <w:tabs>
          <w:tab w:pos="1793" w:val="left" w:leader="none"/>
          <w:tab w:pos="1794" w:val="left" w:leader="none"/>
          <w:tab w:pos="7566" w:val="left" w:leader="none"/>
        </w:tabs>
        <w:spacing w:line="240" w:lineRule="exact" w:before="0" w:after="0"/>
        <w:ind w:left="1793" w:right="0" w:hanging="750"/>
        <w:jc w:val="left"/>
        <w:rPr>
          <w:b/>
          <w:sz w:val="22"/>
        </w:rPr>
      </w:pPr>
      <w:r>
        <w:rPr>
          <w:rFonts w:ascii="Arial"/>
          <w:color w:val="312D2F"/>
          <w:w w:val="105"/>
          <w:sz w:val="21"/>
        </w:rPr>
        <w:t>Summing</w:t>
      </w:r>
      <w:r>
        <w:rPr>
          <w:rFonts w:ascii="Arial"/>
          <w:color w:val="312D2F"/>
          <w:spacing w:val="12"/>
          <w:w w:val="105"/>
          <w:sz w:val="21"/>
        </w:rPr>
        <w:t> </w:t>
      </w:r>
      <w:r>
        <w:rPr>
          <w:rFonts w:ascii="Arial"/>
          <w:color w:val="312D2F"/>
          <w:w w:val="105"/>
          <w:sz w:val="21"/>
        </w:rPr>
        <w:t>Up</w:t>
        <w:tab/>
      </w:r>
      <w:r>
        <w:rPr>
          <w:b/>
          <w:color w:val="312D2F"/>
          <w:w w:val="110"/>
          <w:sz w:val="22"/>
        </w:rPr>
        <w:t>226</w:t>
      </w:r>
    </w:p>
    <w:p>
      <w:pPr>
        <w:pStyle w:val="ListParagraph"/>
        <w:numPr>
          <w:ilvl w:val="1"/>
          <w:numId w:val="9"/>
        </w:numPr>
        <w:tabs>
          <w:tab w:pos="1051" w:val="left" w:leader="none"/>
          <w:tab w:pos="1052" w:val="left" w:leader="none"/>
          <w:tab w:pos="7556" w:val="left" w:leader="none"/>
        </w:tabs>
        <w:spacing w:line="240" w:lineRule="auto" w:before="17" w:after="0"/>
        <w:ind w:left="1051" w:right="0" w:hanging="715"/>
        <w:jc w:val="left"/>
        <w:rPr>
          <w:b/>
          <w:i/>
          <w:color w:val="312D2F"/>
          <w:sz w:val="22"/>
        </w:rPr>
      </w:pPr>
      <w:r>
        <w:rPr>
          <w:rFonts w:ascii="Arial"/>
          <w:color w:val="312D2F"/>
          <w:w w:val="105"/>
          <w:sz w:val="21"/>
        </w:rPr>
        <w:t>Summary</w:t>
        <w:tab/>
      </w:r>
      <w:r>
        <w:rPr>
          <w:b/>
          <w:color w:val="312D2F"/>
          <w:w w:val="105"/>
          <w:sz w:val="22"/>
        </w:rPr>
        <w:t>226</w:t>
      </w:r>
    </w:p>
    <w:p>
      <w:pPr>
        <w:spacing w:before="412"/>
        <w:ind w:left="329" w:right="0" w:firstLine="0"/>
        <w:jc w:val="left"/>
        <w:rPr>
          <w:b/>
          <w:sz w:val="21"/>
        </w:rPr>
      </w:pPr>
      <w:r>
        <w:rPr>
          <w:b/>
          <w:color w:val="312D2F"/>
          <w:w w:val="90"/>
          <w:sz w:val="21"/>
        </w:rPr>
        <w:t>CHAPTER TEN</w:t>
      </w:r>
    </w:p>
    <w:p>
      <w:pPr>
        <w:spacing w:before="28"/>
        <w:ind w:left="326" w:right="0" w:firstLine="0"/>
        <w:jc w:val="left"/>
        <w:rPr>
          <w:rFonts w:ascii="Arial"/>
          <w:sz w:val="25"/>
        </w:rPr>
      </w:pPr>
      <w:r>
        <w:rPr>
          <w:rFonts w:ascii="Arial"/>
          <w:color w:val="312D2F"/>
          <w:sz w:val="25"/>
        </w:rPr>
        <w:t>SIX</w:t>
      </w:r>
      <w:r>
        <w:rPr>
          <w:rFonts w:ascii="Arial"/>
          <w:color w:val="312D2F"/>
          <w:spacing w:val="114"/>
          <w:sz w:val="25"/>
        </w:rPr>
        <w:t> </w:t>
      </w:r>
      <w:r>
        <w:rPr>
          <w:rFonts w:ascii="Arial"/>
          <w:color w:val="312D2F"/>
          <w:sz w:val="25"/>
        </w:rPr>
        <w:t>DEGREES</w:t>
      </w:r>
      <w:r>
        <w:rPr>
          <w:rFonts w:ascii="Arial"/>
          <w:color w:val="312D2F"/>
          <w:spacing w:val="29"/>
          <w:sz w:val="25"/>
        </w:rPr>
        <w:t> </w:t>
      </w:r>
      <w:r>
        <w:rPr>
          <w:rFonts w:ascii="Arial"/>
          <w:color w:val="312D2F"/>
          <w:sz w:val="25"/>
        </w:rPr>
        <w:t>OF</w:t>
      </w:r>
      <w:r>
        <w:rPr>
          <w:rFonts w:ascii="Arial"/>
          <w:color w:val="312D2F"/>
          <w:spacing w:val="29"/>
          <w:sz w:val="25"/>
        </w:rPr>
        <w:t> </w:t>
      </w:r>
      <w:r>
        <w:rPr>
          <w:rFonts w:ascii="Arial"/>
          <w:color w:val="312D2F"/>
          <w:sz w:val="25"/>
        </w:rPr>
        <w:t>LEGAL</w:t>
      </w:r>
      <w:r>
        <w:rPr>
          <w:rFonts w:ascii="Arial"/>
          <w:color w:val="312D2F"/>
          <w:spacing w:val="11"/>
          <w:sz w:val="25"/>
        </w:rPr>
        <w:t> </w:t>
      </w:r>
      <w:r>
        <w:rPr>
          <w:rFonts w:ascii="Arial"/>
          <w:color w:val="312D2F"/>
          <w:sz w:val="25"/>
        </w:rPr>
        <w:t>WRITING:</w:t>
      </w:r>
    </w:p>
    <w:p>
      <w:pPr>
        <w:tabs>
          <w:tab w:pos="7567" w:val="left" w:leader="none"/>
        </w:tabs>
        <w:spacing w:before="40"/>
        <w:ind w:left="318" w:right="0" w:firstLine="0"/>
        <w:jc w:val="left"/>
        <w:rPr>
          <w:i/>
          <w:sz w:val="25"/>
        </w:rPr>
      </w:pPr>
      <w:r>
        <w:rPr>
          <w:rFonts w:ascii="Arial"/>
          <w:color w:val="312D2F"/>
          <w:w w:val="105"/>
          <w:sz w:val="25"/>
        </w:rPr>
        <w:t>MAKING</w:t>
      </w:r>
      <w:r>
        <w:rPr>
          <w:rFonts w:ascii="Arial"/>
          <w:color w:val="312D2F"/>
          <w:spacing w:val="31"/>
          <w:w w:val="105"/>
          <w:sz w:val="25"/>
        </w:rPr>
        <w:t> </w:t>
      </w:r>
      <w:r>
        <w:rPr>
          <w:rFonts w:ascii="Arial"/>
          <w:color w:val="312D2F"/>
          <w:w w:val="105"/>
          <w:sz w:val="25"/>
        </w:rPr>
        <w:t>YOUR</w:t>
      </w:r>
      <w:r>
        <w:rPr>
          <w:rFonts w:ascii="Arial"/>
          <w:color w:val="312D2F"/>
          <w:spacing w:val="24"/>
          <w:w w:val="105"/>
          <w:sz w:val="25"/>
        </w:rPr>
        <w:t> </w:t>
      </w:r>
      <w:r>
        <w:rPr>
          <w:rFonts w:ascii="Arial"/>
          <w:color w:val="312D2F"/>
          <w:w w:val="105"/>
          <w:sz w:val="25"/>
        </w:rPr>
        <w:t>DOCUMENT</w:t>
      </w:r>
      <w:r>
        <w:rPr>
          <w:rFonts w:ascii="Arial"/>
          <w:color w:val="312D2F"/>
          <w:spacing w:val="25"/>
          <w:w w:val="105"/>
          <w:sz w:val="25"/>
        </w:rPr>
        <w:t> </w:t>
      </w:r>
      <w:r>
        <w:rPr>
          <w:rFonts w:ascii="Arial"/>
          <w:color w:val="312D2F"/>
          <w:w w:val="105"/>
          <w:sz w:val="25"/>
        </w:rPr>
        <w:t>READER-FRIENDLY</w:t>
        <w:tab/>
      </w:r>
      <w:r>
        <w:rPr>
          <w:i/>
          <w:color w:val="312D2F"/>
          <w:w w:val="105"/>
          <w:sz w:val="25"/>
        </w:rPr>
        <w:t>221</w:t>
      </w:r>
    </w:p>
    <w:p>
      <w:pPr>
        <w:pStyle w:val="ListParagraph"/>
        <w:numPr>
          <w:ilvl w:val="1"/>
          <w:numId w:val="11"/>
        </w:numPr>
        <w:tabs>
          <w:tab w:pos="1015" w:val="left" w:leader="none"/>
          <w:tab w:pos="7538" w:val="left" w:leader="none"/>
        </w:tabs>
        <w:spacing w:line="240" w:lineRule="auto" w:before="116" w:after="0"/>
        <w:ind w:left="1014" w:right="0" w:hanging="704"/>
        <w:jc w:val="left"/>
        <w:rPr>
          <w:rFonts w:ascii="Arial"/>
          <w:b/>
          <w:color w:val="312D2F"/>
          <w:sz w:val="21"/>
        </w:rPr>
      </w:pPr>
      <w:r>
        <w:rPr>
          <w:rFonts w:ascii="Arial"/>
          <w:color w:val="312D2F"/>
          <w:w w:val="105"/>
          <w:sz w:val="21"/>
        </w:rPr>
        <w:t>Find</w:t>
      </w:r>
      <w:r>
        <w:rPr>
          <w:rFonts w:ascii="Arial"/>
          <w:color w:val="312D2F"/>
          <w:spacing w:val="-4"/>
          <w:w w:val="105"/>
          <w:sz w:val="21"/>
        </w:rPr>
        <w:t> </w:t>
      </w:r>
      <w:r>
        <w:rPr>
          <w:rFonts w:ascii="Arial"/>
          <w:color w:val="3F3D3F"/>
          <w:w w:val="105"/>
          <w:sz w:val="21"/>
        </w:rPr>
        <w:t>Your</w:t>
      </w:r>
      <w:r>
        <w:rPr>
          <w:rFonts w:ascii="Arial"/>
          <w:color w:val="3F3D3F"/>
          <w:spacing w:val="13"/>
          <w:w w:val="105"/>
          <w:sz w:val="21"/>
        </w:rPr>
        <w:t> </w:t>
      </w:r>
      <w:r>
        <w:rPr>
          <w:rFonts w:ascii="Arial"/>
          <w:color w:val="3F3D3F"/>
          <w:w w:val="105"/>
          <w:sz w:val="21"/>
        </w:rPr>
        <w:t>"Kevin</w:t>
      </w:r>
      <w:r>
        <w:rPr>
          <w:rFonts w:ascii="Arial"/>
          <w:color w:val="3F3D3F"/>
          <w:spacing w:val="7"/>
          <w:w w:val="105"/>
          <w:sz w:val="21"/>
        </w:rPr>
        <w:t> </w:t>
      </w:r>
      <w:r>
        <w:rPr>
          <w:rFonts w:ascii="Arial"/>
          <w:color w:val="312D2F"/>
          <w:w w:val="105"/>
          <w:sz w:val="21"/>
        </w:rPr>
        <w:t>Bacon"</w:t>
        <w:tab/>
      </w:r>
      <w:r>
        <w:rPr>
          <w:rFonts w:ascii="Arial"/>
          <w:b/>
          <w:i/>
          <w:color w:val="312D2F"/>
          <w:w w:val="110"/>
          <w:sz w:val="22"/>
        </w:rPr>
        <w:t>229</w:t>
      </w:r>
    </w:p>
    <w:p>
      <w:pPr>
        <w:spacing w:after="0" w:line="240" w:lineRule="auto"/>
        <w:jc w:val="left"/>
        <w:rPr>
          <w:rFonts w:ascii="Arial"/>
          <w:sz w:val="21"/>
        </w:rPr>
        <w:sectPr>
          <w:type w:val="continuous"/>
          <w:pgSz w:w="9770" w:h="13790"/>
          <w:pgMar w:header="463" w:footer="0" w:top="340" w:bottom="280" w:left="1360" w:right="320"/>
        </w:sectPr>
      </w:pPr>
    </w:p>
    <w:p>
      <w:pPr>
        <w:pStyle w:val="ListParagraph"/>
        <w:numPr>
          <w:ilvl w:val="1"/>
          <w:numId w:val="11"/>
        </w:numPr>
        <w:tabs>
          <w:tab w:pos="825" w:val="left" w:leader="none"/>
          <w:tab w:pos="7272" w:val="left" w:leader="none"/>
        </w:tabs>
        <w:spacing w:line="240" w:lineRule="auto" w:before="83" w:after="0"/>
        <w:ind w:left="838" w:right="402" w:hanging="685"/>
        <w:jc w:val="left"/>
        <w:rPr>
          <w:rFonts w:ascii="Arial"/>
          <w:b/>
          <w:color w:val="332F31"/>
          <w:sz w:val="20"/>
        </w:rPr>
      </w:pPr>
      <w:r>
        <w:rPr>
          <w:rFonts w:ascii="Arial"/>
          <w:color w:val="332F31"/>
          <w:position w:val="2"/>
          <w:sz w:val="21"/>
        </w:rPr>
        <w:t>Install</w:t>
      </w:r>
      <w:r>
        <w:rPr>
          <w:rFonts w:ascii="Arial"/>
          <w:color w:val="332F31"/>
          <w:spacing w:val="11"/>
          <w:position w:val="2"/>
          <w:sz w:val="21"/>
        </w:rPr>
        <w:t> </w:t>
      </w:r>
      <w:r>
        <w:rPr>
          <w:rFonts w:ascii="Arial"/>
          <w:color w:val="332F31"/>
          <w:position w:val="2"/>
          <w:sz w:val="21"/>
        </w:rPr>
        <w:t>a</w:t>
      </w:r>
      <w:r>
        <w:rPr>
          <w:rFonts w:ascii="Arial"/>
          <w:color w:val="332F31"/>
          <w:spacing w:val="3"/>
          <w:position w:val="2"/>
          <w:sz w:val="21"/>
        </w:rPr>
        <w:t> </w:t>
      </w:r>
      <w:r>
        <w:rPr>
          <w:rFonts w:ascii="Arial"/>
          <w:color w:val="332F31"/>
          <w:position w:val="2"/>
          <w:sz w:val="21"/>
        </w:rPr>
        <w:t>Symbolic</w:t>
      </w:r>
      <w:r>
        <w:rPr>
          <w:rFonts w:ascii="Arial"/>
          <w:color w:val="332F31"/>
          <w:spacing w:val="18"/>
          <w:position w:val="2"/>
          <w:sz w:val="21"/>
        </w:rPr>
        <w:t> </w:t>
      </w:r>
      <w:r>
        <w:rPr>
          <w:rFonts w:ascii="Arial"/>
          <w:color w:val="332F31"/>
          <w:position w:val="2"/>
          <w:sz w:val="21"/>
        </w:rPr>
        <w:t>Template</w:t>
      </w:r>
      <w:r>
        <w:rPr>
          <w:rFonts w:ascii="Arial"/>
          <w:color w:val="332F31"/>
          <w:spacing w:val="18"/>
          <w:position w:val="2"/>
          <w:sz w:val="21"/>
        </w:rPr>
        <w:t> </w:t>
      </w:r>
      <w:r>
        <w:rPr>
          <w:rFonts w:ascii="Arial"/>
          <w:color w:val="332F31"/>
          <w:position w:val="2"/>
          <w:sz w:val="21"/>
        </w:rPr>
        <w:t>to</w:t>
      </w:r>
      <w:r>
        <w:rPr>
          <w:rFonts w:ascii="Arial"/>
          <w:color w:val="332F31"/>
          <w:spacing w:val="32"/>
          <w:position w:val="2"/>
          <w:sz w:val="21"/>
        </w:rPr>
        <w:t> </w:t>
      </w:r>
      <w:r>
        <w:rPr>
          <w:rFonts w:ascii="Arial"/>
          <w:color w:val="332F31"/>
          <w:position w:val="2"/>
          <w:sz w:val="21"/>
        </w:rPr>
        <w:t>Help</w:t>
      </w:r>
      <w:r>
        <w:rPr>
          <w:rFonts w:ascii="Arial"/>
          <w:color w:val="332F31"/>
          <w:spacing w:val="-3"/>
          <w:position w:val="2"/>
          <w:sz w:val="21"/>
        </w:rPr>
        <w:t> </w:t>
      </w:r>
      <w:r>
        <w:rPr>
          <w:rFonts w:ascii="Arial"/>
          <w:color w:val="332F31"/>
          <w:position w:val="2"/>
          <w:sz w:val="21"/>
        </w:rPr>
        <w:t>Your</w:t>
      </w:r>
      <w:r>
        <w:rPr>
          <w:rFonts w:ascii="Arial"/>
          <w:color w:val="332F31"/>
          <w:spacing w:val="10"/>
          <w:position w:val="2"/>
          <w:sz w:val="21"/>
        </w:rPr>
        <w:t> </w:t>
      </w:r>
      <w:r>
        <w:rPr>
          <w:rFonts w:ascii="Arial"/>
          <w:color w:val="332F31"/>
          <w:position w:val="2"/>
          <w:sz w:val="21"/>
        </w:rPr>
        <w:t>Reader</w:t>
      </w:r>
      <w:r>
        <w:rPr>
          <w:rFonts w:ascii="Arial"/>
          <w:color w:val="332F31"/>
          <w:spacing w:val="14"/>
          <w:position w:val="2"/>
          <w:sz w:val="21"/>
        </w:rPr>
        <w:t> </w:t>
      </w:r>
      <w:r>
        <w:rPr>
          <w:rFonts w:ascii="Arial"/>
          <w:color w:val="332F31"/>
          <w:position w:val="2"/>
          <w:sz w:val="21"/>
        </w:rPr>
        <w:t>and Your</w:t>
      </w:r>
      <w:r>
        <w:rPr>
          <w:rFonts w:ascii="Arial"/>
          <w:color w:val="332F31"/>
          <w:spacing w:val="-1"/>
          <w:position w:val="2"/>
          <w:sz w:val="21"/>
        </w:rPr>
        <w:t> </w:t>
      </w:r>
      <w:r>
        <w:rPr>
          <w:rFonts w:ascii="Arial"/>
          <w:color w:val="332F31"/>
          <w:position w:val="2"/>
          <w:sz w:val="21"/>
        </w:rPr>
        <w:t>User</w:t>
        <w:tab/>
      </w:r>
      <w:r>
        <w:rPr>
          <w:rFonts w:ascii="Arial"/>
          <w:b/>
          <w:color w:val="332F31"/>
          <w:spacing w:val="-5"/>
          <w:w w:val="105"/>
          <w:position w:val="3"/>
          <w:sz w:val="20"/>
        </w:rPr>
        <w:t>232</w:t>
      </w:r>
      <w:r>
        <w:rPr>
          <w:rFonts w:ascii="Arial"/>
          <w:b/>
          <w:color w:val="332F31"/>
          <w:spacing w:val="-55"/>
          <w:w w:val="105"/>
          <w:position w:val="3"/>
          <w:sz w:val="20"/>
        </w:rPr>
        <w:t> </w:t>
      </w:r>
      <w:r>
        <w:rPr>
          <w:rFonts w:ascii="Arial"/>
          <w:b/>
          <w:color w:val="332F31"/>
          <w:w w:val="105"/>
          <w:sz w:val="20"/>
        </w:rPr>
        <w:t>10.2.1</w:t>
      </w:r>
      <w:r>
        <w:rPr>
          <w:rFonts w:ascii="Arial"/>
          <w:color w:val="332F31"/>
          <w:w w:val="105"/>
          <w:sz w:val="21"/>
        </w:rPr>
        <w:t>Topic</w:t>
      </w:r>
      <w:r>
        <w:rPr>
          <w:rFonts w:ascii="Arial"/>
          <w:color w:val="332F31"/>
          <w:spacing w:val="20"/>
          <w:w w:val="105"/>
          <w:sz w:val="21"/>
        </w:rPr>
        <w:t> </w:t>
      </w:r>
      <w:r>
        <w:rPr>
          <w:rFonts w:ascii="Arial"/>
          <w:color w:val="332F31"/>
          <w:w w:val="105"/>
          <w:sz w:val="21"/>
        </w:rPr>
        <w:t>Sentences</w:t>
        <w:tab/>
      </w:r>
      <w:r>
        <w:rPr>
          <w:rFonts w:ascii="Arial"/>
          <w:b/>
          <w:color w:val="332F31"/>
          <w:position w:val="2"/>
          <w:sz w:val="20"/>
        </w:rPr>
        <w:t>233</w:t>
      </w:r>
    </w:p>
    <w:p>
      <w:pPr>
        <w:pStyle w:val="ListParagraph"/>
        <w:numPr>
          <w:ilvl w:val="2"/>
          <w:numId w:val="11"/>
        </w:numPr>
        <w:tabs>
          <w:tab w:pos="1934" w:val="left" w:leader="none"/>
        </w:tabs>
        <w:spacing w:line="268" w:lineRule="exact" w:before="0" w:after="0"/>
        <w:ind w:left="1933" w:right="0" w:hanging="378"/>
        <w:jc w:val="left"/>
        <w:rPr>
          <w:rFonts w:ascii="Arial"/>
          <w:sz w:val="21"/>
        </w:rPr>
      </w:pPr>
      <w:r>
        <w:rPr>
          <w:rFonts w:ascii="Arial"/>
          <w:color w:val="332F31"/>
          <w:position w:val="1"/>
          <w:sz w:val="21"/>
        </w:rPr>
        <w:t>Including</w:t>
      </w:r>
      <w:r>
        <w:rPr>
          <w:rFonts w:ascii="Arial"/>
          <w:color w:val="332F31"/>
          <w:spacing w:val="10"/>
          <w:position w:val="1"/>
          <w:sz w:val="21"/>
        </w:rPr>
        <w:t> </w:t>
      </w:r>
      <w:r>
        <w:rPr>
          <w:rFonts w:ascii="Arial"/>
          <w:color w:val="332F31"/>
          <w:position w:val="1"/>
          <w:sz w:val="21"/>
        </w:rPr>
        <w:t>the</w:t>
      </w:r>
      <w:r>
        <w:rPr>
          <w:rFonts w:ascii="Arial"/>
          <w:color w:val="332F31"/>
          <w:spacing w:val="14"/>
          <w:position w:val="1"/>
          <w:sz w:val="21"/>
        </w:rPr>
        <w:t> </w:t>
      </w:r>
      <w:r>
        <w:rPr>
          <w:rFonts w:ascii="Arial"/>
          <w:color w:val="332F31"/>
          <w:position w:val="1"/>
          <w:sz w:val="21"/>
        </w:rPr>
        <w:t>Phrase-That-Pays</w:t>
      </w:r>
      <w:r>
        <w:rPr>
          <w:rFonts w:ascii="Arial"/>
          <w:color w:val="332F31"/>
          <w:spacing w:val="-13"/>
          <w:position w:val="1"/>
          <w:sz w:val="21"/>
        </w:rPr>
        <w:t> </w:t>
      </w:r>
      <w:r>
        <w:rPr>
          <w:rFonts w:ascii="Arial"/>
          <w:color w:val="332F31"/>
          <w:position w:val="1"/>
          <w:sz w:val="21"/>
        </w:rPr>
        <w:t>in</w:t>
      </w:r>
      <w:r>
        <w:rPr>
          <w:rFonts w:ascii="Arial"/>
          <w:color w:val="332F31"/>
          <w:spacing w:val="51"/>
          <w:position w:val="1"/>
          <w:sz w:val="21"/>
        </w:rPr>
        <w:t> </w:t>
      </w:r>
      <w:r>
        <w:rPr>
          <w:rFonts w:ascii="Arial"/>
          <w:color w:val="332F31"/>
          <w:position w:val="1"/>
          <w:sz w:val="21"/>
        </w:rPr>
        <w:t>Each</w:t>
      </w:r>
      <w:r>
        <w:rPr>
          <w:rFonts w:ascii="Arial"/>
          <w:color w:val="332F31"/>
          <w:spacing w:val="-11"/>
          <w:position w:val="1"/>
          <w:sz w:val="21"/>
        </w:rPr>
        <w:t> </w:t>
      </w:r>
      <w:r>
        <w:rPr>
          <w:rFonts w:ascii="Arial"/>
          <w:color w:val="332F31"/>
          <w:position w:val="1"/>
          <w:sz w:val="21"/>
        </w:rPr>
        <w:t>Topic</w:t>
      </w:r>
    </w:p>
    <w:p>
      <w:pPr>
        <w:tabs>
          <w:tab w:pos="7282" w:val="left" w:leader="none"/>
        </w:tabs>
        <w:spacing w:before="1"/>
        <w:ind w:left="1943" w:right="0" w:firstLine="0"/>
        <w:jc w:val="left"/>
        <w:rPr>
          <w:rFonts w:ascii="Arial"/>
          <w:b/>
          <w:sz w:val="20"/>
        </w:rPr>
      </w:pPr>
      <w:r>
        <w:rPr>
          <w:rFonts w:ascii="Arial"/>
          <w:color w:val="332F31"/>
          <w:sz w:val="21"/>
        </w:rPr>
        <w:t>Sentence</w:t>
        <w:tab/>
      </w:r>
      <w:r>
        <w:rPr>
          <w:rFonts w:ascii="Arial"/>
          <w:b/>
          <w:color w:val="332F31"/>
          <w:position w:val="1"/>
          <w:sz w:val="20"/>
        </w:rPr>
        <w:t>233</w:t>
      </w:r>
    </w:p>
    <w:p>
      <w:pPr>
        <w:pStyle w:val="ListParagraph"/>
        <w:numPr>
          <w:ilvl w:val="2"/>
          <w:numId w:val="11"/>
        </w:numPr>
        <w:tabs>
          <w:tab w:pos="1937" w:val="left" w:leader="none"/>
        </w:tabs>
        <w:spacing w:line="271" w:lineRule="exact" w:before="1" w:after="0"/>
        <w:ind w:left="1936" w:right="0" w:hanging="365"/>
        <w:jc w:val="left"/>
        <w:rPr>
          <w:rFonts w:ascii="Arial"/>
          <w:sz w:val="21"/>
        </w:rPr>
      </w:pPr>
      <w:r>
        <w:rPr>
          <w:rFonts w:ascii="Arial"/>
          <w:color w:val="332F31"/>
          <w:position w:val="2"/>
          <w:sz w:val="21"/>
        </w:rPr>
        <w:t>Using</w:t>
      </w:r>
      <w:r>
        <w:rPr>
          <w:rFonts w:ascii="Arial"/>
          <w:color w:val="332F31"/>
          <w:spacing w:val="6"/>
          <w:position w:val="2"/>
          <w:sz w:val="21"/>
        </w:rPr>
        <w:t> </w:t>
      </w:r>
      <w:r>
        <w:rPr>
          <w:rFonts w:ascii="Arial"/>
          <w:color w:val="332F31"/>
          <w:position w:val="2"/>
          <w:sz w:val="21"/>
        </w:rPr>
        <w:t>Legally</w:t>
      </w:r>
      <w:r>
        <w:rPr>
          <w:rFonts w:ascii="Arial"/>
          <w:color w:val="332F31"/>
          <w:spacing w:val="24"/>
          <w:position w:val="2"/>
          <w:sz w:val="21"/>
        </w:rPr>
        <w:t> </w:t>
      </w:r>
      <w:r>
        <w:rPr>
          <w:rFonts w:ascii="Arial"/>
          <w:color w:val="332F31"/>
          <w:position w:val="2"/>
          <w:sz w:val="21"/>
        </w:rPr>
        <w:t>Significant</w:t>
      </w:r>
      <w:r>
        <w:rPr>
          <w:rFonts w:ascii="Arial"/>
          <w:color w:val="332F31"/>
          <w:spacing w:val="24"/>
          <w:position w:val="2"/>
          <w:sz w:val="21"/>
        </w:rPr>
        <w:t> </w:t>
      </w:r>
      <w:r>
        <w:rPr>
          <w:rFonts w:ascii="Arial"/>
          <w:color w:val="332F31"/>
          <w:position w:val="2"/>
          <w:sz w:val="21"/>
        </w:rPr>
        <w:t>Categories</w:t>
      </w:r>
      <w:r>
        <w:rPr>
          <w:rFonts w:ascii="Arial"/>
          <w:color w:val="332F31"/>
          <w:spacing w:val="19"/>
          <w:position w:val="2"/>
          <w:sz w:val="21"/>
        </w:rPr>
        <w:t> </w:t>
      </w:r>
      <w:r>
        <w:rPr>
          <w:rFonts w:ascii="Arial"/>
          <w:color w:val="332F31"/>
          <w:position w:val="2"/>
          <w:sz w:val="21"/>
        </w:rPr>
        <w:t>in</w:t>
      </w:r>
      <w:r>
        <w:rPr>
          <w:rFonts w:ascii="Arial"/>
          <w:color w:val="332F31"/>
          <w:spacing w:val="30"/>
          <w:position w:val="2"/>
          <w:sz w:val="21"/>
        </w:rPr>
        <w:t> </w:t>
      </w:r>
      <w:r>
        <w:rPr>
          <w:rFonts w:ascii="Arial"/>
          <w:color w:val="332F31"/>
          <w:position w:val="2"/>
          <w:sz w:val="21"/>
        </w:rPr>
        <w:t>Topic</w:t>
      </w:r>
    </w:p>
    <w:p>
      <w:pPr>
        <w:tabs>
          <w:tab w:pos="7292" w:val="left" w:leader="none"/>
        </w:tabs>
        <w:spacing w:line="248" w:lineRule="exact" w:before="0"/>
        <w:ind w:left="1953" w:right="0" w:firstLine="0"/>
        <w:jc w:val="left"/>
        <w:rPr>
          <w:rFonts w:ascii="Arial"/>
          <w:b/>
          <w:sz w:val="20"/>
        </w:rPr>
      </w:pPr>
      <w:r>
        <w:rPr>
          <w:rFonts w:ascii="Arial"/>
          <w:color w:val="332F31"/>
          <w:sz w:val="21"/>
        </w:rPr>
        <w:t>Sentences</w:t>
        <w:tab/>
      </w:r>
      <w:r>
        <w:rPr>
          <w:rFonts w:ascii="Arial"/>
          <w:b/>
          <w:color w:val="332F31"/>
          <w:position w:val="2"/>
          <w:sz w:val="20"/>
        </w:rPr>
        <w:t>235</w:t>
      </w:r>
    </w:p>
    <w:p>
      <w:pPr>
        <w:pStyle w:val="ListParagraph"/>
        <w:numPr>
          <w:ilvl w:val="2"/>
          <w:numId w:val="12"/>
        </w:numPr>
        <w:tabs>
          <w:tab w:pos="1570" w:val="left" w:leader="none"/>
          <w:tab w:pos="7301" w:val="left" w:leader="none"/>
        </w:tabs>
        <w:spacing w:line="240" w:lineRule="auto" w:before="8" w:after="0"/>
        <w:ind w:left="1569" w:right="0" w:hanging="732"/>
        <w:jc w:val="left"/>
        <w:rPr>
          <w:rFonts w:ascii="Arial"/>
          <w:b/>
          <w:sz w:val="20"/>
        </w:rPr>
      </w:pPr>
      <w:r>
        <w:rPr>
          <w:rFonts w:ascii="Arial"/>
          <w:color w:val="332F31"/>
          <w:w w:val="105"/>
          <w:sz w:val="21"/>
        </w:rPr>
        <w:t>Headings</w:t>
        <w:tab/>
      </w:r>
      <w:r>
        <w:rPr>
          <w:rFonts w:ascii="Arial"/>
          <w:b/>
          <w:color w:val="332F31"/>
          <w:w w:val="105"/>
          <w:position w:val="2"/>
          <w:sz w:val="20"/>
        </w:rPr>
        <w:t>237</w:t>
      </w:r>
    </w:p>
    <w:p>
      <w:pPr>
        <w:pStyle w:val="ListParagraph"/>
        <w:numPr>
          <w:ilvl w:val="2"/>
          <w:numId w:val="12"/>
        </w:numPr>
        <w:tabs>
          <w:tab w:pos="1571" w:val="left" w:leader="none"/>
        </w:tabs>
        <w:spacing w:line="240" w:lineRule="auto" w:before="9" w:after="0"/>
        <w:ind w:left="1570" w:right="0" w:hanging="733"/>
        <w:jc w:val="left"/>
        <w:rPr>
          <w:rFonts w:ascii="Arial"/>
          <w:sz w:val="21"/>
        </w:rPr>
      </w:pPr>
      <w:r>
        <w:rPr>
          <w:rFonts w:ascii="Arial"/>
          <w:color w:val="332F31"/>
          <w:w w:val="105"/>
          <w:sz w:val="21"/>
        </w:rPr>
        <w:t>Providing</w:t>
      </w:r>
      <w:r>
        <w:rPr>
          <w:rFonts w:ascii="Arial"/>
          <w:color w:val="332F31"/>
          <w:spacing w:val="-1"/>
          <w:w w:val="105"/>
          <w:sz w:val="21"/>
        </w:rPr>
        <w:t> </w:t>
      </w:r>
      <w:r>
        <w:rPr>
          <w:rFonts w:ascii="Arial"/>
          <w:color w:val="332F31"/>
          <w:w w:val="105"/>
          <w:sz w:val="21"/>
        </w:rPr>
        <w:t>Context</w:t>
      </w:r>
      <w:r>
        <w:rPr>
          <w:rFonts w:ascii="Arial"/>
          <w:color w:val="332F31"/>
          <w:spacing w:val="-1"/>
          <w:w w:val="105"/>
          <w:sz w:val="21"/>
        </w:rPr>
        <w:t> </w:t>
      </w:r>
      <w:r>
        <w:rPr>
          <w:rFonts w:ascii="Arial"/>
          <w:color w:val="332F31"/>
          <w:w w:val="105"/>
          <w:sz w:val="21"/>
        </w:rPr>
        <w:t>with</w:t>
      </w:r>
      <w:r>
        <w:rPr>
          <w:rFonts w:ascii="Arial"/>
          <w:color w:val="332F31"/>
          <w:spacing w:val="-28"/>
          <w:w w:val="105"/>
          <w:sz w:val="21"/>
        </w:rPr>
        <w:t> </w:t>
      </w:r>
      <w:r>
        <w:rPr>
          <w:rFonts w:ascii="Arial"/>
          <w:color w:val="332F31"/>
          <w:w w:val="105"/>
          <w:sz w:val="21"/>
        </w:rPr>
        <w:t>Legal</w:t>
      </w:r>
      <w:r>
        <w:rPr>
          <w:rFonts w:ascii="Arial"/>
          <w:color w:val="332F31"/>
          <w:spacing w:val="-14"/>
          <w:w w:val="105"/>
          <w:sz w:val="21"/>
        </w:rPr>
        <w:t> </w:t>
      </w:r>
      <w:r>
        <w:rPr>
          <w:rFonts w:ascii="Arial"/>
          <w:color w:val="332F31"/>
          <w:w w:val="105"/>
          <w:sz w:val="21"/>
        </w:rPr>
        <w:t>Backstory</w:t>
      </w:r>
      <w:r>
        <w:rPr>
          <w:rFonts w:ascii="Arial"/>
          <w:color w:val="332F31"/>
          <w:spacing w:val="8"/>
          <w:w w:val="105"/>
          <w:sz w:val="21"/>
        </w:rPr>
        <w:t> </w:t>
      </w:r>
      <w:r>
        <w:rPr>
          <w:rFonts w:ascii="Arial"/>
          <w:color w:val="332F31"/>
          <w:w w:val="105"/>
          <w:sz w:val="21"/>
        </w:rPr>
        <w:t>and</w:t>
      </w:r>
      <w:r>
        <w:rPr>
          <w:rFonts w:ascii="Arial"/>
          <w:color w:val="332F31"/>
          <w:spacing w:val="13"/>
          <w:w w:val="105"/>
          <w:sz w:val="21"/>
        </w:rPr>
        <w:t> </w:t>
      </w:r>
      <w:r>
        <w:rPr>
          <w:rFonts w:ascii="Arial"/>
          <w:color w:val="332F31"/>
          <w:w w:val="105"/>
          <w:sz w:val="21"/>
        </w:rPr>
        <w:t>a</w:t>
      </w:r>
    </w:p>
    <w:p>
      <w:pPr>
        <w:tabs>
          <w:tab w:pos="7311" w:val="left" w:leader="none"/>
        </w:tabs>
        <w:spacing w:line="258" w:lineRule="exact" w:before="8"/>
        <w:ind w:left="1570" w:right="0" w:firstLine="0"/>
        <w:jc w:val="left"/>
        <w:rPr>
          <w:rFonts w:ascii="Arial"/>
          <w:b/>
          <w:sz w:val="20"/>
        </w:rPr>
      </w:pPr>
      <w:r>
        <w:rPr>
          <w:rFonts w:ascii="Arial"/>
          <w:color w:val="332F31"/>
          <w:w w:val="105"/>
          <w:sz w:val="21"/>
        </w:rPr>
        <w:t>Roadmap</w:t>
        <w:tab/>
      </w:r>
      <w:r>
        <w:rPr>
          <w:rFonts w:ascii="Arial"/>
          <w:b/>
          <w:color w:val="332F31"/>
          <w:w w:val="105"/>
          <w:position w:val="3"/>
          <w:sz w:val="20"/>
        </w:rPr>
        <w:t>239</w:t>
      </w:r>
    </w:p>
    <w:p>
      <w:pPr>
        <w:pStyle w:val="ListParagraph"/>
        <w:numPr>
          <w:ilvl w:val="3"/>
          <w:numId w:val="12"/>
        </w:numPr>
        <w:tabs>
          <w:tab w:pos="1950" w:val="left" w:leader="none"/>
          <w:tab w:pos="1951" w:val="left" w:leader="none"/>
          <w:tab w:pos="7311" w:val="left" w:leader="none"/>
        </w:tabs>
        <w:spacing w:line="258" w:lineRule="exact" w:before="0" w:after="0"/>
        <w:ind w:left="1951" w:right="0" w:hanging="385"/>
        <w:jc w:val="left"/>
        <w:rPr>
          <w:b/>
          <w:color w:val="332F31"/>
          <w:sz w:val="23"/>
        </w:rPr>
      </w:pPr>
      <w:r>
        <w:rPr>
          <w:rFonts w:ascii="Arial"/>
          <w:color w:val="332F31"/>
          <w:spacing w:val="-1"/>
          <w:w w:val="105"/>
          <w:sz w:val="21"/>
        </w:rPr>
        <w:t>What's</w:t>
      </w:r>
      <w:r>
        <w:rPr>
          <w:rFonts w:ascii="Arial"/>
          <w:color w:val="332F31"/>
          <w:spacing w:val="2"/>
          <w:w w:val="105"/>
          <w:sz w:val="21"/>
        </w:rPr>
        <w:t> </w:t>
      </w:r>
      <w:r>
        <w:rPr>
          <w:rFonts w:ascii="Arial"/>
          <w:color w:val="332F31"/>
          <w:spacing w:val="-1"/>
          <w:w w:val="105"/>
          <w:sz w:val="21"/>
        </w:rPr>
        <w:t>Already</w:t>
      </w:r>
      <w:r>
        <w:rPr>
          <w:rFonts w:ascii="Arial"/>
          <w:color w:val="332F31"/>
          <w:spacing w:val="4"/>
          <w:w w:val="105"/>
          <w:sz w:val="21"/>
        </w:rPr>
        <w:t> </w:t>
      </w:r>
      <w:r>
        <w:rPr>
          <w:rFonts w:ascii="Arial"/>
          <w:color w:val="332F31"/>
          <w:w w:val="105"/>
          <w:sz w:val="21"/>
        </w:rPr>
        <w:t>Happened:</w:t>
      </w:r>
      <w:r>
        <w:rPr>
          <w:rFonts w:ascii="Arial"/>
          <w:color w:val="332F31"/>
          <w:spacing w:val="-4"/>
          <w:w w:val="105"/>
          <w:sz w:val="21"/>
        </w:rPr>
        <w:t> </w:t>
      </w:r>
      <w:r>
        <w:rPr>
          <w:rFonts w:ascii="Arial"/>
          <w:color w:val="332F31"/>
          <w:w w:val="105"/>
          <w:sz w:val="21"/>
        </w:rPr>
        <w:t>The</w:t>
      </w:r>
      <w:r>
        <w:rPr>
          <w:rFonts w:ascii="Arial"/>
          <w:color w:val="332F31"/>
          <w:spacing w:val="-20"/>
          <w:w w:val="105"/>
          <w:sz w:val="21"/>
        </w:rPr>
        <w:t> </w:t>
      </w:r>
      <w:r>
        <w:rPr>
          <w:rFonts w:ascii="Arial"/>
          <w:color w:val="332F31"/>
          <w:w w:val="105"/>
          <w:sz w:val="21"/>
        </w:rPr>
        <w:t>legal</w:t>
      </w:r>
      <w:r>
        <w:rPr>
          <w:rFonts w:ascii="Arial"/>
          <w:color w:val="332F31"/>
          <w:spacing w:val="-20"/>
          <w:w w:val="105"/>
          <w:sz w:val="21"/>
        </w:rPr>
        <w:t> </w:t>
      </w:r>
      <w:r>
        <w:rPr>
          <w:rFonts w:ascii="Arial"/>
          <w:color w:val="332F31"/>
          <w:w w:val="105"/>
          <w:sz w:val="21"/>
        </w:rPr>
        <w:t>Backstory</w:t>
        <w:tab/>
      </w:r>
      <w:r>
        <w:rPr>
          <w:rFonts w:ascii="Arial"/>
          <w:b/>
          <w:color w:val="332F31"/>
          <w:w w:val="105"/>
          <w:position w:val="2"/>
          <w:sz w:val="20"/>
        </w:rPr>
        <w:t>240</w:t>
      </w:r>
    </w:p>
    <w:p>
      <w:pPr>
        <w:pStyle w:val="ListParagraph"/>
        <w:numPr>
          <w:ilvl w:val="3"/>
          <w:numId w:val="12"/>
        </w:numPr>
        <w:tabs>
          <w:tab w:pos="1951" w:val="left" w:leader="none"/>
          <w:tab w:pos="7321" w:val="left" w:leader="none"/>
        </w:tabs>
        <w:spacing w:line="251" w:lineRule="exact" w:before="0" w:after="0"/>
        <w:ind w:left="1951" w:right="0" w:hanging="369"/>
        <w:jc w:val="left"/>
        <w:rPr>
          <w:b/>
          <w:color w:val="332F31"/>
          <w:sz w:val="22"/>
        </w:rPr>
      </w:pPr>
      <w:r>
        <w:rPr>
          <w:rFonts w:ascii="Arial"/>
          <w:color w:val="332F31"/>
          <w:w w:val="105"/>
          <w:sz w:val="21"/>
        </w:rPr>
        <w:t>What's</w:t>
      </w:r>
      <w:r>
        <w:rPr>
          <w:rFonts w:ascii="Arial"/>
          <w:color w:val="332F31"/>
          <w:spacing w:val="-10"/>
          <w:w w:val="105"/>
          <w:sz w:val="21"/>
        </w:rPr>
        <w:t> </w:t>
      </w:r>
      <w:r>
        <w:rPr>
          <w:rFonts w:ascii="Arial"/>
          <w:color w:val="332F31"/>
          <w:w w:val="105"/>
          <w:sz w:val="21"/>
        </w:rPr>
        <w:t>Coming</w:t>
      </w:r>
      <w:r>
        <w:rPr>
          <w:rFonts w:ascii="Arial"/>
          <w:color w:val="332F31"/>
          <w:spacing w:val="1"/>
          <w:w w:val="105"/>
          <w:sz w:val="21"/>
        </w:rPr>
        <w:t> </w:t>
      </w:r>
      <w:r>
        <w:rPr>
          <w:rFonts w:ascii="Arial"/>
          <w:color w:val="332F31"/>
          <w:w w:val="105"/>
          <w:sz w:val="21"/>
        </w:rPr>
        <w:t>Next:</w:t>
      </w:r>
      <w:r>
        <w:rPr>
          <w:rFonts w:ascii="Arial"/>
          <w:color w:val="332F31"/>
          <w:spacing w:val="-12"/>
          <w:w w:val="105"/>
          <w:sz w:val="21"/>
        </w:rPr>
        <w:t> </w:t>
      </w:r>
      <w:r>
        <w:rPr>
          <w:rFonts w:ascii="Arial"/>
          <w:color w:val="332F31"/>
          <w:w w:val="105"/>
          <w:sz w:val="21"/>
        </w:rPr>
        <w:t>The</w:t>
      </w:r>
      <w:r>
        <w:rPr>
          <w:rFonts w:ascii="Arial"/>
          <w:color w:val="332F31"/>
          <w:spacing w:val="-10"/>
          <w:w w:val="105"/>
          <w:sz w:val="21"/>
        </w:rPr>
        <w:t> </w:t>
      </w:r>
      <w:r>
        <w:rPr>
          <w:rFonts w:ascii="Arial"/>
          <w:color w:val="332F31"/>
          <w:w w:val="105"/>
          <w:sz w:val="21"/>
        </w:rPr>
        <w:t>Roadmap</w:t>
        <w:tab/>
      </w:r>
      <w:r>
        <w:rPr>
          <w:rFonts w:ascii="Arial"/>
          <w:b/>
          <w:color w:val="332F31"/>
          <w:w w:val="105"/>
          <w:position w:val="1"/>
          <w:sz w:val="20"/>
        </w:rPr>
        <w:t>243</w:t>
      </w:r>
    </w:p>
    <w:p>
      <w:pPr>
        <w:pStyle w:val="ListParagraph"/>
        <w:numPr>
          <w:ilvl w:val="2"/>
          <w:numId w:val="12"/>
        </w:numPr>
        <w:tabs>
          <w:tab w:pos="1571" w:val="left" w:leader="none"/>
          <w:tab w:pos="7321" w:val="left" w:leader="none"/>
        </w:tabs>
        <w:spacing w:line="240" w:lineRule="auto" w:before="15" w:after="0"/>
        <w:ind w:left="1570" w:right="0" w:hanging="733"/>
        <w:jc w:val="left"/>
        <w:rPr>
          <w:rFonts w:ascii="Arial"/>
          <w:b/>
          <w:sz w:val="20"/>
        </w:rPr>
      </w:pPr>
      <w:r>
        <w:rPr>
          <w:rFonts w:ascii="Arial"/>
          <w:color w:val="332F31"/>
          <w:w w:val="105"/>
          <w:sz w:val="21"/>
        </w:rPr>
        <w:t>Explicit</w:t>
      </w:r>
      <w:r>
        <w:rPr>
          <w:rFonts w:ascii="Arial"/>
          <w:color w:val="332F31"/>
          <w:spacing w:val="13"/>
          <w:w w:val="105"/>
          <w:sz w:val="21"/>
        </w:rPr>
        <w:t> </w:t>
      </w:r>
      <w:r>
        <w:rPr>
          <w:rFonts w:ascii="Arial"/>
          <w:color w:val="332F31"/>
          <w:w w:val="105"/>
          <w:sz w:val="21"/>
        </w:rPr>
        <w:t>Connection-Conclusions</w:t>
        <w:tab/>
      </w:r>
      <w:r>
        <w:rPr>
          <w:rFonts w:ascii="Arial"/>
          <w:b/>
          <w:color w:val="332F31"/>
          <w:w w:val="105"/>
          <w:position w:val="1"/>
          <w:sz w:val="20"/>
        </w:rPr>
        <w:t>246</w:t>
      </w:r>
    </w:p>
    <w:p>
      <w:pPr>
        <w:pStyle w:val="ListParagraph"/>
        <w:numPr>
          <w:ilvl w:val="1"/>
          <w:numId w:val="11"/>
        </w:numPr>
        <w:tabs>
          <w:tab w:pos="832" w:val="left" w:leader="none"/>
          <w:tab w:pos="833" w:val="left" w:leader="none"/>
          <w:tab w:pos="7330" w:val="left" w:leader="none"/>
        </w:tabs>
        <w:spacing w:line="240" w:lineRule="auto" w:before="7" w:after="0"/>
        <w:ind w:left="832" w:right="0" w:hanging="680"/>
        <w:jc w:val="left"/>
        <w:rPr>
          <w:rFonts w:ascii="Arial"/>
          <w:b/>
          <w:color w:val="332F31"/>
          <w:sz w:val="20"/>
        </w:rPr>
      </w:pPr>
      <w:r>
        <w:rPr>
          <w:rFonts w:ascii="Arial"/>
          <w:color w:val="332F31"/>
          <w:w w:val="105"/>
          <w:position w:val="1"/>
          <w:sz w:val="21"/>
        </w:rPr>
        <w:t>Writing</w:t>
      </w:r>
      <w:r>
        <w:rPr>
          <w:rFonts w:ascii="Arial"/>
          <w:color w:val="332F31"/>
          <w:spacing w:val="12"/>
          <w:w w:val="105"/>
          <w:position w:val="1"/>
          <w:sz w:val="21"/>
        </w:rPr>
        <w:t> </w:t>
      </w:r>
      <w:r>
        <w:rPr>
          <w:rFonts w:ascii="Arial"/>
          <w:color w:val="332F31"/>
          <w:w w:val="105"/>
          <w:position w:val="1"/>
          <w:sz w:val="21"/>
        </w:rPr>
        <w:t>for</w:t>
      </w:r>
      <w:r>
        <w:rPr>
          <w:rFonts w:ascii="Arial"/>
          <w:color w:val="332F31"/>
          <w:spacing w:val="9"/>
          <w:w w:val="105"/>
          <w:position w:val="1"/>
          <w:sz w:val="21"/>
        </w:rPr>
        <w:t> </w:t>
      </w:r>
      <w:r>
        <w:rPr>
          <w:rFonts w:ascii="Arial"/>
          <w:color w:val="332F31"/>
          <w:w w:val="105"/>
          <w:position w:val="1"/>
          <w:sz w:val="21"/>
        </w:rPr>
        <w:t>the</w:t>
      </w:r>
      <w:r>
        <w:rPr>
          <w:rFonts w:ascii="Arial"/>
          <w:color w:val="332F31"/>
          <w:spacing w:val="14"/>
          <w:w w:val="105"/>
          <w:position w:val="1"/>
          <w:sz w:val="21"/>
        </w:rPr>
        <w:t> </w:t>
      </w:r>
      <w:r>
        <w:rPr>
          <w:rFonts w:ascii="Arial"/>
          <w:color w:val="332F31"/>
          <w:w w:val="105"/>
          <w:position w:val="1"/>
          <w:sz w:val="21"/>
        </w:rPr>
        <w:t>Digital</w:t>
      </w:r>
      <w:r>
        <w:rPr>
          <w:rFonts w:ascii="Arial"/>
          <w:color w:val="332F31"/>
          <w:spacing w:val="1"/>
          <w:w w:val="105"/>
          <w:position w:val="1"/>
          <w:sz w:val="21"/>
        </w:rPr>
        <w:t> </w:t>
      </w:r>
      <w:r>
        <w:rPr>
          <w:rFonts w:ascii="Arial"/>
          <w:color w:val="332F31"/>
          <w:w w:val="105"/>
          <w:position w:val="1"/>
          <w:sz w:val="21"/>
        </w:rPr>
        <w:t>Reader</w:t>
        <w:tab/>
      </w:r>
      <w:r>
        <w:rPr>
          <w:rFonts w:ascii="Arial"/>
          <w:b/>
          <w:color w:val="332F31"/>
          <w:w w:val="110"/>
          <w:position w:val="3"/>
          <w:sz w:val="20"/>
        </w:rPr>
        <w:t>247</w:t>
      </w:r>
    </w:p>
    <w:p>
      <w:pPr>
        <w:pStyle w:val="ListParagraph"/>
        <w:numPr>
          <w:ilvl w:val="1"/>
          <w:numId w:val="11"/>
        </w:numPr>
        <w:tabs>
          <w:tab w:pos="844" w:val="left" w:leader="none"/>
          <w:tab w:pos="845" w:val="left" w:leader="none"/>
          <w:tab w:pos="7330" w:val="left" w:leader="none"/>
        </w:tabs>
        <w:spacing w:line="240" w:lineRule="auto" w:before="0" w:after="0"/>
        <w:ind w:left="844" w:right="0" w:hanging="683"/>
        <w:jc w:val="left"/>
        <w:rPr>
          <w:rFonts w:ascii="Arial"/>
          <w:b/>
          <w:color w:val="332F31"/>
          <w:sz w:val="20"/>
        </w:rPr>
      </w:pPr>
      <w:r>
        <w:rPr>
          <w:rFonts w:ascii="Arial"/>
          <w:color w:val="332F31"/>
          <w:w w:val="105"/>
          <w:sz w:val="21"/>
        </w:rPr>
        <w:t>Summary</w:t>
        <w:tab/>
      </w:r>
      <w:r>
        <w:rPr>
          <w:rFonts w:ascii="Arial"/>
          <w:b/>
          <w:color w:val="332F31"/>
          <w:w w:val="105"/>
          <w:position w:val="3"/>
          <w:sz w:val="20"/>
        </w:rPr>
        <w:t>250</w:t>
      </w:r>
    </w:p>
    <w:p>
      <w:pPr>
        <w:spacing w:before="414"/>
        <w:ind w:left="148" w:right="0" w:firstLine="0"/>
        <w:jc w:val="left"/>
        <w:rPr>
          <w:rFonts w:ascii="Arial"/>
          <w:sz w:val="21"/>
        </w:rPr>
      </w:pPr>
      <w:r>
        <w:rPr>
          <w:rFonts w:ascii="Arial"/>
          <w:color w:val="332F31"/>
          <w:w w:val="90"/>
          <w:sz w:val="21"/>
        </w:rPr>
        <w:t>CHAPTER</w:t>
      </w:r>
      <w:r>
        <w:rPr>
          <w:rFonts w:ascii="Arial"/>
          <w:color w:val="332F31"/>
          <w:spacing w:val="-8"/>
          <w:w w:val="90"/>
          <w:sz w:val="21"/>
        </w:rPr>
        <w:t> </w:t>
      </w:r>
      <w:r>
        <w:rPr>
          <w:rFonts w:ascii="Arial"/>
          <w:color w:val="332F31"/>
          <w:w w:val="90"/>
          <w:sz w:val="21"/>
        </w:rPr>
        <w:t>ELEVEN</w:t>
      </w:r>
    </w:p>
    <w:p>
      <w:pPr>
        <w:tabs>
          <w:tab w:pos="7359" w:val="left" w:leader="none"/>
        </w:tabs>
        <w:spacing w:before="39"/>
        <w:ind w:left="159" w:right="0" w:firstLine="0"/>
        <w:jc w:val="left"/>
        <w:rPr>
          <w:rFonts w:ascii="Arial"/>
          <w:b/>
          <w:sz w:val="20"/>
        </w:rPr>
      </w:pPr>
      <w:r>
        <w:rPr>
          <w:rFonts w:ascii="Arial"/>
          <w:color w:val="87878A"/>
          <w:w w:val="105"/>
          <w:sz w:val="24"/>
        </w:rPr>
        <w:t>EXPLOITING</w:t>
      </w:r>
      <w:r>
        <w:rPr>
          <w:rFonts w:ascii="Arial"/>
          <w:color w:val="87878A"/>
          <w:spacing w:val="20"/>
          <w:w w:val="105"/>
          <w:sz w:val="24"/>
        </w:rPr>
        <w:t> </w:t>
      </w:r>
      <w:r>
        <w:rPr>
          <w:rFonts w:ascii="Arial"/>
          <w:color w:val="87878A"/>
          <w:w w:val="105"/>
          <w:sz w:val="24"/>
        </w:rPr>
        <w:t>OPPORT</w:t>
      </w:r>
      <w:r>
        <w:rPr>
          <w:rFonts w:ascii="Arial"/>
          <w:color w:val="696B6D"/>
          <w:w w:val="105"/>
          <w:sz w:val="24"/>
        </w:rPr>
        <w:t>U</w:t>
      </w:r>
      <w:r>
        <w:rPr>
          <w:rFonts w:ascii="Arial"/>
          <w:color w:val="87878A"/>
          <w:w w:val="105"/>
          <w:sz w:val="24"/>
        </w:rPr>
        <w:t>NITI</w:t>
      </w:r>
      <w:r>
        <w:rPr>
          <w:rFonts w:ascii="Arial"/>
          <w:color w:val="696B6D"/>
          <w:w w:val="105"/>
          <w:sz w:val="24"/>
        </w:rPr>
        <w:t>ES</w:t>
      </w:r>
      <w:r>
        <w:rPr>
          <w:rFonts w:ascii="Arial"/>
          <w:color w:val="696B6D"/>
          <w:spacing w:val="-7"/>
          <w:w w:val="105"/>
          <w:sz w:val="24"/>
        </w:rPr>
        <w:t> </w:t>
      </w:r>
      <w:r>
        <w:rPr>
          <w:rFonts w:ascii="Arial"/>
          <w:color w:val="696B6D"/>
          <w:w w:val="105"/>
          <w:sz w:val="24"/>
        </w:rPr>
        <w:t>FOR</w:t>
      </w:r>
      <w:r>
        <w:rPr>
          <w:rFonts w:ascii="Arial"/>
          <w:color w:val="696B6D"/>
          <w:spacing w:val="25"/>
          <w:w w:val="105"/>
          <w:sz w:val="24"/>
        </w:rPr>
        <w:t> </w:t>
      </w:r>
      <w:r>
        <w:rPr>
          <w:rFonts w:ascii="Arial"/>
          <w:color w:val="696B6D"/>
          <w:w w:val="105"/>
          <w:sz w:val="24"/>
        </w:rPr>
        <w:t>PERSUASION</w:t>
        <w:tab/>
      </w:r>
      <w:r>
        <w:rPr>
          <w:rFonts w:ascii="Arial"/>
          <w:b/>
          <w:color w:val="332F31"/>
          <w:w w:val="105"/>
          <w:position w:val="2"/>
          <w:sz w:val="20"/>
        </w:rPr>
        <w:t>251</w:t>
      </w:r>
    </w:p>
    <w:p>
      <w:pPr>
        <w:pStyle w:val="BodyText"/>
        <w:spacing w:before="9"/>
        <w:rPr>
          <w:rFonts w:ascii="Arial"/>
          <w:b/>
          <w:sz w:val="10"/>
        </w:r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4"/>
        <w:gridCol w:w="6223"/>
        <w:gridCol w:w="906"/>
      </w:tblGrid>
      <w:tr>
        <w:trPr>
          <w:trHeight w:val="256" w:hRule="atLeast"/>
        </w:trPr>
        <w:tc>
          <w:tcPr>
            <w:tcW w:w="654" w:type="dxa"/>
          </w:tcPr>
          <w:p>
            <w:pPr>
              <w:pStyle w:val="TableParagraph"/>
              <w:spacing w:line="214" w:lineRule="exact" w:before="23"/>
              <w:ind w:left="50"/>
              <w:rPr>
                <w:b/>
                <w:sz w:val="20"/>
              </w:rPr>
            </w:pPr>
            <w:r>
              <w:rPr>
                <w:b/>
                <w:color w:val="332F31"/>
                <w:w w:val="130"/>
                <w:sz w:val="20"/>
              </w:rPr>
              <w:t>11.1</w:t>
            </w:r>
          </w:p>
        </w:tc>
        <w:tc>
          <w:tcPr>
            <w:tcW w:w="6223" w:type="dxa"/>
          </w:tcPr>
          <w:p>
            <w:pPr>
              <w:pStyle w:val="TableParagraph"/>
              <w:spacing w:line="233" w:lineRule="exact" w:before="4"/>
              <w:ind w:left="76"/>
              <w:rPr>
                <w:sz w:val="21"/>
              </w:rPr>
            </w:pPr>
            <w:r>
              <w:rPr>
                <w:color w:val="332F31"/>
                <w:w w:val="105"/>
                <w:sz w:val="21"/>
              </w:rPr>
              <w:t>Opportunities</w:t>
            </w:r>
            <w:r>
              <w:rPr>
                <w:color w:val="332F31"/>
                <w:spacing w:val="-3"/>
                <w:w w:val="105"/>
                <w:sz w:val="21"/>
              </w:rPr>
              <w:t> </w:t>
            </w:r>
            <w:r>
              <w:rPr>
                <w:color w:val="332F31"/>
                <w:w w:val="105"/>
                <w:sz w:val="21"/>
              </w:rPr>
              <w:t>for</w:t>
            </w:r>
            <w:r>
              <w:rPr>
                <w:color w:val="332F31"/>
                <w:spacing w:val="-8"/>
                <w:w w:val="105"/>
                <w:sz w:val="21"/>
              </w:rPr>
              <w:t> </w:t>
            </w:r>
            <w:r>
              <w:rPr>
                <w:color w:val="332F31"/>
                <w:w w:val="105"/>
                <w:sz w:val="21"/>
              </w:rPr>
              <w:t>Persuasion</w:t>
            </w:r>
          </w:p>
        </w:tc>
        <w:tc>
          <w:tcPr>
            <w:tcW w:w="906" w:type="dxa"/>
          </w:tcPr>
          <w:p>
            <w:pPr>
              <w:pStyle w:val="TableParagraph"/>
              <w:spacing w:line="224" w:lineRule="exact"/>
              <w:ind w:left="360"/>
              <w:rPr>
                <w:b/>
                <w:sz w:val="20"/>
              </w:rPr>
            </w:pPr>
            <w:r>
              <w:rPr>
                <w:b/>
                <w:color w:val="332F31"/>
                <w:sz w:val="20"/>
              </w:rPr>
              <w:t>251</w:t>
            </w:r>
          </w:p>
        </w:tc>
      </w:tr>
      <w:tr>
        <w:trPr>
          <w:trHeight w:val="256" w:hRule="atLeast"/>
        </w:trPr>
        <w:tc>
          <w:tcPr>
            <w:tcW w:w="654" w:type="dxa"/>
          </w:tcPr>
          <w:p>
            <w:pPr>
              <w:pStyle w:val="TableParagraph"/>
              <w:spacing w:line="220" w:lineRule="exact" w:before="17"/>
              <w:ind w:left="50"/>
              <w:rPr>
                <w:b/>
                <w:sz w:val="20"/>
              </w:rPr>
            </w:pPr>
            <w:r>
              <w:rPr>
                <w:b/>
                <w:color w:val="332F31"/>
                <w:w w:val="115"/>
                <w:sz w:val="20"/>
              </w:rPr>
              <w:t>11</w:t>
            </w:r>
            <w:r>
              <w:rPr>
                <w:b/>
                <w:color w:val="545454"/>
                <w:w w:val="115"/>
                <w:sz w:val="20"/>
              </w:rPr>
              <w:t>;</w:t>
            </w:r>
            <w:r>
              <w:rPr>
                <w:b/>
                <w:color w:val="332F31"/>
                <w:w w:val="115"/>
                <w:sz w:val="20"/>
              </w:rPr>
              <w:t>2</w:t>
            </w:r>
          </w:p>
        </w:tc>
        <w:tc>
          <w:tcPr>
            <w:tcW w:w="6223" w:type="dxa"/>
          </w:tcPr>
          <w:p>
            <w:pPr>
              <w:pStyle w:val="TableParagraph"/>
              <w:spacing w:line="229" w:lineRule="exact" w:before="7"/>
              <w:ind w:left="79"/>
              <w:rPr>
                <w:sz w:val="21"/>
              </w:rPr>
            </w:pPr>
            <w:r>
              <w:rPr>
                <w:color w:val="332F31"/>
                <w:w w:val="105"/>
                <w:sz w:val="21"/>
              </w:rPr>
              <w:t>How</w:t>
            </w:r>
            <w:r>
              <w:rPr>
                <w:color w:val="332F31"/>
                <w:spacing w:val="-9"/>
                <w:w w:val="105"/>
                <w:sz w:val="21"/>
              </w:rPr>
              <w:t> </w:t>
            </w:r>
            <w:r>
              <w:rPr>
                <w:color w:val="332F31"/>
                <w:w w:val="105"/>
                <w:sz w:val="21"/>
              </w:rPr>
              <w:t>Not</w:t>
            </w:r>
            <w:r>
              <w:rPr>
                <w:color w:val="332F31"/>
                <w:spacing w:val="9"/>
                <w:w w:val="105"/>
                <w:sz w:val="21"/>
              </w:rPr>
              <w:t> </w:t>
            </w:r>
            <w:r>
              <w:rPr>
                <w:color w:val="332F31"/>
                <w:w w:val="105"/>
                <w:sz w:val="21"/>
              </w:rPr>
              <w:t>to</w:t>
            </w:r>
            <w:r>
              <w:rPr>
                <w:color w:val="332F31"/>
                <w:spacing w:val="6"/>
                <w:w w:val="105"/>
                <w:sz w:val="21"/>
              </w:rPr>
              <w:t> </w:t>
            </w:r>
            <w:r>
              <w:rPr>
                <w:color w:val="332F31"/>
                <w:w w:val="105"/>
                <w:sz w:val="21"/>
              </w:rPr>
              <w:t>Persuade</w:t>
            </w:r>
          </w:p>
        </w:tc>
        <w:tc>
          <w:tcPr>
            <w:tcW w:w="906" w:type="dxa"/>
          </w:tcPr>
          <w:p>
            <w:pPr>
              <w:pStyle w:val="TableParagraph"/>
              <w:spacing w:line="228" w:lineRule="exact"/>
              <w:ind w:left="369"/>
              <w:rPr>
                <w:b/>
                <w:sz w:val="20"/>
              </w:rPr>
            </w:pPr>
            <w:r>
              <w:rPr>
                <w:b/>
                <w:color w:val="332F31"/>
                <w:sz w:val="20"/>
              </w:rPr>
              <w:t>252</w:t>
            </w:r>
          </w:p>
        </w:tc>
      </w:tr>
      <w:tr>
        <w:trPr>
          <w:trHeight w:val="263" w:hRule="atLeast"/>
        </w:trPr>
        <w:tc>
          <w:tcPr>
            <w:tcW w:w="654" w:type="dxa"/>
          </w:tcPr>
          <w:p>
            <w:pPr>
              <w:pStyle w:val="TableParagraph"/>
              <w:spacing w:line="214" w:lineRule="exact" w:before="30"/>
              <w:ind w:left="50"/>
              <w:rPr>
                <w:b/>
                <w:sz w:val="20"/>
              </w:rPr>
            </w:pPr>
            <w:r>
              <w:rPr>
                <w:b/>
                <w:color w:val="332F31"/>
                <w:w w:val="130"/>
                <w:sz w:val="20"/>
              </w:rPr>
              <w:t>11.3</w:t>
            </w:r>
          </w:p>
        </w:tc>
        <w:tc>
          <w:tcPr>
            <w:tcW w:w="6223" w:type="dxa"/>
          </w:tcPr>
          <w:p>
            <w:pPr>
              <w:pStyle w:val="TableParagraph"/>
              <w:spacing w:line="233" w:lineRule="exact" w:before="11"/>
              <w:ind w:left="76"/>
              <w:rPr>
                <w:sz w:val="21"/>
              </w:rPr>
            </w:pPr>
            <w:r>
              <w:rPr>
                <w:color w:val="332F31"/>
                <w:sz w:val="21"/>
              </w:rPr>
              <w:t>Choosing</w:t>
            </w:r>
            <w:r>
              <w:rPr>
                <w:color w:val="332F31"/>
                <w:spacing w:val="-5"/>
                <w:sz w:val="21"/>
              </w:rPr>
              <w:t> </w:t>
            </w:r>
            <w:r>
              <w:rPr>
                <w:color w:val="332F31"/>
                <w:sz w:val="21"/>
              </w:rPr>
              <w:t>Issues</w:t>
            </w:r>
            <w:r>
              <w:rPr>
                <w:color w:val="332F31"/>
                <w:spacing w:val="4"/>
                <w:sz w:val="21"/>
              </w:rPr>
              <w:t> </w:t>
            </w:r>
            <w:r>
              <w:rPr>
                <w:color w:val="332F31"/>
                <w:sz w:val="21"/>
              </w:rPr>
              <w:t>Responsibly</w:t>
            </w:r>
          </w:p>
        </w:tc>
        <w:tc>
          <w:tcPr>
            <w:tcW w:w="906" w:type="dxa"/>
          </w:tcPr>
          <w:p>
            <w:pPr>
              <w:pStyle w:val="TableParagraph"/>
              <w:spacing w:before="1"/>
              <w:ind w:left="379"/>
              <w:rPr>
                <w:b/>
                <w:sz w:val="20"/>
              </w:rPr>
            </w:pPr>
            <w:r>
              <w:rPr>
                <w:b/>
                <w:color w:val="332F31"/>
                <w:sz w:val="20"/>
              </w:rPr>
              <w:t>254</w:t>
            </w:r>
          </w:p>
        </w:tc>
      </w:tr>
      <w:tr>
        <w:trPr>
          <w:trHeight w:val="255" w:hRule="atLeast"/>
        </w:trPr>
        <w:tc>
          <w:tcPr>
            <w:tcW w:w="654" w:type="dxa"/>
          </w:tcPr>
          <w:p>
            <w:pPr>
              <w:pStyle w:val="TableParagraph"/>
              <w:spacing w:line="209" w:lineRule="exact" w:before="26"/>
              <w:ind w:left="50"/>
              <w:rPr>
                <w:b/>
                <w:sz w:val="20"/>
              </w:rPr>
            </w:pPr>
            <w:r>
              <w:rPr>
                <w:b/>
                <w:color w:val="332F31"/>
                <w:w w:val="130"/>
                <w:sz w:val="20"/>
              </w:rPr>
              <w:t>11.4</w:t>
            </w:r>
          </w:p>
        </w:tc>
        <w:tc>
          <w:tcPr>
            <w:tcW w:w="6223" w:type="dxa"/>
          </w:tcPr>
          <w:p>
            <w:pPr>
              <w:pStyle w:val="TableParagraph"/>
              <w:spacing w:line="228" w:lineRule="exact" w:before="7"/>
              <w:ind w:left="80"/>
              <w:rPr>
                <w:sz w:val="21"/>
              </w:rPr>
            </w:pPr>
            <w:r>
              <w:rPr>
                <w:color w:val="332F31"/>
                <w:spacing w:val="-1"/>
                <w:w w:val="105"/>
                <w:sz w:val="21"/>
              </w:rPr>
              <w:t>Exploiting</w:t>
            </w:r>
            <w:r>
              <w:rPr>
                <w:color w:val="332F31"/>
                <w:spacing w:val="-11"/>
                <w:w w:val="105"/>
                <w:sz w:val="21"/>
              </w:rPr>
              <w:t> </w:t>
            </w:r>
            <w:r>
              <w:rPr>
                <w:color w:val="332F31"/>
                <w:w w:val="105"/>
                <w:sz w:val="21"/>
              </w:rPr>
              <w:t>Positions</w:t>
            </w:r>
            <w:r>
              <w:rPr>
                <w:color w:val="332F31"/>
                <w:spacing w:val="-14"/>
                <w:w w:val="105"/>
                <w:sz w:val="21"/>
              </w:rPr>
              <w:t> </w:t>
            </w:r>
            <w:r>
              <w:rPr>
                <w:color w:val="332F31"/>
                <w:w w:val="105"/>
                <w:sz w:val="21"/>
              </w:rPr>
              <w:t>of</w:t>
            </w:r>
            <w:r>
              <w:rPr>
                <w:color w:val="332F31"/>
                <w:spacing w:val="-5"/>
                <w:w w:val="105"/>
                <w:sz w:val="21"/>
              </w:rPr>
              <w:t> </w:t>
            </w:r>
            <w:r>
              <w:rPr>
                <w:color w:val="332F31"/>
                <w:w w:val="105"/>
                <w:sz w:val="21"/>
              </w:rPr>
              <w:t>Emphasis</w:t>
            </w:r>
          </w:p>
        </w:tc>
        <w:tc>
          <w:tcPr>
            <w:tcW w:w="906" w:type="dxa"/>
          </w:tcPr>
          <w:p>
            <w:pPr>
              <w:pStyle w:val="TableParagraph"/>
              <w:spacing w:line="228" w:lineRule="exact"/>
              <w:ind w:left="379"/>
              <w:rPr>
                <w:b/>
                <w:sz w:val="20"/>
              </w:rPr>
            </w:pPr>
            <w:r>
              <w:rPr>
                <w:b/>
                <w:color w:val="332F31"/>
                <w:sz w:val="20"/>
              </w:rPr>
              <w:t>255</w:t>
            </w:r>
          </w:p>
        </w:tc>
      </w:tr>
      <w:tr>
        <w:trPr>
          <w:trHeight w:val="256" w:hRule="atLeast"/>
        </w:trPr>
        <w:tc>
          <w:tcPr>
            <w:tcW w:w="6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23" w:type="dxa"/>
          </w:tcPr>
          <w:p>
            <w:pPr>
              <w:pStyle w:val="TableParagraph"/>
              <w:spacing w:line="224" w:lineRule="exact" w:before="12"/>
              <w:ind w:left="90"/>
              <w:rPr>
                <w:sz w:val="21"/>
              </w:rPr>
            </w:pPr>
            <w:r>
              <w:rPr>
                <w:b/>
                <w:color w:val="332F31"/>
                <w:w w:val="105"/>
                <w:sz w:val="20"/>
              </w:rPr>
              <w:t>11.4.1</w:t>
            </w:r>
            <w:r>
              <w:rPr>
                <w:color w:val="332F31"/>
                <w:w w:val="105"/>
                <w:sz w:val="21"/>
              </w:rPr>
              <w:t>Persuading</w:t>
            </w:r>
            <w:r>
              <w:rPr>
                <w:color w:val="332F31"/>
                <w:spacing w:val="34"/>
                <w:w w:val="105"/>
                <w:sz w:val="21"/>
              </w:rPr>
              <w:t> </w:t>
            </w:r>
            <w:r>
              <w:rPr>
                <w:color w:val="332F31"/>
                <w:w w:val="105"/>
                <w:sz w:val="21"/>
              </w:rPr>
              <w:t>with</w:t>
            </w:r>
            <w:r>
              <w:rPr>
                <w:color w:val="332F31"/>
                <w:spacing w:val="10"/>
                <w:w w:val="105"/>
                <w:sz w:val="21"/>
              </w:rPr>
              <w:t> </w:t>
            </w:r>
            <w:r>
              <w:rPr>
                <w:color w:val="332F31"/>
                <w:w w:val="105"/>
                <w:sz w:val="21"/>
              </w:rPr>
              <w:t>Large-Scale</w:t>
            </w:r>
            <w:r>
              <w:rPr>
                <w:color w:val="332F31"/>
                <w:spacing w:val="21"/>
                <w:w w:val="105"/>
                <w:sz w:val="21"/>
              </w:rPr>
              <w:t> </w:t>
            </w:r>
            <w:r>
              <w:rPr>
                <w:color w:val="332F31"/>
                <w:w w:val="105"/>
                <w:sz w:val="21"/>
              </w:rPr>
              <w:t>Organization</w:t>
            </w:r>
          </w:p>
        </w:tc>
        <w:tc>
          <w:tcPr>
            <w:tcW w:w="906" w:type="dxa"/>
          </w:tcPr>
          <w:p>
            <w:pPr>
              <w:pStyle w:val="TableParagraph"/>
              <w:spacing w:line="223" w:lineRule="exact"/>
              <w:ind w:left="389"/>
              <w:rPr>
                <w:b/>
                <w:sz w:val="20"/>
              </w:rPr>
            </w:pPr>
            <w:r>
              <w:rPr>
                <w:b/>
                <w:color w:val="332F31"/>
                <w:w w:val="110"/>
                <w:sz w:val="20"/>
              </w:rPr>
              <w:t>257</w:t>
            </w:r>
          </w:p>
        </w:tc>
      </w:tr>
      <w:tr>
        <w:trPr>
          <w:trHeight w:val="255" w:hRule="atLeast"/>
        </w:trPr>
        <w:tc>
          <w:tcPr>
            <w:tcW w:w="6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23" w:type="dxa"/>
          </w:tcPr>
          <w:p>
            <w:pPr>
              <w:pStyle w:val="TableParagraph"/>
              <w:spacing w:line="229" w:lineRule="exact" w:before="6"/>
              <w:ind w:left="90"/>
              <w:rPr>
                <w:sz w:val="21"/>
              </w:rPr>
            </w:pPr>
            <w:r>
              <w:rPr>
                <w:b/>
                <w:color w:val="332F31"/>
                <w:w w:val="105"/>
                <w:sz w:val="20"/>
              </w:rPr>
              <w:t>11.4</w:t>
            </w:r>
            <w:r>
              <w:rPr>
                <w:b/>
                <w:color w:val="545454"/>
                <w:w w:val="105"/>
                <w:sz w:val="20"/>
              </w:rPr>
              <w:t>.</w:t>
            </w:r>
            <w:r>
              <w:rPr>
                <w:b/>
                <w:color w:val="332F31"/>
                <w:w w:val="105"/>
                <w:sz w:val="20"/>
              </w:rPr>
              <w:t>2</w:t>
            </w:r>
            <w:r>
              <w:rPr>
                <w:b/>
                <w:color w:val="332F31"/>
                <w:spacing w:val="4"/>
                <w:w w:val="105"/>
                <w:sz w:val="20"/>
              </w:rPr>
              <w:t> </w:t>
            </w:r>
            <w:r>
              <w:rPr>
                <w:color w:val="332F31"/>
                <w:w w:val="105"/>
                <w:sz w:val="21"/>
              </w:rPr>
              <w:t>Persuading</w:t>
            </w:r>
            <w:r>
              <w:rPr>
                <w:color w:val="332F31"/>
                <w:spacing w:val="9"/>
                <w:w w:val="105"/>
                <w:sz w:val="21"/>
              </w:rPr>
              <w:t> </w:t>
            </w:r>
            <w:r>
              <w:rPr>
                <w:color w:val="332F31"/>
                <w:w w:val="105"/>
                <w:sz w:val="21"/>
              </w:rPr>
              <w:t>Within</w:t>
            </w:r>
            <w:r>
              <w:rPr>
                <w:color w:val="332F31"/>
                <w:spacing w:val="-9"/>
                <w:w w:val="105"/>
                <w:sz w:val="21"/>
              </w:rPr>
              <w:t> </w:t>
            </w:r>
            <w:r>
              <w:rPr>
                <w:color w:val="332F31"/>
                <w:w w:val="105"/>
                <w:sz w:val="21"/>
              </w:rPr>
              <w:t>Each</w:t>
            </w:r>
            <w:r>
              <w:rPr>
                <w:color w:val="332F31"/>
                <w:spacing w:val="-15"/>
                <w:w w:val="105"/>
                <w:sz w:val="21"/>
              </w:rPr>
              <w:t> </w:t>
            </w:r>
            <w:r>
              <w:rPr>
                <w:color w:val="332F31"/>
                <w:w w:val="105"/>
                <w:sz w:val="21"/>
              </w:rPr>
              <w:t>Issue</w:t>
            </w:r>
          </w:p>
        </w:tc>
        <w:tc>
          <w:tcPr>
            <w:tcW w:w="906" w:type="dxa"/>
          </w:tcPr>
          <w:p>
            <w:pPr>
              <w:pStyle w:val="TableParagraph"/>
              <w:spacing w:line="227" w:lineRule="exact"/>
              <w:ind w:left="389"/>
              <w:rPr>
                <w:b/>
                <w:sz w:val="20"/>
              </w:rPr>
            </w:pPr>
            <w:r>
              <w:rPr>
                <w:b/>
                <w:color w:val="332F31"/>
                <w:sz w:val="20"/>
              </w:rPr>
              <w:t>257</w:t>
            </w:r>
          </w:p>
        </w:tc>
      </w:tr>
      <w:tr>
        <w:trPr>
          <w:trHeight w:val="260" w:hRule="atLeast"/>
        </w:trPr>
        <w:tc>
          <w:tcPr>
            <w:tcW w:w="6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23" w:type="dxa"/>
          </w:tcPr>
          <w:p>
            <w:pPr>
              <w:pStyle w:val="TableParagraph"/>
              <w:spacing w:line="229" w:lineRule="exact" w:before="11"/>
              <w:ind w:left="90"/>
              <w:rPr>
                <w:sz w:val="21"/>
              </w:rPr>
            </w:pPr>
            <w:r>
              <w:rPr>
                <w:b/>
                <w:color w:val="332F31"/>
                <w:w w:val="105"/>
                <w:sz w:val="20"/>
              </w:rPr>
              <w:t>11.4.3</w:t>
            </w:r>
            <w:r>
              <w:rPr>
                <w:color w:val="332F31"/>
                <w:w w:val="105"/>
                <w:sz w:val="21"/>
              </w:rPr>
              <w:t>Persuasive</w:t>
            </w:r>
            <w:r>
              <w:rPr>
                <w:color w:val="332F31"/>
                <w:spacing w:val="-1"/>
                <w:w w:val="105"/>
                <w:sz w:val="21"/>
              </w:rPr>
              <w:t> </w:t>
            </w:r>
            <w:r>
              <w:rPr>
                <w:color w:val="332F31"/>
                <w:w w:val="105"/>
                <w:sz w:val="21"/>
              </w:rPr>
              <w:t>Paragraph</w:t>
            </w:r>
            <w:r>
              <w:rPr>
                <w:color w:val="332F31"/>
                <w:spacing w:val="15"/>
                <w:w w:val="105"/>
                <w:sz w:val="21"/>
              </w:rPr>
              <w:t> </w:t>
            </w:r>
            <w:r>
              <w:rPr>
                <w:color w:val="332F31"/>
                <w:w w:val="105"/>
                <w:sz w:val="21"/>
              </w:rPr>
              <w:t>Structure</w:t>
            </w:r>
          </w:p>
        </w:tc>
        <w:tc>
          <w:tcPr>
            <w:tcW w:w="906" w:type="dxa"/>
          </w:tcPr>
          <w:p>
            <w:pPr>
              <w:pStyle w:val="TableParagraph"/>
              <w:spacing w:before="1"/>
              <w:ind w:left="389"/>
              <w:rPr>
                <w:b/>
                <w:sz w:val="20"/>
              </w:rPr>
            </w:pPr>
            <w:r>
              <w:rPr>
                <w:b/>
                <w:color w:val="332F31"/>
                <w:w w:val="105"/>
                <w:sz w:val="20"/>
              </w:rPr>
              <w:t>259</w:t>
            </w:r>
          </w:p>
        </w:tc>
      </w:tr>
      <w:tr>
        <w:trPr>
          <w:trHeight w:val="260" w:hRule="atLeast"/>
        </w:trPr>
        <w:tc>
          <w:tcPr>
            <w:tcW w:w="6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23" w:type="dxa"/>
          </w:tcPr>
          <w:p>
            <w:pPr>
              <w:pStyle w:val="TableParagraph"/>
              <w:spacing w:line="229" w:lineRule="exact" w:before="11"/>
              <w:ind w:left="90"/>
              <w:rPr>
                <w:sz w:val="21"/>
              </w:rPr>
            </w:pPr>
            <w:r>
              <w:rPr>
                <w:b/>
                <w:color w:val="332F31"/>
                <w:w w:val="105"/>
                <w:sz w:val="20"/>
              </w:rPr>
              <w:t>11.4</w:t>
            </w:r>
            <w:r>
              <w:rPr>
                <w:b/>
                <w:color w:val="545454"/>
                <w:w w:val="105"/>
                <w:sz w:val="20"/>
              </w:rPr>
              <w:t>.</w:t>
            </w:r>
            <w:r>
              <w:rPr>
                <w:b/>
                <w:color w:val="332F31"/>
                <w:w w:val="105"/>
                <w:sz w:val="20"/>
              </w:rPr>
              <w:t>4</w:t>
            </w:r>
            <w:r>
              <w:rPr>
                <w:b/>
                <w:color w:val="332F31"/>
                <w:spacing w:val="34"/>
                <w:w w:val="105"/>
                <w:sz w:val="20"/>
              </w:rPr>
              <w:t> </w:t>
            </w:r>
            <w:r>
              <w:rPr>
                <w:color w:val="332F31"/>
                <w:w w:val="105"/>
                <w:sz w:val="21"/>
              </w:rPr>
              <w:t>Persuading</w:t>
            </w:r>
            <w:r>
              <w:rPr>
                <w:color w:val="332F31"/>
                <w:spacing w:val="9"/>
                <w:w w:val="105"/>
                <w:sz w:val="21"/>
              </w:rPr>
              <w:t> </w:t>
            </w:r>
            <w:r>
              <w:rPr>
                <w:color w:val="332F31"/>
                <w:w w:val="105"/>
                <w:sz w:val="21"/>
              </w:rPr>
              <w:t>with</w:t>
            </w:r>
            <w:r>
              <w:rPr>
                <w:color w:val="332F31"/>
                <w:spacing w:val="-4"/>
                <w:w w:val="105"/>
                <w:sz w:val="21"/>
              </w:rPr>
              <w:t> </w:t>
            </w:r>
            <w:r>
              <w:rPr>
                <w:color w:val="332F31"/>
                <w:w w:val="105"/>
                <w:sz w:val="21"/>
              </w:rPr>
              <w:t>Sentence</w:t>
            </w:r>
            <w:r>
              <w:rPr>
                <w:color w:val="332F31"/>
                <w:spacing w:val="19"/>
                <w:w w:val="105"/>
                <w:sz w:val="21"/>
              </w:rPr>
              <w:t> </w:t>
            </w:r>
            <w:r>
              <w:rPr>
                <w:color w:val="332F31"/>
                <w:w w:val="105"/>
                <w:sz w:val="21"/>
              </w:rPr>
              <w:t>Structure</w:t>
            </w:r>
          </w:p>
        </w:tc>
        <w:tc>
          <w:tcPr>
            <w:tcW w:w="906" w:type="dxa"/>
          </w:tcPr>
          <w:p>
            <w:pPr>
              <w:pStyle w:val="TableParagraph"/>
              <w:spacing w:before="1"/>
              <w:ind w:left="398"/>
              <w:rPr>
                <w:b/>
                <w:sz w:val="20"/>
              </w:rPr>
            </w:pPr>
            <w:r>
              <w:rPr>
                <w:b/>
                <w:color w:val="332F31"/>
                <w:w w:val="105"/>
                <w:sz w:val="20"/>
              </w:rPr>
              <w:t>260</w:t>
            </w:r>
          </w:p>
        </w:tc>
      </w:tr>
      <w:tr>
        <w:trPr>
          <w:trHeight w:val="256" w:hRule="atLeast"/>
        </w:trPr>
        <w:tc>
          <w:tcPr>
            <w:tcW w:w="6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23" w:type="dxa"/>
          </w:tcPr>
          <w:p>
            <w:pPr>
              <w:pStyle w:val="TableParagraph"/>
              <w:tabs>
                <w:tab w:pos="1215" w:val="left" w:leader="none"/>
              </w:tabs>
              <w:spacing w:line="234" w:lineRule="exact" w:before="3"/>
              <w:ind w:left="829"/>
              <w:rPr>
                <w:sz w:val="21"/>
              </w:rPr>
            </w:pPr>
            <w:r>
              <w:rPr>
                <w:rFonts w:ascii="Times New Roman"/>
                <w:b/>
                <w:color w:val="332F31"/>
                <w:w w:val="105"/>
                <w:sz w:val="22"/>
              </w:rPr>
              <w:t>a.</w:t>
              <w:tab/>
            </w:r>
            <w:r>
              <w:rPr>
                <w:color w:val="332F31"/>
                <w:w w:val="105"/>
                <w:sz w:val="21"/>
              </w:rPr>
              <w:t>Subject-Verb</w:t>
            </w:r>
            <w:r>
              <w:rPr>
                <w:color w:val="332F31"/>
                <w:spacing w:val="-6"/>
                <w:w w:val="105"/>
                <w:sz w:val="21"/>
              </w:rPr>
              <w:t> </w:t>
            </w:r>
            <w:r>
              <w:rPr>
                <w:color w:val="332F31"/>
                <w:w w:val="105"/>
                <w:sz w:val="21"/>
              </w:rPr>
              <w:t>Combinations</w:t>
            </w:r>
          </w:p>
        </w:tc>
        <w:tc>
          <w:tcPr>
            <w:tcW w:w="906" w:type="dxa"/>
          </w:tcPr>
          <w:p>
            <w:pPr>
              <w:pStyle w:val="TableParagraph"/>
              <w:spacing w:before="1"/>
              <w:ind w:left="408"/>
              <w:rPr>
                <w:b/>
                <w:sz w:val="20"/>
              </w:rPr>
            </w:pPr>
            <w:r>
              <w:rPr>
                <w:b/>
                <w:color w:val="332F31"/>
                <w:w w:val="110"/>
                <w:sz w:val="20"/>
              </w:rPr>
              <w:t>261</w:t>
            </w:r>
          </w:p>
        </w:tc>
      </w:tr>
      <w:tr>
        <w:trPr>
          <w:trHeight w:val="259" w:hRule="atLeast"/>
        </w:trPr>
        <w:tc>
          <w:tcPr>
            <w:tcW w:w="6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23" w:type="dxa"/>
          </w:tcPr>
          <w:p>
            <w:pPr>
              <w:pStyle w:val="TableParagraph"/>
              <w:tabs>
                <w:tab w:pos="1662" w:val="left" w:leader="none"/>
              </w:tabs>
              <w:spacing w:line="235" w:lineRule="exact" w:before="5"/>
              <w:ind w:left="1204"/>
              <w:rPr>
                <w:sz w:val="21"/>
              </w:rPr>
            </w:pPr>
            <w:r>
              <w:rPr>
                <w:color w:val="332F31"/>
                <w:w w:val="110"/>
                <w:sz w:val="22"/>
              </w:rPr>
              <w:t>I.</w:t>
              <w:tab/>
            </w:r>
            <w:r>
              <w:rPr>
                <w:color w:val="332F31"/>
                <w:w w:val="110"/>
                <w:sz w:val="21"/>
              </w:rPr>
              <w:t>Nominalizations</w:t>
            </w:r>
          </w:p>
        </w:tc>
        <w:tc>
          <w:tcPr>
            <w:tcW w:w="906" w:type="dxa"/>
          </w:tcPr>
          <w:p>
            <w:pPr>
              <w:pStyle w:val="TableParagraph"/>
              <w:spacing w:line="225" w:lineRule="exact"/>
              <w:ind w:left="418"/>
              <w:rPr>
                <w:b/>
                <w:sz w:val="20"/>
              </w:rPr>
            </w:pPr>
            <w:r>
              <w:rPr>
                <w:b/>
                <w:color w:val="332F31"/>
                <w:w w:val="110"/>
                <w:sz w:val="20"/>
              </w:rPr>
              <w:t>262</w:t>
            </w:r>
          </w:p>
        </w:tc>
      </w:tr>
      <w:tr>
        <w:trPr>
          <w:trHeight w:val="259" w:hRule="atLeast"/>
        </w:trPr>
        <w:tc>
          <w:tcPr>
            <w:tcW w:w="6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23" w:type="dxa"/>
          </w:tcPr>
          <w:p>
            <w:pPr>
              <w:pStyle w:val="TableParagraph"/>
              <w:tabs>
                <w:tab w:pos="1669" w:val="left" w:leader="none"/>
              </w:tabs>
              <w:spacing w:line="234" w:lineRule="exact" w:before="5"/>
              <w:ind w:left="1205"/>
              <w:rPr>
                <w:sz w:val="21"/>
              </w:rPr>
            </w:pPr>
            <w:r>
              <w:rPr>
                <w:color w:val="332F31"/>
                <w:w w:val="105"/>
                <w:sz w:val="21"/>
              </w:rPr>
              <w:t>II.</w:t>
              <w:tab/>
            </w:r>
            <w:r>
              <w:rPr>
                <w:color w:val="332F31"/>
                <w:position w:val="1"/>
                <w:sz w:val="21"/>
              </w:rPr>
              <w:t>Active</w:t>
            </w:r>
            <w:r>
              <w:rPr>
                <w:color w:val="332F31"/>
                <w:spacing w:val="-2"/>
                <w:position w:val="1"/>
                <w:sz w:val="21"/>
              </w:rPr>
              <w:t> </w:t>
            </w:r>
            <w:r>
              <w:rPr>
                <w:color w:val="332F31"/>
                <w:position w:val="1"/>
                <w:sz w:val="21"/>
              </w:rPr>
              <w:t>and</w:t>
            </w:r>
            <w:r>
              <w:rPr>
                <w:color w:val="332F31"/>
                <w:spacing w:val="8"/>
                <w:position w:val="1"/>
                <w:sz w:val="21"/>
              </w:rPr>
              <w:t> </w:t>
            </w:r>
            <w:r>
              <w:rPr>
                <w:color w:val="332F31"/>
                <w:position w:val="1"/>
                <w:sz w:val="21"/>
              </w:rPr>
              <w:t>Passive</w:t>
            </w:r>
            <w:r>
              <w:rPr>
                <w:color w:val="332F31"/>
                <w:spacing w:val="-3"/>
                <w:position w:val="1"/>
                <w:sz w:val="21"/>
              </w:rPr>
              <w:t> </w:t>
            </w:r>
            <w:r>
              <w:rPr>
                <w:color w:val="332F31"/>
                <w:position w:val="1"/>
                <w:sz w:val="21"/>
              </w:rPr>
              <w:t>Voice</w:t>
            </w:r>
          </w:p>
        </w:tc>
        <w:tc>
          <w:tcPr>
            <w:tcW w:w="906" w:type="dxa"/>
          </w:tcPr>
          <w:p>
            <w:pPr>
              <w:pStyle w:val="TableParagraph"/>
              <w:spacing w:line="225" w:lineRule="exact"/>
              <w:ind w:left="418"/>
              <w:rPr>
                <w:b/>
                <w:sz w:val="20"/>
              </w:rPr>
            </w:pPr>
            <w:r>
              <w:rPr>
                <w:b/>
                <w:color w:val="332F31"/>
                <w:sz w:val="20"/>
              </w:rPr>
              <w:t>263</w:t>
            </w:r>
          </w:p>
        </w:tc>
      </w:tr>
      <w:tr>
        <w:trPr>
          <w:trHeight w:val="259" w:hRule="atLeast"/>
        </w:trPr>
        <w:tc>
          <w:tcPr>
            <w:tcW w:w="6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23" w:type="dxa"/>
          </w:tcPr>
          <w:p>
            <w:pPr>
              <w:pStyle w:val="TableParagraph"/>
              <w:spacing w:line="232" w:lineRule="exact" w:before="7"/>
              <w:ind w:left="844"/>
              <w:rPr>
                <w:sz w:val="21"/>
              </w:rPr>
            </w:pPr>
            <w:r>
              <w:rPr>
                <w:rFonts w:ascii="Times New Roman"/>
                <w:b/>
                <w:color w:val="332F31"/>
                <w:w w:val="105"/>
                <w:sz w:val="22"/>
              </w:rPr>
              <w:t>b. </w:t>
            </w:r>
            <w:r>
              <w:rPr>
                <w:rFonts w:ascii="Times New Roman"/>
                <w:b/>
                <w:color w:val="332F31"/>
                <w:spacing w:val="18"/>
                <w:w w:val="105"/>
                <w:sz w:val="22"/>
              </w:rPr>
              <w:t> </w:t>
            </w:r>
            <w:r>
              <w:rPr>
                <w:color w:val="332F31"/>
                <w:w w:val="105"/>
                <w:sz w:val="21"/>
              </w:rPr>
              <w:t>Independent</w:t>
            </w:r>
            <w:r>
              <w:rPr>
                <w:color w:val="332F31"/>
                <w:spacing w:val="-5"/>
                <w:w w:val="105"/>
                <w:sz w:val="21"/>
              </w:rPr>
              <w:t> </w:t>
            </w:r>
            <w:r>
              <w:rPr>
                <w:color w:val="332F31"/>
                <w:w w:val="105"/>
                <w:sz w:val="21"/>
              </w:rPr>
              <w:t>and Dependent</w:t>
            </w:r>
            <w:r>
              <w:rPr>
                <w:color w:val="332F31"/>
                <w:spacing w:val="8"/>
                <w:w w:val="105"/>
                <w:sz w:val="21"/>
              </w:rPr>
              <w:t> </w:t>
            </w:r>
            <w:r>
              <w:rPr>
                <w:color w:val="332F31"/>
                <w:w w:val="105"/>
                <w:sz w:val="21"/>
              </w:rPr>
              <w:t>Clauses</w:t>
            </w:r>
          </w:p>
        </w:tc>
        <w:tc>
          <w:tcPr>
            <w:tcW w:w="906" w:type="dxa"/>
          </w:tcPr>
          <w:p>
            <w:pPr>
              <w:pStyle w:val="TableParagraph"/>
              <w:spacing w:line="227" w:lineRule="exact"/>
              <w:ind w:left="418"/>
              <w:rPr>
                <w:b/>
                <w:sz w:val="20"/>
              </w:rPr>
            </w:pPr>
            <w:r>
              <w:rPr>
                <w:b/>
                <w:color w:val="332F31"/>
                <w:sz w:val="20"/>
              </w:rPr>
              <w:t>264</w:t>
            </w:r>
          </w:p>
        </w:tc>
      </w:tr>
      <w:tr>
        <w:trPr>
          <w:trHeight w:val="264" w:hRule="atLeast"/>
        </w:trPr>
        <w:tc>
          <w:tcPr>
            <w:tcW w:w="6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23" w:type="dxa"/>
          </w:tcPr>
          <w:p>
            <w:pPr>
              <w:pStyle w:val="TableParagraph"/>
              <w:tabs>
                <w:tab w:pos="1218" w:val="left" w:leader="none"/>
              </w:tabs>
              <w:spacing w:line="244" w:lineRule="exact"/>
              <w:ind w:left="830"/>
              <w:rPr>
                <w:sz w:val="21"/>
              </w:rPr>
            </w:pPr>
            <w:r>
              <w:rPr>
                <w:rFonts w:ascii="Times New Roman"/>
                <w:b/>
                <w:color w:val="332F31"/>
                <w:sz w:val="24"/>
              </w:rPr>
              <w:t>c.</w:t>
              <w:tab/>
            </w:r>
            <w:r>
              <w:rPr>
                <w:color w:val="332F31"/>
                <w:position w:val="1"/>
                <w:sz w:val="21"/>
              </w:rPr>
              <w:t>Using</w:t>
            </w:r>
            <w:r>
              <w:rPr>
                <w:color w:val="332F31"/>
                <w:spacing w:val="9"/>
                <w:position w:val="1"/>
                <w:sz w:val="21"/>
              </w:rPr>
              <w:t> </w:t>
            </w:r>
            <w:r>
              <w:rPr>
                <w:color w:val="332F31"/>
                <w:position w:val="1"/>
                <w:sz w:val="21"/>
              </w:rPr>
              <w:t>Short</w:t>
            </w:r>
            <w:r>
              <w:rPr>
                <w:color w:val="332F31"/>
                <w:spacing w:val="13"/>
                <w:position w:val="1"/>
                <w:sz w:val="21"/>
              </w:rPr>
              <w:t> </w:t>
            </w:r>
            <w:r>
              <w:rPr>
                <w:color w:val="332F31"/>
                <w:position w:val="1"/>
                <w:sz w:val="21"/>
              </w:rPr>
              <w:t>Sentences</w:t>
            </w:r>
            <w:r>
              <w:rPr>
                <w:color w:val="332F31"/>
                <w:spacing w:val="2"/>
                <w:position w:val="1"/>
                <w:sz w:val="21"/>
              </w:rPr>
              <w:t> </w:t>
            </w:r>
            <w:r>
              <w:rPr>
                <w:color w:val="332F31"/>
                <w:position w:val="1"/>
                <w:sz w:val="21"/>
              </w:rPr>
              <w:t>for</w:t>
            </w:r>
            <w:r>
              <w:rPr>
                <w:color w:val="332F31"/>
                <w:spacing w:val="50"/>
                <w:position w:val="1"/>
                <w:sz w:val="21"/>
              </w:rPr>
              <w:t> </w:t>
            </w:r>
            <w:r>
              <w:rPr>
                <w:color w:val="332F31"/>
                <w:position w:val="1"/>
                <w:sz w:val="21"/>
              </w:rPr>
              <w:t>Emphasis</w:t>
            </w:r>
          </w:p>
        </w:tc>
        <w:tc>
          <w:tcPr>
            <w:tcW w:w="906" w:type="dxa"/>
          </w:tcPr>
          <w:p>
            <w:pPr>
              <w:pStyle w:val="TableParagraph"/>
              <w:spacing w:line="227" w:lineRule="exact"/>
              <w:ind w:left="427"/>
              <w:rPr>
                <w:b/>
                <w:sz w:val="20"/>
              </w:rPr>
            </w:pPr>
            <w:r>
              <w:rPr>
                <w:b/>
                <w:color w:val="332F31"/>
                <w:sz w:val="20"/>
              </w:rPr>
              <w:t>265</w:t>
            </w:r>
          </w:p>
        </w:tc>
      </w:tr>
      <w:tr>
        <w:trPr>
          <w:trHeight w:val="256" w:hRule="atLeast"/>
        </w:trPr>
        <w:tc>
          <w:tcPr>
            <w:tcW w:w="6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23" w:type="dxa"/>
          </w:tcPr>
          <w:p>
            <w:pPr>
              <w:pStyle w:val="TableParagraph"/>
              <w:spacing w:line="224" w:lineRule="exact" w:before="12"/>
              <w:ind w:left="100"/>
              <w:rPr>
                <w:sz w:val="21"/>
              </w:rPr>
            </w:pPr>
            <w:r>
              <w:rPr>
                <w:b/>
                <w:color w:val="332F31"/>
                <w:w w:val="105"/>
                <w:sz w:val="20"/>
              </w:rPr>
              <w:t>11.4</w:t>
            </w:r>
            <w:r>
              <w:rPr>
                <w:b/>
                <w:color w:val="545454"/>
                <w:w w:val="105"/>
                <w:sz w:val="20"/>
              </w:rPr>
              <w:t>.</w:t>
            </w:r>
            <w:r>
              <w:rPr>
                <w:b/>
                <w:color w:val="332F31"/>
                <w:w w:val="105"/>
                <w:sz w:val="20"/>
              </w:rPr>
              <w:t>5</w:t>
            </w:r>
            <w:r>
              <w:rPr>
                <w:b/>
                <w:color w:val="332F31"/>
                <w:spacing w:val="34"/>
                <w:w w:val="105"/>
                <w:sz w:val="20"/>
              </w:rPr>
              <w:t> </w:t>
            </w:r>
            <w:r>
              <w:rPr>
                <w:color w:val="332F31"/>
                <w:w w:val="105"/>
                <w:sz w:val="21"/>
              </w:rPr>
              <w:t>Effective</w:t>
            </w:r>
            <w:r>
              <w:rPr>
                <w:color w:val="332F31"/>
                <w:spacing w:val="19"/>
                <w:w w:val="105"/>
                <w:sz w:val="21"/>
              </w:rPr>
              <w:t> </w:t>
            </w:r>
            <w:r>
              <w:rPr>
                <w:color w:val="332F31"/>
                <w:w w:val="105"/>
                <w:sz w:val="21"/>
              </w:rPr>
              <w:t>Word</w:t>
            </w:r>
            <w:r>
              <w:rPr>
                <w:color w:val="332F31"/>
                <w:spacing w:val="8"/>
                <w:w w:val="105"/>
                <w:sz w:val="21"/>
              </w:rPr>
              <w:t> </w:t>
            </w:r>
            <w:r>
              <w:rPr>
                <w:color w:val="332F31"/>
                <w:w w:val="105"/>
                <w:sz w:val="21"/>
              </w:rPr>
              <w:t>Choice</w:t>
            </w:r>
          </w:p>
        </w:tc>
        <w:tc>
          <w:tcPr>
            <w:tcW w:w="906" w:type="dxa"/>
          </w:tcPr>
          <w:p>
            <w:pPr>
              <w:pStyle w:val="TableParagraph"/>
              <w:spacing w:line="223" w:lineRule="exact"/>
              <w:ind w:left="437"/>
              <w:rPr>
                <w:b/>
                <w:sz w:val="20"/>
              </w:rPr>
            </w:pPr>
            <w:r>
              <w:rPr>
                <w:b/>
                <w:color w:val="332F31"/>
                <w:w w:val="110"/>
                <w:sz w:val="20"/>
              </w:rPr>
              <w:t>266</w:t>
            </w:r>
          </w:p>
        </w:tc>
      </w:tr>
      <w:tr>
        <w:trPr>
          <w:trHeight w:val="255" w:hRule="atLeast"/>
        </w:trPr>
        <w:tc>
          <w:tcPr>
            <w:tcW w:w="6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23" w:type="dxa"/>
          </w:tcPr>
          <w:p>
            <w:pPr>
              <w:pStyle w:val="TableParagraph"/>
              <w:spacing w:line="229" w:lineRule="exact" w:before="6"/>
              <w:ind w:left="100"/>
              <w:rPr>
                <w:sz w:val="21"/>
              </w:rPr>
            </w:pPr>
            <w:r>
              <w:rPr>
                <w:b/>
                <w:color w:val="332F31"/>
                <w:w w:val="105"/>
                <w:sz w:val="20"/>
              </w:rPr>
              <w:t>11.4</w:t>
            </w:r>
            <w:r>
              <w:rPr>
                <w:b/>
                <w:color w:val="545454"/>
                <w:w w:val="105"/>
                <w:sz w:val="20"/>
              </w:rPr>
              <w:t>.</w:t>
            </w:r>
            <w:r>
              <w:rPr>
                <w:b/>
                <w:color w:val="332F31"/>
                <w:w w:val="105"/>
                <w:sz w:val="20"/>
              </w:rPr>
              <w:t>6</w:t>
            </w:r>
            <w:r>
              <w:rPr>
                <w:b/>
                <w:color w:val="332F31"/>
                <w:spacing w:val="26"/>
                <w:w w:val="105"/>
                <w:sz w:val="20"/>
              </w:rPr>
              <w:t> </w:t>
            </w:r>
            <w:r>
              <w:rPr>
                <w:color w:val="332F31"/>
                <w:w w:val="105"/>
                <w:sz w:val="21"/>
              </w:rPr>
              <w:t>Persuasive</w:t>
            </w:r>
            <w:r>
              <w:rPr>
                <w:color w:val="332F31"/>
                <w:spacing w:val="-6"/>
                <w:w w:val="105"/>
                <w:sz w:val="21"/>
              </w:rPr>
              <w:t> </w:t>
            </w:r>
            <w:r>
              <w:rPr>
                <w:color w:val="332F31"/>
                <w:w w:val="105"/>
                <w:sz w:val="21"/>
              </w:rPr>
              <w:t>Punctuation</w:t>
            </w:r>
          </w:p>
        </w:tc>
        <w:tc>
          <w:tcPr>
            <w:tcW w:w="906" w:type="dxa"/>
          </w:tcPr>
          <w:p>
            <w:pPr>
              <w:pStyle w:val="TableParagraph"/>
              <w:spacing w:line="227" w:lineRule="exact"/>
              <w:ind w:left="437"/>
              <w:rPr>
                <w:b/>
                <w:sz w:val="20"/>
              </w:rPr>
            </w:pPr>
            <w:r>
              <w:rPr>
                <w:b/>
                <w:color w:val="332F31"/>
                <w:w w:val="110"/>
                <w:sz w:val="20"/>
              </w:rPr>
              <w:t>268</w:t>
            </w:r>
          </w:p>
        </w:tc>
      </w:tr>
      <w:tr>
        <w:trPr>
          <w:trHeight w:val="263" w:hRule="atLeast"/>
        </w:trPr>
        <w:tc>
          <w:tcPr>
            <w:tcW w:w="6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23" w:type="dxa"/>
          </w:tcPr>
          <w:p>
            <w:pPr>
              <w:pStyle w:val="TableParagraph"/>
              <w:spacing w:line="240" w:lineRule="exact" w:before="3"/>
              <w:ind w:left="838"/>
              <w:rPr>
                <w:sz w:val="21"/>
              </w:rPr>
            </w:pPr>
            <w:r>
              <w:rPr>
                <w:rFonts w:ascii="Times New Roman"/>
                <w:b/>
                <w:color w:val="332F31"/>
                <w:w w:val="105"/>
                <w:sz w:val="23"/>
              </w:rPr>
              <w:t>a. </w:t>
            </w:r>
            <w:r>
              <w:rPr>
                <w:rFonts w:ascii="Times New Roman"/>
                <w:b/>
                <w:color w:val="332F31"/>
                <w:spacing w:val="16"/>
                <w:w w:val="105"/>
                <w:sz w:val="23"/>
              </w:rPr>
              <w:t> </w:t>
            </w:r>
            <w:r>
              <w:rPr>
                <w:color w:val="332F31"/>
                <w:w w:val="105"/>
                <w:sz w:val="21"/>
              </w:rPr>
              <w:t>The</w:t>
            </w:r>
            <w:r>
              <w:rPr>
                <w:color w:val="332F31"/>
                <w:spacing w:val="-6"/>
                <w:w w:val="105"/>
                <w:sz w:val="21"/>
              </w:rPr>
              <w:t> </w:t>
            </w:r>
            <w:r>
              <w:rPr>
                <w:color w:val="332F31"/>
                <w:w w:val="105"/>
                <w:sz w:val="21"/>
              </w:rPr>
              <w:t>Semicolon</w:t>
            </w:r>
          </w:p>
        </w:tc>
        <w:tc>
          <w:tcPr>
            <w:tcW w:w="906" w:type="dxa"/>
          </w:tcPr>
          <w:p>
            <w:pPr>
              <w:pStyle w:val="TableParagraph"/>
              <w:spacing w:before="1"/>
              <w:ind w:left="447"/>
              <w:rPr>
                <w:b/>
                <w:sz w:val="20"/>
              </w:rPr>
            </w:pPr>
            <w:r>
              <w:rPr>
                <w:b/>
                <w:color w:val="332F31"/>
                <w:w w:val="105"/>
                <w:sz w:val="20"/>
              </w:rPr>
              <w:t>268</w:t>
            </w:r>
          </w:p>
        </w:tc>
      </w:tr>
      <w:tr>
        <w:trPr>
          <w:trHeight w:val="254" w:hRule="atLeast"/>
        </w:trPr>
        <w:tc>
          <w:tcPr>
            <w:tcW w:w="6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23" w:type="dxa"/>
          </w:tcPr>
          <w:p>
            <w:pPr>
              <w:pStyle w:val="TableParagraph"/>
              <w:spacing w:line="225" w:lineRule="exact" w:before="9"/>
              <w:ind w:left="854"/>
              <w:rPr>
                <w:sz w:val="21"/>
              </w:rPr>
            </w:pPr>
            <w:r>
              <w:rPr>
                <w:rFonts w:ascii="Times New Roman"/>
                <w:b/>
                <w:color w:val="332F31"/>
                <w:w w:val="115"/>
                <w:sz w:val="22"/>
              </w:rPr>
              <w:t>b</w:t>
            </w:r>
            <w:r>
              <w:rPr>
                <w:rFonts w:ascii="Times New Roman"/>
                <w:b/>
                <w:color w:val="545454"/>
                <w:w w:val="115"/>
                <w:sz w:val="22"/>
              </w:rPr>
              <w:t>.</w:t>
            </w:r>
            <w:r>
              <w:rPr>
                <w:rFonts w:ascii="Times New Roman"/>
                <w:b/>
                <w:color w:val="545454"/>
                <w:spacing w:val="14"/>
                <w:w w:val="115"/>
                <w:sz w:val="22"/>
              </w:rPr>
              <w:t> </w:t>
            </w:r>
            <w:r>
              <w:rPr>
                <w:color w:val="332F31"/>
                <w:w w:val="115"/>
                <w:sz w:val="21"/>
              </w:rPr>
              <w:t>TheDash</w:t>
            </w:r>
          </w:p>
        </w:tc>
        <w:tc>
          <w:tcPr>
            <w:tcW w:w="906" w:type="dxa"/>
          </w:tcPr>
          <w:p>
            <w:pPr>
              <w:pStyle w:val="TableParagraph"/>
              <w:spacing w:line="231" w:lineRule="exact"/>
              <w:ind w:left="439"/>
              <w:rPr>
                <w:b/>
                <w:i/>
                <w:sz w:val="21"/>
              </w:rPr>
            </w:pPr>
            <w:r>
              <w:rPr>
                <w:b/>
                <w:i/>
                <w:color w:val="332F31"/>
                <w:w w:val="105"/>
                <w:sz w:val="21"/>
              </w:rPr>
              <w:t>269</w:t>
            </w:r>
          </w:p>
        </w:tc>
      </w:tr>
      <w:tr>
        <w:trPr>
          <w:trHeight w:val="260" w:hRule="atLeast"/>
        </w:trPr>
        <w:tc>
          <w:tcPr>
            <w:tcW w:w="6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23" w:type="dxa"/>
          </w:tcPr>
          <w:p>
            <w:pPr>
              <w:pStyle w:val="TableParagraph"/>
              <w:tabs>
                <w:tab w:pos="1220" w:val="left" w:leader="none"/>
              </w:tabs>
              <w:spacing w:line="235" w:lineRule="exact" w:before="6"/>
              <w:ind w:left="850"/>
              <w:rPr>
                <w:sz w:val="21"/>
              </w:rPr>
            </w:pPr>
            <w:r>
              <w:rPr>
                <w:rFonts w:ascii="Times New Roman"/>
                <w:b/>
                <w:color w:val="332F31"/>
                <w:w w:val="110"/>
                <w:sz w:val="23"/>
              </w:rPr>
              <w:t>c.</w:t>
              <w:tab/>
            </w:r>
            <w:r>
              <w:rPr>
                <w:color w:val="332F31"/>
                <w:w w:val="110"/>
                <w:sz w:val="21"/>
              </w:rPr>
              <w:t>The</w:t>
            </w:r>
            <w:r>
              <w:rPr>
                <w:color w:val="332F31"/>
                <w:spacing w:val="-12"/>
                <w:w w:val="110"/>
                <w:sz w:val="21"/>
              </w:rPr>
              <w:t> </w:t>
            </w:r>
            <w:r>
              <w:rPr>
                <w:color w:val="332F31"/>
                <w:w w:val="110"/>
                <w:sz w:val="21"/>
              </w:rPr>
              <w:t>Colon</w:t>
            </w:r>
          </w:p>
        </w:tc>
        <w:tc>
          <w:tcPr>
            <w:tcW w:w="906" w:type="dxa"/>
          </w:tcPr>
          <w:p>
            <w:pPr>
              <w:pStyle w:val="TableParagraph"/>
              <w:spacing w:line="227" w:lineRule="exact"/>
              <w:ind w:left="448"/>
              <w:rPr>
                <w:b/>
                <w:i/>
                <w:sz w:val="21"/>
              </w:rPr>
            </w:pPr>
            <w:r>
              <w:rPr>
                <w:b/>
                <w:i/>
                <w:color w:val="332F31"/>
                <w:w w:val="115"/>
                <w:sz w:val="21"/>
              </w:rPr>
              <w:t>269</w:t>
            </w:r>
          </w:p>
        </w:tc>
      </w:tr>
      <w:tr>
        <w:trPr>
          <w:trHeight w:val="247" w:hRule="atLeast"/>
        </w:trPr>
        <w:tc>
          <w:tcPr>
            <w:tcW w:w="654" w:type="dxa"/>
          </w:tcPr>
          <w:p>
            <w:pPr>
              <w:pStyle w:val="TableParagraph"/>
              <w:spacing w:line="215" w:lineRule="exact" w:before="13"/>
              <w:ind w:left="59"/>
              <w:rPr>
                <w:b/>
                <w:sz w:val="20"/>
              </w:rPr>
            </w:pPr>
            <w:r>
              <w:rPr>
                <w:b/>
                <w:color w:val="332F31"/>
                <w:w w:val="130"/>
                <w:sz w:val="20"/>
              </w:rPr>
              <w:t>11.5</w:t>
            </w:r>
          </w:p>
        </w:tc>
        <w:tc>
          <w:tcPr>
            <w:tcW w:w="6223" w:type="dxa"/>
          </w:tcPr>
          <w:p>
            <w:pPr>
              <w:pStyle w:val="TableParagraph"/>
              <w:spacing w:line="224" w:lineRule="exact" w:before="4"/>
              <w:ind w:left="106"/>
              <w:rPr>
                <w:sz w:val="21"/>
              </w:rPr>
            </w:pPr>
            <w:r>
              <w:rPr>
                <w:color w:val="332F31"/>
                <w:w w:val="105"/>
                <w:sz w:val="21"/>
              </w:rPr>
              <w:t>Avoiding</w:t>
            </w:r>
            <w:r>
              <w:rPr>
                <w:color w:val="332F31"/>
                <w:spacing w:val="8"/>
                <w:w w:val="105"/>
                <w:sz w:val="21"/>
              </w:rPr>
              <w:t> </w:t>
            </w:r>
            <w:r>
              <w:rPr>
                <w:color w:val="332F31"/>
                <w:w w:val="105"/>
                <w:sz w:val="21"/>
              </w:rPr>
              <w:t>Sp</w:t>
            </w:r>
            <w:r>
              <w:rPr>
                <w:color w:val="545454"/>
                <w:w w:val="105"/>
                <w:sz w:val="21"/>
              </w:rPr>
              <w:t>e</w:t>
            </w:r>
            <w:r>
              <w:rPr>
                <w:color w:val="332F31"/>
                <w:w w:val="105"/>
                <w:sz w:val="21"/>
              </w:rPr>
              <w:t>lling,</w:t>
            </w:r>
            <w:r>
              <w:rPr>
                <w:color w:val="332F31"/>
                <w:spacing w:val="14"/>
                <w:w w:val="105"/>
                <w:sz w:val="21"/>
              </w:rPr>
              <w:t> </w:t>
            </w:r>
            <w:r>
              <w:rPr>
                <w:color w:val="332F31"/>
                <w:w w:val="105"/>
                <w:sz w:val="21"/>
              </w:rPr>
              <w:t>Grammatical,</w:t>
            </w:r>
            <w:r>
              <w:rPr>
                <w:color w:val="332F31"/>
                <w:spacing w:val="19"/>
                <w:w w:val="105"/>
                <w:sz w:val="21"/>
              </w:rPr>
              <w:t> </w:t>
            </w:r>
            <w:r>
              <w:rPr>
                <w:color w:val="332F31"/>
                <w:w w:val="105"/>
                <w:sz w:val="21"/>
              </w:rPr>
              <w:t>and</w:t>
            </w:r>
            <w:r>
              <w:rPr>
                <w:color w:val="332F31"/>
                <w:spacing w:val="-4"/>
                <w:w w:val="105"/>
                <w:sz w:val="21"/>
              </w:rPr>
              <w:t> </w:t>
            </w:r>
            <w:r>
              <w:rPr>
                <w:color w:val="332F31"/>
                <w:w w:val="105"/>
                <w:sz w:val="21"/>
              </w:rPr>
              <w:t>Typographical</w:t>
            </w:r>
            <w:r>
              <w:rPr>
                <w:color w:val="332F31"/>
                <w:spacing w:val="14"/>
                <w:w w:val="105"/>
                <w:sz w:val="21"/>
              </w:rPr>
              <w:t> </w:t>
            </w:r>
            <w:r>
              <w:rPr>
                <w:color w:val="332F31"/>
                <w:w w:val="105"/>
                <w:sz w:val="21"/>
              </w:rPr>
              <w:t>Errors</w:t>
            </w:r>
          </w:p>
        </w:tc>
        <w:tc>
          <w:tcPr>
            <w:tcW w:w="906" w:type="dxa"/>
          </w:tcPr>
          <w:p>
            <w:pPr>
              <w:pStyle w:val="TableParagraph"/>
              <w:spacing w:line="214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color w:val="332F31"/>
                <w:sz w:val="20"/>
              </w:rPr>
              <w:t>270</w:t>
            </w:r>
          </w:p>
        </w:tc>
      </w:tr>
      <w:tr>
        <w:trPr>
          <w:trHeight w:val="260" w:hRule="atLeast"/>
        </w:trPr>
        <w:tc>
          <w:tcPr>
            <w:tcW w:w="654" w:type="dxa"/>
          </w:tcPr>
          <w:p>
            <w:pPr>
              <w:pStyle w:val="TableParagraph"/>
              <w:spacing w:line="224" w:lineRule="exact" w:before="16"/>
              <w:ind w:left="59"/>
              <w:rPr>
                <w:b/>
                <w:sz w:val="20"/>
              </w:rPr>
            </w:pPr>
            <w:r>
              <w:rPr>
                <w:b/>
                <w:color w:val="332F31"/>
                <w:w w:val="135"/>
                <w:sz w:val="20"/>
              </w:rPr>
              <w:t>11.6</w:t>
            </w:r>
          </w:p>
        </w:tc>
        <w:tc>
          <w:tcPr>
            <w:tcW w:w="6223" w:type="dxa"/>
          </w:tcPr>
          <w:p>
            <w:pPr>
              <w:pStyle w:val="TableParagraph"/>
              <w:spacing w:line="224" w:lineRule="exact" w:before="16"/>
              <w:ind w:left="95"/>
              <w:rPr>
                <w:sz w:val="21"/>
              </w:rPr>
            </w:pPr>
            <w:r>
              <w:rPr>
                <w:color w:val="332F31"/>
                <w:spacing w:val="-1"/>
                <w:w w:val="110"/>
                <w:sz w:val="21"/>
              </w:rPr>
              <w:t>Credibility</w:t>
            </w:r>
            <w:r>
              <w:rPr>
                <w:color w:val="332F31"/>
                <w:spacing w:val="-12"/>
                <w:w w:val="110"/>
                <w:sz w:val="21"/>
              </w:rPr>
              <w:t> </w:t>
            </w:r>
            <w:r>
              <w:rPr>
                <w:color w:val="332F31"/>
                <w:w w:val="110"/>
                <w:sz w:val="21"/>
              </w:rPr>
              <w:t>Through</w:t>
            </w:r>
            <w:r>
              <w:rPr>
                <w:color w:val="332F31"/>
                <w:spacing w:val="-16"/>
                <w:w w:val="110"/>
                <w:sz w:val="21"/>
              </w:rPr>
              <w:t> </w:t>
            </w:r>
            <w:r>
              <w:rPr>
                <w:color w:val="332F31"/>
                <w:w w:val="110"/>
                <w:sz w:val="21"/>
              </w:rPr>
              <w:t>Document</w:t>
            </w:r>
            <w:r>
              <w:rPr>
                <w:color w:val="332F31"/>
                <w:spacing w:val="1"/>
                <w:w w:val="110"/>
                <w:sz w:val="21"/>
              </w:rPr>
              <w:t> </w:t>
            </w:r>
            <w:r>
              <w:rPr>
                <w:color w:val="332F31"/>
                <w:w w:val="110"/>
                <w:sz w:val="21"/>
              </w:rPr>
              <w:t>Design</w:t>
            </w:r>
          </w:p>
        </w:tc>
        <w:tc>
          <w:tcPr>
            <w:tcW w:w="906" w:type="dxa"/>
          </w:tcPr>
          <w:p>
            <w:pPr>
              <w:pStyle w:val="TableParagraph"/>
              <w:spacing w:line="227" w:lineRule="exact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color w:val="332F31"/>
                <w:w w:val="105"/>
                <w:sz w:val="20"/>
              </w:rPr>
              <w:t>271</w:t>
            </w:r>
          </w:p>
        </w:tc>
      </w:tr>
      <w:tr>
        <w:trPr>
          <w:trHeight w:val="265" w:hRule="atLeast"/>
        </w:trPr>
        <w:tc>
          <w:tcPr>
            <w:tcW w:w="6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23" w:type="dxa"/>
          </w:tcPr>
          <w:p>
            <w:pPr>
              <w:pStyle w:val="TableParagraph"/>
              <w:spacing w:line="229" w:lineRule="exact" w:before="16"/>
              <w:ind w:left="109"/>
              <w:rPr>
                <w:sz w:val="21"/>
              </w:rPr>
            </w:pPr>
            <w:r>
              <w:rPr>
                <w:b/>
                <w:color w:val="332F31"/>
                <w:w w:val="115"/>
                <w:sz w:val="20"/>
              </w:rPr>
              <w:t>11.6.1</w:t>
            </w:r>
            <w:r>
              <w:rPr>
                <w:color w:val="332F31"/>
                <w:w w:val="115"/>
                <w:sz w:val="21"/>
              </w:rPr>
              <w:t>Typeface</w:t>
            </w:r>
          </w:p>
        </w:tc>
        <w:tc>
          <w:tcPr>
            <w:tcW w:w="906" w:type="dxa"/>
          </w:tcPr>
          <w:p>
            <w:pPr>
              <w:pStyle w:val="TableParagraph"/>
              <w:spacing w:line="227" w:lineRule="exact"/>
              <w:ind w:right="92"/>
              <w:jc w:val="right"/>
              <w:rPr>
                <w:b/>
                <w:sz w:val="20"/>
              </w:rPr>
            </w:pPr>
            <w:r>
              <w:rPr>
                <w:b/>
                <w:color w:val="332F31"/>
                <w:w w:val="105"/>
                <w:sz w:val="20"/>
              </w:rPr>
              <w:t>272</w:t>
            </w:r>
          </w:p>
        </w:tc>
      </w:tr>
      <w:tr>
        <w:trPr>
          <w:trHeight w:val="250" w:hRule="atLeast"/>
        </w:trPr>
        <w:tc>
          <w:tcPr>
            <w:tcW w:w="6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23" w:type="dxa"/>
          </w:tcPr>
          <w:p>
            <w:pPr>
              <w:pStyle w:val="TableParagraph"/>
              <w:spacing w:line="229" w:lineRule="exact" w:before="1"/>
              <w:ind w:left="119"/>
              <w:rPr>
                <w:i/>
                <w:sz w:val="20"/>
              </w:rPr>
            </w:pPr>
            <w:r>
              <w:rPr>
                <w:b/>
                <w:color w:val="332F31"/>
                <w:spacing w:val="-1"/>
                <w:w w:val="110"/>
                <w:sz w:val="20"/>
              </w:rPr>
              <w:t>11</w:t>
            </w:r>
            <w:r>
              <w:rPr>
                <w:b/>
                <w:color w:val="545454"/>
                <w:spacing w:val="-1"/>
                <w:w w:val="110"/>
                <w:sz w:val="20"/>
              </w:rPr>
              <w:t>.</w:t>
            </w:r>
            <w:r>
              <w:rPr>
                <w:b/>
                <w:color w:val="332F31"/>
                <w:spacing w:val="-1"/>
                <w:w w:val="110"/>
                <w:sz w:val="20"/>
              </w:rPr>
              <w:t>6.2</w:t>
            </w:r>
            <w:r>
              <w:rPr>
                <w:b/>
                <w:color w:val="332F31"/>
                <w:w w:val="110"/>
                <w:sz w:val="20"/>
              </w:rPr>
              <w:t> </w:t>
            </w:r>
            <w:r>
              <w:rPr>
                <w:color w:val="332F31"/>
                <w:spacing w:val="-1"/>
                <w:w w:val="110"/>
                <w:sz w:val="21"/>
              </w:rPr>
              <w:t>Citations</w:t>
            </w:r>
            <w:r>
              <w:rPr>
                <w:color w:val="332F31"/>
                <w:spacing w:val="-12"/>
                <w:w w:val="110"/>
                <w:sz w:val="21"/>
              </w:rPr>
              <w:t> </w:t>
            </w:r>
            <w:r>
              <w:rPr>
                <w:color w:val="332F31"/>
                <w:spacing w:val="-1"/>
                <w:w w:val="110"/>
                <w:sz w:val="21"/>
              </w:rPr>
              <w:t>and</w:t>
            </w:r>
            <w:r>
              <w:rPr>
                <w:color w:val="332F31"/>
                <w:spacing w:val="-15"/>
                <w:w w:val="110"/>
                <w:sz w:val="21"/>
              </w:rPr>
              <w:t> </w:t>
            </w:r>
            <w:r>
              <w:rPr>
                <w:color w:val="332F31"/>
                <w:spacing w:val="-1"/>
                <w:w w:val="110"/>
                <w:sz w:val="21"/>
              </w:rPr>
              <w:t>Emphatic</w:t>
            </w:r>
            <w:r>
              <w:rPr>
                <w:color w:val="332F31"/>
                <w:spacing w:val="-10"/>
                <w:w w:val="110"/>
                <w:sz w:val="21"/>
              </w:rPr>
              <w:t> </w:t>
            </w:r>
            <w:r>
              <w:rPr>
                <w:color w:val="332F31"/>
                <w:w w:val="110"/>
                <w:sz w:val="21"/>
              </w:rPr>
              <w:t>Text</w:t>
            </w:r>
            <w:r>
              <w:rPr>
                <w:color w:val="545454"/>
                <w:w w:val="110"/>
                <w:sz w:val="21"/>
              </w:rPr>
              <w:t>:</w:t>
            </w:r>
            <w:r>
              <w:rPr>
                <w:color w:val="332F31"/>
                <w:spacing w:val="-13"/>
                <w:w w:val="110"/>
                <w:sz w:val="21"/>
              </w:rPr>
              <w:t> </w:t>
            </w:r>
            <w:r>
              <w:rPr>
                <w:color w:val="332F31"/>
                <w:w w:val="110"/>
                <w:sz w:val="21"/>
                <w:u w:val="thick" w:color="332F31"/>
              </w:rPr>
              <w:t>Underlining,</w:t>
            </w:r>
            <w:r>
              <w:rPr>
                <w:color w:val="332F31"/>
                <w:spacing w:val="12"/>
                <w:w w:val="110"/>
                <w:sz w:val="21"/>
              </w:rPr>
              <w:t> </w:t>
            </w:r>
            <w:r>
              <w:rPr>
                <w:i/>
                <w:color w:val="332F31"/>
                <w:w w:val="110"/>
                <w:sz w:val="20"/>
              </w:rPr>
              <w:t>Italics,</w:t>
            </w:r>
          </w:p>
        </w:tc>
        <w:tc>
          <w:tcPr>
            <w:tcW w:w="9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6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23" w:type="dxa"/>
          </w:tcPr>
          <w:p>
            <w:pPr>
              <w:pStyle w:val="TableParagraph"/>
              <w:spacing w:line="234" w:lineRule="exact" w:before="3"/>
              <w:ind w:left="879" w:right="1342"/>
              <w:jc w:val="center"/>
              <w:rPr>
                <w:sz w:val="21"/>
              </w:rPr>
            </w:pPr>
            <w:r>
              <w:rPr>
                <w:rFonts w:ascii="Times New Roman"/>
                <w:b/>
                <w:color w:val="332F31"/>
                <w:w w:val="105"/>
                <w:sz w:val="22"/>
              </w:rPr>
              <w:t>Boldfaced</w:t>
            </w:r>
            <w:r>
              <w:rPr>
                <w:rFonts w:ascii="Times New Roman"/>
                <w:b/>
                <w:color w:val="332F31"/>
                <w:spacing w:val="35"/>
                <w:w w:val="105"/>
                <w:sz w:val="22"/>
              </w:rPr>
              <w:t> </w:t>
            </w:r>
            <w:r>
              <w:rPr>
                <w:rFonts w:ascii="Times New Roman"/>
                <w:b/>
                <w:color w:val="332F31"/>
                <w:w w:val="105"/>
                <w:sz w:val="22"/>
              </w:rPr>
              <w:t>Type,</w:t>
            </w:r>
            <w:r>
              <w:rPr>
                <w:rFonts w:ascii="Times New Roman"/>
                <w:b/>
                <w:color w:val="332F31"/>
                <w:spacing w:val="54"/>
                <w:w w:val="105"/>
                <w:sz w:val="22"/>
              </w:rPr>
              <w:t> </w:t>
            </w:r>
            <w:r>
              <w:rPr>
                <w:color w:val="332F31"/>
                <w:w w:val="105"/>
                <w:sz w:val="21"/>
              </w:rPr>
              <w:t>and</w:t>
            </w:r>
            <w:r>
              <w:rPr>
                <w:color w:val="332F31"/>
                <w:spacing w:val="-7"/>
                <w:w w:val="105"/>
                <w:sz w:val="21"/>
              </w:rPr>
              <w:t> </w:t>
            </w:r>
            <w:r>
              <w:rPr>
                <w:color w:val="332F31"/>
                <w:w w:val="105"/>
                <w:sz w:val="21"/>
              </w:rPr>
              <w:t>CAPITALIZATION</w:t>
            </w:r>
          </w:p>
        </w:tc>
        <w:tc>
          <w:tcPr>
            <w:tcW w:w="906" w:type="dxa"/>
          </w:tcPr>
          <w:p>
            <w:pPr>
              <w:pStyle w:val="TableParagraph"/>
              <w:spacing w:before="1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color w:val="332F31"/>
                <w:sz w:val="20"/>
              </w:rPr>
              <w:t>272</w:t>
            </w:r>
          </w:p>
        </w:tc>
      </w:tr>
      <w:tr>
        <w:trPr>
          <w:trHeight w:val="263" w:hRule="atLeast"/>
        </w:trPr>
        <w:tc>
          <w:tcPr>
            <w:tcW w:w="6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23" w:type="dxa"/>
          </w:tcPr>
          <w:p>
            <w:pPr>
              <w:pStyle w:val="TableParagraph"/>
              <w:spacing w:line="219" w:lineRule="exact" w:before="24"/>
              <w:ind w:left="119"/>
              <w:rPr>
                <w:sz w:val="21"/>
              </w:rPr>
            </w:pPr>
            <w:r>
              <w:rPr>
                <w:b/>
                <w:color w:val="332F31"/>
                <w:w w:val="110"/>
                <w:sz w:val="20"/>
              </w:rPr>
              <w:t>11.6.3</w:t>
            </w:r>
            <w:r>
              <w:rPr>
                <w:b/>
                <w:color w:val="332F31"/>
                <w:spacing w:val="-24"/>
                <w:w w:val="110"/>
                <w:sz w:val="20"/>
              </w:rPr>
              <w:t> </w:t>
            </w:r>
            <w:r>
              <w:rPr>
                <w:color w:val="332F31"/>
                <w:w w:val="110"/>
                <w:sz w:val="21"/>
              </w:rPr>
              <w:t>Justification</w:t>
            </w:r>
          </w:p>
        </w:tc>
        <w:tc>
          <w:tcPr>
            <w:tcW w:w="906" w:type="dxa"/>
          </w:tcPr>
          <w:p>
            <w:pPr>
              <w:pStyle w:val="TableParagraph"/>
              <w:spacing w:line="225" w:lineRule="exact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color w:val="332F31"/>
                <w:w w:val="105"/>
                <w:sz w:val="20"/>
              </w:rPr>
              <w:t>276</w:t>
            </w:r>
          </w:p>
        </w:tc>
      </w:tr>
      <w:tr>
        <w:trPr>
          <w:trHeight w:val="255" w:hRule="atLeast"/>
        </w:trPr>
        <w:tc>
          <w:tcPr>
            <w:tcW w:w="6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23" w:type="dxa"/>
          </w:tcPr>
          <w:p>
            <w:pPr>
              <w:pStyle w:val="TableParagraph"/>
              <w:spacing w:line="224" w:lineRule="exact" w:before="11"/>
              <w:ind w:left="119"/>
              <w:rPr>
                <w:sz w:val="21"/>
              </w:rPr>
            </w:pPr>
            <w:r>
              <w:rPr>
                <w:b/>
                <w:color w:val="332F31"/>
                <w:w w:val="105"/>
                <w:sz w:val="20"/>
              </w:rPr>
              <w:t>11.6.4</w:t>
            </w:r>
            <w:r>
              <w:rPr>
                <w:b/>
                <w:color w:val="332F31"/>
                <w:spacing w:val="-27"/>
                <w:w w:val="105"/>
                <w:sz w:val="20"/>
              </w:rPr>
              <w:t> </w:t>
            </w:r>
            <w:r>
              <w:rPr>
                <w:color w:val="332F31"/>
                <w:w w:val="105"/>
                <w:sz w:val="21"/>
              </w:rPr>
              <w:t>Effective</w:t>
            </w:r>
            <w:r>
              <w:rPr>
                <w:color w:val="332F31"/>
                <w:spacing w:val="11"/>
                <w:w w:val="105"/>
                <w:sz w:val="21"/>
              </w:rPr>
              <w:t> </w:t>
            </w:r>
            <w:r>
              <w:rPr>
                <w:color w:val="332F31"/>
                <w:w w:val="105"/>
                <w:sz w:val="21"/>
              </w:rPr>
              <w:t>Tables</w:t>
            </w:r>
          </w:p>
        </w:tc>
        <w:tc>
          <w:tcPr>
            <w:tcW w:w="906" w:type="dxa"/>
          </w:tcPr>
          <w:p>
            <w:pPr>
              <w:pStyle w:val="TableParagraph"/>
              <w:spacing w:line="222" w:lineRule="exact"/>
              <w:ind w:right="76"/>
              <w:jc w:val="right"/>
              <w:rPr>
                <w:b/>
                <w:sz w:val="20"/>
              </w:rPr>
            </w:pPr>
            <w:r>
              <w:rPr>
                <w:b/>
                <w:color w:val="332F31"/>
                <w:sz w:val="20"/>
              </w:rPr>
              <w:t>276</w:t>
            </w:r>
          </w:p>
        </w:tc>
      </w:tr>
      <w:tr>
        <w:trPr>
          <w:trHeight w:val="248" w:hRule="atLeast"/>
        </w:trPr>
        <w:tc>
          <w:tcPr>
            <w:tcW w:w="654" w:type="dxa"/>
          </w:tcPr>
          <w:p>
            <w:pPr>
              <w:pStyle w:val="TableParagraph"/>
              <w:spacing w:line="222" w:lineRule="exact" w:before="6"/>
              <w:ind w:left="69"/>
              <w:rPr>
                <w:b/>
                <w:sz w:val="20"/>
              </w:rPr>
            </w:pPr>
            <w:r>
              <w:rPr>
                <w:b/>
                <w:color w:val="332F31"/>
                <w:w w:val="130"/>
                <w:sz w:val="20"/>
              </w:rPr>
              <w:t>11.7</w:t>
            </w:r>
          </w:p>
        </w:tc>
        <w:tc>
          <w:tcPr>
            <w:tcW w:w="6223" w:type="dxa"/>
          </w:tcPr>
          <w:p>
            <w:pPr>
              <w:pStyle w:val="TableParagraph"/>
              <w:spacing w:line="222" w:lineRule="exact" w:before="6"/>
              <w:ind w:left="115"/>
              <w:rPr>
                <w:sz w:val="21"/>
              </w:rPr>
            </w:pPr>
            <w:r>
              <w:rPr>
                <w:color w:val="332F31"/>
                <w:w w:val="105"/>
                <w:sz w:val="21"/>
              </w:rPr>
              <w:t>Summary</w:t>
            </w:r>
          </w:p>
        </w:tc>
        <w:tc>
          <w:tcPr>
            <w:tcW w:w="906" w:type="dxa"/>
          </w:tcPr>
          <w:p>
            <w:pPr>
              <w:pStyle w:val="TableParagraph"/>
              <w:spacing w:line="227" w:lineRule="exact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color w:val="332F31"/>
                <w:w w:val="105"/>
                <w:sz w:val="20"/>
              </w:rPr>
              <w:t>278</w:t>
            </w:r>
          </w:p>
        </w:tc>
      </w:tr>
    </w:tbl>
    <w:p>
      <w:pPr>
        <w:spacing w:after="0" w:line="227" w:lineRule="exact"/>
        <w:jc w:val="right"/>
        <w:rPr>
          <w:sz w:val="20"/>
        </w:rPr>
        <w:sectPr>
          <w:pgSz w:w="9640" w:h="13740"/>
          <w:pgMar w:header="463" w:footer="0" w:top="1120" w:bottom="280" w:left="400" w:right="12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headerReference w:type="even" r:id="rId12"/>
          <w:headerReference w:type="default" r:id="rId13"/>
          <w:pgSz w:w="9760" w:h="13810"/>
          <w:pgMar w:header="398" w:footer="0" w:top="640" w:bottom="280" w:left="1360" w:right="140"/>
          <w:pgNumType w:start="18"/>
        </w:sectPr>
      </w:pPr>
    </w:p>
    <w:p>
      <w:pPr>
        <w:pStyle w:val="BodyText"/>
        <w:spacing w:before="9"/>
        <w:rPr>
          <w:rFonts w:ascii="Arial"/>
          <w:b/>
          <w:sz w:val="19"/>
        </w:rPr>
      </w:pPr>
    </w:p>
    <w:p>
      <w:pPr>
        <w:spacing w:before="0"/>
        <w:ind w:left="512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333131"/>
          <w:w w:val="95"/>
          <w:sz w:val="20"/>
        </w:rPr>
        <w:t>CHAPTER</w:t>
      </w:r>
      <w:r>
        <w:rPr>
          <w:rFonts w:ascii="Arial"/>
          <w:b/>
          <w:color w:val="333131"/>
          <w:spacing w:val="-10"/>
          <w:w w:val="95"/>
          <w:sz w:val="20"/>
        </w:rPr>
        <w:t> </w:t>
      </w:r>
      <w:r>
        <w:rPr>
          <w:rFonts w:ascii="Arial"/>
          <w:b/>
          <w:color w:val="333131"/>
          <w:w w:val="95"/>
          <w:sz w:val="20"/>
        </w:rPr>
        <w:t>lWELVE</w:t>
      </w:r>
    </w:p>
    <w:p>
      <w:pPr>
        <w:pStyle w:val="BodyText"/>
        <w:spacing w:before="50"/>
        <w:ind w:left="513"/>
        <w:rPr>
          <w:rFonts w:ascii="Arial"/>
        </w:rPr>
      </w:pPr>
      <w:r>
        <w:rPr>
          <w:rFonts w:ascii="Arial"/>
          <w:color w:val="757579"/>
          <w:w w:val="110"/>
        </w:rPr>
        <w:t>POLISHING</w:t>
      </w:r>
    </w:p>
    <w:p>
      <w:pPr>
        <w:pStyle w:val="ListParagraph"/>
        <w:numPr>
          <w:ilvl w:val="1"/>
          <w:numId w:val="13"/>
        </w:numPr>
        <w:tabs>
          <w:tab w:pos="1181" w:val="left" w:leader="none"/>
          <w:tab w:pos="1182" w:val="left" w:leader="none"/>
        </w:tabs>
        <w:spacing w:line="240" w:lineRule="auto" w:before="130" w:after="0"/>
        <w:ind w:left="1181" w:right="0" w:hanging="678"/>
        <w:jc w:val="left"/>
        <w:rPr>
          <w:rFonts w:ascii="Arial"/>
          <w:b/>
          <w:color w:val="333131"/>
          <w:sz w:val="21"/>
        </w:rPr>
      </w:pPr>
      <w:r>
        <w:rPr>
          <w:rFonts w:ascii="Arial"/>
          <w:color w:val="333131"/>
          <w:sz w:val="21"/>
        </w:rPr>
        <w:t>Methods</w:t>
      </w:r>
      <w:r>
        <w:rPr>
          <w:rFonts w:ascii="Arial"/>
          <w:color w:val="333131"/>
          <w:spacing w:val="16"/>
          <w:sz w:val="21"/>
        </w:rPr>
        <w:t> </w:t>
      </w:r>
      <w:r>
        <w:rPr>
          <w:rFonts w:ascii="Arial"/>
          <w:color w:val="333131"/>
          <w:sz w:val="21"/>
        </w:rPr>
        <w:t>to</w:t>
      </w:r>
      <w:r>
        <w:rPr>
          <w:rFonts w:ascii="Arial"/>
          <w:color w:val="333131"/>
          <w:spacing w:val="28"/>
          <w:sz w:val="21"/>
        </w:rPr>
        <w:t> </w:t>
      </w:r>
      <w:r>
        <w:rPr>
          <w:rFonts w:ascii="Arial"/>
          <w:color w:val="333131"/>
          <w:sz w:val="21"/>
        </w:rPr>
        <w:t>Use</w:t>
      </w:r>
      <w:r>
        <w:rPr>
          <w:rFonts w:ascii="Arial"/>
          <w:color w:val="333131"/>
          <w:spacing w:val="-9"/>
          <w:sz w:val="21"/>
        </w:rPr>
        <w:t> </w:t>
      </w:r>
      <w:r>
        <w:rPr>
          <w:rFonts w:ascii="Arial"/>
          <w:color w:val="333131"/>
          <w:sz w:val="21"/>
        </w:rPr>
        <w:t>on</w:t>
      </w:r>
      <w:r>
        <w:rPr>
          <w:rFonts w:ascii="Arial"/>
          <w:color w:val="333131"/>
          <w:spacing w:val="57"/>
          <w:sz w:val="21"/>
        </w:rPr>
        <w:t> </w:t>
      </w:r>
      <w:r>
        <w:rPr>
          <w:rFonts w:ascii="Arial"/>
          <w:color w:val="333131"/>
          <w:sz w:val="21"/>
        </w:rPr>
        <w:t>the</w:t>
      </w:r>
      <w:r>
        <w:rPr>
          <w:rFonts w:ascii="Arial"/>
          <w:color w:val="333131"/>
          <w:spacing w:val="57"/>
          <w:sz w:val="21"/>
        </w:rPr>
        <w:t> </w:t>
      </w:r>
      <w:r>
        <w:rPr>
          <w:rFonts w:ascii="Arial"/>
          <w:color w:val="333131"/>
          <w:sz w:val="21"/>
        </w:rPr>
        <w:t>Computer</w:t>
      </w:r>
    </w:p>
    <w:p>
      <w:pPr>
        <w:pStyle w:val="ListParagraph"/>
        <w:numPr>
          <w:ilvl w:val="1"/>
          <w:numId w:val="13"/>
        </w:numPr>
        <w:tabs>
          <w:tab w:pos="1172" w:val="left" w:leader="none"/>
        </w:tabs>
        <w:spacing w:line="240" w:lineRule="auto" w:before="1" w:after="0"/>
        <w:ind w:left="1171" w:right="0" w:hanging="675"/>
        <w:jc w:val="left"/>
        <w:rPr>
          <w:b/>
          <w:color w:val="333131"/>
          <w:sz w:val="22"/>
        </w:rPr>
      </w:pPr>
      <w:r>
        <w:rPr>
          <w:rFonts w:ascii="Arial"/>
          <w:color w:val="333131"/>
          <w:sz w:val="21"/>
        </w:rPr>
        <w:t>Methods</w:t>
      </w:r>
      <w:r>
        <w:rPr>
          <w:rFonts w:ascii="Arial"/>
          <w:color w:val="333131"/>
          <w:spacing w:val="18"/>
          <w:sz w:val="21"/>
        </w:rPr>
        <w:t> </w:t>
      </w:r>
      <w:r>
        <w:rPr>
          <w:rFonts w:ascii="Arial"/>
          <w:color w:val="333131"/>
          <w:sz w:val="21"/>
        </w:rPr>
        <w:t>to</w:t>
      </w:r>
      <w:r>
        <w:rPr>
          <w:rFonts w:ascii="Arial"/>
          <w:color w:val="333131"/>
          <w:spacing w:val="25"/>
          <w:sz w:val="21"/>
        </w:rPr>
        <w:t> </w:t>
      </w:r>
      <w:r>
        <w:rPr>
          <w:rFonts w:ascii="Arial"/>
          <w:color w:val="333131"/>
          <w:sz w:val="21"/>
        </w:rPr>
        <w:t>Use</w:t>
      </w:r>
      <w:r>
        <w:rPr>
          <w:rFonts w:ascii="Arial"/>
          <w:color w:val="333131"/>
          <w:spacing w:val="-8"/>
          <w:sz w:val="21"/>
        </w:rPr>
        <w:t> </w:t>
      </w:r>
      <w:r>
        <w:rPr>
          <w:rFonts w:ascii="Arial"/>
          <w:color w:val="333131"/>
          <w:sz w:val="21"/>
        </w:rPr>
        <w:t>on</w:t>
      </w:r>
      <w:r>
        <w:rPr>
          <w:rFonts w:ascii="Arial"/>
          <w:color w:val="333131"/>
          <w:spacing w:val="57"/>
          <w:sz w:val="21"/>
        </w:rPr>
        <w:t> </w:t>
      </w:r>
      <w:r>
        <w:rPr>
          <w:rFonts w:ascii="Arial"/>
          <w:color w:val="333131"/>
          <w:sz w:val="21"/>
        </w:rPr>
        <w:t>the</w:t>
      </w:r>
      <w:r>
        <w:rPr>
          <w:rFonts w:ascii="Arial"/>
          <w:color w:val="333131"/>
          <w:spacing w:val="60"/>
          <w:sz w:val="21"/>
        </w:rPr>
        <w:t> </w:t>
      </w:r>
      <w:r>
        <w:rPr>
          <w:rFonts w:ascii="Arial"/>
          <w:color w:val="333131"/>
          <w:sz w:val="21"/>
        </w:rPr>
        <w:t>Hard Copy</w:t>
      </w:r>
    </w:p>
    <w:p>
      <w:pPr>
        <w:pStyle w:val="ListParagraph"/>
        <w:numPr>
          <w:ilvl w:val="1"/>
          <w:numId w:val="13"/>
        </w:numPr>
        <w:tabs>
          <w:tab w:pos="1170" w:val="left" w:leader="none"/>
          <w:tab w:pos="1172" w:val="left" w:leader="none"/>
        </w:tabs>
        <w:spacing w:line="240" w:lineRule="auto" w:before="16" w:after="0"/>
        <w:ind w:left="1171" w:right="0" w:hanging="687"/>
        <w:jc w:val="left"/>
        <w:rPr>
          <w:rFonts w:ascii="Arial"/>
          <w:b/>
          <w:color w:val="333131"/>
          <w:sz w:val="21"/>
        </w:rPr>
      </w:pPr>
      <w:r>
        <w:rPr>
          <w:rFonts w:ascii="Arial"/>
          <w:color w:val="333131"/>
          <w:sz w:val="21"/>
        </w:rPr>
        <w:t>Proofreading</w:t>
      </w:r>
      <w:r>
        <w:rPr>
          <w:rFonts w:ascii="Arial"/>
          <w:color w:val="333131"/>
          <w:spacing w:val="-9"/>
          <w:sz w:val="21"/>
        </w:rPr>
        <w:t> </w:t>
      </w:r>
      <w:r>
        <w:rPr>
          <w:rFonts w:ascii="Arial"/>
          <w:color w:val="333131"/>
          <w:sz w:val="21"/>
        </w:rPr>
        <w:t>Your</w:t>
      </w:r>
      <w:r>
        <w:rPr>
          <w:rFonts w:ascii="Arial"/>
          <w:color w:val="333131"/>
          <w:spacing w:val="-8"/>
          <w:sz w:val="21"/>
        </w:rPr>
        <w:t> </w:t>
      </w:r>
      <w:r>
        <w:rPr>
          <w:rFonts w:ascii="Arial"/>
          <w:color w:val="333131"/>
          <w:sz w:val="21"/>
        </w:rPr>
        <w:t>Revisions</w:t>
      </w:r>
    </w:p>
    <w:p>
      <w:pPr>
        <w:pStyle w:val="ListParagraph"/>
        <w:numPr>
          <w:ilvl w:val="1"/>
          <w:numId w:val="13"/>
        </w:numPr>
        <w:tabs>
          <w:tab w:pos="1164" w:val="left" w:leader="none"/>
        </w:tabs>
        <w:spacing w:line="240" w:lineRule="auto" w:before="8" w:after="0"/>
        <w:ind w:left="1163" w:right="0" w:hanging="679"/>
        <w:jc w:val="left"/>
        <w:rPr>
          <w:rFonts w:ascii="Arial"/>
          <w:b/>
          <w:color w:val="333131"/>
          <w:sz w:val="21"/>
        </w:rPr>
      </w:pPr>
      <w:r>
        <w:rPr>
          <w:rFonts w:ascii="Arial"/>
          <w:color w:val="333131"/>
          <w:spacing w:val="-1"/>
          <w:w w:val="110"/>
          <w:sz w:val="21"/>
        </w:rPr>
        <w:t>The</w:t>
      </w:r>
      <w:r>
        <w:rPr>
          <w:rFonts w:ascii="Arial"/>
          <w:color w:val="333131"/>
          <w:spacing w:val="-17"/>
          <w:w w:val="110"/>
          <w:sz w:val="21"/>
        </w:rPr>
        <w:t> </w:t>
      </w:r>
      <w:r>
        <w:rPr>
          <w:rFonts w:ascii="Arial"/>
          <w:color w:val="333131"/>
          <w:spacing w:val="-1"/>
          <w:w w:val="110"/>
          <w:sz w:val="21"/>
        </w:rPr>
        <w:t>Last</w:t>
      </w:r>
      <w:r>
        <w:rPr>
          <w:rFonts w:ascii="Arial"/>
          <w:color w:val="333131"/>
          <w:spacing w:val="-25"/>
          <w:w w:val="110"/>
          <w:sz w:val="21"/>
        </w:rPr>
        <w:t> </w:t>
      </w:r>
      <w:r>
        <w:rPr>
          <w:rFonts w:ascii="Arial"/>
          <w:color w:val="333131"/>
          <w:spacing w:val="-1"/>
          <w:w w:val="110"/>
          <w:sz w:val="21"/>
        </w:rPr>
        <w:t>Thing</w:t>
      </w:r>
      <w:r>
        <w:rPr>
          <w:rFonts w:ascii="Arial"/>
          <w:color w:val="333131"/>
          <w:spacing w:val="-15"/>
          <w:w w:val="110"/>
          <w:sz w:val="21"/>
        </w:rPr>
        <w:t> </w:t>
      </w:r>
      <w:r>
        <w:rPr>
          <w:rFonts w:ascii="Arial"/>
          <w:color w:val="333131"/>
          <w:w w:val="110"/>
          <w:sz w:val="21"/>
        </w:rPr>
        <w:t>to</w:t>
      </w:r>
      <w:r>
        <w:rPr>
          <w:rFonts w:ascii="Arial"/>
          <w:color w:val="333131"/>
          <w:spacing w:val="10"/>
          <w:w w:val="110"/>
          <w:sz w:val="21"/>
        </w:rPr>
        <w:t> </w:t>
      </w:r>
      <w:r>
        <w:rPr>
          <w:rFonts w:ascii="Arial"/>
          <w:color w:val="333131"/>
          <w:w w:val="110"/>
          <w:sz w:val="21"/>
        </w:rPr>
        <w:t>Do</w:t>
      </w:r>
      <w:r>
        <w:rPr>
          <w:rFonts w:ascii="Arial"/>
          <w:color w:val="333131"/>
          <w:spacing w:val="-18"/>
          <w:w w:val="110"/>
          <w:sz w:val="21"/>
        </w:rPr>
        <w:t> </w:t>
      </w:r>
      <w:r>
        <w:rPr>
          <w:rFonts w:ascii="Arial"/>
          <w:color w:val="333131"/>
          <w:w w:val="110"/>
          <w:sz w:val="21"/>
        </w:rPr>
        <w:t>with</w:t>
      </w:r>
      <w:r>
        <w:rPr>
          <w:rFonts w:ascii="Arial"/>
          <w:color w:val="333131"/>
          <w:spacing w:val="-29"/>
          <w:w w:val="110"/>
          <w:sz w:val="21"/>
        </w:rPr>
        <w:t> </w:t>
      </w:r>
      <w:r>
        <w:rPr>
          <w:rFonts w:ascii="Arial"/>
          <w:color w:val="333131"/>
          <w:w w:val="110"/>
          <w:sz w:val="21"/>
        </w:rPr>
        <w:t>the</w:t>
      </w:r>
      <w:r>
        <w:rPr>
          <w:rFonts w:ascii="Arial"/>
          <w:color w:val="333131"/>
          <w:spacing w:val="-37"/>
          <w:w w:val="110"/>
          <w:sz w:val="21"/>
        </w:rPr>
        <w:t> </w:t>
      </w:r>
      <w:r>
        <w:rPr>
          <w:rFonts w:ascii="Arial"/>
          <w:color w:val="333131"/>
          <w:w w:val="110"/>
          <w:sz w:val="21"/>
        </w:rPr>
        <w:t>Document</w:t>
      </w:r>
    </w:p>
    <w:p>
      <w:pPr>
        <w:pStyle w:val="ListParagraph"/>
        <w:numPr>
          <w:ilvl w:val="1"/>
          <w:numId w:val="13"/>
        </w:numPr>
        <w:tabs>
          <w:tab w:pos="1178" w:val="left" w:leader="none"/>
        </w:tabs>
        <w:spacing w:line="240" w:lineRule="auto" w:before="30" w:after="0"/>
        <w:ind w:left="1177" w:right="0" w:hanging="691"/>
        <w:jc w:val="left"/>
        <w:rPr>
          <w:b/>
          <w:color w:val="333131"/>
          <w:sz w:val="22"/>
        </w:rPr>
      </w:pPr>
      <w:r>
        <w:rPr>
          <w:rFonts w:ascii="Arial"/>
          <w:color w:val="333131"/>
          <w:w w:val="105"/>
          <w:sz w:val="21"/>
        </w:rPr>
        <w:t>Summary</w:t>
      </w:r>
    </w:p>
    <w:p>
      <w:pPr>
        <w:spacing w:line="240" w:lineRule="auto" w:before="0"/>
        <w:rPr>
          <w:rFonts w:ascii="Arial"/>
          <w:sz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spacing w:before="215"/>
        <w:ind w:left="489" w:right="0" w:firstLine="0"/>
        <w:jc w:val="left"/>
        <w:rPr>
          <w:rFonts w:ascii="Courier New"/>
          <w:b/>
          <w:i/>
          <w:sz w:val="21"/>
        </w:rPr>
      </w:pPr>
      <w:r>
        <w:rPr>
          <w:rFonts w:ascii="Courier New"/>
          <w:b/>
          <w:i/>
          <w:color w:val="333131"/>
          <w:w w:val="110"/>
          <w:sz w:val="21"/>
        </w:rPr>
        <w:t>279</w:t>
      </w:r>
    </w:p>
    <w:p>
      <w:pPr>
        <w:spacing w:before="107"/>
        <w:ind w:left="485" w:right="0" w:firstLine="0"/>
        <w:jc w:val="left"/>
        <w:rPr>
          <w:b/>
          <w:sz w:val="22"/>
        </w:rPr>
      </w:pPr>
      <w:r>
        <w:rPr>
          <w:b/>
          <w:color w:val="333131"/>
          <w:w w:val="110"/>
          <w:sz w:val="22"/>
        </w:rPr>
        <w:t>281</w:t>
      </w:r>
    </w:p>
    <w:p>
      <w:pPr>
        <w:spacing w:before="7"/>
        <w:ind w:left="485" w:right="0" w:firstLine="0"/>
        <w:jc w:val="left"/>
        <w:rPr>
          <w:b/>
          <w:sz w:val="22"/>
        </w:rPr>
      </w:pPr>
      <w:r>
        <w:rPr>
          <w:b/>
          <w:color w:val="333131"/>
          <w:w w:val="110"/>
          <w:sz w:val="22"/>
        </w:rPr>
        <w:t>283</w:t>
      </w:r>
    </w:p>
    <w:p>
      <w:pPr>
        <w:spacing w:before="8"/>
        <w:ind w:left="485" w:right="0" w:firstLine="0"/>
        <w:jc w:val="left"/>
        <w:rPr>
          <w:b/>
          <w:sz w:val="22"/>
        </w:rPr>
      </w:pPr>
      <w:r>
        <w:rPr>
          <w:b/>
          <w:color w:val="333131"/>
          <w:w w:val="110"/>
          <w:sz w:val="22"/>
        </w:rPr>
        <w:t>285</w:t>
      </w:r>
    </w:p>
    <w:p>
      <w:pPr>
        <w:spacing w:line="251" w:lineRule="exact" w:before="7"/>
        <w:ind w:left="495" w:right="0" w:firstLine="0"/>
        <w:jc w:val="left"/>
        <w:rPr>
          <w:b/>
          <w:sz w:val="22"/>
        </w:rPr>
      </w:pPr>
      <w:r>
        <w:rPr>
          <w:b/>
          <w:color w:val="333131"/>
          <w:w w:val="110"/>
          <w:sz w:val="22"/>
        </w:rPr>
        <w:t>285</w:t>
      </w:r>
    </w:p>
    <w:p>
      <w:pPr>
        <w:spacing w:line="251" w:lineRule="exact" w:before="0"/>
        <w:ind w:left="494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333131"/>
          <w:w w:val="110"/>
          <w:sz w:val="22"/>
        </w:rPr>
        <w:t>286</w:t>
      </w:r>
    </w:p>
    <w:p>
      <w:pPr>
        <w:spacing w:after="0" w:line="251" w:lineRule="exact"/>
        <w:jc w:val="left"/>
        <w:rPr>
          <w:rFonts w:ascii="Arial"/>
          <w:sz w:val="22"/>
        </w:rPr>
        <w:sectPr>
          <w:type w:val="continuous"/>
          <w:pgSz w:w="9760" w:h="13810"/>
          <w:pgMar w:header="443" w:footer="0" w:top="340" w:bottom="280" w:left="1360" w:right="140"/>
          <w:cols w:num="2" w:equalWidth="0">
            <w:col w:w="5222" w:space="1901"/>
            <w:col w:w="1137"/>
          </w:cols>
        </w:sectPr>
      </w:pPr>
    </w:p>
    <w:p>
      <w:pPr>
        <w:pStyle w:val="BodyText"/>
        <w:spacing w:before="5"/>
        <w:rPr>
          <w:rFonts w:ascii="Arial"/>
          <w:b/>
          <w:sz w:val="27"/>
        </w:rPr>
      </w:pPr>
    </w:p>
    <w:p>
      <w:pPr>
        <w:spacing w:before="95"/>
        <w:ind w:left="483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333131"/>
          <w:w w:val="95"/>
          <w:sz w:val="20"/>
        </w:rPr>
        <w:t>CHAPTER</w:t>
      </w:r>
      <w:r>
        <w:rPr>
          <w:rFonts w:ascii="Arial"/>
          <w:b/>
          <w:color w:val="333131"/>
          <w:spacing w:val="-8"/>
          <w:w w:val="95"/>
          <w:sz w:val="20"/>
        </w:rPr>
        <w:t> </w:t>
      </w:r>
      <w:r>
        <w:rPr>
          <w:rFonts w:ascii="Arial"/>
          <w:b/>
          <w:color w:val="333131"/>
          <w:w w:val="95"/>
          <w:sz w:val="20"/>
        </w:rPr>
        <w:t>THIRTEEN</w:t>
      </w:r>
    </w:p>
    <w:p>
      <w:pPr>
        <w:tabs>
          <w:tab w:pos="8001" w:val="right" w:leader="none"/>
        </w:tabs>
        <w:spacing w:before="31"/>
        <w:ind w:left="490" w:right="0" w:firstLine="0"/>
        <w:jc w:val="left"/>
        <w:rPr>
          <w:b/>
          <w:sz w:val="23"/>
        </w:rPr>
      </w:pPr>
      <w:r>
        <w:rPr>
          <w:rFonts w:ascii="Arial"/>
          <w:color w:val="87898C"/>
          <w:w w:val="110"/>
          <w:sz w:val="24"/>
        </w:rPr>
        <w:t>ORAL</w:t>
      </w:r>
      <w:r>
        <w:rPr>
          <w:rFonts w:ascii="Arial"/>
          <w:color w:val="87898C"/>
          <w:spacing w:val="7"/>
          <w:w w:val="110"/>
          <w:sz w:val="24"/>
        </w:rPr>
        <w:t> </w:t>
      </w:r>
      <w:r>
        <w:rPr>
          <w:rFonts w:ascii="Arial"/>
          <w:color w:val="87898C"/>
          <w:w w:val="110"/>
          <w:sz w:val="24"/>
        </w:rPr>
        <w:t>ARGUMENT</w:t>
        <w:tab/>
      </w:r>
      <w:r>
        <w:rPr>
          <w:b/>
          <w:color w:val="333131"/>
          <w:w w:val="110"/>
          <w:sz w:val="23"/>
        </w:rPr>
        <w:t>287</w:t>
      </w:r>
    </w:p>
    <w:p>
      <w:pPr>
        <w:pStyle w:val="ListParagraph"/>
        <w:numPr>
          <w:ilvl w:val="1"/>
          <w:numId w:val="14"/>
        </w:numPr>
        <w:tabs>
          <w:tab w:pos="1200" w:val="left" w:leader="none"/>
          <w:tab w:pos="8004" w:val="right" w:leader="none"/>
        </w:tabs>
        <w:spacing w:line="240" w:lineRule="auto" w:before="147" w:after="0"/>
        <w:ind w:left="1200" w:right="0" w:hanging="696"/>
        <w:jc w:val="left"/>
        <w:rPr>
          <w:rFonts w:ascii="Arial"/>
          <w:b/>
          <w:color w:val="333131"/>
          <w:sz w:val="21"/>
        </w:rPr>
      </w:pPr>
      <w:r>
        <w:rPr>
          <w:rFonts w:ascii="Arial"/>
          <w:color w:val="333131"/>
          <w:w w:val="105"/>
          <w:sz w:val="21"/>
        </w:rPr>
        <w:t>Purpose</w:t>
      </w:r>
      <w:r>
        <w:rPr>
          <w:rFonts w:ascii="Arial"/>
          <w:color w:val="333131"/>
          <w:spacing w:val="-1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of</w:t>
      </w:r>
      <w:r>
        <w:rPr>
          <w:rFonts w:ascii="Arial"/>
          <w:color w:val="333131"/>
          <w:spacing w:val="12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Oral</w:t>
      </w:r>
      <w:r>
        <w:rPr>
          <w:rFonts w:ascii="Arial"/>
          <w:color w:val="333131"/>
          <w:spacing w:val="-13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Argument</w:t>
        <w:tab/>
      </w:r>
      <w:r>
        <w:rPr>
          <w:rFonts w:ascii="Arial"/>
          <w:b/>
          <w:color w:val="333131"/>
          <w:w w:val="105"/>
          <w:sz w:val="21"/>
        </w:rPr>
        <w:t>288</w:t>
      </w:r>
    </w:p>
    <w:p>
      <w:pPr>
        <w:pStyle w:val="ListParagraph"/>
        <w:numPr>
          <w:ilvl w:val="1"/>
          <w:numId w:val="14"/>
        </w:numPr>
        <w:tabs>
          <w:tab w:pos="1209" w:val="left" w:leader="none"/>
          <w:tab w:pos="7975" w:val="right" w:leader="none"/>
        </w:tabs>
        <w:spacing w:line="252" w:lineRule="exact" w:before="1" w:after="0"/>
        <w:ind w:left="1208" w:right="0" w:hanging="703"/>
        <w:jc w:val="left"/>
        <w:rPr>
          <w:b/>
          <w:color w:val="333131"/>
          <w:sz w:val="22"/>
        </w:rPr>
      </w:pPr>
      <w:r>
        <w:rPr>
          <w:rFonts w:ascii="Arial"/>
          <w:color w:val="333131"/>
          <w:w w:val="105"/>
          <w:sz w:val="21"/>
        </w:rPr>
        <w:t>Format</w:t>
        <w:tab/>
      </w:r>
      <w:r>
        <w:rPr>
          <w:b/>
          <w:color w:val="333131"/>
          <w:w w:val="105"/>
          <w:sz w:val="22"/>
        </w:rPr>
        <w:t>289</w:t>
      </w:r>
    </w:p>
    <w:p>
      <w:pPr>
        <w:pStyle w:val="ListParagraph"/>
        <w:numPr>
          <w:ilvl w:val="1"/>
          <w:numId w:val="14"/>
        </w:numPr>
        <w:tabs>
          <w:tab w:pos="1207" w:val="left" w:leader="none"/>
          <w:tab w:pos="7972" w:val="right" w:leader="none"/>
        </w:tabs>
        <w:spacing w:line="252" w:lineRule="exact" w:before="0" w:after="0"/>
        <w:ind w:left="1206" w:right="0" w:hanging="693"/>
        <w:jc w:val="left"/>
        <w:rPr>
          <w:rFonts w:ascii="Arial"/>
          <w:b/>
          <w:color w:val="333131"/>
          <w:sz w:val="21"/>
        </w:rPr>
      </w:pPr>
      <w:r>
        <w:rPr>
          <w:rFonts w:ascii="Arial"/>
          <w:color w:val="333131"/>
          <w:spacing w:val="-1"/>
          <w:w w:val="105"/>
          <w:sz w:val="21"/>
        </w:rPr>
        <w:t>Intellectual</w:t>
      </w:r>
      <w:r>
        <w:rPr>
          <w:rFonts w:ascii="Arial"/>
          <w:color w:val="333131"/>
          <w:spacing w:val="-7"/>
          <w:w w:val="105"/>
          <w:sz w:val="21"/>
        </w:rPr>
        <w:t> </w:t>
      </w:r>
      <w:r>
        <w:rPr>
          <w:rFonts w:ascii="Arial"/>
          <w:color w:val="333131"/>
          <w:spacing w:val="-1"/>
          <w:w w:val="105"/>
          <w:sz w:val="21"/>
        </w:rPr>
        <w:t>Preparation:</w:t>
      </w:r>
      <w:r>
        <w:rPr>
          <w:rFonts w:ascii="Arial"/>
          <w:color w:val="333131"/>
          <w:spacing w:val="-5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What</w:t>
      </w:r>
      <w:r>
        <w:rPr>
          <w:rFonts w:ascii="Arial"/>
          <w:color w:val="333131"/>
          <w:spacing w:val="-22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Do</w:t>
      </w:r>
      <w:r>
        <w:rPr>
          <w:rFonts w:ascii="Arial"/>
          <w:color w:val="333131"/>
          <w:spacing w:val="-3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You</w:t>
      </w:r>
      <w:r>
        <w:rPr>
          <w:rFonts w:ascii="Arial"/>
          <w:color w:val="333131"/>
          <w:spacing w:val="-9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Need</w:t>
      </w:r>
      <w:r>
        <w:rPr>
          <w:rFonts w:ascii="Arial"/>
          <w:color w:val="333131"/>
          <w:spacing w:val="-14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to</w:t>
      </w:r>
      <w:r>
        <w:rPr>
          <w:rFonts w:ascii="Arial"/>
          <w:color w:val="333131"/>
          <w:spacing w:val="20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Know?</w:t>
        <w:tab/>
      </w:r>
      <w:r>
        <w:rPr>
          <w:b/>
          <w:color w:val="333131"/>
          <w:w w:val="105"/>
          <w:sz w:val="22"/>
        </w:rPr>
        <w:t>289</w:t>
      </w:r>
    </w:p>
    <w:p>
      <w:pPr>
        <w:pStyle w:val="ListParagraph"/>
        <w:numPr>
          <w:ilvl w:val="2"/>
          <w:numId w:val="14"/>
        </w:numPr>
        <w:tabs>
          <w:tab w:pos="1953" w:val="left" w:leader="none"/>
          <w:tab w:pos="8010" w:val="right" w:leader="none"/>
        </w:tabs>
        <w:spacing w:line="240" w:lineRule="auto" w:before="15" w:after="0"/>
        <w:ind w:left="1952" w:right="0" w:hanging="725"/>
        <w:jc w:val="left"/>
        <w:rPr>
          <w:rFonts w:ascii="Arial"/>
          <w:b/>
          <w:color w:val="333131"/>
          <w:sz w:val="21"/>
        </w:rPr>
      </w:pPr>
      <w:r>
        <w:rPr>
          <w:rFonts w:ascii="Arial"/>
          <w:color w:val="333131"/>
          <w:w w:val="105"/>
          <w:sz w:val="21"/>
        </w:rPr>
        <w:t>Deciding</w:t>
      </w:r>
      <w:r>
        <w:rPr>
          <w:rFonts w:ascii="Arial"/>
          <w:color w:val="333131"/>
          <w:spacing w:val="-10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What</w:t>
      </w:r>
      <w:r>
        <w:rPr>
          <w:rFonts w:ascii="Arial"/>
          <w:color w:val="333131"/>
          <w:spacing w:val="-14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Points</w:t>
      </w:r>
      <w:r>
        <w:rPr>
          <w:rFonts w:ascii="Arial"/>
          <w:color w:val="333131"/>
          <w:spacing w:val="-15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to</w:t>
      </w:r>
      <w:r>
        <w:rPr>
          <w:rFonts w:ascii="Arial"/>
          <w:color w:val="333131"/>
          <w:spacing w:val="22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Argue</w:t>
        <w:tab/>
      </w:r>
      <w:r>
        <w:rPr>
          <w:rFonts w:ascii="Arial"/>
          <w:b/>
          <w:color w:val="333131"/>
          <w:w w:val="105"/>
          <w:sz w:val="21"/>
        </w:rPr>
        <w:t>290</w:t>
      </w:r>
    </w:p>
    <w:p>
      <w:pPr>
        <w:pStyle w:val="ListParagraph"/>
        <w:numPr>
          <w:ilvl w:val="2"/>
          <w:numId w:val="14"/>
        </w:numPr>
        <w:tabs>
          <w:tab w:pos="1958" w:val="left" w:leader="none"/>
          <w:tab w:pos="8020" w:val="right" w:leader="none"/>
        </w:tabs>
        <w:spacing w:line="240" w:lineRule="auto" w:before="9" w:after="0"/>
        <w:ind w:left="1957" w:right="0" w:hanging="730"/>
        <w:jc w:val="left"/>
        <w:rPr>
          <w:rFonts w:ascii="Arial"/>
          <w:b/>
          <w:color w:val="333131"/>
          <w:sz w:val="21"/>
        </w:rPr>
      </w:pPr>
      <w:r>
        <w:rPr>
          <w:rFonts w:ascii="Arial"/>
          <w:color w:val="333131"/>
          <w:w w:val="110"/>
          <w:sz w:val="21"/>
        </w:rPr>
        <w:t>Gathering</w:t>
      </w:r>
      <w:r>
        <w:rPr>
          <w:rFonts w:ascii="Arial"/>
          <w:color w:val="333131"/>
          <w:spacing w:val="-14"/>
          <w:w w:val="110"/>
          <w:sz w:val="21"/>
        </w:rPr>
        <w:t> </w:t>
      </w:r>
      <w:r>
        <w:rPr>
          <w:rFonts w:ascii="Arial"/>
          <w:color w:val="333131"/>
          <w:w w:val="110"/>
          <w:sz w:val="21"/>
        </w:rPr>
        <w:t>Information</w:t>
        <w:tab/>
      </w:r>
      <w:r>
        <w:rPr>
          <w:rFonts w:ascii="Arial"/>
          <w:b/>
          <w:color w:val="333131"/>
          <w:w w:val="110"/>
          <w:sz w:val="21"/>
        </w:rPr>
        <w:t>291</w:t>
      </w:r>
    </w:p>
    <w:p>
      <w:pPr>
        <w:pStyle w:val="ListParagraph"/>
        <w:numPr>
          <w:ilvl w:val="1"/>
          <w:numId w:val="14"/>
        </w:numPr>
        <w:tabs>
          <w:tab w:pos="1220" w:val="left" w:leader="none"/>
        </w:tabs>
        <w:spacing w:line="240" w:lineRule="auto" w:before="19" w:after="0"/>
        <w:ind w:left="1219" w:right="0" w:hanging="696"/>
        <w:jc w:val="left"/>
        <w:rPr>
          <w:rFonts w:ascii="Arial"/>
          <w:b/>
          <w:color w:val="333131"/>
          <w:sz w:val="21"/>
        </w:rPr>
      </w:pPr>
      <w:r>
        <w:rPr>
          <w:rFonts w:ascii="Arial"/>
          <w:color w:val="333131"/>
          <w:spacing w:val="-1"/>
          <w:w w:val="105"/>
          <w:sz w:val="21"/>
        </w:rPr>
        <w:t>Preparation</w:t>
      </w:r>
      <w:r>
        <w:rPr>
          <w:rFonts w:ascii="Arial"/>
          <w:color w:val="333131"/>
          <w:spacing w:val="-7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of</w:t>
      </w:r>
      <w:r>
        <w:rPr>
          <w:rFonts w:ascii="Arial"/>
          <w:color w:val="333131"/>
          <w:spacing w:val="13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Written</w:t>
      </w:r>
      <w:r>
        <w:rPr>
          <w:rFonts w:ascii="Arial"/>
          <w:color w:val="333131"/>
          <w:spacing w:val="-10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Materials:</w:t>
      </w:r>
      <w:r>
        <w:rPr>
          <w:rFonts w:ascii="Arial"/>
          <w:color w:val="333131"/>
          <w:spacing w:val="-15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What</w:t>
      </w:r>
      <w:r>
        <w:rPr>
          <w:rFonts w:ascii="Arial"/>
          <w:color w:val="333131"/>
          <w:spacing w:val="-6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Should</w:t>
      </w:r>
      <w:r>
        <w:rPr>
          <w:rFonts w:ascii="Arial"/>
          <w:color w:val="333131"/>
          <w:spacing w:val="-7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You</w:t>
      </w:r>
      <w:r>
        <w:rPr>
          <w:rFonts w:ascii="Arial"/>
          <w:color w:val="333131"/>
          <w:spacing w:val="-16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Bring</w:t>
      </w:r>
      <w:r>
        <w:rPr>
          <w:rFonts w:ascii="Arial"/>
          <w:color w:val="333131"/>
          <w:spacing w:val="-11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to</w:t>
      </w:r>
    </w:p>
    <w:p>
      <w:pPr>
        <w:tabs>
          <w:tab w:pos="8001" w:val="right" w:leader="none"/>
        </w:tabs>
        <w:spacing w:before="10"/>
        <w:ind w:left="1212" w:right="0" w:firstLine="0"/>
        <w:jc w:val="left"/>
        <w:rPr>
          <w:b/>
          <w:sz w:val="22"/>
        </w:rPr>
      </w:pPr>
      <w:r>
        <w:rPr>
          <w:rFonts w:ascii="Arial"/>
          <w:color w:val="333131"/>
          <w:w w:val="110"/>
          <w:sz w:val="21"/>
        </w:rPr>
        <w:t>the</w:t>
      </w:r>
      <w:r>
        <w:rPr>
          <w:rFonts w:ascii="Arial"/>
          <w:color w:val="333131"/>
          <w:spacing w:val="-4"/>
          <w:w w:val="110"/>
          <w:sz w:val="21"/>
        </w:rPr>
        <w:t> </w:t>
      </w:r>
      <w:r>
        <w:rPr>
          <w:rFonts w:ascii="Arial"/>
          <w:color w:val="333131"/>
          <w:w w:val="110"/>
          <w:sz w:val="21"/>
        </w:rPr>
        <w:t>Courtroom?</w:t>
        <w:tab/>
      </w:r>
      <w:r>
        <w:rPr>
          <w:b/>
          <w:color w:val="333131"/>
          <w:w w:val="110"/>
          <w:sz w:val="22"/>
        </w:rPr>
        <w:t>293</w:t>
      </w:r>
    </w:p>
    <w:p>
      <w:pPr>
        <w:pStyle w:val="ListParagraph"/>
        <w:numPr>
          <w:ilvl w:val="1"/>
          <w:numId w:val="14"/>
        </w:numPr>
        <w:tabs>
          <w:tab w:pos="1200" w:val="left" w:leader="none"/>
          <w:tab w:pos="8004" w:val="right" w:leader="none"/>
        </w:tabs>
        <w:spacing w:line="240" w:lineRule="auto" w:before="7" w:after="0"/>
        <w:ind w:left="1200" w:right="0" w:hanging="686"/>
        <w:jc w:val="left"/>
        <w:rPr>
          <w:rFonts w:ascii="Arial"/>
          <w:b/>
          <w:color w:val="333131"/>
          <w:sz w:val="21"/>
        </w:rPr>
      </w:pPr>
      <w:r>
        <w:rPr>
          <w:rFonts w:ascii="Arial"/>
          <w:color w:val="333131"/>
          <w:w w:val="105"/>
          <w:sz w:val="21"/>
        </w:rPr>
        <w:t>Presenting</w:t>
      </w:r>
      <w:r>
        <w:rPr>
          <w:rFonts w:ascii="Arial"/>
          <w:color w:val="333131"/>
          <w:spacing w:val="-6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the</w:t>
      </w:r>
      <w:r>
        <w:rPr>
          <w:rFonts w:ascii="Arial"/>
          <w:color w:val="333131"/>
          <w:spacing w:val="16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Argument</w:t>
        <w:tab/>
      </w:r>
      <w:r>
        <w:rPr>
          <w:b/>
          <w:color w:val="333131"/>
          <w:w w:val="105"/>
          <w:sz w:val="22"/>
        </w:rPr>
        <w:t>295</w:t>
      </w:r>
    </w:p>
    <w:p>
      <w:pPr>
        <w:pStyle w:val="ListParagraph"/>
        <w:numPr>
          <w:ilvl w:val="2"/>
          <w:numId w:val="14"/>
        </w:numPr>
        <w:tabs>
          <w:tab w:pos="1940" w:val="left" w:leader="none"/>
          <w:tab w:pos="8047" w:val="right" w:leader="none"/>
        </w:tabs>
        <w:spacing w:line="240" w:lineRule="auto" w:before="6" w:after="0"/>
        <w:ind w:left="1939" w:right="0" w:hanging="741"/>
        <w:jc w:val="left"/>
        <w:rPr>
          <w:rFonts w:ascii="Arial"/>
          <w:b/>
          <w:color w:val="333131"/>
          <w:sz w:val="19"/>
        </w:rPr>
      </w:pPr>
      <w:r>
        <w:rPr>
          <w:rFonts w:ascii="Arial"/>
          <w:color w:val="333131"/>
          <w:w w:val="110"/>
          <w:sz w:val="21"/>
        </w:rPr>
        <w:t>Introduction</w:t>
        <w:tab/>
      </w:r>
      <w:r>
        <w:rPr>
          <w:rFonts w:ascii="Arial"/>
          <w:b/>
          <w:color w:val="333131"/>
          <w:w w:val="110"/>
          <w:sz w:val="21"/>
        </w:rPr>
        <w:t>295</w:t>
      </w:r>
    </w:p>
    <w:p>
      <w:pPr>
        <w:pStyle w:val="ListParagraph"/>
        <w:numPr>
          <w:ilvl w:val="2"/>
          <w:numId w:val="14"/>
        </w:numPr>
        <w:tabs>
          <w:tab w:pos="1936" w:val="left" w:leader="none"/>
          <w:tab w:pos="8006" w:val="right" w:leader="none"/>
        </w:tabs>
        <w:spacing w:line="240" w:lineRule="auto" w:before="10" w:after="0"/>
        <w:ind w:left="1935" w:right="0" w:hanging="747"/>
        <w:jc w:val="left"/>
        <w:rPr>
          <w:rFonts w:ascii="Arial"/>
          <w:b/>
          <w:color w:val="333131"/>
          <w:sz w:val="19"/>
        </w:rPr>
      </w:pPr>
      <w:r>
        <w:rPr>
          <w:rFonts w:ascii="Arial"/>
          <w:color w:val="333131"/>
          <w:w w:val="105"/>
          <w:sz w:val="21"/>
        </w:rPr>
        <w:t>The</w:t>
      </w:r>
      <w:r>
        <w:rPr>
          <w:rFonts w:ascii="Arial"/>
          <w:color w:val="333131"/>
          <w:spacing w:val="-17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Argument</w:t>
      </w:r>
      <w:r>
        <w:rPr>
          <w:rFonts w:ascii="Arial"/>
          <w:color w:val="333131"/>
          <w:spacing w:val="-7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Itself</w:t>
        <w:tab/>
      </w:r>
      <w:r>
        <w:rPr>
          <w:b/>
          <w:color w:val="333131"/>
          <w:w w:val="105"/>
          <w:sz w:val="22"/>
        </w:rPr>
        <w:t>300</w:t>
      </w:r>
    </w:p>
    <w:p>
      <w:pPr>
        <w:pStyle w:val="ListParagraph"/>
        <w:numPr>
          <w:ilvl w:val="2"/>
          <w:numId w:val="14"/>
        </w:numPr>
        <w:tabs>
          <w:tab w:pos="1926" w:val="left" w:leader="none"/>
          <w:tab w:pos="8006" w:val="right" w:leader="none"/>
        </w:tabs>
        <w:spacing w:line="240" w:lineRule="auto" w:before="7" w:after="0"/>
        <w:ind w:left="1925" w:right="0" w:hanging="744"/>
        <w:jc w:val="left"/>
        <w:rPr>
          <w:b/>
          <w:color w:val="333131"/>
          <w:sz w:val="22"/>
        </w:rPr>
      </w:pPr>
      <w:r>
        <w:rPr>
          <w:rFonts w:ascii="Arial"/>
          <w:color w:val="333131"/>
          <w:w w:val="105"/>
          <w:sz w:val="21"/>
        </w:rPr>
        <w:t>The</w:t>
      </w:r>
      <w:r>
        <w:rPr>
          <w:rFonts w:ascii="Arial"/>
          <w:color w:val="333131"/>
          <w:spacing w:val="-18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Conclusion</w:t>
        <w:tab/>
      </w:r>
      <w:r>
        <w:rPr>
          <w:b/>
          <w:color w:val="333131"/>
          <w:w w:val="105"/>
          <w:sz w:val="22"/>
        </w:rPr>
        <w:t>301</w:t>
      </w:r>
    </w:p>
    <w:p>
      <w:pPr>
        <w:pStyle w:val="ListParagraph"/>
        <w:numPr>
          <w:ilvl w:val="1"/>
          <w:numId w:val="14"/>
        </w:numPr>
        <w:tabs>
          <w:tab w:pos="1171" w:val="left" w:leader="none"/>
          <w:tab w:pos="8016" w:val="right" w:leader="none"/>
        </w:tabs>
        <w:spacing w:line="240" w:lineRule="auto" w:before="16" w:after="0"/>
        <w:ind w:left="1170" w:right="0" w:hanging="696"/>
        <w:jc w:val="left"/>
        <w:rPr>
          <w:rFonts w:ascii="Arial"/>
          <w:b/>
          <w:color w:val="333131"/>
          <w:sz w:val="21"/>
        </w:rPr>
      </w:pPr>
      <w:r>
        <w:rPr>
          <w:rFonts w:ascii="Arial"/>
          <w:color w:val="333131"/>
          <w:w w:val="105"/>
          <w:sz w:val="21"/>
        </w:rPr>
        <w:t>Handling</w:t>
      </w:r>
      <w:r>
        <w:rPr>
          <w:rFonts w:ascii="Arial"/>
          <w:color w:val="333131"/>
          <w:spacing w:val="-5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Questions</w:t>
      </w:r>
      <w:r>
        <w:rPr>
          <w:rFonts w:ascii="Arial"/>
          <w:color w:val="333131"/>
          <w:spacing w:val="12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from</w:t>
      </w:r>
      <w:r>
        <w:rPr>
          <w:rFonts w:ascii="Arial"/>
          <w:color w:val="333131"/>
          <w:spacing w:val="-13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the</w:t>
      </w:r>
      <w:r>
        <w:rPr>
          <w:rFonts w:ascii="Arial"/>
          <w:color w:val="333131"/>
          <w:spacing w:val="-21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Bench</w:t>
        <w:tab/>
      </w:r>
      <w:r>
        <w:rPr>
          <w:rFonts w:ascii="Arial"/>
          <w:b/>
          <w:color w:val="333131"/>
          <w:w w:val="105"/>
          <w:sz w:val="21"/>
        </w:rPr>
        <w:t>302</w:t>
      </w:r>
    </w:p>
    <w:p>
      <w:pPr>
        <w:pStyle w:val="ListParagraph"/>
        <w:numPr>
          <w:ilvl w:val="1"/>
          <w:numId w:val="14"/>
        </w:numPr>
        <w:tabs>
          <w:tab w:pos="1171" w:val="left" w:leader="none"/>
          <w:tab w:pos="8013" w:val="right" w:leader="none"/>
        </w:tabs>
        <w:spacing w:line="240" w:lineRule="auto" w:before="10" w:after="0"/>
        <w:ind w:left="1170" w:right="0" w:hanging="703"/>
        <w:jc w:val="left"/>
        <w:rPr>
          <w:b/>
          <w:color w:val="333131"/>
          <w:sz w:val="22"/>
        </w:rPr>
      </w:pPr>
      <w:r>
        <w:rPr>
          <w:rFonts w:ascii="Arial"/>
          <w:color w:val="333131"/>
          <w:w w:val="105"/>
          <w:sz w:val="21"/>
        </w:rPr>
        <w:t>Rebuttal</w:t>
        <w:tab/>
      </w:r>
      <w:r>
        <w:rPr>
          <w:rFonts w:ascii="Arial"/>
          <w:b/>
          <w:color w:val="333131"/>
          <w:w w:val="105"/>
          <w:sz w:val="21"/>
        </w:rPr>
        <w:t>305</w:t>
      </w:r>
    </w:p>
    <w:p>
      <w:pPr>
        <w:pStyle w:val="ListParagraph"/>
        <w:numPr>
          <w:ilvl w:val="1"/>
          <w:numId w:val="14"/>
        </w:numPr>
        <w:tabs>
          <w:tab w:pos="1166" w:val="left" w:leader="none"/>
          <w:tab w:pos="7985" w:val="right" w:leader="none"/>
        </w:tabs>
        <w:spacing w:line="240" w:lineRule="auto" w:before="15" w:after="0"/>
        <w:ind w:left="1165" w:right="0" w:hanging="710"/>
        <w:jc w:val="left"/>
        <w:rPr>
          <w:rFonts w:ascii="Arial"/>
          <w:b/>
          <w:color w:val="333131"/>
          <w:sz w:val="21"/>
        </w:rPr>
      </w:pPr>
      <w:r>
        <w:rPr>
          <w:rFonts w:ascii="Arial"/>
          <w:color w:val="333131"/>
          <w:sz w:val="21"/>
        </w:rPr>
        <w:t>Word</w:t>
      </w:r>
      <w:r>
        <w:rPr>
          <w:rFonts w:ascii="Arial"/>
          <w:color w:val="333131"/>
          <w:spacing w:val="-14"/>
          <w:sz w:val="21"/>
        </w:rPr>
        <w:t> </w:t>
      </w:r>
      <w:r>
        <w:rPr>
          <w:rFonts w:ascii="Arial"/>
          <w:color w:val="333131"/>
          <w:sz w:val="21"/>
        </w:rPr>
        <w:t>Use</w:t>
        <w:tab/>
      </w:r>
      <w:r>
        <w:rPr>
          <w:rFonts w:ascii="Arial"/>
          <w:b/>
          <w:color w:val="333131"/>
          <w:sz w:val="21"/>
        </w:rPr>
        <w:t>307</w:t>
      </w:r>
    </w:p>
    <w:p>
      <w:pPr>
        <w:pStyle w:val="ListParagraph"/>
        <w:numPr>
          <w:ilvl w:val="1"/>
          <w:numId w:val="14"/>
        </w:numPr>
        <w:tabs>
          <w:tab w:pos="1152" w:val="left" w:leader="none"/>
          <w:tab w:pos="7983" w:val="right" w:leader="none"/>
        </w:tabs>
        <w:spacing w:line="240" w:lineRule="auto" w:before="11" w:after="0"/>
        <w:ind w:left="1151" w:right="0" w:hanging="694"/>
        <w:jc w:val="left"/>
        <w:rPr>
          <w:b/>
          <w:color w:val="333131"/>
          <w:sz w:val="22"/>
        </w:rPr>
      </w:pPr>
      <w:r>
        <w:rPr>
          <w:rFonts w:ascii="Arial"/>
          <w:color w:val="333131"/>
          <w:w w:val="105"/>
          <w:sz w:val="21"/>
        </w:rPr>
        <w:t>Public</w:t>
      </w:r>
      <w:r>
        <w:rPr>
          <w:rFonts w:ascii="Arial"/>
          <w:color w:val="333131"/>
          <w:spacing w:val="-8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Speaking</w:t>
      </w:r>
      <w:r>
        <w:rPr>
          <w:rFonts w:ascii="Arial"/>
          <w:color w:val="333131"/>
          <w:spacing w:val="-9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Tips</w:t>
        <w:tab/>
      </w:r>
      <w:r>
        <w:rPr>
          <w:b/>
          <w:color w:val="333131"/>
          <w:w w:val="105"/>
          <w:sz w:val="22"/>
        </w:rPr>
        <w:t>308</w:t>
      </w:r>
    </w:p>
    <w:p>
      <w:pPr>
        <w:pStyle w:val="ListParagraph"/>
        <w:numPr>
          <w:ilvl w:val="1"/>
          <w:numId w:val="14"/>
        </w:numPr>
        <w:tabs>
          <w:tab w:pos="1149" w:val="left" w:leader="none"/>
          <w:tab w:pos="8010" w:val="right" w:leader="none"/>
        </w:tabs>
        <w:spacing w:line="240" w:lineRule="auto" w:before="15" w:after="0"/>
        <w:ind w:left="1148" w:right="0" w:hanging="703"/>
        <w:jc w:val="left"/>
        <w:rPr>
          <w:rFonts w:ascii="Arial"/>
          <w:b/>
          <w:color w:val="333131"/>
          <w:sz w:val="21"/>
        </w:rPr>
      </w:pPr>
      <w:r>
        <w:rPr>
          <w:rFonts w:ascii="Arial"/>
          <w:color w:val="333131"/>
          <w:w w:val="105"/>
          <w:sz w:val="21"/>
        </w:rPr>
        <w:t>Summary</w:t>
        <w:tab/>
      </w:r>
      <w:r>
        <w:rPr>
          <w:rFonts w:ascii="Arial"/>
          <w:b/>
          <w:color w:val="333131"/>
          <w:w w:val="105"/>
          <w:sz w:val="21"/>
        </w:rPr>
        <w:t>310</w:t>
      </w:r>
    </w:p>
    <w:p>
      <w:pPr>
        <w:spacing w:before="433"/>
        <w:ind w:left="415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333131"/>
          <w:w w:val="95"/>
          <w:sz w:val="20"/>
        </w:rPr>
        <w:t>CHAPTER</w:t>
      </w:r>
      <w:r>
        <w:rPr>
          <w:rFonts w:ascii="Arial"/>
          <w:b/>
          <w:color w:val="333131"/>
          <w:spacing w:val="1"/>
          <w:w w:val="95"/>
          <w:sz w:val="20"/>
        </w:rPr>
        <w:t> </w:t>
      </w:r>
      <w:r>
        <w:rPr>
          <w:rFonts w:ascii="Arial"/>
          <w:b/>
          <w:color w:val="333131"/>
          <w:w w:val="95"/>
          <w:sz w:val="20"/>
        </w:rPr>
        <w:t>FOURTEEN</w:t>
      </w:r>
    </w:p>
    <w:p>
      <w:pPr>
        <w:tabs>
          <w:tab w:pos="8016" w:val="right" w:leader="none"/>
        </w:tabs>
        <w:spacing w:before="23"/>
        <w:ind w:left="430" w:right="0" w:firstLine="0"/>
        <w:jc w:val="left"/>
        <w:rPr>
          <w:rFonts w:ascii="Arial"/>
          <w:b/>
          <w:sz w:val="21"/>
        </w:rPr>
      </w:pPr>
      <w:r>
        <w:rPr>
          <w:color w:val="757579"/>
          <w:w w:val="105"/>
          <w:sz w:val="26"/>
        </w:rPr>
        <w:t>MOOT</w:t>
      </w:r>
      <w:r>
        <w:rPr>
          <w:color w:val="757579"/>
          <w:spacing w:val="16"/>
          <w:w w:val="105"/>
          <w:sz w:val="26"/>
        </w:rPr>
        <w:t> </w:t>
      </w:r>
      <w:r>
        <w:rPr>
          <w:color w:val="87898C"/>
          <w:w w:val="105"/>
          <w:sz w:val="26"/>
        </w:rPr>
        <w:t>COURT</w:t>
      </w:r>
      <w:r>
        <w:rPr>
          <w:color w:val="87898C"/>
          <w:spacing w:val="8"/>
          <w:w w:val="105"/>
          <w:sz w:val="26"/>
        </w:rPr>
        <w:t> </w:t>
      </w:r>
      <w:r>
        <w:rPr>
          <w:color w:val="87898C"/>
          <w:w w:val="105"/>
          <w:sz w:val="26"/>
        </w:rPr>
        <w:t>COMPETITIONS</w:t>
        <w:tab/>
      </w:r>
      <w:r>
        <w:rPr>
          <w:rFonts w:ascii="Arial"/>
          <w:b/>
          <w:color w:val="333131"/>
          <w:w w:val="105"/>
          <w:sz w:val="21"/>
        </w:rPr>
        <w:t>311</w:t>
      </w:r>
    </w:p>
    <w:p>
      <w:pPr>
        <w:pStyle w:val="ListParagraph"/>
        <w:numPr>
          <w:ilvl w:val="1"/>
          <w:numId w:val="15"/>
        </w:numPr>
        <w:tabs>
          <w:tab w:pos="1106" w:val="left" w:leader="none"/>
          <w:tab w:pos="7996" w:val="right" w:leader="none"/>
        </w:tabs>
        <w:spacing w:line="240" w:lineRule="auto" w:before="142" w:after="0"/>
        <w:ind w:left="1105" w:right="0" w:hanging="688"/>
        <w:jc w:val="left"/>
        <w:rPr>
          <w:rFonts w:ascii="Arial"/>
          <w:b/>
          <w:color w:val="333131"/>
          <w:sz w:val="21"/>
        </w:rPr>
      </w:pPr>
      <w:r>
        <w:rPr>
          <w:rFonts w:ascii="Arial"/>
          <w:color w:val="333131"/>
          <w:w w:val="105"/>
          <w:sz w:val="21"/>
        </w:rPr>
        <w:t>Typical</w:t>
      </w:r>
      <w:r>
        <w:rPr>
          <w:rFonts w:ascii="Arial"/>
          <w:color w:val="333131"/>
          <w:spacing w:val="-19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Competition</w:t>
      </w:r>
      <w:r>
        <w:rPr>
          <w:rFonts w:ascii="Arial"/>
          <w:color w:val="333131"/>
          <w:spacing w:val="6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Requirements</w:t>
        <w:tab/>
      </w:r>
      <w:r>
        <w:rPr>
          <w:rFonts w:ascii="Arial"/>
          <w:b/>
          <w:color w:val="333131"/>
          <w:w w:val="105"/>
          <w:sz w:val="21"/>
        </w:rPr>
        <w:t>312</w:t>
      </w:r>
    </w:p>
    <w:p>
      <w:pPr>
        <w:pStyle w:val="ListParagraph"/>
        <w:numPr>
          <w:ilvl w:val="1"/>
          <w:numId w:val="15"/>
        </w:numPr>
        <w:tabs>
          <w:tab w:pos="1104" w:val="left" w:leader="none"/>
          <w:tab w:pos="8143" w:val="right" w:leader="none"/>
        </w:tabs>
        <w:spacing w:line="240" w:lineRule="auto" w:before="18" w:after="0"/>
        <w:ind w:left="1103" w:right="0" w:hanging="696"/>
        <w:jc w:val="left"/>
        <w:rPr>
          <w:rFonts w:ascii="Arial"/>
          <w:b/>
          <w:color w:val="333131"/>
          <w:sz w:val="21"/>
        </w:rPr>
      </w:pPr>
      <w:r>
        <w:rPr>
          <w:rFonts w:ascii="Arial"/>
          <w:color w:val="333131"/>
          <w:w w:val="110"/>
          <w:sz w:val="21"/>
        </w:rPr>
        <w:t>Differences</w:t>
      </w:r>
      <w:r>
        <w:rPr>
          <w:rFonts w:ascii="Arial"/>
          <w:color w:val="333131"/>
          <w:spacing w:val="1"/>
          <w:w w:val="110"/>
          <w:sz w:val="21"/>
        </w:rPr>
        <w:t> </w:t>
      </w:r>
      <w:r>
        <w:rPr>
          <w:rFonts w:ascii="Arial"/>
          <w:color w:val="333131"/>
          <w:w w:val="110"/>
          <w:sz w:val="21"/>
        </w:rPr>
        <w:t>Between</w:t>
      </w:r>
      <w:r>
        <w:rPr>
          <w:rFonts w:ascii="Arial"/>
          <w:color w:val="333131"/>
          <w:spacing w:val="3"/>
          <w:w w:val="110"/>
          <w:sz w:val="21"/>
        </w:rPr>
        <w:t> </w:t>
      </w:r>
      <w:r>
        <w:rPr>
          <w:rFonts w:ascii="Arial"/>
          <w:color w:val="333131"/>
          <w:w w:val="110"/>
          <w:sz w:val="21"/>
        </w:rPr>
        <w:t>Moot</w:t>
      </w:r>
      <w:r>
        <w:rPr>
          <w:rFonts w:ascii="Arial"/>
          <w:color w:val="333131"/>
          <w:spacing w:val="-10"/>
          <w:w w:val="110"/>
          <w:sz w:val="21"/>
        </w:rPr>
        <w:t> </w:t>
      </w:r>
      <w:r>
        <w:rPr>
          <w:rFonts w:ascii="Arial"/>
          <w:color w:val="333131"/>
          <w:w w:val="110"/>
          <w:sz w:val="21"/>
        </w:rPr>
        <w:t>Court</w:t>
      </w:r>
      <w:r>
        <w:rPr>
          <w:rFonts w:ascii="Arial"/>
          <w:color w:val="333131"/>
          <w:spacing w:val="-4"/>
          <w:w w:val="110"/>
          <w:sz w:val="21"/>
        </w:rPr>
        <w:t> </w:t>
      </w:r>
      <w:r>
        <w:rPr>
          <w:rFonts w:ascii="Arial"/>
          <w:color w:val="333131"/>
          <w:w w:val="110"/>
          <w:sz w:val="21"/>
        </w:rPr>
        <w:t>Competitions and</w:t>
      </w:r>
      <w:r>
        <w:rPr>
          <w:rFonts w:ascii="Arial"/>
          <w:color w:val="333131"/>
          <w:spacing w:val="-1"/>
          <w:w w:val="110"/>
          <w:sz w:val="21"/>
        </w:rPr>
        <w:t> </w:t>
      </w:r>
      <w:r>
        <w:rPr>
          <w:rFonts w:ascii="Arial"/>
          <w:color w:val="333131"/>
          <w:w w:val="110"/>
          <w:sz w:val="21"/>
        </w:rPr>
        <w:t>"Real</w:t>
      </w:r>
      <w:r>
        <w:rPr>
          <w:rFonts w:ascii="Arial"/>
          <w:color w:val="333131"/>
          <w:spacing w:val="-14"/>
          <w:w w:val="110"/>
          <w:sz w:val="21"/>
        </w:rPr>
        <w:t> </w:t>
      </w:r>
      <w:r>
        <w:rPr>
          <w:rFonts w:ascii="Arial"/>
          <w:color w:val="333131"/>
          <w:w w:val="110"/>
          <w:sz w:val="21"/>
        </w:rPr>
        <w:t>life"</w:t>
        <w:tab/>
      </w:r>
      <w:r>
        <w:rPr>
          <w:rFonts w:ascii="Arial"/>
          <w:b/>
          <w:color w:val="333131"/>
          <w:w w:val="110"/>
          <w:sz w:val="21"/>
        </w:rPr>
        <w:t>313</w:t>
      </w:r>
    </w:p>
    <w:p>
      <w:pPr>
        <w:pStyle w:val="ListParagraph"/>
        <w:numPr>
          <w:ilvl w:val="1"/>
          <w:numId w:val="15"/>
        </w:numPr>
        <w:tabs>
          <w:tab w:pos="1100" w:val="left" w:leader="none"/>
          <w:tab w:pos="7993" w:val="right" w:leader="none"/>
        </w:tabs>
        <w:spacing w:line="240" w:lineRule="auto" w:before="10" w:after="0"/>
        <w:ind w:left="1099" w:right="0" w:hanging="690"/>
        <w:jc w:val="left"/>
        <w:rPr>
          <w:b/>
          <w:color w:val="333131"/>
          <w:sz w:val="22"/>
        </w:rPr>
      </w:pPr>
      <w:r>
        <w:rPr>
          <w:rFonts w:ascii="Arial"/>
          <w:color w:val="333131"/>
          <w:w w:val="105"/>
          <w:sz w:val="21"/>
        </w:rPr>
        <w:t>Choosing</w:t>
      </w:r>
      <w:r>
        <w:rPr>
          <w:rFonts w:ascii="Arial"/>
          <w:color w:val="333131"/>
          <w:spacing w:val="-7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Which</w:t>
      </w:r>
      <w:r>
        <w:rPr>
          <w:rFonts w:ascii="Arial"/>
          <w:color w:val="333131"/>
          <w:spacing w:val="-9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Side</w:t>
      </w:r>
      <w:r>
        <w:rPr>
          <w:rFonts w:ascii="Arial"/>
          <w:color w:val="333131"/>
          <w:spacing w:val="-9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to</w:t>
      </w:r>
      <w:r>
        <w:rPr>
          <w:rFonts w:ascii="Arial"/>
          <w:color w:val="333131"/>
          <w:spacing w:val="28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Brief</w:t>
        <w:tab/>
      </w:r>
      <w:r>
        <w:rPr>
          <w:rFonts w:ascii="Arial"/>
          <w:b/>
          <w:color w:val="333131"/>
          <w:w w:val="105"/>
          <w:sz w:val="21"/>
        </w:rPr>
        <w:t>315</w:t>
      </w:r>
    </w:p>
    <w:p>
      <w:pPr>
        <w:pStyle w:val="ListParagraph"/>
        <w:numPr>
          <w:ilvl w:val="1"/>
          <w:numId w:val="15"/>
        </w:numPr>
        <w:tabs>
          <w:tab w:pos="1089" w:val="left" w:leader="none"/>
          <w:tab w:pos="7987" w:val="right" w:leader="none"/>
        </w:tabs>
        <w:spacing w:line="240" w:lineRule="auto" w:before="8" w:after="0"/>
        <w:ind w:left="1088" w:right="0" w:hanging="691"/>
        <w:jc w:val="left"/>
        <w:rPr>
          <w:rFonts w:ascii="Arial"/>
          <w:b/>
          <w:color w:val="333131"/>
          <w:sz w:val="21"/>
        </w:rPr>
      </w:pPr>
      <w:r>
        <w:rPr>
          <w:rFonts w:ascii="Arial"/>
          <w:color w:val="333131"/>
          <w:w w:val="110"/>
          <w:sz w:val="21"/>
        </w:rPr>
        <w:t>Writing</w:t>
      </w:r>
      <w:r>
        <w:rPr>
          <w:rFonts w:ascii="Arial"/>
          <w:color w:val="333131"/>
          <w:spacing w:val="-3"/>
          <w:w w:val="110"/>
          <w:sz w:val="21"/>
        </w:rPr>
        <w:t> </w:t>
      </w:r>
      <w:r>
        <w:rPr>
          <w:rFonts w:ascii="Arial"/>
          <w:color w:val="333131"/>
          <w:w w:val="110"/>
          <w:sz w:val="21"/>
        </w:rPr>
        <w:t>the</w:t>
      </w:r>
      <w:r>
        <w:rPr>
          <w:rFonts w:ascii="Arial"/>
          <w:color w:val="333131"/>
          <w:spacing w:val="-16"/>
          <w:w w:val="110"/>
          <w:sz w:val="21"/>
        </w:rPr>
        <w:t> </w:t>
      </w:r>
      <w:r>
        <w:rPr>
          <w:rFonts w:ascii="Arial"/>
          <w:color w:val="333131"/>
          <w:w w:val="110"/>
          <w:sz w:val="21"/>
        </w:rPr>
        <w:t>Brief</w:t>
        <w:tab/>
      </w:r>
      <w:r>
        <w:rPr>
          <w:b/>
          <w:color w:val="333131"/>
          <w:w w:val="110"/>
          <w:sz w:val="22"/>
        </w:rPr>
        <w:t>315</w:t>
      </w:r>
    </w:p>
    <w:p>
      <w:pPr>
        <w:pStyle w:val="ListParagraph"/>
        <w:numPr>
          <w:ilvl w:val="2"/>
          <w:numId w:val="15"/>
        </w:numPr>
        <w:tabs>
          <w:tab w:pos="1828" w:val="left" w:leader="none"/>
          <w:tab w:pos="8004" w:val="right" w:leader="none"/>
        </w:tabs>
        <w:spacing w:line="240" w:lineRule="auto" w:before="15" w:after="0"/>
        <w:ind w:left="1827" w:right="0" w:hanging="735"/>
        <w:jc w:val="left"/>
        <w:rPr>
          <w:rFonts w:ascii="Arial"/>
          <w:b/>
          <w:color w:val="333131"/>
          <w:sz w:val="21"/>
        </w:rPr>
      </w:pPr>
      <w:r>
        <w:rPr>
          <w:rFonts w:ascii="Arial"/>
          <w:color w:val="333131"/>
          <w:w w:val="110"/>
          <w:sz w:val="21"/>
        </w:rPr>
        <w:t>Dividing</w:t>
      </w:r>
      <w:r>
        <w:rPr>
          <w:rFonts w:ascii="Arial"/>
          <w:color w:val="333131"/>
          <w:spacing w:val="-12"/>
          <w:w w:val="110"/>
          <w:sz w:val="21"/>
        </w:rPr>
        <w:t> </w:t>
      </w:r>
      <w:r>
        <w:rPr>
          <w:rFonts w:ascii="Arial"/>
          <w:color w:val="333131"/>
          <w:w w:val="110"/>
          <w:sz w:val="21"/>
        </w:rPr>
        <w:t>Up</w:t>
      </w:r>
      <w:r>
        <w:rPr>
          <w:rFonts w:ascii="Arial"/>
          <w:color w:val="333131"/>
          <w:spacing w:val="-13"/>
          <w:w w:val="110"/>
          <w:sz w:val="21"/>
        </w:rPr>
        <w:t> </w:t>
      </w:r>
      <w:r>
        <w:rPr>
          <w:rFonts w:ascii="Arial"/>
          <w:color w:val="333131"/>
          <w:w w:val="110"/>
          <w:sz w:val="21"/>
        </w:rPr>
        <w:t>the</w:t>
      </w:r>
      <w:r>
        <w:rPr>
          <w:rFonts w:ascii="Arial"/>
          <w:color w:val="333131"/>
          <w:spacing w:val="-3"/>
          <w:w w:val="110"/>
          <w:sz w:val="21"/>
        </w:rPr>
        <w:t> </w:t>
      </w:r>
      <w:r>
        <w:rPr>
          <w:rFonts w:ascii="Arial"/>
          <w:color w:val="333131"/>
          <w:w w:val="110"/>
          <w:sz w:val="21"/>
        </w:rPr>
        <w:t>Work</w:t>
        <w:tab/>
      </w:r>
      <w:r>
        <w:rPr>
          <w:rFonts w:ascii="Arial"/>
          <w:b/>
          <w:color w:val="333131"/>
          <w:w w:val="110"/>
          <w:sz w:val="21"/>
        </w:rPr>
        <w:t>316</w:t>
      </w:r>
    </w:p>
    <w:p>
      <w:pPr>
        <w:pStyle w:val="ListParagraph"/>
        <w:numPr>
          <w:ilvl w:val="2"/>
          <w:numId w:val="15"/>
        </w:numPr>
        <w:tabs>
          <w:tab w:pos="1824" w:val="left" w:leader="none"/>
          <w:tab w:pos="8011" w:val="right" w:leader="none"/>
        </w:tabs>
        <w:spacing w:line="240" w:lineRule="auto" w:before="28" w:after="0"/>
        <w:ind w:left="1823" w:right="0" w:hanging="731"/>
        <w:jc w:val="left"/>
        <w:rPr>
          <w:rFonts w:ascii="Arial"/>
          <w:b/>
          <w:color w:val="333131"/>
          <w:sz w:val="21"/>
        </w:rPr>
      </w:pPr>
      <w:r>
        <w:rPr>
          <w:rFonts w:ascii="Arial"/>
          <w:color w:val="333131"/>
          <w:w w:val="105"/>
          <w:sz w:val="21"/>
        </w:rPr>
        <w:t>Critiquing</w:t>
      </w:r>
      <w:r>
        <w:rPr>
          <w:rFonts w:ascii="Arial"/>
          <w:color w:val="333131"/>
          <w:spacing w:val="-8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Your</w:t>
      </w:r>
      <w:r>
        <w:rPr>
          <w:rFonts w:ascii="Arial"/>
          <w:color w:val="333131"/>
          <w:spacing w:val="-13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Teammates'</w:t>
      </w:r>
      <w:r>
        <w:rPr>
          <w:rFonts w:ascii="Arial"/>
          <w:color w:val="333131"/>
          <w:spacing w:val="8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Work</w:t>
        <w:tab/>
      </w:r>
      <w:r>
        <w:rPr>
          <w:rFonts w:ascii="Arial"/>
          <w:b/>
          <w:color w:val="333131"/>
          <w:w w:val="105"/>
          <w:sz w:val="21"/>
        </w:rPr>
        <w:t>317</w:t>
      </w:r>
    </w:p>
    <w:p>
      <w:pPr>
        <w:pStyle w:val="ListParagraph"/>
        <w:numPr>
          <w:ilvl w:val="2"/>
          <w:numId w:val="15"/>
        </w:numPr>
        <w:tabs>
          <w:tab w:pos="1818" w:val="left" w:leader="none"/>
          <w:tab w:pos="7993" w:val="right" w:leader="none"/>
        </w:tabs>
        <w:spacing w:line="240" w:lineRule="auto" w:before="11" w:after="0"/>
        <w:ind w:left="1817" w:right="0" w:hanging="733"/>
        <w:jc w:val="left"/>
        <w:rPr>
          <w:b/>
          <w:color w:val="333131"/>
          <w:sz w:val="22"/>
        </w:rPr>
      </w:pPr>
      <w:r>
        <w:rPr>
          <w:rFonts w:ascii="Arial"/>
          <w:color w:val="333131"/>
          <w:w w:val="105"/>
          <w:sz w:val="21"/>
        </w:rPr>
        <w:t>Polishing</w:t>
      </w:r>
      <w:r>
        <w:rPr>
          <w:rFonts w:ascii="Arial"/>
          <w:color w:val="333131"/>
          <w:spacing w:val="-3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the</w:t>
      </w:r>
      <w:r>
        <w:rPr>
          <w:rFonts w:ascii="Arial"/>
          <w:color w:val="333131"/>
          <w:spacing w:val="16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Brief</w:t>
        <w:tab/>
      </w:r>
      <w:r>
        <w:rPr>
          <w:rFonts w:ascii="Arial"/>
          <w:b/>
          <w:color w:val="333131"/>
          <w:w w:val="105"/>
          <w:sz w:val="21"/>
        </w:rPr>
        <w:t>319</w:t>
      </w:r>
    </w:p>
    <w:p>
      <w:pPr>
        <w:pStyle w:val="ListParagraph"/>
        <w:numPr>
          <w:ilvl w:val="1"/>
          <w:numId w:val="15"/>
        </w:numPr>
        <w:tabs>
          <w:tab w:pos="1084" w:val="left" w:leader="none"/>
          <w:tab w:pos="1085" w:val="left" w:leader="none"/>
          <w:tab w:pos="8007" w:val="right" w:leader="none"/>
        </w:tabs>
        <w:spacing w:line="240" w:lineRule="auto" w:before="5" w:after="0"/>
        <w:ind w:left="1084" w:right="0" w:hanging="696"/>
        <w:jc w:val="left"/>
        <w:rPr>
          <w:rFonts w:ascii="Arial"/>
          <w:b/>
          <w:color w:val="333131"/>
          <w:sz w:val="21"/>
        </w:rPr>
      </w:pPr>
      <w:r>
        <w:rPr>
          <w:rFonts w:ascii="Arial"/>
          <w:color w:val="333131"/>
          <w:w w:val="105"/>
          <w:sz w:val="21"/>
        </w:rPr>
        <w:t>Practice</w:t>
      </w:r>
      <w:r>
        <w:rPr>
          <w:rFonts w:ascii="Arial"/>
          <w:color w:val="333131"/>
          <w:spacing w:val="-6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Arguments</w:t>
        <w:tab/>
      </w:r>
      <w:r>
        <w:rPr>
          <w:rFonts w:ascii="Arial"/>
          <w:b/>
          <w:color w:val="333131"/>
          <w:w w:val="105"/>
          <w:sz w:val="21"/>
        </w:rPr>
        <w:t>319</w:t>
      </w:r>
    </w:p>
    <w:p>
      <w:pPr>
        <w:pStyle w:val="ListParagraph"/>
        <w:numPr>
          <w:ilvl w:val="2"/>
          <w:numId w:val="15"/>
        </w:numPr>
        <w:tabs>
          <w:tab w:pos="1810" w:val="left" w:leader="none"/>
          <w:tab w:pos="8018" w:val="right" w:leader="none"/>
        </w:tabs>
        <w:spacing w:line="240" w:lineRule="auto" w:before="29" w:after="0"/>
        <w:ind w:left="1809" w:right="0" w:hanging="727"/>
        <w:jc w:val="left"/>
        <w:rPr>
          <w:rFonts w:ascii="Arial"/>
          <w:b/>
          <w:color w:val="333131"/>
          <w:sz w:val="19"/>
        </w:rPr>
      </w:pPr>
      <w:r>
        <w:rPr>
          <w:rFonts w:ascii="Arial"/>
          <w:color w:val="333131"/>
          <w:w w:val="110"/>
          <w:sz w:val="21"/>
        </w:rPr>
        <w:t>The</w:t>
      </w:r>
      <w:r>
        <w:rPr>
          <w:rFonts w:ascii="Arial"/>
          <w:color w:val="333131"/>
          <w:spacing w:val="-21"/>
          <w:w w:val="110"/>
          <w:sz w:val="21"/>
        </w:rPr>
        <w:t> </w:t>
      </w:r>
      <w:r>
        <w:rPr>
          <w:rFonts w:ascii="Arial"/>
          <w:color w:val="333131"/>
          <w:w w:val="110"/>
          <w:sz w:val="21"/>
        </w:rPr>
        <w:t>Introduction</w:t>
        <w:tab/>
      </w:r>
      <w:r>
        <w:rPr>
          <w:rFonts w:ascii="Arial"/>
          <w:b/>
          <w:color w:val="333131"/>
          <w:w w:val="110"/>
          <w:sz w:val="21"/>
        </w:rPr>
        <w:t>321</w:t>
      </w:r>
    </w:p>
    <w:p>
      <w:pPr>
        <w:pStyle w:val="ListParagraph"/>
        <w:numPr>
          <w:ilvl w:val="2"/>
          <w:numId w:val="15"/>
        </w:numPr>
        <w:tabs>
          <w:tab w:pos="1808" w:val="left" w:leader="none"/>
          <w:tab w:pos="8011" w:val="right" w:leader="none"/>
        </w:tabs>
        <w:spacing w:line="233" w:lineRule="exact" w:before="28" w:after="0"/>
        <w:ind w:left="1807" w:right="0" w:hanging="734"/>
        <w:jc w:val="left"/>
        <w:rPr>
          <w:rFonts w:ascii="Arial"/>
          <w:b/>
          <w:color w:val="333131"/>
          <w:sz w:val="21"/>
        </w:rPr>
      </w:pPr>
      <w:r>
        <w:rPr>
          <w:rFonts w:ascii="Arial"/>
          <w:color w:val="333131"/>
          <w:w w:val="110"/>
          <w:sz w:val="21"/>
        </w:rPr>
        <w:t>Planning</w:t>
      </w:r>
      <w:r>
        <w:rPr>
          <w:rFonts w:ascii="Arial"/>
          <w:color w:val="333131"/>
          <w:spacing w:val="-7"/>
          <w:w w:val="110"/>
          <w:sz w:val="21"/>
        </w:rPr>
        <w:t> </w:t>
      </w:r>
      <w:r>
        <w:rPr>
          <w:rFonts w:ascii="Arial"/>
          <w:color w:val="333131"/>
          <w:w w:val="110"/>
          <w:sz w:val="21"/>
        </w:rPr>
        <w:t>for</w:t>
      </w:r>
      <w:r>
        <w:rPr>
          <w:rFonts w:ascii="Arial"/>
          <w:color w:val="333131"/>
          <w:spacing w:val="6"/>
          <w:w w:val="110"/>
          <w:sz w:val="21"/>
        </w:rPr>
        <w:t> </w:t>
      </w:r>
      <w:r>
        <w:rPr>
          <w:rFonts w:ascii="Arial"/>
          <w:color w:val="333131"/>
          <w:w w:val="110"/>
          <w:sz w:val="21"/>
        </w:rPr>
        <w:t>Awkward</w:t>
      </w:r>
      <w:r>
        <w:rPr>
          <w:rFonts w:ascii="Arial"/>
          <w:color w:val="333131"/>
          <w:spacing w:val="-13"/>
          <w:w w:val="110"/>
          <w:sz w:val="21"/>
        </w:rPr>
        <w:t> </w:t>
      </w:r>
      <w:r>
        <w:rPr>
          <w:rFonts w:ascii="Arial"/>
          <w:color w:val="333131"/>
          <w:w w:val="110"/>
          <w:sz w:val="21"/>
        </w:rPr>
        <w:t>Moments</w:t>
        <w:tab/>
      </w:r>
      <w:r>
        <w:rPr>
          <w:rFonts w:ascii="Arial"/>
          <w:b/>
          <w:color w:val="333131"/>
          <w:w w:val="110"/>
          <w:sz w:val="21"/>
        </w:rPr>
        <w:t>322</w:t>
      </w:r>
    </w:p>
    <w:p>
      <w:pPr>
        <w:pStyle w:val="ListParagraph"/>
        <w:numPr>
          <w:ilvl w:val="3"/>
          <w:numId w:val="15"/>
        </w:numPr>
        <w:tabs>
          <w:tab w:pos="2177" w:val="left" w:leader="none"/>
          <w:tab w:pos="8022" w:val="right" w:leader="none"/>
        </w:tabs>
        <w:spacing w:line="279" w:lineRule="exact" w:before="0" w:after="0"/>
        <w:ind w:left="2176" w:right="0" w:hanging="384"/>
        <w:jc w:val="left"/>
        <w:rPr>
          <w:b/>
          <w:color w:val="333131"/>
          <w:sz w:val="25"/>
        </w:rPr>
      </w:pPr>
      <w:r>
        <w:rPr>
          <w:rFonts w:ascii="Arial"/>
          <w:color w:val="333131"/>
          <w:w w:val="110"/>
          <w:sz w:val="21"/>
        </w:rPr>
        <w:t>The</w:t>
      </w:r>
      <w:r>
        <w:rPr>
          <w:rFonts w:ascii="Arial"/>
          <w:color w:val="333131"/>
          <w:spacing w:val="-12"/>
          <w:w w:val="110"/>
          <w:sz w:val="21"/>
        </w:rPr>
        <w:t> </w:t>
      </w:r>
      <w:r>
        <w:rPr>
          <w:rFonts w:ascii="Arial"/>
          <w:color w:val="333131"/>
          <w:w w:val="110"/>
          <w:sz w:val="21"/>
        </w:rPr>
        <w:t>Cold</w:t>
      </w:r>
      <w:r>
        <w:rPr>
          <w:rFonts w:ascii="Arial"/>
          <w:color w:val="333131"/>
          <w:spacing w:val="-20"/>
          <w:w w:val="110"/>
          <w:sz w:val="21"/>
        </w:rPr>
        <w:t> </w:t>
      </w:r>
      <w:r>
        <w:rPr>
          <w:rFonts w:ascii="Arial"/>
          <w:color w:val="333131"/>
          <w:w w:val="110"/>
          <w:sz w:val="21"/>
        </w:rPr>
        <w:t>Court</w:t>
        <w:tab/>
      </w:r>
      <w:r>
        <w:rPr>
          <w:rFonts w:ascii="Arial"/>
          <w:b/>
          <w:color w:val="333131"/>
          <w:w w:val="110"/>
          <w:sz w:val="21"/>
        </w:rPr>
        <w:t>322</w:t>
      </w:r>
    </w:p>
    <w:p>
      <w:pPr>
        <w:pStyle w:val="ListParagraph"/>
        <w:numPr>
          <w:ilvl w:val="3"/>
          <w:numId w:val="15"/>
        </w:numPr>
        <w:tabs>
          <w:tab w:pos="2175" w:val="left" w:leader="none"/>
        </w:tabs>
        <w:spacing w:line="240" w:lineRule="auto" w:before="1" w:after="0"/>
        <w:ind w:left="2174" w:right="0" w:hanging="376"/>
        <w:jc w:val="left"/>
        <w:rPr>
          <w:b/>
          <w:color w:val="333131"/>
          <w:sz w:val="24"/>
        </w:rPr>
      </w:pPr>
      <w:r>
        <w:rPr>
          <w:rFonts w:ascii="Arial"/>
          <w:color w:val="333131"/>
          <w:w w:val="105"/>
          <w:sz w:val="21"/>
        </w:rPr>
        <w:t>Dealing</w:t>
      </w:r>
      <w:r>
        <w:rPr>
          <w:rFonts w:ascii="Arial"/>
          <w:color w:val="333131"/>
          <w:spacing w:val="19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with</w:t>
      </w:r>
      <w:r>
        <w:rPr>
          <w:rFonts w:ascii="Arial"/>
          <w:color w:val="333131"/>
          <w:spacing w:val="10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Opponents'</w:t>
      </w:r>
      <w:r>
        <w:rPr>
          <w:rFonts w:ascii="Arial"/>
          <w:color w:val="333131"/>
          <w:spacing w:val="31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Misstatements</w:t>
      </w:r>
      <w:r>
        <w:rPr>
          <w:rFonts w:ascii="Arial"/>
          <w:color w:val="333131"/>
          <w:spacing w:val="31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of</w:t>
      </w:r>
    </w:p>
    <w:p>
      <w:pPr>
        <w:tabs>
          <w:tab w:pos="7969" w:val="right" w:leader="none"/>
        </w:tabs>
        <w:spacing w:before="2"/>
        <w:ind w:left="2176" w:right="0" w:firstLine="0"/>
        <w:jc w:val="left"/>
        <w:rPr>
          <w:rFonts w:ascii="Arial"/>
          <w:b/>
          <w:sz w:val="21"/>
        </w:rPr>
      </w:pPr>
      <w:r>
        <w:rPr>
          <w:rFonts w:ascii="Arial"/>
          <w:color w:val="333131"/>
          <w:w w:val="105"/>
          <w:sz w:val="20"/>
        </w:rPr>
        <w:t>Law</w:t>
      </w:r>
      <w:r>
        <w:rPr>
          <w:rFonts w:ascii="Arial"/>
          <w:color w:val="333131"/>
          <w:spacing w:val="-14"/>
          <w:w w:val="105"/>
          <w:sz w:val="20"/>
        </w:rPr>
        <w:t> </w:t>
      </w:r>
      <w:r>
        <w:rPr>
          <w:rFonts w:ascii="Arial"/>
          <w:color w:val="333131"/>
          <w:w w:val="105"/>
          <w:sz w:val="21"/>
        </w:rPr>
        <w:t>or</w:t>
      </w:r>
      <w:r>
        <w:rPr>
          <w:rFonts w:ascii="Arial"/>
          <w:color w:val="333131"/>
          <w:spacing w:val="1"/>
          <w:w w:val="105"/>
          <w:sz w:val="21"/>
        </w:rPr>
        <w:t> </w:t>
      </w:r>
      <w:r>
        <w:rPr>
          <w:rFonts w:ascii="Arial"/>
          <w:color w:val="333131"/>
          <w:w w:val="105"/>
          <w:sz w:val="21"/>
        </w:rPr>
        <w:t>Facts</w:t>
        <w:tab/>
      </w:r>
      <w:r>
        <w:rPr>
          <w:rFonts w:ascii="Arial"/>
          <w:b/>
          <w:color w:val="333131"/>
          <w:w w:val="105"/>
          <w:sz w:val="21"/>
        </w:rPr>
        <w:t>323</w:t>
      </w:r>
    </w:p>
    <w:p>
      <w:pPr>
        <w:spacing w:after="0"/>
        <w:jc w:val="left"/>
        <w:rPr>
          <w:rFonts w:ascii="Arial"/>
          <w:sz w:val="21"/>
        </w:rPr>
        <w:sectPr>
          <w:type w:val="continuous"/>
          <w:pgSz w:w="9760" w:h="13810"/>
          <w:pgMar w:header="443" w:footer="0" w:top="340" w:bottom="280" w:left="1360" w:right="140"/>
        </w:sectPr>
      </w:pPr>
    </w:p>
    <w:p>
      <w:pPr>
        <w:pStyle w:val="ListParagraph"/>
        <w:numPr>
          <w:ilvl w:val="2"/>
          <w:numId w:val="15"/>
        </w:numPr>
        <w:tabs>
          <w:tab w:pos="1520" w:val="left" w:leader="none"/>
          <w:tab w:pos="7586" w:val="right" w:leader="none"/>
        </w:tabs>
        <w:spacing w:line="266" w:lineRule="exact" w:before="80" w:after="0"/>
        <w:ind w:left="1519" w:right="0" w:hanging="724"/>
        <w:jc w:val="left"/>
        <w:rPr>
          <w:b/>
          <w:color w:val="312F2F"/>
          <w:sz w:val="22"/>
        </w:rPr>
      </w:pPr>
      <w:r>
        <w:rPr>
          <w:rFonts w:ascii="Arial"/>
          <w:color w:val="312F2F"/>
          <w:spacing w:val="-1"/>
          <w:w w:val="105"/>
          <w:sz w:val="21"/>
        </w:rPr>
        <w:t>The</w:t>
      </w:r>
      <w:r>
        <w:rPr>
          <w:rFonts w:ascii="Arial"/>
          <w:color w:val="312F2F"/>
          <w:spacing w:val="-17"/>
          <w:w w:val="105"/>
          <w:sz w:val="21"/>
        </w:rPr>
        <w:t> </w:t>
      </w:r>
      <w:r>
        <w:rPr>
          <w:rFonts w:ascii="Arial"/>
          <w:color w:val="312F2F"/>
          <w:spacing w:val="-1"/>
          <w:w w:val="105"/>
          <w:sz w:val="21"/>
        </w:rPr>
        <w:t>Conclusion</w:t>
        <w:tab/>
      </w:r>
      <w:r>
        <w:rPr>
          <w:b/>
          <w:color w:val="312F2F"/>
          <w:w w:val="105"/>
          <w:position w:val="2"/>
          <w:sz w:val="22"/>
        </w:rPr>
        <w:t>325</w:t>
      </w:r>
    </w:p>
    <w:p>
      <w:pPr>
        <w:pStyle w:val="ListParagraph"/>
        <w:numPr>
          <w:ilvl w:val="1"/>
          <w:numId w:val="15"/>
        </w:numPr>
        <w:tabs>
          <w:tab w:pos="786" w:val="left" w:leader="none"/>
          <w:tab w:pos="7570" w:val="right" w:leader="none"/>
        </w:tabs>
        <w:spacing w:line="265" w:lineRule="exact" w:before="0" w:after="0"/>
        <w:ind w:left="785" w:right="0" w:hanging="674"/>
        <w:jc w:val="left"/>
        <w:rPr>
          <w:b/>
          <w:color w:val="312F2F"/>
          <w:sz w:val="22"/>
        </w:rPr>
      </w:pPr>
      <w:r>
        <w:rPr>
          <w:rFonts w:ascii="Arial"/>
          <w:color w:val="312F2F"/>
          <w:position w:val="1"/>
          <w:sz w:val="21"/>
        </w:rPr>
        <w:t>Professionalism</w:t>
        <w:tab/>
      </w:r>
      <w:r>
        <w:rPr>
          <w:b/>
          <w:color w:val="312F2F"/>
          <w:position w:val="3"/>
          <w:sz w:val="22"/>
        </w:rPr>
        <w:t>326</w:t>
      </w:r>
    </w:p>
    <w:p>
      <w:pPr>
        <w:pStyle w:val="ListParagraph"/>
        <w:numPr>
          <w:ilvl w:val="1"/>
          <w:numId w:val="15"/>
        </w:numPr>
        <w:tabs>
          <w:tab w:pos="792" w:val="left" w:leader="none"/>
          <w:tab w:pos="7583" w:val="right" w:leader="none"/>
        </w:tabs>
        <w:spacing w:line="272" w:lineRule="exact" w:before="0" w:after="0"/>
        <w:ind w:left="791" w:right="0" w:hanging="680"/>
        <w:jc w:val="left"/>
        <w:rPr>
          <w:b/>
          <w:color w:val="312F2F"/>
          <w:sz w:val="22"/>
        </w:rPr>
      </w:pPr>
      <w:r>
        <w:rPr>
          <w:rFonts w:ascii="Arial"/>
          <w:color w:val="312F2F"/>
          <w:w w:val="105"/>
          <w:position w:val="1"/>
          <w:sz w:val="21"/>
        </w:rPr>
        <w:t>Summary</w:t>
        <w:tab/>
      </w:r>
      <w:r>
        <w:rPr>
          <w:b/>
          <w:color w:val="312F2F"/>
          <w:w w:val="105"/>
          <w:position w:val="3"/>
          <w:sz w:val="22"/>
        </w:rPr>
        <w:t>327</w:t>
      </w:r>
    </w:p>
    <w:p>
      <w:pPr>
        <w:spacing w:before="393"/>
        <w:ind w:left="105" w:right="0" w:firstLine="0"/>
        <w:jc w:val="left"/>
        <w:rPr>
          <w:b/>
          <w:sz w:val="22"/>
        </w:rPr>
      </w:pPr>
      <w:r>
        <w:rPr>
          <w:b/>
          <w:color w:val="312F2F"/>
          <w:w w:val="90"/>
          <w:sz w:val="22"/>
        </w:rPr>
        <w:t>APPENDIX</w:t>
      </w:r>
      <w:r>
        <w:rPr>
          <w:b/>
          <w:color w:val="312F2F"/>
          <w:spacing w:val="-3"/>
          <w:w w:val="90"/>
          <w:sz w:val="22"/>
        </w:rPr>
        <w:t> </w:t>
      </w:r>
      <w:r>
        <w:rPr>
          <w:b/>
          <w:color w:val="312F2F"/>
          <w:w w:val="90"/>
          <w:sz w:val="22"/>
        </w:rPr>
        <w:t>A</w:t>
      </w:r>
    </w:p>
    <w:p>
      <w:pPr>
        <w:spacing w:before="27"/>
        <w:ind w:left="126" w:right="0" w:firstLine="0"/>
        <w:jc w:val="left"/>
        <w:rPr>
          <w:rFonts w:ascii="Arial"/>
          <w:sz w:val="24"/>
        </w:rPr>
      </w:pPr>
      <w:r>
        <w:rPr>
          <w:rFonts w:ascii="Arial"/>
          <w:color w:val="757779"/>
          <w:w w:val="105"/>
          <w:sz w:val="24"/>
        </w:rPr>
        <w:t>FOR</w:t>
      </w:r>
      <w:r>
        <w:rPr>
          <w:rFonts w:ascii="Arial"/>
          <w:color w:val="757779"/>
          <w:spacing w:val="26"/>
          <w:w w:val="105"/>
          <w:sz w:val="24"/>
        </w:rPr>
        <w:t> </w:t>
      </w:r>
      <w:r>
        <w:rPr>
          <w:color w:val="979A9C"/>
          <w:w w:val="105"/>
          <w:sz w:val="26"/>
        </w:rPr>
        <w:t>REF</w:t>
      </w:r>
      <w:r>
        <w:rPr>
          <w:color w:val="757779"/>
          <w:w w:val="105"/>
          <w:sz w:val="26"/>
        </w:rPr>
        <w:t>E</w:t>
      </w:r>
      <w:r>
        <w:rPr>
          <w:color w:val="979A9C"/>
          <w:w w:val="105"/>
          <w:sz w:val="26"/>
        </w:rPr>
        <w:t>R</w:t>
      </w:r>
      <w:r>
        <w:rPr>
          <w:color w:val="757779"/>
          <w:w w:val="105"/>
          <w:sz w:val="26"/>
        </w:rPr>
        <w:t>ENCE:</w:t>
      </w:r>
      <w:r>
        <w:rPr>
          <w:color w:val="757779"/>
          <w:spacing w:val="12"/>
          <w:w w:val="105"/>
          <w:sz w:val="26"/>
        </w:rPr>
        <w:t> </w:t>
      </w:r>
      <w:r>
        <w:rPr>
          <w:rFonts w:ascii="Arial"/>
          <w:color w:val="757779"/>
          <w:w w:val="105"/>
          <w:sz w:val="24"/>
        </w:rPr>
        <w:t>CITATION</w:t>
      </w:r>
      <w:r>
        <w:rPr>
          <w:rFonts w:ascii="Arial"/>
          <w:color w:val="757779"/>
          <w:spacing w:val="14"/>
          <w:w w:val="105"/>
          <w:sz w:val="24"/>
        </w:rPr>
        <w:t> </w:t>
      </w:r>
      <w:r>
        <w:rPr>
          <w:rFonts w:ascii="Arial"/>
          <w:color w:val="757779"/>
          <w:w w:val="105"/>
          <w:sz w:val="24"/>
        </w:rPr>
        <w:t>FORM</w:t>
      </w:r>
      <w:r>
        <w:rPr>
          <w:rFonts w:ascii="Arial"/>
          <w:color w:val="757779"/>
          <w:spacing w:val="9"/>
          <w:w w:val="105"/>
          <w:sz w:val="24"/>
        </w:rPr>
        <w:t> </w:t>
      </w:r>
      <w:r>
        <w:rPr>
          <w:rFonts w:ascii="Arial"/>
          <w:color w:val="858789"/>
          <w:w w:val="105"/>
          <w:sz w:val="24"/>
        </w:rPr>
        <w:t>AND</w:t>
      </w:r>
    </w:p>
    <w:p>
      <w:pPr>
        <w:tabs>
          <w:tab w:pos="7625" w:val="right" w:leader="none"/>
        </w:tabs>
        <w:spacing w:before="36"/>
        <w:ind w:left="127" w:right="0" w:firstLine="0"/>
        <w:jc w:val="left"/>
        <w:rPr>
          <w:b/>
          <w:sz w:val="22"/>
        </w:rPr>
      </w:pPr>
      <w:r>
        <w:rPr>
          <w:rFonts w:ascii="Arial"/>
          <w:color w:val="858789"/>
          <w:w w:val="110"/>
          <w:sz w:val="24"/>
        </w:rPr>
        <w:t>PUNCTUATION</w:t>
      </w:r>
      <w:r>
        <w:rPr>
          <w:rFonts w:ascii="Arial"/>
          <w:color w:val="858789"/>
          <w:spacing w:val="19"/>
          <w:w w:val="110"/>
          <w:sz w:val="24"/>
        </w:rPr>
        <w:t> </w:t>
      </w:r>
      <w:r>
        <w:rPr>
          <w:rFonts w:ascii="Arial"/>
          <w:color w:val="858789"/>
          <w:w w:val="110"/>
          <w:sz w:val="24"/>
        </w:rPr>
        <w:t>IN</w:t>
      </w:r>
      <w:r>
        <w:rPr>
          <w:rFonts w:ascii="Arial"/>
          <w:color w:val="646667"/>
          <w:w w:val="110"/>
          <w:sz w:val="24"/>
        </w:rPr>
        <w:t>FO</w:t>
      </w:r>
      <w:r>
        <w:rPr>
          <w:rFonts w:ascii="Arial"/>
          <w:color w:val="858789"/>
          <w:w w:val="110"/>
          <w:sz w:val="24"/>
        </w:rPr>
        <w:t>RMA</w:t>
      </w:r>
      <w:r>
        <w:rPr>
          <w:rFonts w:ascii="Arial"/>
          <w:color w:val="646667"/>
          <w:w w:val="110"/>
          <w:sz w:val="24"/>
        </w:rPr>
        <w:t>T</w:t>
      </w:r>
      <w:r>
        <w:rPr>
          <w:rFonts w:ascii="Arial"/>
          <w:color w:val="979A9C"/>
          <w:w w:val="110"/>
          <w:sz w:val="24"/>
        </w:rPr>
        <w:t>IO</w:t>
      </w:r>
      <w:r>
        <w:rPr>
          <w:rFonts w:ascii="Arial"/>
          <w:color w:val="757779"/>
          <w:w w:val="110"/>
          <w:sz w:val="24"/>
        </w:rPr>
        <w:t>N</w:t>
        <w:tab/>
      </w:r>
      <w:r>
        <w:rPr>
          <w:b/>
          <w:color w:val="312F2F"/>
          <w:w w:val="110"/>
          <w:position w:val="3"/>
          <w:sz w:val="22"/>
        </w:rPr>
        <w:t>329</w:t>
      </w:r>
    </w:p>
    <w:p>
      <w:pPr>
        <w:pStyle w:val="ListParagraph"/>
        <w:numPr>
          <w:ilvl w:val="1"/>
          <w:numId w:val="16"/>
        </w:numPr>
        <w:tabs>
          <w:tab w:pos="804" w:val="left" w:leader="none"/>
          <w:tab w:pos="805" w:val="left" w:leader="none"/>
          <w:tab w:pos="7592" w:val="right" w:leader="none"/>
        </w:tabs>
        <w:spacing w:line="272" w:lineRule="exact" w:before="89" w:after="0"/>
        <w:ind w:left="804" w:right="0" w:hanging="690"/>
        <w:jc w:val="left"/>
        <w:rPr>
          <w:b/>
          <w:sz w:val="22"/>
        </w:rPr>
      </w:pPr>
      <w:r>
        <w:rPr>
          <w:rFonts w:ascii="Arial"/>
          <w:color w:val="312F2F"/>
          <w:w w:val="105"/>
          <w:position w:val="1"/>
          <w:sz w:val="21"/>
        </w:rPr>
        <w:t>Putting</w:t>
      </w:r>
      <w:r>
        <w:rPr>
          <w:rFonts w:ascii="Arial"/>
          <w:color w:val="312F2F"/>
          <w:spacing w:val="-10"/>
          <w:w w:val="105"/>
          <w:position w:val="1"/>
          <w:sz w:val="21"/>
        </w:rPr>
        <w:t> </w:t>
      </w:r>
      <w:r>
        <w:rPr>
          <w:rFonts w:ascii="Arial"/>
          <w:color w:val="312F2F"/>
          <w:w w:val="105"/>
          <w:position w:val="1"/>
          <w:sz w:val="21"/>
        </w:rPr>
        <w:t>Citations</w:t>
      </w:r>
      <w:r>
        <w:rPr>
          <w:rFonts w:ascii="Arial"/>
          <w:color w:val="312F2F"/>
          <w:spacing w:val="-1"/>
          <w:w w:val="105"/>
          <w:position w:val="1"/>
          <w:sz w:val="21"/>
        </w:rPr>
        <w:t> </w:t>
      </w:r>
      <w:r>
        <w:rPr>
          <w:rFonts w:ascii="Arial"/>
          <w:color w:val="312F2F"/>
          <w:w w:val="105"/>
          <w:position w:val="1"/>
          <w:sz w:val="21"/>
        </w:rPr>
        <w:t>in</w:t>
      </w:r>
      <w:r>
        <w:rPr>
          <w:rFonts w:ascii="Arial"/>
          <w:color w:val="312F2F"/>
          <w:spacing w:val="5"/>
          <w:w w:val="105"/>
          <w:position w:val="1"/>
          <w:sz w:val="21"/>
        </w:rPr>
        <w:t> </w:t>
      </w:r>
      <w:r>
        <w:rPr>
          <w:rFonts w:ascii="Arial"/>
          <w:color w:val="312F2F"/>
          <w:w w:val="105"/>
          <w:position w:val="1"/>
          <w:sz w:val="21"/>
        </w:rPr>
        <w:t>Their</w:t>
      </w:r>
      <w:r>
        <w:rPr>
          <w:rFonts w:ascii="Arial"/>
          <w:color w:val="312F2F"/>
          <w:spacing w:val="-8"/>
          <w:w w:val="105"/>
          <w:position w:val="1"/>
          <w:sz w:val="21"/>
        </w:rPr>
        <w:t> </w:t>
      </w:r>
      <w:r>
        <w:rPr>
          <w:rFonts w:ascii="Arial"/>
          <w:color w:val="312F2F"/>
          <w:w w:val="105"/>
          <w:position w:val="1"/>
          <w:sz w:val="21"/>
        </w:rPr>
        <w:t>Place</w:t>
        <w:tab/>
      </w:r>
      <w:r>
        <w:rPr>
          <w:b/>
          <w:color w:val="312F2F"/>
          <w:w w:val="105"/>
          <w:position w:val="3"/>
          <w:sz w:val="22"/>
        </w:rPr>
        <w:t>329</w:t>
      </w:r>
    </w:p>
    <w:p>
      <w:pPr>
        <w:pStyle w:val="ListParagraph"/>
        <w:numPr>
          <w:ilvl w:val="2"/>
          <w:numId w:val="16"/>
        </w:numPr>
        <w:tabs>
          <w:tab w:pos="1532" w:val="left" w:leader="none"/>
          <w:tab w:pos="7648" w:val="right" w:leader="none"/>
        </w:tabs>
        <w:spacing w:line="255" w:lineRule="exact" w:before="0" w:after="0"/>
        <w:ind w:left="1531" w:right="0" w:hanging="733"/>
        <w:jc w:val="left"/>
        <w:rPr>
          <w:b/>
          <w:sz w:val="22"/>
        </w:rPr>
      </w:pPr>
      <w:r>
        <w:rPr>
          <w:rFonts w:ascii="Arial"/>
          <w:color w:val="312F2F"/>
          <w:w w:val="110"/>
          <w:sz w:val="21"/>
        </w:rPr>
        <w:t>When</w:t>
      </w:r>
      <w:r>
        <w:rPr>
          <w:rFonts w:ascii="Arial"/>
          <w:color w:val="312F2F"/>
          <w:spacing w:val="-4"/>
          <w:w w:val="110"/>
          <w:sz w:val="21"/>
        </w:rPr>
        <w:t> </w:t>
      </w:r>
      <w:r>
        <w:rPr>
          <w:rFonts w:ascii="Arial"/>
          <w:color w:val="312F2F"/>
          <w:w w:val="110"/>
          <w:sz w:val="21"/>
        </w:rPr>
        <w:t>to</w:t>
      </w:r>
      <w:r>
        <w:rPr>
          <w:rFonts w:ascii="Arial"/>
          <w:color w:val="312F2F"/>
          <w:spacing w:val="12"/>
          <w:w w:val="110"/>
          <w:sz w:val="21"/>
        </w:rPr>
        <w:t> </w:t>
      </w:r>
      <w:r>
        <w:rPr>
          <w:rFonts w:ascii="Arial"/>
          <w:color w:val="312F2F"/>
          <w:w w:val="110"/>
          <w:sz w:val="21"/>
        </w:rPr>
        <w:t>Cite</w:t>
        <w:tab/>
      </w:r>
      <w:r>
        <w:rPr>
          <w:b/>
          <w:color w:val="312F2F"/>
          <w:w w:val="110"/>
          <w:position w:val="2"/>
          <w:sz w:val="22"/>
        </w:rPr>
        <w:t>329</w:t>
      </w:r>
    </w:p>
    <w:p>
      <w:pPr>
        <w:pStyle w:val="ListParagraph"/>
        <w:numPr>
          <w:ilvl w:val="2"/>
          <w:numId w:val="16"/>
        </w:numPr>
        <w:tabs>
          <w:tab w:pos="1532" w:val="left" w:leader="none"/>
          <w:tab w:pos="7658" w:val="right" w:leader="none"/>
        </w:tabs>
        <w:spacing w:line="255" w:lineRule="exact" w:before="0" w:after="0"/>
        <w:ind w:left="1531" w:right="0" w:hanging="723"/>
        <w:jc w:val="left"/>
        <w:rPr>
          <w:b/>
          <w:sz w:val="22"/>
        </w:rPr>
      </w:pPr>
      <w:r>
        <w:rPr>
          <w:rFonts w:ascii="Arial"/>
          <w:color w:val="312F2F"/>
          <w:w w:val="110"/>
          <w:sz w:val="21"/>
        </w:rPr>
        <w:t>When</w:t>
      </w:r>
      <w:r>
        <w:rPr>
          <w:rFonts w:ascii="Arial"/>
          <w:color w:val="312F2F"/>
          <w:spacing w:val="-7"/>
          <w:w w:val="110"/>
          <w:sz w:val="21"/>
        </w:rPr>
        <w:t> </w:t>
      </w:r>
      <w:r>
        <w:rPr>
          <w:rFonts w:ascii="Arial"/>
          <w:color w:val="312F2F"/>
          <w:w w:val="110"/>
          <w:sz w:val="21"/>
        </w:rPr>
        <w:t>Not</w:t>
      </w:r>
      <w:r>
        <w:rPr>
          <w:rFonts w:ascii="Arial"/>
          <w:color w:val="312F2F"/>
          <w:spacing w:val="24"/>
          <w:w w:val="110"/>
          <w:sz w:val="21"/>
        </w:rPr>
        <w:t> </w:t>
      </w:r>
      <w:r>
        <w:rPr>
          <w:rFonts w:ascii="Arial"/>
          <w:color w:val="312F2F"/>
          <w:w w:val="110"/>
          <w:sz w:val="21"/>
        </w:rPr>
        <w:t>to</w:t>
      </w:r>
      <w:r>
        <w:rPr>
          <w:rFonts w:ascii="Arial"/>
          <w:color w:val="312F2F"/>
          <w:spacing w:val="12"/>
          <w:w w:val="110"/>
          <w:sz w:val="21"/>
        </w:rPr>
        <w:t> </w:t>
      </w:r>
      <w:r>
        <w:rPr>
          <w:rFonts w:ascii="Arial"/>
          <w:color w:val="312F2F"/>
          <w:w w:val="110"/>
          <w:sz w:val="21"/>
        </w:rPr>
        <w:t>Cite</w:t>
        <w:tab/>
      </w:r>
      <w:r>
        <w:rPr>
          <w:b/>
          <w:color w:val="312F2F"/>
          <w:w w:val="110"/>
          <w:position w:val="2"/>
          <w:sz w:val="22"/>
        </w:rPr>
        <w:t>330</w:t>
      </w:r>
    </w:p>
    <w:p>
      <w:pPr>
        <w:pStyle w:val="ListParagraph"/>
        <w:numPr>
          <w:ilvl w:val="1"/>
          <w:numId w:val="16"/>
        </w:numPr>
        <w:tabs>
          <w:tab w:pos="810" w:val="left" w:leader="none"/>
          <w:tab w:pos="811" w:val="left" w:leader="none"/>
          <w:tab w:pos="7625" w:val="right" w:leader="none"/>
        </w:tabs>
        <w:spacing w:line="260" w:lineRule="exact" w:before="0" w:after="0"/>
        <w:ind w:left="810" w:right="0" w:hanging="696"/>
        <w:jc w:val="left"/>
        <w:rPr>
          <w:b/>
          <w:sz w:val="22"/>
        </w:rPr>
      </w:pPr>
      <w:r>
        <w:rPr>
          <w:rFonts w:ascii="Arial"/>
          <w:color w:val="312F2F"/>
          <w:w w:val="105"/>
          <w:sz w:val="21"/>
        </w:rPr>
        <w:t>Common</w:t>
      </w:r>
      <w:r>
        <w:rPr>
          <w:rFonts w:ascii="Arial"/>
          <w:color w:val="312F2F"/>
          <w:spacing w:val="-12"/>
          <w:w w:val="105"/>
          <w:sz w:val="21"/>
        </w:rPr>
        <w:t> </w:t>
      </w:r>
      <w:r>
        <w:rPr>
          <w:rFonts w:ascii="Arial"/>
          <w:color w:val="3F3F3F"/>
          <w:w w:val="105"/>
          <w:sz w:val="21"/>
        </w:rPr>
        <w:t>Case</w:t>
      </w:r>
      <w:r>
        <w:rPr>
          <w:rFonts w:ascii="Arial"/>
          <w:color w:val="3F3F3F"/>
          <w:spacing w:val="-15"/>
          <w:w w:val="105"/>
          <w:sz w:val="21"/>
        </w:rPr>
        <w:t> </w:t>
      </w:r>
      <w:r>
        <w:rPr>
          <w:rFonts w:ascii="Arial"/>
          <w:color w:val="312F2F"/>
          <w:w w:val="105"/>
          <w:sz w:val="21"/>
        </w:rPr>
        <w:t>Citation</w:t>
      </w:r>
      <w:r>
        <w:rPr>
          <w:rFonts w:ascii="Arial"/>
          <w:color w:val="312F2F"/>
          <w:spacing w:val="-14"/>
          <w:w w:val="105"/>
          <w:sz w:val="21"/>
        </w:rPr>
        <w:t> </w:t>
      </w:r>
      <w:r>
        <w:rPr>
          <w:rFonts w:ascii="Arial"/>
          <w:color w:val="312F2F"/>
          <w:w w:val="105"/>
          <w:sz w:val="21"/>
        </w:rPr>
        <w:t>Formats</w:t>
        <w:tab/>
      </w:r>
      <w:r>
        <w:rPr>
          <w:b/>
          <w:color w:val="312F2F"/>
          <w:w w:val="105"/>
          <w:position w:val="3"/>
          <w:sz w:val="22"/>
        </w:rPr>
        <w:t>330</w:t>
      </w:r>
    </w:p>
    <w:p>
      <w:pPr>
        <w:pStyle w:val="ListParagraph"/>
        <w:numPr>
          <w:ilvl w:val="2"/>
          <w:numId w:val="16"/>
        </w:numPr>
        <w:tabs>
          <w:tab w:pos="1539" w:val="left" w:leader="none"/>
          <w:tab w:pos="7651" w:val="right" w:leader="none"/>
        </w:tabs>
        <w:spacing w:line="260" w:lineRule="exact" w:before="0" w:after="0"/>
        <w:ind w:left="1538" w:right="0" w:hanging="730"/>
        <w:jc w:val="left"/>
        <w:rPr>
          <w:b/>
          <w:sz w:val="22"/>
        </w:rPr>
      </w:pPr>
      <w:r>
        <w:rPr>
          <w:rFonts w:ascii="Arial"/>
          <w:color w:val="312F2F"/>
          <w:w w:val="110"/>
          <w:position w:val="1"/>
          <w:sz w:val="21"/>
        </w:rPr>
        <w:t>Long</w:t>
      </w:r>
      <w:r>
        <w:rPr>
          <w:rFonts w:ascii="Arial"/>
          <w:color w:val="312F2F"/>
          <w:spacing w:val="-25"/>
          <w:w w:val="110"/>
          <w:position w:val="1"/>
          <w:sz w:val="21"/>
        </w:rPr>
        <w:t> </w:t>
      </w:r>
      <w:r>
        <w:rPr>
          <w:rFonts w:ascii="Arial"/>
          <w:color w:val="312F2F"/>
          <w:w w:val="110"/>
          <w:position w:val="1"/>
          <w:sz w:val="21"/>
        </w:rPr>
        <w:t>Form</w:t>
        <w:tab/>
      </w:r>
      <w:r>
        <w:rPr>
          <w:b/>
          <w:color w:val="312F2F"/>
          <w:w w:val="110"/>
          <w:position w:val="3"/>
          <w:sz w:val="22"/>
        </w:rPr>
        <w:t>330</w:t>
      </w:r>
    </w:p>
    <w:p>
      <w:pPr>
        <w:pStyle w:val="ListParagraph"/>
        <w:numPr>
          <w:ilvl w:val="2"/>
          <w:numId w:val="16"/>
        </w:numPr>
        <w:tabs>
          <w:tab w:pos="1545" w:val="left" w:leader="none"/>
          <w:tab w:pos="7660" w:val="right" w:leader="none"/>
        </w:tabs>
        <w:spacing w:line="269" w:lineRule="exact" w:before="0" w:after="0"/>
        <w:ind w:left="1544" w:right="0" w:hanging="736"/>
        <w:jc w:val="left"/>
        <w:rPr>
          <w:b/>
          <w:sz w:val="22"/>
        </w:rPr>
      </w:pPr>
      <w:r>
        <w:rPr>
          <w:rFonts w:ascii="Arial"/>
          <w:color w:val="312F2F"/>
          <w:w w:val="105"/>
          <w:position w:val="1"/>
          <w:sz w:val="21"/>
        </w:rPr>
        <w:t>Short</w:t>
      </w:r>
      <w:r>
        <w:rPr>
          <w:rFonts w:ascii="Arial"/>
          <w:color w:val="312F2F"/>
          <w:spacing w:val="-15"/>
          <w:w w:val="105"/>
          <w:position w:val="1"/>
          <w:sz w:val="21"/>
        </w:rPr>
        <w:t> </w:t>
      </w:r>
      <w:r>
        <w:rPr>
          <w:rFonts w:ascii="Arial"/>
          <w:color w:val="312F2F"/>
          <w:w w:val="105"/>
          <w:position w:val="1"/>
          <w:sz w:val="21"/>
        </w:rPr>
        <w:t>Form</w:t>
        <w:tab/>
      </w:r>
      <w:r>
        <w:rPr>
          <w:b/>
          <w:color w:val="312F2F"/>
          <w:w w:val="105"/>
          <w:position w:val="3"/>
          <w:sz w:val="22"/>
        </w:rPr>
        <w:t>332</w:t>
      </w:r>
    </w:p>
    <w:p>
      <w:pPr>
        <w:pStyle w:val="ListParagraph"/>
        <w:numPr>
          <w:ilvl w:val="2"/>
          <w:numId w:val="16"/>
        </w:numPr>
        <w:tabs>
          <w:tab w:pos="1544" w:val="left" w:leader="none"/>
        </w:tabs>
        <w:spacing w:line="246" w:lineRule="exact" w:before="0" w:after="0"/>
        <w:ind w:left="1543" w:right="0" w:hanging="735"/>
        <w:jc w:val="left"/>
        <w:rPr>
          <w:rFonts w:ascii="Arial"/>
          <w:sz w:val="21"/>
        </w:rPr>
      </w:pPr>
      <w:r>
        <w:rPr>
          <w:rFonts w:ascii="Arial"/>
          <w:color w:val="312F2F"/>
          <w:w w:val="105"/>
          <w:position w:val="2"/>
          <w:sz w:val="21"/>
        </w:rPr>
        <w:t>Citing</w:t>
      </w:r>
      <w:r>
        <w:rPr>
          <w:rFonts w:ascii="Arial"/>
          <w:color w:val="312F2F"/>
          <w:spacing w:val="5"/>
          <w:w w:val="105"/>
          <w:position w:val="2"/>
          <w:sz w:val="21"/>
        </w:rPr>
        <w:t> </w:t>
      </w:r>
      <w:r>
        <w:rPr>
          <w:rFonts w:ascii="Arial"/>
          <w:color w:val="312F2F"/>
          <w:w w:val="105"/>
          <w:position w:val="2"/>
          <w:sz w:val="21"/>
        </w:rPr>
        <w:t>to</w:t>
      </w:r>
      <w:r>
        <w:rPr>
          <w:rFonts w:ascii="Arial"/>
          <w:color w:val="312F2F"/>
          <w:spacing w:val="47"/>
          <w:w w:val="105"/>
          <w:position w:val="2"/>
          <w:sz w:val="21"/>
        </w:rPr>
        <w:t> </w:t>
      </w:r>
      <w:r>
        <w:rPr>
          <w:rFonts w:ascii="Arial"/>
          <w:color w:val="312F2F"/>
          <w:w w:val="105"/>
          <w:position w:val="2"/>
          <w:sz w:val="21"/>
        </w:rPr>
        <w:t>Language</w:t>
      </w:r>
      <w:r>
        <w:rPr>
          <w:rFonts w:ascii="Arial"/>
          <w:color w:val="312F2F"/>
          <w:spacing w:val="-7"/>
          <w:w w:val="105"/>
          <w:position w:val="2"/>
          <w:sz w:val="21"/>
        </w:rPr>
        <w:t> </w:t>
      </w:r>
      <w:r>
        <w:rPr>
          <w:rFonts w:ascii="Arial"/>
          <w:color w:val="312F2F"/>
          <w:w w:val="105"/>
          <w:position w:val="2"/>
          <w:sz w:val="21"/>
        </w:rPr>
        <w:t>from</w:t>
      </w:r>
      <w:r>
        <w:rPr>
          <w:rFonts w:ascii="Arial"/>
          <w:color w:val="312F2F"/>
          <w:spacing w:val="-10"/>
          <w:w w:val="105"/>
          <w:position w:val="2"/>
          <w:sz w:val="21"/>
        </w:rPr>
        <w:t> </w:t>
      </w:r>
      <w:r>
        <w:rPr>
          <w:rFonts w:ascii="Arial"/>
          <w:color w:val="312F2F"/>
          <w:w w:val="105"/>
          <w:position w:val="2"/>
          <w:sz w:val="21"/>
        </w:rPr>
        <w:t>Concurring,</w:t>
      </w:r>
      <w:r>
        <w:rPr>
          <w:rFonts w:ascii="Arial"/>
          <w:color w:val="312F2F"/>
          <w:spacing w:val="19"/>
          <w:w w:val="105"/>
          <w:position w:val="2"/>
          <w:sz w:val="21"/>
        </w:rPr>
        <w:t> </w:t>
      </w:r>
      <w:r>
        <w:rPr>
          <w:rFonts w:ascii="Arial"/>
          <w:color w:val="312F2F"/>
          <w:w w:val="105"/>
          <w:position w:val="2"/>
          <w:sz w:val="21"/>
        </w:rPr>
        <w:t>Dissenting,</w:t>
      </w:r>
    </w:p>
    <w:p>
      <w:pPr>
        <w:tabs>
          <w:tab w:pos="7673" w:val="right" w:leader="none"/>
        </w:tabs>
        <w:spacing w:line="254" w:lineRule="exact" w:before="0"/>
        <w:ind w:left="1546" w:right="0" w:firstLine="0"/>
        <w:jc w:val="left"/>
        <w:rPr>
          <w:b/>
          <w:sz w:val="22"/>
        </w:rPr>
      </w:pPr>
      <w:r>
        <w:rPr>
          <w:rFonts w:ascii="Arial"/>
          <w:color w:val="312F2F"/>
          <w:w w:val="105"/>
          <w:sz w:val="21"/>
        </w:rPr>
        <w:t>or</w:t>
      </w:r>
      <w:r>
        <w:rPr>
          <w:rFonts w:ascii="Arial"/>
          <w:color w:val="312F2F"/>
          <w:spacing w:val="12"/>
          <w:w w:val="105"/>
          <w:sz w:val="21"/>
        </w:rPr>
        <w:t> </w:t>
      </w:r>
      <w:r>
        <w:rPr>
          <w:rFonts w:ascii="Arial"/>
          <w:color w:val="312F2F"/>
          <w:w w:val="105"/>
          <w:sz w:val="21"/>
        </w:rPr>
        <w:t>Plurality</w:t>
      </w:r>
      <w:r>
        <w:rPr>
          <w:rFonts w:ascii="Arial"/>
          <w:color w:val="312F2F"/>
          <w:spacing w:val="-11"/>
          <w:w w:val="105"/>
          <w:sz w:val="21"/>
        </w:rPr>
        <w:t> </w:t>
      </w:r>
      <w:r>
        <w:rPr>
          <w:rFonts w:ascii="Arial"/>
          <w:color w:val="312F2F"/>
          <w:w w:val="105"/>
          <w:sz w:val="21"/>
        </w:rPr>
        <w:t>Opinions</w:t>
        <w:tab/>
      </w:r>
      <w:r>
        <w:rPr>
          <w:b/>
          <w:color w:val="312F2F"/>
          <w:w w:val="105"/>
          <w:position w:val="3"/>
          <w:sz w:val="22"/>
        </w:rPr>
        <w:t>333</w:t>
      </w:r>
    </w:p>
    <w:p>
      <w:pPr>
        <w:pStyle w:val="ListParagraph"/>
        <w:numPr>
          <w:ilvl w:val="1"/>
          <w:numId w:val="16"/>
        </w:numPr>
        <w:tabs>
          <w:tab w:pos="810" w:val="left" w:leader="none"/>
          <w:tab w:pos="811" w:val="left" w:leader="none"/>
          <w:tab w:pos="7670" w:val="right" w:leader="none"/>
        </w:tabs>
        <w:spacing w:line="266" w:lineRule="exact" w:before="0" w:after="0"/>
        <w:ind w:left="810" w:right="0" w:hanging="687"/>
        <w:jc w:val="left"/>
        <w:rPr>
          <w:b/>
          <w:sz w:val="22"/>
        </w:rPr>
      </w:pPr>
      <w:r>
        <w:rPr>
          <w:rFonts w:ascii="Arial"/>
          <w:color w:val="312F2F"/>
          <w:w w:val="105"/>
          <w:position w:val="2"/>
          <w:sz w:val="21"/>
        </w:rPr>
        <w:t>Changing</w:t>
      </w:r>
      <w:r>
        <w:rPr>
          <w:rFonts w:ascii="Arial"/>
          <w:color w:val="312F2F"/>
          <w:spacing w:val="-1"/>
          <w:w w:val="105"/>
          <w:position w:val="2"/>
          <w:sz w:val="21"/>
        </w:rPr>
        <w:t> </w:t>
      </w:r>
      <w:r>
        <w:rPr>
          <w:rFonts w:ascii="Arial"/>
          <w:color w:val="3F3F3F"/>
          <w:w w:val="105"/>
          <w:position w:val="2"/>
          <w:sz w:val="21"/>
        </w:rPr>
        <w:t>Sentence</w:t>
      </w:r>
      <w:r>
        <w:rPr>
          <w:rFonts w:ascii="Arial"/>
          <w:color w:val="3F3F3F"/>
          <w:spacing w:val="7"/>
          <w:w w:val="105"/>
          <w:position w:val="2"/>
          <w:sz w:val="21"/>
        </w:rPr>
        <w:t> </w:t>
      </w:r>
      <w:r>
        <w:rPr>
          <w:rFonts w:ascii="Arial"/>
          <w:color w:val="312F2F"/>
          <w:w w:val="105"/>
          <w:position w:val="2"/>
          <w:sz w:val="21"/>
        </w:rPr>
        <w:t>Structure</w:t>
      </w:r>
      <w:r>
        <w:rPr>
          <w:rFonts w:ascii="Arial"/>
          <w:color w:val="312F2F"/>
          <w:spacing w:val="-3"/>
          <w:w w:val="105"/>
          <w:position w:val="2"/>
          <w:sz w:val="21"/>
        </w:rPr>
        <w:t> </w:t>
      </w:r>
      <w:r>
        <w:rPr>
          <w:rFonts w:ascii="Arial"/>
          <w:color w:val="312F2F"/>
          <w:w w:val="105"/>
          <w:position w:val="2"/>
          <w:sz w:val="21"/>
        </w:rPr>
        <w:t>to</w:t>
      </w:r>
      <w:r>
        <w:rPr>
          <w:rFonts w:ascii="Arial"/>
          <w:color w:val="312F2F"/>
          <w:spacing w:val="32"/>
          <w:w w:val="105"/>
          <w:position w:val="2"/>
          <w:sz w:val="21"/>
        </w:rPr>
        <w:t> </w:t>
      </w:r>
      <w:r>
        <w:rPr>
          <w:rFonts w:ascii="Arial"/>
          <w:color w:val="312F2F"/>
          <w:w w:val="105"/>
          <w:position w:val="2"/>
          <w:sz w:val="21"/>
        </w:rPr>
        <w:t>Accommodate</w:t>
      </w:r>
      <w:r>
        <w:rPr>
          <w:rFonts w:ascii="Arial"/>
          <w:color w:val="312F2F"/>
          <w:spacing w:val="9"/>
          <w:w w:val="105"/>
          <w:position w:val="2"/>
          <w:sz w:val="21"/>
        </w:rPr>
        <w:t> </w:t>
      </w:r>
      <w:r>
        <w:rPr>
          <w:rFonts w:ascii="Arial"/>
          <w:color w:val="312F2F"/>
          <w:w w:val="105"/>
          <w:position w:val="2"/>
          <w:sz w:val="21"/>
        </w:rPr>
        <w:t>Citation</w:t>
      </w:r>
      <w:r>
        <w:rPr>
          <w:rFonts w:ascii="Arial"/>
          <w:color w:val="312F2F"/>
          <w:spacing w:val="-12"/>
          <w:w w:val="105"/>
          <w:position w:val="2"/>
          <w:sz w:val="21"/>
        </w:rPr>
        <w:t> </w:t>
      </w:r>
      <w:r>
        <w:rPr>
          <w:rFonts w:ascii="Arial"/>
          <w:color w:val="312F2F"/>
          <w:w w:val="105"/>
          <w:position w:val="2"/>
          <w:sz w:val="21"/>
        </w:rPr>
        <w:t>Form</w:t>
        <w:tab/>
      </w:r>
      <w:r>
        <w:rPr>
          <w:b/>
          <w:color w:val="312F2F"/>
          <w:w w:val="105"/>
          <w:position w:val="4"/>
          <w:sz w:val="22"/>
        </w:rPr>
        <w:t>333</w:t>
      </w:r>
    </w:p>
    <w:p>
      <w:pPr>
        <w:pStyle w:val="ListParagraph"/>
        <w:numPr>
          <w:ilvl w:val="1"/>
          <w:numId w:val="16"/>
        </w:numPr>
        <w:tabs>
          <w:tab w:pos="820" w:val="left" w:leader="none"/>
          <w:tab w:pos="821" w:val="left" w:leader="none"/>
          <w:tab w:pos="7676" w:val="right" w:leader="none"/>
        </w:tabs>
        <w:spacing w:line="260" w:lineRule="exact" w:before="0" w:after="0"/>
        <w:ind w:left="820" w:right="0" w:hanging="697"/>
        <w:jc w:val="left"/>
        <w:rPr>
          <w:b/>
          <w:sz w:val="22"/>
        </w:rPr>
      </w:pPr>
      <w:r>
        <w:rPr>
          <w:rFonts w:ascii="Arial"/>
          <w:color w:val="3F3F3F"/>
          <w:w w:val="105"/>
          <w:position w:val="1"/>
          <w:sz w:val="21"/>
        </w:rPr>
        <w:t>Statutory</w:t>
      </w:r>
      <w:r>
        <w:rPr>
          <w:rFonts w:ascii="Arial"/>
          <w:color w:val="3F3F3F"/>
          <w:spacing w:val="-1"/>
          <w:w w:val="105"/>
          <w:position w:val="1"/>
          <w:sz w:val="21"/>
        </w:rPr>
        <w:t> </w:t>
      </w:r>
      <w:r>
        <w:rPr>
          <w:rFonts w:ascii="Arial"/>
          <w:color w:val="312F2F"/>
          <w:w w:val="105"/>
          <w:position w:val="1"/>
          <w:sz w:val="21"/>
        </w:rPr>
        <w:t>Citations</w:t>
        <w:tab/>
      </w:r>
      <w:r>
        <w:rPr>
          <w:b/>
          <w:color w:val="312F2F"/>
          <w:w w:val="105"/>
          <w:position w:val="4"/>
          <w:sz w:val="22"/>
        </w:rPr>
        <w:t>335</w:t>
      </w:r>
    </w:p>
    <w:p>
      <w:pPr>
        <w:pStyle w:val="ListParagraph"/>
        <w:numPr>
          <w:ilvl w:val="1"/>
          <w:numId w:val="16"/>
        </w:numPr>
        <w:tabs>
          <w:tab w:pos="810" w:val="left" w:leader="none"/>
          <w:tab w:pos="811" w:val="left" w:leader="none"/>
          <w:tab w:pos="7670" w:val="right" w:leader="none"/>
        </w:tabs>
        <w:spacing w:line="255" w:lineRule="exact" w:before="0" w:after="0"/>
        <w:ind w:left="810" w:right="0" w:hanging="687"/>
        <w:jc w:val="left"/>
        <w:rPr>
          <w:b/>
          <w:sz w:val="22"/>
        </w:rPr>
      </w:pPr>
      <w:r>
        <w:rPr>
          <w:rFonts w:ascii="Arial"/>
          <w:color w:val="312F2F"/>
          <w:w w:val="105"/>
          <w:position w:val="1"/>
          <w:sz w:val="21"/>
        </w:rPr>
        <w:t>Common</w:t>
      </w:r>
      <w:r>
        <w:rPr>
          <w:rFonts w:ascii="Arial"/>
          <w:color w:val="312F2F"/>
          <w:spacing w:val="-14"/>
          <w:w w:val="105"/>
          <w:position w:val="1"/>
          <w:sz w:val="21"/>
        </w:rPr>
        <w:t> </w:t>
      </w:r>
      <w:r>
        <w:rPr>
          <w:rFonts w:ascii="Arial"/>
          <w:color w:val="312F2F"/>
          <w:w w:val="105"/>
          <w:position w:val="1"/>
          <w:sz w:val="21"/>
        </w:rPr>
        <w:t>Punctuation</w:t>
      </w:r>
      <w:r>
        <w:rPr>
          <w:rFonts w:ascii="Arial"/>
          <w:color w:val="312F2F"/>
          <w:spacing w:val="-18"/>
          <w:w w:val="105"/>
          <w:position w:val="1"/>
          <w:sz w:val="21"/>
        </w:rPr>
        <w:t> </w:t>
      </w:r>
      <w:r>
        <w:rPr>
          <w:rFonts w:ascii="Arial"/>
          <w:color w:val="312F2F"/>
          <w:w w:val="105"/>
          <w:position w:val="1"/>
          <w:sz w:val="21"/>
        </w:rPr>
        <w:t>Problems</w:t>
        <w:tab/>
      </w:r>
      <w:r>
        <w:rPr>
          <w:b/>
          <w:color w:val="312F2F"/>
          <w:w w:val="105"/>
          <w:position w:val="3"/>
          <w:sz w:val="22"/>
        </w:rPr>
        <w:t>336</w:t>
      </w:r>
    </w:p>
    <w:p>
      <w:pPr>
        <w:pStyle w:val="ListParagraph"/>
        <w:numPr>
          <w:ilvl w:val="2"/>
          <w:numId w:val="16"/>
        </w:numPr>
        <w:tabs>
          <w:tab w:pos="1555" w:val="left" w:leader="none"/>
          <w:tab w:pos="7676" w:val="right" w:leader="none"/>
        </w:tabs>
        <w:spacing w:line="250" w:lineRule="exact" w:before="0" w:after="0"/>
        <w:ind w:left="1554" w:right="0" w:hanging="736"/>
        <w:jc w:val="left"/>
        <w:rPr>
          <w:b/>
          <w:sz w:val="22"/>
        </w:rPr>
      </w:pPr>
      <w:r>
        <w:rPr>
          <w:rFonts w:ascii="Arial"/>
          <w:color w:val="312F2F"/>
          <w:w w:val="105"/>
          <w:sz w:val="21"/>
        </w:rPr>
        <w:t>Apostrophe</w:t>
      </w:r>
      <w:r>
        <w:rPr>
          <w:rFonts w:ascii="Arial"/>
          <w:color w:val="312F2F"/>
          <w:spacing w:val="-6"/>
          <w:w w:val="105"/>
          <w:sz w:val="21"/>
        </w:rPr>
        <w:t> </w:t>
      </w:r>
      <w:r>
        <w:rPr>
          <w:rFonts w:ascii="Arial"/>
          <w:color w:val="312F2F"/>
          <w:w w:val="105"/>
          <w:sz w:val="21"/>
        </w:rPr>
        <w:t>Problems</w:t>
        <w:tab/>
      </w:r>
      <w:r>
        <w:rPr>
          <w:b/>
          <w:color w:val="312F2F"/>
          <w:w w:val="105"/>
          <w:position w:val="2"/>
          <w:sz w:val="22"/>
        </w:rPr>
        <w:t>336</w:t>
      </w:r>
    </w:p>
    <w:p>
      <w:pPr>
        <w:pStyle w:val="ListParagraph"/>
        <w:numPr>
          <w:ilvl w:val="3"/>
          <w:numId w:val="16"/>
        </w:numPr>
        <w:tabs>
          <w:tab w:pos="1929" w:val="left" w:leader="none"/>
          <w:tab w:pos="7689" w:val="right" w:leader="none"/>
        </w:tabs>
        <w:spacing w:line="261" w:lineRule="exact" w:before="0" w:after="0"/>
        <w:ind w:left="1928" w:right="0" w:hanging="377"/>
        <w:jc w:val="left"/>
        <w:rPr>
          <w:b/>
          <w:sz w:val="22"/>
        </w:rPr>
      </w:pPr>
      <w:r>
        <w:rPr>
          <w:rFonts w:ascii="Arial"/>
          <w:color w:val="3F3F3F"/>
          <w:w w:val="105"/>
          <w:position w:val="1"/>
          <w:sz w:val="21"/>
        </w:rPr>
        <w:t>Common</w:t>
      </w:r>
      <w:r>
        <w:rPr>
          <w:rFonts w:ascii="Arial"/>
          <w:color w:val="3F3F3F"/>
          <w:spacing w:val="-13"/>
          <w:w w:val="105"/>
          <w:position w:val="1"/>
          <w:sz w:val="21"/>
        </w:rPr>
        <w:t> </w:t>
      </w:r>
      <w:r>
        <w:rPr>
          <w:rFonts w:ascii="Arial"/>
          <w:color w:val="312F2F"/>
          <w:w w:val="105"/>
          <w:position w:val="1"/>
          <w:sz w:val="21"/>
        </w:rPr>
        <w:t>Homonym</w:t>
      </w:r>
      <w:r>
        <w:rPr>
          <w:rFonts w:ascii="Arial"/>
          <w:color w:val="312F2F"/>
          <w:spacing w:val="-7"/>
          <w:w w:val="105"/>
          <w:position w:val="1"/>
          <w:sz w:val="21"/>
        </w:rPr>
        <w:t> </w:t>
      </w:r>
      <w:r>
        <w:rPr>
          <w:rFonts w:ascii="Arial"/>
          <w:color w:val="312F2F"/>
          <w:w w:val="105"/>
          <w:position w:val="1"/>
          <w:sz w:val="21"/>
        </w:rPr>
        <w:t>Problems</w:t>
        <w:tab/>
      </w:r>
      <w:r>
        <w:rPr>
          <w:b/>
          <w:color w:val="312F2F"/>
          <w:w w:val="105"/>
          <w:position w:val="3"/>
          <w:sz w:val="22"/>
        </w:rPr>
        <w:t>337</w:t>
      </w:r>
    </w:p>
    <w:p>
      <w:pPr>
        <w:pStyle w:val="ListParagraph"/>
        <w:numPr>
          <w:ilvl w:val="3"/>
          <w:numId w:val="16"/>
        </w:numPr>
        <w:tabs>
          <w:tab w:pos="1943" w:val="left" w:leader="none"/>
          <w:tab w:pos="7646" w:val="right" w:leader="none"/>
        </w:tabs>
        <w:spacing w:line="260" w:lineRule="exact" w:before="0" w:after="0"/>
        <w:ind w:left="1942" w:right="0" w:hanging="375"/>
        <w:jc w:val="left"/>
        <w:rPr>
          <w:b/>
          <w:sz w:val="22"/>
        </w:rPr>
      </w:pPr>
      <w:r>
        <w:rPr>
          <w:rFonts w:ascii="Arial"/>
          <w:color w:val="312F2F"/>
          <w:w w:val="95"/>
          <w:sz w:val="21"/>
        </w:rPr>
        <w:t>Rules</w:t>
      </w:r>
      <w:r>
        <w:rPr>
          <w:rFonts w:ascii="Arial"/>
          <w:color w:val="312F2F"/>
          <w:spacing w:val="-10"/>
          <w:w w:val="95"/>
          <w:sz w:val="21"/>
        </w:rPr>
        <w:t> </w:t>
      </w:r>
      <w:r>
        <w:rPr>
          <w:rFonts w:ascii="Arial"/>
          <w:color w:val="312F2F"/>
          <w:w w:val="95"/>
          <w:sz w:val="21"/>
        </w:rPr>
        <w:t>of</w:t>
      </w:r>
      <w:r>
        <w:rPr>
          <w:rFonts w:ascii="Arial"/>
          <w:color w:val="312F2F"/>
          <w:spacing w:val="35"/>
          <w:w w:val="95"/>
          <w:sz w:val="21"/>
        </w:rPr>
        <w:t> </w:t>
      </w:r>
      <w:r>
        <w:rPr>
          <w:rFonts w:ascii="Arial"/>
          <w:color w:val="312F2F"/>
          <w:w w:val="95"/>
          <w:sz w:val="21"/>
        </w:rPr>
        <w:t>Possessives</w:t>
        <w:tab/>
      </w:r>
      <w:r>
        <w:rPr>
          <w:b/>
          <w:color w:val="312F2F"/>
          <w:w w:val="95"/>
          <w:position w:val="3"/>
          <w:sz w:val="22"/>
        </w:rPr>
        <w:t>338</w:t>
      </w:r>
    </w:p>
    <w:p>
      <w:pPr>
        <w:pStyle w:val="ListParagraph"/>
        <w:numPr>
          <w:ilvl w:val="2"/>
          <w:numId w:val="16"/>
        </w:numPr>
        <w:tabs>
          <w:tab w:pos="1564" w:val="left" w:leader="none"/>
          <w:tab w:pos="7676" w:val="right" w:leader="none"/>
        </w:tabs>
        <w:spacing w:line="258" w:lineRule="exact" w:before="0" w:after="0"/>
        <w:ind w:left="1563" w:right="0" w:hanging="736"/>
        <w:jc w:val="left"/>
        <w:rPr>
          <w:b/>
          <w:sz w:val="22"/>
        </w:rPr>
      </w:pPr>
      <w:r>
        <w:rPr>
          <w:rFonts w:ascii="Arial"/>
          <w:color w:val="312F2F"/>
          <w:position w:val="1"/>
          <w:sz w:val="21"/>
        </w:rPr>
        <w:t>Semicolon</w:t>
      </w:r>
      <w:r>
        <w:rPr>
          <w:rFonts w:ascii="Arial"/>
          <w:color w:val="312F2F"/>
          <w:spacing w:val="1"/>
          <w:position w:val="1"/>
          <w:sz w:val="21"/>
        </w:rPr>
        <w:t> </w:t>
      </w:r>
      <w:r>
        <w:rPr>
          <w:rFonts w:ascii="Arial"/>
          <w:color w:val="312F2F"/>
          <w:position w:val="1"/>
          <w:sz w:val="21"/>
        </w:rPr>
        <w:t>Use</w:t>
        <w:tab/>
      </w:r>
      <w:r>
        <w:rPr>
          <w:b/>
          <w:color w:val="312F2F"/>
          <w:position w:val="3"/>
          <w:sz w:val="22"/>
        </w:rPr>
        <w:t>339</w:t>
      </w:r>
    </w:p>
    <w:p>
      <w:pPr>
        <w:pStyle w:val="ListParagraph"/>
        <w:numPr>
          <w:ilvl w:val="2"/>
          <w:numId w:val="16"/>
        </w:numPr>
        <w:tabs>
          <w:tab w:pos="1563" w:val="left" w:leader="none"/>
          <w:tab w:pos="7729" w:val="right" w:leader="none"/>
        </w:tabs>
        <w:spacing w:line="272" w:lineRule="exact" w:before="0" w:after="0"/>
        <w:ind w:left="1562" w:right="0" w:hanging="735"/>
        <w:jc w:val="left"/>
        <w:rPr>
          <w:rFonts w:ascii="Arial"/>
          <w:b/>
          <w:sz w:val="22"/>
        </w:rPr>
      </w:pPr>
      <w:r>
        <w:rPr>
          <w:rFonts w:ascii="Arial"/>
          <w:color w:val="312F2F"/>
          <w:w w:val="105"/>
          <w:position w:val="1"/>
          <w:sz w:val="21"/>
        </w:rPr>
        <w:t>Common</w:t>
      </w:r>
      <w:r>
        <w:rPr>
          <w:rFonts w:ascii="Arial"/>
          <w:color w:val="312F2F"/>
          <w:spacing w:val="-18"/>
          <w:w w:val="105"/>
          <w:position w:val="1"/>
          <w:sz w:val="21"/>
        </w:rPr>
        <w:t> </w:t>
      </w:r>
      <w:r>
        <w:rPr>
          <w:rFonts w:ascii="Arial"/>
          <w:color w:val="312F2F"/>
          <w:w w:val="105"/>
          <w:position w:val="1"/>
          <w:sz w:val="21"/>
        </w:rPr>
        <w:t>Comma</w:t>
      </w:r>
      <w:r>
        <w:rPr>
          <w:rFonts w:ascii="Arial"/>
          <w:color w:val="312F2F"/>
          <w:spacing w:val="4"/>
          <w:w w:val="105"/>
          <w:position w:val="1"/>
          <w:sz w:val="21"/>
        </w:rPr>
        <w:t> </w:t>
      </w:r>
      <w:r>
        <w:rPr>
          <w:rFonts w:ascii="Arial"/>
          <w:color w:val="312F2F"/>
          <w:w w:val="105"/>
          <w:position w:val="1"/>
          <w:sz w:val="21"/>
        </w:rPr>
        <w:t>Problems</w:t>
        <w:tab/>
      </w:r>
      <w:r>
        <w:rPr>
          <w:rFonts w:ascii="Arial"/>
          <w:b/>
          <w:color w:val="312F2F"/>
          <w:w w:val="105"/>
          <w:position w:val="3"/>
          <w:sz w:val="22"/>
        </w:rPr>
        <w:t>340</w:t>
      </w:r>
    </w:p>
    <w:p>
      <w:pPr>
        <w:spacing w:before="412"/>
        <w:ind w:left="134" w:right="0" w:firstLine="0"/>
        <w:jc w:val="left"/>
        <w:rPr>
          <w:b/>
          <w:sz w:val="22"/>
        </w:rPr>
      </w:pPr>
      <w:r>
        <w:rPr>
          <w:b/>
          <w:color w:val="312F2F"/>
          <w:w w:val="90"/>
          <w:sz w:val="22"/>
        </w:rPr>
        <w:t>APPENDIX</w:t>
      </w:r>
      <w:r>
        <w:rPr>
          <w:b/>
          <w:color w:val="312F2F"/>
          <w:spacing w:val="7"/>
          <w:w w:val="90"/>
          <w:sz w:val="22"/>
        </w:rPr>
        <w:t> </w:t>
      </w:r>
      <w:r>
        <w:rPr>
          <w:b/>
          <w:color w:val="312F2F"/>
          <w:w w:val="90"/>
          <w:sz w:val="22"/>
        </w:rPr>
        <w:t>B</w:t>
      </w:r>
    </w:p>
    <w:p>
      <w:pPr>
        <w:tabs>
          <w:tab w:pos="7751" w:val="right" w:leader="none"/>
        </w:tabs>
        <w:spacing w:before="35"/>
        <w:ind w:left="155" w:right="0" w:firstLine="0"/>
        <w:jc w:val="left"/>
        <w:rPr>
          <w:b/>
          <w:sz w:val="22"/>
        </w:rPr>
      </w:pPr>
      <w:r>
        <w:rPr>
          <w:rFonts w:ascii="Arial"/>
          <w:color w:val="858789"/>
          <w:w w:val="105"/>
          <w:sz w:val="24"/>
        </w:rPr>
        <w:t>FOR</w:t>
      </w:r>
      <w:r>
        <w:rPr>
          <w:rFonts w:ascii="Arial"/>
          <w:color w:val="858789"/>
          <w:spacing w:val="27"/>
          <w:w w:val="105"/>
          <w:sz w:val="24"/>
        </w:rPr>
        <w:t> </w:t>
      </w:r>
      <w:r>
        <w:rPr>
          <w:rFonts w:ascii="Arial"/>
          <w:color w:val="979A9C"/>
          <w:w w:val="105"/>
          <w:sz w:val="24"/>
        </w:rPr>
        <w:t>REFERENCE</w:t>
      </w:r>
      <w:r>
        <w:rPr>
          <w:rFonts w:ascii="Arial"/>
          <w:color w:val="757779"/>
          <w:w w:val="105"/>
          <w:sz w:val="24"/>
        </w:rPr>
        <w:t>:</w:t>
      </w:r>
      <w:r>
        <w:rPr>
          <w:rFonts w:ascii="Arial"/>
          <w:color w:val="757779"/>
          <w:spacing w:val="31"/>
          <w:w w:val="105"/>
          <w:sz w:val="24"/>
        </w:rPr>
        <w:t> </w:t>
      </w:r>
      <w:r>
        <w:rPr>
          <w:rFonts w:ascii="Arial"/>
          <w:color w:val="757779"/>
          <w:w w:val="105"/>
          <w:sz w:val="24"/>
        </w:rPr>
        <w:t>COURT</w:t>
      </w:r>
      <w:r>
        <w:rPr>
          <w:rFonts w:ascii="Arial"/>
          <w:color w:val="757779"/>
          <w:spacing w:val="21"/>
          <w:w w:val="105"/>
          <w:sz w:val="24"/>
        </w:rPr>
        <w:t> </w:t>
      </w:r>
      <w:r>
        <w:rPr>
          <w:rFonts w:ascii="Arial"/>
          <w:color w:val="858789"/>
          <w:w w:val="105"/>
          <w:sz w:val="24"/>
        </w:rPr>
        <w:t>WEB </w:t>
      </w:r>
      <w:r>
        <w:rPr>
          <w:rFonts w:ascii="Arial"/>
          <w:color w:val="858789"/>
          <w:spacing w:val="2"/>
          <w:w w:val="105"/>
          <w:sz w:val="24"/>
        </w:rPr>
        <w:t> </w:t>
      </w:r>
      <w:r>
        <w:rPr>
          <w:rFonts w:ascii="Arial"/>
          <w:color w:val="858789"/>
          <w:w w:val="105"/>
          <w:sz w:val="24"/>
        </w:rPr>
        <w:t>SITE INFORMATION</w:t>
        <w:tab/>
      </w:r>
      <w:r>
        <w:rPr>
          <w:b/>
          <w:color w:val="312F2F"/>
          <w:w w:val="105"/>
          <w:sz w:val="22"/>
        </w:rPr>
        <w:t>343</w:t>
      </w:r>
    </w:p>
    <w:p>
      <w:pPr>
        <w:spacing w:before="399"/>
        <w:ind w:left="134" w:right="0" w:firstLine="0"/>
        <w:jc w:val="left"/>
        <w:rPr>
          <w:b/>
          <w:sz w:val="22"/>
        </w:rPr>
      </w:pPr>
      <w:r>
        <w:rPr>
          <w:b/>
          <w:color w:val="312F2F"/>
          <w:sz w:val="22"/>
        </w:rPr>
        <w:t>APPENDIXC</w:t>
      </w:r>
    </w:p>
    <w:p>
      <w:pPr>
        <w:tabs>
          <w:tab w:pos="7730" w:val="right" w:leader="none"/>
        </w:tabs>
        <w:spacing w:before="28"/>
        <w:ind w:left="168" w:right="0" w:firstLine="0"/>
        <w:jc w:val="left"/>
        <w:rPr>
          <w:b/>
          <w:sz w:val="22"/>
        </w:rPr>
      </w:pPr>
      <w:r>
        <w:rPr>
          <w:color w:val="979A9C"/>
          <w:sz w:val="26"/>
        </w:rPr>
        <w:t>SAMPLE</w:t>
      </w:r>
      <w:r>
        <w:rPr>
          <w:color w:val="979A9C"/>
          <w:spacing w:val="53"/>
          <w:sz w:val="26"/>
        </w:rPr>
        <w:t> </w:t>
      </w:r>
      <w:r>
        <w:rPr>
          <w:color w:val="979A9C"/>
          <w:sz w:val="26"/>
        </w:rPr>
        <w:t>BRIEF</w:t>
      </w:r>
      <w:r>
        <w:rPr>
          <w:color w:val="757779"/>
          <w:sz w:val="26"/>
        </w:rPr>
        <w:t>S</w:t>
        <w:tab/>
      </w:r>
      <w:r>
        <w:rPr>
          <w:b/>
          <w:color w:val="312F2F"/>
          <w:sz w:val="22"/>
        </w:rPr>
        <w:t>345</w:t>
      </w:r>
    </w:p>
    <w:p>
      <w:pPr>
        <w:tabs>
          <w:tab w:pos="7750" w:val="right" w:leader="none"/>
        </w:tabs>
        <w:spacing w:before="113"/>
        <w:ind w:left="139" w:right="0" w:firstLine="0"/>
        <w:jc w:val="left"/>
        <w:rPr>
          <w:b/>
          <w:sz w:val="22"/>
        </w:rPr>
      </w:pPr>
      <w:r>
        <w:rPr>
          <w:rFonts w:ascii="Arial"/>
          <w:color w:val="312F2F"/>
          <w:w w:val="105"/>
          <w:sz w:val="21"/>
        </w:rPr>
        <w:t>Petitioner:</w:t>
      </w:r>
      <w:r>
        <w:rPr>
          <w:rFonts w:ascii="Arial"/>
          <w:color w:val="312F2F"/>
          <w:spacing w:val="-1"/>
          <w:w w:val="105"/>
          <w:sz w:val="21"/>
        </w:rPr>
        <w:t> </w:t>
      </w:r>
      <w:r>
        <w:rPr>
          <w:rFonts w:ascii="Arial"/>
          <w:i/>
          <w:color w:val="312F2F"/>
          <w:w w:val="105"/>
          <w:sz w:val="21"/>
        </w:rPr>
        <w:t>Minnesota</w:t>
      </w:r>
      <w:r>
        <w:rPr>
          <w:rFonts w:ascii="Arial"/>
          <w:i/>
          <w:color w:val="312F2F"/>
          <w:spacing w:val="-20"/>
          <w:w w:val="105"/>
          <w:sz w:val="21"/>
        </w:rPr>
        <w:t> </w:t>
      </w:r>
      <w:r>
        <w:rPr>
          <w:rFonts w:ascii="Arial"/>
          <w:i/>
          <w:color w:val="312F2F"/>
          <w:w w:val="105"/>
          <w:sz w:val="22"/>
        </w:rPr>
        <w:t>v.</w:t>
      </w:r>
      <w:r>
        <w:rPr>
          <w:rFonts w:ascii="Arial"/>
          <w:i/>
          <w:color w:val="312F2F"/>
          <w:spacing w:val="-28"/>
          <w:w w:val="105"/>
          <w:sz w:val="22"/>
        </w:rPr>
        <w:t> </w:t>
      </w:r>
      <w:r>
        <w:rPr>
          <w:rFonts w:ascii="Arial"/>
          <w:i/>
          <w:color w:val="312F2F"/>
          <w:w w:val="105"/>
          <w:sz w:val="21"/>
        </w:rPr>
        <w:t>Carter</w:t>
        <w:tab/>
      </w:r>
      <w:r>
        <w:rPr>
          <w:b/>
          <w:color w:val="312F2F"/>
          <w:w w:val="105"/>
          <w:sz w:val="22"/>
        </w:rPr>
        <w:t>347</w:t>
      </w:r>
    </w:p>
    <w:p>
      <w:pPr>
        <w:tabs>
          <w:tab w:pos="7743" w:val="right" w:leader="none"/>
        </w:tabs>
        <w:spacing w:before="7"/>
        <w:ind w:left="148" w:right="0" w:firstLine="0"/>
        <w:jc w:val="left"/>
        <w:rPr>
          <w:b/>
          <w:sz w:val="22"/>
        </w:rPr>
      </w:pPr>
      <w:r>
        <w:rPr>
          <w:rFonts w:ascii="Arial"/>
          <w:color w:val="312F2F"/>
          <w:sz w:val="21"/>
        </w:rPr>
        <w:t>Respondent:</w:t>
      </w:r>
      <w:r>
        <w:rPr>
          <w:rFonts w:ascii="Arial"/>
          <w:color w:val="312F2F"/>
          <w:spacing w:val="8"/>
          <w:sz w:val="21"/>
        </w:rPr>
        <w:t> </w:t>
      </w:r>
      <w:r>
        <w:rPr>
          <w:rFonts w:ascii="Arial"/>
          <w:i/>
          <w:color w:val="312F2F"/>
          <w:sz w:val="21"/>
        </w:rPr>
        <w:t>Minnesota</w:t>
      </w:r>
      <w:r>
        <w:rPr>
          <w:rFonts w:ascii="Arial"/>
          <w:i/>
          <w:color w:val="312F2F"/>
          <w:spacing w:val="-5"/>
          <w:sz w:val="21"/>
        </w:rPr>
        <w:t> </w:t>
      </w:r>
      <w:r>
        <w:rPr>
          <w:rFonts w:ascii="Arial"/>
          <w:i/>
          <w:color w:val="312F2F"/>
          <w:sz w:val="21"/>
        </w:rPr>
        <w:t>v.</w:t>
      </w:r>
      <w:r>
        <w:rPr>
          <w:rFonts w:ascii="Arial"/>
          <w:i/>
          <w:color w:val="312F2F"/>
          <w:spacing w:val="-7"/>
          <w:sz w:val="21"/>
        </w:rPr>
        <w:t> </w:t>
      </w:r>
      <w:r>
        <w:rPr>
          <w:rFonts w:ascii="Arial"/>
          <w:i/>
          <w:color w:val="312F2F"/>
          <w:sz w:val="21"/>
        </w:rPr>
        <w:t>Carter</w:t>
        <w:tab/>
      </w:r>
      <w:r>
        <w:rPr>
          <w:b/>
          <w:color w:val="312F2F"/>
          <w:sz w:val="22"/>
        </w:rPr>
        <w:t>377</w:t>
      </w:r>
    </w:p>
    <w:p>
      <w:pPr>
        <w:tabs>
          <w:tab w:pos="7766" w:val="right" w:leader="none"/>
        </w:tabs>
        <w:spacing w:line="252" w:lineRule="exact" w:before="7"/>
        <w:ind w:left="149" w:right="0" w:firstLine="0"/>
        <w:jc w:val="left"/>
        <w:rPr>
          <w:b/>
          <w:sz w:val="22"/>
        </w:rPr>
      </w:pPr>
      <w:r>
        <w:rPr>
          <w:rFonts w:ascii="Arial"/>
          <w:color w:val="3F3F3F"/>
          <w:w w:val="105"/>
          <w:sz w:val="21"/>
        </w:rPr>
        <w:t>Petitioner:</w:t>
      </w:r>
      <w:r>
        <w:rPr>
          <w:rFonts w:ascii="Arial"/>
          <w:color w:val="3F3F3F"/>
          <w:spacing w:val="-10"/>
          <w:w w:val="105"/>
          <w:sz w:val="21"/>
        </w:rPr>
        <w:t> </w:t>
      </w:r>
      <w:r>
        <w:rPr>
          <w:rFonts w:ascii="Arial"/>
          <w:i/>
          <w:color w:val="312F2F"/>
          <w:w w:val="105"/>
          <w:sz w:val="21"/>
        </w:rPr>
        <w:t>Miller</w:t>
      </w:r>
      <w:r>
        <w:rPr>
          <w:rFonts w:ascii="Arial"/>
          <w:i/>
          <w:color w:val="312F2F"/>
          <w:spacing w:val="1"/>
          <w:w w:val="105"/>
          <w:sz w:val="21"/>
        </w:rPr>
        <w:t> </w:t>
      </w:r>
      <w:r>
        <w:rPr>
          <w:rFonts w:ascii="Arial"/>
          <w:i/>
          <w:color w:val="312F2F"/>
          <w:w w:val="105"/>
          <w:sz w:val="21"/>
        </w:rPr>
        <w:t>v.</w:t>
      </w:r>
      <w:r>
        <w:rPr>
          <w:rFonts w:ascii="Arial"/>
          <w:i/>
          <w:color w:val="312F2F"/>
          <w:spacing w:val="-20"/>
          <w:w w:val="105"/>
          <w:sz w:val="21"/>
        </w:rPr>
        <w:t> </w:t>
      </w:r>
      <w:r>
        <w:rPr>
          <w:rFonts w:ascii="Arial"/>
          <w:i/>
          <w:color w:val="312F2F"/>
          <w:w w:val="105"/>
          <w:sz w:val="21"/>
        </w:rPr>
        <w:t>Albright</w:t>
        <w:tab/>
      </w:r>
      <w:r>
        <w:rPr>
          <w:b/>
          <w:color w:val="312F2F"/>
          <w:w w:val="105"/>
          <w:sz w:val="22"/>
        </w:rPr>
        <w:t>395</w:t>
      </w:r>
    </w:p>
    <w:p>
      <w:pPr>
        <w:tabs>
          <w:tab w:pos="7758" w:val="right" w:leader="none"/>
        </w:tabs>
        <w:spacing w:line="252" w:lineRule="exact" w:before="0"/>
        <w:ind w:left="149" w:right="0" w:firstLine="0"/>
        <w:jc w:val="left"/>
        <w:rPr>
          <w:b/>
          <w:sz w:val="22"/>
        </w:rPr>
      </w:pPr>
      <w:r>
        <w:rPr>
          <w:rFonts w:ascii="Arial"/>
          <w:color w:val="312F2F"/>
          <w:sz w:val="21"/>
        </w:rPr>
        <w:t>Defendant:</w:t>
      </w:r>
      <w:r>
        <w:rPr>
          <w:rFonts w:ascii="Arial"/>
          <w:color w:val="312F2F"/>
          <w:spacing w:val="1"/>
          <w:sz w:val="21"/>
        </w:rPr>
        <w:t> </w:t>
      </w:r>
      <w:r>
        <w:rPr>
          <w:rFonts w:ascii="Arial"/>
          <w:i/>
          <w:color w:val="312F2F"/>
          <w:sz w:val="21"/>
        </w:rPr>
        <w:t>Herman</w:t>
      </w:r>
      <w:r>
        <w:rPr>
          <w:rFonts w:ascii="Arial"/>
          <w:i/>
          <w:color w:val="312F2F"/>
          <w:spacing w:val="-4"/>
          <w:sz w:val="21"/>
        </w:rPr>
        <w:t> </w:t>
      </w:r>
      <w:r>
        <w:rPr>
          <w:rFonts w:ascii="Arial"/>
          <w:i/>
          <w:color w:val="312F2F"/>
          <w:sz w:val="21"/>
        </w:rPr>
        <w:t>v</w:t>
      </w:r>
      <w:r>
        <w:rPr>
          <w:rFonts w:ascii="Arial"/>
          <w:i/>
          <w:color w:val="646667"/>
          <w:sz w:val="21"/>
        </w:rPr>
        <w:t>.</w:t>
      </w:r>
      <w:r>
        <w:rPr>
          <w:rFonts w:ascii="Arial"/>
          <w:i/>
          <w:color w:val="646667"/>
          <w:spacing w:val="-5"/>
          <w:sz w:val="21"/>
        </w:rPr>
        <w:t> </w:t>
      </w:r>
      <w:r>
        <w:rPr>
          <w:rFonts w:ascii="Arial"/>
          <w:i/>
          <w:color w:val="3F3F3F"/>
          <w:sz w:val="21"/>
        </w:rPr>
        <w:t>Sports-R-Us</w:t>
      </w:r>
      <w:r>
        <w:rPr>
          <w:rFonts w:ascii="Arial"/>
          <w:i/>
          <w:color w:val="3F3F3F"/>
          <w:spacing w:val="17"/>
          <w:sz w:val="21"/>
        </w:rPr>
        <w:t> </w:t>
      </w:r>
      <w:r>
        <w:rPr>
          <w:rFonts w:ascii="Arial"/>
          <w:i/>
          <w:color w:val="312F2F"/>
          <w:sz w:val="21"/>
        </w:rPr>
        <w:t>Publications,</w:t>
      </w:r>
      <w:r>
        <w:rPr>
          <w:rFonts w:ascii="Arial"/>
          <w:i/>
          <w:color w:val="312F2F"/>
          <w:spacing w:val="9"/>
          <w:sz w:val="21"/>
        </w:rPr>
        <w:t> </w:t>
      </w:r>
      <w:r>
        <w:rPr>
          <w:rFonts w:ascii="Arial"/>
          <w:i/>
          <w:color w:val="312F2F"/>
          <w:sz w:val="21"/>
        </w:rPr>
        <w:t>Inc.</w:t>
        <w:tab/>
      </w:r>
      <w:r>
        <w:rPr>
          <w:b/>
          <w:color w:val="312F2F"/>
          <w:sz w:val="22"/>
        </w:rPr>
        <w:t>417</w:t>
      </w:r>
    </w:p>
    <w:p>
      <w:pPr>
        <w:tabs>
          <w:tab w:pos="7816" w:val="right" w:leader="none"/>
        </w:tabs>
        <w:spacing w:before="121"/>
        <w:ind w:left="153" w:right="0" w:firstLine="0"/>
        <w:jc w:val="left"/>
        <w:rPr>
          <w:rFonts w:ascii="Arial"/>
          <w:i/>
          <w:sz w:val="21"/>
        </w:rPr>
      </w:pPr>
      <w:r>
        <w:rPr>
          <w:rFonts w:ascii="Arial"/>
          <w:i/>
          <w:color w:val="312F2F"/>
          <w:sz w:val="21"/>
        </w:rPr>
        <w:t>Index</w:t>
        <w:tab/>
        <w:t>427</w:t>
      </w:r>
    </w:p>
    <w:p>
      <w:pPr>
        <w:spacing w:after="0"/>
        <w:jc w:val="left"/>
        <w:rPr>
          <w:rFonts w:ascii="Arial"/>
          <w:sz w:val="21"/>
        </w:rPr>
        <w:sectPr>
          <w:pgSz w:w="9650" w:h="13770"/>
          <w:pgMar w:header="443" w:footer="0" w:top="1020" w:bottom="280" w:left="500" w:right="1220"/>
        </w:sectPr>
      </w:pPr>
    </w:p>
    <w:p>
      <w:pPr>
        <w:pStyle w:val="BodyText"/>
        <w:rPr>
          <w:rFonts w:ascii="Arial"/>
          <w:i/>
          <w:sz w:val="50"/>
        </w:rPr>
      </w:pPr>
    </w:p>
    <w:p>
      <w:pPr>
        <w:spacing w:before="447"/>
        <w:ind w:left="725" w:right="0" w:firstLine="0"/>
        <w:jc w:val="left"/>
        <w:rPr>
          <w:rFonts w:ascii="Arial"/>
          <w:sz w:val="42"/>
        </w:rPr>
      </w:pPr>
      <w:r>
        <w:rPr>
          <w:rFonts w:ascii="Arial"/>
          <w:color w:val="7E8083"/>
          <w:w w:val="105"/>
          <w:sz w:val="42"/>
        </w:rPr>
        <w:t>Using</w:t>
      </w:r>
      <w:r>
        <w:rPr>
          <w:rFonts w:ascii="Arial"/>
          <w:color w:val="7E8083"/>
          <w:spacing w:val="-15"/>
          <w:w w:val="105"/>
          <w:sz w:val="42"/>
        </w:rPr>
        <w:t> </w:t>
      </w:r>
      <w:r>
        <w:rPr>
          <w:rFonts w:ascii="Arial"/>
          <w:color w:val="7E8083"/>
          <w:w w:val="105"/>
          <w:sz w:val="42"/>
        </w:rPr>
        <w:t>the</w:t>
      </w:r>
      <w:r>
        <w:rPr>
          <w:rFonts w:ascii="Arial"/>
          <w:color w:val="7E8083"/>
          <w:spacing w:val="58"/>
          <w:w w:val="105"/>
          <w:sz w:val="42"/>
        </w:rPr>
        <w:t> </w:t>
      </w:r>
      <w:r>
        <w:rPr>
          <w:color w:val="7E8083"/>
          <w:w w:val="105"/>
          <w:sz w:val="46"/>
        </w:rPr>
        <w:t>Exarr0ples</w:t>
      </w:r>
      <w:r>
        <w:rPr>
          <w:color w:val="7E8083"/>
          <w:spacing w:val="11"/>
          <w:w w:val="105"/>
          <w:sz w:val="46"/>
        </w:rPr>
        <w:t> </w:t>
      </w:r>
      <w:r>
        <w:rPr>
          <w:rFonts w:ascii="Arial"/>
          <w:color w:val="7E8083"/>
          <w:w w:val="105"/>
          <w:sz w:val="42"/>
        </w:rPr>
        <w:t>in</w:t>
      </w:r>
      <w:r>
        <w:rPr>
          <w:rFonts w:ascii="Arial"/>
          <w:color w:val="7E8083"/>
          <w:spacing w:val="66"/>
          <w:w w:val="105"/>
          <w:sz w:val="42"/>
        </w:rPr>
        <w:t> </w:t>
      </w:r>
      <w:r>
        <w:rPr>
          <w:rFonts w:ascii="Arial"/>
          <w:color w:val="7E8083"/>
          <w:w w:val="105"/>
          <w:sz w:val="42"/>
        </w:rPr>
        <w:t>This</w:t>
      </w:r>
      <w:r>
        <w:rPr>
          <w:rFonts w:ascii="Arial"/>
          <w:color w:val="7E8083"/>
          <w:spacing w:val="-13"/>
          <w:w w:val="105"/>
          <w:sz w:val="42"/>
        </w:rPr>
        <w:t> </w:t>
      </w:r>
      <w:r>
        <w:rPr>
          <w:rFonts w:ascii="Arial"/>
          <w:color w:val="909193"/>
          <w:w w:val="105"/>
          <w:sz w:val="42"/>
        </w:rPr>
        <w:t>Book</w:t>
      </w:r>
    </w:p>
    <w:p>
      <w:pPr>
        <w:pStyle w:val="BodyText"/>
        <w:rPr>
          <w:rFonts w:ascii="Arial"/>
          <w:sz w:val="50"/>
        </w:rPr>
      </w:pPr>
    </w:p>
    <w:p>
      <w:pPr>
        <w:pStyle w:val="BodyText"/>
        <w:rPr>
          <w:rFonts w:ascii="Arial"/>
          <w:sz w:val="50"/>
        </w:rPr>
      </w:pPr>
    </w:p>
    <w:p>
      <w:pPr>
        <w:pStyle w:val="BodyText"/>
        <w:spacing w:before="6"/>
        <w:rPr>
          <w:rFonts w:ascii="Arial"/>
          <w:sz w:val="60"/>
        </w:rPr>
      </w:pPr>
    </w:p>
    <w:p>
      <w:pPr>
        <w:pStyle w:val="BodyText"/>
        <w:spacing w:line="237" w:lineRule="auto"/>
        <w:ind w:left="120" w:right="272" w:hanging="5"/>
        <w:jc w:val="both"/>
      </w:pPr>
      <w:r>
        <w:rPr>
          <w:color w:val="3A383A"/>
          <w:w w:val="115"/>
        </w:rPr>
        <w:t>This</w:t>
      </w:r>
      <w:r>
        <w:rPr>
          <w:color w:val="3A383A"/>
          <w:spacing w:val="-19"/>
          <w:w w:val="115"/>
        </w:rPr>
        <w:t> </w:t>
      </w:r>
      <w:r>
        <w:rPr>
          <w:color w:val="3A383A"/>
          <w:w w:val="115"/>
        </w:rPr>
        <w:t>book</w:t>
      </w:r>
      <w:r>
        <w:rPr>
          <w:color w:val="3A383A"/>
          <w:spacing w:val="-10"/>
          <w:w w:val="115"/>
        </w:rPr>
        <w:t> </w:t>
      </w:r>
      <w:r>
        <w:rPr>
          <w:color w:val="3A383A"/>
          <w:w w:val="115"/>
        </w:rPr>
        <w:t>is</w:t>
      </w:r>
      <w:r>
        <w:rPr>
          <w:color w:val="3A383A"/>
          <w:spacing w:val="-10"/>
          <w:w w:val="115"/>
        </w:rPr>
        <w:t> </w:t>
      </w:r>
      <w:r>
        <w:rPr>
          <w:color w:val="3A383A"/>
          <w:w w:val="115"/>
        </w:rPr>
        <w:t>meant</w:t>
      </w:r>
      <w:r>
        <w:rPr>
          <w:color w:val="3A383A"/>
          <w:spacing w:val="-5"/>
          <w:w w:val="115"/>
        </w:rPr>
        <w:t> </w:t>
      </w:r>
      <w:r>
        <w:rPr>
          <w:color w:val="3A383A"/>
          <w:w w:val="115"/>
        </w:rPr>
        <w:t>to</w:t>
      </w:r>
      <w:r>
        <w:rPr>
          <w:color w:val="3A383A"/>
          <w:spacing w:val="-1"/>
          <w:w w:val="115"/>
        </w:rPr>
        <w:t> </w:t>
      </w:r>
      <w:r>
        <w:rPr>
          <w:color w:val="3A383A"/>
          <w:w w:val="115"/>
        </w:rPr>
        <w:t>guide</w:t>
      </w:r>
      <w:r>
        <w:rPr>
          <w:color w:val="3A383A"/>
          <w:spacing w:val="-11"/>
          <w:w w:val="115"/>
        </w:rPr>
        <w:t> </w:t>
      </w:r>
      <w:r>
        <w:rPr>
          <w:color w:val="3A383A"/>
          <w:w w:val="115"/>
        </w:rPr>
        <w:t>law</w:t>
      </w:r>
      <w:r>
        <w:rPr>
          <w:color w:val="3A383A"/>
          <w:spacing w:val="-17"/>
          <w:w w:val="115"/>
        </w:rPr>
        <w:t> </w:t>
      </w:r>
      <w:r>
        <w:rPr>
          <w:color w:val="3A383A"/>
          <w:w w:val="115"/>
        </w:rPr>
        <w:t>students</w:t>
      </w:r>
      <w:r>
        <w:rPr>
          <w:color w:val="3A383A"/>
          <w:spacing w:val="-20"/>
          <w:w w:val="115"/>
        </w:rPr>
        <w:t> </w:t>
      </w:r>
      <w:r>
        <w:rPr>
          <w:color w:val="3A383A"/>
          <w:w w:val="115"/>
        </w:rPr>
        <w:t>and</w:t>
      </w:r>
      <w:r>
        <w:rPr>
          <w:color w:val="3A383A"/>
          <w:spacing w:val="8"/>
          <w:w w:val="115"/>
        </w:rPr>
        <w:t> </w:t>
      </w:r>
      <w:r>
        <w:rPr>
          <w:color w:val="3A383A"/>
          <w:w w:val="115"/>
        </w:rPr>
        <w:t>others</w:t>
      </w:r>
      <w:r>
        <w:rPr>
          <w:color w:val="3A383A"/>
          <w:spacing w:val="-21"/>
          <w:w w:val="115"/>
        </w:rPr>
        <w:t> </w:t>
      </w:r>
      <w:r>
        <w:rPr>
          <w:color w:val="3A383A"/>
          <w:w w:val="115"/>
        </w:rPr>
        <w:t>who</w:t>
      </w:r>
      <w:r>
        <w:rPr>
          <w:color w:val="3A383A"/>
          <w:spacing w:val="-19"/>
          <w:w w:val="115"/>
        </w:rPr>
        <w:t> </w:t>
      </w:r>
      <w:r>
        <w:rPr>
          <w:color w:val="3A383A"/>
          <w:w w:val="115"/>
        </w:rPr>
        <w:t>are</w:t>
      </w:r>
      <w:r>
        <w:rPr>
          <w:color w:val="3A383A"/>
          <w:spacing w:val="-3"/>
          <w:w w:val="115"/>
        </w:rPr>
        <w:t> </w:t>
      </w:r>
      <w:r>
        <w:rPr>
          <w:color w:val="3A383A"/>
          <w:w w:val="115"/>
        </w:rPr>
        <w:t>new</w:t>
      </w:r>
      <w:r>
        <w:rPr>
          <w:color w:val="3A383A"/>
          <w:spacing w:val="-28"/>
          <w:w w:val="115"/>
        </w:rPr>
        <w:t> </w:t>
      </w:r>
      <w:r>
        <w:rPr>
          <w:color w:val="3A383A"/>
          <w:w w:val="115"/>
        </w:rPr>
        <w:t>to</w:t>
      </w:r>
      <w:r>
        <w:rPr>
          <w:color w:val="3A383A"/>
          <w:spacing w:val="-15"/>
          <w:w w:val="115"/>
        </w:rPr>
        <w:t> </w:t>
      </w:r>
      <w:r>
        <w:rPr>
          <w:color w:val="3A383A"/>
          <w:w w:val="115"/>
        </w:rPr>
        <w:t>writ­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0"/>
        </w:rPr>
        <w:t>ing briefs. It attempts to make the writing process easier by examining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various decisions a brief-writer must make, and by articulating criteria that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will help the writer to make those decisions. The book contains numer­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ous excerpts from student-written briefs that illustrate various aspects of</w:t>
      </w:r>
      <w:r>
        <w:rPr>
          <w:color w:val="3A383A"/>
          <w:spacing w:val="-64"/>
          <w:w w:val="115"/>
        </w:rPr>
        <w:t> </w:t>
      </w:r>
      <w:r>
        <w:rPr>
          <w:color w:val="3A383A"/>
          <w:w w:val="110"/>
        </w:rPr>
        <w:t>brief-writing. Although following examples too  closely can  be dangerous,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0"/>
        </w:rPr>
        <w:t>I know that many good writers learn through imitation</w:t>
      </w:r>
      <w:r>
        <w:rPr>
          <w:color w:val="575759"/>
          <w:w w:val="110"/>
        </w:rPr>
        <w:t>. </w:t>
      </w:r>
      <w:r>
        <w:rPr>
          <w:color w:val="3A383A"/>
          <w:w w:val="110"/>
        </w:rPr>
        <w:t>Therefore, I offer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the</w:t>
      </w:r>
      <w:r>
        <w:rPr>
          <w:color w:val="3A383A"/>
          <w:spacing w:val="13"/>
          <w:w w:val="115"/>
        </w:rPr>
        <w:t> </w:t>
      </w:r>
      <w:r>
        <w:rPr>
          <w:color w:val="3A383A"/>
          <w:w w:val="115"/>
        </w:rPr>
        <w:t>following</w:t>
      </w:r>
      <w:r>
        <w:rPr>
          <w:color w:val="3A383A"/>
          <w:spacing w:val="-3"/>
          <w:w w:val="115"/>
        </w:rPr>
        <w:t> </w:t>
      </w:r>
      <w:r>
        <w:rPr>
          <w:color w:val="3A383A"/>
          <w:w w:val="115"/>
        </w:rPr>
        <w:t>caveats:</w:t>
      </w:r>
    </w:p>
    <w:p>
      <w:pPr>
        <w:pStyle w:val="BodyText"/>
        <w:rPr>
          <w:sz w:val="26"/>
        </w:rPr>
      </w:pPr>
    </w:p>
    <w:p>
      <w:pPr>
        <w:spacing w:before="216"/>
        <w:ind w:left="791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67676B"/>
          <w:w w:val="110"/>
          <w:sz w:val="32"/>
        </w:rPr>
        <w:t>1</w:t>
      </w:r>
    </w:p>
    <w:p>
      <w:pPr>
        <w:spacing w:before="65"/>
        <w:ind w:left="794" w:right="0" w:firstLine="0"/>
        <w:jc w:val="left"/>
        <w:rPr>
          <w:b/>
          <w:sz w:val="25"/>
        </w:rPr>
      </w:pPr>
      <w:r>
        <w:rPr>
          <w:b/>
          <w:color w:val="7E8083"/>
          <w:sz w:val="25"/>
        </w:rPr>
        <w:t>SOM</w:t>
      </w:r>
      <w:r>
        <w:rPr>
          <w:b/>
          <w:color w:val="67676B"/>
          <w:sz w:val="25"/>
        </w:rPr>
        <w:t>E</w:t>
      </w:r>
      <w:r>
        <w:rPr>
          <w:b/>
          <w:color w:val="67676B"/>
          <w:spacing w:val="-13"/>
          <w:sz w:val="25"/>
        </w:rPr>
        <w:t> </w:t>
      </w:r>
      <w:r>
        <w:rPr>
          <w:b/>
          <w:color w:val="7E8083"/>
          <w:sz w:val="25"/>
        </w:rPr>
        <w:t>E</w:t>
      </w:r>
      <w:r>
        <w:rPr>
          <w:b/>
          <w:color w:val="67676B"/>
          <w:sz w:val="25"/>
        </w:rPr>
        <w:t>X</w:t>
      </w:r>
      <w:r>
        <w:rPr>
          <w:b/>
          <w:color w:val="7E8083"/>
          <w:sz w:val="25"/>
        </w:rPr>
        <w:t>AMP</w:t>
      </w:r>
      <w:r>
        <w:rPr>
          <w:b/>
          <w:color w:val="67676B"/>
          <w:sz w:val="25"/>
        </w:rPr>
        <w:t>L</w:t>
      </w:r>
      <w:r>
        <w:rPr>
          <w:b/>
          <w:color w:val="7E8083"/>
          <w:sz w:val="25"/>
        </w:rPr>
        <w:t>E</w:t>
      </w:r>
      <w:r>
        <w:rPr>
          <w:b/>
          <w:color w:val="67676B"/>
          <w:sz w:val="25"/>
        </w:rPr>
        <w:t>S</w:t>
      </w:r>
      <w:r>
        <w:rPr>
          <w:b/>
          <w:color w:val="67676B"/>
          <w:spacing w:val="9"/>
          <w:sz w:val="25"/>
        </w:rPr>
        <w:t> </w:t>
      </w:r>
      <w:r>
        <w:rPr>
          <w:rFonts w:ascii="Arial"/>
          <w:b/>
          <w:color w:val="7E8083"/>
          <w:sz w:val="23"/>
        </w:rPr>
        <w:t>ARE</w:t>
      </w:r>
      <w:r>
        <w:rPr>
          <w:rFonts w:ascii="Arial"/>
          <w:b/>
          <w:color w:val="7E8083"/>
          <w:spacing w:val="-4"/>
          <w:sz w:val="23"/>
        </w:rPr>
        <w:t> </w:t>
      </w:r>
      <w:r>
        <w:rPr>
          <w:b/>
          <w:color w:val="575759"/>
          <w:sz w:val="25"/>
        </w:rPr>
        <w:t>"</w:t>
      </w:r>
      <w:r>
        <w:rPr>
          <w:b/>
          <w:color w:val="909193"/>
          <w:sz w:val="25"/>
        </w:rPr>
        <w:t>BAD</w:t>
      </w:r>
      <w:r>
        <w:rPr>
          <w:b/>
          <w:color w:val="67676B"/>
          <w:sz w:val="25"/>
        </w:rPr>
        <w:t>"</w:t>
      </w:r>
      <w:r>
        <w:rPr>
          <w:b/>
          <w:color w:val="67676B"/>
          <w:spacing w:val="51"/>
          <w:sz w:val="25"/>
        </w:rPr>
        <w:t> </w:t>
      </w:r>
      <w:r>
        <w:rPr>
          <w:b/>
          <w:color w:val="7E8083"/>
          <w:sz w:val="25"/>
        </w:rPr>
        <w:t>EXAMPLES</w:t>
      </w:r>
    </w:p>
    <w:p>
      <w:pPr>
        <w:pStyle w:val="BodyText"/>
        <w:spacing w:before="10"/>
        <w:rPr>
          <w:b/>
          <w:sz w:val="24"/>
        </w:rPr>
      </w:pPr>
    </w:p>
    <w:p>
      <w:pPr>
        <w:pStyle w:val="BodyText"/>
        <w:spacing w:line="232" w:lineRule="auto" w:before="1"/>
        <w:ind w:left="142" w:right="210" w:firstLine="622"/>
        <w:jc w:val="both"/>
      </w:pPr>
      <w:r>
        <w:rPr>
          <w:color w:val="3A383A"/>
          <w:w w:val="115"/>
        </w:rPr>
        <w:t>Do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not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presume that the principle illustrated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in each example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applies to the brief you are currently writing. First, the examples in the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book are not meant to represent the current law on any subject</w:t>
      </w:r>
      <w:r>
        <w:rPr>
          <w:color w:val="575759"/>
          <w:w w:val="115"/>
        </w:rPr>
        <w:t>. </w:t>
      </w:r>
      <w:r>
        <w:rPr>
          <w:color w:val="3A383A"/>
          <w:w w:val="115"/>
        </w:rPr>
        <w:t>They</w:t>
      </w:r>
      <w:r>
        <w:rPr>
          <w:color w:val="3A383A"/>
          <w:spacing w:val="1"/>
          <w:w w:val="115"/>
        </w:rPr>
        <w:t> </w:t>
      </w:r>
      <w:r>
        <w:rPr>
          <w:color w:val="3A383A"/>
          <w:spacing w:val="-1"/>
          <w:w w:val="115"/>
        </w:rPr>
        <w:t>come</w:t>
      </w:r>
      <w:r>
        <w:rPr>
          <w:color w:val="3A383A"/>
          <w:spacing w:val="-5"/>
          <w:w w:val="115"/>
        </w:rPr>
        <w:t> </w:t>
      </w:r>
      <w:r>
        <w:rPr>
          <w:color w:val="3A383A"/>
          <w:spacing w:val="-1"/>
          <w:w w:val="115"/>
        </w:rPr>
        <w:t>from</w:t>
      </w:r>
      <w:r>
        <w:rPr>
          <w:color w:val="3A383A"/>
          <w:spacing w:val="-7"/>
          <w:w w:val="115"/>
        </w:rPr>
        <w:t> </w:t>
      </w:r>
      <w:r>
        <w:rPr>
          <w:color w:val="3A383A"/>
          <w:spacing w:val="-1"/>
          <w:w w:val="115"/>
        </w:rPr>
        <w:t>a</w:t>
      </w:r>
      <w:r>
        <w:rPr>
          <w:color w:val="3A383A"/>
          <w:spacing w:val="5"/>
          <w:w w:val="115"/>
        </w:rPr>
        <w:t> </w:t>
      </w:r>
      <w:r>
        <w:rPr>
          <w:color w:val="3A383A"/>
          <w:spacing w:val="-1"/>
          <w:w w:val="115"/>
        </w:rPr>
        <w:t>variety</w:t>
      </w:r>
      <w:r>
        <w:rPr>
          <w:color w:val="3A383A"/>
          <w:spacing w:val="3"/>
          <w:w w:val="115"/>
        </w:rPr>
        <w:t> </w:t>
      </w:r>
      <w:r>
        <w:rPr>
          <w:color w:val="3A383A"/>
          <w:spacing w:val="-1"/>
          <w:w w:val="115"/>
        </w:rPr>
        <w:t>of</w:t>
      </w:r>
      <w:r>
        <w:rPr>
          <w:color w:val="3A383A"/>
          <w:spacing w:val="7"/>
          <w:w w:val="115"/>
        </w:rPr>
        <w:t> </w:t>
      </w:r>
      <w:r>
        <w:rPr>
          <w:color w:val="3A383A"/>
          <w:w w:val="115"/>
        </w:rPr>
        <w:t>student</w:t>
      </w:r>
      <w:r>
        <w:rPr>
          <w:color w:val="3A383A"/>
          <w:spacing w:val="-5"/>
          <w:w w:val="115"/>
        </w:rPr>
        <w:t> </w:t>
      </w:r>
      <w:r>
        <w:rPr>
          <w:color w:val="3A383A"/>
          <w:w w:val="115"/>
        </w:rPr>
        <w:t>briefs</w:t>
      </w:r>
      <w:r>
        <w:rPr>
          <w:color w:val="3A383A"/>
          <w:spacing w:val="-9"/>
          <w:w w:val="115"/>
        </w:rPr>
        <w:t> </w:t>
      </w:r>
      <w:r>
        <w:rPr>
          <w:color w:val="3A383A"/>
          <w:w w:val="115"/>
        </w:rPr>
        <w:t>written</w:t>
      </w:r>
      <w:r>
        <w:rPr>
          <w:color w:val="3A383A"/>
          <w:spacing w:val="-8"/>
          <w:w w:val="115"/>
        </w:rPr>
        <w:t> </w:t>
      </w:r>
      <w:r>
        <w:rPr>
          <w:color w:val="3A383A"/>
          <w:w w:val="115"/>
        </w:rPr>
        <w:t>over</w:t>
      </w:r>
      <w:r>
        <w:rPr>
          <w:color w:val="3A383A"/>
          <w:spacing w:val="-9"/>
          <w:w w:val="115"/>
        </w:rPr>
        <w:t> </w:t>
      </w:r>
      <w:r>
        <w:rPr>
          <w:color w:val="3A383A"/>
          <w:w w:val="115"/>
        </w:rPr>
        <w:t>several</w:t>
      </w:r>
      <w:r>
        <w:rPr>
          <w:color w:val="3A383A"/>
          <w:spacing w:val="-3"/>
          <w:w w:val="115"/>
        </w:rPr>
        <w:t> </w:t>
      </w:r>
      <w:r>
        <w:rPr>
          <w:color w:val="3A383A"/>
          <w:w w:val="115"/>
        </w:rPr>
        <w:t>years.</w:t>
      </w:r>
      <w:r>
        <w:rPr>
          <w:color w:val="3A383A"/>
          <w:spacing w:val="-17"/>
          <w:w w:val="115"/>
        </w:rPr>
        <w:t> </w:t>
      </w:r>
      <w:r>
        <w:rPr>
          <w:color w:val="3A383A"/>
          <w:w w:val="115"/>
        </w:rPr>
        <w:t>Some</w:t>
      </w:r>
      <w:r>
        <w:rPr>
          <w:color w:val="3A383A"/>
          <w:spacing w:val="-15"/>
          <w:w w:val="115"/>
        </w:rPr>
        <w:t> </w:t>
      </w:r>
      <w:r>
        <w:rPr>
          <w:color w:val="3A383A"/>
          <w:w w:val="115"/>
        </w:rPr>
        <w:t>of</w:t>
      </w:r>
    </w:p>
    <w:p>
      <w:pPr>
        <w:pStyle w:val="BodyText"/>
        <w:spacing w:line="232" w:lineRule="auto" w:before="4"/>
        <w:ind w:left="153" w:right="154" w:hanging="4"/>
        <w:jc w:val="both"/>
      </w:pPr>
      <w:r>
        <w:rPr>
          <w:color w:val="3A383A"/>
          <w:w w:val="115"/>
        </w:rPr>
        <w:t>the cases cited in the examples are fictional. Second, some of the exam­</w:t>
      </w:r>
      <w:r>
        <w:rPr>
          <w:color w:val="3A383A"/>
          <w:spacing w:val="1"/>
          <w:w w:val="115"/>
        </w:rPr>
        <w:t> </w:t>
      </w:r>
      <w:r>
        <w:rPr>
          <w:color w:val="3A383A"/>
          <w:spacing w:val="-1"/>
          <w:w w:val="115"/>
        </w:rPr>
        <w:t>ples are</w:t>
      </w:r>
      <w:r>
        <w:rPr>
          <w:color w:val="3A383A"/>
          <w:w w:val="115"/>
        </w:rPr>
        <w:t> </w:t>
      </w:r>
      <w:r>
        <w:rPr>
          <w:color w:val="3A383A"/>
          <w:spacing w:val="-1"/>
          <w:w w:val="115"/>
        </w:rPr>
        <w:t>"bad </w:t>
      </w:r>
      <w:r>
        <w:rPr>
          <w:color w:val="3A383A"/>
          <w:w w:val="115"/>
        </w:rPr>
        <w:t>examples," that is, they were adapted to  show how </w:t>
      </w:r>
      <w:r>
        <w:rPr>
          <w:i/>
          <w:color w:val="3A383A"/>
          <w:w w:val="115"/>
          <w:sz w:val="24"/>
        </w:rPr>
        <w:t>not </w:t>
      </w:r>
      <w:r>
        <w:rPr>
          <w:color w:val="3A383A"/>
          <w:w w:val="115"/>
        </w:rPr>
        <w:t>to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do something. Unfortunately, some students, in a hurry to complete a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0"/>
        </w:rPr>
        <w:t>project, will consult a textbook and imitate its examples slavishly, includ­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ing "bad examples." To try to avoid this problem, the bad examples are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carefully labeled-with the words "bad example" and with a downward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arrow-so that you will not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mistake a bad example for a good example.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Most, if not all, of the bad examples are paired with a good example to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0"/>
        </w:rPr>
        <w:t>show how to address the problem illustrated in the bad </w:t>
      </w:r>
      <w:r>
        <w:rPr>
          <w:color w:val="575759"/>
          <w:w w:val="110"/>
        </w:rPr>
        <w:t>e</w:t>
      </w:r>
      <w:r>
        <w:rPr>
          <w:color w:val="3A383A"/>
          <w:w w:val="110"/>
        </w:rPr>
        <w:t>xample. These are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labeled</w:t>
      </w:r>
      <w:r>
        <w:rPr>
          <w:color w:val="3A383A"/>
          <w:spacing w:val="24"/>
          <w:w w:val="110"/>
        </w:rPr>
        <w:t> </w:t>
      </w:r>
      <w:r>
        <w:rPr>
          <w:color w:val="3A383A"/>
          <w:w w:val="110"/>
        </w:rPr>
        <w:t>with</w:t>
      </w:r>
      <w:r>
        <w:rPr>
          <w:color w:val="3A383A"/>
          <w:spacing w:val="6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23"/>
          <w:w w:val="110"/>
        </w:rPr>
        <w:t> </w:t>
      </w:r>
      <w:r>
        <w:rPr>
          <w:color w:val="3A383A"/>
          <w:w w:val="110"/>
        </w:rPr>
        <w:t>words</w:t>
      </w:r>
      <w:r>
        <w:rPr>
          <w:color w:val="3A383A"/>
          <w:spacing w:val="-16"/>
          <w:w w:val="110"/>
        </w:rPr>
        <w:t> </w:t>
      </w:r>
      <w:r>
        <w:rPr>
          <w:color w:val="3A383A"/>
          <w:w w:val="110"/>
        </w:rPr>
        <w:t>"good</w:t>
      </w:r>
      <w:r>
        <w:rPr>
          <w:color w:val="3A383A"/>
          <w:spacing w:val="2"/>
          <w:w w:val="110"/>
        </w:rPr>
        <w:t> </w:t>
      </w:r>
      <w:r>
        <w:rPr>
          <w:color w:val="3A383A"/>
          <w:w w:val="110"/>
        </w:rPr>
        <w:t>example"</w:t>
      </w:r>
      <w:r>
        <w:rPr>
          <w:color w:val="3A383A"/>
          <w:spacing w:val="-3"/>
          <w:w w:val="110"/>
        </w:rPr>
        <w:t> </w:t>
      </w:r>
      <w:r>
        <w:rPr>
          <w:color w:val="3A383A"/>
          <w:w w:val="110"/>
        </w:rPr>
        <w:t>and</w:t>
      </w:r>
      <w:r>
        <w:rPr>
          <w:color w:val="3A383A"/>
          <w:spacing w:val="20"/>
          <w:w w:val="110"/>
        </w:rPr>
        <w:t> </w:t>
      </w:r>
      <w:r>
        <w:rPr>
          <w:color w:val="3A383A"/>
          <w:w w:val="110"/>
        </w:rPr>
        <w:t>an</w:t>
      </w:r>
      <w:r>
        <w:rPr>
          <w:color w:val="3A383A"/>
          <w:spacing w:val="28"/>
          <w:w w:val="110"/>
        </w:rPr>
        <w:t> </w:t>
      </w:r>
      <w:r>
        <w:rPr>
          <w:color w:val="3A383A"/>
          <w:w w:val="110"/>
        </w:rPr>
        <w:t>upward</w:t>
      </w:r>
      <w:r>
        <w:rPr>
          <w:color w:val="3A383A"/>
          <w:spacing w:val="21"/>
          <w:w w:val="110"/>
        </w:rPr>
        <w:t> </w:t>
      </w:r>
      <w:r>
        <w:rPr>
          <w:color w:val="3A383A"/>
          <w:w w:val="110"/>
        </w:rPr>
        <w:t>arrow.</w:t>
      </w:r>
    </w:p>
    <w:p>
      <w:pPr>
        <w:pStyle w:val="BodyText"/>
        <w:spacing w:line="232" w:lineRule="auto"/>
        <w:ind w:left="171" w:right="114" w:firstLine="368"/>
        <w:jc w:val="both"/>
      </w:pPr>
      <w:r>
        <w:rPr>
          <w:color w:val="3A383A"/>
          <w:w w:val="115"/>
        </w:rPr>
        <w:t>The examples that are not paired are labeled with the words "exam­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ple" and an arrow pointing to the example. Virtually all of these exam­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ples</w:t>
      </w:r>
      <w:r>
        <w:rPr>
          <w:color w:val="3A383A"/>
          <w:spacing w:val="6"/>
          <w:w w:val="115"/>
        </w:rPr>
        <w:t> </w:t>
      </w:r>
      <w:r>
        <w:rPr>
          <w:color w:val="3A383A"/>
          <w:w w:val="115"/>
        </w:rPr>
        <w:t>are</w:t>
      </w:r>
      <w:r>
        <w:rPr>
          <w:color w:val="3A383A"/>
          <w:spacing w:val="11"/>
          <w:w w:val="115"/>
        </w:rPr>
        <w:t> </w:t>
      </w:r>
      <w:r>
        <w:rPr>
          <w:color w:val="3A383A"/>
          <w:w w:val="115"/>
        </w:rPr>
        <w:t>good</w:t>
      </w:r>
      <w:r>
        <w:rPr>
          <w:color w:val="3A383A"/>
          <w:spacing w:val="18"/>
          <w:w w:val="115"/>
        </w:rPr>
        <w:t> </w:t>
      </w:r>
      <w:r>
        <w:rPr>
          <w:color w:val="3A383A"/>
          <w:w w:val="115"/>
        </w:rPr>
        <w:t>examples,</w:t>
      </w:r>
      <w:r>
        <w:rPr>
          <w:color w:val="3A383A"/>
          <w:spacing w:val="27"/>
          <w:w w:val="115"/>
        </w:rPr>
        <w:t> </w:t>
      </w:r>
      <w:r>
        <w:rPr>
          <w:color w:val="3A383A"/>
          <w:w w:val="115"/>
        </w:rPr>
        <w:t>but</w:t>
      </w:r>
      <w:r>
        <w:rPr>
          <w:color w:val="3A383A"/>
          <w:spacing w:val="40"/>
          <w:w w:val="115"/>
        </w:rPr>
        <w:t> </w:t>
      </w:r>
      <w:r>
        <w:rPr>
          <w:color w:val="3A383A"/>
          <w:w w:val="115"/>
        </w:rPr>
        <w:t>even</w:t>
      </w:r>
      <w:r>
        <w:rPr>
          <w:color w:val="3A383A"/>
          <w:spacing w:val="11"/>
          <w:w w:val="115"/>
        </w:rPr>
        <w:t> </w:t>
      </w:r>
      <w:r>
        <w:rPr>
          <w:color w:val="3A383A"/>
          <w:w w:val="115"/>
        </w:rPr>
        <w:t>these</w:t>
      </w:r>
      <w:r>
        <w:rPr>
          <w:color w:val="3A383A"/>
          <w:spacing w:val="11"/>
          <w:w w:val="115"/>
        </w:rPr>
        <w:t> </w:t>
      </w:r>
      <w:r>
        <w:rPr>
          <w:color w:val="3A383A"/>
          <w:w w:val="115"/>
        </w:rPr>
        <w:t>examples</w:t>
      </w:r>
      <w:r>
        <w:rPr>
          <w:color w:val="3A383A"/>
          <w:spacing w:val="32"/>
          <w:w w:val="115"/>
        </w:rPr>
        <w:t> </w:t>
      </w:r>
      <w:r>
        <w:rPr>
          <w:color w:val="3A383A"/>
          <w:w w:val="115"/>
        </w:rPr>
        <w:t>must</w:t>
      </w:r>
      <w:r>
        <w:rPr>
          <w:color w:val="3A383A"/>
          <w:spacing w:val="22"/>
          <w:w w:val="115"/>
        </w:rPr>
        <w:t> </w:t>
      </w:r>
      <w:r>
        <w:rPr>
          <w:color w:val="3A383A"/>
          <w:w w:val="115"/>
        </w:rPr>
        <w:t>not</w:t>
      </w:r>
      <w:r>
        <w:rPr>
          <w:color w:val="3A383A"/>
          <w:spacing w:val="39"/>
          <w:w w:val="115"/>
        </w:rPr>
        <w:t> </w:t>
      </w:r>
      <w:r>
        <w:rPr>
          <w:color w:val="3A383A"/>
          <w:w w:val="115"/>
        </w:rPr>
        <w:t>be</w:t>
      </w:r>
      <w:r>
        <w:rPr>
          <w:color w:val="3A383A"/>
          <w:spacing w:val="13"/>
          <w:w w:val="115"/>
        </w:rPr>
        <w:t> </w:t>
      </w:r>
      <w:r>
        <w:rPr>
          <w:color w:val="3A383A"/>
          <w:w w:val="115"/>
        </w:rPr>
        <w:t>followed</w:t>
      </w:r>
    </w:p>
    <w:p>
      <w:pPr>
        <w:pStyle w:val="BodyText"/>
        <w:spacing w:before="8"/>
        <w:rPr>
          <w:sz w:val="32"/>
        </w:rPr>
      </w:pPr>
    </w:p>
    <w:p>
      <w:pPr>
        <w:spacing w:before="0"/>
        <w:ind w:left="0" w:right="100" w:firstLine="0"/>
        <w:jc w:val="right"/>
        <w:rPr>
          <w:b/>
          <w:sz w:val="24"/>
        </w:rPr>
      </w:pPr>
      <w:r>
        <w:rPr>
          <w:b/>
          <w:color w:val="3A383A"/>
          <w:sz w:val="24"/>
        </w:rPr>
        <w:t>xxl</w:t>
      </w:r>
    </w:p>
    <w:p>
      <w:pPr>
        <w:spacing w:after="0"/>
        <w:jc w:val="right"/>
        <w:rPr>
          <w:sz w:val="24"/>
        </w:rPr>
        <w:sectPr>
          <w:headerReference w:type="even" r:id="rId14"/>
          <w:pgSz w:w="9650" w:h="13810"/>
          <w:pgMar w:header="0" w:footer="0" w:top="1280" w:bottom="280" w:left="340" w:right="1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tabs>
          <w:tab w:pos="867" w:val="left" w:leader="none"/>
        </w:tabs>
        <w:spacing w:before="95"/>
        <w:ind w:left="107" w:right="0" w:firstLine="0"/>
        <w:jc w:val="left"/>
        <w:rPr>
          <w:rFonts w:ascii="Arial"/>
          <w:sz w:val="16"/>
        </w:rPr>
      </w:pPr>
      <w:r>
        <w:rPr>
          <w:rFonts w:ascii="Arial"/>
          <w:b/>
          <w:color w:val="383638"/>
          <w:w w:val="110"/>
          <w:sz w:val="18"/>
        </w:rPr>
        <w:t>xxfl</w:t>
        <w:tab/>
      </w:r>
      <w:r>
        <w:rPr>
          <w:rFonts w:ascii="Arial"/>
          <w:color w:val="383638"/>
          <w:w w:val="105"/>
          <w:sz w:val="16"/>
        </w:rPr>
        <w:t>Using</w:t>
      </w:r>
      <w:r>
        <w:rPr>
          <w:rFonts w:ascii="Arial"/>
          <w:color w:val="383638"/>
          <w:spacing w:val="1"/>
          <w:w w:val="105"/>
          <w:sz w:val="16"/>
        </w:rPr>
        <w:t> </w:t>
      </w:r>
      <w:r>
        <w:rPr>
          <w:rFonts w:ascii="Arial"/>
          <w:color w:val="383638"/>
          <w:w w:val="105"/>
          <w:sz w:val="16"/>
        </w:rPr>
        <w:t>the Examples</w:t>
      </w:r>
      <w:r>
        <w:rPr>
          <w:rFonts w:ascii="Arial"/>
          <w:color w:val="383638"/>
          <w:spacing w:val="7"/>
          <w:w w:val="105"/>
          <w:sz w:val="16"/>
        </w:rPr>
        <w:t> </w:t>
      </w:r>
      <w:r>
        <w:rPr>
          <w:rFonts w:ascii="Arial"/>
          <w:color w:val="383638"/>
          <w:w w:val="105"/>
          <w:sz w:val="16"/>
        </w:rPr>
        <w:t>in</w:t>
      </w:r>
      <w:r>
        <w:rPr>
          <w:rFonts w:ascii="Arial"/>
          <w:color w:val="383638"/>
          <w:spacing w:val="29"/>
          <w:w w:val="105"/>
          <w:sz w:val="16"/>
        </w:rPr>
        <w:t> </w:t>
      </w:r>
      <w:r>
        <w:rPr>
          <w:rFonts w:ascii="Arial"/>
          <w:color w:val="383638"/>
          <w:w w:val="105"/>
          <w:sz w:val="16"/>
        </w:rPr>
        <w:t>This</w:t>
      </w:r>
      <w:r>
        <w:rPr>
          <w:rFonts w:ascii="Arial"/>
          <w:color w:val="383638"/>
          <w:spacing w:val="-16"/>
          <w:w w:val="105"/>
          <w:sz w:val="16"/>
        </w:rPr>
        <w:t> </w:t>
      </w:r>
      <w:r>
        <w:rPr>
          <w:rFonts w:ascii="Arial"/>
          <w:color w:val="383638"/>
          <w:w w:val="105"/>
          <w:sz w:val="16"/>
        </w:rPr>
        <w:t>Book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19"/>
        </w:rPr>
      </w:pPr>
    </w:p>
    <w:p>
      <w:pPr>
        <w:pStyle w:val="BodyText"/>
        <w:spacing w:line="232" w:lineRule="auto" w:before="1"/>
        <w:ind w:left="823" w:right="112" w:firstLine="27"/>
        <w:jc w:val="both"/>
      </w:pPr>
      <w:r>
        <w:rPr>
          <w:color w:val="383638"/>
          <w:w w:val="110"/>
        </w:rPr>
        <w:t>unquestioningly.Just as the same law applies differently to different </w:t>
      </w:r>
      <w:r>
        <w:rPr>
          <w:color w:val="383638"/>
          <w:w w:val="110"/>
          <w:sz w:val="22"/>
        </w:rPr>
        <w:t>fact</w:t>
      </w:r>
      <w:r>
        <w:rPr>
          <w:color w:val="383638"/>
          <w:spacing w:val="1"/>
          <w:w w:val="110"/>
          <w:sz w:val="22"/>
        </w:rPr>
        <w:t> </w:t>
      </w:r>
      <w:r>
        <w:rPr>
          <w:color w:val="383638"/>
          <w:w w:val="115"/>
        </w:rPr>
        <w:t>situations, the guidelines in this book may apply differently to briefs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addressing different issues. For that reason, I have used examples from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0"/>
        </w:rPr>
        <w:t>a variety of cases; no one case aptly illustrates every type of brief-writing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problem. The majority of the examples in the text come from student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briefs written for four Supreme Court cases: </w:t>
      </w:r>
      <w:r>
        <w:rPr>
          <w:i/>
          <w:color w:val="383638"/>
          <w:w w:val="110"/>
          <w:sz w:val="22"/>
        </w:rPr>
        <w:t>Minnesota v. Carter, </w:t>
      </w:r>
      <w:r>
        <w:rPr>
          <w:color w:val="383638"/>
          <w:w w:val="110"/>
        </w:rPr>
        <w:t>524 U.S.</w:t>
      </w:r>
      <w:r>
        <w:rPr>
          <w:color w:val="383638"/>
          <w:spacing w:val="-61"/>
          <w:w w:val="110"/>
        </w:rPr>
        <w:t> </w:t>
      </w:r>
      <w:r>
        <w:rPr>
          <w:color w:val="383638"/>
          <w:spacing w:val="-1"/>
          <w:w w:val="105"/>
        </w:rPr>
        <w:t>975</w:t>
      </w:r>
      <w:r>
        <w:rPr>
          <w:color w:val="383638"/>
          <w:spacing w:val="32"/>
          <w:w w:val="105"/>
        </w:rPr>
        <w:t> </w:t>
      </w:r>
      <w:r>
        <w:rPr>
          <w:color w:val="383638"/>
          <w:spacing w:val="-1"/>
          <w:w w:val="105"/>
        </w:rPr>
        <w:t>(1998);</w:t>
      </w:r>
      <w:r>
        <w:rPr>
          <w:color w:val="383638"/>
          <w:spacing w:val="-2"/>
          <w:w w:val="105"/>
        </w:rPr>
        <w:t> </w:t>
      </w:r>
      <w:r>
        <w:rPr>
          <w:i/>
          <w:color w:val="383638"/>
          <w:spacing w:val="-1"/>
          <w:w w:val="105"/>
          <w:sz w:val="22"/>
        </w:rPr>
        <w:t>Knowles</w:t>
      </w:r>
      <w:r>
        <w:rPr>
          <w:i/>
          <w:color w:val="383638"/>
          <w:spacing w:val="-3"/>
          <w:w w:val="105"/>
          <w:sz w:val="22"/>
        </w:rPr>
        <w:t> </w:t>
      </w:r>
      <w:r>
        <w:rPr>
          <w:i/>
          <w:color w:val="383638"/>
          <w:w w:val="105"/>
          <w:sz w:val="24"/>
        </w:rPr>
        <w:t>v.</w:t>
      </w:r>
      <w:r>
        <w:rPr>
          <w:i/>
          <w:color w:val="383638"/>
          <w:spacing w:val="-35"/>
          <w:w w:val="105"/>
          <w:sz w:val="24"/>
        </w:rPr>
        <w:t> </w:t>
      </w:r>
      <w:r>
        <w:rPr>
          <w:i/>
          <w:color w:val="383638"/>
          <w:w w:val="105"/>
          <w:sz w:val="22"/>
        </w:rPr>
        <w:t>Iowa,</w:t>
      </w:r>
      <w:r>
        <w:rPr>
          <w:i/>
          <w:color w:val="383638"/>
          <w:spacing w:val="-19"/>
          <w:w w:val="105"/>
          <w:sz w:val="22"/>
        </w:rPr>
        <w:t> </w:t>
      </w:r>
      <w:r>
        <w:rPr>
          <w:color w:val="383638"/>
          <w:w w:val="105"/>
        </w:rPr>
        <w:t>525</w:t>
      </w:r>
      <w:r>
        <w:rPr>
          <w:color w:val="383638"/>
          <w:spacing w:val="3"/>
          <w:w w:val="105"/>
        </w:rPr>
        <w:t> </w:t>
      </w:r>
      <w:r>
        <w:rPr>
          <w:color w:val="383638"/>
          <w:w w:val="105"/>
        </w:rPr>
        <w:t>U.S.</w:t>
      </w:r>
      <w:r>
        <w:rPr>
          <w:color w:val="383638"/>
          <w:spacing w:val="-21"/>
          <w:w w:val="105"/>
        </w:rPr>
        <w:t> </w:t>
      </w:r>
      <w:r>
        <w:rPr>
          <w:color w:val="383638"/>
          <w:w w:val="105"/>
        </w:rPr>
        <w:t>113</w:t>
      </w:r>
      <w:r>
        <w:rPr>
          <w:color w:val="383638"/>
          <w:spacing w:val="38"/>
          <w:w w:val="105"/>
        </w:rPr>
        <w:t> </w:t>
      </w:r>
      <w:r>
        <w:rPr>
          <w:color w:val="383638"/>
          <w:w w:val="105"/>
        </w:rPr>
        <w:t>(1998);</w:t>
      </w:r>
      <w:r>
        <w:rPr>
          <w:color w:val="383638"/>
          <w:spacing w:val="-3"/>
          <w:w w:val="105"/>
        </w:rPr>
        <w:t> </w:t>
      </w:r>
      <w:r>
        <w:rPr>
          <w:i/>
          <w:color w:val="383638"/>
          <w:w w:val="105"/>
          <w:sz w:val="22"/>
        </w:rPr>
        <w:t>Miller</w:t>
      </w:r>
      <w:r>
        <w:rPr>
          <w:i/>
          <w:color w:val="383638"/>
          <w:spacing w:val="-20"/>
          <w:w w:val="105"/>
          <w:sz w:val="22"/>
        </w:rPr>
        <w:t> </w:t>
      </w:r>
      <w:r>
        <w:rPr>
          <w:i/>
          <w:color w:val="383638"/>
          <w:w w:val="105"/>
          <w:sz w:val="24"/>
        </w:rPr>
        <w:t>v.</w:t>
      </w:r>
      <w:r>
        <w:rPr>
          <w:i/>
          <w:color w:val="383638"/>
          <w:spacing w:val="-32"/>
          <w:w w:val="105"/>
          <w:sz w:val="24"/>
        </w:rPr>
        <w:t> </w:t>
      </w:r>
      <w:r>
        <w:rPr>
          <w:i/>
          <w:color w:val="383638"/>
          <w:w w:val="105"/>
          <w:sz w:val="22"/>
        </w:rPr>
        <w:t>Albright,</w:t>
      </w:r>
      <w:r>
        <w:rPr>
          <w:i/>
          <w:color w:val="383638"/>
          <w:spacing w:val="-10"/>
          <w:w w:val="105"/>
          <w:sz w:val="22"/>
        </w:rPr>
        <w:t> </w:t>
      </w:r>
      <w:r>
        <w:rPr>
          <w:color w:val="383638"/>
          <w:w w:val="105"/>
        </w:rPr>
        <w:t>523</w:t>
      </w:r>
      <w:r>
        <w:rPr>
          <w:color w:val="383638"/>
          <w:spacing w:val="3"/>
          <w:w w:val="105"/>
        </w:rPr>
        <w:t> </w:t>
      </w:r>
      <w:r>
        <w:rPr>
          <w:color w:val="383638"/>
          <w:w w:val="105"/>
        </w:rPr>
        <w:t>U.S.</w:t>
      </w:r>
    </w:p>
    <w:p>
      <w:pPr>
        <w:spacing w:line="235" w:lineRule="auto" w:before="0"/>
        <w:ind w:left="865" w:right="109" w:hanging="9"/>
        <w:jc w:val="both"/>
        <w:rPr>
          <w:i/>
          <w:sz w:val="22"/>
        </w:rPr>
      </w:pPr>
      <w:r>
        <w:rPr>
          <w:color w:val="383638"/>
          <w:w w:val="105"/>
          <w:sz w:val="23"/>
        </w:rPr>
        <w:t>420 (1998); and </w:t>
      </w:r>
      <w:r>
        <w:rPr>
          <w:i/>
          <w:color w:val="383638"/>
          <w:w w:val="105"/>
          <w:sz w:val="22"/>
        </w:rPr>
        <w:t>Rubin v. Coors Brewing Co., </w:t>
      </w:r>
      <w:r>
        <w:rPr>
          <w:color w:val="383638"/>
          <w:w w:val="105"/>
          <w:sz w:val="23"/>
        </w:rPr>
        <w:t>514 U.S. 476 (1995) (argued as</w:t>
      </w:r>
      <w:r>
        <w:rPr>
          <w:color w:val="383638"/>
          <w:spacing w:val="1"/>
          <w:w w:val="105"/>
          <w:sz w:val="23"/>
        </w:rPr>
        <w:t> </w:t>
      </w:r>
      <w:r>
        <w:rPr>
          <w:i/>
          <w:color w:val="383638"/>
          <w:w w:val="105"/>
          <w:sz w:val="23"/>
        </w:rPr>
        <w:t>Bentsen v. </w:t>
      </w:r>
      <w:r>
        <w:rPr>
          <w:i/>
          <w:color w:val="383638"/>
          <w:w w:val="105"/>
          <w:sz w:val="22"/>
        </w:rPr>
        <w:t>Adolph Coors Co.). </w:t>
      </w:r>
      <w:r>
        <w:rPr>
          <w:color w:val="383638"/>
          <w:w w:val="105"/>
          <w:sz w:val="23"/>
        </w:rPr>
        <w:t>There are also scattered examples from stu­</w:t>
      </w:r>
      <w:r>
        <w:rPr>
          <w:color w:val="383638"/>
          <w:spacing w:val="1"/>
          <w:w w:val="105"/>
          <w:sz w:val="23"/>
        </w:rPr>
        <w:t> </w:t>
      </w:r>
      <w:r>
        <w:rPr>
          <w:color w:val="383638"/>
          <w:w w:val="105"/>
          <w:sz w:val="23"/>
        </w:rPr>
        <w:t>dent</w:t>
      </w:r>
      <w:r>
        <w:rPr>
          <w:color w:val="383638"/>
          <w:spacing w:val="5"/>
          <w:w w:val="105"/>
          <w:sz w:val="23"/>
        </w:rPr>
        <w:t> </w:t>
      </w:r>
      <w:r>
        <w:rPr>
          <w:color w:val="383638"/>
          <w:w w:val="105"/>
          <w:sz w:val="23"/>
        </w:rPr>
        <w:t>briefs</w:t>
      </w:r>
      <w:r>
        <w:rPr>
          <w:color w:val="383638"/>
          <w:spacing w:val="-6"/>
          <w:w w:val="105"/>
          <w:sz w:val="23"/>
        </w:rPr>
        <w:t> </w:t>
      </w:r>
      <w:r>
        <w:rPr>
          <w:color w:val="383638"/>
          <w:w w:val="105"/>
          <w:sz w:val="23"/>
        </w:rPr>
        <w:t>written</w:t>
      </w:r>
      <w:r>
        <w:rPr>
          <w:color w:val="383638"/>
          <w:spacing w:val="21"/>
          <w:w w:val="105"/>
          <w:sz w:val="23"/>
        </w:rPr>
        <w:t> </w:t>
      </w:r>
      <w:r>
        <w:rPr>
          <w:color w:val="383638"/>
          <w:w w:val="105"/>
          <w:sz w:val="23"/>
        </w:rPr>
        <w:t>for</w:t>
      </w:r>
      <w:r>
        <w:rPr>
          <w:color w:val="383638"/>
          <w:spacing w:val="1"/>
          <w:w w:val="105"/>
          <w:sz w:val="23"/>
        </w:rPr>
        <w:t> </w:t>
      </w:r>
      <w:r>
        <w:rPr>
          <w:i/>
          <w:color w:val="383638"/>
          <w:w w:val="105"/>
          <w:sz w:val="22"/>
        </w:rPr>
        <w:t>Ohio</w:t>
      </w:r>
      <w:r>
        <w:rPr>
          <w:i/>
          <w:color w:val="383638"/>
          <w:spacing w:val="-9"/>
          <w:w w:val="105"/>
          <w:sz w:val="22"/>
        </w:rPr>
        <w:t> </w:t>
      </w:r>
      <w:r>
        <w:rPr>
          <w:i/>
          <w:color w:val="383638"/>
          <w:w w:val="105"/>
          <w:sz w:val="22"/>
        </w:rPr>
        <w:t>v.</w:t>
      </w:r>
      <w:r>
        <w:rPr>
          <w:i/>
          <w:color w:val="383638"/>
          <w:spacing w:val="9"/>
          <w:w w:val="105"/>
          <w:sz w:val="22"/>
        </w:rPr>
        <w:t> </w:t>
      </w:r>
      <w:r>
        <w:rPr>
          <w:i/>
          <w:color w:val="383638"/>
          <w:w w:val="105"/>
          <w:sz w:val="22"/>
        </w:rPr>
        <w:t>Robinette,</w:t>
      </w:r>
      <w:r>
        <w:rPr>
          <w:i/>
          <w:color w:val="383638"/>
          <w:spacing w:val="1"/>
          <w:w w:val="105"/>
          <w:sz w:val="22"/>
        </w:rPr>
        <w:t> </w:t>
      </w:r>
      <w:r>
        <w:rPr>
          <w:color w:val="383638"/>
          <w:w w:val="105"/>
          <w:sz w:val="23"/>
        </w:rPr>
        <w:t>519</w:t>
      </w:r>
      <w:r>
        <w:rPr>
          <w:color w:val="383638"/>
          <w:spacing w:val="26"/>
          <w:w w:val="105"/>
          <w:sz w:val="23"/>
        </w:rPr>
        <w:t> </w:t>
      </w:r>
      <w:r>
        <w:rPr>
          <w:color w:val="383638"/>
          <w:w w:val="105"/>
          <w:sz w:val="23"/>
        </w:rPr>
        <w:t>U.S.</w:t>
      </w:r>
      <w:r>
        <w:rPr>
          <w:color w:val="383638"/>
          <w:spacing w:val="-2"/>
          <w:w w:val="105"/>
          <w:sz w:val="23"/>
        </w:rPr>
        <w:t> </w:t>
      </w:r>
      <w:r>
        <w:rPr>
          <w:color w:val="383638"/>
          <w:w w:val="105"/>
          <w:sz w:val="23"/>
        </w:rPr>
        <w:t>33</w:t>
      </w:r>
      <w:r>
        <w:rPr>
          <w:color w:val="383638"/>
          <w:spacing w:val="27"/>
          <w:w w:val="105"/>
          <w:sz w:val="23"/>
        </w:rPr>
        <w:t> </w:t>
      </w:r>
      <w:r>
        <w:rPr>
          <w:color w:val="383638"/>
          <w:w w:val="105"/>
          <w:sz w:val="23"/>
        </w:rPr>
        <w:t>(1996);</w:t>
      </w:r>
      <w:r>
        <w:rPr>
          <w:color w:val="383638"/>
          <w:spacing w:val="12"/>
          <w:w w:val="105"/>
          <w:sz w:val="23"/>
        </w:rPr>
        <w:t> </w:t>
      </w:r>
      <w:r>
        <w:rPr>
          <w:i/>
          <w:color w:val="383638"/>
          <w:w w:val="105"/>
          <w:sz w:val="22"/>
        </w:rPr>
        <w:t>City</w:t>
      </w:r>
      <w:r>
        <w:rPr>
          <w:i/>
          <w:color w:val="383638"/>
          <w:spacing w:val="-3"/>
          <w:w w:val="105"/>
          <w:sz w:val="22"/>
        </w:rPr>
        <w:t> </w:t>
      </w:r>
      <w:r>
        <w:rPr>
          <w:i/>
          <w:color w:val="383638"/>
          <w:w w:val="105"/>
          <w:sz w:val="22"/>
        </w:rPr>
        <w:t>of</w:t>
      </w:r>
      <w:r>
        <w:rPr>
          <w:i/>
          <w:color w:val="383638"/>
          <w:spacing w:val="6"/>
          <w:w w:val="105"/>
          <w:sz w:val="22"/>
        </w:rPr>
        <w:t> </w:t>
      </w:r>
      <w:r>
        <w:rPr>
          <w:i/>
          <w:color w:val="383638"/>
          <w:w w:val="105"/>
          <w:sz w:val="22"/>
        </w:rPr>
        <w:t>Chicago</w:t>
      </w:r>
    </w:p>
    <w:p>
      <w:pPr>
        <w:spacing w:line="230" w:lineRule="auto" w:before="0"/>
        <w:ind w:left="823" w:right="113" w:firstLine="41"/>
        <w:jc w:val="both"/>
        <w:rPr>
          <w:sz w:val="23"/>
        </w:rPr>
      </w:pPr>
      <w:r>
        <w:rPr>
          <w:i/>
          <w:color w:val="383638"/>
          <w:sz w:val="25"/>
        </w:rPr>
        <w:t>v. </w:t>
      </w:r>
      <w:r>
        <w:rPr>
          <w:i/>
          <w:color w:val="383638"/>
          <w:sz w:val="22"/>
        </w:rPr>
        <w:t>Morales</w:t>
      </w:r>
      <w:r>
        <w:rPr>
          <w:i/>
          <w:color w:val="59595B"/>
          <w:sz w:val="22"/>
        </w:rPr>
        <w:t>,</w:t>
      </w:r>
      <w:r>
        <w:rPr>
          <w:i/>
          <w:color w:val="59595B"/>
          <w:spacing w:val="1"/>
          <w:sz w:val="22"/>
        </w:rPr>
        <w:t> </w:t>
      </w:r>
      <w:r>
        <w:rPr>
          <w:color w:val="383638"/>
          <w:sz w:val="23"/>
        </w:rPr>
        <w:t>527</w:t>
      </w:r>
      <w:r>
        <w:rPr>
          <w:color w:val="383638"/>
          <w:spacing w:val="1"/>
          <w:sz w:val="23"/>
        </w:rPr>
        <w:t> </w:t>
      </w:r>
      <w:r>
        <w:rPr>
          <w:color w:val="383638"/>
          <w:sz w:val="23"/>
        </w:rPr>
        <w:t>U.S. 41</w:t>
      </w:r>
      <w:r>
        <w:rPr>
          <w:color w:val="383638"/>
          <w:spacing w:val="57"/>
          <w:sz w:val="23"/>
        </w:rPr>
        <w:t> </w:t>
      </w:r>
      <w:r>
        <w:rPr>
          <w:color w:val="383638"/>
          <w:sz w:val="23"/>
        </w:rPr>
        <w:t>(1999); </w:t>
      </w:r>
      <w:r>
        <w:rPr>
          <w:i/>
          <w:color w:val="383638"/>
          <w:sz w:val="22"/>
        </w:rPr>
        <w:t>Holloway </w:t>
      </w:r>
      <w:r>
        <w:rPr>
          <w:i/>
          <w:color w:val="383638"/>
          <w:sz w:val="25"/>
        </w:rPr>
        <w:t>v. </w:t>
      </w:r>
      <w:r>
        <w:rPr>
          <w:i/>
          <w:color w:val="383638"/>
          <w:sz w:val="22"/>
        </w:rPr>
        <w:t>United States, </w:t>
      </w:r>
      <w:r>
        <w:rPr>
          <w:color w:val="383638"/>
          <w:sz w:val="23"/>
        </w:rPr>
        <w:t>526 U.S. 1 (1999);</w:t>
      </w:r>
      <w:r>
        <w:rPr>
          <w:color w:val="383638"/>
          <w:spacing w:val="1"/>
          <w:sz w:val="23"/>
        </w:rPr>
        <w:t> </w:t>
      </w:r>
      <w:r>
        <w:rPr>
          <w:color w:val="383638"/>
          <w:w w:val="105"/>
          <w:sz w:val="23"/>
        </w:rPr>
        <w:t>and </w:t>
      </w:r>
      <w:r>
        <w:rPr>
          <w:i/>
          <w:color w:val="383638"/>
          <w:w w:val="105"/>
          <w:sz w:val="23"/>
        </w:rPr>
        <w:t>City of Indianapolis v. </w:t>
      </w:r>
      <w:r>
        <w:rPr>
          <w:i/>
          <w:color w:val="383638"/>
          <w:w w:val="105"/>
          <w:sz w:val="22"/>
        </w:rPr>
        <w:t>Edmond, </w:t>
      </w:r>
      <w:r>
        <w:rPr>
          <w:color w:val="383638"/>
          <w:w w:val="105"/>
          <w:sz w:val="23"/>
        </w:rPr>
        <w:t>531 U.S. 32 (2000)</w:t>
      </w:r>
      <w:r>
        <w:rPr>
          <w:color w:val="59595B"/>
          <w:w w:val="105"/>
          <w:sz w:val="23"/>
        </w:rPr>
        <w:t>. </w:t>
      </w:r>
      <w:r>
        <w:rPr>
          <w:color w:val="383638"/>
          <w:w w:val="105"/>
          <w:sz w:val="23"/>
        </w:rPr>
        <w:t>Many of the motion</w:t>
      </w:r>
      <w:r>
        <w:rPr>
          <w:color w:val="383638"/>
          <w:spacing w:val="1"/>
          <w:w w:val="105"/>
          <w:sz w:val="23"/>
        </w:rPr>
        <w:t> </w:t>
      </w:r>
      <w:r>
        <w:rPr>
          <w:color w:val="383638"/>
          <w:w w:val="105"/>
          <w:sz w:val="23"/>
        </w:rPr>
        <w:t>brief examples are based on a fictional case, </w:t>
      </w:r>
      <w:r>
        <w:rPr>
          <w:i/>
          <w:color w:val="383638"/>
          <w:w w:val="105"/>
          <w:sz w:val="22"/>
        </w:rPr>
        <w:t>Garrett v. Kirkby, </w:t>
      </w:r>
      <w:r>
        <w:rPr>
          <w:color w:val="383638"/>
          <w:w w:val="105"/>
          <w:sz w:val="23"/>
        </w:rPr>
        <w:t>in which the</w:t>
      </w:r>
      <w:r>
        <w:rPr>
          <w:color w:val="383638"/>
          <w:spacing w:val="1"/>
          <w:w w:val="105"/>
          <w:sz w:val="23"/>
        </w:rPr>
        <w:t> </w:t>
      </w:r>
      <w:r>
        <w:rPr>
          <w:color w:val="383638"/>
          <w:spacing w:val="-1"/>
          <w:w w:val="110"/>
          <w:sz w:val="23"/>
        </w:rPr>
        <w:t>issue</w:t>
      </w:r>
      <w:r>
        <w:rPr>
          <w:color w:val="383638"/>
          <w:spacing w:val="-22"/>
          <w:w w:val="110"/>
          <w:sz w:val="23"/>
        </w:rPr>
        <w:t> </w:t>
      </w:r>
      <w:r>
        <w:rPr>
          <w:color w:val="383638"/>
          <w:spacing w:val="-1"/>
          <w:w w:val="110"/>
          <w:sz w:val="23"/>
        </w:rPr>
        <w:t>is</w:t>
      </w:r>
      <w:r>
        <w:rPr>
          <w:color w:val="383638"/>
          <w:spacing w:val="-16"/>
          <w:w w:val="110"/>
          <w:sz w:val="23"/>
        </w:rPr>
        <w:t> </w:t>
      </w:r>
      <w:r>
        <w:rPr>
          <w:color w:val="383638"/>
          <w:spacing w:val="-1"/>
          <w:w w:val="110"/>
          <w:sz w:val="23"/>
        </w:rPr>
        <w:t>whether</w:t>
      </w:r>
      <w:r>
        <w:rPr>
          <w:color w:val="383638"/>
          <w:spacing w:val="-9"/>
          <w:w w:val="110"/>
          <w:sz w:val="23"/>
        </w:rPr>
        <w:t> </w:t>
      </w:r>
      <w:r>
        <w:rPr>
          <w:color w:val="383638"/>
          <w:spacing w:val="-1"/>
          <w:w w:val="110"/>
          <w:sz w:val="23"/>
        </w:rPr>
        <w:t>a</w:t>
      </w:r>
      <w:r>
        <w:rPr>
          <w:color w:val="383638"/>
          <w:spacing w:val="-21"/>
          <w:w w:val="110"/>
          <w:sz w:val="23"/>
        </w:rPr>
        <w:t> </w:t>
      </w:r>
      <w:r>
        <w:rPr>
          <w:color w:val="383638"/>
          <w:spacing w:val="-1"/>
          <w:w w:val="110"/>
          <w:sz w:val="23"/>
        </w:rPr>
        <w:t>supervisor</w:t>
      </w:r>
      <w:r>
        <w:rPr>
          <w:color w:val="383638"/>
          <w:spacing w:val="-10"/>
          <w:w w:val="110"/>
          <w:sz w:val="23"/>
        </w:rPr>
        <w:t> </w:t>
      </w:r>
      <w:r>
        <w:rPr>
          <w:color w:val="383638"/>
          <w:spacing w:val="-1"/>
          <w:w w:val="110"/>
          <w:sz w:val="23"/>
        </w:rPr>
        <w:t>can</w:t>
      </w:r>
      <w:r>
        <w:rPr>
          <w:color w:val="383638"/>
          <w:spacing w:val="11"/>
          <w:w w:val="110"/>
          <w:sz w:val="23"/>
        </w:rPr>
        <w:t> </w:t>
      </w:r>
      <w:r>
        <w:rPr>
          <w:color w:val="383638"/>
          <w:w w:val="110"/>
          <w:sz w:val="23"/>
        </w:rPr>
        <w:t>be</w:t>
      </w:r>
      <w:r>
        <w:rPr>
          <w:color w:val="383638"/>
          <w:spacing w:val="-5"/>
          <w:w w:val="110"/>
          <w:sz w:val="23"/>
        </w:rPr>
        <w:t> </w:t>
      </w:r>
      <w:r>
        <w:rPr>
          <w:color w:val="383638"/>
          <w:w w:val="110"/>
          <w:sz w:val="23"/>
        </w:rPr>
        <w:t>held</w:t>
      </w:r>
      <w:r>
        <w:rPr>
          <w:color w:val="383638"/>
          <w:spacing w:val="-4"/>
          <w:w w:val="110"/>
          <w:sz w:val="23"/>
        </w:rPr>
        <w:t> </w:t>
      </w:r>
      <w:r>
        <w:rPr>
          <w:color w:val="383638"/>
          <w:w w:val="110"/>
          <w:sz w:val="23"/>
        </w:rPr>
        <w:t>individually</w:t>
      </w:r>
      <w:r>
        <w:rPr>
          <w:color w:val="383638"/>
          <w:spacing w:val="4"/>
          <w:w w:val="110"/>
          <w:sz w:val="23"/>
        </w:rPr>
        <w:t> </w:t>
      </w:r>
      <w:r>
        <w:rPr>
          <w:color w:val="383638"/>
          <w:w w:val="110"/>
          <w:sz w:val="23"/>
        </w:rPr>
        <w:t>liable</w:t>
      </w:r>
      <w:r>
        <w:rPr>
          <w:color w:val="383638"/>
          <w:spacing w:val="-12"/>
          <w:w w:val="110"/>
          <w:sz w:val="23"/>
        </w:rPr>
        <w:t> </w:t>
      </w:r>
      <w:r>
        <w:rPr>
          <w:color w:val="383638"/>
          <w:w w:val="110"/>
          <w:sz w:val="23"/>
        </w:rPr>
        <w:t>under</w:t>
      </w:r>
      <w:r>
        <w:rPr>
          <w:color w:val="383638"/>
          <w:spacing w:val="-18"/>
          <w:w w:val="110"/>
          <w:sz w:val="23"/>
        </w:rPr>
        <w:t> </w:t>
      </w:r>
      <w:r>
        <w:rPr>
          <w:color w:val="383638"/>
          <w:w w:val="110"/>
          <w:sz w:val="23"/>
        </w:rPr>
        <w:t>Title</w:t>
      </w:r>
      <w:r>
        <w:rPr>
          <w:color w:val="383638"/>
          <w:spacing w:val="-18"/>
          <w:w w:val="110"/>
          <w:sz w:val="23"/>
        </w:rPr>
        <w:t> </w:t>
      </w:r>
      <w:r>
        <w:rPr>
          <w:color w:val="383638"/>
          <w:w w:val="110"/>
          <w:sz w:val="23"/>
        </w:rPr>
        <w:t>VII</w:t>
      </w:r>
      <w:r>
        <w:rPr>
          <w:color w:val="383638"/>
          <w:spacing w:val="-61"/>
          <w:w w:val="110"/>
          <w:sz w:val="23"/>
        </w:rPr>
        <w:t> </w:t>
      </w:r>
      <w:r>
        <w:rPr>
          <w:color w:val="383638"/>
          <w:spacing w:val="-1"/>
          <w:w w:val="110"/>
          <w:sz w:val="23"/>
        </w:rPr>
        <w:t>as</w:t>
      </w:r>
      <w:r>
        <w:rPr>
          <w:color w:val="383638"/>
          <w:spacing w:val="14"/>
          <w:w w:val="110"/>
          <w:sz w:val="23"/>
        </w:rPr>
        <w:t> </w:t>
      </w:r>
      <w:r>
        <w:rPr>
          <w:color w:val="383638"/>
          <w:spacing w:val="-1"/>
          <w:w w:val="110"/>
          <w:sz w:val="23"/>
        </w:rPr>
        <w:t>an</w:t>
      </w:r>
      <w:r>
        <w:rPr>
          <w:color w:val="383638"/>
          <w:spacing w:val="40"/>
          <w:w w:val="110"/>
          <w:sz w:val="23"/>
        </w:rPr>
        <w:t> </w:t>
      </w:r>
      <w:r>
        <w:rPr>
          <w:color w:val="383638"/>
          <w:spacing w:val="-1"/>
          <w:w w:val="110"/>
          <w:sz w:val="23"/>
        </w:rPr>
        <w:t>"employer"</w:t>
      </w:r>
      <w:r>
        <w:rPr>
          <w:color w:val="383638"/>
          <w:spacing w:val="-13"/>
          <w:w w:val="110"/>
          <w:sz w:val="23"/>
        </w:rPr>
        <w:t> </w:t>
      </w:r>
      <w:r>
        <w:rPr>
          <w:color w:val="383638"/>
          <w:spacing w:val="-1"/>
          <w:w w:val="110"/>
          <w:sz w:val="23"/>
        </w:rPr>
        <w:t>as</w:t>
      </w:r>
      <w:r>
        <w:rPr>
          <w:color w:val="383638"/>
          <w:spacing w:val="-7"/>
          <w:w w:val="110"/>
          <w:sz w:val="23"/>
        </w:rPr>
        <w:t> </w:t>
      </w:r>
      <w:r>
        <w:rPr>
          <w:color w:val="383638"/>
          <w:spacing w:val="-1"/>
          <w:w w:val="110"/>
          <w:sz w:val="23"/>
        </w:rPr>
        <w:t>that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term</w:t>
      </w:r>
      <w:r>
        <w:rPr>
          <w:color w:val="383638"/>
          <w:spacing w:val="-6"/>
          <w:w w:val="110"/>
          <w:sz w:val="23"/>
        </w:rPr>
        <w:t> </w:t>
      </w:r>
      <w:r>
        <w:rPr>
          <w:color w:val="383638"/>
          <w:w w:val="110"/>
          <w:sz w:val="23"/>
        </w:rPr>
        <w:t>is</w:t>
      </w:r>
      <w:r>
        <w:rPr>
          <w:color w:val="383638"/>
          <w:spacing w:val="-16"/>
          <w:w w:val="110"/>
          <w:sz w:val="23"/>
        </w:rPr>
        <w:t> </w:t>
      </w:r>
      <w:r>
        <w:rPr>
          <w:color w:val="383638"/>
          <w:w w:val="110"/>
          <w:sz w:val="23"/>
        </w:rPr>
        <w:t>defined</w:t>
      </w:r>
      <w:r>
        <w:rPr>
          <w:color w:val="383638"/>
          <w:spacing w:val="-13"/>
          <w:w w:val="110"/>
          <w:sz w:val="23"/>
        </w:rPr>
        <w:t> </w:t>
      </w:r>
      <w:r>
        <w:rPr>
          <w:color w:val="383638"/>
          <w:w w:val="110"/>
          <w:sz w:val="23"/>
        </w:rPr>
        <w:t>in</w:t>
      </w:r>
      <w:r>
        <w:rPr>
          <w:color w:val="383638"/>
          <w:spacing w:val="20"/>
          <w:w w:val="110"/>
          <w:sz w:val="23"/>
        </w:rPr>
        <w:t> </w:t>
      </w:r>
      <w:r>
        <w:rPr>
          <w:color w:val="383638"/>
          <w:w w:val="110"/>
          <w:sz w:val="23"/>
        </w:rPr>
        <w:t>42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U.S.C.</w:t>
      </w:r>
      <w:r>
        <w:rPr>
          <w:color w:val="383638"/>
          <w:spacing w:val="-18"/>
          <w:w w:val="110"/>
          <w:sz w:val="23"/>
        </w:rPr>
        <w:t> </w:t>
      </w:r>
      <w:r>
        <w:rPr>
          <w:color w:val="383638"/>
          <w:w w:val="110"/>
          <w:sz w:val="23"/>
        </w:rPr>
        <w:t>§2000e(b).</w:t>
      </w:r>
    </w:p>
    <w:p>
      <w:pPr>
        <w:pStyle w:val="BodyText"/>
        <w:spacing w:line="232" w:lineRule="auto"/>
        <w:ind w:left="755" w:right="101" w:firstLine="447"/>
        <w:jc w:val="both"/>
      </w:pPr>
      <w:r>
        <w:rPr>
          <w:color w:val="383638"/>
          <w:w w:val="115"/>
        </w:rPr>
        <w:t>Even the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good examples may not  be perfect, but they represent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good attempts by law students to write effectively. The sample briefs 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Appendix C contain marginal notes that point out passages that arepartic­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ularly</w:t>
      </w:r>
      <w:r>
        <w:rPr>
          <w:color w:val="383638"/>
          <w:spacing w:val="-23"/>
          <w:w w:val="110"/>
        </w:rPr>
        <w:t> </w:t>
      </w:r>
      <w:r>
        <w:rPr>
          <w:color w:val="383638"/>
          <w:spacing w:val="-1"/>
          <w:w w:val="110"/>
        </w:rPr>
        <w:t>effective,</w:t>
      </w:r>
      <w:r>
        <w:rPr>
          <w:color w:val="383638"/>
          <w:spacing w:val="-12"/>
          <w:w w:val="110"/>
        </w:rPr>
        <w:t> </w:t>
      </w:r>
      <w:r>
        <w:rPr>
          <w:color w:val="383638"/>
          <w:spacing w:val="-1"/>
          <w:w w:val="110"/>
        </w:rPr>
        <w:t>as</w:t>
      </w:r>
      <w:r>
        <w:rPr>
          <w:color w:val="383638"/>
          <w:spacing w:val="-6"/>
          <w:w w:val="110"/>
        </w:rPr>
        <w:t> </w:t>
      </w:r>
      <w:r>
        <w:rPr>
          <w:color w:val="383638"/>
          <w:spacing w:val="-1"/>
          <w:w w:val="110"/>
        </w:rPr>
        <w:t>well</w:t>
      </w:r>
      <w:r>
        <w:rPr>
          <w:color w:val="383638"/>
          <w:spacing w:val="-19"/>
          <w:w w:val="110"/>
        </w:rPr>
        <w:t> </w:t>
      </w:r>
      <w:r>
        <w:rPr>
          <w:color w:val="383638"/>
          <w:spacing w:val="-1"/>
          <w:w w:val="110"/>
        </w:rPr>
        <w:t>as</w:t>
      </w:r>
      <w:r>
        <w:rPr>
          <w:color w:val="383638"/>
          <w:spacing w:val="2"/>
          <w:w w:val="110"/>
        </w:rPr>
        <w:t> </w:t>
      </w:r>
      <w:r>
        <w:rPr>
          <w:color w:val="383638"/>
          <w:spacing w:val="-1"/>
          <w:w w:val="110"/>
        </w:rPr>
        <w:t>passages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might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be</w:t>
      </w:r>
      <w:r>
        <w:rPr>
          <w:color w:val="383638"/>
          <w:spacing w:val="-24"/>
          <w:w w:val="110"/>
        </w:rPr>
        <w:t> </w:t>
      </w:r>
      <w:r>
        <w:rPr>
          <w:color w:val="383638"/>
          <w:w w:val="110"/>
        </w:rPr>
        <w:t>made</w:t>
      </w:r>
      <w:r>
        <w:rPr>
          <w:color w:val="383638"/>
          <w:spacing w:val="-22"/>
          <w:w w:val="110"/>
        </w:rPr>
        <w:t> </w:t>
      </w:r>
      <w:r>
        <w:rPr>
          <w:color w:val="383638"/>
          <w:w w:val="110"/>
        </w:rPr>
        <w:t>even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more</w:t>
      </w:r>
      <w:r>
        <w:rPr>
          <w:color w:val="383638"/>
          <w:spacing w:val="-22"/>
          <w:w w:val="110"/>
        </w:rPr>
        <w:t> </w:t>
      </w:r>
      <w:r>
        <w:rPr>
          <w:color w:val="383638"/>
          <w:w w:val="110"/>
        </w:rPr>
        <w:t>effective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writer had made certain decisions differently. Some marginal notes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try to explain why certain peculiarities about the case may have led the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writer to choose a certain writing or organizational technique. Thus, when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 are deciding whether to imitate an example, you should first consider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whether the example is effective; second, decide whether your case pres­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ents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same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types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writing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concerns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9"/>
          <w:w w:val="110"/>
        </w:rPr>
        <w:t> </w:t>
      </w:r>
      <w:r>
        <w:rPr>
          <w:color w:val="383638"/>
          <w:w w:val="110"/>
        </w:rPr>
        <w:t>case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used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36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8"/>
          <w:w w:val="110"/>
        </w:rPr>
        <w:t> </w:t>
      </w:r>
      <w:r>
        <w:rPr>
          <w:color w:val="383638"/>
          <w:w w:val="110"/>
        </w:rPr>
        <w:t>example.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1362" w:right="0" w:firstLine="0"/>
        <w:jc w:val="left"/>
        <w:rPr>
          <w:rFonts w:ascii="Arial"/>
          <w:sz w:val="33"/>
        </w:rPr>
      </w:pPr>
      <w:r>
        <w:rPr>
          <w:rFonts w:ascii="Arial"/>
          <w:color w:val="757779"/>
          <w:w w:val="112"/>
          <w:sz w:val="33"/>
        </w:rPr>
        <w:t>2</w:t>
      </w:r>
    </w:p>
    <w:p>
      <w:pPr>
        <w:spacing w:line="336" w:lineRule="auto" w:before="80"/>
        <w:ind w:left="1340" w:right="620" w:firstLine="13"/>
        <w:jc w:val="left"/>
        <w:rPr>
          <w:rFonts w:ascii="Arial"/>
          <w:sz w:val="24"/>
        </w:rPr>
      </w:pPr>
      <w:r>
        <w:rPr>
          <w:rFonts w:ascii="Arial"/>
          <w:color w:val="858789"/>
          <w:w w:val="105"/>
          <w:sz w:val="24"/>
        </w:rPr>
        <w:t>NOTE THE TONE AND</w:t>
      </w:r>
      <w:r>
        <w:rPr>
          <w:rFonts w:ascii="Arial"/>
          <w:color w:val="858789"/>
          <w:spacing w:val="1"/>
          <w:w w:val="105"/>
          <w:sz w:val="24"/>
        </w:rPr>
        <w:t> </w:t>
      </w:r>
      <w:r>
        <w:rPr>
          <w:rFonts w:ascii="Arial"/>
          <w:color w:val="858789"/>
          <w:w w:val="105"/>
          <w:sz w:val="24"/>
        </w:rPr>
        <w:t>WRITING</w:t>
      </w:r>
      <w:r>
        <w:rPr>
          <w:rFonts w:ascii="Arial"/>
          <w:color w:val="858789"/>
          <w:spacing w:val="1"/>
          <w:w w:val="105"/>
          <w:sz w:val="24"/>
        </w:rPr>
        <w:t> </w:t>
      </w:r>
      <w:r>
        <w:rPr>
          <w:rFonts w:ascii="Arial"/>
          <w:color w:val="757779"/>
          <w:w w:val="105"/>
          <w:sz w:val="24"/>
        </w:rPr>
        <w:t>STYLE</w:t>
      </w:r>
      <w:r>
        <w:rPr>
          <w:rFonts w:ascii="Arial"/>
          <w:color w:val="757779"/>
          <w:spacing w:val="1"/>
          <w:w w:val="105"/>
          <w:sz w:val="24"/>
        </w:rPr>
        <w:t> </w:t>
      </w:r>
      <w:r>
        <w:rPr>
          <w:rFonts w:ascii="Arial"/>
          <w:color w:val="757779"/>
          <w:w w:val="105"/>
          <w:sz w:val="24"/>
        </w:rPr>
        <w:t>CONVENTIONS</w:t>
      </w:r>
      <w:r>
        <w:rPr>
          <w:rFonts w:ascii="Arial"/>
          <w:color w:val="757779"/>
          <w:spacing w:val="31"/>
          <w:w w:val="105"/>
          <w:sz w:val="24"/>
        </w:rPr>
        <w:t> </w:t>
      </w:r>
      <w:r>
        <w:rPr>
          <w:rFonts w:ascii="Arial"/>
          <w:color w:val="757779"/>
          <w:w w:val="105"/>
          <w:sz w:val="24"/>
        </w:rPr>
        <w:t>IN</w:t>
      </w:r>
      <w:r>
        <w:rPr>
          <w:rFonts w:ascii="Arial"/>
          <w:color w:val="757779"/>
          <w:spacing w:val="32"/>
          <w:w w:val="105"/>
          <w:sz w:val="24"/>
        </w:rPr>
        <w:t> </w:t>
      </w:r>
      <w:r>
        <w:rPr>
          <w:rFonts w:ascii="Arial"/>
          <w:color w:val="757779"/>
          <w:w w:val="105"/>
          <w:sz w:val="24"/>
        </w:rPr>
        <w:t>THE</w:t>
      </w:r>
      <w:r>
        <w:rPr>
          <w:rFonts w:ascii="Arial"/>
          <w:color w:val="757779"/>
          <w:spacing w:val="10"/>
          <w:w w:val="105"/>
          <w:sz w:val="24"/>
        </w:rPr>
        <w:t> </w:t>
      </w:r>
      <w:r>
        <w:rPr>
          <w:rFonts w:ascii="Arial"/>
          <w:color w:val="757779"/>
          <w:w w:val="105"/>
          <w:sz w:val="24"/>
        </w:rPr>
        <w:t>GOOD</w:t>
      </w:r>
      <w:r>
        <w:rPr>
          <w:rFonts w:ascii="Arial"/>
          <w:color w:val="757779"/>
          <w:spacing w:val="4"/>
          <w:w w:val="105"/>
          <w:sz w:val="24"/>
        </w:rPr>
        <w:t> </w:t>
      </w:r>
      <w:r>
        <w:rPr>
          <w:rFonts w:ascii="Arial"/>
          <w:color w:val="757779"/>
          <w:w w:val="105"/>
          <w:sz w:val="24"/>
        </w:rPr>
        <w:t>EXAMPLES</w:t>
      </w:r>
    </w:p>
    <w:p>
      <w:pPr>
        <w:pStyle w:val="BodyText"/>
        <w:spacing w:line="235" w:lineRule="auto" w:before="147"/>
        <w:ind w:left="684" w:right="126" w:firstLine="640"/>
        <w:jc w:val="both"/>
      </w:pPr>
      <w:r>
        <w:rPr>
          <w:color w:val="383638"/>
          <w:w w:val="110"/>
        </w:rPr>
        <w:t>Generally, you should imitate the tone and writing style in the good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examples and  not in the text itself. Tone and  writing style should change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to reflect the needs of particular types of documents and of particular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audiences, and only the examples are purposely written in the style that</w:t>
      </w:r>
      <w:r>
        <w:rPr>
          <w:color w:val="383638"/>
          <w:spacing w:val="1"/>
          <w:w w:val="115"/>
        </w:rPr>
        <w:t> </w:t>
      </w:r>
      <w:r>
        <w:rPr>
          <w:color w:val="383638"/>
          <w:spacing w:val="-1"/>
          <w:w w:val="115"/>
        </w:rPr>
        <w:t>is appropriate for brief writing. Your writing teachers </w:t>
      </w:r>
      <w:r>
        <w:rPr>
          <w:color w:val="383638"/>
          <w:w w:val="115"/>
        </w:rPr>
        <w:t>may have already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told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not</w:t>
      </w:r>
      <w:r>
        <w:rPr>
          <w:color w:val="383638"/>
          <w:spacing w:val="37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imitate</w:t>
      </w:r>
      <w:r>
        <w:rPr>
          <w:color w:val="383638"/>
          <w:spacing w:val="42"/>
          <w:w w:val="110"/>
        </w:rPr>
        <w:t> </w:t>
      </w:r>
      <w:r>
        <w:rPr>
          <w:color w:val="383638"/>
          <w:w w:val="110"/>
        </w:rPr>
        <w:t>judicial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writing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styles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because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46"/>
          <w:w w:val="110"/>
        </w:rPr>
        <w:t> </w:t>
      </w:r>
      <w:r>
        <w:rPr>
          <w:color w:val="383638"/>
          <w:w w:val="110"/>
        </w:rPr>
        <w:t>needs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46"/>
          <w:w w:val="110"/>
        </w:rPr>
        <w:t> </w:t>
      </w:r>
      <w:r>
        <w:rPr>
          <w:color w:val="383638"/>
          <w:w w:val="110"/>
        </w:rPr>
        <w:t>judges</w:t>
      </w:r>
    </w:p>
    <w:p>
      <w:pPr>
        <w:pStyle w:val="BodyText"/>
        <w:spacing w:line="235" w:lineRule="auto"/>
        <w:ind w:left="633" w:right="131" w:firstLine="45"/>
        <w:jc w:val="both"/>
      </w:pPr>
      <w:r>
        <w:rPr>
          <w:color w:val="383638"/>
          <w:w w:val="110"/>
        </w:rPr>
        <w:t>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clerks (the audience for a brief) differ from  the  needs of  the  readers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judicial decisions. Similarly, you should not model your brief-writing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style_after _the writing _style of t e</w:t>
      </w:r>
      <w:r>
        <w:rPr>
          <w:color w:val="383638"/>
          <w:spacing w:val="1"/>
          <w:w w:val="105"/>
        </w:rPr>
        <w:t> </w:t>
      </w:r>
      <w:r>
        <w:rPr>
          <w:i/>
          <w:color w:val="383638"/>
          <w:w w:val="105"/>
          <w:sz w:val="24"/>
        </w:rPr>
        <w:t>text </w:t>
      </w:r>
      <w:r>
        <w:rPr>
          <w:color w:val="383638"/>
          <w:w w:val="105"/>
        </w:rPr>
        <w:t>in this book. Unlike the good exam­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ples m this book, I did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not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wnte the </w:t>
      </w:r>
      <w:r>
        <w:rPr>
          <w:i/>
          <w:color w:val="383638"/>
          <w:w w:val="110"/>
          <w:sz w:val="22"/>
        </w:rPr>
        <w:t>text </w:t>
      </w:r>
      <w:r>
        <w:rPr>
          <w:color w:val="383638"/>
          <w:w w:val="110"/>
        </w:rPr>
        <w:t>material 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formal brief style.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Although</w:t>
      </w:r>
      <w:r>
        <w:rPr>
          <w:color w:val="383638"/>
          <w:spacing w:val="61"/>
          <w:w w:val="110"/>
        </w:rPr>
        <w:t> </w:t>
      </w:r>
      <w:r>
        <w:rPr>
          <w:color w:val="383638"/>
          <w:w w:val="110"/>
        </w:rPr>
        <w:t>I</w:t>
      </w:r>
      <w:r>
        <w:rPr>
          <w:color w:val="383638"/>
          <w:spacing w:val="29"/>
          <w:w w:val="110"/>
        </w:rPr>
        <w:t> </w:t>
      </w:r>
      <w:r>
        <w:rPr>
          <w:color w:val="383638"/>
          <w:w w:val="110"/>
        </w:rPr>
        <w:t>followed 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many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conventions 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32"/>
          <w:w w:val="110"/>
        </w:rPr>
        <w:t> </w:t>
      </w:r>
      <w:r>
        <w:rPr>
          <w:color w:val="383638"/>
          <w:w w:val="110"/>
        </w:rPr>
        <w:t>also</w:t>
      </w:r>
      <w:r>
        <w:rPr>
          <w:color w:val="383638"/>
          <w:spacing w:val="32"/>
          <w:w w:val="110"/>
        </w:rPr>
        <w:t> </w:t>
      </w:r>
      <w:r>
        <w:rPr>
          <w:color w:val="383638"/>
          <w:w w:val="110"/>
        </w:rPr>
        <w:t>apply</w:t>
      </w:r>
      <w:r>
        <w:rPr>
          <w:color w:val="383638"/>
          <w:spacing w:val="38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51"/>
          <w:w w:val="110"/>
        </w:rPr>
        <w:t> </w:t>
      </w:r>
      <w:r>
        <w:rPr>
          <w:color w:val="383638"/>
          <w:w w:val="110"/>
        </w:rPr>
        <w:t>brief  writing,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</w:t>
      </w:r>
      <w:r>
        <w:rPr>
          <w:color w:val="383638"/>
          <w:spacing w:val="41"/>
          <w:w w:val="110"/>
        </w:rPr>
        <w:t> </w:t>
      </w:r>
      <w:r>
        <w:rPr>
          <w:color w:val="383638"/>
          <w:w w:val="110"/>
        </w:rPr>
        <w:t>used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58"/>
          <w:w w:val="110"/>
        </w:rPr>
        <w:t> </w:t>
      </w:r>
      <w:r>
        <w:rPr>
          <w:color w:val="383638"/>
          <w:w w:val="110"/>
        </w:rPr>
        <w:t>tone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39"/>
          <w:w w:val="110"/>
        </w:rPr>
        <w:t> </w:t>
      </w:r>
      <w:r>
        <w:rPr>
          <w:color w:val="383638"/>
          <w:w w:val="110"/>
        </w:rPr>
        <w:t>writing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style</w:t>
      </w:r>
      <w:r>
        <w:rPr>
          <w:color w:val="383638"/>
          <w:spacing w:val="34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more</w:t>
      </w:r>
      <w:r>
        <w:rPr>
          <w:color w:val="383638"/>
          <w:spacing w:val="30"/>
          <w:w w:val="110"/>
        </w:rPr>
        <w:t> </w:t>
      </w:r>
      <w:r>
        <w:rPr>
          <w:color w:val="383638"/>
          <w:w w:val="110"/>
        </w:rPr>
        <w:t>like</w:t>
      </w:r>
      <w:r>
        <w:rPr>
          <w:color w:val="383638"/>
          <w:spacing w:val="33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60"/>
          <w:w w:val="110"/>
        </w:rPr>
        <w:t> </w:t>
      </w:r>
      <w:r>
        <w:rPr>
          <w:color w:val="383638"/>
          <w:w w:val="110"/>
        </w:rPr>
        <w:t>one 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39"/>
          <w:w w:val="110"/>
        </w:rPr>
        <w:t> </w:t>
      </w:r>
      <w:r>
        <w:rPr>
          <w:color w:val="383638"/>
          <w:w w:val="110"/>
        </w:rPr>
        <w:t>I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use</w:t>
      </w:r>
      <w:r>
        <w:rPr>
          <w:color w:val="383638"/>
          <w:spacing w:val="-23"/>
          <w:w w:val="110"/>
        </w:rPr>
        <w:t> </w:t>
      </w:r>
      <w:r>
        <w:rPr>
          <w:color w:val="383638"/>
          <w:w w:val="110"/>
        </w:rPr>
        <w:t>when</w:t>
      </w:r>
    </w:p>
    <w:p>
      <w:pPr>
        <w:spacing w:after="0" w:line="235" w:lineRule="auto"/>
        <w:jc w:val="both"/>
        <w:sectPr>
          <w:headerReference w:type="default" r:id="rId15"/>
          <w:pgSz w:w="9740" w:h="13770"/>
          <w:pgMar w:header="0" w:footer="0" w:top="0" w:bottom="280" w:left="1000" w:right="260"/>
        </w:sectPr>
      </w:pPr>
    </w:p>
    <w:p>
      <w:pPr>
        <w:tabs>
          <w:tab w:pos="8029" w:val="left" w:leader="none"/>
        </w:tabs>
        <w:spacing w:before="70"/>
        <w:ind w:left="2072" w:right="0" w:firstLine="0"/>
        <w:jc w:val="left"/>
        <w:rPr>
          <w:rFonts w:ascii="Arial"/>
          <w:sz w:val="18"/>
        </w:rPr>
      </w:pPr>
      <w:r>
        <w:rPr>
          <w:rFonts w:ascii="Arial"/>
          <w:color w:val="363434"/>
          <w:sz w:val="18"/>
        </w:rPr>
        <w:t>2</w:t>
      </w:r>
      <w:r>
        <w:rPr>
          <w:rFonts w:ascii="Arial"/>
          <w:color w:val="363434"/>
          <w:spacing w:val="25"/>
          <w:sz w:val="18"/>
        </w:rPr>
        <w:t> </w:t>
      </w:r>
      <w:r>
        <w:rPr>
          <w:rFonts w:ascii="Arial"/>
          <w:color w:val="363434"/>
          <w:sz w:val="18"/>
        </w:rPr>
        <w:t>Note</w:t>
      </w:r>
      <w:r>
        <w:rPr>
          <w:rFonts w:ascii="Arial"/>
          <w:color w:val="363434"/>
          <w:spacing w:val="-11"/>
          <w:sz w:val="18"/>
        </w:rPr>
        <w:t> </w:t>
      </w:r>
      <w:r>
        <w:rPr>
          <w:rFonts w:ascii="Arial"/>
          <w:color w:val="363434"/>
          <w:sz w:val="18"/>
        </w:rPr>
        <w:t>the</w:t>
      </w:r>
      <w:r>
        <w:rPr>
          <w:rFonts w:ascii="Arial"/>
          <w:color w:val="363434"/>
          <w:spacing w:val="-25"/>
          <w:sz w:val="18"/>
        </w:rPr>
        <w:t> </w:t>
      </w:r>
      <w:r>
        <w:rPr>
          <w:rFonts w:ascii="Arial"/>
          <w:color w:val="363434"/>
          <w:sz w:val="18"/>
        </w:rPr>
        <w:t>Tone</w:t>
      </w:r>
      <w:r>
        <w:rPr>
          <w:rFonts w:ascii="Arial"/>
          <w:color w:val="363434"/>
          <w:spacing w:val="-12"/>
          <w:sz w:val="18"/>
        </w:rPr>
        <w:t> </w:t>
      </w:r>
      <w:r>
        <w:rPr>
          <w:rFonts w:ascii="Arial"/>
          <w:color w:val="363434"/>
          <w:sz w:val="18"/>
        </w:rPr>
        <w:t>and</w:t>
      </w:r>
      <w:r>
        <w:rPr>
          <w:rFonts w:ascii="Arial"/>
          <w:color w:val="363434"/>
          <w:spacing w:val="-18"/>
          <w:sz w:val="18"/>
        </w:rPr>
        <w:t> </w:t>
      </w:r>
      <w:r>
        <w:rPr>
          <w:rFonts w:ascii="Arial"/>
          <w:color w:val="363434"/>
          <w:sz w:val="18"/>
        </w:rPr>
        <w:t>Writing</w:t>
      </w:r>
      <w:r>
        <w:rPr>
          <w:rFonts w:ascii="Arial"/>
          <w:color w:val="363434"/>
          <w:spacing w:val="-3"/>
          <w:sz w:val="18"/>
        </w:rPr>
        <w:t> </w:t>
      </w:r>
      <w:r>
        <w:rPr>
          <w:rFonts w:ascii="Arial"/>
          <w:color w:val="363434"/>
          <w:sz w:val="18"/>
        </w:rPr>
        <w:t>Style</w:t>
      </w:r>
      <w:r>
        <w:rPr>
          <w:rFonts w:ascii="Arial"/>
          <w:color w:val="363434"/>
          <w:spacing w:val="-15"/>
          <w:sz w:val="18"/>
        </w:rPr>
        <w:t> </w:t>
      </w:r>
      <w:r>
        <w:rPr>
          <w:rFonts w:ascii="Arial"/>
          <w:color w:val="363434"/>
          <w:sz w:val="18"/>
        </w:rPr>
        <w:t>Conventions</w:t>
      </w:r>
      <w:r>
        <w:rPr>
          <w:rFonts w:ascii="Arial"/>
          <w:color w:val="363434"/>
          <w:spacing w:val="1"/>
          <w:sz w:val="18"/>
        </w:rPr>
        <w:t> </w:t>
      </w:r>
      <w:r>
        <w:rPr>
          <w:rFonts w:ascii="Arial"/>
          <w:color w:val="363434"/>
          <w:sz w:val="18"/>
        </w:rPr>
        <w:t>in</w:t>
      </w:r>
      <w:r>
        <w:rPr>
          <w:rFonts w:ascii="Arial"/>
          <w:color w:val="363434"/>
          <w:spacing w:val="24"/>
          <w:sz w:val="18"/>
        </w:rPr>
        <w:t> </w:t>
      </w:r>
      <w:r>
        <w:rPr>
          <w:rFonts w:ascii="Arial"/>
          <w:color w:val="363434"/>
          <w:sz w:val="18"/>
        </w:rPr>
        <w:t>the</w:t>
      </w:r>
      <w:r>
        <w:rPr>
          <w:rFonts w:ascii="Arial"/>
          <w:color w:val="363434"/>
          <w:spacing w:val="-21"/>
          <w:sz w:val="18"/>
        </w:rPr>
        <w:t> </w:t>
      </w:r>
      <w:r>
        <w:rPr>
          <w:rFonts w:ascii="Arial"/>
          <w:color w:val="363434"/>
          <w:sz w:val="18"/>
        </w:rPr>
        <w:t>Good</w:t>
      </w:r>
      <w:r>
        <w:rPr>
          <w:rFonts w:ascii="Arial"/>
          <w:color w:val="363434"/>
          <w:spacing w:val="-18"/>
          <w:sz w:val="18"/>
        </w:rPr>
        <w:t> </w:t>
      </w:r>
      <w:r>
        <w:rPr>
          <w:rFonts w:ascii="Arial"/>
          <w:color w:val="363434"/>
          <w:sz w:val="18"/>
        </w:rPr>
        <w:t>Examples</w:t>
        <w:tab/>
      </w:r>
      <w:r>
        <w:rPr>
          <w:rFonts w:ascii="Arial"/>
          <w:color w:val="363434"/>
          <w:w w:val="105"/>
          <w:sz w:val="18"/>
        </w:rPr>
        <w:t>xxlll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2"/>
        </w:rPr>
      </w:pPr>
    </w:p>
    <w:p>
      <w:pPr>
        <w:spacing w:line="225" w:lineRule="auto" w:before="0"/>
        <w:ind w:left="109" w:right="830" w:firstLine="2"/>
        <w:jc w:val="both"/>
        <w:rPr>
          <w:sz w:val="24"/>
        </w:rPr>
      </w:pPr>
      <w:r>
        <w:rPr>
          <w:color w:val="363434"/>
          <w:spacing w:val="-1"/>
          <w:w w:val="110"/>
          <w:sz w:val="24"/>
        </w:rPr>
        <w:t>I write comments on student papers. I use contractions, attempt </w:t>
      </w:r>
      <w:r>
        <w:rPr>
          <w:color w:val="363434"/>
          <w:w w:val="110"/>
          <w:sz w:val="24"/>
        </w:rPr>
        <w:t>humor,</w:t>
      </w:r>
      <w:r>
        <w:rPr>
          <w:color w:val="363434"/>
          <w:spacing w:val="1"/>
          <w:w w:val="110"/>
          <w:sz w:val="24"/>
        </w:rPr>
        <w:t> </w:t>
      </w:r>
      <w:r>
        <w:rPr>
          <w:color w:val="363434"/>
          <w:w w:val="110"/>
          <w:sz w:val="24"/>
        </w:rPr>
        <w:t>and include unusual metaphors, many of which could easily hinder the</w:t>
      </w:r>
      <w:r>
        <w:rPr>
          <w:color w:val="363434"/>
          <w:spacing w:val="1"/>
          <w:w w:val="110"/>
          <w:sz w:val="24"/>
        </w:rPr>
        <w:t> </w:t>
      </w:r>
      <w:r>
        <w:rPr>
          <w:color w:val="363434"/>
          <w:w w:val="110"/>
          <w:sz w:val="24"/>
        </w:rPr>
        <w:t>effectiveness of a brief. Thus, you should use a particular writing tech­</w:t>
      </w:r>
      <w:r>
        <w:rPr>
          <w:color w:val="363434"/>
          <w:spacing w:val="1"/>
          <w:w w:val="110"/>
          <w:sz w:val="24"/>
        </w:rPr>
        <w:t> </w:t>
      </w:r>
      <w:r>
        <w:rPr>
          <w:color w:val="363434"/>
          <w:spacing w:val="-1"/>
          <w:w w:val="110"/>
          <w:sz w:val="24"/>
        </w:rPr>
        <w:t>nique </w:t>
      </w:r>
      <w:r>
        <w:rPr>
          <w:color w:val="363434"/>
          <w:w w:val="110"/>
          <w:sz w:val="24"/>
        </w:rPr>
        <w:t>only when that technique is consistent with the rules and conven­</w:t>
      </w:r>
      <w:r>
        <w:rPr>
          <w:color w:val="363434"/>
          <w:spacing w:val="-63"/>
          <w:w w:val="110"/>
          <w:sz w:val="24"/>
        </w:rPr>
        <w:t> </w:t>
      </w:r>
      <w:r>
        <w:rPr>
          <w:color w:val="363434"/>
          <w:w w:val="105"/>
          <w:sz w:val="24"/>
        </w:rPr>
        <w:t>tions</w:t>
      </w:r>
      <w:r>
        <w:rPr>
          <w:color w:val="363434"/>
          <w:spacing w:val="-24"/>
          <w:w w:val="105"/>
          <w:sz w:val="24"/>
        </w:rPr>
        <w:t> </w:t>
      </w:r>
      <w:r>
        <w:rPr>
          <w:color w:val="363434"/>
          <w:w w:val="105"/>
          <w:sz w:val="24"/>
        </w:rPr>
        <w:t>of</w:t>
      </w:r>
      <w:r>
        <w:rPr>
          <w:color w:val="363434"/>
          <w:spacing w:val="4"/>
          <w:w w:val="105"/>
          <w:sz w:val="24"/>
        </w:rPr>
        <w:t> </w:t>
      </w:r>
      <w:r>
        <w:rPr>
          <w:color w:val="363434"/>
          <w:w w:val="105"/>
          <w:sz w:val="24"/>
        </w:rPr>
        <w:t>the</w:t>
      </w:r>
      <w:r>
        <w:rPr>
          <w:color w:val="363434"/>
          <w:spacing w:val="20"/>
          <w:w w:val="105"/>
          <w:sz w:val="24"/>
        </w:rPr>
        <w:t> </w:t>
      </w:r>
      <w:r>
        <w:rPr>
          <w:color w:val="363434"/>
          <w:w w:val="105"/>
          <w:sz w:val="24"/>
        </w:rPr>
        <w:t>court</w:t>
      </w:r>
      <w:r>
        <w:rPr>
          <w:color w:val="363434"/>
          <w:spacing w:val="-7"/>
          <w:w w:val="105"/>
          <w:sz w:val="24"/>
        </w:rPr>
        <w:t> </w:t>
      </w:r>
      <w:r>
        <w:rPr>
          <w:color w:val="363434"/>
          <w:w w:val="105"/>
          <w:sz w:val="24"/>
        </w:rPr>
        <w:t>to</w:t>
      </w:r>
      <w:r>
        <w:rPr>
          <w:color w:val="363434"/>
          <w:spacing w:val="12"/>
          <w:w w:val="105"/>
          <w:sz w:val="24"/>
        </w:rPr>
        <w:t> </w:t>
      </w:r>
      <w:r>
        <w:rPr>
          <w:color w:val="363434"/>
          <w:w w:val="105"/>
          <w:sz w:val="24"/>
        </w:rPr>
        <w:t>which</w:t>
      </w:r>
      <w:r>
        <w:rPr>
          <w:color w:val="363434"/>
          <w:spacing w:val="7"/>
          <w:w w:val="105"/>
          <w:sz w:val="24"/>
        </w:rPr>
        <w:t> </w:t>
      </w:r>
      <w:r>
        <w:rPr>
          <w:color w:val="363434"/>
          <w:w w:val="105"/>
          <w:sz w:val="24"/>
        </w:rPr>
        <w:t>you</w:t>
      </w:r>
      <w:r>
        <w:rPr>
          <w:color w:val="363434"/>
          <w:spacing w:val="-6"/>
          <w:w w:val="105"/>
          <w:sz w:val="24"/>
        </w:rPr>
        <w:t> </w:t>
      </w:r>
      <w:r>
        <w:rPr>
          <w:color w:val="363434"/>
          <w:w w:val="105"/>
          <w:sz w:val="24"/>
        </w:rPr>
        <w:t>are</w:t>
      </w:r>
      <w:r>
        <w:rPr>
          <w:color w:val="363434"/>
          <w:spacing w:val="-5"/>
          <w:w w:val="105"/>
          <w:sz w:val="24"/>
        </w:rPr>
        <w:t> </w:t>
      </w:r>
      <w:r>
        <w:rPr>
          <w:color w:val="363434"/>
          <w:w w:val="105"/>
          <w:sz w:val="24"/>
        </w:rPr>
        <w:t>writing.</w:t>
      </w:r>
    </w:p>
    <w:p>
      <w:pPr>
        <w:spacing w:line="225" w:lineRule="auto" w:before="0"/>
        <w:ind w:left="110" w:right="824" w:firstLine="371"/>
        <w:jc w:val="both"/>
        <w:rPr>
          <w:sz w:val="24"/>
        </w:rPr>
      </w:pPr>
      <w:r>
        <w:rPr>
          <w:color w:val="363434"/>
          <w:w w:val="105"/>
          <w:sz w:val="24"/>
        </w:rPr>
        <w:t>Bearing these caveats in mind, the examples should provide an oppor­</w:t>
      </w:r>
      <w:r>
        <w:rPr>
          <w:color w:val="363434"/>
          <w:spacing w:val="1"/>
          <w:w w:val="105"/>
          <w:sz w:val="24"/>
        </w:rPr>
        <w:t> </w:t>
      </w:r>
      <w:r>
        <w:rPr>
          <w:color w:val="363434"/>
          <w:w w:val="105"/>
          <w:sz w:val="24"/>
        </w:rPr>
        <w:t>tunity for you to see how various writing decisions play out in the context</w:t>
      </w:r>
      <w:r>
        <w:rPr>
          <w:color w:val="363434"/>
          <w:spacing w:val="1"/>
          <w:w w:val="105"/>
          <w:sz w:val="24"/>
        </w:rPr>
        <w:t> </w:t>
      </w:r>
      <w:r>
        <w:rPr>
          <w:color w:val="363434"/>
          <w:w w:val="105"/>
          <w:sz w:val="24"/>
        </w:rPr>
        <w:t>of</w:t>
      </w:r>
      <w:r>
        <w:rPr>
          <w:color w:val="363434"/>
          <w:spacing w:val="18"/>
          <w:w w:val="105"/>
          <w:sz w:val="24"/>
        </w:rPr>
        <w:t> </w:t>
      </w:r>
      <w:r>
        <w:rPr>
          <w:color w:val="363434"/>
          <w:w w:val="105"/>
          <w:sz w:val="24"/>
        </w:rPr>
        <w:t>real cases</w:t>
      </w:r>
      <w:r>
        <w:rPr>
          <w:color w:val="363434"/>
          <w:spacing w:val="-14"/>
          <w:w w:val="105"/>
          <w:sz w:val="24"/>
        </w:rPr>
        <w:t> </w:t>
      </w:r>
      <w:r>
        <w:rPr>
          <w:color w:val="363434"/>
          <w:w w:val="105"/>
          <w:sz w:val="24"/>
        </w:rPr>
        <w:t>and</w:t>
      </w:r>
      <w:r>
        <w:rPr>
          <w:color w:val="363434"/>
          <w:spacing w:val="57"/>
          <w:w w:val="105"/>
          <w:sz w:val="24"/>
        </w:rPr>
        <w:t> </w:t>
      </w:r>
      <w:r>
        <w:rPr>
          <w:color w:val="363434"/>
          <w:w w:val="105"/>
          <w:sz w:val="24"/>
        </w:rPr>
        <w:t>real</w:t>
      </w:r>
      <w:r>
        <w:rPr>
          <w:color w:val="363434"/>
          <w:spacing w:val="10"/>
          <w:w w:val="105"/>
          <w:sz w:val="24"/>
        </w:rPr>
        <w:t> </w:t>
      </w:r>
      <w:r>
        <w:rPr>
          <w:color w:val="363434"/>
          <w:w w:val="105"/>
          <w:sz w:val="24"/>
        </w:rPr>
        <w:t>(student)</w:t>
      </w:r>
      <w:r>
        <w:rPr>
          <w:color w:val="363434"/>
          <w:spacing w:val="11"/>
          <w:w w:val="105"/>
          <w:sz w:val="24"/>
        </w:rPr>
        <w:t> </w:t>
      </w:r>
      <w:r>
        <w:rPr>
          <w:color w:val="363434"/>
          <w:w w:val="105"/>
          <w:sz w:val="24"/>
        </w:rPr>
        <w:t>briefs.</w:t>
      </w:r>
      <w:r>
        <w:rPr>
          <w:color w:val="363434"/>
          <w:spacing w:val="3"/>
          <w:w w:val="105"/>
          <w:sz w:val="24"/>
        </w:rPr>
        <w:t> </w:t>
      </w:r>
      <w:r>
        <w:rPr>
          <w:color w:val="363434"/>
          <w:w w:val="105"/>
          <w:sz w:val="24"/>
        </w:rPr>
        <w:t>I</w:t>
      </w:r>
      <w:r>
        <w:rPr>
          <w:color w:val="363434"/>
          <w:spacing w:val="17"/>
          <w:w w:val="105"/>
          <w:sz w:val="24"/>
        </w:rPr>
        <w:t> </w:t>
      </w:r>
      <w:r>
        <w:rPr>
          <w:color w:val="363434"/>
          <w:w w:val="105"/>
          <w:sz w:val="24"/>
        </w:rPr>
        <w:t>hope</w:t>
      </w:r>
      <w:r>
        <w:rPr>
          <w:color w:val="363434"/>
          <w:spacing w:val="-4"/>
          <w:w w:val="105"/>
          <w:sz w:val="24"/>
        </w:rPr>
        <w:t> </w:t>
      </w:r>
      <w:r>
        <w:rPr>
          <w:color w:val="363434"/>
          <w:w w:val="105"/>
          <w:sz w:val="24"/>
        </w:rPr>
        <w:t>that</w:t>
      </w:r>
      <w:r>
        <w:rPr>
          <w:color w:val="363434"/>
          <w:spacing w:val="4"/>
          <w:w w:val="105"/>
          <w:sz w:val="24"/>
        </w:rPr>
        <w:t> </w:t>
      </w:r>
      <w:r>
        <w:rPr>
          <w:color w:val="363434"/>
          <w:w w:val="105"/>
          <w:sz w:val="24"/>
        </w:rPr>
        <w:t>you</w:t>
      </w:r>
      <w:r>
        <w:rPr>
          <w:color w:val="363434"/>
          <w:spacing w:val="-5"/>
          <w:w w:val="105"/>
          <w:sz w:val="24"/>
        </w:rPr>
        <w:t> </w:t>
      </w:r>
      <w:r>
        <w:rPr>
          <w:color w:val="363434"/>
          <w:w w:val="105"/>
          <w:sz w:val="24"/>
        </w:rPr>
        <w:t>find</w:t>
      </w:r>
      <w:r>
        <w:rPr>
          <w:color w:val="363434"/>
          <w:spacing w:val="14"/>
          <w:w w:val="105"/>
          <w:sz w:val="24"/>
        </w:rPr>
        <w:t> </w:t>
      </w:r>
      <w:r>
        <w:rPr>
          <w:color w:val="363434"/>
          <w:w w:val="105"/>
          <w:sz w:val="24"/>
        </w:rPr>
        <w:t>them</w:t>
      </w:r>
      <w:r>
        <w:rPr>
          <w:color w:val="363434"/>
          <w:spacing w:val="16"/>
          <w:w w:val="105"/>
          <w:sz w:val="24"/>
        </w:rPr>
        <w:t> </w:t>
      </w:r>
      <w:r>
        <w:rPr>
          <w:color w:val="363434"/>
          <w:w w:val="105"/>
          <w:sz w:val="24"/>
        </w:rPr>
        <w:t>helpful.</w:t>
      </w:r>
    </w:p>
    <w:p>
      <w:pPr>
        <w:spacing w:after="0" w:line="225" w:lineRule="auto"/>
        <w:jc w:val="both"/>
        <w:rPr>
          <w:sz w:val="24"/>
        </w:rPr>
        <w:sectPr>
          <w:headerReference w:type="even" r:id="rId16"/>
          <w:pgSz w:w="9680" w:h="13730"/>
          <w:pgMar w:header="0" w:footer="0" w:top="380" w:bottom="280" w:left="46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562" w:lineRule="exact" w:before="213"/>
        <w:ind w:left="675" w:right="0" w:firstLine="0"/>
        <w:jc w:val="left"/>
        <w:rPr>
          <w:b/>
          <w:sz w:val="50"/>
        </w:rPr>
      </w:pPr>
      <w:r>
        <w:rPr>
          <w:color w:val="808285"/>
          <w:w w:val="110"/>
          <w:sz w:val="48"/>
        </w:rPr>
        <w:t>Ack01ow!edgments</w:t>
      </w:r>
      <w:r>
        <w:rPr>
          <w:color w:val="808285"/>
          <w:spacing w:val="-21"/>
          <w:w w:val="110"/>
          <w:sz w:val="48"/>
        </w:rPr>
        <w:t> </w:t>
      </w:r>
      <w:r>
        <w:rPr>
          <w:b/>
          <w:color w:val="727275"/>
          <w:w w:val="110"/>
          <w:sz w:val="50"/>
        </w:rPr>
        <w:t>to</w:t>
      </w:r>
      <w:r>
        <w:rPr>
          <w:b/>
          <w:color w:val="727275"/>
          <w:spacing w:val="9"/>
          <w:w w:val="110"/>
          <w:sz w:val="50"/>
        </w:rPr>
        <w:t> </w:t>
      </w:r>
      <w:r>
        <w:rPr>
          <w:b/>
          <w:color w:val="727275"/>
          <w:w w:val="110"/>
          <w:sz w:val="50"/>
        </w:rPr>
        <w:t>the</w:t>
      </w:r>
    </w:p>
    <w:p>
      <w:pPr>
        <w:spacing w:line="539" w:lineRule="exact" w:before="0"/>
        <w:ind w:left="709" w:right="0" w:firstLine="0"/>
        <w:jc w:val="left"/>
        <w:rPr>
          <w:rFonts w:ascii="Arial"/>
          <w:sz w:val="45"/>
        </w:rPr>
      </w:pPr>
      <w:r>
        <w:rPr>
          <w:color w:val="808285"/>
          <w:w w:val="95"/>
          <w:sz w:val="48"/>
        </w:rPr>
        <w:t>First</w:t>
      </w:r>
      <w:r>
        <w:rPr>
          <w:color w:val="808285"/>
          <w:spacing w:val="19"/>
          <w:w w:val="95"/>
          <w:sz w:val="48"/>
        </w:rPr>
        <w:t> </w:t>
      </w:r>
      <w:r>
        <w:rPr>
          <w:rFonts w:ascii="Arial"/>
          <w:color w:val="808285"/>
          <w:w w:val="95"/>
          <w:sz w:val="45"/>
        </w:rPr>
        <w:t>EoHtuon</w:t>
      </w:r>
    </w:p>
    <w:p>
      <w:pPr>
        <w:pStyle w:val="BodyText"/>
        <w:rPr>
          <w:rFonts w:ascii="Arial"/>
          <w:sz w:val="52"/>
        </w:rPr>
      </w:pPr>
    </w:p>
    <w:p>
      <w:pPr>
        <w:pStyle w:val="BodyText"/>
        <w:rPr>
          <w:rFonts w:ascii="Arial"/>
          <w:sz w:val="52"/>
        </w:rPr>
      </w:pPr>
    </w:p>
    <w:p>
      <w:pPr>
        <w:pStyle w:val="BodyText"/>
        <w:spacing w:before="9"/>
        <w:rPr>
          <w:rFonts w:ascii="Arial"/>
          <w:sz w:val="53"/>
        </w:rPr>
      </w:pPr>
    </w:p>
    <w:p>
      <w:pPr>
        <w:pStyle w:val="BodyText"/>
        <w:spacing w:line="235" w:lineRule="auto"/>
        <w:ind w:left="102" w:right="341" w:firstLine="1"/>
        <w:jc w:val="both"/>
      </w:pPr>
      <w:r>
        <w:rPr>
          <w:color w:val="383638"/>
          <w:w w:val="110"/>
        </w:rPr>
        <w:t>I would like to recognize and  thank the following people who helped me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many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different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ways</w:t>
      </w:r>
      <w:r>
        <w:rPr>
          <w:color w:val="383638"/>
          <w:spacing w:val="-23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I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worked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on</w:t>
      </w:r>
      <w:r>
        <w:rPr>
          <w:color w:val="383638"/>
          <w:spacing w:val="30"/>
          <w:w w:val="110"/>
        </w:rPr>
        <w:t> </w:t>
      </w:r>
      <w:r>
        <w:rPr>
          <w:color w:val="383638"/>
          <w:w w:val="110"/>
        </w:rPr>
        <w:t>this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book:</w:t>
      </w:r>
    </w:p>
    <w:p>
      <w:pPr>
        <w:pStyle w:val="BodyText"/>
        <w:spacing w:line="235" w:lineRule="auto"/>
        <w:ind w:left="101" w:right="204" w:firstLine="367"/>
        <w:jc w:val="both"/>
      </w:pPr>
      <w:r>
        <w:rPr>
          <w:color w:val="383638"/>
          <w:w w:val="115"/>
        </w:rPr>
        <w:t>Those of  us who  teach legal writing are blessed by the  existence of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a strong corps of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supportive colleagues.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I am  grateful  to  the  founders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5"/>
        </w:rPr>
        <w:t>of the Legal Writing Institute, Anne Enquist, Laurel Currie Oates, and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Christopher Rideout, of Seattle University. They were instrumental in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profound changes that have occurred in the teaching of legal writing over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the past 20 years; without those changes I would not be teaching legal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writing or writing about it. I also thank the colleagues whose work first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taught</w:t>
      </w:r>
      <w:r>
        <w:rPr>
          <w:color w:val="383638"/>
          <w:spacing w:val="-3"/>
          <w:w w:val="115"/>
        </w:rPr>
        <w:t> </w:t>
      </w:r>
      <w:r>
        <w:rPr>
          <w:color w:val="383638"/>
          <w:w w:val="115"/>
        </w:rPr>
        <w:t>me</w:t>
      </w:r>
      <w:r>
        <w:rPr>
          <w:color w:val="383638"/>
          <w:spacing w:val="-27"/>
          <w:w w:val="115"/>
        </w:rPr>
        <w:t> </w:t>
      </w:r>
      <w:r>
        <w:rPr>
          <w:color w:val="383638"/>
          <w:w w:val="115"/>
        </w:rPr>
        <w:t>that</w:t>
      </w:r>
      <w:r>
        <w:rPr>
          <w:color w:val="383638"/>
          <w:spacing w:val="-9"/>
          <w:w w:val="115"/>
        </w:rPr>
        <w:t> </w:t>
      </w:r>
      <w:r>
        <w:rPr>
          <w:color w:val="383638"/>
          <w:w w:val="115"/>
        </w:rPr>
        <w:t>there</w:t>
      </w:r>
      <w:r>
        <w:rPr>
          <w:color w:val="383638"/>
          <w:spacing w:val="-18"/>
          <w:w w:val="115"/>
        </w:rPr>
        <w:t> </w:t>
      </w:r>
      <w:r>
        <w:rPr>
          <w:color w:val="383638"/>
          <w:w w:val="115"/>
        </w:rPr>
        <w:t>is</w:t>
      </w:r>
      <w:r>
        <w:rPr>
          <w:color w:val="383638"/>
          <w:spacing w:val="-33"/>
          <w:w w:val="115"/>
        </w:rPr>
        <w:t> </w:t>
      </w:r>
      <w:r>
        <w:rPr>
          <w:color w:val="383638"/>
          <w:w w:val="115"/>
        </w:rPr>
        <w:t>a</w:t>
      </w:r>
      <w:r>
        <w:rPr>
          <w:color w:val="383638"/>
          <w:spacing w:val="-7"/>
          <w:w w:val="115"/>
        </w:rPr>
        <w:t> </w:t>
      </w:r>
      <w:r>
        <w:rPr>
          <w:color w:val="383638"/>
          <w:w w:val="115"/>
        </w:rPr>
        <w:t>doctrine</w:t>
      </w:r>
      <w:r>
        <w:rPr>
          <w:color w:val="383638"/>
          <w:spacing w:val="-26"/>
          <w:w w:val="115"/>
        </w:rPr>
        <w:t> </w:t>
      </w:r>
      <w:r>
        <w:rPr>
          <w:color w:val="383638"/>
          <w:w w:val="115"/>
        </w:rPr>
        <w:t>of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legal</w:t>
      </w:r>
      <w:r>
        <w:rPr>
          <w:color w:val="383638"/>
          <w:spacing w:val="-10"/>
          <w:w w:val="115"/>
        </w:rPr>
        <w:t> </w:t>
      </w:r>
      <w:r>
        <w:rPr>
          <w:color w:val="383638"/>
          <w:w w:val="115"/>
        </w:rPr>
        <w:t>writing</w:t>
      </w:r>
      <w:r>
        <w:rPr>
          <w:color w:val="383638"/>
          <w:spacing w:val="-7"/>
          <w:w w:val="115"/>
        </w:rPr>
        <w:t> </w:t>
      </w:r>
      <w:r>
        <w:rPr>
          <w:color w:val="383638"/>
          <w:w w:val="115"/>
        </w:rPr>
        <w:t>that</w:t>
      </w:r>
      <w:r>
        <w:rPr>
          <w:color w:val="383638"/>
          <w:spacing w:val="-25"/>
          <w:w w:val="115"/>
        </w:rPr>
        <w:t> </w:t>
      </w:r>
      <w:r>
        <w:rPr>
          <w:color w:val="383638"/>
          <w:w w:val="115"/>
        </w:rPr>
        <w:t>can</w:t>
      </w:r>
      <w:r>
        <w:rPr>
          <w:color w:val="383638"/>
          <w:spacing w:val="-27"/>
          <w:w w:val="115"/>
        </w:rPr>
        <w:t> </w:t>
      </w:r>
      <w:r>
        <w:rPr>
          <w:color w:val="383638"/>
          <w:w w:val="115"/>
        </w:rPr>
        <w:t>beanalyzed</w:t>
      </w:r>
      <w:r>
        <w:rPr>
          <w:color w:val="383638"/>
          <w:spacing w:val="-6"/>
          <w:w w:val="115"/>
        </w:rPr>
        <w:t> </w:t>
      </w:r>
      <w:r>
        <w:rPr>
          <w:color w:val="383638"/>
          <w:w w:val="115"/>
        </w:rPr>
        <w:t>and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communicated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 others: Elizabeth Fajans, Jill Ramsfield, Mary Barnard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Ray, Marjorie Rombauer, Helene Shapo, and Marilyn Walter. At Legal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Writing Institute Conferences and, later, at conferences of the  Association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of Legal Writing Directors, I have been able to learn and grow through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the exchange of ideas with colleagues l'vho became friends: Coleen Barger,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Linda Edwards, Richard Neumann, Terri LeClercq, Grace Tonner, Christy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Nisbett,</w:t>
      </w:r>
      <w:r>
        <w:rPr>
          <w:color w:val="383638"/>
          <w:spacing w:val="-35"/>
          <w:w w:val="110"/>
        </w:rPr>
        <w:t> </w:t>
      </w:r>
      <w:r>
        <w:rPr>
          <w:color w:val="383638"/>
          <w:w w:val="110"/>
        </w:rPr>
        <w:t>Sue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Liemer,</w:t>
      </w:r>
      <w:r>
        <w:rPr>
          <w:color w:val="383638"/>
          <w:spacing w:val="-36"/>
          <w:w w:val="110"/>
        </w:rPr>
        <w:t> </w:t>
      </w:r>
      <w:r>
        <w:rPr>
          <w:color w:val="383638"/>
          <w:w w:val="110"/>
        </w:rPr>
        <w:t>JoAnne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Durako,</w:t>
      </w:r>
      <w:r>
        <w:rPr>
          <w:color w:val="383638"/>
          <w:spacing w:val="-22"/>
          <w:w w:val="110"/>
        </w:rPr>
        <w:t> </w:t>
      </w:r>
      <w:r>
        <w:rPr>
          <w:color w:val="383638"/>
          <w:w w:val="110"/>
        </w:rPr>
        <w:t>SteveJohansen,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Terry</w:t>
      </w:r>
      <w:r>
        <w:rPr>
          <w:color w:val="383638"/>
          <w:spacing w:val="-37"/>
          <w:w w:val="110"/>
        </w:rPr>
        <w:t> </w:t>
      </w:r>
      <w:r>
        <w:rPr>
          <w:color w:val="383638"/>
          <w:w w:val="110"/>
        </w:rPr>
        <w:t>Seligmann,</w:t>
      </w:r>
      <w:r>
        <w:rPr>
          <w:color w:val="383638"/>
          <w:spacing w:val="-22"/>
          <w:w w:val="110"/>
        </w:rPr>
        <w:t> </w:t>
      </w:r>
      <w:r>
        <w:rPr>
          <w:color w:val="383638"/>
          <w:w w:val="110"/>
        </w:rPr>
        <w:t>Jane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Kent Gionfriddo, Ellen Mosen James, Anita Schnee, Steve Jamar, and Jan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Levine. I am grateful to Judy Stinson and Samantha Moppett, who field­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tested the book with their students, to my first colleagues, Julie Jenkins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and Mary Kate Kearney, and  to my first teachers of legal writing and how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teach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it,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Nancy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Elizabeth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Grandine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Teresa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Godwin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Phelps.</w:t>
      </w:r>
    </w:p>
    <w:p>
      <w:pPr>
        <w:pStyle w:val="BodyText"/>
        <w:spacing w:line="228" w:lineRule="exact"/>
        <w:ind w:left="538"/>
        <w:jc w:val="both"/>
      </w:pPr>
      <w:r>
        <w:rPr>
          <w:color w:val="383638"/>
          <w:spacing w:val="-1"/>
          <w:w w:val="115"/>
        </w:rPr>
        <w:t>I</w:t>
      </w:r>
      <w:r>
        <w:rPr>
          <w:color w:val="383638"/>
          <w:spacing w:val="-25"/>
          <w:w w:val="115"/>
        </w:rPr>
        <w:t> </w:t>
      </w:r>
      <w:r>
        <w:rPr>
          <w:color w:val="383638"/>
          <w:spacing w:val="-1"/>
          <w:w w:val="115"/>
        </w:rPr>
        <w:t>thank</w:t>
      </w:r>
      <w:r>
        <w:rPr>
          <w:color w:val="383638"/>
          <w:spacing w:val="3"/>
          <w:w w:val="115"/>
        </w:rPr>
        <w:t> </w:t>
      </w:r>
      <w:r>
        <w:rPr>
          <w:color w:val="383638"/>
          <w:spacing w:val="-1"/>
          <w:w w:val="115"/>
        </w:rPr>
        <w:t>my</w:t>
      </w:r>
      <w:r>
        <w:rPr>
          <w:color w:val="383638"/>
          <w:spacing w:val="-21"/>
          <w:w w:val="115"/>
        </w:rPr>
        <w:t> </w:t>
      </w:r>
      <w:r>
        <w:rPr>
          <w:color w:val="383638"/>
          <w:spacing w:val="-1"/>
          <w:w w:val="115"/>
        </w:rPr>
        <w:t>current</w:t>
      </w:r>
      <w:r>
        <w:rPr>
          <w:color w:val="383638"/>
          <w:spacing w:val="-5"/>
          <w:w w:val="115"/>
        </w:rPr>
        <w:t> </w:t>
      </w:r>
      <w:r>
        <w:rPr>
          <w:color w:val="383638"/>
          <w:w w:val="115"/>
        </w:rPr>
        <w:t>and</w:t>
      </w:r>
      <w:r>
        <w:rPr>
          <w:color w:val="383638"/>
          <w:spacing w:val="18"/>
          <w:w w:val="115"/>
        </w:rPr>
        <w:t> </w:t>
      </w:r>
      <w:r>
        <w:rPr>
          <w:color w:val="383638"/>
          <w:w w:val="115"/>
        </w:rPr>
        <w:t>former</w:t>
      </w:r>
      <w:r>
        <w:rPr>
          <w:color w:val="383638"/>
          <w:spacing w:val="-4"/>
          <w:w w:val="115"/>
        </w:rPr>
        <w:t> </w:t>
      </w:r>
      <w:r>
        <w:rPr>
          <w:color w:val="383638"/>
          <w:w w:val="115"/>
        </w:rPr>
        <w:t>colleagues</w:t>
      </w:r>
      <w:r>
        <w:rPr>
          <w:color w:val="383638"/>
          <w:spacing w:val="-9"/>
          <w:w w:val="115"/>
        </w:rPr>
        <w:t> </w:t>
      </w:r>
      <w:r>
        <w:rPr>
          <w:color w:val="383638"/>
          <w:w w:val="115"/>
        </w:rPr>
        <w:t>at</w:t>
      </w:r>
      <w:r>
        <w:rPr>
          <w:color w:val="383638"/>
          <w:spacing w:val="10"/>
          <w:w w:val="115"/>
        </w:rPr>
        <w:t> </w:t>
      </w:r>
      <w:r>
        <w:rPr>
          <w:color w:val="383638"/>
          <w:w w:val="115"/>
        </w:rPr>
        <w:t>Ohio</w:t>
      </w:r>
      <w:r>
        <w:rPr>
          <w:color w:val="383638"/>
          <w:spacing w:val="-25"/>
          <w:w w:val="115"/>
        </w:rPr>
        <w:t> </w:t>
      </w:r>
      <w:r>
        <w:rPr>
          <w:color w:val="383638"/>
          <w:w w:val="115"/>
        </w:rPr>
        <w:t>State</w:t>
      </w:r>
      <w:r>
        <w:rPr>
          <w:color w:val="383638"/>
          <w:spacing w:val="-12"/>
          <w:w w:val="115"/>
        </w:rPr>
        <w:t> </w:t>
      </w:r>
      <w:r>
        <w:rPr>
          <w:color w:val="383638"/>
          <w:w w:val="115"/>
        </w:rPr>
        <w:t>who</w:t>
      </w:r>
      <w:r>
        <w:rPr>
          <w:color w:val="383638"/>
          <w:spacing w:val="13"/>
          <w:w w:val="115"/>
        </w:rPr>
        <w:t> </w:t>
      </w:r>
      <w:r>
        <w:rPr>
          <w:color w:val="383638"/>
          <w:w w:val="115"/>
        </w:rPr>
        <w:t>provided</w:t>
      </w:r>
    </w:p>
    <w:p>
      <w:pPr>
        <w:pStyle w:val="BodyText"/>
        <w:spacing w:line="230" w:lineRule="auto"/>
        <w:ind w:left="163" w:right="133" w:hanging="18"/>
        <w:jc w:val="both"/>
      </w:pPr>
      <w:r>
        <w:rPr>
          <w:color w:val="383638"/>
          <w:w w:val="110"/>
        </w:rPr>
        <w:t>support,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read drafts of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this document, and  gave advice early and  often: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Doug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Berman,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Debby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Merritt,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Camille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Hebert,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Chris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Fairman,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Nancy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Rapoport, Cre Johnson, Terri Enns, Steve Huefner, Kathy Northern,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Ruth Colker.  I also thank  the  three Ohio State deans who  have affected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  <w:sz w:val="24"/>
        </w:rPr>
        <w:t>my </w:t>
      </w:r>
      <w:r>
        <w:rPr>
          <w:color w:val="383638"/>
          <w:w w:val="110"/>
        </w:rPr>
        <w:t>life 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significant ways: Frank Beytagh, who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hired me; Gregory H.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Williams,</w:t>
      </w:r>
      <w:r>
        <w:rPr>
          <w:color w:val="383638"/>
          <w:spacing w:val="43"/>
          <w:w w:val="110"/>
        </w:rPr>
        <w:t> </w:t>
      </w:r>
      <w:r>
        <w:rPr>
          <w:color w:val="383638"/>
          <w:w w:val="110"/>
        </w:rPr>
        <w:t>who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appointed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me</w:t>
      </w:r>
      <w:r>
        <w:rPr>
          <w:color w:val="383638"/>
          <w:spacing w:val="27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57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tenure</w:t>
      </w:r>
      <w:r>
        <w:rPr>
          <w:color w:val="383638"/>
          <w:spacing w:val="41"/>
          <w:w w:val="110"/>
        </w:rPr>
        <w:t> </w:t>
      </w:r>
      <w:r>
        <w:rPr>
          <w:color w:val="383638"/>
          <w:w w:val="110"/>
        </w:rPr>
        <w:t>track;</w:t>
      </w:r>
      <w:r>
        <w:rPr>
          <w:color w:val="383638"/>
          <w:spacing w:val="36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27"/>
          <w:w w:val="110"/>
        </w:rPr>
        <w:t> </w:t>
      </w:r>
      <w:r>
        <w:rPr>
          <w:color w:val="383638"/>
          <w:w w:val="110"/>
        </w:rPr>
        <w:t>our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current</w:t>
      </w:r>
      <w:r>
        <w:rPr>
          <w:color w:val="383638"/>
          <w:spacing w:val="37"/>
          <w:w w:val="110"/>
        </w:rPr>
        <w:t> </w:t>
      </w:r>
      <w:r>
        <w:rPr>
          <w:color w:val="383638"/>
          <w:w w:val="110"/>
        </w:rPr>
        <w:t>dean,</w:t>
      </w:r>
    </w:p>
    <w:p>
      <w:pPr>
        <w:pStyle w:val="BodyText"/>
        <w:spacing w:before="6"/>
        <w:rPr>
          <w:sz w:val="35"/>
        </w:rPr>
      </w:pPr>
    </w:p>
    <w:p>
      <w:pPr>
        <w:spacing w:before="0"/>
        <w:ind w:left="0" w:right="113" w:firstLine="0"/>
        <w:jc w:val="right"/>
        <w:rPr>
          <w:rFonts w:ascii="Courier New"/>
          <w:b/>
          <w:sz w:val="18"/>
        </w:rPr>
      </w:pPr>
      <w:r>
        <w:rPr>
          <w:rFonts w:ascii="Courier New"/>
          <w:b/>
          <w:color w:val="383638"/>
          <w:w w:val="110"/>
          <w:sz w:val="18"/>
        </w:rPr>
        <w:t>XXV</w:t>
      </w:r>
    </w:p>
    <w:p>
      <w:pPr>
        <w:spacing w:after="0"/>
        <w:jc w:val="right"/>
        <w:rPr>
          <w:rFonts w:ascii="Courier New"/>
          <w:sz w:val="18"/>
        </w:rPr>
        <w:sectPr>
          <w:headerReference w:type="default" r:id="rId17"/>
          <w:pgSz w:w="9670" w:h="13690"/>
          <w:pgMar w:header="0" w:footer="0" w:top="1280" w:bottom="280" w:left="440" w:right="1180"/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19"/>
        </w:rPr>
      </w:pPr>
    </w:p>
    <w:p>
      <w:pPr>
        <w:tabs>
          <w:tab w:pos="866" w:val="left" w:leader="none"/>
        </w:tabs>
        <w:spacing w:before="0"/>
        <w:ind w:left="113" w:right="0" w:firstLine="0"/>
        <w:jc w:val="left"/>
        <w:rPr>
          <w:rFonts w:ascii="Arial"/>
          <w:sz w:val="17"/>
        </w:rPr>
      </w:pPr>
      <w:r>
        <w:rPr>
          <w:rFonts w:ascii="Arial"/>
          <w:color w:val="383638"/>
          <w:w w:val="105"/>
          <w:sz w:val="18"/>
        </w:rPr>
        <w:t>xxvf</w:t>
        <w:tab/>
      </w:r>
      <w:r>
        <w:rPr>
          <w:rFonts w:ascii="Arial"/>
          <w:color w:val="383638"/>
          <w:sz w:val="17"/>
        </w:rPr>
        <w:t>Acknowledgments</w:t>
      </w:r>
      <w:r>
        <w:rPr>
          <w:rFonts w:ascii="Arial"/>
          <w:color w:val="383638"/>
          <w:spacing w:val="2"/>
          <w:sz w:val="17"/>
        </w:rPr>
        <w:t> </w:t>
      </w:r>
      <w:r>
        <w:rPr>
          <w:rFonts w:ascii="Arial"/>
          <w:color w:val="383638"/>
          <w:sz w:val="17"/>
        </w:rPr>
        <w:t>to</w:t>
      </w:r>
      <w:r>
        <w:rPr>
          <w:rFonts w:ascii="Arial"/>
          <w:color w:val="383638"/>
          <w:spacing w:val="39"/>
          <w:sz w:val="17"/>
        </w:rPr>
        <w:t> </w:t>
      </w:r>
      <w:r>
        <w:rPr>
          <w:rFonts w:ascii="Arial"/>
          <w:color w:val="383638"/>
          <w:sz w:val="17"/>
        </w:rPr>
        <w:t>the</w:t>
      </w:r>
      <w:r>
        <w:rPr>
          <w:rFonts w:ascii="Arial"/>
          <w:color w:val="383638"/>
          <w:spacing w:val="22"/>
          <w:sz w:val="17"/>
        </w:rPr>
        <w:t> </w:t>
      </w:r>
      <w:r>
        <w:rPr>
          <w:rFonts w:ascii="Arial"/>
          <w:color w:val="383638"/>
          <w:sz w:val="17"/>
        </w:rPr>
        <w:t>First</w:t>
      </w:r>
      <w:r>
        <w:rPr>
          <w:rFonts w:ascii="Arial"/>
          <w:color w:val="383638"/>
          <w:spacing w:val="-9"/>
          <w:sz w:val="17"/>
        </w:rPr>
        <w:t> </w:t>
      </w:r>
      <w:r>
        <w:rPr>
          <w:rFonts w:ascii="Arial"/>
          <w:color w:val="383638"/>
          <w:sz w:val="17"/>
        </w:rPr>
        <w:t>Edition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8"/>
        </w:rPr>
      </w:pPr>
    </w:p>
    <w:p>
      <w:pPr>
        <w:pStyle w:val="BodyText"/>
        <w:spacing w:line="235" w:lineRule="auto"/>
        <w:ind w:left="806" w:right="126" w:firstLine="43"/>
        <w:jc w:val="both"/>
      </w:pPr>
      <w:r>
        <w:rPr>
          <w:color w:val="383638"/>
          <w:w w:val="110"/>
        </w:rPr>
        <w:t>Nancy Hardin Rogers, who provided critical support at a crucial time 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my career. Liz Cutler Gates, Art Hudson, and Loraine Brannon provided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technical support, and Nancy Darling, Shirley Craley, Carol Peirano,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Michelle Whetzel-Newton provided administrative support. Finally, I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would like to recognize Kimberly Town Abels, now of the University of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North Carolina at Chapel Hill, who suggested that the "macro-micro-final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draft" method would be suitable for legal writing, and Jacqueline Jones­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Royster, Associate Professor of English and Vice Chair for Rhetoric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Composition at the Ohio State University, who suggested that I develop a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self-grading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instrument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my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students.</w:t>
      </w:r>
    </w:p>
    <w:p>
      <w:pPr>
        <w:pStyle w:val="BodyText"/>
        <w:spacing w:line="232" w:lineRule="auto"/>
        <w:ind w:left="806" w:right="114" w:firstLine="381"/>
        <w:jc w:val="both"/>
      </w:pPr>
      <w:r>
        <w:rPr>
          <w:color w:val="383638"/>
          <w:w w:val="115"/>
        </w:rPr>
        <w:t>I  have been teaching legal writing since 1982, and  I have learned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so much from my students over that time. Students at Ohio State have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been field testing versions of this text for the past two years, and ver­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sions of the self-graded draft since 1993. I want to thank especially the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students at Ohio State who have allowed me to use and  adapt their work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for the examples in this text: RonNell Jones, Tiffany </w:t>
      </w:r>
      <w:r>
        <w:rPr>
          <w:rFonts w:ascii="Arial" w:hAnsi="Arial"/>
          <w:color w:val="383638"/>
          <w:w w:val="105"/>
          <w:sz w:val="21"/>
        </w:rPr>
        <w:t>C. </w:t>
      </w:r>
      <w:r>
        <w:rPr>
          <w:color w:val="383638"/>
          <w:w w:val="105"/>
        </w:rPr>
        <w:t>Miller, Peter Nealis,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Timothy G</w:t>
      </w:r>
      <w:r>
        <w:rPr>
          <w:color w:val="5B5B5D"/>
          <w:w w:val="105"/>
        </w:rPr>
        <w:t>. </w:t>
      </w:r>
      <w:r>
        <w:rPr>
          <w:color w:val="383638"/>
          <w:w w:val="105"/>
        </w:rPr>
        <w:t>Pepper, Rebecca Woods, Bridget Hayward Kahle, Steven Webb,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Michael Duffy, Andrew Kruppa, and Christopher Snyder. I am also grate­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ful to the students whose work gave me insight into appellate advocacy,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and who sent me examples of good and bad writing after they entered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practice of law, including Glenda Gelzleichter, John Lowe, Peter Rosato,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Kevin Kessinger, Angelique Paul, Kathleen Lyon, Cynthia Roselle, Yvonne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Watson, and Sean Harris. I particularly thank Jen Manion, research assis­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tant</w:t>
      </w:r>
      <w:r>
        <w:rPr>
          <w:color w:val="383638"/>
          <w:spacing w:val="-20"/>
          <w:w w:val="115"/>
        </w:rPr>
        <w:t> </w:t>
      </w:r>
      <w:r>
        <w:rPr>
          <w:color w:val="383638"/>
          <w:w w:val="115"/>
        </w:rPr>
        <w:t>extraordinaire.</w:t>
      </w:r>
    </w:p>
    <w:p>
      <w:pPr>
        <w:pStyle w:val="BodyText"/>
        <w:spacing w:line="235" w:lineRule="auto" w:before="1"/>
        <w:ind w:left="755" w:right="127" w:firstLine="432"/>
        <w:jc w:val="both"/>
      </w:pPr>
      <w:r>
        <w:rPr>
          <w:color w:val="383638"/>
          <w:w w:val="110"/>
        </w:rPr>
        <w:t>I have learned something from each of  the  many adjuncts with whom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I have worked over the years, but especially from Robert Burpee, Peggy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Corn, Cynthia Cummings, Hilary Damaser, Ken Donchatz, Rita Eppler,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Sean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Heasley,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Dan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Jones,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Randy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Knutti,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Stephen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Wu.</w:t>
      </w:r>
    </w:p>
    <w:p>
      <w:pPr>
        <w:pStyle w:val="BodyText"/>
        <w:ind w:left="714" w:right="123" w:firstLine="415"/>
        <w:jc w:val="both"/>
      </w:pPr>
      <w:r>
        <w:rPr>
          <w:color w:val="383638"/>
          <w:w w:val="110"/>
        </w:rPr>
        <w:t>I thank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people 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Aspen  who  guided and  encouraged  me  along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way, including </w:t>
      </w:r>
      <w:r>
        <w:rPr>
          <w:rFonts w:ascii="Arial"/>
          <w:color w:val="383638"/>
          <w:w w:val="110"/>
        </w:rPr>
        <w:t>Lynn </w:t>
      </w:r>
      <w:r>
        <w:rPr>
          <w:color w:val="383638"/>
          <w:w w:val="110"/>
        </w:rPr>
        <w:t>Churchill, Betsy Kenny, Carol McGeehan, Jay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Boggis, </w:t>
      </w:r>
      <w:r>
        <w:rPr>
          <w:color w:val="383638"/>
          <w:w w:val="110"/>
        </w:rPr>
        <w:t>Michael Gregory, Peggy Rehberger, and George Serafin. I am also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grateful to the anonymous reviewers who gave helpful advice about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manuscript.</w:t>
      </w:r>
    </w:p>
    <w:p>
      <w:pPr>
        <w:pStyle w:val="BodyText"/>
        <w:spacing w:line="237" w:lineRule="auto"/>
        <w:ind w:left="684" w:right="129" w:firstLine="409"/>
        <w:jc w:val="both"/>
      </w:pPr>
      <w:r>
        <w:rPr>
          <w:color w:val="383638"/>
          <w:w w:val="115"/>
        </w:rPr>
        <w:t>Finally, I thank the people at the home front who helped and sup­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ported me, including my parents, Ben and Pat Beazley; Trish and Dick</w:t>
      </w:r>
      <w:r>
        <w:rPr>
          <w:color w:val="383638"/>
          <w:spacing w:val="1"/>
          <w:w w:val="115"/>
        </w:rPr>
        <w:t> </w:t>
      </w:r>
      <w:r>
        <w:rPr>
          <w:color w:val="383638"/>
          <w:spacing w:val="-1"/>
          <w:w w:val="115"/>
        </w:rPr>
        <w:t>Sanders, Mike and Julie Beazley, Marlene and Rick Fields, </w:t>
      </w:r>
      <w:r>
        <w:rPr>
          <w:color w:val="383638"/>
          <w:w w:val="115"/>
        </w:rPr>
        <w:t>Mary Slupe,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Laura Sanders, and Laura Williams; and of course, my daughters, Betsy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46"/>
          <w:w w:val="110"/>
        </w:rPr>
        <w:t> </w:t>
      </w:r>
      <w:r>
        <w:rPr>
          <w:color w:val="383638"/>
          <w:w w:val="110"/>
        </w:rPr>
        <w:t>Annie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Pillion;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42"/>
          <w:w w:val="110"/>
        </w:rPr>
        <w:t> </w:t>
      </w:r>
      <w:r>
        <w:rPr>
          <w:color w:val="383638"/>
          <w:w w:val="110"/>
        </w:rPr>
        <w:t>my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dear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husband,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David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Pillion.</w:t>
      </w:r>
    </w:p>
    <w:p>
      <w:pPr>
        <w:spacing w:after="0" w:line="237" w:lineRule="auto"/>
        <w:jc w:val="both"/>
        <w:sectPr>
          <w:headerReference w:type="even" r:id="rId18"/>
          <w:pgSz w:w="9830" w:h="13860"/>
          <w:pgMar w:header="0" w:footer="0" w:top="0" w:bottom="280" w:left="1120" w:right="200"/>
        </w:sectPr>
      </w:pPr>
    </w:p>
    <w:p>
      <w:pPr>
        <w:spacing w:line="544" w:lineRule="exact" w:before="0"/>
        <w:ind w:left="709" w:right="0" w:firstLine="0"/>
        <w:jc w:val="left"/>
        <w:rPr>
          <w:sz w:val="49"/>
        </w:rPr>
      </w:pPr>
      <w:r>
        <w:rPr>
          <w:color w:val="909195"/>
          <w:w w:val="110"/>
          <w:sz w:val="49"/>
        </w:rPr>
        <w:t>Second</w:t>
      </w:r>
      <w:r>
        <w:rPr>
          <w:color w:val="909195"/>
          <w:spacing w:val="62"/>
          <w:w w:val="110"/>
          <w:sz w:val="49"/>
        </w:rPr>
        <w:t> </w:t>
      </w:r>
      <w:r>
        <w:rPr>
          <w:color w:val="909195"/>
          <w:w w:val="110"/>
          <w:sz w:val="49"/>
        </w:rPr>
        <w:t>Edition</w:t>
      </w: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spacing w:before="1"/>
        <w:rPr>
          <w:sz w:val="52"/>
        </w:rPr>
      </w:pPr>
    </w:p>
    <w:p>
      <w:pPr>
        <w:pStyle w:val="BodyText"/>
        <w:spacing w:line="235" w:lineRule="auto"/>
        <w:ind w:left="108" w:right="269" w:firstLine="18"/>
        <w:jc w:val="both"/>
      </w:pPr>
      <w:r>
        <w:rPr>
          <w:color w:val="363436"/>
          <w:w w:val="110"/>
        </w:rPr>
        <w:t>I give </w:t>
      </w:r>
      <w:r>
        <w:rPr>
          <w:color w:val="49494B"/>
          <w:w w:val="110"/>
        </w:rPr>
        <w:t>special </w:t>
      </w:r>
      <w:r>
        <w:rPr>
          <w:color w:val="363436"/>
          <w:w w:val="110"/>
        </w:rPr>
        <w:t>thanks to  the anonymous  reviewers who  sent suggestions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for the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second edition, and to the people who sent comments and sug­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gestions for the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book or who inspired changes in other ways, including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Steve Abreu, Kristopher Armstrong, Thom Bassett, Susan DeJamatt, Steve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Hardwick, John Paul Jones, Jennifer Lavia, Katy Liu, Pam Lysaght, Joan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Mathews, John Mollenkamp, Sara Sampson, Steven Tung, and Chris Wren.</w:t>
      </w:r>
      <w:r>
        <w:rPr>
          <w:color w:val="363436"/>
          <w:spacing w:val="-61"/>
          <w:w w:val="110"/>
        </w:rPr>
        <w:t> </w:t>
      </w:r>
      <w:r>
        <w:rPr>
          <w:color w:val="363436"/>
          <w:w w:val="110"/>
        </w:rPr>
        <w:t>I am particularly grateful for the work and generosity of Kate Gills, and for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27"/>
          <w:w w:val="110"/>
        </w:rPr>
        <w:t> </w:t>
      </w:r>
      <w:r>
        <w:rPr>
          <w:color w:val="363436"/>
          <w:w w:val="110"/>
        </w:rPr>
        <w:t>wise</w:t>
      </w:r>
      <w:r>
        <w:rPr>
          <w:color w:val="363436"/>
          <w:spacing w:val="-33"/>
          <w:w w:val="110"/>
        </w:rPr>
        <w:t> </w:t>
      </w:r>
      <w:r>
        <w:rPr>
          <w:color w:val="363436"/>
          <w:w w:val="110"/>
        </w:rPr>
        <w:t>counsel</w:t>
      </w:r>
      <w:r>
        <w:rPr>
          <w:color w:val="363436"/>
          <w:spacing w:val="-16"/>
          <w:w w:val="110"/>
        </w:rPr>
        <w:t> </w:t>
      </w:r>
      <w:r>
        <w:rPr>
          <w:color w:val="363436"/>
          <w:w w:val="110"/>
        </w:rPr>
        <w:t>of</w:t>
      </w:r>
      <w:r>
        <w:rPr>
          <w:color w:val="363436"/>
          <w:spacing w:val="6"/>
          <w:w w:val="110"/>
        </w:rPr>
        <w:t> </w:t>
      </w:r>
      <w:r>
        <w:rPr>
          <w:color w:val="363436"/>
          <w:w w:val="110"/>
        </w:rPr>
        <w:t>Ken</w:t>
      </w:r>
      <w:r>
        <w:rPr>
          <w:color w:val="363436"/>
          <w:spacing w:val="-17"/>
          <w:w w:val="110"/>
        </w:rPr>
        <w:t> </w:t>
      </w:r>
      <w:r>
        <w:rPr>
          <w:color w:val="363436"/>
          <w:w w:val="110"/>
        </w:rPr>
        <w:t>Chestek,</w:t>
      </w:r>
      <w:r>
        <w:rPr>
          <w:color w:val="363436"/>
          <w:spacing w:val="-28"/>
          <w:w w:val="110"/>
        </w:rPr>
        <w:t> </w:t>
      </w:r>
      <w:r>
        <w:rPr>
          <w:color w:val="363436"/>
          <w:w w:val="110"/>
        </w:rPr>
        <w:t>ShawnJudge,</w:t>
      </w:r>
      <w:r>
        <w:rPr>
          <w:color w:val="363436"/>
          <w:spacing w:val="-31"/>
          <w:w w:val="110"/>
        </w:rPr>
        <w:t> </w:t>
      </w:r>
      <w:r>
        <w:rPr>
          <w:color w:val="363436"/>
          <w:w w:val="110"/>
        </w:rPr>
        <w:t>Terrill</w:t>
      </w:r>
      <w:r>
        <w:rPr>
          <w:color w:val="363436"/>
          <w:spacing w:val="-6"/>
          <w:w w:val="110"/>
        </w:rPr>
        <w:t> </w:t>
      </w:r>
      <w:r>
        <w:rPr>
          <w:color w:val="363436"/>
          <w:w w:val="110"/>
        </w:rPr>
        <w:t>Pollman,</w:t>
      </w:r>
      <w:r>
        <w:rPr>
          <w:color w:val="363436"/>
          <w:spacing w:val="-17"/>
          <w:w w:val="110"/>
        </w:rPr>
        <w:t> </w:t>
      </w:r>
      <w:r>
        <w:rPr>
          <w:color w:val="363436"/>
          <w:w w:val="110"/>
        </w:rPr>
        <w:t>and</w:t>
      </w:r>
      <w:r>
        <w:rPr>
          <w:color w:val="363436"/>
          <w:spacing w:val="23"/>
          <w:w w:val="110"/>
        </w:rPr>
        <w:t> </w:t>
      </w:r>
      <w:r>
        <w:rPr>
          <w:color w:val="363436"/>
          <w:w w:val="110"/>
        </w:rPr>
        <w:t>Paul</w:t>
      </w:r>
      <w:r>
        <w:rPr>
          <w:color w:val="363436"/>
          <w:spacing w:val="-10"/>
          <w:w w:val="110"/>
        </w:rPr>
        <w:t> </w:t>
      </w:r>
      <w:r>
        <w:rPr>
          <w:color w:val="363436"/>
          <w:w w:val="110"/>
        </w:rPr>
        <w:t>A.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Woelfl, S.J. I also thank the people at Aspen for their hard work, including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Betsy</w:t>
      </w:r>
      <w:r>
        <w:rPr>
          <w:color w:val="363436"/>
          <w:spacing w:val="-5"/>
          <w:w w:val="110"/>
        </w:rPr>
        <w:t> </w:t>
      </w:r>
      <w:r>
        <w:rPr>
          <w:color w:val="363436"/>
          <w:w w:val="110"/>
        </w:rPr>
        <w:t>Kenny,</w:t>
      </w:r>
      <w:r>
        <w:rPr>
          <w:color w:val="363436"/>
          <w:spacing w:val="9"/>
          <w:w w:val="110"/>
        </w:rPr>
        <w:t> </w:t>
      </w:r>
      <w:r>
        <w:rPr>
          <w:color w:val="363436"/>
          <w:w w:val="110"/>
        </w:rPr>
        <w:t>Lisa</w:t>
      </w:r>
      <w:r>
        <w:rPr>
          <w:color w:val="363436"/>
          <w:spacing w:val="-3"/>
          <w:w w:val="110"/>
        </w:rPr>
        <w:t> </w:t>
      </w:r>
      <w:r>
        <w:rPr>
          <w:color w:val="363436"/>
          <w:w w:val="110"/>
        </w:rPr>
        <w:t>Wehrle,</w:t>
      </w:r>
      <w:r>
        <w:rPr>
          <w:color w:val="363436"/>
          <w:spacing w:val="-6"/>
          <w:w w:val="110"/>
        </w:rPr>
        <w:t> </w:t>
      </w:r>
      <w:r>
        <w:rPr>
          <w:color w:val="363436"/>
          <w:w w:val="110"/>
        </w:rPr>
        <w:t>and</w:t>
      </w:r>
      <w:r>
        <w:rPr>
          <w:color w:val="363436"/>
          <w:spacing w:val="23"/>
          <w:w w:val="110"/>
        </w:rPr>
        <w:t> </w:t>
      </w:r>
      <w:r>
        <w:rPr>
          <w:color w:val="363436"/>
          <w:w w:val="110"/>
        </w:rPr>
        <w:t>Christie</w:t>
      </w:r>
      <w:r>
        <w:rPr>
          <w:color w:val="363436"/>
          <w:spacing w:val="2"/>
          <w:w w:val="110"/>
        </w:rPr>
        <w:t> </w:t>
      </w:r>
      <w:r>
        <w:rPr>
          <w:color w:val="363436"/>
          <w:w w:val="110"/>
        </w:rPr>
        <w:t>Rears.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80"/>
        <w:ind w:left="0" w:right="114" w:firstLine="0"/>
        <w:jc w:val="right"/>
        <w:rPr>
          <w:b/>
          <w:sz w:val="22"/>
        </w:rPr>
      </w:pPr>
      <w:r>
        <w:rPr>
          <w:b/>
          <w:color w:val="363436"/>
          <w:w w:val="110"/>
          <w:sz w:val="22"/>
        </w:rPr>
        <w:t>xxvll</w:t>
      </w:r>
    </w:p>
    <w:p>
      <w:pPr>
        <w:spacing w:after="0"/>
        <w:jc w:val="right"/>
        <w:rPr>
          <w:sz w:val="22"/>
        </w:rPr>
        <w:sectPr>
          <w:headerReference w:type="default" r:id="rId19"/>
          <w:pgSz w:w="9620" w:h="13820"/>
          <w:pgMar w:header="0" w:footer="0" w:top="2880" w:bottom="280" w:left="340" w:right="12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p>
      <w:pPr>
        <w:spacing w:line="242" w:lineRule="auto" w:before="87"/>
        <w:ind w:left="679" w:right="501" w:firstLine="9"/>
        <w:jc w:val="left"/>
        <w:rPr>
          <w:rFonts w:ascii="Arial"/>
          <w:b/>
          <w:sz w:val="45"/>
        </w:rPr>
      </w:pPr>
      <w:r>
        <w:rPr>
          <w:rFonts w:ascii="Arial"/>
          <w:b/>
          <w:color w:val="727475"/>
          <w:w w:val="105"/>
          <w:sz w:val="45"/>
        </w:rPr>
        <w:t>Acknowledgments </w:t>
      </w:r>
      <w:r>
        <w:rPr>
          <w:rFonts w:ascii="Arial"/>
          <w:b/>
          <w:color w:val="646466"/>
          <w:w w:val="105"/>
          <w:sz w:val="45"/>
        </w:rPr>
        <w:t>to</w:t>
      </w:r>
      <w:r>
        <w:rPr>
          <w:rFonts w:ascii="Arial"/>
          <w:b/>
          <w:color w:val="646466"/>
          <w:spacing w:val="78"/>
          <w:w w:val="105"/>
          <w:sz w:val="45"/>
        </w:rPr>
        <w:t> </w:t>
      </w:r>
      <w:r>
        <w:rPr>
          <w:rFonts w:ascii="Arial"/>
          <w:b/>
          <w:color w:val="727475"/>
          <w:w w:val="105"/>
          <w:sz w:val="45"/>
        </w:rPr>
        <w:t>the</w:t>
      </w:r>
      <w:r>
        <w:rPr>
          <w:rFonts w:ascii="Arial"/>
          <w:b/>
          <w:color w:val="727475"/>
          <w:spacing w:val="-128"/>
          <w:w w:val="105"/>
          <w:sz w:val="45"/>
        </w:rPr>
        <w:t> </w:t>
      </w:r>
      <w:r>
        <w:rPr>
          <w:rFonts w:ascii="Arial"/>
          <w:b/>
          <w:color w:val="646466"/>
          <w:w w:val="105"/>
          <w:sz w:val="45"/>
        </w:rPr>
        <w:t>Th</w:t>
      </w:r>
      <w:r>
        <w:rPr>
          <w:rFonts w:ascii="Arial"/>
          <w:b/>
          <w:color w:val="808285"/>
          <w:w w:val="105"/>
          <w:sz w:val="45"/>
        </w:rPr>
        <w:t>i</w:t>
      </w:r>
      <w:r>
        <w:rPr>
          <w:rFonts w:ascii="Arial"/>
          <w:b/>
          <w:color w:val="646466"/>
          <w:w w:val="105"/>
          <w:sz w:val="45"/>
        </w:rPr>
        <w:t>rd</w:t>
      </w:r>
      <w:r>
        <w:rPr>
          <w:rFonts w:ascii="Arial"/>
          <w:b/>
          <w:color w:val="646466"/>
          <w:spacing w:val="21"/>
          <w:w w:val="105"/>
          <w:sz w:val="45"/>
        </w:rPr>
        <w:t> </w:t>
      </w:r>
      <w:r>
        <w:rPr>
          <w:rFonts w:ascii="Arial"/>
          <w:b/>
          <w:color w:val="808285"/>
          <w:w w:val="105"/>
          <w:sz w:val="45"/>
        </w:rPr>
        <w:t>Edition</w:t>
      </w:r>
    </w:p>
    <w:p>
      <w:pPr>
        <w:pStyle w:val="BodyText"/>
        <w:rPr>
          <w:rFonts w:ascii="Arial"/>
          <w:b/>
          <w:sz w:val="50"/>
        </w:rPr>
      </w:pPr>
    </w:p>
    <w:p>
      <w:pPr>
        <w:pStyle w:val="BodyText"/>
        <w:rPr>
          <w:rFonts w:ascii="Arial"/>
          <w:b/>
          <w:sz w:val="50"/>
        </w:rPr>
      </w:pPr>
    </w:p>
    <w:p>
      <w:pPr>
        <w:pStyle w:val="BodyText"/>
        <w:spacing w:before="1"/>
        <w:rPr>
          <w:rFonts w:ascii="Arial"/>
          <w:b/>
          <w:sz w:val="58"/>
        </w:rPr>
      </w:pPr>
    </w:p>
    <w:p>
      <w:pPr>
        <w:pStyle w:val="BodyText"/>
        <w:spacing w:line="232" w:lineRule="auto"/>
        <w:ind w:left="105" w:right="262" w:firstLine="6"/>
        <w:jc w:val="both"/>
      </w:pPr>
      <w:r>
        <w:rPr>
          <w:color w:val="383636"/>
          <w:w w:val="110"/>
        </w:rPr>
        <w:t>Once again, I give special thanks to the anonymous reviewers who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sent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suggestions for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third edition. I also thank the students, teachers, and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practitioners who sent comments, notified me of typos, or who inspired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changes in other ways. I fear listing some, for fear I will leave out some­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one important, but they include Mark Armstrong, Theresa Cunniff, Susan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DeJarnatt,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Terri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Enns,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Paul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Giorgianni,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Terry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Hagen, Traci Martinez,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Sheridan McKinney, Amanda McNeil, Marek Pienkos, Pierce Reed, Sarah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Ricks,</w:t>
      </w:r>
      <w:r>
        <w:rPr>
          <w:color w:val="383636"/>
          <w:spacing w:val="-1"/>
          <w:w w:val="105"/>
        </w:rPr>
        <w:t> </w:t>
      </w:r>
      <w:r>
        <w:rPr>
          <w:color w:val="383636"/>
          <w:w w:val="105"/>
        </w:rPr>
        <w:t>Carla</w:t>
      </w:r>
      <w:r>
        <w:rPr>
          <w:color w:val="383636"/>
          <w:spacing w:val="-17"/>
          <w:w w:val="105"/>
        </w:rPr>
        <w:t> </w:t>
      </w:r>
      <w:r>
        <w:rPr>
          <w:color w:val="383636"/>
          <w:w w:val="105"/>
        </w:rPr>
        <w:t>Scherr,</w:t>
      </w:r>
      <w:r>
        <w:rPr>
          <w:color w:val="383636"/>
          <w:spacing w:val="-1"/>
          <w:w w:val="105"/>
        </w:rPr>
        <w:t> </w:t>
      </w:r>
      <w:r>
        <w:rPr>
          <w:color w:val="383636"/>
          <w:w w:val="105"/>
        </w:rPr>
        <w:t>and</w:t>
      </w:r>
      <w:r>
        <w:rPr>
          <w:color w:val="383636"/>
          <w:spacing w:val="45"/>
          <w:w w:val="105"/>
        </w:rPr>
        <w:t> </w:t>
      </w:r>
      <w:r>
        <w:rPr>
          <w:color w:val="383636"/>
          <w:w w:val="105"/>
        </w:rPr>
        <w:t>Beth</w:t>
      </w:r>
      <w:r>
        <w:rPr>
          <w:color w:val="383636"/>
          <w:spacing w:val="4"/>
          <w:w w:val="105"/>
        </w:rPr>
        <w:t> </w:t>
      </w:r>
      <w:r>
        <w:rPr>
          <w:color w:val="383636"/>
          <w:w w:val="105"/>
        </w:rPr>
        <w:t>Uhrich.</w:t>
      </w:r>
    </w:p>
    <w:p>
      <w:pPr>
        <w:pStyle w:val="BodyText"/>
        <w:spacing w:line="235" w:lineRule="auto" w:before="7"/>
        <w:ind w:left="113" w:right="224" w:firstLine="379"/>
        <w:jc w:val="both"/>
      </w:pPr>
      <w:r>
        <w:rPr>
          <w:color w:val="383636"/>
          <w:w w:val="110"/>
        </w:rPr>
        <w:t>My colleague at Ohio State, Monte Smith, provided wise counsel and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guidance on occasions too numerous to count. I am also thankful for the</w:t>
      </w:r>
      <w:r>
        <w:rPr>
          <w:color w:val="383636"/>
          <w:spacing w:val="-64"/>
          <w:w w:val="115"/>
        </w:rPr>
        <w:t> </w:t>
      </w:r>
      <w:r>
        <w:rPr>
          <w:color w:val="383636"/>
          <w:w w:val="115"/>
        </w:rPr>
        <w:t>help of many at Aspen, and I am particularly grateful for the guidance­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and</w:t>
      </w:r>
      <w:r>
        <w:rPr>
          <w:color w:val="383636"/>
          <w:spacing w:val="-39"/>
          <w:w w:val="115"/>
        </w:rPr>
        <w:t> </w:t>
      </w:r>
      <w:r>
        <w:rPr>
          <w:color w:val="383636"/>
          <w:w w:val="115"/>
        </w:rPr>
        <w:t>necessary</w:t>
      </w:r>
      <w:r>
        <w:rPr>
          <w:color w:val="383636"/>
          <w:spacing w:val="8"/>
          <w:w w:val="115"/>
        </w:rPr>
        <w:t> </w:t>
      </w:r>
      <w:r>
        <w:rPr>
          <w:color w:val="383636"/>
          <w:w w:val="115"/>
        </w:rPr>
        <w:t>nudging-provided by</w:t>
      </w:r>
      <w:r>
        <w:rPr>
          <w:color w:val="383636"/>
          <w:spacing w:val="-24"/>
          <w:w w:val="115"/>
        </w:rPr>
        <w:t> </w:t>
      </w:r>
      <w:r>
        <w:rPr>
          <w:color w:val="383636"/>
          <w:w w:val="115"/>
        </w:rPr>
        <w:t>Dana</w:t>
      </w:r>
      <w:r>
        <w:rPr>
          <w:color w:val="383636"/>
          <w:spacing w:val="-2"/>
          <w:w w:val="115"/>
        </w:rPr>
        <w:t> </w:t>
      </w:r>
      <w:r>
        <w:rPr>
          <w:color w:val="383636"/>
          <w:w w:val="115"/>
        </w:rPr>
        <w:t>Wilson.</w:t>
      </w:r>
    </w:p>
    <w:p>
      <w:pPr>
        <w:pStyle w:val="BodyText"/>
        <w:spacing w:line="235" w:lineRule="auto"/>
        <w:ind w:left="111" w:right="189" w:firstLine="391"/>
        <w:jc w:val="both"/>
      </w:pPr>
      <w:r>
        <w:rPr>
          <w:color w:val="383636"/>
          <w:w w:val="110"/>
        </w:rPr>
        <w:t>You will see the name "Kobacker" and "Marvin Kobacker" sprinkled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throughout  the examples in  the  text and  in Appendix C. The "honor"</w:t>
      </w:r>
      <w:r>
        <w:rPr>
          <w:color w:val="383636"/>
          <w:spacing w:val="1"/>
          <w:w w:val="115"/>
        </w:rPr>
        <w:t> </w:t>
      </w:r>
      <w:r>
        <w:rPr>
          <w:color w:val="383636"/>
          <w:spacing w:val="-1"/>
          <w:w w:val="115"/>
        </w:rPr>
        <w:t>of being used in these </w:t>
      </w:r>
      <w:r>
        <w:rPr>
          <w:color w:val="383636"/>
          <w:w w:val="115"/>
        </w:rPr>
        <w:t>entirely fictional contexts was an auction item at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an</w:t>
      </w:r>
      <w:r>
        <w:rPr>
          <w:color w:val="383636"/>
          <w:spacing w:val="-6"/>
          <w:w w:val="115"/>
        </w:rPr>
        <w:t> </w:t>
      </w:r>
      <w:r>
        <w:rPr>
          <w:color w:val="383636"/>
          <w:w w:val="115"/>
        </w:rPr>
        <w:t>event</w:t>
      </w:r>
      <w:r>
        <w:rPr>
          <w:color w:val="383636"/>
          <w:spacing w:val="-10"/>
          <w:w w:val="115"/>
        </w:rPr>
        <w:t> </w:t>
      </w:r>
      <w:r>
        <w:rPr>
          <w:color w:val="383636"/>
          <w:w w:val="115"/>
        </w:rPr>
        <w:t>benefitting</w:t>
      </w:r>
      <w:r>
        <w:rPr>
          <w:color w:val="383636"/>
          <w:spacing w:val="-12"/>
          <w:w w:val="115"/>
        </w:rPr>
        <w:t> </w:t>
      </w:r>
      <w:r>
        <w:rPr>
          <w:color w:val="383636"/>
          <w:w w:val="115"/>
        </w:rPr>
        <w:t>Ohio</w:t>
      </w:r>
      <w:r>
        <w:rPr>
          <w:color w:val="383636"/>
          <w:spacing w:val="-24"/>
          <w:w w:val="115"/>
        </w:rPr>
        <w:t> </w:t>
      </w:r>
      <w:r>
        <w:rPr>
          <w:color w:val="383636"/>
          <w:w w:val="115"/>
        </w:rPr>
        <w:t>State's</w:t>
      </w:r>
      <w:r>
        <w:rPr>
          <w:color w:val="383636"/>
          <w:spacing w:val="-13"/>
          <w:w w:val="115"/>
        </w:rPr>
        <w:t> </w:t>
      </w:r>
      <w:r>
        <w:rPr>
          <w:color w:val="383636"/>
          <w:w w:val="115"/>
        </w:rPr>
        <w:t>Public</w:t>
      </w:r>
      <w:r>
        <w:rPr>
          <w:color w:val="383636"/>
          <w:spacing w:val="-10"/>
          <w:w w:val="115"/>
        </w:rPr>
        <w:t> </w:t>
      </w:r>
      <w:r>
        <w:rPr>
          <w:color w:val="383636"/>
          <w:w w:val="115"/>
        </w:rPr>
        <w:t>Interest</w:t>
      </w:r>
      <w:r>
        <w:rPr>
          <w:color w:val="383636"/>
          <w:spacing w:val="-15"/>
          <w:w w:val="115"/>
        </w:rPr>
        <w:t> </w:t>
      </w:r>
      <w:r>
        <w:rPr>
          <w:rFonts w:ascii="Arial"/>
          <w:color w:val="383636"/>
          <w:w w:val="115"/>
          <w:sz w:val="21"/>
        </w:rPr>
        <w:t>Law</w:t>
      </w:r>
      <w:r>
        <w:rPr>
          <w:rFonts w:ascii="Arial"/>
          <w:color w:val="383636"/>
          <w:spacing w:val="-18"/>
          <w:w w:val="115"/>
          <w:sz w:val="21"/>
        </w:rPr>
        <w:t> </w:t>
      </w:r>
      <w:r>
        <w:rPr>
          <w:color w:val="383636"/>
          <w:w w:val="115"/>
        </w:rPr>
        <w:t>Foundation</w:t>
      </w:r>
      <w:r>
        <w:rPr>
          <w:color w:val="383636"/>
          <w:spacing w:val="11"/>
          <w:w w:val="115"/>
        </w:rPr>
        <w:t> </w:t>
      </w:r>
      <w:r>
        <w:rPr>
          <w:color w:val="383636"/>
          <w:w w:val="115"/>
        </w:rPr>
        <w:t>and</w:t>
      </w:r>
      <w:r>
        <w:rPr>
          <w:color w:val="383636"/>
          <w:spacing w:val="11"/>
          <w:w w:val="115"/>
        </w:rPr>
        <w:t> </w:t>
      </w:r>
      <w:r>
        <w:rPr>
          <w:color w:val="383636"/>
          <w:w w:val="115"/>
        </w:rPr>
        <w:t>was</w:t>
      </w:r>
      <w:r>
        <w:rPr>
          <w:color w:val="383636"/>
          <w:spacing w:val="-64"/>
          <w:w w:val="115"/>
        </w:rPr>
        <w:t> </w:t>
      </w:r>
      <w:r>
        <w:rPr>
          <w:color w:val="383636"/>
          <w:w w:val="110"/>
        </w:rPr>
        <w:t>purchased</w:t>
      </w:r>
      <w:r>
        <w:rPr>
          <w:color w:val="383636"/>
          <w:spacing w:val="6"/>
          <w:w w:val="110"/>
        </w:rPr>
        <w:t> </w:t>
      </w:r>
      <w:r>
        <w:rPr>
          <w:color w:val="383636"/>
          <w:w w:val="110"/>
        </w:rPr>
        <w:t>as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a</w:t>
      </w:r>
      <w:r>
        <w:rPr>
          <w:color w:val="383636"/>
          <w:spacing w:val="8"/>
          <w:w w:val="110"/>
        </w:rPr>
        <w:t> </w:t>
      </w:r>
      <w:r>
        <w:rPr>
          <w:color w:val="383636"/>
          <w:w w:val="110"/>
        </w:rPr>
        <w:t>gift by</w:t>
      </w:r>
      <w:r>
        <w:rPr>
          <w:color w:val="383636"/>
          <w:spacing w:val="-6"/>
          <w:w w:val="110"/>
        </w:rPr>
        <w:t> </w:t>
      </w:r>
      <w:r>
        <w:rPr>
          <w:color w:val="383636"/>
          <w:w w:val="110"/>
        </w:rPr>
        <w:t>his son,</w:t>
      </w:r>
      <w:r>
        <w:rPr>
          <w:color w:val="383636"/>
          <w:spacing w:val="-27"/>
          <w:w w:val="110"/>
        </w:rPr>
        <w:t> </w:t>
      </w:r>
      <w:r>
        <w:rPr>
          <w:color w:val="383636"/>
          <w:w w:val="110"/>
        </w:rPr>
        <w:t>James</w:t>
      </w:r>
      <w:r>
        <w:rPr>
          <w:color w:val="383636"/>
          <w:spacing w:val="-12"/>
          <w:w w:val="110"/>
        </w:rPr>
        <w:t> </w:t>
      </w:r>
      <w:r>
        <w:rPr>
          <w:color w:val="383636"/>
          <w:w w:val="110"/>
        </w:rPr>
        <w:t>Kobacker.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7"/>
        </w:rPr>
      </w:pPr>
    </w:p>
    <w:p>
      <w:pPr>
        <w:spacing w:before="0"/>
        <w:ind w:left="0" w:right="103" w:firstLine="0"/>
        <w:jc w:val="right"/>
        <w:rPr>
          <w:b/>
          <w:sz w:val="23"/>
        </w:rPr>
      </w:pPr>
      <w:r>
        <w:rPr>
          <w:b/>
          <w:color w:val="383636"/>
          <w:w w:val="105"/>
          <w:sz w:val="23"/>
        </w:rPr>
        <w:t>xxlx</w:t>
      </w:r>
    </w:p>
    <w:p>
      <w:pPr>
        <w:spacing w:after="0"/>
        <w:jc w:val="right"/>
        <w:rPr>
          <w:sz w:val="23"/>
        </w:rPr>
        <w:sectPr>
          <w:headerReference w:type="even" r:id="rId20"/>
          <w:pgSz w:w="9660" w:h="13820"/>
          <w:pgMar w:header="0" w:footer="0" w:top="1300" w:bottom="280" w:left="420" w:right="1220"/>
        </w:sectPr>
      </w:pPr>
    </w:p>
    <w:p>
      <w:pPr>
        <w:spacing w:line="524" w:lineRule="exact" w:before="0"/>
        <w:ind w:left="725" w:right="0" w:firstLine="0"/>
        <w:jc w:val="left"/>
        <w:rPr>
          <w:rFonts w:ascii="Arial"/>
          <w:b/>
          <w:sz w:val="46"/>
        </w:rPr>
      </w:pPr>
      <w:r>
        <w:rPr>
          <w:rFonts w:ascii="Arial"/>
          <w:b/>
          <w:color w:val="858789"/>
          <w:sz w:val="45"/>
        </w:rPr>
        <w:t>Fourth</w:t>
      </w:r>
      <w:r>
        <w:rPr>
          <w:rFonts w:ascii="Arial"/>
          <w:b/>
          <w:color w:val="858789"/>
          <w:spacing w:val="7"/>
          <w:sz w:val="45"/>
        </w:rPr>
        <w:t> </w:t>
      </w:r>
      <w:r>
        <w:rPr>
          <w:rFonts w:ascii="Arial"/>
          <w:b/>
          <w:color w:val="97999A"/>
          <w:sz w:val="46"/>
        </w:rPr>
        <w:t>Edation</w:t>
      </w:r>
    </w:p>
    <w:p>
      <w:pPr>
        <w:pStyle w:val="BodyText"/>
        <w:rPr>
          <w:rFonts w:ascii="Arial"/>
          <w:b/>
          <w:sz w:val="52"/>
        </w:rPr>
      </w:pPr>
    </w:p>
    <w:p>
      <w:pPr>
        <w:pStyle w:val="BodyText"/>
        <w:rPr>
          <w:rFonts w:ascii="Arial"/>
          <w:b/>
          <w:sz w:val="52"/>
        </w:rPr>
      </w:pPr>
    </w:p>
    <w:p>
      <w:pPr>
        <w:pStyle w:val="BodyText"/>
        <w:spacing w:before="11"/>
        <w:rPr>
          <w:rFonts w:ascii="Arial"/>
          <w:b/>
          <w:sz w:val="55"/>
        </w:rPr>
      </w:pPr>
    </w:p>
    <w:p>
      <w:pPr>
        <w:pStyle w:val="BodyText"/>
        <w:spacing w:line="235" w:lineRule="auto"/>
        <w:ind w:left="124" w:right="245" w:firstLine="8"/>
        <w:jc w:val="both"/>
      </w:pPr>
      <w:r>
        <w:rPr>
          <w:color w:val="3A3838"/>
          <w:w w:val="110"/>
        </w:rPr>
        <w:t>Once again, I give special thanks to the anonymous reviewers who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sent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suggestions for the fourth edition. I also thank those who sent comments,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reviewed edits, or inspired changes in other ways. I fear listing some, for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fear I will leave out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someone important, but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they include Terry Hagen,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Terri</w:t>
      </w:r>
      <w:r>
        <w:rPr>
          <w:color w:val="3A3838"/>
          <w:spacing w:val="-3"/>
          <w:w w:val="110"/>
        </w:rPr>
        <w:t> </w:t>
      </w:r>
      <w:r>
        <w:rPr>
          <w:color w:val="3A3838"/>
          <w:w w:val="110"/>
        </w:rPr>
        <w:t>Enns,</w:t>
      </w:r>
      <w:r>
        <w:rPr>
          <w:color w:val="3A3838"/>
          <w:spacing w:val="-11"/>
          <w:w w:val="110"/>
        </w:rPr>
        <w:t> </w:t>
      </w:r>
      <w:r>
        <w:rPr>
          <w:color w:val="3A3838"/>
          <w:w w:val="110"/>
        </w:rPr>
        <w:t>Traci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Martinez,</w:t>
      </w:r>
      <w:r>
        <w:rPr>
          <w:color w:val="3A3838"/>
          <w:spacing w:val="8"/>
          <w:w w:val="110"/>
        </w:rPr>
        <w:t> </w:t>
      </w:r>
      <w:r>
        <w:rPr>
          <w:color w:val="3A3838"/>
          <w:w w:val="110"/>
        </w:rPr>
        <w:t>Pierce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Reed,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and</w:t>
      </w:r>
      <w:r>
        <w:rPr>
          <w:color w:val="3A3838"/>
          <w:spacing w:val="45"/>
          <w:w w:val="110"/>
        </w:rPr>
        <w:t> </w:t>
      </w:r>
      <w:r>
        <w:rPr>
          <w:color w:val="3A3838"/>
          <w:w w:val="110"/>
        </w:rPr>
        <w:t>Katherine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Kelly.</w:t>
      </w:r>
    </w:p>
    <w:p>
      <w:pPr>
        <w:pStyle w:val="BodyText"/>
        <w:spacing w:line="235" w:lineRule="auto"/>
        <w:ind w:left="117" w:right="213" w:firstLine="396"/>
        <w:jc w:val="both"/>
      </w:pPr>
      <w:r>
        <w:rPr>
          <w:color w:val="3A3838"/>
          <w:spacing w:val="-1"/>
          <w:w w:val="115"/>
        </w:rPr>
        <w:t>Matt</w:t>
      </w:r>
      <w:r>
        <w:rPr>
          <w:color w:val="3A3838"/>
          <w:spacing w:val="-12"/>
          <w:w w:val="115"/>
        </w:rPr>
        <w:t> </w:t>
      </w:r>
      <w:r>
        <w:rPr>
          <w:color w:val="3A3838"/>
          <w:spacing w:val="-1"/>
          <w:w w:val="115"/>
        </w:rPr>
        <w:t>Cooper</w:t>
      </w:r>
      <w:r>
        <w:rPr>
          <w:color w:val="3A3838"/>
          <w:spacing w:val="-4"/>
          <w:w w:val="115"/>
        </w:rPr>
        <w:t> </w:t>
      </w:r>
      <w:r>
        <w:rPr>
          <w:color w:val="3A3838"/>
          <w:w w:val="115"/>
        </w:rPr>
        <w:t>provided</w:t>
      </w:r>
      <w:r>
        <w:rPr>
          <w:color w:val="3A3838"/>
          <w:spacing w:val="-12"/>
          <w:w w:val="115"/>
        </w:rPr>
        <w:t> </w:t>
      </w:r>
      <w:r>
        <w:rPr>
          <w:color w:val="3A3838"/>
          <w:w w:val="115"/>
        </w:rPr>
        <w:t>invaluable</w:t>
      </w:r>
      <w:r>
        <w:rPr>
          <w:color w:val="3A3838"/>
          <w:spacing w:val="-3"/>
          <w:w w:val="115"/>
        </w:rPr>
        <w:t> </w:t>
      </w:r>
      <w:r>
        <w:rPr>
          <w:color w:val="3A3838"/>
          <w:w w:val="115"/>
        </w:rPr>
        <w:t>research</w:t>
      </w:r>
      <w:r>
        <w:rPr>
          <w:color w:val="3A3838"/>
          <w:spacing w:val="-14"/>
          <w:w w:val="115"/>
        </w:rPr>
        <w:t> </w:t>
      </w:r>
      <w:r>
        <w:rPr>
          <w:color w:val="3A3838"/>
          <w:w w:val="115"/>
        </w:rPr>
        <w:t>assistance,</w:t>
      </w:r>
      <w:r>
        <w:rPr>
          <w:color w:val="3A3838"/>
          <w:spacing w:val="-9"/>
          <w:w w:val="115"/>
        </w:rPr>
        <w:t> </w:t>
      </w:r>
      <w:r>
        <w:rPr>
          <w:color w:val="3A3838"/>
          <w:w w:val="115"/>
        </w:rPr>
        <w:t>especially</w:t>
      </w:r>
      <w:r>
        <w:rPr>
          <w:color w:val="3A3838"/>
          <w:spacing w:val="-13"/>
          <w:w w:val="115"/>
        </w:rPr>
        <w:t> </w:t>
      </w:r>
      <w:r>
        <w:rPr>
          <w:b/>
          <w:color w:val="3A3838"/>
          <w:w w:val="115"/>
          <w:sz w:val="22"/>
        </w:rPr>
        <w:t>with</w:t>
      </w:r>
      <w:r>
        <w:rPr>
          <w:b/>
          <w:color w:val="3A3838"/>
          <w:spacing w:val="-60"/>
          <w:w w:val="115"/>
          <w:sz w:val="22"/>
        </w:rPr>
        <w:t> </w:t>
      </w:r>
      <w:r>
        <w:rPr>
          <w:color w:val="3A3838"/>
          <w:w w:val="110"/>
        </w:rPr>
        <w:t>regard to procrastination and digital reading issues. My colleague at Ohio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State, Monte Smith, once again provided wise counsel and guidance on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occasions</w:t>
      </w:r>
      <w:r>
        <w:rPr>
          <w:color w:val="3A3838"/>
          <w:spacing w:val="-8"/>
          <w:w w:val="115"/>
        </w:rPr>
        <w:t> </w:t>
      </w:r>
      <w:r>
        <w:rPr>
          <w:color w:val="3A3838"/>
          <w:w w:val="115"/>
        </w:rPr>
        <w:t>too</w:t>
      </w:r>
      <w:r>
        <w:rPr>
          <w:color w:val="3A3838"/>
          <w:spacing w:val="15"/>
          <w:w w:val="115"/>
        </w:rPr>
        <w:t> </w:t>
      </w:r>
      <w:r>
        <w:rPr>
          <w:color w:val="3A3838"/>
          <w:w w:val="115"/>
        </w:rPr>
        <w:t>numerous</w:t>
      </w:r>
      <w:r>
        <w:rPr>
          <w:color w:val="3A3838"/>
          <w:spacing w:val="-15"/>
          <w:w w:val="115"/>
        </w:rPr>
        <w:t> </w:t>
      </w:r>
      <w:r>
        <w:rPr>
          <w:color w:val="3A3838"/>
          <w:w w:val="115"/>
        </w:rPr>
        <w:t>to count.</w:t>
      </w:r>
      <w:r>
        <w:rPr>
          <w:color w:val="3A3838"/>
          <w:spacing w:val="-15"/>
          <w:w w:val="115"/>
        </w:rPr>
        <w:t> </w:t>
      </w:r>
      <w:r>
        <w:rPr>
          <w:color w:val="3A3838"/>
          <w:w w:val="115"/>
        </w:rPr>
        <w:t>I</w:t>
      </w:r>
      <w:r>
        <w:rPr>
          <w:color w:val="3A3838"/>
          <w:spacing w:val="-27"/>
          <w:w w:val="115"/>
        </w:rPr>
        <w:t> </w:t>
      </w:r>
      <w:r>
        <w:rPr>
          <w:color w:val="3A3838"/>
          <w:w w:val="115"/>
        </w:rPr>
        <w:t>am</w:t>
      </w:r>
      <w:r>
        <w:rPr>
          <w:color w:val="3A3838"/>
          <w:spacing w:val="-20"/>
          <w:w w:val="115"/>
        </w:rPr>
        <w:t> </w:t>
      </w:r>
      <w:r>
        <w:rPr>
          <w:color w:val="3A3838"/>
          <w:w w:val="115"/>
        </w:rPr>
        <w:t>also</w:t>
      </w:r>
      <w:r>
        <w:rPr>
          <w:color w:val="3A3838"/>
          <w:spacing w:val="-14"/>
          <w:w w:val="115"/>
        </w:rPr>
        <w:t> </w:t>
      </w:r>
      <w:r>
        <w:rPr>
          <w:color w:val="3A3838"/>
          <w:w w:val="115"/>
        </w:rPr>
        <w:t>thankful</w:t>
      </w:r>
      <w:r>
        <w:rPr>
          <w:color w:val="3A3838"/>
          <w:spacing w:val="-1"/>
          <w:w w:val="115"/>
        </w:rPr>
        <w:t> </w:t>
      </w:r>
      <w:r>
        <w:rPr>
          <w:color w:val="3A3838"/>
          <w:w w:val="115"/>
        </w:rPr>
        <w:t>for</w:t>
      </w:r>
      <w:r>
        <w:rPr>
          <w:color w:val="3A3838"/>
          <w:spacing w:val="-25"/>
          <w:w w:val="115"/>
        </w:rPr>
        <w:t> </w:t>
      </w:r>
      <w:r>
        <w:rPr>
          <w:color w:val="3A3838"/>
          <w:w w:val="115"/>
        </w:rPr>
        <w:t>the</w:t>
      </w:r>
      <w:r>
        <w:rPr>
          <w:color w:val="3A3838"/>
          <w:spacing w:val="12"/>
          <w:w w:val="115"/>
        </w:rPr>
        <w:t> </w:t>
      </w:r>
      <w:r>
        <w:rPr>
          <w:color w:val="3A3838"/>
          <w:w w:val="115"/>
        </w:rPr>
        <w:t>help</w:t>
      </w:r>
      <w:r>
        <w:rPr>
          <w:color w:val="3A3838"/>
          <w:spacing w:val="-28"/>
          <w:w w:val="115"/>
        </w:rPr>
        <w:t> </w:t>
      </w:r>
      <w:r>
        <w:rPr>
          <w:color w:val="3A3838"/>
          <w:w w:val="115"/>
        </w:rPr>
        <w:t>of</w:t>
      </w:r>
      <w:r>
        <w:rPr>
          <w:color w:val="3A3838"/>
          <w:spacing w:val="10"/>
          <w:w w:val="115"/>
        </w:rPr>
        <w:t> </w:t>
      </w:r>
      <w:r>
        <w:rPr>
          <w:color w:val="3A3838"/>
          <w:w w:val="115"/>
        </w:rPr>
        <w:t>many</w:t>
      </w:r>
      <w:r>
        <w:rPr>
          <w:color w:val="3A3838"/>
          <w:spacing w:val="-64"/>
          <w:w w:val="115"/>
        </w:rPr>
        <w:t> </w:t>
      </w:r>
      <w:r>
        <w:rPr>
          <w:color w:val="3A3838"/>
          <w:w w:val="110"/>
        </w:rPr>
        <w:t>at Aspen, and I am particularly grateful for the guidance provided by Dana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Wilson.</w:t>
      </w:r>
    </w:p>
    <w:p>
      <w:pPr>
        <w:pStyle w:val="BodyText"/>
        <w:spacing w:line="232" w:lineRule="auto"/>
        <w:ind w:left="137" w:right="198" w:firstLine="377"/>
        <w:jc w:val="both"/>
      </w:pPr>
      <w:r>
        <w:rPr>
          <w:color w:val="3A3838"/>
          <w:w w:val="115"/>
        </w:rPr>
        <w:t>You will see the name "Restrepo" and "Susan Restrepo" sprinkled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throughout the examples in the text.Susan purchased the "honor" of being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used in these entirely fictional contexts at Ohio State's Public Interest Law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5"/>
        </w:rPr>
        <w:t>Foundation</w:t>
      </w:r>
      <w:r>
        <w:rPr>
          <w:color w:val="3A3838"/>
          <w:spacing w:val="13"/>
          <w:w w:val="115"/>
        </w:rPr>
        <w:t> </w:t>
      </w:r>
      <w:r>
        <w:rPr>
          <w:color w:val="3A3838"/>
          <w:spacing w:val="-1"/>
          <w:w w:val="115"/>
        </w:rPr>
        <w:t>auction</w:t>
      </w:r>
      <w:r>
        <w:rPr>
          <w:color w:val="3A3838"/>
          <w:spacing w:val="5"/>
          <w:w w:val="115"/>
        </w:rPr>
        <w:t> </w:t>
      </w:r>
      <w:r>
        <w:rPr>
          <w:color w:val="3A3838"/>
          <w:spacing w:val="-1"/>
          <w:w w:val="115"/>
        </w:rPr>
        <w:t>in</w:t>
      </w:r>
      <w:r>
        <w:rPr>
          <w:color w:val="3A3838"/>
          <w:spacing w:val="10"/>
          <w:w w:val="115"/>
        </w:rPr>
        <w:t> </w:t>
      </w:r>
      <w:r>
        <w:rPr>
          <w:color w:val="3A3838"/>
          <w:spacing w:val="-1"/>
          <w:w w:val="115"/>
        </w:rPr>
        <w:t>the</w:t>
      </w:r>
      <w:r>
        <w:rPr>
          <w:color w:val="3A3838"/>
          <w:spacing w:val="-8"/>
          <w:w w:val="115"/>
        </w:rPr>
        <w:t> </w:t>
      </w:r>
      <w:r>
        <w:rPr>
          <w:color w:val="3A3838"/>
          <w:spacing w:val="-1"/>
          <w:w w:val="115"/>
        </w:rPr>
        <w:t>spring</w:t>
      </w:r>
      <w:r>
        <w:rPr>
          <w:color w:val="3A3838"/>
          <w:spacing w:val="-19"/>
          <w:w w:val="115"/>
        </w:rPr>
        <w:t> </w:t>
      </w:r>
      <w:r>
        <w:rPr>
          <w:color w:val="3A3838"/>
          <w:w w:val="115"/>
        </w:rPr>
        <w:t>of</w:t>
      </w:r>
      <w:r>
        <w:rPr>
          <w:color w:val="3A3838"/>
          <w:spacing w:val="-7"/>
          <w:w w:val="115"/>
        </w:rPr>
        <w:t> </w:t>
      </w:r>
      <w:r>
        <w:rPr>
          <w:color w:val="3A3838"/>
          <w:w w:val="115"/>
        </w:rPr>
        <w:t>2014.</w:t>
      </w:r>
    </w:p>
    <w:p>
      <w:pPr>
        <w:pStyle w:val="BodyText"/>
        <w:spacing w:line="230" w:lineRule="auto"/>
        <w:ind w:left="124" w:firstLine="387"/>
      </w:pPr>
      <w:r>
        <w:rPr>
          <w:color w:val="3A3838"/>
          <w:w w:val="110"/>
        </w:rPr>
        <w:t>I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dedicate</w:t>
      </w:r>
      <w:r>
        <w:rPr>
          <w:color w:val="3A3838"/>
          <w:spacing w:val="3"/>
          <w:w w:val="110"/>
        </w:rPr>
        <w:t> </w:t>
      </w:r>
      <w:r>
        <w:rPr>
          <w:color w:val="3A3838"/>
          <w:w w:val="110"/>
        </w:rPr>
        <w:t>this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edition</w:t>
      </w:r>
      <w:r>
        <w:rPr>
          <w:color w:val="3A3838"/>
          <w:spacing w:val="9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23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8"/>
          <w:w w:val="110"/>
        </w:rPr>
        <w:t> </w:t>
      </w:r>
      <w:r>
        <w:rPr>
          <w:color w:val="3A3838"/>
          <w:w w:val="110"/>
        </w:rPr>
        <w:t>memory</w:t>
      </w:r>
      <w:r>
        <w:rPr>
          <w:color w:val="3A3838"/>
          <w:spacing w:val="-3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19"/>
          <w:w w:val="110"/>
        </w:rPr>
        <w:t> </w:t>
      </w:r>
      <w:r>
        <w:rPr>
          <w:color w:val="3A3838"/>
          <w:w w:val="110"/>
        </w:rPr>
        <w:t>my</w:t>
      </w:r>
      <w:r>
        <w:rPr>
          <w:color w:val="3A3838"/>
          <w:spacing w:val="27"/>
          <w:w w:val="110"/>
        </w:rPr>
        <w:t> </w:t>
      </w:r>
      <w:r>
        <w:rPr>
          <w:color w:val="3A3838"/>
          <w:w w:val="110"/>
        </w:rPr>
        <w:t>mother,</w:t>
      </w:r>
      <w:r>
        <w:rPr>
          <w:color w:val="3A3838"/>
          <w:spacing w:val="22"/>
          <w:w w:val="110"/>
        </w:rPr>
        <w:t> </w:t>
      </w:r>
      <w:r>
        <w:rPr>
          <w:color w:val="3A3838"/>
          <w:w w:val="110"/>
        </w:rPr>
        <w:t>Pat</w:t>
      </w:r>
      <w:r>
        <w:rPr>
          <w:color w:val="3A3838"/>
          <w:spacing w:val="13"/>
          <w:w w:val="110"/>
        </w:rPr>
        <w:t> </w:t>
      </w:r>
      <w:r>
        <w:rPr>
          <w:color w:val="3A3838"/>
          <w:w w:val="110"/>
        </w:rPr>
        <w:t>Beazley,</w:t>
      </w:r>
      <w:r>
        <w:rPr>
          <w:color w:val="3A3838"/>
          <w:spacing w:val="26"/>
          <w:w w:val="110"/>
        </w:rPr>
        <w:t> </w:t>
      </w:r>
      <w:r>
        <w:rPr>
          <w:color w:val="3A3838"/>
          <w:w w:val="110"/>
        </w:rPr>
        <w:t>who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5"/>
        </w:rPr>
        <w:t>died this past February. She </w:t>
      </w:r>
      <w:r>
        <w:rPr>
          <w:color w:val="3A3838"/>
          <w:w w:val="115"/>
        </w:rPr>
        <w:t>"bloomed where she was planted," and three</w:t>
      </w:r>
      <w:r>
        <w:rPr>
          <w:color w:val="3A3838"/>
          <w:spacing w:val="-64"/>
          <w:w w:val="115"/>
        </w:rPr>
        <w:t> </w:t>
      </w:r>
      <w:r>
        <w:rPr>
          <w:color w:val="3A3838"/>
          <w:w w:val="110"/>
        </w:rPr>
        <w:t>generations</w:t>
      </w:r>
      <w:r>
        <w:rPr>
          <w:color w:val="3A3838"/>
          <w:spacing w:val="16"/>
          <w:w w:val="110"/>
        </w:rPr>
        <w:t> </w:t>
      </w:r>
      <w:r>
        <w:rPr>
          <w:color w:val="3A3838"/>
          <w:w w:val="110"/>
        </w:rPr>
        <w:t>have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benefitted</w:t>
      </w:r>
      <w:r>
        <w:rPr>
          <w:color w:val="3A3838"/>
          <w:spacing w:val="16"/>
          <w:w w:val="110"/>
        </w:rPr>
        <w:t> </w:t>
      </w:r>
      <w:r>
        <w:rPr>
          <w:color w:val="3A3838"/>
          <w:w w:val="110"/>
        </w:rPr>
        <w:t>from</w:t>
      </w:r>
      <w:r>
        <w:rPr>
          <w:color w:val="3A3838"/>
          <w:spacing w:val="5"/>
          <w:w w:val="110"/>
        </w:rPr>
        <w:t> </w:t>
      </w:r>
      <w:r>
        <w:rPr>
          <w:color w:val="3A3838"/>
          <w:w w:val="110"/>
        </w:rPr>
        <w:t>her</w:t>
      </w:r>
      <w:r>
        <w:rPr>
          <w:color w:val="3A3838"/>
          <w:spacing w:val="15"/>
          <w:w w:val="110"/>
        </w:rPr>
        <w:t> </w:t>
      </w:r>
      <w:r>
        <w:rPr>
          <w:color w:val="3A3838"/>
          <w:w w:val="110"/>
        </w:rPr>
        <w:t>love</w:t>
      </w:r>
      <w:r>
        <w:rPr>
          <w:color w:val="3A3838"/>
          <w:spacing w:val="-13"/>
          <w:w w:val="110"/>
        </w:rPr>
        <w:t> </w:t>
      </w:r>
      <w:r>
        <w:rPr>
          <w:color w:val="3A3838"/>
          <w:w w:val="110"/>
        </w:rPr>
        <w:t>and</w:t>
      </w:r>
      <w:r>
        <w:rPr>
          <w:color w:val="3A3838"/>
          <w:spacing w:val="23"/>
          <w:w w:val="110"/>
        </w:rPr>
        <w:t> </w:t>
      </w:r>
      <w:r>
        <w:rPr>
          <w:color w:val="3A3838"/>
          <w:w w:val="110"/>
        </w:rPr>
        <w:t>wisdom.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5"/>
        <w:ind w:left="0" w:right="114" w:firstLine="0"/>
        <w:jc w:val="right"/>
        <w:rPr>
          <w:b/>
          <w:sz w:val="22"/>
        </w:rPr>
      </w:pPr>
      <w:r>
        <w:rPr>
          <w:b/>
          <w:color w:val="3A3838"/>
          <w:w w:val="110"/>
          <w:sz w:val="22"/>
        </w:rPr>
        <w:t>xxxl</w:t>
      </w:r>
    </w:p>
    <w:p>
      <w:pPr>
        <w:spacing w:after="0"/>
        <w:jc w:val="right"/>
        <w:rPr>
          <w:sz w:val="22"/>
        </w:rPr>
        <w:sectPr>
          <w:headerReference w:type="default" r:id="rId21"/>
          <w:pgSz w:w="9570" w:h="13800"/>
          <w:pgMar w:header="0" w:footer="0" w:top="2840" w:bottom="280" w:left="360" w:right="120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headerReference w:type="even" r:id="rId22"/>
          <w:pgSz w:w="9800" w:h="13840"/>
          <w:pgMar w:header="0" w:footer="0" w:top="1300" w:bottom="280" w:left="1360" w:right="1360"/>
        </w:sectPr>
      </w:pPr>
    </w:p>
    <w:p>
      <w:pPr>
        <w:pStyle w:val="BodyText"/>
        <w:spacing w:before="7"/>
        <w:rPr>
          <w:b/>
          <w:sz w:val="82"/>
        </w:rPr>
      </w:pPr>
    </w:p>
    <w:p>
      <w:pPr>
        <w:spacing w:line="594" w:lineRule="exact" w:before="0"/>
        <w:ind w:left="159" w:right="0" w:firstLine="0"/>
        <w:jc w:val="left"/>
        <w:rPr>
          <w:sz w:val="61"/>
        </w:rPr>
      </w:pPr>
      <w:r>
        <w:rPr/>
        <w:pict>
          <v:shape style="position:absolute;margin-left:31.124029pt;margin-top:-9.316855pt;width:7.5pt;height:24.7pt;mso-position-horizontal-relative:page;mso-position-vertical-relative:paragraph;z-index:-21609984" type="#_x0000_t202" id="docshape17" filled="false" stroked="false">
            <v:textbox inset="0,0,0,0">
              <w:txbxContent>
                <w:p>
                  <w:pPr>
                    <w:spacing w:line="493" w:lineRule="exact" w:before="0"/>
                    <w:ind w:left="0" w:right="0" w:firstLine="0"/>
                    <w:jc w:val="left"/>
                    <w:rPr>
                      <w:b/>
                      <w:sz w:val="17"/>
                    </w:rPr>
                  </w:pPr>
                  <w:r>
                    <w:rPr>
                      <w:rFonts w:ascii="Arial" w:hAnsi="Arial"/>
                      <w:color w:val="3A3838"/>
                      <w:spacing w:val="-151"/>
                      <w:w w:val="108"/>
                      <w:sz w:val="44"/>
                    </w:rPr>
                    <w:t>•</w:t>
                  </w:r>
                  <w:r>
                    <w:rPr>
                      <w:b/>
                      <w:color w:val="3A3838"/>
                      <w:w w:val="108"/>
                      <w:position w:val="-3"/>
                      <w:sz w:val="17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3A3838"/>
          <w:spacing w:val="-49"/>
          <w:w w:val="108"/>
          <w:position w:val="15"/>
          <w:sz w:val="20"/>
        </w:rPr>
        <w:t>0</w:t>
      </w:r>
      <w:r>
        <w:rPr>
          <w:color w:val="3A3838"/>
          <w:w w:val="60"/>
          <w:sz w:val="61"/>
        </w:rPr>
        <w:t>..</w:t>
      </w:r>
    </w:p>
    <w:p>
      <w:pPr>
        <w:pStyle w:val="Heading3"/>
        <w:spacing w:line="376" w:lineRule="exact"/>
        <w:ind w:left="232"/>
      </w:pPr>
      <w:r>
        <w:rPr/>
        <w:pict>
          <v:shape style="position:absolute;margin-left:32.216599pt;margin-top:16.935045pt;width:3.7pt;height:7.3pt;mso-position-horizontal-relative:page;mso-position-vertical-relative:paragraph;z-index:-21610496" type="#_x0000_t202" id="docshape18" filled="false" stroked="false"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color w:val="3A3838"/>
                      <w:w w:val="60"/>
                      <w:sz w:val="13"/>
                    </w:rPr>
                    <w:t>ftl</w:t>
                  </w:r>
                </w:p>
              </w:txbxContent>
            </v:textbox>
            <w10:wrap type="none"/>
          </v:shape>
        </w:pict>
      </w:r>
      <w:r>
        <w:rPr>
          <w:color w:val="3A3838"/>
          <w:w w:val="60"/>
        </w:rPr>
        <w:t>i</w:t>
      </w:r>
    </w:p>
    <w:p>
      <w:pPr>
        <w:spacing w:line="575" w:lineRule="exact" w:before="0"/>
        <w:ind w:left="198" w:right="0" w:firstLine="0"/>
        <w:jc w:val="left"/>
        <w:rPr>
          <w:sz w:val="55"/>
        </w:rPr>
      </w:pPr>
      <w:r>
        <w:rPr>
          <w:color w:val="3A3838"/>
          <w:w w:val="91"/>
          <w:sz w:val="55"/>
        </w:rPr>
        <w:t>c</w:t>
      </w:r>
    </w:p>
    <w:p>
      <w:pPr>
        <w:pStyle w:val="BodyText"/>
        <w:rPr>
          <w:sz w:val="60"/>
        </w:rPr>
      </w:pPr>
    </w:p>
    <w:p>
      <w:pPr>
        <w:pStyle w:val="BodyText"/>
        <w:rPr>
          <w:sz w:val="60"/>
        </w:rPr>
      </w:pPr>
    </w:p>
    <w:p>
      <w:pPr>
        <w:pStyle w:val="BodyText"/>
        <w:rPr>
          <w:sz w:val="60"/>
        </w:rPr>
      </w:pPr>
    </w:p>
    <w:p>
      <w:pPr>
        <w:pStyle w:val="BodyText"/>
        <w:rPr>
          <w:sz w:val="60"/>
        </w:rPr>
      </w:pPr>
    </w:p>
    <w:p>
      <w:pPr>
        <w:pStyle w:val="BodyText"/>
        <w:rPr>
          <w:sz w:val="76"/>
        </w:rPr>
      </w:pPr>
    </w:p>
    <w:p>
      <w:pPr>
        <w:pStyle w:val="BodyText"/>
        <w:ind w:left="124"/>
      </w:pPr>
      <w:r>
        <w:rPr>
          <w:color w:val="3A3838"/>
          <w:w w:val="110"/>
        </w:rPr>
        <w:t>ing</w:t>
      </w:r>
    </w:p>
    <w:p>
      <w:pPr>
        <w:spacing w:before="62"/>
        <w:ind w:left="0" w:right="113" w:firstLine="0"/>
        <w:jc w:val="right"/>
        <w:rPr>
          <w:b/>
          <w:sz w:val="21"/>
        </w:rPr>
      </w:pPr>
      <w:r>
        <w:rPr/>
        <w:br w:type="column"/>
      </w:r>
      <w:r>
        <w:rPr>
          <w:b/>
          <w:color w:val="3A3838"/>
          <w:w w:val="110"/>
          <w:sz w:val="21"/>
        </w:rPr>
        <w:t>1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Heading5"/>
        <w:spacing w:before="180"/>
        <w:ind w:left="228"/>
      </w:pPr>
      <w:r>
        <w:rPr>
          <w:color w:val="707275"/>
          <w:w w:val="110"/>
        </w:rPr>
        <w:t>l</w:t>
      </w:r>
      <w:r>
        <w:rPr>
          <w:color w:val="707275"/>
          <w:spacing w:val="18"/>
          <w:w w:val="110"/>
        </w:rPr>
        <w:t> </w:t>
      </w:r>
      <w:r>
        <w:rPr>
          <w:color w:val="707275"/>
          <w:w w:val="110"/>
        </w:rPr>
        <w:t>T</w:t>
      </w:r>
      <w:r>
        <w:rPr>
          <w:color w:val="898A8C"/>
          <w:w w:val="110"/>
        </w:rPr>
        <w:t>R</w:t>
      </w:r>
      <w:r>
        <w:rPr>
          <w:color w:val="707275"/>
          <w:w w:val="110"/>
        </w:rPr>
        <w:t>ODUC</w:t>
      </w:r>
      <w:r>
        <w:rPr>
          <w:color w:val="545456"/>
          <w:w w:val="110"/>
        </w:rPr>
        <w:t>T</w:t>
      </w:r>
      <w:r>
        <w:rPr>
          <w:color w:val="707275"/>
          <w:w w:val="110"/>
        </w:rPr>
        <w:t>ION</w:t>
      </w:r>
    </w:p>
    <w:p>
      <w:pPr>
        <w:pStyle w:val="BodyText"/>
        <w:spacing w:before="5"/>
        <w:rPr>
          <w:rFonts w:ascii="Arial"/>
          <w:sz w:val="58"/>
        </w:rPr>
      </w:pPr>
    </w:p>
    <w:p>
      <w:pPr>
        <w:pStyle w:val="ListParagraph"/>
        <w:numPr>
          <w:ilvl w:val="1"/>
          <w:numId w:val="17"/>
        </w:numPr>
        <w:tabs>
          <w:tab w:pos="752" w:val="left" w:leader="none"/>
        </w:tabs>
        <w:spacing w:line="242" w:lineRule="exact" w:before="0" w:after="0"/>
        <w:ind w:left="751" w:right="0" w:hanging="506"/>
        <w:jc w:val="left"/>
        <w:rPr>
          <w:sz w:val="21"/>
        </w:rPr>
      </w:pPr>
      <w:r>
        <w:rPr>
          <w:color w:val="3A3838"/>
          <w:sz w:val="21"/>
        </w:rPr>
        <w:t>Before</w:t>
      </w:r>
      <w:r>
        <w:rPr>
          <w:color w:val="3A3838"/>
          <w:spacing w:val="14"/>
          <w:sz w:val="21"/>
        </w:rPr>
        <w:t> </w:t>
      </w:r>
      <w:r>
        <w:rPr>
          <w:color w:val="3A3838"/>
          <w:sz w:val="21"/>
        </w:rPr>
        <w:t>We</w:t>
      </w:r>
      <w:r>
        <w:rPr>
          <w:color w:val="3A3838"/>
          <w:spacing w:val="2"/>
          <w:sz w:val="21"/>
        </w:rPr>
        <w:t> </w:t>
      </w:r>
      <w:r>
        <w:rPr>
          <w:color w:val="3A3838"/>
          <w:sz w:val="21"/>
        </w:rPr>
        <w:t>Begin</w:t>
      </w:r>
    </w:p>
    <w:p>
      <w:pPr>
        <w:pStyle w:val="ListParagraph"/>
        <w:numPr>
          <w:ilvl w:val="1"/>
          <w:numId w:val="17"/>
        </w:numPr>
        <w:tabs>
          <w:tab w:pos="752" w:val="left" w:leader="none"/>
        </w:tabs>
        <w:spacing w:line="241" w:lineRule="exact" w:before="0" w:after="0"/>
        <w:ind w:left="751" w:right="0" w:hanging="496"/>
        <w:jc w:val="left"/>
        <w:rPr>
          <w:sz w:val="21"/>
        </w:rPr>
      </w:pPr>
      <w:r>
        <w:rPr>
          <w:color w:val="3A3838"/>
          <w:w w:val="105"/>
          <w:sz w:val="21"/>
        </w:rPr>
        <w:t>Know</w:t>
      </w:r>
      <w:r>
        <w:rPr>
          <w:color w:val="3A3838"/>
          <w:spacing w:val="-6"/>
          <w:w w:val="105"/>
          <w:sz w:val="21"/>
        </w:rPr>
        <w:t> </w:t>
      </w:r>
      <w:r>
        <w:rPr>
          <w:color w:val="3A3838"/>
          <w:w w:val="105"/>
          <w:sz w:val="21"/>
        </w:rPr>
        <w:t>Your Audience</w:t>
      </w:r>
    </w:p>
    <w:p>
      <w:pPr>
        <w:pStyle w:val="ListParagraph"/>
        <w:numPr>
          <w:ilvl w:val="1"/>
          <w:numId w:val="17"/>
        </w:numPr>
        <w:tabs>
          <w:tab w:pos="752" w:val="left" w:leader="none"/>
        </w:tabs>
        <w:spacing w:line="236" w:lineRule="exact" w:before="0" w:after="0"/>
        <w:ind w:left="751" w:right="0" w:hanging="496"/>
        <w:jc w:val="left"/>
        <w:rPr>
          <w:sz w:val="21"/>
        </w:rPr>
      </w:pPr>
      <w:r>
        <w:rPr>
          <w:color w:val="3A3838"/>
          <w:w w:val="105"/>
          <w:sz w:val="21"/>
        </w:rPr>
        <w:t>Follow</w:t>
      </w:r>
      <w:r>
        <w:rPr>
          <w:color w:val="3A3838"/>
          <w:spacing w:val="-4"/>
          <w:w w:val="105"/>
          <w:sz w:val="21"/>
        </w:rPr>
        <w:t> </w:t>
      </w:r>
      <w:r>
        <w:rPr>
          <w:color w:val="3A3838"/>
          <w:w w:val="105"/>
          <w:sz w:val="21"/>
        </w:rPr>
        <w:t>an</w:t>
      </w:r>
      <w:r>
        <w:rPr>
          <w:color w:val="3A3838"/>
          <w:spacing w:val="37"/>
          <w:w w:val="105"/>
          <w:sz w:val="21"/>
        </w:rPr>
        <w:t> </w:t>
      </w:r>
      <w:r>
        <w:rPr>
          <w:color w:val="3A3838"/>
          <w:w w:val="105"/>
          <w:sz w:val="21"/>
        </w:rPr>
        <w:t>Effective</w:t>
      </w:r>
      <w:r>
        <w:rPr>
          <w:color w:val="3A3838"/>
          <w:spacing w:val="-4"/>
          <w:w w:val="105"/>
          <w:sz w:val="21"/>
        </w:rPr>
        <w:t> </w:t>
      </w:r>
      <w:r>
        <w:rPr>
          <w:color w:val="3A3838"/>
          <w:w w:val="105"/>
          <w:sz w:val="21"/>
        </w:rPr>
        <w:t>Writing</w:t>
      </w:r>
      <w:r>
        <w:rPr>
          <w:color w:val="3A3838"/>
          <w:spacing w:val="-6"/>
          <w:w w:val="105"/>
          <w:sz w:val="21"/>
        </w:rPr>
        <w:t> </w:t>
      </w:r>
      <w:r>
        <w:rPr>
          <w:color w:val="3A3838"/>
          <w:w w:val="105"/>
          <w:sz w:val="21"/>
        </w:rPr>
        <w:t>Process</w:t>
      </w:r>
    </w:p>
    <w:p>
      <w:pPr>
        <w:pStyle w:val="ListParagraph"/>
        <w:numPr>
          <w:ilvl w:val="1"/>
          <w:numId w:val="17"/>
        </w:numPr>
        <w:tabs>
          <w:tab w:pos="752" w:val="left" w:leader="none"/>
        </w:tabs>
        <w:spacing w:line="236" w:lineRule="exact" w:before="0" w:after="0"/>
        <w:ind w:left="751" w:right="0" w:hanging="496"/>
        <w:jc w:val="left"/>
        <w:rPr>
          <w:sz w:val="21"/>
        </w:rPr>
      </w:pPr>
      <w:r>
        <w:rPr>
          <w:color w:val="3A3838"/>
          <w:w w:val="105"/>
          <w:sz w:val="21"/>
        </w:rPr>
        <w:t>How</w:t>
      </w:r>
      <w:r>
        <w:rPr>
          <w:color w:val="3A3838"/>
          <w:spacing w:val="-7"/>
          <w:w w:val="105"/>
          <w:sz w:val="21"/>
        </w:rPr>
        <w:t> </w:t>
      </w:r>
      <w:r>
        <w:rPr>
          <w:color w:val="3A3838"/>
          <w:w w:val="105"/>
          <w:sz w:val="21"/>
        </w:rPr>
        <w:t>to</w:t>
      </w:r>
      <w:r>
        <w:rPr>
          <w:color w:val="3A3838"/>
          <w:spacing w:val="27"/>
          <w:w w:val="105"/>
          <w:sz w:val="21"/>
        </w:rPr>
        <w:t> </w:t>
      </w:r>
      <w:r>
        <w:rPr>
          <w:color w:val="3A3838"/>
          <w:w w:val="105"/>
          <w:sz w:val="21"/>
        </w:rPr>
        <w:t>Use</w:t>
      </w:r>
      <w:r>
        <w:rPr>
          <w:color w:val="3A3838"/>
          <w:spacing w:val="-18"/>
          <w:w w:val="105"/>
          <w:sz w:val="21"/>
        </w:rPr>
        <w:t> </w:t>
      </w:r>
      <w:r>
        <w:rPr>
          <w:color w:val="3A3838"/>
          <w:w w:val="105"/>
          <w:sz w:val="21"/>
        </w:rPr>
        <w:t>This</w:t>
      </w:r>
      <w:r>
        <w:rPr>
          <w:color w:val="3A3838"/>
          <w:spacing w:val="5"/>
          <w:w w:val="105"/>
          <w:sz w:val="21"/>
        </w:rPr>
        <w:t> </w:t>
      </w:r>
      <w:r>
        <w:rPr>
          <w:color w:val="3A3838"/>
          <w:w w:val="105"/>
          <w:sz w:val="21"/>
        </w:rPr>
        <w:t>Book</w:t>
      </w:r>
    </w:p>
    <w:p>
      <w:pPr>
        <w:pStyle w:val="ListParagraph"/>
        <w:numPr>
          <w:ilvl w:val="1"/>
          <w:numId w:val="17"/>
        </w:numPr>
        <w:tabs>
          <w:tab w:pos="743" w:val="left" w:leader="none"/>
        </w:tabs>
        <w:spacing w:line="242" w:lineRule="exact" w:before="0" w:after="0"/>
        <w:ind w:left="742" w:right="0" w:hanging="497"/>
        <w:jc w:val="left"/>
        <w:rPr>
          <w:sz w:val="21"/>
        </w:rPr>
      </w:pPr>
      <w:r>
        <w:rPr>
          <w:color w:val="3A3838"/>
          <w:w w:val="110"/>
          <w:sz w:val="21"/>
        </w:rPr>
        <w:t>Summary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0"/>
        <w:ind w:left="256" w:right="0" w:firstLine="0"/>
        <w:jc w:val="left"/>
        <w:rPr>
          <w:rFonts w:ascii="Arial"/>
          <w:b/>
          <w:sz w:val="33"/>
        </w:rPr>
      </w:pPr>
      <w:r>
        <w:rPr>
          <w:rFonts w:ascii="Arial"/>
          <w:b/>
          <w:color w:val="898A8C"/>
          <w:w w:val="105"/>
          <w:sz w:val="33"/>
        </w:rPr>
        <w:t>1.</w:t>
      </w:r>
      <w:r>
        <w:rPr>
          <w:rFonts w:ascii="Arial"/>
          <w:b/>
          <w:color w:val="707275"/>
          <w:w w:val="105"/>
          <w:sz w:val="33"/>
        </w:rPr>
        <w:t>1</w:t>
      </w:r>
    </w:p>
    <w:p>
      <w:pPr>
        <w:spacing w:before="90"/>
        <w:ind w:left="245" w:right="0" w:firstLine="0"/>
        <w:jc w:val="left"/>
        <w:rPr>
          <w:rFonts w:ascii="Arial"/>
          <w:sz w:val="25"/>
        </w:rPr>
      </w:pPr>
      <w:r>
        <w:rPr>
          <w:rFonts w:ascii="Arial"/>
          <w:color w:val="9C9EA1"/>
          <w:w w:val="105"/>
          <w:sz w:val="25"/>
        </w:rPr>
        <w:t>BEFORE</w:t>
      </w:r>
      <w:r>
        <w:rPr>
          <w:rFonts w:ascii="Arial"/>
          <w:color w:val="9C9EA1"/>
          <w:spacing w:val="21"/>
          <w:w w:val="105"/>
          <w:sz w:val="25"/>
        </w:rPr>
        <w:t> </w:t>
      </w:r>
      <w:r>
        <w:rPr>
          <w:rFonts w:ascii="Arial"/>
          <w:color w:val="898A8C"/>
          <w:w w:val="105"/>
          <w:sz w:val="25"/>
        </w:rPr>
        <w:t>W</w:t>
      </w:r>
      <w:r>
        <w:rPr>
          <w:rFonts w:ascii="Arial"/>
          <w:color w:val="707275"/>
          <w:w w:val="105"/>
          <w:sz w:val="25"/>
        </w:rPr>
        <w:t>E</w:t>
      </w:r>
      <w:r>
        <w:rPr>
          <w:rFonts w:ascii="Arial"/>
          <w:color w:val="707275"/>
          <w:spacing w:val="-4"/>
          <w:w w:val="105"/>
          <w:sz w:val="25"/>
        </w:rPr>
        <w:t> </w:t>
      </w:r>
      <w:r>
        <w:rPr>
          <w:rFonts w:ascii="Arial"/>
          <w:color w:val="898A8C"/>
          <w:w w:val="105"/>
          <w:sz w:val="25"/>
        </w:rPr>
        <w:t>B</w:t>
      </w:r>
      <w:r>
        <w:rPr>
          <w:rFonts w:ascii="Arial"/>
          <w:color w:val="707275"/>
          <w:w w:val="105"/>
          <w:sz w:val="25"/>
        </w:rPr>
        <w:t>EGIN</w:t>
      </w:r>
    </w:p>
    <w:p>
      <w:pPr>
        <w:pStyle w:val="BodyText"/>
        <w:spacing w:before="4"/>
        <w:rPr>
          <w:rFonts w:ascii="Arial"/>
          <w:sz w:val="22"/>
        </w:rPr>
      </w:pPr>
    </w:p>
    <w:p>
      <w:pPr>
        <w:pStyle w:val="BodyText"/>
        <w:spacing w:line="235" w:lineRule="auto"/>
        <w:ind w:left="62" w:right="420" w:firstLine="173"/>
      </w:pPr>
      <w:r>
        <w:rPr>
          <w:color w:val="3A3838"/>
          <w:w w:val="115"/>
        </w:rPr>
        <w:t>Okay,</w:t>
      </w:r>
      <w:r>
        <w:rPr>
          <w:color w:val="3A3838"/>
          <w:spacing w:val="10"/>
          <w:w w:val="115"/>
        </w:rPr>
        <w:t> </w:t>
      </w:r>
      <w:r>
        <w:rPr>
          <w:color w:val="3A3838"/>
          <w:w w:val="115"/>
        </w:rPr>
        <w:t>I</w:t>
      </w:r>
      <w:r>
        <w:rPr>
          <w:color w:val="545456"/>
          <w:w w:val="115"/>
        </w:rPr>
        <w:t>'</w:t>
      </w:r>
      <w:r>
        <w:rPr>
          <w:color w:val="3A3838"/>
          <w:w w:val="115"/>
        </w:rPr>
        <w:t>m</w:t>
      </w:r>
      <w:r>
        <w:rPr>
          <w:color w:val="3A3838"/>
          <w:spacing w:val="17"/>
          <w:w w:val="115"/>
        </w:rPr>
        <w:t> </w:t>
      </w:r>
      <w:r>
        <w:rPr>
          <w:color w:val="3A3838"/>
          <w:w w:val="115"/>
        </w:rPr>
        <w:t>going</w:t>
      </w:r>
      <w:r>
        <w:rPr>
          <w:color w:val="3A3838"/>
          <w:spacing w:val="10"/>
          <w:w w:val="115"/>
        </w:rPr>
        <w:t> </w:t>
      </w:r>
      <w:r>
        <w:rPr>
          <w:color w:val="3A3838"/>
          <w:w w:val="115"/>
        </w:rPr>
        <w:t>to</w:t>
      </w:r>
      <w:r>
        <w:rPr>
          <w:color w:val="3A3838"/>
          <w:spacing w:val="6"/>
          <w:w w:val="115"/>
        </w:rPr>
        <w:t> </w:t>
      </w:r>
      <w:r>
        <w:rPr>
          <w:color w:val="3A3838"/>
          <w:w w:val="115"/>
        </w:rPr>
        <w:t>start</w:t>
      </w:r>
      <w:r>
        <w:rPr>
          <w:color w:val="3A3838"/>
          <w:spacing w:val="7"/>
          <w:w w:val="115"/>
        </w:rPr>
        <w:t> </w:t>
      </w:r>
      <w:r>
        <w:rPr>
          <w:color w:val="3A3838"/>
          <w:w w:val="115"/>
        </w:rPr>
        <w:t>out</w:t>
      </w:r>
      <w:r>
        <w:rPr>
          <w:color w:val="3A3838"/>
          <w:spacing w:val="14"/>
          <w:w w:val="115"/>
        </w:rPr>
        <w:t> </w:t>
      </w:r>
      <w:r>
        <w:rPr>
          <w:color w:val="3A3838"/>
          <w:w w:val="115"/>
        </w:rPr>
        <w:t>by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violating a</w:t>
      </w:r>
      <w:r>
        <w:rPr>
          <w:color w:val="3A3838"/>
          <w:spacing w:val="15"/>
          <w:w w:val="115"/>
        </w:rPr>
        <w:t> </w:t>
      </w:r>
      <w:r>
        <w:rPr>
          <w:color w:val="3A3838"/>
          <w:w w:val="115"/>
        </w:rPr>
        <w:t>principle</w:t>
      </w:r>
      <w:r>
        <w:rPr>
          <w:color w:val="3A3838"/>
          <w:spacing w:val="-1"/>
          <w:w w:val="115"/>
        </w:rPr>
        <w:t> </w:t>
      </w:r>
      <w:r>
        <w:rPr>
          <w:color w:val="3A3838"/>
          <w:w w:val="115"/>
        </w:rPr>
        <w:t>of</w:t>
      </w:r>
      <w:r>
        <w:rPr>
          <w:color w:val="3A3838"/>
          <w:spacing w:val="11"/>
          <w:w w:val="115"/>
        </w:rPr>
        <w:t> </w:t>
      </w:r>
      <w:r>
        <w:rPr>
          <w:color w:val="3A3838"/>
          <w:w w:val="115"/>
        </w:rPr>
        <w:t>legal</w:t>
      </w:r>
      <w:r>
        <w:rPr>
          <w:color w:val="3A3838"/>
          <w:spacing w:val="2"/>
          <w:w w:val="115"/>
        </w:rPr>
        <w:t> </w:t>
      </w:r>
      <w:r>
        <w:rPr>
          <w:color w:val="3A3838"/>
          <w:w w:val="115"/>
        </w:rPr>
        <w:t>writ­</w:t>
      </w:r>
      <w:r>
        <w:rPr>
          <w:color w:val="3A3838"/>
          <w:spacing w:val="-63"/>
          <w:w w:val="115"/>
        </w:rPr>
        <w:t> </w:t>
      </w:r>
      <w:r>
        <w:rPr>
          <w:color w:val="3A3838"/>
          <w:w w:val="115"/>
        </w:rPr>
        <w:t>and</w:t>
      </w:r>
      <w:r>
        <w:rPr>
          <w:color w:val="3A3838"/>
          <w:spacing w:val="61"/>
          <w:w w:val="115"/>
        </w:rPr>
        <w:t> </w:t>
      </w:r>
      <w:r>
        <w:rPr>
          <w:color w:val="3A3838"/>
          <w:w w:val="115"/>
        </w:rPr>
        <w:t>ask</w:t>
      </w:r>
      <w:r>
        <w:rPr>
          <w:color w:val="3A3838"/>
          <w:spacing w:val="19"/>
          <w:w w:val="115"/>
        </w:rPr>
        <w:t> </w:t>
      </w:r>
      <w:r>
        <w:rPr>
          <w:color w:val="3A3838"/>
          <w:w w:val="115"/>
        </w:rPr>
        <w:t>you</w:t>
      </w:r>
      <w:r>
        <w:rPr>
          <w:color w:val="3A3838"/>
          <w:spacing w:val="48"/>
          <w:w w:val="115"/>
        </w:rPr>
        <w:t> </w:t>
      </w:r>
      <w:r>
        <w:rPr>
          <w:color w:val="3A3838"/>
          <w:w w:val="115"/>
        </w:rPr>
        <w:t>a</w:t>
      </w:r>
      <w:r>
        <w:rPr>
          <w:color w:val="3A3838"/>
          <w:spacing w:val="35"/>
          <w:w w:val="115"/>
        </w:rPr>
        <w:t> </w:t>
      </w:r>
      <w:r>
        <w:rPr>
          <w:color w:val="3A3838"/>
          <w:w w:val="115"/>
        </w:rPr>
        <w:t>question:</w:t>
      </w:r>
      <w:r>
        <w:rPr>
          <w:color w:val="3A3838"/>
          <w:spacing w:val="28"/>
          <w:w w:val="115"/>
        </w:rPr>
        <w:t> </w:t>
      </w:r>
      <w:r>
        <w:rPr>
          <w:color w:val="3A3838"/>
          <w:w w:val="115"/>
        </w:rPr>
        <w:t>Why</w:t>
      </w:r>
      <w:r>
        <w:rPr>
          <w:color w:val="3A3838"/>
          <w:spacing w:val="19"/>
          <w:w w:val="115"/>
        </w:rPr>
        <w:t> </w:t>
      </w:r>
      <w:r>
        <w:rPr>
          <w:color w:val="3A3838"/>
          <w:w w:val="115"/>
        </w:rPr>
        <w:t>are</w:t>
      </w:r>
      <w:r>
        <w:rPr>
          <w:color w:val="3A3838"/>
          <w:spacing w:val="21"/>
          <w:w w:val="115"/>
        </w:rPr>
        <w:t> </w:t>
      </w:r>
      <w:r>
        <w:rPr>
          <w:color w:val="3A3838"/>
          <w:w w:val="115"/>
        </w:rPr>
        <w:t>you</w:t>
      </w:r>
      <w:r>
        <w:rPr>
          <w:color w:val="3A3838"/>
          <w:spacing w:val="34"/>
          <w:w w:val="115"/>
        </w:rPr>
        <w:t> </w:t>
      </w:r>
      <w:r>
        <w:rPr>
          <w:color w:val="3A3838"/>
          <w:w w:val="115"/>
        </w:rPr>
        <w:t>reading</w:t>
      </w:r>
      <w:r>
        <w:rPr>
          <w:color w:val="3A3838"/>
          <w:spacing w:val="30"/>
          <w:w w:val="115"/>
        </w:rPr>
        <w:t> </w:t>
      </w:r>
      <w:r>
        <w:rPr>
          <w:color w:val="3A3838"/>
          <w:w w:val="115"/>
        </w:rPr>
        <w:t>this</w:t>
      </w:r>
      <w:r>
        <w:rPr>
          <w:color w:val="3A3838"/>
          <w:spacing w:val="31"/>
          <w:w w:val="115"/>
        </w:rPr>
        <w:t> </w:t>
      </w:r>
      <w:r>
        <w:rPr>
          <w:color w:val="3A3838"/>
          <w:w w:val="115"/>
        </w:rPr>
        <w:t>book?</w:t>
      </w:r>
      <w:r>
        <w:rPr>
          <w:color w:val="3A3838"/>
          <w:spacing w:val="27"/>
          <w:w w:val="115"/>
        </w:rPr>
        <w:t> </w:t>
      </w:r>
      <w:r>
        <w:rPr>
          <w:color w:val="3A3838"/>
          <w:w w:val="115"/>
        </w:rPr>
        <w:t>Let</w:t>
      </w:r>
      <w:r>
        <w:rPr>
          <w:color w:val="3A3838"/>
          <w:spacing w:val="36"/>
          <w:w w:val="115"/>
        </w:rPr>
        <w:t> </w:t>
      </w:r>
      <w:r>
        <w:rPr>
          <w:color w:val="3A3838"/>
          <w:w w:val="115"/>
        </w:rPr>
        <w:t>me</w:t>
      </w:r>
    </w:p>
    <w:p>
      <w:pPr>
        <w:spacing w:after="0" w:line="235" w:lineRule="auto"/>
        <w:sectPr>
          <w:headerReference w:type="default" r:id="rId23"/>
          <w:pgSz w:w="9590" w:h="13800"/>
          <w:pgMar w:header="0" w:footer="0" w:top="340" w:bottom="280" w:left="380" w:right="720"/>
          <w:cols w:num="2" w:equalWidth="0">
            <w:col w:w="454" w:space="40"/>
            <w:col w:w="7996"/>
          </w:cols>
        </w:sectPr>
      </w:pPr>
    </w:p>
    <w:p>
      <w:pPr>
        <w:pStyle w:val="BodyText"/>
        <w:spacing w:line="232" w:lineRule="auto" w:before="2"/>
        <w:ind w:left="113" w:right="718" w:firstLine="1"/>
        <w:jc w:val="both"/>
      </w:pPr>
      <w:r>
        <w:rPr>
          <w:color w:val="3A3838"/>
          <w:w w:val="115"/>
        </w:rPr>
        <w:t>guess-because</w:t>
      </w:r>
      <w:r>
        <w:rPr>
          <w:color w:val="3A3838"/>
          <w:spacing w:val="19"/>
          <w:w w:val="115"/>
        </w:rPr>
        <w:t> </w:t>
      </w:r>
      <w:r>
        <w:rPr>
          <w:color w:val="3A3838"/>
          <w:w w:val="115"/>
        </w:rPr>
        <w:t>you</w:t>
      </w:r>
      <w:r>
        <w:rPr>
          <w:color w:val="3A3838"/>
          <w:spacing w:val="19"/>
          <w:w w:val="115"/>
        </w:rPr>
        <w:t> </w:t>
      </w:r>
      <w:r>
        <w:rPr>
          <w:color w:val="3A3838"/>
          <w:w w:val="115"/>
        </w:rPr>
        <w:t>have</w:t>
      </w:r>
      <w:r>
        <w:rPr>
          <w:color w:val="3A3838"/>
          <w:spacing w:val="4"/>
          <w:w w:val="115"/>
        </w:rPr>
        <w:t> </w:t>
      </w:r>
      <w:r>
        <w:rPr>
          <w:color w:val="3A3838"/>
          <w:w w:val="115"/>
        </w:rPr>
        <w:t>to</w:t>
      </w:r>
      <w:r>
        <w:rPr>
          <w:color w:val="545456"/>
          <w:w w:val="115"/>
        </w:rPr>
        <w:t>.</w:t>
      </w:r>
      <w:r>
        <w:rPr>
          <w:color w:val="545456"/>
          <w:spacing w:val="5"/>
          <w:w w:val="115"/>
        </w:rPr>
        <w:t> </w:t>
      </w:r>
      <w:r>
        <w:rPr>
          <w:color w:val="3A3838"/>
          <w:w w:val="115"/>
        </w:rPr>
        <w:t>You've</w:t>
      </w:r>
      <w:r>
        <w:rPr>
          <w:color w:val="3A3838"/>
          <w:spacing w:val="5"/>
          <w:w w:val="115"/>
        </w:rPr>
        <w:t> </w:t>
      </w:r>
      <w:r>
        <w:rPr>
          <w:color w:val="3A3838"/>
          <w:w w:val="115"/>
        </w:rPr>
        <w:t>been</w:t>
      </w:r>
      <w:r>
        <w:rPr>
          <w:color w:val="3A3838"/>
          <w:spacing w:val="7"/>
          <w:w w:val="115"/>
        </w:rPr>
        <w:t> </w:t>
      </w:r>
      <w:r>
        <w:rPr>
          <w:color w:val="3A3838"/>
          <w:w w:val="115"/>
        </w:rPr>
        <w:t>given</w:t>
      </w:r>
      <w:r>
        <w:rPr>
          <w:color w:val="3A3838"/>
          <w:spacing w:val="5"/>
          <w:w w:val="115"/>
        </w:rPr>
        <w:t> </w:t>
      </w:r>
      <w:r>
        <w:rPr>
          <w:color w:val="3A3838"/>
          <w:w w:val="115"/>
        </w:rPr>
        <w:t>a</w:t>
      </w:r>
      <w:r>
        <w:rPr>
          <w:color w:val="3A3838"/>
          <w:spacing w:val="11"/>
          <w:w w:val="115"/>
        </w:rPr>
        <w:t> </w:t>
      </w:r>
      <w:r>
        <w:rPr>
          <w:color w:val="3A3838"/>
          <w:w w:val="115"/>
        </w:rPr>
        <w:t>reading</w:t>
      </w:r>
      <w:r>
        <w:rPr>
          <w:color w:val="3A3838"/>
          <w:spacing w:val="6"/>
          <w:w w:val="115"/>
        </w:rPr>
        <w:t> </w:t>
      </w:r>
      <w:r>
        <w:rPr>
          <w:color w:val="3A3838"/>
          <w:w w:val="115"/>
        </w:rPr>
        <w:t>assignment</w:t>
      </w:r>
      <w:r>
        <w:rPr>
          <w:color w:val="3A3838"/>
          <w:spacing w:val="11"/>
          <w:w w:val="115"/>
        </w:rPr>
        <w:t> </w:t>
      </w:r>
      <w:r>
        <w:rPr>
          <w:color w:val="3A3838"/>
          <w:w w:val="115"/>
        </w:rPr>
        <w:t>in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a course, or someone told you that you should read it to improve your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writing. As much as the fond author might hope that her readers look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forward to reading her book with delight</w:t>
      </w:r>
      <w:r>
        <w:rPr>
          <w:color w:val="545456"/>
          <w:w w:val="115"/>
        </w:rPr>
        <w:t>, </w:t>
      </w:r>
      <w:r>
        <w:rPr>
          <w:color w:val="3A3838"/>
          <w:w w:val="115"/>
        </w:rPr>
        <w:t>the hard reality for textbook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authors-and brief writers-is that people read their writing for a </w:t>
      </w:r>
      <w:r>
        <w:rPr>
          <w:i/>
          <w:color w:val="3A3838"/>
          <w:w w:val="115"/>
          <w:sz w:val="24"/>
        </w:rPr>
        <w:t>purpose,</w:t>
      </w:r>
      <w:r>
        <w:rPr>
          <w:i/>
          <w:color w:val="3A3838"/>
          <w:spacing w:val="-66"/>
          <w:w w:val="115"/>
          <w:sz w:val="24"/>
        </w:rPr>
        <w:t> </w:t>
      </w:r>
      <w:r>
        <w:rPr>
          <w:color w:val="3A3838"/>
          <w:w w:val="105"/>
        </w:rPr>
        <w:t>and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not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for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pleasure. So here's the first lesson of this text: People read dif­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5"/>
        </w:rPr>
        <w:t>ferently</w:t>
      </w:r>
      <w:r>
        <w:rPr>
          <w:color w:val="3A3838"/>
          <w:spacing w:val="-16"/>
          <w:w w:val="115"/>
        </w:rPr>
        <w:t> </w:t>
      </w:r>
      <w:r>
        <w:rPr>
          <w:color w:val="3A3838"/>
          <w:w w:val="115"/>
        </w:rPr>
        <w:t>when</w:t>
      </w:r>
      <w:r>
        <w:rPr>
          <w:color w:val="3A3838"/>
          <w:spacing w:val="-6"/>
          <w:w w:val="115"/>
        </w:rPr>
        <w:t> </w:t>
      </w:r>
      <w:r>
        <w:rPr>
          <w:color w:val="3A3838"/>
          <w:w w:val="115"/>
        </w:rPr>
        <w:t>they</w:t>
      </w:r>
      <w:r>
        <w:rPr>
          <w:color w:val="3A3838"/>
          <w:spacing w:val="-8"/>
          <w:w w:val="115"/>
        </w:rPr>
        <w:t> </w:t>
      </w:r>
      <w:r>
        <w:rPr>
          <w:color w:val="3A3838"/>
          <w:w w:val="115"/>
        </w:rPr>
        <w:t>read</w:t>
      </w:r>
      <w:r>
        <w:rPr>
          <w:color w:val="3A3838"/>
          <w:spacing w:val="-12"/>
          <w:w w:val="115"/>
        </w:rPr>
        <w:t> </w:t>
      </w:r>
      <w:r>
        <w:rPr>
          <w:color w:val="3A3838"/>
          <w:w w:val="115"/>
        </w:rPr>
        <w:t>for</w:t>
      </w:r>
      <w:r>
        <w:rPr>
          <w:color w:val="3A3838"/>
          <w:spacing w:val="-8"/>
          <w:w w:val="115"/>
        </w:rPr>
        <w:t> </w:t>
      </w:r>
      <w:r>
        <w:rPr>
          <w:color w:val="3A3838"/>
          <w:w w:val="115"/>
        </w:rPr>
        <w:t>a</w:t>
      </w:r>
      <w:r>
        <w:rPr>
          <w:color w:val="3A3838"/>
          <w:spacing w:val="6"/>
          <w:w w:val="115"/>
        </w:rPr>
        <w:t> </w:t>
      </w:r>
      <w:r>
        <w:rPr>
          <w:color w:val="3A3838"/>
          <w:w w:val="115"/>
        </w:rPr>
        <w:t>purpose,</w:t>
      </w:r>
      <w:r>
        <w:rPr>
          <w:color w:val="3A3838"/>
          <w:spacing w:val="-2"/>
          <w:w w:val="115"/>
        </w:rPr>
        <w:t> </w:t>
      </w:r>
      <w:r>
        <w:rPr>
          <w:color w:val="3A3838"/>
          <w:w w:val="115"/>
        </w:rPr>
        <w:t>and</w:t>
      </w:r>
      <w:r>
        <w:rPr>
          <w:color w:val="3A3838"/>
          <w:spacing w:val="16"/>
          <w:w w:val="115"/>
        </w:rPr>
        <w:t> </w:t>
      </w:r>
      <w:r>
        <w:rPr>
          <w:color w:val="3A3838"/>
          <w:w w:val="115"/>
        </w:rPr>
        <w:t>because</w:t>
      </w:r>
      <w:r>
        <w:rPr>
          <w:color w:val="3A3838"/>
          <w:spacing w:val="-9"/>
          <w:w w:val="115"/>
        </w:rPr>
        <w:t> </w:t>
      </w:r>
      <w:r>
        <w:rPr>
          <w:color w:val="3A3838"/>
          <w:w w:val="115"/>
        </w:rPr>
        <w:t>they</w:t>
      </w:r>
      <w:r>
        <w:rPr>
          <w:color w:val="3A3838"/>
          <w:spacing w:val="-8"/>
          <w:w w:val="115"/>
        </w:rPr>
        <w:t> </w:t>
      </w:r>
      <w:r>
        <w:rPr>
          <w:color w:val="3A3838"/>
          <w:w w:val="115"/>
        </w:rPr>
        <w:t>read</w:t>
      </w:r>
      <w:r>
        <w:rPr>
          <w:color w:val="3A3838"/>
          <w:spacing w:val="-10"/>
          <w:w w:val="115"/>
        </w:rPr>
        <w:t> </w:t>
      </w:r>
      <w:r>
        <w:rPr>
          <w:color w:val="3A3838"/>
          <w:w w:val="115"/>
        </w:rPr>
        <w:t>differently,</w:t>
      </w:r>
      <w:r>
        <w:rPr>
          <w:color w:val="3A3838"/>
          <w:spacing w:val="-64"/>
          <w:w w:val="115"/>
        </w:rPr>
        <w:t> </w:t>
      </w:r>
      <w:r>
        <w:rPr>
          <w:color w:val="3A3838"/>
          <w:w w:val="110"/>
        </w:rPr>
        <w:t>you</w:t>
      </w:r>
      <w:r>
        <w:rPr>
          <w:color w:val="3A3838"/>
          <w:spacing w:val="21"/>
          <w:w w:val="110"/>
        </w:rPr>
        <w:t> </w:t>
      </w:r>
      <w:r>
        <w:rPr>
          <w:color w:val="3A3838"/>
          <w:w w:val="110"/>
        </w:rPr>
        <w:t>have</w:t>
      </w:r>
      <w:r>
        <w:rPr>
          <w:color w:val="3A3838"/>
          <w:spacing w:val="-7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15"/>
          <w:w w:val="110"/>
        </w:rPr>
        <w:t> </w:t>
      </w:r>
      <w:r>
        <w:rPr>
          <w:color w:val="3A3838"/>
          <w:w w:val="110"/>
        </w:rPr>
        <w:t>write</w:t>
      </w:r>
      <w:r>
        <w:rPr>
          <w:color w:val="3A3838"/>
          <w:spacing w:val="-13"/>
          <w:w w:val="110"/>
        </w:rPr>
        <w:t> </w:t>
      </w:r>
      <w:r>
        <w:rPr>
          <w:color w:val="3A3838"/>
          <w:w w:val="110"/>
        </w:rPr>
        <w:t>differently.</w:t>
      </w:r>
    </w:p>
    <w:p>
      <w:pPr>
        <w:pStyle w:val="BodyText"/>
        <w:spacing w:line="235" w:lineRule="auto"/>
        <w:ind w:left="122" w:right="689" w:firstLine="377"/>
        <w:jc w:val="both"/>
      </w:pPr>
      <w:r>
        <w:rPr>
          <w:color w:val="3A3838"/>
          <w:w w:val="115"/>
        </w:rPr>
        <w:t>This book is about the practical side of appellate advocacy and brief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writing, about recognizing the limits that every </w:t>
      </w:r>
      <w:r>
        <w:rPr>
          <w:color w:val="282626"/>
          <w:w w:val="115"/>
        </w:rPr>
        <w:t>legal </w:t>
      </w:r>
      <w:r>
        <w:rPr>
          <w:color w:val="3A3838"/>
          <w:w w:val="115"/>
        </w:rPr>
        <w:t>writer works with: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factual limit</w:t>
      </w:r>
      <w:r>
        <w:rPr>
          <w:color w:val="545456"/>
          <w:w w:val="110"/>
        </w:rPr>
        <w:t>s</w:t>
      </w:r>
      <w:r>
        <w:rPr>
          <w:color w:val="3A3838"/>
          <w:w w:val="110"/>
        </w:rPr>
        <w:t>, </w:t>
      </w:r>
      <w:r>
        <w:rPr>
          <w:color w:val="282626"/>
          <w:w w:val="110"/>
        </w:rPr>
        <w:t>legal </w:t>
      </w:r>
      <w:r>
        <w:rPr>
          <w:color w:val="3A3838"/>
          <w:w w:val="110"/>
        </w:rPr>
        <w:t>limits, and time limits. It's also about recognizing 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understanding the important decisions that you make every time you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write</w:t>
      </w:r>
      <w:r>
        <w:rPr>
          <w:color w:val="3A3838"/>
          <w:spacing w:val="-7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14"/>
          <w:w w:val="110"/>
        </w:rPr>
        <w:t> </w:t>
      </w:r>
      <w:r>
        <w:rPr>
          <w:color w:val="3A3838"/>
          <w:w w:val="110"/>
        </w:rPr>
        <w:t>brief,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so</w:t>
      </w:r>
      <w:r>
        <w:rPr>
          <w:color w:val="3A3838"/>
          <w:spacing w:val="36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12"/>
          <w:w w:val="110"/>
        </w:rPr>
        <w:t> </w:t>
      </w:r>
      <w:r>
        <w:rPr>
          <w:color w:val="3A3838"/>
          <w:w w:val="110"/>
        </w:rPr>
        <w:t>you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can</w:t>
      </w:r>
      <w:r>
        <w:rPr>
          <w:color w:val="3A3838"/>
          <w:spacing w:val="2"/>
          <w:w w:val="110"/>
        </w:rPr>
        <w:t> </w:t>
      </w:r>
      <w:r>
        <w:rPr>
          <w:color w:val="3A3838"/>
          <w:w w:val="110"/>
        </w:rPr>
        <w:t>do a</w:t>
      </w:r>
      <w:r>
        <w:rPr>
          <w:color w:val="3A3838"/>
          <w:spacing w:val="7"/>
          <w:w w:val="110"/>
        </w:rPr>
        <w:t> </w:t>
      </w:r>
      <w:r>
        <w:rPr>
          <w:color w:val="3A3838"/>
          <w:w w:val="110"/>
        </w:rPr>
        <w:t>better</w:t>
      </w:r>
      <w:r>
        <w:rPr>
          <w:color w:val="3A3838"/>
          <w:spacing w:val="37"/>
          <w:w w:val="110"/>
        </w:rPr>
        <w:t> </w:t>
      </w:r>
      <w:r>
        <w:rPr>
          <w:color w:val="3A3838"/>
          <w:w w:val="110"/>
        </w:rPr>
        <w:t>job</w:t>
      </w:r>
      <w:r>
        <w:rPr>
          <w:color w:val="3A3838"/>
          <w:spacing w:val="10"/>
          <w:w w:val="110"/>
        </w:rPr>
        <w:t> </w:t>
      </w:r>
      <w:r>
        <w:rPr>
          <w:color w:val="3A3838"/>
          <w:w w:val="110"/>
        </w:rPr>
        <w:t>making</w:t>
      </w:r>
      <w:r>
        <w:rPr>
          <w:color w:val="3A3838"/>
          <w:spacing w:val="12"/>
          <w:w w:val="110"/>
        </w:rPr>
        <w:t> </w:t>
      </w:r>
      <w:r>
        <w:rPr>
          <w:color w:val="3A3838"/>
          <w:w w:val="110"/>
        </w:rPr>
        <w:t>those</w:t>
      </w:r>
      <w:r>
        <w:rPr>
          <w:color w:val="3A3838"/>
          <w:spacing w:val="-3"/>
          <w:w w:val="110"/>
        </w:rPr>
        <w:t> </w:t>
      </w:r>
      <w:r>
        <w:rPr>
          <w:color w:val="3A3838"/>
          <w:w w:val="110"/>
        </w:rPr>
        <w:t>decisions.</w:t>
      </w:r>
    </w:p>
    <w:p>
      <w:pPr>
        <w:pStyle w:val="BodyText"/>
        <w:spacing w:line="232" w:lineRule="auto" w:before="1"/>
        <w:ind w:left="122" w:right="639" w:firstLine="390"/>
        <w:jc w:val="both"/>
      </w:pPr>
      <w:r>
        <w:rPr>
          <w:color w:val="3A3838"/>
          <w:w w:val="115"/>
        </w:rPr>
        <w:t>We all make thousands of decisions every day</w:t>
      </w:r>
      <w:r>
        <w:rPr>
          <w:color w:val="545456"/>
          <w:w w:val="115"/>
        </w:rPr>
        <w:t>, </w:t>
      </w:r>
      <w:r>
        <w:rPr>
          <w:color w:val="3A3838"/>
          <w:w w:val="115"/>
        </w:rPr>
        <w:t>both consciously and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unconsciously. On some level, you  have decided  that your eyes are going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to move across this page to read these words, 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that at the end of each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line, you will move your eyes to the </w:t>
      </w:r>
      <w:r>
        <w:rPr>
          <w:color w:val="282626"/>
          <w:w w:val="115"/>
        </w:rPr>
        <w:t>left </w:t>
      </w:r>
      <w:r>
        <w:rPr>
          <w:color w:val="3A3838"/>
          <w:w w:val="115"/>
        </w:rPr>
        <w:t>to start reading the next one</w:t>
      </w:r>
      <w:r>
        <w:rPr>
          <w:color w:val="545456"/>
          <w:w w:val="115"/>
        </w:rPr>
        <w:t>.</w:t>
      </w:r>
      <w:r>
        <w:rPr>
          <w:color w:val="545456"/>
          <w:spacing w:val="1"/>
          <w:w w:val="115"/>
        </w:rPr>
        <w:t> </w:t>
      </w:r>
      <w:r>
        <w:rPr>
          <w:color w:val="3A3838"/>
          <w:w w:val="115"/>
        </w:rPr>
        <w:t>Many of your decisions are unconscious, or become unconscious, and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th</w:t>
      </w:r>
      <w:r>
        <w:rPr>
          <w:color w:val="545456"/>
          <w:w w:val="115"/>
        </w:rPr>
        <w:t>e</w:t>
      </w:r>
      <w:r>
        <w:rPr>
          <w:color w:val="3A3838"/>
          <w:w w:val="115"/>
        </w:rPr>
        <w:t>y need </w:t>
      </w:r>
      <w:r>
        <w:rPr>
          <w:color w:val="3A3838"/>
          <w:w w:val="125"/>
        </w:rPr>
        <w:t>to-you </w:t>
      </w:r>
      <w:r>
        <w:rPr>
          <w:color w:val="3A3838"/>
          <w:w w:val="115"/>
        </w:rPr>
        <w:t>would go crazy if you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had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to decide consciously to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read every word or to take every step when you walk. Just being reminded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5"/>
        </w:rPr>
        <w:t>of the decisions </w:t>
      </w:r>
      <w:r>
        <w:rPr>
          <w:color w:val="3A3838"/>
          <w:w w:val="115"/>
        </w:rPr>
        <w:t>we make, however</w:t>
      </w:r>
      <w:r>
        <w:rPr>
          <w:color w:val="545456"/>
          <w:w w:val="115"/>
        </w:rPr>
        <w:t>, </w:t>
      </w:r>
      <w:r>
        <w:rPr>
          <w:color w:val="3A3838"/>
          <w:w w:val="115"/>
        </w:rPr>
        <w:t>can help make us conscious of those</w:t>
      </w:r>
      <w:r>
        <w:rPr>
          <w:color w:val="3A3838"/>
          <w:spacing w:val="-64"/>
          <w:w w:val="115"/>
        </w:rPr>
        <w:t> </w:t>
      </w:r>
      <w:r>
        <w:rPr>
          <w:color w:val="3A3838"/>
          <w:w w:val="110"/>
        </w:rPr>
        <w:t>decisions. I'm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guessing, for example</w:t>
      </w:r>
      <w:r>
        <w:rPr>
          <w:color w:val="545456"/>
          <w:w w:val="110"/>
        </w:rPr>
        <w:t>, </w:t>
      </w:r>
      <w:r>
        <w:rPr>
          <w:color w:val="3A3838"/>
          <w:w w:val="110"/>
        </w:rPr>
        <w:t>that some of  you  became conscious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25"/>
          <w:w w:val="110"/>
        </w:rPr>
        <w:t> </w:t>
      </w:r>
      <w:r>
        <w:rPr>
          <w:color w:val="3A3838"/>
          <w:w w:val="110"/>
        </w:rPr>
        <w:t>your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eyeballs</w:t>
      </w:r>
      <w:r>
        <w:rPr>
          <w:color w:val="3A3838"/>
          <w:spacing w:val="17"/>
          <w:w w:val="110"/>
        </w:rPr>
        <w:t> </w:t>
      </w:r>
      <w:r>
        <w:rPr>
          <w:color w:val="3A3838"/>
          <w:w w:val="110"/>
        </w:rPr>
        <w:t>moving</w:t>
      </w:r>
      <w:r>
        <w:rPr>
          <w:color w:val="3A3838"/>
          <w:spacing w:val="2"/>
          <w:w w:val="110"/>
        </w:rPr>
        <w:t> </w:t>
      </w:r>
      <w:r>
        <w:rPr>
          <w:color w:val="3A3838"/>
          <w:w w:val="110"/>
        </w:rPr>
        <w:t>from</w:t>
      </w:r>
      <w:r>
        <w:rPr>
          <w:color w:val="3A3838"/>
          <w:spacing w:val="15"/>
          <w:w w:val="110"/>
        </w:rPr>
        <w:t> </w:t>
      </w:r>
      <w:r>
        <w:rPr>
          <w:color w:val="3A3838"/>
          <w:w w:val="110"/>
        </w:rPr>
        <w:t>left</w:t>
      </w:r>
      <w:r>
        <w:rPr>
          <w:color w:val="3A3838"/>
          <w:spacing w:val="10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37"/>
          <w:w w:val="110"/>
        </w:rPr>
        <w:t> </w:t>
      </w:r>
      <w:r>
        <w:rPr>
          <w:color w:val="3A3838"/>
          <w:w w:val="110"/>
        </w:rPr>
        <w:t>right</w:t>
      </w:r>
      <w:r>
        <w:rPr>
          <w:color w:val="3A3838"/>
          <w:spacing w:val="7"/>
          <w:w w:val="110"/>
        </w:rPr>
        <w:t> </w:t>
      </w:r>
      <w:r>
        <w:rPr>
          <w:color w:val="3A3838"/>
          <w:w w:val="110"/>
        </w:rPr>
        <w:t>as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you</w:t>
      </w:r>
      <w:r>
        <w:rPr>
          <w:color w:val="3A3838"/>
          <w:spacing w:val="21"/>
          <w:w w:val="110"/>
        </w:rPr>
        <w:t> </w:t>
      </w:r>
      <w:r>
        <w:rPr>
          <w:color w:val="3A3838"/>
          <w:w w:val="110"/>
        </w:rPr>
        <w:t>read</w:t>
      </w:r>
      <w:r>
        <w:rPr>
          <w:color w:val="3A3838"/>
          <w:spacing w:val="11"/>
          <w:w w:val="110"/>
        </w:rPr>
        <w:t> </w:t>
      </w:r>
      <w:r>
        <w:rPr>
          <w:color w:val="3A3838"/>
          <w:w w:val="110"/>
        </w:rPr>
        <w:t>this</w:t>
      </w:r>
      <w:r>
        <w:rPr>
          <w:color w:val="3A3838"/>
          <w:spacing w:val="13"/>
          <w:w w:val="110"/>
        </w:rPr>
        <w:t> </w:t>
      </w:r>
      <w:r>
        <w:rPr>
          <w:color w:val="3A3838"/>
          <w:w w:val="110"/>
        </w:rPr>
        <w:t>paragraph.</w:t>
      </w:r>
    </w:p>
    <w:p>
      <w:pPr>
        <w:spacing w:after="0" w:line="232" w:lineRule="auto"/>
        <w:jc w:val="both"/>
        <w:sectPr>
          <w:type w:val="continuous"/>
          <w:pgSz w:w="9590" w:h="13800"/>
          <w:pgMar w:header="0" w:footer="0" w:top="340" w:bottom="280" w:left="38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35" w:lineRule="auto" w:before="227"/>
        <w:ind w:left="696" w:right="124" w:firstLine="397"/>
        <w:jc w:val="right"/>
      </w:pPr>
      <w:r>
        <w:rPr>
          <w:color w:val="3A3838"/>
          <w:w w:val="110"/>
          <w:sz w:val="22"/>
        </w:rPr>
        <w:t>If </w:t>
      </w:r>
      <w:r>
        <w:rPr>
          <w:color w:val="3A3838"/>
          <w:w w:val="110"/>
        </w:rPr>
        <w:t>we want to be better writers, we need to identify the important deci­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sions that must be made, so that we can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make them consciously 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thus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more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effectively.</w:t>
      </w:r>
      <w:r>
        <w:rPr>
          <w:color w:val="3A3838"/>
          <w:spacing w:val="-7"/>
          <w:w w:val="110"/>
        </w:rPr>
        <w:t> </w:t>
      </w:r>
      <w:r>
        <w:rPr>
          <w:color w:val="3A3838"/>
          <w:w w:val="110"/>
        </w:rPr>
        <w:t>Too</w:t>
      </w:r>
      <w:r>
        <w:rPr>
          <w:color w:val="3A3838"/>
          <w:spacing w:val="-9"/>
          <w:w w:val="110"/>
        </w:rPr>
        <w:t> </w:t>
      </w:r>
      <w:r>
        <w:rPr>
          <w:color w:val="3A3838"/>
          <w:w w:val="110"/>
        </w:rPr>
        <w:t>many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5"/>
          <w:w w:val="110"/>
        </w:rPr>
        <w:t> </w:t>
      </w:r>
      <w:r>
        <w:rPr>
          <w:color w:val="3A3838"/>
          <w:w w:val="110"/>
        </w:rPr>
        <w:t>us</w:t>
      </w:r>
      <w:r>
        <w:rPr>
          <w:color w:val="3A3838"/>
          <w:spacing w:val="5"/>
          <w:w w:val="110"/>
        </w:rPr>
        <w:t> </w:t>
      </w:r>
      <w:r>
        <w:rPr>
          <w:color w:val="3A3838"/>
          <w:w w:val="110"/>
        </w:rPr>
        <w:t>go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into</w:t>
      </w:r>
      <w:r>
        <w:rPr>
          <w:color w:val="3A3838"/>
          <w:spacing w:val="-26"/>
          <w:w w:val="110"/>
        </w:rPr>
        <w:t> </w:t>
      </w:r>
      <w:r>
        <w:rPr>
          <w:color w:val="3A3838"/>
          <w:w w:val="110"/>
        </w:rPr>
        <w:t>default</w:t>
      </w:r>
      <w:r>
        <w:rPr>
          <w:color w:val="3A3838"/>
          <w:spacing w:val="6"/>
          <w:w w:val="110"/>
        </w:rPr>
        <w:t> </w:t>
      </w:r>
      <w:r>
        <w:rPr>
          <w:color w:val="3A3838"/>
          <w:w w:val="110"/>
        </w:rPr>
        <w:t>mode</w:t>
      </w:r>
      <w:r>
        <w:rPr>
          <w:color w:val="3A3838"/>
          <w:spacing w:val="-14"/>
          <w:w w:val="110"/>
        </w:rPr>
        <w:t> </w:t>
      </w:r>
      <w:r>
        <w:rPr>
          <w:color w:val="3A3838"/>
          <w:w w:val="110"/>
        </w:rPr>
        <w:t>when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we</w:t>
      </w:r>
      <w:r>
        <w:rPr>
          <w:color w:val="3A3838"/>
          <w:spacing w:val="-28"/>
          <w:w w:val="110"/>
        </w:rPr>
        <w:t> </w:t>
      </w:r>
      <w:r>
        <w:rPr>
          <w:color w:val="3A3838"/>
          <w:w w:val="110"/>
        </w:rPr>
        <w:t>write.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We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don't</w:t>
      </w:r>
      <w:r>
        <w:rPr>
          <w:color w:val="3A3838"/>
          <w:spacing w:val="14"/>
          <w:w w:val="110"/>
        </w:rPr>
        <w:t> </w:t>
      </w:r>
      <w:r>
        <w:rPr>
          <w:color w:val="3A3838"/>
          <w:w w:val="110"/>
        </w:rPr>
        <w:t>think</w:t>
      </w:r>
      <w:r>
        <w:rPr>
          <w:color w:val="3A3838"/>
          <w:spacing w:val="9"/>
          <w:w w:val="110"/>
        </w:rPr>
        <w:t> </w:t>
      </w:r>
      <w:r>
        <w:rPr>
          <w:color w:val="3A3838"/>
          <w:w w:val="110"/>
        </w:rPr>
        <w:t>about</w:t>
      </w:r>
      <w:r>
        <w:rPr>
          <w:color w:val="3A3838"/>
          <w:spacing w:val="6"/>
          <w:w w:val="110"/>
        </w:rPr>
        <w:t> </w:t>
      </w:r>
      <w:r>
        <w:rPr>
          <w:color w:val="3A3838"/>
          <w:w w:val="110"/>
        </w:rPr>
        <w:t>which</w:t>
      </w:r>
      <w:r>
        <w:rPr>
          <w:color w:val="3A3838"/>
          <w:spacing w:val="8"/>
          <w:w w:val="110"/>
        </w:rPr>
        <w:t> </w:t>
      </w:r>
      <w:r>
        <w:rPr>
          <w:color w:val="3A3838"/>
          <w:w w:val="110"/>
        </w:rPr>
        <w:t>issue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we</w:t>
      </w:r>
      <w:r>
        <w:rPr>
          <w:color w:val="3A3838"/>
          <w:spacing w:val="3"/>
          <w:w w:val="110"/>
        </w:rPr>
        <w:t> </w:t>
      </w:r>
      <w:r>
        <w:rPr>
          <w:color w:val="3A3838"/>
          <w:w w:val="110"/>
        </w:rPr>
        <w:t>want</w:t>
      </w:r>
      <w:r>
        <w:rPr>
          <w:color w:val="3A3838"/>
          <w:spacing w:val="14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8"/>
          <w:w w:val="110"/>
        </w:rPr>
        <w:t> </w:t>
      </w:r>
      <w:r>
        <w:rPr>
          <w:color w:val="3A3838"/>
          <w:w w:val="110"/>
        </w:rPr>
        <w:t>argue</w:t>
      </w:r>
      <w:r>
        <w:rPr>
          <w:color w:val="3A3838"/>
          <w:spacing w:val="-2"/>
          <w:w w:val="110"/>
        </w:rPr>
        <w:t> </w:t>
      </w:r>
      <w:r>
        <w:rPr>
          <w:color w:val="3A3838"/>
          <w:w w:val="110"/>
        </w:rPr>
        <w:t>first,</w:t>
      </w:r>
      <w:r>
        <w:rPr>
          <w:color w:val="3A3838"/>
          <w:spacing w:val="-5"/>
          <w:w w:val="110"/>
        </w:rPr>
        <w:t> </w:t>
      </w:r>
      <w:r>
        <w:rPr>
          <w:color w:val="3A3838"/>
          <w:w w:val="110"/>
        </w:rPr>
        <w:t>second,</w:t>
      </w:r>
      <w:r>
        <w:rPr>
          <w:color w:val="3A3838"/>
          <w:spacing w:val="6"/>
          <w:w w:val="110"/>
        </w:rPr>
        <w:t> </w:t>
      </w:r>
      <w:r>
        <w:rPr>
          <w:color w:val="3A3838"/>
          <w:w w:val="110"/>
        </w:rPr>
        <w:t>or</w:t>
      </w:r>
      <w:r>
        <w:rPr>
          <w:color w:val="3A3838"/>
          <w:spacing w:val="20"/>
          <w:w w:val="110"/>
        </w:rPr>
        <w:t> </w:t>
      </w:r>
      <w:r>
        <w:rPr>
          <w:color w:val="3A3838"/>
          <w:w w:val="110"/>
        </w:rPr>
        <w:t>third. We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don't identify what our best points are, and so we don't consciously decide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23"/>
          <w:w w:val="110"/>
        </w:rPr>
        <w:t> </w:t>
      </w:r>
      <w:r>
        <w:rPr>
          <w:color w:val="3A3838"/>
          <w:w w:val="110"/>
        </w:rPr>
        <w:t>state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them</w:t>
      </w:r>
      <w:r>
        <w:rPr>
          <w:color w:val="3A3838"/>
          <w:spacing w:val="7"/>
          <w:w w:val="110"/>
        </w:rPr>
        <w:t> </w:t>
      </w:r>
      <w:r>
        <w:rPr>
          <w:color w:val="3A3838"/>
          <w:w w:val="110"/>
        </w:rPr>
        <w:t>as</w:t>
      </w:r>
      <w:r>
        <w:rPr>
          <w:color w:val="3A3838"/>
          <w:spacing w:val="-19"/>
          <w:w w:val="110"/>
        </w:rPr>
        <w:t> </w:t>
      </w:r>
      <w:r>
        <w:rPr>
          <w:color w:val="3A3838"/>
          <w:w w:val="110"/>
        </w:rPr>
        <w:t>effectively</w:t>
      </w:r>
      <w:r>
        <w:rPr>
          <w:color w:val="3A3838"/>
          <w:spacing w:val="15"/>
          <w:w w:val="110"/>
        </w:rPr>
        <w:t> </w:t>
      </w:r>
      <w:r>
        <w:rPr>
          <w:color w:val="3A3838"/>
          <w:w w:val="110"/>
        </w:rPr>
        <w:t>as</w:t>
      </w:r>
      <w:r>
        <w:rPr>
          <w:color w:val="3A3838"/>
          <w:spacing w:val="13"/>
          <w:w w:val="110"/>
        </w:rPr>
        <w:t> </w:t>
      </w:r>
      <w:r>
        <w:rPr>
          <w:color w:val="3A3838"/>
          <w:w w:val="110"/>
        </w:rPr>
        <w:t>we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can</w:t>
      </w:r>
      <w:r>
        <w:rPr>
          <w:color w:val="3A3838"/>
          <w:spacing w:val="26"/>
          <w:w w:val="110"/>
        </w:rPr>
        <w:t> </w:t>
      </w:r>
      <w:r>
        <w:rPr>
          <w:color w:val="3A3838"/>
          <w:w w:val="110"/>
        </w:rPr>
        <w:t>or</w:t>
      </w:r>
      <w:r>
        <w:rPr>
          <w:color w:val="3A3838"/>
          <w:spacing w:val="26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38"/>
          <w:w w:val="110"/>
        </w:rPr>
        <w:t> </w:t>
      </w:r>
      <w:r>
        <w:rPr>
          <w:color w:val="3A3838"/>
          <w:w w:val="110"/>
        </w:rPr>
        <w:t>put</w:t>
      </w:r>
      <w:r>
        <w:rPr>
          <w:color w:val="3A3838"/>
          <w:spacing w:val="42"/>
          <w:w w:val="110"/>
        </w:rPr>
        <w:t> </w:t>
      </w:r>
      <w:r>
        <w:rPr>
          <w:color w:val="3A3838"/>
          <w:w w:val="110"/>
        </w:rPr>
        <w:t>them</w:t>
      </w:r>
      <w:r>
        <w:rPr>
          <w:color w:val="3A3838"/>
          <w:spacing w:val="8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12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26"/>
          <w:w w:val="110"/>
        </w:rPr>
        <w:t> </w:t>
      </w:r>
      <w:r>
        <w:rPr>
          <w:color w:val="3A3838"/>
          <w:w w:val="110"/>
        </w:rPr>
        <w:t>places</w:t>
      </w:r>
      <w:r>
        <w:rPr>
          <w:color w:val="3A3838"/>
          <w:spacing w:val="3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42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document</w:t>
      </w:r>
      <w:r>
        <w:rPr>
          <w:color w:val="3A3838"/>
          <w:spacing w:val="19"/>
          <w:w w:val="110"/>
        </w:rPr>
        <w:t> </w:t>
      </w:r>
      <w:r>
        <w:rPr>
          <w:color w:val="3A3838"/>
          <w:w w:val="110"/>
        </w:rPr>
        <w:t>where</w:t>
      </w:r>
      <w:r>
        <w:rPr>
          <w:color w:val="3A3838"/>
          <w:spacing w:val="2"/>
          <w:w w:val="110"/>
        </w:rPr>
        <w:t> </w:t>
      </w:r>
      <w:r>
        <w:rPr>
          <w:color w:val="3A3838"/>
          <w:w w:val="110"/>
        </w:rPr>
        <w:t>we</w:t>
      </w:r>
      <w:r>
        <w:rPr>
          <w:color w:val="3A3838"/>
          <w:spacing w:val="2"/>
          <w:w w:val="110"/>
        </w:rPr>
        <w:t> </w:t>
      </w:r>
      <w:r>
        <w:rPr>
          <w:color w:val="3A3838"/>
          <w:w w:val="110"/>
        </w:rPr>
        <w:t>know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16"/>
          <w:w w:val="110"/>
        </w:rPr>
        <w:t> </w:t>
      </w:r>
      <w:r>
        <w:rPr>
          <w:color w:val="3A3838"/>
          <w:w w:val="110"/>
        </w:rPr>
        <w:t>readers</w:t>
      </w:r>
      <w:r>
        <w:rPr>
          <w:color w:val="3A3838"/>
          <w:spacing w:val="12"/>
          <w:w w:val="110"/>
        </w:rPr>
        <w:t> </w:t>
      </w:r>
      <w:r>
        <w:rPr>
          <w:color w:val="3A3838"/>
          <w:w w:val="110"/>
        </w:rPr>
        <w:t>will</w:t>
      </w:r>
      <w:r>
        <w:rPr>
          <w:color w:val="3A3838"/>
          <w:spacing w:val="12"/>
          <w:w w:val="110"/>
        </w:rPr>
        <w:t> </w:t>
      </w:r>
      <w:r>
        <w:rPr>
          <w:color w:val="3A3838"/>
          <w:w w:val="110"/>
        </w:rPr>
        <w:t>be</w:t>
      </w:r>
      <w:r>
        <w:rPr>
          <w:color w:val="3A3838"/>
          <w:spacing w:val="18"/>
          <w:w w:val="110"/>
        </w:rPr>
        <w:t> </w:t>
      </w:r>
      <w:r>
        <w:rPr>
          <w:color w:val="3A3838"/>
          <w:w w:val="110"/>
        </w:rPr>
        <w:t>paying</w:t>
      </w:r>
      <w:r>
        <w:rPr>
          <w:color w:val="3A3838"/>
          <w:spacing w:val="3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48"/>
          <w:w w:val="110"/>
        </w:rPr>
        <w:t> </w:t>
      </w:r>
      <w:r>
        <w:rPr>
          <w:color w:val="3A3838"/>
          <w:w w:val="110"/>
        </w:rPr>
        <w:t>most attention.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that's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other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thing most  of  us  don't  think  about, either: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people who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read our briefs. We know that we're writing a brief to a court,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but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too many of us,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 fear, have some vague, dreamy notion that our brief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is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being read by a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panel consisting of Oliver Wendell Holmes, Thurgood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Marshall,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Sandra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Day O'Connor</w:t>
      </w:r>
      <w:r>
        <w:rPr>
          <w:color w:val="59595B"/>
          <w:w w:val="110"/>
        </w:rPr>
        <w:t>-</w:t>
      </w:r>
      <w:r>
        <w:rPr>
          <w:color w:val="3A3838"/>
          <w:w w:val="110"/>
        </w:rPr>
        <w:t>at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 peak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their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judicial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intellectual</w:t>
      </w:r>
      <w:r>
        <w:rPr>
          <w:color w:val="3A3838"/>
          <w:spacing w:val="14"/>
          <w:w w:val="110"/>
        </w:rPr>
        <w:t> </w:t>
      </w:r>
      <w:r>
        <w:rPr>
          <w:color w:val="3A3838"/>
          <w:w w:val="110"/>
        </w:rPr>
        <w:t>powers</w:t>
      </w:r>
      <w:r>
        <w:rPr>
          <w:color w:val="3A3838"/>
          <w:spacing w:val="-15"/>
          <w:w w:val="110"/>
        </w:rPr>
        <w:t> </w:t>
      </w:r>
      <w:r>
        <w:rPr>
          <w:color w:val="3A3838"/>
          <w:w w:val="110"/>
        </w:rPr>
        <w:t>and</w:t>
      </w:r>
      <w:r>
        <w:rPr>
          <w:color w:val="3A3838"/>
          <w:spacing w:val="24"/>
          <w:w w:val="110"/>
        </w:rPr>
        <w:t> </w:t>
      </w:r>
      <w:r>
        <w:rPr>
          <w:color w:val="3A3838"/>
          <w:w w:val="110"/>
        </w:rPr>
        <w:t>on</w:t>
      </w:r>
      <w:r>
        <w:rPr>
          <w:color w:val="3A3838"/>
          <w:spacing w:val="28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free</w:t>
      </w:r>
      <w:r>
        <w:rPr>
          <w:color w:val="3A3838"/>
          <w:spacing w:val="-28"/>
          <w:w w:val="110"/>
        </w:rPr>
        <w:t> </w:t>
      </w:r>
      <w:r>
        <w:rPr>
          <w:color w:val="3A3838"/>
          <w:w w:val="110"/>
        </w:rPr>
        <w:t>day with nothing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do</w:t>
      </w:r>
      <w:r>
        <w:rPr>
          <w:color w:val="3A3838"/>
          <w:spacing w:val="-20"/>
          <w:w w:val="110"/>
        </w:rPr>
        <w:t> </w:t>
      </w:r>
      <w:r>
        <w:rPr>
          <w:color w:val="3A3838"/>
          <w:w w:val="110"/>
        </w:rPr>
        <w:t>but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wonder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at</w:t>
      </w:r>
      <w:r>
        <w:rPr>
          <w:color w:val="3A3838"/>
          <w:spacing w:val="19"/>
          <w:w w:val="110"/>
        </w:rPr>
        <w:t> </w:t>
      </w:r>
      <w:r>
        <w:rPr>
          <w:color w:val="3A3838"/>
          <w:w w:val="110"/>
        </w:rPr>
        <w:t>the</w:t>
      </w:r>
    </w:p>
    <w:p>
      <w:pPr>
        <w:pStyle w:val="BodyText"/>
        <w:spacing w:line="246" w:lineRule="exact"/>
        <w:ind w:left="724"/>
        <w:jc w:val="both"/>
      </w:pPr>
      <w:r>
        <w:rPr>
          <w:color w:val="3A3838"/>
          <w:w w:val="110"/>
        </w:rPr>
        <w:t>fascinating</w:t>
      </w:r>
      <w:r>
        <w:rPr>
          <w:color w:val="3A3838"/>
          <w:spacing w:val="-7"/>
          <w:w w:val="110"/>
        </w:rPr>
        <w:t> </w:t>
      </w:r>
      <w:r>
        <w:rPr>
          <w:color w:val="3A3838"/>
          <w:w w:val="110"/>
        </w:rPr>
        <w:t>complexities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3"/>
          <w:w w:val="110"/>
        </w:rPr>
        <w:t> </w:t>
      </w:r>
      <w:r>
        <w:rPr>
          <w:color w:val="3A3838"/>
          <w:w w:val="110"/>
        </w:rPr>
        <w:t>our</w:t>
      </w:r>
      <w:r>
        <w:rPr>
          <w:color w:val="3A3838"/>
          <w:spacing w:val="24"/>
          <w:w w:val="110"/>
        </w:rPr>
        <w:t> </w:t>
      </w:r>
      <w:r>
        <w:rPr>
          <w:color w:val="3A3838"/>
          <w:w w:val="110"/>
        </w:rPr>
        <w:t>arguments.</w:t>
      </w:r>
    </w:p>
    <w:p>
      <w:pPr>
        <w:pStyle w:val="BodyText"/>
        <w:spacing w:line="232" w:lineRule="auto"/>
        <w:ind w:left="735" w:right="100" w:firstLine="370"/>
        <w:jc w:val="both"/>
      </w:pPr>
      <w:r>
        <w:rPr>
          <w:color w:val="3A3838"/>
          <w:w w:val="105"/>
        </w:rPr>
        <w:t>Well, life's not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like that. First of all, many of your briefs will be read by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law clerks as well as judges, and sometimes by law clerks alone</w:t>
      </w:r>
      <w:r>
        <w:rPr>
          <w:color w:val="59595B"/>
          <w:w w:val="105"/>
        </w:rPr>
        <w:t>. </w:t>
      </w:r>
      <w:r>
        <w:rPr>
          <w:color w:val="3A3838"/>
          <w:w w:val="105"/>
        </w:rPr>
        <w:t>Your read­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ers will be real people with real lives. People who have phones that ring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0"/>
        </w:rPr>
        <w:t>and </w:t>
      </w:r>
      <w:r>
        <w:rPr>
          <w:color w:val="3A3838"/>
          <w:w w:val="110"/>
        </w:rPr>
        <w:t>beep,</w:t>
      </w:r>
      <w:r>
        <w:rPr>
          <w:color w:val="3A3838"/>
          <w:spacing w:val="-18"/>
          <w:w w:val="110"/>
        </w:rPr>
        <w:t> </w:t>
      </w:r>
      <w:r>
        <w:rPr>
          <w:color w:val="3A3838"/>
          <w:w w:val="110"/>
        </w:rPr>
        <w:t>computers</w:t>
      </w:r>
      <w:r>
        <w:rPr>
          <w:color w:val="3A3838"/>
          <w:spacing w:val="-15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-17"/>
          <w:w w:val="110"/>
        </w:rPr>
        <w:t> </w:t>
      </w:r>
      <w:r>
        <w:rPr>
          <w:color w:val="3A3838"/>
          <w:w w:val="110"/>
        </w:rPr>
        <w:t>bring</w:t>
      </w:r>
      <w:r>
        <w:rPr>
          <w:color w:val="3A3838"/>
          <w:spacing w:val="-24"/>
          <w:w w:val="110"/>
        </w:rPr>
        <w:t> </w:t>
      </w:r>
      <w:r>
        <w:rPr>
          <w:color w:val="3A3838"/>
          <w:w w:val="110"/>
        </w:rPr>
        <w:t>them</w:t>
      </w:r>
      <w:r>
        <w:rPr>
          <w:color w:val="3A3838"/>
          <w:spacing w:val="-26"/>
          <w:w w:val="110"/>
        </w:rPr>
        <w:t> </w:t>
      </w:r>
      <w:r>
        <w:rPr>
          <w:color w:val="3A3838"/>
          <w:w w:val="110"/>
        </w:rPr>
        <w:t>e-mail</w:t>
      </w:r>
      <w:r>
        <w:rPr>
          <w:color w:val="3A3838"/>
          <w:spacing w:val="-9"/>
          <w:w w:val="110"/>
        </w:rPr>
        <w:t> </w:t>
      </w:r>
      <w:r>
        <w:rPr>
          <w:color w:val="3A3838"/>
          <w:w w:val="110"/>
        </w:rPr>
        <w:t>messages,</w:t>
      </w:r>
      <w:r>
        <w:rPr>
          <w:color w:val="3A3838"/>
          <w:spacing w:val="-3"/>
          <w:w w:val="110"/>
        </w:rPr>
        <w:t> </w:t>
      </w:r>
      <w:r>
        <w:rPr>
          <w:color w:val="3A3838"/>
          <w:w w:val="110"/>
        </w:rPr>
        <w:t>and</w:t>
      </w:r>
      <w:r>
        <w:rPr>
          <w:color w:val="3A3838"/>
          <w:spacing w:val="24"/>
          <w:w w:val="110"/>
        </w:rPr>
        <w:t> </w:t>
      </w:r>
      <w:r>
        <w:rPr>
          <w:color w:val="3A3838"/>
          <w:w w:val="110"/>
        </w:rPr>
        <w:t>colleagues</w:t>
      </w:r>
      <w:r>
        <w:rPr>
          <w:color w:val="3A3838"/>
          <w:spacing w:val="-19"/>
          <w:w w:val="110"/>
        </w:rPr>
        <w:t> </w:t>
      </w:r>
      <w:r>
        <w:rPr>
          <w:color w:val="3A3838"/>
          <w:w w:val="110"/>
        </w:rPr>
        <w:t>who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knock on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their doors and interrupt their work. Your readers are people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with families and deadlines</w:t>
      </w:r>
      <w:r>
        <w:rPr>
          <w:color w:val="59595B"/>
          <w:w w:val="110"/>
        </w:rPr>
        <w:t>. </w:t>
      </w:r>
      <w:r>
        <w:rPr>
          <w:color w:val="3A3838"/>
          <w:w w:val="110"/>
        </w:rPr>
        <w:t>They're people a lot like you, except they're a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little further down the road than you are now, if you're a law student, or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they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took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-2"/>
          <w:w w:val="110"/>
        </w:rPr>
        <w:t> </w:t>
      </w:r>
      <w:r>
        <w:rPr>
          <w:color w:val="3A3838"/>
          <w:w w:val="110"/>
        </w:rPr>
        <w:t>different</w:t>
      </w:r>
      <w:r>
        <w:rPr>
          <w:color w:val="3A3838"/>
          <w:spacing w:val="-2"/>
          <w:w w:val="110"/>
        </w:rPr>
        <w:t> </w:t>
      </w:r>
      <w:r>
        <w:rPr>
          <w:color w:val="3A3838"/>
          <w:w w:val="110"/>
        </w:rPr>
        <w:t>road</w:t>
      </w:r>
      <w:r>
        <w:rPr>
          <w:color w:val="3A3838"/>
          <w:spacing w:val="-3"/>
          <w:w w:val="110"/>
        </w:rPr>
        <w:t> </w:t>
      </w:r>
      <w:r>
        <w:rPr>
          <w:color w:val="3A3838"/>
          <w:w w:val="110"/>
        </w:rPr>
        <w:t>from</w:t>
      </w:r>
      <w:r>
        <w:rPr>
          <w:color w:val="3A3838"/>
          <w:spacing w:val="3"/>
          <w:w w:val="110"/>
        </w:rPr>
        <w:t> </w:t>
      </w:r>
      <w:r>
        <w:rPr>
          <w:color w:val="3A3838"/>
          <w:w w:val="110"/>
        </w:rPr>
        <w:t>yours,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  <w:sz w:val="21"/>
        </w:rPr>
        <w:t>if</w:t>
      </w:r>
      <w:r>
        <w:rPr>
          <w:color w:val="3A3838"/>
          <w:spacing w:val="23"/>
          <w:w w:val="110"/>
          <w:sz w:val="21"/>
        </w:rPr>
        <w:t> </w:t>
      </w:r>
      <w:r>
        <w:rPr>
          <w:color w:val="3A3838"/>
          <w:w w:val="110"/>
        </w:rPr>
        <w:t>you're</w:t>
      </w:r>
      <w:r>
        <w:rPr>
          <w:color w:val="3A3838"/>
          <w:spacing w:val="-16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16"/>
          <w:w w:val="110"/>
        </w:rPr>
        <w:t> </w:t>
      </w:r>
      <w:r>
        <w:rPr>
          <w:color w:val="3A3838"/>
          <w:w w:val="110"/>
        </w:rPr>
        <w:t>practitioner.</w:t>
      </w:r>
    </w:p>
    <w:p>
      <w:pPr>
        <w:pStyle w:val="BodyText"/>
        <w:spacing w:line="237" w:lineRule="auto"/>
        <w:ind w:left="616" w:right="114" w:firstLine="479"/>
        <w:jc w:val="both"/>
      </w:pPr>
      <w:r>
        <w:rPr>
          <w:color w:val="3A3838"/>
          <w:w w:val="110"/>
        </w:rPr>
        <w:t>So instead of reveling in the complexities of your argument or throw­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ing a bunch of authorities at a busy law clerk, you have a different job to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do.  You  have to look at  those complexities and  make them easy. You need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to find and explain the rules and policies that govern your argument 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show explicitly how they connect or don't connect to your client's case,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and do it so clearly that the judges will wonder why they didn't notice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before how obvious the answer is. You'll follow the Jaw, of course-it's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nogood writing clearly about legal rules that don't exist. You'll follow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court's rules, too, so that unprofessional errors won't distract the reader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from your tight, clean argument. And you'll use honest persuasive tech­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niques to make sure that your readers get the best opportunity to read 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understand</w:t>
      </w:r>
      <w:r>
        <w:rPr>
          <w:color w:val="3A3838"/>
          <w:spacing w:val="10"/>
          <w:w w:val="115"/>
        </w:rPr>
        <w:t> </w:t>
      </w:r>
      <w:r>
        <w:rPr>
          <w:color w:val="3A3838"/>
          <w:w w:val="115"/>
        </w:rPr>
        <w:t>your</w:t>
      </w:r>
      <w:r>
        <w:rPr>
          <w:color w:val="3A3838"/>
          <w:spacing w:val="-18"/>
          <w:w w:val="115"/>
        </w:rPr>
        <w:t> </w:t>
      </w:r>
      <w:r>
        <w:rPr>
          <w:color w:val="3A3838"/>
          <w:w w:val="115"/>
        </w:rPr>
        <w:t>arguments.</w:t>
      </w:r>
    </w:p>
    <w:p>
      <w:pPr>
        <w:pStyle w:val="BodyText"/>
        <w:spacing w:line="235" w:lineRule="auto" w:before="6"/>
        <w:ind w:left="528" w:right="149" w:firstLine="453"/>
        <w:jc w:val="both"/>
      </w:pPr>
      <w:r>
        <w:rPr>
          <w:color w:val="3A3838"/>
          <w:w w:val="110"/>
        </w:rPr>
        <w:t>You'll remember that the audience for a brief wears two hats. You have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05"/>
        </w:rPr>
        <w:t>to write for both the </w:t>
      </w:r>
      <w:r>
        <w:rPr>
          <w:i/>
          <w:color w:val="3A3838"/>
          <w:w w:val="105"/>
          <w:sz w:val="25"/>
        </w:rPr>
        <w:t>reader </w:t>
      </w:r>
      <w:r>
        <w:rPr>
          <w:color w:val="3A3838"/>
          <w:w w:val="105"/>
        </w:rPr>
        <w:t>and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1"/>
          <w:w w:val="105"/>
        </w:rPr>
        <w:t> </w:t>
      </w:r>
      <w:r>
        <w:rPr>
          <w:i/>
          <w:color w:val="3A3838"/>
          <w:w w:val="105"/>
          <w:sz w:val="25"/>
        </w:rPr>
        <w:t>user. </w:t>
      </w:r>
      <w:r>
        <w:rPr>
          <w:color w:val="3A3838"/>
          <w:w w:val="105"/>
        </w:rPr>
        <w:t>Most of us think of law clerks (and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judges) as readers</w:t>
      </w:r>
      <w:r>
        <w:rPr>
          <w:color w:val="59595B"/>
          <w:w w:val="110"/>
        </w:rPr>
        <w:t>, </w:t>
      </w:r>
      <w:r>
        <w:rPr>
          <w:color w:val="3A3838"/>
          <w:w w:val="110"/>
        </w:rPr>
        <w:t>who read the brief sequentially from beginning to end.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At some point, however, they act as users: They are hunting for a partiCll­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Iar authority or argument, or they want to know immediately what each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sentence, paragraph, or section is about, because if it isn't about what theY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care about, they want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to skip it. So when  you write and  revise,  you  have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to remember both the reader and the user, 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write in a way that helps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them</w:t>
      </w:r>
      <w:r>
        <w:rPr>
          <w:color w:val="3A3838"/>
          <w:spacing w:val="13"/>
          <w:w w:val="110"/>
        </w:rPr>
        <w:t> </w:t>
      </w:r>
      <w:r>
        <w:rPr>
          <w:color w:val="3A3838"/>
          <w:w w:val="110"/>
        </w:rPr>
        <w:t>both.</w:t>
      </w:r>
    </w:p>
    <w:p>
      <w:pPr>
        <w:pStyle w:val="BodyText"/>
        <w:spacing w:line="230" w:lineRule="auto" w:before="38"/>
        <w:ind w:left="501" w:right="207" w:firstLine="401"/>
        <w:jc w:val="both"/>
        <w:rPr>
          <w:rFonts w:ascii="Arial"/>
          <w:i/>
          <w:sz w:val="16"/>
        </w:rPr>
      </w:pPr>
      <w:r>
        <w:rPr>
          <w:color w:val="3A3838"/>
          <w:w w:val="115"/>
        </w:rPr>
        <w:t>Furthermore, when considering the differences between readers and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users,</w:t>
      </w:r>
      <w:r>
        <w:rPr>
          <w:color w:val="3A3838"/>
          <w:spacing w:val="22"/>
          <w:w w:val="115"/>
        </w:rPr>
        <w:t> </w:t>
      </w:r>
      <w:r>
        <w:rPr>
          <w:color w:val="3A3838"/>
          <w:w w:val="115"/>
        </w:rPr>
        <w:t>you</w:t>
      </w:r>
      <w:r>
        <w:rPr>
          <w:color w:val="3A3838"/>
          <w:spacing w:val="36"/>
          <w:w w:val="115"/>
        </w:rPr>
        <w:t> </w:t>
      </w:r>
      <w:r>
        <w:rPr>
          <w:color w:val="3A3838"/>
          <w:w w:val="115"/>
        </w:rPr>
        <w:t>need</w:t>
      </w:r>
      <w:r>
        <w:rPr>
          <w:color w:val="3A3838"/>
          <w:spacing w:val="35"/>
          <w:w w:val="115"/>
        </w:rPr>
        <w:t> </w:t>
      </w:r>
      <w:r>
        <w:rPr>
          <w:color w:val="3A3838"/>
          <w:w w:val="115"/>
        </w:rPr>
        <w:t>to</w:t>
      </w:r>
      <w:r>
        <w:rPr>
          <w:color w:val="3A3838"/>
          <w:spacing w:val="21"/>
          <w:w w:val="115"/>
        </w:rPr>
        <w:t> </w:t>
      </w:r>
      <w:r>
        <w:rPr>
          <w:color w:val="3A3838"/>
          <w:w w:val="115"/>
        </w:rPr>
        <w:t>consider</w:t>
      </w:r>
      <w:r>
        <w:rPr>
          <w:color w:val="3A3838"/>
          <w:spacing w:val="29"/>
          <w:w w:val="115"/>
        </w:rPr>
        <w:t> </w:t>
      </w:r>
      <w:r>
        <w:rPr>
          <w:color w:val="3A3838"/>
          <w:w w:val="115"/>
        </w:rPr>
        <w:t>whether</w:t>
      </w:r>
      <w:r>
        <w:rPr>
          <w:color w:val="3A3838"/>
          <w:spacing w:val="19"/>
          <w:w w:val="115"/>
        </w:rPr>
        <w:t> </w:t>
      </w:r>
      <w:r>
        <w:rPr>
          <w:color w:val="3A3838"/>
          <w:w w:val="115"/>
        </w:rPr>
        <w:t>they</w:t>
      </w:r>
      <w:r>
        <w:rPr>
          <w:color w:val="3A3838"/>
          <w:spacing w:val="22"/>
          <w:w w:val="115"/>
        </w:rPr>
        <w:t> </w:t>
      </w:r>
      <w:r>
        <w:rPr>
          <w:color w:val="3A3838"/>
          <w:w w:val="115"/>
        </w:rPr>
        <w:t>will</w:t>
      </w:r>
      <w:r>
        <w:rPr>
          <w:color w:val="3A3838"/>
          <w:spacing w:val="11"/>
          <w:w w:val="115"/>
        </w:rPr>
        <w:t> </w:t>
      </w:r>
      <w:r>
        <w:rPr>
          <w:color w:val="3A3838"/>
          <w:w w:val="115"/>
        </w:rPr>
        <w:t>encounter</w:t>
      </w:r>
      <w:r>
        <w:rPr>
          <w:color w:val="3A3838"/>
          <w:spacing w:val="39"/>
          <w:w w:val="115"/>
        </w:rPr>
        <w:t> </w:t>
      </w:r>
      <w:r>
        <w:rPr>
          <w:color w:val="3A3838"/>
          <w:w w:val="115"/>
        </w:rPr>
        <w:t>your</w:t>
      </w:r>
      <w:r>
        <w:rPr>
          <w:color w:val="3A3838"/>
          <w:spacing w:val="16"/>
          <w:w w:val="115"/>
        </w:rPr>
        <w:t> </w:t>
      </w:r>
      <w:r>
        <w:rPr>
          <w:color w:val="3A3838"/>
          <w:w w:val="115"/>
        </w:rPr>
        <w:t>text</w:t>
      </w:r>
      <w:r>
        <w:rPr>
          <w:color w:val="3A3838"/>
          <w:spacing w:val="17"/>
          <w:w w:val="115"/>
        </w:rPr>
        <w:t> </w:t>
      </w:r>
      <w:r>
        <w:rPr>
          <w:color w:val="3A3838"/>
          <w:w w:val="115"/>
        </w:rPr>
        <w:t>as</w:t>
      </w:r>
      <w:r>
        <w:rPr>
          <w:color w:val="3A3838"/>
          <w:spacing w:val="-16"/>
          <w:w w:val="115"/>
        </w:rPr>
        <w:t> </w:t>
      </w:r>
      <w:r>
        <w:rPr>
          <w:rFonts w:ascii="Arial"/>
          <w:i/>
          <w:color w:val="3A3838"/>
          <w:w w:val="115"/>
          <w:position w:val="7"/>
          <w:sz w:val="16"/>
        </w:rPr>
        <w:t>8</w:t>
      </w:r>
    </w:p>
    <w:p>
      <w:pPr>
        <w:spacing w:after="0" w:line="230" w:lineRule="auto"/>
        <w:jc w:val="both"/>
        <w:rPr>
          <w:rFonts w:ascii="Arial"/>
          <w:sz w:val="16"/>
        </w:rPr>
        <w:sectPr>
          <w:headerReference w:type="even" r:id="rId24"/>
          <w:pgSz w:w="9830" w:h="13850"/>
          <w:pgMar w:header="0" w:footer="0" w:top="500" w:bottom="0" w:left="1360" w:right="100"/>
        </w:sectPr>
      </w:pPr>
    </w:p>
    <w:p>
      <w:pPr>
        <w:tabs>
          <w:tab w:pos="8388" w:val="right" w:leader="none"/>
        </w:tabs>
        <w:spacing w:before="67"/>
        <w:ind w:left="5666" w:right="0" w:firstLine="0"/>
        <w:jc w:val="left"/>
        <w:rPr>
          <w:rFonts w:ascii="Arial"/>
          <w:sz w:val="17"/>
        </w:rPr>
      </w:pPr>
      <w:r>
        <w:rPr>
          <w:rFonts w:ascii="Arial"/>
          <w:color w:val="3B383B"/>
          <w:w w:val="105"/>
          <w:sz w:val="17"/>
        </w:rPr>
        <w:t>1.2</w:t>
      </w:r>
      <w:r>
        <w:rPr>
          <w:rFonts w:ascii="Arial"/>
          <w:color w:val="3B383B"/>
          <w:spacing w:val="21"/>
          <w:w w:val="105"/>
          <w:sz w:val="17"/>
        </w:rPr>
        <w:t> </w:t>
      </w:r>
      <w:r>
        <w:rPr>
          <w:rFonts w:ascii="Arial"/>
          <w:color w:val="3B383B"/>
          <w:w w:val="105"/>
          <w:sz w:val="17"/>
        </w:rPr>
        <w:t>Know</w:t>
      </w:r>
      <w:r>
        <w:rPr>
          <w:rFonts w:ascii="Arial"/>
          <w:color w:val="3B383B"/>
          <w:spacing w:val="-7"/>
          <w:w w:val="105"/>
          <w:sz w:val="17"/>
        </w:rPr>
        <w:t> </w:t>
      </w:r>
      <w:r>
        <w:rPr>
          <w:rFonts w:ascii="Arial"/>
          <w:color w:val="3B383B"/>
          <w:w w:val="105"/>
          <w:sz w:val="17"/>
        </w:rPr>
        <w:t>Your</w:t>
      </w:r>
      <w:r>
        <w:rPr>
          <w:rFonts w:ascii="Arial"/>
          <w:color w:val="3B383B"/>
          <w:spacing w:val="-11"/>
          <w:w w:val="105"/>
          <w:sz w:val="17"/>
        </w:rPr>
        <w:t> </w:t>
      </w:r>
      <w:r>
        <w:rPr>
          <w:rFonts w:ascii="Arial"/>
          <w:color w:val="3B383B"/>
          <w:w w:val="105"/>
          <w:sz w:val="17"/>
        </w:rPr>
        <w:t>Audience</w:t>
        <w:tab/>
        <w:t>3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4"/>
        <w:rPr>
          <w:rFonts w:ascii="Arial"/>
          <w:sz w:val="24"/>
        </w:rPr>
      </w:pPr>
    </w:p>
    <w:p>
      <w:pPr>
        <w:pStyle w:val="BodyText"/>
        <w:spacing w:line="232" w:lineRule="auto"/>
        <w:ind w:left="133" w:right="824" w:firstLine="9"/>
        <w:jc w:val="both"/>
      </w:pPr>
      <w:r>
        <w:rPr>
          <w:color w:val="3B383B"/>
          <w:w w:val="110"/>
        </w:rPr>
        <w:t>paper-and-toner document or in digital form. And of course that digital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form may appear on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a desktop or laptop computer, on  an  iPad or  simi­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lar tablet, or on a srnartphone. Modern readers are in a transition stage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between paper text and digital text. For this reason, you should write for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both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paper</w:t>
      </w:r>
      <w:r>
        <w:rPr>
          <w:color w:val="3B383B"/>
          <w:spacing w:val="-10"/>
          <w:w w:val="110"/>
        </w:rPr>
        <w:t> </w:t>
      </w:r>
      <w:r>
        <w:rPr>
          <w:color w:val="3B383B"/>
          <w:w w:val="110"/>
        </w:rPr>
        <w:t>and</w:t>
      </w:r>
      <w:r>
        <w:rPr>
          <w:color w:val="3B383B"/>
          <w:spacing w:val="25"/>
          <w:w w:val="110"/>
        </w:rPr>
        <w:t> </w:t>
      </w:r>
      <w:r>
        <w:rPr>
          <w:color w:val="3B383B"/>
          <w:w w:val="110"/>
        </w:rPr>
        <w:t>digital</w:t>
      </w:r>
      <w:r>
        <w:rPr>
          <w:color w:val="3B383B"/>
          <w:spacing w:val="-5"/>
          <w:w w:val="110"/>
        </w:rPr>
        <w:t> </w:t>
      </w:r>
      <w:r>
        <w:rPr>
          <w:color w:val="3B383B"/>
          <w:w w:val="110"/>
        </w:rPr>
        <w:t>readers.</w:t>
      </w:r>
    </w:p>
    <w:p>
      <w:pPr>
        <w:pStyle w:val="BodyText"/>
        <w:spacing w:line="232" w:lineRule="auto" w:before="7"/>
        <w:ind w:left="124" w:right="813" w:firstLine="381"/>
        <w:jc w:val="both"/>
      </w:pPr>
      <w:r>
        <w:rPr>
          <w:color w:val="3B383B"/>
          <w:w w:val="110"/>
        </w:rPr>
        <w:t>You should also be practical about your own behavior as a writer and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5"/>
        </w:rPr>
        <w:t>self-editor.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You'll</w:t>
      </w:r>
      <w:r>
        <w:rPr>
          <w:color w:val="3B383B"/>
          <w:spacing w:val="-17"/>
          <w:w w:val="115"/>
        </w:rPr>
        <w:t> </w:t>
      </w:r>
      <w:r>
        <w:rPr>
          <w:color w:val="3B383B"/>
          <w:w w:val="115"/>
        </w:rPr>
        <w:t>learn</w:t>
      </w:r>
      <w:r>
        <w:rPr>
          <w:color w:val="3B383B"/>
          <w:spacing w:val="-11"/>
          <w:w w:val="115"/>
        </w:rPr>
        <w:t> </w:t>
      </w:r>
      <w:r>
        <w:rPr>
          <w:color w:val="3B383B"/>
          <w:w w:val="115"/>
        </w:rPr>
        <w:t>how</w:t>
      </w:r>
      <w:r>
        <w:rPr>
          <w:color w:val="3B383B"/>
          <w:spacing w:val="-12"/>
          <w:w w:val="115"/>
        </w:rPr>
        <w:t> </w:t>
      </w:r>
      <w:r>
        <w:rPr>
          <w:color w:val="3B383B"/>
          <w:w w:val="115"/>
        </w:rPr>
        <w:t>to</w:t>
      </w:r>
      <w:r>
        <w:rPr>
          <w:color w:val="3B383B"/>
          <w:spacing w:val="-7"/>
          <w:w w:val="115"/>
        </w:rPr>
        <w:t> </w:t>
      </w:r>
      <w:r>
        <w:rPr>
          <w:color w:val="3B383B"/>
          <w:w w:val="115"/>
        </w:rPr>
        <w:t>identify</w:t>
      </w:r>
      <w:r>
        <w:rPr>
          <w:color w:val="3B383B"/>
          <w:spacing w:val="-16"/>
          <w:w w:val="115"/>
        </w:rPr>
        <w:t> </w:t>
      </w:r>
      <w:r>
        <w:rPr>
          <w:color w:val="3B383B"/>
          <w:w w:val="115"/>
        </w:rPr>
        <w:t>the</w:t>
      </w:r>
      <w:r>
        <w:rPr>
          <w:color w:val="3B383B"/>
          <w:spacing w:val="-1"/>
          <w:w w:val="115"/>
        </w:rPr>
        <w:t> </w:t>
      </w:r>
      <w:r>
        <w:rPr>
          <w:color w:val="3B383B"/>
          <w:w w:val="115"/>
        </w:rPr>
        <w:t>important</w:t>
      </w:r>
      <w:r>
        <w:rPr>
          <w:color w:val="3B383B"/>
          <w:spacing w:val="-1"/>
          <w:w w:val="115"/>
        </w:rPr>
        <w:t> </w:t>
      </w:r>
      <w:r>
        <w:rPr>
          <w:color w:val="3B383B"/>
          <w:w w:val="115"/>
        </w:rPr>
        <w:t>decisions</w:t>
      </w:r>
      <w:r>
        <w:rPr>
          <w:color w:val="3B383B"/>
          <w:spacing w:val="-11"/>
          <w:w w:val="115"/>
        </w:rPr>
        <w:t> </w:t>
      </w:r>
      <w:r>
        <w:rPr>
          <w:color w:val="3B383B"/>
          <w:w w:val="115"/>
        </w:rPr>
        <w:t>that</w:t>
      </w:r>
      <w:r>
        <w:rPr>
          <w:color w:val="3B383B"/>
          <w:spacing w:val="-11"/>
          <w:w w:val="115"/>
        </w:rPr>
        <w:t> </w:t>
      </w:r>
      <w:r>
        <w:rPr>
          <w:color w:val="3B383B"/>
          <w:w w:val="115"/>
        </w:rPr>
        <w:t>you</w:t>
      </w:r>
      <w:r>
        <w:rPr>
          <w:color w:val="3B383B"/>
          <w:spacing w:val="-64"/>
          <w:w w:val="115"/>
        </w:rPr>
        <w:t> </w:t>
      </w:r>
      <w:r>
        <w:rPr>
          <w:color w:val="3B383B"/>
          <w:w w:val="110"/>
        </w:rPr>
        <w:t>have to make, and to take steps that will help you to recognize what infor­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5"/>
        </w:rPr>
        <w:t>mation you've included and what information you've left out of your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argument.</w:t>
      </w:r>
    </w:p>
    <w:p>
      <w:pPr>
        <w:pStyle w:val="BodyText"/>
        <w:spacing w:line="230" w:lineRule="auto" w:before="10"/>
        <w:ind w:left="121" w:right="799" w:firstLine="382"/>
        <w:jc w:val="both"/>
      </w:pPr>
      <w:r>
        <w:rPr>
          <w:color w:val="3B383B"/>
          <w:w w:val="115"/>
        </w:rPr>
        <w:t>By</w:t>
      </w:r>
      <w:r>
        <w:rPr>
          <w:color w:val="3B383B"/>
          <w:spacing w:val="-15"/>
          <w:w w:val="115"/>
        </w:rPr>
        <w:t> </w:t>
      </w:r>
      <w:r>
        <w:rPr>
          <w:color w:val="3B383B"/>
          <w:w w:val="115"/>
        </w:rPr>
        <w:t>being</w:t>
      </w:r>
      <w:r>
        <w:rPr>
          <w:color w:val="3B383B"/>
          <w:spacing w:val="-8"/>
          <w:w w:val="115"/>
        </w:rPr>
        <w:t> </w:t>
      </w:r>
      <w:r>
        <w:rPr>
          <w:color w:val="3B383B"/>
          <w:w w:val="115"/>
        </w:rPr>
        <w:t>practical</w:t>
      </w:r>
      <w:r>
        <w:rPr>
          <w:color w:val="3B383B"/>
          <w:spacing w:val="-9"/>
          <w:w w:val="115"/>
        </w:rPr>
        <w:t> </w:t>
      </w:r>
      <w:r>
        <w:rPr>
          <w:color w:val="3B383B"/>
          <w:w w:val="115"/>
        </w:rPr>
        <w:t>about</w:t>
      </w:r>
      <w:r>
        <w:rPr>
          <w:color w:val="3B383B"/>
          <w:spacing w:val="-10"/>
          <w:w w:val="115"/>
        </w:rPr>
        <w:t> </w:t>
      </w:r>
      <w:r>
        <w:rPr>
          <w:color w:val="3B383B"/>
          <w:w w:val="115"/>
        </w:rPr>
        <w:t>both</w:t>
      </w:r>
      <w:r>
        <w:rPr>
          <w:color w:val="3B383B"/>
          <w:spacing w:val="-6"/>
          <w:w w:val="115"/>
        </w:rPr>
        <w:t> </w:t>
      </w:r>
      <w:r>
        <w:rPr>
          <w:color w:val="3B383B"/>
          <w:w w:val="115"/>
        </w:rPr>
        <w:t>your</w:t>
      </w:r>
      <w:r>
        <w:rPr>
          <w:color w:val="3B383B"/>
          <w:spacing w:val="-8"/>
          <w:w w:val="115"/>
        </w:rPr>
        <w:t> </w:t>
      </w:r>
      <w:r>
        <w:rPr>
          <w:color w:val="3B383B"/>
          <w:w w:val="115"/>
        </w:rPr>
        <w:t>audience's</w:t>
      </w:r>
      <w:r>
        <w:rPr>
          <w:color w:val="3B383B"/>
          <w:spacing w:val="-1"/>
          <w:w w:val="115"/>
        </w:rPr>
        <w:t> </w:t>
      </w:r>
      <w:r>
        <w:rPr>
          <w:color w:val="3B383B"/>
          <w:w w:val="115"/>
        </w:rPr>
        <w:t>needs</w:t>
      </w:r>
      <w:r>
        <w:rPr>
          <w:color w:val="3B383B"/>
          <w:spacing w:val="-9"/>
          <w:w w:val="115"/>
        </w:rPr>
        <w:t> </w:t>
      </w:r>
      <w:r>
        <w:rPr>
          <w:color w:val="3B383B"/>
          <w:w w:val="115"/>
        </w:rPr>
        <w:t>and</w:t>
      </w:r>
      <w:r>
        <w:rPr>
          <w:color w:val="3B383B"/>
          <w:spacing w:val="8"/>
          <w:w w:val="115"/>
        </w:rPr>
        <w:t> </w:t>
      </w:r>
      <w:r>
        <w:rPr>
          <w:color w:val="3B383B"/>
          <w:w w:val="115"/>
        </w:rPr>
        <w:t>your</w:t>
      </w:r>
      <w:r>
        <w:rPr>
          <w:color w:val="3B383B"/>
          <w:spacing w:val="-4"/>
          <w:w w:val="115"/>
        </w:rPr>
        <w:t> </w:t>
      </w:r>
      <w:r>
        <w:rPr>
          <w:color w:val="3B383B"/>
          <w:w w:val="115"/>
        </w:rPr>
        <w:t>needs,</w:t>
      </w:r>
      <w:r>
        <w:rPr>
          <w:color w:val="3B383B"/>
          <w:spacing w:val="-64"/>
          <w:w w:val="115"/>
        </w:rPr>
        <w:t> </w:t>
      </w:r>
      <w:r>
        <w:rPr>
          <w:color w:val="3B383B"/>
          <w:w w:val="110"/>
        </w:rPr>
        <w:t>you can learn how to use the resources available to create documents that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are</w:t>
      </w:r>
      <w:r>
        <w:rPr>
          <w:color w:val="3B383B"/>
          <w:spacing w:val="-39"/>
          <w:w w:val="110"/>
        </w:rPr>
        <w:t> </w:t>
      </w:r>
      <w:r>
        <w:rPr>
          <w:color w:val="3B383B"/>
          <w:w w:val="110"/>
        </w:rPr>
        <w:t>easy</w:t>
      </w:r>
      <w:r>
        <w:rPr>
          <w:color w:val="3B383B"/>
          <w:spacing w:val="-13"/>
          <w:w w:val="110"/>
        </w:rPr>
        <w:t> </w:t>
      </w:r>
      <w:r>
        <w:rPr>
          <w:color w:val="3B383B"/>
          <w:w w:val="110"/>
        </w:rPr>
        <w:t>to</w:t>
      </w:r>
      <w:r>
        <w:rPr>
          <w:color w:val="3B383B"/>
          <w:spacing w:val="22"/>
          <w:w w:val="110"/>
        </w:rPr>
        <w:t> </w:t>
      </w:r>
      <w:r>
        <w:rPr>
          <w:color w:val="3B383B"/>
          <w:w w:val="110"/>
        </w:rPr>
        <w:t>read</w:t>
      </w:r>
      <w:r>
        <w:rPr>
          <w:color w:val="3B383B"/>
          <w:spacing w:val="-5"/>
          <w:w w:val="110"/>
        </w:rPr>
        <w:t> </w:t>
      </w:r>
      <w:r>
        <w:rPr>
          <w:color w:val="3B383B"/>
          <w:w w:val="110"/>
        </w:rPr>
        <w:t>and</w:t>
      </w:r>
      <w:r>
        <w:rPr>
          <w:color w:val="3B383B"/>
          <w:spacing w:val="22"/>
          <w:w w:val="110"/>
        </w:rPr>
        <w:t> </w:t>
      </w:r>
      <w:r>
        <w:rPr>
          <w:color w:val="3B383B"/>
          <w:w w:val="110"/>
        </w:rPr>
        <w:t>easy</w:t>
      </w:r>
      <w:r>
        <w:rPr>
          <w:color w:val="3B383B"/>
          <w:spacing w:val="-2"/>
          <w:w w:val="110"/>
        </w:rPr>
        <w:t> </w:t>
      </w:r>
      <w:r>
        <w:rPr>
          <w:color w:val="3B383B"/>
          <w:w w:val="110"/>
        </w:rPr>
        <w:t>to</w:t>
      </w:r>
      <w:r>
        <w:rPr>
          <w:color w:val="3B383B"/>
          <w:spacing w:val="12"/>
          <w:w w:val="110"/>
        </w:rPr>
        <w:t> </w:t>
      </w:r>
      <w:r>
        <w:rPr>
          <w:color w:val="3B383B"/>
          <w:w w:val="110"/>
        </w:rPr>
        <w:t>use.</w:t>
      </w:r>
    </w:p>
    <w:p>
      <w:pPr>
        <w:pStyle w:val="BodyText"/>
        <w:rPr>
          <w:sz w:val="26"/>
        </w:rPr>
      </w:pPr>
    </w:p>
    <w:p>
      <w:pPr>
        <w:spacing w:before="232"/>
        <w:ind w:left="781" w:right="0" w:firstLine="0"/>
        <w:jc w:val="left"/>
        <w:rPr>
          <w:rFonts w:ascii="Arial"/>
          <w:b/>
          <w:sz w:val="33"/>
        </w:rPr>
      </w:pPr>
      <w:r>
        <w:rPr>
          <w:rFonts w:ascii="Arial"/>
          <w:b/>
          <w:color w:val="727477"/>
          <w:w w:val="110"/>
          <w:sz w:val="33"/>
        </w:rPr>
        <w:t>1.2</w:t>
      </w:r>
    </w:p>
    <w:p>
      <w:pPr>
        <w:spacing w:before="61"/>
        <w:ind w:left="777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858789"/>
          <w:sz w:val="27"/>
        </w:rPr>
        <w:t>KNOW</w:t>
      </w:r>
      <w:r>
        <w:rPr>
          <w:rFonts w:ascii="Arial"/>
          <w:b/>
          <w:color w:val="858789"/>
          <w:spacing w:val="37"/>
          <w:sz w:val="27"/>
        </w:rPr>
        <w:t> </w:t>
      </w:r>
      <w:r>
        <w:rPr>
          <w:rFonts w:ascii="Arial"/>
          <w:b/>
          <w:color w:val="727477"/>
          <w:sz w:val="27"/>
        </w:rPr>
        <w:t>YOUR</w:t>
      </w:r>
      <w:r>
        <w:rPr>
          <w:rFonts w:ascii="Arial"/>
          <w:b/>
          <w:color w:val="727477"/>
          <w:spacing w:val="33"/>
          <w:sz w:val="27"/>
        </w:rPr>
        <w:t> </w:t>
      </w:r>
      <w:r>
        <w:rPr>
          <w:rFonts w:ascii="Arial"/>
          <w:b/>
          <w:color w:val="858789"/>
          <w:sz w:val="27"/>
        </w:rPr>
        <w:t>AUDIENCE</w:t>
      </w:r>
    </w:p>
    <w:p>
      <w:pPr>
        <w:pStyle w:val="BodyText"/>
        <w:spacing w:line="235" w:lineRule="auto" w:before="262"/>
        <w:ind w:left="111" w:right="717" w:firstLine="626"/>
        <w:jc w:val="both"/>
      </w:pPr>
      <w:r>
        <w:rPr>
          <w:color w:val="3B383B"/>
          <w:w w:val="110"/>
        </w:rPr>
        <w:t>At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this point in  your law school career, you  have  probably  written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at least two kinds of documents: an office memo and a case brief. As you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5"/>
        </w:rPr>
        <w:t>know, a typical office memo is a document that an attorney writes to a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supervising attorney. The memo analyzes one or more legal issues and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0"/>
        </w:rPr>
        <w:t>predicts how a court would rule on  those issues. A case brief, in  contrast,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is an organized set of notes on a court decision, and the writer essentially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has himself or herself as an audience. Now you are being asked to write a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5"/>
        </w:rPr>
        <w:t>brief to a court. Briefs of this kind are written to persuade courts to take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certain actions or make certain decisions. Although the formal purposes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0"/>
        </w:rPr>
        <w:t>for appellate briefs and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motion  briefs are  different, they are often similar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5"/>
        </w:rPr>
        <w:t>to each other in useof authority and persuasive techniques, and they are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both</w:t>
      </w:r>
      <w:r>
        <w:rPr>
          <w:color w:val="3B383B"/>
          <w:spacing w:val="-6"/>
          <w:w w:val="115"/>
        </w:rPr>
        <w:t> </w:t>
      </w:r>
      <w:r>
        <w:rPr>
          <w:color w:val="3B383B"/>
          <w:w w:val="115"/>
        </w:rPr>
        <w:t>similar</w:t>
      </w:r>
      <w:r>
        <w:rPr>
          <w:color w:val="3B383B"/>
          <w:spacing w:val="-10"/>
          <w:w w:val="115"/>
        </w:rPr>
        <w:t> </w:t>
      </w:r>
      <w:r>
        <w:rPr>
          <w:color w:val="3B383B"/>
          <w:w w:val="115"/>
        </w:rPr>
        <w:t>to</w:t>
      </w:r>
      <w:r>
        <w:rPr>
          <w:color w:val="3B383B"/>
          <w:spacing w:val="5"/>
          <w:w w:val="115"/>
        </w:rPr>
        <w:t> </w:t>
      </w:r>
      <w:r>
        <w:rPr>
          <w:color w:val="3B383B"/>
          <w:w w:val="115"/>
        </w:rPr>
        <w:t>office</w:t>
      </w:r>
      <w:r>
        <w:rPr>
          <w:color w:val="3B383B"/>
          <w:spacing w:val="-14"/>
          <w:w w:val="115"/>
        </w:rPr>
        <w:t> </w:t>
      </w:r>
      <w:r>
        <w:rPr>
          <w:color w:val="3B383B"/>
          <w:w w:val="115"/>
        </w:rPr>
        <w:t>memoranda</w:t>
      </w:r>
      <w:r>
        <w:rPr>
          <w:color w:val="3B383B"/>
          <w:spacing w:val="15"/>
          <w:w w:val="115"/>
        </w:rPr>
        <w:t> </w:t>
      </w:r>
      <w:r>
        <w:rPr>
          <w:color w:val="3B383B"/>
          <w:w w:val="115"/>
        </w:rPr>
        <w:t>in</w:t>
      </w:r>
      <w:r>
        <w:rPr>
          <w:color w:val="3B383B"/>
          <w:spacing w:val="-5"/>
          <w:w w:val="115"/>
        </w:rPr>
        <w:t> </w:t>
      </w:r>
      <w:r>
        <w:rPr>
          <w:color w:val="3B383B"/>
          <w:w w:val="115"/>
        </w:rPr>
        <w:t>analytical</w:t>
      </w:r>
      <w:r>
        <w:rPr>
          <w:color w:val="3B383B"/>
          <w:spacing w:val="-14"/>
          <w:w w:val="115"/>
        </w:rPr>
        <w:t> </w:t>
      </w:r>
      <w:r>
        <w:rPr>
          <w:color w:val="3B383B"/>
          <w:w w:val="115"/>
        </w:rPr>
        <w:t>structure.</w:t>
      </w:r>
    </w:p>
    <w:p>
      <w:pPr>
        <w:pStyle w:val="BodyText"/>
        <w:spacing w:line="232" w:lineRule="auto"/>
        <w:ind w:left="104" w:right="701" w:firstLine="382"/>
        <w:jc w:val="both"/>
      </w:pPr>
      <w:r>
        <w:rPr>
          <w:color w:val="3B383B"/>
          <w:w w:val="110"/>
        </w:rPr>
        <w:t>An </w:t>
      </w:r>
      <w:r>
        <w:rPr>
          <w:i/>
          <w:color w:val="3B383B"/>
          <w:w w:val="110"/>
          <w:sz w:val="22"/>
        </w:rPr>
        <w:t>appellate brief </w:t>
      </w:r>
      <w:r>
        <w:rPr>
          <w:color w:val="3B383B"/>
          <w:w w:val="110"/>
        </w:rPr>
        <w:t>is written to an appellate court. As you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know, both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5"/>
        </w:rPr>
        <w:t>state and federal court systems include at least one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level of appellate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review; most include both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an  intermediate  appellate court and  a court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of last resort. For example, in the federal system, when a federal district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court issues a final order, the losing party may appeal to a United States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Court of Appeals in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the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relevant circuit. When the Court of Appeals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issues its decision, the losing party may file a writ of certiorari that asks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0"/>
        </w:rPr>
        <w:t>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United States Supreme Court to review the decision of 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Court of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5"/>
        </w:rPr>
        <w:t>Appeals.</w:t>
      </w:r>
    </w:p>
    <w:p>
      <w:pPr>
        <w:pStyle w:val="BodyText"/>
        <w:spacing w:line="232" w:lineRule="auto"/>
        <w:ind w:left="105" w:right="661" w:firstLine="367"/>
        <w:jc w:val="both"/>
      </w:pPr>
      <w:r>
        <w:rPr>
          <w:color w:val="3B383B"/>
          <w:w w:val="110"/>
        </w:rPr>
        <w:t>The  party that brings the appeal may be called  the  </w:t>
      </w:r>
      <w:r>
        <w:rPr>
          <w:i/>
          <w:color w:val="3B383B"/>
          <w:w w:val="110"/>
          <w:sz w:val="22"/>
        </w:rPr>
        <w:t>appellant, </w:t>
      </w:r>
      <w:r>
        <w:rPr>
          <w:color w:val="3B383B"/>
          <w:w w:val="110"/>
        </w:rPr>
        <w:t>because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he or she is </w:t>
      </w:r>
      <w:r>
        <w:rPr>
          <w:i/>
          <w:color w:val="3B383B"/>
          <w:w w:val="110"/>
          <w:sz w:val="22"/>
        </w:rPr>
        <w:t>appealing </w:t>
      </w:r>
      <w:r>
        <w:rPr>
          <w:color w:val="3B383B"/>
          <w:w w:val="110"/>
        </w:rPr>
        <w:t>to the higher court to review the decision. The party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opposing the appeal is often called the </w:t>
      </w:r>
      <w:r>
        <w:rPr>
          <w:i/>
          <w:color w:val="3B383B"/>
          <w:w w:val="110"/>
          <w:sz w:val="22"/>
        </w:rPr>
        <w:t>appellee. </w:t>
      </w:r>
      <w:r>
        <w:rPr>
          <w:color w:val="3B383B"/>
          <w:w w:val="110"/>
        </w:rPr>
        <w:t>In some courts, the party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05"/>
        </w:rPr>
        <w:t>bringing the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appeal is called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the  </w:t>
      </w:r>
      <w:r>
        <w:rPr>
          <w:i/>
          <w:color w:val="3B383B"/>
          <w:w w:val="105"/>
          <w:sz w:val="22"/>
        </w:rPr>
        <w:t>petitioner, </w:t>
      </w:r>
      <w:r>
        <w:rPr>
          <w:color w:val="3B383B"/>
          <w:w w:val="105"/>
        </w:rPr>
        <w:t>because he  or she  is  </w:t>
      </w:r>
      <w:r>
        <w:rPr>
          <w:i/>
          <w:color w:val="3B383B"/>
        </w:rPr>
        <w:t>petitio11i11g</w:t>
      </w:r>
      <w:r>
        <w:rPr>
          <w:i/>
          <w:color w:val="3B383B"/>
          <w:spacing w:val="-55"/>
        </w:rPr>
        <w:t> </w:t>
      </w:r>
      <w:r>
        <w:rPr>
          <w:color w:val="3B383B"/>
        </w:rPr>
        <w:t>to</w:t>
      </w:r>
      <w:r>
        <w:rPr>
          <w:color w:val="3B383B"/>
          <w:spacing w:val="50"/>
        </w:rPr>
        <w:t> </w:t>
      </w:r>
      <w:r>
        <w:rPr>
          <w:color w:val="3B383B"/>
        </w:rPr>
        <w:t>the</w:t>
      </w:r>
      <w:r>
        <w:rPr>
          <w:color w:val="3B383B"/>
          <w:spacing w:val="15"/>
        </w:rPr>
        <w:t> </w:t>
      </w:r>
      <w:r>
        <w:rPr>
          <w:color w:val="3B383B"/>
          <w:w w:val="110"/>
        </w:rPr>
        <w:t>higher</w:t>
      </w:r>
      <w:r>
        <w:rPr>
          <w:color w:val="3B383B"/>
          <w:spacing w:val="25"/>
          <w:w w:val="110"/>
        </w:rPr>
        <w:t> </w:t>
      </w:r>
      <w:r>
        <w:rPr>
          <w:color w:val="3B383B"/>
          <w:w w:val="110"/>
        </w:rPr>
        <w:t>court</w:t>
      </w:r>
      <w:r>
        <w:rPr>
          <w:color w:val="3B383B"/>
          <w:spacing w:val="38"/>
          <w:w w:val="110"/>
        </w:rPr>
        <w:t> </w:t>
      </w:r>
      <w:r>
        <w:rPr>
          <w:color w:val="3B383B"/>
          <w:w w:val="110"/>
        </w:rPr>
        <w:t>to</w:t>
      </w:r>
      <w:r>
        <w:rPr>
          <w:color w:val="3B383B"/>
          <w:spacing w:val="11"/>
          <w:w w:val="110"/>
        </w:rPr>
        <w:t> </w:t>
      </w:r>
      <w:r>
        <w:rPr>
          <w:color w:val="3B383B"/>
          <w:w w:val="110"/>
        </w:rPr>
        <w:t>ask</w:t>
      </w:r>
      <w:r>
        <w:rPr>
          <w:color w:val="3B383B"/>
          <w:spacing w:val="8"/>
          <w:w w:val="110"/>
        </w:rPr>
        <w:t> </w:t>
      </w:r>
      <w:r>
        <w:rPr>
          <w:color w:val="3B383B"/>
          <w:w w:val="110"/>
        </w:rPr>
        <w:t>it</w:t>
      </w:r>
      <w:r>
        <w:rPr>
          <w:color w:val="3B383B"/>
          <w:spacing w:val="34"/>
          <w:w w:val="110"/>
        </w:rPr>
        <w:t> </w:t>
      </w:r>
      <w:r>
        <w:rPr>
          <w:color w:val="3B383B"/>
          <w:w w:val="110"/>
        </w:rPr>
        <w:t>to</w:t>
      </w:r>
      <w:r>
        <w:rPr>
          <w:color w:val="3B383B"/>
          <w:spacing w:val="39"/>
          <w:w w:val="110"/>
        </w:rPr>
        <w:t> </w:t>
      </w:r>
      <w:r>
        <w:rPr>
          <w:color w:val="3B383B"/>
          <w:w w:val="110"/>
        </w:rPr>
        <w:t>review.</w:t>
      </w:r>
      <w:r>
        <w:rPr>
          <w:color w:val="3B383B"/>
          <w:spacing w:val="29"/>
          <w:w w:val="110"/>
        </w:rPr>
        <w:t> </w:t>
      </w:r>
      <w:r>
        <w:rPr>
          <w:color w:val="3B383B"/>
          <w:w w:val="110"/>
        </w:rPr>
        <w:t>In</w:t>
      </w:r>
      <w:r>
        <w:rPr>
          <w:color w:val="3B383B"/>
          <w:spacing w:val="46"/>
          <w:w w:val="110"/>
        </w:rPr>
        <w:t> </w:t>
      </w:r>
      <w:r>
        <w:rPr>
          <w:color w:val="3B383B"/>
          <w:w w:val="110"/>
        </w:rPr>
        <w:t>those</w:t>
      </w:r>
      <w:r>
        <w:rPr>
          <w:color w:val="3B383B"/>
          <w:spacing w:val="3"/>
          <w:w w:val="110"/>
        </w:rPr>
        <w:t> </w:t>
      </w:r>
      <w:r>
        <w:rPr>
          <w:color w:val="3B383B"/>
          <w:w w:val="110"/>
        </w:rPr>
        <w:t>courts,</w:t>
      </w:r>
      <w:r>
        <w:rPr>
          <w:color w:val="3B383B"/>
          <w:spacing w:val="19"/>
          <w:w w:val="110"/>
        </w:rPr>
        <w:t> </w:t>
      </w:r>
      <w:r>
        <w:rPr>
          <w:color w:val="3B383B"/>
          <w:w w:val="110"/>
        </w:rPr>
        <w:t>the</w:t>
      </w:r>
      <w:r>
        <w:rPr>
          <w:color w:val="3B383B"/>
          <w:spacing w:val="37"/>
          <w:w w:val="110"/>
        </w:rPr>
        <w:t> </w:t>
      </w:r>
      <w:r>
        <w:rPr>
          <w:color w:val="3B383B"/>
          <w:w w:val="110"/>
        </w:rPr>
        <w:t>other</w:t>
      </w:r>
      <w:r>
        <w:rPr>
          <w:color w:val="3B383B"/>
          <w:spacing w:val="19"/>
          <w:w w:val="110"/>
        </w:rPr>
        <w:t> </w:t>
      </w:r>
      <w:r>
        <w:rPr>
          <w:color w:val="3B383B"/>
          <w:w w:val="110"/>
        </w:rPr>
        <w:t>party</w:t>
      </w:r>
      <w:r>
        <w:rPr>
          <w:color w:val="3B383B"/>
          <w:spacing w:val="21"/>
          <w:w w:val="110"/>
        </w:rPr>
        <w:t> </w:t>
      </w:r>
      <w:r>
        <w:rPr>
          <w:color w:val="3B383B"/>
          <w:w w:val="110"/>
        </w:rPr>
        <w:t>is</w:t>
      </w:r>
    </w:p>
    <w:p>
      <w:pPr>
        <w:spacing w:after="0" w:line="232" w:lineRule="auto"/>
        <w:jc w:val="both"/>
        <w:sectPr>
          <w:headerReference w:type="default" r:id="rId25"/>
          <w:pgSz w:w="9590" w:h="13810"/>
          <w:pgMar w:header="0" w:footer="0" w:top="520" w:bottom="280" w:left="340" w:right="740"/>
        </w:sectPr>
      </w:pPr>
    </w:p>
    <w:p>
      <w:pPr>
        <w:pStyle w:val="BodyText"/>
        <w:rPr>
          <w:sz w:val="20"/>
        </w:rPr>
      </w:pPr>
    </w:p>
    <w:p>
      <w:pPr>
        <w:spacing w:line="242" w:lineRule="auto" w:before="212"/>
        <w:ind w:left="713" w:right="154" w:firstLine="10"/>
        <w:jc w:val="both"/>
        <w:rPr>
          <w:sz w:val="24"/>
        </w:rPr>
      </w:pPr>
      <w:r>
        <w:rPr>
          <w:color w:val="383636"/>
          <w:sz w:val="24"/>
        </w:rPr>
        <w:t>often called the</w:t>
      </w:r>
      <w:r>
        <w:rPr>
          <w:color w:val="383636"/>
          <w:spacing w:val="60"/>
          <w:sz w:val="24"/>
        </w:rPr>
        <w:t> </w:t>
      </w:r>
      <w:r>
        <w:rPr>
          <w:i/>
          <w:color w:val="383636"/>
          <w:sz w:val="23"/>
        </w:rPr>
        <w:t>respondent, </w:t>
      </w:r>
      <w:r>
        <w:rPr>
          <w:color w:val="383636"/>
          <w:sz w:val="24"/>
        </w:rPr>
        <w:t>because he or she is </w:t>
      </w:r>
      <w:r>
        <w:rPr>
          <w:i/>
          <w:color w:val="383636"/>
          <w:sz w:val="23"/>
        </w:rPr>
        <w:t>responding </w:t>
      </w:r>
      <w:r>
        <w:rPr>
          <w:color w:val="383636"/>
          <w:sz w:val="24"/>
        </w:rPr>
        <w:t>to</w:t>
      </w:r>
      <w:r>
        <w:rPr>
          <w:color w:val="383636"/>
          <w:spacing w:val="60"/>
          <w:sz w:val="24"/>
        </w:rPr>
        <w:t> </w:t>
      </w:r>
      <w:r>
        <w:rPr>
          <w:color w:val="383636"/>
          <w:sz w:val="24"/>
        </w:rPr>
        <w:t>the</w:t>
      </w:r>
      <w:r>
        <w:rPr>
          <w:color w:val="383636"/>
          <w:spacing w:val="60"/>
          <w:sz w:val="24"/>
        </w:rPr>
        <w:t> </w:t>
      </w:r>
      <w:r>
        <w:rPr>
          <w:color w:val="383636"/>
          <w:sz w:val="24"/>
        </w:rPr>
        <w:t>petition</w:t>
      </w:r>
      <w:r>
        <w:rPr>
          <w:color w:val="383636"/>
          <w:spacing w:val="1"/>
          <w:sz w:val="24"/>
        </w:rPr>
        <w:t> </w:t>
      </w:r>
      <w:r>
        <w:rPr>
          <w:color w:val="383636"/>
          <w:sz w:val="24"/>
        </w:rPr>
        <w:t>for review.</w:t>
      </w:r>
    </w:p>
    <w:p>
      <w:pPr>
        <w:spacing w:line="231" w:lineRule="exact" w:before="0"/>
        <w:ind w:left="1091" w:right="0" w:firstLine="0"/>
        <w:jc w:val="both"/>
        <w:rPr>
          <w:sz w:val="24"/>
        </w:rPr>
      </w:pPr>
      <w:r>
        <w:rPr>
          <w:color w:val="383636"/>
          <w:w w:val="105"/>
          <w:sz w:val="24"/>
        </w:rPr>
        <w:t>The</w:t>
      </w:r>
      <w:r>
        <w:rPr>
          <w:color w:val="383636"/>
          <w:spacing w:val="20"/>
          <w:w w:val="105"/>
          <w:sz w:val="24"/>
        </w:rPr>
        <w:t> </w:t>
      </w:r>
      <w:r>
        <w:rPr>
          <w:color w:val="383636"/>
          <w:w w:val="105"/>
          <w:sz w:val="24"/>
        </w:rPr>
        <w:t>audience</w:t>
      </w:r>
      <w:r>
        <w:rPr>
          <w:color w:val="383636"/>
          <w:spacing w:val="32"/>
          <w:w w:val="105"/>
          <w:sz w:val="24"/>
        </w:rPr>
        <w:t> </w:t>
      </w:r>
      <w:r>
        <w:rPr>
          <w:color w:val="383636"/>
          <w:w w:val="105"/>
          <w:sz w:val="24"/>
        </w:rPr>
        <w:t>for</w:t>
      </w:r>
      <w:r>
        <w:rPr>
          <w:color w:val="383636"/>
          <w:spacing w:val="31"/>
          <w:w w:val="105"/>
          <w:sz w:val="24"/>
        </w:rPr>
        <w:t> </w:t>
      </w:r>
      <w:r>
        <w:rPr>
          <w:color w:val="383636"/>
          <w:w w:val="105"/>
          <w:sz w:val="24"/>
        </w:rPr>
        <w:t>a</w:t>
      </w:r>
      <w:r>
        <w:rPr>
          <w:color w:val="383636"/>
          <w:spacing w:val="49"/>
          <w:w w:val="105"/>
          <w:sz w:val="24"/>
        </w:rPr>
        <w:t> </w:t>
      </w:r>
      <w:r>
        <w:rPr>
          <w:i/>
          <w:color w:val="383636"/>
          <w:w w:val="105"/>
          <w:sz w:val="23"/>
        </w:rPr>
        <w:t>motion</w:t>
      </w:r>
      <w:r>
        <w:rPr>
          <w:i/>
          <w:color w:val="383636"/>
          <w:spacing w:val="30"/>
          <w:w w:val="105"/>
          <w:sz w:val="23"/>
        </w:rPr>
        <w:t> </w:t>
      </w:r>
      <w:r>
        <w:rPr>
          <w:i/>
          <w:color w:val="383636"/>
          <w:w w:val="105"/>
          <w:sz w:val="23"/>
        </w:rPr>
        <w:t>brief,</w:t>
      </w:r>
      <w:r>
        <w:rPr>
          <w:i/>
          <w:color w:val="383636"/>
          <w:spacing w:val="18"/>
          <w:w w:val="105"/>
          <w:sz w:val="23"/>
        </w:rPr>
        <w:t> </w:t>
      </w:r>
      <w:r>
        <w:rPr>
          <w:color w:val="383636"/>
          <w:w w:val="105"/>
          <w:sz w:val="21"/>
        </w:rPr>
        <w:t>in</w:t>
      </w:r>
      <w:r>
        <w:rPr>
          <w:color w:val="383636"/>
          <w:spacing w:val="52"/>
          <w:w w:val="105"/>
          <w:sz w:val="21"/>
        </w:rPr>
        <w:t> </w:t>
      </w:r>
      <w:r>
        <w:rPr>
          <w:color w:val="383636"/>
          <w:w w:val="105"/>
          <w:sz w:val="24"/>
        </w:rPr>
        <w:t>contrast,</w:t>
      </w:r>
      <w:r>
        <w:rPr>
          <w:color w:val="383636"/>
          <w:spacing w:val="34"/>
          <w:w w:val="105"/>
          <w:sz w:val="24"/>
        </w:rPr>
        <w:t> </w:t>
      </w:r>
      <w:r>
        <w:rPr>
          <w:color w:val="383636"/>
          <w:w w:val="105"/>
          <w:sz w:val="24"/>
        </w:rPr>
        <w:t>is</w:t>
      </w:r>
      <w:r>
        <w:rPr>
          <w:color w:val="383636"/>
          <w:spacing w:val="38"/>
          <w:w w:val="105"/>
          <w:sz w:val="24"/>
        </w:rPr>
        <w:t> </w:t>
      </w:r>
      <w:r>
        <w:rPr>
          <w:color w:val="383636"/>
          <w:w w:val="105"/>
          <w:sz w:val="24"/>
        </w:rPr>
        <w:t>usually</w:t>
      </w:r>
      <w:r>
        <w:rPr>
          <w:color w:val="383636"/>
          <w:spacing w:val="25"/>
          <w:w w:val="105"/>
          <w:sz w:val="24"/>
        </w:rPr>
        <w:t> </w:t>
      </w:r>
      <w:r>
        <w:rPr>
          <w:color w:val="383636"/>
          <w:w w:val="105"/>
          <w:sz w:val="24"/>
        </w:rPr>
        <w:t>a</w:t>
      </w:r>
      <w:r>
        <w:rPr>
          <w:color w:val="383636"/>
          <w:spacing w:val="52"/>
          <w:w w:val="105"/>
          <w:sz w:val="24"/>
        </w:rPr>
        <w:t> </w:t>
      </w:r>
      <w:r>
        <w:rPr>
          <w:color w:val="383636"/>
          <w:w w:val="105"/>
          <w:sz w:val="24"/>
        </w:rPr>
        <w:t>trial</w:t>
      </w:r>
      <w:r>
        <w:rPr>
          <w:color w:val="383636"/>
          <w:spacing w:val="15"/>
          <w:w w:val="105"/>
          <w:sz w:val="24"/>
        </w:rPr>
        <w:t> </w:t>
      </w:r>
      <w:r>
        <w:rPr>
          <w:color w:val="383636"/>
          <w:w w:val="105"/>
          <w:sz w:val="24"/>
        </w:rPr>
        <w:t>court.</w:t>
      </w:r>
    </w:p>
    <w:p>
      <w:pPr>
        <w:spacing w:line="225" w:lineRule="auto" w:before="6"/>
        <w:ind w:left="704" w:right="121" w:firstLine="6"/>
        <w:jc w:val="both"/>
        <w:rPr>
          <w:rFonts w:ascii="Arial" w:hAnsi="Arial"/>
          <w:i/>
          <w:sz w:val="23"/>
        </w:rPr>
      </w:pPr>
      <w:r>
        <w:rPr>
          <w:color w:val="383636"/>
          <w:w w:val="105"/>
          <w:sz w:val="24"/>
        </w:rPr>
        <w:t>Attorneys  write motion briefs to  argue that a court should  </w:t>
      </w:r>
      <w:r>
        <w:rPr>
          <w:i/>
          <w:color w:val="383636"/>
          <w:w w:val="105"/>
          <w:sz w:val="23"/>
        </w:rPr>
        <w:t>grant </w:t>
      </w:r>
      <w:r>
        <w:rPr>
          <w:color w:val="383636"/>
          <w:w w:val="105"/>
          <w:sz w:val="24"/>
        </w:rPr>
        <w:t>or  </w:t>
      </w:r>
      <w:r>
        <w:rPr>
          <w:i/>
          <w:color w:val="383636"/>
          <w:w w:val="105"/>
          <w:sz w:val="23"/>
        </w:rPr>
        <w:t>deny</w:t>
      </w:r>
      <w:r>
        <w:rPr>
          <w:i/>
          <w:color w:val="383636"/>
          <w:spacing w:val="1"/>
          <w:w w:val="105"/>
          <w:sz w:val="23"/>
        </w:rPr>
        <w:t> </w:t>
      </w:r>
      <w:r>
        <w:rPr>
          <w:color w:val="383636"/>
          <w:w w:val="105"/>
          <w:sz w:val="24"/>
        </w:rPr>
        <w:t>a particular </w:t>
      </w:r>
      <w:r>
        <w:rPr>
          <w:i/>
          <w:color w:val="383636"/>
          <w:w w:val="105"/>
          <w:sz w:val="23"/>
        </w:rPr>
        <w:t>motion. </w:t>
      </w:r>
      <w:r>
        <w:rPr>
          <w:color w:val="383636"/>
          <w:w w:val="105"/>
          <w:sz w:val="24"/>
        </w:rPr>
        <w:t>A motion is a formal request that the court take an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action or make a decision relevant to a case before the court. Whenever a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party wants the court to take any action in the case (other than the deci­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sion on the merits), it  must </w:t>
      </w:r>
      <w:r>
        <w:rPr>
          <w:i/>
          <w:color w:val="383636"/>
          <w:w w:val="105"/>
          <w:sz w:val="23"/>
        </w:rPr>
        <w:t>move </w:t>
      </w:r>
      <w:r>
        <w:rPr>
          <w:color w:val="383636"/>
          <w:w w:val="105"/>
          <w:sz w:val="24"/>
        </w:rPr>
        <w:t>the court or file </w:t>
      </w:r>
      <w:r>
        <w:rPr>
          <w:i/>
          <w:color w:val="383636"/>
          <w:w w:val="105"/>
          <w:sz w:val="23"/>
        </w:rPr>
        <w:t>a motion. </w:t>
      </w:r>
      <w:r>
        <w:rPr>
          <w:color w:val="383636"/>
          <w:w w:val="105"/>
          <w:sz w:val="24"/>
        </w:rPr>
        <w:t>The parties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may file a motion to ask the court to postpone the trial date, to limit the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kinds of evidence that may be heard in a case, or to decide in favor of one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partyor the other without a formal trial. The more significant the motion,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the more likely it is that the parties will support the motion with a </w:t>
      </w:r>
      <w:r>
        <w:rPr>
          <w:i/>
          <w:color w:val="383636"/>
          <w:w w:val="105"/>
          <w:sz w:val="23"/>
        </w:rPr>
        <w:t>motion</w:t>
      </w:r>
      <w:r>
        <w:rPr>
          <w:i/>
          <w:color w:val="383636"/>
          <w:spacing w:val="1"/>
          <w:w w:val="105"/>
          <w:sz w:val="23"/>
        </w:rPr>
        <w:t> </w:t>
      </w:r>
      <w:r>
        <w:rPr>
          <w:i/>
          <w:color w:val="383636"/>
          <w:w w:val="105"/>
          <w:sz w:val="23"/>
        </w:rPr>
        <w:t>brief.</w:t>
      </w:r>
      <w:r>
        <w:rPr>
          <w:rFonts w:ascii="Arial" w:hAnsi="Arial"/>
          <w:i/>
          <w:color w:val="525254"/>
          <w:w w:val="105"/>
          <w:sz w:val="23"/>
          <w:vertAlign w:val="superscript"/>
        </w:rPr>
        <w:t>1</w:t>
      </w:r>
    </w:p>
    <w:p>
      <w:pPr>
        <w:spacing w:line="223" w:lineRule="auto" w:before="0"/>
        <w:ind w:left="684" w:right="103" w:firstLine="445"/>
        <w:jc w:val="both"/>
        <w:rPr>
          <w:sz w:val="24"/>
        </w:rPr>
      </w:pPr>
      <w:r>
        <w:rPr>
          <w:color w:val="383636"/>
          <w:w w:val="105"/>
          <w:sz w:val="24"/>
        </w:rPr>
        <w:t>In a motion brief, the attorneys support their arguments by analyzing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how the controlling law applies to certain agreed-upon facts (usually the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facts that the plaintiff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provided </w:t>
      </w:r>
      <w:r>
        <w:rPr>
          <w:color w:val="383636"/>
          <w:w w:val="105"/>
          <w:sz w:val="21"/>
        </w:rPr>
        <w:t>in  </w:t>
      </w:r>
      <w:r>
        <w:rPr>
          <w:color w:val="383636"/>
          <w:w w:val="105"/>
          <w:sz w:val="24"/>
        </w:rPr>
        <w:t>the complaint; sometimes these facts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may be supplemented by affidavits or other documents). The party who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filed the motion (often the defendant) is sometimes referred to as the </w:t>
      </w:r>
      <w:r>
        <w:rPr>
          <w:i/>
          <w:color w:val="383636"/>
          <w:w w:val="105"/>
          <w:sz w:val="23"/>
        </w:rPr>
        <w:t>mov­</w:t>
      </w:r>
      <w:r>
        <w:rPr>
          <w:i/>
          <w:color w:val="383636"/>
          <w:spacing w:val="1"/>
          <w:w w:val="105"/>
          <w:sz w:val="23"/>
        </w:rPr>
        <w:t> </w:t>
      </w:r>
      <w:r>
        <w:rPr>
          <w:i/>
          <w:color w:val="383636"/>
          <w:sz w:val="23"/>
        </w:rPr>
        <w:t>ant </w:t>
      </w:r>
      <w:r>
        <w:rPr>
          <w:color w:val="383636"/>
          <w:sz w:val="24"/>
        </w:rPr>
        <w:t>or the</w:t>
      </w:r>
      <w:r>
        <w:rPr>
          <w:color w:val="383636"/>
          <w:spacing w:val="1"/>
          <w:sz w:val="24"/>
        </w:rPr>
        <w:t> </w:t>
      </w:r>
      <w:r>
        <w:rPr>
          <w:i/>
          <w:color w:val="383636"/>
          <w:sz w:val="23"/>
        </w:rPr>
        <w:t>moving party. </w:t>
      </w:r>
      <w:r>
        <w:rPr>
          <w:color w:val="383636"/>
          <w:sz w:val="24"/>
        </w:rPr>
        <w:t>The moving party writes the </w:t>
      </w:r>
      <w:r>
        <w:rPr>
          <w:i/>
          <w:color w:val="383636"/>
          <w:sz w:val="23"/>
        </w:rPr>
        <w:t>Brief in Support of the</w:t>
      </w:r>
      <w:r>
        <w:rPr>
          <w:i/>
          <w:color w:val="383636"/>
          <w:spacing w:val="1"/>
          <w:sz w:val="23"/>
        </w:rPr>
        <w:t> </w:t>
      </w:r>
      <w:r>
        <w:rPr>
          <w:i/>
          <w:color w:val="383636"/>
          <w:w w:val="105"/>
          <w:sz w:val="23"/>
        </w:rPr>
        <w:t>Motion. </w:t>
      </w:r>
      <w:r>
        <w:rPr>
          <w:color w:val="383636"/>
          <w:w w:val="105"/>
          <w:sz w:val="24"/>
        </w:rPr>
        <w:t>The party who did not file the  motion, sometimes referred to  as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the </w:t>
      </w:r>
      <w:r>
        <w:rPr>
          <w:i/>
          <w:color w:val="383636"/>
          <w:w w:val="105"/>
          <w:sz w:val="23"/>
        </w:rPr>
        <w:t>opponent </w:t>
      </w:r>
      <w:r>
        <w:rPr>
          <w:color w:val="383636"/>
          <w:w w:val="105"/>
          <w:sz w:val="24"/>
        </w:rPr>
        <w:t>or the </w:t>
      </w:r>
      <w:r>
        <w:rPr>
          <w:i/>
          <w:color w:val="383636"/>
          <w:w w:val="105"/>
          <w:sz w:val="23"/>
        </w:rPr>
        <w:t>non-moving party, </w:t>
      </w:r>
      <w:r>
        <w:rPr>
          <w:color w:val="383636"/>
          <w:w w:val="105"/>
          <w:sz w:val="24"/>
        </w:rPr>
        <w:t>writes the </w:t>
      </w:r>
      <w:r>
        <w:rPr>
          <w:i/>
          <w:color w:val="383636"/>
          <w:w w:val="105"/>
          <w:sz w:val="23"/>
        </w:rPr>
        <w:t>Brief in Opposition to the</w:t>
      </w:r>
      <w:r>
        <w:rPr>
          <w:i/>
          <w:color w:val="383636"/>
          <w:spacing w:val="1"/>
          <w:w w:val="105"/>
          <w:sz w:val="23"/>
        </w:rPr>
        <w:t> </w:t>
      </w:r>
      <w:r>
        <w:rPr>
          <w:i/>
          <w:color w:val="383636"/>
          <w:w w:val="105"/>
          <w:sz w:val="23"/>
        </w:rPr>
        <w:t>Motion. </w:t>
      </w:r>
      <w:r>
        <w:rPr>
          <w:color w:val="383636"/>
          <w:w w:val="105"/>
          <w:sz w:val="24"/>
        </w:rPr>
        <w:t>The parties are also referred to by their categorizations of </w:t>
      </w:r>
      <w:r>
        <w:rPr>
          <w:i/>
          <w:color w:val="383636"/>
          <w:w w:val="105"/>
          <w:sz w:val="23"/>
        </w:rPr>
        <w:t>plaintiff</w:t>
      </w:r>
      <w:r>
        <w:rPr>
          <w:i/>
          <w:color w:val="383636"/>
          <w:spacing w:val="1"/>
          <w:w w:val="105"/>
          <w:sz w:val="23"/>
        </w:rPr>
        <w:t> </w:t>
      </w:r>
      <w:r>
        <w:rPr>
          <w:color w:val="383636"/>
          <w:w w:val="105"/>
          <w:sz w:val="24"/>
        </w:rPr>
        <w:t>or </w:t>
      </w:r>
      <w:r>
        <w:rPr>
          <w:i/>
          <w:color w:val="383636"/>
          <w:w w:val="105"/>
          <w:sz w:val="23"/>
        </w:rPr>
        <w:t>defendant, </w:t>
      </w:r>
      <w:r>
        <w:rPr>
          <w:color w:val="383636"/>
          <w:w w:val="105"/>
          <w:sz w:val="24"/>
        </w:rPr>
        <w:t>as appropriate. Although many motions are decided on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the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basisof the briefs alone, the court may ask counsel to participate in an oral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argument</w:t>
      </w:r>
      <w:r>
        <w:rPr>
          <w:color w:val="383636"/>
          <w:spacing w:val="16"/>
          <w:w w:val="105"/>
          <w:sz w:val="24"/>
        </w:rPr>
        <w:t> </w:t>
      </w:r>
      <w:r>
        <w:rPr>
          <w:color w:val="383636"/>
          <w:w w:val="105"/>
          <w:sz w:val="24"/>
        </w:rPr>
        <w:t>to</w:t>
      </w:r>
      <w:r>
        <w:rPr>
          <w:color w:val="383636"/>
          <w:spacing w:val="-6"/>
          <w:w w:val="105"/>
          <w:sz w:val="24"/>
        </w:rPr>
        <w:t> </w:t>
      </w:r>
      <w:r>
        <w:rPr>
          <w:color w:val="383636"/>
          <w:w w:val="105"/>
          <w:sz w:val="24"/>
        </w:rPr>
        <w:t>help</w:t>
      </w:r>
      <w:r>
        <w:rPr>
          <w:color w:val="383636"/>
          <w:spacing w:val="-25"/>
          <w:w w:val="105"/>
          <w:sz w:val="24"/>
        </w:rPr>
        <w:t> </w:t>
      </w:r>
      <w:r>
        <w:rPr>
          <w:color w:val="383636"/>
          <w:w w:val="105"/>
          <w:sz w:val="24"/>
        </w:rPr>
        <w:t>it</w:t>
      </w:r>
      <w:r>
        <w:rPr>
          <w:color w:val="383636"/>
          <w:spacing w:val="-3"/>
          <w:w w:val="105"/>
          <w:sz w:val="24"/>
        </w:rPr>
        <w:t> </w:t>
      </w:r>
      <w:r>
        <w:rPr>
          <w:color w:val="383636"/>
          <w:w w:val="105"/>
          <w:sz w:val="24"/>
        </w:rPr>
        <w:t>decide</w:t>
      </w:r>
      <w:r>
        <w:rPr>
          <w:color w:val="383636"/>
          <w:spacing w:val="-2"/>
          <w:w w:val="105"/>
          <w:sz w:val="24"/>
        </w:rPr>
        <w:t> </w:t>
      </w:r>
      <w:r>
        <w:rPr>
          <w:color w:val="383636"/>
          <w:w w:val="105"/>
          <w:sz w:val="24"/>
        </w:rPr>
        <w:t>the</w:t>
      </w:r>
      <w:r>
        <w:rPr>
          <w:color w:val="383636"/>
          <w:spacing w:val="3"/>
          <w:w w:val="105"/>
          <w:sz w:val="24"/>
        </w:rPr>
        <w:t> </w:t>
      </w:r>
      <w:r>
        <w:rPr>
          <w:color w:val="383636"/>
          <w:w w:val="105"/>
          <w:sz w:val="24"/>
        </w:rPr>
        <w:t>issues</w:t>
      </w:r>
      <w:r>
        <w:rPr>
          <w:color w:val="383636"/>
          <w:spacing w:val="11"/>
          <w:w w:val="105"/>
          <w:sz w:val="24"/>
        </w:rPr>
        <w:t> </w:t>
      </w:r>
      <w:r>
        <w:rPr>
          <w:color w:val="383636"/>
          <w:w w:val="105"/>
          <w:sz w:val="24"/>
        </w:rPr>
        <w:t>before</w:t>
      </w:r>
      <w:r>
        <w:rPr>
          <w:color w:val="383636"/>
          <w:spacing w:val="-15"/>
          <w:w w:val="105"/>
          <w:sz w:val="24"/>
        </w:rPr>
        <w:t> </w:t>
      </w:r>
      <w:r>
        <w:rPr>
          <w:color w:val="383636"/>
          <w:w w:val="105"/>
          <w:sz w:val="24"/>
        </w:rPr>
        <w:t>it</w:t>
      </w:r>
      <w:r>
        <w:rPr>
          <w:color w:val="525254"/>
          <w:w w:val="105"/>
          <w:sz w:val="24"/>
        </w:rPr>
        <w:t>.</w:t>
      </w:r>
    </w:p>
    <w:p>
      <w:pPr>
        <w:spacing w:line="228" w:lineRule="auto" w:before="5"/>
        <w:ind w:left="598" w:right="125" w:firstLine="467"/>
        <w:jc w:val="both"/>
        <w:rPr>
          <w:sz w:val="24"/>
        </w:rPr>
      </w:pPr>
      <w:r>
        <w:rPr>
          <w:color w:val="383636"/>
          <w:w w:val="105"/>
          <w:sz w:val="24"/>
        </w:rPr>
        <w:t>Whether you are writing to an appellate court or a trial court, you are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writing to a busy reader. The United States Supreme Court, for example,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hears approximately 80 cases per term. Consider that each case requires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reading several documents. The petitioner submits a  brief accompanying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the petition for writ of certiorari, and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the potential respondent often sub­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mits a brief in  response. </w:t>
      </w:r>
      <w:r>
        <w:rPr>
          <w:color w:val="383636"/>
          <w:w w:val="105"/>
          <w:sz w:val="21"/>
        </w:rPr>
        <w:t>If </w:t>
      </w:r>
      <w:r>
        <w:rPr>
          <w:color w:val="383636"/>
          <w:w w:val="105"/>
          <w:sz w:val="24"/>
        </w:rPr>
        <w:t>the Court grants the petition</w:t>
      </w:r>
      <w:r>
        <w:rPr>
          <w:color w:val="525254"/>
          <w:w w:val="105"/>
          <w:sz w:val="24"/>
        </w:rPr>
        <w:t>, </w:t>
      </w:r>
      <w:r>
        <w:rPr>
          <w:color w:val="383636"/>
          <w:w w:val="105"/>
          <w:sz w:val="24"/>
        </w:rPr>
        <w:t>there will usually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be three briefs on the merits: petitioner's brief on the merits, respondent's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spacing w:val="-1"/>
          <w:w w:val="105"/>
          <w:sz w:val="24"/>
        </w:rPr>
        <w:t>brief on the merits, and petitioner's </w:t>
      </w:r>
      <w:r>
        <w:rPr>
          <w:color w:val="383636"/>
          <w:w w:val="105"/>
          <w:sz w:val="24"/>
        </w:rPr>
        <w:t>reply brief on the merits. Furthermore,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various parties may submit amicus briefs, and counsel for the parties will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submit documents to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support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or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oppose the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various motions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that may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accompany</w:t>
      </w:r>
      <w:r>
        <w:rPr>
          <w:color w:val="383636"/>
          <w:spacing w:val="-8"/>
          <w:w w:val="105"/>
          <w:sz w:val="24"/>
        </w:rPr>
        <w:t> </w:t>
      </w:r>
      <w:r>
        <w:rPr>
          <w:color w:val="383636"/>
          <w:w w:val="105"/>
          <w:sz w:val="24"/>
        </w:rPr>
        <w:t>Supreme</w:t>
      </w:r>
      <w:r>
        <w:rPr>
          <w:color w:val="383636"/>
          <w:spacing w:val="-1"/>
          <w:w w:val="105"/>
          <w:sz w:val="24"/>
        </w:rPr>
        <w:t> </w:t>
      </w:r>
      <w:r>
        <w:rPr>
          <w:color w:val="383636"/>
          <w:w w:val="105"/>
          <w:sz w:val="24"/>
        </w:rPr>
        <w:t>Court practice.</w:t>
      </w:r>
    </w:p>
    <w:p>
      <w:pPr>
        <w:spacing w:line="230" w:lineRule="auto" w:before="12"/>
        <w:ind w:left="541" w:right="166" w:firstLine="424"/>
        <w:jc w:val="both"/>
        <w:rPr>
          <w:sz w:val="24"/>
        </w:rPr>
      </w:pPr>
      <w:r>
        <w:rPr>
          <w:color w:val="383636"/>
          <w:w w:val="105"/>
          <w:sz w:val="24"/>
        </w:rPr>
        <w:t>Thus, even estimating conservatively that each case generates around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seven documents, Supreme Court Justices and their clerks are reading over</w:t>
      </w:r>
      <w:r>
        <w:rPr>
          <w:color w:val="383636"/>
          <w:spacing w:val="1"/>
          <w:w w:val="105"/>
          <w:sz w:val="24"/>
        </w:rPr>
        <w:t> </w:t>
      </w:r>
      <w:r>
        <w:rPr>
          <w:rFonts w:ascii="Arial" w:hAnsi="Arial"/>
          <w:i/>
          <w:color w:val="383636"/>
          <w:w w:val="105"/>
          <w:sz w:val="22"/>
        </w:rPr>
        <w:t>500 </w:t>
      </w:r>
      <w:r>
        <w:rPr>
          <w:color w:val="383636"/>
          <w:w w:val="105"/>
          <w:sz w:val="24"/>
        </w:rPr>
        <w:t>briefs per year. Of course</w:t>
      </w:r>
      <w:r>
        <w:rPr>
          <w:color w:val="525254"/>
          <w:w w:val="105"/>
          <w:sz w:val="24"/>
        </w:rPr>
        <w:t>, </w:t>
      </w:r>
      <w:r>
        <w:rPr>
          <w:color w:val="383636"/>
          <w:w w:val="105"/>
          <w:sz w:val="24"/>
        </w:rPr>
        <w:t>this statistic does not take into account the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reading required when the Justices review the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joint appendix (selected ele­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ments of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the  case record) and  the  statutes, cases, and  other sources cited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05"/>
          <w:sz w:val="24"/>
        </w:rPr>
        <w:t>in</w:t>
      </w:r>
      <w:r>
        <w:rPr>
          <w:color w:val="383636"/>
          <w:spacing w:val="3"/>
          <w:w w:val="105"/>
          <w:sz w:val="24"/>
        </w:rPr>
        <w:t> </w:t>
      </w:r>
      <w:r>
        <w:rPr>
          <w:color w:val="383636"/>
          <w:w w:val="105"/>
          <w:sz w:val="24"/>
        </w:rPr>
        <w:t>the</w:t>
      </w:r>
      <w:r>
        <w:rPr>
          <w:color w:val="383636"/>
          <w:spacing w:val="2"/>
          <w:w w:val="105"/>
          <w:sz w:val="24"/>
        </w:rPr>
        <w:t> </w:t>
      </w:r>
      <w:r>
        <w:rPr>
          <w:color w:val="383636"/>
          <w:w w:val="105"/>
          <w:sz w:val="24"/>
        </w:rPr>
        <w:t>briefs.</w:t>
      </w:r>
      <w:r>
        <w:rPr>
          <w:color w:val="383636"/>
          <w:spacing w:val="29"/>
          <w:w w:val="105"/>
          <w:sz w:val="24"/>
        </w:rPr>
        <w:t> </w:t>
      </w:r>
      <w:r>
        <w:rPr>
          <w:color w:val="383636"/>
          <w:w w:val="105"/>
          <w:sz w:val="24"/>
        </w:rPr>
        <w:t>It</w:t>
      </w:r>
      <w:r>
        <w:rPr>
          <w:color w:val="383636"/>
          <w:spacing w:val="34"/>
          <w:w w:val="105"/>
          <w:sz w:val="24"/>
        </w:rPr>
        <w:t> </w:t>
      </w:r>
      <w:r>
        <w:rPr>
          <w:color w:val="383636"/>
          <w:w w:val="105"/>
          <w:sz w:val="24"/>
        </w:rPr>
        <w:t>also</w:t>
      </w:r>
      <w:r>
        <w:rPr>
          <w:color w:val="383636"/>
          <w:spacing w:val="-6"/>
          <w:w w:val="105"/>
          <w:sz w:val="24"/>
        </w:rPr>
        <w:t> </w:t>
      </w:r>
      <w:r>
        <w:rPr>
          <w:color w:val="383636"/>
          <w:w w:val="105"/>
          <w:sz w:val="24"/>
        </w:rPr>
        <w:t>does</w:t>
      </w:r>
      <w:r>
        <w:rPr>
          <w:color w:val="383636"/>
          <w:spacing w:val="16"/>
          <w:w w:val="105"/>
          <w:sz w:val="24"/>
        </w:rPr>
        <w:t> </w:t>
      </w:r>
      <w:r>
        <w:rPr>
          <w:color w:val="383636"/>
          <w:w w:val="105"/>
          <w:sz w:val="24"/>
        </w:rPr>
        <w:t>not</w:t>
      </w:r>
      <w:r>
        <w:rPr>
          <w:color w:val="383636"/>
          <w:spacing w:val="6"/>
          <w:w w:val="105"/>
          <w:sz w:val="24"/>
        </w:rPr>
        <w:t> </w:t>
      </w:r>
      <w:r>
        <w:rPr>
          <w:color w:val="383636"/>
          <w:w w:val="105"/>
          <w:sz w:val="24"/>
        </w:rPr>
        <w:t>take</w:t>
      </w:r>
      <w:r>
        <w:rPr>
          <w:color w:val="383636"/>
          <w:spacing w:val="10"/>
          <w:w w:val="105"/>
          <w:sz w:val="24"/>
        </w:rPr>
        <w:t> </w:t>
      </w:r>
      <w:r>
        <w:rPr>
          <w:color w:val="383636"/>
          <w:w w:val="105"/>
          <w:sz w:val="24"/>
        </w:rPr>
        <w:t>into</w:t>
      </w:r>
      <w:r>
        <w:rPr>
          <w:color w:val="383636"/>
          <w:spacing w:val="4"/>
          <w:w w:val="105"/>
          <w:sz w:val="24"/>
        </w:rPr>
        <w:t> </w:t>
      </w:r>
      <w:r>
        <w:rPr>
          <w:color w:val="383636"/>
          <w:w w:val="105"/>
          <w:sz w:val="24"/>
        </w:rPr>
        <w:t>account</w:t>
      </w:r>
      <w:r>
        <w:rPr>
          <w:color w:val="383636"/>
          <w:spacing w:val="37"/>
          <w:w w:val="105"/>
          <w:sz w:val="24"/>
        </w:rPr>
        <w:t> </w:t>
      </w:r>
      <w:r>
        <w:rPr>
          <w:color w:val="383636"/>
          <w:w w:val="105"/>
          <w:sz w:val="24"/>
        </w:rPr>
        <w:t>the</w:t>
      </w:r>
      <w:r>
        <w:rPr>
          <w:color w:val="383636"/>
          <w:spacing w:val="46"/>
          <w:w w:val="105"/>
          <w:sz w:val="24"/>
        </w:rPr>
        <w:t> </w:t>
      </w:r>
      <w:r>
        <w:rPr>
          <w:color w:val="383636"/>
          <w:w w:val="105"/>
          <w:sz w:val="24"/>
        </w:rPr>
        <w:t>time</w:t>
      </w:r>
      <w:r>
        <w:rPr>
          <w:color w:val="383636"/>
          <w:spacing w:val="-4"/>
          <w:w w:val="105"/>
          <w:sz w:val="24"/>
        </w:rPr>
        <w:t> </w:t>
      </w:r>
      <w:r>
        <w:rPr>
          <w:color w:val="383636"/>
          <w:w w:val="105"/>
          <w:sz w:val="24"/>
        </w:rPr>
        <w:t>spent</w:t>
      </w:r>
      <w:r>
        <w:rPr>
          <w:color w:val="383636"/>
          <w:spacing w:val="29"/>
          <w:w w:val="105"/>
          <w:sz w:val="24"/>
        </w:rPr>
        <w:t> </w:t>
      </w:r>
      <w:r>
        <w:rPr>
          <w:color w:val="383636"/>
          <w:w w:val="105"/>
          <w:sz w:val="24"/>
        </w:rPr>
        <w:t>reviewing</w:t>
      </w:r>
    </w:p>
    <w:p>
      <w:pPr>
        <w:pStyle w:val="BodyText"/>
        <w:spacing w:before="10"/>
        <w:rPr>
          <w:sz w:val="28"/>
        </w:rPr>
      </w:pPr>
    </w:p>
    <w:p>
      <w:pPr>
        <w:spacing w:line="189" w:lineRule="auto" w:before="0"/>
        <w:ind w:left="490" w:right="201" w:firstLine="399"/>
        <w:jc w:val="both"/>
        <w:rPr>
          <w:i/>
          <w:sz w:val="19"/>
        </w:rPr>
      </w:pPr>
      <w:r>
        <w:rPr>
          <w:i/>
          <w:color w:val="383636"/>
          <w:w w:val="105"/>
          <w:sz w:val="19"/>
        </w:rPr>
        <w:t>'Note </w:t>
      </w:r>
      <w:r>
        <w:rPr>
          <w:color w:val="383636"/>
          <w:w w:val="105"/>
          <w:sz w:val="19"/>
        </w:rPr>
        <w:t>that these documents are sometimes given other labels, Including </w:t>
      </w:r>
      <w:r>
        <w:rPr>
          <w:i/>
          <w:color w:val="383636"/>
          <w:w w:val="105"/>
          <w:sz w:val="19"/>
        </w:rPr>
        <w:t>Trial Briefs</w:t>
      </w:r>
      <w:r>
        <w:rPr>
          <w:color w:val="383636"/>
          <w:w w:val="105"/>
          <w:sz w:val="19"/>
        </w:rPr>
        <w:t>a</w:t>
      </w:r>
      <w:r>
        <w:rPr>
          <w:color w:val="383636"/>
          <w:w w:val="105"/>
          <w:position w:val="8"/>
          <w:sz w:val="19"/>
        </w:rPr>
        <w:t>nd</w:t>
      </w:r>
      <w:r>
        <w:rPr>
          <w:color w:val="383636"/>
          <w:spacing w:val="1"/>
          <w:w w:val="105"/>
          <w:position w:val="8"/>
          <w:sz w:val="19"/>
        </w:rPr>
        <w:t> </w:t>
      </w:r>
      <w:r>
        <w:rPr>
          <w:i/>
          <w:color w:val="383636"/>
          <w:w w:val="105"/>
          <w:sz w:val="19"/>
        </w:rPr>
        <w:t>Mmwranda</w:t>
      </w:r>
      <w:r>
        <w:rPr>
          <w:i/>
          <w:color w:val="383636"/>
          <w:spacing w:val="-9"/>
          <w:w w:val="105"/>
          <w:sz w:val="19"/>
        </w:rPr>
        <w:t> </w:t>
      </w:r>
      <w:r>
        <w:rPr>
          <w:i/>
          <w:color w:val="383636"/>
          <w:w w:val="105"/>
          <w:sz w:val="19"/>
        </w:rPr>
        <w:t>of</w:t>
      </w:r>
      <w:r>
        <w:rPr>
          <w:i/>
          <w:color w:val="383636"/>
          <w:spacing w:val="-21"/>
          <w:w w:val="105"/>
          <w:sz w:val="19"/>
        </w:rPr>
        <w:t> </w:t>
      </w:r>
      <w:r>
        <w:rPr>
          <w:i/>
          <w:color w:val="383636"/>
          <w:w w:val="105"/>
          <w:sz w:val="19"/>
        </w:rPr>
        <w:t>Points</w:t>
      </w:r>
      <w:r>
        <w:rPr>
          <w:i/>
          <w:color w:val="383636"/>
          <w:spacing w:val="-24"/>
          <w:w w:val="105"/>
          <w:sz w:val="19"/>
        </w:rPr>
        <w:t> </w:t>
      </w:r>
      <w:r>
        <w:rPr>
          <w:color w:val="383636"/>
          <w:w w:val="105"/>
          <w:sz w:val="19"/>
        </w:rPr>
        <w:t>&amp;</w:t>
      </w:r>
      <w:r>
        <w:rPr>
          <w:color w:val="383636"/>
          <w:spacing w:val="-6"/>
          <w:w w:val="105"/>
          <w:sz w:val="19"/>
        </w:rPr>
        <w:t> </w:t>
      </w:r>
      <w:r>
        <w:rPr>
          <w:i/>
          <w:color w:val="383636"/>
          <w:w w:val="105"/>
          <w:sz w:val="19"/>
        </w:rPr>
        <w:t>Authorities.</w:t>
      </w:r>
    </w:p>
    <w:p>
      <w:pPr>
        <w:spacing w:after="0" w:line="189" w:lineRule="auto"/>
        <w:jc w:val="both"/>
        <w:rPr>
          <w:sz w:val="19"/>
        </w:rPr>
        <w:sectPr>
          <w:headerReference w:type="even" r:id="rId26"/>
          <w:headerReference w:type="default" r:id="rId27"/>
          <w:pgSz w:w="9790" w:h="13830"/>
          <w:pgMar w:header="512" w:footer="0" w:top="680" w:bottom="0" w:left="1360" w:right="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spacing w:line="235" w:lineRule="auto"/>
        <w:ind w:left="138" w:right="199" w:firstLine="8"/>
        <w:jc w:val="both"/>
      </w:pPr>
      <w:r>
        <w:rPr>
          <w:color w:val="3B3A3B"/>
          <w:w w:val="115"/>
        </w:rPr>
        <w:t>the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5"/>
        </w:rPr>
        <w:t>thousands of certiorari petitions that areultimately denied or-by the</w:t>
      </w:r>
      <w:r>
        <w:rPr>
          <w:color w:val="3B3A3B"/>
          <w:spacing w:val="1"/>
          <w:w w:val="115"/>
        </w:rPr>
        <w:t> </w:t>
      </w:r>
      <w:r>
        <w:rPr>
          <w:color w:val="3B3A3B"/>
          <w:spacing w:val="-1"/>
          <w:w w:val="120"/>
        </w:rPr>
        <w:t>way-the</w:t>
      </w:r>
      <w:r>
        <w:rPr>
          <w:color w:val="3B3A3B"/>
          <w:spacing w:val="-12"/>
          <w:w w:val="120"/>
        </w:rPr>
        <w:t> </w:t>
      </w:r>
      <w:r>
        <w:rPr>
          <w:color w:val="3B3A3B"/>
          <w:w w:val="120"/>
        </w:rPr>
        <w:t>time</w:t>
      </w:r>
      <w:r>
        <w:rPr>
          <w:color w:val="3B3A3B"/>
          <w:spacing w:val="-23"/>
          <w:w w:val="120"/>
        </w:rPr>
        <w:t> </w:t>
      </w:r>
      <w:r>
        <w:rPr>
          <w:color w:val="3B3A3B"/>
          <w:w w:val="120"/>
        </w:rPr>
        <w:t>spent</w:t>
      </w:r>
      <w:r>
        <w:rPr>
          <w:color w:val="3B3A3B"/>
          <w:spacing w:val="-13"/>
          <w:w w:val="120"/>
        </w:rPr>
        <w:t> </w:t>
      </w:r>
      <w:r>
        <w:rPr>
          <w:color w:val="3B3A3B"/>
          <w:w w:val="120"/>
        </w:rPr>
        <w:t>writing</w:t>
      </w:r>
      <w:r>
        <w:rPr>
          <w:color w:val="3B3A3B"/>
          <w:spacing w:val="-19"/>
          <w:w w:val="120"/>
        </w:rPr>
        <w:t> </w:t>
      </w:r>
      <w:r>
        <w:rPr>
          <w:color w:val="3B3A3B"/>
          <w:w w:val="120"/>
        </w:rPr>
        <w:t>opinions.</w:t>
      </w:r>
    </w:p>
    <w:p>
      <w:pPr>
        <w:pStyle w:val="BodyText"/>
        <w:spacing w:line="235" w:lineRule="auto" w:before="2"/>
        <w:ind w:left="129" w:right="246" w:firstLine="370"/>
        <w:jc w:val="both"/>
      </w:pPr>
      <w:r>
        <w:rPr>
          <w:color w:val="3B3A3B"/>
          <w:w w:val="110"/>
        </w:rPr>
        <w:t>The numbers are equally impressive in other courts. Judge Boyce </w:t>
      </w:r>
      <w:r>
        <w:rPr>
          <w:rFonts w:ascii="Arial" w:hAnsi="Arial"/>
          <w:color w:val="3B3A3B"/>
          <w:w w:val="110"/>
          <w:sz w:val="21"/>
        </w:rPr>
        <w:t>F.</w:t>
      </w:r>
      <w:r>
        <w:rPr>
          <w:rFonts w:ascii="Arial" w:hAnsi="Arial"/>
          <w:color w:val="3B3A3B"/>
          <w:spacing w:val="1"/>
          <w:w w:val="110"/>
          <w:sz w:val="21"/>
        </w:rPr>
        <w:t> </w:t>
      </w:r>
      <w:r>
        <w:rPr>
          <w:color w:val="3B3A3B"/>
          <w:w w:val="105"/>
        </w:rPr>
        <w:t>Martin, Jr., of the United States Court of Appeals for the Sixth Circuit, esti­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10"/>
        </w:rPr>
        <w:t>mated in 1999 that the average judge on the Sixth Circuit sits on 32 pan­</w:t>
      </w:r>
      <w:r>
        <w:rPr>
          <w:color w:val="3B3A3B"/>
          <w:spacing w:val="1"/>
          <w:w w:val="110"/>
        </w:rPr>
        <w:t> </w:t>
      </w:r>
      <w:r>
        <w:rPr>
          <w:color w:val="3B3A3B"/>
          <w:spacing w:val="-1"/>
          <w:w w:val="110"/>
        </w:rPr>
        <w:t>els and hears 192 cases a year.</w:t>
      </w:r>
      <w:r>
        <w:rPr>
          <w:rFonts w:ascii="Arial" w:hAnsi="Arial"/>
          <w:color w:val="3B3A3B"/>
          <w:spacing w:val="-1"/>
          <w:w w:val="110"/>
          <w:position w:val="10"/>
          <w:sz w:val="12"/>
        </w:rPr>
        <w:t>2 </w:t>
      </w:r>
      <w:r>
        <w:rPr>
          <w:color w:val="3B3A3B"/>
          <w:w w:val="110"/>
        </w:rPr>
        <w:t>The Federal Court Management Statistics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for the United States Court of Appeals revealed that in 2012, the average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circuit judge was responsible for deciding hundreds of cases and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writing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59 signed opinions and</w:t>
      </w:r>
      <w:r>
        <w:rPr>
          <w:color w:val="3B3A3B"/>
          <w:spacing w:val="1"/>
          <w:w w:val="110"/>
        </w:rPr>
        <w:t> </w:t>
      </w:r>
      <w:r>
        <w:rPr>
          <w:rFonts w:ascii="Arial" w:hAnsi="Arial"/>
          <w:i/>
          <w:color w:val="3B3A3B"/>
          <w:w w:val="110"/>
          <w:sz w:val="20"/>
        </w:rPr>
        <w:t>75  </w:t>
      </w:r>
      <w:r>
        <w:rPr>
          <w:color w:val="3B3A3B"/>
          <w:w w:val="110"/>
        </w:rPr>
        <w:t>unsigned  opinions</w:t>
      </w:r>
      <w:r>
        <w:rPr>
          <w:color w:val="575659"/>
          <w:w w:val="110"/>
        </w:rPr>
        <w:t>.</w:t>
      </w:r>
      <w:r>
        <w:rPr>
          <w:rFonts w:ascii="Arial" w:hAnsi="Arial"/>
          <w:color w:val="3B3A3B"/>
          <w:w w:val="110"/>
          <w:position w:val="9"/>
          <w:sz w:val="12"/>
        </w:rPr>
        <w:t>3 </w:t>
      </w:r>
      <w:r>
        <w:rPr>
          <w:rFonts w:ascii="Arial" w:hAnsi="Arial"/>
          <w:color w:val="3B3A3B"/>
          <w:spacing w:val="1"/>
          <w:w w:val="110"/>
          <w:position w:val="9"/>
          <w:sz w:val="12"/>
        </w:rPr>
        <w:t> </w:t>
      </w:r>
      <w:r>
        <w:rPr>
          <w:color w:val="3B3A3B"/>
          <w:w w:val="110"/>
        </w:rPr>
        <w:t>At the  state-court  level,</w:t>
      </w:r>
      <w:r>
        <w:rPr>
          <w:color w:val="3B3A3B"/>
          <w:spacing w:val="1"/>
          <w:w w:val="110"/>
        </w:rPr>
        <w:t> </w:t>
      </w:r>
      <w:r>
        <w:rPr>
          <w:color w:val="3B3A3B"/>
          <w:spacing w:val="-1"/>
          <w:w w:val="110"/>
        </w:rPr>
        <w:t>an intermediate appellate judge may write anywhere </w:t>
      </w:r>
      <w:r>
        <w:rPr>
          <w:color w:val="3B3A3B"/>
          <w:w w:val="110"/>
        </w:rPr>
        <w:t>from </w:t>
      </w:r>
      <w:r>
        <w:rPr>
          <w:rFonts w:ascii="Arial" w:hAnsi="Arial"/>
          <w:color w:val="3B3A3B"/>
          <w:w w:val="110"/>
          <w:sz w:val="21"/>
        </w:rPr>
        <w:t>SO </w:t>
      </w:r>
      <w:r>
        <w:rPr>
          <w:color w:val="3B3A3B"/>
          <w:w w:val="110"/>
        </w:rPr>
        <w:t>to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over 100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opinions each year.'</w:t>
      </w:r>
      <w:r>
        <w:rPr>
          <w:color w:val="3B3A3B"/>
          <w:w w:val="110"/>
          <w:vertAlign w:val="superscript"/>
        </w:rPr>
        <w:t>1</w:t>
      </w:r>
      <w:r>
        <w:rPr>
          <w:color w:val="3B3A3B"/>
          <w:w w:val="110"/>
          <w:vertAlign w:val="baseline"/>
        </w:rPr>
        <w:t> Presuming that these judges sit on three-judge panels</w:t>
      </w:r>
      <w:r>
        <w:rPr>
          <w:color w:val="3B3A3B"/>
          <w:spacing w:val="-61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and</w:t>
      </w:r>
      <w:r>
        <w:rPr>
          <w:color w:val="3B3A3B"/>
          <w:spacing w:val="1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that the opinion-writing duties are evenly spread, even</w:t>
      </w:r>
      <w:r>
        <w:rPr>
          <w:color w:val="3B3A3B"/>
          <w:spacing w:val="1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judges who</w:t>
      </w:r>
      <w:r>
        <w:rPr>
          <w:color w:val="3B3A3B"/>
          <w:spacing w:val="1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write</w:t>
      </w:r>
      <w:r>
        <w:rPr>
          <w:color w:val="3B3A3B"/>
          <w:spacing w:val="-13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fewer</w:t>
      </w:r>
      <w:r>
        <w:rPr>
          <w:color w:val="3B3A3B"/>
          <w:spacing w:val="-10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opinions</w:t>
      </w:r>
      <w:r>
        <w:rPr>
          <w:color w:val="3B3A3B"/>
          <w:spacing w:val="-2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may</w:t>
      </w:r>
      <w:r>
        <w:rPr>
          <w:color w:val="3B3A3B"/>
          <w:spacing w:val="-15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hear</w:t>
      </w:r>
      <w:r>
        <w:rPr>
          <w:color w:val="3B3A3B"/>
          <w:spacing w:val="-23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150</w:t>
      </w:r>
      <w:r>
        <w:rPr>
          <w:color w:val="3B3A3B"/>
          <w:spacing w:val="-1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to</w:t>
      </w:r>
      <w:r>
        <w:rPr>
          <w:color w:val="3B3A3B"/>
          <w:spacing w:val="6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300</w:t>
      </w:r>
      <w:r>
        <w:rPr>
          <w:color w:val="3B3A3B"/>
          <w:spacing w:val="-25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cases</w:t>
      </w:r>
      <w:r>
        <w:rPr>
          <w:color w:val="3B3A3B"/>
          <w:spacing w:val="-4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per</w:t>
      </w:r>
      <w:r>
        <w:rPr>
          <w:color w:val="3B3A3B"/>
          <w:spacing w:val="2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year.</w:t>
      </w:r>
    </w:p>
    <w:p>
      <w:pPr>
        <w:pStyle w:val="BodyText"/>
        <w:spacing w:line="232" w:lineRule="auto"/>
        <w:ind w:left="127" w:right="196" w:firstLine="377"/>
        <w:jc w:val="both"/>
      </w:pPr>
      <w:r>
        <w:rPr>
          <w:color w:val="3B3A3B"/>
          <w:w w:val="115"/>
        </w:rPr>
        <w:t>An associate justice in Maine's highest court noted that during her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0"/>
        </w:rPr>
        <w:t>first six months on the court, she and her colleagues heard 114 oral argu­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ments and conferenced 181 cases on  briefs alone, in addition to review­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ing 120 petitions for review of workers' compensation matters.</w:t>
      </w:r>
      <w:r>
        <w:rPr>
          <w:rFonts w:ascii="Arial" w:hAnsi="Arial"/>
          <w:color w:val="3B3A3B"/>
          <w:w w:val="110"/>
          <w:vertAlign w:val="superscript"/>
        </w:rPr>
        <w:t>5</w:t>
      </w:r>
      <w:r>
        <w:rPr>
          <w:rFonts w:ascii="Arial" w:hAnsi="Arial"/>
          <w:color w:val="3B3A3B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A former</w:t>
      </w:r>
      <w:r>
        <w:rPr>
          <w:color w:val="3B3A3B"/>
          <w:spacing w:val="1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Wisconsin Court of Appeals judge estimated that he read 24 </w:t>
      </w:r>
      <w:r>
        <w:rPr>
          <w:i/>
          <w:color w:val="3B3A3B"/>
          <w:w w:val="110"/>
          <w:sz w:val="25"/>
          <w:vertAlign w:val="baseline"/>
        </w:rPr>
        <w:t>sets </w:t>
      </w:r>
      <w:r>
        <w:rPr>
          <w:color w:val="3B3A3B"/>
          <w:w w:val="110"/>
          <w:vertAlign w:val="baseline"/>
        </w:rPr>
        <w:t>of briefs</w:t>
      </w:r>
      <w:r>
        <w:rPr>
          <w:color w:val="3B3A3B"/>
          <w:spacing w:val="1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per month, or almost 300 sets per year.</w:t>
      </w:r>
      <w:r>
        <w:rPr>
          <w:rFonts w:ascii="Arial" w:hAnsi="Arial"/>
          <w:color w:val="3B3A3B"/>
          <w:w w:val="110"/>
          <w:position w:val="10"/>
          <w:sz w:val="12"/>
          <w:vertAlign w:val="baseline"/>
        </w:rPr>
        <w:t>6 </w:t>
      </w:r>
      <w:r>
        <w:rPr>
          <w:color w:val="3B3A3B"/>
          <w:w w:val="110"/>
          <w:vertAlign w:val="baseline"/>
        </w:rPr>
        <w:t>Although cases submitted to lower</w:t>
      </w:r>
      <w:r>
        <w:rPr>
          <w:color w:val="3B3A3B"/>
          <w:spacing w:val="-61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courts may not generate the same number of documents as cases submit­</w:t>
      </w:r>
      <w:r>
        <w:rPr>
          <w:color w:val="3B3A3B"/>
          <w:spacing w:val="1"/>
          <w:w w:val="110"/>
          <w:vertAlign w:val="baseline"/>
        </w:rPr>
        <w:t> </w:t>
      </w:r>
      <w:r>
        <w:rPr>
          <w:color w:val="3B3A3B"/>
          <w:spacing w:val="-1"/>
          <w:w w:val="115"/>
          <w:vertAlign w:val="baseline"/>
        </w:rPr>
        <w:t>ted</w:t>
      </w:r>
      <w:r>
        <w:rPr>
          <w:color w:val="3B3A3B"/>
          <w:spacing w:val="-5"/>
          <w:w w:val="115"/>
          <w:vertAlign w:val="baseline"/>
        </w:rPr>
        <w:t> </w:t>
      </w:r>
      <w:r>
        <w:rPr>
          <w:color w:val="3B3A3B"/>
          <w:spacing w:val="-1"/>
          <w:w w:val="115"/>
          <w:vertAlign w:val="baseline"/>
        </w:rPr>
        <w:t>to</w:t>
      </w:r>
      <w:r>
        <w:rPr>
          <w:color w:val="3B3A3B"/>
          <w:spacing w:val="7"/>
          <w:w w:val="115"/>
          <w:vertAlign w:val="baseline"/>
        </w:rPr>
        <w:t> </w:t>
      </w:r>
      <w:r>
        <w:rPr>
          <w:color w:val="3B3A3B"/>
          <w:spacing w:val="-1"/>
          <w:w w:val="115"/>
          <w:vertAlign w:val="baseline"/>
        </w:rPr>
        <w:t>the</w:t>
      </w:r>
      <w:r>
        <w:rPr>
          <w:color w:val="3B3A3B"/>
          <w:spacing w:val="16"/>
          <w:w w:val="115"/>
          <w:vertAlign w:val="baseline"/>
        </w:rPr>
        <w:t> </w:t>
      </w:r>
      <w:r>
        <w:rPr>
          <w:color w:val="3B3A3B"/>
          <w:spacing w:val="-1"/>
          <w:w w:val="115"/>
          <w:vertAlign w:val="baseline"/>
        </w:rPr>
        <w:t>United</w:t>
      </w:r>
      <w:r>
        <w:rPr>
          <w:color w:val="3B3A3B"/>
          <w:spacing w:val="-12"/>
          <w:w w:val="115"/>
          <w:vertAlign w:val="baseline"/>
        </w:rPr>
        <w:t> </w:t>
      </w:r>
      <w:r>
        <w:rPr>
          <w:color w:val="3B3A3B"/>
          <w:spacing w:val="-1"/>
          <w:w w:val="115"/>
          <w:vertAlign w:val="baseline"/>
        </w:rPr>
        <w:t>States</w:t>
      </w:r>
      <w:r>
        <w:rPr>
          <w:color w:val="3B3A3B"/>
          <w:spacing w:val="-32"/>
          <w:w w:val="115"/>
          <w:vertAlign w:val="baseline"/>
        </w:rPr>
        <w:t> </w:t>
      </w:r>
      <w:r>
        <w:rPr>
          <w:color w:val="3B3A3B"/>
          <w:spacing w:val="-1"/>
          <w:w w:val="115"/>
          <w:vertAlign w:val="baseline"/>
        </w:rPr>
        <w:t>Supreme</w:t>
      </w:r>
      <w:r>
        <w:rPr>
          <w:color w:val="3B3A3B"/>
          <w:spacing w:val="-15"/>
          <w:w w:val="115"/>
          <w:vertAlign w:val="baseline"/>
        </w:rPr>
        <w:t> </w:t>
      </w:r>
      <w:r>
        <w:rPr>
          <w:color w:val="3B3A3B"/>
          <w:spacing w:val="-1"/>
          <w:w w:val="115"/>
          <w:vertAlign w:val="baseline"/>
        </w:rPr>
        <w:t>Court, the</w:t>
      </w:r>
      <w:r>
        <w:rPr>
          <w:color w:val="3B3A3B"/>
          <w:spacing w:val="9"/>
          <w:w w:val="115"/>
          <w:vertAlign w:val="baseline"/>
        </w:rPr>
        <w:t> </w:t>
      </w:r>
      <w:r>
        <w:rPr>
          <w:color w:val="3B3A3B"/>
          <w:spacing w:val="-1"/>
          <w:w w:val="115"/>
          <w:vertAlign w:val="baseline"/>
        </w:rPr>
        <w:t>number</w:t>
      </w:r>
      <w:r>
        <w:rPr>
          <w:color w:val="3B3A3B"/>
          <w:spacing w:val="-3"/>
          <w:w w:val="115"/>
          <w:vertAlign w:val="baseline"/>
        </w:rPr>
        <w:t> </w:t>
      </w:r>
      <w:r>
        <w:rPr>
          <w:color w:val="3B3A3B"/>
          <w:w w:val="115"/>
          <w:vertAlign w:val="baseline"/>
        </w:rPr>
        <w:t>is</w:t>
      </w:r>
      <w:r>
        <w:rPr>
          <w:color w:val="3B3A3B"/>
          <w:spacing w:val="-17"/>
          <w:w w:val="115"/>
          <w:vertAlign w:val="baseline"/>
        </w:rPr>
        <w:t> </w:t>
      </w:r>
      <w:r>
        <w:rPr>
          <w:color w:val="3B3A3B"/>
          <w:w w:val="115"/>
          <w:vertAlign w:val="baseline"/>
        </w:rPr>
        <w:t>still</w:t>
      </w:r>
      <w:r>
        <w:rPr>
          <w:color w:val="3B3A3B"/>
          <w:spacing w:val="-17"/>
          <w:w w:val="115"/>
          <w:vertAlign w:val="baseline"/>
        </w:rPr>
        <w:t> </w:t>
      </w:r>
      <w:r>
        <w:rPr>
          <w:color w:val="3B3A3B"/>
          <w:w w:val="115"/>
          <w:vertAlign w:val="baseline"/>
        </w:rPr>
        <w:t>daunting:</w:t>
      </w:r>
      <w:r>
        <w:rPr>
          <w:color w:val="3B3A3B"/>
          <w:spacing w:val="-27"/>
          <w:w w:val="115"/>
          <w:vertAlign w:val="baseline"/>
        </w:rPr>
        <w:t> </w:t>
      </w:r>
      <w:r>
        <w:rPr>
          <w:color w:val="3B3A3B"/>
          <w:w w:val="115"/>
          <w:vertAlign w:val="baseline"/>
        </w:rPr>
        <w:t>The</w:t>
      </w:r>
      <w:r>
        <w:rPr>
          <w:color w:val="3B3A3B"/>
          <w:spacing w:val="-64"/>
          <w:w w:val="115"/>
          <w:vertAlign w:val="baseline"/>
        </w:rPr>
        <w:t> </w:t>
      </w:r>
      <w:r>
        <w:rPr>
          <w:color w:val="3B3A3B"/>
          <w:w w:val="115"/>
          <w:vertAlign w:val="baseline"/>
        </w:rPr>
        <w:t>average</w:t>
      </w:r>
      <w:r>
        <w:rPr>
          <w:color w:val="3B3A3B"/>
          <w:spacing w:val="-12"/>
          <w:w w:val="115"/>
          <w:vertAlign w:val="baseline"/>
        </w:rPr>
        <w:t> </w:t>
      </w:r>
      <w:r>
        <w:rPr>
          <w:color w:val="3B3A3B"/>
          <w:w w:val="115"/>
          <w:vertAlign w:val="baseline"/>
        </w:rPr>
        <w:t>intermediate</w:t>
      </w:r>
      <w:r>
        <w:rPr>
          <w:color w:val="3B3A3B"/>
          <w:spacing w:val="-6"/>
          <w:w w:val="115"/>
          <w:vertAlign w:val="baseline"/>
        </w:rPr>
        <w:t> </w:t>
      </w:r>
      <w:r>
        <w:rPr>
          <w:color w:val="3B3A3B"/>
          <w:w w:val="115"/>
          <w:vertAlign w:val="baseline"/>
        </w:rPr>
        <w:t>court</w:t>
      </w:r>
      <w:r>
        <w:rPr>
          <w:color w:val="3B3A3B"/>
          <w:spacing w:val="9"/>
          <w:w w:val="115"/>
          <w:vertAlign w:val="baseline"/>
        </w:rPr>
        <w:t> </w:t>
      </w:r>
      <w:r>
        <w:rPr>
          <w:color w:val="3B3A3B"/>
          <w:w w:val="115"/>
          <w:vertAlign w:val="baseline"/>
        </w:rPr>
        <w:t>judge</w:t>
      </w:r>
      <w:r>
        <w:rPr>
          <w:color w:val="3B3A3B"/>
          <w:spacing w:val="-9"/>
          <w:w w:val="115"/>
          <w:vertAlign w:val="baseline"/>
        </w:rPr>
        <w:t> </w:t>
      </w:r>
      <w:r>
        <w:rPr>
          <w:color w:val="3B3A3B"/>
          <w:w w:val="115"/>
          <w:vertAlign w:val="baseline"/>
        </w:rPr>
        <w:t>will</w:t>
      </w:r>
      <w:r>
        <w:rPr>
          <w:color w:val="3B3A3B"/>
          <w:spacing w:val="-9"/>
          <w:w w:val="115"/>
          <w:vertAlign w:val="baseline"/>
        </w:rPr>
        <w:t> </w:t>
      </w:r>
      <w:r>
        <w:rPr>
          <w:color w:val="3B3A3B"/>
          <w:w w:val="115"/>
          <w:vertAlign w:val="baseline"/>
        </w:rPr>
        <w:t>read</w:t>
      </w:r>
      <w:r>
        <w:rPr>
          <w:color w:val="3B3A3B"/>
          <w:spacing w:val="-3"/>
          <w:w w:val="115"/>
          <w:vertAlign w:val="baseline"/>
        </w:rPr>
        <w:t> </w:t>
      </w:r>
      <w:r>
        <w:rPr>
          <w:color w:val="3B3A3B"/>
          <w:w w:val="115"/>
          <w:vertAlign w:val="baseline"/>
        </w:rPr>
        <w:t>600</w:t>
      </w:r>
      <w:r>
        <w:rPr>
          <w:color w:val="3B3A3B"/>
          <w:spacing w:val="-11"/>
          <w:w w:val="115"/>
          <w:vertAlign w:val="baseline"/>
        </w:rPr>
        <w:t> </w:t>
      </w:r>
      <w:r>
        <w:rPr>
          <w:color w:val="3B3A3B"/>
          <w:w w:val="115"/>
          <w:vertAlign w:val="baseline"/>
        </w:rPr>
        <w:t>briefs</w:t>
      </w:r>
      <w:r>
        <w:rPr>
          <w:color w:val="3B3A3B"/>
          <w:spacing w:val="-10"/>
          <w:w w:val="115"/>
          <w:vertAlign w:val="baseline"/>
        </w:rPr>
        <w:t> </w:t>
      </w:r>
      <w:r>
        <w:rPr>
          <w:color w:val="3B3A3B"/>
          <w:w w:val="115"/>
          <w:vertAlign w:val="baseline"/>
        </w:rPr>
        <w:t>per</w:t>
      </w:r>
      <w:r>
        <w:rPr>
          <w:color w:val="3B3A3B"/>
          <w:spacing w:val="3"/>
          <w:w w:val="115"/>
          <w:vertAlign w:val="baseline"/>
        </w:rPr>
        <w:t> </w:t>
      </w:r>
      <w:r>
        <w:rPr>
          <w:color w:val="3B3A3B"/>
          <w:w w:val="115"/>
          <w:vertAlign w:val="baseline"/>
        </w:rPr>
        <w:t>year,</w:t>
      </w:r>
      <w:r>
        <w:rPr>
          <w:color w:val="3B3A3B"/>
          <w:spacing w:val="-7"/>
          <w:w w:val="115"/>
          <w:vertAlign w:val="baseline"/>
        </w:rPr>
        <w:t> </w:t>
      </w:r>
      <w:r>
        <w:rPr>
          <w:color w:val="3B3A3B"/>
          <w:w w:val="115"/>
          <w:vertAlign w:val="baseline"/>
        </w:rPr>
        <w:t>while</w:t>
      </w:r>
      <w:r>
        <w:rPr>
          <w:color w:val="3B3A3B"/>
          <w:spacing w:val="-12"/>
          <w:w w:val="115"/>
          <w:vertAlign w:val="baseline"/>
        </w:rPr>
        <w:t> </w:t>
      </w:r>
      <w:r>
        <w:rPr>
          <w:color w:val="3B3A3B"/>
          <w:w w:val="115"/>
          <w:vertAlign w:val="baseline"/>
        </w:rPr>
        <w:t>the</w:t>
      </w:r>
      <w:r>
        <w:rPr>
          <w:color w:val="3B3A3B"/>
          <w:spacing w:val="-63"/>
          <w:w w:val="115"/>
          <w:vertAlign w:val="baseline"/>
        </w:rPr>
        <w:t> </w:t>
      </w:r>
      <w:r>
        <w:rPr>
          <w:color w:val="3B3A3B"/>
          <w:w w:val="110"/>
          <w:vertAlign w:val="baseline"/>
        </w:rPr>
        <w:t>average</w:t>
      </w:r>
      <w:r>
        <w:rPr>
          <w:color w:val="3B3A3B"/>
          <w:spacing w:val="6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federal</w:t>
      </w:r>
      <w:r>
        <w:rPr>
          <w:color w:val="3B3A3B"/>
          <w:spacing w:val="-15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circuit</w:t>
      </w:r>
      <w:r>
        <w:rPr>
          <w:color w:val="3B3A3B"/>
          <w:spacing w:val="28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judge</w:t>
      </w:r>
      <w:r>
        <w:rPr>
          <w:color w:val="3B3A3B"/>
          <w:spacing w:val="-3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may</w:t>
      </w:r>
      <w:r>
        <w:rPr>
          <w:color w:val="3B3A3B"/>
          <w:spacing w:val="34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read</w:t>
      </w:r>
      <w:r>
        <w:rPr>
          <w:color w:val="3B3A3B"/>
          <w:spacing w:val="-4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as</w:t>
      </w:r>
      <w:r>
        <w:rPr>
          <w:color w:val="3B3A3B"/>
          <w:spacing w:val="-8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many</w:t>
      </w:r>
      <w:r>
        <w:rPr>
          <w:color w:val="3B3A3B"/>
          <w:spacing w:val="-12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as</w:t>
      </w:r>
      <w:r>
        <w:rPr>
          <w:color w:val="3B3A3B"/>
          <w:spacing w:val="-19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900</w:t>
      </w:r>
      <w:r>
        <w:rPr>
          <w:color w:val="3B3A3B"/>
          <w:spacing w:val="-15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briefs</w:t>
      </w:r>
      <w:r>
        <w:rPr>
          <w:color w:val="3B3A3B"/>
          <w:spacing w:val="-5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per</w:t>
      </w:r>
      <w:r>
        <w:rPr>
          <w:color w:val="3B3A3B"/>
          <w:spacing w:val="-3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year.</w:t>
      </w:r>
    </w:p>
    <w:p>
      <w:pPr>
        <w:pStyle w:val="BodyText"/>
        <w:spacing w:line="232" w:lineRule="auto"/>
        <w:ind w:left="122" w:right="190" w:firstLine="381"/>
        <w:jc w:val="both"/>
      </w:pPr>
      <w:r>
        <w:rPr>
          <w:color w:val="3B3A3B"/>
          <w:w w:val="110"/>
        </w:rPr>
        <w:t>Writers of motion briefs should not presume that their trial judges have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15"/>
        </w:rPr>
        <w:t>ample time to read, either. One trial judge observed that, while hearing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0"/>
        </w:rPr>
        <w:t>and</w:t>
      </w:r>
      <w:r>
        <w:rPr>
          <w:color w:val="3B3A3B"/>
          <w:spacing w:val="18"/>
          <w:w w:val="110"/>
        </w:rPr>
        <w:t> </w:t>
      </w:r>
      <w:r>
        <w:rPr>
          <w:color w:val="3B3A3B"/>
          <w:w w:val="110"/>
        </w:rPr>
        <w:t>deciding</w:t>
      </w:r>
      <w:r>
        <w:rPr>
          <w:color w:val="3B3A3B"/>
          <w:spacing w:val="19"/>
          <w:w w:val="110"/>
        </w:rPr>
        <w:t> </w:t>
      </w:r>
      <w:r>
        <w:rPr>
          <w:color w:val="3B3A3B"/>
          <w:w w:val="110"/>
        </w:rPr>
        <w:t>motions</w:t>
      </w:r>
      <w:r>
        <w:rPr>
          <w:color w:val="3B3A3B"/>
          <w:spacing w:val="25"/>
          <w:w w:val="110"/>
        </w:rPr>
        <w:t> </w:t>
      </w:r>
      <w:r>
        <w:rPr>
          <w:color w:val="3B3A3B"/>
          <w:w w:val="110"/>
        </w:rPr>
        <w:t>is</w:t>
      </w:r>
      <w:r>
        <w:rPr>
          <w:color w:val="3B3A3B"/>
          <w:spacing w:val="2"/>
          <w:w w:val="110"/>
        </w:rPr>
        <w:t> </w:t>
      </w:r>
      <w:r>
        <w:rPr>
          <w:color w:val="3B3A3B"/>
          <w:w w:val="110"/>
        </w:rPr>
        <w:t>"but</w:t>
      </w:r>
      <w:r>
        <w:rPr>
          <w:color w:val="3B3A3B"/>
          <w:spacing w:val="2"/>
          <w:w w:val="110"/>
        </w:rPr>
        <w:t> </w:t>
      </w:r>
      <w:r>
        <w:rPr>
          <w:color w:val="3B3A3B"/>
          <w:w w:val="110"/>
        </w:rPr>
        <w:t>a</w:t>
      </w:r>
      <w:r>
        <w:rPr>
          <w:color w:val="3B3A3B"/>
          <w:spacing w:val="2"/>
          <w:w w:val="110"/>
        </w:rPr>
        <w:t> </w:t>
      </w:r>
      <w:r>
        <w:rPr>
          <w:color w:val="3B3A3B"/>
          <w:w w:val="110"/>
        </w:rPr>
        <w:t>small</w:t>
      </w:r>
      <w:r>
        <w:rPr>
          <w:color w:val="3B3A3B"/>
          <w:spacing w:val="16"/>
          <w:w w:val="110"/>
        </w:rPr>
        <w:t> </w:t>
      </w:r>
      <w:r>
        <w:rPr>
          <w:color w:val="3B3A3B"/>
          <w:w w:val="110"/>
        </w:rPr>
        <w:t>part"</w:t>
      </w:r>
      <w:r>
        <w:rPr>
          <w:color w:val="3B3A3B"/>
          <w:spacing w:val="-6"/>
          <w:w w:val="110"/>
        </w:rPr>
        <w:t> </w:t>
      </w:r>
      <w:r>
        <w:rPr>
          <w:color w:val="3B3A3B"/>
          <w:w w:val="110"/>
        </w:rPr>
        <w:t>of</w:t>
      </w:r>
      <w:r>
        <w:rPr>
          <w:color w:val="3B3A3B"/>
          <w:spacing w:val="24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51"/>
          <w:w w:val="110"/>
        </w:rPr>
        <w:t> </w:t>
      </w:r>
      <w:r>
        <w:rPr>
          <w:color w:val="3B3A3B"/>
          <w:w w:val="110"/>
        </w:rPr>
        <w:t>work</w:t>
      </w:r>
      <w:r>
        <w:rPr>
          <w:color w:val="3B3A3B"/>
          <w:spacing w:val="6"/>
          <w:w w:val="110"/>
        </w:rPr>
        <w:t> </w:t>
      </w:r>
      <w:r>
        <w:rPr>
          <w:color w:val="3B3A3B"/>
          <w:w w:val="110"/>
        </w:rPr>
        <w:t>of</w:t>
      </w:r>
      <w:r>
        <w:rPr>
          <w:color w:val="3B3A3B"/>
          <w:spacing w:val="18"/>
          <w:w w:val="110"/>
        </w:rPr>
        <w:t> </w:t>
      </w:r>
      <w:r>
        <w:rPr>
          <w:color w:val="3B3A3B"/>
          <w:w w:val="110"/>
        </w:rPr>
        <w:t>a</w:t>
      </w:r>
      <w:r>
        <w:rPr>
          <w:color w:val="3B3A3B"/>
          <w:spacing w:val="37"/>
          <w:w w:val="110"/>
        </w:rPr>
        <w:t> </w:t>
      </w:r>
      <w:r>
        <w:rPr>
          <w:color w:val="3B3A3B"/>
          <w:w w:val="110"/>
        </w:rPr>
        <w:t>trial</w:t>
      </w:r>
      <w:r>
        <w:rPr>
          <w:color w:val="3B3A3B"/>
          <w:spacing w:val="40"/>
          <w:w w:val="110"/>
        </w:rPr>
        <w:t> </w:t>
      </w:r>
      <w:r>
        <w:rPr>
          <w:color w:val="3B3A3B"/>
          <w:w w:val="110"/>
        </w:rPr>
        <w:t>judge,</w:t>
      </w:r>
      <w:r>
        <w:rPr>
          <w:color w:val="3B3A3B"/>
          <w:spacing w:val="16"/>
          <w:w w:val="110"/>
        </w:rPr>
        <w:t> </w:t>
      </w:r>
      <w:r>
        <w:rPr>
          <w:color w:val="3B3A3B"/>
          <w:w w:val="110"/>
        </w:rPr>
        <w:t>it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5"/>
        </w:rPr>
      </w:pPr>
    </w:p>
    <w:p>
      <w:pPr>
        <w:spacing w:line="205" w:lineRule="exact" w:before="0"/>
        <w:ind w:left="503" w:right="0" w:firstLine="0"/>
        <w:jc w:val="both"/>
        <w:rPr>
          <w:sz w:val="18"/>
        </w:rPr>
      </w:pPr>
      <w:r>
        <w:rPr>
          <w:rFonts w:ascii="Arial"/>
          <w:color w:val="3B3A3B"/>
          <w:position w:val="6"/>
          <w:sz w:val="11"/>
        </w:rPr>
        <w:t>2</w:t>
      </w:r>
      <w:r>
        <w:rPr>
          <w:color w:val="3B3A3B"/>
          <w:sz w:val="18"/>
        </w:rPr>
        <w:t>Boyce</w:t>
      </w:r>
      <w:r>
        <w:rPr>
          <w:color w:val="3B3A3B"/>
          <w:spacing w:val="22"/>
          <w:sz w:val="18"/>
        </w:rPr>
        <w:t> </w:t>
      </w:r>
      <w:r>
        <w:rPr>
          <w:rFonts w:ascii="Arial"/>
          <w:color w:val="3B3A3B"/>
          <w:sz w:val="17"/>
        </w:rPr>
        <w:t>F.</w:t>
      </w:r>
      <w:r>
        <w:rPr>
          <w:rFonts w:ascii="Arial"/>
          <w:color w:val="3B3A3B"/>
          <w:spacing w:val="-15"/>
          <w:sz w:val="17"/>
        </w:rPr>
        <w:t> </w:t>
      </w:r>
      <w:r>
        <w:rPr>
          <w:color w:val="3B3A3B"/>
          <w:sz w:val="18"/>
        </w:rPr>
        <w:t>Martin,</w:t>
      </w:r>
      <w:r>
        <w:rPr>
          <w:color w:val="3B3A3B"/>
          <w:spacing w:val="-14"/>
          <w:sz w:val="18"/>
        </w:rPr>
        <w:t> </w:t>
      </w:r>
      <w:r>
        <w:rPr>
          <w:color w:val="3B3A3B"/>
          <w:sz w:val="18"/>
        </w:rPr>
        <w:t>Jr</w:t>
      </w:r>
      <w:r>
        <w:rPr>
          <w:color w:val="575659"/>
          <w:sz w:val="18"/>
        </w:rPr>
        <w:t>.,</w:t>
      </w:r>
      <w:r>
        <w:rPr>
          <w:color w:val="575659"/>
          <w:spacing w:val="17"/>
          <w:sz w:val="18"/>
        </w:rPr>
        <w:t> </w:t>
      </w:r>
      <w:r>
        <w:rPr>
          <w:i/>
          <w:color w:val="3B3A3B"/>
          <w:sz w:val="18"/>
        </w:rPr>
        <w:t>In</w:t>
      </w:r>
      <w:r>
        <w:rPr>
          <w:i/>
          <w:color w:val="3B3A3B"/>
          <w:spacing w:val="8"/>
          <w:sz w:val="18"/>
        </w:rPr>
        <w:t> </w:t>
      </w:r>
      <w:r>
        <w:rPr>
          <w:i/>
          <w:color w:val="3B3A3B"/>
          <w:sz w:val="18"/>
        </w:rPr>
        <w:t>Defense</w:t>
      </w:r>
      <w:r>
        <w:rPr>
          <w:i/>
          <w:color w:val="3B3A3B"/>
          <w:spacing w:val="-2"/>
          <w:sz w:val="18"/>
        </w:rPr>
        <w:t> </w:t>
      </w:r>
      <w:r>
        <w:rPr>
          <w:i/>
          <w:color w:val="3B3A3B"/>
          <w:sz w:val="18"/>
        </w:rPr>
        <w:t>of</w:t>
      </w:r>
      <w:r>
        <w:rPr>
          <w:i/>
          <w:color w:val="3B3A3B"/>
          <w:spacing w:val="-5"/>
          <w:sz w:val="18"/>
        </w:rPr>
        <w:t> </w:t>
      </w:r>
      <w:r>
        <w:rPr>
          <w:i/>
          <w:color w:val="3B3A3B"/>
          <w:sz w:val="18"/>
        </w:rPr>
        <w:t>Ur1publislred</w:t>
      </w:r>
      <w:r>
        <w:rPr>
          <w:i/>
          <w:color w:val="3B3A3B"/>
          <w:spacing w:val="20"/>
          <w:sz w:val="18"/>
        </w:rPr>
        <w:t> </w:t>
      </w:r>
      <w:r>
        <w:rPr>
          <w:i/>
          <w:color w:val="3B3A3B"/>
          <w:sz w:val="18"/>
        </w:rPr>
        <w:t>Opinions,</w:t>
      </w:r>
      <w:r>
        <w:rPr>
          <w:i/>
          <w:color w:val="3B3A3B"/>
          <w:spacing w:val="-9"/>
          <w:sz w:val="18"/>
        </w:rPr>
        <w:t> </w:t>
      </w:r>
      <w:r>
        <w:rPr>
          <w:color w:val="3B3A3B"/>
          <w:sz w:val="18"/>
        </w:rPr>
        <w:t>60</w:t>
      </w:r>
      <w:r>
        <w:rPr>
          <w:color w:val="3B3A3B"/>
          <w:spacing w:val="25"/>
          <w:sz w:val="18"/>
        </w:rPr>
        <w:t> </w:t>
      </w:r>
      <w:r>
        <w:rPr>
          <w:color w:val="3B3A3B"/>
          <w:sz w:val="18"/>
        </w:rPr>
        <w:t>Ohio</w:t>
      </w:r>
      <w:r>
        <w:rPr>
          <w:color w:val="3B3A3B"/>
          <w:spacing w:val="-13"/>
          <w:sz w:val="18"/>
        </w:rPr>
        <w:t> </w:t>
      </w:r>
      <w:r>
        <w:rPr>
          <w:color w:val="3B3A3B"/>
          <w:sz w:val="18"/>
        </w:rPr>
        <w:t>St.</w:t>
      </w:r>
      <w:r>
        <w:rPr>
          <w:color w:val="3B3A3B"/>
          <w:spacing w:val="-7"/>
          <w:sz w:val="18"/>
        </w:rPr>
        <w:t> </w:t>
      </w:r>
      <w:r>
        <w:rPr>
          <w:color w:val="3B3A3B"/>
          <w:sz w:val="18"/>
        </w:rPr>
        <w:t>L.J.</w:t>
      </w:r>
      <w:r>
        <w:rPr>
          <w:color w:val="3B3A3B"/>
          <w:spacing w:val="6"/>
          <w:sz w:val="18"/>
        </w:rPr>
        <w:t> </w:t>
      </w:r>
      <w:r>
        <w:rPr>
          <w:color w:val="3B3A3B"/>
          <w:sz w:val="18"/>
        </w:rPr>
        <w:t>177</w:t>
      </w:r>
      <w:r>
        <w:rPr>
          <w:color w:val="575659"/>
          <w:sz w:val="18"/>
        </w:rPr>
        <w:t>,</w:t>
      </w:r>
      <w:r>
        <w:rPr>
          <w:color w:val="575659"/>
          <w:spacing w:val="20"/>
          <w:sz w:val="18"/>
        </w:rPr>
        <w:t> </w:t>
      </w:r>
      <w:r>
        <w:rPr>
          <w:color w:val="3B3A3B"/>
          <w:sz w:val="18"/>
        </w:rPr>
        <w:t>182</w:t>
      </w:r>
      <w:r>
        <w:rPr>
          <w:color w:val="3B3A3B"/>
          <w:spacing w:val="13"/>
          <w:sz w:val="18"/>
        </w:rPr>
        <w:t> </w:t>
      </w:r>
      <w:r>
        <w:rPr>
          <w:color w:val="3B3A3B"/>
          <w:sz w:val="18"/>
        </w:rPr>
        <w:t>(1999)</w:t>
      </w:r>
      <w:r>
        <w:rPr>
          <w:color w:val="575659"/>
          <w:sz w:val="18"/>
        </w:rPr>
        <w:t>.</w:t>
      </w:r>
    </w:p>
    <w:p>
      <w:pPr>
        <w:spacing w:line="228" w:lineRule="auto" w:before="7"/>
        <w:ind w:left="123" w:right="156" w:firstLine="378"/>
        <w:jc w:val="both"/>
        <w:rPr>
          <w:sz w:val="18"/>
        </w:rPr>
      </w:pPr>
      <w:r>
        <w:rPr>
          <w:rFonts w:ascii="Arial"/>
          <w:color w:val="3B3A3B"/>
          <w:spacing w:val="-1"/>
          <w:w w:val="110"/>
          <w:position w:val="6"/>
          <w:sz w:val="10"/>
        </w:rPr>
        <w:t>3 </w:t>
      </w:r>
      <w:r>
        <w:rPr>
          <w:color w:val="3B3A3B"/>
          <w:spacing w:val="-1"/>
          <w:w w:val="110"/>
          <w:sz w:val="18"/>
        </w:rPr>
        <w:t>Fed</w:t>
      </w:r>
      <w:r>
        <w:rPr>
          <w:color w:val="575659"/>
          <w:spacing w:val="-1"/>
          <w:w w:val="110"/>
          <w:sz w:val="18"/>
        </w:rPr>
        <w:t>e</w:t>
      </w:r>
      <w:r>
        <w:rPr>
          <w:color w:val="3B3A3B"/>
          <w:spacing w:val="-1"/>
          <w:w w:val="110"/>
          <w:sz w:val="18"/>
        </w:rPr>
        <w:t>ral </w:t>
      </w:r>
      <w:r>
        <w:rPr>
          <w:color w:val="3B3A3B"/>
          <w:w w:val="110"/>
          <w:sz w:val="18"/>
        </w:rPr>
        <w:t>Court Management Statistics, </w:t>
      </w:r>
      <w:hyperlink r:id="rId28">
        <w:r>
          <w:rPr>
            <w:color w:val="3B3A3B"/>
            <w:w w:val="110"/>
            <w:sz w:val="18"/>
          </w:rPr>
          <w:t>http://www</w:t>
        </w:r>
        <w:r>
          <w:rPr>
            <w:color w:val="575659"/>
            <w:w w:val="110"/>
            <w:sz w:val="18"/>
          </w:rPr>
          <w:t>.</w:t>
        </w:r>
        <w:r>
          <w:rPr>
            <w:color w:val="3B3A3B"/>
            <w:w w:val="110"/>
            <w:sz w:val="18"/>
          </w:rPr>
          <w:t>uscourts.gov/uscourts</w:t>
        </w:r>
        <w:r>
          <w:rPr>
            <w:color w:val="575659"/>
            <w:w w:val="110"/>
            <w:sz w:val="18"/>
          </w:rPr>
          <w:t>/</w:t>
        </w:r>
        <w:r>
          <w:rPr>
            <w:color w:val="3B3A3B"/>
            <w:w w:val="110"/>
            <w:sz w:val="18"/>
          </w:rPr>
          <w:t>Statlstlcs/Federal</w:t>
        </w:r>
      </w:hyperlink>
      <w:r>
        <w:rPr>
          <w:color w:val="3B3A3B"/>
          <w:spacing w:val="1"/>
          <w:w w:val="110"/>
          <w:sz w:val="18"/>
        </w:rPr>
        <w:t> </w:t>
      </w:r>
      <w:r>
        <w:rPr>
          <w:color w:val="3B3A3B"/>
          <w:w w:val="110"/>
          <w:sz w:val="18"/>
        </w:rPr>
        <w:t>CourtManagemen</w:t>
      </w:r>
      <w:r>
        <w:rPr>
          <w:color w:val="575659"/>
          <w:w w:val="110"/>
          <w:sz w:val="18"/>
        </w:rPr>
        <w:t>t</w:t>
      </w:r>
      <w:r>
        <w:rPr>
          <w:color w:val="3B3A3B"/>
          <w:w w:val="110"/>
          <w:sz w:val="18"/>
        </w:rPr>
        <w:t>Statlstlcs/2013/appeals-fcms-summary-pages-march-2013</w:t>
      </w:r>
      <w:r>
        <w:rPr>
          <w:color w:val="575659"/>
          <w:w w:val="110"/>
          <w:sz w:val="18"/>
        </w:rPr>
        <w:t>.</w:t>
      </w:r>
      <w:r>
        <w:rPr>
          <w:color w:val="3B3A3B"/>
          <w:w w:val="110"/>
          <w:sz w:val="18"/>
        </w:rPr>
        <w:t>pdf.</w:t>
      </w:r>
      <w:r>
        <w:rPr>
          <w:color w:val="3B3A3B"/>
          <w:spacing w:val="1"/>
          <w:w w:val="110"/>
          <w:sz w:val="18"/>
        </w:rPr>
        <w:t> </w:t>
      </w:r>
      <w:r>
        <w:rPr>
          <w:color w:val="3B3A3B"/>
          <w:w w:val="110"/>
          <w:sz w:val="18"/>
        </w:rPr>
        <w:t>Note that the</w:t>
      </w:r>
      <w:r>
        <w:rPr>
          <w:color w:val="3B3A3B"/>
          <w:spacing w:val="1"/>
          <w:w w:val="110"/>
          <w:sz w:val="18"/>
        </w:rPr>
        <w:t> </w:t>
      </w:r>
      <w:r>
        <w:rPr>
          <w:color w:val="3B3A3B"/>
          <w:w w:val="110"/>
          <w:sz w:val="18"/>
        </w:rPr>
        <w:t>median</w:t>
      </w:r>
      <w:r>
        <w:rPr>
          <w:color w:val="3B3A3B"/>
          <w:spacing w:val="24"/>
          <w:w w:val="110"/>
          <w:sz w:val="18"/>
        </w:rPr>
        <w:t> </w:t>
      </w:r>
      <w:r>
        <w:rPr>
          <w:color w:val="3B3A3B"/>
          <w:w w:val="110"/>
          <w:sz w:val="18"/>
        </w:rPr>
        <w:t>number</w:t>
      </w:r>
      <w:r>
        <w:rPr>
          <w:color w:val="3B3A3B"/>
          <w:spacing w:val="11"/>
          <w:w w:val="110"/>
          <w:sz w:val="18"/>
        </w:rPr>
        <w:t> </w:t>
      </w:r>
      <w:r>
        <w:rPr>
          <w:color w:val="3B3A3B"/>
          <w:w w:val="110"/>
          <w:sz w:val="18"/>
        </w:rPr>
        <w:t>of</w:t>
      </w:r>
      <w:r>
        <w:rPr>
          <w:color w:val="3B3A3B"/>
          <w:spacing w:val="19"/>
          <w:w w:val="110"/>
          <w:sz w:val="18"/>
        </w:rPr>
        <w:t> </w:t>
      </w:r>
      <w:r>
        <w:rPr>
          <w:color w:val="3B3A3B"/>
          <w:w w:val="110"/>
          <w:sz w:val="18"/>
        </w:rPr>
        <w:t>signed</w:t>
      </w:r>
      <w:r>
        <w:rPr>
          <w:color w:val="3B3A3B"/>
          <w:spacing w:val="21"/>
          <w:w w:val="110"/>
          <w:sz w:val="18"/>
        </w:rPr>
        <w:t> </w:t>
      </w:r>
      <w:r>
        <w:rPr>
          <w:color w:val="3B3A3B"/>
          <w:w w:val="110"/>
          <w:sz w:val="18"/>
        </w:rPr>
        <w:t>opinions</w:t>
      </w:r>
      <w:r>
        <w:rPr>
          <w:color w:val="3B3A3B"/>
          <w:spacing w:val="6"/>
          <w:w w:val="110"/>
          <w:sz w:val="18"/>
        </w:rPr>
        <w:t> </w:t>
      </w:r>
      <w:r>
        <w:rPr>
          <w:color w:val="3B3A3B"/>
          <w:w w:val="110"/>
          <w:sz w:val="18"/>
        </w:rPr>
        <w:t>was</w:t>
      </w:r>
      <w:r>
        <w:rPr>
          <w:color w:val="3B3A3B"/>
          <w:spacing w:val="-20"/>
          <w:w w:val="110"/>
          <w:sz w:val="18"/>
        </w:rPr>
        <w:t> </w:t>
      </w:r>
      <w:r>
        <w:rPr>
          <w:color w:val="3B3A3B"/>
          <w:w w:val="110"/>
          <w:sz w:val="18"/>
        </w:rPr>
        <w:t>42.3,</w:t>
      </w:r>
      <w:r>
        <w:rPr>
          <w:color w:val="3B3A3B"/>
          <w:spacing w:val="8"/>
          <w:w w:val="110"/>
          <w:sz w:val="18"/>
        </w:rPr>
        <w:t> </w:t>
      </w:r>
      <w:r>
        <w:rPr>
          <w:color w:val="3B3A3B"/>
          <w:w w:val="110"/>
          <w:sz w:val="18"/>
        </w:rPr>
        <w:t>with</w:t>
      </w:r>
      <w:r>
        <w:rPr>
          <w:color w:val="3B3A3B"/>
          <w:spacing w:val="6"/>
          <w:w w:val="110"/>
          <w:sz w:val="18"/>
        </w:rPr>
        <w:t> </w:t>
      </w:r>
      <w:r>
        <w:rPr>
          <w:color w:val="3B3A3B"/>
          <w:w w:val="110"/>
          <w:sz w:val="18"/>
        </w:rPr>
        <w:t>the</w:t>
      </w:r>
      <w:r>
        <w:rPr>
          <w:color w:val="3B3A3B"/>
          <w:spacing w:val="25"/>
          <w:w w:val="110"/>
          <w:sz w:val="18"/>
        </w:rPr>
        <w:t> </w:t>
      </w:r>
      <w:r>
        <w:rPr>
          <w:color w:val="3B3A3B"/>
          <w:w w:val="110"/>
          <w:sz w:val="18"/>
        </w:rPr>
        <w:t>median</w:t>
      </w:r>
      <w:r>
        <w:rPr>
          <w:color w:val="3B3A3B"/>
          <w:spacing w:val="24"/>
          <w:w w:val="110"/>
          <w:sz w:val="18"/>
        </w:rPr>
        <w:t> </w:t>
      </w:r>
      <w:r>
        <w:rPr>
          <w:color w:val="3B3A3B"/>
          <w:w w:val="110"/>
          <w:sz w:val="18"/>
        </w:rPr>
        <w:t>number</w:t>
      </w:r>
      <w:r>
        <w:rPr>
          <w:color w:val="3B3A3B"/>
          <w:spacing w:val="11"/>
          <w:w w:val="110"/>
          <w:sz w:val="18"/>
        </w:rPr>
        <w:t> </w:t>
      </w:r>
      <w:r>
        <w:rPr>
          <w:color w:val="3B3A3B"/>
          <w:w w:val="110"/>
          <w:sz w:val="18"/>
        </w:rPr>
        <w:t>of</w:t>
      </w:r>
      <w:r>
        <w:rPr>
          <w:color w:val="3B3A3B"/>
          <w:spacing w:val="16"/>
          <w:w w:val="110"/>
          <w:sz w:val="18"/>
        </w:rPr>
        <w:t> </w:t>
      </w:r>
      <w:r>
        <w:rPr>
          <w:color w:val="3B3A3B"/>
          <w:w w:val="110"/>
          <w:sz w:val="18"/>
        </w:rPr>
        <w:t>unsigned</w:t>
      </w:r>
      <w:r>
        <w:rPr>
          <w:color w:val="3B3A3B"/>
          <w:spacing w:val="12"/>
          <w:w w:val="110"/>
          <w:sz w:val="18"/>
        </w:rPr>
        <w:t> </w:t>
      </w:r>
      <w:r>
        <w:rPr>
          <w:color w:val="3B3A3B"/>
          <w:w w:val="110"/>
          <w:sz w:val="18"/>
        </w:rPr>
        <w:t>opinions</w:t>
      </w:r>
      <w:r>
        <w:rPr>
          <w:color w:val="3B3A3B"/>
          <w:spacing w:val="-5"/>
          <w:w w:val="110"/>
          <w:sz w:val="18"/>
        </w:rPr>
        <w:t> </w:t>
      </w:r>
      <w:r>
        <w:rPr>
          <w:color w:val="3B3A3B"/>
          <w:w w:val="110"/>
          <w:sz w:val="18"/>
        </w:rPr>
        <w:t>at</w:t>
      </w:r>
    </w:p>
    <w:p>
      <w:pPr>
        <w:spacing w:line="232" w:lineRule="auto" w:before="0"/>
        <w:ind w:left="124" w:right="146" w:hanging="5"/>
        <w:jc w:val="both"/>
        <w:rPr>
          <w:sz w:val="18"/>
        </w:rPr>
      </w:pPr>
      <w:r>
        <w:rPr>
          <w:color w:val="3B3A3B"/>
          <w:w w:val="105"/>
          <w:sz w:val="18"/>
        </w:rPr>
        <w:t>82.S. </w:t>
      </w:r>
      <w:r>
        <w:rPr>
          <w:i/>
          <w:color w:val="3B3A3B"/>
          <w:w w:val="105"/>
          <w:sz w:val="18"/>
        </w:rPr>
        <w:t>Seealso </w:t>
      </w:r>
      <w:r>
        <w:rPr>
          <w:color w:val="3B3A3B"/>
          <w:w w:val="105"/>
          <w:sz w:val="18"/>
        </w:rPr>
        <w:t>Honorable Ruggero</w:t>
      </w:r>
      <w:r>
        <w:rPr>
          <w:color w:val="3B3A3B"/>
          <w:w w:val="105"/>
          <w:sz w:val="19"/>
        </w:rPr>
        <w:t>J. </w:t>
      </w:r>
      <w:r>
        <w:rPr>
          <w:color w:val="3B3A3B"/>
          <w:w w:val="105"/>
          <w:sz w:val="18"/>
        </w:rPr>
        <w:t>Aldlsert, Meehan Rasch </w:t>
      </w:r>
      <w:r>
        <w:rPr>
          <w:color w:val="3B3A3B"/>
          <w:w w:val="105"/>
          <w:sz w:val="17"/>
        </w:rPr>
        <w:t>&amp; </w:t>
      </w:r>
      <w:r>
        <w:rPr>
          <w:color w:val="3B3A3B"/>
          <w:w w:val="105"/>
          <w:sz w:val="18"/>
        </w:rPr>
        <w:t>Matthew P</w:t>
      </w:r>
      <w:r>
        <w:rPr>
          <w:color w:val="575659"/>
          <w:w w:val="105"/>
          <w:sz w:val="18"/>
        </w:rPr>
        <w:t>. </w:t>
      </w:r>
      <w:r>
        <w:rPr>
          <w:color w:val="3B3A3B"/>
          <w:w w:val="105"/>
          <w:sz w:val="18"/>
        </w:rPr>
        <w:t>Bartlett, </w:t>
      </w:r>
      <w:r>
        <w:rPr>
          <w:i/>
          <w:color w:val="3B3A3B"/>
          <w:w w:val="105"/>
          <w:sz w:val="18"/>
        </w:rPr>
        <w:t>Opinion Writing</w:t>
      </w:r>
      <w:r>
        <w:rPr>
          <w:i/>
          <w:color w:val="3B3A3B"/>
          <w:spacing w:val="1"/>
          <w:w w:val="105"/>
          <w:sz w:val="18"/>
        </w:rPr>
        <w:t> </w:t>
      </w:r>
      <w:r>
        <w:rPr>
          <w:i/>
          <w:color w:val="3B3A3B"/>
          <w:spacing w:val="-1"/>
          <w:w w:val="110"/>
          <w:sz w:val="18"/>
        </w:rPr>
        <w:t>and Opinion Readers, </w:t>
      </w:r>
      <w:r>
        <w:rPr>
          <w:color w:val="3B3A3B"/>
          <w:spacing w:val="-1"/>
          <w:w w:val="110"/>
          <w:sz w:val="18"/>
        </w:rPr>
        <w:t>31 Cardozo </w:t>
      </w:r>
      <w:r>
        <w:rPr>
          <w:rFonts w:ascii="Arial"/>
          <w:color w:val="3B3A3B"/>
          <w:spacing w:val="-1"/>
          <w:w w:val="110"/>
          <w:sz w:val="17"/>
        </w:rPr>
        <w:t>L. </w:t>
      </w:r>
      <w:r>
        <w:rPr>
          <w:color w:val="3B3A3B"/>
          <w:spacing w:val="-1"/>
          <w:w w:val="110"/>
          <w:sz w:val="18"/>
        </w:rPr>
        <w:t>Rev. </w:t>
      </w:r>
      <w:r>
        <w:rPr>
          <w:color w:val="3B3A3B"/>
          <w:w w:val="110"/>
          <w:sz w:val="18"/>
        </w:rPr>
        <w:t>1, 7 (2009) (citing the 2008 report and notlng that the</w:t>
      </w:r>
      <w:r>
        <w:rPr>
          <w:color w:val="3B3A3B"/>
          <w:spacing w:val="1"/>
          <w:w w:val="110"/>
          <w:sz w:val="18"/>
        </w:rPr>
        <w:t> </w:t>
      </w:r>
      <w:r>
        <w:rPr>
          <w:color w:val="3B3A3B"/>
          <w:w w:val="110"/>
          <w:sz w:val="18"/>
        </w:rPr>
        <w:t>average</w:t>
      </w:r>
      <w:r>
        <w:rPr>
          <w:color w:val="3B3A3B"/>
          <w:spacing w:val="-5"/>
          <w:w w:val="110"/>
          <w:sz w:val="18"/>
        </w:rPr>
        <w:t> </w:t>
      </w:r>
      <w:r>
        <w:rPr>
          <w:color w:val="3B3A3B"/>
          <w:w w:val="110"/>
          <w:sz w:val="18"/>
        </w:rPr>
        <w:t>federal</w:t>
      </w:r>
      <w:r>
        <w:rPr>
          <w:color w:val="3B3A3B"/>
          <w:spacing w:val="-3"/>
          <w:w w:val="110"/>
          <w:sz w:val="18"/>
        </w:rPr>
        <w:t> </w:t>
      </w:r>
      <w:r>
        <w:rPr>
          <w:color w:val="3B3A3B"/>
          <w:w w:val="110"/>
          <w:sz w:val="18"/>
        </w:rPr>
        <w:t>circuit</w:t>
      </w:r>
      <w:r>
        <w:rPr>
          <w:color w:val="3B3A3B"/>
          <w:spacing w:val="23"/>
          <w:w w:val="110"/>
          <w:sz w:val="18"/>
        </w:rPr>
        <w:t> </w:t>
      </w:r>
      <w:r>
        <w:rPr>
          <w:color w:val="3B3A3B"/>
          <w:w w:val="110"/>
          <w:sz w:val="18"/>
        </w:rPr>
        <w:t>judge</w:t>
      </w:r>
      <w:r>
        <w:rPr>
          <w:color w:val="3B3A3B"/>
          <w:spacing w:val="-9"/>
          <w:w w:val="110"/>
          <w:sz w:val="18"/>
        </w:rPr>
        <w:t> </w:t>
      </w:r>
      <w:r>
        <w:rPr>
          <w:color w:val="3B3A3B"/>
          <w:w w:val="110"/>
          <w:sz w:val="18"/>
        </w:rPr>
        <w:t>wrote</w:t>
      </w:r>
      <w:r>
        <w:rPr>
          <w:color w:val="3B3A3B"/>
          <w:spacing w:val="-10"/>
          <w:w w:val="110"/>
          <w:sz w:val="18"/>
        </w:rPr>
        <w:t> </w:t>
      </w:r>
      <w:r>
        <w:rPr>
          <w:color w:val="3B3A3B"/>
          <w:w w:val="110"/>
          <w:sz w:val="18"/>
        </w:rPr>
        <w:t>152</w:t>
      </w:r>
      <w:r>
        <w:rPr>
          <w:color w:val="3B3A3B"/>
          <w:spacing w:val="-12"/>
          <w:w w:val="110"/>
          <w:sz w:val="18"/>
        </w:rPr>
        <w:t> </w:t>
      </w:r>
      <w:r>
        <w:rPr>
          <w:color w:val="3B3A3B"/>
          <w:w w:val="110"/>
          <w:sz w:val="18"/>
        </w:rPr>
        <w:t>opinions</w:t>
      </w:r>
      <w:r>
        <w:rPr>
          <w:color w:val="3B3A3B"/>
          <w:spacing w:val="-15"/>
          <w:w w:val="110"/>
          <w:sz w:val="18"/>
        </w:rPr>
        <w:t> </w:t>
      </w:r>
      <w:r>
        <w:rPr>
          <w:color w:val="3B3A3B"/>
          <w:w w:val="110"/>
          <w:sz w:val="18"/>
        </w:rPr>
        <w:t>In</w:t>
      </w:r>
      <w:r>
        <w:rPr>
          <w:color w:val="3B3A3B"/>
          <w:spacing w:val="-3"/>
          <w:w w:val="110"/>
          <w:sz w:val="18"/>
        </w:rPr>
        <w:t> </w:t>
      </w:r>
      <w:r>
        <w:rPr>
          <w:color w:val="3B3A3B"/>
          <w:w w:val="110"/>
          <w:sz w:val="18"/>
        </w:rPr>
        <w:t>2008)</w:t>
      </w:r>
      <w:r>
        <w:rPr>
          <w:color w:val="575659"/>
          <w:w w:val="110"/>
          <w:sz w:val="18"/>
        </w:rPr>
        <w:t>.</w:t>
      </w:r>
    </w:p>
    <w:p>
      <w:pPr>
        <w:pStyle w:val="ListParagraph"/>
        <w:numPr>
          <w:ilvl w:val="0"/>
          <w:numId w:val="18"/>
        </w:numPr>
        <w:tabs>
          <w:tab w:pos="583" w:val="left" w:leader="none"/>
        </w:tabs>
        <w:spacing w:line="228" w:lineRule="auto" w:before="0" w:after="0"/>
        <w:ind w:left="119" w:right="103" w:firstLine="377"/>
        <w:jc w:val="both"/>
        <w:rPr>
          <w:sz w:val="18"/>
        </w:rPr>
      </w:pPr>
      <w:r>
        <w:rPr>
          <w:i/>
          <w:color w:val="3B3A3B"/>
          <w:w w:val="110"/>
          <w:sz w:val="18"/>
        </w:rPr>
        <w:t>See </w:t>
      </w:r>
      <w:r>
        <w:rPr>
          <w:color w:val="3B3A3B"/>
          <w:w w:val="110"/>
          <w:sz w:val="18"/>
        </w:rPr>
        <w:t>the</w:t>
      </w:r>
      <w:r>
        <w:rPr>
          <w:color w:val="3B3A3B"/>
          <w:spacing w:val="1"/>
          <w:w w:val="110"/>
          <w:sz w:val="18"/>
        </w:rPr>
        <w:t> </w:t>
      </w:r>
      <w:r>
        <w:rPr>
          <w:color w:val="3B3A3B"/>
          <w:w w:val="110"/>
          <w:sz w:val="18"/>
        </w:rPr>
        <w:t>2012 Annual Report of th</w:t>
      </w:r>
      <w:r>
        <w:rPr>
          <w:color w:val="575659"/>
          <w:w w:val="110"/>
          <w:sz w:val="18"/>
        </w:rPr>
        <w:t>e </w:t>
      </w:r>
      <w:r>
        <w:rPr>
          <w:color w:val="3B3A3B"/>
          <w:w w:val="110"/>
          <w:sz w:val="18"/>
        </w:rPr>
        <w:t>Indiana Court of Appeals, which indicates that each</w:t>
      </w:r>
      <w:r>
        <w:rPr>
          <w:color w:val="3B3A3B"/>
          <w:spacing w:val="1"/>
          <w:w w:val="110"/>
          <w:sz w:val="18"/>
        </w:rPr>
        <w:t> </w:t>
      </w:r>
      <w:r>
        <w:rPr>
          <w:color w:val="3B3A3B"/>
          <w:w w:val="110"/>
          <w:sz w:val="18"/>
        </w:rPr>
        <w:t>judge who served for the enti</w:t>
      </w:r>
      <w:r>
        <w:rPr>
          <w:color w:val="575659"/>
          <w:w w:val="110"/>
          <w:sz w:val="18"/>
        </w:rPr>
        <w:t>r</w:t>
      </w:r>
      <w:r>
        <w:rPr>
          <w:color w:val="3B3A3B"/>
          <w:w w:val="110"/>
          <w:sz w:val="18"/>
        </w:rPr>
        <w:t>e 12 months wrote over 100 ma</w:t>
      </w:r>
      <w:r>
        <w:rPr>
          <w:color w:val="575659"/>
          <w:w w:val="110"/>
          <w:sz w:val="18"/>
        </w:rPr>
        <w:t>j</w:t>
      </w:r>
      <w:r>
        <w:rPr>
          <w:color w:val="3B3A3B"/>
          <w:w w:val="110"/>
          <w:sz w:val="18"/>
        </w:rPr>
        <w:t>ority op</w:t>
      </w:r>
      <w:r>
        <w:rPr>
          <w:color w:val="575659"/>
          <w:w w:val="110"/>
          <w:sz w:val="18"/>
        </w:rPr>
        <w:t>i</w:t>
      </w:r>
      <w:r>
        <w:rPr>
          <w:color w:val="3B3A3B"/>
          <w:w w:val="110"/>
          <w:sz w:val="18"/>
        </w:rPr>
        <w:t>nions. </w:t>
      </w:r>
      <w:hyperlink r:id="rId29">
        <w:r>
          <w:rPr>
            <w:color w:val="3B3A3B"/>
            <w:w w:val="110"/>
            <w:sz w:val="18"/>
          </w:rPr>
          <w:t>http://www.ln.gov/</w:t>
        </w:r>
      </w:hyperlink>
      <w:r>
        <w:rPr>
          <w:color w:val="3B3A3B"/>
          <w:spacing w:val="1"/>
          <w:w w:val="110"/>
          <w:sz w:val="18"/>
        </w:rPr>
        <w:t> </w:t>
      </w:r>
      <w:r>
        <w:rPr>
          <w:color w:val="3B3A3B"/>
          <w:spacing w:val="-1"/>
          <w:w w:val="110"/>
          <w:sz w:val="18"/>
        </w:rPr>
        <w:t>judlclary/appeals/fl</w:t>
      </w:r>
      <w:r>
        <w:rPr>
          <w:color w:val="575659"/>
          <w:spacing w:val="-1"/>
          <w:w w:val="110"/>
          <w:sz w:val="18"/>
        </w:rPr>
        <w:t>l</w:t>
      </w:r>
      <w:r>
        <w:rPr>
          <w:color w:val="3B3A3B"/>
          <w:spacing w:val="-1"/>
          <w:w w:val="110"/>
          <w:sz w:val="18"/>
        </w:rPr>
        <w:t>es/annual-report-2012.pd(</w:t>
      </w:r>
      <w:r>
        <w:rPr>
          <w:color w:val="575659"/>
          <w:spacing w:val="-1"/>
          <w:w w:val="110"/>
          <w:sz w:val="18"/>
        </w:rPr>
        <w:t>.</w:t>
      </w:r>
      <w:r>
        <w:rPr>
          <w:color w:val="3B3A3B"/>
          <w:spacing w:val="-1"/>
          <w:w w:val="110"/>
          <w:sz w:val="18"/>
        </w:rPr>
        <w:t>pdf</w:t>
      </w:r>
      <w:r>
        <w:rPr>
          <w:color w:val="575659"/>
          <w:spacing w:val="-1"/>
          <w:w w:val="110"/>
          <w:sz w:val="18"/>
        </w:rPr>
        <w:t>.</w:t>
      </w:r>
      <w:r>
        <w:rPr>
          <w:color w:val="575659"/>
          <w:spacing w:val="-17"/>
          <w:w w:val="110"/>
          <w:sz w:val="18"/>
        </w:rPr>
        <w:t> </w:t>
      </w:r>
      <w:r>
        <w:rPr>
          <w:i/>
          <w:color w:val="3B3A3B"/>
          <w:w w:val="110"/>
          <w:sz w:val="18"/>
        </w:rPr>
        <w:t>Seealso</w:t>
      </w:r>
      <w:r>
        <w:rPr>
          <w:i/>
          <w:color w:val="3B3A3B"/>
          <w:spacing w:val="-25"/>
          <w:w w:val="110"/>
          <w:sz w:val="18"/>
        </w:rPr>
        <w:t> </w:t>
      </w:r>
      <w:r>
        <w:rPr>
          <w:color w:val="3B3A3B"/>
          <w:w w:val="110"/>
          <w:sz w:val="18"/>
        </w:rPr>
        <w:t>2009</w:t>
      </w:r>
      <w:r>
        <w:rPr>
          <w:color w:val="3B3A3B"/>
          <w:spacing w:val="-28"/>
          <w:w w:val="110"/>
          <w:sz w:val="18"/>
        </w:rPr>
        <w:t> </w:t>
      </w:r>
      <w:r>
        <w:rPr>
          <w:color w:val="3B3A3B"/>
          <w:w w:val="110"/>
          <w:sz w:val="18"/>
        </w:rPr>
        <w:t>Oregon</w:t>
      </w:r>
      <w:r>
        <w:rPr>
          <w:color w:val="3B3A3B"/>
          <w:spacing w:val="-20"/>
          <w:w w:val="110"/>
          <w:sz w:val="18"/>
        </w:rPr>
        <w:t> </w:t>
      </w:r>
      <w:r>
        <w:rPr>
          <w:color w:val="3B3A3B"/>
          <w:w w:val="110"/>
          <w:sz w:val="18"/>
        </w:rPr>
        <w:t>Court</w:t>
      </w:r>
      <w:r>
        <w:rPr>
          <w:color w:val="3B3A3B"/>
          <w:spacing w:val="-29"/>
          <w:w w:val="110"/>
          <w:sz w:val="18"/>
        </w:rPr>
        <w:t> </w:t>
      </w:r>
      <w:r>
        <w:rPr>
          <w:color w:val="3B3A3B"/>
          <w:w w:val="110"/>
          <w:sz w:val="18"/>
        </w:rPr>
        <w:t>of</w:t>
      </w:r>
      <w:r>
        <w:rPr>
          <w:color w:val="3B3A3B"/>
          <w:spacing w:val="-8"/>
          <w:w w:val="110"/>
          <w:sz w:val="18"/>
        </w:rPr>
        <w:t> </w:t>
      </w:r>
      <w:r>
        <w:rPr>
          <w:color w:val="3B3A3B"/>
          <w:w w:val="110"/>
          <w:sz w:val="18"/>
        </w:rPr>
        <w:t>Appeals</w:t>
      </w:r>
      <w:r>
        <w:rPr>
          <w:color w:val="3B3A3B"/>
          <w:spacing w:val="-14"/>
          <w:w w:val="110"/>
          <w:sz w:val="18"/>
        </w:rPr>
        <w:t> </w:t>
      </w:r>
      <w:r>
        <w:rPr>
          <w:color w:val="3B3A3B"/>
          <w:w w:val="110"/>
          <w:sz w:val="18"/>
        </w:rPr>
        <w:t>Annual</w:t>
      </w:r>
      <w:r>
        <w:rPr>
          <w:color w:val="3B3A3B"/>
          <w:spacing w:val="1"/>
          <w:w w:val="110"/>
          <w:sz w:val="18"/>
        </w:rPr>
        <w:t> </w:t>
      </w:r>
      <w:r>
        <w:rPr>
          <w:color w:val="3B3A3B"/>
          <w:w w:val="110"/>
          <w:sz w:val="18"/>
        </w:rPr>
        <w:t>Report</w:t>
      </w:r>
      <w:r>
        <w:rPr>
          <w:color w:val="575659"/>
          <w:w w:val="110"/>
          <w:sz w:val="18"/>
        </w:rPr>
        <w:t>, </w:t>
      </w:r>
      <w:hyperlink r:id="rId30">
        <w:r>
          <w:rPr>
            <w:color w:val="3B3A3B"/>
            <w:w w:val="110"/>
            <w:sz w:val="18"/>
          </w:rPr>
          <w:t>http</w:t>
        </w:r>
        <w:r>
          <w:rPr>
            <w:color w:val="575659"/>
            <w:w w:val="110"/>
            <w:sz w:val="18"/>
          </w:rPr>
          <w:t>:</w:t>
        </w:r>
        <w:r>
          <w:rPr>
            <w:color w:val="3B3A3B"/>
            <w:w w:val="110"/>
            <w:sz w:val="18"/>
          </w:rPr>
          <w:t>//www</w:t>
        </w:r>
        <w:r>
          <w:rPr>
            <w:color w:val="575659"/>
            <w:w w:val="110"/>
            <w:sz w:val="18"/>
          </w:rPr>
          <w:t>.</w:t>
        </w:r>
        <w:r>
          <w:rPr>
            <w:color w:val="3B3A3B"/>
            <w:w w:val="110"/>
            <w:sz w:val="18"/>
          </w:rPr>
          <w:t>publicatlons.ojd</w:t>
        </w:r>
        <w:r>
          <w:rPr>
            <w:color w:val="575659"/>
            <w:w w:val="110"/>
            <w:sz w:val="18"/>
          </w:rPr>
          <w:t>.</w:t>
        </w:r>
        <w:r>
          <w:rPr>
            <w:color w:val="3B3A3B"/>
            <w:w w:val="110"/>
            <w:sz w:val="18"/>
          </w:rPr>
          <w:t>state.or.us/2009CAReport.pdf</w:t>
        </w:r>
      </w:hyperlink>
      <w:r>
        <w:rPr>
          <w:color w:val="3B3A3B"/>
          <w:w w:val="110"/>
          <w:sz w:val="18"/>
        </w:rPr>
        <w:t> (last visited Mar. 28, 2010)</w:t>
      </w:r>
      <w:r>
        <w:rPr>
          <w:color w:val="3B3A3B"/>
          <w:spacing w:val="1"/>
          <w:w w:val="110"/>
          <w:sz w:val="18"/>
        </w:rPr>
        <w:t> </w:t>
      </w:r>
      <w:r>
        <w:rPr>
          <w:color w:val="3B3A3B"/>
          <w:w w:val="110"/>
          <w:sz w:val="18"/>
        </w:rPr>
        <w:t>(noting that In 2009, the ten Oregon Appellate Judges "closed 3,609 cases, issued 2,173 case dis­</w:t>
      </w:r>
      <w:r>
        <w:rPr>
          <w:color w:val="3B3A3B"/>
          <w:spacing w:val="-47"/>
          <w:w w:val="110"/>
          <w:sz w:val="18"/>
        </w:rPr>
        <w:t> </w:t>
      </w:r>
      <w:r>
        <w:rPr>
          <w:color w:val="3B3A3B"/>
          <w:w w:val="105"/>
          <w:sz w:val="18"/>
        </w:rPr>
        <w:t>positional decisions, and  Issued  503  authored opinions"); Honorable Edwin  H</w:t>
      </w:r>
      <w:r>
        <w:rPr>
          <w:color w:val="575659"/>
          <w:w w:val="105"/>
          <w:sz w:val="18"/>
        </w:rPr>
        <w:t>. </w:t>
      </w:r>
      <w:r>
        <w:rPr>
          <w:color w:val="3B3A3B"/>
          <w:w w:val="105"/>
          <w:sz w:val="18"/>
        </w:rPr>
        <w:t>Stem</w:t>
      </w:r>
      <w:r>
        <w:rPr>
          <w:color w:val="575659"/>
          <w:w w:val="105"/>
          <w:sz w:val="18"/>
        </w:rPr>
        <w:t>,  </w:t>
      </w:r>
      <w:r>
        <w:rPr>
          <w:i/>
          <w:color w:val="3B3A3B"/>
          <w:w w:val="105"/>
          <w:sz w:val="18"/>
        </w:rPr>
        <w:t>Fmstrations</w:t>
      </w:r>
      <w:r>
        <w:rPr>
          <w:i/>
          <w:color w:val="3B3A3B"/>
          <w:spacing w:val="1"/>
          <w:w w:val="105"/>
          <w:sz w:val="18"/>
        </w:rPr>
        <w:t> </w:t>
      </w:r>
      <w:r>
        <w:rPr>
          <w:i/>
          <w:color w:val="3B3A3B"/>
          <w:sz w:val="18"/>
        </w:rPr>
        <w:t>of an Jntem,edlate Appellat</w:t>
      </w:r>
      <w:r>
        <w:rPr>
          <w:i/>
          <w:color w:val="575659"/>
          <w:sz w:val="18"/>
        </w:rPr>
        <w:t>e </w:t>
      </w:r>
      <w:r>
        <w:rPr>
          <w:i/>
          <w:color w:val="3B3A3B"/>
          <w:sz w:val="18"/>
        </w:rPr>
        <w:t>Judg</w:t>
      </w:r>
      <w:r>
        <w:rPr>
          <w:i/>
          <w:color w:val="575659"/>
          <w:sz w:val="18"/>
        </w:rPr>
        <w:t>e </w:t>
      </w:r>
      <w:r>
        <w:rPr>
          <w:i/>
          <w:color w:val="3B3A3B"/>
          <w:sz w:val="18"/>
        </w:rPr>
        <w:t>(and th</w:t>
      </w:r>
      <w:r>
        <w:rPr>
          <w:i/>
          <w:color w:val="575659"/>
          <w:sz w:val="18"/>
        </w:rPr>
        <w:t>e </w:t>
      </w:r>
      <w:r>
        <w:rPr>
          <w:i/>
          <w:color w:val="3B3A3B"/>
          <w:sz w:val="18"/>
        </w:rPr>
        <w:t>B</w:t>
      </w:r>
      <w:r>
        <w:rPr>
          <w:i/>
          <w:color w:val="575659"/>
          <w:sz w:val="18"/>
        </w:rPr>
        <w:t>e</w:t>
      </w:r>
      <w:r>
        <w:rPr>
          <w:i/>
          <w:color w:val="3B3A3B"/>
          <w:sz w:val="18"/>
        </w:rPr>
        <w:t>n</w:t>
      </w:r>
      <w:r>
        <w:rPr>
          <w:i/>
          <w:color w:val="575659"/>
          <w:sz w:val="18"/>
        </w:rPr>
        <w:t>e</w:t>
      </w:r>
      <w:r>
        <w:rPr>
          <w:i/>
          <w:color w:val="3B3A3B"/>
          <w:sz w:val="18"/>
        </w:rPr>
        <w:t>fits </w:t>
      </w:r>
      <w:r>
        <w:rPr>
          <w:i/>
          <w:color w:val="575659"/>
          <w:sz w:val="18"/>
        </w:rPr>
        <w:t>o</w:t>
      </w:r>
      <w:r>
        <w:rPr>
          <w:i/>
          <w:color w:val="3B3A3B"/>
          <w:sz w:val="18"/>
        </w:rPr>
        <w:t>f Being One in New Jersey)</w:t>
      </w:r>
      <w:r>
        <w:rPr>
          <w:i/>
          <w:color w:val="575659"/>
          <w:sz w:val="18"/>
        </w:rPr>
        <w:t>, </w:t>
      </w:r>
      <w:r>
        <w:rPr>
          <w:color w:val="3B3A3B"/>
          <w:sz w:val="18"/>
        </w:rPr>
        <w:t>60</w:t>
      </w:r>
      <w:r>
        <w:rPr>
          <w:color w:val="3B3A3B"/>
          <w:spacing w:val="45"/>
          <w:sz w:val="18"/>
        </w:rPr>
        <w:t> </w:t>
      </w:r>
      <w:r>
        <w:rPr>
          <w:color w:val="3B3A3B"/>
          <w:sz w:val="18"/>
        </w:rPr>
        <w:t>Rutgers L. Rev.</w:t>
      </w:r>
      <w:r>
        <w:rPr>
          <w:color w:val="3B3A3B"/>
          <w:spacing w:val="1"/>
          <w:sz w:val="18"/>
        </w:rPr>
        <w:t> </w:t>
      </w:r>
      <w:r>
        <w:rPr>
          <w:color w:val="3B3A3B"/>
          <w:spacing w:val="-1"/>
          <w:w w:val="110"/>
          <w:sz w:val="18"/>
        </w:rPr>
        <w:t>971, 980 (2008) (</w:t>
      </w:r>
      <w:r>
        <w:rPr>
          <w:color w:val="575659"/>
          <w:spacing w:val="-1"/>
          <w:w w:val="110"/>
          <w:sz w:val="18"/>
        </w:rPr>
        <w:t>"</w:t>
      </w:r>
      <w:r>
        <w:rPr>
          <w:color w:val="3B3A3B"/>
          <w:spacing w:val="-1"/>
          <w:w w:val="110"/>
          <w:sz w:val="18"/>
        </w:rPr>
        <w:t>Each judge now write</w:t>
      </w:r>
      <w:r>
        <w:rPr>
          <w:color w:val="575659"/>
          <w:spacing w:val="-1"/>
          <w:w w:val="110"/>
          <w:sz w:val="18"/>
        </w:rPr>
        <w:t>s </w:t>
      </w:r>
      <w:r>
        <w:rPr>
          <w:color w:val="3B3A3B"/>
          <w:w w:val="110"/>
          <w:sz w:val="18"/>
        </w:rPr>
        <w:t>an average of 108 opinions a year, independent of the</w:t>
      </w:r>
      <w:r>
        <w:rPr>
          <w:color w:val="3B3A3B"/>
          <w:spacing w:val="1"/>
          <w:w w:val="110"/>
          <w:sz w:val="18"/>
        </w:rPr>
        <w:t> </w:t>
      </w:r>
      <w:r>
        <w:rPr>
          <w:color w:val="3B3A3B"/>
          <w:w w:val="105"/>
          <w:sz w:val="18"/>
        </w:rPr>
        <w:t>cases disposed of by motion, sua sponte, or other ord</w:t>
      </w:r>
      <w:r>
        <w:rPr>
          <w:color w:val="575659"/>
          <w:w w:val="105"/>
          <w:sz w:val="18"/>
        </w:rPr>
        <w:t>e</w:t>
      </w:r>
      <w:r>
        <w:rPr>
          <w:color w:val="3B3A3B"/>
          <w:w w:val="105"/>
          <w:sz w:val="18"/>
        </w:rPr>
        <w:t>r"); Daniel J</w:t>
      </w:r>
      <w:r>
        <w:rPr>
          <w:color w:val="575659"/>
          <w:w w:val="105"/>
          <w:sz w:val="18"/>
        </w:rPr>
        <w:t>. </w:t>
      </w:r>
      <w:r>
        <w:rPr>
          <w:color w:val="3B3A3B"/>
          <w:w w:val="105"/>
          <w:sz w:val="18"/>
        </w:rPr>
        <w:t>Foley</w:t>
      </w:r>
      <w:r>
        <w:rPr>
          <w:color w:val="575659"/>
          <w:w w:val="105"/>
          <w:sz w:val="18"/>
        </w:rPr>
        <w:t>, </w:t>
      </w:r>
      <w:r>
        <w:rPr>
          <w:i/>
          <w:color w:val="3B3A3B"/>
          <w:w w:val="105"/>
          <w:sz w:val="18"/>
        </w:rPr>
        <w:t>The</w:t>
      </w:r>
      <w:r>
        <w:rPr>
          <w:i/>
          <w:color w:val="3B3A3B"/>
          <w:spacing w:val="1"/>
          <w:w w:val="105"/>
          <w:sz w:val="18"/>
        </w:rPr>
        <w:t> </w:t>
      </w:r>
      <w:r>
        <w:rPr>
          <w:i/>
          <w:color w:val="3B3A3B"/>
          <w:w w:val="105"/>
          <w:sz w:val="18"/>
        </w:rPr>
        <w:t>Ten,iessee Court of</w:t>
      </w:r>
      <w:r>
        <w:rPr>
          <w:i/>
          <w:color w:val="3B3A3B"/>
          <w:spacing w:val="1"/>
          <w:w w:val="105"/>
          <w:sz w:val="18"/>
        </w:rPr>
        <w:t> </w:t>
      </w:r>
      <w:r>
        <w:rPr>
          <w:i/>
          <w:color w:val="3B3A3B"/>
          <w:w w:val="105"/>
          <w:sz w:val="18"/>
        </w:rPr>
        <w:t>Criminal Appeals: A Statistical Analysi</w:t>
      </w:r>
      <w:r>
        <w:rPr>
          <w:i/>
          <w:color w:val="575659"/>
          <w:w w:val="105"/>
          <w:sz w:val="18"/>
        </w:rPr>
        <w:t>s</w:t>
      </w:r>
      <w:r>
        <w:rPr>
          <w:i/>
          <w:color w:val="3B3A3B"/>
          <w:w w:val="105"/>
          <w:sz w:val="18"/>
        </w:rPr>
        <w:t>, </w:t>
      </w:r>
      <w:r>
        <w:rPr>
          <w:color w:val="3B3A3B"/>
          <w:w w:val="105"/>
          <w:sz w:val="18"/>
        </w:rPr>
        <w:t>66 T</w:t>
      </w:r>
      <w:r>
        <w:rPr>
          <w:color w:val="575659"/>
          <w:w w:val="105"/>
          <w:sz w:val="18"/>
        </w:rPr>
        <w:t>e</w:t>
      </w:r>
      <w:r>
        <w:rPr>
          <w:color w:val="3B3A3B"/>
          <w:w w:val="105"/>
          <w:sz w:val="18"/>
        </w:rPr>
        <w:t>nn</w:t>
      </w:r>
      <w:r>
        <w:rPr>
          <w:color w:val="575659"/>
          <w:w w:val="105"/>
          <w:sz w:val="18"/>
        </w:rPr>
        <w:t>. </w:t>
      </w:r>
      <w:r>
        <w:rPr>
          <w:rFonts w:ascii="Arial" w:hAnsi="Arial"/>
          <w:color w:val="3B3A3B"/>
          <w:w w:val="105"/>
          <w:sz w:val="17"/>
        </w:rPr>
        <w:t>L. </w:t>
      </w:r>
      <w:r>
        <w:rPr>
          <w:color w:val="3B3A3B"/>
          <w:w w:val="105"/>
          <w:sz w:val="18"/>
        </w:rPr>
        <w:t>Rev. 427, 442 (1999) (citing National Ctr. for</w:t>
      </w:r>
      <w:r>
        <w:rPr>
          <w:color w:val="3B3A3B"/>
          <w:spacing w:val="1"/>
          <w:w w:val="105"/>
          <w:sz w:val="18"/>
        </w:rPr>
        <w:t> </w:t>
      </w:r>
      <w:r>
        <w:rPr>
          <w:color w:val="3B3A3B"/>
          <w:spacing w:val="-1"/>
          <w:w w:val="110"/>
          <w:sz w:val="18"/>
        </w:rPr>
        <w:t>State</w:t>
      </w:r>
      <w:r>
        <w:rPr>
          <w:color w:val="3B3A3B"/>
          <w:spacing w:val="-20"/>
          <w:w w:val="110"/>
          <w:sz w:val="18"/>
        </w:rPr>
        <w:t> </w:t>
      </w:r>
      <w:r>
        <w:rPr>
          <w:color w:val="3B3A3B"/>
          <w:spacing w:val="-1"/>
          <w:w w:val="110"/>
          <w:sz w:val="18"/>
        </w:rPr>
        <w:t>Cts</w:t>
      </w:r>
      <w:r>
        <w:rPr>
          <w:color w:val="575659"/>
          <w:spacing w:val="-1"/>
          <w:w w:val="110"/>
          <w:sz w:val="18"/>
        </w:rPr>
        <w:t>.,</w:t>
      </w:r>
      <w:r>
        <w:rPr>
          <w:color w:val="575659"/>
          <w:spacing w:val="-4"/>
          <w:w w:val="110"/>
          <w:sz w:val="18"/>
        </w:rPr>
        <w:t> </w:t>
      </w:r>
      <w:r>
        <w:rPr>
          <w:color w:val="3B3A3B"/>
          <w:spacing w:val="-1"/>
          <w:w w:val="110"/>
          <w:sz w:val="18"/>
        </w:rPr>
        <w:t>Court</w:t>
      </w:r>
      <w:r>
        <w:rPr>
          <w:color w:val="3B3A3B"/>
          <w:spacing w:val="-16"/>
          <w:w w:val="110"/>
          <w:sz w:val="18"/>
        </w:rPr>
        <w:t> </w:t>
      </w:r>
      <w:r>
        <w:rPr>
          <w:color w:val="3B3A3B"/>
          <w:spacing w:val="-1"/>
          <w:w w:val="110"/>
          <w:sz w:val="18"/>
        </w:rPr>
        <w:t>Statistics</w:t>
      </w:r>
      <w:r>
        <w:rPr>
          <w:color w:val="3B3A3B"/>
          <w:spacing w:val="3"/>
          <w:w w:val="110"/>
          <w:sz w:val="18"/>
        </w:rPr>
        <w:t> </w:t>
      </w:r>
      <w:r>
        <w:rPr>
          <w:color w:val="3B3A3B"/>
          <w:spacing w:val="-1"/>
          <w:w w:val="110"/>
          <w:sz w:val="18"/>
        </w:rPr>
        <w:t>Project</w:t>
      </w:r>
      <w:r>
        <w:rPr>
          <w:color w:val="575659"/>
          <w:spacing w:val="-1"/>
          <w:w w:val="110"/>
          <w:sz w:val="18"/>
        </w:rPr>
        <w:t>,</w:t>
      </w:r>
      <w:r>
        <w:rPr>
          <w:color w:val="575659"/>
          <w:spacing w:val="-18"/>
          <w:w w:val="110"/>
          <w:sz w:val="18"/>
        </w:rPr>
        <w:t> </w:t>
      </w:r>
      <w:r>
        <w:rPr>
          <w:color w:val="3B3A3B"/>
          <w:spacing w:val="-1"/>
          <w:w w:val="110"/>
          <w:sz w:val="18"/>
        </w:rPr>
        <w:t>State</w:t>
      </w:r>
      <w:r>
        <w:rPr>
          <w:color w:val="3B3A3B"/>
          <w:spacing w:val="-21"/>
          <w:w w:val="110"/>
          <w:sz w:val="18"/>
        </w:rPr>
        <w:t> </w:t>
      </w:r>
      <w:r>
        <w:rPr>
          <w:color w:val="3B3A3B"/>
          <w:spacing w:val="-1"/>
          <w:w w:val="110"/>
          <w:sz w:val="18"/>
        </w:rPr>
        <w:t>Court</w:t>
      </w:r>
      <w:r>
        <w:rPr>
          <w:color w:val="3B3A3B"/>
          <w:w w:val="110"/>
          <w:sz w:val="18"/>
        </w:rPr>
        <w:t> </w:t>
      </w:r>
      <w:r>
        <w:rPr>
          <w:color w:val="3B3A3B"/>
          <w:spacing w:val="-1"/>
          <w:w w:val="110"/>
          <w:sz w:val="18"/>
        </w:rPr>
        <w:t>Caseload</w:t>
      </w:r>
      <w:r>
        <w:rPr>
          <w:color w:val="3B3A3B"/>
          <w:spacing w:val="-7"/>
          <w:w w:val="110"/>
          <w:sz w:val="18"/>
        </w:rPr>
        <w:t> </w:t>
      </w:r>
      <w:r>
        <w:rPr>
          <w:color w:val="3B3A3B"/>
          <w:spacing w:val="-1"/>
          <w:w w:val="110"/>
          <w:sz w:val="18"/>
        </w:rPr>
        <w:t>Statistics,</w:t>
      </w:r>
      <w:r>
        <w:rPr>
          <w:color w:val="3B3A3B"/>
          <w:spacing w:val="-3"/>
          <w:w w:val="110"/>
          <w:sz w:val="18"/>
        </w:rPr>
        <w:t> </w:t>
      </w:r>
      <w:r>
        <w:rPr>
          <w:color w:val="3B3A3B"/>
          <w:w w:val="110"/>
          <w:sz w:val="18"/>
        </w:rPr>
        <w:t>1994</w:t>
      </w:r>
      <w:r>
        <w:rPr>
          <w:color w:val="575659"/>
          <w:w w:val="110"/>
          <w:sz w:val="18"/>
        </w:rPr>
        <w:t>,</w:t>
      </w:r>
      <w:r>
        <w:rPr>
          <w:color w:val="575659"/>
          <w:spacing w:val="-3"/>
          <w:w w:val="110"/>
          <w:sz w:val="18"/>
        </w:rPr>
        <w:t> </w:t>
      </w:r>
      <w:r>
        <w:rPr>
          <w:color w:val="3B3A3B"/>
          <w:w w:val="110"/>
          <w:sz w:val="18"/>
        </w:rPr>
        <w:t>at</w:t>
      </w:r>
      <w:r>
        <w:rPr>
          <w:color w:val="3B3A3B"/>
          <w:spacing w:val="7"/>
          <w:w w:val="110"/>
          <w:sz w:val="18"/>
        </w:rPr>
        <w:t> </w:t>
      </w:r>
      <w:r>
        <w:rPr>
          <w:color w:val="3B3A3B"/>
          <w:w w:val="110"/>
          <w:sz w:val="18"/>
        </w:rPr>
        <w:t>133-36</w:t>
      </w:r>
      <w:r>
        <w:rPr>
          <w:color w:val="3B3A3B"/>
          <w:spacing w:val="-12"/>
          <w:w w:val="110"/>
          <w:sz w:val="18"/>
        </w:rPr>
        <w:t> </w:t>
      </w:r>
      <w:r>
        <w:rPr>
          <w:color w:val="3B3A3B"/>
          <w:w w:val="110"/>
          <w:sz w:val="18"/>
        </w:rPr>
        <w:t>(1996)).</w:t>
      </w:r>
    </w:p>
    <w:p>
      <w:pPr>
        <w:spacing w:line="196" w:lineRule="exact" w:before="0"/>
        <w:ind w:left="411" w:right="0" w:firstLine="0"/>
        <w:jc w:val="both"/>
        <w:rPr>
          <w:sz w:val="18"/>
        </w:rPr>
      </w:pPr>
      <w:r>
        <w:rPr>
          <w:color w:val="3B3A3B"/>
          <w:sz w:val="18"/>
        </w:rPr>
        <w:t>s</w:t>
      </w:r>
      <w:r>
        <w:rPr>
          <w:color w:val="3B3A3B"/>
          <w:spacing w:val="43"/>
          <w:sz w:val="18"/>
        </w:rPr>
        <w:t> </w:t>
      </w:r>
      <w:r>
        <w:rPr>
          <w:color w:val="3B3A3B"/>
          <w:sz w:val="18"/>
        </w:rPr>
        <w:t>Leigh</w:t>
      </w:r>
      <w:r>
        <w:rPr>
          <w:color w:val="3B3A3B"/>
          <w:spacing w:val="40"/>
          <w:sz w:val="18"/>
        </w:rPr>
        <w:t> </w:t>
      </w:r>
      <w:r>
        <w:rPr>
          <w:color w:val="3B3A3B"/>
          <w:sz w:val="18"/>
        </w:rPr>
        <w:t>Ingalls</w:t>
      </w:r>
      <w:r>
        <w:rPr>
          <w:color w:val="3B3A3B"/>
          <w:spacing w:val="9"/>
          <w:sz w:val="18"/>
        </w:rPr>
        <w:t> </w:t>
      </w:r>
      <w:r>
        <w:rPr>
          <w:color w:val="3B3A3B"/>
          <w:sz w:val="18"/>
        </w:rPr>
        <w:t>Saufley,</w:t>
      </w:r>
      <w:r>
        <w:rPr>
          <w:color w:val="3B3A3B"/>
          <w:spacing w:val="17"/>
          <w:sz w:val="18"/>
        </w:rPr>
        <w:t> </w:t>
      </w:r>
      <w:r>
        <w:rPr>
          <w:i/>
          <w:color w:val="3B3A3B"/>
          <w:sz w:val="18"/>
        </w:rPr>
        <w:t>The</w:t>
      </w:r>
      <w:r>
        <w:rPr>
          <w:i/>
          <w:color w:val="3B3A3B"/>
          <w:spacing w:val="37"/>
          <w:sz w:val="18"/>
        </w:rPr>
        <w:t> </w:t>
      </w:r>
      <w:r>
        <w:rPr>
          <w:i/>
          <w:color w:val="3B3A3B"/>
          <w:sz w:val="18"/>
        </w:rPr>
        <w:t>Judicial</w:t>
      </w:r>
      <w:r>
        <w:rPr>
          <w:i/>
          <w:color w:val="3B3A3B"/>
          <w:spacing w:val="30"/>
          <w:sz w:val="18"/>
        </w:rPr>
        <w:t> </w:t>
      </w:r>
      <w:r>
        <w:rPr>
          <w:i/>
          <w:color w:val="3B3A3B"/>
          <w:sz w:val="18"/>
        </w:rPr>
        <w:t>Proc</w:t>
      </w:r>
      <w:r>
        <w:rPr>
          <w:i/>
          <w:color w:val="575659"/>
          <w:sz w:val="18"/>
        </w:rPr>
        <w:t>e</w:t>
      </w:r>
      <w:r>
        <w:rPr>
          <w:i/>
          <w:color w:val="3B3A3B"/>
          <w:sz w:val="18"/>
        </w:rPr>
        <w:t>ss:</w:t>
      </w:r>
      <w:r>
        <w:rPr>
          <w:i/>
          <w:color w:val="3B3A3B"/>
          <w:spacing w:val="4"/>
          <w:sz w:val="18"/>
        </w:rPr>
        <w:t> </w:t>
      </w:r>
      <w:r>
        <w:rPr>
          <w:i/>
          <w:color w:val="3B3A3B"/>
          <w:sz w:val="18"/>
        </w:rPr>
        <w:t>Amphibians</w:t>
      </w:r>
      <w:r>
        <w:rPr>
          <w:i/>
          <w:color w:val="3B3A3B"/>
          <w:spacing w:val="24"/>
          <w:sz w:val="18"/>
        </w:rPr>
        <w:t> </w:t>
      </w:r>
      <w:r>
        <w:rPr>
          <w:i/>
          <w:color w:val="3B3A3B"/>
          <w:sz w:val="18"/>
        </w:rPr>
        <w:t>and</w:t>
      </w:r>
      <w:r>
        <w:rPr>
          <w:i/>
          <w:color w:val="3B3A3B"/>
          <w:spacing w:val="38"/>
          <w:sz w:val="18"/>
        </w:rPr>
        <w:t> </w:t>
      </w:r>
      <w:r>
        <w:rPr>
          <w:i/>
          <w:color w:val="575659"/>
          <w:sz w:val="18"/>
        </w:rPr>
        <w:t>A</w:t>
      </w:r>
      <w:r>
        <w:rPr>
          <w:i/>
          <w:color w:val="3B3A3B"/>
          <w:sz w:val="18"/>
        </w:rPr>
        <w:t>ppellate</w:t>
      </w:r>
      <w:r>
        <w:rPr>
          <w:i/>
          <w:color w:val="3B3A3B"/>
          <w:spacing w:val="22"/>
          <w:sz w:val="18"/>
        </w:rPr>
        <w:t> </w:t>
      </w:r>
      <w:r>
        <w:rPr>
          <w:i/>
          <w:color w:val="3B3A3B"/>
          <w:sz w:val="18"/>
        </w:rPr>
        <w:t>Courts,</w:t>
      </w:r>
      <w:r>
        <w:rPr>
          <w:i/>
          <w:color w:val="3B3A3B"/>
          <w:spacing w:val="6"/>
          <w:sz w:val="18"/>
        </w:rPr>
        <w:t> </w:t>
      </w:r>
      <w:r>
        <w:rPr>
          <w:color w:val="3B3A3B"/>
          <w:sz w:val="18"/>
        </w:rPr>
        <w:t>51</w:t>
      </w:r>
      <w:r>
        <w:rPr>
          <w:color w:val="3B3A3B"/>
          <w:spacing w:val="47"/>
          <w:sz w:val="18"/>
        </w:rPr>
        <w:t> </w:t>
      </w:r>
      <w:r>
        <w:rPr>
          <w:color w:val="3B3A3B"/>
          <w:sz w:val="18"/>
        </w:rPr>
        <w:t>Me.</w:t>
      </w:r>
      <w:r>
        <w:rPr>
          <w:color w:val="3B3A3B"/>
          <w:spacing w:val="11"/>
          <w:sz w:val="18"/>
        </w:rPr>
        <w:t> </w:t>
      </w:r>
      <w:r>
        <w:rPr>
          <w:color w:val="3B3A3B"/>
          <w:sz w:val="18"/>
        </w:rPr>
        <w:t>L.</w:t>
      </w:r>
      <w:r>
        <w:rPr>
          <w:color w:val="3B3A3B"/>
          <w:spacing w:val="13"/>
          <w:sz w:val="18"/>
        </w:rPr>
        <w:t> </w:t>
      </w:r>
      <w:r>
        <w:rPr>
          <w:color w:val="3B3A3B"/>
          <w:sz w:val="18"/>
        </w:rPr>
        <w:t>Rev</w:t>
      </w:r>
      <w:r>
        <w:rPr>
          <w:color w:val="575659"/>
          <w:sz w:val="18"/>
        </w:rPr>
        <w:t>.</w:t>
      </w:r>
    </w:p>
    <w:p>
      <w:pPr>
        <w:spacing w:line="197" w:lineRule="exact" w:before="0"/>
        <w:ind w:left="128" w:right="0" w:firstLine="0"/>
        <w:jc w:val="both"/>
        <w:rPr>
          <w:sz w:val="18"/>
        </w:rPr>
      </w:pPr>
      <w:r>
        <w:rPr>
          <w:color w:val="3B3A3B"/>
          <w:w w:val="110"/>
          <w:sz w:val="18"/>
        </w:rPr>
        <w:t>18</w:t>
      </w:r>
      <w:r>
        <w:rPr>
          <w:color w:val="575659"/>
          <w:w w:val="110"/>
          <w:sz w:val="18"/>
        </w:rPr>
        <w:t>,</w:t>
      </w:r>
      <w:r>
        <w:rPr>
          <w:color w:val="575659"/>
          <w:spacing w:val="-12"/>
          <w:w w:val="110"/>
          <w:sz w:val="18"/>
        </w:rPr>
        <w:t> </w:t>
      </w:r>
      <w:r>
        <w:rPr>
          <w:color w:val="3B3A3B"/>
          <w:w w:val="110"/>
          <w:sz w:val="18"/>
        </w:rPr>
        <w:t>19</w:t>
      </w:r>
      <w:r>
        <w:rPr>
          <w:color w:val="3B3A3B"/>
          <w:spacing w:val="-5"/>
          <w:w w:val="110"/>
          <w:sz w:val="18"/>
        </w:rPr>
        <w:t> </w:t>
      </w:r>
      <w:r>
        <w:rPr>
          <w:color w:val="3B3A3B"/>
          <w:w w:val="110"/>
          <w:sz w:val="18"/>
        </w:rPr>
        <w:t>(1999).</w:t>
      </w:r>
    </w:p>
    <w:p>
      <w:pPr>
        <w:spacing w:line="205" w:lineRule="exact" w:before="0"/>
        <w:ind w:left="512" w:right="0" w:firstLine="0"/>
        <w:jc w:val="both"/>
        <w:rPr>
          <w:sz w:val="18"/>
        </w:rPr>
      </w:pPr>
      <w:r>
        <w:rPr>
          <w:rFonts w:ascii="Arial"/>
          <w:color w:val="3B3A3B"/>
          <w:sz w:val="18"/>
          <w:vertAlign w:val="superscript"/>
        </w:rPr>
        <w:t>6</w:t>
      </w:r>
      <w:r>
        <w:rPr>
          <w:color w:val="3B3A3B"/>
          <w:sz w:val="18"/>
          <w:vertAlign w:val="baseline"/>
        </w:rPr>
        <w:t>Wllliam</w:t>
      </w:r>
      <w:r>
        <w:rPr>
          <w:color w:val="3B3A3B"/>
          <w:spacing w:val="48"/>
          <w:sz w:val="18"/>
          <w:vertAlign w:val="baseline"/>
        </w:rPr>
        <w:t> </w:t>
      </w:r>
      <w:r>
        <w:rPr>
          <w:color w:val="3B3A3B"/>
          <w:sz w:val="18"/>
          <w:vertAlign w:val="baseline"/>
        </w:rPr>
        <w:t>Eich,</w:t>
      </w:r>
      <w:r>
        <w:rPr>
          <w:color w:val="3B3A3B"/>
          <w:spacing w:val="-3"/>
          <w:sz w:val="18"/>
          <w:vertAlign w:val="baseline"/>
        </w:rPr>
        <w:t> </w:t>
      </w:r>
      <w:r>
        <w:rPr>
          <w:i/>
          <w:color w:val="3B3A3B"/>
          <w:sz w:val="18"/>
          <w:vertAlign w:val="baseline"/>
        </w:rPr>
        <w:t>Writing</w:t>
      </w:r>
      <w:r>
        <w:rPr>
          <w:i/>
          <w:color w:val="3B3A3B"/>
          <w:spacing w:val="9"/>
          <w:sz w:val="18"/>
          <w:vertAlign w:val="baseline"/>
        </w:rPr>
        <w:t> </w:t>
      </w:r>
      <w:r>
        <w:rPr>
          <w:i/>
          <w:color w:val="3B3A3B"/>
          <w:sz w:val="18"/>
          <w:vertAlign w:val="baseline"/>
        </w:rPr>
        <w:t>the</w:t>
      </w:r>
      <w:r>
        <w:rPr>
          <w:i/>
          <w:color w:val="3B3A3B"/>
          <w:spacing w:val="8"/>
          <w:sz w:val="18"/>
          <w:vertAlign w:val="baseline"/>
        </w:rPr>
        <w:t> </w:t>
      </w:r>
      <w:r>
        <w:rPr>
          <w:i/>
          <w:color w:val="3B3A3B"/>
          <w:sz w:val="18"/>
          <w:vertAlign w:val="baseline"/>
        </w:rPr>
        <w:t>Persuasive</w:t>
      </w:r>
      <w:r>
        <w:rPr>
          <w:i/>
          <w:color w:val="3B3A3B"/>
          <w:spacing w:val="10"/>
          <w:sz w:val="18"/>
          <w:vertAlign w:val="baseline"/>
        </w:rPr>
        <w:t> </w:t>
      </w:r>
      <w:r>
        <w:rPr>
          <w:i/>
          <w:color w:val="3B3A3B"/>
          <w:sz w:val="18"/>
          <w:vertAlign w:val="baseline"/>
        </w:rPr>
        <w:t>Brief,</w:t>
      </w:r>
      <w:r>
        <w:rPr>
          <w:i/>
          <w:color w:val="3B3A3B"/>
          <w:spacing w:val="-8"/>
          <w:sz w:val="18"/>
          <w:vertAlign w:val="baseline"/>
        </w:rPr>
        <w:t> </w:t>
      </w:r>
      <w:r>
        <w:rPr>
          <w:color w:val="3B3A3B"/>
          <w:sz w:val="18"/>
          <w:vertAlign w:val="baseline"/>
        </w:rPr>
        <w:t>76</w:t>
      </w:r>
      <w:r>
        <w:rPr>
          <w:color w:val="3B3A3B"/>
          <w:spacing w:val="33"/>
          <w:sz w:val="18"/>
          <w:vertAlign w:val="baseline"/>
        </w:rPr>
        <w:t> </w:t>
      </w:r>
      <w:r>
        <w:rPr>
          <w:color w:val="3B3A3B"/>
          <w:sz w:val="18"/>
          <w:vertAlign w:val="baseline"/>
        </w:rPr>
        <w:t>Wis.</w:t>
      </w:r>
      <w:r>
        <w:rPr>
          <w:color w:val="3B3A3B"/>
          <w:spacing w:val="3"/>
          <w:sz w:val="18"/>
          <w:vertAlign w:val="baseline"/>
        </w:rPr>
        <w:t> </w:t>
      </w:r>
      <w:r>
        <w:rPr>
          <w:color w:val="3B3A3B"/>
          <w:sz w:val="18"/>
          <w:vertAlign w:val="baseline"/>
        </w:rPr>
        <w:t>Law.</w:t>
      </w:r>
      <w:r>
        <w:rPr>
          <w:color w:val="3B3A3B"/>
          <w:spacing w:val="-7"/>
          <w:sz w:val="18"/>
          <w:vertAlign w:val="baseline"/>
        </w:rPr>
        <w:t> </w:t>
      </w:r>
      <w:r>
        <w:rPr>
          <w:color w:val="3B3A3B"/>
          <w:sz w:val="18"/>
          <w:vertAlign w:val="baseline"/>
        </w:rPr>
        <w:t>20,</w:t>
      </w:r>
      <w:r>
        <w:rPr>
          <w:color w:val="3B3A3B"/>
          <w:spacing w:val="49"/>
          <w:sz w:val="18"/>
          <w:vertAlign w:val="baseline"/>
        </w:rPr>
        <w:t> </w:t>
      </w:r>
      <w:r>
        <w:rPr>
          <w:color w:val="3B3A3B"/>
          <w:sz w:val="18"/>
          <w:vertAlign w:val="baseline"/>
        </w:rPr>
        <w:t>22</w:t>
      </w:r>
      <w:r>
        <w:rPr>
          <w:color w:val="3B3A3B"/>
          <w:spacing w:val="40"/>
          <w:sz w:val="18"/>
          <w:vertAlign w:val="baseline"/>
        </w:rPr>
        <w:t> </w:t>
      </w:r>
      <w:r>
        <w:rPr>
          <w:color w:val="3B3A3B"/>
          <w:sz w:val="18"/>
          <w:vertAlign w:val="baseline"/>
        </w:rPr>
        <w:t>(Feb.</w:t>
      </w:r>
      <w:r>
        <w:rPr>
          <w:color w:val="3B3A3B"/>
          <w:spacing w:val="5"/>
          <w:sz w:val="18"/>
          <w:vertAlign w:val="baseline"/>
        </w:rPr>
        <w:t> </w:t>
      </w:r>
      <w:r>
        <w:rPr>
          <w:color w:val="3B3A3B"/>
          <w:sz w:val="18"/>
          <w:vertAlign w:val="baseline"/>
        </w:rPr>
        <w:t>2003).</w:t>
      </w:r>
    </w:p>
    <w:p>
      <w:pPr>
        <w:spacing w:after="0" w:line="205" w:lineRule="exact"/>
        <w:jc w:val="both"/>
        <w:rPr>
          <w:sz w:val="18"/>
        </w:rPr>
        <w:sectPr>
          <w:pgSz w:w="9610" w:h="13790"/>
          <w:pgMar w:header="491" w:footer="0" w:top="720" w:bottom="280" w:left="4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35" w:lineRule="auto" w:before="228"/>
        <w:ind w:left="637" w:right="129" w:firstLine="25"/>
        <w:jc w:val="both"/>
        <w:rPr>
          <w:rFonts w:ascii="Arial" w:hAnsi="Arial"/>
        </w:rPr>
      </w:pPr>
      <w:r>
        <w:rPr>
          <w:color w:val="3B383A"/>
          <w:w w:val="110"/>
        </w:rPr>
        <w:t>has become "overwhelming."' A federal district judge noted that "[a]t any</w:t>
      </w:r>
      <w:r>
        <w:rPr>
          <w:color w:val="3B383A"/>
          <w:spacing w:val="-61"/>
          <w:w w:val="110"/>
        </w:rPr>
        <w:t> </w:t>
      </w:r>
      <w:r>
        <w:rPr>
          <w:color w:val="3B383A"/>
          <w:w w:val="110"/>
        </w:rPr>
        <w:t>given time," on her own docket she carries "approximately 500 civil and</w:t>
      </w:r>
      <w:r>
        <w:rPr>
          <w:color w:val="3B383A"/>
          <w:spacing w:val="1"/>
          <w:w w:val="110"/>
        </w:rPr>
        <w:t> </w:t>
      </w:r>
      <w:r>
        <w:rPr>
          <w:color w:val="3B383A"/>
          <w:spacing w:val="-1"/>
          <w:w w:val="115"/>
        </w:rPr>
        <w:t>another 75 criminal cases."</w:t>
      </w:r>
      <w:r>
        <w:rPr>
          <w:rFonts w:ascii="Arial" w:hAnsi="Arial"/>
          <w:color w:val="3B383A"/>
          <w:spacing w:val="-1"/>
          <w:w w:val="115"/>
          <w:position w:val="9"/>
          <w:sz w:val="12"/>
        </w:rPr>
        <w:t>8 </w:t>
      </w:r>
      <w:r>
        <w:rPr>
          <w:color w:val="3B383A"/>
          <w:w w:val="115"/>
        </w:rPr>
        <w:t>Scholars who analyzed statistics from state</w:t>
      </w:r>
      <w:r>
        <w:rPr>
          <w:color w:val="3B383A"/>
          <w:spacing w:val="-64"/>
          <w:w w:val="115"/>
        </w:rPr>
        <w:t> </w:t>
      </w:r>
      <w:r>
        <w:rPr>
          <w:color w:val="3B383A"/>
          <w:w w:val="110"/>
        </w:rPr>
        <w:t>and federal courts recently concluded that "[t]rial courts handle approxi­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mately</w:t>
      </w:r>
      <w:r>
        <w:rPr>
          <w:color w:val="3B383A"/>
          <w:spacing w:val="-27"/>
          <w:w w:val="110"/>
        </w:rPr>
        <w:t> </w:t>
      </w:r>
      <w:r>
        <w:rPr>
          <w:color w:val="3B383A"/>
          <w:w w:val="110"/>
        </w:rPr>
        <w:t>98%</w:t>
      </w:r>
      <w:r>
        <w:rPr>
          <w:color w:val="3B383A"/>
          <w:spacing w:val="-32"/>
          <w:w w:val="110"/>
        </w:rPr>
        <w:t> </w:t>
      </w:r>
      <w:r>
        <w:rPr>
          <w:color w:val="3B383A"/>
          <w:w w:val="110"/>
        </w:rPr>
        <w:t>of</w:t>
      </w:r>
      <w:r>
        <w:rPr>
          <w:color w:val="3B383A"/>
          <w:spacing w:val="10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29"/>
          <w:w w:val="110"/>
        </w:rPr>
        <w:t> </w:t>
      </w:r>
      <w:r>
        <w:rPr>
          <w:color w:val="3B383A"/>
          <w:w w:val="110"/>
        </w:rPr>
        <w:t>thirty-five</w:t>
      </w:r>
      <w:r>
        <w:rPr>
          <w:color w:val="3B383A"/>
          <w:spacing w:val="-4"/>
          <w:w w:val="110"/>
        </w:rPr>
        <w:t> </w:t>
      </w:r>
      <w:r>
        <w:rPr>
          <w:color w:val="3B383A"/>
          <w:w w:val="110"/>
        </w:rPr>
        <w:t>million</w:t>
      </w:r>
      <w:r>
        <w:rPr>
          <w:color w:val="3B383A"/>
          <w:spacing w:val="-13"/>
          <w:w w:val="110"/>
        </w:rPr>
        <w:t> </w:t>
      </w:r>
      <w:r>
        <w:rPr>
          <w:color w:val="3B383A"/>
          <w:w w:val="110"/>
        </w:rPr>
        <w:t>cases</w:t>
      </w:r>
      <w:r>
        <w:rPr>
          <w:color w:val="3B383A"/>
          <w:spacing w:val="-23"/>
          <w:w w:val="110"/>
        </w:rPr>
        <w:t> </w:t>
      </w:r>
      <w:r>
        <w:rPr>
          <w:color w:val="3B383A"/>
          <w:w w:val="110"/>
        </w:rPr>
        <w:t>that</w:t>
      </w:r>
      <w:r>
        <w:rPr>
          <w:color w:val="3B383A"/>
          <w:spacing w:val="-2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-20"/>
          <w:w w:val="110"/>
        </w:rPr>
        <w:t> </w:t>
      </w:r>
      <w:r>
        <w:rPr>
          <w:color w:val="3B383A"/>
          <w:w w:val="110"/>
        </w:rPr>
        <w:t>federal</w:t>
      </w:r>
      <w:r>
        <w:rPr>
          <w:color w:val="3B383A"/>
          <w:spacing w:val="-13"/>
          <w:w w:val="110"/>
        </w:rPr>
        <w:t> </w:t>
      </w:r>
      <w:r>
        <w:rPr>
          <w:color w:val="3B383A"/>
          <w:w w:val="110"/>
        </w:rPr>
        <w:t>and</w:t>
      </w:r>
      <w:r>
        <w:rPr>
          <w:color w:val="3B383A"/>
          <w:spacing w:val="15"/>
          <w:w w:val="110"/>
        </w:rPr>
        <w:t> </w:t>
      </w:r>
      <w:r>
        <w:rPr>
          <w:color w:val="3B383A"/>
          <w:w w:val="110"/>
        </w:rPr>
        <w:t>state</w:t>
      </w:r>
      <w:r>
        <w:rPr>
          <w:color w:val="3B383A"/>
          <w:spacing w:val="-20"/>
          <w:w w:val="110"/>
        </w:rPr>
        <w:t> </w:t>
      </w:r>
      <w:r>
        <w:rPr>
          <w:color w:val="3B383A"/>
          <w:w w:val="110"/>
        </w:rPr>
        <w:t>courts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5"/>
        </w:rPr>
        <w:t>resolve</w:t>
      </w:r>
      <w:r>
        <w:rPr>
          <w:color w:val="3B383A"/>
          <w:spacing w:val="-11"/>
          <w:w w:val="115"/>
        </w:rPr>
        <w:t> </w:t>
      </w:r>
      <w:r>
        <w:rPr>
          <w:color w:val="3B383A"/>
          <w:w w:val="115"/>
        </w:rPr>
        <w:t>each</w:t>
      </w:r>
      <w:r>
        <w:rPr>
          <w:color w:val="3B383A"/>
          <w:spacing w:val="-17"/>
          <w:w w:val="115"/>
        </w:rPr>
        <w:t> </w:t>
      </w:r>
      <w:r>
        <w:rPr>
          <w:color w:val="3B383A"/>
          <w:w w:val="115"/>
        </w:rPr>
        <w:t>year."</w:t>
      </w:r>
      <w:r>
        <w:rPr>
          <w:rFonts w:ascii="Arial" w:hAnsi="Arial"/>
          <w:color w:val="3B383A"/>
          <w:w w:val="115"/>
          <w:vertAlign w:val="superscript"/>
        </w:rPr>
        <w:t>9</w:t>
      </w:r>
    </w:p>
    <w:p>
      <w:pPr>
        <w:pStyle w:val="BodyText"/>
        <w:spacing w:line="235" w:lineRule="auto"/>
        <w:ind w:left="634" w:right="121" w:firstLine="370"/>
        <w:jc w:val="both"/>
      </w:pPr>
      <w:r>
        <w:rPr>
          <w:color w:val="3B383A"/>
          <w:w w:val="115"/>
        </w:rPr>
        <w:t>Think about these statistics when you make every decision-from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0"/>
        </w:rPr>
        <w:t>whether to file a motion or an appeal,</w:t>
      </w:r>
      <w:r>
        <w:rPr>
          <w:color w:val="3B383A"/>
          <w:w w:val="110"/>
          <w:vertAlign w:val="superscript"/>
        </w:rPr>
        <w:t>10</w:t>
      </w:r>
      <w:r>
        <w:rPr>
          <w:color w:val="3B383A"/>
          <w:w w:val="110"/>
          <w:vertAlign w:val="baseline"/>
        </w:rPr>
        <w:t> to the  number of issues to argue,</w:t>
      </w:r>
      <w:r>
        <w:rPr>
          <w:color w:val="3B383A"/>
          <w:spacing w:val="1"/>
          <w:w w:val="110"/>
          <w:vertAlign w:val="baseline"/>
        </w:rPr>
        <w:t> </w:t>
      </w:r>
      <w:r>
        <w:rPr>
          <w:color w:val="3B383A"/>
          <w:w w:val="105"/>
          <w:vertAlign w:val="baseline"/>
        </w:rPr>
        <w:t>to (especially) how to organize and write the brief. Your goal should be to</w:t>
      </w:r>
      <w:r>
        <w:rPr>
          <w:color w:val="3B383A"/>
          <w:spacing w:val="1"/>
          <w:w w:val="105"/>
          <w:vertAlign w:val="baseline"/>
        </w:rPr>
        <w:t> </w:t>
      </w:r>
      <w:r>
        <w:rPr>
          <w:color w:val="3B383A"/>
          <w:w w:val="110"/>
          <w:vertAlign w:val="baseline"/>
        </w:rPr>
        <w:t>produce a document that can beunderstood </w:t>
      </w:r>
      <w:r>
        <w:rPr>
          <w:color w:val="3B383A"/>
          <w:spacing w:val="9"/>
          <w:w w:val="110"/>
          <w:vertAlign w:val="baseline"/>
        </w:rPr>
        <w:t>bya </w:t>
      </w:r>
      <w:r>
        <w:rPr>
          <w:color w:val="3B383A"/>
          <w:w w:val="110"/>
          <w:vertAlign w:val="baseline"/>
        </w:rPr>
        <w:t>busy reader the first time</w:t>
      </w:r>
      <w:r>
        <w:rPr>
          <w:color w:val="3B383A"/>
          <w:spacing w:val="1"/>
          <w:w w:val="110"/>
          <w:vertAlign w:val="baseline"/>
        </w:rPr>
        <w:t> </w:t>
      </w:r>
      <w:r>
        <w:rPr>
          <w:color w:val="3B383A"/>
          <w:w w:val="115"/>
          <w:vertAlign w:val="baseline"/>
        </w:rPr>
        <w:t>through</w:t>
      </w:r>
      <w:r>
        <w:rPr>
          <w:color w:val="3B383A"/>
          <w:spacing w:val="-2"/>
          <w:w w:val="115"/>
          <w:vertAlign w:val="baseline"/>
        </w:rPr>
        <w:t> </w:t>
      </w:r>
      <w:r>
        <w:rPr>
          <w:color w:val="3B383A"/>
          <w:w w:val="115"/>
          <w:vertAlign w:val="baseline"/>
        </w:rPr>
        <w:t>without</w:t>
      </w:r>
      <w:r>
        <w:rPr>
          <w:color w:val="3B383A"/>
          <w:spacing w:val="3"/>
          <w:w w:val="115"/>
          <w:vertAlign w:val="baseline"/>
        </w:rPr>
        <w:t> </w:t>
      </w:r>
      <w:r>
        <w:rPr>
          <w:color w:val="3B383A"/>
          <w:w w:val="115"/>
          <w:vertAlign w:val="baseline"/>
        </w:rPr>
        <w:t>reference</w:t>
      </w:r>
      <w:r>
        <w:rPr>
          <w:color w:val="3B383A"/>
          <w:spacing w:val="-4"/>
          <w:w w:val="115"/>
          <w:vertAlign w:val="baseline"/>
        </w:rPr>
        <w:t> </w:t>
      </w:r>
      <w:r>
        <w:rPr>
          <w:color w:val="3B383A"/>
          <w:w w:val="115"/>
          <w:vertAlign w:val="baseline"/>
        </w:rPr>
        <w:t>to outside</w:t>
      </w:r>
      <w:r>
        <w:rPr>
          <w:color w:val="3B383A"/>
          <w:spacing w:val="-16"/>
          <w:w w:val="115"/>
          <w:vertAlign w:val="baseline"/>
        </w:rPr>
        <w:t> </w:t>
      </w:r>
      <w:r>
        <w:rPr>
          <w:color w:val="3B383A"/>
          <w:w w:val="115"/>
          <w:vertAlign w:val="baseline"/>
        </w:rPr>
        <w:t>sources.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0"/>
        <w:ind w:left="1314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565657"/>
          <w:w w:val="105"/>
          <w:sz w:val="32"/>
        </w:rPr>
        <w:t>1.3</w:t>
      </w:r>
    </w:p>
    <w:p>
      <w:pPr>
        <w:spacing w:before="73"/>
        <w:ind w:left="1321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6D6E70"/>
          <w:w w:val="105"/>
          <w:sz w:val="24"/>
        </w:rPr>
        <w:t>FOLLOW</w:t>
      </w:r>
      <w:r>
        <w:rPr>
          <w:rFonts w:ascii="Arial"/>
          <w:b/>
          <w:color w:val="6D6E70"/>
          <w:spacing w:val="44"/>
          <w:w w:val="105"/>
          <w:sz w:val="24"/>
        </w:rPr>
        <w:t> </w:t>
      </w:r>
      <w:r>
        <w:rPr>
          <w:rFonts w:ascii="Arial"/>
          <w:b/>
          <w:color w:val="565657"/>
          <w:w w:val="105"/>
          <w:sz w:val="24"/>
        </w:rPr>
        <w:t>AN</w:t>
      </w:r>
      <w:r>
        <w:rPr>
          <w:rFonts w:ascii="Arial"/>
          <w:b/>
          <w:color w:val="565657"/>
          <w:spacing w:val="36"/>
          <w:w w:val="105"/>
          <w:sz w:val="24"/>
        </w:rPr>
        <w:t> </w:t>
      </w:r>
      <w:r>
        <w:rPr>
          <w:rFonts w:ascii="Arial"/>
          <w:color w:val="6D6E70"/>
          <w:w w:val="105"/>
          <w:sz w:val="24"/>
        </w:rPr>
        <w:t>EFFECTIVE</w:t>
      </w:r>
      <w:r>
        <w:rPr>
          <w:rFonts w:ascii="Arial"/>
          <w:color w:val="6D6E70"/>
          <w:spacing w:val="19"/>
          <w:w w:val="105"/>
          <w:sz w:val="24"/>
        </w:rPr>
        <w:t> </w:t>
      </w:r>
      <w:r>
        <w:rPr>
          <w:rFonts w:ascii="Arial"/>
          <w:b/>
          <w:color w:val="808083"/>
          <w:w w:val="105"/>
          <w:sz w:val="26"/>
        </w:rPr>
        <w:t>WRITING</w:t>
      </w:r>
      <w:r>
        <w:rPr>
          <w:rFonts w:ascii="Arial"/>
          <w:b/>
          <w:color w:val="808083"/>
          <w:spacing w:val="36"/>
          <w:w w:val="105"/>
          <w:sz w:val="26"/>
        </w:rPr>
        <w:t> </w:t>
      </w:r>
      <w:r>
        <w:rPr>
          <w:rFonts w:ascii="Arial"/>
          <w:b/>
          <w:color w:val="6D6E70"/>
          <w:w w:val="105"/>
          <w:sz w:val="24"/>
        </w:rPr>
        <w:t>PROCESS</w:t>
      </w:r>
    </w:p>
    <w:p>
      <w:pPr>
        <w:pStyle w:val="BodyText"/>
        <w:spacing w:line="235" w:lineRule="auto" w:before="236"/>
        <w:ind w:left="695" w:right="121" w:firstLine="621"/>
        <w:jc w:val="both"/>
      </w:pPr>
      <w:r>
        <w:rPr>
          <w:color w:val="3B383A"/>
          <w:w w:val="105"/>
        </w:rPr>
        <w:t>Because your reader is so busy, you should keep four policies in mind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as</w:t>
      </w:r>
      <w:r>
        <w:rPr>
          <w:color w:val="3B383A"/>
          <w:spacing w:val="-11"/>
          <w:w w:val="105"/>
        </w:rPr>
        <w:t> </w:t>
      </w:r>
      <w:r>
        <w:rPr>
          <w:color w:val="3B383A"/>
          <w:w w:val="105"/>
        </w:rPr>
        <w:t>you</w:t>
      </w:r>
      <w:r>
        <w:rPr>
          <w:color w:val="3B383A"/>
          <w:spacing w:val="9"/>
          <w:w w:val="105"/>
        </w:rPr>
        <w:t> </w:t>
      </w:r>
      <w:r>
        <w:rPr>
          <w:color w:val="3B383A"/>
          <w:w w:val="105"/>
        </w:rPr>
        <w:t>make your brief-writing</w:t>
      </w:r>
      <w:r>
        <w:rPr>
          <w:color w:val="3B383A"/>
          <w:spacing w:val="11"/>
          <w:w w:val="105"/>
        </w:rPr>
        <w:t> </w:t>
      </w:r>
      <w:r>
        <w:rPr>
          <w:color w:val="3B383A"/>
          <w:w w:val="105"/>
        </w:rPr>
        <w:t>decisions:</w:t>
      </w:r>
    </w:p>
    <w:p>
      <w:pPr>
        <w:pStyle w:val="ListParagraph"/>
        <w:numPr>
          <w:ilvl w:val="2"/>
          <w:numId w:val="17"/>
        </w:numPr>
        <w:tabs>
          <w:tab w:pos="1418" w:val="left" w:leader="none"/>
        </w:tabs>
        <w:spacing w:line="232" w:lineRule="auto" w:before="3" w:after="0"/>
        <w:ind w:left="643" w:right="113" w:firstLine="423"/>
        <w:jc w:val="both"/>
        <w:rPr>
          <w:rFonts w:ascii="Arial" w:hAnsi="Arial"/>
          <w:color w:val="3B383A"/>
          <w:sz w:val="20"/>
        </w:rPr>
      </w:pPr>
      <w:r>
        <w:rPr>
          <w:b/>
          <w:color w:val="3B383A"/>
          <w:w w:val="110"/>
          <w:sz w:val="23"/>
        </w:rPr>
        <w:t>The </w:t>
      </w:r>
      <w:r>
        <w:rPr>
          <w:rFonts w:ascii="Arial" w:hAnsi="Arial"/>
          <w:b/>
          <w:i/>
          <w:color w:val="3B383A"/>
          <w:w w:val="110"/>
          <w:sz w:val="21"/>
        </w:rPr>
        <w:t>law </w:t>
      </w:r>
      <w:r>
        <w:rPr>
          <w:b/>
          <w:color w:val="3B383A"/>
          <w:w w:val="110"/>
          <w:sz w:val="23"/>
        </w:rPr>
        <w:t>upon which you base your argument should be com­</w:t>
      </w:r>
      <w:r>
        <w:rPr>
          <w:b/>
          <w:color w:val="3B383A"/>
          <w:spacing w:val="1"/>
          <w:w w:val="110"/>
          <w:sz w:val="23"/>
        </w:rPr>
        <w:t> </w:t>
      </w:r>
      <w:r>
        <w:rPr>
          <w:b/>
          <w:color w:val="3B383A"/>
          <w:spacing w:val="-1"/>
          <w:w w:val="110"/>
          <w:sz w:val="23"/>
        </w:rPr>
        <w:t>plete </w:t>
      </w:r>
      <w:r>
        <w:rPr>
          <w:b/>
          <w:color w:val="3B383A"/>
          <w:w w:val="110"/>
          <w:sz w:val="23"/>
        </w:rPr>
        <w:t>and accurate. </w:t>
      </w:r>
      <w:r>
        <w:rPr>
          <w:color w:val="3B383A"/>
          <w:w w:val="110"/>
          <w:sz w:val="23"/>
        </w:rPr>
        <w:t>No judge wants to waste time considering arguments</w:t>
      </w:r>
      <w:r>
        <w:rPr>
          <w:color w:val="3B383A"/>
          <w:spacing w:val="1"/>
          <w:w w:val="110"/>
          <w:sz w:val="23"/>
        </w:rPr>
        <w:t> </w:t>
      </w:r>
      <w:r>
        <w:rPr>
          <w:color w:val="3B383A"/>
          <w:w w:val="110"/>
          <w:sz w:val="23"/>
        </w:rPr>
        <w:t>that must be rejected. Furthermore, </w:t>
      </w:r>
      <w:r>
        <w:rPr>
          <w:color w:val="3B383A"/>
          <w:w w:val="110"/>
          <w:sz w:val="21"/>
        </w:rPr>
        <w:t>if </w:t>
      </w:r>
      <w:r>
        <w:rPr>
          <w:color w:val="3B383A"/>
          <w:w w:val="110"/>
          <w:sz w:val="23"/>
        </w:rPr>
        <w:t>you have failed to identify a signifi­</w:t>
      </w:r>
      <w:r>
        <w:rPr>
          <w:color w:val="3B383A"/>
          <w:spacing w:val="1"/>
          <w:w w:val="110"/>
          <w:sz w:val="23"/>
        </w:rPr>
        <w:t> </w:t>
      </w:r>
      <w:r>
        <w:rPr>
          <w:color w:val="3B383A"/>
          <w:w w:val="110"/>
          <w:sz w:val="23"/>
        </w:rPr>
        <w:t>cant legal authority or an important legal, ethical, or policy argument, you</w:t>
      </w:r>
      <w:r>
        <w:rPr>
          <w:color w:val="3B383A"/>
          <w:spacing w:val="-61"/>
          <w:w w:val="110"/>
          <w:sz w:val="23"/>
        </w:rPr>
        <w:t> </w:t>
      </w:r>
      <w:r>
        <w:rPr>
          <w:color w:val="3B383A"/>
          <w:w w:val="110"/>
          <w:sz w:val="23"/>
        </w:rPr>
        <w:t>should</w:t>
      </w:r>
      <w:r>
        <w:rPr>
          <w:color w:val="3B383A"/>
          <w:spacing w:val="8"/>
          <w:w w:val="110"/>
          <w:sz w:val="23"/>
        </w:rPr>
        <w:t> </w:t>
      </w:r>
      <w:r>
        <w:rPr>
          <w:color w:val="3B383A"/>
          <w:w w:val="110"/>
          <w:sz w:val="23"/>
        </w:rPr>
        <w:t>presume</w:t>
      </w:r>
      <w:r>
        <w:rPr>
          <w:color w:val="3B383A"/>
          <w:spacing w:val="2"/>
          <w:w w:val="110"/>
          <w:sz w:val="23"/>
        </w:rPr>
        <w:t> </w:t>
      </w:r>
      <w:r>
        <w:rPr>
          <w:color w:val="3B383A"/>
          <w:w w:val="110"/>
          <w:sz w:val="23"/>
        </w:rPr>
        <w:t>that</w:t>
      </w:r>
      <w:r>
        <w:rPr>
          <w:color w:val="3B383A"/>
          <w:spacing w:val="-6"/>
          <w:w w:val="110"/>
          <w:sz w:val="23"/>
        </w:rPr>
        <w:t> </w:t>
      </w:r>
      <w:r>
        <w:rPr>
          <w:color w:val="3B383A"/>
          <w:w w:val="110"/>
          <w:sz w:val="23"/>
        </w:rPr>
        <w:t>no</w:t>
      </w:r>
      <w:r>
        <w:rPr>
          <w:color w:val="3B383A"/>
          <w:spacing w:val="-11"/>
          <w:w w:val="110"/>
          <w:sz w:val="23"/>
        </w:rPr>
        <w:t> </w:t>
      </w:r>
      <w:r>
        <w:rPr>
          <w:color w:val="3B383A"/>
          <w:w w:val="110"/>
          <w:sz w:val="23"/>
        </w:rPr>
        <w:t>one</w:t>
      </w:r>
      <w:r>
        <w:rPr>
          <w:color w:val="3B383A"/>
          <w:spacing w:val="-23"/>
          <w:w w:val="110"/>
          <w:sz w:val="23"/>
        </w:rPr>
        <w:t> </w:t>
      </w:r>
      <w:r>
        <w:rPr>
          <w:color w:val="3B383A"/>
          <w:w w:val="110"/>
          <w:sz w:val="23"/>
        </w:rPr>
        <w:t>else</w:t>
      </w:r>
      <w:r>
        <w:rPr>
          <w:color w:val="3B383A"/>
          <w:spacing w:val="-13"/>
          <w:w w:val="110"/>
          <w:sz w:val="23"/>
        </w:rPr>
        <w:t> </w:t>
      </w:r>
      <w:r>
        <w:rPr>
          <w:color w:val="3B383A"/>
          <w:w w:val="110"/>
          <w:sz w:val="23"/>
        </w:rPr>
        <w:t>will</w:t>
      </w:r>
      <w:r>
        <w:rPr>
          <w:color w:val="3B383A"/>
          <w:spacing w:val="-9"/>
          <w:w w:val="110"/>
          <w:sz w:val="23"/>
        </w:rPr>
        <w:t> </w:t>
      </w:r>
      <w:r>
        <w:rPr>
          <w:color w:val="3B383A"/>
          <w:w w:val="110"/>
          <w:sz w:val="23"/>
        </w:rPr>
        <w:t>dig</w:t>
      </w:r>
      <w:r>
        <w:rPr>
          <w:color w:val="3B383A"/>
          <w:spacing w:val="11"/>
          <w:w w:val="110"/>
          <w:sz w:val="23"/>
        </w:rPr>
        <w:t> </w:t>
      </w:r>
      <w:r>
        <w:rPr>
          <w:color w:val="3B383A"/>
          <w:w w:val="110"/>
          <w:sz w:val="23"/>
        </w:rPr>
        <w:t>it</w:t>
      </w:r>
      <w:r>
        <w:rPr>
          <w:color w:val="3B383A"/>
          <w:spacing w:val="22"/>
          <w:w w:val="110"/>
          <w:sz w:val="23"/>
        </w:rPr>
        <w:t> </w:t>
      </w:r>
      <w:r>
        <w:rPr>
          <w:color w:val="3B383A"/>
          <w:w w:val="110"/>
          <w:sz w:val="23"/>
        </w:rPr>
        <w:t>up</w:t>
      </w:r>
      <w:r>
        <w:rPr>
          <w:color w:val="3B383A"/>
          <w:spacing w:val="2"/>
          <w:w w:val="110"/>
          <w:sz w:val="23"/>
        </w:rPr>
        <w:t> </w:t>
      </w:r>
      <w:r>
        <w:rPr>
          <w:color w:val="3B383A"/>
          <w:w w:val="110"/>
          <w:sz w:val="23"/>
        </w:rPr>
        <w:t>either.</w:t>
      </w:r>
    </w:p>
    <w:p>
      <w:pPr>
        <w:pStyle w:val="ListParagraph"/>
        <w:numPr>
          <w:ilvl w:val="2"/>
          <w:numId w:val="17"/>
        </w:numPr>
        <w:tabs>
          <w:tab w:pos="1415" w:val="left" w:leader="none"/>
        </w:tabs>
        <w:spacing w:line="235" w:lineRule="auto" w:before="0" w:after="0"/>
        <w:ind w:left="589" w:right="128" w:firstLine="441"/>
        <w:jc w:val="both"/>
        <w:rPr>
          <w:color w:val="3B383A"/>
          <w:sz w:val="23"/>
        </w:rPr>
      </w:pPr>
      <w:r>
        <w:rPr>
          <w:color w:val="3B383A"/>
          <w:w w:val="115"/>
          <w:sz w:val="23"/>
        </w:rPr>
        <w:t>Your arguments must be </w:t>
      </w:r>
      <w:r>
        <w:rPr>
          <w:i/>
          <w:color w:val="3B383A"/>
          <w:w w:val="115"/>
          <w:sz w:val="24"/>
        </w:rPr>
        <w:t>organized and written </w:t>
      </w:r>
      <w:r>
        <w:rPr>
          <w:color w:val="3B383A"/>
          <w:w w:val="115"/>
          <w:sz w:val="23"/>
        </w:rPr>
        <w:t>in a way that</w:t>
      </w:r>
      <w:r>
        <w:rPr>
          <w:color w:val="3B383A"/>
          <w:spacing w:val="1"/>
          <w:w w:val="115"/>
          <w:sz w:val="23"/>
        </w:rPr>
        <w:t> </w:t>
      </w:r>
      <w:r>
        <w:rPr>
          <w:color w:val="3B383A"/>
          <w:w w:val="115"/>
          <w:sz w:val="23"/>
        </w:rPr>
        <w:t>makes them easy to read and understand. Write with your audience in</w:t>
      </w:r>
      <w:r>
        <w:rPr>
          <w:color w:val="3B383A"/>
          <w:spacing w:val="1"/>
          <w:w w:val="115"/>
          <w:sz w:val="23"/>
        </w:rPr>
        <w:t> </w:t>
      </w:r>
      <w:r>
        <w:rPr>
          <w:color w:val="3B383A"/>
          <w:w w:val="115"/>
          <w:sz w:val="23"/>
        </w:rPr>
        <w:t>mind, and presume that your audience is intelligent but ignorant of the</w:t>
      </w:r>
      <w:r>
        <w:rPr>
          <w:color w:val="3B383A"/>
          <w:spacing w:val="1"/>
          <w:w w:val="115"/>
          <w:sz w:val="23"/>
        </w:rPr>
        <w:t> </w:t>
      </w:r>
      <w:r>
        <w:rPr>
          <w:color w:val="3B383A"/>
          <w:w w:val="110"/>
          <w:sz w:val="23"/>
        </w:rPr>
        <w:t>specifics of your case. </w:t>
      </w:r>
      <w:r>
        <w:rPr>
          <w:color w:val="3B383A"/>
          <w:w w:val="110"/>
          <w:sz w:val="24"/>
        </w:rPr>
        <w:t>If </w:t>
      </w:r>
      <w:r>
        <w:rPr>
          <w:color w:val="3B383A"/>
          <w:w w:val="110"/>
          <w:sz w:val="23"/>
        </w:rPr>
        <w:t>your readers can't understand your point without</w:t>
      </w:r>
      <w:r>
        <w:rPr>
          <w:color w:val="3B383A"/>
          <w:spacing w:val="1"/>
          <w:w w:val="110"/>
          <w:sz w:val="23"/>
        </w:rPr>
        <w:t> </w:t>
      </w:r>
      <w:r>
        <w:rPr>
          <w:color w:val="3B383A"/>
          <w:w w:val="115"/>
          <w:sz w:val="23"/>
        </w:rPr>
        <w:t>a</w:t>
      </w:r>
      <w:r>
        <w:rPr>
          <w:color w:val="3B383A"/>
          <w:spacing w:val="-8"/>
          <w:w w:val="115"/>
          <w:sz w:val="23"/>
        </w:rPr>
        <w:t> </w:t>
      </w:r>
      <w:r>
        <w:rPr>
          <w:color w:val="3B383A"/>
          <w:w w:val="115"/>
          <w:sz w:val="23"/>
        </w:rPr>
        <w:t>struggle</w:t>
      </w:r>
      <w:r>
        <w:rPr>
          <w:color w:val="565657"/>
          <w:w w:val="115"/>
          <w:sz w:val="23"/>
        </w:rPr>
        <w:t>,</w:t>
      </w:r>
      <w:r>
        <w:rPr>
          <w:color w:val="565657"/>
          <w:spacing w:val="6"/>
          <w:w w:val="115"/>
          <w:sz w:val="23"/>
        </w:rPr>
        <w:t> </w:t>
      </w:r>
      <w:r>
        <w:rPr>
          <w:color w:val="3B383A"/>
          <w:w w:val="115"/>
          <w:sz w:val="23"/>
        </w:rPr>
        <w:t>they</w:t>
      </w:r>
      <w:r>
        <w:rPr>
          <w:color w:val="3B383A"/>
          <w:spacing w:val="-14"/>
          <w:w w:val="115"/>
          <w:sz w:val="23"/>
        </w:rPr>
        <w:t> </w:t>
      </w:r>
      <w:r>
        <w:rPr>
          <w:color w:val="3B383A"/>
          <w:w w:val="115"/>
          <w:sz w:val="23"/>
        </w:rPr>
        <w:t>probably</w:t>
      </w:r>
      <w:r>
        <w:rPr>
          <w:color w:val="3B383A"/>
          <w:spacing w:val="-1"/>
          <w:w w:val="115"/>
          <w:sz w:val="23"/>
        </w:rPr>
        <w:t> </w:t>
      </w:r>
      <w:r>
        <w:rPr>
          <w:color w:val="3B383A"/>
          <w:w w:val="115"/>
          <w:sz w:val="23"/>
        </w:rPr>
        <w:t>won't</w:t>
      </w:r>
      <w:r>
        <w:rPr>
          <w:color w:val="3B383A"/>
          <w:spacing w:val="-10"/>
          <w:w w:val="115"/>
          <w:sz w:val="23"/>
        </w:rPr>
        <w:t> </w:t>
      </w:r>
      <w:r>
        <w:rPr>
          <w:color w:val="3B383A"/>
          <w:w w:val="115"/>
          <w:sz w:val="23"/>
        </w:rPr>
        <w:t>understand</w:t>
      </w:r>
      <w:r>
        <w:rPr>
          <w:color w:val="3B383A"/>
          <w:spacing w:val="13"/>
          <w:w w:val="115"/>
          <w:sz w:val="23"/>
        </w:rPr>
        <w:t> </w:t>
      </w:r>
      <w:r>
        <w:rPr>
          <w:color w:val="3B383A"/>
          <w:w w:val="115"/>
          <w:sz w:val="23"/>
        </w:rPr>
        <w:t>it</w:t>
      </w:r>
      <w:r>
        <w:rPr>
          <w:color w:val="3B383A"/>
          <w:spacing w:val="-11"/>
          <w:w w:val="115"/>
          <w:sz w:val="23"/>
        </w:rPr>
        <w:t> </w:t>
      </w:r>
      <w:r>
        <w:rPr>
          <w:color w:val="3B383A"/>
          <w:w w:val="115"/>
          <w:sz w:val="23"/>
        </w:rPr>
        <w:t>at</w:t>
      </w:r>
      <w:r>
        <w:rPr>
          <w:color w:val="3B383A"/>
          <w:spacing w:val="5"/>
          <w:w w:val="115"/>
          <w:sz w:val="23"/>
        </w:rPr>
        <w:t> </w:t>
      </w:r>
      <w:r>
        <w:rPr>
          <w:color w:val="3B383A"/>
          <w:w w:val="115"/>
          <w:sz w:val="23"/>
        </w:rPr>
        <w:t>all.</w:t>
      </w:r>
    </w:p>
    <w:p>
      <w:pPr>
        <w:pStyle w:val="ListParagraph"/>
        <w:numPr>
          <w:ilvl w:val="2"/>
          <w:numId w:val="17"/>
        </w:numPr>
        <w:tabs>
          <w:tab w:pos="1318" w:val="left" w:leader="none"/>
        </w:tabs>
        <w:spacing w:line="240" w:lineRule="auto" w:before="2" w:after="0"/>
        <w:ind w:left="559" w:right="148" w:firstLine="413"/>
        <w:jc w:val="both"/>
        <w:rPr>
          <w:color w:val="3B383A"/>
          <w:sz w:val="23"/>
        </w:rPr>
      </w:pPr>
      <w:r>
        <w:rPr>
          <w:color w:val="3B383A"/>
          <w:w w:val="110"/>
          <w:sz w:val="23"/>
        </w:rPr>
        <w:t>You must avoid </w:t>
      </w:r>
      <w:r>
        <w:rPr>
          <w:rFonts w:ascii="Arial" w:hAnsi="Arial"/>
          <w:i/>
          <w:color w:val="3B383A"/>
          <w:w w:val="110"/>
          <w:sz w:val="21"/>
        </w:rPr>
        <w:t>mechanical </w:t>
      </w:r>
      <w:r>
        <w:rPr>
          <w:color w:val="3B383A"/>
          <w:w w:val="110"/>
          <w:sz w:val="23"/>
        </w:rPr>
        <w:t>problems of all types. First, as a mat­</w:t>
      </w:r>
      <w:r>
        <w:rPr>
          <w:color w:val="3B383A"/>
          <w:spacing w:val="1"/>
          <w:w w:val="110"/>
          <w:sz w:val="23"/>
        </w:rPr>
        <w:t> </w:t>
      </w:r>
      <w:r>
        <w:rPr>
          <w:color w:val="3B383A"/>
          <w:w w:val="110"/>
          <w:sz w:val="23"/>
        </w:rPr>
        <w:t>ter of professionalism, you should follow the local rules of the court about</w:t>
      </w:r>
      <w:r>
        <w:rPr>
          <w:color w:val="3B383A"/>
          <w:spacing w:val="1"/>
          <w:w w:val="110"/>
          <w:sz w:val="23"/>
        </w:rPr>
        <w:t> </w:t>
      </w:r>
      <w:r>
        <w:rPr>
          <w:color w:val="3B383A"/>
          <w:w w:val="110"/>
          <w:sz w:val="23"/>
        </w:rPr>
        <w:t>format</w:t>
      </w:r>
      <w:r>
        <w:rPr>
          <w:color w:val="3B383A"/>
          <w:spacing w:val="29"/>
          <w:w w:val="110"/>
          <w:sz w:val="23"/>
        </w:rPr>
        <w:t> </w:t>
      </w:r>
      <w:r>
        <w:rPr>
          <w:color w:val="3B383A"/>
          <w:w w:val="110"/>
          <w:sz w:val="23"/>
        </w:rPr>
        <w:t>requirements</w:t>
      </w:r>
      <w:r>
        <w:rPr>
          <w:color w:val="3B383A"/>
          <w:spacing w:val="33"/>
          <w:w w:val="110"/>
          <w:sz w:val="23"/>
        </w:rPr>
        <w:t> </w:t>
      </w:r>
      <w:r>
        <w:rPr>
          <w:color w:val="3B383A"/>
          <w:w w:val="110"/>
          <w:sz w:val="23"/>
        </w:rPr>
        <w:t>and</w:t>
      </w:r>
      <w:r>
        <w:rPr>
          <w:color w:val="3B383A"/>
          <w:spacing w:val="56"/>
          <w:w w:val="110"/>
          <w:sz w:val="23"/>
        </w:rPr>
        <w:t> </w:t>
      </w:r>
      <w:r>
        <w:rPr>
          <w:color w:val="3B383A"/>
          <w:w w:val="110"/>
          <w:sz w:val="23"/>
        </w:rPr>
        <w:t>other</w:t>
      </w:r>
      <w:r>
        <w:rPr>
          <w:color w:val="3B383A"/>
          <w:spacing w:val="32"/>
          <w:w w:val="110"/>
          <w:sz w:val="23"/>
        </w:rPr>
        <w:t> </w:t>
      </w:r>
      <w:r>
        <w:rPr>
          <w:color w:val="3B383A"/>
          <w:w w:val="110"/>
          <w:sz w:val="23"/>
        </w:rPr>
        <w:t>ancillary</w:t>
      </w:r>
      <w:r>
        <w:rPr>
          <w:color w:val="3B383A"/>
          <w:spacing w:val="40"/>
          <w:w w:val="110"/>
          <w:sz w:val="23"/>
        </w:rPr>
        <w:t> </w:t>
      </w:r>
      <w:r>
        <w:rPr>
          <w:color w:val="3B383A"/>
          <w:w w:val="110"/>
          <w:sz w:val="23"/>
        </w:rPr>
        <w:t>matters.</w:t>
      </w:r>
      <w:r>
        <w:rPr>
          <w:color w:val="3B383A"/>
          <w:spacing w:val="35"/>
          <w:w w:val="110"/>
          <w:sz w:val="23"/>
        </w:rPr>
        <w:t> </w:t>
      </w:r>
      <w:r>
        <w:rPr>
          <w:color w:val="3B383A"/>
          <w:w w:val="110"/>
          <w:sz w:val="23"/>
        </w:rPr>
        <w:t>In</w:t>
      </w:r>
      <w:r>
        <w:rPr>
          <w:color w:val="3B383A"/>
          <w:spacing w:val="34"/>
          <w:w w:val="110"/>
          <w:sz w:val="23"/>
        </w:rPr>
        <w:t> </w:t>
      </w:r>
      <w:r>
        <w:rPr>
          <w:color w:val="3B383A"/>
          <w:w w:val="110"/>
          <w:sz w:val="23"/>
        </w:rPr>
        <w:t>some</w:t>
      </w:r>
      <w:r>
        <w:rPr>
          <w:color w:val="3B383A"/>
          <w:spacing w:val="11"/>
          <w:w w:val="110"/>
          <w:sz w:val="23"/>
        </w:rPr>
        <w:t> </w:t>
      </w:r>
      <w:r>
        <w:rPr>
          <w:color w:val="3B383A"/>
          <w:w w:val="110"/>
          <w:sz w:val="23"/>
        </w:rPr>
        <w:t>courts,</w:t>
      </w:r>
      <w:r>
        <w:rPr>
          <w:color w:val="3B383A"/>
          <w:spacing w:val="35"/>
          <w:w w:val="110"/>
          <w:sz w:val="23"/>
        </w:rPr>
        <w:t> </w:t>
      </w:r>
      <w:r>
        <w:rPr>
          <w:color w:val="3B383A"/>
          <w:w w:val="110"/>
          <w:sz w:val="23"/>
        </w:rPr>
        <w:t>failure</w:t>
      </w:r>
      <w:r>
        <w:rPr>
          <w:color w:val="3B383A"/>
          <w:spacing w:val="-61"/>
          <w:w w:val="110"/>
          <w:sz w:val="23"/>
        </w:rPr>
        <w:t> </w:t>
      </w:r>
      <w:r>
        <w:rPr>
          <w:color w:val="3B383A"/>
          <w:spacing w:val="-1"/>
          <w:w w:val="110"/>
          <w:sz w:val="23"/>
        </w:rPr>
        <w:t>to</w:t>
      </w:r>
      <w:r>
        <w:rPr>
          <w:color w:val="3B383A"/>
          <w:w w:val="110"/>
          <w:sz w:val="23"/>
        </w:rPr>
        <w:t> </w:t>
      </w:r>
      <w:r>
        <w:rPr>
          <w:color w:val="3B383A"/>
          <w:spacing w:val="-1"/>
          <w:w w:val="110"/>
          <w:sz w:val="23"/>
        </w:rPr>
        <w:t>follow</w:t>
      </w:r>
      <w:r>
        <w:rPr>
          <w:color w:val="3B383A"/>
          <w:spacing w:val="-17"/>
          <w:w w:val="110"/>
          <w:sz w:val="23"/>
        </w:rPr>
        <w:t> </w:t>
      </w:r>
      <w:r>
        <w:rPr>
          <w:color w:val="3B383A"/>
          <w:spacing w:val="-1"/>
          <w:w w:val="110"/>
          <w:sz w:val="23"/>
        </w:rPr>
        <w:t>the</w:t>
      </w:r>
      <w:r>
        <w:rPr>
          <w:color w:val="3B383A"/>
          <w:spacing w:val="23"/>
          <w:w w:val="110"/>
          <w:sz w:val="23"/>
        </w:rPr>
        <w:t> </w:t>
      </w:r>
      <w:r>
        <w:rPr>
          <w:color w:val="3B383A"/>
          <w:w w:val="110"/>
          <w:sz w:val="23"/>
        </w:rPr>
        <w:t>rules</w:t>
      </w:r>
      <w:r>
        <w:rPr>
          <w:color w:val="3B383A"/>
          <w:spacing w:val="-18"/>
          <w:w w:val="110"/>
          <w:sz w:val="23"/>
        </w:rPr>
        <w:t> </w:t>
      </w:r>
      <w:r>
        <w:rPr>
          <w:color w:val="3B383A"/>
          <w:w w:val="110"/>
          <w:sz w:val="23"/>
        </w:rPr>
        <w:t>will</w:t>
      </w:r>
      <w:r>
        <w:rPr>
          <w:color w:val="3B383A"/>
          <w:spacing w:val="-13"/>
          <w:w w:val="110"/>
          <w:sz w:val="23"/>
        </w:rPr>
        <w:t> </w:t>
      </w:r>
      <w:r>
        <w:rPr>
          <w:color w:val="3B383A"/>
          <w:w w:val="110"/>
          <w:sz w:val="23"/>
        </w:rPr>
        <w:t>get</w:t>
      </w:r>
      <w:r>
        <w:rPr>
          <w:color w:val="3B383A"/>
          <w:spacing w:val="6"/>
          <w:w w:val="110"/>
          <w:sz w:val="23"/>
        </w:rPr>
        <w:t> </w:t>
      </w:r>
      <w:r>
        <w:rPr>
          <w:color w:val="3B383A"/>
          <w:w w:val="110"/>
          <w:sz w:val="23"/>
        </w:rPr>
        <w:t>a</w:t>
      </w:r>
      <w:r>
        <w:rPr>
          <w:color w:val="3B383A"/>
          <w:spacing w:val="-8"/>
          <w:w w:val="110"/>
          <w:sz w:val="23"/>
        </w:rPr>
        <w:t> </w:t>
      </w:r>
      <w:r>
        <w:rPr>
          <w:color w:val="3B383A"/>
          <w:w w:val="110"/>
          <w:sz w:val="23"/>
        </w:rPr>
        <w:t>case</w:t>
      </w:r>
      <w:r>
        <w:rPr>
          <w:color w:val="3B383A"/>
          <w:spacing w:val="-21"/>
          <w:w w:val="110"/>
          <w:sz w:val="23"/>
        </w:rPr>
        <w:t> </w:t>
      </w:r>
      <w:r>
        <w:rPr>
          <w:color w:val="3B383A"/>
          <w:w w:val="110"/>
          <w:sz w:val="23"/>
        </w:rPr>
        <w:t>dismissed;</w:t>
      </w:r>
      <w:r>
        <w:rPr>
          <w:color w:val="3B383A"/>
          <w:spacing w:val="-18"/>
          <w:w w:val="110"/>
          <w:sz w:val="23"/>
        </w:rPr>
        <w:t> </w:t>
      </w:r>
      <w:r>
        <w:rPr>
          <w:color w:val="3B383A"/>
          <w:w w:val="110"/>
          <w:sz w:val="23"/>
        </w:rPr>
        <w:t>in</w:t>
      </w:r>
      <w:r>
        <w:rPr>
          <w:color w:val="3B383A"/>
          <w:spacing w:val="11"/>
          <w:w w:val="110"/>
          <w:sz w:val="23"/>
        </w:rPr>
        <w:t> </w:t>
      </w:r>
      <w:r>
        <w:rPr>
          <w:color w:val="3B383A"/>
          <w:w w:val="110"/>
          <w:sz w:val="23"/>
        </w:rPr>
        <w:t>others</w:t>
      </w:r>
      <w:r>
        <w:rPr>
          <w:color w:val="565657"/>
          <w:w w:val="110"/>
          <w:sz w:val="23"/>
        </w:rPr>
        <w:t>,</w:t>
      </w:r>
      <w:r>
        <w:rPr>
          <w:color w:val="565657"/>
          <w:spacing w:val="-1"/>
          <w:w w:val="110"/>
          <w:sz w:val="23"/>
        </w:rPr>
        <w:t> </w:t>
      </w:r>
      <w:r>
        <w:rPr>
          <w:color w:val="3B383A"/>
          <w:w w:val="110"/>
          <w:sz w:val="23"/>
        </w:rPr>
        <w:t>it may</w:t>
      </w:r>
      <w:r>
        <w:rPr>
          <w:color w:val="3B383A"/>
          <w:spacing w:val="-6"/>
          <w:w w:val="110"/>
          <w:sz w:val="23"/>
        </w:rPr>
        <w:t> </w:t>
      </w:r>
      <w:r>
        <w:rPr>
          <w:color w:val="3B383A"/>
          <w:w w:val="110"/>
          <w:sz w:val="23"/>
        </w:rPr>
        <w:t>result</w:t>
      </w:r>
      <w:r>
        <w:rPr>
          <w:color w:val="3B383A"/>
          <w:spacing w:val="-12"/>
          <w:w w:val="110"/>
          <w:sz w:val="23"/>
        </w:rPr>
        <w:t> </w:t>
      </w:r>
      <w:r>
        <w:rPr>
          <w:color w:val="3B383A"/>
          <w:w w:val="110"/>
          <w:sz w:val="23"/>
        </w:rPr>
        <w:t>in</w:t>
      </w:r>
      <w:r>
        <w:rPr>
          <w:color w:val="3B383A"/>
          <w:spacing w:val="16"/>
          <w:w w:val="110"/>
          <w:sz w:val="23"/>
        </w:rPr>
        <w:t> </w:t>
      </w:r>
      <w:r>
        <w:rPr>
          <w:color w:val="3B383A"/>
          <w:w w:val="110"/>
          <w:sz w:val="23"/>
        </w:rPr>
        <w:t>your</w:t>
      </w:r>
    </w:p>
    <w:p>
      <w:pPr>
        <w:pStyle w:val="BodyText"/>
        <w:spacing w:line="257" w:lineRule="exact"/>
        <w:ind w:left="569"/>
      </w:pPr>
      <w:r>
        <w:rPr>
          <w:color w:val="3B383A"/>
          <w:w w:val="110"/>
        </w:rPr>
        <w:t>brief</w:t>
      </w:r>
      <w:r>
        <w:rPr>
          <w:color w:val="3B383A"/>
          <w:spacing w:val="56"/>
          <w:w w:val="110"/>
        </w:rPr>
        <w:t> </w:t>
      </w:r>
      <w:r>
        <w:rPr>
          <w:color w:val="3B383A"/>
          <w:w w:val="110"/>
        </w:rPr>
        <w:t>being</w:t>
      </w:r>
      <w:r>
        <w:rPr>
          <w:color w:val="3B383A"/>
          <w:spacing w:val="19"/>
          <w:w w:val="110"/>
        </w:rPr>
        <w:t> </w:t>
      </w:r>
      <w:r>
        <w:rPr>
          <w:color w:val="3B383A"/>
          <w:w w:val="110"/>
        </w:rPr>
        <w:t>returned</w:t>
      </w:r>
      <w:r>
        <w:rPr>
          <w:color w:val="3B383A"/>
          <w:spacing w:val="38"/>
          <w:w w:val="110"/>
        </w:rPr>
        <w:t> </w:t>
      </w:r>
      <w:r>
        <w:rPr>
          <w:color w:val="3B383A"/>
          <w:w w:val="110"/>
        </w:rPr>
        <w:t>so</w:t>
      </w:r>
      <w:r>
        <w:rPr>
          <w:color w:val="3B383A"/>
          <w:spacing w:val="38"/>
          <w:w w:val="110"/>
        </w:rPr>
        <w:t> </w:t>
      </w:r>
      <w:r>
        <w:rPr>
          <w:color w:val="3B383A"/>
          <w:w w:val="110"/>
        </w:rPr>
        <w:t>that</w:t>
      </w:r>
      <w:r>
        <w:rPr>
          <w:color w:val="3B383A"/>
          <w:spacing w:val="27"/>
          <w:w w:val="110"/>
        </w:rPr>
        <w:t> </w:t>
      </w:r>
      <w:r>
        <w:rPr>
          <w:color w:val="3B383A"/>
          <w:w w:val="110"/>
        </w:rPr>
        <w:t>you</w:t>
      </w:r>
      <w:r>
        <w:rPr>
          <w:color w:val="3B383A"/>
          <w:spacing w:val="-9"/>
          <w:w w:val="110"/>
        </w:rPr>
        <w:t> </w:t>
      </w:r>
      <w:r>
        <w:rPr>
          <w:color w:val="3B383A"/>
          <w:w w:val="110"/>
        </w:rPr>
        <w:t>can</w:t>
      </w:r>
      <w:r>
        <w:rPr>
          <w:color w:val="3B383A"/>
          <w:spacing w:val="10"/>
          <w:w w:val="110"/>
        </w:rPr>
        <w:t> </w:t>
      </w:r>
      <w:r>
        <w:rPr>
          <w:color w:val="3B383A"/>
          <w:w w:val="110"/>
        </w:rPr>
        <w:t>try</w:t>
      </w:r>
      <w:r>
        <w:rPr>
          <w:color w:val="3B383A"/>
          <w:spacing w:val="-2"/>
          <w:w w:val="110"/>
        </w:rPr>
        <w:t> </w:t>
      </w:r>
      <w:r>
        <w:rPr>
          <w:color w:val="3B383A"/>
          <w:w w:val="110"/>
        </w:rPr>
        <w:t>again</w:t>
      </w:r>
      <w:r>
        <w:rPr>
          <w:color w:val="3B383A"/>
          <w:spacing w:val="47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35"/>
          <w:w w:val="110"/>
        </w:rPr>
        <w:t> </w:t>
      </w:r>
      <w:r>
        <w:rPr>
          <w:color w:val="3B383A"/>
          <w:w w:val="110"/>
        </w:rPr>
        <w:t>comply</w:t>
      </w:r>
      <w:r>
        <w:rPr>
          <w:color w:val="3B383A"/>
          <w:spacing w:val="32"/>
          <w:w w:val="110"/>
        </w:rPr>
        <w:t> </w:t>
      </w:r>
      <w:r>
        <w:rPr>
          <w:color w:val="3B383A"/>
          <w:w w:val="110"/>
        </w:rPr>
        <w:t>with</w:t>
      </w:r>
      <w:r>
        <w:rPr>
          <w:color w:val="3B383A"/>
          <w:spacing w:val="33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60"/>
          <w:w w:val="110"/>
        </w:rPr>
        <w:t> </w:t>
      </w:r>
      <w:r>
        <w:rPr>
          <w:color w:val="3B383A"/>
          <w:w w:val="110"/>
        </w:rPr>
        <w:t>rules.</w:t>
      </w:r>
    </w:p>
    <w:p>
      <w:pPr>
        <w:pStyle w:val="BodyText"/>
        <w:rPr>
          <w:sz w:val="26"/>
        </w:rPr>
      </w:pPr>
    </w:p>
    <w:p>
      <w:pPr>
        <w:spacing w:line="211" w:lineRule="auto" w:before="188"/>
        <w:ind w:left="506" w:right="173" w:firstLine="401"/>
        <w:jc w:val="both"/>
        <w:rPr>
          <w:sz w:val="19"/>
        </w:rPr>
      </w:pPr>
      <w:r>
        <w:rPr>
          <w:color w:val="3B383A"/>
          <w:w w:val="95"/>
          <w:sz w:val="19"/>
        </w:rPr>
        <w:t>'Honorable Helen E. Ho</w:t>
      </w:r>
      <w:r>
        <w:rPr>
          <w:color w:val="565657"/>
          <w:w w:val="95"/>
          <w:sz w:val="19"/>
        </w:rPr>
        <w:t>e</w:t>
      </w:r>
      <w:r>
        <w:rPr>
          <w:color w:val="3B383A"/>
          <w:w w:val="95"/>
          <w:sz w:val="19"/>
        </w:rPr>
        <w:t>ns, </w:t>
      </w:r>
      <w:r>
        <w:rPr>
          <w:i/>
          <w:color w:val="3B383A"/>
          <w:w w:val="95"/>
          <w:sz w:val="19"/>
        </w:rPr>
        <w:t>Writing Persuasively at the Trial Court Level: Practical Tips on Style</w:t>
      </w:r>
      <w:r>
        <w:rPr>
          <w:i/>
          <w:color w:val="3B383A"/>
          <w:spacing w:val="1"/>
          <w:w w:val="95"/>
          <w:sz w:val="19"/>
        </w:rPr>
        <w:t> </w:t>
      </w:r>
      <w:r>
        <w:rPr>
          <w:i/>
          <w:color w:val="3B383A"/>
          <w:sz w:val="19"/>
        </w:rPr>
        <w:t>and</w:t>
      </w:r>
      <w:r>
        <w:rPr>
          <w:i/>
          <w:color w:val="3B383A"/>
          <w:spacing w:val="-10"/>
          <w:sz w:val="19"/>
        </w:rPr>
        <w:t> </w:t>
      </w:r>
      <w:r>
        <w:rPr>
          <w:i/>
          <w:color w:val="3B383A"/>
          <w:sz w:val="19"/>
        </w:rPr>
        <w:t>Substance,</w:t>
      </w:r>
      <w:r>
        <w:rPr>
          <w:i/>
          <w:color w:val="3B383A"/>
          <w:spacing w:val="-11"/>
          <w:sz w:val="19"/>
        </w:rPr>
        <w:t> </w:t>
      </w:r>
      <w:r>
        <w:rPr>
          <w:color w:val="3B383A"/>
          <w:sz w:val="19"/>
        </w:rPr>
        <w:t>210</w:t>
      </w:r>
      <w:r>
        <w:rPr>
          <w:color w:val="3B383A"/>
          <w:spacing w:val="-10"/>
          <w:sz w:val="19"/>
        </w:rPr>
        <w:t> </w:t>
      </w:r>
      <w:r>
        <w:rPr>
          <w:color w:val="3B383A"/>
          <w:sz w:val="19"/>
        </w:rPr>
        <w:t>N</w:t>
      </w:r>
      <w:r>
        <w:rPr>
          <w:color w:val="565657"/>
          <w:sz w:val="19"/>
        </w:rPr>
        <w:t>.</w:t>
      </w:r>
      <w:r>
        <w:rPr>
          <w:color w:val="3B383A"/>
          <w:sz w:val="19"/>
        </w:rPr>
        <w:t>J.</w:t>
      </w:r>
      <w:r>
        <w:rPr>
          <w:color w:val="3B383A"/>
          <w:spacing w:val="-3"/>
          <w:sz w:val="19"/>
        </w:rPr>
        <w:t> </w:t>
      </w:r>
      <w:r>
        <w:rPr>
          <w:color w:val="3B383A"/>
          <w:sz w:val="19"/>
        </w:rPr>
        <w:t>Law.</w:t>
      </w:r>
      <w:r>
        <w:rPr>
          <w:color w:val="3B383A"/>
          <w:spacing w:val="-23"/>
          <w:sz w:val="19"/>
        </w:rPr>
        <w:t> </w:t>
      </w:r>
      <w:r>
        <w:rPr>
          <w:color w:val="3B383A"/>
          <w:sz w:val="19"/>
        </w:rPr>
        <w:t>9</w:t>
      </w:r>
      <w:r>
        <w:rPr>
          <w:color w:val="3B383A"/>
          <w:spacing w:val="5"/>
          <w:sz w:val="19"/>
        </w:rPr>
        <w:t> </w:t>
      </w:r>
      <w:r>
        <w:rPr>
          <w:color w:val="3B383A"/>
          <w:sz w:val="19"/>
        </w:rPr>
        <w:t>(Aug.</w:t>
      </w:r>
      <w:r>
        <w:rPr>
          <w:color w:val="3B383A"/>
          <w:spacing w:val="2"/>
          <w:sz w:val="19"/>
        </w:rPr>
        <w:t> </w:t>
      </w:r>
      <w:r>
        <w:rPr>
          <w:color w:val="3B383A"/>
          <w:sz w:val="19"/>
        </w:rPr>
        <w:t>2001)</w:t>
      </w:r>
      <w:r>
        <w:rPr>
          <w:color w:val="565657"/>
          <w:sz w:val="19"/>
        </w:rPr>
        <w:t>.</w:t>
      </w:r>
    </w:p>
    <w:p>
      <w:pPr>
        <w:pStyle w:val="ListParagraph"/>
        <w:numPr>
          <w:ilvl w:val="0"/>
          <w:numId w:val="19"/>
        </w:numPr>
        <w:tabs>
          <w:tab w:pos="971" w:val="left" w:leader="none"/>
        </w:tabs>
        <w:spacing w:line="211" w:lineRule="auto" w:before="30" w:after="0"/>
        <w:ind w:left="481" w:right="209" w:firstLine="292"/>
        <w:jc w:val="both"/>
        <w:rPr>
          <w:sz w:val="19"/>
        </w:rPr>
      </w:pPr>
      <w:r>
        <w:rPr>
          <w:color w:val="3B383A"/>
          <w:w w:val="95"/>
          <w:sz w:val="19"/>
        </w:rPr>
        <w:t>Honorable Sarah Evans Barker, </w:t>
      </w:r>
      <w:r>
        <w:rPr>
          <w:i/>
          <w:color w:val="3B383A"/>
          <w:w w:val="95"/>
          <w:sz w:val="19"/>
        </w:rPr>
        <w:t>Beyond Decisional Templates</w:t>
      </w:r>
      <w:r>
        <w:rPr>
          <w:i/>
          <w:color w:val="565657"/>
          <w:w w:val="95"/>
          <w:sz w:val="19"/>
        </w:rPr>
        <w:t>: </w:t>
      </w:r>
      <w:r>
        <w:rPr>
          <w:i/>
          <w:color w:val="3B383A"/>
          <w:w w:val="95"/>
          <w:sz w:val="19"/>
        </w:rPr>
        <w:t>The Role of Imaginative fustice </w:t>
      </w:r>
      <w:r>
        <w:rPr>
          <w:rFonts w:ascii="Arial" w:hAnsi="Arial"/>
          <w:i/>
          <w:color w:val="3B383A"/>
          <w:w w:val="95"/>
          <w:sz w:val="17"/>
        </w:rPr>
        <w:t>In</w:t>
      </w:r>
      <w:r>
        <w:rPr>
          <w:rFonts w:ascii="Arial" w:hAnsi="Arial"/>
          <w:i/>
          <w:color w:val="3B383A"/>
          <w:spacing w:val="1"/>
          <w:w w:val="95"/>
          <w:sz w:val="17"/>
        </w:rPr>
        <w:t> </w:t>
      </w:r>
      <w:r>
        <w:rPr>
          <w:rFonts w:ascii="Arial" w:hAnsi="Arial"/>
          <w:i/>
          <w:color w:val="3B383A"/>
          <w:spacing w:val="-1"/>
          <w:sz w:val="17"/>
        </w:rPr>
        <w:t>the</w:t>
      </w:r>
      <w:r>
        <w:rPr>
          <w:rFonts w:ascii="Arial" w:hAnsi="Arial"/>
          <w:i/>
          <w:color w:val="3B383A"/>
          <w:spacing w:val="-23"/>
          <w:sz w:val="17"/>
        </w:rPr>
        <w:t> </w:t>
      </w:r>
      <w:r>
        <w:rPr>
          <w:i/>
          <w:color w:val="3B383A"/>
          <w:spacing w:val="-1"/>
          <w:sz w:val="19"/>
        </w:rPr>
        <w:t>Trial</w:t>
      </w:r>
      <w:r>
        <w:rPr>
          <w:i/>
          <w:color w:val="3B383A"/>
          <w:spacing w:val="-19"/>
          <w:sz w:val="19"/>
        </w:rPr>
        <w:t> </w:t>
      </w:r>
      <w:r>
        <w:rPr>
          <w:i/>
          <w:color w:val="3B383A"/>
          <w:sz w:val="19"/>
        </w:rPr>
        <w:t>Court</w:t>
      </w:r>
      <w:r>
        <w:rPr>
          <w:i/>
          <w:color w:val="3B383A"/>
          <w:spacing w:val="-12"/>
          <w:sz w:val="19"/>
        </w:rPr>
        <w:t> </w:t>
      </w:r>
      <w:r>
        <w:rPr>
          <w:color w:val="3B383A"/>
          <w:sz w:val="19"/>
        </w:rPr>
        <w:t>(Hallows</w:t>
      </w:r>
      <w:r>
        <w:rPr>
          <w:color w:val="3B383A"/>
          <w:spacing w:val="-4"/>
          <w:sz w:val="19"/>
        </w:rPr>
        <w:t> </w:t>
      </w:r>
      <w:r>
        <w:rPr>
          <w:color w:val="3B383A"/>
          <w:sz w:val="19"/>
        </w:rPr>
        <w:t>Lecture),</w:t>
      </w:r>
      <w:r>
        <w:rPr>
          <w:color w:val="3B383A"/>
          <w:spacing w:val="-5"/>
          <w:sz w:val="19"/>
        </w:rPr>
        <w:t> </w:t>
      </w:r>
      <w:r>
        <w:rPr>
          <w:color w:val="3B383A"/>
          <w:sz w:val="19"/>
        </w:rPr>
        <w:t>92</w:t>
      </w:r>
      <w:r>
        <w:rPr>
          <w:color w:val="3B383A"/>
          <w:spacing w:val="-8"/>
          <w:sz w:val="19"/>
        </w:rPr>
        <w:t> </w:t>
      </w:r>
      <w:r>
        <w:rPr>
          <w:color w:val="3B383A"/>
          <w:sz w:val="19"/>
        </w:rPr>
        <w:t>Marq</w:t>
      </w:r>
      <w:r>
        <w:rPr>
          <w:color w:val="565657"/>
          <w:sz w:val="19"/>
        </w:rPr>
        <w:t>.</w:t>
      </w:r>
      <w:r>
        <w:rPr>
          <w:color w:val="565657"/>
          <w:spacing w:val="-2"/>
          <w:sz w:val="19"/>
        </w:rPr>
        <w:t> </w:t>
      </w:r>
      <w:r>
        <w:rPr>
          <w:color w:val="3B383A"/>
          <w:sz w:val="18"/>
        </w:rPr>
        <w:t>L.</w:t>
      </w:r>
      <w:r>
        <w:rPr>
          <w:color w:val="3B383A"/>
          <w:spacing w:val="-11"/>
          <w:sz w:val="18"/>
        </w:rPr>
        <w:t> </w:t>
      </w:r>
      <w:r>
        <w:rPr>
          <w:color w:val="3B383A"/>
          <w:sz w:val="19"/>
        </w:rPr>
        <w:t>Rev</w:t>
      </w:r>
      <w:r>
        <w:rPr>
          <w:color w:val="565657"/>
          <w:sz w:val="19"/>
        </w:rPr>
        <w:t>.</w:t>
      </w:r>
      <w:r>
        <w:rPr>
          <w:color w:val="565657"/>
          <w:spacing w:val="-6"/>
          <w:sz w:val="19"/>
        </w:rPr>
        <w:t> </w:t>
      </w:r>
      <w:r>
        <w:rPr>
          <w:color w:val="3B383A"/>
          <w:sz w:val="19"/>
        </w:rPr>
        <w:t>667,</w:t>
      </w:r>
      <w:r>
        <w:rPr>
          <w:color w:val="3B383A"/>
          <w:spacing w:val="-13"/>
          <w:sz w:val="19"/>
        </w:rPr>
        <w:t> </w:t>
      </w:r>
      <w:r>
        <w:rPr>
          <w:color w:val="3B383A"/>
          <w:sz w:val="19"/>
        </w:rPr>
        <w:t>674</w:t>
      </w:r>
      <w:r>
        <w:rPr>
          <w:color w:val="3B383A"/>
          <w:spacing w:val="-10"/>
          <w:sz w:val="19"/>
        </w:rPr>
        <w:t> </w:t>
      </w:r>
      <w:r>
        <w:rPr>
          <w:color w:val="3B383A"/>
          <w:sz w:val="19"/>
        </w:rPr>
        <w:t>(2009</w:t>
      </w:r>
      <w:r>
        <w:rPr>
          <w:color w:val="565657"/>
          <w:sz w:val="19"/>
        </w:rPr>
        <w:t>)</w:t>
      </w:r>
      <w:r>
        <w:rPr>
          <w:color w:val="3B383A"/>
          <w:sz w:val="19"/>
        </w:rPr>
        <w:t>.</w:t>
      </w:r>
    </w:p>
    <w:p>
      <w:pPr>
        <w:spacing w:line="206" w:lineRule="auto" w:before="9"/>
        <w:ind w:left="468" w:right="192" w:firstLine="394"/>
        <w:jc w:val="both"/>
        <w:rPr>
          <w:sz w:val="19"/>
        </w:rPr>
      </w:pPr>
      <w:r>
        <w:rPr>
          <w:rFonts w:ascii="Arial"/>
          <w:color w:val="565657"/>
          <w:w w:val="95"/>
          <w:sz w:val="19"/>
          <w:vertAlign w:val="superscript"/>
        </w:rPr>
        <w:t>9</w:t>
      </w:r>
      <w:r>
        <w:rPr>
          <w:color w:val="3B383A"/>
          <w:w w:val="95"/>
          <w:sz w:val="19"/>
          <w:vertAlign w:val="baseline"/>
        </w:rPr>
        <w:t>Chrls Guthrie, Jeffrey </w:t>
      </w:r>
      <w:r>
        <w:rPr>
          <w:color w:val="3B383A"/>
          <w:w w:val="95"/>
          <w:sz w:val="22"/>
          <w:vertAlign w:val="baseline"/>
        </w:rPr>
        <w:t>J</w:t>
      </w:r>
      <w:r>
        <w:rPr>
          <w:color w:val="565657"/>
          <w:w w:val="95"/>
          <w:sz w:val="22"/>
          <w:vertAlign w:val="baseline"/>
        </w:rPr>
        <w:t>. </w:t>
      </w:r>
      <w:r>
        <w:rPr>
          <w:color w:val="3B383A"/>
          <w:w w:val="95"/>
          <w:sz w:val="19"/>
          <w:vertAlign w:val="baseline"/>
        </w:rPr>
        <w:t>Rachllnskl</w:t>
      </w:r>
      <w:r>
        <w:rPr>
          <w:color w:val="3B383A"/>
          <w:spacing w:val="1"/>
          <w:w w:val="95"/>
          <w:sz w:val="19"/>
          <w:vertAlign w:val="baseline"/>
        </w:rPr>
        <w:t> </w:t>
      </w:r>
      <w:r>
        <w:rPr>
          <w:color w:val="3B383A"/>
          <w:w w:val="95"/>
          <w:sz w:val="17"/>
          <w:vertAlign w:val="baseline"/>
        </w:rPr>
        <w:t>&amp; </w:t>
      </w:r>
      <w:r>
        <w:rPr>
          <w:color w:val="3B383A"/>
          <w:w w:val="95"/>
          <w:sz w:val="19"/>
          <w:vertAlign w:val="baseline"/>
        </w:rPr>
        <w:t>Andrew </w:t>
      </w:r>
      <w:r>
        <w:rPr>
          <w:color w:val="3B383A"/>
          <w:w w:val="95"/>
          <w:sz w:val="22"/>
          <w:vertAlign w:val="baseline"/>
        </w:rPr>
        <w:t>J. </w:t>
      </w:r>
      <w:r>
        <w:rPr>
          <w:color w:val="3B383A"/>
          <w:w w:val="95"/>
          <w:sz w:val="19"/>
          <w:vertAlign w:val="baseline"/>
        </w:rPr>
        <w:t>Wistrlch, </w:t>
      </w:r>
      <w:r>
        <w:rPr>
          <w:i/>
          <w:color w:val="3B383A"/>
          <w:w w:val="95"/>
          <w:sz w:val="19"/>
          <w:vertAlign w:val="baseline"/>
        </w:rPr>
        <w:t>Blinking on the Bench: How Judges</w:t>
      </w:r>
      <w:r>
        <w:rPr>
          <w:i/>
          <w:color w:val="3B383A"/>
          <w:spacing w:val="1"/>
          <w:w w:val="95"/>
          <w:sz w:val="19"/>
          <w:vertAlign w:val="baseline"/>
        </w:rPr>
        <w:t> </w:t>
      </w:r>
      <w:r>
        <w:rPr>
          <w:i/>
          <w:color w:val="3B383A"/>
          <w:sz w:val="19"/>
          <w:vertAlign w:val="baseline"/>
        </w:rPr>
        <w:t>Decide</w:t>
      </w:r>
      <w:r>
        <w:rPr>
          <w:i/>
          <w:color w:val="3B383A"/>
          <w:spacing w:val="-16"/>
          <w:sz w:val="19"/>
          <w:vertAlign w:val="baseline"/>
        </w:rPr>
        <w:t> </w:t>
      </w:r>
      <w:r>
        <w:rPr>
          <w:i/>
          <w:color w:val="565657"/>
          <w:sz w:val="19"/>
          <w:vertAlign w:val="baseline"/>
        </w:rPr>
        <w:t>C</w:t>
      </w:r>
      <w:r>
        <w:rPr>
          <w:i/>
          <w:color w:val="3B383A"/>
          <w:sz w:val="19"/>
          <w:vertAlign w:val="baseline"/>
        </w:rPr>
        <w:t>ases,</w:t>
      </w:r>
      <w:r>
        <w:rPr>
          <w:i/>
          <w:color w:val="3B383A"/>
          <w:spacing w:val="-7"/>
          <w:sz w:val="19"/>
          <w:vertAlign w:val="baseline"/>
        </w:rPr>
        <w:t> </w:t>
      </w:r>
      <w:r>
        <w:rPr>
          <w:color w:val="3B383A"/>
          <w:sz w:val="19"/>
          <w:vertAlign w:val="baseline"/>
        </w:rPr>
        <w:t>93</w:t>
      </w:r>
      <w:r>
        <w:rPr>
          <w:color w:val="3B383A"/>
          <w:spacing w:val="23"/>
          <w:sz w:val="19"/>
          <w:vertAlign w:val="baseline"/>
        </w:rPr>
        <w:t> </w:t>
      </w:r>
      <w:r>
        <w:rPr>
          <w:color w:val="3B383A"/>
          <w:sz w:val="19"/>
          <w:vertAlign w:val="baseline"/>
        </w:rPr>
        <w:t>Cornell</w:t>
      </w:r>
      <w:r>
        <w:rPr>
          <w:color w:val="3B383A"/>
          <w:spacing w:val="13"/>
          <w:sz w:val="19"/>
          <w:vertAlign w:val="baseline"/>
        </w:rPr>
        <w:t> </w:t>
      </w:r>
      <w:r>
        <w:rPr>
          <w:color w:val="3B383A"/>
          <w:sz w:val="19"/>
          <w:vertAlign w:val="baseline"/>
        </w:rPr>
        <w:t>L</w:t>
      </w:r>
      <w:r>
        <w:rPr>
          <w:color w:val="565657"/>
          <w:sz w:val="19"/>
          <w:vertAlign w:val="baseline"/>
        </w:rPr>
        <w:t>.</w:t>
      </w:r>
      <w:r>
        <w:rPr>
          <w:color w:val="565657"/>
          <w:spacing w:val="-1"/>
          <w:sz w:val="19"/>
          <w:vertAlign w:val="baseline"/>
        </w:rPr>
        <w:t> </w:t>
      </w:r>
      <w:r>
        <w:rPr>
          <w:color w:val="3B383A"/>
          <w:sz w:val="19"/>
          <w:vertAlign w:val="baseline"/>
        </w:rPr>
        <w:t>Rev.</w:t>
      </w:r>
      <w:r>
        <w:rPr>
          <w:color w:val="3B383A"/>
          <w:spacing w:val="-2"/>
          <w:sz w:val="19"/>
          <w:vertAlign w:val="baseline"/>
        </w:rPr>
        <w:t> </w:t>
      </w:r>
      <w:r>
        <w:rPr>
          <w:color w:val="3B383A"/>
          <w:sz w:val="19"/>
          <w:vertAlign w:val="baseline"/>
        </w:rPr>
        <w:t>l,</w:t>
      </w:r>
      <w:r>
        <w:rPr>
          <w:color w:val="3B383A"/>
          <w:spacing w:val="34"/>
          <w:sz w:val="19"/>
          <w:vertAlign w:val="baseline"/>
        </w:rPr>
        <w:t> </w:t>
      </w:r>
      <w:r>
        <w:rPr>
          <w:color w:val="3B383A"/>
          <w:sz w:val="19"/>
          <w:vertAlign w:val="baseline"/>
        </w:rPr>
        <w:t>4</w:t>
      </w:r>
      <w:r>
        <w:rPr>
          <w:color w:val="3B383A"/>
          <w:spacing w:val="13"/>
          <w:sz w:val="19"/>
          <w:vertAlign w:val="baseline"/>
        </w:rPr>
        <w:t> </w:t>
      </w:r>
      <w:r>
        <w:rPr>
          <w:color w:val="3B383A"/>
          <w:sz w:val="19"/>
          <w:vertAlign w:val="baseline"/>
        </w:rPr>
        <w:t>(2007)</w:t>
      </w:r>
      <w:r>
        <w:rPr>
          <w:color w:val="3B383A"/>
          <w:spacing w:val="-9"/>
          <w:sz w:val="19"/>
          <w:vertAlign w:val="baseline"/>
        </w:rPr>
        <w:t> </w:t>
      </w:r>
      <w:r>
        <w:rPr>
          <w:color w:val="3B383A"/>
          <w:sz w:val="19"/>
          <w:vertAlign w:val="baseline"/>
        </w:rPr>
        <w:t>(citations</w:t>
      </w:r>
      <w:r>
        <w:rPr>
          <w:color w:val="3B383A"/>
          <w:spacing w:val="-10"/>
          <w:sz w:val="19"/>
          <w:vertAlign w:val="baseline"/>
        </w:rPr>
        <w:t> </w:t>
      </w:r>
      <w:r>
        <w:rPr>
          <w:color w:val="3B383A"/>
          <w:sz w:val="19"/>
          <w:vertAlign w:val="baseline"/>
        </w:rPr>
        <w:t>omitted).</w:t>
      </w:r>
    </w:p>
    <w:p>
      <w:pPr>
        <w:spacing w:line="223" w:lineRule="auto" w:before="20"/>
        <w:ind w:left="426" w:right="180" w:firstLine="418"/>
        <w:jc w:val="both"/>
        <w:rPr>
          <w:sz w:val="19"/>
        </w:rPr>
      </w:pPr>
      <w:r>
        <w:rPr>
          <w:color w:val="3B383A"/>
          <w:sz w:val="19"/>
          <w:vertAlign w:val="superscript"/>
        </w:rPr>
        <w:t>1</w:t>
      </w:r>
      <w:r>
        <w:rPr>
          <w:color w:val="565657"/>
          <w:sz w:val="19"/>
          <w:vertAlign w:val="superscript"/>
        </w:rPr>
        <w:t>0</w:t>
      </w:r>
      <w:r>
        <w:rPr>
          <w:color w:val="3B383A"/>
          <w:sz w:val="19"/>
          <w:vertAlign w:val="baseline"/>
        </w:rPr>
        <w:t>Thls</w:t>
      </w:r>
      <w:r>
        <w:rPr>
          <w:color w:val="3B383A"/>
          <w:spacing w:val="47"/>
          <w:sz w:val="19"/>
          <w:vertAlign w:val="baseline"/>
        </w:rPr>
        <w:t> </w:t>
      </w:r>
      <w:r>
        <w:rPr>
          <w:color w:val="3B383A"/>
          <w:sz w:val="19"/>
          <w:vertAlign w:val="baseline"/>
        </w:rPr>
        <w:t>book Js meant</w:t>
      </w:r>
      <w:r>
        <w:rPr>
          <w:color w:val="3B383A"/>
          <w:spacing w:val="48"/>
          <w:sz w:val="19"/>
          <w:vertAlign w:val="baseline"/>
        </w:rPr>
        <w:t> </w:t>
      </w:r>
      <w:r>
        <w:rPr>
          <w:color w:val="3B383A"/>
          <w:sz w:val="19"/>
          <w:vertAlign w:val="baseline"/>
        </w:rPr>
        <w:t>to advise on</w:t>
      </w:r>
      <w:r>
        <w:rPr>
          <w:color w:val="3B383A"/>
          <w:spacing w:val="47"/>
          <w:sz w:val="19"/>
          <w:vertAlign w:val="baseline"/>
        </w:rPr>
        <w:t> </w:t>
      </w:r>
      <w:r>
        <w:rPr>
          <w:color w:val="3B383A"/>
          <w:sz w:val="19"/>
          <w:vertAlign w:val="baseline"/>
        </w:rPr>
        <w:t>m</w:t>
      </w:r>
      <w:r>
        <w:rPr>
          <w:color w:val="565657"/>
          <w:sz w:val="19"/>
          <w:vertAlign w:val="baseline"/>
        </w:rPr>
        <w:t>e</w:t>
      </w:r>
      <w:r>
        <w:rPr>
          <w:color w:val="3B383A"/>
          <w:sz w:val="19"/>
          <w:vertAlign w:val="baseline"/>
        </w:rPr>
        <w:t>thods of</w:t>
      </w:r>
      <w:r>
        <w:rPr>
          <w:color w:val="3B383A"/>
          <w:spacing w:val="48"/>
          <w:sz w:val="19"/>
          <w:vertAlign w:val="baseline"/>
        </w:rPr>
        <w:t> </w:t>
      </w:r>
      <w:r>
        <w:rPr>
          <w:color w:val="3B383A"/>
          <w:sz w:val="19"/>
          <w:vertAlign w:val="baseline"/>
        </w:rPr>
        <w:t>brief-writing and</w:t>
      </w:r>
      <w:r>
        <w:rPr>
          <w:color w:val="3B383A"/>
          <w:spacing w:val="47"/>
          <w:sz w:val="19"/>
          <w:vertAlign w:val="baseline"/>
        </w:rPr>
        <w:t> </w:t>
      </w:r>
      <w:r>
        <w:rPr>
          <w:color w:val="3B383A"/>
          <w:sz w:val="19"/>
          <w:vertAlign w:val="baseline"/>
        </w:rPr>
        <w:t>oral argument.</w:t>
      </w:r>
      <w:r>
        <w:rPr>
          <w:color w:val="3B383A"/>
          <w:spacing w:val="48"/>
          <w:sz w:val="19"/>
          <w:vertAlign w:val="baseline"/>
        </w:rPr>
        <w:t> </w:t>
      </w:r>
      <w:r>
        <w:rPr>
          <w:color w:val="3B383A"/>
          <w:sz w:val="19"/>
          <w:vertAlign w:val="baseline"/>
        </w:rPr>
        <w:t>For advtce</w:t>
      </w:r>
      <w:r>
        <w:rPr>
          <w:color w:val="3B383A"/>
          <w:spacing w:val="1"/>
          <w:sz w:val="19"/>
          <w:vertAlign w:val="baseline"/>
        </w:rPr>
        <w:t> </w:t>
      </w:r>
      <w:r>
        <w:rPr>
          <w:color w:val="3B383A"/>
          <w:w w:val="105"/>
          <w:sz w:val="19"/>
          <w:vertAlign w:val="baseline"/>
        </w:rPr>
        <w:t>on  preserving Issues for appeal and  deciding whether to appeal</w:t>
      </w:r>
      <w:r>
        <w:rPr>
          <w:color w:val="565657"/>
          <w:w w:val="105"/>
          <w:sz w:val="19"/>
          <w:vertAlign w:val="baseline"/>
        </w:rPr>
        <w:t>, </w:t>
      </w:r>
      <w:r>
        <w:rPr>
          <w:color w:val="3B383A"/>
          <w:w w:val="105"/>
          <w:sz w:val="19"/>
          <w:vertAlign w:val="baseline"/>
        </w:rPr>
        <w:t>you should consu</w:t>
      </w:r>
      <w:r>
        <w:rPr>
          <w:color w:val="565657"/>
          <w:w w:val="105"/>
          <w:sz w:val="19"/>
          <w:vertAlign w:val="baseline"/>
        </w:rPr>
        <w:t>l</w:t>
      </w:r>
      <w:r>
        <w:rPr>
          <w:color w:val="3B383A"/>
          <w:w w:val="105"/>
          <w:sz w:val="19"/>
          <w:vertAlign w:val="baseline"/>
        </w:rPr>
        <w:t>t a refer·</w:t>
      </w:r>
      <w:r>
        <w:rPr>
          <w:color w:val="3B383A"/>
          <w:spacing w:val="1"/>
          <w:w w:val="105"/>
          <w:sz w:val="19"/>
          <w:vertAlign w:val="baseline"/>
        </w:rPr>
        <w:t> </w:t>
      </w:r>
      <w:r>
        <w:rPr>
          <w:color w:val="3B383A"/>
          <w:sz w:val="19"/>
          <w:vertAlign w:val="baseline"/>
        </w:rPr>
        <w:t>ence</w:t>
      </w:r>
      <w:r>
        <w:rPr>
          <w:color w:val="3B383A"/>
          <w:spacing w:val="6"/>
          <w:sz w:val="19"/>
          <w:vertAlign w:val="baseline"/>
        </w:rPr>
        <w:t> </w:t>
      </w:r>
      <w:r>
        <w:rPr>
          <w:color w:val="3B383A"/>
          <w:sz w:val="19"/>
          <w:vertAlign w:val="baseline"/>
        </w:rPr>
        <w:t>geared</w:t>
      </w:r>
      <w:r>
        <w:rPr>
          <w:color w:val="3B383A"/>
          <w:spacing w:val="24"/>
          <w:sz w:val="19"/>
          <w:vertAlign w:val="baseline"/>
        </w:rPr>
        <w:t> </w:t>
      </w:r>
      <w:r>
        <w:rPr>
          <w:color w:val="3B383A"/>
          <w:sz w:val="19"/>
          <w:vertAlign w:val="baseline"/>
        </w:rPr>
        <w:t>to</w:t>
      </w:r>
      <w:r>
        <w:rPr>
          <w:color w:val="3B383A"/>
          <w:spacing w:val="35"/>
          <w:sz w:val="19"/>
          <w:vertAlign w:val="baseline"/>
        </w:rPr>
        <w:t> </w:t>
      </w:r>
      <w:r>
        <w:rPr>
          <w:color w:val="3B383A"/>
          <w:sz w:val="19"/>
          <w:vertAlign w:val="baseline"/>
        </w:rPr>
        <w:t>the</w:t>
      </w:r>
      <w:r>
        <w:rPr>
          <w:color w:val="3B383A"/>
          <w:spacing w:val="6"/>
          <w:sz w:val="19"/>
          <w:vertAlign w:val="baseline"/>
        </w:rPr>
        <w:t> </w:t>
      </w:r>
      <w:r>
        <w:rPr>
          <w:color w:val="3B383A"/>
          <w:sz w:val="19"/>
          <w:vertAlign w:val="baseline"/>
        </w:rPr>
        <w:t>jurisdiction</w:t>
      </w:r>
      <w:r>
        <w:rPr>
          <w:color w:val="3B383A"/>
          <w:spacing w:val="26"/>
          <w:sz w:val="19"/>
          <w:vertAlign w:val="baseline"/>
        </w:rPr>
        <w:t> </w:t>
      </w:r>
      <w:r>
        <w:rPr>
          <w:color w:val="3B383A"/>
          <w:sz w:val="19"/>
          <w:vertAlign w:val="baseline"/>
        </w:rPr>
        <w:t>In</w:t>
      </w:r>
      <w:r>
        <w:rPr>
          <w:color w:val="3B383A"/>
          <w:spacing w:val="13"/>
          <w:sz w:val="19"/>
          <w:vertAlign w:val="baseline"/>
        </w:rPr>
        <w:t> </w:t>
      </w:r>
      <w:r>
        <w:rPr>
          <w:color w:val="3B383A"/>
          <w:sz w:val="19"/>
          <w:vertAlign w:val="baseline"/>
        </w:rPr>
        <w:t>which</w:t>
      </w:r>
      <w:r>
        <w:rPr>
          <w:color w:val="3B383A"/>
          <w:spacing w:val="21"/>
          <w:sz w:val="19"/>
          <w:vertAlign w:val="baseline"/>
        </w:rPr>
        <w:t> </w:t>
      </w:r>
      <w:r>
        <w:rPr>
          <w:color w:val="3B383A"/>
          <w:sz w:val="19"/>
          <w:vertAlign w:val="baseline"/>
        </w:rPr>
        <w:t>you</w:t>
      </w:r>
      <w:r>
        <w:rPr>
          <w:color w:val="3B383A"/>
          <w:spacing w:val="13"/>
          <w:sz w:val="19"/>
          <w:vertAlign w:val="baseline"/>
        </w:rPr>
        <w:t> </w:t>
      </w:r>
      <w:r>
        <w:rPr>
          <w:color w:val="3B383A"/>
          <w:sz w:val="19"/>
          <w:vertAlign w:val="baseline"/>
        </w:rPr>
        <w:t>are</w:t>
      </w:r>
      <w:r>
        <w:rPr>
          <w:color w:val="3B383A"/>
          <w:spacing w:val="12"/>
          <w:sz w:val="19"/>
          <w:vertAlign w:val="baseline"/>
        </w:rPr>
        <w:t> </w:t>
      </w:r>
      <w:r>
        <w:rPr>
          <w:color w:val="3B383A"/>
          <w:sz w:val="19"/>
          <w:vertAlign w:val="baseline"/>
        </w:rPr>
        <w:t>practicing.</w:t>
      </w:r>
      <w:r>
        <w:rPr>
          <w:color w:val="3B383A"/>
          <w:spacing w:val="16"/>
          <w:sz w:val="19"/>
          <w:vertAlign w:val="baseline"/>
        </w:rPr>
        <w:t> </w:t>
      </w:r>
      <w:r>
        <w:rPr>
          <w:i/>
          <w:color w:val="3B383A"/>
          <w:sz w:val="19"/>
          <w:vertAlign w:val="baseline"/>
        </w:rPr>
        <w:t>See, e.g</w:t>
      </w:r>
      <w:r>
        <w:rPr>
          <w:i/>
          <w:color w:val="565657"/>
          <w:sz w:val="19"/>
          <w:vertAlign w:val="baseline"/>
        </w:rPr>
        <w:t>.</w:t>
      </w:r>
      <w:r>
        <w:rPr>
          <w:i/>
          <w:color w:val="3B383A"/>
          <w:sz w:val="19"/>
          <w:vertAlign w:val="baseline"/>
        </w:rPr>
        <w:t>,</w:t>
      </w:r>
      <w:r>
        <w:rPr>
          <w:i/>
          <w:color w:val="3B383A"/>
          <w:spacing w:val="32"/>
          <w:sz w:val="19"/>
          <w:vertAlign w:val="baseline"/>
        </w:rPr>
        <w:t> </w:t>
      </w:r>
      <w:r>
        <w:rPr>
          <w:color w:val="3B383A"/>
          <w:sz w:val="19"/>
          <w:vertAlign w:val="baseline"/>
        </w:rPr>
        <w:t>Kristen</w:t>
      </w:r>
      <w:r>
        <w:rPr>
          <w:color w:val="3B383A"/>
          <w:spacing w:val="39"/>
          <w:sz w:val="19"/>
          <w:vertAlign w:val="baseline"/>
        </w:rPr>
        <w:t> </w:t>
      </w:r>
      <w:r>
        <w:rPr>
          <w:color w:val="3B383A"/>
          <w:sz w:val="19"/>
          <w:vertAlign w:val="baseline"/>
        </w:rPr>
        <w:t>Brown,</w:t>
      </w:r>
      <w:r>
        <w:rPr>
          <w:color w:val="3B383A"/>
          <w:spacing w:val="8"/>
          <w:sz w:val="19"/>
          <w:vertAlign w:val="baseline"/>
        </w:rPr>
        <w:t> </w:t>
      </w:r>
      <w:r>
        <w:rPr>
          <w:color w:val="3B383A"/>
          <w:sz w:val="19"/>
          <w:vertAlign w:val="baseline"/>
        </w:rPr>
        <w:t>G.</w:t>
      </w:r>
      <w:r>
        <w:rPr>
          <w:color w:val="3B383A"/>
          <w:spacing w:val="37"/>
          <w:sz w:val="19"/>
          <w:vertAlign w:val="baseline"/>
        </w:rPr>
        <w:t> </w:t>
      </w:r>
      <w:r>
        <w:rPr>
          <w:color w:val="3B383A"/>
          <w:sz w:val="19"/>
          <w:vertAlign w:val="baseline"/>
        </w:rPr>
        <w:t>Ronald</w:t>
      </w:r>
    </w:p>
    <w:p>
      <w:pPr>
        <w:spacing w:line="184" w:lineRule="exact" w:before="0"/>
        <w:ind w:left="420" w:right="0" w:firstLine="0"/>
        <w:jc w:val="left"/>
        <w:rPr>
          <w:sz w:val="19"/>
        </w:rPr>
      </w:pPr>
      <w:r>
        <w:rPr>
          <w:color w:val="3B383A"/>
          <w:sz w:val="19"/>
        </w:rPr>
        <w:t>Darlington</w:t>
      </w:r>
      <w:r>
        <w:rPr>
          <w:color w:val="6D6E70"/>
          <w:sz w:val="19"/>
        </w:rPr>
        <w:t>,</w:t>
      </w:r>
      <w:r>
        <w:rPr>
          <w:color w:val="6D6E70"/>
          <w:spacing w:val="28"/>
          <w:sz w:val="19"/>
        </w:rPr>
        <w:t> </w:t>
      </w:r>
      <w:r>
        <w:rPr>
          <w:rFonts w:ascii="Arial"/>
          <w:i/>
          <w:color w:val="3B383A"/>
          <w:sz w:val="17"/>
        </w:rPr>
        <w:t>K</w:t>
      </w:r>
      <w:r>
        <w:rPr>
          <w:rFonts w:ascii="Arial"/>
          <w:i/>
          <w:color w:val="6D6E70"/>
          <w:sz w:val="17"/>
        </w:rPr>
        <w:t>e</w:t>
      </w:r>
      <w:r>
        <w:rPr>
          <w:rFonts w:ascii="Arial"/>
          <w:i/>
          <w:color w:val="3B383A"/>
          <w:sz w:val="17"/>
        </w:rPr>
        <w:t>vin</w:t>
      </w:r>
      <w:r>
        <w:rPr>
          <w:rFonts w:ascii="Arial"/>
          <w:i/>
          <w:color w:val="3B383A"/>
          <w:spacing w:val="48"/>
          <w:sz w:val="17"/>
        </w:rPr>
        <w:t> </w:t>
      </w:r>
      <w:r>
        <w:rPr>
          <w:color w:val="3B383A"/>
          <w:sz w:val="19"/>
        </w:rPr>
        <w:t>McKeon</w:t>
      </w:r>
      <w:r>
        <w:rPr>
          <w:color w:val="3B383A"/>
          <w:spacing w:val="34"/>
          <w:sz w:val="19"/>
        </w:rPr>
        <w:t> </w:t>
      </w:r>
      <w:r>
        <w:rPr>
          <w:color w:val="3B383A"/>
          <w:sz w:val="16"/>
        </w:rPr>
        <w:t>&amp;</w:t>
      </w:r>
      <w:r>
        <w:rPr>
          <w:color w:val="3B383A"/>
          <w:spacing w:val="64"/>
          <w:sz w:val="16"/>
        </w:rPr>
        <w:t> </w:t>
      </w:r>
      <w:r>
        <w:rPr>
          <w:color w:val="3B383A"/>
          <w:sz w:val="19"/>
        </w:rPr>
        <w:t>Daniel</w:t>
      </w:r>
      <w:r>
        <w:rPr>
          <w:color w:val="3B383A"/>
          <w:spacing w:val="18"/>
          <w:sz w:val="19"/>
        </w:rPr>
        <w:t> </w:t>
      </w:r>
      <w:r>
        <w:rPr>
          <w:color w:val="3B383A"/>
          <w:sz w:val="19"/>
        </w:rPr>
        <w:t>Schuckers</w:t>
      </w:r>
      <w:r>
        <w:rPr>
          <w:color w:val="565657"/>
          <w:sz w:val="19"/>
        </w:rPr>
        <w:t>,</w:t>
      </w:r>
      <w:r>
        <w:rPr>
          <w:color w:val="565657"/>
          <w:spacing w:val="22"/>
          <w:sz w:val="19"/>
        </w:rPr>
        <w:t> </w:t>
      </w:r>
      <w:r>
        <w:rPr>
          <w:color w:val="3B383A"/>
          <w:sz w:val="19"/>
        </w:rPr>
        <w:t>20</w:t>
      </w:r>
      <w:r>
        <w:rPr>
          <w:color w:val="3B383A"/>
          <w:spacing w:val="28"/>
          <w:sz w:val="19"/>
        </w:rPr>
        <w:t> </w:t>
      </w:r>
      <w:r>
        <w:rPr>
          <w:color w:val="3B383A"/>
          <w:sz w:val="19"/>
        </w:rPr>
        <w:t>Pennsylvania</w:t>
      </w:r>
      <w:r>
        <w:rPr>
          <w:color w:val="3B383A"/>
          <w:spacing w:val="41"/>
          <w:sz w:val="19"/>
        </w:rPr>
        <w:t> </w:t>
      </w:r>
      <w:r>
        <w:rPr>
          <w:color w:val="3B383A"/>
          <w:sz w:val="19"/>
        </w:rPr>
        <w:t>Appellate</w:t>
      </w:r>
      <w:r>
        <w:rPr>
          <w:color w:val="3B383A"/>
          <w:spacing w:val="24"/>
          <w:sz w:val="19"/>
        </w:rPr>
        <w:t> </w:t>
      </w:r>
      <w:r>
        <w:rPr>
          <w:color w:val="3B383A"/>
          <w:sz w:val="19"/>
        </w:rPr>
        <w:t>Practice</w:t>
      </w:r>
      <w:r>
        <w:rPr>
          <w:color w:val="3B383A"/>
          <w:spacing w:val="14"/>
          <w:sz w:val="19"/>
        </w:rPr>
        <w:t> </w:t>
      </w:r>
      <w:r>
        <w:rPr>
          <w:color w:val="3B383A"/>
          <w:sz w:val="19"/>
        </w:rPr>
        <w:t>2012-20</w:t>
      </w:r>
      <w:r>
        <w:rPr>
          <w:color w:val="3B383A"/>
          <w:position w:val="6"/>
          <w:sz w:val="19"/>
        </w:rPr>
        <w:t>13</w:t>
      </w:r>
    </w:p>
    <w:p>
      <w:pPr>
        <w:spacing w:line="201" w:lineRule="auto" w:before="0"/>
        <w:ind w:left="387" w:right="0" w:firstLine="10"/>
        <w:jc w:val="left"/>
        <w:rPr>
          <w:sz w:val="19"/>
        </w:rPr>
      </w:pPr>
      <w:r>
        <w:rPr>
          <w:color w:val="3B383A"/>
          <w:w w:val="95"/>
          <w:sz w:val="19"/>
        </w:rPr>
        <w:t>edition chs. 1</w:t>
      </w:r>
      <w:r>
        <w:rPr>
          <w:color w:val="565657"/>
          <w:w w:val="95"/>
          <w:sz w:val="19"/>
        </w:rPr>
        <w:t>-</w:t>
      </w:r>
      <w:r>
        <w:rPr>
          <w:color w:val="3B383A"/>
          <w:w w:val="95"/>
          <w:sz w:val="19"/>
        </w:rPr>
        <w:t>13 </w:t>
      </w:r>
      <w:r>
        <w:rPr>
          <w:color w:val="565657"/>
          <w:w w:val="95"/>
          <w:sz w:val="19"/>
        </w:rPr>
        <w:t>(</w:t>
      </w:r>
      <w:r>
        <w:rPr>
          <w:color w:val="3B383A"/>
          <w:w w:val="95"/>
          <w:sz w:val="19"/>
        </w:rPr>
        <w:t>W</w:t>
      </w:r>
      <w:r>
        <w:rPr>
          <w:color w:val="565657"/>
          <w:w w:val="95"/>
          <w:sz w:val="19"/>
        </w:rPr>
        <w:t>e</w:t>
      </w:r>
      <w:r>
        <w:rPr>
          <w:color w:val="3B383A"/>
          <w:w w:val="95"/>
          <w:sz w:val="19"/>
        </w:rPr>
        <w:t>st);</w:t>
      </w:r>
      <w:r>
        <w:rPr>
          <w:color w:val="3B383A"/>
          <w:spacing w:val="1"/>
          <w:w w:val="95"/>
          <w:sz w:val="19"/>
        </w:rPr>
        <w:t> </w:t>
      </w:r>
      <w:r>
        <w:rPr>
          <w:color w:val="565657"/>
          <w:w w:val="95"/>
          <w:sz w:val="19"/>
        </w:rPr>
        <w:t>P</w:t>
      </w:r>
      <w:r>
        <w:rPr>
          <w:color w:val="3B383A"/>
          <w:w w:val="95"/>
          <w:sz w:val="19"/>
        </w:rPr>
        <w:t>aul G</w:t>
      </w:r>
      <w:r>
        <w:rPr>
          <w:color w:val="565657"/>
          <w:w w:val="95"/>
          <w:sz w:val="19"/>
        </w:rPr>
        <w:t>.</w:t>
      </w:r>
      <w:r>
        <w:rPr>
          <w:color w:val="565657"/>
          <w:spacing w:val="1"/>
          <w:w w:val="95"/>
          <w:sz w:val="19"/>
        </w:rPr>
        <w:t> </w:t>
      </w:r>
      <w:r>
        <w:rPr>
          <w:color w:val="3B383A"/>
          <w:w w:val="95"/>
          <w:sz w:val="19"/>
        </w:rPr>
        <w:t>Ulrich, </w:t>
      </w:r>
      <w:r>
        <w:rPr>
          <w:i/>
          <w:color w:val="3B383A"/>
          <w:w w:val="95"/>
          <w:sz w:val="19"/>
        </w:rPr>
        <w:t>Federal</w:t>
      </w:r>
      <w:r>
        <w:rPr>
          <w:i/>
          <w:color w:val="3B383A"/>
          <w:spacing w:val="1"/>
          <w:w w:val="95"/>
          <w:sz w:val="19"/>
        </w:rPr>
        <w:t> </w:t>
      </w:r>
      <w:r>
        <w:rPr>
          <w:i/>
          <w:color w:val="3B383A"/>
          <w:w w:val="95"/>
          <w:sz w:val="19"/>
        </w:rPr>
        <w:t>Appellate Practice: Ninth Circuit </w:t>
      </w:r>
      <w:r>
        <w:rPr>
          <w:color w:val="3B383A"/>
          <w:w w:val="95"/>
          <w:sz w:val="19"/>
        </w:rPr>
        <w:t>(2d ed., West 19</w:t>
      </w:r>
      <w:r>
        <w:rPr>
          <w:color w:val="3B383A"/>
          <w:w w:val="95"/>
          <w:position w:val="5"/>
          <w:sz w:val="19"/>
        </w:rPr>
        <w:t>99</w:t>
      </w:r>
      <w:r>
        <w:rPr>
          <w:color w:val="565657"/>
          <w:w w:val="95"/>
          <w:sz w:val="19"/>
        </w:rPr>
        <w:t>)</w:t>
      </w:r>
      <w:r>
        <w:rPr>
          <w:color w:val="565657"/>
          <w:spacing w:val="1"/>
          <w:w w:val="95"/>
          <w:sz w:val="19"/>
        </w:rPr>
        <w:t> </w:t>
      </w:r>
      <w:r>
        <w:rPr>
          <w:color w:val="3B383A"/>
          <w:sz w:val="19"/>
        </w:rPr>
        <w:t>(most</w:t>
      </w:r>
      <w:r>
        <w:rPr>
          <w:color w:val="3B383A"/>
          <w:spacing w:val="-2"/>
          <w:sz w:val="19"/>
        </w:rPr>
        <w:t> </w:t>
      </w:r>
      <w:r>
        <w:rPr>
          <w:color w:val="3B383A"/>
          <w:sz w:val="19"/>
        </w:rPr>
        <w:t>recent</w:t>
      </w:r>
      <w:r>
        <w:rPr>
          <w:color w:val="3B383A"/>
          <w:spacing w:val="10"/>
          <w:sz w:val="19"/>
        </w:rPr>
        <w:t> </w:t>
      </w:r>
      <w:r>
        <w:rPr>
          <w:color w:val="3B383A"/>
          <w:sz w:val="19"/>
        </w:rPr>
        <w:t>update</w:t>
      </w:r>
      <w:r>
        <w:rPr>
          <w:color w:val="3B383A"/>
          <w:spacing w:val="-7"/>
          <w:sz w:val="19"/>
        </w:rPr>
        <w:t> </w:t>
      </w:r>
      <w:r>
        <w:rPr>
          <w:color w:val="3B383A"/>
          <w:sz w:val="19"/>
        </w:rPr>
        <w:t>2013).</w:t>
      </w:r>
    </w:p>
    <w:p>
      <w:pPr>
        <w:spacing w:after="0" w:line="201" w:lineRule="auto"/>
        <w:jc w:val="left"/>
        <w:rPr>
          <w:sz w:val="19"/>
        </w:rPr>
        <w:sectPr>
          <w:headerReference w:type="even" r:id="rId31"/>
          <w:headerReference w:type="default" r:id="rId32"/>
          <w:pgSz w:w="9730" w:h="13830"/>
          <w:pgMar w:header="550" w:footer="0" w:top="620" w:bottom="280" w:left="1340" w:right="100"/>
          <w:pgNumType w:start="6"/>
        </w:sectPr>
      </w:pPr>
    </w:p>
    <w:p>
      <w:pPr>
        <w:pStyle w:val="BodyText"/>
        <w:spacing w:line="232" w:lineRule="auto" w:before="87"/>
        <w:ind w:left="121" w:right="291" w:firstLine="13"/>
        <w:jc w:val="both"/>
      </w:pPr>
      <w:r>
        <w:rPr>
          <w:color w:val="383638"/>
          <w:w w:val="110"/>
        </w:rPr>
        <w:t>Even if you  escape these sanctions, you hurt your credibility with the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court when you make </w:t>
      </w:r>
      <w:r>
        <w:rPr>
          <w:color w:val="383638"/>
          <w:w w:val="110"/>
        </w:rPr>
        <w:t>technical mistakes.</w:t>
      </w:r>
      <w:r>
        <w:rPr>
          <w:rFonts w:ascii="Arial"/>
          <w:color w:val="383638"/>
          <w:w w:val="110"/>
          <w:vertAlign w:val="superscript"/>
        </w:rPr>
        <w:t>11</w:t>
      </w:r>
      <w:r>
        <w:rPr>
          <w:rFonts w:ascii="Arial"/>
          <w:color w:val="383638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Second, proofread carefully to</w:t>
      </w:r>
      <w:r>
        <w:rPr>
          <w:color w:val="383638"/>
          <w:spacing w:val="-6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avoid typographical errors, citation form errors, and mistakes in citations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(e.g., transposed page or paragraph numbers). Although these errors may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not</w:t>
      </w:r>
      <w:r>
        <w:rPr>
          <w:color w:val="383638"/>
          <w:spacing w:val="28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seem</w:t>
      </w:r>
      <w:r>
        <w:rPr>
          <w:color w:val="383638"/>
          <w:spacing w:val="4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legally</w:t>
      </w:r>
      <w:r>
        <w:rPr>
          <w:color w:val="383638"/>
          <w:spacing w:val="-6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significant,</w:t>
      </w:r>
      <w:r>
        <w:rPr>
          <w:color w:val="383638"/>
          <w:spacing w:val="30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they</w:t>
      </w:r>
      <w:r>
        <w:rPr>
          <w:color w:val="383638"/>
          <w:spacing w:val="-2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waste</w:t>
      </w:r>
      <w:r>
        <w:rPr>
          <w:color w:val="383638"/>
          <w:spacing w:val="4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time</w:t>
      </w:r>
      <w:r>
        <w:rPr>
          <w:color w:val="383638"/>
          <w:spacing w:val="-14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and</w:t>
      </w:r>
      <w:r>
        <w:rPr>
          <w:color w:val="383638"/>
          <w:spacing w:val="17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hence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annoy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the</w:t>
      </w:r>
      <w:r>
        <w:rPr>
          <w:color w:val="383638"/>
          <w:spacing w:val="12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reader.</w:t>
      </w:r>
    </w:p>
    <w:p>
      <w:pPr>
        <w:pStyle w:val="ListParagraph"/>
        <w:numPr>
          <w:ilvl w:val="2"/>
          <w:numId w:val="17"/>
        </w:numPr>
        <w:tabs>
          <w:tab w:pos="880" w:val="left" w:leader="none"/>
        </w:tabs>
        <w:spacing w:line="235" w:lineRule="auto" w:before="5" w:after="0"/>
        <w:ind w:left="118" w:right="269" w:firstLine="378"/>
        <w:jc w:val="both"/>
        <w:rPr>
          <w:color w:val="383638"/>
          <w:sz w:val="23"/>
        </w:rPr>
      </w:pPr>
      <w:r>
        <w:rPr>
          <w:color w:val="383638"/>
          <w:w w:val="115"/>
          <w:sz w:val="23"/>
        </w:rPr>
        <w:t>You should use </w:t>
      </w:r>
      <w:r>
        <w:rPr>
          <w:i/>
          <w:color w:val="2A2628"/>
          <w:w w:val="115"/>
          <w:sz w:val="23"/>
        </w:rPr>
        <w:t>persuasive techniques </w:t>
      </w:r>
      <w:r>
        <w:rPr>
          <w:color w:val="383638"/>
          <w:w w:val="115"/>
          <w:sz w:val="23"/>
        </w:rPr>
        <w:t>that make the most of</w:t>
      </w:r>
      <w:r>
        <w:rPr>
          <w:color w:val="383638"/>
          <w:spacing w:val="1"/>
          <w:w w:val="115"/>
          <w:sz w:val="23"/>
        </w:rPr>
        <w:t> </w:t>
      </w:r>
      <w:r>
        <w:rPr>
          <w:color w:val="383638"/>
          <w:w w:val="115"/>
          <w:sz w:val="23"/>
        </w:rPr>
        <w:t>your facts and your arguments but that do not violate ethical rules or</w:t>
      </w:r>
      <w:r>
        <w:rPr>
          <w:color w:val="383638"/>
          <w:spacing w:val="1"/>
          <w:w w:val="115"/>
          <w:sz w:val="23"/>
        </w:rPr>
        <w:t> </w:t>
      </w:r>
      <w:r>
        <w:rPr>
          <w:b/>
          <w:color w:val="383638"/>
          <w:w w:val="115"/>
          <w:sz w:val="23"/>
        </w:rPr>
        <w:t>otherwise hamper your credibility with the </w:t>
      </w:r>
      <w:r>
        <w:rPr>
          <w:color w:val="383638"/>
          <w:w w:val="115"/>
          <w:sz w:val="23"/>
        </w:rPr>
        <w:t>court. </w:t>
      </w:r>
      <w:r>
        <w:rPr>
          <w:color w:val="383638"/>
          <w:w w:val="115"/>
          <w:sz w:val="22"/>
        </w:rPr>
        <w:t>If </w:t>
      </w:r>
      <w:r>
        <w:rPr>
          <w:color w:val="383638"/>
          <w:w w:val="115"/>
          <w:sz w:val="23"/>
        </w:rPr>
        <w:t>your persuasive</w:t>
      </w:r>
      <w:r>
        <w:rPr>
          <w:color w:val="383638"/>
          <w:spacing w:val="1"/>
          <w:w w:val="115"/>
          <w:sz w:val="23"/>
        </w:rPr>
        <w:t> </w:t>
      </w:r>
      <w:r>
        <w:rPr>
          <w:color w:val="383638"/>
          <w:w w:val="110"/>
          <w:sz w:val="23"/>
        </w:rPr>
        <w:t>methods go too far, all of the work you have devoted to writing a legally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valid, well-organized, and error-free document will be wasted. The court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may well discount valid arguments, or even stop reading your brief, if it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spacing w:val="-1"/>
          <w:w w:val="115"/>
          <w:sz w:val="23"/>
        </w:rPr>
        <w:t>believes</w:t>
      </w:r>
      <w:r>
        <w:rPr>
          <w:color w:val="383638"/>
          <w:spacing w:val="-7"/>
          <w:w w:val="115"/>
          <w:sz w:val="23"/>
        </w:rPr>
        <w:t> </w:t>
      </w:r>
      <w:r>
        <w:rPr>
          <w:color w:val="383638"/>
          <w:w w:val="115"/>
          <w:sz w:val="23"/>
        </w:rPr>
        <w:t>that</w:t>
      </w:r>
      <w:r>
        <w:rPr>
          <w:color w:val="383638"/>
          <w:spacing w:val="-12"/>
          <w:w w:val="115"/>
          <w:sz w:val="23"/>
        </w:rPr>
        <w:t> </w:t>
      </w:r>
      <w:r>
        <w:rPr>
          <w:color w:val="383638"/>
          <w:w w:val="115"/>
          <w:sz w:val="23"/>
        </w:rPr>
        <w:t>you</w:t>
      </w:r>
      <w:r>
        <w:rPr>
          <w:color w:val="383638"/>
          <w:spacing w:val="-29"/>
          <w:w w:val="115"/>
          <w:sz w:val="23"/>
        </w:rPr>
        <w:t> </w:t>
      </w:r>
      <w:r>
        <w:rPr>
          <w:color w:val="383638"/>
          <w:w w:val="115"/>
          <w:sz w:val="23"/>
        </w:rPr>
        <w:t>cannot</w:t>
      </w:r>
      <w:r>
        <w:rPr>
          <w:color w:val="383638"/>
          <w:spacing w:val="-9"/>
          <w:w w:val="115"/>
          <w:sz w:val="23"/>
        </w:rPr>
        <w:t> </w:t>
      </w:r>
      <w:r>
        <w:rPr>
          <w:color w:val="383638"/>
          <w:w w:val="115"/>
          <w:sz w:val="23"/>
        </w:rPr>
        <w:t>be</w:t>
      </w:r>
      <w:r>
        <w:rPr>
          <w:color w:val="383638"/>
          <w:spacing w:val="-20"/>
          <w:w w:val="115"/>
          <w:sz w:val="23"/>
        </w:rPr>
        <w:t> </w:t>
      </w:r>
      <w:r>
        <w:rPr>
          <w:color w:val="383638"/>
          <w:w w:val="115"/>
          <w:sz w:val="23"/>
        </w:rPr>
        <w:t>trusted.</w:t>
      </w:r>
    </w:p>
    <w:p>
      <w:pPr>
        <w:pStyle w:val="BodyText"/>
        <w:spacing w:line="232" w:lineRule="auto"/>
        <w:ind w:left="111" w:right="236" w:firstLine="387"/>
        <w:jc w:val="both"/>
      </w:pPr>
      <w:r>
        <w:rPr>
          <w:color w:val="383638"/>
          <w:w w:val="110"/>
        </w:rPr>
        <w:t>Not </w:t>
      </w:r>
      <w:r>
        <w:rPr>
          <w:color w:val="4B494B"/>
          <w:w w:val="110"/>
        </w:rPr>
        <w:t>coincidentally, </w:t>
      </w:r>
      <w:r>
        <w:rPr>
          <w:color w:val="383638"/>
          <w:w w:val="110"/>
        </w:rPr>
        <w:t>these four policies represent four different focuses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writing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process.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It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impossible to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make</w:t>
      </w:r>
      <w:r>
        <w:rPr>
          <w:color w:val="383638"/>
          <w:spacing w:val="-32"/>
          <w:w w:val="110"/>
        </w:rPr>
        <w:t> </w:t>
      </w:r>
      <w:r>
        <w:rPr>
          <w:color w:val="383638"/>
          <w:w w:val="110"/>
        </w:rPr>
        <w:t>each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these</w:t>
      </w:r>
      <w:r>
        <w:rPr>
          <w:color w:val="383638"/>
          <w:spacing w:val="-21"/>
          <w:w w:val="110"/>
        </w:rPr>
        <w:t> </w:t>
      </w:r>
      <w:r>
        <w:rPr>
          <w:color w:val="383638"/>
          <w:w w:val="110"/>
        </w:rPr>
        <w:t>focuses</w:t>
      </w:r>
      <w:r>
        <w:rPr>
          <w:color w:val="383638"/>
          <w:spacing w:val="-24"/>
          <w:w w:val="110"/>
        </w:rPr>
        <w:t> </w:t>
      </w:r>
      <w:r>
        <w:rPr>
          <w:color w:val="383638"/>
          <w:w w:val="110"/>
        </w:rPr>
        <w:t>totally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separate. For example, you cannot help but </w:t>
      </w:r>
      <w:r>
        <w:rPr>
          <w:color w:val="2A2628"/>
          <w:w w:val="115"/>
        </w:rPr>
        <w:t>notice </w:t>
      </w:r>
      <w:r>
        <w:rPr>
          <w:color w:val="383638"/>
          <w:w w:val="115"/>
        </w:rPr>
        <w:t>your content while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you are reviewing your organization. By forcing yourself to pay special</w:t>
      </w:r>
      <w:r>
        <w:rPr>
          <w:color w:val="383638"/>
          <w:spacing w:val="-64"/>
          <w:w w:val="115"/>
        </w:rPr>
        <w:t> </w:t>
      </w:r>
      <w:r>
        <w:rPr>
          <w:color w:val="383638"/>
          <w:spacing w:val="-1"/>
          <w:w w:val="115"/>
        </w:rPr>
        <w:t>attention</w:t>
      </w:r>
      <w:r>
        <w:rPr>
          <w:color w:val="383638"/>
          <w:spacing w:val="-5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-15"/>
          <w:w w:val="115"/>
        </w:rPr>
        <w:t> </w:t>
      </w:r>
      <w:r>
        <w:rPr>
          <w:color w:val="383638"/>
          <w:w w:val="115"/>
        </w:rPr>
        <w:t>each</w:t>
      </w:r>
      <w:r>
        <w:rPr>
          <w:color w:val="383638"/>
          <w:spacing w:val="-14"/>
          <w:w w:val="115"/>
        </w:rPr>
        <w:t> </w:t>
      </w:r>
      <w:r>
        <w:rPr>
          <w:color w:val="383638"/>
          <w:w w:val="115"/>
        </w:rPr>
        <w:t>of</w:t>
      </w:r>
      <w:r>
        <w:rPr>
          <w:color w:val="383638"/>
          <w:spacing w:val="3"/>
          <w:w w:val="115"/>
        </w:rPr>
        <w:t> </w:t>
      </w:r>
      <w:r>
        <w:rPr>
          <w:color w:val="383638"/>
          <w:w w:val="115"/>
        </w:rPr>
        <w:t>these</w:t>
      </w:r>
      <w:r>
        <w:rPr>
          <w:color w:val="383638"/>
          <w:spacing w:val="-16"/>
          <w:w w:val="115"/>
        </w:rPr>
        <w:t> </w:t>
      </w:r>
      <w:r>
        <w:rPr>
          <w:color w:val="383638"/>
          <w:w w:val="115"/>
        </w:rPr>
        <w:t>areas,</w:t>
      </w:r>
      <w:r>
        <w:rPr>
          <w:color w:val="383638"/>
          <w:spacing w:val="2"/>
          <w:w w:val="115"/>
        </w:rPr>
        <w:t> </w:t>
      </w:r>
      <w:r>
        <w:rPr>
          <w:color w:val="383638"/>
          <w:w w:val="115"/>
        </w:rPr>
        <w:t>however,</w:t>
      </w:r>
      <w:r>
        <w:rPr>
          <w:color w:val="383638"/>
          <w:spacing w:val="-7"/>
          <w:w w:val="115"/>
        </w:rPr>
        <w:t> </w:t>
      </w:r>
      <w:r>
        <w:rPr>
          <w:color w:val="383638"/>
          <w:w w:val="115"/>
        </w:rPr>
        <w:t>you</w:t>
      </w:r>
      <w:r>
        <w:rPr>
          <w:color w:val="383638"/>
          <w:spacing w:val="13"/>
          <w:w w:val="115"/>
        </w:rPr>
        <w:t> </w:t>
      </w:r>
      <w:r>
        <w:rPr>
          <w:color w:val="383638"/>
          <w:w w:val="115"/>
        </w:rPr>
        <w:t>make</w:t>
      </w:r>
      <w:r>
        <w:rPr>
          <w:color w:val="383638"/>
          <w:spacing w:val="-15"/>
          <w:w w:val="115"/>
        </w:rPr>
        <w:t> </w:t>
      </w:r>
      <w:r>
        <w:rPr>
          <w:color w:val="383638"/>
          <w:w w:val="115"/>
        </w:rPr>
        <w:t>it</w:t>
      </w:r>
      <w:r>
        <w:rPr>
          <w:color w:val="383638"/>
          <w:spacing w:val="-4"/>
          <w:w w:val="115"/>
        </w:rPr>
        <w:t> </w:t>
      </w:r>
      <w:r>
        <w:rPr>
          <w:color w:val="383638"/>
          <w:w w:val="115"/>
        </w:rPr>
        <w:t>easier</w:t>
      </w:r>
      <w:r>
        <w:rPr>
          <w:color w:val="383638"/>
          <w:spacing w:val="-12"/>
          <w:w w:val="115"/>
        </w:rPr>
        <w:t> </w:t>
      </w:r>
      <w:r>
        <w:rPr>
          <w:color w:val="2A2628"/>
          <w:w w:val="115"/>
        </w:rPr>
        <w:t>to</w:t>
      </w:r>
      <w:r>
        <w:rPr>
          <w:color w:val="2A2628"/>
          <w:spacing w:val="-2"/>
          <w:w w:val="115"/>
        </w:rPr>
        <w:t> </w:t>
      </w:r>
      <w:r>
        <w:rPr>
          <w:color w:val="383638"/>
          <w:w w:val="115"/>
        </w:rPr>
        <w:t>create</w:t>
      </w:r>
      <w:r>
        <w:rPr>
          <w:color w:val="383638"/>
          <w:spacing w:val="-15"/>
          <w:w w:val="115"/>
        </w:rPr>
        <w:t> </w:t>
      </w:r>
      <w:r>
        <w:rPr>
          <w:color w:val="383638"/>
          <w:w w:val="115"/>
        </w:rPr>
        <w:t>an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5"/>
        </w:rPr>
        <w:t>effective</w:t>
      </w:r>
      <w:r>
        <w:rPr>
          <w:color w:val="383638"/>
          <w:spacing w:val="-14"/>
          <w:w w:val="115"/>
        </w:rPr>
        <w:t> </w:t>
      </w:r>
      <w:r>
        <w:rPr>
          <w:color w:val="383638"/>
          <w:w w:val="115"/>
        </w:rPr>
        <w:t>brief.</w:t>
      </w:r>
    </w:p>
    <w:p>
      <w:pPr>
        <w:pStyle w:val="BodyText"/>
        <w:spacing w:line="232" w:lineRule="auto" w:before="2"/>
        <w:ind w:left="111" w:right="214" w:firstLine="390"/>
        <w:jc w:val="both"/>
      </w:pPr>
      <w:r>
        <w:rPr>
          <w:color w:val="383638"/>
          <w:w w:val="110"/>
        </w:rPr>
        <w:t>Keeping these concepts in  mind  may be easier  if you  connect  them</w:t>
      </w:r>
      <w:r>
        <w:rPr>
          <w:color w:val="383638"/>
          <w:spacing w:val="1"/>
          <w:w w:val="110"/>
        </w:rPr>
        <w:t> </w:t>
      </w:r>
      <w:r>
        <w:rPr>
          <w:color w:val="2A2628"/>
          <w:w w:val="110"/>
        </w:rPr>
        <w:t>to </w:t>
      </w:r>
      <w:r>
        <w:rPr>
          <w:color w:val="383638"/>
          <w:w w:val="110"/>
        </w:rPr>
        <w:t>a little bit of writing theory. Although there are many more sophisti­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cated ways of talking about the schools of writing theory, two schools are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particularly significant for </w:t>
      </w:r>
      <w:r>
        <w:rPr>
          <w:color w:val="2A2628"/>
          <w:w w:val="110"/>
        </w:rPr>
        <w:t>legal </w:t>
      </w:r>
      <w:r>
        <w:rPr>
          <w:color w:val="383638"/>
          <w:w w:val="110"/>
        </w:rPr>
        <w:t>writing. One is the </w:t>
      </w:r>
      <w:r>
        <w:rPr>
          <w:i/>
          <w:color w:val="383638"/>
          <w:w w:val="110"/>
        </w:rPr>
        <w:t>cognitivist </w:t>
      </w:r>
      <w:r>
        <w:rPr>
          <w:color w:val="383638"/>
          <w:w w:val="110"/>
        </w:rPr>
        <w:t>school,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another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"/>
          <w:w w:val="110"/>
        </w:rPr>
        <w:t> </w:t>
      </w:r>
      <w:r>
        <w:rPr>
          <w:i/>
          <w:color w:val="383638"/>
          <w:w w:val="110"/>
        </w:rPr>
        <w:t>social</w:t>
      </w:r>
      <w:r>
        <w:rPr>
          <w:i/>
          <w:color w:val="383638"/>
          <w:spacing w:val="5"/>
          <w:w w:val="110"/>
        </w:rPr>
        <w:t> </w:t>
      </w:r>
      <w:r>
        <w:rPr>
          <w:i/>
          <w:color w:val="383638"/>
          <w:w w:val="110"/>
        </w:rPr>
        <w:t>perspective</w:t>
      </w:r>
      <w:r>
        <w:rPr>
          <w:i/>
          <w:color w:val="383638"/>
          <w:spacing w:val="-13"/>
          <w:w w:val="110"/>
        </w:rPr>
        <w:t> </w:t>
      </w:r>
      <w:r>
        <w:rPr>
          <w:color w:val="383638"/>
          <w:w w:val="110"/>
        </w:rPr>
        <w:t>school.</w:t>
      </w:r>
      <w:r>
        <w:rPr>
          <w:color w:val="383638"/>
          <w:w w:val="110"/>
          <w:vertAlign w:val="superscript"/>
        </w:rPr>
        <w:t>12</w:t>
      </w:r>
    </w:p>
    <w:p>
      <w:pPr>
        <w:pStyle w:val="BodyText"/>
        <w:spacing w:line="235" w:lineRule="auto" w:before="15"/>
        <w:ind w:left="111" w:right="148" w:firstLine="367"/>
        <w:jc w:val="both"/>
      </w:pPr>
      <w:r>
        <w:rPr>
          <w:color w:val="383638"/>
          <w:w w:val="115"/>
        </w:rPr>
        <w:t>The cognitivist school teaches that writing is a way </w:t>
      </w:r>
      <w:r>
        <w:rPr>
          <w:color w:val="2A2628"/>
          <w:w w:val="115"/>
        </w:rPr>
        <w:t>to </w:t>
      </w:r>
      <w:r>
        <w:rPr>
          <w:color w:val="383638"/>
          <w:w w:val="115"/>
        </w:rPr>
        <w:t>think about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things and</w:t>
      </w:r>
      <w:r>
        <w:rPr>
          <w:color w:val="383638"/>
          <w:spacing w:val="1"/>
          <w:w w:val="115"/>
        </w:rPr>
        <w:t> </w:t>
      </w:r>
      <w:r>
        <w:rPr>
          <w:color w:val="2A2628"/>
          <w:w w:val="115"/>
        </w:rPr>
        <w:t>to learn </w:t>
      </w:r>
      <w:r>
        <w:rPr>
          <w:color w:val="383638"/>
          <w:w w:val="115"/>
        </w:rPr>
        <w:t>about them. </w:t>
      </w:r>
      <w:r>
        <w:rPr>
          <w:color w:val="383638"/>
          <w:w w:val="115"/>
          <w:sz w:val="22"/>
        </w:rPr>
        <w:t>If </w:t>
      </w:r>
      <w:r>
        <w:rPr>
          <w:color w:val="383638"/>
          <w:w w:val="115"/>
        </w:rPr>
        <w:t>you  are thinking </w:t>
      </w:r>
      <w:r>
        <w:rPr>
          <w:color w:val="383638"/>
          <w:w w:val="115"/>
          <w:sz w:val="21"/>
        </w:rPr>
        <w:t>in  </w:t>
      </w:r>
      <w:r>
        <w:rPr>
          <w:color w:val="383638"/>
          <w:w w:val="115"/>
        </w:rPr>
        <w:t>cognitivist </w:t>
      </w:r>
      <w:r>
        <w:rPr>
          <w:color w:val="2A2628"/>
          <w:w w:val="115"/>
        </w:rPr>
        <w:t>terms</w:t>
      </w:r>
      <w:r>
        <w:rPr>
          <w:color w:val="2A2628"/>
          <w:spacing w:val="1"/>
          <w:w w:val="115"/>
        </w:rPr>
        <w:t> </w:t>
      </w:r>
      <w:r>
        <w:rPr>
          <w:color w:val="383638"/>
          <w:w w:val="115"/>
        </w:rPr>
        <w:t>as you write, you are not writing for someone to read your writing; you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are merely writing to figure out what you know about something or </w:t>
      </w:r>
      <w:r>
        <w:rPr>
          <w:color w:val="2A2628"/>
          <w:w w:val="115"/>
        </w:rPr>
        <w:t>to</w:t>
      </w:r>
      <w:r>
        <w:rPr>
          <w:color w:val="2A2628"/>
          <w:spacing w:val="1"/>
          <w:w w:val="115"/>
        </w:rPr>
        <w:t> </w:t>
      </w:r>
      <w:r>
        <w:rPr>
          <w:color w:val="383638"/>
          <w:w w:val="115"/>
        </w:rPr>
        <w:t>generate new knowledge about your topic. Although many people used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to think that writing was merely a way for us to record our already com­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pleted thoughts,</w:t>
      </w:r>
      <w:r>
        <w:rPr>
          <w:rFonts w:ascii="Arial" w:hAnsi="Arial"/>
          <w:color w:val="383638"/>
          <w:w w:val="115"/>
          <w:vertAlign w:val="superscript"/>
        </w:rPr>
        <w:t>13</w:t>
      </w:r>
      <w:r>
        <w:rPr>
          <w:rFonts w:ascii="Arial" w:hAnsi="Arial"/>
          <w:color w:val="383638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we now realize that writing is more than the hands</w:t>
      </w:r>
      <w:r>
        <w:rPr>
          <w:color w:val="383638"/>
          <w:spacing w:val="1"/>
          <w:w w:val="115"/>
          <w:vertAlign w:val="baseline"/>
        </w:rPr>
        <w:t> </w:t>
      </w:r>
      <w:r>
        <w:rPr>
          <w:color w:val="383638"/>
          <w:w w:val="110"/>
          <w:vertAlign w:val="baseline"/>
        </w:rPr>
        <w:t>taking dictation from the brain. When we write, we engage in brainstorm­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ing with ourselves</w:t>
      </w:r>
      <w:r>
        <w:rPr>
          <w:color w:val="606062"/>
          <w:w w:val="110"/>
          <w:vertAlign w:val="baseline"/>
        </w:rPr>
        <w:t>. </w:t>
      </w:r>
      <w:r>
        <w:rPr>
          <w:color w:val="383638"/>
          <w:w w:val="110"/>
          <w:vertAlign w:val="baseline"/>
        </w:rPr>
        <w:t>We question </w:t>
      </w:r>
      <w:r>
        <w:rPr>
          <w:color w:val="4B494B"/>
          <w:w w:val="110"/>
          <w:vertAlign w:val="baseline"/>
        </w:rPr>
        <w:t>and </w:t>
      </w:r>
      <w:r>
        <w:rPr>
          <w:color w:val="383638"/>
          <w:w w:val="110"/>
          <w:vertAlign w:val="baseline"/>
        </w:rPr>
        <w:t>challenge our presumptions, discover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5"/>
          <w:vertAlign w:val="baseline"/>
        </w:rPr>
        <w:t>new ways of thinking about something, and gain insights </w:t>
      </w:r>
      <w:r>
        <w:rPr>
          <w:color w:val="2A2628"/>
          <w:w w:val="115"/>
          <w:vertAlign w:val="baseline"/>
        </w:rPr>
        <w:t>that </w:t>
      </w:r>
      <w:r>
        <w:rPr>
          <w:color w:val="383638"/>
          <w:w w:val="115"/>
          <w:vertAlign w:val="baseline"/>
        </w:rPr>
        <w:t>had not</w:t>
      </w:r>
      <w:r>
        <w:rPr>
          <w:color w:val="383638"/>
          <w:spacing w:val="1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occurred</w:t>
      </w:r>
      <w:r>
        <w:rPr>
          <w:color w:val="383638"/>
          <w:spacing w:val="4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to</w:t>
      </w:r>
      <w:r>
        <w:rPr>
          <w:color w:val="383638"/>
          <w:spacing w:val="4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us</w:t>
      </w:r>
      <w:r>
        <w:rPr>
          <w:color w:val="383638"/>
          <w:spacing w:val="3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before</w:t>
      </w:r>
      <w:r>
        <w:rPr>
          <w:color w:val="383638"/>
          <w:spacing w:val="-10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we</w:t>
      </w:r>
      <w:r>
        <w:rPr>
          <w:color w:val="383638"/>
          <w:spacing w:val="-4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began</w:t>
      </w:r>
      <w:r>
        <w:rPr>
          <w:color w:val="383638"/>
          <w:spacing w:val="-4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to</w:t>
      </w:r>
      <w:r>
        <w:rPr>
          <w:color w:val="383638"/>
          <w:spacing w:val="10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write.</w:t>
      </w:r>
    </w:p>
    <w:p>
      <w:pPr>
        <w:pStyle w:val="BodyText"/>
        <w:spacing w:line="232" w:lineRule="auto"/>
        <w:ind w:left="111" w:right="124" w:firstLine="377"/>
        <w:jc w:val="both"/>
      </w:pPr>
      <w:r>
        <w:rPr>
          <w:color w:val="383638"/>
          <w:w w:val="110"/>
        </w:rPr>
        <w:t>The cognitivist theory of writing helps legal writers to understand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benefits of multiple drafts. Writing multiple drafts of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same document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allows you to let at least one of the drafts be a "working draft" or a "think­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20"/>
        </w:rPr>
        <w:t>ing draft"</w:t>
      </w:r>
      <w:r>
        <w:rPr>
          <w:color w:val="2A2628"/>
          <w:w w:val="120"/>
        </w:rPr>
        <w:t>-that </w:t>
      </w:r>
      <w:r>
        <w:rPr>
          <w:color w:val="383638"/>
          <w:w w:val="120"/>
        </w:rPr>
        <w:t>is, a draft you can write without worrying about what</w:t>
      </w:r>
      <w:r>
        <w:rPr>
          <w:color w:val="383638"/>
          <w:spacing w:val="1"/>
          <w:w w:val="120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19"/>
          <w:w w:val="115"/>
        </w:rPr>
        <w:t> </w:t>
      </w:r>
      <w:r>
        <w:rPr>
          <w:color w:val="383638"/>
          <w:w w:val="115"/>
        </w:rPr>
        <w:t>reader</w:t>
      </w:r>
      <w:r>
        <w:rPr>
          <w:color w:val="383638"/>
          <w:spacing w:val="-3"/>
          <w:w w:val="115"/>
        </w:rPr>
        <w:t> </w:t>
      </w:r>
      <w:r>
        <w:rPr>
          <w:color w:val="383638"/>
          <w:w w:val="115"/>
        </w:rPr>
        <w:t>thinks</w:t>
      </w:r>
      <w:r>
        <w:rPr>
          <w:color w:val="383638"/>
          <w:spacing w:val="-21"/>
          <w:w w:val="115"/>
        </w:rPr>
        <w:t> </w:t>
      </w:r>
      <w:r>
        <w:rPr>
          <w:color w:val="383638"/>
          <w:w w:val="115"/>
        </w:rPr>
        <w:t>or</w:t>
      </w:r>
      <w:r>
        <w:rPr>
          <w:color w:val="383638"/>
          <w:spacing w:val="-9"/>
          <w:w w:val="115"/>
        </w:rPr>
        <w:t> </w:t>
      </w:r>
      <w:r>
        <w:rPr>
          <w:color w:val="383638"/>
          <w:w w:val="115"/>
        </w:rPr>
        <w:t>about</w:t>
      </w:r>
      <w:r>
        <w:rPr>
          <w:color w:val="383638"/>
          <w:spacing w:val="-4"/>
          <w:w w:val="115"/>
        </w:rPr>
        <w:t> </w:t>
      </w:r>
      <w:r>
        <w:rPr>
          <w:color w:val="383638"/>
          <w:w w:val="115"/>
        </w:rPr>
        <w:t>whether</w:t>
      </w:r>
      <w:r>
        <w:rPr>
          <w:color w:val="383638"/>
          <w:spacing w:val="11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19"/>
          <w:w w:val="115"/>
        </w:rPr>
        <w:t> </w:t>
      </w:r>
      <w:r>
        <w:rPr>
          <w:color w:val="383638"/>
          <w:w w:val="115"/>
        </w:rPr>
        <w:t>reader</w:t>
      </w:r>
      <w:r>
        <w:rPr>
          <w:color w:val="383638"/>
          <w:spacing w:val="-14"/>
          <w:w w:val="115"/>
        </w:rPr>
        <w:t> </w:t>
      </w:r>
      <w:r>
        <w:rPr>
          <w:color w:val="383638"/>
          <w:w w:val="115"/>
        </w:rPr>
        <w:t>will</w:t>
      </w:r>
      <w:r>
        <w:rPr>
          <w:color w:val="383638"/>
          <w:spacing w:val="-4"/>
          <w:w w:val="115"/>
        </w:rPr>
        <w:t> </w:t>
      </w:r>
      <w:r>
        <w:rPr>
          <w:color w:val="383638"/>
          <w:w w:val="115"/>
        </w:rPr>
        <w:t>understand</w:t>
      </w:r>
      <w:r>
        <w:rPr>
          <w:color w:val="383638"/>
          <w:spacing w:val="7"/>
          <w:w w:val="115"/>
        </w:rPr>
        <w:t> </w:t>
      </w:r>
      <w:r>
        <w:rPr>
          <w:color w:val="383638"/>
          <w:w w:val="115"/>
        </w:rPr>
        <w:t>you.</w:t>
      </w:r>
      <w:r>
        <w:rPr>
          <w:color w:val="383638"/>
          <w:spacing w:val="-22"/>
          <w:w w:val="115"/>
        </w:rPr>
        <w:t> </w:t>
      </w:r>
      <w:r>
        <w:rPr>
          <w:color w:val="383638"/>
          <w:w w:val="115"/>
        </w:rPr>
        <w:t>In</w:t>
      </w:r>
      <w:r>
        <w:rPr>
          <w:color w:val="383638"/>
          <w:spacing w:val="-10"/>
          <w:w w:val="115"/>
        </w:rPr>
        <w:t> </w:t>
      </w:r>
      <w:r>
        <w:rPr>
          <w:color w:val="383638"/>
          <w:w w:val="115"/>
        </w:rPr>
        <w:t>this</w:t>
      </w:r>
    </w:p>
    <w:p>
      <w:pPr>
        <w:pStyle w:val="BodyText"/>
        <w:rPr>
          <w:sz w:val="26"/>
        </w:rPr>
      </w:pPr>
    </w:p>
    <w:p>
      <w:pPr>
        <w:spacing w:line="195" w:lineRule="exact" w:before="234"/>
        <w:ind w:left="494" w:right="0" w:firstLine="0"/>
        <w:jc w:val="left"/>
        <w:rPr>
          <w:i/>
          <w:sz w:val="18"/>
        </w:rPr>
      </w:pPr>
      <w:r>
        <w:rPr>
          <w:rFonts w:ascii="Arial"/>
          <w:color w:val="383638"/>
          <w:w w:val="95"/>
          <w:sz w:val="15"/>
          <w:vertAlign w:val="superscript"/>
        </w:rPr>
        <w:t>11</w:t>
      </w:r>
      <w:r>
        <w:rPr>
          <w:i/>
          <w:color w:val="4B494B"/>
          <w:w w:val="95"/>
          <w:sz w:val="15"/>
          <w:vertAlign w:val="baseline"/>
        </w:rPr>
        <w:t>See</w:t>
      </w:r>
      <w:r>
        <w:rPr>
          <w:i/>
          <w:color w:val="4B494B"/>
          <w:w w:val="95"/>
          <w:sz w:val="18"/>
          <w:vertAlign w:val="baseline"/>
        </w:rPr>
        <w:t>generally</w:t>
      </w:r>
      <w:r>
        <w:rPr>
          <w:color w:val="383638"/>
          <w:w w:val="95"/>
          <w:sz w:val="17"/>
          <w:vertAlign w:val="baseline"/>
        </w:rPr>
        <w:t>Judith</w:t>
      </w:r>
      <w:r>
        <w:rPr>
          <w:color w:val="383638"/>
          <w:spacing w:val="19"/>
          <w:w w:val="95"/>
          <w:sz w:val="17"/>
          <w:vertAlign w:val="baseline"/>
        </w:rPr>
        <w:t> </w:t>
      </w:r>
      <w:r>
        <w:rPr>
          <w:color w:val="383638"/>
          <w:w w:val="95"/>
          <w:sz w:val="17"/>
          <w:vertAlign w:val="baseline"/>
        </w:rPr>
        <w:t>D</w:t>
      </w:r>
      <w:r>
        <w:rPr>
          <w:color w:val="606062"/>
          <w:w w:val="95"/>
          <w:sz w:val="17"/>
          <w:vertAlign w:val="baseline"/>
        </w:rPr>
        <w:t>.</w:t>
      </w:r>
      <w:r>
        <w:rPr>
          <w:color w:val="606062"/>
          <w:spacing w:val="6"/>
          <w:w w:val="95"/>
          <w:sz w:val="17"/>
          <w:vertAlign w:val="baseline"/>
        </w:rPr>
        <w:t> </w:t>
      </w:r>
      <w:r>
        <w:rPr>
          <w:color w:val="4B494B"/>
          <w:w w:val="95"/>
          <w:sz w:val="17"/>
          <w:vertAlign w:val="baseline"/>
        </w:rPr>
        <w:t>Fischer,</w:t>
      </w:r>
      <w:r>
        <w:rPr>
          <w:color w:val="4B494B"/>
          <w:spacing w:val="4"/>
          <w:w w:val="95"/>
          <w:sz w:val="17"/>
          <w:vertAlign w:val="baseline"/>
        </w:rPr>
        <w:t> </w:t>
      </w:r>
      <w:r>
        <w:rPr>
          <w:i/>
          <w:color w:val="383638"/>
          <w:w w:val="95"/>
          <w:sz w:val="18"/>
          <w:vertAlign w:val="baseline"/>
        </w:rPr>
        <w:t>Bareheaded</w:t>
      </w:r>
      <w:r>
        <w:rPr>
          <w:i/>
          <w:color w:val="383638"/>
          <w:spacing w:val="9"/>
          <w:w w:val="95"/>
          <w:sz w:val="18"/>
          <w:vertAlign w:val="baseline"/>
        </w:rPr>
        <w:t> </w:t>
      </w:r>
      <w:r>
        <w:rPr>
          <w:i/>
          <w:color w:val="4B494B"/>
          <w:w w:val="95"/>
          <w:sz w:val="18"/>
          <w:vertAlign w:val="baseline"/>
        </w:rPr>
        <w:t>and</w:t>
      </w:r>
      <w:r>
        <w:rPr>
          <w:i/>
          <w:color w:val="4B494B"/>
          <w:spacing w:val="4"/>
          <w:w w:val="95"/>
          <w:sz w:val="18"/>
          <w:vertAlign w:val="baseline"/>
        </w:rPr>
        <w:t> </w:t>
      </w:r>
      <w:r>
        <w:rPr>
          <w:i/>
          <w:color w:val="4B494B"/>
          <w:w w:val="95"/>
          <w:sz w:val="18"/>
          <w:vertAlign w:val="baseline"/>
        </w:rPr>
        <w:t>Barefaced</w:t>
      </w:r>
      <w:r>
        <w:rPr>
          <w:i/>
          <w:color w:val="4B494B"/>
          <w:spacing w:val="1"/>
          <w:w w:val="95"/>
          <w:sz w:val="18"/>
          <w:vertAlign w:val="baseline"/>
        </w:rPr>
        <w:t> </w:t>
      </w:r>
      <w:r>
        <w:rPr>
          <w:i/>
          <w:color w:val="4B494B"/>
          <w:w w:val="95"/>
          <w:sz w:val="18"/>
          <w:vertAlign w:val="baseline"/>
        </w:rPr>
        <w:t>Co1msel:</w:t>
      </w:r>
      <w:r>
        <w:rPr>
          <w:i/>
          <w:color w:val="4B494B"/>
          <w:spacing w:val="-16"/>
          <w:w w:val="95"/>
          <w:sz w:val="18"/>
          <w:vertAlign w:val="baseline"/>
        </w:rPr>
        <w:t> </w:t>
      </w:r>
      <w:r>
        <w:rPr>
          <w:i/>
          <w:color w:val="4B494B"/>
          <w:w w:val="95"/>
          <w:sz w:val="18"/>
          <w:vertAlign w:val="baseline"/>
        </w:rPr>
        <w:t>Courts</w:t>
      </w:r>
      <w:r>
        <w:rPr>
          <w:i/>
          <w:color w:val="4B494B"/>
          <w:spacing w:val="1"/>
          <w:w w:val="95"/>
          <w:sz w:val="18"/>
          <w:vertAlign w:val="baseline"/>
        </w:rPr>
        <w:t> </w:t>
      </w:r>
      <w:r>
        <w:rPr>
          <w:i/>
          <w:color w:val="383638"/>
          <w:w w:val="95"/>
          <w:sz w:val="18"/>
          <w:vertAlign w:val="baseline"/>
        </w:rPr>
        <w:t>Re,1ct</w:t>
      </w:r>
      <w:r>
        <w:rPr>
          <w:i/>
          <w:color w:val="383638"/>
          <w:spacing w:val="-9"/>
          <w:w w:val="95"/>
          <w:sz w:val="18"/>
          <w:vertAlign w:val="baseline"/>
        </w:rPr>
        <w:t> </w:t>
      </w:r>
      <w:r>
        <w:rPr>
          <w:rFonts w:ascii="Arial"/>
          <w:i/>
          <w:color w:val="4B494B"/>
          <w:w w:val="95"/>
          <w:sz w:val="15"/>
          <w:vertAlign w:val="baseline"/>
        </w:rPr>
        <w:t>to</w:t>
      </w:r>
      <w:r>
        <w:rPr>
          <w:rFonts w:ascii="Arial"/>
          <w:i/>
          <w:color w:val="4B494B"/>
          <w:spacing w:val="51"/>
          <w:sz w:val="15"/>
          <w:vertAlign w:val="baseline"/>
        </w:rPr>
        <w:t> </w:t>
      </w:r>
      <w:r>
        <w:rPr>
          <w:i/>
          <w:color w:val="383638"/>
          <w:w w:val="95"/>
          <w:sz w:val="18"/>
          <w:vertAlign w:val="baseline"/>
        </w:rPr>
        <w:t>Unpro{esslonalism</w:t>
      </w:r>
    </w:p>
    <w:p>
      <w:pPr>
        <w:spacing w:line="184" w:lineRule="exact" w:before="0"/>
        <w:ind w:left="119" w:right="0" w:firstLine="0"/>
        <w:jc w:val="left"/>
        <w:rPr>
          <w:sz w:val="17"/>
        </w:rPr>
      </w:pPr>
      <w:r>
        <w:rPr>
          <w:rFonts w:ascii="Arial"/>
          <w:i/>
          <w:color w:val="383638"/>
          <w:sz w:val="17"/>
        </w:rPr>
        <w:t>In</w:t>
      </w:r>
      <w:r>
        <w:rPr>
          <w:rFonts w:ascii="Arial"/>
          <w:i/>
          <w:color w:val="383638"/>
          <w:spacing w:val="7"/>
          <w:sz w:val="17"/>
        </w:rPr>
        <w:t> </w:t>
      </w:r>
      <w:r>
        <w:rPr>
          <w:i/>
          <w:color w:val="383638"/>
          <w:sz w:val="18"/>
        </w:rPr>
        <w:t>Lawyers'</w:t>
      </w:r>
      <w:r>
        <w:rPr>
          <w:i/>
          <w:color w:val="383638"/>
          <w:spacing w:val="-21"/>
          <w:sz w:val="18"/>
        </w:rPr>
        <w:t> </w:t>
      </w:r>
      <w:r>
        <w:rPr>
          <w:rFonts w:ascii="Arial"/>
          <w:i/>
          <w:color w:val="383638"/>
          <w:sz w:val="17"/>
        </w:rPr>
        <w:t>Papers,</w:t>
      </w:r>
      <w:r>
        <w:rPr>
          <w:rFonts w:ascii="Arial"/>
          <w:i/>
          <w:color w:val="383638"/>
          <w:spacing w:val="-10"/>
          <w:sz w:val="17"/>
        </w:rPr>
        <w:t> </w:t>
      </w:r>
      <w:r>
        <w:rPr>
          <w:color w:val="4B494B"/>
          <w:sz w:val="17"/>
        </w:rPr>
        <w:t>31</w:t>
      </w:r>
      <w:r>
        <w:rPr>
          <w:color w:val="4B494B"/>
          <w:spacing w:val="36"/>
          <w:sz w:val="17"/>
        </w:rPr>
        <w:t> </w:t>
      </w:r>
      <w:r>
        <w:rPr>
          <w:color w:val="383638"/>
          <w:sz w:val="17"/>
        </w:rPr>
        <w:t>Suffolk</w:t>
      </w:r>
      <w:r>
        <w:rPr>
          <w:color w:val="383638"/>
          <w:spacing w:val="9"/>
          <w:sz w:val="17"/>
        </w:rPr>
        <w:t> </w:t>
      </w:r>
      <w:r>
        <w:rPr>
          <w:color w:val="383638"/>
          <w:sz w:val="17"/>
        </w:rPr>
        <w:t>U.</w:t>
      </w:r>
      <w:r>
        <w:rPr>
          <w:color w:val="383638"/>
          <w:spacing w:val="1"/>
          <w:sz w:val="17"/>
        </w:rPr>
        <w:t> </w:t>
      </w:r>
      <w:r>
        <w:rPr>
          <w:color w:val="383638"/>
          <w:sz w:val="17"/>
        </w:rPr>
        <w:t>L</w:t>
      </w:r>
      <w:r>
        <w:rPr>
          <w:color w:val="383638"/>
          <w:spacing w:val="22"/>
          <w:sz w:val="17"/>
        </w:rPr>
        <w:t> </w:t>
      </w:r>
      <w:r>
        <w:rPr>
          <w:rFonts w:ascii="Arial"/>
          <w:color w:val="383638"/>
          <w:sz w:val="16"/>
        </w:rPr>
        <w:t>Rev</w:t>
      </w:r>
      <w:r>
        <w:rPr>
          <w:rFonts w:ascii="Arial"/>
          <w:color w:val="606062"/>
          <w:sz w:val="16"/>
        </w:rPr>
        <w:t>.</w:t>
      </w:r>
      <w:r>
        <w:rPr>
          <w:rFonts w:ascii="Arial"/>
          <w:color w:val="606062"/>
          <w:spacing w:val="-11"/>
          <w:sz w:val="16"/>
        </w:rPr>
        <w:t> </w:t>
      </w:r>
      <w:r>
        <w:rPr>
          <w:color w:val="383638"/>
          <w:sz w:val="17"/>
        </w:rPr>
        <w:t>1,</w:t>
      </w:r>
      <w:r>
        <w:rPr>
          <w:color w:val="383638"/>
          <w:spacing w:val="24"/>
          <w:sz w:val="17"/>
        </w:rPr>
        <w:t> </w:t>
      </w:r>
      <w:r>
        <w:rPr>
          <w:color w:val="4B494B"/>
          <w:sz w:val="17"/>
        </w:rPr>
        <w:t>20-36</w:t>
      </w:r>
      <w:r>
        <w:rPr>
          <w:color w:val="4B494B"/>
          <w:spacing w:val="-8"/>
          <w:sz w:val="17"/>
        </w:rPr>
        <w:t> </w:t>
      </w:r>
      <w:r>
        <w:rPr>
          <w:color w:val="383638"/>
          <w:sz w:val="17"/>
        </w:rPr>
        <w:t>(1997).</w:t>
      </w:r>
    </w:p>
    <w:p>
      <w:pPr>
        <w:spacing w:line="194" w:lineRule="auto" w:before="25"/>
        <w:ind w:left="127" w:right="32" w:firstLine="375"/>
        <w:jc w:val="left"/>
        <w:rPr>
          <w:sz w:val="17"/>
        </w:rPr>
      </w:pPr>
      <w:r>
        <w:rPr>
          <w:color w:val="383638"/>
          <w:w w:val="105"/>
          <w:sz w:val="18"/>
          <w:vertAlign w:val="superscript"/>
        </w:rPr>
        <w:t>12</w:t>
      </w:r>
      <w:r>
        <w:rPr>
          <w:i/>
          <w:color w:val="383638"/>
          <w:w w:val="105"/>
          <w:sz w:val="18"/>
          <w:vertAlign w:val="baseline"/>
        </w:rPr>
        <w:t>See </w:t>
      </w:r>
      <w:r>
        <w:rPr>
          <w:i/>
          <w:color w:val="4B494B"/>
          <w:w w:val="105"/>
          <w:sz w:val="18"/>
          <w:vertAlign w:val="baseline"/>
        </w:rPr>
        <w:t>generally </w:t>
      </w:r>
      <w:r>
        <w:rPr>
          <w:color w:val="2A2628"/>
          <w:w w:val="105"/>
          <w:sz w:val="18"/>
          <w:vertAlign w:val="baseline"/>
        </w:rPr>
        <w:t>J</w:t>
      </w:r>
      <w:r>
        <w:rPr>
          <w:color w:val="4B494B"/>
          <w:w w:val="105"/>
          <w:sz w:val="18"/>
          <w:vertAlign w:val="baseline"/>
        </w:rPr>
        <w:t>.</w:t>
      </w:r>
      <w:r>
        <w:rPr>
          <w:color w:val="4B494B"/>
          <w:spacing w:val="1"/>
          <w:w w:val="105"/>
          <w:sz w:val="18"/>
          <w:vertAlign w:val="baseline"/>
        </w:rPr>
        <w:t> </w:t>
      </w:r>
      <w:r>
        <w:rPr>
          <w:color w:val="4B494B"/>
          <w:w w:val="105"/>
          <w:sz w:val="17"/>
          <w:vertAlign w:val="baseline"/>
        </w:rPr>
        <w:t>Christopher</w:t>
      </w:r>
      <w:r>
        <w:rPr>
          <w:color w:val="4B494B"/>
          <w:spacing w:val="1"/>
          <w:w w:val="105"/>
          <w:sz w:val="17"/>
          <w:vertAlign w:val="baseline"/>
        </w:rPr>
        <w:t> </w:t>
      </w:r>
      <w:r>
        <w:rPr>
          <w:color w:val="383638"/>
          <w:w w:val="105"/>
          <w:sz w:val="17"/>
          <w:vertAlign w:val="baseline"/>
        </w:rPr>
        <w:t>Rideout</w:t>
      </w:r>
      <w:r>
        <w:rPr>
          <w:color w:val="383638"/>
          <w:spacing w:val="1"/>
          <w:w w:val="105"/>
          <w:sz w:val="17"/>
          <w:vertAlign w:val="baseline"/>
        </w:rPr>
        <w:t> </w:t>
      </w:r>
      <w:r>
        <w:rPr>
          <w:color w:val="383638"/>
          <w:w w:val="105"/>
          <w:sz w:val="16"/>
          <w:vertAlign w:val="baseline"/>
        </w:rPr>
        <w:t>&amp; </w:t>
      </w:r>
      <w:r>
        <w:rPr>
          <w:color w:val="383638"/>
          <w:w w:val="105"/>
          <w:sz w:val="21"/>
          <w:vertAlign w:val="baseline"/>
        </w:rPr>
        <w:t>Jill J. </w:t>
      </w:r>
      <w:r>
        <w:rPr>
          <w:color w:val="383638"/>
          <w:w w:val="105"/>
          <w:sz w:val="17"/>
          <w:vertAlign w:val="baseline"/>
        </w:rPr>
        <w:t>Ramsfield,</w:t>
      </w:r>
      <w:r>
        <w:rPr>
          <w:color w:val="383638"/>
          <w:spacing w:val="1"/>
          <w:w w:val="105"/>
          <w:sz w:val="17"/>
          <w:vertAlign w:val="baseline"/>
        </w:rPr>
        <w:t> </w:t>
      </w:r>
      <w:r>
        <w:rPr>
          <w:i/>
          <w:color w:val="383638"/>
          <w:w w:val="105"/>
          <w:sz w:val="18"/>
          <w:vertAlign w:val="baseline"/>
        </w:rPr>
        <w:t>Legal Writing</w:t>
      </w:r>
      <w:r>
        <w:rPr>
          <w:i/>
          <w:color w:val="606062"/>
          <w:w w:val="105"/>
          <w:sz w:val="18"/>
          <w:vertAlign w:val="baseline"/>
        </w:rPr>
        <w:t>:</w:t>
      </w:r>
      <w:r>
        <w:rPr>
          <w:i/>
          <w:color w:val="606062"/>
          <w:spacing w:val="1"/>
          <w:w w:val="105"/>
          <w:sz w:val="18"/>
          <w:vertAlign w:val="baseline"/>
        </w:rPr>
        <w:t> </w:t>
      </w:r>
      <w:r>
        <w:rPr>
          <w:i/>
          <w:color w:val="383638"/>
          <w:w w:val="105"/>
          <w:sz w:val="18"/>
          <w:vertAlign w:val="baseline"/>
        </w:rPr>
        <w:t>A</w:t>
      </w:r>
      <w:r>
        <w:rPr>
          <w:i/>
          <w:color w:val="383638"/>
          <w:spacing w:val="1"/>
          <w:w w:val="105"/>
          <w:sz w:val="18"/>
          <w:vertAlign w:val="baseline"/>
        </w:rPr>
        <w:t> </w:t>
      </w:r>
      <w:r>
        <w:rPr>
          <w:i/>
          <w:color w:val="383638"/>
          <w:w w:val="105"/>
          <w:sz w:val="18"/>
          <w:vertAlign w:val="baseline"/>
        </w:rPr>
        <w:t>Revised</w:t>
      </w:r>
      <w:r>
        <w:rPr>
          <w:i/>
          <w:color w:val="383638"/>
          <w:spacing w:val="1"/>
          <w:w w:val="105"/>
          <w:sz w:val="18"/>
          <w:vertAlign w:val="baseline"/>
        </w:rPr>
        <w:t> </w:t>
      </w:r>
      <w:r>
        <w:rPr>
          <w:rFonts w:ascii="Arial"/>
          <w:i/>
          <w:color w:val="383638"/>
          <w:w w:val="105"/>
          <w:sz w:val="16"/>
          <w:vertAlign w:val="baseline"/>
        </w:rPr>
        <w:t>View, </w:t>
      </w:r>
      <w:r>
        <w:rPr>
          <w:color w:val="4B494B"/>
          <w:w w:val="105"/>
          <w:sz w:val="17"/>
          <w:vertAlign w:val="baseline"/>
        </w:rPr>
        <w:t>69</w:t>
      </w:r>
      <w:r>
        <w:rPr>
          <w:color w:val="4B494B"/>
          <w:spacing w:val="-42"/>
          <w:w w:val="105"/>
          <w:sz w:val="17"/>
          <w:vertAlign w:val="baseline"/>
        </w:rPr>
        <w:t> </w:t>
      </w:r>
      <w:r>
        <w:rPr>
          <w:color w:val="383638"/>
          <w:w w:val="105"/>
          <w:sz w:val="17"/>
          <w:vertAlign w:val="baseline"/>
        </w:rPr>
        <w:t>Wash.</w:t>
      </w:r>
      <w:r>
        <w:rPr>
          <w:color w:val="383638"/>
          <w:spacing w:val="-4"/>
          <w:w w:val="105"/>
          <w:sz w:val="17"/>
          <w:vertAlign w:val="baseline"/>
        </w:rPr>
        <w:t> </w:t>
      </w:r>
      <w:r>
        <w:rPr>
          <w:color w:val="383638"/>
          <w:w w:val="105"/>
          <w:sz w:val="18"/>
          <w:vertAlign w:val="baseline"/>
        </w:rPr>
        <w:t>L.</w:t>
      </w:r>
      <w:r>
        <w:rPr>
          <w:color w:val="383638"/>
          <w:spacing w:val="-24"/>
          <w:w w:val="105"/>
          <w:sz w:val="18"/>
          <w:vertAlign w:val="baseline"/>
        </w:rPr>
        <w:t> </w:t>
      </w:r>
      <w:r>
        <w:rPr>
          <w:rFonts w:ascii="Arial"/>
          <w:color w:val="4B494B"/>
          <w:w w:val="105"/>
          <w:sz w:val="16"/>
          <w:vertAlign w:val="baseline"/>
        </w:rPr>
        <w:t>Rev.</w:t>
      </w:r>
      <w:r>
        <w:rPr>
          <w:rFonts w:ascii="Arial"/>
          <w:color w:val="4B494B"/>
          <w:spacing w:val="-15"/>
          <w:w w:val="105"/>
          <w:sz w:val="16"/>
          <w:vertAlign w:val="baseline"/>
        </w:rPr>
        <w:t> </w:t>
      </w:r>
      <w:r>
        <w:rPr>
          <w:color w:val="4B494B"/>
          <w:w w:val="105"/>
          <w:sz w:val="17"/>
          <w:vertAlign w:val="baseline"/>
        </w:rPr>
        <w:t>35</w:t>
      </w:r>
      <w:r>
        <w:rPr>
          <w:color w:val="4B494B"/>
          <w:spacing w:val="30"/>
          <w:w w:val="105"/>
          <w:sz w:val="17"/>
          <w:vertAlign w:val="baseline"/>
        </w:rPr>
        <w:t> </w:t>
      </w:r>
      <w:r>
        <w:rPr>
          <w:color w:val="383638"/>
          <w:w w:val="105"/>
          <w:sz w:val="17"/>
          <w:vertAlign w:val="baseline"/>
        </w:rPr>
        <w:t>(1994).</w:t>
      </w:r>
    </w:p>
    <w:p>
      <w:pPr>
        <w:spacing w:before="23"/>
        <w:ind w:left="414" w:right="0" w:firstLine="0"/>
        <w:jc w:val="left"/>
        <w:rPr>
          <w:rFonts w:ascii="Arial"/>
          <w:sz w:val="16"/>
        </w:rPr>
      </w:pPr>
      <w:r>
        <w:rPr>
          <w:color w:val="383638"/>
          <w:spacing w:val="-1"/>
          <w:w w:val="110"/>
          <w:sz w:val="17"/>
        </w:rPr>
        <w:t>u</w:t>
      </w:r>
      <w:r>
        <w:rPr>
          <w:color w:val="383638"/>
          <w:spacing w:val="36"/>
          <w:w w:val="110"/>
          <w:sz w:val="17"/>
        </w:rPr>
        <w:t> </w:t>
      </w:r>
      <w:r>
        <w:rPr>
          <w:color w:val="383638"/>
          <w:spacing w:val="-1"/>
          <w:w w:val="110"/>
          <w:sz w:val="17"/>
        </w:rPr>
        <w:t>PhilipC.</w:t>
      </w:r>
      <w:r>
        <w:rPr>
          <w:color w:val="383638"/>
          <w:spacing w:val="2"/>
          <w:w w:val="110"/>
          <w:sz w:val="17"/>
        </w:rPr>
        <w:t> </w:t>
      </w:r>
      <w:r>
        <w:rPr>
          <w:color w:val="383638"/>
          <w:w w:val="110"/>
          <w:sz w:val="17"/>
        </w:rPr>
        <w:t>Kissam,</w:t>
      </w:r>
      <w:r>
        <w:rPr>
          <w:color w:val="383638"/>
          <w:spacing w:val="-18"/>
          <w:w w:val="110"/>
          <w:sz w:val="17"/>
        </w:rPr>
        <w:t> </w:t>
      </w:r>
      <w:r>
        <w:rPr>
          <w:i/>
          <w:color w:val="383638"/>
          <w:w w:val="110"/>
          <w:sz w:val="18"/>
        </w:rPr>
        <w:t>111inking</w:t>
      </w:r>
      <w:r>
        <w:rPr>
          <w:i/>
          <w:color w:val="383638"/>
          <w:spacing w:val="-26"/>
          <w:w w:val="110"/>
          <w:sz w:val="18"/>
        </w:rPr>
        <w:t> </w:t>
      </w:r>
      <w:r>
        <w:rPr>
          <w:i/>
          <w:color w:val="383638"/>
          <w:w w:val="110"/>
          <w:sz w:val="17"/>
        </w:rPr>
        <w:t>(By</w:t>
      </w:r>
      <w:r>
        <w:rPr>
          <w:i/>
          <w:color w:val="383638"/>
          <w:spacing w:val="21"/>
          <w:w w:val="110"/>
          <w:sz w:val="17"/>
        </w:rPr>
        <w:t> </w:t>
      </w:r>
      <w:r>
        <w:rPr>
          <w:rFonts w:ascii="Arial"/>
          <w:i/>
          <w:color w:val="383638"/>
          <w:w w:val="110"/>
          <w:sz w:val="16"/>
        </w:rPr>
        <w:t>Writing)</w:t>
      </w:r>
      <w:r>
        <w:rPr>
          <w:rFonts w:ascii="Arial"/>
          <w:i/>
          <w:color w:val="383638"/>
          <w:spacing w:val="-16"/>
          <w:w w:val="110"/>
          <w:sz w:val="16"/>
        </w:rPr>
        <w:t> </w:t>
      </w:r>
      <w:r>
        <w:rPr>
          <w:i/>
          <w:color w:val="383638"/>
          <w:w w:val="110"/>
          <w:sz w:val="18"/>
        </w:rPr>
        <w:t>About</w:t>
      </w:r>
      <w:r>
        <w:rPr>
          <w:i/>
          <w:color w:val="383638"/>
          <w:spacing w:val="-23"/>
          <w:w w:val="110"/>
          <w:sz w:val="18"/>
        </w:rPr>
        <w:t> </w:t>
      </w:r>
      <w:r>
        <w:rPr>
          <w:rFonts w:ascii="Arial"/>
          <w:i/>
          <w:color w:val="383638"/>
          <w:w w:val="110"/>
          <w:sz w:val="16"/>
        </w:rPr>
        <w:t>Legal</w:t>
      </w:r>
      <w:r>
        <w:rPr>
          <w:rFonts w:ascii="Arial"/>
          <w:i/>
          <w:color w:val="383638"/>
          <w:spacing w:val="-14"/>
          <w:w w:val="110"/>
          <w:sz w:val="16"/>
        </w:rPr>
        <w:t> </w:t>
      </w:r>
      <w:r>
        <w:rPr>
          <w:rFonts w:ascii="Arial"/>
          <w:i/>
          <w:color w:val="383638"/>
          <w:w w:val="110"/>
          <w:sz w:val="16"/>
        </w:rPr>
        <w:t>Writing,</w:t>
      </w:r>
      <w:r>
        <w:rPr>
          <w:rFonts w:ascii="Arial"/>
          <w:i/>
          <w:color w:val="383638"/>
          <w:spacing w:val="-27"/>
          <w:w w:val="110"/>
          <w:sz w:val="16"/>
        </w:rPr>
        <w:t> </w:t>
      </w:r>
      <w:r>
        <w:rPr>
          <w:color w:val="383638"/>
          <w:w w:val="110"/>
          <w:sz w:val="17"/>
        </w:rPr>
        <w:t>40</w:t>
      </w:r>
      <w:r>
        <w:rPr>
          <w:color w:val="383638"/>
          <w:spacing w:val="-16"/>
          <w:w w:val="110"/>
          <w:sz w:val="17"/>
        </w:rPr>
        <w:t> </w:t>
      </w:r>
      <w:r>
        <w:rPr>
          <w:color w:val="4B494B"/>
          <w:w w:val="110"/>
          <w:sz w:val="17"/>
        </w:rPr>
        <w:t>Vand.</w:t>
      </w:r>
      <w:r>
        <w:rPr>
          <w:color w:val="4B494B"/>
          <w:spacing w:val="-11"/>
          <w:w w:val="110"/>
          <w:sz w:val="17"/>
        </w:rPr>
        <w:t> </w:t>
      </w:r>
      <w:r>
        <w:rPr>
          <w:color w:val="383638"/>
          <w:w w:val="110"/>
          <w:sz w:val="17"/>
        </w:rPr>
        <w:t>L.</w:t>
      </w:r>
      <w:r>
        <w:rPr>
          <w:rFonts w:ascii="Arial"/>
          <w:color w:val="383638"/>
          <w:w w:val="110"/>
          <w:sz w:val="16"/>
        </w:rPr>
        <w:t>Rev.</w:t>
      </w:r>
      <w:r>
        <w:rPr>
          <w:rFonts w:ascii="Arial"/>
          <w:color w:val="383638"/>
          <w:spacing w:val="-28"/>
          <w:w w:val="110"/>
          <w:sz w:val="16"/>
        </w:rPr>
        <w:t> </w:t>
      </w:r>
      <w:r>
        <w:rPr>
          <w:rFonts w:ascii="Arial"/>
          <w:color w:val="383638"/>
          <w:w w:val="110"/>
          <w:sz w:val="16"/>
        </w:rPr>
        <w:t>135,</w:t>
      </w:r>
      <w:r>
        <w:rPr>
          <w:rFonts w:ascii="Arial"/>
          <w:color w:val="383638"/>
          <w:spacing w:val="-23"/>
          <w:w w:val="110"/>
          <w:sz w:val="16"/>
        </w:rPr>
        <w:t> </w:t>
      </w:r>
      <w:r>
        <w:rPr>
          <w:rFonts w:ascii="Arial"/>
          <w:color w:val="383638"/>
          <w:w w:val="110"/>
          <w:sz w:val="16"/>
        </w:rPr>
        <w:t>138</w:t>
      </w:r>
      <w:r>
        <w:rPr>
          <w:rFonts w:ascii="Arial"/>
          <w:color w:val="383638"/>
          <w:spacing w:val="-30"/>
          <w:w w:val="110"/>
          <w:sz w:val="16"/>
        </w:rPr>
        <w:t> </w:t>
      </w:r>
      <w:r>
        <w:rPr>
          <w:rFonts w:ascii="Arial"/>
          <w:color w:val="383638"/>
          <w:w w:val="110"/>
          <w:sz w:val="16"/>
        </w:rPr>
        <w:t>(1987).</w:t>
      </w:r>
    </w:p>
    <w:p>
      <w:pPr>
        <w:spacing w:after="0"/>
        <w:jc w:val="left"/>
        <w:rPr>
          <w:rFonts w:ascii="Arial"/>
          <w:sz w:val="16"/>
        </w:rPr>
        <w:sectPr>
          <w:pgSz w:w="9630" w:h="13790"/>
          <w:pgMar w:header="399" w:footer="0" w:top="1140" w:bottom="280" w:left="420" w:right="126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20"/>
        <w:ind w:left="666" w:right="331" w:firstLine="16"/>
        <w:jc w:val="both"/>
      </w:pPr>
      <w:r>
        <w:rPr>
          <w:color w:val="3B383A"/>
          <w:w w:val="110"/>
        </w:rPr>
        <w:t>way you can use the process of writing to understand your issues better,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discover what aspects of your writing need more research and analysis,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and</w:t>
      </w:r>
      <w:r>
        <w:rPr>
          <w:color w:val="3B383A"/>
          <w:spacing w:val="32"/>
          <w:w w:val="110"/>
        </w:rPr>
        <w:t> </w:t>
      </w:r>
      <w:r>
        <w:rPr>
          <w:color w:val="3B383A"/>
          <w:w w:val="110"/>
        </w:rPr>
        <w:t>clarify</w:t>
      </w:r>
      <w:r>
        <w:rPr>
          <w:color w:val="3B383A"/>
          <w:spacing w:val="-4"/>
          <w:w w:val="110"/>
        </w:rPr>
        <w:t> </w:t>
      </w:r>
      <w:r>
        <w:rPr>
          <w:color w:val="3B383A"/>
          <w:w w:val="110"/>
        </w:rPr>
        <w:t>your</w:t>
      </w:r>
      <w:r>
        <w:rPr>
          <w:color w:val="3B383A"/>
          <w:spacing w:val="-14"/>
          <w:w w:val="110"/>
        </w:rPr>
        <w:t> </w:t>
      </w:r>
      <w:r>
        <w:rPr>
          <w:color w:val="3B383A"/>
          <w:w w:val="110"/>
        </w:rPr>
        <w:t>legal</w:t>
      </w:r>
      <w:r>
        <w:rPr>
          <w:color w:val="3B383A"/>
          <w:spacing w:val="-4"/>
          <w:w w:val="110"/>
        </w:rPr>
        <w:t> </w:t>
      </w:r>
      <w:r>
        <w:rPr>
          <w:color w:val="3B383A"/>
          <w:w w:val="110"/>
        </w:rPr>
        <w:t>thinking.</w:t>
      </w:r>
    </w:p>
    <w:p>
      <w:pPr>
        <w:pStyle w:val="BodyText"/>
        <w:spacing w:line="240" w:lineRule="exact"/>
        <w:ind w:left="1034"/>
        <w:jc w:val="both"/>
      </w:pPr>
      <w:r>
        <w:rPr>
          <w:color w:val="3B383A"/>
          <w:w w:val="110"/>
        </w:rPr>
        <w:t>The</w:t>
      </w:r>
      <w:r>
        <w:rPr>
          <w:color w:val="3B383A"/>
          <w:spacing w:val="19"/>
          <w:w w:val="110"/>
        </w:rPr>
        <w:t> </w:t>
      </w:r>
      <w:r>
        <w:rPr>
          <w:color w:val="3B383A"/>
          <w:w w:val="110"/>
        </w:rPr>
        <w:t>second</w:t>
      </w:r>
      <w:r>
        <w:rPr>
          <w:color w:val="3B383A"/>
          <w:spacing w:val="42"/>
          <w:w w:val="110"/>
        </w:rPr>
        <w:t> </w:t>
      </w:r>
      <w:r>
        <w:rPr>
          <w:color w:val="3B383A"/>
          <w:w w:val="110"/>
        </w:rPr>
        <w:t>school</w:t>
      </w:r>
      <w:r>
        <w:rPr>
          <w:color w:val="3B383A"/>
          <w:spacing w:val="32"/>
          <w:w w:val="110"/>
        </w:rPr>
        <w:t> </w:t>
      </w:r>
      <w:r>
        <w:rPr>
          <w:color w:val="3B383A"/>
          <w:w w:val="110"/>
        </w:rPr>
        <w:t>of</w:t>
      </w:r>
      <w:r>
        <w:rPr>
          <w:color w:val="3B383A"/>
          <w:spacing w:val="43"/>
          <w:w w:val="110"/>
        </w:rPr>
        <w:t> </w:t>
      </w:r>
      <w:r>
        <w:rPr>
          <w:color w:val="3B383A"/>
          <w:w w:val="110"/>
        </w:rPr>
        <w:t>writing</w:t>
      </w:r>
      <w:r>
        <w:rPr>
          <w:color w:val="3B383A"/>
          <w:spacing w:val="38"/>
          <w:w w:val="110"/>
        </w:rPr>
        <w:t> </w:t>
      </w:r>
      <w:r>
        <w:rPr>
          <w:color w:val="3B383A"/>
          <w:w w:val="110"/>
        </w:rPr>
        <w:t>theory</w:t>
      </w:r>
      <w:r>
        <w:rPr>
          <w:color w:val="3B383A"/>
          <w:spacing w:val="34"/>
          <w:w w:val="110"/>
        </w:rPr>
        <w:t> </w:t>
      </w:r>
      <w:r>
        <w:rPr>
          <w:color w:val="3B383A"/>
          <w:w w:val="110"/>
        </w:rPr>
        <w:t>that</w:t>
      </w:r>
      <w:r>
        <w:rPr>
          <w:color w:val="3B383A"/>
          <w:spacing w:val="45"/>
          <w:w w:val="110"/>
        </w:rPr>
        <w:t> </w:t>
      </w:r>
      <w:r>
        <w:rPr>
          <w:color w:val="3B383A"/>
          <w:w w:val="110"/>
        </w:rPr>
        <w:t>is</w:t>
      </w:r>
      <w:r>
        <w:rPr>
          <w:color w:val="3B383A"/>
          <w:spacing w:val="37"/>
          <w:w w:val="110"/>
        </w:rPr>
        <w:t> </w:t>
      </w:r>
      <w:r>
        <w:rPr>
          <w:color w:val="3B383A"/>
          <w:w w:val="110"/>
        </w:rPr>
        <w:t>particularly</w:t>
      </w:r>
      <w:r>
        <w:rPr>
          <w:color w:val="3B383A"/>
          <w:spacing w:val="47"/>
          <w:w w:val="110"/>
        </w:rPr>
        <w:t> </w:t>
      </w:r>
      <w:r>
        <w:rPr>
          <w:color w:val="3B383A"/>
          <w:w w:val="110"/>
        </w:rPr>
        <w:t>relevant</w:t>
      </w:r>
      <w:r>
        <w:rPr>
          <w:color w:val="3B383A"/>
          <w:spacing w:val="48"/>
          <w:w w:val="110"/>
        </w:rPr>
        <w:t> </w:t>
      </w:r>
      <w:r>
        <w:rPr>
          <w:color w:val="3B383A"/>
          <w:w w:val="110"/>
        </w:rPr>
        <w:t>to</w:t>
      </w:r>
    </w:p>
    <w:p>
      <w:pPr>
        <w:pStyle w:val="BodyText"/>
        <w:spacing w:line="235" w:lineRule="auto" w:before="2"/>
        <w:ind w:left="666" w:right="304" w:firstLine="1"/>
        <w:jc w:val="both"/>
      </w:pPr>
      <w:r>
        <w:rPr>
          <w:color w:val="3B383A"/>
          <w:spacing w:val="-1"/>
          <w:w w:val="110"/>
        </w:rPr>
        <w:t>legal</w:t>
      </w:r>
      <w:r>
        <w:rPr>
          <w:color w:val="3B383A"/>
          <w:spacing w:val="-13"/>
          <w:w w:val="110"/>
        </w:rPr>
        <w:t> </w:t>
      </w:r>
      <w:r>
        <w:rPr>
          <w:color w:val="3B383A"/>
          <w:spacing w:val="-1"/>
          <w:w w:val="110"/>
        </w:rPr>
        <w:t>writing</w:t>
      </w:r>
      <w:r>
        <w:rPr>
          <w:color w:val="3B383A"/>
          <w:spacing w:val="-15"/>
          <w:w w:val="110"/>
        </w:rPr>
        <w:t> </w:t>
      </w:r>
      <w:r>
        <w:rPr>
          <w:color w:val="3B383A"/>
          <w:spacing w:val="-1"/>
          <w:w w:val="110"/>
        </w:rPr>
        <w:t>is</w:t>
      </w:r>
      <w:r>
        <w:rPr>
          <w:color w:val="3B383A"/>
          <w:spacing w:val="-19"/>
          <w:w w:val="110"/>
        </w:rPr>
        <w:t> </w:t>
      </w:r>
      <w:r>
        <w:rPr>
          <w:color w:val="3B383A"/>
          <w:spacing w:val="-1"/>
          <w:w w:val="110"/>
        </w:rPr>
        <w:t>the</w:t>
      </w:r>
      <w:r>
        <w:rPr>
          <w:color w:val="3B383A"/>
          <w:spacing w:val="8"/>
          <w:w w:val="110"/>
        </w:rPr>
        <w:t> </w:t>
      </w:r>
      <w:r>
        <w:rPr>
          <w:color w:val="3B383A"/>
          <w:spacing w:val="-1"/>
          <w:w w:val="110"/>
        </w:rPr>
        <w:t>social</w:t>
      </w:r>
      <w:r>
        <w:rPr>
          <w:color w:val="3B383A"/>
          <w:spacing w:val="-11"/>
          <w:w w:val="110"/>
        </w:rPr>
        <w:t> </w:t>
      </w:r>
      <w:r>
        <w:rPr>
          <w:color w:val="3B383A"/>
          <w:spacing w:val="-1"/>
          <w:w w:val="110"/>
        </w:rPr>
        <w:t>perspective</w:t>
      </w:r>
      <w:r>
        <w:rPr>
          <w:color w:val="3B383A"/>
          <w:spacing w:val="-6"/>
          <w:w w:val="110"/>
        </w:rPr>
        <w:t> </w:t>
      </w:r>
      <w:r>
        <w:rPr>
          <w:color w:val="3B383A"/>
          <w:w w:val="110"/>
        </w:rPr>
        <w:t>school.</w:t>
      </w:r>
      <w:r>
        <w:rPr>
          <w:color w:val="3B383A"/>
          <w:spacing w:val="-19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-16"/>
          <w:w w:val="110"/>
        </w:rPr>
        <w:t> </w:t>
      </w:r>
      <w:r>
        <w:rPr>
          <w:color w:val="3B383A"/>
          <w:w w:val="110"/>
        </w:rPr>
        <w:t>social</w:t>
      </w:r>
      <w:r>
        <w:rPr>
          <w:color w:val="3B383A"/>
          <w:spacing w:val="-1"/>
          <w:w w:val="110"/>
        </w:rPr>
        <w:t> </w:t>
      </w:r>
      <w:r>
        <w:rPr>
          <w:color w:val="3B383A"/>
          <w:w w:val="110"/>
        </w:rPr>
        <w:t>perspective</w:t>
      </w:r>
      <w:r>
        <w:rPr>
          <w:color w:val="3B383A"/>
          <w:spacing w:val="-6"/>
          <w:w w:val="110"/>
        </w:rPr>
        <w:t> </w:t>
      </w:r>
      <w:r>
        <w:rPr>
          <w:color w:val="3B383A"/>
          <w:w w:val="110"/>
        </w:rPr>
        <w:t>school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tells us that writers must understand the needs and expectations of their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audiences and write in a way that meets those needs and expectations. For</w:t>
      </w:r>
      <w:r>
        <w:rPr>
          <w:color w:val="3B383A"/>
          <w:spacing w:val="-61"/>
          <w:w w:val="110"/>
        </w:rPr>
        <w:t> </w:t>
      </w:r>
      <w:r>
        <w:rPr>
          <w:color w:val="3B383A"/>
          <w:w w:val="110"/>
        </w:rPr>
        <w:t>example, if you were asked to draft an opinion letter for a client who hap­</w:t>
      </w:r>
      <w:r>
        <w:rPr>
          <w:color w:val="3B383A"/>
          <w:spacing w:val="-61"/>
          <w:w w:val="110"/>
        </w:rPr>
        <w:t> </w:t>
      </w:r>
      <w:r>
        <w:rPr>
          <w:color w:val="3B383A"/>
          <w:spacing w:val="-1"/>
          <w:w w:val="110"/>
        </w:rPr>
        <w:t>pens to be a lawyer, </w:t>
      </w:r>
      <w:r>
        <w:rPr>
          <w:color w:val="3B383A"/>
          <w:w w:val="110"/>
        </w:rPr>
        <w:t>you would write it very differently than if you were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asked to</w:t>
      </w:r>
      <w:r>
        <w:rPr>
          <w:color w:val="3B383A"/>
          <w:spacing w:val="13"/>
          <w:w w:val="110"/>
        </w:rPr>
        <w:t> </w:t>
      </w:r>
      <w:r>
        <w:rPr>
          <w:color w:val="3B383A"/>
          <w:w w:val="110"/>
        </w:rPr>
        <w:t>write</w:t>
      </w:r>
      <w:r>
        <w:rPr>
          <w:color w:val="3B383A"/>
          <w:spacing w:val="-14"/>
          <w:w w:val="110"/>
        </w:rPr>
        <w:t> </w:t>
      </w:r>
      <w:r>
        <w:rPr>
          <w:color w:val="3B383A"/>
          <w:w w:val="110"/>
        </w:rPr>
        <w:t>a</w:t>
      </w:r>
      <w:r>
        <w:rPr>
          <w:color w:val="3B383A"/>
          <w:spacing w:val="-6"/>
          <w:w w:val="110"/>
        </w:rPr>
        <w:t> </w:t>
      </w:r>
      <w:r>
        <w:rPr>
          <w:color w:val="3B383A"/>
          <w:w w:val="110"/>
        </w:rPr>
        <w:t>similar</w:t>
      </w:r>
      <w:r>
        <w:rPr>
          <w:color w:val="3B383A"/>
          <w:spacing w:val="-10"/>
          <w:w w:val="110"/>
        </w:rPr>
        <w:t> </w:t>
      </w:r>
      <w:r>
        <w:rPr>
          <w:color w:val="3B383A"/>
          <w:w w:val="110"/>
        </w:rPr>
        <w:t>letter</w:t>
      </w:r>
      <w:r>
        <w:rPr>
          <w:color w:val="3B383A"/>
          <w:spacing w:val="-13"/>
          <w:w w:val="110"/>
        </w:rPr>
        <w:t> </w:t>
      </w:r>
      <w:r>
        <w:rPr>
          <w:color w:val="3B383A"/>
          <w:w w:val="110"/>
        </w:rPr>
        <w:t>for</w:t>
      </w:r>
      <w:r>
        <w:rPr>
          <w:color w:val="3B383A"/>
          <w:spacing w:val="-11"/>
          <w:w w:val="110"/>
        </w:rPr>
        <w:t> </w:t>
      </w:r>
      <w:r>
        <w:rPr>
          <w:color w:val="3B383A"/>
          <w:w w:val="110"/>
        </w:rPr>
        <w:t>a</w:t>
      </w:r>
      <w:r>
        <w:rPr>
          <w:color w:val="3B383A"/>
          <w:spacing w:val="-6"/>
          <w:w w:val="110"/>
        </w:rPr>
        <w:t> </w:t>
      </w:r>
      <w:r>
        <w:rPr>
          <w:color w:val="3B383A"/>
          <w:w w:val="110"/>
        </w:rPr>
        <w:t>client</w:t>
      </w:r>
      <w:r>
        <w:rPr>
          <w:color w:val="3B383A"/>
          <w:spacing w:val="-9"/>
          <w:w w:val="110"/>
        </w:rPr>
        <w:t> </w:t>
      </w:r>
      <w:r>
        <w:rPr>
          <w:color w:val="3B383A"/>
          <w:w w:val="110"/>
        </w:rPr>
        <w:t>who</w:t>
      </w:r>
      <w:r>
        <w:rPr>
          <w:color w:val="3B383A"/>
          <w:spacing w:val="2"/>
          <w:w w:val="110"/>
        </w:rPr>
        <w:t> </w:t>
      </w:r>
      <w:r>
        <w:rPr>
          <w:color w:val="3B383A"/>
          <w:w w:val="110"/>
        </w:rPr>
        <w:t>is</w:t>
      </w:r>
      <w:r>
        <w:rPr>
          <w:color w:val="3B383A"/>
          <w:spacing w:val="-4"/>
          <w:w w:val="110"/>
        </w:rPr>
        <w:t> </w:t>
      </w:r>
      <w:r>
        <w:rPr>
          <w:color w:val="3B383A"/>
          <w:w w:val="110"/>
        </w:rPr>
        <w:t>not</w:t>
      </w:r>
      <w:r>
        <w:rPr>
          <w:color w:val="3B383A"/>
          <w:spacing w:val="21"/>
          <w:w w:val="110"/>
        </w:rPr>
        <w:t> </w:t>
      </w:r>
      <w:r>
        <w:rPr>
          <w:color w:val="3B383A"/>
          <w:w w:val="110"/>
        </w:rPr>
        <w:t>a</w:t>
      </w:r>
      <w:r>
        <w:rPr>
          <w:color w:val="3B383A"/>
          <w:spacing w:val="-1"/>
          <w:w w:val="110"/>
        </w:rPr>
        <w:t> </w:t>
      </w:r>
      <w:r>
        <w:rPr>
          <w:color w:val="3B383A"/>
          <w:w w:val="110"/>
        </w:rPr>
        <w:t>lawyer.</w:t>
      </w:r>
    </w:p>
    <w:p>
      <w:pPr>
        <w:pStyle w:val="BodyText"/>
        <w:spacing w:line="232" w:lineRule="auto"/>
        <w:ind w:left="682" w:right="297" w:firstLine="370"/>
        <w:jc w:val="both"/>
      </w:pPr>
      <w:r>
        <w:rPr>
          <w:color w:val="3B383A"/>
          <w:w w:val="110"/>
        </w:rPr>
        <w:t>The social perspective school of writing theory reminds you to think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about "readers" and "users" and about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judges' workload and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attention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span. When legal writers are writing an appellate brief, for example, they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may have particular formal requirements that they must meet</w:t>
      </w:r>
      <w:r>
        <w:rPr>
          <w:color w:val="5B5B5D"/>
          <w:w w:val="110"/>
        </w:rPr>
        <w:t>. </w:t>
      </w:r>
      <w:r>
        <w:rPr>
          <w:color w:val="3B383A"/>
          <w:w w:val="110"/>
        </w:rPr>
        <w:t>They could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be</w:t>
      </w:r>
      <w:r>
        <w:rPr>
          <w:color w:val="3B383A"/>
          <w:spacing w:val="-5"/>
          <w:w w:val="110"/>
        </w:rPr>
        <w:t> </w:t>
      </w:r>
      <w:r>
        <w:rPr>
          <w:color w:val="3B383A"/>
          <w:w w:val="110"/>
        </w:rPr>
        <w:t>required</w:t>
      </w:r>
      <w:r>
        <w:rPr>
          <w:color w:val="3B383A"/>
          <w:spacing w:val="-5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2"/>
          <w:w w:val="110"/>
        </w:rPr>
        <w:t> </w:t>
      </w:r>
      <w:r>
        <w:rPr>
          <w:color w:val="3B383A"/>
          <w:w w:val="110"/>
        </w:rPr>
        <w:t>include</w:t>
      </w:r>
      <w:r>
        <w:rPr>
          <w:color w:val="3B383A"/>
          <w:spacing w:val="-22"/>
          <w:w w:val="110"/>
        </w:rPr>
        <w:t> </w:t>
      </w:r>
      <w:r>
        <w:rPr>
          <w:color w:val="3B383A"/>
          <w:w w:val="110"/>
        </w:rPr>
        <w:t>a</w:t>
      </w:r>
      <w:r>
        <w:rPr>
          <w:color w:val="3B383A"/>
          <w:spacing w:val="-5"/>
          <w:w w:val="110"/>
        </w:rPr>
        <w:t> </w:t>
      </w:r>
      <w:r>
        <w:rPr>
          <w:color w:val="3B383A"/>
          <w:w w:val="110"/>
        </w:rPr>
        <w:t>table</w:t>
      </w:r>
      <w:r>
        <w:rPr>
          <w:color w:val="3B383A"/>
          <w:spacing w:val="-29"/>
          <w:w w:val="110"/>
        </w:rPr>
        <w:t> </w:t>
      </w:r>
      <w:r>
        <w:rPr>
          <w:color w:val="3B383A"/>
          <w:w w:val="110"/>
        </w:rPr>
        <w:t>of</w:t>
      </w:r>
      <w:r>
        <w:rPr>
          <w:color w:val="3B383A"/>
          <w:spacing w:val="-11"/>
          <w:w w:val="110"/>
        </w:rPr>
        <w:t> </w:t>
      </w:r>
      <w:r>
        <w:rPr>
          <w:color w:val="3B383A"/>
          <w:w w:val="110"/>
        </w:rPr>
        <w:t>contents,</w:t>
      </w:r>
      <w:r>
        <w:rPr>
          <w:color w:val="3B383A"/>
          <w:spacing w:val="-19"/>
          <w:w w:val="110"/>
        </w:rPr>
        <w:t> </w:t>
      </w:r>
      <w:r>
        <w:rPr>
          <w:color w:val="3B383A"/>
          <w:w w:val="110"/>
        </w:rPr>
        <w:t>a</w:t>
      </w:r>
      <w:r>
        <w:rPr>
          <w:color w:val="3B383A"/>
          <w:spacing w:val="-7"/>
          <w:w w:val="110"/>
        </w:rPr>
        <w:t> </w:t>
      </w:r>
      <w:r>
        <w:rPr>
          <w:color w:val="3B383A"/>
          <w:w w:val="110"/>
        </w:rPr>
        <w:t>table</w:t>
      </w:r>
      <w:r>
        <w:rPr>
          <w:color w:val="3B383A"/>
          <w:spacing w:val="-30"/>
          <w:w w:val="110"/>
        </w:rPr>
        <w:t> </w:t>
      </w:r>
      <w:r>
        <w:rPr>
          <w:color w:val="3B383A"/>
          <w:w w:val="110"/>
        </w:rPr>
        <w:t>of</w:t>
      </w:r>
      <w:r>
        <w:rPr>
          <w:color w:val="3B383A"/>
          <w:spacing w:val="-11"/>
          <w:w w:val="110"/>
        </w:rPr>
        <w:t> </w:t>
      </w:r>
      <w:r>
        <w:rPr>
          <w:color w:val="3B383A"/>
          <w:w w:val="110"/>
        </w:rPr>
        <w:t>authorities,</w:t>
      </w:r>
      <w:r>
        <w:rPr>
          <w:color w:val="3B383A"/>
          <w:spacing w:val="-8"/>
          <w:w w:val="110"/>
        </w:rPr>
        <w:t> </w:t>
      </w:r>
      <w:r>
        <w:rPr>
          <w:color w:val="3B383A"/>
          <w:w w:val="110"/>
        </w:rPr>
        <w:t>a</w:t>
      </w:r>
      <w:r>
        <w:rPr>
          <w:color w:val="3B383A"/>
          <w:spacing w:val="-13"/>
          <w:w w:val="110"/>
        </w:rPr>
        <w:t> </w:t>
      </w:r>
      <w:r>
        <w:rPr>
          <w:color w:val="3B383A"/>
          <w:w w:val="110"/>
        </w:rPr>
        <w:t>statement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of the case, a statement of the issue, an argument, and a conclusion. Judges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and the clerks might be confused</w:t>
      </w:r>
      <w:r>
        <w:rPr>
          <w:color w:val="5B5B5D"/>
          <w:w w:val="110"/>
        </w:rPr>
        <w:t>, </w:t>
      </w:r>
      <w:r>
        <w:rPr>
          <w:color w:val="3B383A"/>
          <w:w w:val="110"/>
        </w:rPr>
        <w:t>frustrated, or even angry if the brief­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writer</w:t>
      </w:r>
      <w:r>
        <w:rPr>
          <w:color w:val="3B383A"/>
          <w:spacing w:val="-8"/>
          <w:w w:val="110"/>
        </w:rPr>
        <w:t> </w:t>
      </w:r>
      <w:r>
        <w:rPr>
          <w:color w:val="3B383A"/>
          <w:w w:val="110"/>
        </w:rPr>
        <w:t>violated</w:t>
      </w:r>
      <w:r>
        <w:rPr>
          <w:color w:val="3B383A"/>
          <w:spacing w:val="5"/>
          <w:w w:val="110"/>
        </w:rPr>
        <w:t> </w:t>
      </w:r>
      <w:r>
        <w:rPr>
          <w:color w:val="3B383A"/>
          <w:w w:val="110"/>
        </w:rPr>
        <w:t>their</w:t>
      </w:r>
      <w:r>
        <w:rPr>
          <w:color w:val="3B383A"/>
          <w:spacing w:val="-8"/>
          <w:w w:val="110"/>
        </w:rPr>
        <w:t> </w:t>
      </w:r>
      <w:r>
        <w:rPr>
          <w:color w:val="3B383A"/>
          <w:w w:val="110"/>
        </w:rPr>
        <w:t>expectations</w:t>
      </w:r>
      <w:r>
        <w:rPr>
          <w:color w:val="3B383A"/>
          <w:spacing w:val="-2"/>
          <w:w w:val="110"/>
        </w:rPr>
        <w:t> </w:t>
      </w:r>
      <w:r>
        <w:rPr>
          <w:color w:val="3B383A"/>
          <w:w w:val="110"/>
        </w:rPr>
        <w:t>by</w:t>
      </w:r>
      <w:r>
        <w:rPr>
          <w:color w:val="3B383A"/>
          <w:spacing w:val="-4"/>
          <w:w w:val="110"/>
        </w:rPr>
        <w:t> </w:t>
      </w:r>
      <w:r>
        <w:rPr>
          <w:color w:val="3B383A"/>
          <w:w w:val="110"/>
        </w:rPr>
        <w:t>not</w:t>
      </w:r>
      <w:r>
        <w:rPr>
          <w:color w:val="3B383A"/>
          <w:spacing w:val="10"/>
          <w:w w:val="110"/>
        </w:rPr>
        <w:t> </w:t>
      </w:r>
      <w:r>
        <w:rPr>
          <w:color w:val="3B383A"/>
          <w:w w:val="110"/>
        </w:rPr>
        <w:t>including</w:t>
      </w:r>
      <w:r>
        <w:rPr>
          <w:color w:val="3B383A"/>
          <w:spacing w:val="3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8"/>
          <w:w w:val="110"/>
        </w:rPr>
        <w:t> </w:t>
      </w:r>
      <w:r>
        <w:rPr>
          <w:color w:val="3B383A"/>
          <w:w w:val="110"/>
        </w:rPr>
        <w:t>required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elements.</w:t>
      </w:r>
    </w:p>
    <w:p>
      <w:pPr>
        <w:pStyle w:val="BodyText"/>
        <w:spacing w:line="237" w:lineRule="auto"/>
        <w:ind w:left="590" w:right="285" w:firstLine="505"/>
        <w:jc w:val="both"/>
      </w:pPr>
      <w:r>
        <w:rPr>
          <w:color w:val="3B383A"/>
          <w:spacing w:val="-1"/>
          <w:w w:val="115"/>
        </w:rPr>
        <w:t>Writers</w:t>
      </w:r>
      <w:r>
        <w:rPr>
          <w:color w:val="3B383A"/>
          <w:spacing w:val="-13"/>
          <w:w w:val="115"/>
        </w:rPr>
        <w:t> </w:t>
      </w:r>
      <w:r>
        <w:rPr>
          <w:color w:val="3B383A"/>
          <w:spacing w:val="-1"/>
          <w:w w:val="115"/>
        </w:rPr>
        <w:t>who</w:t>
      </w:r>
      <w:r>
        <w:rPr>
          <w:color w:val="3B383A"/>
          <w:spacing w:val="13"/>
          <w:w w:val="115"/>
        </w:rPr>
        <w:t> </w:t>
      </w:r>
      <w:r>
        <w:rPr>
          <w:color w:val="3B383A"/>
          <w:spacing w:val="-1"/>
          <w:w w:val="115"/>
        </w:rPr>
        <w:t>keep</w:t>
      </w:r>
      <w:r>
        <w:rPr>
          <w:color w:val="3B383A"/>
          <w:spacing w:val="-15"/>
          <w:w w:val="115"/>
        </w:rPr>
        <w:t> </w:t>
      </w:r>
      <w:r>
        <w:rPr>
          <w:color w:val="3B383A"/>
          <w:spacing w:val="-1"/>
          <w:w w:val="115"/>
        </w:rPr>
        <w:t>writing</w:t>
      </w:r>
      <w:r>
        <w:rPr>
          <w:color w:val="3B383A"/>
          <w:spacing w:val="-9"/>
          <w:w w:val="115"/>
        </w:rPr>
        <w:t> </w:t>
      </w:r>
      <w:r>
        <w:rPr>
          <w:color w:val="3B383A"/>
          <w:spacing w:val="-1"/>
          <w:w w:val="115"/>
        </w:rPr>
        <w:t>theory</w:t>
      </w:r>
      <w:r>
        <w:rPr>
          <w:color w:val="3B383A"/>
          <w:spacing w:val="-12"/>
          <w:w w:val="115"/>
        </w:rPr>
        <w:t> </w:t>
      </w:r>
      <w:r>
        <w:rPr>
          <w:color w:val="3B383A"/>
          <w:spacing w:val="-1"/>
          <w:w w:val="115"/>
        </w:rPr>
        <w:t>in</w:t>
      </w:r>
      <w:r>
        <w:rPr>
          <w:color w:val="3B383A"/>
          <w:spacing w:val="-7"/>
          <w:w w:val="115"/>
        </w:rPr>
        <w:t> </w:t>
      </w:r>
      <w:r>
        <w:rPr>
          <w:color w:val="3B383A"/>
          <w:spacing w:val="-1"/>
          <w:w w:val="115"/>
        </w:rPr>
        <w:t>mind</w:t>
      </w:r>
      <w:r>
        <w:rPr>
          <w:color w:val="3B383A"/>
          <w:spacing w:val="-8"/>
          <w:w w:val="115"/>
        </w:rPr>
        <w:t> </w:t>
      </w:r>
      <w:r>
        <w:rPr>
          <w:color w:val="3B383A"/>
          <w:spacing w:val="-1"/>
          <w:w w:val="115"/>
        </w:rPr>
        <w:t>will</w:t>
      </w:r>
      <w:r>
        <w:rPr>
          <w:color w:val="3B383A"/>
          <w:spacing w:val="-11"/>
          <w:w w:val="115"/>
        </w:rPr>
        <w:t> </w:t>
      </w:r>
      <w:r>
        <w:rPr>
          <w:color w:val="3B383A"/>
          <w:spacing w:val="-1"/>
          <w:w w:val="115"/>
        </w:rPr>
        <w:t>first</w:t>
      </w:r>
      <w:r>
        <w:rPr>
          <w:color w:val="3B383A"/>
          <w:spacing w:val="-14"/>
          <w:w w:val="115"/>
        </w:rPr>
        <w:t> </w:t>
      </w:r>
      <w:r>
        <w:rPr>
          <w:color w:val="3B383A"/>
          <w:w w:val="115"/>
        </w:rPr>
        <w:t>allow</w:t>
      </w:r>
      <w:r>
        <w:rPr>
          <w:color w:val="3B383A"/>
          <w:spacing w:val="-10"/>
          <w:w w:val="115"/>
        </w:rPr>
        <w:t> </w:t>
      </w:r>
      <w:r>
        <w:rPr>
          <w:color w:val="3B383A"/>
          <w:w w:val="115"/>
        </w:rPr>
        <w:t>themselves</w:t>
      </w:r>
      <w:r>
        <w:rPr>
          <w:color w:val="3B383A"/>
          <w:spacing w:val="-64"/>
          <w:w w:val="115"/>
        </w:rPr>
        <w:t> </w:t>
      </w:r>
      <w:r>
        <w:rPr>
          <w:color w:val="3B383A"/>
          <w:w w:val="110"/>
        </w:rPr>
        <w:t>to spend time researching, brainstorming, drafting, and using other tech­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5"/>
        </w:rPr>
        <w:t>niques to think about the problem in creative ways, so that they fully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understand the message that they intend to convey. Only after gaining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0"/>
        </w:rPr>
        <w:t>sufficient understanding of the  message wiJl they pay close attention  to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the reader's needs and requirements. Of course, legal writers should keep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5"/>
        </w:rPr>
        <w:t>the reader's needs in mind from the early stages of the process. Paying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attention to many of the reader's needs-for example, the need for dear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0"/>
        </w:rPr>
        <w:t>articulation of the rule, the need for discussion of one issue at a time,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5"/>
        </w:rPr>
        <w:t>need for an explication of the meaning of the legal rule-will also help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0"/>
        </w:rPr>
        <w:t>the writer in the cognitive stages to </w:t>
      </w:r>
      <w:r>
        <w:rPr>
          <w:rFonts w:ascii="Arial" w:hAnsi="Arial"/>
          <w:i/>
          <w:color w:val="3B383A"/>
          <w:w w:val="110"/>
          <w:sz w:val="21"/>
        </w:rPr>
        <w:t>gain </w:t>
      </w:r>
      <w:r>
        <w:rPr>
          <w:color w:val="3B383A"/>
          <w:w w:val="110"/>
        </w:rPr>
        <w:t>a fuller understanding of the legal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5"/>
        </w:rPr>
        <w:t>issues</w:t>
      </w:r>
      <w:r>
        <w:rPr>
          <w:color w:val="3B383A"/>
          <w:spacing w:val="-12"/>
          <w:w w:val="115"/>
        </w:rPr>
        <w:t> </w:t>
      </w:r>
      <w:r>
        <w:rPr>
          <w:color w:val="3B383A"/>
          <w:w w:val="115"/>
        </w:rPr>
        <w:t>that</w:t>
      </w:r>
      <w:r>
        <w:rPr>
          <w:color w:val="3B383A"/>
          <w:spacing w:val="-3"/>
          <w:w w:val="115"/>
        </w:rPr>
        <w:t> </w:t>
      </w:r>
      <w:r>
        <w:rPr>
          <w:color w:val="3B383A"/>
          <w:w w:val="115"/>
        </w:rPr>
        <w:t>the</w:t>
      </w:r>
      <w:r>
        <w:rPr>
          <w:color w:val="3B383A"/>
          <w:spacing w:val="-19"/>
          <w:w w:val="115"/>
        </w:rPr>
        <w:t> </w:t>
      </w:r>
      <w:r>
        <w:rPr>
          <w:color w:val="3B383A"/>
          <w:w w:val="115"/>
        </w:rPr>
        <w:t>case</w:t>
      </w:r>
      <w:r>
        <w:rPr>
          <w:color w:val="3B383A"/>
          <w:spacing w:val="-8"/>
          <w:w w:val="115"/>
        </w:rPr>
        <w:t> </w:t>
      </w:r>
      <w:r>
        <w:rPr>
          <w:color w:val="3B383A"/>
          <w:w w:val="115"/>
        </w:rPr>
        <w:t>presents.</w:t>
      </w:r>
    </w:p>
    <w:p>
      <w:pPr>
        <w:pStyle w:val="BodyText"/>
        <w:rPr>
          <w:sz w:val="26"/>
        </w:rPr>
      </w:pPr>
    </w:p>
    <w:p>
      <w:pPr>
        <w:spacing w:before="214"/>
        <w:ind w:left="1228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3B383A"/>
          <w:w w:val="110"/>
          <w:sz w:val="32"/>
        </w:rPr>
        <w:t>1.4</w:t>
      </w:r>
    </w:p>
    <w:p>
      <w:pPr>
        <w:spacing w:before="66"/>
        <w:ind w:left="1218" w:right="0" w:firstLine="0"/>
        <w:jc w:val="left"/>
        <w:rPr>
          <w:b/>
          <w:sz w:val="29"/>
        </w:rPr>
      </w:pPr>
      <w:r>
        <w:rPr>
          <w:b/>
          <w:color w:val="5B5B5D"/>
          <w:sz w:val="29"/>
        </w:rPr>
        <w:t>H</w:t>
      </w:r>
      <w:r>
        <w:rPr>
          <w:b/>
          <w:color w:val="3B383A"/>
          <w:sz w:val="29"/>
        </w:rPr>
        <w:t>OW</w:t>
      </w:r>
      <w:r>
        <w:rPr>
          <w:b/>
          <w:color w:val="3B383A"/>
          <w:spacing w:val="-13"/>
          <w:sz w:val="29"/>
        </w:rPr>
        <w:t> </w:t>
      </w:r>
      <w:r>
        <w:rPr>
          <w:b/>
          <w:color w:val="3B383A"/>
          <w:sz w:val="29"/>
        </w:rPr>
        <w:t>T</w:t>
      </w:r>
      <w:r>
        <w:rPr>
          <w:b/>
          <w:color w:val="5B5B5D"/>
          <w:sz w:val="29"/>
        </w:rPr>
        <w:t>O</w:t>
      </w:r>
      <w:r>
        <w:rPr>
          <w:b/>
          <w:color w:val="5B5B5D"/>
          <w:spacing w:val="3"/>
          <w:sz w:val="29"/>
        </w:rPr>
        <w:t> </w:t>
      </w:r>
      <w:r>
        <w:rPr>
          <w:b/>
          <w:color w:val="5B5B5D"/>
          <w:sz w:val="29"/>
        </w:rPr>
        <w:t>USE</w:t>
      </w:r>
      <w:r>
        <w:rPr>
          <w:b/>
          <w:color w:val="5B5B5D"/>
          <w:spacing w:val="-13"/>
          <w:sz w:val="29"/>
        </w:rPr>
        <w:t> </w:t>
      </w:r>
      <w:r>
        <w:rPr>
          <w:rFonts w:ascii="Arial"/>
          <w:b/>
          <w:color w:val="5B5B5D"/>
          <w:sz w:val="26"/>
        </w:rPr>
        <w:t>TH</w:t>
      </w:r>
      <w:r>
        <w:rPr>
          <w:rFonts w:ascii="Arial"/>
          <w:b/>
          <w:color w:val="3B383A"/>
          <w:sz w:val="26"/>
        </w:rPr>
        <w:t>I</w:t>
      </w:r>
      <w:r>
        <w:rPr>
          <w:rFonts w:ascii="Arial"/>
          <w:b/>
          <w:color w:val="5B5B5D"/>
          <w:sz w:val="26"/>
        </w:rPr>
        <w:t>S</w:t>
      </w:r>
      <w:r>
        <w:rPr>
          <w:rFonts w:ascii="Arial"/>
          <w:b/>
          <w:color w:val="5B5B5D"/>
          <w:spacing w:val="-10"/>
          <w:sz w:val="26"/>
        </w:rPr>
        <w:t> </w:t>
      </w:r>
      <w:r>
        <w:rPr>
          <w:b/>
          <w:color w:val="707274"/>
          <w:sz w:val="29"/>
        </w:rPr>
        <w:t>BOOK</w:t>
      </w:r>
    </w:p>
    <w:p>
      <w:pPr>
        <w:pStyle w:val="BodyText"/>
        <w:spacing w:line="232" w:lineRule="auto" w:before="268"/>
        <w:ind w:left="464" w:right="360" w:firstLine="706"/>
        <w:jc w:val="both"/>
      </w:pPr>
      <w:r>
        <w:rPr>
          <w:color w:val="3B383A"/>
          <w:w w:val="110"/>
        </w:rPr>
        <w:t>In </w:t>
      </w:r>
      <w:r>
        <w:rPr>
          <w:i/>
          <w:color w:val="3B383A"/>
          <w:w w:val="110"/>
          <w:sz w:val="22"/>
        </w:rPr>
        <w:t>this </w:t>
      </w:r>
      <w:r>
        <w:rPr>
          <w:color w:val="3B383A"/>
          <w:w w:val="110"/>
        </w:rPr>
        <w:t>book, you </w:t>
      </w:r>
      <w:r>
        <w:rPr>
          <w:i/>
          <w:color w:val="3B383A"/>
          <w:w w:val="110"/>
        </w:rPr>
        <w:t>will </w:t>
      </w:r>
      <w:r>
        <w:rPr>
          <w:color w:val="3B383A"/>
          <w:w w:val="110"/>
        </w:rPr>
        <w:t>learn about techniques to help you to advance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5"/>
        </w:rPr>
        <w:t>each of the policies noted previously and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thus to write a better brief,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whether for an appellate court or a trial court. (To see a sample of both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0"/>
        </w:rPr>
        <w:t>an appellate brief and a motion brief, consult Appendix </w:t>
      </w:r>
      <w:r>
        <w:rPr>
          <w:rFonts w:ascii="Arial"/>
          <w:color w:val="3B383A"/>
          <w:w w:val="110"/>
          <w:sz w:val="21"/>
        </w:rPr>
        <w:t>C.) </w:t>
      </w:r>
      <w:r>
        <w:rPr>
          <w:color w:val="3B383A"/>
          <w:w w:val="110"/>
        </w:rPr>
        <w:t>Although you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are writing with the complete end product in mind, your end product </w:t>
      </w:r>
      <w:r>
        <w:rPr>
          <w:color w:val="3B383A"/>
          <w:w w:val="110"/>
          <w:sz w:val="26"/>
        </w:rPr>
        <w:t>will</w:t>
      </w:r>
      <w:r>
        <w:rPr>
          <w:color w:val="3B383A"/>
          <w:spacing w:val="1"/>
          <w:w w:val="110"/>
          <w:sz w:val="26"/>
        </w:rPr>
        <w:t> </w:t>
      </w:r>
      <w:r>
        <w:rPr>
          <w:color w:val="3B383A"/>
          <w:w w:val="110"/>
        </w:rPr>
        <w:t>usually be better if you follow a writing process that focuses your attention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5"/>
        </w:rPr>
        <w:t>on</w:t>
      </w:r>
      <w:r>
        <w:rPr>
          <w:color w:val="3B383A"/>
          <w:spacing w:val="3"/>
          <w:w w:val="115"/>
        </w:rPr>
        <w:t> </w:t>
      </w:r>
      <w:r>
        <w:rPr>
          <w:color w:val="3B383A"/>
          <w:w w:val="115"/>
        </w:rPr>
        <w:t>only</w:t>
      </w:r>
      <w:r>
        <w:rPr>
          <w:color w:val="3B383A"/>
          <w:spacing w:val="-23"/>
          <w:w w:val="115"/>
        </w:rPr>
        <w:t> </w:t>
      </w:r>
      <w:r>
        <w:rPr>
          <w:color w:val="3B383A"/>
          <w:w w:val="115"/>
        </w:rPr>
        <w:t>one</w:t>
      </w:r>
      <w:r>
        <w:rPr>
          <w:color w:val="3B383A"/>
          <w:spacing w:val="-2"/>
          <w:w w:val="115"/>
        </w:rPr>
        <w:t> </w:t>
      </w:r>
      <w:r>
        <w:rPr>
          <w:color w:val="3B383A"/>
          <w:w w:val="115"/>
        </w:rPr>
        <w:t>task</w:t>
      </w:r>
      <w:r>
        <w:rPr>
          <w:color w:val="3B383A"/>
          <w:spacing w:val="-18"/>
          <w:w w:val="115"/>
        </w:rPr>
        <w:t> </w:t>
      </w:r>
      <w:r>
        <w:rPr>
          <w:color w:val="3B383A"/>
          <w:w w:val="115"/>
        </w:rPr>
        <w:t>at</w:t>
      </w:r>
      <w:r>
        <w:rPr>
          <w:color w:val="3B383A"/>
          <w:spacing w:val="11"/>
          <w:w w:val="115"/>
        </w:rPr>
        <w:t> </w:t>
      </w:r>
      <w:r>
        <w:rPr>
          <w:color w:val="3B383A"/>
          <w:w w:val="115"/>
        </w:rPr>
        <w:t>a</w:t>
      </w:r>
      <w:r>
        <w:rPr>
          <w:color w:val="3B383A"/>
          <w:spacing w:val="9"/>
          <w:w w:val="115"/>
        </w:rPr>
        <w:t> </w:t>
      </w:r>
      <w:r>
        <w:rPr>
          <w:color w:val="3B383A"/>
          <w:w w:val="115"/>
        </w:rPr>
        <w:t>time.</w:t>
      </w:r>
    </w:p>
    <w:p>
      <w:pPr>
        <w:pStyle w:val="BodyText"/>
        <w:spacing w:line="244" w:lineRule="auto" w:before="24"/>
        <w:ind w:left="443" w:right="388" w:firstLine="403"/>
        <w:jc w:val="both"/>
      </w:pPr>
      <w:r>
        <w:rPr>
          <w:color w:val="3B383A"/>
          <w:w w:val="110"/>
        </w:rPr>
        <w:t>As you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begin your writing process, focus your attention on gaining an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5"/>
        </w:rPr>
        <w:t>understanding</w:t>
      </w:r>
      <w:r>
        <w:rPr>
          <w:color w:val="3B383A"/>
          <w:spacing w:val="-4"/>
          <w:w w:val="115"/>
        </w:rPr>
        <w:t> </w:t>
      </w:r>
      <w:r>
        <w:rPr>
          <w:color w:val="3B383A"/>
          <w:w w:val="115"/>
        </w:rPr>
        <w:t>of</w:t>
      </w:r>
      <w:r>
        <w:rPr>
          <w:color w:val="3B383A"/>
          <w:spacing w:val="-4"/>
          <w:w w:val="115"/>
        </w:rPr>
        <w:t> </w:t>
      </w:r>
      <w:r>
        <w:rPr>
          <w:color w:val="3B383A"/>
          <w:w w:val="115"/>
        </w:rPr>
        <w:t>the</w:t>
      </w:r>
      <w:r>
        <w:rPr>
          <w:color w:val="3B383A"/>
          <w:spacing w:val="5"/>
          <w:w w:val="115"/>
        </w:rPr>
        <w:t> </w:t>
      </w:r>
      <w:r>
        <w:rPr>
          <w:color w:val="3B383A"/>
          <w:w w:val="115"/>
        </w:rPr>
        <w:t>legal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issues</w:t>
      </w:r>
      <w:r>
        <w:rPr>
          <w:color w:val="3B383A"/>
          <w:spacing w:val="-9"/>
          <w:w w:val="115"/>
        </w:rPr>
        <w:t> </w:t>
      </w:r>
      <w:r>
        <w:rPr>
          <w:color w:val="3B383A"/>
          <w:w w:val="115"/>
        </w:rPr>
        <w:t>that your</w:t>
      </w:r>
      <w:r>
        <w:rPr>
          <w:color w:val="3B383A"/>
          <w:spacing w:val="-13"/>
          <w:w w:val="115"/>
        </w:rPr>
        <w:t> </w:t>
      </w:r>
      <w:r>
        <w:rPr>
          <w:color w:val="3B383A"/>
          <w:w w:val="115"/>
        </w:rPr>
        <w:t>case</w:t>
      </w:r>
      <w:r>
        <w:rPr>
          <w:color w:val="3B383A"/>
          <w:spacing w:val="-13"/>
          <w:w w:val="115"/>
        </w:rPr>
        <w:t> </w:t>
      </w:r>
      <w:r>
        <w:rPr>
          <w:color w:val="3B383A"/>
          <w:w w:val="115"/>
        </w:rPr>
        <w:t>presents</w:t>
      </w:r>
      <w:r>
        <w:rPr>
          <w:color w:val="3B383A"/>
          <w:spacing w:val="-3"/>
          <w:w w:val="115"/>
        </w:rPr>
        <w:t> </w:t>
      </w:r>
      <w:r>
        <w:rPr>
          <w:color w:val="3B383A"/>
          <w:w w:val="115"/>
        </w:rPr>
        <w:t>and</w:t>
      </w:r>
      <w:r>
        <w:rPr>
          <w:color w:val="3B383A"/>
          <w:spacing w:val="11"/>
          <w:w w:val="115"/>
        </w:rPr>
        <w:t> </w:t>
      </w:r>
      <w:r>
        <w:rPr>
          <w:color w:val="3B383A"/>
          <w:w w:val="115"/>
        </w:rPr>
        <w:t>of</w:t>
      </w:r>
      <w:r>
        <w:rPr>
          <w:color w:val="3B383A"/>
          <w:spacing w:val="17"/>
          <w:w w:val="115"/>
        </w:rPr>
        <w:t> </w:t>
      </w:r>
      <w:r>
        <w:rPr>
          <w:color w:val="3B383A"/>
          <w:w w:val="115"/>
        </w:rPr>
        <w:t>the</w:t>
      </w:r>
      <w:r>
        <w:rPr>
          <w:color w:val="3B383A"/>
          <w:spacing w:val="25"/>
          <w:w w:val="115"/>
        </w:rPr>
        <w:t> </w:t>
      </w:r>
      <w:r>
        <w:rPr>
          <w:color w:val="3B383A"/>
          <w:w w:val="115"/>
        </w:rPr>
        <w:t>legal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0" w:right="32" w:firstLine="0"/>
        <w:jc w:val="right"/>
        <w:rPr>
          <w:rFonts w:ascii="Arial"/>
          <w:sz w:val="18"/>
        </w:rPr>
      </w:pPr>
      <w:r>
        <w:rPr>
          <w:rFonts w:ascii="Arial"/>
          <w:color w:val="3B383A"/>
          <w:w w:val="203"/>
          <w:sz w:val="18"/>
        </w:rPr>
        <w:t>_</w:t>
      </w:r>
    </w:p>
    <w:p>
      <w:pPr>
        <w:spacing w:after="0"/>
        <w:jc w:val="right"/>
        <w:rPr>
          <w:rFonts w:ascii="Arial"/>
          <w:sz w:val="18"/>
        </w:rPr>
        <w:sectPr>
          <w:headerReference w:type="even" r:id="rId33"/>
          <w:headerReference w:type="default" r:id="rId34"/>
          <w:pgSz w:w="9860" w:h="13850"/>
          <w:pgMar w:header="617" w:footer="0" w:top="640" w:bottom="0" w:left="1360" w:right="0"/>
          <w:pgNumType w:start="8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21"/>
        </w:rPr>
      </w:pPr>
    </w:p>
    <w:p>
      <w:pPr>
        <w:spacing w:line="225" w:lineRule="auto" w:before="0"/>
        <w:ind w:left="115" w:right="318" w:hanging="7"/>
        <w:jc w:val="both"/>
        <w:rPr>
          <w:sz w:val="24"/>
        </w:rPr>
      </w:pPr>
      <w:r>
        <w:rPr>
          <w:color w:val="363434"/>
          <w:w w:val="105"/>
          <w:sz w:val="24"/>
        </w:rPr>
        <w:t>authorities that govern those issues. Get to know the facts of the case, and</w:t>
      </w:r>
      <w:r>
        <w:rPr>
          <w:color w:val="363434"/>
          <w:spacing w:val="1"/>
          <w:w w:val="105"/>
          <w:sz w:val="24"/>
        </w:rPr>
        <w:t> </w:t>
      </w:r>
      <w:r>
        <w:rPr>
          <w:color w:val="363434"/>
          <w:w w:val="105"/>
          <w:sz w:val="24"/>
        </w:rPr>
        <w:t>plan and execute your research. Chapter Three </w:t>
      </w:r>
      <w:r>
        <w:rPr>
          <w:rFonts w:ascii="Arial" w:hAnsi="Arial"/>
          <w:color w:val="363434"/>
          <w:w w:val="105"/>
          <w:sz w:val="21"/>
        </w:rPr>
        <w:t>will </w:t>
      </w:r>
      <w:r>
        <w:rPr>
          <w:color w:val="363434"/>
          <w:w w:val="105"/>
          <w:sz w:val="24"/>
        </w:rPr>
        <w:t>give you advice on get­</w:t>
      </w:r>
      <w:r>
        <w:rPr>
          <w:color w:val="363434"/>
          <w:spacing w:val="-60"/>
          <w:w w:val="105"/>
          <w:sz w:val="24"/>
        </w:rPr>
        <w:t> </w:t>
      </w:r>
      <w:r>
        <w:rPr>
          <w:color w:val="363434"/>
          <w:w w:val="105"/>
          <w:sz w:val="24"/>
        </w:rPr>
        <w:t>ting</w:t>
      </w:r>
      <w:r>
        <w:rPr>
          <w:color w:val="363434"/>
          <w:spacing w:val="-4"/>
          <w:w w:val="105"/>
          <w:sz w:val="24"/>
        </w:rPr>
        <w:t> </w:t>
      </w:r>
      <w:r>
        <w:rPr>
          <w:color w:val="363434"/>
          <w:w w:val="105"/>
          <w:sz w:val="24"/>
        </w:rPr>
        <w:t>to</w:t>
      </w:r>
      <w:r>
        <w:rPr>
          <w:color w:val="363434"/>
          <w:spacing w:val="2"/>
          <w:w w:val="105"/>
          <w:sz w:val="24"/>
        </w:rPr>
        <w:t> </w:t>
      </w:r>
      <w:r>
        <w:rPr>
          <w:color w:val="363434"/>
          <w:w w:val="105"/>
          <w:sz w:val="24"/>
        </w:rPr>
        <w:t>know</w:t>
      </w:r>
      <w:r>
        <w:rPr>
          <w:color w:val="363434"/>
          <w:spacing w:val="-16"/>
          <w:w w:val="105"/>
          <w:sz w:val="24"/>
        </w:rPr>
        <w:t> </w:t>
      </w:r>
      <w:r>
        <w:rPr>
          <w:color w:val="363434"/>
          <w:w w:val="105"/>
          <w:sz w:val="24"/>
        </w:rPr>
        <w:t>your</w:t>
      </w:r>
      <w:r>
        <w:rPr>
          <w:color w:val="363434"/>
          <w:spacing w:val="-3"/>
          <w:w w:val="105"/>
          <w:sz w:val="24"/>
        </w:rPr>
        <w:t> </w:t>
      </w:r>
      <w:r>
        <w:rPr>
          <w:color w:val="363434"/>
          <w:w w:val="105"/>
          <w:sz w:val="24"/>
        </w:rPr>
        <w:t>record and</w:t>
      </w:r>
      <w:r>
        <w:rPr>
          <w:color w:val="363434"/>
          <w:spacing w:val="40"/>
          <w:w w:val="105"/>
          <w:sz w:val="24"/>
        </w:rPr>
        <w:t> </w:t>
      </w:r>
      <w:r>
        <w:rPr>
          <w:color w:val="363434"/>
          <w:w w:val="105"/>
          <w:sz w:val="24"/>
        </w:rPr>
        <w:t>planning</w:t>
      </w:r>
      <w:r>
        <w:rPr>
          <w:color w:val="363434"/>
          <w:spacing w:val="-14"/>
          <w:w w:val="105"/>
          <w:sz w:val="24"/>
        </w:rPr>
        <w:t> </w:t>
      </w:r>
      <w:r>
        <w:rPr>
          <w:color w:val="363434"/>
          <w:w w:val="105"/>
          <w:sz w:val="24"/>
        </w:rPr>
        <w:t>your</w:t>
      </w:r>
      <w:r>
        <w:rPr>
          <w:color w:val="363434"/>
          <w:spacing w:val="-3"/>
          <w:w w:val="105"/>
          <w:sz w:val="24"/>
        </w:rPr>
        <w:t> </w:t>
      </w:r>
      <w:r>
        <w:rPr>
          <w:color w:val="363434"/>
          <w:w w:val="105"/>
          <w:sz w:val="24"/>
        </w:rPr>
        <w:t>research.</w:t>
      </w:r>
    </w:p>
    <w:p>
      <w:pPr>
        <w:spacing w:line="223" w:lineRule="auto" w:before="4"/>
        <w:ind w:left="109" w:right="287" w:firstLine="371"/>
        <w:jc w:val="both"/>
        <w:rPr>
          <w:sz w:val="24"/>
        </w:rPr>
      </w:pPr>
      <w:r>
        <w:rPr>
          <w:color w:val="363434"/>
          <w:w w:val="110"/>
          <w:sz w:val="24"/>
        </w:rPr>
        <w:t>When your research is fairly complete, focus your attention on how</w:t>
      </w:r>
      <w:r>
        <w:rPr>
          <w:color w:val="363434"/>
          <w:spacing w:val="1"/>
          <w:w w:val="110"/>
          <w:sz w:val="24"/>
        </w:rPr>
        <w:t> </w:t>
      </w:r>
      <w:r>
        <w:rPr>
          <w:color w:val="363434"/>
          <w:w w:val="110"/>
          <w:sz w:val="24"/>
        </w:rPr>
        <w:t>to structure your argument. You might even write a rough draft of your</w:t>
      </w:r>
      <w:r>
        <w:rPr>
          <w:color w:val="363434"/>
          <w:spacing w:val="-63"/>
          <w:w w:val="110"/>
          <w:sz w:val="24"/>
        </w:rPr>
        <w:t> </w:t>
      </w:r>
      <w:r>
        <w:rPr>
          <w:color w:val="363434"/>
          <w:w w:val="105"/>
          <w:sz w:val="24"/>
        </w:rPr>
        <w:t>argument as a method of trying to understand how the law and the facts</w:t>
      </w:r>
      <w:r>
        <w:rPr>
          <w:color w:val="363434"/>
          <w:spacing w:val="1"/>
          <w:w w:val="105"/>
          <w:sz w:val="24"/>
        </w:rPr>
        <w:t> </w:t>
      </w:r>
      <w:r>
        <w:rPr>
          <w:color w:val="363434"/>
          <w:w w:val="105"/>
          <w:sz w:val="24"/>
        </w:rPr>
        <w:t>relate. After you have gained an understanding of how the legal issues of</w:t>
      </w:r>
      <w:r>
        <w:rPr>
          <w:color w:val="363434"/>
          <w:spacing w:val="1"/>
          <w:w w:val="105"/>
          <w:sz w:val="24"/>
        </w:rPr>
        <w:t> </w:t>
      </w:r>
      <w:r>
        <w:rPr>
          <w:color w:val="363434"/>
          <w:w w:val="105"/>
          <w:sz w:val="24"/>
        </w:rPr>
        <w:t>your case relate to the legal authorities, use the rewriting stage of the writ­</w:t>
      </w:r>
      <w:r>
        <w:rPr>
          <w:color w:val="363434"/>
          <w:spacing w:val="1"/>
          <w:w w:val="105"/>
          <w:sz w:val="24"/>
        </w:rPr>
        <w:t> </w:t>
      </w:r>
      <w:r>
        <w:rPr>
          <w:color w:val="363434"/>
          <w:spacing w:val="-1"/>
          <w:w w:val="110"/>
          <w:sz w:val="24"/>
        </w:rPr>
        <w:t>ing</w:t>
      </w:r>
      <w:r>
        <w:rPr>
          <w:color w:val="363434"/>
          <w:spacing w:val="-15"/>
          <w:w w:val="110"/>
          <w:sz w:val="24"/>
        </w:rPr>
        <w:t> </w:t>
      </w:r>
      <w:r>
        <w:rPr>
          <w:color w:val="363434"/>
          <w:spacing w:val="-1"/>
          <w:w w:val="110"/>
          <w:sz w:val="24"/>
        </w:rPr>
        <w:t>process</w:t>
      </w:r>
      <w:r>
        <w:rPr>
          <w:color w:val="363434"/>
          <w:spacing w:val="-24"/>
          <w:w w:val="110"/>
          <w:sz w:val="24"/>
        </w:rPr>
        <w:t> </w:t>
      </w:r>
      <w:r>
        <w:rPr>
          <w:color w:val="363434"/>
          <w:spacing w:val="-1"/>
          <w:w w:val="110"/>
          <w:sz w:val="24"/>
        </w:rPr>
        <w:t>to</w:t>
      </w:r>
      <w:r>
        <w:rPr>
          <w:color w:val="363434"/>
          <w:spacing w:val="1"/>
          <w:w w:val="110"/>
          <w:sz w:val="24"/>
        </w:rPr>
        <w:t> </w:t>
      </w:r>
      <w:r>
        <w:rPr>
          <w:color w:val="363434"/>
          <w:spacing w:val="-1"/>
          <w:w w:val="110"/>
          <w:sz w:val="24"/>
        </w:rPr>
        <w:t>think</w:t>
      </w:r>
      <w:r>
        <w:rPr>
          <w:color w:val="363434"/>
          <w:spacing w:val="-24"/>
          <w:w w:val="110"/>
          <w:sz w:val="24"/>
        </w:rPr>
        <w:t> </w:t>
      </w:r>
      <w:r>
        <w:rPr>
          <w:color w:val="363434"/>
          <w:spacing w:val="-1"/>
          <w:w w:val="110"/>
          <w:sz w:val="24"/>
        </w:rPr>
        <w:t>about</w:t>
      </w:r>
      <w:r>
        <w:rPr>
          <w:color w:val="363434"/>
          <w:spacing w:val="-17"/>
          <w:w w:val="110"/>
          <w:sz w:val="24"/>
        </w:rPr>
        <w:t> </w:t>
      </w:r>
      <w:r>
        <w:rPr>
          <w:color w:val="363434"/>
          <w:spacing w:val="-1"/>
          <w:w w:val="110"/>
          <w:sz w:val="24"/>
        </w:rPr>
        <w:t>how</w:t>
      </w:r>
      <w:r>
        <w:rPr>
          <w:color w:val="363434"/>
          <w:spacing w:val="-32"/>
          <w:w w:val="110"/>
          <w:sz w:val="24"/>
        </w:rPr>
        <w:t> </w:t>
      </w:r>
      <w:r>
        <w:rPr>
          <w:color w:val="363434"/>
          <w:w w:val="110"/>
          <w:sz w:val="24"/>
        </w:rPr>
        <w:t>best</w:t>
      </w:r>
      <w:r>
        <w:rPr>
          <w:color w:val="363434"/>
          <w:spacing w:val="-22"/>
          <w:w w:val="110"/>
          <w:sz w:val="24"/>
        </w:rPr>
        <w:t> </w:t>
      </w:r>
      <w:r>
        <w:rPr>
          <w:color w:val="363434"/>
          <w:w w:val="110"/>
          <w:sz w:val="24"/>
        </w:rPr>
        <w:t>to</w:t>
      </w:r>
      <w:r>
        <w:rPr>
          <w:color w:val="363434"/>
          <w:spacing w:val="-13"/>
          <w:w w:val="110"/>
          <w:sz w:val="24"/>
        </w:rPr>
        <w:t> </w:t>
      </w:r>
      <w:r>
        <w:rPr>
          <w:color w:val="363434"/>
          <w:w w:val="110"/>
          <w:sz w:val="24"/>
        </w:rPr>
        <w:t>organize</w:t>
      </w:r>
      <w:r>
        <w:rPr>
          <w:color w:val="363434"/>
          <w:spacing w:val="-23"/>
          <w:w w:val="110"/>
          <w:sz w:val="24"/>
        </w:rPr>
        <w:t> </w:t>
      </w:r>
      <w:r>
        <w:rPr>
          <w:color w:val="363434"/>
          <w:w w:val="110"/>
          <w:sz w:val="24"/>
        </w:rPr>
        <w:t>the</w:t>
      </w:r>
      <w:r>
        <w:rPr>
          <w:color w:val="363434"/>
          <w:spacing w:val="10"/>
          <w:w w:val="110"/>
          <w:sz w:val="24"/>
        </w:rPr>
        <w:t> </w:t>
      </w:r>
      <w:r>
        <w:rPr>
          <w:color w:val="363434"/>
          <w:w w:val="110"/>
          <w:sz w:val="24"/>
        </w:rPr>
        <w:t>document</w:t>
      </w:r>
      <w:r>
        <w:rPr>
          <w:color w:val="363434"/>
          <w:spacing w:val="-17"/>
          <w:w w:val="110"/>
          <w:sz w:val="24"/>
        </w:rPr>
        <w:t> </w:t>
      </w:r>
      <w:r>
        <w:rPr>
          <w:color w:val="363434"/>
          <w:w w:val="110"/>
          <w:sz w:val="24"/>
        </w:rPr>
        <w:t>so</w:t>
      </w:r>
      <w:r>
        <w:rPr>
          <w:color w:val="363434"/>
          <w:spacing w:val="-32"/>
          <w:w w:val="110"/>
          <w:sz w:val="24"/>
        </w:rPr>
        <w:t> </w:t>
      </w:r>
      <w:r>
        <w:rPr>
          <w:color w:val="363434"/>
          <w:w w:val="110"/>
          <w:sz w:val="24"/>
        </w:rPr>
        <w:t>that</w:t>
      </w:r>
      <w:r>
        <w:rPr>
          <w:color w:val="363434"/>
          <w:spacing w:val="-29"/>
          <w:w w:val="110"/>
          <w:sz w:val="24"/>
        </w:rPr>
        <w:t> </w:t>
      </w:r>
      <w:r>
        <w:rPr>
          <w:color w:val="363434"/>
          <w:w w:val="110"/>
          <w:sz w:val="24"/>
        </w:rPr>
        <w:t>your</w:t>
      </w:r>
      <w:r>
        <w:rPr>
          <w:color w:val="363434"/>
          <w:spacing w:val="-63"/>
          <w:w w:val="110"/>
          <w:sz w:val="24"/>
        </w:rPr>
        <w:t> </w:t>
      </w:r>
      <w:r>
        <w:rPr>
          <w:color w:val="363434"/>
          <w:w w:val="105"/>
          <w:sz w:val="24"/>
        </w:rPr>
        <w:t>reader</w:t>
      </w:r>
      <w:r>
        <w:rPr>
          <w:color w:val="363434"/>
          <w:spacing w:val="-17"/>
          <w:w w:val="105"/>
          <w:sz w:val="24"/>
        </w:rPr>
        <w:t> </w:t>
      </w:r>
      <w:r>
        <w:rPr>
          <w:color w:val="363434"/>
          <w:w w:val="105"/>
          <w:sz w:val="23"/>
        </w:rPr>
        <w:t>will</w:t>
      </w:r>
      <w:r>
        <w:rPr>
          <w:color w:val="363434"/>
          <w:spacing w:val="-17"/>
          <w:w w:val="105"/>
          <w:sz w:val="23"/>
        </w:rPr>
        <w:t> </w:t>
      </w:r>
      <w:r>
        <w:rPr>
          <w:color w:val="363434"/>
          <w:w w:val="105"/>
          <w:sz w:val="24"/>
        </w:rPr>
        <w:t>be</w:t>
      </w:r>
      <w:r>
        <w:rPr>
          <w:color w:val="363434"/>
          <w:spacing w:val="-21"/>
          <w:w w:val="105"/>
          <w:sz w:val="24"/>
        </w:rPr>
        <w:t> </w:t>
      </w:r>
      <w:r>
        <w:rPr>
          <w:color w:val="363434"/>
          <w:w w:val="105"/>
          <w:sz w:val="24"/>
        </w:rPr>
        <w:t>able</w:t>
      </w:r>
      <w:r>
        <w:rPr>
          <w:color w:val="363434"/>
          <w:spacing w:val="-15"/>
          <w:w w:val="105"/>
          <w:sz w:val="24"/>
        </w:rPr>
        <w:t> </w:t>
      </w:r>
      <w:r>
        <w:rPr>
          <w:color w:val="363434"/>
          <w:w w:val="105"/>
          <w:sz w:val="24"/>
        </w:rPr>
        <w:t>to</w:t>
      </w:r>
      <w:r>
        <w:rPr>
          <w:color w:val="363434"/>
          <w:spacing w:val="2"/>
          <w:w w:val="105"/>
          <w:sz w:val="24"/>
        </w:rPr>
        <w:t> </w:t>
      </w:r>
      <w:r>
        <w:rPr>
          <w:color w:val="363434"/>
          <w:w w:val="105"/>
          <w:sz w:val="24"/>
        </w:rPr>
        <w:t>understand</w:t>
      </w:r>
      <w:r>
        <w:rPr>
          <w:color w:val="363434"/>
          <w:spacing w:val="10"/>
          <w:w w:val="105"/>
          <w:sz w:val="24"/>
        </w:rPr>
        <w:t> </w:t>
      </w:r>
      <w:r>
        <w:rPr>
          <w:color w:val="363434"/>
          <w:w w:val="105"/>
          <w:sz w:val="24"/>
        </w:rPr>
        <w:t>the</w:t>
      </w:r>
      <w:r>
        <w:rPr>
          <w:color w:val="363434"/>
          <w:spacing w:val="-2"/>
          <w:w w:val="105"/>
          <w:sz w:val="24"/>
        </w:rPr>
        <w:t> </w:t>
      </w:r>
      <w:r>
        <w:rPr>
          <w:color w:val="363434"/>
          <w:w w:val="105"/>
          <w:sz w:val="24"/>
        </w:rPr>
        <w:t>legal</w:t>
      </w:r>
      <w:r>
        <w:rPr>
          <w:color w:val="363434"/>
          <w:spacing w:val="-15"/>
          <w:w w:val="105"/>
          <w:sz w:val="24"/>
        </w:rPr>
        <w:t> </w:t>
      </w:r>
      <w:r>
        <w:rPr>
          <w:color w:val="363434"/>
          <w:w w:val="105"/>
          <w:sz w:val="24"/>
        </w:rPr>
        <w:t>issues</w:t>
      </w:r>
      <w:r>
        <w:rPr>
          <w:color w:val="363434"/>
          <w:spacing w:val="-17"/>
          <w:w w:val="105"/>
          <w:sz w:val="24"/>
        </w:rPr>
        <w:t> </w:t>
      </w:r>
      <w:r>
        <w:rPr>
          <w:color w:val="363434"/>
          <w:w w:val="105"/>
          <w:sz w:val="24"/>
        </w:rPr>
        <w:t>as</w:t>
      </w:r>
      <w:r>
        <w:rPr>
          <w:color w:val="363434"/>
          <w:spacing w:val="-8"/>
          <w:w w:val="105"/>
          <w:sz w:val="24"/>
        </w:rPr>
        <w:t> </w:t>
      </w:r>
      <w:r>
        <w:rPr>
          <w:color w:val="363434"/>
          <w:w w:val="105"/>
          <w:sz w:val="24"/>
        </w:rPr>
        <w:t>well</w:t>
      </w:r>
      <w:r>
        <w:rPr>
          <w:color w:val="363434"/>
          <w:spacing w:val="-8"/>
          <w:w w:val="105"/>
          <w:sz w:val="24"/>
        </w:rPr>
        <w:t> </w:t>
      </w:r>
      <w:r>
        <w:rPr>
          <w:color w:val="363434"/>
          <w:w w:val="105"/>
          <w:sz w:val="24"/>
        </w:rPr>
        <w:t>as</w:t>
      </w:r>
      <w:r>
        <w:rPr>
          <w:color w:val="363434"/>
          <w:spacing w:val="-30"/>
          <w:w w:val="105"/>
          <w:sz w:val="24"/>
        </w:rPr>
        <w:t> </w:t>
      </w:r>
      <w:r>
        <w:rPr>
          <w:color w:val="363434"/>
          <w:w w:val="105"/>
          <w:sz w:val="24"/>
        </w:rPr>
        <w:t>you</w:t>
      </w:r>
      <w:r>
        <w:rPr>
          <w:color w:val="363434"/>
          <w:spacing w:val="-11"/>
          <w:w w:val="105"/>
          <w:sz w:val="24"/>
        </w:rPr>
        <w:t> </w:t>
      </w:r>
      <w:r>
        <w:rPr>
          <w:color w:val="363434"/>
          <w:w w:val="105"/>
          <w:sz w:val="24"/>
        </w:rPr>
        <w:t>do.</w:t>
      </w:r>
      <w:r>
        <w:rPr>
          <w:color w:val="363434"/>
          <w:spacing w:val="-11"/>
          <w:w w:val="105"/>
          <w:sz w:val="24"/>
        </w:rPr>
        <w:t> </w:t>
      </w:r>
      <w:r>
        <w:rPr>
          <w:color w:val="363434"/>
          <w:w w:val="105"/>
          <w:sz w:val="24"/>
        </w:rPr>
        <w:t>You</w:t>
      </w:r>
      <w:r>
        <w:rPr>
          <w:color w:val="363434"/>
          <w:spacing w:val="-21"/>
          <w:w w:val="105"/>
          <w:sz w:val="24"/>
        </w:rPr>
        <w:t> </w:t>
      </w:r>
      <w:r>
        <w:rPr>
          <w:color w:val="363434"/>
          <w:w w:val="105"/>
          <w:sz w:val="24"/>
        </w:rPr>
        <w:t>can</w:t>
      </w:r>
      <w:r>
        <w:rPr>
          <w:color w:val="363434"/>
          <w:spacing w:val="1"/>
          <w:w w:val="105"/>
          <w:sz w:val="24"/>
        </w:rPr>
        <w:t> </w:t>
      </w:r>
      <w:r>
        <w:rPr>
          <w:color w:val="363434"/>
          <w:spacing w:val="-1"/>
          <w:w w:val="110"/>
          <w:sz w:val="24"/>
        </w:rPr>
        <w:t>do this by </w:t>
      </w:r>
      <w:r>
        <w:rPr>
          <w:rFonts w:ascii="Arial" w:hAnsi="Arial"/>
          <w:color w:val="363434"/>
          <w:w w:val="110"/>
          <w:sz w:val="22"/>
        </w:rPr>
        <w:t>writing </w:t>
      </w:r>
      <w:r>
        <w:rPr>
          <w:color w:val="363434"/>
          <w:w w:val="110"/>
          <w:sz w:val="24"/>
        </w:rPr>
        <w:t>a </w:t>
      </w:r>
      <w:r>
        <w:rPr>
          <w:color w:val="363434"/>
          <w:w w:val="110"/>
          <w:sz w:val="22"/>
        </w:rPr>
        <w:t>draft </w:t>
      </w:r>
      <w:r>
        <w:rPr>
          <w:color w:val="363434"/>
          <w:w w:val="110"/>
          <w:sz w:val="24"/>
        </w:rPr>
        <w:t>of just the argument section of the document</w:t>
      </w:r>
      <w:r>
        <w:rPr>
          <w:color w:val="363434"/>
          <w:spacing w:val="1"/>
          <w:w w:val="110"/>
          <w:sz w:val="24"/>
        </w:rPr>
        <w:t> </w:t>
      </w:r>
      <w:r>
        <w:rPr>
          <w:color w:val="363434"/>
          <w:w w:val="110"/>
          <w:sz w:val="24"/>
        </w:rPr>
        <w:t>that</w:t>
      </w:r>
      <w:r>
        <w:rPr>
          <w:color w:val="363434"/>
          <w:spacing w:val="-5"/>
          <w:w w:val="110"/>
          <w:sz w:val="24"/>
        </w:rPr>
        <w:t> </w:t>
      </w:r>
      <w:r>
        <w:rPr>
          <w:color w:val="363434"/>
          <w:w w:val="110"/>
          <w:sz w:val="24"/>
        </w:rPr>
        <w:t>(1)</w:t>
      </w:r>
      <w:r>
        <w:rPr>
          <w:color w:val="363434"/>
          <w:spacing w:val="-9"/>
          <w:w w:val="110"/>
          <w:sz w:val="24"/>
        </w:rPr>
        <w:t> </w:t>
      </w:r>
      <w:r>
        <w:rPr>
          <w:color w:val="363434"/>
          <w:w w:val="110"/>
          <w:sz w:val="24"/>
        </w:rPr>
        <w:t>uses</w:t>
      </w:r>
      <w:r>
        <w:rPr>
          <w:color w:val="363434"/>
          <w:spacing w:val="-6"/>
          <w:w w:val="110"/>
          <w:sz w:val="24"/>
        </w:rPr>
        <w:t> </w:t>
      </w:r>
      <w:r>
        <w:rPr>
          <w:color w:val="363434"/>
          <w:w w:val="110"/>
          <w:sz w:val="24"/>
        </w:rPr>
        <w:t>the</w:t>
      </w:r>
      <w:r>
        <w:rPr>
          <w:color w:val="363434"/>
          <w:spacing w:val="9"/>
          <w:w w:val="110"/>
          <w:sz w:val="24"/>
        </w:rPr>
        <w:t> </w:t>
      </w:r>
      <w:r>
        <w:rPr>
          <w:color w:val="363434"/>
          <w:w w:val="110"/>
          <w:sz w:val="24"/>
        </w:rPr>
        <w:t>arguments</w:t>
      </w:r>
      <w:r>
        <w:rPr>
          <w:color w:val="363434"/>
          <w:spacing w:val="-7"/>
          <w:w w:val="110"/>
          <w:sz w:val="24"/>
        </w:rPr>
        <w:t> </w:t>
      </w:r>
      <w:r>
        <w:rPr>
          <w:color w:val="363434"/>
          <w:w w:val="110"/>
          <w:sz w:val="24"/>
        </w:rPr>
        <w:t>and</w:t>
      </w:r>
      <w:r>
        <w:rPr>
          <w:color w:val="363434"/>
          <w:spacing w:val="15"/>
          <w:w w:val="110"/>
          <w:sz w:val="24"/>
        </w:rPr>
        <w:t> </w:t>
      </w:r>
      <w:r>
        <w:rPr>
          <w:color w:val="363434"/>
          <w:w w:val="110"/>
          <w:sz w:val="24"/>
        </w:rPr>
        <w:t>authorities</w:t>
      </w:r>
      <w:r>
        <w:rPr>
          <w:color w:val="363434"/>
          <w:spacing w:val="-5"/>
          <w:w w:val="110"/>
          <w:sz w:val="24"/>
        </w:rPr>
        <w:t> </w:t>
      </w:r>
      <w:r>
        <w:rPr>
          <w:color w:val="363434"/>
          <w:w w:val="110"/>
          <w:sz w:val="24"/>
        </w:rPr>
        <w:t>that</w:t>
      </w:r>
      <w:r>
        <w:rPr>
          <w:color w:val="363434"/>
          <w:spacing w:val="-6"/>
          <w:w w:val="110"/>
          <w:sz w:val="24"/>
        </w:rPr>
        <w:t> </w:t>
      </w:r>
      <w:r>
        <w:rPr>
          <w:color w:val="363434"/>
          <w:w w:val="110"/>
          <w:sz w:val="24"/>
        </w:rPr>
        <w:t>you</w:t>
      </w:r>
      <w:r>
        <w:rPr>
          <w:color w:val="363434"/>
          <w:spacing w:val="3"/>
          <w:w w:val="110"/>
          <w:sz w:val="24"/>
        </w:rPr>
        <w:t> </w:t>
      </w:r>
      <w:r>
        <w:rPr>
          <w:color w:val="363434"/>
          <w:w w:val="110"/>
          <w:sz w:val="24"/>
        </w:rPr>
        <w:t>think</w:t>
      </w:r>
      <w:r>
        <w:rPr>
          <w:color w:val="363434"/>
          <w:spacing w:val="-9"/>
          <w:w w:val="110"/>
          <w:sz w:val="24"/>
        </w:rPr>
        <w:t> </w:t>
      </w:r>
      <w:r>
        <w:rPr>
          <w:color w:val="363434"/>
          <w:w w:val="110"/>
          <w:sz w:val="24"/>
        </w:rPr>
        <w:t>are</w:t>
      </w:r>
      <w:r>
        <w:rPr>
          <w:color w:val="363434"/>
          <w:spacing w:val="-8"/>
          <w:w w:val="110"/>
          <w:sz w:val="24"/>
        </w:rPr>
        <w:t> </w:t>
      </w:r>
      <w:r>
        <w:rPr>
          <w:color w:val="363434"/>
          <w:w w:val="110"/>
          <w:sz w:val="24"/>
        </w:rPr>
        <w:t>necessary,</w:t>
      </w:r>
    </w:p>
    <w:p>
      <w:pPr>
        <w:pStyle w:val="ListParagraph"/>
        <w:numPr>
          <w:ilvl w:val="0"/>
          <w:numId w:val="20"/>
        </w:numPr>
        <w:tabs>
          <w:tab w:pos="455" w:val="left" w:leader="none"/>
        </w:tabs>
        <w:spacing w:line="223" w:lineRule="auto" w:before="10" w:after="0"/>
        <w:ind w:left="115" w:right="258" w:firstLine="1"/>
        <w:jc w:val="both"/>
        <w:rPr>
          <w:color w:val="363434"/>
          <w:sz w:val="24"/>
        </w:rPr>
      </w:pPr>
      <w:r>
        <w:rPr>
          <w:color w:val="363434"/>
          <w:w w:val="105"/>
          <w:sz w:val="24"/>
        </w:rPr>
        <w:t>uses an effective large-scale organization, and (3) includes a full analy­</w:t>
      </w:r>
      <w:r>
        <w:rPr>
          <w:color w:val="363434"/>
          <w:spacing w:val="1"/>
          <w:w w:val="105"/>
          <w:sz w:val="24"/>
        </w:rPr>
        <w:t> </w:t>
      </w:r>
      <w:r>
        <w:rPr>
          <w:color w:val="363434"/>
          <w:w w:val="105"/>
          <w:sz w:val="24"/>
        </w:rPr>
        <w:t>sis of each legal issue. Because this type of </w:t>
      </w:r>
      <w:r>
        <w:rPr>
          <w:color w:val="363434"/>
          <w:w w:val="105"/>
          <w:sz w:val="22"/>
        </w:rPr>
        <w:t>draft </w:t>
      </w:r>
      <w:r>
        <w:rPr>
          <w:color w:val="363434"/>
          <w:w w:val="105"/>
          <w:sz w:val="24"/>
        </w:rPr>
        <w:t>is focused on large-scale,</w:t>
      </w:r>
      <w:r>
        <w:rPr>
          <w:color w:val="363434"/>
          <w:spacing w:val="1"/>
          <w:w w:val="105"/>
          <w:sz w:val="24"/>
        </w:rPr>
        <w:t> </w:t>
      </w:r>
      <w:r>
        <w:rPr>
          <w:color w:val="363434"/>
          <w:w w:val="105"/>
          <w:sz w:val="24"/>
        </w:rPr>
        <w:t>or macro, concerns, you may wish to think of it as a </w:t>
      </w:r>
      <w:r>
        <w:rPr>
          <w:i/>
          <w:color w:val="363434"/>
          <w:w w:val="105"/>
          <w:sz w:val="23"/>
        </w:rPr>
        <w:t>macro draft. </w:t>
      </w:r>
      <w:r>
        <w:rPr>
          <w:color w:val="363434"/>
          <w:w w:val="105"/>
          <w:sz w:val="24"/>
        </w:rPr>
        <w:t>Chapters</w:t>
      </w:r>
      <w:r>
        <w:rPr>
          <w:color w:val="363434"/>
          <w:spacing w:val="1"/>
          <w:w w:val="105"/>
          <w:sz w:val="24"/>
        </w:rPr>
        <w:t> </w:t>
      </w:r>
      <w:r>
        <w:rPr>
          <w:color w:val="363434"/>
          <w:w w:val="105"/>
          <w:sz w:val="24"/>
        </w:rPr>
        <w:t>Four and</w:t>
      </w:r>
      <w:r>
        <w:rPr>
          <w:color w:val="363434"/>
          <w:spacing w:val="1"/>
          <w:w w:val="105"/>
          <w:sz w:val="24"/>
        </w:rPr>
        <w:t> </w:t>
      </w:r>
      <w:r>
        <w:rPr>
          <w:color w:val="363434"/>
          <w:w w:val="105"/>
          <w:sz w:val="24"/>
        </w:rPr>
        <w:t>Five will help you as you rough out your argument and plan its</w:t>
      </w:r>
      <w:r>
        <w:rPr>
          <w:color w:val="363434"/>
          <w:spacing w:val="1"/>
          <w:w w:val="105"/>
          <w:sz w:val="24"/>
        </w:rPr>
        <w:t> </w:t>
      </w:r>
      <w:r>
        <w:rPr>
          <w:color w:val="363434"/>
          <w:w w:val="110"/>
          <w:sz w:val="24"/>
        </w:rPr>
        <w:t>structure.</w:t>
      </w:r>
    </w:p>
    <w:p>
      <w:pPr>
        <w:spacing w:line="225" w:lineRule="auto" w:before="4"/>
        <w:ind w:left="116" w:right="225" w:firstLine="375"/>
        <w:jc w:val="both"/>
        <w:rPr>
          <w:sz w:val="24"/>
        </w:rPr>
      </w:pPr>
      <w:r>
        <w:rPr>
          <w:color w:val="363434"/>
          <w:w w:val="105"/>
          <w:sz w:val="24"/>
        </w:rPr>
        <w:t>After you have created a macro draft of some kind, review and</w:t>
      </w:r>
      <w:r>
        <w:rPr>
          <w:color w:val="363434"/>
          <w:spacing w:val="1"/>
          <w:w w:val="105"/>
          <w:sz w:val="24"/>
        </w:rPr>
        <w:t> </w:t>
      </w:r>
      <w:r>
        <w:rPr>
          <w:color w:val="363434"/>
          <w:w w:val="105"/>
          <w:sz w:val="24"/>
        </w:rPr>
        <w:t>revise</w:t>
      </w:r>
      <w:r>
        <w:rPr>
          <w:color w:val="363434"/>
          <w:spacing w:val="1"/>
          <w:w w:val="105"/>
          <w:sz w:val="24"/>
        </w:rPr>
        <w:t> </w:t>
      </w:r>
      <w:r>
        <w:rPr>
          <w:color w:val="363434"/>
          <w:w w:val="105"/>
          <w:sz w:val="24"/>
        </w:rPr>
        <w:t>your written argument a few times, focusing on</w:t>
      </w:r>
      <w:r>
        <w:rPr>
          <w:color w:val="363434"/>
          <w:spacing w:val="1"/>
          <w:w w:val="105"/>
          <w:sz w:val="24"/>
        </w:rPr>
        <w:t> </w:t>
      </w:r>
      <w:r>
        <w:rPr>
          <w:color w:val="363434"/>
          <w:w w:val="105"/>
          <w:sz w:val="24"/>
        </w:rPr>
        <w:t>these two important fea­</w:t>
      </w:r>
      <w:r>
        <w:rPr>
          <w:color w:val="363434"/>
          <w:spacing w:val="1"/>
          <w:w w:val="105"/>
          <w:sz w:val="24"/>
        </w:rPr>
        <w:t> </w:t>
      </w:r>
      <w:r>
        <w:rPr>
          <w:color w:val="363434"/>
          <w:w w:val="110"/>
          <w:sz w:val="24"/>
        </w:rPr>
        <w:t>tures of content and organization. Check your authorities, and supple­</w:t>
      </w:r>
      <w:r>
        <w:rPr>
          <w:color w:val="363434"/>
          <w:spacing w:val="1"/>
          <w:w w:val="110"/>
          <w:sz w:val="24"/>
        </w:rPr>
        <w:t> </w:t>
      </w:r>
      <w:r>
        <w:rPr>
          <w:color w:val="363434"/>
          <w:w w:val="110"/>
          <w:sz w:val="24"/>
        </w:rPr>
        <w:t>ment your research </w:t>
      </w:r>
      <w:r>
        <w:rPr>
          <w:color w:val="363434"/>
          <w:w w:val="110"/>
          <w:sz w:val="23"/>
        </w:rPr>
        <w:t>if </w:t>
      </w:r>
      <w:r>
        <w:rPr>
          <w:color w:val="363434"/>
          <w:w w:val="110"/>
          <w:sz w:val="24"/>
        </w:rPr>
        <w:t>necessary. Eliminate weak arguments, and devote</w:t>
      </w:r>
      <w:r>
        <w:rPr>
          <w:color w:val="363434"/>
          <w:spacing w:val="1"/>
          <w:w w:val="110"/>
          <w:sz w:val="24"/>
        </w:rPr>
        <w:t> </w:t>
      </w:r>
      <w:r>
        <w:rPr>
          <w:color w:val="363434"/>
          <w:spacing w:val="-1"/>
          <w:w w:val="110"/>
          <w:sz w:val="24"/>
        </w:rPr>
        <w:t>your</w:t>
      </w:r>
      <w:r>
        <w:rPr>
          <w:color w:val="363434"/>
          <w:spacing w:val="-26"/>
          <w:w w:val="110"/>
          <w:sz w:val="24"/>
        </w:rPr>
        <w:t> </w:t>
      </w:r>
      <w:r>
        <w:rPr>
          <w:color w:val="363434"/>
          <w:spacing w:val="-1"/>
          <w:w w:val="110"/>
          <w:sz w:val="24"/>
        </w:rPr>
        <w:t>attention</w:t>
      </w:r>
      <w:r>
        <w:rPr>
          <w:color w:val="363434"/>
          <w:spacing w:val="-8"/>
          <w:w w:val="110"/>
          <w:sz w:val="24"/>
        </w:rPr>
        <w:t> </w:t>
      </w:r>
      <w:r>
        <w:rPr>
          <w:color w:val="363434"/>
          <w:spacing w:val="-1"/>
          <w:w w:val="110"/>
          <w:sz w:val="24"/>
        </w:rPr>
        <w:t>to</w:t>
      </w:r>
      <w:r>
        <w:rPr>
          <w:color w:val="363434"/>
          <w:spacing w:val="-9"/>
          <w:w w:val="110"/>
          <w:sz w:val="24"/>
        </w:rPr>
        <w:t> </w:t>
      </w:r>
      <w:r>
        <w:rPr>
          <w:color w:val="363434"/>
          <w:spacing w:val="-1"/>
          <w:w w:val="110"/>
          <w:sz w:val="24"/>
        </w:rPr>
        <w:t>the</w:t>
      </w:r>
      <w:r>
        <w:rPr>
          <w:color w:val="363434"/>
          <w:spacing w:val="-16"/>
          <w:w w:val="110"/>
          <w:sz w:val="24"/>
        </w:rPr>
        <w:t> </w:t>
      </w:r>
      <w:r>
        <w:rPr>
          <w:color w:val="363434"/>
          <w:spacing w:val="-1"/>
          <w:w w:val="110"/>
          <w:sz w:val="24"/>
        </w:rPr>
        <w:t>strong</w:t>
      </w:r>
      <w:r>
        <w:rPr>
          <w:color w:val="363434"/>
          <w:spacing w:val="-24"/>
          <w:w w:val="110"/>
          <w:sz w:val="24"/>
        </w:rPr>
        <w:t> </w:t>
      </w:r>
      <w:r>
        <w:rPr>
          <w:color w:val="363434"/>
          <w:spacing w:val="-1"/>
          <w:w w:val="110"/>
          <w:sz w:val="24"/>
        </w:rPr>
        <w:t>ones.</w:t>
      </w:r>
      <w:r>
        <w:rPr>
          <w:color w:val="363434"/>
          <w:spacing w:val="-21"/>
          <w:w w:val="110"/>
          <w:sz w:val="24"/>
        </w:rPr>
        <w:t> </w:t>
      </w:r>
      <w:r>
        <w:rPr>
          <w:color w:val="363434"/>
          <w:w w:val="110"/>
          <w:sz w:val="24"/>
        </w:rPr>
        <w:t>Make</w:t>
      </w:r>
      <w:r>
        <w:rPr>
          <w:color w:val="363434"/>
          <w:spacing w:val="-27"/>
          <w:w w:val="110"/>
          <w:sz w:val="24"/>
        </w:rPr>
        <w:t> </w:t>
      </w:r>
      <w:r>
        <w:rPr>
          <w:color w:val="363434"/>
          <w:w w:val="110"/>
          <w:sz w:val="24"/>
        </w:rPr>
        <w:t>sure</w:t>
      </w:r>
      <w:r>
        <w:rPr>
          <w:color w:val="363434"/>
          <w:spacing w:val="-21"/>
          <w:w w:val="110"/>
          <w:sz w:val="24"/>
        </w:rPr>
        <w:t> </w:t>
      </w:r>
      <w:r>
        <w:rPr>
          <w:color w:val="363434"/>
          <w:w w:val="110"/>
          <w:sz w:val="24"/>
        </w:rPr>
        <w:t>that</w:t>
      </w:r>
      <w:r>
        <w:rPr>
          <w:color w:val="363434"/>
          <w:spacing w:val="-10"/>
          <w:w w:val="110"/>
          <w:sz w:val="24"/>
        </w:rPr>
        <w:t> </w:t>
      </w:r>
      <w:r>
        <w:rPr>
          <w:color w:val="363434"/>
          <w:w w:val="110"/>
          <w:sz w:val="24"/>
        </w:rPr>
        <w:t>each</w:t>
      </w:r>
      <w:r>
        <w:rPr>
          <w:color w:val="363434"/>
          <w:spacing w:val="-14"/>
          <w:w w:val="110"/>
          <w:sz w:val="24"/>
        </w:rPr>
        <w:t> </w:t>
      </w:r>
      <w:r>
        <w:rPr>
          <w:color w:val="363434"/>
          <w:w w:val="110"/>
          <w:sz w:val="24"/>
        </w:rPr>
        <w:t>section</w:t>
      </w:r>
      <w:r>
        <w:rPr>
          <w:color w:val="363434"/>
          <w:spacing w:val="-16"/>
          <w:w w:val="110"/>
          <w:sz w:val="24"/>
        </w:rPr>
        <w:t> </w:t>
      </w:r>
      <w:r>
        <w:rPr>
          <w:color w:val="363434"/>
          <w:w w:val="110"/>
          <w:sz w:val="24"/>
        </w:rPr>
        <w:t>of</w:t>
      </w:r>
      <w:r>
        <w:rPr>
          <w:color w:val="363434"/>
          <w:spacing w:val="-1"/>
          <w:w w:val="110"/>
          <w:sz w:val="24"/>
        </w:rPr>
        <w:t> </w:t>
      </w:r>
      <w:r>
        <w:rPr>
          <w:color w:val="363434"/>
          <w:w w:val="110"/>
          <w:sz w:val="24"/>
        </w:rPr>
        <w:t>the</w:t>
      </w:r>
      <w:r>
        <w:rPr>
          <w:color w:val="363434"/>
          <w:spacing w:val="15"/>
          <w:w w:val="110"/>
          <w:sz w:val="24"/>
        </w:rPr>
        <w:t> </w:t>
      </w:r>
      <w:r>
        <w:rPr>
          <w:color w:val="363434"/>
          <w:w w:val="110"/>
          <w:sz w:val="24"/>
        </w:rPr>
        <w:t>argu­</w:t>
      </w:r>
      <w:r>
        <w:rPr>
          <w:color w:val="363434"/>
          <w:spacing w:val="-64"/>
          <w:w w:val="110"/>
          <w:sz w:val="24"/>
        </w:rPr>
        <w:t> </w:t>
      </w:r>
      <w:r>
        <w:rPr>
          <w:color w:val="363434"/>
          <w:w w:val="110"/>
          <w:sz w:val="24"/>
        </w:rPr>
        <w:t>ment is focused on</w:t>
      </w:r>
      <w:r>
        <w:rPr>
          <w:color w:val="363434"/>
          <w:spacing w:val="1"/>
          <w:w w:val="110"/>
          <w:sz w:val="24"/>
        </w:rPr>
        <w:t> </w:t>
      </w:r>
      <w:r>
        <w:rPr>
          <w:color w:val="363434"/>
          <w:w w:val="110"/>
          <w:sz w:val="24"/>
        </w:rPr>
        <w:t>just one point. Chapter Six </w:t>
      </w:r>
      <w:r>
        <w:rPr>
          <w:rFonts w:ascii="Arial" w:hAnsi="Arial"/>
          <w:color w:val="363434"/>
          <w:w w:val="110"/>
          <w:sz w:val="21"/>
        </w:rPr>
        <w:t>will </w:t>
      </w:r>
      <w:r>
        <w:rPr>
          <w:color w:val="363434"/>
          <w:w w:val="110"/>
          <w:sz w:val="24"/>
        </w:rPr>
        <w:t>help you to examine</w:t>
      </w:r>
      <w:r>
        <w:rPr>
          <w:color w:val="363434"/>
          <w:spacing w:val="1"/>
          <w:w w:val="110"/>
          <w:sz w:val="24"/>
        </w:rPr>
        <w:t> </w:t>
      </w:r>
      <w:r>
        <w:rPr>
          <w:color w:val="363434"/>
          <w:w w:val="105"/>
          <w:sz w:val="24"/>
        </w:rPr>
        <w:t>your use of authority, while Chapter Seven </w:t>
      </w:r>
      <w:r>
        <w:rPr>
          <w:color w:val="363434"/>
          <w:w w:val="105"/>
          <w:sz w:val="22"/>
        </w:rPr>
        <w:t>will </w:t>
      </w:r>
      <w:r>
        <w:rPr>
          <w:color w:val="363434"/>
          <w:w w:val="105"/>
          <w:sz w:val="24"/>
        </w:rPr>
        <w:t>help you to review your</w:t>
      </w:r>
      <w:r>
        <w:rPr>
          <w:color w:val="363434"/>
          <w:spacing w:val="1"/>
          <w:w w:val="105"/>
          <w:sz w:val="24"/>
        </w:rPr>
        <w:t> </w:t>
      </w:r>
      <w:r>
        <w:rPr>
          <w:color w:val="363434"/>
          <w:w w:val="105"/>
          <w:sz w:val="24"/>
        </w:rPr>
        <w:t>argument</w:t>
      </w:r>
      <w:r>
        <w:rPr>
          <w:color w:val="363434"/>
          <w:spacing w:val="-12"/>
          <w:w w:val="105"/>
          <w:sz w:val="24"/>
        </w:rPr>
        <w:t> </w:t>
      </w:r>
      <w:r>
        <w:rPr>
          <w:color w:val="363434"/>
          <w:w w:val="105"/>
          <w:sz w:val="24"/>
        </w:rPr>
        <w:t>for</w:t>
      </w:r>
      <w:r>
        <w:rPr>
          <w:color w:val="363434"/>
          <w:spacing w:val="-5"/>
          <w:w w:val="105"/>
          <w:sz w:val="24"/>
        </w:rPr>
        <w:t> </w:t>
      </w:r>
      <w:r>
        <w:rPr>
          <w:color w:val="363434"/>
          <w:w w:val="105"/>
          <w:sz w:val="24"/>
        </w:rPr>
        <w:t>focus</w:t>
      </w:r>
      <w:r>
        <w:rPr>
          <w:color w:val="363434"/>
          <w:spacing w:val="-12"/>
          <w:w w:val="105"/>
          <w:sz w:val="24"/>
        </w:rPr>
        <w:t> </w:t>
      </w:r>
      <w:r>
        <w:rPr>
          <w:color w:val="363434"/>
          <w:w w:val="105"/>
          <w:sz w:val="24"/>
        </w:rPr>
        <w:t>and</w:t>
      </w:r>
      <w:r>
        <w:rPr>
          <w:color w:val="363434"/>
          <w:spacing w:val="36"/>
          <w:w w:val="105"/>
          <w:sz w:val="24"/>
        </w:rPr>
        <w:t> </w:t>
      </w:r>
      <w:r>
        <w:rPr>
          <w:color w:val="363434"/>
          <w:w w:val="105"/>
          <w:sz w:val="24"/>
        </w:rPr>
        <w:t>completeness.</w:t>
      </w:r>
    </w:p>
    <w:p>
      <w:pPr>
        <w:spacing w:line="223" w:lineRule="auto" w:before="0"/>
        <w:ind w:left="118" w:right="134" w:firstLine="378"/>
        <w:jc w:val="right"/>
        <w:rPr>
          <w:sz w:val="24"/>
        </w:rPr>
      </w:pPr>
      <w:r>
        <w:rPr>
          <w:color w:val="363434"/>
          <w:spacing w:val="-1"/>
          <w:w w:val="110"/>
          <w:sz w:val="24"/>
        </w:rPr>
        <w:t>Next, create a draft of the entire document, </w:t>
      </w:r>
      <w:r>
        <w:rPr>
          <w:color w:val="363434"/>
          <w:w w:val="110"/>
          <w:sz w:val="24"/>
        </w:rPr>
        <w:t>including everything from</w:t>
      </w:r>
      <w:r>
        <w:rPr>
          <w:color w:val="363434"/>
          <w:spacing w:val="-63"/>
          <w:w w:val="110"/>
          <w:sz w:val="24"/>
        </w:rPr>
        <w:t> </w:t>
      </w:r>
      <w:r>
        <w:rPr>
          <w:color w:val="363434"/>
          <w:w w:val="105"/>
          <w:sz w:val="24"/>
        </w:rPr>
        <w:t>the cover page to the certificate of service. Because this type of draft broad­</w:t>
      </w:r>
      <w:r>
        <w:rPr>
          <w:color w:val="363434"/>
          <w:spacing w:val="1"/>
          <w:w w:val="105"/>
          <w:sz w:val="24"/>
        </w:rPr>
        <w:t> </w:t>
      </w:r>
      <w:r>
        <w:rPr>
          <w:color w:val="363434"/>
          <w:w w:val="110"/>
          <w:sz w:val="24"/>
        </w:rPr>
        <w:t>ens its focus to include small-scale, or micro, concerns, you may wish to</w:t>
      </w:r>
      <w:r>
        <w:rPr>
          <w:color w:val="363434"/>
          <w:spacing w:val="-63"/>
          <w:w w:val="110"/>
          <w:sz w:val="24"/>
        </w:rPr>
        <w:t> </w:t>
      </w:r>
      <w:r>
        <w:rPr>
          <w:color w:val="363434"/>
          <w:w w:val="105"/>
          <w:sz w:val="24"/>
        </w:rPr>
        <w:t>think of it</w:t>
      </w:r>
      <w:r>
        <w:rPr>
          <w:color w:val="363434"/>
          <w:spacing w:val="1"/>
          <w:w w:val="105"/>
          <w:sz w:val="24"/>
        </w:rPr>
        <w:t> </w:t>
      </w:r>
      <w:r>
        <w:rPr>
          <w:color w:val="363434"/>
          <w:w w:val="105"/>
          <w:sz w:val="24"/>
        </w:rPr>
        <w:t>as a</w:t>
      </w:r>
      <w:r>
        <w:rPr>
          <w:color w:val="363434"/>
          <w:spacing w:val="1"/>
          <w:w w:val="105"/>
          <w:sz w:val="24"/>
        </w:rPr>
        <w:t> </w:t>
      </w:r>
      <w:r>
        <w:rPr>
          <w:i/>
          <w:color w:val="363434"/>
          <w:w w:val="105"/>
          <w:sz w:val="23"/>
        </w:rPr>
        <w:t>micro draft. </w:t>
      </w:r>
      <w:r>
        <w:rPr>
          <w:color w:val="363434"/>
          <w:w w:val="105"/>
          <w:sz w:val="24"/>
        </w:rPr>
        <w:t>Chapter</w:t>
      </w:r>
      <w:r>
        <w:rPr>
          <w:color w:val="363434"/>
          <w:spacing w:val="1"/>
          <w:w w:val="105"/>
          <w:sz w:val="24"/>
        </w:rPr>
        <w:t> </w:t>
      </w:r>
      <w:r>
        <w:rPr>
          <w:color w:val="363434"/>
          <w:w w:val="105"/>
          <w:sz w:val="24"/>
        </w:rPr>
        <w:t>Eight identifies and</w:t>
      </w:r>
      <w:r>
        <w:rPr>
          <w:color w:val="363434"/>
          <w:spacing w:val="1"/>
          <w:w w:val="105"/>
          <w:sz w:val="24"/>
        </w:rPr>
        <w:t> </w:t>
      </w:r>
      <w:r>
        <w:rPr>
          <w:color w:val="363434"/>
          <w:w w:val="105"/>
          <w:sz w:val="24"/>
        </w:rPr>
        <w:t>describes the</w:t>
      </w:r>
      <w:r>
        <w:rPr>
          <w:color w:val="363434"/>
          <w:spacing w:val="1"/>
          <w:w w:val="105"/>
          <w:sz w:val="24"/>
        </w:rPr>
        <w:t> </w:t>
      </w:r>
      <w:r>
        <w:rPr>
          <w:color w:val="363434"/>
          <w:w w:val="105"/>
          <w:sz w:val="24"/>
        </w:rPr>
        <w:t>ele­</w:t>
      </w:r>
      <w:r>
        <w:rPr>
          <w:color w:val="363434"/>
          <w:spacing w:val="-60"/>
          <w:w w:val="105"/>
          <w:sz w:val="24"/>
        </w:rPr>
        <w:t> </w:t>
      </w:r>
      <w:r>
        <w:rPr>
          <w:color w:val="363434"/>
          <w:spacing w:val="-1"/>
          <w:w w:val="110"/>
          <w:sz w:val="24"/>
        </w:rPr>
        <w:t>ments</w:t>
      </w:r>
      <w:r>
        <w:rPr>
          <w:color w:val="363434"/>
          <w:spacing w:val="-26"/>
          <w:w w:val="110"/>
          <w:sz w:val="24"/>
        </w:rPr>
        <w:t> </w:t>
      </w:r>
      <w:r>
        <w:rPr>
          <w:color w:val="363434"/>
          <w:spacing w:val="-1"/>
          <w:w w:val="110"/>
          <w:sz w:val="24"/>
        </w:rPr>
        <w:t>that</w:t>
      </w:r>
      <w:r>
        <w:rPr>
          <w:color w:val="363434"/>
          <w:spacing w:val="-27"/>
          <w:w w:val="110"/>
          <w:sz w:val="24"/>
        </w:rPr>
        <w:t> </w:t>
      </w:r>
      <w:r>
        <w:rPr>
          <w:color w:val="363434"/>
          <w:spacing w:val="-1"/>
          <w:w w:val="110"/>
          <w:sz w:val="24"/>
        </w:rPr>
        <w:t>courts</w:t>
      </w:r>
      <w:r>
        <w:rPr>
          <w:color w:val="363434"/>
          <w:spacing w:val="-25"/>
          <w:w w:val="110"/>
          <w:sz w:val="24"/>
        </w:rPr>
        <w:t> </w:t>
      </w:r>
      <w:r>
        <w:rPr>
          <w:color w:val="363434"/>
          <w:w w:val="110"/>
          <w:sz w:val="24"/>
        </w:rPr>
        <w:t>commonly</w:t>
      </w:r>
      <w:r>
        <w:rPr>
          <w:color w:val="363434"/>
          <w:spacing w:val="-6"/>
          <w:w w:val="110"/>
          <w:sz w:val="24"/>
        </w:rPr>
        <w:t> </w:t>
      </w:r>
      <w:r>
        <w:rPr>
          <w:color w:val="363434"/>
          <w:w w:val="110"/>
          <w:sz w:val="24"/>
        </w:rPr>
        <w:t>require</w:t>
      </w:r>
      <w:r>
        <w:rPr>
          <w:color w:val="363434"/>
          <w:spacing w:val="-19"/>
          <w:w w:val="110"/>
          <w:sz w:val="24"/>
        </w:rPr>
        <w:t> </w:t>
      </w:r>
      <w:r>
        <w:rPr>
          <w:color w:val="363434"/>
          <w:w w:val="110"/>
          <w:sz w:val="24"/>
        </w:rPr>
        <w:t>in appellate</w:t>
      </w:r>
      <w:r>
        <w:rPr>
          <w:color w:val="363434"/>
          <w:spacing w:val="-19"/>
          <w:w w:val="110"/>
          <w:sz w:val="24"/>
        </w:rPr>
        <w:t> </w:t>
      </w:r>
      <w:r>
        <w:rPr>
          <w:color w:val="363434"/>
          <w:w w:val="110"/>
          <w:sz w:val="24"/>
        </w:rPr>
        <w:t>briefs</w:t>
      </w:r>
      <w:r>
        <w:rPr>
          <w:color w:val="363434"/>
          <w:spacing w:val="-25"/>
          <w:w w:val="110"/>
          <w:sz w:val="24"/>
        </w:rPr>
        <w:t> </w:t>
      </w:r>
      <w:r>
        <w:rPr>
          <w:color w:val="363434"/>
          <w:w w:val="110"/>
          <w:sz w:val="24"/>
        </w:rPr>
        <w:t>and</w:t>
      </w:r>
      <w:r>
        <w:rPr>
          <w:color w:val="363434"/>
          <w:spacing w:val="18"/>
          <w:w w:val="110"/>
          <w:sz w:val="24"/>
        </w:rPr>
        <w:t> </w:t>
      </w:r>
      <w:r>
        <w:rPr>
          <w:color w:val="363434"/>
          <w:w w:val="110"/>
          <w:sz w:val="24"/>
        </w:rPr>
        <w:t>motion</w:t>
      </w:r>
      <w:r>
        <w:rPr>
          <w:color w:val="363434"/>
          <w:spacing w:val="-12"/>
          <w:w w:val="110"/>
          <w:sz w:val="24"/>
        </w:rPr>
        <w:t> </w:t>
      </w:r>
      <w:r>
        <w:rPr>
          <w:color w:val="363434"/>
          <w:w w:val="110"/>
          <w:sz w:val="24"/>
        </w:rPr>
        <w:t>briefs.</w:t>
      </w:r>
      <w:r>
        <w:rPr>
          <w:color w:val="363434"/>
          <w:spacing w:val="1"/>
          <w:w w:val="110"/>
          <w:sz w:val="24"/>
        </w:rPr>
        <w:t> </w:t>
      </w:r>
      <w:r>
        <w:rPr>
          <w:color w:val="363434"/>
          <w:w w:val="110"/>
          <w:sz w:val="24"/>
        </w:rPr>
        <w:t>After you have created your micro draft, review the way that youhave</w:t>
      </w:r>
      <w:r>
        <w:rPr>
          <w:color w:val="363434"/>
          <w:spacing w:val="1"/>
          <w:w w:val="110"/>
          <w:sz w:val="24"/>
        </w:rPr>
        <w:t> </w:t>
      </w:r>
      <w:r>
        <w:rPr>
          <w:color w:val="363434"/>
          <w:w w:val="110"/>
          <w:sz w:val="24"/>
        </w:rPr>
        <w:t>presented</w:t>
      </w:r>
      <w:r>
        <w:rPr>
          <w:color w:val="363434"/>
          <w:spacing w:val="1"/>
          <w:w w:val="110"/>
          <w:sz w:val="24"/>
        </w:rPr>
        <w:t> </w:t>
      </w:r>
      <w:r>
        <w:rPr>
          <w:color w:val="363434"/>
          <w:w w:val="110"/>
          <w:sz w:val="24"/>
        </w:rPr>
        <w:t>your arguments.</w:t>
      </w:r>
      <w:r>
        <w:rPr>
          <w:color w:val="363434"/>
          <w:spacing w:val="1"/>
          <w:w w:val="110"/>
          <w:sz w:val="24"/>
        </w:rPr>
        <w:t> </w:t>
      </w:r>
      <w:r>
        <w:rPr>
          <w:color w:val="363434"/>
          <w:w w:val="110"/>
          <w:sz w:val="24"/>
        </w:rPr>
        <w:t>For example,</w:t>
      </w:r>
      <w:r>
        <w:rPr>
          <w:color w:val="363434"/>
          <w:spacing w:val="1"/>
          <w:w w:val="110"/>
          <w:sz w:val="24"/>
        </w:rPr>
        <w:t> </w:t>
      </w:r>
      <w:r>
        <w:rPr>
          <w:color w:val="363434"/>
          <w:w w:val="110"/>
          <w:sz w:val="24"/>
        </w:rPr>
        <w:t>make sure</w:t>
      </w:r>
      <w:r>
        <w:rPr>
          <w:color w:val="363434"/>
          <w:spacing w:val="1"/>
          <w:w w:val="110"/>
          <w:sz w:val="24"/>
        </w:rPr>
        <w:t> </w:t>
      </w:r>
      <w:r>
        <w:rPr>
          <w:color w:val="363434"/>
          <w:w w:val="110"/>
          <w:sz w:val="24"/>
        </w:rPr>
        <w:t>that you  have laid</w:t>
      </w:r>
      <w:r>
        <w:rPr>
          <w:color w:val="363434"/>
          <w:spacing w:val="-63"/>
          <w:w w:val="110"/>
          <w:sz w:val="24"/>
        </w:rPr>
        <w:t> </w:t>
      </w:r>
      <w:r>
        <w:rPr>
          <w:color w:val="363434"/>
          <w:w w:val="110"/>
          <w:sz w:val="24"/>
        </w:rPr>
        <w:t>out</w:t>
      </w:r>
      <w:r>
        <w:rPr>
          <w:color w:val="363434"/>
          <w:spacing w:val="11"/>
          <w:w w:val="110"/>
          <w:sz w:val="24"/>
        </w:rPr>
        <w:t> </w:t>
      </w:r>
      <w:r>
        <w:rPr>
          <w:color w:val="363434"/>
          <w:w w:val="110"/>
          <w:sz w:val="24"/>
        </w:rPr>
        <w:t>your</w:t>
      </w:r>
      <w:r>
        <w:rPr>
          <w:color w:val="363434"/>
          <w:spacing w:val="5"/>
          <w:w w:val="110"/>
          <w:sz w:val="24"/>
        </w:rPr>
        <w:t> </w:t>
      </w:r>
      <w:r>
        <w:rPr>
          <w:color w:val="363434"/>
          <w:w w:val="110"/>
          <w:sz w:val="24"/>
        </w:rPr>
        <w:t>arguments clearly</w:t>
      </w:r>
      <w:r>
        <w:rPr>
          <w:color w:val="363434"/>
          <w:spacing w:val="-6"/>
          <w:w w:val="110"/>
          <w:sz w:val="24"/>
        </w:rPr>
        <w:t> </w:t>
      </w:r>
      <w:r>
        <w:rPr>
          <w:color w:val="363434"/>
          <w:w w:val="110"/>
          <w:sz w:val="24"/>
        </w:rPr>
        <w:t>and</w:t>
      </w:r>
      <w:r>
        <w:rPr>
          <w:color w:val="363434"/>
          <w:spacing w:val="36"/>
          <w:w w:val="110"/>
          <w:sz w:val="24"/>
        </w:rPr>
        <w:t> </w:t>
      </w:r>
      <w:r>
        <w:rPr>
          <w:color w:val="363434"/>
          <w:w w:val="110"/>
          <w:sz w:val="24"/>
        </w:rPr>
        <w:t>organized</w:t>
      </w:r>
      <w:r>
        <w:rPr>
          <w:color w:val="363434"/>
          <w:spacing w:val="13"/>
          <w:w w:val="110"/>
          <w:sz w:val="24"/>
        </w:rPr>
        <w:t> </w:t>
      </w:r>
      <w:r>
        <w:rPr>
          <w:color w:val="363434"/>
          <w:w w:val="110"/>
          <w:sz w:val="24"/>
        </w:rPr>
        <w:t>them</w:t>
      </w:r>
      <w:r>
        <w:rPr>
          <w:color w:val="363434"/>
          <w:spacing w:val="1"/>
          <w:w w:val="110"/>
          <w:sz w:val="24"/>
        </w:rPr>
        <w:t> </w:t>
      </w:r>
      <w:r>
        <w:rPr>
          <w:color w:val="363434"/>
          <w:w w:val="110"/>
          <w:sz w:val="24"/>
        </w:rPr>
        <w:t>well</w:t>
      </w:r>
      <w:r>
        <w:rPr>
          <w:color w:val="59595B"/>
          <w:w w:val="110"/>
          <w:sz w:val="24"/>
        </w:rPr>
        <w:t>.</w:t>
      </w:r>
      <w:r>
        <w:rPr>
          <w:color w:val="59595B"/>
          <w:spacing w:val="-5"/>
          <w:w w:val="110"/>
          <w:sz w:val="24"/>
        </w:rPr>
        <w:t> </w:t>
      </w:r>
      <w:r>
        <w:rPr>
          <w:color w:val="363434"/>
          <w:w w:val="110"/>
          <w:sz w:val="24"/>
        </w:rPr>
        <w:t>Take</w:t>
      </w:r>
      <w:r>
        <w:rPr>
          <w:color w:val="363434"/>
          <w:spacing w:val="-1"/>
          <w:w w:val="110"/>
          <w:sz w:val="24"/>
        </w:rPr>
        <w:t> </w:t>
      </w:r>
      <w:r>
        <w:rPr>
          <w:color w:val="363434"/>
          <w:w w:val="110"/>
          <w:sz w:val="24"/>
        </w:rPr>
        <w:t>a</w:t>
      </w:r>
      <w:r>
        <w:rPr>
          <w:color w:val="363434"/>
          <w:spacing w:val="20"/>
          <w:w w:val="110"/>
          <w:sz w:val="24"/>
        </w:rPr>
        <w:t> </w:t>
      </w:r>
      <w:r>
        <w:rPr>
          <w:color w:val="363434"/>
          <w:w w:val="110"/>
          <w:sz w:val="24"/>
        </w:rPr>
        <w:t>look</w:t>
      </w:r>
      <w:r>
        <w:rPr>
          <w:color w:val="363434"/>
          <w:spacing w:val="-5"/>
          <w:w w:val="110"/>
          <w:sz w:val="24"/>
        </w:rPr>
        <w:t> </w:t>
      </w:r>
      <w:r>
        <w:rPr>
          <w:color w:val="363434"/>
          <w:w w:val="110"/>
          <w:sz w:val="24"/>
        </w:rPr>
        <w:t>at</w:t>
      </w:r>
      <w:r>
        <w:rPr>
          <w:color w:val="363434"/>
          <w:spacing w:val="19"/>
          <w:w w:val="110"/>
          <w:sz w:val="24"/>
        </w:rPr>
        <w:t> </w:t>
      </w:r>
      <w:r>
        <w:rPr>
          <w:color w:val="363434"/>
          <w:w w:val="110"/>
          <w:sz w:val="24"/>
        </w:rPr>
        <w:t>the</w:t>
      </w:r>
      <w:r>
        <w:rPr>
          <w:color w:val="363434"/>
          <w:spacing w:val="1"/>
          <w:w w:val="110"/>
          <w:sz w:val="24"/>
        </w:rPr>
        <w:t> </w:t>
      </w:r>
      <w:r>
        <w:rPr>
          <w:color w:val="363434"/>
          <w:w w:val="110"/>
          <w:sz w:val="24"/>
        </w:rPr>
        <w:t>signals you are sending to</w:t>
      </w:r>
      <w:r>
        <w:rPr>
          <w:color w:val="363434"/>
          <w:spacing w:val="1"/>
          <w:w w:val="110"/>
          <w:sz w:val="24"/>
        </w:rPr>
        <w:t> </w:t>
      </w:r>
      <w:r>
        <w:rPr>
          <w:color w:val="363434"/>
          <w:w w:val="110"/>
          <w:sz w:val="24"/>
        </w:rPr>
        <w:t>the</w:t>
      </w:r>
      <w:r>
        <w:rPr>
          <w:color w:val="363434"/>
          <w:spacing w:val="1"/>
          <w:w w:val="110"/>
          <w:sz w:val="24"/>
        </w:rPr>
        <w:t> </w:t>
      </w:r>
      <w:r>
        <w:rPr>
          <w:color w:val="363434"/>
          <w:w w:val="110"/>
          <w:sz w:val="24"/>
        </w:rPr>
        <w:t>reader and</w:t>
      </w:r>
      <w:r>
        <w:rPr>
          <w:color w:val="363434"/>
          <w:spacing w:val="1"/>
          <w:w w:val="110"/>
          <w:sz w:val="24"/>
        </w:rPr>
        <w:t> </w:t>
      </w:r>
      <w:r>
        <w:rPr>
          <w:color w:val="363434"/>
          <w:w w:val="110"/>
          <w:sz w:val="24"/>
        </w:rPr>
        <w:t>the</w:t>
      </w:r>
      <w:r>
        <w:rPr>
          <w:color w:val="363434"/>
          <w:spacing w:val="1"/>
          <w:w w:val="110"/>
          <w:sz w:val="24"/>
        </w:rPr>
        <w:t> </w:t>
      </w:r>
      <w:r>
        <w:rPr>
          <w:color w:val="363434"/>
          <w:w w:val="110"/>
          <w:sz w:val="24"/>
        </w:rPr>
        <w:t>user through</w:t>
      </w:r>
      <w:r>
        <w:rPr>
          <w:color w:val="363434"/>
          <w:spacing w:val="1"/>
          <w:w w:val="110"/>
          <w:sz w:val="24"/>
        </w:rPr>
        <w:t> </w:t>
      </w:r>
      <w:r>
        <w:rPr>
          <w:color w:val="363434"/>
          <w:w w:val="110"/>
          <w:sz w:val="24"/>
        </w:rPr>
        <w:t>your</w:t>
      </w:r>
      <w:r>
        <w:rPr>
          <w:color w:val="363434"/>
          <w:spacing w:val="1"/>
          <w:w w:val="110"/>
          <w:sz w:val="24"/>
        </w:rPr>
        <w:t> </w:t>
      </w:r>
      <w:r>
        <w:rPr>
          <w:color w:val="363434"/>
          <w:w w:val="110"/>
          <w:sz w:val="24"/>
        </w:rPr>
        <w:t>head­</w:t>
      </w:r>
      <w:r>
        <w:rPr>
          <w:color w:val="363434"/>
          <w:spacing w:val="-63"/>
          <w:w w:val="110"/>
          <w:sz w:val="24"/>
        </w:rPr>
        <w:t> </w:t>
      </w:r>
      <w:r>
        <w:rPr>
          <w:color w:val="363434"/>
          <w:w w:val="105"/>
          <w:sz w:val="24"/>
        </w:rPr>
        <w:t>ings,</w:t>
      </w:r>
      <w:r>
        <w:rPr>
          <w:color w:val="363434"/>
          <w:spacing w:val="7"/>
          <w:w w:val="105"/>
          <w:sz w:val="24"/>
        </w:rPr>
        <w:t> </w:t>
      </w:r>
      <w:r>
        <w:rPr>
          <w:color w:val="363434"/>
          <w:w w:val="105"/>
          <w:sz w:val="24"/>
        </w:rPr>
        <w:t>roadmaps,</w:t>
      </w:r>
      <w:r>
        <w:rPr>
          <w:color w:val="363434"/>
          <w:spacing w:val="37"/>
          <w:w w:val="105"/>
          <w:sz w:val="24"/>
        </w:rPr>
        <w:t> </w:t>
      </w:r>
      <w:r>
        <w:rPr>
          <w:color w:val="363434"/>
          <w:w w:val="105"/>
          <w:sz w:val="24"/>
        </w:rPr>
        <w:t>and</w:t>
      </w:r>
      <w:r>
        <w:rPr>
          <w:color w:val="363434"/>
          <w:spacing w:val="51"/>
          <w:w w:val="105"/>
          <w:sz w:val="24"/>
        </w:rPr>
        <w:t> </w:t>
      </w:r>
      <w:r>
        <w:rPr>
          <w:color w:val="363434"/>
          <w:w w:val="105"/>
          <w:sz w:val="24"/>
        </w:rPr>
        <w:t>topic</w:t>
      </w:r>
      <w:r>
        <w:rPr>
          <w:color w:val="363434"/>
          <w:spacing w:val="-15"/>
          <w:w w:val="105"/>
          <w:sz w:val="24"/>
        </w:rPr>
        <w:t> </w:t>
      </w:r>
      <w:r>
        <w:rPr>
          <w:color w:val="363434"/>
          <w:w w:val="105"/>
          <w:sz w:val="24"/>
        </w:rPr>
        <w:t>sentences,</w:t>
      </w:r>
      <w:r>
        <w:rPr>
          <w:color w:val="363434"/>
          <w:spacing w:val="19"/>
          <w:w w:val="105"/>
          <w:sz w:val="24"/>
        </w:rPr>
        <w:t> </w:t>
      </w:r>
      <w:r>
        <w:rPr>
          <w:color w:val="363434"/>
          <w:w w:val="105"/>
          <w:sz w:val="24"/>
        </w:rPr>
        <w:t>and</w:t>
      </w:r>
      <w:r>
        <w:rPr>
          <w:color w:val="363434"/>
          <w:spacing w:val="56"/>
          <w:w w:val="105"/>
          <w:sz w:val="24"/>
        </w:rPr>
        <w:t> </w:t>
      </w:r>
      <w:r>
        <w:rPr>
          <w:color w:val="363434"/>
          <w:w w:val="105"/>
          <w:sz w:val="24"/>
        </w:rPr>
        <w:t>revise</w:t>
      </w:r>
      <w:r>
        <w:rPr>
          <w:color w:val="363434"/>
          <w:spacing w:val="6"/>
          <w:w w:val="105"/>
          <w:sz w:val="24"/>
        </w:rPr>
        <w:t> </w:t>
      </w:r>
      <w:r>
        <w:rPr>
          <w:color w:val="363434"/>
          <w:w w:val="105"/>
          <w:sz w:val="24"/>
        </w:rPr>
        <w:t>them</w:t>
      </w:r>
      <w:r>
        <w:rPr>
          <w:color w:val="363434"/>
          <w:spacing w:val="16"/>
          <w:w w:val="105"/>
          <w:sz w:val="24"/>
        </w:rPr>
        <w:t> </w:t>
      </w:r>
      <w:r>
        <w:rPr>
          <w:color w:val="363434"/>
          <w:w w:val="105"/>
          <w:sz w:val="24"/>
        </w:rPr>
        <w:t>as</w:t>
      </w:r>
      <w:r>
        <w:rPr>
          <w:color w:val="363434"/>
          <w:spacing w:val="12"/>
          <w:w w:val="105"/>
          <w:sz w:val="24"/>
        </w:rPr>
        <w:t> </w:t>
      </w:r>
      <w:r>
        <w:rPr>
          <w:color w:val="363434"/>
          <w:w w:val="105"/>
          <w:sz w:val="24"/>
        </w:rPr>
        <w:t>needed.</w:t>
      </w:r>
      <w:r>
        <w:rPr>
          <w:color w:val="363434"/>
          <w:spacing w:val="18"/>
          <w:w w:val="105"/>
          <w:sz w:val="24"/>
        </w:rPr>
        <w:t> </w:t>
      </w:r>
      <w:r>
        <w:rPr>
          <w:color w:val="363434"/>
          <w:w w:val="105"/>
          <w:sz w:val="24"/>
        </w:rPr>
        <w:t>Evaluate</w:t>
      </w:r>
      <w:r>
        <w:rPr>
          <w:color w:val="363434"/>
          <w:spacing w:val="1"/>
          <w:w w:val="105"/>
          <w:sz w:val="24"/>
        </w:rPr>
        <w:t> </w:t>
      </w:r>
      <w:r>
        <w:rPr>
          <w:color w:val="363434"/>
          <w:w w:val="110"/>
          <w:sz w:val="24"/>
        </w:rPr>
        <w:t>your statement of the case to verify that it presents the facts </w:t>
      </w:r>
      <w:r>
        <w:rPr>
          <w:color w:val="363434"/>
          <w:w w:val="110"/>
          <w:sz w:val="21"/>
        </w:rPr>
        <w:t>in</w:t>
      </w:r>
      <w:r>
        <w:rPr>
          <w:color w:val="363434"/>
          <w:spacing w:val="1"/>
          <w:w w:val="110"/>
          <w:sz w:val="21"/>
        </w:rPr>
        <w:t> </w:t>
      </w:r>
      <w:r>
        <w:rPr>
          <w:color w:val="363434"/>
          <w:w w:val="110"/>
          <w:sz w:val="24"/>
        </w:rPr>
        <w:t>a positive</w:t>
      </w:r>
      <w:r>
        <w:rPr>
          <w:color w:val="363434"/>
          <w:spacing w:val="-63"/>
          <w:w w:val="110"/>
          <w:sz w:val="24"/>
        </w:rPr>
        <w:t> </w:t>
      </w:r>
      <w:r>
        <w:rPr>
          <w:color w:val="363434"/>
          <w:spacing w:val="-1"/>
          <w:w w:val="110"/>
          <w:sz w:val="24"/>
        </w:rPr>
        <w:t>light without stretching the truth. Review each element of the brief </w:t>
      </w:r>
      <w:r>
        <w:rPr>
          <w:color w:val="363434"/>
          <w:w w:val="110"/>
          <w:sz w:val="24"/>
        </w:rPr>
        <w:t>in this</w:t>
      </w:r>
      <w:r>
        <w:rPr>
          <w:color w:val="363434"/>
          <w:spacing w:val="-63"/>
          <w:w w:val="110"/>
          <w:sz w:val="24"/>
        </w:rPr>
        <w:t> </w:t>
      </w:r>
      <w:r>
        <w:rPr>
          <w:color w:val="363434"/>
          <w:spacing w:val="-1"/>
          <w:w w:val="110"/>
          <w:sz w:val="24"/>
        </w:rPr>
        <w:t>way to make sure that you are presenting an</w:t>
      </w:r>
      <w:r>
        <w:rPr>
          <w:color w:val="363434"/>
          <w:w w:val="110"/>
          <w:sz w:val="24"/>
        </w:rPr>
        <w:t> </w:t>
      </w:r>
      <w:r>
        <w:rPr>
          <w:color w:val="363434"/>
          <w:spacing w:val="-1"/>
          <w:w w:val="110"/>
          <w:sz w:val="24"/>
        </w:rPr>
        <w:t>accurate </w:t>
      </w:r>
      <w:r>
        <w:rPr>
          <w:color w:val="363434"/>
          <w:w w:val="110"/>
          <w:sz w:val="24"/>
        </w:rPr>
        <w:t>and</w:t>
      </w:r>
      <w:r>
        <w:rPr>
          <w:color w:val="363434"/>
          <w:spacing w:val="1"/>
          <w:w w:val="110"/>
          <w:sz w:val="24"/>
        </w:rPr>
        <w:t> </w:t>
      </w:r>
      <w:r>
        <w:rPr>
          <w:color w:val="363434"/>
          <w:w w:val="110"/>
          <w:sz w:val="24"/>
        </w:rPr>
        <w:t>effective legal</w:t>
      </w:r>
      <w:r>
        <w:rPr>
          <w:color w:val="363434"/>
          <w:spacing w:val="-63"/>
          <w:w w:val="110"/>
          <w:sz w:val="24"/>
        </w:rPr>
        <w:t> </w:t>
      </w:r>
      <w:r>
        <w:rPr>
          <w:color w:val="363434"/>
          <w:w w:val="110"/>
          <w:sz w:val="24"/>
        </w:rPr>
        <w:t>argument. Chapter Ten will help you to make your document more user­</w:t>
      </w:r>
      <w:r>
        <w:rPr>
          <w:color w:val="363434"/>
          <w:spacing w:val="-63"/>
          <w:w w:val="110"/>
          <w:sz w:val="24"/>
        </w:rPr>
        <w:t> </w:t>
      </w:r>
      <w:r>
        <w:rPr>
          <w:color w:val="363434"/>
          <w:w w:val="110"/>
          <w:sz w:val="24"/>
        </w:rPr>
        <w:t>friendly, while Chapters Nine and Eleven will help you to use persuasive</w:t>
      </w:r>
      <w:r>
        <w:rPr>
          <w:color w:val="363434"/>
          <w:spacing w:val="-63"/>
          <w:w w:val="110"/>
          <w:sz w:val="24"/>
        </w:rPr>
        <w:t> </w:t>
      </w:r>
      <w:r>
        <w:rPr>
          <w:color w:val="363434"/>
          <w:w w:val="110"/>
          <w:sz w:val="24"/>
        </w:rPr>
        <w:t>writing</w:t>
      </w:r>
      <w:r>
        <w:rPr>
          <w:color w:val="363434"/>
          <w:spacing w:val="10"/>
          <w:w w:val="110"/>
          <w:sz w:val="24"/>
        </w:rPr>
        <w:t> </w:t>
      </w:r>
      <w:r>
        <w:rPr>
          <w:color w:val="363434"/>
          <w:w w:val="110"/>
          <w:sz w:val="24"/>
        </w:rPr>
        <w:t>techniques</w:t>
      </w:r>
      <w:r>
        <w:rPr>
          <w:color w:val="363434"/>
          <w:spacing w:val="24"/>
          <w:w w:val="110"/>
          <w:sz w:val="24"/>
        </w:rPr>
        <w:t> </w:t>
      </w:r>
      <w:r>
        <w:rPr>
          <w:color w:val="363434"/>
          <w:w w:val="110"/>
          <w:sz w:val="24"/>
        </w:rPr>
        <w:t>both</w:t>
      </w:r>
      <w:r>
        <w:rPr>
          <w:color w:val="363434"/>
          <w:spacing w:val="27"/>
          <w:w w:val="110"/>
          <w:sz w:val="24"/>
        </w:rPr>
        <w:t> </w:t>
      </w:r>
      <w:r>
        <w:rPr>
          <w:color w:val="363434"/>
          <w:w w:val="110"/>
          <w:sz w:val="24"/>
        </w:rPr>
        <w:t>in</w:t>
      </w:r>
      <w:r>
        <w:rPr>
          <w:color w:val="363434"/>
          <w:spacing w:val="37"/>
          <w:w w:val="110"/>
          <w:sz w:val="24"/>
        </w:rPr>
        <w:t> </w:t>
      </w:r>
      <w:r>
        <w:rPr>
          <w:color w:val="363434"/>
          <w:w w:val="110"/>
          <w:sz w:val="24"/>
        </w:rPr>
        <w:t>the</w:t>
      </w:r>
      <w:r>
        <w:rPr>
          <w:color w:val="363434"/>
          <w:spacing w:val="29"/>
          <w:w w:val="110"/>
          <w:sz w:val="24"/>
        </w:rPr>
        <w:t> </w:t>
      </w:r>
      <w:r>
        <w:rPr>
          <w:color w:val="363434"/>
          <w:w w:val="110"/>
          <w:sz w:val="24"/>
        </w:rPr>
        <w:t>argument</w:t>
      </w:r>
      <w:r>
        <w:rPr>
          <w:color w:val="363434"/>
          <w:spacing w:val="39"/>
          <w:w w:val="110"/>
          <w:sz w:val="24"/>
        </w:rPr>
        <w:t> </w:t>
      </w:r>
      <w:r>
        <w:rPr>
          <w:color w:val="363434"/>
          <w:w w:val="110"/>
          <w:sz w:val="24"/>
        </w:rPr>
        <w:t>and</w:t>
      </w:r>
      <w:r>
        <w:rPr>
          <w:color w:val="363434"/>
          <w:spacing w:val="48"/>
          <w:w w:val="110"/>
          <w:sz w:val="24"/>
        </w:rPr>
        <w:t> </w:t>
      </w:r>
      <w:r>
        <w:rPr>
          <w:color w:val="363434"/>
          <w:w w:val="110"/>
          <w:sz w:val="24"/>
        </w:rPr>
        <w:t>in</w:t>
      </w:r>
      <w:r>
        <w:rPr>
          <w:color w:val="363434"/>
          <w:spacing w:val="45"/>
          <w:w w:val="110"/>
          <w:sz w:val="24"/>
        </w:rPr>
        <w:t> </w:t>
      </w:r>
      <w:r>
        <w:rPr>
          <w:color w:val="363434"/>
          <w:w w:val="110"/>
          <w:sz w:val="24"/>
        </w:rPr>
        <w:t>those</w:t>
      </w:r>
      <w:r>
        <w:rPr>
          <w:color w:val="363434"/>
          <w:spacing w:val="5"/>
          <w:w w:val="110"/>
          <w:sz w:val="24"/>
        </w:rPr>
        <w:t> </w:t>
      </w:r>
      <w:r>
        <w:rPr>
          <w:color w:val="363434"/>
          <w:w w:val="110"/>
          <w:sz w:val="24"/>
        </w:rPr>
        <w:t>special</w:t>
      </w:r>
      <w:r>
        <w:rPr>
          <w:color w:val="363434"/>
          <w:spacing w:val="27"/>
          <w:w w:val="110"/>
          <w:sz w:val="24"/>
        </w:rPr>
        <w:t> </w:t>
      </w:r>
      <w:r>
        <w:rPr>
          <w:color w:val="363434"/>
          <w:w w:val="110"/>
          <w:sz w:val="24"/>
        </w:rPr>
        <w:t>elements</w:t>
      </w:r>
      <w:r>
        <w:rPr>
          <w:color w:val="363434"/>
          <w:spacing w:val="1"/>
          <w:w w:val="110"/>
          <w:sz w:val="24"/>
        </w:rPr>
        <w:t> </w:t>
      </w:r>
      <w:r>
        <w:rPr>
          <w:color w:val="363434"/>
          <w:w w:val="110"/>
          <w:sz w:val="24"/>
        </w:rPr>
        <w:t>such</w:t>
      </w:r>
      <w:r>
        <w:rPr>
          <w:color w:val="363434"/>
          <w:spacing w:val="3"/>
          <w:w w:val="110"/>
          <w:sz w:val="24"/>
        </w:rPr>
        <w:t> </w:t>
      </w:r>
      <w:r>
        <w:rPr>
          <w:color w:val="363434"/>
          <w:w w:val="110"/>
          <w:sz w:val="24"/>
        </w:rPr>
        <w:t>as</w:t>
      </w:r>
      <w:r>
        <w:rPr>
          <w:color w:val="363434"/>
          <w:spacing w:val="-5"/>
          <w:w w:val="110"/>
          <w:sz w:val="24"/>
        </w:rPr>
        <w:t> </w:t>
      </w:r>
      <w:r>
        <w:rPr>
          <w:color w:val="363434"/>
          <w:w w:val="110"/>
          <w:sz w:val="24"/>
        </w:rPr>
        <w:t>the</w:t>
      </w:r>
      <w:r>
        <w:rPr>
          <w:color w:val="363434"/>
          <w:spacing w:val="13"/>
          <w:w w:val="110"/>
          <w:sz w:val="24"/>
        </w:rPr>
        <w:t> </w:t>
      </w:r>
      <w:r>
        <w:rPr>
          <w:color w:val="363434"/>
          <w:w w:val="110"/>
          <w:sz w:val="24"/>
        </w:rPr>
        <w:t>question</w:t>
      </w:r>
      <w:r>
        <w:rPr>
          <w:color w:val="363434"/>
          <w:spacing w:val="9"/>
          <w:w w:val="110"/>
          <w:sz w:val="24"/>
        </w:rPr>
        <w:t> </w:t>
      </w:r>
      <w:r>
        <w:rPr>
          <w:color w:val="363434"/>
          <w:w w:val="110"/>
          <w:sz w:val="24"/>
        </w:rPr>
        <w:t>presented,</w:t>
      </w:r>
      <w:r>
        <w:rPr>
          <w:color w:val="363434"/>
          <w:spacing w:val="3"/>
          <w:w w:val="110"/>
          <w:sz w:val="24"/>
        </w:rPr>
        <w:t> </w:t>
      </w:r>
      <w:r>
        <w:rPr>
          <w:color w:val="363434"/>
          <w:w w:val="110"/>
          <w:sz w:val="24"/>
        </w:rPr>
        <w:t>statement</w:t>
      </w:r>
      <w:r>
        <w:rPr>
          <w:color w:val="363434"/>
          <w:spacing w:val="9"/>
          <w:w w:val="110"/>
          <w:sz w:val="24"/>
        </w:rPr>
        <w:t> </w:t>
      </w:r>
      <w:r>
        <w:rPr>
          <w:color w:val="363434"/>
          <w:w w:val="110"/>
          <w:sz w:val="24"/>
        </w:rPr>
        <w:t>of</w:t>
      </w:r>
      <w:r>
        <w:rPr>
          <w:color w:val="363434"/>
          <w:spacing w:val="16"/>
          <w:w w:val="110"/>
          <w:sz w:val="24"/>
        </w:rPr>
        <w:t> </w:t>
      </w:r>
      <w:r>
        <w:rPr>
          <w:color w:val="363434"/>
          <w:w w:val="110"/>
          <w:sz w:val="24"/>
        </w:rPr>
        <w:t>the</w:t>
      </w:r>
      <w:r>
        <w:rPr>
          <w:color w:val="363434"/>
          <w:spacing w:val="40"/>
          <w:w w:val="110"/>
          <w:sz w:val="24"/>
        </w:rPr>
        <w:t> </w:t>
      </w:r>
      <w:r>
        <w:rPr>
          <w:color w:val="363434"/>
          <w:w w:val="110"/>
          <w:sz w:val="24"/>
        </w:rPr>
        <w:t>case,</w:t>
      </w:r>
      <w:r>
        <w:rPr>
          <w:color w:val="363434"/>
          <w:spacing w:val="6"/>
          <w:w w:val="110"/>
          <w:sz w:val="24"/>
        </w:rPr>
        <w:t> </w:t>
      </w:r>
      <w:r>
        <w:rPr>
          <w:color w:val="363434"/>
          <w:w w:val="110"/>
          <w:sz w:val="24"/>
        </w:rPr>
        <w:t>and</w:t>
      </w:r>
      <w:r>
        <w:rPr>
          <w:color w:val="363434"/>
          <w:spacing w:val="50"/>
          <w:w w:val="110"/>
          <w:sz w:val="24"/>
        </w:rPr>
        <w:t> </w:t>
      </w:r>
      <w:r>
        <w:rPr>
          <w:color w:val="363434"/>
          <w:w w:val="110"/>
          <w:sz w:val="24"/>
        </w:rPr>
        <w:t>the</w:t>
      </w:r>
      <w:r>
        <w:rPr>
          <w:color w:val="363434"/>
          <w:spacing w:val="34"/>
          <w:w w:val="110"/>
          <w:sz w:val="24"/>
        </w:rPr>
        <w:t> </w:t>
      </w:r>
      <w:r>
        <w:rPr>
          <w:color w:val="363434"/>
          <w:w w:val="110"/>
          <w:sz w:val="24"/>
        </w:rPr>
        <w:t>summary</w:t>
      </w:r>
    </w:p>
    <w:p>
      <w:pPr>
        <w:spacing w:line="245" w:lineRule="exact" w:before="0"/>
        <w:ind w:left="128" w:right="0" w:firstLine="0"/>
        <w:jc w:val="both"/>
        <w:rPr>
          <w:sz w:val="24"/>
        </w:rPr>
      </w:pPr>
      <w:r>
        <w:rPr>
          <w:color w:val="363434"/>
          <w:w w:val="110"/>
          <w:sz w:val="24"/>
        </w:rPr>
        <w:t>of</w:t>
      </w:r>
      <w:r>
        <w:rPr>
          <w:color w:val="363434"/>
          <w:spacing w:val="1"/>
          <w:w w:val="110"/>
          <w:sz w:val="24"/>
        </w:rPr>
        <w:t> </w:t>
      </w:r>
      <w:r>
        <w:rPr>
          <w:color w:val="363434"/>
          <w:w w:val="110"/>
          <w:sz w:val="24"/>
        </w:rPr>
        <w:t>the</w:t>
      </w:r>
      <w:r>
        <w:rPr>
          <w:color w:val="363434"/>
          <w:spacing w:val="8"/>
          <w:w w:val="110"/>
          <w:sz w:val="24"/>
        </w:rPr>
        <w:t> </w:t>
      </w:r>
      <w:r>
        <w:rPr>
          <w:color w:val="363434"/>
          <w:w w:val="110"/>
          <w:sz w:val="24"/>
        </w:rPr>
        <w:t>argument.</w:t>
      </w:r>
    </w:p>
    <w:p>
      <w:pPr>
        <w:spacing w:line="225" w:lineRule="auto" w:before="7"/>
        <w:ind w:left="134" w:right="104" w:firstLine="381"/>
        <w:jc w:val="both"/>
        <w:rPr>
          <w:sz w:val="24"/>
        </w:rPr>
      </w:pPr>
      <w:r>
        <w:rPr>
          <w:color w:val="363434"/>
          <w:spacing w:val="-1"/>
          <w:w w:val="110"/>
          <w:sz w:val="24"/>
        </w:rPr>
        <w:t>In</w:t>
      </w:r>
      <w:r>
        <w:rPr>
          <w:color w:val="363434"/>
          <w:spacing w:val="-16"/>
          <w:w w:val="110"/>
          <w:sz w:val="24"/>
        </w:rPr>
        <w:t> </w:t>
      </w:r>
      <w:r>
        <w:rPr>
          <w:color w:val="363434"/>
          <w:spacing w:val="-1"/>
          <w:w w:val="110"/>
          <w:sz w:val="24"/>
        </w:rPr>
        <w:t>the</w:t>
      </w:r>
      <w:r>
        <w:rPr>
          <w:color w:val="363434"/>
          <w:spacing w:val="16"/>
          <w:w w:val="110"/>
          <w:sz w:val="24"/>
        </w:rPr>
        <w:t> </w:t>
      </w:r>
      <w:r>
        <w:rPr>
          <w:color w:val="363434"/>
          <w:spacing w:val="-1"/>
          <w:w w:val="110"/>
          <w:sz w:val="24"/>
        </w:rPr>
        <w:t>polishing</w:t>
      </w:r>
      <w:r>
        <w:rPr>
          <w:color w:val="363434"/>
          <w:spacing w:val="-26"/>
          <w:w w:val="110"/>
          <w:sz w:val="24"/>
        </w:rPr>
        <w:t> </w:t>
      </w:r>
      <w:r>
        <w:rPr>
          <w:color w:val="363434"/>
          <w:w w:val="110"/>
          <w:sz w:val="24"/>
        </w:rPr>
        <w:t>stage</w:t>
      </w:r>
      <w:r>
        <w:rPr>
          <w:color w:val="363434"/>
          <w:spacing w:val="-24"/>
          <w:w w:val="110"/>
          <w:sz w:val="24"/>
        </w:rPr>
        <w:t> </w:t>
      </w:r>
      <w:r>
        <w:rPr>
          <w:color w:val="363434"/>
          <w:w w:val="110"/>
          <w:sz w:val="24"/>
        </w:rPr>
        <w:t>of the</w:t>
      </w:r>
      <w:r>
        <w:rPr>
          <w:color w:val="363434"/>
          <w:spacing w:val="22"/>
          <w:w w:val="110"/>
          <w:sz w:val="24"/>
        </w:rPr>
        <w:t> </w:t>
      </w:r>
      <w:r>
        <w:rPr>
          <w:color w:val="363434"/>
          <w:w w:val="110"/>
          <w:sz w:val="24"/>
        </w:rPr>
        <w:t>writing</w:t>
      </w:r>
      <w:r>
        <w:rPr>
          <w:color w:val="363434"/>
          <w:spacing w:val="-10"/>
          <w:w w:val="110"/>
          <w:sz w:val="24"/>
        </w:rPr>
        <w:t> </w:t>
      </w:r>
      <w:r>
        <w:rPr>
          <w:color w:val="363434"/>
          <w:w w:val="110"/>
          <w:sz w:val="24"/>
        </w:rPr>
        <w:t>process,</w:t>
      </w:r>
      <w:r>
        <w:rPr>
          <w:color w:val="363434"/>
          <w:spacing w:val="7"/>
          <w:w w:val="110"/>
          <w:sz w:val="24"/>
        </w:rPr>
        <w:t> </w:t>
      </w:r>
      <w:r>
        <w:rPr>
          <w:color w:val="363434"/>
          <w:w w:val="110"/>
          <w:sz w:val="24"/>
        </w:rPr>
        <w:t>pay</w:t>
      </w:r>
      <w:r>
        <w:rPr>
          <w:color w:val="363434"/>
          <w:spacing w:val="-21"/>
          <w:w w:val="110"/>
          <w:sz w:val="24"/>
        </w:rPr>
        <w:t> </w:t>
      </w:r>
      <w:r>
        <w:rPr>
          <w:color w:val="363434"/>
          <w:w w:val="110"/>
          <w:sz w:val="24"/>
        </w:rPr>
        <w:t>attention</w:t>
      </w:r>
      <w:r>
        <w:rPr>
          <w:color w:val="363434"/>
          <w:spacing w:val="-3"/>
          <w:w w:val="110"/>
          <w:sz w:val="24"/>
        </w:rPr>
        <w:t> </w:t>
      </w:r>
      <w:r>
        <w:rPr>
          <w:color w:val="363434"/>
          <w:w w:val="110"/>
          <w:sz w:val="24"/>
        </w:rPr>
        <w:t>to</w:t>
      </w:r>
      <w:r>
        <w:rPr>
          <w:color w:val="363434"/>
          <w:spacing w:val="-15"/>
          <w:w w:val="110"/>
          <w:sz w:val="24"/>
        </w:rPr>
        <w:t> </w:t>
      </w:r>
      <w:r>
        <w:rPr>
          <w:color w:val="363434"/>
          <w:w w:val="110"/>
          <w:sz w:val="24"/>
        </w:rPr>
        <w:t>sentence</w:t>
      </w:r>
      <w:r>
        <w:rPr>
          <w:color w:val="363434"/>
          <w:spacing w:val="-63"/>
          <w:w w:val="110"/>
          <w:sz w:val="24"/>
        </w:rPr>
        <w:t> </w:t>
      </w:r>
      <w:r>
        <w:rPr>
          <w:color w:val="363434"/>
          <w:w w:val="110"/>
          <w:sz w:val="24"/>
        </w:rPr>
        <w:t>structure,</w:t>
      </w:r>
      <w:r>
        <w:rPr>
          <w:color w:val="363434"/>
          <w:spacing w:val="25"/>
          <w:w w:val="110"/>
          <w:sz w:val="24"/>
        </w:rPr>
        <w:t> </w:t>
      </w:r>
      <w:r>
        <w:rPr>
          <w:color w:val="363434"/>
          <w:w w:val="110"/>
          <w:sz w:val="24"/>
        </w:rPr>
        <w:t>grammar,</w:t>
      </w:r>
      <w:r>
        <w:rPr>
          <w:color w:val="363434"/>
          <w:spacing w:val="29"/>
          <w:w w:val="110"/>
          <w:sz w:val="24"/>
        </w:rPr>
        <w:t> </w:t>
      </w:r>
      <w:r>
        <w:rPr>
          <w:color w:val="363434"/>
          <w:w w:val="110"/>
          <w:sz w:val="24"/>
        </w:rPr>
        <w:t>citation</w:t>
      </w:r>
      <w:r>
        <w:rPr>
          <w:color w:val="363434"/>
          <w:spacing w:val="25"/>
          <w:w w:val="110"/>
          <w:sz w:val="24"/>
        </w:rPr>
        <w:t> </w:t>
      </w:r>
      <w:r>
        <w:rPr>
          <w:color w:val="363434"/>
          <w:w w:val="110"/>
          <w:sz w:val="24"/>
        </w:rPr>
        <w:t>form,</w:t>
      </w:r>
      <w:r>
        <w:rPr>
          <w:color w:val="363434"/>
          <w:spacing w:val="18"/>
          <w:w w:val="110"/>
          <w:sz w:val="24"/>
        </w:rPr>
        <w:t> </w:t>
      </w:r>
      <w:r>
        <w:rPr>
          <w:color w:val="363434"/>
          <w:w w:val="110"/>
          <w:sz w:val="24"/>
        </w:rPr>
        <w:t>and</w:t>
      </w:r>
      <w:r>
        <w:rPr>
          <w:color w:val="363434"/>
          <w:spacing w:val="49"/>
          <w:w w:val="110"/>
          <w:sz w:val="24"/>
        </w:rPr>
        <w:t> </w:t>
      </w:r>
      <w:r>
        <w:rPr>
          <w:color w:val="363434"/>
          <w:w w:val="110"/>
          <w:sz w:val="24"/>
        </w:rPr>
        <w:t>format</w:t>
      </w:r>
      <w:r>
        <w:rPr>
          <w:color w:val="363434"/>
          <w:spacing w:val="27"/>
          <w:w w:val="110"/>
          <w:sz w:val="24"/>
        </w:rPr>
        <w:t> </w:t>
      </w:r>
      <w:r>
        <w:rPr>
          <w:color w:val="363434"/>
          <w:w w:val="110"/>
          <w:sz w:val="24"/>
        </w:rPr>
        <w:t>details</w:t>
      </w:r>
      <w:r>
        <w:rPr>
          <w:color w:val="363434"/>
          <w:spacing w:val="20"/>
          <w:w w:val="110"/>
          <w:sz w:val="24"/>
        </w:rPr>
        <w:t> </w:t>
      </w:r>
      <w:r>
        <w:rPr>
          <w:color w:val="363434"/>
          <w:w w:val="110"/>
          <w:sz w:val="24"/>
        </w:rPr>
        <w:t>so</w:t>
      </w:r>
      <w:r>
        <w:rPr>
          <w:color w:val="363434"/>
          <w:spacing w:val="28"/>
          <w:w w:val="110"/>
          <w:sz w:val="24"/>
        </w:rPr>
        <w:t> </w:t>
      </w:r>
      <w:r>
        <w:rPr>
          <w:color w:val="363434"/>
          <w:w w:val="110"/>
          <w:sz w:val="24"/>
        </w:rPr>
        <w:t>that</w:t>
      </w:r>
      <w:r>
        <w:rPr>
          <w:color w:val="363434"/>
          <w:spacing w:val="18"/>
          <w:w w:val="110"/>
          <w:sz w:val="24"/>
        </w:rPr>
        <w:t> </w:t>
      </w:r>
      <w:r>
        <w:rPr>
          <w:color w:val="363434"/>
          <w:w w:val="110"/>
          <w:sz w:val="24"/>
        </w:rPr>
        <w:t>you</w:t>
      </w:r>
      <w:r>
        <w:rPr>
          <w:color w:val="363434"/>
          <w:spacing w:val="-25"/>
          <w:w w:val="110"/>
          <w:sz w:val="24"/>
        </w:rPr>
        <w:t> </w:t>
      </w:r>
      <w:r>
        <w:rPr>
          <w:color w:val="363434"/>
          <w:w w:val="110"/>
          <w:sz w:val="24"/>
        </w:rPr>
        <w:t>create</w:t>
      </w:r>
    </w:p>
    <w:p>
      <w:pPr>
        <w:spacing w:after="0" w:line="225" w:lineRule="auto"/>
        <w:jc w:val="both"/>
        <w:rPr>
          <w:sz w:val="24"/>
        </w:rPr>
        <w:sectPr>
          <w:pgSz w:w="9610" w:h="13810"/>
          <w:pgMar w:header="444" w:footer="0" w:top="820" w:bottom="280" w:left="480" w:right="11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62.996094pt;margin-top:662.471375pt;width:20.8pt;height:41.5pt;mso-position-horizontal-relative:page;mso-position-vertical-relative:page;z-index:15729664" type="#_x0000_t202" id="docshape36" filled="false" stroked="false">
            <v:textbox inset="0,0,0,0">
              <w:txbxContent>
                <w:p>
                  <w:pPr>
                    <w:spacing w:line="829" w:lineRule="exact" w:before="0"/>
                    <w:ind w:left="0" w:right="0" w:firstLine="0"/>
                    <w:jc w:val="left"/>
                    <w:rPr>
                      <w:rFonts w:ascii="Arial"/>
                      <w:sz w:val="74"/>
                    </w:rPr>
                  </w:pPr>
                  <w:r>
                    <w:rPr>
                      <w:rFonts w:ascii="Arial"/>
                      <w:color w:val="383636"/>
                      <w:w w:val="80"/>
                      <w:sz w:val="74"/>
                    </w:rPr>
                    <w:t>--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235" w:lineRule="auto" w:before="224"/>
        <w:ind w:left="682" w:right="254" w:firstLine="2"/>
        <w:jc w:val="both"/>
      </w:pPr>
      <w:r>
        <w:rPr>
          <w:color w:val="383636"/>
          <w:w w:val="110"/>
        </w:rPr>
        <w:t>a final draft that is complete, well structured, and free from distracting</w:t>
      </w:r>
      <w:r>
        <w:rPr>
          <w:color w:val="383636"/>
          <w:spacing w:val="1"/>
          <w:w w:val="110"/>
        </w:rPr>
        <w:t> </w:t>
      </w:r>
      <w:r>
        <w:rPr>
          <w:color w:val="383636"/>
          <w:spacing w:val="-1"/>
          <w:w w:val="110"/>
        </w:rPr>
        <w:t>technical</w:t>
      </w:r>
      <w:r>
        <w:rPr>
          <w:color w:val="383636"/>
          <w:spacing w:val="-3"/>
          <w:w w:val="110"/>
        </w:rPr>
        <w:t> </w:t>
      </w:r>
      <w:r>
        <w:rPr>
          <w:color w:val="383636"/>
          <w:spacing w:val="-1"/>
          <w:w w:val="110"/>
        </w:rPr>
        <w:t>errors.</w:t>
      </w:r>
      <w:r>
        <w:rPr>
          <w:color w:val="383636"/>
          <w:spacing w:val="-19"/>
          <w:w w:val="110"/>
        </w:rPr>
        <w:t> </w:t>
      </w:r>
      <w:r>
        <w:rPr>
          <w:color w:val="383636"/>
          <w:spacing w:val="-1"/>
          <w:w w:val="110"/>
        </w:rPr>
        <w:t>Chapter</w:t>
      </w:r>
      <w:r>
        <w:rPr>
          <w:color w:val="383636"/>
          <w:spacing w:val="-16"/>
          <w:w w:val="110"/>
        </w:rPr>
        <w:t> </w:t>
      </w:r>
      <w:r>
        <w:rPr>
          <w:color w:val="383636"/>
          <w:w w:val="110"/>
        </w:rPr>
        <w:t>Twelve will</w:t>
      </w:r>
      <w:r>
        <w:rPr>
          <w:color w:val="383636"/>
          <w:spacing w:val="-12"/>
          <w:w w:val="110"/>
        </w:rPr>
        <w:t> </w:t>
      </w:r>
      <w:r>
        <w:rPr>
          <w:color w:val="383636"/>
          <w:w w:val="110"/>
        </w:rPr>
        <w:t>give</w:t>
      </w:r>
      <w:r>
        <w:rPr>
          <w:color w:val="383636"/>
          <w:spacing w:val="-19"/>
          <w:w w:val="110"/>
        </w:rPr>
        <w:t> </w:t>
      </w:r>
      <w:r>
        <w:rPr>
          <w:color w:val="383636"/>
          <w:w w:val="110"/>
        </w:rPr>
        <w:t>you</w:t>
      </w:r>
      <w:r>
        <w:rPr>
          <w:color w:val="383636"/>
          <w:spacing w:val="-6"/>
          <w:w w:val="110"/>
        </w:rPr>
        <w:t> </w:t>
      </w:r>
      <w:r>
        <w:rPr>
          <w:color w:val="383636"/>
          <w:w w:val="110"/>
        </w:rPr>
        <w:t>guidance</w:t>
      </w:r>
      <w:r>
        <w:rPr>
          <w:color w:val="383636"/>
          <w:spacing w:val="-6"/>
          <w:w w:val="110"/>
        </w:rPr>
        <w:t> </w:t>
      </w:r>
      <w:r>
        <w:rPr>
          <w:color w:val="383636"/>
          <w:w w:val="110"/>
        </w:rPr>
        <w:t>on</w:t>
      </w:r>
      <w:r>
        <w:rPr>
          <w:color w:val="383636"/>
          <w:spacing w:val="6"/>
          <w:w w:val="110"/>
        </w:rPr>
        <w:t> </w:t>
      </w:r>
      <w:r>
        <w:rPr>
          <w:color w:val="383636"/>
          <w:w w:val="110"/>
        </w:rPr>
        <w:t>objective</w:t>
      </w:r>
      <w:r>
        <w:rPr>
          <w:color w:val="383636"/>
          <w:spacing w:val="-15"/>
          <w:w w:val="110"/>
        </w:rPr>
        <w:t> </w:t>
      </w:r>
      <w:r>
        <w:rPr>
          <w:color w:val="383636"/>
          <w:w w:val="110"/>
        </w:rPr>
        <w:t>tech­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niques</w:t>
      </w:r>
      <w:r>
        <w:rPr>
          <w:color w:val="383636"/>
          <w:spacing w:val="-15"/>
          <w:w w:val="110"/>
        </w:rPr>
        <w:t> </w:t>
      </w:r>
      <w:r>
        <w:rPr>
          <w:color w:val="383636"/>
          <w:w w:val="110"/>
        </w:rPr>
        <w:t>you</w:t>
      </w:r>
      <w:r>
        <w:rPr>
          <w:color w:val="383636"/>
          <w:spacing w:val="-14"/>
          <w:w w:val="110"/>
        </w:rPr>
        <w:t> </w:t>
      </w:r>
      <w:r>
        <w:rPr>
          <w:color w:val="383636"/>
          <w:w w:val="110"/>
        </w:rPr>
        <w:t>can</w:t>
      </w:r>
      <w:r>
        <w:rPr>
          <w:color w:val="383636"/>
          <w:spacing w:val="11"/>
          <w:w w:val="110"/>
        </w:rPr>
        <w:t> </w:t>
      </w:r>
      <w:r>
        <w:rPr>
          <w:color w:val="383636"/>
          <w:w w:val="110"/>
        </w:rPr>
        <w:t>use</w:t>
      </w:r>
      <w:r>
        <w:rPr>
          <w:color w:val="383636"/>
          <w:spacing w:val="-8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11"/>
          <w:w w:val="110"/>
        </w:rPr>
        <w:t> </w:t>
      </w:r>
      <w:r>
        <w:rPr>
          <w:color w:val="383636"/>
          <w:w w:val="110"/>
        </w:rPr>
        <w:t>make</w:t>
      </w:r>
      <w:r>
        <w:rPr>
          <w:color w:val="383636"/>
          <w:spacing w:val="-13"/>
          <w:w w:val="110"/>
        </w:rPr>
        <w:t> </w:t>
      </w:r>
      <w:r>
        <w:rPr>
          <w:color w:val="383636"/>
          <w:w w:val="110"/>
        </w:rPr>
        <w:t>your</w:t>
      </w:r>
      <w:r>
        <w:rPr>
          <w:color w:val="383636"/>
          <w:spacing w:val="-12"/>
          <w:w w:val="110"/>
        </w:rPr>
        <w:t> </w:t>
      </w:r>
      <w:r>
        <w:rPr>
          <w:color w:val="383636"/>
          <w:w w:val="110"/>
        </w:rPr>
        <w:t>document</w:t>
      </w:r>
      <w:r>
        <w:rPr>
          <w:color w:val="383636"/>
          <w:spacing w:val="7"/>
          <w:w w:val="110"/>
        </w:rPr>
        <w:t> </w:t>
      </w:r>
      <w:r>
        <w:rPr>
          <w:color w:val="383636"/>
          <w:w w:val="110"/>
        </w:rPr>
        <w:t>error-free.</w:t>
      </w:r>
    </w:p>
    <w:p>
      <w:pPr>
        <w:pStyle w:val="BodyText"/>
        <w:spacing w:line="232" w:lineRule="auto" w:before="4"/>
        <w:ind w:left="662" w:right="247" w:firstLine="382"/>
        <w:jc w:val="both"/>
      </w:pPr>
      <w:r>
        <w:rPr>
          <w:color w:val="383636"/>
          <w:spacing w:val="-1"/>
          <w:w w:val="110"/>
        </w:rPr>
        <w:t>Even</w:t>
      </w:r>
      <w:r>
        <w:rPr>
          <w:color w:val="383636"/>
          <w:spacing w:val="-7"/>
          <w:w w:val="110"/>
        </w:rPr>
        <w:t> </w:t>
      </w:r>
      <w:r>
        <w:rPr>
          <w:color w:val="383636"/>
          <w:spacing w:val="-1"/>
          <w:w w:val="110"/>
        </w:rPr>
        <w:t>before</w:t>
      </w:r>
      <w:r>
        <w:rPr>
          <w:color w:val="383636"/>
          <w:spacing w:val="-11"/>
          <w:w w:val="110"/>
        </w:rPr>
        <w:t> </w:t>
      </w:r>
      <w:r>
        <w:rPr>
          <w:color w:val="383636"/>
          <w:spacing w:val="-1"/>
          <w:w w:val="110"/>
        </w:rPr>
        <w:t>you</w:t>
      </w:r>
      <w:r>
        <w:rPr>
          <w:color w:val="383636"/>
          <w:spacing w:val="3"/>
          <w:w w:val="110"/>
        </w:rPr>
        <w:t> </w:t>
      </w:r>
      <w:r>
        <w:rPr>
          <w:color w:val="383636"/>
          <w:spacing w:val="-1"/>
          <w:w w:val="110"/>
        </w:rPr>
        <w:t>are</w:t>
      </w:r>
      <w:r>
        <w:rPr>
          <w:color w:val="383636"/>
          <w:w w:val="110"/>
        </w:rPr>
        <w:t> </w:t>
      </w:r>
      <w:r>
        <w:rPr>
          <w:color w:val="383636"/>
          <w:spacing w:val="-1"/>
          <w:w w:val="110"/>
        </w:rPr>
        <w:t>finished</w:t>
      </w:r>
      <w:r>
        <w:rPr>
          <w:color w:val="383636"/>
          <w:spacing w:val="-12"/>
          <w:w w:val="110"/>
        </w:rPr>
        <w:t> </w:t>
      </w:r>
      <w:r>
        <w:rPr>
          <w:color w:val="383636"/>
          <w:w w:val="110"/>
        </w:rPr>
        <w:t>writing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9"/>
          <w:w w:val="110"/>
        </w:rPr>
        <w:t> </w:t>
      </w:r>
      <w:r>
        <w:rPr>
          <w:color w:val="383636"/>
          <w:w w:val="110"/>
        </w:rPr>
        <w:t>brief,</w:t>
      </w:r>
      <w:r>
        <w:rPr>
          <w:color w:val="383636"/>
          <w:spacing w:val="-10"/>
          <w:w w:val="110"/>
        </w:rPr>
        <w:t> </w:t>
      </w:r>
      <w:r>
        <w:rPr>
          <w:color w:val="383636"/>
          <w:w w:val="110"/>
        </w:rPr>
        <w:t>you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should</w:t>
      </w:r>
      <w:r>
        <w:rPr>
          <w:color w:val="383636"/>
          <w:spacing w:val="-1"/>
          <w:w w:val="110"/>
        </w:rPr>
        <w:t> </w:t>
      </w:r>
      <w:r>
        <w:rPr>
          <w:color w:val="383636"/>
          <w:w w:val="110"/>
        </w:rPr>
        <w:t>be</w:t>
      </w:r>
      <w:r>
        <w:rPr>
          <w:color w:val="383636"/>
          <w:spacing w:val="-22"/>
          <w:w w:val="110"/>
        </w:rPr>
        <w:t> </w:t>
      </w:r>
      <w:r>
        <w:rPr>
          <w:color w:val="383636"/>
          <w:w w:val="110"/>
        </w:rPr>
        <w:t>consider­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ing the oral argument. Of course, the brief, in large measure, will dictate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 oral argument, but a practice oral argument can also help you to write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your brief. You may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want to hold a moot court while you are still writing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the brief, perhaps even while you are working on the first draft of your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argument. Preparing for an oral as opposed to a written presentation will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force you to confront your issues and arguments from a different point of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view. As you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argue, you may realize the strengths of certain arguments and</w:t>
      </w:r>
      <w:r>
        <w:rPr>
          <w:color w:val="383636"/>
          <w:spacing w:val="1"/>
          <w:w w:val="105"/>
        </w:rPr>
        <w:t> </w:t>
      </w:r>
      <w:r>
        <w:rPr>
          <w:color w:val="383636"/>
          <w:spacing w:val="-1"/>
          <w:w w:val="110"/>
        </w:rPr>
        <w:t>the weaknesses of others. The </w:t>
      </w:r>
      <w:r>
        <w:rPr>
          <w:color w:val="383636"/>
          <w:w w:val="110"/>
        </w:rPr>
        <w:t>process can result in significant substantive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or structural changes in your written product. Chapter Thirteen gives you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advice</w:t>
      </w:r>
      <w:r>
        <w:rPr>
          <w:color w:val="383636"/>
          <w:spacing w:val="-36"/>
          <w:w w:val="110"/>
        </w:rPr>
        <w:t> </w:t>
      </w:r>
      <w:r>
        <w:rPr>
          <w:color w:val="383636"/>
          <w:w w:val="110"/>
        </w:rPr>
        <w:t>on</w:t>
      </w:r>
      <w:r>
        <w:rPr>
          <w:color w:val="383636"/>
          <w:spacing w:val="14"/>
          <w:w w:val="110"/>
        </w:rPr>
        <w:t> </w:t>
      </w:r>
      <w:r>
        <w:rPr>
          <w:color w:val="383636"/>
          <w:w w:val="110"/>
        </w:rPr>
        <w:t>preparing</w:t>
      </w:r>
      <w:r>
        <w:rPr>
          <w:color w:val="383636"/>
          <w:spacing w:val="-30"/>
          <w:w w:val="110"/>
        </w:rPr>
        <w:t> </w:t>
      </w:r>
      <w:r>
        <w:rPr>
          <w:color w:val="383636"/>
          <w:w w:val="110"/>
        </w:rPr>
        <w:t>an</w:t>
      </w:r>
      <w:r>
        <w:rPr>
          <w:color w:val="383636"/>
          <w:spacing w:val="-5"/>
          <w:w w:val="110"/>
        </w:rPr>
        <w:t> </w:t>
      </w:r>
      <w:r>
        <w:rPr>
          <w:color w:val="383636"/>
          <w:w w:val="110"/>
        </w:rPr>
        <w:t>effective</w:t>
      </w:r>
      <w:r>
        <w:rPr>
          <w:color w:val="383636"/>
          <w:spacing w:val="-27"/>
          <w:w w:val="110"/>
        </w:rPr>
        <w:t> </w:t>
      </w:r>
      <w:r>
        <w:rPr>
          <w:color w:val="383636"/>
          <w:w w:val="110"/>
        </w:rPr>
        <w:t>oralargument;</w:t>
      </w:r>
      <w:r>
        <w:rPr>
          <w:color w:val="383636"/>
          <w:spacing w:val="-18"/>
          <w:w w:val="110"/>
        </w:rPr>
        <w:t> </w:t>
      </w:r>
      <w:r>
        <w:rPr>
          <w:color w:val="383636"/>
          <w:w w:val="110"/>
        </w:rPr>
        <w:t>Chapter</w:t>
      </w:r>
      <w:r>
        <w:rPr>
          <w:color w:val="383636"/>
          <w:spacing w:val="-23"/>
          <w:w w:val="110"/>
        </w:rPr>
        <w:t> </w:t>
      </w:r>
      <w:r>
        <w:rPr>
          <w:color w:val="383636"/>
          <w:w w:val="110"/>
        </w:rPr>
        <w:t>Fourteen</w:t>
      </w:r>
      <w:r>
        <w:rPr>
          <w:color w:val="383636"/>
          <w:spacing w:val="-25"/>
          <w:w w:val="110"/>
        </w:rPr>
        <w:t> </w:t>
      </w:r>
      <w:r>
        <w:rPr>
          <w:color w:val="383636"/>
          <w:w w:val="110"/>
        </w:rPr>
        <w:t>addresses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using</w:t>
      </w:r>
      <w:r>
        <w:rPr>
          <w:color w:val="383636"/>
          <w:spacing w:val="-18"/>
          <w:w w:val="110"/>
        </w:rPr>
        <w:t> </w:t>
      </w:r>
      <w:r>
        <w:rPr>
          <w:color w:val="383636"/>
          <w:w w:val="110"/>
        </w:rPr>
        <w:t>oral</w:t>
      </w:r>
      <w:r>
        <w:rPr>
          <w:color w:val="383636"/>
          <w:spacing w:val="-12"/>
          <w:w w:val="110"/>
        </w:rPr>
        <w:t> </w:t>
      </w:r>
      <w:r>
        <w:rPr>
          <w:color w:val="383636"/>
          <w:w w:val="110"/>
        </w:rPr>
        <w:t>argument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and</w:t>
      </w:r>
      <w:r>
        <w:rPr>
          <w:color w:val="383636"/>
          <w:spacing w:val="24"/>
          <w:w w:val="110"/>
        </w:rPr>
        <w:t> </w:t>
      </w:r>
      <w:r>
        <w:rPr>
          <w:color w:val="383636"/>
          <w:w w:val="110"/>
        </w:rPr>
        <w:t>brief-writing</w:t>
      </w:r>
      <w:r>
        <w:rPr>
          <w:color w:val="383636"/>
          <w:spacing w:val="4"/>
          <w:w w:val="110"/>
        </w:rPr>
        <w:t> </w:t>
      </w:r>
      <w:r>
        <w:rPr>
          <w:color w:val="383636"/>
          <w:w w:val="110"/>
        </w:rPr>
        <w:t>skills</w:t>
      </w:r>
      <w:r>
        <w:rPr>
          <w:color w:val="383636"/>
          <w:spacing w:val="-9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36"/>
          <w:w w:val="110"/>
        </w:rPr>
        <w:t> </w:t>
      </w:r>
      <w:r>
        <w:rPr>
          <w:color w:val="383636"/>
          <w:w w:val="110"/>
        </w:rPr>
        <w:t>moot</w:t>
      </w:r>
      <w:r>
        <w:rPr>
          <w:color w:val="383636"/>
          <w:spacing w:val="-1"/>
          <w:w w:val="110"/>
        </w:rPr>
        <w:t> </w:t>
      </w:r>
      <w:r>
        <w:rPr>
          <w:color w:val="383636"/>
          <w:w w:val="110"/>
        </w:rPr>
        <w:t>court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competitions.</w:t>
      </w:r>
    </w:p>
    <w:p>
      <w:pPr>
        <w:pStyle w:val="BodyText"/>
        <w:spacing w:line="235" w:lineRule="auto" w:before="10"/>
        <w:ind w:left="691" w:right="265" w:firstLine="375"/>
        <w:jc w:val="both"/>
      </w:pPr>
      <w:r>
        <w:rPr>
          <w:color w:val="383636"/>
          <w:w w:val="110"/>
        </w:rPr>
        <w:t>As you work on all of these tasks, you might keep in mind one of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Aesop's lesser-known fables, about an argument between the sun and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wind:</w:t>
      </w:r>
    </w:p>
    <w:p>
      <w:pPr>
        <w:spacing w:line="240" w:lineRule="auto" w:before="113"/>
        <w:ind w:left="988" w:right="618" w:firstLine="64"/>
        <w:jc w:val="both"/>
        <w:rPr>
          <w:sz w:val="21"/>
        </w:rPr>
      </w:pPr>
      <w:r>
        <w:rPr>
          <w:color w:val="383636"/>
          <w:spacing w:val="-1"/>
          <w:w w:val="110"/>
          <w:sz w:val="21"/>
        </w:rPr>
        <w:t>The Wind and </w:t>
      </w:r>
      <w:r>
        <w:rPr>
          <w:color w:val="383636"/>
          <w:w w:val="110"/>
          <w:sz w:val="21"/>
        </w:rPr>
        <w:t>the Sun were disputing which was the stronger. Suddenly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spacing w:val="-1"/>
          <w:w w:val="110"/>
          <w:sz w:val="21"/>
        </w:rPr>
        <w:t>they </w:t>
      </w:r>
      <w:r>
        <w:rPr>
          <w:color w:val="383636"/>
          <w:w w:val="110"/>
          <w:sz w:val="21"/>
        </w:rPr>
        <w:t>saw a traveler coming down the road, and the Sun said: </w:t>
      </w:r>
      <w:r>
        <w:rPr>
          <w:color w:val="4B4B4D"/>
          <w:w w:val="110"/>
          <w:sz w:val="21"/>
        </w:rPr>
        <w:t>"l see </w:t>
      </w:r>
      <w:r>
        <w:rPr>
          <w:color w:val="383636"/>
          <w:w w:val="110"/>
          <w:sz w:val="21"/>
        </w:rPr>
        <w:t>a way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spacing w:val="-1"/>
          <w:w w:val="110"/>
          <w:sz w:val="21"/>
        </w:rPr>
        <w:t>to decide our dispute. </w:t>
      </w:r>
      <w:r>
        <w:rPr>
          <w:color w:val="383636"/>
          <w:w w:val="110"/>
          <w:sz w:val="21"/>
        </w:rPr>
        <w:t>Whichever of us can cause that traveler to take off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05"/>
          <w:sz w:val="21"/>
        </w:rPr>
        <w:t>his cloak shaJJ be regarded as the stronger. You begin." So the Sun retired</w:t>
      </w:r>
      <w:r>
        <w:rPr>
          <w:color w:val="383636"/>
          <w:spacing w:val="1"/>
          <w:w w:val="105"/>
          <w:sz w:val="21"/>
        </w:rPr>
        <w:t> </w:t>
      </w:r>
      <w:r>
        <w:rPr>
          <w:color w:val="383636"/>
          <w:w w:val="110"/>
          <w:sz w:val="21"/>
        </w:rPr>
        <w:t>behind a cloud, and the Wind began to blow as hard as it could upon the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05"/>
          <w:sz w:val="21"/>
        </w:rPr>
        <w:t>traveler. But the</w:t>
      </w:r>
      <w:r>
        <w:rPr>
          <w:color w:val="383636"/>
          <w:spacing w:val="1"/>
          <w:w w:val="105"/>
          <w:sz w:val="21"/>
        </w:rPr>
        <w:t> </w:t>
      </w:r>
      <w:r>
        <w:rPr>
          <w:color w:val="383636"/>
          <w:w w:val="105"/>
          <w:sz w:val="21"/>
        </w:rPr>
        <w:t>harder he blew the more closely did the traveler wrap his</w:t>
      </w:r>
      <w:r>
        <w:rPr>
          <w:color w:val="383636"/>
          <w:spacing w:val="1"/>
          <w:w w:val="105"/>
          <w:sz w:val="21"/>
        </w:rPr>
        <w:t> </w:t>
      </w:r>
      <w:r>
        <w:rPr>
          <w:color w:val="383636"/>
          <w:spacing w:val="-1"/>
          <w:w w:val="110"/>
          <w:sz w:val="21"/>
        </w:rPr>
        <w:t>cloak round </w:t>
      </w:r>
      <w:r>
        <w:rPr>
          <w:color w:val="383636"/>
          <w:w w:val="110"/>
          <w:sz w:val="21"/>
        </w:rPr>
        <w:t>him, till at last the Wind had to give up in despair. Then the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Sun came out and shone in all his glory upon the traveler, who, finding it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too</w:t>
      </w:r>
      <w:r>
        <w:rPr>
          <w:color w:val="383636"/>
          <w:spacing w:val="9"/>
          <w:w w:val="110"/>
          <w:sz w:val="21"/>
        </w:rPr>
        <w:t> </w:t>
      </w:r>
      <w:r>
        <w:rPr>
          <w:color w:val="383636"/>
          <w:w w:val="110"/>
          <w:sz w:val="21"/>
        </w:rPr>
        <w:t>hot</w:t>
      </w:r>
      <w:r>
        <w:rPr>
          <w:color w:val="383636"/>
          <w:spacing w:val="28"/>
          <w:w w:val="110"/>
          <w:sz w:val="21"/>
        </w:rPr>
        <w:t> </w:t>
      </w:r>
      <w:r>
        <w:rPr>
          <w:color w:val="383636"/>
          <w:w w:val="110"/>
          <w:sz w:val="21"/>
        </w:rPr>
        <w:t>to</w:t>
      </w:r>
      <w:r>
        <w:rPr>
          <w:color w:val="383636"/>
          <w:spacing w:val="12"/>
          <w:w w:val="110"/>
          <w:sz w:val="21"/>
        </w:rPr>
        <w:t> </w:t>
      </w:r>
      <w:r>
        <w:rPr>
          <w:color w:val="383636"/>
          <w:w w:val="110"/>
          <w:sz w:val="21"/>
        </w:rPr>
        <w:t>walk</w:t>
      </w:r>
      <w:r>
        <w:rPr>
          <w:color w:val="383636"/>
          <w:spacing w:val="-2"/>
          <w:w w:val="110"/>
          <w:sz w:val="21"/>
        </w:rPr>
        <w:t> </w:t>
      </w:r>
      <w:r>
        <w:rPr>
          <w:color w:val="383636"/>
          <w:w w:val="110"/>
          <w:sz w:val="21"/>
        </w:rPr>
        <w:t>with</w:t>
      </w:r>
      <w:r>
        <w:rPr>
          <w:color w:val="383636"/>
          <w:spacing w:val="-6"/>
          <w:w w:val="110"/>
          <w:sz w:val="21"/>
        </w:rPr>
        <w:t> </w:t>
      </w:r>
      <w:r>
        <w:rPr>
          <w:color w:val="383636"/>
          <w:w w:val="110"/>
          <w:sz w:val="21"/>
        </w:rPr>
        <w:t>his</w:t>
      </w:r>
      <w:r>
        <w:rPr>
          <w:color w:val="383636"/>
          <w:spacing w:val="-2"/>
          <w:w w:val="110"/>
          <w:sz w:val="21"/>
        </w:rPr>
        <w:t> </w:t>
      </w:r>
      <w:r>
        <w:rPr>
          <w:color w:val="383636"/>
          <w:w w:val="110"/>
          <w:sz w:val="21"/>
        </w:rPr>
        <w:t>cloak</w:t>
      </w:r>
      <w:r>
        <w:rPr>
          <w:color w:val="383636"/>
          <w:spacing w:val="-6"/>
          <w:w w:val="110"/>
          <w:sz w:val="21"/>
        </w:rPr>
        <w:t> </w:t>
      </w:r>
      <w:r>
        <w:rPr>
          <w:color w:val="383636"/>
          <w:w w:val="110"/>
          <w:sz w:val="21"/>
        </w:rPr>
        <w:t>on,</w:t>
      </w:r>
      <w:r>
        <w:rPr>
          <w:color w:val="383636"/>
          <w:spacing w:val="23"/>
          <w:w w:val="110"/>
          <w:sz w:val="21"/>
        </w:rPr>
        <w:t> </w:t>
      </w:r>
      <w:r>
        <w:rPr>
          <w:color w:val="383636"/>
          <w:w w:val="110"/>
          <w:sz w:val="21"/>
        </w:rPr>
        <w:t>soon</w:t>
      </w:r>
      <w:r>
        <w:rPr>
          <w:color w:val="383636"/>
          <w:spacing w:val="-7"/>
          <w:w w:val="110"/>
          <w:sz w:val="21"/>
        </w:rPr>
        <w:t> </w:t>
      </w:r>
      <w:r>
        <w:rPr>
          <w:color w:val="383636"/>
          <w:w w:val="110"/>
          <w:sz w:val="21"/>
        </w:rPr>
        <w:t>took</w:t>
      </w:r>
      <w:r>
        <w:rPr>
          <w:color w:val="383636"/>
          <w:spacing w:val="-7"/>
          <w:w w:val="110"/>
          <w:sz w:val="21"/>
        </w:rPr>
        <w:t> </w:t>
      </w:r>
      <w:r>
        <w:rPr>
          <w:color w:val="383636"/>
          <w:w w:val="110"/>
          <w:sz w:val="21"/>
        </w:rPr>
        <w:t>it off.</w:t>
      </w:r>
    </w:p>
    <w:p>
      <w:pPr>
        <w:pStyle w:val="BodyText"/>
        <w:spacing w:line="237" w:lineRule="auto" w:before="130"/>
        <w:ind w:left="547" w:right="284" w:firstLine="409"/>
        <w:jc w:val="both"/>
      </w:pPr>
      <w:r>
        <w:rPr>
          <w:color w:val="383636"/>
          <w:w w:val="110"/>
        </w:rPr>
        <w:t>The moral of this fable is that "kindness effects more than severity,"</w:t>
      </w:r>
      <w:r>
        <w:rPr>
          <w:color w:val="383636"/>
          <w:w w:val="110"/>
          <w:vertAlign w:val="superscript"/>
        </w:rPr>
        <w:t>14</w:t>
      </w:r>
      <w:r>
        <w:rPr>
          <w:color w:val="383636"/>
          <w:spacing w:val="1"/>
          <w:w w:val="110"/>
          <w:vertAlign w:val="baseline"/>
        </w:rPr>
        <w:t> </w:t>
      </w:r>
      <w:r>
        <w:rPr>
          <w:color w:val="383636"/>
          <w:w w:val="115"/>
          <w:vertAlign w:val="baseline"/>
        </w:rPr>
        <w:t>or, to put it another way, "you catch more flies with honey than with</w:t>
      </w:r>
      <w:r>
        <w:rPr>
          <w:color w:val="383636"/>
          <w:spacing w:val="1"/>
          <w:w w:val="115"/>
          <w:vertAlign w:val="baseline"/>
        </w:rPr>
        <w:t> </w:t>
      </w:r>
      <w:r>
        <w:rPr>
          <w:color w:val="383636"/>
          <w:spacing w:val="-1"/>
          <w:w w:val="110"/>
          <w:vertAlign w:val="baseline"/>
        </w:rPr>
        <w:t>vinegar." </w:t>
      </w:r>
      <w:r>
        <w:rPr>
          <w:color w:val="383636"/>
          <w:w w:val="110"/>
          <w:vertAlign w:val="baseline"/>
        </w:rPr>
        <w:t>Like the sun and</w:t>
      </w:r>
      <w:r>
        <w:rPr>
          <w:color w:val="383636"/>
          <w:spacing w:val="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the wind, you are trying to get someone to do</w:t>
      </w:r>
      <w:r>
        <w:rPr>
          <w:color w:val="383636"/>
          <w:spacing w:val="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something when you act as an advocate. To be most effective as an advo­</w:t>
      </w:r>
      <w:r>
        <w:rPr>
          <w:color w:val="383636"/>
          <w:spacing w:val="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cate, however, you must be both the sun </w:t>
      </w:r>
      <w:r>
        <w:rPr>
          <w:rFonts w:ascii="Arial" w:hAnsi="Arial"/>
          <w:i/>
          <w:color w:val="383636"/>
          <w:w w:val="110"/>
          <w:sz w:val="21"/>
          <w:vertAlign w:val="baseline"/>
        </w:rPr>
        <w:t>and </w:t>
      </w:r>
      <w:r>
        <w:rPr>
          <w:color w:val="383636"/>
          <w:w w:val="110"/>
          <w:vertAlign w:val="baseline"/>
        </w:rPr>
        <w:t>the wind. As the</w:t>
      </w:r>
      <w:r>
        <w:rPr>
          <w:color w:val="383636"/>
          <w:spacing w:val="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wind, you</w:t>
      </w:r>
      <w:r>
        <w:rPr>
          <w:color w:val="383636"/>
          <w:spacing w:val="1"/>
          <w:w w:val="110"/>
          <w:vertAlign w:val="baseline"/>
        </w:rPr>
        <w:t> </w:t>
      </w:r>
      <w:r>
        <w:rPr>
          <w:color w:val="383636"/>
          <w:w w:val="115"/>
          <w:vertAlign w:val="baseline"/>
        </w:rPr>
        <w:t>use the law and the facts to show the court that it </w:t>
      </w:r>
      <w:r>
        <w:rPr>
          <w:i/>
          <w:color w:val="383636"/>
          <w:w w:val="115"/>
          <w:vertAlign w:val="baseline"/>
        </w:rPr>
        <w:t>must </w:t>
      </w:r>
      <w:r>
        <w:rPr>
          <w:color w:val="383636"/>
          <w:w w:val="115"/>
          <w:vertAlign w:val="baseline"/>
        </w:rPr>
        <w:t>reach a decision</w:t>
      </w:r>
      <w:r>
        <w:rPr>
          <w:color w:val="383636"/>
          <w:spacing w:val="1"/>
          <w:w w:val="115"/>
          <w:vertAlign w:val="baseline"/>
        </w:rPr>
        <w:t> </w:t>
      </w:r>
      <w:r>
        <w:rPr>
          <w:color w:val="383636"/>
          <w:w w:val="110"/>
          <w:vertAlign w:val="baseline"/>
        </w:rPr>
        <w:t>in your client's favor. As the</w:t>
      </w:r>
      <w:r>
        <w:rPr>
          <w:color w:val="383636"/>
          <w:spacing w:val="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sun, you use persuasive writing techniques to</w:t>
      </w:r>
      <w:r>
        <w:rPr>
          <w:color w:val="383636"/>
          <w:spacing w:val="-6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help</w:t>
      </w:r>
      <w:r>
        <w:rPr>
          <w:color w:val="383636"/>
          <w:spacing w:val="-5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the court</w:t>
      </w:r>
      <w:r>
        <w:rPr>
          <w:color w:val="383636"/>
          <w:spacing w:val="-4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realize</w:t>
      </w:r>
      <w:r>
        <w:rPr>
          <w:color w:val="383636"/>
          <w:spacing w:val="-2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that</w:t>
      </w:r>
      <w:r>
        <w:rPr>
          <w:color w:val="383636"/>
          <w:spacing w:val="-1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it</w:t>
      </w:r>
      <w:r>
        <w:rPr>
          <w:color w:val="383636"/>
          <w:spacing w:val="7"/>
          <w:w w:val="110"/>
          <w:vertAlign w:val="baseline"/>
        </w:rPr>
        <w:t> </w:t>
      </w:r>
      <w:r>
        <w:rPr>
          <w:i/>
          <w:color w:val="383636"/>
          <w:w w:val="110"/>
          <w:vertAlign w:val="baseline"/>
        </w:rPr>
        <w:t>wants</w:t>
      </w:r>
      <w:r>
        <w:rPr>
          <w:i/>
          <w:color w:val="383636"/>
          <w:spacing w:val="3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to</w:t>
      </w:r>
      <w:r>
        <w:rPr>
          <w:color w:val="383636"/>
          <w:spacing w:val="2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reach</w:t>
      </w:r>
      <w:r>
        <w:rPr>
          <w:color w:val="383636"/>
          <w:spacing w:val="12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that</w:t>
      </w:r>
      <w:r>
        <w:rPr>
          <w:color w:val="383636"/>
          <w:spacing w:val="-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decision.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1"/>
          <w:numId w:val="20"/>
        </w:numPr>
        <w:tabs>
          <w:tab w:pos="939" w:val="left" w:leader="none"/>
        </w:tabs>
        <w:spacing w:line="205" w:lineRule="exact" w:before="0" w:after="0"/>
        <w:ind w:left="938" w:right="0" w:hanging="107"/>
        <w:jc w:val="left"/>
        <w:rPr>
          <w:b/>
          <w:sz w:val="18"/>
        </w:rPr>
      </w:pPr>
      <w:hyperlink r:id="rId37">
        <w:r>
          <w:rPr>
            <w:color w:val="383636"/>
            <w:w w:val="105"/>
            <w:sz w:val="19"/>
          </w:rPr>
          <w:t>http://aesopfables.com/cgt/aesopl.cgl?srch&amp;fabl/TheWlndandtheSun</w:t>
        </w:r>
        <w:r>
          <w:rPr>
            <w:color w:val="383636"/>
            <w:spacing w:val="-5"/>
            <w:w w:val="105"/>
            <w:sz w:val="19"/>
          </w:rPr>
          <w:t> </w:t>
        </w:r>
      </w:hyperlink>
      <w:r>
        <w:rPr>
          <w:color w:val="383636"/>
          <w:w w:val="105"/>
          <w:sz w:val="19"/>
        </w:rPr>
        <w:t>(last</w:t>
      </w:r>
      <w:r>
        <w:rPr>
          <w:color w:val="383636"/>
          <w:spacing w:val="-11"/>
          <w:w w:val="105"/>
          <w:sz w:val="19"/>
        </w:rPr>
        <w:t> </w:t>
      </w:r>
      <w:r>
        <w:rPr>
          <w:color w:val="383636"/>
          <w:w w:val="105"/>
          <w:sz w:val="19"/>
        </w:rPr>
        <w:t>visited</w:t>
      </w:r>
      <w:r>
        <w:rPr>
          <w:color w:val="383636"/>
          <w:spacing w:val="-8"/>
          <w:w w:val="105"/>
          <w:sz w:val="19"/>
        </w:rPr>
        <w:t> </w:t>
      </w:r>
      <w:r>
        <w:rPr>
          <w:color w:val="383636"/>
          <w:w w:val="105"/>
          <w:sz w:val="19"/>
        </w:rPr>
        <w:t>Oct.</w:t>
      </w:r>
      <w:r>
        <w:rPr>
          <w:color w:val="383636"/>
          <w:spacing w:val="-12"/>
          <w:w w:val="105"/>
          <w:sz w:val="19"/>
        </w:rPr>
        <w:t> </w:t>
      </w:r>
      <w:r>
        <w:rPr>
          <w:b/>
          <w:color w:val="383636"/>
          <w:w w:val="105"/>
          <w:sz w:val="18"/>
        </w:rPr>
        <w:t>14,</w:t>
      </w:r>
    </w:p>
    <w:p>
      <w:pPr>
        <w:spacing w:line="194" w:lineRule="exact" w:before="0"/>
        <w:ind w:left="409" w:right="0" w:firstLine="0"/>
        <w:jc w:val="left"/>
        <w:rPr>
          <w:sz w:val="18"/>
        </w:rPr>
      </w:pPr>
      <w:r>
        <w:rPr>
          <w:color w:val="383636"/>
          <w:w w:val="115"/>
          <w:sz w:val="18"/>
        </w:rPr>
        <w:t>2013).</w:t>
      </w:r>
    </w:p>
    <w:p>
      <w:pPr>
        <w:spacing w:after="0" w:line="194" w:lineRule="exact"/>
        <w:jc w:val="left"/>
        <w:rPr>
          <w:sz w:val="18"/>
        </w:rPr>
        <w:sectPr>
          <w:headerReference w:type="even" r:id="rId35"/>
          <w:headerReference w:type="default" r:id="rId36"/>
          <w:pgSz w:w="9840" w:h="13790"/>
          <w:pgMar w:header="424" w:footer="0" w:top="700" w:bottom="0" w:left="1360" w:right="40"/>
          <w:pgNumType w:start="10"/>
        </w:sectPr>
      </w:pPr>
    </w:p>
    <w:p>
      <w:pPr>
        <w:spacing w:before="80"/>
        <w:ind w:left="718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383638"/>
          <w:w w:val="110"/>
          <w:sz w:val="32"/>
        </w:rPr>
        <w:t>1.5</w:t>
      </w:r>
    </w:p>
    <w:p>
      <w:pPr>
        <w:spacing w:before="66"/>
        <w:ind w:left="710" w:right="0" w:firstLine="0"/>
        <w:jc w:val="left"/>
        <w:rPr>
          <w:b/>
          <w:sz w:val="28"/>
        </w:rPr>
      </w:pPr>
      <w:r>
        <w:rPr>
          <w:b/>
          <w:color w:val="383638"/>
          <w:sz w:val="28"/>
        </w:rPr>
        <w:t>SUMM</w:t>
      </w:r>
      <w:r>
        <w:rPr>
          <w:b/>
          <w:color w:val="606062"/>
          <w:sz w:val="28"/>
        </w:rPr>
        <w:t>AR</w:t>
      </w:r>
      <w:r>
        <w:rPr>
          <w:b/>
          <w:color w:val="383638"/>
          <w:sz w:val="28"/>
        </w:rPr>
        <w:t>Y</w:t>
      </w:r>
    </w:p>
    <w:p>
      <w:pPr>
        <w:pStyle w:val="BodyText"/>
        <w:spacing w:line="235" w:lineRule="auto" w:before="239"/>
        <w:ind w:left="119" w:right="109" w:firstLine="621"/>
        <w:jc w:val="both"/>
      </w:pPr>
      <w:r>
        <w:rPr>
          <w:color w:val="383638"/>
          <w:w w:val="110"/>
        </w:rPr>
        <w:t>People read and use briefs in a different way than they do books or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newspapers, and brief writers should write in a way that takes audience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5"/>
        </w:rPr>
        <w:t>needs into account. No process can guarantee a perfect result, but it is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practical to use a process that requires you to focus your attention on cer­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tain aspects of the document at the appropriate time. Just as you probably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would not paint the trim of a house before deciding what color to paint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the walls, you should not fuss with grammar problems and format con­</w:t>
      </w:r>
      <w:r>
        <w:rPr>
          <w:color w:val="383638"/>
          <w:spacing w:val="1"/>
          <w:w w:val="115"/>
        </w:rPr>
        <w:t> </w:t>
      </w:r>
      <w:r>
        <w:rPr>
          <w:color w:val="383638"/>
          <w:spacing w:val="-1"/>
          <w:w w:val="115"/>
        </w:rPr>
        <w:t>cerns before you have decided which authorities </w:t>
      </w:r>
      <w:r>
        <w:rPr>
          <w:color w:val="383638"/>
          <w:w w:val="115"/>
        </w:rPr>
        <w:t>and arguments will be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05"/>
        </w:rPr>
        <w:t>most effective in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your case. By following an effective writing process, you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5"/>
        </w:rPr>
        <w:t>help to ensure that-given theinevitable limitations of the law, the facts,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and</w:t>
      </w:r>
      <w:r>
        <w:rPr>
          <w:color w:val="383638"/>
          <w:spacing w:val="23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12"/>
          <w:w w:val="115"/>
        </w:rPr>
        <w:t> </w:t>
      </w:r>
      <w:r>
        <w:rPr>
          <w:color w:val="383638"/>
          <w:w w:val="115"/>
        </w:rPr>
        <w:t>deadlines-you</w:t>
      </w:r>
      <w:r>
        <w:rPr>
          <w:color w:val="383638"/>
          <w:spacing w:val="14"/>
          <w:w w:val="115"/>
        </w:rPr>
        <w:t> </w:t>
      </w:r>
      <w:r>
        <w:rPr>
          <w:color w:val="383638"/>
          <w:w w:val="115"/>
        </w:rPr>
        <w:t>will</w:t>
      </w:r>
      <w:r>
        <w:rPr>
          <w:color w:val="383638"/>
          <w:spacing w:val="-9"/>
          <w:w w:val="115"/>
        </w:rPr>
        <w:t> </w:t>
      </w:r>
      <w:r>
        <w:rPr>
          <w:color w:val="383638"/>
          <w:w w:val="115"/>
        </w:rPr>
        <w:t>submit</w:t>
      </w:r>
      <w:r>
        <w:rPr>
          <w:color w:val="383638"/>
          <w:spacing w:val="-4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9"/>
          <w:w w:val="115"/>
        </w:rPr>
        <w:t> </w:t>
      </w:r>
      <w:r>
        <w:rPr>
          <w:color w:val="383638"/>
          <w:w w:val="115"/>
        </w:rPr>
        <w:t>best</w:t>
      </w:r>
      <w:r>
        <w:rPr>
          <w:color w:val="383638"/>
          <w:spacing w:val="-4"/>
          <w:w w:val="115"/>
        </w:rPr>
        <w:t> </w:t>
      </w:r>
      <w:r>
        <w:rPr>
          <w:color w:val="383638"/>
          <w:w w:val="115"/>
        </w:rPr>
        <w:t>brief</w:t>
      </w:r>
      <w:r>
        <w:rPr>
          <w:color w:val="383638"/>
          <w:spacing w:val="13"/>
          <w:w w:val="115"/>
        </w:rPr>
        <w:t> </w:t>
      </w:r>
      <w:r>
        <w:rPr>
          <w:color w:val="383638"/>
          <w:w w:val="115"/>
        </w:rPr>
        <w:t>possible.</w:t>
      </w:r>
    </w:p>
    <w:p>
      <w:pPr>
        <w:spacing w:after="0" w:line="235" w:lineRule="auto"/>
        <w:jc w:val="both"/>
        <w:sectPr>
          <w:pgSz w:w="9640" w:h="13750"/>
          <w:pgMar w:header="501" w:footer="0" w:top="1040" w:bottom="280" w:left="480" w:right="1340"/>
        </w:sectPr>
      </w:pPr>
    </w:p>
    <w:p>
      <w:pPr>
        <w:spacing w:before="81"/>
        <w:ind w:left="0" w:right="104" w:firstLine="0"/>
        <w:jc w:val="right"/>
        <w:rPr>
          <w:rFonts w:ascii="Arial"/>
          <w:sz w:val="18"/>
        </w:rPr>
      </w:pPr>
      <w:r>
        <w:rPr>
          <w:rFonts w:ascii="Arial"/>
          <w:color w:val="3B3A3B"/>
          <w:w w:val="110"/>
          <w:sz w:val="18"/>
        </w:rPr>
        <w:t>13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9"/>
        </w:rPr>
      </w:pPr>
    </w:p>
    <w:p>
      <w:pPr>
        <w:spacing w:after="0"/>
        <w:rPr>
          <w:rFonts w:ascii="Arial"/>
          <w:sz w:val="29"/>
        </w:rPr>
        <w:sectPr>
          <w:headerReference w:type="even" r:id="rId38"/>
          <w:pgSz w:w="9580" w:h="13840"/>
          <w:pgMar w:header="0" w:footer="0" w:top="420" w:bottom="280" w:left="460" w:right="680"/>
        </w:sectPr>
      </w:pPr>
    </w:p>
    <w:p>
      <w:pPr>
        <w:spacing w:line="520" w:lineRule="exact" w:before="76"/>
        <w:ind w:left="188" w:right="0" w:firstLine="0"/>
        <w:jc w:val="left"/>
        <w:rPr>
          <w:sz w:val="61"/>
        </w:rPr>
      </w:pPr>
      <w:r>
        <w:rPr/>
        <w:pict>
          <v:shape style="position:absolute;margin-left:34.863029pt;margin-top:2.366417pt;width:4.850pt;height:9pt;mso-position-horizontal-relative:page;mso-position-vertical-relative:paragraph;z-index:-21608960" type="#_x0000_t202" id="docshape37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A2628"/>
                      <w:w w:val="108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i/>
          <w:color w:val="3B3A3B"/>
          <w:spacing w:val="-38"/>
          <w:w w:val="80"/>
          <w:position w:val="13"/>
          <w:sz w:val="41"/>
        </w:rPr>
        <w:t>i</w:t>
      </w:r>
      <w:r>
        <w:rPr>
          <w:color w:val="3B3A3B"/>
          <w:spacing w:val="-38"/>
          <w:w w:val="80"/>
          <w:sz w:val="61"/>
        </w:rPr>
        <w:t>..</w:t>
      </w:r>
    </w:p>
    <w:p>
      <w:pPr>
        <w:spacing w:line="534" w:lineRule="exact" w:before="0"/>
        <w:ind w:left="195" w:right="0" w:firstLine="0"/>
        <w:jc w:val="left"/>
        <w:rPr>
          <w:sz w:val="65"/>
        </w:rPr>
      </w:pPr>
      <w:r>
        <w:rPr>
          <w:color w:val="3B3A3B"/>
          <w:w w:val="60"/>
          <w:sz w:val="65"/>
        </w:rPr>
        <w:t>i</w:t>
      </w:r>
    </w:p>
    <w:p>
      <w:pPr>
        <w:spacing w:line="359" w:lineRule="exact" w:before="0"/>
        <w:ind w:left="181" w:right="0" w:firstLine="0"/>
        <w:jc w:val="left"/>
        <w:rPr>
          <w:rFonts w:ascii="Arial"/>
          <w:sz w:val="34"/>
        </w:rPr>
      </w:pPr>
      <w:r>
        <w:rPr>
          <w:rFonts w:ascii="Arial"/>
          <w:color w:val="3B3A3B"/>
          <w:w w:val="102"/>
          <w:sz w:val="34"/>
        </w:rPr>
        <w:t>0</w:t>
      </w:r>
    </w:p>
    <w:p>
      <w:pPr>
        <w:spacing w:line="240" w:lineRule="auto" w:before="2"/>
        <w:rPr>
          <w:rFonts w:ascii="Arial"/>
          <w:sz w:val="56"/>
        </w:rPr>
      </w:pPr>
      <w:r>
        <w:rPr/>
        <w:br w:type="column"/>
      </w:r>
      <w:r>
        <w:rPr>
          <w:rFonts w:ascii="Arial"/>
          <w:sz w:val="56"/>
        </w:rPr>
      </w:r>
    </w:p>
    <w:p>
      <w:pPr>
        <w:spacing w:before="0"/>
        <w:ind w:left="181" w:right="0" w:firstLine="0"/>
        <w:jc w:val="left"/>
        <w:rPr>
          <w:rFonts w:ascii="Arial"/>
          <w:sz w:val="40"/>
        </w:rPr>
      </w:pPr>
      <w:r>
        <w:rPr>
          <w:rFonts w:ascii="Arial"/>
          <w:color w:val="6B6B6E"/>
          <w:w w:val="105"/>
          <w:sz w:val="37"/>
        </w:rPr>
        <w:t>APPELLATE</w:t>
      </w:r>
      <w:r>
        <w:rPr>
          <w:rFonts w:ascii="Arial"/>
          <w:color w:val="6B6B6E"/>
          <w:spacing w:val="13"/>
          <w:w w:val="105"/>
          <w:sz w:val="37"/>
        </w:rPr>
        <w:t> </w:t>
      </w:r>
      <w:r>
        <w:rPr>
          <w:rFonts w:ascii="Arial"/>
          <w:color w:val="6B6B6E"/>
          <w:w w:val="105"/>
          <w:sz w:val="40"/>
        </w:rPr>
        <w:t>JUR</w:t>
      </w:r>
      <w:r>
        <w:rPr>
          <w:rFonts w:ascii="Arial"/>
          <w:color w:val="6B6B6E"/>
          <w:spacing w:val="-13"/>
          <w:w w:val="105"/>
          <w:sz w:val="40"/>
        </w:rPr>
        <w:t> </w:t>
      </w:r>
      <w:r>
        <w:rPr>
          <w:rFonts w:ascii="Arial"/>
          <w:color w:val="6B6B6E"/>
          <w:w w:val="105"/>
          <w:sz w:val="40"/>
        </w:rPr>
        <w:t>SDIC</w:t>
      </w:r>
      <w:r>
        <w:rPr>
          <w:rFonts w:ascii="Arial"/>
          <w:color w:val="525254"/>
          <w:w w:val="105"/>
          <w:sz w:val="40"/>
        </w:rPr>
        <w:t>T</w:t>
      </w:r>
      <w:r>
        <w:rPr>
          <w:rFonts w:ascii="Arial"/>
          <w:color w:val="6B6B6E"/>
          <w:w w:val="105"/>
          <w:sz w:val="40"/>
        </w:rPr>
        <w:t>ION</w:t>
      </w:r>
      <w:r>
        <w:rPr>
          <w:rFonts w:ascii="Arial"/>
          <w:color w:val="6B6B6E"/>
          <w:spacing w:val="19"/>
          <w:w w:val="105"/>
          <w:sz w:val="40"/>
        </w:rPr>
        <w:t> </w:t>
      </w:r>
      <w:r>
        <w:rPr>
          <w:rFonts w:ascii="Arial"/>
          <w:color w:val="6B6B6E"/>
          <w:w w:val="105"/>
          <w:sz w:val="40"/>
        </w:rPr>
        <w:t>AND</w:t>
      </w:r>
    </w:p>
    <w:p>
      <w:pPr>
        <w:spacing w:before="52"/>
        <w:ind w:left="194" w:right="0" w:firstLine="0"/>
        <w:jc w:val="left"/>
        <w:rPr>
          <w:rFonts w:ascii="Arial"/>
          <w:sz w:val="37"/>
        </w:rPr>
      </w:pPr>
      <w:r>
        <w:rPr>
          <w:color w:val="6B6B6E"/>
          <w:w w:val="105"/>
          <w:sz w:val="40"/>
        </w:rPr>
        <w:t>S</w:t>
      </w:r>
      <w:r>
        <w:rPr>
          <w:color w:val="525254"/>
          <w:w w:val="105"/>
          <w:sz w:val="40"/>
        </w:rPr>
        <w:t>T</w:t>
      </w:r>
      <w:r>
        <w:rPr>
          <w:color w:val="6B6B6E"/>
          <w:w w:val="105"/>
          <w:sz w:val="40"/>
        </w:rPr>
        <w:t>ANDARDS</w:t>
      </w:r>
      <w:r>
        <w:rPr>
          <w:color w:val="6B6B6E"/>
          <w:spacing w:val="36"/>
          <w:w w:val="105"/>
          <w:sz w:val="40"/>
        </w:rPr>
        <w:t> </w:t>
      </w:r>
      <w:r>
        <w:rPr>
          <w:color w:val="6B6B6E"/>
          <w:w w:val="105"/>
          <w:sz w:val="40"/>
        </w:rPr>
        <w:t>OF</w:t>
      </w:r>
      <w:r>
        <w:rPr>
          <w:color w:val="6B6B6E"/>
          <w:spacing w:val="36"/>
          <w:w w:val="105"/>
          <w:sz w:val="40"/>
        </w:rPr>
        <w:t> </w:t>
      </w:r>
      <w:r>
        <w:rPr>
          <w:rFonts w:ascii="Arial"/>
          <w:color w:val="6B6B6E"/>
          <w:w w:val="105"/>
          <w:sz w:val="37"/>
        </w:rPr>
        <w:t>REV</w:t>
      </w:r>
      <w:r>
        <w:rPr>
          <w:rFonts w:ascii="Arial"/>
          <w:color w:val="6B6B6E"/>
          <w:spacing w:val="3"/>
          <w:w w:val="105"/>
          <w:sz w:val="37"/>
        </w:rPr>
        <w:t> </w:t>
      </w:r>
      <w:r>
        <w:rPr>
          <w:rFonts w:ascii="Arial"/>
          <w:color w:val="6B6B6E"/>
          <w:w w:val="105"/>
          <w:sz w:val="37"/>
        </w:rPr>
        <w:t>E.W</w:t>
      </w:r>
    </w:p>
    <w:p>
      <w:pPr>
        <w:pStyle w:val="BodyText"/>
        <w:spacing w:before="5"/>
        <w:rPr>
          <w:rFonts w:ascii="Arial"/>
          <w:sz w:val="57"/>
        </w:rPr>
      </w:pPr>
    </w:p>
    <w:p>
      <w:pPr>
        <w:pStyle w:val="ListParagraph"/>
        <w:numPr>
          <w:ilvl w:val="1"/>
          <w:numId w:val="21"/>
        </w:numPr>
        <w:tabs>
          <w:tab w:pos="698" w:val="left" w:leader="none"/>
        </w:tabs>
        <w:spacing w:line="233" w:lineRule="exact" w:before="0" w:after="0"/>
        <w:ind w:left="697" w:right="0" w:hanging="484"/>
        <w:jc w:val="left"/>
        <w:rPr>
          <w:rFonts w:ascii="Arial"/>
          <w:b/>
          <w:color w:val="3B3A3B"/>
          <w:sz w:val="21"/>
        </w:rPr>
      </w:pPr>
      <w:r>
        <w:rPr>
          <w:color w:val="3B3A3B"/>
          <w:w w:val="105"/>
          <w:sz w:val="21"/>
        </w:rPr>
        <w:t>Jurisdiction</w:t>
      </w:r>
      <w:r>
        <w:rPr>
          <w:color w:val="3B3A3B"/>
          <w:spacing w:val="32"/>
          <w:w w:val="105"/>
          <w:sz w:val="21"/>
        </w:rPr>
        <w:t> </w:t>
      </w:r>
      <w:r>
        <w:rPr>
          <w:color w:val="3B3A3B"/>
          <w:w w:val="105"/>
          <w:sz w:val="21"/>
        </w:rPr>
        <w:t>in</w:t>
      </w:r>
      <w:r>
        <w:rPr>
          <w:color w:val="3B3A3B"/>
          <w:spacing w:val="28"/>
          <w:w w:val="105"/>
          <w:sz w:val="21"/>
        </w:rPr>
        <w:t> </w:t>
      </w:r>
      <w:r>
        <w:rPr>
          <w:color w:val="3B3A3B"/>
          <w:w w:val="105"/>
          <w:sz w:val="21"/>
        </w:rPr>
        <w:t>Courts</w:t>
      </w:r>
      <w:r>
        <w:rPr>
          <w:color w:val="3B3A3B"/>
          <w:spacing w:val="-7"/>
          <w:w w:val="105"/>
          <w:sz w:val="21"/>
        </w:rPr>
        <w:t> </w:t>
      </w:r>
      <w:r>
        <w:rPr>
          <w:color w:val="3B3A3B"/>
          <w:w w:val="105"/>
          <w:sz w:val="21"/>
        </w:rPr>
        <w:t>of</w:t>
      </w:r>
      <w:r>
        <w:rPr>
          <w:color w:val="3B3A3B"/>
          <w:spacing w:val="28"/>
          <w:w w:val="105"/>
          <w:sz w:val="21"/>
        </w:rPr>
        <w:t> </w:t>
      </w:r>
      <w:r>
        <w:rPr>
          <w:color w:val="3B3A3B"/>
          <w:w w:val="105"/>
          <w:sz w:val="21"/>
        </w:rPr>
        <w:t>Last</w:t>
      </w:r>
      <w:r>
        <w:rPr>
          <w:color w:val="3B3A3B"/>
          <w:spacing w:val="6"/>
          <w:w w:val="105"/>
          <w:sz w:val="21"/>
        </w:rPr>
        <w:t> </w:t>
      </w:r>
      <w:r>
        <w:rPr>
          <w:color w:val="3B3A3B"/>
          <w:w w:val="105"/>
          <w:sz w:val="21"/>
        </w:rPr>
        <w:t>Resort</w:t>
      </w:r>
    </w:p>
    <w:p>
      <w:pPr>
        <w:pStyle w:val="ListParagraph"/>
        <w:numPr>
          <w:ilvl w:val="1"/>
          <w:numId w:val="21"/>
        </w:numPr>
        <w:tabs>
          <w:tab w:pos="698" w:val="left" w:leader="none"/>
        </w:tabs>
        <w:spacing w:line="237" w:lineRule="exact" w:before="0" w:after="0"/>
        <w:ind w:left="697" w:right="0" w:hanging="475"/>
        <w:jc w:val="left"/>
        <w:rPr>
          <w:b/>
          <w:color w:val="3B3A3B"/>
          <w:sz w:val="22"/>
        </w:rPr>
      </w:pPr>
      <w:r>
        <w:rPr>
          <w:color w:val="3B3A3B"/>
          <w:w w:val="110"/>
          <w:sz w:val="21"/>
        </w:rPr>
        <w:t>Juri</w:t>
      </w:r>
      <w:r>
        <w:rPr>
          <w:color w:val="525254"/>
          <w:w w:val="110"/>
          <w:sz w:val="21"/>
        </w:rPr>
        <w:t>s</w:t>
      </w:r>
      <w:r>
        <w:rPr>
          <w:color w:val="3B3A3B"/>
          <w:w w:val="110"/>
          <w:sz w:val="21"/>
        </w:rPr>
        <w:t>diction</w:t>
      </w:r>
      <w:r>
        <w:rPr>
          <w:color w:val="3B3A3B"/>
          <w:spacing w:val="17"/>
          <w:w w:val="110"/>
          <w:sz w:val="21"/>
        </w:rPr>
        <w:t> </w:t>
      </w:r>
      <w:r>
        <w:rPr>
          <w:color w:val="3B3A3B"/>
          <w:w w:val="110"/>
          <w:sz w:val="21"/>
        </w:rPr>
        <w:t>in</w:t>
      </w:r>
      <w:r>
        <w:rPr>
          <w:color w:val="3B3A3B"/>
          <w:spacing w:val="16"/>
          <w:w w:val="110"/>
          <w:sz w:val="21"/>
        </w:rPr>
        <w:t> </w:t>
      </w:r>
      <w:r>
        <w:rPr>
          <w:color w:val="3B3A3B"/>
          <w:w w:val="110"/>
          <w:sz w:val="21"/>
        </w:rPr>
        <w:t>Intermediate Courts</w:t>
      </w:r>
      <w:r>
        <w:rPr>
          <w:color w:val="3B3A3B"/>
          <w:spacing w:val="-17"/>
          <w:w w:val="110"/>
          <w:sz w:val="21"/>
        </w:rPr>
        <w:t> </w:t>
      </w:r>
      <w:r>
        <w:rPr>
          <w:color w:val="3B3A3B"/>
          <w:w w:val="110"/>
          <w:sz w:val="21"/>
        </w:rPr>
        <w:t>of</w:t>
      </w:r>
      <w:r>
        <w:rPr>
          <w:color w:val="3B3A3B"/>
          <w:spacing w:val="5"/>
          <w:w w:val="110"/>
          <w:sz w:val="21"/>
        </w:rPr>
        <w:t> </w:t>
      </w:r>
      <w:r>
        <w:rPr>
          <w:color w:val="3B3A3B"/>
          <w:w w:val="110"/>
          <w:sz w:val="21"/>
        </w:rPr>
        <w:t>Appeals</w:t>
      </w:r>
    </w:p>
    <w:p>
      <w:pPr>
        <w:pStyle w:val="ListParagraph"/>
        <w:numPr>
          <w:ilvl w:val="1"/>
          <w:numId w:val="21"/>
        </w:numPr>
        <w:tabs>
          <w:tab w:pos="720" w:val="left" w:leader="none"/>
        </w:tabs>
        <w:spacing w:line="241" w:lineRule="exact" w:before="0" w:after="0"/>
        <w:ind w:left="719" w:right="0" w:hanging="497"/>
        <w:jc w:val="left"/>
        <w:rPr>
          <w:b/>
          <w:color w:val="3B3A3B"/>
          <w:sz w:val="22"/>
        </w:rPr>
      </w:pPr>
      <w:r>
        <w:rPr>
          <w:color w:val="3B3A3B"/>
          <w:w w:val="105"/>
          <w:sz w:val="21"/>
        </w:rPr>
        <w:t>Appella</w:t>
      </w:r>
      <w:r>
        <w:rPr>
          <w:color w:val="525254"/>
          <w:w w:val="105"/>
          <w:sz w:val="21"/>
        </w:rPr>
        <w:t>t</w:t>
      </w:r>
      <w:r>
        <w:rPr>
          <w:color w:val="3B3A3B"/>
          <w:w w:val="105"/>
          <w:sz w:val="21"/>
        </w:rPr>
        <w:t>e</w:t>
      </w:r>
      <w:r>
        <w:rPr>
          <w:color w:val="3B3A3B"/>
          <w:spacing w:val="1"/>
          <w:w w:val="105"/>
          <w:sz w:val="21"/>
        </w:rPr>
        <w:t> </w:t>
      </w:r>
      <w:r>
        <w:rPr>
          <w:color w:val="3B3A3B"/>
          <w:w w:val="105"/>
          <w:sz w:val="21"/>
        </w:rPr>
        <w:t>Standards</w:t>
      </w:r>
      <w:r>
        <w:rPr>
          <w:color w:val="3B3A3B"/>
          <w:spacing w:val="-10"/>
          <w:w w:val="105"/>
          <w:sz w:val="21"/>
        </w:rPr>
        <w:t> </w:t>
      </w:r>
      <w:r>
        <w:rPr>
          <w:color w:val="3B3A3B"/>
          <w:w w:val="105"/>
          <w:sz w:val="21"/>
        </w:rPr>
        <w:t>of</w:t>
      </w:r>
      <w:r>
        <w:rPr>
          <w:color w:val="3B3A3B"/>
          <w:spacing w:val="26"/>
          <w:w w:val="105"/>
          <w:sz w:val="21"/>
        </w:rPr>
        <w:t> </w:t>
      </w:r>
      <w:r>
        <w:rPr>
          <w:color w:val="3B3A3B"/>
          <w:w w:val="105"/>
          <w:sz w:val="21"/>
        </w:rPr>
        <w:t>Review</w:t>
      </w:r>
    </w:p>
    <w:p>
      <w:pPr>
        <w:pStyle w:val="ListParagraph"/>
        <w:numPr>
          <w:ilvl w:val="2"/>
          <w:numId w:val="21"/>
        </w:numPr>
        <w:tabs>
          <w:tab w:pos="1421" w:val="left" w:leader="none"/>
          <w:tab w:pos="1422" w:val="left" w:leader="none"/>
        </w:tabs>
        <w:spacing w:line="235" w:lineRule="exact" w:before="0" w:after="0"/>
        <w:ind w:left="1421" w:right="0" w:hanging="697"/>
        <w:jc w:val="left"/>
        <w:rPr>
          <w:rFonts w:ascii="Arial"/>
          <w:b/>
          <w:color w:val="3B3A3B"/>
          <w:sz w:val="20"/>
        </w:rPr>
      </w:pPr>
      <w:r>
        <w:rPr>
          <w:color w:val="3B3A3B"/>
          <w:w w:val="105"/>
          <w:sz w:val="20"/>
        </w:rPr>
        <w:t>Purpose</w:t>
      </w:r>
      <w:r>
        <w:rPr>
          <w:color w:val="3B3A3B"/>
          <w:spacing w:val="-8"/>
          <w:w w:val="105"/>
          <w:sz w:val="20"/>
        </w:rPr>
        <w:t> </w:t>
      </w:r>
      <w:r>
        <w:rPr>
          <w:color w:val="3B3A3B"/>
          <w:w w:val="105"/>
          <w:sz w:val="20"/>
        </w:rPr>
        <w:t>and</w:t>
      </w:r>
      <w:r>
        <w:rPr>
          <w:color w:val="3B3A3B"/>
          <w:spacing w:val="47"/>
          <w:w w:val="105"/>
          <w:sz w:val="20"/>
        </w:rPr>
        <w:t> </w:t>
      </w:r>
      <w:r>
        <w:rPr>
          <w:color w:val="3B3A3B"/>
          <w:w w:val="105"/>
          <w:sz w:val="20"/>
        </w:rPr>
        <w:t>Meaning</w:t>
      </w:r>
      <w:r>
        <w:rPr>
          <w:color w:val="3B3A3B"/>
          <w:spacing w:val="-8"/>
          <w:w w:val="105"/>
          <w:sz w:val="20"/>
        </w:rPr>
        <w:t> </w:t>
      </w:r>
      <w:r>
        <w:rPr>
          <w:color w:val="3B3A3B"/>
          <w:w w:val="105"/>
          <w:sz w:val="21"/>
        </w:rPr>
        <w:t>of</w:t>
      </w:r>
      <w:r>
        <w:rPr>
          <w:color w:val="3B3A3B"/>
          <w:spacing w:val="27"/>
          <w:w w:val="105"/>
          <w:sz w:val="21"/>
        </w:rPr>
        <w:t> </w:t>
      </w:r>
      <w:r>
        <w:rPr>
          <w:color w:val="3B3A3B"/>
          <w:w w:val="105"/>
          <w:sz w:val="20"/>
        </w:rPr>
        <w:t>Appellate</w:t>
      </w:r>
      <w:r>
        <w:rPr>
          <w:color w:val="3B3A3B"/>
          <w:spacing w:val="-17"/>
          <w:w w:val="105"/>
          <w:sz w:val="20"/>
        </w:rPr>
        <w:t> </w:t>
      </w:r>
      <w:r>
        <w:rPr>
          <w:color w:val="3B3A3B"/>
          <w:w w:val="105"/>
          <w:sz w:val="20"/>
        </w:rPr>
        <w:t>Standards</w:t>
      </w:r>
      <w:r>
        <w:rPr>
          <w:color w:val="3B3A3B"/>
          <w:spacing w:val="5"/>
          <w:w w:val="105"/>
          <w:sz w:val="20"/>
        </w:rPr>
        <w:t> </w:t>
      </w:r>
      <w:r>
        <w:rPr>
          <w:color w:val="3B3A3B"/>
          <w:w w:val="105"/>
          <w:sz w:val="20"/>
        </w:rPr>
        <w:t>of</w:t>
      </w:r>
      <w:r>
        <w:rPr>
          <w:color w:val="3B3A3B"/>
          <w:spacing w:val="26"/>
          <w:w w:val="105"/>
          <w:sz w:val="20"/>
        </w:rPr>
        <w:t> </w:t>
      </w:r>
      <w:r>
        <w:rPr>
          <w:color w:val="3B3A3B"/>
          <w:w w:val="105"/>
          <w:sz w:val="20"/>
        </w:rPr>
        <w:t>Review</w:t>
      </w:r>
    </w:p>
    <w:p>
      <w:pPr>
        <w:pStyle w:val="ListParagraph"/>
        <w:numPr>
          <w:ilvl w:val="3"/>
          <w:numId w:val="21"/>
        </w:numPr>
        <w:tabs>
          <w:tab w:pos="1688" w:val="left" w:leader="none"/>
        </w:tabs>
        <w:spacing w:line="262" w:lineRule="exact" w:before="10" w:after="0"/>
        <w:ind w:left="1687" w:right="0" w:hanging="274"/>
        <w:jc w:val="left"/>
        <w:rPr>
          <w:b/>
          <w:color w:val="3B3A3B"/>
          <w:sz w:val="23"/>
        </w:rPr>
      </w:pPr>
      <w:r>
        <w:rPr>
          <w:color w:val="3B3A3B"/>
          <w:w w:val="105"/>
          <w:sz w:val="20"/>
        </w:rPr>
        <w:t>Clearly</w:t>
      </w:r>
      <w:r>
        <w:rPr>
          <w:color w:val="3B3A3B"/>
          <w:spacing w:val="23"/>
          <w:w w:val="105"/>
          <w:sz w:val="20"/>
        </w:rPr>
        <w:t> </w:t>
      </w:r>
      <w:r>
        <w:rPr>
          <w:color w:val="3B3A3B"/>
          <w:w w:val="105"/>
          <w:sz w:val="20"/>
        </w:rPr>
        <w:t>Erroneous</w:t>
      </w:r>
    </w:p>
    <w:p>
      <w:pPr>
        <w:pStyle w:val="ListParagraph"/>
        <w:numPr>
          <w:ilvl w:val="3"/>
          <w:numId w:val="21"/>
        </w:numPr>
        <w:tabs>
          <w:tab w:pos="1702" w:val="left" w:leader="none"/>
        </w:tabs>
        <w:spacing w:line="250" w:lineRule="exact" w:before="0" w:after="0"/>
        <w:ind w:left="1701" w:right="0" w:hanging="282"/>
        <w:jc w:val="left"/>
        <w:rPr>
          <w:b/>
          <w:color w:val="3B3A3B"/>
          <w:sz w:val="22"/>
        </w:rPr>
      </w:pPr>
      <w:r>
        <w:rPr>
          <w:color w:val="3B3A3B"/>
          <w:w w:val="105"/>
          <w:sz w:val="20"/>
        </w:rPr>
        <w:t>De</w:t>
      </w:r>
      <w:r>
        <w:rPr>
          <w:color w:val="3B3A3B"/>
          <w:spacing w:val="-12"/>
          <w:w w:val="105"/>
          <w:sz w:val="20"/>
        </w:rPr>
        <w:t> </w:t>
      </w:r>
      <w:r>
        <w:rPr>
          <w:color w:val="3B3A3B"/>
          <w:w w:val="105"/>
          <w:sz w:val="21"/>
        </w:rPr>
        <w:t>Novo</w:t>
      </w:r>
    </w:p>
    <w:p>
      <w:pPr>
        <w:pStyle w:val="ListParagraph"/>
        <w:numPr>
          <w:ilvl w:val="3"/>
          <w:numId w:val="21"/>
        </w:numPr>
        <w:tabs>
          <w:tab w:pos="1694" w:val="left" w:leader="none"/>
        </w:tabs>
        <w:spacing w:line="263" w:lineRule="exact" w:before="0" w:after="0"/>
        <w:ind w:left="1693" w:right="0" w:hanging="278"/>
        <w:jc w:val="left"/>
        <w:rPr>
          <w:b/>
          <w:color w:val="3B3A3B"/>
          <w:sz w:val="23"/>
        </w:rPr>
      </w:pPr>
      <w:r>
        <w:rPr>
          <w:color w:val="3B3A3B"/>
          <w:w w:val="105"/>
          <w:sz w:val="20"/>
        </w:rPr>
        <w:t>Abu</w:t>
      </w:r>
      <w:r>
        <w:rPr>
          <w:color w:val="525254"/>
          <w:w w:val="105"/>
          <w:sz w:val="20"/>
        </w:rPr>
        <w:t>s</w:t>
      </w:r>
      <w:r>
        <w:rPr>
          <w:color w:val="3B3A3B"/>
          <w:w w:val="105"/>
          <w:sz w:val="20"/>
        </w:rPr>
        <w:t>e</w:t>
      </w:r>
      <w:r>
        <w:rPr>
          <w:color w:val="3B3A3B"/>
          <w:spacing w:val="-4"/>
          <w:w w:val="105"/>
          <w:sz w:val="20"/>
        </w:rPr>
        <w:t> </w:t>
      </w:r>
      <w:r>
        <w:rPr>
          <w:color w:val="3B3A3B"/>
          <w:w w:val="105"/>
          <w:sz w:val="20"/>
        </w:rPr>
        <w:t>of</w:t>
      </w:r>
      <w:r>
        <w:rPr>
          <w:color w:val="3B3A3B"/>
          <w:spacing w:val="15"/>
          <w:w w:val="105"/>
          <w:sz w:val="20"/>
        </w:rPr>
        <w:t> </w:t>
      </w:r>
      <w:r>
        <w:rPr>
          <w:color w:val="3B3A3B"/>
          <w:w w:val="105"/>
          <w:sz w:val="20"/>
        </w:rPr>
        <w:t>Discre</w:t>
      </w:r>
      <w:r>
        <w:rPr>
          <w:color w:val="525254"/>
          <w:w w:val="105"/>
          <w:sz w:val="20"/>
        </w:rPr>
        <w:t>ti</w:t>
      </w:r>
      <w:r>
        <w:rPr>
          <w:color w:val="3B3A3B"/>
          <w:w w:val="105"/>
          <w:sz w:val="20"/>
        </w:rPr>
        <w:t>on</w:t>
      </w:r>
    </w:p>
    <w:p>
      <w:pPr>
        <w:pStyle w:val="ListParagraph"/>
        <w:numPr>
          <w:ilvl w:val="3"/>
          <w:numId w:val="21"/>
        </w:numPr>
        <w:tabs>
          <w:tab w:pos="1698" w:val="left" w:leader="none"/>
        </w:tabs>
        <w:spacing w:line="240" w:lineRule="auto" w:before="5" w:after="0"/>
        <w:ind w:left="1697" w:right="0" w:hanging="282"/>
        <w:jc w:val="left"/>
        <w:rPr>
          <w:b/>
          <w:color w:val="3B3A3B"/>
          <w:sz w:val="22"/>
        </w:rPr>
      </w:pPr>
      <w:r>
        <w:rPr>
          <w:color w:val="3B3A3B"/>
          <w:spacing w:val="-1"/>
          <w:w w:val="110"/>
          <w:sz w:val="20"/>
        </w:rPr>
        <w:t>Other</w:t>
      </w:r>
      <w:r>
        <w:rPr>
          <w:color w:val="3B3A3B"/>
          <w:spacing w:val="2"/>
          <w:w w:val="110"/>
          <w:sz w:val="20"/>
        </w:rPr>
        <w:t> </w:t>
      </w:r>
      <w:r>
        <w:rPr>
          <w:color w:val="3B3A3B"/>
          <w:w w:val="110"/>
          <w:sz w:val="20"/>
        </w:rPr>
        <w:t>Appellate</w:t>
      </w:r>
      <w:r>
        <w:rPr>
          <w:color w:val="3B3A3B"/>
          <w:spacing w:val="-24"/>
          <w:w w:val="110"/>
          <w:sz w:val="20"/>
        </w:rPr>
        <w:t> </w:t>
      </w:r>
      <w:r>
        <w:rPr>
          <w:color w:val="3B3A3B"/>
          <w:w w:val="110"/>
          <w:sz w:val="20"/>
        </w:rPr>
        <w:t>Standards</w:t>
      </w:r>
    </w:p>
    <w:p>
      <w:pPr>
        <w:pStyle w:val="ListParagraph"/>
        <w:numPr>
          <w:ilvl w:val="2"/>
          <w:numId w:val="21"/>
        </w:numPr>
        <w:tabs>
          <w:tab w:pos="1429" w:val="left" w:leader="none"/>
          <w:tab w:pos="1430" w:val="left" w:leader="none"/>
        </w:tabs>
        <w:spacing w:line="240" w:lineRule="auto" w:before="6" w:after="0"/>
        <w:ind w:left="1429" w:right="0" w:hanging="705"/>
        <w:jc w:val="left"/>
        <w:rPr>
          <w:rFonts w:ascii="Arial"/>
          <w:b/>
          <w:color w:val="3B3A3B"/>
          <w:sz w:val="20"/>
        </w:rPr>
      </w:pPr>
      <w:r>
        <w:rPr>
          <w:color w:val="3B3A3B"/>
          <w:w w:val="105"/>
          <w:sz w:val="20"/>
        </w:rPr>
        <w:t>Identifying</w:t>
      </w:r>
      <w:r>
        <w:rPr>
          <w:color w:val="3B3A3B"/>
          <w:spacing w:val="30"/>
          <w:w w:val="105"/>
          <w:sz w:val="20"/>
        </w:rPr>
        <w:t> </w:t>
      </w:r>
      <w:r>
        <w:rPr>
          <w:color w:val="3B3A3B"/>
          <w:w w:val="105"/>
          <w:sz w:val="20"/>
        </w:rPr>
        <w:t>the</w:t>
      </w:r>
      <w:r>
        <w:rPr>
          <w:color w:val="3B3A3B"/>
          <w:spacing w:val="39"/>
          <w:w w:val="105"/>
          <w:sz w:val="20"/>
        </w:rPr>
        <w:t> </w:t>
      </w:r>
      <w:r>
        <w:rPr>
          <w:color w:val="3B3A3B"/>
          <w:w w:val="105"/>
          <w:sz w:val="20"/>
        </w:rPr>
        <w:t>Appropriate</w:t>
      </w:r>
      <w:r>
        <w:rPr>
          <w:color w:val="3B3A3B"/>
          <w:spacing w:val="16"/>
          <w:w w:val="105"/>
          <w:sz w:val="20"/>
        </w:rPr>
        <w:t> </w:t>
      </w:r>
      <w:r>
        <w:rPr>
          <w:color w:val="3B3A3B"/>
          <w:w w:val="105"/>
          <w:sz w:val="20"/>
        </w:rPr>
        <w:t>Appellate</w:t>
      </w:r>
      <w:r>
        <w:rPr>
          <w:color w:val="3B3A3B"/>
          <w:spacing w:val="-8"/>
          <w:w w:val="105"/>
          <w:sz w:val="20"/>
        </w:rPr>
        <w:t> </w:t>
      </w:r>
      <w:r>
        <w:rPr>
          <w:color w:val="3B3A3B"/>
          <w:w w:val="105"/>
          <w:sz w:val="20"/>
        </w:rPr>
        <w:t>Standard</w:t>
      </w:r>
      <w:r>
        <w:rPr>
          <w:color w:val="3B3A3B"/>
          <w:spacing w:val="20"/>
          <w:w w:val="105"/>
          <w:sz w:val="20"/>
        </w:rPr>
        <w:t> </w:t>
      </w:r>
      <w:r>
        <w:rPr>
          <w:color w:val="3B3A3B"/>
          <w:w w:val="105"/>
          <w:sz w:val="20"/>
        </w:rPr>
        <w:t>of</w:t>
      </w:r>
      <w:r>
        <w:rPr>
          <w:color w:val="3B3A3B"/>
          <w:spacing w:val="27"/>
          <w:w w:val="105"/>
          <w:sz w:val="20"/>
        </w:rPr>
        <w:t> </w:t>
      </w:r>
      <w:r>
        <w:rPr>
          <w:color w:val="3B3A3B"/>
          <w:w w:val="105"/>
          <w:sz w:val="20"/>
        </w:rPr>
        <w:t>Review</w:t>
      </w:r>
    </w:p>
    <w:p>
      <w:pPr>
        <w:pStyle w:val="ListParagraph"/>
        <w:numPr>
          <w:ilvl w:val="2"/>
          <w:numId w:val="21"/>
        </w:numPr>
        <w:tabs>
          <w:tab w:pos="1431" w:val="left" w:leader="none"/>
          <w:tab w:pos="1432" w:val="left" w:leader="none"/>
        </w:tabs>
        <w:spacing w:line="240" w:lineRule="auto" w:before="0" w:after="0"/>
        <w:ind w:left="1431" w:right="0" w:hanging="707"/>
        <w:jc w:val="left"/>
        <w:rPr>
          <w:rFonts w:ascii="Arial"/>
          <w:b/>
          <w:color w:val="3B3A3B"/>
          <w:sz w:val="20"/>
        </w:rPr>
      </w:pPr>
      <w:r>
        <w:rPr>
          <w:color w:val="3B3A3B"/>
          <w:w w:val="110"/>
          <w:sz w:val="20"/>
        </w:rPr>
        <w:t>Format</w:t>
      </w:r>
      <w:r>
        <w:rPr>
          <w:color w:val="3B3A3B"/>
          <w:spacing w:val="4"/>
          <w:w w:val="110"/>
          <w:sz w:val="20"/>
        </w:rPr>
        <w:t> </w:t>
      </w:r>
      <w:r>
        <w:rPr>
          <w:color w:val="3B3A3B"/>
          <w:w w:val="110"/>
          <w:sz w:val="20"/>
        </w:rPr>
        <w:t>Considerations</w:t>
      </w:r>
    </w:p>
    <w:p>
      <w:pPr>
        <w:pStyle w:val="ListParagraph"/>
        <w:numPr>
          <w:ilvl w:val="1"/>
          <w:numId w:val="21"/>
        </w:numPr>
        <w:tabs>
          <w:tab w:pos="727" w:val="left" w:leader="none"/>
        </w:tabs>
        <w:spacing w:line="240" w:lineRule="auto" w:before="1" w:after="0"/>
        <w:ind w:left="726" w:right="0" w:hanging="504"/>
        <w:jc w:val="left"/>
        <w:rPr>
          <w:rFonts w:ascii="Arial"/>
          <w:b/>
          <w:color w:val="3B3A3B"/>
          <w:sz w:val="21"/>
        </w:rPr>
      </w:pPr>
      <w:r>
        <w:rPr>
          <w:color w:val="3B3A3B"/>
          <w:w w:val="105"/>
          <w:sz w:val="21"/>
        </w:rPr>
        <w:t>"Pleading</w:t>
      </w:r>
      <w:r>
        <w:rPr>
          <w:color w:val="3B3A3B"/>
          <w:spacing w:val="-5"/>
          <w:w w:val="105"/>
          <w:sz w:val="21"/>
        </w:rPr>
        <w:t> </w:t>
      </w:r>
      <w:r>
        <w:rPr>
          <w:color w:val="3B3A3B"/>
          <w:w w:val="105"/>
          <w:sz w:val="21"/>
        </w:rPr>
        <w:t>Standards"</w:t>
      </w:r>
      <w:r>
        <w:rPr>
          <w:color w:val="3B3A3B"/>
          <w:spacing w:val="-4"/>
          <w:w w:val="105"/>
          <w:sz w:val="21"/>
        </w:rPr>
        <w:t> </w:t>
      </w:r>
      <w:r>
        <w:rPr>
          <w:color w:val="3B3A3B"/>
          <w:w w:val="105"/>
          <w:sz w:val="21"/>
        </w:rPr>
        <w:t>or</w:t>
      </w:r>
      <w:r>
        <w:rPr>
          <w:color w:val="3B3A3B"/>
          <w:spacing w:val="19"/>
          <w:w w:val="105"/>
          <w:sz w:val="21"/>
        </w:rPr>
        <w:t> </w:t>
      </w:r>
      <w:r>
        <w:rPr>
          <w:color w:val="3B3A3B"/>
          <w:w w:val="105"/>
          <w:sz w:val="21"/>
        </w:rPr>
        <w:t>Standards</w:t>
      </w:r>
      <w:r>
        <w:rPr>
          <w:color w:val="3B3A3B"/>
          <w:spacing w:val="6"/>
          <w:w w:val="105"/>
          <w:sz w:val="21"/>
        </w:rPr>
        <w:t> </w:t>
      </w:r>
      <w:r>
        <w:rPr>
          <w:color w:val="3B3A3B"/>
          <w:w w:val="105"/>
          <w:sz w:val="21"/>
        </w:rPr>
        <w:t>of</w:t>
      </w:r>
      <w:r>
        <w:rPr>
          <w:color w:val="3B3A3B"/>
          <w:spacing w:val="25"/>
          <w:w w:val="105"/>
          <w:sz w:val="21"/>
        </w:rPr>
        <w:t> </w:t>
      </w:r>
      <w:r>
        <w:rPr>
          <w:color w:val="3B3A3B"/>
          <w:w w:val="105"/>
          <w:sz w:val="21"/>
        </w:rPr>
        <w:t>Review</w:t>
      </w:r>
      <w:r>
        <w:rPr>
          <w:color w:val="3B3A3B"/>
          <w:spacing w:val="29"/>
          <w:w w:val="105"/>
          <w:sz w:val="21"/>
        </w:rPr>
        <w:t> </w:t>
      </w:r>
      <w:r>
        <w:rPr>
          <w:color w:val="3B3A3B"/>
          <w:w w:val="105"/>
          <w:sz w:val="21"/>
        </w:rPr>
        <w:t>in </w:t>
      </w:r>
      <w:r>
        <w:rPr>
          <w:color w:val="3B3A3B"/>
          <w:spacing w:val="4"/>
          <w:w w:val="105"/>
          <w:sz w:val="21"/>
        </w:rPr>
        <w:t> </w:t>
      </w:r>
      <w:r>
        <w:rPr>
          <w:color w:val="3B3A3B"/>
          <w:w w:val="105"/>
          <w:sz w:val="21"/>
        </w:rPr>
        <w:t>Motion</w:t>
      </w:r>
      <w:r>
        <w:rPr>
          <w:color w:val="3B3A3B"/>
          <w:spacing w:val="18"/>
          <w:w w:val="105"/>
          <w:sz w:val="21"/>
        </w:rPr>
        <w:t> </w:t>
      </w:r>
      <w:r>
        <w:rPr>
          <w:color w:val="3B3A3B"/>
          <w:w w:val="105"/>
          <w:sz w:val="21"/>
        </w:rPr>
        <w:t>Briefs</w:t>
      </w:r>
    </w:p>
    <w:p>
      <w:pPr>
        <w:pStyle w:val="ListParagraph"/>
        <w:numPr>
          <w:ilvl w:val="2"/>
          <w:numId w:val="21"/>
        </w:numPr>
        <w:tabs>
          <w:tab w:pos="1421" w:val="left" w:leader="none"/>
          <w:tab w:pos="1422" w:val="left" w:leader="none"/>
        </w:tabs>
        <w:spacing w:line="240" w:lineRule="auto" w:before="8" w:after="0"/>
        <w:ind w:left="1421" w:right="0" w:hanging="687"/>
        <w:jc w:val="left"/>
        <w:rPr>
          <w:rFonts w:ascii="Arial"/>
          <w:b/>
          <w:color w:val="3B3A3B"/>
          <w:sz w:val="20"/>
        </w:rPr>
      </w:pPr>
      <w:r>
        <w:rPr>
          <w:color w:val="3B3A3B"/>
          <w:w w:val="110"/>
          <w:sz w:val="20"/>
        </w:rPr>
        <w:t>Motions</w:t>
      </w:r>
      <w:r>
        <w:rPr>
          <w:color w:val="3B3A3B"/>
          <w:spacing w:val="-10"/>
          <w:w w:val="110"/>
          <w:sz w:val="20"/>
        </w:rPr>
        <w:t> </w:t>
      </w:r>
      <w:r>
        <w:rPr>
          <w:color w:val="3B3A3B"/>
          <w:w w:val="110"/>
          <w:sz w:val="20"/>
        </w:rPr>
        <w:t>to</w:t>
      </w:r>
      <w:r>
        <w:rPr>
          <w:color w:val="3B3A3B"/>
          <w:spacing w:val="2"/>
          <w:w w:val="110"/>
          <w:sz w:val="20"/>
        </w:rPr>
        <w:t> </w:t>
      </w:r>
      <w:r>
        <w:rPr>
          <w:color w:val="3B3A3B"/>
          <w:w w:val="110"/>
          <w:sz w:val="20"/>
        </w:rPr>
        <w:t>Di</w:t>
      </w:r>
      <w:r>
        <w:rPr>
          <w:color w:val="525254"/>
          <w:w w:val="110"/>
          <w:sz w:val="20"/>
        </w:rPr>
        <w:t>s</w:t>
      </w:r>
      <w:r>
        <w:rPr>
          <w:color w:val="3B3A3B"/>
          <w:w w:val="110"/>
          <w:sz w:val="20"/>
        </w:rPr>
        <w:t>miss</w:t>
      </w:r>
    </w:p>
    <w:p>
      <w:pPr>
        <w:pStyle w:val="ListParagraph"/>
        <w:numPr>
          <w:ilvl w:val="2"/>
          <w:numId w:val="21"/>
        </w:numPr>
        <w:tabs>
          <w:tab w:pos="1422" w:val="left" w:leader="none"/>
        </w:tabs>
        <w:spacing w:line="240" w:lineRule="auto" w:before="0" w:after="0"/>
        <w:ind w:left="1421" w:right="0" w:hanging="687"/>
        <w:jc w:val="left"/>
        <w:rPr>
          <w:rFonts w:ascii="Arial"/>
          <w:b/>
          <w:color w:val="3B3A3B"/>
          <w:sz w:val="20"/>
        </w:rPr>
      </w:pPr>
      <w:r>
        <w:rPr>
          <w:color w:val="3B3A3B"/>
          <w:w w:val="110"/>
          <w:sz w:val="20"/>
        </w:rPr>
        <w:t>Motions</w:t>
      </w:r>
      <w:r>
        <w:rPr>
          <w:color w:val="3B3A3B"/>
          <w:spacing w:val="9"/>
          <w:w w:val="110"/>
          <w:sz w:val="20"/>
        </w:rPr>
        <w:t> </w:t>
      </w:r>
      <w:r>
        <w:rPr>
          <w:color w:val="3B3A3B"/>
          <w:w w:val="110"/>
          <w:sz w:val="20"/>
        </w:rPr>
        <w:t>for</w:t>
      </w:r>
      <w:r>
        <w:rPr>
          <w:color w:val="3B3A3B"/>
          <w:spacing w:val="-18"/>
          <w:w w:val="110"/>
          <w:sz w:val="20"/>
        </w:rPr>
        <w:t> </w:t>
      </w:r>
      <w:r>
        <w:rPr>
          <w:color w:val="3B3A3B"/>
          <w:w w:val="110"/>
          <w:sz w:val="20"/>
        </w:rPr>
        <w:t>Summary</w:t>
      </w:r>
      <w:r>
        <w:rPr>
          <w:color w:val="3B3A3B"/>
          <w:spacing w:val="-12"/>
          <w:w w:val="110"/>
          <w:sz w:val="20"/>
        </w:rPr>
        <w:t> </w:t>
      </w:r>
      <w:r>
        <w:rPr>
          <w:color w:val="3B3A3B"/>
          <w:w w:val="110"/>
          <w:sz w:val="20"/>
        </w:rPr>
        <w:t>Jud</w:t>
      </w:r>
      <w:r>
        <w:rPr>
          <w:color w:val="525254"/>
          <w:w w:val="110"/>
          <w:sz w:val="20"/>
        </w:rPr>
        <w:t>g</w:t>
      </w:r>
      <w:r>
        <w:rPr>
          <w:color w:val="3B3A3B"/>
          <w:w w:val="110"/>
          <w:sz w:val="20"/>
        </w:rPr>
        <w:t>m</w:t>
      </w:r>
      <w:r>
        <w:rPr>
          <w:color w:val="525254"/>
          <w:w w:val="110"/>
          <w:sz w:val="20"/>
        </w:rPr>
        <w:t>e</w:t>
      </w:r>
      <w:r>
        <w:rPr>
          <w:color w:val="3B3A3B"/>
          <w:w w:val="110"/>
          <w:sz w:val="20"/>
        </w:rPr>
        <w:t>nt</w:t>
      </w:r>
    </w:p>
    <w:p>
      <w:pPr>
        <w:pStyle w:val="ListParagraph"/>
        <w:numPr>
          <w:ilvl w:val="2"/>
          <w:numId w:val="21"/>
        </w:numPr>
        <w:tabs>
          <w:tab w:pos="1429" w:val="left" w:leader="none"/>
          <w:tab w:pos="1430" w:val="left" w:leader="none"/>
        </w:tabs>
        <w:spacing w:line="240" w:lineRule="auto" w:before="10" w:after="0"/>
        <w:ind w:left="1429" w:right="0" w:hanging="695"/>
        <w:jc w:val="left"/>
        <w:rPr>
          <w:rFonts w:ascii="Arial"/>
          <w:b/>
          <w:color w:val="3B3A3B"/>
          <w:sz w:val="20"/>
        </w:rPr>
      </w:pPr>
      <w:r>
        <w:rPr>
          <w:color w:val="3B3A3B"/>
          <w:spacing w:val="-1"/>
          <w:w w:val="110"/>
          <w:sz w:val="20"/>
        </w:rPr>
        <w:t>Identi</w:t>
      </w:r>
      <w:r>
        <w:rPr>
          <w:color w:val="525254"/>
          <w:spacing w:val="-1"/>
          <w:w w:val="110"/>
          <w:sz w:val="20"/>
        </w:rPr>
        <w:t>fy</w:t>
      </w:r>
      <w:r>
        <w:rPr>
          <w:color w:val="3B3A3B"/>
          <w:spacing w:val="-1"/>
          <w:w w:val="110"/>
          <w:sz w:val="20"/>
        </w:rPr>
        <w:t>ing</w:t>
      </w:r>
      <w:r>
        <w:rPr>
          <w:color w:val="3B3A3B"/>
          <w:spacing w:val="-9"/>
          <w:w w:val="110"/>
          <w:sz w:val="20"/>
        </w:rPr>
        <w:t> </w:t>
      </w:r>
      <w:r>
        <w:rPr>
          <w:color w:val="3B3A3B"/>
          <w:spacing w:val="-1"/>
          <w:w w:val="110"/>
          <w:sz w:val="20"/>
        </w:rPr>
        <w:t>the</w:t>
      </w:r>
      <w:r>
        <w:rPr>
          <w:color w:val="3B3A3B"/>
          <w:spacing w:val="11"/>
          <w:w w:val="110"/>
          <w:sz w:val="20"/>
        </w:rPr>
        <w:t> </w:t>
      </w:r>
      <w:r>
        <w:rPr>
          <w:color w:val="3B3A3B"/>
          <w:w w:val="110"/>
          <w:sz w:val="20"/>
        </w:rPr>
        <w:t>Appropriate</w:t>
      </w:r>
      <w:r>
        <w:rPr>
          <w:color w:val="3B3A3B"/>
          <w:spacing w:val="-3"/>
          <w:w w:val="110"/>
          <w:sz w:val="20"/>
        </w:rPr>
        <w:t> </w:t>
      </w:r>
      <w:r>
        <w:rPr>
          <w:color w:val="3B3A3B"/>
          <w:w w:val="110"/>
          <w:sz w:val="20"/>
        </w:rPr>
        <w:t>Motion</w:t>
      </w:r>
      <w:r>
        <w:rPr>
          <w:color w:val="3B3A3B"/>
          <w:spacing w:val="-13"/>
          <w:w w:val="110"/>
          <w:sz w:val="20"/>
        </w:rPr>
        <w:t> </w:t>
      </w:r>
      <w:r>
        <w:rPr>
          <w:color w:val="3B3A3B"/>
          <w:w w:val="110"/>
          <w:sz w:val="20"/>
        </w:rPr>
        <w:t>Standard</w:t>
      </w:r>
      <w:r>
        <w:rPr>
          <w:color w:val="3B3A3B"/>
          <w:spacing w:val="-8"/>
          <w:w w:val="110"/>
          <w:sz w:val="20"/>
        </w:rPr>
        <w:t> </w:t>
      </w:r>
      <w:r>
        <w:rPr>
          <w:color w:val="3B3A3B"/>
          <w:w w:val="110"/>
          <w:sz w:val="20"/>
        </w:rPr>
        <w:t>of</w:t>
      </w:r>
      <w:r>
        <w:rPr>
          <w:color w:val="3B3A3B"/>
          <w:spacing w:val="5"/>
          <w:w w:val="110"/>
          <w:sz w:val="20"/>
        </w:rPr>
        <w:t> </w:t>
      </w:r>
      <w:r>
        <w:rPr>
          <w:color w:val="3B3A3B"/>
          <w:w w:val="110"/>
          <w:sz w:val="20"/>
        </w:rPr>
        <w:t>Review</w:t>
      </w:r>
    </w:p>
    <w:p>
      <w:pPr>
        <w:pStyle w:val="ListParagraph"/>
        <w:numPr>
          <w:ilvl w:val="2"/>
          <w:numId w:val="21"/>
        </w:numPr>
        <w:tabs>
          <w:tab w:pos="1440" w:val="left" w:leader="none"/>
        </w:tabs>
        <w:spacing w:line="227" w:lineRule="exact" w:before="10" w:after="0"/>
        <w:ind w:left="1439" w:right="0" w:hanging="705"/>
        <w:jc w:val="left"/>
        <w:rPr>
          <w:rFonts w:ascii="Arial"/>
          <w:b/>
          <w:color w:val="3B3A3B"/>
          <w:sz w:val="20"/>
        </w:rPr>
      </w:pPr>
      <w:r>
        <w:rPr>
          <w:color w:val="3B3A3B"/>
          <w:w w:val="110"/>
          <w:sz w:val="20"/>
        </w:rPr>
        <w:t>Incorporating</w:t>
      </w:r>
      <w:r>
        <w:rPr>
          <w:color w:val="3B3A3B"/>
          <w:spacing w:val="11"/>
          <w:w w:val="110"/>
          <w:sz w:val="20"/>
        </w:rPr>
        <w:t> </w:t>
      </w:r>
      <w:r>
        <w:rPr>
          <w:color w:val="3B3A3B"/>
          <w:w w:val="110"/>
          <w:sz w:val="20"/>
        </w:rPr>
        <w:t>Motion</w:t>
      </w:r>
      <w:r>
        <w:rPr>
          <w:color w:val="3B3A3B"/>
          <w:spacing w:val="-5"/>
          <w:w w:val="110"/>
          <w:sz w:val="20"/>
        </w:rPr>
        <w:t> </w:t>
      </w:r>
      <w:r>
        <w:rPr>
          <w:color w:val="3B3A3B"/>
          <w:w w:val="110"/>
          <w:sz w:val="20"/>
        </w:rPr>
        <w:t>Standards</w:t>
      </w:r>
      <w:r>
        <w:rPr>
          <w:color w:val="3B3A3B"/>
          <w:spacing w:val="-6"/>
          <w:w w:val="110"/>
          <w:sz w:val="20"/>
        </w:rPr>
        <w:t> </w:t>
      </w:r>
      <w:r>
        <w:rPr>
          <w:color w:val="3B3A3B"/>
          <w:w w:val="110"/>
          <w:sz w:val="20"/>
        </w:rPr>
        <w:t>into</w:t>
      </w:r>
      <w:r>
        <w:rPr>
          <w:color w:val="3B3A3B"/>
          <w:spacing w:val="-21"/>
          <w:w w:val="110"/>
          <w:sz w:val="20"/>
        </w:rPr>
        <w:t> </w:t>
      </w:r>
      <w:r>
        <w:rPr>
          <w:color w:val="3B3A3B"/>
          <w:w w:val="110"/>
          <w:sz w:val="20"/>
        </w:rPr>
        <w:t>Your</w:t>
      </w:r>
      <w:r>
        <w:rPr>
          <w:color w:val="3B3A3B"/>
          <w:spacing w:val="-6"/>
          <w:w w:val="110"/>
          <w:sz w:val="20"/>
        </w:rPr>
        <w:t> </w:t>
      </w:r>
      <w:r>
        <w:rPr>
          <w:color w:val="3B3A3B"/>
          <w:w w:val="110"/>
          <w:sz w:val="20"/>
        </w:rPr>
        <w:t>Argument</w:t>
      </w:r>
    </w:p>
    <w:p>
      <w:pPr>
        <w:pStyle w:val="ListParagraph"/>
        <w:numPr>
          <w:ilvl w:val="1"/>
          <w:numId w:val="21"/>
        </w:numPr>
        <w:tabs>
          <w:tab w:pos="738" w:val="left" w:leader="none"/>
          <w:tab w:pos="739" w:val="left" w:leader="none"/>
        </w:tabs>
        <w:spacing w:line="249" w:lineRule="exact" w:before="0" w:after="0"/>
        <w:ind w:left="738" w:right="0" w:hanging="516"/>
        <w:jc w:val="left"/>
        <w:rPr>
          <w:b/>
          <w:color w:val="3B3A3B"/>
          <w:sz w:val="22"/>
        </w:rPr>
      </w:pPr>
      <w:r>
        <w:rPr>
          <w:color w:val="3B3A3B"/>
          <w:w w:val="105"/>
          <w:sz w:val="21"/>
        </w:rPr>
        <w:t>Avoiding</w:t>
      </w:r>
      <w:r>
        <w:rPr>
          <w:color w:val="3B3A3B"/>
          <w:spacing w:val="17"/>
          <w:w w:val="105"/>
          <w:sz w:val="21"/>
        </w:rPr>
        <w:t> </w:t>
      </w:r>
      <w:r>
        <w:rPr>
          <w:color w:val="525254"/>
          <w:w w:val="105"/>
          <w:sz w:val="21"/>
        </w:rPr>
        <w:t>C</w:t>
      </w:r>
      <w:r>
        <w:rPr>
          <w:color w:val="3B3A3B"/>
          <w:w w:val="105"/>
          <w:sz w:val="21"/>
        </w:rPr>
        <w:t>onfusion</w:t>
      </w:r>
    </w:p>
    <w:p>
      <w:pPr>
        <w:pStyle w:val="ListParagraph"/>
        <w:numPr>
          <w:ilvl w:val="2"/>
          <w:numId w:val="21"/>
        </w:numPr>
        <w:tabs>
          <w:tab w:pos="1427" w:val="left" w:leader="none"/>
          <w:tab w:pos="1428" w:val="left" w:leader="none"/>
        </w:tabs>
        <w:spacing w:line="240" w:lineRule="auto" w:before="6" w:after="0"/>
        <w:ind w:left="1427" w:right="0" w:hanging="693"/>
        <w:jc w:val="left"/>
        <w:rPr>
          <w:rFonts w:ascii="Arial"/>
          <w:b/>
          <w:color w:val="3B3A3B"/>
          <w:sz w:val="20"/>
        </w:rPr>
      </w:pPr>
      <w:r>
        <w:rPr>
          <w:color w:val="3B3A3B"/>
          <w:spacing w:val="-1"/>
          <w:w w:val="110"/>
          <w:sz w:val="20"/>
        </w:rPr>
        <w:t>Government</w:t>
      </w:r>
      <w:r>
        <w:rPr>
          <w:color w:val="3B3A3B"/>
          <w:spacing w:val="1"/>
          <w:w w:val="110"/>
          <w:sz w:val="20"/>
        </w:rPr>
        <w:t> </w:t>
      </w:r>
      <w:r>
        <w:rPr>
          <w:color w:val="3B3A3B"/>
          <w:spacing w:val="-1"/>
          <w:w w:val="110"/>
          <w:sz w:val="20"/>
        </w:rPr>
        <w:t>Action</w:t>
      </w:r>
      <w:r>
        <w:rPr>
          <w:color w:val="3B3A3B"/>
          <w:spacing w:val="-12"/>
          <w:w w:val="110"/>
          <w:sz w:val="20"/>
        </w:rPr>
        <w:t> </w:t>
      </w:r>
      <w:r>
        <w:rPr>
          <w:color w:val="3B3A3B"/>
          <w:spacing w:val="-1"/>
          <w:w w:val="110"/>
          <w:sz w:val="20"/>
        </w:rPr>
        <w:t>Standards</w:t>
      </w:r>
      <w:r>
        <w:rPr>
          <w:color w:val="3B3A3B"/>
          <w:spacing w:val="-11"/>
          <w:w w:val="110"/>
          <w:sz w:val="20"/>
        </w:rPr>
        <w:t> </w:t>
      </w:r>
      <w:r>
        <w:rPr>
          <w:color w:val="3B3A3B"/>
          <w:w w:val="110"/>
          <w:sz w:val="20"/>
        </w:rPr>
        <w:t>of</w:t>
      </w:r>
      <w:r>
        <w:rPr>
          <w:color w:val="3B3A3B"/>
          <w:spacing w:val="12"/>
          <w:w w:val="110"/>
          <w:sz w:val="20"/>
        </w:rPr>
        <w:t> </w:t>
      </w:r>
      <w:r>
        <w:rPr>
          <w:color w:val="3B3A3B"/>
          <w:w w:val="110"/>
          <w:sz w:val="20"/>
        </w:rPr>
        <w:t>Review</w:t>
      </w:r>
    </w:p>
    <w:p>
      <w:pPr>
        <w:pStyle w:val="ListParagraph"/>
        <w:numPr>
          <w:ilvl w:val="2"/>
          <w:numId w:val="21"/>
        </w:numPr>
        <w:tabs>
          <w:tab w:pos="1432" w:val="left" w:leader="none"/>
        </w:tabs>
        <w:spacing w:line="236" w:lineRule="exact" w:before="1" w:after="0"/>
        <w:ind w:left="1431" w:right="0" w:hanging="697"/>
        <w:jc w:val="left"/>
        <w:rPr>
          <w:b/>
          <w:color w:val="2A2628"/>
          <w:sz w:val="21"/>
        </w:rPr>
      </w:pPr>
      <w:r>
        <w:rPr>
          <w:color w:val="3B3A3B"/>
          <w:w w:val="105"/>
          <w:sz w:val="20"/>
        </w:rPr>
        <w:t>Multiple</w:t>
      </w:r>
      <w:r>
        <w:rPr>
          <w:color w:val="3B3A3B"/>
          <w:spacing w:val="-17"/>
          <w:w w:val="105"/>
          <w:sz w:val="20"/>
        </w:rPr>
        <w:t> </w:t>
      </w:r>
      <w:r>
        <w:rPr>
          <w:color w:val="3B3A3B"/>
          <w:w w:val="105"/>
          <w:sz w:val="20"/>
        </w:rPr>
        <w:t>Standards</w:t>
      </w:r>
      <w:r>
        <w:rPr>
          <w:color w:val="3B3A3B"/>
          <w:spacing w:val="-12"/>
          <w:w w:val="105"/>
          <w:sz w:val="20"/>
        </w:rPr>
        <w:t> </w:t>
      </w:r>
      <w:r>
        <w:rPr>
          <w:color w:val="3B3A3B"/>
          <w:w w:val="105"/>
          <w:sz w:val="20"/>
        </w:rPr>
        <w:t>of</w:t>
      </w:r>
      <w:r>
        <w:rPr>
          <w:color w:val="3B3A3B"/>
          <w:spacing w:val="15"/>
          <w:w w:val="105"/>
          <w:sz w:val="20"/>
        </w:rPr>
        <w:t> </w:t>
      </w:r>
      <w:r>
        <w:rPr>
          <w:color w:val="3B3A3B"/>
          <w:w w:val="105"/>
          <w:sz w:val="20"/>
        </w:rPr>
        <w:t>Review</w:t>
      </w:r>
      <w:r>
        <w:rPr>
          <w:color w:val="3B3A3B"/>
          <w:spacing w:val="19"/>
          <w:w w:val="105"/>
          <w:sz w:val="20"/>
        </w:rPr>
        <w:t> </w:t>
      </w:r>
      <w:r>
        <w:rPr>
          <w:color w:val="3B3A3B"/>
          <w:w w:val="105"/>
          <w:sz w:val="20"/>
        </w:rPr>
        <w:t>in</w:t>
      </w:r>
      <w:r>
        <w:rPr>
          <w:color w:val="3B3A3B"/>
          <w:spacing w:val="34"/>
          <w:w w:val="105"/>
          <w:sz w:val="20"/>
        </w:rPr>
        <w:t> </w:t>
      </w:r>
      <w:r>
        <w:rPr>
          <w:color w:val="3B3A3B"/>
          <w:w w:val="105"/>
          <w:sz w:val="20"/>
        </w:rPr>
        <w:t>the</w:t>
      </w:r>
      <w:r>
        <w:rPr>
          <w:color w:val="3B3A3B"/>
          <w:spacing w:val="48"/>
          <w:w w:val="105"/>
          <w:sz w:val="20"/>
        </w:rPr>
        <w:t> </w:t>
      </w:r>
      <w:r>
        <w:rPr>
          <w:color w:val="3B3A3B"/>
          <w:w w:val="105"/>
          <w:sz w:val="20"/>
        </w:rPr>
        <w:t>Sam</w:t>
      </w:r>
      <w:r>
        <w:rPr>
          <w:color w:val="525254"/>
          <w:w w:val="105"/>
          <w:sz w:val="20"/>
        </w:rPr>
        <w:t>e</w:t>
      </w:r>
      <w:r>
        <w:rPr>
          <w:color w:val="525254"/>
          <w:spacing w:val="14"/>
          <w:w w:val="105"/>
          <w:sz w:val="20"/>
        </w:rPr>
        <w:t> </w:t>
      </w:r>
      <w:r>
        <w:rPr>
          <w:color w:val="3B3A3B"/>
          <w:w w:val="105"/>
          <w:sz w:val="20"/>
        </w:rPr>
        <w:t>Ca</w:t>
      </w:r>
      <w:r>
        <w:rPr>
          <w:color w:val="525254"/>
          <w:w w:val="105"/>
          <w:sz w:val="20"/>
        </w:rPr>
        <w:t>se</w:t>
      </w:r>
    </w:p>
    <w:p>
      <w:pPr>
        <w:pStyle w:val="ListParagraph"/>
        <w:numPr>
          <w:ilvl w:val="1"/>
          <w:numId w:val="21"/>
        </w:numPr>
        <w:tabs>
          <w:tab w:pos="728" w:val="left" w:leader="none"/>
        </w:tabs>
        <w:spacing w:line="237" w:lineRule="exact" w:before="0" w:after="0"/>
        <w:ind w:left="727" w:right="0" w:hanging="495"/>
        <w:jc w:val="left"/>
        <w:rPr>
          <w:rFonts w:ascii="Arial"/>
          <w:b/>
          <w:color w:val="3B3A3B"/>
          <w:sz w:val="21"/>
        </w:rPr>
      </w:pPr>
      <w:r>
        <w:rPr>
          <w:color w:val="3B3A3B"/>
          <w:w w:val="110"/>
          <w:sz w:val="21"/>
        </w:rPr>
        <w:t>Summary</w:t>
      </w:r>
    </w:p>
    <w:p>
      <w:pPr>
        <w:spacing w:after="0" w:line="237" w:lineRule="exact"/>
        <w:jc w:val="left"/>
        <w:rPr>
          <w:rFonts w:ascii="Arial"/>
          <w:sz w:val="21"/>
        </w:rPr>
        <w:sectPr>
          <w:type w:val="continuous"/>
          <w:pgSz w:w="9580" w:h="13840"/>
          <w:pgMar w:header="0" w:footer="0" w:top="340" w:bottom="280" w:left="460" w:right="680"/>
          <w:cols w:num="2" w:equalWidth="0">
            <w:col w:w="425" w:space="72"/>
            <w:col w:w="7943"/>
          </w:cols>
        </w:sectPr>
      </w:pPr>
    </w:p>
    <w:p>
      <w:pPr>
        <w:pStyle w:val="BodyText"/>
        <w:spacing w:before="1"/>
      </w:pPr>
    </w:p>
    <w:p>
      <w:pPr>
        <w:pStyle w:val="BodyText"/>
        <w:spacing w:line="235" w:lineRule="auto" w:before="95"/>
        <w:ind w:left="100" w:right="650" w:firstLine="614"/>
        <w:jc w:val="both"/>
      </w:pPr>
      <w:r>
        <w:rPr>
          <w:color w:val="3B3A3B"/>
          <w:w w:val="115"/>
        </w:rPr>
        <w:t>Understanding some basic principles about the various courts and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0"/>
        </w:rPr>
        <w:t>their powers will help you to make decisions as you prepare your written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5"/>
        </w:rPr>
        <w:t>and oral arguments. Your arguments will be different if you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5"/>
        </w:rPr>
        <w:t>are  writing</w:t>
      </w:r>
      <w:r>
        <w:rPr>
          <w:color w:val="3B3A3B"/>
          <w:spacing w:val="-64"/>
          <w:w w:val="115"/>
        </w:rPr>
        <w:t> </w:t>
      </w:r>
      <w:r>
        <w:rPr>
          <w:color w:val="3B3A3B"/>
          <w:w w:val="115"/>
        </w:rPr>
        <w:t>a brief to a trial court as opposed to an appellate court. Even within the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5"/>
        </w:rPr>
        <w:t>appellate system, you may argue differently to an intermediate court of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0"/>
        </w:rPr>
        <w:t>appeals as opposed to a court of last resort. On the one </w:t>
      </w:r>
      <w:r>
        <w:rPr>
          <w:color w:val="2A2628"/>
          <w:w w:val="110"/>
        </w:rPr>
        <w:t>hand</w:t>
      </w:r>
      <w:r>
        <w:rPr>
          <w:color w:val="525254"/>
          <w:w w:val="110"/>
        </w:rPr>
        <w:t>, </w:t>
      </w:r>
      <w:r>
        <w:rPr>
          <w:color w:val="3B3A3B"/>
          <w:w w:val="110"/>
        </w:rPr>
        <w:t>intermediate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courts of appeals must hear every appeal (with few exceptions)</w:t>
      </w:r>
      <w:r>
        <w:rPr>
          <w:color w:val="3B3A3B"/>
          <w:w w:val="110"/>
          <w:vertAlign w:val="superscript"/>
        </w:rPr>
        <w:t>1</w:t>
      </w:r>
      <w:r>
        <w:rPr>
          <w:color w:val="3B3A3B"/>
          <w:w w:val="110"/>
          <w:vertAlign w:val="baseline"/>
        </w:rPr>
        <w:t> and must</w:t>
      </w:r>
      <w:r>
        <w:rPr>
          <w:color w:val="3B3A3B"/>
          <w:spacing w:val="1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follow the decisions of the courts above them. Courts of </w:t>
      </w:r>
      <w:r>
        <w:rPr>
          <w:color w:val="2A2628"/>
          <w:w w:val="110"/>
          <w:vertAlign w:val="baseline"/>
        </w:rPr>
        <w:t>last </w:t>
      </w:r>
      <w:r>
        <w:rPr>
          <w:color w:val="3B3A3B"/>
          <w:w w:val="110"/>
          <w:vertAlign w:val="baseline"/>
        </w:rPr>
        <w:t>resort, on the</w:t>
      </w:r>
      <w:r>
        <w:rPr>
          <w:color w:val="3B3A3B"/>
          <w:spacing w:val="1"/>
          <w:w w:val="110"/>
          <w:vertAlign w:val="baseline"/>
        </w:rPr>
        <w:t> </w:t>
      </w:r>
      <w:r>
        <w:rPr>
          <w:color w:val="3B3A3B"/>
          <w:w w:val="115"/>
          <w:vertAlign w:val="baseline"/>
        </w:rPr>
        <w:t>other hand, usually have some authority to decide which cases they will</w:t>
      </w:r>
      <w:r>
        <w:rPr>
          <w:color w:val="3B3A3B"/>
          <w:spacing w:val="1"/>
          <w:w w:val="115"/>
          <w:vertAlign w:val="baseline"/>
        </w:rPr>
        <w:t> </w:t>
      </w:r>
      <w:r>
        <w:rPr>
          <w:color w:val="3B3A3B"/>
          <w:w w:val="115"/>
          <w:vertAlign w:val="baseline"/>
        </w:rPr>
        <w:t>hear</w:t>
      </w:r>
      <w:r>
        <w:rPr>
          <w:color w:val="3B3A3B"/>
          <w:spacing w:val="-18"/>
          <w:w w:val="115"/>
          <w:vertAlign w:val="baseline"/>
        </w:rPr>
        <w:t> </w:t>
      </w:r>
      <w:r>
        <w:rPr>
          <w:color w:val="3B3A3B"/>
          <w:w w:val="115"/>
          <w:vertAlign w:val="baseline"/>
        </w:rPr>
        <w:t>and</w:t>
      </w:r>
      <w:r>
        <w:rPr>
          <w:color w:val="3B3A3B"/>
          <w:spacing w:val="-37"/>
          <w:w w:val="115"/>
          <w:vertAlign w:val="baseline"/>
        </w:rPr>
        <w:t> </w:t>
      </w:r>
      <w:r>
        <w:rPr>
          <w:color w:val="3B3A3B"/>
          <w:w w:val="115"/>
          <w:vertAlign w:val="baseline"/>
        </w:rPr>
        <w:t>the</w:t>
      </w:r>
      <w:r>
        <w:rPr>
          <w:color w:val="3B3A3B"/>
          <w:spacing w:val="-39"/>
          <w:w w:val="115"/>
          <w:vertAlign w:val="baseline"/>
        </w:rPr>
        <w:t> </w:t>
      </w:r>
      <w:r>
        <w:rPr>
          <w:color w:val="3B3A3B"/>
          <w:w w:val="115"/>
          <w:vertAlign w:val="baseline"/>
        </w:rPr>
        <w:t>authority</w:t>
      </w:r>
      <w:r>
        <w:rPr>
          <w:color w:val="3B3A3B"/>
          <w:spacing w:val="9"/>
          <w:w w:val="115"/>
          <w:vertAlign w:val="baseline"/>
        </w:rPr>
        <w:t> </w:t>
      </w:r>
      <w:r>
        <w:rPr>
          <w:color w:val="3B3A3B"/>
          <w:w w:val="115"/>
          <w:vertAlign w:val="baseline"/>
        </w:rPr>
        <w:t>to</w:t>
      </w:r>
      <w:r>
        <w:rPr>
          <w:color w:val="3B3A3B"/>
          <w:spacing w:val="6"/>
          <w:w w:val="115"/>
          <w:vertAlign w:val="baseline"/>
        </w:rPr>
        <w:t> </w:t>
      </w:r>
      <w:r>
        <w:rPr>
          <w:color w:val="3B3A3B"/>
          <w:w w:val="115"/>
          <w:vertAlign w:val="baseline"/>
        </w:rPr>
        <w:t>make</w:t>
      </w:r>
      <w:r>
        <w:rPr>
          <w:color w:val="3B3A3B"/>
          <w:spacing w:val="4"/>
          <w:w w:val="115"/>
          <w:vertAlign w:val="baseline"/>
        </w:rPr>
        <w:t> </w:t>
      </w:r>
      <w:r>
        <w:rPr>
          <w:color w:val="3B3A3B"/>
          <w:w w:val="115"/>
          <w:vertAlign w:val="baseline"/>
        </w:rPr>
        <w:t>new</w:t>
      </w:r>
      <w:r>
        <w:rPr>
          <w:color w:val="3B3A3B"/>
          <w:spacing w:val="-10"/>
          <w:w w:val="115"/>
          <w:vertAlign w:val="baseline"/>
        </w:rPr>
        <w:t> </w:t>
      </w:r>
      <w:r>
        <w:rPr>
          <w:color w:val="3B3A3B"/>
          <w:w w:val="115"/>
          <w:vertAlign w:val="baseline"/>
        </w:rPr>
        <w:t>law.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4"/>
        </w:rPr>
      </w:pPr>
    </w:p>
    <w:p>
      <w:pPr>
        <w:spacing w:line="206" w:lineRule="exact" w:before="0"/>
        <w:ind w:left="491" w:right="0" w:firstLine="0"/>
        <w:jc w:val="both"/>
        <w:rPr>
          <w:sz w:val="18"/>
        </w:rPr>
      </w:pPr>
      <w:r>
        <w:rPr>
          <w:color w:val="525254"/>
          <w:sz w:val="19"/>
          <w:vertAlign w:val="superscript"/>
        </w:rPr>
        <w:t>1</w:t>
      </w:r>
      <w:r>
        <w:rPr>
          <w:i/>
          <w:color w:val="3B3A3B"/>
          <w:sz w:val="19"/>
          <w:vertAlign w:val="baseline"/>
        </w:rPr>
        <w:t>See</w:t>
      </w:r>
      <w:r>
        <w:rPr>
          <w:i/>
          <w:color w:val="525254"/>
          <w:sz w:val="19"/>
          <w:vertAlign w:val="baseline"/>
        </w:rPr>
        <w:t>,</w:t>
      </w:r>
      <w:r>
        <w:rPr>
          <w:i/>
          <w:color w:val="525254"/>
          <w:spacing w:val="6"/>
          <w:sz w:val="19"/>
          <w:vertAlign w:val="baseline"/>
        </w:rPr>
        <w:t> </w:t>
      </w:r>
      <w:r>
        <w:rPr>
          <w:i/>
          <w:color w:val="3B3A3B"/>
          <w:sz w:val="19"/>
          <w:vertAlign w:val="baseline"/>
        </w:rPr>
        <w:t>e.g.,</w:t>
      </w:r>
      <w:r>
        <w:rPr>
          <w:i/>
          <w:color w:val="3B3A3B"/>
          <w:spacing w:val="-29"/>
          <w:sz w:val="19"/>
          <w:vertAlign w:val="baseline"/>
        </w:rPr>
        <w:t> </w:t>
      </w:r>
      <w:r>
        <w:rPr>
          <w:color w:val="3B3A3B"/>
          <w:sz w:val="18"/>
          <w:vertAlign w:val="baseline"/>
        </w:rPr>
        <w:t>T</w:t>
      </w:r>
      <w:r>
        <w:rPr>
          <w:color w:val="525254"/>
          <w:sz w:val="18"/>
          <w:vertAlign w:val="baseline"/>
        </w:rPr>
        <w:t>e</w:t>
      </w:r>
      <w:r>
        <w:rPr>
          <w:color w:val="3B3A3B"/>
          <w:sz w:val="18"/>
          <w:vertAlign w:val="baseline"/>
        </w:rPr>
        <w:t>nn.</w:t>
      </w:r>
      <w:r>
        <w:rPr>
          <w:color w:val="3B3A3B"/>
          <w:spacing w:val="5"/>
          <w:sz w:val="18"/>
          <w:vertAlign w:val="baseline"/>
        </w:rPr>
        <w:t> </w:t>
      </w:r>
      <w:r>
        <w:rPr>
          <w:color w:val="3B3A3B"/>
          <w:sz w:val="18"/>
          <w:vertAlign w:val="baseline"/>
        </w:rPr>
        <w:t>R.</w:t>
      </w:r>
      <w:r>
        <w:rPr>
          <w:color w:val="3B3A3B"/>
          <w:spacing w:val="-9"/>
          <w:sz w:val="18"/>
          <w:vertAlign w:val="baseline"/>
        </w:rPr>
        <w:t> </w:t>
      </w:r>
      <w:r>
        <w:rPr>
          <w:color w:val="3B3A3B"/>
          <w:sz w:val="18"/>
          <w:vertAlign w:val="baseline"/>
        </w:rPr>
        <w:t>Ap</w:t>
      </w:r>
      <w:r>
        <w:rPr>
          <w:color w:val="525254"/>
          <w:sz w:val="18"/>
          <w:vertAlign w:val="baseline"/>
        </w:rPr>
        <w:t>p</w:t>
      </w:r>
      <w:r>
        <w:rPr>
          <w:color w:val="3B3A3B"/>
          <w:sz w:val="18"/>
          <w:vertAlign w:val="baseline"/>
        </w:rPr>
        <w:t>.</w:t>
      </w:r>
      <w:r>
        <w:rPr>
          <w:color w:val="3B3A3B"/>
          <w:spacing w:val="4"/>
          <w:sz w:val="18"/>
          <w:vertAlign w:val="baseline"/>
        </w:rPr>
        <w:t> </w:t>
      </w:r>
      <w:r>
        <w:rPr>
          <w:color w:val="525254"/>
          <w:sz w:val="18"/>
          <w:vertAlign w:val="baseline"/>
        </w:rPr>
        <w:t>P</w:t>
      </w:r>
      <w:r>
        <w:rPr>
          <w:color w:val="3B3A3B"/>
          <w:sz w:val="18"/>
          <w:vertAlign w:val="baseline"/>
        </w:rPr>
        <w:t>.</w:t>
      </w:r>
      <w:r>
        <w:rPr>
          <w:color w:val="3B3A3B"/>
          <w:spacing w:val="-9"/>
          <w:sz w:val="18"/>
          <w:vertAlign w:val="baseline"/>
        </w:rPr>
        <w:t> </w:t>
      </w:r>
      <w:r>
        <w:rPr>
          <w:color w:val="3B3A3B"/>
          <w:sz w:val="18"/>
          <w:vertAlign w:val="baseline"/>
        </w:rPr>
        <w:t>3;</w:t>
      </w:r>
      <w:r>
        <w:rPr>
          <w:color w:val="3B3A3B"/>
          <w:spacing w:val="33"/>
          <w:sz w:val="18"/>
          <w:vertAlign w:val="baseline"/>
        </w:rPr>
        <w:t> </w:t>
      </w:r>
      <w:r>
        <w:rPr>
          <w:color w:val="3B3A3B"/>
          <w:sz w:val="18"/>
          <w:vertAlign w:val="baseline"/>
        </w:rPr>
        <w:t>Fed.</w:t>
      </w:r>
      <w:r>
        <w:rPr>
          <w:color w:val="3B3A3B"/>
          <w:spacing w:val="2"/>
          <w:sz w:val="18"/>
          <w:vertAlign w:val="baseline"/>
        </w:rPr>
        <w:t> </w:t>
      </w:r>
      <w:r>
        <w:rPr>
          <w:color w:val="3B3A3B"/>
          <w:sz w:val="18"/>
          <w:vertAlign w:val="baseline"/>
        </w:rPr>
        <w:t>R.</w:t>
      </w:r>
      <w:r>
        <w:rPr>
          <w:color w:val="3B3A3B"/>
          <w:spacing w:val="-9"/>
          <w:sz w:val="18"/>
          <w:vertAlign w:val="baseline"/>
        </w:rPr>
        <w:t> </w:t>
      </w:r>
      <w:r>
        <w:rPr>
          <w:color w:val="3B3A3B"/>
          <w:sz w:val="18"/>
          <w:vertAlign w:val="baseline"/>
        </w:rPr>
        <w:t>App.</w:t>
      </w:r>
      <w:r>
        <w:rPr>
          <w:color w:val="3B3A3B"/>
          <w:spacing w:val="-8"/>
          <w:sz w:val="18"/>
          <w:vertAlign w:val="baseline"/>
        </w:rPr>
        <w:t> </w:t>
      </w:r>
      <w:r>
        <w:rPr>
          <w:color w:val="3B3A3B"/>
          <w:sz w:val="18"/>
          <w:vertAlign w:val="baseline"/>
        </w:rPr>
        <w:t>P.</w:t>
      </w:r>
      <w:r>
        <w:rPr>
          <w:color w:val="3B3A3B"/>
          <w:spacing w:val="-2"/>
          <w:sz w:val="18"/>
          <w:vertAlign w:val="baseline"/>
        </w:rPr>
        <w:t> </w:t>
      </w:r>
      <w:r>
        <w:rPr>
          <w:color w:val="3B3A3B"/>
          <w:sz w:val="18"/>
          <w:vertAlign w:val="baseline"/>
        </w:rPr>
        <w:t>3.</w:t>
      </w:r>
    </w:p>
    <w:p>
      <w:pPr>
        <w:spacing w:line="228" w:lineRule="auto" w:before="0"/>
        <w:ind w:left="112" w:right="615" w:firstLine="379"/>
        <w:jc w:val="both"/>
        <w:rPr>
          <w:sz w:val="18"/>
        </w:rPr>
      </w:pPr>
      <w:r>
        <w:rPr>
          <w:rFonts w:ascii="Arial" w:hAnsi="Arial"/>
          <w:color w:val="525254"/>
          <w:w w:val="105"/>
          <w:position w:val="8"/>
          <w:sz w:val="9"/>
        </w:rPr>
        <w:t>2 </w:t>
      </w:r>
      <w:r>
        <w:rPr>
          <w:i/>
          <w:color w:val="3B3A3B"/>
          <w:w w:val="105"/>
          <w:sz w:val="19"/>
        </w:rPr>
        <w:t>See, e.g.</w:t>
      </w:r>
      <w:r>
        <w:rPr>
          <w:i/>
          <w:color w:val="525254"/>
          <w:w w:val="105"/>
          <w:sz w:val="19"/>
        </w:rPr>
        <w:t>, </w:t>
      </w:r>
      <w:r>
        <w:rPr>
          <w:color w:val="3B3A3B"/>
          <w:w w:val="105"/>
          <w:sz w:val="18"/>
        </w:rPr>
        <w:t>Ohio Sup. Ct</w:t>
      </w:r>
      <w:r>
        <w:rPr>
          <w:color w:val="525254"/>
          <w:w w:val="105"/>
          <w:sz w:val="18"/>
        </w:rPr>
        <w:t>. </w:t>
      </w:r>
      <w:r>
        <w:rPr>
          <w:color w:val="3B3A3B"/>
          <w:w w:val="105"/>
          <w:sz w:val="18"/>
        </w:rPr>
        <w:t>Prac</w:t>
      </w:r>
      <w:r>
        <w:rPr>
          <w:color w:val="525254"/>
          <w:w w:val="105"/>
          <w:sz w:val="18"/>
        </w:rPr>
        <w:t>. </w:t>
      </w:r>
      <w:r>
        <w:rPr>
          <w:color w:val="3B3A3B"/>
          <w:w w:val="105"/>
          <w:sz w:val="18"/>
        </w:rPr>
        <w:t>R</w:t>
      </w:r>
      <w:r>
        <w:rPr>
          <w:color w:val="6B6B6E"/>
          <w:w w:val="105"/>
          <w:sz w:val="18"/>
        </w:rPr>
        <w:t>. </w:t>
      </w:r>
      <w:r>
        <w:rPr>
          <w:color w:val="3B3A3B"/>
          <w:w w:val="105"/>
          <w:sz w:val="18"/>
        </w:rPr>
        <w:t>5</w:t>
      </w:r>
      <w:r>
        <w:rPr>
          <w:color w:val="525254"/>
          <w:w w:val="105"/>
          <w:sz w:val="18"/>
        </w:rPr>
        <w:t>.</w:t>
      </w:r>
      <w:r>
        <w:rPr>
          <w:color w:val="3B3A3B"/>
          <w:w w:val="105"/>
          <w:sz w:val="18"/>
        </w:rPr>
        <w:t>0 </w:t>
      </w:r>
      <w:r>
        <w:rPr>
          <w:color w:val="2A2628"/>
          <w:w w:val="105"/>
          <w:sz w:val="18"/>
        </w:rPr>
        <w:t>I </w:t>
      </w:r>
      <w:r>
        <w:rPr>
          <w:color w:val="3B3A3B"/>
          <w:w w:val="105"/>
          <w:sz w:val="18"/>
        </w:rPr>
        <w:t>(dis</w:t>
      </w:r>
      <w:r>
        <w:rPr>
          <w:color w:val="525254"/>
          <w:w w:val="105"/>
          <w:sz w:val="18"/>
        </w:rPr>
        <w:t>c</w:t>
      </w:r>
      <w:r>
        <w:rPr>
          <w:color w:val="3B3A3B"/>
          <w:w w:val="105"/>
          <w:sz w:val="18"/>
        </w:rPr>
        <w:t>ussing </w:t>
      </w:r>
      <w:r>
        <w:rPr>
          <w:color w:val="525254"/>
          <w:w w:val="105"/>
          <w:sz w:val="18"/>
        </w:rPr>
        <w:t>"</w:t>
      </w:r>
      <w:r>
        <w:rPr>
          <w:color w:val="3B3A3B"/>
          <w:w w:val="105"/>
          <w:sz w:val="18"/>
        </w:rPr>
        <w:t>appeals of right</w:t>
      </w:r>
      <w:r>
        <w:rPr>
          <w:color w:val="525254"/>
          <w:w w:val="105"/>
          <w:sz w:val="18"/>
        </w:rPr>
        <w:t>"</w:t>
      </w:r>
      <w:r>
        <w:rPr>
          <w:color w:val="3B3A3B"/>
          <w:w w:val="105"/>
          <w:sz w:val="18"/>
        </w:rPr>
        <w:t>)</w:t>
      </w:r>
      <w:r>
        <w:rPr>
          <w:color w:val="525254"/>
          <w:w w:val="105"/>
          <w:sz w:val="18"/>
        </w:rPr>
        <w:t>; </w:t>
      </w:r>
      <w:r>
        <w:rPr>
          <w:color w:val="3B3A3B"/>
          <w:w w:val="105"/>
          <w:sz w:val="18"/>
        </w:rPr>
        <w:t>5</w:t>
      </w:r>
      <w:r>
        <w:rPr>
          <w:color w:val="525254"/>
          <w:w w:val="105"/>
          <w:sz w:val="18"/>
        </w:rPr>
        <w:t>.</w:t>
      </w:r>
      <w:r>
        <w:rPr>
          <w:color w:val="3B3A3B"/>
          <w:w w:val="105"/>
          <w:sz w:val="18"/>
        </w:rPr>
        <w:t>02 (discussing </w:t>
      </w:r>
      <w:r>
        <w:rPr>
          <w:color w:val="525254"/>
          <w:w w:val="105"/>
          <w:sz w:val="18"/>
        </w:rPr>
        <w:t>"</w:t>
      </w:r>
      <w:r>
        <w:rPr>
          <w:color w:val="3B3A3B"/>
          <w:w w:val="105"/>
          <w:sz w:val="18"/>
        </w:rPr>
        <w:t>Juris•</w:t>
      </w:r>
      <w:r>
        <w:rPr>
          <w:color w:val="3B3A3B"/>
          <w:spacing w:val="1"/>
          <w:w w:val="105"/>
          <w:sz w:val="18"/>
        </w:rPr>
        <w:t> </w:t>
      </w:r>
      <w:r>
        <w:rPr>
          <w:color w:val="3B3A3B"/>
          <w:w w:val="105"/>
          <w:sz w:val="18"/>
        </w:rPr>
        <w:t>dlctiona</w:t>
      </w:r>
      <w:r>
        <w:rPr>
          <w:color w:val="525254"/>
          <w:w w:val="105"/>
          <w:sz w:val="18"/>
        </w:rPr>
        <w:t>l </w:t>
      </w:r>
      <w:r>
        <w:rPr>
          <w:color w:val="3B3A3B"/>
          <w:w w:val="105"/>
          <w:sz w:val="18"/>
        </w:rPr>
        <w:t>appeals"); 5.03</w:t>
      </w:r>
      <w:r>
        <w:rPr>
          <w:color w:val="525254"/>
          <w:w w:val="105"/>
          <w:sz w:val="18"/>
        </w:rPr>
        <w:t>(</w:t>
      </w:r>
      <w:r>
        <w:rPr>
          <w:color w:val="3B3A3B"/>
          <w:w w:val="105"/>
          <w:sz w:val="18"/>
        </w:rPr>
        <w:t>discussing "c</w:t>
      </w:r>
      <w:r>
        <w:rPr>
          <w:color w:val="525254"/>
          <w:w w:val="105"/>
          <w:sz w:val="18"/>
        </w:rPr>
        <w:t>e</w:t>
      </w:r>
      <w:r>
        <w:rPr>
          <w:color w:val="3B3A3B"/>
          <w:w w:val="105"/>
          <w:sz w:val="18"/>
        </w:rPr>
        <w:t>rtifi</w:t>
      </w:r>
      <w:r>
        <w:rPr>
          <w:color w:val="525254"/>
          <w:w w:val="105"/>
          <w:sz w:val="18"/>
        </w:rPr>
        <w:t>e</w:t>
      </w:r>
      <w:r>
        <w:rPr>
          <w:color w:val="3B3A3B"/>
          <w:w w:val="105"/>
          <w:sz w:val="18"/>
        </w:rPr>
        <w:t>d conflict cases"); and</w:t>
      </w:r>
      <w:r>
        <w:rPr>
          <w:color w:val="3B3A3B"/>
          <w:spacing w:val="1"/>
          <w:w w:val="105"/>
          <w:sz w:val="18"/>
        </w:rPr>
        <w:t> </w:t>
      </w:r>
      <w:r>
        <w:rPr>
          <w:color w:val="3B3A3B"/>
          <w:w w:val="105"/>
          <w:sz w:val="18"/>
        </w:rPr>
        <w:t>5.04 (di</w:t>
      </w:r>
      <w:r>
        <w:rPr>
          <w:color w:val="525254"/>
          <w:w w:val="105"/>
          <w:sz w:val="18"/>
        </w:rPr>
        <w:t>s</w:t>
      </w:r>
      <w:r>
        <w:rPr>
          <w:color w:val="3B3A3B"/>
          <w:w w:val="105"/>
          <w:sz w:val="18"/>
        </w:rPr>
        <w:t>cussing certified que</w:t>
      </w:r>
      <w:r>
        <w:rPr>
          <w:color w:val="525254"/>
          <w:w w:val="105"/>
          <w:sz w:val="18"/>
        </w:rPr>
        <w:t>s</w:t>
      </w:r>
      <w:r>
        <w:rPr>
          <w:color w:val="3B3A3B"/>
          <w:w w:val="105"/>
          <w:sz w:val="18"/>
        </w:rPr>
        <w:t>•</w:t>
      </w:r>
      <w:r>
        <w:rPr>
          <w:color w:val="3B3A3B"/>
          <w:spacing w:val="1"/>
          <w:w w:val="105"/>
          <w:sz w:val="18"/>
        </w:rPr>
        <w:t> </w:t>
      </w:r>
      <w:r>
        <w:rPr>
          <w:color w:val="2A2628"/>
          <w:w w:val="105"/>
          <w:sz w:val="18"/>
        </w:rPr>
        <w:t>Uons</w:t>
      </w:r>
      <w:r>
        <w:rPr>
          <w:color w:val="2A2628"/>
          <w:spacing w:val="-14"/>
          <w:w w:val="105"/>
          <w:sz w:val="18"/>
        </w:rPr>
        <w:t> </w:t>
      </w:r>
      <w:r>
        <w:rPr>
          <w:color w:val="3B3A3B"/>
          <w:w w:val="105"/>
          <w:sz w:val="18"/>
        </w:rPr>
        <w:t>of</w:t>
      </w:r>
      <w:r>
        <w:rPr>
          <w:color w:val="3B3A3B"/>
          <w:spacing w:val="8"/>
          <w:w w:val="105"/>
          <w:sz w:val="18"/>
        </w:rPr>
        <w:t> </w:t>
      </w:r>
      <w:r>
        <w:rPr>
          <w:color w:val="3B3A3B"/>
          <w:w w:val="105"/>
          <w:sz w:val="18"/>
        </w:rPr>
        <w:t>state</w:t>
      </w:r>
      <w:r>
        <w:rPr>
          <w:color w:val="3B3A3B"/>
          <w:spacing w:val="-4"/>
          <w:w w:val="105"/>
          <w:sz w:val="18"/>
        </w:rPr>
        <w:t> </w:t>
      </w:r>
      <w:r>
        <w:rPr>
          <w:color w:val="3B3A3B"/>
          <w:w w:val="105"/>
          <w:sz w:val="18"/>
        </w:rPr>
        <w:t>law from</w:t>
      </w:r>
      <w:r>
        <w:rPr>
          <w:color w:val="3B3A3B"/>
          <w:spacing w:val="3"/>
          <w:w w:val="105"/>
          <w:sz w:val="18"/>
        </w:rPr>
        <w:t> </w:t>
      </w:r>
      <w:r>
        <w:rPr>
          <w:color w:val="3B3A3B"/>
          <w:w w:val="105"/>
          <w:sz w:val="18"/>
        </w:rPr>
        <w:t>federal</w:t>
      </w:r>
      <w:r>
        <w:rPr>
          <w:color w:val="3B3A3B"/>
          <w:spacing w:val="2"/>
          <w:w w:val="105"/>
          <w:sz w:val="18"/>
        </w:rPr>
        <w:t> </w:t>
      </w:r>
      <w:r>
        <w:rPr>
          <w:color w:val="3B3A3B"/>
          <w:w w:val="105"/>
          <w:sz w:val="18"/>
        </w:rPr>
        <w:t>courts)</w:t>
      </w:r>
      <w:r>
        <w:rPr>
          <w:color w:val="525254"/>
          <w:w w:val="105"/>
          <w:sz w:val="18"/>
        </w:rPr>
        <w:t>.</w:t>
      </w:r>
      <w:r>
        <w:rPr>
          <w:color w:val="525254"/>
          <w:spacing w:val="-15"/>
          <w:w w:val="105"/>
          <w:sz w:val="18"/>
        </w:rPr>
        <w:t> </w:t>
      </w:r>
      <w:r>
        <w:rPr>
          <w:rFonts w:ascii="Arial" w:hAnsi="Arial"/>
          <w:i/>
          <w:color w:val="3B3A3B"/>
          <w:w w:val="105"/>
          <w:sz w:val="17"/>
        </w:rPr>
        <w:t>See</w:t>
      </w:r>
      <w:r>
        <w:rPr>
          <w:rFonts w:ascii="Arial" w:hAnsi="Arial"/>
          <w:i/>
          <w:color w:val="3B3A3B"/>
          <w:spacing w:val="-23"/>
          <w:w w:val="105"/>
          <w:sz w:val="17"/>
        </w:rPr>
        <w:t> </w:t>
      </w:r>
      <w:r>
        <w:rPr>
          <w:rFonts w:ascii="Arial" w:hAnsi="Arial"/>
          <w:i/>
          <w:color w:val="3B3A3B"/>
          <w:w w:val="105"/>
          <w:sz w:val="17"/>
        </w:rPr>
        <w:t>al</w:t>
      </w:r>
      <w:r>
        <w:rPr>
          <w:rFonts w:ascii="Arial" w:hAnsi="Arial"/>
          <w:i/>
          <w:color w:val="525254"/>
          <w:w w:val="105"/>
          <w:sz w:val="17"/>
        </w:rPr>
        <w:t>s</w:t>
      </w:r>
      <w:r>
        <w:rPr>
          <w:rFonts w:ascii="Arial" w:hAnsi="Arial"/>
          <w:i/>
          <w:color w:val="3B3A3B"/>
          <w:w w:val="105"/>
          <w:sz w:val="17"/>
        </w:rPr>
        <w:t>o</w:t>
      </w:r>
      <w:r>
        <w:rPr>
          <w:rFonts w:ascii="Arial" w:hAnsi="Arial"/>
          <w:i/>
          <w:color w:val="3B3A3B"/>
          <w:spacing w:val="-5"/>
          <w:w w:val="105"/>
          <w:sz w:val="17"/>
        </w:rPr>
        <w:t> </w:t>
      </w:r>
      <w:r>
        <w:rPr>
          <w:color w:val="3B3A3B"/>
          <w:w w:val="105"/>
          <w:sz w:val="18"/>
        </w:rPr>
        <w:t>U.S</w:t>
      </w:r>
      <w:r>
        <w:rPr>
          <w:color w:val="525254"/>
          <w:w w:val="105"/>
          <w:sz w:val="18"/>
        </w:rPr>
        <w:t>.</w:t>
      </w:r>
      <w:r>
        <w:rPr>
          <w:color w:val="525254"/>
          <w:spacing w:val="-14"/>
          <w:w w:val="105"/>
          <w:sz w:val="18"/>
        </w:rPr>
        <w:t> </w:t>
      </w:r>
      <w:r>
        <w:rPr>
          <w:color w:val="3B3A3B"/>
          <w:w w:val="105"/>
          <w:sz w:val="18"/>
        </w:rPr>
        <w:t>Sup.</w:t>
      </w:r>
      <w:r>
        <w:rPr>
          <w:color w:val="3B3A3B"/>
          <w:spacing w:val="-15"/>
          <w:w w:val="105"/>
          <w:sz w:val="18"/>
        </w:rPr>
        <w:t> </w:t>
      </w:r>
      <w:r>
        <w:rPr>
          <w:color w:val="3B3A3B"/>
          <w:w w:val="105"/>
          <w:sz w:val="18"/>
        </w:rPr>
        <w:t>Ct.</w:t>
      </w:r>
      <w:r>
        <w:rPr>
          <w:color w:val="3B3A3B"/>
          <w:spacing w:val="15"/>
          <w:w w:val="105"/>
          <w:sz w:val="18"/>
        </w:rPr>
        <w:t> </w:t>
      </w:r>
      <w:r>
        <w:rPr>
          <w:color w:val="3B3A3B"/>
          <w:w w:val="105"/>
          <w:sz w:val="18"/>
        </w:rPr>
        <w:t>R.</w:t>
      </w:r>
      <w:r>
        <w:rPr>
          <w:color w:val="3B3A3B"/>
          <w:spacing w:val="-9"/>
          <w:w w:val="105"/>
          <w:sz w:val="18"/>
        </w:rPr>
        <w:t> </w:t>
      </w:r>
      <w:r>
        <w:rPr>
          <w:color w:val="3B3A3B"/>
          <w:w w:val="105"/>
          <w:sz w:val="18"/>
        </w:rPr>
        <w:t>10</w:t>
      </w:r>
      <w:r>
        <w:rPr>
          <w:color w:val="3B3A3B"/>
          <w:spacing w:val="20"/>
          <w:w w:val="105"/>
          <w:sz w:val="18"/>
        </w:rPr>
        <w:t> </w:t>
      </w:r>
      <w:r>
        <w:rPr>
          <w:color w:val="3B3A3B"/>
          <w:w w:val="105"/>
          <w:sz w:val="18"/>
        </w:rPr>
        <w:t>(gov</w:t>
      </w:r>
      <w:r>
        <w:rPr>
          <w:color w:val="525254"/>
          <w:w w:val="105"/>
          <w:sz w:val="18"/>
        </w:rPr>
        <w:t>e</w:t>
      </w:r>
      <w:r>
        <w:rPr>
          <w:color w:val="3B3A3B"/>
          <w:w w:val="105"/>
          <w:sz w:val="18"/>
        </w:rPr>
        <w:t>rning</w:t>
      </w:r>
      <w:r>
        <w:rPr>
          <w:color w:val="3B3A3B"/>
          <w:spacing w:val="6"/>
          <w:w w:val="105"/>
          <w:sz w:val="18"/>
        </w:rPr>
        <w:t> </w:t>
      </w:r>
      <w:r>
        <w:rPr>
          <w:color w:val="525254"/>
          <w:w w:val="105"/>
          <w:sz w:val="18"/>
        </w:rPr>
        <w:t>c</w:t>
      </w:r>
      <w:r>
        <w:rPr>
          <w:color w:val="3B3A3B"/>
          <w:w w:val="105"/>
          <w:sz w:val="18"/>
        </w:rPr>
        <w:t>ertiorari).</w:t>
      </w:r>
    </w:p>
    <w:p>
      <w:pPr>
        <w:spacing w:after="0" w:line="228" w:lineRule="auto"/>
        <w:jc w:val="both"/>
        <w:rPr>
          <w:sz w:val="18"/>
        </w:rPr>
        <w:sectPr>
          <w:type w:val="continuous"/>
          <w:pgSz w:w="9580" w:h="13840"/>
          <w:pgMar w:header="0" w:footer="0" w:top="340" w:bottom="280" w:left="46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44" w:lineRule="auto" w:before="227"/>
        <w:ind w:left="513" w:right="143" w:firstLine="367"/>
        <w:jc w:val="both"/>
      </w:pPr>
      <w:r>
        <w:rPr>
          <w:color w:val="3A3838"/>
          <w:spacing w:val="-1"/>
          <w:w w:val="110"/>
        </w:rPr>
        <w:t>This </w:t>
      </w:r>
      <w:r>
        <w:rPr>
          <w:color w:val="3A3838"/>
          <w:w w:val="110"/>
        </w:rPr>
        <w:t>chapter briefly explains principles of appellate jurisdiction before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discussing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how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writers</w:t>
      </w:r>
      <w:r>
        <w:rPr>
          <w:color w:val="3A3838"/>
          <w:spacing w:val="-17"/>
          <w:w w:val="110"/>
        </w:rPr>
        <w:t> </w:t>
      </w:r>
      <w:r>
        <w:rPr>
          <w:color w:val="3A3838"/>
          <w:w w:val="110"/>
        </w:rPr>
        <w:t>can</w:t>
      </w:r>
      <w:r>
        <w:rPr>
          <w:color w:val="3A3838"/>
          <w:spacing w:val="11"/>
          <w:w w:val="110"/>
        </w:rPr>
        <w:t> </w:t>
      </w:r>
      <w:r>
        <w:rPr>
          <w:color w:val="3A3838"/>
          <w:w w:val="110"/>
        </w:rPr>
        <w:t>use</w:t>
      </w:r>
      <w:r>
        <w:rPr>
          <w:color w:val="3A3838"/>
          <w:spacing w:val="-18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7"/>
          <w:w w:val="110"/>
        </w:rPr>
        <w:t> </w:t>
      </w:r>
      <w:r>
        <w:rPr>
          <w:color w:val="3A3838"/>
          <w:w w:val="110"/>
        </w:rPr>
        <w:t>appropriate</w:t>
      </w:r>
      <w:r>
        <w:rPr>
          <w:color w:val="3A3838"/>
          <w:spacing w:val="-9"/>
          <w:w w:val="110"/>
        </w:rPr>
        <w:t> </w:t>
      </w:r>
      <w:r>
        <w:rPr>
          <w:color w:val="3A3838"/>
          <w:w w:val="110"/>
        </w:rPr>
        <w:t>standards</w:t>
      </w:r>
      <w:r>
        <w:rPr>
          <w:color w:val="3A3838"/>
          <w:spacing w:val="-15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2"/>
          <w:w w:val="110"/>
        </w:rPr>
        <w:t> </w:t>
      </w:r>
      <w:r>
        <w:rPr>
          <w:color w:val="3A3838"/>
          <w:w w:val="110"/>
        </w:rPr>
        <w:t>review</w:t>
      </w:r>
      <w:r>
        <w:rPr>
          <w:color w:val="3A3838"/>
          <w:spacing w:val="-25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11"/>
          <w:w w:val="110"/>
        </w:rPr>
        <w:t> </w:t>
      </w:r>
      <w:r>
        <w:rPr>
          <w:color w:val="3A3838"/>
          <w:w w:val="110"/>
        </w:rPr>
        <w:t>both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appellate</w:t>
      </w:r>
      <w:r>
        <w:rPr>
          <w:color w:val="3A3838"/>
          <w:spacing w:val="-5"/>
          <w:w w:val="110"/>
        </w:rPr>
        <w:t> </w:t>
      </w:r>
      <w:r>
        <w:rPr>
          <w:color w:val="3A3838"/>
          <w:w w:val="110"/>
        </w:rPr>
        <w:t>briefs</w:t>
      </w:r>
      <w:r>
        <w:rPr>
          <w:color w:val="3A3838"/>
          <w:spacing w:val="-13"/>
          <w:w w:val="110"/>
        </w:rPr>
        <w:t> </w:t>
      </w:r>
      <w:r>
        <w:rPr>
          <w:color w:val="3A3838"/>
          <w:w w:val="110"/>
        </w:rPr>
        <w:t>and</w:t>
      </w:r>
      <w:r>
        <w:rPr>
          <w:color w:val="3A3838"/>
          <w:spacing w:val="43"/>
          <w:w w:val="110"/>
        </w:rPr>
        <w:t> </w:t>
      </w:r>
      <w:r>
        <w:rPr>
          <w:color w:val="3A3838"/>
          <w:w w:val="110"/>
        </w:rPr>
        <w:t>motion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briefs.</w:t>
      </w:r>
    </w:p>
    <w:p>
      <w:pPr>
        <w:pStyle w:val="BodyText"/>
        <w:rPr>
          <w:sz w:val="26"/>
        </w:rPr>
      </w:pPr>
    </w:p>
    <w:p>
      <w:pPr>
        <w:spacing w:before="232"/>
        <w:ind w:left="1131" w:right="0" w:firstLine="0"/>
        <w:jc w:val="left"/>
        <w:rPr>
          <w:rFonts w:ascii="Arial"/>
          <w:b/>
          <w:sz w:val="33"/>
        </w:rPr>
      </w:pPr>
      <w:r>
        <w:rPr>
          <w:rFonts w:ascii="Arial"/>
          <w:b/>
          <w:color w:val="545456"/>
          <w:w w:val="110"/>
          <w:sz w:val="33"/>
        </w:rPr>
        <w:t>2.</w:t>
      </w:r>
      <w:r>
        <w:rPr>
          <w:rFonts w:ascii="Arial"/>
          <w:b/>
          <w:color w:val="3A3838"/>
          <w:w w:val="110"/>
          <w:sz w:val="33"/>
        </w:rPr>
        <w:t>1</w:t>
      </w:r>
    </w:p>
    <w:p>
      <w:pPr>
        <w:spacing w:before="62"/>
        <w:ind w:left="1132" w:right="0" w:firstLine="0"/>
        <w:jc w:val="left"/>
        <w:rPr>
          <w:rFonts w:ascii="Arial"/>
          <w:sz w:val="26"/>
        </w:rPr>
      </w:pPr>
      <w:r>
        <w:rPr>
          <w:rFonts w:ascii="Arial"/>
          <w:color w:val="545456"/>
          <w:sz w:val="26"/>
        </w:rPr>
        <w:t>J</w:t>
      </w:r>
      <w:r>
        <w:rPr>
          <w:rFonts w:ascii="Arial"/>
          <w:color w:val="3A3838"/>
          <w:sz w:val="26"/>
        </w:rPr>
        <w:t>U</w:t>
      </w:r>
      <w:r>
        <w:rPr>
          <w:rFonts w:ascii="Arial"/>
          <w:color w:val="545456"/>
          <w:sz w:val="26"/>
        </w:rPr>
        <w:t>R</w:t>
      </w:r>
      <w:r>
        <w:rPr>
          <w:rFonts w:ascii="Arial"/>
          <w:color w:val="797B7C"/>
          <w:sz w:val="26"/>
        </w:rPr>
        <w:t>I</w:t>
      </w:r>
      <w:r>
        <w:rPr>
          <w:rFonts w:ascii="Arial"/>
          <w:color w:val="545456"/>
          <w:sz w:val="26"/>
        </w:rPr>
        <w:t>SDI</w:t>
      </w:r>
      <w:r>
        <w:rPr>
          <w:rFonts w:ascii="Arial"/>
          <w:color w:val="3A3838"/>
          <w:sz w:val="26"/>
        </w:rPr>
        <w:t>C</w:t>
      </w:r>
      <w:r>
        <w:rPr>
          <w:rFonts w:ascii="Arial"/>
          <w:color w:val="545456"/>
          <w:sz w:val="26"/>
        </w:rPr>
        <w:t>TION</w:t>
      </w:r>
      <w:r>
        <w:rPr>
          <w:rFonts w:ascii="Arial"/>
          <w:color w:val="545456"/>
          <w:spacing w:val="37"/>
          <w:sz w:val="26"/>
        </w:rPr>
        <w:t> </w:t>
      </w:r>
      <w:r>
        <w:rPr>
          <w:rFonts w:ascii="Arial"/>
          <w:color w:val="3A3838"/>
          <w:sz w:val="26"/>
        </w:rPr>
        <w:t>IN</w:t>
      </w:r>
      <w:r>
        <w:rPr>
          <w:rFonts w:ascii="Arial"/>
          <w:color w:val="3A3838"/>
          <w:spacing w:val="6"/>
          <w:sz w:val="26"/>
        </w:rPr>
        <w:t> </w:t>
      </w:r>
      <w:r>
        <w:rPr>
          <w:rFonts w:ascii="Arial"/>
          <w:color w:val="3A3838"/>
          <w:sz w:val="26"/>
        </w:rPr>
        <w:t>C</w:t>
      </w:r>
      <w:r>
        <w:rPr>
          <w:rFonts w:ascii="Arial"/>
          <w:color w:val="545456"/>
          <w:sz w:val="26"/>
        </w:rPr>
        <w:t>OURT</w:t>
      </w:r>
      <w:r>
        <w:rPr>
          <w:rFonts w:ascii="Arial"/>
          <w:color w:val="3A3838"/>
          <w:sz w:val="26"/>
        </w:rPr>
        <w:t>S</w:t>
      </w:r>
      <w:r>
        <w:rPr>
          <w:rFonts w:ascii="Arial"/>
          <w:color w:val="3A3838"/>
          <w:spacing w:val="-19"/>
          <w:sz w:val="26"/>
        </w:rPr>
        <w:t> </w:t>
      </w:r>
      <w:r>
        <w:rPr>
          <w:rFonts w:ascii="Arial"/>
          <w:color w:val="545456"/>
          <w:sz w:val="26"/>
        </w:rPr>
        <w:t>O</w:t>
      </w:r>
      <w:r>
        <w:rPr>
          <w:rFonts w:ascii="Arial"/>
          <w:color w:val="3A3838"/>
          <w:sz w:val="26"/>
        </w:rPr>
        <w:t>F</w:t>
      </w:r>
      <w:r>
        <w:rPr>
          <w:rFonts w:ascii="Arial"/>
          <w:color w:val="3A3838"/>
          <w:spacing w:val="-20"/>
          <w:sz w:val="26"/>
        </w:rPr>
        <w:t> </w:t>
      </w:r>
      <w:r>
        <w:rPr>
          <w:rFonts w:ascii="Arial"/>
          <w:color w:val="3A3838"/>
          <w:sz w:val="26"/>
        </w:rPr>
        <w:t>LA</w:t>
      </w:r>
      <w:r>
        <w:rPr>
          <w:rFonts w:ascii="Arial"/>
          <w:color w:val="545456"/>
          <w:sz w:val="26"/>
        </w:rPr>
        <w:t>S</w:t>
      </w:r>
      <w:r>
        <w:rPr>
          <w:rFonts w:ascii="Arial"/>
          <w:color w:val="3A3838"/>
          <w:sz w:val="26"/>
        </w:rPr>
        <w:t>T</w:t>
      </w:r>
      <w:r>
        <w:rPr>
          <w:rFonts w:ascii="Arial"/>
          <w:color w:val="3A3838"/>
          <w:spacing w:val="31"/>
          <w:sz w:val="26"/>
        </w:rPr>
        <w:t> </w:t>
      </w:r>
      <w:r>
        <w:rPr>
          <w:rFonts w:ascii="Arial"/>
          <w:color w:val="545456"/>
          <w:sz w:val="26"/>
        </w:rPr>
        <w:t>RE</w:t>
      </w:r>
      <w:r>
        <w:rPr>
          <w:rFonts w:ascii="Arial"/>
          <w:color w:val="3A3838"/>
          <w:sz w:val="26"/>
        </w:rPr>
        <w:t>S</w:t>
      </w:r>
      <w:r>
        <w:rPr>
          <w:rFonts w:ascii="Arial"/>
          <w:color w:val="545456"/>
          <w:sz w:val="26"/>
        </w:rPr>
        <w:t>ORT</w:t>
      </w:r>
    </w:p>
    <w:p>
      <w:pPr>
        <w:pStyle w:val="BodyText"/>
        <w:spacing w:line="232" w:lineRule="auto" w:before="247"/>
        <w:ind w:left="548" w:right="105" w:firstLine="627"/>
        <w:jc w:val="both"/>
      </w:pPr>
      <w:r>
        <w:rPr>
          <w:color w:val="3A3838"/>
          <w:w w:val="110"/>
        </w:rPr>
        <w:t>A "court of last resort" is the highest court in a particular legal sys­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tem. </w:t>
      </w:r>
      <w:r>
        <w:rPr>
          <w:color w:val="3A3838"/>
          <w:w w:val="115"/>
          <w:sz w:val="22"/>
        </w:rPr>
        <w:t>It </w:t>
      </w:r>
      <w:r>
        <w:rPr>
          <w:color w:val="3A3838"/>
          <w:w w:val="115"/>
        </w:rPr>
        <w:t>is the last court to which litigants can resort when seeking reso­</w:t>
      </w:r>
      <w:r>
        <w:rPr>
          <w:color w:val="3A3838"/>
          <w:spacing w:val="-64"/>
          <w:w w:val="115"/>
        </w:rPr>
        <w:t> </w:t>
      </w:r>
      <w:r>
        <w:rPr>
          <w:color w:val="3A3838"/>
          <w:w w:val="110"/>
        </w:rPr>
        <w:t>lution of a legal issue. In the federal system, the United States Supreme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Court</w:t>
      </w:r>
      <w:r>
        <w:rPr>
          <w:color w:val="3A3838"/>
          <w:spacing w:val="-10"/>
          <w:w w:val="110"/>
        </w:rPr>
        <w:t> </w:t>
      </w:r>
      <w:r>
        <w:rPr>
          <w:color w:val="2A2828"/>
          <w:w w:val="110"/>
        </w:rPr>
        <w:t>is</w:t>
      </w:r>
      <w:r>
        <w:rPr>
          <w:color w:val="2A2828"/>
          <w:spacing w:val="-3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-3"/>
          <w:w w:val="110"/>
        </w:rPr>
        <w:t> </w:t>
      </w:r>
      <w:r>
        <w:rPr>
          <w:color w:val="3A3838"/>
          <w:w w:val="110"/>
        </w:rPr>
        <w:t>court</w:t>
      </w:r>
      <w:r>
        <w:rPr>
          <w:color w:val="3A3838"/>
          <w:spacing w:val="-25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-5"/>
          <w:w w:val="110"/>
        </w:rPr>
        <w:t> </w:t>
      </w:r>
      <w:r>
        <w:rPr>
          <w:color w:val="3A3838"/>
          <w:w w:val="110"/>
        </w:rPr>
        <w:t>last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resort,</w:t>
      </w:r>
      <w:r>
        <w:rPr>
          <w:color w:val="3A3838"/>
          <w:spacing w:val="-15"/>
          <w:w w:val="110"/>
        </w:rPr>
        <w:t> </w:t>
      </w:r>
      <w:r>
        <w:rPr>
          <w:color w:val="3A3838"/>
          <w:w w:val="110"/>
        </w:rPr>
        <w:t>and</w:t>
      </w:r>
      <w:r>
        <w:rPr>
          <w:color w:val="3A3838"/>
          <w:spacing w:val="16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8"/>
          <w:w w:val="110"/>
        </w:rPr>
        <w:t> </w:t>
      </w:r>
      <w:r>
        <w:rPr>
          <w:color w:val="3A3838"/>
          <w:w w:val="110"/>
        </w:rPr>
        <w:t>majority</w:t>
      </w:r>
      <w:r>
        <w:rPr>
          <w:color w:val="3A3838"/>
          <w:spacing w:val="-22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-5"/>
          <w:w w:val="110"/>
        </w:rPr>
        <w:t> </w:t>
      </w:r>
      <w:r>
        <w:rPr>
          <w:color w:val="3A3838"/>
          <w:w w:val="110"/>
        </w:rPr>
        <w:t>its</w:t>
      </w:r>
      <w:r>
        <w:rPr>
          <w:color w:val="3A3838"/>
          <w:spacing w:val="-14"/>
          <w:w w:val="110"/>
        </w:rPr>
        <w:t> </w:t>
      </w:r>
      <w:r>
        <w:rPr>
          <w:color w:val="3A3838"/>
          <w:w w:val="110"/>
        </w:rPr>
        <w:t>cases</w:t>
      </w:r>
      <w:r>
        <w:rPr>
          <w:color w:val="3A3838"/>
          <w:spacing w:val="-34"/>
          <w:w w:val="110"/>
        </w:rPr>
        <w:t> </w:t>
      </w:r>
      <w:r>
        <w:rPr>
          <w:color w:val="3A3838"/>
          <w:w w:val="110"/>
        </w:rPr>
        <w:t>come</w:t>
      </w:r>
      <w:r>
        <w:rPr>
          <w:color w:val="3A3838"/>
          <w:spacing w:val="-31"/>
          <w:w w:val="110"/>
        </w:rPr>
        <w:t> </w:t>
      </w:r>
      <w:r>
        <w:rPr>
          <w:color w:val="3A3838"/>
          <w:w w:val="110"/>
        </w:rPr>
        <w:t>from</w:t>
      </w:r>
      <w:r>
        <w:rPr>
          <w:color w:val="3A3838"/>
          <w:spacing w:val="-1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United States Courts of Appeals of the various circuits</w:t>
      </w:r>
      <w:r>
        <w:rPr>
          <w:color w:val="545456"/>
          <w:w w:val="105"/>
        </w:rPr>
        <w:t>. </w:t>
      </w:r>
      <w:r>
        <w:rPr>
          <w:color w:val="3A3838"/>
          <w:w w:val="105"/>
        </w:rPr>
        <w:t>In state systems,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5"/>
        </w:rPr>
        <w:t>highest court of appeals-often called the Supreme Court-is thecourt of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last</w:t>
      </w:r>
      <w:r>
        <w:rPr>
          <w:color w:val="3A3838"/>
          <w:spacing w:val="-17"/>
          <w:w w:val="110"/>
        </w:rPr>
        <w:t> </w:t>
      </w:r>
      <w:r>
        <w:rPr>
          <w:color w:val="3A3838"/>
          <w:w w:val="110"/>
        </w:rPr>
        <w:t>resort,</w:t>
      </w:r>
      <w:r>
        <w:rPr>
          <w:color w:val="3A3838"/>
          <w:spacing w:val="-23"/>
          <w:w w:val="110"/>
        </w:rPr>
        <w:t> </w:t>
      </w:r>
      <w:r>
        <w:rPr>
          <w:color w:val="3A3838"/>
          <w:w w:val="110"/>
        </w:rPr>
        <w:t>and</w:t>
      </w:r>
      <w:r>
        <w:rPr>
          <w:color w:val="3A3838"/>
          <w:spacing w:val="15"/>
          <w:w w:val="110"/>
        </w:rPr>
        <w:t> </w:t>
      </w:r>
      <w:r>
        <w:rPr>
          <w:color w:val="3A3838"/>
          <w:w w:val="110"/>
        </w:rPr>
        <w:t>it</w:t>
      </w:r>
      <w:r>
        <w:rPr>
          <w:color w:val="3A3838"/>
          <w:spacing w:val="-5"/>
          <w:w w:val="110"/>
        </w:rPr>
        <w:t> </w:t>
      </w:r>
      <w:r>
        <w:rPr>
          <w:color w:val="3A3838"/>
          <w:w w:val="110"/>
        </w:rPr>
        <w:t>generally</w:t>
      </w:r>
      <w:r>
        <w:rPr>
          <w:color w:val="3A3838"/>
          <w:spacing w:val="-5"/>
          <w:w w:val="110"/>
        </w:rPr>
        <w:t> </w:t>
      </w:r>
      <w:r>
        <w:rPr>
          <w:color w:val="3A3838"/>
          <w:w w:val="110"/>
        </w:rPr>
        <w:t>hears</w:t>
      </w:r>
      <w:r>
        <w:rPr>
          <w:color w:val="3A3838"/>
          <w:spacing w:val="-29"/>
          <w:w w:val="110"/>
        </w:rPr>
        <w:t> </w:t>
      </w:r>
      <w:r>
        <w:rPr>
          <w:color w:val="3A3838"/>
          <w:w w:val="110"/>
        </w:rPr>
        <w:t>cases</w:t>
      </w:r>
      <w:r>
        <w:rPr>
          <w:color w:val="3A3838"/>
          <w:spacing w:val="-21"/>
          <w:w w:val="110"/>
        </w:rPr>
        <w:t> </w:t>
      </w:r>
      <w:r>
        <w:rPr>
          <w:color w:val="3A3838"/>
          <w:w w:val="110"/>
        </w:rPr>
        <w:t>from</w:t>
      </w:r>
      <w:r>
        <w:rPr>
          <w:color w:val="3A3838"/>
          <w:spacing w:val="-15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-24"/>
          <w:w w:val="110"/>
        </w:rPr>
        <w:t> </w:t>
      </w:r>
      <w:r>
        <w:rPr>
          <w:color w:val="3A3838"/>
          <w:w w:val="110"/>
        </w:rPr>
        <w:t>state's</w:t>
      </w:r>
      <w:r>
        <w:rPr>
          <w:color w:val="3A3838"/>
          <w:spacing w:val="-26"/>
          <w:w w:val="110"/>
        </w:rPr>
        <w:t> </w:t>
      </w:r>
      <w:r>
        <w:rPr>
          <w:color w:val="3A3838"/>
          <w:w w:val="110"/>
        </w:rPr>
        <w:t>intermediate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appel­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late courts. The United States Supreme Court can also hear appeals from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0"/>
        </w:rPr>
        <w:t>state</w:t>
      </w:r>
      <w:r>
        <w:rPr>
          <w:color w:val="3A3838"/>
          <w:spacing w:val="-26"/>
          <w:w w:val="110"/>
        </w:rPr>
        <w:t> </w:t>
      </w:r>
      <w:r>
        <w:rPr>
          <w:color w:val="3A3838"/>
          <w:spacing w:val="-1"/>
          <w:w w:val="110"/>
        </w:rPr>
        <w:t>courts</w:t>
      </w:r>
      <w:r>
        <w:rPr>
          <w:color w:val="3A3838"/>
          <w:spacing w:val="-31"/>
          <w:w w:val="110"/>
        </w:rPr>
        <w:t> </w:t>
      </w:r>
      <w:r>
        <w:rPr>
          <w:color w:val="3A3838"/>
          <w:spacing w:val="-1"/>
          <w:w w:val="110"/>
        </w:rPr>
        <w:t>of</w:t>
      </w:r>
      <w:r>
        <w:rPr>
          <w:color w:val="3A3838"/>
          <w:spacing w:val="-11"/>
          <w:w w:val="110"/>
        </w:rPr>
        <w:t> </w:t>
      </w:r>
      <w:r>
        <w:rPr>
          <w:color w:val="3A3838"/>
          <w:spacing w:val="-1"/>
          <w:w w:val="110"/>
        </w:rPr>
        <w:t>last</w:t>
      </w:r>
      <w:r>
        <w:rPr>
          <w:color w:val="3A3838"/>
          <w:spacing w:val="-12"/>
          <w:w w:val="110"/>
        </w:rPr>
        <w:t> </w:t>
      </w:r>
      <w:r>
        <w:rPr>
          <w:color w:val="3A3838"/>
          <w:spacing w:val="-1"/>
          <w:w w:val="110"/>
        </w:rPr>
        <w:t>resort</w:t>
      </w:r>
      <w:r>
        <w:rPr>
          <w:color w:val="545456"/>
          <w:spacing w:val="-1"/>
          <w:w w:val="110"/>
        </w:rPr>
        <w:t>,</w:t>
      </w:r>
      <w:r>
        <w:rPr>
          <w:color w:val="545456"/>
          <w:spacing w:val="-13"/>
          <w:w w:val="110"/>
        </w:rPr>
        <w:t> </w:t>
      </w:r>
      <w:r>
        <w:rPr>
          <w:color w:val="3A3838"/>
          <w:w w:val="110"/>
        </w:rPr>
        <w:t>but</w:t>
      </w:r>
      <w:r>
        <w:rPr>
          <w:color w:val="3A3838"/>
          <w:spacing w:val="11"/>
          <w:w w:val="110"/>
        </w:rPr>
        <w:t> </w:t>
      </w:r>
      <w:r>
        <w:rPr>
          <w:color w:val="3A3838"/>
          <w:w w:val="110"/>
        </w:rPr>
        <w:t>only</w:t>
      </w:r>
      <w:r>
        <w:rPr>
          <w:color w:val="3A3838"/>
          <w:spacing w:val="-28"/>
          <w:w w:val="110"/>
        </w:rPr>
        <w:t> </w:t>
      </w:r>
      <w:r>
        <w:rPr>
          <w:color w:val="3A3838"/>
          <w:w w:val="110"/>
        </w:rPr>
        <w:t>if the</w:t>
      </w:r>
      <w:r>
        <w:rPr>
          <w:color w:val="3A3838"/>
          <w:spacing w:val="30"/>
          <w:w w:val="110"/>
        </w:rPr>
        <w:t> </w:t>
      </w:r>
      <w:r>
        <w:rPr>
          <w:color w:val="3A3838"/>
          <w:w w:val="110"/>
        </w:rPr>
        <w:t>issue</w:t>
      </w:r>
      <w:r>
        <w:rPr>
          <w:color w:val="3A3838"/>
          <w:spacing w:val="-22"/>
          <w:w w:val="110"/>
        </w:rPr>
        <w:t> </w:t>
      </w:r>
      <w:r>
        <w:rPr>
          <w:color w:val="3A3838"/>
          <w:w w:val="110"/>
        </w:rPr>
        <w:t>is</w:t>
      </w:r>
      <w:r>
        <w:rPr>
          <w:color w:val="3A3838"/>
          <w:spacing w:val="-28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-5"/>
          <w:w w:val="110"/>
        </w:rPr>
        <w:t> </w:t>
      </w:r>
      <w:r>
        <w:rPr>
          <w:color w:val="3A3838"/>
          <w:w w:val="110"/>
        </w:rPr>
        <w:t>matter</w:t>
      </w:r>
      <w:r>
        <w:rPr>
          <w:color w:val="3A3838"/>
          <w:spacing w:val="-17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federal</w:t>
      </w:r>
      <w:r>
        <w:rPr>
          <w:color w:val="3A3838"/>
          <w:spacing w:val="-15"/>
          <w:w w:val="110"/>
        </w:rPr>
        <w:t> </w:t>
      </w:r>
      <w:r>
        <w:rPr>
          <w:color w:val="2A2828"/>
          <w:w w:val="110"/>
        </w:rPr>
        <w:t>law.</w:t>
      </w:r>
      <w:r>
        <w:rPr>
          <w:color w:val="2A2828"/>
          <w:spacing w:val="-19"/>
          <w:w w:val="110"/>
        </w:rPr>
        <w:t> </w:t>
      </w:r>
      <w:r>
        <w:rPr>
          <w:color w:val="3A3838"/>
          <w:w w:val="110"/>
        </w:rPr>
        <w:t>For</w:t>
      </w:r>
      <w:r>
        <w:rPr>
          <w:color w:val="3A3838"/>
          <w:spacing w:val="-60"/>
          <w:w w:val="110"/>
        </w:rPr>
        <w:t> </w:t>
      </w:r>
      <w:r>
        <w:rPr>
          <w:color w:val="3A3838"/>
          <w:w w:val="110"/>
        </w:rPr>
        <w:t>example, the Court may hear an appeal in order to determine whether a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state court has interpreted a law in a way that may have conflicted with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the</w:t>
      </w:r>
      <w:r>
        <w:rPr>
          <w:color w:val="3A3838"/>
          <w:spacing w:val="17"/>
          <w:w w:val="115"/>
        </w:rPr>
        <w:t> </w:t>
      </w:r>
      <w:r>
        <w:rPr>
          <w:color w:val="3A3838"/>
          <w:w w:val="115"/>
        </w:rPr>
        <w:t>United</w:t>
      </w:r>
      <w:r>
        <w:rPr>
          <w:color w:val="3A3838"/>
          <w:spacing w:val="-11"/>
          <w:w w:val="115"/>
        </w:rPr>
        <w:t> </w:t>
      </w:r>
      <w:r>
        <w:rPr>
          <w:color w:val="3A3838"/>
          <w:w w:val="115"/>
        </w:rPr>
        <w:t>States</w:t>
      </w:r>
      <w:r>
        <w:rPr>
          <w:color w:val="3A3838"/>
          <w:spacing w:val="-27"/>
          <w:w w:val="115"/>
        </w:rPr>
        <w:t> </w:t>
      </w:r>
      <w:r>
        <w:rPr>
          <w:color w:val="3A3838"/>
          <w:w w:val="115"/>
        </w:rPr>
        <w:t>Constitution.</w:t>
      </w:r>
    </w:p>
    <w:p>
      <w:pPr>
        <w:pStyle w:val="BodyText"/>
        <w:spacing w:line="237" w:lineRule="auto"/>
        <w:ind w:left="426" w:right="114" w:firstLine="487"/>
        <w:jc w:val="both"/>
      </w:pPr>
      <w:r>
        <w:rPr>
          <w:color w:val="3A3838"/>
          <w:spacing w:val="-1"/>
          <w:w w:val="115"/>
        </w:rPr>
        <w:t>Most courts of last resort are not merely courts of </w:t>
      </w:r>
      <w:r>
        <w:rPr>
          <w:color w:val="3A3838"/>
          <w:w w:val="115"/>
        </w:rPr>
        <w:t>error; that is</w:t>
      </w:r>
      <w:r>
        <w:rPr>
          <w:color w:val="545456"/>
          <w:w w:val="115"/>
        </w:rPr>
        <w:t>, </w:t>
      </w:r>
      <w:r>
        <w:rPr>
          <w:color w:val="3A3838"/>
          <w:w w:val="115"/>
        </w:rPr>
        <w:t>they</w:t>
      </w:r>
      <w:r>
        <w:rPr>
          <w:color w:val="3A3838"/>
          <w:spacing w:val="-65"/>
          <w:w w:val="115"/>
        </w:rPr>
        <w:t> </w:t>
      </w:r>
      <w:r>
        <w:rPr>
          <w:color w:val="3A3838"/>
          <w:w w:val="110"/>
        </w:rPr>
        <w:t>do not take cases simply because one  party </w:t>
      </w:r>
      <w:r>
        <w:rPr>
          <w:rFonts w:ascii="Arial" w:hAnsi="Arial"/>
          <w:i/>
          <w:color w:val="3A3838"/>
          <w:w w:val="110"/>
          <w:sz w:val="21"/>
        </w:rPr>
        <w:t>claims </w:t>
      </w:r>
      <w:r>
        <w:rPr>
          <w:color w:val="3A3838"/>
          <w:w w:val="110"/>
        </w:rPr>
        <w:t>that there was an error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of law in a </w:t>
      </w:r>
      <w:r>
        <w:rPr>
          <w:color w:val="2A2828"/>
          <w:w w:val="105"/>
        </w:rPr>
        <w:t>lower </w:t>
      </w:r>
      <w:r>
        <w:rPr>
          <w:color w:val="3A3838"/>
          <w:w w:val="105"/>
        </w:rPr>
        <w:t>court decision. For example</w:t>
      </w:r>
      <w:r>
        <w:rPr>
          <w:color w:val="545456"/>
          <w:w w:val="105"/>
        </w:rPr>
        <w:t>, </w:t>
      </w:r>
      <w:r>
        <w:rPr>
          <w:color w:val="3A3838"/>
          <w:w w:val="105"/>
        </w:rPr>
        <w:t>Rule 10 of the Rules of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Supreme Court of the United States explicitly says that "(a) petition for a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writ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certiorari</w:t>
      </w:r>
      <w:r>
        <w:rPr>
          <w:color w:val="3A3838"/>
          <w:spacing w:val="-8"/>
          <w:w w:val="110"/>
        </w:rPr>
        <w:t> </w:t>
      </w:r>
      <w:r>
        <w:rPr>
          <w:color w:val="2A2828"/>
          <w:w w:val="110"/>
        </w:rPr>
        <w:t>[the</w:t>
      </w:r>
      <w:r>
        <w:rPr>
          <w:color w:val="2A2828"/>
          <w:spacing w:val="-27"/>
          <w:w w:val="110"/>
        </w:rPr>
        <w:t> </w:t>
      </w:r>
      <w:r>
        <w:rPr>
          <w:color w:val="3A3838"/>
          <w:w w:val="110"/>
        </w:rPr>
        <w:t>main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method</w:t>
      </w:r>
      <w:r>
        <w:rPr>
          <w:color w:val="3A3838"/>
          <w:spacing w:val="-13"/>
          <w:w w:val="110"/>
        </w:rPr>
        <w:t> </w:t>
      </w:r>
      <w:r>
        <w:rPr>
          <w:color w:val="3A3838"/>
          <w:w w:val="110"/>
        </w:rPr>
        <w:t>for</w:t>
      </w:r>
      <w:r>
        <w:rPr>
          <w:color w:val="3A3838"/>
          <w:spacing w:val="-30"/>
          <w:w w:val="110"/>
        </w:rPr>
        <w:t> </w:t>
      </w:r>
      <w:r>
        <w:rPr>
          <w:color w:val="3A3838"/>
          <w:w w:val="110"/>
        </w:rPr>
        <w:t>gaining</w:t>
      </w:r>
      <w:r>
        <w:rPr>
          <w:color w:val="3A3838"/>
          <w:spacing w:val="-26"/>
          <w:w w:val="110"/>
        </w:rPr>
        <w:t> </w:t>
      </w:r>
      <w:r>
        <w:rPr>
          <w:color w:val="3A3838"/>
          <w:w w:val="110"/>
        </w:rPr>
        <w:t>access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14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4"/>
          <w:w w:val="110"/>
        </w:rPr>
        <w:t> </w:t>
      </w:r>
      <w:r>
        <w:rPr>
          <w:color w:val="3A3838"/>
          <w:w w:val="110"/>
        </w:rPr>
        <w:t>Court]</w:t>
      </w:r>
      <w:r>
        <w:rPr>
          <w:color w:val="3A3838"/>
          <w:spacing w:val="-18"/>
          <w:w w:val="110"/>
        </w:rPr>
        <w:t> </w:t>
      </w:r>
      <w:r>
        <w:rPr>
          <w:color w:val="3A3838"/>
          <w:w w:val="110"/>
        </w:rPr>
        <w:t>is</w:t>
      </w:r>
      <w:r>
        <w:rPr>
          <w:color w:val="3A3838"/>
          <w:spacing w:val="-26"/>
          <w:w w:val="110"/>
        </w:rPr>
        <w:t> </w:t>
      </w:r>
      <w:r>
        <w:rPr>
          <w:color w:val="3A3838"/>
          <w:w w:val="110"/>
        </w:rPr>
        <w:t>rarely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granted when the  asserted error consists of erroneous factual findings or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the misapplication of a properly stated rule of law." Instead, a court of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05"/>
        </w:rPr>
        <w:t>last resort takes cases in  order to </w:t>
      </w:r>
      <w:r>
        <w:rPr>
          <w:color w:val="2A2828"/>
          <w:w w:val="105"/>
        </w:rPr>
        <w:t>resolve </w:t>
      </w:r>
      <w:r>
        <w:rPr>
          <w:color w:val="3A3838"/>
          <w:w w:val="105"/>
        </w:rPr>
        <w:t>pressing </w:t>
      </w:r>
      <w:r>
        <w:rPr>
          <w:color w:val="2A2828"/>
          <w:w w:val="105"/>
        </w:rPr>
        <w:t>issues, </w:t>
      </w:r>
      <w:r>
        <w:rPr>
          <w:color w:val="3A3838"/>
          <w:w w:val="105"/>
        </w:rPr>
        <w:t>and  it  may  refuse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to </w:t>
      </w:r>
      <w:r>
        <w:rPr>
          <w:color w:val="2A2828"/>
          <w:w w:val="110"/>
        </w:rPr>
        <w:t>take </w:t>
      </w:r>
      <w:r>
        <w:rPr>
          <w:color w:val="3A3838"/>
          <w:w w:val="110"/>
        </w:rPr>
        <w:t>cases unless or until it believes that its intervention is necessary.</w:t>
      </w:r>
      <w:r>
        <w:rPr>
          <w:rFonts w:ascii="Arial" w:hAnsi="Arial"/>
          <w:color w:val="3A3838"/>
          <w:w w:val="110"/>
          <w:vertAlign w:val="superscript"/>
        </w:rPr>
        <w:t>3</w:t>
      </w:r>
      <w:r>
        <w:rPr>
          <w:rFonts w:ascii="Arial" w:hAnsi="Arial"/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Two factors make it more likely that the United States Supreme Court, for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instance</w:t>
      </w:r>
      <w:r>
        <w:rPr>
          <w:color w:val="545456"/>
          <w:w w:val="110"/>
          <w:vertAlign w:val="baseline"/>
        </w:rPr>
        <w:t>, </w:t>
      </w:r>
      <w:r>
        <w:rPr>
          <w:color w:val="3A3838"/>
          <w:w w:val="110"/>
          <w:vertAlign w:val="baseline"/>
        </w:rPr>
        <w:t>will grant a petition for a writ of certiorari. First, the Court fre­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quently grants c</w:t>
      </w:r>
      <w:r>
        <w:rPr>
          <w:color w:val="545456"/>
          <w:w w:val="110"/>
          <w:vertAlign w:val="baseline"/>
        </w:rPr>
        <w:t>e</w:t>
      </w:r>
      <w:r>
        <w:rPr>
          <w:color w:val="3A3838"/>
          <w:w w:val="110"/>
          <w:vertAlign w:val="baseline"/>
        </w:rPr>
        <w:t>rtiorari if it believes that a state court or a lower federal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5"/>
          <w:vertAlign w:val="baseline"/>
        </w:rPr>
        <w:t>court of appeals is misinterpreting or misapplying the Court's jurispru­</w:t>
      </w:r>
      <w:r>
        <w:rPr>
          <w:color w:val="3A3838"/>
          <w:spacing w:val="1"/>
          <w:w w:val="115"/>
          <w:vertAlign w:val="baseline"/>
        </w:rPr>
        <w:t> </w:t>
      </w:r>
      <w:r>
        <w:rPr>
          <w:color w:val="3A3838"/>
          <w:w w:val="110"/>
          <w:vertAlign w:val="baseline"/>
        </w:rPr>
        <w:t>dence. Second, and more commonly, the Court will grant certiorari when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5"/>
          <w:vertAlign w:val="baseline"/>
        </w:rPr>
        <w:t>two or more courts are </w:t>
      </w:r>
      <w:r>
        <w:rPr>
          <w:color w:val="2A2828"/>
          <w:w w:val="115"/>
          <w:vertAlign w:val="baseline"/>
        </w:rPr>
        <w:t>in </w:t>
      </w:r>
      <w:r>
        <w:rPr>
          <w:color w:val="3A3838"/>
          <w:w w:val="115"/>
          <w:vertAlign w:val="baseline"/>
        </w:rPr>
        <w:t>conflict over an interpretation of </w:t>
      </w:r>
      <w:r>
        <w:rPr>
          <w:color w:val="2A2828"/>
          <w:w w:val="115"/>
          <w:vertAlign w:val="baseline"/>
        </w:rPr>
        <w:t>the </w:t>
      </w:r>
      <w:r>
        <w:rPr>
          <w:color w:val="3A3838"/>
          <w:w w:val="115"/>
          <w:vertAlign w:val="baseline"/>
        </w:rPr>
        <w:t>federal</w:t>
      </w:r>
      <w:r>
        <w:rPr>
          <w:color w:val="3A3838"/>
          <w:spacing w:val="1"/>
          <w:w w:val="115"/>
          <w:vertAlign w:val="baseline"/>
        </w:rPr>
        <w:t> </w:t>
      </w:r>
      <w:r>
        <w:rPr>
          <w:color w:val="3A3838"/>
          <w:w w:val="110"/>
          <w:vertAlign w:val="baseline"/>
        </w:rPr>
        <w:t>Constitution,</w:t>
      </w:r>
      <w:r>
        <w:rPr>
          <w:color w:val="3A3838"/>
          <w:spacing w:val="9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or</w:t>
      </w:r>
      <w:r>
        <w:rPr>
          <w:color w:val="3A3838"/>
          <w:spacing w:val="3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when</w:t>
      </w:r>
      <w:r>
        <w:rPr>
          <w:color w:val="3A3838"/>
          <w:spacing w:val="-4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courts</w:t>
      </w:r>
      <w:r>
        <w:rPr>
          <w:color w:val="3A3838"/>
          <w:spacing w:val="-25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are</w:t>
      </w:r>
      <w:r>
        <w:rPr>
          <w:color w:val="3A3838"/>
          <w:spacing w:val="-8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in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conflict</w:t>
      </w:r>
      <w:r>
        <w:rPr>
          <w:color w:val="3A3838"/>
          <w:spacing w:val="3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over</w:t>
      </w:r>
      <w:r>
        <w:rPr>
          <w:color w:val="3A3838"/>
          <w:spacing w:val="-16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</w:t>
      </w:r>
      <w:r>
        <w:rPr>
          <w:color w:val="3A3838"/>
          <w:spacing w:val="-3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question</w:t>
      </w:r>
      <w:r>
        <w:rPr>
          <w:color w:val="3A3838"/>
          <w:spacing w:val="-2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of</w:t>
      </w:r>
      <w:r>
        <w:rPr>
          <w:color w:val="3A3838"/>
          <w:spacing w:val="-5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federal</w:t>
      </w:r>
      <w:r>
        <w:rPr>
          <w:color w:val="3A3838"/>
          <w:spacing w:val="5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law.</w:t>
      </w:r>
      <w:r>
        <w:rPr>
          <w:color w:val="3A3838"/>
          <w:w w:val="110"/>
          <w:vertAlign w:val="superscript"/>
        </w:rPr>
        <w:t>4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3"/>
        </w:rPr>
      </w:pPr>
    </w:p>
    <w:p>
      <w:pPr>
        <w:spacing w:line="223" w:lineRule="auto" w:before="0"/>
        <w:ind w:left="313" w:right="162" w:firstLine="454"/>
        <w:jc w:val="both"/>
        <w:rPr>
          <w:sz w:val="19"/>
        </w:rPr>
      </w:pPr>
      <w:r>
        <w:rPr>
          <w:rFonts w:ascii="Arial"/>
          <w:color w:val="545456"/>
          <w:w w:val="105"/>
          <w:sz w:val="19"/>
          <w:vertAlign w:val="superscript"/>
        </w:rPr>
        <w:t>3</w:t>
      </w:r>
      <w:r>
        <w:rPr>
          <w:color w:val="3A3838"/>
          <w:w w:val="105"/>
          <w:sz w:val="19"/>
          <w:vertAlign w:val="baseline"/>
        </w:rPr>
        <w:t>The Rules of Pract</w:t>
      </w:r>
      <w:r>
        <w:rPr>
          <w:color w:val="545456"/>
          <w:w w:val="105"/>
          <w:sz w:val="19"/>
          <w:vertAlign w:val="baseline"/>
        </w:rPr>
        <w:t>l</w:t>
      </w:r>
      <w:r>
        <w:rPr>
          <w:color w:val="3A3838"/>
          <w:w w:val="105"/>
          <w:sz w:val="19"/>
          <w:vertAlign w:val="baseline"/>
        </w:rPr>
        <w:t>ce of the Ohio Supreme Court</w:t>
      </w:r>
      <w:r>
        <w:rPr>
          <w:color w:val="545456"/>
          <w:w w:val="105"/>
          <w:sz w:val="19"/>
          <w:vertAlign w:val="baseline"/>
        </w:rPr>
        <w:t>, </w:t>
      </w:r>
      <w:r>
        <w:rPr>
          <w:color w:val="3A3838"/>
          <w:w w:val="105"/>
          <w:sz w:val="19"/>
          <w:vertAlign w:val="baseline"/>
        </w:rPr>
        <w:t>for example, des</w:t>
      </w:r>
      <w:r>
        <w:rPr>
          <w:color w:val="545456"/>
          <w:w w:val="105"/>
          <w:sz w:val="19"/>
          <w:vertAlign w:val="baseline"/>
        </w:rPr>
        <w:t>c</w:t>
      </w:r>
      <w:r>
        <w:rPr>
          <w:color w:val="3A3838"/>
          <w:w w:val="105"/>
          <w:sz w:val="19"/>
          <w:vertAlign w:val="baseline"/>
        </w:rPr>
        <w:t>ribe e</w:t>
      </w:r>
      <w:r>
        <w:rPr>
          <w:color w:val="545456"/>
          <w:w w:val="105"/>
          <w:sz w:val="19"/>
          <w:vertAlign w:val="baseline"/>
        </w:rPr>
        <w:t>i</w:t>
      </w:r>
      <w:r>
        <w:rPr>
          <w:color w:val="3A3838"/>
          <w:w w:val="105"/>
          <w:sz w:val="19"/>
          <w:vertAlign w:val="baseline"/>
        </w:rPr>
        <w:t>ght different</w:t>
      </w:r>
      <w:r>
        <w:rPr>
          <w:color w:val="3A3838"/>
          <w:spacing w:val="1"/>
          <w:w w:val="105"/>
          <w:sz w:val="19"/>
          <w:vertAlign w:val="baseline"/>
        </w:rPr>
        <w:t> </w:t>
      </w:r>
      <w:r>
        <w:rPr>
          <w:color w:val="3A3838"/>
          <w:sz w:val="19"/>
          <w:vertAlign w:val="baseline"/>
        </w:rPr>
        <w:t>kJnds of cases that the court may hear, Including "Appeals of RJght." OhioSup. Ct. Prac. R. 5</w:t>
      </w:r>
      <w:r>
        <w:rPr>
          <w:color w:val="545456"/>
          <w:sz w:val="19"/>
          <w:vertAlign w:val="baseline"/>
        </w:rPr>
        <w:t>.</w:t>
      </w:r>
      <w:r>
        <w:rPr>
          <w:color w:val="3A3838"/>
          <w:sz w:val="19"/>
          <w:vertAlign w:val="baseline"/>
        </w:rPr>
        <w:t>01.</w:t>
      </w:r>
      <w:r>
        <w:rPr>
          <w:color w:val="3A3838"/>
          <w:spacing w:val="1"/>
          <w:sz w:val="19"/>
          <w:vertAlign w:val="baseline"/>
        </w:rPr>
        <w:t> </w:t>
      </w:r>
      <w:r>
        <w:rPr>
          <w:color w:val="3A3838"/>
          <w:w w:val="105"/>
          <w:sz w:val="19"/>
          <w:vertAlign w:val="baseline"/>
        </w:rPr>
        <w:t>The court also hears </w:t>
      </w:r>
      <w:r>
        <w:rPr>
          <w:color w:val="545456"/>
          <w:w w:val="105"/>
          <w:sz w:val="19"/>
          <w:vertAlign w:val="baseline"/>
        </w:rPr>
        <w:t>"</w:t>
      </w:r>
      <w:r>
        <w:rPr>
          <w:color w:val="3A3838"/>
          <w:w w:val="105"/>
          <w:sz w:val="19"/>
          <w:vertAlign w:val="baseline"/>
        </w:rPr>
        <w:t>Jurisdictional Appeals," which are discretionary and requ</w:t>
      </w:r>
      <w:r>
        <w:rPr>
          <w:color w:val="545456"/>
          <w:w w:val="105"/>
          <w:sz w:val="19"/>
          <w:vertAlign w:val="baseline"/>
        </w:rPr>
        <w:t>i</w:t>
      </w:r>
      <w:r>
        <w:rPr>
          <w:color w:val="3A3838"/>
          <w:w w:val="105"/>
          <w:sz w:val="19"/>
          <w:vertAlign w:val="baseline"/>
        </w:rPr>
        <w:t>re a supporting</w:t>
      </w:r>
      <w:r>
        <w:rPr>
          <w:color w:val="3A3838"/>
          <w:spacing w:val="1"/>
          <w:w w:val="105"/>
          <w:sz w:val="19"/>
          <w:vertAlign w:val="baseline"/>
        </w:rPr>
        <w:t> </w:t>
      </w:r>
      <w:r>
        <w:rPr>
          <w:color w:val="3A3838"/>
          <w:w w:val="105"/>
          <w:sz w:val="19"/>
          <w:vertAlign w:val="baseline"/>
        </w:rPr>
        <w:t>memorandum that must contain </w:t>
      </w:r>
      <w:r>
        <w:rPr>
          <w:b/>
          <w:color w:val="3A3838"/>
          <w:w w:val="105"/>
          <w:sz w:val="18"/>
          <w:vertAlign w:val="baseline"/>
        </w:rPr>
        <w:t>''[a] </w:t>
      </w:r>
      <w:r>
        <w:rPr>
          <w:color w:val="3A3838"/>
          <w:w w:val="105"/>
          <w:sz w:val="19"/>
          <w:vertAlign w:val="baseline"/>
        </w:rPr>
        <w:t>thorough explanation of why a substant</w:t>
      </w:r>
      <w:r>
        <w:rPr>
          <w:color w:val="545456"/>
          <w:w w:val="105"/>
          <w:sz w:val="19"/>
          <w:vertAlign w:val="baseline"/>
        </w:rPr>
        <w:t>i</w:t>
      </w:r>
      <w:r>
        <w:rPr>
          <w:color w:val="3A3838"/>
          <w:w w:val="105"/>
          <w:sz w:val="19"/>
          <w:vertAlign w:val="baseline"/>
        </w:rPr>
        <w:t>al constitutional</w:t>
      </w:r>
      <w:r>
        <w:rPr>
          <w:color w:val="3A3838"/>
          <w:spacing w:val="1"/>
          <w:w w:val="105"/>
          <w:sz w:val="19"/>
          <w:vertAlign w:val="baseline"/>
        </w:rPr>
        <w:t> </w:t>
      </w:r>
      <w:r>
        <w:rPr>
          <w:color w:val="3A3838"/>
          <w:w w:val="105"/>
          <w:sz w:val="19"/>
          <w:vertAlign w:val="baseline"/>
        </w:rPr>
        <w:t>question</w:t>
      </w:r>
      <w:r>
        <w:rPr>
          <w:color w:val="3A3838"/>
          <w:spacing w:val="15"/>
          <w:w w:val="105"/>
          <w:sz w:val="19"/>
          <w:vertAlign w:val="baseline"/>
        </w:rPr>
        <w:t> </w:t>
      </w:r>
      <w:r>
        <w:rPr>
          <w:color w:val="2A2828"/>
          <w:w w:val="105"/>
          <w:sz w:val="19"/>
          <w:vertAlign w:val="baseline"/>
        </w:rPr>
        <w:t>Is</w:t>
      </w:r>
      <w:r>
        <w:rPr>
          <w:color w:val="2A2828"/>
          <w:spacing w:val="-11"/>
          <w:w w:val="105"/>
          <w:sz w:val="19"/>
          <w:vertAlign w:val="baseline"/>
        </w:rPr>
        <w:t> </w:t>
      </w:r>
      <w:r>
        <w:rPr>
          <w:rFonts w:ascii="Arial"/>
          <w:i/>
          <w:color w:val="2A2828"/>
          <w:w w:val="105"/>
          <w:sz w:val="17"/>
          <w:vertAlign w:val="baseline"/>
        </w:rPr>
        <w:t>involved,</w:t>
      </w:r>
      <w:r>
        <w:rPr>
          <w:rFonts w:ascii="Arial"/>
          <w:i/>
          <w:color w:val="2A2828"/>
          <w:spacing w:val="-11"/>
          <w:w w:val="105"/>
          <w:sz w:val="17"/>
          <w:vertAlign w:val="baseline"/>
        </w:rPr>
        <w:t> </w:t>
      </w:r>
      <w:r>
        <w:rPr>
          <w:color w:val="3A3838"/>
          <w:w w:val="105"/>
          <w:sz w:val="19"/>
          <w:vertAlign w:val="baseline"/>
        </w:rPr>
        <w:t>why</w:t>
      </w:r>
      <w:r>
        <w:rPr>
          <w:color w:val="3A3838"/>
          <w:spacing w:val="-7"/>
          <w:w w:val="105"/>
          <w:sz w:val="19"/>
          <w:vertAlign w:val="baseline"/>
        </w:rPr>
        <w:t> </w:t>
      </w:r>
      <w:r>
        <w:rPr>
          <w:color w:val="3A3838"/>
          <w:w w:val="105"/>
          <w:sz w:val="19"/>
          <w:vertAlign w:val="baseline"/>
        </w:rPr>
        <w:t>the</w:t>
      </w:r>
      <w:r>
        <w:rPr>
          <w:color w:val="3A3838"/>
          <w:spacing w:val="6"/>
          <w:w w:val="105"/>
          <w:sz w:val="19"/>
          <w:vertAlign w:val="baseline"/>
        </w:rPr>
        <w:t> </w:t>
      </w:r>
      <w:r>
        <w:rPr>
          <w:color w:val="3A3838"/>
          <w:w w:val="105"/>
          <w:sz w:val="19"/>
          <w:vertAlign w:val="baseline"/>
        </w:rPr>
        <w:t>case</w:t>
      </w:r>
      <w:r>
        <w:rPr>
          <w:color w:val="3A3838"/>
          <w:spacing w:val="-16"/>
          <w:w w:val="105"/>
          <w:sz w:val="19"/>
          <w:vertAlign w:val="baseline"/>
        </w:rPr>
        <w:t> </w:t>
      </w:r>
      <w:r>
        <w:rPr>
          <w:color w:val="3A3838"/>
          <w:w w:val="105"/>
          <w:sz w:val="19"/>
          <w:vertAlign w:val="baseline"/>
        </w:rPr>
        <w:t>Is</w:t>
      </w:r>
      <w:r>
        <w:rPr>
          <w:color w:val="3A3838"/>
          <w:spacing w:val="-12"/>
          <w:w w:val="105"/>
          <w:sz w:val="19"/>
          <w:vertAlign w:val="baseline"/>
        </w:rPr>
        <w:t> </w:t>
      </w:r>
      <w:r>
        <w:rPr>
          <w:color w:val="3A3838"/>
          <w:w w:val="105"/>
          <w:sz w:val="19"/>
          <w:vertAlign w:val="baseline"/>
        </w:rPr>
        <w:t>of</w:t>
      </w:r>
      <w:r>
        <w:rPr>
          <w:color w:val="3A3838"/>
          <w:spacing w:val="3"/>
          <w:w w:val="105"/>
          <w:sz w:val="19"/>
          <w:vertAlign w:val="baseline"/>
        </w:rPr>
        <w:t> </w:t>
      </w:r>
      <w:r>
        <w:rPr>
          <w:color w:val="3A3838"/>
          <w:w w:val="105"/>
          <w:sz w:val="19"/>
          <w:vertAlign w:val="baseline"/>
        </w:rPr>
        <w:t>public</w:t>
      </w:r>
      <w:r>
        <w:rPr>
          <w:color w:val="3A3838"/>
          <w:spacing w:val="-13"/>
          <w:w w:val="105"/>
          <w:sz w:val="19"/>
          <w:vertAlign w:val="baseline"/>
        </w:rPr>
        <w:t> </w:t>
      </w:r>
      <w:r>
        <w:rPr>
          <w:color w:val="3A3838"/>
          <w:w w:val="105"/>
          <w:sz w:val="19"/>
          <w:vertAlign w:val="baseline"/>
        </w:rPr>
        <w:t>or</w:t>
      </w:r>
      <w:r>
        <w:rPr>
          <w:color w:val="3A3838"/>
          <w:spacing w:val="-2"/>
          <w:w w:val="105"/>
          <w:sz w:val="19"/>
          <w:vertAlign w:val="baseline"/>
        </w:rPr>
        <w:t> </w:t>
      </w:r>
      <w:r>
        <w:rPr>
          <w:color w:val="3A3838"/>
          <w:w w:val="105"/>
          <w:sz w:val="19"/>
          <w:vertAlign w:val="baseline"/>
        </w:rPr>
        <w:t>great</w:t>
      </w:r>
      <w:r>
        <w:rPr>
          <w:color w:val="3A3838"/>
          <w:spacing w:val="-11"/>
          <w:w w:val="105"/>
          <w:sz w:val="19"/>
          <w:vertAlign w:val="baseline"/>
        </w:rPr>
        <w:t> </w:t>
      </w:r>
      <w:r>
        <w:rPr>
          <w:color w:val="3A3838"/>
          <w:w w:val="105"/>
          <w:sz w:val="19"/>
          <w:vertAlign w:val="baseline"/>
        </w:rPr>
        <w:t>general Interest,</w:t>
      </w:r>
      <w:r>
        <w:rPr>
          <w:color w:val="3A3838"/>
          <w:spacing w:val="-6"/>
          <w:w w:val="105"/>
          <w:sz w:val="19"/>
          <w:vertAlign w:val="baseline"/>
        </w:rPr>
        <w:t> </w:t>
      </w:r>
      <w:r>
        <w:rPr>
          <w:color w:val="3A3838"/>
          <w:w w:val="105"/>
          <w:sz w:val="19"/>
          <w:vertAlign w:val="baseline"/>
        </w:rPr>
        <w:t>or</w:t>
      </w:r>
      <w:r>
        <w:rPr>
          <w:color w:val="545456"/>
          <w:w w:val="105"/>
          <w:sz w:val="19"/>
          <w:vertAlign w:val="baseline"/>
        </w:rPr>
        <w:t>,</w:t>
      </w:r>
      <w:r>
        <w:rPr>
          <w:color w:val="545456"/>
          <w:spacing w:val="-5"/>
          <w:w w:val="105"/>
          <w:sz w:val="19"/>
          <w:vertAlign w:val="baseline"/>
        </w:rPr>
        <w:t> </w:t>
      </w:r>
      <w:r>
        <w:rPr>
          <w:color w:val="3A3838"/>
          <w:w w:val="105"/>
          <w:sz w:val="19"/>
          <w:vertAlign w:val="baseline"/>
        </w:rPr>
        <w:t>In</w:t>
      </w:r>
      <w:r>
        <w:rPr>
          <w:color w:val="3A3838"/>
          <w:spacing w:val="4"/>
          <w:w w:val="105"/>
          <w:sz w:val="19"/>
          <w:vertAlign w:val="baseline"/>
        </w:rPr>
        <w:t> </w:t>
      </w:r>
      <w:r>
        <w:rPr>
          <w:color w:val="3A3838"/>
          <w:w w:val="105"/>
          <w:sz w:val="19"/>
          <w:vertAlign w:val="baseline"/>
        </w:rPr>
        <w:t>a</w:t>
      </w:r>
      <w:r>
        <w:rPr>
          <w:color w:val="3A3838"/>
          <w:spacing w:val="-9"/>
          <w:w w:val="105"/>
          <w:sz w:val="19"/>
          <w:vertAlign w:val="baseline"/>
        </w:rPr>
        <w:t> </w:t>
      </w:r>
      <w:r>
        <w:rPr>
          <w:color w:val="3A3838"/>
          <w:w w:val="105"/>
          <w:sz w:val="19"/>
          <w:vertAlign w:val="baseline"/>
        </w:rPr>
        <w:t>felony</w:t>
      </w:r>
      <w:r>
        <w:rPr>
          <w:color w:val="3A3838"/>
          <w:spacing w:val="-15"/>
          <w:w w:val="105"/>
          <w:sz w:val="19"/>
          <w:vertAlign w:val="baseline"/>
        </w:rPr>
        <w:t> </w:t>
      </w:r>
      <w:r>
        <w:rPr>
          <w:rFonts w:ascii="Arial"/>
          <w:i/>
          <w:color w:val="3A3838"/>
          <w:w w:val="105"/>
          <w:sz w:val="17"/>
          <w:vertAlign w:val="baseline"/>
        </w:rPr>
        <w:t>case</w:t>
      </w:r>
      <w:r>
        <w:rPr>
          <w:rFonts w:ascii="Arial"/>
          <w:i/>
          <w:color w:val="545456"/>
          <w:w w:val="105"/>
          <w:sz w:val="17"/>
          <w:vertAlign w:val="baseline"/>
        </w:rPr>
        <w:t>, </w:t>
      </w:r>
      <w:r>
        <w:rPr>
          <w:color w:val="3A3838"/>
          <w:w w:val="105"/>
          <w:sz w:val="19"/>
          <w:vertAlign w:val="baseline"/>
        </w:rPr>
        <w:t>why</w:t>
      </w:r>
      <w:r>
        <w:rPr>
          <w:color w:val="3A3838"/>
          <w:spacing w:val="1"/>
          <w:w w:val="105"/>
          <w:sz w:val="19"/>
          <w:vertAlign w:val="baseline"/>
        </w:rPr>
        <w:t> </w:t>
      </w:r>
      <w:r>
        <w:rPr>
          <w:color w:val="3A3838"/>
          <w:spacing w:val="-1"/>
          <w:w w:val="105"/>
          <w:sz w:val="19"/>
          <w:vertAlign w:val="baseline"/>
        </w:rPr>
        <w:t>leave</w:t>
      </w:r>
      <w:r>
        <w:rPr>
          <w:color w:val="3A3838"/>
          <w:spacing w:val="-13"/>
          <w:w w:val="105"/>
          <w:sz w:val="19"/>
          <w:vertAlign w:val="baseline"/>
        </w:rPr>
        <w:t> </w:t>
      </w:r>
      <w:r>
        <w:rPr>
          <w:color w:val="3A3838"/>
          <w:spacing w:val="-1"/>
          <w:w w:val="105"/>
          <w:sz w:val="19"/>
          <w:vertAlign w:val="baseline"/>
        </w:rPr>
        <w:t>to</w:t>
      </w:r>
      <w:r>
        <w:rPr>
          <w:color w:val="3A3838"/>
          <w:spacing w:val="-4"/>
          <w:w w:val="105"/>
          <w:sz w:val="19"/>
          <w:vertAlign w:val="baseline"/>
        </w:rPr>
        <w:t> </w:t>
      </w:r>
      <w:r>
        <w:rPr>
          <w:color w:val="3A3838"/>
          <w:spacing w:val="-1"/>
          <w:w w:val="105"/>
          <w:sz w:val="19"/>
          <w:vertAlign w:val="baseline"/>
        </w:rPr>
        <w:t>appea</w:t>
      </w:r>
      <w:r>
        <w:rPr>
          <w:color w:val="545456"/>
          <w:spacing w:val="-1"/>
          <w:w w:val="105"/>
          <w:sz w:val="19"/>
          <w:vertAlign w:val="baseline"/>
        </w:rPr>
        <w:t>l</w:t>
      </w:r>
      <w:r>
        <w:rPr>
          <w:color w:val="545456"/>
          <w:spacing w:val="-15"/>
          <w:w w:val="105"/>
          <w:sz w:val="19"/>
          <w:vertAlign w:val="baseline"/>
        </w:rPr>
        <w:t> </w:t>
      </w:r>
      <w:r>
        <w:rPr>
          <w:color w:val="3A3838"/>
          <w:spacing w:val="-1"/>
          <w:w w:val="105"/>
          <w:sz w:val="19"/>
          <w:vertAlign w:val="baseline"/>
        </w:rPr>
        <w:t>should</w:t>
      </w:r>
      <w:r>
        <w:rPr>
          <w:color w:val="3A3838"/>
          <w:spacing w:val="9"/>
          <w:w w:val="105"/>
          <w:sz w:val="19"/>
          <w:vertAlign w:val="baseline"/>
        </w:rPr>
        <w:t> </w:t>
      </w:r>
      <w:r>
        <w:rPr>
          <w:color w:val="3A3838"/>
          <w:w w:val="105"/>
          <w:sz w:val="17"/>
          <w:vertAlign w:val="baseline"/>
        </w:rPr>
        <w:t>be </w:t>
      </w:r>
      <w:r>
        <w:rPr>
          <w:color w:val="3A3838"/>
          <w:w w:val="105"/>
          <w:sz w:val="19"/>
          <w:vertAlign w:val="baseline"/>
        </w:rPr>
        <w:t>granted."</w:t>
      </w:r>
      <w:r>
        <w:rPr>
          <w:color w:val="3A3838"/>
          <w:spacing w:val="-7"/>
          <w:w w:val="105"/>
          <w:sz w:val="19"/>
          <w:vertAlign w:val="baseline"/>
        </w:rPr>
        <w:t> </w:t>
      </w:r>
      <w:r>
        <w:rPr>
          <w:color w:val="3A3838"/>
          <w:w w:val="105"/>
          <w:sz w:val="19"/>
          <w:vertAlign w:val="baseline"/>
        </w:rPr>
        <w:t>OhioSup.</w:t>
      </w:r>
      <w:r>
        <w:rPr>
          <w:color w:val="3A3838"/>
          <w:spacing w:val="-20"/>
          <w:w w:val="105"/>
          <w:sz w:val="19"/>
          <w:vertAlign w:val="baseline"/>
        </w:rPr>
        <w:t> </w:t>
      </w:r>
      <w:r>
        <w:rPr>
          <w:color w:val="3A3838"/>
          <w:w w:val="105"/>
          <w:sz w:val="19"/>
          <w:vertAlign w:val="baseline"/>
        </w:rPr>
        <w:t>Ct. Prac.</w:t>
      </w:r>
      <w:r>
        <w:rPr>
          <w:color w:val="3A3838"/>
          <w:spacing w:val="-14"/>
          <w:w w:val="105"/>
          <w:sz w:val="19"/>
          <w:vertAlign w:val="baseline"/>
        </w:rPr>
        <w:t> </w:t>
      </w:r>
      <w:r>
        <w:rPr>
          <w:color w:val="3A3838"/>
          <w:w w:val="105"/>
          <w:sz w:val="19"/>
          <w:vertAlign w:val="baseline"/>
        </w:rPr>
        <w:t>R</w:t>
      </w:r>
      <w:r>
        <w:rPr>
          <w:color w:val="545456"/>
          <w:w w:val="105"/>
          <w:sz w:val="19"/>
          <w:vertAlign w:val="baseline"/>
        </w:rPr>
        <w:t>.</w:t>
      </w:r>
      <w:r>
        <w:rPr>
          <w:color w:val="545456"/>
          <w:spacing w:val="-9"/>
          <w:w w:val="105"/>
          <w:sz w:val="19"/>
          <w:vertAlign w:val="baseline"/>
        </w:rPr>
        <w:t> </w:t>
      </w:r>
      <w:r>
        <w:rPr>
          <w:color w:val="3A3838"/>
          <w:w w:val="105"/>
          <w:sz w:val="19"/>
          <w:vertAlign w:val="baseline"/>
        </w:rPr>
        <w:t>5.02(A),</w:t>
      </w:r>
      <w:r>
        <w:rPr>
          <w:color w:val="3A3838"/>
          <w:spacing w:val="6"/>
          <w:w w:val="105"/>
          <w:sz w:val="19"/>
          <w:vertAlign w:val="baseline"/>
        </w:rPr>
        <w:t> </w:t>
      </w:r>
      <w:r>
        <w:rPr>
          <w:color w:val="3A3838"/>
          <w:w w:val="105"/>
          <w:sz w:val="19"/>
          <w:vertAlign w:val="baseline"/>
        </w:rPr>
        <w:t>7.02</w:t>
      </w:r>
      <w:r>
        <w:rPr>
          <w:color w:val="3A3838"/>
          <w:spacing w:val="-13"/>
          <w:w w:val="105"/>
          <w:sz w:val="19"/>
          <w:vertAlign w:val="baseline"/>
        </w:rPr>
        <w:t> </w:t>
      </w:r>
      <w:r>
        <w:rPr>
          <w:color w:val="3A3838"/>
          <w:w w:val="105"/>
          <w:sz w:val="17"/>
          <w:vertAlign w:val="baseline"/>
        </w:rPr>
        <w:t>(C)</w:t>
      </w:r>
      <w:r>
        <w:rPr>
          <w:color w:val="3A3838"/>
          <w:spacing w:val="7"/>
          <w:w w:val="105"/>
          <w:sz w:val="17"/>
          <w:vertAlign w:val="baseline"/>
        </w:rPr>
        <w:t> </w:t>
      </w:r>
      <w:r>
        <w:rPr>
          <w:color w:val="545456"/>
          <w:w w:val="105"/>
          <w:sz w:val="19"/>
          <w:vertAlign w:val="baseline"/>
        </w:rPr>
        <w:t>(</w:t>
      </w:r>
      <w:r>
        <w:rPr>
          <w:color w:val="3A3838"/>
          <w:w w:val="105"/>
          <w:sz w:val="19"/>
          <w:vertAlign w:val="baseline"/>
        </w:rPr>
        <w:t>2</w:t>
      </w:r>
      <w:r>
        <w:rPr>
          <w:color w:val="545456"/>
          <w:w w:val="105"/>
          <w:sz w:val="19"/>
          <w:vertAlign w:val="baseline"/>
        </w:rPr>
        <w:t>).</w:t>
      </w:r>
    </w:p>
    <w:p>
      <w:pPr>
        <w:pStyle w:val="ListParagraph"/>
        <w:numPr>
          <w:ilvl w:val="0"/>
          <w:numId w:val="22"/>
        </w:numPr>
        <w:tabs>
          <w:tab w:pos="781" w:val="left" w:leader="none"/>
        </w:tabs>
        <w:spacing w:line="213" w:lineRule="exact" w:before="0" w:after="0"/>
        <w:ind w:left="780" w:right="0" w:hanging="78"/>
        <w:jc w:val="both"/>
        <w:rPr>
          <w:sz w:val="19"/>
        </w:rPr>
      </w:pPr>
      <w:r>
        <w:rPr>
          <w:i/>
          <w:color w:val="3A3838"/>
          <w:w w:val="95"/>
          <w:sz w:val="20"/>
        </w:rPr>
        <w:t>Seegenerally</w:t>
      </w:r>
      <w:r>
        <w:rPr>
          <w:i/>
          <w:color w:val="3A3838"/>
          <w:spacing w:val="3"/>
          <w:w w:val="95"/>
          <w:sz w:val="20"/>
        </w:rPr>
        <w:t> </w:t>
      </w:r>
      <w:r>
        <w:rPr>
          <w:color w:val="3A3838"/>
          <w:w w:val="95"/>
          <w:sz w:val="19"/>
        </w:rPr>
        <w:t>U.S.</w:t>
      </w:r>
      <w:r>
        <w:rPr>
          <w:color w:val="3A3838"/>
          <w:spacing w:val="-7"/>
          <w:w w:val="95"/>
          <w:sz w:val="19"/>
        </w:rPr>
        <w:t> </w:t>
      </w:r>
      <w:r>
        <w:rPr>
          <w:color w:val="3A3838"/>
          <w:w w:val="95"/>
          <w:sz w:val="19"/>
        </w:rPr>
        <w:t>Sup.</w:t>
      </w:r>
      <w:r>
        <w:rPr>
          <w:color w:val="3A3838"/>
          <w:spacing w:val="-18"/>
          <w:w w:val="95"/>
          <w:sz w:val="19"/>
        </w:rPr>
        <w:t> </w:t>
      </w:r>
      <w:r>
        <w:rPr>
          <w:color w:val="3A3838"/>
          <w:w w:val="95"/>
          <w:sz w:val="19"/>
        </w:rPr>
        <w:t>Ct.</w:t>
      </w:r>
      <w:r>
        <w:rPr>
          <w:color w:val="3A3838"/>
          <w:spacing w:val="16"/>
          <w:w w:val="95"/>
          <w:sz w:val="19"/>
        </w:rPr>
        <w:t> </w:t>
      </w:r>
      <w:r>
        <w:rPr>
          <w:color w:val="3A3838"/>
          <w:w w:val="95"/>
          <w:sz w:val="19"/>
        </w:rPr>
        <w:t>R.</w:t>
      </w:r>
      <w:r>
        <w:rPr>
          <w:color w:val="3A3838"/>
          <w:spacing w:val="-2"/>
          <w:w w:val="95"/>
          <w:sz w:val="19"/>
        </w:rPr>
        <w:t> </w:t>
      </w:r>
      <w:r>
        <w:rPr>
          <w:color w:val="3A3838"/>
          <w:w w:val="95"/>
          <w:sz w:val="19"/>
        </w:rPr>
        <w:t>10.</w:t>
      </w:r>
    </w:p>
    <w:p>
      <w:pPr>
        <w:spacing w:after="0" w:line="213" w:lineRule="exact"/>
        <w:jc w:val="both"/>
        <w:rPr>
          <w:sz w:val="19"/>
        </w:rPr>
        <w:sectPr>
          <w:headerReference w:type="default" r:id="rId39"/>
          <w:headerReference w:type="even" r:id="rId40"/>
          <w:pgSz w:w="9620" w:h="13810"/>
          <w:pgMar w:header="511" w:footer="0" w:top="600" w:bottom="280" w:left="134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35" w:lineRule="auto"/>
        <w:ind w:left="116" w:right="302" w:firstLine="372"/>
        <w:jc w:val="both"/>
      </w:pPr>
      <w:r>
        <w:rPr>
          <w:color w:val="3B383B"/>
          <w:w w:val="110"/>
        </w:rPr>
        <w:t>Interestingly, the Court does not always grant certiorari immediately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when either of these factors is present. It is not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uncommon for the  Court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to let a conflict simmer for a few years, with different lower courts writing</w:t>
      </w:r>
      <w:r>
        <w:rPr>
          <w:color w:val="3B383B"/>
          <w:spacing w:val="-61"/>
          <w:w w:val="110"/>
        </w:rPr>
        <w:t> </w:t>
      </w:r>
      <w:r>
        <w:rPr>
          <w:color w:val="3B383B"/>
          <w:w w:val="110"/>
        </w:rPr>
        <w:t>decisions</w:t>
      </w:r>
      <w:r>
        <w:rPr>
          <w:color w:val="3B383B"/>
          <w:spacing w:val="-16"/>
          <w:w w:val="110"/>
        </w:rPr>
        <w:t> </w:t>
      </w:r>
      <w:r>
        <w:rPr>
          <w:color w:val="3B383B"/>
          <w:w w:val="110"/>
        </w:rPr>
        <w:t>either</w:t>
      </w:r>
      <w:r>
        <w:rPr>
          <w:color w:val="3B383B"/>
          <w:spacing w:val="3"/>
          <w:w w:val="110"/>
        </w:rPr>
        <w:t> </w:t>
      </w:r>
      <w:r>
        <w:rPr>
          <w:color w:val="3B383B"/>
          <w:w w:val="110"/>
        </w:rPr>
        <w:t>way.</w:t>
      </w:r>
      <w:r>
        <w:rPr>
          <w:color w:val="3B383B"/>
          <w:spacing w:val="-30"/>
          <w:w w:val="110"/>
        </w:rPr>
        <w:t> </w:t>
      </w:r>
      <w:r>
        <w:rPr>
          <w:color w:val="3B383B"/>
          <w:w w:val="110"/>
        </w:rPr>
        <w:t>The</w:t>
      </w:r>
      <w:r>
        <w:rPr>
          <w:color w:val="3B383B"/>
          <w:spacing w:val="20"/>
          <w:w w:val="110"/>
        </w:rPr>
        <w:t> </w:t>
      </w:r>
      <w:r>
        <w:rPr>
          <w:color w:val="3B383B"/>
          <w:w w:val="110"/>
        </w:rPr>
        <w:t>Court may</w:t>
      </w:r>
      <w:r>
        <w:rPr>
          <w:color w:val="3B383B"/>
          <w:spacing w:val="-23"/>
          <w:w w:val="110"/>
        </w:rPr>
        <w:t> </w:t>
      </w:r>
      <w:r>
        <w:rPr>
          <w:color w:val="3B383B"/>
          <w:w w:val="110"/>
        </w:rPr>
        <w:t>use</w:t>
      </w:r>
      <w:r>
        <w:rPr>
          <w:color w:val="3B383B"/>
          <w:spacing w:val="-31"/>
          <w:w w:val="110"/>
        </w:rPr>
        <w:t> </w:t>
      </w:r>
      <w:r>
        <w:rPr>
          <w:color w:val="3B383B"/>
          <w:w w:val="110"/>
        </w:rPr>
        <w:t>this</w:t>
      </w:r>
      <w:r>
        <w:rPr>
          <w:color w:val="3B383B"/>
          <w:spacing w:val="-15"/>
          <w:w w:val="110"/>
        </w:rPr>
        <w:t> </w:t>
      </w:r>
      <w:r>
        <w:rPr>
          <w:color w:val="3B383B"/>
          <w:w w:val="110"/>
        </w:rPr>
        <w:t>method</w:t>
      </w:r>
      <w:r>
        <w:rPr>
          <w:color w:val="3B383B"/>
          <w:spacing w:val="8"/>
          <w:w w:val="110"/>
        </w:rPr>
        <w:t> </w:t>
      </w:r>
      <w:r>
        <w:rPr>
          <w:color w:val="3B383B"/>
          <w:w w:val="110"/>
        </w:rPr>
        <w:t>purposefully,</w:t>
      </w:r>
      <w:r>
        <w:rPr>
          <w:color w:val="3B383B"/>
          <w:spacing w:val="7"/>
          <w:w w:val="110"/>
        </w:rPr>
        <w:t> </w:t>
      </w:r>
      <w:r>
        <w:rPr>
          <w:color w:val="3B383B"/>
          <w:w w:val="110"/>
        </w:rPr>
        <w:t>to</w:t>
      </w:r>
      <w:r>
        <w:rPr>
          <w:color w:val="3B383B"/>
          <w:spacing w:val="26"/>
          <w:w w:val="110"/>
        </w:rPr>
        <w:t> </w:t>
      </w:r>
      <w:r>
        <w:rPr>
          <w:color w:val="3B383B"/>
          <w:w w:val="110"/>
        </w:rPr>
        <w:t>ben­</w:t>
      </w:r>
      <w:r>
        <w:rPr>
          <w:color w:val="3B383B"/>
          <w:spacing w:val="-61"/>
          <w:w w:val="110"/>
        </w:rPr>
        <w:t> </w:t>
      </w:r>
      <w:r>
        <w:rPr>
          <w:color w:val="3B383B"/>
          <w:w w:val="110"/>
        </w:rPr>
        <w:t>efit from the analysis and reasoning of several different lower courts. By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allowing several opinions to be written on a subject, the Court can assess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several</w:t>
      </w:r>
      <w:r>
        <w:rPr>
          <w:color w:val="3B383B"/>
          <w:spacing w:val="-5"/>
          <w:w w:val="110"/>
        </w:rPr>
        <w:t> </w:t>
      </w:r>
      <w:r>
        <w:rPr>
          <w:color w:val="3B383B"/>
          <w:w w:val="110"/>
        </w:rPr>
        <w:t>different</w:t>
      </w:r>
      <w:r>
        <w:rPr>
          <w:color w:val="3B383B"/>
          <w:spacing w:val="3"/>
          <w:w w:val="110"/>
        </w:rPr>
        <w:t> </w:t>
      </w:r>
      <w:r>
        <w:rPr>
          <w:color w:val="3B383B"/>
          <w:w w:val="110"/>
        </w:rPr>
        <w:t>resolutions</w:t>
      </w:r>
      <w:r>
        <w:rPr>
          <w:color w:val="3B383B"/>
          <w:spacing w:val="-1"/>
          <w:w w:val="110"/>
        </w:rPr>
        <w:t> </w:t>
      </w:r>
      <w:r>
        <w:rPr>
          <w:color w:val="3B383B"/>
          <w:w w:val="110"/>
        </w:rPr>
        <w:t>and</w:t>
      </w:r>
      <w:r>
        <w:rPr>
          <w:color w:val="3B383B"/>
          <w:spacing w:val="17"/>
          <w:w w:val="110"/>
        </w:rPr>
        <w:t> </w:t>
      </w:r>
      <w:r>
        <w:rPr>
          <w:color w:val="3B383B"/>
          <w:w w:val="110"/>
        </w:rPr>
        <w:t>analyses</w:t>
      </w:r>
      <w:r>
        <w:rPr>
          <w:color w:val="3B383B"/>
          <w:spacing w:val="-8"/>
          <w:w w:val="110"/>
        </w:rPr>
        <w:t> </w:t>
      </w:r>
      <w:r>
        <w:rPr>
          <w:color w:val="3B383B"/>
          <w:w w:val="110"/>
        </w:rPr>
        <w:t>of</w:t>
      </w:r>
      <w:r>
        <w:rPr>
          <w:color w:val="3B383B"/>
          <w:spacing w:val="-1"/>
          <w:w w:val="110"/>
        </w:rPr>
        <w:t> </w:t>
      </w:r>
      <w:r>
        <w:rPr>
          <w:color w:val="3B383B"/>
          <w:w w:val="110"/>
        </w:rPr>
        <w:t>the</w:t>
      </w:r>
      <w:r>
        <w:rPr>
          <w:color w:val="3B383B"/>
          <w:spacing w:val="35"/>
          <w:w w:val="110"/>
        </w:rPr>
        <w:t> </w:t>
      </w:r>
      <w:r>
        <w:rPr>
          <w:color w:val="3B383B"/>
          <w:w w:val="110"/>
        </w:rPr>
        <w:t>same</w:t>
      </w:r>
      <w:r>
        <w:rPr>
          <w:color w:val="3B383B"/>
          <w:spacing w:val="-4"/>
          <w:w w:val="110"/>
        </w:rPr>
        <w:t> </w:t>
      </w:r>
      <w:r>
        <w:rPr>
          <w:color w:val="3B383B"/>
          <w:w w:val="110"/>
        </w:rPr>
        <w:t>issue.</w:t>
      </w:r>
    </w:p>
    <w:p>
      <w:pPr>
        <w:pStyle w:val="BodyText"/>
        <w:spacing w:line="232" w:lineRule="auto"/>
        <w:ind w:left="119" w:right="272" w:firstLine="380"/>
        <w:jc w:val="both"/>
        <w:rPr>
          <w:i/>
        </w:rPr>
      </w:pPr>
      <w:r>
        <w:rPr>
          <w:color w:val="3B383B"/>
          <w:w w:val="110"/>
        </w:rPr>
        <w:t>Perhaps for these reasons, the Court attaches no precedential value to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the denial of a petition for a writ of certiorari. That is, a denial of certiorari</w:t>
      </w:r>
      <w:r>
        <w:rPr>
          <w:color w:val="3B383B"/>
          <w:spacing w:val="-61"/>
          <w:w w:val="110"/>
        </w:rPr>
        <w:t> </w:t>
      </w:r>
      <w:r>
        <w:rPr>
          <w:color w:val="3B383B"/>
          <w:w w:val="110"/>
        </w:rPr>
        <w:t>does </w:t>
      </w:r>
      <w:r>
        <w:rPr>
          <w:i/>
          <w:color w:val="3B383B"/>
          <w:w w:val="110"/>
        </w:rPr>
        <w:t>not </w:t>
      </w:r>
      <w:r>
        <w:rPr>
          <w:color w:val="3B383B"/>
          <w:w w:val="110"/>
        </w:rPr>
        <w:t>indicate that the Court approves of the decision below</w:t>
      </w:r>
      <w:r>
        <w:rPr>
          <w:color w:val="59595B"/>
          <w:w w:val="110"/>
        </w:rPr>
        <w:t>. </w:t>
      </w:r>
      <w:r>
        <w:rPr>
          <w:color w:val="3B383B"/>
          <w:w w:val="110"/>
        </w:rPr>
        <w:t>Rather, it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means only that the Court did not believe, for whatever reason, that it was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an</w:t>
      </w:r>
      <w:r>
        <w:rPr>
          <w:color w:val="3B383B"/>
          <w:spacing w:val="22"/>
          <w:w w:val="110"/>
        </w:rPr>
        <w:t> </w:t>
      </w:r>
      <w:r>
        <w:rPr>
          <w:color w:val="3B383B"/>
          <w:w w:val="110"/>
        </w:rPr>
        <w:t>issue</w:t>
      </w:r>
      <w:r>
        <w:rPr>
          <w:color w:val="3B383B"/>
          <w:spacing w:val="-6"/>
          <w:w w:val="110"/>
        </w:rPr>
        <w:t> </w:t>
      </w:r>
      <w:r>
        <w:rPr>
          <w:color w:val="3B383B"/>
          <w:w w:val="110"/>
        </w:rPr>
        <w:t>that</w:t>
      </w:r>
      <w:r>
        <w:rPr>
          <w:color w:val="3B383B"/>
          <w:spacing w:val="-8"/>
          <w:w w:val="110"/>
        </w:rPr>
        <w:t> </w:t>
      </w:r>
      <w:r>
        <w:rPr>
          <w:color w:val="3B383B"/>
          <w:w w:val="110"/>
        </w:rPr>
        <w:t>wasworthy</w:t>
      </w:r>
      <w:r>
        <w:rPr>
          <w:color w:val="3B383B"/>
          <w:spacing w:val="-11"/>
          <w:w w:val="110"/>
        </w:rPr>
        <w:t> </w:t>
      </w:r>
      <w:r>
        <w:rPr>
          <w:color w:val="3B383B"/>
          <w:w w:val="110"/>
        </w:rPr>
        <w:t>of</w:t>
      </w:r>
      <w:r>
        <w:rPr>
          <w:color w:val="3B383B"/>
          <w:spacing w:val="7"/>
          <w:w w:val="110"/>
        </w:rPr>
        <w:t> </w:t>
      </w:r>
      <w:r>
        <w:rPr>
          <w:color w:val="3B383B"/>
          <w:w w:val="110"/>
        </w:rPr>
        <w:t>its</w:t>
      </w:r>
      <w:r>
        <w:rPr>
          <w:color w:val="3B383B"/>
          <w:spacing w:val="23"/>
          <w:w w:val="110"/>
        </w:rPr>
        <w:t> </w:t>
      </w:r>
      <w:r>
        <w:rPr>
          <w:color w:val="3B383B"/>
          <w:w w:val="110"/>
        </w:rPr>
        <w:t>review</w:t>
      </w:r>
      <w:r>
        <w:rPr>
          <w:color w:val="3B383B"/>
          <w:spacing w:val="-9"/>
          <w:w w:val="110"/>
        </w:rPr>
        <w:t> </w:t>
      </w:r>
      <w:r>
        <w:rPr>
          <w:i/>
          <w:color w:val="3B383B"/>
          <w:w w:val="110"/>
        </w:rPr>
        <w:t>at</w:t>
      </w:r>
      <w:r>
        <w:rPr>
          <w:i/>
          <w:color w:val="3B383B"/>
          <w:spacing w:val="13"/>
          <w:w w:val="110"/>
        </w:rPr>
        <w:t> </w:t>
      </w:r>
      <w:r>
        <w:rPr>
          <w:i/>
          <w:color w:val="3B383B"/>
          <w:w w:val="110"/>
        </w:rPr>
        <w:t>that</w:t>
      </w:r>
      <w:r>
        <w:rPr>
          <w:i/>
          <w:color w:val="3B383B"/>
          <w:spacing w:val="-21"/>
          <w:w w:val="110"/>
        </w:rPr>
        <w:t> </w:t>
      </w:r>
      <w:r>
        <w:rPr>
          <w:i/>
          <w:color w:val="3B383B"/>
          <w:w w:val="110"/>
        </w:rPr>
        <w:t>time.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2"/>
        </w:rPr>
      </w:pPr>
    </w:p>
    <w:p>
      <w:pPr>
        <w:spacing w:before="1"/>
        <w:ind w:left="737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3B383B"/>
          <w:w w:val="115"/>
          <w:sz w:val="32"/>
        </w:rPr>
        <w:t>2.2</w:t>
      </w:r>
    </w:p>
    <w:p>
      <w:pPr>
        <w:spacing w:before="73"/>
        <w:ind w:left="74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3B383B"/>
          <w:w w:val="105"/>
          <w:sz w:val="26"/>
        </w:rPr>
        <w:t>JURISDICTION</w:t>
      </w:r>
      <w:r>
        <w:rPr>
          <w:rFonts w:ascii="Arial"/>
          <w:b/>
          <w:color w:val="3B383B"/>
          <w:spacing w:val="-12"/>
          <w:w w:val="105"/>
          <w:sz w:val="26"/>
        </w:rPr>
        <w:t> </w:t>
      </w:r>
      <w:r>
        <w:rPr>
          <w:rFonts w:ascii="Arial"/>
          <w:b/>
          <w:color w:val="3B383B"/>
          <w:w w:val="105"/>
          <w:sz w:val="26"/>
        </w:rPr>
        <w:t>IN</w:t>
      </w:r>
      <w:r>
        <w:rPr>
          <w:rFonts w:ascii="Arial"/>
          <w:b/>
          <w:color w:val="3B383B"/>
          <w:spacing w:val="6"/>
          <w:w w:val="105"/>
          <w:sz w:val="26"/>
        </w:rPr>
        <w:t> </w:t>
      </w:r>
      <w:r>
        <w:rPr>
          <w:rFonts w:ascii="Arial"/>
          <w:b/>
          <w:color w:val="3B383B"/>
          <w:w w:val="105"/>
          <w:sz w:val="26"/>
        </w:rPr>
        <w:t>INTERMEDIATE</w:t>
      </w:r>
      <w:r>
        <w:rPr>
          <w:rFonts w:ascii="Arial"/>
          <w:b/>
          <w:color w:val="3B383B"/>
          <w:spacing w:val="-5"/>
          <w:w w:val="105"/>
          <w:sz w:val="26"/>
        </w:rPr>
        <w:t> </w:t>
      </w:r>
      <w:r>
        <w:rPr>
          <w:rFonts w:ascii="Arial"/>
          <w:b/>
          <w:color w:val="3B383B"/>
          <w:w w:val="105"/>
          <w:sz w:val="26"/>
        </w:rPr>
        <w:t>COURTS</w:t>
      </w:r>
      <w:r>
        <w:rPr>
          <w:rFonts w:ascii="Arial"/>
          <w:b/>
          <w:color w:val="3B383B"/>
          <w:spacing w:val="-15"/>
          <w:w w:val="105"/>
          <w:sz w:val="26"/>
        </w:rPr>
        <w:t> </w:t>
      </w:r>
      <w:r>
        <w:rPr>
          <w:rFonts w:ascii="Arial"/>
          <w:b/>
          <w:color w:val="3B383B"/>
          <w:w w:val="105"/>
          <w:sz w:val="26"/>
        </w:rPr>
        <w:t>OF</w:t>
      </w:r>
    </w:p>
    <w:p>
      <w:pPr>
        <w:spacing w:before="78"/>
        <w:ind w:left="735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B383B"/>
          <w:sz w:val="28"/>
        </w:rPr>
        <w:t>APPEALS</w:t>
      </w:r>
    </w:p>
    <w:p>
      <w:pPr>
        <w:pStyle w:val="BodyText"/>
        <w:spacing w:line="235" w:lineRule="auto" w:before="241"/>
        <w:ind w:left="119" w:right="202" w:firstLine="608"/>
        <w:jc w:val="both"/>
        <w:rPr>
          <w:rFonts w:ascii="Arial" w:hAnsi="Arial"/>
        </w:rPr>
      </w:pPr>
      <w:r>
        <w:rPr>
          <w:color w:val="3B383B"/>
          <w:w w:val="110"/>
        </w:rPr>
        <w:t>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rules are somewhat different in intermediate courts of appeals.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Generally, state and federal intermediate courts of appeals will hear any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appeal of a final order if the appellant has met specified procedural guide­</w:t>
      </w:r>
      <w:r>
        <w:rPr>
          <w:color w:val="3B383B"/>
          <w:spacing w:val="1"/>
          <w:w w:val="110"/>
        </w:rPr>
        <w:t> </w:t>
      </w:r>
      <w:r>
        <w:rPr>
          <w:color w:val="3B383B"/>
          <w:spacing w:val="-1"/>
          <w:w w:val="110"/>
        </w:rPr>
        <w:t>lines.5 The United States Courts of Appeals have jurisdiction </w:t>
      </w:r>
      <w:r>
        <w:rPr>
          <w:color w:val="3B383B"/>
          <w:w w:val="110"/>
        </w:rPr>
        <w:t>over appeals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from all final decisions of the United States District Courts.</w:t>
      </w:r>
      <w:r>
        <w:rPr>
          <w:rFonts w:ascii="Arial" w:hAnsi="Arial"/>
          <w:color w:val="3B383B"/>
          <w:w w:val="110"/>
          <w:vertAlign w:val="superscript"/>
        </w:rPr>
        <w:t>6</w:t>
      </w:r>
      <w:r>
        <w:rPr>
          <w:rFonts w:ascii="Arial" w:hAnsi="Arial"/>
          <w:color w:val="3B383B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The courts of</w:t>
      </w:r>
      <w:r>
        <w:rPr>
          <w:color w:val="3B383B"/>
          <w:spacing w:val="1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appeals also have jurisdiction to hear appeals from a variety of other judi­</w:t>
      </w:r>
      <w:r>
        <w:rPr>
          <w:color w:val="3B383B"/>
          <w:spacing w:val="1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cial and  quasi-judicial bodies, including, for example, appeals to  enforce</w:t>
      </w:r>
      <w:r>
        <w:rPr>
          <w:color w:val="3B383B"/>
          <w:spacing w:val="1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or</w:t>
      </w:r>
      <w:r>
        <w:rPr>
          <w:color w:val="3B383B"/>
          <w:spacing w:val="-11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challenge</w:t>
      </w:r>
      <w:r>
        <w:rPr>
          <w:color w:val="3B383B"/>
          <w:spacing w:val="-3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orders</w:t>
      </w:r>
      <w:r>
        <w:rPr>
          <w:color w:val="3B383B"/>
          <w:spacing w:val="-13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of</w:t>
      </w:r>
      <w:r>
        <w:rPr>
          <w:color w:val="3B383B"/>
          <w:spacing w:val="18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the</w:t>
      </w:r>
      <w:r>
        <w:rPr>
          <w:color w:val="3B383B"/>
          <w:spacing w:val="39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National</w:t>
      </w:r>
      <w:r>
        <w:rPr>
          <w:color w:val="3B383B"/>
          <w:spacing w:val="10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Labor</w:t>
      </w:r>
      <w:r>
        <w:rPr>
          <w:color w:val="3B383B"/>
          <w:spacing w:val="2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Relations</w:t>
      </w:r>
      <w:r>
        <w:rPr>
          <w:color w:val="3B383B"/>
          <w:spacing w:val="8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Board.</w:t>
      </w:r>
      <w:r>
        <w:rPr>
          <w:rFonts w:ascii="Arial" w:hAnsi="Arial"/>
          <w:color w:val="3B383B"/>
          <w:w w:val="110"/>
          <w:vertAlign w:val="superscript"/>
        </w:rPr>
        <w:t>7</w:t>
      </w:r>
    </w:p>
    <w:p>
      <w:pPr>
        <w:pStyle w:val="BodyText"/>
        <w:spacing w:line="232" w:lineRule="auto"/>
        <w:ind w:left="126" w:right="184" w:firstLine="383"/>
        <w:jc w:val="both"/>
      </w:pPr>
      <w:r>
        <w:rPr>
          <w:color w:val="3B383B"/>
          <w:w w:val="115"/>
        </w:rPr>
        <w:t>Federal</w:t>
      </w:r>
      <w:r>
        <w:rPr>
          <w:color w:val="3B383B"/>
          <w:spacing w:val="3"/>
          <w:w w:val="115"/>
        </w:rPr>
        <w:t> </w:t>
      </w:r>
      <w:r>
        <w:rPr>
          <w:color w:val="3B383B"/>
          <w:w w:val="115"/>
        </w:rPr>
        <w:t>intermediate</w:t>
      </w:r>
      <w:r>
        <w:rPr>
          <w:color w:val="3B383B"/>
          <w:spacing w:val="-10"/>
          <w:w w:val="115"/>
        </w:rPr>
        <w:t> </w:t>
      </w:r>
      <w:r>
        <w:rPr>
          <w:color w:val="3B383B"/>
          <w:w w:val="115"/>
        </w:rPr>
        <w:t>courts</w:t>
      </w:r>
      <w:r>
        <w:rPr>
          <w:color w:val="3B383B"/>
          <w:spacing w:val="-11"/>
          <w:w w:val="115"/>
        </w:rPr>
        <w:t> </w:t>
      </w:r>
      <w:r>
        <w:rPr>
          <w:color w:val="3B383B"/>
          <w:w w:val="115"/>
        </w:rPr>
        <w:t>of</w:t>
      </w:r>
      <w:r>
        <w:rPr>
          <w:color w:val="3B383B"/>
          <w:spacing w:val="9"/>
          <w:w w:val="115"/>
        </w:rPr>
        <w:t> </w:t>
      </w:r>
      <w:r>
        <w:rPr>
          <w:color w:val="3B383B"/>
          <w:w w:val="115"/>
        </w:rPr>
        <w:t>appeals</w:t>
      </w:r>
      <w:r>
        <w:rPr>
          <w:color w:val="3B383B"/>
          <w:spacing w:val="-4"/>
          <w:w w:val="115"/>
        </w:rPr>
        <w:t> </w:t>
      </w:r>
      <w:r>
        <w:rPr>
          <w:color w:val="3B383B"/>
          <w:w w:val="115"/>
        </w:rPr>
        <w:t>may</w:t>
      </w:r>
      <w:r>
        <w:rPr>
          <w:color w:val="3B383B"/>
          <w:spacing w:val="-12"/>
          <w:w w:val="115"/>
        </w:rPr>
        <w:t> </w:t>
      </w:r>
      <w:r>
        <w:rPr>
          <w:color w:val="3B383B"/>
          <w:w w:val="115"/>
        </w:rPr>
        <w:t>decide</w:t>
      </w:r>
      <w:r>
        <w:rPr>
          <w:color w:val="3B383B"/>
          <w:spacing w:val="-11"/>
          <w:w w:val="115"/>
        </w:rPr>
        <w:t> </w:t>
      </w:r>
      <w:r>
        <w:rPr>
          <w:color w:val="3B383B"/>
          <w:w w:val="115"/>
        </w:rPr>
        <w:t>cases</w:t>
      </w:r>
      <w:r>
        <w:rPr>
          <w:color w:val="3B383B"/>
          <w:spacing w:val="-17"/>
          <w:w w:val="115"/>
        </w:rPr>
        <w:t> </w:t>
      </w:r>
      <w:r>
        <w:rPr>
          <w:color w:val="3B383B"/>
          <w:w w:val="115"/>
        </w:rPr>
        <w:t>without oral</w:t>
      </w:r>
      <w:r>
        <w:rPr>
          <w:color w:val="3B383B"/>
          <w:spacing w:val="-64"/>
          <w:w w:val="115"/>
        </w:rPr>
        <w:t> </w:t>
      </w:r>
      <w:r>
        <w:rPr>
          <w:color w:val="3B383B"/>
          <w:w w:val="115"/>
        </w:rPr>
        <w:t>argument. Although, according to the rule</w:t>
      </w:r>
      <w:r>
        <w:rPr>
          <w:color w:val="59595B"/>
          <w:w w:val="115"/>
        </w:rPr>
        <w:t>s</w:t>
      </w:r>
      <w:r>
        <w:rPr>
          <w:color w:val="3B383B"/>
          <w:w w:val="115"/>
        </w:rPr>
        <w:t>, oral argument is presumed,</w:t>
      </w:r>
      <w:r>
        <w:rPr>
          <w:color w:val="3B383B"/>
          <w:spacing w:val="1"/>
          <w:w w:val="115"/>
        </w:rPr>
        <w:t> </w:t>
      </w:r>
      <w:r>
        <w:rPr>
          <w:color w:val="3B383B"/>
          <w:spacing w:val="-1"/>
          <w:w w:val="115"/>
        </w:rPr>
        <w:t>a three-judge </w:t>
      </w:r>
      <w:r>
        <w:rPr>
          <w:color w:val="3B383B"/>
          <w:w w:val="115"/>
        </w:rPr>
        <w:t>panel can vote unanimously that oral argument is unneces­</w:t>
      </w:r>
      <w:r>
        <w:rPr>
          <w:color w:val="3B383B"/>
          <w:spacing w:val="-64"/>
          <w:w w:val="115"/>
        </w:rPr>
        <w:t> </w:t>
      </w:r>
      <w:r>
        <w:rPr>
          <w:color w:val="3B383B"/>
          <w:w w:val="110"/>
        </w:rPr>
        <w:t>sary</w:t>
      </w:r>
      <w:r>
        <w:rPr>
          <w:color w:val="3B383B"/>
          <w:spacing w:val="-9"/>
          <w:w w:val="110"/>
        </w:rPr>
        <w:t> </w:t>
      </w:r>
      <w:r>
        <w:rPr>
          <w:color w:val="3B383B"/>
          <w:w w:val="110"/>
        </w:rPr>
        <w:t>in</w:t>
      </w:r>
      <w:r>
        <w:rPr>
          <w:color w:val="3B383B"/>
          <w:spacing w:val="19"/>
          <w:w w:val="110"/>
        </w:rPr>
        <w:t> </w:t>
      </w:r>
      <w:r>
        <w:rPr>
          <w:color w:val="3B383B"/>
          <w:w w:val="110"/>
        </w:rPr>
        <w:t>a</w:t>
      </w:r>
      <w:r>
        <w:rPr>
          <w:color w:val="3B383B"/>
          <w:spacing w:val="-1"/>
          <w:w w:val="110"/>
        </w:rPr>
        <w:t> </w:t>
      </w:r>
      <w:r>
        <w:rPr>
          <w:color w:val="3B383B"/>
          <w:w w:val="110"/>
        </w:rPr>
        <w:t>given</w:t>
      </w:r>
      <w:r>
        <w:rPr>
          <w:color w:val="3B383B"/>
          <w:spacing w:val="4"/>
          <w:w w:val="110"/>
        </w:rPr>
        <w:t> </w:t>
      </w:r>
      <w:r>
        <w:rPr>
          <w:color w:val="3B383B"/>
          <w:w w:val="110"/>
        </w:rPr>
        <w:t>case</w:t>
      </w:r>
      <w:r>
        <w:rPr>
          <w:color w:val="3B383B"/>
          <w:spacing w:val="-5"/>
          <w:w w:val="110"/>
        </w:rPr>
        <w:t> </w:t>
      </w:r>
      <w:r>
        <w:rPr>
          <w:color w:val="3B383B"/>
          <w:w w:val="110"/>
        </w:rPr>
        <w:t>for</w:t>
      </w:r>
      <w:r>
        <w:rPr>
          <w:color w:val="3B383B"/>
          <w:spacing w:val="-8"/>
          <w:w w:val="110"/>
        </w:rPr>
        <w:t> </w:t>
      </w:r>
      <w:r>
        <w:rPr>
          <w:color w:val="3B383B"/>
          <w:w w:val="110"/>
        </w:rPr>
        <w:t>any</w:t>
      </w:r>
      <w:r>
        <w:rPr>
          <w:color w:val="3B383B"/>
          <w:spacing w:val="28"/>
          <w:w w:val="110"/>
        </w:rPr>
        <w:t> </w:t>
      </w:r>
      <w:r>
        <w:rPr>
          <w:color w:val="3B383B"/>
          <w:w w:val="110"/>
        </w:rPr>
        <w:t>of</w:t>
      </w:r>
      <w:r>
        <w:rPr>
          <w:color w:val="3B383B"/>
          <w:spacing w:val="14"/>
          <w:w w:val="110"/>
        </w:rPr>
        <w:t> </w:t>
      </w:r>
      <w:r>
        <w:rPr>
          <w:color w:val="3B383B"/>
          <w:w w:val="110"/>
        </w:rPr>
        <w:t>the</w:t>
      </w:r>
      <w:r>
        <w:rPr>
          <w:color w:val="3B383B"/>
          <w:spacing w:val="30"/>
          <w:w w:val="110"/>
        </w:rPr>
        <w:t> </w:t>
      </w:r>
      <w:r>
        <w:rPr>
          <w:color w:val="3B383B"/>
          <w:w w:val="110"/>
        </w:rPr>
        <w:t>following</w:t>
      </w:r>
      <w:r>
        <w:rPr>
          <w:color w:val="3B383B"/>
          <w:spacing w:val="8"/>
          <w:w w:val="110"/>
        </w:rPr>
        <w:t> </w:t>
      </w:r>
      <w:r>
        <w:rPr>
          <w:color w:val="3B383B"/>
          <w:w w:val="110"/>
        </w:rPr>
        <w:t>three</w:t>
      </w:r>
      <w:r>
        <w:rPr>
          <w:color w:val="3B383B"/>
          <w:spacing w:val="-4"/>
          <w:w w:val="110"/>
        </w:rPr>
        <w:t> </w:t>
      </w:r>
      <w:r>
        <w:rPr>
          <w:color w:val="3B383B"/>
          <w:w w:val="110"/>
        </w:rPr>
        <w:t>reasons:</w:t>
      </w:r>
    </w:p>
    <w:p>
      <w:pPr>
        <w:pStyle w:val="ListParagraph"/>
        <w:numPr>
          <w:ilvl w:val="0"/>
          <w:numId w:val="23"/>
        </w:numPr>
        <w:tabs>
          <w:tab w:pos="536" w:val="left" w:leader="none"/>
        </w:tabs>
        <w:spacing w:line="262" w:lineRule="exact" w:before="132" w:after="0"/>
        <w:ind w:left="535" w:right="0" w:hanging="277"/>
        <w:jc w:val="left"/>
        <w:rPr>
          <w:rFonts w:ascii="Arial"/>
          <w:color w:val="3B383B"/>
          <w:sz w:val="21"/>
        </w:rPr>
      </w:pPr>
      <w:r>
        <w:rPr>
          <w:color w:val="3B383B"/>
          <w:w w:val="110"/>
          <w:sz w:val="23"/>
        </w:rPr>
        <w:t>The</w:t>
      </w:r>
      <w:r>
        <w:rPr>
          <w:color w:val="3B383B"/>
          <w:spacing w:val="6"/>
          <w:w w:val="110"/>
          <w:sz w:val="23"/>
        </w:rPr>
        <w:t> </w:t>
      </w:r>
      <w:r>
        <w:rPr>
          <w:color w:val="3B383B"/>
          <w:w w:val="110"/>
          <w:sz w:val="23"/>
        </w:rPr>
        <w:t>appeal</w:t>
      </w:r>
      <w:r>
        <w:rPr>
          <w:color w:val="3B383B"/>
          <w:spacing w:val="10"/>
          <w:w w:val="110"/>
          <w:sz w:val="23"/>
        </w:rPr>
        <w:t> </w:t>
      </w:r>
      <w:r>
        <w:rPr>
          <w:color w:val="3B383B"/>
          <w:w w:val="110"/>
          <w:sz w:val="23"/>
        </w:rPr>
        <w:t>is</w:t>
      </w:r>
      <w:r>
        <w:rPr>
          <w:color w:val="3B383B"/>
          <w:spacing w:val="-6"/>
          <w:w w:val="110"/>
          <w:sz w:val="23"/>
        </w:rPr>
        <w:t> </w:t>
      </w:r>
      <w:r>
        <w:rPr>
          <w:color w:val="3B383B"/>
          <w:w w:val="110"/>
          <w:sz w:val="23"/>
        </w:rPr>
        <w:t>frivolous.</w:t>
      </w:r>
    </w:p>
    <w:p>
      <w:pPr>
        <w:pStyle w:val="ListParagraph"/>
        <w:numPr>
          <w:ilvl w:val="0"/>
          <w:numId w:val="23"/>
        </w:numPr>
        <w:tabs>
          <w:tab w:pos="546" w:val="left" w:leader="none"/>
        </w:tabs>
        <w:spacing w:line="262" w:lineRule="exact" w:before="0" w:after="0"/>
        <w:ind w:left="545" w:right="0" w:hanging="289"/>
        <w:jc w:val="left"/>
        <w:rPr>
          <w:color w:val="3B383B"/>
          <w:sz w:val="23"/>
        </w:rPr>
      </w:pPr>
      <w:r>
        <w:rPr>
          <w:color w:val="3B383B"/>
          <w:w w:val="110"/>
          <w:sz w:val="23"/>
        </w:rPr>
        <w:t>The</w:t>
      </w:r>
      <w:r>
        <w:rPr>
          <w:color w:val="3B383B"/>
          <w:spacing w:val="10"/>
          <w:w w:val="110"/>
          <w:sz w:val="23"/>
        </w:rPr>
        <w:t> </w:t>
      </w:r>
      <w:r>
        <w:rPr>
          <w:color w:val="3B383B"/>
          <w:w w:val="110"/>
          <w:sz w:val="23"/>
        </w:rPr>
        <w:t>dispositive</w:t>
      </w:r>
      <w:r>
        <w:rPr>
          <w:color w:val="3B383B"/>
          <w:spacing w:val="34"/>
          <w:w w:val="110"/>
          <w:sz w:val="23"/>
        </w:rPr>
        <w:t> </w:t>
      </w:r>
      <w:r>
        <w:rPr>
          <w:color w:val="3B383B"/>
          <w:w w:val="110"/>
          <w:sz w:val="23"/>
        </w:rPr>
        <w:t>issue</w:t>
      </w:r>
      <w:r>
        <w:rPr>
          <w:color w:val="3B383B"/>
          <w:spacing w:val="13"/>
          <w:w w:val="110"/>
          <w:sz w:val="23"/>
        </w:rPr>
        <w:t> </w:t>
      </w:r>
      <w:r>
        <w:rPr>
          <w:color w:val="3B383B"/>
          <w:w w:val="110"/>
          <w:sz w:val="23"/>
        </w:rPr>
        <w:t>or</w:t>
      </w:r>
      <w:r>
        <w:rPr>
          <w:color w:val="3B383B"/>
          <w:spacing w:val="43"/>
          <w:w w:val="110"/>
          <w:sz w:val="23"/>
        </w:rPr>
        <w:t> </w:t>
      </w:r>
      <w:r>
        <w:rPr>
          <w:color w:val="3B383B"/>
          <w:w w:val="110"/>
          <w:sz w:val="23"/>
        </w:rPr>
        <w:t>issues</w:t>
      </w:r>
      <w:r>
        <w:rPr>
          <w:color w:val="3B383B"/>
          <w:spacing w:val="8"/>
          <w:w w:val="110"/>
          <w:sz w:val="23"/>
        </w:rPr>
        <w:t> </w:t>
      </w:r>
      <w:r>
        <w:rPr>
          <w:color w:val="3B383B"/>
          <w:w w:val="110"/>
          <w:sz w:val="23"/>
        </w:rPr>
        <w:t>have been</w:t>
      </w:r>
      <w:r>
        <w:rPr>
          <w:color w:val="3B383B"/>
          <w:spacing w:val="12"/>
          <w:w w:val="110"/>
          <w:sz w:val="23"/>
        </w:rPr>
        <w:t> </w:t>
      </w:r>
      <w:r>
        <w:rPr>
          <w:color w:val="3B383B"/>
          <w:w w:val="110"/>
          <w:sz w:val="23"/>
        </w:rPr>
        <w:t>authoritatively</w:t>
      </w:r>
      <w:r>
        <w:rPr>
          <w:color w:val="3B383B"/>
          <w:spacing w:val="-4"/>
          <w:w w:val="110"/>
          <w:sz w:val="23"/>
        </w:rPr>
        <w:t> </w:t>
      </w:r>
      <w:r>
        <w:rPr>
          <w:color w:val="3B383B"/>
          <w:w w:val="110"/>
          <w:sz w:val="23"/>
        </w:rPr>
        <w:t>decided.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9"/>
        </w:rPr>
      </w:pPr>
    </w:p>
    <w:p>
      <w:pPr>
        <w:spacing w:line="235" w:lineRule="auto" w:before="1"/>
        <w:ind w:left="135" w:right="141" w:firstLine="273"/>
        <w:jc w:val="both"/>
        <w:rPr>
          <w:sz w:val="18"/>
        </w:rPr>
      </w:pPr>
      <w:r>
        <w:rPr>
          <w:color w:val="3B383B"/>
          <w:w w:val="105"/>
          <w:sz w:val="18"/>
        </w:rPr>
        <w:t>s</w:t>
      </w:r>
      <w:r>
        <w:rPr>
          <w:color w:val="3B383B"/>
          <w:spacing w:val="1"/>
          <w:w w:val="105"/>
          <w:sz w:val="18"/>
        </w:rPr>
        <w:t> </w:t>
      </w:r>
      <w:r>
        <w:rPr>
          <w:rFonts w:ascii="Arial"/>
          <w:i/>
          <w:color w:val="3B383B"/>
          <w:w w:val="105"/>
          <w:sz w:val="15"/>
        </w:rPr>
        <w:t>S</w:t>
      </w:r>
      <w:r>
        <w:rPr>
          <w:rFonts w:ascii="Arial"/>
          <w:i/>
          <w:color w:val="59595B"/>
          <w:w w:val="105"/>
          <w:sz w:val="15"/>
        </w:rPr>
        <w:t>e</w:t>
      </w:r>
      <w:r>
        <w:rPr>
          <w:rFonts w:ascii="Arial"/>
          <w:i/>
          <w:color w:val="3B383B"/>
          <w:w w:val="105"/>
          <w:sz w:val="15"/>
        </w:rPr>
        <w:t>e, e</w:t>
      </w:r>
      <w:r>
        <w:rPr>
          <w:rFonts w:ascii="Arial"/>
          <w:i/>
          <w:color w:val="59595B"/>
          <w:w w:val="105"/>
          <w:sz w:val="15"/>
        </w:rPr>
        <w:t>.</w:t>
      </w:r>
      <w:r>
        <w:rPr>
          <w:rFonts w:ascii="Arial"/>
          <w:i/>
          <w:color w:val="3B383B"/>
          <w:w w:val="105"/>
          <w:sz w:val="15"/>
        </w:rPr>
        <w:t>g., </w:t>
      </w:r>
      <w:r>
        <w:rPr>
          <w:color w:val="3B383B"/>
          <w:w w:val="105"/>
          <w:sz w:val="18"/>
        </w:rPr>
        <w:t>Ohio R</w:t>
      </w:r>
      <w:r>
        <w:rPr>
          <w:color w:val="59595B"/>
          <w:w w:val="105"/>
          <w:sz w:val="18"/>
        </w:rPr>
        <w:t>. </w:t>
      </w:r>
      <w:r>
        <w:rPr>
          <w:color w:val="3B383B"/>
          <w:w w:val="105"/>
          <w:sz w:val="18"/>
        </w:rPr>
        <w:t>App. P. tit</w:t>
      </w:r>
      <w:r>
        <w:rPr>
          <w:color w:val="59595B"/>
          <w:w w:val="105"/>
          <w:sz w:val="18"/>
        </w:rPr>
        <w:t>. </w:t>
      </w:r>
      <w:r>
        <w:rPr>
          <w:color w:val="3B383B"/>
          <w:w w:val="105"/>
          <w:sz w:val="18"/>
        </w:rPr>
        <w:t>II, R. 3; Fed</w:t>
      </w:r>
      <w:r>
        <w:rPr>
          <w:color w:val="59595B"/>
          <w:w w:val="105"/>
          <w:sz w:val="18"/>
        </w:rPr>
        <w:t>. </w:t>
      </w:r>
      <w:r>
        <w:rPr>
          <w:color w:val="3B383B"/>
          <w:w w:val="105"/>
          <w:sz w:val="18"/>
        </w:rPr>
        <w:t>R. App</w:t>
      </w:r>
      <w:r>
        <w:rPr>
          <w:color w:val="59595B"/>
          <w:w w:val="105"/>
          <w:sz w:val="18"/>
        </w:rPr>
        <w:t>. </w:t>
      </w:r>
      <w:r>
        <w:rPr>
          <w:color w:val="3B383B"/>
          <w:w w:val="105"/>
          <w:sz w:val="18"/>
        </w:rPr>
        <w:t>P</w:t>
      </w:r>
      <w:r>
        <w:rPr>
          <w:color w:val="59595B"/>
          <w:w w:val="105"/>
          <w:sz w:val="18"/>
        </w:rPr>
        <w:t>. </w:t>
      </w:r>
      <w:r>
        <w:rPr>
          <w:color w:val="3B383B"/>
          <w:w w:val="105"/>
          <w:sz w:val="18"/>
        </w:rPr>
        <w:t>3.  Appeals of c</w:t>
      </w:r>
      <w:r>
        <w:rPr>
          <w:color w:val="59595B"/>
          <w:w w:val="105"/>
          <w:sz w:val="18"/>
        </w:rPr>
        <w:t>e</w:t>
      </w:r>
      <w:r>
        <w:rPr>
          <w:color w:val="3B383B"/>
          <w:w w:val="105"/>
          <w:sz w:val="18"/>
        </w:rPr>
        <w:t>rtain criminal appeals</w:t>
      </w:r>
      <w:r>
        <w:rPr>
          <w:color w:val="3B383B"/>
          <w:spacing w:val="1"/>
          <w:w w:val="105"/>
          <w:sz w:val="18"/>
        </w:rPr>
        <w:t> </w:t>
      </w:r>
      <w:r>
        <w:rPr>
          <w:color w:val="3B383B"/>
          <w:w w:val="105"/>
          <w:sz w:val="18"/>
        </w:rPr>
        <w:t>may</w:t>
      </w:r>
      <w:r>
        <w:rPr>
          <w:color w:val="3B383B"/>
          <w:spacing w:val="11"/>
          <w:w w:val="105"/>
          <w:sz w:val="18"/>
        </w:rPr>
        <w:t> </w:t>
      </w:r>
      <w:r>
        <w:rPr>
          <w:color w:val="3B383B"/>
          <w:w w:val="105"/>
          <w:sz w:val="18"/>
        </w:rPr>
        <w:t>have</w:t>
      </w:r>
      <w:r>
        <w:rPr>
          <w:color w:val="3B383B"/>
          <w:spacing w:val="8"/>
          <w:w w:val="105"/>
          <w:sz w:val="18"/>
        </w:rPr>
        <w:t> </w:t>
      </w:r>
      <w:r>
        <w:rPr>
          <w:color w:val="3B383B"/>
          <w:w w:val="105"/>
          <w:sz w:val="18"/>
        </w:rPr>
        <w:t>to</w:t>
      </w:r>
      <w:r>
        <w:rPr>
          <w:color w:val="3B383B"/>
          <w:spacing w:val="31"/>
          <w:w w:val="105"/>
          <w:sz w:val="18"/>
        </w:rPr>
        <w:t> </w:t>
      </w:r>
      <w:r>
        <w:rPr>
          <w:color w:val="3B383B"/>
          <w:w w:val="105"/>
          <w:sz w:val="18"/>
        </w:rPr>
        <w:t>meet</w:t>
      </w:r>
      <w:r>
        <w:rPr>
          <w:color w:val="3B383B"/>
          <w:spacing w:val="11"/>
          <w:w w:val="105"/>
          <w:sz w:val="18"/>
        </w:rPr>
        <w:t> </w:t>
      </w:r>
      <w:r>
        <w:rPr>
          <w:color w:val="3B383B"/>
          <w:w w:val="105"/>
          <w:sz w:val="18"/>
        </w:rPr>
        <w:t>diff</w:t>
      </w:r>
      <w:r>
        <w:rPr>
          <w:color w:val="59595B"/>
          <w:w w:val="105"/>
          <w:sz w:val="18"/>
        </w:rPr>
        <w:t>e</w:t>
      </w:r>
      <w:r>
        <w:rPr>
          <w:color w:val="3B383B"/>
          <w:w w:val="105"/>
          <w:sz w:val="18"/>
        </w:rPr>
        <w:t>rent</w:t>
      </w:r>
      <w:r>
        <w:rPr>
          <w:color w:val="3B383B"/>
          <w:spacing w:val="23"/>
          <w:w w:val="105"/>
          <w:sz w:val="18"/>
        </w:rPr>
        <w:t> </w:t>
      </w:r>
      <w:r>
        <w:rPr>
          <w:color w:val="3B383B"/>
          <w:w w:val="105"/>
          <w:sz w:val="18"/>
        </w:rPr>
        <w:t>standards.</w:t>
      </w:r>
      <w:r>
        <w:rPr>
          <w:color w:val="3B383B"/>
          <w:spacing w:val="25"/>
          <w:w w:val="105"/>
          <w:sz w:val="18"/>
        </w:rPr>
        <w:t> </w:t>
      </w:r>
      <w:r>
        <w:rPr>
          <w:color w:val="3B383B"/>
          <w:w w:val="105"/>
          <w:sz w:val="18"/>
        </w:rPr>
        <w:t>Interlocutory</w:t>
      </w:r>
      <w:r>
        <w:rPr>
          <w:color w:val="3B383B"/>
          <w:spacing w:val="24"/>
          <w:w w:val="105"/>
          <w:sz w:val="18"/>
        </w:rPr>
        <w:t> </w:t>
      </w:r>
      <w:r>
        <w:rPr>
          <w:color w:val="3B383B"/>
          <w:w w:val="105"/>
          <w:sz w:val="18"/>
        </w:rPr>
        <w:t>appeals</w:t>
      </w:r>
      <w:r>
        <w:rPr>
          <w:color w:val="3B383B"/>
          <w:spacing w:val="21"/>
          <w:w w:val="105"/>
          <w:sz w:val="18"/>
        </w:rPr>
        <w:t> </w:t>
      </w:r>
      <w:r>
        <w:rPr>
          <w:color w:val="3B383B"/>
          <w:w w:val="105"/>
          <w:sz w:val="18"/>
        </w:rPr>
        <w:t>are</w:t>
      </w:r>
      <w:r>
        <w:rPr>
          <w:color w:val="3B383B"/>
          <w:spacing w:val="11"/>
          <w:w w:val="105"/>
          <w:sz w:val="18"/>
        </w:rPr>
        <w:t> </w:t>
      </w:r>
      <w:r>
        <w:rPr>
          <w:color w:val="3B383B"/>
          <w:w w:val="105"/>
          <w:sz w:val="18"/>
        </w:rPr>
        <w:t>governed</w:t>
      </w:r>
      <w:r>
        <w:rPr>
          <w:color w:val="3B383B"/>
          <w:spacing w:val="45"/>
          <w:w w:val="105"/>
          <w:sz w:val="18"/>
        </w:rPr>
        <w:t> </w:t>
      </w:r>
      <w:r>
        <w:rPr>
          <w:color w:val="3B383B"/>
          <w:w w:val="105"/>
          <w:sz w:val="18"/>
        </w:rPr>
        <w:t>by</w:t>
      </w:r>
      <w:r>
        <w:rPr>
          <w:color w:val="3B383B"/>
          <w:spacing w:val="10"/>
          <w:w w:val="105"/>
          <w:sz w:val="18"/>
        </w:rPr>
        <w:t> </w:t>
      </w:r>
      <w:r>
        <w:rPr>
          <w:color w:val="3B383B"/>
          <w:w w:val="105"/>
          <w:sz w:val="18"/>
        </w:rPr>
        <w:t>the</w:t>
      </w:r>
      <w:r>
        <w:rPr>
          <w:color w:val="3B383B"/>
          <w:spacing w:val="44"/>
          <w:w w:val="105"/>
          <w:sz w:val="18"/>
        </w:rPr>
        <w:t> </w:t>
      </w:r>
      <w:r>
        <w:rPr>
          <w:color w:val="3B383B"/>
          <w:w w:val="105"/>
          <w:sz w:val="18"/>
        </w:rPr>
        <w:t>guideli</w:t>
      </w:r>
      <w:r>
        <w:rPr>
          <w:color w:val="59595B"/>
          <w:w w:val="105"/>
          <w:sz w:val="18"/>
        </w:rPr>
        <w:t>n</w:t>
      </w:r>
      <w:r>
        <w:rPr>
          <w:color w:val="3B383B"/>
          <w:w w:val="105"/>
          <w:sz w:val="18"/>
        </w:rPr>
        <w:t>es</w:t>
      </w:r>
      <w:r>
        <w:rPr>
          <w:color w:val="3B383B"/>
          <w:spacing w:val="27"/>
          <w:w w:val="105"/>
          <w:sz w:val="18"/>
        </w:rPr>
        <w:t> </w:t>
      </w:r>
      <w:r>
        <w:rPr>
          <w:color w:val="59595B"/>
          <w:w w:val="105"/>
          <w:sz w:val="18"/>
        </w:rPr>
        <w:t>i</w:t>
      </w:r>
      <w:r>
        <w:rPr>
          <w:color w:val="3B383B"/>
          <w:w w:val="105"/>
          <w:sz w:val="18"/>
        </w:rPr>
        <w:t>n </w:t>
      </w:r>
      <w:r>
        <w:rPr>
          <w:color w:val="3B383B"/>
          <w:spacing w:val="10"/>
          <w:w w:val="105"/>
          <w:sz w:val="18"/>
        </w:rPr>
        <w:t> </w:t>
      </w:r>
      <w:r>
        <w:rPr>
          <w:color w:val="3B383B"/>
          <w:w w:val="105"/>
          <w:sz w:val="18"/>
        </w:rPr>
        <w:t>28</w:t>
      </w:r>
    </w:p>
    <w:p>
      <w:pPr>
        <w:spacing w:line="235" w:lineRule="auto" w:before="0"/>
        <w:ind w:left="128" w:right="134" w:firstLine="17"/>
        <w:jc w:val="both"/>
        <w:rPr>
          <w:rFonts w:ascii="Arial" w:hAnsi="Arial"/>
          <w:i/>
          <w:sz w:val="15"/>
        </w:rPr>
      </w:pPr>
      <w:r>
        <w:rPr>
          <w:color w:val="3B383B"/>
          <w:w w:val="110"/>
          <w:sz w:val="17"/>
        </w:rPr>
        <w:t>U</w:t>
      </w:r>
      <w:r>
        <w:rPr>
          <w:color w:val="59595B"/>
          <w:w w:val="110"/>
          <w:sz w:val="17"/>
        </w:rPr>
        <w:t>.</w:t>
      </w:r>
      <w:r>
        <w:rPr>
          <w:color w:val="3B383B"/>
          <w:w w:val="110"/>
          <w:sz w:val="17"/>
        </w:rPr>
        <w:t>S.C. </w:t>
      </w:r>
      <w:r>
        <w:rPr>
          <w:color w:val="3B383B"/>
          <w:w w:val="110"/>
          <w:sz w:val="18"/>
        </w:rPr>
        <w:t>§</w:t>
      </w:r>
      <w:r>
        <w:rPr>
          <w:color w:val="59595B"/>
          <w:w w:val="110"/>
          <w:sz w:val="18"/>
        </w:rPr>
        <w:t>1</w:t>
      </w:r>
      <w:r>
        <w:rPr>
          <w:color w:val="3B383B"/>
          <w:w w:val="110"/>
          <w:sz w:val="18"/>
        </w:rPr>
        <w:t>292. </w:t>
      </w:r>
      <w:r>
        <w:rPr>
          <w:rFonts w:ascii="Arial" w:hAnsi="Arial"/>
          <w:i/>
          <w:color w:val="3B383B"/>
          <w:w w:val="110"/>
          <w:sz w:val="15"/>
        </w:rPr>
        <w:t>See also Mohawk Indus. v. Carp</w:t>
      </w:r>
      <w:r>
        <w:rPr>
          <w:rFonts w:ascii="Arial" w:hAnsi="Arial"/>
          <w:i/>
          <w:color w:val="59595B"/>
          <w:w w:val="110"/>
          <w:sz w:val="15"/>
        </w:rPr>
        <w:t>e</w:t>
      </w:r>
      <w:r>
        <w:rPr>
          <w:rFonts w:ascii="Arial" w:hAnsi="Arial"/>
          <w:i/>
          <w:color w:val="3B383B"/>
          <w:w w:val="110"/>
          <w:sz w:val="15"/>
        </w:rPr>
        <w:t>11ter, </w:t>
      </w:r>
      <w:r>
        <w:rPr>
          <w:color w:val="3B383B"/>
          <w:w w:val="110"/>
          <w:sz w:val="18"/>
        </w:rPr>
        <w:t>558 </w:t>
      </w:r>
      <w:r>
        <w:rPr>
          <w:color w:val="3B383B"/>
          <w:w w:val="110"/>
          <w:sz w:val="17"/>
        </w:rPr>
        <w:t>U</w:t>
      </w:r>
      <w:r>
        <w:rPr>
          <w:color w:val="59595B"/>
          <w:w w:val="110"/>
          <w:sz w:val="17"/>
        </w:rPr>
        <w:t>.</w:t>
      </w:r>
      <w:r>
        <w:rPr>
          <w:color w:val="3B383B"/>
          <w:w w:val="110"/>
          <w:sz w:val="17"/>
        </w:rPr>
        <w:t>S. </w:t>
      </w:r>
      <w:r>
        <w:rPr>
          <w:color w:val="3B383B"/>
          <w:w w:val="110"/>
          <w:sz w:val="18"/>
        </w:rPr>
        <w:t>100, 109 (2009) (interlocut</w:t>
      </w:r>
      <w:r>
        <w:rPr>
          <w:color w:val="59595B"/>
          <w:w w:val="110"/>
          <w:sz w:val="18"/>
        </w:rPr>
        <w:t>o</w:t>
      </w:r>
      <w:r>
        <w:rPr>
          <w:color w:val="3B383B"/>
          <w:w w:val="110"/>
          <w:sz w:val="18"/>
        </w:rPr>
        <w:t>ry d</w:t>
      </w:r>
      <w:r>
        <w:rPr>
          <w:color w:val="59595B"/>
          <w:w w:val="110"/>
          <w:sz w:val="18"/>
        </w:rPr>
        <w:t>e</w:t>
      </w:r>
      <w:r>
        <w:rPr>
          <w:color w:val="3B383B"/>
          <w:w w:val="110"/>
          <w:sz w:val="18"/>
        </w:rPr>
        <w:t>e\•</w:t>
      </w:r>
      <w:r>
        <w:rPr>
          <w:color w:val="3B383B"/>
          <w:spacing w:val="-47"/>
          <w:w w:val="110"/>
          <w:sz w:val="18"/>
        </w:rPr>
        <w:t> </w:t>
      </w:r>
      <w:r>
        <w:rPr>
          <w:color w:val="3B383B"/>
          <w:w w:val="105"/>
          <w:sz w:val="18"/>
        </w:rPr>
        <w:t>sl</w:t>
      </w:r>
      <w:r>
        <w:rPr>
          <w:color w:val="59595B"/>
          <w:w w:val="105"/>
          <w:sz w:val="18"/>
        </w:rPr>
        <w:t>o</w:t>
      </w:r>
      <w:r>
        <w:rPr>
          <w:color w:val="3B383B"/>
          <w:w w:val="105"/>
          <w:sz w:val="18"/>
        </w:rPr>
        <w:t>ns</w:t>
      </w:r>
      <w:r>
        <w:rPr>
          <w:color w:val="3B383B"/>
          <w:spacing w:val="19"/>
          <w:w w:val="105"/>
          <w:sz w:val="18"/>
        </w:rPr>
        <w:t> </w:t>
      </w:r>
      <w:r>
        <w:rPr>
          <w:color w:val="3B383B"/>
          <w:w w:val="105"/>
          <w:sz w:val="18"/>
        </w:rPr>
        <w:t>adverse</w:t>
      </w:r>
      <w:r>
        <w:rPr>
          <w:color w:val="3B383B"/>
          <w:spacing w:val="8"/>
          <w:w w:val="105"/>
          <w:sz w:val="18"/>
        </w:rPr>
        <w:t> </w:t>
      </w:r>
      <w:r>
        <w:rPr>
          <w:color w:val="3B383B"/>
          <w:w w:val="105"/>
          <w:sz w:val="18"/>
        </w:rPr>
        <w:t>to</w:t>
      </w:r>
      <w:r>
        <w:rPr>
          <w:color w:val="3B383B"/>
          <w:spacing w:val="14"/>
          <w:w w:val="105"/>
          <w:sz w:val="18"/>
        </w:rPr>
        <w:t> </w:t>
      </w:r>
      <w:r>
        <w:rPr>
          <w:color w:val="3B383B"/>
          <w:w w:val="105"/>
          <w:sz w:val="18"/>
        </w:rPr>
        <w:t>attorney-client</w:t>
      </w:r>
      <w:r>
        <w:rPr>
          <w:color w:val="3B383B"/>
          <w:spacing w:val="11"/>
          <w:w w:val="105"/>
          <w:sz w:val="18"/>
        </w:rPr>
        <w:t> </w:t>
      </w:r>
      <w:r>
        <w:rPr>
          <w:color w:val="3B383B"/>
          <w:w w:val="105"/>
          <w:sz w:val="18"/>
        </w:rPr>
        <w:t>privilege</w:t>
      </w:r>
      <w:r>
        <w:rPr>
          <w:color w:val="3B383B"/>
          <w:spacing w:val="6"/>
          <w:w w:val="105"/>
          <w:sz w:val="18"/>
        </w:rPr>
        <w:t> </w:t>
      </w:r>
      <w:r>
        <w:rPr>
          <w:color w:val="3B383B"/>
          <w:w w:val="105"/>
          <w:sz w:val="18"/>
        </w:rPr>
        <w:t>do</w:t>
      </w:r>
      <w:r>
        <w:rPr>
          <w:color w:val="3B383B"/>
          <w:spacing w:val="38"/>
          <w:w w:val="105"/>
          <w:sz w:val="18"/>
        </w:rPr>
        <w:t> </w:t>
      </w:r>
      <w:r>
        <w:rPr>
          <w:color w:val="3B383B"/>
          <w:w w:val="105"/>
          <w:sz w:val="18"/>
        </w:rPr>
        <w:t>not</w:t>
      </w:r>
      <w:r>
        <w:rPr>
          <w:color w:val="3B383B"/>
          <w:spacing w:val="45"/>
          <w:w w:val="105"/>
          <w:sz w:val="18"/>
        </w:rPr>
        <w:t> </w:t>
      </w:r>
      <w:r>
        <w:rPr>
          <w:color w:val="3B383B"/>
          <w:w w:val="105"/>
          <w:sz w:val="18"/>
        </w:rPr>
        <w:t>qualify</w:t>
      </w:r>
      <w:r>
        <w:rPr>
          <w:color w:val="3B383B"/>
          <w:spacing w:val="5"/>
          <w:w w:val="105"/>
          <w:sz w:val="18"/>
        </w:rPr>
        <w:t> </w:t>
      </w:r>
      <w:r>
        <w:rPr>
          <w:color w:val="3B383B"/>
          <w:w w:val="105"/>
          <w:sz w:val="18"/>
        </w:rPr>
        <w:t>for</w:t>
      </w:r>
      <w:r>
        <w:rPr>
          <w:color w:val="3B383B"/>
          <w:spacing w:val="6"/>
          <w:w w:val="105"/>
          <w:sz w:val="18"/>
        </w:rPr>
        <w:t> </w:t>
      </w:r>
      <w:r>
        <w:rPr>
          <w:color w:val="3B383B"/>
          <w:w w:val="105"/>
          <w:sz w:val="18"/>
        </w:rPr>
        <w:t>Immediate</w:t>
      </w:r>
      <w:r>
        <w:rPr>
          <w:color w:val="3B383B"/>
          <w:spacing w:val="5"/>
          <w:w w:val="105"/>
          <w:sz w:val="18"/>
        </w:rPr>
        <w:t> </w:t>
      </w:r>
      <w:r>
        <w:rPr>
          <w:color w:val="3B383B"/>
          <w:w w:val="105"/>
          <w:sz w:val="18"/>
        </w:rPr>
        <w:t>app</w:t>
      </w:r>
      <w:r>
        <w:rPr>
          <w:color w:val="59595B"/>
          <w:w w:val="105"/>
          <w:sz w:val="18"/>
        </w:rPr>
        <w:t>e</w:t>
      </w:r>
      <w:r>
        <w:rPr>
          <w:color w:val="3B383B"/>
          <w:w w:val="105"/>
          <w:sz w:val="18"/>
        </w:rPr>
        <w:t>al);</w:t>
      </w:r>
      <w:r>
        <w:rPr>
          <w:color w:val="3B383B"/>
          <w:spacing w:val="-1"/>
          <w:w w:val="105"/>
          <w:sz w:val="18"/>
        </w:rPr>
        <w:t> </w:t>
      </w:r>
      <w:r>
        <w:rPr>
          <w:rFonts w:ascii="Arial" w:hAnsi="Arial"/>
          <w:i/>
          <w:color w:val="3B383B"/>
          <w:w w:val="105"/>
          <w:sz w:val="15"/>
        </w:rPr>
        <w:t>Coopers</w:t>
      </w:r>
      <w:r>
        <w:rPr>
          <w:rFonts w:ascii="Arial" w:hAnsi="Arial"/>
          <w:i/>
          <w:color w:val="3B383B"/>
          <w:spacing w:val="14"/>
          <w:w w:val="105"/>
          <w:sz w:val="15"/>
        </w:rPr>
        <w:t> </w:t>
      </w:r>
      <w:r>
        <w:rPr>
          <w:color w:val="3B383B"/>
          <w:w w:val="105"/>
          <w:sz w:val="16"/>
        </w:rPr>
        <w:t>&amp;</w:t>
      </w:r>
      <w:r>
        <w:rPr>
          <w:color w:val="3B383B"/>
          <w:spacing w:val="18"/>
          <w:w w:val="105"/>
          <w:sz w:val="16"/>
        </w:rPr>
        <w:t> </w:t>
      </w:r>
      <w:r>
        <w:rPr>
          <w:rFonts w:ascii="Arial" w:hAnsi="Arial"/>
          <w:i/>
          <w:color w:val="3B383B"/>
          <w:w w:val="105"/>
          <w:sz w:val="15"/>
        </w:rPr>
        <w:t>Lybm11d</w:t>
      </w:r>
    </w:p>
    <w:p>
      <w:pPr>
        <w:spacing w:line="225" w:lineRule="auto" w:before="0"/>
        <w:ind w:left="140" w:right="100" w:firstLine="3"/>
        <w:jc w:val="both"/>
        <w:rPr>
          <w:sz w:val="18"/>
        </w:rPr>
      </w:pPr>
      <w:r>
        <w:rPr>
          <w:i/>
          <w:color w:val="3B383B"/>
          <w:spacing w:val="-1"/>
          <w:w w:val="110"/>
          <w:sz w:val="17"/>
        </w:rPr>
        <w:t>v. Livesay, </w:t>
      </w:r>
      <w:r>
        <w:rPr>
          <w:color w:val="3B383B"/>
          <w:spacing w:val="-1"/>
          <w:w w:val="110"/>
          <w:sz w:val="18"/>
        </w:rPr>
        <w:t>437 </w:t>
      </w:r>
      <w:r>
        <w:rPr>
          <w:rFonts w:ascii="Arial" w:hAnsi="Arial"/>
          <w:color w:val="3B383B"/>
          <w:spacing w:val="-1"/>
          <w:w w:val="110"/>
          <w:sz w:val="16"/>
        </w:rPr>
        <w:t>U</w:t>
      </w:r>
      <w:r>
        <w:rPr>
          <w:rFonts w:ascii="Arial" w:hAnsi="Arial"/>
          <w:color w:val="59595B"/>
          <w:spacing w:val="-1"/>
          <w:w w:val="110"/>
          <w:sz w:val="16"/>
        </w:rPr>
        <w:t>.</w:t>
      </w:r>
      <w:r>
        <w:rPr>
          <w:rFonts w:ascii="Arial" w:hAnsi="Arial"/>
          <w:color w:val="3B383B"/>
          <w:spacing w:val="-1"/>
          <w:w w:val="110"/>
          <w:sz w:val="16"/>
        </w:rPr>
        <w:t>S</w:t>
      </w:r>
      <w:r>
        <w:rPr>
          <w:rFonts w:ascii="Arial" w:hAnsi="Arial"/>
          <w:color w:val="59595B"/>
          <w:spacing w:val="-1"/>
          <w:w w:val="110"/>
          <w:sz w:val="16"/>
        </w:rPr>
        <w:t>. </w:t>
      </w:r>
      <w:r>
        <w:rPr>
          <w:color w:val="3B383B"/>
          <w:spacing w:val="-1"/>
          <w:w w:val="110"/>
          <w:sz w:val="18"/>
        </w:rPr>
        <w:t>463</w:t>
      </w:r>
      <w:r>
        <w:rPr>
          <w:color w:val="59595B"/>
          <w:spacing w:val="-1"/>
          <w:w w:val="110"/>
          <w:sz w:val="18"/>
        </w:rPr>
        <w:t>, </w:t>
      </w:r>
      <w:r>
        <w:rPr>
          <w:rFonts w:ascii="Arial" w:hAnsi="Arial"/>
          <w:color w:val="3B383B"/>
          <w:w w:val="110"/>
          <w:sz w:val="16"/>
        </w:rPr>
        <w:t>475 </w:t>
      </w:r>
      <w:r>
        <w:rPr>
          <w:color w:val="3B383B"/>
          <w:w w:val="110"/>
          <w:sz w:val="18"/>
        </w:rPr>
        <w:t>(1978) (describing court discretion)</w:t>
      </w:r>
      <w:r>
        <w:rPr>
          <w:color w:val="59595B"/>
          <w:w w:val="110"/>
          <w:sz w:val="18"/>
        </w:rPr>
        <w:t>. </w:t>
      </w:r>
      <w:r>
        <w:rPr>
          <w:rFonts w:ascii="Arial" w:hAnsi="Arial"/>
          <w:color w:val="3B383B"/>
          <w:w w:val="110"/>
          <w:sz w:val="16"/>
        </w:rPr>
        <w:t>Of </w:t>
      </w:r>
      <w:r>
        <w:rPr>
          <w:color w:val="3B383B"/>
          <w:w w:val="110"/>
          <w:sz w:val="18"/>
        </w:rPr>
        <w:t>course, states may have dif­</w:t>
      </w:r>
      <w:r>
        <w:rPr>
          <w:color w:val="3B383B"/>
          <w:spacing w:val="1"/>
          <w:w w:val="110"/>
          <w:sz w:val="18"/>
        </w:rPr>
        <w:t> </w:t>
      </w:r>
      <w:r>
        <w:rPr>
          <w:color w:val="3B383B"/>
          <w:spacing w:val="-1"/>
          <w:w w:val="110"/>
          <w:sz w:val="18"/>
        </w:rPr>
        <w:t>ferent rules as to various kinds of </w:t>
      </w:r>
      <w:r>
        <w:rPr>
          <w:color w:val="3B383B"/>
          <w:w w:val="110"/>
          <w:sz w:val="18"/>
        </w:rPr>
        <w:t>appeals. </w:t>
      </w:r>
      <w:r>
        <w:rPr>
          <w:rFonts w:ascii="Arial" w:hAnsi="Arial"/>
          <w:i/>
          <w:color w:val="3B383B"/>
          <w:w w:val="110"/>
          <w:sz w:val="17"/>
        </w:rPr>
        <w:t>E.g., </w:t>
      </w:r>
      <w:r>
        <w:rPr>
          <w:rFonts w:ascii="Arial" w:hAnsi="Arial"/>
          <w:i/>
          <w:color w:val="3B383B"/>
          <w:w w:val="110"/>
          <w:sz w:val="15"/>
        </w:rPr>
        <w:t>Commomvet1lth </w:t>
      </w:r>
      <w:r>
        <w:rPr>
          <w:i/>
          <w:color w:val="3B383B"/>
          <w:w w:val="110"/>
          <w:sz w:val="18"/>
        </w:rPr>
        <w:t>v. </w:t>
      </w:r>
      <w:r>
        <w:rPr>
          <w:rFonts w:ascii="Arial" w:hAnsi="Arial"/>
          <w:i/>
          <w:color w:val="3B383B"/>
          <w:w w:val="110"/>
          <w:sz w:val="15"/>
        </w:rPr>
        <w:t>Harris</w:t>
      </w:r>
      <w:r>
        <w:rPr>
          <w:rFonts w:ascii="Arial" w:hAnsi="Arial"/>
          <w:i/>
          <w:color w:val="59595B"/>
          <w:w w:val="110"/>
          <w:sz w:val="15"/>
        </w:rPr>
        <w:t>, </w:t>
      </w:r>
      <w:r>
        <w:rPr>
          <w:color w:val="3B383B"/>
          <w:w w:val="110"/>
          <w:sz w:val="18"/>
        </w:rPr>
        <w:t>32 A</w:t>
      </w:r>
      <w:r>
        <w:rPr>
          <w:color w:val="59595B"/>
          <w:w w:val="110"/>
          <w:sz w:val="18"/>
        </w:rPr>
        <w:t>.</w:t>
      </w:r>
      <w:r>
        <w:rPr>
          <w:color w:val="3B383B"/>
          <w:w w:val="110"/>
          <w:sz w:val="18"/>
        </w:rPr>
        <w:t>3d 243, 250 lPenn.</w:t>
      </w:r>
      <w:r>
        <w:rPr>
          <w:color w:val="3B383B"/>
          <w:spacing w:val="1"/>
          <w:w w:val="110"/>
          <w:sz w:val="18"/>
        </w:rPr>
        <w:t> </w:t>
      </w:r>
      <w:r>
        <w:rPr>
          <w:color w:val="3B383B"/>
          <w:w w:val="110"/>
          <w:sz w:val="18"/>
        </w:rPr>
        <w:t>201</w:t>
      </w:r>
      <w:r>
        <w:rPr>
          <w:color w:val="3B383B"/>
          <w:w w:val="110"/>
          <w:sz w:val="15"/>
        </w:rPr>
        <w:t>I)</w:t>
      </w:r>
      <w:r>
        <w:rPr>
          <w:color w:val="3B383B"/>
          <w:spacing w:val="1"/>
          <w:w w:val="110"/>
          <w:sz w:val="15"/>
        </w:rPr>
        <w:t> </w:t>
      </w:r>
      <w:r>
        <w:rPr>
          <w:color w:val="3B383B"/>
          <w:w w:val="110"/>
          <w:sz w:val="18"/>
        </w:rPr>
        <w:t>(allowing Interlocutory appeals of orders that would reveal privile</w:t>
      </w:r>
      <w:r>
        <w:rPr>
          <w:color w:val="59595B"/>
          <w:w w:val="110"/>
          <w:sz w:val="18"/>
        </w:rPr>
        <w:t>g</w:t>
      </w:r>
      <w:r>
        <w:rPr>
          <w:color w:val="3B383B"/>
          <w:w w:val="110"/>
          <w:sz w:val="18"/>
        </w:rPr>
        <w:t>ed Information, and</w:t>
      </w:r>
      <w:r>
        <w:rPr>
          <w:color w:val="3B383B"/>
          <w:spacing w:val="1"/>
          <w:w w:val="110"/>
          <w:sz w:val="18"/>
        </w:rPr>
        <w:t> </w:t>
      </w:r>
      <w:r>
        <w:rPr>
          <w:color w:val="3B383B"/>
          <w:w w:val="110"/>
          <w:sz w:val="18"/>
        </w:rPr>
        <w:t>noting that </w:t>
      </w:r>
      <w:r>
        <w:rPr>
          <w:color w:val="59595B"/>
          <w:w w:val="110"/>
          <w:sz w:val="18"/>
        </w:rPr>
        <w:t>"</w:t>
      </w:r>
      <w:r>
        <w:rPr>
          <w:color w:val="3B383B"/>
          <w:w w:val="110"/>
          <w:sz w:val="18"/>
        </w:rPr>
        <w:t>Pennsylvania law permits Interlocutory appeals by permission, but under a some­</w:t>
      </w:r>
      <w:r>
        <w:rPr>
          <w:color w:val="3B383B"/>
          <w:spacing w:val="1"/>
          <w:w w:val="110"/>
          <w:sz w:val="18"/>
        </w:rPr>
        <w:t> </w:t>
      </w:r>
      <w:r>
        <w:rPr>
          <w:color w:val="3B383B"/>
          <w:w w:val="110"/>
          <w:sz w:val="18"/>
        </w:rPr>
        <w:t>what</w:t>
      </w:r>
      <w:r>
        <w:rPr>
          <w:color w:val="3B383B"/>
          <w:spacing w:val="-11"/>
          <w:w w:val="110"/>
          <w:sz w:val="18"/>
        </w:rPr>
        <w:t> </w:t>
      </w:r>
      <w:r>
        <w:rPr>
          <w:color w:val="3B383B"/>
          <w:w w:val="110"/>
          <w:sz w:val="18"/>
        </w:rPr>
        <w:t>different</w:t>
      </w:r>
      <w:r>
        <w:rPr>
          <w:color w:val="3B383B"/>
          <w:spacing w:val="2"/>
          <w:w w:val="110"/>
          <w:sz w:val="18"/>
        </w:rPr>
        <w:t> </w:t>
      </w:r>
      <w:r>
        <w:rPr>
          <w:color w:val="3B383B"/>
          <w:w w:val="110"/>
          <w:sz w:val="18"/>
        </w:rPr>
        <w:t>standard</w:t>
      </w:r>
      <w:r>
        <w:rPr>
          <w:color w:val="3B383B"/>
          <w:spacing w:val="8"/>
          <w:w w:val="110"/>
          <w:sz w:val="18"/>
        </w:rPr>
        <w:t> </w:t>
      </w:r>
      <w:r>
        <w:rPr>
          <w:color w:val="3B383B"/>
          <w:w w:val="110"/>
          <w:sz w:val="18"/>
        </w:rPr>
        <w:t>than</w:t>
      </w:r>
      <w:r>
        <w:rPr>
          <w:color w:val="3B383B"/>
          <w:spacing w:val="11"/>
          <w:w w:val="110"/>
          <w:sz w:val="18"/>
        </w:rPr>
        <w:t> </w:t>
      </w:r>
      <w:r>
        <w:rPr>
          <w:color w:val="3B383B"/>
          <w:w w:val="110"/>
          <w:sz w:val="18"/>
        </w:rPr>
        <w:t>the</w:t>
      </w:r>
      <w:r>
        <w:rPr>
          <w:color w:val="3B383B"/>
          <w:spacing w:val="-11"/>
          <w:w w:val="110"/>
          <w:sz w:val="18"/>
        </w:rPr>
        <w:t> </w:t>
      </w:r>
      <w:r>
        <w:rPr>
          <w:color w:val="3B383B"/>
          <w:w w:val="110"/>
          <w:sz w:val="18"/>
        </w:rPr>
        <w:t>federal</w:t>
      </w:r>
      <w:r>
        <w:rPr>
          <w:color w:val="3B383B"/>
          <w:spacing w:val="5"/>
          <w:w w:val="110"/>
          <w:sz w:val="18"/>
        </w:rPr>
        <w:t> </w:t>
      </w:r>
      <w:r>
        <w:rPr>
          <w:color w:val="3B383B"/>
          <w:w w:val="110"/>
          <w:sz w:val="18"/>
        </w:rPr>
        <w:t>system").</w:t>
      </w:r>
    </w:p>
    <w:p>
      <w:pPr>
        <w:spacing w:line="208" w:lineRule="exact" w:before="0"/>
        <w:ind w:left="519" w:right="0" w:firstLine="0"/>
        <w:jc w:val="left"/>
        <w:rPr>
          <w:sz w:val="18"/>
        </w:rPr>
      </w:pPr>
      <w:r>
        <w:rPr>
          <w:rFonts w:ascii="Arial" w:hAnsi="Arial"/>
          <w:color w:val="3B383B"/>
          <w:w w:val="105"/>
          <w:position w:val="6"/>
          <w:sz w:val="10"/>
        </w:rPr>
        <w:t>6</w:t>
      </w:r>
      <w:r>
        <w:rPr>
          <w:color w:val="3B383B"/>
          <w:w w:val="105"/>
          <w:sz w:val="18"/>
        </w:rPr>
        <w:t>28</w:t>
      </w:r>
      <w:r>
        <w:rPr>
          <w:color w:val="3B383B"/>
          <w:spacing w:val="28"/>
          <w:w w:val="105"/>
          <w:sz w:val="18"/>
        </w:rPr>
        <w:t> </w:t>
      </w:r>
      <w:r>
        <w:rPr>
          <w:color w:val="3B383B"/>
          <w:w w:val="105"/>
          <w:sz w:val="25"/>
        </w:rPr>
        <w:t>u.s.c</w:t>
      </w:r>
      <w:r>
        <w:rPr>
          <w:color w:val="59595B"/>
          <w:w w:val="105"/>
          <w:sz w:val="25"/>
        </w:rPr>
        <w:t>.</w:t>
      </w:r>
      <w:r>
        <w:rPr>
          <w:color w:val="3B383B"/>
          <w:w w:val="105"/>
          <w:sz w:val="18"/>
        </w:rPr>
        <w:t>§1291.</w:t>
      </w:r>
    </w:p>
    <w:p>
      <w:pPr>
        <w:spacing w:line="192" w:lineRule="exact" w:before="0"/>
        <w:ind w:left="516" w:right="0" w:firstLine="0"/>
        <w:jc w:val="left"/>
        <w:rPr>
          <w:sz w:val="16"/>
        </w:rPr>
      </w:pPr>
      <w:r>
        <w:rPr>
          <w:i/>
          <w:color w:val="59595B"/>
          <w:w w:val="105"/>
          <w:position w:val="6"/>
          <w:sz w:val="11"/>
        </w:rPr>
        <w:t>1</w:t>
      </w:r>
      <w:r>
        <w:rPr>
          <w:rFonts w:ascii="Arial" w:hAnsi="Arial"/>
          <w:i/>
          <w:color w:val="3B383B"/>
          <w:w w:val="105"/>
          <w:sz w:val="17"/>
        </w:rPr>
        <w:t>29</w:t>
      </w:r>
      <w:r>
        <w:rPr>
          <w:rFonts w:ascii="Arial" w:hAnsi="Arial"/>
          <w:i/>
          <w:color w:val="3B383B"/>
          <w:spacing w:val="34"/>
          <w:w w:val="105"/>
          <w:sz w:val="17"/>
        </w:rPr>
        <w:t> </w:t>
      </w:r>
      <w:r>
        <w:rPr>
          <w:color w:val="3B383B"/>
          <w:w w:val="105"/>
          <w:sz w:val="17"/>
        </w:rPr>
        <w:t>U</w:t>
      </w:r>
      <w:r>
        <w:rPr>
          <w:color w:val="59595B"/>
          <w:w w:val="105"/>
          <w:sz w:val="17"/>
        </w:rPr>
        <w:t>.</w:t>
      </w:r>
      <w:r>
        <w:rPr>
          <w:color w:val="3B383B"/>
          <w:w w:val="105"/>
          <w:sz w:val="17"/>
        </w:rPr>
        <w:t>S.C.</w:t>
      </w:r>
      <w:r>
        <w:rPr>
          <w:color w:val="3B383B"/>
          <w:spacing w:val="-1"/>
          <w:w w:val="105"/>
          <w:sz w:val="17"/>
        </w:rPr>
        <w:t> </w:t>
      </w:r>
      <w:r>
        <w:rPr>
          <w:color w:val="3B383B"/>
          <w:w w:val="105"/>
          <w:sz w:val="18"/>
        </w:rPr>
        <w:t>§160</w:t>
      </w:r>
      <w:r>
        <w:rPr>
          <w:color w:val="59595B"/>
          <w:w w:val="105"/>
          <w:sz w:val="18"/>
        </w:rPr>
        <w:t>(</w:t>
      </w:r>
      <w:r>
        <w:rPr>
          <w:color w:val="3B383B"/>
          <w:w w:val="105"/>
          <w:sz w:val="18"/>
        </w:rPr>
        <w:t>e),</w:t>
      </w:r>
      <w:r>
        <w:rPr>
          <w:color w:val="3B383B"/>
          <w:spacing w:val="16"/>
          <w:w w:val="105"/>
          <w:sz w:val="18"/>
        </w:rPr>
        <w:t> </w:t>
      </w:r>
      <w:r>
        <w:rPr>
          <w:color w:val="3B383B"/>
          <w:w w:val="105"/>
          <w:sz w:val="16"/>
        </w:rPr>
        <w:t>(f).</w:t>
      </w:r>
    </w:p>
    <w:p>
      <w:pPr>
        <w:spacing w:after="0" w:line="192" w:lineRule="exact"/>
        <w:jc w:val="left"/>
        <w:rPr>
          <w:sz w:val="16"/>
        </w:rPr>
        <w:sectPr>
          <w:pgSz w:w="9670" w:h="13770"/>
          <w:pgMar w:header="399" w:footer="0" w:top="700" w:bottom="280" w:left="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23"/>
        </w:numPr>
        <w:tabs>
          <w:tab w:pos="1149" w:val="left" w:leader="none"/>
        </w:tabs>
        <w:spacing w:line="235" w:lineRule="auto" w:before="0" w:after="0"/>
        <w:ind w:left="1157" w:right="154" w:hanging="291"/>
        <w:jc w:val="both"/>
        <w:rPr>
          <w:color w:val="3D3B3D"/>
          <w:sz w:val="23"/>
        </w:rPr>
      </w:pPr>
      <w:r>
        <w:rPr>
          <w:color w:val="3D3B3D"/>
          <w:w w:val="110"/>
          <w:sz w:val="23"/>
        </w:rPr>
        <w:t>The facts and legal arguments are adequately presented in the briefs</w:t>
      </w:r>
      <w:r>
        <w:rPr>
          <w:color w:val="3D3B3D"/>
          <w:spacing w:val="1"/>
          <w:w w:val="110"/>
          <w:sz w:val="23"/>
        </w:rPr>
        <w:t> </w:t>
      </w:r>
      <w:r>
        <w:rPr>
          <w:color w:val="3D3B3D"/>
          <w:w w:val="110"/>
          <w:sz w:val="23"/>
        </w:rPr>
        <w:t>and</w:t>
      </w:r>
      <w:r>
        <w:rPr>
          <w:color w:val="3D3B3D"/>
          <w:spacing w:val="1"/>
          <w:w w:val="110"/>
          <w:sz w:val="23"/>
        </w:rPr>
        <w:t> </w:t>
      </w:r>
      <w:r>
        <w:rPr>
          <w:color w:val="3D3B3D"/>
          <w:w w:val="110"/>
          <w:sz w:val="23"/>
        </w:rPr>
        <w:t>record, and</w:t>
      </w:r>
      <w:r>
        <w:rPr>
          <w:color w:val="3D3B3D"/>
          <w:spacing w:val="1"/>
          <w:w w:val="110"/>
          <w:sz w:val="23"/>
        </w:rPr>
        <w:t> </w:t>
      </w:r>
      <w:r>
        <w:rPr>
          <w:color w:val="3D3B3D"/>
          <w:w w:val="110"/>
          <w:sz w:val="23"/>
        </w:rPr>
        <w:t>the</w:t>
      </w:r>
      <w:r>
        <w:rPr>
          <w:color w:val="3D3B3D"/>
          <w:spacing w:val="1"/>
          <w:w w:val="110"/>
          <w:sz w:val="23"/>
        </w:rPr>
        <w:t> </w:t>
      </w:r>
      <w:r>
        <w:rPr>
          <w:color w:val="3D3B3D"/>
          <w:w w:val="110"/>
          <w:sz w:val="23"/>
        </w:rPr>
        <w:t>decisional process would not be significantly</w:t>
      </w:r>
      <w:r>
        <w:rPr>
          <w:color w:val="3D3B3D"/>
          <w:spacing w:val="1"/>
          <w:w w:val="110"/>
          <w:sz w:val="23"/>
        </w:rPr>
        <w:t> </w:t>
      </w:r>
      <w:r>
        <w:rPr>
          <w:color w:val="3D3B3D"/>
          <w:w w:val="110"/>
          <w:sz w:val="23"/>
        </w:rPr>
        <w:t>aided</w:t>
      </w:r>
      <w:r>
        <w:rPr>
          <w:color w:val="3D3B3D"/>
          <w:spacing w:val="3"/>
          <w:w w:val="110"/>
          <w:sz w:val="23"/>
        </w:rPr>
        <w:t> </w:t>
      </w:r>
      <w:r>
        <w:rPr>
          <w:color w:val="3D3B3D"/>
          <w:w w:val="110"/>
          <w:sz w:val="23"/>
        </w:rPr>
        <w:t>by</w:t>
      </w:r>
      <w:r>
        <w:rPr>
          <w:color w:val="3D3B3D"/>
          <w:spacing w:val="-18"/>
          <w:w w:val="110"/>
          <w:sz w:val="23"/>
        </w:rPr>
        <w:t> </w:t>
      </w:r>
      <w:r>
        <w:rPr>
          <w:color w:val="3D3B3D"/>
          <w:w w:val="110"/>
          <w:sz w:val="23"/>
        </w:rPr>
        <w:t>oral</w:t>
      </w:r>
      <w:r>
        <w:rPr>
          <w:color w:val="3D3B3D"/>
          <w:spacing w:val="-2"/>
          <w:w w:val="110"/>
          <w:sz w:val="23"/>
        </w:rPr>
        <w:t> </w:t>
      </w:r>
      <w:r>
        <w:rPr>
          <w:color w:val="3D3B3D"/>
          <w:w w:val="110"/>
          <w:sz w:val="23"/>
        </w:rPr>
        <w:t>argument.</w:t>
      </w:r>
      <w:r>
        <w:rPr>
          <w:rFonts w:ascii="Arial"/>
          <w:color w:val="3D3B3D"/>
          <w:w w:val="110"/>
          <w:sz w:val="23"/>
          <w:vertAlign w:val="superscript"/>
        </w:rPr>
        <w:t>8</w:t>
      </w:r>
    </w:p>
    <w:p>
      <w:pPr>
        <w:pStyle w:val="BodyText"/>
        <w:spacing w:line="235" w:lineRule="auto" w:before="107"/>
        <w:ind w:left="752" w:right="122" w:hanging="5"/>
        <w:jc w:val="both"/>
      </w:pPr>
      <w:r>
        <w:rPr>
          <w:color w:val="3D3B3D"/>
          <w:w w:val="110"/>
        </w:rPr>
        <w:t>What this rule means in practice is that a large percentage of cases are</w:t>
      </w:r>
      <w:r>
        <w:rPr>
          <w:color w:val="3D3B3D"/>
          <w:spacing w:val="1"/>
          <w:w w:val="110"/>
        </w:rPr>
        <w:t> </w:t>
      </w:r>
      <w:r>
        <w:rPr>
          <w:color w:val="3D3B3D"/>
          <w:spacing w:val="-1"/>
          <w:w w:val="110"/>
        </w:rPr>
        <w:t>assigned to the </w:t>
      </w:r>
      <w:r>
        <w:rPr>
          <w:color w:val="3D3B3D"/>
          <w:w w:val="110"/>
        </w:rPr>
        <w:t>so-call</w:t>
      </w:r>
      <w:r>
        <w:rPr>
          <w:color w:val="565456"/>
          <w:w w:val="110"/>
        </w:rPr>
        <w:t>e</w:t>
      </w:r>
      <w:r>
        <w:rPr>
          <w:color w:val="3D3B3D"/>
          <w:w w:val="110"/>
        </w:rPr>
        <w:t>d summary docket, and many of those are decided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based on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memoranda submitted by law clerks and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staff attorneys who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have reviewed the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party briefs</w:t>
      </w:r>
      <w:r>
        <w:rPr>
          <w:color w:val="565456"/>
          <w:w w:val="110"/>
        </w:rPr>
        <w:t>. </w:t>
      </w:r>
      <w:r>
        <w:rPr>
          <w:color w:val="3D3B3D"/>
          <w:w w:val="110"/>
        </w:rPr>
        <w:t>The courts' statistics indicate that in the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year ending March 31, 2012, more than 75 percent of the appeals termi­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nated on the merits were decided without oral argument.</w:t>
      </w:r>
      <w:r>
        <w:rPr>
          <w:rFonts w:ascii="Arial" w:hAnsi="Arial"/>
          <w:color w:val="565456"/>
          <w:w w:val="110"/>
          <w:vertAlign w:val="superscript"/>
        </w:rPr>
        <w:t>9</w:t>
      </w:r>
      <w:r>
        <w:rPr>
          <w:rFonts w:ascii="Arial" w:hAnsi="Arial"/>
          <w:color w:val="565456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When cases </w:t>
      </w:r>
      <w:r>
        <w:rPr>
          <w:rFonts w:ascii="Arial" w:hAnsi="Arial"/>
          <w:b/>
          <w:color w:val="3D3B3D"/>
          <w:w w:val="110"/>
          <w:sz w:val="19"/>
          <w:vertAlign w:val="baseline"/>
        </w:rPr>
        <w:t>are</w:t>
      </w:r>
      <w:r>
        <w:rPr>
          <w:rFonts w:ascii="Arial" w:hAnsi="Arial"/>
          <w:b/>
          <w:color w:val="3D3B3D"/>
          <w:spacing w:val="-56"/>
          <w:w w:val="110"/>
          <w:sz w:val="19"/>
          <w:vertAlign w:val="baseline"/>
        </w:rPr>
        <w:t> </w:t>
      </w:r>
      <w:r>
        <w:rPr>
          <w:color w:val="3D3B3D"/>
          <w:w w:val="110"/>
          <w:vertAlign w:val="baseline"/>
        </w:rPr>
        <w:t>on the summary docket, some judges make their deci</w:t>
      </w:r>
      <w:r>
        <w:rPr>
          <w:color w:val="565456"/>
          <w:w w:val="110"/>
          <w:vertAlign w:val="baseline"/>
        </w:rPr>
        <w:t>s</w:t>
      </w:r>
      <w:r>
        <w:rPr>
          <w:color w:val="3D3B3D"/>
          <w:w w:val="110"/>
          <w:vertAlign w:val="baseline"/>
        </w:rPr>
        <w:t>ions ba</w:t>
      </w:r>
      <w:r>
        <w:rPr>
          <w:color w:val="565456"/>
          <w:w w:val="110"/>
          <w:vertAlign w:val="baseline"/>
        </w:rPr>
        <w:t>s</w:t>
      </w:r>
      <w:r>
        <w:rPr>
          <w:color w:val="3D3B3D"/>
          <w:w w:val="110"/>
          <w:vertAlign w:val="baseline"/>
        </w:rPr>
        <w:t>ed on staff</w:t>
      </w:r>
      <w:r>
        <w:rPr>
          <w:color w:val="3D3B3D"/>
          <w:spacing w:val="1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memoranda alone; they may not read the briefs in full at all. The practical</w:t>
      </w:r>
      <w:r>
        <w:rPr>
          <w:color w:val="3D3B3D"/>
          <w:spacing w:val="-61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brief writer will presume that oral argument will not be granted</w:t>
      </w:r>
      <w:r>
        <w:rPr>
          <w:color w:val="565456"/>
          <w:w w:val="110"/>
          <w:vertAlign w:val="baseline"/>
        </w:rPr>
        <w:t>, </w:t>
      </w:r>
      <w:r>
        <w:rPr>
          <w:color w:val="3D3B3D"/>
          <w:w w:val="110"/>
          <w:vertAlign w:val="baseline"/>
        </w:rPr>
        <w:t>and will</w:t>
      </w:r>
      <w:r>
        <w:rPr>
          <w:color w:val="3D3B3D"/>
          <w:spacing w:val="1"/>
          <w:w w:val="110"/>
          <w:vertAlign w:val="baseline"/>
        </w:rPr>
        <w:t> </w:t>
      </w:r>
      <w:r>
        <w:rPr>
          <w:color w:val="3D3B3D"/>
          <w:w w:val="105"/>
          <w:vertAlign w:val="baseline"/>
        </w:rPr>
        <w:t>write</w:t>
      </w:r>
      <w:r>
        <w:rPr>
          <w:color w:val="3D3B3D"/>
          <w:spacing w:val="-7"/>
          <w:w w:val="105"/>
          <w:vertAlign w:val="baseline"/>
        </w:rPr>
        <w:t> </w:t>
      </w:r>
      <w:r>
        <w:rPr>
          <w:color w:val="3D3B3D"/>
          <w:w w:val="105"/>
          <w:vertAlign w:val="baseline"/>
        </w:rPr>
        <w:t>a</w:t>
      </w:r>
      <w:r>
        <w:rPr>
          <w:color w:val="3D3B3D"/>
          <w:spacing w:val="14"/>
          <w:w w:val="105"/>
          <w:vertAlign w:val="baseline"/>
        </w:rPr>
        <w:t> </w:t>
      </w:r>
      <w:r>
        <w:rPr>
          <w:color w:val="3D3B3D"/>
          <w:w w:val="105"/>
          <w:vertAlign w:val="baseline"/>
        </w:rPr>
        <w:t>brief</w:t>
      </w:r>
      <w:r>
        <w:rPr>
          <w:color w:val="3D3B3D"/>
          <w:spacing w:val="14"/>
          <w:w w:val="105"/>
          <w:vertAlign w:val="baseline"/>
        </w:rPr>
        <w:t> </w:t>
      </w:r>
      <w:r>
        <w:rPr>
          <w:color w:val="3D3B3D"/>
          <w:w w:val="105"/>
          <w:vertAlign w:val="baseline"/>
        </w:rPr>
        <w:t>that</w:t>
      </w:r>
      <w:r>
        <w:rPr>
          <w:color w:val="3D3B3D"/>
          <w:spacing w:val="1"/>
          <w:w w:val="105"/>
          <w:vertAlign w:val="baseline"/>
        </w:rPr>
        <w:t> </w:t>
      </w:r>
      <w:r>
        <w:rPr>
          <w:color w:val="3D3B3D"/>
          <w:w w:val="105"/>
          <w:vertAlign w:val="baseline"/>
        </w:rPr>
        <w:t>can</w:t>
      </w:r>
      <w:r>
        <w:rPr>
          <w:color w:val="3D3B3D"/>
          <w:spacing w:val="-11"/>
          <w:w w:val="105"/>
          <w:vertAlign w:val="baseline"/>
        </w:rPr>
        <w:t> </w:t>
      </w:r>
      <w:r>
        <w:rPr>
          <w:color w:val="3D3B3D"/>
          <w:w w:val="105"/>
          <w:vertAlign w:val="baseline"/>
        </w:rPr>
        <w:t>persuade</w:t>
      </w:r>
      <w:r>
        <w:rPr>
          <w:color w:val="3D3B3D"/>
          <w:spacing w:val="3"/>
          <w:w w:val="105"/>
          <w:vertAlign w:val="baseline"/>
        </w:rPr>
        <w:t> </w:t>
      </w:r>
      <w:r>
        <w:rPr>
          <w:color w:val="3D3B3D"/>
          <w:w w:val="105"/>
          <w:vertAlign w:val="baseline"/>
        </w:rPr>
        <w:t>a</w:t>
      </w:r>
      <w:r>
        <w:rPr>
          <w:color w:val="3D3B3D"/>
          <w:spacing w:val="8"/>
          <w:w w:val="105"/>
          <w:vertAlign w:val="baseline"/>
        </w:rPr>
        <w:t> </w:t>
      </w:r>
      <w:r>
        <w:rPr>
          <w:color w:val="3D3B3D"/>
          <w:w w:val="105"/>
          <w:vertAlign w:val="baseline"/>
        </w:rPr>
        <w:t>law</w:t>
      </w:r>
      <w:r>
        <w:rPr>
          <w:color w:val="3D3B3D"/>
          <w:spacing w:val="-13"/>
          <w:w w:val="105"/>
          <w:vertAlign w:val="baseline"/>
        </w:rPr>
        <w:t> </w:t>
      </w:r>
      <w:r>
        <w:rPr>
          <w:color w:val="3D3B3D"/>
          <w:w w:val="105"/>
          <w:vertAlign w:val="baseline"/>
        </w:rPr>
        <w:t>clerk</w:t>
      </w:r>
      <w:r>
        <w:rPr>
          <w:color w:val="3D3B3D"/>
          <w:spacing w:val="5"/>
          <w:w w:val="105"/>
          <w:vertAlign w:val="baseline"/>
        </w:rPr>
        <w:t> </w:t>
      </w:r>
      <w:r>
        <w:rPr>
          <w:color w:val="3D3B3D"/>
          <w:w w:val="105"/>
          <w:vertAlign w:val="baseline"/>
        </w:rPr>
        <w:t>as</w:t>
      </w:r>
      <w:r>
        <w:rPr>
          <w:color w:val="3D3B3D"/>
          <w:spacing w:val="-3"/>
          <w:w w:val="105"/>
          <w:vertAlign w:val="baseline"/>
        </w:rPr>
        <w:t> </w:t>
      </w:r>
      <w:r>
        <w:rPr>
          <w:color w:val="3D3B3D"/>
          <w:w w:val="105"/>
          <w:vertAlign w:val="baseline"/>
        </w:rPr>
        <w:t>well</w:t>
      </w:r>
      <w:r>
        <w:rPr>
          <w:color w:val="3D3B3D"/>
          <w:spacing w:val="-3"/>
          <w:w w:val="105"/>
          <w:vertAlign w:val="baseline"/>
        </w:rPr>
        <w:t> </w:t>
      </w:r>
      <w:r>
        <w:rPr>
          <w:color w:val="3D3B3D"/>
          <w:w w:val="105"/>
          <w:vertAlign w:val="baseline"/>
        </w:rPr>
        <w:t>as</w:t>
      </w:r>
      <w:r>
        <w:rPr>
          <w:color w:val="3D3B3D"/>
          <w:spacing w:val="1"/>
          <w:w w:val="105"/>
          <w:vertAlign w:val="baseline"/>
        </w:rPr>
        <w:t> </w:t>
      </w:r>
      <w:r>
        <w:rPr>
          <w:color w:val="3D3B3D"/>
          <w:w w:val="105"/>
          <w:vertAlign w:val="baseline"/>
        </w:rPr>
        <w:t>a</w:t>
      </w:r>
      <w:r>
        <w:rPr>
          <w:color w:val="3D3B3D"/>
          <w:spacing w:val="37"/>
          <w:w w:val="105"/>
          <w:vertAlign w:val="baseline"/>
        </w:rPr>
        <w:t> </w:t>
      </w:r>
      <w:r>
        <w:rPr>
          <w:color w:val="3D3B3D"/>
          <w:w w:val="105"/>
          <w:vertAlign w:val="baseline"/>
        </w:rPr>
        <w:t>judge.</w:t>
      </w:r>
    </w:p>
    <w:p>
      <w:pPr>
        <w:pStyle w:val="BodyText"/>
        <w:rPr>
          <w:sz w:val="26"/>
        </w:rPr>
      </w:pPr>
    </w:p>
    <w:p>
      <w:pPr>
        <w:spacing w:before="217"/>
        <w:ind w:left="1388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565456"/>
          <w:w w:val="110"/>
          <w:sz w:val="32"/>
        </w:rPr>
        <w:t>2.3</w:t>
      </w:r>
    </w:p>
    <w:p>
      <w:pPr>
        <w:spacing w:before="75"/>
        <w:ind w:left="1368" w:right="0" w:firstLine="0"/>
        <w:jc w:val="left"/>
        <w:rPr>
          <w:rFonts w:ascii="Arial"/>
          <w:sz w:val="25"/>
        </w:rPr>
      </w:pPr>
      <w:r>
        <w:rPr>
          <w:rFonts w:ascii="Arial"/>
          <w:color w:val="7E7E82"/>
          <w:w w:val="105"/>
          <w:sz w:val="25"/>
        </w:rPr>
        <w:t>APPELLATE</w:t>
      </w:r>
      <w:r>
        <w:rPr>
          <w:rFonts w:ascii="Arial"/>
          <w:color w:val="7E7E82"/>
          <w:spacing w:val="5"/>
          <w:w w:val="105"/>
          <w:sz w:val="25"/>
        </w:rPr>
        <w:t> </w:t>
      </w:r>
      <w:r>
        <w:rPr>
          <w:color w:val="7E7E82"/>
          <w:w w:val="105"/>
          <w:sz w:val="26"/>
        </w:rPr>
        <w:t>STANDARDS</w:t>
      </w:r>
      <w:r>
        <w:rPr>
          <w:color w:val="7E7E82"/>
          <w:spacing w:val="21"/>
          <w:w w:val="105"/>
          <w:sz w:val="26"/>
        </w:rPr>
        <w:t> </w:t>
      </w:r>
      <w:r>
        <w:rPr>
          <w:rFonts w:ascii="Arial"/>
          <w:color w:val="8C8E90"/>
          <w:w w:val="105"/>
          <w:sz w:val="25"/>
        </w:rPr>
        <w:t>OF</w:t>
      </w:r>
      <w:r>
        <w:rPr>
          <w:rFonts w:ascii="Arial"/>
          <w:color w:val="8C8E90"/>
          <w:spacing w:val="-13"/>
          <w:w w:val="105"/>
          <w:sz w:val="25"/>
        </w:rPr>
        <w:t> </w:t>
      </w:r>
      <w:r>
        <w:rPr>
          <w:rFonts w:ascii="Arial"/>
          <w:color w:val="8C8E90"/>
          <w:w w:val="105"/>
          <w:sz w:val="25"/>
        </w:rPr>
        <w:t>REVIEW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line="235" w:lineRule="auto"/>
        <w:ind w:left="633" w:right="110" w:firstLine="721"/>
      </w:pPr>
      <w:r>
        <w:rPr>
          <w:color w:val="3D3B3D"/>
          <w:w w:val="115"/>
        </w:rPr>
        <w:t>Whether an</w:t>
      </w:r>
      <w:r>
        <w:rPr>
          <w:color w:val="3D3B3D"/>
          <w:spacing w:val="1"/>
          <w:w w:val="115"/>
        </w:rPr>
        <w:t> </w:t>
      </w:r>
      <w:r>
        <w:rPr>
          <w:color w:val="3D3B3D"/>
          <w:w w:val="115"/>
        </w:rPr>
        <w:t>appellate court is an intermediate court of appeals or</w:t>
      </w:r>
      <w:r>
        <w:rPr>
          <w:color w:val="3D3B3D"/>
          <w:spacing w:val="-64"/>
          <w:w w:val="115"/>
        </w:rPr>
        <w:t> </w:t>
      </w:r>
      <w:r>
        <w:rPr>
          <w:color w:val="3D3B3D"/>
          <w:w w:val="115"/>
        </w:rPr>
        <w:t>a</w:t>
      </w:r>
      <w:r>
        <w:rPr>
          <w:color w:val="3D3B3D"/>
          <w:spacing w:val="11"/>
          <w:w w:val="115"/>
        </w:rPr>
        <w:t> </w:t>
      </w:r>
      <w:r>
        <w:rPr>
          <w:color w:val="3D3B3D"/>
          <w:w w:val="115"/>
        </w:rPr>
        <w:t>court</w:t>
      </w:r>
      <w:r>
        <w:rPr>
          <w:color w:val="3D3B3D"/>
          <w:spacing w:val="-7"/>
          <w:w w:val="115"/>
        </w:rPr>
        <w:t> </w:t>
      </w:r>
      <w:r>
        <w:rPr>
          <w:color w:val="3D3B3D"/>
          <w:w w:val="115"/>
        </w:rPr>
        <w:t>of</w:t>
      </w:r>
      <w:r>
        <w:rPr>
          <w:color w:val="3D3B3D"/>
          <w:spacing w:val="14"/>
          <w:w w:val="115"/>
        </w:rPr>
        <w:t> </w:t>
      </w:r>
      <w:r>
        <w:rPr>
          <w:color w:val="3D3B3D"/>
          <w:w w:val="115"/>
        </w:rPr>
        <w:t>last</w:t>
      </w:r>
      <w:r>
        <w:rPr>
          <w:color w:val="3D3B3D"/>
          <w:spacing w:val="-4"/>
          <w:w w:val="115"/>
        </w:rPr>
        <w:t> </w:t>
      </w:r>
      <w:r>
        <w:rPr>
          <w:color w:val="3D3B3D"/>
          <w:w w:val="115"/>
        </w:rPr>
        <w:t>resort,</w:t>
      </w:r>
      <w:r>
        <w:rPr>
          <w:color w:val="3D3B3D"/>
          <w:spacing w:val="9"/>
          <w:w w:val="115"/>
        </w:rPr>
        <w:t> </w:t>
      </w:r>
      <w:r>
        <w:rPr>
          <w:color w:val="3D3B3D"/>
          <w:w w:val="115"/>
        </w:rPr>
        <w:t>whether</w:t>
      </w:r>
      <w:r>
        <w:rPr>
          <w:color w:val="3D3B3D"/>
          <w:spacing w:val="16"/>
          <w:w w:val="115"/>
        </w:rPr>
        <w:t> </w:t>
      </w:r>
      <w:r>
        <w:rPr>
          <w:color w:val="3D3B3D"/>
          <w:w w:val="115"/>
        </w:rPr>
        <w:t>it</w:t>
      </w:r>
      <w:r>
        <w:rPr>
          <w:color w:val="3D3B3D"/>
          <w:spacing w:val="13"/>
          <w:w w:val="115"/>
        </w:rPr>
        <w:t> </w:t>
      </w:r>
      <w:r>
        <w:rPr>
          <w:color w:val="3D3B3D"/>
          <w:w w:val="115"/>
        </w:rPr>
        <w:t>hears</w:t>
      </w:r>
      <w:r>
        <w:rPr>
          <w:color w:val="3D3B3D"/>
          <w:spacing w:val="-5"/>
          <w:w w:val="115"/>
        </w:rPr>
        <w:t> </w:t>
      </w:r>
      <w:r>
        <w:rPr>
          <w:color w:val="3D3B3D"/>
          <w:w w:val="115"/>
        </w:rPr>
        <w:t>an</w:t>
      </w:r>
      <w:r>
        <w:rPr>
          <w:color w:val="3D3B3D"/>
          <w:spacing w:val="18"/>
          <w:w w:val="115"/>
        </w:rPr>
        <w:t> </w:t>
      </w:r>
      <w:r>
        <w:rPr>
          <w:color w:val="3D3B3D"/>
          <w:w w:val="115"/>
        </w:rPr>
        <w:t>appeal as of</w:t>
      </w:r>
      <w:r>
        <w:rPr>
          <w:color w:val="3D3B3D"/>
          <w:spacing w:val="8"/>
          <w:w w:val="115"/>
        </w:rPr>
        <w:t> </w:t>
      </w:r>
      <w:r>
        <w:rPr>
          <w:color w:val="3D3B3D"/>
          <w:w w:val="115"/>
        </w:rPr>
        <w:t>right</w:t>
      </w:r>
      <w:r>
        <w:rPr>
          <w:color w:val="3D3B3D"/>
          <w:spacing w:val="-5"/>
          <w:w w:val="115"/>
        </w:rPr>
        <w:t> </w:t>
      </w:r>
      <w:r>
        <w:rPr>
          <w:color w:val="3D3B3D"/>
          <w:w w:val="115"/>
        </w:rPr>
        <w:t>or</w:t>
      </w:r>
      <w:r>
        <w:rPr>
          <w:color w:val="3D3B3D"/>
          <w:spacing w:val="5"/>
          <w:w w:val="115"/>
        </w:rPr>
        <w:t> </w:t>
      </w:r>
      <w:r>
        <w:rPr>
          <w:color w:val="3D3B3D"/>
          <w:w w:val="115"/>
        </w:rPr>
        <w:t>as</w:t>
      </w:r>
      <w:r>
        <w:rPr>
          <w:color w:val="3D3B3D"/>
          <w:spacing w:val="-12"/>
          <w:w w:val="115"/>
        </w:rPr>
        <w:t> </w:t>
      </w:r>
      <w:r>
        <w:rPr>
          <w:color w:val="3D3B3D"/>
          <w:w w:val="115"/>
        </w:rPr>
        <w:t>a</w:t>
      </w:r>
      <w:r>
        <w:rPr>
          <w:color w:val="3D3B3D"/>
          <w:spacing w:val="7"/>
          <w:w w:val="115"/>
        </w:rPr>
        <w:t> </w:t>
      </w:r>
      <w:r>
        <w:rPr>
          <w:color w:val="3D3B3D"/>
          <w:w w:val="115"/>
        </w:rPr>
        <w:t>mat­</w:t>
      </w:r>
      <w:r>
        <w:rPr>
          <w:color w:val="3D3B3D"/>
          <w:spacing w:val="1"/>
          <w:w w:val="115"/>
        </w:rPr>
        <w:t> </w:t>
      </w:r>
      <w:r>
        <w:rPr>
          <w:color w:val="3D3B3D"/>
          <w:w w:val="110"/>
        </w:rPr>
        <w:t>ter of discretion,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it agrees only to </w:t>
      </w:r>
      <w:r>
        <w:rPr>
          <w:i/>
          <w:color w:val="3D3B3D"/>
          <w:w w:val="110"/>
          <w:sz w:val="24"/>
        </w:rPr>
        <w:t>review </w:t>
      </w:r>
      <w:r>
        <w:rPr>
          <w:color w:val="3D3B3D"/>
          <w:w w:val="110"/>
        </w:rPr>
        <w:t>the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decision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below. Hearing an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appeal</w:t>
      </w:r>
      <w:r>
        <w:rPr>
          <w:color w:val="3D3B3D"/>
          <w:spacing w:val="-2"/>
          <w:w w:val="110"/>
        </w:rPr>
        <w:t> </w:t>
      </w:r>
      <w:r>
        <w:rPr>
          <w:color w:val="3D3B3D"/>
          <w:w w:val="110"/>
        </w:rPr>
        <w:t>does</w:t>
      </w:r>
      <w:r>
        <w:rPr>
          <w:color w:val="3D3B3D"/>
          <w:spacing w:val="-5"/>
          <w:w w:val="110"/>
        </w:rPr>
        <w:t> </w:t>
      </w:r>
      <w:r>
        <w:rPr>
          <w:color w:val="3D3B3D"/>
          <w:w w:val="110"/>
        </w:rPr>
        <w:t>not</w:t>
      </w:r>
      <w:r>
        <w:rPr>
          <w:color w:val="3D3B3D"/>
          <w:spacing w:val="39"/>
          <w:w w:val="110"/>
        </w:rPr>
        <w:t> </w:t>
      </w:r>
      <w:r>
        <w:rPr>
          <w:color w:val="3D3B3D"/>
          <w:w w:val="110"/>
        </w:rPr>
        <w:t>mean</w:t>
      </w:r>
      <w:r>
        <w:rPr>
          <w:color w:val="3D3B3D"/>
          <w:spacing w:val="15"/>
          <w:w w:val="110"/>
        </w:rPr>
        <w:t> </w:t>
      </w:r>
      <w:r>
        <w:rPr>
          <w:color w:val="3D3B3D"/>
          <w:w w:val="110"/>
        </w:rPr>
        <w:t>that</w:t>
      </w:r>
      <w:r>
        <w:rPr>
          <w:color w:val="3D3B3D"/>
          <w:spacing w:val="6"/>
          <w:w w:val="110"/>
        </w:rPr>
        <w:t> </w:t>
      </w:r>
      <w:r>
        <w:rPr>
          <w:color w:val="3D3B3D"/>
          <w:w w:val="110"/>
        </w:rPr>
        <w:t>the</w:t>
      </w:r>
      <w:r>
        <w:rPr>
          <w:color w:val="3D3B3D"/>
          <w:spacing w:val="-8"/>
          <w:w w:val="110"/>
        </w:rPr>
        <w:t> </w:t>
      </w:r>
      <w:r>
        <w:rPr>
          <w:color w:val="3D3B3D"/>
          <w:w w:val="110"/>
        </w:rPr>
        <w:t>court</w:t>
      </w:r>
      <w:r>
        <w:rPr>
          <w:color w:val="3D3B3D"/>
          <w:spacing w:val="-3"/>
          <w:w w:val="110"/>
        </w:rPr>
        <w:t> </w:t>
      </w:r>
      <w:r>
        <w:rPr>
          <w:color w:val="3D3B3D"/>
          <w:w w:val="110"/>
        </w:rPr>
        <w:t>will</w:t>
      </w:r>
      <w:r>
        <w:rPr>
          <w:color w:val="3D3B3D"/>
          <w:spacing w:val="13"/>
          <w:w w:val="110"/>
        </w:rPr>
        <w:t> </w:t>
      </w:r>
      <w:r>
        <w:rPr>
          <w:color w:val="3D3B3D"/>
          <w:w w:val="110"/>
        </w:rPr>
        <w:t>retry</w:t>
      </w:r>
      <w:r>
        <w:rPr>
          <w:color w:val="3D3B3D"/>
          <w:spacing w:val="7"/>
          <w:w w:val="110"/>
        </w:rPr>
        <w:t> </w:t>
      </w:r>
      <w:r>
        <w:rPr>
          <w:color w:val="3D3B3D"/>
          <w:w w:val="110"/>
        </w:rPr>
        <w:t>the</w:t>
      </w:r>
      <w:r>
        <w:rPr>
          <w:color w:val="3D3B3D"/>
          <w:spacing w:val="18"/>
          <w:w w:val="110"/>
        </w:rPr>
        <w:t> </w:t>
      </w:r>
      <w:r>
        <w:rPr>
          <w:color w:val="3D3B3D"/>
          <w:w w:val="110"/>
        </w:rPr>
        <w:t>case</w:t>
      </w:r>
      <w:r>
        <w:rPr>
          <w:color w:val="565456"/>
          <w:w w:val="110"/>
        </w:rPr>
        <w:t>.</w:t>
      </w:r>
      <w:r>
        <w:rPr>
          <w:color w:val="565456"/>
          <w:spacing w:val="-4"/>
          <w:w w:val="110"/>
        </w:rPr>
        <w:t> </w:t>
      </w:r>
      <w:r>
        <w:rPr>
          <w:color w:val="3D3B3D"/>
          <w:w w:val="110"/>
        </w:rPr>
        <w:t>Instead</w:t>
      </w:r>
      <w:r>
        <w:rPr>
          <w:color w:val="3D3B3D"/>
          <w:spacing w:val="4"/>
          <w:w w:val="110"/>
        </w:rPr>
        <w:t> </w:t>
      </w:r>
      <w:r>
        <w:rPr>
          <w:color w:val="3D3B3D"/>
          <w:w w:val="110"/>
        </w:rPr>
        <w:t>of</w:t>
      </w:r>
      <w:r>
        <w:rPr>
          <w:color w:val="3D3B3D"/>
          <w:spacing w:val="11"/>
          <w:w w:val="110"/>
        </w:rPr>
        <w:t> </w:t>
      </w:r>
      <w:r>
        <w:rPr>
          <w:color w:val="3D3B3D"/>
          <w:w w:val="110"/>
        </w:rPr>
        <w:t>observ­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ing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the examination and cross-examination of witnesses, h</w:t>
      </w:r>
      <w:r>
        <w:rPr>
          <w:color w:val="565456"/>
          <w:w w:val="110"/>
        </w:rPr>
        <w:t>e</w:t>
      </w:r>
      <w:r>
        <w:rPr>
          <w:color w:val="3D3B3D"/>
          <w:w w:val="110"/>
        </w:rPr>
        <w:t>aring opening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5"/>
        </w:rPr>
        <w:t>and closing arguments, and seeing the attorneys present various eviden­</w:t>
      </w:r>
      <w:r>
        <w:rPr>
          <w:color w:val="3D3B3D"/>
          <w:spacing w:val="-64"/>
          <w:w w:val="115"/>
        </w:rPr>
        <w:t> </w:t>
      </w:r>
      <w:r>
        <w:rPr>
          <w:color w:val="3D3B3D"/>
          <w:w w:val="110"/>
        </w:rPr>
        <w:t>tiary exhibits all over again, the court </w:t>
      </w:r>
      <w:r>
        <w:rPr>
          <w:i/>
          <w:color w:val="3D3B3D"/>
          <w:w w:val="110"/>
          <w:sz w:val="24"/>
        </w:rPr>
        <w:t>reviews </w:t>
      </w:r>
      <w:r>
        <w:rPr>
          <w:color w:val="3D3B3D"/>
          <w:w w:val="110"/>
        </w:rPr>
        <w:t>important evidence (whether</w:t>
      </w:r>
      <w:r>
        <w:rPr>
          <w:color w:val="3D3B3D"/>
          <w:spacing w:val="-61"/>
          <w:w w:val="110"/>
        </w:rPr>
        <w:t> </w:t>
      </w:r>
      <w:r>
        <w:rPr>
          <w:color w:val="3D3B3D"/>
          <w:w w:val="115"/>
        </w:rPr>
        <w:t>findings</w:t>
      </w:r>
      <w:r>
        <w:rPr>
          <w:color w:val="3D3B3D"/>
          <w:spacing w:val="-9"/>
          <w:w w:val="115"/>
        </w:rPr>
        <w:t> </w:t>
      </w:r>
      <w:r>
        <w:rPr>
          <w:color w:val="3D3B3D"/>
          <w:w w:val="115"/>
        </w:rPr>
        <w:t>of</w:t>
      </w:r>
      <w:r>
        <w:rPr>
          <w:color w:val="3D3B3D"/>
          <w:spacing w:val="2"/>
          <w:w w:val="115"/>
        </w:rPr>
        <w:t> </w:t>
      </w:r>
      <w:r>
        <w:rPr>
          <w:color w:val="3D3B3D"/>
          <w:w w:val="115"/>
        </w:rPr>
        <w:t>fact,</w:t>
      </w:r>
      <w:r>
        <w:rPr>
          <w:color w:val="3D3B3D"/>
          <w:spacing w:val="1"/>
          <w:w w:val="115"/>
        </w:rPr>
        <w:t> </w:t>
      </w:r>
      <w:r>
        <w:rPr>
          <w:color w:val="3D3B3D"/>
          <w:w w:val="115"/>
        </w:rPr>
        <w:t>testimony,</w:t>
      </w:r>
      <w:r>
        <w:rPr>
          <w:color w:val="3D3B3D"/>
          <w:spacing w:val="8"/>
          <w:w w:val="115"/>
        </w:rPr>
        <w:t> </w:t>
      </w:r>
      <w:r>
        <w:rPr>
          <w:color w:val="3D3B3D"/>
          <w:w w:val="115"/>
        </w:rPr>
        <w:t>or</w:t>
      </w:r>
      <w:r>
        <w:rPr>
          <w:color w:val="3D3B3D"/>
          <w:spacing w:val="4"/>
          <w:w w:val="115"/>
        </w:rPr>
        <w:t> </w:t>
      </w:r>
      <w:r>
        <w:rPr>
          <w:color w:val="3D3B3D"/>
          <w:w w:val="115"/>
        </w:rPr>
        <w:t>exhibits) and</w:t>
      </w:r>
      <w:r>
        <w:rPr>
          <w:color w:val="3D3B3D"/>
          <w:spacing w:val="19"/>
          <w:w w:val="115"/>
        </w:rPr>
        <w:t> </w:t>
      </w:r>
      <w:r>
        <w:rPr>
          <w:color w:val="3D3B3D"/>
          <w:w w:val="115"/>
        </w:rPr>
        <w:t>the</w:t>
      </w:r>
      <w:r>
        <w:rPr>
          <w:color w:val="3D3B3D"/>
          <w:spacing w:val="9"/>
          <w:w w:val="115"/>
        </w:rPr>
        <w:t> </w:t>
      </w:r>
      <w:r>
        <w:rPr>
          <w:color w:val="3D3B3D"/>
          <w:w w:val="115"/>
        </w:rPr>
        <w:t>attorneys'</w:t>
      </w:r>
      <w:r>
        <w:rPr>
          <w:color w:val="3D3B3D"/>
          <w:spacing w:val="-1"/>
          <w:w w:val="115"/>
        </w:rPr>
        <w:t> </w:t>
      </w:r>
      <w:r>
        <w:rPr>
          <w:color w:val="3D3B3D"/>
          <w:w w:val="115"/>
        </w:rPr>
        <w:t>writt</w:t>
      </w:r>
      <w:r>
        <w:rPr>
          <w:color w:val="565456"/>
          <w:w w:val="115"/>
        </w:rPr>
        <w:t>e</w:t>
      </w:r>
      <w:r>
        <w:rPr>
          <w:color w:val="3D3B3D"/>
          <w:w w:val="115"/>
        </w:rPr>
        <w:t>n</w:t>
      </w:r>
      <w:r>
        <w:rPr>
          <w:color w:val="3D3B3D"/>
          <w:spacing w:val="18"/>
          <w:w w:val="115"/>
        </w:rPr>
        <w:t> </w:t>
      </w:r>
      <w:r>
        <w:rPr>
          <w:color w:val="3D3B3D"/>
          <w:w w:val="115"/>
        </w:rPr>
        <w:t>argu­</w:t>
      </w:r>
      <w:r>
        <w:rPr>
          <w:color w:val="3D3B3D"/>
          <w:spacing w:val="1"/>
          <w:w w:val="115"/>
        </w:rPr>
        <w:t> </w:t>
      </w:r>
      <w:r>
        <w:rPr>
          <w:color w:val="3D3B3D"/>
          <w:w w:val="115"/>
        </w:rPr>
        <w:t>ments-in</w:t>
      </w:r>
      <w:r>
        <w:rPr>
          <w:color w:val="3D3B3D"/>
          <w:spacing w:val="1"/>
          <w:w w:val="115"/>
        </w:rPr>
        <w:t> </w:t>
      </w:r>
      <w:r>
        <w:rPr>
          <w:color w:val="3D3B3D"/>
          <w:w w:val="115"/>
        </w:rPr>
        <w:t>theform of</w:t>
      </w:r>
      <w:r>
        <w:rPr>
          <w:color w:val="3D3B3D"/>
          <w:spacing w:val="1"/>
          <w:w w:val="115"/>
        </w:rPr>
        <w:t> </w:t>
      </w:r>
      <w:r>
        <w:rPr>
          <w:color w:val="3D3B3D"/>
          <w:w w:val="115"/>
        </w:rPr>
        <w:t>briefs to</w:t>
      </w:r>
      <w:r>
        <w:rPr>
          <w:color w:val="3D3B3D"/>
          <w:spacing w:val="1"/>
          <w:w w:val="115"/>
        </w:rPr>
        <w:t> </w:t>
      </w:r>
      <w:r>
        <w:rPr>
          <w:color w:val="3D3B3D"/>
          <w:w w:val="115"/>
        </w:rPr>
        <w:t>the</w:t>
      </w:r>
      <w:r>
        <w:rPr>
          <w:color w:val="3D3B3D"/>
          <w:spacing w:val="1"/>
          <w:w w:val="115"/>
        </w:rPr>
        <w:t> </w:t>
      </w:r>
      <w:r>
        <w:rPr>
          <w:color w:val="3D3B3D"/>
          <w:w w:val="115"/>
        </w:rPr>
        <w:t>court-about</w:t>
      </w:r>
      <w:r>
        <w:rPr>
          <w:color w:val="3D3B3D"/>
          <w:spacing w:val="1"/>
          <w:w w:val="115"/>
        </w:rPr>
        <w:t> </w:t>
      </w:r>
      <w:r>
        <w:rPr>
          <w:color w:val="3D3B3D"/>
          <w:w w:val="115"/>
        </w:rPr>
        <w:t>thesignificance of</w:t>
      </w:r>
      <w:r>
        <w:rPr>
          <w:color w:val="3D3B3D"/>
          <w:spacing w:val="1"/>
          <w:w w:val="115"/>
        </w:rPr>
        <w:t> </w:t>
      </w:r>
      <w:r>
        <w:rPr>
          <w:color w:val="3D3B3D"/>
          <w:w w:val="115"/>
        </w:rPr>
        <w:t>that</w:t>
      </w:r>
      <w:r>
        <w:rPr>
          <w:color w:val="3D3B3D"/>
          <w:spacing w:val="1"/>
          <w:w w:val="115"/>
        </w:rPr>
        <w:t> </w:t>
      </w:r>
      <w:r>
        <w:rPr>
          <w:color w:val="3D3B3D"/>
          <w:w w:val="110"/>
        </w:rPr>
        <w:t>evidence. Durin</w:t>
      </w:r>
      <w:r>
        <w:rPr>
          <w:color w:val="565456"/>
          <w:w w:val="110"/>
        </w:rPr>
        <w:t>g </w:t>
      </w:r>
      <w:r>
        <w:rPr>
          <w:color w:val="3D3B3D"/>
          <w:w w:val="110"/>
        </w:rPr>
        <w:t>the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oral argument on appeal (if any), the court questions</w:t>
      </w:r>
      <w:r>
        <w:rPr>
          <w:color w:val="3D3B3D"/>
          <w:spacing w:val="1"/>
          <w:w w:val="110"/>
        </w:rPr>
        <w:t> </w:t>
      </w:r>
      <w:r>
        <w:rPr>
          <w:color w:val="3D3B3D"/>
          <w:spacing w:val="-1"/>
          <w:w w:val="110"/>
        </w:rPr>
        <w:t>the attorneys about </w:t>
      </w:r>
      <w:r>
        <w:rPr>
          <w:color w:val="3D3B3D"/>
          <w:w w:val="110"/>
        </w:rPr>
        <w:t>the sufficiency of the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evidence, the significance of the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5"/>
        </w:rPr>
        <w:t>arguments,</w:t>
      </w:r>
      <w:r>
        <w:rPr>
          <w:color w:val="3D3B3D"/>
          <w:spacing w:val="16"/>
          <w:w w:val="115"/>
        </w:rPr>
        <w:t> </w:t>
      </w:r>
      <w:r>
        <w:rPr>
          <w:color w:val="3D3B3D"/>
          <w:w w:val="115"/>
        </w:rPr>
        <w:t>or</w:t>
      </w:r>
      <w:r>
        <w:rPr>
          <w:color w:val="3D3B3D"/>
          <w:spacing w:val="20"/>
          <w:w w:val="115"/>
        </w:rPr>
        <w:t> </w:t>
      </w:r>
      <w:r>
        <w:rPr>
          <w:color w:val="3D3B3D"/>
          <w:w w:val="115"/>
        </w:rPr>
        <w:t>the</w:t>
      </w:r>
      <w:r>
        <w:rPr>
          <w:color w:val="3D3B3D"/>
          <w:spacing w:val="34"/>
          <w:w w:val="115"/>
        </w:rPr>
        <w:t> </w:t>
      </w:r>
      <w:r>
        <w:rPr>
          <w:color w:val="3D3B3D"/>
          <w:w w:val="115"/>
        </w:rPr>
        <w:t>impact</w:t>
      </w:r>
      <w:r>
        <w:rPr>
          <w:color w:val="3D3B3D"/>
          <w:spacing w:val="16"/>
          <w:w w:val="115"/>
        </w:rPr>
        <w:t> </w:t>
      </w:r>
      <w:r>
        <w:rPr>
          <w:color w:val="3D3B3D"/>
          <w:w w:val="115"/>
        </w:rPr>
        <w:t>of</w:t>
      </w:r>
      <w:r>
        <w:rPr>
          <w:color w:val="3D3B3D"/>
          <w:spacing w:val="11"/>
          <w:w w:val="115"/>
        </w:rPr>
        <w:t> </w:t>
      </w:r>
      <w:r>
        <w:rPr>
          <w:color w:val="3D3B3D"/>
          <w:w w:val="115"/>
        </w:rPr>
        <w:t>a</w:t>
      </w:r>
      <w:r>
        <w:rPr>
          <w:color w:val="3D3B3D"/>
          <w:spacing w:val="31"/>
          <w:w w:val="115"/>
        </w:rPr>
        <w:t> </w:t>
      </w:r>
      <w:r>
        <w:rPr>
          <w:color w:val="3D3B3D"/>
          <w:w w:val="115"/>
        </w:rPr>
        <w:t>holding</w:t>
      </w:r>
      <w:r>
        <w:rPr>
          <w:color w:val="3D3B3D"/>
          <w:spacing w:val="1"/>
          <w:w w:val="115"/>
        </w:rPr>
        <w:t> </w:t>
      </w:r>
      <w:r>
        <w:rPr>
          <w:color w:val="3D3B3D"/>
          <w:w w:val="115"/>
        </w:rPr>
        <w:t>one</w:t>
      </w:r>
      <w:r>
        <w:rPr>
          <w:color w:val="3D3B3D"/>
          <w:spacing w:val="21"/>
          <w:w w:val="115"/>
        </w:rPr>
        <w:t> </w:t>
      </w:r>
      <w:r>
        <w:rPr>
          <w:color w:val="3D3B3D"/>
          <w:w w:val="115"/>
        </w:rPr>
        <w:t>way</w:t>
      </w:r>
      <w:r>
        <w:rPr>
          <w:color w:val="3D3B3D"/>
          <w:spacing w:val="-1"/>
          <w:w w:val="115"/>
        </w:rPr>
        <w:t> </w:t>
      </w:r>
      <w:r>
        <w:rPr>
          <w:color w:val="3D3B3D"/>
          <w:w w:val="115"/>
        </w:rPr>
        <w:t>or</w:t>
      </w:r>
      <w:r>
        <w:rPr>
          <w:color w:val="3D3B3D"/>
          <w:spacing w:val="17"/>
          <w:w w:val="115"/>
        </w:rPr>
        <w:t> </w:t>
      </w:r>
      <w:r>
        <w:rPr>
          <w:color w:val="3D3B3D"/>
          <w:w w:val="115"/>
        </w:rPr>
        <w:t>the</w:t>
      </w:r>
      <w:r>
        <w:rPr>
          <w:color w:val="3D3B3D"/>
          <w:spacing w:val="24"/>
          <w:w w:val="115"/>
        </w:rPr>
        <w:t> </w:t>
      </w:r>
      <w:r>
        <w:rPr>
          <w:color w:val="3D3B3D"/>
          <w:w w:val="115"/>
        </w:rPr>
        <w:t>other.</w:t>
      </w:r>
      <w:r>
        <w:rPr>
          <w:color w:val="3D3B3D"/>
          <w:spacing w:val="-6"/>
          <w:w w:val="115"/>
        </w:rPr>
        <w:t> </w:t>
      </w:r>
      <w:r>
        <w:rPr>
          <w:color w:val="3D3B3D"/>
          <w:w w:val="115"/>
        </w:rPr>
        <w:t>The</w:t>
      </w:r>
      <w:r>
        <w:rPr>
          <w:color w:val="3D3B3D"/>
          <w:spacing w:val="-3"/>
          <w:w w:val="115"/>
        </w:rPr>
        <w:t> </w:t>
      </w:r>
      <w:r>
        <w:rPr>
          <w:color w:val="3D3B3D"/>
          <w:w w:val="115"/>
        </w:rPr>
        <w:t>court</w:t>
      </w:r>
      <w:r>
        <w:rPr>
          <w:color w:val="3D3B3D"/>
          <w:spacing w:val="1"/>
          <w:w w:val="115"/>
        </w:rPr>
        <w:t> </w:t>
      </w:r>
      <w:r>
        <w:rPr>
          <w:color w:val="3D3B3D"/>
          <w:w w:val="115"/>
        </w:rPr>
        <w:t>then decides whether to affirm, to reverse, to reverse and</w:t>
      </w:r>
      <w:r>
        <w:rPr>
          <w:color w:val="3D3B3D"/>
          <w:spacing w:val="1"/>
          <w:w w:val="115"/>
        </w:rPr>
        <w:t> </w:t>
      </w:r>
      <w:r>
        <w:rPr>
          <w:color w:val="3D3B3D"/>
          <w:w w:val="115"/>
        </w:rPr>
        <w:t>remand, or to</w:t>
      </w:r>
      <w:r>
        <w:rPr>
          <w:color w:val="3D3B3D"/>
          <w:spacing w:val="1"/>
          <w:w w:val="115"/>
        </w:rPr>
        <w:t> </w:t>
      </w:r>
      <w:r>
        <w:rPr>
          <w:color w:val="3D3B3D"/>
          <w:w w:val="115"/>
        </w:rPr>
        <w:t>vacate</w:t>
      </w:r>
      <w:r>
        <w:rPr>
          <w:color w:val="3D3B3D"/>
          <w:spacing w:val="-10"/>
          <w:w w:val="115"/>
        </w:rPr>
        <w:t> </w:t>
      </w:r>
      <w:r>
        <w:rPr>
          <w:color w:val="3D3B3D"/>
          <w:w w:val="115"/>
        </w:rPr>
        <w:t>the</w:t>
      </w:r>
      <w:r>
        <w:rPr>
          <w:color w:val="3D3B3D"/>
          <w:spacing w:val="8"/>
          <w:w w:val="115"/>
        </w:rPr>
        <w:t> </w:t>
      </w:r>
      <w:r>
        <w:rPr>
          <w:color w:val="3D3B3D"/>
          <w:w w:val="115"/>
        </w:rPr>
        <w:t>decision</w:t>
      </w:r>
      <w:r>
        <w:rPr>
          <w:color w:val="3D3B3D"/>
          <w:spacing w:val="19"/>
          <w:w w:val="115"/>
        </w:rPr>
        <w:t> </w:t>
      </w:r>
      <w:r>
        <w:rPr>
          <w:color w:val="3D3B3D"/>
          <w:w w:val="115"/>
        </w:rPr>
        <w:t>below</w:t>
      </w:r>
      <w:r>
        <w:rPr>
          <w:color w:val="565456"/>
          <w:w w:val="115"/>
        </w:rPr>
        <w:t>.</w:t>
      </w:r>
    </w:p>
    <w:p>
      <w:pPr>
        <w:pStyle w:val="BodyText"/>
        <w:spacing w:line="235" w:lineRule="auto"/>
        <w:ind w:left="604" w:right="157" w:firstLine="412"/>
        <w:jc w:val="both"/>
      </w:pPr>
      <w:r>
        <w:rPr>
          <w:color w:val="3D3B3D"/>
          <w:w w:val="110"/>
        </w:rPr>
        <w:t>When reviewing the  decision of any lower court, the court-explicitly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5"/>
        </w:rPr>
        <w:t>or implicitly-applies a certain appellate standard of review to that deci­</w:t>
      </w:r>
      <w:r>
        <w:rPr>
          <w:color w:val="3D3B3D"/>
          <w:spacing w:val="1"/>
          <w:w w:val="115"/>
        </w:rPr>
        <w:t> </w:t>
      </w:r>
      <w:r>
        <w:rPr>
          <w:color w:val="3D3B3D"/>
          <w:w w:val="105"/>
        </w:rPr>
        <w:t>sion.</w:t>
      </w:r>
      <w:r>
        <w:rPr>
          <w:color w:val="3D3B3D"/>
          <w:spacing w:val="-20"/>
          <w:w w:val="105"/>
        </w:rPr>
        <w:t> </w:t>
      </w:r>
      <w:r>
        <w:rPr>
          <w:color w:val="3D3B3D"/>
          <w:w w:val="105"/>
        </w:rPr>
        <w:t>The</w:t>
      </w:r>
      <w:r>
        <w:rPr>
          <w:color w:val="3D3B3D"/>
          <w:spacing w:val="-29"/>
          <w:w w:val="105"/>
        </w:rPr>
        <w:t> </w:t>
      </w:r>
      <w:r>
        <w:rPr>
          <w:i/>
          <w:color w:val="3D3B3D"/>
          <w:w w:val="105"/>
          <w:sz w:val="24"/>
        </w:rPr>
        <w:t>appellate</w:t>
      </w:r>
      <w:r>
        <w:rPr>
          <w:i/>
          <w:color w:val="3D3B3D"/>
          <w:spacing w:val="6"/>
          <w:w w:val="105"/>
          <w:sz w:val="24"/>
        </w:rPr>
        <w:t> </w:t>
      </w:r>
      <w:r>
        <w:rPr>
          <w:i/>
          <w:color w:val="3D3B3D"/>
          <w:w w:val="105"/>
          <w:sz w:val="24"/>
        </w:rPr>
        <w:t>standard</w:t>
      </w:r>
      <w:r>
        <w:rPr>
          <w:i/>
          <w:color w:val="3D3B3D"/>
          <w:spacing w:val="11"/>
          <w:w w:val="105"/>
          <w:sz w:val="24"/>
        </w:rPr>
        <w:t> </w:t>
      </w:r>
      <w:r>
        <w:rPr>
          <w:i/>
          <w:color w:val="3D3B3D"/>
          <w:w w:val="105"/>
          <w:sz w:val="24"/>
        </w:rPr>
        <w:t>of</w:t>
      </w:r>
      <w:r>
        <w:rPr>
          <w:i/>
          <w:color w:val="3D3B3D"/>
          <w:spacing w:val="1"/>
          <w:w w:val="105"/>
          <w:sz w:val="24"/>
        </w:rPr>
        <w:t> </w:t>
      </w:r>
      <w:r>
        <w:rPr>
          <w:i/>
          <w:color w:val="3D3B3D"/>
          <w:w w:val="105"/>
          <w:sz w:val="24"/>
        </w:rPr>
        <w:t>review'</w:t>
      </w:r>
      <w:r>
        <w:rPr>
          <w:rFonts w:ascii="Arial" w:hAnsi="Arial"/>
          <w:i/>
          <w:color w:val="3D3B3D"/>
          <w:w w:val="105"/>
          <w:position w:val="10"/>
          <w:sz w:val="13"/>
        </w:rPr>
        <w:t>0</w:t>
      </w:r>
      <w:r>
        <w:rPr>
          <w:rFonts w:ascii="Arial" w:hAnsi="Arial"/>
          <w:i/>
          <w:color w:val="3D3B3D"/>
          <w:spacing w:val="26"/>
          <w:w w:val="105"/>
          <w:position w:val="10"/>
          <w:sz w:val="13"/>
        </w:rPr>
        <w:t> </w:t>
      </w:r>
      <w:r>
        <w:rPr>
          <w:color w:val="3D3B3D"/>
          <w:w w:val="105"/>
        </w:rPr>
        <w:t>is</w:t>
      </w:r>
      <w:r>
        <w:rPr>
          <w:color w:val="3D3B3D"/>
          <w:spacing w:val="21"/>
          <w:w w:val="105"/>
        </w:rPr>
        <w:t> </w:t>
      </w:r>
      <w:r>
        <w:rPr>
          <w:color w:val="3D3B3D"/>
          <w:w w:val="105"/>
        </w:rPr>
        <w:t>a</w:t>
      </w:r>
      <w:r>
        <w:rPr>
          <w:color w:val="3D3B3D"/>
          <w:spacing w:val="25"/>
          <w:w w:val="105"/>
        </w:rPr>
        <w:t> </w:t>
      </w:r>
      <w:r>
        <w:rPr>
          <w:color w:val="3D3B3D"/>
          <w:w w:val="105"/>
        </w:rPr>
        <w:t>label</w:t>
      </w:r>
      <w:r>
        <w:rPr>
          <w:color w:val="3D3B3D"/>
          <w:spacing w:val="18"/>
          <w:w w:val="105"/>
        </w:rPr>
        <w:t> </w:t>
      </w:r>
      <w:r>
        <w:rPr>
          <w:color w:val="3D3B3D"/>
          <w:w w:val="105"/>
        </w:rPr>
        <w:t>that</w:t>
      </w:r>
      <w:r>
        <w:rPr>
          <w:color w:val="3D3B3D"/>
          <w:spacing w:val="-7"/>
          <w:w w:val="105"/>
        </w:rPr>
        <w:t> </w:t>
      </w:r>
      <w:r>
        <w:rPr>
          <w:color w:val="3D3B3D"/>
          <w:w w:val="105"/>
        </w:rPr>
        <w:t>a</w:t>
      </w:r>
      <w:r>
        <w:rPr>
          <w:color w:val="3D3B3D"/>
          <w:spacing w:val="2"/>
          <w:w w:val="105"/>
        </w:rPr>
        <w:t> </w:t>
      </w:r>
      <w:r>
        <w:rPr>
          <w:color w:val="3D3B3D"/>
          <w:w w:val="105"/>
        </w:rPr>
        <w:t>reviewing</w:t>
      </w:r>
      <w:r>
        <w:rPr>
          <w:color w:val="3D3B3D"/>
          <w:spacing w:val="-8"/>
          <w:w w:val="105"/>
        </w:rPr>
        <w:t> </w:t>
      </w:r>
      <w:r>
        <w:rPr>
          <w:color w:val="3D3B3D"/>
          <w:w w:val="105"/>
        </w:rPr>
        <w:t>court</w:t>
      </w:r>
      <w:r>
        <w:rPr>
          <w:color w:val="3D3B3D"/>
          <w:spacing w:val="3"/>
          <w:w w:val="105"/>
        </w:rPr>
        <w:t> </w:t>
      </w:r>
      <w:r>
        <w:rPr>
          <w:color w:val="3D3B3D"/>
          <w:w w:val="105"/>
        </w:rPr>
        <w:t>puts</w:t>
      </w:r>
    </w:p>
    <w:p>
      <w:pPr>
        <w:pStyle w:val="BodyText"/>
        <w:spacing w:before="6"/>
        <w:rPr>
          <w:sz w:val="35"/>
        </w:rPr>
      </w:pPr>
    </w:p>
    <w:p>
      <w:pPr>
        <w:spacing w:before="1"/>
        <w:ind w:left="951" w:right="0" w:firstLine="0"/>
        <w:jc w:val="both"/>
        <w:rPr>
          <w:sz w:val="18"/>
        </w:rPr>
      </w:pPr>
      <w:r>
        <w:rPr>
          <w:rFonts w:ascii="Arial"/>
          <w:i/>
          <w:color w:val="3D3B3D"/>
          <w:w w:val="105"/>
          <w:sz w:val="16"/>
        </w:rPr>
        <w:t>"F</w:t>
      </w:r>
      <w:r>
        <w:rPr>
          <w:rFonts w:ascii="Arial"/>
          <w:i/>
          <w:color w:val="565456"/>
          <w:w w:val="105"/>
          <w:sz w:val="16"/>
        </w:rPr>
        <w:t>e</w:t>
      </w:r>
      <w:r>
        <w:rPr>
          <w:rFonts w:ascii="Arial"/>
          <w:i/>
          <w:color w:val="3D3B3D"/>
          <w:w w:val="105"/>
          <w:sz w:val="16"/>
        </w:rPr>
        <w:t>d</w:t>
      </w:r>
      <w:r>
        <w:rPr>
          <w:rFonts w:ascii="Arial"/>
          <w:i/>
          <w:color w:val="565456"/>
          <w:w w:val="105"/>
          <w:sz w:val="16"/>
        </w:rPr>
        <w:t>.</w:t>
      </w:r>
      <w:r>
        <w:rPr>
          <w:rFonts w:ascii="Arial"/>
          <w:i/>
          <w:color w:val="565456"/>
          <w:spacing w:val="-3"/>
          <w:w w:val="105"/>
          <w:sz w:val="16"/>
        </w:rPr>
        <w:t> </w:t>
      </w:r>
      <w:r>
        <w:rPr>
          <w:rFonts w:ascii="Arial"/>
          <w:color w:val="3D3B3D"/>
          <w:w w:val="105"/>
          <w:sz w:val="17"/>
        </w:rPr>
        <w:t>R.</w:t>
      </w:r>
      <w:r>
        <w:rPr>
          <w:rFonts w:ascii="Arial"/>
          <w:color w:val="3D3B3D"/>
          <w:spacing w:val="-23"/>
          <w:w w:val="105"/>
          <w:sz w:val="17"/>
        </w:rPr>
        <w:t> </w:t>
      </w:r>
      <w:r>
        <w:rPr>
          <w:color w:val="3D3B3D"/>
          <w:w w:val="105"/>
          <w:sz w:val="18"/>
        </w:rPr>
        <w:t>App.</w:t>
      </w:r>
      <w:r>
        <w:rPr>
          <w:color w:val="3D3B3D"/>
          <w:spacing w:val="-5"/>
          <w:w w:val="105"/>
          <w:sz w:val="18"/>
        </w:rPr>
        <w:t> </w:t>
      </w:r>
      <w:r>
        <w:rPr>
          <w:color w:val="3D3B3D"/>
          <w:w w:val="105"/>
          <w:sz w:val="18"/>
        </w:rPr>
        <w:t>P.</w:t>
      </w:r>
      <w:r>
        <w:rPr>
          <w:color w:val="3D3B3D"/>
          <w:spacing w:val="-11"/>
          <w:w w:val="105"/>
          <w:sz w:val="18"/>
        </w:rPr>
        <w:t> </w:t>
      </w:r>
      <w:r>
        <w:rPr>
          <w:color w:val="3D3B3D"/>
          <w:w w:val="105"/>
          <w:sz w:val="18"/>
        </w:rPr>
        <w:t>34(a)(2).</w:t>
      </w:r>
    </w:p>
    <w:p>
      <w:pPr>
        <w:spacing w:line="240" w:lineRule="auto" w:before="1"/>
        <w:ind w:left="536" w:right="203" w:firstLine="424"/>
        <w:jc w:val="both"/>
        <w:rPr>
          <w:i/>
          <w:sz w:val="17"/>
        </w:rPr>
      </w:pPr>
      <w:r>
        <w:rPr>
          <w:i/>
          <w:color w:val="565456"/>
          <w:sz w:val="16"/>
          <w:vertAlign w:val="superscript"/>
        </w:rPr>
        <w:t>9</w:t>
      </w:r>
      <w:r>
        <w:rPr>
          <w:i/>
          <w:color w:val="565456"/>
          <w:sz w:val="16"/>
          <w:vertAlign w:val="baseline"/>
        </w:rPr>
        <w:t> </w:t>
      </w:r>
      <w:r>
        <w:rPr>
          <w:rFonts w:ascii="Arial"/>
          <w:i/>
          <w:color w:val="3D3B3D"/>
          <w:sz w:val="16"/>
          <w:vertAlign w:val="baseline"/>
        </w:rPr>
        <w:t>F</w:t>
      </w:r>
      <w:r>
        <w:rPr>
          <w:rFonts w:ascii="Arial"/>
          <w:i/>
          <w:color w:val="565456"/>
          <w:sz w:val="16"/>
          <w:vertAlign w:val="baseline"/>
        </w:rPr>
        <w:t>e</w:t>
      </w:r>
      <w:r>
        <w:rPr>
          <w:rFonts w:ascii="Arial"/>
          <w:i/>
          <w:color w:val="3D3B3D"/>
          <w:sz w:val="16"/>
          <w:vertAlign w:val="baseline"/>
        </w:rPr>
        <w:t>deral </w:t>
      </w:r>
      <w:r>
        <w:rPr>
          <w:color w:val="3D3B3D"/>
          <w:sz w:val="18"/>
          <w:vertAlign w:val="baseline"/>
        </w:rPr>
        <w:t>Judicial </w:t>
      </w:r>
      <w:r>
        <w:rPr>
          <w:rFonts w:ascii="Arial"/>
          <w:i/>
          <w:color w:val="565456"/>
          <w:sz w:val="16"/>
          <w:vertAlign w:val="baseline"/>
        </w:rPr>
        <w:t>C</w:t>
      </w:r>
      <w:r>
        <w:rPr>
          <w:rFonts w:ascii="Arial"/>
          <w:i/>
          <w:color w:val="3D3B3D"/>
          <w:sz w:val="16"/>
          <w:vertAlign w:val="baseline"/>
        </w:rPr>
        <w:t>enter</w:t>
      </w:r>
      <w:r>
        <w:rPr>
          <w:rFonts w:ascii="Arial"/>
          <w:i/>
          <w:color w:val="565456"/>
          <w:sz w:val="16"/>
          <w:vertAlign w:val="baseline"/>
        </w:rPr>
        <w:t>, U.</w:t>
      </w:r>
      <w:r>
        <w:rPr>
          <w:rFonts w:ascii="Arial"/>
          <w:i/>
          <w:color w:val="3D3B3D"/>
          <w:sz w:val="16"/>
          <w:vertAlign w:val="baseline"/>
        </w:rPr>
        <w:t>S. </w:t>
      </w:r>
      <w:r>
        <w:rPr>
          <w:i/>
          <w:color w:val="565456"/>
          <w:sz w:val="17"/>
          <w:vertAlign w:val="baseline"/>
        </w:rPr>
        <w:t>C</w:t>
      </w:r>
      <w:r>
        <w:rPr>
          <w:i/>
          <w:color w:val="3D3B3D"/>
          <w:sz w:val="17"/>
          <w:vertAlign w:val="baseline"/>
        </w:rPr>
        <w:t>ourts of</w:t>
      </w:r>
      <w:r>
        <w:rPr>
          <w:i/>
          <w:color w:val="3D3B3D"/>
          <w:spacing w:val="42"/>
          <w:sz w:val="17"/>
          <w:vertAlign w:val="baseline"/>
        </w:rPr>
        <w:t> </w:t>
      </w:r>
      <w:r>
        <w:rPr>
          <w:i/>
          <w:color w:val="3D3B3D"/>
          <w:sz w:val="17"/>
          <w:vertAlign w:val="baseline"/>
        </w:rPr>
        <w:t>App</w:t>
      </w:r>
      <w:r>
        <w:rPr>
          <w:i/>
          <w:color w:val="565456"/>
          <w:sz w:val="17"/>
          <w:vertAlign w:val="baseline"/>
        </w:rPr>
        <w:t>e</w:t>
      </w:r>
      <w:r>
        <w:rPr>
          <w:i/>
          <w:color w:val="3D3B3D"/>
          <w:sz w:val="17"/>
          <w:vertAlign w:val="baseline"/>
        </w:rPr>
        <w:t>als: App</w:t>
      </w:r>
      <w:r>
        <w:rPr>
          <w:i/>
          <w:color w:val="565456"/>
          <w:sz w:val="17"/>
          <w:vertAlign w:val="baseline"/>
        </w:rPr>
        <w:t>e</w:t>
      </w:r>
      <w:r>
        <w:rPr>
          <w:i/>
          <w:color w:val="3D3B3D"/>
          <w:sz w:val="17"/>
          <w:vertAlign w:val="baseline"/>
        </w:rPr>
        <w:t>als</w:t>
      </w:r>
      <w:r>
        <w:rPr>
          <w:i/>
          <w:color w:val="3D3B3D"/>
          <w:spacing w:val="43"/>
          <w:sz w:val="17"/>
          <w:vertAlign w:val="baseline"/>
        </w:rPr>
        <w:t> </w:t>
      </w:r>
      <w:r>
        <w:rPr>
          <w:i/>
          <w:color w:val="3D3B3D"/>
          <w:sz w:val="17"/>
          <w:vertAlign w:val="baseline"/>
        </w:rPr>
        <w:t>C</w:t>
      </w:r>
      <w:r>
        <w:rPr>
          <w:i/>
          <w:color w:val="565456"/>
          <w:sz w:val="17"/>
          <w:vertAlign w:val="baseline"/>
        </w:rPr>
        <w:t>o</w:t>
      </w:r>
      <w:r>
        <w:rPr>
          <w:i/>
          <w:color w:val="3D3B3D"/>
          <w:sz w:val="17"/>
          <w:vertAlign w:val="baseline"/>
        </w:rPr>
        <w:t>mm</w:t>
      </w:r>
      <w:r>
        <w:rPr>
          <w:i/>
          <w:color w:val="565456"/>
          <w:sz w:val="17"/>
          <w:vertAlign w:val="baseline"/>
        </w:rPr>
        <w:t>e</w:t>
      </w:r>
      <w:r>
        <w:rPr>
          <w:i/>
          <w:color w:val="3D3B3D"/>
          <w:sz w:val="17"/>
          <w:vertAlign w:val="baseline"/>
        </w:rPr>
        <w:t>nced</w:t>
      </w:r>
      <w:r>
        <w:rPr>
          <w:i/>
          <w:color w:val="565456"/>
          <w:sz w:val="17"/>
          <w:vertAlign w:val="baseline"/>
        </w:rPr>
        <w:t>,</w:t>
      </w:r>
      <w:r>
        <w:rPr>
          <w:i/>
          <w:color w:val="565456"/>
          <w:spacing w:val="42"/>
          <w:sz w:val="17"/>
          <w:vertAlign w:val="baseline"/>
        </w:rPr>
        <w:t> </w:t>
      </w:r>
      <w:r>
        <w:rPr>
          <w:i/>
          <w:color w:val="3D3B3D"/>
          <w:sz w:val="17"/>
          <w:vertAlign w:val="baseline"/>
        </w:rPr>
        <w:t>T</w:t>
      </w:r>
      <w:r>
        <w:rPr>
          <w:i/>
          <w:color w:val="565456"/>
          <w:sz w:val="17"/>
          <w:vertAlign w:val="baseline"/>
        </w:rPr>
        <w:t>e</w:t>
      </w:r>
      <w:r>
        <w:rPr>
          <w:i/>
          <w:color w:val="3D3B3D"/>
          <w:sz w:val="17"/>
          <w:vertAlign w:val="baseline"/>
        </w:rPr>
        <w:t>m1inated,</w:t>
      </w:r>
      <w:r>
        <w:rPr>
          <w:i/>
          <w:color w:val="3D3B3D"/>
          <w:spacing w:val="43"/>
          <w:sz w:val="17"/>
          <w:vertAlign w:val="baseline"/>
        </w:rPr>
        <w:t> </w:t>
      </w:r>
      <w:r>
        <w:rPr>
          <w:i/>
          <w:color w:val="3D3B3D"/>
          <w:sz w:val="17"/>
          <w:vertAlign w:val="baseline"/>
        </w:rPr>
        <w:t>and</w:t>
      </w:r>
      <w:r>
        <w:rPr>
          <w:i/>
          <w:color w:val="3D3B3D"/>
          <w:spacing w:val="42"/>
          <w:sz w:val="17"/>
          <w:vertAlign w:val="baseline"/>
        </w:rPr>
        <w:t> </w:t>
      </w:r>
      <w:r>
        <w:rPr>
          <w:i/>
          <w:color w:val="3D3B3D"/>
          <w:sz w:val="17"/>
          <w:vertAlign w:val="baseline"/>
        </w:rPr>
        <w:t>PendillS</w:t>
      </w:r>
      <w:r>
        <w:rPr>
          <w:i/>
          <w:color w:val="565456"/>
          <w:sz w:val="17"/>
          <w:vertAlign w:val="baseline"/>
        </w:rPr>
        <w:t>,</w:t>
      </w:r>
      <w:r>
        <w:rPr>
          <w:i/>
          <w:color w:val="565456"/>
          <w:spacing w:val="1"/>
          <w:sz w:val="17"/>
          <w:vertAlign w:val="baseline"/>
        </w:rPr>
        <w:t> </w:t>
      </w:r>
      <w:r>
        <w:rPr>
          <w:rFonts w:ascii="Arial"/>
          <w:i/>
          <w:color w:val="3D3B3D"/>
          <w:spacing w:val="-1"/>
          <w:w w:val="105"/>
          <w:sz w:val="16"/>
          <w:vertAlign w:val="baseline"/>
        </w:rPr>
        <w:t>by </w:t>
      </w:r>
      <w:r>
        <w:rPr>
          <w:i/>
          <w:color w:val="3D3B3D"/>
          <w:spacing w:val="-1"/>
          <w:w w:val="105"/>
          <w:sz w:val="17"/>
          <w:vertAlign w:val="baseline"/>
        </w:rPr>
        <w:t>Circuit </w:t>
      </w:r>
      <w:r>
        <w:rPr>
          <w:i/>
          <w:color w:val="3D3B3D"/>
          <w:w w:val="105"/>
          <w:sz w:val="17"/>
          <w:vertAlign w:val="baseline"/>
        </w:rPr>
        <w:t>(Exclud</w:t>
      </w:r>
      <w:r>
        <w:rPr>
          <w:i/>
          <w:color w:val="565456"/>
          <w:w w:val="105"/>
          <w:sz w:val="17"/>
          <w:vertAlign w:val="baseline"/>
        </w:rPr>
        <w:t>es </w:t>
      </w:r>
      <w:r>
        <w:rPr>
          <w:i/>
          <w:color w:val="3D3B3D"/>
          <w:w w:val="105"/>
          <w:sz w:val="17"/>
          <w:vertAlign w:val="baseline"/>
        </w:rPr>
        <w:t>F</w:t>
      </w:r>
      <w:r>
        <w:rPr>
          <w:i/>
          <w:color w:val="565456"/>
          <w:w w:val="105"/>
          <w:sz w:val="17"/>
          <w:vertAlign w:val="baseline"/>
        </w:rPr>
        <w:t>e</w:t>
      </w:r>
      <w:r>
        <w:rPr>
          <w:i/>
          <w:color w:val="3D3B3D"/>
          <w:w w:val="105"/>
          <w:sz w:val="17"/>
          <w:vertAlign w:val="baseline"/>
        </w:rPr>
        <w:t>deral </w:t>
      </w:r>
      <w:r>
        <w:rPr>
          <w:i/>
          <w:color w:val="565456"/>
          <w:w w:val="105"/>
          <w:sz w:val="17"/>
          <w:vertAlign w:val="baseline"/>
        </w:rPr>
        <w:t>C</w:t>
      </w:r>
      <w:r>
        <w:rPr>
          <w:i/>
          <w:color w:val="3D3B3D"/>
          <w:w w:val="105"/>
          <w:sz w:val="17"/>
          <w:vertAlign w:val="baseline"/>
        </w:rPr>
        <w:t>ircuit), </w:t>
      </w:r>
      <w:hyperlink r:id="rId43">
        <w:r>
          <w:rPr>
            <w:color w:val="3D3B3D"/>
            <w:w w:val="105"/>
            <w:sz w:val="18"/>
            <w:vertAlign w:val="baseline"/>
          </w:rPr>
          <w:t>http</w:t>
        </w:r>
        <w:r>
          <w:rPr>
            <w:color w:val="565456"/>
            <w:w w:val="105"/>
            <w:sz w:val="18"/>
            <w:vertAlign w:val="baseline"/>
          </w:rPr>
          <w:t>:/</w:t>
        </w:r>
        <w:r>
          <w:rPr>
            <w:color w:val="3D3B3D"/>
            <w:w w:val="105"/>
            <w:sz w:val="18"/>
            <w:vertAlign w:val="baseline"/>
          </w:rPr>
          <w:t>/www.uscourt</w:t>
        </w:r>
        <w:r>
          <w:rPr>
            <w:color w:val="565456"/>
            <w:w w:val="105"/>
            <w:sz w:val="18"/>
            <w:vertAlign w:val="baseline"/>
          </w:rPr>
          <w:t>s</w:t>
        </w:r>
        <w:r>
          <w:rPr>
            <w:color w:val="3D3B3D"/>
            <w:w w:val="105"/>
            <w:sz w:val="18"/>
            <w:vertAlign w:val="baseline"/>
          </w:rPr>
          <w:t>.gov/Viewer.aspx</w:t>
        </w:r>
        <w:r>
          <w:rPr>
            <w:color w:val="565456"/>
            <w:w w:val="105"/>
            <w:sz w:val="18"/>
            <w:vertAlign w:val="baseline"/>
          </w:rPr>
          <w:t>?</w:t>
        </w:r>
        <w:r>
          <w:rPr>
            <w:color w:val="3D3B3D"/>
            <w:w w:val="105"/>
            <w:sz w:val="18"/>
            <w:vertAlign w:val="baseline"/>
          </w:rPr>
          <w:t>doc=/u</w:t>
        </w:r>
        <w:r>
          <w:rPr>
            <w:color w:val="565456"/>
            <w:w w:val="105"/>
            <w:sz w:val="18"/>
            <w:vertAlign w:val="baseline"/>
          </w:rPr>
          <w:t>s</w:t>
        </w:r>
        <w:r>
          <w:rPr>
            <w:color w:val="3D3B3D"/>
            <w:w w:val="105"/>
            <w:sz w:val="18"/>
            <w:vertAlign w:val="baseline"/>
          </w:rPr>
          <w:t>court</w:t>
        </w:r>
        <w:r>
          <w:rPr>
            <w:color w:val="565456"/>
            <w:w w:val="105"/>
            <w:sz w:val="18"/>
            <w:vertAlign w:val="baseline"/>
          </w:rPr>
          <w:t>s</w:t>
        </w:r>
        <w:r>
          <w:rPr>
            <w:color w:val="3D3B3D"/>
            <w:w w:val="105"/>
            <w:sz w:val="18"/>
            <w:vertAlign w:val="baseline"/>
          </w:rPr>
          <w:t>/Statisttcs</w:t>
        </w:r>
        <w:r>
          <w:rPr>
            <w:color w:val="565456"/>
            <w:w w:val="105"/>
            <w:sz w:val="18"/>
            <w:vertAlign w:val="baseline"/>
          </w:rPr>
          <w:t>/</w:t>
        </w:r>
      </w:hyperlink>
      <w:r>
        <w:rPr>
          <w:color w:val="565456"/>
          <w:spacing w:val="1"/>
          <w:w w:val="105"/>
          <w:sz w:val="18"/>
          <w:vertAlign w:val="baseline"/>
        </w:rPr>
        <w:t> </w:t>
      </w:r>
      <w:r>
        <w:rPr>
          <w:color w:val="3D3B3D"/>
          <w:w w:val="105"/>
          <w:sz w:val="18"/>
          <w:vertAlign w:val="baseline"/>
        </w:rPr>
        <w:t>Federal)udicial</w:t>
      </w:r>
      <w:r>
        <w:rPr>
          <w:color w:val="565456"/>
          <w:w w:val="105"/>
          <w:sz w:val="18"/>
          <w:vertAlign w:val="baseline"/>
        </w:rPr>
        <w:t>C</w:t>
      </w:r>
      <w:r>
        <w:rPr>
          <w:color w:val="3D3B3D"/>
          <w:w w:val="105"/>
          <w:sz w:val="18"/>
          <w:vertAlign w:val="baseline"/>
        </w:rPr>
        <w:t>a</w:t>
      </w:r>
      <w:r>
        <w:rPr>
          <w:color w:val="565456"/>
          <w:w w:val="105"/>
          <w:sz w:val="18"/>
          <w:vertAlign w:val="baseline"/>
        </w:rPr>
        <w:t>selo</w:t>
      </w:r>
      <w:r>
        <w:rPr>
          <w:color w:val="3D3B3D"/>
          <w:w w:val="105"/>
          <w:sz w:val="18"/>
          <w:vertAlign w:val="baseline"/>
        </w:rPr>
        <w:t>ad</w:t>
      </w:r>
      <w:r>
        <w:rPr>
          <w:color w:val="565456"/>
          <w:w w:val="105"/>
          <w:sz w:val="18"/>
          <w:vertAlign w:val="baseline"/>
        </w:rPr>
        <w:t>S</w:t>
      </w:r>
      <w:r>
        <w:rPr>
          <w:color w:val="3D3B3D"/>
          <w:w w:val="105"/>
          <w:sz w:val="18"/>
          <w:vertAlign w:val="baseline"/>
        </w:rPr>
        <w:t>t</w:t>
      </w:r>
      <w:r>
        <w:rPr>
          <w:color w:val="565456"/>
          <w:w w:val="105"/>
          <w:sz w:val="18"/>
          <w:vertAlign w:val="baseline"/>
        </w:rPr>
        <w:t>a</w:t>
      </w:r>
      <w:r>
        <w:rPr>
          <w:color w:val="3D3B3D"/>
          <w:w w:val="105"/>
          <w:sz w:val="18"/>
          <w:vertAlign w:val="baseline"/>
        </w:rPr>
        <w:t>tistic</w:t>
      </w:r>
      <w:r>
        <w:rPr>
          <w:color w:val="3D3B3D"/>
          <w:spacing w:val="18"/>
          <w:w w:val="105"/>
          <w:sz w:val="18"/>
          <w:vertAlign w:val="baseline"/>
        </w:rPr>
        <w:t> </w:t>
      </w:r>
      <w:r>
        <w:rPr>
          <w:color w:val="565456"/>
          <w:w w:val="105"/>
          <w:sz w:val="18"/>
          <w:vertAlign w:val="baseline"/>
        </w:rPr>
        <w:t>/201</w:t>
      </w:r>
      <w:r>
        <w:rPr>
          <w:color w:val="3D3B3D"/>
          <w:w w:val="105"/>
          <w:sz w:val="18"/>
          <w:vertAlign w:val="baseline"/>
        </w:rPr>
        <w:t>2</w:t>
      </w:r>
      <w:r>
        <w:rPr>
          <w:color w:val="565456"/>
          <w:w w:val="105"/>
          <w:sz w:val="18"/>
          <w:vertAlign w:val="baseline"/>
        </w:rPr>
        <w:t>/</w:t>
      </w:r>
      <w:r>
        <w:rPr>
          <w:color w:val="3D3B3D"/>
          <w:w w:val="105"/>
          <w:sz w:val="18"/>
          <w:vertAlign w:val="baseline"/>
        </w:rPr>
        <w:t>tab</w:t>
      </w:r>
      <w:r>
        <w:rPr>
          <w:color w:val="565456"/>
          <w:w w:val="105"/>
          <w:sz w:val="18"/>
          <w:vertAlign w:val="baseline"/>
        </w:rPr>
        <w:t>les/</w:t>
      </w:r>
      <w:r>
        <w:rPr>
          <w:color w:val="3D3B3D"/>
          <w:w w:val="105"/>
          <w:sz w:val="18"/>
          <w:vertAlign w:val="baseline"/>
        </w:rPr>
        <w:t>B</w:t>
      </w:r>
      <w:r>
        <w:rPr>
          <w:color w:val="565456"/>
          <w:w w:val="105"/>
          <w:sz w:val="18"/>
          <w:vertAlign w:val="baseline"/>
        </w:rPr>
        <w:t>0</w:t>
      </w:r>
      <w:r>
        <w:rPr>
          <w:color w:val="3D3B3D"/>
          <w:w w:val="105"/>
          <w:sz w:val="18"/>
          <w:vertAlign w:val="baseline"/>
        </w:rPr>
        <w:t>lMar</w:t>
      </w:r>
      <w:r>
        <w:rPr>
          <w:color w:val="3D3B3D"/>
          <w:spacing w:val="-17"/>
          <w:w w:val="105"/>
          <w:sz w:val="18"/>
          <w:vertAlign w:val="baseline"/>
        </w:rPr>
        <w:t> </w:t>
      </w:r>
      <w:r>
        <w:rPr>
          <w:color w:val="3D3B3D"/>
          <w:w w:val="105"/>
          <w:sz w:val="18"/>
          <w:vertAlign w:val="baseline"/>
        </w:rPr>
        <w:t>I</w:t>
      </w:r>
      <w:r>
        <w:rPr>
          <w:color w:val="565456"/>
          <w:w w:val="105"/>
          <w:sz w:val="18"/>
          <w:vertAlign w:val="baseline"/>
        </w:rPr>
        <w:t>2.</w:t>
      </w:r>
      <w:r>
        <w:rPr>
          <w:color w:val="3D3B3D"/>
          <w:w w:val="105"/>
          <w:sz w:val="18"/>
          <w:vertAlign w:val="baseline"/>
        </w:rPr>
        <w:t>pdf</w:t>
      </w:r>
      <w:r>
        <w:rPr>
          <w:color w:val="3D3B3D"/>
          <w:spacing w:val="31"/>
          <w:w w:val="105"/>
          <w:sz w:val="18"/>
          <w:vertAlign w:val="baseline"/>
        </w:rPr>
        <w:t> </w:t>
      </w:r>
      <w:r>
        <w:rPr>
          <w:color w:val="565456"/>
          <w:w w:val="105"/>
          <w:sz w:val="18"/>
          <w:vertAlign w:val="baseline"/>
        </w:rPr>
        <w:t>(</w:t>
      </w:r>
      <w:r>
        <w:rPr>
          <w:color w:val="3D3B3D"/>
          <w:w w:val="105"/>
          <w:sz w:val="18"/>
          <w:vertAlign w:val="baseline"/>
        </w:rPr>
        <w:t>fast </w:t>
      </w:r>
      <w:r>
        <w:rPr>
          <w:color w:val="3D3B3D"/>
          <w:spacing w:val="5"/>
          <w:w w:val="105"/>
          <w:sz w:val="18"/>
          <w:vertAlign w:val="baseline"/>
        </w:rPr>
        <w:t> </w:t>
      </w:r>
      <w:r>
        <w:rPr>
          <w:color w:val="3D3B3D"/>
          <w:w w:val="105"/>
          <w:sz w:val="18"/>
          <w:vertAlign w:val="baseline"/>
        </w:rPr>
        <w:t>visited </w:t>
      </w:r>
      <w:r>
        <w:rPr>
          <w:color w:val="3D3B3D"/>
          <w:spacing w:val="1"/>
          <w:w w:val="105"/>
          <w:sz w:val="18"/>
          <w:vertAlign w:val="baseline"/>
        </w:rPr>
        <w:t> </w:t>
      </w:r>
      <w:r>
        <w:rPr>
          <w:color w:val="3D3B3D"/>
          <w:w w:val="105"/>
          <w:sz w:val="18"/>
          <w:vertAlign w:val="baseline"/>
        </w:rPr>
        <w:t>Oct</w:t>
      </w:r>
      <w:r>
        <w:rPr>
          <w:color w:val="565456"/>
          <w:w w:val="105"/>
          <w:sz w:val="18"/>
          <w:vertAlign w:val="baseline"/>
        </w:rPr>
        <w:t>.</w:t>
      </w:r>
      <w:r>
        <w:rPr>
          <w:color w:val="565456"/>
          <w:spacing w:val="30"/>
          <w:w w:val="105"/>
          <w:sz w:val="18"/>
          <w:vertAlign w:val="baseline"/>
        </w:rPr>
        <w:t> </w:t>
      </w:r>
      <w:r>
        <w:rPr>
          <w:color w:val="3D3B3D"/>
          <w:w w:val="105"/>
          <w:sz w:val="18"/>
          <w:vertAlign w:val="baseline"/>
        </w:rPr>
        <w:t>28</w:t>
      </w:r>
      <w:r>
        <w:rPr>
          <w:color w:val="565456"/>
          <w:w w:val="105"/>
          <w:sz w:val="18"/>
          <w:vertAlign w:val="baseline"/>
        </w:rPr>
        <w:t>, </w:t>
      </w:r>
      <w:r>
        <w:rPr>
          <w:color w:val="565456"/>
          <w:spacing w:val="9"/>
          <w:w w:val="105"/>
          <w:sz w:val="18"/>
          <w:vertAlign w:val="baseline"/>
        </w:rPr>
        <w:t> </w:t>
      </w:r>
      <w:r>
        <w:rPr>
          <w:color w:val="3D3B3D"/>
          <w:w w:val="105"/>
          <w:sz w:val="18"/>
          <w:vertAlign w:val="baseline"/>
        </w:rPr>
        <w:t>2013)</w:t>
      </w:r>
      <w:r>
        <w:rPr>
          <w:color w:val="565456"/>
          <w:w w:val="105"/>
          <w:sz w:val="18"/>
          <w:vertAlign w:val="baseline"/>
        </w:rPr>
        <w:t>.</w:t>
      </w:r>
      <w:r>
        <w:rPr>
          <w:color w:val="565456"/>
          <w:spacing w:val="32"/>
          <w:w w:val="105"/>
          <w:sz w:val="18"/>
          <w:vertAlign w:val="baseline"/>
        </w:rPr>
        <w:t> </w:t>
      </w:r>
      <w:r>
        <w:rPr>
          <w:i/>
          <w:color w:val="3D3B3D"/>
          <w:w w:val="105"/>
          <w:sz w:val="17"/>
          <w:vertAlign w:val="baseline"/>
        </w:rPr>
        <w:t>See</w:t>
      </w:r>
      <w:r>
        <w:rPr>
          <w:i/>
          <w:color w:val="3D3B3D"/>
          <w:spacing w:val="31"/>
          <w:w w:val="105"/>
          <w:sz w:val="17"/>
          <w:vertAlign w:val="baseline"/>
        </w:rPr>
        <w:t> </w:t>
      </w:r>
      <w:r>
        <w:rPr>
          <w:i/>
          <w:color w:val="3D3B3D"/>
          <w:w w:val="105"/>
          <w:sz w:val="17"/>
          <w:vertAlign w:val="baseline"/>
        </w:rPr>
        <w:t>al</w:t>
      </w:r>
      <w:r>
        <w:rPr>
          <w:i/>
          <w:color w:val="565456"/>
          <w:w w:val="105"/>
          <w:sz w:val="17"/>
          <w:vertAlign w:val="baseline"/>
        </w:rPr>
        <w:t>s</w:t>
      </w:r>
      <w:r>
        <w:rPr>
          <w:i/>
          <w:color w:val="3D3B3D"/>
          <w:w w:val="105"/>
          <w:sz w:val="17"/>
          <w:vertAlign w:val="baseline"/>
        </w:rPr>
        <w:t>o</w:t>
      </w:r>
    </w:p>
    <w:p>
      <w:pPr>
        <w:spacing w:line="212" w:lineRule="exact" w:before="0"/>
        <w:ind w:left="516" w:right="0" w:firstLine="0"/>
        <w:jc w:val="left"/>
        <w:rPr>
          <w:sz w:val="18"/>
        </w:rPr>
      </w:pPr>
      <w:r>
        <w:rPr/>
        <w:pict>
          <v:shape style="position:absolute;margin-left:438.028809pt;margin-top:7.23639pt;width:2.3pt;height:5pt;mso-position-horizontal-relative:page;mso-position-vertical-relative:paragraph;z-index:-21608448" type="#_x0000_t202" id="docshape46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sz w:val="9"/>
                    </w:rPr>
                  </w:pPr>
                  <w:r>
                    <w:rPr>
                      <w:color w:val="3D3B3D"/>
                      <w:w w:val="101"/>
                      <w:sz w:val="9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3D3B3D"/>
          <w:sz w:val="18"/>
        </w:rPr>
        <w:t>Patricia</w:t>
      </w:r>
      <w:r>
        <w:rPr>
          <w:color w:val="3D3B3D"/>
          <w:spacing w:val="14"/>
          <w:sz w:val="18"/>
        </w:rPr>
        <w:t> </w:t>
      </w:r>
      <w:r>
        <w:rPr>
          <w:color w:val="3D3B3D"/>
          <w:sz w:val="18"/>
        </w:rPr>
        <w:t>M</w:t>
      </w:r>
      <w:r>
        <w:rPr>
          <w:color w:val="565456"/>
          <w:sz w:val="18"/>
        </w:rPr>
        <w:t>.</w:t>
      </w:r>
      <w:r>
        <w:rPr>
          <w:color w:val="565456"/>
          <w:spacing w:val="35"/>
          <w:sz w:val="18"/>
        </w:rPr>
        <w:t> </w:t>
      </w:r>
      <w:r>
        <w:rPr>
          <w:color w:val="3D3B3D"/>
          <w:sz w:val="18"/>
        </w:rPr>
        <w:t>W</w:t>
      </w:r>
      <w:r>
        <w:rPr>
          <w:color w:val="565456"/>
          <w:sz w:val="18"/>
        </w:rPr>
        <w:t>a</w:t>
      </w:r>
      <w:r>
        <w:rPr>
          <w:color w:val="3D3B3D"/>
          <w:sz w:val="18"/>
        </w:rPr>
        <w:t>ld</w:t>
      </w:r>
      <w:r>
        <w:rPr>
          <w:color w:val="565456"/>
          <w:sz w:val="18"/>
        </w:rPr>
        <w:t>,</w:t>
      </w:r>
      <w:r>
        <w:rPr>
          <w:color w:val="565456"/>
          <w:spacing w:val="18"/>
          <w:sz w:val="18"/>
        </w:rPr>
        <w:t> </w:t>
      </w:r>
      <w:r>
        <w:rPr>
          <w:rFonts w:ascii="Arial"/>
          <w:i/>
          <w:color w:val="3D3B3D"/>
          <w:sz w:val="17"/>
        </w:rPr>
        <w:t>19</w:t>
      </w:r>
      <w:r>
        <w:rPr>
          <w:rFonts w:ascii="Arial"/>
          <w:i/>
          <w:color w:val="3D3B3D"/>
          <w:spacing w:val="29"/>
          <w:sz w:val="17"/>
        </w:rPr>
        <w:t> </w:t>
      </w:r>
      <w:r>
        <w:rPr>
          <w:i/>
          <w:color w:val="3D3B3D"/>
          <w:sz w:val="17"/>
        </w:rPr>
        <w:t>Tip</w:t>
      </w:r>
      <w:r>
        <w:rPr>
          <w:i/>
          <w:color w:val="565456"/>
          <w:sz w:val="17"/>
        </w:rPr>
        <w:t>s</w:t>
      </w:r>
      <w:r>
        <w:rPr>
          <w:i/>
          <w:color w:val="565456"/>
          <w:spacing w:val="49"/>
          <w:sz w:val="17"/>
        </w:rPr>
        <w:t> </w:t>
      </w:r>
      <w:r>
        <w:rPr>
          <w:i/>
          <w:color w:val="3D3B3D"/>
          <w:sz w:val="17"/>
        </w:rPr>
        <w:t>fr</w:t>
      </w:r>
      <w:r>
        <w:rPr>
          <w:i/>
          <w:color w:val="565456"/>
          <w:sz w:val="17"/>
        </w:rPr>
        <w:t>o</w:t>
      </w:r>
      <w:r>
        <w:rPr>
          <w:i/>
          <w:color w:val="3D3B3D"/>
          <w:sz w:val="17"/>
        </w:rPr>
        <w:t>m</w:t>
      </w:r>
      <w:r>
        <w:rPr>
          <w:i/>
          <w:color w:val="3D3B3D"/>
          <w:spacing w:val="44"/>
          <w:sz w:val="17"/>
        </w:rPr>
        <w:t> </w:t>
      </w:r>
      <w:r>
        <w:rPr>
          <w:rFonts w:ascii="Arial"/>
          <w:i/>
          <w:color w:val="3D3B3D"/>
          <w:sz w:val="17"/>
        </w:rPr>
        <w:t>19</w:t>
      </w:r>
      <w:r>
        <w:rPr>
          <w:rFonts w:ascii="Arial"/>
          <w:i/>
          <w:color w:val="3D3B3D"/>
          <w:spacing w:val="53"/>
          <w:sz w:val="17"/>
        </w:rPr>
        <w:t> </w:t>
      </w:r>
      <w:r>
        <w:rPr>
          <w:i/>
          <w:color w:val="3D3B3D"/>
          <w:sz w:val="17"/>
        </w:rPr>
        <w:t>Y</w:t>
      </w:r>
      <w:r>
        <w:rPr>
          <w:i/>
          <w:color w:val="565456"/>
          <w:sz w:val="17"/>
        </w:rPr>
        <w:t>ea</w:t>
      </w:r>
      <w:r>
        <w:rPr>
          <w:i/>
          <w:color w:val="3D3B3D"/>
          <w:sz w:val="17"/>
        </w:rPr>
        <w:t>r</w:t>
      </w:r>
      <w:r>
        <w:rPr>
          <w:i/>
          <w:color w:val="565456"/>
          <w:sz w:val="17"/>
        </w:rPr>
        <w:t>s</w:t>
      </w:r>
      <w:r>
        <w:rPr>
          <w:i/>
          <w:color w:val="565456"/>
          <w:spacing w:val="21"/>
          <w:sz w:val="17"/>
        </w:rPr>
        <w:t> </w:t>
      </w:r>
      <w:r>
        <w:rPr>
          <w:i/>
          <w:color w:val="3D3B3D"/>
          <w:sz w:val="17"/>
        </w:rPr>
        <w:t>on</w:t>
      </w:r>
      <w:r>
        <w:rPr>
          <w:i/>
          <w:color w:val="3D3B3D"/>
          <w:spacing w:val="56"/>
          <w:sz w:val="17"/>
        </w:rPr>
        <w:t> </w:t>
      </w:r>
      <w:r>
        <w:rPr>
          <w:i/>
          <w:color w:val="3D3B3D"/>
          <w:sz w:val="17"/>
        </w:rPr>
        <w:t>th</w:t>
      </w:r>
      <w:r>
        <w:rPr>
          <w:i/>
          <w:color w:val="565456"/>
          <w:sz w:val="17"/>
        </w:rPr>
        <w:t>e</w:t>
      </w:r>
      <w:r>
        <w:rPr>
          <w:i/>
          <w:color w:val="565456"/>
          <w:spacing w:val="26"/>
          <w:sz w:val="17"/>
        </w:rPr>
        <w:t> </w:t>
      </w:r>
      <w:r>
        <w:rPr>
          <w:i/>
          <w:color w:val="3D3B3D"/>
          <w:sz w:val="17"/>
        </w:rPr>
        <w:t>App</w:t>
      </w:r>
      <w:r>
        <w:rPr>
          <w:i/>
          <w:color w:val="565456"/>
          <w:sz w:val="17"/>
        </w:rPr>
        <w:t>e</w:t>
      </w:r>
      <w:r>
        <w:rPr>
          <w:i/>
          <w:color w:val="3D3B3D"/>
          <w:sz w:val="17"/>
        </w:rPr>
        <w:t>llat</w:t>
      </w:r>
      <w:r>
        <w:rPr>
          <w:i/>
          <w:color w:val="565456"/>
          <w:sz w:val="17"/>
        </w:rPr>
        <w:t>e</w:t>
      </w:r>
      <w:r>
        <w:rPr>
          <w:i/>
          <w:color w:val="565456"/>
          <w:spacing w:val="20"/>
          <w:sz w:val="17"/>
        </w:rPr>
        <w:t> </w:t>
      </w:r>
      <w:r>
        <w:rPr>
          <w:i/>
          <w:color w:val="3D3B3D"/>
          <w:sz w:val="17"/>
        </w:rPr>
        <w:t>B</w:t>
      </w:r>
      <w:r>
        <w:rPr>
          <w:i/>
          <w:color w:val="565456"/>
          <w:sz w:val="17"/>
        </w:rPr>
        <w:t>e</w:t>
      </w:r>
      <w:r>
        <w:rPr>
          <w:i/>
          <w:color w:val="3D3B3D"/>
          <w:sz w:val="17"/>
        </w:rPr>
        <w:t>nch,</w:t>
      </w:r>
      <w:r>
        <w:rPr>
          <w:i/>
          <w:color w:val="3D3B3D"/>
          <w:spacing w:val="60"/>
          <w:sz w:val="17"/>
        </w:rPr>
        <w:t> </w:t>
      </w:r>
      <w:r>
        <w:rPr>
          <w:color w:val="3D3B3D"/>
          <w:sz w:val="16"/>
        </w:rPr>
        <w:t>I</w:t>
      </w:r>
      <w:r>
        <w:rPr>
          <w:color w:val="3D3B3D"/>
          <w:spacing w:val="30"/>
          <w:sz w:val="16"/>
        </w:rPr>
        <w:t> </w:t>
      </w:r>
      <w:r>
        <w:rPr>
          <w:color w:val="3D3B3D"/>
          <w:sz w:val="21"/>
        </w:rPr>
        <w:t>J</w:t>
      </w:r>
      <w:r>
        <w:rPr>
          <w:color w:val="565456"/>
          <w:sz w:val="21"/>
        </w:rPr>
        <w:t>.</w:t>
      </w:r>
      <w:r>
        <w:rPr>
          <w:color w:val="565456"/>
          <w:spacing w:val="-4"/>
          <w:sz w:val="21"/>
        </w:rPr>
        <w:t> </w:t>
      </w:r>
      <w:r>
        <w:rPr>
          <w:color w:val="3D3B3D"/>
          <w:sz w:val="18"/>
        </w:rPr>
        <w:t>App.</w:t>
      </w:r>
      <w:r>
        <w:rPr>
          <w:color w:val="3D3B3D"/>
          <w:spacing w:val="22"/>
          <w:sz w:val="18"/>
        </w:rPr>
        <w:t> </w:t>
      </w:r>
      <w:r>
        <w:rPr>
          <w:color w:val="3D3B3D"/>
          <w:sz w:val="18"/>
        </w:rPr>
        <w:t>P</w:t>
      </w:r>
      <w:r>
        <w:rPr>
          <w:color w:val="565456"/>
          <w:sz w:val="18"/>
        </w:rPr>
        <w:t>r</w:t>
      </w:r>
      <w:r>
        <w:rPr>
          <w:color w:val="3D3B3D"/>
          <w:sz w:val="18"/>
        </w:rPr>
        <w:t>a</w:t>
      </w:r>
      <w:r>
        <w:rPr>
          <w:color w:val="565456"/>
          <w:sz w:val="18"/>
        </w:rPr>
        <w:t>c</w:t>
      </w:r>
      <w:r>
        <w:rPr>
          <w:color w:val="3D3B3D"/>
          <w:sz w:val="18"/>
        </w:rPr>
        <w:t>.</w:t>
      </w:r>
      <w:r>
        <w:rPr>
          <w:color w:val="3D3B3D"/>
          <w:spacing w:val="7"/>
          <w:sz w:val="18"/>
        </w:rPr>
        <w:t> </w:t>
      </w:r>
      <w:r>
        <w:rPr>
          <w:color w:val="3D3B3D"/>
          <w:sz w:val="19"/>
        </w:rPr>
        <w:t>&amp;</w:t>
      </w:r>
      <w:r>
        <w:rPr>
          <w:color w:val="3D3B3D"/>
          <w:sz w:val="18"/>
        </w:rPr>
        <w:t>Pro</w:t>
      </w:r>
      <w:r>
        <w:rPr>
          <w:color w:val="565456"/>
          <w:sz w:val="18"/>
        </w:rPr>
        <w:t>c</w:t>
      </w:r>
      <w:r>
        <w:rPr>
          <w:color w:val="3D3B3D"/>
          <w:sz w:val="18"/>
        </w:rPr>
        <w:t>.</w:t>
      </w:r>
      <w:r>
        <w:rPr>
          <w:color w:val="3D3B3D"/>
          <w:spacing w:val="28"/>
          <w:sz w:val="18"/>
        </w:rPr>
        <w:t> </w:t>
      </w:r>
      <w:r>
        <w:rPr>
          <w:color w:val="3D3B3D"/>
          <w:sz w:val="18"/>
        </w:rPr>
        <w:t>7</w:t>
      </w:r>
      <w:r>
        <w:rPr>
          <w:color w:val="3D3B3D"/>
          <w:spacing w:val="70"/>
          <w:sz w:val="18"/>
        </w:rPr>
        <w:t> </w:t>
      </w:r>
      <w:r>
        <w:rPr>
          <w:color w:val="3D3B3D"/>
          <w:sz w:val="18"/>
        </w:rPr>
        <w:t>9</w:t>
      </w:r>
      <w:r>
        <w:rPr>
          <w:color w:val="3D3B3D"/>
          <w:spacing w:val="38"/>
          <w:sz w:val="18"/>
        </w:rPr>
        <w:t> </w:t>
      </w:r>
      <w:r>
        <w:rPr>
          <w:color w:val="3D3B3D"/>
          <w:sz w:val="18"/>
        </w:rPr>
        <w:t>(1999)</w:t>
      </w:r>
    </w:p>
    <w:p>
      <w:pPr>
        <w:spacing w:line="206" w:lineRule="exact" w:before="0"/>
        <w:ind w:left="502" w:right="0" w:firstLine="0"/>
        <w:jc w:val="left"/>
        <w:rPr>
          <w:sz w:val="18"/>
        </w:rPr>
      </w:pPr>
      <w:r>
        <w:rPr>
          <w:color w:val="3D3B3D"/>
          <w:w w:val="110"/>
          <w:sz w:val="18"/>
        </w:rPr>
        <w:t>(est</w:t>
      </w:r>
      <w:r>
        <w:rPr>
          <w:color w:val="565456"/>
          <w:w w:val="110"/>
          <w:sz w:val="18"/>
        </w:rPr>
        <w:t>i</w:t>
      </w:r>
      <w:r>
        <w:rPr>
          <w:color w:val="3D3B3D"/>
          <w:w w:val="110"/>
          <w:sz w:val="18"/>
        </w:rPr>
        <w:t>mating</w:t>
      </w:r>
      <w:r>
        <w:rPr>
          <w:color w:val="3D3B3D"/>
          <w:spacing w:val="21"/>
          <w:w w:val="110"/>
          <w:sz w:val="18"/>
        </w:rPr>
        <w:t> </w:t>
      </w:r>
      <w:r>
        <w:rPr>
          <w:color w:val="3D3B3D"/>
          <w:w w:val="110"/>
          <w:sz w:val="18"/>
        </w:rPr>
        <w:t>that</w:t>
      </w:r>
      <w:r>
        <w:rPr>
          <w:color w:val="3D3B3D"/>
          <w:spacing w:val="1"/>
          <w:w w:val="110"/>
          <w:sz w:val="18"/>
        </w:rPr>
        <w:t> </w:t>
      </w:r>
      <w:r>
        <w:rPr>
          <w:color w:val="3D3B3D"/>
          <w:w w:val="110"/>
          <w:sz w:val="18"/>
        </w:rPr>
        <w:t>60</w:t>
      </w:r>
      <w:r>
        <w:rPr>
          <w:color w:val="3D3B3D"/>
          <w:spacing w:val="-7"/>
          <w:w w:val="110"/>
          <w:sz w:val="18"/>
        </w:rPr>
        <w:t> </w:t>
      </w:r>
      <w:r>
        <w:rPr>
          <w:color w:val="3D3B3D"/>
          <w:w w:val="110"/>
          <w:sz w:val="18"/>
        </w:rPr>
        <w:t>per</w:t>
      </w:r>
      <w:r>
        <w:rPr>
          <w:color w:val="565456"/>
          <w:w w:val="110"/>
          <w:sz w:val="18"/>
        </w:rPr>
        <w:t>c</w:t>
      </w:r>
      <w:r>
        <w:rPr>
          <w:color w:val="3D3B3D"/>
          <w:w w:val="110"/>
          <w:sz w:val="18"/>
        </w:rPr>
        <w:t>ent</w:t>
      </w:r>
      <w:r>
        <w:rPr>
          <w:color w:val="3D3B3D"/>
          <w:spacing w:val="6"/>
          <w:w w:val="110"/>
          <w:sz w:val="18"/>
        </w:rPr>
        <w:t> </w:t>
      </w:r>
      <w:r>
        <w:rPr>
          <w:color w:val="3D3B3D"/>
          <w:w w:val="110"/>
          <w:sz w:val="18"/>
        </w:rPr>
        <w:t>of</w:t>
      </w:r>
      <w:r>
        <w:rPr>
          <w:color w:val="3D3B3D"/>
          <w:spacing w:val="5"/>
          <w:w w:val="110"/>
          <w:sz w:val="18"/>
        </w:rPr>
        <w:t> </w:t>
      </w:r>
      <w:r>
        <w:rPr>
          <w:color w:val="565456"/>
          <w:w w:val="110"/>
          <w:sz w:val="18"/>
        </w:rPr>
        <w:t>c</w:t>
      </w:r>
      <w:r>
        <w:rPr>
          <w:color w:val="3D3B3D"/>
          <w:w w:val="110"/>
          <w:sz w:val="18"/>
        </w:rPr>
        <w:t>a</w:t>
      </w:r>
      <w:r>
        <w:rPr>
          <w:color w:val="565456"/>
          <w:w w:val="110"/>
          <w:sz w:val="18"/>
        </w:rPr>
        <w:t>s</w:t>
      </w:r>
      <w:r>
        <w:rPr>
          <w:color w:val="3D3B3D"/>
          <w:w w:val="110"/>
          <w:sz w:val="18"/>
        </w:rPr>
        <w:t>e</w:t>
      </w:r>
      <w:r>
        <w:rPr>
          <w:color w:val="565456"/>
          <w:w w:val="110"/>
          <w:sz w:val="18"/>
        </w:rPr>
        <w:t>s</w:t>
      </w:r>
      <w:r>
        <w:rPr>
          <w:color w:val="565456"/>
          <w:spacing w:val="11"/>
          <w:w w:val="110"/>
          <w:sz w:val="18"/>
        </w:rPr>
        <w:t> </w:t>
      </w:r>
      <w:r>
        <w:rPr>
          <w:color w:val="3D3B3D"/>
          <w:w w:val="110"/>
          <w:sz w:val="18"/>
        </w:rPr>
        <w:t>nationwide</w:t>
      </w:r>
      <w:r>
        <w:rPr>
          <w:color w:val="3D3B3D"/>
          <w:spacing w:val="-7"/>
          <w:w w:val="110"/>
          <w:sz w:val="18"/>
        </w:rPr>
        <w:t> </w:t>
      </w:r>
      <w:r>
        <w:rPr>
          <w:color w:val="3D3B3D"/>
          <w:w w:val="110"/>
          <w:sz w:val="18"/>
        </w:rPr>
        <w:t>are</w:t>
      </w:r>
      <w:r>
        <w:rPr>
          <w:color w:val="3D3B3D"/>
          <w:spacing w:val="-13"/>
          <w:w w:val="110"/>
          <w:sz w:val="18"/>
        </w:rPr>
        <w:t> </w:t>
      </w:r>
      <w:r>
        <w:rPr>
          <w:color w:val="3D3B3D"/>
          <w:w w:val="110"/>
          <w:sz w:val="18"/>
        </w:rPr>
        <w:t>dec</w:t>
      </w:r>
      <w:r>
        <w:rPr>
          <w:color w:val="565456"/>
          <w:w w:val="110"/>
          <w:sz w:val="18"/>
        </w:rPr>
        <w:t>i</w:t>
      </w:r>
      <w:r>
        <w:rPr>
          <w:color w:val="3D3B3D"/>
          <w:w w:val="110"/>
          <w:sz w:val="18"/>
        </w:rPr>
        <w:t>ded</w:t>
      </w:r>
      <w:r>
        <w:rPr>
          <w:color w:val="3D3B3D"/>
          <w:spacing w:val="22"/>
          <w:w w:val="110"/>
          <w:sz w:val="18"/>
        </w:rPr>
        <w:t> </w:t>
      </w:r>
      <w:r>
        <w:rPr>
          <w:color w:val="3D3B3D"/>
          <w:w w:val="110"/>
          <w:sz w:val="18"/>
        </w:rPr>
        <w:t>without</w:t>
      </w:r>
      <w:r>
        <w:rPr>
          <w:color w:val="3D3B3D"/>
          <w:spacing w:val="-9"/>
          <w:w w:val="110"/>
          <w:sz w:val="18"/>
        </w:rPr>
        <w:t> </w:t>
      </w:r>
      <w:r>
        <w:rPr>
          <w:color w:val="3D3B3D"/>
          <w:w w:val="110"/>
          <w:sz w:val="18"/>
        </w:rPr>
        <w:t>oral</w:t>
      </w:r>
      <w:r>
        <w:rPr>
          <w:color w:val="3D3B3D"/>
          <w:spacing w:val="-14"/>
          <w:w w:val="110"/>
          <w:sz w:val="18"/>
        </w:rPr>
        <w:t> </w:t>
      </w:r>
      <w:r>
        <w:rPr>
          <w:color w:val="3D3B3D"/>
          <w:w w:val="110"/>
          <w:sz w:val="18"/>
        </w:rPr>
        <w:t>argument).</w:t>
      </w:r>
    </w:p>
    <w:p>
      <w:pPr>
        <w:spacing w:line="244" w:lineRule="auto" w:before="0"/>
        <w:ind w:left="446" w:right="213" w:firstLine="355"/>
        <w:jc w:val="both"/>
        <w:rPr>
          <w:sz w:val="18"/>
        </w:rPr>
      </w:pPr>
      <w:r>
        <w:rPr>
          <w:i/>
          <w:color w:val="565456"/>
          <w:w w:val="105"/>
          <w:sz w:val="16"/>
        </w:rPr>
        <w:t>w</w:t>
      </w:r>
      <w:r>
        <w:rPr>
          <w:i/>
          <w:color w:val="565456"/>
          <w:spacing w:val="1"/>
          <w:w w:val="105"/>
          <w:sz w:val="16"/>
        </w:rPr>
        <w:t> </w:t>
      </w:r>
      <w:r>
        <w:rPr>
          <w:color w:val="3D3B3D"/>
          <w:w w:val="105"/>
          <w:sz w:val="18"/>
        </w:rPr>
        <w:t>for </w:t>
      </w:r>
      <w:r>
        <w:rPr>
          <w:rFonts w:ascii="Arial" w:hAnsi="Arial"/>
          <w:i/>
          <w:color w:val="3D3B3D"/>
          <w:w w:val="105"/>
          <w:sz w:val="16"/>
        </w:rPr>
        <w:t>the sa</w:t>
      </w:r>
      <w:r>
        <w:rPr>
          <w:rFonts w:ascii="Arial" w:hAnsi="Arial"/>
          <w:i/>
          <w:color w:val="565456"/>
          <w:w w:val="105"/>
          <w:sz w:val="16"/>
        </w:rPr>
        <w:t>k</w:t>
      </w:r>
      <w:r>
        <w:rPr>
          <w:rFonts w:ascii="Arial" w:hAnsi="Arial"/>
          <w:i/>
          <w:color w:val="3D3B3D"/>
          <w:w w:val="105"/>
          <w:sz w:val="16"/>
        </w:rPr>
        <w:t>e </w:t>
      </w:r>
      <w:r>
        <w:rPr>
          <w:rFonts w:ascii="Arial" w:hAnsi="Arial"/>
          <w:i/>
          <w:color w:val="565456"/>
          <w:w w:val="105"/>
          <w:sz w:val="16"/>
        </w:rPr>
        <w:t>o</w:t>
      </w:r>
      <w:r>
        <w:rPr>
          <w:rFonts w:ascii="Arial" w:hAnsi="Arial"/>
          <w:i/>
          <w:color w:val="3D3B3D"/>
          <w:w w:val="105"/>
          <w:sz w:val="16"/>
        </w:rPr>
        <w:t>f </w:t>
      </w:r>
      <w:r>
        <w:rPr>
          <w:color w:val="3D3B3D"/>
          <w:w w:val="105"/>
          <w:sz w:val="18"/>
        </w:rPr>
        <w:t>cl</w:t>
      </w:r>
      <w:r>
        <w:rPr>
          <w:color w:val="565456"/>
          <w:w w:val="105"/>
          <w:sz w:val="18"/>
        </w:rPr>
        <w:t>a</w:t>
      </w:r>
      <w:r>
        <w:rPr>
          <w:color w:val="3D3B3D"/>
          <w:w w:val="105"/>
          <w:sz w:val="18"/>
        </w:rPr>
        <w:t>rity, </w:t>
      </w:r>
      <w:r>
        <w:rPr>
          <w:rFonts w:ascii="Arial" w:hAnsi="Arial"/>
          <w:i/>
          <w:color w:val="3D3B3D"/>
          <w:w w:val="105"/>
          <w:sz w:val="16"/>
        </w:rPr>
        <w:t>I </w:t>
      </w:r>
      <w:r>
        <w:rPr>
          <w:color w:val="3D3B3D"/>
          <w:w w:val="105"/>
          <w:sz w:val="18"/>
        </w:rPr>
        <w:t>u</w:t>
      </w:r>
      <w:r>
        <w:rPr>
          <w:color w:val="565456"/>
          <w:w w:val="105"/>
          <w:sz w:val="18"/>
        </w:rPr>
        <w:t>s</w:t>
      </w:r>
      <w:r>
        <w:rPr>
          <w:color w:val="3D3B3D"/>
          <w:w w:val="105"/>
          <w:sz w:val="18"/>
        </w:rPr>
        <w:t>e </w:t>
      </w:r>
      <w:r>
        <w:rPr>
          <w:rFonts w:ascii="Arial" w:hAnsi="Arial"/>
          <w:i/>
          <w:color w:val="3D3B3D"/>
          <w:w w:val="105"/>
          <w:sz w:val="16"/>
        </w:rPr>
        <w:t>the</w:t>
      </w:r>
      <w:r>
        <w:rPr>
          <w:rFonts w:ascii="Arial" w:hAnsi="Arial"/>
          <w:i/>
          <w:color w:val="3D3B3D"/>
          <w:spacing w:val="1"/>
          <w:w w:val="105"/>
          <w:sz w:val="16"/>
        </w:rPr>
        <w:t> </w:t>
      </w:r>
      <w:r>
        <w:rPr>
          <w:color w:val="3D3B3D"/>
          <w:w w:val="105"/>
          <w:sz w:val="18"/>
        </w:rPr>
        <w:t>lab</w:t>
      </w:r>
      <w:r>
        <w:rPr>
          <w:color w:val="565456"/>
          <w:w w:val="105"/>
          <w:sz w:val="18"/>
        </w:rPr>
        <w:t>e</w:t>
      </w:r>
      <w:r>
        <w:rPr>
          <w:color w:val="3D3B3D"/>
          <w:w w:val="105"/>
          <w:sz w:val="18"/>
        </w:rPr>
        <w:t>l</w:t>
      </w:r>
      <w:r>
        <w:rPr>
          <w:i/>
          <w:color w:val="3D3B3D"/>
          <w:w w:val="105"/>
          <w:sz w:val="17"/>
        </w:rPr>
        <w:t>"ppell</w:t>
      </w:r>
      <w:r>
        <w:rPr>
          <w:i/>
          <w:color w:val="565456"/>
          <w:w w:val="105"/>
          <w:sz w:val="17"/>
        </w:rPr>
        <w:t>a</w:t>
      </w:r>
      <w:r>
        <w:rPr>
          <w:i/>
          <w:color w:val="3D3B3D"/>
          <w:w w:val="105"/>
          <w:sz w:val="17"/>
        </w:rPr>
        <w:t>te standards o</w:t>
      </w:r>
      <w:r>
        <w:rPr>
          <w:i/>
          <w:color w:val="565456"/>
          <w:w w:val="105"/>
          <w:sz w:val="17"/>
        </w:rPr>
        <w:t>f </w:t>
      </w:r>
      <w:r>
        <w:rPr>
          <w:i/>
          <w:color w:val="3D3B3D"/>
          <w:w w:val="105"/>
          <w:sz w:val="17"/>
        </w:rPr>
        <w:t>review </w:t>
      </w:r>
      <w:r>
        <w:rPr>
          <w:color w:val="3D3B3D"/>
          <w:w w:val="105"/>
          <w:sz w:val="18"/>
        </w:rPr>
        <w:t>to refe</w:t>
      </w:r>
      <w:r>
        <w:rPr>
          <w:color w:val="565456"/>
          <w:w w:val="105"/>
          <w:sz w:val="18"/>
        </w:rPr>
        <w:t>r </w:t>
      </w:r>
      <w:r>
        <w:rPr>
          <w:color w:val="3D3B3D"/>
          <w:w w:val="105"/>
          <w:sz w:val="18"/>
        </w:rPr>
        <w:t>t</w:t>
      </w:r>
      <w:r>
        <w:rPr>
          <w:color w:val="565456"/>
          <w:w w:val="105"/>
          <w:sz w:val="18"/>
        </w:rPr>
        <w:t>o</w:t>
      </w:r>
      <w:r>
        <w:rPr>
          <w:color w:val="3D3B3D"/>
          <w:w w:val="105"/>
          <w:sz w:val="18"/>
        </w:rPr>
        <w:t>th</w:t>
      </w:r>
      <w:r>
        <w:rPr>
          <w:color w:val="565456"/>
          <w:w w:val="105"/>
          <w:sz w:val="18"/>
        </w:rPr>
        <w:t>e</w:t>
      </w:r>
      <w:r>
        <w:rPr>
          <w:color w:val="3D3B3D"/>
          <w:w w:val="105"/>
          <w:sz w:val="18"/>
        </w:rPr>
        <w:t>se standards</w:t>
      </w:r>
      <w:r>
        <w:rPr>
          <w:color w:val="565456"/>
          <w:w w:val="105"/>
          <w:sz w:val="18"/>
        </w:rPr>
        <w:t>,</w:t>
      </w:r>
      <w:r>
        <w:rPr>
          <w:color w:val="565456"/>
          <w:spacing w:val="1"/>
          <w:w w:val="105"/>
          <w:sz w:val="18"/>
        </w:rPr>
        <w:t> </w:t>
      </w:r>
      <w:r>
        <w:rPr>
          <w:rFonts w:ascii="Arial" w:hAnsi="Arial"/>
          <w:i/>
          <w:color w:val="3D3B3D"/>
          <w:w w:val="105"/>
          <w:sz w:val="16"/>
        </w:rPr>
        <w:t>However, </w:t>
      </w:r>
      <w:r>
        <w:rPr>
          <w:color w:val="3D3B3D"/>
          <w:w w:val="105"/>
          <w:sz w:val="18"/>
        </w:rPr>
        <w:t>as noted b</w:t>
      </w:r>
      <w:r>
        <w:rPr>
          <w:color w:val="565456"/>
          <w:w w:val="105"/>
          <w:sz w:val="18"/>
        </w:rPr>
        <w:t>e</w:t>
      </w:r>
      <w:r>
        <w:rPr>
          <w:color w:val="3D3B3D"/>
          <w:w w:val="105"/>
          <w:sz w:val="18"/>
        </w:rPr>
        <w:t>low, many court</w:t>
      </w:r>
      <w:r>
        <w:rPr>
          <w:color w:val="565456"/>
          <w:w w:val="105"/>
          <w:sz w:val="18"/>
        </w:rPr>
        <w:t>s </w:t>
      </w:r>
      <w:r>
        <w:rPr>
          <w:color w:val="3D3B3D"/>
          <w:w w:val="105"/>
          <w:sz w:val="18"/>
        </w:rPr>
        <w:t>use the label </w:t>
      </w:r>
      <w:r>
        <w:rPr>
          <w:i/>
          <w:color w:val="3D3B3D"/>
          <w:w w:val="105"/>
          <w:sz w:val="17"/>
        </w:rPr>
        <w:t>stan</w:t>
      </w:r>
      <w:r>
        <w:rPr>
          <w:i/>
          <w:color w:val="565456"/>
          <w:w w:val="105"/>
          <w:sz w:val="17"/>
        </w:rPr>
        <w:t>d</w:t>
      </w:r>
      <w:r>
        <w:rPr>
          <w:i/>
          <w:color w:val="3D3B3D"/>
          <w:w w:val="105"/>
          <w:sz w:val="17"/>
        </w:rPr>
        <w:t>ard of  r</w:t>
      </w:r>
      <w:r>
        <w:rPr>
          <w:i/>
          <w:color w:val="565456"/>
          <w:w w:val="105"/>
          <w:sz w:val="17"/>
        </w:rPr>
        <w:t>ev</w:t>
      </w:r>
      <w:r>
        <w:rPr>
          <w:i/>
          <w:color w:val="3D3B3D"/>
          <w:w w:val="105"/>
          <w:sz w:val="17"/>
        </w:rPr>
        <w:t>iew </w:t>
      </w:r>
      <w:r>
        <w:rPr>
          <w:color w:val="3D3B3D"/>
          <w:w w:val="105"/>
          <w:sz w:val="18"/>
        </w:rPr>
        <w:t>to  refer to app</w:t>
      </w:r>
      <w:r>
        <w:rPr>
          <w:color w:val="565456"/>
          <w:w w:val="105"/>
          <w:sz w:val="18"/>
        </w:rPr>
        <w:t>e</w:t>
      </w:r>
      <w:r>
        <w:rPr>
          <w:color w:val="3D3B3D"/>
          <w:w w:val="105"/>
          <w:sz w:val="18"/>
        </w:rPr>
        <w:t>llate stan</w:t>
      </w:r>
      <w:r>
        <w:rPr>
          <w:color w:val="565456"/>
          <w:w w:val="105"/>
          <w:sz w:val="18"/>
        </w:rPr>
        <w:t>·</w:t>
      </w:r>
      <w:r>
        <w:rPr>
          <w:color w:val="565456"/>
          <w:spacing w:val="1"/>
          <w:w w:val="105"/>
          <w:sz w:val="18"/>
        </w:rPr>
        <w:t> </w:t>
      </w:r>
      <w:r>
        <w:rPr>
          <w:color w:val="3D3B3D"/>
          <w:w w:val="110"/>
          <w:sz w:val="18"/>
        </w:rPr>
        <w:t>dards</w:t>
      </w:r>
      <w:r>
        <w:rPr>
          <w:color w:val="3D3B3D"/>
          <w:spacing w:val="-20"/>
          <w:w w:val="110"/>
          <w:sz w:val="18"/>
        </w:rPr>
        <w:t> </w:t>
      </w:r>
      <w:r>
        <w:rPr>
          <w:rFonts w:ascii="Arial" w:hAnsi="Arial"/>
          <w:i/>
          <w:color w:val="3D3B3D"/>
          <w:w w:val="110"/>
          <w:sz w:val="16"/>
        </w:rPr>
        <w:t>of</w:t>
      </w:r>
      <w:r>
        <w:rPr>
          <w:rFonts w:ascii="Arial" w:hAnsi="Arial"/>
          <w:i/>
          <w:color w:val="3D3B3D"/>
          <w:spacing w:val="6"/>
          <w:w w:val="110"/>
          <w:sz w:val="16"/>
        </w:rPr>
        <w:t> </w:t>
      </w:r>
      <w:r>
        <w:rPr>
          <w:rFonts w:ascii="Arial" w:hAnsi="Arial"/>
          <w:i/>
          <w:color w:val="3D3B3D"/>
          <w:w w:val="110"/>
          <w:sz w:val="16"/>
        </w:rPr>
        <w:t>review,</w:t>
      </w:r>
      <w:r>
        <w:rPr>
          <w:rFonts w:ascii="Arial" w:hAnsi="Arial"/>
          <w:i/>
          <w:color w:val="3D3B3D"/>
          <w:spacing w:val="-12"/>
          <w:w w:val="110"/>
          <w:sz w:val="16"/>
        </w:rPr>
        <w:t> </w:t>
      </w:r>
      <w:r>
        <w:rPr>
          <w:color w:val="3D3B3D"/>
          <w:w w:val="110"/>
          <w:sz w:val="18"/>
        </w:rPr>
        <w:t>motion</w:t>
      </w:r>
      <w:r>
        <w:rPr>
          <w:color w:val="3D3B3D"/>
          <w:spacing w:val="3"/>
          <w:w w:val="110"/>
          <w:sz w:val="18"/>
        </w:rPr>
        <w:t> </w:t>
      </w:r>
      <w:r>
        <w:rPr>
          <w:color w:val="3D3B3D"/>
          <w:w w:val="110"/>
          <w:sz w:val="18"/>
        </w:rPr>
        <w:t>standards</w:t>
      </w:r>
      <w:r>
        <w:rPr>
          <w:color w:val="3D3B3D"/>
          <w:spacing w:val="-15"/>
          <w:w w:val="110"/>
          <w:sz w:val="18"/>
        </w:rPr>
        <w:t> </w:t>
      </w:r>
      <w:r>
        <w:rPr>
          <w:color w:val="3D3B3D"/>
          <w:w w:val="110"/>
          <w:sz w:val="18"/>
        </w:rPr>
        <w:t>of</w:t>
      </w:r>
      <w:r>
        <w:rPr>
          <w:color w:val="3D3B3D"/>
          <w:spacing w:val="12"/>
          <w:w w:val="110"/>
          <w:sz w:val="18"/>
        </w:rPr>
        <w:t> </w:t>
      </w:r>
      <w:r>
        <w:rPr>
          <w:color w:val="3D3B3D"/>
          <w:w w:val="110"/>
          <w:sz w:val="18"/>
        </w:rPr>
        <w:t>revi</w:t>
      </w:r>
      <w:r>
        <w:rPr>
          <w:color w:val="565456"/>
          <w:w w:val="110"/>
          <w:sz w:val="18"/>
        </w:rPr>
        <w:t>e</w:t>
      </w:r>
      <w:r>
        <w:rPr>
          <w:color w:val="3D3B3D"/>
          <w:w w:val="110"/>
          <w:sz w:val="18"/>
        </w:rPr>
        <w:t>w,</w:t>
      </w:r>
      <w:r>
        <w:rPr>
          <w:color w:val="3D3B3D"/>
          <w:spacing w:val="-2"/>
          <w:w w:val="110"/>
          <w:sz w:val="18"/>
        </w:rPr>
        <w:t> </w:t>
      </w:r>
      <w:r>
        <w:rPr>
          <w:color w:val="3D3B3D"/>
          <w:w w:val="110"/>
          <w:sz w:val="18"/>
        </w:rPr>
        <w:t>and</w:t>
      </w:r>
      <w:r>
        <w:rPr>
          <w:color w:val="3D3B3D"/>
          <w:spacing w:val="47"/>
          <w:w w:val="110"/>
          <w:sz w:val="18"/>
        </w:rPr>
        <w:t> </w:t>
      </w:r>
      <w:r>
        <w:rPr>
          <w:color w:val="3D3B3D"/>
          <w:w w:val="110"/>
          <w:sz w:val="18"/>
        </w:rPr>
        <w:t>g</w:t>
      </w:r>
      <w:r>
        <w:rPr>
          <w:color w:val="565456"/>
          <w:w w:val="110"/>
          <w:sz w:val="18"/>
        </w:rPr>
        <w:t>o</w:t>
      </w:r>
      <w:r>
        <w:rPr>
          <w:color w:val="3D3B3D"/>
          <w:w w:val="110"/>
          <w:sz w:val="18"/>
        </w:rPr>
        <w:t>v</w:t>
      </w:r>
      <w:r>
        <w:rPr>
          <w:color w:val="565456"/>
          <w:w w:val="110"/>
          <w:sz w:val="18"/>
        </w:rPr>
        <w:t>e</w:t>
      </w:r>
      <w:r>
        <w:rPr>
          <w:color w:val="3D3B3D"/>
          <w:w w:val="110"/>
          <w:sz w:val="18"/>
        </w:rPr>
        <w:t>rnment</w:t>
      </w:r>
      <w:r>
        <w:rPr>
          <w:color w:val="3D3B3D"/>
          <w:spacing w:val="2"/>
          <w:w w:val="110"/>
          <w:sz w:val="18"/>
        </w:rPr>
        <w:t> </w:t>
      </w:r>
      <w:r>
        <w:rPr>
          <w:color w:val="3D3B3D"/>
          <w:w w:val="110"/>
          <w:sz w:val="18"/>
        </w:rPr>
        <w:t>a</w:t>
      </w:r>
      <w:r>
        <w:rPr>
          <w:color w:val="565456"/>
          <w:w w:val="110"/>
          <w:sz w:val="18"/>
        </w:rPr>
        <w:t>c</w:t>
      </w:r>
      <w:r>
        <w:rPr>
          <w:color w:val="3D3B3D"/>
          <w:w w:val="110"/>
          <w:sz w:val="18"/>
        </w:rPr>
        <w:t>tion</w:t>
      </w:r>
      <w:r>
        <w:rPr>
          <w:color w:val="3D3B3D"/>
          <w:spacing w:val="20"/>
          <w:w w:val="110"/>
          <w:sz w:val="18"/>
        </w:rPr>
        <w:t> </w:t>
      </w:r>
      <w:r>
        <w:rPr>
          <w:color w:val="3D3B3D"/>
          <w:w w:val="110"/>
          <w:sz w:val="18"/>
        </w:rPr>
        <w:t>standards</w:t>
      </w:r>
      <w:r>
        <w:rPr>
          <w:color w:val="3D3B3D"/>
          <w:spacing w:val="-15"/>
          <w:w w:val="110"/>
          <w:sz w:val="18"/>
        </w:rPr>
        <w:t> </w:t>
      </w:r>
      <w:r>
        <w:rPr>
          <w:color w:val="3D3B3D"/>
          <w:w w:val="110"/>
          <w:sz w:val="18"/>
        </w:rPr>
        <w:t>of</w:t>
      </w:r>
      <w:r>
        <w:rPr>
          <w:color w:val="3D3B3D"/>
          <w:spacing w:val="-3"/>
          <w:w w:val="110"/>
          <w:sz w:val="18"/>
        </w:rPr>
        <w:t> </w:t>
      </w:r>
      <w:r>
        <w:rPr>
          <w:color w:val="3D3B3D"/>
          <w:w w:val="110"/>
          <w:sz w:val="18"/>
        </w:rPr>
        <w:t>review.</w:t>
      </w:r>
    </w:p>
    <w:p>
      <w:pPr>
        <w:spacing w:after="0" w:line="244" w:lineRule="auto"/>
        <w:jc w:val="both"/>
        <w:rPr>
          <w:sz w:val="18"/>
        </w:rPr>
        <w:sectPr>
          <w:headerReference w:type="even" r:id="rId41"/>
          <w:headerReference w:type="default" r:id="rId42"/>
          <w:pgSz w:w="9760" w:h="13780"/>
          <w:pgMar w:header="395" w:footer="0" w:top="580" w:bottom="280" w:left="1360" w:right="20"/>
          <w:pgNumType w:start="16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35" w:lineRule="auto"/>
        <w:ind w:left="110" w:right="338"/>
        <w:jc w:val="both"/>
      </w:pPr>
      <w:r>
        <w:rPr>
          <w:color w:val="3B383B"/>
          <w:w w:val="110"/>
        </w:rPr>
        <w:t>on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the level of deference it gives to the findings of the court below. 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appellate standard of review tells the court how "wrong" the lower court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has</w:t>
      </w:r>
      <w:r>
        <w:rPr>
          <w:color w:val="3B383B"/>
          <w:spacing w:val="-20"/>
          <w:w w:val="110"/>
        </w:rPr>
        <w:t> </w:t>
      </w:r>
      <w:r>
        <w:rPr>
          <w:color w:val="3B383B"/>
          <w:w w:val="110"/>
        </w:rPr>
        <w:t>to</w:t>
      </w:r>
      <w:r>
        <w:rPr>
          <w:color w:val="3B383B"/>
          <w:spacing w:val="15"/>
          <w:w w:val="110"/>
        </w:rPr>
        <w:t> </w:t>
      </w:r>
      <w:r>
        <w:rPr>
          <w:color w:val="3B383B"/>
          <w:w w:val="110"/>
        </w:rPr>
        <w:t>be</w:t>
      </w:r>
      <w:r>
        <w:rPr>
          <w:color w:val="3B383B"/>
          <w:spacing w:val="-23"/>
          <w:w w:val="110"/>
        </w:rPr>
        <w:t> </w:t>
      </w:r>
      <w:r>
        <w:rPr>
          <w:color w:val="3B383B"/>
          <w:w w:val="110"/>
        </w:rPr>
        <w:t>before</w:t>
      </w:r>
      <w:r>
        <w:rPr>
          <w:color w:val="3B383B"/>
          <w:spacing w:val="-10"/>
          <w:w w:val="110"/>
        </w:rPr>
        <w:t> </w:t>
      </w:r>
      <w:r>
        <w:rPr>
          <w:color w:val="3B383B"/>
          <w:w w:val="110"/>
        </w:rPr>
        <w:t>it</w:t>
      </w:r>
      <w:r>
        <w:rPr>
          <w:color w:val="3B383B"/>
          <w:spacing w:val="15"/>
          <w:w w:val="110"/>
        </w:rPr>
        <w:t> </w:t>
      </w:r>
      <w:r>
        <w:rPr>
          <w:color w:val="3B383B"/>
          <w:w w:val="110"/>
          <w:sz w:val="22"/>
        </w:rPr>
        <w:t>will</w:t>
      </w:r>
      <w:r>
        <w:rPr>
          <w:color w:val="3B383B"/>
          <w:spacing w:val="-9"/>
          <w:w w:val="110"/>
          <w:sz w:val="22"/>
        </w:rPr>
        <w:t> </w:t>
      </w:r>
      <w:r>
        <w:rPr>
          <w:color w:val="3B383B"/>
          <w:w w:val="110"/>
        </w:rPr>
        <w:t>be</w:t>
      </w:r>
      <w:r>
        <w:rPr>
          <w:color w:val="3B383B"/>
          <w:spacing w:val="-2"/>
          <w:w w:val="110"/>
        </w:rPr>
        <w:t> </w:t>
      </w:r>
      <w:r>
        <w:rPr>
          <w:color w:val="3B383B"/>
          <w:w w:val="110"/>
        </w:rPr>
        <w:t>reversed</w:t>
      </w:r>
      <w:r>
        <w:rPr>
          <w:color w:val="5B5B5D"/>
          <w:w w:val="110"/>
        </w:rPr>
        <w:t>.</w:t>
      </w:r>
    </w:p>
    <w:p>
      <w:pPr>
        <w:pStyle w:val="BodyText"/>
        <w:spacing w:line="235" w:lineRule="auto" w:before="3"/>
        <w:ind w:left="110" w:right="186" w:firstLine="357"/>
      </w:pPr>
      <w:r>
        <w:rPr>
          <w:color w:val="3B383B"/>
          <w:w w:val="120"/>
        </w:rPr>
        <w:t>The appellate standard of</w:t>
      </w:r>
      <w:r>
        <w:rPr>
          <w:color w:val="3B383B"/>
          <w:spacing w:val="1"/>
          <w:w w:val="120"/>
        </w:rPr>
        <w:t> </w:t>
      </w:r>
      <w:r>
        <w:rPr>
          <w:color w:val="3B383B"/>
          <w:w w:val="120"/>
        </w:rPr>
        <w:t>review that the court chooses to</w:t>
      </w:r>
      <w:r>
        <w:rPr>
          <w:color w:val="3B383B"/>
          <w:spacing w:val="1"/>
          <w:w w:val="120"/>
        </w:rPr>
        <w:t> </w:t>
      </w:r>
      <w:r>
        <w:rPr>
          <w:color w:val="3B383B"/>
          <w:w w:val="120"/>
        </w:rPr>
        <w:t>apply</w:t>
      </w:r>
      <w:r>
        <w:rPr>
          <w:color w:val="3B383B"/>
          <w:spacing w:val="1"/>
          <w:w w:val="120"/>
        </w:rPr>
        <w:t> </w:t>
      </w:r>
      <w:r>
        <w:rPr>
          <w:color w:val="3B383B"/>
          <w:w w:val="110"/>
        </w:rPr>
        <w:t>depends on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which aspect of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case is under review: an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evidentiary rul­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ing, a finding of fact, a legal ruling, or some other type of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decision. Some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decisions can be reversed simply if 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reviewing court disagrees with 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lower court. Others can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be reversed only if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reviewing court can iden­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  <w:sz w:val="22"/>
        </w:rPr>
        <w:t>tify </w:t>
      </w:r>
      <w:r>
        <w:rPr>
          <w:color w:val="3B383B"/>
          <w:w w:val="110"/>
        </w:rPr>
        <w:t>a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serious error on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part of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court below. Generally, courts give</w:t>
      </w:r>
      <w:r>
        <w:rPr>
          <w:color w:val="C3C4C8"/>
          <w:w w:val="110"/>
        </w:rPr>
        <w:t>·</w:t>
      </w:r>
      <w:r>
        <w:rPr>
          <w:color w:val="C3C4C8"/>
          <w:spacing w:val="-61"/>
          <w:w w:val="110"/>
        </w:rPr>
        <w:t> </w:t>
      </w:r>
      <w:r>
        <w:rPr>
          <w:color w:val="3B383B"/>
          <w:w w:val="115"/>
        </w:rPr>
        <w:t>high</w:t>
      </w:r>
      <w:r>
        <w:rPr>
          <w:color w:val="3B383B"/>
          <w:spacing w:val="7"/>
          <w:w w:val="115"/>
        </w:rPr>
        <w:t> </w:t>
      </w:r>
      <w:r>
        <w:rPr>
          <w:color w:val="3B383B"/>
          <w:w w:val="115"/>
        </w:rPr>
        <w:t>deference</w:t>
      </w:r>
      <w:r>
        <w:rPr>
          <w:color w:val="3B383B"/>
          <w:spacing w:val="21"/>
          <w:w w:val="115"/>
        </w:rPr>
        <w:t> </w:t>
      </w:r>
      <w:r>
        <w:rPr>
          <w:color w:val="3B383B"/>
          <w:w w:val="115"/>
        </w:rPr>
        <w:t>to</w:t>
      </w:r>
      <w:r>
        <w:rPr>
          <w:color w:val="3B383B"/>
          <w:spacing w:val="32"/>
          <w:w w:val="115"/>
        </w:rPr>
        <w:t> </w:t>
      </w:r>
      <w:r>
        <w:rPr>
          <w:color w:val="3B383B"/>
          <w:w w:val="115"/>
        </w:rPr>
        <w:t>decisions</w:t>
      </w:r>
      <w:r>
        <w:rPr>
          <w:color w:val="3B383B"/>
          <w:spacing w:val="8"/>
          <w:w w:val="115"/>
        </w:rPr>
        <w:t> </w:t>
      </w:r>
      <w:r>
        <w:rPr>
          <w:color w:val="3B383B"/>
          <w:w w:val="115"/>
        </w:rPr>
        <w:t>about</w:t>
      </w:r>
      <w:r>
        <w:rPr>
          <w:color w:val="3B383B"/>
          <w:spacing w:val="12"/>
          <w:w w:val="115"/>
        </w:rPr>
        <w:t> </w:t>
      </w:r>
      <w:r>
        <w:rPr>
          <w:color w:val="3B383B"/>
          <w:w w:val="115"/>
        </w:rPr>
        <w:t>facts-that</w:t>
      </w:r>
      <w:r>
        <w:rPr>
          <w:color w:val="3B383B"/>
          <w:spacing w:val="19"/>
          <w:w w:val="115"/>
        </w:rPr>
        <w:t> </w:t>
      </w:r>
      <w:r>
        <w:rPr>
          <w:color w:val="3B383B"/>
          <w:w w:val="115"/>
        </w:rPr>
        <w:t>is,</w:t>
      </w:r>
      <w:r>
        <w:rPr>
          <w:color w:val="3B383B"/>
          <w:spacing w:val="17"/>
          <w:w w:val="115"/>
        </w:rPr>
        <w:t> </w:t>
      </w:r>
      <w:r>
        <w:rPr>
          <w:color w:val="3B383B"/>
          <w:w w:val="115"/>
        </w:rPr>
        <w:t>they</w:t>
      </w:r>
      <w:r>
        <w:rPr>
          <w:color w:val="3B383B"/>
          <w:spacing w:val="-5"/>
          <w:w w:val="115"/>
        </w:rPr>
        <w:t> </w:t>
      </w:r>
      <w:r>
        <w:rPr>
          <w:color w:val="3B383B"/>
          <w:w w:val="115"/>
        </w:rPr>
        <w:t>are</w:t>
      </w:r>
      <w:r>
        <w:rPr>
          <w:color w:val="3B383B"/>
          <w:spacing w:val="2"/>
          <w:w w:val="115"/>
        </w:rPr>
        <w:t> </w:t>
      </w:r>
      <w:r>
        <w:rPr>
          <w:color w:val="3B383B"/>
          <w:w w:val="115"/>
        </w:rPr>
        <w:t>loathe</w:t>
      </w:r>
      <w:r>
        <w:rPr>
          <w:color w:val="3B383B"/>
          <w:spacing w:val="11"/>
          <w:w w:val="115"/>
        </w:rPr>
        <w:t> </w:t>
      </w:r>
      <w:r>
        <w:rPr>
          <w:color w:val="3B383B"/>
          <w:w w:val="115"/>
        </w:rPr>
        <w:t>to</w:t>
      </w:r>
      <w:r>
        <w:rPr>
          <w:color w:val="3B383B"/>
          <w:spacing w:val="14"/>
          <w:w w:val="115"/>
        </w:rPr>
        <w:t> </w:t>
      </w:r>
      <w:r>
        <w:rPr>
          <w:color w:val="3B383B"/>
          <w:w w:val="115"/>
        </w:rPr>
        <w:t>upset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a</w:t>
      </w:r>
      <w:r>
        <w:rPr>
          <w:color w:val="3B383B"/>
          <w:spacing w:val="6"/>
          <w:w w:val="115"/>
        </w:rPr>
        <w:t> </w:t>
      </w:r>
      <w:r>
        <w:rPr>
          <w:color w:val="3B383B"/>
          <w:w w:val="115"/>
        </w:rPr>
        <w:t>finding</w:t>
      </w:r>
      <w:r>
        <w:rPr>
          <w:color w:val="3B383B"/>
          <w:spacing w:val="7"/>
          <w:w w:val="115"/>
        </w:rPr>
        <w:t> </w:t>
      </w:r>
      <w:r>
        <w:rPr>
          <w:color w:val="3B383B"/>
          <w:w w:val="115"/>
        </w:rPr>
        <w:t>of</w:t>
      </w:r>
      <w:r>
        <w:rPr>
          <w:color w:val="3B383B"/>
          <w:spacing w:val="17"/>
          <w:w w:val="115"/>
        </w:rPr>
        <w:t> </w:t>
      </w:r>
      <w:r>
        <w:rPr>
          <w:color w:val="3B383B"/>
          <w:w w:val="115"/>
        </w:rPr>
        <w:t>fact-and</w:t>
      </w:r>
      <w:r>
        <w:rPr>
          <w:color w:val="3B383B"/>
          <w:spacing w:val="9"/>
          <w:w w:val="115"/>
        </w:rPr>
        <w:t> </w:t>
      </w:r>
      <w:r>
        <w:rPr>
          <w:color w:val="3B383B"/>
          <w:w w:val="115"/>
        </w:rPr>
        <w:t>lowdeference</w:t>
      </w:r>
      <w:r>
        <w:rPr>
          <w:color w:val="3B383B"/>
          <w:spacing w:val="10"/>
          <w:w w:val="115"/>
        </w:rPr>
        <w:t> </w:t>
      </w:r>
      <w:r>
        <w:rPr>
          <w:color w:val="3B383B"/>
          <w:w w:val="115"/>
        </w:rPr>
        <w:t>to</w:t>
      </w:r>
      <w:r>
        <w:rPr>
          <w:color w:val="3B383B"/>
          <w:spacing w:val="14"/>
          <w:w w:val="115"/>
        </w:rPr>
        <w:t> </w:t>
      </w:r>
      <w:r>
        <w:rPr>
          <w:color w:val="3B383B"/>
          <w:w w:val="115"/>
        </w:rPr>
        <w:t>conclusions</w:t>
      </w:r>
      <w:r>
        <w:rPr>
          <w:color w:val="3B383B"/>
          <w:spacing w:val="13"/>
          <w:w w:val="115"/>
        </w:rPr>
        <w:t> </w:t>
      </w:r>
      <w:r>
        <w:rPr>
          <w:color w:val="3B383B"/>
          <w:w w:val="115"/>
        </w:rPr>
        <w:t>of</w:t>
      </w:r>
      <w:r>
        <w:rPr>
          <w:color w:val="3B383B"/>
          <w:spacing w:val="21"/>
          <w:w w:val="115"/>
        </w:rPr>
        <w:t> </w:t>
      </w:r>
      <w:r>
        <w:rPr>
          <w:color w:val="3B383B"/>
          <w:w w:val="115"/>
        </w:rPr>
        <w:t>law.</w:t>
      </w:r>
      <w:r>
        <w:rPr>
          <w:color w:val="3B383B"/>
          <w:spacing w:val="12"/>
          <w:w w:val="115"/>
        </w:rPr>
        <w:t> </w:t>
      </w:r>
      <w:r>
        <w:rPr>
          <w:color w:val="3B383B"/>
          <w:w w:val="115"/>
        </w:rPr>
        <w:t>Because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the</w:t>
      </w:r>
      <w:r>
        <w:rPr>
          <w:color w:val="3B383B"/>
          <w:spacing w:val="1"/>
          <w:w w:val="115"/>
        </w:rPr>
        <w:t> </w:t>
      </w:r>
      <w:r>
        <w:rPr>
          <w:color w:val="3B383B"/>
          <w:spacing w:val="-1"/>
          <w:w w:val="115"/>
        </w:rPr>
        <w:t>particular</w:t>
      </w:r>
      <w:r>
        <w:rPr>
          <w:color w:val="3B383B"/>
          <w:spacing w:val="-4"/>
          <w:w w:val="115"/>
        </w:rPr>
        <w:t> </w:t>
      </w:r>
      <w:r>
        <w:rPr>
          <w:color w:val="3B383B"/>
          <w:spacing w:val="-1"/>
          <w:w w:val="115"/>
        </w:rPr>
        <w:t>appellate</w:t>
      </w:r>
      <w:r>
        <w:rPr>
          <w:color w:val="3B383B"/>
          <w:spacing w:val="-15"/>
          <w:w w:val="115"/>
        </w:rPr>
        <w:t> </w:t>
      </w:r>
      <w:r>
        <w:rPr>
          <w:color w:val="3B383B"/>
          <w:spacing w:val="-1"/>
          <w:w w:val="115"/>
        </w:rPr>
        <w:t>standard</w:t>
      </w:r>
      <w:r>
        <w:rPr>
          <w:color w:val="3B383B"/>
          <w:spacing w:val="-2"/>
          <w:w w:val="115"/>
        </w:rPr>
        <w:t> </w:t>
      </w:r>
      <w:r>
        <w:rPr>
          <w:color w:val="3B383B"/>
          <w:w w:val="115"/>
        </w:rPr>
        <w:t>of</w:t>
      </w:r>
      <w:r>
        <w:rPr>
          <w:color w:val="3B383B"/>
          <w:spacing w:val="9"/>
          <w:w w:val="115"/>
        </w:rPr>
        <w:t> </w:t>
      </w:r>
      <w:r>
        <w:rPr>
          <w:color w:val="3B383B"/>
          <w:w w:val="115"/>
        </w:rPr>
        <w:t>review</w:t>
      </w:r>
      <w:r>
        <w:rPr>
          <w:color w:val="3B383B"/>
          <w:spacing w:val="-9"/>
          <w:w w:val="115"/>
        </w:rPr>
        <w:t> </w:t>
      </w:r>
      <w:r>
        <w:rPr>
          <w:color w:val="3B383B"/>
          <w:w w:val="115"/>
        </w:rPr>
        <w:t>can</w:t>
      </w:r>
      <w:r>
        <w:rPr>
          <w:color w:val="3B383B"/>
          <w:spacing w:val="21"/>
          <w:w w:val="115"/>
        </w:rPr>
        <w:t> </w:t>
      </w:r>
      <w:r>
        <w:rPr>
          <w:color w:val="3B383B"/>
          <w:w w:val="115"/>
        </w:rPr>
        <w:t>significantly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affect</w:t>
      </w:r>
      <w:r>
        <w:rPr>
          <w:color w:val="3B383B"/>
          <w:spacing w:val="-5"/>
          <w:w w:val="115"/>
        </w:rPr>
        <w:t> </w:t>
      </w:r>
      <w:r>
        <w:rPr>
          <w:color w:val="3B383B"/>
          <w:w w:val="115"/>
        </w:rPr>
        <w:t>the</w:t>
      </w:r>
      <w:r>
        <w:rPr>
          <w:color w:val="3B383B"/>
          <w:spacing w:val="20"/>
          <w:w w:val="115"/>
        </w:rPr>
        <w:t> </w:t>
      </w:r>
      <w:r>
        <w:rPr>
          <w:color w:val="3B383B"/>
          <w:w w:val="115"/>
        </w:rPr>
        <w:t>argu­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0"/>
        </w:rPr>
        <w:t>ments</w:t>
      </w:r>
      <w:r>
        <w:rPr>
          <w:color w:val="3B383B"/>
          <w:spacing w:val="3"/>
          <w:w w:val="110"/>
        </w:rPr>
        <w:t> </w:t>
      </w:r>
      <w:r>
        <w:rPr>
          <w:color w:val="3B383B"/>
          <w:w w:val="110"/>
        </w:rPr>
        <w:t>that</w:t>
      </w:r>
      <w:r>
        <w:rPr>
          <w:color w:val="3B383B"/>
          <w:spacing w:val="16"/>
          <w:w w:val="110"/>
        </w:rPr>
        <w:t> </w:t>
      </w:r>
      <w:r>
        <w:rPr>
          <w:color w:val="3B383B"/>
          <w:w w:val="110"/>
        </w:rPr>
        <w:t>you</w:t>
      </w:r>
      <w:r>
        <w:rPr>
          <w:color w:val="3B383B"/>
          <w:spacing w:val="-11"/>
          <w:w w:val="110"/>
        </w:rPr>
        <w:t> </w:t>
      </w:r>
      <w:r>
        <w:rPr>
          <w:color w:val="3B383B"/>
          <w:w w:val="110"/>
        </w:rPr>
        <w:t>make</w:t>
      </w:r>
      <w:r>
        <w:rPr>
          <w:color w:val="3B383B"/>
          <w:spacing w:val="8"/>
          <w:w w:val="110"/>
        </w:rPr>
        <w:t> </w:t>
      </w:r>
      <w:r>
        <w:rPr>
          <w:color w:val="3B383B"/>
          <w:w w:val="110"/>
        </w:rPr>
        <w:t>to</w:t>
      </w:r>
      <w:r>
        <w:rPr>
          <w:color w:val="3B383B"/>
          <w:spacing w:val="48"/>
          <w:w w:val="110"/>
        </w:rPr>
        <w:t> </w:t>
      </w:r>
      <w:r>
        <w:rPr>
          <w:color w:val="3B383B"/>
          <w:w w:val="110"/>
        </w:rPr>
        <w:t>the</w:t>
      </w:r>
      <w:r>
        <w:rPr>
          <w:color w:val="3B383B"/>
          <w:spacing w:val="47"/>
          <w:w w:val="110"/>
        </w:rPr>
        <w:t> </w:t>
      </w:r>
      <w:r>
        <w:rPr>
          <w:color w:val="3B383B"/>
          <w:w w:val="110"/>
        </w:rPr>
        <w:t>court,</w:t>
      </w:r>
      <w:r>
        <w:rPr>
          <w:color w:val="3B383B"/>
          <w:spacing w:val="11"/>
          <w:w w:val="110"/>
        </w:rPr>
        <w:t> </w:t>
      </w:r>
      <w:r>
        <w:rPr>
          <w:color w:val="3B383B"/>
          <w:w w:val="110"/>
        </w:rPr>
        <w:t>you</w:t>
      </w:r>
      <w:r>
        <w:rPr>
          <w:color w:val="3B383B"/>
          <w:spacing w:val="-10"/>
          <w:w w:val="110"/>
        </w:rPr>
        <w:t> </w:t>
      </w:r>
      <w:r>
        <w:rPr>
          <w:color w:val="3B383B"/>
          <w:w w:val="110"/>
        </w:rPr>
        <w:t>should</w:t>
      </w:r>
      <w:r>
        <w:rPr>
          <w:color w:val="3B383B"/>
          <w:spacing w:val="10"/>
          <w:w w:val="110"/>
        </w:rPr>
        <w:t> </w:t>
      </w:r>
      <w:r>
        <w:rPr>
          <w:color w:val="3B383B"/>
          <w:w w:val="110"/>
        </w:rPr>
        <w:t>consider</w:t>
      </w:r>
      <w:r>
        <w:rPr>
          <w:color w:val="3B383B"/>
          <w:spacing w:val="17"/>
          <w:w w:val="110"/>
        </w:rPr>
        <w:t> </w:t>
      </w:r>
      <w:r>
        <w:rPr>
          <w:color w:val="3B383B"/>
          <w:w w:val="110"/>
        </w:rPr>
        <w:t>this</w:t>
      </w:r>
      <w:r>
        <w:rPr>
          <w:color w:val="3B383B"/>
          <w:spacing w:val="7"/>
          <w:w w:val="110"/>
        </w:rPr>
        <w:t> </w:t>
      </w:r>
      <w:r>
        <w:rPr>
          <w:color w:val="3B383B"/>
          <w:w w:val="110"/>
        </w:rPr>
        <w:t>issue</w:t>
      </w:r>
      <w:r>
        <w:rPr>
          <w:color w:val="3B383B"/>
          <w:spacing w:val="-2"/>
          <w:w w:val="110"/>
        </w:rPr>
        <w:t> </w:t>
      </w:r>
      <w:r>
        <w:rPr>
          <w:color w:val="3B383B"/>
          <w:w w:val="110"/>
        </w:rPr>
        <w:t>early</w:t>
      </w:r>
      <w:r>
        <w:rPr>
          <w:color w:val="3B383B"/>
          <w:spacing w:val="9"/>
          <w:w w:val="110"/>
        </w:rPr>
        <w:t> </w:t>
      </w:r>
      <w:r>
        <w:rPr>
          <w:color w:val="3B383B"/>
          <w:w w:val="110"/>
        </w:rPr>
        <w:t>in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your research process and decide what standard the court is likely to apply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to</w:t>
      </w:r>
      <w:r>
        <w:rPr>
          <w:color w:val="3B383B"/>
          <w:spacing w:val="11"/>
          <w:w w:val="110"/>
        </w:rPr>
        <w:t> </w:t>
      </w:r>
      <w:r>
        <w:rPr>
          <w:color w:val="3B383B"/>
          <w:w w:val="110"/>
        </w:rPr>
        <w:t>the</w:t>
      </w:r>
      <w:r>
        <w:rPr>
          <w:color w:val="3B383B"/>
          <w:spacing w:val="16"/>
          <w:w w:val="110"/>
        </w:rPr>
        <w:t> </w:t>
      </w:r>
      <w:r>
        <w:rPr>
          <w:color w:val="3B383B"/>
          <w:w w:val="110"/>
        </w:rPr>
        <w:t>decision</w:t>
      </w:r>
      <w:r>
        <w:rPr>
          <w:color w:val="3B383B"/>
          <w:spacing w:val="21"/>
          <w:w w:val="110"/>
        </w:rPr>
        <w:t> </w:t>
      </w:r>
      <w:r>
        <w:rPr>
          <w:color w:val="3B383B"/>
          <w:w w:val="110"/>
        </w:rPr>
        <w:t>that</w:t>
      </w:r>
      <w:r>
        <w:rPr>
          <w:color w:val="3B383B"/>
          <w:spacing w:val="10"/>
          <w:w w:val="110"/>
        </w:rPr>
        <w:t> </w:t>
      </w:r>
      <w:r>
        <w:rPr>
          <w:color w:val="3B383B"/>
          <w:w w:val="110"/>
        </w:rPr>
        <w:t>you</w:t>
      </w:r>
      <w:r>
        <w:rPr>
          <w:color w:val="3B383B"/>
          <w:spacing w:val="-25"/>
          <w:w w:val="110"/>
        </w:rPr>
        <w:t> </w:t>
      </w:r>
      <w:r>
        <w:rPr>
          <w:color w:val="3B383B"/>
          <w:w w:val="110"/>
        </w:rPr>
        <w:t>seek</w:t>
      </w:r>
      <w:r>
        <w:rPr>
          <w:color w:val="3B383B"/>
          <w:spacing w:val="-14"/>
          <w:w w:val="110"/>
        </w:rPr>
        <w:t> </w:t>
      </w:r>
      <w:r>
        <w:rPr>
          <w:color w:val="3B383B"/>
          <w:w w:val="110"/>
        </w:rPr>
        <w:t>to</w:t>
      </w:r>
      <w:r>
        <w:rPr>
          <w:color w:val="3B383B"/>
          <w:spacing w:val="37"/>
          <w:w w:val="110"/>
        </w:rPr>
        <w:t> </w:t>
      </w:r>
      <w:r>
        <w:rPr>
          <w:color w:val="3B383B"/>
          <w:w w:val="110"/>
        </w:rPr>
        <w:t>have reversed</w:t>
      </w:r>
      <w:r>
        <w:rPr>
          <w:color w:val="3B383B"/>
          <w:spacing w:val="7"/>
          <w:w w:val="110"/>
        </w:rPr>
        <w:t> </w:t>
      </w:r>
      <w:r>
        <w:rPr>
          <w:color w:val="3B383B"/>
          <w:w w:val="110"/>
        </w:rPr>
        <w:t>or</w:t>
      </w:r>
      <w:r>
        <w:rPr>
          <w:color w:val="3B383B"/>
          <w:spacing w:val="26"/>
          <w:w w:val="110"/>
        </w:rPr>
        <w:t> </w:t>
      </w:r>
      <w:r>
        <w:rPr>
          <w:color w:val="3B383B"/>
          <w:w w:val="110"/>
        </w:rPr>
        <w:t>hope</w:t>
      </w:r>
      <w:r>
        <w:rPr>
          <w:color w:val="3B383B"/>
          <w:spacing w:val="-1"/>
          <w:w w:val="110"/>
        </w:rPr>
        <w:t> </w:t>
      </w:r>
      <w:r>
        <w:rPr>
          <w:color w:val="3B383B"/>
          <w:w w:val="110"/>
        </w:rPr>
        <w:t>to</w:t>
      </w:r>
      <w:r>
        <w:rPr>
          <w:color w:val="3B383B"/>
          <w:spacing w:val="17"/>
          <w:w w:val="110"/>
        </w:rPr>
        <w:t> </w:t>
      </w:r>
      <w:r>
        <w:rPr>
          <w:color w:val="3B383B"/>
          <w:w w:val="110"/>
        </w:rPr>
        <w:t>have</w:t>
      </w:r>
      <w:r>
        <w:rPr>
          <w:color w:val="3B383B"/>
          <w:spacing w:val="-7"/>
          <w:w w:val="110"/>
        </w:rPr>
        <w:t> </w:t>
      </w:r>
      <w:r>
        <w:rPr>
          <w:color w:val="3B383B"/>
          <w:w w:val="110"/>
        </w:rPr>
        <w:t>affirmed.</w:t>
      </w:r>
    </w:p>
    <w:p>
      <w:pPr>
        <w:pStyle w:val="BodyText"/>
        <w:spacing w:before="2"/>
        <w:rPr>
          <w:sz w:val="33"/>
        </w:rPr>
      </w:pPr>
    </w:p>
    <w:p>
      <w:pPr>
        <w:spacing w:before="0"/>
        <w:ind w:left="487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909195"/>
          <w:w w:val="110"/>
          <w:sz w:val="28"/>
        </w:rPr>
        <w:t>2.3.1</w:t>
      </w:r>
    </w:p>
    <w:p>
      <w:pPr>
        <w:spacing w:before="44"/>
        <w:ind w:left="487" w:right="0" w:firstLine="0"/>
        <w:jc w:val="left"/>
        <w:rPr>
          <w:b/>
          <w:sz w:val="24"/>
        </w:rPr>
      </w:pPr>
      <w:r>
        <w:rPr>
          <w:rFonts w:ascii="Arial"/>
          <w:color w:val="909195"/>
          <w:sz w:val="21"/>
        </w:rPr>
        <w:t>PURPOSE</w:t>
      </w:r>
      <w:r>
        <w:rPr>
          <w:rFonts w:ascii="Arial"/>
          <w:color w:val="909195"/>
          <w:spacing w:val="-2"/>
          <w:sz w:val="21"/>
        </w:rPr>
        <w:t> </w:t>
      </w:r>
      <w:r>
        <w:rPr>
          <w:b/>
          <w:color w:val="909195"/>
          <w:sz w:val="24"/>
        </w:rPr>
        <w:t>AND</w:t>
      </w:r>
      <w:r>
        <w:rPr>
          <w:b/>
          <w:color w:val="909195"/>
          <w:spacing w:val="14"/>
          <w:sz w:val="24"/>
        </w:rPr>
        <w:t> </w:t>
      </w:r>
      <w:r>
        <w:rPr>
          <w:b/>
          <w:color w:val="909195"/>
          <w:sz w:val="24"/>
        </w:rPr>
        <w:t>MEANING</w:t>
      </w:r>
      <w:r>
        <w:rPr>
          <w:b/>
          <w:color w:val="909195"/>
          <w:spacing w:val="22"/>
          <w:sz w:val="24"/>
        </w:rPr>
        <w:t> </w:t>
      </w:r>
      <w:r>
        <w:rPr>
          <w:b/>
          <w:color w:val="909195"/>
          <w:sz w:val="24"/>
        </w:rPr>
        <w:t>Of</w:t>
      </w:r>
      <w:r>
        <w:rPr>
          <w:b/>
          <w:color w:val="909195"/>
          <w:spacing w:val="15"/>
          <w:sz w:val="24"/>
        </w:rPr>
        <w:t> </w:t>
      </w:r>
      <w:r>
        <w:rPr>
          <w:rFonts w:ascii="Arial"/>
          <w:color w:val="909195"/>
          <w:sz w:val="21"/>
        </w:rPr>
        <w:t>APPELLATE</w:t>
      </w:r>
      <w:r>
        <w:rPr>
          <w:rFonts w:ascii="Arial"/>
          <w:color w:val="909195"/>
          <w:spacing w:val="11"/>
          <w:sz w:val="21"/>
        </w:rPr>
        <w:t> </w:t>
      </w:r>
      <w:r>
        <w:rPr>
          <w:b/>
          <w:color w:val="7C7E80"/>
          <w:sz w:val="24"/>
        </w:rPr>
        <w:t>STANDARDS</w:t>
      </w:r>
    </w:p>
    <w:p>
      <w:pPr>
        <w:spacing w:before="59"/>
        <w:ind w:left="485" w:right="0" w:firstLine="0"/>
        <w:jc w:val="left"/>
        <w:rPr>
          <w:rFonts w:ascii="Arial"/>
          <w:sz w:val="21"/>
        </w:rPr>
      </w:pPr>
      <w:r>
        <w:rPr>
          <w:rFonts w:ascii="Arial"/>
          <w:b/>
          <w:color w:val="909195"/>
          <w:w w:val="105"/>
          <w:sz w:val="21"/>
        </w:rPr>
        <w:t>OF</w:t>
      </w:r>
      <w:r>
        <w:rPr>
          <w:rFonts w:ascii="Arial"/>
          <w:b/>
          <w:color w:val="909195"/>
          <w:spacing w:val="25"/>
          <w:w w:val="105"/>
          <w:sz w:val="21"/>
        </w:rPr>
        <w:t> </w:t>
      </w:r>
      <w:r>
        <w:rPr>
          <w:rFonts w:ascii="Arial"/>
          <w:color w:val="909195"/>
          <w:w w:val="105"/>
          <w:sz w:val="21"/>
        </w:rPr>
        <w:t>REVIEW</w:t>
      </w:r>
    </w:p>
    <w:p>
      <w:pPr>
        <w:pStyle w:val="BodyText"/>
        <w:spacing w:line="235" w:lineRule="auto" w:before="140"/>
        <w:ind w:left="110" w:right="196" w:firstLine="372"/>
        <w:jc w:val="both"/>
      </w:pPr>
      <w:r>
        <w:rPr>
          <w:color w:val="3B383B"/>
          <w:w w:val="115"/>
        </w:rPr>
        <w:t>Various public policies support the competing appellate standards of</w:t>
      </w:r>
      <w:r>
        <w:rPr>
          <w:color w:val="3B383B"/>
          <w:spacing w:val="-64"/>
          <w:w w:val="115"/>
        </w:rPr>
        <w:t> </w:t>
      </w:r>
      <w:r>
        <w:rPr>
          <w:color w:val="3B383B"/>
          <w:w w:val="110"/>
        </w:rPr>
        <w:t>review</w:t>
      </w:r>
      <w:r>
        <w:rPr>
          <w:color w:val="231F1F"/>
          <w:w w:val="110"/>
        </w:rPr>
        <w:t>.</w:t>
      </w:r>
      <w:r>
        <w:rPr>
          <w:color w:val="3B383B"/>
          <w:w w:val="110"/>
          <w:vertAlign w:val="superscript"/>
        </w:rPr>
        <w:t>11</w:t>
      </w:r>
      <w:r>
        <w:rPr>
          <w:color w:val="3B383B"/>
          <w:w w:val="110"/>
          <w:vertAlign w:val="baseline"/>
        </w:rPr>
        <w:t> Appellate courts use a low deference appellate standard of review</w:t>
      </w:r>
      <w:r>
        <w:rPr>
          <w:color w:val="3B383B"/>
          <w:spacing w:val="-61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for decisions about the law because they believe that those who must use</w:t>
      </w:r>
      <w:r>
        <w:rPr>
          <w:color w:val="3B383B"/>
          <w:spacing w:val="1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the law benefit from uniformity</w:t>
      </w:r>
      <w:r>
        <w:rPr>
          <w:color w:val="5B5B5D"/>
          <w:w w:val="110"/>
          <w:vertAlign w:val="baseline"/>
        </w:rPr>
        <w:t>.</w:t>
      </w:r>
      <w:r>
        <w:rPr>
          <w:rFonts w:ascii="Arial"/>
          <w:color w:val="3B383B"/>
          <w:w w:val="110"/>
          <w:position w:val="9"/>
          <w:sz w:val="12"/>
          <w:vertAlign w:val="baseline"/>
        </w:rPr>
        <w:t>12 </w:t>
      </w:r>
      <w:r>
        <w:rPr>
          <w:color w:val="3B383B"/>
          <w:w w:val="110"/>
          <w:vertAlign w:val="baseline"/>
        </w:rPr>
        <w:t>Low deference standards give reviewing</w:t>
      </w:r>
      <w:r>
        <w:rPr>
          <w:color w:val="3B383B"/>
          <w:spacing w:val="1"/>
          <w:w w:val="110"/>
          <w:vertAlign w:val="baseline"/>
        </w:rPr>
        <w:t> </w:t>
      </w:r>
      <w:r>
        <w:rPr>
          <w:color w:val="3B383B"/>
          <w:w w:val="115"/>
          <w:vertAlign w:val="baseline"/>
        </w:rPr>
        <w:t>courts an opportunity to create a consistent body of law, which may be</w:t>
      </w:r>
      <w:r>
        <w:rPr>
          <w:color w:val="3B383B"/>
          <w:spacing w:val="1"/>
          <w:w w:val="115"/>
          <w:vertAlign w:val="baseline"/>
        </w:rPr>
        <w:t> </w:t>
      </w:r>
      <w:r>
        <w:rPr>
          <w:color w:val="3B383B"/>
          <w:w w:val="110"/>
          <w:vertAlign w:val="baseline"/>
        </w:rPr>
        <w:t>particularly important for issues of constitutional rights.</w:t>
      </w:r>
      <w:r>
        <w:rPr>
          <w:color w:val="3B383B"/>
          <w:w w:val="110"/>
          <w:vertAlign w:val="superscript"/>
        </w:rPr>
        <w:t>13</w:t>
      </w:r>
      <w:r>
        <w:rPr>
          <w:color w:val="3B383B"/>
          <w:w w:val="110"/>
          <w:vertAlign w:val="baseline"/>
        </w:rPr>
        <w:t> In fact, when a</w:t>
      </w:r>
      <w:r>
        <w:rPr>
          <w:color w:val="3B383B"/>
          <w:spacing w:val="1"/>
          <w:w w:val="110"/>
          <w:vertAlign w:val="baseline"/>
        </w:rPr>
        <w:t> </w:t>
      </w:r>
      <w:r>
        <w:rPr>
          <w:color w:val="3B383B"/>
          <w:w w:val="115"/>
          <w:vertAlign w:val="baseline"/>
        </w:rPr>
        <w:t>constitutional issue is involved, courts may decide to substitute the low</w:t>
      </w:r>
      <w:r>
        <w:rPr>
          <w:color w:val="3B383B"/>
          <w:spacing w:val="1"/>
          <w:w w:val="115"/>
          <w:vertAlign w:val="baseline"/>
        </w:rPr>
        <w:t> </w:t>
      </w:r>
      <w:r>
        <w:rPr>
          <w:color w:val="3B383B"/>
          <w:w w:val="115"/>
          <w:vertAlign w:val="baseline"/>
        </w:rPr>
        <w:t>deference de novo standard for a higher deference standard that might</w:t>
      </w:r>
      <w:r>
        <w:rPr>
          <w:color w:val="3B383B"/>
          <w:spacing w:val="1"/>
          <w:w w:val="115"/>
          <w:vertAlign w:val="baseline"/>
        </w:rPr>
        <w:t> </w:t>
      </w:r>
      <w:r>
        <w:rPr>
          <w:color w:val="3B383B"/>
          <w:w w:val="110"/>
          <w:vertAlign w:val="baseline"/>
        </w:rPr>
        <w:t>normally</w:t>
      </w:r>
      <w:r>
        <w:rPr>
          <w:color w:val="3B383B"/>
          <w:spacing w:val="6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be</w:t>
      </w:r>
      <w:r>
        <w:rPr>
          <w:color w:val="3B383B"/>
          <w:spacing w:val="-15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appropriate</w:t>
      </w:r>
      <w:r>
        <w:rPr>
          <w:color w:val="3B383B"/>
          <w:spacing w:val="3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for</w:t>
      </w:r>
      <w:r>
        <w:rPr>
          <w:color w:val="3B383B"/>
          <w:spacing w:val="-15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a</w:t>
      </w:r>
      <w:r>
        <w:rPr>
          <w:color w:val="3B383B"/>
          <w:spacing w:val="-5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given</w:t>
      </w:r>
      <w:r>
        <w:rPr>
          <w:color w:val="3B383B"/>
          <w:spacing w:val="-7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issue.</w:t>
      </w:r>
      <w:r>
        <w:rPr>
          <w:color w:val="3B383B"/>
          <w:w w:val="110"/>
          <w:vertAlign w:val="superscript"/>
        </w:rPr>
        <w:t>14</w:t>
      </w:r>
    </w:p>
    <w:p>
      <w:pPr>
        <w:pStyle w:val="BodyText"/>
        <w:spacing w:line="232" w:lineRule="auto"/>
        <w:ind w:left="110" w:right="168" w:firstLine="382"/>
        <w:jc w:val="both"/>
      </w:pPr>
      <w:r>
        <w:rPr>
          <w:color w:val="3B383B"/>
          <w:w w:val="110"/>
        </w:rPr>
        <w:t>A high-deference appellate standard of review promotes judicial econ</w:t>
      </w:r>
      <w:r>
        <w:rPr>
          <w:color w:val="231F1F"/>
          <w:w w:val="110"/>
        </w:rPr>
        <w:t>­</w:t>
      </w:r>
      <w:r>
        <w:rPr>
          <w:color w:val="231F1F"/>
          <w:spacing w:val="1"/>
          <w:w w:val="110"/>
        </w:rPr>
        <w:t> </w:t>
      </w:r>
      <w:r>
        <w:rPr>
          <w:color w:val="3B383B"/>
          <w:w w:val="110"/>
        </w:rPr>
        <w:t>omy and  finality of certain  types of  decisions</w:t>
      </w:r>
      <w:r>
        <w:rPr>
          <w:color w:val="5B5B5D"/>
          <w:w w:val="110"/>
        </w:rPr>
        <w:t>. </w:t>
      </w:r>
      <w:r>
        <w:rPr>
          <w:color w:val="3B383B"/>
          <w:w w:val="110"/>
        </w:rPr>
        <w:t>A high-deference standard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is also based on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premise that the trial court is in the best position to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understand evidence</w:t>
      </w:r>
      <w:r>
        <w:rPr>
          <w:color w:val="231F1F"/>
          <w:w w:val="110"/>
        </w:rPr>
        <w:t>. </w:t>
      </w:r>
      <w:r>
        <w:rPr>
          <w:color w:val="3B383B"/>
          <w:w w:val="110"/>
        </w:rPr>
        <w:t>Particularly in the case of witness testimony, a trial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5"/>
        </w:rPr>
        <w:t>court judge or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jury has an opportunity that the court of appeals doesn't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0"/>
        </w:rPr>
        <w:t>have. The judge or </w:t>
      </w:r>
      <w:r>
        <w:rPr>
          <w:rFonts w:ascii="Arial" w:hAnsi="Arial"/>
          <w:color w:val="3B383B"/>
          <w:w w:val="110"/>
          <w:sz w:val="21"/>
        </w:rPr>
        <w:t>jury </w:t>
      </w:r>
      <w:r>
        <w:rPr>
          <w:color w:val="3B383B"/>
          <w:w w:val="110"/>
        </w:rPr>
        <w:t>can observe the witnesses' demeanor, their tone of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voice, and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their body language, and use its best judgment based on those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intangibles</w:t>
      </w:r>
      <w:r>
        <w:rPr>
          <w:color w:val="3B383B"/>
          <w:spacing w:val="6"/>
          <w:w w:val="110"/>
        </w:rPr>
        <w:t> </w:t>
      </w:r>
      <w:r>
        <w:rPr>
          <w:color w:val="3B383B"/>
          <w:w w:val="110"/>
        </w:rPr>
        <w:t>when</w:t>
      </w:r>
      <w:r>
        <w:rPr>
          <w:color w:val="3B383B"/>
          <w:spacing w:val="8"/>
          <w:w w:val="110"/>
        </w:rPr>
        <w:t> </w:t>
      </w:r>
      <w:r>
        <w:rPr>
          <w:color w:val="3B383B"/>
          <w:w w:val="110"/>
        </w:rPr>
        <w:t>it</w:t>
      </w:r>
      <w:r>
        <w:rPr>
          <w:color w:val="3B383B"/>
          <w:spacing w:val="6"/>
          <w:w w:val="110"/>
        </w:rPr>
        <w:t> </w:t>
      </w:r>
      <w:r>
        <w:rPr>
          <w:color w:val="3B383B"/>
          <w:w w:val="110"/>
        </w:rPr>
        <w:t>makes findings</w:t>
      </w:r>
      <w:r>
        <w:rPr>
          <w:color w:val="3B383B"/>
          <w:spacing w:val="-18"/>
          <w:w w:val="110"/>
        </w:rPr>
        <w:t> </w:t>
      </w:r>
      <w:r>
        <w:rPr>
          <w:color w:val="3B383B"/>
          <w:w w:val="110"/>
        </w:rPr>
        <w:t>of</w:t>
      </w:r>
      <w:r>
        <w:rPr>
          <w:color w:val="3B383B"/>
          <w:spacing w:val="7"/>
          <w:w w:val="110"/>
        </w:rPr>
        <w:t> </w:t>
      </w:r>
      <w:r>
        <w:rPr>
          <w:color w:val="3B383B"/>
          <w:w w:val="110"/>
        </w:rPr>
        <w:t>fact</w:t>
      </w:r>
      <w:r>
        <w:rPr>
          <w:color w:val="5B5B5D"/>
          <w:w w:val="110"/>
        </w:rPr>
        <w:t>.</w:t>
      </w:r>
    </w:p>
    <w:p>
      <w:pPr>
        <w:pStyle w:val="BodyText"/>
        <w:spacing w:before="7"/>
        <w:rPr>
          <w:sz w:val="32"/>
        </w:rPr>
      </w:pPr>
    </w:p>
    <w:p>
      <w:pPr>
        <w:spacing w:line="228" w:lineRule="auto" w:before="1"/>
        <w:ind w:left="109" w:right="144" w:firstLine="383"/>
        <w:jc w:val="right"/>
        <w:rPr>
          <w:rFonts w:ascii="Arial"/>
          <w:i/>
          <w:sz w:val="16"/>
        </w:rPr>
      </w:pPr>
      <w:r>
        <w:rPr>
          <w:rFonts w:ascii="Arial"/>
          <w:color w:val="3B383B"/>
          <w:w w:val="105"/>
          <w:position w:val="6"/>
          <w:sz w:val="10"/>
        </w:rPr>
        <w:t>11</w:t>
      </w:r>
      <w:r>
        <w:rPr>
          <w:rFonts w:ascii="Arial"/>
          <w:color w:val="3B383B"/>
          <w:spacing w:val="-11"/>
          <w:w w:val="105"/>
          <w:position w:val="6"/>
          <w:sz w:val="10"/>
        </w:rPr>
        <w:t> </w:t>
      </w:r>
      <w:r>
        <w:rPr>
          <w:color w:val="3B383B"/>
          <w:w w:val="105"/>
          <w:sz w:val="18"/>
        </w:rPr>
        <w:t>For</w:t>
      </w:r>
      <w:r>
        <w:rPr>
          <w:color w:val="3B383B"/>
          <w:spacing w:val="4"/>
          <w:w w:val="105"/>
          <w:sz w:val="18"/>
        </w:rPr>
        <w:t> </w:t>
      </w:r>
      <w:r>
        <w:rPr>
          <w:color w:val="3B383B"/>
          <w:w w:val="105"/>
          <w:sz w:val="18"/>
        </w:rPr>
        <w:t>an</w:t>
      </w:r>
      <w:r>
        <w:rPr>
          <w:color w:val="3B383B"/>
          <w:spacing w:val="32"/>
          <w:w w:val="105"/>
          <w:sz w:val="18"/>
        </w:rPr>
        <w:t> </w:t>
      </w:r>
      <w:r>
        <w:rPr>
          <w:color w:val="3B383B"/>
          <w:w w:val="105"/>
          <w:sz w:val="18"/>
        </w:rPr>
        <w:t>Interesting</w:t>
      </w:r>
      <w:r>
        <w:rPr>
          <w:color w:val="3B383B"/>
          <w:spacing w:val="9"/>
          <w:w w:val="105"/>
          <w:sz w:val="18"/>
        </w:rPr>
        <w:t> </w:t>
      </w:r>
      <w:r>
        <w:rPr>
          <w:color w:val="3B383B"/>
          <w:w w:val="105"/>
          <w:sz w:val="18"/>
        </w:rPr>
        <w:t>d</w:t>
      </w:r>
      <w:r>
        <w:rPr>
          <w:color w:val="5B5B5D"/>
          <w:w w:val="105"/>
          <w:sz w:val="18"/>
        </w:rPr>
        <w:t>i</w:t>
      </w:r>
      <w:r>
        <w:rPr>
          <w:color w:val="3B383B"/>
          <w:w w:val="105"/>
          <w:sz w:val="18"/>
        </w:rPr>
        <w:t>scus</w:t>
      </w:r>
      <w:r>
        <w:rPr>
          <w:color w:val="5B5B5D"/>
          <w:w w:val="105"/>
          <w:sz w:val="18"/>
        </w:rPr>
        <w:t>s</w:t>
      </w:r>
      <w:r>
        <w:rPr>
          <w:color w:val="3B383B"/>
          <w:w w:val="105"/>
          <w:sz w:val="18"/>
        </w:rPr>
        <w:t>ion</w:t>
      </w:r>
      <w:r>
        <w:rPr>
          <w:color w:val="3B383B"/>
          <w:spacing w:val="43"/>
          <w:w w:val="105"/>
          <w:sz w:val="18"/>
        </w:rPr>
        <w:t> </w:t>
      </w:r>
      <w:r>
        <w:rPr>
          <w:color w:val="3B383B"/>
          <w:w w:val="105"/>
          <w:sz w:val="18"/>
        </w:rPr>
        <w:t>of</w:t>
      </w:r>
      <w:r>
        <w:rPr>
          <w:color w:val="3B383B"/>
          <w:spacing w:val="40"/>
          <w:w w:val="105"/>
          <w:sz w:val="18"/>
        </w:rPr>
        <w:t> </w:t>
      </w:r>
      <w:r>
        <w:rPr>
          <w:color w:val="3B383B"/>
          <w:w w:val="105"/>
          <w:sz w:val="18"/>
        </w:rPr>
        <w:t>the</w:t>
      </w:r>
      <w:r>
        <w:rPr>
          <w:color w:val="3B383B"/>
          <w:spacing w:val="33"/>
          <w:w w:val="105"/>
          <w:sz w:val="18"/>
        </w:rPr>
        <w:t> </w:t>
      </w:r>
      <w:r>
        <w:rPr>
          <w:color w:val="3B383B"/>
          <w:w w:val="105"/>
          <w:sz w:val="18"/>
        </w:rPr>
        <w:t>policies</w:t>
      </w:r>
      <w:r>
        <w:rPr>
          <w:color w:val="3B383B"/>
          <w:spacing w:val="17"/>
          <w:w w:val="105"/>
          <w:sz w:val="18"/>
        </w:rPr>
        <w:t> </w:t>
      </w:r>
      <w:r>
        <w:rPr>
          <w:color w:val="3B383B"/>
          <w:w w:val="105"/>
          <w:sz w:val="18"/>
        </w:rPr>
        <w:t>behind</w:t>
      </w:r>
      <w:r>
        <w:rPr>
          <w:color w:val="3B383B"/>
          <w:spacing w:val="22"/>
          <w:w w:val="105"/>
          <w:sz w:val="18"/>
        </w:rPr>
        <w:t> </w:t>
      </w:r>
      <w:r>
        <w:rPr>
          <w:color w:val="3B383B"/>
          <w:w w:val="105"/>
          <w:sz w:val="18"/>
        </w:rPr>
        <w:t>certain</w:t>
      </w:r>
      <w:r>
        <w:rPr>
          <w:color w:val="3B383B"/>
          <w:spacing w:val="27"/>
          <w:w w:val="105"/>
          <w:sz w:val="18"/>
        </w:rPr>
        <w:t> </w:t>
      </w:r>
      <w:r>
        <w:rPr>
          <w:color w:val="3B383B"/>
          <w:w w:val="105"/>
          <w:sz w:val="18"/>
        </w:rPr>
        <w:t>appellate</w:t>
      </w:r>
      <w:r>
        <w:rPr>
          <w:color w:val="3B383B"/>
          <w:spacing w:val="24"/>
          <w:w w:val="105"/>
          <w:sz w:val="18"/>
        </w:rPr>
        <w:t> </w:t>
      </w:r>
      <w:r>
        <w:rPr>
          <w:color w:val="3B383B"/>
          <w:w w:val="105"/>
          <w:sz w:val="18"/>
        </w:rPr>
        <w:t>standards</w:t>
      </w:r>
      <w:r>
        <w:rPr>
          <w:color w:val="3B383B"/>
          <w:spacing w:val="8"/>
          <w:w w:val="105"/>
          <w:sz w:val="18"/>
        </w:rPr>
        <w:t> </w:t>
      </w:r>
      <w:r>
        <w:rPr>
          <w:color w:val="3B383B"/>
          <w:w w:val="105"/>
          <w:sz w:val="18"/>
        </w:rPr>
        <w:t>of</w:t>
      </w:r>
      <w:r>
        <w:rPr>
          <w:color w:val="3B383B"/>
          <w:spacing w:val="41"/>
          <w:w w:val="105"/>
          <w:sz w:val="18"/>
        </w:rPr>
        <w:t> </w:t>
      </w:r>
      <w:r>
        <w:rPr>
          <w:color w:val="3B383B"/>
          <w:w w:val="105"/>
          <w:sz w:val="18"/>
        </w:rPr>
        <w:t>revtew,</w:t>
      </w:r>
      <w:r>
        <w:rPr>
          <w:color w:val="3B383B"/>
          <w:spacing w:val="1"/>
          <w:w w:val="105"/>
          <w:sz w:val="18"/>
        </w:rPr>
        <w:t> </w:t>
      </w:r>
      <w:r>
        <w:rPr>
          <w:color w:val="3B383B"/>
          <w:spacing w:val="-1"/>
          <w:w w:val="105"/>
          <w:sz w:val="18"/>
        </w:rPr>
        <w:t>see</w:t>
      </w:r>
      <w:r>
        <w:rPr>
          <w:color w:val="3B383B"/>
          <w:spacing w:val="-14"/>
          <w:w w:val="105"/>
          <w:sz w:val="18"/>
        </w:rPr>
        <w:t> </w:t>
      </w:r>
      <w:r>
        <w:rPr>
          <w:color w:val="3B383B"/>
          <w:spacing w:val="-1"/>
          <w:w w:val="105"/>
          <w:sz w:val="18"/>
        </w:rPr>
        <w:t>Michael</w:t>
      </w:r>
      <w:r>
        <w:rPr>
          <w:color w:val="3B383B"/>
          <w:spacing w:val="-7"/>
          <w:w w:val="105"/>
          <w:sz w:val="18"/>
        </w:rPr>
        <w:t> </w:t>
      </w:r>
      <w:r>
        <w:rPr>
          <w:color w:val="3B383B"/>
          <w:spacing w:val="-1"/>
          <w:w w:val="105"/>
          <w:sz w:val="18"/>
        </w:rPr>
        <w:t>R.</w:t>
      </w:r>
      <w:r>
        <w:rPr>
          <w:color w:val="3B383B"/>
          <w:spacing w:val="-3"/>
          <w:w w:val="105"/>
          <w:sz w:val="18"/>
        </w:rPr>
        <w:t> </w:t>
      </w:r>
      <w:r>
        <w:rPr>
          <w:color w:val="3B383B"/>
          <w:spacing w:val="-1"/>
          <w:w w:val="105"/>
          <w:sz w:val="18"/>
        </w:rPr>
        <w:t>Bosse,</w:t>
      </w:r>
      <w:r>
        <w:rPr>
          <w:color w:val="3B383B"/>
          <w:spacing w:val="-21"/>
          <w:w w:val="105"/>
          <w:sz w:val="18"/>
        </w:rPr>
        <w:t> </w:t>
      </w:r>
      <w:r>
        <w:rPr>
          <w:rFonts w:ascii="Arial"/>
          <w:i/>
          <w:color w:val="3B383B"/>
          <w:spacing w:val="-1"/>
          <w:w w:val="105"/>
          <w:sz w:val="16"/>
        </w:rPr>
        <w:t>Standard</w:t>
      </w:r>
      <w:r>
        <w:rPr>
          <w:rFonts w:ascii="Arial"/>
          <w:i/>
          <w:color w:val="5B5B5D"/>
          <w:spacing w:val="-1"/>
          <w:w w:val="105"/>
          <w:sz w:val="16"/>
        </w:rPr>
        <w:t>s</w:t>
      </w:r>
      <w:r>
        <w:rPr>
          <w:rFonts w:ascii="Arial"/>
          <w:i/>
          <w:color w:val="5B5B5D"/>
          <w:spacing w:val="-8"/>
          <w:w w:val="105"/>
          <w:sz w:val="16"/>
        </w:rPr>
        <w:t> </w:t>
      </w:r>
      <w:r>
        <w:rPr>
          <w:rFonts w:ascii="Arial"/>
          <w:i/>
          <w:color w:val="3B383B"/>
          <w:spacing w:val="-1"/>
          <w:w w:val="105"/>
          <w:sz w:val="16"/>
        </w:rPr>
        <w:t>of</w:t>
      </w:r>
      <w:r>
        <w:rPr>
          <w:rFonts w:ascii="Arial"/>
          <w:i/>
          <w:color w:val="3B383B"/>
          <w:spacing w:val="-11"/>
          <w:w w:val="105"/>
          <w:sz w:val="16"/>
        </w:rPr>
        <w:t> </w:t>
      </w:r>
      <w:r>
        <w:rPr>
          <w:rFonts w:ascii="Arial"/>
          <w:i/>
          <w:color w:val="3B383B"/>
          <w:spacing w:val="-1"/>
          <w:w w:val="105"/>
          <w:sz w:val="16"/>
        </w:rPr>
        <w:t>Review:</w:t>
      </w:r>
      <w:r>
        <w:rPr>
          <w:rFonts w:ascii="Arial"/>
          <w:i/>
          <w:color w:val="3B383B"/>
          <w:spacing w:val="-19"/>
          <w:w w:val="105"/>
          <w:sz w:val="16"/>
        </w:rPr>
        <w:t> </w:t>
      </w:r>
      <w:r>
        <w:rPr>
          <w:rFonts w:ascii="Arial"/>
          <w:i/>
          <w:color w:val="3B383B"/>
          <w:w w:val="105"/>
          <w:sz w:val="16"/>
        </w:rPr>
        <w:t>T/1e</w:t>
      </w:r>
      <w:r>
        <w:rPr>
          <w:rFonts w:ascii="Arial"/>
          <w:i/>
          <w:color w:val="3B383B"/>
          <w:spacing w:val="-32"/>
          <w:w w:val="105"/>
          <w:sz w:val="16"/>
        </w:rPr>
        <w:t> </w:t>
      </w:r>
      <w:r>
        <w:rPr>
          <w:rFonts w:ascii="Arial"/>
          <w:i/>
          <w:color w:val="3B383B"/>
          <w:w w:val="105"/>
          <w:sz w:val="16"/>
        </w:rPr>
        <w:t>Meanir,g</w:t>
      </w:r>
      <w:r>
        <w:rPr>
          <w:rFonts w:ascii="Arial"/>
          <w:i/>
          <w:color w:val="3B383B"/>
          <w:spacing w:val="-15"/>
          <w:w w:val="105"/>
          <w:sz w:val="16"/>
        </w:rPr>
        <w:t> </w:t>
      </w:r>
      <w:r>
        <w:rPr>
          <w:rFonts w:ascii="Arial"/>
          <w:i/>
          <w:color w:val="3B383B"/>
          <w:w w:val="105"/>
          <w:sz w:val="16"/>
        </w:rPr>
        <w:t>of</w:t>
      </w:r>
      <w:r>
        <w:rPr>
          <w:rFonts w:ascii="Arial"/>
          <w:i/>
          <w:color w:val="3B383B"/>
          <w:spacing w:val="-8"/>
          <w:w w:val="105"/>
          <w:sz w:val="16"/>
        </w:rPr>
        <w:t> </w:t>
      </w:r>
      <w:r>
        <w:rPr>
          <w:rFonts w:ascii="Arial"/>
          <w:i/>
          <w:color w:val="3B383B"/>
          <w:w w:val="105"/>
          <w:sz w:val="16"/>
        </w:rPr>
        <w:t>Words,</w:t>
      </w:r>
      <w:r>
        <w:rPr>
          <w:rFonts w:ascii="Arial"/>
          <w:i/>
          <w:color w:val="3B383B"/>
          <w:spacing w:val="-9"/>
          <w:w w:val="105"/>
          <w:sz w:val="16"/>
        </w:rPr>
        <w:t> </w:t>
      </w:r>
      <w:r>
        <w:rPr>
          <w:color w:val="3B383B"/>
          <w:w w:val="105"/>
          <w:sz w:val="18"/>
        </w:rPr>
        <w:t>49</w:t>
      </w:r>
      <w:r>
        <w:rPr>
          <w:color w:val="3B383B"/>
          <w:spacing w:val="2"/>
          <w:w w:val="105"/>
          <w:sz w:val="18"/>
        </w:rPr>
        <w:t> </w:t>
      </w:r>
      <w:r>
        <w:rPr>
          <w:color w:val="3B383B"/>
          <w:w w:val="105"/>
          <w:sz w:val="18"/>
        </w:rPr>
        <w:t>Me.</w:t>
      </w:r>
      <w:r>
        <w:rPr>
          <w:color w:val="3B383B"/>
          <w:spacing w:val="-13"/>
          <w:w w:val="105"/>
          <w:sz w:val="18"/>
        </w:rPr>
        <w:t> </w:t>
      </w:r>
      <w:r>
        <w:rPr>
          <w:color w:val="3B383B"/>
          <w:w w:val="105"/>
          <w:sz w:val="18"/>
        </w:rPr>
        <w:t>L.</w:t>
      </w:r>
      <w:r>
        <w:rPr>
          <w:color w:val="3B383B"/>
          <w:spacing w:val="-14"/>
          <w:w w:val="105"/>
          <w:sz w:val="18"/>
        </w:rPr>
        <w:t> </w:t>
      </w:r>
      <w:r>
        <w:rPr>
          <w:color w:val="3B383B"/>
          <w:w w:val="105"/>
          <w:sz w:val="18"/>
        </w:rPr>
        <w:t>Rev.</w:t>
      </w:r>
      <w:r>
        <w:rPr>
          <w:color w:val="3B383B"/>
          <w:spacing w:val="-21"/>
          <w:w w:val="105"/>
          <w:sz w:val="18"/>
        </w:rPr>
        <w:t> </w:t>
      </w:r>
      <w:r>
        <w:rPr>
          <w:color w:val="3B383B"/>
          <w:w w:val="105"/>
          <w:sz w:val="18"/>
        </w:rPr>
        <w:t>367,</w:t>
      </w:r>
      <w:r>
        <w:rPr>
          <w:color w:val="3B383B"/>
          <w:spacing w:val="-22"/>
          <w:w w:val="105"/>
          <w:sz w:val="18"/>
        </w:rPr>
        <w:t> </w:t>
      </w:r>
      <w:r>
        <w:rPr>
          <w:color w:val="3B383B"/>
          <w:w w:val="105"/>
          <w:sz w:val="18"/>
        </w:rPr>
        <w:t>374-84</w:t>
      </w:r>
      <w:r>
        <w:rPr>
          <w:color w:val="3B383B"/>
          <w:spacing w:val="-3"/>
          <w:w w:val="105"/>
          <w:sz w:val="18"/>
        </w:rPr>
        <w:t> </w:t>
      </w:r>
      <w:r>
        <w:rPr>
          <w:color w:val="3B383B"/>
          <w:w w:val="105"/>
          <w:sz w:val="18"/>
        </w:rPr>
        <w:t>(1997).</w:t>
      </w:r>
      <w:r>
        <w:rPr>
          <w:color w:val="3B383B"/>
          <w:spacing w:val="1"/>
          <w:w w:val="105"/>
          <w:sz w:val="18"/>
        </w:rPr>
        <w:t> </w:t>
      </w:r>
      <w:r>
        <w:rPr>
          <w:color w:val="3B383B"/>
          <w:w w:val="105"/>
          <w:position w:val="6"/>
          <w:sz w:val="11"/>
        </w:rPr>
        <w:t>12</w:t>
      </w:r>
      <w:r>
        <w:rPr>
          <w:rFonts w:ascii="Arial"/>
          <w:i/>
          <w:color w:val="3B383B"/>
          <w:w w:val="105"/>
          <w:sz w:val="16"/>
        </w:rPr>
        <w:t>See</w:t>
      </w:r>
      <w:r>
        <w:rPr>
          <w:rFonts w:ascii="Arial"/>
          <w:i/>
          <w:color w:val="5B5B5D"/>
          <w:w w:val="105"/>
          <w:sz w:val="16"/>
        </w:rPr>
        <w:t>,</w:t>
      </w:r>
      <w:r>
        <w:rPr>
          <w:rFonts w:ascii="Arial"/>
          <w:i/>
          <w:color w:val="5B5B5D"/>
          <w:spacing w:val="-2"/>
          <w:w w:val="105"/>
          <w:sz w:val="16"/>
        </w:rPr>
        <w:t> </w:t>
      </w:r>
      <w:r>
        <w:rPr>
          <w:rFonts w:ascii="Arial"/>
          <w:i/>
          <w:color w:val="3B383B"/>
          <w:w w:val="105"/>
          <w:sz w:val="16"/>
        </w:rPr>
        <w:t>e.g.,</w:t>
      </w:r>
      <w:r>
        <w:rPr>
          <w:rFonts w:ascii="Arial"/>
          <w:i/>
          <w:color w:val="3B383B"/>
          <w:spacing w:val="-24"/>
          <w:w w:val="105"/>
          <w:sz w:val="16"/>
        </w:rPr>
        <w:t> </w:t>
      </w:r>
      <w:r>
        <w:rPr>
          <w:rFonts w:ascii="Arial"/>
          <w:i/>
          <w:color w:val="3B383B"/>
          <w:w w:val="105"/>
          <w:sz w:val="16"/>
        </w:rPr>
        <w:t>Cooper</w:t>
      </w:r>
      <w:r>
        <w:rPr>
          <w:rFonts w:ascii="Arial"/>
          <w:i/>
          <w:color w:val="3B383B"/>
          <w:spacing w:val="-4"/>
          <w:w w:val="105"/>
          <w:sz w:val="16"/>
        </w:rPr>
        <w:t> </w:t>
      </w:r>
      <w:r>
        <w:rPr>
          <w:rFonts w:ascii="Arial"/>
          <w:i/>
          <w:color w:val="3B383B"/>
          <w:w w:val="105"/>
          <w:sz w:val="16"/>
        </w:rPr>
        <w:t>Indus</w:t>
      </w:r>
      <w:r>
        <w:rPr>
          <w:rFonts w:ascii="Arial"/>
          <w:i/>
          <w:color w:val="5B5B5D"/>
          <w:w w:val="105"/>
          <w:sz w:val="16"/>
        </w:rPr>
        <w:t>.</w:t>
      </w:r>
      <w:r>
        <w:rPr>
          <w:rFonts w:ascii="Arial"/>
          <w:i/>
          <w:color w:val="3B383B"/>
          <w:w w:val="105"/>
          <w:sz w:val="16"/>
        </w:rPr>
        <w:t>,</w:t>
      </w:r>
      <w:r>
        <w:rPr>
          <w:rFonts w:ascii="Arial"/>
          <w:i/>
          <w:color w:val="3B383B"/>
          <w:spacing w:val="7"/>
          <w:w w:val="105"/>
          <w:sz w:val="16"/>
        </w:rPr>
        <w:t> </w:t>
      </w:r>
      <w:r>
        <w:rPr>
          <w:rFonts w:ascii="Arial"/>
          <w:i/>
          <w:color w:val="3B383B"/>
          <w:w w:val="105"/>
          <w:sz w:val="16"/>
        </w:rPr>
        <w:t>In</w:t>
      </w:r>
      <w:r>
        <w:rPr>
          <w:rFonts w:ascii="Arial"/>
          <w:i/>
          <w:color w:val="5B5B5D"/>
          <w:w w:val="105"/>
          <w:sz w:val="16"/>
        </w:rPr>
        <w:t>c</w:t>
      </w:r>
      <w:r>
        <w:rPr>
          <w:rFonts w:ascii="Arial"/>
          <w:i/>
          <w:color w:val="3B383B"/>
          <w:w w:val="105"/>
          <w:sz w:val="16"/>
        </w:rPr>
        <w:t>.</w:t>
      </w:r>
      <w:r>
        <w:rPr>
          <w:rFonts w:ascii="Arial"/>
          <w:i/>
          <w:color w:val="3B383B"/>
          <w:spacing w:val="-6"/>
          <w:w w:val="105"/>
          <w:sz w:val="16"/>
        </w:rPr>
        <w:t> </w:t>
      </w:r>
      <w:r>
        <w:rPr>
          <w:rFonts w:ascii="Arial"/>
          <w:i/>
          <w:color w:val="3B383B"/>
          <w:w w:val="105"/>
          <w:sz w:val="16"/>
        </w:rPr>
        <w:t>v.</w:t>
      </w:r>
      <w:r>
        <w:rPr>
          <w:rFonts w:ascii="Arial"/>
          <w:i/>
          <w:color w:val="3B383B"/>
          <w:spacing w:val="-12"/>
          <w:w w:val="105"/>
          <w:sz w:val="16"/>
        </w:rPr>
        <w:t> </w:t>
      </w:r>
      <w:r>
        <w:rPr>
          <w:rFonts w:ascii="Arial"/>
          <w:i/>
          <w:color w:val="3B383B"/>
          <w:w w:val="105"/>
          <w:sz w:val="16"/>
        </w:rPr>
        <w:t>Leatllennan</w:t>
      </w:r>
      <w:r>
        <w:rPr>
          <w:rFonts w:ascii="Arial"/>
          <w:i/>
          <w:color w:val="3B383B"/>
          <w:spacing w:val="-4"/>
          <w:w w:val="105"/>
          <w:sz w:val="16"/>
        </w:rPr>
        <w:t> </w:t>
      </w:r>
      <w:r>
        <w:rPr>
          <w:rFonts w:ascii="Arial"/>
          <w:i/>
          <w:color w:val="3B383B"/>
          <w:w w:val="105"/>
          <w:sz w:val="16"/>
        </w:rPr>
        <w:t>Tool</w:t>
      </w:r>
      <w:r>
        <w:rPr>
          <w:rFonts w:ascii="Arial"/>
          <w:i/>
          <w:color w:val="3B383B"/>
          <w:spacing w:val="-12"/>
          <w:w w:val="105"/>
          <w:sz w:val="16"/>
        </w:rPr>
        <w:t> </w:t>
      </w:r>
      <w:r>
        <w:rPr>
          <w:rFonts w:ascii="Arial"/>
          <w:i/>
          <w:color w:val="3B383B"/>
          <w:w w:val="105"/>
          <w:sz w:val="16"/>
        </w:rPr>
        <w:t>Group,</w:t>
      </w:r>
      <w:r>
        <w:rPr>
          <w:rFonts w:ascii="Arial"/>
          <w:i/>
          <w:color w:val="3B383B"/>
          <w:spacing w:val="-5"/>
          <w:w w:val="105"/>
          <w:sz w:val="16"/>
        </w:rPr>
        <w:t> </w:t>
      </w:r>
      <w:r>
        <w:rPr>
          <w:rFonts w:ascii="Arial"/>
          <w:i/>
          <w:color w:val="3B383B"/>
          <w:w w:val="105"/>
          <w:sz w:val="16"/>
        </w:rPr>
        <w:t>Inc.,</w:t>
      </w:r>
      <w:r>
        <w:rPr>
          <w:rFonts w:ascii="Arial"/>
          <w:i/>
          <w:color w:val="3B383B"/>
          <w:spacing w:val="-13"/>
          <w:w w:val="105"/>
          <w:sz w:val="16"/>
        </w:rPr>
        <w:t> </w:t>
      </w:r>
      <w:r>
        <w:rPr>
          <w:color w:val="3B383B"/>
          <w:w w:val="105"/>
          <w:sz w:val="18"/>
        </w:rPr>
        <w:t>532</w:t>
      </w:r>
      <w:r>
        <w:rPr>
          <w:color w:val="3B383B"/>
          <w:spacing w:val="2"/>
          <w:w w:val="105"/>
          <w:sz w:val="18"/>
        </w:rPr>
        <w:t> </w:t>
      </w:r>
      <w:r>
        <w:rPr>
          <w:color w:val="3B383B"/>
          <w:w w:val="105"/>
          <w:sz w:val="18"/>
        </w:rPr>
        <w:t>U.S</w:t>
      </w:r>
      <w:r>
        <w:rPr>
          <w:color w:val="5B5B5D"/>
          <w:w w:val="105"/>
          <w:sz w:val="18"/>
        </w:rPr>
        <w:t>.</w:t>
      </w:r>
      <w:r>
        <w:rPr>
          <w:color w:val="5B5B5D"/>
          <w:spacing w:val="3"/>
          <w:w w:val="105"/>
          <w:sz w:val="18"/>
        </w:rPr>
        <w:t> </w:t>
      </w:r>
      <w:r>
        <w:rPr>
          <w:color w:val="3B383B"/>
          <w:w w:val="105"/>
          <w:sz w:val="18"/>
        </w:rPr>
        <w:t>424,</w:t>
      </w:r>
      <w:r>
        <w:rPr>
          <w:color w:val="3B383B"/>
          <w:spacing w:val="4"/>
          <w:w w:val="105"/>
          <w:sz w:val="18"/>
        </w:rPr>
        <w:t> </w:t>
      </w:r>
      <w:r>
        <w:rPr>
          <w:color w:val="3B383B"/>
          <w:w w:val="105"/>
          <w:sz w:val="18"/>
        </w:rPr>
        <w:t>436</w:t>
      </w:r>
      <w:r>
        <w:rPr>
          <w:color w:val="3B383B"/>
          <w:spacing w:val="-9"/>
          <w:w w:val="105"/>
          <w:sz w:val="18"/>
        </w:rPr>
        <w:t> </w:t>
      </w:r>
      <w:r>
        <w:rPr>
          <w:color w:val="3B383B"/>
          <w:w w:val="105"/>
          <w:sz w:val="18"/>
        </w:rPr>
        <w:t>(2001);</w:t>
      </w:r>
      <w:r>
        <w:rPr>
          <w:color w:val="3B383B"/>
          <w:spacing w:val="-16"/>
          <w:w w:val="105"/>
          <w:sz w:val="18"/>
        </w:rPr>
        <w:t> </w:t>
      </w:r>
      <w:r>
        <w:rPr>
          <w:rFonts w:ascii="Arial"/>
          <w:i/>
          <w:color w:val="3B383B"/>
          <w:w w:val="105"/>
          <w:sz w:val="16"/>
        </w:rPr>
        <w:t>Oni</w:t>
      </w:r>
      <w:r>
        <w:rPr>
          <w:rFonts w:ascii="Arial"/>
          <w:i/>
          <w:color w:val="5B5B5D"/>
          <w:w w:val="105"/>
          <w:sz w:val="16"/>
        </w:rPr>
        <w:t>e</w:t>
      </w:r>
      <w:r>
        <w:rPr>
          <w:rFonts w:ascii="Arial"/>
          <w:i/>
          <w:color w:val="3B383B"/>
          <w:w w:val="105"/>
          <w:sz w:val="16"/>
        </w:rPr>
        <w:t>/as</w:t>
      </w:r>
    </w:p>
    <w:p>
      <w:pPr>
        <w:spacing w:line="189" w:lineRule="exact" w:before="0"/>
        <w:ind w:left="115" w:right="0" w:firstLine="0"/>
        <w:jc w:val="both"/>
        <w:rPr>
          <w:sz w:val="18"/>
        </w:rPr>
      </w:pPr>
      <w:r>
        <w:rPr>
          <w:rFonts w:ascii="Arial"/>
          <w:i/>
          <w:color w:val="3B383B"/>
          <w:sz w:val="16"/>
        </w:rPr>
        <w:t>v.</w:t>
      </w:r>
      <w:r>
        <w:rPr>
          <w:rFonts w:ascii="Arial"/>
          <w:i/>
          <w:color w:val="3B383B"/>
          <w:spacing w:val="-11"/>
          <w:sz w:val="16"/>
        </w:rPr>
        <w:t> </w:t>
      </w:r>
      <w:r>
        <w:rPr>
          <w:rFonts w:ascii="Arial"/>
          <w:i/>
          <w:color w:val="3B383B"/>
          <w:sz w:val="16"/>
        </w:rPr>
        <w:t>Unitecl States,</w:t>
      </w:r>
      <w:r>
        <w:rPr>
          <w:rFonts w:ascii="Arial"/>
          <w:i/>
          <w:color w:val="3B383B"/>
          <w:spacing w:val="-4"/>
          <w:sz w:val="16"/>
        </w:rPr>
        <w:t> </w:t>
      </w:r>
      <w:r>
        <w:rPr>
          <w:color w:val="3B383B"/>
          <w:sz w:val="18"/>
        </w:rPr>
        <w:t>S17</w:t>
      </w:r>
      <w:r>
        <w:rPr>
          <w:color w:val="3B383B"/>
          <w:spacing w:val="47"/>
          <w:sz w:val="18"/>
        </w:rPr>
        <w:t> </w:t>
      </w:r>
      <w:r>
        <w:rPr>
          <w:color w:val="3B383B"/>
          <w:sz w:val="18"/>
        </w:rPr>
        <w:t>U.S.</w:t>
      </w:r>
      <w:r>
        <w:rPr>
          <w:color w:val="3B383B"/>
          <w:spacing w:val="14"/>
          <w:sz w:val="18"/>
        </w:rPr>
        <w:t> </w:t>
      </w:r>
      <w:r>
        <w:rPr>
          <w:color w:val="3B383B"/>
          <w:sz w:val="18"/>
        </w:rPr>
        <w:t>690,</w:t>
      </w:r>
      <w:r>
        <w:rPr>
          <w:color w:val="3B383B"/>
          <w:spacing w:val="13"/>
          <w:sz w:val="18"/>
        </w:rPr>
        <w:t> </w:t>
      </w:r>
      <w:r>
        <w:rPr>
          <w:color w:val="3B383B"/>
          <w:sz w:val="18"/>
        </w:rPr>
        <w:t>698</w:t>
      </w:r>
      <w:r>
        <w:rPr>
          <w:color w:val="3B383B"/>
          <w:spacing w:val="16"/>
          <w:sz w:val="18"/>
        </w:rPr>
        <w:t> </w:t>
      </w:r>
      <w:r>
        <w:rPr>
          <w:color w:val="3B383B"/>
          <w:sz w:val="18"/>
        </w:rPr>
        <w:t>(1996).</w:t>
      </w:r>
    </w:p>
    <w:p>
      <w:pPr>
        <w:spacing w:line="197" w:lineRule="exact" w:before="0"/>
        <w:ind w:left="502" w:right="0" w:firstLine="0"/>
        <w:jc w:val="both"/>
        <w:rPr>
          <w:sz w:val="18"/>
        </w:rPr>
      </w:pPr>
      <w:r>
        <w:rPr>
          <w:rFonts w:ascii="Arial"/>
          <w:color w:val="3B383B"/>
          <w:w w:val="105"/>
          <w:position w:val="6"/>
          <w:sz w:val="10"/>
        </w:rPr>
        <w:t>13</w:t>
      </w:r>
      <w:r>
        <w:rPr>
          <w:i/>
          <w:color w:val="3B383B"/>
          <w:w w:val="105"/>
          <w:sz w:val="18"/>
        </w:rPr>
        <w:t>Seegenerally</w:t>
      </w:r>
      <w:r>
        <w:rPr>
          <w:i/>
          <w:color w:val="3B383B"/>
          <w:spacing w:val="2"/>
          <w:w w:val="105"/>
          <w:sz w:val="18"/>
        </w:rPr>
        <w:t> </w:t>
      </w:r>
      <w:r>
        <w:rPr>
          <w:color w:val="3B383B"/>
          <w:w w:val="105"/>
          <w:sz w:val="18"/>
        </w:rPr>
        <w:t>Bosse</w:t>
      </w:r>
      <w:r>
        <w:rPr>
          <w:color w:val="5B5B5D"/>
          <w:w w:val="105"/>
          <w:sz w:val="18"/>
        </w:rPr>
        <w:t>,</w:t>
      </w:r>
      <w:r>
        <w:rPr>
          <w:color w:val="5B5B5D"/>
          <w:spacing w:val="12"/>
          <w:w w:val="105"/>
          <w:sz w:val="18"/>
        </w:rPr>
        <w:t> </w:t>
      </w:r>
      <w:r>
        <w:rPr>
          <w:rFonts w:ascii="Arial"/>
          <w:i/>
          <w:color w:val="3B383B"/>
          <w:w w:val="105"/>
          <w:sz w:val="16"/>
        </w:rPr>
        <w:t>supra</w:t>
      </w:r>
      <w:r>
        <w:rPr>
          <w:rFonts w:ascii="Arial"/>
          <w:i/>
          <w:color w:val="3B383B"/>
          <w:spacing w:val="16"/>
          <w:w w:val="105"/>
          <w:sz w:val="16"/>
        </w:rPr>
        <w:t> </w:t>
      </w:r>
      <w:r>
        <w:rPr>
          <w:color w:val="3B383B"/>
          <w:w w:val="105"/>
          <w:sz w:val="18"/>
        </w:rPr>
        <w:t>note 11,</w:t>
      </w:r>
      <w:r>
        <w:rPr>
          <w:color w:val="3B383B"/>
          <w:spacing w:val="-12"/>
          <w:w w:val="105"/>
          <w:sz w:val="18"/>
        </w:rPr>
        <w:t> </w:t>
      </w:r>
      <w:r>
        <w:rPr>
          <w:color w:val="3B383B"/>
          <w:w w:val="105"/>
          <w:sz w:val="18"/>
        </w:rPr>
        <w:t>at</w:t>
      </w:r>
      <w:r>
        <w:rPr>
          <w:color w:val="3B383B"/>
          <w:spacing w:val="12"/>
          <w:w w:val="105"/>
          <w:sz w:val="18"/>
        </w:rPr>
        <w:t> </w:t>
      </w:r>
      <w:r>
        <w:rPr>
          <w:color w:val="3B383B"/>
          <w:w w:val="105"/>
          <w:sz w:val="18"/>
        </w:rPr>
        <w:t>383, 397.</w:t>
      </w:r>
    </w:p>
    <w:p>
      <w:pPr>
        <w:spacing w:line="228" w:lineRule="auto" w:before="6"/>
        <w:ind w:left="126" w:right="116" w:firstLine="361"/>
        <w:jc w:val="both"/>
        <w:rPr>
          <w:sz w:val="18"/>
        </w:rPr>
      </w:pPr>
      <w:r>
        <w:rPr>
          <w:i/>
          <w:color w:val="3B383B"/>
          <w:sz w:val="18"/>
        </w:rPr>
        <w:t>"See,</w:t>
      </w:r>
      <w:r>
        <w:rPr>
          <w:rFonts w:ascii="Arial" w:hAnsi="Arial"/>
          <w:i/>
          <w:color w:val="3B383B"/>
          <w:sz w:val="16"/>
        </w:rPr>
        <w:t>e.g., Cooper </w:t>
      </w:r>
      <w:r>
        <w:rPr>
          <w:i/>
          <w:color w:val="3B383B"/>
          <w:sz w:val="18"/>
        </w:rPr>
        <w:t>l11drts., </w:t>
      </w:r>
      <w:r>
        <w:rPr>
          <w:rFonts w:ascii="Arial" w:hAnsi="Arial"/>
          <w:i/>
          <w:color w:val="3B383B"/>
          <w:sz w:val="16"/>
        </w:rPr>
        <w:t>J,re. v. </w:t>
      </w:r>
      <w:r>
        <w:rPr>
          <w:i/>
          <w:color w:val="3B383B"/>
          <w:sz w:val="18"/>
        </w:rPr>
        <w:t>Leatlrem1a11 </w:t>
      </w:r>
      <w:r>
        <w:rPr>
          <w:rFonts w:ascii="Arial" w:hAnsi="Arial"/>
          <w:i/>
          <w:color w:val="3B383B"/>
          <w:sz w:val="16"/>
        </w:rPr>
        <w:t>Tool Group, Irie., </w:t>
      </w:r>
      <w:r>
        <w:rPr>
          <w:color w:val="3B383B"/>
          <w:sz w:val="18"/>
        </w:rPr>
        <w:t>532 U.S. 424, 434 (2001) (Court</w:t>
      </w:r>
      <w:r>
        <w:rPr>
          <w:color w:val="3B383B"/>
          <w:spacing w:val="1"/>
          <w:sz w:val="18"/>
        </w:rPr>
        <w:t> </w:t>
      </w:r>
      <w:r>
        <w:rPr>
          <w:color w:val="3B383B"/>
          <w:w w:val="110"/>
          <w:sz w:val="18"/>
        </w:rPr>
        <w:t>used de novo standard to review a district court determination of the constitutionality of a puni­</w:t>
      </w:r>
      <w:r>
        <w:rPr>
          <w:color w:val="3B383B"/>
          <w:spacing w:val="1"/>
          <w:w w:val="110"/>
          <w:sz w:val="18"/>
        </w:rPr>
        <w:t> </w:t>
      </w:r>
      <w:r>
        <w:rPr>
          <w:color w:val="3B383B"/>
          <w:w w:val="110"/>
          <w:sz w:val="18"/>
        </w:rPr>
        <w:t>tive</w:t>
      </w:r>
      <w:r>
        <w:rPr>
          <w:color w:val="3B383B"/>
          <w:spacing w:val="-19"/>
          <w:w w:val="110"/>
          <w:sz w:val="18"/>
        </w:rPr>
        <w:t> </w:t>
      </w:r>
      <w:r>
        <w:rPr>
          <w:color w:val="3B383B"/>
          <w:w w:val="110"/>
          <w:sz w:val="18"/>
        </w:rPr>
        <w:t>damages</w:t>
      </w:r>
      <w:r>
        <w:rPr>
          <w:color w:val="3B383B"/>
          <w:spacing w:val="-14"/>
          <w:w w:val="110"/>
          <w:sz w:val="18"/>
        </w:rPr>
        <w:t> </w:t>
      </w:r>
      <w:r>
        <w:rPr>
          <w:color w:val="3B383B"/>
          <w:w w:val="110"/>
          <w:sz w:val="18"/>
        </w:rPr>
        <w:t>award).</w:t>
      </w:r>
    </w:p>
    <w:p>
      <w:pPr>
        <w:spacing w:after="0" w:line="228" w:lineRule="auto"/>
        <w:jc w:val="both"/>
        <w:rPr>
          <w:sz w:val="18"/>
        </w:rPr>
        <w:sectPr>
          <w:pgSz w:w="9650" w:h="13740"/>
          <w:pgMar w:header="456" w:footer="0" w:top="660" w:bottom="280" w:left="46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2" w:lineRule="auto"/>
        <w:ind w:left="769" w:right="105" w:firstLine="404"/>
        <w:jc w:val="both"/>
        <w:rPr>
          <w:sz w:val="18"/>
        </w:rPr>
      </w:pPr>
      <w:r>
        <w:rPr>
          <w:color w:val="3D3B3B"/>
          <w:w w:val="110"/>
        </w:rPr>
        <w:t>Although many advocates ignore the standard after articulating it, the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appellate standard of review is really the context within which the entire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argument rests. Because there is often no controversy about which stan­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dard applies, however, some litigators are lulled into complacency on this</w:t>
      </w:r>
      <w:r>
        <w:rPr>
          <w:color w:val="3D3B3B"/>
          <w:spacing w:val="-61"/>
          <w:w w:val="110"/>
        </w:rPr>
        <w:t> </w:t>
      </w:r>
      <w:r>
        <w:rPr>
          <w:color w:val="3D3B3B"/>
          <w:w w:val="110"/>
        </w:rPr>
        <w:t>subject</w:t>
      </w:r>
      <w:r>
        <w:rPr>
          <w:color w:val="3D3B3B"/>
          <w:spacing w:val="2"/>
          <w:w w:val="110"/>
        </w:rPr>
        <w:t> </w:t>
      </w:r>
      <w:r>
        <w:rPr>
          <w:color w:val="3D3B3B"/>
          <w:w w:val="110"/>
        </w:rPr>
        <w:t>and</w:t>
      </w:r>
      <w:r>
        <w:rPr>
          <w:color w:val="3D3B3B"/>
          <w:spacing w:val="22"/>
          <w:w w:val="110"/>
        </w:rPr>
        <w:t> </w:t>
      </w:r>
      <w:r>
        <w:rPr>
          <w:color w:val="3D3B3B"/>
          <w:w w:val="110"/>
        </w:rPr>
        <w:t>may</w:t>
      </w:r>
      <w:r>
        <w:rPr>
          <w:color w:val="3D3B3B"/>
          <w:spacing w:val="2"/>
          <w:w w:val="110"/>
        </w:rPr>
        <w:t> </w:t>
      </w:r>
      <w:r>
        <w:rPr>
          <w:color w:val="3D3B3B"/>
          <w:w w:val="110"/>
        </w:rPr>
        <w:t>miss</w:t>
      </w:r>
      <w:r>
        <w:rPr>
          <w:color w:val="3D3B3B"/>
          <w:spacing w:val="-16"/>
          <w:w w:val="110"/>
        </w:rPr>
        <w:t> </w:t>
      </w:r>
      <w:r>
        <w:rPr>
          <w:color w:val="3D3B3B"/>
          <w:w w:val="110"/>
        </w:rPr>
        <w:t>fertile</w:t>
      </w:r>
      <w:r>
        <w:rPr>
          <w:color w:val="3D3B3B"/>
          <w:spacing w:val="-7"/>
          <w:w w:val="110"/>
        </w:rPr>
        <w:t> </w:t>
      </w:r>
      <w:r>
        <w:rPr>
          <w:color w:val="3D3B3B"/>
          <w:w w:val="110"/>
        </w:rPr>
        <w:t>ground</w:t>
      </w:r>
      <w:r>
        <w:rPr>
          <w:color w:val="3D3B3B"/>
          <w:spacing w:val="-3"/>
          <w:w w:val="110"/>
        </w:rPr>
        <w:t> </w:t>
      </w:r>
      <w:r>
        <w:rPr>
          <w:color w:val="3D3B3B"/>
          <w:w w:val="110"/>
        </w:rPr>
        <w:t>for</w:t>
      </w:r>
      <w:r>
        <w:rPr>
          <w:color w:val="3D3B3B"/>
          <w:spacing w:val="-19"/>
          <w:w w:val="110"/>
        </w:rPr>
        <w:t> </w:t>
      </w:r>
      <w:r>
        <w:rPr>
          <w:color w:val="3D3B3B"/>
          <w:w w:val="110"/>
        </w:rPr>
        <w:t>legal</w:t>
      </w:r>
      <w:r>
        <w:rPr>
          <w:color w:val="3D3B3B"/>
          <w:spacing w:val="-7"/>
          <w:w w:val="110"/>
        </w:rPr>
        <w:t> </w:t>
      </w:r>
      <w:r>
        <w:rPr>
          <w:color w:val="3D3B3B"/>
          <w:w w:val="110"/>
        </w:rPr>
        <w:t>argument.</w:t>
      </w:r>
      <w:r>
        <w:rPr>
          <w:color w:val="3D3B3B"/>
          <w:w w:val="110"/>
          <w:sz w:val="18"/>
        </w:rPr>
        <w:t>is</w:t>
      </w:r>
    </w:p>
    <w:p>
      <w:pPr>
        <w:pStyle w:val="BodyText"/>
        <w:spacing w:line="235" w:lineRule="auto" w:before="6"/>
        <w:ind w:left="759" w:right="98" w:firstLine="395"/>
        <w:jc w:val="both"/>
      </w:pPr>
      <w:r>
        <w:rPr>
          <w:color w:val="3D3B3B"/>
          <w:w w:val="110"/>
        </w:rPr>
        <w:t>As a practical lawyer, you should devote serious attention to the stan­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dard of review early in the research process in order to determine the role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it will play in your case. The discussion that follows describes the most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significant appellate standards of review, using the labels most commonly</w:t>
      </w:r>
      <w:r>
        <w:rPr>
          <w:color w:val="3D3B3B"/>
          <w:spacing w:val="-61"/>
          <w:w w:val="110"/>
        </w:rPr>
        <w:t> </w:t>
      </w:r>
      <w:r>
        <w:rPr>
          <w:color w:val="3D3B3B"/>
          <w:w w:val="110"/>
        </w:rPr>
        <w:t>used in federal courts. Although, of course, you must rely on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research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rather than a textbook to provide support for any standard of review argu­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ment, state courts often apply standards that are similar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to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the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federal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standards.</w:t>
      </w:r>
    </w:p>
    <w:p>
      <w:pPr>
        <w:pStyle w:val="BodyText"/>
        <w:spacing w:before="8"/>
        <w:rPr>
          <w:sz w:val="33"/>
        </w:rPr>
      </w:pPr>
    </w:p>
    <w:p>
      <w:pPr>
        <w:pStyle w:val="ListParagraph"/>
        <w:numPr>
          <w:ilvl w:val="0"/>
          <w:numId w:val="24"/>
        </w:numPr>
        <w:tabs>
          <w:tab w:pos="1544" w:val="left" w:leader="none"/>
        </w:tabs>
        <w:spacing w:line="232" w:lineRule="exact" w:before="1" w:after="0"/>
        <w:ind w:left="1543" w:right="0" w:hanging="388"/>
        <w:jc w:val="both"/>
        <w:rPr>
          <w:b/>
          <w:color w:val="3D3B3B"/>
          <w:sz w:val="21"/>
        </w:rPr>
      </w:pPr>
      <w:r>
        <w:rPr>
          <w:b/>
          <w:color w:val="3D3B3B"/>
          <w:w w:val="105"/>
          <w:sz w:val="21"/>
        </w:rPr>
        <w:t>Clearly</w:t>
      </w:r>
      <w:r>
        <w:rPr>
          <w:b/>
          <w:color w:val="3D3B3B"/>
          <w:spacing w:val="19"/>
          <w:w w:val="105"/>
          <w:sz w:val="21"/>
        </w:rPr>
        <w:t> </w:t>
      </w:r>
      <w:r>
        <w:rPr>
          <w:b/>
          <w:color w:val="3D3B3B"/>
          <w:w w:val="105"/>
          <w:sz w:val="21"/>
        </w:rPr>
        <w:t>Erroneous</w:t>
      </w:r>
    </w:p>
    <w:p>
      <w:pPr>
        <w:pStyle w:val="BodyText"/>
        <w:spacing w:line="232" w:lineRule="auto"/>
        <w:ind w:left="724" w:right="98" w:firstLine="459"/>
        <w:jc w:val="both"/>
      </w:pPr>
      <w:r>
        <w:rPr>
          <w:color w:val="3D3B3B"/>
          <w:w w:val="110"/>
        </w:rPr>
        <w:t>A</w:t>
      </w:r>
      <w:r>
        <w:rPr>
          <w:color w:val="3D3B3B"/>
          <w:spacing w:val="-21"/>
          <w:w w:val="110"/>
        </w:rPr>
        <w:t> </w:t>
      </w:r>
      <w:r>
        <w:rPr>
          <w:color w:val="3D3B3B"/>
          <w:w w:val="110"/>
        </w:rPr>
        <w:t>clearly</w:t>
      </w:r>
      <w:r>
        <w:rPr>
          <w:color w:val="3D3B3B"/>
          <w:spacing w:val="-12"/>
          <w:w w:val="110"/>
        </w:rPr>
        <w:t> </w:t>
      </w:r>
      <w:r>
        <w:rPr>
          <w:color w:val="3D3B3B"/>
          <w:w w:val="110"/>
        </w:rPr>
        <w:t>erroneous</w:t>
      </w:r>
      <w:r>
        <w:rPr>
          <w:color w:val="3D3B3B"/>
          <w:spacing w:val="-9"/>
          <w:w w:val="110"/>
        </w:rPr>
        <w:t> </w:t>
      </w:r>
      <w:r>
        <w:rPr>
          <w:color w:val="3D3B3B"/>
          <w:w w:val="110"/>
        </w:rPr>
        <w:t>standard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applies</w:t>
      </w:r>
      <w:r>
        <w:rPr>
          <w:color w:val="3D3B3B"/>
          <w:spacing w:val="-2"/>
          <w:w w:val="110"/>
        </w:rPr>
        <w:t> </w:t>
      </w:r>
      <w:r>
        <w:rPr>
          <w:color w:val="3D3B3B"/>
          <w:w w:val="110"/>
        </w:rPr>
        <w:t>to</w:t>
      </w:r>
      <w:r>
        <w:rPr>
          <w:color w:val="3D3B3B"/>
          <w:spacing w:val="5"/>
          <w:w w:val="110"/>
        </w:rPr>
        <w:t> </w:t>
      </w:r>
      <w:r>
        <w:rPr>
          <w:color w:val="3D3B3B"/>
          <w:w w:val="110"/>
        </w:rPr>
        <w:t>findings</w:t>
      </w:r>
      <w:r>
        <w:rPr>
          <w:color w:val="3D3B3B"/>
          <w:spacing w:val="-17"/>
          <w:w w:val="110"/>
        </w:rPr>
        <w:t> </w:t>
      </w:r>
      <w:r>
        <w:rPr>
          <w:color w:val="3D3B3B"/>
          <w:w w:val="110"/>
        </w:rPr>
        <w:t>of</w:t>
      </w:r>
      <w:r>
        <w:rPr>
          <w:color w:val="3D3B3B"/>
          <w:spacing w:val="6"/>
          <w:w w:val="110"/>
        </w:rPr>
        <w:t> </w:t>
      </w:r>
      <w:r>
        <w:rPr>
          <w:color w:val="3D3B3B"/>
          <w:w w:val="110"/>
        </w:rPr>
        <w:t>facts.</w:t>
      </w:r>
      <w:r>
        <w:rPr>
          <w:color w:val="3D3B3B"/>
          <w:spacing w:val="-6"/>
          <w:w w:val="110"/>
        </w:rPr>
        <w:t> </w:t>
      </w:r>
      <w:r>
        <w:rPr>
          <w:color w:val="3D3B3B"/>
          <w:w w:val="110"/>
        </w:rPr>
        <w:t>Rule</w:t>
      </w:r>
      <w:r>
        <w:rPr>
          <w:color w:val="3D3B3B"/>
          <w:spacing w:val="-13"/>
          <w:w w:val="110"/>
        </w:rPr>
        <w:t> </w:t>
      </w:r>
      <w:r>
        <w:rPr>
          <w:color w:val="3D3B3B"/>
          <w:w w:val="110"/>
        </w:rPr>
        <w:t>52(a)</w:t>
      </w:r>
      <w:r>
        <w:rPr>
          <w:color w:val="3D3B3B"/>
          <w:spacing w:val="-15"/>
          <w:w w:val="110"/>
        </w:rPr>
        <w:t> </w:t>
      </w:r>
      <w:r>
        <w:rPr>
          <w:color w:val="3D3B3B"/>
          <w:w w:val="110"/>
        </w:rPr>
        <w:t>of</w:t>
      </w:r>
      <w:r>
        <w:rPr>
          <w:color w:val="3D3B3B"/>
          <w:spacing w:val="-61"/>
          <w:w w:val="110"/>
        </w:rPr>
        <w:t> </w:t>
      </w:r>
      <w:r>
        <w:rPr>
          <w:color w:val="3D3B3B"/>
          <w:w w:val="110"/>
        </w:rPr>
        <w:t>the Federal Rules of Civil Procedure provides: "Findings of Fact, whether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based</w:t>
      </w:r>
      <w:r>
        <w:rPr>
          <w:color w:val="3D3B3B"/>
          <w:spacing w:val="-11"/>
          <w:w w:val="110"/>
        </w:rPr>
        <w:t> </w:t>
      </w:r>
      <w:r>
        <w:rPr>
          <w:color w:val="3D3B3B"/>
          <w:w w:val="110"/>
        </w:rPr>
        <w:t>on</w:t>
      </w:r>
      <w:r>
        <w:rPr>
          <w:color w:val="3D3B3B"/>
          <w:spacing w:val="13"/>
          <w:w w:val="110"/>
        </w:rPr>
        <w:t> </w:t>
      </w:r>
      <w:r>
        <w:rPr>
          <w:color w:val="3D3B3B"/>
          <w:w w:val="110"/>
        </w:rPr>
        <w:t>oralor</w:t>
      </w:r>
      <w:r>
        <w:rPr>
          <w:color w:val="3D3B3B"/>
          <w:spacing w:val="-22"/>
          <w:w w:val="110"/>
        </w:rPr>
        <w:t> </w:t>
      </w:r>
      <w:r>
        <w:rPr>
          <w:color w:val="3D3B3B"/>
          <w:w w:val="110"/>
        </w:rPr>
        <w:t>documentary</w:t>
      </w:r>
      <w:r>
        <w:rPr>
          <w:color w:val="3D3B3B"/>
          <w:spacing w:val="-5"/>
          <w:w w:val="110"/>
        </w:rPr>
        <w:t> </w:t>
      </w:r>
      <w:r>
        <w:rPr>
          <w:color w:val="3D3B3B"/>
          <w:w w:val="110"/>
        </w:rPr>
        <w:t>evidence,</w:t>
      </w:r>
      <w:r>
        <w:rPr>
          <w:color w:val="3D3B3B"/>
          <w:spacing w:val="-8"/>
          <w:w w:val="110"/>
        </w:rPr>
        <w:t> </w:t>
      </w:r>
      <w:r>
        <w:rPr>
          <w:color w:val="3D3B3B"/>
          <w:w w:val="110"/>
        </w:rPr>
        <w:t>must</w:t>
      </w:r>
      <w:r>
        <w:rPr>
          <w:color w:val="3D3B3B"/>
          <w:spacing w:val="-14"/>
          <w:w w:val="110"/>
        </w:rPr>
        <w:t> </w:t>
      </w:r>
      <w:r>
        <w:rPr>
          <w:color w:val="3D3B3B"/>
          <w:w w:val="110"/>
        </w:rPr>
        <w:t>not</w:t>
      </w:r>
      <w:r>
        <w:rPr>
          <w:color w:val="3D3B3B"/>
          <w:spacing w:val="11"/>
          <w:w w:val="110"/>
        </w:rPr>
        <w:t> </w:t>
      </w:r>
      <w:r>
        <w:rPr>
          <w:color w:val="3D3B3B"/>
          <w:w w:val="110"/>
        </w:rPr>
        <w:t>be</w:t>
      </w:r>
      <w:r>
        <w:rPr>
          <w:color w:val="3D3B3B"/>
          <w:spacing w:val="-28"/>
          <w:w w:val="110"/>
        </w:rPr>
        <w:t> </w:t>
      </w:r>
      <w:r>
        <w:rPr>
          <w:color w:val="3D3B3B"/>
          <w:w w:val="110"/>
        </w:rPr>
        <w:t>set</w:t>
      </w:r>
      <w:r>
        <w:rPr>
          <w:color w:val="3D3B3B"/>
          <w:spacing w:val="-15"/>
          <w:w w:val="110"/>
        </w:rPr>
        <w:t> </w:t>
      </w:r>
      <w:r>
        <w:rPr>
          <w:color w:val="3D3B3B"/>
          <w:w w:val="110"/>
        </w:rPr>
        <w:t>aside</w:t>
      </w:r>
      <w:r>
        <w:rPr>
          <w:color w:val="3D3B3B"/>
          <w:spacing w:val="-20"/>
          <w:w w:val="110"/>
        </w:rPr>
        <w:t> </w:t>
      </w:r>
      <w:r>
        <w:rPr>
          <w:color w:val="3D3B3B"/>
          <w:w w:val="110"/>
        </w:rPr>
        <w:t>unless</w:t>
      </w:r>
      <w:r>
        <w:rPr>
          <w:color w:val="3D3B3B"/>
          <w:spacing w:val="-28"/>
          <w:w w:val="110"/>
        </w:rPr>
        <w:t> </w:t>
      </w:r>
      <w:r>
        <w:rPr>
          <w:color w:val="3D3B3B"/>
          <w:w w:val="110"/>
        </w:rPr>
        <w:t>clearly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erroneous, and the reviewing court must give due regard to the trial court's</w:t>
      </w:r>
      <w:r>
        <w:rPr>
          <w:color w:val="3D3B3B"/>
          <w:spacing w:val="-61"/>
          <w:w w:val="110"/>
        </w:rPr>
        <w:t> </w:t>
      </w:r>
      <w:r>
        <w:rPr>
          <w:color w:val="3D3B3B"/>
          <w:w w:val="110"/>
        </w:rPr>
        <w:t>opportunity to judge the witnesses' credibility." This standard reflects the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attitude that the fact finder is often in the best position to observe the pre­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sentation of the  facts. The </w:t>
      </w:r>
      <w:r>
        <w:rPr>
          <w:color w:val="504F52"/>
          <w:w w:val="110"/>
        </w:rPr>
        <w:t>United </w:t>
      </w:r>
      <w:r>
        <w:rPr>
          <w:color w:val="3D3B3B"/>
          <w:w w:val="110"/>
        </w:rPr>
        <w:t>States Supreme Court has commented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on</w:t>
      </w:r>
      <w:r>
        <w:rPr>
          <w:color w:val="3D3B3B"/>
          <w:spacing w:val="40"/>
          <w:w w:val="110"/>
        </w:rPr>
        <w:t> </w:t>
      </w:r>
      <w:r>
        <w:rPr>
          <w:color w:val="3D3B3B"/>
          <w:w w:val="110"/>
        </w:rPr>
        <w:t>the</w:t>
      </w:r>
      <w:r>
        <w:rPr>
          <w:color w:val="3D3B3B"/>
          <w:spacing w:val="21"/>
          <w:w w:val="110"/>
        </w:rPr>
        <w:t> </w:t>
      </w:r>
      <w:r>
        <w:rPr>
          <w:color w:val="3D3B3B"/>
          <w:w w:val="110"/>
        </w:rPr>
        <w:t>importance of</w:t>
      </w:r>
      <w:r>
        <w:rPr>
          <w:color w:val="3D3B3B"/>
          <w:spacing w:val="14"/>
          <w:w w:val="110"/>
        </w:rPr>
        <w:t> </w:t>
      </w:r>
      <w:r>
        <w:rPr>
          <w:color w:val="3D3B3B"/>
          <w:w w:val="110"/>
        </w:rPr>
        <w:t>the</w:t>
      </w:r>
      <w:r>
        <w:rPr>
          <w:color w:val="3D3B3B"/>
          <w:spacing w:val="17"/>
          <w:w w:val="110"/>
        </w:rPr>
        <w:t> </w:t>
      </w:r>
      <w:r>
        <w:rPr>
          <w:color w:val="3D3B3B"/>
          <w:w w:val="110"/>
        </w:rPr>
        <w:t>trial</w:t>
      </w:r>
      <w:r>
        <w:rPr>
          <w:color w:val="3D3B3B"/>
          <w:spacing w:val="25"/>
          <w:w w:val="110"/>
        </w:rPr>
        <w:t> </w:t>
      </w:r>
      <w:r>
        <w:rPr>
          <w:color w:val="3D3B3B"/>
          <w:w w:val="110"/>
        </w:rPr>
        <w:t>judge's</w:t>
      </w:r>
      <w:r>
        <w:rPr>
          <w:color w:val="3D3B3B"/>
          <w:spacing w:val="-5"/>
          <w:w w:val="110"/>
        </w:rPr>
        <w:t> </w:t>
      </w:r>
      <w:r>
        <w:rPr>
          <w:color w:val="3D3B3B"/>
          <w:w w:val="110"/>
        </w:rPr>
        <w:t>opportunities:</w:t>
      </w:r>
    </w:p>
    <w:p>
      <w:pPr>
        <w:spacing w:line="240" w:lineRule="auto" w:before="133"/>
        <w:ind w:left="1078" w:right="502" w:firstLine="23"/>
        <w:jc w:val="both"/>
        <w:rPr>
          <w:sz w:val="21"/>
        </w:rPr>
      </w:pPr>
      <w:r>
        <w:rPr>
          <w:color w:val="3D3B3B"/>
          <w:w w:val="115"/>
          <w:sz w:val="21"/>
        </w:rPr>
        <w:t>The rationale for deference to the original finder of fact is not limited</w:t>
      </w:r>
      <w:r>
        <w:rPr>
          <w:color w:val="3D3B3B"/>
          <w:spacing w:val="1"/>
          <w:w w:val="115"/>
          <w:sz w:val="21"/>
        </w:rPr>
        <w:t> </w:t>
      </w:r>
      <w:r>
        <w:rPr>
          <w:color w:val="3D3B3B"/>
          <w:spacing w:val="-1"/>
          <w:w w:val="110"/>
          <w:sz w:val="21"/>
        </w:rPr>
        <w:t>to the superiority </w:t>
      </w:r>
      <w:r>
        <w:rPr>
          <w:color w:val="3D3B3B"/>
          <w:w w:val="110"/>
          <w:sz w:val="21"/>
        </w:rPr>
        <w:t>of the trial judge's position to make determinations of</w:t>
      </w:r>
      <w:r>
        <w:rPr>
          <w:color w:val="3D3B3B"/>
          <w:spacing w:val="1"/>
          <w:w w:val="110"/>
          <w:sz w:val="21"/>
        </w:rPr>
        <w:t> </w:t>
      </w:r>
      <w:r>
        <w:rPr>
          <w:color w:val="504F52"/>
          <w:w w:val="115"/>
          <w:sz w:val="21"/>
        </w:rPr>
        <w:t>credibility.</w:t>
      </w:r>
      <w:r>
        <w:rPr>
          <w:color w:val="504F52"/>
          <w:spacing w:val="-14"/>
          <w:w w:val="115"/>
          <w:sz w:val="21"/>
        </w:rPr>
        <w:t> </w:t>
      </w:r>
      <w:r>
        <w:rPr>
          <w:color w:val="3D3B3B"/>
          <w:w w:val="115"/>
          <w:sz w:val="21"/>
        </w:rPr>
        <w:t>The</w:t>
      </w:r>
      <w:r>
        <w:rPr>
          <w:color w:val="3D3B3B"/>
          <w:spacing w:val="-1"/>
          <w:w w:val="115"/>
          <w:sz w:val="21"/>
        </w:rPr>
        <w:t> </w:t>
      </w:r>
      <w:r>
        <w:rPr>
          <w:color w:val="3D3B3B"/>
          <w:w w:val="115"/>
          <w:sz w:val="21"/>
        </w:rPr>
        <w:t>trial</w:t>
      </w:r>
      <w:r>
        <w:rPr>
          <w:color w:val="3D3B3B"/>
          <w:spacing w:val="3"/>
          <w:w w:val="115"/>
          <w:sz w:val="21"/>
        </w:rPr>
        <w:t> </w:t>
      </w:r>
      <w:r>
        <w:rPr>
          <w:color w:val="3D3B3B"/>
          <w:w w:val="115"/>
          <w:sz w:val="21"/>
        </w:rPr>
        <w:t>judge's</w:t>
      </w:r>
      <w:r>
        <w:rPr>
          <w:color w:val="3D3B3B"/>
          <w:spacing w:val="-8"/>
          <w:w w:val="115"/>
          <w:sz w:val="21"/>
        </w:rPr>
        <w:t> </w:t>
      </w:r>
      <w:r>
        <w:rPr>
          <w:color w:val="3D3B3B"/>
          <w:w w:val="115"/>
          <w:sz w:val="21"/>
        </w:rPr>
        <w:t>major</w:t>
      </w:r>
      <w:r>
        <w:rPr>
          <w:color w:val="3D3B3B"/>
          <w:spacing w:val="-3"/>
          <w:w w:val="115"/>
          <w:sz w:val="21"/>
        </w:rPr>
        <w:t> </w:t>
      </w:r>
      <w:r>
        <w:rPr>
          <w:color w:val="3D3B3B"/>
          <w:w w:val="115"/>
          <w:sz w:val="21"/>
        </w:rPr>
        <w:t>role</w:t>
      </w:r>
      <w:r>
        <w:rPr>
          <w:color w:val="3D3B3B"/>
          <w:spacing w:val="-13"/>
          <w:w w:val="115"/>
          <w:sz w:val="21"/>
        </w:rPr>
        <w:t> </w:t>
      </w:r>
      <w:r>
        <w:rPr>
          <w:color w:val="3D3B3B"/>
          <w:w w:val="115"/>
          <w:sz w:val="21"/>
        </w:rPr>
        <w:t>is</w:t>
      </w:r>
      <w:r>
        <w:rPr>
          <w:color w:val="3D3B3B"/>
          <w:spacing w:val="-12"/>
          <w:w w:val="115"/>
          <w:sz w:val="21"/>
        </w:rPr>
        <w:t> </w:t>
      </w:r>
      <w:r>
        <w:rPr>
          <w:color w:val="3D3B3B"/>
          <w:w w:val="115"/>
          <w:sz w:val="21"/>
        </w:rPr>
        <w:t>the determination</w:t>
      </w:r>
      <w:r>
        <w:rPr>
          <w:color w:val="3D3B3B"/>
          <w:spacing w:val="-5"/>
          <w:w w:val="115"/>
          <w:sz w:val="21"/>
        </w:rPr>
        <w:t> </w:t>
      </w:r>
      <w:r>
        <w:rPr>
          <w:color w:val="3D3B3B"/>
          <w:w w:val="115"/>
          <w:sz w:val="21"/>
        </w:rPr>
        <w:t>of</w:t>
      </w:r>
      <w:r>
        <w:rPr>
          <w:color w:val="3D3B3B"/>
          <w:spacing w:val="-4"/>
          <w:w w:val="115"/>
          <w:sz w:val="21"/>
        </w:rPr>
        <w:t> </w:t>
      </w:r>
      <w:r>
        <w:rPr>
          <w:color w:val="3D3B3B"/>
          <w:w w:val="115"/>
          <w:sz w:val="20"/>
        </w:rPr>
        <w:t>fact,</w:t>
      </w:r>
      <w:r>
        <w:rPr>
          <w:color w:val="3D3B3B"/>
          <w:spacing w:val="-10"/>
          <w:w w:val="115"/>
          <w:sz w:val="20"/>
        </w:rPr>
        <w:t> </w:t>
      </w:r>
      <w:r>
        <w:rPr>
          <w:color w:val="3D3B3B"/>
          <w:w w:val="115"/>
          <w:sz w:val="21"/>
        </w:rPr>
        <w:t>and</w:t>
      </w:r>
      <w:r>
        <w:rPr>
          <w:color w:val="3D3B3B"/>
          <w:spacing w:val="-58"/>
          <w:w w:val="115"/>
          <w:sz w:val="21"/>
        </w:rPr>
        <w:t> </w:t>
      </w:r>
      <w:r>
        <w:rPr>
          <w:color w:val="3D3B3B"/>
          <w:w w:val="110"/>
          <w:sz w:val="21"/>
        </w:rPr>
        <w:t>with</w:t>
      </w:r>
      <w:r>
        <w:rPr>
          <w:color w:val="3D3B3B"/>
          <w:spacing w:val="5"/>
          <w:w w:val="110"/>
          <w:sz w:val="21"/>
        </w:rPr>
        <w:t> </w:t>
      </w:r>
      <w:r>
        <w:rPr>
          <w:color w:val="3D3B3B"/>
          <w:w w:val="110"/>
          <w:sz w:val="21"/>
        </w:rPr>
        <w:t>experience</w:t>
      </w:r>
      <w:r>
        <w:rPr>
          <w:color w:val="3D3B3B"/>
          <w:spacing w:val="8"/>
          <w:w w:val="110"/>
          <w:sz w:val="21"/>
        </w:rPr>
        <w:t> </w:t>
      </w:r>
      <w:r>
        <w:rPr>
          <w:color w:val="3D3B3B"/>
          <w:w w:val="110"/>
          <w:sz w:val="21"/>
        </w:rPr>
        <w:t>in</w:t>
      </w:r>
      <w:r>
        <w:rPr>
          <w:color w:val="3D3B3B"/>
          <w:spacing w:val="20"/>
          <w:w w:val="110"/>
          <w:sz w:val="21"/>
        </w:rPr>
        <w:t> </w:t>
      </w:r>
      <w:r>
        <w:rPr>
          <w:color w:val="3D3B3B"/>
          <w:w w:val="110"/>
          <w:sz w:val="21"/>
        </w:rPr>
        <w:t>fulfilling</w:t>
      </w:r>
      <w:r>
        <w:rPr>
          <w:color w:val="3D3B3B"/>
          <w:spacing w:val="14"/>
          <w:w w:val="110"/>
          <w:sz w:val="21"/>
        </w:rPr>
        <w:t> </w:t>
      </w:r>
      <w:r>
        <w:rPr>
          <w:color w:val="3D3B3B"/>
          <w:w w:val="110"/>
          <w:sz w:val="21"/>
        </w:rPr>
        <w:t>that</w:t>
      </w:r>
      <w:r>
        <w:rPr>
          <w:color w:val="3D3B3B"/>
          <w:spacing w:val="2"/>
          <w:w w:val="110"/>
          <w:sz w:val="21"/>
        </w:rPr>
        <w:t> </w:t>
      </w:r>
      <w:r>
        <w:rPr>
          <w:color w:val="3D3B3B"/>
          <w:w w:val="110"/>
          <w:sz w:val="21"/>
        </w:rPr>
        <w:t>role</w:t>
      </w:r>
      <w:r>
        <w:rPr>
          <w:color w:val="3D3B3B"/>
          <w:spacing w:val="-9"/>
          <w:w w:val="110"/>
          <w:sz w:val="21"/>
        </w:rPr>
        <w:t> </w:t>
      </w:r>
      <w:r>
        <w:rPr>
          <w:color w:val="504F52"/>
          <w:w w:val="110"/>
          <w:sz w:val="21"/>
        </w:rPr>
        <w:t>comes</w:t>
      </w:r>
      <w:r>
        <w:rPr>
          <w:color w:val="504F52"/>
          <w:spacing w:val="4"/>
          <w:w w:val="110"/>
          <w:sz w:val="21"/>
        </w:rPr>
        <w:t> </w:t>
      </w:r>
      <w:r>
        <w:rPr>
          <w:color w:val="3D3B3B"/>
          <w:w w:val="110"/>
          <w:sz w:val="21"/>
        </w:rPr>
        <w:t>expertise</w:t>
      </w:r>
      <w:r>
        <w:rPr>
          <w:color w:val="3D3B3B"/>
          <w:spacing w:val="39"/>
          <w:w w:val="110"/>
          <w:sz w:val="21"/>
        </w:rPr>
        <w:t> </w:t>
      </w:r>
      <w:r>
        <w:rPr>
          <w:color w:val="3D3B3B"/>
          <w:w w:val="110"/>
          <w:sz w:val="21"/>
        </w:rPr>
        <w:t>[T]he</w:t>
      </w:r>
      <w:r>
        <w:rPr>
          <w:color w:val="3D3B3B"/>
          <w:spacing w:val="8"/>
          <w:w w:val="110"/>
          <w:sz w:val="21"/>
        </w:rPr>
        <w:t> </w:t>
      </w:r>
      <w:r>
        <w:rPr>
          <w:color w:val="504F52"/>
          <w:w w:val="110"/>
          <w:sz w:val="21"/>
        </w:rPr>
        <w:t>trial</w:t>
      </w:r>
      <w:r>
        <w:rPr>
          <w:color w:val="504F52"/>
          <w:spacing w:val="11"/>
          <w:w w:val="110"/>
          <w:sz w:val="21"/>
        </w:rPr>
        <w:t> </w:t>
      </w:r>
      <w:r>
        <w:rPr>
          <w:color w:val="3D3B3B"/>
          <w:w w:val="110"/>
          <w:sz w:val="21"/>
        </w:rPr>
        <w:t>on</w:t>
      </w:r>
    </w:p>
    <w:p>
      <w:pPr>
        <w:spacing w:line="249" w:lineRule="auto" w:before="0"/>
        <w:ind w:left="1049" w:right="505" w:firstLine="18"/>
        <w:jc w:val="both"/>
        <w:rPr>
          <w:sz w:val="21"/>
        </w:rPr>
      </w:pPr>
      <w:r>
        <w:rPr>
          <w:color w:val="3D3B3B"/>
          <w:w w:val="115"/>
          <w:sz w:val="21"/>
        </w:rPr>
        <w:t>the merits should be </w:t>
      </w:r>
      <w:r>
        <w:rPr>
          <w:color w:val="504F52"/>
          <w:w w:val="115"/>
          <w:sz w:val="21"/>
        </w:rPr>
        <w:t>"the </w:t>
      </w:r>
      <w:r>
        <w:rPr>
          <w:color w:val="3D3B3B"/>
          <w:w w:val="115"/>
          <w:sz w:val="21"/>
        </w:rPr>
        <w:t>'main event' </w:t>
      </w:r>
      <w:r>
        <w:rPr>
          <w:color w:val="504F52"/>
          <w:w w:val="115"/>
          <w:sz w:val="21"/>
        </w:rPr>
        <w:t>...</w:t>
      </w:r>
      <w:r>
        <w:rPr>
          <w:color w:val="504F52"/>
          <w:spacing w:val="1"/>
          <w:w w:val="115"/>
          <w:sz w:val="21"/>
        </w:rPr>
        <w:t> </w:t>
      </w:r>
      <w:r>
        <w:rPr>
          <w:color w:val="3D3B3B"/>
          <w:w w:val="115"/>
          <w:sz w:val="21"/>
        </w:rPr>
        <w:t>rather than a 'tryout on the</w:t>
      </w:r>
      <w:r>
        <w:rPr>
          <w:color w:val="3D3B3B"/>
          <w:spacing w:val="1"/>
          <w:w w:val="115"/>
          <w:sz w:val="21"/>
        </w:rPr>
        <w:t> </w:t>
      </w:r>
      <w:r>
        <w:rPr>
          <w:color w:val="3D3B3B"/>
          <w:w w:val="110"/>
          <w:sz w:val="21"/>
        </w:rPr>
        <w:t>road.'"</w:t>
      </w:r>
      <w:r>
        <w:rPr>
          <w:color w:val="3D3B3B"/>
          <w:spacing w:val="1"/>
          <w:w w:val="110"/>
          <w:sz w:val="21"/>
        </w:rPr>
        <w:t> </w:t>
      </w:r>
      <w:r>
        <w:rPr>
          <w:color w:val="3D3B3B"/>
          <w:w w:val="110"/>
          <w:sz w:val="21"/>
        </w:rPr>
        <w:t>When</w:t>
      </w:r>
      <w:r>
        <w:rPr>
          <w:color w:val="3D3B3B"/>
          <w:spacing w:val="-4"/>
          <w:w w:val="110"/>
          <w:sz w:val="21"/>
        </w:rPr>
        <w:t> </w:t>
      </w:r>
      <w:r>
        <w:rPr>
          <w:color w:val="3D3B3B"/>
          <w:w w:val="110"/>
          <w:sz w:val="21"/>
        </w:rPr>
        <w:t>findings</w:t>
      </w:r>
      <w:r>
        <w:rPr>
          <w:color w:val="3D3B3B"/>
          <w:spacing w:val="-9"/>
          <w:w w:val="110"/>
          <w:sz w:val="21"/>
        </w:rPr>
        <w:t> </w:t>
      </w:r>
      <w:r>
        <w:rPr>
          <w:color w:val="3D3B3B"/>
          <w:w w:val="110"/>
          <w:sz w:val="21"/>
        </w:rPr>
        <w:t>are</w:t>
      </w:r>
      <w:r>
        <w:rPr>
          <w:color w:val="3D3B3B"/>
          <w:spacing w:val="-13"/>
          <w:w w:val="110"/>
          <w:sz w:val="21"/>
        </w:rPr>
        <w:t> </w:t>
      </w:r>
      <w:r>
        <w:rPr>
          <w:color w:val="3D3B3B"/>
          <w:w w:val="110"/>
          <w:sz w:val="21"/>
        </w:rPr>
        <w:t>based</w:t>
      </w:r>
      <w:r>
        <w:rPr>
          <w:color w:val="3D3B3B"/>
          <w:spacing w:val="-11"/>
          <w:w w:val="110"/>
          <w:sz w:val="21"/>
        </w:rPr>
        <w:t> </w:t>
      </w:r>
      <w:r>
        <w:rPr>
          <w:color w:val="3D3B3B"/>
          <w:w w:val="110"/>
          <w:sz w:val="21"/>
        </w:rPr>
        <w:t>on</w:t>
      </w:r>
      <w:r>
        <w:rPr>
          <w:color w:val="3D3B3B"/>
          <w:spacing w:val="28"/>
          <w:w w:val="110"/>
          <w:sz w:val="21"/>
        </w:rPr>
        <w:t> </w:t>
      </w:r>
      <w:r>
        <w:rPr>
          <w:color w:val="3D3B3B"/>
          <w:w w:val="110"/>
          <w:sz w:val="21"/>
        </w:rPr>
        <w:t>determinations</w:t>
      </w:r>
      <w:r>
        <w:rPr>
          <w:color w:val="3D3B3B"/>
          <w:spacing w:val="-25"/>
          <w:w w:val="110"/>
          <w:sz w:val="21"/>
        </w:rPr>
        <w:t> </w:t>
      </w:r>
      <w:r>
        <w:rPr>
          <w:color w:val="3D3B3B"/>
          <w:w w:val="110"/>
          <w:sz w:val="21"/>
        </w:rPr>
        <w:t>regarding</w:t>
      </w:r>
      <w:r>
        <w:rPr>
          <w:color w:val="3D3B3B"/>
          <w:spacing w:val="-1"/>
          <w:w w:val="110"/>
          <w:sz w:val="21"/>
        </w:rPr>
        <w:t> </w:t>
      </w:r>
      <w:r>
        <w:rPr>
          <w:color w:val="3D3B3B"/>
          <w:w w:val="110"/>
          <w:sz w:val="21"/>
        </w:rPr>
        <w:t>the</w:t>
      </w:r>
      <w:r>
        <w:rPr>
          <w:color w:val="3D3B3B"/>
          <w:spacing w:val="18"/>
          <w:w w:val="110"/>
          <w:sz w:val="21"/>
        </w:rPr>
        <w:t> </w:t>
      </w:r>
      <w:r>
        <w:rPr>
          <w:color w:val="3D3B3B"/>
          <w:w w:val="110"/>
          <w:sz w:val="21"/>
        </w:rPr>
        <w:t>cred­</w:t>
      </w:r>
    </w:p>
    <w:p>
      <w:pPr>
        <w:spacing w:line="240" w:lineRule="auto" w:before="0"/>
        <w:ind w:left="1033" w:right="516" w:firstLine="10"/>
        <w:jc w:val="both"/>
        <w:rPr>
          <w:sz w:val="21"/>
        </w:rPr>
      </w:pPr>
      <w:r>
        <w:rPr>
          <w:color w:val="3D3B3B"/>
          <w:w w:val="105"/>
          <w:sz w:val="21"/>
        </w:rPr>
        <w:t>ibility of witnesses, Rule 52(a) demands even greater deference to the</w:t>
      </w:r>
      <w:r>
        <w:rPr>
          <w:color w:val="3D3B3B"/>
          <w:spacing w:val="1"/>
          <w:w w:val="105"/>
          <w:sz w:val="21"/>
        </w:rPr>
        <w:t> </w:t>
      </w:r>
      <w:r>
        <w:rPr>
          <w:color w:val="3D3B3B"/>
          <w:w w:val="105"/>
          <w:sz w:val="21"/>
        </w:rPr>
        <w:t>trial</w:t>
      </w:r>
      <w:r>
        <w:rPr>
          <w:color w:val="3D3B3B"/>
          <w:spacing w:val="1"/>
          <w:w w:val="105"/>
          <w:sz w:val="21"/>
        </w:rPr>
        <w:t> </w:t>
      </w:r>
      <w:r>
        <w:rPr>
          <w:color w:val="3D3B3B"/>
          <w:w w:val="110"/>
          <w:sz w:val="21"/>
        </w:rPr>
        <w:t>court's</w:t>
      </w:r>
      <w:r>
        <w:rPr>
          <w:color w:val="3D3B3B"/>
          <w:spacing w:val="-12"/>
          <w:w w:val="110"/>
          <w:sz w:val="21"/>
        </w:rPr>
        <w:t> </w:t>
      </w:r>
      <w:r>
        <w:rPr>
          <w:color w:val="3D3B3B"/>
          <w:w w:val="110"/>
          <w:sz w:val="21"/>
        </w:rPr>
        <w:t>findings;</w:t>
      </w:r>
      <w:r>
        <w:rPr>
          <w:color w:val="3D3B3B"/>
          <w:spacing w:val="7"/>
          <w:w w:val="110"/>
          <w:sz w:val="21"/>
        </w:rPr>
        <w:t> </w:t>
      </w:r>
      <w:r>
        <w:rPr>
          <w:color w:val="3D3B3B"/>
          <w:w w:val="110"/>
          <w:sz w:val="21"/>
        </w:rPr>
        <w:t>for</w:t>
      </w:r>
      <w:r>
        <w:rPr>
          <w:color w:val="3D3B3B"/>
          <w:spacing w:val="-2"/>
          <w:w w:val="110"/>
          <w:sz w:val="21"/>
        </w:rPr>
        <w:t> </w:t>
      </w:r>
      <w:r>
        <w:rPr>
          <w:color w:val="3D3B3B"/>
          <w:w w:val="110"/>
          <w:sz w:val="21"/>
        </w:rPr>
        <w:t>only</w:t>
      </w:r>
      <w:r>
        <w:rPr>
          <w:color w:val="3D3B3B"/>
          <w:spacing w:val="8"/>
          <w:w w:val="110"/>
          <w:sz w:val="21"/>
        </w:rPr>
        <w:t> </w:t>
      </w:r>
      <w:r>
        <w:rPr>
          <w:color w:val="3D3B3B"/>
          <w:w w:val="110"/>
          <w:sz w:val="21"/>
        </w:rPr>
        <w:t>the</w:t>
      </w:r>
      <w:r>
        <w:rPr>
          <w:color w:val="3D3B3B"/>
          <w:spacing w:val="10"/>
          <w:w w:val="110"/>
          <w:sz w:val="21"/>
        </w:rPr>
        <w:t> </w:t>
      </w:r>
      <w:r>
        <w:rPr>
          <w:color w:val="3D3B3B"/>
          <w:w w:val="110"/>
          <w:sz w:val="21"/>
        </w:rPr>
        <w:t>trial</w:t>
      </w:r>
      <w:r>
        <w:rPr>
          <w:color w:val="3D3B3B"/>
          <w:spacing w:val="23"/>
          <w:w w:val="110"/>
          <w:sz w:val="21"/>
        </w:rPr>
        <w:t> </w:t>
      </w:r>
      <w:r>
        <w:rPr>
          <w:color w:val="3D3B3B"/>
          <w:w w:val="110"/>
          <w:sz w:val="21"/>
        </w:rPr>
        <w:t>judge</w:t>
      </w:r>
      <w:r>
        <w:rPr>
          <w:color w:val="3D3B3B"/>
          <w:spacing w:val="-8"/>
          <w:w w:val="110"/>
          <w:sz w:val="21"/>
        </w:rPr>
        <w:t> </w:t>
      </w:r>
      <w:r>
        <w:rPr>
          <w:color w:val="3D3B3B"/>
          <w:w w:val="110"/>
          <w:sz w:val="21"/>
        </w:rPr>
        <w:t>can</w:t>
      </w:r>
      <w:r>
        <w:rPr>
          <w:color w:val="3D3B3B"/>
          <w:spacing w:val="42"/>
          <w:w w:val="110"/>
          <w:sz w:val="21"/>
        </w:rPr>
        <w:t> </w:t>
      </w:r>
      <w:r>
        <w:rPr>
          <w:color w:val="3D3B3B"/>
          <w:w w:val="110"/>
          <w:sz w:val="20"/>
        </w:rPr>
        <w:t>be</w:t>
      </w:r>
      <w:r>
        <w:rPr>
          <w:color w:val="3D3B3B"/>
          <w:spacing w:val="12"/>
          <w:w w:val="110"/>
          <w:sz w:val="20"/>
        </w:rPr>
        <w:t> </w:t>
      </w:r>
      <w:r>
        <w:rPr>
          <w:color w:val="3D3B3B"/>
          <w:w w:val="110"/>
          <w:sz w:val="21"/>
        </w:rPr>
        <w:t>aware</w:t>
      </w:r>
      <w:r>
        <w:rPr>
          <w:color w:val="3D3B3B"/>
          <w:spacing w:val="-7"/>
          <w:w w:val="110"/>
          <w:sz w:val="21"/>
        </w:rPr>
        <w:t> </w:t>
      </w:r>
      <w:r>
        <w:rPr>
          <w:color w:val="3D3B3B"/>
          <w:w w:val="110"/>
          <w:sz w:val="21"/>
        </w:rPr>
        <w:t>of</w:t>
      </w:r>
      <w:r>
        <w:rPr>
          <w:color w:val="3D3B3B"/>
          <w:spacing w:val="10"/>
          <w:w w:val="110"/>
          <w:sz w:val="21"/>
        </w:rPr>
        <w:t> </w:t>
      </w:r>
      <w:r>
        <w:rPr>
          <w:color w:val="3D3B3B"/>
          <w:w w:val="110"/>
          <w:sz w:val="21"/>
        </w:rPr>
        <w:t>the</w:t>
      </w:r>
      <w:r>
        <w:rPr>
          <w:color w:val="3D3B3B"/>
          <w:spacing w:val="32"/>
          <w:w w:val="110"/>
          <w:sz w:val="21"/>
        </w:rPr>
        <w:t> </w:t>
      </w:r>
      <w:r>
        <w:rPr>
          <w:color w:val="3D3B3B"/>
          <w:w w:val="110"/>
          <w:sz w:val="21"/>
        </w:rPr>
        <w:t>variations in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1"/>
        </w:rPr>
      </w:pPr>
    </w:p>
    <w:p>
      <w:pPr>
        <w:spacing w:line="202" w:lineRule="exact" w:before="0"/>
        <w:ind w:left="508" w:right="139" w:firstLine="503"/>
        <w:jc w:val="left"/>
        <w:rPr>
          <w:sz w:val="18"/>
        </w:rPr>
      </w:pPr>
      <w:r>
        <w:rPr>
          <w:color w:val="504F52"/>
          <w:w w:val="105"/>
          <w:sz w:val="18"/>
        </w:rPr>
        <w:t>•sThe</w:t>
      </w:r>
      <w:r>
        <w:rPr>
          <w:color w:val="504F52"/>
          <w:spacing w:val="1"/>
          <w:w w:val="105"/>
          <w:sz w:val="18"/>
        </w:rPr>
        <w:t> </w:t>
      </w:r>
      <w:r>
        <w:rPr>
          <w:color w:val="3D3B3B"/>
          <w:w w:val="105"/>
          <w:sz w:val="18"/>
        </w:rPr>
        <w:t>United</w:t>
      </w:r>
      <w:r>
        <w:rPr>
          <w:color w:val="3D3B3B"/>
          <w:spacing w:val="1"/>
          <w:w w:val="105"/>
          <w:sz w:val="18"/>
        </w:rPr>
        <w:t> </w:t>
      </w:r>
      <w:r>
        <w:rPr>
          <w:color w:val="3D3B3B"/>
          <w:w w:val="105"/>
          <w:sz w:val="18"/>
        </w:rPr>
        <w:t>States Supreme Court frequently addresses </w:t>
      </w:r>
      <w:r>
        <w:rPr>
          <w:color w:val="504F52"/>
          <w:w w:val="105"/>
          <w:sz w:val="18"/>
        </w:rPr>
        <w:t>standard</w:t>
      </w:r>
      <w:r>
        <w:rPr>
          <w:color w:val="504F52"/>
          <w:spacing w:val="1"/>
          <w:w w:val="105"/>
          <w:sz w:val="18"/>
        </w:rPr>
        <w:t> </w:t>
      </w:r>
      <w:r>
        <w:rPr>
          <w:color w:val="3D3B3B"/>
          <w:w w:val="105"/>
          <w:sz w:val="18"/>
        </w:rPr>
        <w:t>of</w:t>
      </w:r>
      <w:r>
        <w:rPr>
          <w:color w:val="3D3B3B"/>
          <w:spacing w:val="1"/>
          <w:w w:val="105"/>
          <w:sz w:val="18"/>
        </w:rPr>
        <w:t> </w:t>
      </w:r>
      <w:r>
        <w:rPr>
          <w:color w:val="3D3B3B"/>
          <w:w w:val="105"/>
          <w:sz w:val="18"/>
        </w:rPr>
        <w:t>review Issues. </w:t>
      </w:r>
      <w:r>
        <w:rPr>
          <w:i/>
          <w:color w:val="3D3B3B"/>
          <w:w w:val="105"/>
          <w:sz w:val="17"/>
        </w:rPr>
        <w:t>See, e.g.,</w:t>
      </w:r>
      <w:r>
        <w:rPr>
          <w:i/>
          <w:color w:val="3D3B3B"/>
          <w:spacing w:val="1"/>
          <w:w w:val="105"/>
          <w:sz w:val="17"/>
        </w:rPr>
        <w:t> </w:t>
      </w:r>
      <w:r>
        <w:rPr>
          <w:i/>
          <w:color w:val="3D3B3B"/>
          <w:w w:val="105"/>
          <w:sz w:val="17"/>
        </w:rPr>
        <w:t>Bruwn </w:t>
      </w:r>
      <w:r>
        <w:rPr>
          <w:rFonts w:ascii="Arial" w:hAnsi="Arial"/>
          <w:i/>
          <w:color w:val="3D3B3B"/>
          <w:w w:val="105"/>
          <w:sz w:val="15"/>
        </w:rPr>
        <w:t>v.</w:t>
      </w:r>
      <w:r>
        <w:rPr>
          <w:rFonts w:ascii="Arial" w:hAnsi="Arial"/>
          <w:i/>
          <w:color w:val="3D3B3B"/>
          <w:spacing w:val="1"/>
          <w:w w:val="105"/>
          <w:sz w:val="15"/>
        </w:rPr>
        <w:t> </w:t>
      </w:r>
      <w:r>
        <w:rPr>
          <w:i/>
          <w:color w:val="3D3B3B"/>
          <w:w w:val="105"/>
          <w:sz w:val="17"/>
        </w:rPr>
        <w:t>Plata, </w:t>
      </w:r>
      <w:r>
        <w:rPr>
          <w:color w:val="3D3B3B"/>
          <w:w w:val="105"/>
          <w:sz w:val="18"/>
        </w:rPr>
        <w:t>131 S. Ct.</w:t>
      </w:r>
      <w:r>
        <w:rPr>
          <w:color w:val="3D3B3B"/>
          <w:spacing w:val="1"/>
          <w:w w:val="105"/>
          <w:sz w:val="18"/>
        </w:rPr>
        <w:t> </w:t>
      </w:r>
      <w:r>
        <w:rPr>
          <w:color w:val="3D3B3B"/>
          <w:w w:val="105"/>
          <w:sz w:val="18"/>
        </w:rPr>
        <w:t>1910</w:t>
      </w:r>
      <w:r>
        <w:rPr>
          <w:color w:val="626262"/>
          <w:w w:val="105"/>
          <w:sz w:val="18"/>
        </w:rPr>
        <w:t>,</w:t>
      </w:r>
      <w:r>
        <w:rPr>
          <w:color w:val="626262"/>
          <w:spacing w:val="1"/>
          <w:w w:val="105"/>
          <w:sz w:val="18"/>
        </w:rPr>
        <w:t> </w:t>
      </w:r>
      <w:r>
        <w:rPr>
          <w:color w:val="3D3B3B"/>
          <w:w w:val="105"/>
          <w:sz w:val="18"/>
        </w:rPr>
        <w:t>1932 (2011) (deciding appropriate standard of</w:t>
      </w:r>
      <w:r>
        <w:rPr>
          <w:color w:val="3D3B3B"/>
          <w:spacing w:val="1"/>
          <w:w w:val="105"/>
          <w:sz w:val="18"/>
        </w:rPr>
        <w:t> </w:t>
      </w:r>
      <w:r>
        <w:rPr>
          <w:color w:val="3D3B3B"/>
          <w:w w:val="105"/>
          <w:sz w:val="18"/>
        </w:rPr>
        <w:t>review of</w:t>
      </w:r>
      <w:r>
        <w:rPr>
          <w:color w:val="3D3B3B"/>
          <w:spacing w:val="1"/>
          <w:w w:val="105"/>
          <w:sz w:val="18"/>
        </w:rPr>
        <w:t> </w:t>
      </w:r>
      <w:r>
        <w:rPr>
          <w:color w:val="3D3B3B"/>
          <w:w w:val="105"/>
          <w:sz w:val="18"/>
        </w:rPr>
        <w:t>a</w:t>
      </w:r>
      <w:r>
        <w:rPr>
          <w:color w:val="3D3B3B"/>
          <w:spacing w:val="1"/>
          <w:w w:val="105"/>
          <w:sz w:val="18"/>
        </w:rPr>
        <w:t> </w:t>
      </w:r>
      <w:r>
        <w:rPr>
          <w:color w:val="3D3B3B"/>
          <w:w w:val="105"/>
          <w:sz w:val="18"/>
        </w:rPr>
        <w:t>three•</w:t>
      </w:r>
      <w:r>
        <w:rPr>
          <w:color w:val="3D3B3B"/>
          <w:spacing w:val="1"/>
          <w:w w:val="105"/>
          <w:sz w:val="18"/>
        </w:rPr>
        <w:t> </w:t>
      </w:r>
      <w:r>
        <w:rPr>
          <w:color w:val="3D3B3B"/>
          <w:w w:val="110"/>
          <w:sz w:val="18"/>
        </w:rPr>
        <w:t>judge district court opinion</w:t>
      </w:r>
      <w:r>
        <w:rPr>
          <w:color w:val="3D3B3B"/>
          <w:spacing w:val="1"/>
          <w:w w:val="110"/>
          <w:sz w:val="18"/>
        </w:rPr>
        <w:t> </w:t>
      </w:r>
      <w:r>
        <w:rPr>
          <w:color w:val="3D3B3B"/>
          <w:w w:val="110"/>
          <w:sz w:val="18"/>
        </w:rPr>
        <w:t>deciding legal and</w:t>
      </w:r>
      <w:r>
        <w:rPr>
          <w:color w:val="3D3B3B"/>
          <w:spacing w:val="1"/>
          <w:w w:val="110"/>
          <w:sz w:val="18"/>
        </w:rPr>
        <w:t> </w:t>
      </w:r>
      <w:r>
        <w:rPr>
          <w:color w:val="3D3B3B"/>
          <w:w w:val="110"/>
          <w:sz w:val="18"/>
        </w:rPr>
        <w:t>factual</w:t>
      </w:r>
      <w:r>
        <w:rPr>
          <w:color w:val="3D3B3B"/>
          <w:spacing w:val="1"/>
          <w:w w:val="110"/>
          <w:sz w:val="18"/>
        </w:rPr>
        <w:t> </w:t>
      </w:r>
      <w:r>
        <w:rPr>
          <w:color w:val="3D3B3B"/>
          <w:w w:val="110"/>
          <w:sz w:val="18"/>
        </w:rPr>
        <w:t>Issues relating to</w:t>
      </w:r>
      <w:r>
        <w:rPr>
          <w:color w:val="3D3B3B"/>
          <w:spacing w:val="1"/>
          <w:w w:val="110"/>
          <w:sz w:val="18"/>
        </w:rPr>
        <w:t> </w:t>
      </w:r>
      <w:r>
        <w:rPr>
          <w:color w:val="3D3B3B"/>
          <w:w w:val="110"/>
          <w:sz w:val="18"/>
        </w:rPr>
        <w:t>prison overcrowding);</w:t>
      </w:r>
      <w:r>
        <w:rPr>
          <w:color w:val="3D3B3B"/>
          <w:spacing w:val="1"/>
          <w:w w:val="110"/>
          <w:sz w:val="18"/>
        </w:rPr>
        <w:t> </w:t>
      </w:r>
      <w:r>
        <w:rPr>
          <w:i/>
          <w:color w:val="3D3B3B"/>
          <w:w w:val="105"/>
          <w:sz w:val="17"/>
        </w:rPr>
        <w:t>Metro. Life Ins. </w:t>
      </w:r>
      <w:r>
        <w:rPr>
          <w:i/>
          <w:color w:val="504F52"/>
          <w:w w:val="105"/>
          <w:sz w:val="17"/>
        </w:rPr>
        <w:t>Co.  </w:t>
      </w:r>
      <w:r>
        <w:rPr>
          <w:i/>
          <w:color w:val="3D3B3B"/>
          <w:w w:val="105"/>
          <w:sz w:val="17"/>
        </w:rPr>
        <w:t>v. Glenn, </w:t>
      </w:r>
      <w:r>
        <w:rPr>
          <w:color w:val="3D3B3B"/>
          <w:w w:val="105"/>
          <w:sz w:val="18"/>
        </w:rPr>
        <w:t>554  U.S. 105, 111 </w:t>
      </w:r>
      <w:r>
        <w:rPr>
          <w:color w:val="504F52"/>
          <w:w w:val="105"/>
          <w:sz w:val="18"/>
        </w:rPr>
        <w:t>(2008)  </w:t>
      </w:r>
      <w:r>
        <w:rPr>
          <w:color w:val="3D3B3B"/>
          <w:w w:val="105"/>
          <w:sz w:val="18"/>
        </w:rPr>
        <w:t>(analyzing  appropriate standards of  revieW</w:t>
      </w:r>
      <w:r>
        <w:rPr>
          <w:color w:val="3D3B3B"/>
          <w:spacing w:val="1"/>
          <w:w w:val="105"/>
          <w:sz w:val="18"/>
        </w:rPr>
        <w:t> </w:t>
      </w:r>
      <w:r>
        <w:rPr>
          <w:color w:val="3D3B3B"/>
          <w:w w:val="105"/>
          <w:sz w:val="18"/>
        </w:rPr>
        <w:t>in</w:t>
      </w:r>
      <w:r>
        <w:rPr>
          <w:color w:val="3D3B3B"/>
          <w:spacing w:val="1"/>
          <w:w w:val="105"/>
          <w:sz w:val="18"/>
        </w:rPr>
        <w:t> </w:t>
      </w:r>
      <w:r>
        <w:rPr>
          <w:color w:val="3D3B3B"/>
          <w:w w:val="105"/>
          <w:sz w:val="18"/>
        </w:rPr>
        <w:t>ERlSA appeals); </w:t>
      </w:r>
      <w:r>
        <w:rPr>
          <w:i/>
          <w:color w:val="3D3B3B"/>
          <w:w w:val="105"/>
          <w:sz w:val="17"/>
        </w:rPr>
        <w:t>Gall </w:t>
      </w:r>
      <w:r>
        <w:rPr>
          <w:i/>
          <w:color w:val="3D3B3B"/>
          <w:w w:val="105"/>
          <w:sz w:val="19"/>
        </w:rPr>
        <w:t>v. </w:t>
      </w:r>
      <w:r>
        <w:rPr>
          <w:i/>
          <w:color w:val="3D3B3B"/>
          <w:w w:val="105"/>
          <w:sz w:val="17"/>
        </w:rPr>
        <w:t>United States, </w:t>
      </w:r>
      <w:r>
        <w:rPr>
          <w:color w:val="3D3B3B"/>
          <w:w w:val="105"/>
          <w:sz w:val="18"/>
        </w:rPr>
        <w:t>552 U.S. 38,</w:t>
      </w:r>
      <w:r>
        <w:rPr>
          <w:color w:val="3D3B3B"/>
          <w:spacing w:val="1"/>
          <w:w w:val="105"/>
          <w:sz w:val="18"/>
        </w:rPr>
        <w:t> </w:t>
      </w:r>
      <w:r>
        <w:rPr>
          <w:color w:val="3D3B3B"/>
          <w:w w:val="105"/>
          <w:sz w:val="18"/>
        </w:rPr>
        <w:t>46 </w:t>
      </w:r>
      <w:r>
        <w:rPr>
          <w:color w:val="504F52"/>
          <w:w w:val="105"/>
          <w:sz w:val="18"/>
        </w:rPr>
        <w:t>(2007) </w:t>
      </w:r>
      <w:r>
        <w:rPr>
          <w:color w:val="3D3B3B"/>
          <w:w w:val="105"/>
          <w:sz w:val="18"/>
        </w:rPr>
        <w:t>(analyzing</w:t>
      </w:r>
      <w:r>
        <w:rPr>
          <w:color w:val="3D3B3B"/>
          <w:spacing w:val="1"/>
          <w:w w:val="105"/>
          <w:sz w:val="18"/>
        </w:rPr>
        <w:t> </w:t>
      </w:r>
      <w:r>
        <w:rPr>
          <w:color w:val="3D3B3B"/>
          <w:w w:val="105"/>
          <w:sz w:val="18"/>
        </w:rPr>
        <w:t>use of</w:t>
      </w:r>
      <w:r>
        <w:rPr>
          <w:color w:val="3D3B3B"/>
          <w:spacing w:val="1"/>
          <w:w w:val="105"/>
          <w:sz w:val="18"/>
        </w:rPr>
        <w:t> </w:t>
      </w:r>
      <w:r>
        <w:rPr>
          <w:color w:val="3D3B3B"/>
          <w:w w:val="105"/>
          <w:sz w:val="18"/>
        </w:rPr>
        <w:t>the</w:t>
      </w:r>
      <w:r>
        <w:rPr>
          <w:color w:val="3D3B3B"/>
          <w:spacing w:val="1"/>
          <w:w w:val="105"/>
          <w:sz w:val="18"/>
        </w:rPr>
        <w:t> </w:t>
      </w:r>
      <w:r>
        <w:rPr>
          <w:color w:val="3D3B3B"/>
          <w:w w:val="105"/>
          <w:sz w:val="18"/>
        </w:rPr>
        <w:t>abuse of dis­</w:t>
      </w:r>
      <w:r>
        <w:rPr>
          <w:color w:val="3D3B3B"/>
          <w:spacing w:val="-45"/>
          <w:w w:val="105"/>
          <w:sz w:val="18"/>
        </w:rPr>
        <w:t> </w:t>
      </w:r>
      <w:r>
        <w:rPr>
          <w:color w:val="3D3B3B"/>
          <w:spacing w:val="-1"/>
          <w:w w:val="110"/>
          <w:sz w:val="18"/>
        </w:rPr>
        <w:t>cretion standard of </w:t>
      </w:r>
      <w:r>
        <w:rPr>
          <w:i/>
          <w:color w:val="3D3B3B"/>
          <w:spacing w:val="-1"/>
          <w:w w:val="110"/>
          <w:sz w:val="17"/>
        </w:rPr>
        <w:t>review </w:t>
      </w:r>
      <w:r>
        <w:rPr>
          <w:color w:val="3D3B3B"/>
          <w:spacing w:val="-1"/>
          <w:w w:val="110"/>
          <w:sz w:val="18"/>
        </w:rPr>
        <w:t>in sentencing decisions); </w:t>
      </w:r>
      <w:r>
        <w:rPr>
          <w:i/>
          <w:color w:val="3D3B3B"/>
          <w:w w:val="110"/>
          <w:sz w:val="17"/>
        </w:rPr>
        <w:t>Cooper Indus., Inc. v. Leatherman Tool GrollP,</w:t>
      </w:r>
      <w:r>
        <w:rPr>
          <w:i/>
          <w:color w:val="3D3B3B"/>
          <w:spacing w:val="1"/>
          <w:w w:val="110"/>
          <w:sz w:val="17"/>
        </w:rPr>
        <w:t> </w:t>
      </w:r>
      <w:r>
        <w:rPr>
          <w:i/>
          <w:color w:val="3D3B3B"/>
          <w:w w:val="110"/>
          <w:sz w:val="19"/>
        </w:rPr>
        <w:t>inc., </w:t>
      </w:r>
      <w:r>
        <w:rPr>
          <w:color w:val="3D3B3B"/>
          <w:w w:val="110"/>
          <w:sz w:val="18"/>
        </w:rPr>
        <w:t>532 U.S. 424, 434 (2001) (finding that de novo review, rather than abuse of discretion, was</w:t>
      </w:r>
      <w:r>
        <w:rPr>
          <w:color w:val="3D3B3B"/>
          <w:spacing w:val="1"/>
          <w:w w:val="110"/>
          <w:sz w:val="18"/>
        </w:rPr>
        <w:t> </w:t>
      </w:r>
      <w:r>
        <w:rPr>
          <w:color w:val="3D3B3B"/>
          <w:w w:val="110"/>
          <w:sz w:val="18"/>
        </w:rPr>
        <w:t>appropriate </w:t>
      </w:r>
      <w:r>
        <w:rPr>
          <w:color w:val="504F52"/>
          <w:w w:val="110"/>
          <w:sz w:val="18"/>
        </w:rPr>
        <w:t>standard </w:t>
      </w:r>
      <w:r>
        <w:rPr>
          <w:color w:val="3D3B3B"/>
          <w:w w:val="110"/>
          <w:sz w:val="18"/>
        </w:rPr>
        <w:t>of review for district court determination of the</w:t>
      </w:r>
      <w:r>
        <w:rPr>
          <w:color w:val="3D3B3B"/>
          <w:spacing w:val="1"/>
          <w:w w:val="110"/>
          <w:sz w:val="18"/>
        </w:rPr>
        <w:t> </w:t>
      </w:r>
      <w:r>
        <w:rPr>
          <w:color w:val="3D3B3B"/>
          <w:w w:val="110"/>
          <w:sz w:val="18"/>
        </w:rPr>
        <w:t>constitutionality </w:t>
      </w:r>
      <w:r>
        <w:rPr>
          <w:color w:val="504F52"/>
          <w:w w:val="110"/>
          <w:sz w:val="18"/>
        </w:rPr>
        <w:t>of </w:t>
      </w:r>
      <w:r>
        <w:rPr>
          <w:color w:val="3D3B3B"/>
          <w:w w:val="110"/>
          <w:sz w:val="18"/>
        </w:rPr>
        <w:t>a punl·</w:t>
      </w:r>
      <w:r>
        <w:rPr>
          <w:color w:val="3D3B3B"/>
          <w:spacing w:val="1"/>
          <w:w w:val="110"/>
          <w:sz w:val="18"/>
        </w:rPr>
        <w:t> </w:t>
      </w:r>
      <w:r>
        <w:rPr>
          <w:color w:val="3D3B3B"/>
          <w:w w:val="105"/>
          <w:sz w:val="18"/>
        </w:rPr>
        <w:t>tive damages awardJ; </w:t>
      </w:r>
      <w:r>
        <w:rPr>
          <w:rFonts w:ascii="Arial" w:hAnsi="Arial"/>
          <w:i/>
          <w:color w:val="3D3B3B"/>
          <w:w w:val="105"/>
          <w:sz w:val="16"/>
        </w:rPr>
        <w:t>Omelas v. </w:t>
      </w:r>
      <w:r>
        <w:rPr>
          <w:i/>
          <w:color w:val="3D3B3B"/>
          <w:w w:val="105"/>
          <w:sz w:val="17"/>
        </w:rPr>
        <w:t>United </w:t>
      </w:r>
      <w:r>
        <w:rPr>
          <w:rFonts w:ascii="Arial" w:hAnsi="Arial"/>
          <w:i/>
          <w:color w:val="504F52"/>
          <w:w w:val="105"/>
          <w:sz w:val="16"/>
        </w:rPr>
        <w:t>States, </w:t>
      </w:r>
      <w:r>
        <w:rPr>
          <w:color w:val="3D3B3B"/>
          <w:w w:val="105"/>
          <w:sz w:val="18"/>
        </w:rPr>
        <w:t>517</w:t>
      </w:r>
      <w:r>
        <w:rPr>
          <w:color w:val="3D3B3B"/>
          <w:spacing w:val="1"/>
          <w:w w:val="105"/>
          <w:sz w:val="18"/>
        </w:rPr>
        <w:t> </w:t>
      </w:r>
      <w:r>
        <w:rPr>
          <w:color w:val="3D3B3B"/>
          <w:w w:val="105"/>
          <w:sz w:val="18"/>
        </w:rPr>
        <w:t>U.S. 690</w:t>
      </w:r>
      <w:r>
        <w:rPr>
          <w:color w:val="3D3B3B"/>
          <w:spacing w:val="1"/>
          <w:w w:val="105"/>
          <w:sz w:val="18"/>
        </w:rPr>
        <w:t> </w:t>
      </w:r>
      <w:r>
        <w:rPr>
          <w:color w:val="3D3B3B"/>
          <w:w w:val="105"/>
          <w:sz w:val="18"/>
        </w:rPr>
        <w:t>(1996) (holding </w:t>
      </w:r>
      <w:r>
        <w:rPr>
          <w:color w:val="504F52"/>
          <w:w w:val="105"/>
          <w:sz w:val="18"/>
        </w:rPr>
        <w:t>that </w:t>
      </w:r>
      <w:r>
        <w:rPr>
          <w:color w:val="3D3B3B"/>
          <w:w w:val="105"/>
          <w:sz w:val="18"/>
        </w:rPr>
        <w:t>determinations</w:t>
      </w:r>
      <w:r>
        <w:rPr>
          <w:rFonts w:ascii="Arial" w:hAnsi="Arial"/>
          <w:i/>
          <w:color w:val="3D3B3B"/>
          <w:w w:val="105"/>
          <w:sz w:val="16"/>
        </w:rPr>
        <w:t>of</w:t>
      </w:r>
      <w:r>
        <w:rPr>
          <w:rFonts w:ascii="Arial" w:hAnsi="Arial"/>
          <w:i/>
          <w:color w:val="3D3B3B"/>
          <w:spacing w:val="1"/>
          <w:w w:val="105"/>
          <w:sz w:val="16"/>
        </w:rPr>
        <w:t> </w:t>
      </w:r>
      <w:r>
        <w:rPr>
          <w:color w:val="3D3B3B"/>
          <w:spacing w:val="-1"/>
          <w:w w:val="110"/>
          <w:sz w:val="18"/>
        </w:rPr>
        <w:t>"reasonable suspicion" and "probable cause" should </w:t>
      </w:r>
      <w:r>
        <w:rPr>
          <w:color w:val="3D3B3B"/>
          <w:spacing w:val="-1"/>
          <w:w w:val="110"/>
          <w:sz w:val="17"/>
        </w:rPr>
        <w:t>be </w:t>
      </w:r>
      <w:r>
        <w:rPr>
          <w:color w:val="3D3B3B"/>
          <w:spacing w:val="-1"/>
          <w:w w:val="110"/>
          <w:sz w:val="18"/>
        </w:rPr>
        <w:t>reviewed de novo by </w:t>
      </w:r>
      <w:r>
        <w:rPr>
          <w:color w:val="3D3B3B"/>
          <w:w w:val="110"/>
          <w:sz w:val="18"/>
        </w:rPr>
        <w:t>appellate courts). </w:t>
      </w:r>
      <w:r>
        <w:rPr>
          <w:i/>
          <w:color w:val="504F52"/>
          <w:w w:val="110"/>
          <w:sz w:val="21"/>
        </w:rPr>
        <w:t>see</w:t>
      </w:r>
      <w:r>
        <w:rPr>
          <w:i/>
          <w:color w:val="504F52"/>
          <w:spacing w:val="-55"/>
          <w:w w:val="110"/>
          <w:sz w:val="21"/>
        </w:rPr>
        <w:t> </w:t>
      </w:r>
      <w:r>
        <w:rPr>
          <w:i/>
          <w:color w:val="3D3B3B"/>
          <w:w w:val="105"/>
          <w:sz w:val="17"/>
        </w:rPr>
        <w:t>generally </w:t>
      </w:r>
      <w:r>
        <w:rPr>
          <w:color w:val="3D3B3B"/>
          <w:w w:val="105"/>
          <w:sz w:val="18"/>
        </w:rPr>
        <w:t>Bosse, </w:t>
      </w:r>
      <w:r>
        <w:rPr>
          <w:i/>
          <w:color w:val="3D3B3B"/>
          <w:w w:val="105"/>
          <w:sz w:val="17"/>
        </w:rPr>
        <w:t>supra </w:t>
      </w:r>
      <w:r>
        <w:rPr>
          <w:color w:val="3D3B3B"/>
          <w:w w:val="105"/>
          <w:sz w:val="18"/>
        </w:rPr>
        <w:t>note 11,at 374-84 (discussing </w:t>
      </w:r>
      <w:r>
        <w:rPr>
          <w:i/>
          <w:color w:val="3D3B3B"/>
          <w:w w:val="105"/>
          <w:sz w:val="17"/>
        </w:rPr>
        <w:t>Ornelas), </w:t>
      </w:r>
      <w:r>
        <w:rPr>
          <w:color w:val="3D3B3B"/>
          <w:w w:val="105"/>
          <w:sz w:val="18"/>
        </w:rPr>
        <w:t>and</w:t>
      </w:r>
      <w:r>
        <w:rPr>
          <w:color w:val="3D3B3B"/>
          <w:spacing w:val="1"/>
          <w:w w:val="105"/>
          <w:sz w:val="18"/>
        </w:rPr>
        <w:t> </w:t>
      </w:r>
      <w:r>
        <w:rPr>
          <w:color w:val="3D3B3B"/>
          <w:w w:val="105"/>
          <w:sz w:val="18"/>
        </w:rPr>
        <w:t>Kelly Kunsch, </w:t>
      </w:r>
      <w:r>
        <w:rPr>
          <w:i/>
          <w:color w:val="3D3B3B"/>
          <w:w w:val="105"/>
          <w:sz w:val="17"/>
        </w:rPr>
        <w:t>Standard of RevieW</w:t>
      </w:r>
      <w:r>
        <w:rPr>
          <w:i/>
          <w:color w:val="3D3B3B"/>
          <w:spacing w:val="1"/>
          <w:w w:val="105"/>
          <w:sz w:val="17"/>
        </w:rPr>
        <w:t> </w:t>
      </w:r>
      <w:r>
        <w:rPr>
          <w:i/>
          <w:color w:val="3D3B3B"/>
          <w:w w:val="105"/>
          <w:sz w:val="17"/>
        </w:rPr>
        <w:t>(Stateand</w:t>
      </w:r>
      <w:r>
        <w:rPr>
          <w:i/>
          <w:color w:val="3D3B3B"/>
          <w:spacing w:val="3"/>
          <w:w w:val="105"/>
          <w:sz w:val="17"/>
        </w:rPr>
        <w:t> </w:t>
      </w:r>
      <w:r>
        <w:rPr>
          <w:i/>
          <w:color w:val="3D3B3B"/>
          <w:w w:val="105"/>
          <w:sz w:val="17"/>
        </w:rPr>
        <w:t>Federal):</w:t>
      </w:r>
      <w:r>
        <w:rPr>
          <w:i/>
          <w:color w:val="3D3B3B"/>
          <w:spacing w:val="-13"/>
          <w:w w:val="105"/>
          <w:sz w:val="17"/>
        </w:rPr>
        <w:t> </w:t>
      </w:r>
      <w:r>
        <w:rPr>
          <w:i/>
          <w:color w:val="3D3B3B"/>
          <w:w w:val="105"/>
          <w:sz w:val="17"/>
        </w:rPr>
        <w:t>A</w:t>
      </w:r>
      <w:r>
        <w:rPr>
          <w:i/>
          <w:color w:val="3D3B3B"/>
          <w:spacing w:val="21"/>
          <w:w w:val="105"/>
          <w:sz w:val="17"/>
        </w:rPr>
        <w:t> </w:t>
      </w:r>
      <w:r>
        <w:rPr>
          <w:i/>
          <w:color w:val="3D3B3B"/>
          <w:w w:val="105"/>
          <w:sz w:val="17"/>
        </w:rPr>
        <w:t>Primer,</w:t>
      </w:r>
      <w:r>
        <w:rPr>
          <w:i/>
          <w:color w:val="3D3B3B"/>
          <w:spacing w:val="-8"/>
          <w:w w:val="105"/>
          <w:sz w:val="17"/>
        </w:rPr>
        <w:t> </w:t>
      </w:r>
      <w:r>
        <w:rPr>
          <w:color w:val="3D3B3B"/>
          <w:w w:val="105"/>
          <w:sz w:val="18"/>
        </w:rPr>
        <w:t>18 </w:t>
      </w:r>
      <w:r>
        <w:rPr>
          <w:color w:val="504F52"/>
          <w:w w:val="105"/>
          <w:sz w:val="18"/>
        </w:rPr>
        <w:t>Seattle</w:t>
      </w:r>
      <w:r>
        <w:rPr>
          <w:color w:val="504F52"/>
          <w:spacing w:val="-1"/>
          <w:w w:val="105"/>
          <w:sz w:val="18"/>
        </w:rPr>
        <w:t> </w:t>
      </w:r>
      <w:r>
        <w:rPr>
          <w:color w:val="3D3B3B"/>
          <w:w w:val="105"/>
          <w:sz w:val="18"/>
        </w:rPr>
        <w:t>U.</w:t>
      </w:r>
      <w:r>
        <w:rPr>
          <w:color w:val="3D3B3B"/>
          <w:spacing w:val="-18"/>
          <w:w w:val="105"/>
          <w:sz w:val="18"/>
        </w:rPr>
        <w:t> </w:t>
      </w:r>
      <w:r>
        <w:rPr>
          <w:color w:val="3D3B3B"/>
          <w:w w:val="105"/>
          <w:sz w:val="18"/>
        </w:rPr>
        <w:t>L.</w:t>
      </w:r>
      <w:r>
        <w:rPr>
          <w:color w:val="3D3B3B"/>
          <w:spacing w:val="-14"/>
          <w:w w:val="105"/>
          <w:sz w:val="18"/>
        </w:rPr>
        <w:t> </w:t>
      </w:r>
      <w:r>
        <w:rPr>
          <w:color w:val="3D3B3B"/>
          <w:w w:val="105"/>
          <w:sz w:val="18"/>
        </w:rPr>
        <w:t>Rev.</w:t>
      </w:r>
      <w:r>
        <w:rPr>
          <w:color w:val="3D3B3B"/>
          <w:spacing w:val="-16"/>
          <w:w w:val="105"/>
          <w:sz w:val="18"/>
        </w:rPr>
        <w:t> </w:t>
      </w:r>
      <w:r>
        <w:rPr>
          <w:color w:val="504F52"/>
          <w:w w:val="105"/>
          <w:sz w:val="18"/>
        </w:rPr>
        <w:t>11,</w:t>
      </w:r>
      <w:r>
        <w:rPr>
          <w:color w:val="504F52"/>
          <w:spacing w:val="30"/>
          <w:w w:val="105"/>
          <w:sz w:val="18"/>
        </w:rPr>
        <w:t> </w:t>
      </w:r>
      <w:r>
        <w:rPr>
          <w:color w:val="3D3B3B"/>
          <w:w w:val="105"/>
          <w:sz w:val="18"/>
        </w:rPr>
        <w:t>25</w:t>
      </w:r>
      <w:r>
        <w:rPr>
          <w:color w:val="3D3B3B"/>
          <w:spacing w:val="24"/>
          <w:w w:val="105"/>
          <w:sz w:val="18"/>
        </w:rPr>
        <w:t> </w:t>
      </w:r>
      <w:r>
        <w:rPr>
          <w:color w:val="504F52"/>
          <w:w w:val="105"/>
          <w:sz w:val="18"/>
        </w:rPr>
        <w:t>(1994).</w:t>
      </w:r>
    </w:p>
    <w:p>
      <w:pPr>
        <w:spacing w:after="0" w:line="202" w:lineRule="exact"/>
        <w:jc w:val="left"/>
        <w:rPr>
          <w:sz w:val="18"/>
        </w:rPr>
        <w:sectPr>
          <w:headerReference w:type="even" r:id="rId44"/>
          <w:headerReference w:type="default" r:id="rId45"/>
          <w:pgSz w:w="9890" w:h="13810"/>
          <w:pgMar w:header="366" w:footer="0" w:top="560" w:bottom="0" w:left="1380" w:right="120"/>
          <w:pgNumType w:start="1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91"/>
        <w:ind w:left="485" w:right="686" w:firstLine="3"/>
        <w:jc w:val="both"/>
        <w:rPr>
          <w:sz w:val="21"/>
        </w:rPr>
      </w:pPr>
      <w:r>
        <w:rPr>
          <w:color w:val="383638"/>
          <w:w w:val="110"/>
          <w:sz w:val="21"/>
        </w:rPr>
        <w:t>demeanor and tone of voice that bear </w:t>
      </w:r>
      <w:r>
        <w:rPr>
          <w:color w:val="484648"/>
          <w:w w:val="110"/>
          <w:sz w:val="21"/>
        </w:rPr>
        <w:t>so </w:t>
      </w:r>
      <w:r>
        <w:rPr>
          <w:color w:val="383638"/>
          <w:w w:val="110"/>
          <w:sz w:val="21"/>
        </w:rPr>
        <w:t>heavily on the listener's under­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484648"/>
          <w:w w:val="105"/>
          <w:sz w:val="21"/>
        </w:rPr>
        <w:t>standing</w:t>
      </w:r>
      <w:r>
        <w:rPr>
          <w:color w:val="484648"/>
          <w:spacing w:val="-13"/>
          <w:w w:val="105"/>
          <w:sz w:val="21"/>
        </w:rPr>
        <w:t> </w:t>
      </w:r>
      <w:r>
        <w:rPr>
          <w:color w:val="383638"/>
          <w:w w:val="105"/>
          <w:sz w:val="21"/>
        </w:rPr>
        <w:t>of</w:t>
      </w:r>
      <w:r>
        <w:rPr>
          <w:color w:val="383638"/>
          <w:spacing w:val="-6"/>
          <w:w w:val="105"/>
          <w:sz w:val="21"/>
        </w:rPr>
        <w:t> </w:t>
      </w:r>
      <w:r>
        <w:rPr>
          <w:color w:val="383638"/>
          <w:w w:val="105"/>
          <w:sz w:val="21"/>
        </w:rPr>
        <w:t>and</w:t>
      </w:r>
      <w:r>
        <w:rPr>
          <w:color w:val="383638"/>
          <w:spacing w:val="24"/>
          <w:w w:val="105"/>
          <w:sz w:val="21"/>
        </w:rPr>
        <w:t> </w:t>
      </w:r>
      <w:r>
        <w:rPr>
          <w:color w:val="383638"/>
          <w:w w:val="105"/>
          <w:sz w:val="21"/>
        </w:rPr>
        <w:t>belief</w:t>
      </w:r>
      <w:r>
        <w:rPr>
          <w:color w:val="383638"/>
          <w:spacing w:val="9"/>
          <w:w w:val="105"/>
          <w:sz w:val="21"/>
        </w:rPr>
        <w:t> </w:t>
      </w:r>
      <w:r>
        <w:rPr>
          <w:color w:val="383638"/>
          <w:w w:val="105"/>
          <w:sz w:val="21"/>
        </w:rPr>
        <w:t>in</w:t>
      </w:r>
      <w:r>
        <w:rPr>
          <w:color w:val="383638"/>
          <w:spacing w:val="25"/>
          <w:w w:val="105"/>
          <w:sz w:val="21"/>
        </w:rPr>
        <w:t> </w:t>
      </w:r>
      <w:r>
        <w:rPr>
          <w:color w:val="383638"/>
          <w:w w:val="105"/>
          <w:sz w:val="21"/>
        </w:rPr>
        <w:t>what</w:t>
      </w:r>
      <w:r>
        <w:rPr>
          <w:color w:val="383638"/>
          <w:spacing w:val="4"/>
          <w:w w:val="105"/>
          <w:sz w:val="21"/>
        </w:rPr>
        <w:t> </w:t>
      </w:r>
      <w:r>
        <w:rPr>
          <w:color w:val="383638"/>
          <w:w w:val="105"/>
          <w:sz w:val="21"/>
        </w:rPr>
        <w:t>is</w:t>
      </w:r>
      <w:r>
        <w:rPr>
          <w:color w:val="383638"/>
          <w:spacing w:val="-26"/>
          <w:w w:val="105"/>
          <w:sz w:val="21"/>
        </w:rPr>
        <w:t> </w:t>
      </w:r>
      <w:r>
        <w:rPr>
          <w:color w:val="383638"/>
          <w:w w:val="105"/>
          <w:sz w:val="21"/>
        </w:rPr>
        <w:t>said.</w:t>
      </w:r>
      <w:r>
        <w:rPr>
          <w:color w:val="383638"/>
          <w:w w:val="105"/>
          <w:sz w:val="21"/>
          <w:vertAlign w:val="superscript"/>
        </w:rPr>
        <w:t>16</w:t>
      </w:r>
    </w:p>
    <w:p>
      <w:pPr>
        <w:pStyle w:val="BodyText"/>
        <w:spacing w:line="235" w:lineRule="auto" w:before="139"/>
        <w:ind w:left="121" w:right="304" w:firstLine="375"/>
        <w:jc w:val="both"/>
      </w:pPr>
      <w:r>
        <w:rPr>
          <w:color w:val="383638"/>
          <w:w w:val="115"/>
        </w:rPr>
        <w:t>Courts often note that a court </w:t>
      </w:r>
      <w:r>
        <w:rPr>
          <w:color w:val="484648"/>
          <w:w w:val="115"/>
        </w:rPr>
        <w:t>should </w:t>
      </w:r>
      <w:r>
        <w:rPr>
          <w:color w:val="383638"/>
          <w:w w:val="115"/>
        </w:rPr>
        <w:t>find clear </w:t>
      </w:r>
      <w:r>
        <w:rPr>
          <w:color w:val="484648"/>
          <w:w w:val="115"/>
        </w:rPr>
        <w:t>error </w:t>
      </w:r>
      <w:r>
        <w:rPr>
          <w:color w:val="383638"/>
          <w:w w:val="115"/>
        </w:rPr>
        <w:t>only when </w:t>
      </w:r>
      <w:r>
        <w:rPr>
          <w:color w:val="484648"/>
          <w:w w:val="115"/>
        </w:rPr>
        <w:t>its</w:t>
      </w:r>
      <w:r>
        <w:rPr>
          <w:color w:val="484648"/>
          <w:spacing w:val="1"/>
          <w:w w:val="115"/>
        </w:rPr>
        <w:t> </w:t>
      </w:r>
      <w:r>
        <w:rPr>
          <w:color w:val="383638"/>
          <w:w w:val="115"/>
        </w:rPr>
        <w:t>review of the record leads to </w:t>
      </w:r>
      <w:r>
        <w:rPr>
          <w:color w:val="484648"/>
          <w:w w:val="115"/>
        </w:rPr>
        <w:t>"a </w:t>
      </w:r>
      <w:r>
        <w:rPr>
          <w:color w:val="383638"/>
          <w:w w:val="115"/>
        </w:rPr>
        <w:t>definite and firm conviction" that the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court has </w:t>
      </w:r>
      <w:r>
        <w:rPr>
          <w:color w:val="484648"/>
          <w:w w:val="110"/>
        </w:rPr>
        <w:t>committed </w:t>
      </w:r>
      <w:r>
        <w:rPr>
          <w:color w:val="383638"/>
          <w:w w:val="110"/>
        </w:rPr>
        <w:t>a mistake.</w:t>
      </w:r>
      <w:r>
        <w:rPr>
          <w:color w:val="383638"/>
          <w:w w:val="110"/>
          <w:vertAlign w:val="superscript"/>
        </w:rPr>
        <w:t>17</w:t>
      </w:r>
      <w:r>
        <w:rPr>
          <w:color w:val="383638"/>
          <w:w w:val="110"/>
          <w:vertAlign w:val="baseline"/>
        </w:rPr>
        <w:t> The clearly </w:t>
      </w:r>
      <w:r>
        <w:rPr>
          <w:color w:val="484648"/>
          <w:w w:val="110"/>
          <w:vertAlign w:val="baseline"/>
        </w:rPr>
        <w:t>erroneous standard </w:t>
      </w:r>
      <w:r>
        <w:rPr>
          <w:color w:val="383638"/>
          <w:w w:val="110"/>
          <w:vertAlign w:val="baseline"/>
        </w:rPr>
        <w:t>is a high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hurdle for </w:t>
      </w:r>
      <w:r>
        <w:rPr>
          <w:color w:val="484648"/>
          <w:w w:val="110"/>
          <w:vertAlign w:val="baseline"/>
        </w:rPr>
        <w:t>an advocate </w:t>
      </w:r>
      <w:r>
        <w:rPr>
          <w:color w:val="383638"/>
          <w:w w:val="110"/>
          <w:vertAlign w:val="baseline"/>
        </w:rPr>
        <w:t>to </w:t>
      </w:r>
      <w:r>
        <w:rPr>
          <w:color w:val="484648"/>
          <w:w w:val="110"/>
          <w:vertAlign w:val="baseline"/>
        </w:rPr>
        <w:t>overcome. </w:t>
      </w:r>
      <w:r>
        <w:rPr>
          <w:color w:val="383638"/>
          <w:w w:val="110"/>
          <w:vertAlign w:val="baseline"/>
        </w:rPr>
        <w:t>The Seventh </w:t>
      </w:r>
      <w:r>
        <w:rPr>
          <w:color w:val="484648"/>
          <w:w w:val="110"/>
          <w:vertAlign w:val="baseline"/>
        </w:rPr>
        <w:t>Circuit </w:t>
      </w:r>
      <w:r>
        <w:rPr>
          <w:color w:val="383638"/>
          <w:w w:val="110"/>
          <w:vertAlign w:val="baseline"/>
        </w:rPr>
        <w:t>has used a pisca­</w:t>
      </w:r>
      <w:r>
        <w:rPr>
          <w:color w:val="383638"/>
          <w:spacing w:val="-61"/>
          <w:w w:val="110"/>
          <w:vertAlign w:val="baseline"/>
        </w:rPr>
        <w:t> </w:t>
      </w:r>
      <w:r>
        <w:rPr>
          <w:color w:val="383638"/>
          <w:w w:val="115"/>
          <w:vertAlign w:val="baseline"/>
        </w:rPr>
        <w:t>torial</w:t>
      </w:r>
      <w:r>
        <w:rPr>
          <w:color w:val="383638"/>
          <w:spacing w:val="3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metaphor</w:t>
      </w:r>
      <w:r>
        <w:rPr>
          <w:color w:val="383638"/>
          <w:spacing w:val="5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to</w:t>
      </w:r>
      <w:r>
        <w:rPr>
          <w:color w:val="383638"/>
          <w:spacing w:val="2"/>
          <w:w w:val="115"/>
          <w:vertAlign w:val="baseline"/>
        </w:rPr>
        <w:t> </w:t>
      </w:r>
      <w:r>
        <w:rPr>
          <w:color w:val="484648"/>
          <w:w w:val="115"/>
          <w:vertAlign w:val="baseline"/>
        </w:rPr>
        <w:t>explain</w:t>
      </w:r>
      <w:r>
        <w:rPr>
          <w:color w:val="484648"/>
          <w:spacing w:val="5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the</w:t>
      </w:r>
      <w:r>
        <w:rPr>
          <w:color w:val="383638"/>
          <w:spacing w:val="1"/>
          <w:w w:val="115"/>
          <w:vertAlign w:val="baseline"/>
        </w:rPr>
        <w:t> </w:t>
      </w:r>
      <w:r>
        <w:rPr>
          <w:color w:val="484648"/>
          <w:w w:val="115"/>
          <w:vertAlign w:val="baseline"/>
        </w:rPr>
        <w:t>standard's</w:t>
      </w:r>
      <w:r>
        <w:rPr>
          <w:color w:val="484648"/>
          <w:spacing w:val="-3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meaning:</w:t>
      </w:r>
    </w:p>
    <w:p>
      <w:pPr>
        <w:spacing w:line="232" w:lineRule="auto" w:before="140"/>
        <w:ind w:left="488" w:right="663" w:hanging="9"/>
        <w:jc w:val="both"/>
        <w:rPr>
          <w:sz w:val="21"/>
        </w:rPr>
      </w:pPr>
      <w:r>
        <w:rPr>
          <w:color w:val="383638"/>
          <w:w w:val="110"/>
          <w:sz w:val="21"/>
        </w:rPr>
        <w:t>To</w:t>
      </w:r>
      <w:r>
        <w:rPr>
          <w:color w:val="383638"/>
          <w:spacing w:val="-19"/>
          <w:w w:val="110"/>
          <w:sz w:val="21"/>
        </w:rPr>
        <w:t> </w:t>
      </w:r>
      <w:r>
        <w:rPr>
          <w:color w:val="383638"/>
          <w:w w:val="110"/>
          <w:sz w:val="21"/>
        </w:rPr>
        <w:t>be</w:t>
      </w:r>
      <w:r>
        <w:rPr>
          <w:color w:val="383638"/>
          <w:spacing w:val="-5"/>
          <w:w w:val="110"/>
          <w:sz w:val="21"/>
        </w:rPr>
        <w:t> </w:t>
      </w:r>
      <w:r>
        <w:rPr>
          <w:color w:val="383638"/>
          <w:w w:val="110"/>
          <w:sz w:val="21"/>
        </w:rPr>
        <w:t>clearly</w:t>
      </w:r>
      <w:r>
        <w:rPr>
          <w:color w:val="383638"/>
          <w:spacing w:val="-11"/>
          <w:w w:val="110"/>
          <w:sz w:val="21"/>
        </w:rPr>
        <w:t> </w:t>
      </w:r>
      <w:r>
        <w:rPr>
          <w:color w:val="383638"/>
          <w:w w:val="110"/>
          <w:sz w:val="21"/>
        </w:rPr>
        <w:t>erroneous,</w:t>
      </w:r>
      <w:r>
        <w:rPr>
          <w:color w:val="383638"/>
          <w:spacing w:val="-11"/>
          <w:w w:val="110"/>
          <w:sz w:val="21"/>
        </w:rPr>
        <w:t> </w:t>
      </w:r>
      <w:r>
        <w:rPr>
          <w:color w:val="383638"/>
          <w:w w:val="110"/>
          <w:sz w:val="21"/>
        </w:rPr>
        <w:t>a</w:t>
      </w:r>
      <w:r>
        <w:rPr>
          <w:color w:val="383638"/>
          <w:spacing w:val="-3"/>
          <w:w w:val="110"/>
          <w:sz w:val="21"/>
        </w:rPr>
        <w:t> </w:t>
      </w:r>
      <w:r>
        <w:rPr>
          <w:color w:val="383638"/>
          <w:w w:val="110"/>
          <w:sz w:val="21"/>
        </w:rPr>
        <w:t>decision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must</w:t>
      </w:r>
      <w:r>
        <w:rPr>
          <w:color w:val="383638"/>
          <w:spacing w:val="-9"/>
          <w:w w:val="110"/>
          <w:sz w:val="21"/>
        </w:rPr>
        <w:t> </w:t>
      </w:r>
      <w:r>
        <w:rPr>
          <w:color w:val="383638"/>
          <w:w w:val="110"/>
          <w:sz w:val="21"/>
        </w:rPr>
        <w:t>strike</w:t>
      </w:r>
      <w:r>
        <w:rPr>
          <w:color w:val="383638"/>
          <w:spacing w:val="-14"/>
          <w:w w:val="110"/>
          <w:sz w:val="21"/>
        </w:rPr>
        <w:t> </w:t>
      </w:r>
      <w:r>
        <w:rPr>
          <w:color w:val="484648"/>
          <w:w w:val="110"/>
          <w:sz w:val="21"/>
        </w:rPr>
        <w:t>us</w:t>
      </w:r>
      <w:r>
        <w:rPr>
          <w:color w:val="484648"/>
          <w:spacing w:val="-9"/>
          <w:w w:val="110"/>
          <w:sz w:val="21"/>
        </w:rPr>
        <w:t> </w:t>
      </w:r>
      <w:r>
        <w:rPr>
          <w:color w:val="484648"/>
          <w:w w:val="110"/>
          <w:sz w:val="21"/>
        </w:rPr>
        <w:t>as</w:t>
      </w:r>
      <w:r>
        <w:rPr>
          <w:color w:val="484648"/>
          <w:spacing w:val="-12"/>
          <w:w w:val="110"/>
          <w:sz w:val="21"/>
        </w:rPr>
        <w:t> </w:t>
      </w:r>
      <w:r>
        <w:rPr>
          <w:color w:val="383638"/>
          <w:w w:val="110"/>
          <w:sz w:val="21"/>
        </w:rPr>
        <w:t>more</w:t>
      </w:r>
      <w:r>
        <w:rPr>
          <w:color w:val="383638"/>
          <w:spacing w:val="-8"/>
          <w:w w:val="110"/>
          <w:sz w:val="21"/>
        </w:rPr>
        <w:t> </w:t>
      </w:r>
      <w:r>
        <w:rPr>
          <w:color w:val="383638"/>
          <w:w w:val="110"/>
          <w:sz w:val="21"/>
        </w:rPr>
        <w:t>than</w:t>
      </w:r>
      <w:r>
        <w:rPr>
          <w:color w:val="383638"/>
          <w:spacing w:val="17"/>
          <w:w w:val="110"/>
          <w:sz w:val="21"/>
        </w:rPr>
        <w:t> </w:t>
      </w:r>
      <w:r>
        <w:rPr>
          <w:color w:val="383638"/>
          <w:w w:val="110"/>
          <w:sz w:val="21"/>
        </w:rPr>
        <w:t>just</w:t>
      </w:r>
      <w:r>
        <w:rPr>
          <w:color w:val="383638"/>
          <w:spacing w:val="-7"/>
          <w:w w:val="110"/>
          <w:sz w:val="21"/>
        </w:rPr>
        <w:t> </w:t>
      </w:r>
      <w:r>
        <w:rPr>
          <w:color w:val="383638"/>
          <w:w w:val="110"/>
          <w:sz w:val="21"/>
        </w:rPr>
        <w:t>maybe</w:t>
      </w:r>
      <w:r>
        <w:rPr>
          <w:color w:val="383638"/>
          <w:spacing w:val="-56"/>
          <w:w w:val="110"/>
          <w:sz w:val="21"/>
        </w:rPr>
        <w:t> </w:t>
      </w:r>
      <w:r>
        <w:rPr>
          <w:color w:val="383638"/>
          <w:w w:val="110"/>
          <w:sz w:val="21"/>
        </w:rPr>
        <w:t>or probably wrong; it must, as one member of this </w:t>
      </w:r>
      <w:r>
        <w:rPr>
          <w:color w:val="484648"/>
          <w:w w:val="110"/>
          <w:sz w:val="21"/>
        </w:rPr>
        <w:t>court </w:t>
      </w:r>
      <w:r>
        <w:rPr>
          <w:color w:val="383638"/>
          <w:w w:val="110"/>
          <w:sz w:val="21"/>
        </w:rPr>
        <w:t>recently </w:t>
      </w:r>
      <w:r>
        <w:rPr>
          <w:color w:val="484648"/>
          <w:w w:val="110"/>
          <w:sz w:val="21"/>
        </w:rPr>
        <w:t>stated</w:t>
      </w:r>
      <w:r>
        <w:rPr>
          <w:color w:val="484648"/>
          <w:spacing w:val="1"/>
          <w:w w:val="110"/>
          <w:sz w:val="21"/>
        </w:rPr>
        <w:t> </w:t>
      </w:r>
      <w:r>
        <w:rPr>
          <w:color w:val="484648"/>
          <w:w w:val="110"/>
          <w:sz w:val="21"/>
        </w:rPr>
        <w:t>during</w:t>
      </w:r>
      <w:r>
        <w:rPr>
          <w:color w:val="484648"/>
          <w:spacing w:val="-18"/>
          <w:w w:val="110"/>
          <w:sz w:val="21"/>
        </w:rPr>
        <w:t> </w:t>
      </w:r>
      <w:r>
        <w:rPr>
          <w:color w:val="383638"/>
          <w:w w:val="110"/>
          <w:sz w:val="21"/>
        </w:rPr>
        <w:t>oral</w:t>
      </w:r>
      <w:r>
        <w:rPr>
          <w:color w:val="383638"/>
          <w:spacing w:val="-25"/>
          <w:w w:val="110"/>
          <w:sz w:val="21"/>
        </w:rPr>
        <w:t> </w:t>
      </w:r>
      <w:r>
        <w:rPr>
          <w:color w:val="484648"/>
          <w:w w:val="110"/>
          <w:sz w:val="21"/>
        </w:rPr>
        <w:t>argument,</w:t>
      </w:r>
      <w:r>
        <w:rPr>
          <w:color w:val="484648"/>
          <w:spacing w:val="-11"/>
          <w:w w:val="110"/>
          <w:sz w:val="21"/>
        </w:rPr>
        <w:t> </w:t>
      </w:r>
      <w:r>
        <w:rPr>
          <w:color w:val="383638"/>
          <w:w w:val="110"/>
          <w:sz w:val="21"/>
        </w:rPr>
        <w:t>strike</w:t>
      </w:r>
      <w:r>
        <w:rPr>
          <w:color w:val="383638"/>
          <w:spacing w:val="-15"/>
          <w:w w:val="110"/>
          <w:sz w:val="21"/>
        </w:rPr>
        <w:t> </w:t>
      </w:r>
      <w:r>
        <w:rPr>
          <w:color w:val="383638"/>
          <w:w w:val="110"/>
          <w:sz w:val="21"/>
        </w:rPr>
        <w:t>us</w:t>
      </w:r>
      <w:r>
        <w:rPr>
          <w:color w:val="383638"/>
          <w:spacing w:val="-13"/>
          <w:w w:val="110"/>
          <w:sz w:val="21"/>
        </w:rPr>
        <w:t> </w:t>
      </w:r>
      <w:r>
        <w:rPr>
          <w:color w:val="383638"/>
          <w:w w:val="110"/>
          <w:sz w:val="21"/>
        </w:rPr>
        <w:t>as</w:t>
      </w:r>
      <w:r>
        <w:rPr>
          <w:color w:val="383638"/>
          <w:spacing w:val="-16"/>
          <w:w w:val="110"/>
          <w:sz w:val="21"/>
        </w:rPr>
        <w:t> </w:t>
      </w:r>
      <w:r>
        <w:rPr>
          <w:color w:val="383638"/>
          <w:w w:val="110"/>
          <w:sz w:val="21"/>
        </w:rPr>
        <w:t>wrong</w:t>
      </w:r>
      <w:r>
        <w:rPr>
          <w:color w:val="383638"/>
          <w:spacing w:val="-23"/>
          <w:w w:val="110"/>
          <w:sz w:val="21"/>
        </w:rPr>
        <w:t> </w:t>
      </w:r>
      <w:r>
        <w:rPr>
          <w:color w:val="383638"/>
          <w:w w:val="110"/>
          <w:sz w:val="21"/>
        </w:rPr>
        <w:t>with</w:t>
      </w:r>
      <w:r>
        <w:rPr>
          <w:color w:val="383638"/>
          <w:spacing w:val="-1"/>
          <w:w w:val="110"/>
          <w:sz w:val="21"/>
        </w:rPr>
        <w:t> </w:t>
      </w:r>
      <w:r>
        <w:rPr>
          <w:color w:val="383638"/>
          <w:w w:val="110"/>
          <w:sz w:val="21"/>
        </w:rPr>
        <w:t>the</w:t>
      </w:r>
      <w:r>
        <w:rPr>
          <w:color w:val="383638"/>
          <w:spacing w:val="-4"/>
          <w:w w:val="110"/>
          <w:sz w:val="21"/>
        </w:rPr>
        <w:t> </w:t>
      </w:r>
      <w:r>
        <w:rPr>
          <w:color w:val="383638"/>
          <w:w w:val="110"/>
          <w:sz w:val="21"/>
        </w:rPr>
        <w:t>force</w:t>
      </w:r>
      <w:r>
        <w:rPr>
          <w:color w:val="383638"/>
          <w:spacing w:val="-11"/>
          <w:w w:val="110"/>
          <w:sz w:val="21"/>
        </w:rPr>
        <w:t> </w:t>
      </w:r>
      <w:r>
        <w:rPr>
          <w:color w:val="383638"/>
          <w:w w:val="110"/>
          <w:sz w:val="21"/>
        </w:rPr>
        <w:t>of</w:t>
      </w:r>
      <w:r>
        <w:rPr>
          <w:color w:val="383638"/>
          <w:spacing w:val="4"/>
          <w:w w:val="110"/>
          <w:sz w:val="21"/>
        </w:rPr>
        <w:t> </w:t>
      </w:r>
      <w:r>
        <w:rPr>
          <w:color w:val="484648"/>
          <w:w w:val="110"/>
          <w:sz w:val="21"/>
        </w:rPr>
        <w:t>a</w:t>
      </w:r>
      <w:r>
        <w:rPr>
          <w:color w:val="484648"/>
          <w:spacing w:val="12"/>
          <w:w w:val="110"/>
          <w:sz w:val="21"/>
        </w:rPr>
        <w:t> </w:t>
      </w:r>
      <w:r>
        <w:rPr>
          <w:color w:val="383638"/>
          <w:w w:val="110"/>
          <w:sz w:val="21"/>
        </w:rPr>
        <w:t>five</w:t>
      </w:r>
      <w:r>
        <w:rPr>
          <w:color w:val="5B5B5D"/>
          <w:w w:val="110"/>
          <w:sz w:val="21"/>
        </w:rPr>
        <w:t>-</w:t>
      </w:r>
      <w:r>
        <w:rPr>
          <w:color w:val="383638"/>
          <w:w w:val="110"/>
          <w:sz w:val="21"/>
        </w:rPr>
        <w:t>week-old,</w:t>
      </w:r>
      <w:r>
        <w:rPr>
          <w:color w:val="383638"/>
          <w:spacing w:val="-55"/>
          <w:w w:val="110"/>
          <w:sz w:val="21"/>
        </w:rPr>
        <w:t> </w:t>
      </w:r>
      <w:r>
        <w:rPr>
          <w:color w:val="383638"/>
          <w:w w:val="110"/>
          <w:sz w:val="21"/>
        </w:rPr>
        <w:t>unrefrigerated</w:t>
      </w:r>
      <w:r>
        <w:rPr>
          <w:color w:val="383638"/>
          <w:spacing w:val="-10"/>
          <w:w w:val="110"/>
          <w:sz w:val="21"/>
        </w:rPr>
        <w:t> </w:t>
      </w:r>
      <w:r>
        <w:rPr>
          <w:color w:val="383638"/>
          <w:w w:val="110"/>
          <w:sz w:val="21"/>
        </w:rPr>
        <w:t>dead </w:t>
      </w:r>
      <w:r>
        <w:rPr>
          <w:color w:val="484648"/>
          <w:w w:val="110"/>
          <w:sz w:val="21"/>
        </w:rPr>
        <w:t>fish.</w:t>
      </w:r>
      <w:r>
        <w:rPr>
          <w:color w:val="484648"/>
          <w:w w:val="110"/>
          <w:sz w:val="21"/>
          <w:vertAlign w:val="superscript"/>
        </w:rPr>
        <w:t>18</w:t>
      </w:r>
    </w:p>
    <w:p>
      <w:pPr>
        <w:pStyle w:val="BodyText"/>
        <w:spacing w:line="235" w:lineRule="auto" w:before="150"/>
        <w:ind w:left="121" w:right="273" w:firstLine="6"/>
      </w:pPr>
      <w:r>
        <w:rPr>
          <w:color w:val="383638"/>
          <w:w w:val="110"/>
        </w:rPr>
        <w:t>Although not all courts use such vivid language to describe their reactions,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all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courts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are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extremely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hesitant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overturn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findings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fact.</w:t>
      </w:r>
      <w:r>
        <w:rPr>
          <w:color w:val="383638"/>
          <w:w w:val="110"/>
          <w:vertAlign w:val="superscript"/>
        </w:rPr>
        <w:t>19</w:t>
      </w:r>
    </w:p>
    <w:p>
      <w:pPr>
        <w:pStyle w:val="BodyText"/>
        <w:spacing w:before="11"/>
        <w:rPr>
          <w:sz w:val="33"/>
        </w:rPr>
      </w:pPr>
    </w:p>
    <w:p>
      <w:pPr>
        <w:pStyle w:val="ListParagraph"/>
        <w:numPr>
          <w:ilvl w:val="0"/>
          <w:numId w:val="24"/>
        </w:numPr>
        <w:tabs>
          <w:tab w:pos="906" w:val="left" w:leader="none"/>
          <w:tab w:pos="907" w:val="left" w:leader="none"/>
        </w:tabs>
        <w:spacing w:line="240" w:lineRule="auto" w:before="0" w:after="0"/>
        <w:ind w:left="906" w:right="0" w:hanging="395"/>
        <w:jc w:val="left"/>
        <w:rPr>
          <w:rFonts w:ascii="Arial"/>
          <w:b/>
          <w:color w:val="383638"/>
          <w:sz w:val="19"/>
        </w:rPr>
      </w:pPr>
      <w:r>
        <w:rPr>
          <w:rFonts w:ascii="Arial"/>
          <w:b/>
          <w:color w:val="383638"/>
          <w:w w:val="110"/>
          <w:sz w:val="19"/>
        </w:rPr>
        <w:t>De</w:t>
      </w:r>
      <w:r>
        <w:rPr>
          <w:rFonts w:ascii="Arial"/>
          <w:b/>
          <w:color w:val="383638"/>
          <w:spacing w:val="20"/>
          <w:w w:val="110"/>
          <w:sz w:val="19"/>
        </w:rPr>
        <w:t> </w:t>
      </w:r>
      <w:r>
        <w:rPr>
          <w:rFonts w:ascii="Arial"/>
          <w:b/>
          <w:color w:val="383638"/>
          <w:w w:val="110"/>
          <w:sz w:val="19"/>
        </w:rPr>
        <w:t>Novo</w:t>
      </w:r>
    </w:p>
    <w:p>
      <w:pPr>
        <w:pStyle w:val="BodyText"/>
        <w:spacing w:line="235" w:lineRule="auto" w:before="29"/>
        <w:ind w:left="118" w:right="212" w:firstLine="383"/>
        <w:jc w:val="both"/>
      </w:pPr>
      <w:r>
        <w:rPr>
          <w:color w:val="383638"/>
          <w:w w:val="115"/>
        </w:rPr>
        <w:t>Because most decisions that come before appellate courts are based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on questions of law,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most commonly applied </w:t>
      </w:r>
      <w:r>
        <w:rPr>
          <w:color w:val="484648"/>
          <w:w w:val="110"/>
        </w:rPr>
        <w:t>standard is </w:t>
      </w:r>
      <w:r>
        <w:rPr>
          <w:color w:val="383638"/>
          <w:w w:val="110"/>
        </w:rPr>
        <w:t>the de novo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standard. The de novo standard is </w:t>
      </w:r>
      <w:r>
        <w:rPr>
          <w:color w:val="484648"/>
          <w:w w:val="115"/>
        </w:rPr>
        <w:t>a </w:t>
      </w:r>
      <w:r>
        <w:rPr>
          <w:color w:val="383638"/>
          <w:w w:val="115"/>
        </w:rPr>
        <w:t>low-deference standard-or, </w:t>
      </w:r>
      <w:r>
        <w:rPr>
          <w:color w:val="484648"/>
          <w:w w:val="115"/>
        </w:rPr>
        <w:t>more</w:t>
      </w:r>
      <w:r>
        <w:rPr>
          <w:color w:val="484648"/>
          <w:spacing w:val="1"/>
          <w:w w:val="115"/>
        </w:rPr>
        <w:t> </w:t>
      </w:r>
      <w:r>
        <w:rPr>
          <w:color w:val="383638"/>
          <w:w w:val="115"/>
        </w:rPr>
        <w:t>aptly, a no-deference </w:t>
      </w:r>
      <w:r>
        <w:rPr>
          <w:color w:val="484648"/>
          <w:w w:val="115"/>
        </w:rPr>
        <w:t>standard-that </w:t>
      </w:r>
      <w:r>
        <w:rPr>
          <w:color w:val="383638"/>
          <w:w w:val="115"/>
        </w:rPr>
        <w:t>applies </w:t>
      </w:r>
      <w:r>
        <w:rPr>
          <w:color w:val="484648"/>
          <w:w w:val="115"/>
        </w:rPr>
        <w:t>when </w:t>
      </w:r>
      <w:r>
        <w:rPr>
          <w:color w:val="383638"/>
          <w:w w:val="115"/>
        </w:rPr>
        <w:t>courts are reviewing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the meaning </w:t>
      </w:r>
      <w:r>
        <w:rPr>
          <w:color w:val="484648"/>
          <w:w w:val="115"/>
        </w:rPr>
        <w:t>or </w:t>
      </w:r>
      <w:r>
        <w:rPr>
          <w:color w:val="383638"/>
          <w:w w:val="115"/>
        </w:rPr>
        <w:t>application of the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controlling law. De </w:t>
      </w:r>
      <w:r>
        <w:rPr>
          <w:color w:val="484648"/>
          <w:w w:val="115"/>
        </w:rPr>
        <w:t>novo review </w:t>
      </w:r>
      <w:r>
        <w:rPr>
          <w:color w:val="383638"/>
          <w:w w:val="115"/>
        </w:rPr>
        <w:t>is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sometimes referred to </w:t>
      </w:r>
      <w:r>
        <w:rPr>
          <w:color w:val="484648"/>
          <w:w w:val="115"/>
        </w:rPr>
        <w:t>as "plenary </w:t>
      </w:r>
      <w:r>
        <w:rPr>
          <w:color w:val="383638"/>
          <w:w w:val="115"/>
        </w:rPr>
        <w:t>review" </w:t>
      </w:r>
      <w:r>
        <w:rPr>
          <w:color w:val="484648"/>
          <w:w w:val="115"/>
        </w:rPr>
        <w:t>because </w:t>
      </w:r>
      <w:r>
        <w:rPr>
          <w:color w:val="383638"/>
          <w:w w:val="115"/>
        </w:rPr>
        <w:t>it allows the </w:t>
      </w:r>
      <w:r>
        <w:rPr>
          <w:color w:val="484648"/>
          <w:w w:val="115"/>
        </w:rPr>
        <w:t>court </w:t>
      </w:r>
      <w:r>
        <w:rPr>
          <w:color w:val="383638"/>
          <w:w w:val="115"/>
        </w:rPr>
        <w:t>to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5"/>
        </w:rPr>
        <w:t>give </w:t>
      </w:r>
      <w:r>
        <w:rPr>
          <w:color w:val="484648"/>
          <w:w w:val="115"/>
        </w:rPr>
        <w:t>a </w:t>
      </w:r>
      <w:r>
        <w:rPr>
          <w:color w:val="383638"/>
          <w:w w:val="115"/>
        </w:rPr>
        <w:t>full, or plenary, review to the findings below. When </w:t>
      </w:r>
      <w:r>
        <w:rPr>
          <w:color w:val="484648"/>
          <w:w w:val="115"/>
        </w:rPr>
        <w:t>courts </w:t>
      </w:r>
      <w:r>
        <w:rPr>
          <w:color w:val="383638"/>
          <w:w w:val="115"/>
        </w:rPr>
        <w:t>apply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the de nova </w:t>
      </w:r>
      <w:r>
        <w:rPr>
          <w:color w:val="484648"/>
          <w:w w:val="110"/>
        </w:rPr>
        <w:t>standard, </w:t>
      </w:r>
      <w:r>
        <w:rPr>
          <w:color w:val="383638"/>
          <w:w w:val="110"/>
        </w:rPr>
        <w:t>they look at the legal questions as if no </w:t>
      </w:r>
      <w:r>
        <w:rPr>
          <w:color w:val="484648"/>
          <w:w w:val="110"/>
        </w:rPr>
        <w:t>one</w:t>
      </w:r>
      <w:r>
        <w:rPr>
          <w:color w:val="484648"/>
          <w:spacing w:val="1"/>
          <w:w w:val="110"/>
        </w:rPr>
        <w:t> </w:t>
      </w:r>
      <w:r>
        <w:rPr>
          <w:color w:val="383638"/>
          <w:w w:val="110"/>
        </w:rPr>
        <w:t>had </w:t>
      </w:r>
      <w:r>
        <w:rPr>
          <w:color w:val="484648"/>
          <w:w w:val="110"/>
        </w:rPr>
        <w:t>yet</w:t>
      </w:r>
      <w:r>
        <w:rPr>
          <w:color w:val="484648"/>
          <w:spacing w:val="1"/>
          <w:w w:val="110"/>
        </w:rPr>
        <w:t> </w:t>
      </w:r>
      <w:r>
        <w:rPr>
          <w:color w:val="383638"/>
          <w:w w:val="115"/>
        </w:rPr>
        <w:t>decided them, giving no deference to legal findings made below. When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this standard is applied, the reviewing court is willing to substitute its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judgment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25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trial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court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or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intermediate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court</w:t>
      </w:r>
      <w:r>
        <w:rPr>
          <w:color w:val="383638"/>
          <w:spacing w:val="-7"/>
          <w:w w:val="110"/>
        </w:rPr>
        <w:t> </w:t>
      </w:r>
      <w:r>
        <w:rPr>
          <w:color w:val="484648"/>
          <w:w w:val="110"/>
        </w:rPr>
        <w:t>of</w:t>
      </w:r>
      <w:r>
        <w:rPr>
          <w:color w:val="484648"/>
          <w:spacing w:val="20"/>
          <w:w w:val="110"/>
        </w:rPr>
        <w:t> </w:t>
      </w:r>
      <w:r>
        <w:rPr>
          <w:color w:val="383638"/>
          <w:w w:val="110"/>
        </w:rPr>
        <w:t>appeals</w:t>
      </w:r>
      <w:r>
        <w:rPr>
          <w:color w:val="5B5B5D"/>
          <w:w w:val="110"/>
        </w:rPr>
        <w:t>.</w:t>
      </w:r>
    </w:p>
    <w:p>
      <w:pPr>
        <w:pStyle w:val="BodyText"/>
        <w:spacing w:line="228" w:lineRule="auto"/>
        <w:ind w:left="121" w:right="209" w:firstLine="375"/>
        <w:jc w:val="both"/>
      </w:pPr>
      <w:r>
        <w:rPr>
          <w:color w:val="383638"/>
          <w:w w:val="110"/>
        </w:rPr>
        <w:t>Courts apply the  de novo standard not only to questions of law, but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also,</w:t>
      </w:r>
      <w:r>
        <w:rPr>
          <w:color w:val="383638"/>
          <w:spacing w:val="-10"/>
          <w:w w:val="110"/>
        </w:rPr>
        <w:t> </w:t>
      </w:r>
      <w:r>
        <w:rPr>
          <w:color w:val="383638"/>
          <w:spacing w:val="-1"/>
          <w:w w:val="110"/>
        </w:rPr>
        <w:t>in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most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cases,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26"/>
          <w:w w:val="110"/>
        </w:rPr>
        <w:t> </w:t>
      </w:r>
      <w:r>
        <w:rPr>
          <w:color w:val="383638"/>
          <w:w w:val="110"/>
        </w:rPr>
        <w:t>mixed questions</w:t>
      </w:r>
      <w:r>
        <w:rPr>
          <w:color w:val="383638"/>
          <w:spacing w:val="-16"/>
          <w:w w:val="110"/>
        </w:rPr>
        <w:t> </w:t>
      </w:r>
      <w:r>
        <w:rPr>
          <w:color w:val="484648"/>
          <w:w w:val="110"/>
        </w:rPr>
        <w:t>of</w:t>
      </w:r>
      <w:r>
        <w:rPr>
          <w:color w:val="484648"/>
          <w:spacing w:val="-5"/>
          <w:w w:val="110"/>
        </w:rPr>
        <w:t> </w:t>
      </w:r>
      <w:r>
        <w:rPr>
          <w:color w:val="383638"/>
          <w:w w:val="110"/>
        </w:rPr>
        <w:t>law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39"/>
          <w:w w:val="110"/>
        </w:rPr>
        <w:t> </w:t>
      </w:r>
      <w:r>
        <w:rPr>
          <w:color w:val="383638"/>
          <w:w w:val="110"/>
        </w:rPr>
        <w:t>fact.</w:t>
      </w:r>
      <w:r>
        <w:rPr>
          <w:color w:val="383638"/>
          <w:w w:val="110"/>
          <w:vertAlign w:val="superscript"/>
        </w:rPr>
        <w:t>20</w:t>
      </w:r>
      <w:r>
        <w:rPr>
          <w:color w:val="383638"/>
          <w:spacing w:val="15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</w:t>
      </w:r>
      <w:r>
        <w:rPr>
          <w:color w:val="383638"/>
          <w:spacing w:val="-7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mixed</w:t>
      </w:r>
      <w:r>
        <w:rPr>
          <w:color w:val="383638"/>
          <w:spacing w:val="-1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question</w:t>
      </w:r>
    </w:p>
    <w:p>
      <w:pPr>
        <w:pStyle w:val="BodyText"/>
        <w:spacing w:before="9"/>
        <w:rPr>
          <w:sz w:val="32"/>
        </w:rPr>
      </w:pPr>
    </w:p>
    <w:p>
      <w:pPr>
        <w:spacing w:line="204" w:lineRule="exact" w:before="0"/>
        <w:ind w:left="502" w:right="0" w:firstLine="0"/>
        <w:jc w:val="both"/>
        <w:rPr>
          <w:sz w:val="17"/>
        </w:rPr>
      </w:pPr>
      <w:r>
        <w:rPr>
          <w:color w:val="383638"/>
          <w:w w:val="105"/>
          <w:position w:val="6"/>
          <w:sz w:val="11"/>
        </w:rPr>
        <w:t>1</w:t>
      </w:r>
      <w:r>
        <w:rPr>
          <w:color w:val="5B5B5D"/>
          <w:w w:val="105"/>
          <w:position w:val="6"/>
          <w:sz w:val="11"/>
        </w:rPr>
        <w:t>6</w:t>
      </w:r>
      <w:r>
        <w:rPr>
          <w:color w:val="5B5B5D"/>
          <w:spacing w:val="8"/>
          <w:w w:val="105"/>
          <w:position w:val="6"/>
          <w:sz w:val="11"/>
        </w:rPr>
        <w:t> </w:t>
      </w:r>
      <w:r>
        <w:rPr>
          <w:i/>
          <w:color w:val="484648"/>
          <w:w w:val="105"/>
          <w:sz w:val="18"/>
        </w:rPr>
        <w:t>Amlerson</w:t>
      </w:r>
      <w:r>
        <w:rPr>
          <w:i/>
          <w:color w:val="484648"/>
          <w:spacing w:val="14"/>
          <w:w w:val="105"/>
          <w:sz w:val="18"/>
        </w:rPr>
        <w:t> </w:t>
      </w:r>
      <w:r>
        <w:rPr>
          <w:i/>
          <w:color w:val="484648"/>
          <w:w w:val="105"/>
          <w:sz w:val="18"/>
        </w:rPr>
        <w:t>v.</w:t>
      </w:r>
      <w:r>
        <w:rPr>
          <w:i/>
          <w:color w:val="484648"/>
          <w:spacing w:val="-8"/>
          <w:w w:val="105"/>
          <w:sz w:val="18"/>
        </w:rPr>
        <w:t> </w:t>
      </w:r>
      <w:r>
        <w:rPr>
          <w:i/>
          <w:color w:val="484648"/>
          <w:w w:val="105"/>
          <w:sz w:val="18"/>
        </w:rPr>
        <w:t>City</w:t>
      </w:r>
      <w:r>
        <w:rPr>
          <w:i/>
          <w:color w:val="484648"/>
          <w:spacing w:val="-16"/>
          <w:w w:val="105"/>
          <w:sz w:val="18"/>
        </w:rPr>
        <w:t> </w:t>
      </w:r>
      <w:r>
        <w:rPr>
          <w:i/>
          <w:color w:val="383638"/>
          <w:w w:val="105"/>
          <w:sz w:val="18"/>
        </w:rPr>
        <w:t>of</w:t>
      </w:r>
      <w:r>
        <w:rPr>
          <w:i/>
          <w:color w:val="383638"/>
          <w:spacing w:val="5"/>
          <w:w w:val="105"/>
          <w:sz w:val="18"/>
        </w:rPr>
        <w:t> </w:t>
      </w:r>
      <w:r>
        <w:rPr>
          <w:i/>
          <w:color w:val="383638"/>
          <w:w w:val="105"/>
          <w:sz w:val="18"/>
        </w:rPr>
        <w:t>Bessemer</w:t>
      </w:r>
      <w:r>
        <w:rPr>
          <w:i/>
          <w:color w:val="383638"/>
          <w:spacing w:val="-5"/>
          <w:w w:val="105"/>
          <w:sz w:val="18"/>
        </w:rPr>
        <w:t> </w:t>
      </w:r>
      <w:r>
        <w:rPr>
          <w:i/>
          <w:color w:val="484648"/>
          <w:w w:val="105"/>
          <w:sz w:val="18"/>
        </w:rPr>
        <w:t>City,</w:t>
      </w:r>
      <w:r>
        <w:rPr>
          <w:i/>
          <w:color w:val="484648"/>
          <w:spacing w:val="-2"/>
          <w:w w:val="105"/>
          <w:sz w:val="18"/>
        </w:rPr>
        <w:t> </w:t>
      </w:r>
      <w:r>
        <w:rPr>
          <w:color w:val="484648"/>
          <w:w w:val="105"/>
          <w:sz w:val="17"/>
        </w:rPr>
        <w:t>470</w:t>
      </w:r>
      <w:r>
        <w:rPr>
          <w:color w:val="484648"/>
          <w:spacing w:val="36"/>
          <w:w w:val="105"/>
          <w:sz w:val="17"/>
        </w:rPr>
        <w:t> </w:t>
      </w:r>
      <w:r>
        <w:rPr>
          <w:color w:val="484648"/>
          <w:w w:val="105"/>
          <w:sz w:val="17"/>
        </w:rPr>
        <w:t>U.S.</w:t>
      </w:r>
      <w:r>
        <w:rPr>
          <w:color w:val="484648"/>
          <w:spacing w:val="-9"/>
          <w:w w:val="105"/>
          <w:sz w:val="17"/>
        </w:rPr>
        <w:t> </w:t>
      </w:r>
      <w:r>
        <w:rPr>
          <w:color w:val="484648"/>
          <w:w w:val="105"/>
          <w:sz w:val="17"/>
        </w:rPr>
        <w:t>564,</w:t>
      </w:r>
      <w:r>
        <w:rPr>
          <w:color w:val="484648"/>
          <w:spacing w:val="-4"/>
          <w:w w:val="105"/>
          <w:sz w:val="17"/>
        </w:rPr>
        <w:t> </w:t>
      </w:r>
      <w:r>
        <w:rPr>
          <w:color w:val="383638"/>
          <w:w w:val="105"/>
          <w:sz w:val="17"/>
        </w:rPr>
        <w:t>574,</w:t>
      </w:r>
      <w:r>
        <w:rPr>
          <w:color w:val="383638"/>
          <w:spacing w:val="-5"/>
          <w:w w:val="105"/>
          <w:sz w:val="17"/>
        </w:rPr>
        <w:t> </w:t>
      </w:r>
      <w:r>
        <w:rPr>
          <w:color w:val="383638"/>
          <w:w w:val="105"/>
          <w:sz w:val="17"/>
        </w:rPr>
        <w:t>575</w:t>
      </w:r>
      <w:r>
        <w:rPr>
          <w:color w:val="383638"/>
          <w:spacing w:val="-10"/>
          <w:w w:val="105"/>
          <w:sz w:val="17"/>
        </w:rPr>
        <w:t> </w:t>
      </w:r>
      <w:r>
        <w:rPr>
          <w:color w:val="383638"/>
          <w:w w:val="105"/>
          <w:sz w:val="17"/>
        </w:rPr>
        <w:t>(1985).</w:t>
      </w:r>
    </w:p>
    <w:p>
      <w:pPr>
        <w:spacing w:line="193" w:lineRule="exact" w:before="0"/>
        <w:ind w:left="504" w:right="0" w:firstLine="0"/>
        <w:jc w:val="left"/>
        <w:rPr>
          <w:sz w:val="17"/>
        </w:rPr>
      </w:pPr>
      <w:r>
        <w:rPr>
          <w:rFonts w:ascii="Arial"/>
          <w:color w:val="383638"/>
          <w:spacing w:val="-1"/>
          <w:w w:val="105"/>
          <w:sz w:val="18"/>
          <w:vertAlign w:val="superscript"/>
        </w:rPr>
        <w:t>17</w:t>
      </w:r>
      <w:r>
        <w:rPr>
          <w:i/>
          <w:color w:val="383638"/>
          <w:spacing w:val="-1"/>
          <w:w w:val="105"/>
          <w:sz w:val="18"/>
          <w:vertAlign w:val="baseline"/>
        </w:rPr>
        <w:t>E.g.,</w:t>
      </w:r>
      <w:r>
        <w:rPr>
          <w:i/>
          <w:color w:val="383638"/>
          <w:spacing w:val="-6"/>
          <w:w w:val="105"/>
          <w:sz w:val="18"/>
          <w:vertAlign w:val="baseline"/>
        </w:rPr>
        <w:t> </w:t>
      </w:r>
      <w:r>
        <w:rPr>
          <w:i/>
          <w:color w:val="484648"/>
          <w:spacing w:val="-1"/>
          <w:w w:val="105"/>
          <w:sz w:val="18"/>
          <w:vertAlign w:val="baseline"/>
        </w:rPr>
        <w:t>United</w:t>
      </w:r>
      <w:r>
        <w:rPr>
          <w:i/>
          <w:color w:val="484648"/>
          <w:spacing w:val="21"/>
          <w:w w:val="105"/>
          <w:sz w:val="18"/>
          <w:vertAlign w:val="baseline"/>
        </w:rPr>
        <w:t> </w:t>
      </w:r>
      <w:r>
        <w:rPr>
          <w:i/>
          <w:color w:val="383638"/>
          <w:spacing w:val="-1"/>
          <w:w w:val="105"/>
          <w:sz w:val="18"/>
          <w:vertAlign w:val="baseline"/>
        </w:rPr>
        <w:t>St.ates</w:t>
      </w:r>
      <w:r>
        <w:rPr>
          <w:i/>
          <w:color w:val="383638"/>
          <w:spacing w:val="9"/>
          <w:w w:val="105"/>
          <w:sz w:val="18"/>
          <w:vertAlign w:val="baseline"/>
        </w:rPr>
        <w:t> </w:t>
      </w:r>
      <w:r>
        <w:rPr>
          <w:i/>
          <w:color w:val="484648"/>
          <w:w w:val="105"/>
          <w:sz w:val="18"/>
          <w:vertAlign w:val="baseline"/>
        </w:rPr>
        <w:t>v.</w:t>
      </w:r>
      <w:r>
        <w:rPr>
          <w:i/>
          <w:color w:val="484648"/>
          <w:spacing w:val="3"/>
          <w:w w:val="105"/>
          <w:sz w:val="18"/>
          <w:vertAlign w:val="baseline"/>
        </w:rPr>
        <w:t> </w:t>
      </w:r>
      <w:r>
        <w:rPr>
          <w:i/>
          <w:color w:val="383638"/>
          <w:w w:val="105"/>
          <w:sz w:val="18"/>
          <w:vertAlign w:val="baseline"/>
        </w:rPr>
        <w:t>U</w:t>
      </w:r>
      <w:r>
        <w:rPr>
          <w:i/>
          <w:color w:val="5B5B5D"/>
          <w:w w:val="105"/>
          <w:sz w:val="18"/>
          <w:vertAlign w:val="baseline"/>
        </w:rPr>
        <w:t>.S. </w:t>
      </w:r>
      <w:r>
        <w:rPr>
          <w:i/>
          <w:color w:val="484648"/>
          <w:w w:val="105"/>
          <w:sz w:val="18"/>
          <w:vertAlign w:val="baseline"/>
        </w:rPr>
        <w:t>Gypsum</w:t>
      </w:r>
      <w:r>
        <w:rPr>
          <w:i/>
          <w:color w:val="484648"/>
          <w:spacing w:val="-12"/>
          <w:w w:val="105"/>
          <w:sz w:val="18"/>
          <w:vertAlign w:val="baseline"/>
        </w:rPr>
        <w:t> </w:t>
      </w:r>
      <w:r>
        <w:rPr>
          <w:i/>
          <w:color w:val="484648"/>
          <w:w w:val="105"/>
          <w:sz w:val="18"/>
          <w:vertAlign w:val="baseline"/>
        </w:rPr>
        <w:t>Co.,</w:t>
      </w:r>
      <w:r>
        <w:rPr>
          <w:i/>
          <w:color w:val="484648"/>
          <w:spacing w:val="-8"/>
          <w:w w:val="105"/>
          <w:sz w:val="18"/>
          <w:vertAlign w:val="baseline"/>
        </w:rPr>
        <w:t> </w:t>
      </w:r>
      <w:r>
        <w:rPr>
          <w:color w:val="484648"/>
          <w:w w:val="105"/>
          <w:sz w:val="17"/>
          <w:vertAlign w:val="baseline"/>
        </w:rPr>
        <w:t>333</w:t>
      </w:r>
      <w:r>
        <w:rPr>
          <w:color w:val="484648"/>
          <w:spacing w:val="26"/>
          <w:w w:val="105"/>
          <w:sz w:val="17"/>
          <w:vertAlign w:val="baseline"/>
        </w:rPr>
        <w:t> </w:t>
      </w:r>
      <w:r>
        <w:rPr>
          <w:color w:val="484648"/>
          <w:w w:val="105"/>
          <w:sz w:val="17"/>
          <w:vertAlign w:val="baseline"/>
        </w:rPr>
        <w:t>U.S.</w:t>
      </w:r>
      <w:r>
        <w:rPr>
          <w:color w:val="484648"/>
          <w:spacing w:val="-5"/>
          <w:w w:val="105"/>
          <w:sz w:val="17"/>
          <w:vertAlign w:val="baseline"/>
        </w:rPr>
        <w:t> </w:t>
      </w:r>
      <w:r>
        <w:rPr>
          <w:color w:val="383638"/>
          <w:w w:val="105"/>
          <w:sz w:val="17"/>
          <w:vertAlign w:val="baseline"/>
        </w:rPr>
        <w:t>364,</w:t>
      </w:r>
      <w:r>
        <w:rPr>
          <w:color w:val="383638"/>
          <w:spacing w:val="9"/>
          <w:w w:val="105"/>
          <w:sz w:val="17"/>
          <w:vertAlign w:val="baseline"/>
        </w:rPr>
        <w:t> </w:t>
      </w:r>
      <w:r>
        <w:rPr>
          <w:color w:val="484648"/>
          <w:w w:val="105"/>
          <w:sz w:val="17"/>
          <w:vertAlign w:val="baseline"/>
        </w:rPr>
        <w:t>395</w:t>
      </w:r>
      <w:r>
        <w:rPr>
          <w:color w:val="484648"/>
          <w:spacing w:val="2"/>
          <w:w w:val="105"/>
          <w:sz w:val="17"/>
          <w:vertAlign w:val="baseline"/>
        </w:rPr>
        <w:t> </w:t>
      </w:r>
      <w:r>
        <w:rPr>
          <w:color w:val="383638"/>
          <w:w w:val="105"/>
          <w:sz w:val="17"/>
          <w:vertAlign w:val="baseline"/>
        </w:rPr>
        <w:t>(</w:t>
      </w:r>
      <w:r>
        <w:rPr>
          <w:color w:val="5B5B5D"/>
          <w:w w:val="105"/>
          <w:sz w:val="17"/>
          <w:vertAlign w:val="baseline"/>
        </w:rPr>
        <w:t>1948);</w:t>
      </w:r>
      <w:r>
        <w:rPr>
          <w:color w:val="5B5B5D"/>
          <w:spacing w:val="18"/>
          <w:w w:val="105"/>
          <w:sz w:val="17"/>
          <w:vertAlign w:val="baseline"/>
        </w:rPr>
        <w:t> </w:t>
      </w:r>
      <w:r>
        <w:rPr>
          <w:i/>
          <w:color w:val="383638"/>
          <w:w w:val="105"/>
          <w:sz w:val="18"/>
          <w:vertAlign w:val="baseline"/>
        </w:rPr>
        <w:t>Brown</w:t>
      </w:r>
      <w:r>
        <w:rPr>
          <w:i/>
          <w:color w:val="383638"/>
          <w:spacing w:val="1"/>
          <w:w w:val="105"/>
          <w:sz w:val="18"/>
          <w:vertAlign w:val="baseline"/>
        </w:rPr>
        <w:t> </w:t>
      </w:r>
      <w:r>
        <w:rPr>
          <w:i/>
          <w:color w:val="484648"/>
          <w:w w:val="105"/>
          <w:sz w:val="18"/>
          <w:vertAlign w:val="baseline"/>
        </w:rPr>
        <w:t>v.</w:t>
      </w:r>
      <w:r>
        <w:rPr>
          <w:i/>
          <w:color w:val="484648"/>
          <w:spacing w:val="18"/>
          <w:w w:val="105"/>
          <w:sz w:val="18"/>
          <w:vertAlign w:val="baseline"/>
        </w:rPr>
        <w:t> </w:t>
      </w:r>
      <w:r>
        <w:rPr>
          <w:i/>
          <w:color w:val="383638"/>
          <w:w w:val="105"/>
          <w:sz w:val="18"/>
          <w:vertAlign w:val="baseline"/>
        </w:rPr>
        <w:t>Plata,</w:t>
      </w:r>
      <w:r>
        <w:rPr>
          <w:i/>
          <w:color w:val="383638"/>
          <w:spacing w:val="6"/>
          <w:w w:val="105"/>
          <w:sz w:val="18"/>
          <w:vertAlign w:val="baseline"/>
        </w:rPr>
        <w:t> </w:t>
      </w:r>
      <w:r>
        <w:rPr>
          <w:color w:val="383638"/>
          <w:w w:val="105"/>
          <w:sz w:val="17"/>
          <w:vertAlign w:val="baseline"/>
        </w:rPr>
        <w:t>131</w:t>
      </w:r>
      <w:r>
        <w:rPr>
          <w:color w:val="383638"/>
          <w:spacing w:val="40"/>
          <w:w w:val="105"/>
          <w:sz w:val="17"/>
          <w:vertAlign w:val="baseline"/>
        </w:rPr>
        <w:t> </w:t>
      </w:r>
      <w:r>
        <w:rPr>
          <w:color w:val="484648"/>
          <w:w w:val="105"/>
          <w:sz w:val="17"/>
          <w:vertAlign w:val="baseline"/>
        </w:rPr>
        <w:t>S.</w:t>
      </w:r>
      <w:r>
        <w:rPr>
          <w:color w:val="484648"/>
          <w:spacing w:val="20"/>
          <w:w w:val="105"/>
          <w:sz w:val="17"/>
          <w:vertAlign w:val="baseline"/>
        </w:rPr>
        <w:t> </w:t>
      </w:r>
      <w:r>
        <w:rPr>
          <w:color w:val="383638"/>
          <w:w w:val="105"/>
          <w:sz w:val="17"/>
          <w:vertAlign w:val="baseline"/>
        </w:rPr>
        <w:t>Ct.</w:t>
      </w:r>
    </w:p>
    <w:p>
      <w:pPr>
        <w:spacing w:line="199" w:lineRule="exact" w:before="0"/>
        <w:ind w:left="0" w:right="1288" w:firstLine="0"/>
        <w:jc w:val="right"/>
        <w:rPr>
          <w:sz w:val="17"/>
        </w:rPr>
      </w:pPr>
      <w:r>
        <w:rPr>
          <w:color w:val="383638"/>
          <w:w w:val="105"/>
          <w:sz w:val="17"/>
        </w:rPr>
        <w:t>1910,</w:t>
      </w:r>
      <w:r>
        <w:rPr>
          <w:color w:val="383638"/>
          <w:spacing w:val="2"/>
          <w:w w:val="105"/>
          <w:sz w:val="17"/>
        </w:rPr>
        <w:t> </w:t>
      </w:r>
      <w:r>
        <w:rPr>
          <w:color w:val="383638"/>
          <w:w w:val="105"/>
          <w:sz w:val="17"/>
        </w:rPr>
        <w:t>1930</w:t>
      </w:r>
      <w:r>
        <w:rPr>
          <w:color w:val="383638"/>
          <w:spacing w:val="-13"/>
          <w:w w:val="105"/>
          <w:sz w:val="17"/>
        </w:rPr>
        <w:t> </w:t>
      </w:r>
      <w:r>
        <w:rPr>
          <w:color w:val="484648"/>
          <w:w w:val="105"/>
          <w:sz w:val="17"/>
        </w:rPr>
        <w:t>(2011);</w:t>
      </w:r>
      <w:r>
        <w:rPr>
          <w:color w:val="484648"/>
          <w:spacing w:val="-1"/>
          <w:w w:val="105"/>
          <w:sz w:val="17"/>
        </w:rPr>
        <w:t> </w:t>
      </w:r>
      <w:r>
        <w:rPr>
          <w:color w:val="383638"/>
          <w:w w:val="105"/>
          <w:sz w:val="17"/>
        </w:rPr>
        <w:t>/.</w:t>
      </w:r>
      <w:r>
        <w:rPr>
          <w:color w:val="383638"/>
          <w:spacing w:val="36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L.</w:t>
      </w:r>
      <w:r>
        <w:rPr>
          <w:i/>
          <w:color w:val="383638"/>
          <w:spacing w:val="-12"/>
          <w:w w:val="105"/>
          <w:sz w:val="17"/>
        </w:rPr>
        <w:t> </w:t>
      </w:r>
      <w:r>
        <w:rPr>
          <w:i/>
          <w:color w:val="383638"/>
          <w:w w:val="105"/>
          <w:sz w:val="19"/>
        </w:rPr>
        <w:t>v.</w:t>
      </w:r>
      <w:r>
        <w:rPr>
          <w:i/>
          <w:color w:val="383638"/>
          <w:spacing w:val="-20"/>
          <w:w w:val="105"/>
          <w:sz w:val="19"/>
        </w:rPr>
        <w:t> </w:t>
      </w:r>
      <w:r>
        <w:rPr>
          <w:i/>
          <w:color w:val="383638"/>
          <w:w w:val="105"/>
          <w:sz w:val="18"/>
        </w:rPr>
        <w:t>Mercer</w:t>
      </w:r>
      <w:r>
        <w:rPr>
          <w:i/>
          <w:color w:val="383638"/>
          <w:spacing w:val="-5"/>
          <w:w w:val="105"/>
          <w:sz w:val="18"/>
        </w:rPr>
        <w:t> </w:t>
      </w:r>
      <w:r>
        <w:rPr>
          <w:i/>
          <w:color w:val="484648"/>
          <w:sz w:val="18"/>
        </w:rPr>
        <w:t>Jslm11J</w:t>
      </w:r>
      <w:r>
        <w:rPr>
          <w:i/>
          <w:color w:val="484648"/>
          <w:spacing w:val="7"/>
          <w:sz w:val="18"/>
        </w:rPr>
        <w:t> </w:t>
      </w:r>
      <w:r>
        <w:rPr>
          <w:color w:val="484648"/>
          <w:w w:val="105"/>
          <w:sz w:val="17"/>
        </w:rPr>
        <w:t>Seit.</w:t>
      </w:r>
      <w:r>
        <w:rPr>
          <w:color w:val="484648"/>
          <w:spacing w:val="-2"/>
          <w:w w:val="105"/>
          <w:sz w:val="17"/>
        </w:rPr>
        <w:t> </w:t>
      </w:r>
      <w:r>
        <w:rPr>
          <w:i/>
          <w:color w:val="383638"/>
          <w:w w:val="105"/>
          <w:sz w:val="18"/>
        </w:rPr>
        <w:t>Dist.,</w:t>
      </w:r>
      <w:r>
        <w:rPr>
          <w:i/>
          <w:color w:val="383638"/>
          <w:spacing w:val="-17"/>
          <w:w w:val="105"/>
          <w:sz w:val="18"/>
        </w:rPr>
        <w:t> </w:t>
      </w:r>
      <w:r>
        <w:rPr>
          <w:color w:val="484648"/>
          <w:w w:val="105"/>
          <w:sz w:val="17"/>
        </w:rPr>
        <w:t>592</w:t>
      </w:r>
      <w:r>
        <w:rPr>
          <w:color w:val="484648"/>
          <w:spacing w:val="2"/>
          <w:w w:val="105"/>
          <w:sz w:val="17"/>
        </w:rPr>
        <w:t> </w:t>
      </w:r>
      <w:r>
        <w:rPr>
          <w:color w:val="484648"/>
          <w:w w:val="105"/>
          <w:sz w:val="17"/>
        </w:rPr>
        <w:t>F.3d</w:t>
      </w:r>
      <w:r>
        <w:rPr>
          <w:color w:val="484648"/>
          <w:spacing w:val="1"/>
          <w:w w:val="105"/>
          <w:sz w:val="17"/>
        </w:rPr>
        <w:t> </w:t>
      </w:r>
      <w:r>
        <w:rPr>
          <w:color w:val="383638"/>
          <w:w w:val="105"/>
          <w:sz w:val="17"/>
        </w:rPr>
        <w:t>938</w:t>
      </w:r>
      <w:r>
        <w:rPr>
          <w:color w:val="5B5B5D"/>
          <w:w w:val="105"/>
          <w:sz w:val="17"/>
        </w:rPr>
        <w:t>,</w:t>
      </w:r>
      <w:r>
        <w:rPr>
          <w:color w:val="5B5B5D"/>
          <w:spacing w:val="12"/>
          <w:w w:val="105"/>
          <w:sz w:val="17"/>
        </w:rPr>
        <w:t> </w:t>
      </w:r>
      <w:r>
        <w:rPr>
          <w:color w:val="484648"/>
          <w:w w:val="105"/>
          <w:sz w:val="17"/>
        </w:rPr>
        <w:t>949</w:t>
      </w:r>
      <w:r>
        <w:rPr>
          <w:color w:val="484648"/>
          <w:spacing w:val="23"/>
          <w:w w:val="105"/>
          <w:sz w:val="17"/>
        </w:rPr>
        <w:t> </w:t>
      </w:r>
      <w:r>
        <w:rPr>
          <w:color w:val="383638"/>
          <w:w w:val="105"/>
          <w:sz w:val="17"/>
        </w:rPr>
        <w:t>(9th</w:t>
      </w:r>
      <w:r>
        <w:rPr>
          <w:color w:val="383638"/>
          <w:spacing w:val="8"/>
          <w:w w:val="105"/>
          <w:sz w:val="17"/>
        </w:rPr>
        <w:t> </w:t>
      </w:r>
      <w:r>
        <w:rPr>
          <w:color w:val="484648"/>
          <w:w w:val="105"/>
          <w:sz w:val="17"/>
        </w:rPr>
        <w:t>Cir.</w:t>
      </w:r>
      <w:r>
        <w:rPr>
          <w:color w:val="484648"/>
          <w:spacing w:val="-3"/>
          <w:w w:val="105"/>
          <w:sz w:val="17"/>
        </w:rPr>
        <w:t> </w:t>
      </w:r>
      <w:r>
        <w:rPr>
          <w:color w:val="383638"/>
          <w:w w:val="105"/>
          <w:sz w:val="17"/>
        </w:rPr>
        <w:t>2010).</w:t>
      </w:r>
    </w:p>
    <w:p>
      <w:pPr>
        <w:spacing w:line="210" w:lineRule="exact" w:before="0"/>
        <w:ind w:left="0" w:right="1208" w:firstLine="0"/>
        <w:jc w:val="right"/>
        <w:rPr>
          <w:sz w:val="17"/>
        </w:rPr>
      </w:pPr>
      <w:r>
        <w:rPr>
          <w:color w:val="383638"/>
          <w:sz w:val="18"/>
        </w:rPr>
        <w:t>•</w:t>
      </w:r>
      <w:r>
        <w:rPr>
          <w:color w:val="5B5B5D"/>
          <w:sz w:val="18"/>
        </w:rPr>
        <w:t>•</w:t>
      </w:r>
      <w:r>
        <w:rPr>
          <w:color w:val="5B5B5D"/>
          <w:spacing w:val="-15"/>
          <w:sz w:val="18"/>
        </w:rPr>
        <w:t> </w:t>
      </w:r>
      <w:r>
        <w:rPr>
          <w:i/>
          <w:color w:val="484648"/>
          <w:sz w:val="18"/>
        </w:rPr>
        <w:t>Parts</w:t>
      </w:r>
      <w:r>
        <w:rPr>
          <w:i/>
          <w:color w:val="484648"/>
          <w:spacing w:val="-6"/>
          <w:sz w:val="18"/>
        </w:rPr>
        <w:t> </w:t>
      </w:r>
      <w:r>
        <w:rPr>
          <w:color w:val="484648"/>
          <w:sz w:val="16"/>
        </w:rPr>
        <w:t>&amp;</w:t>
      </w:r>
      <w:r>
        <w:rPr>
          <w:color w:val="484648"/>
          <w:spacing w:val="39"/>
          <w:sz w:val="16"/>
        </w:rPr>
        <w:t> </w:t>
      </w:r>
      <w:r>
        <w:rPr>
          <w:i/>
          <w:color w:val="383638"/>
          <w:sz w:val="18"/>
        </w:rPr>
        <w:t>Elec</w:t>
      </w:r>
      <w:r>
        <w:rPr>
          <w:i/>
          <w:color w:val="5B5B5D"/>
          <w:sz w:val="18"/>
        </w:rPr>
        <w:t>.</w:t>
      </w:r>
      <w:r>
        <w:rPr>
          <w:i/>
          <w:color w:val="5B5B5D"/>
          <w:spacing w:val="9"/>
          <w:sz w:val="18"/>
        </w:rPr>
        <w:t> </w:t>
      </w:r>
      <w:r>
        <w:rPr>
          <w:i/>
          <w:color w:val="484648"/>
          <w:sz w:val="18"/>
        </w:rPr>
        <w:t>Motors,</w:t>
      </w:r>
      <w:r>
        <w:rPr>
          <w:i/>
          <w:color w:val="484648"/>
          <w:spacing w:val="-14"/>
          <w:sz w:val="18"/>
        </w:rPr>
        <w:t> </w:t>
      </w:r>
      <w:r>
        <w:rPr>
          <w:i/>
          <w:color w:val="383638"/>
          <w:sz w:val="18"/>
        </w:rPr>
        <w:t>111,.</w:t>
      </w:r>
      <w:r>
        <w:rPr>
          <w:i/>
          <w:color w:val="383638"/>
          <w:spacing w:val="-19"/>
          <w:sz w:val="18"/>
        </w:rPr>
        <w:t> </w:t>
      </w:r>
      <w:r>
        <w:rPr>
          <w:i/>
          <w:color w:val="383638"/>
          <w:sz w:val="19"/>
        </w:rPr>
        <w:t>v.</w:t>
      </w:r>
      <w:r>
        <w:rPr>
          <w:i/>
          <w:color w:val="383638"/>
          <w:spacing w:val="12"/>
          <w:sz w:val="19"/>
        </w:rPr>
        <w:t> </w:t>
      </w:r>
      <w:r>
        <w:rPr>
          <w:i/>
          <w:color w:val="484648"/>
          <w:sz w:val="18"/>
        </w:rPr>
        <w:t>Sterli11g</w:t>
      </w:r>
      <w:r>
        <w:rPr>
          <w:i/>
          <w:color w:val="484648"/>
          <w:spacing w:val="7"/>
          <w:sz w:val="18"/>
        </w:rPr>
        <w:t> </w:t>
      </w:r>
      <w:r>
        <w:rPr>
          <w:i/>
          <w:color w:val="484648"/>
          <w:sz w:val="18"/>
        </w:rPr>
        <w:t>Elec.</w:t>
      </w:r>
      <w:r>
        <w:rPr>
          <w:i/>
          <w:color w:val="484648"/>
          <w:spacing w:val="-20"/>
          <w:sz w:val="18"/>
        </w:rPr>
        <w:t> </w:t>
      </w:r>
      <w:r>
        <w:rPr>
          <w:color w:val="484648"/>
          <w:sz w:val="17"/>
        </w:rPr>
        <w:t>/,re.,</w:t>
      </w:r>
      <w:r>
        <w:rPr>
          <w:color w:val="484648"/>
          <w:spacing w:val="-7"/>
          <w:sz w:val="17"/>
        </w:rPr>
        <w:t> </w:t>
      </w:r>
      <w:r>
        <w:rPr>
          <w:color w:val="484648"/>
          <w:sz w:val="17"/>
        </w:rPr>
        <w:t>866</w:t>
      </w:r>
      <w:r>
        <w:rPr>
          <w:color w:val="484648"/>
          <w:spacing w:val="40"/>
          <w:sz w:val="17"/>
        </w:rPr>
        <w:t> </w:t>
      </w:r>
      <w:r>
        <w:rPr>
          <w:color w:val="383638"/>
          <w:sz w:val="17"/>
        </w:rPr>
        <w:t>F.2d</w:t>
      </w:r>
      <w:r>
        <w:rPr>
          <w:color w:val="383638"/>
          <w:spacing w:val="11"/>
          <w:sz w:val="17"/>
        </w:rPr>
        <w:t> </w:t>
      </w:r>
      <w:r>
        <w:rPr>
          <w:color w:val="484648"/>
          <w:sz w:val="17"/>
        </w:rPr>
        <w:t>228,</w:t>
      </w:r>
      <w:r>
        <w:rPr>
          <w:color w:val="484648"/>
          <w:spacing w:val="-1"/>
          <w:sz w:val="17"/>
        </w:rPr>
        <w:t> </w:t>
      </w:r>
      <w:r>
        <w:rPr>
          <w:color w:val="383638"/>
          <w:sz w:val="17"/>
        </w:rPr>
        <w:t>233</w:t>
      </w:r>
      <w:r>
        <w:rPr>
          <w:color w:val="383638"/>
          <w:spacing w:val="7"/>
          <w:sz w:val="17"/>
        </w:rPr>
        <w:t> </w:t>
      </w:r>
      <w:r>
        <w:rPr>
          <w:color w:val="484648"/>
          <w:sz w:val="17"/>
        </w:rPr>
        <w:t>(7th</w:t>
      </w:r>
      <w:r>
        <w:rPr>
          <w:color w:val="484648"/>
          <w:spacing w:val="3"/>
          <w:sz w:val="17"/>
        </w:rPr>
        <w:t> </w:t>
      </w:r>
      <w:r>
        <w:rPr>
          <w:color w:val="484648"/>
          <w:sz w:val="17"/>
        </w:rPr>
        <w:t>Cir.</w:t>
      </w:r>
      <w:r>
        <w:rPr>
          <w:color w:val="484648"/>
          <w:spacing w:val="-1"/>
          <w:sz w:val="17"/>
        </w:rPr>
        <w:t> </w:t>
      </w:r>
      <w:r>
        <w:rPr>
          <w:color w:val="484648"/>
          <w:sz w:val="17"/>
        </w:rPr>
        <w:t>1988).</w:t>
      </w:r>
    </w:p>
    <w:p>
      <w:pPr>
        <w:spacing w:line="235" w:lineRule="auto" w:before="6"/>
        <w:ind w:left="123" w:right="114" w:firstLine="380"/>
        <w:jc w:val="right"/>
        <w:rPr>
          <w:sz w:val="17"/>
        </w:rPr>
      </w:pPr>
      <w:r>
        <w:rPr>
          <w:color w:val="383638"/>
          <w:w w:val="110"/>
          <w:sz w:val="17"/>
          <w:vertAlign w:val="superscript"/>
        </w:rPr>
        <w:t>1</w:t>
      </w:r>
      <w:r>
        <w:rPr>
          <w:color w:val="5B5B5D"/>
          <w:w w:val="110"/>
          <w:sz w:val="17"/>
          <w:vertAlign w:val="superscript"/>
        </w:rPr>
        <w:t>9</w:t>
      </w:r>
      <w:r>
        <w:rPr>
          <w:color w:val="383638"/>
          <w:w w:val="110"/>
          <w:sz w:val="17"/>
          <w:vertAlign w:val="baseline"/>
        </w:rPr>
        <w:t>Note</w:t>
      </w:r>
      <w:r>
        <w:rPr>
          <w:color w:val="383638"/>
          <w:spacing w:val="1"/>
          <w:w w:val="110"/>
          <w:sz w:val="17"/>
          <w:vertAlign w:val="baseline"/>
        </w:rPr>
        <w:t> </w:t>
      </w:r>
      <w:r>
        <w:rPr>
          <w:color w:val="484648"/>
          <w:w w:val="110"/>
          <w:sz w:val="17"/>
          <w:vertAlign w:val="baseline"/>
        </w:rPr>
        <w:t>that</w:t>
      </w:r>
      <w:r>
        <w:rPr>
          <w:color w:val="484648"/>
          <w:spacing w:val="1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all </w:t>
      </w:r>
      <w:r>
        <w:rPr>
          <w:color w:val="484648"/>
          <w:w w:val="110"/>
          <w:sz w:val="17"/>
          <w:vertAlign w:val="baseline"/>
        </w:rPr>
        <w:t>federal</w:t>
      </w:r>
      <w:r>
        <w:rPr>
          <w:color w:val="484648"/>
          <w:spacing w:val="1"/>
          <w:w w:val="110"/>
          <w:sz w:val="17"/>
          <w:vertAlign w:val="baseline"/>
        </w:rPr>
        <w:t> </w:t>
      </w:r>
      <w:r>
        <w:rPr>
          <w:color w:val="484648"/>
          <w:w w:val="110"/>
          <w:sz w:val="17"/>
          <w:vertAlign w:val="baseline"/>
        </w:rPr>
        <w:t>(and</w:t>
      </w:r>
      <w:r>
        <w:rPr>
          <w:color w:val="484648"/>
          <w:spacing w:val="1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most</w:t>
      </w:r>
      <w:r>
        <w:rPr>
          <w:color w:val="383638"/>
          <w:spacing w:val="1"/>
          <w:w w:val="110"/>
          <w:sz w:val="17"/>
          <w:vertAlign w:val="baseline"/>
        </w:rPr>
        <w:t> </w:t>
      </w:r>
      <w:r>
        <w:rPr>
          <w:color w:val="484648"/>
          <w:w w:val="110"/>
          <w:sz w:val="17"/>
          <w:vertAlign w:val="baseline"/>
        </w:rPr>
        <w:t>state)</w:t>
      </w:r>
      <w:r>
        <w:rPr>
          <w:color w:val="484648"/>
          <w:spacing w:val="1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jury</w:t>
      </w:r>
      <w:r>
        <w:rPr>
          <w:color w:val="383638"/>
          <w:spacing w:val="1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findings,</w:t>
      </w:r>
      <w:r>
        <w:rPr>
          <w:color w:val="383638"/>
          <w:spacing w:val="1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which  may  </w:t>
      </w:r>
      <w:r>
        <w:rPr>
          <w:color w:val="484648"/>
          <w:w w:val="110"/>
          <w:sz w:val="17"/>
          <w:vertAlign w:val="baseline"/>
        </w:rPr>
        <w:t>be  </w:t>
      </w:r>
      <w:r>
        <w:rPr>
          <w:color w:val="383638"/>
          <w:w w:val="110"/>
          <w:sz w:val="17"/>
          <w:vertAlign w:val="baseline"/>
        </w:rPr>
        <w:t>hard  to  separate  </w:t>
      </w:r>
      <w:r>
        <w:rPr>
          <w:color w:val="484648"/>
          <w:w w:val="110"/>
          <w:sz w:val="17"/>
          <w:vertAlign w:val="baseline"/>
        </w:rPr>
        <w:t>into</w:t>
      </w:r>
      <w:r>
        <w:rPr>
          <w:color w:val="484648"/>
          <w:spacing w:val="1"/>
          <w:w w:val="110"/>
          <w:sz w:val="17"/>
          <w:vertAlign w:val="baseline"/>
        </w:rPr>
        <w:t> </w:t>
      </w:r>
      <w:r>
        <w:rPr>
          <w:color w:val="484648"/>
          <w:w w:val="110"/>
          <w:sz w:val="17"/>
          <w:vertAlign w:val="baseline"/>
        </w:rPr>
        <w:t>distinct</w:t>
      </w:r>
      <w:r>
        <w:rPr>
          <w:color w:val="484648"/>
          <w:spacing w:val="1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questions </w:t>
      </w:r>
      <w:r>
        <w:rPr>
          <w:color w:val="484648"/>
          <w:w w:val="110"/>
          <w:sz w:val="17"/>
          <w:vertAlign w:val="baseline"/>
        </w:rPr>
        <w:t>of</w:t>
      </w:r>
      <w:r>
        <w:rPr>
          <w:color w:val="484648"/>
          <w:spacing w:val="1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law and</w:t>
      </w:r>
      <w:r>
        <w:rPr>
          <w:color w:val="383638"/>
          <w:spacing w:val="1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fact, are  usually  </w:t>
      </w:r>
      <w:r>
        <w:rPr>
          <w:color w:val="484648"/>
          <w:w w:val="110"/>
          <w:sz w:val="17"/>
          <w:vertAlign w:val="baseline"/>
        </w:rPr>
        <w:t>reviewed  under  </w:t>
      </w:r>
      <w:r>
        <w:rPr>
          <w:color w:val="383638"/>
          <w:w w:val="110"/>
          <w:sz w:val="17"/>
          <w:vertAlign w:val="baseline"/>
        </w:rPr>
        <w:t>the  </w:t>
      </w:r>
      <w:r>
        <w:rPr>
          <w:color w:val="5B5B5D"/>
          <w:w w:val="110"/>
          <w:sz w:val="17"/>
          <w:vertAlign w:val="baseline"/>
        </w:rPr>
        <w:t>"</w:t>
      </w:r>
      <w:r>
        <w:rPr>
          <w:color w:val="383638"/>
          <w:w w:val="110"/>
          <w:sz w:val="17"/>
          <w:vertAlign w:val="baseline"/>
        </w:rPr>
        <w:t>substantial  </w:t>
      </w:r>
      <w:r>
        <w:rPr>
          <w:color w:val="484648"/>
          <w:w w:val="110"/>
          <w:sz w:val="17"/>
          <w:vertAlign w:val="baseline"/>
        </w:rPr>
        <w:t>evidence" </w:t>
      </w:r>
      <w:r>
        <w:rPr>
          <w:color w:val="383638"/>
          <w:w w:val="110"/>
          <w:sz w:val="17"/>
          <w:vertAlign w:val="baseline"/>
        </w:rPr>
        <w:t>standard</w:t>
      </w:r>
      <w:r>
        <w:rPr>
          <w:color w:val="383638"/>
          <w:spacing w:val="1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per </w:t>
      </w:r>
      <w:r>
        <w:rPr>
          <w:color w:val="484648"/>
          <w:w w:val="110"/>
          <w:sz w:val="17"/>
          <w:vertAlign w:val="baseline"/>
        </w:rPr>
        <w:t>the </w:t>
      </w:r>
      <w:r>
        <w:rPr>
          <w:color w:val="383638"/>
          <w:w w:val="110"/>
          <w:sz w:val="17"/>
          <w:vertAlign w:val="baseline"/>
        </w:rPr>
        <w:t>Seventh  Amendment  to  the  United </w:t>
      </w:r>
      <w:r>
        <w:rPr>
          <w:color w:val="484648"/>
          <w:w w:val="110"/>
          <w:sz w:val="17"/>
          <w:vertAlign w:val="baseline"/>
        </w:rPr>
        <w:t>States Constitution,  which  provides that </w:t>
      </w:r>
      <w:r>
        <w:rPr>
          <w:color w:val="5B5B5D"/>
          <w:w w:val="110"/>
          <w:sz w:val="17"/>
          <w:vertAlign w:val="baseline"/>
        </w:rPr>
        <w:t>"</w:t>
      </w:r>
      <w:r>
        <w:rPr>
          <w:color w:val="383638"/>
          <w:w w:val="110"/>
          <w:sz w:val="17"/>
          <w:vertAlign w:val="baseline"/>
        </w:rPr>
        <w:t>no  fa</w:t>
      </w:r>
      <w:r>
        <w:rPr>
          <w:color w:val="5B5B5D"/>
          <w:w w:val="110"/>
          <w:sz w:val="17"/>
          <w:vertAlign w:val="baseline"/>
        </w:rPr>
        <w:t>c</w:t>
      </w:r>
      <w:r>
        <w:rPr>
          <w:color w:val="383638"/>
          <w:w w:val="110"/>
          <w:sz w:val="17"/>
          <w:vertAlign w:val="baseline"/>
        </w:rPr>
        <w:t>t  </w:t>
      </w:r>
      <w:r>
        <w:rPr>
          <w:color w:val="484648"/>
          <w:w w:val="110"/>
          <w:sz w:val="17"/>
          <w:vertAlign w:val="baseline"/>
        </w:rPr>
        <w:t>tried</w:t>
      </w:r>
      <w:r>
        <w:rPr>
          <w:color w:val="484648"/>
          <w:spacing w:val="1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by a</w:t>
      </w:r>
      <w:r>
        <w:rPr>
          <w:color w:val="383638"/>
          <w:spacing w:val="1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jury shall</w:t>
      </w:r>
      <w:r>
        <w:rPr>
          <w:color w:val="383638"/>
          <w:spacing w:val="1"/>
          <w:w w:val="110"/>
          <w:sz w:val="17"/>
          <w:vertAlign w:val="baseline"/>
        </w:rPr>
        <w:t> </w:t>
      </w:r>
      <w:r>
        <w:rPr>
          <w:color w:val="484648"/>
          <w:w w:val="110"/>
          <w:sz w:val="17"/>
          <w:vertAlign w:val="baseline"/>
        </w:rPr>
        <w:t>be otherwise </w:t>
      </w:r>
      <w:r>
        <w:rPr>
          <w:color w:val="383638"/>
          <w:w w:val="110"/>
          <w:sz w:val="17"/>
          <w:vertAlign w:val="baseline"/>
        </w:rPr>
        <w:t>re-examined</w:t>
      </w:r>
      <w:r>
        <w:rPr>
          <w:color w:val="383638"/>
          <w:spacing w:val="1"/>
          <w:w w:val="110"/>
          <w:sz w:val="17"/>
          <w:vertAlign w:val="baseline"/>
        </w:rPr>
        <w:t> </w:t>
      </w:r>
      <w:r>
        <w:rPr>
          <w:color w:val="484648"/>
          <w:w w:val="110"/>
          <w:sz w:val="17"/>
          <w:vertAlign w:val="baseline"/>
        </w:rPr>
        <w:t>in any</w:t>
      </w:r>
      <w:r>
        <w:rPr>
          <w:color w:val="484648"/>
          <w:spacing w:val="1"/>
          <w:w w:val="110"/>
          <w:sz w:val="17"/>
          <w:vertAlign w:val="baseline"/>
        </w:rPr>
        <w:t> </w:t>
      </w:r>
      <w:r>
        <w:rPr>
          <w:color w:val="484648"/>
          <w:w w:val="110"/>
          <w:sz w:val="17"/>
          <w:vertAlign w:val="baseline"/>
        </w:rPr>
        <w:t>Court </w:t>
      </w:r>
      <w:r>
        <w:rPr>
          <w:color w:val="383638"/>
          <w:w w:val="110"/>
          <w:sz w:val="17"/>
          <w:vertAlign w:val="baseline"/>
        </w:rPr>
        <w:t>of  the  United </w:t>
      </w:r>
      <w:r>
        <w:rPr>
          <w:color w:val="484648"/>
          <w:w w:val="110"/>
          <w:sz w:val="17"/>
          <w:vertAlign w:val="baseline"/>
        </w:rPr>
        <w:t>States,  </w:t>
      </w:r>
      <w:r>
        <w:rPr>
          <w:color w:val="383638"/>
          <w:w w:val="110"/>
          <w:sz w:val="17"/>
          <w:vertAlign w:val="baseline"/>
        </w:rPr>
        <w:t>than according to  the</w:t>
      </w:r>
      <w:r>
        <w:rPr>
          <w:color w:val="383638"/>
          <w:spacing w:val="1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rules </w:t>
      </w:r>
      <w:r>
        <w:rPr>
          <w:color w:val="484648"/>
          <w:w w:val="110"/>
          <w:sz w:val="17"/>
          <w:vertAlign w:val="baseline"/>
        </w:rPr>
        <w:t>of</w:t>
      </w:r>
      <w:r>
        <w:rPr>
          <w:color w:val="484648"/>
          <w:spacing w:val="1"/>
          <w:w w:val="110"/>
          <w:sz w:val="17"/>
          <w:vertAlign w:val="baseline"/>
        </w:rPr>
        <w:t> </w:t>
      </w:r>
      <w:r>
        <w:rPr>
          <w:color w:val="484648"/>
          <w:w w:val="110"/>
          <w:sz w:val="17"/>
          <w:vertAlign w:val="baseline"/>
        </w:rPr>
        <w:t>the</w:t>
      </w:r>
      <w:r>
        <w:rPr>
          <w:color w:val="484648"/>
          <w:spacing w:val="1"/>
          <w:w w:val="110"/>
          <w:sz w:val="17"/>
          <w:vertAlign w:val="baseline"/>
        </w:rPr>
        <w:t> </w:t>
      </w:r>
      <w:r>
        <w:rPr>
          <w:color w:val="484648"/>
          <w:w w:val="110"/>
          <w:sz w:val="17"/>
          <w:vertAlign w:val="baseline"/>
        </w:rPr>
        <w:t>common</w:t>
      </w:r>
      <w:r>
        <w:rPr>
          <w:color w:val="484648"/>
          <w:spacing w:val="1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law." </w:t>
      </w:r>
      <w:r>
        <w:rPr>
          <w:color w:val="484648"/>
          <w:w w:val="110"/>
          <w:sz w:val="17"/>
          <w:vertAlign w:val="baseline"/>
        </w:rPr>
        <w:t>Those "rules of </w:t>
      </w:r>
      <w:r>
        <w:rPr>
          <w:color w:val="383638"/>
          <w:w w:val="110"/>
          <w:sz w:val="17"/>
          <w:vertAlign w:val="baseline"/>
        </w:rPr>
        <w:t>the</w:t>
      </w:r>
      <w:r>
        <w:rPr>
          <w:color w:val="383638"/>
          <w:spacing w:val="1"/>
          <w:w w:val="110"/>
          <w:sz w:val="17"/>
          <w:vertAlign w:val="baseline"/>
        </w:rPr>
        <w:t> </w:t>
      </w:r>
      <w:r>
        <w:rPr>
          <w:color w:val="484648"/>
          <w:w w:val="110"/>
          <w:sz w:val="17"/>
          <w:vertAlign w:val="baseline"/>
        </w:rPr>
        <w:t>common</w:t>
      </w:r>
      <w:r>
        <w:rPr>
          <w:color w:val="484648"/>
          <w:spacing w:val="1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law</w:t>
      </w:r>
      <w:r>
        <w:rPr>
          <w:color w:val="5B5B5D"/>
          <w:w w:val="110"/>
          <w:sz w:val="17"/>
          <w:vertAlign w:val="baseline"/>
        </w:rPr>
        <w:t>"</w:t>
      </w:r>
      <w:r>
        <w:rPr>
          <w:color w:val="5B5B5D"/>
          <w:spacing w:val="1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generally  </w:t>
      </w:r>
      <w:r>
        <w:rPr>
          <w:color w:val="484648"/>
          <w:w w:val="110"/>
          <w:sz w:val="17"/>
          <w:vertAlign w:val="baseline"/>
        </w:rPr>
        <w:t>provide </w:t>
      </w:r>
      <w:r>
        <w:rPr>
          <w:color w:val="383638"/>
          <w:w w:val="110"/>
          <w:sz w:val="17"/>
          <w:vertAlign w:val="baseline"/>
        </w:rPr>
        <w:t>that </w:t>
      </w:r>
      <w:r>
        <w:rPr>
          <w:color w:val="484648"/>
          <w:w w:val="110"/>
          <w:sz w:val="17"/>
          <w:vertAlign w:val="baseline"/>
        </w:rPr>
        <w:t>such a finding</w:t>
      </w:r>
      <w:r>
        <w:rPr>
          <w:color w:val="484648"/>
          <w:spacing w:val="1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must</w:t>
      </w:r>
      <w:r>
        <w:rPr>
          <w:color w:val="383638"/>
          <w:spacing w:val="1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have </w:t>
      </w:r>
      <w:r>
        <w:rPr>
          <w:color w:val="484648"/>
          <w:w w:val="110"/>
          <w:sz w:val="17"/>
          <w:vertAlign w:val="baseline"/>
        </w:rPr>
        <w:t>only a "reasonable</w:t>
      </w:r>
      <w:r>
        <w:rPr>
          <w:color w:val="484648"/>
          <w:spacing w:val="1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basis In</w:t>
      </w:r>
      <w:r>
        <w:rPr>
          <w:color w:val="383638"/>
          <w:spacing w:val="1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the</w:t>
      </w:r>
      <w:r>
        <w:rPr>
          <w:color w:val="383638"/>
          <w:spacing w:val="1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law</w:t>
      </w:r>
      <w:r>
        <w:rPr>
          <w:color w:val="5B5B5D"/>
          <w:w w:val="110"/>
          <w:sz w:val="17"/>
          <w:vertAlign w:val="baseline"/>
        </w:rPr>
        <w:t>" </w:t>
      </w:r>
      <w:r>
        <w:rPr>
          <w:color w:val="383638"/>
          <w:w w:val="110"/>
          <w:sz w:val="17"/>
          <w:vertAlign w:val="baseline"/>
        </w:rPr>
        <w:t>and</w:t>
      </w:r>
      <w:r>
        <w:rPr>
          <w:color w:val="383638"/>
          <w:spacing w:val="1"/>
          <w:w w:val="110"/>
          <w:sz w:val="17"/>
          <w:vertAlign w:val="baseline"/>
        </w:rPr>
        <w:t> </w:t>
      </w:r>
      <w:r>
        <w:rPr>
          <w:color w:val="484648"/>
          <w:w w:val="110"/>
          <w:sz w:val="17"/>
          <w:vertAlign w:val="baseline"/>
        </w:rPr>
        <w:t>have "warrant</w:t>
      </w:r>
      <w:r>
        <w:rPr>
          <w:color w:val="484648"/>
          <w:spacing w:val="1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In </w:t>
      </w:r>
      <w:r>
        <w:rPr>
          <w:color w:val="484648"/>
          <w:w w:val="110"/>
          <w:sz w:val="17"/>
          <w:vertAlign w:val="baseline"/>
        </w:rPr>
        <w:t>the</w:t>
      </w:r>
      <w:r>
        <w:rPr>
          <w:color w:val="484648"/>
          <w:spacing w:val="1"/>
          <w:w w:val="110"/>
          <w:sz w:val="17"/>
          <w:vertAlign w:val="baseline"/>
        </w:rPr>
        <w:t> </w:t>
      </w:r>
      <w:r>
        <w:rPr>
          <w:color w:val="484648"/>
          <w:w w:val="110"/>
          <w:sz w:val="17"/>
          <w:vertAlign w:val="baseline"/>
        </w:rPr>
        <w:t>record."</w:t>
      </w:r>
      <w:r>
        <w:rPr>
          <w:color w:val="484648"/>
          <w:spacing w:val="1"/>
          <w:w w:val="110"/>
          <w:sz w:val="17"/>
          <w:vertAlign w:val="baseline"/>
        </w:rPr>
        <w:t> </w:t>
      </w:r>
      <w:r>
        <w:rPr>
          <w:i/>
          <w:color w:val="484648"/>
          <w:w w:val="110"/>
          <w:sz w:val="15"/>
          <w:vertAlign w:val="baseline"/>
        </w:rPr>
        <w:t>NLRB</w:t>
      </w:r>
      <w:r>
        <w:rPr>
          <w:i/>
          <w:color w:val="484648"/>
          <w:spacing w:val="1"/>
          <w:w w:val="110"/>
          <w:sz w:val="15"/>
          <w:vertAlign w:val="baseline"/>
        </w:rPr>
        <w:t> </w:t>
      </w:r>
      <w:r>
        <w:rPr>
          <w:i/>
          <w:color w:val="484648"/>
          <w:w w:val="110"/>
          <w:sz w:val="15"/>
          <w:vertAlign w:val="baseline"/>
        </w:rPr>
        <w:t>v.</w:t>
      </w:r>
      <w:r>
        <w:rPr>
          <w:i/>
          <w:color w:val="484648"/>
          <w:spacing w:val="1"/>
          <w:w w:val="110"/>
          <w:sz w:val="15"/>
          <w:vertAlign w:val="baseline"/>
        </w:rPr>
        <w:t> </w:t>
      </w:r>
      <w:r>
        <w:rPr>
          <w:i/>
          <w:color w:val="383638"/>
          <w:w w:val="110"/>
          <w:sz w:val="18"/>
          <w:vertAlign w:val="baseline"/>
        </w:rPr>
        <w:t>Hearst</w:t>
      </w:r>
      <w:r>
        <w:rPr>
          <w:i/>
          <w:color w:val="383638"/>
          <w:spacing w:val="1"/>
          <w:w w:val="110"/>
          <w:sz w:val="18"/>
          <w:vertAlign w:val="baseline"/>
        </w:rPr>
        <w:t> </w:t>
      </w:r>
      <w:r>
        <w:rPr>
          <w:i/>
          <w:color w:val="484648"/>
          <w:w w:val="105"/>
          <w:sz w:val="18"/>
          <w:vertAlign w:val="baseline"/>
        </w:rPr>
        <w:t>P11b/fcations, </w:t>
      </w:r>
      <w:r>
        <w:rPr>
          <w:color w:val="383638"/>
          <w:w w:val="110"/>
          <w:sz w:val="17"/>
          <w:vertAlign w:val="baseline"/>
        </w:rPr>
        <w:t>322</w:t>
      </w:r>
      <w:r>
        <w:rPr>
          <w:color w:val="383638"/>
          <w:spacing w:val="1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U.S. 111, </w:t>
      </w:r>
      <w:r>
        <w:rPr>
          <w:color w:val="484648"/>
          <w:w w:val="110"/>
          <w:sz w:val="17"/>
          <w:vertAlign w:val="baseline"/>
        </w:rPr>
        <w:t>131 </w:t>
      </w:r>
      <w:r>
        <w:rPr>
          <w:color w:val="383638"/>
          <w:w w:val="110"/>
          <w:sz w:val="17"/>
          <w:vertAlign w:val="baseline"/>
        </w:rPr>
        <w:t>(1944). Commentators</w:t>
      </w:r>
      <w:r>
        <w:rPr>
          <w:color w:val="383638"/>
          <w:spacing w:val="1"/>
          <w:w w:val="110"/>
          <w:sz w:val="17"/>
          <w:vertAlign w:val="baseline"/>
        </w:rPr>
        <w:t> </w:t>
      </w:r>
      <w:r>
        <w:rPr>
          <w:color w:val="484648"/>
          <w:w w:val="110"/>
          <w:sz w:val="17"/>
          <w:vertAlign w:val="baseline"/>
        </w:rPr>
        <w:t>have noted that courts are extremely reluc­</w:t>
      </w:r>
      <w:r>
        <w:rPr>
          <w:color w:val="484648"/>
          <w:spacing w:val="1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tant</w:t>
      </w:r>
      <w:r>
        <w:rPr>
          <w:color w:val="383638"/>
          <w:spacing w:val="1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to </w:t>
      </w:r>
      <w:r>
        <w:rPr>
          <w:color w:val="484648"/>
          <w:w w:val="110"/>
          <w:sz w:val="17"/>
          <w:vertAlign w:val="baseline"/>
        </w:rPr>
        <w:t>find</w:t>
      </w:r>
      <w:r>
        <w:rPr>
          <w:color w:val="484648"/>
          <w:spacing w:val="1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that  </w:t>
      </w:r>
      <w:r>
        <w:rPr>
          <w:color w:val="484648"/>
          <w:w w:val="110"/>
          <w:sz w:val="17"/>
          <w:vertAlign w:val="baseline"/>
        </w:rPr>
        <w:t>there </w:t>
      </w:r>
      <w:r>
        <w:rPr>
          <w:color w:val="383638"/>
          <w:w w:val="110"/>
          <w:sz w:val="17"/>
          <w:vertAlign w:val="baseline"/>
        </w:rPr>
        <w:t>is not  </w:t>
      </w:r>
      <w:r>
        <w:rPr>
          <w:color w:val="484648"/>
          <w:w w:val="110"/>
          <w:sz w:val="17"/>
          <w:vertAlign w:val="baseline"/>
        </w:rPr>
        <w:t>"substantial evidence"  </w:t>
      </w:r>
      <w:r>
        <w:rPr>
          <w:color w:val="383638"/>
          <w:w w:val="110"/>
          <w:sz w:val="17"/>
          <w:vertAlign w:val="baseline"/>
        </w:rPr>
        <w:t>to  </w:t>
      </w:r>
      <w:r>
        <w:rPr>
          <w:color w:val="484648"/>
          <w:w w:val="110"/>
          <w:sz w:val="17"/>
          <w:vertAlign w:val="baseline"/>
        </w:rPr>
        <w:t>support  </w:t>
      </w:r>
      <w:r>
        <w:rPr>
          <w:color w:val="383638"/>
          <w:w w:val="110"/>
          <w:sz w:val="17"/>
          <w:vertAlign w:val="baseline"/>
        </w:rPr>
        <w:t>a  jury  finding. Kunsch, </w:t>
      </w:r>
      <w:r>
        <w:rPr>
          <w:rFonts w:ascii="Arial" w:hAnsi="Arial"/>
          <w:i/>
          <w:color w:val="5B5B5D"/>
          <w:w w:val="110"/>
          <w:sz w:val="16"/>
          <w:vertAlign w:val="baseline"/>
        </w:rPr>
        <w:t>sup</w:t>
      </w:r>
      <w:r>
        <w:rPr>
          <w:rFonts w:ascii="Arial" w:hAnsi="Arial"/>
          <w:i/>
          <w:color w:val="383638"/>
          <w:w w:val="110"/>
          <w:sz w:val="16"/>
          <w:vertAlign w:val="baseline"/>
        </w:rPr>
        <w:t>ra  </w:t>
      </w:r>
      <w:r>
        <w:rPr>
          <w:color w:val="484648"/>
          <w:w w:val="110"/>
          <w:sz w:val="17"/>
          <w:vertAlign w:val="baseline"/>
        </w:rPr>
        <w:t>note</w:t>
      </w:r>
      <w:r>
        <w:rPr>
          <w:color w:val="484648"/>
          <w:spacing w:val="1"/>
          <w:w w:val="110"/>
          <w:sz w:val="17"/>
          <w:vertAlign w:val="baseline"/>
        </w:rPr>
        <w:t> </w:t>
      </w:r>
      <w:r>
        <w:rPr>
          <w:color w:val="383638"/>
          <w:w w:val="105"/>
          <w:sz w:val="17"/>
          <w:vertAlign w:val="baseline"/>
        </w:rPr>
        <w:t>15, </w:t>
      </w:r>
      <w:r>
        <w:rPr>
          <w:color w:val="484648"/>
          <w:w w:val="105"/>
          <w:sz w:val="17"/>
          <w:vertAlign w:val="baseline"/>
        </w:rPr>
        <w:t>at  </w:t>
      </w:r>
      <w:r>
        <w:rPr>
          <w:color w:val="383638"/>
          <w:w w:val="105"/>
          <w:sz w:val="17"/>
          <w:vertAlign w:val="baseline"/>
        </w:rPr>
        <w:t>43. </w:t>
      </w:r>
      <w:r>
        <w:rPr>
          <w:i/>
          <w:color w:val="484648"/>
          <w:w w:val="105"/>
          <w:sz w:val="18"/>
          <w:vertAlign w:val="baseline"/>
        </w:rPr>
        <w:t>See also </w:t>
      </w:r>
      <w:r>
        <w:rPr>
          <w:i/>
          <w:color w:val="383638"/>
          <w:w w:val="105"/>
          <w:sz w:val="18"/>
          <w:vertAlign w:val="baseline"/>
        </w:rPr>
        <w:t>U11ited  </w:t>
      </w:r>
      <w:r>
        <w:rPr>
          <w:i/>
          <w:color w:val="484648"/>
          <w:w w:val="105"/>
          <w:sz w:val="18"/>
          <w:vertAlign w:val="baseline"/>
        </w:rPr>
        <w:t>States </w:t>
      </w:r>
      <w:r>
        <w:rPr>
          <w:i/>
          <w:color w:val="383638"/>
          <w:w w:val="105"/>
          <w:sz w:val="15"/>
          <w:vertAlign w:val="baseline"/>
        </w:rPr>
        <w:t>v. </w:t>
      </w:r>
      <w:r>
        <w:rPr>
          <w:i/>
          <w:color w:val="383638"/>
          <w:spacing w:val="1"/>
          <w:w w:val="105"/>
          <w:sz w:val="15"/>
          <w:vertAlign w:val="baseline"/>
        </w:rPr>
        <w:t> </w:t>
      </w:r>
      <w:r>
        <w:rPr>
          <w:i/>
          <w:color w:val="484648"/>
          <w:w w:val="105"/>
          <w:sz w:val="18"/>
          <w:vertAlign w:val="baseline"/>
        </w:rPr>
        <w:t>Ellefson, </w:t>
      </w:r>
      <w:r>
        <w:rPr>
          <w:color w:val="383638"/>
          <w:w w:val="105"/>
          <w:sz w:val="17"/>
          <w:vertAlign w:val="baseline"/>
        </w:rPr>
        <w:t>419 </w:t>
      </w:r>
      <w:r>
        <w:rPr>
          <w:color w:val="383638"/>
          <w:spacing w:val="1"/>
          <w:w w:val="105"/>
          <w:sz w:val="17"/>
          <w:vertAlign w:val="baseline"/>
        </w:rPr>
        <w:t> </w:t>
      </w:r>
      <w:r>
        <w:rPr>
          <w:color w:val="484648"/>
          <w:w w:val="105"/>
          <w:sz w:val="17"/>
          <w:vertAlign w:val="baseline"/>
        </w:rPr>
        <w:t>F.3d 859, 862-63 (8th Cir. 2005)  ("We may  reverse</w:t>
      </w:r>
      <w:r>
        <w:rPr>
          <w:color w:val="484648"/>
          <w:spacing w:val="-42"/>
          <w:w w:val="105"/>
          <w:sz w:val="17"/>
          <w:vertAlign w:val="baseline"/>
        </w:rPr>
        <w:t> </w:t>
      </w:r>
      <w:r>
        <w:rPr>
          <w:rFonts w:ascii="Arial" w:hAnsi="Arial"/>
          <w:b/>
          <w:color w:val="484648"/>
          <w:w w:val="110"/>
          <w:sz w:val="17"/>
          <w:vertAlign w:val="baseline"/>
        </w:rPr>
        <w:t>a </w:t>
      </w:r>
      <w:r>
        <w:rPr>
          <w:color w:val="383638"/>
          <w:w w:val="110"/>
          <w:sz w:val="17"/>
          <w:vertAlign w:val="baseline"/>
        </w:rPr>
        <w:t>fury's verdict</w:t>
      </w:r>
      <w:r>
        <w:rPr>
          <w:color w:val="383638"/>
          <w:spacing w:val="1"/>
          <w:w w:val="110"/>
          <w:sz w:val="17"/>
          <w:vertAlign w:val="baseline"/>
        </w:rPr>
        <w:t> </w:t>
      </w:r>
      <w:r>
        <w:rPr>
          <w:color w:val="484648"/>
          <w:w w:val="110"/>
          <w:sz w:val="17"/>
          <w:vertAlign w:val="baseline"/>
        </w:rPr>
        <w:t>only </w:t>
      </w:r>
      <w:r>
        <w:rPr>
          <w:color w:val="383638"/>
          <w:w w:val="110"/>
          <w:sz w:val="17"/>
          <w:vertAlign w:val="baseline"/>
        </w:rPr>
        <w:t>If</w:t>
      </w:r>
      <w:r>
        <w:rPr>
          <w:color w:val="383638"/>
          <w:spacing w:val="1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'no</w:t>
      </w:r>
      <w:r>
        <w:rPr>
          <w:color w:val="383638"/>
          <w:spacing w:val="1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reasonable</w:t>
      </w:r>
      <w:r>
        <w:rPr>
          <w:color w:val="383638"/>
          <w:spacing w:val="1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jury </w:t>
      </w:r>
      <w:r>
        <w:rPr>
          <w:color w:val="484648"/>
          <w:w w:val="110"/>
          <w:sz w:val="17"/>
          <w:vertAlign w:val="baseline"/>
        </w:rPr>
        <w:t>could  </w:t>
      </w:r>
      <w:r>
        <w:rPr>
          <w:color w:val="383638"/>
          <w:w w:val="110"/>
          <w:sz w:val="17"/>
          <w:vertAlign w:val="baseline"/>
        </w:rPr>
        <w:t>have found  the  a</w:t>
      </w:r>
      <w:r>
        <w:rPr>
          <w:color w:val="5B5B5D"/>
          <w:w w:val="110"/>
          <w:sz w:val="17"/>
          <w:vertAlign w:val="baseline"/>
        </w:rPr>
        <w:t>cc</w:t>
      </w:r>
      <w:r>
        <w:rPr>
          <w:color w:val="383638"/>
          <w:w w:val="110"/>
          <w:sz w:val="17"/>
          <w:vertAlign w:val="baseline"/>
        </w:rPr>
        <w:t>used  </w:t>
      </w:r>
      <w:r>
        <w:rPr>
          <w:color w:val="484648"/>
          <w:w w:val="110"/>
          <w:sz w:val="17"/>
          <w:vertAlign w:val="baseline"/>
        </w:rPr>
        <w:t>guilty </w:t>
      </w:r>
      <w:r>
        <w:rPr>
          <w:color w:val="383638"/>
          <w:w w:val="110"/>
          <w:sz w:val="17"/>
          <w:vertAlign w:val="baseline"/>
        </w:rPr>
        <w:t>beyond </w:t>
      </w:r>
      <w:r>
        <w:rPr>
          <w:color w:val="484648"/>
          <w:w w:val="110"/>
          <w:sz w:val="17"/>
          <w:vertAlign w:val="baseline"/>
        </w:rPr>
        <w:t>a  reason­</w:t>
      </w:r>
      <w:r>
        <w:rPr>
          <w:color w:val="484648"/>
          <w:spacing w:val="-44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able </w:t>
      </w:r>
      <w:r>
        <w:rPr>
          <w:color w:val="484648"/>
          <w:w w:val="110"/>
          <w:sz w:val="17"/>
          <w:vertAlign w:val="baseline"/>
        </w:rPr>
        <w:t>doubt.'") (citation </w:t>
      </w:r>
      <w:r>
        <w:rPr>
          <w:color w:val="383638"/>
          <w:w w:val="110"/>
          <w:sz w:val="17"/>
          <w:vertAlign w:val="baseline"/>
        </w:rPr>
        <w:t>omitted). </w:t>
      </w:r>
      <w:r>
        <w:rPr>
          <w:i/>
          <w:color w:val="484648"/>
          <w:w w:val="110"/>
          <w:sz w:val="18"/>
          <w:vertAlign w:val="baseline"/>
        </w:rPr>
        <w:t>See </w:t>
      </w:r>
      <w:r>
        <w:rPr>
          <w:i/>
          <w:color w:val="383638"/>
          <w:w w:val="110"/>
          <w:sz w:val="18"/>
          <w:vertAlign w:val="baseline"/>
        </w:rPr>
        <w:t>also </w:t>
      </w:r>
      <w:r>
        <w:rPr>
          <w:i/>
          <w:color w:val="484648"/>
          <w:w w:val="105"/>
          <w:sz w:val="18"/>
          <w:vertAlign w:val="baseline"/>
        </w:rPr>
        <w:t>U11itetl </w:t>
      </w:r>
      <w:r>
        <w:rPr>
          <w:i/>
          <w:color w:val="484648"/>
          <w:w w:val="110"/>
          <w:sz w:val="18"/>
          <w:vertAlign w:val="baseline"/>
        </w:rPr>
        <w:t>States </w:t>
      </w:r>
      <w:r>
        <w:rPr>
          <w:i/>
          <w:color w:val="484648"/>
          <w:w w:val="110"/>
          <w:sz w:val="17"/>
          <w:vertAlign w:val="baseline"/>
        </w:rPr>
        <w:t>v. </w:t>
      </w:r>
      <w:r>
        <w:rPr>
          <w:i/>
          <w:color w:val="383638"/>
          <w:w w:val="110"/>
          <w:sz w:val="18"/>
          <w:vertAlign w:val="baseline"/>
        </w:rPr>
        <w:t>Boria, </w:t>
      </w:r>
      <w:r>
        <w:rPr>
          <w:color w:val="484648"/>
          <w:w w:val="110"/>
          <w:sz w:val="17"/>
          <w:vertAlign w:val="baseline"/>
        </w:rPr>
        <w:t>592</w:t>
      </w:r>
      <w:r>
        <w:rPr>
          <w:color w:val="484648"/>
          <w:spacing w:val="1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F.3d 476</w:t>
      </w:r>
      <w:r>
        <w:rPr>
          <w:color w:val="5B5B5D"/>
          <w:w w:val="110"/>
          <w:sz w:val="17"/>
          <w:vertAlign w:val="baseline"/>
        </w:rPr>
        <w:t>, </w:t>
      </w:r>
      <w:r>
        <w:rPr>
          <w:color w:val="383638"/>
          <w:w w:val="110"/>
          <w:sz w:val="17"/>
          <w:vertAlign w:val="baseline"/>
        </w:rPr>
        <w:t>480 </w:t>
      </w:r>
      <w:r>
        <w:rPr>
          <w:color w:val="484648"/>
          <w:w w:val="110"/>
          <w:sz w:val="17"/>
          <w:vertAlign w:val="baseline"/>
        </w:rPr>
        <w:t>(fed</w:t>
      </w:r>
      <w:r>
        <w:rPr>
          <w:color w:val="6E7070"/>
          <w:w w:val="110"/>
          <w:sz w:val="17"/>
          <w:vertAlign w:val="baseline"/>
        </w:rPr>
        <w:t>. </w:t>
      </w:r>
      <w:r>
        <w:rPr>
          <w:color w:val="484648"/>
          <w:w w:val="110"/>
          <w:sz w:val="17"/>
          <w:vertAlign w:val="baseline"/>
        </w:rPr>
        <w:t>Cir. 2010).</w:t>
      </w:r>
      <w:r>
        <w:rPr>
          <w:color w:val="484648"/>
          <w:spacing w:val="-44"/>
          <w:w w:val="110"/>
          <w:sz w:val="17"/>
          <w:vertAlign w:val="baseline"/>
        </w:rPr>
        <w:t> </w:t>
      </w:r>
      <w:r>
        <w:rPr>
          <w:i/>
          <w:color w:val="484648"/>
          <w:w w:val="110"/>
          <w:sz w:val="18"/>
          <w:vertAlign w:val="baseline"/>
        </w:rPr>
        <w:t>"'Brow11 </w:t>
      </w:r>
      <w:r>
        <w:rPr>
          <w:i/>
          <w:color w:val="383638"/>
          <w:w w:val="110"/>
          <w:sz w:val="19"/>
          <w:vertAlign w:val="baseline"/>
        </w:rPr>
        <w:t>v</w:t>
      </w:r>
      <w:r>
        <w:rPr>
          <w:i/>
          <w:color w:val="5B5B5D"/>
          <w:w w:val="110"/>
          <w:sz w:val="19"/>
          <w:vertAlign w:val="baseline"/>
        </w:rPr>
        <w:t>. </w:t>
      </w:r>
      <w:r>
        <w:rPr>
          <w:i/>
          <w:color w:val="484648"/>
          <w:w w:val="105"/>
          <w:sz w:val="18"/>
          <w:vertAlign w:val="baseline"/>
        </w:rPr>
        <w:t>Plat&lt;l, </w:t>
      </w:r>
      <w:r>
        <w:rPr>
          <w:color w:val="383638"/>
          <w:w w:val="105"/>
          <w:sz w:val="17"/>
          <w:vertAlign w:val="baseline"/>
        </w:rPr>
        <w:t>131</w:t>
      </w:r>
      <w:r>
        <w:rPr>
          <w:color w:val="383638"/>
          <w:spacing w:val="1"/>
          <w:w w:val="105"/>
          <w:sz w:val="17"/>
          <w:vertAlign w:val="baseline"/>
        </w:rPr>
        <w:t> </w:t>
      </w:r>
      <w:r>
        <w:rPr>
          <w:color w:val="484648"/>
          <w:w w:val="110"/>
          <w:sz w:val="17"/>
          <w:vertAlign w:val="baseline"/>
        </w:rPr>
        <w:t>S.</w:t>
      </w:r>
      <w:r>
        <w:rPr>
          <w:color w:val="484648"/>
          <w:spacing w:val="1"/>
          <w:w w:val="110"/>
          <w:sz w:val="17"/>
          <w:vertAlign w:val="baseline"/>
        </w:rPr>
        <w:t> </w:t>
      </w:r>
      <w:r>
        <w:rPr>
          <w:color w:val="484648"/>
          <w:w w:val="105"/>
          <w:sz w:val="17"/>
          <w:vertAlign w:val="baseline"/>
        </w:rPr>
        <w:t>Ct.</w:t>
      </w:r>
      <w:r>
        <w:rPr>
          <w:color w:val="484648"/>
          <w:spacing w:val="1"/>
          <w:w w:val="105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1910, 1932 (2011) </w:t>
      </w:r>
      <w:r>
        <w:rPr>
          <w:color w:val="484648"/>
          <w:w w:val="110"/>
          <w:sz w:val="17"/>
          <w:vertAlign w:val="baseline"/>
        </w:rPr>
        <w:t>(applying a  </w:t>
      </w:r>
      <w:r>
        <w:rPr>
          <w:color w:val="383638"/>
          <w:w w:val="110"/>
          <w:sz w:val="17"/>
          <w:vertAlign w:val="baseline"/>
        </w:rPr>
        <w:t>deferential </w:t>
      </w:r>
      <w:r>
        <w:rPr>
          <w:color w:val="484648"/>
          <w:w w:val="110"/>
          <w:sz w:val="17"/>
          <w:vertAlign w:val="baseline"/>
        </w:rPr>
        <w:t>standard  </w:t>
      </w:r>
      <w:r>
        <w:rPr>
          <w:color w:val="383638"/>
          <w:w w:val="110"/>
          <w:sz w:val="17"/>
          <w:vertAlign w:val="baseline"/>
        </w:rPr>
        <w:t>to </w:t>
      </w:r>
      <w:r>
        <w:rPr>
          <w:color w:val="484648"/>
          <w:w w:val="110"/>
          <w:sz w:val="17"/>
          <w:vertAlign w:val="baseline"/>
        </w:rPr>
        <w:t>a  </w:t>
      </w:r>
      <w:r>
        <w:rPr>
          <w:color w:val="383638"/>
          <w:w w:val="110"/>
          <w:sz w:val="17"/>
          <w:vertAlign w:val="baseline"/>
        </w:rPr>
        <w:t>mixed</w:t>
      </w:r>
      <w:r>
        <w:rPr>
          <w:color w:val="383638"/>
          <w:spacing w:val="1"/>
          <w:w w:val="110"/>
          <w:sz w:val="17"/>
          <w:vertAlign w:val="baseline"/>
        </w:rPr>
        <w:t> </w:t>
      </w:r>
      <w:r>
        <w:rPr>
          <w:color w:val="484648"/>
          <w:w w:val="110"/>
          <w:sz w:val="17"/>
          <w:vertAlign w:val="baseline"/>
        </w:rPr>
        <w:t>question</w:t>
      </w:r>
      <w:r>
        <w:rPr>
          <w:color w:val="484648"/>
          <w:spacing w:val="8"/>
          <w:w w:val="110"/>
          <w:sz w:val="17"/>
          <w:vertAlign w:val="baseline"/>
        </w:rPr>
        <w:t> </w:t>
      </w:r>
      <w:r>
        <w:rPr>
          <w:color w:val="484648"/>
          <w:w w:val="110"/>
          <w:sz w:val="17"/>
          <w:vertAlign w:val="baseline"/>
        </w:rPr>
        <w:t>of</w:t>
      </w:r>
      <w:r>
        <w:rPr>
          <w:color w:val="484648"/>
          <w:spacing w:val="40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law</w:t>
      </w:r>
      <w:r>
        <w:rPr>
          <w:color w:val="383638"/>
          <w:spacing w:val="-8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and</w:t>
      </w:r>
      <w:r>
        <w:rPr>
          <w:color w:val="383638"/>
          <w:spacing w:val="10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fact</w:t>
      </w:r>
      <w:r>
        <w:rPr>
          <w:color w:val="383638"/>
          <w:spacing w:val="23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because,</w:t>
      </w:r>
      <w:r>
        <w:rPr>
          <w:color w:val="383638"/>
          <w:spacing w:val="42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In</w:t>
      </w:r>
      <w:r>
        <w:rPr>
          <w:color w:val="383638"/>
          <w:spacing w:val="23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the</w:t>
      </w:r>
      <w:r>
        <w:rPr>
          <w:color w:val="383638"/>
          <w:spacing w:val="16"/>
          <w:w w:val="110"/>
          <w:sz w:val="17"/>
          <w:vertAlign w:val="baseline"/>
        </w:rPr>
        <w:t> </w:t>
      </w:r>
      <w:r>
        <w:rPr>
          <w:color w:val="484648"/>
          <w:w w:val="110"/>
          <w:sz w:val="17"/>
          <w:vertAlign w:val="baseline"/>
        </w:rPr>
        <w:t>Court's</w:t>
      </w:r>
      <w:r>
        <w:rPr>
          <w:color w:val="484648"/>
          <w:spacing w:val="10"/>
          <w:w w:val="110"/>
          <w:sz w:val="17"/>
          <w:vertAlign w:val="baseline"/>
        </w:rPr>
        <w:t> </w:t>
      </w:r>
      <w:r>
        <w:rPr>
          <w:color w:val="484648"/>
          <w:w w:val="110"/>
          <w:sz w:val="17"/>
          <w:vertAlign w:val="baseline"/>
        </w:rPr>
        <w:t>opinion,</w:t>
      </w:r>
      <w:r>
        <w:rPr>
          <w:color w:val="484648"/>
          <w:spacing w:val="13"/>
          <w:w w:val="110"/>
          <w:sz w:val="17"/>
          <w:vertAlign w:val="baseline"/>
        </w:rPr>
        <w:t> </w:t>
      </w:r>
      <w:r>
        <w:rPr>
          <w:color w:val="5B5B5D"/>
          <w:w w:val="110"/>
          <w:sz w:val="17"/>
          <w:vertAlign w:val="baseline"/>
        </w:rPr>
        <w:t>"</w:t>
      </w:r>
      <w:r>
        <w:rPr>
          <w:color w:val="383638"/>
          <w:w w:val="110"/>
          <w:sz w:val="17"/>
          <w:vertAlign w:val="baseline"/>
        </w:rPr>
        <w:t>the</w:t>
      </w:r>
      <w:r>
        <w:rPr>
          <w:color w:val="383638"/>
          <w:spacing w:val="21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mix</w:t>
      </w:r>
      <w:r>
        <w:rPr>
          <w:color w:val="383638"/>
          <w:spacing w:val="-16"/>
          <w:w w:val="110"/>
          <w:sz w:val="17"/>
          <w:vertAlign w:val="baseline"/>
        </w:rPr>
        <w:t> </w:t>
      </w:r>
      <w:r>
        <w:rPr>
          <w:color w:val="484648"/>
          <w:w w:val="110"/>
          <w:sz w:val="17"/>
          <w:vertAlign w:val="baseline"/>
        </w:rPr>
        <w:t>welgh[edl</w:t>
      </w:r>
      <w:r>
        <w:rPr>
          <w:color w:val="484648"/>
          <w:spacing w:val="42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heavily </w:t>
      </w:r>
      <w:r>
        <w:rPr>
          <w:color w:val="484648"/>
          <w:w w:val="110"/>
          <w:sz w:val="17"/>
          <w:vertAlign w:val="baseline"/>
        </w:rPr>
        <w:t>on</w:t>
      </w:r>
      <w:r>
        <w:rPr>
          <w:color w:val="484648"/>
          <w:spacing w:val="26"/>
          <w:w w:val="110"/>
          <w:sz w:val="17"/>
          <w:vertAlign w:val="baseline"/>
        </w:rPr>
        <w:t> </w:t>
      </w:r>
      <w:r>
        <w:rPr>
          <w:color w:val="383638"/>
          <w:w w:val="110"/>
          <w:sz w:val="17"/>
          <w:vertAlign w:val="baseline"/>
        </w:rPr>
        <w:t>the</w:t>
      </w:r>
      <w:r>
        <w:rPr>
          <w:color w:val="383638"/>
          <w:spacing w:val="2"/>
          <w:w w:val="110"/>
          <w:sz w:val="17"/>
          <w:vertAlign w:val="baseline"/>
        </w:rPr>
        <w:t> </w:t>
      </w:r>
      <w:r>
        <w:rPr>
          <w:color w:val="484648"/>
          <w:w w:val="110"/>
          <w:sz w:val="17"/>
          <w:vertAlign w:val="baseline"/>
        </w:rPr>
        <w:t>'fact'</w:t>
      </w:r>
    </w:p>
    <w:p>
      <w:pPr>
        <w:spacing w:line="186" w:lineRule="exact" w:before="0"/>
        <w:ind w:left="131" w:right="0" w:firstLine="0"/>
        <w:jc w:val="left"/>
        <w:rPr>
          <w:sz w:val="17"/>
        </w:rPr>
      </w:pPr>
      <w:r>
        <w:rPr>
          <w:color w:val="383638"/>
          <w:w w:val="115"/>
          <w:sz w:val="17"/>
        </w:rPr>
        <w:t>side"</w:t>
      </w:r>
      <w:r>
        <w:rPr>
          <w:color w:val="383638"/>
          <w:spacing w:val="11"/>
          <w:w w:val="115"/>
          <w:sz w:val="17"/>
        </w:rPr>
        <w:t> </w:t>
      </w:r>
      <w:r>
        <w:rPr>
          <w:color w:val="383638"/>
          <w:w w:val="115"/>
          <w:sz w:val="17"/>
        </w:rPr>
        <w:t>(citations</w:t>
      </w:r>
      <w:r>
        <w:rPr>
          <w:color w:val="383638"/>
          <w:spacing w:val="-6"/>
          <w:w w:val="115"/>
          <w:sz w:val="17"/>
        </w:rPr>
        <w:t> </w:t>
      </w:r>
      <w:r>
        <w:rPr>
          <w:color w:val="484648"/>
          <w:w w:val="115"/>
          <w:sz w:val="17"/>
        </w:rPr>
        <w:t>omitted)).</w:t>
      </w:r>
    </w:p>
    <w:p>
      <w:pPr>
        <w:spacing w:after="0" w:line="186" w:lineRule="exact"/>
        <w:jc w:val="left"/>
        <w:rPr>
          <w:sz w:val="17"/>
        </w:rPr>
        <w:sectPr>
          <w:pgSz w:w="9640" w:h="13770"/>
          <w:pgMar w:header="588" w:footer="0" w:top="720" w:bottom="280" w:left="42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32" w:lineRule="auto" w:before="97"/>
        <w:ind w:left="762" w:right="117" w:firstLine="10"/>
        <w:jc w:val="right"/>
      </w:pPr>
      <w:r>
        <w:rPr>
          <w:color w:val="3A3838"/>
          <w:w w:val="110"/>
        </w:rPr>
        <w:t>of law 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fact is often characterized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as a question about whether certain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agreed-upon</w:t>
      </w:r>
      <w:r>
        <w:rPr>
          <w:color w:val="3A3838"/>
          <w:spacing w:val="33"/>
          <w:w w:val="110"/>
        </w:rPr>
        <w:t> </w:t>
      </w:r>
      <w:r>
        <w:rPr>
          <w:color w:val="3A3838"/>
          <w:w w:val="110"/>
        </w:rPr>
        <w:t>facts</w:t>
      </w:r>
      <w:r>
        <w:rPr>
          <w:color w:val="3A3838"/>
          <w:spacing w:val="8"/>
          <w:w w:val="110"/>
        </w:rPr>
        <w:t> </w:t>
      </w:r>
      <w:r>
        <w:rPr>
          <w:color w:val="3A3838"/>
          <w:w w:val="110"/>
        </w:rPr>
        <w:t>meet</w:t>
      </w:r>
      <w:r>
        <w:rPr>
          <w:color w:val="3A3838"/>
          <w:spacing w:val="12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20"/>
          <w:w w:val="110"/>
        </w:rPr>
        <w:t> </w:t>
      </w:r>
      <w:r>
        <w:rPr>
          <w:color w:val="3A3838"/>
          <w:w w:val="110"/>
        </w:rPr>
        <w:t>legal</w:t>
      </w:r>
      <w:r>
        <w:rPr>
          <w:color w:val="3A3838"/>
          <w:spacing w:val="7"/>
          <w:w w:val="110"/>
        </w:rPr>
        <w:t> </w:t>
      </w:r>
      <w:r>
        <w:rPr>
          <w:color w:val="3A3838"/>
          <w:w w:val="110"/>
        </w:rPr>
        <w:t>standard.</w:t>
      </w:r>
      <w:r>
        <w:rPr>
          <w:color w:val="3A3838"/>
          <w:spacing w:val="23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16"/>
          <w:w w:val="110"/>
        </w:rPr>
        <w:t> </w:t>
      </w:r>
      <w:r>
        <w:rPr>
          <w:i/>
          <w:color w:val="3A3838"/>
          <w:w w:val="110"/>
        </w:rPr>
        <w:t>Ornelas</w:t>
      </w:r>
      <w:r>
        <w:rPr>
          <w:i/>
          <w:color w:val="3A3838"/>
          <w:spacing w:val="12"/>
          <w:w w:val="110"/>
        </w:rPr>
        <w:t> </w:t>
      </w:r>
      <w:r>
        <w:rPr>
          <w:i/>
          <w:color w:val="3A3838"/>
          <w:w w:val="110"/>
        </w:rPr>
        <w:t>v.</w:t>
      </w:r>
      <w:r>
        <w:rPr>
          <w:i/>
          <w:color w:val="3A3838"/>
          <w:spacing w:val="6"/>
          <w:w w:val="110"/>
        </w:rPr>
        <w:t> </w:t>
      </w:r>
      <w:r>
        <w:rPr>
          <w:i/>
          <w:color w:val="3A3838"/>
          <w:w w:val="110"/>
        </w:rPr>
        <w:t>United</w:t>
      </w:r>
      <w:r>
        <w:rPr>
          <w:i/>
          <w:color w:val="3A3838"/>
          <w:spacing w:val="30"/>
          <w:w w:val="110"/>
        </w:rPr>
        <w:t> </w:t>
      </w:r>
      <w:r>
        <w:rPr>
          <w:i/>
          <w:color w:val="3A3838"/>
          <w:w w:val="110"/>
        </w:rPr>
        <w:t>States, </w:t>
      </w:r>
      <w:r>
        <w:rPr>
          <w:color w:val="3A3838"/>
          <w:w w:val="110"/>
        </w:rPr>
        <w:t>for</w:t>
      </w:r>
      <w:r>
        <w:rPr>
          <w:color w:val="3A3838"/>
          <w:spacing w:val="-60"/>
          <w:w w:val="110"/>
        </w:rPr>
        <w:t> </w:t>
      </w:r>
      <w:r>
        <w:rPr>
          <w:color w:val="3A3838"/>
          <w:w w:val="110"/>
        </w:rPr>
        <w:t>example,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United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States Supreme Court decided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that de novo was an</w:t>
      </w:r>
      <w:r>
        <w:rPr>
          <w:color w:val="3A3838"/>
          <w:spacing w:val="-61"/>
          <w:w w:val="110"/>
        </w:rPr>
        <w:t> </w:t>
      </w:r>
      <w:r>
        <w:rPr>
          <w:color w:val="3A3838"/>
          <w:spacing w:val="-1"/>
          <w:w w:val="115"/>
        </w:rPr>
        <w:t>appropriate</w:t>
      </w:r>
      <w:r>
        <w:rPr>
          <w:color w:val="3A3838"/>
          <w:spacing w:val="-5"/>
          <w:w w:val="115"/>
        </w:rPr>
        <w:t> </w:t>
      </w:r>
      <w:r>
        <w:rPr>
          <w:color w:val="3A3838"/>
          <w:spacing w:val="-1"/>
          <w:w w:val="115"/>
        </w:rPr>
        <w:t>appellate</w:t>
      </w:r>
      <w:r>
        <w:rPr>
          <w:color w:val="3A3838"/>
          <w:spacing w:val="-12"/>
          <w:w w:val="115"/>
        </w:rPr>
        <w:t> </w:t>
      </w:r>
      <w:r>
        <w:rPr>
          <w:color w:val="3A3838"/>
          <w:spacing w:val="-1"/>
          <w:w w:val="115"/>
        </w:rPr>
        <w:t>standard</w:t>
      </w:r>
      <w:r>
        <w:rPr>
          <w:color w:val="3A3838"/>
          <w:spacing w:val="-8"/>
          <w:w w:val="115"/>
        </w:rPr>
        <w:t> </w:t>
      </w:r>
      <w:r>
        <w:rPr>
          <w:color w:val="3A3838"/>
          <w:w w:val="115"/>
        </w:rPr>
        <w:t>of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review</w:t>
      </w:r>
      <w:r>
        <w:rPr>
          <w:color w:val="3A3838"/>
          <w:spacing w:val="-12"/>
          <w:w w:val="115"/>
        </w:rPr>
        <w:t> </w:t>
      </w:r>
      <w:r>
        <w:rPr>
          <w:color w:val="3A3838"/>
          <w:w w:val="115"/>
        </w:rPr>
        <w:t>when</w:t>
      </w:r>
      <w:r>
        <w:rPr>
          <w:color w:val="3A3838"/>
          <w:spacing w:val="-17"/>
          <w:w w:val="115"/>
        </w:rPr>
        <w:t> </w:t>
      </w:r>
      <w:r>
        <w:rPr>
          <w:color w:val="3A3838"/>
          <w:w w:val="115"/>
        </w:rPr>
        <w:t>it</w:t>
      </w:r>
      <w:r>
        <w:rPr>
          <w:color w:val="3A3838"/>
          <w:spacing w:val="5"/>
          <w:w w:val="115"/>
        </w:rPr>
        <w:t> </w:t>
      </w:r>
      <w:r>
        <w:rPr>
          <w:color w:val="3A3838"/>
          <w:w w:val="115"/>
        </w:rPr>
        <w:t>reviewed</w:t>
      </w:r>
      <w:r>
        <w:rPr>
          <w:color w:val="3A3838"/>
          <w:spacing w:val="-3"/>
          <w:w w:val="115"/>
        </w:rPr>
        <w:t> </w:t>
      </w:r>
      <w:r>
        <w:rPr>
          <w:color w:val="3A3838"/>
          <w:w w:val="115"/>
        </w:rPr>
        <w:t>a</w:t>
      </w:r>
      <w:r>
        <w:rPr>
          <w:color w:val="3A3838"/>
          <w:spacing w:val="-2"/>
          <w:w w:val="115"/>
        </w:rPr>
        <w:t> </w:t>
      </w:r>
      <w:r>
        <w:rPr>
          <w:color w:val="3A3838"/>
          <w:w w:val="115"/>
        </w:rPr>
        <w:t>trial</w:t>
      </w:r>
      <w:r>
        <w:rPr>
          <w:color w:val="3A3838"/>
          <w:spacing w:val="-15"/>
          <w:w w:val="115"/>
        </w:rPr>
        <w:t> </w:t>
      </w:r>
      <w:r>
        <w:rPr>
          <w:color w:val="3A3838"/>
          <w:w w:val="115"/>
        </w:rPr>
        <w:t>court's</w:t>
      </w:r>
      <w:r>
        <w:rPr>
          <w:color w:val="3A3838"/>
          <w:spacing w:val="-63"/>
          <w:w w:val="115"/>
        </w:rPr>
        <w:t> </w:t>
      </w:r>
      <w:r>
        <w:rPr>
          <w:color w:val="3A3838"/>
          <w:w w:val="115"/>
        </w:rPr>
        <w:t>determination</w:t>
      </w:r>
      <w:r>
        <w:rPr>
          <w:color w:val="3A3838"/>
          <w:spacing w:val="8"/>
          <w:w w:val="115"/>
        </w:rPr>
        <w:t> </w:t>
      </w:r>
      <w:r>
        <w:rPr>
          <w:color w:val="3A3838"/>
          <w:w w:val="115"/>
        </w:rPr>
        <w:t>as</w:t>
      </w:r>
      <w:r>
        <w:rPr>
          <w:color w:val="3A3838"/>
          <w:spacing w:val="-8"/>
          <w:w w:val="115"/>
        </w:rPr>
        <w:t> </w:t>
      </w:r>
      <w:r>
        <w:rPr>
          <w:color w:val="3A3838"/>
          <w:w w:val="115"/>
        </w:rPr>
        <w:t>to</w:t>
      </w:r>
      <w:r>
        <w:rPr>
          <w:color w:val="3A3838"/>
          <w:spacing w:val="7"/>
          <w:w w:val="115"/>
        </w:rPr>
        <w:t> </w:t>
      </w:r>
      <w:r>
        <w:rPr>
          <w:color w:val="3A3838"/>
          <w:w w:val="115"/>
        </w:rPr>
        <w:t>whether</w:t>
      </w:r>
      <w:r>
        <w:rPr>
          <w:color w:val="3A3838"/>
          <w:spacing w:val="4"/>
          <w:w w:val="115"/>
        </w:rPr>
        <w:t> </w:t>
      </w:r>
      <w:r>
        <w:rPr>
          <w:color w:val="3A3838"/>
          <w:w w:val="115"/>
        </w:rPr>
        <w:t>a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police</w:t>
      </w:r>
      <w:r>
        <w:rPr>
          <w:color w:val="3A3838"/>
          <w:spacing w:val="-8"/>
          <w:w w:val="115"/>
        </w:rPr>
        <w:t> </w:t>
      </w:r>
      <w:r>
        <w:rPr>
          <w:color w:val="3A3838"/>
          <w:w w:val="115"/>
        </w:rPr>
        <w:t>officer</w:t>
      </w:r>
      <w:r>
        <w:rPr>
          <w:color w:val="3A3838"/>
          <w:spacing w:val="-2"/>
          <w:w w:val="115"/>
        </w:rPr>
        <w:t> </w:t>
      </w:r>
      <w:r>
        <w:rPr>
          <w:color w:val="3A3838"/>
          <w:w w:val="115"/>
        </w:rPr>
        <w:t>indeed</w:t>
      </w:r>
      <w:r>
        <w:rPr>
          <w:color w:val="3A3838"/>
          <w:spacing w:val="3"/>
          <w:w w:val="115"/>
        </w:rPr>
        <w:t> </w:t>
      </w:r>
      <w:r>
        <w:rPr>
          <w:color w:val="3A3838"/>
          <w:w w:val="115"/>
        </w:rPr>
        <w:t>had</w:t>
      </w:r>
      <w:r>
        <w:rPr>
          <w:color w:val="3A3838"/>
          <w:spacing w:val="22"/>
          <w:w w:val="115"/>
        </w:rPr>
        <w:t> </w:t>
      </w:r>
      <w:r>
        <w:rPr>
          <w:color w:val="3A3838"/>
          <w:w w:val="115"/>
        </w:rPr>
        <w:t>probable</w:t>
      </w:r>
      <w:r>
        <w:rPr>
          <w:color w:val="3A3838"/>
          <w:spacing w:val="-7"/>
          <w:w w:val="115"/>
        </w:rPr>
        <w:t> </w:t>
      </w:r>
      <w:r>
        <w:rPr>
          <w:color w:val="3A3838"/>
          <w:w w:val="115"/>
        </w:rPr>
        <w:t>cause</w:t>
      </w:r>
      <w:r>
        <w:rPr>
          <w:color w:val="3A3838"/>
          <w:spacing w:val="-63"/>
          <w:w w:val="115"/>
        </w:rPr>
        <w:t> </w:t>
      </w:r>
      <w:r>
        <w:rPr>
          <w:color w:val="3A3838"/>
          <w:w w:val="110"/>
        </w:rPr>
        <w:t>based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on</w:t>
      </w:r>
      <w:r>
        <w:rPr>
          <w:color w:val="3A3838"/>
          <w:spacing w:val="26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34"/>
          <w:w w:val="110"/>
        </w:rPr>
        <w:t> </w:t>
      </w:r>
      <w:r>
        <w:rPr>
          <w:color w:val="3A3838"/>
          <w:w w:val="110"/>
        </w:rPr>
        <w:t>undisputed</w:t>
      </w:r>
      <w:r>
        <w:rPr>
          <w:color w:val="3A3838"/>
          <w:spacing w:val="6"/>
          <w:w w:val="110"/>
        </w:rPr>
        <w:t> </w:t>
      </w:r>
      <w:r>
        <w:rPr>
          <w:color w:val="3A3838"/>
          <w:w w:val="110"/>
        </w:rPr>
        <w:t>facts.</w:t>
      </w:r>
      <w:r>
        <w:rPr>
          <w:color w:val="3A3838"/>
          <w:w w:val="110"/>
          <w:vertAlign w:val="superscript"/>
        </w:rPr>
        <w:t>21</w:t>
      </w:r>
      <w:r>
        <w:rPr>
          <w:color w:val="3A3838"/>
          <w:spacing w:val="-13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The</w:t>
      </w:r>
      <w:r>
        <w:rPr>
          <w:color w:val="3A3838"/>
          <w:spacing w:val="10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Court</w:t>
      </w:r>
      <w:r>
        <w:rPr>
          <w:color w:val="3A3838"/>
          <w:spacing w:val="25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justifies</w:t>
      </w:r>
      <w:r>
        <w:rPr>
          <w:color w:val="3A3838"/>
          <w:spacing w:val="-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the</w:t>
      </w:r>
      <w:r>
        <w:rPr>
          <w:color w:val="3A3838"/>
          <w:spacing w:val="3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de</w:t>
      </w:r>
      <w:r>
        <w:rPr>
          <w:color w:val="3A3838"/>
          <w:spacing w:val="22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novo</w:t>
      </w:r>
      <w:r>
        <w:rPr>
          <w:color w:val="3A3838"/>
          <w:spacing w:val="-16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standard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in mixed question situations, as it does when it reviews other questions of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law, with the goal of unifying precedent and stabilizing legal principles.</w:t>
      </w:r>
      <w:r>
        <w:rPr>
          <w:rFonts w:ascii="Arial" w:hAnsi="Arial"/>
          <w:color w:val="3A3838"/>
          <w:w w:val="110"/>
          <w:position w:val="10"/>
          <w:sz w:val="12"/>
          <w:vertAlign w:val="baseline"/>
        </w:rPr>
        <w:t>22</w:t>
      </w:r>
      <w:r>
        <w:rPr>
          <w:rFonts w:ascii="Arial" w:hAnsi="Arial"/>
          <w:color w:val="3A3838"/>
          <w:spacing w:val="1"/>
          <w:w w:val="110"/>
          <w:position w:val="10"/>
          <w:sz w:val="12"/>
          <w:vertAlign w:val="baseline"/>
        </w:rPr>
        <w:t> </w:t>
      </w:r>
      <w:r>
        <w:rPr>
          <w:color w:val="3A3838"/>
          <w:w w:val="105"/>
          <w:sz w:val="22"/>
          <w:vertAlign w:val="baseline"/>
        </w:rPr>
        <w:t>If  </w:t>
      </w:r>
      <w:r>
        <w:rPr>
          <w:color w:val="3A3838"/>
          <w:w w:val="105"/>
          <w:vertAlign w:val="baseline"/>
        </w:rPr>
        <w:t>the   de  novo standard applies,  the  legal findings of the  courts below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w w:val="110"/>
          <w:vertAlign w:val="baseline"/>
        </w:rPr>
        <w:t>have</w:t>
      </w:r>
      <w:r>
        <w:rPr>
          <w:color w:val="3A3838"/>
          <w:spacing w:val="-26"/>
          <w:w w:val="110"/>
          <w:vertAlign w:val="baseline"/>
        </w:rPr>
        <w:t> </w:t>
      </w:r>
      <w:r>
        <w:rPr>
          <w:i/>
          <w:color w:val="3A3838"/>
          <w:w w:val="110"/>
          <w:vertAlign w:val="baseline"/>
        </w:rPr>
        <w:t>noweight</w:t>
      </w:r>
      <w:r>
        <w:rPr>
          <w:i/>
          <w:color w:val="3A3838"/>
          <w:spacing w:val="-8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other</w:t>
      </w:r>
      <w:r>
        <w:rPr>
          <w:color w:val="3A3838"/>
          <w:spacing w:val="-12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than</w:t>
      </w:r>
      <w:r>
        <w:rPr>
          <w:color w:val="3A3838"/>
          <w:spacing w:val="-3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their</w:t>
      </w:r>
      <w:r>
        <w:rPr>
          <w:color w:val="3A3838"/>
          <w:spacing w:val="-16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intrinsic</w:t>
      </w:r>
      <w:r>
        <w:rPr>
          <w:color w:val="3A3838"/>
          <w:spacing w:val="-27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validity.</w:t>
      </w:r>
      <w:r>
        <w:rPr>
          <w:color w:val="3A3838"/>
          <w:spacing w:val="-27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Some</w:t>
      </w:r>
      <w:r>
        <w:rPr>
          <w:color w:val="3A3838"/>
          <w:spacing w:val="-8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novice</w:t>
      </w:r>
      <w:r>
        <w:rPr>
          <w:color w:val="3A3838"/>
          <w:spacing w:val="-9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legal</w:t>
      </w:r>
      <w:r>
        <w:rPr>
          <w:color w:val="3A3838"/>
          <w:spacing w:val="-2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writers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make the mistake of citing to the decision under review in order to justify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5"/>
          <w:vertAlign w:val="baseline"/>
        </w:rPr>
        <w:t>a conclusion that they want the appellate court to accept. It is certainly</w:t>
      </w:r>
      <w:r>
        <w:rPr>
          <w:color w:val="3A3838"/>
          <w:spacing w:val="1"/>
          <w:w w:val="115"/>
          <w:vertAlign w:val="baseline"/>
        </w:rPr>
        <w:t> </w:t>
      </w:r>
      <w:r>
        <w:rPr>
          <w:color w:val="3A3838"/>
          <w:w w:val="110"/>
          <w:vertAlign w:val="baseline"/>
        </w:rPr>
        <w:t>appropriate to argue that the decision below is correct, but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you must sup­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5"/>
          <w:vertAlign w:val="baseline"/>
        </w:rPr>
        <w:t>port</w:t>
      </w:r>
      <w:r>
        <w:rPr>
          <w:color w:val="3A3838"/>
          <w:spacing w:val="16"/>
          <w:w w:val="115"/>
          <w:vertAlign w:val="baseline"/>
        </w:rPr>
        <w:t> </w:t>
      </w:r>
      <w:r>
        <w:rPr>
          <w:color w:val="3A3838"/>
          <w:w w:val="115"/>
          <w:vertAlign w:val="baseline"/>
        </w:rPr>
        <w:t>that</w:t>
      </w:r>
      <w:r>
        <w:rPr>
          <w:color w:val="3A3838"/>
          <w:spacing w:val="3"/>
          <w:w w:val="115"/>
          <w:vertAlign w:val="baseline"/>
        </w:rPr>
        <w:t> </w:t>
      </w:r>
      <w:r>
        <w:rPr>
          <w:color w:val="3A3838"/>
          <w:w w:val="115"/>
          <w:vertAlign w:val="baseline"/>
        </w:rPr>
        <w:t>assertion</w:t>
      </w:r>
      <w:r>
        <w:rPr>
          <w:color w:val="3A3838"/>
          <w:spacing w:val="22"/>
          <w:w w:val="115"/>
          <w:vertAlign w:val="baseline"/>
        </w:rPr>
        <w:t> </w:t>
      </w:r>
      <w:r>
        <w:rPr>
          <w:color w:val="3A3838"/>
          <w:w w:val="115"/>
          <w:vertAlign w:val="baseline"/>
        </w:rPr>
        <w:t>with</w:t>
      </w:r>
      <w:r>
        <w:rPr>
          <w:color w:val="3A3838"/>
          <w:spacing w:val="8"/>
          <w:w w:val="115"/>
          <w:vertAlign w:val="baseline"/>
        </w:rPr>
        <w:t> </w:t>
      </w:r>
      <w:r>
        <w:rPr>
          <w:color w:val="3A3838"/>
          <w:w w:val="115"/>
          <w:vertAlign w:val="baseline"/>
        </w:rPr>
        <w:t>citations</w:t>
      </w:r>
      <w:r>
        <w:rPr>
          <w:color w:val="3A3838"/>
          <w:spacing w:val="13"/>
          <w:w w:val="115"/>
          <w:vertAlign w:val="baseline"/>
        </w:rPr>
        <w:t> </w:t>
      </w:r>
      <w:r>
        <w:rPr>
          <w:color w:val="3A3838"/>
          <w:w w:val="115"/>
          <w:vertAlign w:val="baseline"/>
        </w:rPr>
        <w:t>to</w:t>
      </w:r>
      <w:r>
        <w:rPr>
          <w:color w:val="3A3838"/>
          <w:spacing w:val="15"/>
          <w:w w:val="115"/>
          <w:vertAlign w:val="baseline"/>
        </w:rPr>
        <w:t> </w:t>
      </w:r>
      <w:r>
        <w:rPr>
          <w:color w:val="3A3838"/>
          <w:w w:val="115"/>
          <w:vertAlign w:val="baseline"/>
        </w:rPr>
        <w:t>authorities</w:t>
      </w:r>
      <w:r>
        <w:rPr>
          <w:color w:val="3A3838"/>
          <w:spacing w:val="11"/>
          <w:w w:val="115"/>
          <w:vertAlign w:val="baseline"/>
        </w:rPr>
        <w:t> </w:t>
      </w:r>
      <w:r>
        <w:rPr>
          <w:color w:val="3A3838"/>
          <w:w w:val="115"/>
          <w:vertAlign w:val="baseline"/>
        </w:rPr>
        <w:t>other</w:t>
      </w:r>
      <w:r>
        <w:rPr>
          <w:color w:val="3A3838"/>
          <w:spacing w:val="8"/>
          <w:w w:val="115"/>
          <w:vertAlign w:val="baseline"/>
        </w:rPr>
        <w:t> </w:t>
      </w:r>
      <w:r>
        <w:rPr>
          <w:color w:val="3A3838"/>
          <w:w w:val="115"/>
          <w:vertAlign w:val="baseline"/>
        </w:rPr>
        <w:t>than</w:t>
      </w:r>
      <w:r>
        <w:rPr>
          <w:color w:val="3A3838"/>
          <w:spacing w:val="6"/>
          <w:w w:val="115"/>
          <w:vertAlign w:val="baseline"/>
        </w:rPr>
        <w:t> </w:t>
      </w:r>
      <w:r>
        <w:rPr>
          <w:color w:val="3A3838"/>
          <w:w w:val="115"/>
          <w:vertAlign w:val="baseline"/>
        </w:rPr>
        <w:t>the</w:t>
      </w:r>
      <w:r>
        <w:rPr>
          <w:color w:val="3A3838"/>
          <w:spacing w:val="12"/>
          <w:w w:val="115"/>
          <w:vertAlign w:val="baseline"/>
        </w:rPr>
        <w:t> </w:t>
      </w:r>
      <w:r>
        <w:rPr>
          <w:color w:val="3A3838"/>
          <w:w w:val="115"/>
          <w:vertAlign w:val="baseline"/>
        </w:rPr>
        <w:t>decision</w:t>
      </w:r>
    </w:p>
    <w:p>
      <w:pPr>
        <w:pStyle w:val="BodyText"/>
        <w:spacing w:before="4"/>
        <w:ind w:left="819"/>
        <w:jc w:val="both"/>
      </w:pPr>
      <w:r>
        <w:rPr>
          <w:color w:val="3A3838"/>
          <w:w w:val="110"/>
        </w:rPr>
        <w:t>under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review.</w:t>
      </w:r>
    </w:p>
    <w:p>
      <w:pPr>
        <w:pStyle w:val="BodyText"/>
        <w:spacing w:before="8"/>
        <w:rPr>
          <w:sz w:val="34"/>
        </w:rPr>
      </w:pPr>
    </w:p>
    <w:p>
      <w:pPr>
        <w:pStyle w:val="ListParagraph"/>
        <w:numPr>
          <w:ilvl w:val="0"/>
          <w:numId w:val="24"/>
        </w:numPr>
        <w:tabs>
          <w:tab w:pos="1513" w:val="left" w:leader="none"/>
        </w:tabs>
        <w:spacing w:line="226" w:lineRule="exact" w:before="0" w:after="0"/>
        <w:ind w:left="1512" w:right="0" w:hanging="383"/>
        <w:jc w:val="both"/>
        <w:rPr>
          <w:b/>
          <w:color w:val="77797C"/>
          <w:sz w:val="20"/>
        </w:rPr>
      </w:pPr>
      <w:r>
        <w:rPr>
          <w:b/>
          <w:color w:val="8E9091"/>
          <w:w w:val="115"/>
          <w:sz w:val="20"/>
        </w:rPr>
        <w:t>Abuse</w:t>
      </w:r>
      <w:r>
        <w:rPr>
          <w:b/>
          <w:color w:val="8E9091"/>
          <w:spacing w:val="-7"/>
          <w:w w:val="115"/>
          <w:sz w:val="20"/>
        </w:rPr>
        <w:t> </w:t>
      </w:r>
      <w:r>
        <w:rPr>
          <w:b/>
          <w:color w:val="575759"/>
          <w:w w:val="115"/>
          <w:sz w:val="20"/>
        </w:rPr>
        <w:t>o</w:t>
      </w:r>
      <w:r>
        <w:rPr>
          <w:b/>
          <w:color w:val="8E9091"/>
          <w:w w:val="115"/>
          <w:sz w:val="20"/>
        </w:rPr>
        <w:t>f</w:t>
      </w:r>
      <w:r>
        <w:rPr>
          <w:b/>
          <w:color w:val="8E9091"/>
          <w:spacing w:val="40"/>
          <w:w w:val="115"/>
          <w:sz w:val="20"/>
        </w:rPr>
        <w:t> </w:t>
      </w:r>
      <w:r>
        <w:rPr>
          <w:b/>
          <w:color w:val="8E9091"/>
          <w:w w:val="115"/>
          <w:sz w:val="20"/>
        </w:rPr>
        <w:t>Discretion</w:t>
      </w:r>
    </w:p>
    <w:p>
      <w:pPr>
        <w:pStyle w:val="BodyText"/>
        <w:spacing w:line="235" w:lineRule="auto" w:before="1"/>
        <w:ind w:left="666" w:right="112" w:firstLine="483"/>
        <w:jc w:val="both"/>
        <w:rPr>
          <w:i/>
        </w:rPr>
      </w:pPr>
      <w:r>
        <w:rPr>
          <w:color w:val="3A3838"/>
          <w:w w:val="110"/>
        </w:rPr>
        <w:t>The </w:t>
      </w:r>
      <w:r>
        <w:rPr>
          <w:b/>
          <w:color w:val="3A3838"/>
          <w:w w:val="110"/>
        </w:rPr>
        <w:t>abuse of discretion </w:t>
      </w:r>
      <w:r>
        <w:rPr>
          <w:color w:val="3A3838"/>
          <w:w w:val="110"/>
        </w:rPr>
        <w:t>standard is typically used to review discre­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tionary decisions such as a judge's procedural rulings during a trial. These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decisions might include decisions on nondispositive motions, objections,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admissibility of evidence, or general conduct issues.</w:t>
      </w:r>
      <w:r>
        <w:rPr>
          <w:rFonts w:ascii="Arial" w:hAnsi="Arial"/>
          <w:color w:val="3A3838"/>
          <w:w w:val="110"/>
          <w:vertAlign w:val="superscript"/>
        </w:rPr>
        <w:t>23</w:t>
      </w:r>
      <w:r>
        <w:rPr>
          <w:rFonts w:ascii="Arial" w:hAnsi="Arial"/>
          <w:color w:val="3A3838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Commentators have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noted that language such as "the court may" or "for good </w:t>
      </w:r>
      <w:r>
        <w:rPr>
          <w:color w:val="575759"/>
          <w:w w:val="110"/>
          <w:vertAlign w:val="baseline"/>
        </w:rPr>
        <w:t>c</w:t>
      </w:r>
      <w:r>
        <w:rPr>
          <w:color w:val="3A3838"/>
          <w:w w:val="110"/>
          <w:vertAlign w:val="baseline"/>
        </w:rPr>
        <w:t>ause" are often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predictors of an abuse </w:t>
      </w:r>
      <w:r>
        <w:rPr>
          <w:rFonts w:ascii="Arial" w:hAnsi="Arial"/>
          <w:i/>
          <w:color w:val="3A3838"/>
          <w:w w:val="110"/>
          <w:sz w:val="22"/>
          <w:vertAlign w:val="baseline"/>
        </w:rPr>
        <w:t>of </w:t>
      </w:r>
      <w:r>
        <w:rPr>
          <w:color w:val="3A3838"/>
          <w:w w:val="110"/>
          <w:vertAlign w:val="baseline"/>
        </w:rPr>
        <w:t>discretion standard of review.</w:t>
      </w:r>
      <w:r>
        <w:rPr>
          <w:color w:val="575759"/>
          <w:w w:val="110"/>
          <w:vertAlign w:val="superscript"/>
        </w:rPr>
        <w:t>2</w:t>
      </w:r>
      <w:r>
        <w:rPr>
          <w:color w:val="3A3838"/>
          <w:w w:val="110"/>
          <w:vertAlign w:val="superscript"/>
        </w:rPr>
        <w:t>4</w:t>
      </w:r>
      <w:r>
        <w:rPr>
          <w:color w:val="3A3838"/>
          <w:w w:val="110"/>
          <w:vertAlign w:val="baseline"/>
        </w:rPr>
        <w:t> Like the clearly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5"/>
          <w:vertAlign w:val="baseline"/>
        </w:rPr>
        <w:t>erroneous standard, this standard presumes some expertise on  the part</w:t>
      </w:r>
      <w:r>
        <w:rPr>
          <w:color w:val="3A3838"/>
          <w:spacing w:val="1"/>
          <w:w w:val="115"/>
          <w:vertAlign w:val="baseline"/>
        </w:rPr>
        <w:t> </w:t>
      </w:r>
      <w:r>
        <w:rPr>
          <w:color w:val="3A3838"/>
          <w:w w:val="115"/>
          <w:vertAlign w:val="baseline"/>
        </w:rPr>
        <w:t>of the trial court judge. Some judges see the standard in the same light</w:t>
      </w:r>
      <w:r>
        <w:rPr>
          <w:color w:val="3A3838"/>
          <w:spacing w:val="1"/>
          <w:w w:val="115"/>
          <w:vertAlign w:val="baseline"/>
        </w:rPr>
        <w:t> </w:t>
      </w:r>
      <w:r>
        <w:rPr>
          <w:color w:val="3A3838"/>
          <w:w w:val="115"/>
          <w:vertAlign w:val="baseline"/>
        </w:rPr>
        <w:t>as the clearly erroneous standard</w:t>
      </w:r>
      <w:r>
        <w:rPr>
          <w:color w:val="575759"/>
          <w:w w:val="115"/>
          <w:vertAlign w:val="baseline"/>
        </w:rPr>
        <w:t>. </w:t>
      </w:r>
      <w:r>
        <w:rPr>
          <w:color w:val="3A3838"/>
          <w:w w:val="115"/>
          <w:vertAlign w:val="baseline"/>
        </w:rPr>
        <w:t>For example, the United States Court</w:t>
      </w:r>
      <w:r>
        <w:rPr>
          <w:color w:val="3A3838"/>
          <w:spacing w:val="1"/>
          <w:w w:val="115"/>
          <w:vertAlign w:val="baseline"/>
        </w:rPr>
        <w:t> </w:t>
      </w:r>
      <w:r>
        <w:rPr>
          <w:color w:val="3A3838"/>
          <w:w w:val="110"/>
          <w:vertAlign w:val="baseline"/>
        </w:rPr>
        <w:t>of Appeals for the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First Circuit has noted that, as to evidentiary rulings</w:t>
      </w:r>
      <w:r>
        <w:rPr>
          <w:color w:val="575759"/>
          <w:w w:val="110"/>
          <w:vertAlign w:val="baseline"/>
        </w:rPr>
        <w:t>,</w:t>
      </w:r>
      <w:r>
        <w:rPr>
          <w:color w:val="575759"/>
          <w:spacing w:val="1"/>
          <w:w w:val="110"/>
          <w:vertAlign w:val="baseline"/>
        </w:rPr>
        <w:t> </w:t>
      </w:r>
      <w:r>
        <w:rPr>
          <w:color w:val="3A3838"/>
          <w:w w:val="115"/>
          <w:vertAlign w:val="baseline"/>
        </w:rPr>
        <w:t>"[oJnly  rarely-and  in extraordinarily compelling circumstances-will</w:t>
      </w:r>
      <w:r>
        <w:rPr>
          <w:color w:val="3A3838"/>
          <w:spacing w:val="1"/>
          <w:w w:val="115"/>
          <w:vertAlign w:val="baseline"/>
        </w:rPr>
        <w:t> </w:t>
      </w:r>
      <w:r>
        <w:rPr>
          <w:color w:val="3A3838"/>
          <w:w w:val="110"/>
          <w:vertAlign w:val="baseline"/>
        </w:rPr>
        <w:t>we, from the vista of a cold appellate record, reverse a district court's on­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5"/>
          <w:vertAlign w:val="baseline"/>
        </w:rPr>
        <w:t>the-spot judgment concerning the relative weighing of probative value</w:t>
      </w:r>
      <w:r>
        <w:rPr>
          <w:color w:val="3A3838"/>
          <w:spacing w:val="1"/>
          <w:w w:val="115"/>
          <w:vertAlign w:val="baseline"/>
        </w:rPr>
        <w:t> </w:t>
      </w:r>
      <w:r>
        <w:rPr>
          <w:color w:val="3A3838"/>
          <w:w w:val="115"/>
          <w:vertAlign w:val="baseline"/>
        </w:rPr>
        <w:t>and</w:t>
      </w:r>
      <w:r>
        <w:rPr>
          <w:color w:val="3A3838"/>
          <w:spacing w:val="19"/>
          <w:w w:val="115"/>
          <w:vertAlign w:val="baseline"/>
        </w:rPr>
        <w:t> </w:t>
      </w:r>
      <w:r>
        <w:rPr>
          <w:color w:val="3A3838"/>
          <w:w w:val="115"/>
          <w:vertAlign w:val="baseline"/>
        </w:rPr>
        <w:t>unfair</w:t>
      </w:r>
      <w:r>
        <w:rPr>
          <w:color w:val="3A3838"/>
          <w:spacing w:val="-14"/>
          <w:w w:val="115"/>
          <w:vertAlign w:val="baseline"/>
        </w:rPr>
        <w:t> </w:t>
      </w:r>
      <w:r>
        <w:rPr>
          <w:color w:val="3A3838"/>
          <w:w w:val="115"/>
          <w:vertAlign w:val="baseline"/>
        </w:rPr>
        <w:t>effect.</w:t>
      </w:r>
      <w:r>
        <w:rPr>
          <w:i/>
          <w:color w:val="3A3838"/>
          <w:w w:val="115"/>
          <w:vertAlign w:val="baseline"/>
        </w:rPr>
        <w:t>"</w:t>
      </w:r>
      <w:r>
        <w:rPr>
          <w:i/>
          <w:color w:val="3A3838"/>
          <w:w w:val="115"/>
          <w:vertAlign w:val="superscript"/>
        </w:rPr>
        <w:t>25</w:t>
      </w:r>
    </w:p>
    <w:p>
      <w:pPr>
        <w:pStyle w:val="BodyText"/>
        <w:spacing w:before="9"/>
        <w:rPr>
          <w:i/>
          <w:sz w:val="34"/>
        </w:rPr>
      </w:pPr>
    </w:p>
    <w:p>
      <w:pPr>
        <w:pStyle w:val="ListParagraph"/>
        <w:numPr>
          <w:ilvl w:val="0"/>
          <w:numId w:val="24"/>
        </w:numPr>
        <w:tabs>
          <w:tab w:pos="1400" w:val="left" w:leader="none"/>
          <w:tab w:pos="1401" w:val="left" w:leader="none"/>
        </w:tabs>
        <w:spacing w:line="240" w:lineRule="auto" w:before="0" w:after="0"/>
        <w:ind w:left="1400" w:right="0" w:hanging="406"/>
        <w:jc w:val="left"/>
        <w:rPr>
          <w:b/>
          <w:color w:val="575759"/>
          <w:sz w:val="20"/>
        </w:rPr>
      </w:pPr>
      <w:r>
        <w:rPr>
          <w:b/>
          <w:color w:val="8E9091"/>
          <w:w w:val="120"/>
          <w:sz w:val="20"/>
        </w:rPr>
        <w:t>Other</w:t>
      </w:r>
      <w:r>
        <w:rPr>
          <w:b/>
          <w:color w:val="8E9091"/>
          <w:spacing w:val="-11"/>
          <w:w w:val="120"/>
          <w:sz w:val="20"/>
        </w:rPr>
        <w:t> </w:t>
      </w:r>
      <w:r>
        <w:rPr>
          <w:b/>
          <w:color w:val="77797C"/>
          <w:w w:val="120"/>
          <w:sz w:val="20"/>
        </w:rPr>
        <w:t>Appellate</w:t>
      </w:r>
      <w:r>
        <w:rPr>
          <w:b/>
          <w:color w:val="77797C"/>
          <w:spacing w:val="-8"/>
          <w:w w:val="120"/>
          <w:sz w:val="20"/>
        </w:rPr>
        <w:t> </w:t>
      </w:r>
      <w:r>
        <w:rPr>
          <w:b/>
          <w:color w:val="8E9091"/>
          <w:w w:val="120"/>
          <w:sz w:val="20"/>
        </w:rPr>
        <w:t>Standards</w:t>
      </w:r>
    </w:p>
    <w:p>
      <w:pPr>
        <w:pStyle w:val="BodyText"/>
        <w:spacing w:line="244" w:lineRule="auto" w:before="2"/>
        <w:ind w:left="624" w:right="188" w:firstLine="402"/>
        <w:jc w:val="both"/>
      </w:pPr>
      <w:r>
        <w:rPr>
          <w:color w:val="3A3838"/>
          <w:w w:val="115"/>
        </w:rPr>
        <w:t>Review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of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administrative agency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decisions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is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governed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by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the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Administrative</w:t>
      </w:r>
      <w:r>
        <w:rPr>
          <w:color w:val="3A3838"/>
          <w:spacing w:val="22"/>
          <w:w w:val="115"/>
        </w:rPr>
        <w:t> </w:t>
      </w:r>
      <w:r>
        <w:rPr>
          <w:color w:val="3A3838"/>
          <w:w w:val="115"/>
        </w:rPr>
        <w:t>Procedure</w:t>
      </w:r>
      <w:r>
        <w:rPr>
          <w:color w:val="3A3838"/>
          <w:spacing w:val="37"/>
          <w:w w:val="115"/>
        </w:rPr>
        <w:t> </w:t>
      </w:r>
      <w:r>
        <w:rPr>
          <w:color w:val="3A3838"/>
          <w:w w:val="115"/>
        </w:rPr>
        <w:t>Act,</w:t>
      </w:r>
      <w:r>
        <w:rPr>
          <w:color w:val="3A3838"/>
          <w:spacing w:val="46"/>
          <w:w w:val="115"/>
        </w:rPr>
        <w:t> </w:t>
      </w:r>
      <w:r>
        <w:rPr>
          <w:color w:val="3A3838"/>
          <w:w w:val="115"/>
        </w:rPr>
        <w:t>which</w:t>
      </w:r>
      <w:r>
        <w:rPr>
          <w:color w:val="3A3838"/>
          <w:spacing w:val="43"/>
          <w:w w:val="115"/>
        </w:rPr>
        <w:t> </w:t>
      </w:r>
      <w:r>
        <w:rPr>
          <w:color w:val="3A3838"/>
          <w:w w:val="115"/>
        </w:rPr>
        <w:t>provides</w:t>
      </w:r>
      <w:r>
        <w:rPr>
          <w:color w:val="3A3838"/>
          <w:spacing w:val="32"/>
          <w:w w:val="115"/>
        </w:rPr>
        <w:t> </w:t>
      </w:r>
      <w:r>
        <w:rPr>
          <w:color w:val="3A3838"/>
          <w:w w:val="115"/>
        </w:rPr>
        <w:t>at</w:t>
      </w:r>
      <w:r>
        <w:rPr>
          <w:color w:val="3A3838"/>
          <w:spacing w:val="42"/>
          <w:w w:val="115"/>
        </w:rPr>
        <w:t> </w:t>
      </w:r>
      <w:r>
        <w:rPr>
          <w:rFonts w:ascii="Arial" w:hAnsi="Arial"/>
          <w:i/>
          <w:color w:val="3A3838"/>
          <w:w w:val="115"/>
          <w:sz w:val="21"/>
        </w:rPr>
        <w:t>5</w:t>
      </w:r>
      <w:r>
        <w:rPr>
          <w:rFonts w:ascii="Arial" w:hAnsi="Arial"/>
          <w:i/>
          <w:color w:val="3A3838"/>
          <w:spacing w:val="55"/>
          <w:w w:val="115"/>
          <w:sz w:val="21"/>
        </w:rPr>
        <w:t> </w:t>
      </w:r>
      <w:r>
        <w:rPr>
          <w:color w:val="3A3838"/>
          <w:w w:val="115"/>
        </w:rPr>
        <w:t>U.S.C.</w:t>
      </w:r>
      <w:r>
        <w:rPr>
          <w:color w:val="3A3838"/>
          <w:spacing w:val="22"/>
          <w:w w:val="115"/>
        </w:rPr>
        <w:t> </w:t>
      </w:r>
      <w:r>
        <w:rPr>
          <w:color w:val="3A3838"/>
          <w:w w:val="115"/>
        </w:rPr>
        <w:t>§706</w:t>
      </w:r>
      <w:r>
        <w:rPr>
          <w:color w:val="3A3838"/>
          <w:spacing w:val="38"/>
          <w:w w:val="115"/>
        </w:rPr>
        <w:t> </w:t>
      </w:r>
      <w:r>
        <w:rPr>
          <w:color w:val="3A3838"/>
          <w:w w:val="115"/>
        </w:rPr>
        <w:t>that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spacing w:line="206" w:lineRule="exact" w:before="0"/>
        <w:ind w:left="987" w:right="0" w:firstLine="0"/>
        <w:jc w:val="left"/>
        <w:rPr>
          <w:sz w:val="18"/>
        </w:rPr>
      </w:pPr>
      <w:r>
        <w:rPr>
          <w:rFonts w:ascii="Arial"/>
          <w:i/>
          <w:color w:val="3A3838"/>
          <w:w w:val="105"/>
          <w:sz w:val="18"/>
          <w:vertAlign w:val="superscript"/>
        </w:rPr>
        <w:t>2</w:t>
      </w:r>
      <w:r>
        <w:rPr>
          <w:i/>
          <w:color w:val="3A3838"/>
          <w:w w:val="105"/>
          <w:sz w:val="18"/>
          <w:vertAlign w:val="baseline"/>
        </w:rPr>
        <w:t>'0melas,</w:t>
      </w:r>
      <w:r>
        <w:rPr>
          <w:i/>
          <w:color w:val="3A3838"/>
          <w:spacing w:val="6"/>
          <w:w w:val="105"/>
          <w:sz w:val="18"/>
          <w:vertAlign w:val="baseline"/>
        </w:rPr>
        <w:t> </w:t>
      </w:r>
      <w:r>
        <w:rPr>
          <w:color w:val="3A3838"/>
          <w:w w:val="105"/>
          <w:sz w:val="18"/>
          <w:vertAlign w:val="baseline"/>
        </w:rPr>
        <w:t>517</w:t>
      </w:r>
      <w:r>
        <w:rPr>
          <w:color w:val="3A3838"/>
          <w:spacing w:val="-3"/>
          <w:w w:val="105"/>
          <w:sz w:val="18"/>
          <w:vertAlign w:val="baseline"/>
        </w:rPr>
        <w:t> </w:t>
      </w:r>
      <w:r>
        <w:rPr>
          <w:color w:val="3A3838"/>
          <w:w w:val="105"/>
          <w:sz w:val="18"/>
          <w:vertAlign w:val="baseline"/>
        </w:rPr>
        <w:t>U</w:t>
      </w:r>
      <w:r>
        <w:rPr>
          <w:color w:val="575759"/>
          <w:w w:val="105"/>
          <w:sz w:val="18"/>
          <w:vertAlign w:val="baseline"/>
        </w:rPr>
        <w:t>.</w:t>
      </w:r>
      <w:r>
        <w:rPr>
          <w:color w:val="3A3838"/>
          <w:w w:val="105"/>
          <w:sz w:val="18"/>
          <w:vertAlign w:val="baseline"/>
        </w:rPr>
        <w:t>S.</w:t>
      </w:r>
      <w:r>
        <w:rPr>
          <w:color w:val="3A3838"/>
          <w:spacing w:val="9"/>
          <w:w w:val="105"/>
          <w:sz w:val="18"/>
          <w:vertAlign w:val="baseline"/>
        </w:rPr>
        <w:t> </w:t>
      </w:r>
      <w:r>
        <w:rPr>
          <w:color w:val="3A3838"/>
          <w:w w:val="105"/>
          <w:sz w:val="18"/>
          <w:vertAlign w:val="baseline"/>
        </w:rPr>
        <w:t>at</w:t>
      </w:r>
      <w:r>
        <w:rPr>
          <w:color w:val="3A3838"/>
          <w:spacing w:val="37"/>
          <w:w w:val="105"/>
          <w:sz w:val="18"/>
          <w:vertAlign w:val="baseline"/>
        </w:rPr>
        <w:t> </w:t>
      </w:r>
      <w:r>
        <w:rPr>
          <w:color w:val="3A3838"/>
          <w:w w:val="105"/>
          <w:sz w:val="18"/>
          <w:vertAlign w:val="baseline"/>
        </w:rPr>
        <w:t>695.</w:t>
      </w:r>
    </w:p>
    <w:p>
      <w:pPr>
        <w:spacing w:line="199" w:lineRule="exact" w:before="0"/>
        <w:ind w:left="981" w:right="0" w:firstLine="0"/>
        <w:jc w:val="left"/>
        <w:rPr>
          <w:sz w:val="17"/>
        </w:rPr>
      </w:pPr>
      <w:r>
        <w:rPr>
          <w:color w:val="3A3838"/>
          <w:sz w:val="18"/>
          <w:vertAlign w:val="superscript"/>
        </w:rPr>
        <w:t>22</w:t>
      </w:r>
      <w:r>
        <w:rPr>
          <w:i/>
          <w:color w:val="3A3838"/>
          <w:sz w:val="18"/>
          <w:vertAlign w:val="baseline"/>
        </w:rPr>
        <w:t>Seegenerally</w:t>
      </w:r>
      <w:r>
        <w:rPr>
          <w:i/>
          <w:color w:val="3A3838"/>
          <w:spacing w:val="-13"/>
          <w:sz w:val="18"/>
          <w:vertAlign w:val="baseline"/>
        </w:rPr>
        <w:t> </w:t>
      </w:r>
      <w:r>
        <w:rPr>
          <w:i/>
          <w:color w:val="3A3838"/>
          <w:sz w:val="18"/>
          <w:vertAlign w:val="baseline"/>
        </w:rPr>
        <w:t>Ornelas</w:t>
      </w:r>
      <w:r>
        <w:rPr>
          <w:i/>
          <w:color w:val="575759"/>
          <w:sz w:val="18"/>
          <w:vertAlign w:val="baseline"/>
        </w:rPr>
        <w:t>,</w:t>
      </w:r>
      <w:r>
        <w:rPr>
          <w:i/>
          <w:color w:val="575759"/>
          <w:spacing w:val="28"/>
          <w:sz w:val="18"/>
          <w:vertAlign w:val="baseline"/>
        </w:rPr>
        <w:t> </w:t>
      </w:r>
      <w:r>
        <w:rPr>
          <w:color w:val="3A3838"/>
          <w:sz w:val="18"/>
          <w:vertAlign w:val="baseline"/>
        </w:rPr>
        <w:t>517</w:t>
      </w:r>
      <w:r>
        <w:rPr>
          <w:color w:val="3A3838"/>
          <w:spacing w:val="10"/>
          <w:sz w:val="18"/>
          <w:vertAlign w:val="baseline"/>
        </w:rPr>
        <w:t> </w:t>
      </w:r>
      <w:r>
        <w:rPr>
          <w:color w:val="3A3838"/>
          <w:sz w:val="17"/>
          <w:vertAlign w:val="baseline"/>
        </w:rPr>
        <w:t>U.S. </w:t>
      </w:r>
      <w:r>
        <w:rPr>
          <w:color w:val="3A3838"/>
          <w:sz w:val="18"/>
          <w:vertAlign w:val="baseline"/>
        </w:rPr>
        <w:t>at</w:t>
      </w:r>
      <w:r>
        <w:rPr>
          <w:color w:val="3A3838"/>
          <w:spacing w:val="19"/>
          <w:sz w:val="18"/>
          <w:vertAlign w:val="baseline"/>
        </w:rPr>
        <w:t> </w:t>
      </w:r>
      <w:r>
        <w:rPr>
          <w:color w:val="3A3838"/>
          <w:sz w:val="18"/>
          <w:vertAlign w:val="baseline"/>
        </w:rPr>
        <w:t>697;</w:t>
      </w:r>
      <w:r>
        <w:rPr>
          <w:color w:val="3A3838"/>
          <w:spacing w:val="-9"/>
          <w:sz w:val="18"/>
          <w:vertAlign w:val="baseline"/>
        </w:rPr>
        <w:t> </w:t>
      </w:r>
      <w:r>
        <w:rPr>
          <w:i/>
          <w:color w:val="3A3838"/>
          <w:sz w:val="18"/>
          <w:vertAlign w:val="baseline"/>
        </w:rPr>
        <w:t>United</w:t>
      </w:r>
      <w:r>
        <w:rPr>
          <w:i/>
          <w:color w:val="3A3838"/>
          <w:spacing w:val="3"/>
          <w:sz w:val="18"/>
          <w:vertAlign w:val="baseline"/>
        </w:rPr>
        <w:t> </w:t>
      </w:r>
      <w:r>
        <w:rPr>
          <w:i/>
          <w:color w:val="3A3838"/>
          <w:sz w:val="18"/>
          <w:vertAlign w:val="baseline"/>
        </w:rPr>
        <w:t>St.ates</w:t>
      </w:r>
      <w:r>
        <w:rPr>
          <w:i/>
          <w:color w:val="3A3838"/>
          <w:spacing w:val="2"/>
          <w:sz w:val="18"/>
          <w:vertAlign w:val="baseline"/>
        </w:rPr>
        <w:t> </w:t>
      </w:r>
      <w:r>
        <w:rPr>
          <w:i/>
          <w:color w:val="3A3838"/>
          <w:sz w:val="18"/>
          <w:vertAlign w:val="baseline"/>
        </w:rPr>
        <w:t>v</w:t>
      </w:r>
      <w:r>
        <w:rPr>
          <w:i/>
          <w:color w:val="575759"/>
          <w:sz w:val="18"/>
          <w:vertAlign w:val="baseline"/>
        </w:rPr>
        <w:t>.</w:t>
      </w:r>
      <w:r>
        <w:rPr>
          <w:i/>
          <w:color w:val="575759"/>
          <w:spacing w:val="4"/>
          <w:sz w:val="18"/>
          <w:vertAlign w:val="baseline"/>
        </w:rPr>
        <w:t> </w:t>
      </w:r>
      <w:r>
        <w:rPr>
          <w:i/>
          <w:color w:val="3A3838"/>
          <w:sz w:val="19"/>
          <w:vertAlign w:val="baseline"/>
        </w:rPr>
        <w:t>Arvizu,</w:t>
      </w:r>
      <w:r>
        <w:rPr>
          <w:i/>
          <w:color w:val="3A3838"/>
          <w:spacing w:val="-11"/>
          <w:sz w:val="19"/>
          <w:vertAlign w:val="baseline"/>
        </w:rPr>
        <w:t> </w:t>
      </w:r>
      <w:r>
        <w:rPr>
          <w:color w:val="3A3838"/>
          <w:sz w:val="18"/>
          <w:vertAlign w:val="baseline"/>
        </w:rPr>
        <w:t>534</w:t>
      </w:r>
      <w:r>
        <w:rPr>
          <w:color w:val="3A3838"/>
          <w:spacing w:val="56"/>
          <w:sz w:val="18"/>
          <w:vertAlign w:val="baseline"/>
        </w:rPr>
        <w:t> </w:t>
      </w:r>
      <w:r>
        <w:rPr>
          <w:color w:val="3A3838"/>
          <w:sz w:val="17"/>
          <w:vertAlign w:val="baseline"/>
        </w:rPr>
        <w:t>U.S.</w:t>
      </w:r>
      <w:r>
        <w:rPr>
          <w:color w:val="3A3838"/>
          <w:spacing w:val="2"/>
          <w:sz w:val="17"/>
          <w:vertAlign w:val="baseline"/>
        </w:rPr>
        <w:t> </w:t>
      </w:r>
      <w:r>
        <w:rPr>
          <w:color w:val="3A3838"/>
          <w:sz w:val="18"/>
          <w:vertAlign w:val="baseline"/>
        </w:rPr>
        <w:t>266,</w:t>
      </w:r>
      <w:r>
        <w:rPr>
          <w:color w:val="3A3838"/>
          <w:spacing w:val="2"/>
          <w:sz w:val="18"/>
          <w:vertAlign w:val="baseline"/>
        </w:rPr>
        <w:t> </w:t>
      </w:r>
      <w:r>
        <w:rPr>
          <w:color w:val="3A3838"/>
          <w:sz w:val="18"/>
          <w:vertAlign w:val="baseline"/>
        </w:rPr>
        <w:t>275</w:t>
      </w:r>
      <w:r>
        <w:rPr>
          <w:color w:val="3A3838"/>
          <w:spacing w:val="11"/>
          <w:sz w:val="18"/>
          <w:vertAlign w:val="baseline"/>
        </w:rPr>
        <w:t> </w:t>
      </w:r>
      <w:r>
        <w:rPr>
          <w:color w:val="3A3838"/>
          <w:sz w:val="17"/>
          <w:vertAlign w:val="baseline"/>
        </w:rPr>
        <w:t>(2002).</w:t>
      </w:r>
    </w:p>
    <w:p>
      <w:pPr>
        <w:spacing w:line="201" w:lineRule="exact" w:before="0"/>
        <w:ind w:left="964" w:right="0" w:firstLine="0"/>
        <w:jc w:val="left"/>
        <w:rPr>
          <w:sz w:val="18"/>
        </w:rPr>
      </w:pPr>
      <w:r>
        <w:rPr>
          <w:color w:val="3A3838"/>
          <w:w w:val="105"/>
          <w:sz w:val="11"/>
        </w:rPr>
        <w:t>:iJ</w:t>
      </w:r>
      <w:r>
        <w:rPr>
          <w:color w:val="3A3838"/>
          <w:spacing w:val="-11"/>
          <w:w w:val="105"/>
          <w:sz w:val="11"/>
        </w:rPr>
        <w:t> </w:t>
      </w:r>
      <w:r>
        <w:rPr>
          <w:i/>
          <w:color w:val="3A3838"/>
          <w:w w:val="105"/>
          <w:sz w:val="16"/>
        </w:rPr>
        <w:t>See,</w:t>
      </w:r>
      <w:r>
        <w:rPr>
          <w:i/>
          <w:color w:val="3A3838"/>
          <w:spacing w:val="-7"/>
          <w:w w:val="105"/>
          <w:sz w:val="16"/>
        </w:rPr>
        <w:t> </w:t>
      </w:r>
      <w:r>
        <w:rPr>
          <w:i/>
          <w:color w:val="3A3838"/>
          <w:w w:val="105"/>
          <w:sz w:val="18"/>
        </w:rPr>
        <w:t>e.g.,</w:t>
      </w:r>
      <w:r>
        <w:rPr>
          <w:i/>
          <w:color w:val="3A3838"/>
          <w:spacing w:val="-9"/>
          <w:w w:val="105"/>
          <w:sz w:val="18"/>
        </w:rPr>
        <w:t> </w:t>
      </w:r>
      <w:r>
        <w:rPr>
          <w:color w:val="3A3838"/>
          <w:w w:val="105"/>
          <w:sz w:val="18"/>
        </w:rPr>
        <w:t>Kunsch,</w:t>
      </w:r>
      <w:r>
        <w:rPr>
          <w:color w:val="3A3838"/>
          <w:spacing w:val="24"/>
          <w:w w:val="105"/>
          <w:sz w:val="18"/>
        </w:rPr>
        <w:t> </w:t>
      </w:r>
      <w:r>
        <w:rPr>
          <w:i/>
          <w:color w:val="3A3838"/>
          <w:w w:val="105"/>
          <w:sz w:val="19"/>
        </w:rPr>
        <w:t>supra</w:t>
      </w:r>
      <w:r>
        <w:rPr>
          <w:i/>
          <w:color w:val="3A3838"/>
          <w:spacing w:val="13"/>
          <w:w w:val="105"/>
          <w:sz w:val="19"/>
        </w:rPr>
        <w:t> </w:t>
      </w:r>
      <w:r>
        <w:rPr>
          <w:color w:val="3A3838"/>
          <w:w w:val="105"/>
          <w:sz w:val="18"/>
        </w:rPr>
        <w:t>note</w:t>
      </w:r>
      <w:r>
        <w:rPr>
          <w:color w:val="3A3838"/>
          <w:spacing w:val="3"/>
          <w:w w:val="105"/>
          <w:sz w:val="18"/>
        </w:rPr>
        <w:t> </w:t>
      </w:r>
      <w:r>
        <w:rPr>
          <w:color w:val="3A3838"/>
          <w:w w:val="105"/>
          <w:sz w:val="18"/>
        </w:rPr>
        <w:t>15,at</w:t>
      </w:r>
      <w:r>
        <w:rPr>
          <w:color w:val="3A3838"/>
          <w:spacing w:val="5"/>
          <w:w w:val="105"/>
          <w:sz w:val="18"/>
        </w:rPr>
        <w:t> </w:t>
      </w:r>
      <w:r>
        <w:rPr>
          <w:color w:val="3A3838"/>
          <w:w w:val="105"/>
          <w:sz w:val="18"/>
        </w:rPr>
        <w:t>34-35.</w:t>
      </w:r>
    </w:p>
    <w:p>
      <w:pPr>
        <w:spacing w:line="225" w:lineRule="auto" w:before="14"/>
        <w:ind w:left="542" w:right="197" w:firstLine="417"/>
        <w:jc w:val="both"/>
        <w:rPr>
          <w:sz w:val="18"/>
        </w:rPr>
      </w:pPr>
      <w:r>
        <w:rPr>
          <w:color w:val="3A3838"/>
          <w:sz w:val="18"/>
        </w:rPr>
        <w:t>z..Kunsch, </w:t>
      </w:r>
      <w:r>
        <w:rPr>
          <w:i/>
          <w:color w:val="3A3838"/>
          <w:sz w:val="19"/>
        </w:rPr>
        <w:t>supra </w:t>
      </w:r>
      <w:r>
        <w:rPr>
          <w:color w:val="3A3838"/>
          <w:sz w:val="18"/>
        </w:rPr>
        <w:t>note 15,at </w:t>
      </w:r>
      <w:r>
        <w:rPr>
          <w:i/>
          <w:color w:val="3A3838"/>
          <w:sz w:val="18"/>
        </w:rPr>
        <w:t>35 </w:t>
      </w:r>
      <w:r>
        <w:rPr>
          <w:color w:val="3A3838"/>
          <w:sz w:val="18"/>
        </w:rPr>
        <w:t>(citing Ma</w:t>
      </w:r>
      <w:r>
        <w:rPr>
          <w:color w:val="575759"/>
          <w:sz w:val="18"/>
        </w:rPr>
        <w:t>u</w:t>
      </w:r>
      <w:r>
        <w:rPr>
          <w:color w:val="3A3838"/>
          <w:sz w:val="18"/>
        </w:rPr>
        <w:t>rice Rosenberg, </w:t>
      </w:r>
      <w:r>
        <w:rPr>
          <w:i/>
          <w:color w:val="3A3838"/>
          <w:sz w:val="19"/>
        </w:rPr>
        <w:t>/udfcial Discretion of </w:t>
      </w:r>
      <w:r>
        <w:rPr>
          <w:i/>
          <w:color w:val="3A3838"/>
          <w:sz w:val="18"/>
        </w:rPr>
        <w:t>the </w:t>
      </w:r>
      <w:r>
        <w:rPr>
          <w:i/>
          <w:color w:val="3A3838"/>
          <w:sz w:val="19"/>
        </w:rPr>
        <w:t>Trial Court,</w:t>
      </w:r>
      <w:r>
        <w:rPr>
          <w:i/>
          <w:color w:val="3A3838"/>
          <w:spacing w:val="1"/>
          <w:sz w:val="19"/>
        </w:rPr>
        <w:t> </w:t>
      </w:r>
      <w:r>
        <w:rPr>
          <w:i/>
          <w:color w:val="3A3838"/>
          <w:sz w:val="18"/>
        </w:rPr>
        <w:t>Viewed</w:t>
      </w:r>
      <w:r>
        <w:rPr>
          <w:i/>
          <w:color w:val="3A3838"/>
          <w:spacing w:val="1"/>
          <w:sz w:val="18"/>
        </w:rPr>
        <w:t> </w:t>
      </w:r>
      <w:r>
        <w:rPr>
          <w:i/>
          <w:color w:val="3A3838"/>
          <w:sz w:val="18"/>
        </w:rPr>
        <w:t>from Above, </w:t>
      </w:r>
      <w:r>
        <w:rPr>
          <w:rFonts w:ascii="Arial"/>
          <w:color w:val="3A3838"/>
          <w:sz w:val="17"/>
        </w:rPr>
        <w:t>22 </w:t>
      </w:r>
      <w:r>
        <w:rPr>
          <w:color w:val="3A3838"/>
          <w:sz w:val="18"/>
        </w:rPr>
        <w:t>Syracuse </w:t>
      </w:r>
      <w:r>
        <w:rPr>
          <w:rFonts w:ascii="Arial"/>
          <w:color w:val="3A3838"/>
          <w:sz w:val="17"/>
        </w:rPr>
        <w:t>L. </w:t>
      </w:r>
      <w:r>
        <w:rPr>
          <w:color w:val="3A3838"/>
          <w:sz w:val="18"/>
        </w:rPr>
        <w:t>Rev. 635, </w:t>
      </w:r>
      <w:r>
        <w:rPr>
          <w:i/>
          <w:color w:val="3A3838"/>
          <w:sz w:val="18"/>
        </w:rPr>
        <w:t>655 </w:t>
      </w:r>
      <w:r>
        <w:rPr>
          <w:color w:val="3A3838"/>
          <w:sz w:val="18"/>
        </w:rPr>
        <w:t>(1971)). </w:t>
      </w:r>
      <w:r>
        <w:rPr>
          <w:i/>
          <w:color w:val="3A3838"/>
          <w:sz w:val="18"/>
        </w:rPr>
        <w:t>Se</w:t>
      </w:r>
      <w:r>
        <w:rPr>
          <w:i/>
          <w:color w:val="575759"/>
          <w:sz w:val="18"/>
        </w:rPr>
        <w:t>e </w:t>
      </w:r>
      <w:r>
        <w:rPr>
          <w:i/>
          <w:color w:val="3A3838"/>
          <w:sz w:val="18"/>
        </w:rPr>
        <w:t>al</w:t>
      </w:r>
      <w:r>
        <w:rPr>
          <w:i/>
          <w:color w:val="575759"/>
          <w:sz w:val="18"/>
        </w:rPr>
        <w:t>so </w:t>
      </w:r>
      <w:r>
        <w:rPr>
          <w:i/>
          <w:color w:val="3A3838"/>
          <w:sz w:val="19"/>
        </w:rPr>
        <w:t>In </w:t>
      </w:r>
      <w:r>
        <w:rPr>
          <w:i/>
          <w:color w:val="575759"/>
          <w:sz w:val="18"/>
        </w:rPr>
        <w:t>r</w:t>
      </w:r>
      <w:r>
        <w:rPr>
          <w:i/>
          <w:color w:val="3A3838"/>
          <w:sz w:val="18"/>
        </w:rPr>
        <w:t>e Te"orist Bombings of </w:t>
      </w:r>
      <w:r>
        <w:rPr>
          <w:i/>
          <w:color w:val="3A3838"/>
          <w:sz w:val="19"/>
        </w:rPr>
        <w:t>U.S</w:t>
      </w:r>
      <w:r>
        <w:rPr>
          <w:i/>
          <w:color w:val="575759"/>
          <w:sz w:val="19"/>
        </w:rPr>
        <w:t>.</w:t>
      </w:r>
      <w:r>
        <w:rPr>
          <w:i/>
          <w:color w:val="575759"/>
          <w:spacing w:val="1"/>
          <w:sz w:val="19"/>
        </w:rPr>
        <w:t> </w:t>
      </w:r>
      <w:r>
        <w:rPr>
          <w:i/>
          <w:color w:val="3A3838"/>
          <w:w w:val="105"/>
          <w:sz w:val="19"/>
        </w:rPr>
        <w:t>Embassies </w:t>
      </w:r>
      <w:r>
        <w:rPr>
          <w:rFonts w:ascii="Arial"/>
          <w:i/>
          <w:color w:val="3A3838"/>
          <w:w w:val="105"/>
          <w:sz w:val="16"/>
        </w:rPr>
        <w:t>fn </w:t>
      </w:r>
      <w:r>
        <w:rPr>
          <w:i/>
          <w:color w:val="3A3838"/>
          <w:w w:val="105"/>
          <w:sz w:val="16"/>
        </w:rPr>
        <w:t>E. Afr.</w:t>
      </w:r>
      <w:r>
        <w:rPr>
          <w:rFonts w:ascii="Arial"/>
          <w:i/>
          <w:color w:val="3A3838"/>
          <w:w w:val="105"/>
          <w:sz w:val="16"/>
        </w:rPr>
        <w:t>v. </w:t>
      </w:r>
      <w:r>
        <w:rPr>
          <w:i/>
          <w:color w:val="3A3838"/>
          <w:w w:val="105"/>
          <w:sz w:val="18"/>
        </w:rPr>
        <w:t>Odeh, 552 </w:t>
      </w:r>
      <w:r>
        <w:rPr>
          <w:color w:val="3A3838"/>
          <w:w w:val="105"/>
          <w:sz w:val="18"/>
        </w:rPr>
        <w:t>F.3d 93, 135  </w:t>
      </w:r>
      <w:r>
        <w:rPr>
          <w:rFonts w:ascii="Arial"/>
          <w:color w:val="3A3838"/>
          <w:w w:val="105"/>
          <w:sz w:val="16"/>
        </w:rPr>
        <w:t>(2d  </w:t>
      </w:r>
      <w:r>
        <w:rPr>
          <w:color w:val="3A3838"/>
          <w:w w:val="105"/>
          <w:sz w:val="18"/>
        </w:rPr>
        <w:t>Cir</w:t>
      </w:r>
      <w:r>
        <w:rPr>
          <w:color w:val="575759"/>
          <w:w w:val="105"/>
          <w:sz w:val="18"/>
        </w:rPr>
        <w:t>. </w:t>
      </w:r>
      <w:r>
        <w:rPr>
          <w:color w:val="3A3838"/>
          <w:w w:val="105"/>
          <w:sz w:val="18"/>
        </w:rPr>
        <w:t>2008) (noting useof phra e "the court rnaY"</w:t>
      </w:r>
      <w:r>
        <w:rPr>
          <w:color w:val="3A3838"/>
          <w:spacing w:val="1"/>
          <w:w w:val="105"/>
          <w:sz w:val="18"/>
        </w:rPr>
        <w:t> </w:t>
      </w:r>
      <w:r>
        <w:rPr>
          <w:color w:val="3A3838"/>
          <w:w w:val="105"/>
          <w:sz w:val="18"/>
        </w:rPr>
        <w:t>fn</w:t>
      </w:r>
      <w:r>
        <w:rPr>
          <w:color w:val="3A3838"/>
          <w:spacing w:val="12"/>
          <w:w w:val="105"/>
          <w:sz w:val="18"/>
        </w:rPr>
        <w:t> </w:t>
      </w:r>
      <w:r>
        <w:rPr>
          <w:color w:val="3A3838"/>
          <w:w w:val="105"/>
          <w:sz w:val="18"/>
        </w:rPr>
        <w:t>rule</w:t>
      </w:r>
      <w:r>
        <w:rPr>
          <w:color w:val="3A3838"/>
          <w:spacing w:val="1"/>
          <w:w w:val="105"/>
          <w:sz w:val="18"/>
        </w:rPr>
        <w:t> </w:t>
      </w:r>
      <w:r>
        <w:rPr>
          <w:color w:val="3A3838"/>
          <w:w w:val="105"/>
          <w:sz w:val="18"/>
        </w:rPr>
        <w:t>of</w:t>
      </w:r>
      <w:r>
        <w:rPr>
          <w:color w:val="3A3838"/>
          <w:spacing w:val="-8"/>
          <w:w w:val="105"/>
          <w:sz w:val="18"/>
        </w:rPr>
        <w:t> </w:t>
      </w:r>
      <w:r>
        <w:rPr>
          <w:color w:val="3A3838"/>
          <w:w w:val="105"/>
          <w:sz w:val="18"/>
        </w:rPr>
        <w:t>criminal</w:t>
      </w:r>
      <w:r>
        <w:rPr>
          <w:color w:val="3A3838"/>
          <w:spacing w:val="24"/>
          <w:w w:val="105"/>
          <w:sz w:val="18"/>
        </w:rPr>
        <w:t> </w:t>
      </w:r>
      <w:r>
        <w:rPr>
          <w:color w:val="3A3838"/>
          <w:w w:val="105"/>
          <w:sz w:val="18"/>
        </w:rPr>
        <w:t>procedure</w:t>
      </w:r>
      <w:r>
        <w:rPr>
          <w:color w:val="3A3838"/>
          <w:spacing w:val="15"/>
          <w:w w:val="105"/>
          <w:sz w:val="18"/>
        </w:rPr>
        <w:t> </w:t>
      </w:r>
      <w:r>
        <w:rPr>
          <w:color w:val="3A3838"/>
          <w:w w:val="105"/>
          <w:sz w:val="18"/>
        </w:rPr>
        <w:t>as</w:t>
      </w:r>
      <w:r>
        <w:rPr>
          <w:color w:val="3A3838"/>
          <w:spacing w:val="9"/>
          <w:w w:val="105"/>
          <w:sz w:val="18"/>
        </w:rPr>
        <w:t> </w:t>
      </w:r>
      <w:r>
        <w:rPr>
          <w:color w:val="3A3838"/>
          <w:w w:val="105"/>
          <w:sz w:val="18"/>
        </w:rPr>
        <w:t>signal</w:t>
      </w:r>
      <w:r>
        <w:rPr>
          <w:color w:val="3A3838"/>
          <w:spacing w:val="31"/>
          <w:w w:val="105"/>
          <w:sz w:val="18"/>
        </w:rPr>
        <w:t> </w:t>
      </w:r>
      <w:r>
        <w:rPr>
          <w:color w:val="3A3838"/>
          <w:w w:val="105"/>
          <w:sz w:val="18"/>
        </w:rPr>
        <w:t>that</w:t>
      </w:r>
      <w:r>
        <w:rPr>
          <w:color w:val="3A3838"/>
          <w:spacing w:val="9"/>
          <w:w w:val="105"/>
          <w:sz w:val="18"/>
        </w:rPr>
        <w:t> </w:t>
      </w:r>
      <w:r>
        <w:rPr>
          <w:color w:val="3A3838"/>
          <w:w w:val="105"/>
          <w:sz w:val="18"/>
        </w:rPr>
        <w:t>abuse</w:t>
      </w:r>
      <w:r>
        <w:rPr>
          <w:color w:val="3A3838"/>
          <w:spacing w:val="6"/>
          <w:w w:val="105"/>
          <w:sz w:val="18"/>
        </w:rPr>
        <w:t> </w:t>
      </w:r>
      <w:r>
        <w:rPr>
          <w:color w:val="3A3838"/>
          <w:w w:val="105"/>
          <w:sz w:val="18"/>
        </w:rPr>
        <w:t>of</w:t>
      </w:r>
      <w:r>
        <w:rPr>
          <w:color w:val="3A3838"/>
          <w:spacing w:val="6"/>
          <w:w w:val="105"/>
          <w:sz w:val="18"/>
        </w:rPr>
        <w:t> </w:t>
      </w:r>
      <w:r>
        <w:rPr>
          <w:color w:val="3A3838"/>
          <w:w w:val="105"/>
          <w:sz w:val="18"/>
        </w:rPr>
        <w:t>discretion</w:t>
      </w:r>
      <w:r>
        <w:rPr>
          <w:color w:val="3A3838"/>
          <w:spacing w:val="36"/>
          <w:w w:val="105"/>
          <w:sz w:val="18"/>
        </w:rPr>
        <w:t> </w:t>
      </w:r>
      <w:r>
        <w:rPr>
          <w:color w:val="3A3838"/>
          <w:w w:val="105"/>
          <w:sz w:val="17"/>
        </w:rPr>
        <w:t>ls</w:t>
      </w:r>
      <w:r>
        <w:rPr>
          <w:color w:val="3A3838"/>
          <w:spacing w:val="12"/>
          <w:w w:val="105"/>
          <w:sz w:val="17"/>
        </w:rPr>
        <w:t> </w:t>
      </w:r>
      <w:r>
        <w:rPr>
          <w:color w:val="3A3838"/>
          <w:w w:val="105"/>
          <w:sz w:val="18"/>
        </w:rPr>
        <w:t>appropriate</w:t>
      </w:r>
      <w:r>
        <w:rPr>
          <w:color w:val="3A3838"/>
          <w:spacing w:val="15"/>
          <w:w w:val="105"/>
          <w:sz w:val="18"/>
        </w:rPr>
        <w:t> </w:t>
      </w:r>
      <w:r>
        <w:rPr>
          <w:color w:val="3A3838"/>
          <w:w w:val="105"/>
          <w:sz w:val="18"/>
        </w:rPr>
        <w:t>standard</w:t>
      </w:r>
      <w:r>
        <w:rPr>
          <w:color w:val="3A3838"/>
          <w:spacing w:val="14"/>
          <w:w w:val="105"/>
          <w:sz w:val="18"/>
        </w:rPr>
        <w:t> </w:t>
      </w:r>
      <w:r>
        <w:rPr>
          <w:color w:val="3A3838"/>
          <w:w w:val="105"/>
          <w:sz w:val="18"/>
        </w:rPr>
        <w:t>of</w:t>
      </w:r>
      <w:r>
        <w:rPr>
          <w:color w:val="3A3838"/>
          <w:spacing w:val="20"/>
          <w:w w:val="105"/>
          <w:sz w:val="18"/>
        </w:rPr>
        <w:t> </w:t>
      </w:r>
      <w:r>
        <w:rPr>
          <w:color w:val="3A3838"/>
          <w:w w:val="105"/>
          <w:sz w:val="18"/>
        </w:rPr>
        <w:t>review).</w:t>
      </w:r>
    </w:p>
    <w:p>
      <w:pPr>
        <w:spacing w:line="196" w:lineRule="exact" w:before="0"/>
        <w:ind w:left="922" w:right="0" w:firstLine="0"/>
        <w:jc w:val="both"/>
        <w:rPr>
          <w:sz w:val="18"/>
        </w:rPr>
      </w:pPr>
      <w:r>
        <w:rPr>
          <w:rFonts w:ascii="Arial"/>
          <w:color w:val="3A3838"/>
          <w:sz w:val="18"/>
          <w:vertAlign w:val="superscript"/>
        </w:rPr>
        <w:t>25</w:t>
      </w:r>
      <w:r>
        <w:rPr>
          <w:rFonts w:ascii="Arial"/>
          <w:color w:val="3A3838"/>
          <w:spacing w:val="-28"/>
          <w:sz w:val="18"/>
          <w:vertAlign w:val="baseline"/>
        </w:rPr>
        <w:t> </w:t>
      </w:r>
      <w:r>
        <w:rPr>
          <w:i/>
          <w:color w:val="3A3838"/>
          <w:sz w:val="18"/>
          <w:vertAlign w:val="baseline"/>
        </w:rPr>
        <w:t>Freeman</w:t>
      </w:r>
      <w:r>
        <w:rPr>
          <w:i/>
          <w:color w:val="3A3838"/>
          <w:spacing w:val="-3"/>
          <w:sz w:val="18"/>
          <w:vertAlign w:val="baseline"/>
        </w:rPr>
        <w:t> </w:t>
      </w:r>
      <w:r>
        <w:rPr>
          <w:rFonts w:ascii="Arial"/>
          <w:i/>
          <w:color w:val="3A3838"/>
          <w:sz w:val="17"/>
          <w:vertAlign w:val="baseline"/>
        </w:rPr>
        <w:t>v.</w:t>
      </w:r>
      <w:r>
        <w:rPr>
          <w:rFonts w:ascii="Arial"/>
          <w:i/>
          <w:color w:val="3A3838"/>
          <w:spacing w:val="23"/>
          <w:sz w:val="17"/>
          <w:vertAlign w:val="baseline"/>
        </w:rPr>
        <w:t> </w:t>
      </w:r>
      <w:r>
        <w:rPr>
          <w:i/>
          <w:color w:val="3A3838"/>
          <w:sz w:val="19"/>
          <w:vertAlign w:val="baseline"/>
        </w:rPr>
        <w:t>Pa</w:t>
      </w:r>
      <w:r>
        <w:rPr>
          <w:i/>
          <w:color w:val="575759"/>
          <w:sz w:val="19"/>
          <w:vertAlign w:val="baseline"/>
        </w:rPr>
        <w:t>c</w:t>
      </w:r>
      <w:r>
        <w:rPr>
          <w:i/>
          <w:color w:val="3A3838"/>
          <w:sz w:val="19"/>
          <w:vertAlign w:val="baseline"/>
        </w:rPr>
        <w:t>kage</w:t>
      </w:r>
      <w:r>
        <w:rPr>
          <w:i/>
          <w:color w:val="3A3838"/>
          <w:spacing w:val="9"/>
          <w:sz w:val="19"/>
          <w:vertAlign w:val="baseline"/>
        </w:rPr>
        <w:t> </w:t>
      </w:r>
      <w:r>
        <w:rPr>
          <w:i/>
          <w:color w:val="3A3838"/>
          <w:sz w:val="18"/>
          <w:vertAlign w:val="baseline"/>
        </w:rPr>
        <w:t>Mach.</w:t>
      </w:r>
      <w:r>
        <w:rPr>
          <w:i/>
          <w:color w:val="3A3838"/>
          <w:spacing w:val="-11"/>
          <w:sz w:val="18"/>
          <w:vertAlign w:val="baseline"/>
        </w:rPr>
        <w:t> </w:t>
      </w:r>
      <w:r>
        <w:rPr>
          <w:i/>
          <w:color w:val="3A3838"/>
          <w:sz w:val="18"/>
          <w:vertAlign w:val="baseline"/>
        </w:rPr>
        <w:t>Co.,</w:t>
      </w:r>
      <w:r>
        <w:rPr>
          <w:i/>
          <w:color w:val="3A3838"/>
          <w:spacing w:val="-16"/>
          <w:sz w:val="18"/>
          <w:vertAlign w:val="baseline"/>
        </w:rPr>
        <w:t> </w:t>
      </w:r>
      <w:r>
        <w:rPr>
          <w:i/>
          <w:color w:val="3A3838"/>
          <w:sz w:val="18"/>
          <w:vertAlign w:val="baseline"/>
        </w:rPr>
        <w:t>865</w:t>
      </w:r>
      <w:r>
        <w:rPr>
          <w:i/>
          <w:color w:val="3A3838"/>
          <w:spacing w:val="17"/>
          <w:sz w:val="18"/>
          <w:vertAlign w:val="baseline"/>
        </w:rPr>
        <w:t> </w:t>
      </w:r>
      <w:r>
        <w:rPr>
          <w:rFonts w:ascii="Arial"/>
          <w:color w:val="3A3838"/>
          <w:sz w:val="16"/>
          <w:vertAlign w:val="baseline"/>
        </w:rPr>
        <w:t>F.2d</w:t>
      </w:r>
      <w:r>
        <w:rPr>
          <w:rFonts w:ascii="Arial"/>
          <w:color w:val="3A3838"/>
          <w:spacing w:val="-3"/>
          <w:sz w:val="16"/>
          <w:vertAlign w:val="baseline"/>
        </w:rPr>
        <w:t> </w:t>
      </w:r>
      <w:r>
        <w:rPr>
          <w:color w:val="3A3838"/>
          <w:sz w:val="18"/>
          <w:vertAlign w:val="baseline"/>
        </w:rPr>
        <w:t>1331,</w:t>
      </w:r>
      <w:r>
        <w:rPr>
          <w:color w:val="3A3838"/>
          <w:spacing w:val="-3"/>
          <w:sz w:val="18"/>
          <w:vertAlign w:val="baseline"/>
        </w:rPr>
        <w:t> </w:t>
      </w:r>
      <w:r>
        <w:rPr>
          <w:color w:val="3A3838"/>
          <w:sz w:val="18"/>
          <w:vertAlign w:val="baseline"/>
        </w:rPr>
        <w:t>1340</w:t>
      </w:r>
      <w:r>
        <w:rPr>
          <w:color w:val="3A3838"/>
          <w:spacing w:val="-5"/>
          <w:sz w:val="18"/>
          <w:vertAlign w:val="baseline"/>
        </w:rPr>
        <w:t> </w:t>
      </w:r>
      <w:r>
        <w:rPr>
          <w:color w:val="3A3838"/>
          <w:sz w:val="18"/>
          <w:vertAlign w:val="baseline"/>
        </w:rPr>
        <w:t>(1st</w:t>
      </w:r>
      <w:r>
        <w:rPr>
          <w:color w:val="3A3838"/>
          <w:spacing w:val="6"/>
          <w:sz w:val="18"/>
          <w:vertAlign w:val="baseline"/>
        </w:rPr>
        <w:t> </w:t>
      </w:r>
      <w:r>
        <w:rPr>
          <w:color w:val="3A3838"/>
          <w:sz w:val="18"/>
          <w:vertAlign w:val="baseline"/>
        </w:rPr>
        <w:t>Cir.</w:t>
      </w:r>
      <w:r>
        <w:rPr>
          <w:color w:val="3A3838"/>
          <w:spacing w:val="6"/>
          <w:sz w:val="18"/>
          <w:vertAlign w:val="baseline"/>
        </w:rPr>
        <w:t> </w:t>
      </w:r>
      <w:r>
        <w:rPr>
          <w:color w:val="3A3838"/>
          <w:sz w:val="18"/>
          <w:vertAlign w:val="baseline"/>
        </w:rPr>
        <w:t>1988).</w:t>
      </w:r>
    </w:p>
    <w:p>
      <w:pPr>
        <w:spacing w:after="0" w:line="196" w:lineRule="exact"/>
        <w:jc w:val="both"/>
        <w:rPr>
          <w:sz w:val="18"/>
        </w:rPr>
        <w:sectPr>
          <w:headerReference w:type="even" r:id="rId46"/>
          <w:headerReference w:type="default" r:id="rId47"/>
          <w:pgSz w:w="9810" w:h="13820"/>
          <w:pgMar w:header="467" w:footer="0" w:top="620" w:bottom="0" w:left="1360" w:right="40"/>
          <w:pgNumType w:start="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32" w:lineRule="auto"/>
        <w:ind w:left="108" w:right="308" w:firstLine="16"/>
        <w:jc w:val="both"/>
      </w:pPr>
      <w:r>
        <w:rPr>
          <w:color w:val="383638"/>
          <w:w w:val="110"/>
        </w:rPr>
        <w:t>reviewing courts should "set aside" agency "actions, findings, or conclu­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sions" that are "arbitrary,  capricious, an  abuse of discretion, or other­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wise not </w:t>
      </w:r>
      <w:r>
        <w:rPr>
          <w:color w:val="484649"/>
          <w:w w:val="110"/>
        </w:rPr>
        <w:t>in accordance with </w:t>
      </w:r>
      <w:r>
        <w:rPr>
          <w:color w:val="383638"/>
          <w:w w:val="110"/>
        </w:rPr>
        <w:t>law." When an agency holds a formal hearing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that creates a record, the reviewing </w:t>
      </w:r>
      <w:r>
        <w:rPr>
          <w:color w:val="484649"/>
          <w:w w:val="110"/>
        </w:rPr>
        <w:t>court may set </w:t>
      </w:r>
      <w:r>
        <w:rPr>
          <w:color w:val="383638"/>
          <w:w w:val="110"/>
        </w:rPr>
        <w:t>aside agency decisions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only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when</w:t>
      </w:r>
      <w:r>
        <w:rPr>
          <w:color w:val="383638"/>
          <w:spacing w:val="29"/>
          <w:w w:val="110"/>
        </w:rPr>
        <w:t> </w:t>
      </w:r>
      <w:r>
        <w:rPr>
          <w:color w:val="383638"/>
          <w:w w:val="110"/>
        </w:rPr>
        <w:t>they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are</w:t>
      </w:r>
      <w:r>
        <w:rPr>
          <w:color w:val="383638"/>
          <w:spacing w:val="-12"/>
          <w:w w:val="110"/>
        </w:rPr>
        <w:t> </w:t>
      </w:r>
      <w:r>
        <w:rPr>
          <w:color w:val="484649"/>
          <w:w w:val="110"/>
        </w:rPr>
        <w:t>"unsupported</w:t>
      </w:r>
      <w:r>
        <w:rPr>
          <w:color w:val="484649"/>
          <w:spacing w:val="53"/>
          <w:w w:val="110"/>
        </w:rPr>
        <w:t> </w:t>
      </w:r>
      <w:r>
        <w:rPr>
          <w:color w:val="383638"/>
          <w:w w:val="110"/>
        </w:rPr>
        <w:t>by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substantial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evidence."</w:t>
      </w:r>
      <w:r>
        <w:rPr>
          <w:color w:val="383638"/>
          <w:w w:val="110"/>
          <w:vertAlign w:val="superscript"/>
        </w:rPr>
        <w:t>26</w:t>
      </w:r>
    </w:p>
    <w:p>
      <w:pPr>
        <w:pStyle w:val="BodyText"/>
        <w:spacing w:before="8"/>
        <w:rPr>
          <w:sz w:val="33"/>
        </w:rPr>
      </w:pPr>
    </w:p>
    <w:p>
      <w:pPr>
        <w:spacing w:before="1"/>
        <w:ind w:left="515" w:right="0" w:firstLine="0"/>
        <w:jc w:val="left"/>
        <w:rPr>
          <w:sz w:val="29"/>
        </w:rPr>
      </w:pPr>
      <w:r>
        <w:rPr>
          <w:color w:val="626264"/>
          <w:w w:val="115"/>
          <w:sz w:val="29"/>
        </w:rPr>
        <w:t>2.3.2</w:t>
      </w:r>
    </w:p>
    <w:p>
      <w:pPr>
        <w:spacing w:line="307" w:lineRule="auto" w:before="67"/>
        <w:ind w:left="511" w:right="1030" w:hanging="10"/>
        <w:jc w:val="left"/>
        <w:rPr>
          <w:rFonts w:ascii="Arial"/>
          <w:sz w:val="21"/>
        </w:rPr>
      </w:pPr>
      <w:r>
        <w:rPr>
          <w:rFonts w:ascii="Arial"/>
          <w:color w:val="626264"/>
          <w:w w:val="105"/>
          <w:sz w:val="21"/>
        </w:rPr>
        <w:t>IDENTIFYI</w:t>
      </w:r>
      <w:r>
        <w:rPr>
          <w:rFonts w:ascii="Arial"/>
          <w:color w:val="484649"/>
          <w:w w:val="105"/>
          <w:sz w:val="21"/>
        </w:rPr>
        <w:t>N</w:t>
      </w:r>
      <w:r>
        <w:rPr>
          <w:rFonts w:ascii="Arial"/>
          <w:color w:val="626264"/>
          <w:w w:val="105"/>
          <w:sz w:val="21"/>
        </w:rPr>
        <w:t>G</w:t>
      </w:r>
      <w:r>
        <w:rPr>
          <w:rFonts w:ascii="Arial"/>
          <w:color w:val="626264"/>
          <w:spacing w:val="1"/>
          <w:w w:val="105"/>
          <w:sz w:val="21"/>
        </w:rPr>
        <w:t> </w:t>
      </w:r>
      <w:r>
        <w:rPr>
          <w:rFonts w:ascii="Arial"/>
          <w:color w:val="484649"/>
          <w:w w:val="105"/>
          <w:sz w:val="21"/>
        </w:rPr>
        <w:t>T</w:t>
      </w:r>
      <w:r>
        <w:rPr>
          <w:rFonts w:ascii="Arial"/>
          <w:color w:val="626264"/>
          <w:w w:val="105"/>
          <w:sz w:val="21"/>
        </w:rPr>
        <w:t>H</w:t>
      </w:r>
      <w:r>
        <w:rPr>
          <w:rFonts w:ascii="Arial"/>
          <w:color w:val="484649"/>
          <w:w w:val="105"/>
          <w:sz w:val="21"/>
        </w:rPr>
        <w:t>E</w:t>
      </w:r>
      <w:r>
        <w:rPr>
          <w:rFonts w:ascii="Arial"/>
          <w:color w:val="484649"/>
          <w:spacing w:val="1"/>
          <w:w w:val="105"/>
          <w:sz w:val="21"/>
        </w:rPr>
        <w:t> </w:t>
      </w:r>
      <w:r>
        <w:rPr>
          <w:rFonts w:ascii="Arial"/>
          <w:color w:val="484649"/>
          <w:w w:val="105"/>
          <w:sz w:val="21"/>
        </w:rPr>
        <w:t>A</w:t>
      </w:r>
      <w:r>
        <w:rPr>
          <w:rFonts w:ascii="Arial"/>
          <w:color w:val="626264"/>
          <w:w w:val="105"/>
          <w:sz w:val="21"/>
        </w:rPr>
        <w:t>PPROPR</w:t>
      </w:r>
      <w:r>
        <w:rPr>
          <w:rFonts w:ascii="Arial"/>
          <w:color w:val="484649"/>
          <w:w w:val="105"/>
          <w:sz w:val="21"/>
        </w:rPr>
        <w:t>IA</w:t>
      </w:r>
      <w:r>
        <w:rPr>
          <w:rFonts w:ascii="Arial"/>
          <w:color w:val="626264"/>
          <w:w w:val="105"/>
          <w:sz w:val="21"/>
        </w:rPr>
        <w:t>T</w:t>
      </w:r>
      <w:r>
        <w:rPr>
          <w:rFonts w:ascii="Arial"/>
          <w:color w:val="484649"/>
          <w:w w:val="105"/>
          <w:sz w:val="21"/>
        </w:rPr>
        <w:t>E </w:t>
      </w:r>
      <w:r>
        <w:rPr>
          <w:rFonts w:ascii="Arial"/>
          <w:color w:val="626264"/>
          <w:w w:val="105"/>
          <w:sz w:val="21"/>
        </w:rPr>
        <w:t>APPE</w:t>
      </w:r>
      <w:r>
        <w:rPr>
          <w:rFonts w:ascii="Arial"/>
          <w:color w:val="484649"/>
          <w:w w:val="105"/>
          <w:sz w:val="21"/>
        </w:rPr>
        <w:t>L</w:t>
      </w:r>
      <w:r>
        <w:rPr>
          <w:rFonts w:ascii="Arial"/>
          <w:color w:val="626264"/>
          <w:w w:val="105"/>
          <w:sz w:val="21"/>
        </w:rPr>
        <w:t>LATE STANDARD</w:t>
      </w:r>
      <w:r>
        <w:rPr>
          <w:rFonts w:ascii="Arial"/>
          <w:color w:val="626264"/>
          <w:spacing w:val="-59"/>
          <w:w w:val="105"/>
          <w:sz w:val="21"/>
        </w:rPr>
        <w:t> </w:t>
      </w:r>
      <w:r>
        <w:rPr>
          <w:rFonts w:ascii="Arial"/>
          <w:color w:val="626264"/>
          <w:w w:val="110"/>
          <w:sz w:val="21"/>
        </w:rPr>
        <w:t>OF</w:t>
      </w:r>
      <w:r>
        <w:rPr>
          <w:rFonts w:ascii="Arial"/>
          <w:color w:val="626264"/>
          <w:spacing w:val="-12"/>
          <w:w w:val="110"/>
          <w:sz w:val="21"/>
        </w:rPr>
        <w:t> </w:t>
      </w:r>
      <w:r>
        <w:rPr>
          <w:rFonts w:ascii="Arial"/>
          <w:color w:val="626264"/>
          <w:w w:val="110"/>
          <w:sz w:val="21"/>
        </w:rPr>
        <w:t>REVIEW</w:t>
      </w:r>
    </w:p>
    <w:p>
      <w:pPr>
        <w:pStyle w:val="BodyText"/>
        <w:spacing w:line="232" w:lineRule="auto" w:before="83"/>
        <w:ind w:left="108" w:right="247" w:firstLine="375"/>
        <w:jc w:val="both"/>
      </w:pPr>
      <w:r>
        <w:rPr>
          <w:color w:val="383638"/>
          <w:w w:val="110"/>
        </w:rPr>
        <w:t>Of course, knowing the standards is only the first step. You must then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decide which </w:t>
      </w:r>
      <w:r>
        <w:rPr>
          <w:color w:val="484649"/>
          <w:w w:val="115"/>
        </w:rPr>
        <w:t>standard or </w:t>
      </w:r>
      <w:r>
        <w:rPr>
          <w:color w:val="383638"/>
          <w:w w:val="115"/>
        </w:rPr>
        <w:t>standards apply in </w:t>
      </w:r>
      <w:r>
        <w:rPr>
          <w:color w:val="484649"/>
          <w:w w:val="115"/>
        </w:rPr>
        <w:t>your </w:t>
      </w:r>
      <w:r>
        <w:rPr>
          <w:color w:val="383638"/>
          <w:w w:val="115"/>
        </w:rPr>
        <w:t>case. Some issues are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obviously questions of fact </w:t>
      </w:r>
      <w:r>
        <w:rPr>
          <w:color w:val="484649"/>
          <w:w w:val="115"/>
        </w:rPr>
        <w:t>(e.g., </w:t>
      </w:r>
      <w:r>
        <w:rPr>
          <w:color w:val="383638"/>
          <w:w w:val="115"/>
        </w:rPr>
        <w:t>Did the defendant hit the victim? Did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the officer ask a certain question </w:t>
      </w:r>
      <w:r>
        <w:rPr>
          <w:color w:val="484649"/>
          <w:w w:val="110"/>
        </w:rPr>
        <w:t>of </w:t>
      </w:r>
      <w:r>
        <w:rPr>
          <w:color w:val="383638"/>
          <w:w w:val="110"/>
        </w:rPr>
        <w:t>the defendant?), </w:t>
      </w:r>
      <w:r>
        <w:rPr>
          <w:color w:val="484649"/>
          <w:w w:val="110"/>
        </w:rPr>
        <w:t>while </w:t>
      </w:r>
      <w:r>
        <w:rPr>
          <w:color w:val="383638"/>
          <w:w w:val="110"/>
        </w:rPr>
        <w:t>others are </w:t>
      </w:r>
      <w:r>
        <w:rPr>
          <w:color w:val="484649"/>
          <w:w w:val="110"/>
        </w:rPr>
        <w:t>obvi­</w:t>
      </w:r>
      <w:r>
        <w:rPr>
          <w:color w:val="484649"/>
          <w:spacing w:val="1"/>
          <w:w w:val="110"/>
        </w:rPr>
        <w:t> </w:t>
      </w:r>
      <w:r>
        <w:rPr>
          <w:color w:val="383638"/>
          <w:w w:val="110"/>
        </w:rPr>
        <w:t>ously questions of law </w:t>
      </w:r>
      <w:r>
        <w:rPr>
          <w:color w:val="484649"/>
          <w:w w:val="110"/>
        </w:rPr>
        <w:t>(e.g., </w:t>
      </w:r>
      <w:r>
        <w:rPr>
          <w:color w:val="383638"/>
          <w:w w:val="110"/>
        </w:rPr>
        <w:t>Did the court apply the correct legal standard?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Is a supervisor an "employer" within the meaning of the </w:t>
      </w:r>
      <w:r>
        <w:rPr>
          <w:color w:val="484649"/>
          <w:w w:val="110"/>
        </w:rPr>
        <w:t>statute?). </w:t>
      </w:r>
      <w:r>
        <w:rPr>
          <w:color w:val="383638"/>
          <w:w w:val="110"/>
        </w:rPr>
        <w:t>Mixed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questions </w:t>
      </w:r>
      <w:r>
        <w:rPr>
          <w:color w:val="484649"/>
          <w:w w:val="110"/>
        </w:rPr>
        <w:t>are </w:t>
      </w:r>
      <w:r>
        <w:rPr>
          <w:color w:val="383638"/>
          <w:w w:val="110"/>
        </w:rPr>
        <w:t>more difficult </w:t>
      </w:r>
      <w:r>
        <w:rPr>
          <w:color w:val="484649"/>
          <w:w w:val="110"/>
        </w:rPr>
        <w:t>to identify; </w:t>
      </w:r>
      <w:r>
        <w:rPr>
          <w:color w:val="383638"/>
          <w:w w:val="110"/>
        </w:rPr>
        <w:t>courts generally identify a mixed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question of law and fact as one that is based on how a legal principle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applies</w:t>
      </w:r>
      <w:r>
        <w:rPr>
          <w:color w:val="383638"/>
          <w:spacing w:val="-10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-4"/>
          <w:w w:val="115"/>
        </w:rPr>
        <w:t> </w:t>
      </w:r>
      <w:r>
        <w:rPr>
          <w:color w:val="383638"/>
          <w:w w:val="115"/>
        </w:rPr>
        <w:t>established</w:t>
      </w:r>
      <w:r>
        <w:rPr>
          <w:color w:val="383638"/>
          <w:spacing w:val="-11"/>
          <w:w w:val="115"/>
        </w:rPr>
        <w:t> </w:t>
      </w:r>
      <w:r>
        <w:rPr>
          <w:color w:val="383638"/>
          <w:w w:val="115"/>
        </w:rPr>
        <w:t>or</w:t>
      </w:r>
      <w:r>
        <w:rPr>
          <w:color w:val="383638"/>
          <w:spacing w:val="5"/>
          <w:w w:val="115"/>
        </w:rPr>
        <w:t> </w:t>
      </w:r>
      <w:r>
        <w:rPr>
          <w:color w:val="383638"/>
          <w:w w:val="115"/>
        </w:rPr>
        <w:t>agreed-upon</w:t>
      </w:r>
      <w:r>
        <w:rPr>
          <w:color w:val="383638"/>
          <w:spacing w:val="-2"/>
          <w:w w:val="115"/>
        </w:rPr>
        <w:t> </w:t>
      </w:r>
      <w:r>
        <w:rPr>
          <w:color w:val="383638"/>
          <w:w w:val="115"/>
        </w:rPr>
        <w:t>facts.</w:t>
      </w:r>
    </w:p>
    <w:p>
      <w:pPr>
        <w:pStyle w:val="BodyText"/>
        <w:spacing w:line="235" w:lineRule="auto" w:before="10"/>
        <w:ind w:left="105" w:right="169" w:firstLine="385"/>
        <w:jc w:val="both"/>
      </w:pPr>
      <w:r>
        <w:rPr>
          <w:color w:val="383638"/>
          <w:w w:val="115"/>
        </w:rPr>
        <w:t>Using one</w:t>
      </w:r>
      <w:r>
        <w:rPr>
          <w:color w:val="383638"/>
          <w:spacing w:val="1"/>
          <w:w w:val="115"/>
        </w:rPr>
        <w:t> </w:t>
      </w:r>
      <w:r>
        <w:rPr>
          <w:color w:val="484649"/>
          <w:w w:val="115"/>
        </w:rPr>
        <w:t>standard over </w:t>
      </w:r>
      <w:r>
        <w:rPr>
          <w:color w:val="383638"/>
          <w:w w:val="115"/>
        </w:rPr>
        <w:t>another-for </w:t>
      </w:r>
      <w:r>
        <w:rPr>
          <w:color w:val="484649"/>
          <w:w w:val="115"/>
        </w:rPr>
        <w:t>example, </w:t>
      </w:r>
      <w:r>
        <w:rPr>
          <w:color w:val="383638"/>
          <w:w w:val="115"/>
        </w:rPr>
        <w:t>a clearly erroneous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appellate </w:t>
      </w:r>
      <w:r>
        <w:rPr>
          <w:color w:val="484649"/>
          <w:w w:val="115"/>
        </w:rPr>
        <w:t>standard </w:t>
      </w:r>
      <w:r>
        <w:rPr>
          <w:color w:val="383638"/>
          <w:w w:val="115"/>
        </w:rPr>
        <w:t>of review rather than a de novo </w:t>
      </w:r>
      <w:r>
        <w:rPr>
          <w:color w:val="484649"/>
          <w:w w:val="115"/>
        </w:rPr>
        <w:t>standard-can </w:t>
      </w:r>
      <w:r>
        <w:rPr>
          <w:color w:val="383638"/>
          <w:w w:val="115"/>
        </w:rPr>
        <w:t>lead to </w:t>
      </w:r>
      <w:r>
        <w:rPr>
          <w:color w:val="484649"/>
          <w:w w:val="115"/>
        </w:rPr>
        <w:t>a</w:t>
      </w:r>
      <w:r>
        <w:rPr>
          <w:color w:val="484649"/>
          <w:spacing w:val="-64"/>
          <w:w w:val="115"/>
        </w:rPr>
        <w:t> </w:t>
      </w:r>
      <w:r>
        <w:rPr>
          <w:color w:val="484649"/>
          <w:w w:val="105"/>
        </w:rPr>
        <w:t>vastly </w:t>
      </w:r>
      <w:r>
        <w:rPr>
          <w:color w:val="383638"/>
          <w:w w:val="105"/>
        </w:rPr>
        <w:t>different review of the</w:t>
      </w:r>
      <w:r>
        <w:rPr>
          <w:color w:val="383638"/>
          <w:spacing w:val="1"/>
          <w:w w:val="105"/>
        </w:rPr>
        <w:t> </w:t>
      </w:r>
      <w:r>
        <w:rPr>
          <w:color w:val="484649"/>
          <w:w w:val="105"/>
        </w:rPr>
        <w:t>same </w:t>
      </w:r>
      <w:r>
        <w:rPr>
          <w:color w:val="383638"/>
          <w:w w:val="105"/>
        </w:rPr>
        <w:t>case. Accordingly, </w:t>
      </w:r>
      <w:r>
        <w:rPr>
          <w:color w:val="484649"/>
          <w:w w:val="105"/>
        </w:rPr>
        <w:t>you should study the</w:t>
      </w:r>
      <w:r>
        <w:rPr>
          <w:color w:val="484649"/>
          <w:spacing w:val="1"/>
          <w:w w:val="105"/>
        </w:rPr>
        <w:t> </w:t>
      </w:r>
      <w:r>
        <w:rPr>
          <w:color w:val="383638"/>
          <w:w w:val="110"/>
        </w:rPr>
        <w:t>record below carefully. Identify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decisions,  rulings, or findings that </w:t>
      </w:r>
      <w:r>
        <w:rPr>
          <w:color w:val="484649"/>
          <w:w w:val="110"/>
        </w:rPr>
        <w:t>are</w:t>
      </w:r>
      <w:r>
        <w:rPr>
          <w:color w:val="484649"/>
          <w:spacing w:val="1"/>
          <w:w w:val="110"/>
        </w:rPr>
        <w:t> </w:t>
      </w:r>
      <w:r>
        <w:rPr>
          <w:color w:val="383638"/>
          <w:w w:val="110"/>
        </w:rPr>
        <w:t>at the </w:t>
      </w:r>
      <w:r>
        <w:rPr>
          <w:color w:val="484649"/>
          <w:w w:val="110"/>
        </w:rPr>
        <w:t>crux of </w:t>
      </w:r>
      <w:r>
        <w:rPr>
          <w:color w:val="383638"/>
          <w:w w:val="110"/>
        </w:rPr>
        <w:t>your client's case. First, identify who made the ruling. The</w:t>
      </w:r>
      <w:r>
        <w:rPr>
          <w:color w:val="383638"/>
          <w:spacing w:val="1"/>
          <w:w w:val="110"/>
        </w:rPr>
        <w:t> </w:t>
      </w:r>
      <w:r>
        <w:rPr>
          <w:color w:val="484649"/>
          <w:w w:val="110"/>
        </w:rPr>
        <w:t>standard </w:t>
      </w:r>
      <w:r>
        <w:rPr>
          <w:color w:val="383638"/>
          <w:w w:val="110"/>
        </w:rPr>
        <w:t>of review depends </w:t>
      </w:r>
      <w:r>
        <w:rPr>
          <w:color w:val="484649"/>
          <w:w w:val="110"/>
        </w:rPr>
        <w:t>on </w:t>
      </w:r>
      <w:r>
        <w:rPr>
          <w:color w:val="383638"/>
          <w:w w:val="110"/>
        </w:rPr>
        <w:t>whether the decision maker was a judge, a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jury,</w:t>
      </w:r>
      <w:r>
        <w:rPr>
          <w:color w:val="383638"/>
          <w:spacing w:val="-26"/>
          <w:w w:val="110"/>
        </w:rPr>
        <w:t> </w:t>
      </w:r>
      <w:r>
        <w:rPr>
          <w:color w:val="383638"/>
          <w:w w:val="110"/>
        </w:rPr>
        <w:t>or</w:t>
      </w:r>
      <w:r>
        <w:rPr>
          <w:color w:val="383638"/>
          <w:spacing w:val="16"/>
          <w:w w:val="110"/>
        </w:rPr>
        <w:t> </w:t>
      </w:r>
      <w:r>
        <w:rPr>
          <w:color w:val="484649"/>
          <w:w w:val="110"/>
        </w:rPr>
        <w:t>an</w:t>
      </w:r>
      <w:r>
        <w:rPr>
          <w:color w:val="484649"/>
          <w:spacing w:val="20"/>
          <w:w w:val="110"/>
        </w:rPr>
        <w:t> </w:t>
      </w:r>
      <w:r>
        <w:rPr>
          <w:color w:val="484649"/>
          <w:w w:val="110"/>
        </w:rPr>
        <w:t>administrative</w:t>
      </w:r>
      <w:r>
        <w:rPr>
          <w:color w:val="484649"/>
          <w:spacing w:val="-28"/>
          <w:w w:val="110"/>
        </w:rPr>
        <w:t> </w:t>
      </w:r>
      <w:r>
        <w:rPr>
          <w:color w:val="383638"/>
          <w:w w:val="110"/>
        </w:rPr>
        <w:t>body.</w:t>
      </w:r>
      <w:r>
        <w:rPr>
          <w:color w:val="383638"/>
          <w:spacing w:val="-27"/>
          <w:w w:val="110"/>
        </w:rPr>
        <w:t> </w:t>
      </w:r>
      <w:r>
        <w:rPr>
          <w:color w:val="383638"/>
          <w:w w:val="110"/>
        </w:rPr>
        <w:t>Second,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focus</w:t>
      </w:r>
      <w:r>
        <w:rPr>
          <w:color w:val="383638"/>
          <w:spacing w:val="-35"/>
          <w:w w:val="110"/>
        </w:rPr>
        <w:t> </w:t>
      </w:r>
      <w:r>
        <w:rPr>
          <w:color w:val="383638"/>
          <w:w w:val="110"/>
        </w:rPr>
        <w:t>on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what</w:t>
      </w:r>
      <w:r>
        <w:rPr>
          <w:color w:val="383638"/>
          <w:spacing w:val="-5"/>
          <w:w w:val="110"/>
        </w:rPr>
        <w:t> </w:t>
      </w:r>
      <w:r>
        <w:rPr>
          <w:color w:val="484649"/>
          <w:w w:val="110"/>
        </w:rPr>
        <w:t>kind</w:t>
      </w:r>
      <w:r>
        <w:rPr>
          <w:color w:val="484649"/>
          <w:spacing w:val="-14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decision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was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made. </w:t>
      </w:r>
      <w:r>
        <w:rPr>
          <w:color w:val="383638"/>
          <w:w w:val="110"/>
          <w:sz w:val="22"/>
        </w:rPr>
        <w:t>If </w:t>
      </w:r>
      <w:r>
        <w:rPr>
          <w:color w:val="383638"/>
          <w:w w:val="110"/>
        </w:rPr>
        <w:t>it was a ruling on an evidentiary matter, the abuse </w:t>
      </w:r>
      <w:r>
        <w:rPr>
          <w:color w:val="484649"/>
          <w:w w:val="110"/>
        </w:rPr>
        <w:t>of </w:t>
      </w:r>
      <w:r>
        <w:rPr>
          <w:color w:val="383638"/>
          <w:w w:val="110"/>
        </w:rPr>
        <w:t>discretion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standard will probably apply. </w:t>
      </w:r>
      <w:r>
        <w:rPr>
          <w:color w:val="383638"/>
          <w:w w:val="110"/>
          <w:sz w:val="22"/>
        </w:rPr>
        <w:t>If </w:t>
      </w:r>
      <w:r>
        <w:rPr>
          <w:color w:val="383638"/>
          <w:w w:val="110"/>
        </w:rPr>
        <w:t>it was a finding of fact, the court will apply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the clearly erroneous standard</w:t>
      </w:r>
      <w:r>
        <w:rPr>
          <w:color w:val="626264"/>
          <w:w w:val="110"/>
        </w:rPr>
        <w:t>. </w:t>
      </w:r>
      <w:r>
        <w:rPr>
          <w:rFonts w:ascii="Arial"/>
          <w:color w:val="383638"/>
          <w:w w:val="110"/>
          <w:sz w:val="22"/>
        </w:rPr>
        <w:t>If, </w:t>
      </w:r>
      <w:r>
        <w:rPr>
          <w:color w:val="383638"/>
          <w:w w:val="110"/>
        </w:rPr>
        <w:t>as is most likely, it was a decision of law,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the court will apply a de novo standard. </w:t>
      </w:r>
      <w:r>
        <w:rPr>
          <w:color w:val="383638"/>
          <w:w w:val="110"/>
          <w:sz w:val="22"/>
        </w:rPr>
        <w:t>If </w:t>
      </w:r>
      <w:r>
        <w:rPr>
          <w:color w:val="383638"/>
          <w:w w:val="110"/>
        </w:rPr>
        <w:t>you </w:t>
      </w:r>
      <w:r>
        <w:rPr>
          <w:color w:val="484649"/>
          <w:w w:val="110"/>
        </w:rPr>
        <w:t>are </w:t>
      </w:r>
      <w:r>
        <w:rPr>
          <w:color w:val="383638"/>
          <w:w w:val="110"/>
        </w:rPr>
        <w:t>arguing to a court of last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resort, you may look to the court of </w:t>
      </w:r>
      <w:r>
        <w:rPr>
          <w:color w:val="484649"/>
          <w:w w:val="110"/>
        </w:rPr>
        <w:t>appeals decision </w:t>
      </w:r>
      <w:r>
        <w:rPr>
          <w:color w:val="383638"/>
          <w:w w:val="110"/>
        </w:rPr>
        <w:t>to </w:t>
      </w:r>
      <w:r>
        <w:rPr>
          <w:color w:val="484649"/>
          <w:w w:val="110"/>
        </w:rPr>
        <w:t>see </w:t>
      </w:r>
      <w:r>
        <w:rPr>
          <w:color w:val="383638"/>
          <w:w w:val="110"/>
        </w:rPr>
        <w:t>what </w:t>
      </w:r>
      <w:r>
        <w:rPr>
          <w:color w:val="484649"/>
          <w:w w:val="110"/>
        </w:rPr>
        <w:t>appellate</w:t>
      </w:r>
      <w:r>
        <w:rPr>
          <w:color w:val="484649"/>
          <w:spacing w:val="1"/>
          <w:w w:val="110"/>
        </w:rPr>
        <w:t> </w:t>
      </w:r>
      <w:r>
        <w:rPr>
          <w:color w:val="484649"/>
          <w:w w:val="115"/>
        </w:rPr>
        <w:t>standard </w:t>
      </w:r>
      <w:r>
        <w:rPr>
          <w:color w:val="383638"/>
          <w:w w:val="115"/>
        </w:rPr>
        <w:t>of review that court applied. If no standard is mentioned in the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decision (and the </w:t>
      </w:r>
      <w:r>
        <w:rPr>
          <w:color w:val="484649"/>
          <w:w w:val="115"/>
        </w:rPr>
        <w:t>standard </w:t>
      </w:r>
      <w:r>
        <w:rPr>
          <w:color w:val="383638"/>
          <w:w w:val="115"/>
        </w:rPr>
        <w:t>is </w:t>
      </w:r>
      <w:r>
        <w:rPr>
          <w:color w:val="484649"/>
          <w:w w:val="115"/>
        </w:rPr>
        <w:t>often </w:t>
      </w:r>
      <w:r>
        <w:rPr>
          <w:color w:val="383638"/>
          <w:w w:val="115"/>
        </w:rPr>
        <w:t>not mentioned), the </w:t>
      </w:r>
      <w:r>
        <w:rPr>
          <w:color w:val="484649"/>
          <w:w w:val="115"/>
        </w:rPr>
        <w:t>court </w:t>
      </w:r>
      <w:r>
        <w:rPr>
          <w:color w:val="383638"/>
          <w:w w:val="115"/>
        </w:rPr>
        <w:t>probably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applied a de novo standard. Of course, if </w:t>
      </w:r>
      <w:r>
        <w:rPr>
          <w:color w:val="484649"/>
          <w:w w:val="115"/>
        </w:rPr>
        <w:t>appropriate, you </w:t>
      </w:r>
      <w:r>
        <w:rPr>
          <w:color w:val="383638"/>
          <w:w w:val="115"/>
        </w:rPr>
        <w:t>may decide to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0"/>
        </w:rPr>
        <w:t>argue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lower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court</w:t>
      </w:r>
      <w:r>
        <w:rPr>
          <w:color w:val="383638"/>
          <w:spacing w:val="-12"/>
          <w:w w:val="110"/>
        </w:rPr>
        <w:t> </w:t>
      </w:r>
      <w:r>
        <w:rPr>
          <w:color w:val="484649"/>
          <w:w w:val="110"/>
        </w:rPr>
        <w:t>applied</w:t>
      </w:r>
      <w:r>
        <w:rPr>
          <w:color w:val="484649"/>
          <w:spacing w:val="20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wrong</w:t>
      </w:r>
      <w:r>
        <w:rPr>
          <w:color w:val="383638"/>
          <w:spacing w:val="-3"/>
          <w:w w:val="110"/>
        </w:rPr>
        <w:t> </w:t>
      </w:r>
      <w:r>
        <w:rPr>
          <w:color w:val="484649"/>
          <w:w w:val="110"/>
        </w:rPr>
        <w:t>standard</w:t>
      </w:r>
      <w:r>
        <w:rPr>
          <w:color w:val="484649"/>
          <w:spacing w:val="7"/>
          <w:w w:val="110"/>
        </w:rPr>
        <w:t> </w:t>
      </w:r>
      <w:r>
        <w:rPr>
          <w:color w:val="484649"/>
          <w:w w:val="110"/>
        </w:rPr>
        <w:t>of</w:t>
      </w:r>
      <w:r>
        <w:rPr>
          <w:color w:val="484649"/>
          <w:spacing w:val="18"/>
          <w:w w:val="110"/>
        </w:rPr>
        <w:t> </w:t>
      </w:r>
      <w:r>
        <w:rPr>
          <w:color w:val="383638"/>
          <w:w w:val="110"/>
        </w:rPr>
        <w:t>review.</w:t>
      </w:r>
      <w:r>
        <w:rPr>
          <w:color w:val="626264"/>
          <w:w w:val="110"/>
          <w:vertAlign w:val="superscript"/>
        </w:rPr>
        <w:t>27</w:t>
      </w:r>
    </w:p>
    <w:p>
      <w:pPr>
        <w:pStyle w:val="BodyText"/>
        <w:spacing w:line="230" w:lineRule="auto"/>
        <w:ind w:left="119" w:right="139" w:firstLine="377"/>
        <w:jc w:val="both"/>
      </w:pPr>
      <w:r>
        <w:rPr>
          <w:color w:val="383638"/>
          <w:w w:val="110"/>
        </w:rPr>
        <w:t>If you  are  in  doubt </w:t>
      </w:r>
      <w:r>
        <w:rPr>
          <w:color w:val="484649"/>
          <w:w w:val="110"/>
        </w:rPr>
        <w:t>as </w:t>
      </w:r>
      <w:r>
        <w:rPr>
          <w:color w:val="383638"/>
          <w:w w:val="110"/>
        </w:rPr>
        <w:t>to the </w:t>
      </w:r>
      <w:r>
        <w:rPr>
          <w:color w:val="484649"/>
          <w:w w:val="110"/>
        </w:rPr>
        <w:t>appropriate standard of </w:t>
      </w:r>
      <w:r>
        <w:rPr>
          <w:color w:val="383638"/>
          <w:w w:val="110"/>
        </w:rPr>
        <w:t>review </w:t>
      </w:r>
      <w:r>
        <w:rPr>
          <w:color w:val="484649"/>
          <w:w w:val="110"/>
        </w:rPr>
        <w:t>for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legal issue your </w:t>
      </w:r>
      <w:r>
        <w:rPr>
          <w:color w:val="484649"/>
          <w:w w:val="110"/>
        </w:rPr>
        <w:t>case </w:t>
      </w:r>
      <w:r>
        <w:rPr>
          <w:color w:val="383638"/>
          <w:w w:val="110"/>
        </w:rPr>
        <w:t>presents, do a little focused research. You </w:t>
      </w:r>
      <w:r>
        <w:rPr>
          <w:color w:val="484649"/>
          <w:w w:val="110"/>
        </w:rPr>
        <w:t>may</w:t>
      </w:r>
      <w:r>
        <w:rPr>
          <w:color w:val="484649"/>
          <w:spacing w:val="1"/>
          <w:w w:val="110"/>
        </w:rPr>
        <w:t> </w:t>
      </w:r>
      <w:r>
        <w:rPr>
          <w:color w:val="383638"/>
          <w:w w:val="110"/>
        </w:rPr>
        <w:t>find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precedent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40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43"/>
          <w:w w:val="110"/>
        </w:rPr>
        <w:t> </w:t>
      </w:r>
      <w:r>
        <w:rPr>
          <w:color w:val="484649"/>
          <w:w w:val="110"/>
        </w:rPr>
        <w:t>standard</w:t>
      </w:r>
      <w:r>
        <w:rPr>
          <w:color w:val="484649"/>
          <w:spacing w:val="20"/>
          <w:w w:val="110"/>
        </w:rPr>
        <w:t> </w:t>
      </w:r>
      <w:r>
        <w:rPr>
          <w:color w:val="484649"/>
          <w:w w:val="110"/>
        </w:rPr>
        <w:t>of</w:t>
      </w:r>
      <w:r>
        <w:rPr>
          <w:color w:val="484649"/>
          <w:spacing w:val="39"/>
          <w:w w:val="110"/>
        </w:rPr>
        <w:t> </w:t>
      </w:r>
      <w:r>
        <w:rPr>
          <w:color w:val="383638"/>
          <w:w w:val="110"/>
        </w:rPr>
        <w:t>review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34"/>
          <w:w w:val="110"/>
        </w:rPr>
        <w:t> </w:t>
      </w:r>
      <w:r>
        <w:rPr>
          <w:color w:val="484649"/>
          <w:w w:val="110"/>
        </w:rPr>
        <w:t>the </w:t>
      </w:r>
      <w:r>
        <w:rPr>
          <w:color w:val="484649"/>
          <w:spacing w:val="12"/>
          <w:w w:val="110"/>
        </w:rPr>
        <w:t> </w:t>
      </w:r>
      <w:r>
        <w:rPr>
          <w:color w:val="383638"/>
          <w:w w:val="110"/>
        </w:rPr>
        <w:t>narrow</w:t>
      </w:r>
      <w:r>
        <w:rPr>
          <w:color w:val="383638"/>
          <w:spacing w:val="33"/>
          <w:w w:val="110"/>
        </w:rPr>
        <w:t> </w:t>
      </w:r>
      <w:r>
        <w:rPr>
          <w:color w:val="383638"/>
          <w:w w:val="110"/>
        </w:rPr>
        <w:t>legal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issue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40"/>
          <w:w w:val="110"/>
        </w:rPr>
        <w:t> </w:t>
      </w:r>
      <w:r>
        <w:rPr>
          <w:color w:val="484649"/>
          <w:w w:val="110"/>
        </w:rPr>
        <w:t>your</w:t>
      </w:r>
    </w:p>
    <w:p>
      <w:pPr>
        <w:pStyle w:val="BodyText"/>
        <w:spacing w:before="3"/>
        <w:rPr>
          <w:sz w:val="37"/>
        </w:rPr>
      </w:pPr>
    </w:p>
    <w:p>
      <w:pPr>
        <w:spacing w:line="194" w:lineRule="exact" w:before="1"/>
        <w:ind w:left="416" w:right="0" w:firstLine="0"/>
        <w:jc w:val="left"/>
        <w:rPr>
          <w:rFonts w:ascii="Arial"/>
          <w:i/>
          <w:sz w:val="16"/>
        </w:rPr>
      </w:pPr>
      <w:r>
        <w:rPr>
          <w:rFonts w:ascii="Arial"/>
          <w:i/>
          <w:color w:val="484649"/>
          <w:spacing w:val="-1"/>
          <w:sz w:val="16"/>
        </w:rPr>
        <w:t>u</w:t>
      </w:r>
      <w:r>
        <w:rPr>
          <w:rFonts w:ascii="Arial"/>
          <w:i/>
          <w:color w:val="484649"/>
          <w:spacing w:val="53"/>
          <w:sz w:val="16"/>
        </w:rPr>
        <w:t> </w:t>
      </w:r>
      <w:r>
        <w:rPr>
          <w:rFonts w:ascii="Arial"/>
          <w:i/>
          <w:color w:val="383638"/>
          <w:spacing w:val="-1"/>
          <w:sz w:val="16"/>
        </w:rPr>
        <w:t>See,</w:t>
      </w:r>
      <w:r>
        <w:rPr>
          <w:rFonts w:ascii="Arial"/>
          <w:i/>
          <w:color w:val="383638"/>
          <w:spacing w:val="-11"/>
          <w:sz w:val="16"/>
        </w:rPr>
        <w:t> </w:t>
      </w:r>
      <w:r>
        <w:rPr>
          <w:rFonts w:ascii="Arial"/>
          <w:i/>
          <w:color w:val="484649"/>
          <w:spacing w:val="-1"/>
          <w:sz w:val="16"/>
        </w:rPr>
        <w:t>e</w:t>
      </w:r>
      <w:r>
        <w:rPr>
          <w:rFonts w:ascii="Arial"/>
          <w:i/>
          <w:color w:val="626264"/>
          <w:spacing w:val="-1"/>
          <w:sz w:val="16"/>
        </w:rPr>
        <w:t>.</w:t>
      </w:r>
      <w:r>
        <w:rPr>
          <w:rFonts w:ascii="Arial"/>
          <w:i/>
          <w:color w:val="484649"/>
          <w:spacing w:val="-1"/>
          <w:sz w:val="16"/>
        </w:rPr>
        <w:t>g.,</w:t>
      </w:r>
      <w:r>
        <w:rPr>
          <w:rFonts w:ascii="Arial"/>
          <w:i/>
          <w:color w:val="484649"/>
          <w:spacing w:val="25"/>
          <w:sz w:val="16"/>
        </w:rPr>
        <w:t> </w:t>
      </w:r>
      <w:r>
        <w:rPr>
          <w:color w:val="383638"/>
          <w:spacing w:val="-1"/>
          <w:sz w:val="17"/>
        </w:rPr>
        <w:t>Kunsch,</w:t>
      </w:r>
      <w:r>
        <w:rPr>
          <w:color w:val="383638"/>
          <w:sz w:val="17"/>
        </w:rPr>
        <w:t> </w:t>
      </w:r>
      <w:r>
        <w:rPr>
          <w:rFonts w:ascii="Arial"/>
          <w:i/>
          <w:color w:val="484649"/>
          <w:spacing w:val="-1"/>
          <w:sz w:val="16"/>
        </w:rPr>
        <w:t>s11pm</w:t>
      </w:r>
      <w:r>
        <w:rPr>
          <w:rFonts w:ascii="Arial"/>
          <w:i/>
          <w:color w:val="484649"/>
          <w:spacing w:val="8"/>
          <w:sz w:val="16"/>
        </w:rPr>
        <w:t> </w:t>
      </w:r>
      <w:r>
        <w:rPr>
          <w:color w:val="484649"/>
          <w:spacing w:val="-1"/>
          <w:sz w:val="17"/>
        </w:rPr>
        <w:t>note</w:t>
      </w:r>
      <w:r>
        <w:rPr>
          <w:color w:val="484649"/>
          <w:spacing w:val="-17"/>
          <w:sz w:val="17"/>
        </w:rPr>
        <w:t> </w:t>
      </w:r>
      <w:r>
        <w:rPr>
          <w:color w:val="484649"/>
          <w:spacing w:val="-1"/>
          <w:sz w:val="17"/>
        </w:rPr>
        <w:t>1S</w:t>
      </w:r>
      <w:r>
        <w:rPr>
          <w:color w:val="626264"/>
          <w:spacing w:val="-1"/>
          <w:sz w:val="17"/>
        </w:rPr>
        <w:t>,</w:t>
      </w:r>
      <w:r>
        <w:rPr>
          <w:color w:val="626264"/>
          <w:spacing w:val="6"/>
          <w:sz w:val="17"/>
        </w:rPr>
        <w:t> </w:t>
      </w:r>
      <w:r>
        <w:rPr>
          <w:color w:val="383638"/>
          <w:sz w:val="17"/>
        </w:rPr>
        <w:t>at</w:t>
      </w:r>
      <w:r>
        <w:rPr>
          <w:color w:val="383638"/>
          <w:spacing w:val="31"/>
          <w:sz w:val="17"/>
        </w:rPr>
        <w:t> </w:t>
      </w:r>
      <w:r>
        <w:rPr>
          <w:color w:val="383638"/>
          <w:sz w:val="17"/>
        </w:rPr>
        <w:t>40-41;</w:t>
      </w:r>
      <w:r>
        <w:rPr>
          <w:color w:val="383638"/>
          <w:spacing w:val="-5"/>
          <w:sz w:val="17"/>
        </w:rPr>
        <w:t> </w:t>
      </w:r>
      <w:r>
        <w:rPr>
          <w:rFonts w:ascii="Arial"/>
          <w:i/>
          <w:color w:val="484649"/>
          <w:sz w:val="16"/>
        </w:rPr>
        <w:t>sec!</w:t>
      </w:r>
      <w:r>
        <w:rPr>
          <w:rFonts w:ascii="Arial"/>
          <w:i/>
          <w:color w:val="484649"/>
          <w:spacing w:val="-28"/>
          <w:sz w:val="16"/>
        </w:rPr>
        <w:t> </w:t>
      </w:r>
      <w:r>
        <w:rPr>
          <w:rFonts w:ascii="Arial"/>
          <w:i/>
          <w:color w:val="383638"/>
          <w:sz w:val="16"/>
        </w:rPr>
        <w:t>11/so,</w:t>
      </w:r>
      <w:r>
        <w:rPr>
          <w:rFonts w:ascii="Arial"/>
          <w:i/>
          <w:color w:val="383638"/>
          <w:spacing w:val="-10"/>
          <w:sz w:val="16"/>
        </w:rPr>
        <w:t> </w:t>
      </w:r>
      <w:r>
        <w:rPr>
          <w:rFonts w:ascii="Arial"/>
          <w:i/>
          <w:color w:val="484649"/>
          <w:sz w:val="16"/>
        </w:rPr>
        <w:t>e.g</w:t>
      </w:r>
      <w:r>
        <w:rPr>
          <w:rFonts w:ascii="Arial"/>
          <w:i/>
          <w:color w:val="626264"/>
          <w:sz w:val="16"/>
        </w:rPr>
        <w:t>.,</w:t>
      </w:r>
      <w:r>
        <w:rPr>
          <w:rFonts w:ascii="Arial"/>
          <w:i/>
          <w:color w:val="626264"/>
          <w:spacing w:val="7"/>
          <w:sz w:val="16"/>
        </w:rPr>
        <w:t> </w:t>
      </w:r>
      <w:r>
        <w:rPr>
          <w:rFonts w:ascii="Arial"/>
          <w:i/>
          <w:color w:val="383638"/>
          <w:sz w:val="16"/>
        </w:rPr>
        <w:t>Vmvso11</w:t>
      </w:r>
      <w:r>
        <w:rPr>
          <w:rFonts w:ascii="Arial"/>
          <w:i/>
          <w:color w:val="383638"/>
          <w:spacing w:val="-2"/>
          <w:sz w:val="16"/>
        </w:rPr>
        <w:t> </w:t>
      </w:r>
      <w:r>
        <w:rPr>
          <w:rFonts w:ascii="Arial"/>
          <w:i/>
          <w:color w:val="484649"/>
          <w:sz w:val="16"/>
        </w:rPr>
        <w:t>Farm</w:t>
      </w:r>
      <w:r>
        <w:rPr>
          <w:rFonts w:ascii="Arial"/>
          <w:i/>
          <w:color w:val="626264"/>
          <w:sz w:val="16"/>
        </w:rPr>
        <w:t>s</w:t>
      </w:r>
      <w:r>
        <w:rPr>
          <w:rFonts w:ascii="Arial"/>
          <w:i/>
          <w:color w:val="626264"/>
          <w:spacing w:val="-1"/>
          <w:sz w:val="16"/>
        </w:rPr>
        <w:t> </w:t>
      </w:r>
      <w:r>
        <w:rPr>
          <w:rFonts w:ascii="Arial"/>
          <w:i/>
          <w:color w:val="383638"/>
          <w:sz w:val="16"/>
        </w:rPr>
        <w:t>v</w:t>
      </w:r>
      <w:r>
        <w:rPr>
          <w:rFonts w:ascii="Arial"/>
          <w:i/>
          <w:color w:val="626264"/>
          <w:sz w:val="16"/>
        </w:rPr>
        <w:t>.</w:t>
      </w:r>
      <w:r>
        <w:rPr>
          <w:rFonts w:ascii="Arial"/>
          <w:i/>
          <w:color w:val="626264"/>
          <w:spacing w:val="10"/>
          <w:sz w:val="16"/>
        </w:rPr>
        <w:t> </w:t>
      </w:r>
      <w:r>
        <w:rPr>
          <w:rFonts w:ascii="Arial"/>
          <w:i/>
          <w:color w:val="383638"/>
          <w:sz w:val="16"/>
        </w:rPr>
        <w:t>Risk</w:t>
      </w:r>
      <w:r>
        <w:rPr>
          <w:rFonts w:ascii="Arial"/>
          <w:i/>
          <w:color w:val="383638"/>
          <w:spacing w:val="9"/>
          <w:sz w:val="16"/>
        </w:rPr>
        <w:t> </w:t>
      </w:r>
      <w:r>
        <w:rPr>
          <w:rFonts w:ascii="Arial"/>
          <w:i/>
          <w:color w:val="484649"/>
          <w:sz w:val="16"/>
        </w:rPr>
        <w:t>Mgmt.</w:t>
      </w:r>
      <w:r>
        <w:rPr>
          <w:rFonts w:ascii="Arial"/>
          <w:i/>
          <w:color w:val="484649"/>
          <w:spacing w:val="-3"/>
          <w:sz w:val="16"/>
        </w:rPr>
        <w:t> </w:t>
      </w:r>
      <w:r>
        <w:rPr>
          <w:rFonts w:ascii="Arial"/>
          <w:i/>
          <w:color w:val="383638"/>
          <w:sz w:val="16"/>
        </w:rPr>
        <w:t>AS&lt;'IIC)</w:t>
      </w:r>
      <w:r>
        <w:rPr>
          <w:rFonts w:ascii="Arial"/>
          <w:i/>
          <w:color w:val="626264"/>
          <w:sz w:val="16"/>
        </w:rPr>
        <w:t>'</w:t>
      </w:r>
      <w:r>
        <w:rPr>
          <w:rFonts w:ascii="Arial"/>
          <w:i/>
          <w:color w:val="484649"/>
          <w:sz w:val="16"/>
        </w:rPr>
        <w:t>,</w:t>
      </w:r>
    </w:p>
    <w:p>
      <w:pPr>
        <w:spacing w:line="194" w:lineRule="exact" w:before="0"/>
        <w:ind w:left="119" w:right="0" w:firstLine="0"/>
        <w:jc w:val="both"/>
        <w:rPr>
          <w:sz w:val="17"/>
        </w:rPr>
      </w:pPr>
      <w:r>
        <w:rPr>
          <w:color w:val="383638"/>
          <w:w w:val="105"/>
          <w:sz w:val="17"/>
        </w:rPr>
        <w:t>698  </w:t>
      </w:r>
      <w:r>
        <w:rPr>
          <w:color w:val="383638"/>
          <w:spacing w:val="26"/>
          <w:w w:val="105"/>
          <w:sz w:val="17"/>
        </w:rPr>
        <w:t> </w:t>
      </w:r>
      <w:r>
        <w:rPr>
          <w:color w:val="484649"/>
          <w:w w:val="105"/>
          <w:sz w:val="17"/>
        </w:rPr>
        <w:t>F</w:t>
      </w:r>
      <w:r>
        <w:rPr>
          <w:color w:val="626264"/>
          <w:w w:val="105"/>
          <w:sz w:val="17"/>
        </w:rPr>
        <w:t>.</w:t>
      </w:r>
      <w:r>
        <w:rPr>
          <w:color w:val="484649"/>
          <w:w w:val="105"/>
          <w:sz w:val="17"/>
        </w:rPr>
        <w:t>3d</w:t>
      </w:r>
      <w:r>
        <w:rPr>
          <w:color w:val="484649"/>
          <w:spacing w:val="30"/>
          <w:w w:val="105"/>
          <w:sz w:val="17"/>
        </w:rPr>
        <w:t> </w:t>
      </w:r>
      <w:r>
        <w:rPr>
          <w:color w:val="383638"/>
          <w:w w:val="105"/>
          <w:sz w:val="17"/>
        </w:rPr>
        <w:t>1079</w:t>
      </w:r>
      <w:r>
        <w:rPr>
          <w:color w:val="626264"/>
          <w:w w:val="105"/>
          <w:sz w:val="17"/>
        </w:rPr>
        <w:t>,</w:t>
      </w:r>
      <w:r>
        <w:rPr>
          <w:color w:val="626264"/>
          <w:spacing w:val="22"/>
          <w:w w:val="105"/>
          <w:sz w:val="17"/>
        </w:rPr>
        <w:t> </w:t>
      </w:r>
      <w:r>
        <w:rPr>
          <w:color w:val="484649"/>
          <w:w w:val="105"/>
          <w:sz w:val="17"/>
        </w:rPr>
        <w:t>1083</w:t>
      </w:r>
      <w:r>
        <w:rPr>
          <w:color w:val="484649"/>
          <w:spacing w:val="-11"/>
          <w:w w:val="105"/>
          <w:sz w:val="17"/>
        </w:rPr>
        <w:t> </w:t>
      </w:r>
      <w:r>
        <w:rPr>
          <w:color w:val="484649"/>
          <w:w w:val="105"/>
          <w:sz w:val="17"/>
        </w:rPr>
        <w:t>(8th</w:t>
      </w:r>
      <w:r>
        <w:rPr>
          <w:color w:val="484649"/>
          <w:spacing w:val="22"/>
          <w:w w:val="105"/>
          <w:sz w:val="17"/>
        </w:rPr>
        <w:t> </w:t>
      </w:r>
      <w:r>
        <w:rPr>
          <w:color w:val="626264"/>
          <w:w w:val="105"/>
          <w:sz w:val="17"/>
        </w:rPr>
        <w:t>C</w:t>
      </w:r>
      <w:r>
        <w:rPr>
          <w:color w:val="484649"/>
          <w:w w:val="105"/>
          <w:sz w:val="17"/>
        </w:rPr>
        <w:t>ir</w:t>
      </w:r>
      <w:r>
        <w:rPr>
          <w:color w:val="626264"/>
          <w:w w:val="105"/>
          <w:sz w:val="17"/>
        </w:rPr>
        <w:t>.</w:t>
      </w:r>
      <w:r>
        <w:rPr>
          <w:color w:val="626264"/>
          <w:spacing w:val="18"/>
          <w:w w:val="105"/>
          <w:sz w:val="17"/>
        </w:rPr>
        <w:t> </w:t>
      </w:r>
      <w:r>
        <w:rPr>
          <w:color w:val="484649"/>
          <w:w w:val="105"/>
          <w:sz w:val="17"/>
        </w:rPr>
        <w:t>2012).</w:t>
      </w:r>
    </w:p>
    <w:p>
      <w:pPr>
        <w:spacing w:line="230" w:lineRule="auto" w:before="13"/>
        <w:ind w:left="120" w:right="103" w:firstLine="379"/>
        <w:jc w:val="both"/>
        <w:rPr>
          <w:sz w:val="17"/>
        </w:rPr>
      </w:pPr>
      <w:r>
        <w:rPr>
          <w:rFonts w:ascii="Arial" w:hAnsi="Arial"/>
          <w:color w:val="484649"/>
          <w:spacing w:val="-1"/>
          <w:w w:val="110"/>
          <w:sz w:val="16"/>
          <w:vertAlign w:val="superscript"/>
        </w:rPr>
        <w:t>2</w:t>
      </w:r>
      <w:r>
        <w:rPr>
          <w:rFonts w:ascii="Arial" w:hAnsi="Arial"/>
          <w:color w:val="484649"/>
          <w:spacing w:val="-1"/>
          <w:w w:val="110"/>
          <w:sz w:val="10"/>
          <w:vertAlign w:val="baseline"/>
        </w:rPr>
        <w:t>' </w:t>
      </w:r>
      <w:r>
        <w:rPr>
          <w:rFonts w:ascii="Arial" w:hAnsi="Arial"/>
          <w:i/>
          <w:color w:val="484649"/>
          <w:spacing w:val="-1"/>
          <w:w w:val="110"/>
          <w:sz w:val="16"/>
          <w:vertAlign w:val="baseline"/>
        </w:rPr>
        <w:t>Seeg</w:t>
      </w:r>
      <w:r>
        <w:rPr>
          <w:rFonts w:ascii="Arial" w:hAnsi="Arial"/>
          <w:i/>
          <w:color w:val="626264"/>
          <w:spacing w:val="-1"/>
          <w:w w:val="110"/>
          <w:sz w:val="16"/>
          <w:vertAlign w:val="baseline"/>
        </w:rPr>
        <w:t>e</w:t>
      </w:r>
      <w:r>
        <w:rPr>
          <w:rFonts w:ascii="Arial" w:hAnsi="Arial"/>
          <w:i/>
          <w:color w:val="383638"/>
          <w:spacing w:val="-1"/>
          <w:w w:val="110"/>
          <w:sz w:val="16"/>
          <w:vertAlign w:val="baseline"/>
        </w:rPr>
        <w:t>nerally </w:t>
      </w:r>
      <w:r>
        <w:rPr>
          <w:rFonts w:ascii="Arial" w:hAnsi="Arial"/>
          <w:i/>
          <w:color w:val="484649"/>
          <w:spacing w:val="-1"/>
          <w:w w:val="110"/>
          <w:sz w:val="16"/>
          <w:vertAlign w:val="baseline"/>
        </w:rPr>
        <w:t>Cooper </w:t>
      </w:r>
      <w:r>
        <w:rPr>
          <w:rFonts w:ascii="Arial" w:hAnsi="Arial"/>
          <w:i/>
          <w:color w:val="383638"/>
          <w:spacing w:val="-1"/>
          <w:w w:val="110"/>
          <w:sz w:val="16"/>
          <w:vertAlign w:val="baseline"/>
        </w:rPr>
        <w:t>lmllLS</w:t>
      </w:r>
      <w:r>
        <w:rPr>
          <w:rFonts w:ascii="Arial" w:hAnsi="Arial"/>
          <w:i/>
          <w:color w:val="626264"/>
          <w:spacing w:val="-1"/>
          <w:w w:val="110"/>
          <w:sz w:val="16"/>
          <w:vertAlign w:val="baseline"/>
        </w:rPr>
        <w:t>.</w:t>
      </w:r>
      <w:r>
        <w:rPr>
          <w:rFonts w:ascii="Arial" w:hAnsi="Arial"/>
          <w:i/>
          <w:color w:val="484649"/>
          <w:spacing w:val="-1"/>
          <w:w w:val="110"/>
          <w:sz w:val="16"/>
          <w:vertAlign w:val="baseline"/>
        </w:rPr>
        <w:t>, </w:t>
      </w:r>
      <w:r>
        <w:rPr>
          <w:color w:val="484649"/>
          <w:w w:val="110"/>
          <w:sz w:val="17"/>
          <w:vertAlign w:val="baseline"/>
        </w:rPr>
        <w:t>532</w:t>
      </w:r>
      <w:r>
        <w:rPr>
          <w:color w:val="484649"/>
          <w:spacing w:val="1"/>
          <w:w w:val="110"/>
          <w:sz w:val="17"/>
          <w:vertAlign w:val="baseline"/>
        </w:rPr>
        <w:t> </w:t>
      </w:r>
      <w:r>
        <w:rPr>
          <w:color w:val="484649"/>
          <w:w w:val="110"/>
          <w:sz w:val="17"/>
          <w:vertAlign w:val="baseline"/>
        </w:rPr>
        <w:t>U</w:t>
      </w:r>
      <w:r>
        <w:rPr>
          <w:color w:val="626264"/>
          <w:w w:val="110"/>
          <w:sz w:val="17"/>
          <w:vertAlign w:val="baseline"/>
        </w:rPr>
        <w:t>.</w:t>
      </w:r>
      <w:r>
        <w:rPr>
          <w:color w:val="383638"/>
          <w:w w:val="110"/>
          <w:sz w:val="17"/>
          <w:vertAlign w:val="baseline"/>
        </w:rPr>
        <w:t>S</w:t>
      </w:r>
      <w:r>
        <w:rPr>
          <w:color w:val="626264"/>
          <w:w w:val="110"/>
          <w:sz w:val="17"/>
          <w:vertAlign w:val="baseline"/>
        </w:rPr>
        <w:t>. </w:t>
      </w:r>
      <w:r>
        <w:rPr>
          <w:color w:val="484649"/>
          <w:w w:val="110"/>
          <w:sz w:val="17"/>
          <w:vertAlign w:val="baseline"/>
        </w:rPr>
        <w:t>at 434 (noting </w:t>
      </w:r>
      <w:r>
        <w:rPr>
          <w:color w:val="383638"/>
          <w:w w:val="110"/>
          <w:sz w:val="17"/>
          <w:vertAlign w:val="baseline"/>
        </w:rPr>
        <w:t>th</w:t>
      </w:r>
      <w:r>
        <w:rPr>
          <w:color w:val="626264"/>
          <w:w w:val="110"/>
          <w:sz w:val="17"/>
          <w:vertAlign w:val="baseline"/>
        </w:rPr>
        <w:t>a</w:t>
      </w:r>
      <w:r>
        <w:rPr>
          <w:color w:val="383638"/>
          <w:w w:val="110"/>
          <w:sz w:val="17"/>
          <w:vertAlign w:val="baseline"/>
        </w:rPr>
        <w:t>t </w:t>
      </w:r>
      <w:r>
        <w:rPr>
          <w:color w:val="626264"/>
          <w:w w:val="110"/>
          <w:sz w:val="17"/>
          <w:vertAlign w:val="baseline"/>
        </w:rPr>
        <w:t>c</w:t>
      </w:r>
      <w:r>
        <w:rPr>
          <w:color w:val="484649"/>
          <w:w w:val="110"/>
          <w:sz w:val="17"/>
          <w:vertAlign w:val="baseline"/>
        </w:rPr>
        <w:t>ourt </w:t>
      </w:r>
      <w:r>
        <w:rPr>
          <w:color w:val="383638"/>
          <w:w w:val="110"/>
          <w:sz w:val="17"/>
          <w:vertAlign w:val="baseline"/>
        </w:rPr>
        <w:t>below </w:t>
      </w:r>
      <w:r>
        <w:rPr>
          <w:color w:val="484649"/>
          <w:w w:val="110"/>
          <w:sz w:val="17"/>
          <w:vertAlign w:val="baseline"/>
        </w:rPr>
        <w:t>erred when appl</w:t>
      </w:r>
      <w:r>
        <w:rPr>
          <w:color w:val="626264"/>
          <w:w w:val="110"/>
          <w:sz w:val="17"/>
          <w:vertAlign w:val="baseline"/>
        </w:rPr>
        <w:t>y</w:t>
      </w:r>
      <w:r>
        <w:rPr>
          <w:color w:val="383638"/>
          <w:w w:val="110"/>
          <w:sz w:val="17"/>
          <w:vertAlign w:val="baseline"/>
        </w:rPr>
        <w:t>ing </w:t>
      </w:r>
      <w:r>
        <w:rPr>
          <w:color w:val="484649"/>
          <w:w w:val="110"/>
          <w:sz w:val="17"/>
          <w:vertAlign w:val="baseline"/>
        </w:rPr>
        <w:t>an</w:t>
      </w:r>
      <w:r>
        <w:rPr>
          <w:color w:val="484649"/>
          <w:spacing w:val="1"/>
          <w:w w:val="110"/>
          <w:sz w:val="17"/>
          <w:vertAlign w:val="baseline"/>
        </w:rPr>
        <w:t> </w:t>
      </w:r>
      <w:r>
        <w:rPr>
          <w:color w:val="484649"/>
          <w:w w:val="115"/>
          <w:sz w:val="17"/>
          <w:vertAlign w:val="baseline"/>
        </w:rPr>
        <w:t>abuse </w:t>
      </w:r>
      <w:r>
        <w:rPr>
          <w:color w:val="383638"/>
          <w:w w:val="115"/>
          <w:sz w:val="17"/>
          <w:vertAlign w:val="baseline"/>
        </w:rPr>
        <w:t>of d</w:t>
      </w:r>
      <w:r>
        <w:rPr>
          <w:color w:val="626264"/>
          <w:w w:val="115"/>
          <w:sz w:val="17"/>
          <w:vertAlign w:val="baseline"/>
        </w:rPr>
        <w:t>i</w:t>
      </w:r>
      <w:r>
        <w:rPr>
          <w:color w:val="484649"/>
          <w:w w:val="115"/>
          <w:sz w:val="17"/>
          <w:vertAlign w:val="baseline"/>
        </w:rPr>
        <w:t>scretion standard </w:t>
      </w:r>
      <w:r>
        <w:rPr>
          <w:color w:val="383638"/>
          <w:w w:val="115"/>
          <w:sz w:val="17"/>
          <w:vertAlign w:val="baseline"/>
        </w:rPr>
        <w:t>rather </w:t>
      </w:r>
      <w:r>
        <w:rPr>
          <w:color w:val="484649"/>
          <w:w w:val="115"/>
          <w:sz w:val="17"/>
          <w:vertAlign w:val="baseline"/>
        </w:rPr>
        <w:t>than </w:t>
      </w:r>
      <w:r>
        <w:rPr>
          <w:color w:val="383638"/>
          <w:w w:val="115"/>
          <w:sz w:val="17"/>
          <w:vertAlign w:val="baseline"/>
        </w:rPr>
        <w:t>the de </w:t>
      </w:r>
      <w:r>
        <w:rPr>
          <w:color w:val="484649"/>
          <w:w w:val="115"/>
          <w:sz w:val="17"/>
          <w:vertAlign w:val="baseline"/>
        </w:rPr>
        <w:t>novo standard); </w:t>
      </w:r>
      <w:r>
        <w:rPr>
          <w:i/>
          <w:color w:val="484649"/>
          <w:w w:val="115"/>
          <w:sz w:val="18"/>
          <w:vertAlign w:val="baseline"/>
        </w:rPr>
        <w:t>Ornelas, </w:t>
      </w:r>
      <w:r>
        <w:rPr>
          <w:color w:val="484649"/>
          <w:w w:val="115"/>
          <w:sz w:val="17"/>
          <w:vertAlign w:val="baseline"/>
        </w:rPr>
        <w:t>517</w:t>
      </w:r>
      <w:r>
        <w:rPr>
          <w:color w:val="484649"/>
          <w:spacing w:val="1"/>
          <w:w w:val="115"/>
          <w:sz w:val="17"/>
          <w:vertAlign w:val="baseline"/>
        </w:rPr>
        <w:t> </w:t>
      </w:r>
      <w:r>
        <w:rPr>
          <w:color w:val="383638"/>
          <w:w w:val="115"/>
          <w:sz w:val="17"/>
          <w:vertAlign w:val="baseline"/>
        </w:rPr>
        <w:t>U.S. at 698-99 (not•</w:t>
      </w:r>
      <w:r>
        <w:rPr>
          <w:color w:val="383638"/>
          <w:spacing w:val="1"/>
          <w:w w:val="115"/>
          <w:sz w:val="17"/>
          <w:vertAlign w:val="baseline"/>
        </w:rPr>
        <w:t> </w:t>
      </w:r>
      <w:r>
        <w:rPr>
          <w:color w:val="484649"/>
          <w:w w:val="115"/>
          <w:sz w:val="17"/>
          <w:vertAlign w:val="baseline"/>
        </w:rPr>
        <w:t>Ing</w:t>
      </w:r>
      <w:r>
        <w:rPr>
          <w:color w:val="484649"/>
          <w:spacing w:val="-23"/>
          <w:w w:val="115"/>
          <w:sz w:val="17"/>
          <w:vertAlign w:val="baseline"/>
        </w:rPr>
        <w:t> </w:t>
      </w:r>
      <w:r>
        <w:rPr>
          <w:color w:val="383638"/>
          <w:w w:val="115"/>
          <w:sz w:val="17"/>
          <w:vertAlign w:val="baseline"/>
        </w:rPr>
        <w:t>that</w:t>
      </w:r>
      <w:r>
        <w:rPr>
          <w:color w:val="383638"/>
          <w:spacing w:val="-7"/>
          <w:w w:val="115"/>
          <w:sz w:val="17"/>
          <w:vertAlign w:val="baseline"/>
        </w:rPr>
        <w:t> </w:t>
      </w:r>
      <w:r>
        <w:rPr>
          <w:color w:val="484649"/>
          <w:w w:val="115"/>
          <w:sz w:val="17"/>
          <w:vertAlign w:val="baseline"/>
        </w:rPr>
        <w:t>court</w:t>
      </w:r>
      <w:r>
        <w:rPr>
          <w:color w:val="484649"/>
          <w:spacing w:val="3"/>
          <w:w w:val="115"/>
          <w:sz w:val="17"/>
          <w:vertAlign w:val="baseline"/>
        </w:rPr>
        <w:t> </w:t>
      </w:r>
      <w:r>
        <w:rPr>
          <w:color w:val="383638"/>
          <w:w w:val="115"/>
          <w:sz w:val="17"/>
          <w:vertAlign w:val="baseline"/>
        </w:rPr>
        <w:t>below</w:t>
      </w:r>
      <w:r>
        <w:rPr>
          <w:color w:val="383638"/>
          <w:spacing w:val="4"/>
          <w:w w:val="115"/>
          <w:sz w:val="17"/>
          <w:vertAlign w:val="baseline"/>
        </w:rPr>
        <w:t> </w:t>
      </w:r>
      <w:r>
        <w:rPr>
          <w:color w:val="484649"/>
          <w:w w:val="115"/>
          <w:sz w:val="17"/>
          <w:vertAlign w:val="baseline"/>
        </w:rPr>
        <w:t>erred</w:t>
      </w:r>
      <w:r>
        <w:rPr>
          <w:color w:val="484649"/>
          <w:spacing w:val="2"/>
          <w:w w:val="115"/>
          <w:sz w:val="17"/>
          <w:vertAlign w:val="baseline"/>
        </w:rPr>
        <w:t> </w:t>
      </w:r>
      <w:r>
        <w:rPr>
          <w:color w:val="484649"/>
          <w:w w:val="115"/>
          <w:sz w:val="17"/>
          <w:vertAlign w:val="baseline"/>
        </w:rPr>
        <w:t>when</w:t>
      </w:r>
      <w:r>
        <w:rPr>
          <w:color w:val="484649"/>
          <w:spacing w:val="8"/>
          <w:w w:val="115"/>
          <w:sz w:val="17"/>
          <w:vertAlign w:val="baseline"/>
        </w:rPr>
        <w:t> </w:t>
      </w:r>
      <w:r>
        <w:rPr>
          <w:color w:val="484649"/>
          <w:w w:val="115"/>
          <w:sz w:val="17"/>
          <w:vertAlign w:val="baseline"/>
        </w:rPr>
        <w:t>It</w:t>
      </w:r>
      <w:r>
        <w:rPr>
          <w:color w:val="484649"/>
          <w:spacing w:val="-9"/>
          <w:w w:val="115"/>
          <w:sz w:val="17"/>
          <w:vertAlign w:val="baseline"/>
        </w:rPr>
        <w:t> </w:t>
      </w:r>
      <w:r>
        <w:rPr>
          <w:color w:val="484649"/>
          <w:w w:val="115"/>
          <w:sz w:val="17"/>
          <w:vertAlign w:val="baseline"/>
        </w:rPr>
        <w:t>applied </w:t>
      </w:r>
      <w:r>
        <w:rPr>
          <w:color w:val="383638"/>
          <w:w w:val="115"/>
          <w:sz w:val="17"/>
          <w:vertAlign w:val="baseline"/>
        </w:rPr>
        <w:t>a</w:t>
      </w:r>
      <w:r>
        <w:rPr>
          <w:color w:val="383638"/>
          <w:spacing w:val="2"/>
          <w:w w:val="115"/>
          <w:sz w:val="17"/>
          <w:vertAlign w:val="baseline"/>
        </w:rPr>
        <w:t> </w:t>
      </w:r>
      <w:r>
        <w:rPr>
          <w:color w:val="383638"/>
          <w:w w:val="115"/>
          <w:sz w:val="17"/>
          <w:vertAlign w:val="baseline"/>
        </w:rPr>
        <w:t>deferential</w:t>
      </w:r>
      <w:r>
        <w:rPr>
          <w:color w:val="383638"/>
          <w:spacing w:val="4"/>
          <w:w w:val="115"/>
          <w:sz w:val="17"/>
          <w:vertAlign w:val="baseline"/>
        </w:rPr>
        <w:t> </w:t>
      </w:r>
      <w:r>
        <w:rPr>
          <w:color w:val="484649"/>
          <w:w w:val="115"/>
          <w:sz w:val="17"/>
          <w:vertAlign w:val="baseline"/>
        </w:rPr>
        <w:t>app</w:t>
      </w:r>
      <w:r>
        <w:rPr>
          <w:color w:val="626264"/>
          <w:w w:val="115"/>
          <w:sz w:val="17"/>
          <w:vertAlign w:val="baseline"/>
        </w:rPr>
        <w:t>e</w:t>
      </w:r>
      <w:r>
        <w:rPr>
          <w:color w:val="383638"/>
          <w:w w:val="115"/>
          <w:sz w:val="17"/>
          <w:vertAlign w:val="baseline"/>
        </w:rPr>
        <w:t>llate</w:t>
      </w:r>
      <w:r>
        <w:rPr>
          <w:color w:val="383638"/>
          <w:spacing w:val="10"/>
          <w:w w:val="115"/>
          <w:sz w:val="17"/>
          <w:vertAlign w:val="baseline"/>
        </w:rPr>
        <w:t> </w:t>
      </w:r>
      <w:r>
        <w:rPr>
          <w:color w:val="484649"/>
          <w:w w:val="115"/>
          <w:sz w:val="17"/>
          <w:vertAlign w:val="baseline"/>
        </w:rPr>
        <w:t>standard</w:t>
      </w:r>
      <w:r>
        <w:rPr>
          <w:color w:val="484649"/>
          <w:spacing w:val="-1"/>
          <w:w w:val="115"/>
          <w:sz w:val="17"/>
          <w:vertAlign w:val="baseline"/>
        </w:rPr>
        <w:t> </w:t>
      </w:r>
      <w:r>
        <w:rPr>
          <w:color w:val="484649"/>
          <w:w w:val="115"/>
          <w:sz w:val="17"/>
          <w:vertAlign w:val="baseline"/>
        </w:rPr>
        <w:t>of</w:t>
      </w:r>
      <w:r>
        <w:rPr>
          <w:color w:val="484649"/>
          <w:spacing w:val="-2"/>
          <w:w w:val="115"/>
          <w:sz w:val="17"/>
          <w:vertAlign w:val="baseline"/>
        </w:rPr>
        <w:t> </w:t>
      </w:r>
      <w:r>
        <w:rPr>
          <w:color w:val="383638"/>
          <w:w w:val="115"/>
          <w:sz w:val="17"/>
          <w:vertAlign w:val="baseline"/>
        </w:rPr>
        <w:t>r</w:t>
      </w:r>
      <w:r>
        <w:rPr>
          <w:color w:val="626264"/>
          <w:w w:val="115"/>
          <w:sz w:val="17"/>
          <w:vertAlign w:val="baseline"/>
        </w:rPr>
        <w:t>e</w:t>
      </w:r>
      <w:r>
        <w:rPr>
          <w:color w:val="484649"/>
          <w:w w:val="115"/>
          <w:sz w:val="17"/>
          <w:vertAlign w:val="baseline"/>
        </w:rPr>
        <w:t>view).</w:t>
      </w:r>
    </w:p>
    <w:p>
      <w:pPr>
        <w:spacing w:after="0" w:line="230" w:lineRule="auto"/>
        <w:jc w:val="both"/>
        <w:rPr>
          <w:sz w:val="17"/>
        </w:rPr>
        <w:sectPr>
          <w:pgSz w:w="9640" w:h="13770"/>
          <w:pgMar w:header="540" w:footer="0" w:top="740" w:bottom="280" w:left="500" w:right="1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32" w:lineRule="auto"/>
        <w:ind w:left="2055" w:right="99"/>
        <w:jc w:val="both"/>
      </w:pPr>
      <w:r>
        <w:rPr>
          <w:color w:val="3B3A3B"/>
          <w:w w:val="110"/>
        </w:rPr>
        <w:t>case. In addition to conducting primary research, you may find second­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ary sources helpful. Many practice manuals are geared to attorneys who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practice within the courts of a specific jurisdiction; some of these manu­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als address appellate standards of review as they apply to particular legal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issues.zs</w:t>
      </w:r>
    </w:p>
    <w:p>
      <w:pPr>
        <w:pStyle w:val="BodyText"/>
        <w:spacing w:line="232" w:lineRule="auto" w:before="18"/>
        <w:ind w:left="2065" w:right="106" w:firstLine="382"/>
        <w:jc w:val="both"/>
      </w:pPr>
      <w:r>
        <w:rPr>
          <w:color w:val="3B3A3B"/>
          <w:spacing w:val="-1"/>
          <w:w w:val="110"/>
        </w:rPr>
        <w:t>Although </w:t>
      </w:r>
      <w:r>
        <w:rPr>
          <w:color w:val="3B3A3B"/>
          <w:w w:val="110"/>
        </w:rPr>
        <w:t>the appellate standard of review is usually not controversial,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15"/>
        </w:rPr>
        <w:t>at times it is at the heart of the appellate decision.</w:t>
      </w:r>
      <w:r>
        <w:rPr>
          <w:color w:val="3B3A3B"/>
          <w:w w:val="115"/>
          <w:vertAlign w:val="superscript"/>
        </w:rPr>
        <w:t>29</w:t>
      </w:r>
      <w:r>
        <w:rPr>
          <w:color w:val="3B3A3B"/>
          <w:w w:val="115"/>
          <w:vertAlign w:val="baseline"/>
        </w:rPr>
        <w:t> If the</w:t>
      </w:r>
      <w:r>
        <w:rPr>
          <w:color w:val="3B3A3B"/>
          <w:spacing w:val="1"/>
          <w:w w:val="115"/>
          <w:vertAlign w:val="baseline"/>
        </w:rPr>
        <w:t> </w:t>
      </w:r>
      <w:r>
        <w:rPr>
          <w:color w:val="3B3A3B"/>
          <w:w w:val="115"/>
          <w:vertAlign w:val="baseline"/>
        </w:rPr>
        <w:t>standard of</w:t>
      </w:r>
      <w:r>
        <w:rPr>
          <w:color w:val="3B3A3B"/>
          <w:spacing w:val="1"/>
          <w:w w:val="115"/>
          <w:vertAlign w:val="baseline"/>
        </w:rPr>
        <w:t> </w:t>
      </w:r>
      <w:r>
        <w:rPr>
          <w:color w:val="3B3A3B"/>
          <w:w w:val="110"/>
          <w:vertAlign w:val="baseline"/>
        </w:rPr>
        <w:t>review</w:t>
      </w:r>
      <w:r>
        <w:rPr>
          <w:color w:val="3B3A3B"/>
          <w:spacing w:val="-14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in</w:t>
      </w:r>
      <w:r>
        <w:rPr>
          <w:color w:val="3B3A3B"/>
          <w:spacing w:val="10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your</w:t>
      </w:r>
      <w:r>
        <w:rPr>
          <w:color w:val="3B3A3B"/>
          <w:spacing w:val="-12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case</w:t>
      </w:r>
      <w:r>
        <w:rPr>
          <w:color w:val="3B3A3B"/>
          <w:spacing w:val="-20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is</w:t>
      </w:r>
      <w:r>
        <w:rPr>
          <w:color w:val="3B3A3B"/>
          <w:spacing w:val="-14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de</w:t>
      </w:r>
      <w:r>
        <w:rPr>
          <w:color w:val="3B3A3B"/>
          <w:spacing w:val="12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nova,</w:t>
      </w:r>
      <w:r>
        <w:rPr>
          <w:color w:val="3B3A3B"/>
          <w:spacing w:val="-15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it</w:t>
      </w:r>
      <w:r>
        <w:rPr>
          <w:color w:val="3B3A3B"/>
          <w:spacing w:val="-1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will</w:t>
      </w:r>
      <w:r>
        <w:rPr>
          <w:color w:val="3B3A3B"/>
          <w:spacing w:val="-23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have</w:t>
      </w:r>
      <w:r>
        <w:rPr>
          <w:color w:val="3B3A3B"/>
          <w:spacing w:val="-21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almost</w:t>
      </w:r>
      <w:r>
        <w:rPr>
          <w:color w:val="3B3A3B"/>
          <w:spacing w:val="7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no</w:t>
      </w:r>
      <w:r>
        <w:rPr>
          <w:color w:val="3B3A3B"/>
          <w:spacing w:val="-1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impact</w:t>
      </w:r>
      <w:r>
        <w:rPr>
          <w:color w:val="3B3A3B"/>
          <w:spacing w:val="-18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on</w:t>
      </w:r>
      <w:r>
        <w:rPr>
          <w:color w:val="3B3A3B"/>
          <w:spacing w:val="16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your</w:t>
      </w:r>
      <w:r>
        <w:rPr>
          <w:color w:val="3B3A3B"/>
          <w:spacing w:val="-23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argu­</w:t>
      </w:r>
      <w:r>
        <w:rPr>
          <w:color w:val="3B3A3B"/>
          <w:spacing w:val="-61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ment. You will address the standard of review-either in the introductory</w:t>
      </w:r>
      <w:r>
        <w:rPr>
          <w:color w:val="3B3A3B"/>
          <w:spacing w:val="1"/>
          <w:w w:val="110"/>
          <w:vertAlign w:val="baseline"/>
        </w:rPr>
        <w:t> </w:t>
      </w:r>
      <w:r>
        <w:rPr>
          <w:color w:val="3B3A3B"/>
          <w:spacing w:val="-1"/>
          <w:w w:val="115"/>
          <w:vertAlign w:val="baseline"/>
        </w:rPr>
        <w:t>section</w:t>
      </w:r>
      <w:r>
        <w:rPr>
          <w:color w:val="3B3A3B"/>
          <w:spacing w:val="-16"/>
          <w:w w:val="115"/>
          <w:vertAlign w:val="baseline"/>
        </w:rPr>
        <w:t> </w:t>
      </w:r>
      <w:r>
        <w:rPr>
          <w:color w:val="3B3A3B"/>
          <w:spacing w:val="-1"/>
          <w:w w:val="115"/>
          <w:vertAlign w:val="baseline"/>
        </w:rPr>
        <w:t>or</w:t>
      </w:r>
      <w:r>
        <w:rPr>
          <w:color w:val="3B3A3B"/>
          <w:spacing w:val="-16"/>
          <w:w w:val="115"/>
          <w:vertAlign w:val="baseline"/>
        </w:rPr>
        <w:t> </w:t>
      </w:r>
      <w:r>
        <w:rPr>
          <w:color w:val="3B3A3B"/>
          <w:spacing w:val="-1"/>
          <w:w w:val="115"/>
          <w:vertAlign w:val="baseline"/>
        </w:rPr>
        <w:t>in</w:t>
      </w:r>
      <w:r>
        <w:rPr>
          <w:color w:val="3B3A3B"/>
          <w:spacing w:val="6"/>
          <w:w w:val="115"/>
          <w:vertAlign w:val="baseline"/>
        </w:rPr>
        <w:t> </w:t>
      </w:r>
      <w:r>
        <w:rPr>
          <w:color w:val="3B3A3B"/>
          <w:spacing w:val="-1"/>
          <w:w w:val="115"/>
          <w:vertAlign w:val="baseline"/>
        </w:rPr>
        <w:t>a</w:t>
      </w:r>
      <w:r>
        <w:rPr>
          <w:color w:val="3B3A3B"/>
          <w:spacing w:val="-15"/>
          <w:w w:val="115"/>
          <w:vertAlign w:val="baseline"/>
        </w:rPr>
        <w:t> </w:t>
      </w:r>
      <w:r>
        <w:rPr>
          <w:color w:val="3B3A3B"/>
          <w:spacing w:val="-1"/>
          <w:w w:val="115"/>
          <w:vertAlign w:val="baseline"/>
        </w:rPr>
        <w:t>separate,</w:t>
      </w:r>
      <w:r>
        <w:rPr>
          <w:color w:val="3B3A3B"/>
          <w:spacing w:val="-14"/>
          <w:w w:val="115"/>
          <w:vertAlign w:val="baseline"/>
        </w:rPr>
        <w:t> </w:t>
      </w:r>
      <w:r>
        <w:rPr>
          <w:color w:val="3B3A3B"/>
          <w:spacing w:val="-1"/>
          <w:w w:val="115"/>
          <w:vertAlign w:val="baseline"/>
        </w:rPr>
        <w:t>labeled</w:t>
      </w:r>
      <w:r>
        <w:rPr>
          <w:color w:val="3B3A3B"/>
          <w:spacing w:val="-16"/>
          <w:w w:val="115"/>
          <w:vertAlign w:val="baseline"/>
        </w:rPr>
        <w:t> </w:t>
      </w:r>
      <w:r>
        <w:rPr>
          <w:color w:val="3B3A3B"/>
          <w:spacing w:val="-1"/>
          <w:w w:val="115"/>
          <w:vertAlign w:val="baseline"/>
        </w:rPr>
        <w:t>section</w:t>
      </w:r>
      <w:r>
        <w:rPr>
          <w:color w:val="595959"/>
          <w:spacing w:val="-1"/>
          <w:w w:val="115"/>
          <w:vertAlign w:val="baseline"/>
        </w:rPr>
        <w:t>-</w:t>
      </w:r>
      <w:r>
        <w:rPr>
          <w:color w:val="3B3A3B"/>
          <w:spacing w:val="-1"/>
          <w:w w:val="115"/>
          <w:vertAlign w:val="baseline"/>
        </w:rPr>
        <w:t>and</w:t>
      </w:r>
      <w:r>
        <w:rPr>
          <w:color w:val="3B3A3B"/>
          <w:spacing w:val="3"/>
          <w:w w:val="115"/>
          <w:vertAlign w:val="baseline"/>
        </w:rPr>
        <w:t> </w:t>
      </w:r>
      <w:r>
        <w:rPr>
          <w:color w:val="3B3A3B"/>
          <w:w w:val="115"/>
          <w:vertAlign w:val="baseline"/>
        </w:rPr>
        <w:t>then</w:t>
      </w:r>
      <w:r>
        <w:rPr>
          <w:color w:val="3B3A3B"/>
          <w:spacing w:val="-3"/>
          <w:w w:val="115"/>
          <w:vertAlign w:val="baseline"/>
        </w:rPr>
        <w:t> </w:t>
      </w:r>
      <w:r>
        <w:rPr>
          <w:color w:val="3B3A3B"/>
          <w:w w:val="115"/>
          <w:vertAlign w:val="baseline"/>
        </w:rPr>
        <w:t>you</w:t>
      </w:r>
      <w:r>
        <w:rPr>
          <w:color w:val="3B3A3B"/>
          <w:spacing w:val="-15"/>
          <w:w w:val="115"/>
          <w:vertAlign w:val="baseline"/>
        </w:rPr>
        <w:t> </w:t>
      </w:r>
      <w:r>
        <w:rPr>
          <w:color w:val="3B3A3B"/>
          <w:w w:val="115"/>
          <w:vertAlign w:val="baseline"/>
        </w:rPr>
        <w:t>will</w:t>
      </w:r>
      <w:r>
        <w:rPr>
          <w:color w:val="3B3A3B"/>
          <w:spacing w:val="-19"/>
          <w:w w:val="115"/>
          <w:vertAlign w:val="baseline"/>
        </w:rPr>
        <w:t> </w:t>
      </w:r>
      <w:r>
        <w:rPr>
          <w:color w:val="3B3A3B"/>
          <w:w w:val="115"/>
          <w:vertAlign w:val="baseline"/>
        </w:rPr>
        <w:t>spend</w:t>
      </w:r>
      <w:r>
        <w:rPr>
          <w:color w:val="3B3A3B"/>
          <w:spacing w:val="-10"/>
          <w:w w:val="115"/>
          <w:vertAlign w:val="baseline"/>
        </w:rPr>
        <w:t> </w:t>
      </w:r>
      <w:r>
        <w:rPr>
          <w:color w:val="3B3A3B"/>
          <w:w w:val="115"/>
          <w:vertAlign w:val="baseline"/>
        </w:rPr>
        <w:t>the</w:t>
      </w:r>
      <w:r>
        <w:rPr>
          <w:color w:val="3B3A3B"/>
          <w:spacing w:val="12"/>
          <w:w w:val="115"/>
          <w:vertAlign w:val="baseline"/>
        </w:rPr>
        <w:t> </w:t>
      </w:r>
      <w:r>
        <w:rPr>
          <w:color w:val="3B3A3B"/>
          <w:w w:val="115"/>
          <w:vertAlign w:val="baseline"/>
        </w:rPr>
        <w:t>rest</w:t>
      </w:r>
      <w:r>
        <w:rPr>
          <w:color w:val="3B3A3B"/>
          <w:spacing w:val="-64"/>
          <w:w w:val="115"/>
          <w:vertAlign w:val="baseline"/>
        </w:rPr>
        <w:t> </w:t>
      </w:r>
      <w:r>
        <w:rPr>
          <w:color w:val="3B3A3B"/>
          <w:w w:val="110"/>
          <w:vertAlign w:val="baseline"/>
        </w:rPr>
        <w:t>of the argument discussing the appropriate legal standards and how the</w:t>
      </w:r>
      <w:r>
        <w:rPr>
          <w:color w:val="3B3A3B"/>
          <w:spacing w:val="1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appellate</w:t>
      </w:r>
      <w:r>
        <w:rPr>
          <w:color w:val="3B3A3B"/>
          <w:spacing w:val="-2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court</w:t>
      </w:r>
      <w:r>
        <w:rPr>
          <w:color w:val="3B3A3B"/>
          <w:spacing w:val="-18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should</w:t>
      </w:r>
      <w:r>
        <w:rPr>
          <w:color w:val="3B3A3B"/>
          <w:spacing w:val="1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apply</w:t>
      </w:r>
      <w:r>
        <w:rPr>
          <w:color w:val="3B3A3B"/>
          <w:spacing w:val="2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those</w:t>
      </w:r>
      <w:r>
        <w:rPr>
          <w:color w:val="3B3A3B"/>
          <w:spacing w:val="-15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standards.</w:t>
      </w:r>
    </w:p>
    <w:p>
      <w:pPr>
        <w:pStyle w:val="BodyText"/>
        <w:spacing w:line="232" w:lineRule="auto" w:before="6"/>
        <w:ind w:left="1997" w:right="105" w:firstLine="494"/>
        <w:jc w:val="both"/>
      </w:pPr>
      <w:r>
        <w:rPr>
          <w:color w:val="3B3A3B"/>
          <w:w w:val="110"/>
          <w:sz w:val="22"/>
        </w:rPr>
        <w:t>If </w:t>
      </w:r>
      <w:r>
        <w:rPr>
          <w:color w:val="3B3A3B"/>
          <w:w w:val="110"/>
        </w:rPr>
        <w:t>your case could or should be reviewed under a more deferential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standard, however, that standard will have a significant impact on your</w:t>
      </w:r>
      <w:r>
        <w:rPr>
          <w:color w:val="3B3A3B"/>
          <w:spacing w:val="1"/>
          <w:w w:val="110"/>
        </w:rPr>
        <w:t> </w:t>
      </w:r>
      <w:r>
        <w:rPr>
          <w:color w:val="3B3A3B"/>
          <w:spacing w:val="-1"/>
          <w:w w:val="110"/>
        </w:rPr>
        <w:t>argument. Even if the court you are writing to asks </w:t>
      </w:r>
      <w:r>
        <w:rPr>
          <w:color w:val="3B3A3B"/>
          <w:w w:val="110"/>
        </w:rPr>
        <w:t>for the standard to be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announced in a separate section, you must still incorporate it into your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argument. For example, if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clearly erroneous standard applies, your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argument must identify the particular finding of fact that you assert to be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clearly erroneous, and cite to the record. Then, you must show how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evidence indicates that the finding was clearly erroneous, and show how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erroneous  finding changed  the  outcome  of  the  case. Alternatively,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if you must assert that the judge abused his or her discretion, you must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identify the particular decision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judge made in error, use appropriate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authorities to explain why it was wrong, and specify why and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how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erroneous</w:t>
      </w:r>
      <w:r>
        <w:rPr>
          <w:color w:val="3B3A3B"/>
          <w:spacing w:val="-2"/>
          <w:w w:val="110"/>
        </w:rPr>
        <w:t> </w:t>
      </w:r>
      <w:r>
        <w:rPr>
          <w:color w:val="3B3A3B"/>
          <w:w w:val="110"/>
        </w:rPr>
        <w:t>decision</w:t>
      </w:r>
      <w:r>
        <w:rPr>
          <w:color w:val="3B3A3B"/>
          <w:spacing w:val="2"/>
          <w:w w:val="110"/>
        </w:rPr>
        <w:t> </w:t>
      </w:r>
      <w:r>
        <w:rPr>
          <w:color w:val="3B3A3B"/>
          <w:w w:val="110"/>
        </w:rPr>
        <w:t>changed</w:t>
      </w:r>
      <w:r>
        <w:rPr>
          <w:color w:val="3B3A3B"/>
          <w:spacing w:val="8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11"/>
          <w:w w:val="110"/>
        </w:rPr>
        <w:t> </w:t>
      </w:r>
      <w:r>
        <w:rPr>
          <w:color w:val="3B3A3B"/>
          <w:w w:val="110"/>
        </w:rPr>
        <w:t>outcome</w:t>
      </w:r>
      <w:r>
        <w:rPr>
          <w:color w:val="3B3A3B"/>
          <w:spacing w:val="-7"/>
          <w:w w:val="110"/>
        </w:rPr>
        <w:t> </w:t>
      </w:r>
      <w:r>
        <w:rPr>
          <w:color w:val="3B3A3B"/>
          <w:w w:val="110"/>
        </w:rPr>
        <w:t>of</w:t>
      </w:r>
      <w:r>
        <w:rPr>
          <w:color w:val="3B3A3B"/>
          <w:spacing w:val="11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31"/>
          <w:w w:val="110"/>
        </w:rPr>
        <w:t> </w:t>
      </w:r>
      <w:r>
        <w:rPr>
          <w:color w:val="3B3A3B"/>
          <w:w w:val="110"/>
        </w:rPr>
        <w:t>case.</w:t>
      </w:r>
    </w:p>
    <w:p>
      <w:pPr>
        <w:pStyle w:val="BodyText"/>
        <w:spacing w:line="235" w:lineRule="auto" w:before="6"/>
        <w:ind w:left="1964" w:right="148" w:firstLine="395"/>
        <w:jc w:val="both"/>
      </w:pPr>
      <w:r>
        <w:rPr>
          <w:color w:val="3B3A3B"/>
          <w:w w:val="110"/>
        </w:rPr>
        <w:t>As you must with any legal argument,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make appellate standard of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review arguments honestly. Do not create an appellate standard of review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issue where none exists. </w:t>
      </w:r>
      <w:r>
        <w:rPr>
          <w:color w:val="3B3A3B"/>
          <w:w w:val="110"/>
          <w:sz w:val="22"/>
        </w:rPr>
        <w:t>If </w:t>
      </w:r>
      <w:r>
        <w:rPr>
          <w:color w:val="3B3A3B"/>
          <w:w w:val="110"/>
        </w:rPr>
        <w:t>the  standard genuinely makes a difference in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the case, however, you can and should use it to demonstrate the justice of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36"/>
          <w:w w:val="110"/>
        </w:rPr>
        <w:t> </w:t>
      </w:r>
      <w:r>
        <w:rPr>
          <w:color w:val="3B3A3B"/>
          <w:w w:val="110"/>
        </w:rPr>
        <w:t>result</w:t>
      </w:r>
      <w:r>
        <w:rPr>
          <w:color w:val="3B3A3B"/>
          <w:spacing w:val="4"/>
          <w:w w:val="110"/>
        </w:rPr>
        <w:t> </w:t>
      </w:r>
      <w:r>
        <w:rPr>
          <w:color w:val="3B3A3B"/>
          <w:w w:val="110"/>
        </w:rPr>
        <w:t>you</w:t>
      </w:r>
      <w:r>
        <w:rPr>
          <w:color w:val="3B3A3B"/>
          <w:spacing w:val="-12"/>
          <w:w w:val="110"/>
        </w:rPr>
        <w:t> </w:t>
      </w:r>
      <w:r>
        <w:rPr>
          <w:color w:val="3B3A3B"/>
          <w:w w:val="110"/>
        </w:rPr>
        <w:t>seek.</w:t>
      </w:r>
    </w:p>
    <w:p>
      <w:pPr>
        <w:pStyle w:val="BodyText"/>
        <w:spacing w:before="5"/>
        <w:rPr>
          <w:sz w:val="26"/>
        </w:rPr>
      </w:pPr>
    </w:p>
    <w:p>
      <w:pPr>
        <w:spacing w:before="92"/>
        <w:ind w:left="2287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B3A3B"/>
          <w:w w:val="110"/>
          <w:sz w:val="28"/>
        </w:rPr>
        <w:t>2.3.3</w:t>
      </w:r>
    </w:p>
    <w:p>
      <w:pPr>
        <w:spacing w:before="24"/>
        <w:ind w:left="2289" w:right="0" w:firstLine="0"/>
        <w:jc w:val="left"/>
        <w:rPr>
          <w:b/>
          <w:sz w:val="24"/>
        </w:rPr>
      </w:pPr>
      <w:r>
        <w:rPr>
          <w:b/>
          <w:color w:val="3B3A3B"/>
          <w:w w:val="90"/>
          <w:sz w:val="24"/>
        </w:rPr>
        <w:t>FORMAT</w:t>
      </w:r>
      <w:r>
        <w:rPr>
          <w:b/>
          <w:color w:val="3B3A3B"/>
          <w:spacing w:val="46"/>
          <w:w w:val="90"/>
          <w:sz w:val="24"/>
        </w:rPr>
        <w:t> </w:t>
      </w:r>
      <w:r>
        <w:rPr>
          <w:b/>
          <w:color w:val="3B3A3B"/>
          <w:w w:val="90"/>
          <w:sz w:val="24"/>
        </w:rPr>
        <w:t>CONSIDERATIONS</w:t>
      </w:r>
    </w:p>
    <w:p>
      <w:pPr>
        <w:pStyle w:val="BodyText"/>
        <w:tabs>
          <w:tab w:pos="2310" w:val="left" w:leader="none"/>
        </w:tabs>
        <w:spacing w:line="335" w:lineRule="exact" w:before="82"/>
        <w:ind w:left="-13"/>
      </w:pPr>
      <w:r>
        <w:rPr>
          <w:color w:val="B6B8BA"/>
          <w:spacing w:val="13"/>
          <w:w w:val="115"/>
          <w:position w:val="-12"/>
          <w:sz w:val="44"/>
        </w:rPr>
        <w:t>.</w:t>
      </w:r>
      <w:r>
        <w:rPr>
          <w:color w:val="A5A8AA"/>
          <w:spacing w:val="13"/>
          <w:w w:val="115"/>
          <w:position w:val="-12"/>
          <w:sz w:val="24"/>
        </w:rPr>
        <w:t>'</w:t>
        <w:tab/>
      </w:r>
      <w:r>
        <w:rPr>
          <w:color w:val="3B3A3B"/>
          <w:w w:val="115"/>
        </w:rPr>
        <w:t>During</w:t>
      </w:r>
      <w:r>
        <w:rPr>
          <w:color w:val="3B3A3B"/>
          <w:spacing w:val="-6"/>
          <w:w w:val="115"/>
        </w:rPr>
        <w:t> </w:t>
      </w:r>
      <w:r>
        <w:rPr>
          <w:color w:val="3B3A3B"/>
          <w:w w:val="115"/>
        </w:rPr>
        <w:t>recent</w:t>
      </w:r>
      <w:r>
        <w:rPr>
          <w:color w:val="3B3A3B"/>
          <w:spacing w:val="5"/>
          <w:w w:val="115"/>
        </w:rPr>
        <w:t> </w:t>
      </w:r>
      <w:r>
        <w:rPr>
          <w:color w:val="3B3A3B"/>
          <w:w w:val="115"/>
        </w:rPr>
        <w:t>years,</w:t>
      </w:r>
      <w:r>
        <w:rPr>
          <w:color w:val="3B3A3B"/>
          <w:spacing w:val="10"/>
          <w:w w:val="115"/>
        </w:rPr>
        <w:t> </w:t>
      </w:r>
      <w:r>
        <w:rPr>
          <w:color w:val="3B3A3B"/>
          <w:w w:val="115"/>
        </w:rPr>
        <w:t>many</w:t>
      </w:r>
      <w:r>
        <w:rPr>
          <w:color w:val="3B3A3B"/>
          <w:spacing w:val="-1"/>
          <w:w w:val="115"/>
        </w:rPr>
        <w:t> </w:t>
      </w:r>
      <w:r>
        <w:rPr>
          <w:color w:val="3B3A3B"/>
          <w:w w:val="115"/>
        </w:rPr>
        <w:t>courts</w:t>
      </w:r>
      <w:r>
        <w:rPr>
          <w:color w:val="3B3A3B"/>
          <w:spacing w:val="-1"/>
          <w:w w:val="115"/>
        </w:rPr>
        <w:t> </w:t>
      </w:r>
      <w:r>
        <w:rPr>
          <w:color w:val="3B3A3B"/>
          <w:w w:val="115"/>
        </w:rPr>
        <w:t>have</w:t>
      </w:r>
      <w:r>
        <w:rPr>
          <w:color w:val="3B3A3B"/>
          <w:spacing w:val="-1"/>
          <w:w w:val="115"/>
        </w:rPr>
        <w:t> </w:t>
      </w:r>
      <w:r>
        <w:rPr>
          <w:color w:val="3B3A3B"/>
          <w:w w:val="115"/>
        </w:rPr>
        <w:t>begun</w:t>
      </w:r>
      <w:r>
        <w:rPr>
          <w:color w:val="3B3A3B"/>
          <w:spacing w:val="8"/>
          <w:w w:val="115"/>
        </w:rPr>
        <w:t> </w:t>
      </w:r>
      <w:r>
        <w:rPr>
          <w:color w:val="3B3A3B"/>
          <w:w w:val="115"/>
        </w:rPr>
        <w:t>using</w:t>
      </w:r>
      <w:r>
        <w:rPr>
          <w:color w:val="3B3A3B"/>
          <w:spacing w:val="-1"/>
          <w:w w:val="115"/>
        </w:rPr>
        <w:t> </w:t>
      </w:r>
      <w:r>
        <w:rPr>
          <w:color w:val="3B3A3B"/>
          <w:w w:val="115"/>
        </w:rPr>
        <w:t>their</w:t>
      </w:r>
      <w:r>
        <w:rPr>
          <w:color w:val="3B3A3B"/>
          <w:spacing w:val="-2"/>
          <w:w w:val="115"/>
        </w:rPr>
        <w:t> </w:t>
      </w:r>
      <w:r>
        <w:rPr>
          <w:color w:val="3B3A3B"/>
          <w:w w:val="115"/>
        </w:rPr>
        <w:t>local</w:t>
      </w:r>
      <w:r>
        <w:rPr>
          <w:color w:val="3B3A3B"/>
          <w:spacing w:val="7"/>
          <w:w w:val="115"/>
        </w:rPr>
        <w:t> </w:t>
      </w:r>
      <w:r>
        <w:rPr>
          <w:color w:val="3B3A3B"/>
          <w:w w:val="115"/>
        </w:rPr>
        <w:t>rules</w:t>
      </w:r>
    </w:p>
    <w:p>
      <w:pPr>
        <w:pStyle w:val="BodyText"/>
        <w:spacing w:line="235" w:lineRule="auto"/>
        <w:ind w:left="1905" w:right="183" w:firstLine="11"/>
        <w:jc w:val="both"/>
      </w:pPr>
      <w:r>
        <w:rPr>
          <w:color w:val="3B3A3B"/>
          <w:w w:val="110"/>
        </w:rPr>
        <w:t>to ask for a separate statement of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appellate standard of review.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Pennsylvania</w:t>
      </w:r>
      <w:r>
        <w:rPr>
          <w:color w:val="3B3A3B"/>
          <w:spacing w:val="55"/>
          <w:w w:val="110"/>
        </w:rPr>
        <w:t> </w:t>
      </w:r>
      <w:r>
        <w:rPr>
          <w:color w:val="3B3A3B"/>
          <w:w w:val="110"/>
        </w:rPr>
        <w:t>Rules</w:t>
      </w:r>
      <w:r>
        <w:rPr>
          <w:color w:val="3B3A3B"/>
          <w:spacing w:val="28"/>
          <w:w w:val="110"/>
        </w:rPr>
        <w:t> </w:t>
      </w:r>
      <w:r>
        <w:rPr>
          <w:color w:val="3B3A3B"/>
          <w:w w:val="110"/>
        </w:rPr>
        <w:t>of</w:t>
      </w:r>
      <w:r>
        <w:rPr>
          <w:color w:val="3B3A3B"/>
          <w:spacing w:val="41"/>
          <w:w w:val="110"/>
        </w:rPr>
        <w:t> </w:t>
      </w:r>
      <w:r>
        <w:rPr>
          <w:color w:val="3B3A3B"/>
          <w:w w:val="110"/>
        </w:rPr>
        <w:t>Appellate</w:t>
      </w:r>
      <w:r>
        <w:rPr>
          <w:color w:val="3B3A3B"/>
          <w:spacing w:val="34"/>
          <w:w w:val="110"/>
        </w:rPr>
        <w:t> </w:t>
      </w:r>
      <w:r>
        <w:rPr>
          <w:color w:val="3B3A3B"/>
          <w:w w:val="110"/>
        </w:rPr>
        <w:t>Procedure,</w:t>
      </w:r>
      <w:r>
        <w:rPr>
          <w:color w:val="3B3A3B"/>
          <w:spacing w:val="33"/>
          <w:w w:val="110"/>
        </w:rPr>
        <w:t> </w:t>
      </w:r>
      <w:r>
        <w:rPr>
          <w:color w:val="3B3A3B"/>
          <w:w w:val="110"/>
        </w:rPr>
        <w:t>for</w:t>
      </w:r>
      <w:r>
        <w:rPr>
          <w:color w:val="3B3A3B"/>
          <w:spacing w:val="37"/>
          <w:w w:val="110"/>
        </w:rPr>
        <w:t> </w:t>
      </w:r>
      <w:r>
        <w:rPr>
          <w:color w:val="3B3A3B"/>
          <w:w w:val="110"/>
        </w:rPr>
        <w:t>example,</w:t>
      </w:r>
      <w:r>
        <w:rPr>
          <w:color w:val="3B3A3B"/>
          <w:spacing w:val="52"/>
          <w:w w:val="110"/>
        </w:rPr>
        <w:t> </w:t>
      </w:r>
      <w:r>
        <w:rPr>
          <w:color w:val="3B3A3B"/>
          <w:w w:val="110"/>
        </w:rPr>
        <w:t>require</w:t>
      </w:r>
      <w:r>
        <w:rPr>
          <w:color w:val="3B3A3B"/>
          <w:spacing w:val="31"/>
          <w:w w:val="110"/>
        </w:rPr>
        <w:t> </w:t>
      </w:r>
      <w:r>
        <w:rPr>
          <w:color w:val="3B3A3B"/>
          <w:w w:val="110"/>
        </w:rPr>
        <w:t>that</w:t>
      </w:r>
      <w:r>
        <w:rPr>
          <w:color w:val="3B3A3B"/>
          <w:spacing w:val="31"/>
          <w:w w:val="110"/>
        </w:rPr>
        <w:t> </w:t>
      </w:r>
      <w:r>
        <w:rPr>
          <w:color w:val="3B3A3B"/>
          <w:w w:val="110"/>
        </w:rPr>
        <w:t>a</w:t>
      </w:r>
    </w:p>
    <w:p>
      <w:pPr>
        <w:pStyle w:val="BodyText"/>
        <w:spacing w:before="11"/>
        <w:rPr>
          <w:sz w:val="31"/>
        </w:rPr>
      </w:pPr>
    </w:p>
    <w:p>
      <w:pPr>
        <w:spacing w:line="206" w:lineRule="exact" w:before="0"/>
        <w:ind w:left="2157" w:right="0" w:firstLine="0"/>
        <w:jc w:val="both"/>
        <w:rPr>
          <w:sz w:val="19"/>
        </w:rPr>
      </w:pPr>
      <w:r>
        <w:rPr>
          <w:i/>
          <w:color w:val="595959"/>
          <w:w w:val="95"/>
          <w:sz w:val="17"/>
        </w:rPr>
        <w:t>u</w:t>
      </w:r>
      <w:r>
        <w:rPr>
          <w:i/>
          <w:color w:val="595959"/>
          <w:spacing w:val="99"/>
          <w:sz w:val="17"/>
        </w:rPr>
        <w:t> </w:t>
      </w:r>
      <w:r>
        <w:rPr>
          <w:i/>
          <w:color w:val="3B3A3B"/>
          <w:w w:val="95"/>
          <w:sz w:val="19"/>
        </w:rPr>
        <w:t>See</w:t>
      </w:r>
      <w:r>
        <w:rPr>
          <w:i/>
          <w:color w:val="595959"/>
          <w:w w:val="95"/>
          <w:sz w:val="19"/>
        </w:rPr>
        <w:t>,</w:t>
      </w:r>
      <w:r>
        <w:rPr>
          <w:i/>
          <w:color w:val="595959"/>
          <w:spacing w:val="15"/>
          <w:w w:val="95"/>
          <w:sz w:val="19"/>
        </w:rPr>
        <w:t> </w:t>
      </w:r>
      <w:r>
        <w:rPr>
          <w:i/>
          <w:color w:val="3B3A3B"/>
          <w:w w:val="95"/>
          <w:sz w:val="19"/>
        </w:rPr>
        <w:t>e.g.,</w:t>
      </w:r>
      <w:r>
        <w:rPr>
          <w:i/>
          <w:color w:val="3B3A3B"/>
          <w:spacing w:val="2"/>
          <w:w w:val="95"/>
          <w:sz w:val="19"/>
        </w:rPr>
        <w:t> </w:t>
      </w:r>
      <w:r>
        <w:rPr>
          <w:i/>
          <w:color w:val="3B3A3B"/>
          <w:w w:val="95"/>
          <w:sz w:val="19"/>
        </w:rPr>
        <w:t>And</w:t>
      </w:r>
      <w:r>
        <w:rPr>
          <w:i/>
          <w:color w:val="595959"/>
          <w:w w:val="95"/>
          <w:sz w:val="19"/>
        </w:rPr>
        <w:t>e</w:t>
      </w:r>
      <w:r>
        <w:rPr>
          <w:i/>
          <w:color w:val="3B3A3B"/>
          <w:w w:val="95"/>
          <w:sz w:val="19"/>
        </w:rPr>
        <w:t>rson's</w:t>
      </w:r>
      <w:r>
        <w:rPr>
          <w:i/>
          <w:color w:val="3B3A3B"/>
          <w:spacing w:val="-11"/>
          <w:w w:val="95"/>
          <w:sz w:val="19"/>
        </w:rPr>
        <w:t> </w:t>
      </w:r>
      <w:r>
        <w:rPr>
          <w:i/>
          <w:color w:val="3B3A3B"/>
          <w:w w:val="95"/>
          <w:sz w:val="19"/>
        </w:rPr>
        <w:t>Sixth</w:t>
      </w:r>
      <w:r>
        <w:rPr>
          <w:i/>
          <w:color w:val="3B3A3B"/>
          <w:spacing w:val="-4"/>
          <w:w w:val="95"/>
          <w:sz w:val="19"/>
        </w:rPr>
        <w:t> </w:t>
      </w:r>
      <w:r>
        <w:rPr>
          <w:i/>
          <w:color w:val="3B3A3B"/>
          <w:w w:val="95"/>
          <w:sz w:val="19"/>
        </w:rPr>
        <w:t>Circuit</w:t>
      </w:r>
      <w:r>
        <w:rPr>
          <w:i/>
          <w:color w:val="3B3A3B"/>
          <w:spacing w:val="11"/>
          <w:w w:val="95"/>
          <w:sz w:val="19"/>
        </w:rPr>
        <w:t> </w:t>
      </w:r>
      <w:r>
        <w:rPr>
          <w:i/>
          <w:color w:val="3B3A3B"/>
          <w:w w:val="95"/>
          <w:sz w:val="19"/>
        </w:rPr>
        <w:t>Federal</w:t>
      </w:r>
      <w:r>
        <w:rPr>
          <w:i/>
          <w:color w:val="3B3A3B"/>
          <w:spacing w:val="8"/>
          <w:w w:val="95"/>
          <w:sz w:val="19"/>
        </w:rPr>
        <w:t> </w:t>
      </w:r>
      <w:r>
        <w:rPr>
          <w:i/>
          <w:color w:val="3B3A3B"/>
          <w:w w:val="95"/>
          <w:sz w:val="19"/>
        </w:rPr>
        <w:t>Practice</w:t>
      </w:r>
      <w:r>
        <w:rPr>
          <w:i/>
          <w:color w:val="3B3A3B"/>
          <w:spacing w:val="8"/>
          <w:w w:val="95"/>
          <w:sz w:val="19"/>
        </w:rPr>
        <w:t> </w:t>
      </w:r>
      <w:r>
        <w:rPr>
          <w:i/>
          <w:color w:val="3B3A3B"/>
          <w:w w:val="95"/>
          <w:sz w:val="19"/>
        </w:rPr>
        <w:t>Manual</w:t>
      </w:r>
      <w:r>
        <w:rPr>
          <w:i/>
          <w:color w:val="3B3A3B"/>
          <w:spacing w:val="-2"/>
          <w:w w:val="95"/>
          <w:sz w:val="19"/>
        </w:rPr>
        <w:t> </w:t>
      </w:r>
      <w:r>
        <w:rPr>
          <w:color w:val="3B3A3B"/>
          <w:w w:val="95"/>
          <w:sz w:val="19"/>
        </w:rPr>
        <w:t>ch.</w:t>
      </w:r>
      <w:r>
        <w:rPr>
          <w:color w:val="3B3A3B"/>
          <w:spacing w:val="48"/>
          <w:sz w:val="19"/>
        </w:rPr>
        <w:t> </w:t>
      </w:r>
      <w:r>
        <w:rPr>
          <w:color w:val="3B3A3B"/>
          <w:w w:val="95"/>
          <w:sz w:val="19"/>
        </w:rPr>
        <w:t>7</w:t>
      </w:r>
      <w:r>
        <w:rPr>
          <w:color w:val="3B3A3B"/>
          <w:spacing w:val="22"/>
          <w:w w:val="95"/>
          <w:sz w:val="19"/>
        </w:rPr>
        <w:t> </w:t>
      </w:r>
      <w:r>
        <w:rPr>
          <w:color w:val="3B3A3B"/>
          <w:w w:val="95"/>
          <w:sz w:val="19"/>
        </w:rPr>
        <w:t>(Matthew-Bender</w:t>
      </w:r>
      <w:r>
        <w:rPr>
          <w:color w:val="3B3A3B"/>
          <w:w w:val="95"/>
          <w:sz w:val="16"/>
        </w:rPr>
        <w:t>&amp;</w:t>
      </w:r>
      <w:r>
        <w:rPr>
          <w:color w:val="3B3A3B"/>
          <w:spacing w:val="90"/>
          <w:sz w:val="16"/>
        </w:rPr>
        <w:t> </w:t>
      </w:r>
      <w:r>
        <w:rPr>
          <w:color w:val="3B3A3B"/>
          <w:w w:val="95"/>
          <w:sz w:val="19"/>
        </w:rPr>
        <w:t>Co.,</w:t>
      </w:r>
      <w:r>
        <w:rPr>
          <w:color w:val="3B3A3B"/>
          <w:spacing w:val="9"/>
          <w:w w:val="95"/>
          <w:sz w:val="19"/>
        </w:rPr>
        <w:t> </w:t>
      </w:r>
      <w:r>
        <w:rPr>
          <w:color w:val="3B3A3B"/>
          <w:w w:val="95"/>
          <w:sz w:val="19"/>
        </w:rPr>
        <w:t>Jnc.</w:t>
      </w:r>
    </w:p>
    <w:p>
      <w:pPr>
        <w:spacing w:line="202" w:lineRule="exact" w:before="0"/>
        <w:ind w:left="1866" w:right="0" w:firstLine="0"/>
        <w:jc w:val="both"/>
        <w:rPr>
          <w:sz w:val="19"/>
        </w:rPr>
      </w:pPr>
      <w:r>
        <w:rPr>
          <w:color w:val="3B3A3B"/>
          <w:sz w:val="19"/>
        </w:rPr>
        <w:t>201I)</w:t>
      </w:r>
      <w:r>
        <w:rPr>
          <w:color w:val="3B3A3B"/>
          <w:spacing w:val="8"/>
          <w:sz w:val="19"/>
        </w:rPr>
        <w:t> </w:t>
      </w:r>
      <w:r>
        <w:rPr>
          <w:color w:val="3B3A3B"/>
          <w:sz w:val="19"/>
        </w:rPr>
        <w:t>(also</w:t>
      </w:r>
      <w:r>
        <w:rPr>
          <w:color w:val="3B3A3B"/>
          <w:spacing w:val="-12"/>
          <w:sz w:val="19"/>
        </w:rPr>
        <w:t> </w:t>
      </w:r>
      <w:r>
        <w:rPr>
          <w:color w:val="3B3A3B"/>
          <w:sz w:val="19"/>
        </w:rPr>
        <w:t>available</w:t>
      </w:r>
      <w:r>
        <w:rPr>
          <w:color w:val="3B3A3B"/>
          <w:spacing w:val="-8"/>
          <w:sz w:val="19"/>
        </w:rPr>
        <w:t> </w:t>
      </w:r>
      <w:r>
        <w:rPr>
          <w:color w:val="3B3A3B"/>
          <w:sz w:val="19"/>
        </w:rPr>
        <w:t>at</w:t>
      </w:r>
      <w:r>
        <w:rPr>
          <w:color w:val="3B3A3B"/>
          <w:spacing w:val="11"/>
          <w:sz w:val="19"/>
        </w:rPr>
        <w:t> </w:t>
      </w:r>
      <w:r>
        <w:rPr>
          <w:color w:val="3B3A3B"/>
          <w:sz w:val="19"/>
        </w:rPr>
        <w:t>LexisNexis</w:t>
      </w:r>
      <w:r>
        <w:rPr>
          <w:color w:val="595959"/>
          <w:sz w:val="19"/>
        </w:rPr>
        <w:t>.</w:t>
      </w:r>
      <w:r>
        <w:rPr>
          <w:color w:val="3B3A3B"/>
          <w:sz w:val="19"/>
        </w:rPr>
        <w:t>com),</w:t>
      </w:r>
    </w:p>
    <w:p>
      <w:pPr>
        <w:spacing w:line="223" w:lineRule="auto" w:before="9"/>
        <w:ind w:left="1796" w:right="207" w:firstLine="443"/>
        <w:jc w:val="both"/>
        <w:rPr>
          <w:sz w:val="19"/>
        </w:rPr>
      </w:pPr>
      <w:r>
        <w:rPr>
          <w:i/>
          <w:color w:val="3B3A3B"/>
          <w:sz w:val="19"/>
          <w:vertAlign w:val="superscript"/>
        </w:rPr>
        <w:t>1</w:t>
      </w:r>
      <w:r>
        <w:rPr>
          <w:i/>
          <w:color w:val="595959"/>
          <w:sz w:val="11"/>
          <w:vertAlign w:val="baseline"/>
        </w:rPr>
        <w:t>• </w:t>
      </w:r>
      <w:r>
        <w:rPr>
          <w:color w:val="3B3A3B"/>
          <w:sz w:val="19"/>
          <w:vertAlign w:val="baseline"/>
        </w:rPr>
        <w:t>For an interesting discussion of</w:t>
      </w:r>
      <w:r>
        <w:rPr>
          <w:color w:val="3B3A3B"/>
          <w:spacing w:val="1"/>
          <w:sz w:val="19"/>
          <w:vertAlign w:val="baseline"/>
        </w:rPr>
        <w:t> </w:t>
      </w:r>
      <w:r>
        <w:rPr>
          <w:color w:val="3B3A3B"/>
          <w:sz w:val="19"/>
          <w:vertAlign w:val="baseline"/>
        </w:rPr>
        <w:t>using </w:t>
      </w:r>
      <w:r>
        <w:rPr>
          <w:color w:val="3B3A3B"/>
          <w:sz w:val="18"/>
          <w:vertAlign w:val="baseline"/>
        </w:rPr>
        <w:t>policy </w:t>
      </w:r>
      <w:r>
        <w:rPr>
          <w:color w:val="3B3A3B"/>
          <w:sz w:val="19"/>
          <w:vertAlign w:val="baseline"/>
        </w:rPr>
        <w:t>concerns to drive the discussion of appellate</w:t>
      </w:r>
      <w:r>
        <w:rPr>
          <w:color w:val="3B3A3B"/>
          <w:spacing w:val="1"/>
          <w:sz w:val="19"/>
          <w:vertAlign w:val="baseline"/>
        </w:rPr>
        <w:t> </w:t>
      </w:r>
      <w:r>
        <w:rPr>
          <w:color w:val="3B3A3B"/>
          <w:sz w:val="19"/>
          <w:vertAlign w:val="baseline"/>
        </w:rPr>
        <w:t>standard of</w:t>
      </w:r>
      <w:r>
        <w:rPr>
          <w:color w:val="3B3A3B"/>
          <w:spacing w:val="1"/>
          <w:sz w:val="19"/>
          <w:vertAlign w:val="baseline"/>
        </w:rPr>
        <w:t> </w:t>
      </w:r>
      <w:r>
        <w:rPr>
          <w:color w:val="3B3A3B"/>
          <w:sz w:val="19"/>
          <w:vertAlign w:val="baseline"/>
        </w:rPr>
        <w:t>review, </w:t>
      </w:r>
      <w:r>
        <w:rPr>
          <w:i/>
          <w:color w:val="3B3A3B"/>
          <w:sz w:val="19"/>
          <w:vertAlign w:val="baseline"/>
        </w:rPr>
        <w:t>see </w:t>
      </w:r>
      <w:r>
        <w:rPr>
          <w:color w:val="3B3A3B"/>
          <w:sz w:val="19"/>
          <w:vertAlign w:val="baseline"/>
        </w:rPr>
        <w:t>Bosse, </w:t>
      </w:r>
      <w:r>
        <w:rPr>
          <w:i/>
          <w:color w:val="3B3A3B"/>
          <w:sz w:val="19"/>
          <w:vertAlign w:val="baseline"/>
        </w:rPr>
        <w:t>supra</w:t>
      </w:r>
      <w:r>
        <w:rPr>
          <w:i/>
          <w:color w:val="3B3A3B"/>
          <w:spacing w:val="1"/>
          <w:sz w:val="19"/>
          <w:vertAlign w:val="baseline"/>
        </w:rPr>
        <w:t> </w:t>
      </w:r>
      <w:r>
        <w:rPr>
          <w:color w:val="3B3A3B"/>
          <w:sz w:val="19"/>
          <w:vertAlign w:val="baseline"/>
        </w:rPr>
        <w:t>note 11, at</w:t>
      </w:r>
      <w:r>
        <w:rPr>
          <w:color w:val="3B3A3B"/>
          <w:spacing w:val="47"/>
          <w:sz w:val="19"/>
          <w:vertAlign w:val="baseline"/>
        </w:rPr>
        <w:t> </w:t>
      </w:r>
      <w:r>
        <w:rPr>
          <w:color w:val="3B3A3B"/>
          <w:sz w:val="19"/>
          <w:vertAlign w:val="baseline"/>
        </w:rPr>
        <w:t>374</w:t>
      </w:r>
      <w:r>
        <w:rPr>
          <w:color w:val="6D6D6E"/>
          <w:sz w:val="19"/>
          <w:vertAlign w:val="baseline"/>
        </w:rPr>
        <w:t>_</w:t>
      </w:r>
      <w:r>
        <w:rPr>
          <w:color w:val="3B3A3B"/>
          <w:sz w:val="19"/>
          <w:vertAlign w:val="baseline"/>
        </w:rPr>
        <w:t>et</w:t>
      </w:r>
      <w:r>
        <w:rPr>
          <w:color w:val="3B3A3B"/>
          <w:spacing w:val="48"/>
          <w:sz w:val="19"/>
          <w:vertAlign w:val="baseline"/>
        </w:rPr>
        <w:t> </w:t>
      </w:r>
      <w:r>
        <w:rPr>
          <w:color w:val="3B3A3B"/>
          <w:sz w:val="19"/>
          <w:vertAlign w:val="baseline"/>
        </w:rPr>
        <w:t>seq. </w:t>
      </w:r>
      <w:r>
        <w:rPr>
          <w:color w:val="3B3A3B"/>
          <w:sz w:val="17"/>
          <w:vertAlign w:val="baseline"/>
        </w:rPr>
        <w:t>If</w:t>
      </w:r>
      <w:r>
        <w:rPr>
          <w:color w:val="3B3A3B"/>
          <w:spacing w:val="42"/>
          <w:sz w:val="17"/>
          <w:vertAlign w:val="baseline"/>
        </w:rPr>
        <w:t> </w:t>
      </w:r>
      <w:r>
        <w:rPr>
          <w:color w:val="3B3A3B"/>
          <w:sz w:val="19"/>
          <w:vertAlign w:val="baseline"/>
        </w:rPr>
        <w:t>the</w:t>
      </w:r>
      <w:r>
        <w:rPr>
          <w:color w:val="3B3A3B"/>
          <w:spacing w:val="48"/>
          <w:sz w:val="19"/>
          <w:vertAlign w:val="baseline"/>
        </w:rPr>
        <w:t> </w:t>
      </w:r>
      <w:r>
        <w:rPr>
          <w:color w:val="3B3A3B"/>
          <w:sz w:val="19"/>
          <w:vertAlign w:val="baseline"/>
        </w:rPr>
        <w:t>appropriate appellate standa,·d</w:t>
      </w:r>
      <w:r>
        <w:rPr>
          <w:color w:val="3B3A3B"/>
          <w:spacing w:val="-45"/>
          <w:sz w:val="19"/>
          <w:vertAlign w:val="baseline"/>
        </w:rPr>
        <w:t> </w:t>
      </w:r>
      <w:r>
        <w:rPr>
          <w:color w:val="3B3A3B"/>
          <w:sz w:val="19"/>
          <w:vertAlign w:val="baseline"/>
        </w:rPr>
        <w:t>of review is controversial, you can and should</w:t>
      </w:r>
      <w:r>
        <w:rPr>
          <w:color w:val="3B3A3B"/>
          <w:spacing w:val="1"/>
          <w:sz w:val="19"/>
          <w:vertAlign w:val="baseline"/>
        </w:rPr>
        <w:t> </w:t>
      </w:r>
      <w:r>
        <w:rPr>
          <w:color w:val="3B3A3B"/>
          <w:sz w:val="19"/>
          <w:vertAlign w:val="baseline"/>
        </w:rPr>
        <w:t>justify your argument With references to policies</w:t>
      </w:r>
      <w:r>
        <w:rPr>
          <w:color w:val="3B3A3B"/>
          <w:spacing w:val="1"/>
          <w:sz w:val="19"/>
          <w:vertAlign w:val="baseline"/>
        </w:rPr>
        <w:t> </w:t>
      </w:r>
      <w:r>
        <w:rPr>
          <w:color w:val="3B3A3B"/>
          <w:spacing w:val="-1"/>
          <w:w w:val="105"/>
          <w:sz w:val="19"/>
          <w:vertAlign w:val="baseline"/>
        </w:rPr>
        <w:t>served</w:t>
      </w:r>
      <w:r>
        <w:rPr>
          <w:color w:val="3B3A3B"/>
          <w:w w:val="105"/>
          <w:sz w:val="19"/>
          <w:vertAlign w:val="baseline"/>
        </w:rPr>
        <w:t> </w:t>
      </w:r>
      <w:r>
        <w:rPr>
          <w:color w:val="3B3A3B"/>
          <w:spacing w:val="-1"/>
          <w:w w:val="105"/>
          <w:sz w:val="19"/>
          <w:vertAlign w:val="baseline"/>
        </w:rPr>
        <w:t>by</w:t>
      </w:r>
      <w:r>
        <w:rPr>
          <w:color w:val="3B3A3B"/>
          <w:spacing w:val="-26"/>
          <w:w w:val="105"/>
          <w:sz w:val="19"/>
          <w:vertAlign w:val="baseline"/>
        </w:rPr>
        <w:t> </w:t>
      </w:r>
      <w:r>
        <w:rPr>
          <w:color w:val="3B3A3B"/>
          <w:spacing w:val="-1"/>
          <w:w w:val="105"/>
          <w:sz w:val="19"/>
          <w:vertAlign w:val="baseline"/>
        </w:rPr>
        <w:t>choosing</w:t>
      </w:r>
      <w:r>
        <w:rPr>
          <w:color w:val="3B3A3B"/>
          <w:spacing w:val="-3"/>
          <w:w w:val="105"/>
          <w:sz w:val="19"/>
          <w:vertAlign w:val="baseline"/>
        </w:rPr>
        <w:t> </w:t>
      </w:r>
      <w:r>
        <w:rPr>
          <w:color w:val="3B3A3B"/>
          <w:spacing w:val="-1"/>
          <w:w w:val="105"/>
          <w:sz w:val="19"/>
          <w:vertAlign w:val="baseline"/>
        </w:rPr>
        <w:t>the</w:t>
      </w:r>
      <w:r>
        <w:rPr>
          <w:color w:val="3B3A3B"/>
          <w:spacing w:val="-5"/>
          <w:w w:val="105"/>
          <w:sz w:val="19"/>
          <w:vertAlign w:val="baseline"/>
        </w:rPr>
        <w:t> </w:t>
      </w:r>
      <w:r>
        <w:rPr>
          <w:color w:val="3B3A3B"/>
          <w:spacing w:val="-1"/>
          <w:w w:val="105"/>
          <w:sz w:val="19"/>
          <w:vertAlign w:val="baseline"/>
        </w:rPr>
        <w:t>standard</w:t>
      </w:r>
      <w:r>
        <w:rPr>
          <w:color w:val="3B3A3B"/>
          <w:spacing w:val="3"/>
          <w:w w:val="105"/>
          <w:sz w:val="19"/>
          <w:vertAlign w:val="baseline"/>
        </w:rPr>
        <w:t> </w:t>
      </w:r>
      <w:r>
        <w:rPr>
          <w:color w:val="3B3A3B"/>
          <w:w w:val="105"/>
          <w:sz w:val="19"/>
          <w:vertAlign w:val="baseline"/>
        </w:rPr>
        <w:t>you</w:t>
      </w:r>
      <w:r>
        <w:rPr>
          <w:color w:val="3B3A3B"/>
          <w:spacing w:val="-13"/>
          <w:w w:val="105"/>
          <w:sz w:val="19"/>
          <w:vertAlign w:val="baseline"/>
        </w:rPr>
        <w:t> </w:t>
      </w:r>
      <w:r>
        <w:rPr>
          <w:color w:val="3B3A3B"/>
          <w:w w:val="105"/>
          <w:sz w:val="19"/>
          <w:vertAlign w:val="baseline"/>
        </w:rPr>
        <w:t>favor.</w:t>
      </w:r>
      <w:r>
        <w:rPr>
          <w:color w:val="3B3A3B"/>
          <w:spacing w:val="-27"/>
          <w:w w:val="105"/>
          <w:sz w:val="19"/>
          <w:vertAlign w:val="baseline"/>
        </w:rPr>
        <w:t> </w:t>
      </w:r>
      <w:r>
        <w:rPr>
          <w:color w:val="3B3A3B"/>
          <w:w w:val="105"/>
          <w:sz w:val="19"/>
          <w:vertAlign w:val="baseline"/>
        </w:rPr>
        <w:t>See</w:t>
      </w:r>
      <w:r>
        <w:rPr>
          <w:color w:val="3B3A3B"/>
          <w:spacing w:val="-25"/>
          <w:w w:val="105"/>
          <w:sz w:val="19"/>
          <w:vertAlign w:val="baseline"/>
        </w:rPr>
        <w:t> </w:t>
      </w:r>
      <w:r>
        <w:rPr>
          <w:color w:val="3B3A3B"/>
          <w:w w:val="105"/>
          <w:sz w:val="19"/>
          <w:vertAlign w:val="baseline"/>
        </w:rPr>
        <w:t>Section</w:t>
      </w:r>
      <w:r>
        <w:rPr>
          <w:color w:val="3B3A3B"/>
          <w:spacing w:val="-10"/>
          <w:w w:val="105"/>
          <w:sz w:val="19"/>
          <w:vertAlign w:val="baseline"/>
        </w:rPr>
        <w:t> </w:t>
      </w:r>
      <w:r>
        <w:rPr>
          <w:color w:val="3B3A3B"/>
          <w:w w:val="105"/>
          <w:sz w:val="19"/>
          <w:vertAlign w:val="baseline"/>
        </w:rPr>
        <w:t>5.1.2</w:t>
      </w:r>
      <w:r>
        <w:rPr>
          <w:color w:val="3B3A3B"/>
          <w:spacing w:val="-17"/>
          <w:w w:val="105"/>
          <w:sz w:val="19"/>
          <w:vertAlign w:val="baseline"/>
        </w:rPr>
        <w:t> </w:t>
      </w:r>
      <w:r>
        <w:rPr>
          <w:color w:val="3B3A3B"/>
          <w:w w:val="105"/>
          <w:sz w:val="19"/>
          <w:vertAlign w:val="baseline"/>
        </w:rPr>
        <w:t>lo</w:t>
      </w:r>
      <w:r>
        <w:rPr>
          <w:color w:val="3B3A3B"/>
          <w:spacing w:val="19"/>
          <w:w w:val="105"/>
          <w:sz w:val="19"/>
          <w:vertAlign w:val="baseline"/>
        </w:rPr>
        <w:t> </w:t>
      </w:r>
      <w:r>
        <w:rPr>
          <w:color w:val="3B3A3B"/>
          <w:w w:val="105"/>
          <w:sz w:val="19"/>
          <w:vertAlign w:val="baseline"/>
        </w:rPr>
        <w:t>this</w:t>
      </w:r>
      <w:r>
        <w:rPr>
          <w:color w:val="3B3A3B"/>
          <w:spacing w:val="-15"/>
          <w:w w:val="105"/>
          <w:sz w:val="19"/>
          <w:vertAlign w:val="baseline"/>
        </w:rPr>
        <w:t> </w:t>
      </w:r>
      <w:r>
        <w:rPr>
          <w:color w:val="3B3A3B"/>
          <w:w w:val="105"/>
          <w:sz w:val="19"/>
          <w:vertAlign w:val="baseline"/>
        </w:rPr>
        <w:t>text</w:t>
      </w:r>
      <w:r>
        <w:rPr>
          <w:color w:val="3B3A3B"/>
          <w:spacing w:val="-4"/>
          <w:w w:val="105"/>
          <w:sz w:val="19"/>
          <w:vertAlign w:val="baseline"/>
        </w:rPr>
        <w:t> </w:t>
      </w:r>
      <w:r>
        <w:rPr>
          <w:color w:val="3B3A3B"/>
          <w:w w:val="105"/>
          <w:sz w:val="19"/>
          <w:vertAlign w:val="baseline"/>
        </w:rPr>
        <w:t>for</w:t>
      </w:r>
      <w:r>
        <w:rPr>
          <w:color w:val="3B3A3B"/>
          <w:spacing w:val="-22"/>
          <w:w w:val="105"/>
          <w:sz w:val="19"/>
          <w:vertAlign w:val="baseline"/>
        </w:rPr>
        <w:t> </w:t>
      </w:r>
      <w:r>
        <w:rPr>
          <w:color w:val="3B3A3B"/>
          <w:w w:val="105"/>
          <w:sz w:val="19"/>
          <w:vertAlign w:val="baseline"/>
        </w:rPr>
        <w:t>guidance</w:t>
      </w:r>
      <w:r>
        <w:rPr>
          <w:color w:val="3B3A3B"/>
          <w:spacing w:val="-3"/>
          <w:w w:val="105"/>
          <w:sz w:val="19"/>
          <w:vertAlign w:val="baseline"/>
        </w:rPr>
        <w:t> </w:t>
      </w:r>
      <w:r>
        <w:rPr>
          <w:color w:val="3B3A3B"/>
          <w:w w:val="105"/>
          <w:sz w:val="19"/>
          <w:vertAlign w:val="baseline"/>
        </w:rPr>
        <w:t>on</w:t>
      </w:r>
      <w:r>
        <w:rPr>
          <w:color w:val="3B3A3B"/>
          <w:spacing w:val="27"/>
          <w:w w:val="105"/>
          <w:sz w:val="19"/>
          <w:vertAlign w:val="baseline"/>
        </w:rPr>
        <w:t> </w:t>
      </w:r>
      <w:r>
        <w:rPr>
          <w:color w:val="3B3A3B"/>
          <w:w w:val="105"/>
          <w:sz w:val="19"/>
          <w:vertAlign w:val="baseline"/>
        </w:rPr>
        <w:t>present­</w:t>
      </w:r>
      <w:r>
        <w:rPr>
          <w:color w:val="3B3A3B"/>
          <w:spacing w:val="1"/>
          <w:w w:val="105"/>
          <w:sz w:val="19"/>
          <w:vertAlign w:val="baseline"/>
        </w:rPr>
        <w:t> </w:t>
      </w:r>
      <w:r>
        <w:rPr>
          <w:rFonts w:ascii="Arial" w:hAnsi="Arial"/>
          <w:color w:val="3B3A3B"/>
          <w:w w:val="105"/>
          <w:sz w:val="17"/>
          <w:vertAlign w:val="baseline"/>
        </w:rPr>
        <w:t>Ing</w:t>
      </w:r>
      <w:r>
        <w:rPr>
          <w:rFonts w:ascii="Arial" w:hAnsi="Arial"/>
          <w:color w:val="3B3A3B"/>
          <w:spacing w:val="28"/>
          <w:w w:val="105"/>
          <w:sz w:val="17"/>
          <w:vertAlign w:val="baseline"/>
        </w:rPr>
        <w:t> </w:t>
      </w:r>
      <w:r>
        <w:rPr>
          <w:color w:val="3B3A3B"/>
          <w:w w:val="105"/>
          <w:sz w:val="19"/>
          <w:vertAlign w:val="baseline"/>
        </w:rPr>
        <w:t>rule-choice</w:t>
      </w:r>
      <w:r>
        <w:rPr>
          <w:color w:val="3B3A3B"/>
          <w:spacing w:val="-4"/>
          <w:w w:val="105"/>
          <w:sz w:val="19"/>
          <w:vertAlign w:val="baseline"/>
        </w:rPr>
        <w:t> </w:t>
      </w:r>
      <w:r>
        <w:rPr>
          <w:color w:val="3B3A3B"/>
          <w:w w:val="105"/>
          <w:sz w:val="19"/>
          <w:vertAlign w:val="baseline"/>
        </w:rPr>
        <w:t>arguments</w:t>
      </w:r>
      <w:r>
        <w:rPr>
          <w:color w:val="595959"/>
          <w:w w:val="105"/>
          <w:sz w:val="19"/>
          <w:vertAlign w:val="baseline"/>
        </w:rPr>
        <w:t>.</w:t>
      </w:r>
    </w:p>
    <w:p>
      <w:pPr>
        <w:spacing w:after="0" w:line="223" w:lineRule="auto"/>
        <w:jc w:val="both"/>
        <w:rPr>
          <w:sz w:val="19"/>
        </w:rPr>
        <w:sectPr>
          <w:pgSz w:w="9800" w:h="13820"/>
          <w:pgMar w:header="467" w:footer="0" w:top="620" w:bottom="0" w:left="0" w:right="120"/>
        </w:sectPr>
      </w:pPr>
    </w:p>
    <w:p>
      <w:pPr>
        <w:pStyle w:val="BodyText"/>
        <w:spacing w:line="235" w:lineRule="auto" w:before="85"/>
        <w:ind w:left="116" w:right="246" w:firstLine="12"/>
        <w:jc w:val="both"/>
      </w:pPr>
      <w:r>
        <w:rPr>
          <w:color w:val="363436"/>
          <w:w w:val="110"/>
        </w:rPr>
        <w:t>statement </w:t>
      </w:r>
      <w:r>
        <w:rPr>
          <w:color w:val="444444"/>
          <w:w w:val="110"/>
        </w:rPr>
        <w:t>of "both </w:t>
      </w:r>
      <w:r>
        <w:rPr>
          <w:color w:val="363436"/>
          <w:w w:val="110"/>
        </w:rPr>
        <w:t>the </w:t>
      </w:r>
      <w:r>
        <w:rPr>
          <w:color w:val="444444"/>
          <w:w w:val="110"/>
        </w:rPr>
        <w:t>scope of </w:t>
      </w:r>
      <w:r>
        <w:rPr>
          <w:color w:val="363436"/>
          <w:w w:val="110"/>
        </w:rPr>
        <w:t>review and the </w:t>
      </w:r>
      <w:r>
        <w:rPr>
          <w:color w:val="444444"/>
          <w:w w:val="110"/>
        </w:rPr>
        <w:t>standard </w:t>
      </w:r>
      <w:r>
        <w:rPr>
          <w:color w:val="363436"/>
          <w:w w:val="110"/>
        </w:rPr>
        <w:t>of </w:t>
      </w:r>
      <w:r>
        <w:rPr>
          <w:color w:val="444444"/>
          <w:w w:val="110"/>
        </w:rPr>
        <w:t>review" appear</w:t>
      </w:r>
      <w:r>
        <w:rPr>
          <w:color w:val="444444"/>
          <w:spacing w:val="1"/>
          <w:w w:val="110"/>
        </w:rPr>
        <w:t> </w:t>
      </w:r>
      <w:r>
        <w:rPr>
          <w:color w:val="363436"/>
          <w:w w:val="110"/>
        </w:rPr>
        <w:t>in the </w:t>
      </w:r>
      <w:r>
        <w:rPr>
          <w:color w:val="444444"/>
          <w:w w:val="110"/>
        </w:rPr>
        <w:t>appellant's </w:t>
      </w:r>
      <w:r>
        <w:rPr>
          <w:color w:val="363436"/>
          <w:w w:val="110"/>
        </w:rPr>
        <w:t>brief, </w:t>
      </w:r>
      <w:r>
        <w:rPr>
          <w:color w:val="444444"/>
          <w:w w:val="110"/>
        </w:rPr>
        <w:t>"separately </w:t>
      </w:r>
      <w:r>
        <w:rPr>
          <w:color w:val="363436"/>
          <w:w w:val="110"/>
        </w:rPr>
        <w:t>and distinctly </w:t>
      </w:r>
      <w:r>
        <w:rPr>
          <w:color w:val="444444"/>
          <w:w w:val="110"/>
        </w:rPr>
        <w:t>entitled," </w:t>
      </w:r>
      <w:r>
        <w:rPr>
          <w:color w:val="363436"/>
          <w:w w:val="110"/>
        </w:rPr>
        <w:t>between </w:t>
      </w:r>
      <w:r>
        <w:rPr>
          <w:color w:val="444444"/>
          <w:w w:val="110"/>
        </w:rPr>
        <w:t>sec­</w:t>
      </w:r>
      <w:r>
        <w:rPr>
          <w:color w:val="444444"/>
          <w:spacing w:val="1"/>
          <w:w w:val="110"/>
        </w:rPr>
        <w:t> </w:t>
      </w:r>
      <w:r>
        <w:rPr>
          <w:color w:val="363436"/>
          <w:w w:val="115"/>
        </w:rPr>
        <w:t>tions </w:t>
      </w:r>
      <w:r>
        <w:rPr>
          <w:color w:val="444444"/>
          <w:w w:val="115"/>
        </w:rPr>
        <w:t>containing </w:t>
      </w:r>
      <w:r>
        <w:rPr>
          <w:color w:val="363436"/>
          <w:w w:val="115"/>
        </w:rPr>
        <w:t>the </w:t>
      </w:r>
      <w:r>
        <w:rPr>
          <w:color w:val="444444"/>
          <w:w w:val="115"/>
        </w:rPr>
        <w:t>"order </w:t>
      </w:r>
      <w:r>
        <w:rPr>
          <w:color w:val="363436"/>
          <w:w w:val="115"/>
        </w:rPr>
        <w:t>or </w:t>
      </w:r>
      <w:r>
        <w:rPr>
          <w:color w:val="444444"/>
          <w:w w:val="115"/>
        </w:rPr>
        <w:t>other </w:t>
      </w:r>
      <w:r>
        <w:rPr>
          <w:color w:val="363436"/>
          <w:w w:val="115"/>
        </w:rPr>
        <w:t>determination </w:t>
      </w:r>
      <w:r>
        <w:rPr>
          <w:color w:val="363436"/>
          <w:w w:val="115"/>
          <w:sz w:val="21"/>
        </w:rPr>
        <w:t>in </w:t>
      </w:r>
      <w:r>
        <w:rPr>
          <w:color w:val="363436"/>
          <w:w w:val="115"/>
        </w:rPr>
        <w:t>question" </w:t>
      </w:r>
      <w:r>
        <w:rPr>
          <w:color w:val="444444"/>
          <w:w w:val="115"/>
        </w:rPr>
        <w:t>and </w:t>
      </w:r>
      <w:r>
        <w:rPr>
          <w:color w:val="363436"/>
          <w:w w:val="115"/>
        </w:rPr>
        <w:t>the</w:t>
      </w:r>
      <w:r>
        <w:rPr>
          <w:color w:val="363436"/>
          <w:spacing w:val="1"/>
          <w:w w:val="115"/>
        </w:rPr>
        <w:t> </w:t>
      </w:r>
      <w:r>
        <w:rPr>
          <w:color w:val="444444"/>
          <w:w w:val="110"/>
        </w:rPr>
        <w:t>"[s]tatement </w:t>
      </w:r>
      <w:r>
        <w:rPr>
          <w:color w:val="363436"/>
          <w:w w:val="110"/>
        </w:rPr>
        <w:t>of the questions involved."</w:t>
      </w:r>
      <w:r>
        <w:rPr>
          <w:color w:val="363436"/>
          <w:w w:val="110"/>
          <w:vertAlign w:val="superscript"/>
        </w:rPr>
        <w:t>30</w:t>
      </w:r>
      <w:r>
        <w:rPr>
          <w:color w:val="363436"/>
          <w:w w:val="110"/>
          <w:vertAlign w:val="baseline"/>
        </w:rPr>
        <w:t> Similarly, </w:t>
      </w:r>
      <w:r>
        <w:rPr>
          <w:color w:val="444444"/>
          <w:w w:val="110"/>
          <w:vertAlign w:val="baseline"/>
        </w:rPr>
        <w:t>the </w:t>
      </w:r>
      <w:r>
        <w:rPr>
          <w:color w:val="363436"/>
          <w:w w:val="110"/>
          <w:vertAlign w:val="baseline"/>
        </w:rPr>
        <w:t>local rules of the</w:t>
      </w:r>
      <w:r>
        <w:rPr>
          <w:color w:val="363436"/>
          <w:spacing w:val="1"/>
          <w:w w:val="110"/>
          <w:vertAlign w:val="baseline"/>
        </w:rPr>
        <w:t> </w:t>
      </w:r>
      <w:r>
        <w:rPr>
          <w:color w:val="363436"/>
          <w:w w:val="110"/>
          <w:vertAlign w:val="baseline"/>
        </w:rPr>
        <w:t>Third </w:t>
      </w:r>
      <w:r>
        <w:rPr>
          <w:color w:val="444444"/>
          <w:w w:val="110"/>
          <w:vertAlign w:val="baseline"/>
        </w:rPr>
        <w:t>Circuit </w:t>
      </w:r>
      <w:r>
        <w:rPr>
          <w:color w:val="363436"/>
          <w:w w:val="110"/>
          <w:vertAlign w:val="baseline"/>
        </w:rPr>
        <w:t>require that </w:t>
      </w:r>
      <w:r>
        <w:rPr>
          <w:color w:val="444444"/>
          <w:w w:val="110"/>
          <w:vertAlign w:val="baseline"/>
        </w:rPr>
        <w:t>"thestatement </w:t>
      </w:r>
      <w:r>
        <w:rPr>
          <w:color w:val="363436"/>
          <w:w w:val="110"/>
          <w:vertAlign w:val="baseline"/>
        </w:rPr>
        <w:t>of the standard </w:t>
      </w:r>
      <w:r>
        <w:rPr>
          <w:color w:val="444444"/>
          <w:w w:val="110"/>
          <w:vertAlign w:val="baseline"/>
        </w:rPr>
        <w:t>or scope of </w:t>
      </w:r>
      <w:r>
        <w:rPr>
          <w:color w:val="363436"/>
          <w:w w:val="110"/>
          <w:vertAlign w:val="baseline"/>
        </w:rPr>
        <w:t>review</w:t>
      </w:r>
      <w:r>
        <w:rPr>
          <w:color w:val="363436"/>
          <w:spacing w:val="1"/>
          <w:w w:val="110"/>
          <w:vertAlign w:val="baseline"/>
        </w:rPr>
        <w:t> </w:t>
      </w:r>
      <w:r>
        <w:rPr>
          <w:color w:val="363436"/>
          <w:w w:val="110"/>
          <w:vertAlign w:val="baseline"/>
        </w:rPr>
        <w:t>for </w:t>
      </w:r>
      <w:r>
        <w:rPr>
          <w:color w:val="444444"/>
          <w:w w:val="110"/>
          <w:vertAlign w:val="baseline"/>
        </w:rPr>
        <w:t>each </w:t>
      </w:r>
      <w:r>
        <w:rPr>
          <w:color w:val="363436"/>
          <w:w w:val="110"/>
          <w:vertAlign w:val="baseline"/>
        </w:rPr>
        <w:t>issue </w:t>
      </w:r>
      <w:r>
        <w:rPr>
          <w:color w:val="444444"/>
          <w:w w:val="110"/>
          <w:vertAlign w:val="baseline"/>
        </w:rPr>
        <w:t>on </w:t>
      </w:r>
      <w:r>
        <w:rPr>
          <w:color w:val="363436"/>
          <w:w w:val="110"/>
          <w:vertAlign w:val="baseline"/>
        </w:rPr>
        <w:t>appeal" </w:t>
      </w:r>
      <w:r>
        <w:rPr>
          <w:color w:val="444444"/>
          <w:w w:val="110"/>
          <w:vertAlign w:val="baseline"/>
        </w:rPr>
        <w:t>should appear </w:t>
      </w:r>
      <w:r>
        <w:rPr>
          <w:color w:val="363436"/>
          <w:w w:val="110"/>
          <w:vertAlign w:val="baseline"/>
        </w:rPr>
        <w:t>"under a separate heading placed</w:t>
      </w:r>
      <w:r>
        <w:rPr>
          <w:color w:val="363436"/>
          <w:spacing w:val="1"/>
          <w:w w:val="110"/>
          <w:vertAlign w:val="baseline"/>
        </w:rPr>
        <w:t> </w:t>
      </w:r>
      <w:r>
        <w:rPr>
          <w:color w:val="363436"/>
          <w:w w:val="115"/>
          <w:vertAlign w:val="baseline"/>
        </w:rPr>
        <w:t>before the </w:t>
      </w:r>
      <w:r>
        <w:rPr>
          <w:color w:val="444444"/>
          <w:w w:val="115"/>
          <w:vertAlign w:val="baseline"/>
        </w:rPr>
        <w:t>discussion </w:t>
      </w:r>
      <w:r>
        <w:rPr>
          <w:color w:val="363436"/>
          <w:w w:val="115"/>
          <w:vertAlign w:val="baseline"/>
        </w:rPr>
        <w:t>of the issue.</w:t>
      </w:r>
      <w:r>
        <w:rPr>
          <w:color w:val="444444"/>
          <w:w w:val="115"/>
          <w:vertAlign w:val="baseline"/>
        </w:rPr>
        <w:t>"</w:t>
      </w:r>
      <w:r>
        <w:rPr>
          <w:color w:val="444444"/>
          <w:w w:val="115"/>
          <w:vertAlign w:val="superscript"/>
        </w:rPr>
        <w:t>31</w:t>
      </w:r>
      <w:r>
        <w:rPr>
          <w:color w:val="444444"/>
          <w:w w:val="115"/>
          <w:vertAlign w:val="baseline"/>
        </w:rPr>
        <w:t> </w:t>
      </w:r>
      <w:r>
        <w:rPr>
          <w:color w:val="363436"/>
          <w:w w:val="115"/>
          <w:vertAlign w:val="baseline"/>
        </w:rPr>
        <w:t>The Rules of </w:t>
      </w:r>
      <w:r>
        <w:rPr>
          <w:color w:val="444444"/>
          <w:w w:val="115"/>
          <w:vertAlign w:val="baseline"/>
        </w:rPr>
        <w:t>Court </w:t>
      </w:r>
      <w:r>
        <w:rPr>
          <w:color w:val="363436"/>
          <w:w w:val="115"/>
          <w:vertAlign w:val="baseline"/>
        </w:rPr>
        <w:t>for </w:t>
      </w:r>
      <w:r>
        <w:rPr>
          <w:color w:val="444444"/>
          <w:w w:val="115"/>
          <w:vertAlign w:val="baseline"/>
        </w:rPr>
        <w:t>the </w:t>
      </w:r>
      <w:r>
        <w:rPr>
          <w:color w:val="363436"/>
          <w:w w:val="115"/>
          <w:vertAlign w:val="baseline"/>
        </w:rPr>
        <w:t>Kansas</w:t>
      </w:r>
      <w:r>
        <w:rPr>
          <w:color w:val="363436"/>
          <w:spacing w:val="-64"/>
          <w:w w:val="115"/>
          <w:vertAlign w:val="baseline"/>
        </w:rPr>
        <w:t> </w:t>
      </w:r>
      <w:r>
        <w:rPr>
          <w:color w:val="363436"/>
          <w:w w:val="110"/>
          <w:vertAlign w:val="baseline"/>
        </w:rPr>
        <w:t>Supreme </w:t>
      </w:r>
      <w:r>
        <w:rPr>
          <w:color w:val="444444"/>
          <w:w w:val="110"/>
          <w:vertAlign w:val="baseline"/>
        </w:rPr>
        <w:t>Court </w:t>
      </w:r>
      <w:r>
        <w:rPr>
          <w:color w:val="363436"/>
          <w:w w:val="110"/>
          <w:vertAlign w:val="baseline"/>
        </w:rPr>
        <w:t>require that within the Appellant's </w:t>
      </w:r>
      <w:r>
        <w:rPr>
          <w:color w:val="444444"/>
          <w:w w:val="110"/>
          <w:vertAlign w:val="baseline"/>
        </w:rPr>
        <w:t>Brief, </w:t>
      </w:r>
      <w:r>
        <w:rPr>
          <w:color w:val="363436"/>
          <w:w w:val="110"/>
          <w:vertAlign w:val="baseline"/>
        </w:rPr>
        <w:t>"[e]ach issue</w:t>
      </w:r>
      <w:r>
        <w:rPr>
          <w:color w:val="444444"/>
          <w:w w:val="110"/>
          <w:vertAlign w:val="baseline"/>
        </w:rPr>
        <w:t>shall</w:t>
      </w:r>
      <w:r>
        <w:rPr>
          <w:color w:val="444444"/>
          <w:spacing w:val="-61"/>
          <w:w w:val="110"/>
          <w:vertAlign w:val="baseline"/>
        </w:rPr>
        <w:t> </w:t>
      </w:r>
      <w:r>
        <w:rPr>
          <w:color w:val="363436"/>
          <w:w w:val="110"/>
          <w:vertAlign w:val="baseline"/>
        </w:rPr>
        <w:t>begin with citation to the appropriate </w:t>
      </w:r>
      <w:r>
        <w:rPr>
          <w:color w:val="444444"/>
          <w:w w:val="110"/>
          <w:vertAlign w:val="baseline"/>
        </w:rPr>
        <w:t>standard </w:t>
      </w:r>
      <w:r>
        <w:rPr>
          <w:color w:val="363436"/>
          <w:w w:val="110"/>
          <w:vertAlign w:val="baseline"/>
        </w:rPr>
        <w:t>of appellate </w:t>
      </w:r>
      <w:r>
        <w:rPr>
          <w:color w:val="444444"/>
          <w:w w:val="110"/>
          <w:vertAlign w:val="baseline"/>
        </w:rPr>
        <w:t>review </w:t>
      </w:r>
      <w:r>
        <w:rPr>
          <w:color w:val="363436"/>
          <w:w w:val="110"/>
          <w:vertAlign w:val="baseline"/>
        </w:rPr>
        <w:t>and</w:t>
      </w:r>
      <w:r>
        <w:rPr>
          <w:color w:val="363436"/>
          <w:spacing w:val="1"/>
          <w:w w:val="110"/>
          <w:vertAlign w:val="baseline"/>
        </w:rPr>
        <w:t> </w:t>
      </w:r>
      <w:r>
        <w:rPr>
          <w:color w:val="363436"/>
          <w:w w:val="110"/>
          <w:vertAlign w:val="baseline"/>
        </w:rPr>
        <w:t>a</w:t>
      </w:r>
      <w:r>
        <w:rPr>
          <w:color w:val="363436"/>
          <w:spacing w:val="1"/>
          <w:w w:val="110"/>
          <w:vertAlign w:val="baseline"/>
        </w:rPr>
        <w:t> </w:t>
      </w:r>
      <w:r>
        <w:rPr>
          <w:color w:val="363436"/>
          <w:w w:val="110"/>
          <w:vertAlign w:val="baseline"/>
        </w:rPr>
        <w:t>reference to the </w:t>
      </w:r>
      <w:r>
        <w:rPr>
          <w:color w:val="444444"/>
          <w:w w:val="110"/>
          <w:vertAlign w:val="baseline"/>
        </w:rPr>
        <w:t>specific </w:t>
      </w:r>
      <w:r>
        <w:rPr>
          <w:color w:val="363436"/>
          <w:w w:val="110"/>
          <w:vertAlign w:val="baseline"/>
        </w:rPr>
        <w:t>location in the record on </w:t>
      </w:r>
      <w:r>
        <w:rPr>
          <w:color w:val="444444"/>
          <w:w w:val="110"/>
          <w:vertAlign w:val="baseline"/>
        </w:rPr>
        <w:t>appeal </w:t>
      </w:r>
      <w:r>
        <w:rPr>
          <w:color w:val="363436"/>
          <w:w w:val="110"/>
          <w:vertAlign w:val="baseline"/>
        </w:rPr>
        <w:t>where the issue</w:t>
      </w:r>
      <w:r>
        <w:rPr>
          <w:color w:val="363436"/>
          <w:spacing w:val="1"/>
          <w:w w:val="110"/>
          <w:vertAlign w:val="baseline"/>
        </w:rPr>
        <w:t> </w:t>
      </w:r>
      <w:r>
        <w:rPr>
          <w:color w:val="444444"/>
          <w:w w:val="110"/>
          <w:vertAlign w:val="baseline"/>
        </w:rPr>
        <w:t>was </w:t>
      </w:r>
      <w:r>
        <w:rPr>
          <w:color w:val="363436"/>
          <w:w w:val="110"/>
          <w:vertAlign w:val="baseline"/>
        </w:rPr>
        <w:t>raised and ruled </w:t>
      </w:r>
      <w:r>
        <w:rPr>
          <w:color w:val="444444"/>
          <w:w w:val="110"/>
          <w:vertAlign w:val="baseline"/>
        </w:rPr>
        <w:t>upon."</w:t>
      </w:r>
      <w:r>
        <w:rPr>
          <w:color w:val="444444"/>
          <w:w w:val="110"/>
          <w:vertAlign w:val="superscript"/>
        </w:rPr>
        <w:t>32</w:t>
      </w:r>
      <w:r>
        <w:rPr>
          <w:color w:val="444444"/>
          <w:w w:val="110"/>
          <w:vertAlign w:val="baseline"/>
        </w:rPr>
        <w:t> </w:t>
      </w:r>
      <w:r>
        <w:rPr>
          <w:color w:val="363436"/>
          <w:w w:val="110"/>
          <w:vertAlign w:val="baseline"/>
        </w:rPr>
        <w:t>If the</w:t>
      </w:r>
      <w:r>
        <w:rPr>
          <w:color w:val="363436"/>
          <w:spacing w:val="1"/>
          <w:w w:val="110"/>
          <w:vertAlign w:val="baseline"/>
        </w:rPr>
        <w:t> </w:t>
      </w:r>
      <w:r>
        <w:rPr>
          <w:color w:val="363436"/>
          <w:w w:val="110"/>
          <w:vertAlign w:val="baseline"/>
        </w:rPr>
        <w:t>local rules do not demand a </w:t>
      </w:r>
      <w:r>
        <w:rPr>
          <w:color w:val="444444"/>
          <w:w w:val="110"/>
          <w:vertAlign w:val="baseline"/>
        </w:rPr>
        <w:t>separate</w:t>
      </w:r>
      <w:r>
        <w:rPr>
          <w:color w:val="444444"/>
          <w:spacing w:val="1"/>
          <w:w w:val="110"/>
          <w:vertAlign w:val="baseline"/>
        </w:rPr>
        <w:t> </w:t>
      </w:r>
      <w:r>
        <w:rPr>
          <w:color w:val="363436"/>
          <w:w w:val="110"/>
          <w:vertAlign w:val="baseline"/>
        </w:rPr>
        <w:t>statement, the </w:t>
      </w:r>
      <w:r>
        <w:rPr>
          <w:color w:val="444444"/>
          <w:w w:val="110"/>
          <w:vertAlign w:val="baseline"/>
        </w:rPr>
        <w:t>standard should </w:t>
      </w:r>
      <w:r>
        <w:rPr>
          <w:color w:val="363436"/>
          <w:w w:val="110"/>
          <w:vertAlign w:val="baseline"/>
        </w:rPr>
        <w:t>usually </w:t>
      </w:r>
      <w:r>
        <w:rPr>
          <w:color w:val="444444"/>
          <w:w w:val="110"/>
          <w:vertAlign w:val="baseline"/>
        </w:rPr>
        <w:t>be </w:t>
      </w:r>
      <w:r>
        <w:rPr>
          <w:color w:val="363436"/>
          <w:w w:val="110"/>
          <w:vertAlign w:val="baseline"/>
        </w:rPr>
        <w:t>included in introductory </w:t>
      </w:r>
      <w:r>
        <w:rPr>
          <w:color w:val="444444"/>
          <w:w w:val="110"/>
          <w:vertAlign w:val="baseline"/>
        </w:rPr>
        <w:t>mate­</w:t>
      </w:r>
      <w:r>
        <w:rPr>
          <w:color w:val="444444"/>
          <w:spacing w:val="1"/>
          <w:w w:val="110"/>
          <w:vertAlign w:val="baseline"/>
        </w:rPr>
        <w:t> </w:t>
      </w:r>
      <w:r>
        <w:rPr>
          <w:color w:val="363436"/>
          <w:w w:val="110"/>
          <w:vertAlign w:val="baseline"/>
        </w:rPr>
        <w:t>rial within the</w:t>
      </w:r>
      <w:r>
        <w:rPr>
          <w:color w:val="363436"/>
          <w:spacing w:val="1"/>
          <w:w w:val="110"/>
          <w:vertAlign w:val="baseline"/>
        </w:rPr>
        <w:t> </w:t>
      </w:r>
      <w:r>
        <w:rPr>
          <w:color w:val="444444"/>
          <w:w w:val="110"/>
          <w:vertAlign w:val="baseline"/>
        </w:rPr>
        <w:t>argument.</w:t>
      </w:r>
      <w:r>
        <w:rPr>
          <w:color w:val="444444"/>
          <w:spacing w:val="1"/>
          <w:w w:val="110"/>
          <w:vertAlign w:val="baseline"/>
        </w:rPr>
        <w:t> </w:t>
      </w:r>
      <w:r>
        <w:rPr>
          <w:color w:val="444444"/>
          <w:w w:val="110"/>
          <w:vertAlign w:val="baseline"/>
        </w:rPr>
        <w:t>No </w:t>
      </w:r>
      <w:r>
        <w:rPr>
          <w:color w:val="363436"/>
          <w:w w:val="110"/>
          <w:vertAlign w:val="baseline"/>
        </w:rPr>
        <w:t>matter what method is used, </w:t>
      </w:r>
      <w:r>
        <w:rPr>
          <w:color w:val="444444"/>
          <w:w w:val="110"/>
          <w:vertAlign w:val="baseline"/>
        </w:rPr>
        <w:t>you should cite</w:t>
      </w:r>
      <w:r>
        <w:rPr>
          <w:color w:val="444444"/>
          <w:spacing w:val="1"/>
          <w:w w:val="110"/>
          <w:vertAlign w:val="baseline"/>
        </w:rPr>
        <w:t> </w:t>
      </w:r>
      <w:r>
        <w:rPr>
          <w:color w:val="363436"/>
          <w:w w:val="115"/>
          <w:vertAlign w:val="baseline"/>
        </w:rPr>
        <w:t>to authority for the standard of review, just as </w:t>
      </w:r>
      <w:r>
        <w:rPr>
          <w:color w:val="444444"/>
          <w:w w:val="115"/>
          <w:vertAlign w:val="baseline"/>
        </w:rPr>
        <w:t>you would for </w:t>
      </w:r>
      <w:r>
        <w:rPr>
          <w:color w:val="363436"/>
          <w:w w:val="115"/>
          <w:vertAlign w:val="baseline"/>
        </w:rPr>
        <w:t>any legal</w:t>
      </w:r>
      <w:r>
        <w:rPr>
          <w:color w:val="363436"/>
          <w:spacing w:val="1"/>
          <w:w w:val="115"/>
          <w:vertAlign w:val="baseline"/>
        </w:rPr>
        <w:t> </w:t>
      </w:r>
      <w:r>
        <w:rPr>
          <w:color w:val="363436"/>
          <w:w w:val="115"/>
          <w:vertAlign w:val="baseline"/>
        </w:rPr>
        <w:t>proposition.</w:t>
      </w:r>
    </w:p>
    <w:p>
      <w:pPr>
        <w:pStyle w:val="BodyText"/>
        <w:spacing w:line="243" w:lineRule="exact"/>
        <w:ind w:left="500"/>
      </w:pPr>
      <w:r>
        <w:rPr>
          <w:color w:val="363436"/>
          <w:w w:val="115"/>
        </w:rPr>
        <w:t>In</w:t>
      </w:r>
      <w:r>
        <w:rPr>
          <w:color w:val="363436"/>
          <w:spacing w:val="7"/>
          <w:w w:val="115"/>
        </w:rPr>
        <w:t> </w:t>
      </w:r>
      <w:r>
        <w:rPr>
          <w:color w:val="363436"/>
          <w:w w:val="115"/>
        </w:rPr>
        <w:t>most</w:t>
      </w:r>
      <w:r>
        <w:rPr>
          <w:color w:val="363436"/>
          <w:spacing w:val="-11"/>
          <w:w w:val="115"/>
        </w:rPr>
        <w:t> </w:t>
      </w:r>
      <w:r>
        <w:rPr>
          <w:color w:val="444444"/>
          <w:w w:val="115"/>
        </w:rPr>
        <w:t>situations,</w:t>
      </w:r>
      <w:r>
        <w:rPr>
          <w:color w:val="444444"/>
          <w:spacing w:val="3"/>
          <w:w w:val="115"/>
        </w:rPr>
        <w:t> </w:t>
      </w:r>
      <w:r>
        <w:rPr>
          <w:color w:val="363436"/>
          <w:w w:val="115"/>
        </w:rPr>
        <w:t>the</w:t>
      </w:r>
      <w:r>
        <w:rPr>
          <w:color w:val="363436"/>
          <w:spacing w:val="6"/>
          <w:w w:val="115"/>
        </w:rPr>
        <w:t> </w:t>
      </w:r>
      <w:r>
        <w:rPr>
          <w:color w:val="363436"/>
          <w:w w:val="115"/>
        </w:rPr>
        <w:t>statement</w:t>
      </w:r>
      <w:r>
        <w:rPr>
          <w:color w:val="363436"/>
          <w:spacing w:val="-11"/>
          <w:w w:val="115"/>
        </w:rPr>
        <w:t> </w:t>
      </w:r>
      <w:r>
        <w:rPr>
          <w:color w:val="363436"/>
          <w:w w:val="115"/>
        </w:rPr>
        <w:t>of</w:t>
      </w:r>
      <w:r>
        <w:rPr>
          <w:color w:val="363436"/>
          <w:spacing w:val="7"/>
          <w:w w:val="115"/>
        </w:rPr>
        <w:t> </w:t>
      </w:r>
      <w:r>
        <w:rPr>
          <w:color w:val="363436"/>
          <w:w w:val="115"/>
        </w:rPr>
        <w:t>the</w:t>
      </w:r>
      <w:r>
        <w:rPr>
          <w:color w:val="363436"/>
          <w:spacing w:val="31"/>
          <w:w w:val="115"/>
        </w:rPr>
        <w:t> </w:t>
      </w:r>
      <w:r>
        <w:rPr>
          <w:color w:val="363436"/>
          <w:w w:val="115"/>
        </w:rPr>
        <w:t>appellate</w:t>
      </w:r>
      <w:r>
        <w:rPr>
          <w:color w:val="363436"/>
          <w:spacing w:val="-15"/>
          <w:w w:val="115"/>
        </w:rPr>
        <w:t> </w:t>
      </w:r>
      <w:r>
        <w:rPr>
          <w:color w:val="363436"/>
          <w:w w:val="115"/>
        </w:rPr>
        <w:t>standard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of</w:t>
      </w:r>
      <w:r>
        <w:rPr>
          <w:color w:val="363436"/>
          <w:spacing w:val="5"/>
          <w:w w:val="115"/>
        </w:rPr>
        <w:t> </w:t>
      </w:r>
      <w:r>
        <w:rPr>
          <w:color w:val="363436"/>
          <w:w w:val="115"/>
        </w:rPr>
        <w:t>review</w:t>
      </w:r>
    </w:p>
    <w:p>
      <w:pPr>
        <w:pStyle w:val="BodyText"/>
        <w:spacing w:line="235" w:lineRule="auto" w:before="2"/>
        <w:ind w:left="128" w:firstLine="9"/>
      </w:pPr>
      <w:r>
        <w:rPr>
          <w:color w:val="363436"/>
          <w:w w:val="110"/>
        </w:rPr>
        <w:t>requires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no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more </w:t>
      </w:r>
      <w:r>
        <w:rPr>
          <w:color w:val="444444"/>
          <w:w w:val="110"/>
        </w:rPr>
        <w:t>than </w:t>
      </w:r>
      <w:r>
        <w:rPr>
          <w:color w:val="363436"/>
          <w:w w:val="110"/>
        </w:rPr>
        <w:t>a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paragraph. As noted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previously,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however, </w:t>
      </w:r>
      <w:r>
        <w:rPr>
          <w:color w:val="444444"/>
          <w:w w:val="110"/>
        </w:rPr>
        <w:t>if </w:t>
      </w:r>
      <w:r>
        <w:rPr>
          <w:color w:val="363436"/>
          <w:w w:val="110"/>
        </w:rPr>
        <w:t>the</w:t>
      </w:r>
      <w:r>
        <w:rPr>
          <w:color w:val="363436"/>
          <w:spacing w:val="-61"/>
          <w:w w:val="110"/>
        </w:rPr>
        <w:t> </w:t>
      </w:r>
      <w:r>
        <w:rPr>
          <w:color w:val="444444"/>
          <w:w w:val="115"/>
        </w:rPr>
        <w:t>standard</w:t>
      </w:r>
      <w:r>
        <w:rPr>
          <w:color w:val="444444"/>
          <w:spacing w:val="34"/>
          <w:w w:val="115"/>
        </w:rPr>
        <w:t> </w:t>
      </w:r>
      <w:r>
        <w:rPr>
          <w:color w:val="363436"/>
          <w:w w:val="115"/>
        </w:rPr>
        <w:t>is</w:t>
      </w:r>
      <w:r>
        <w:rPr>
          <w:color w:val="363436"/>
          <w:spacing w:val="10"/>
          <w:w w:val="115"/>
        </w:rPr>
        <w:t> </w:t>
      </w:r>
      <w:r>
        <w:rPr>
          <w:color w:val="444444"/>
          <w:w w:val="115"/>
        </w:rPr>
        <w:t>controversial</w:t>
      </w:r>
      <w:r>
        <w:rPr>
          <w:color w:val="444444"/>
          <w:spacing w:val="28"/>
          <w:w w:val="115"/>
        </w:rPr>
        <w:t> </w:t>
      </w:r>
      <w:r>
        <w:rPr>
          <w:color w:val="444444"/>
          <w:w w:val="115"/>
        </w:rPr>
        <w:t>or</w:t>
      </w:r>
      <w:r>
        <w:rPr>
          <w:color w:val="444444"/>
          <w:spacing w:val="33"/>
          <w:w w:val="115"/>
        </w:rPr>
        <w:t> </w:t>
      </w:r>
      <w:r>
        <w:rPr>
          <w:color w:val="363436"/>
          <w:w w:val="115"/>
        </w:rPr>
        <w:t>if</w:t>
      </w:r>
      <w:r>
        <w:rPr>
          <w:color w:val="363436"/>
          <w:spacing w:val="28"/>
          <w:w w:val="115"/>
        </w:rPr>
        <w:t> </w:t>
      </w:r>
      <w:r>
        <w:rPr>
          <w:color w:val="363436"/>
          <w:w w:val="115"/>
        </w:rPr>
        <w:t>it</w:t>
      </w:r>
      <w:r>
        <w:rPr>
          <w:color w:val="363436"/>
          <w:spacing w:val="40"/>
          <w:w w:val="115"/>
        </w:rPr>
        <w:t> </w:t>
      </w:r>
      <w:r>
        <w:rPr>
          <w:color w:val="363436"/>
          <w:w w:val="115"/>
        </w:rPr>
        <w:t>is</w:t>
      </w:r>
      <w:r>
        <w:rPr>
          <w:color w:val="363436"/>
          <w:spacing w:val="26"/>
          <w:w w:val="115"/>
        </w:rPr>
        <w:t> </w:t>
      </w:r>
      <w:r>
        <w:rPr>
          <w:color w:val="363436"/>
          <w:w w:val="115"/>
        </w:rPr>
        <w:t>otherwise</w:t>
      </w:r>
      <w:r>
        <w:rPr>
          <w:color w:val="363436"/>
          <w:spacing w:val="16"/>
          <w:w w:val="115"/>
        </w:rPr>
        <w:t> </w:t>
      </w:r>
      <w:r>
        <w:rPr>
          <w:color w:val="444444"/>
          <w:w w:val="115"/>
        </w:rPr>
        <w:t>significant</w:t>
      </w:r>
      <w:r>
        <w:rPr>
          <w:color w:val="444444"/>
          <w:spacing w:val="26"/>
          <w:w w:val="115"/>
        </w:rPr>
        <w:t> </w:t>
      </w:r>
      <w:r>
        <w:rPr>
          <w:color w:val="363436"/>
          <w:w w:val="115"/>
        </w:rPr>
        <w:t>to</w:t>
      </w:r>
      <w:r>
        <w:rPr>
          <w:color w:val="363436"/>
          <w:spacing w:val="35"/>
          <w:w w:val="115"/>
        </w:rPr>
        <w:t> </w:t>
      </w:r>
      <w:r>
        <w:rPr>
          <w:color w:val="444444"/>
          <w:w w:val="115"/>
        </w:rPr>
        <w:t>your</w:t>
      </w:r>
      <w:r>
        <w:rPr>
          <w:color w:val="444444"/>
          <w:spacing w:val="13"/>
          <w:w w:val="115"/>
        </w:rPr>
        <w:t> </w:t>
      </w:r>
      <w:r>
        <w:rPr>
          <w:color w:val="363436"/>
          <w:w w:val="115"/>
        </w:rPr>
        <w:t>argu­</w:t>
      </w:r>
      <w:r>
        <w:rPr>
          <w:color w:val="363436"/>
          <w:spacing w:val="-63"/>
          <w:w w:val="115"/>
        </w:rPr>
        <w:t> </w:t>
      </w:r>
      <w:r>
        <w:rPr>
          <w:color w:val="363436"/>
          <w:w w:val="115"/>
        </w:rPr>
        <w:t>ment,</w:t>
      </w:r>
      <w:r>
        <w:rPr>
          <w:color w:val="363436"/>
          <w:spacing w:val="21"/>
          <w:w w:val="115"/>
        </w:rPr>
        <w:t> </w:t>
      </w:r>
      <w:r>
        <w:rPr>
          <w:color w:val="363436"/>
          <w:w w:val="115"/>
        </w:rPr>
        <w:t>it</w:t>
      </w:r>
      <w:r>
        <w:rPr>
          <w:color w:val="363436"/>
          <w:spacing w:val="13"/>
          <w:w w:val="115"/>
        </w:rPr>
        <w:t> </w:t>
      </w:r>
      <w:r>
        <w:rPr>
          <w:color w:val="444444"/>
          <w:w w:val="115"/>
        </w:rPr>
        <w:t>should</w:t>
      </w:r>
      <w:r>
        <w:rPr>
          <w:color w:val="444444"/>
          <w:spacing w:val="24"/>
          <w:w w:val="115"/>
        </w:rPr>
        <w:t> </w:t>
      </w:r>
      <w:r>
        <w:rPr>
          <w:color w:val="363436"/>
          <w:w w:val="115"/>
        </w:rPr>
        <w:t>be</w:t>
      </w:r>
      <w:r>
        <w:rPr>
          <w:color w:val="363436"/>
          <w:spacing w:val="12"/>
          <w:w w:val="115"/>
        </w:rPr>
        <w:t> </w:t>
      </w:r>
      <w:r>
        <w:rPr>
          <w:color w:val="363436"/>
          <w:w w:val="115"/>
        </w:rPr>
        <w:t>treated</w:t>
      </w:r>
      <w:r>
        <w:rPr>
          <w:color w:val="363436"/>
          <w:spacing w:val="17"/>
          <w:w w:val="115"/>
        </w:rPr>
        <w:t> </w:t>
      </w:r>
      <w:r>
        <w:rPr>
          <w:color w:val="363436"/>
          <w:w w:val="115"/>
        </w:rPr>
        <w:t>like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any</w:t>
      </w:r>
      <w:r>
        <w:rPr>
          <w:color w:val="363436"/>
          <w:spacing w:val="25"/>
          <w:w w:val="115"/>
        </w:rPr>
        <w:t> </w:t>
      </w:r>
      <w:r>
        <w:rPr>
          <w:color w:val="363436"/>
          <w:w w:val="115"/>
        </w:rPr>
        <w:t>other</w:t>
      </w:r>
      <w:r>
        <w:rPr>
          <w:color w:val="363436"/>
          <w:spacing w:val="25"/>
          <w:w w:val="115"/>
        </w:rPr>
        <w:t> </w:t>
      </w:r>
      <w:r>
        <w:rPr>
          <w:color w:val="363436"/>
          <w:w w:val="115"/>
        </w:rPr>
        <w:t>major</w:t>
      </w:r>
      <w:r>
        <w:rPr>
          <w:color w:val="363436"/>
          <w:spacing w:val="24"/>
          <w:w w:val="115"/>
        </w:rPr>
        <w:t> </w:t>
      </w:r>
      <w:r>
        <w:rPr>
          <w:color w:val="363436"/>
          <w:w w:val="115"/>
        </w:rPr>
        <w:t>issue,</w:t>
      </w:r>
      <w:r>
        <w:rPr>
          <w:color w:val="363436"/>
          <w:spacing w:val="14"/>
          <w:w w:val="115"/>
        </w:rPr>
        <w:t> </w:t>
      </w:r>
      <w:r>
        <w:rPr>
          <w:color w:val="444444"/>
          <w:w w:val="115"/>
        </w:rPr>
        <w:t>with</w:t>
      </w:r>
      <w:r>
        <w:rPr>
          <w:color w:val="444444"/>
          <w:spacing w:val="8"/>
          <w:w w:val="115"/>
        </w:rPr>
        <w:t> </w:t>
      </w:r>
      <w:r>
        <w:rPr>
          <w:color w:val="444444"/>
          <w:w w:val="115"/>
        </w:rPr>
        <w:t>appropriate</w:t>
      </w:r>
      <w:r>
        <w:rPr>
          <w:color w:val="444444"/>
          <w:spacing w:val="1"/>
          <w:w w:val="115"/>
        </w:rPr>
        <w:t> </w:t>
      </w:r>
      <w:r>
        <w:rPr>
          <w:color w:val="363436"/>
          <w:w w:val="115"/>
        </w:rPr>
        <w:t>point headings </w:t>
      </w:r>
      <w:r>
        <w:rPr>
          <w:color w:val="444444"/>
          <w:w w:val="115"/>
        </w:rPr>
        <w:t>and</w:t>
      </w:r>
      <w:r>
        <w:rPr>
          <w:color w:val="444444"/>
          <w:spacing w:val="1"/>
          <w:w w:val="115"/>
        </w:rPr>
        <w:t> </w:t>
      </w:r>
      <w:r>
        <w:rPr>
          <w:color w:val="363436"/>
          <w:w w:val="115"/>
        </w:rPr>
        <w:t>text used to make the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point. This method </w:t>
      </w:r>
      <w:r>
        <w:rPr>
          <w:color w:val="444444"/>
          <w:w w:val="115"/>
        </w:rPr>
        <w:t>should </w:t>
      </w:r>
      <w:r>
        <w:rPr>
          <w:color w:val="363436"/>
          <w:w w:val="115"/>
        </w:rPr>
        <w:t>be</w:t>
      </w:r>
      <w:r>
        <w:rPr>
          <w:color w:val="363436"/>
          <w:spacing w:val="-64"/>
          <w:w w:val="115"/>
        </w:rPr>
        <w:t> </w:t>
      </w:r>
      <w:r>
        <w:rPr>
          <w:color w:val="363436"/>
          <w:w w:val="115"/>
        </w:rPr>
        <w:t>used </w:t>
      </w:r>
      <w:r>
        <w:rPr>
          <w:color w:val="444444"/>
          <w:w w:val="115"/>
        </w:rPr>
        <w:t>even if</w:t>
      </w:r>
      <w:r>
        <w:rPr>
          <w:color w:val="444444"/>
          <w:spacing w:val="1"/>
          <w:w w:val="115"/>
        </w:rPr>
        <w:t> </w:t>
      </w:r>
      <w:r>
        <w:rPr>
          <w:color w:val="363436"/>
          <w:w w:val="115"/>
        </w:rPr>
        <w:t>the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local rules </w:t>
      </w:r>
      <w:r>
        <w:rPr>
          <w:color w:val="444444"/>
          <w:w w:val="115"/>
        </w:rPr>
        <w:t>require a separate, formal statement of</w:t>
      </w:r>
      <w:r>
        <w:rPr>
          <w:color w:val="444444"/>
          <w:spacing w:val="1"/>
          <w:w w:val="115"/>
        </w:rPr>
        <w:t> </w:t>
      </w:r>
      <w:r>
        <w:rPr>
          <w:color w:val="363436"/>
          <w:w w:val="115"/>
        </w:rPr>
        <w:t>the</w:t>
      </w:r>
      <w:r>
        <w:rPr>
          <w:color w:val="363436"/>
          <w:spacing w:val="1"/>
          <w:w w:val="115"/>
        </w:rPr>
        <w:t> </w:t>
      </w:r>
      <w:r>
        <w:rPr>
          <w:color w:val="444444"/>
          <w:w w:val="115"/>
        </w:rPr>
        <w:t>standard.</w:t>
      </w:r>
    </w:p>
    <w:p>
      <w:pPr>
        <w:pStyle w:val="BodyText"/>
        <w:rPr>
          <w:sz w:val="26"/>
        </w:rPr>
      </w:pPr>
    </w:p>
    <w:p>
      <w:pPr>
        <w:spacing w:before="224"/>
        <w:ind w:left="758" w:right="0" w:firstLine="0"/>
        <w:jc w:val="left"/>
        <w:rPr>
          <w:rFonts w:ascii="Arial"/>
          <w:b/>
          <w:sz w:val="33"/>
        </w:rPr>
      </w:pPr>
      <w:r>
        <w:rPr>
          <w:rFonts w:ascii="Arial"/>
          <w:b/>
          <w:color w:val="363436"/>
          <w:w w:val="115"/>
          <w:sz w:val="33"/>
        </w:rPr>
        <w:t>2.4</w:t>
      </w:r>
    </w:p>
    <w:p>
      <w:pPr>
        <w:spacing w:line="316" w:lineRule="auto" w:before="62"/>
        <w:ind w:left="757" w:right="0" w:firstLine="4"/>
        <w:jc w:val="left"/>
        <w:rPr>
          <w:rFonts w:ascii="Arial"/>
          <w:b/>
          <w:sz w:val="26"/>
        </w:rPr>
      </w:pPr>
      <w:r>
        <w:rPr>
          <w:rFonts w:ascii="Arial"/>
          <w:b/>
          <w:color w:val="363436"/>
          <w:w w:val="105"/>
          <w:sz w:val="26"/>
        </w:rPr>
        <w:t>"PLEADING</w:t>
      </w:r>
      <w:r>
        <w:rPr>
          <w:rFonts w:ascii="Arial"/>
          <w:b/>
          <w:color w:val="363436"/>
          <w:spacing w:val="15"/>
          <w:w w:val="105"/>
          <w:sz w:val="26"/>
        </w:rPr>
        <w:t> </w:t>
      </w:r>
      <w:r>
        <w:rPr>
          <w:rFonts w:ascii="Arial"/>
          <w:b/>
          <w:color w:val="363436"/>
          <w:w w:val="105"/>
          <w:sz w:val="26"/>
        </w:rPr>
        <w:t>STANDARDS"</w:t>
      </w:r>
      <w:r>
        <w:rPr>
          <w:rFonts w:ascii="Arial"/>
          <w:b/>
          <w:color w:val="363436"/>
          <w:spacing w:val="5"/>
          <w:w w:val="105"/>
          <w:sz w:val="26"/>
        </w:rPr>
        <w:t> </w:t>
      </w:r>
      <w:r>
        <w:rPr>
          <w:rFonts w:ascii="Arial"/>
          <w:b/>
          <w:color w:val="363436"/>
          <w:w w:val="105"/>
          <w:sz w:val="26"/>
        </w:rPr>
        <w:t>OR</w:t>
      </w:r>
      <w:r>
        <w:rPr>
          <w:rFonts w:ascii="Arial"/>
          <w:b/>
          <w:color w:val="363436"/>
          <w:spacing w:val="-11"/>
          <w:w w:val="105"/>
          <w:sz w:val="26"/>
        </w:rPr>
        <w:t> </w:t>
      </w:r>
      <w:r>
        <w:rPr>
          <w:rFonts w:ascii="Arial"/>
          <w:b/>
          <w:color w:val="363436"/>
          <w:w w:val="105"/>
          <w:sz w:val="26"/>
        </w:rPr>
        <w:t>STANDARDS</w:t>
      </w:r>
      <w:r>
        <w:rPr>
          <w:rFonts w:ascii="Arial"/>
          <w:b/>
          <w:color w:val="363436"/>
          <w:spacing w:val="4"/>
          <w:w w:val="105"/>
          <w:sz w:val="26"/>
        </w:rPr>
        <w:t> </w:t>
      </w:r>
      <w:r>
        <w:rPr>
          <w:rFonts w:ascii="Arial"/>
          <w:b/>
          <w:color w:val="363436"/>
          <w:w w:val="105"/>
          <w:sz w:val="26"/>
        </w:rPr>
        <w:t>OF</w:t>
      </w:r>
      <w:r>
        <w:rPr>
          <w:rFonts w:ascii="Arial"/>
          <w:b/>
          <w:color w:val="363436"/>
          <w:spacing w:val="-73"/>
          <w:w w:val="105"/>
          <w:sz w:val="26"/>
        </w:rPr>
        <w:t> </w:t>
      </w:r>
      <w:r>
        <w:rPr>
          <w:rFonts w:ascii="Arial"/>
          <w:b/>
          <w:color w:val="363436"/>
          <w:w w:val="105"/>
          <w:sz w:val="26"/>
        </w:rPr>
        <w:t>REVIEW</w:t>
      </w:r>
      <w:r>
        <w:rPr>
          <w:rFonts w:ascii="Arial"/>
          <w:b/>
          <w:color w:val="363436"/>
          <w:spacing w:val="13"/>
          <w:w w:val="105"/>
          <w:sz w:val="26"/>
        </w:rPr>
        <w:t> </w:t>
      </w:r>
      <w:r>
        <w:rPr>
          <w:rFonts w:ascii="Arial"/>
          <w:b/>
          <w:color w:val="363436"/>
          <w:w w:val="105"/>
          <w:sz w:val="26"/>
        </w:rPr>
        <w:t>IN</w:t>
      </w:r>
      <w:r>
        <w:rPr>
          <w:rFonts w:ascii="Arial"/>
          <w:b/>
          <w:color w:val="363436"/>
          <w:spacing w:val="53"/>
          <w:w w:val="105"/>
          <w:sz w:val="26"/>
        </w:rPr>
        <w:t> </w:t>
      </w:r>
      <w:r>
        <w:rPr>
          <w:rFonts w:ascii="Arial"/>
          <w:b/>
          <w:color w:val="363436"/>
          <w:w w:val="105"/>
          <w:sz w:val="26"/>
        </w:rPr>
        <w:t>MOTION</w:t>
      </w:r>
      <w:r>
        <w:rPr>
          <w:rFonts w:ascii="Arial"/>
          <w:b/>
          <w:color w:val="363436"/>
          <w:spacing w:val="-9"/>
          <w:w w:val="105"/>
          <w:sz w:val="26"/>
        </w:rPr>
        <w:t> </w:t>
      </w:r>
      <w:r>
        <w:rPr>
          <w:rFonts w:ascii="Arial"/>
          <w:b/>
          <w:color w:val="363436"/>
          <w:w w:val="105"/>
          <w:sz w:val="26"/>
        </w:rPr>
        <w:t>BRIEFS</w:t>
      </w:r>
    </w:p>
    <w:p>
      <w:pPr>
        <w:pStyle w:val="BodyText"/>
        <w:spacing w:line="235" w:lineRule="auto" w:before="159"/>
        <w:ind w:left="139" w:firstLine="614"/>
        <w:rPr>
          <w:rFonts w:ascii="Arial" w:hAnsi="Arial"/>
          <w:i/>
          <w:sz w:val="20"/>
        </w:rPr>
      </w:pPr>
      <w:r>
        <w:rPr>
          <w:color w:val="363436"/>
          <w:spacing w:val="-1"/>
          <w:w w:val="110"/>
        </w:rPr>
        <w:t>Many </w:t>
      </w:r>
      <w:r>
        <w:rPr>
          <w:color w:val="444444"/>
          <w:spacing w:val="-1"/>
          <w:w w:val="110"/>
        </w:rPr>
        <w:t>courts </w:t>
      </w:r>
      <w:r>
        <w:rPr>
          <w:color w:val="363436"/>
          <w:spacing w:val="-1"/>
          <w:w w:val="110"/>
        </w:rPr>
        <w:t>use the </w:t>
      </w:r>
      <w:r>
        <w:rPr>
          <w:color w:val="444444"/>
          <w:w w:val="110"/>
        </w:rPr>
        <w:t>term </w:t>
      </w:r>
      <w:r>
        <w:rPr>
          <w:i/>
          <w:color w:val="444444"/>
          <w:w w:val="110"/>
          <w:sz w:val="22"/>
        </w:rPr>
        <w:t>standard </w:t>
      </w:r>
      <w:r>
        <w:rPr>
          <w:i/>
          <w:color w:val="363436"/>
          <w:w w:val="110"/>
          <w:sz w:val="22"/>
        </w:rPr>
        <w:t>of review </w:t>
      </w:r>
      <w:r>
        <w:rPr>
          <w:color w:val="363436"/>
          <w:w w:val="110"/>
        </w:rPr>
        <w:t>to describe</w:t>
      </w:r>
      <w:r>
        <w:rPr>
          <w:color w:val="77797B"/>
          <w:w w:val="110"/>
        </w:rPr>
        <w:t>·</w:t>
      </w:r>
      <w:r>
        <w:rPr>
          <w:color w:val="363436"/>
          <w:w w:val="110"/>
        </w:rPr>
        <w:t>the </w:t>
      </w:r>
      <w:r>
        <w:rPr>
          <w:color w:val="444444"/>
          <w:w w:val="110"/>
        </w:rPr>
        <w:t>standards</w:t>
      </w:r>
      <w:r>
        <w:rPr>
          <w:color w:val="444444"/>
          <w:spacing w:val="-61"/>
          <w:w w:val="110"/>
        </w:rPr>
        <w:t> </w:t>
      </w:r>
      <w:r>
        <w:rPr>
          <w:color w:val="363436"/>
          <w:w w:val="110"/>
        </w:rPr>
        <w:t>used</w:t>
      </w:r>
      <w:r>
        <w:rPr>
          <w:color w:val="363436"/>
          <w:spacing w:val="41"/>
          <w:w w:val="110"/>
        </w:rPr>
        <w:t> </w:t>
      </w:r>
      <w:r>
        <w:rPr>
          <w:color w:val="363436"/>
          <w:w w:val="110"/>
        </w:rPr>
        <w:t>to</w:t>
      </w:r>
      <w:r>
        <w:rPr>
          <w:color w:val="363436"/>
          <w:spacing w:val="32"/>
          <w:w w:val="110"/>
        </w:rPr>
        <w:t> </w:t>
      </w:r>
      <w:r>
        <w:rPr>
          <w:color w:val="363436"/>
          <w:w w:val="110"/>
        </w:rPr>
        <w:t>decide</w:t>
      </w:r>
      <w:r>
        <w:rPr>
          <w:color w:val="363436"/>
          <w:spacing w:val="12"/>
          <w:w w:val="110"/>
        </w:rPr>
        <w:t> </w:t>
      </w:r>
      <w:r>
        <w:rPr>
          <w:color w:val="444444"/>
          <w:w w:val="110"/>
        </w:rPr>
        <w:t>some</w:t>
      </w:r>
      <w:r>
        <w:rPr>
          <w:color w:val="444444"/>
          <w:spacing w:val="9"/>
          <w:w w:val="110"/>
        </w:rPr>
        <w:t> </w:t>
      </w:r>
      <w:r>
        <w:rPr>
          <w:color w:val="363436"/>
          <w:w w:val="110"/>
        </w:rPr>
        <w:t>trial-level</w:t>
      </w:r>
      <w:r>
        <w:rPr>
          <w:color w:val="363436"/>
          <w:spacing w:val="31"/>
          <w:w w:val="110"/>
        </w:rPr>
        <w:t> </w:t>
      </w:r>
      <w:r>
        <w:rPr>
          <w:color w:val="363436"/>
          <w:w w:val="110"/>
        </w:rPr>
        <w:t>motions.</w:t>
      </w:r>
      <w:r>
        <w:rPr>
          <w:color w:val="363436"/>
          <w:w w:val="110"/>
          <w:vertAlign w:val="superscript"/>
        </w:rPr>
        <w:t>33</w:t>
      </w:r>
      <w:r>
        <w:rPr>
          <w:color w:val="363436"/>
          <w:spacing w:val="21"/>
          <w:w w:val="110"/>
          <w:vertAlign w:val="baseline"/>
        </w:rPr>
        <w:t> </w:t>
      </w:r>
      <w:r>
        <w:rPr>
          <w:color w:val="363436"/>
          <w:w w:val="110"/>
          <w:vertAlign w:val="baseline"/>
        </w:rPr>
        <w:t>Some</w:t>
      </w:r>
      <w:r>
        <w:rPr>
          <w:color w:val="363436"/>
          <w:spacing w:val="1"/>
          <w:w w:val="110"/>
          <w:vertAlign w:val="baseline"/>
        </w:rPr>
        <w:t> </w:t>
      </w:r>
      <w:r>
        <w:rPr>
          <w:color w:val="444444"/>
          <w:w w:val="110"/>
          <w:vertAlign w:val="baseline"/>
        </w:rPr>
        <w:t>courts</w:t>
      </w:r>
      <w:r>
        <w:rPr>
          <w:color w:val="444444"/>
          <w:spacing w:val="13"/>
          <w:w w:val="110"/>
          <w:vertAlign w:val="baseline"/>
        </w:rPr>
        <w:t> </w:t>
      </w:r>
      <w:r>
        <w:rPr>
          <w:color w:val="363436"/>
          <w:w w:val="110"/>
          <w:vertAlign w:val="baseline"/>
        </w:rPr>
        <w:t>use</w:t>
      </w:r>
      <w:r>
        <w:rPr>
          <w:color w:val="363436"/>
          <w:spacing w:val="9"/>
          <w:w w:val="110"/>
          <w:vertAlign w:val="baseline"/>
        </w:rPr>
        <w:t> </w:t>
      </w:r>
      <w:r>
        <w:rPr>
          <w:color w:val="363436"/>
          <w:w w:val="110"/>
          <w:vertAlign w:val="baseline"/>
        </w:rPr>
        <w:t>the</w:t>
      </w:r>
      <w:r>
        <w:rPr>
          <w:color w:val="363436"/>
          <w:spacing w:val="34"/>
          <w:w w:val="110"/>
          <w:vertAlign w:val="baseline"/>
        </w:rPr>
        <w:t> </w:t>
      </w:r>
      <w:r>
        <w:rPr>
          <w:color w:val="363436"/>
          <w:w w:val="110"/>
          <w:vertAlign w:val="baseline"/>
        </w:rPr>
        <w:t>term</w:t>
      </w:r>
      <w:r>
        <w:rPr>
          <w:color w:val="363436"/>
          <w:spacing w:val="37"/>
          <w:w w:val="110"/>
          <w:vertAlign w:val="baseline"/>
        </w:rPr>
        <w:t> </w:t>
      </w:r>
      <w:r>
        <w:rPr>
          <w:rFonts w:ascii="Arial" w:hAnsi="Arial"/>
          <w:i/>
          <w:color w:val="363436"/>
          <w:w w:val="110"/>
          <w:sz w:val="20"/>
          <w:vertAlign w:val="baseline"/>
        </w:rPr>
        <w:t>legal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before="8"/>
        <w:rPr>
          <w:rFonts w:ascii="Arial"/>
          <w:i/>
          <w:sz w:val="29"/>
        </w:rPr>
      </w:pPr>
    </w:p>
    <w:p>
      <w:pPr>
        <w:spacing w:line="205" w:lineRule="exact" w:before="1"/>
        <w:ind w:left="502" w:right="0" w:firstLine="0"/>
        <w:jc w:val="both"/>
        <w:rPr>
          <w:sz w:val="18"/>
        </w:rPr>
      </w:pPr>
      <w:r>
        <w:rPr>
          <w:rFonts w:ascii="Arial"/>
          <w:color w:val="444444"/>
          <w:w w:val="105"/>
          <w:position w:val="6"/>
          <w:sz w:val="10"/>
        </w:rPr>
        <w:t>30</w:t>
      </w:r>
      <w:r>
        <w:rPr>
          <w:color w:val="444444"/>
          <w:w w:val="105"/>
          <w:sz w:val="18"/>
        </w:rPr>
        <w:t>Pa</w:t>
      </w:r>
      <w:r>
        <w:rPr>
          <w:color w:val="77797B"/>
          <w:w w:val="105"/>
          <w:sz w:val="18"/>
        </w:rPr>
        <w:t>.</w:t>
      </w:r>
      <w:r>
        <w:rPr>
          <w:color w:val="77797B"/>
          <w:spacing w:val="8"/>
          <w:w w:val="105"/>
          <w:sz w:val="18"/>
        </w:rPr>
        <w:t> </w:t>
      </w:r>
      <w:r>
        <w:rPr>
          <w:color w:val="444444"/>
          <w:w w:val="105"/>
          <w:sz w:val="18"/>
        </w:rPr>
        <w:t>R.</w:t>
      </w:r>
      <w:r>
        <w:rPr>
          <w:color w:val="444444"/>
          <w:spacing w:val="-12"/>
          <w:w w:val="105"/>
          <w:sz w:val="18"/>
        </w:rPr>
        <w:t> </w:t>
      </w:r>
      <w:r>
        <w:rPr>
          <w:color w:val="363436"/>
          <w:w w:val="105"/>
          <w:sz w:val="18"/>
        </w:rPr>
        <w:t>of</w:t>
      </w:r>
      <w:r>
        <w:rPr>
          <w:color w:val="363436"/>
          <w:spacing w:val="19"/>
          <w:w w:val="105"/>
          <w:sz w:val="18"/>
        </w:rPr>
        <w:t> </w:t>
      </w:r>
      <w:r>
        <w:rPr>
          <w:color w:val="363436"/>
          <w:w w:val="105"/>
          <w:sz w:val="18"/>
        </w:rPr>
        <w:t>App.</w:t>
      </w:r>
      <w:r>
        <w:rPr>
          <w:color w:val="363436"/>
          <w:spacing w:val="-3"/>
          <w:w w:val="105"/>
          <w:sz w:val="18"/>
        </w:rPr>
        <w:t> </w:t>
      </w:r>
      <w:r>
        <w:rPr>
          <w:color w:val="444444"/>
          <w:w w:val="105"/>
          <w:sz w:val="18"/>
        </w:rPr>
        <w:t>Proc.</w:t>
      </w:r>
      <w:r>
        <w:rPr>
          <w:color w:val="444444"/>
          <w:spacing w:val="4"/>
          <w:w w:val="105"/>
          <w:sz w:val="18"/>
        </w:rPr>
        <w:t> </w:t>
      </w:r>
      <w:r>
        <w:rPr>
          <w:color w:val="444444"/>
          <w:w w:val="105"/>
          <w:sz w:val="18"/>
        </w:rPr>
        <w:t>2111</w:t>
      </w:r>
      <w:r>
        <w:rPr>
          <w:color w:val="363436"/>
          <w:w w:val="105"/>
          <w:sz w:val="18"/>
        </w:rPr>
        <w:t>(a).</w:t>
      </w:r>
    </w:p>
    <w:p>
      <w:pPr>
        <w:spacing w:line="197" w:lineRule="exact" w:before="0"/>
        <w:ind w:left="502" w:right="0" w:firstLine="0"/>
        <w:jc w:val="both"/>
        <w:rPr>
          <w:sz w:val="16"/>
        </w:rPr>
      </w:pPr>
      <w:r>
        <w:rPr>
          <w:color w:val="59595B"/>
          <w:w w:val="105"/>
          <w:position w:val="6"/>
          <w:sz w:val="10"/>
        </w:rPr>
        <w:t>31</w:t>
      </w:r>
      <w:r>
        <w:rPr>
          <w:color w:val="59595B"/>
          <w:spacing w:val="-9"/>
          <w:w w:val="105"/>
          <w:position w:val="6"/>
          <w:sz w:val="10"/>
        </w:rPr>
        <w:t> </w:t>
      </w:r>
      <w:r>
        <w:rPr>
          <w:color w:val="444444"/>
          <w:w w:val="105"/>
          <w:sz w:val="18"/>
        </w:rPr>
        <w:t>3d</w:t>
      </w:r>
      <w:r>
        <w:rPr>
          <w:color w:val="444444"/>
          <w:spacing w:val="-10"/>
          <w:w w:val="105"/>
          <w:sz w:val="18"/>
        </w:rPr>
        <w:t> </w:t>
      </w:r>
      <w:r>
        <w:rPr>
          <w:color w:val="444444"/>
          <w:w w:val="105"/>
          <w:sz w:val="18"/>
        </w:rPr>
        <w:t>Cir.</w:t>
      </w:r>
      <w:r>
        <w:rPr>
          <w:color w:val="444444"/>
          <w:spacing w:val="-2"/>
          <w:w w:val="105"/>
          <w:sz w:val="18"/>
        </w:rPr>
        <w:t> </w:t>
      </w:r>
      <w:r>
        <w:rPr>
          <w:color w:val="444444"/>
          <w:w w:val="105"/>
          <w:sz w:val="18"/>
        </w:rPr>
        <w:t>LAR</w:t>
      </w:r>
      <w:r>
        <w:rPr>
          <w:color w:val="444444"/>
          <w:spacing w:val="3"/>
          <w:w w:val="105"/>
          <w:sz w:val="18"/>
        </w:rPr>
        <w:t> </w:t>
      </w:r>
      <w:r>
        <w:rPr>
          <w:color w:val="363436"/>
          <w:w w:val="105"/>
          <w:sz w:val="18"/>
        </w:rPr>
        <w:t>(Local</w:t>
      </w:r>
      <w:r>
        <w:rPr>
          <w:color w:val="363436"/>
          <w:spacing w:val="4"/>
          <w:w w:val="105"/>
          <w:sz w:val="18"/>
        </w:rPr>
        <w:t> </w:t>
      </w:r>
      <w:r>
        <w:rPr>
          <w:color w:val="444444"/>
          <w:w w:val="105"/>
          <w:sz w:val="18"/>
        </w:rPr>
        <w:t>Appellate</w:t>
      </w:r>
      <w:r>
        <w:rPr>
          <w:color w:val="444444"/>
          <w:spacing w:val="2"/>
          <w:w w:val="105"/>
          <w:sz w:val="18"/>
        </w:rPr>
        <w:t> </w:t>
      </w:r>
      <w:r>
        <w:rPr>
          <w:color w:val="444444"/>
          <w:w w:val="105"/>
          <w:sz w:val="18"/>
        </w:rPr>
        <w:t>Rule] 28.1</w:t>
      </w:r>
      <w:r>
        <w:rPr>
          <w:color w:val="444444"/>
          <w:w w:val="105"/>
          <w:sz w:val="16"/>
        </w:rPr>
        <w:t>(b).</w:t>
      </w:r>
    </w:p>
    <w:p>
      <w:pPr>
        <w:spacing w:line="228" w:lineRule="auto" w:before="1"/>
        <w:ind w:left="124" w:right="134" w:firstLine="370"/>
        <w:jc w:val="both"/>
        <w:rPr>
          <w:sz w:val="18"/>
        </w:rPr>
      </w:pPr>
      <w:r>
        <w:rPr>
          <w:rFonts w:ascii="Arial"/>
          <w:color w:val="59595B"/>
          <w:w w:val="105"/>
          <w:position w:val="6"/>
          <w:sz w:val="11"/>
        </w:rPr>
        <w:t>12</w:t>
      </w:r>
      <w:r>
        <w:rPr>
          <w:color w:val="444444"/>
          <w:w w:val="105"/>
          <w:sz w:val="18"/>
        </w:rPr>
        <w:t>Kan. </w:t>
      </w:r>
      <w:r>
        <w:rPr>
          <w:color w:val="363436"/>
          <w:w w:val="105"/>
          <w:sz w:val="18"/>
        </w:rPr>
        <w:t>Sup</w:t>
      </w:r>
      <w:r>
        <w:rPr>
          <w:color w:val="59595B"/>
          <w:w w:val="105"/>
          <w:sz w:val="18"/>
        </w:rPr>
        <w:t>. C</w:t>
      </w:r>
      <w:r>
        <w:rPr>
          <w:color w:val="363436"/>
          <w:w w:val="105"/>
          <w:sz w:val="18"/>
        </w:rPr>
        <w:t>t. </w:t>
      </w:r>
      <w:r>
        <w:rPr>
          <w:color w:val="444444"/>
          <w:w w:val="105"/>
          <w:sz w:val="18"/>
        </w:rPr>
        <w:t>R. 6.02(e). Of course, </w:t>
      </w:r>
      <w:r>
        <w:rPr>
          <w:color w:val="363436"/>
          <w:w w:val="105"/>
          <w:sz w:val="18"/>
        </w:rPr>
        <w:t>the appellee's brief </w:t>
      </w:r>
      <w:r>
        <w:rPr>
          <w:color w:val="444444"/>
          <w:w w:val="105"/>
          <w:sz w:val="18"/>
        </w:rPr>
        <w:t>should </w:t>
      </w:r>
      <w:r>
        <w:rPr>
          <w:color w:val="363436"/>
          <w:w w:val="105"/>
          <w:sz w:val="18"/>
        </w:rPr>
        <w:t>reflect any disagreement as to</w:t>
      </w:r>
      <w:r>
        <w:rPr>
          <w:color w:val="363436"/>
          <w:spacing w:val="1"/>
          <w:w w:val="105"/>
          <w:sz w:val="18"/>
        </w:rPr>
        <w:t> </w:t>
      </w:r>
      <w:r>
        <w:rPr>
          <w:color w:val="363436"/>
          <w:w w:val="105"/>
          <w:sz w:val="18"/>
        </w:rPr>
        <w:t>the </w:t>
      </w:r>
      <w:r>
        <w:rPr>
          <w:color w:val="444444"/>
          <w:w w:val="105"/>
          <w:sz w:val="18"/>
        </w:rPr>
        <w:t>appropriate standard of review. </w:t>
      </w:r>
      <w:r>
        <w:rPr>
          <w:i/>
          <w:color w:val="444444"/>
          <w:w w:val="105"/>
          <w:sz w:val="17"/>
        </w:rPr>
        <w:t>See, </w:t>
      </w:r>
      <w:r>
        <w:rPr>
          <w:i/>
          <w:color w:val="59595B"/>
          <w:w w:val="105"/>
          <w:sz w:val="17"/>
        </w:rPr>
        <w:t>e</w:t>
      </w:r>
      <w:r>
        <w:rPr>
          <w:i/>
          <w:color w:val="77797B"/>
          <w:w w:val="105"/>
          <w:sz w:val="17"/>
        </w:rPr>
        <w:t>.</w:t>
      </w:r>
      <w:r>
        <w:rPr>
          <w:i/>
          <w:color w:val="444444"/>
          <w:w w:val="105"/>
          <w:sz w:val="17"/>
        </w:rPr>
        <w:t>g., </w:t>
      </w:r>
      <w:r>
        <w:rPr>
          <w:color w:val="444444"/>
          <w:w w:val="105"/>
          <w:sz w:val="18"/>
        </w:rPr>
        <w:t>Kan. Sup. Ct. R. </w:t>
      </w:r>
      <w:r>
        <w:rPr>
          <w:color w:val="363436"/>
          <w:w w:val="105"/>
          <w:sz w:val="18"/>
        </w:rPr>
        <w:t>6.03(d) </w:t>
      </w:r>
      <w:r>
        <w:rPr>
          <w:color w:val="444444"/>
          <w:w w:val="105"/>
          <w:sz w:val="18"/>
        </w:rPr>
        <w:t>("Each </w:t>
      </w:r>
      <w:r>
        <w:rPr>
          <w:color w:val="363436"/>
          <w:w w:val="105"/>
          <w:sz w:val="18"/>
        </w:rPr>
        <w:t>issue </w:t>
      </w:r>
      <w:r>
        <w:rPr>
          <w:color w:val="444444"/>
          <w:w w:val="105"/>
          <w:sz w:val="18"/>
        </w:rPr>
        <w:t>shall begin with</w:t>
      </w:r>
      <w:r>
        <w:rPr>
          <w:color w:val="444444"/>
          <w:spacing w:val="1"/>
          <w:w w:val="105"/>
          <w:sz w:val="18"/>
        </w:rPr>
        <w:t> </w:t>
      </w:r>
      <w:r>
        <w:rPr>
          <w:color w:val="363436"/>
          <w:w w:val="110"/>
          <w:sz w:val="18"/>
        </w:rPr>
        <w:t>citation to </w:t>
      </w:r>
      <w:r>
        <w:rPr>
          <w:color w:val="444444"/>
          <w:w w:val="110"/>
          <w:sz w:val="18"/>
        </w:rPr>
        <w:t>the appropriate standard of appellate review; appellee </w:t>
      </w:r>
      <w:r>
        <w:rPr>
          <w:color w:val="59595B"/>
          <w:w w:val="110"/>
          <w:sz w:val="18"/>
        </w:rPr>
        <w:t>s</w:t>
      </w:r>
      <w:r>
        <w:rPr>
          <w:color w:val="363436"/>
          <w:w w:val="110"/>
          <w:sz w:val="18"/>
        </w:rPr>
        <w:t>hall either </w:t>
      </w:r>
      <w:r>
        <w:rPr>
          <w:color w:val="444444"/>
          <w:w w:val="110"/>
          <w:sz w:val="18"/>
        </w:rPr>
        <w:t>concur </w:t>
      </w:r>
      <w:r>
        <w:rPr>
          <w:color w:val="363436"/>
          <w:w w:val="110"/>
          <w:sz w:val="18"/>
        </w:rPr>
        <w:t>in </w:t>
      </w:r>
      <w:r>
        <w:rPr>
          <w:color w:val="444444"/>
          <w:w w:val="110"/>
          <w:sz w:val="18"/>
        </w:rPr>
        <w:t>appellant's</w:t>
      </w:r>
      <w:r>
        <w:rPr>
          <w:color w:val="444444"/>
          <w:spacing w:val="-47"/>
          <w:w w:val="110"/>
          <w:sz w:val="18"/>
        </w:rPr>
        <w:t> </w:t>
      </w:r>
      <w:r>
        <w:rPr>
          <w:color w:val="444444"/>
          <w:w w:val="110"/>
          <w:sz w:val="18"/>
        </w:rPr>
        <w:t>citation</w:t>
      </w:r>
      <w:r>
        <w:rPr>
          <w:color w:val="444444"/>
          <w:spacing w:val="5"/>
          <w:w w:val="110"/>
          <w:sz w:val="18"/>
        </w:rPr>
        <w:t> </w:t>
      </w:r>
      <w:r>
        <w:rPr>
          <w:color w:val="363436"/>
          <w:w w:val="110"/>
          <w:sz w:val="18"/>
        </w:rPr>
        <w:t>to</w:t>
      </w:r>
      <w:r>
        <w:rPr>
          <w:color w:val="363436"/>
          <w:spacing w:val="6"/>
          <w:w w:val="110"/>
          <w:sz w:val="18"/>
        </w:rPr>
        <w:t> </w:t>
      </w:r>
      <w:r>
        <w:rPr>
          <w:color w:val="444444"/>
          <w:w w:val="110"/>
          <w:sz w:val="18"/>
        </w:rPr>
        <w:t>the</w:t>
      </w:r>
      <w:r>
        <w:rPr>
          <w:color w:val="444444"/>
          <w:spacing w:val="6"/>
          <w:w w:val="110"/>
          <w:sz w:val="18"/>
        </w:rPr>
        <w:t> </w:t>
      </w:r>
      <w:r>
        <w:rPr>
          <w:color w:val="444444"/>
          <w:w w:val="110"/>
          <w:sz w:val="18"/>
        </w:rPr>
        <w:t>standard</w:t>
      </w:r>
      <w:r>
        <w:rPr>
          <w:color w:val="444444"/>
          <w:spacing w:val="7"/>
          <w:w w:val="110"/>
          <w:sz w:val="18"/>
        </w:rPr>
        <w:t> </w:t>
      </w:r>
      <w:r>
        <w:rPr>
          <w:color w:val="444444"/>
          <w:w w:val="110"/>
          <w:sz w:val="18"/>
        </w:rPr>
        <w:t>of</w:t>
      </w:r>
      <w:r>
        <w:rPr>
          <w:color w:val="444444"/>
          <w:spacing w:val="6"/>
          <w:w w:val="110"/>
          <w:sz w:val="18"/>
        </w:rPr>
        <w:t> </w:t>
      </w:r>
      <w:r>
        <w:rPr>
          <w:color w:val="444444"/>
          <w:w w:val="110"/>
          <w:sz w:val="18"/>
        </w:rPr>
        <w:t>appellate</w:t>
      </w:r>
      <w:r>
        <w:rPr>
          <w:color w:val="444444"/>
          <w:spacing w:val="-9"/>
          <w:w w:val="110"/>
          <w:sz w:val="18"/>
        </w:rPr>
        <w:t> </w:t>
      </w:r>
      <w:r>
        <w:rPr>
          <w:color w:val="444444"/>
          <w:w w:val="110"/>
          <w:sz w:val="18"/>
        </w:rPr>
        <w:t>review</w:t>
      </w:r>
      <w:r>
        <w:rPr>
          <w:color w:val="444444"/>
          <w:spacing w:val="-11"/>
          <w:w w:val="110"/>
          <w:sz w:val="18"/>
        </w:rPr>
        <w:t> </w:t>
      </w:r>
      <w:r>
        <w:rPr>
          <w:color w:val="444444"/>
          <w:w w:val="110"/>
          <w:sz w:val="18"/>
        </w:rPr>
        <w:t>or</w:t>
      </w:r>
      <w:r>
        <w:rPr>
          <w:color w:val="444444"/>
          <w:spacing w:val="12"/>
          <w:w w:val="110"/>
          <w:sz w:val="18"/>
        </w:rPr>
        <w:t> </w:t>
      </w:r>
      <w:r>
        <w:rPr>
          <w:color w:val="444444"/>
          <w:w w:val="110"/>
          <w:sz w:val="18"/>
        </w:rPr>
        <w:t>cite</w:t>
      </w:r>
      <w:r>
        <w:rPr>
          <w:color w:val="444444"/>
          <w:spacing w:val="-19"/>
          <w:w w:val="110"/>
          <w:sz w:val="18"/>
        </w:rPr>
        <w:t> </w:t>
      </w:r>
      <w:r>
        <w:rPr>
          <w:color w:val="444444"/>
          <w:w w:val="110"/>
          <w:sz w:val="18"/>
        </w:rPr>
        <w:t>additional</w:t>
      </w:r>
      <w:r>
        <w:rPr>
          <w:color w:val="444444"/>
          <w:spacing w:val="-3"/>
          <w:w w:val="110"/>
          <w:sz w:val="18"/>
        </w:rPr>
        <w:t> </w:t>
      </w:r>
      <w:r>
        <w:rPr>
          <w:color w:val="444444"/>
          <w:w w:val="110"/>
          <w:sz w:val="18"/>
        </w:rPr>
        <w:t>authority.").</w:t>
      </w:r>
    </w:p>
    <w:p>
      <w:pPr>
        <w:spacing w:line="228" w:lineRule="auto" w:before="3"/>
        <w:ind w:left="124" w:right="103" w:firstLine="379"/>
        <w:jc w:val="both"/>
        <w:rPr>
          <w:sz w:val="18"/>
        </w:rPr>
      </w:pPr>
      <w:r>
        <w:rPr>
          <w:color w:val="59595B"/>
          <w:w w:val="105"/>
          <w:sz w:val="16"/>
        </w:rPr>
        <w:t>JJE.g., </w:t>
      </w:r>
      <w:r>
        <w:rPr>
          <w:i/>
          <w:color w:val="444444"/>
          <w:w w:val="105"/>
          <w:sz w:val="16"/>
        </w:rPr>
        <w:t>Fin. Res. </w:t>
      </w:r>
      <w:r>
        <w:rPr>
          <w:i/>
          <w:color w:val="444444"/>
          <w:w w:val="105"/>
          <w:sz w:val="17"/>
        </w:rPr>
        <w:t>Network, Inc. </w:t>
      </w:r>
      <w:r>
        <w:rPr>
          <w:i/>
          <w:color w:val="444444"/>
          <w:w w:val="105"/>
          <w:sz w:val="16"/>
        </w:rPr>
        <w:t>v. </w:t>
      </w:r>
      <w:r>
        <w:rPr>
          <w:i/>
          <w:color w:val="444444"/>
          <w:w w:val="105"/>
          <w:sz w:val="17"/>
        </w:rPr>
        <w:t>Brown </w:t>
      </w:r>
      <w:r>
        <w:rPr>
          <w:color w:val="444444"/>
          <w:w w:val="105"/>
          <w:sz w:val="16"/>
        </w:rPr>
        <w:t>&amp; </w:t>
      </w:r>
      <w:r>
        <w:rPr>
          <w:i/>
          <w:color w:val="444444"/>
          <w:w w:val="105"/>
          <w:sz w:val="17"/>
        </w:rPr>
        <w:t>Brown, </w:t>
      </w:r>
      <w:r>
        <w:rPr>
          <w:i/>
          <w:color w:val="363436"/>
          <w:w w:val="105"/>
          <w:sz w:val="17"/>
        </w:rPr>
        <w:t>Inc., </w:t>
      </w:r>
      <w:r>
        <w:rPr>
          <w:color w:val="444444"/>
          <w:w w:val="105"/>
          <w:sz w:val="18"/>
        </w:rPr>
        <w:t>754 </w:t>
      </w:r>
      <w:r>
        <w:rPr>
          <w:color w:val="444444"/>
          <w:w w:val="105"/>
          <w:sz w:val="17"/>
        </w:rPr>
        <w:t>F. </w:t>
      </w:r>
      <w:r>
        <w:rPr>
          <w:color w:val="444444"/>
          <w:w w:val="105"/>
          <w:sz w:val="18"/>
        </w:rPr>
        <w:t>Supp. 2d </w:t>
      </w:r>
      <w:r>
        <w:rPr>
          <w:color w:val="363436"/>
          <w:w w:val="105"/>
          <w:sz w:val="18"/>
        </w:rPr>
        <w:t>128</w:t>
      </w:r>
      <w:r>
        <w:rPr>
          <w:color w:val="59595B"/>
          <w:w w:val="105"/>
          <w:sz w:val="18"/>
        </w:rPr>
        <w:t>, </w:t>
      </w:r>
      <w:r>
        <w:rPr>
          <w:color w:val="444444"/>
          <w:w w:val="105"/>
          <w:sz w:val="18"/>
        </w:rPr>
        <w:t>134 </w:t>
      </w:r>
      <w:r>
        <w:rPr>
          <w:color w:val="363436"/>
          <w:w w:val="105"/>
          <w:sz w:val="18"/>
        </w:rPr>
        <w:t>(D</w:t>
      </w:r>
      <w:r>
        <w:rPr>
          <w:color w:val="59595B"/>
          <w:w w:val="105"/>
          <w:sz w:val="18"/>
        </w:rPr>
        <w:t>. </w:t>
      </w:r>
      <w:r>
        <w:rPr>
          <w:color w:val="444444"/>
          <w:w w:val="105"/>
          <w:sz w:val="18"/>
        </w:rPr>
        <w:t>Mass. 2010)</w:t>
      </w:r>
      <w:r>
        <w:rPr>
          <w:color w:val="444444"/>
          <w:spacing w:val="1"/>
          <w:w w:val="105"/>
          <w:sz w:val="18"/>
        </w:rPr>
        <w:t> </w:t>
      </w:r>
      <w:r>
        <w:rPr>
          <w:color w:val="444444"/>
          <w:w w:val="110"/>
          <w:sz w:val="18"/>
        </w:rPr>
        <w:t>(noting "the </w:t>
      </w:r>
      <w:r>
        <w:rPr>
          <w:color w:val="363436"/>
          <w:w w:val="110"/>
          <w:sz w:val="18"/>
        </w:rPr>
        <w:t>diff</w:t>
      </w:r>
      <w:r>
        <w:rPr>
          <w:color w:val="59595B"/>
          <w:w w:val="110"/>
          <w:sz w:val="18"/>
        </w:rPr>
        <w:t>e</w:t>
      </w:r>
      <w:r>
        <w:rPr>
          <w:color w:val="363436"/>
          <w:w w:val="110"/>
          <w:sz w:val="18"/>
        </w:rPr>
        <w:t>rent legal </w:t>
      </w:r>
      <w:r>
        <w:rPr>
          <w:color w:val="444444"/>
          <w:w w:val="110"/>
          <w:sz w:val="18"/>
        </w:rPr>
        <w:t>standard of </w:t>
      </w:r>
      <w:r>
        <w:rPr>
          <w:color w:val="363436"/>
          <w:w w:val="110"/>
          <w:sz w:val="18"/>
        </w:rPr>
        <w:t>review that applie</w:t>
      </w:r>
      <w:r>
        <w:rPr>
          <w:color w:val="59595B"/>
          <w:w w:val="110"/>
          <w:sz w:val="18"/>
        </w:rPr>
        <w:t>s </w:t>
      </w:r>
      <w:r>
        <w:rPr>
          <w:color w:val="363436"/>
          <w:w w:val="110"/>
          <w:sz w:val="18"/>
        </w:rPr>
        <w:t>to </w:t>
      </w:r>
      <w:r>
        <w:rPr>
          <w:color w:val="444444"/>
          <w:w w:val="110"/>
          <w:sz w:val="18"/>
        </w:rPr>
        <w:t>a summary</w:t>
      </w:r>
      <w:r>
        <w:rPr>
          <w:color w:val="444444"/>
          <w:spacing w:val="1"/>
          <w:w w:val="110"/>
          <w:sz w:val="18"/>
        </w:rPr>
        <w:t> </w:t>
      </w:r>
      <w:r>
        <w:rPr>
          <w:color w:val="59595B"/>
          <w:w w:val="110"/>
          <w:sz w:val="18"/>
        </w:rPr>
        <w:t>judg</w:t>
      </w:r>
      <w:r>
        <w:rPr>
          <w:color w:val="363436"/>
          <w:w w:val="110"/>
          <w:sz w:val="18"/>
        </w:rPr>
        <w:t>ment </w:t>
      </w:r>
      <w:r>
        <w:rPr>
          <w:color w:val="444444"/>
          <w:w w:val="110"/>
          <w:sz w:val="18"/>
        </w:rPr>
        <w:t>motion </w:t>
      </w:r>
      <w:r>
        <w:rPr>
          <w:color w:val="363436"/>
          <w:w w:val="110"/>
          <w:sz w:val="18"/>
        </w:rPr>
        <w:t>as</w:t>
      </w:r>
      <w:r>
        <w:rPr>
          <w:color w:val="363436"/>
          <w:spacing w:val="1"/>
          <w:w w:val="110"/>
          <w:sz w:val="18"/>
        </w:rPr>
        <w:t> </w:t>
      </w:r>
      <w:r>
        <w:rPr>
          <w:color w:val="444444"/>
          <w:w w:val="110"/>
          <w:sz w:val="18"/>
        </w:rPr>
        <w:t>opposed to a </w:t>
      </w:r>
      <w:r>
        <w:rPr>
          <w:color w:val="363436"/>
          <w:w w:val="110"/>
          <w:sz w:val="18"/>
        </w:rPr>
        <w:t>motion </w:t>
      </w:r>
      <w:r>
        <w:rPr>
          <w:color w:val="444444"/>
          <w:w w:val="110"/>
          <w:sz w:val="18"/>
        </w:rPr>
        <w:t>to dismiss") (citations omitted); </w:t>
      </w:r>
      <w:r>
        <w:rPr>
          <w:i/>
          <w:color w:val="444444"/>
          <w:w w:val="110"/>
          <w:sz w:val="17"/>
        </w:rPr>
        <w:t>Butler v. Schapiro, </w:t>
      </w:r>
      <w:r>
        <w:rPr>
          <w:color w:val="444444"/>
          <w:w w:val="110"/>
          <w:sz w:val="18"/>
        </w:rPr>
        <w:t>839 </w:t>
      </w:r>
      <w:r>
        <w:rPr>
          <w:color w:val="363436"/>
          <w:w w:val="110"/>
          <w:sz w:val="17"/>
        </w:rPr>
        <w:t>F. </w:t>
      </w:r>
      <w:r>
        <w:rPr>
          <w:color w:val="444444"/>
          <w:w w:val="110"/>
          <w:sz w:val="18"/>
        </w:rPr>
        <w:t>Supp. 2d </w:t>
      </w:r>
      <w:r>
        <w:rPr>
          <w:color w:val="59595B"/>
          <w:w w:val="110"/>
          <w:sz w:val="18"/>
        </w:rPr>
        <w:t>252, </w:t>
      </w:r>
      <w:r>
        <w:rPr>
          <w:color w:val="444444"/>
          <w:w w:val="110"/>
          <w:sz w:val="18"/>
        </w:rPr>
        <w:t>254</w:t>
      </w:r>
      <w:r>
        <w:rPr>
          <w:color w:val="444444"/>
          <w:spacing w:val="1"/>
          <w:w w:val="110"/>
          <w:sz w:val="18"/>
        </w:rPr>
        <w:t> </w:t>
      </w:r>
      <w:r>
        <w:rPr>
          <w:color w:val="444444"/>
          <w:w w:val="105"/>
          <w:sz w:val="18"/>
        </w:rPr>
        <w:t>(O.D</w:t>
      </w:r>
      <w:r>
        <w:rPr>
          <w:color w:val="77797B"/>
          <w:w w:val="105"/>
          <w:sz w:val="18"/>
        </w:rPr>
        <w:t>.</w:t>
      </w:r>
      <w:r>
        <w:rPr>
          <w:color w:val="444444"/>
          <w:w w:val="105"/>
          <w:sz w:val="18"/>
        </w:rPr>
        <w:t>C. 2012) </w:t>
      </w:r>
      <w:r>
        <w:rPr>
          <w:color w:val="363436"/>
          <w:w w:val="105"/>
          <w:sz w:val="18"/>
        </w:rPr>
        <w:t>(usin</w:t>
      </w:r>
      <w:r>
        <w:rPr>
          <w:color w:val="59595B"/>
          <w:w w:val="105"/>
          <w:sz w:val="18"/>
        </w:rPr>
        <w:t>g </w:t>
      </w:r>
      <w:r>
        <w:rPr>
          <w:color w:val="444444"/>
          <w:w w:val="105"/>
          <w:sz w:val="18"/>
        </w:rPr>
        <w:t>as a section </w:t>
      </w:r>
      <w:r>
        <w:rPr>
          <w:color w:val="363436"/>
          <w:w w:val="105"/>
          <w:sz w:val="18"/>
        </w:rPr>
        <w:t>heading</w:t>
      </w:r>
      <w:r>
        <w:rPr>
          <w:color w:val="59595B"/>
          <w:w w:val="105"/>
          <w:sz w:val="18"/>
        </w:rPr>
        <w:t>, </w:t>
      </w:r>
      <w:r>
        <w:rPr>
          <w:color w:val="444444"/>
          <w:w w:val="105"/>
          <w:sz w:val="18"/>
        </w:rPr>
        <w:t>"Standard of Review for a </w:t>
      </w:r>
      <w:r>
        <w:rPr>
          <w:color w:val="363436"/>
          <w:w w:val="105"/>
          <w:sz w:val="18"/>
        </w:rPr>
        <w:t>Motion to </w:t>
      </w:r>
      <w:r>
        <w:rPr>
          <w:color w:val="444444"/>
          <w:w w:val="105"/>
          <w:sz w:val="18"/>
        </w:rPr>
        <w:t>Dismiss"). </w:t>
      </w:r>
      <w:r>
        <w:rPr>
          <w:rFonts w:ascii="Arial"/>
          <w:i/>
          <w:color w:val="444444"/>
          <w:w w:val="105"/>
          <w:sz w:val="16"/>
        </w:rPr>
        <w:t>See also,</w:t>
      </w:r>
      <w:r>
        <w:rPr>
          <w:rFonts w:ascii="Arial"/>
          <w:i/>
          <w:color w:val="444444"/>
          <w:spacing w:val="1"/>
          <w:w w:val="105"/>
          <w:sz w:val="16"/>
        </w:rPr>
        <w:t> </w:t>
      </w:r>
      <w:r>
        <w:rPr>
          <w:i/>
          <w:color w:val="444444"/>
          <w:w w:val="105"/>
          <w:sz w:val="17"/>
        </w:rPr>
        <w:t>e.g., </w:t>
      </w:r>
      <w:r>
        <w:rPr>
          <w:color w:val="363436"/>
          <w:w w:val="105"/>
          <w:sz w:val="18"/>
        </w:rPr>
        <w:t>David F. Herr, </w:t>
      </w:r>
      <w:r>
        <w:rPr>
          <w:color w:val="444444"/>
          <w:w w:val="105"/>
          <w:sz w:val="18"/>
        </w:rPr>
        <w:t>Roger S. </w:t>
      </w:r>
      <w:r>
        <w:rPr>
          <w:color w:val="363436"/>
          <w:w w:val="105"/>
          <w:sz w:val="18"/>
        </w:rPr>
        <w:t>Haydock </w:t>
      </w:r>
      <w:r>
        <w:rPr>
          <w:color w:val="444444"/>
          <w:w w:val="105"/>
          <w:sz w:val="17"/>
        </w:rPr>
        <w:t>&amp; </w:t>
      </w:r>
      <w:r>
        <w:rPr>
          <w:color w:val="444444"/>
          <w:w w:val="105"/>
          <w:sz w:val="18"/>
        </w:rPr>
        <w:t>Jeffrey W. Stempel, </w:t>
      </w:r>
      <w:r>
        <w:rPr>
          <w:i/>
          <w:color w:val="444444"/>
          <w:w w:val="105"/>
          <w:sz w:val="17"/>
        </w:rPr>
        <w:t>Motion Practice </w:t>
      </w:r>
      <w:r>
        <w:rPr>
          <w:color w:val="59595B"/>
          <w:w w:val="105"/>
          <w:sz w:val="18"/>
        </w:rPr>
        <w:t>(5t</w:t>
      </w:r>
      <w:r>
        <w:rPr>
          <w:color w:val="363436"/>
          <w:w w:val="105"/>
          <w:sz w:val="18"/>
        </w:rPr>
        <w:t>h </w:t>
      </w:r>
      <w:r>
        <w:rPr>
          <w:color w:val="444444"/>
          <w:w w:val="105"/>
          <w:sz w:val="18"/>
        </w:rPr>
        <w:t>ed., Aspen </w:t>
      </w:r>
      <w:r>
        <w:rPr>
          <w:color w:val="59595B"/>
          <w:w w:val="105"/>
          <w:sz w:val="18"/>
        </w:rPr>
        <w:t>2009),</w:t>
      </w:r>
      <w:r>
        <w:rPr>
          <w:color w:val="59595B"/>
          <w:spacing w:val="1"/>
          <w:w w:val="105"/>
          <w:sz w:val="18"/>
        </w:rPr>
        <w:t> </w:t>
      </w:r>
      <w:r>
        <w:rPr>
          <w:color w:val="363436"/>
          <w:w w:val="110"/>
          <w:sz w:val="18"/>
        </w:rPr>
        <w:t>for</w:t>
      </w:r>
      <w:r>
        <w:rPr>
          <w:color w:val="363436"/>
          <w:spacing w:val="-16"/>
          <w:w w:val="110"/>
          <w:sz w:val="18"/>
        </w:rPr>
        <w:t> </w:t>
      </w:r>
      <w:r>
        <w:rPr>
          <w:color w:val="444444"/>
          <w:w w:val="110"/>
          <w:sz w:val="18"/>
        </w:rPr>
        <w:t>detailed</w:t>
      </w:r>
      <w:r>
        <w:rPr>
          <w:color w:val="444444"/>
          <w:spacing w:val="-3"/>
          <w:w w:val="110"/>
          <w:sz w:val="18"/>
        </w:rPr>
        <w:t> </w:t>
      </w:r>
      <w:r>
        <w:rPr>
          <w:color w:val="444444"/>
          <w:w w:val="110"/>
          <w:sz w:val="18"/>
        </w:rPr>
        <w:t>Information</w:t>
      </w:r>
      <w:r>
        <w:rPr>
          <w:color w:val="444444"/>
          <w:spacing w:val="4"/>
          <w:w w:val="110"/>
          <w:sz w:val="18"/>
        </w:rPr>
        <w:t> </w:t>
      </w:r>
      <w:r>
        <w:rPr>
          <w:color w:val="444444"/>
          <w:w w:val="110"/>
          <w:sz w:val="18"/>
        </w:rPr>
        <w:t>on</w:t>
      </w:r>
      <w:r>
        <w:rPr>
          <w:color w:val="444444"/>
          <w:spacing w:val="24"/>
          <w:w w:val="110"/>
          <w:sz w:val="18"/>
        </w:rPr>
        <w:t> </w:t>
      </w:r>
      <w:r>
        <w:rPr>
          <w:color w:val="363436"/>
          <w:w w:val="110"/>
          <w:sz w:val="18"/>
        </w:rPr>
        <w:t>motion</w:t>
      </w:r>
      <w:r>
        <w:rPr>
          <w:color w:val="363436"/>
          <w:spacing w:val="2"/>
          <w:w w:val="110"/>
          <w:sz w:val="18"/>
        </w:rPr>
        <w:t> </w:t>
      </w:r>
      <w:r>
        <w:rPr>
          <w:color w:val="363436"/>
          <w:w w:val="110"/>
          <w:sz w:val="18"/>
        </w:rPr>
        <w:t>practice in</w:t>
      </w:r>
      <w:r>
        <w:rPr>
          <w:color w:val="363436"/>
          <w:spacing w:val="8"/>
          <w:w w:val="110"/>
          <w:sz w:val="18"/>
        </w:rPr>
        <w:t> </w:t>
      </w:r>
      <w:r>
        <w:rPr>
          <w:color w:val="363436"/>
          <w:w w:val="110"/>
          <w:sz w:val="18"/>
        </w:rPr>
        <w:t>litigation</w:t>
      </w:r>
      <w:r>
        <w:rPr>
          <w:color w:val="59595B"/>
          <w:w w:val="110"/>
          <w:sz w:val="18"/>
        </w:rPr>
        <w:t>.</w:t>
      </w:r>
    </w:p>
    <w:p>
      <w:pPr>
        <w:spacing w:after="0" w:line="228" w:lineRule="auto"/>
        <w:jc w:val="both"/>
        <w:rPr>
          <w:sz w:val="18"/>
        </w:rPr>
        <w:sectPr>
          <w:headerReference w:type="default" r:id="rId48"/>
          <w:headerReference w:type="even" r:id="rId49"/>
          <w:pgSz w:w="9660" w:h="13780"/>
          <w:pgMar w:header="553" w:footer="0" w:top="1140" w:bottom="280" w:left="400" w:right="1300"/>
          <w:pgNumType w:start="23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32" w:lineRule="auto"/>
        <w:ind w:left="2141" w:right="130" w:firstLine="10"/>
        <w:jc w:val="both"/>
      </w:pPr>
      <w:r>
        <w:rPr>
          <w:i/>
          <w:color w:val="4F4D4F"/>
          <w:w w:val="105"/>
          <w:sz w:val="24"/>
        </w:rPr>
        <w:t>standard </w:t>
      </w:r>
      <w:r>
        <w:rPr>
          <w:color w:val="3D3B3B"/>
          <w:w w:val="105"/>
        </w:rPr>
        <w:t>or </w:t>
      </w:r>
      <w:r>
        <w:rPr>
          <w:i/>
          <w:color w:val="3D3B3B"/>
          <w:w w:val="105"/>
          <w:sz w:val="24"/>
        </w:rPr>
        <w:t>pleading standard, </w:t>
      </w:r>
      <w:r>
        <w:rPr>
          <w:color w:val="3D3B3B"/>
          <w:w w:val="105"/>
        </w:rPr>
        <w:t>which is perhaps the more accurate term.</w:t>
      </w:r>
      <w:r>
        <w:rPr>
          <w:rFonts w:ascii="Arial" w:hAnsi="Arial"/>
          <w:color w:val="3D3B3B"/>
          <w:w w:val="105"/>
          <w:vertAlign w:val="superscript"/>
        </w:rPr>
        <w:t>34</w:t>
      </w:r>
      <w:r>
        <w:rPr>
          <w:rFonts w:ascii="Arial" w:hAnsi="Arial"/>
          <w:color w:val="3D3B3B"/>
          <w:spacing w:val="1"/>
          <w:w w:val="105"/>
          <w:vertAlign w:val="baseline"/>
        </w:rPr>
        <w:t> </w:t>
      </w:r>
      <w:r>
        <w:rPr>
          <w:color w:val="3D3B3B"/>
          <w:w w:val="105"/>
          <w:vertAlign w:val="baseline"/>
        </w:rPr>
        <w:t>The term </w:t>
      </w:r>
      <w:r>
        <w:rPr>
          <w:i/>
          <w:color w:val="3D3B3B"/>
          <w:w w:val="105"/>
          <w:sz w:val="24"/>
          <w:vertAlign w:val="baseline"/>
        </w:rPr>
        <w:t>standard of review </w:t>
      </w:r>
      <w:r>
        <w:rPr>
          <w:color w:val="3D3B3B"/>
          <w:w w:val="105"/>
          <w:vertAlign w:val="baseline"/>
        </w:rPr>
        <w:t>is </w:t>
      </w:r>
      <w:r>
        <w:rPr>
          <w:color w:val="2D2A2A"/>
          <w:w w:val="105"/>
          <w:vertAlign w:val="baseline"/>
        </w:rPr>
        <w:t>less </w:t>
      </w:r>
      <w:r>
        <w:rPr>
          <w:color w:val="3D3B3B"/>
          <w:w w:val="105"/>
          <w:vertAlign w:val="baseline"/>
        </w:rPr>
        <w:t>accurate in this situation because the </w:t>
      </w:r>
      <w:r>
        <w:rPr>
          <w:color w:val="2D2A2A"/>
          <w:w w:val="105"/>
          <w:vertAlign w:val="baseline"/>
        </w:rPr>
        <w:t>trial</w:t>
      </w:r>
      <w:r>
        <w:rPr>
          <w:color w:val="2D2A2A"/>
          <w:spacing w:val="-59"/>
          <w:w w:val="105"/>
          <w:vertAlign w:val="baseline"/>
        </w:rPr>
        <w:t> </w:t>
      </w:r>
      <w:r>
        <w:rPr>
          <w:color w:val="3D3B3B"/>
          <w:w w:val="105"/>
          <w:vertAlign w:val="baseline"/>
        </w:rPr>
        <w:t>court cannot be said</w:t>
      </w:r>
      <w:r>
        <w:rPr>
          <w:color w:val="3D3B3B"/>
          <w:spacing w:val="1"/>
          <w:w w:val="105"/>
          <w:vertAlign w:val="baseline"/>
        </w:rPr>
        <w:t> </w:t>
      </w:r>
      <w:r>
        <w:rPr>
          <w:color w:val="3D3B3B"/>
          <w:w w:val="105"/>
          <w:vertAlign w:val="baseline"/>
        </w:rPr>
        <w:t>to</w:t>
      </w:r>
      <w:r>
        <w:rPr>
          <w:color w:val="3D3B3B"/>
          <w:spacing w:val="1"/>
          <w:w w:val="105"/>
          <w:vertAlign w:val="baseline"/>
        </w:rPr>
        <w:t> </w:t>
      </w:r>
      <w:r>
        <w:rPr>
          <w:color w:val="3D3B3B"/>
          <w:w w:val="105"/>
          <w:vertAlign w:val="baseline"/>
        </w:rPr>
        <w:t>be  re-viewing anything: The motion  to  the  </w:t>
      </w:r>
      <w:r>
        <w:rPr>
          <w:color w:val="2D2A2A"/>
          <w:w w:val="105"/>
          <w:vertAlign w:val="baseline"/>
        </w:rPr>
        <w:t>trial</w:t>
      </w:r>
      <w:r>
        <w:rPr>
          <w:color w:val="2D2A2A"/>
          <w:spacing w:val="1"/>
          <w:w w:val="105"/>
          <w:vertAlign w:val="baseline"/>
        </w:rPr>
        <w:t> </w:t>
      </w:r>
      <w:r>
        <w:rPr>
          <w:color w:val="3D3B3B"/>
          <w:w w:val="105"/>
          <w:vertAlign w:val="baseline"/>
        </w:rPr>
        <w:t>court represents</w:t>
      </w:r>
      <w:r>
        <w:rPr>
          <w:color w:val="3D3B3B"/>
          <w:spacing w:val="1"/>
          <w:w w:val="105"/>
          <w:vertAlign w:val="baseline"/>
        </w:rPr>
        <w:t> </w:t>
      </w:r>
      <w:r>
        <w:rPr>
          <w:color w:val="3D3B3B"/>
          <w:w w:val="105"/>
          <w:vertAlign w:val="baseline"/>
        </w:rPr>
        <w:t>the</w:t>
      </w:r>
      <w:r>
        <w:rPr>
          <w:color w:val="3D3B3B"/>
          <w:spacing w:val="1"/>
          <w:w w:val="105"/>
          <w:vertAlign w:val="baseline"/>
        </w:rPr>
        <w:t> </w:t>
      </w:r>
      <w:r>
        <w:rPr>
          <w:color w:val="3D3B3B"/>
          <w:w w:val="105"/>
          <w:vertAlign w:val="baseline"/>
        </w:rPr>
        <w:t>first</w:t>
      </w:r>
      <w:r>
        <w:rPr>
          <w:color w:val="3D3B3B"/>
          <w:spacing w:val="1"/>
          <w:w w:val="105"/>
          <w:vertAlign w:val="baseline"/>
        </w:rPr>
        <w:t> </w:t>
      </w:r>
      <w:r>
        <w:rPr>
          <w:color w:val="3D3B3B"/>
          <w:w w:val="105"/>
          <w:vertAlign w:val="baseline"/>
        </w:rPr>
        <w:t>time  that any court has viewed  the  </w:t>
      </w:r>
      <w:r>
        <w:rPr>
          <w:color w:val="2D2A2A"/>
          <w:w w:val="105"/>
          <w:vertAlign w:val="baseline"/>
        </w:rPr>
        <w:t>legal </w:t>
      </w:r>
      <w:r>
        <w:rPr>
          <w:color w:val="3D3B3B"/>
          <w:w w:val="105"/>
          <w:vertAlign w:val="baseline"/>
        </w:rPr>
        <w:t>argu­</w:t>
      </w:r>
      <w:r>
        <w:rPr>
          <w:color w:val="3D3B3B"/>
          <w:spacing w:val="1"/>
          <w:w w:val="105"/>
          <w:vertAlign w:val="baseline"/>
        </w:rPr>
        <w:t> </w:t>
      </w:r>
      <w:r>
        <w:rPr>
          <w:color w:val="3D3B3B"/>
          <w:w w:val="105"/>
          <w:vertAlign w:val="baseline"/>
        </w:rPr>
        <w:t>ment.  Unlike appellate  standards  of  review,  motion standards  of  review</w:t>
      </w:r>
      <w:r>
        <w:rPr>
          <w:color w:val="3D3B3B"/>
          <w:spacing w:val="1"/>
          <w:w w:val="105"/>
          <w:vertAlign w:val="baseline"/>
        </w:rPr>
        <w:t> </w:t>
      </w:r>
      <w:r>
        <w:rPr>
          <w:color w:val="3D3B3B"/>
          <w:w w:val="105"/>
          <w:vertAlign w:val="baseline"/>
        </w:rPr>
        <w:t>do  not  ask a  court to  apply a  particular </w:t>
      </w:r>
      <w:r>
        <w:rPr>
          <w:color w:val="2D2A2A"/>
          <w:w w:val="105"/>
          <w:vertAlign w:val="baseline"/>
        </w:rPr>
        <w:t>level </w:t>
      </w:r>
      <w:r>
        <w:rPr>
          <w:color w:val="3D3B3B"/>
          <w:w w:val="105"/>
          <w:vertAlign w:val="baseline"/>
        </w:rPr>
        <w:t>of  deference to  the  actions</w:t>
      </w:r>
      <w:r>
        <w:rPr>
          <w:color w:val="3D3B3B"/>
          <w:spacing w:val="1"/>
          <w:w w:val="105"/>
          <w:vertAlign w:val="baseline"/>
        </w:rPr>
        <w:t> </w:t>
      </w:r>
      <w:r>
        <w:rPr>
          <w:color w:val="3D3B3B"/>
          <w:w w:val="105"/>
          <w:vertAlign w:val="baseline"/>
        </w:rPr>
        <w:t>of another decision maker. Nevertheless, courts frequently use the</w:t>
      </w:r>
      <w:r>
        <w:rPr>
          <w:color w:val="3D3B3B"/>
          <w:spacing w:val="1"/>
          <w:w w:val="105"/>
          <w:vertAlign w:val="baseline"/>
        </w:rPr>
        <w:t> </w:t>
      </w:r>
      <w:r>
        <w:rPr>
          <w:color w:val="3D3B3B"/>
          <w:w w:val="105"/>
          <w:vertAlign w:val="baseline"/>
        </w:rPr>
        <w:t>phrase</w:t>
      </w:r>
      <w:r>
        <w:rPr>
          <w:color w:val="3D3B3B"/>
          <w:spacing w:val="1"/>
          <w:w w:val="105"/>
          <w:vertAlign w:val="baseline"/>
        </w:rPr>
        <w:t> </w:t>
      </w:r>
      <w:r>
        <w:rPr>
          <w:i/>
          <w:color w:val="3D3B3B"/>
          <w:w w:val="105"/>
          <w:sz w:val="24"/>
          <w:vertAlign w:val="baseline"/>
        </w:rPr>
        <w:t>standard</w:t>
      </w:r>
      <w:r>
        <w:rPr>
          <w:i/>
          <w:color w:val="3D3B3B"/>
          <w:spacing w:val="10"/>
          <w:w w:val="105"/>
          <w:sz w:val="24"/>
          <w:vertAlign w:val="baseline"/>
        </w:rPr>
        <w:t> </w:t>
      </w:r>
      <w:r>
        <w:rPr>
          <w:i/>
          <w:color w:val="3D3B3B"/>
          <w:w w:val="105"/>
          <w:sz w:val="22"/>
          <w:vertAlign w:val="baseline"/>
        </w:rPr>
        <w:t>of</w:t>
      </w:r>
      <w:r>
        <w:rPr>
          <w:i/>
          <w:color w:val="3D3B3B"/>
          <w:spacing w:val="28"/>
          <w:w w:val="105"/>
          <w:sz w:val="22"/>
          <w:vertAlign w:val="baseline"/>
        </w:rPr>
        <w:t> </w:t>
      </w:r>
      <w:r>
        <w:rPr>
          <w:i/>
          <w:color w:val="3D3B3B"/>
          <w:w w:val="105"/>
          <w:sz w:val="24"/>
          <w:vertAlign w:val="baseline"/>
        </w:rPr>
        <w:t>review</w:t>
      </w:r>
      <w:r>
        <w:rPr>
          <w:i/>
          <w:color w:val="3D3B3B"/>
          <w:spacing w:val="-5"/>
          <w:w w:val="105"/>
          <w:sz w:val="24"/>
          <w:vertAlign w:val="baseline"/>
        </w:rPr>
        <w:t> </w:t>
      </w:r>
      <w:r>
        <w:rPr>
          <w:color w:val="3D3B3B"/>
          <w:w w:val="105"/>
          <w:vertAlign w:val="baseline"/>
        </w:rPr>
        <w:t>in</w:t>
      </w:r>
      <w:r>
        <w:rPr>
          <w:color w:val="3D3B3B"/>
          <w:spacing w:val="43"/>
          <w:w w:val="105"/>
          <w:vertAlign w:val="baseline"/>
        </w:rPr>
        <w:t> </w:t>
      </w:r>
      <w:r>
        <w:rPr>
          <w:color w:val="3D3B3B"/>
          <w:w w:val="105"/>
          <w:vertAlign w:val="baseline"/>
        </w:rPr>
        <w:t>this</w:t>
      </w:r>
      <w:r>
        <w:rPr>
          <w:color w:val="3D3B3B"/>
          <w:spacing w:val="-14"/>
          <w:w w:val="105"/>
          <w:vertAlign w:val="baseline"/>
        </w:rPr>
        <w:t> </w:t>
      </w:r>
      <w:r>
        <w:rPr>
          <w:color w:val="3D3B3B"/>
          <w:w w:val="105"/>
          <w:vertAlign w:val="baseline"/>
        </w:rPr>
        <w:t>context.</w:t>
      </w:r>
    </w:p>
    <w:p>
      <w:pPr>
        <w:pStyle w:val="BodyText"/>
        <w:spacing w:line="232" w:lineRule="auto"/>
        <w:ind w:left="2179" w:right="120" w:firstLine="381"/>
        <w:jc w:val="both"/>
      </w:pPr>
      <w:r>
        <w:rPr>
          <w:color w:val="3D3B3B"/>
          <w:w w:val="110"/>
        </w:rPr>
        <w:t>Many motions address routine matters such as requests for extension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of time or for discovery. These motions may require little more than </w:t>
      </w:r>
      <w:r>
        <w:rPr>
          <w:color w:val="2D2A2A"/>
          <w:w w:val="110"/>
        </w:rPr>
        <w:t>a</w:t>
      </w:r>
      <w:r>
        <w:rPr>
          <w:color w:val="2D2A2A"/>
          <w:spacing w:val="1"/>
          <w:w w:val="110"/>
        </w:rPr>
        <w:t> </w:t>
      </w:r>
      <w:r>
        <w:rPr>
          <w:color w:val="3D3B3B"/>
          <w:w w:val="110"/>
        </w:rPr>
        <w:t>request for action accompanied by the citation to a statute or rule. Other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05"/>
        </w:rPr>
        <w:t>motions, however, </w:t>
      </w:r>
      <w:r>
        <w:rPr>
          <w:color w:val="2D2A2A"/>
          <w:w w:val="105"/>
        </w:rPr>
        <w:t>may  </w:t>
      </w:r>
      <w:r>
        <w:rPr>
          <w:color w:val="3D3B3B"/>
          <w:w w:val="105"/>
        </w:rPr>
        <w:t>require formal briefing that is similar to the  brief­</w:t>
      </w:r>
      <w:r>
        <w:rPr>
          <w:color w:val="3D3B3B"/>
          <w:spacing w:val="1"/>
          <w:w w:val="105"/>
        </w:rPr>
        <w:t> </w:t>
      </w:r>
      <w:r>
        <w:rPr>
          <w:color w:val="3D3B3B"/>
          <w:w w:val="105"/>
        </w:rPr>
        <w:t>ing done for appe11ate courts. Like appellate briefs, motion briefs may  be</w:t>
      </w:r>
      <w:r>
        <w:rPr>
          <w:color w:val="3D3B3B"/>
          <w:spacing w:val="1"/>
          <w:w w:val="105"/>
        </w:rPr>
        <w:t> </w:t>
      </w:r>
      <w:r>
        <w:rPr>
          <w:color w:val="3D3B3B"/>
          <w:w w:val="110"/>
        </w:rPr>
        <w:t>the sole basis for decision: Trial courts frequently decide motions based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on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the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briefs alone, without oral argument.</w:t>
      </w:r>
      <w:r>
        <w:rPr>
          <w:color w:val="4F4D4F"/>
          <w:w w:val="110"/>
          <w:vertAlign w:val="superscript"/>
        </w:rPr>
        <w:t>35</w:t>
      </w:r>
      <w:r>
        <w:rPr>
          <w:color w:val="4F4D4F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The standard of review is</w:t>
      </w:r>
      <w:r>
        <w:rPr>
          <w:color w:val="3D3B3B"/>
          <w:spacing w:val="1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particularly</w:t>
      </w:r>
      <w:r>
        <w:rPr>
          <w:color w:val="3D3B3B"/>
          <w:spacing w:val="-4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important</w:t>
      </w:r>
      <w:r>
        <w:rPr>
          <w:color w:val="3D3B3B"/>
          <w:spacing w:val="6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for</w:t>
      </w:r>
      <w:r>
        <w:rPr>
          <w:color w:val="3D3B3B"/>
          <w:spacing w:val="-28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motions</w:t>
      </w:r>
      <w:r>
        <w:rPr>
          <w:color w:val="3D3B3B"/>
          <w:spacing w:val="-15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like</w:t>
      </w:r>
      <w:r>
        <w:rPr>
          <w:color w:val="3D3B3B"/>
          <w:spacing w:val="5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the</w:t>
      </w:r>
      <w:r>
        <w:rPr>
          <w:color w:val="3D3B3B"/>
          <w:spacing w:val="25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motion</w:t>
      </w:r>
      <w:r>
        <w:rPr>
          <w:color w:val="3D3B3B"/>
          <w:spacing w:val="-6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to</w:t>
      </w:r>
      <w:r>
        <w:rPr>
          <w:color w:val="3D3B3B"/>
          <w:spacing w:val="-6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dismiss</w:t>
      </w:r>
      <w:r>
        <w:rPr>
          <w:color w:val="3D3B3B"/>
          <w:spacing w:val="-6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(Fed.</w:t>
      </w:r>
      <w:r>
        <w:rPr>
          <w:color w:val="3D3B3B"/>
          <w:spacing w:val="-6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R.</w:t>
      </w:r>
      <w:r>
        <w:rPr>
          <w:color w:val="3D3B3B"/>
          <w:spacing w:val="-24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Civ.</w:t>
      </w:r>
    </w:p>
    <w:p>
      <w:pPr>
        <w:pStyle w:val="BodyText"/>
        <w:spacing w:line="232" w:lineRule="auto"/>
        <w:ind w:left="2152" w:right="113" w:firstLine="22"/>
        <w:jc w:val="both"/>
      </w:pPr>
      <w:r>
        <w:rPr>
          <w:color w:val="3D3B3B"/>
          <w:w w:val="105"/>
        </w:rPr>
        <w:t>P. 12(b)(6)) and the motion for summary judgment (Fed. R. Civ. P. 56(c)).</w:t>
      </w:r>
      <w:r>
        <w:rPr>
          <w:color w:val="3D3B3B"/>
          <w:w w:val="105"/>
          <w:vertAlign w:val="superscript"/>
        </w:rPr>
        <w:t>36</w:t>
      </w:r>
      <w:r>
        <w:rPr>
          <w:color w:val="3D3B3B"/>
          <w:spacing w:val="1"/>
          <w:w w:val="105"/>
          <w:vertAlign w:val="baseline"/>
        </w:rPr>
        <w:t> </w:t>
      </w:r>
      <w:r>
        <w:rPr>
          <w:color w:val="3D3B3B"/>
          <w:spacing w:val="-1"/>
          <w:w w:val="110"/>
          <w:vertAlign w:val="baseline"/>
        </w:rPr>
        <w:t>These</w:t>
      </w:r>
      <w:r>
        <w:rPr>
          <w:color w:val="3D3B3B"/>
          <w:spacing w:val="-21"/>
          <w:w w:val="110"/>
          <w:vertAlign w:val="baseline"/>
        </w:rPr>
        <w:t> </w:t>
      </w:r>
      <w:r>
        <w:rPr>
          <w:color w:val="3D3B3B"/>
          <w:spacing w:val="-1"/>
          <w:w w:val="110"/>
          <w:vertAlign w:val="baseline"/>
        </w:rPr>
        <w:t>so-called</w:t>
      </w:r>
      <w:r>
        <w:rPr>
          <w:color w:val="3D3B3B"/>
          <w:spacing w:val="-9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dispositive</w:t>
      </w:r>
      <w:r>
        <w:rPr>
          <w:color w:val="3D3B3B"/>
          <w:spacing w:val="-11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motions</w:t>
      </w:r>
      <w:r>
        <w:rPr>
          <w:color w:val="3D3B3B"/>
          <w:spacing w:val="-27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can</w:t>
      </w:r>
      <w:r>
        <w:rPr>
          <w:color w:val="3D3B3B"/>
          <w:spacing w:val="-4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"dispose"</w:t>
      </w:r>
      <w:r>
        <w:rPr>
          <w:color w:val="3D3B3B"/>
          <w:spacing w:val="-19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of</w:t>
      </w:r>
      <w:r>
        <w:rPr>
          <w:color w:val="3D3B3B"/>
          <w:spacing w:val="-14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a</w:t>
      </w:r>
      <w:r>
        <w:rPr>
          <w:color w:val="3D3B3B"/>
          <w:spacing w:val="-7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case,</w:t>
      </w:r>
      <w:r>
        <w:rPr>
          <w:color w:val="3D3B3B"/>
          <w:spacing w:val="-20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at</w:t>
      </w:r>
      <w:r>
        <w:rPr>
          <w:color w:val="3D3B3B"/>
          <w:spacing w:val="1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least</w:t>
      </w:r>
      <w:r>
        <w:rPr>
          <w:color w:val="3D3B3B"/>
          <w:spacing w:val="-8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tempo­</w:t>
      </w:r>
      <w:r>
        <w:rPr>
          <w:color w:val="3D3B3B"/>
          <w:spacing w:val="-60"/>
          <w:w w:val="110"/>
          <w:vertAlign w:val="baseline"/>
        </w:rPr>
        <w:t> </w:t>
      </w:r>
      <w:r>
        <w:rPr>
          <w:color w:val="3D3B3B"/>
          <w:spacing w:val="-1"/>
          <w:w w:val="110"/>
          <w:vertAlign w:val="baseline"/>
        </w:rPr>
        <w:t>rarily,</w:t>
      </w:r>
      <w:r>
        <w:rPr>
          <w:color w:val="3D3B3B"/>
          <w:spacing w:val="-14"/>
          <w:w w:val="110"/>
          <w:vertAlign w:val="baseline"/>
        </w:rPr>
        <w:t> </w:t>
      </w:r>
      <w:r>
        <w:rPr>
          <w:color w:val="3D3B3B"/>
          <w:spacing w:val="-1"/>
          <w:w w:val="110"/>
          <w:vertAlign w:val="baseline"/>
        </w:rPr>
        <w:t>and</w:t>
      </w:r>
      <w:r>
        <w:rPr>
          <w:color w:val="3D3B3B"/>
          <w:spacing w:val="49"/>
          <w:w w:val="110"/>
          <w:vertAlign w:val="baseline"/>
        </w:rPr>
        <w:t> </w:t>
      </w:r>
      <w:r>
        <w:rPr>
          <w:color w:val="3D3B3B"/>
          <w:spacing w:val="-1"/>
          <w:w w:val="110"/>
          <w:vertAlign w:val="baseline"/>
        </w:rPr>
        <w:t>thus</w:t>
      </w:r>
      <w:r>
        <w:rPr>
          <w:color w:val="3D3B3B"/>
          <w:spacing w:val="-5"/>
          <w:w w:val="110"/>
          <w:vertAlign w:val="baseline"/>
        </w:rPr>
        <w:t> </w:t>
      </w:r>
      <w:r>
        <w:rPr>
          <w:color w:val="3D3B3B"/>
          <w:spacing w:val="-1"/>
          <w:w w:val="110"/>
          <w:vertAlign w:val="baseline"/>
        </w:rPr>
        <w:t>present</w:t>
      </w:r>
      <w:r>
        <w:rPr>
          <w:color w:val="3D3B3B"/>
          <w:spacing w:val="1"/>
          <w:w w:val="110"/>
          <w:vertAlign w:val="baseline"/>
        </w:rPr>
        <w:t> </w:t>
      </w:r>
      <w:r>
        <w:rPr>
          <w:color w:val="3D3B3B"/>
          <w:spacing w:val="-1"/>
          <w:w w:val="110"/>
          <w:vertAlign w:val="baseline"/>
        </w:rPr>
        <w:t>an</w:t>
      </w:r>
      <w:r>
        <w:rPr>
          <w:color w:val="3D3B3B"/>
          <w:spacing w:val="18"/>
          <w:w w:val="110"/>
          <w:vertAlign w:val="baseline"/>
        </w:rPr>
        <w:t> </w:t>
      </w:r>
      <w:r>
        <w:rPr>
          <w:color w:val="3D3B3B"/>
          <w:spacing w:val="-1"/>
          <w:w w:val="110"/>
          <w:vertAlign w:val="baseline"/>
        </w:rPr>
        <w:t>important</w:t>
      </w:r>
      <w:r>
        <w:rPr>
          <w:color w:val="3D3B3B"/>
          <w:spacing w:val="4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opportunity</w:t>
      </w:r>
      <w:r>
        <w:rPr>
          <w:color w:val="3D3B3B"/>
          <w:spacing w:val="-5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for</w:t>
      </w:r>
      <w:r>
        <w:rPr>
          <w:color w:val="3D3B3B"/>
          <w:spacing w:val="-34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advocacy.37</w:t>
      </w:r>
    </w:p>
    <w:p>
      <w:pPr>
        <w:pStyle w:val="BodyText"/>
        <w:spacing w:line="235" w:lineRule="auto"/>
        <w:ind w:left="2093" w:right="114" w:firstLine="415"/>
        <w:jc w:val="both"/>
      </w:pPr>
      <w:r>
        <w:rPr>
          <w:color w:val="3D3B3B"/>
          <w:w w:val="110"/>
        </w:rPr>
        <w:t>The standards of review for dispositive motions are based on the trial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court's competing needs to  allow access to  courts on  the  one  hand and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to use judicial resources efficiently and prevent frivolous lawsuits on the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other. Counsel, in contrast, may use motion practice strategically, </w:t>
      </w:r>
      <w:r>
        <w:rPr>
          <w:color w:val="2D2A2A"/>
          <w:w w:val="110"/>
        </w:rPr>
        <w:t>to </w:t>
      </w:r>
      <w:r>
        <w:rPr>
          <w:color w:val="3D3B3B"/>
          <w:w w:val="110"/>
        </w:rPr>
        <w:t>edu­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cate the court as to the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issues the  case presents, or  to  narrow the factual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or</w:t>
      </w:r>
      <w:r>
        <w:rPr>
          <w:color w:val="3D3B3B"/>
          <w:spacing w:val="18"/>
          <w:w w:val="110"/>
        </w:rPr>
        <w:t> </w:t>
      </w:r>
      <w:r>
        <w:rPr>
          <w:color w:val="3D3B3B"/>
          <w:w w:val="110"/>
        </w:rPr>
        <w:t>legal</w:t>
      </w:r>
      <w:r>
        <w:rPr>
          <w:color w:val="3D3B3B"/>
          <w:spacing w:val="16"/>
          <w:w w:val="110"/>
        </w:rPr>
        <w:t> </w:t>
      </w:r>
      <w:r>
        <w:rPr>
          <w:color w:val="3D3B3B"/>
          <w:w w:val="110"/>
        </w:rPr>
        <w:t>issues</w:t>
      </w:r>
      <w:r>
        <w:rPr>
          <w:color w:val="3D3B3B"/>
          <w:spacing w:val="-5"/>
          <w:w w:val="110"/>
        </w:rPr>
        <w:t> </w:t>
      </w:r>
      <w:r>
        <w:rPr>
          <w:color w:val="3D3B3B"/>
          <w:w w:val="110"/>
        </w:rPr>
        <w:t>in</w:t>
      </w:r>
      <w:r>
        <w:rPr>
          <w:color w:val="3D3B3B"/>
          <w:spacing w:val="30"/>
          <w:w w:val="110"/>
        </w:rPr>
        <w:t> </w:t>
      </w:r>
      <w:r>
        <w:rPr>
          <w:color w:val="3D3B3B"/>
          <w:w w:val="110"/>
        </w:rPr>
        <w:t>dispute.</w:t>
      </w:r>
      <w:r>
        <w:rPr>
          <w:color w:val="3D3B3B"/>
          <w:w w:val="110"/>
          <w:vertAlign w:val="superscript"/>
        </w:rPr>
        <w:t>38</w:t>
      </w:r>
      <w:r>
        <w:rPr>
          <w:color w:val="3D3B3B"/>
          <w:spacing w:val="14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Whatever</w:t>
      </w:r>
      <w:r>
        <w:rPr>
          <w:color w:val="3D3B3B"/>
          <w:spacing w:val="19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your</w:t>
      </w:r>
      <w:r>
        <w:rPr>
          <w:color w:val="3D3B3B"/>
          <w:spacing w:val="18"/>
          <w:w w:val="110"/>
          <w:vertAlign w:val="baseline"/>
        </w:rPr>
        <w:t> </w:t>
      </w:r>
      <w:r>
        <w:rPr>
          <w:color w:val="2D2A2A"/>
          <w:w w:val="110"/>
          <w:vertAlign w:val="baseline"/>
        </w:rPr>
        <w:t>purpose</w:t>
      </w:r>
      <w:r>
        <w:rPr>
          <w:color w:val="2D2A2A"/>
          <w:spacing w:val="9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in</w:t>
      </w:r>
      <w:r>
        <w:rPr>
          <w:color w:val="3D3B3B"/>
          <w:spacing w:val="29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filing</w:t>
      </w:r>
      <w:r>
        <w:rPr>
          <w:color w:val="3D3B3B"/>
          <w:spacing w:val="-4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a</w:t>
      </w:r>
      <w:r>
        <w:rPr>
          <w:color w:val="3D3B3B"/>
          <w:spacing w:val="11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dispositive</w:t>
      </w:r>
    </w:p>
    <w:p>
      <w:pPr>
        <w:pStyle w:val="BodyText"/>
        <w:spacing w:before="10"/>
      </w:pPr>
    </w:p>
    <w:p>
      <w:pPr>
        <w:spacing w:line="244" w:lineRule="auto" w:before="93"/>
        <w:ind w:left="2074" w:right="141" w:firstLine="379"/>
        <w:jc w:val="both"/>
        <w:rPr>
          <w:sz w:val="18"/>
        </w:rPr>
      </w:pPr>
      <w:r>
        <w:rPr>
          <w:rFonts w:ascii="Arial"/>
          <w:color w:val="4F4D4F"/>
          <w:w w:val="105"/>
          <w:position w:val="6"/>
          <w:sz w:val="10"/>
        </w:rPr>
        <w:t>3</w:t>
      </w:r>
      <w:r>
        <w:rPr>
          <w:rFonts w:ascii="Arial"/>
          <w:color w:val="4F4D4F"/>
          <w:w w:val="105"/>
          <w:sz w:val="10"/>
        </w:rPr>
        <w:t>'</w:t>
      </w:r>
      <w:r>
        <w:rPr>
          <w:rFonts w:ascii="Arial"/>
          <w:color w:val="4F4D4F"/>
          <w:spacing w:val="1"/>
          <w:w w:val="105"/>
          <w:sz w:val="10"/>
        </w:rPr>
        <w:t> </w:t>
      </w:r>
      <w:r>
        <w:rPr>
          <w:i/>
          <w:color w:val="4F4D4F"/>
          <w:w w:val="105"/>
          <w:sz w:val="17"/>
        </w:rPr>
        <w:t>E.g., </w:t>
      </w:r>
      <w:r>
        <w:rPr>
          <w:i/>
          <w:color w:val="3D3B3B"/>
          <w:w w:val="105"/>
          <w:sz w:val="17"/>
        </w:rPr>
        <w:t>F.D.I.C. ex </w:t>
      </w:r>
      <w:r>
        <w:rPr>
          <w:i/>
          <w:color w:val="4F4D4F"/>
          <w:w w:val="105"/>
          <w:sz w:val="17"/>
        </w:rPr>
        <w:t>rel. </w:t>
      </w:r>
      <w:r>
        <w:rPr>
          <w:i/>
          <w:color w:val="3D3B3B"/>
          <w:w w:val="105"/>
          <w:sz w:val="17"/>
        </w:rPr>
        <w:t>Wheatland Bank </w:t>
      </w:r>
      <w:r>
        <w:rPr>
          <w:i/>
          <w:color w:val="3D3B3B"/>
          <w:w w:val="105"/>
          <w:sz w:val="16"/>
        </w:rPr>
        <w:t>v. </w:t>
      </w:r>
      <w:r>
        <w:rPr>
          <w:i/>
          <w:color w:val="3D3B3B"/>
          <w:w w:val="105"/>
          <w:sz w:val="17"/>
        </w:rPr>
        <w:t>Spangler, </w:t>
      </w:r>
      <w:r>
        <w:rPr>
          <w:color w:val="3D3B3B"/>
          <w:w w:val="105"/>
          <w:sz w:val="18"/>
        </w:rPr>
        <w:t>836</w:t>
      </w:r>
      <w:r>
        <w:rPr>
          <w:color w:val="3D3B3B"/>
          <w:spacing w:val="1"/>
          <w:w w:val="105"/>
          <w:sz w:val="18"/>
        </w:rPr>
        <w:t> </w:t>
      </w:r>
      <w:r>
        <w:rPr>
          <w:rFonts w:ascii="Arial"/>
          <w:color w:val="3D3B3B"/>
          <w:w w:val="105"/>
          <w:sz w:val="16"/>
        </w:rPr>
        <w:t>F. </w:t>
      </w:r>
      <w:r>
        <w:rPr>
          <w:color w:val="4F4D4F"/>
          <w:w w:val="105"/>
          <w:sz w:val="18"/>
        </w:rPr>
        <w:t>Supp. </w:t>
      </w:r>
      <w:r>
        <w:rPr>
          <w:color w:val="3D3B3B"/>
          <w:w w:val="105"/>
          <w:sz w:val="18"/>
        </w:rPr>
        <w:t>2d </w:t>
      </w:r>
      <w:r>
        <w:rPr>
          <w:color w:val="4F4D4F"/>
          <w:w w:val="105"/>
          <w:sz w:val="18"/>
        </w:rPr>
        <w:t>778, </w:t>
      </w:r>
      <w:r>
        <w:rPr>
          <w:color w:val="3D3B3B"/>
          <w:w w:val="105"/>
          <w:sz w:val="18"/>
        </w:rPr>
        <w:t>784 </w:t>
      </w:r>
      <w:r>
        <w:rPr>
          <w:i/>
          <w:color w:val="3D3B3B"/>
          <w:w w:val="105"/>
          <w:sz w:val="17"/>
        </w:rPr>
        <w:t>(N.D. </w:t>
      </w:r>
      <w:r>
        <w:rPr>
          <w:color w:val="3D3B3B"/>
          <w:w w:val="105"/>
          <w:sz w:val="18"/>
        </w:rPr>
        <w:t>Ill. 201 I)</w:t>
      </w:r>
      <w:r>
        <w:rPr>
          <w:color w:val="3D3B3B"/>
          <w:spacing w:val="1"/>
          <w:w w:val="105"/>
          <w:sz w:val="18"/>
        </w:rPr>
        <w:t> </w:t>
      </w:r>
      <w:r>
        <w:rPr>
          <w:color w:val="3D3B3B"/>
          <w:w w:val="105"/>
          <w:sz w:val="18"/>
        </w:rPr>
        <w:t>(using</w:t>
      </w:r>
      <w:r>
        <w:rPr>
          <w:color w:val="3D3B3B"/>
          <w:spacing w:val="13"/>
          <w:w w:val="105"/>
          <w:sz w:val="18"/>
        </w:rPr>
        <w:t> </w:t>
      </w:r>
      <w:r>
        <w:rPr>
          <w:color w:val="3D3B3B"/>
          <w:w w:val="105"/>
          <w:sz w:val="18"/>
        </w:rPr>
        <w:t>the</w:t>
      </w:r>
      <w:r>
        <w:rPr>
          <w:color w:val="3D3B3B"/>
          <w:spacing w:val="24"/>
          <w:w w:val="105"/>
          <w:sz w:val="18"/>
        </w:rPr>
        <w:t> </w:t>
      </w:r>
      <w:r>
        <w:rPr>
          <w:color w:val="3D3B3B"/>
          <w:w w:val="105"/>
          <w:sz w:val="18"/>
        </w:rPr>
        <w:t>heading</w:t>
      </w:r>
      <w:r>
        <w:rPr>
          <w:color w:val="3D3B3B"/>
          <w:spacing w:val="7"/>
          <w:w w:val="105"/>
          <w:sz w:val="18"/>
        </w:rPr>
        <w:t> </w:t>
      </w:r>
      <w:r>
        <w:rPr>
          <w:color w:val="4F4D4F"/>
          <w:w w:val="105"/>
          <w:sz w:val="18"/>
        </w:rPr>
        <w:t>"Legal</w:t>
      </w:r>
      <w:r>
        <w:rPr>
          <w:color w:val="4F4D4F"/>
          <w:spacing w:val="3"/>
          <w:w w:val="105"/>
          <w:sz w:val="18"/>
        </w:rPr>
        <w:t> </w:t>
      </w:r>
      <w:r>
        <w:rPr>
          <w:color w:val="4F4D4F"/>
          <w:w w:val="105"/>
          <w:sz w:val="18"/>
        </w:rPr>
        <w:t>Standard</w:t>
      </w:r>
      <w:r>
        <w:rPr>
          <w:color w:val="4F4D4F"/>
          <w:spacing w:val="24"/>
          <w:w w:val="105"/>
          <w:sz w:val="18"/>
        </w:rPr>
        <w:t> </w:t>
      </w:r>
      <w:r>
        <w:rPr>
          <w:color w:val="3D3B3B"/>
          <w:w w:val="105"/>
          <w:sz w:val="18"/>
        </w:rPr>
        <w:t>for</w:t>
      </w:r>
      <w:r>
        <w:rPr>
          <w:color w:val="3D3B3B"/>
          <w:spacing w:val="21"/>
          <w:w w:val="105"/>
          <w:sz w:val="18"/>
        </w:rPr>
        <w:t> </w:t>
      </w:r>
      <w:r>
        <w:rPr>
          <w:color w:val="4F4D4F"/>
          <w:w w:val="105"/>
          <w:sz w:val="18"/>
        </w:rPr>
        <w:t>Rule</w:t>
      </w:r>
      <w:r>
        <w:rPr>
          <w:color w:val="4F4D4F"/>
          <w:spacing w:val="1"/>
          <w:w w:val="105"/>
          <w:sz w:val="18"/>
        </w:rPr>
        <w:t> </w:t>
      </w:r>
      <w:r>
        <w:rPr>
          <w:color w:val="3D3B3B"/>
          <w:w w:val="105"/>
          <w:sz w:val="18"/>
        </w:rPr>
        <w:t>12(b)(6)</w:t>
      </w:r>
      <w:r>
        <w:rPr>
          <w:color w:val="3D3B3B"/>
          <w:spacing w:val="21"/>
          <w:w w:val="105"/>
          <w:sz w:val="18"/>
        </w:rPr>
        <w:t> </w:t>
      </w:r>
      <w:r>
        <w:rPr>
          <w:color w:val="3D3B3B"/>
          <w:w w:val="105"/>
          <w:sz w:val="18"/>
        </w:rPr>
        <w:t>Motions</w:t>
      </w:r>
      <w:r>
        <w:rPr>
          <w:color w:val="3D3B3B"/>
          <w:spacing w:val="13"/>
          <w:w w:val="105"/>
          <w:sz w:val="18"/>
        </w:rPr>
        <w:t> </w:t>
      </w:r>
      <w:r>
        <w:rPr>
          <w:color w:val="3D3B3B"/>
          <w:w w:val="105"/>
          <w:sz w:val="18"/>
        </w:rPr>
        <w:t>to</w:t>
      </w:r>
      <w:r>
        <w:rPr>
          <w:color w:val="3D3B3B"/>
          <w:spacing w:val="38"/>
          <w:w w:val="105"/>
          <w:sz w:val="18"/>
        </w:rPr>
        <w:t> </w:t>
      </w:r>
      <w:r>
        <w:rPr>
          <w:color w:val="3D3B3B"/>
          <w:w w:val="105"/>
          <w:sz w:val="18"/>
        </w:rPr>
        <w:t>Dismiss");</w:t>
      </w:r>
      <w:r>
        <w:rPr>
          <w:color w:val="3D3B3B"/>
          <w:spacing w:val="16"/>
          <w:w w:val="105"/>
          <w:sz w:val="18"/>
        </w:rPr>
        <w:t> </w:t>
      </w:r>
      <w:r>
        <w:rPr>
          <w:i/>
          <w:color w:val="3D3B3B"/>
          <w:w w:val="105"/>
          <w:sz w:val="17"/>
        </w:rPr>
        <w:t>Ashaofl </w:t>
      </w:r>
      <w:r>
        <w:rPr>
          <w:i/>
          <w:color w:val="3D3B3B"/>
          <w:spacing w:val="4"/>
          <w:w w:val="105"/>
          <w:sz w:val="17"/>
        </w:rPr>
        <w:t> </w:t>
      </w:r>
      <w:r>
        <w:rPr>
          <w:i/>
          <w:color w:val="3D3B3B"/>
          <w:w w:val="105"/>
          <w:sz w:val="17"/>
        </w:rPr>
        <w:t>v.</w:t>
      </w:r>
      <w:r>
        <w:rPr>
          <w:i/>
          <w:color w:val="3D3B3B"/>
          <w:spacing w:val="-3"/>
          <w:w w:val="105"/>
          <w:sz w:val="17"/>
        </w:rPr>
        <w:t> </w:t>
      </w:r>
      <w:r>
        <w:rPr>
          <w:i/>
          <w:color w:val="3D3B3B"/>
          <w:w w:val="105"/>
          <w:sz w:val="17"/>
        </w:rPr>
        <w:t>Iqbal,</w:t>
      </w:r>
      <w:r>
        <w:rPr>
          <w:i/>
          <w:color w:val="3D3B3B"/>
          <w:spacing w:val="-2"/>
          <w:w w:val="105"/>
          <w:sz w:val="17"/>
        </w:rPr>
        <w:t> </w:t>
      </w:r>
      <w:r>
        <w:rPr>
          <w:color w:val="3D3B3B"/>
          <w:w w:val="105"/>
          <w:sz w:val="18"/>
        </w:rPr>
        <w:t>556</w:t>
      </w:r>
    </w:p>
    <w:p>
      <w:pPr>
        <w:spacing w:line="187" w:lineRule="exact" w:before="0"/>
        <w:ind w:left="2080" w:right="0" w:firstLine="0"/>
        <w:jc w:val="both"/>
        <w:rPr>
          <w:sz w:val="18"/>
        </w:rPr>
      </w:pPr>
      <w:r>
        <w:rPr>
          <w:color w:val="3D3B3B"/>
          <w:spacing w:val="-1"/>
          <w:w w:val="110"/>
          <w:sz w:val="18"/>
        </w:rPr>
        <w:t>U.S.</w:t>
      </w:r>
      <w:r>
        <w:rPr>
          <w:color w:val="3D3B3B"/>
          <w:spacing w:val="-6"/>
          <w:w w:val="110"/>
          <w:sz w:val="18"/>
        </w:rPr>
        <w:t> </w:t>
      </w:r>
      <w:r>
        <w:rPr>
          <w:color w:val="3D3B3B"/>
          <w:spacing w:val="-1"/>
          <w:w w:val="110"/>
          <w:sz w:val="18"/>
        </w:rPr>
        <w:t>662,</w:t>
      </w:r>
      <w:r>
        <w:rPr>
          <w:color w:val="3D3B3B"/>
          <w:spacing w:val="-5"/>
          <w:w w:val="110"/>
          <w:sz w:val="18"/>
        </w:rPr>
        <w:t> </w:t>
      </w:r>
      <w:r>
        <w:rPr>
          <w:color w:val="3D3B3B"/>
          <w:spacing w:val="-1"/>
          <w:w w:val="110"/>
          <w:sz w:val="18"/>
        </w:rPr>
        <w:t>684</w:t>
      </w:r>
      <w:r>
        <w:rPr>
          <w:color w:val="3D3B3B"/>
          <w:spacing w:val="-13"/>
          <w:w w:val="110"/>
          <w:sz w:val="18"/>
        </w:rPr>
        <w:t> </w:t>
      </w:r>
      <w:r>
        <w:rPr>
          <w:color w:val="3D3B3B"/>
          <w:spacing w:val="-1"/>
          <w:w w:val="110"/>
          <w:sz w:val="18"/>
        </w:rPr>
        <w:t>(2009)</w:t>
      </w:r>
      <w:r>
        <w:rPr>
          <w:color w:val="3D3B3B"/>
          <w:spacing w:val="4"/>
          <w:w w:val="110"/>
          <w:sz w:val="18"/>
        </w:rPr>
        <w:t> </w:t>
      </w:r>
      <w:r>
        <w:rPr>
          <w:color w:val="3D3B3B"/>
          <w:spacing w:val="-1"/>
          <w:w w:val="110"/>
          <w:sz w:val="18"/>
        </w:rPr>
        <w:t>(Court</w:t>
      </w:r>
      <w:r>
        <w:rPr>
          <w:color w:val="3D3B3B"/>
          <w:spacing w:val="6"/>
          <w:w w:val="110"/>
          <w:sz w:val="18"/>
        </w:rPr>
        <w:t> </w:t>
      </w:r>
      <w:r>
        <w:rPr>
          <w:color w:val="3D3B3B"/>
          <w:spacing w:val="-1"/>
          <w:w w:val="110"/>
          <w:sz w:val="18"/>
        </w:rPr>
        <w:t>noted,</w:t>
      </w:r>
      <w:r>
        <w:rPr>
          <w:color w:val="3D3B3B"/>
          <w:w w:val="110"/>
          <w:sz w:val="18"/>
        </w:rPr>
        <w:t> </w:t>
      </w:r>
      <w:r>
        <w:rPr>
          <w:color w:val="4F4D4F"/>
          <w:spacing w:val="-1"/>
          <w:w w:val="110"/>
          <w:sz w:val="18"/>
        </w:rPr>
        <w:t>in</w:t>
      </w:r>
      <w:r>
        <w:rPr>
          <w:color w:val="4F4D4F"/>
          <w:spacing w:val="18"/>
          <w:w w:val="110"/>
          <w:sz w:val="18"/>
        </w:rPr>
        <w:t> </w:t>
      </w:r>
      <w:r>
        <w:rPr>
          <w:color w:val="3D3B3B"/>
          <w:spacing w:val="-1"/>
          <w:w w:val="110"/>
          <w:sz w:val="18"/>
        </w:rPr>
        <w:t>reference</w:t>
      </w:r>
      <w:r>
        <w:rPr>
          <w:color w:val="3D3B3B"/>
          <w:spacing w:val="2"/>
          <w:w w:val="110"/>
          <w:sz w:val="18"/>
        </w:rPr>
        <w:t> </w:t>
      </w:r>
      <w:r>
        <w:rPr>
          <w:color w:val="4F4D4F"/>
          <w:w w:val="110"/>
          <w:sz w:val="18"/>
        </w:rPr>
        <w:t>to</w:t>
      </w:r>
      <w:r>
        <w:rPr>
          <w:color w:val="4F4D4F"/>
          <w:spacing w:val="5"/>
          <w:w w:val="110"/>
          <w:sz w:val="18"/>
        </w:rPr>
        <w:t> </w:t>
      </w:r>
      <w:r>
        <w:rPr>
          <w:color w:val="3D3B3B"/>
          <w:w w:val="110"/>
          <w:sz w:val="18"/>
        </w:rPr>
        <w:t>standards</w:t>
      </w:r>
      <w:r>
        <w:rPr>
          <w:color w:val="3D3B3B"/>
          <w:spacing w:val="-1"/>
          <w:w w:val="110"/>
          <w:sz w:val="18"/>
        </w:rPr>
        <w:t> </w:t>
      </w:r>
      <w:r>
        <w:rPr>
          <w:color w:val="3D3B3B"/>
          <w:w w:val="110"/>
          <w:sz w:val="18"/>
        </w:rPr>
        <w:t>governing</w:t>
      </w:r>
      <w:r>
        <w:rPr>
          <w:color w:val="3D3B3B"/>
          <w:spacing w:val="-5"/>
          <w:w w:val="110"/>
          <w:sz w:val="18"/>
        </w:rPr>
        <w:t> </w:t>
      </w:r>
      <w:r>
        <w:rPr>
          <w:color w:val="3D3B3B"/>
          <w:w w:val="110"/>
          <w:sz w:val="18"/>
        </w:rPr>
        <w:t>motions</w:t>
      </w:r>
      <w:r>
        <w:rPr>
          <w:color w:val="3D3B3B"/>
          <w:spacing w:val="1"/>
          <w:w w:val="110"/>
          <w:sz w:val="18"/>
        </w:rPr>
        <w:t> </w:t>
      </w:r>
      <w:r>
        <w:rPr>
          <w:color w:val="3D3B3B"/>
          <w:w w:val="110"/>
          <w:sz w:val="18"/>
        </w:rPr>
        <w:t>to</w:t>
      </w:r>
      <w:r>
        <w:rPr>
          <w:color w:val="3D3B3B"/>
          <w:spacing w:val="-2"/>
          <w:w w:val="110"/>
          <w:sz w:val="18"/>
        </w:rPr>
        <w:t> </w:t>
      </w:r>
      <w:r>
        <w:rPr>
          <w:color w:val="3D3B3B"/>
          <w:w w:val="110"/>
          <w:sz w:val="18"/>
        </w:rPr>
        <w:t>dismiss,</w:t>
      </w:r>
      <w:r>
        <w:rPr>
          <w:color w:val="3D3B3B"/>
          <w:spacing w:val="4"/>
          <w:w w:val="110"/>
          <w:sz w:val="18"/>
        </w:rPr>
        <w:t> </w:t>
      </w:r>
      <w:r>
        <w:rPr>
          <w:color w:val="3D3B3B"/>
          <w:w w:val="110"/>
          <w:sz w:val="18"/>
        </w:rPr>
        <w:t>that</w:t>
      </w:r>
    </w:p>
    <w:p>
      <w:pPr>
        <w:spacing w:line="228" w:lineRule="auto" w:before="6"/>
        <w:ind w:left="2037" w:right="141" w:firstLine="23"/>
        <w:jc w:val="both"/>
        <w:rPr>
          <w:sz w:val="18"/>
        </w:rPr>
      </w:pPr>
      <w:r>
        <w:rPr>
          <w:color w:val="4F4D4F"/>
          <w:w w:val="110"/>
          <w:sz w:val="18"/>
        </w:rPr>
        <w:t>"{o)ur </w:t>
      </w:r>
      <w:r>
        <w:rPr>
          <w:color w:val="3D3B3B"/>
          <w:w w:val="110"/>
          <w:sz w:val="18"/>
        </w:rPr>
        <w:t>decision in </w:t>
      </w:r>
      <w:r>
        <w:rPr>
          <w:i/>
          <w:color w:val="3D3B3B"/>
          <w:w w:val="110"/>
          <w:sz w:val="17"/>
        </w:rPr>
        <w:t>Twombly </w:t>
      </w:r>
      <w:r>
        <w:rPr>
          <w:color w:val="3D3B3B"/>
          <w:w w:val="110"/>
          <w:sz w:val="18"/>
        </w:rPr>
        <w:t>expounded the pleading </w:t>
      </w:r>
      <w:r>
        <w:rPr>
          <w:color w:val="4F4D4F"/>
          <w:w w:val="110"/>
          <w:sz w:val="18"/>
        </w:rPr>
        <w:t>standard </w:t>
      </w:r>
      <w:r>
        <w:rPr>
          <w:color w:val="3D3B3B"/>
          <w:w w:val="110"/>
          <w:sz w:val="18"/>
        </w:rPr>
        <w:t>for </w:t>
      </w:r>
      <w:r>
        <w:rPr>
          <w:color w:val="4F4D4F"/>
          <w:w w:val="110"/>
          <w:sz w:val="18"/>
        </w:rPr>
        <w:t>'all </w:t>
      </w:r>
      <w:r>
        <w:rPr>
          <w:color w:val="3D3B3B"/>
          <w:w w:val="110"/>
          <w:sz w:val="18"/>
        </w:rPr>
        <w:t>civil </w:t>
      </w:r>
      <w:r>
        <w:rPr>
          <w:color w:val="4F4D4F"/>
          <w:w w:val="110"/>
          <w:sz w:val="18"/>
        </w:rPr>
        <w:t>actions,' </w:t>
      </w:r>
      <w:r>
        <w:rPr>
          <w:i/>
          <w:color w:val="3D3B3B"/>
          <w:w w:val="110"/>
          <w:sz w:val="17"/>
        </w:rPr>
        <w:t>ibid., </w:t>
      </w:r>
      <w:r>
        <w:rPr>
          <w:color w:val="3D3B3B"/>
          <w:w w:val="110"/>
          <w:sz w:val="18"/>
        </w:rPr>
        <w:t>and </w:t>
      </w:r>
      <w:r>
        <w:rPr>
          <w:color w:val="4F4D4F"/>
          <w:w w:val="110"/>
          <w:sz w:val="18"/>
        </w:rPr>
        <w:t>It</w:t>
      </w:r>
      <w:r>
        <w:rPr>
          <w:color w:val="4F4D4F"/>
          <w:spacing w:val="1"/>
          <w:w w:val="110"/>
          <w:sz w:val="18"/>
        </w:rPr>
        <w:t> </w:t>
      </w:r>
      <w:r>
        <w:rPr>
          <w:color w:val="3D3B3B"/>
          <w:spacing w:val="-1"/>
          <w:w w:val="110"/>
          <w:sz w:val="18"/>
        </w:rPr>
        <w:t>applies to anl'itrust and discrimination </w:t>
      </w:r>
      <w:r>
        <w:rPr>
          <w:color w:val="4F4D4F"/>
          <w:w w:val="110"/>
          <w:sz w:val="18"/>
        </w:rPr>
        <w:t>suits </w:t>
      </w:r>
      <w:r>
        <w:rPr>
          <w:color w:val="3D3B3B"/>
          <w:w w:val="110"/>
          <w:sz w:val="18"/>
        </w:rPr>
        <w:t>alike"). Note that courts often use </w:t>
      </w:r>
      <w:r>
        <w:rPr>
          <w:color w:val="2D2A2A"/>
          <w:w w:val="110"/>
          <w:sz w:val="18"/>
        </w:rPr>
        <w:t>the </w:t>
      </w:r>
      <w:r>
        <w:rPr>
          <w:color w:val="3D3B3B"/>
          <w:w w:val="110"/>
          <w:sz w:val="18"/>
        </w:rPr>
        <w:t>term </w:t>
      </w:r>
      <w:r>
        <w:rPr>
          <w:i/>
          <w:color w:val="4F4D4F"/>
          <w:w w:val="110"/>
          <w:sz w:val="17"/>
        </w:rPr>
        <w:t>pleading</w:t>
      </w:r>
      <w:r>
        <w:rPr>
          <w:i/>
          <w:color w:val="4F4D4F"/>
          <w:spacing w:val="1"/>
          <w:w w:val="110"/>
          <w:sz w:val="17"/>
        </w:rPr>
        <w:t> </w:t>
      </w:r>
      <w:r>
        <w:rPr>
          <w:i/>
          <w:color w:val="3D3B3B"/>
          <w:w w:val="105"/>
          <w:sz w:val="17"/>
        </w:rPr>
        <w:t>standard </w:t>
      </w:r>
      <w:r>
        <w:rPr>
          <w:color w:val="3D3B3B"/>
          <w:w w:val="105"/>
          <w:sz w:val="18"/>
        </w:rPr>
        <w:t>to </w:t>
      </w:r>
      <w:r>
        <w:rPr>
          <w:color w:val="4F4D4F"/>
          <w:w w:val="105"/>
          <w:sz w:val="18"/>
        </w:rPr>
        <w:t>refer specifically </w:t>
      </w:r>
      <w:r>
        <w:rPr>
          <w:color w:val="3D3B3B"/>
          <w:w w:val="105"/>
          <w:sz w:val="18"/>
        </w:rPr>
        <w:t>to standards relevant to Rule 8. </w:t>
      </w:r>
      <w:r>
        <w:rPr>
          <w:i/>
          <w:color w:val="3D3B3B"/>
          <w:w w:val="105"/>
          <w:sz w:val="17"/>
        </w:rPr>
        <w:t>E.g., </w:t>
      </w:r>
      <w:r>
        <w:rPr>
          <w:i/>
          <w:color w:val="4F4D4F"/>
          <w:w w:val="105"/>
          <w:sz w:val="17"/>
        </w:rPr>
        <w:t>Giraud </w:t>
      </w:r>
      <w:r>
        <w:rPr>
          <w:i/>
          <w:color w:val="3D3B3B"/>
          <w:w w:val="105"/>
          <w:sz w:val="17"/>
        </w:rPr>
        <w:t>v. </w:t>
      </w:r>
      <w:r>
        <w:rPr>
          <w:i/>
          <w:color w:val="4F4D4F"/>
          <w:w w:val="105"/>
          <w:sz w:val="17"/>
        </w:rPr>
        <w:t>Bd. </w:t>
      </w:r>
      <w:r>
        <w:rPr>
          <w:i/>
          <w:color w:val="3D3B3B"/>
          <w:w w:val="105"/>
          <w:sz w:val="17"/>
        </w:rPr>
        <w:t>of Educ., Newburgh</w:t>
      </w:r>
      <w:r>
        <w:rPr>
          <w:i/>
          <w:color w:val="3D3B3B"/>
          <w:spacing w:val="1"/>
          <w:w w:val="105"/>
          <w:sz w:val="17"/>
        </w:rPr>
        <w:t> </w:t>
      </w:r>
      <w:r>
        <w:rPr>
          <w:i/>
          <w:color w:val="4F4D4F"/>
          <w:w w:val="105"/>
          <w:sz w:val="17"/>
        </w:rPr>
        <w:t>Enlarged </w:t>
      </w:r>
      <w:r>
        <w:rPr>
          <w:i/>
          <w:color w:val="3D3B3B"/>
          <w:w w:val="105"/>
          <w:sz w:val="17"/>
        </w:rPr>
        <w:t>City Sch. Dist., </w:t>
      </w:r>
      <w:r>
        <w:rPr>
          <w:color w:val="3D3B3B"/>
          <w:w w:val="105"/>
          <w:sz w:val="18"/>
        </w:rPr>
        <w:t>12-CV-1842 ER, 2013 WL 3776242 (S.D.N.Y. July 17, 2013) (noting that,</w:t>
      </w:r>
      <w:r>
        <w:rPr>
          <w:color w:val="3D3B3B"/>
          <w:spacing w:val="1"/>
          <w:w w:val="105"/>
          <w:sz w:val="18"/>
        </w:rPr>
        <w:t> </w:t>
      </w:r>
      <w:r>
        <w:rPr>
          <w:color w:val="3D3B3B"/>
          <w:spacing w:val="-1"/>
          <w:w w:val="110"/>
          <w:sz w:val="18"/>
        </w:rPr>
        <w:t>In order to "satisfy the pleading </w:t>
      </w:r>
      <w:r>
        <w:rPr>
          <w:color w:val="3D3B3B"/>
          <w:w w:val="110"/>
          <w:sz w:val="18"/>
        </w:rPr>
        <w:t>standard set forth In Rule 8 and survive a motion to dismiss, 'a</w:t>
      </w:r>
      <w:r>
        <w:rPr>
          <w:color w:val="3D3B3B"/>
          <w:spacing w:val="1"/>
          <w:w w:val="110"/>
          <w:sz w:val="18"/>
        </w:rPr>
        <w:t> </w:t>
      </w:r>
      <w:r>
        <w:rPr>
          <w:color w:val="3D3B3B"/>
          <w:spacing w:val="-1"/>
          <w:w w:val="110"/>
          <w:sz w:val="18"/>
        </w:rPr>
        <w:t>complaint must contain </w:t>
      </w:r>
      <w:r>
        <w:rPr>
          <w:color w:val="3D3B3B"/>
          <w:w w:val="110"/>
          <w:sz w:val="18"/>
        </w:rPr>
        <w:t>sufficient factual matter </w:t>
      </w:r>
      <w:r>
        <w:rPr>
          <w:color w:val="4F4D4F"/>
          <w:w w:val="110"/>
          <w:sz w:val="18"/>
        </w:rPr>
        <w:t>...</w:t>
      </w:r>
      <w:r>
        <w:rPr>
          <w:color w:val="4F4D4F"/>
          <w:spacing w:val="1"/>
          <w:w w:val="110"/>
          <w:sz w:val="18"/>
        </w:rPr>
        <w:t> </w:t>
      </w:r>
      <w:r>
        <w:rPr>
          <w:color w:val="3D3B3B"/>
          <w:w w:val="110"/>
          <w:sz w:val="18"/>
        </w:rPr>
        <w:t>to </w:t>
      </w:r>
      <w:r>
        <w:rPr>
          <w:color w:val="4F4D4F"/>
          <w:w w:val="110"/>
          <w:sz w:val="18"/>
        </w:rPr>
        <w:t>state </w:t>
      </w:r>
      <w:r>
        <w:rPr>
          <w:color w:val="3D3B3B"/>
          <w:w w:val="110"/>
          <w:sz w:val="18"/>
        </w:rPr>
        <w:t>a claim to relief that Js plausible on</w:t>
      </w:r>
      <w:r>
        <w:rPr>
          <w:color w:val="3D3B3B"/>
          <w:spacing w:val="1"/>
          <w:w w:val="110"/>
          <w:sz w:val="18"/>
        </w:rPr>
        <w:t> </w:t>
      </w:r>
      <w:r>
        <w:rPr>
          <w:color w:val="3D3B3B"/>
          <w:w w:val="110"/>
          <w:sz w:val="18"/>
        </w:rPr>
        <w:t>its</w:t>
      </w:r>
      <w:r>
        <w:rPr>
          <w:color w:val="3D3B3B"/>
          <w:spacing w:val="-4"/>
          <w:w w:val="110"/>
          <w:sz w:val="18"/>
        </w:rPr>
        <w:t> </w:t>
      </w:r>
      <w:r>
        <w:rPr>
          <w:color w:val="3D3B3B"/>
          <w:w w:val="110"/>
          <w:sz w:val="18"/>
        </w:rPr>
        <w:t>face'")</w:t>
      </w:r>
      <w:r>
        <w:rPr>
          <w:color w:val="3D3B3B"/>
          <w:spacing w:val="-9"/>
          <w:w w:val="110"/>
          <w:sz w:val="18"/>
        </w:rPr>
        <w:t> </w:t>
      </w:r>
      <w:r>
        <w:rPr>
          <w:color w:val="3D3B3B"/>
          <w:w w:val="110"/>
          <w:sz w:val="18"/>
        </w:rPr>
        <w:t>(citations</w:t>
      </w:r>
      <w:r>
        <w:rPr>
          <w:color w:val="3D3B3B"/>
          <w:spacing w:val="-13"/>
          <w:w w:val="110"/>
          <w:sz w:val="18"/>
        </w:rPr>
        <w:t> </w:t>
      </w:r>
      <w:r>
        <w:rPr>
          <w:color w:val="3D3B3B"/>
          <w:w w:val="110"/>
          <w:sz w:val="18"/>
        </w:rPr>
        <w:t>and</w:t>
      </w:r>
      <w:r>
        <w:rPr>
          <w:color w:val="3D3B3B"/>
          <w:spacing w:val="10"/>
          <w:w w:val="110"/>
          <w:sz w:val="18"/>
        </w:rPr>
        <w:t> </w:t>
      </w:r>
      <w:r>
        <w:rPr>
          <w:color w:val="3D3B3B"/>
          <w:w w:val="110"/>
          <w:sz w:val="18"/>
        </w:rPr>
        <w:t>Internal</w:t>
      </w:r>
      <w:r>
        <w:rPr>
          <w:color w:val="3D3B3B"/>
          <w:spacing w:val="8"/>
          <w:w w:val="110"/>
          <w:sz w:val="18"/>
        </w:rPr>
        <w:t> </w:t>
      </w:r>
      <w:r>
        <w:rPr>
          <w:color w:val="3D3B3B"/>
          <w:w w:val="110"/>
          <w:sz w:val="18"/>
        </w:rPr>
        <w:t>punctuation</w:t>
      </w:r>
      <w:r>
        <w:rPr>
          <w:color w:val="3D3B3B"/>
          <w:spacing w:val="2"/>
          <w:w w:val="110"/>
          <w:sz w:val="18"/>
        </w:rPr>
        <w:t> </w:t>
      </w:r>
      <w:r>
        <w:rPr>
          <w:color w:val="3D3B3B"/>
          <w:w w:val="110"/>
          <w:sz w:val="18"/>
        </w:rPr>
        <w:t>omitted)</w:t>
      </w:r>
      <w:r>
        <w:rPr>
          <w:color w:val="676769"/>
          <w:w w:val="110"/>
          <w:sz w:val="18"/>
        </w:rPr>
        <w:t>.</w:t>
      </w:r>
    </w:p>
    <w:p>
      <w:pPr>
        <w:spacing w:line="205" w:lineRule="exact" w:before="2"/>
        <w:ind w:left="2415" w:right="0" w:firstLine="0"/>
        <w:jc w:val="both"/>
        <w:rPr>
          <w:sz w:val="18"/>
        </w:rPr>
      </w:pPr>
      <w:r>
        <w:rPr>
          <w:i/>
          <w:color w:val="4F4D4F"/>
          <w:w w:val="105"/>
          <w:sz w:val="17"/>
        </w:rPr>
        <w:t>nsee</w:t>
      </w:r>
      <w:r>
        <w:rPr>
          <w:i/>
          <w:color w:val="4F4D4F"/>
          <w:spacing w:val="7"/>
          <w:w w:val="105"/>
          <w:sz w:val="17"/>
        </w:rPr>
        <w:t> </w:t>
      </w:r>
      <w:r>
        <w:rPr>
          <w:color w:val="3D3B3B"/>
          <w:w w:val="105"/>
          <w:sz w:val="18"/>
        </w:rPr>
        <w:t>Herr,</w:t>
      </w:r>
      <w:r>
        <w:rPr>
          <w:color w:val="3D3B3B"/>
          <w:spacing w:val="20"/>
          <w:w w:val="105"/>
          <w:sz w:val="18"/>
        </w:rPr>
        <w:t> </w:t>
      </w:r>
      <w:r>
        <w:rPr>
          <w:color w:val="3D3B3B"/>
          <w:w w:val="105"/>
          <w:sz w:val="18"/>
        </w:rPr>
        <w:t>Haydock</w:t>
      </w:r>
      <w:r>
        <w:rPr>
          <w:color w:val="3D3B3B"/>
          <w:spacing w:val="21"/>
          <w:w w:val="105"/>
          <w:sz w:val="18"/>
        </w:rPr>
        <w:t> </w:t>
      </w:r>
      <w:r>
        <w:rPr>
          <w:color w:val="3D3B3B"/>
          <w:w w:val="105"/>
          <w:sz w:val="17"/>
        </w:rPr>
        <w:t>&amp;</w:t>
      </w:r>
      <w:r>
        <w:rPr>
          <w:color w:val="3D3B3B"/>
          <w:spacing w:val="13"/>
          <w:w w:val="105"/>
          <w:sz w:val="17"/>
        </w:rPr>
        <w:t> </w:t>
      </w:r>
      <w:r>
        <w:rPr>
          <w:color w:val="3D3B3B"/>
          <w:w w:val="105"/>
          <w:sz w:val="18"/>
        </w:rPr>
        <w:t>Stempel,</w:t>
      </w:r>
      <w:r>
        <w:rPr>
          <w:color w:val="3D3B3B"/>
          <w:spacing w:val="33"/>
          <w:w w:val="105"/>
          <w:sz w:val="18"/>
        </w:rPr>
        <w:t> </w:t>
      </w:r>
      <w:r>
        <w:rPr>
          <w:i/>
          <w:color w:val="3D3B3B"/>
          <w:w w:val="105"/>
          <w:sz w:val="17"/>
        </w:rPr>
        <w:t>supra</w:t>
      </w:r>
      <w:r>
        <w:rPr>
          <w:i/>
          <w:color w:val="3D3B3B"/>
          <w:spacing w:val="36"/>
          <w:w w:val="105"/>
          <w:sz w:val="17"/>
        </w:rPr>
        <w:t> </w:t>
      </w:r>
      <w:r>
        <w:rPr>
          <w:color w:val="3D3B3B"/>
          <w:w w:val="105"/>
          <w:sz w:val="18"/>
        </w:rPr>
        <w:t>note</w:t>
      </w:r>
      <w:r>
        <w:rPr>
          <w:color w:val="3D3B3B"/>
          <w:spacing w:val="7"/>
          <w:w w:val="105"/>
          <w:sz w:val="18"/>
        </w:rPr>
        <w:t> </w:t>
      </w:r>
      <w:r>
        <w:rPr>
          <w:color w:val="3D3B3B"/>
          <w:w w:val="105"/>
          <w:sz w:val="18"/>
        </w:rPr>
        <w:t>33,</w:t>
      </w:r>
      <w:r>
        <w:rPr>
          <w:color w:val="3D3B3B"/>
          <w:spacing w:val="7"/>
          <w:w w:val="105"/>
          <w:sz w:val="18"/>
        </w:rPr>
        <w:t> </w:t>
      </w:r>
      <w:r>
        <w:rPr>
          <w:color w:val="3D3B3B"/>
          <w:w w:val="105"/>
          <w:sz w:val="18"/>
        </w:rPr>
        <w:t>at</w:t>
      </w:r>
      <w:r>
        <w:rPr>
          <w:color w:val="3D3B3B"/>
          <w:spacing w:val="12"/>
          <w:w w:val="105"/>
          <w:sz w:val="18"/>
        </w:rPr>
        <w:t> </w:t>
      </w:r>
      <w:r>
        <w:rPr>
          <w:color w:val="3D3B3B"/>
          <w:w w:val="105"/>
          <w:sz w:val="18"/>
        </w:rPr>
        <w:t>§5</w:t>
      </w:r>
      <w:r>
        <w:rPr>
          <w:color w:val="676769"/>
          <w:w w:val="105"/>
          <w:sz w:val="18"/>
        </w:rPr>
        <w:t>.</w:t>
      </w:r>
      <w:r>
        <w:rPr>
          <w:color w:val="3D3B3B"/>
          <w:w w:val="105"/>
          <w:sz w:val="18"/>
        </w:rPr>
        <w:t>02.</w:t>
      </w:r>
      <w:r>
        <w:rPr>
          <w:color w:val="3D3B3B"/>
          <w:spacing w:val="8"/>
          <w:w w:val="105"/>
          <w:sz w:val="18"/>
        </w:rPr>
        <w:t> </w:t>
      </w:r>
      <w:r>
        <w:rPr>
          <w:i/>
          <w:color w:val="3D3B3B"/>
          <w:w w:val="105"/>
          <w:sz w:val="17"/>
        </w:rPr>
        <w:t>See</w:t>
      </w:r>
      <w:r>
        <w:rPr>
          <w:i/>
          <w:color w:val="3D3B3B"/>
          <w:spacing w:val="18"/>
          <w:w w:val="105"/>
          <w:sz w:val="17"/>
        </w:rPr>
        <w:t> </w:t>
      </w:r>
      <w:r>
        <w:rPr>
          <w:i/>
          <w:color w:val="3D3B3B"/>
          <w:w w:val="105"/>
          <w:sz w:val="17"/>
        </w:rPr>
        <w:t>also</w:t>
      </w:r>
      <w:r>
        <w:rPr>
          <w:i/>
          <w:color w:val="3D3B3B"/>
          <w:spacing w:val="10"/>
          <w:w w:val="105"/>
          <w:sz w:val="17"/>
        </w:rPr>
        <w:t> </w:t>
      </w:r>
      <w:r>
        <w:rPr>
          <w:color w:val="3D3B3B"/>
          <w:w w:val="105"/>
          <w:sz w:val="18"/>
        </w:rPr>
        <w:t>Loe.</w:t>
      </w:r>
      <w:r>
        <w:rPr>
          <w:color w:val="3D3B3B"/>
          <w:spacing w:val="11"/>
          <w:w w:val="105"/>
          <w:sz w:val="18"/>
        </w:rPr>
        <w:t> </w:t>
      </w:r>
      <w:r>
        <w:rPr>
          <w:color w:val="3D3B3B"/>
          <w:w w:val="105"/>
          <w:sz w:val="18"/>
        </w:rPr>
        <w:t>Clv.</w:t>
      </w:r>
      <w:r>
        <w:rPr>
          <w:color w:val="3D3B3B"/>
          <w:spacing w:val="12"/>
          <w:w w:val="105"/>
          <w:sz w:val="18"/>
        </w:rPr>
        <w:t> </w:t>
      </w:r>
      <w:r>
        <w:rPr>
          <w:rFonts w:ascii="Arial" w:hAnsi="Arial"/>
          <w:color w:val="3D3B3B"/>
          <w:w w:val="105"/>
          <w:sz w:val="16"/>
        </w:rPr>
        <w:t>&amp;.</w:t>
      </w:r>
      <w:r>
        <w:rPr>
          <w:rFonts w:ascii="Arial" w:hAnsi="Arial"/>
          <w:color w:val="3D3B3B"/>
          <w:spacing w:val="-6"/>
          <w:w w:val="105"/>
          <w:sz w:val="16"/>
        </w:rPr>
        <w:t> </w:t>
      </w:r>
      <w:r>
        <w:rPr>
          <w:color w:val="3D3B3B"/>
          <w:w w:val="105"/>
          <w:sz w:val="18"/>
        </w:rPr>
        <w:t>Crim</w:t>
      </w:r>
      <w:r>
        <w:rPr>
          <w:color w:val="676769"/>
          <w:w w:val="105"/>
          <w:sz w:val="18"/>
        </w:rPr>
        <w:t>.</w:t>
      </w:r>
      <w:r>
        <w:rPr>
          <w:color w:val="676769"/>
          <w:spacing w:val="27"/>
          <w:w w:val="105"/>
          <w:sz w:val="18"/>
        </w:rPr>
        <w:t> </w:t>
      </w:r>
      <w:r>
        <w:rPr>
          <w:color w:val="3D3B3B"/>
          <w:w w:val="105"/>
          <w:sz w:val="18"/>
        </w:rPr>
        <w:t>R.</w:t>
      </w:r>
      <w:r>
        <w:rPr>
          <w:color w:val="3D3B3B"/>
          <w:spacing w:val="14"/>
          <w:w w:val="105"/>
          <w:sz w:val="18"/>
        </w:rPr>
        <w:t> </w:t>
      </w:r>
      <w:r>
        <w:rPr>
          <w:color w:val="3D3B3B"/>
          <w:w w:val="105"/>
          <w:sz w:val="18"/>
        </w:rPr>
        <w:t>U.S</w:t>
      </w:r>
      <w:r>
        <w:rPr>
          <w:color w:val="4F4D4F"/>
          <w:w w:val="105"/>
          <w:sz w:val="18"/>
        </w:rPr>
        <w:t>.</w:t>
      </w:r>
    </w:p>
    <w:p>
      <w:pPr>
        <w:tabs>
          <w:tab w:pos="2040" w:val="left" w:leader="none"/>
        </w:tabs>
        <w:spacing w:line="235" w:lineRule="auto" w:before="1"/>
        <w:ind w:left="2008" w:right="181" w:hanging="1905"/>
        <w:jc w:val="both"/>
        <w:rPr>
          <w:sz w:val="18"/>
        </w:rPr>
      </w:pPr>
      <w:r>
        <w:rPr>
          <w:color w:val="9EA1A3"/>
          <w:w w:val="110"/>
          <w:sz w:val="18"/>
          <w:vertAlign w:val="superscript"/>
        </w:rPr>
        <w:t>j</w:t>
      </w:r>
      <w:r>
        <w:rPr>
          <w:color w:val="9EA1A3"/>
          <w:w w:val="110"/>
          <w:sz w:val="18"/>
          <w:vertAlign w:val="baseline"/>
        </w:rPr>
        <w:tab/>
        <w:tab/>
      </w:r>
      <w:r>
        <w:rPr>
          <w:color w:val="3D3B3B"/>
          <w:w w:val="105"/>
          <w:sz w:val="18"/>
          <w:vertAlign w:val="baseline"/>
        </w:rPr>
        <w:t>Dist. Ct. S. Dist. Ohio §III, R. 7.1</w:t>
      </w:r>
      <w:r>
        <w:rPr>
          <w:color w:val="3D3B3B"/>
          <w:spacing w:val="1"/>
          <w:w w:val="105"/>
          <w:sz w:val="18"/>
          <w:vertAlign w:val="baseline"/>
        </w:rPr>
        <w:t> </w:t>
      </w:r>
      <w:r>
        <w:rPr>
          <w:color w:val="3D3B3B"/>
          <w:w w:val="105"/>
          <w:sz w:val="18"/>
          <w:vertAlign w:val="baseline"/>
        </w:rPr>
        <w:t>(noting presumption that motions Will </w:t>
      </w:r>
      <w:r>
        <w:rPr>
          <w:color w:val="3D3B3B"/>
          <w:w w:val="105"/>
          <w:sz w:val="17"/>
          <w:vertAlign w:val="baseline"/>
        </w:rPr>
        <w:t>be </w:t>
      </w:r>
      <w:r>
        <w:rPr>
          <w:color w:val="3D3B3B"/>
          <w:w w:val="105"/>
          <w:sz w:val="18"/>
          <w:vertAlign w:val="baseline"/>
        </w:rPr>
        <w:t>decided without oral</w:t>
      </w:r>
      <w:r>
        <w:rPr>
          <w:color w:val="3D3B3B"/>
          <w:spacing w:val="1"/>
          <w:w w:val="105"/>
          <w:sz w:val="18"/>
          <w:vertAlign w:val="baseline"/>
        </w:rPr>
        <w:t> </w:t>
      </w:r>
      <w:r>
        <w:rPr>
          <w:color w:val="3D3B3B"/>
          <w:w w:val="110"/>
          <w:sz w:val="18"/>
          <w:vertAlign w:val="baseline"/>
        </w:rPr>
        <w:t>argument and  that counsel must apply </w:t>
      </w:r>
      <w:r>
        <w:rPr>
          <w:color w:val="4F4D4F"/>
          <w:w w:val="110"/>
          <w:sz w:val="18"/>
          <w:vertAlign w:val="baseline"/>
        </w:rPr>
        <w:t>to the </w:t>
      </w:r>
      <w:r>
        <w:rPr>
          <w:color w:val="3D3B3B"/>
          <w:w w:val="110"/>
          <w:sz w:val="18"/>
          <w:vertAlign w:val="baseline"/>
        </w:rPr>
        <w:t>court for permission to present an oral </w:t>
      </w:r>
      <w:r>
        <w:rPr>
          <w:color w:val="4F4D4F"/>
          <w:w w:val="110"/>
          <w:sz w:val="18"/>
          <w:vertAlign w:val="baseline"/>
        </w:rPr>
        <w:t>argument</w:t>
      </w:r>
      <w:r>
        <w:rPr>
          <w:color w:val="4F4D4F"/>
          <w:spacing w:val="1"/>
          <w:w w:val="110"/>
          <w:sz w:val="18"/>
          <w:vertAlign w:val="baseline"/>
        </w:rPr>
        <w:t> </w:t>
      </w:r>
      <w:r>
        <w:rPr>
          <w:color w:val="3D3B3B"/>
          <w:w w:val="110"/>
          <w:sz w:val="18"/>
          <w:vertAlign w:val="baseline"/>
        </w:rPr>
        <w:t>on</w:t>
      </w:r>
      <w:r>
        <w:rPr>
          <w:color w:val="3D3B3B"/>
          <w:spacing w:val="13"/>
          <w:w w:val="110"/>
          <w:sz w:val="18"/>
          <w:vertAlign w:val="baseline"/>
        </w:rPr>
        <w:t> </w:t>
      </w:r>
      <w:r>
        <w:rPr>
          <w:color w:val="3D3B3B"/>
          <w:w w:val="110"/>
          <w:sz w:val="18"/>
          <w:vertAlign w:val="baseline"/>
        </w:rPr>
        <w:t>a</w:t>
      </w:r>
      <w:r>
        <w:rPr>
          <w:color w:val="3D3B3B"/>
          <w:spacing w:val="12"/>
          <w:w w:val="110"/>
          <w:sz w:val="18"/>
          <w:vertAlign w:val="baseline"/>
        </w:rPr>
        <w:t> </w:t>
      </w:r>
      <w:r>
        <w:rPr>
          <w:color w:val="3D3B3B"/>
          <w:w w:val="110"/>
          <w:sz w:val="18"/>
          <w:vertAlign w:val="baseline"/>
        </w:rPr>
        <w:t>motion).</w:t>
      </w:r>
    </w:p>
    <w:p>
      <w:pPr>
        <w:spacing w:line="190" w:lineRule="exact" w:before="0"/>
        <w:ind w:left="2395" w:right="0" w:firstLine="0"/>
        <w:jc w:val="both"/>
        <w:rPr>
          <w:sz w:val="18"/>
        </w:rPr>
      </w:pPr>
      <w:r>
        <w:rPr>
          <w:color w:val="4F4D4F"/>
          <w:w w:val="110"/>
          <w:position w:val="5"/>
          <w:sz w:val="11"/>
        </w:rPr>
        <w:t>36</w:t>
      </w:r>
      <w:r>
        <w:rPr>
          <w:rFonts w:ascii="Arial"/>
          <w:color w:val="4F4D4F"/>
          <w:w w:val="110"/>
          <w:sz w:val="17"/>
        </w:rPr>
        <w:t>0f</w:t>
      </w:r>
      <w:r>
        <w:rPr>
          <w:rFonts w:ascii="Arial"/>
          <w:color w:val="4F4D4F"/>
          <w:spacing w:val="20"/>
          <w:w w:val="110"/>
          <w:sz w:val="17"/>
        </w:rPr>
        <w:t> </w:t>
      </w:r>
      <w:r>
        <w:rPr>
          <w:color w:val="3D3B3B"/>
          <w:w w:val="110"/>
          <w:sz w:val="18"/>
        </w:rPr>
        <w:t>course,</w:t>
      </w:r>
      <w:r>
        <w:rPr>
          <w:color w:val="3D3B3B"/>
          <w:spacing w:val="2"/>
          <w:w w:val="110"/>
          <w:sz w:val="18"/>
        </w:rPr>
        <w:t> </w:t>
      </w:r>
      <w:r>
        <w:rPr>
          <w:color w:val="3D3B3B"/>
          <w:w w:val="110"/>
          <w:sz w:val="18"/>
        </w:rPr>
        <w:t>these</w:t>
      </w:r>
      <w:r>
        <w:rPr>
          <w:color w:val="3D3B3B"/>
          <w:spacing w:val="-11"/>
          <w:w w:val="110"/>
          <w:sz w:val="18"/>
        </w:rPr>
        <w:t> </w:t>
      </w:r>
      <w:r>
        <w:rPr>
          <w:color w:val="3D3B3B"/>
          <w:w w:val="110"/>
          <w:sz w:val="18"/>
        </w:rPr>
        <w:t>are</w:t>
      </w:r>
      <w:r>
        <w:rPr>
          <w:color w:val="3D3B3B"/>
          <w:spacing w:val="5"/>
          <w:w w:val="110"/>
          <w:sz w:val="18"/>
        </w:rPr>
        <w:t> </w:t>
      </w:r>
      <w:r>
        <w:rPr>
          <w:color w:val="3D3B3B"/>
          <w:w w:val="110"/>
          <w:sz w:val="18"/>
        </w:rPr>
        <w:t>not</w:t>
      </w:r>
      <w:r>
        <w:rPr>
          <w:color w:val="3D3B3B"/>
          <w:spacing w:val="18"/>
          <w:w w:val="110"/>
          <w:sz w:val="18"/>
        </w:rPr>
        <w:t> </w:t>
      </w:r>
      <w:r>
        <w:rPr>
          <w:color w:val="3D3B3B"/>
          <w:w w:val="110"/>
          <w:sz w:val="18"/>
        </w:rPr>
        <w:t>the</w:t>
      </w:r>
      <w:r>
        <w:rPr>
          <w:color w:val="3D3B3B"/>
          <w:spacing w:val="5"/>
          <w:w w:val="110"/>
          <w:sz w:val="18"/>
        </w:rPr>
        <w:t> </w:t>
      </w:r>
      <w:r>
        <w:rPr>
          <w:color w:val="3D3B3B"/>
          <w:w w:val="110"/>
          <w:sz w:val="18"/>
        </w:rPr>
        <w:t>only</w:t>
      </w:r>
      <w:r>
        <w:rPr>
          <w:color w:val="3D3B3B"/>
          <w:spacing w:val="-15"/>
          <w:w w:val="110"/>
          <w:sz w:val="18"/>
        </w:rPr>
        <w:t> </w:t>
      </w:r>
      <w:r>
        <w:rPr>
          <w:color w:val="3D3B3B"/>
          <w:w w:val="110"/>
          <w:sz w:val="18"/>
        </w:rPr>
        <w:t>kinds</w:t>
      </w:r>
      <w:r>
        <w:rPr>
          <w:color w:val="3D3B3B"/>
          <w:spacing w:val="-12"/>
          <w:w w:val="110"/>
          <w:sz w:val="18"/>
        </w:rPr>
        <w:t> </w:t>
      </w:r>
      <w:r>
        <w:rPr>
          <w:color w:val="3D3B3B"/>
          <w:w w:val="110"/>
          <w:sz w:val="18"/>
        </w:rPr>
        <w:t>of</w:t>
      </w:r>
      <w:r>
        <w:rPr>
          <w:color w:val="3D3B3B"/>
          <w:spacing w:val="7"/>
          <w:w w:val="110"/>
          <w:sz w:val="18"/>
        </w:rPr>
        <w:t> </w:t>
      </w:r>
      <w:r>
        <w:rPr>
          <w:color w:val="3D3B3B"/>
          <w:w w:val="110"/>
          <w:sz w:val="18"/>
        </w:rPr>
        <w:t>motions</w:t>
      </w:r>
      <w:r>
        <w:rPr>
          <w:color w:val="3D3B3B"/>
          <w:spacing w:val="11"/>
          <w:w w:val="110"/>
          <w:sz w:val="18"/>
        </w:rPr>
        <w:t> </w:t>
      </w:r>
      <w:r>
        <w:rPr>
          <w:color w:val="3D3B3B"/>
          <w:w w:val="110"/>
          <w:sz w:val="18"/>
        </w:rPr>
        <w:t>that require</w:t>
      </w:r>
      <w:r>
        <w:rPr>
          <w:color w:val="3D3B3B"/>
          <w:spacing w:val="-2"/>
          <w:w w:val="110"/>
          <w:sz w:val="18"/>
        </w:rPr>
        <w:t> </w:t>
      </w:r>
      <w:r>
        <w:rPr>
          <w:color w:val="3D3B3B"/>
          <w:w w:val="110"/>
          <w:sz w:val="18"/>
        </w:rPr>
        <w:t>briefing</w:t>
      </w:r>
      <w:r>
        <w:rPr>
          <w:color w:val="3D3B3B"/>
          <w:spacing w:val="-1"/>
          <w:w w:val="110"/>
          <w:sz w:val="18"/>
        </w:rPr>
        <w:t> </w:t>
      </w:r>
      <w:r>
        <w:rPr>
          <w:color w:val="3D3B3B"/>
          <w:w w:val="110"/>
          <w:sz w:val="18"/>
        </w:rPr>
        <w:t>or</w:t>
      </w:r>
      <w:r>
        <w:rPr>
          <w:color w:val="3D3B3B"/>
          <w:spacing w:val="16"/>
          <w:w w:val="110"/>
          <w:sz w:val="18"/>
        </w:rPr>
        <w:t> </w:t>
      </w:r>
      <w:r>
        <w:rPr>
          <w:color w:val="3D3B3B"/>
          <w:w w:val="110"/>
          <w:sz w:val="18"/>
        </w:rPr>
        <w:t>that</w:t>
      </w:r>
      <w:r>
        <w:rPr>
          <w:color w:val="3D3B3B"/>
          <w:spacing w:val="-6"/>
          <w:w w:val="110"/>
          <w:sz w:val="18"/>
        </w:rPr>
        <w:t> </w:t>
      </w:r>
      <w:r>
        <w:rPr>
          <w:color w:val="3D3B3B"/>
          <w:w w:val="110"/>
          <w:sz w:val="18"/>
        </w:rPr>
        <w:t>aredecided</w:t>
      </w:r>
    </w:p>
    <w:p>
      <w:pPr>
        <w:spacing w:line="228" w:lineRule="auto" w:before="6"/>
        <w:ind w:left="1978" w:right="178" w:firstLine="26"/>
        <w:jc w:val="both"/>
        <w:rPr>
          <w:sz w:val="18"/>
        </w:rPr>
      </w:pPr>
      <w:r>
        <w:rPr>
          <w:color w:val="3D3B3B"/>
          <w:w w:val="105"/>
          <w:sz w:val="18"/>
        </w:rPr>
        <w:t>based upon </w:t>
      </w:r>
      <w:r>
        <w:rPr>
          <w:color w:val="4F4D4F"/>
          <w:w w:val="105"/>
          <w:sz w:val="18"/>
        </w:rPr>
        <w:t>so</w:t>
      </w:r>
      <w:r>
        <w:rPr>
          <w:color w:val="2D2A2A"/>
          <w:w w:val="105"/>
          <w:sz w:val="18"/>
        </w:rPr>
        <w:t>-</w:t>
      </w:r>
      <w:r>
        <w:rPr>
          <w:color w:val="4F4D4F"/>
          <w:w w:val="105"/>
          <w:sz w:val="18"/>
        </w:rPr>
        <w:t>called </w:t>
      </w:r>
      <w:r>
        <w:rPr>
          <w:color w:val="3D3B3B"/>
          <w:w w:val="105"/>
          <w:sz w:val="18"/>
        </w:rPr>
        <w:t>standards of review. </w:t>
      </w:r>
      <w:r>
        <w:rPr>
          <w:i/>
          <w:color w:val="3D3B3B"/>
          <w:w w:val="105"/>
          <w:sz w:val="17"/>
        </w:rPr>
        <w:t>See, e.g., Bryanton v. Johnson, </w:t>
      </w:r>
      <w:r>
        <w:rPr>
          <w:color w:val="3D3B3B"/>
          <w:w w:val="105"/>
          <w:sz w:val="18"/>
        </w:rPr>
        <w:t>902 </w:t>
      </w:r>
      <w:r>
        <w:rPr>
          <w:rFonts w:ascii="Arial"/>
          <w:color w:val="3D3B3B"/>
          <w:w w:val="105"/>
          <w:sz w:val="17"/>
        </w:rPr>
        <w:t>F. </w:t>
      </w:r>
      <w:r>
        <w:rPr>
          <w:color w:val="3D3B3B"/>
          <w:w w:val="105"/>
          <w:sz w:val="18"/>
        </w:rPr>
        <w:t>Supp. 2d 983, </w:t>
      </w:r>
      <w:r>
        <w:rPr>
          <w:color w:val="4F4D4F"/>
          <w:w w:val="105"/>
          <w:sz w:val="18"/>
        </w:rPr>
        <w:t>993</w:t>
      </w:r>
      <w:r>
        <w:rPr>
          <w:color w:val="4F4D4F"/>
          <w:spacing w:val="1"/>
          <w:w w:val="105"/>
          <w:sz w:val="18"/>
        </w:rPr>
        <w:t> </w:t>
      </w:r>
      <w:r>
        <w:rPr>
          <w:color w:val="3D3B3B"/>
          <w:w w:val="105"/>
          <w:sz w:val="18"/>
        </w:rPr>
        <w:t>(E</w:t>
      </w:r>
      <w:r>
        <w:rPr>
          <w:color w:val="676769"/>
          <w:w w:val="105"/>
          <w:sz w:val="18"/>
        </w:rPr>
        <w:t>.</w:t>
      </w:r>
      <w:r>
        <w:rPr>
          <w:color w:val="3D3B3B"/>
          <w:w w:val="105"/>
          <w:sz w:val="18"/>
        </w:rPr>
        <w:t>D. Mich. 2012) </w:t>
      </w:r>
      <w:r>
        <w:rPr>
          <w:color w:val="4F4D4F"/>
          <w:w w:val="105"/>
          <w:sz w:val="18"/>
        </w:rPr>
        <w:t>(using </w:t>
      </w:r>
      <w:r>
        <w:rPr>
          <w:color w:val="3D3B3B"/>
          <w:w w:val="105"/>
          <w:sz w:val="18"/>
        </w:rPr>
        <w:t>both </w:t>
      </w:r>
      <w:r>
        <w:rPr>
          <w:color w:val="4F4D4F"/>
          <w:w w:val="105"/>
          <w:sz w:val="18"/>
        </w:rPr>
        <w:t>"standard </w:t>
      </w:r>
      <w:r>
        <w:rPr>
          <w:color w:val="3D3B3B"/>
          <w:w w:val="105"/>
          <w:sz w:val="18"/>
        </w:rPr>
        <w:t>of review" and  </w:t>
      </w:r>
      <w:r>
        <w:rPr>
          <w:color w:val="4F4D4F"/>
          <w:w w:val="105"/>
          <w:sz w:val="18"/>
        </w:rPr>
        <w:t>"legal </w:t>
      </w:r>
      <w:r>
        <w:rPr>
          <w:color w:val="3D3B3B"/>
          <w:w w:val="105"/>
          <w:sz w:val="18"/>
        </w:rPr>
        <w:t>standard" to describe the  standard</w:t>
      </w:r>
      <w:r>
        <w:rPr>
          <w:color w:val="3D3B3B"/>
          <w:spacing w:val="1"/>
          <w:w w:val="105"/>
          <w:sz w:val="18"/>
        </w:rPr>
        <w:t> </w:t>
      </w:r>
      <w:r>
        <w:rPr>
          <w:color w:val="3D3B3B"/>
          <w:w w:val="110"/>
          <w:sz w:val="18"/>
        </w:rPr>
        <w:t>for</w:t>
      </w:r>
      <w:r>
        <w:rPr>
          <w:color w:val="3D3B3B"/>
          <w:spacing w:val="2"/>
          <w:w w:val="110"/>
          <w:sz w:val="18"/>
        </w:rPr>
        <w:t> </w:t>
      </w:r>
      <w:r>
        <w:rPr>
          <w:color w:val="3D3B3B"/>
          <w:w w:val="110"/>
          <w:sz w:val="18"/>
        </w:rPr>
        <w:t>ruling</w:t>
      </w:r>
      <w:r>
        <w:rPr>
          <w:color w:val="3D3B3B"/>
          <w:spacing w:val="-22"/>
          <w:w w:val="110"/>
          <w:sz w:val="18"/>
        </w:rPr>
        <w:t> </w:t>
      </w:r>
      <w:r>
        <w:rPr>
          <w:color w:val="3D3B3B"/>
          <w:w w:val="110"/>
          <w:sz w:val="18"/>
        </w:rPr>
        <w:t>on</w:t>
      </w:r>
      <w:r>
        <w:rPr>
          <w:color w:val="3D3B3B"/>
          <w:spacing w:val="8"/>
          <w:w w:val="110"/>
          <w:sz w:val="18"/>
        </w:rPr>
        <w:t> </w:t>
      </w:r>
      <w:r>
        <w:rPr>
          <w:color w:val="3D3B3B"/>
          <w:w w:val="110"/>
          <w:sz w:val="18"/>
        </w:rPr>
        <w:t>a motion</w:t>
      </w:r>
      <w:r>
        <w:rPr>
          <w:color w:val="3D3B3B"/>
          <w:spacing w:val="5"/>
          <w:w w:val="110"/>
          <w:sz w:val="18"/>
        </w:rPr>
        <w:t> </w:t>
      </w:r>
      <w:r>
        <w:rPr>
          <w:color w:val="3D3B3B"/>
          <w:w w:val="110"/>
          <w:sz w:val="18"/>
        </w:rPr>
        <w:t>for</w:t>
      </w:r>
      <w:r>
        <w:rPr>
          <w:color w:val="3D3B3B"/>
          <w:spacing w:val="-17"/>
          <w:w w:val="110"/>
          <w:sz w:val="18"/>
        </w:rPr>
        <w:t> </w:t>
      </w:r>
      <w:r>
        <w:rPr>
          <w:color w:val="3D3B3B"/>
          <w:w w:val="110"/>
          <w:sz w:val="18"/>
        </w:rPr>
        <w:t>a</w:t>
      </w:r>
      <w:r>
        <w:rPr>
          <w:color w:val="3D3B3B"/>
          <w:spacing w:val="3"/>
          <w:w w:val="110"/>
          <w:sz w:val="18"/>
        </w:rPr>
        <w:t> </w:t>
      </w:r>
      <w:r>
        <w:rPr>
          <w:color w:val="3D3B3B"/>
          <w:w w:val="110"/>
          <w:sz w:val="18"/>
        </w:rPr>
        <w:t>preliminary</w:t>
      </w:r>
      <w:r>
        <w:rPr>
          <w:color w:val="3D3B3B"/>
          <w:spacing w:val="-9"/>
          <w:w w:val="110"/>
          <w:sz w:val="18"/>
        </w:rPr>
        <w:t> </w:t>
      </w:r>
      <w:r>
        <w:rPr>
          <w:color w:val="3D3B3B"/>
          <w:w w:val="110"/>
          <w:sz w:val="18"/>
        </w:rPr>
        <w:t>Injunction).</w:t>
      </w:r>
    </w:p>
    <w:p>
      <w:pPr>
        <w:spacing w:line="228" w:lineRule="auto" w:before="17"/>
        <w:ind w:left="1949" w:right="188" w:firstLine="416"/>
        <w:jc w:val="both"/>
        <w:rPr>
          <w:sz w:val="18"/>
        </w:rPr>
      </w:pPr>
      <w:r>
        <w:rPr>
          <w:color w:val="3D3B3B"/>
          <w:spacing w:val="-1"/>
          <w:w w:val="110"/>
          <w:position w:val="6"/>
          <w:sz w:val="11"/>
        </w:rPr>
        <w:t>37 </w:t>
      </w:r>
      <w:r>
        <w:rPr>
          <w:color w:val="4F4D4F"/>
          <w:spacing w:val="-1"/>
          <w:w w:val="110"/>
          <w:sz w:val="18"/>
        </w:rPr>
        <w:t>Unllke </w:t>
      </w:r>
      <w:r>
        <w:rPr>
          <w:color w:val="3D3B3B"/>
          <w:w w:val="110"/>
          <w:sz w:val="18"/>
        </w:rPr>
        <w:t>other motions, dlsposltlve motions may dispose of the case by creating a final</w:t>
      </w:r>
      <w:r>
        <w:rPr>
          <w:color w:val="3D3B3B"/>
          <w:spacing w:val="1"/>
          <w:w w:val="110"/>
          <w:sz w:val="18"/>
        </w:rPr>
        <w:t> </w:t>
      </w:r>
      <w:r>
        <w:rPr>
          <w:color w:val="3D3B3B"/>
          <w:w w:val="105"/>
          <w:sz w:val="18"/>
        </w:rPr>
        <w:t>appealable order. </w:t>
      </w:r>
      <w:r>
        <w:rPr>
          <w:i/>
          <w:color w:val="3D3B3B"/>
          <w:w w:val="105"/>
          <w:sz w:val="17"/>
        </w:rPr>
        <w:t>See, e.g</w:t>
      </w:r>
      <w:r>
        <w:rPr>
          <w:i/>
          <w:color w:val="676769"/>
          <w:w w:val="105"/>
          <w:sz w:val="17"/>
        </w:rPr>
        <w:t>.</w:t>
      </w:r>
      <w:r>
        <w:rPr>
          <w:i/>
          <w:color w:val="3D3B3B"/>
          <w:w w:val="105"/>
          <w:sz w:val="17"/>
        </w:rPr>
        <w:t>,</w:t>
      </w:r>
      <w:r>
        <w:rPr>
          <w:i/>
          <w:color w:val="3D3B3B"/>
          <w:spacing w:val="1"/>
          <w:w w:val="105"/>
          <w:sz w:val="17"/>
        </w:rPr>
        <w:t> </w:t>
      </w:r>
      <w:r>
        <w:rPr>
          <w:color w:val="3D3B3B"/>
          <w:w w:val="105"/>
          <w:sz w:val="18"/>
        </w:rPr>
        <w:t>Herr, Haydock &amp; Stempel, </w:t>
      </w:r>
      <w:r>
        <w:rPr>
          <w:i/>
          <w:color w:val="3D3B3B"/>
          <w:w w:val="105"/>
          <w:sz w:val="17"/>
        </w:rPr>
        <w:t>supra </w:t>
      </w:r>
      <w:r>
        <w:rPr>
          <w:color w:val="3D3B3B"/>
          <w:w w:val="105"/>
          <w:sz w:val="18"/>
        </w:rPr>
        <w:t>note 33,at </w:t>
      </w:r>
      <w:r>
        <w:rPr>
          <w:color w:val="4F4D4F"/>
          <w:w w:val="105"/>
          <w:sz w:val="18"/>
        </w:rPr>
        <w:t>§4.03 (detailing </w:t>
      </w:r>
      <w:r>
        <w:rPr>
          <w:color w:val="3D3B3B"/>
          <w:w w:val="105"/>
          <w:sz w:val="18"/>
        </w:rPr>
        <w:t>the</w:t>
      </w:r>
      <w:r>
        <w:rPr>
          <w:color w:val="3D3B3B"/>
          <w:spacing w:val="1"/>
          <w:w w:val="105"/>
          <w:sz w:val="18"/>
        </w:rPr>
        <w:t> </w:t>
      </w:r>
      <w:r>
        <w:rPr>
          <w:color w:val="3D3B3B"/>
          <w:w w:val="105"/>
          <w:sz w:val="18"/>
        </w:rPr>
        <w:t>differ·</w:t>
      </w:r>
      <w:r>
        <w:rPr>
          <w:color w:val="3D3B3B"/>
          <w:spacing w:val="1"/>
          <w:w w:val="105"/>
          <w:sz w:val="18"/>
        </w:rPr>
        <w:t> </w:t>
      </w:r>
      <w:r>
        <w:rPr>
          <w:color w:val="3D3B3B"/>
          <w:w w:val="110"/>
          <w:sz w:val="18"/>
        </w:rPr>
        <w:t>ences</w:t>
      </w:r>
      <w:r>
        <w:rPr>
          <w:color w:val="3D3B3B"/>
          <w:spacing w:val="-3"/>
          <w:w w:val="110"/>
          <w:sz w:val="18"/>
        </w:rPr>
        <w:t> </w:t>
      </w:r>
      <w:r>
        <w:rPr>
          <w:color w:val="3D3B3B"/>
          <w:w w:val="110"/>
          <w:sz w:val="18"/>
        </w:rPr>
        <w:t>between</w:t>
      </w:r>
      <w:r>
        <w:rPr>
          <w:color w:val="3D3B3B"/>
          <w:spacing w:val="7"/>
          <w:w w:val="110"/>
          <w:sz w:val="18"/>
        </w:rPr>
        <w:t> </w:t>
      </w:r>
      <w:r>
        <w:rPr>
          <w:color w:val="3D3B3B"/>
          <w:w w:val="110"/>
          <w:sz w:val="18"/>
        </w:rPr>
        <w:t>motion</w:t>
      </w:r>
      <w:r>
        <w:rPr>
          <w:color w:val="3D3B3B"/>
          <w:spacing w:val="2"/>
          <w:w w:val="110"/>
          <w:sz w:val="18"/>
        </w:rPr>
        <w:t> </w:t>
      </w:r>
      <w:r>
        <w:rPr>
          <w:color w:val="3D3B3B"/>
          <w:w w:val="110"/>
          <w:sz w:val="18"/>
        </w:rPr>
        <w:t>practice</w:t>
      </w:r>
      <w:r>
        <w:rPr>
          <w:color w:val="3D3B3B"/>
          <w:spacing w:val="-16"/>
          <w:w w:val="110"/>
          <w:sz w:val="18"/>
        </w:rPr>
        <w:t> </w:t>
      </w:r>
      <w:r>
        <w:rPr>
          <w:color w:val="3D3B3B"/>
          <w:w w:val="110"/>
          <w:sz w:val="18"/>
        </w:rPr>
        <w:t>and</w:t>
      </w:r>
      <w:r>
        <w:rPr>
          <w:color w:val="3D3B3B"/>
          <w:spacing w:val="23"/>
          <w:w w:val="110"/>
          <w:sz w:val="18"/>
        </w:rPr>
        <w:t> </w:t>
      </w:r>
      <w:r>
        <w:rPr>
          <w:color w:val="3D3B3B"/>
          <w:w w:val="110"/>
          <w:sz w:val="18"/>
        </w:rPr>
        <w:t>appellate</w:t>
      </w:r>
      <w:r>
        <w:rPr>
          <w:color w:val="3D3B3B"/>
          <w:spacing w:val="-21"/>
          <w:w w:val="110"/>
          <w:sz w:val="18"/>
        </w:rPr>
        <w:t> </w:t>
      </w:r>
      <w:r>
        <w:rPr>
          <w:color w:val="3D3B3B"/>
          <w:w w:val="110"/>
          <w:sz w:val="18"/>
        </w:rPr>
        <w:t>advocacy</w:t>
      </w:r>
      <w:r>
        <w:rPr>
          <w:color w:val="676769"/>
          <w:w w:val="110"/>
          <w:sz w:val="18"/>
        </w:rPr>
        <w:t>)</w:t>
      </w:r>
      <w:r>
        <w:rPr>
          <w:color w:val="3D3B3B"/>
          <w:w w:val="110"/>
          <w:sz w:val="18"/>
        </w:rPr>
        <w:t>.</w:t>
      </w:r>
    </w:p>
    <w:p>
      <w:pPr>
        <w:spacing w:line="228" w:lineRule="auto" w:before="17"/>
        <w:ind w:left="1926" w:right="196" w:firstLine="412"/>
        <w:jc w:val="both"/>
        <w:rPr>
          <w:sz w:val="18"/>
        </w:rPr>
      </w:pPr>
      <w:r>
        <w:rPr>
          <w:rFonts w:ascii="Arial" w:hAnsi="Arial"/>
          <w:color w:val="4F4D4F"/>
          <w:w w:val="110"/>
          <w:position w:val="6"/>
          <w:sz w:val="9"/>
        </w:rPr>
        <w:t>38</w:t>
      </w:r>
      <w:r>
        <w:rPr>
          <w:color w:val="4F4D4F"/>
          <w:w w:val="110"/>
          <w:sz w:val="18"/>
        </w:rPr>
        <w:t>Mo</w:t>
      </w:r>
      <w:r>
        <w:rPr>
          <w:color w:val="2D2A2A"/>
          <w:w w:val="110"/>
          <w:sz w:val="18"/>
        </w:rPr>
        <w:t>tions </w:t>
      </w:r>
      <w:r>
        <w:rPr>
          <w:color w:val="3D3B3B"/>
          <w:w w:val="110"/>
          <w:sz w:val="18"/>
        </w:rPr>
        <w:t>for summary judgment or partial summary </w:t>
      </w:r>
      <w:r>
        <w:rPr>
          <w:color w:val="4F4D4F"/>
          <w:w w:val="110"/>
          <w:sz w:val="18"/>
        </w:rPr>
        <w:t>Judgment </w:t>
      </w:r>
      <w:r>
        <w:rPr>
          <w:color w:val="3D3B3B"/>
          <w:w w:val="110"/>
          <w:sz w:val="18"/>
        </w:rPr>
        <w:t>may </w:t>
      </w:r>
      <w:r>
        <w:rPr>
          <w:color w:val="4F4D4F"/>
          <w:w w:val="110"/>
          <w:sz w:val="18"/>
        </w:rPr>
        <w:t>often </w:t>
      </w:r>
      <w:r>
        <w:rPr>
          <w:color w:val="3D3B3B"/>
          <w:w w:val="110"/>
          <w:sz w:val="18"/>
        </w:rPr>
        <w:t>be used strategl·</w:t>
      </w:r>
      <w:r>
        <w:rPr>
          <w:color w:val="3D3B3B"/>
          <w:spacing w:val="1"/>
          <w:w w:val="110"/>
          <w:sz w:val="18"/>
        </w:rPr>
        <w:t> </w:t>
      </w:r>
      <w:r>
        <w:rPr>
          <w:color w:val="3D3B3B"/>
          <w:spacing w:val="-1"/>
          <w:w w:val="110"/>
          <w:sz w:val="18"/>
        </w:rPr>
        <w:t>cally</w:t>
      </w:r>
      <w:r>
        <w:rPr>
          <w:color w:val="3D3B3B"/>
          <w:spacing w:val="-12"/>
          <w:w w:val="110"/>
          <w:sz w:val="18"/>
        </w:rPr>
        <w:t> </w:t>
      </w:r>
      <w:r>
        <w:rPr>
          <w:color w:val="3D3B3B"/>
          <w:spacing w:val="-1"/>
          <w:w w:val="110"/>
          <w:sz w:val="18"/>
        </w:rPr>
        <w:t>ln</w:t>
      </w:r>
      <w:r>
        <w:rPr>
          <w:color w:val="3D3B3B"/>
          <w:spacing w:val="18"/>
          <w:w w:val="110"/>
          <w:sz w:val="18"/>
        </w:rPr>
        <w:t> </w:t>
      </w:r>
      <w:r>
        <w:rPr>
          <w:color w:val="4F4D4F"/>
          <w:spacing w:val="-1"/>
          <w:w w:val="110"/>
          <w:sz w:val="18"/>
        </w:rPr>
        <w:t>this</w:t>
      </w:r>
      <w:r>
        <w:rPr>
          <w:color w:val="4F4D4F"/>
          <w:spacing w:val="-14"/>
          <w:w w:val="110"/>
          <w:sz w:val="18"/>
        </w:rPr>
        <w:t> </w:t>
      </w:r>
      <w:r>
        <w:rPr>
          <w:color w:val="3D3B3B"/>
          <w:spacing w:val="-1"/>
          <w:w w:val="110"/>
          <w:sz w:val="18"/>
        </w:rPr>
        <w:t>way.</w:t>
      </w:r>
      <w:r>
        <w:rPr>
          <w:color w:val="3D3B3B"/>
          <w:spacing w:val="-14"/>
          <w:w w:val="110"/>
          <w:sz w:val="18"/>
        </w:rPr>
        <w:t> </w:t>
      </w:r>
      <w:r>
        <w:rPr>
          <w:i/>
          <w:color w:val="3D3B3B"/>
          <w:spacing w:val="-1"/>
          <w:w w:val="110"/>
          <w:sz w:val="17"/>
        </w:rPr>
        <w:t>E.g.,</w:t>
      </w:r>
      <w:r>
        <w:rPr>
          <w:i/>
          <w:color w:val="3D3B3B"/>
          <w:spacing w:val="-17"/>
          <w:w w:val="110"/>
          <w:sz w:val="17"/>
        </w:rPr>
        <w:t> </w:t>
      </w:r>
      <w:r>
        <w:rPr>
          <w:color w:val="3D3B3B"/>
          <w:spacing w:val="-1"/>
          <w:w w:val="110"/>
          <w:sz w:val="18"/>
        </w:rPr>
        <w:t>Herr,</w:t>
      </w:r>
      <w:r>
        <w:rPr>
          <w:color w:val="3D3B3B"/>
          <w:spacing w:val="-9"/>
          <w:w w:val="110"/>
          <w:sz w:val="18"/>
        </w:rPr>
        <w:t> </w:t>
      </w:r>
      <w:r>
        <w:rPr>
          <w:color w:val="3D3B3B"/>
          <w:spacing w:val="-1"/>
          <w:w w:val="110"/>
          <w:sz w:val="18"/>
        </w:rPr>
        <w:t>Haydock&amp;.</w:t>
      </w:r>
      <w:r>
        <w:rPr>
          <w:color w:val="3D3B3B"/>
          <w:spacing w:val="-22"/>
          <w:w w:val="110"/>
          <w:sz w:val="18"/>
        </w:rPr>
        <w:t> </w:t>
      </w:r>
      <w:r>
        <w:rPr>
          <w:color w:val="3D3B3B"/>
          <w:w w:val="110"/>
          <w:sz w:val="18"/>
        </w:rPr>
        <w:t>Stempel,</w:t>
      </w:r>
      <w:r>
        <w:rPr>
          <w:color w:val="3D3B3B"/>
          <w:spacing w:val="1"/>
          <w:w w:val="110"/>
          <w:sz w:val="18"/>
        </w:rPr>
        <w:t> </w:t>
      </w:r>
      <w:r>
        <w:rPr>
          <w:i/>
          <w:color w:val="4F4D4F"/>
          <w:w w:val="110"/>
          <w:sz w:val="17"/>
        </w:rPr>
        <w:t>supra</w:t>
      </w:r>
      <w:r>
        <w:rPr>
          <w:i/>
          <w:color w:val="4F4D4F"/>
          <w:spacing w:val="-11"/>
          <w:w w:val="110"/>
          <w:sz w:val="17"/>
        </w:rPr>
        <w:t> </w:t>
      </w:r>
      <w:r>
        <w:rPr>
          <w:color w:val="3D3B3B"/>
          <w:w w:val="110"/>
          <w:sz w:val="18"/>
        </w:rPr>
        <w:t>note</w:t>
      </w:r>
      <w:r>
        <w:rPr>
          <w:color w:val="3D3B3B"/>
          <w:spacing w:val="-18"/>
          <w:w w:val="110"/>
          <w:sz w:val="18"/>
        </w:rPr>
        <w:t> </w:t>
      </w:r>
      <w:r>
        <w:rPr>
          <w:color w:val="3D3B3B"/>
          <w:w w:val="110"/>
          <w:sz w:val="18"/>
        </w:rPr>
        <w:t>33,at</w:t>
      </w:r>
      <w:r>
        <w:rPr>
          <w:color w:val="3D3B3B"/>
          <w:spacing w:val="-22"/>
          <w:w w:val="110"/>
          <w:sz w:val="18"/>
        </w:rPr>
        <w:t> </w:t>
      </w:r>
      <w:r>
        <w:rPr>
          <w:color w:val="3D3B3B"/>
          <w:w w:val="110"/>
          <w:sz w:val="18"/>
        </w:rPr>
        <w:t>§16.02</w:t>
      </w:r>
      <w:r>
        <w:rPr>
          <w:color w:val="3D3B3B"/>
          <w:spacing w:val="-17"/>
          <w:w w:val="110"/>
          <w:sz w:val="18"/>
        </w:rPr>
        <w:t> </w:t>
      </w:r>
      <w:r>
        <w:rPr>
          <w:color w:val="3D3B3B"/>
          <w:w w:val="110"/>
          <w:sz w:val="18"/>
        </w:rPr>
        <w:t>(discussing</w:t>
      </w:r>
      <w:r>
        <w:rPr>
          <w:color w:val="3D3B3B"/>
          <w:spacing w:val="-7"/>
          <w:w w:val="110"/>
          <w:sz w:val="18"/>
        </w:rPr>
        <w:t> </w:t>
      </w:r>
      <w:r>
        <w:rPr>
          <w:color w:val="3D3B3B"/>
          <w:w w:val="110"/>
          <w:sz w:val="18"/>
        </w:rPr>
        <w:t>when</w:t>
      </w:r>
      <w:r>
        <w:rPr>
          <w:color w:val="3D3B3B"/>
          <w:spacing w:val="15"/>
          <w:w w:val="110"/>
          <w:sz w:val="18"/>
        </w:rPr>
        <w:t> </w:t>
      </w:r>
      <w:r>
        <w:rPr>
          <w:color w:val="3D3B3B"/>
          <w:w w:val="110"/>
          <w:sz w:val="18"/>
        </w:rPr>
        <w:t>to</w:t>
      </w:r>
      <w:r>
        <w:rPr>
          <w:color w:val="3D3B3B"/>
          <w:spacing w:val="-6"/>
          <w:w w:val="110"/>
          <w:sz w:val="18"/>
        </w:rPr>
        <w:t> </w:t>
      </w:r>
      <w:r>
        <w:rPr>
          <w:color w:val="3D3B3B"/>
          <w:w w:val="110"/>
          <w:sz w:val="18"/>
        </w:rPr>
        <w:t>use</w:t>
      </w:r>
      <w:r>
        <w:rPr>
          <w:color w:val="3D3B3B"/>
          <w:spacing w:val="1"/>
          <w:w w:val="110"/>
          <w:sz w:val="18"/>
        </w:rPr>
        <w:t> </w:t>
      </w:r>
      <w:r>
        <w:rPr>
          <w:color w:val="3D3B3B"/>
          <w:w w:val="110"/>
          <w:sz w:val="18"/>
        </w:rPr>
        <w:t>motions</w:t>
      </w:r>
      <w:r>
        <w:rPr>
          <w:color w:val="3D3B3B"/>
          <w:spacing w:val="-13"/>
          <w:w w:val="110"/>
          <w:sz w:val="18"/>
        </w:rPr>
        <w:t> </w:t>
      </w:r>
      <w:r>
        <w:rPr>
          <w:color w:val="3D3B3B"/>
          <w:w w:val="110"/>
          <w:sz w:val="18"/>
        </w:rPr>
        <w:t>for</w:t>
      </w:r>
      <w:r>
        <w:rPr>
          <w:color w:val="3D3B3B"/>
          <w:spacing w:val="-8"/>
          <w:w w:val="110"/>
          <w:sz w:val="18"/>
        </w:rPr>
        <w:t> </w:t>
      </w:r>
      <w:r>
        <w:rPr>
          <w:color w:val="3D3B3B"/>
          <w:w w:val="110"/>
          <w:sz w:val="18"/>
        </w:rPr>
        <w:t>partial</w:t>
      </w:r>
      <w:r>
        <w:rPr>
          <w:color w:val="3D3B3B"/>
          <w:spacing w:val="-8"/>
          <w:w w:val="110"/>
          <w:sz w:val="18"/>
        </w:rPr>
        <w:t> </w:t>
      </w:r>
      <w:r>
        <w:rPr>
          <w:color w:val="3D3B3B"/>
          <w:w w:val="110"/>
          <w:sz w:val="18"/>
        </w:rPr>
        <w:t>summary</w:t>
      </w:r>
      <w:r>
        <w:rPr>
          <w:color w:val="3D3B3B"/>
          <w:spacing w:val="1"/>
          <w:w w:val="110"/>
          <w:sz w:val="18"/>
        </w:rPr>
        <w:t> </w:t>
      </w:r>
      <w:r>
        <w:rPr>
          <w:color w:val="4F4D4F"/>
          <w:w w:val="110"/>
          <w:sz w:val="18"/>
        </w:rPr>
        <w:t>judgment).</w:t>
      </w:r>
    </w:p>
    <w:p>
      <w:pPr>
        <w:spacing w:after="0" w:line="228" w:lineRule="auto"/>
        <w:jc w:val="both"/>
        <w:rPr>
          <w:sz w:val="18"/>
        </w:rPr>
        <w:sectPr>
          <w:pgSz w:w="9810" w:h="13830"/>
          <w:pgMar w:header="427" w:footer="0" w:top="620" w:bottom="280" w:left="0" w:right="20"/>
        </w:sectPr>
      </w:pPr>
    </w:p>
    <w:p>
      <w:pPr>
        <w:pStyle w:val="BodyText"/>
        <w:spacing w:line="232" w:lineRule="auto" w:before="87"/>
        <w:ind w:left="109" w:right="308" w:firstLine="6"/>
        <w:jc w:val="both"/>
      </w:pPr>
      <w:r>
        <w:rPr>
          <w:color w:val="383638"/>
          <w:w w:val="120"/>
        </w:rPr>
        <w:t>motion-or anymotion-it isimportant to know and use the appropri­</w:t>
      </w:r>
      <w:r>
        <w:rPr>
          <w:color w:val="383638"/>
          <w:spacing w:val="1"/>
          <w:w w:val="120"/>
        </w:rPr>
        <w:t> </w:t>
      </w:r>
      <w:r>
        <w:rPr>
          <w:color w:val="383638"/>
          <w:spacing w:val="-1"/>
          <w:w w:val="115"/>
        </w:rPr>
        <w:t>ate</w:t>
      </w:r>
      <w:r>
        <w:rPr>
          <w:color w:val="383638"/>
          <w:spacing w:val="-6"/>
          <w:w w:val="115"/>
        </w:rPr>
        <w:t> </w:t>
      </w:r>
      <w:r>
        <w:rPr>
          <w:color w:val="383638"/>
          <w:spacing w:val="-1"/>
          <w:w w:val="115"/>
        </w:rPr>
        <w:t>motion</w:t>
      </w:r>
      <w:r>
        <w:rPr>
          <w:color w:val="383638"/>
          <w:spacing w:val="-12"/>
          <w:w w:val="115"/>
        </w:rPr>
        <w:t> </w:t>
      </w:r>
      <w:r>
        <w:rPr>
          <w:color w:val="383638"/>
          <w:spacing w:val="-1"/>
          <w:w w:val="115"/>
        </w:rPr>
        <w:t>standard</w:t>
      </w:r>
      <w:r>
        <w:rPr>
          <w:color w:val="383638"/>
          <w:spacing w:val="-5"/>
          <w:w w:val="115"/>
        </w:rPr>
        <w:t> </w:t>
      </w:r>
      <w:r>
        <w:rPr>
          <w:color w:val="383638"/>
          <w:spacing w:val="-1"/>
          <w:w w:val="115"/>
        </w:rPr>
        <w:t>of</w:t>
      </w:r>
      <w:r>
        <w:rPr>
          <w:color w:val="383638"/>
          <w:spacing w:val="-5"/>
          <w:w w:val="115"/>
        </w:rPr>
        <w:t> </w:t>
      </w:r>
      <w:r>
        <w:rPr>
          <w:color w:val="383638"/>
          <w:spacing w:val="-1"/>
          <w:w w:val="115"/>
        </w:rPr>
        <w:t>review</w:t>
      </w:r>
      <w:r>
        <w:rPr>
          <w:color w:val="67676B"/>
          <w:spacing w:val="-1"/>
          <w:w w:val="115"/>
        </w:rPr>
        <w:t>.</w:t>
      </w:r>
      <w:r>
        <w:rPr>
          <w:color w:val="67676B"/>
          <w:spacing w:val="-14"/>
          <w:w w:val="115"/>
        </w:rPr>
        <w:t> </w:t>
      </w:r>
      <w:r>
        <w:rPr>
          <w:color w:val="383638"/>
          <w:spacing w:val="-1"/>
          <w:w w:val="115"/>
        </w:rPr>
        <w:t>The</w:t>
      </w:r>
      <w:r>
        <w:rPr>
          <w:color w:val="383638"/>
          <w:spacing w:val="9"/>
          <w:w w:val="115"/>
        </w:rPr>
        <w:t> </w:t>
      </w:r>
      <w:r>
        <w:rPr>
          <w:color w:val="383638"/>
          <w:spacing w:val="-1"/>
          <w:w w:val="115"/>
        </w:rPr>
        <w:t>sections</w:t>
      </w:r>
      <w:r>
        <w:rPr>
          <w:color w:val="383638"/>
          <w:spacing w:val="-6"/>
          <w:w w:val="115"/>
        </w:rPr>
        <w:t> </w:t>
      </w:r>
      <w:r>
        <w:rPr>
          <w:color w:val="383638"/>
          <w:spacing w:val="-1"/>
          <w:w w:val="115"/>
        </w:rPr>
        <w:t>below</w:t>
      </w:r>
      <w:r>
        <w:rPr>
          <w:color w:val="383638"/>
          <w:spacing w:val="-16"/>
          <w:w w:val="115"/>
        </w:rPr>
        <w:t> </w:t>
      </w:r>
      <w:r>
        <w:rPr>
          <w:color w:val="383638"/>
          <w:spacing w:val="-1"/>
          <w:w w:val="115"/>
        </w:rPr>
        <w:t>discuss</w:t>
      </w:r>
      <w:r>
        <w:rPr>
          <w:color w:val="383638"/>
          <w:spacing w:val="-12"/>
          <w:w w:val="115"/>
        </w:rPr>
        <w:t> </w:t>
      </w:r>
      <w:r>
        <w:rPr>
          <w:color w:val="383638"/>
          <w:spacing w:val="-1"/>
          <w:w w:val="115"/>
        </w:rPr>
        <w:t>the</w:t>
      </w:r>
      <w:r>
        <w:rPr>
          <w:color w:val="383638"/>
          <w:spacing w:val="7"/>
          <w:w w:val="115"/>
        </w:rPr>
        <w:t> </w:t>
      </w:r>
      <w:r>
        <w:rPr>
          <w:color w:val="383638"/>
          <w:spacing w:val="-1"/>
          <w:w w:val="115"/>
        </w:rPr>
        <w:t>standards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0"/>
        </w:rPr>
        <w:t>of review for two of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most common dispositive motions and address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general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methods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using</w:t>
      </w:r>
      <w:r>
        <w:rPr>
          <w:color w:val="383638"/>
          <w:spacing w:val="-22"/>
          <w:w w:val="110"/>
        </w:rPr>
        <w:t> </w:t>
      </w:r>
      <w:r>
        <w:rPr>
          <w:color w:val="383638"/>
          <w:w w:val="110"/>
        </w:rPr>
        <w:t>standards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review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31"/>
          <w:w w:val="110"/>
        </w:rPr>
        <w:t> </w:t>
      </w:r>
      <w:r>
        <w:rPr>
          <w:color w:val="383638"/>
          <w:w w:val="110"/>
        </w:rPr>
        <w:t>motion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briefs.</w:t>
      </w:r>
    </w:p>
    <w:p>
      <w:pPr>
        <w:pStyle w:val="BodyText"/>
        <w:spacing w:before="5"/>
        <w:rPr>
          <w:sz w:val="33"/>
        </w:rPr>
      </w:pPr>
    </w:p>
    <w:p>
      <w:pPr>
        <w:spacing w:before="0"/>
        <w:ind w:left="487" w:right="0" w:firstLine="0"/>
        <w:jc w:val="left"/>
        <w:rPr>
          <w:sz w:val="29"/>
        </w:rPr>
      </w:pPr>
      <w:r>
        <w:rPr>
          <w:color w:val="67676B"/>
          <w:w w:val="115"/>
          <w:sz w:val="29"/>
        </w:rPr>
        <w:t>2</w:t>
      </w:r>
      <w:r>
        <w:rPr>
          <w:color w:val="939597"/>
          <w:w w:val="115"/>
          <w:sz w:val="29"/>
        </w:rPr>
        <w:t>.</w:t>
      </w:r>
      <w:r>
        <w:rPr>
          <w:color w:val="67676B"/>
          <w:w w:val="115"/>
          <w:sz w:val="29"/>
        </w:rPr>
        <w:t>4</w:t>
      </w:r>
      <w:r>
        <w:rPr>
          <w:color w:val="383638"/>
          <w:w w:val="115"/>
          <w:sz w:val="29"/>
        </w:rPr>
        <w:t>.</w:t>
      </w:r>
      <w:r>
        <w:rPr>
          <w:color w:val="67676B"/>
          <w:w w:val="115"/>
          <w:sz w:val="29"/>
        </w:rPr>
        <w:t>1</w:t>
      </w:r>
    </w:p>
    <w:p>
      <w:pPr>
        <w:spacing w:before="22"/>
        <w:ind w:left="499" w:right="0" w:firstLine="0"/>
        <w:jc w:val="left"/>
        <w:rPr>
          <w:sz w:val="24"/>
        </w:rPr>
      </w:pPr>
      <w:r>
        <w:rPr>
          <w:color w:val="67676B"/>
          <w:sz w:val="24"/>
        </w:rPr>
        <w:t>MOT</w:t>
      </w:r>
      <w:r>
        <w:rPr>
          <w:color w:val="383638"/>
          <w:sz w:val="24"/>
        </w:rPr>
        <w:t>I</w:t>
      </w:r>
      <w:r>
        <w:rPr>
          <w:color w:val="67676B"/>
          <w:sz w:val="24"/>
        </w:rPr>
        <w:t>O</w:t>
      </w:r>
      <w:r>
        <w:rPr>
          <w:color w:val="383638"/>
          <w:sz w:val="24"/>
        </w:rPr>
        <w:t>N</w:t>
      </w:r>
      <w:r>
        <w:rPr>
          <w:color w:val="67676B"/>
          <w:sz w:val="24"/>
        </w:rPr>
        <w:t>S</w:t>
      </w:r>
      <w:r>
        <w:rPr>
          <w:color w:val="67676B"/>
          <w:spacing w:val="15"/>
          <w:sz w:val="24"/>
        </w:rPr>
        <w:t> </w:t>
      </w:r>
      <w:r>
        <w:rPr>
          <w:color w:val="383638"/>
          <w:sz w:val="24"/>
        </w:rPr>
        <w:t>TO</w:t>
      </w:r>
      <w:r>
        <w:rPr>
          <w:color w:val="383638"/>
          <w:spacing w:val="32"/>
          <w:sz w:val="24"/>
        </w:rPr>
        <w:t> </w:t>
      </w:r>
      <w:r>
        <w:rPr>
          <w:color w:val="67676B"/>
          <w:sz w:val="24"/>
        </w:rPr>
        <w:t>DISM</w:t>
      </w:r>
      <w:r>
        <w:rPr>
          <w:color w:val="383638"/>
          <w:sz w:val="24"/>
        </w:rPr>
        <w:t>I</w:t>
      </w:r>
      <w:r>
        <w:rPr>
          <w:color w:val="67676B"/>
          <w:sz w:val="24"/>
        </w:rPr>
        <w:t>S</w:t>
      </w:r>
      <w:r>
        <w:rPr>
          <w:color w:val="383638"/>
          <w:sz w:val="24"/>
        </w:rPr>
        <w:t>S</w:t>
      </w:r>
    </w:p>
    <w:p>
      <w:pPr>
        <w:pStyle w:val="BodyText"/>
        <w:spacing w:line="232" w:lineRule="auto" w:before="154"/>
        <w:ind w:left="106" w:right="246" w:firstLine="375"/>
        <w:jc w:val="both"/>
      </w:pPr>
      <w:r>
        <w:rPr>
          <w:color w:val="383638"/>
          <w:w w:val="110"/>
        </w:rPr>
        <w:t>A motion to dismiss for failure to state a claim upon which relief can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be granted is filed in lieu of answering the complaint, pursuant to Rule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12(b)(6). In general terms, this kind of motion can be granted for either of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two reasons: the law does not reach the facts, or the facts do not reach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law. That is, a court may grant a motion to dismiss if (1) the law does not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support the type of claim made or (2) the  facts pled in the complaint do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5"/>
        </w:rPr>
        <w:t>not</w:t>
      </w:r>
      <w:r>
        <w:rPr>
          <w:color w:val="383638"/>
          <w:spacing w:val="6"/>
          <w:w w:val="115"/>
        </w:rPr>
        <w:t> </w:t>
      </w:r>
      <w:r>
        <w:rPr>
          <w:color w:val="383638"/>
          <w:spacing w:val="-1"/>
          <w:w w:val="115"/>
        </w:rPr>
        <w:t>indicate that</w:t>
      </w:r>
      <w:r>
        <w:rPr>
          <w:color w:val="383638"/>
          <w:spacing w:val="-2"/>
          <w:w w:val="115"/>
        </w:rPr>
        <w:t> </w:t>
      </w:r>
      <w:r>
        <w:rPr>
          <w:color w:val="383638"/>
          <w:spacing w:val="-1"/>
          <w:w w:val="115"/>
        </w:rPr>
        <w:t>the</w:t>
      </w:r>
      <w:r>
        <w:rPr>
          <w:color w:val="383638"/>
          <w:spacing w:val="-9"/>
          <w:w w:val="115"/>
        </w:rPr>
        <w:t> </w:t>
      </w:r>
      <w:r>
        <w:rPr>
          <w:color w:val="383638"/>
          <w:spacing w:val="-1"/>
          <w:w w:val="115"/>
        </w:rPr>
        <w:t>plaintiff</w:t>
      </w:r>
      <w:r>
        <w:rPr>
          <w:color w:val="383638"/>
          <w:spacing w:val="11"/>
          <w:w w:val="115"/>
        </w:rPr>
        <w:t> </w:t>
      </w:r>
      <w:r>
        <w:rPr>
          <w:color w:val="383638"/>
          <w:spacing w:val="-1"/>
          <w:w w:val="115"/>
        </w:rPr>
        <w:t>can establish</w:t>
      </w:r>
      <w:r>
        <w:rPr>
          <w:color w:val="383638"/>
          <w:spacing w:val="-7"/>
          <w:w w:val="115"/>
        </w:rPr>
        <w:t> </w:t>
      </w:r>
      <w:r>
        <w:rPr>
          <w:color w:val="383638"/>
          <w:w w:val="115"/>
        </w:rPr>
        <w:t>facts</w:t>
      </w:r>
      <w:r>
        <w:rPr>
          <w:color w:val="383638"/>
          <w:spacing w:val="-22"/>
          <w:w w:val="115"/>
        </w:rPr>
        <w:t> </w:t>
      </w:r>
      <w:r>
        <w:rPr>
          <w:color w:val="383638"/>
          <w:w w:val="115"/>
        </w:rPr>
        <w:t>that</w:t>
      </w:r>
      <w:r>
        <w:rPr>
          <w:color w:val="383638"/>
          <w:spacing w:val="-21"/>
          <w:w w:val="115"/>
        </w:rPr>
        <w:t> </w:t>
      </w:r>
      <w:r>
        <w:rPr>
          <w:color w:val="383638"/>
          <w:w w:val="115"/>
        </w:rPr>
        <w:t>would</w:t>
      </w:r>
      <w:r>
        <w:rPr>
          <w:color w:val="383638"/>
          <w:spacing w:val="-23"/>
          <w:w w:val="115"/>
        </w:rPr>
        <w:t> </w:t>
      </w:r>
      <w:r>
        <w:rPr>
          <w:color w:val="383638"/>
          <w:w w:val="115"/>
        </w:rPr>
        <w:t>entitle</w:t>
      </w:r>
      <w:r>
        <w:rPr>
          <w:color w:val="383638"/>
          <w:spacing w:val="-16"/>
          <w:w w:val="115"/>
        </w:rPr>
        <w:t> </w:t>
      </w:r>
      <w:r>
        <w:rPr>
          <w:color w:val="383638"/>
          <w:w w:val="115"/>
        </w:rPr>
        <w:t>him</w:t>
      </w:r>
      <w:r>
        <w:rPr>
          <w:color w:val="383638"/>
          <w:spacing w:val="-15"/>
          <w:w w:val="115"/>
        </w:rPr>
        <w:t> </w:t>
      </w:r>
      <w:r>
        <w:rPr>
          <w:color w:val="383638"/>
          <w:w w:val="115"/>
        </w:rPr>
        <w:t>or</w:t>
      </w:r>
      <w:r>
        <w:rPr>
          <w:color w:val="383638"/>
          <w:spacing w:val="-63"/>
          <w:w w:val="115"/>
        </w:rPr>
        <w:t> </w:t>
      </w:r>
      <w:r>
        <w:rPr>
          <w:color w:val="383638"/>
          <w:w w:val="110"/>
        </w:rPr>
        <w:t>her to relief. The court must take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factual allegations in  the  complaint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true,</w:t>
      </w:r>
      <w:r>
        <w:rPr>
          <w:color w:val="383638"/>
          <w:w w:val="110"/>
          <w:vertAlign w:val="superscript"/>
        </w:rPr>
        <w:t>39</w:t>
      </w:r>
      <w:r>
        <w:rPr>
          <w:color w:val="383638"/>
          <w:spacing w:val="-7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but</w:t>
      </w:r>
      <w:r>
        <w:rPr>
          <w:color w:val="383638"/>
          <w:spacing w:val="23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this</w:t>
      </w:r>
      <w:r>
        <w:rPr>
          <w:color w:val="383638"/>
          <w:spacing w:val="-24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standard</w:t>
      </w:r>
      <w:r>
        <w:rPr>
          <w:color w:val="383638"/>
          <w:spacing w:val="3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does</w:t>
      </w:r>
      <w:r>
        <w:rPr>
          <w:color w:val="383638"/>
          <w:spacing w:val="-13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not</w:t>
      </w:r>
      <w:r>
        <w:rPr>
          <w:color w:val="383638"/>
          <w:spacing w:val="20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apply</w:t>
      </w:r>
      <w:r>
        <w:rPr>
          <w:color w:val="383638"/>
          <w:spacing w:val="5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to</w:t>
      </w:r>
      <w:r>
        <w:rPr>
          <w:color w:val="383638"/>
          <w:spacing w:val="3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legal</w:t>
      </w:r>
      <w:r>
        <w:rPr>
          <w:color w:val="383638"/>
          <w:spacing w:val="-7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conclusions.</w:t>
      </w:r>
    </w:p>
    <w:p>
      <w:pPr>
        <w:pStyle w:val="BodyText"/>
        <w:spacing w:line="235" w:lineRule="auto" w:before="10"/>
        <w:ind w:left="110" w:right="203" w:firstLine="367"/>
        <w:jc w:val="both"/>
      </w:pPr>
      <w:r>
        <w:rPr>
          <w:color w:val="383638"/>
          <w:w w:val="110"/>
        </w:rPr>
        <w:t>Two hypothetical Title VII cases can help to illustrate these reasons for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dismissing a complaint. Title VII provides that "employers" may not termi­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nate an employee based on race, sex, religion, or other factors. The statute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defines an </w:t>
      </w:r>
      <w:r>
        <w:rPr>
          <w:rFonts w:ascii="Arial" w:hAnsi="Arial"/>
          <w:i/>
          <w:color w:val="383638"/>
          <w:w w:val="110"/>
          <w:sz w:val="22"/>
        </w:rPr>
        <w:t>employer </w:t>
      </w:r>
      <w:r>
        <w:rPr>
          <w:color w:val="383638"/>
          <w:w w:val="110"/>
        </w:rPr>
        <w:t>as someone who employs more than 15 employees.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plaintiff must establish that the employer had knowledge of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pro­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tected</w:t>
      </w:r>
      <w:r>
        <w:rPr>
          <w:color w:val="383638"/>
          <w:spacing w:val="-7"/>
          <w:w w:val="115"/>
        </w:rPr>
        <w:t> </w:t>
      </w:r>
      <w:r>
        <w:rPr>
          <w:color w:val="383638"/>
          <w:w w:val="115"/>
        </w:rPr>
        <w:t>status</w:t>
      </w:r>
      <w:r>
        <w:rPr>
          <w:color w:val="383638"/>
          <w:spacing w:val="-28"/>
          <w:w w:val="115"/>
        </w:rPr>
        <w:t> </w:t>
      </w:r>
      <w:r>
        <w:rPr>
          <w:color w:val="383638"/>
          <w:w w:val="115"/>
        </w:rPr>
        <w:t>at</w:t>
      </w:r>
      <w:r>
        <w:rPr>
          <w:color w:val="383638"/>
          <w:spacing w:val="4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15"/>
          <w:w w:val="115"/>
        </w:rPr>
        <w:t> </w:t>
      </w:r>
      <w:r>
        <w:rPr>
          <w:color w:val="383638"/>
          <w:w w:val="115"/>
        </w:rPr>
        <w:t>time</w:t>
      </w:r>
      <w:r>
        <w:rPr>
          <w:color w:val="383638"/>
          <w:spacing w:val="-27"/>
          <w:w w:val="115"/>
        </w:rPr>
        <w:t> </w:t>
      </w:r>
      <w:r>
        <w:rPr>
          <w:color w:val="383638"/>
          <w:w w:val="115"/>
        </w:rPr>
        <w:t>of</w:t>
      </w:r>
      <w:r>
        <w:rPr>
          <w:color w:val="383638"/>
          <w:spacing w:val="-4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12"/>
          <w:w w:val="115"/>
        </w:rPr>
        <w:t> </w:t>
      </w:r>
      <w:r>
        <w:rPr>
          <w:color w:val="383638"/>
          <w:w w:val="115"/>
        </w:rPr>
        <w:t>termination.</w:t>
      </w:r>
    </w:p>
    <w:p>
      <w:pPr>
        <w:pStyle w:val="BodyText"/>
        <w:spacing w:line="235" w:lineRule="auto"/>
        <w:ind w:left="109" w:right="165" w:firstLine="381"/>
        <w:jc w:val="both"/>
      </w:pPr>
      <w:r>
        <w:rPr>
          <w:color w:val="383638"/>
          <w:w w:val="110"/>
        </w:rPr>
        <w:t>First, if a plaintiff filed a Title VII action even though he or she worked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for a company with only ten employees,  the  company would probably file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a motion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 dismiss. The court would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not  analyze whether the allegations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of discrimination were valid or invalid. Instead, it would consider whether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law reaches the facts by asking, "even if these allegations are true, can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this plaintiff recover against this defendant under this statute?" The plain­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tiff in this example could never recover against this defendant under Title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VII, because the law does not support this type of claim: Title VII does not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apply to employers with fewer than 15 employees. Accordingly, the court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would</w:t>
      </w:r>
      <w:r>
        <w:rPr>
          <w:color w:val="383638"/>
          <w:spacing w:val="-3"/>
          <w:w w:val="115"/>
        </w:rPr>
        <w:t> </w:t>
      </w:r>
      <w:r>
        <w:rPr>
          <w:color w:val="383638"/>
          <w:w w:val="115"/>
        </w:rPr>
        <w:t>grant</w:t>
      </w:r>
      <w:r>
        <w:rPr>
          <w:color w:val="383638"/>
          <w:spacing w:val="-1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8"/>
          <w:w w:val="115"/>
        </w:rPr>
        <w:t> </w:t>
      </w:r>
      <w:r>
        <w:rPr>
          <w:color w:val="383638"/>
          <w:w w:val="115"/>
        </w:rPr>
        <w:t>motion to</w:t>
      </w:r>
      <w:r>
        <w:rPr>
          <w:color w:val="383638"/>
          <w:spacing w:val="-4"/>
          <w:w w:val="115"/>
        </w:rPr>
        <w:t> </w:t>
      </w:r>
      <w:r>
        <w:rPr>
          <w:color w:val="383638"/>
          <w:w w:val="115"/>
        </w:rPr>
        <w:t>dismiss.</w:t>
      </w:r>
    </w:p>
    <w:p>
      <w:pPr>
        <w:pStyle w:val="BodyText"/>
        <w:spacing w:line="232" w:lineRule="auto"/>
        <w:ind w:left="118" w:right="116" w:firstLine="379"/>
        <w:jc w:val="both"/>
      </w:pPr>
      <w:r>
        <w:rPr>
          <w:color w:val="383638"/>
          <w:w w:val="110"/>
        </w:rPr>
        <w:t>In another case, a plaintiff might file a Title VII claim and allege that he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was terminated based 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his religion. Suppose that the complaint merely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claimed that he had been fired because of his religion (a legal conclusion)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but did not allege facts that indicated that the defendant employer had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knowledge of the plaintiff's religion. Again, the defendant would probably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5"/>
        </w:rPr>
        <w:t>file</w:t>
      </w:r>
      <w:r>
        <w:rPr>
          <w:color w:val="383638"/>
          <w:spacing w:val="-29"/>
          <w:w w:val="115"/>
        </w:rPr>
        <w:t> </w:t>
      </w:r>
      <w:r>
        <w:rPr>
          <w:color w:val="383638"/>
          <w:spacing w:val="-1"/>
          <w:w w:val="115"/>
        </w:rPr>
        <w:t>a</w:t>
      </w:r>
      <w:r>
        <w:rPr>
          <w:color w:val="383638"/>
          <w:w w:val="115"/>
        </w:rPr>
        <w:t> </w:t>
      </w:r>
      <w:r>
        <w:rPr>
          <w:color w:val="383638"/>
          <w:spacing w:val="-1"/>
          <w:w w:val="115"/>
        </w:rPr>
        <w:t>motion</w:t>
      </w:r>
      <w:r>
        <w:rPr>
          <w:color w:val="383638"/>
          <w:spacing w:val="-8"/>
          <w:w w:val="115"/>
        </w:rPr>
        <w:t> </w:t>
      </w:r>
      <w:r>
        <w:rPr>
          <w:color w:val="383638"/>
          <w:spacing w:val="-1"/>
          <w:w w:val="115"/>
        </w:rPr>
        <w:t>to</w:t>
      </w:r>
      <w:r>
        <w:rPr>
          <w:color w:val="383638"/>
          <w:spacing w:val="-14"/>
          <w:w w:val="115"/>
        </w:rPr>
        <w:t> </w:t>
      </w:r>
      <w:r>
        <w:rPr>
          <w:color w:val="383638"/>
          <w:spacing w:val="-1"/>
          <w:w w:val="115"/>
        </w:rPr>
        <w:t>dismiss.</w:t>
      </w:r>
      <w:r>
        <w:rPr>
          <w:color w:val="383638"/>
          <w:spacing w:val="-29"/>
          <w:w w:val="115"/>
        </w:rPr>
        <w:t> </w:t>
      </w:r>
      <w:r>
        <w:rPr>
          <w:color w:val="383638"/>
          <w:spacing w:val="-1"/>
          <w:w w:val="115"/>
        </w:rPr>
        <w:t>The</w:t>
      </w:r>
      <w:r>
        <w:rPr>
          <w:color w:val="383638"/>
          <w:spacing w:val="-7"/>
          <w:w w:val="115"/>
        </w:rPr>
        <w:t> </w:t>
      </w:r>
      <w:r>
        <w:rPr>
          <w:color w:val="383638"/>
          <w:spacing w:val="-1"/>
          <w:w w:val="115"/>
        </w:rPr>
        <w:t>court</w:t>
      </w:r>
      <w:r>
        <w:rPr>
          <w:color w:val="383638"/>
          <w:spacing w:val="-11"/>
          <w:w w:val="115"/>
        </w:rPr>
        <w:t> </w:t>
      </w:r>
      <w:r>
        <w:rPr>
          <w:color w:val="383638"/>
          <w:spacing w:val="-1"/>
          <w:w w:val="115"/>
        </w:rPr>
        <w:t>would</w:t>
      </w:r>
      <w:r>
        <w:rPr>
          <w:color w:val="383638"/>
          <w:spacing w:val="-13"/>
          <w:w w:val="115"/>
        </w:rPr>
        <w:t> </w:t>
      </w:r>
      <w:r>
        <w:rPr>
          <w:color w:val="383638"/>
          <w:w w:val="115"/>
        </w:rPr>
        <w:t>consider</w:t>
      </w:r>
      <w:r>
        <w:rPr>
          <w:color w:val="383638"/>
          <w:spacing w:val="-14"/>
          <w:w w:val="115"/>
        </w:rPr>
        <w:t> </w:t>
      </w:r>
      <w:r>
        <w:rPr>
          <w:color w:val="383638"/>
          <w:w w:val="115"/>
        </w:rPr>
        <w:t>whether</w:t>
      </w:r>
      <w:r>
        <w:rPr>
          <w:color w:val="383638"/>
          <w:spacing w:val="-2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2"/>
          <w:w w:val="115"/>
        </w:rPr>
        <w:t> </w:t>
      </w:r>
      <w:r>
        <w:rPr>
          <w:color w:val="383638"/>
          <w:w w:val="115"/>
        </w:rPr>
        <w:t>facts</w:t>
      </w:r>
      <w:r>
        <w:rPr>
          <w:color w:val="383638"/>
          <w:spacing w:val="-13"/>
          <w:w w:val="115"/>
        </w:rPr>
        <w:t> </w:t>
      </w:r>
      <w:r>
        <w:rPr>
          <w:color w:val="383638"/>
          <w:w w:val="115"/>
        </w:rPr>
        <w:t>reach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5"/>
        </w:rPr>
        <w:t>the law by evaluating the  facts pied in the  complaint, asking whether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10"/>
          <w:w w:val="115"/>
        </w:rPr>
        <w:t> </w:t>
      </w:r>
      <w:r>
        <w:rPr>
          <w:color w:val="383638"/>
          <w:w w:val="115"/>
        </w:rPr>
        <w:t>plaintiff</w:t>
      </w:r>
      <w:r>
        <w:rPr>
          <w:color w:val="383638"/>
          <w:spacing w:val="22"/>
          <w:w w:val="115"/>
        </w:rPr>
        <w:t> </w:t>
      </w:r>
      <w:r>
        <w:rPr>
          <w:color w:val="383638"/>
          <w:w w:val="115"/>
        </w:rPr>
        <w:t>had</w:t>
      </w:r>
      <w:r>
        <w:rPr>
          <w:color w:val="383638"/>
          <w:spacing w:val="21"/>
          <w:w w:val="115"/>
        </w:rPr>
        <w:t> </w:t>
      </w:r>
      <w:r>
        <w:rPr>
          <w:color w:val="383638"/>
          <w:w w:val="115"/>
        </w:rPr>
        <w:t>alleged</w:t>
      </w:r>
      <w:r>
        <w:rPr>
          <w:color w:val="383638"/>
          <w:spacing w:val="5"/>
          <w:w w:val="115"/>
        </w:rPr>
        <w:t> </w:t>
      </w:r>
      <w:r>
        <w:rPr>
          <w:color w:val="383638"/>
          <w:w w:val="115"/>
        </w:rPr>
        <w:t>facts</w:t>
      </w:r>
      <w:r>
        <w:rPr>
          <w:color w:val="383638"/>
          <w:spacing w:val="-4"/>
          <w:w w:val="115"/>
        </w:rPr>
        <w:t> </w:t>
      </w:r>
      <w:r>
        <w:rPr>
          <w:color w:val="383638"/>
          <w:w w:val="115"/>
        </w:rPr>
        <w:t>that</w:t>
      </w:r>
      <w:r>
        <w:rPr>
          <w:color w:val="383638"/>
          <w:spacing w:val="-13"/>
          <w:w w:val="115"/>
        </w:rPr>
        <w:t> </w:t>
      </w:r>
      <w:r>
        <w:rPr>
          <w:color w:val="383638"/>
          <w:w w:val="115"/>
        </w:rPr>
        <w:t>were</w:t>
      </w:r>
      <w:r>
        <w:rPr>
          <w:color w:val="383638"/>
          <w:spacing w:val="-10"/>
          <w:w w:val="115"/>
        </w:rPr>
        <w:t> </w:t>
      </w:r>
      <w:r>
        <w:rPr>
          <w:color w:val="383638"/>
          <w:w w:val="115"/>
        </w:rPr>
        <w:t>sufficient</w:t>
      </w:r>
      <w:r>
        <w:rPr>
          <w:color w:val="383638"/>
          <w:spacing w:val="5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20"/>
          <w:w w:val="115"/>
        </w:rPr>
        <w:t> </w:t>
      </w:r>
      <w:r>
        <w:rPr>
          <w:color w:val="383638"/>
          <w:w w:val="115"/>
        </w:rPr>
        <w:t>plausibly</w:t>
      </w:r>
      <w:r>
        <w:rPr>
          <w:color w:val="383638"/>
          <w:spacing w:val="5"/>
          <w:w w:val="115"/>
        </w:rPr>
        <w:t> </w:t>
      </w:r>
      <w:r>
        <w:rPr>
          <w:color w:val="383638"/>
          <w:w w:val="115"/>
        </w:rPr>
        <w:t>allow</w:t>
      </w:r>
      <w:r>
        <w:rPr>
          <w:color w:val="383638"/>
          <w:spacing w:val="-4"/>
          <w:w w:val="115"/>
        </w:rPr>
        <w:t> </w:t>
      </w:r>
      <w:r>
        <w:rPr>
          <w:color w:val="383638"/>
          <w:w w:val="115"/>
        </w:rPr>
        <w:t>that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2"/>
        </w:rPr>
      </w:pPr>
    </w:p>
    <w:p>
      <w:pPr>
        <w:spacing w:before="1"/>
        <w:ind w:left="499" w:right="0" w:firstLine="0"/>
        <w:jc w:val="left"/>
        <w:rPr>
          <w:sz w:val="18"/>
        </w:rPr>
      </w:pPr>
      <w:r>
        <w:rPr>
          <w:color w:val="383638"/>
          <w:spacing w:val="-1"/>
          <w:w w:val="110"/>
          <w:sz w:val="16"/>
          <w:vertAlign w:val="superscript"/>
        </w:rPr>
        <w:t>39</w:t>
      </w:r>
      <w:r>
        <w:rPr>
          <w:rFonts w:ascii="Arial"/>
          <w:i/>
          <w:color w:val="383638"/>
          <w:spacing w:val="-1"/>
          <w:w w:val="110"/>
          <w:sz w:val="16"/>
          <w:vertAlign w:val="baseline"/>
        </w:rPr>
        <w:t>E.g.,</w:t>
      </w:r>
      <w:r>
        <w:rPr>
          <w:rFonts w:ascii="Arial"/>
          <w:i/>
          <w:color w:val="383638"/>
          <w:spacing w:val="-20"/>
          <w:w w:val="110"/>
          <w:sz w:val="16"/>
          <w:vertAlign w:val="baseline"/>
        </w:rPr>
        <w:t> </w:t>
      </w:r>
      <w:r>
        <w:rPr>
          <w:rFonts w:ascii="Arial"/>
          <w:i/>
          <w:color w:val="383638"/>
          <w:spacing w:val="-1"/>
          <w:w w:val="110"/>
          <w:sz w:val="16"/>
          <w:vertAlign w:val="baseline"/>
        </w:rPr>
        <w:t>Bell</w:t>
      </w:r>
      <w:r>
        <w:rPr>
          <w:rFonts w:ascii="Arial"/>
          <w:i/>
          <w:color w:val="383638"/>
          <w:spacing w:val="-15"/>
          <w:w w:val="110"/>
          <w:sz w:val="16"/>
          <w:vertAlign w:val="baseline"/>
        </w:rPr>
        <w:t> </w:t>
      </w:r>
      <w:r>
        <w:rPr>
          <w:rFonts w:ascii="Arial"/>
          <w:i/>
          <w:color w:val="383638"/>
          <w:w w:val="110"/>
          <w:sz w:val="16"/>
          <w:vertAlign w:val="baseline"/>
        </w:rPr>
        <w:t>Atlantic</w:t>
      </w:r>
      <w:r>
        <w:rPr>
          <w:rFonts w:ascii="Arial"/>
          <w:i/>
          <w:color w:val="383638"/>
          <w:spacing w:val="-11"/>
          <w:w w:val="110"/>
          <w:sz w:val="16"/>
          <w:vertAlign w:val="baseline"/>
        </w:rPr>
        <w:t> </w:t>
      </w:r>
      <w:r>
        <w:rPr>
          <w:rFonts w:ascii="Arial"/>
          <w:i/>
          <w:color w:val="383638"/>
          <w:w w:val="110"/>
          <w:sz w:val="16"/>
          <w:vertAlign w:val="baseline"/>
        </w:rPr>
        <w:t>Corp.</w:t>
      </w:r>
      <w:r>
        <w:rPr>
          <w:rFonts w:ascii="Arial"/>
          <w:i/>
          <w:color w:val="383638"/>
          <w:spacing w:val="-27"/>
          <w:w w:val="110"/>
          <w:sz w:val="16"/>
          <w:vertAlign w:val="baseline"/>
        </w:rPr>
        <w:t> </w:t>
      </w:r>
      <w:r>
        <w:rPr>
          <w:rFonts w:ascii="Arial"/>
          <w:i/>
          <w:color w:val="383638"/>
          <w:w w:val="110"/>
          <w:sz w:val="16"/>
          <w:vertAlign w:val="baseline"/>
        </w:rPr>
        <w:t>v.</w:t>
      </w:r>
      <w:r>
        <w:rPr>
          <w:rFonts w:ascii="Arial"/>
          <w:i/>
          <w:color w:val="383638"/>
          <w:spacing w:val="-20"/>
          <w:w w:val="110"/>
          <w:sz w:val="16"/>
          <w:vertAlign w:val="baseline"/>
        </w:rPr>
        <w:t> </w:t>
      </w:r>
      <w:r>
        <w:rPr>
          <w:rFonts w:ascii="Arial"/>
          <w:i/>
          <w:color w:val="383638"/>
          <w:w w:val="110"/>
          <w:sz w:val="16"/>
          <w:vertAlign w:val="baseline"/>
        </w:rPr>
        <w:t>Twombly,</w:t>
      </w:r>
      <w:r>
        <w:rPr>
          <w:rFonts w:ascii="Arial"/>
          <w:i/>
          <w:color w:val="383638"/>
          <w:spacing w:val="-15"/>
          <w:w w:val="110"/>
          <w:sz w:val="16"/>
          <w:vertAlign w:val="baseline"/>
        </w:rPr>
        <w:t> </w:t>
      </w:r>
      <w:r>
        <w:rPr>
          <w:color w:val="383638"/>
          <w:w w:val="110"/>
          <w:sz w:val="18"/>
          <w:vertAlign w:val="baseline"/>
        </w:rPr>
        <w:t>5S0</w:t>
      </w:r>
      <w:r>
        <w:rPr>
          <w:color w:val="383638"/>
          <w:spacing w:val="8"/>
          <w:w w:val="110"/>
          <w:sz w:val="18"/>
          <w:vertAlign w:val="baseline"/>
        </w:rPr>
        <w:t> </w:t>
      </w:r>
      <w:r>
        <w:rPr>
          <w:color w:val="383638"/>
          <w:w w:val="110"/>
          <w:sz w:val="18"/>
          <w:vertAlign w:val="baseline"/>
        </w:rPr>
        <w:t>U.S.</w:t>
      </w:r>
      <w:r>
        <w:rPr>
          <w:color w:val="383638"/>
          <w:spacing w:val="-26"/>
          <w:w w:val="110"/>
          <w:sz w:val="18"/>
          <w:vertAlign w:val="baseline"/>
        </w:rPr>
        <w:t> </w:t>
      </w:r>
      <w:r>
        <w:rPr>
          <w:color w:val="383638"/>
          <w:w w:val="110"/>
          <w:sz w:val="18"/>
          <w:vertAlign w:val="baseline"/>
        </w:rPr>
        <w:t>544,</w:t>
      </w:r>
      <w:r>
        <w:rPr>
          <w:color w:val="383638"/>
          <w:spacing w:val="-17"/>
          <w:w w:val="110"/>
          <w:sz w:val="18"/>
          <w:vertAlign w:val="baseline"/>
        </w:rPr>
        <w:t> </w:t>
      </w:r>
      <w:r>
        <w:rPr>
          <w:rFonts w:ascii="Arial"/>
          <w:i/>
          <w:color w:val="383638"/>
          <w:w w:val="110"/>
          <w:sz w:val="16"/>
          <w:vertAlign w:val="baseline"/>
        </w:rPr>
        <w:t>555</w:t>
      </w:r>
      <w:r>
        <w:rPr>
          <w:rFonts w:ascii="Arial"/>
          <w:i/>
          <w:color w:val="383638"/>
          <w:spacing w:val="-4"/>
          <w:w w:val="110"/>
          <w:sz w:val="16"/>
          <w:vertAlign w:val="baseline"/>
        </w:rPr>
        <w:t> </w:t>
      </w:r>
      <w:r>
        <w:rPr>
          <w:color w:val="383638"/>
          <w:w w:val="110"/>
          <w:sz w:val="18"/>
          <w:vertAlign w:val="baseline"/>
        </w:rPr>
        <w:t>(2007).</w:t>
      </w:r>
    </w:p>
    <w:p>
      <w:pPr>
        <w:spacing w:after="0"/>
        <w:jc w:val="left"/>
        <w:rPr>
          <w:sz w:val="18"/>
        </w:rPr>
        <w:sectPr>
          <w:pgSz w:w="9650" w:h="13790"/>
          <w:pgMar w:header="553" w:footer="0" w:top="1200" w:bottom="280" w:left="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4" w:lineRule="auto"/>
        <w:ind w:left="778" w:right="169" w:firstLine="12"/>
        <w:jc w:val="both"/>
      </w:pPr>
      <w:r>
        <w:rPr>
          <w:color w:val="3B383B"/>
          <w:w w:val="110"/>
        </w:rPr>
        <w:t>plaintiff to establish the foundational fact that defendant knew the plain­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tiff's</w:t>
      </w:r>
      <w:r>
        <w:rPr>
          <w:color w:val="3B383B"/>
          <w:spacing w:val="-9"/>
          <w:w w:val="110"/>
        </w:rPr>
        <w:t> </w:t>
      </w:r>
      <w:r>
        <w:rPr>
          <w:color w:val="3B383B"/>
          <w:w w:val="110"/>
        </w:rPr>
        <w:t>religion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at</w:t>
      </w:r>
      <w:r>
        <w:rPr>
          <w:color w:val="3B383B"/>
          <w:spacing w:val="15"/>
          <w:w w:val="110"/>
        </w:rPr>
        <w:t> </w:t>
      </w:r>
      <w:r>
        <w:rPr>
          <w:color w:val="3B383B"/>
          <w:w w:val="110"/>
        </w:rPr>
        <w:t>the</w:t>
      </w:r>
      <w:r>
        <w:rPr>
          <w:color w:val="3B383B"/>
          <w:spacing w:val="30"/>
          <w:w w:val="110"/>
        </w:rPr>
        <w:t> </w:t>
      </w:r>
      <w:r>
        <w:rPr>
          <w:color w:val="3B383B"/>
          <w:w w:val="110"/>
        </w:rPr>
        <w:t>time</w:t>
      </w:r>
      <w:r>
        <w:rPr>
          <w:color w:val="3B383B"/>
          <w:spacing w:val="-14"/>
          <w:w w:val="110"/>
        </w:rPr>
        <w:t> </w:t>
      </w:r>
      <w:r>
        <w:rPr>
          <w:color w:val="3B383B"/>
          <w:w w:val="110"/>
        </w:rPr>
        <w:t>of</w:t>
      </w:r>
      <w:r>
        <w:rPr>
          <w:color w:val="3B383B"/>
          <w:spacing w:val="3"/>
          <w:w w:val="110"/>
        </w:rPr>
        <w:t> </w:t>
      </w:r>
      <w:r>
        <w:rPr>
          <w:color w:val="3B383B"/>
          <w:w w:val="110"/>
        </w:rPr>
        <w:t>the</w:t>
      </w:r>
      <w:r>
        <w:rPr>
          <w:color w:val="3B383B"/>
          <w:spacing w:val="25"/>
          <w:w w:val="110"/>
        </w:rPr>
        <w:t> </w:t>
      </w:r>
      <w:r>
        <w:rPr>
          <w:color w:val="3B383B"/>
          <w:w w:val="110"/>
        </w:rPr>
        <w:t>termination.</w:t>
      </w:r>
    </w:p>
    <w:p>
      <w:pPr>
        <w:pStyle w:val="BodyText"/>
        <w:spacing w:line="243" w:lineRule="exact"/>
        <w:ind w:left="1142"/>
        <w:jc w:val="both"/>
      </w:pPr>
      <w:r>
        <w:rPr>
          <w:color w:val="3B383B"/>
          <w:w w:val="115"/>
        </w:rPr>
        <w:t>In</w:t>
      </w:r>
      <w:r>
        <w:rPr>
          <w:color w:val="3B383B"/>
          <w:spacing w:val="-13"/>
          <w:w w:val="115"/>
        </w:rPr>
        <w:t> </w:t>
      </w:r>
      <w:r>
        <w:rPr>
          <w:color w:val="3B383B"/>
          <w:w w:val="115"/>
        </w:rPr>
        <w:t>general,</w:t>
      </w:r>
      <w:r>
        <w:rPr>
          <w:color w:val="3B383B"/>
          <w:spacing w:val="15"/>
          <w:w w:val="115"/>
        </w:rPr>
        <w:t> </w:t>
      </w:r>
      <w:r>
        <w:rPr>
          <w:color w:val="3B383B"/>
          <w:w w:val="115"/>
        </w:rPr>
        <w:t>the</w:t>
      </w:r>
      <w:r>
        <w:rPr>
          <w:color w:val="3B383B"/>
          <w:spacing w:val="15"/>
          <w:w w:val="115"/>
        </w:rPr>
        <w:t> </w:t>
      </w:r>
      <w:r>
        <w:rPr>
          <w:color w:val="3B383B"/>
          <w:w w:val="115"/>
        </w:rPr>
        <w:t>standard</w:t>
      </w:r>
      <w:r>
        <w:rPr>
          <w:color w:val="3B383B"/>
          <w:spacing w:val="12"/>
          <w:w w:val="115"/>
        </w:rPr>
        <w:t> </w:t>
      </w:r>
      <w:r>
        <w:rPr>
          <w:color w:val="3B383B"/>
          <w:w w:val="115"/>
        </w:rPr>
        <w:t>for</w:t>
      </w:r>
      <w:r>
        <w:rPr>
          <w:color w:val="3B383B"/>
          <w:spacing w:val="-8"/>
          <w:w w:val="115"/>
        </w:rPr>
        <w:t> </w:t>
      </w:r>
      <w:r>
        <w:rPr>
          <w:color w:val="3B383B"/>
          <w:w w:val="115"/>
        </w:rPr>
        <w:t>a</w:t>
      </w:r>
      <w:r>
        <w:rPr>
          <w:color w:val="3B383B"/>
          <w:spacing w:val="9"/>
          <w:w w:val="115"/>
        </w:rPr>
        <w:t> </w:t>
      </w:r>
      <w:r>
        <w:rPr>
          <w:color w:val="3B383B"/>
          <w:w w:val="115"/>
        </w:rPr>
        <w:t>motion</w:t>
      </w:r>
      <w:r>
        <w:rPr>
          <w:color w:val="3B383B"/>
          <w:spacing w:val="7"/>
          <w:w w:val="115"/>
        </w:rPr>
        <w:t> </w:t>
      </w:r>
      <w:r>
        <w:rPr>
          <w:color w:val="3B383B"/>
          <w:w w:val="115"/>
        </w:rPr>
        <w:t>to</w:t>
      </w:r>
      <w:r>
        <w:rPr>
          <w:color w:val="3B383B"/>
          <w:spacing w:val="6"/>
          <w:w w:val="115"/>
        </w:rPr>
        <w:t> </w:t>
      </w:r>
      <w:r>
        <w:rPr>
          <w:color w:val="3B383B"/>
          <w:w w:val="115"/>
        </w:rPr>
        <w:t>dismiss</w:t>
      </w:r>
      <w:r>
        <w:rPr>
          <w:color w:val="3B383B"/>
          <w:spacing w:val="-3"/>
          <w:w w:val="115"/>
        </w:rPr>
        <w:t> </w:t>
      </w:r>
      <w:r>
        <w:rPr>
          <w:color w:val="3B383B"/>
          <w:w w:val="115"/>
        </w:rPr>
        <w:t>tries</w:t>
      </w:r>
      <w:r>
        <w:rPr>
          <w:color w:val="3B383B"/>
          <w:spacing w:val="-5"/>
          <w:w w:val="115"/>
        </w:rPr>
        <w:t> </w:t>
      </w:r>
      <w:r>
        <w:rPr>
          <w:color w:val="3B383B"/>
          <w:w w:val="115"/>
        </w:rPr>
        <w:t>to</w:t>
      </w:r>
      <w:r>
        <w:rPr>
          <w:color w:val="3B383B"/>
          <w:spacing w:val="12"/>
          <w:w w:val="115"/>
        </w:rPr>
        <w:t> </w:t>
      </w:r>
      <w:r>
        <w:rPr>
          <w:color w:val="3B383B"/>
          <w:w w:val="115"/>
        </w:rPr>
        <w:t>balance</w:t>
      </w:r>
      <w:r>
        <w:rPr>
          <w:color w:val="3B383B"/>
          <w:spacing w:val="-7"/>
          <w:w w:val="115"/>
        </w:rPr>
        <w:t> </w:t>
      </w:r>
      <w:r>
        <w:rPr>
          <w:color w:val="3B383B"/>
          <w:w w:val="115"/>
        </w:rPr>
        <w:t>the</w:t>
      </w:r>
    </w:p>
    <w:p>
      <w:pPr>
        <w:pStyle w:val="BodyText"/>
        <w:spacing w:line="235" w:lineRule="auto" w:before="2"/>
        <w:ind w:left="743" w:right="170" w:firstLine="16"/>
        <w:jc w:val="both"/>
      </w:pPr>
      <w:r>
        <w:rPr>
          <w:color w:val="3B383B"/>
          <w:w w:val="105"/>
        </w:rPr>
        <w:t>needs of plaintiffs, of defendants, and of the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judicial system. The plaintiff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10"/>
        </w:rPr>
        <w:t>need not specify every detail of his or her claim, but the complaint must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give the defendant fair notice and must contain either direct or indirect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allegations as to all of the claim's material elements. Federal courts gener­</w:t>
      </w:r>
      <w:r>
        <w:rPr>
          <w:color w:val="3B383B"/>
          <w:spacing w:val="-61"/>
          <w:w w:val="110"/>
        </w:rPr>
        <w:t> </w:t>
      </w:r>
      <w:r>
        <w:rPr>
          <w:color w:val="3B383B"/>
          <w:spacing w:val="-1"/>
          <w:w w:val="110"/>
        </w:rPr>
        <w:t>ally</w:t>
      </w:r>
      <w:r>
        <w:rPr>
          <w:color w:val="3B383B"/>
          <w:spacing w:val="-24"/>
          <w:w w:val="110"/>
        </w:rPr>
        <w:t> </w:t>
      </w:r>
      <w:r>
        <w:rPr>
          <w:color w:val="3B383B"/>
          <w:spacing w:val="-1"/>
          <w:w w:val="110"/>
        </w:rPr>
        <w:t>refer</w:t>
      </w:r>
      <w:r>
        <w:rPr>
          <w:color w:val="3B383B"/>
          <w:spacing w:val="-10"/>
          <w:w w:val="110"/>
        </w:rPr>
        <w:t> </w:t>
      </w:r>
      <w:r>
        <w:rPr>
          <w:color w:val="3B383B"/>
          <w:spacing w:val="-1"/>
          <w:w w:val="110"/>
        </w:rPr>
        <w:t>to</w:t>
      </w:r>
      <w:r>
        <w:rPr>
          <w:color w:val="3B383B"/>
          <w:spacing w:val="14"/>
          <w:w w:val="110"/>
        </w:rPr>
        <w:t> </w:t>
      </w:r>
      <w:r>
        <w:rPr>
          <w:color w:val="3B383B"/>
          <w:spacing w:val="-1"/>
          <w:w w:val="110"/>
        </w:rPr>
        <w:t>two</w:t>
      </w:r>
      <w:r>
        <w:rPr>
          <w:color w:val="3B383B"/>
          <w:spacing w:val="20"/>
          <w:w w:val="110"/>
        </w:rPr>
        <w:t> </w:t>
      </w:r>
      <w:r>
        <w:rPr>
          <w:color w:val="3B383B"/>
          <w:spacing w:val="-1"/>
          <w:w w:val="110"/>
        </w:rPr>
        <w:t>twenty-first century</w:t>
      </w:r>
      <w:r>
        <w:rPr>
          <w:color w:val="3B383B"/>
          <w:spacing w:val="-20"/>
          <w:w w:val="110"/>
        </w:rPr>
        <w:t> </w:t>
      </w:r>
      <w:r>
        <w:rPr>
          <w:color w:val="3B383B"/>
          <w:spacing w:val="-1"/>
          <w:w w:val="110"/>
        </w:rPr>
        <w:t>cases</w:t>
      </w:r>
      <w:r>
        <w:rPr>
          <w:color w:val="3B383B"/>
          <w:spacing w:val="-26"/>
          <w:w w:val="110"/>
        </w:rPr>
        <w:t> </w:t>
      </w:r>
      <w:r>
        <w:rPr>
          <w:color w:val="3B383B"/>
          <w:spacing w:val="-1"/>
          <w:w w:val="110"/>
        </w:rPr>
        <w:t>from</w:t>
      </w:r>
      <w:r>
        <w:rPr>
          <w:color w:val="3B383B"/>
          <w:spacing w:val="-10"/>
          <w:w w:val="110"/>
        </w:rPr>
        <w:t> </w:t>
      </w:r>
      <w:r>
        <w:rPr>
          <w:color w:val="3B383B"/>
          <w:spacing w:val="-1"/>
          <w:w w:val="110"/>
        </w:rPr>
        <w:t>the</w:t>
      </w:r>
      <w:r>
        <w:rPr>
          <w:color w:val="3B383B"/>
          <w:spacing w:val="13"/>
          <w:w w:val="110"/>
        </w:rPr>
        <w:t> </w:t>
      </w:r>
      <w:r>
        <w:rPr>
          <w:color w:val="3B383B"/>
          <w:w w:val="110"/>
        </w:rPr>
        <w:t>United</w:t>
      </w:r>
      <w:r>
        <w:rPr>
          <w:color w:val="3B383B"/>
          <w:spacing w:val="-7"/>
          <w:w w:val="110"/>
        </w:rPr>
        <w:t> </w:t>
      </w:r>
      <w:r>
        <w:rPr>
          <w:color w:val="3B383B"/>
          <w:w w:val="110"/>
        </w:rPr>
        <w:t>States</w:t>
      </w:r>
      <w:r>
        <w:rPr>
          <w:color w:val="3B383B"/>
          <w:spacing w:val="-26"/>
          <w:w w:val="110"/>
        </w:rPr>
        <w:t> </w:t>
      </w:r>
      <w:r>
        <w:rPr>
          <w:color w:val="3B383B"/>
          <w:w w:val="110"/>
        </w:rPr>
        <w:t>Supreme</w:t>
      </w:r>
      <w:r>
        <w:rPr>
          <w:color w:val="3B383B"/>
          <w:spacing w:val="-61"/>
          <w:w w:val="110"/>
        </w:rPr>
        <w:t> </w:t>
      </w:r>
      <w:r>
        <w:rPr>
          <w:color w:val="3B383B"/>
          <w:w w:val="110"/>
        </w:rPr>
        <w:t>Court</w:t>
      </w:r>
      <w:r>
        <w:rPr>
          <w:color w:val="3B383B"/>
          <w:spacing w:val="-3"/>
          <w:w w:val="110"/>
        </w:rPr>
        <w:t> </w:t>
      </w:r>
      <w:r>
        <w:rPr>
          <w:color w:val="3B383B"/>
          <w:w w:val="110"/>
        </w:rPr>
        <w:t>when</w:t>
      </w:r>
      <w:r>
        <w:rPr>
          <w:color w:val="3B383B"/>
          <w:spacing w:val="-3"/>
          <w:w w:val="110"/>
        </w:rPr>
        <w:t> </w:t>
      </w:r>
      <w:r>
        <w:rPr>
          <w:color w:val="3B383B"/>
          <w:w w:val="110"/>
        </w:rPr>
        <w:t>analyzing</w:t>
      </w:r>
      <w:r>
        <w:rPr>
          <w:color w:val="3B383B"/>
          <w:spacing w:val="3"/>
          <w:w w:val="110"/>
        </w:rPr>
        <w:t> </w:t>
      </w:r>
      <w:r>
        <w:rPr>
          <w:color w:val="3B383B"/>
          <w:w w:val="110"/>
        </w:rPr>
        <w:t>motions</w:t>
      </w:r>
      <w:r>
        <w:rPr>
          <w:color w:val="3B383B"/>
          <w:spacing w:val="-8"/>
          <w:w w:val="110"/>
        </w:rPr>
        <w:t> </w:t>
      </w:r>
      <w:r>
        <w:rPr>
          <w:color w:val="3B383B"/>
          <w:w w:val="110"/>
        </w:rPr>
        <w:t>to</w:t>
      </w:r>
      <w:r>
        <w:rPr>
          <w:color w:val="3B383B"/>
          <w:spacing w:val="4"/>
          <w:w w:val="110"/>
        </w:rPr>
        <w:t> </w:t>
      </w:r>
      <w:r>
        <w:rPr>
          <w:color w:val="3B383B"/>
          <w:w w:val="110"/>
        </w:rPr>
        <w:t>dismiss.</w:t>
      </w:r>
    </w:p>
    <w:p>
      <w:pPr>
        <w:pStyle w:val="BodyText"/>
        <w:spacing w:line="232" w:lineRule="auto"/>
        <w:ind w:left="718" w:right="158" w:firstLine="404"/>
        <w:jc w:val="both"/>
      </w:pPr>
      <w:r>
        <w:rPr>
          <w:color w:val="3B383B"/>
          <w:w w:val="110"/>
        </w:rPr>
        <w:t>In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2007, 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United States Supreme Court decided </w:t>
      </w:r>
      <w:r>
        <w:rPr>
          <w:i/>
          <w:color w:val="3B383B"/>
          <w:w w:val="110"/>
          <w:sz w:val="22"/>
        </w:rPr>
        <w:t>Bell Atlantic v.</w:t>
      </w:r>
      <w:r>
        <w:rPr>
          <w:i/>
          <w:color w:val="3B383B"/>
          <w:spacing w:val="1"/>
          <w:w w:val="110"/>
          <w:sz w:val="22"/>
        </w:rPr>
        <w:t> </w:t>
      </w:r>
      <w:r>
        <w:rPr>
          <w:rFonts w:ascii="Arial" w:hAnsi="Arial"/>
          <w:i/>
          <w:color w:val="3B383B"/>
          <w:w w:val="105"/>
          <w:sz w:val="21"/>
        </w:rPr>
        <w:t>Twombly, </w:t>
      </w:r>
      <w:r>
        <w:rPr>
          <w:color w:val="3B383B"/>
          <w:w w:val="105"/>
        </w:rPr>
        <w:t>550 U</w:t>
      </w:r>
      <w:r>
        <w:rPr>
          <w:color w:val="5B595B"/>
          <w:w w:val="105"/>
        </w:rPr>
        <w:t>.</w:t>
      </w:r>
      <w:r>
        <w:rPr>
          <w:color w:val="3B383B"/>
          <w:w w:val="105"/>
        </w:rPr>
        <w:t>S. 544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(2007). In that case</w:t>
      </w:r>
      <w:r>
        <w:rPr>
          <w:color w:val="5B595B"/>
          <w:w w:val="105"/>
        </w:rPr>
        <w:t>, </w:t>
      </w:r>
      <w:r>
        <w:rPr>
          <w:color w:val="3B383B"/>
          <w:w w:val="105"/>
        </w:rPr>
        <w:t>a somewhat complex antitrust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10"/>
        </w:rPr>
        <w:t>cause of action, the Court arguably made the plaintiffs' job a little more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difficult. The Court seemed to require more than mere notice pleading,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holding that while "a complaint attacked by a Rule 12(b)(6) motion to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dismiss does not need detailed factual allegations </w:t>
      </w:r>
      <w:r>
        <w:rPr>
          <w:color w:val="5B595B"/>
          <w:w w:val="175"/>
        </w:rPr>
        <w:t>.</w:t>
      </w:r>
      <w:r>
        <w:rPr>
          <w:color w:val="3B383B"/>
          <w:w w:val="175"/>
        </w:rPr>
        <w:t>.. </w:t>
      </w:r>
      <w:r>
        <w:rPr>
          <w:color w:val="3B383B"/>
          <w:w w:val="110"/>
        </w:rPr>
        <w:t>aplaintiff's obliga­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tion to provide the 'grounds' of his 'entitle[ment] to relief' requires more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than labels and  conclusions, and  a formulaic recitation of  the  elements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05"/>
        </w:rPr>
        <w:t>of a cause of action wiJJ not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do</w:t>
      </w:r>
      <w:r>
        <w:rPr>
          <w:color w:val="5B595B"/>
          <w:w w:val="105"/>
        </w:rPr>
        <w:t>.</w:t>
      </w:r>
      <w:r>
        <w:rPr>
          <w:color w:val="3B383B"/>
          <w:w w:val="105"/>
        </w:rPr>
        <w:t>" </w:t>
      </w:r>
      <w:r>
        <w:rPr>
          <w:i/>
          <w:color w:val="3B383B"/>
          <w:w w:val="105"/>
          <w:sz w:val="22"/>
        </w:rPr>
        <w:t>Id</w:t>
      </w:r>
      <w:r>
        <w:rPr>
          <w:i/>
          <w:color w:val="5B595B"/>
          <w:w w:val="105"/>
          <w:sz w:val="22"/>
        </w:rPr>
        <w:t>. </w:t>
      </w:r>
      <w:r>
        <w:rPr>
          <w:color w:val="3B383B"/>
          <w:w w:val="105"/>
        </w:rPr>
        <w:t>at </w:t>
      </w:r>
      <w:r>
        <w:rPr>
          <w:i/>
          <w:color w:val="3B383B"/>
          <w:w w:val="105"/>
          <w:sz w:val="22"/>
        </w:rPr>
        <w:t>555</w:t>
      </w:r>
      <w:r>
        <w:rPr>
          <w:i/>
          <w:color w:val="3B383B"/>
          <w:spacing w:val="1"/>
          <w:w w:val="105"/>
          <w:sz w:val="22"/>
        </w:rPr>
        <w:t> </w:t>
      </w:r>
      <w:r>
        <w:rPr>
          <w:color w:val="3B383B"/>
          <w:w w:val="105"/>
        </w:rPr>
        <w:t>(citations omitted). The Court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10"/>
        </w:rPr>
        <w:t>noted that "[f]actual allegations must be enough to raise a right to relief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above 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speculative level"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but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that "the assumption" is "that all 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allegations in the complaint are true</w:t>
      </w:r>
      <w:r>
        <w:rPr>
          <w:color w:val="5B595B"/>
          <w:w w:val="110"/>
        </w:rPr>
        <w:t>.</w:t>
      </w:r>
      <w:r>
        <w:rPr>
          <w:color w:val="3B383B"/>
          <w:w w:val="110"/>
        </w:rPr>
        <w:t>" </w:t>
      </w:r>
      <w:r>
        <w:rPr>
          <w:i/>
          <w:color w:val="3B383B"/>
          <w:w w:val="110"/>
          <w:sz w:val="22"/>
        </w:rPr>
        <w:t>Id. </w:t>
      </w:r>
      <w:r>
        <w:rPr>
          <w:color w:val="3B383B"/>
          <w:w w:val="110"/>
        </w:rPr>
        <w:t>(citations omitted). A complaint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must include factual allegations that make its legal allegations not merely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"conceivable,"</w:t>
      </w:r>
      <w:r>
        <w:rPr>
          <w:color w:val="3B383B"/>
          <w:spacing w:val="-30"/>
          <w:w w:val="110"/>
        </w:rPr>
        <w:t> </w:t>
      </w:r>
      <w:r>
        <w:rPr>
          <w:color w:val="3B383B"/>
          <w:w w:val="110"/>
        </w:rPr>
        <w:t>but</w:t>
      </w:r>
      <w:r>
        <w:rPr>
          <w:color w:val="3B383B"/>
          <w:spacing w:val="2"/>
          <w:w w:val="110"/>
        </w:rPr>
        <w:t> </w:t>
      </w:r>
      <w:r>
        <w:rPr>
          <w:color w:val="3B383B"/>
          <w:w w:val="110"/>
        </w:rPr>
        <w:t>"plausible."</w:t>
      </w:r>
      <w:r>
        <w:rPr>
          <w:color w:val="3B383B"/>
          <w:spacing w:val="-3"/>
          <w:w w:val="110"/>
        </w:rPr>
        <w:t> </w:t>
      </w:r>
      <w:r>
        <w:rPr>
          <w:i/>
          <w:color w:val="3B383B"/>
          <w:w w:val="110"/>
          <w:sz w:val="22"/>
        </w:rPr>
        <w:t>Id.</w:t>
      </w:r>
      <w:r>
        <w:rPr>
          <w:i/>
          <w:color w:val="3B383B"/>
          <w:spacing w:val="-8"/>
          <w:w w:val="110"/>
          <w:sz w:val="22"/>
        </w:rPr>
        <w:t> </w:t>
      </w:r>
      <w:r>
        <w:rPr>
          <w:color w:val="3B383B"/>
          <w:w w:val="110"/>
        </w:rPr>
        <w:t>at</w:t>
      </w:r>
      <w:r>
        <w:rPr>
          <w:color w:val="3B383B"/>
          <w:spacing w:val="12"/>
          <w:w w:val="110"/>
        </w:rPr>
        <w:t> </w:t>
      </w:r>
      <w:r>
        <w:rPr>
          <w:color w:val="3B383B"/>
          <w:w w:val="110"/>
        </w:rPr>
        <w:t>570.</w:t>
      </w:r>
    </w:p>
    <w:p>
      <w:pPr>
        <w:pStyle w:val="BodyText"/>
        <w:spacing w:line="235" w:lineRule="auto"/>
        <w:ind w:left="668" w:right="191" w:firstLine="405"/>
        <w:jc w:val="both"/>
      </w:pPr>
      <w:r>
        <w:rPr>
          <w:color w:val="3B383B"/>
          <w:spacing w:val="-1"/>
          <w:w w:val="110"/>
        </w:rPr>
        <w:t>Two</w:t>
      </w:r>
      <w:r>
        <w:rPr>
          <w:color w:val="3B383B"/>
          <w:spacing w:val="-28"/>
          <w:w w:val="110"/>
        </w:rPr>
        <w:t> </w:t>
      </w:r>
      <w:r>
        <w:rPr>
          <w:color w:val="3B383B"/>
          <w:spacing w:val="-1"/>
          <w:w w:val="110"/>
        </w:rPr>
        <w:t>years</w:t>
      </w:r>
      <w:r>
        <w:rPr>
          <w:color w:val="3B383B"/>
          <w:spacing w:val="-13"/>
          <w:w w:val="110"/>
        </w:rPr>
        <w:t> </w:t>
      </w:r>
      <w:r>
        <w:rPr>
          <w:color w:val="3B383B"/>
          <w:w w:val="110"/>
        </w:rPr>
        <w:t>later,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the</w:t>
      </w:r>
      <w:r>
        <w:rPr>
          <w:color w:val="3B383B"/>
          <w:spacing w:val="11"/>
          <w:w w:val="110"/>
        </w:rPr>
        <w:t> </w:t>
      </w:r>
      <w:r>
        <w:rPr>
          <w:color w:val="3B383B"/>
          <w:w w:val="110"/>
        </w:rPr>
        <w:t>Court</w:t>
      </w:r>
      <w:r>
        <w:rPr>
          <w:color w:val="3B383B"/>
          <w:spacing w:val="-25"/>
          <w:w w:val="110"/>
        </w:rPr>
        <w:t> </w:t>
      </w:r>
      <w:r>
        <w:rPr>
          <w:color w:val="3B383B"/>
          <w:w w:val="110"/>
        </w:rPr>
        <w:t>decided</w:t>
      </w:r>
      <w:r>
        <w:rPr>
          <w:color w:val="3B383B"/>
          <w:spacing w:val="-17"/>
          <w:w w:val="110"/>
        </w:rPr>
        <w:t> </w:t>
      </w:r>
      <w:r>
        <w:rPr>
          <w:color w:val="3B383B"/>
          <w:w w:val="110"/>
        </w:rPr>
        <w:t>a</w:t>
      </w:r>
      <w:r>
        <w:rPr>
          <w:color w:val="3B383B"/>
          <w:spacing w:val="-3"/>
          <w:w w:val="110"/>
        </w:rPr>
        <w:t> </w:t>
      </w:r>
      <w:r>
        <w:rPr>
          <w:color w:val="3B383B"/>
          <w:w w:val="110"/>
        </w:rPr>
        <w:t>post-9/11</w:t>
      </w:r>
      <w:r>
        <w:rPr>
          <w:color w:val="3B383B"/>
          <w:spacing w:val="-19"/>
          <w:w w:val="110"/>
        </w:rPr>
        <w:t> </w:t>
      </w:r>
      <w:r>
        <w:rPr>
          <w:color w:val="3B383B"/>
          <w:w w:val="110"/>
        </w:rPr>
        <w:t>anti</w:t>
      </w:r>
      <w:r>
        <w:rPr>
          <w:color w:val="5B595B"/>
          <w:w w:val="110"/>
        </w:rPr>
        <w:t>-</w:t>
      </w:r>
      <w:r>
        <w:rPr>
          <w:color w:val="3B383B"/>
          <w:w w:val="110"/>
        </w:rPr>
        <w:t>discrimination</w:t>
      </w:r>
      <w:r>
        <w:rPr>
          <w:color w:val="3B383B"/>
          <w:spacing w:val="8"/>
          <w:w w:val="110"/>
        </w:rPr>
        <w:t> </w:t>
      </w:r>
      <w:r>
        <w:rPr>
          <w:color w:val="3B383B"/>
          <w:w w:val="110"/>
        </w:rPr>
        <w:t>ca</w:t>
      </w:r>
      <w:r>
        <w:rPr>
          <w:color w:val="5B595B"/>
          <w:w w:val="110"/>
        </w:rPr>
        <w:t>s</w:t>
      </w:r>
      <w:r>
        <w:rPr>
          <w:color w:val="3B383B"/>
          <w:w w:val="110"/>
        </w:rPr>
        <w:t>e,</w:t>
      </w:r>
      <w:r>
        <w:rPr>
          <w:color w:val="3B383B"/>
          <w:spacing w:val="-60"/>
          <w:w w:val="110"/>
        </w:rPr>
        <w:t> </w:t>
      </w:r>
      <w:r>
        <w:rPr>
          <w:i/>
          <w:color w:val="3B383B"/>
          <w:w w:val="105"/>
          <w:sz w:val="22"/>
        </w:rPr>
        <w:t>Ashcroft </w:t>
      </w:r>
      <w:r>
        <w:rPr>
          <w:rFonts w:ascii="Arial"/>
          <w:i/>
          <w:color w:val="3B383B"/>
          <w:w w:val="105"/>
          <w:sz w:val="22"/>
        </w:rPr>
        <w:t>v. </w:t>
      </w:r>
      <w:r>
        <w:rPr>
          <w:i/>
          <w:color w:val="3B383B"/>
          <w:w w:val="105"/>
          <w:sz w:val="22"/>
        </w:rPr>
        <w:t>Iqbal</w:t>
      </w:r>
      <w:r>
        <w:rPr>
          <w:i/>
          <w:color w:val="5B595B"/>
          <w:w w:val="105"/>
          <w:sz w:val="22"/>
        </w:rPr>
        <w:t>, </w:t>
      </w:r>
      <w:r>
        <w:rPr>
          <w:color w:val="3B383B"/>
          <w:w w:val="105"/>
        </w:rPr>
        <w:t>556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U.S. 662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(2009). The Court reaffirmed its decision in</w:t>
      </w:r>
      <w:r>
        <w:rPr>
          <w:color w:val="3B383B"/>
          <w:spacing w:val="1"/>
          <w:w w:val="105"/>
        </w:rPr>
        <w:t> </w:t>
      </w:r>
      <w:r>
        <w:rPr>
          <w:rFonts w:ascii="Arial"/>
          <w:i/>
          <w:color w:val="3B383B"/>
          <w:w w:val="110"/>
          <w:sz w:val="21"/>
        </w:rPr>
        <w:t>Twombly </w:t>
      </w:r>
      <w:r>
        <w:rPr>
          <w:color w:val="3B383B"/>
          <w:w w:val="110"/>
        </w:rPr>
        <w:t>and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articulated a standard that it called "context-specific" and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rooted</w:t>
      </w:r>
      <w:r>
        <w:rPr>
          <w:color w:val="3B383B"/>
          <w:spacing w:val="7"/>
          <w:w w:val="110"/>
        </w:rPr>
        <w:t> </w:t>
      </w:r>
      <w:r>
        <w:rPr>
          <w:color w:val="3B383B"/>
          <w:w w:val="110"/>
        </w:rPr>
        <w:t>in</w:t>
      </w:r>
      <w:r>
        <w:rPr>
          <w:color w:val="3B383B"/>
          <w:spacing w:val="17"/>
          <w:w w:val="110"/>
        </w:rPr>
        <w:t> </w:t>
      </w:r>
      <w:r>
        <w:rPr>
          <w:color w:val="3B383B"/>
          <w:w w:val="110"/>
        </w:rPr>
        <w:t>"judicial</w:t>
      </w:r>
      <w:r>
        <w:rPr>
          <w:color w:val="3B383B"/>
          <w:spacing w:val="-4"/>
          <w:w w:val="110"/>
        </w:rPr>
        <w:t> </w:t>
      </w:r>
      <w:r>
        <w:rPr>
          <w:color w:val="3B383B"/>
          <w:w w:val="110"/>
        </w:rPr>
        <w:t>experience</w:t>
      </w:r>
      <w:r>
        <w:rPr>
          <w:color w:val="3B383B"/>
          <w:spacing w:val="-3"/>
          <w:w w:val="110"/>
        </w:rPr>
        <w:t> </w:t>
      </w:r>
      <w:r>
        <w:rPr>
          <w:color w:val="3B383B"/>
          <w:w w:val="110"/>
        </w:rPr>
        <w:t>and</w:t>
      </w:r>
      <w:r>
        <w:rPr>
          <w:color w:val="3B383B"/>
          <w:spacing w:val="12"/>
          <w:w w:val="110"/>
        </w:rPr>
        <w:t> </w:t>
      </w:r>
      <w:r>
        <w:rPr>
          <w:color w:val="3B383B"/>
          <w:w w:val="110"/>
        </w:rPr>
        <w:t>common</w:t>
      </w:r>
      <w:r>
        <w:rPr>
          <w:color w:val="3B383B"/>
          <w:spacing w:val="-2"/>
          <w:w w:val="110"/>
        </w:rPr>
        <w:t> </w:t>
      </w:r>
      <w:r>
        <w:rPr>
          <w:color w:val="3B383B"/>
          <w:w w:val="110"/>
        </w:rPr>
        <w:t>sense":</w:t>
      </w:r>
    </w:p>
    <w:p>
      <w:pPr>
        <w:spacing w:line="237" w:lineRule="auto" w:before="124"/>
        <w:ind w:left="987" w:right="579" w:firstLine="431"/>
        <w:jc w:val="both"/>
        <w:rPr>
          <w:rFonts w:ascii="Arial" w:hAnsi="Arial"/>
          <w:sz w:val="11"/>
        </w:rPr>
      </w:pPr>
      <w:r>
        <w:rPr>
          <w:color w:val="3B383B"/>
          <w:w w:val="115"/>
          <w:sz w:val="21"/>
        </w:rPr>
        <w:t>(AJ court cons</w:t>
      </w:r>
      <w:r>
        <w:rPr>
          <w:color w:val="5B595B"/>
          <w:w w:val="115"/>
          <w:sz w:val="21"/>
        </w:rPr>
        <w:t>i</w:t>
      </w:r>
      <w:r>
        <w:rPr>
          <w:color w:val="3B383B"/>
          <w:w w:val="115"/>
          <w:sz w:val="21"/>
        </w:rPr>
        <w:t>dering a motion to dismiss can choose to begin </w:t>
      </w:r>
      <w:r>
        <w:rPr>
          <w:rFonts w:ascii="Arial" w:hAnsi="Arial"/>
          <w:i/>
          <w:color w:val="3B383B"/>
          <w:w w:val="115"/>
          <w:sz w:val="19"/>
        </w:rPr>
        <w:t>by</w:t>
      </w:r>
      <w:r>
        <w:rPr>
          <w:rFonts w:ascii="Arial" w:hAnsi="Arial"/>
          <w:i/>
          <w:color w:val="3B383B"/>
          <w:spacing w:val="1"/>
          <w:w w:val="115"/>
          <w:sz w:val="19"/>
        </w:rPr>
        <w:t> </w:t>
      </w:r>
      <w:r>
        <w:rPr>
          <w:color w:val="3B383B"/>
          <w:w w:val="115"/>
          <w:sz w:val="21"/>
        </w:rPr>
        <w:t>identifying pleadings that, because they are no more than conclusions,</w:t>
      </w:r>
      <w:r>
        <w:rPr>
          <w:color w:val="3B383B"/>
          <w:spacing w:val="1"/>
          <w:w w:val="115"/>
          <w:sz w:val="21"/>
        </w:rPr>
        <w:t> </w:t>
      </w:r>
      <w:r>
        <w:rPr>
          <w:color w:val="3B383B"/>
          <w:w w:val="115"/>
          <w:sz w:val="21"/>
        </w:rPr>
        <w:t>are not entitled to the assumption of truth. While legal conclusions can</w:t>
      </w:r>
      <w:r>
        <w:rPr>
          <w:color w:val="3B383B"/>
          <w:spacing w:val="-58"/>
          <w:w w:val="115"/>
          <w:sz w:val="21"/>
        </w:rPr>
        <w:t> </w:t>
      </w:r>
      <w:r>
        <w:rPr>
          <w:color w:val="3B383B"/>
          <w:w w:val="115"/>
          <w:sz w:val="21"/>
        </w:rPr>
        <w:t>provide the framework of a complaint, they must be supported by fac­</w:t>
      </w:r>
      <w:r>
        <w:rPr>
          <w:color w:val="3B383B"/>
          <w:spacing w:val="1"/>
          <w:w w:val="115"/>
          <w:sz w:val="21"/>
        </w:rPr>
        <w:t> </w:t>
      </w:r>
      <w:r>
        <w:rPr>
          <w:color w:val="3B383B"/>
          <w:w w:val="110"/>
          <w:sz w:val="21"/>
        </w:rPr>
        <w:t>tual allegations. When there are well-pleaded factual allegations, a court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should assume their veracity and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then determine whether they plausibly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give</w:t>
      </w:r>
      <w:r>
        <w:rPr>
          <w:color w:val="3B383B"/>
          <w:spacing w:val="-11"/>
          <w:w w:val="110"/>
          <w:sz w:val="21"/>
        </w:rPr>
        <w:t> </w:t>
      </w:r>
      <w:r>
        <w:rPr>
          <w:color w:val="3B383B"/>
          <w:w w:val="110"/>
          <w:sz w:val="21"/>
        </w:rPr>
        <w:t>rise</w:t>
      </w:r>
      <w:r>
        <w:rPr>
          <w:color w:val="3B383B"/>
          <w:spacing w:val="-14"/>
          <w:w w:val="110"/>
          <w:sz w:val="21"/>
        </w:rPr>
        <w:t> </w:t>
      </w:r>
      <w:r>
        <w:rPr>
          <w:color w:val="3B383B"/>
          <w:w w:val="110"/>
          <w:sz w:val="21"/>
        </w:rPr>
        <w:t>to</w:t>
      </w:r>
      <w:r>
        <w:rPr>
          <w:color w:val="3B383B"/>
          <w:spacing w:val="5"/>
          <w:w w:val="110"/>
          <w:sz w:val="21"/>
        </w:rPr>
        <w:t> </w:t>
      </w:r>
      <w:r>
        <w:rPr>
          <w:color w:val="3B383B"/>
          <w:w w:val="110"/>
          <w:sz w:val="21"/>
        </w:rPr>
        <w:t>an</w:t>
      </w:r>
      <w:r>
        <w:rPr>
          <w:color w:val="3B383B"/>
          <w:spacing w:val="8"/>
          <w:w w:val="110"/>
          <w:sz w:val="21"/>
        </w:rPr>
        <w:t> </w:t>
      </w:r>
      <w:r>
        <w:rPr>
          <w:color w:val="3B383B"/>
          <w:w w:val="110"/>
          <w:sz w:val="21"/>
        </w:rPr>
        <w:t>entitlement</w:t>
      </w:r>
      <w:r>
        <w:rPr>
          <w:color w:val="3B383B"/>
          <w:spacing w:val="7"/>
          <w:w w:val="110"/>
          <w:sz w:val="21"/>
        </w:rPr>
        <w:t> </w:t>
      </w:r>
      <w:r>
        <w:rPr>
          <w:color w:val="3B383B"/>
          <w:w w:val="110"/>
          <w:sz w:val="21"/>
        </w:rPr>
        <w:t>to</w:t>
      </w:r>
      <w:r>
        <w:rPr>
          <w:color w:val="3B383B"/>
          <w:spacing w:val="3"/>
          <w:w w:val="110"/>
          <w:sz w:val="21"/>
        </w:rPr>
        <w:t> </w:t>
      </w:r>
      <w:r>
        <w:rPr>
          <w:color w:val="3B383B"/>
          <w:w w:val="110"/>
          <w:sz w:val="21"/>
        </w:rPr>
        <w:t>relief.</w:t>
      </w:r>
      <w:r>
        <w:rPr>
          <w:rFonts w:ascii="Arial" w:hAnsi="Arial"/>
          <w:color w:val="3B383B"/>
          <w:w w:val="110"/>
          <w:position w:val="11"/>
          <w:sz w:val="11"/>
        </w:rPr>
        <w:t>40</w:t>
      </w:r>
    </w:p>
    <w:p>
      <w:pPr>
        <w:pStyle w:val="BodyText"/>
        <w:spacing w:line="235" w:lineRule="auto" w:before="133"/>
        <w:ind w:left="558" w:right="221" w:firstLine="38"/>
        <w:jc w:val="both"/>
      </w:pPr>
      <w:r>
        <w:rPr>
          <w:color w:val="3B383B"/>
          <w:w w:val="115"/>
        </w:rPr>
        <w:t>Although the Court took care to say that a "plausibility" requirement is</w:t>
      </w:r>
      <w:r>
        <w:rPr>
          <w:color w:val="3B383B"/>
          <w:spacing w:val="1"/>
          <w:w w:val="115"/>
        </w:rPr>
        <w:t> </w:t>
      </w:r>
      <w:r>
        <w:rPr>
          <w:color w:val="3B383B"/>
          <w:spacing w:val="-1"/>
          <w:w w:val="115"/>
        </w:rPr>
        <w:t>"not akin to a probability requirement," </w:t>
      </w:r>
      <w:r>
        <w:rPr>
          <w:rFonts w:ascii="Arial"/>
          <w:i/>
          <w:color w:val="3B383B"/>
          <w:w w:val="115"/>
          <w:sz w:val="22"/>
        </w:rPr>
        <w:t>id. </w:t>
      </w:r>
      <w:r>
        <w:rPr>
          <w:color w:val="3B383B"/>
          <w:w w:val="115"/>
        </w:rPr>
        <w:t>at 1949, some commentators</w:t>
      </w:r>
      <w:r>
        <w:rPr>
          <w:color w:val="3B383B"/>
          <w:spacing w:val="1"/>
          <w:w w:val="115"/>
        </w:rPr>
        <w:t> </w:t>
      </w:r>
      <w:r>
        <w:rPr>
          <w:color w:val="3B383B"/>
          <w:spacing w:val="-1"/>
          <w:w w:val="115"/>
        </w:rPr>
        <w:t>are concerned that this standard </w:t>
      </w:r>
      <w:r>
        <w:rPr>
          <w:color w:val="3B383B"/>
          <w:w w:val="115"/>
        </w:rPr>
        <w:t>puts too much of a burden on plaintiffs,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0"/>
        </w:rPr>
        <w:t>arguing that many plaintiffs will be unable to craft a "plausible" complaint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5"/>
        </w:rPr>
        <w:t>without</w:t>
      </w:r>
      <w:r>
        <w:rPr>
          <w:color w:val="3B383B"/>
          <w:spacing w:val="14"/>
          <w:w w:val="115"/>
        </w:rPr>
        <w:t> </w:t>
      </w:r>
      <w:r>
        <w:rPr>
          <w:color w:val="3B383B"/>
          <w:w w:val="115"/>
        </w:rPr>
        <w:t>discovery.</w:t>
      </w:r>
      <w:r>
        <w:rPr>
          <w:color w:val="3B383B"/>
          <w:w w:val="115"/>
          <w:position w:val="7"/>
          <w:sz w:val="13"/>
        </w:rPr>
        <w:t>41</w:t>
      </w:r>
      <w:r>
        <w:rPr>
          <w:color w:val="3B383B"/>
          <w:spacing w:val="7"/>
          <w:w w:val="115"/>
          <w:position w:val="7"/>
          <w:sz w:val="13"/>
        </w:rPr>
        <w:t> </w:t>
      </w:r>
      <w:r>
        <w:rPr>
          <w:color w:val="3B383B"/>
          <w:w w:val="115"/>
        </w:rPr>
        <w:t>In</w:t>
      </w:r>
      <w:r>
        <w:rPr>
          <w:color w:val="3B383B"/>
          <w:spacing w:val="26"/>
          <w:w w:val="115"/>
        </w:rPr>
        <w:t> </w:t>
      </w:r>
      <w:r>
        <w:rPr>
          <w:color w:val="3B383B"/>
          <w:w w:val="115"/>
        </w:rPr>
        <w:t>fact,</w:t>
      </w:r>
      <w:r>
        <w:rPr>
          <w:color w:val="3B383B"/>
          <w:spacing w:val="13"/>
          <w:w w:val="115"/>
        </w:rPr>
        <w:t> </w:t>
      </w:r>
      <w:r>
        <w:rPr>
          <w:color w:val="3B383B"/>
          <w:w w:val="115"/>
        </w:rPr>
        <w:t>in</w:t>
      </w:r>
      <w:r>
        <w:rPr>
          <w:color w:val="3B383B"/>
          <w:spacing w:val="32"/>
          <w:w w:val="115"/>
        </w:rPr>
        <w:t> </w:t>
      </w:r>
      <w:r>
        <w:rPr>
          <w:color w:val="3B383B"/>
          <w:w w:val="115"/>
        </w:rPr>
        <w:t>2009,</w:t>
      </w:r>
      <w:r>
        <w:rPr>
          <w:color w:val="3B383B"/>
          <w:spacing w:val="21"/>
          <w:w w:val="115"/>
        </w:rPr>
        <w:t> </w:t>
      </w:r>
      <w:r>
        <w:rPr>
          <w:color w:val="3B383B"/>
          <w:w w:val="115"/>
        </w:rPr>
        <w:t>the</w:t>
      </w:r>
      <w:r>
        <w:rPr>
          <w:color w:val="3B383B"/>
          <w:spacing w:val="34"/>
          <w:w w:val="115"/>
        </w:rPr>
        <w:t> </w:t>
      </w:r>
      <w:r>
        <w:rPr>
          <w:color w:val="3B383B"/>
          <w:w w:val="115"/>
        </w:rPr>
        <w:t>"Notice</w:t>
      </w:r>
      <w:r>
        <w:rPr>
          <w:color w:val="3B383B"/>
          <w:spacing w:val="7"/>
          <w:w w:val="115"/>
        </w:rPr>
        <w:t> </w:t>
      </w:r>
      <w:r>
        <w:rPr>
          <w:color w:val="3B383B"/>
          <w:w w:val="115"/>
        </w:rPr>
        <w:t>Pleading</w:t>
      </w:r>
      <w:r>
        <w:rPr>
          <w:color w:val="3B383B"/>
          <w:spacing w:val="15"/>
          <w:w w:val="115"/>
        </w:rPr>
        <w:t> </w:t>
      </w:r>
      <w:r>
        <w:rPr>
          <w:color w:val="3B383B"/>
          <w:w w:val="115"/>
        </w:rPr>
        <w:t>Restoration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6"/>
        </w:rPr>
      </w:pPr>
    </w:p>
    <w:p>
      <w:pPr>
        <w:spacing w:line="179" w:lineRule="exact" w:before="1"/>
        <w:ind w:left="886" w:right="0" w:firstLine="0"/>
        <w:jc w:val="both"/>
        <w:rPr>
          <w:sz w:val="18"/>
        </w:rPr>
      </w:pPr>
      <w:r>
        <w:rPr>
          <w:rFonts w:ascii="Arial"/>
          <w:color w:val="3B383B"/>
          <w:w w:val="105"/>
          <w:position w:val="4"/>
          <w:sz w:val="10"/>
        </w:rPr>
        <w:t>40</w:t>
      </w:r>
      <w:r>
        <w:rPr>
          <w:rFonts w:ascii="Arial"/>
          <w:color w:val="3B383B"/>
          <w:spacing w:val="-15"/>
          <w:w w:val="105"/>
          <w:position w:val="4"/>
          <w:sz w:val="10"/>
        </w:rPr>
        <w:t> </w:t>
      </w:r>
      <w:r>
        <w:rPr>
          <w:i/>
          <w:color w:val="3B383B"/>
          <w:w w:val="105"/>
          <w:sz w:val="18"/>
        </w:rPr>
        <w:t>Ashcroft</w:t>
      </w:r>
      <w:r>
        <w:rPr>
          <w:i/>
          <w:color w:val="3B383B"/>
          <w:spacing w:val="2"/>
          <w:w w:val="105"/>
          <w:sz w:val="18"/>
        </w:rPr>
        <w:t> </w:t>
      </w:r>
      <w:r>
        <w:rPr>
          <w:i/>
          <w:color w:val="3B383B"/>
          <w:w w:val="105"/>
          <w:sz w:val="18"/>
        </w:rPr>
        <w:t>v.</w:t>
      </w:r>
      <w:r>
        <w:rPr>
          <w:i/>
          <w:color w:val="3B383B"/>
          <w:spacing w:val="-6"/>
          <w:w w:val="105"/>
          <w:sz w:val="18"/>
        </w:rPr>
        <w:t> </w:t>
      </w:r>
      <w:r>
        <w:rPr>
          <w:i/>
          <w:color w:val="3B383B"/>
          <w:w w:val="105"/>
          <w:sz w:val="18"/>
        </w:rPr>
        <w:t>Iqbal</w:t>
      </w:r>
      <w:r>
        <w:rPr>
          <w:i/>
          <w:color w:val="5B595B"/>
          <w:w w:val="105"/>
          <w:sz w:val="18"/>
        </w:rPr>
        <w:t>,</w:t>
      </w:r>
      <w:r>
        <w:rPr>
          <w:i/>
          <w:color w:val="5B595B"/>
          <w:spacing w:val="31"/>
          <w:w w:val="105"/>
          <w:sz w:val="18"/>
        </w:rPr>
        <w:t> </w:t>
      </w:r>
      <w:r>
        <w:rPr>
          <w:i/>
          <w:color w:val="3B383B"/>
          <w:w w:val="105"/>
          <w:sz w:val="18"/>
        </w:rPr>
        <w:t>556</w:t>
      </w:r>
      <w:r>
        <w:rPr>
          <w:i/>
          <w:color w:val="3B383B"/>
          <w:spacing w:val="34"/>
          <w:w w:val="105"/>
          <w:sz w:val="18"/>
        </w:rPr>
        <w:t> </w:t>
      </w:r>
      <w:r>
        <w:rPr>
          <w:color w:val="3B383B"/>
          <w:w w:val="105"/>
          <w:sz w:val="18"/>
        </w:rPr>
        <w:t>U</w:t>
      </w:r>
      <w:r>
        <w:rPr>
          <w:color w:val="6E6E70"/>
          <w:w w:val="105"/>
          <w:sz w:val="18"/>
        </w:rPr>
        <w:t>.</w:t>
      </w:r>
      <w:r>
        <w:rPr>
          <w:color w:val="3B383B"/>
          <w:w w:val="105"/>
          <w:sz w:val="18"/>
        </w:rPr>
        <w:t>S.</w:t>
      </w:r>
      <w:r>
        <w:rPr>
          <w:color w:val="3B383B"/>
          <w:spacing w:val="6"/>
          <w:w w:val="105"/>
          <w:sz w:val="18"/>
        </w:rPr>
        <w:t> </w:t>
      </w:r>
      <w:r>
        <w:rPr>
          <w:color w:val="3B383B"/>
          <w:w w:val="105"/>
          <w:sz w:val="18"/>
        </w:rPr>
        <w:t>662,</w:t>
      </w:r>
      <w:r>
        <w:rPr>
          <w:color w:val="3B383B"/>
          <w:spacing w:val="-17"/>
          <w:w w:val="105"/>
          <w:sz w:val="18"/>
        </w:rPr>
        <w:t> </w:t>
      </w:r>
      <w:r>
        <w:rPr>
          <w:color w:val="3B383B"/>
          <w:w w:val="105"/>
          <w:sz w:val="18"/>
        </w:rPr>
        <w:t>679</w:t>
      </w:r>
      <w:r>
        <w:rPr>
          <w:color w:val="3B383B"/>
          <w:spacing w:val="-2"/>
          <w:w w:val="105"/>
          <w:sz w:val="18"/>
        </w:rPr>
        <w:t> </w:t>
      </w:r>
      <w:r>
        <w:rPr>
          <w:color w:val="3B383B"/>
          <w:w w:val="105"/>
          <w:sz w:val="18"/>
        </w:rPr>
        <w:t>(2009)</w:t>
      </w:r>
      <w:r>
        <w:rPr>
          <w:color w:val="3B383B"/>
          <w:spacing w:val="5"/>
          <w:w w:val="105"/>
          <w:sz w:val="18"/>
        </w:rPr>
        <w:t> </w:t>
      </w:r>
      <w:r>
        <w:rPr>
          <w:color w:val="3B383B"/>
          <w:w w:val="105"/>
          <w:sz w:val="18"/>
        </w:rPr>
        <w:t>(citation</w:t>
      </w:r>
      <w:r>
        <w:rPr>
          <w:color w:val="3B383B"/>
          <w:spacing w:val="2"/>
          <w:w w:val="105"/>
          <w:sz w:val="18"/>
        </w:rPr>
        <w:t> </w:t>
      </w:r>
      <w:r>
        <w:rPr>
          <w:color w:val="3B383B"/>
          <w:w w:val="105"/>
          <w:sz w:val="18"/>
        </w:rPr>
        <w:t>omitted).</w:t>
      </w:r>
    </w:p>
    <w:p>
      <w:pPr>
        <w:spacing w:line="239" w:lineRule="exact" w:before="0"/>
        <w:ind w:left="867" w:right="0" w:firstLine="0"/>
        <w:jc w:val="both"/>
        <w:rPr>
          <w:sz w:val="18"/>
        </w:rPr>
      </w:pPr>
      <w:r>
        <w:rPr>
          <w:color w:val="3B383B"/>
          <w:w w:val="105"/>
          <w:sz w:val="18"/>
        </w:rPr>
        <w:t>••Edward</w:t>
      </w:r>
      <w:r>
        <w:rPr>
          <w:color w:val="3B383B"/>
          <w:spacing w:val="9"/>
          <w:w w:val="105"/>
          <w:sz w:val="18"/>
        </w:rPr>
        <w:t> </w:t>
      </w:r>
      <w:r>
        <w:rPr>
          <w:color w:val="3B383B"/>
          <w:w w:val="105"/>
          <w:sz w:val="18"/>
        </w:rPr>
        <w:t>A</w:t>
      </w:r>
      <w:r>
        <w:rPr>
          <w:color w:val="5B595B"/>
          <w:w w:val="105"/>
          <w:sz w:val="18"/>
        </w:rPr>
        <w:t>.</w:t>
      </w:r>
      <w:r>
        <w:rPr>
          <w:color w:val="5B595B"/>
          <w:spacing w:val="13"/>
          <w:w w:val="105"/>
          <w:sz w:val="18"/>
        </w:rPr>
        <w:t> </w:t>
      </w:r>
      <w:r>
        <w:rPr>
          <w:color w:val="3B383B"/>
          <w:w w:val="105"/>
          <w:sz w:val="18"/>
        </w:rPr>
        <w:t>Hartnett,</w:t>
      </w:r>
      <w:r>
        <w:rPr>
          <w:color w:val="3B383B"/>
          <w:spacing w:val="-15"/>
          <w:w w:val="105"/>
          <w:sz w:val="18"/>
        </w:rPr>
        <w:t> </w:t>
      </w:r>
      <w:r>
        <w:rPr>
          <w:rFonts w:ascii="Arial" w:hAnsi="Arial"/>
          <w:i/>
          <w:color w:val="3B383B"/>
          <w:w w:val="105"/>
          <w:sz w:val="16"/>
        </w:rPr>
        <w:t>Taming</w:t>
      </w:r>
      <w:r>
        <w:rPr>
          <w:rFonts w:ascii="Arial" w:hAnsi="Arial"/>
          <w:i/>
          <w:color w:val="3B383B"/>
          <w:spacing w:val="-7"/>
          <w:w w:val="105"/>
          <w:sz w:val="16"/>
        </w:rPr>
        <w:t> </w:t>
      </w:r>
      <w:r>
        <w:rPr>
          <w:color w:val="3B383B"/>
          <w:w w:val="105"/>
          <w:sz w:val="18"/>
        </w:rPr>
        <w:t>Twombly,</w:t>
      </w:r>
      <w:r>
        <w:rPr>
          <w:color w:val="3B383B"/>
          <w:spacing w:val="-14"/>
          <w:w w:val="105"/>
          <w:sz w:val="18"/>
        </w:rPr>
        <w:t> </w:t>
      </w:r>
      <w:r>
        <w:rPr>
          <w:rFonts w:ascii="Arial" w:hAnsi="Arial"/>
          <w:i/>
          <w:color w:val="3B383B"/>
          <w:w w:val="105"/>
          <w:sz w:val="16"/>
        </w:rPr>
        <w:t>£ven</w:t>
      </w:r>
      <w:r>
        <w:rPr>
          <w:rFonts w:ascii="Arial" w:hAnsi="Arial"/>
          <w:i/>
          <w:color w:val="3B383B"/>
          <w:spacing w:val="-18"/>
          <w:w w:val="105"/>
          <w:sz w:val="16"/>
        </w:rPr>
        <w:t> </w:t>
      </w:r>
      <w:r>
        <w:rPr>
          <w:rFonts w:ascii="Arial" w:hAnsi="Arial"/>
          <w:i/>
          <w:color w:val="3B383B"/>
          <w:w w:val="105"/>
          <w:sz w:val="16"/>
        </w:rPr>
        <w:t>After</w:t>
      </w:r>
      <w:r>
        <w:rPr>
          <w:rFonts w:ascii="Arial" w:hAnsi="Arial"/>
          <w:i/>
          <w:color w:val="3B383B"/>
          <w:spacing w:val="10"/>
          <w:w w:val="105"/>
          <w:sz w:val="16"/>
        </w:rPr>
        <w:t> </w:t>
      </w:r>
      <w:r>
        <w:rPr>
          <w:color w:val="3B383B"/>
          <w:w w:val="105"/>
          <w:sz w:val="18"/>
        </w:rPr>
        <w:t>Iqbal</w:t>
      </w:r>
      <w:r>
        <w:rPr>
          <w:color w:val="5B595B"/>
          <w:w w:val="105"/>
          <w:sz w:val="18"/>
        </w:rPr>
        <w:t>,</w:t>
      </w:r>
      <w:r>
        <w:rPr>
          <w:color w:val="5B595B"/>
          <w:spacing w:val="26"/>
          <w:w w:val="105"/>
          <w:sz w:val="18"/>
        </w:rPr>
        <w:t> </w:t>
      </w:r>
      <w:r>
        <w:rPr>
          <w:color w:val="3B383B"/>
          <w:w w:val="105"/>
          <w:position w:val="6"/>
          <w:sz w:val="18"/>
        </w:rPr>
        <w:t>158</w:t>
      </w:r>
      <w:r>
        <w:rPr>
          <w:color w:val="3B383B"/>
          <w:spacing w:val="25"/>
          <w:w w:val="105"/>
          <w:position w:val="6"/>
          <w:sz w:val="18"/>
        </w:rPr>
        <w:t> </w:t>
      </w:r>
      <w:r>
        <w:rPr>
          <w:color w:val="3B383B"/>
          <w:w w:val="105"/>
          <w:sz w:val="18"/>
        </w:rPr>
        <w:t>U.</w:t>
      </w:r>
      <w:r>
        <w:rPr>
          <w:color w:val="3B383B"/>
          <w:spacing w:val="-5"/>
          <w:w w:val="105"/>
          <w:sz w:val="18"/>
        </w:rPr>
        <w:t> </w:t>
      </w:r>
      <w:r>
        <w:rPr>
          <w:color w:val="3B383B"/>
          <w:w w:val="105"/>
          <w:sz w:val="18"/>
        </w:rPr>
        <w:t>Pa.</w:t>
      </w:r>
      <w:r>
        <w:rPr>
          <w:color w:val="3B383B"/>
          <w:spacing w:val="-15"/>
          <w:w w:val="105"/>
          <w:sz w:val="18"/>
        </w:rPr>
        <w:t> </w:t>
      </w:r>
      <w:r>
        <w:rPr>
          <w:rFonts w:ascii="Arial" w:hAnsi="Arial"/>
          <w:color w:val="3B383B"/>
          <w:w w:val="105"/>
          <w:sz w:val="17"/>
        </w:rPr>
        <w:t>L.</w:t>
      </w:r>
      <w:r>
        <w:rPr>
          <w:rFonts w:ascii="Arial" w:hAnsi="Arial"/>
          <w:color w:val="3B383B"/>
          <w:spacing w:val="9"/>
          <w:w w:val="105"/>
          <w:sz w:val="17"/>
        </w:rPr>
        <w:t> </w:t>
      </w:r>
      <w:r>
        <w:rPr>
          <w:color w:val="3B383B"/>
          <w:w w:val="105"/>
          <w:sz w:val="18"/>
        </w:rPr>
        <w:t>Rev</w:t>
      </w:r>
      <w:r>
        <w:rPr>
          <w:color w:val="5B595B"/>
          <w:w w:val="105"/>
          <w:sz w:val="18"/>
        </w:rPr>
        <w:t>.</w:t>
      </w:r>
      <w:r>
        <w:rPr>
          <w:color w:val="5B595B"/>
          <w:spacing w:val="12"/>
          <w:w w:val="105"/>
          <w:sz w:val="18"/>
        </w:rPr>
        <w:t> </w:t>
      </w:r>
      <w:r>
        <w:rPr>
          <w:color w:val="3B383B"/>
          <w:w w:val="105"/>
          <w:sz w:val="18"/>
        </w:rPr>
        <w:t>473,</w:t>
      </w:r>
      <w:r>
        <w:rPr>
          <w:color w:val="3B383B"/>
          <w:spacing w:val="2"/>
          <w:w w:val="105"/>
          <w:sz w:val="18"/>
        </w:rPr>
        <w:t> </w:t>
      </w:r>
      <w:r>
        <w:rPr>
          <w:color w:val="3B383B"/>
          <w:w w:val="105"/>
          <w:sz w:val="18"/>
        </w:rPr>
        <w:t>474</w:t>
      </w:r>
      <w:r>
        <w:rPr>
          <w:color w:val="3B383B"/>
          <w:spacing w:val="11"/>
          <w:w w:val="105"/>
          <w:sz w:val="18"/>
        </w:rPr>
        <w:t> </w:t>
      </w:r>
      <w:r>
        <w:rPr>
          <w:color w:val="3B383B"/>
          <w:w w:val="105"/>
          <w:sz w:val="18"/>
        </w:rPr>
        <w:t>(2010).</w:t>
      </w:r>
    </w:p>
    <w:p>
      <w:pPr>
        <w:spacing w:after="0" w:line="239" w:lineRule="exact"/>
        <w:jc w:val="both"/>
        <w:rPr>
          <w:sz w:val="18"/>
        </w:rPr>
        <w:sectPr>
          <w:headerReference w:type="even" r:id="rId50"/>
          <w:headerReference w:type="default" r:id="rId51"/>
          <w:pgSz w:w="9840" w:h="13790"/>
          <w:pgMar w:header="467" w:footer="0" w:top="680" w:bottom="0" w:left="1360" w:right="40"/>
          <w:pgNumType w:start="26"/>
        </w:sectPr>
      </w:pPr>
    </w:p>
    <w:p>
      <w:pPr>
        <w:pStyle w:val="BodyText"/>
        <w:spacing w:line="235" w:lineRule="auto" w:before="85"/>
        <w:ind w:left="137" w:right="346" w:hanging="10"/>
        <w:jc w:val="both"/>
      </w:pPr>
      <w:r>
        <w:rPr>
          <w:color w:val="3B383B"/>
          <w:w w:val="110"/>
        </w:rPr>
        <w:t>Act" was introduced in Congress to restore the </w:t>
      </w:r>
      <w:r>
        <w:rPr>
          <w:rFonts w:ascii="Arial"/>
          <w:i/>
          <w:color w:val="3B383B"/>
          <w:w w:val="110"/>
          <w:sz w:val="20"/>
        </w:rPr>
        <w:t>pre-Twombly </w:t>
      </w:r>
      <w:r>
        <w:rPr>
          <w:color w:val="3B383B"/>
          <w:w w:val="110"/>
        </w:rPr>
        <w:t>standard of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review.</w:t>
      </w:r>
      <w:r>
        <w:rPr>
          <w:color w:val="3B383B"/>
          <w:w w:val="110"/>
          <w:vertAlign w:val="superscript"/>
        </w:rPr>
        <w:t>42</w:t>
      </w:r>
      <w:r>
        <w:rPr>
          <w:color w:val="3B383B"/>
          <w:spacing w:val="-9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Currently,</w:t>
      </w:r>
      <w:r>
        <w:rPr>
          <w:color w:val="3B383B"/>
          <w:spacing w:val="3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however,</w:t>
      </w:r>
      <w:r>
        <w:rPr>
          <w:color w:val="3B383B"/>
          <w:spacing w:val="3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the</w:t>
      </w:r>
      <w:r>
        <w:rPr>
          <w:color w:val="3B383B"/>
          <w:spacing w:val="23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new</w:t>
      </w:r>
      <w:r>
        <w:rPr>
          <w:color w:val="3B383B"/>
          <w:spacing w:val="8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standards</w:t>
      </w:r>
      <w:r>
        <w:rPr>
          <w:color w:val="3B383B"/>
          <w:spacing w:val="-8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are</w:t>
      </w:r>
      <w:r>
        <w:rPr>
          <w:color w:val="3B383B"/>
          <w:spacing w:val="-12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the</w:t>
      </w:r>
      <w:r>
        <w:rPr>
          <w:color w:val="3B383B"/>
          <w:spacing w:val="14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law.</w:t>
      </w:r>
    </w:p>
    <w:p>
      <w:pPr>
        <w:pStyle w:val="BodyText"/>
        <w:spacing w:line="232" w:lineRule="auto" w:before="4"/>
        <w:ind w:left="117" w:right="304" w:firstLine="366"/>
        <w:jc w:val="both"/>
      </w:pPr>
      <w:r>
        <w:rPr>
          <w:color w:val="3B383B"/>
          <w:w w:val="110"/>
        </w:rPr>
        <w:t>Accordingly, the careful pleader will be sure to make the complaint's</w:t>
      </w:r>
      <w:r>
        <w:rPr>
          <w:color w:val="3B383B"/>
          <w:spacing w:val="1"/>
          <w:w w:val="110"/>
        </w:rPr>
        <w:t> </w:t>
      </w:r>
      <w:r>
        <w:rPr>
          <w:color w:val="3B383B"/>
          <w:spacing w:val="-1"/>
          <w:w w:val="110"/>
        </w:rPr>
        <w:t>allegations</w:t>
      </w:r>
      <w:r>
        <w:rPr>
          <w:color w:val="3B383B"/>
          <w:spacing w:val="-25"/>
          <w:w w:val="110"/>
        </w:rPr>
        <w:t> </w:t>
      </w:r>
      <w:r>
        <w:rPr>
          <w:color w:val="3B383B"/>
          <w:spacing w:val="-1"/>
          <w:w w:val="110"/>
        </w:rPr>
        <w:t>as</w:t>
      </w:r>
      <w:r>
        <w:rPr>
          <w:color w:val="3B383B"/>
          <w:spacing w:val="-13"/>
          <w:w w:val="110"/>
        </w:rPr>
        <w:t> </w:t>
      </w:r>
      <w:r>
        <w:rPr>
          <w:color w:val="3B383B"/>
          <w:spacing w:val="-1"/>
          <w:w w:val="110"/>
        </w:rPr>
        <w:t>fact-specific</w:t>
      </w:r>
      <w:r>
        <w:rPr>
          <w:color w:val="3B383B"/>
          <w:spacing w:val="-10"/>
          <w:w w:val="110"/>
        </w:rPr>
        <w:t> </w:t>
      </w:r>
      <w:r>
        <w:rPr>
          <w:color w:val="3B383B"/>
          <w:w w:val="110"/>
        </w:rPr>
        <w:t>as</w:t>
      </w:r>
      <w:r>
        <w:rPr>
          <w:color w:val="3B383B"/>
          <w:spacing w:val="3"/>
          <w:w w:val="110"/>
        </w:rPr>
        <w:t> </w:t>
      </w:r>
      <w:r>
        <w:rPr>
          <w:color w:val="3B383B"/>
          <w:w w:val="110"/>
        </w:rPr>
        <w:t>possible.</w:t>
      </w:r>
      <w:r>
        <w:rPr>
          <w:color w:val="3B383B"/>
          <w:spacing w:val="-13"/>
          <w:w w:val="110"/>
        </w:rPr>
        <w:t> </w:t>
      </w:r>
      <w:r>
        <w:rPr>
          <w:color w:val="3B383B"/>
          <w:w w:val="110"/>
        </w:rPr>
        <w:t>Even</w:t>
      </w:r>
      <w:r>
        <w:rPr>
          <w:color w:val="3B383B"/>
          <w:spacing w:val="-14"/>
          <w:w w:val="110"/>
        </w:rPr>
        <w:t> </w:t>
      </w:r>
      <w:r>
        <w:rPr>
          <w:color w:val="3B383B"/>
          <w:w w:val="110"/>
        </w:rPr>
        <w:t>after</w:t>
      </w:r>
      <w:r>
        <w:rPr>
          <w:color w:val="3B383B"/>
          <w:spacing w:val="-33"/>
          <w:w w:val="110"/>
        </w:rPr>
        <w:t> </w:t>
      </w:r>
      <w:r>
        <w:rPr>
          <w:rFonts w:ascii="Arial" w:hAnsi="Arial"/>
          <w:i/>
          <w:color w:val="3B383B"/>
          <w:w w:val="110"/>
          <w:sz w:val="20"/>
        </w:rPr>
        <w:t>Twombly</w:t>
      </w:r>
      <w:r>
        <w:rPr>
          <w:rFonts w:ascii="Arial" w:hAnsi="Arial"/>
          <w:i/>
          <w:color w:val="3B383B"/>
          <w:spacing w:val="-9"/>
          <w:w w:val="110"/>
          <w:sz w:val="20"/>
        </w:rPr>
        <w:t> </w:t>
      </w:r>
      <w:r>
        <w:rPr>
          <w:color w:val="3B383B"/>
          <w:w w:val="110"/>
        </w:rPr>
        <w:t>and</w:t>
      </w:r>
      <w:r>
        <w:rPr>
          <w:color w:val="3B383B"/>
          <w:spacing w:val="-2"/>
          <w:w w:val="110"/>
        </w:rPr>
        <w:t> </w:t>
      </w:r>
      <w:r>
        <w:rPr>
          <w:rFonts w:ascii="Arial" w:hAnsi="Arial"/>
          <w:i/>
          <w:color w:val="3B383B"/>
          <w:w w:val="110"/>
          <w:sz w:val="20"/>
        </w:rPr>
        <w:t>Iqbal,</w:t>
      </w:r>
      <w:r>
        <w:rPr>
          <w:rFonts w:ascii="Arial" w:hAnsi="Arial"/>
          <w:i/>
          <w:color w:val="3B383B"/>
          <w:spacing w:val="-30"/>
          <w:w w:val="110"/>
          <w:sz w:val="20"/>
        </w:rPr>
        <w:t> </w:t>
      </w:r>
      <w:r>
        <w:rPr>
          <w:color w:val="3B383B"/>
          <w:w w:val="110"/>
        </w:rPr>
        <w:t>courts</w:t>
      </w:r>
      <w:r>
        <w:rPr>
          <w:color w:val="3B383B"/>
          <w:spacing w:val="-60"/>
          <w:w w:val="110"/>
        </w:rPr>
        <w:t> </w:t>
      </w:r>
      <w:r>
        <w:rPr>
          <w:color w:val="3B383B"/>
          <w:w w:val="110"/>
        </w:rPr>
        <w:t>will construe the factual allegations as true. But if 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court can be con­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vinced that the plaintiff cannot plausibly establish a set of facts that will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entitle him or her to relief-either because the  law does not  apply to that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set of facts or because the set of facts alleged is too speculative, incom­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plete, or  implausible-the court will dismiss the  complaint before  trial,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and</w:t>
      </w:r>
      <w:r>
        <w:rPr>
          <w:color w:val="3B383B"/>
          <w:spacing w:val="8"/>
          <w:w w:val="110"/>
        </w:rPr>
        <w:t> </w:t>
      </w:r>
      <w:r>
        <w:rPr>
          <w:color w:val="3B383B"/>
          <w:w w:val="110"/>
        </w:rPr>
        <w:t>often</w:t>
      </w:r>
      <w:r>
        <w:rPr>
          <w:color w:val="3B383B"/>
          <w:spacing w:val="4"/>
          <w:w w:val="110"/>
        </w:rPr>
        <w:t> </w:t>
      </w:r>
      <w:r>
        <w:rPr>
          <w:color w:val="3B383B"/>
          <w:w w:val="110"/>
        </w:rPr>
        <w:t>before</w:t>
      </w:r>
      <w:r>
        <w:rPr>
          <w:color w:val="3B383B"/>
          <w:spacing w:val="-14"/>
          <w:w w:val="110"/>
        </w:rPr>
        <w:t> </w:t>
      </w:r>
      <w:r>
        <w:rPr>
          <w:color w:val="3B383B"/>
          <w:w w:val="110"/>
        </w:rPr>
        <w:t>significant</w:t>
      </w:r>
      <w:r>
        <w:rPr>
          <w:color w:val="3B383B"/>
          <w:spacing w:val="7"/>
          <w:w w:val="110"/>
        </w:rPr>
        <w:t> </w:t>
      </w:r>
      <w:r>
        <w:rPr>
          <w:color w:val="3B383B"/>
          <w:w w:val="110"/>
        </w:rPr>
        <w:t>discovery</w:t>
      </w:r>
      <w:r>
        <w:rPr>
          <w:color w:val="3B383B"/>
          <w:spacing w:val="-4"/>
          <w:w w:val="110"/>
        </w:rPr>
        <w:t> </w:t>
      </w:r>
      <w:r>
        <w:rPr>
          <w:color w:val="3B383B"/>
          <w:w w:val="110"/>
        </w:rPr>
        <w:t>has</w:t>
      </w:r>
      <w:r>
        <w:rPr>
          <w:color w:val="3B383B"/>
          <w:spacing w:val="-2"/>
          <w:w w:val="110"/>
        </w:rPr>
        <w:t> </w:t>
      </w:r>
      <w:r>
        <w:rPr>
          <w:color w:val="3B383B"/>
          <w:w w:val="110"/>
        </w:rPr>
        <w:t>occurred.</w:t>
      </w:r>
    </w:p>
    <w:p>
      <w:pPr>
        <w:pStyle w:val="BodyText"/>
        <w:spacing w:before="1"/>
        <w:rPr>
          <w:sz w:val="32"/>
        </w:rPr>
      </w:pPr>
    </w:p>
    <w:p>
      <w:pPr>
        <w:spacing w:before="0"/>
        <w:ind w:left="497" w:right="0" w:firstLine="0"/>
        <w:jc w:val="left"/>
        <w:rPr>
          <w:rFonts w:ascii="Arial"/>
          <w:b/>
          <w:sz w:val="29"/>
        </w:rPr>
      </w:pPr>
      <w:r>
        <w:rPr>
          <w:rFonts w:ascii="Arial"/>
          <w:b/>
          <w:color w:val="3B383B"/>
          <w:w w:val="105"/>
          <w:sz w:val="29"/>
        </w:rPr>
        <w:t>2.4.2</w:t>
      </w:r>
    </w:p>
    <w:p>
      <w:pPr>
        <w:spacing w:before="32"/>
        <w:ind w:left="510" w:right="0" w:firstLine="0"/>
        <w:jc w:val="left"/>
        <w:rPr>
          <w:b/>
          <w:sz w:val="24"/>
        </w:rPr>
      </w:pPr>
      <w:r>
        <w:rPr>
          <w:b/>
          <w:color w:val="3B383B"/>
          <w:w w:val="95"/>
          <w:sz w:val="24"/>
        </w:rPr>
        <w:t>MOTIONS</w:t>
      </w:r>
      <w:r>
        <w:rPr>
          <w:b/>
          <w:color w:val="3B383B"/>
          <w:spacing w:val="19"/>
          <w:w w:val="95"/>
          <w:sz w:val="24"/>
        </w:rPr>
        <w:t> </w:t>
      </w:r>
      <w:r>
        <w:rPr>
          <w:b/>
          <w:color w:val="3B383B"/>
          <w:w w:val="95"/>
          <w:sz w:val="24"/>
        </w:rPr>
        <w:t>FOR</w:t>
      </w:r>
      <w:r>
        <w:rPr>
          <w:b/>
          <w:color w:val="3B383B"/>
          <w:spacing w:val="12"/>
          <w:w w:val="95"/>
          <w:sz w:val="24"/>
        </w:rPr>
        <w:t> </w:t>
      </w:r>
      <w:r>
        <w:rPr>
          <w:b/>
          <w:color w:val="3B383B"/>
          <w:w w:val="95"/>
          <w:sz w:val="24"/>
        </w:rPr>
        <w:t>SUMMARY</w:t>
      </w:r>
      <w:r>
        <w:rPr>
          <w:b/>
          <w:color w:val="3B383B"/>
          <w:spacing w:val="19"/>
          <w:w w:val="95"/>
          <w:sz w:val="24"/>
        </w:rPr>
        <w:t> </w:t>
      </w:r>
      <w:r>
        <w:rPr>
          <w:b/>
          <w:color w:val="3B383B"/>
          <w:w w:val="95"/>
          <w:sz w:val="24"/>
        </w:rPr>
        <w:t>JUDGMENT</w:t>
      </w:r>
    </w:p>
    <w:p>
      <w:pPr>
        <w:pStyle w:val="BodyText"/>
        <w:spacing w:line="235" w:lineRule="auto" w:before="152"/>
        <w:ind w:left="120" w:right="199" w:firstLine="358"/>
        <w:jc w:val="both"/>
      </w:pPr>
      <w:r>
        <w:rPr>
          <w:color w:val="3B383B"/>
          <w:w w:val="110"/>
        </w:rPr>
        <w:t>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standard of review for a motion for summary judgment is more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complicated than the standard for a motion to dismiss. Like a motion to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dismiss, a motion for summary judgment may be granted or denied based</w:t>
      </w:r>
      <w:r>
        <w:rPr>
          <w:color w:val="3B383B"/>
          <w:spacing w:val="1"/>
          <w:w w:val="110"/>
        </w:rPr>
        <w:t> </w:t>
      </w:r>
      <w:r>
        <w:rPr>
          <w:color w:val="3B383B"/>
          <w:spacing w:val="-1"/>
          <w:w w:val="110"/>
        </w:rPr>
        <w:t>on issues </w:t>
      </w:r>
      <w:r>
        <w:rPr>
          <w:color w:val="3B383B"/>
          <w:w w:val="110"/>
        </w:rPr>
        <w:t>of fact, issues of law, or both. The plain language of Federal Rule</w:t>
      </w:r>
      <w:r>
        <w:rPr>
          <w:color w:val="3B383B"/>
          <w:spacing w:val="-61"/>
          <w:w w:val="110"/>
        </w:rPr>
        <w:t> </w:t>
      </w:r>
      <w:r>
        <w:rPr>
          <w:color w:val="3B383B"/>
          <w:w w:val="110"/>
        </w:rPr>
        <w:t>of Civil Procedure 56(c) indicates that the motion should be granted when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the evidence shows that there is "no genuine issue as to any material fact"</w:t>
      </w:r>
      <w:r>
        <w:rPr>
          <w:color w:val="3B383B"/>
          <w:spacing w:val="1"/>
          <w:w w:val="110"/>
        </w:rPr>
        <w:t> </w:t>
      </w:r>
      <w:r>
        <w:rPr>
          <w:rFonts w:ascii="Arial" w:hAnsi="Arial"/>
          <w:i/>
          <w:color w:val="3B383B"/>
          <w:w w:val="110"/>
          <w:sz w:val="20"/>
        </w:rPr>
        <w:t>and </w:t>
      </w:r>
      <w:r>
        <w:rPr>
          <w:color w:val="3B383B"/>
          <w:w w:val="110"/>
        </w:rPr>
        <w:t>"the moving party is entitled to a  judgment as a matter of law." In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1986, however, 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United States Supreme Court decided three summary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judgment cases that created some initial controversy regarding the stan­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dard of review for a motion for summary judgment.</w:t>
      </w:r>
      <w:r>
        <w:rPr>
          <w:rFonts w:ascii="Arial" w:hAnsi="Arial"/>
          <w:color w:val="3B383B"/>
          <w:w w:val="110"/>
          <w:position w:val="9"/>
          <w:sz w:val="12"/>
        </w:rPr>
        <w:t>43</w:t>
      </w:r>
      <w:r>
        <w:rPr>
          <w:rFonts w:ascii="Arial" w:hAnsi="Arial"/>
          <w:color w:val="3B383B"/>
          <w:spacing w:val="1"/>
          <w:w w:val="110"/>
          <w:position w:val="9"/>
          <w:sz w:val="12"/>
        </w:rPr>
        <w:t> </w:t>
      </w:r>
      <w:r>
        <w:rPr>
          <w:color w:val="3B383B"/>
          <w:w w:val="110"/>
        </w:rPr>
        <w:t>The guidelines from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these cases, which many state courts have adopted, indicate that a motion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for summary judgment requires the nonmoving party to produce substan­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tial evidence on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any issue for which that party bears the burden of pro­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duction at  trial.</w:t>
      </w:r>
      <w:r>
        <w:rPr>
          <w:color w:val="3B383B"/>
          <w:w w:val="110"/>
          <w:position w:val="10"/>
          <w:sz w:val="12"/>
        </w:rPr>
        <w:t>44</w:t>
      </w:r>
      <w:r>
        <w:rPr>
          <w:color w:val="3B383B"/>
          <w:spacing w:val="34"/>
          <w:w w:val="110"/>
          <w:position w:val="10"/>
          <w:sz w:val="12"/>
        </w:rPr>
        <w:t> </w:t>
      </w:r>
      <w:r>
        <w:rPr>
          <w:color w:val="3B383B"/>
          <w:w w:val="110"/>
        </w:rPr>
        <w:t>Perhaps obviously,  the  motion  for summary  judgment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is usually filed after discovery has begun, and sometimes after substantial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discovery has been completed. In the alternative, some attorneys use this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type of motion to force the other party to bring forth evidence, moving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discovery</w:t>
      </w:r>
      <w:r>
        <w:rPr>
          <w:color w:val="3B383B"/>
          <w:spacing w:val="-2"/>
          <w:w w:val="110"/>
        </w:rPr>
        <w:t> </w:t>
      </w:r>
      <w:r>
        <w:rPr>
          <w:color w:val="3B383B"/>
          <w:w w:val="110"/>
        </w:rPr>
        <w:t>in</w:t>
      </w:r>
      <w:r>
        <w:rPr>
          <w:color w:val="3B383B"/>
          <w:spacing w:val="24"/>
          <w:w w:val="110"/>
        </w:rPr>
        <w:t> </w:t>
      </w:r>
      <w:r>
        <w:rPr>
          <w:color w:val="3B383B"/>
          <w:w w:val="110"/>
        </w:rPr>
        <w:t>a</w:t>
      </w:r>
      <w:r>
        <w:rPr>
          <w:color w:val="3B383B"/>
          <w:spacing w:val="19"/>
          <w:w w:val="110"/>
        </w:rPr>
        <w:t> </w:t>
      </w:r>
      <w:r>
        <w:rPr>
          <w:color w:val="3B383B"/>
          <w:w w:val="110"/>
        </w:rPr>
        <w:t>particular</w:t>
      </w:r>
      <w:r>
        <w:rPr>
          <w:color w:val="3B383B"/>
          <w:spacing w:val="7"/>
          <w:w w:val="110"/>
        </w:rPr>
        <w:t> </w:t>
      </w:r>
      <w:r>
        <w:rPr>
          <w:color w:val="3B383B"/>
          <w:w w:val="110"/>
        </w:rPr>
        <w:t>direction.</w:t>
      </w:r>
    </w:p>
    <w:p>
      <w:pPr>
        <w:pStyle w:val="BodyText"/>
        <w:spacing w:line="232" w:lineRule="auto"/>
        <w:ind w:left="136" w:right="164" w:firstLine="365"/>
        <w:jc w:val="both"/>
      </w:pPr>
      <w:r>
        <w:rPr>
          <w:color w:val="3B383B"/>
          <w:spacing w:val="-1"/>
          <w:w w:val="115"/>
        </w:rPr>
        <w:t>Many</w:t>
      </w:r>
      <w:r>
        <w:rPr>
          <w:color w:val="3B383B"/>
          <w:spacing w:val="-18"/>
          <w:w w:val="115"/>
        </w:rPr>
        <w:t> </w:t>
      </w:r>
      <w:r>
        <w:rPr>
          <w:color w:val="3B383B"/>
          <w:spacing w:val="-1"/>
          <w:w w:val="115"/>
        </w:rPr>
        <w:t>complaints</w:t>
      </w:r>
      <w:r>
        <w:rPr>
          <w:color w:val="3B383B"/>
          <w:spacing w:val="-16"/>
          <w:w w:val="115"/>
        </w:rPr>
        <w:t> </w:t>
      </w:r>
      <w:r>
        <w:rPr>
          <w:color w:val="3B383B"/>
          <w:spacing w:val="-1"/>
          <w:w w:val="115"/>
        </w:rPr>
        <w:t>allege</w:t>
      </w:r>
      <w:r>
        <w:rPr>
          <w:color w:val="3B383B"/>
          <w:w w:val="115"/>
        </w:rPr>
        <w:t> </w:t>
      </w:r>
      <w:r>
        <w:rPr>
          <w:color w:val="3B383B"/>
          <w:spacing w:val="-1"/>
          <w:w w:val="115"/>
        </w:rPr>
        <w:t>more</w:t>
      </w:r>
      <w:r>
        <w:rPr>
          <w:color w:val="3B383B"/>
          <w:spacing w:val="-19"/>
          <w:w w:val="115"/>
        </w:rPr>
        <w:t> </w:t>
      </w:r>
      <w:r>
        <w:rPr>
          <w:color w:val="3B383B"/>
          <w:spacing w:val="-1"/>
          <w:w w:val="115"/>
        </w:rPr>
        <w:t>than</w:t>
      </w:r>
      <w:r>
        <w:rPr>
          <w:color w:val="3B383B"/>
          <w:spacing w:val="-11"/>
          <w:w w:val="115"/>
        </w:rPr>
        <w:t> </w:t>
      </w:r>
      <w:r>
        <w:rPr>
          <w:color w:val="3B383B"/>
          <w:w w:val="115"/>
        </w:rPr>
        <w:t>one</w:t>
      </w:r>
      <w:r>
        <w:rPr>
          <w:color w:val="3B383B"/>
          <w:spacing w:val="-24"/>
          <w:w w:val="115"/>
        </w:rPr>
        <w:t> </w:t>
      </w:r>
      <w:r>
        <w:rPr>
          <w:color w:val="3B383B"/>
          <w:w w:val="115"/>
        </w:rPr>
        <w:t>cause</w:t>
      </w:r>
      <w:r>
        <w:rPr>
          <w:color w:val="3B383B"/>
          <w:spacing w:val="-23"/>
          <w:w w:val="115"/>
        </w:rPr>
        <w:t> </w:t>
      </w:r>
      <w:r>
        <w:rPr>
          <w:color w:val="3B383B"/>
          <w:w w:val="115"/>
        </w:rPr>
        <w:t>of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action,</w:t>
      </w:r>
      <w:r>
        <w:rPr>
          <w:color w:val="3B383B"/>
          <w:spacing w:val="-21"/>
          <w:w w:val="115"/>
        </w:rPr>
        <w:t> </w:t>
      </w:r>
      <w:r>
        <w:rPr>
          <w:color w:val="3B383B"/>
          <w:w w:val="115"/>
        </w:rPr>
        <w:t>and</w:t>
      </w:r>
      <w:r>
        <w:rPr>
          <w:color w:val="3B383B"/>
          <w:spacing w:val="3"/>
          <w:w w:val="115"/>
        </w:rPr>
        <w:t> </w:t>
      </w:r>
      <w:r>
        <w:rPr>
          <w:color w:val="3B383B"/>
          <w:w w:val="115"/>
        </w:rPr>
        <w:t>some</w:t>
      </w:r>
      <w:r>
        <w:rPr>
          <w:color w:val="3B383B"/>
          <w:spacing w:val="-20"/>
          <w:w w:val="115"/>
        </w:rPr>
        <w:t> </w:t>
      </w:r>
      <w:r>
        <w:rPr>
          <w:color w:val="3B383B"/>
          <w:w w:val="115"/>
        </w:rPr>
        <w:t>may</w:t>
      </w:r>
      <w:r>
        <w:rPr>
          <w:color w:val="3B383B"/>
          <w:spacing w:val="-64"/>
          <w:w w:val="115"/>
        </w:rPr>
        <w:t> </w:t>
      </w:r>
      <w:r>
        <w:rPr>
          <w:color w:val="3B383B"/>
          <w:w w:val="115"/>
        </w:rPr>
        <w:t>be overly optimistic as to the plaintiff's chances of success on some of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these causes of action. Defense counsel may file a motion for summary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judgment that forces the plaintiff to produce sufficient evidence to sup­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0"/>
        </w:rPr>
        <w:t>port one or more of the allegations. In other cases, a defendant may file a</w:t>
      </w:r>
      <w:r>
        <w:rPr>
          <w:color w:val="3B383B"/>
          <w:spacing w:val="1"/>
          <w:w w:val="110"/>
        </w:rPr>
        <w:t> </w:t>
      </w:r>
      <w:r>
        <w:rPr>
          <w:color w:val="3B383B"/>
          <w:spacing w:val="-1"/>
          <w:w w:val="115"/>
        </w:rPr>
        <w:t>motion</w:t>
      </w:r>
      <w:r>
        <w:rPr>
          <w:color w:val="3B383B"/>
          <w:spacing w:val="-6"/>
          <w:w w:val="115"/>
        </w:rPr>
        <w:t> </w:t>
      </w:r>
      <w:r>
        <w:rPr>
          <w:color w:val="3B383B"/>
          <w:spacing w:val="-1"/>
          <w:w w:val="115"/>
        </w:rPr>
        <w:t>for</w:t>
      </w:r>
      <w:r>
        <w:rPr>
          <w:color w:val="3B383B"/>
          <w:spacing w:val="-22"/>
          <w:w w:val="115"/>
        </w:rPr>
        <w:t> </w:t>
      </w:r>
      <w:r>
        <w:rPr>
          <w:color w:val="3B383B"/>
          <w:spacing w:val="-1"/>
          <w:w w:val="115"/>
        </w:rPr>
        <w:t>summary</w:t>
      </w:r>
      <w:r>
        <w:rPr>
          <w:color w:val="3B383B"/>
          <w:spacing w:val="35"/>
          <w:w w:val="115"/>
        </w:rPr>
        <w:t> </w:t>
      </w:r>
      <w:r>
        <w:rPr>
          <w:color w:val="3B383B"/>
          <w:w w:val="115"/>
        </w:rPr>
        <w:t>judgment</w:t>
      </w:r>
      <w:r>
        <w:rPr>
          <w:color w:val="3B383B"/>
          <w:spacing w:val="-1"/>
          <w:w w:val="115"/>
        </w:rPr>
        <w:t> </w:t>
      </w:r>
      <w:r>
        <w:rPr>
          <w:color w:val="3B383B"/>
          <w:w w:val="115"/>
        </w:rPr>
        <w:t>supported</w:t>
      </w:r>
      <w:r>
        <w:rPr>
          <w:color w:val="3B383B"/>
          <w:spacing w:val="9"/>
          <w:w w:val="115"/>
        </w:rPr>
        <w:t> </w:t>
      </w:r>
      <w:r>
        <w:rPr>
          <w:color w:val="3B383B"/>
          <w:w w:val="115"/>
        </w:rPr>
        <w:t>by</w:t>
      </w:r>
      <w:r>
        <w:rPr>
          <w:color w:val="3B383B"/>
          <w:spacing w:val="-16"/>
          <w:w w:val="115"/>
        </w:rPr>
        <w:t> </w:t>
      </w:r>
      <w:r>
        <w:rPr>
          <w:color w:val="3B383B"/>
          <w:w w:val="115"/>
        </w:rPr>
        <w:t>its</w:t>
      </w:r>
      <w:r>
        <w:rPr>
          <w:color w:val="3B383B"/>
          <w:spacing w:val="-14"/>
          <w:w w:val="115"/>
        </w:rPr>
        <w:t> </w:t>
      </w:r>
      <w:r>
        <w:rPr>
          <w:color w:val="3B383B"/>
          <w:w w:val="115"/>
        </w:rPr>
        <w:t>own</w:t>
      </w:r>
      <w:r>
        <w:rPr>
          <w:color w:val="3B383B"/>
          <w:spacing w:val="-3"/>
          <w:w w:val="115"/>
        </w:rPr>
        <w:t> </w:t>
      </w:r>
      <w:r>
        <w:rPr>
          <w:color w:val="3B383B"/>
          <w:w w:val="115"/>
        </w:rPr>
        <w:t>evidence</w:t>
      </w:r>
      <w:r>
        <w:rPr>
          <w:color w:val="3B383B"/>
          <w:spacing w:val="6"/>
          <w:w w:val="115"/>
        </w:rPr>
        <w:t> </w:t>
      </w:r>
      <w:r>
        <w:rPr>
          <w:color w:val="3B383B"/>
          <w:w w:val="115"/>
        </w:rPr>
        <w:t>to</w:t>
      </w:r>
      <w:r>
        <w:rPr>
          <w:color w:val="3B383B"/>
          <w:spacing w:val="7"/>
          <w:w w:val="115"/>
        </w:rPr>
        <w:t> </w:t>
      </w:r>
      <w:r>
        <w:rPr>
          <w:color w:val="3B383B"/>
          <w:w w:val="115"/>
        </w:rPr>
        <w:t>counter</w:t>
      </w:r>
    </w:p>
    <w:p>
      <w:pPr>
        <w:pStyle w:val="BodyText"/>
        <w:spacing w:before="10"/>
        <w:rPr>
          <w:sz w:val="37"/>
        </w:rPr>
      </w:pPr>
    </w:p>
    <w:p>
      <w:pPr>
        <w:spacing w:before="1"/>
        <w:ind w:left="504" w:right="0" w:firstLine="0"/>
        <w:jc w:val="left"/>
        <w:rPr>
          <w:sz w:val="16"/>
        </w:rPr>
      </w:pPr>
      <w:r>
        <w:rPr>
          <w:rFonts w:ascii="Arial"/>
          <w:color w:val="3B383B"/>
          <w:w w:val="115"/>
          <w:position w:val="5"/>
          <w:sz w:val="9"/>
        </w:rPr>
        <w:t>42</w:t>
      </w:r>
      <w:r>
        <w:rPr>
          <w:rFonts w:ascii="Arial"/>
          <w:i/>
          <w:color w:val="3B383B"/>
          <w:w w:val="115"/>
          <w:sz w:val="16"/>
        </w:rPr>
        <w:t>Id</w:t>
      </w:r>
      <w:r>
        <w:rPr>
          <w:rFonts w:ascii="Arial"/>
          <w:i/>
          <w:color w:val="666667"/>
          <w:w w:val="115"/>
          <w:sz w:val="16"/>
        </w:rPr>
        <w:t>.</w:t>
      </w:r>
      <w:r>
        <w:rPr>
          <w:rFonts w:ascii="Arial"/>
          <w:i/>
          <w:color w:val="666667"/>
          <w:spacing w:val="-2"/>
          <w:w w:val="115"/>
          <w:sz w:val="16"/>
        </w:rPr>
        <w:t> </w:t>
      </w:r>
      <w:r>
        <w:rPr>
          <w:color w:val="3B383B"/>
          <w:w w:val="115"/>
          <w:sz w:val="16"/>
        </w:rPr>
        <w:t>at</w:t>
      </w:r>
      <w:r>
        <w:rPr>
          <w:color w:val="3B383B"/>
          <w:spacing w:val="38"/>
          <w:w w:val="115"/>
          <w:sz w:val="16"/>
        </w:rPr>
        <w:t> </w:t>
      </w:r>
      <w:r>
        <w:rPr>
          <w:color w:val="3B383B"/>
          <w:w w:val="115"/>
          <w:sz w:val="18"/>
        </w:rPr>
        <w:t>note</w:t>
      </w:r>
      <w:r>
        <w:rPr>
          <w:color w:val="3B383B"/>
          <w:spacing w:val="-18"/>
          <w:w w:val="115"/>
          <w:sz w:val="18"/>
        </w:rPr>
        <w:t> </w:t>
      </w:r>
      <w:r>
        <w:rPr>
          <w:color w:val="3B383B"/>
          <w:w w:val="115"/>
          <w:sz w:val="16"/>
        </w:rPr>
        <w:t>7.</w:t>
      </w:r>
    </w:p>
    <w:p>
      <w:pPr>
        <w:spacing w:line="232" w:lineRule="auto" w:before="27"/>
        <w:ind w:left="132" w:right="140" w:firstLine="358"/>
        <w:jc w:val="both"/>
        <w:rPr>
          <w:sz w:val="16"/>
        </w:rPr>
      </w:pPr>
      <w:r>
        <w:rPr>
          <w:rFonts w:ascii="Arial" w:hAnsi="Arial"/>
          <w:i/>
          <w:color w:val="3B383B"/>
          <w:spacing w:val="-1"/>
          <w:sz w:val="16"/>
        </w:rPr>
        <w:t>&lt;lA11derso11 </w:t>
      </w:r>
      <w:r>
        <w:rPr>
          <w:rFonts w:ascii="Arial" w:hAnsi="Arial"/>
          <w:i/>
          <w:color w:val="3B383B"/>
          <w:w w:val="110"/>
          <w:sz w:val="16"/>
        </w:rPr>
        <w:t>v</w:t>
      </w:r>
      <w:r>
        <w:rPr>
          <w:rFonts w:ascii="Arial" w:hAnsi="Arial"/>
          <w:i/>
          <w:color w:val="666667"/>
          <w:w w:val="110"/>
          <w:sz w:val="16"/>
        </w:rPr>
        <w:t>. </w:t>
      </w:r>
      <w:r>
        <w:rPr>
          <w:rFonts w:ascii="Arial" w:hAnsi="Arial"/>
          <w:i/>
          <w:color w:val="3B383B"/>
          <w:w w:val="110"/>
          <w:sz w:val="16"/>
        </w:rPr>
        <w:t>Liberty Lobby, Inc., </w:t>
      </w:r>
      <w:r>
        <w:rPr>
          <w:color w:val="3B383B"/>
          <w:w w:val="110"/>
          <w:sz w:val="16"/>
        </w:rPr>
        <w:t>477</w:t>
      </w:r>
      <w:r>
        <w:rPr>
          <w:color w:val="3B383B"/>
          <w:spacing w:val="1"/>
          <w:w w:val="110"/>
          <w:sz w:val="16"/>
        </w:rPr>
        <w:t> </w:t>
      </w:r>
      <w:r>
        <w:rPr>
          <w:color w:val="3B383B"/>
          <w:w w:val="110"/>
          <w:sz w:val="16"/>
        </w:rPr>
        <w:t>U.S. 242 (1986); </w:t>
      </w:r>
      <w:r>
        <w:rPr>
          <w:rFonts w:ascii="Arial" w:hAnsi="Arial"/>
          <w:i/>
          <w:color w:val="4F4F50"/>
          <w:w w:val="110"/>
          <w:sz w:val="16"/>
        </w:rPr>
        <w:t>Celotex </w:t>
      </w:r>
      <w:r>
        <w:rPr>
          <w:rFonts w:ascii="Arial" w:hAnsi="Arial"/>
          <w:i/>
          <w:color w:val="3B383B"/>
          <w:w w:val="110"/>
          <w:sz w:val="16"/>
        </w:rPr>
        <w:t>Corp. v. </w:t>
      </w:r>
      <w:r>
        <w:rPr>
          <w:rFonts w:ascii="Arial" w:hAnsi="Arial"/>
          <w:i/>
          <w:color w:val="4F4F50"/>
          <w:w w:val="110"/>
          <w:sz w:val="16"/>
        </w:rPr>
        <w:t>Catrett, </w:t>
      </w:r>
      <w:r>
        <w:rPr>
          <w:color w:val="3B383B"/>
          <w:w w:val="110"/>
          <w:sz w:val="16"/>
        </w:rPr>
        <w:t>477 U.S. </w:t>
      </w:r>
      <w:r>
        <w:rPr>
          <w:color w:val="4F4F50"/>
          <w:w w:val="110"/>
          <w:sz w:val="16"/>
        </w:rPr>
        <w:t>317</w:t>
      </w:r>
      <w:r>
        <w:rPr>
          <w:color w:val="4F4F50"/>
          <w:spacing w:val="1"/>
          <w:w w:val="110"/>
          <w:sz w:val="16"/>
        </w:rPr>
        <w:t> </w:t>
      </w:r>
      <w:r>
        <w:rPr>
          <w:color w:val="3B383B"/>
          <w:w w:val="105"/>
          <w:sz w:val="16"/>
        </w:rPr>
        <w:t>(1986); </w:t>
      </w:r>
      <w:r>
        <w:rPr>
          <w:rFonts w:ascii="Arial" w:hAnsi="Arial"/>
          <w:i/>
          <w:color w:val="3B383B"/>
          <w:w w:val="105"/>
          <w:sz w:val="16"/>
        </w:rPr>
        <w:t>Matsushita Elec. </w:t>
      </w:r>
      <w:r>
        <w:rPr>
          <w:rFonts w:ascii="Arial" w:hAnsi="Arial"/>
          <w:i/>
          <w:color w:val="3B383B"/>
          <w:sz w:val="16"/>
        </w:rPr>
        <w:t>I11d11s. </w:t>
      </w:r>
      <w:r>
        <w:rPr>
          <w:rFonts w:ascii="Arial" w:hAnsi="Arial"/>
          <w:i/>
          <w:color w:val="4F4F50"/>
          <w:sz w:val="16"/>
        </w:rPr>
        <w:t>Co.</w:t>
      </w:r>
      <w:r>
        <w:rPr>
          <w:rFonts w:ascii="Arial" w:hAnsi="Arial"/>
          <w:i/>
          <w:color w:val="4F4F50"/>
          <w:spacing w:val="1"/>
          <w:sz w:val="16"/>
        </w:rPr>
        <w:t> </w:t>
      </w:r>
      <w:r>
        <w:rPr>
          <w:i/>
          <w:color w:val="3B383B"/>
          <w:sz w:val="17"/>
        </w:rPr>
        <w:t>v.</w:t>
      </w:r>
      <w:r>
        <w:rPr>
          <w:i/>
          <w:color w:val="3B383B"/>
          <w:spacing w:val="1"/>
          <w:sz w:val="17"/>
        </w:rPr>
        <w:t> </w:t>
      </w:r>
      <w:r>
        <w:rPr>
          <w:rFonts w:ascii="Arial" w:hAnsi="Arial"/>
          <w:i/>
          <w:color w:val="3B383B"/>
          <w:w w:val="105"/>
          <w:sz w:val="16"/>
        </w:rPr>
        <w:t>Zenith Radio Corp</w:t>
      </w:r>
      <w:r>
        <w:rPr>
          <w:rFonts w:ascii="Arial" w:hAnsi="Arial"/>
          <w:i/>
          <w:color w:val="666667"/>
          <w:w w:val="105"/>
          <w:sz w:val="16"/>
        </w:rPr>
        <w:t>.</w:t>
      </w:r>
      <w:r>
        <w:rPr>
          <w:rFonts w:ascii="Arial" w:hAnsi="Arial"/>
          <w:i/>
          <w:color w:val="3B383B"/>
          <w:w w:val="105"/>
          <w:sz w:val="16"/>
        </w:rPr>
        <w:t>, </w:t>
      </w:r>
      <w:r>
        <w:rPr>
          <w:color w:val="3B383B"/>
          <w:w w:val="105"/>
          <w:sz w:val="16"/>
        </w:rPr>
        <w:t>475</w:t>
      </w:r>
      <w:r>
        <w:rPr>
          <w:color w:val="3B383B"/>
          <w:spacing w:val="1"/>
          <w:w w:val="105"/>
          <w:sz w:val="16"/>
        </w:rPr>
        <w:t> </w:t>
      </w:r>
      <w:r>
        <w:rPr>
          <w:color w:val="3B383B"/>
          <w:w w:val="105"/>
          <w:sz w:val="16"/>
        </w:rPr>
        <w:t>U.S. 574</w:t>
      </w:r>
      <w:r>
        <w:rPr>
          <w:color w:val="3B383B"/>
          <w:spacing w:val="1"/>
          <w:w w:val="105"/>
          <w:sz w:val="16"/>
        </w:rPr>
        <w:t> </w:t>
      </w:r>
      <w:r>
        <w:rPr>
          <w:color w:val="3B383B"/>
          <w:w w:val="105"/>
          <w:sz w:val="16"/>
        </w:rPr>
        <w:t>(1986). </w:t>
      </w:r>
      <w:r>
        <w:rPr>
          <w:rFonts w:ascii="Arial" w:hAnsi="Arial"/>
          <w:i/>
          <w:color w:val="3B383B"/>
          <w:w w:val="105"/>
          <w:sz w:val="16"/>
        </w:rPr>
        <w:t>See generally </w:t>
      </w:r>
      <w:r>
        <w:rPr>
          <w:color w:val="3B383B"/>
          <w:w w:val="105"/>
          <w:sz w:val="16"/>
        </w:rPr>
        <w:t>Herr,</w:t>
      </w:r>
      <w:r>
        <w:rPr>
          <w:color w:val="3B383B"/>
          <w:spacing w:val="1"/>
          <w:w w:val="105"/>
          <w:sz w:val="16"/>
        </w:rPr>
        <w:t> </w:t>
      </w:r>
      <w:r>
        <w:rPr>
          <w:color w:val="3B383B"/>
          <w:w w:val="115"/>
          <w:sz w:val="16"/>
        </w:rPr>
        <w:t>Haydock</w:t>
      </w:r>
      <w:r>
        <w:rPr>
          <w:color w:val="3B383B"/>
          <w:spacing w:val="-1"/>
          <w:w w:val="115"/>
          <w:sz w:val="16"/>
        </w:rPr>
        <w:t> </w:t>
      </w:r>
      <w:r>
        <w:rPr>
          <w:color w:val="3B383B"/>
          <w:w w:val="115"/>
          <w:sz w:val="16"/>
        </w:rPr>
        <w:t>&amp;</w:t>
      </w:r>
      <w:r>
        <w:rPr>
          <w:color w:val="3B383B"/>
          <w:spacing w:val="-15"/>
          <w:w w:val="115"/>
          <w:sz w:val="16"/>
        </w:rPr>
        <w:t> </w:t>
      </w:r>
      <w:r>
        <w:rPr>
          <w:color w:val="3B383B"/>
          <w:w w:val="115"/>
          <w:sz w:val="18"/>
        </w:rPr>
        <w:t>Stempel,</w:t>
      </w:r>
      <w:r>
        <w:rPr>
          <w:color w:val="3B383B"/>
          <w:spacing w:val="-6"/>
          <w:w w:val="115"/>
          <w:sz w:val="18"/>
        </w:rPr>
        <w:t> </w:t>
      </w:r>
      <w:r>
        <w:rPr>
          <w:rFonts w:ascii="Arial" w:hAnsi="Arial"/>
          <w:i/>
          <w:color w:val="3B383B"/>
          <w:w w:val="115"/>
          <w:sz w:val="16"/>
        </w:rPr>
        <w:t>supra</w:t>
      </w:r>
      <w:r>
        <w:rPr>
          <w:rFonts w:ascii="Arial" w:hAnsi="Arial"/>
          <w:i/>
          <w:color w:val="3B383B"/>
          <w:spacing w:val="-13"/>
          <w:w w:val="115"/>
          <w:sz w:val="16"/>
        </w:rPr>
        <w:t> </w:t>
      </w:r>
      <w:r>
        <w:rPr>
          <w:color w:val="3B383B"/>
          <w:w w:val="115"/>
          <w:sz w:val="16"/>
        </w:rPr>
        <w:t>note</w:t>
      </w:r>
      <w:r>
        <w:rPr>
          <w:color w:val="3B383B"/>
          <w:spacing w:val="-5"/>
          <w:w w:val="115"/>
          <w:sz w:val="16"/>
        </w:rPr>
        <w:t> </w:t>
      </w:r>
      <w:r>
        <w:rPr>
          <w:color w:val="3B383B"/>
          <w:w w:val="115"/>
          <w:sz w:val="18"/>
        </w:rPr>
        <w:t>33,</w:t>
      </w:r>
      <w:r>
        <w:rPr>
          <w:color w:val="3B383B"/>
          <w:w w:val="115"/>
          <w:sz w:val="16"/>
        </w:rPr>
        <w:t>at</w:t>
      </w:r>
      <w:r>
        <w:rPr>
          <w:color w:val="3B383B"/>
          <w:spacing w:val="-4"/>
          <w:w w:val="115"/>
          <w:sz w:val="16"/>
        </w:rPr>
        <w:t> </w:t>
      </w:r>
      <w:r>
        <w:rPr>
          <w:color w:val="3B383B"/>
          <w:w w:val="115"/>
          <w:sz w:val="16"/>
        </w:rPr>
        <w:t>§16.01.</w:t>
      </w:r>
    </w:p>
    <w:p>
      <w:pPr>
        <w:spacing w:before="4"/>
        <w:ind w:left="506" w:right="0" w:firstLine="0"/>
        <w:jc w:val="both"/>
        <w:rPr>
          <w:sz w:val="16"/>
        </w:rPr>
      </w:pPr>
      <w:r>
        <w:rPr>
          <w:rFonts w:ascii="Arial" w:hAnsi="Arial"/>
          <w:i/>
          <w:color w:val="3B383B"/>
          <w:w w:val="110"/>
          <w:sz w:val="16"/>
        </w:rPr>
        <w:t>••Celotex</w:t>
      </w:r>
      <w:r>
        <w:rPr>
          <w:rFonts w:ascii="Arial" w:hAnsi="Arial"/>
          <w:i/>
          <w:color w:val="3B383B"/>
          <w:spacing w:val="14"/>
          <w:w w:val="110"/>
          <w:sz w:val="16"/>
        </w:rPr>
        <w:t> </w:t>
      </w:r>
      <w:r>
        <w:rPr>
          <w:rFonts w:ascii="Arial" w:hAnsi="Arial"/>
          <w:i/>
          <w:color w:val="3B383B"/>
          <w:w w:val="110"/>
          <w:sz w:val="16"/>
        </w:rPr>
        <w:t>v.</w:t>
      </w:r>
      <w:r>
        <w:rPr>
          <w:rFonts w:ascii="Arial" w:hAnsi="Arial"/>
          <w:i/>
          <w:color w:val="3B383B"/>
          <w:spacing w:val="-14"/>
          <w:w w:val="110"/>
          <w:sz w:val="16"/>
        </w:rPr>
        <w:t> </w:t>
      </w:r>
      <w:r>
        <w:rPr>
          <w:rFonts w:ascii="Arial" w:hAnsi="Arial"/>
          <w:i/>
          <w:color w:val="4F4F50"/>
          <w:w w:val="110"/>
          <w:sz w:val="16"/>
        </w:rPr>
        <w:t>Catrett,</w:t>
      </w:r>
      <w:r>
        <w:rPr>
          <w:rFonts w:ascii="Arial" w:hAnsi="Arial"/>
          <w:i/>
          <w:color w:val="4F4F50"/>
          <w:spacing w:val="-13"/>
          <w:w w:val="110"/>
          <w:sz w:val="16"/>
        </w:rPr>
        <w:t> </w:t>
      </w:r>
      <w:r>
        <w:rPr>
          <w:rFonts w:ascii="Arial" w:hAnsi="Arial"/>
          <w:color w:val="3B383B"/>
          <w:w w:val="110"/>
          <w:sz w:val="14"/>
        </w:rPr>
        <w:t>4</w:t>
      </w:r>
      <w:r>
        <w:rPr>
          <w:color w:val="4F4F50"/>
          <w:w w:val="110"/>
          <w:sz w:val="16"/>
        </w:rPr>
        <w:t>77 </w:t>
      </w:r>
      <w:r>
        <w:rPr>
          <w:color w:val="4F4F50"/>
          <w:spacing w:val="5"/>
          <w:w w:val="110"/>
          <w:sz w:val="16"/>
        </w:rPr>
        <w:t> </w:t>
      </w:r>
      <w:r>
        <w:rPr>
          <w:color w:val="3B383B"/>
          <w:w w:val="110"/>
          <w:sz w:val="16"/>
        </w:rPr>
        <w:t>U.S.</w:t>
      </w:r>
      <w:r>
        <w:rPr>
          <w:color w:val="3B383B"/>
          <w:spacing w:val="-10"/>
          <w:w w:val="110"/>
          <w:sz w:val="16"/>
        </w:rPr>
        <w:t> </w:t>
      </w:r>
      <w:r>
        <w:rPr>
          <w:color w:val="3B383B"/>
          <w:w w:val="110"/>
          <w:sz w:val="16"/>
        </w:rPr>
        <w:t>317,</w:t>
      </w:r>
      <w:r>
        <w:rPr>
          <w:color w:val="3B383B"/>
          <w:spacing w:val="-10"/>
          <w:w w:val="110"/>
          <w:sz w:val="16"/>
        </w:rPr>
        <w:t> </w:t>
      </w:r>
      <w:r>
        <w:rPr>
          <w:color w:val="4F4F50"/>
          <w:w w:val="110"/>
          <w:sz w:val="16"/>
        </w:rPr>
        <w:t>322-23</w:t>
      </w:r>
      <w:r>
        <w:rPr>
          <w:color w:val="4F4F50"/>
          <w:spacing w:val="2"/>
          <w:w w:val="110"/>
          <w:sz w:val="16"/>
        </w:rPr>
        <w:t> </w:t>
      </w:r>
      <w:r>
        <w:rPr>
          <w:color w:val="3B383B"/>
          <w:w w:val="110"/>
          <w:sz w:val="16"/>
        </w:rPr>
        <w:t>(1986).</w:t>
      </w:r>
      <w:r>
        <w:rPr>
          <w:rFonts w:ascii="Arial" w:hAnsi="Arial"/>
          <w:i/>
          <w:color w:val="3B383B"/>
          <w:w w:val="110"/>
          <w:sz w:val="16"/>
        </w:rPr>
        <w:t>See</w:t>
      </w:r>
      <w:r>
        <w:rPr>
          <w:rFonts w:ascii="Arial" w:hAnsi="Arial"/>
          <w:i/>
          <w:color w:val="3B383B"/>
          <w:spacing w:val="-29"/>
          <w:w w:val="110"/>
          <w:sz w:val="16"/>
        </w:rPr>
        <w:t> </w:t>
      </w:r>
      <w:r>
        <w:rPr>
          <w:rFonts w:ascii="Arial" w:hAnsi="Arial"/>
          <w:i/>
          <w:color w:val="3B383B"/>
          <w:w w:val="110"/>
          <w:sz w:val="16"/>
        </w:rPr>
        <w:t>also</w:t>
      </w:r>
      <w:r>
        <w:rPr>
          <w:rFonts w:ascii="Arial" w:hAnsi="Arial"/>
          <w:i/>
          <w:color w:val="3B383B"/>
          <w:spacing w:val="-19"/>
          <w:w w:val="110"/>
          <w:sz w:val="16"/>
        </w:rPr>
        <w:t> </w:t>
      </w:r>
      <w:r>
        <w:rPr>
          <w:rFonts w:ascii="Arial" w:hAnsi="Arial"/>
          <w:i/>
          <w:color w:val="3B383B"/>
          <w:w w:val="110"/>
          <w:sz w:val="16"/>
        </w:rPr>
        <w:t>Thom"s</w:t>
      </w:r>
      <w:r>
        <w:rPr>
          <w:rFonts w:ascii="Arial" w:hAnsi="Arial"/>
          <w:i/>
          <w:color w:val="3B383B"/>
          <w:spacing w:val="-1"/>
          <w:w w:val="110"/>
          <w:sz w:val="16"/>
        </w:rPr>
        <w:t> </w:t>
      </w:r>
      <w:r>
        <w:rPr>
          <w:rFonts w:ascii="Arial" w:hAnsi="Arial"/>
          <w:i/>
          <w:color w:val="4F4F50"/>
          <w:w w:val="110"/>
          <w:sz w:val="16"/>
        </w:rPr>
        <w:t>v.</w:t>
      </w:r>
      <w:r>
        <w:rPr>
          <w:rFonts w:ascii="Arial" w:hAnsi="Arial"/>
          <w:i/>
          <w:color w:val="4F4F50"/>
          <w:spacing w:val="-24"/>
          <w:w w:val="110"/>
          <w:sz w:val="16"/>
        </w:rPr>
        <w:t> </w:t>
      </w:r>
      <w:r>
        <w:rPr>
          <w:rFonts w:ascii="Arial" w:hAnsi="Arial"/>
          <w:i/>
          <w:color w:val="3B383B"/>
          <w:w w:val="110"/>
          <w:sz w:val="17"/>
        </w:rPr>
        <w:t>Ki,i,mi,</w:t>
      </w:r>
      <w:r>
        <w:rPr>
          <w:rFonts w:ascii="Arial" w:hAnsi="Arial"/>
          <w:i/>
          <w:color w:val="3B383B"/>
          <w:spacing w:val="-4"/>
          <w:w w:val="110"/>
          <w:sz w:val="17"/>
        </w:rPr>
        <w:t> </w:t>
      </w:r>
      <w:r>
        <w:rPr>
          <w:color w:val="3B383B"/>
          <w:w w:val="110"/>
          <w:sz w:val="16"/>
        </w:rPr>
        <w:t>267 </w:t>
      </w:r>
      <w:r>
        <w:rPr>
          <w:color w:val="3B383B"/>
          <w:spacing w:val="12"/>
          <w:w w:val="110"/>
          <w:sz w:val="16"/>
        </w:rPr>
        <w:t> </w:t>
      </w:r>
      <w:r>
        <w:rPr>
          <w:color w:val="3B383B"/>
          <w:w w:val="110"/>
          <w:sz w:val="16"/>
        </w:rPr>
        <w:t>r</w:t>
      </w:r>
      <w:r>
        <w:rPr>
          <w:color w:val="666667"/>
          <w:w w:val="110"/>
          <w:sz w:val="16"/>
        </w:rPr>
        <w:t>.</w:t>
      </w:r>
      <w:r>
        <w:rPr>
          <w:color w:val="3B383B"/>
          <w:w w:val="110"/>
          <w:sz w:val="16"/>
        </w:rPr>
        <w:t>3d </w:t>
      </w:r>
      <w:r>
        <w:rPr>
          <w:color w:val="3B383B"/>
          <w:spacing w:val="5"/>
          <w:w w:val="110"/>
          <w:sz w:val="16"/>
        </w:rPr>
        <w:t> </w:t>
      </w:r>
      <w:r>
        <w:rPr>
          <w:color w:val="3B383B"/>
          <w:w w:val="110"/>
          <w:sz w:val="16"/>
        </w:rPr>
        <w:t>1230,</w:t>
      </w:r>
      <w:r>
        <w:rPr>
          <w:color w:val="3B383B"/>
          <w:spacing w:val="-18"/>
          <w:w w:val="110"/>
          <w:sz w:val="16"/>
        </w:rPr>
        <w:t> </w:t>
      </w:r>
      <w:r>
        <w:rPr>
          <w:color w:val="3B383B"/>
          <w:w w:val="110"/>
          <w:sz w:val="16"/>
        </w:rPr>
        <w:t>123S</w:t>
      </w:r>
    </w:p>
    <w:p>
      <w:pPr>
        <w:spacing w:before="7"/>
        <w:ind w:left="132" w:right="0" w:firstLine="0"/>
        <w:jc w:val="both"/>
        <w:rPr>
          <w:sz w:val="16"/>
        </w:rPr>
      </w:pPr>
      <w:r>
        <w:rPr>
          <w:color w:val="3B383B"/>
          <w:w w:val="115"/>
          <w:sz w:val="16"/>
        </w:rPr>
        <w:t>(Hawal'I</w:t>
      </w:r>
      <w:r>
        <w:rPr>
          <w:color w:val="3B383B"/>
          <w:spacing w:val="3"/>
          <w:w w:val="115"/>
          <w:sz w:val="16"/>
        </w:rPr>
        <w:t> </w:t>
      </w:r>
      <w:r>
        <w:rPr>
          <w:color w:val="3B383B"/>
          <w:w w:val="115"/>
          <w:sz w:val="16"/>
        </w:rPr>
        <w:t>2011);</w:t>
      </w:r>
      <w:r>
        <w:rPr>
          <w:color w:val="3B383B"/>
          <w:spacing w:val="-11"/>
          <w:w w:val="115"/>
          <w:sz w:val="16"/>
        </w:rPr>
        <w:t> </w:t>
      </w:r>
      <w:r>
        <w:rPr>
          <w:rFonts w:ascii="Arial"/>
          <w:i/>
          <w:color w:val="3B383B"/>
          <w:w w:val="110"/>
          <w:sz w:val="16"/>
        </w:rPr>
        <w:t>Wl11g</w:t>
      </w:r>
      <w:r>
        <w:rPr>
          <w:rFonts w:ascii="Arial"/>
          <w:i/>
          <w:color w:val="3B383B"/>
          <w:spacing w:val="-11"/>
          <w:w w:val="110"/>
          <w:sz w:val="16"/>
        </w:rPr>
        <w:t> </w:t>
      </w:r>
      <w:r>
        <w:rPr>
          <w:rFonts w:ascii="Arial"/>
          <w:i/>
          <w:color w:val="3B383B"/>
          <w:w w:val="115"/>
          <w:sz w:val="16"/>
        </w:rPr>
        <w:t>v.</w:t>
      </w:r>
      <w:r>
        <w:rPr>
          <w:rFonts w:ascii="Arial"/>
          <w:i/>
          <w:color w:val="3B383B"/>
          <w:spacing w:val="-2"/>
          <w:w w:val="115"/>
          <w:sz w:val="16"/>
        </w:rPr>
        <w:t> </w:t>
      </w:r>
      <w:r>
        <w:rPr>
          <w:rFonts w:ascii="Arial"/>
          <w:i/>
          <w:color w:val="3B383B"/>
          <w:w w:val="115"/>
          <w:sz w:val="16"/>
        </w:rPr>
        <w:t>Anchor</w:t>
      </w:r>
      <w:r>
        <w:rPr>
          <w:rFonts w:ascii="Arial"/>
          <w:i/>
          <w:color w:val="3B383B"/>
          <w:spacing w:val="-2"/>
          <w:w w:val="115"/>
          <w:sz w:val="16"/>
        </w:rPr>
        <w:t> </w:t>
      </w:r>
      <w:r>
        <w:rPr>
          <w:rFonts w:ascii="Arial"/>
          <w:i/>
          <w:color w:val="3B383B"/>
          <w:w w:val="115"/>
          <w:sz w:val="16"/>
        </w:rPr>
        <w:t>Media,</w:t>
      </w:r>
      <w:r>
        <w:rPr>
          <w:rFonts w:ascii="Arial"/>
          <w:i/>
          <w:color w:val="3B383B"/>
          <w:spacing w:val="-20"/>
          <w:w w:val="115"/>
          <w:sz w:val="16"/>
        </w:rPr>
        <w:t> </w:t>
      </w:r>
      <w:r>
        <w:rPr>
          <w:rFonts w:ascii="Arial"/>
          <w:i/>
          <w:color w:val="3B383B"/>
          <w:w w:val="115"/>
          <w:sz w:val="16"/>
        </w:rPr>
        <w:t>Ltd.</w:t>
      </w:r>
      <w:r>
        <w:rPr>
          <w:rFonts w:ascii="Arial"/>
          <w:i/>
          <w:color w:val="3B383B"/>
          <w:spacing w:val="-25"/>
          <w:w w:val="115"/>
          <w:sz w:val="16"/>
        </w:rPr>
        <w:t> </w:t>
      </w:r>
      <w:r>
        <w:rPr>
          <w:rFonts w:ascii="Arial"/>
          <w:i/>
          <w:color w:val="3B383B"/>
          <w:w w:val="115"/>
          <w:sz w:val="16"/>
        </w:rPr>
        <w:t>o(Tex.,</w:t>
      </w:r>
      <w:r>
        <w:rPr>
          <w:rFonts w:ascii="Arial"/>
          <w:i/>
          <w:color w:val="3B383B"/>
          <w:spacing w:val="-23"/>
          <w:w w:val="115"/>
          <w:sz w:val="16"/>
        </w:rPr>
        <w:t> </w:t>
      </w:r>
      <w:r>
        <w:rPr>
          <w:color w:val="3B383B"/>
          <w:w w:val="115"/>
          <w:sz w:val="16"/>
        </w:rPr>
        <w:t>570</w:t>
      </w:r>
      <w:r>
        <w:rPr>
          <w:color w:val="3B383B"/>
          <w:spacing w:val="35"/>
          <w:w w:val="115"/>
          <w:sz w:val="16"/>
        </w:rPr>
        <w:t> </w:t>
      </w:r>
      <w:r>
        <w:rPr>
          <w:color w:val="3B383B"/>
          <w:w w:val="115"/>
          <w:sz w:val="16"/>
        </w:rPr>
        <w:t>N.E.2d</w:t>
      </w:r>
      <w:r>
        <w:rPr>
          <w:color w:val="3B383B"/>
          <w:spacing w:val="14"/>
          <w:w w:val="115"/>
          <w:sz w:val="16"/>
        </w:rPr>
        <w:t> </w:t>
      </w:r>
      <w:r>
        <w:rPr>
          <w:color w:val="3B383B"/>
          <w:w w:val="115"/>
          <w:sz w:val="16"/>
        </w:rPr>
        <w:t>1095</w:t>
      </w:r>
      <w:r>
        <w:rPr>
          <w:color w:val="3B383B"/>
          <w:spacing w:val="-16"/>
          <w:w w:val="115"/>
          <w:sz w:val="16"/>
        </w:rPr>
        <w:t> </w:t>
      </w:r>
      <w:r>
        <w:rPr>
          <w:color w:val="4F4F50"/>
          <w:w w:val="115"/>
          <w:sz w:val="16"/>
        </w:rPr>
        <w:t>(Ohio</w:t>
      </w:r>
      <w:r>
        <w:rPr>
          <w:color w:val="4F4F50"/>
          <w:spacing w:val="-18"/>
          <w:w w:val="115"/>
          <w:sz w:val="16"/>
        </w:rPr>
        <w:t> </w:t>
      </w:r>
      <w:r>
        <w:rPr>
          <w:color w:val="3B383B"/>
          <w:w w:val="115"/>
          <w:sz w:val="16"/>
        </w:rPr>
        <w:t>1991).</w:t>
      </w:r>
    </w:p>
    <w:p>
      <w:pPr>
        <w:spacing w:after="0"/>
        <w:jc w:val="both"/>
        <w:rPr>
          <w:sz w:val="16"/>
        </w:rPr>
        <w:sectPr>
          <w:pgSz w:w="9500" w:h="13750"/>
          <w:pgMar w:header="396" w:footer="0" w:top="1000" w:bottom="280" w:left="44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35" w:lineRule="auto"/>
        <w:ind w:left="769" w:right="122" w:firstLine="12"/>
        <w:jc w:val="both"/>
      </w:pPr>
      <w:r>
        <w:rPr>
          <w:color w:val="3B383A"/>
          <w:w w:val="110"/>
        </w:rPr>
        <w:t>one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or more of the plaintiff's causes of action. A </w:t>
      </w:r>
      <w:r>
        <w:rPr>
          <w:color w:val="2B282A"/>
          <w:w w:val="110"/>
        </w:rPr>
        <w:t>defendant </w:t>
      </w:r>
      <w:r>
        <w:rPr>
          <w:color w:val="3B383A"/>
          <w:w w:val="110"/>
        </w:rPr>
        <w:t>may use this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tactic in hopes of forcing a plaintiff to </w:t>
      </w:r>
      <w:r>
        <w:rPr>
          <w:color w:val="2B282A"/>
          <w:w w:val="110"/>
        </w:rPr>
        <w:t>reveal </w:t>
      </w:r>
      <w:r>
        <w:rPr>
          <w:color w:val="3B383A"/>
          <w:w w:val="110"/>
        </w:rPr>
        <w:t>that it has no evidence to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support certain allegations, leading the court to grant summary judgment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4"/>
          <w:w w:val="110"/>
        </w:rPr>
        <w:t> </w:t>
      </w:r>
      <w:r>
        <w:rPr>
          <w:color w:val="3B383A"/>
          <w:w w:val="110"/>
        </w:rPr>
        <w:t>defendant</w:t>
      </w:r>
      <w:r>
        <w:rPr>
          <w:color w:val="3B383A"/>
          <w:spacing w:val="-2"/>
          <w:w w:val="110"/>
        </w:rPr>
        <w:t> </w:t>
      </w:r>
      <w:r>
        <w:rPr>
          <w:color w:val="3B383A"/>
          <w:w w:val="110"/>
        </w:rPr>
        <w:t>as</w:t>
      </w:r>
      <w:r>
        <w:rPr>
          <w:color w:val="3B383A"/>
          <w:spacing w:val="-6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3"/>
          <w:w w:val="110"/>
        </w:rPr>
        <w:t> </w:t>
      </w:r>
      <w:r>
        <w:rPr>
          <w:color w:val="3B383A"/>
          <w:w w:val="110"/>
        </w:rPr>
        <w:t>those</w:t>
      </w:r>
      <w:r>
        <w:rPr>
          <w:color w:val="3B383A"/>
          <w:spacing w:val="-12"/>
          <w:w w:val="110"/>
        </w:rPr>
        <w:t> </w:t>
      </w:r>
      <w:r>
        <w:rPr>
          <w:color w:val="3B383A"/>
          <w:w w:val="110"/>
        </w:rPr>
        <w:t>allegations.</w:t>
      </w:r>
    </w:p>
    <w:p>
      <w:pPr>
        <w:pStyle w:val="BodyText"/>
        <w:spacing w:line="235" w:lineRule="auto"/>
        <w:ind w:left="773" w:right="122" w:firstLine="372"/>
        <w:jc w:val="both"/>
      </w:pPr>
      <w:r>
        <w:rPr>
          <w:rFonts w:ascii="Arial"/>
          <w:color w:val="3B383A"/>
          <w:w w:val="115"/>
          <w:sz w:val="22"/>
        </w:rPr>
        <w:t>If </w:t>
      </w:r>
      <w:r>
        <w:rPr>
          <w:color w:val="3B383A"/>
          <w:w w:val="115"/>
        </w:rPr>
        <w:t>you analogize the adversary nature of the trial to a poker game,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defense counsel may use a motion for summary judgment to call for a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"showdown,"</w:t>
      </w:r>
      <w:r>
        <w:rPr>
          <w:color w:val="2B282A"/>
          <w:w w:val="115"/>
        </w:rPr>
        <w:t>-in</w:t>
      </w:r>
      <w:r>
        <w:rPr>
          <w:color w:val="2B282A"/>
          <w:spacing w:val="1"/>
          <w:w w:val="115"/>
        </w:rPr>
        <w:t> </w:t>
      </w:r>
      <w:r>
        <w:rPr>
          <w:color w:val="3B383A"/>
          <w:w w:val="115"/>
        </w:rPr>
        <w:t>other words, "show me what evidence you have." In</w:t>
      </w:r>
      <w:r>
        <w:rPr>
          <w:color w:val="3B383A"/>
          <w:spacing w:val="-64"/>
          <w:w w:val="115"/>
        </w:rPr>
        <w:t> </w:t>
      </w:r>
      <w:r>
        <w:rPr>
          <w:color w:val="3B383A"/>
          <w:w w:val="110"/>
        </w:rPr>
        <w:t>other cases, a motion for summary judgment could be translated as </w:t>
      </w:r>
      <w:r>
        <w:rPr>
          <w:color w:val="4D4B4D"/>
          <w:w w:val="110"/>
        </w:rPr>
        <w:t>"read</w:t>
      </w:r>
      <w:r>
        <w:rPr>
          <w:color w:val="4D4B4D"/>
          <w:spacing w:val="1"/>
          <w:w w:val="110"/>
        </w:rPr>
        <w:t> </w:t>
      </w:r>
      <w:r>
        <w:rPr>
          <w:color w:val="4D4B4D"/>
          <w:w w:val="115"/>
        </w:rPr>
        <w:t>'em </w:t>
      </w:r>
      <w:r>
        <w:rPr>
          <w:color w:val="3B383A"/>
          <w:w w:val="115"/>
        </w:rPr>
        <w:t>and weep"</w:t>
      </w:r>
      <w:r>
        <w:rPr>
          <w:color w:val="2B282A"/>
          <w:w w:val="115"/>
        </w:rPr>
        <w:t>-in</w:t>
      </w:r>
      <w:r>
        <w:rPr>
          <w:color w:val="2B282A"/>
          <w:spacing w:val="1"/>
          <w:w w:val="115"/>
        </w:rPr>
        <w:t> </w:t>
      </w:r>
      <w:r>
        <w:rPr>
          <w:color w:val="3B383A"/>
          <w:w w:val="115"/>
        </w:rPr>
        <w:t>other words, "look at the evidence I have; </w:t>
      </w:r>
      <w:r>
        <w:rPr>
          <w:color w:val="2B282A"/>
          <w:w w:val="115"/>
        </w:rPr>
        <w:t>I </w:t>
      </w:r>
      <w:r>
        <w:rPr>
          <w:color w:val="3B383A"/>
          <w:w w:val="115"/>
        </w:rPr>
        <w:t>bet you</w:t>
      </w:r>
      <w:r>
        <w:rPr>
          <w:color w:val="3B383A"/>
          <w:spacing w:val="-64"/>
          <w:w w:val="115"/>
        </w:rPr>
        <w:t> </w:t>
      </w:r>
      <w:r>
        <w:rPr>
          <w:color w:val="3B383A"/>
          <w:w w:val="110"/>
        </w:rPr>
        <w:t>don't have enough evidence </w:t>
      </w:r>
      <w:r>
        <w:rPr>
          <w:color w:val="2B282A"/>
          <w:w w:val="110"/>
        </w:rPr>
        <w:t>to </w:t>
      </w:r>
      <w:r>
        <w:rPr>
          <w:color w:val="3B383A"/>
          <w:w w:val="110"/>
        </w:rPr>
        <w:t>match it." This technique may force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court</w:t>
      </w:r>
      <w:r>
        <w:rPr>
          <w:color w:val="3B383A"/>
          <w:spacing w:val="-6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3"/>
          <w:w w:val="110"/>
        </w:rPr>
        <w:t> </w:t>
      </w:r>
      <w:r>
        <w:rPr>
          <w:color w:val="2B282A"/>
          <w:w w:val="110"/>
        </w:rPr>
        <w:t>find</w:t>
      </w:r>
      <w:r>
        <w:rPr>
          <w:color w:val="2B282A"/>
          <w:spacing w:val="-1"/>
          <w:w w:val="110"/>
        </w:rPr>
        <w:t> </w:t>
      </w:r>
      <w:r>
        <w:rPr>
          <w:color w:val="3B383A"/>
          <w:w w:val="110"/>
        </w:rPr>
        <w:t>in</w:t>
      </w:r>
      <w:r>
        <w:rPr>
          <w:color w:val="3B383A"/>
          <w:spacing w:val="11"/>
          <w:w w:val="110"/>
        </w:rPr>
        <w:t> </w:t>
      </w:r>
      <w:r>
        <w:rPr>
          <w:color w:val="3B383A"/>
          <w:w w:val="110"/>
        </w:rPr>
        <w:t>defendant's</w:t>
      </w:r>
      <w:r>
        <w:rPr>
          <w:color w:val="3B383A"/>
          <w:spacing w:val="-15"/>
          <w:w w:val="110"/>
        </w:rPr>
        <w:t> </w:t>
      </w:r>
      <w:r>
        <w:rPr>
          <w:color w:val="3B383A"/>
          <w:w w:val="110"/>
        </w:rPr>
        <w:t>favor</w:t>
      </w:r>
      <w:r>
        <w:rPr>
          <w:color w:val="3B383A"/>
          <w:spacing w:val="-12"/>
          <w:w w:val="110"/>
        </w:rPr>
        <w:t> </w:t>
      </w:r>
      <w:r>
        <w:rPr>
          <w:color w:val="3B383A"/>
          <w:w w:val="110"/>
        </w:rPr>
        <w:t>or</w:t>
      </w:r>
      <w:r>
        <w:rPr>
          <w:color w:val="3B383A"/>
          <w:spacing w:val="15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7"/>
          <w:w w:val="110"/>
        </w:rPr>
        <w:t> </w:t>
      </w:r>
      <w:r>
        <w:rPr>
          <w:color w:val="3B383A"/>
          <w:w w:val="110"/>
        </w:rPr>
        <w:t>call</w:t>
      </w:r>
      <w:r>
        <w:rPr>
          <w:color w:val="3B383A"/>
          <w:spacing w:val="-18"/>
          <w:w w:val="110"/>
        </w:rPr>
        <w:t> </w:t>
      </w:r>
      <w:r>
        <w:rPr>
          <w:color w:val="3B383A"/>
          <w:w w:val="110"/>
        </w:rPr>
        <w:t>an</w:t>
      </w:r>
      <w:r>
        <w:rPr>
          <w:color w:val="3B383A"/>
          <w:spacing w:val="35"/>
          <w:w w:val="110"/>
        </w:rPr>
        <w:t> </w:t>
      </w:r>
      <w:r>
        <w:rPr>
          <w:color w:val="3B383A"/>
          <w:w w:val="110"/>
        </w:rPr>
        <w:t>issue</w:t>
      </w:r>
      <w:r>
        <w:rPr>
          <w:color w:val="3B383A"/>
          <w:spacing w:val="-8"/>
          <w:w w:val="110"/>
        </w:rPr>
        <w:t> </w:t>
      </w:r>
      <w:r>
        <w:rPr>
          <w:color w:val="3B383A"/>
          <w:w w:val="110"/>
        </w:rPr>
        <w:t>into</w:t>
      </w:r>
      <w:r>
        <w:rPr>
          <w:color w:val="3B383A"/>
          <w:spacing w:val="-12"/>
          <w:w w:val="110"/>
        </w:rPr>
        <w:t> </w:t>
      </w:r>
      <w:r>
        <w:rPr>
          <w:color w:val="3B383A"/>
          <w:w w:val="110"/>
        </w:rPr>
        <w:t>question.</w:t>
      </w:r>
    </w:p>
    <w:p>
      <w:pPr>
        <w:pStyle w:val="BodyText"/>
        <w:spacing w:line="235" w:lineRule="auto"/>
        <w:ind w:left="801" w:right="112" w:firstLine="390"/>
        <w:jc w:val="both"/>
      </w:pPr>
      <w:r>
        <w:rPr>
          <w:color w:val="3B383A"/>
          <w:w w:val="110"/>
        </w:rPr>
        <w:t>When arguing a motion for summary judgment, be sure to research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both howyour jurisdiction articulates the standard of review for this type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of motion and the </w:t>
      </w:r>
      <w:r>
        <w:rPr>
          <w:color w:val="2B282A"/>
          <w:w w:val="110"/>
        </w:rPr>
        <w:t>relevant </w:t>
      </w:r>
      <w:r>
        <w:rPr>
          <w:color w:val="3B383A"/>
          <w:w w:val="110"/>
        </w:rPr>
        <w:t>burdens of proof for each underlying cause of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action.</w:t>
      </w:r>
    </w:p>
    <w:p>
      <w:pPr>
        <w:pStyle w:val="BodyText"/>
        <w:spacing w:before="11"/>
        <w:rPr>
          <w:sz w:val="30"/>
        </w:rPr>
      </w:pPr>
    </w:p>
    <w:p>
      <w:pPr>
        <w:spacing w:before="0"/>
        <w:ind w:left="1159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3B383A"/>
          <w:w w:val="110"/>
          <w:sz w:val="27"/>
        </w:rPr>
        <w:t>2</w:t>
      </w:r>
      <w:r>
        <w:rPr>
          <w:rFonts w:ascii="Arial"/>
          <w:b/>
          <w:color w:val="646667"/>
          <w:w w:val="110"/>
          <w:sz w:val="27"/>
        </w:rPr>
        <w:t>.4</w:t>
      </w:r>
      <w:r>
        <w:rPr>
          <w:rFonts w:ascii="Arial"/>
          <w:b/>
          <w:color w:val="3B383A"/>
          <w:w w:val="110"/>
          <w:sz w:val="27"/>
        </w:rPr>
        <w:t>.3</w:t>
      </w:r>
    </w:p>
    <w:p>
      <w:pPr>
        <w:spacing w:line="302" w:lineRule="auto" w:before="45"/>
        <w:ind w:left="1136" w:right="1069" w:firstLine="9"/>
        <w:jc w:val="left"/>
        <w:rPr>
          <w:rFonts w:ascii="Arial"/>
          <w:sz w:val="21"/>
        </w:rPr>
      </w:pPr>
      <w:r>
        <w:rPr>
          <w:rFonts w:ascii="Arial"/>
          <w:color w:val="4D4B4D"/>
          <w:sz w:val="22"/>
        </w:rPr>
        <w:t>IDE</w:t>
      </w:r>
      <w:r>
        <w:rPr>
          <w:rFonts w:ascii="Arial"/>
          <w:color w:val="646667"/>
          <w:sz w:val="22"/>
        </w:rPr>
        <w:t>N</w:t>
      </w:r>
      <w:r>
        <w:rPr>
          <w:rFonts w:ascii="Arial"/>
          <w:color w:val="4D4B4D"/>
          <w:sz w:val="22"/>
        </w:rPr>
        <w:t>T</w:t>
      </w:r>
      <w:r>
        <w:rPr>
          <w:rFonts w:ascii="Arial"/>
          <w:color w:val="646667"/>
          <w:sz w:val="22"/>
        </w:rPr>
        <w:t>I</w:t>
      </w:r>
      <w:r>
        <w:rPr>
          <w:rFonts w:ascii="Arial"/>
          <w:color w:val="4D4B4D"/>
          <w:sz w:val="22"/>
        </w:rPr>
        <w:t>F</w:t>
      </w:r>
      <w:r>
        <w:rPr>
          <w:rFonts w:ascii="Arial"/>
          <w:color w:val="646667"/>
          <w:sz w:val="22"/>
        </w:rPr>
        <w:t>Y</w:t>
      </w:r>
      <w:r>
        <w:rPr>
          <w:rFonts w:ascii="Arial"/>
          <w:color w:val="4D4B4D"/>
          <w:sz w:val="22"/>
        </w:rPr>
        <w:t>I</w:t>
      </w:r>
      <w:r>
        <w:rPr>
          <w:rFonts w:ascii="Arial"/>
          <w:color w:val="646667"/>
          <w:sz w:val="22"/>
        </w:rPr>
        <w:t>N</w:t>
      </w:r>
      <w:r>
        <w:rPr>
          <w:rFonts w:ascii="Arial"/>
          <w:color w:val="4D4B4D"/>
          <w:sz w:val="22"/>
        </w:rPr>
        <w:t>G</w:t>
      </w:r>
      <w:r>
        <w:rPr>
          <w:rFonts w:ascii="Arial"/>
          <w:color w:val="4D4B4D"/>
          <w:spacing w:val="47"/>
          <w:sz w:val="22"/>
        </w:rPr>
        <w:t> </w:t>
      </w:r>
      <w:r>
        <w:rPr>
          <w:rFonts w:ascii="Arial"/>
          <w:color w:val="4D4B4D"/>
          <w:sz w:val="22"/>
        </w:rPr>
        <w:t>THE</w:t>
      </w:r>
      <w:r>
        <w:rPr>
          <w:rFonts w:ascii="Arial"/>
          <w:color w:val="4D4B4D"/>
          <w:spacing w:val="45"/>
          <w:sz w:val="22"/>
        </w:rPr>
        <w:t> </w:t>
      </w:r>
      <w:r>
        <w:rPr>
          <w:rFonts w:ascii="Arial"/>
          <w:color w:val="646667"/>
          <w:sz w:val="22"/>
        </w:rPr>
        <w:t>A</w:t>
      </w:r>
      <w:r>
        <w:rPr>
          <w:rFonts w:ascii="Arial"/>
          <w:color w:val="4D4B4D"/>
          <w:sz w:val="22"/>
        </w:rPr>
        <w:t>P</w:t>
      </w:r>
      <w:r>
        <w:rPr>
          <w:rFonts w:ascii="Arial"/>
          <w:color w:val="646667"/>
          <w:sz w:val="22"/>
        </w:rPr>
        <w:t>PROPRIATE</w:t>
      </w:r>
      <w:r>
        <w:rPr>
          <w:rFonts w:ascii="Arial"/>
          <w:color w:val="646667"/>
          <w:spacing w:val="36"/>
          <w:sz w:val="22"/>
        </w:rPr>
        <w:t> </w:t>
      </w:r>
      <w:r>
        <w:rPr>
          <w:rFonts w:ascii="Arial"/>
          <w:color w:val="797C7E"/>
          <w:sz w:val="22"/>
        </w:rPr>
        <w:t>MOTION</w:t>
      </w:r>
      <w:r>
        <w:rPr>
          <w:rFonts w:ascii="Arial"/>
          <w:color w:val="797C7E"/>
          <w:spacing w:val="14"/>
          <w:sz w:val="22"/>
        </w:rPr>
        <w:t> </w:t>
      </w:r>
      <w:r>
        <w:rPr>
          <w:rFonts w:ascii="Arial"/>
          <w:color w:val="797C7E"/>
          <w:sz w:val="22"/>
        </w:rPr>
        <w:t>STANDARD</w:t>
      </w:r>
      <w:r>
        <w:rPr>
          <w:rFonts w:ascii="Arial"/>
          <w:color w:val="797C7E"/>
          <w:spacing w:val="-59"/>
          <w:sz w:val="22"/>
        </w:rPr>
        <w:t> </w:t>
      </w:r>
      <w:r>
        <w:rPr>
          <w:rFonts w:ascii="Arial"/>
          <w:color w:val="4D4B4D"/>
          <w:w w:val="105"/>
          <w:sz w:val="22"/>
        </w:rPr>
        <w:t>O</w:t>
      </w:r>
      <w:r>
        <w:rPr>
          <w:rFonts w:ascii="Arial"/>
          <w:color w:val="646667"/>
          <w:w w:val="105"/>
          <w:sz w:val="22"/>
        </w:rPr>
        <w:t>F</w:t>
      </w:r>
      <w:r>
        <w:rPr>
          <w:rFonts w:ascii="Arial"/>
          <w:color w:val="646667"/>
          <w:spacing w:val="-21"/>
          <w:w w:val="105"/>
          <w:sz w:val="22"/>
        </w:rPr>
        <w:t> </w:t>
      </w:r>
      <w:r>
        <w:rPr>
          <w:rFonts w:ascii="Arial"/>
          <w:color w:val="646667"/>
          <w:w w:val="105"/>
          <w:sz w:val="21"/>
        </w:rPr>
        <w:t>REV</w:t>
      </w:r>
      <w:r>
        <w:rPr>
          <w:rFonts w:ascii="Arial"/>
          <w:color w:val="4D4B4D"/>
          <w:w w:val="105"/>
          <w:sz w:val="21"/>
        </w:rPr>
        <w:t>IE</w:t>
      </w:r>
      <w:r>
        <w:rPr>
          <w:rFonts w:ascii="Arial"/>
          <w:color w:val="646667"/>
          <w:w w:val="105"/>
          <w:sz w:val="21"/>
        </w:rPr>
        <w:t>W</w:t>
      </w:r>
    </w:p>
    <w:p>
      <w:pPr>
        <w:pStyle w:val="BodyText"/>
        <w:spacing w:line="235" w:lineRule="auto" w:before="90"/>
        <w:ind w:left="701" w:right="113" w:firstLine="432"/>
        <w:jc w:val="both"/>
      </w:pPr>
      <w:r>
        <w:rPr>
          <w:color w:val="3B383A"/>
          <w:w w:val="110"/>
        </w:rPr>
        <w:t>With appellate standards of review, a few set standards apply to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many different kinds of decisions that can be reviewed. Motion standards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of review, in </w:t>
      </w:r>
      <w:r>
        <w:rPr>
          <w:color w:val="4D4B4D"/>
          <w:w w:val="110"/>
        </w:rPr>
        <w:t>contrast, </w:t>
      </w:r>
      <w:r>
        <w:rPr>
          <w:color w:val="3B383A"/>
          <w:w w:val="110"/>
        </w:rPr>
        <w:t>are often specific to a particular motion.</w:t>
      </w:r>
      <w:r>
        <w:rPr>
          <w:color w:val="3B383A"/>
          <w:w w:val="110"/>
          <w:vertAlign w:val="superscript"/>
        </w:rPr>
        <w:t>4</w:t>
      </w:r>
      <w:r>
        <w:rPr>
          <w:color w:val="3B383A"/>
          <w:w w:val="110"/>
          <w:vertAlign w:val="baseline"/>
        </w:rPr>
        <w:t>s As with</w:t>
      </w:r>
      <w:r>
        <w:rPr>
          <w:color w:val="3B383A"/>
          <w:spacing w:val="1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appellate standards of review, the language of the standard may be similar</w:t>
      </w:r>
      <w:r>
        <w:rPr>
          <w:color w:val="3B383A"/>
          <w:spacing w:val="1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in</w:t>
      </w:r>
      <w:r>
        <w:rPr>
          <w:color w:val="3B383A"/>
          <w:spacing w:val="1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both state and federal courts, but you should consult the appropriate</w:t>
      </w:r>
      <w:r>
        <w:rPr>
          <w:color w:val="3B383A"/>
          <w:spacing w:val="1"/>
          <w:w w:val="110"/>
          <w:vertAlign w:val="baseline"/>
        </w:rPr>
        <w:t> </w:t>
      </w:r>
      <w:r>
        <w:rPr>
          <w:color w:val="2B282A"/>
          <w:w w:val="110"/>
          <w:vertAlign w:val="baseline"/>
        </w:rPr>
        <w:t>rules</w:t>
      </w:r>
      <w:r>
        <w:rPr>
          <w:color w:val="2B282A"/>
          <w:spacing w:val="-13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and</w:t>
      </w:r>
      <w:r>
        <w:rPr>
          <w:color w:val="3B383A"/>
          <w:spacing w:val="8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authorities</w:t>
      </w:r>
      <w:r>
        <w:rPr>
          <w:color w:val="3B383A"/>
          <w:spacing w:val="-5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in</w:t>
      </w:r>
      <w:r>
        <w:rPr>
          <w:color w:val="3B383A"/>
          <w:spacing w:val="6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the</w:t>
      </w:r>
      <w:r>
        <w:rPr>
          <w:color w:val="3B383A"/>
          <w:spacing w:val="20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relevant</w:t>
      </w:r>
      <w:r>
        <w:rPr>
          <w:color w:val="3B383A"/>
          <w:spacing w:val="27"/>
          <w:w w:val="110"/>
          <w:vertAlign w:val="baseline"/>
        </w:rPr>
        <w:t> </w:t>
      </w:r>
      <w:r>
        <w:rPr>
          <w:color w:val="2B282A"/>
          <w:w w:val="110"/>
          <w:vertAlign w:val="baseline"/>
        </w:rPr>
        <w:t>jurisdiction.</w:t>
      </w:r>
    </w:p>
    <w:p>
      <w:pPr>
        <w:pStyle w:val="BodyText"/>
        <w:spacing w:line="235" w:lineRule="auto" w:before="5"/>
        <w:ind w:left="644" w:right="123" w:firstLine="431"/>
        <w:jc w:val="both"/>
      </w:pPr>
      <w:r>
        <w:rPr>
          <w:color w:val="3B383A"/>
          <w:w w:val="110"/>
        </w:rPr>
        <w:t>Because motion standards of </w:t>
      </w:r>
      <w:r>
        <w:rPr>
          <w:color w:val="2B282A"/>
          <w:w w:val="110"/>
        </w:rPr>
        <w:t>review </w:t>
      </w:r>
      <w:r>
        <w:rPr>
          <w:color w:val="3B383A"/>
          <w:w w:val="110"/>
        </w:rPr>
        <w:t>tend </w:t>
      </w:r>
      <w:r>
        <w:rPr>
          <w:color w:val="2B282A"/>
          <w:w w:val="110"/>
        </w:rPr>
        <w:t>to </w:t>
      </w:r>
      <w:r>
        <w:rPr>
          <w:color w:val="3B383A"/>
          <w:w w:val="110"/>
        </w:rPr>
        <w:t>be motion-specific, identi­</w:t>
      </w:r>
      <w:r>
        <w:rPr>
          <w:color w:val="3B383A"/>
          <w:spacing w:val="-61"/>
          <w:w w:val="110"/>
        </w:rPr>
        <w:t> </w:t>
      </w:r>
      <w:r>
        <w:rPr>
          <w:color w:val="3B383A"/>
          <w:w w:val="110"/>
        </w:rPr>
        <w:t>fying the appropriate motion standard of review is usuallya more mechani­</w:t>
      </w:r>
      <w:r>
        <w:rPr>
          <w:color w:val="3B383A"/>
          <w:spacing w:val="-61"/>
          <w:w w:val="110"/>
        </w:rPr>
        <w:t> </w:t>
      </w:r>
      <w:r>
        <w:rPr>
          <w:color w:val="3B383A"/>
          <w:w w:val="110"/>
        </w:rPr>
        <w:t>cal process than identifying the appellate standard of review. </w:t>
      </w:r>
      <w:r>
        <w:rPr>
          <w:rFonts w:ascii="Arial" w:hAnsi="Arial"/>
          <w:color w:val="3B383A"/>
          <w:w w:val="110"/>
          <w:sz w:val="22"/>
        </w:rPr>
        <w:t>If </w:t>
      </w:r>
      <w:r>
        <w:rPr>
          <w:color w:val="3B383A"/>
          <w:w w:val="110"/>
        </w:rPr>
        <w:t>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motion</w:t>
      </w:r>
      <w:r>
        <w:rPr>
          <w:color w:val="3B383A"/>
          <w:spacing w:val="-61"/>
          <w:w w:val="110"/>
        </w:rPr>
        <w:t> </w:t>
      </w:r>
      <w:r>
        <w:rPr>
          <w:color w:val="2B282A"/>
          <w:w w:val="110"/>
        </w:rPr>
        <w:t>is </w:t>
      </w:r>
      <w:r>
        <w:rPr>
          <w:color w:val="3B383A"/>
          <w:w w:val="110"/>
        </w:rPr>
        <w:t>mentioned specifically </w:t>
      </w:r>
      <w:r>
        <w:rPr>
          <w:color w:val="2B282A"/>
          <w:w w:val="110"/>
        </w:rPr>
        <w:t>in </w:t>
      </w:r>
      <w:r>
        <w:rPr>
          <w:color w:val="3B383A"/>
          <w:w w:val="110"/>
        </w:rPr>
        <w:t>the civil or criminal rules, that is the place </w:t>
      </w:r>
      <w:r>
        <w:rPr>
          <w:color w:val="2B282A"/>
          <w:w w:val="110"/>
        </w:rPr>
        <w:t>to</w:t>
      </w:r>
      <w:r>
        <w:rPr>
          <w:color w:val="2B282A"/>
          <w:spacing w:val="1"/>
          <w:w w:val="110"/>
        </w:rPr>
        <w:t> </w:t>
      </w:r>
      <w:r>
        <w:rPr>
          <w:color w:val="3B383A"/>
          <w:w w:val="110"/>
        </w:rPr>
        <w:t>start, but not end, your research. In addition to consulting the appropriate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rules, you should conduct focused research to identify cases </w:t>
      </w:r>
      <w:r>
        <w:rPr>
          <w:color w:val="2B282A"/>
          <w:w w:val="110"/>
        </w:rPr>
        <w:t>in </w:t>
      </w:r>
      <w:r>
        <w:rPr>
          <w:color w:val="3B383A"/>
          <w:w w:val="110"/>
        </w:rPr>
        <w:t>which the</w:t>
      </w:r>
      <w:r>
        <w:rPr>
          <w:color w:val="3B383A"/>
          <w:spacing w:val="1"/>
          <w:w w:val="110"/>
        </w:rPr>
        <w:t> </w:t>
      </w:r>
      <w:r>
        <w:rPr>
          <w:color w:val="2B282A"/>
          <w:w w:val="110"/>
        </w:rPr>
        <w:t>relevant </w:t>
      </w:r>
      <w:r>
        <w:rPr>
          <w:color w:val="3B383A"/>
          <w:w w:val="110"/>
        </w:rPr>
        <w:t>courts have applied the standard. Some of these courts may have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elaborated on the meaning of the standard, and this "judicial gloss" may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have</w:t>
      </w:r>
      <w:r>
        <w:rPr>
          <w:color w:val="3B383A"/>
          <w:spacing w:val="-4"/>
          <w:w w:val="110"/>
        </w:rPr>
        <w:t> </w:t>
      </w:r>
      <w:r>
        <w:rPr>
          <w:color w:val="3B383A"/>
          <w:w w:val="110"/>
        </w:rPr>
        <w:t>become</w:t>
      </w:r>
      <w:r>
        <w:rPr>
          <w:color w:val="3B383A"/>
          <w:spacing w:val="-16"/>
          <w:w w:val="110"/>
        </w:rPr>
        <w:t> </w:t>
      </w:r>
      <w:r>
        <w:rPr>
          <w:color w:val="3B383A"/>
          <w:w w:val="110"/>
        </w:rPr>
        <w:t>a</w:t>
      </w:r>
      <w:r>
        <w:rPr>
          <w:color w:val="3B383A"/>
          <w:spacing w:val="8"/>
          <w:w w:val="110"/>
        </w:rPr>
        <w:t> </w:t>
      </w:r>
      <w:r>
        <w:rPr>
          <w:color w:val="3B383A"/>
          <w:w w:val="110"/>
        </w:rPr>
        <w:t>part</w:t>
      </w:r>
      <w:r>
        <w:rPr>
          <w:color w:val="3B383A"/>
          <w:spacing w:val="-6"/>
          <w:w w:val="110"/>
        </w:rPr>
        <w:t> </w:t>
      </w:r>
      <w:r>
        <w:rPr>
          <w:color w:val="3B383A"/>
          <w:w w:val="110"/>
        </w:rPr>
        <w:t>of</w:t>
      </w:r>
      <w:r>
        <w:rPr>
          <w:color w:val="3B383A"/>
          <w:spacing w:val="3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25"/>
          <w:w w:val="110"/>
        </w:rPr>
        <w:t> </w:t>
      </w:r>
      <w:r>
        <w:rPr>
          <w:color w:val="3B383A"/>
          <w:w w:val="110"/>
        </w:rPr>
        <w:t>standard</w:t>
      </w:r>
      <w:r>
        <w:rPr>
          <w:color w:val="3B383A"/>
          <w:spacing w:val="13"/>
          <w:w w:val="110"/>
        </w:rPr>
        <w:t> </w:t>
      </w:r>
      <w:r>
        <w:rPr>
          <w:color w:val="3B383A"/>
          <w:w w:val="110"/>
        </w:rPr>
        <w:t>of</w:t>
      </w:r>
      <w:r>
        <w:rPr>
          <w:color w:val="3B383A"/>
          <w:spacing w:val="11"/>
          <w:w w:val="110"/>
        </w:rPr>
        <w:t> </w:t>
      </w:r>
      <w:r>
        <w:rPr>
          <w:color w:val="3B383A"/>
          <w:w w:val="110"/>
        </w:rPr>
        <w:t>review.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232" w:lineRule="auto" w:before="1"/>
        <w:ind w:left="542" w:right="168" w:firstLine="427"/>
        <w:jc w:val="both"/>
        <w:rPr>
          <w:sz w:val="18"/>
        </w:rPr>
      </w:pPr>
      <w:r>
        <w:rPr>
          <w:rFonts w:ascii="Arial" w:hAnsi="Arial"/>
          <w:color w:val="3B383A"/>
          <w:w w:val="110"/>
          <w:sz w:val="18"/>
          <w:vertAlign w:val="superscript"/>
        </w:rPr>
        <w:t>0</w:t>
      </w:r>
      <w:r>
        <w:rPr>
          <w:color w:val="3B383A"/>
          <w:w w:val="110"/>
          <w:sz w:val="18"/>
          <w:vertAlign w:val="baseline"/>
        </w:rPr>
        <w:t>Toere maybe </w:t>
      </w:r>
      <w:r>
        <w:rPr>
          <w:i/>
          <w:color w:val="4D4B4D"/>
          <w:w w:val="110"/>
          <w:sz w:val="19"/>
          <w:vertAlign w:val="baseline"/>
        </w:rPr>
        <w:t>some </w:t>
      </w:r>
      <w:r>
        <w:rPr>
          <w:color w:val="3B383A"/>
          <w:w w:val="110"/>
          <w:sz w:val="18"/>
          <w:vertAlign w:val="baseline"/>
        </w:rPr>
        <w:t>overlap of motion standards </w:t>
      </w:r>
      <w:r>
        <w:rPr>
          <w:color w:val="4D4B4D"/>
          <w:w w:val="110"/>
          <w:sz w:val="18"/>
          <w:vertAlign w:val="baseline"/>
        </w:rPr>
        <w:t>of </w:t>
      </w:r>
      <w:r>
        <w:rPr>
          <w:color w:val="3B383A"/>
          <w:w w:val="110"/>
          <w:sz w:val="18"/>
          <w:vertAlign w:val="baseline"/>
        </w:rPr>
        <w:t>review. For example, under Ohio Jaw,</w:t>
      </w:r>
      <w:r>
        <w:rPr>
          <w:color w:val="3B383A"/>
          <w:spacing w:val="1"/>
          <w:w w:val="110"/>
          <w:sz w:val="18"/>
          <w:vertAlign w:val="baseline"/>
        </w:rPr>
        <w:t> </w:t>
      </w:r>
      <w:r>
        <w:rPr>
          <w:color w:val="3B383A"/>
          <w:w w:val="110"/>
          <w:sz w:val="18"/>
          <w:vertAlign w:val="baseline"/>
        </w:rPr>
        <w:t>Ohio Rule of Civil Procedure 50 regulates both motions for a directed </w:t>
      </w:r>
      <w:r>
        <w:rPr>
          <w:color w:val="4D4B4D"/>
          <w:w w:val="110"/>
          <w:sz w:val="18"/>
          <w:vertAlign w:val="baseline"/>
        </w:rPr>
        <w:t>verdict </w:t>
      </w:r>
      <w:r>
        <w:rPr>
          <w:color w:val="3B383A"/>
          <w:w w:val="110"/>
          <w:sz w:val="18"/>
          <w:vertAlign w:val="baseline"/>
        </w:rPr>
        <w:t>and motions </w:t>
      </w:r>
      <w:r>
        <w:rPr>
          <w:color w:val="4D4B4D"/>
          <w:w w:val="110"/>
          <w:sz w:val="18"/>
          <w:vertAlign w:val="baseline"/>
        </w:rPr>
        <w:t>for</w:t>
      </w:r>
      <w:r>
        <w:rPr>
          <w:color w:val="4D4B4D"/>
          <w:spacing w:val="1"/>
          <w:w w:val="110"/>
          <w:sz w:val="18"/>
          <w:vertAlign w:val="baseline"/>
        </w:rPr>
        <w:t> </w:t>
      </w:r>
      <w:r>
        <w:rPr>
          <w:color w:val="4D4B4D"/>
          <w:w w:val="110"/>
          <w:sz w:val="18"/>
          <w:vertAlign w:val="baseline"/>
        </w:rPr>
        <w:t>Judgment </w:t>
      </w:r>
      <w:r>
        <w:rPr>
          <w:color w:val="3B383A"/>
          <w:w w:val="110"/>
          <w:sz w:val="18"/>
          <w:vertAlign w:val="baseline"/>
        </w:rPr>
        <w:t>notwithstanding the verdict, and </w:t>
      </w:r>
      <w:r>
        <w:rPr>
          <w:color w:val="4D4B4D"/>
          <w:w w:val="110"/>
          <w:sz w:val="18"/>
          <w:vertAlign w:val="baseline"/>
        </w:rPr>
        <w:t>the </w:t>
      </w:r>
      <w:r>
        <w:rPr>
          <w:color w:val="3B383A"/>
          <w:w w:val="110"/>
          <w:sz w:val="18"/>
          <w:vertAlign w:val="baseline"/>
        </w:rPr>
        <w:t>two motions share the same </w:t>
      </w:r>
      <w:r>
        <w:rPr>
          <w:color w:val="4D4B4D"/>
          <w:w w:val="110"/>
          <w:sz w:val="18"/>
          <w:vertAlign w:val="baseline"/>
        </w:rPr>
        <w:t>standard of </w:t>
      </w:r>
      <w:r>
        <w:rPr>
          <w:color w:val="2B282A"/>
          <w:w w:val="110"/>
          <w:sz w:val="18"/>
          <w:vertAlign w:val="baseline"/>
        </w:rPr>
        <w:t>review</w:t>
      </w:r>
      <w:r>
        <w:rPr>
          <w:color w:val="4D4B4D"/>
          <w:w w:val="110"/>
          <w:sz w:val="18"/>
          <w:vertAlign w:val="baseline"/>
        </w:rPr>
        <w:t>:</w:t>
      </w:r>
      <w:r>
        <w:rPr>
          <w:color w:val="4D4B4D"/>
          <w:spacing w:val="1"/>
          <w:w w:val="110"/>
          <w:sz w:val="18"/>
          <w:vertAlign w:val="baseline"/>
        </w:rPr>
        <w:t> </w:t>
      </w:r>
      <w:r>
        <w:rPr>
          <w:color w:val="3B383A"/>
          <w:w w:val="110"/>
          <w:sz w:val="18"/>
          <w:vertAlign w:val="baseline"/>
        </w:rPr>
        <w:t>"The court must Issue a directed verdict when, 'after construing the </w:t>
      </w:r>
      <w:r>
        <w:rPr>
          <w:color w:val="4D4B4D"/>
          <w:w w:val="110"/>
          <w:sz w:val="18"/>
          <w:vertAlign w:val="baseline"/>
        </w:rPr>
        <w:t>evidence </w:t>
      </w:r>
      <w:r>
        <w:rPr>
          <w:color w:val="3B383A"/>
          <w:w w:val="110"/>
          <w:sz w:val="18"/>
          <w:vertAlign w:val="baseline"/>
        </w:rPr>
        <w:t>most strongly </w:t>
      </w:r>
      <w:r>
        <w:rPr>
          <w:rFonts w:ascii="Arial" w:hAnsi="Arial"/>
          <w:color w:val="3B383A"/>
          <w:w w:val="110"/>
          <w:sz w:val="17"/>
          <w:vertAlign w:val="baseline"/>
        </w:rPr>
        <w:t>Ill</w:t>
      </w:r>
      <w:r>
        <w:rPr>
          <w:rFonts w:ascii="Arial" w:hAnsi="Arial"/>
          <w:color w:val="3B383A"/>
          <w:spacing w:val="1"/>
          <w:w w:val="110"/>
          <w:sz w:val="17"/>
          <w:vertAlign w:val="baseline"/>
        </w:rPr>
        <w:t> </w:t>
      </w:r>
      <w:r>
        <w:rPr>
          <w:color w:val="3B383A"/>
          <w:w w:val="110"/>
          <w:sz w:val="18"/>
          <w:vertAlign w:val="baseline"/>
        </w:rPr>
        <w:t>favor of the party against whom the motion </w:t>
      </w:r>
      <w:r>
        <w:rPr>
          <w:color w:val="4D4B4D"/>
          <w:w w:val="110"/>
          <w:sz w:val="18"/>
          <w:vertAlign w:val="baseline"/>
        </w:rPr>
        <w:t>is </w:t>
      </w:r>
      <w:r>
        <w:rPr>
          <w:color w:val="3B383A"/>
          <w:w w:val="110"/>
          <w:sz w:val="18"/>
          <w:vertAlign w:val="baseline"/>
        </w:rPr>
        <w:t>directed, [thecourt) finds that upon any deterrnl·</w:t>
      </w:r>
      <w:r>
        <w:rPr>
          <w:color w:val="3B383A"/>
          <w:spacing w:val="1"/>
          <w:w w:val="110"/>
          <w:sz w:val="18"/>
          <w:vertAlign w:val="baseline"/>
        </w:rPr>
        <w:t> </w:t>
      </w:r>
      <w:r>
        <w:rPr>
          <w:color w:val="3B383A"/>
          <w:w w:val="110"/>
          <w:sz w:val="18"/>
          <w:vertAlign w:val="baseline"/>
        </w:rPr>
        <w:t>native Issue reasonable minds could come to but one conclusion upon the evidence submitted</w:t>
      </w:r>
      <w:r>
        <w:rPr>
          <w:color w:val="3B383A"/>
          <w:spacing w:val="1"/>
          <w:w w:val="110"/>
          <w:sz w:val="18"/>
          <w:vertAlign w:val="baseline"/>
        </w:rPr>
        <w:t> </w:t>
      </w:r>
      <w:r>
        <w:rPr>
          <w:color w:val="3B383A"/>
          <w:w w:val="110"/>
          <w:sz w:val="18"/>
          <w:vertAlign w:val="baseline"/>
        </w:rPr>
        <w:t>and</w:t>
      </w:r>
      <w:r>
        <w:rPr>
          <w:color w:val="3B383A"/>
          <w:spacing w:val="1"/>
          <w:w w:val="110"/>
          <w:sz w:val="18"/>
          <w:vertAlign w:val="baseline"/>
        </w:rPr>
        <w:t> </w:t>
      </w:r>
      <w:r>
        <w:rPr>
          <w:color w:val="4D4B4D"/>
          <w:w w:val="110"/>
          <w:sz w:val="18"/>
          <w:vertAlign w:val="baseline"/>
        </w:rPr>
        <w:t>that </w:t>
      </w:r>
      <w:r>
        <w:rPr>
          <w:color w:val="3B383A"/>
          <w:w w:val="110"/>
          <w:sz w:val="18"/>
          <w:vertAlign w:val="baseline"/>
        </w:rPr>
        <w:t>conclusion ls adverse to such party.' Clv. </w:t>
      </w:r>
      <w:r>
        <w:rPr>
          <w:rFonts w:ascii="Arial" w:hAnsi="Arial"/>
          <w:b/>
          <w:color w:val="3B383A"/>
          <w:w w:val="110"/>
          <w:sz w:val="17"/>
          <w:vertAlign w:val="baseline"/>
        </w:rPr>
        <w:t>R. </w:t>
      </w:r>
      <w:r>
        <w:rPr>
          <w:color w:val="3B383A"/>
          <w:w w:val="110"/>
          <w:sz w:val="18"/>
          <w:vertAlign w:val="baseline"/>
        </w:rPr>
        <w:t>50(AJ(4). This ls the same legal </w:t>
      </w:r>
      <w:r>
        <w:rPr>
          <w:color w:val="4D4B4D"/>
          <w:w w:val="110"/>
          <w:sz w:val="18"/>
          <w:vertAlign w:val="baseline"/>
        </w:rPr>
        <w:t>standa</w:t>
      </w:r>
      <w:r>
        <w:rPr>
          <w:color w:val="2B282A"/>
          <w:w w:val="110"/>
          <w:sz w:val="18"/>
          <w:vertAlign w:val="baseline"/>
        </w:rPr>
        <w:t>rd</w:t>
      </w:r>
      <w:r>
        <w:rPr>
          <w:color w:val="2B282A"/>
          <w:spacing w:val="1"/>
          <w:w w:val="110"/>
          <w:sz w:val="18"/>
          <w:vertAlign w:val="baseline"/>
        </w:rPr>
        <w:t> </w:t>
      </w:r>
      <w:r>
        <w:rPr>
          <w:color w:val="3B383A"/>
          <w:spacing w:val="-1"/>
          <w:w w:val="114"/>
          <w:sz w:val="18"/>
          <w:vertAlign w:val="baseline"/>
        </w:rPr>
        <w:t>applie</w:t>
      </w:r>
      <w:r>
        <w:rPr>
          <w:color w:val="3B383A"/>
          <w:w w:val="114"/>
          <w:sz w:val="18"/>
          <w:vertAlign w:val="baseline"/>
        </w:rPr>
        <w:t>d</w:t>
      </w:r>
      <w:r>
        <w:rPr>
          <w:color w:val="3B383A"/>
          <w:spacing w:val="9"/>
          <w:sz w:val="18"/>
          <w:vertAlign w:val="baseline"/>
        </w:rPr>
        <w:t> </w:t>
      </w:r>
      <w:r>
        <w:rPr>
          <w:color w:val="3B383A"/>
          <w:spacing w:val="-1"/>
          <w:w w:val="114"/>
          <w:sz w:val="18"/>
          <w:vertAlign w:val="baseline"/>
        </w:rPr>
        <w:t>t</w:t>
      </w:r>
      <w:r>
        <w:rPr>
          <w:color w:val="3B383A"/>
          <w:w w:val="114"/>
          <w:sz w:val="18"/>
          <w:vertAlign w:val="baseline"/>
        </w:rPr>
        <w:t>o</w:t>
      </w:r>
      <w:r>
        <w:rPr>
          <w:color w:val="3B383A"/>
          <w:spacing w:val="7"/>
          <w:sz w:val="18"/>
          <w:vertAlign w:val="baseline"/>
        </w:rPr>
        <w:t> </w:t>
      </w:r>
      <w:r>
        <w:rPr>
          <w:color w:val="3B383A"/>
          <w:spacing w:val="-1"/>
          <w:w w:val="114"/>
          <w:sz w:val="18"/>
          <w:vertAlign w:val="baseline"/>
        </w:rPr>
        <w:t>motion</w:t>
      </w:r>
      <w:r>
        <w:rPr>
          <w:color w:val="3B383A"/>
          <w:w w:val="114"/>
          <w:sz w:val="18"/>
          <w:vertAlign w:val="baseline"/>
        </w:rPr>
        <w:t>s</w:t>
      </w:r>
      <w:r>
        <w:rPr>
          <w:color w:val="3B383A"/>
          <w:sz w:val="18"/>
          <w:vertAlign w:val="baseline"/>
        </w:rPr>
        <w:t> </w:t>
      </w:r>
      <w:r>
        <w:rPr>
          <w:color w:val="3B383A"/>
          <w:w w:val="114"/>
          <w:sz w:val="18"/>
          <w:vertAlign w:val="baseline"/>
        </w:rPr>
        <w:t>for</w:t>
      </w:r>
      <w:r>
        <w:rPr>
          <w:color w:val="3B383A"/>
          <w:spacing w:val="-13"/>
          <w:sz w:val="18"/>
          <w:vertAlign w:val="baseline"/>
        </w:rPr>
        <w:t> </w:t>
      </w:r>
      <w:r>
        <w:rPr>
          <w:color w:val="3B383A"/>
          <w:spacing w:val="-1"/>
          <w:w w:val="110"/>
          <w:sz w:val="18"/>
          <w:vertAlign w:val="baseline"/>
        </w:rPr>
        <w:t>Judgmen</w:t>
      </w:r>
      <w:r>
        <w:rPr>
          <w:color w:val="3B383A"/>
          <w:w w:val="110"/>
          <w:sz w:val="18"/>
          <w:vertAlign w:val="baseline"/>
        </w:rPr>
        <w:t>t</w:t>
      </w:r>
      <w:r>
        <w:rPr>
          <w:color w:val="3B383A"/>
          <w:spacing w:val="13"/>
          <w:sz w:val="18"/>
          <w:vertAlign w:val="baseline"/>
        </w:rPr>
        <w:t> </w:t>
      </w:r>
      <w:r>
        <w:rPr>
          <w:color w:val="3B383A"/>
          <w:w w:val="115"/>
          <w:sz w:val="18"/>
          <w:vertAlign w:val="baseline"/>
        </w:rPr>
        <w:t>notwithstanding</w:t>
      </w:r>
      <w:r>
        <w:rPr>
          <w:color w:val="3B383A"/>
          <w:spacing w:val="-7"/>
          <w:sz w:val="18"/>
          <w:vertAlign w:val="baseline"/>
        </w:rPr>
        <w:t> </w:t>
      </w:r>
      <w:r>
        <w:rPr>
          <w:color w:val="3B383A"/>
          <w:spacing w:val="-1"/>
          <w:w w:val="115"/>
          <w:sz w:val="18"/>
          <w:vertAlign w:val="baseline"/>
        </w:rPr>
        <w:t>th</w:t>
      </w:r>
      <w:r>
        <w:rPr>
          <w:color w:val="3B383A"/>
          <w:w w:val="115"/>
          <w:sz w:val="18"/>
          <w:vertAlign w:val="baseline"/>
        </w:rPr>
        <w:t>e</w:t>
      </w:r>
      <w:r>
        <w:rPr>
          <w:color w:val="3B383A"/>
          <w:spacing w:val="19"/>
          <w:sz w:val="18"/>
          <w:vertAlign w:val="baseline"/>
        </w:rPr>
        <w:t> </w:t>
      </w:r>
      <w:r>
        <w:rPr>
          <w:color w:val="3B383A"/>
          <w:w w:val="108"/>
          <w:sz w:val="18"/>
          <w:vertAlign w:val="baseline"/>
        </w:rPr>
        <w:t>verdict</w:t>
      </w:r>
      <w:r>
        <w:rPr>
          <w:color w:val="3B383A"/>
          <w:spacing w:val="9"/>
          <w:sz w:val="18"/>
          <w:vertAlign w:val="baseline"/>
        </w:rPr>
        <w:t> </w:t>
      </w:r>
      <w:r>
        <w:rPr>
          <w:color w:val="2B282A"/>
          <w:w w:val="191"/>
          <w:sz w:val="18"/>
          <w:vertAlign w:val="baseline"/>
        </w:rPr>
        <w:t>.</w:t>
      </w:r>
      <w:r>
        <w:rPr>
          <w:color w:val="4D4B4D"/>
          <w:w w:val="191"/>
          <w:sz w:val="18"/>
          <w:vertAlign w:val="baseline"/>
        </w:rPr>
        <w:t>..</w:t>
      </w:r>
      <w:r>
        <w:rPr>
          <w:color w:val="4D4B4D"/>
          <w:spacing w:val="1"/>
          <w:sz w:val="18"/>
          <w:vertAlign w:val="baseline"/>
        </w:rPr>
        <w:t> </w:t>
      </w:r>
      <w:r>
        <w:rPr>
          <w:color w:val="3B383A"/>
          <w:spacing w:val="-1"/>
          <w:w w:val="191"/>
          <w:sz w:val="18"/>
          <w:vertAlign w:val="baseline"/>
        </w:rPr>
        <w:t>an</w:t>
      </w:r>
      <w:r>
        <w:rPr>
          <w:color w:val="3B383A"/>
          <w:spacing w:val="-137"/>
          <w:w w:val="191"/>
          <w:sz w:val="18"/>
          <w:vertAlign w:val="baseline"/>
        </w:rPr>
        <w:t>d</w:t>
      </w:r>
      <w:r>
        <w:rPr>
          <w:color w:val="4D4B4D"/>
          <w:spacing w:val="-1"/>
          <w:w w:val="112"/>
          <w:sz w:val="18"/>
          <w:vertAlign w:val="baseline"/>
        </w:rPr>
        <w:t>test</w:t>
      </w:r>
      <w:r>
        <w:rPr>
          <w:color w:val="4D4B4D"/>
          <w:w w:val="112"/>
          <w:sz w:val="18"/>
          <w:vertAlign w:val="baseline"/>
        </w:rPr>
        <w:t>s</w:t>
      </w:r>
      <w:r>
        <w:rPr>
          <w:color w:val="4D4B4D"/>
          <w:spacing w:val="10"/>
          <w:sz w:val="18"/>
          <w:vertAlign w:val="baseline"/>
        </w:rPr>
        <w:t> </w:t>
      </w:r>
      <w:r>
        <w:rPr>
          <w:color w:val="3B383A"/>
          <w:spacing w:val="-1"/>
          <w:w w:val="112"/>
          <w:sz w:val="18"/>
          <w:vertAlign w:val="baseline"/>
        </w:rPr>
        <w:t>th</w:t>
      </w:r>
      <w:r>
        <w:rPr>
          <w:color w:val="3B383A"/>
          <w:w w:val="112"/>
          <w:sz w:val="18"/>
          <w:vertAlign w:val="baseline"/>
        </w:rPr>
        <w:t>e</w:t>
      </w:r>
      <w:r>
        <w:rPr>
          <w:color w:val="3B383A"/>
          <w:spacing w:val="12"/>
          <w:sz w:val="18"/>
          <w:vertAlign w:val="baseline"/>
        </w:rPr>
        <w:t> </w:t>
      </w:r>
      <w:r>
        <w:rPr>
          <w:color w:val="3B383A"/>
          <w:spacing w:val="-1"/>
          <w:w w:val="108"/>
          <w:sz w:val="18"/>
          <w:vertAlign w:val="baseline"/>
        </w:rPr>
        <w:t>lega</w:t>
      </w:r>
      <w:r>
        <w:rPr>
          <w:color w:val="3B383A"/>
          <w:w w:val="108"/>
          <w:sz w:val="18"/>
          <w:vertAlign w:val="baseline"/>
        </w:rPr>
        <w:t>l</w:t>
      </w:r>
      <w:r>
        <w:rPr>
          <w:color w:val="3B383A"/>
          <w:spacing w:val="6"/>
          <w:sz w:val="18"/>
          <w:vertAlign w:val="baseline"/>
        </w:rPr>
        <w:t> </w:t>
      </w:r>
      <w:r>
        <w:rPr>
          <w:color w:val="3B383A"/>
          <w:spacing w:val="-1"/>
          <w:w w:val="104"/>
          <w:sz w:val="18"/>
          <w:vertAlign w:val="baseline"/>
        </w:rPr>
        <w:t>sufflclen&lt;1 </w:t>
      </w:r>
      <w:r>
        <w:rPr>
          <w:color w:val="3B383A"/>
          <w:w w:val="105"/>
          <w:sz w:val="18"/>
          <w:vertAlign w:val="baseline"/>
        </w:rPr>
        <w:t>of</w:t>
      </w:r>
      <w:r>
        <w:rPr>
          <w:color w:val="3B383A"/>
          <w:spacing w:val="37"/>
          <w:w w:val="105"/>
          <w:sz w:val="18"/>
          <w:vertAlign w:val="baseline"/>
        </w:rPr>
        <w:t> </w:t>
      </w:r>
      <w:r>
        <w:rPr>
          <w:color w:val="3B383A"/>
          <w:w w:val="105"/>
          <w:sz w:val="18"/>
          <w:vertAlign w:val="baseline"/>
        </w:rPr>
        <w:t>the</w:t>
      </w:r>
      <w:r>
        <w:rPr>
          <w:color w:val="3B383A"/>
          <w:spacing w:val="43"/>
          <w:w w:val="105"/>
          <w:sz w:val="18"/>
          <w:vertAlign w:val="baseline"/>
        </w:rPr>
        <w:t> </w:t>
      </w:r>
      <w:r>
        <w:rPr>
          <w:color w:val="4D4B4D"/>
          <w:w w:val="105"/>
          <w:sz w:val="18"/>
          <w:vertAlign w:val="baseline"/>
        </w:rPr>
        <w:t>evidence</w:t>
      </w:r>
      <w:r>
        <w:rPr>
          <w:color w:val="646667"/>
          <w:w w:val="105"/>
          <w:sz w:val="18"/>
          <w:vertAlign w:val="baseline"/>
        </w:rPr>
        <w:t>.</w:t>
      </w:r>
      <w:r>
        <w:rPr>
          <w:color w:val="4D4B4D"/>
          <w:w w:val="105"/>
          <w:sz w:val="18"/>
          <w:vertAlign w:val="baseline"/>
        </w:rPr>
        <w:t>"</w:t>
      </w:r>
      <w:r>
        <w:rPr>
          <w:color w:val="4D4B4D"/>
          <w:spacing w:val="10"/>
          <w:w w:val="105"/>
          <w:sz w:val="18"/>
          <w:vertAlign w:val="baseline"/>
        </w:rPr>
        <w:t> </w:t>
      </w:r>
      <w:r>
        <w:rPr>
          <w:rFonts w:ascii="Arial" w:hAnsi="Arial"/>
          <w:i/>
          <w:color w:val="3B383A"/>
          <w:w w:val="105"/>
          <w:sz w:val="16"/>
          <w:vertAlign w:val="baseline"/>
        </w:rPr>
        <w:t>Berry</w:t>
      </w:r>
      <w:r>
        <w:rPr>
          <w:rFonts w:ascii="Arial" w:hAnsi="Arial"/>
          <w:i/>
          <w:color w:val="3B383A"/>
          <w:spacing w:val="6"/>
          <w:w w:val="105"/>
          <w:sz w:val="16"/>
          <w:vertAlign w:val="baseline"/>
        </w:rPr>
        <w:t> </w:t>
      </w:r>
      <w:r>
        <w:rPr>
          <w:rFonts w:ascii="Arial" w:hAnsi="Arial"/>
          <w:i/>
          <w:color w:val="3B383A"/>
          <w:w w:val="105"/>
          <w:sz w:val="17"/>
          <w:vertAlign w:val="baseline"/>
        </w:rPr>
        <w:t>v.</w:t>
      </w:r>
      <w:r>
        <w:rPr>
          <w:rFonts w:ascii="Arial" w:hAnsi="Arial"/>
          <w:i/>
          <w:color w:val="3B383A"/>
          <w:spacing w:val="-18"/>
          <w:w w:val="105"/>
          <w:sz w:val="17"/>
          <w:vertAlign w:val="baseline"/>
        </w:rPr>
        <w:t> </w:t>
      </w:r>
      <w:r>
        <w:rPr>
          <w:rFonts w:ascii="Arial" w:hAnsi="Arial"/>
          <w:i/>
          <w:color w:val="3B383A"/>
          <w:w w:val="105"/>
          <w:sz w:val="16"/>
          <w:vertAlign w:val="baseline"/>
        </w:rPr>
        <w:t>Lupica,</w:t>
      </w:r>
      <w:r>
        <w:rPr>
          <w:rFonts w:ascii="Arial" w:hAnsi="Arial"/>
          <w:i/>
          <w:color w:val="3B383A"/>
          <w:spacing w:val="-6"/>
          <w:w w:val="105"/>
          <w:sz w:val="16"/>
          <w:vertAlign w:val="baseline"/>
        </w:rPr>
        <w:t> </w:t>
      </w:r>
      <w:r>
        <w:rPr>
          <w:color w:val="3B383A"/>
          <w:w w:val="105"/>
          <w:sz w:val="18"/>
          <w:vertAlign w:val="baseline"/>
        </w:rPr>
        <w:t>965</w:t>
      </w:r>
      <w:r>
        <w:rPr>
          <w:color w:val="3B383A"/>
          <w:spacing w:val="34"/>
          <w:w w:val="105"/>
          <w:sz w:val="18"/>
          <w:vertAlign w:val="baseline"/>
        </w:rPr>
        <w:t> </w:t>
      </w:r>
      <w:r>
        <w:rPr>
          <w:color w:val="3B383A"/>
          <w:w w:val="105"/>
          <w:sz w:val="18"/>
          <w:vertAlign w:val="baseline"/>
        </w:rPr>
        <w:t>N.E.2d</w:t>
      </w:r>
      <w:r>
        <w:rPr>
          <w:color w:val="3B383A"/>
          <w:spacing w:val="15"/>
          <w:w w:val="105"/>
          <w:sz w:val="18"/>
          <w:vertAlign w:val="baseline"/>
        </w:rPr>
        <w:t> </w:t>
      </w:r>
      <w:r>
        <w:rPr>
          <w:color w:val="3B383A"/>
          <w:w w:val="105"/>
          <w:sz w:val="18"/>
          <w:vertAlign w:val="baseline"/>
        </w:rPr>
        <w:t>318,</w:t>
      </w:r>
      <w:r>
        <w:rPr>
          <w:color w:val="3B383A"/>
          <w:spacing w:val="10"/>
          <w:w w:val="105"/>
          <w:sz w:val="18"/>
          <w:vertAlign w:val="baseline"/>
        </w:rPr>
        <w:t> </w:t>
      </w:r>
      <w:r>
        <w:rPr>
          <w:color w:val="3B383A"/>
          <w:w w:val="105"/>
          <w:sz w:val="18"/>
          <w:vertAlign w:val="baseline"/>
        </w:rPr>
        <w:t>322</w:t>
      </w:r>
      <w:r>
        <w:rPr>
          <w:color w:val="3B383A"/>
          <w:spacing w:val="1"/>
          <w:w w:val="105"/>
          <w:sz w:val="18"/>
          <w:vertAlign w:val="baseline"/>
        </w:rPr>
        <w:t> </w:t>
      </w:r>
      <w:r>
        <w:rPr>
          <w:color w:val="4D4B4D"/>
          <w:w w:val="105"/>
          <w:sz w:val="18"/>
          <w:vertAlign w:val="baseline"/>
        </w:rPr>
        <w:t>(Ohio</w:t>
      </w:r>
      <w:r>
        <w:rPr>
          <w:color w:val="4D4B4D"/>
          <w:spacing w:val="-9"/>
          <w:w w:val="105"/>
          <w:sz w:val="18"/>
          <w:vertAlign w:val="baseline"/>
        </w:rPr>
        <w:t> </w:t>
      </w:r>
      <w:r>
        <w:rPr>
          <w:color w:val="3B383A"/>
          <w:w w:val="105"/>
          <w:sz w:val="18"/>
          <w:vertAlign w:val="baseline"/>
        </w:rPr>
        <w:t>Ct. App.2011)</w:t>
      </w:r>
      <w:r>
        <w:rPr>
          <w:color w:val="3B383A"/>
          <w:spacing w:val="12"/>
          <w:w w:val="105"/>
          <w:sz w:val="18"/>
          <w:vertAlign w:val="baseline"/>
        </w:rPr>
        <w:t> </w:t>
      </w:r>
      <w:r>
        <w:rPr>
          <w:color w:val="3B383A"/>
          <w:w w:val="105"/>
          <w:sz w:val="18"/>
          <w:vertAlign w:val="baseline"/>
        </w:rPr>
        <w:t>(citation</w:t>
      </w:r>
      <w:r>
        <w:rPr>
          <w:color w:val="3B383A"/>
          <w:spacing w:val="14"/>
          <w:w w:val="105"/>
          <w:sz w:val="18"/>
          <w:vertAlign w:val="baseline"/>
        </w:rPr>
        <w:t> </w:t>
      </w:r>
      <w:r>
        <w:rPr>
          <w:color w:val="3B383A"/>
          <w:w w:val="105"/>
          <w:sz w:val="18"/>
          <w:vertAlign w:val="baseline"/>
        </w:rPr>
        <w:t>omitted).</w:t>
      </w:r>
    </w:p>
    <w:p>
      <w:pPr>
        <w:spacing w:after="0" w:line="232" w:lineRule="auto"/>
        <w:jc w:val="both"/>
        <w:rPr>
          <w:sz w:val="18"/>
        </w:rPr>
        <w:sectPr>
          <w:headerReference w:type="even" r:id="rId52"/>
          <w:pgSz w:w="9750" w:h="13730"/>
          <w:pgMar w:header="443" w:footer="0" w:top="640" w:bottom="280" w:left="1360" w:right="0"/>
          <w:pgNumType w:start="28"/>
        </w:sectPr>
      </w:pPr>
    </w:p>
    <w:p>
      <w:pPr>
        <w:spacing w:before="29"/>
        <w:ind w:left="0" w:right="10" w:firstLine="0"/>
        <w:jc w:val="right"/>
        <w:rPr>
          <w:rFonts w:ascii="Arial"/>
          <w:sz w:val="22"/>
        </w:rPr>
      </w:pPr>
      <w:r>
        <w:rPr>
          <w:rFonts w:ascii="Arial"/>
          <w:color w:val="AAACAF"/>
          <w:w w:val="77"/>
          <w:sz w:val="22"/>
        </w:rPr>
        <w:t>I</w:t>
      </w:r>
    </w:p>
    <w:p>
      <w:pPr>
        <w:tabs>
          <w:tab w:pos="8308" w:val="right" w:leader="none"/>
        </w:tabs>
        <w:spacing w:before="55"/>
        <w:ind w:left="2448" w:right="0" w:firstLine="0"/>
        <w:jc w:val="left"/>
        <w:rPr>
          <w:sz w:val="17"/>
        </w:rPr>
      </w:pPr>
      <w:r>
        <w:rPr>
          <w:color w:val="3D3B3B"/>
          <w:w w:val="105"/>
          <w:sz w:val="17"/>
        </w:rPr>
        <w:t>2.4 </w:t>
      </w:r>
      <w:r>
        <w:rPr>
          <w:color w:val="3D3B3B"/>
          <w:spacing w:val="17"/>
          <w:w w:val="105"/>
          <w:sz w:val="17"/>
        </w:rPr>
        <w:t> </w:t>
      </w:r>
      <w:r>
        <w:rPr>
          <w:color w:val="3D3B3B"/>
          <w:w w:val="105"/>
          <w:sz w:val="18"/>
        </w:rPr>
        <w:t>"Pleading Standards"</w:t>
      </w:r>
      <w:r>
        <w:rPr>
          <w:color w:val="3D3B3B"/>
          <w:spacing w:val="-7"/>
          <w:w w:val="105"/>
          <w:sz w:val="18"/>
        </w:rPr>
        <w:t> </w:t>
      </w:r>
      <w:r>
        <w:rPr>
          <w:color w:val="3D3B3B"/>
          <w:w w:val="105"/>
          <w:sz w:val="18"/>
        </w:rPr>
        <w:t>or</w:t>
      </w:r>
      <w:r>
        <w:rPr>
          <w:color w:val="3D3B3B"/>
          <w:spacing w:val="1"/>
          <w:w w:val="105"/>
          <w:sz w:val="18"/>
        </w:rPr>
        <w:t> </w:t>
      </w:r>
      <w:r>
        <w:rPr>
          <w:color w:val="3D3B3B"/>
          <w:w w:val="105"/>
          <w:sz w:val="18"/>
        </w:rPr>
        <w:t>Standards</w:t>
      </w:r>
      <w:r>
        <w:rPr>
          <w:color w:val="3D3B3B"/>
          <w:spacing w:val="-6"/>
          <w:w w:val="105"/>
          <w:sz w:val="18"/>
        </w:rPr>
        <w:t> </w:t>
      </w:r>
      <w:r>
        <w:rPr>
          <w:color w:val="3D3B3B"/>
          <w:w w:val="105"/>
          <w:sz w:val="18"/>
        </w:rPr>
        <w:t>of</w:t>
      </w:r>
      <w:r>
        <w:rPr>
          <w:color w:val="3D3B3B"/>
          <w:spacing w:val="20"/>
          <w:w w:val="105"/>
          <w:sz w:val="18"/>
        </w:rPr>
        <w:t> </w:t>
      </w:r>
      <w:r>
        <w:rPr>
          <w:color w:val="3D3B3B"/>
          <w:w w:val="105"/>
          <w:sz w:val="18"/>
        </w:rPr>
        <w:t>Review</w:t>
      </w:r>
      <w:r>
        <w:rPr>
          <w:color w:val="3D3B3B"/>
          <w:spacing w:val="-2"/>
          <w:w w:val="105"/>
          <w:sz w:val="18"/>
        </w:rPr>
        <w:t> </w:t>
      </w:r>
      <w:r>
        <w:rPr>
          <w:color w:val="3D3B3B"/>
          <w:w w:val="105"/>
          <w:sz w:val="17"/>
        </w:rPr>
        <w:t>in</w:t>
      </w:r>
      <w:r>
        <w:rPr>
          <w:color w:val="3D3B3B"/>
          <w:spacing w:val="31"/>
          <w:w w:val="105"/>
          <w:sz w:val="17"/>
        </w:rPr>
        <w:t> </w:t>
      </w:r>
      <w:r>
        <w:rPr>
          <w:color w:val="3D3B3B"/>
          <w:w w:val="105"/>
          <w:sz w:val="18"/>
        </w:rPr>
        <w:t>Motion</w:t>
      </w:r>
      <w:r>
        <w:rPr>
          <w:color w:val="3D3B3B"/>
          <w:spacing w:val="9"/>
          <w:w w:val="105"/>
          <w:sz w:val="18"/>
        </w:rPr>
        <w:t> </w:t>
      </w:r>
      <w:r>
        <w:rPr>
          <w:color w:val="3D3B3B"/>
          <w:w w:val="105"/>
          <w:sz w:val="18"/>
        </w:rPr>
        <w:t>Briefs</w:t>
        <w:tab/>
      </w:r>
      <w:r>
        <w:rPr>
          <w:color w:val="3D3B3B"/>
          <w:w w:val="105"/>
          <w:sz w:val="17"/>
        </w:rPr>
        <w:t>29</w:t>
      </w:r>
    </w:p>
    <w:p>
      <w:pPr>
        <w:pStyle w:val="BodyText"/>
        <w:spacing w:line="235" w:lineRule="auto" w:before="482"/>
        <w:ind w:left="112" w:right="1674" w:firstLine="371"/>
        <w:jc w:val="both"/>
      </w:pPr>
      <w:r>
        <w:rPr>
          <w:color w:val="3D3B3B"/>
          <w:w w:val="115"/>
        </w:rPr>
        <w:t>As with any legal research, when researching motion standards of</w:t>
      </w:r>
      <w:r>
        <w:rPr>
          <w:color w:val="3D3B3B"/>
          <w:spacing w:val="1"/>
          <w:w w:val="115"/>
        </w:rPr>
        <w:t> </w:t>
      </w:r>
      <w:r>
        <w:rPr>
          <w:color w:val="3D3B3B"/>
          <w:w w:val="110"/>
        </w:rPr>
        <w:t>review, you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should try to identify cases that are recent, on point, in the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relevant jurisdiction, and from the highest court possible. On occasion, a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particularly germinal case will become "the" case to cite for the boilerplate</w:t>
      </w:r>
      <w:r>
        <w:rPr>
          <w:color w:val="3D3B3B"/>
          <w:spacing w:val="-61"/>
          <w:w w:val="110"/>
        </w:rPr>
        <w:t> </w:t>
      </w:r>
      <w:r>
        <w:rPr>
          <w:color w:val="3D3B3B"/>
          <w:w w:val="110"/>
        </w:rPr>
        <w:t>version of the motion standard of review.</w:t>
      </w:r>
      <w:r>
        <w:rPr>
          <w:color w:val="3D3B3B"/>
          <w:w w:val="110"/>
          <w:vertAlign w:val="superscript"/>
        </w:rPr>
        <w:t>46</w:t>
      </w:r>
      <w:r>
        <w:rPr>
          <w:color w:val="3D3B3B"/>
          <w:w w:val="110"/>
          <w:vertAlign w:val="baseline"/>
        </w:rPr>
        <w:t> When the motion standard and</w:t>
      </w:r>
      <w:r>
        <w:rPr>
          <w:color w:val="3D3B3B"/>
          <w:spacing w:val="1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its application  are both uncontroversial, it is fine to cite a germinal case</w:t>
      </w:r>
      <w:r>
        <w:rPr>
          <w:color w:val="3D3B3B"/>
          <w:spacing w:val="1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for the standard. </w:t>
      </w:r>
      <w:r>
        <w:rPr>
          <w:color w:val="3D3B3B"/>
          <w:w w:val="110"/>
          <w:sz w:val="22"/>
          <w:vertAlign w:val="baseline"/>
        </w:rPr>
        <w:t>If </w:t>
      </w:r>
      <w:r>
        <w:rPr>
          <w:color w:val="3D3B3B"/>
          <w:w w:val="110"/>
          <w:vertAlign w:val="baseline"/>
        </w:rPr>
        <w:t>either the standard or its application is in controversy,</w:t>
      </w:r>
      <w:r>
        <w:rPr>
          <w:color w:val="3D3B3B"/>
          <w:spacing w:val="1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however, you  should both update and focus your research. Furthermore,</w:t>
      </w:r>
      <w:r>
        <w:rPr>
          <w:color w:val="3D3B3B"/>
          <w:spacing w:val="1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be sure to conduct fundamental research to verify that the germinal stan­</w:t>
      </w:r>
      <w:r>
        <w:rPr>
          <w:color w:val="3D3B3B"/>
          <w:spacing w:val="1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dard is still valid. Even in 2010, some attorneys have (mistakenly) contin­</w:t>
      </w:r>
      <w:r>
        <w:rPr>
          <w:color w:val="3D3B3B"/>
          <w:spacing w:val="1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ued</w:t>
      </w:r>
      <w:r>
        <w:rPr>
          <w:color w:val="3D3B3B"/>
          <w:spacing w:val="-29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to</w:t>
      </w:r>
      <w:r>
        <w:rPr>
          <w:color w:val="3D3B3B"/>
          <w:spacing w:val="-11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cite</w:t>
      </w:r>
      <w:r>
        <w:rPr>
          <w:color w:val="3D3B3B"/>
          <w:spacing w:val="-30"/>
          <w:w w:val="110"/>
          <w:vertAlign w:val="baseline"/>
        </w:rPr>
        <w:t> </w:t>
      </w:r>
      <w:r>
        <w:rPr>
          <w:rFonts w:ascii="Arial" w:hAnsi="Arial"/>
          <w:i/>
          <w:color w:val="3D3B3B"/>
          <w:w w:val="110"/>
          <w:sz w:val="20"/>
          <w:vertAlign w:val="baseline"/>
        </w:rPr>
        <w:t>Conley</w:t>
      </w:r>
      <w:r>
        <w:rPr>
          <w:rFonts w:ascii="Arial" w:hAnsi="Arial"/>
          <w:i/>
          <w:color w:val="3D3B3B"/>
          <w:spacing w:val="-4"/>
          <w:w w:val="110"/>
          <w:sz w:val="20"/>
          <w:vertAlign w:val="baseline"/>
        </w:rPr>
        <w:t> </w:t>
      </w:r>
      <w:r>
        <w:rPr>
          <w:rFonts w:ascii="Arial" w:hAnsi="Arial"/>
          <w:i/>
          <w:color w:val="3D3B3B"/>
          <w:w w:val="110"/>
          <w:sz w:val="20"/>
          <w:vertAlign w:val="baseline"/>
        </w:rPr>
        <w:t>v.</w:t>
      </w:r>
      <w:r>
        <w:rPr>
          <w:rFonts w:ascii="Arial" w:hAnsi="Arial"/>
          <w:i/>
          <w:color w:val="3D3B3B"/>
          <w:spacing w:val="-23"/>
          <w:w w:val="110"/>
          <w:sz w:val="20"/>
          <w:vertAlign w:val="baseline"/>
        </w:rPr>
        <w:t> </w:t>
      </w:r>
      <w:r>
        <w:rPr>
          <w:rFonts w:ascii="Arial" w:hAnsi="Arial"/>
          <w:i/>
          <w:color w:val="3D3B3B"/>
          <w:w w:val="110"/>
          <w:sz w:val="20"/>
          <w:vertAlign w:val="baseline"/>
        </w:rPr>
        <w:t>Gibson</w:t>
      </w:r>
      <w:r>
        <w:rPr>
          <w:rFonts w:ascii="Arial" w:hAnsi="Arial"/>
          <w:i/>
          <w:color w:val="3D3B3B"/>
          <w:spacing w:val="-7"/>
          <w:w w:val="110"/>
          <w:sz w:val="20"/>
          <w:vertAlign w:val="baseline"/>
        </w:rPr>
        <w:t> </w:t>
      </w:r>
      <w:r>
        <w:rPr>
          <w:color w:val="3D3B3B"/>
          <w:w w:val="110"/>
          <w:vertAlign w:val="baseline"/>
        </w:rPr>
        <w:t>as</w:t>
      </w:r>
      <w:r>
        <w:rPr>
          <w:color w:val="3D3B3B"/>
          <w:spacing w:val="3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the</w:t>
      </w:r>
      <w:r>
        <w:rPr>
          <w:color w:val="3D3B3B"/>
          <w:spacing w:val="29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standard</w:t>
      </w:r>
      <w:r>
        <w:rPr>
          <w:color w:val="3D3B3B"/>
          <w:spacing w:val="15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for</w:t>
      </w:r>
      <w:r>
        <w:rPr>
          <w:color w:val="3D3B3B"/>
          <w:spacing w:val="-13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a motion</w:t>
      </w:r>
      <w:r>
        <w:rPr>
          <w:color w:val="3D3B3B"/>
          <w:spacing w:val="4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to</w:t>
      </w:r>
      <w:r>
        <w:rPr>
          <w:color w:val="3D3B3B"/>
          <w:spacing w:val="3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dismiss</w:t>
      </w:r>
      <w:r>
        <w:rPr>
          <w:color w:val="5B5B5D"/>
          <w:w w:val="110"/>
          <w:vertAlign w:val="baseline"/>
        </w:rPr>
        <w:t>,</w:t>
      </w:r>
      <w:r>
        <w:rPr>
          <w:color w:val="5B5B5D"/>
          <w:spacing w:val="-13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despite</w:t>
      </w:r>
      <w:r>
        <w:rPr>
          <w:color w:val="3D3B3B"/>
          <w:spacing w:val="1"/>
          <w:w w:val="110"/>
          <w:vertAlign w:val="baseline"/>
        </w:rPr>
        <w:t> </w:t>
      </w:r>
      <w:r>
        <w:rPr>
          <w:color w:val="3D3B3B"/>
          <w:w w:val="115"/>
          <w:vertAlign w:val="baseline"/>
        </w:rPr>
        <w:t>the</w:t>
      </w:r>
      <w:r>
        <w:rPr>
          <w:color w:val="3D3B3B"/>
          <w:spacing w:val="-5"/>
          <w:w w:val="115"/>
          <w:vertAlign w:val="baseline"/>
        </w:rPr>
        <w:t> </w:t>
      </w:r>
      <w:r>
        <w:rPr>
          <w:color w:val="3D3B3B"/>
          <w:w w:val="115"/>
          <w:vertAlign w:val="baseline"/>
        </w:rPr>
        <w:t>fact</w:t>
      </w:r>
      <w:r>
        <w:rPr>
          <w:color w:val="3D3B3B"/>
          <w:spacing w:val="-24"/>
          <w:w w:val="115"/>
          <w:vertAlign w:val="baseline"/>
        </w:rPr>
        <w:t> </w:t>
      </w:r>
      <w:r>
        <w:rPr>
          <w:color w:val="3D3B3B"/>
          <w:w w:val="115"/>
          <w:vertAlign w:val="baseline"/>
        </w:rPr>
        <w:t>that</w:t>
      </w:r>
      <w:r>
        <w:rPr>
          <w:color w:val="3D3B3B"/>
          <w:spacing w:val="-8"/>
          <w:w w:val="115"/>
          <w:vertAlign w:val="baseline"/>
        </w:rPr>
        <w:t> </w:t>
      </w:r>
      <w:r>
        <w:rPr>
          <w:color w:val="3D3B3B"/>
          <w:w w:val="115"/>
          <w:vertAlign w:val="baseline"/>
        </w:rPr>
        <w:t>it</w:t>
      </w:r>
      <w:r>
        <w:rPr>
          <w:color w:val="3D3B3B"/>
          <w:spacing w:val="-17"/>
          <w:w w:val="115"/>
          <w:vertAlign w:val="baseline"/>
        </w:rPr>
        <w:t> </w:t>
      </w:r>
      <w:r>
        <w:rPr>
          <w:color w:val="3D3B3B"/>
          <w:w w:val="115"/>
          <w:vertAlign w:val="baseline"/>
        </w:rPr>
        <w:t>wasall</w:t>
      </w:r>
      <w:r>
        <w:rPr>
          <w:color w:val="3D3B3B"/>
          <w:spacing w:val="-34"/>
          <w:w w:val="115"/>
          <w:vertAlign w:val="baseline"/>
        </w:rPr>
        <w:t> </w:t>
      </w:r>
      <w:r>
        <w:rPr>
          <w:color w:val="3D3B3B"/>
          <w:w w:val="115"/>
          <w:vertAlign w:val="baseline"/>
        </w:rPr>
        <w:t>but</w:t>
      </w:r>
      <w:r>
        <w:rPr>
          <w:color w:val="3D3B3B"/>
          <w:spacing w:val="-26"/>
          <w:w w:val="115"/>
          <w:vertAlign w:val="baseline"/>
        </w:rPr>
        <w:t> </w:t>
      </w:r>
      <w:r>
        <w:rPr>
          <w:color w:val="3D3B3B"/>
          <w:w w:val="115"/>
          <w:vertAlign w:val="baseline"/>
        </w:rPr>
        <w:t>overruled</w:t>
      </w:r>
      <w:r>
        <w:rPr>
          <w:color w:val="3D3B3B"/>
          <w:spacing w:val="11"/>
          <w:w w:val="115"/>
          <w:vertAlign w:val="baseline"/>
        </w:rPr>
        <w:t> </w:t>
      </w:r>
      <w:r>
        <w:rPr>
          <w:color w:val="3D3B3B"/>
          <w:w w:val="115"/>
          <w:vertAlign w:val="baseline"/>
        </w:rPr>
        <w:t>for</w:t>
      </w:r>
      <w:r>
        <w:rPr>
          <w:color w:val="3D3B3B"/>
          <w:spacing w:val="1"/>
          <w:w w:val="115"/>
          <w:vertAlign w:val="baseline"/>
        </w:rPr>
        <w:t> </w:t>
      </w:r>
      <w:r>
        <w:rPr>
          <w:color w:val="3D3B3B"/>
          <w:w w:val="115"/>
          <w:vertAlign w:val="baseline"/>
        </w:rPr>
        <w:t>this</w:t>
      </w:r>
      <w:r>
        <w:rPr>
          <w:color w:val="3D3B3B"/>
          <w:spacing w:val="-9"/>
          <w:w w:val="115"/>
          <w:vertAlign w:val="baseline"/>
        </w:rPr>
        <w:t> </w:t>
      </w:r>
      <w:r>
        <w:rPr>
          <w:color w:val="3D3B3B"/>
          <w:w w:val="115"/>
          <w:vertAlign w:val="baseline"/>
        </w:rPr>
        <w:t>purpose</w:t>
      </w:r>
      <w:r>
        <w:rPr>
          <w:color w:val="3D3B3B"/>
          <w:spacing w:val="-6"/>
          <w:w w:val="115"/>
          <w:vertAlign w:val="baseline"/>
        </w:rPr>
        <w:t> </w:t>
      </w:r>
      <w:r>
        <w:rPr>
          <w:color w:val="3D3B3B"/>
          <w:w w:val="115"/>
          <w:vertAlign w:val="baseline"/>
        </w:rPr>
        <w:t>in</w:t>
      </w:r>
      <w:r>
        <w:rPr>
          <w:color w:val="3D3B3B"/>
          <w:spacing w:val="16"/>
          <w:w w:val="115"/>
          <w:vertAlign w:val="baseline"/>
        </w:rPr>
        <w:t> </w:t>
      </w:r>
      <w:r>
        <w:rPr>
          <w:color w:val="3D3B3B"/>
          <w:w w:val="115"/>
          <w:vertAlign w:val="baseline"/>
        </w:rPr>
        <w:t>2007.</w:t>
      </w:r>
    </w:p>
    <w:p>
      <w:pPr>
        <w:pStyle w:val="BodyText"/>
        <w:spacing w:before="6"/>
        <w:rPr>
          <w:sz w:val="31"/>
        </w:rPr>
      </w:pPr>
    </w:p>
    <w:p>
      <w:pPr>
        <w:spacing w:before="0"/>
        <w:ind w:left="488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3D3B3B"/>
          <w:w w:val="105"/>
          <w:sz w:val="27"/>
        </w:rPr>
        <w:t>2.</w:t>
      </w:r>
      <w:r>
        <w:rPr>
          <w:rFonts w:ascii="Arial"/>
          <w:b/>
          <w:color w:val="6B6B6E"/>
          <w:w w:val="105"/>
          <w:sz w:val="27"/>
        </w:rPr>
        <w:t>4.4</w:t>
      </w:r>
    </w:p>
    <w:p>
      <w:pPr>
        <w:spacing w:line="302" w:lineRule="auto" w:before="54"/>
        <w:ind w:left="485" w:right="1807" w:hanging="2"/>
        <w:jc w:val="left"/>
        <w:rPr>
          <w:rFonts w:ascii="Arial"/>
          <w:sz w:val="22"/>
        </w:rPr>
      </w:pPr>
      <w:r>
        <w:rPr>
          <w:rFonts w:ascii="Arial"/>
          <w:color w:val="3D3B3B"/>
          <w:w w:val="105"/>
          <w:sz w:val="22"/>
        </w:rPr>
        <w:t>I</w:t>
      </w:r>
      <w:r>
        <w:rPr>
          <w:rFonts w:ascii="Arial"/>
          <w:color w:val="6B6B6E"/>
          <w:w w:val="105"/>
          <w:sz w:val="22"/>
        </w:rPr>
        <w:t>NCORPORAT</w:t>
      </w:r>
      <w:r>
        <w:rPr>
          <w:rFonts w:ascii="Arial"/>
          <w:color w:val="3D3B3B"/>
          <w:w w:val="105"/>
          <w:sz w:val="22"/>
        </w:rPr>
        <w:t>I</w:t>
      </w:r>
      <w:r>
        <w:rPr>
          <w:rFonts w:ascii="Arial"/>
          <w:color w:val="5B5B5D"/>
          <w:w w:val="105"/>
          <w:sz w:val="22"/>
        </w:rPr>
        <w:t>N</w:t>
      </w:r>
      <w:r>
        <w:rPr>
          <w:rFonts w:ascii="Arial"/>
          <w:color w:val="3D3B3B"/>
          <w:w w:val="105"/>
          <w:sz w:val="22"/>
        </w:rPr>
        <w:t>G</w:t>
      </w:r>
      <w:r>
        <w:rPr>
          <w:rFonts w:ascii="Arial"/>
          <w:color w:val="3D3B3B"/>
          <w:spacing w:val="1"/>
          <w:w w:val="105"/>
          <w:sz w:val="22"/>
        </w:rPr>
        <w:t> </w:t>
      </w:r>
      <w:r>
        <w:rPr>
          <w:rFonts w:ascii="Arial"/>
          <w:color w:val="6B6B6E"/>
          <w:w w:val="105"/>
          <w:sz w:val="22"/>
        </w:rPr>
        <w:t>MO</w:t>
      </w:r>
      <w:r>
        <w:rPr>
          <w:rFonts w:ascii="Arial"/>
          <w:color w:val="3D3B3B"/>
          <w:w w:val="105"/>
          <w:sz w:val="22"/>
        </w:rPr>
        <w:t>TION</w:t>
      </w:r>
      <w:r>
        <w:rPr>
          <w:rFonts w:ascii="Arial"/>
          <w:color w:val="3D3B3B"/>
          <w:spacing w:val="1"/>
          <w:w w:val="105"/>
          <w:sz w:val="22"/>
        </w:rPr>
        <w:t> </w:t>
      </w:r>
      <w:r>
        <w:rPr>
          <w:rFonts w:ascii="Arial"/>
          <w:color w:val="3D3B3B"/>
          <w:w w:val="105"/>
          <w:sz w:val="22"/>
        </w:rPr>
        <w:t>STANDA</w:t>
      </w:r>
      <w:r>
        <w:rPr>
          <w:rFonts w:ascii="Arial"/>
          <w:color w:val="5B5B5D"/>
          <w:w w:val="105"/>
          <w:sz w:val="22"/>
        </w:rPr>
        <w:t>R</w:t>
      </w:r>
      <w:r>
        <w:rPr>
          <w:rFonts w:ascii="Arial"/>
          <w:color w:val="3D3B3B"/>
          <w:w w:val="105"/>
          <w:sz w:val="22"/>
        </w:rPr>
        <w:t>DS INTO YOUR</w:t>
      </w:r>
      <w:r>
        <w:rPr>
          <w:rFonts w:ascii="Arial"/>
          <w:color w:val="3D3B3B"/>
          <w:spacing w:val="-62"/>
          <w:w w:val="105"/>
          <w:sz w:val="22"/>
        </w:rPr>
        <w:t> </w:t>
      </w:r>
      <w:r>
        <w:rPr>
          <w:rFonts w:ascii="Arial"/>
          <w:color w:val="5B5B5D"/>
          <w:w w:val="105"/>
          <w:sz w:val="22"/>
        </w:rPr>
        <w:t>ARGU</w:t>
      </w:r>
      <w:r>
        <w:rPr>
          <w:rFonts w:ascii="Arial"/>
          <w:color w:val="7C7E80"/>
          <w:w w:val="105"/>
          <w:sz w:val="22"/>
        </w:rPr>
        <w:t>MENT</w:t>
      </w:r>
    </w:p>
    <w:p>
      <w:pPr>
        <w:pStyle w:val="BodyText"/>
        <w:spacing w:line="235" w:lineRule="auto" w:before="110"/>
        <w:ind w:left="127" w:right="1598" w:firstLine="373"/>
        <w:jc w:val="both"/>
      </w:pPr>
      <w:r>
        <w:rPr>
          <w:color w:val="3D3B3B"/>
          <w:w w:val="110"/>
        </w:rPr>
        <w:t>Because motion standards of review are often not controversial, some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5"/>
        </w:rPr>
        <w:t>writers think that they need not articulate the standard or that they may</w:t>
      </w:r>
      <w:r>
        <w:rPr>
          <w:color w:val="3D3B3B"/>
          <w:spacing w:val="1"/>
          <w:w w:val="115"/>
        </w:rPr>
        <w:t> </w:t>
      </w:r>
      <w:r>
        <w:rPr>
          <w:color w:val="3D3B3B"/>
          <w:w w:val="115"/>
        </w:rPr>
        <w:t>articulate it without citing authority for it. On the contrary, the motion</w:t>
      </w:r>
      <w:r>
        <w:rPr>
          <w:color w:val="3D3B3B"/>
          <w:spacing w:val="1"/>
          <w:w w:val="115"/>
        </w:rPr>
        <w:t> </w:t>
      </w:r>
      <w:r>
        <w:rPr>
          <w:color w:val="3D3B3B"/>
          <w:w w:val="115"/>
        </w:rPr>
        <w:t>standard of review is the context in which your entire argument takes</w:t>
      </w:r>
      <w:r>
        <w:rPr>
          <w:color w:val="3D3B3B"/>
          <w:spacing w:val="1"/>
          <w:w w:val="115"/>
        </w:rPr>
        <w:t> </w:t>
      </w:r>
      <w:r>
        <w:rPr>
          <w:color w:val="3D3B3B"/>
          <w:w w:val="115"/>
        </w:rPr>
        <w:t>place, so you must both articulate the standard and cite to meaningful</w:t>
      </w:r>
      <w:r>
        <w:rPr>
          <w:color w:val="3D3B3B"/>
          <w:spacing w:val="1"/>
          <w:w w:val="115"/>
        </w:rPr>
        <w:t> </w:t>
      </w:r>
      <w:r>
        <w:rPr>
          <w:color w:val="3D3B3B"/>
          <w:w w:val="115"/>
        </w:rPr>
        <w:t>authority for it.</w:t>
      </w:r>
      <w:r>
        <w:rPr>
          <w:color w:val="3D3B3B"/>
          <w:w w:val="115"/>
          <w:vertAlign w:val="superscript"/>
        </w:rPr>
        <w:t>47</w:t>
      </w:r>
      <w:r>
        <w:rPr>
          <w:color w:val="3D3B3B"/>
          <w:w w:val="115"/>
          <w:vertAlign w:val="baseline"/>
        </w:rPr>
        <w:t> If you are arguing in favor of a motion to dismiss</w:t>
      </w:r>
      <w:r>
        <w:rPr>
          <w:color w:val="5B5B5D"/>
          <w:w w:val="115"/>
          <w:vertAlign w:val="baseline"/>
        </w:rPr>
        <w:t>, </w:t>
      </w:r>
      <w:r>
        <w:rPr>
          <w:color w:val="3D3B3B"/>
          <w:w w:val="115"/>
          <w:vertAlign w:val="baseline"/>
        </w:rPr>
        <w:t>for</w:t>
      </w:r>
      <w:r>
        <w:rPr>
          <w:color w:val="3D3B3B"/>
          <w:spacing w:val="1"/>
          <w:w w:val="115"/>
          <w:vertAlign w:val="baseline"/>
        </w:rPr>
        <w:t> </w:t>
      </w:r>
      <w:r>
        <w:rPr>
          <w:color w:val="3D3B3B"/>
          <w:w w:val="115"/>
          <w:vertAlign w:val="baseline"/>
        </w:rPr>
        <w:t>example, your underlying reason for the request is the language of the</w:t>
      </w:r>
      <w:r>
        <w:rPr>
          <w:color w:val="3D3B3B"/>
          <w:spacing w:val="1"/>
          <w:w w:val="115"/>
          <w:vertAlign w:val="baseline"/>
        </w:rPr>
        <w:t> </w:t>
      </w:r>
      <w:r>
        <w:rPr>
          <w:color w:val="3D3B3B"/>
          <w:w w:val="110"/>
          <w:vertAlign w:val="baseline"/>
        </w:rPr>
        <w:t>standard of review: The court should grant the motion because the plain­</w:t>
      </w:r>
      <w:r>
        <w:rPr>
          <w:color w:val="3D3B3B"/>
          <w:spacing w:val="1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tiff has not  pleaded a set of facts that plausibly give rise to an entitlement</w:t>
      </w:r>
      <w:r>
        <w:rPr>
          <w:color w:val="3D3B3B"/>
          <w:spacing w:val="1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to relief. Your argument may focus on case facts and</w:t>
      </w:r>
      <w:r>
        <w:rPr>
          <w:color w:val="3D3B3B"/>
          <w:spacing w:val="1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relevant statutes, but</w:t>
      </w:r>
      <w:r>
        <w:rPr>
          <w:color w:val="3D3B3B"/>
          <w:spacing w:val="1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it all comes back to  the  requirements articulated in  the  motion standard</w:t>
      </w:r>
      <w:r>
        <w:rPr>
          <w:color w:val="3D3B3B"/>
          <w:spacing w:val="1"/>
          <w:w w:val="110"/>
          <w:vertAlign w:val="baseline"/>
        </w:rPr>
        <w:t> </w:t>
      </w:r>
      <w:r>
        <w:rPr>
          <w:color w:val="3D3B3B"/>
          <w:w w:val="115"/>
          <w:vertAlign w:val="baseline"/>
        </w:rPr>
        <w:t>of</w:t>
      </w:r>
      <w:r>
        <w:rPr>
          <w:color w:val="3D3B3B"/>
          <w:spacing w:val="6"/>
          <w:w w:val="115"/>
          <w:vertAlign w:val="baseline"/>
        </w:rPr>
        <w:t> </w:t>
      </w:r>
      <w:r>
        <w:rPr>
          <w:color w:val="3D3B3B"/>
          <w:w w:val="115"/>
          <w:vertAlign w:val="baseline"/>
        </w:rPr>
        <w:t>review.</w:t>
      </w:r>
    </w:p>
    <w:p>
      <w:pPr>
        <w:pStyle w:val="BodyText"/>
        <w:spacing w:line="239" w:lineRule="exact"/>
        <w:ind w:left="508"/>
        <w:jc w:val="both"/>
      </w:pPr>
      <w:r>
        <w:rPr>
          <w:color w:val="3D3B3B"/>
          <w:w w:val="110"/>
        </w:rPr>
        <w:t>In</w:t>
      </w:r>
      <w:r>
        <w:rPr>
          <w:color w:val="3D3B3B"/>
          <w:spacing w:val="43"/>
          <w:w w:val="110"/>
        </w:rPr>
        <w:t> </w:t>
      </w:r>
      <w:r>
        <w:rPr>
          <w:color w:val="3D3B3B"/>
          <w:w w:val="110"/>
        </w:rPr>
        <w:t>most</w:t>
      </w:r>
      <w:r>
        <w:rPr>
          <w:color w:val="3D3B3B"/>
          <w:spacing w:val="20"/>
          <w:w w:val="110"/>
        </w:rPr>
        <w:t> </w:t>
      </w:r>
      <w:r>
        <w:rPr>
          <w:color w:val="3D3B3B"/>
          <w:w w:val="110"/>
        </w:rPr>
        <w:t>situations,</w:t>
      </w:r>
      <w:r>
        <w:rPr>
          <w:color w:val="3D3B3B"/>
          <w:spacing w:val="29"/>
          <w:w w:val="110"/>
        </w:rPr>
        <w:t> </w:t>
      </w:r>
      <w:r>
        <w:rPr>
          <w:color w:val="3D3B3B"/>
          <w:w w:val="110"/>
        </w:rPr>
        <w:t>you</w:t>
      </w:r>
      <w:r>
        <w:rPr>
          <w:color w:val="3D3B3B"/>
          <w:spacing w:val="13"/>
          <w:w w:val="110"/>
        </w:rPr>
        <w:t> </w:t>
      </w:r>
      <w:r>
        <w:rPr>
          <w:color w:val="3D3B3B"/>
          <w:w w:val="110"/>
        </w:rPr>
        <w:t>can</w:t>
      </w:r>
      <w:r>
        <w:rPr>
          <w:color w:val="3D3B3B"/>
          <w:spacing w:val="34"/>
          <w:w w:val="110"/>
        </w:rPr>
        <w:t> </w:t>
      </w:r>
      <w:r>
        <w:rPr>
          <w:color w:val="3D3B3B"/>
          <w:w w:val="110"/>
        </w:rPr>
        <w:t>briefly</w:t>
      </w:r>
      <w:r>
        <w:rPr>
          <w:color w:val="3D3B3B"/>
          <w:spacing w:val="7"/>
          <w:w w:val="110"/>
        </w:rPr>
        <w:t> </w:t>
      </w:r>
      <w:r>
        <w:rPr>
          <w:color w:val="3D3B3B"/>
          <w:w w:val="110"/>
        </w:rPr>
        <w:t>state</w:t>
      </w:r>
      <w:r>
        <w:rPr>
          <w:color w:val="3D3B3B"/>
          <w:spacing w:val="12"/>
          <w:w w:val="110"/>
        </w:rPr>
        <w:t> </w:t>
      </w:r>
      <w:r>
        <w:rPr>
          <w:color w:val="3D3B3B"/>
          <w:w w:val="110"/>
        </w:rPr>
        <w:t>the</w:t>
      </w:r>
      <w:r>
        <w:rPr>
          <w:color w:val="3D3B3B"/>
          <w:spacing w:val="11"/>
          <w:w w:val="110"/>
        </w:rPr>
        <w:t> </w:t>
      </w:r>
      <w:r>
        <w:rPr>
          <w:color w:val="3D3B3B"/>
          <w:w w:val="110"/>
        </w:rPr>
        <w:t>boilerplate</w:t>
      </w:r>
      <w:r>
        <w:rPr>
          <w:color w:val="3D3B3B"/>
          <w:spacing w:val="15"/>
          <w:w w:val="110"/>
        </w:rPr>
        <w:t> </w:t>
      </w:r>
      <w:r>
        <w:rPr>
          <w:color w:val="3D3B3B"/>
          <w:w w:val="110"/>
        </w:rPr>
        <w:t>language</w:t>
      </w:r>
      <w:r>
        <w:rPr>
          <w:color w:val="3D3B3B"/>
          <w:spacing w:val="10"/>
          <w:w w:val="110"/>
        </w:rPr>
        <w:t> </w:t>
      </w:r>
      <w:r>
        <w:rPr>
          <w:color w:val="3D3B3B"/>
          <w:w w:val="110"/>
        </w:rPr>
        <w:t>from</w:t>
      </w:r>
    </w:p>
    <w:p>
      <w:pPr>
        <w:pStyle w:val="BodyText"/>
        <w:spacing w:line="232" w:lineRule="auto" w:before="4"/>
        <w:ind w:left="136" w:right="1564" w:firstLine="9"/>
        <w:jc w:val="both"/>
      </w:pPr>
      <w:r>
        <w:rPr>
          <w:color w:val="3D3B3B"/>
          <w:w w:val="115"/>
        </w:rPr>
        <w:t>the standard and</w:t>
      </w:r>
      <w:r>
        <w:rPr>
          <w:color w:val="3D3B3B"/>
          <w:spacing w:val="1"/>
          <w:w w:val="115"/>
        </w:rPr>
        <w:t> </w:t>
      </w:r>
      <w:r>
        <w:rPr>
          <w:color w:val="3D3B3B"/>
          <w:w w:val="115"/>
        </w:rPr>
        <w:t>cite to appropriate authority (whether</w:t>
      </w:r>
      <w:r>
        <w:rPr>
          <w:color w:val="3D3B3B"/>
          <w:spacing w:val="1"/>
          <w:w w:val="115"/>
        </w:rPr>
        <w:t> </w:t>
      </w:r>
      <w:r>
        <w:rPr>
          <w:color w:val="3D3B3B"/>
          <w:w w:val="115"/>
        </w:rPr>
        <w:t>the standard</w:t>
      </w:r>
      <w:r>
        <w:rPr>
          <w:color w:val="3D3B3B"/>
          <w:spacing w:val="1"/>
          <w:w w:val="115"/>
        </w:rPr>
        <w:t> </w:t>
      </w:r>
      <w:r>
        <w:rPr>
          <w:color w:val="3D3B3B"/>
          <w:w w:val="115"/>
        </w:rPr>
        <w:t>comes from a rule, from case law, or from both). With a motion to dis­</w:t>
      </w:r>
      <w:r>
        <w:rPr>
          <w:color w:val="3D3B3B"/>
          <w:spacing w:val="1"/>
          <w:w w:val="115"/>
        </w:rPr>
        <w:t> </w:t>
      </w:r>
      <w:r>
        <w:rPr>
          <w:color w:val="3D3B3B"/>
          <w:w w:val="110"/>
        </w:rPr>
        <w:t>miss, this straightforward use of the standard would be appropriate when,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5"/>
        </w:rPr>
        <w:t>for example, the plaintiff has alleged that the defendant has violated a</w:t>
      </w:r>
      <w:r>
        <w:rPr>
          <w:color w:val="3D3B3B"/>
          <w:spacing w:val="1"/>
          <w:w w:val="115"/>
        </w:rPr>
        <w:t> </w:t>
      </w:r>
      <w:r>
        <w:rPr>
          <w:color w:val="3D3B3B"/>
          <w:w w:val="115"/>
        </w:rPr>
        <w:t>statute,</w:t>
      </w:r>
      <w:r>
        <w:rPr>
          <w:color w:val="3D3B3B"/>
          <w:spacing w:val="9"/>
          <w:w w:val="115"/>
        </w:rPr>
        <w:t> </w:t>
      </w:r>
      <w:r>
        <w:rPr>
          <w:color w:val="3D3B3B"/>
          <w:w w:val="115"/>
        </w:rPr>
        <w:t>and</w:t>
      </w:r>
      <w:r>
        <w:rPr>
          <w:color w:val="3D3B3B"/>
          <w:spacing w:val="46"/>
          <w:w w:val="115"/>
        </w:rPr>
        <w:t> </w:t>
      </w:r>
      <w:r>
        <w:rPr>
          <w:color w:val="3D3B3B"/>
          <w:w w:val="115"/>
        </w:rPr>
        <w:t>the</w:t>
      </w:r>
      <w:r>
        <w:rPr>
          <w:color w:val="3D3B3B"/>
          <w:spacing w:val="35"/>
          <w:w w:val="115"/>
        </w:rPr>
        <w:t> </w:t>
      </w:r>
      <w:r>
        <w:rPr>
          <w:color w:val="3D3B3B"/>
          <w:w w:val="115"/>
        </w:rPr>
        <w:t>defendant</w:t>
      </w:r>
      <w:r>
        <w:rPr>
          <w:color w:val="3D3B3B"/>
          <w:spacing w:val="15"/>
          <w:w w:val="115"/>
        </w:rPr>
        <w:t> </w:t>
      </w:r>
      <w:r>
        <w:rPr>
          <w:color w:val="3D3B3B"/>
          <w:w w:val="115"/>
        </w:rPr>
        <w:t>argues</w:t>
      </w:r>
      <w:r>
        <w:rPr>
          <w:color w:val="3D3B3B"/>
          <w:spacing w:val="24"/>
          <w:w w:val="115"/>
        </w:rPr>
        <w:t> </w:t>
      </w:r>
      <w:r>
        <w:rPr>
          <w:color w:val="3D3B3B"/>
          <w:w w:val="115"/>
        </w:rPr>
        <w:t>that</w:t>
      </w:r>
      <w:r>
        <w:rPr>
          <w:color w:val="3D3B3B"/>
          <w:spacing w:val="26"/>
          <w:w w:val="115"/>
        </w:rPr>
        <w:t> </w:t>
      </w:r>
      <w:r>
        <w:rPr>
          <w:color w:val="3D3B3B"/>
          <w:w w:val="115"/>
        </w:rPr>
        <w:t>the</w:t>
      </w:r>
      <w:r>
        <w:rPr>
          <w:color w:val="3D3B3B"/>
          <w:spacing w:val="8"/>
          <w:w w:val="115"/>
        </w:rPr>
        <w:t> </w:t>
      </w:r>
      <w:r>
        <w:rPr>
          <w:color w:val="3D3B3B"/>
          <w:w w:val="115"/>
        </w:rPr>
        <w:t>statute</w:t>
      </w:r>
      <w:r>
        <w:rPr>
          <w:color w:val="3D3B3B"/>
          <w:spacing w:val="17"/>
          <w:w w:val="115"/>
        </w:rPr>
        <w:t> </w:t>
      </w:r>
      <w:r>
        <w:rPr>
          <w:color w:val="3D3B3B"/>
          <w:w w:val="115"/>
        </w:rPr>
        <w:t>does</w:t>
      </w:r>
      <w:r>
        <w:rPr>
          <w:color w:val="3D3B3B"/>
          <w:spacing w:val="7"/>
          <w:w w:val="115"/>
        </w:rPr>
        <w:t> </w:t>
      </w:r>
      <w:r>
        <w:rPr>
          <w:color w:val="3D3B3B"/>
          <w:w w:val="115"/>
        </w:rPr>
        <w:t>not</w:t>
      </w:r>
      <w:r>
        <w:rPr>
          <w:color w:val="3D3B3B"/>
          <w:spacing w:val="44"/>
          <w:w w:val="115"/>
        </w:rPr>
        <w:t> </w:t>
      </w:r>
      <w:r>
        <w:rPr>
          <w:color w:val="3D3B3B"/>
          <w:w w:val="115"/>
        </w:rPr>
        <w:t>apply</w:t>
      </w:r>
      <w:r>
        <w:rPr>
          <w:color w:val="3D3B3B"/>
          <w:spacing w:val="16"/>
          <w:w w:val="115"/>
        </w:rPr>
        <w:t> </w:t>
      </w:r>
      <w:r>
        <w:rPr>
          <w:color w:val="3D3B3B"/>
          <w:w w:val="115"/>
        </w:rPr>
        <w:t>to</w:t>
      </w:r>
      <w:r>
        <w:rPr>
          <w:color w:val="3D3B3B"/>
          <w:spacing w:val="27"/>
          <w:w w:val="115"/>
        </w:rPr>
        <w:t> </w:t>
      </w:r>
      <w:r>
        <w:rPr>
          <w:color w:val="3D3B3B"/>
          <w:w w:val="115"/>
        </w:rPr>
        <w:t>the</w:t>
      </w:r>
    </w:p>
    <w:p>
      <w:pPr>
        <w:pStyle w:val="BodyText"/>
        <w:spacing w:before="4"/>
        <w:rPr>
          <w:sz w:val="34"/>
        </w:rPr>
      </w:pPr>
    </w:p>
    <w:p>
      <w:pPr>
        <w:spacing w:line="240" w:lineRule="auto" w:before="0"/>
        <w:ind w:left="145" w:right="1523" w:firstLine="368"/>
        <w:jc w:val="both"/>
        <w:rPr>
          <w:rFonts w:ascii="Arial" w:hAnsi="Arial"/>
          <w:i/>
          <w:sz w:val="16"/>
        </w:rPr>
      </w:pPr>
      <w:r>
        <w:rPr>
          <w:rFonts w:ascii="Arial" w:hAnsi="Arial"/>
          <w:color w:val="3D3B3B"/>
          <w:w w:val="115"/>
          <w:position w:val="6"/>
          <w:sz w:val="9"/>
        </w:rPr>
        <w:t>46</w:t>
      </w:r>
      <w:r>
        <w:rPr>
          <w:color w:val="3D3B3B"/>
          <w:w w:val="115"/>
          <w:sz w:val="17"/>
        </w:rPr>
        <w:t>For example, In the past</w:t>
      </w:r>
      <w:r>
        <w:rPr>
          <w:color w:val="5B5B5D"/>
          <w:w w:val="115"/>
          <w:sz w:val="17"/>
        </w:rPr>
        <w:t>, </w:t>
      </w:r>
      <w:r>
        <w:rPr>
          <w:color w:val="3D3B3B"/>
          <w:w w:val="115"/>
          <w:sz w:val="17"/>
        </w:rPr>
        <w:t>federal courts d</w:t>
      </w:r>
      <w:r>
        <w:rPr>
          <w:color w:val="5B5B5D"/>
          <w:w w:val="115"/>
          <w:sz w:val="17"/>
        </w:rPr>
        <w:t>e</w:t>
      </w:r>
      <w:r>
        <w:rPr>
          <w:color w:val="3D3B3B"/>
          <w:w w:val="115"/>
          <w:sz w:val="17"/>
        </w:rPr>
        <w:t>ciding motions to dismiss under Fed. R. </w:t>
      </w:r>
      <w:r>
        <w:rPr>
          <w:color w:val="3D3B3B"/>
          <w:w w:val="115"/>
          <w:sz w:val="18"/>
        </w:rPr>
        <w:t>Clv</w:t>
      </w:r>
      <w:r>
        <w:rPr>
          <w:color w:val="5B5B5D"/>
          <w:w w:val="115"/>
          <w:sz w:val="18"/>
        </w:rPr>
        <w:t>. </w:t>
      </w:r>
      <w:r>
        <w:rPr>
          <w:color w:val="3D3B3B"/>
          <w:w w:val="115"/>
          <w:sz w:val="17"/>
        </w:rPr>
        <w:t>P.</w:t>
      </w:r>
      <w:r>
        <w:rPr>
          <w:color w:val="3D3B3B"/>
          <w:spacing w:val="1"/>
          <w:w w:val="115"/>
          <w:sz w:val="17"/>
        </w:rPr>
        <w:t> </w:t>
      </w:r>
      <w:r>
        <w:rPr>
          <w:color w:val="3D3B3B"/>
          <w:w w:val="110"/>
          <w:sz w:val="17"/>
        </w:rPr>
        <w:t>Rule 12(b)(6) frequently cited a 1957 case, </w:t>
      </w:r>
      <w:r>
        <w:rPr>
          <w:rFonts w:ascii="Arial" w:hAnsi="Arial"/>
          <w:i/>
          <w:color w:val="3D3B3B"/>
          <w:w w:val="110"/>
          <w:sz w:val="16"/>
        </w:rPr>
        <w:t>Conley v. Gibson, </w:t>
      </w:r>
      <w:r>
        <w:rPr>
          <w:color w:val="3D3B3B"/>
          <w:w w:val="110"/>
          <w:sz w:val="17"/>
        </w:rPr>
        <w:t>355 U</w:t>
      </w:r>
      <w:r>
        <w:rPr>
          <w:color w:val="6B6B6E"/>
          <w:w w:val="110"/>
          <w:sz w:val="17"/>
        </w:rPr>
        <w:t>.</w:t>
      </w:r>
      <w:r>
        <w:rPr>
          <w:color w:val="3D3B3B"/>
          <w:w w:val="110"/>
          <w:sz w:val="17"/>
        </w:rPr>
        <w:t>S. 41 (1957). It seems that cita•</w:t>
      </w:r>
      <w:r>
        <w:rPr>
          <w:color w:val="3D3B3B"/>
          <w:spacing w:val="1"/>
          <w:w w:val="110"/>
          <w:sz w:val="17"/>
        </w:rPr>
        <w:t> </w:t>
      </w:r>
      <w:r>
        <w:rPr>
          <w:color w:val="3D3B3B"/>
          <w:w w:val="110"/>
          <w:sz w:val="17"/>
        </w:rPr>
        <w:t>Uons to </w:t>
      </w:r>
      <w:r>
        <w:rPr>
          <w:rFonts w:ascii="Arial" w:hAnsi="Arial"/>
          <w:i/>
          <w:color w:val="3D3B3B"/>
          <w:w w:val="110"/>
          <w:sz w:val="16"/>
        </w:rPr>
        <w:t>Conley </w:t>
      </w:r>
      <w:r>
        <w:rPr>
          <w:color w:val="3D3B3B"/>
          <w:w w:val="110"/>
          <w:sz w:val="17"/>
        </w:rPr>
        <w:t>have been replaced by citations to both </w:t>
      </w:r>
      <w:r>
        <w:rPr>
          <w:rFonts w:ascii="Arial" w:hAnsi="Arial"/>
          <w:i/>
          <w:color w:val="3D3B3B"/>
          <w:w w:val="110"/>
          <w:sz w:val="16"/>
        </w:rPr>
        <w:t>Bell Atlmrri</w:t>
      </w:r>
      <w:r>
        <w:rPr>
          <w:rFonts w:ascii="Arial" w:hAnsi="Arial"/>
          <w:i/>
          <w:color w:val="5B5B5D"/>
          <w:w w:val="110"/>
          <w:sz w:val="16"/>
        </w:rPr>
        <w:t>c </w:t>
      </w:r>
      <w:r>
        <w:rPr>
          <w:rFonts w:ascii="Arial" w:hAnsi="Arial"/>
          <w:i/>
          <w:color w:val="3D3B3B"/>
          <w:w w:val="110"/>
          <w:sz w:val="16"/>
        </w:rPr>
        <w:t>Corp. v. Twombly, </w:t>
      </w:r>
      <w:r>
        <w:rPr>
          <w:color w:val="3D3B3B"/>
          <w:w w:val="110"/>
          <w:sz w:val="17"/>
        </w:rPr>
        <w:t>S50 U.S</w:t>
      </w:r>
      <w:r>
        <w:rPr>
          <w:color w:val="5B5B5D"/>
          <w:w w:val="110"/>
          <w:sz w:val="17"/>
        </w:rPr>
        <w:t>. </w:t>
      </w:r>
      <w:r>
        <w:rPr>
          <w:color w:val="3D3B3B"/>
          <w:w w:val="110"/>
          <w:sz w:val="17"/>
        </w:rPr>
        <w:t>544</w:t>
      </w:r>
      <w:r>
        <w:rPr>
          <w:color w:val="3D3B3B"/>
          <w:spacing w:val="1"/>
          <w:w w:val="110"/>
          <w:sz w:val="17"/>
        </w:rPr>
        <w:t> </w:t>
      </w:r>
      <w:r>
        <w:rPr>
          <w:color w:val="3D3B3B"/>
          <w:w w:val="110"/>
          <w:sz w:val="17"/>
        </w:rPr>
        <w:t>(2007)</w:t>
      </w:r>
      <w:r>
        <w:rPr>
          <w:color w:val="5B5B5D"/>
          <w:w w:val="110"/>
          <w:sz w:val="17"/>
        </w:rPr>
        <w:t>, </w:t>
      </w:r>
      <w:r>
        <w:rPr>
          <w:color w:val="3D3B3B"/>
          <w:w w:val="110"/>
          <w:sz w:val="17"/>
        </w:rPr>
        <w:t>and </w:t>
      </w:r>
      <w:r>
        <w:rPr>
          <w:rFonts w:ascii="Arial" w:hAnsi="Arial"/>
          <w:i/>
          <w:color w:val="3D3B3B"/>
          <w:w w:val="110"/>
          <w:sz w:val="16"/>
        </w:rPr>
        <w:t>Ashcroft v. l&lt;Jbal, </w:t>
      </w:r>
      <w:r>
        <w:rPr>
          <w:color w:val="3D3B3B"/>
          <w:w w:val="110"/>
          <w:sz w:val="17"/>
        </w:rPr>
        <w:t>556</w:t>
      </w:r>
      <w:r>
        <w:rPr>
          <w:color w:val="3D3B3B"/>
          <w:spacing w:val="1"/>
          <w:w w:val="110"/>
          <w:sz w:val="17"/>
        </w:rPr>
        <w:t> </w:t>
      </w:r>
      <w:r>
        <w:rPr>
          <w:color w:val="3D3B3B"/>
          <w:w w:val="110"/>
          <w:sz w:val="17"/>
        </w:rPr>
        <w:t>U.S. 662, 678 (2009)</w:t>
      </w:r>
      <w:r>
        <w:rPr>
          <w:color w:val="5B5B5D"/>
          <w:w w:val="110"/>
          <w:sz w:val="17"/>
        </w:rPr>
        <w:t>. </w:t>
      </w:r>
      <w:r>
        <w:rPr>
          <w:color w:val="3D3B3B"/>
          <w:w w:val="110"/>
          <w:sz w:val="17"/>
        </w:rPr>
        <w:t>In a six</w:t>
      </w:r>
      <w:r>
        <w:rPr>
          <w:color w:val="5B5B5D"/>
          <w:w w:val="110"/>
          <w:sz w:val="17"/>
        </w:rPr>
        <w:t>-</w:t>
      </w:r>
      <w:r>
        <w:rPr>
          <w:color w:val="3D3B3B"/>
          <w:w w:val="110"/>
          <w:sz w:val="17"/>
        </w:rPr>
        <w:t>month period in 20 l3</w:t>
      </w:r>
      <w:r>
        <w:rPr>
          <w:color w:val="5B5B5D"/>
          <w:w w:val="110"/>
          <w:sz w:val="17"/>
        </w:rPr>
        <w:t>, </w:t>
      </w:r>
      <w:r>
        <w:rPr>
          <w:color w:val="3D3B3B"/>
          <w:w w:val="110"/>
          <w:sz w:val="17"/>
        </w:rPr>
        <w:t>for example,</w:t>
      </w:r>
      <w:r>
        <w:rPr>
          <w:color w:val="3D3B3B"/>
          <w:spacing w:val="-44"/>
          <w:w w:val="110"/>
          <w:sz w:val="17"/>
        </w:rPr>
        <w:t> </w:t>
      </w:r>
      <w:r>
        <w:rPr>
          <w:color w:val="3D3B3B"/>
          <w:spacing w:val="-1"/>
          <w:w w:val="115"/>
          <w:sz w:val="17"/>
        </w:rPr>
        <w:t>753 district court cases cited </w:t>
      </w:r>
      <w:r>
        <w:rPr>
          <w:rFonts w:ascii="Arial" w:hAnsi="Arial"/>
          <w:i/>
          <w:color w:val="3D3B3B"/>
          <w:spacing w:val="-1"/>
          <w:w w:val="115"/>
          <w:sz w:val="16"/>
        </w:rPr>
        <w:t>1\vombly </w:t>
      </w:r>
      <w:r>
        <w:rPr>
          <w:color w:val="3D3B3B"/>
          <w:spacing w:val="-1"/>
          <w:w w:val="115"/>
          <w:sz w:val="17"/>
        </w:rPr>
        <w:t>but not </w:t>
      </w:r>
      <w:r>
        <w:rPr>
          <w:rFonts w:ascii="Arial" w:hAnsi="Arial"/>
          <w:i/>
          <w:color w:val="3D3B3B"/>
          <w:spacing w:val="-1"/>
          <w:w w:val="115"/>
          <w:sz w:val="16"/>
        </w:rPr>
        <w:t>Iqbal</w:t>
      </w:r>
      <w:r>
        <w:rPr>
          <w:rFonts w:ascii="Arial" w:hAnsi="Arial"/>
          <w:i/>
          <w:color w:val="5B5B5D"/>
          <w:spacing w:val="-1"/>
          <w:w w:val="115"/>
          <w:sz w:val="16"/>
        </w:rPr>
        <w:t>, </w:t>
      </w:r>
      <w:r>
        <w:rPr>
          <w:color w:val="3D3B3B"/>
          <w:w w:val="115"/>
          <w:sz w:val="17"/>
        </w:rPr>
        <w:t>805 cited </w:t>
      </w:r>
      <w:r>
        <w:rPr>
          <w:rFonts w:ascii="Arial" w:hAnsi="Arial"/>
          <w:i/>
          <w:color w:val="3D3B3B"/>
          <w:w w:val="115"/>
          <w:sz w:val="16"/>
        </w:rPr>
        <w:t>Iqbal </w:t>
      </w:r>
      <w:r>
        <w:rPr>
          <w:color w:val="3D3B3B"/>
          <w:w w:val="115"/>
          <w:sz w:val="17"/>
        </w:rPr>
        <w:t>but not </w:t>
      </w:r>
      <w:r>
        <w:rPr>
          <w:rFonts w:ascii="Arial" w:hAnsi="Arial"/>
          <w:i/>
          <w:color w:val="3D3B3B"/>
          <w:w w:val="115"/>
          <w:sz w:val="16"/>
        </w:rPr>
        <w:t>nvombly, </w:t>
      </w:r>
      <w:r>
        <w:rPr>
          <w:color w:val="3D3B3B"/>
          <w:w w:val="115"/>
          <w:sz w:val="17"/>
        </w:rPr>
        <w:t>and almost</w:t>
      </w:r>
      <w:r>
        <w:rPr>
          <w:color w:val="3D3B3B"/>
          <w:spacing w:val="1"/>
          <w:w w:val="115"/>
          <w:sz w:val="17"/>
        </w:rPr>
        <w:t> </w:t>
      </w:r>
      <w:r>
        <w:rPr>
          <w:color w:val="3D3B3B"/>
          <w:w w:val="115"/>
          <w:sz w:val="17"/>
        </w:rPr>
        <w:t>7,000</w:t>
      </w:r>
      <w:r>
        <w:rPr>
          <w:color w:val="3D3B3B"/>
          <w:spacing w:val="-19"/>
          <w:w w:val="115"/>
          <w:sz w:val="17"/>
        </w:rPr>
        <w:t> </w:t>
      </w:r>
      <w:r>
        <w:rPr>
          <w:color w:val="3D3B3B"/>
          <w:w w:val="115"/>
          <w:sz w:val="17"/>
        </w:rPr>
        <w:t>opinions</w:t>
      </w:r>
      <w:r>
        <w:rPr>
          <w:color w:val="3D3B3B"/>
          <w:spacing w:val="-16"/>
          <w:w w:val="115"/>
          <w:sz w:val="17"/>
        </w:rPr>
        <w:t> </w:t>
      </w:r>
      <w:r>
        <w:rPr>
          <w:color w:val="3D3B3B"/>
          <w:w w:val="115"/>
          <w:sz w:val="17"/>
        </w:rPr>
        <w:t>cited</w:t>
      </w:r>
      <w:r>
        <w:rPr>
          <w:color w:val="3D3B3B"/>
          <w:spacing w:val="6"/>
          <w:w w:val="115"/>
          <w:sz w:val="17"/>
        </w:rPr>
        <w:t> </w:t>
      </w:r>
      <w:r>
        <w:rPr>
          <w:color w:val="3D3B3B"/>
          <w:w w:val="115"/>
          <w:sz w:val="17"/>
        </w:rPr>
        <w:t>both</w:t>
      </w:r>
      <w:r>
        <w:rPr>
          <w:color w:val="3D3B3B"/>
          <w:spacing w:val="-20"/>
          <w:w w:val="115"/>
          <w:sz w:val="17"/>
        </w:rPr>
        <w:t> </w:t>
      </w:r>
      <w:r>
        <w:rPr>
          <w:rFonts w:ascii="Arial" w:hAnsi="Arial"/>
          <w:i/>
          <w:color w:val="3D3B3B"/>
          <w:w w:val="115"/>
          <w:sz w:val="16"/>
        </w:rPr>
        <w:t>1\vombly</w:t>
      </w:r>
      <w:r>
        <w:rPr>
          <w:rFonts w:ascii="Arial" w:hAnsi="Arial"/>
          <w:i/>
          <w:color w:val="3D3B3B"/>
          <w:spacing w:val="-8"/>
          <w:w w:val="115"/>
          <w:sz w:val="16"/>
        </w:rPr>
        <w:t> </w:t>
      </w:r>
      <w:r>
        <w:rPr>
          <w:color w:val="3D3B3B"/>
          <w:w w:val="115"/>
          <w:sz w:val="17"/>
        </w:rPr>
        <w:t>and</w:t>
      </w:r>
      <w:r>
        <w:rPr>
          <w:color w:val="3D3B3B"/>
          <w:spacing w:val="3"/>
          <w:w w:val="115"/>
          <w:sz w:val="17"/>
        </w:rPr>
        <w:t> </w:t>
      </w:r>
      <w:r>
        <w:rPr>
          <w:rFonts w:ascii="Arial" w:hAnsi="Arial"/>
          <w:i/>
          <w:color w:val="3D3B3B"/>
          <w:w w:val="115"/>
          <w:sz w:val="16"/>
        </w:rPr>
        <w:t>/t/bal.</w:t>
      </w:r>
    </w:p>
    <w:p>
      <w:pPr>
        <w:pStyle w:val="ListParagraph"/>
        <w:numPr>
          <w:ilvl w:val="0"/>
          <w:numId w:val="25"/>
        </w:numPr>
        <w:tabs>
          <w:tab w:pos="536" w:val="left" w:leader="none"/>
        </w:tabs>
        <w:spacing w:line="240" w:lineRule="auto" w:before="5" w:after="0"/>
        <w:ind w:left="151" w:right="1509" w:firstLine="315"/>
        <w:jc w:val="both"/>
        <w:rPr>
          <w:sz w:val="17"/>
        </w:rPr>
      </w:pPr>
      <w:r>
        <w:rPr>
          <w:i/>
          <w:color w:val="3D3B3B"/>
          <w:w w:val="165"/>
          <w:position w:val="7"/>
          <w:sz w:val="10"/>
        </w:rPr>
        <w:t>1 </w:t>
      </w:r>
      <w:r>
        <w:rPr>
          <w:color w:val="3D3B3B"/>
          <w:w w:val="115"/>
          <w:sz w:val="17"/>
        </w:rPr>
        <w:t>Be</w:t>
      </w:r>
      <w:r>
        <w:rPr>
          <w:color w:val="5B5B5D"/>
          <w:w w:val="115"/>
          <w:sz w:val="17"/>
        </w:rPr>
        <w:t>c</w:t>
      </w:r>
      <w:r>
        <w:rPr>
          <w:color w:val="3D3B3B"/>
          <w:w w:val="115"/>
          <w:sz w:val="17"/>
        </w:rPr>
        <w:t>ause most states have enacted state civil rules using language almost Identi</w:t>
      </w:r>
      <w:r>
        <w:rPr>
          <w:color w:val="5B5B5D"/>
          <w:w w:val="115"/>
          <w:sz w:val="17"/>
        </w:rPr>
        <w:t>c</w:t>
      </w:r>
      <w:r>
        <w:rPr>
          <w:color w:val="3D3B3B"/>
          <w:w w:val="115"/>
          <w:sz w:val="17"/>
        </w:rPr>
        <w:t>al to fed</w:t>
      </w:r>
      <w:r>
        <w:rPr>
          <w:color w:val="5B5B5D"/>
          <w:w w:val="115"/>
          <w:sz w:val="17"/>
        </w:rPr>
        <w:t>e</w:t>
      </w:r>
      <w:r>
        <w:rPr>
          <w:color w:val="3D3B3B"/>
          <w:w w:val="115"/>
          <w:sz w:val="17"/>
        </w:rPr>
        <w:t>ral</w:t>
      </w:r>
      <w:r>
        <w:rPr>
          <w:color w:val="3D3B3B"/>
          <w:spacing w:val="-46"/>
          <w:w w:val="115"/>
          <w:sz w:val="17"/>
        </w:rPr>
        <w:t> </w:t>
      </w:r>
      <w:r>
        <w:rPr>
          <w:color w:val="3D3B3B"/>
          <w:w w:val="115"/>
          <w:sz w:val="17"/>
        </w:rPr>
        <w:t>Rule 12</w:t>
      </w:r>
      <w:r>
        <w:rPr>
          <w:color w:val="5B5B5D"/>
          <w:w w:val="115"/>
          <w:sz w:val="17"/>
        </w:rPr>
        <w:t>(</w:t>
      </w:r>
      <w:r>
        <w:rPr>
          <w:color w:val="3D3B3B"/>
          <w:w w:val="115"/>
          <w:sz w:val="17"/>
        </w:rPr>
        <w:t>b)(6) and other federal rules, some students writing briefs to a state court will mistakenly</w:t>
      </w:r>
      <w:r>
        <w:rPr>
          <w:color w:val="3D3B3B"/>
          <w:spacing w:val="1"/>
          <w:w w:val="115"/>
          <w:sz w:val="17"/>
        </w:rPr>
        <w:t> </w:t>
      </w:r>
      <w:r>
        <w:rPr>
          <w:color w:val="3D3B3B"/>
          <w:w w:val="115"/>
          <w:sz w:val="17"/>
        </w:rPr>
        <w:t>cite to the federal rule or to federal cases articulating the standard. Be sure you are citing authority</w:t>
      </w:r>
      <w:r>
        <w:rPr>
          <w:color w:val="3D3B3B"/>
          <w:spacing w:val="-46"/>
          <w:w w:val="115"/>
          <w:sz w:val="17"/>
        </w:rPr>
        <w:t> </w:t>
      </w:r>
      <w:r>
        <w:rPr>
          <w:color w:val="3D3B3B"/>
          <w:w w:val="115"/>
          <w:sz w:val="17"/>
        </w:rPr>
        <w:t>from</w:t>
      </w:r>
      <w:r>
        <w:rPr>
          <w:color w:val="3D3B3B"/>
          <w:spacing w:val="1"/>
          <w:w w:val="115"/>
          <w:sz w:val="17"/>
        </w:rPr>
        <w:t> </w:t>
      </w:r>
      <w:r>
        <w:rPr>
          <w:color w:val="3D3B3B"/>
          <w:w w:val="115"/>
          <w:sz w:val="17"/>
        </w:rPr>
        <w:t>the</w:t>
      </w:r>
      <w:r>
        <w:rPr>
          <w:color w:val="3D3B3B"/>
          <w:spacing w:val="8"/>
          <w:w w:val="115"/>
          <w:sz w:val="17"/>
        </w:rPr>
        <w:t> </w:t>
      </w:r>
      <w:r>
        <w:rPr>
          <w:color w:val="3D3B3B"/>
          <w:w w:val="115"/>
          <w:sz w:val="17"/>
        </w:rPr>
        <w:t>appropriate</w:t>
      </w:r>
      <w:r>
        <w:rPr>
          <w:color w:val="3D3B3B"/>
          <w:spacing w:val="19"/>
          <w:w w:val="115"/>
          <w:sz w:val="17"/>
        </w:rPr>
        <w:t> </w:t>
      </w:r>
      <w:r>
        <w:rPr>
          <w:color w:val="3D3B3B"/>
          <w:w w:val="115"/>
          <w:sz w:val="17"/>
        </w:rPr>
        <w:t>juri</w:t>
      </w:r>
      <w:r>
        <w:rPr>
          <w:color w:val="5B5B5D"/>
          <w:w w:val="115"/>
          <w:sz w:val="17"/>
        </w:rPr>
        <w:t>s</w:t>
      </w:r>
      <w:r>
        <w:rPr>
          <w:color w:val="3D3B3B"/>
          <w:w w:val="115"/>
          <w:sz w:val="17"/>
        </w:rPr>
        <w:t>diction.</w:t>
      </w:r>
    </w:p>
    <w:p>
      <w:pPr>
        <w:spacing w:after="0" w:line="240" w:lineRule="auto"/>
        <w:jc w:val="both"/>
        <w:rPr>
          <w:sz w:val="17"/>
        </w:rPr>
        <w:sectPr>
          <w:headerReference w:type="default" r:id="rId53"/>
          <w:pgSz w:w="9810" w:h="13690"/>
          <w:pgMar w:header="0" w:footer="0" w:top="0" w:bottom="280" w:left="4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35" w:lineRule="auto"/>
        <w:ind w:left="817" w:right="101" w:firstLine="9"/>
        <w:jc w:val="both"/>
      </w:pPr>
      <w:r>
        <w:rPr>
          <w:color w:val="3A3838"/>
          <w:w w:val="110"/>
        </w:rPr>
        <w:t>situation. Thus, the focus of the argument would not be the factual ques­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tion of whether particular facts plausibly exist or have been appropriately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included in the complaint, but rather the legal question of whether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statutory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language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applies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13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7"/>
          <w:w w:val="110"/>
        </w:rPr>
        <w:t> </w:t>
      </w:r>
      <w:r>
        <w:rPr>
          <w:color w:val="3A3838"/>
          <w:w w:val="110"/>
        </w:rPr>
        <w:t>particular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set</w:t>
      </w:r>
      <w:r>
        <w:rPr>
          <w:color w:val="3A3838"/>
          <w:spacing w:val="-2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-3"/>
          <w:w w:val="110"/>
        </w:rPr>
        <w:t> </w:t>
      </w:r>
      <w:r>
        <w:rPr>
          <w:color w:val="3A3838"/>
          <w:w w:val="110"/>
        </w:rPr>
        <w:t>facts.</w:t>
      </w:r>
    </w:p>
    <w:p>
      <w:pPr>
        <w:pStyle w:val="BodyText"/>
        <w:spacing w:line="232" w:lineRule="auto"/>
        <w:ind w:left="837" w:right="90" w:firstLine="372"/>
        <w:jc w:val="both"/>
      </w:pPr>
      <w:r>
        <w:rPr>
          <w:color w:val="3A3838"/>
          <w:w w:val="110"/>
        </w:rPr>
        <w:t>Even in this straightforward situation, however, you should still con­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0"/>
        </w:rPr>
        <w:t>nect the standard of review to your argument. </w:t>
      </w:r>
      <w:r>
        <w:rPr>
          <w:color w:val="3A3838"/>
          <w:w w:val="110"/>
        </w:rPr>
        <w:t>You may not see much con­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nection between the standard of review for a motion to dismiss and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argument that, forexample, supervisors cannot beheld individually liable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for sexual harassment under Title VII of the Civil Rights Act of 1964. But if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you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think about it, you will realize that the </w:t>
      </w:r>
      <w:r>
        <w:rPr>
          <w:i/>
          <w:color w:val="3A3838"/>
          <w:w w:val="105"/>
          <w:sz w:val="24"/>
        </w:rPr>
        <w:t>reason </w:t>
      </w:r>
      <w:r>
        <w:rPr>
          <w:color w:val="3A3838"/>
          <w:w w:val="105"/>
        </w:rPr>
        <w:t>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plaintiff's complaint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does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not</w:t>
      </w:r>
      <w:r>
        <w:rPr>
          <w:color w:val="3A3838"/>
          <w:spacing w:val="11"/>
          <w:w w:val="110"/>
        </w:rPr>
        <w:t> </w:t>
      </w:r>
      <w:r>
        <w:rPr>
          <w:color w:val="3A3838"/>
          <w:w w:val="110"/>
        </w:rPr>
        <w:t>plausibly</w:t>
      </w:r>
      <w:r>
        <w:rPr>
          <w:color w:val="3A3838"/>
          <w:spacing w:val="-17"/>
          <w:w w:val="110"/>
        </w:rPr>
        <w:t> </w:t>
      </w:r>
      <w:r>
        <w:rPr>
          <w:color w:val="3A3838"/>
          <w:w w:val="110"/>
        </w:rPr>
        <w:t>give</w:t>
      </w:r>
      <w:r>
        <w:rPr>
          <w:color w:val="3A3838"/>
          <w:spacing w:val="-16"/>
          <w:w w:val="110"/>
        </w:rPr>
        <w:t> </w:t>
      </w:r>
      <w:r>
        <w:rPr>
          <w:color w:val="3A3838"/>
          <w:w w:val="110"/>
        </w:rPr>
        <w:t>rise</w:t>
      </w:r>
      <w:r>
        <w:rPr>
          <w:color w:val="3A3838"/>
          <w:spacing w:val="-17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9"/>
          <w:w w:val="110"/>
        </w:rPr>
        <w:t> </w:t>
      </w:r>
      <w:r>
        <w:rPr>
          <w:color w:val="3A3838"/>
          <w:w w:val="110"/>
        </w:rPr>
        <w:t>an</w:t>
      </w:r>
      <w:r>
        <w:rPr>
          <w:color w:val="3A3838"/>
          <w:spacing w:val="13"/>
          <w:w w:val="110"/>
        </w:rPr>
        <w:t> </w:t>
      </w:r>
      <w:r>
        <w:rPr>
          <w:color w:val="3A3838"/>
          <w:w w:val="110"/>
        </w:rPr>
        <w:t>entitlement</w:t>
      </w:r>
      <w:r>
        <w:rPr>
          <w:color w:val="3A3838"/>
          <w:spacing w:val="7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relief</w:t>
      </w:r>
      <w:r>
        <w:rPr>
          <w:color w:val="3A3838"/>
          <w:spacing w:val="16"/>
          <w:w w:val="110"/>
        </w:rPr>
        <w:t> </w:t>
      </w:r>
      <w:r>
        <w:rPr>
          <w:color w:val="3A3838"/>
          <w:w w:val="110"/>
        </w:rPr>
        <w:t>is</w:t>
      </w:r>
      <w:r>
        <w:rPr>
          <w:color w:val="3A3838"/>
          <w:spacing w:val="-23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-21"/>
          <w:w w:val="110"/>
        </w:rPr>
        <w:t> </w:t>
      </w:r>
      <w:r>
        <w:rPr>
          <w:color w:val="3A3838"/>
          <w:w w:val="110"/>
        </w:rPr>
        <w:t>Title</w:t>
      </w:r>
      <w:r>
        <w:rPr>
          <w:color w:val="3A3838"/>
          <w:spacing w:val="-16"/>
          <w:w w:val="110"/>
        </w:rPr>
        <w:t> </w:t>
      </w:r>
      <w:r>
        <w:rPr>
          <w:color w:val="3A3838"/>
          <w:w w:val="110"/>
        </w:rPr>
        <w:t>VII</w:t>
      </w:r>
      <w:r>
        <w:rPr>
          <w:color w:val="3A3838"/>
          <w:spacing w:val="-11"/>
          <w:w w:val="110"/>
        </w:rPr>
        <w:t> </w:t>
      </w:r>
      <w:r>
        <w:rPr>
          <w:color w:val="3A3838"/>
          <w:w w:val="110"/>
        </w:rPr>
        <w:t>does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05"/>
        </w:rPr>
        <w:t>not allow supervisors to be held individually liable. Thus, even if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facts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seem to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"plausibly" describe a  Title  VII  violation, Title VII does not  allow</w:t>
      </w:r>
      <w:r>
        <w:rPr>
          <w:color w:val="3A3838"/>
          <w:spacing w:val="-58"/>
          <w:w w:val="105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6"/>
          <w:w w:val="110"/>
        </w:rPr>
        <w:t> </w:t>
      </w:r>
      <w:r>
        <w:rPr>
          <w:color w:val="3A3838"/>
          <w:w w:val="110"/>
        </w:rPr>
        <w:t>plaintiff</w:t>
      </w:r>
      <w:r>
        <w:rPr>
          <w:color w:val="3A3838"/>
          <w:spacing w:val="18"/>
          <w:w w:val="110"/>
        </w:rPr>
        <w:t> </w:t>
      </w:r>
      <w:r>
        <w:rPr>
          <w:color w:val="3A3838"/>
          <w:w w:val="110"/>
        </w:rPr>
        <w:t>relief from</w:t>
      </w:r>
      <w:r>
        <w:rPr>
          <w:color w:val="3A3838"/>
          <w:spacing w:val="-7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supervisor.</w:t>
      </w:r>
    </w:p>
    <w:p>
      <w:pPr>
        <w:pStyle w:val="BodyText"/>
        <w:spacing w:line="232" w:lineRule="auto"/>
        <w:ind w:left="783" w:right="87" w:firstLine="457"/>
        <w:jc w:val="both"/>
        <w:rPr>
          <w:i/>
          <w:sz w:val="10"/>
        </w:rPr>
      </w:pPr>
      <w:r>
        <w:rPr>
          <w:color w:val="3A3838"/>
          <w:w w:val="105"/>
        </w:rPr>
        <w:t>You can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make the standard of review connection explicit in at least two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places: in the roadmap or umbrella paragraphs in which you first articulate</w:t>
      </w:r>
      <w:r>
        <w:rPr>
          <w:color w:val="3A3838"/>
          <w:spacing w:val="-61"/>
          <w:w w:val="110"/>
        </w:rPr>
        <w:t> </w:t>
      </w:r>
      <w:r>
        <w:rPr>
          <w:color w:val="3A3838"/>
          <w:spacing w:val="-1"/>
          <w:w w:val="110"/>
        </w:rPr>
        <w:t>the standard, and in your conclusion. Your conclusion </w:t>
      </w:r>
      <w:r>
        <w:rPr>
          <w:color w:val="3A3838"/>
          <w:w w:val="110"/>
        </w:rPr>
        <w:t>will be less effective</w:t>
      </w:r>
      <w:r>
        <w:rPr>
          <w:color w:val="3A3838"/>
          <w:spacing w:val="-62"/>
          <w:w w:val="110"/>
        </w:rPr>
        <w:t> </w:t>
      </w:r>
      <w:r>
        <w:rPr>
          <w:color w:val="3A3838"/>
          <w:w w:val="110"/>
        </w:rPr>
        <w:t>if you say simply, e.g., "Because supervisors cannot be held individually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liable</w:t>
      </w:r>
      <w:r>
        <w:rPr>
          <w:color w:val="3A3838"/>
          <w:spacing w:val="-20"/>
          <w:w w:val="110"/>
        </w:rPr>
        <w:t> </w:t>
      </w:r>
      <w:r>
        <w:rPr>
          <w:color w:val="3A3838"/>
          <w:w w:val="110"/>
        </w:rPr>
        <w:t>under</w:t>
      </w:r>
      <w:r>
        <w:rPr>
          <w:color w:val="3A3838"/>
          <w:spacing w:val="-26"/>
          <w:w w:val="110"/>
        </w:rPr>
        <w:t> </w:t>
      </w:r>
      <w:r>
        <w:rPr>
          <w:color w:val="3A3838"/>
          <w:w w:val="110"/>
        </w:rPr>
        <w:t>Title</w:t>
      </w:r>
      <w:r>
        <w:rPr>
          <w:color w:val="3A3838"/>
          <w:spacing w:val="-25"/>
          <w:w w:val="110"/>
        </w:rPr>
        <w:t> </w:t>
      </w:r>
      <w:r>
        <w:rPr>
          <w:color w:val="3A3838"/>
          <w:w w:val="110"/>
        </w:rPr>
        <w:t>VII,</w:t>
      </w:r>
      <w:r>
        <w:rPr>
          <w:color w:val="3A3838"/>
          <w:spacing w:val="-16"/>
          <w:w w:val="110"/>
        </w:rPr>
        <w:t> </w:t>
      </w:r>
      <w:r>
        <w:rPr>
          <w:color w:val="3A3838"/>
          <w:w w:val="110"/>
        </w:rPr>
        <w:t>this</w:t>
      </w:r>
      <w:r>
        <w:rPr>
          <w:color w:val="3A3838"/>
          <w:spacing w:val="-32"/>
          <w:w w:val="110"/>
        </w:rPr>
        <w:t> </w:t>
      </w:r>
      <w:r>
        <w:rPr>
          <w:color w:val="3A3838"/>
          <w:w w:val="110"/>
        </w:rPr>
        <w:t>court</w:t>
      </w:r>
      <w:r>
        <w:rPr>
          <w:color w:val="3A3838"/>
          <w:spacing w:val="-26"/>
          <w:w w:val="110"/>
        </w:rPr>
        <w:t> </w:t>
      </w:r>
      <w:r>
        <w:rPr>
          <w:color w:val="3A3838"/>
          <w:w w:val="110"/>
        </w:rPr>
        <w:t>should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grant</w:t>
      </w:r>
      <w:r>
        <w:rPr>
          <w:color w:val="3A3838"/>
          <w:spacing w:val="-15"/>
          <w:w w:val="110"/>
        </w:rPr>
        <w:t> </w:t>
      </w:r>
      <w:r>
        <w:rPr>
          <w:color w:val="3A3838"/>
          <w:w w:val="110"/>
        </w:rPr>
        <w:t>Defendant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Kobacker's</w:t>
      </w:r>
      <w:r>
        <w:rPr>
          <w:color w:val="3A3838"/>
          <w:spacing w:val="-9"/>
          <w:w w:val="110"/>
        </w:rPr>
        <w:t> </w:t>
      </w:r>
      <w:r>
        <w:rPr>
          <w:color w:val="3A3838"/>
          <w:w w:val="110"/>
        </w:rPr>
        <w:t>motion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to dismiss." Instead, you can explicitly connect the standard of review to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your argument by saying, "Title VII doesnot impose individual liability on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05"/>
        </w:rPr>
        <w:t>supervisors. Therefore, plaintiff has not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alleged a set of facts that plausibly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give</w:t>
      </w:r>
      <w:r>
        <w:rPr>
          <w:color w:val="3A3838"/>
          <w:spacing w:val="-28"/>
          <w:w w:val="110"/>
        </w:rPr>
        <w:t> </w:t>
      </w:r>
      <w:r>
        <w:rPr>
          <w:color w:val="3A3838"/>
          <w:w w:val="110"/>
        </w:rPr>
        <w:t>rise</w:t>
      </w:r>
      <w:r>
        <w:rPr>
          <w:color w:val="3A3838"/>
          <w:spacing w:val="-18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an</w:t>
      </w:r>
      <w:r>
        <w:rPr>
          <w:color w:val="3A3838"/>
          <w:spacing w:val="13"/>
          <w:w w:val="110"/>
        </w:rPr>
        <w:t> </w:t>
      </w:r>
      <w:r>
        <w:rPr>
          <w:color w:val="3A3838"/>
          <w:w w:val="110"/>
        </w:rPr>
        <w:t>entitlement</w:t>
      </w:r>
      <w:r>
        <w:rPr>
          <w:color w:val="3A3838"/>
          <w:spacing w:val="-13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relief</w:t>
      </w:r>
      <w:r>
        <w:rPr>
          <w:color w:val="3A3838"/>
          <w:spacing w:val="-5"/>
          <w:w w:val="110"/>
        </w:rPr>
        <w:t> </w:t>
      </w:r>
      <w:r>
        <w:rPr>
          <w:color w:val="3A3838"/>
          <w:w w:val="110"/>
        </w:rPr>
        <w:t>against</w:t>
      </w:r>
      <w:r>
        <w:rPr>
          <w:color w:val="3A3838"/>
          <w:spacing w:val="-3"/>
          <w:w w:val="110"/>
        </w:rPr>
        <w:t> </w:t>
      </w:r>
      <w:r>
        <w:rPr>
          <w:color w:val="3A3838"/>
          <w:w w:val="110"/>
        </w:rPr>
        <w:t>Defendant Kobacker</w:t>
      </w:r>
      <w:r>
        <w:rPr>
          <w:color w:val="3A3838"/>
          <w:spacing w:val="-7"/>
          <w:w w:val="110"/>
        </w:rPr>
        <w:t> </w:t>
      </w:r>
      <w:r>
        <w:rPr>
          <w:color w:val="3A3838"/>
          <w:w w:val="110"/>
        </w:rPr>
        <w:t>under</w:t>
      </w:r>
      <w:r>
        <w:rPr>
          <w:color w:val="3A3838"/>
          <w:spacing w:val="-26"/>
          <w:w w:val="110"/>
        </w:rPr>
        <w:t> </w:t>
      </w:r>
      <w:r>
        <w:rPr>
          <w:color w:val="3A3838"/>
          <w:w w:val="110"/>
        </w:rPr>
        <w:t>Title</w:t>
      </w:r>
      <w:r>
        <w:rPr>
          <w:color w:val="3A3838"/>
          <w:spacing w:val="-61"/>
          <w:w w:val="110"/>
        </w:rPr>
        <w:t> </w:t>
      </w:r>
      <w:r>
        <w:rPr>
          <w:color w:val="3A3838"/>
          <w:spacing w:val="-1"/>
          <w:w w:val="101"/>
        </w:rPr>
        <w:t>VII</w:t>
      </w:r>
      <w:r>
        <w:rPr>
          <w:color w:val="3A3838"/>
          <w:w w:val="101"/>
        </w:rPr>
        <w:t>,</w:t>
      </w:r>
      <w:r>
        <w:rPr>
          <w:color w:val="3A3838"/>
          <w:spacing w:val="-12"/>
        </w:rPr>
        <w:t> </w:t>
      </w:r>
      <w:r>
        <w:rPr>
          <w:color w:val="3A3838"/>
          <w:spacing w:val="-1"/>
          <w:w w:val="101"/>
        </w:rPr>
        <w:t>an</w:t>
      </w:r>
      <w:r>
        <w:rPr>
          <w:color w:val="3A3838"/>
          <w:w w:val="101"/>
        </w:rPr>
        <w:t>d</w:t>
      </w:r>
      <w:r>
        <w:rPr>
          <w:color w:val="3A3838"/>
        </w:rPr>
        <w:t> </w:t>
      </w:r>
      <w:r>
        <w:rPr>
          <w:color w:val="3A3838"/>
          <w:spacing w:val="17"/>
        </w:rPr>
        <w:t> </w:t>
      </w:r>
      <w:r>
        <w:rPr>
          <w:color w:val="3A3838"/>
          <w:spacing w:val="-1"/>
          <w:w w:val="114"/>
        </w:rPr>
        <w:t>thi</w:t>
      </w:r>
      <w:r>
        <w:rPr>
          <w:color w:val="3A3838"/>
          <w:w w:val="114"/>
        </w:rPr>
        <w:t>s</w:t>
      </w:r>
      <w:r>
        <w:rPr>
          <w:color w:val="3A3838"/>
        </w:rPr>
        <w:t> </w:t>
      </w:r>
      <w:r>
        <w:rPr>
          <w:color w:val="3A3838"/>
          <w:spacing w:val="-1"/>
          <w:w w:val="112"/>
        </w:rPr>
        <w:t>cour</w:t>
      </w:r>
      <w:r>
        <w:rPr>
          <w:color w:val="3A3838"/>
          <w:w w:val="112"/>
        </w:rPr>
        <w:t>t</w:t>
      </w:r>
      <w:r>
        <w:rPr>
          <w:color w:val="3A3838"/>
          <w:spacing w:val="-4"/>
        </w:rPr>
        <w:t> </w:t>
      </w:r>
      <w:r>
        <w:rPr>
          <w:color w:val="3A3838"/>
          <w:spacing w:val="-1"/>
          <w:w w:val="113"/>
        </w:rPr>
        <w:t>shoul</w:t>
      </w:r>
      <w:r>
        <w:rPr>
          <w:color w:val="3A3838"/>
          <w:w w:val="113"/>
        </w:rPr>
        <w:t>d</w:t>
      </w:r>
      <w:r>
        <w:rPr>
          <w:color w:val="3A3838"/>
          <w:spacing w:val="3"/>
        </w:rPr>
        <w:t> </w:t>
      </w:r>
      <w:r>
        <w:rPr>
          <w:color w:val="3A3838"/>
          <w:w w:val="115"/>
        </w:rPr>
        <w:t>grant</w:t>
      </w:r>
      <w:r>
        <w:rPr>
          <w:color w:val="3A3838"/>
          <w:spacing w:val="-1"/>
        </w:rPr>
        <w:t> </w:t>
      </w:r>
      <w:r>
        <w:rPr>
          <w:color w:val="3A3838"/>
          <w:spacing w:val="-1"/>
          <w:w w:val="115"/>
        </w:rPr>
        <w:t>th</w:t>
      </w:r>
      <w:r>
        <w:rPr>
          <w:color w:val="3A3838"/>
          <w:w w:val="115"/>
        </w:rPr>
        <w:t>e</w:t>
      </w:r>
      <w:r>
        <w:rPr>
          <w:color w:val="3A3838"/>
          <w:spacing w:val="23"/>
        </w:rPr>
        <w:t> </w:t>
      </w:r>
      <w:r>
        <w:rPr>
          <w:color w:val="3A3838"/>
          <w:spacing w:val="-1"/>
          <w:w w:val="117"/>
        </w:rPr>
        <w:t>motio</w:t>
      </w:r>
      <w:r>
        <w:rPr>
          <w:color w:val="3A3838"/>
          <w:w w:val="117"/>
        </w:rPr>
        <w:t>n</w:t>
      </w:r>
      <w:r>
        <w:rPr>
          <w:color w:val="3A3838"/>
          <w:spacing w:val="16"/>
        </w:rPr>
        <w:t> </w:t>
      </w:r>
      <w:r>
        <w:rPr>
          <w:color w:val="3A3838"/>
          <w:spacing w:val="-1"/>
          <w:w w:val="117"/>
        </w:rPr>
        <w:t>t</w:t>
      </w:r>
      <w:r>
        <w:rPr>
          <w:color w:val="3A3838"/>
          <w:w w:val="117"/>
        </w:rPr>
        <w:t>o</w:t>
      </w:r>
      <w:r>
        <w:rPr>
          <w:color w:val="3A3838"/>
          <w:spacing w:val="-3"/>
        </w:rPr>
        <w:t> </w:t>
      </w:r>
      <w:r>
        <w:rPr>
          <w:color w:val="3A3838"/>
          <w:w w:val="111"/>
        </w:rPr>
        <w:t>dismiss</w:t>
      </w:r>
      <w:r>
        <w:rPr>
          <w:color w:val="3A3838"/>
          <w:spacing w:val="-3"/>
          <w:w w:val="111"/>
        </w:rPr>
        <w:t>.</w:t>
      </w:r>
      <w:r>
        <w:rPr>
          <w:i/>
          <w:color w:val="3A3838"/>
          <w:w w:val="111"/>
          <w:position w:val="9"/>
          <w:sz w:val="10"/>
        </w:rPr>
        <w:t>11</w:t>
      </w:r>
    </w:p>
    <w:p>
      <w:pPr>
        <w:pStyle w:val="BodyText"/>
        <w:spacing w:line="235" w:lineRule="auto"/>
        <w:ind w:left="672" w:right="91" w:firstLine="477"/>
      </w:pPr>
      <w:r>
        <w:rPr>
          <w:color w:val="3A3838"/>
          <w:w w:val="110"/>
        </w:rPr>
        <w:t>In the alternative, you may face a situation that allows or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requires you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present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more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in-depth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arguments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application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motion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standard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review. You may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wish to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argue that the complaint should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be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dismissed because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facts in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complaint raise a "possibility" of relief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rather</w:t>
      </w:r>
      <w:r>
        <w:rPr>
          <w:color w:val="3A3838"/>
          <w:spacing w:val="-3"/>
        </w:rPr>
        <w:t> </w:t>
      </w:r>
      <w:r>
        <w:rPr>
          <w:color w:val="3A3838"/>
          <w:spacing w:val="-1"/>
          <w:w w:val="120"/>
        </w:rPr>
        <w:t>tha</w:t>
      </w:r>
      <w:r>
        <w:rPr>
          <w:color w:val="3A3838"/>
          <w:w w:val="120"/>
        </w:rPr>
        <w:t>n</w:t>
      </w:r>
      <w:r>
        <w:rPr>
          <w:color w:val="3A3838"/>
        </w:rPr>
        <w:t> </w:t>
      </w:r>
      <w:r>
        <w:rPr>
          <w:color w:val="3A3838"/>
          <w:w w:val="120"/>
        </w:rPr>
        <w:t>a</w:t>
      </w:r>
      <w:r>
        <w:rPr>
          <w:color w:val="3A3838"/>
          <w:spacing w:val="-14"/>
        </w:rPr>
        <w:t> </w:t>
      </w:r>
      <w:r>
        <w:rPr>
          <w:color w:val="3A3838"/>
          <w:spacing w:val="-1"/>
          <w:w w:val="112"/>
        </w:rPr>
        <w:t>"plausible</w:t>
      </w:r>
      <w:r>
        <w:rPr>
          <w:color w:val="3A3838"/>
          <w:w w:val="112"/>
        </w:rPr>
        <w:t>"</w:t>
      </w:r>
      <w:r>
        <w:rPr>
          <w:color w:val="3A3838"/>
          <w:spacing w:val="-7"/>
        </w:rPr>
        <w:t> </w:t>
      </w:r>
      <w:r>
        <w:rPr>
          <w:color w:val="3A3838"/>
          <w:spacing w:val="-1"/>
          <w:w w:val="116"/>
        </w:rPr>
        <w:t>"entitlemen</w:t>
      </w:r>
      <w:r>
        <w:rPr>
          <w:color w:val="3A3838"/>
          <w:w w:val="116"/>
        </w:rPr>
        <w:t>t</w:t>
      </w:r>
      <w:r>
        <w:rPr>
          <w:color w:val="3A3838"/>
          <w:spacing w:val="10"/>
        </w:rPr>
        <w:t> </w:t>
      </w:r>
      <w:r>
        <w:rPr>
          <w:color w:val="3A3838"/>
          <w:spacing w:val="-1"/>
          <w:w w:val="116"/>
        </w:rPr>
        <w:t>t</w:t>
      </w:r>
      <w:r>
        <w:rPr>
          <w:color w:val="3A3838"/>
          <w:w w:val="116"/>
        </w:rPr>
        <w:t>o</w:t>
      </w:r>
      <w:r>
        <w:rPr>
          <w:color w:val="3A3838"/>
          <w:spacing w:val="4"/>
        </w:rPr>
        <w:t> </w:t>
      </w:r>
      <w:r>
        <w:rPr>
          <w:color w:val="3A3838"/>
          <w:w w:val="103"/>
        </w:rPr>
        <w:t>reJief</w:t>
      </w:r>
      <w:r>
        <w:rPr>
          <w:color w:val="3A3838"/>
          <w:spacing w:val="-4"/>
          <w:w w:val="103"/>
        </w:rPr>
        <w:t>.</w:t>
      </w:r>
      <w:r>
        <w:rPr>
          <w:rFonts w:ascii="Arial" w:hAnsi="Arial"/>
          <w:i/>
          <w:color w:val="3A3838"/>
          <w:spacing w:val="-1"/>
          <w:w w:val="106"/>
          <w:position w:val="10"/>
          <w:sz w:val="10"/>
        </w:rPr>
        <w:t>1</w:t>
      </w:r>
      <w:r>
        <w:rPr>
          <w:rFonts w:ascii="Arial" w:hAnsi="Arial"/>
          <w:i/>
          <w:color w:val="3A3838"/>
          <w:w w:val="106"/>
          <w:position w:val="10"/>
          <w:sz w:val="10"/>
        </w:rPr>
        <w:t>1</w:t>
      </w:r>
      <w:r>
        <w:rPr>
          <w:rFonts w:ascii="Arial" w:hAnsi="Arial"/>
          <w:i/>
          <w:color w:val="3A3838"/>
          <w:position w:val="10"/>
          <w:sz w:val="10"/>
        </w:rPr>
        <w:t> </w:t>
      </w:r>
      <w:r>
        <w:rPr>
          <w:rFonts w:ascii="Arial" w:hAnsi="Arial"/>
          <w:i/>
          <w:color w:val="3A3838"/>
          <w:spacing w:val="-1"/>
          <w:position w:val="10"/>
          <w:sz w:val="10"/>
        </w:rPr>
        <w:t> </w:t>
      </w:r>
      <w:r>
        <w:rPr>
          <w:color w:val="3A3838"/>
          <w:w w:val="106"/>
        </w:rPr>
        <w:t>In</w:t>
      </w:r>
      <w:r>
        <w:rPr>
          <w:color w:val="3A3838"/>
          <w:spacing w:val="6"/>
        </w:rPr>
        <w:t> </w:t>
      </w:r>
      <w:r>
        <w:rPr>
          <w:color w:val="3A3838"/>
          <w:w w:val="106"/>
        </w:rPr>
        <w:t>a</w:t>
      </w:r>
      <w:r>
        <w:rPr>
          <w:color w:val="3A3838"/>
          <w:spacing w:val="13"/>
        </w:rPr>
        <w:t> </w:t>
      </w:r>
      <w:r>
        <w:rPr>
          <w:color w:val="3A3838"/>
          <w:spacing w:val="-1"/>
          <w:w w:val="117"/>
        </w:rPr>
        <w:t>motio</w:t>
      </w:r>
      <w:r>
        <w:rPr>
          <w:color w:val="3A3838"/>
          <w:w w:val="117"/>
        </w:rPr>
        <w:t>n</w:t>
      </w:r>
      <w:r>
        <w:rPr>
          <w:color w:val="3A3838"/>
          <w:spacing w:val="-10"/>
        </w:rPr>
        <w:t> </w:t>
      </w:r>
      <w:r>
        <w:rPr>
          <w:color w:val="3A3838"/>
          <w:w w:val="117"/>
        </w:rPr>
        <w:t>for</w:t>
      </w:r>
      <w:r>
        <w:rPr>
          <w:color w:val="3A3838"/>
          <w:spacing w:val="-19"/>
        </w:rPr>
        <w:t> </w:t>
      </w:r>
      <w:r>
        <w:rPr>
          <w:color w:val="3A3838"/>
          <w:spacing w:val="-1"/>
          <w:w w:val="113"/>
        </w:rPr>
        <w:t>summary </w:t>
      </w:r>
      <w:r>
        <w:rPr>
          <w:color w:val="3A3838"/>
          <w:w w:val="110"/>
        </w:rPr>
        <w:t>judgment, you may wish to note that the plaintiff  has the  burden of proof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cause of action 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argue that it should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bring forth evidence in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support of one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more of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complaint's allegations. If you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are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arguing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against a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motion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for summary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judgment on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an  issue for which the  mov­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ing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party had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burden of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proof, you may argue that your opponent has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not brought forth sufficient evidence. Thus</w:t>
      </w:r>
      <w:r>
        <w:rPr>
          <w:color w:val="575659"/>
          <w:w w:val="110"/>
        </w:rPr>
        <w:t>, </w:t>
      </w:r>
      <w:r>
        <w:rPr>
          <w:color w:val="3A3838"/>
          <w:w w:val="110"/>
        </w:rPr>
        <w:t>you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may need to expand your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standard of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review discussion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by quoting 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citing language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from court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decisions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that explain when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requirements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for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motion standard of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review</w:t>
      </w:r>
      <w:r>
        <w:rPr>
          <w:color w:val="3A3838"/>
          <w:spacing w:val="3"/>
          <w:w w:val="110"/>
        </w:rPr>
        <w:t> </w:t>
      </w:r>
      <w:r>
        <w:rPr>
          <w:color w:val="3A3838"/>
          <w:w w:val="110"/>
        </w:rPr>
        <w:t>have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been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met.</w:t>
      </w:r>
    </w:p>
    <w:p>
      <w:pPr>
        <w:pStyle w:val="BodyText"/>
        <w:spacing w:line="235" w:lineRule="auto"/>
        <w:ind w:left="595" w:right="161" w:firstLine="459"/>
        <w:jc w:val="both"/>
      </w:pPr>
      <w:r>
        <w:rPr>
          <w:color w:val="3A3838"/>
          <w:w w:val="115"/>
        </w:rPr>
        <w:t>In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the  situations noted above-just  as with  the  clearly erroneous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and the abuse of discretion appellate standards-the standard will enter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into your argument more directly. </w:t>
      </w:r>
      <w:r>
        <w:rPr>
          <w:color w:val="3A3838"/>
          <w:w w:val="115"/>
          <w:sz w:val="24"/>
        </w:rPr>
        <w:t>If </w:t>
      </w:r>
      <w:r>
        <w:rPr>
          <w:color w:val="3A3838"/>
          <w:w w:val="115"/>
        </w:rPr>
        <w:t>you are arguing that the complaint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contains only a "formulaic recitation" of the legal conclusions without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sufficient facts and that it should therefore be dismissed, the reader will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expect you to quote and cite the relevant portions of the complaint, and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to</w:t>
      </w:r>
      <w:r>
        <w:rPr>
          <w:color w:val="3A3838"/>
          <w:spacing w:val="29"/>
          <w:w w:val="115"/>
        </w:rPr>
        <w:t> </w:t>
      </w:r>
      <w:r>
        <w:rPr>
          <w:color w:val="3A3838"/>
          <w:w w:val="115"/>
        </w:rPr>
        <w:t>cite</w:t>
      </w:r>
      <w:r>
        <w:rPr>
          <w:color w:val="3A3838"/>
          <w:spacing w:val="4"/>
          <w:w w:val="115"/>
        </w:rPr>
        <w:t> </w:t>
      </w:r>
      <w:r>
        <w:rPr>
          <w:color w:val="3A3838"/>
          <w:w w:val="115"/>
        </w:rPr>
        <w:t>and</w:t>
      </w:r>
      <w:r>
        <w:rPr>
          <w:color w:val="3A3838"/>
          <w:spacing w:val="21"/>
          <w:w w:val="115"/>
        </w:rPr>
        <w:t> </w:t>
      </w:r>
      <w:r>
        <w:rPr>
          <w:color w:val="3A3838"/>
          <w:w w:val="115"/>
        </w:rPr>
        <w:t>discuss</w:t>
      </w:r>
      <w:r>
        <w:rPr>
          <w:color w:val="3A3838"/>
          <w:spacing w:val="-3"/>
          <w:w w:val="115"/>
        </w:rPr>
        <w:t> </w:t>
      </w:r>
      <w:r>
        <w:rPr>
          <w:color w:val="3A3838"/>
          <w:w w:val="115"/>
        </w:rPr>
        <w:t>appropriate</w:t>
      </w:r>
      <w:r>
        <w:rPr>
          <w:color w:val="3A3838"/>
          <w:spacing w:val="11"/>
          <w:w w:val="115"/>
        </w:rPr>
        <w:t> </w:t>
      </w:r>
      <w:r>
        <w:rPr>
          <w:color w:val="3A3838"/>
          <w:w w:val="115"/>
        </w:rPr>
        <w:t>authority</w:t>
      </w:r>
      <w:r>
        <w:rPr>
          <w:color w:val="3A3838"/>
          <w:spacing w:val="18"/>
          <w:w w:val="115"/>
        </w:rPr>
        <w:t> </w:t>
      </w:r>
      <w:r>
        <w:rPr>
          <w:color w:val="3A3838"/>
          <w:w w:val="115"/>
        </w:rPr>
        <w:t>to</w:t>
      </w:r>
      <w:r>
        <w:rPr>
          <w:color w:val="3A3838"/>
          <w:spacing w:val="10"/>
          <w:w w:val="115"/>
        </w:rPr>
        <w:t> </w:t>
      </w:r>
      <w:r>
        <w:rPr>
          <w:color w:val="3A3838"/>
          <w:w w:val="115"/>
        </w:rPr>
        <w:t>explain</w:t>
      </w:r>
      <w:r>
        <w:rPr>
          <w:color w:val="3A3838"/>
          <w:spacing w:val="14"/>
          <w:w w:val="115"/>
        </w:rPr>
        <w:t> </w:t>
      </w:r>
      <w:r>
        <w:rPr>
          <w:color w:val="3A3838"/>
          <w:w w:val="115"/>
        </w:rPr>
        <w:t>why</w:t>
      </w:r>
      <w:r>
        <w:rPr>
          <w:color w:val="3A3838"/>
          <w:spacing w:val="16"/>
          <w:w w:val="115"/>
        </w:rPr>
        <w:t> </w:t>
      </w:r>
      <w:r>
        <w:rPr>
          <w:color w:val="3A3838"/>
          <w:w w:val="115"/>
        </w:rPr>
        <w:t>the</w:t>
      </w:r>
      <w:r>
        <w:rPr>
          <w:color w:val="3A3838"/>
          <w:spacing w:val="33"/>
          <w:w w:val="115"/>
        </w:rPr>
        <w:t> </w:t>
      </w:r>
      <w:r>
        <w:rPr>
          <w:color w:val="3A3838"/>
          <w:w w:val="115"/>
        </w:rPr>
        <w:t>allegations</w:t>
      </w:r>
    </w:p>
    <w:p>
      <w:pPr>
        <w:spacing w:after="0" w:line="235" w:lineRule="auto"/>
        <w:jc w:val="both"/>
        <w:sectPr>
          <w:headerReference w:type="even" r:id="rId54"/>
          <w:headerReference w:type="default" r:id="rId55"/>
          <w:pgSz w:w="9800" w:h="13770"/>
          <w:pgMar w:header="341" w:footer="0" w:top="560" w:bottom="280" w:left="1360" w:right="0"/>
        </w:sectPr>
      </w:pPr>
    </w:p>
    <w:p>
      <w:pPr>
        <w:pStyle w:val="BodyText"/>
        <w:spacing w:line="235" w:lineRule="auto" w:before="85"/>
        <w:ind w:left="120" w:right="283"/>
        <w:jc w:val="both"/>
      </w:pPr>
      <w:r>
        <w:rPr>
          <w:color w:val="383638"/>
          <w:spacing w:val="-1"/>
          <w:w w:val="110"/>
        </w:rPr>
        <w:t>are insufficient. If the burden </w:t>
      </w:r>
      <w:r>
        <w:rPr>
          <w:color w:val="383638"/>
          <w:w w:val="110"/>
        </w:rPr>
        <w:t>of proof issue is significant to your summary</w:t>
      </w:r>
      <w:r>
        <w:rPr>
          <w:color w:val="383638"/>
          <w:spacing w:val="-62"/>
          <w:w w:val="110"/>
        </w:rPr>
        <w:t> </w:t>
      </w:r>
      <w:r>
        <w:rPr>
          <w:color w:val="383638"/>
          <w:spacing w:val="-1"/>
          <w:w w:val="110"/>
        </w:rPr>
        <w:t>judgment </w:t>
      </w:r>
      <w:r>
        <w:rPr>
          <w:color w:val="383638"/>
          <w:w w:val="110"/>
        </w:rPr>
        <w:t>motion, you must discuss the specific burden(s) of proof for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relevant cause(s) of action, citing and discussing authority as appropriate.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 may wish, for example, to frame your argument by stating that your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opponent</w:t>
      </w:r>
      <w:r>
        <w:rPr>
          <w:color w:val="383638"/>
          <w:spacing w:val="40"/>
          <w:w w:val="110"/>
        </w:rPr>
        <w:t> </w:t>
      </w:r>
      <w:r>
        <w:rPr>
          <w:color w:val="383638"/>
          <w:w w:val="110"/>
        </w:rPr>
        <w:t>has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"failed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52"/>
          <w:w w:val="110"/>
        </w:rPr>
        <w:t> </w:t>
      </w:r>
      <w:r>
        <w:rPr>
          <w:color w:val="383638"/>
          <w:w w:val="110"/>
        </w:rPr>
        <w:t>present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substantial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evidence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26"/>
          <w:w w:val="110"/>
        </w:rPr>
        <w:t> </w:t>
      </w:r>
      <w:r>
        <w:rPr>
          <w:color w:val="484648"/>
          <w:w w:val="110"/>
        </w:rPr>
        <w:t>would</w:t>
      </w:r>
      <w:r>
        <w:rPr>
          <w:color w:val="484648"/>
          <w:spacing w:val="30"/>
          <w:w w:val="110"/>
        </w:rPr>
        <w:t> </w:t>
      </w:r>
      <w:r>
        <w:rPr>
          <w:color w:val="383638"/>
          <w:w w:val="110"/>
        </w:rPr>
        <w:t>support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 favorable </w:t>
      </w:r>
      <w:r>
        <w:rPr>
          <w:color w:val="484648"/>
          <w:w w:val="110"/>
        </w:rPr>
        <w:t>verdict </w:t>
      </w:r>
      <w:r>
        <w:rPr>
          <w:color w:val="383638"/>
          <w:w w:val="110"/>
        </w:rPr>
        <w:t>by a reasonable jury,"</w:t>
      </w:r>
      <w:r>
        <w:rPr>
          <w:rFonts w:ascii="Arial" w:hAnsi="Arial"/>
          <w:color w:val="383638"/>
          <w:w w:val="110"/>
          <w:vertAlign w:val="superscript"/>
        </w:rPr>
        <w:t>48</w:t>
      </w:r>
      <w:r>
        <w:rPr>
          <w:rFonts w:ascii="Arial" w:hAnsi="Arial"/>
          <w:color w:val="383638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and then explain why the evi­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dence</w:t>
      </w:r>
      <w:r>
        <w:rPr>
          <w:color w:val="383638"/>
          <w:spacing w:val="-17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is</w:t>
      </w:r>
      <w:r>
        <w:rPr>
          <w:color w:val="383638"/>
          <w:spacing w:val="-7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insufficient,</w:t>
      </w:r>
      <w:r>
        <w:rPr>
          <w:color w:val="383638"/>
          <w:spacing w:val="1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using relevant</w:t>
      </w:r>
      <w:r>
        <w:rPr>
          <w:color w:val="383638"/>
          <w:spacing w:val="5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authority</w:t>
      </w:r>
      <w:r>
        <w:rPr>
          <w:color w:val="383638"/>
          <w:spacing w:val="5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as</w:t>
      </w:r>
      <w:r>
        <w:rPr>
          <w:color w:val="383638"/>
          <w:spacing w:val="-12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appropriate.</w:t>
      </w:r>
    </w:p>
    <w:p>
      <w:pPr>
        <w:pStyle w:val="BodyText"/>
        <w:spacing w:line="235" w:lineRule="auto"/>
        <w:ind w:left="120" w:right="234" w:firstLine="363"/>
        <w:jc w:val="both"/>
      </w:pPr>
      <w:r>
        <w:rPr>
          <w:color w:val="383638"/>
          <w:w w:val="115"/>
        </w:rPr>
        <w:t>As these examples show, a motion standard of review can  be  just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as </w:t>
      </w:r>
      <w:r>
        <w:rPr>
          <w:color w:val="484648"/>
          <w:w w:val="115"/>
        </w:rPr>
        <w:t>significant </w:t>
      </w:r>
      <w:r>
        <w:rPr>
          <w:color w:val="383638"/>
          <w:w w:val="115"/>
        </w:rPr>
        <w:t>as an appellate standard of review. Whenever you file a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motion that requires a brief, be sure that youunderstand the appropriate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motion standard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of  review. Although  you  may often start your research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in</w:t>
      </w:r>
      <w:r>
        <w:rPr>
          <w:color w:val="383638"/>
          <w:spacing w:val="6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10"/>
          <w:w w:val="115"/>
        </w:rPr>
        <w:t> </w:t>
      </w:r>
      <w:r>
        <w:rPr>
          <w:color w:val="383638"/>
          <w:w w:val="115"/>
        </w:rPr>
        <w:t>court</w:t>
      </w:r>
      <w:r>
        <w:rPr>
          <w:color w:val="383638"/>
          <w:spacing w:val="-8"/>
          <w:w w:val="115"/>
        </w:rPr>
        <w:t> </w:t>
      </w:r>
      <w:r>
        <w:rPr>
          <w:color w:val="383638"/>
          <w:w w:val="115"/>
        </w:rPr>
        <w:t>rules</w:t>
      </w:r>
      <w:r>
        <w:rPr>
          <w:color w:val="383638"/>
          <w:spacing w:val="-19"/>
          <w:w w:val="115"/>
        </w:rPr>
        <w:t> </w:t>
      </w:r>
      <w:r>
        <w:rPr>
          <w:color w:val="383638"/>
          <w:w w:val="115"/>
        </w:rPr>
        <w:t>that</w:t>
      </w:r>
      <w:r>
        <w:rPr>
          <w:color w:val="383638"/>
          <w:spacing w:val="-5"/>
          <w:w w:val="115"/>
        </w:rPr>
        <w:t> </w:t>
      </w:r>
      <w:r>
        <w:rPr>
          <w:color w:val="383638"/>
          <w:w w:val="115"/>
        </w:rPr>
        <w:t>govern</w:t>
      </w:r>
      <w:r>
        <w:rPr>
          <w:color w:val="383638"/>
          <w:spacing w:val="-10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23"/>
          <w:w w:val="115"/>
        </w:rPr>
        <w:t> </w:t>
      </w:r>
      <w:r>
        <w:rPr>
          <w:color w:val="383638"/>
          <w:w w:val="115"/>
        </w:rPr>
        <w:t>motion,</w:t>
      </w:r>
      <w:r>
        <w:rPr>
          <w:color w:val="383638"/>
          <w:spacing w:val="-6"/>
          <w:w w:val="115"/>
        </w:rPr>
        <w:t> </w:t>
      </w:r>
      <w:r>
        <w:rPr>
          <w:color w:val="484648"/>
          <w:w w:val="115"/>
        </w:rPr>
        <w:t>be</w:t>
      </w:r>
      <w:r>
        <w:rPr>
          <w:color w:val="484648"/>
          <w:spacing w:val="-23"/>
          <w:w w:val="115"/>
        </w:rPr>
        <w:t> </w:t>
      </w:r>
      <w:r>
        <w:rPr>
          <w:color w:val="484648"/>
          <w:w w:val="115"/>
        </w:rPr>
        <w:t>sure</w:t>
      </w:r>
      <w:r>
        <w:rPr>
          <w:color w:val="484648"/>
          <w:spacing w:val="-19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4"/>
          <w:w w:val="115"/>
        </w:rPr>
        <w:t> </w:t>
      </w:r>
      <w:r>
        <w:rPr>
          <w:color w:val="484648"/>
          <w:w w:val="115"/>
        </w:rPr>
        <w:t>go</w:t>
      </w:r>
      <w:r>
        <w:rPr>
          <w:color w:val="484648"/>
          <w:spacing w:val="-26"/>
          <w:w w:val="115"/>
        </w:rPr>
        <w:t> </w:t>
      </w:r>
      <w:r>
        <w:rPr>
          <w:color w:val="383638"/>
          <w:w w:val="115"/>
        </w:rPr>
        <w:t>beyond</w:t>
      </w:r>
      <w:r>
        <w:rPr>
          <w:color w:val="383638"/>
          <w:spacing w:val="-2"/>
          <w:w w:val="115"/>
        </w:rPr>
        <w:t> </w:t>
      </w:r>
      <w:r>
        <w:rPr>
          <w:color w:val="383638"/>
          <w:w w:val="115"/>
        </w:rPr>
        <w:t>that</w:t>
      </w:r>
      <w:r>
        <w:rPr>
          <w:color w:val="383638"/>
          <w:spacing w:val="-18"/>
          <w:w w:val="115"/>
        </w:rPr>
        <w:t> </w:t>
      </w:r>
      <w:r>
        <w:rPr>
          <w:color w:val="383638"/>
          <w:w w:val="115"/>
        </w:rPr>
        <w:t>boil­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5"/>
        </w:rPr>
        <w:t>erplate to determine how your jurisdiction uses and applies that stan­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dard. Be sure to tie your legal argument to the standard </w:t>
      </w:r>
      <w:r>
        <w:rPr>
          <w:color w:val="484648"/>
          <w:w w:val="115"/>
        </w:rPr>
        <w:t>in </w:t>
      </w:r>
      <w:r>
        <w:rPr>
          <w:color w:val="383638"/>
          <w:w w:val="115"/>
        </w:rPr>
        <w:t>some way,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even if the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standard is not </w:t>
      </w:r>
      <w:r>
        <w:rPr>
          <w:color w:val="484648"/>
          <w:w w:val="115"/>
        </w:rPr>
        <w:t>controversial. </w:t>
      </w:r>
      <w:r>
        <w:rPr>
          <w:color w:val="383638"/>
          <w:w w:val="115"/>
        </w:rPr>
        <w:t>When either the standard or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how it applies </w:t>
      </w:r>
      <w:r>
        <w:rPr>
          <w:i/>
          <w:color w:val="383638"/>
          <w:w w:val="110"/>
        </w:rPr>
        <w:t>is </w:t>
      </w:r>
      <w:r>
        <w:rPr>
          <w:color w:val="383638"/>
          <w:w w:val="110"/>
        </w:rPr>
        <w:t>controversial, however,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motion standard of review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becomes an important </w:t>
      </w:r>
      <w:r>
        <w:rPr>
          <w:color w:val="484648"/>
          <w:w w:val="110"/>
        </w:rPr>
        <w:t>legal </w:t>
      </w:r>
      <w:r>
        <w:rPr>
          <w:color w:val="383638"/>
          <w:w w:val="110"/>
        </w:rPr>
        <w:t>rule that governs your case, and it should be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analyzed, explained, and applied as thoroughly as any other important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legal</w:t>
      </w:r>
      <w:r>
        <w:rPr>
          <w:color w:val="383638"/>
          <w:spacing w:val="3"/>
          <w:w w:val="115"/>
        </w:rPr>
        <w:t> </w:t>
      </w:r>
      <w:r>
        <w:rPr>
          <w:color w:val="383638"/>
          <w:w w:val="115"/>
        </w:rPr>
        <w:t>rule.</w:t>
      </w:r>
    </w:p>
    <w:p>
      <w:pPr>
        <w:pStyle w:val="BodyText"/>
        <w:rPr>
          <w:sz w:val="26"/>
        </w:rPr>
      </w:pPr>
    </w:p>
    <w:p>
      <w:pPr>
        <w:pStyle w:val="Heading7"/>
        <w:spacing w:before="207"/>
        <w:ind w:left="745"/>
        <w:rPr>
          <w:rFonts w:ascii="Courier New"/>
        </w:rPr>
      </w:pPr>
      <w:r>
        <w:rPr>
          <w:rFonts w:ascii="Courier New"/>
          <w:color w:val="484648"/>
          <w:w w:val="85"/>
        </w:rPr>
        <w:t>2.5</w:t>
      </w:r>
    </w:p>
    <w:p>
      <w:pPr>
        <w:spacing w:before="31"/>
        <w:ind w:left="755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484648"/>
          <w:w w:val="110"/>
          <w:sz w:val="26"/>
        </w:rPr>
        <w:t>AVOIDING</w:t>
      </w:r>
      <w:r>
        <w:rPr>
          <w:rFonts w:ascii="Arial"/>
          <w:b/>
          <w:color w:val="484648"/>
          <w:spacing w:val="-6"/>
          <w:w w:val="110"/>
          <w:sz w:val="26"/>
        </w:rPr>
        <w:t> </w:t>
      </w:r>
      <w:r>
        <w:rPr>
          <w:rFonts w:ascii="Arial"/>
          <w:b/>
          <w:color w:val="383638"/>
          <w:w w:val="110"/>
          <w:sz w:val="26"/>
        </w:rPr>
        <w:t>CONFUSION</w:t>
      </w:r>
    </w:p>
    <w:p>
      <w:pPr>
        <w:pStyle w:val="BodyText"/>
        <w:spacing w:before="11"/>
        <w:rPr>
          <w:rFonts w:ascii="Arial"/>
          <w:b/>
          <w:sz w:val="22"/>
        </w:rPr>
      </w:pPr>
    </w:p>
    <w:p>
      <w:pPr>
        <w:pStyle w:val="BodyText"/>
        <w:spacing w:line="235" w:lineRule="auto"/>
        <w:ind w:left="117" w:firstLine="617"/>
      </w:pPr>
      <w:r>
        <w:rPr>
          <w:color w:val="383638"/>
          <w:w w:val="110"/>
        </w:rPr>
        <w:t>Unfortunately,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courts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do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not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always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use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7"/>
          <w:w w:val="110"/>
        </w:rPr>
        <w:t> </w:t>
      </w:r>
      <w:r>
        <w:rPr>
          <w:color w:val="383638"/>
          <w:w w:val="110"/>
        </w:rPr>
        <w:t>term</w:t>
      </w:r>
      <w:r>
        <w:rPr>
          <w:color w:val="383638"/>
          <w:spacing w:val="4"/>
          <w:w w:val="110"/>
        </w:rPr>
        <w:t> </w:t>
      </w:r>
      <w:r>
        <w:rPr>
          <w:i/>
          <w:color w:val="383638"/>
          <w:w w:val="110"/>
        </w:rPr>
        <w:t>standard</w:t>
      </w:r>
      <w:r>
        <w:rPr>
          <w:i/>
          <w:color w:val="383638"/>
          <w:spacing w:val="15"/>
          <w:w w:val="110"/>
        </w:rPr>
        <w:t> </w:t>
      </w:r>
      <w:r>
        <w:rPr>
          <w:i/>
          <w:color w:val="383638"/>
          <w:w w:val="110"/>
        </w:rPr>
        <w:t>of</w:t>
      </w:r>
      <w:r>
        <w:rPr>
          <w:i/>
          <w:color w:val="383638"/>
          <w:spacing w:val="2"/>
          <w:w w:val="110"/>
        </w:rPr>
        <w:t> </w:t>
      </w:r>
      <w:r>
        <w:rPr>
          <w:i/>
          <w:color w:val="383638"/>
          <w:w w:val="110"/>
        </w:rPr>
        <w:t>review</w:t>
      </w:r>
      <w:r>
        <w:rPr>
          <w:i/>
          <w:color w:val="383638"/>
          <w:spacing w:val="1"/>
          <w:w w:val="110"/>
        </w:rPr>
        <w:t> </w:t>
      </w:r>
      <w:r>
        <w:rPr>
          <w:color w:val="383638"/>
          <w:w w:val="110"/>
        </w:rPr>
        <w:t>precisely.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I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have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used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48"/>
          <w:w w:val="110"/>
        </w:rPr>
        <w:t> </w:t>
      </w:r>
      <w:r>
        <w:rPr>
          <w:color w:val="383638"/>
          <w:w w:val="110"/>
        </w:rPr>
        <w:t>phrase</w:t>
      </w:r>
      <w:r>
        <w:rPr>
          <w:color w:val="383638"/>
          <w:spacing w:val="9"/>
          <w:w w:val="110"/>
        </w:rPr>
        <w:t> </w:t>
      </w:r>
      <w:r>
        <w:rPr>
          <w:i/>
          <w:color w:val="383638"/>
          <w:w w:val="110"/>
        </w:rPr>
        <w:t>appellate</w:t>
      </w:r>
      <w:r>
        <w:rPr>
          <w:i/>
          <w:color w:val="383638"/>
          <w:spacing w:val="14"/>
          <w:w w:val="110"/>
        </w:rPr>
        <w:t> </w:t>
      </w:r>
      <w:r>
        <w:rPr>
          <w:i/>
          <w:color w:val="383638"/>
          <w:w w:val="110"/>
        </w:rPr>
        <w:t>standard</w:t>
      </w:r>
      <w:r>
        <w:rPr>
          <w:i/>
          <w:color w:val="383638"/>
          <w:spacing w:val="33"/>
          <w:w w:val="110"/>
        </w:rPr>
        <w:t> </w:t>
      </w:r>
      <w:r>
        <w:rPr>
          <w:i/>
          <w:color w:val="383638"/>
          <w:w w:val="110"/>
        </w:rPr>
        <w:t>of</w:t>
      </w:r>
      <w:r>
        <w:rPr>
          <w:i/>
          <w:color w:val="383638"/>
          <w:spacing w:val="14"/>
          <w:w w:val="110"/>
        </w:rPr>
        <w:t> </w:t>
      </w:r>
      <w:r>
        <w:rPr>
          <w:i/>
          <w:color w:val="383638"/>
          <w:w w:val="110"/>
        </w:rPr>
        <w:t>review</w:t>
      </w:r>
      <w:r>
        <w:rPr>
          <w:i/>
          <w:color w:val="383638"/>
          <w:spacing w:val="24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44"/>
          <w:w w:val="110"/>
        </w:rPr>
        <w:t> </w:t>
      </w:r>
      <w:r>
        <w:rPr>
          <w:color w:val="383638"/>
          <w:w w:val="110"/>
        </w:rPr>
        <w:t>refer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standards that appellate courts apply to their review of lower court deci­</w:t>
      </w:r>
      <w:r>
        <w:rPr>
          <w:color w:val="383638"/>
          <w:spacing w:val="1"/>
          <w:w w:val="115"/>
        </w:rPr>
        <w:t> </w:t>
      </w:r>
      <w:r>
        <w:rPr>
          <w:color w:val="484648"/>
          <w:w w:val="110"/>
        </w:rPr>
        <w:t>sions,</w:t>
      </w:r>
      <w:r>
        <w:rPr>
          <w:color w:val="484648"/>
          <w:spacing w:val="-1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42"/>
          <w:w w:val="110"/>
        </w:rPr>
        <w:t> </w:t>
      </w:r>
      <w:r>
        <w:rPr>
          <w:i/>
          <w:color w:val="383638"/>
          <w:w w:val="110"/>
        </w:rPr>
        <w:t>motion</w:t>
      </w:r>
      <w:r>
        <w:rPr>
          <w:i/>
          <w:color w:val="383638"/>
          <w:spacing w:val="12"/>
          <w:w w:val="110"/>
        </w:rPr>
        <w:t> </w:t>
      </w:r>
      <w:r>
        <w:rPr>
          <w:i/>
          <w:color w:val="383638"/>
          <w:w w:val="110"/>
        </w:rPr>
        <w:t>standard</w:t>
      </w:r>
      <w:r>
        <w:rPr>
          <w:i/>
          <w:color w:val="383638"/>
          <w:spacing w:val="29"/>
          <w:w w:val="110"/>
        </w:rPr>
        <w:t> </w:t>
      </w:r>
      <w:r>
        <w:rPr>
          <w:i/>
          <w:color w:val="383638"/>
          <w:w w:val="110"/>
        </w:rPr>
        <w:t>of</w:t>
      </w:r>
      <w:r>
        <w:rPr>
          <w:i/>
          <w:color w:val="383638"/>
          <w:spacing w:val="14"/>
          <w:w w:val="110"/>
        </w:rPr>
        <w:t> </w:t>
      </w:r>
      <w:r>
        <w:rPr>
          <w:i/>
          <w:color w:val="383638"/>
          <w:w w:val="110"/>
        </w:rPr>
        <w:t>review</w:t>
      </w:r>
      <w:r>
        <w:rPr>
          <w:i/>
          <w:color w:val="383638"/>
          <w:spacing w:val="12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refer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33"/>
          <w:w w:val="110"/>
        </w:rPr>
        <w:t> </w:t>
      </w:r>
      <w:r>
        <w:rPr>
          <w:color w:val="383638"/>
          <w:w w:val="110"/>
        </w:rPr>
        <w:t>standards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courts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use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when</w:t>
      </w:r>
      <w:r>
        <w:rPr>
          <w:color w:val="383638"/>
          <w:spacing w:val="19"/>
          <w:w w:val="115"/>
        </w:rPr>
        <w:t> </w:t>
      </w:r>
      <w:r>
        <w:rPr>
          <w:color w:val="383638"/>
          <w:w w:val="115"/>
        </w:rPr>
        <w:t>deciding</w:t>
      </w:r>
      <w:r>
        <w:rPr>
          <w:color w:val="383638"/>
          <w:spacing w:val="24"/>
          <w:w w:val="115"/>
        </w:rPr>
        <w:t> </w:t>
      </w:r>
      <w:r>
        <w:rPr>
          <w:color w:val="383638"/>
          <w:w w:val="115"/>
        </w:rPr>
        <w:t>particular</w:t>
      </w:r>
      <w:r>
        <w:rPr>
          <w:color w:val="383638"/>
          <w:spacing w:val="35"/>
          <w:w w:val="115"/>
        </w:rPr>
        <w:t> </w:t>
      </w:r>
      <w:r>
        <w:rPr>
          <w:color w:val="383638"/>
          <w:w w:val="115"/>
        </w:rPr>
        <w:t>motions.</w:t>
      </w:r>
      <w:r>
        <w:rPr>
          <w:color w:val="383638"/>
          <w:spacing w:val="19"/>
          <w:w w:val="115"/>
        </w:rPr>
        <w:t> </w:t>
      </w:r>
      <w:r>
        <w:rPr>
          <w:color w:val="383638"/>
          <w:w w:val="115"/>
        </w:rPr>
        <w:t>Courts,</w:t>
      </w:r>
      <w:r>
        <w:rPr>
          <w:color w:val="383638"/>
          <w:spacing w:val="22"/>
          <w:w w:val="115"/>
        </w:rPr>
        <w:t> </w:t>
      </w:r>
      <w:r>
        <w:rPr>
          <w:color w:val="383638"/>
          <w:w w:val="115"/>
        </w:rPr>
        <w:t>however,</w:t>
      </w:r>
      <w:r>
        <w:rPr>
          <w:color w:val="383638"/>
          <w:spacing w:val="18"/>
          <w:w w:val="115"/>
        </w:rPr>
        <w:t> </w:t>
      </w:r>
      <w:r>
        <w:rPr>
          <w:color w:val="484648"/>
          <w:w w:val="115"/>
        </w:rPr>
        <w:t>often</w:t>
      </w:r>
      <w:r>
        <w:rPr>
          <w:color w:val="484648"/>
          <w:spacing w:val="24"/>
          <w:w w:val="115"/>
        </w:rPr>
        <w:t> </w:t>
      </w:r>
      <w:r>
        <w:rPr>
          <w:color w:val="383638"/>
          <w:w w:val="115"/>
        </w:rPr>
        <w:t>use the</w:t>
      </w:r>
      <w:r>
        <w:rPr>
          <w:color w:val="383638"/>
          <w:spacing w:val="25"/>
          <w:w w:val="115"/>
        </w:rPr>
        <w:t> </w:t>
      </w:r>
      <w:r>
        <w:rPr>
          <w:color w:val="383638"/>
          <w:w w:val="115"/>
        </w:rPr>
        <w:t>bare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phrase </w:t>
      </w:r>
      <w:r>
        <w:rPr>
          <w:i/>
          <w:color w:val="383638"/>
          <w:w w:val="115"/>
        </w:rPr>
        <w:t>standard ofreview</w:t>
      </w:r>
      <w:r>
        <w:rPr>
          <w:i/>
          <w:color w:val="383638"/>
          <w:w w:val="115"/>
          <w:vertAlign w:val="superscript"/>
        </w:rPr>
        <w:t>4</w:t>
      </w:r>
      <w:r>
        <w:rPr>
          <w:i/>
          <w:color w:val="5D5D60"/>
          <w:w w:val="115"/>
          <w:vertAlign w:val="superscript"/>
        </w:rPr>
        <w:t>9</w:t>
      </w:r>
      <w:r>
        <w:rPr>
          <w:i/>
          <w:color w:val="5D5D60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to</w:t>
      </w:r>
      <w:r>
        <w:rPr>
          <w:color w:val="383638"/>
          <w:spacing w:val="1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mean either or both of these things-and to</w:t>
      </w:r>
      <w:r>
        <w:rPr>
          <w:color w:val="383638"/>
          <w:spacing w:val="-64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mean other things</w:t>
      </w:r>
      <w:r>
        <w:rPr>
          <w:color w:val="231F1F"/>
          <w:w w:val="115"/>
          <w:vertAlign w:val="baseline"/>
        </w:rPr>
        <w:t>. </w:t>
      </w:r>
      <w:r>
        <w:rPr>
          <w:color w:val="383638"/>
          <w:w w:val="115"/>
          <w:vertAlign w:val="baseline"/>
        </w:rPr>
        <w:t>Besides its</w:t>
      </w:r>
      <w:r>
        <w:rPr>
          <w:color w:val="383638"/>
          <w:spacing w:val="1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use to refer to </w:t>
      </w:r>
      <w:r>
        <w:rPr>
          <w:color w:val="484648"/>
          <w:w w:val="115"/>
          <w:vertAlign w:val="baseline"/>
        </w:rPr>
        <w:t>appellate </w:t>
      </w:r>
      <w:r>
        <w:rPr>
          <w:color w:val="383638"/>
          <w:w w:val="115"/>
          <w:vertAlign w:val="baseline"/>
        </w:rPr>
        <w:t>and motion stan­</w:t>
      </w:r>
      <w:r>
        <w:rPr>
          <w:color w:val="383638"/>
          <w:spacing w:val="-64"/>
          <w:w w:val="115"/>
          <w:vertAlign w:val="baseline"/>
        </w:rPr>
        <w:t> </w:t>
      </w:r>
      <w:r>
        <w:rPr>
          <w:color w:val="383638"/>
          <w:w w:val="110"/>
          <w:vertAlign w:val="baseline"/>
        </w:rPr>
        <w:t>dards </w:t>
      </w:r>
      <w:r>
        <w:rPr>
          <w:color w:val="484648"/>
          <w:w w:val="110"/>
          <w:vertAlign w:val="baseline"/>
        </w:rPr>
        <w:t>of </w:t>
      </w:r>
      <w:r>
        <w:rPr>
          <w:color w:val="383638"/>
          <w:w w:val="110"/>
          <w:vertAlign w:val="baseline"/>
        </w:rPr>
        <w:t>review, courts commonly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use the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phrase </w:t>
      </w:r>
      <w:r>
        <w:rPr>
          <w:i/>
          <w:color w:val="383638"/>
          <w:w w:val="110"/>
          <w:vertAlign w:val="baseline"/>
        </w:rPr>
        <w:t>standard </w:t>
      </w:r>
      <w:r>
        <w:rPr>
          <w:i/>
          <w:color w:val="484648"/>
          <w:w w:val="110"/>
          <w:vertAlign w:val="baseline"/>
        </w:rPr>
        <w:t>of </w:t>
      </w:r>
      <w:r>
        <w:rPr>
          <w:i/>
          <w:color w:val="383638"/>
          <w:w w:val="110"/>
          <w:vertAlign w:val="baseline"/>
        </w:rPr>
        <w:t>review </w:t>
      </w:r>
      <w:r>
        <w:rPr>
          <w:color w:val="383638"/>
          <w:w w:val="110"/>
          <w:vertAlign w:val="baseline"/>
        </w:rPr>
        <w:t>in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at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spacing w:val="-1"/>
          <w:w w:val="115"/>
          <w:vertAlign w:val="baseline"/>
        </w:rPr>
        <w:t>least one other </w:t>
      </w:r>
      <w:r>
        <w:rPr>
          <w:color w:val="484648"/>
          <w:spacing w:val="-1"/>
          <w:w w:val="115"/>
          <w:vertAlign w:val="baseline"/>
        </w:rPr>
        <w:t>context: </w:t>
      </w:r>
      <w:r>
        <w:rPr>
          <w:color w:val="383638"/>
          <w:spacing w:val="-1"/>
          <w:w w:val="115"/>
          <w:vertAlign w:val="baseline"/>
        </w:rPr>
        <w:t>to describe </w:t>
      </w:r>
      <w:r>
        <w:rPr>
          <w:color w:val="383638"/>
          <w:w w:val="115"/>
          <w:vertAlign w:val="baseline"/>
        </w:rPr>
        <w:t>the</w:t>
      </w:r>
      <w:r>
        <w:rPr>
          <w:color w:val="383638"/>
          <w:spacing w:val="1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level of </w:t>
      </w:r>
      <w:r>
        <w:rPr>
          <w:color w:val="484648"/>
          <w:w w:val="115"/>
          <w:vertAlign w:val="baseline"/>
        </w:rPr>
        <w:t>scrutiny </w:t>
      </w:r>
      <w:r>
        <w:rPr>
          <w:color w:val="383638"/>
          <w:w w:val="115"/>
          <w:vertAlign w:val="baseline"/>
        </w:rPr>
        <w:t>that a court may</w:t>
      </w:r>
      <w:r>
        <w:rPr>
          <w:color w:val="383638"/>
          <w:spacing w:val="-64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use to review the</w:t>
      </w:r>
      <w:r>
        <w:rPr>
          <w:color w:val="383638"/>
          <w:spacing w:val="1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constitutionality of a state statute or other government</w:t>
      </w:r>
      <w:r>
        <w:rPr>
          <w:color w:val="383638"/>
          <w:spacing w:val="-64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action.</w:t>
      </w:r>
    </w:p>
    <w:p>
      <w:pPr>
        <w:pStyle w:val="BodyText"/>
        <w:spacing w:line="232" w:lineRule="exact"/>
        <w:ind w:left="513"/>
      </w:pPr>
      <w:r>
        <w:rPr>
          <w:color w:val="383638"/>
          <w:w w:val="110"/>
        </w:rPr>
        <w:t>Understanding 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how  </w:t>
      </w:r>
      <w:r>
        <w:rPr>
          <w:color w:val="484648"/>
          <w:w w:val="110"/>
        </w:rPr>
        <w:t>"government </w:t>
      </w:r>
      <w:r>
        <w:rPr>
          <w:color w:val="484648"/>
          <w:spacing w:val="2"/>
          <w:w w:val="110"/>
        </w:rPr>
        <w:t> </w:t>
      </w:r>
      <w:r>
        <w:rPr>
          <w:color w:val="383638"/>
          <w:w w:val="110"/>
        </w:rPr>
        <w:t>action</w:t>
      </w:r>
      <w:r>
        <w:rPr>
          <w:color w:val="383638"/>
          <w:spacing w:val="39"/>
          <w:w w:val="110"/>
        </w:rPr>
        <w:t> </w:t>
      </w:r>
      <w:r>
        <w:rPr>
          <w:color w:val="383638"/>
          <w:w w:val="110"/>
        </w:rPr>
        <w:t>standards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of 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review"</w:t>
      </w:r>
      <w:r>
        <w:rPr>
          <w:color w:val="383638"/>
          <w:spacing w:val="49"/>
          <w:w w:val="110"/>
        </w:rPr>
        <w:t> </w:t>
      </w:r>
      <w:r>
        <w:rPr>
          <w:color w:val="383638"/>
          <w:w w:val="110"/>
        </w:rPr>
        <w:t>work,</w:t>
      </w:r>
    </w:p>
    <w:p>
      <w:pPr>
        <w:pStyle w:val="BodyText"/>
        <w:spacing w:line="235" w:lineRule="auto"/>
        <w:ind w:left="136" w:hanging="7"/>
      </w:pPr>
      <w:r>
        <w:rPr>
          <w:color w:val="383638"/>
          <w:w w:val="115"/>
        </w:rPr>
        <w:t>and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how all three uses of the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term may be relevant in a single case, can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0"/>
        </w:rPr>
        <w:t>help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master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7"/>
          <w:w w:val="110"/>
        </w:rPr>
        <w:t> </w:t>
      </w:r>
      <w:r>
        <w:rPr>
          <w:color w:val="383638"/>
          <w:w w:val="110"/>
        </w:rPr>
        <w:t>concept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standards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review.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9"/>
        </w:rPr>
      </w:pPr>
    </w:p>
    <w:p>
      <w:pPr>
        <w:spacing w:line="200" w:lineRule="exact" w:before="1"/>
        <w:ind w:left="503" w:right="0" w:firstLine="0"/>
        <w:jc w:val="left"/>
        <w:rPr>
          <w:sz w:val="18"/>
        </w:rPr>
      </w:pPr>
      <w:r>
        <w:rPr>
          <w:rFonts w:ascii="Arial" w:hAnsi="Arial"/>
          <w:color w:val="383638"/>
          <w:w w:val="105"/>
          <w:position w:val="6"/>
          <w:sz w:val="10"/>
        </w:rPr>
        <w:t>41</w:t>
      </w:r>
      <w:r>
        <w:rPr>
          <w:color w:val="383638"/>
          <w:w w:val="105"/>
          <w:sz w:val="18"/>
        </w:rPr>
        <w:t>1-lerr,</w:t>
      </w:r>
      <w:r>
        <w:rPr>
          <w:color w:val="383638"/>
          <w:spacing w:val="6"/>
          <w:w w:val="105"/>
          <w:sz w:val="18"/>
        </w:rPr>
        <w:t> </w:t>
      </w:r>
      <w:r>
        <w:rPr>
          <w:color w:val="383638"/>
          <w:w w:val="105"/>
          <w:sz w:val="18"/>
        </w:rPr>
        <w:t>Haydock</w:t>
      </w:r>
      <w:r>
        <w:rPr>
          <w:color w:val="383638"/>
          <w:spacing w:val="12"/>
          <w:w w:val="105"/>
          <w:sz w:val="18"/>
        </w:rPr>
        <w:t> </w:t>
      </w:r>
      <w:r>
        <w:rPr>
          <w:color w:val="383638"/>
          <w:w w:val="105"/>
          <w:sz w:val="17"/>
        </w:rPr>
        <w:t>&amp;</w:t>
      </w:r>
      <w:r>
        <w:rPr>
          <w:color w:val="383638"/>
          <w:spacing w:val="-3"/>
          <w:w w:val="105"/>
          <w:sz w:val="17"/>
        </w:rPr>
        <w:t> </w:t>
      </w:r>
      <w:r>
        <w:rPr>
          <w:color w:val="383638"/>
          <w:w w:val="105"/>
          <w:sz w:val="18"/>
        </w:rPr>
        <w:t>Stempel, </w:t>
      </w:r>
      <w:r>
        <w:rPr>
          <w:rFonts w:ascii="Arial" w:hAnsi="Arial"/>
          <w:i/>
          <w:color w:val="484648"/>
          <w:w w:val="105"/>
          <w:sz w:val="15"/>
        </w:rPr>
        <w:t>s11pra</w:t>
      </w:r>
      <w:r>
        <w:rPr>
          <w:rFonts w:ascii="Arial" w:hAnsi="Arial"/>
          <w:i/>
          <w:color w:val="484648"/>
          <w:spacing w:val="4"/>
          <w:w w:val="105"/>
          <w:sz w:val="15"/>
        </w:rPr>
        <w:t> </w:t>
      </w:r>
      <w:r>
        <w:rPr>
          <w:color w:val="383638"/>
          <w:w w:val="105"/>
          <w:sz w:val="18"/>
        </w:rPr>
        <w:t>note</w:t>
      </w:r>
      <w:r>
        <w:rPr>
          <w:color w:val="383638"/>
          <w:spacing w:val="-13"/>
          <w:w w:val="105"/>
          <w:sz w:val="18"/>
        </w:rPr>
        <w:t> </w:t>
      </w:r>
      <w:r>
        <w:rPr>
          <w:color w:val="383638"/>
          <w:w w:val="105"/>
          <w:sz w:val="18"/>
        </w:rPr>
        <w:t>33,at</w:t>
      </w:r>
      <w:r>
        <w:rPr>
          <w:color w:val="383638"/>
          <w:spacing w:val="-7"/>
          <w:w w:val="105"/>
          <w:sz w:val="18"/>
        </w:rPr>
        <w:t> </w:t>
      </w:r>
      <w:r>
        <w:rPr>
          <w:color w:val="484648"/>
          <w:w w:val="105"/>
          <w:sz w:val="18"/>
        </w:rPr>
        <w:t>§16.01[K].</w:t>
      </w:r>
    </w:p>
    <w:p>
      <w:pPr>
        <w:spacing w:line="244" w:lineRule="auto" w:before="0"/>
        <w:ind w:left="146" w:right="0" w:firstLine="348"/>
        <w:jc w:val="left"/>
        <w:rPr>
          <w:rFonts w:ascii="Arial" w:hAnsi="Arial"/>
          <w:sz w:val="17"/>
        </w:rPr>
      </w:pPr>
      <w:r>
        <w:rPr>
          <w:color w:val="383638"/>
          <w:w w:val="105"/>
          <w:sz w:val="18"/>
        </w:rPr>
        <w:t>••</w:t>
      </w:r>
      <w:r>
        <w:rPr>
          <w:color w:val="383638"/>
          <w:spacing w:val="-25"/>
          <w:w w:val="105"/>
          <w:sz w:val="18"/>
        </w:rPr>
        <w:t> </w:t>
      </w:r>
      <w:r>
        <w:rPr>
          <w:color w:val="383638"/>
          <w:w w:val="105"/>
          <w:sz w:val="18"/>
        </w:rPr>
        <w:t>As</w:t>
      </w:r>
      <w:r>
        <w:rPr>
          <w:color w:val="383638"/>
          <w:spacing w:val="9"/>
          <w:w w:val="105"/>
          <w:sz w:val="18"/>
        </w:rPr>
        <w:t> </w:t>
      </w:r>
      <w:r>
        <w:rPr>
          <w:color w:val="383638"/>
          <w:w w:val="105"/>
          <w:sz w:val="18"/>
        </w:rPr>
        <w:t>noted</w:t>
      </w:r>
      <w:r>
        <w:rPr>
          <w:color w:val="383638"/>
          <w:spacing w:val="17"/>
          <w:w w:val="105"/>
          <w:sz w:val="18"/>
        </w:rPr>
        <w:t> </w:t>
      </w:r>
      <w:r>
        <w:rPr>
          <w:color w:val="484648"/>
          <w:w w:val="105"/>
          <w:sz w:val="18"/>
        </w:rPr>
        <w:t>above,</w:t>
      </w:r>
      <w:r>
        <w:rPr>
          <w:color w:val="484648"/>
          <w:spacing w:val="15"/>
          <w:w w:val="105"/>
          <w:sz w:val="18"/>
        </w:rPr>
        <w:t> </w:t>
      </w:r>
      <w:r>
        <w:rPr>
          <w:color w:val="484648"/>
          <w:w w:val="105"/>
          <w:sz w:val="18"/>
        </w:rPr>
        <w:t>courts</w:t>
      </w:r>
      <w:r>
        <w:rPr>
          <w:color w:val="484648"/>
          <w:spacing w:val="13"/>
          <w:w w:val="105"/>
          <w:sz w:val="18"/>
        </w:rPr>
        <w:t> </w:t>
      </w:r>
      <w:r>
        <w:rPr>
          <w:color w:val="383638"/>
          <w:w w:val="105"/>
          <w:sz w:val="18"/>
        </w:rPr>
        <w:t>may</w:t>
      </w:r>
      <w:r>
        <w:rPr>
          <w:color w:val="383638"/>
          <w:spacing w:val="13"/>
          <w:w w:val="105"/>
          <w:sz w:val="18"/>
        </w:rPr>
        <w:t> </w:t>
      </w:r>
      <w:r>
        <w:rPr>
          <w:color w:val="383638"/>
          <w:w w:val="105"/>
          <w:sz w:val="18"/>
        </w:rPr>
        <w:t>use</w:t>
      </w:r>
      <w:r>
        <w:rPr>
          <w:color w:val="383638"/>
          <w:spacing w:val="2"/>
          <w:w w:val="105"/>
          <w:sz w:val="18"/>
        </w:rPr>
        <w:t> </w:t>
      </w:r>
      <w:r>
        <w:rPr>
          <w:color w:val="383638"/>
          <w:w w:val="105"/>
          <w:sz w:val="18"/>
        </w:rPr>
        <w:t>the</w:t>
      </w:r>
      <w:r>
        <w:rPr>
          <w:color w:val="383638"/>
          <w:spacing w:val="38"/>
          <w:w w:val="105"/>
          <w:sz w:val="18"/>
        </w:rPr>
        <w:t> </w:t>
      </w:r>
      <w:r>
        <w:rPr>
          <w:color w:val="383638"/>
          <w:w w:val="105"/>
          <w:sz w:val="18"/>
        </w:rPr>
        <w:t>phrase</w:t>
      </w:r>
      <w:r>
        <w:rPr>
          <w:color w:val="383638"/>
          <w:spacing w:val="10"/>
          <w:w w:val="105"/>
          <w:sz w:val="18"/>
        </w:rPr>
        <w:t> </w:t>
      </w:r>
      <w:r>
        <w:rPr>
          <w:rFonts w:ascii="Arial" w:hAnsi="Arial"/>
          <w:i/>
          <w:color w:val="383638"/>
          <w:w w:val="105"/>
          <w:sz w:val="15"/>
        </w:rPr>
        <w:t>legal</w:t>
      </w:r>
      <w:r>
        <w:rPr>
          <w:rFonts w:ascii="Arial" w:hAnsi="Arial"/>
          <w:i/>
          <w:color w:val="383638"/>
          <w:spacing w:val="14"/>
          <w:w w:val="105"/>
          <w:sz w:val="15"/>
        </w:rPr>
        <w:t> </w:t>
      </w:r>
      <w:r>
        <w:rPr>
          <w:rFonts w:ascii="Arial" w:hAnsi="Arial"/>
          <w:i/>
          <w:color w:val="484648"/>
          <w:w w:val="105"/>
          <w:sz w:val="15"/>
        </w:rPr>
        <w:t>stanclard</w:t>
      </w:r>
      <w:r>
        <w:rPr>
          <w:rFonts w:ascii="Arial" w:hAnsi="Arial"/>
          <w:i/>
          <w:color w:val="484648"/>
          <w:spacing w:val="36"/>
          <w:w w:val="105"/>
          <w:sz w:val="15"/>
        </w:rPr>
        <w:t> </w:t>
      </w:r>
      <w:r>
        <w:rPr>
          <w:color w:val="484648"/>
          <w:w w:val="105"/>
          <w:sz w:val="18"/>
        </w:rPr>
        <w:t>or</w:t>
      </w:r>
      <w:r>
        <w:rPr>
          <w:color w:val="484648"/>
          <w:spacing w:val="25"/>
          <w:w w:val="105"/>
          <w:sz w:val="18"/>
        </w:rPr>
        <w:t> </w:t>
      </w:r>
      <w:r>
        <w:rPr>
          <w:rFonts w:ascii="Arial" w:hAnsi="Arial"/>
          <w:i/>
          <w:color w:val="383638"/>
          <w:w w:val="105"/>
          <w:sz w:val="15"/>
        </w:rPr>
        <w:t>pleadirig</w:t>
      </w:r>
      <w:r>
        <w:rPr>
          <w:rFonts w:ascii="Arial" w:hAnsi="Arial"/>
          <w:i/>
          <w:color w:val="383638"/>
          <w:spacing w:val="11"/>
          <w:w w:val="105"/>
          <w:sz w:val="15"/>
        </w:rPr>
        <w:t> </w:t>
      </w:r>
      <w:r>
        <w:rPr>
          <w:rFonts w:ascii="Arial" w:hAnsi="Arial"/>
          <w:i/>
          <w:color w:val="484648"/>
          <w:w w:val="105"/>
          <w:sz w:val="15"/>
        </w:rPr>
        <w:t>sta11dard</w:t>
      </w:r>
      <w:r>
        <w:rPr>
          <w:rFonts w:ascii="Arial" w:hAnsi="Arial"/>
          <w:i/>
          <w:color w:val="484648"/>
          <w:spacing w:val="25"/>
          <w:w w:val="105"/>
          <w:sz w:val="15"/>
        </w:rPr>
        <w:t> </w:t>
      </w:r>
      <w:r>
        <w:rPr>
          <w:color w:val="383638"/>
          <w:w w:val="105"/>
          <w:sz w:val="18"/>
        </w:rPr>
        <w:t>to</w:t>
      </w:r>
      <w:r>
        <w:rPr>
          <w:color w:val="383638"/>
          <w:spacing w:val="12"/>
          <w:w w:val="105"/>
          <w:sz w:val="18"/>
        </w:rPr>
        <w:t> </w:t>
      </w:r>
      <w:r>
        <w:rPr>
          <w:color w:val="383638"/>
          <w:w w:val="105"/>
          <w:sz w:val="18"/>
        </w:rPr>
        <w:t>refer</w:t>
      </w:r>
      <w:r>
        <w:rPr>
          <w:color w:val="383638"/>
          <w:spacing w:val="10"/>
          <w:w w:val="105"/>
          <w:sz w:val="18"/>
        </w:rPr>
        <w:t> </w:t>
      </w:r>
      <w:r>
        <w:rPr>
          <w:color w:val="484648"/>
          <w:w w:val="105"/>
          <w:sz w:val="18"/>
        </w:rPr>
        <w:t>to</w:t>
      </w:r>
      <w:r>
        <w:rPr>
          <w:color w:val="484648"/>
          <w:spacing w:val="35"/>
          <w:w w:val="105"/>
          <w:sz w:val="18"/>
        </w:rPr>
        <w:t> </w:t>
      </w:r>
      <w:r>
        <w:rPr>
          <w:color w:val="383638"/>
          <w:w w:val="105"/>
          <w:sz w:val="18"/>
        </w:rPr>
        <w:t>a</w:t>
      </w:r>
      <w:r>
        <w:rPr>
          <w:color w:val="383638"/>
          <w:spacing w:val="1"/>
          <w:w w:val="105"/>
          <w:sz w:val="18"/>
        </w:rPr>
        <w:t> </w:t>
      </w:r>
      <w:r>
        <w:rPr>
          <w:color w:val="383638"/>
          <w:w w:val="110"/>
          <w:sz w:val="18"/>
        </w:rPr>
        <w:t>motion</w:t>
      </w:r>
      <w:r>
        <w:rPr>
          <w:color w:val="383638"/>
          <w:spacing w:val="-3"/>
          <w:w w:val="110"/>
          <w:sz w:val="18"/>
        </w:rPr>
        <w:t> </w:t>
      </w:r>
      <w:r>
        <w:rPr>
          <w:color w:val="484648"/>
          <w:w w:val="110"/>
          <w:sz w:val="18"/>
        </w:rPr>
        <w:t>standard</w:t>
      </w:r>
      <w:r>
        <w:rPr>
          <w:color w:val="484648"/>
          <w:spacing w:val="-4"/>
          <w:w w:val="110"/>
          <w:sz w:val="18"/>
        </w:rPr>
        <w:t> </w:t>
      </w:r>
      <w:r>
        <w:rPr>
          <w:color w:val="484648"/>
          <w:w w:val="110"/>
          <w:sz w:val="18"/>
        </w:rPr>
        <w:t>of</w:t>
      </w:r>
      <w:r>
        <w:rPr>
          <w:color w:val="484648"/>
          <w:spacing w:val="-10"/>
          <w:w w:val="110"/>
          <w:sz w:val="18"/>
        </w:rPr>
        <w:t> </w:t>
      </w:r>
      <w:r>
        <w:rPr>
          <w:rFonts w:ascii="Arial" w:hAnsi="Arial"/>
          <w:color w:val="383638"/>
          <w:w w:val="110"/>
          <w:sz w:val="17"/>
        </w:rPr>
        <w:t>review.</w:t>
      </w:r>
    </w:p>
    <w:p>
      <w:pPr>
        <w:spacing w:after="0" w:line="244" w:lineRule="auto"/>
        <w:jc w:val="left"/>
        <w:rPr>
          <w:rFonts w:ascii="Arial" w:hAnsi="Arial"/>
          <w:sz w:val="17"/>
        </w:rPr>
        <w:sectPr>
          <w:pgSz w:w="9560" w:h="13730"/>
          <w:pgMar w:header="434" w:footer="0" w:top="1020" w:bottom="280" w:left="460" w:right="1160"/>
        </w:sectPr>
      </w:pPr>
    </w:p>
    <w:p>
      <w:pPr>
        <w:pStyle w:val="BodyText"/>
        <w:rPr>
          <w:rFonts w:ascii="Arial"/>
          <w:sz w:val="20"/>
        </w:rPr>
      </w:pPr>
    </w:p>
    <w:p>
      <w:pPr>
        <w:spacing w:before="231"/>
        <w:ind w:left="1151" w:right="0" w:firstLine="0"/>
        <w:jc w:val="left"/>
        <w:rPr>
          <w:sz w:val="29"/>
        </w:rPr>
      </w:pPr>
      <w:r>
        <w:rPr>
          <w:color w:val="4F4F50"/>
          <w:w w:val="110"/>
          <w:sz w:val="29"/>
        </w:rPr>
        <w:t>2.5.1</w:t>
      </w:r>
    </w:p>
    <w:p>
      <w:pPr>
        <w:spacing w:before="21"/>
        <w:ind w:left="1140" w:right="0" w:firstLine="0"/>
        <w:jc w:val="left"/>
        <w:rPr>
          <w:sz w:val="23"/>
        </w:rPr>
      </w:pPr>
      <w:r>
        <w:rPr>
          <w:color w:val="4F4F50"/>
          <w:sz w:val="23"/>
        </w:rPr>
        <w:t>GOVERNMENT</w:t>
      </w:r>
      <w:r>
        <w:rPr>
          <w:color w:val="4F4F50"/>
          <w:spacing w:val="32"/>
          <w:sz w:val="23"/>
        </w:rPr>
        <w:t> </w:t>
      </w:r>
      <w:r>
        <w:rPr>
          <w:rFonts w:ascii="Arial"/>
          <w:color w:val="4F4F50"/>
          <w:sz w:val="21"/>
        </w:rPr>
        <w:t>ACTION</w:t>
      </w:r>
      <w:r>
        <w:rPr>
          <w:rFonts w:ascii="Arial"/>
          <w:color w:val="4F4F50"/>
          <w:spacing w:val="11"/>
          <w:sz w:val="21"/>
        </w:rPr>
        <w:t> </w:t>
      </w:r>
      <w:r>
        <w:rPr>
          <w:color w:val="3F3D3D"/>
          <w:sz w:val="23"/>
        </w:rPr>
        <w:t>STANDARDS</w:t>
      </w:r>
      <w:r>
        <w:rPr>
          <w:color w:val="3F3D3D"/>
          <w:spacing w:val="28"/>
          <w:sz w:val="23"/>
        </w:rPr>
        <w:t> </w:t>
      </w:r>
      <w:r>
        <w:rPr>
          <w:rFonts w:ascii="Arial"/>
          <w:color w:val="4F4F50"/>
          <w:sz w:val="21"/>
        </w:rPr>
        <w:t>OF</w:t>
      </w:r>
      <w:r>
        <w:rPr>
          <w:rFonts w:ascii="Arial"/>
          <w:color w:val="4F4F50"/>
          <w:spacing w:val="49"/>
          <w:sz w:val="21"/>
        </w:rPr>
        <w:t> </w:t>
      </w:r>
      <w:r>
        <w:rPr>
          <w:color w:val="4F4F50"/>
          <w:sz w:val="23"/>
        </w:rPr>
        <w:t>REVIEW</w:t>
      </w:r>
    </w:p>
    <w:p>
      <w:pPr>
        <w:pStyle w:val="BodyText"/>
        <w:spacing w:line="232" w:lineRule="auto" w:before="156"/>
        <w:ind w:left="744" w:right="111" w:firstLine="395"/>
        <w:jc w:val="both"/>
      </w:pPr>
      <w:r>
        <w:rPr>
          <w:color w:val="4F4F50"/>
          <w:w w:val="110"/>
        </w:rPr>
        <w:t>Courts </w:t>
      </w:r>
      <w:r>
        <w:rPr>
          <w:color w:val="3F3D3D"/>
          <w:w w:val="110"/>
        </w:rPr>
        <w:t>usually use the phrase </w:t>
      </w:r>
      <w:r>
        <w:rPr>
          <w:i/>
          <w:color w:val="3F3D3D"/>
          <w:w w:val="110"/>
          <w:sz w:val="22"/>
        </w:rPr>
        <w:t>standard of review </w:t>
      </w:r>
      <w:r>
        <w:rPr>
          <w:color w:val="2D2A2B"/>
          <w:w w:val="110"/>
        </w:rPr>
        <w:t>to </w:t>
      </w:r>
      <w:r>
        <w:rPr>
          <w:color w:val="3F3D3D"/>
          <w:w w:val="110"/>
        </w:rPr>
        <w:t>describe </w:t>
      </w:r>
      <w:r>
        <w:rPr>
          <w:color w:val="2D2A2B"/>
          <w:w w:val="110"/>
        </w:rPr>
        <w:t>the </w:t>
      </w:r>
      <w:r>
        <w:rPr>
          <w:color w:val="3F3D3D"/>
          <w:w w:val="110"/>
        </w:rPr>
        <w:t>stan­</w:t>
      </w:r>
      <w:r>
        <w:rPr>
          <w:color w:val="3F3D3D"/>
          <w:spacing w:val="1"/>
          <w:w w:val="110"/>
        </w:rPr>
        <w:t> </w:t>
      </w:r>
      <w:r>
        <w:rPr>
          <w:color w:val="3F3D3D"/>
          <w:spacing w:val="-1"/>
          <w:w w:val="115"/>
        </w:rPr>
        <w:t>dard that a court </w:t>
      </w:r>
      <w:r>
        <w:rPr>
          <w:color w:val="3F3D3D"/>
          <w:w w:val="115"/>
        </w:rPr>
        <w:t>will use </w:t>
      </w:r>
      <w:r>
        <w:rPr>
          <w:color w:val="4F4F50"/>
          <w:w w:val="115"/>
        </w:rPr>
        <w:t>to review </w:t>
      </w:r>
      <w:r>
        <w:rPr>
          <w:color w:val="3F3D3D"/>
          <w:w w:val="115"/>
        </w:rPr>
        <w:t>the constitutionality of a state stat­</w:t>
      </w:r>
      <w:r>
        <w:rPr>
          <w:color w:val="3F3D3D"/>
          <w:spacing w:val="1"/>
          <w:w w:val="115"/>
        </w:rPr>
        <w:t> </w:t>
      </w:r>
      <w:r>
        <w:rPr>
          <w:color w:val="3F3D3D"/>
          <w:w w:val="115"/>
        </w:rPr>
        <w:t>ute or other </w:t>
      </w:r>
      <w:r>
        <w:rPr>
          <w:color w:val="4F4F50"/>
          <w:w w:val="115"/>
        </w:rPr>
        <w:t>government </w:t>
      </w:r>
      <w:r>
        <w:rPr>
          <w:color w:val="3F3D3D"/>
          <w:w w:val="115"/>
        </w:rPr>
        <w:t>action. Some actions will be reviewed under a</w:t>
      </w:r>
      <w:r>
        <w:rPr>
          <w:color w:val="3F3D3D"/>
          <w:spacing w:val="-64"/>
          <w:w w:val="115"/>
        </w:rPr>
        <w:t> </w:t>
      </w:r>
      <w:r>
        <w:rPr>
          <w:color w:val="3F3D3D"/>
          <w:w w:val="110"/>
        </w:rPr>
        <w:t>"strict </w:t>
      </w:r>
      <w:r>
        <w:rPr>
          <w:color w:val="4F4F50"/>
          <w:w w:val="110"/>
        </w:rPr>
        <w:t>scru</w:t>
      </w:r>
      <w:r>
        <w:rPr>
          <w:color w:val="2D2A2B"/>
          <w:w w:val="110"/>
        </w:rPr>
        <w:t>t</w:t>
      </w:r>
      <w:r>
        <w:rPr>
          <w:color w:val="4F4F50"/>
          <w:w w:val="110"/>
        </w:rPr>
        <w:t>iny" </w:t>
      </w:r>
      <w:r>
        <w:rPr>
          <w:color w:val="3F3D3D"/>
          <w:w w:val="110"/>
        </w:rPr>
        <w:t>standard, some under a "heightened scrutiny" standard,</w:t>
      </w:r>
      <w:r>
        <w:rPr>
          <w:color w:val="3F3D3D"/>
          <w:spacing w:val="1"/>
          <w:w w:val="110"/>
        </w:rPr>
        <w:t> </w:t>
      </w:r>
      <w:r>
        <w:rPr>
          <w:color w:val="3F3D3D"/>
          <w:w w:val="110"/>
        </w:rPr>
        <w:t>and others under a </w:t>
      </w:r>
      <w:r>
        <w:rPr>
          <w:color w:val="4F4F50"/>
          <w:w w:val="110"/>
        </w:rPr>
        <w:t>"rational </w:t>
      </w:r>
      <w:r>
        <w:rPr>
          <w:color w:val="3F3D3D"/>
          <w:w w:val="110"/>
        </w:rPr>
        <w:t>basis" standard.</w:t>
      </w:r>
      <w:r>
        <w:rPr>
          <w:color w:val="3F3D3D"/>
          <w:w w:val="110"/>
          <w:vertAlign w:val="superscript"/>
        </w:rPr>
        <w:t>50</w:t>
      </w:r>
      <w:r>
        <w:rPr>
          <w:color w:val="3F3D3D"/>
          <w:w w:val="110"/>
          <w:vertAlign w:val="baseline"/>
        </w:rPr>
        <w:t> Although these phrases all</w:t>
      </w:r>
      <w:r>
        <w:rPr>
          <w:color w:val="3F3D3D"/>
          <w:spacing w:val="1"/>
          <w:w w:val="110"/>
          <w:vertAlign w:val="baseline"/>
        </w:rPr>
        <w:t> </w:t>
      </w:r>
      <w:r>
        <w:rPr>
          <w:color w:val="3F3D3D"/>
          <w:w w:val="110"/>
          <w:vertAlign w:val="baseline"/>
        </w:rPr>
        <w:t>describe </w:t>
      </w:r>
      <w:r>
        <w:rPr>
          <w:i/>
          <w:color w:val="3F3D3D"/>
          <w:w w:val="110"/>
          <w:sz w:val="22"/>
          <w:vertAlign w:val="baseline"/>
        </w:rPr>
        <w:t>standards </w:t>
      </w:r>
      <w:r>
        <w:rPr>
          <w:color w:val="3F3D3D"/>
          <w:w w:val="110"/>
          <w:vertAlign w:val="baseline"/>
        </w:rPr>
        <w:t>that are used to </w:t>
      </w:r>
      <w:r>
        <w:rPr>
          <w:i/>
          <w:color w:val="3F3D3D"/>
          <w:w w:val="110"/>
          <w:sz w:val="22"/>
          <w:vertAlign w:val="baseline"/>
        </w:rPr>
        <w:t>review, </w:t>
      </w:r>
      <w:r>
        <w:rPr>
          <w:color w:val="3F3D3D"/>
          <w:w w:val="110"/>
          <w:vertAlign w:val="baseline"/>
        </w:rPr>
        <w:t>they are not the same thing as</w:t>
      </w:r>
      <w:r>
        <w:rPr>
          <w:color w:val="3F3D3D"/>
          <w:spacing w:val="1"/>
          <w:w w:val="110"/>
          <w:vertAlign w:val="baseline"/>
        </w:rPr>
        <w:t> </w:t>
      </w:r>
      <w:r>
        <w:rPr>
          <w:color w:val="3F3D3D"/>
          <w:w w:val="115"/>
          <w:vertAlign w:val="baseline"/>
        </w:rPr>
        <w:t>appellate standards </w:t>
      </w:r>
      <w:r>
        <w:rPr>
          <w:i/>
          <w:color w:val="3F3D3D"/>
          <w:w w:val="115"/>
          <w:sz w:val="22"/>
          <w:vertAlign w:val="baseline"/>
        </w:rPr>
        <w:t>of </w:t>
      </w:r>
      <w:r>
        <w:rPr>
          <w:color w:val="3F3D3D"/>
          <w:w w:val="115"/>
          <w:vertAlign w:val="baseline"/>
        </w:rPr>
        <w:t>review. Thinking </w:t>
      </w:r>
      <w:r>
        <w:rPr>
          <w:color w:val="2D2A2B"/>
          <w:w w:val="115"/>
          <w:vertAlign w:val="baseline"/>
        </w:rPr>
        <w:t>in </w:t>
      </w:r>
      <w:r>
        <w:rPr>
          <w:color w:val="3F3D3D"/>
          <w:w w:val="115"/>
          <w:vertAlign w:val="baseline"/>
        </w:rPr>
        <w:t>terms of "deference," which</w:t>
      </w:r>
      <w:r>
        <w:rPr>
          <w:color w:val="3F3D3D"/>
          <w:spacing w:val="-64"/>
          <w:w w:val="115"/>
          <w:vertAlign w:val="baseline"/>
        </w:rPr>
        <w:t> </w:t>
      </w:r>
      <w:r>
        <w:rPr>
          <w:color w:val="3F3D3D"/>
          <w:w w:val="110"/>
          <w:vertAlign w:val="baseline"/>
        </w:rPr>
        <w:t>is so crucial to appellate standards of review, may be helpful. When the</w:t>
      </w:r>
      <w:r>
        <w:rPr>
          <w:color w:val="3F3D3D"/>
          <w:spacing w:val="1"/>
          <w:w w:val="110"/>
          <w:vertAlign w:val="baseline"/>
        </w:rPr>
        <w:t> </w:t>
      </w:r>
      <w:r>
        <w:rPr>
          <w:color w:val="3F3D3D"/>
          <w:w w:val="110"/>
          <w:vertAlign w:val="baseline"/>
        </w:rPr>
        <w:t>court</w:t>
      </w:r>
      <w:r>
        <w:rPr>
          <w:color w:val="3F3D3D"/>
          <w:spacing w:val="-9"/>
          <w:w w:val="110"/>
          <w:vertAlign w:val="baseline"/>
        </w:rPr>
        <w:t> </w:t>
      </w:r>
      <w:r>
        <w:rPr>
          <w:color w:val="3F3D3D"/>
          <w:w w:val="110"/>
          <w:vertAlign w:val="baseline"/>
        </w:rPr>
        <w:t>is</w:t>
      </w:r>
      <w:r>
        <w:rPr>
          <w:color w:val="3F3D3D"/>
          <w:spacing w:val="-35"/>
          <w:w w:val="110"/>
          <w:vertAlign w:val="baseline"/>
        </w:rPr>
        <w:t> </w:t>
      </w:r>
      <w:r>
        <w:rPr>
          <w:color w:val="3F3D3D"/>
          <w:w w:val="110"/>
          <w:vertAlign w:val="baseline"/>
        </w:rPr>
        <w:t>asked</w:t>
      </w:r>
      <w:r>
        <w:rPr>
          <w:color w:val="3F3D3D"/>
          <w:spacing w:val="-1"/>
          <w:w w:val="110"/>
          <w:vertAlign w:val="baseline"/>
        </w:rPr>
        <w:t> </w:t>
      </w:r>
      <w:r>
        <w:rPr>
          <w:color w:val="3F3D3D"/>
          <w:w w:val="110"/>
          <w:vertAlign w:val="baseline"/>
        </w:rPr>
        <w:t>to</w:t>
      </w:r>
      <w:r>
        <w:rPr>
          <w:color w:val="3F3D3D"/>
          <w:spacing w:val="11"/>
          <w:w w:val="110"/>
          <w:vertAlign w:val="baseline"/>
        </w:rPr>
        <w:t> </w:t>
      </w:r>
      <w:r>
        <w:rPr>
          <w:color w:val="3F3D3D"/>
          <w:w w:val="110"/>
          <w:vertAlign w:val="baseline"/>
        </w:rPr>
        <w:t>review</w:t>
      </w:r>
      <w:r>
        <w:rPr>
          <w:color w:val="3F3D3D"/>
          <w:spacing w:val="-15"/>
          <w:w w:val="110"/>
          <w:vertAlign w:val="baseline"/>
        </w:rPr>
        <w:t> </w:t>
      </w:r>
      <w:r>
        <w:rPr>
          <w:color w:val="3F3D3D"/>
          <w:w w:val="110"/>
          <w:vertAlign w:val="baseline"/>
        </w:rPr>
        <w:t>the</w:t>
      </w:r>
      <w:r>
        <w:rPr>
          <w:color w:val="3F3D3D"/>
          <w:spacing w:val="30"/>
          <w:w w:val="110"/>
          <w:vertAlign w:val="baseline"/>
        </w:rPr>
        <w:t> </w:t>
      </w:r>
      <w:r>
        <w:rPr>
          <w:color w:val="3F3D3D"/>
          <w:w w:val="110"/>
          <w:vertAlign w:val="baseline"/>
        </w:rPr>
        <w:t>constitutionality</w:t>
      </w:r>
      <w:r>
        <w:rPr>
          <w:color w:val="3F3D3D"/>
          <w:spacing w:val="-32"/>
          <w:w w:val="110"/>
          <w:vertAlign w:val="baseline"/>
        </w:rPr>
        <w:t> </w:t>
      </w:r>
      <w:r>
        <w:rPr>
          <w:color w:val="3F3D3D"/>
          <w:w w:val="110"/>
          <w:vertAlign w:val="baseline"/>
        </w:rPr>
        <w:t>of</w:t>
      </w:r>
      <w:r>
        <w:rPr>
          <w:color w:val="3F3D3D"/>
          <w:spacing w:val="1"/>
          <w:w w:val="110"/>
          <w:vertAlign w:val="baseline"/>
        </w:rPr>
        <w:t> </w:t>
      </w:r>
      <w:r>
        <w:rPr>
          <w:color w:val="3F3D3D"/>
          <w:w w:val="110"/>
          <w:vertAlign w:val="baseline"/>
        </w:rPr>
        <w:t>a</w:t>
      </w:r>
      <w:r>
        <w:rPr>
          <w:color w:val="3F3D3D"/>
          <w:spacing w:val="-4"/>
          <w:w w:val="110"/>
          <w:vertAlign w:val="baseline"/>
        </w:rPr>
        <w:t> </w:t>
      </w:r>
      <w:r>
        <w:rPr>
          <w:color w:val="3F3D3D"/>
          <w:w w:val="110"/>
          <w:vertAlign w:val="baseline"/>
        </w:rPr>
        <w:t>state</w:t>
      </w:r>
      <w:r>
        <w:rPr>
          <w:color w:val="3F3D3D"/>
          <w:spacing w:val="-26"/>
          <w:w w:val="110"/>
          <w:vertAlign w:val="baseline"/>
        </w:rPr>
        <w:t> </w:t>
      </w:r>
      <w:r>
        <w:rPr>
          <w:color w:val="3F3D3D"/>
          <w:w w:val="110"/>
          <w:vertAlign w:val="baseline"/>
        </w:rPr>
        <w:t>statute</w:t>
      </w:r>
      <w:r>
        <w:rPr>
          <w:color w:val="3F3D3D"/>
          <w:spacing w:val="-27"/>
          <w:w w:val="110"/>
          <w:vertAlign w:val="baseline"/>
        </w:rPr>
        <w:t> </w:t>
      </w:r>
      <w:r>
        <w:rPr>
          <w:color w:val="3F3D3D"/>
          <w:w w:val="110"/>
          <w:vertAlign w:val="baseline"/>
        </w:rPr>
        <w:t>or</w:t>
      </w:r>
      <w:r>
        <w:rPr>
          <w:color w:val="3F3D3D"/>
          <w:spacing w:val="-9"/>
          <w:w w:val="110"/>
          <w:vertAlign w:val="baseline"/>
        </w:rPr>
        <w:t> </w:t>
      </w:r>
      <w:r>
        <w:rPr>
          <w:color w:val="3F3D3D"/>
          <w:w w:val="110"/>
          <w:vertAlign w:val="baseline"/>
        </w:rPr>
        <w:t>other</w:t>
      </w:r>
      <w:r>
        <w:rPr>
          <w:color w:val="3F3D3D"/>
          <w:spacing w:val="-10"/>
          <w:w w:val="110"/>
          <w:vertAlign w:val="baseline"/>
        </w:rPr>
        <w:t> </w:t>
      </w:r>
      <w:r>
        <w:rPr>
          <w:color w:val="3F3D3D"/>
          <w:w w:val="110"/>
          <w:vertAlign w:val="baseline"/>
        </w:rPr>
        <w:t>gov­</w:t>
      </w:r>
      <w:r>
        <w:rPr>
          <w:color w:val="3F3D3D"/>
          <w:spacing w:val="-61"/>
          <w:w w:val="110"/>
          <w:vertAlign w:val="baseline"/>
        </w:rPr>
        <w:t> </w:t>
      </w:r>
      <w:r>
        <w:rPr>
          <w:color w:val="3F3D3D"/>
          <w:w w:val="115"/>
          <w:vertAlign w:val="baseline"/>
        </w:rPr>
        <w:t>ernment</w:t>
      </w:r>
      <w:r>
        <w:rPr>
          <w:color w:val="3F3D3D"/>
          <w:spacing w:val="-10"/>
          <w:w w:val="115"/>
          <w:vertAlign w:val="baseline"/>
        </w:rPr>
        <w:t> </w:t>
      </w:r>
      <w:r>
        <w:rPr>
          <w:color w:val="3F3D3D"/>
          <w:w w:val="115"/>
          <w:vertAlign w:val="baseline"/>
        </w:rPr>
        <w:t>action,</w:t>
      </w:r>
      <w:r>
        <w:rPr>
          <w:color w:val="3F3D3D"/>
          <w:spacing w:val="-3"/>
          <w:w w:val="115"/>
          <w:vertAlign w:val="baseline"/>
        </w:rPr>
        <w:t> </w:t>
      </w:r>
      <w:r>
        <w:rPr>
          <w:color w:val="3F3D3D"/>
          <w:w w:val="115"/>
          <w:vertAlign w:val="baseline"/>
        </w:rPr>
        <w:t>it</w:t>
      </w:r>
      <w:r>
        <w:rPr>
          <w:color w:val="3F3D3D"/>
          <w:spacing w:val="-5"/>
          <w:w w:val="115"/>
          <w:vertAlign w:val="baseline"/>
        </w:rPr>
        <w:t> </w:t>
      </w:r>
      <w:r>
        <w:rPr>
          <w:color w:val="3F3D3D"/>
          <w:w w:val="115"/>
          <w:vertAlign w:val="baseline"/>
        </w:rPr>
        <w:t>is</w:t>
      </w:r>
      <w:r>
        <w:rPr>
          <w:color w:val="3F3D3D"/>
          <w:spacing w:val="-16"/>
          <w:w w:val="115"/>
          <w:vertAlign w:val="baseline"/>
        </w:rPr>
        <w:t> </w:t>
      </w:r>
      <w:r>
        <w:rPr>
          <w:color w:val="3F3D3D"/>
          <w:w w:val="115"/>
          <w:vertAlign w:val="baseline"/>
        </w:rPr>
        <w:t>deciding</w:t>
      </w:r>
      <w:r>
        <w:rPr>
          <w:color w:val="3F3D3D"/>
          <w:spacing w:val="-6"/>
          <w:w w:val="115"/>
          <w:vertAlign w:val="baseline"/>
        </w:rPr>
        <w:t> </w:t>
      </w:r>
      <w:r>
        <w:rPr>
          <w:color w:val="3F3D3D"/>
          <w:w w:val="115"/>
          <w:vertAlign w:val="baseline"/>
        </w:rPr>
        <w:t>whether</w:t>
      </w:r>
      <w:r>
        <w:rPr>
          <w:color w:val="3F3D3D"/>
          <w:spacing w:val="-1"/>
          <w:w w:val="115"/>
          <w:vertAlign w:val="baseline"/>
        </w:rPr>
        <w:t> </w:t>
      </w:r>
      <w:r>
        <w:rPr>
          <w:color w:val="3F3D3D"/>
          <w:w w:val="115"/>
          <w:vertAlign w:val="baseline"/>
        </w:rPr>
        <w:t>to</w:t>
      </w:r>
      <w:r>
        <w:rPr>
          <w:color w:val="3F3D3D"/>
          <w:spacing w:val="-8"/>
          <w:w w:val="115"/>
          <w:vertAlign w:val="baseline"/>
        </w:rPr>
        <w:t> </w:t>
      </w:r>
      <w:r>
        <w:rPr>
          <w:color w:val="3F3D3D"/>
          <w:w w:val="115"/>
          <w:vertAlign w:val="baseline"/>
        </w:rPr>
        <w:t>defer</w:t>
      </w:r>
      <w:r>
        <w:rPr>
          <w:color w:val="3F3D3D"/>
          <w:spacing w:val="-6"/>
          <w:w w:val="115"/>
          <w:vertAlign w:val="baseline"/>
        </w:rPr>
        <w:t> </w:t>
      </w:r>
      <w:r>
        <w:rPr>
          <w:color w:val="3F3D3D"/>
          <w:w w:val="115"/>
          <w:vertAlign w:val="baseline"/>
        </w:rPr>
        <w:t>to</w:t>
      </w:r>
      <w:r>
        <w:rPr>
          <w:color w:val="3F3D3D"/>
          <w:spacing w:val="8"/>
          <w:w w:val="115"/>
          <w:vertAlign w:val="baseline"/>
        </w:rPr>
        <w:t> </w:t>
      </w:r>
      <w:r>
        <w:rPr>
          <w:color w:val="3F3D3D"/>
          <w:w w:val="115"/>
          <w:vertAlign w:val="baseline"/>
        </w:rPr>
        <w:t>the</w:t>
      </w:r>
      <w:r>
        <w:rPr>
          <w:color w:val="3F3D3D"/>
          <w:spacing w:val="7"/>
          <w:w w:val="115"/>
          <w:vertAlign w:val="baseline"/>
        </w:rPr>
        <w:t> </w:t>
      </w:r>
      <w:r>
        <w:rPr>
          <w:color w:val="3F3D3D"/>
          <w:w w:val="115"/>
          <w:vertAlign w:val="baseline"/>
        </w:rPr>
        <w:t>decision</w:t>
      </w:r>
      <w:r>
        <w:rPr>
          <w:color w:val="3F3D3D"/>
          <w:spacing w:val="1"/>
          <w:w w:val="115"/>
          <w:vertAlign w:val="baseline"/>
        </w:rPr>
        <w:t> </w:t>
      </w:r>
      <w:r>
        <w:rPr>
          <w:color w:val="3F3D3D"/>
          <w:w w:val="115"/>
          <w:vertAlign w:val="baseline"/>
        </w:rPr>
        <w:t>of</w:t>
      </w:r>
      <w:r>
        <w:rPr>
          <w:color w:val="3F3D3D"/>
          <w:spacing w:val="-4"/>
          <w:w w:val="115"/>
          <w:vertAlign w:val="baseline"/>
        </w:rPr>
        <w:t> </w:t>
      </w:r>
      <w:r>
        <w:rPr>
          <w:color w:val="3F3D3D"/>
          <w:w w:val="115"/>
          <w:vertAlign w:val="baseline"/>
        </w:rPr>
        <w:t>a</w:t>
      </w:r>
      <w:r>
        <w:rPr>
          <w:color w:val="3F3D3D"/>
          <w:spacing w:val="-1"/>
          <w:w w:val="115"/>
          <w:vertAlign w:val="baseline"/>
        </w:rPr>
        <w:t> </w:t>
      </w:r>
      <w:r>
        <w:rPr>
          <w:color w:val="3F3D3D"/>
          <w:w w:val="115"/>
          <w:vertAlign w:val="baseline"/>
        </w:rPr>
        <w:t>state</w:t>
      </w:r>
      <w:r>
        <w:rPr>
          <w:color w:val="3F3D3D"/>
          <w:spacing w:val="-64"/>
          <w:w w:val="115"/>
          <w:vertAlign w:val="baseline"/>
        </w:rPr>
        <w:t> </w:t>
      </w:r>
      <w:r>
        <w:rPr>
          <w:color w:val="2D2A2B"/>
          <w:w w:val="110"/>
          <w:vertAlign w:val="baseline"/>
        </w:rPr>
        <w:t>legislatur</w:t>
      </w:r>
      <w:r>
        <w:rPr>
          <w:color w:val="4F4F50"/>
          <w:w w:val="110"/>
          <w:vertAlign w:val="baseline"/>
        </w:rPr>
        <w:t>e </w:t>
      </w:r>
      <w:r>
        <w:rPr>
          <w:color w:val="3F3D3D"/>
          <w:w w:val="110"/>
          <w:vertAlign w:val="baseline"/>
        </w:rPr>
        <w:t>or other government actor. The government action standard of</w:t>
      </w:r>
      <w:r>
        <w:rPr>
          <w:color w:val="3F3D3D"/>
          <w:spacing w:val="1"/>
          <w:w w:val="110"/>
          <w:vertAlign w:val="baseline"/>
        </w:rPr>
        <w:t> </w:t>
      </w:r>
      <w:r>
        <w:rPr>
          <w:color w:val="3F3D3D"/>
          <w:w w:val="110"/>
          <w:vertAlign w:val="baseline"/>
        </w:rPr>
        <w:t>review tells it how closely to </w:t>
      </w:r>
      <w:r>
        <w:rPr>
          <w:color w:val="4F4F50"/>
          <w:w w:val="110"/>
          <w:vertAlign w:val="baseline"/>
        </w:rPr>
        <w:t>scrutinize </w:t>
      </w:r>
      <w:r>
        <w:rPr>
          <w:color w:val="3F3D3D"/>
          <w:w w:val="110"/>
          <w:vertAlign w:val="baseline"/>
        </w:rPr>
        <w:t>the government actor's decision</w:t>
      </w:r>
      <w:r>
        <w:rPr>
          <w:color w:val="3F3D3D"/>
          <w:spacing w:val="1"/>
          <w:w w:val="110"/>
          <w:vertAlign w:val="baseline"/>
        </w:rPr>
        <w:t> </w:t>
      </w:r>
      <w:r>
        <w:rPr>
          <w:color w:val="4F4F50"/>
          <w:w w:val="115"/>
          <w:vertAlign w:val="baseline"/>
        </w:rPr>
        <w:t>w</w:t>
      </w:r>
      <w:r>
        <w:rPr>
          <w:color w:val="2D2A2B"/>
          <w:w w:val="115"/>
          <w:vertAlign w:val="baseline"/>
        </w:rPr>
        <w:t>hen</w:t>
      </w:r>
      <w:r>
        <w:rPr>
          <w:color w:val="2D2A2B"/>
          <w:spacing w:val="13"/>
          <w:w w:val="115"/>
          <w:vertAlign w:val="baseline"/>
        </w:rPr>
        <w:t> </w:t>
      </w:r>
      <w:r>
        <w:rPr>
          <w:color w:val="3F3D3D"/>
          <w:w w:val="115"/>
          <w:vertAlign w:val="baseline"/>
        </w:rPr>
        <w:t>conducting</w:t>
      </w:r>
      <w:r>
        <w:rPr>
          <w:color w:val="3F3D3D"/>
          <w:spacing w:val="-1"/>
          <w:w w:val="115"/>
          <w:vertAlign w:val="baseline"/>
        </w:rPr>
        <w:t> </w:t>
      </w:r>
      <w:r>
        <w:rPr>
          <w:color w:val="2D2A2B"/>
          <w:w w:val="115"/>
          <w:vertAlign w:val="baseline"/>
        </w:rPr>
        <w:t>its</w:t>
      </w:r>
      <w:r>
        <w:rPr>
          <w:color w:val="2D2A2B"/>
          <w:spacing w:val="-10"/>
          <w:w w:val="115"/>
          <w:vertAlign w:val="baseline"/>
        </w:rPr>
        <w:t> </w:t>
      </w:r>
      <w:r>
        <w:rPr>
          <w:color w:val="3F3D3D"/>
          <w:w w:val="115"/>
          <w:vertAlign w:val="baseline"/>
        </w:rPr>
        <w:t>review.</w:t>
      </w:r>
    </w:p>
    <w:p>
      <w:pPr>
        <w:pStyle w:val="BodyText"/>
        <w:spacing w:line="235" w:lineRule="auto" w:before="6"/>
        <w:ind w:left="738" w:right="105" w:firstLine="388"/>
        <w:jc w:val="both"/>
      </w:pPr>
      <w:r>
        <w:rPr>
          <w:color w:val="3F3D3D"/>
          <w:w w:val="110"/>
        </w:rPr>
        <w:t>All</w:t>
      </w:r>
      <w:r>
        <w:rPr>
          <w:color w:val="3F3D3D"/>
          <w:spacing w:val="-15"/>
          <w:w w:val="110"/>
        </w:rPr>
        <w:t> </w:t>
      </w:r>
      <w:r>
        <w:rPr>
          <w:color w:val="3F3D3D"/>
          <w:w w:val="110"/>
        </w:rPr>
        <w:t>types</w:t>
      </w:r>
      <w:r>
        <w:rPr>
          <w:color w:val="3F3D3D"/>
          <w:spacing w:val="-31"/>
          <w:w w:val="110"/>
        </w:rPr>
        <w:t> </w:t>
      </w:r>
      <w:r>
        <w:rPr>
          <w:color w:val="3F3D3D"/>
          <w:w w:val="110"/>
        </w:rPr>
        <w:t>of</w:t>
      </w:r>
      <w:r>
        <w:rPr>
          <w:color w:val="3F3D3D"/>
          <w:spacing w:val="-4"/>
          <w:w w:val="110"/>
        </w:rPr>
        <w:t> </w:t>
      </w:r>
      <w:r>
        <w:rPr>
          <w:color w:val="3F3D3D"/>
          <w:w w:val="110"/>
        </w:rPr>
        <w:t>courts,</w:t>
      </w:r>
      <w:r>
        <w:rPr>
          <w:color w:val="3F3D3D"/>
          <w:spacing w:val="-13"/>
          <w:w w:val="110"/>
        </w:rPr>
        <w:t> </w:t>
      </w:r>
      <w:r>
        <w:rPr>
          <w:color w:val="3F3D3D"/>
          <w:w w:val="110"/>
        </w:rPr>
        <w:t>from</w:t>
      </w:r>
      <w:r>
        <w:rPr>
          <w:color w:val="3F3D3D"/>
          <w:spacing w:val="-9"/>
          <w:w w:val="110"/>
        </w:rPr>
        <w:t> </w:t>
      </w:r>
      <w:r>
        <w:rPr>
          <w:color w:val="3F3D3D"/>
          <w:w w:val="110"/>
        </w:rPr>
        <w:t>the</w:t>
      </w:r>
      <w:r>
        <w:rPr>
          <w:color w:val="3F3D3D"/>
          <w:spacing w:val="4"/>
          <w:w w:val="110"/>
        </w:rPr>
        <w:t> </w:t>
      </w:r>
      <w:r>
        <w:rPr>
          <w:color w:val="2D2A2B"/>
          <w:w w:val="110"/>
        </w:rPr>
        <w:t>trial</w:t>
      </w:r>
      <w:r>
        <w:rPr>
          <w:color w:val="2D2A2B"/>
          <w:spacing w:val="-21"/>
          <w:w w:val="110"/>
        </w:rPr>
        <w:t> </w:t>
      </w:r>
      <w:r>
        <w:rPr>
          <w:color w:val="3F3D3D"/>
          <w:w w:val="110"/>
        </w:rPr>
        <w:t>court</w:t>
      </w:r>
      <w:r>
        <w:rPr>
          <w:color w:val="3F3D3D"/>
          <w:spacing w:val="-25"/>
          <w:w w:val="110"/>
        </w:rPr>
        <w:t> </w:t>
      </w:r>
      <w:r>
        <w:rPr>
          <w:color w:val="3F3D3D"/>
          <w:w w:val="110"/>
        </w:rPr>
        <w:t>on</w:t>
      </w:r>
      <w:r>
        <w:rPr>
          <w:color w:val="3F3D3D"/>
          <w:spacing w:val="16"/>
          <w:w w:val="110"/>
        </w:rPr>
        <w:t> </w:t>
      </w:r>
      <w:r>
        <w:rPr>
          <w:color w:val="3F3D3D"/>
          <w:w w:val="110"/>
        </w:rPr>
        <w:t>up</w:t>
      </w:r>
      <w:r>
        <w:rPr>
          <w:color w:val="3F3D3D"/>
          <w:spacing w:val="-15"/>
          <w:w w:val="110"/>
        </w:rPr>
        <w:t> </w:t>
      </w:r>
      <w:r>
        <w:rPr>
          <w:color w:val="2D2A2B"/>
          <w:w w:val="110"/>
        </w:rPr>
        <w:t>through</w:t>
      </w:r>
      <w:r>
        <w:rPr>
          <w:color w:val="2D2A2B"/>
          <w:spacing w:val="-2"/>
          <w:w w:val="110"/>
        </w:rPr>
        <w:t> </w:t>
      </w:r>
      <w:r>
        <w:rPr>
          <w:color w:val="3F3D3D"/>
          <w:w w:val="110"/>
        </w:rPr>
        <w:t>the</w:t>
      </w:r>
      <w:r>
        <w:rPr>
          <w:color w:val="3F3D3D"/>
          <w:spacing w:val="4"/>
          <w:w w:val="110"/>
        </w:rPr>
        <w:t> </w:t>
      </w:r>
      <w:r>
        <w:rPr>
          <w:color w:val="3F3D3D"/>
          <w:w w:val="110"/>
        </w:rPr>
        <w:t>United</w:t>
      </w:r>
      <w:r>
        <w:rPr>
          <w:color w:val="3F3D3D"/>
          <w:spacing w:val="-18"/>
          <w:w w:val="110"/>
        </w:rPr>
        <w:t> </w:t>
      </w:r>
      <w:r>
        <w:rPr>
          <w:color w:val="3F3D3D"/>
          <w:w w:val="110"/>
        </w:rPr>
        <w:t>States</w:t>
      </w:r>
      <w:r>
        <w:rPr>
          <w:color w:val="3F3D3D"/>
          <w:spacing w:val="-61"/>
          <w:w w:val="110"/>
        </w:rPr>
        <w:t> </w:t>
      </w:r>
      <w:r>
        <w:rPr>
          <w:color w:val="3F3D3D"/>
          <w:w w:val="110"/>
        </w:rPr>
        <w:t>Supreme Court, may use a strict scrutiny, heightened </w:t>
      </w:r>
      <w:r>
        <w:rPr>
          <w:color w:val="4F4F50"/>
          <w:w w:val="110"/>
        </w:rPr>
        <w:t>scrutiny, </w:t>
      </w:r>
      <w:r>
        <w:rPr>
          <w:color w:val="3F3D3D"/>
          <w:w w:val="110"/>
        </w:rPr>
        <w:t>or </w:t>
      </w:r>
      <w:r>
        <w:rPr>
          <w:color w:val="2D2A2B"/>
          <w:w w:val="110"/>
        </w:rPr>
        <w:t>rational</w:t>
      </w:r>
      <w:r>
        <w:rPr>
          <w:color w:val="2D2A2B"/>
          <w:spacing w:val="1"/>
          <w:w w:val="110"/>
        </w:rPr>
        <w:t> </w:t>
      </w:r>
      <w:r>
        <w:rPr>
          <w:color w:val="3F3D3D"/>
          <w:w w:val="110"/>
        </w:rPr>
        <w:t>basis</w:t>
      </w:r>
      <w:r>
        <w:rPr>
          <w:color w:val="3F3D3D"/>
          <w:spacing w:val="-12"/>
          <w:w w:val="110"/>
        </w:rPr>
        <w:t> </w:t>
      </w:r>
      <w:r>
        <w:rPr>
          <w:color w:val="3F3D3D"/>
          <w:w w:val="110"/>
        </w:rPr>
        <w:t>standard</w:t>
      </w:r>
      <w:r>
        <w:rPr>
          <w:color w:val="3F3D3D"/>
          <w:spacing w:val="11"/>
          <w:w w:val="110"/>
        </w:rPr>
        <w:t> </w:t>
      </w:r>
      <w:r>
        <w:rPr>
          <w:color w:val="2D2A2B"/>
          <w:w w:val="110"/>
        </w:rPr>
        <w:t>to</w:t>
      </w:r>
      <w:r>
        <w:rPr>
          <w:color w:val="2D2A2B"/>
          <w:spacing w:val="10"/>
          <w:w w:val="110"/>
        </w:rPr>
        <w:t> </w:t>
      </w:r>
      <w:r>
        <w:rPr>
          <w:color w:val="4F4F50"/>
          <w:w w:val="110"/>
        </w:rPr>
        <w:t>review</w:t>
      </w:r>
      <w:r>
        <w:rPr>
          <w:color w:val="4F4F50"/>
          <w:spacing w:val="8"/>
          <w:w w:val="110"/>
        </w:rPr>
        <w:t> </w:t>
      </w:r>
      <w:r>
        <w:rPr>
          <w:color w:val="3F3D3D"/>
          <w:w w:val="110"/>
        </w:rPr>
        <w:t>the</w:t>
      </w:r>
      <w:r>
        <w:rPr>
          <w:color w:val="3F3D3D"/>
          <w:spacing w:val="23"/>
          <w:w w:val="110"/>
        </w:rPr>
        <w:t> </w:t>
      </w:r>
      <w:r>
        <w:rPr>
          <w:color w:val="3F3D3D"/>
          <w:w w:val="110"/>
        </w:rPr>
        <w:t>constitutionality</w:t>
      </w:r>
      <w:r>
        <w:rPr>
          <w:color w:val="3F3D3D"/>
          <w:spacing w:val="-7"/>
          <w:w w:val="110"/>
        </w:rPr>
        <w:t> </w:t>
      </w:r>
      <w:r>
        <w:rPr>
          <w:color w:val="3F3D3D"/>
          <w:w w:val="110"/>
        </w:rPr>
        <w:t>of</w:t>
      </w:r>
      <w:r>
        <w:rPr>
          <w:color w:val="3F3D3D"/>
          <w:spacing w:val="-2"/>
          <w:w w:val="110"/>
        </w:rPr>
        <w:t> </w:t>
      </w:r>
      <w:r>
        <w:rPr>
          <w:color w:val="3F3D3D"/>
          <w:w w:val="110"/>
        </w:rPr>
        <w:t>a</w:t>
      </w:r>
      <w:r>
        <w:rPr>
          <w:color w:val="3F3D3D"/>
          <w:spacing w:val="9"/>
          <w:w w:val="110"/>
        </w:rPr>
        <w:t> </w:t>
      </w:r>
      <w:r>
        <w:rPr>
          <w:color w:val="3F3D3D"/>
          <w:w w:val="110"/>
        </w:rPr>
        <w:t>government</w:t>
      </w:r>
      <w:r>
        <w:rPr>
          <w:color w:val="3F3D3D"/>
          <w:spacing w:val="15"/>
          <w:w w:val="110"/>
        </w:rPr>
        <w:t> </w:t>
      </w:r>
      <w:r>
        <w:rPr>
          <w:color w:val="3F3D3D"/>
          <w:w w:val="110"/>
        </w:rPr>
        <w:t>action.</w:t>
      </w:r>
    </w:p>
    <w:p>
      <w:pPr>
        <w:pStyle w:val="BodyText"/>
        <w:spacing w:before="10"/>
        <w:rPr>
          <w:sz w:val="31"/>
        </w:rPr>
      </w:pPr>
    </w:p>
    <w:p>
      <w:pPr>
        <w:spacing w:before="0"/>
        <w:ind w:left="1084" w:right="0" w:firstLine="0"/>
        <w:jc w:val="left"/>
        <w:rPr>
          <w:sz w:val="29"/>
        </w:rPr>
      </w:pPr>
      <w:r>
        <w:rPr>
          <w:color w:val="4F4F50"/>
          <w:w w:val="120"/>
          <w:sz w:val="29"/>
        </w:rPr>
        <w:t>2.5.2</w:t>
      </w:r>
    </w:p>
    <w:p>
      <w:pPr>
        <w:spacing w:before="50"/>
        <w:ind w:left="1074" w:right="0" w:firstLine="0"/>
        <w:jc w:val="left"/>
        <w:rPr>
          <w:sz w:val="23"/>
        </w:rPr>
      </w:pPr>
      <w:r>
        <w:rPr>
          <w:rFonts w:ascii="Arial"/>
          <w:color w:val="666667"/>
          <w:sz w:val="21"/>
        </w:rPr>
        <w:t>MULTIPLE</w:t>
      </w:r>
      <w:r>
        <w:rPr>
          <w:rFonts w:ascii="Arial"/>
          <w:color w:val="666667"/>
          <w:spacing w:val="34"/>
          <w:sz w:val="21"/>
        </w:rPr>
        <w:t> </w:t>
      </w:r>
      <w:r>
        <w:rPr>
          <w:color w:val="666667"/>
          <w:sz w:val="23"/>
        </w:rPr>
        <w:t>STANDARDS</w:t>
      </w:r>
      <w:r>
        <w:rPr>
          <w:color w:val="666667"/>
          <w:spacing w:val="41"/>
          <w:sz w:val="23"/>
        </w:rPr>
        <w:t> </w:t>
      </w:r>
      <w:r>
        <w:rPr>
          <w:rFonts w:ascii="Arial"/>
          <w:color w:val="4F4F50"/>
          <w:sz w:val="21"/>
        </w:rPr>
        <w:t>OF</w:t>
      </w:r>
      <w:r>
        <w:rPr>
          <w:rFonts w:ascii="Arial"/>
          <w:color w:val="4F4F50"/>
          <w:spacing w:val="15"/>
          <w:sz w:val="21"/>
        </w:rPr>
        <w:t> </w:t>
      </w:r>
      <w:r>
        <w:rPr>
          <w:color w:val="666667"/>
          <w:sz w:val="23"/>
        </w:rPr>
        <w:t>REVIEW</w:t>
      </w:r>
      <w:r>
        <w:rPr>
          <w:color w:val="666667"/>
          <w:spacing w:val="28"/>
          <w:sz w:val="23"/>
        </w:rPr>
        <w:t> </w:t>
      </w:r>
      <w:r>
        <w:rPr>
          <w:rFonts w:ascii="Arial"/>
          <w:color w:val="3F3D3D"/>
          <w:sz w:val="21"/>
        </w:rPr>
        <w:t>IN</w:t>
      </w:r>
      <w:r>
        <w:rPr>
          <w:rFonts w:ascii="Arial"/>
          <w:color w:val="3F3D3D"/>
          <w:spacing w:val="24"/>
          <w:sz w:val="21"/>
        </w:rPr>
        <w:t> </w:t>
      </w:r>
      <w:r>
        <w:rPr>
          <w:rFonts w:ascii="Arial"/>
          <w:color w:val="3F3D3D"/>
          <w:sz w:val="21"/>
        </w:rPr>
        <w:t>THE</w:t>
      </w:r>
      <w:r>
        <w:rPr>
          <w:rFonts w:ascii="Arial"/>
          <w:color w:val="3F3D3D"/>
          <w:spacing w:val="8"/>
          <w:sz w:val="21"/>
        </w:rPr>
        <w:t> </w:t>
      </w:r>
      <w:r>
        <w:rPr>
          <w:color w:val="4F4F50"/>
          <w:sz w:val="23"/>
        </w:rPr>
        <w:t>SAME</w:t>
      </w:r>
      <w:r>
        <w:rPr>
          <w:color w:val="4F4F50"/>
          <w:spacing w:val="26"/>
          <w:sz w:val="23"/>
        </w:rPr>
        <w:t> </w:t>
      </w:r>
      <w:r>
        <w:rPr>
          <w:color w:val="4F4F50"/>
          <w:sz w:val="23"/>
        </w:rPr>
        <w:t>CASE</w:t>
      </w:r>
    </w:p>
    <w:p>
      <w:pPr>
        <w:pStyle w:val="BodyText"/>
        <w:spacing w:line="235" w:lineRule="auto" w:before="144"/>
        <w:ind w:left="644" w:right="132" w:firstLine="418"/>
        <w:jc w:val="both"/>
      </w:pPr>
      <w:r>
        <w:rPr>
          <w:color w:val="3F3D3D"/>
          <w:w w:val="115"/>
        </w:rPr>
        <w:t>One</w:t>
      </w:r>
      <w:r>
        <w:rPr>
          <w:color w:val="3F3D3D"/>
          <w:spacing w:val="1"/>
          <w:w w:val="115"/>
        </w:rPr>
        <w:t> </w:t>
      </w:r>
      <w:r>
        <w:rPr>
          <w:color w:val="3F3D3D"/>
          <w:w w:val="115"/>
        </w:rPr>
        <w:t>way </w:t>
      </w:r>
      <w:r>
        <w:rPr>
          <w:color w:val="2D2A2B"/>
          <w:w w:val="115"/>
        </w:rPr>
        <w:t>to </w:t>
      </w:r>
      <w:r>
        <w:rPr>
          <w:color w:val="3F3D3D"/>
          <w:w w:val="115"/>
        </w:rPr>
        <w:t>gain a clearer </w:t>
      </w:r>
      <w:r>
        <w:rPr>
          <w:color w:val="2D2A2B"/>
          <w:w w:val="115"/>
        </w:rPr>
        <w:t>underst</w:t>
      </w:r>
      <w:r>
        <w:rPr>
          <w:color w:val="4F4F50"/>
          <w:w w:val="115"/>
        </w:rPr>
        <w:t>anding </w:t>
      </w:r>
      <w:r>
        <w:rPr>
          <w:color w:val="3F3D3D"/>
          <w:w w:val="115"/>
        </w:rPr>
        <w:t>of different standards of</w:t>
      </w:r>
      <w:r>
        <w:rPr>
          <w:color w:val="3F3D3D"/>
          <w:spacing w:val="1"/>
          <w:w w:val="115"/>
        </w:rPr>
        <w:t> </w:t>
      </w:r>
      <w:r>
        <w:rPr>
          <w:color w:val="3F3D3D"/>
          <w:w w:val="115"/>
        </w:rPr>
        <w:t>review </w:t>
      </w:r>
      <w:r>
        <w:rPr>
          <w:rFonts w:ascii="Arial"/>
          <w:i/>
          <w:color w:val="3F3D3D"/>
          <w:w w:val="115"/>
          <w:sz w:val="20"/>
        </w:rPr>
        <w:t>is </w:t>
      </w:r>
      <w:r>
        <w:rPr>
          <w:color w:val="3F3D3D"/>
          <w:w w:val="115"/>
        </w:rPr>
        <w:t>to identify </w:t>
      </w:r>
      <w:r>
        <w:rPr>
          <w:rFonts w:ascii="Arial"/>
          <w:i/>
          <w:color w:val="3F3D3D"/>
          <w:w w:val="115"/>
          <w:sz w:val="20"/>
        </w:rPr>
        <w:t>which </w:t>
      </w:r>
      <w:r>
        <w:rPr>
          <w:color w:val="3F3D3D"/>
          <w:w w:val="115"/>
        </w:rPr>
        <w:t>standards are used in which </w:t>
      </w:r>
      <w:r>
        <w:rPr>
          <w:color w:val="4F4F50"/>
          <w:w w:val="115"/>
        </w:rPr>
        <w:t>courts, and </w:t>
      </w:r>
      <w:r>
        <w:rPr>
          <w:color w:val="3F3D3D"/>
          <w:w w:val="115"/>
        </w:rPr>
        <w:t>how</w:t>
      </w:r>
      <w:r>
        <w:rPr>
          <w:color w:val="3F3D3D"/>
          <w:spacing w:val="1"/>
          <w:w w:val="115"/>
        </w:rPr>
        <w:t> </w:t>
      </w:r>
      <w:r>
        <w:rPr>
          <w:color w:val="3F3D3D"/>
          <w:w w:val="110"/>
        </w:rPr>
        <w:t>multiple</w:t>
      </w:r>
      <w:r>
        <w:rPr>
          <w:color w:val="3F3D3D"/>
          <w:spacing w:val="-11"/>
          <w:w w:val="110"/>
        </w:rPr>
        <w:t> </w:t>
      </w:r>
      <w:r>
        <w:rPr>
          <w:color w:val="3F3D3D"/>
          <w:w w:val="110"/>
        </w:rPr>
        <w:t>standards</w:t>
      </w:r>
      <w:r>
        <w:rPr>
          <w:color w:val="3F3D3D"/>
          <w:spacing w:val="-5"/>
          <w:w w:val="110"/>
        </w:rPr>
        <w:t> </w:t>
      </w:r>
      <w:r>
        <w:rPr>
          <w:color w:val="3F3D3D"/>
          <w:w w:val="110"/>
        </w:rPr>
        <w:t>may</w:t>
      </w:r>
      <w:r>
        <w:rPr>
          <w:color w:val="3F3D3D"/>
          <w:spacing w:val="-14"/>
          <w:w w:val="110"/>
        </w:rPr>
        <w:t> </w:t>
      </w:r>
      <w:r>
        <w:rPr>
          <w:color w:val="3F3D3D"/>
          <w:w w:val="110"/>
        </w:rPr>
        <w:t>occur</w:t>
      </w:r>
      <w:r>
        <w:rPr>
          <w:color w:val="3F3D3D"/>
          <w:spacing w:val="1"/>
          <w:w w:val="110"/>
        </w:rPr>
        <w:t> </w:t>
      </w:r>
      <w:r>
        <w:rPr>
          <w:rFonts w:ascii="Arial"/>
          <w:i/>
          <w:color w:val="3F3D3D"/>
          <w:w w:val="110"/>
          <w:sz w:val="21"/>
        </w:rPr>
        <w:t>in</w:t>
      </w:r>
      <w:r>
        <w:rPr>
          <w:rFonts w:ascii="Arial"/>
          <w:i/>
          <w:color w:val="3F3D3D"/>
          <w:spacing w:val="32"/>
          <w:w w:val="110"/>
          <w:sz w:val="21"/>
        </w:rPr>
        <w:t> </w:t>
      </w:r>
      <w:r>
        <w:rPr>
          <w:color w:val="3F3D3D"/>
          <w:w w:val="110"/>
        </w:rPr>
        <w:t>one</w:t>
      </w:r>
      <w:r>
        <w:rPr>
          <w:color w:val="3F3D3D"/>
          <w:spacing w:val="9"/>
          <w:w w:val="110"/>
        </w:rPr>
        <w:t> </w:t>
      </w:r>
      <w:r>
        <w:rPr>
          <w:color w:val="3F3D3D"/>
          <w:w w:val="110"/>
        </w:rPr>
        <w:t>case.</w:t>
      </w:r>
    </w:p>
    <w:p>
      <w:pPr>
        <w:pStyle w:val="BodyText"/>
        <w:spacing w:line="237" w:lineRule="auto" w:before="1"/>
        <w:ind w:left="590" w:right="133" w:firstLine="429"/>
        <w:jc w:val="both"/>
      </w:pPr>
      <w:r>
        <w:rPr>
          <w:color w:val="3F3D3D"/>
          <w:w w:val="110"/>
        </w:rPr>
        <w:t>Motion</w:t>
      </w:r>
      <w:r>
        <w:rPr>
          <w:color w:val="3F3D3D"/>
          <w:spacing w:val="-9"/>
          <w:w w:val="110"/>
        </w:rPr>
        <w:t> </w:t>
      </w:r>
      <w:r>
        <w:rPr>
          <w:color w:val="3F3D3D"/>
          <w:w w:val="110"/>
        </w:rPr>
        <w:t>standards</w:t>
      </w:r>
      <w:r>
        <w:rPr>
          <w:color w:val="3F3D3D"/>
          <w:spacing w:val="-14"/>
          <w:w w:val="110"/>
        </w:rPr>
        <w:t> </w:t>
      </w:r>
      <w:r>
        <w:rPr>
          <w:color w:val="3F3D3D"/>
          <w:w w:val="110"/>
        </w:rPr>
        <w:t>of</w:t>
      </w:r>
      <w:r>
        <w:rPr>
          <w:color w:val="3F3D3D"/>
          <w:spacing w:val="-8"/>
          <w:w w:val="110"/>
        </w:rPr>
        <w:t> </w:t>
      </w:r>
      <w:r>
        <w:rPr>
          <w:color w:val="3F3D3D"/>
          <w:w w:val="110"/>
        </w:rPr>
        <w:t>review</w:t>
      </w:r>
      <w:r>
        <w:rPr>
          <w:color w:val="3F3D3D"/>
          <w:spacing w:val="-31"/>
          <w:w w:val="110"/>
        </w:rPr>
        <w:t> </w:t>
      </w:r>
      <w:r>
        <w:rPr>
          <w:color w:val="3F3D3D"/>
          <w:w w:val="110"/>
        </w:rPr>
        <w:t>and</w:t>
      </w:r>
      <w:r>
        <w:rPr>
          <w:color w:val="3F3D3D"/>
          <w:spacing w:val="37"/>
          <w:w w:val="110"/>
        </w:rPr>
        <w:t> </w:t>
      </w:r>
      <w:r>
        <w:rPr>
          <w:color w:val="3F3D3D"/>
          <w:w w:val="110"/>
        </w:rPr>
        <w:t>government action</w:t>
      </w:r>
      <w:r>
        <w:rPr>
          <w:color w:val="3F3D3D"/>
          <w:spacing w:val="-25"/>
          <w:w w:val="110"/>
        </w:rPr>
        <w:t> </w:t>
      </w:r>
      <w:r>
        <w:rPr>
          <w:color w:val="3F3D3D"/>
          <w:w w:val="110"/>
        </w:rPr>
        <w:t>standards</w:t>
      </w:r>
      <w:r>
        <w:rPr>
          <w:color w:val="3F3D3D"/>
          <w:spacing w:val="-17"/>
          <w:w w:val="110"/>
        </w:rPr>
        <w:t> </w:t>
      </w:r>
      <w:r>
        <w:rPr>
          <w:color w:val="3F3D3D"/>
          <w:w w:val="110"/>
        </w:rPr>
        <w:t>of</w:t>
      </w:r>
      <w:r>
        <w:rPr>
          <w:color w:val="3F3D3D"/>
          <w:spacing w:val="2"/>
          <w:w w:val="110"/>
        </w:rPr>
        <w:t> </w:t>
      </w:r>
      <w:r>
        <w:rPr>
          <w:color w:val="3F3D3D"/>
          <w:w w:val="110"/>
        </w:rPr>
        <w:t>review</w:t>
      </w:r>
      <w:r>
        <w:rPr>
          <w:color w:val="3F3D3D"/>
          <w:spacing w:val="-61"/>
          <w:w w:val="110"/>
        </w:rPr>
        <w:t> </w:t>
      </w:r>
      <w:r>
        <w:rPr>
          <w:color w:val="3F3D3D"/>
          <w:w w:val="110"/>
        </w:rPr>
        <w:t>can be applied </w:t>
      </w:r>
      <w:r>
        <w:rPr>
          <w:rFonts w:ascii="Arial"/>
          <w:i/>
          <w:color w:val="4F4F50"/>
          <w:w w:val="110"/>
          <w:sz w:val="21"/>
        </w:rPr>
        <w:t>in </w:t>
      </w:r>
      <w:r>
        <w:rPr>
          <w:color w:val="3F3D3D"/>
          <w:w w:val="110"/>
        </w:rPr>
        <w:t>trial courts, courts of appeals, and courts of </w:t>
      </w:r>
      <w:r>
        <w:rPr>
          <w:color w:val="4F4F50"/>
          <w:w w:val="110"/>
        </w:rPr>
        <w:t>last </w:t>
      </w:r>
      <w:r>
        <w:rPr>
          <w:color w:val="3F3D3D"/>
          <w:w w:val="110"/>
        </w:rPr>
        <w:t>resort.</w:t>
      </w:r>
      <w:r>
        <w:rPr>
          <w:color w:val="3F3D3D"/>
          <w:spacing w:val="1"/>
          <w:w w:val="110"/>
        </w:rPr>
        <w:t> </w:t>
      </w:r>
      <w:r>
        <w:rPr>
          <w:color w:val="3F3D3D"/>
          <w:w w:val="110"/>
        </w:rPr>
        <w:t>Appellate standards of review can be applied only in courts </w:t>
      </w:r>
      <w:r>
        <w:rPr>
          <w:color w:val="4F4F50"/>
          <w:w w:val="110"/>
        </w:rPr>
        <w:t>of </w:t>
      </w:r>
      <w:r>
        <w:rPr>
          <w:color w:val="3F3D3D"/>
          <w:w w:val="110"/>
        </w:rPr>
        <w:t>appeals and</w:t>
      </w:r>
      <w:r>
        <w:rPr>
          <w:color w:val="3F3D3D"/>
          <w:spacing w:val="1"/>
          <w:w w:val="110"/>
        </w:rPr>
        <w:t> </w:t>
      </w:r>
      <w:r>
        <w:rPr>
          <w:color w:val="3F3D3D"/>
          <w:w w:val="115"/>
        </w:rPr>
        <w:t>courts of </w:t>
      </w:r>
      <w:r>
        <w:rPr>
          <w:color w:val="2D2A2B"/>
          <w:w w:val="115"/>
        </w:rPr>
        <w:t>last </w:t>
      </w:r>
      <w:r>
        <w:rPr>
          <w:color w:val="3F3D3D"/>
          <w:w w:val="115"/>
        </w:rPr>
        <w:t>resort. It is not unusual, in fact, for an appellate court to</w:t>
      </w:r>
      <w:r>
        <w:rPr>
          <w:color w:val="3F3D3D"/>
          <w:spacing w:val="1"/>
          <w:w w:val="115"/>
        </w:rPr>
        <w:t> </w:t>
      </w:r>
      <w:r>
        <w:rPr>
          <w:color w:val="3F3D3D"/>
          <w:w w:val="110"/>
        </w:rPr>
        <w:t>apply</w:t>
      </w:r>
      <w:r>
        <w:rPr>
          <w:color w:val="3F3D3D"/>
          <w:spacing w:val="-5"/>
          <w:w w:val="110"/>
        </w:rPr>
        <w:t> </w:t>
      </w:r>
      <w:r>
        <w:rPr>
          <w:color w:val="3F3D3D"/>
          <w:w w:val="110"/>
        </w:rPr>
        <w:t>all</w:t>
      </w:r>
      <w:r>
        <w:rPr>
          <w:color w:val="3F3D3D"/>
          <w:spacing w:val="1"/>
          <w:w w:val="110"/>
        </w:rPr>
        <w:t> </w:t>
      </w:r>
      <w:r>
        <w:rPr>
          <w:color w:val="3F3D3D"/>
          <w:w w:val="110"/>
        </w:rPr>
        <w:t>three</w:t>
      </w:r>
      <w:r>
        <w:rPr>
          <w:color w:val="3F3D3D"/>
          <w:spacing w:val="-4"/>
          <w:w w:val="110"/>
        </w:rPr>
        <w:t> </w:t>
      </w:r>
      <w:r>
        <w:rPr>
          <w:color w:val="3F3D3D"/>
          <w:w w:val="110"/>
        </w:rPr>
        <w:t>types</w:t>
      </w:r>
      <w:r>
        <w:rPr>
          <w:color w:val="3F3D3D"/>
          <w:spacing w:val="-10"/>
          <w:w w:val="110"/>
        </w:rPr>
        <w:t> </w:t>
      </w:r>
      <w:r>
        <w:rPr>
          <w:color w:val="3F3D3D"/>
          <w:w w:val="110"/>
        </w:rPr>
        <w:t>of</w:t>
      </w:r>
      <w:r>
        <w:rPr>
          <w:color w:val="3F3D3D"/>
          <w:spacing w:val="4"/>
          <w:w w:val="110"/>
        </w:rPr>
        <w:t> </w:t>
      </w:r>
      <w:r>
        <w:rPr>
          <w:color w:val="3F3D3D"/>
          <w:w w:val="110"/>
        </w:rPr>
        <w:t>standards</w:t>
      </w:r>
      <w:r>
        <w:rPr>
          <w:color w:val="3F3D3D"/>
          <w:spacing w:val="-10"/>
          <w:w w:val="110"/>
        </w:rPr>
        <w:t> </w:t>
      </w:r>
      <w:r>
        <w:rPr>
          <w:color w:val="3F3D3D"/>
          <w:w w:val="110"/>
        </w:rPr>
        <w:t>in</w:t>
      </w:r>
      <w:r>
        <w:rPr>
          <w:color w:val="3F3D3D"/>
          <w:spacing w:val="17"/>
          <w:w w:val="110"/>
        </w:rPr>
        <w:t> </w:t>
      </w:r>
      <w:r>
        <w:rPr>
          <w:color w:val="3F3D3D"/>
          <w:w w:val="110"/>
        </w:rPr>
        <w:t>the</w:t>
      </w:r>
      <w:r>
        <w:rPr>
          <w:color w:val="3F3D3D"/>
          <w:spacing w:val="11"/>
          <w:w w:val="110"/>
        </w:rPr>
        <w:t> </w:t>
      </w:r>
      <w:r>
        <w:rPr>
          <w:color w:val="3F3D3D"/>
          <w:w w:val="110"/>
        </w:rPr>
        <w:t>same</w:t>
      </w:r>
      <w:r>
        <w:rPr>
          <w:color w:val="3F3D3D"/>
          <w:spacing w:val="-12"/>
          <w:w w:val="110"/>
        </w:rPr>
        <w:t> </w:t>
      </w:r>
      <w:r>
        <w:rPr>
          <w:color w:val="3F3D3D"/>
          <w:w w:val="110"/>
        </w:rPr>
        <w:t>case.</w:t>
      </w:r>
      <w:r>
        <w:rPr>
          <w:color w:val="3F3D3D"/>
          <w:w w:val="110"/>
          <w:vertAlign w:val="superscript"/>
        </w:rPr>
        <w:t>51</w:t>
      </w:r>
    </w:p>
    <w:p>
      <w:pPr>
        <w:pStyle w:val="BodyText"/>
        <w:spacing w:line="235" w:lineRule="auto" w:before="3"/>
        <w:ind w:left="571" w:right="167" w:firstLine="399"/>
        <w:jc w:val="both"/>
      </w:pPr>
      <w:r>
        <w:rPr>
          <w:color w:val="3F3D3D"/>
          <w:w w:val="110"/>
        </w:rPr>
        <w:t>For </w:t>
      </w:r>
      <w:r>
        <w:rPr>
          <w:color w:val="4F4F50"/>
          <w:w w:val="110"/>
        </w:rPr>
        <w:t>example, </w:t>
      </w:r>
      <w:r>
        <w:rPr>
          <w:color w:val="3F3D3D"/>
          <w:w w:val="110"/>
        </w:rPr>
        <w:t>a trial court may grant a motion for summary  judgment</w:t>
      </w:r>
      <w:r>
        <w:rPr>
          <w:color w:val="3F3D3D"/>
          <w:spacing w:val="1"/>
          <w:w w:val="110"/>
        </w:rPr>
        <w:t> </w:t>
      </w:r>
      <w:r>
        <w:rPr>
          <w:color w:val="3F3D3D"/>
          <w:w w:val="110"/>
        </w:rPr>
        <w:t>in a </w:t>
      </w:r>
      <w:r>
        <w:rPr>
          <w:color w:val="4F4F50"/>
          <w:w w:val="110"/>
        </w:rPr>
        <w:t>case </w:t>
      </w:r>
      <w:r>
        <w:rPr>
          <w:color w:val="3F3D3D"/>
          <w:w w:val="110"/>
        </w:rPr>
        <w:t>in which the issue was the </w:t>
      </w:r>
      <w:r>
        <w:rPr>
          <w:color w:val="4F4F50"/>
          <w:w w:val="110"/>
        </w:rPr>
        <w:t>constitutionality </w:t>
      </w:r>
      <w:r>
        <w:rPr>
          <w:color w:val="3F3D3D"/>
          <w:w w:val="110"/>
        </w:rPr>
        <w:t>of a state action. </w:t>
      </w:r>
      <w:r>
        <w:rPr>
          <w:color w:val="4F4F50"/>
          <w:w w:val="110"/>
        </w:rPr>
        <w:t>T</w:t>
      </w:r>
      <w:r>
        <w:rPr>
          <w:color w:val="2D2A2B"/>
          <w:w w:val="110"/>
        </w:rPr>
        <w:t>hat</w:t>
      </w:r>
      <w:r>
        <w:rPr>
          <w:color w:val="2D2A2B"/>
          <w:spacing w:val="1"/>
          <w:w w:val="110"/>
        </w:rPr>
        <w:t> </w:t>
      </w:r>
      <w:r>
        <w:rPr>
          <w:color w:val="3F3D3D"/>
          <w:w w:val="110"/>
        </w:rPr>
        <w:t>trial court would have used a motion standard of review and a government</w:t>
      </w:r>
      <w:r>
        <w:rPr>
          <w:color w:val="3F3D3D"/>
          <w:spacing w:val="1"/>
          <w:w w:val="110"/>
        </w:rPr>
        <w:t> </w:t>
      </w:r>
      <w:r>
        <w:rPr>
          <w:color w:val="3F3D3D"/>
          <w:w w:val="115"/>
        </w:rPr>
        <w:t>action</w:t>
      </w:r>
      <w:r>
        <w:rPr>
          <w:color w:val="3F3D3D"/>
          <w:spacing w:val="5"/>
          <w:w w:val="115"/>
        </w:rPr>
        <w:t> </w:t>
      </w:r>
      <w:r>
        <w:rPr>
          <w:color w:val="3F3D3D"/>
          <w:w w:val="115"/>
        </w:rPr>
        <w:t>standard</w:t>
      </w:r>
      <w:r>
        <w:rPr>
          <w:color w:val="3F3D3D"/>
          <w:spacing w:val="8"/>
          <w:w w:val="115"/>
        </w:rPr>
        <w:t> </w:t>
      </w:r>
      <w:r>
        <w:rPr>
          <w:color w:val="3F3D3D"/>
          <w:w w:val="115"/>
        </w:rPr>
        <w:t>of</w:t>
      </w:r>
      <w:r>
        <w:rPr>
          <w:color w:val="3F3D3D"/>
          <w:spacing w:val="7"/>
          <w:w w:val="115"/>
        </w:rPr>
        <w:t> </w:t>
      </w:r>
      <w:r>
        <w:rPr>
          <w:color w:val="3F3D3D"/>
          <w:w w:val="115"/>
        </w:rPr>
        <w:t>review.</w:t>
      </w:r>
      <w:r>
        <w:rPr>
          <w:color w:val="3F3D3D"/>
          <w:spacing w:val="-9"/>
          <w:w w:val="115"/>
        </w:rPr>
        <w:t> </w:t>
      </w:r>
      <w:r>
        <w:rPr>
          <w:color w:val="3F3D3D"/>
          <w:w w:val="115"/>
        </w:rPr>
        <w:t>The</w:t>
      </w:r>
      <w:r>
        <w:rPr>
          <w:color w:val="3F3D3D"/>
          <w:spacing w:val="15"/>
          <w:w w:val="115"/>
        </w:rPr>
        <w:t> </w:t>
      </w:r>
      <w:r>
        <w:rPr>
          <w:color w:val="3F3D3D"/>
          <w:w w:val="115"/>
        </w:rPr>
        <w:t>appellate</w:t>
      </w:r>
      <w:r>
        <w:rPr>
          <w:color w:val="3F3D3D"/>
          <w:spacing w:val="-9"/>
          <w:w w:val="115"/>
        </w:rPr>
        <w:t> </w:t>
      </w:r>
      <w:r>
        <w:rPr>
          <w:color w:val="3F3D3D"/>
          <w:w w:val="115"/>
        </w:rPr>
        <w:t>court</w:t>
      </w:r>
      <w:r>
        <w:rPr>
          <w:color w:val="3F3D3D"/>
          <w:spacing w:val="7"/>
          <w:w w:val="115"/>
        </w:rPr>
        <w:t> </w:t>
      </w:r>
      <w:r>
        <w:rPr>
          <w:color w:val="3F3D3D"/>
          <w:w w:val="115"/>
        </w:rPr>
        <w:t>reviewing</w:t>
      </w:r>
      <w:r>
        <w:rPr>
          <w:color w:val="3F3D3D"/>
          <w:spacing w:val="-2"/>
          <w:w w:val="115"/>
        </w:rPr>
        <w:t> </w:t>
      </w:r>
      <w:r>
        <w:rPr>
          <w:color w:val="3F3D3D"/>
          <w:w w:val="115"/>
        </w:rPr>
        <w:t>that</w:t>
      </w:r>
      <w:r>
        <w:rPr>
          <w:color w:val="3F3D3D"/>
          <w:spacing w:val="1"/>
          <w:w w:val="115"/>
        </w:rPr>
        <w:t> </w:t>
      </w:r>
      <w:r>
        <w:rPr>
          <w:color w:val="3F3D3D"/>
          <w:w w:val="115"/>
        </w:rPr>
        <w:t>case</w:t>
      </w:r>
      <w:r>
        <w:rPr>
          <w:color w:val="3F3D3D"/>
          <w:spacing w:val="8"/>
          <w:w w:val="115"/>
        </w:rPr>
        <w:t> </w:t>
      </w:r>
      <w:r>
        <w:rPr>
          <w:color w:val="3F3D3D"/>
          <w:w w:val="115"/>
        </w:rPr>
        <w:t>must</w:t>
      </w:r>
    </w:p>
    <w:p>
      <w:pPr>
        <w:pStyle w:val="BodyText"/>
        <w:rPr>
          <w:sz w:val="26"/>
        </w:rPr>
      </w:pPr>
    </w:p>
    <w:p>
      <w:pPr>
        <w:spacing w:line="182" w:lineRule="auto" w:before="212"/>
        <w:ind w:left="536" w:right="177" w:firstLine="398"/>
        <w:jc w:val="both"/>
        <w:rPr>
          <w:sz w:val="18"/>
        </w:rPr>
      </w:pPr>
      <w:r>
        <w:rPr>
          <w:i/>
          <w:color w:val="4F4F50"/>
          <w:spacing w:val="-1"/>
          <w:sz w:val="11"/>
        </w:rPr>
        <w:t>S1J</w:t>
      </w:r>
      <w:r>
        <w:rPr>
          <w:i/>
          <w:color w:val="4F4F50"/>
          <w:spacing w:val="-3"/>
          <w:sz w:val="11"/>
        </w:rPr>
        <w:t> </w:t>
      </w:r>
      <w:r>
        <w:rPr>
          <w:i/>
          <w:color w:val="3F3D3D"/>
          <w:spacing w:val="-1"/>
          <w:w w:val="105"/>
          <w:sz w:val="17"/>
        </w:rPr>
        <w:t>E.g.,</w:t>
      </w:r>
      <w:r>
        <w:rPr>
          <w:i/>
          <w:color w:val="3F3D3D"/>
          <w:spacing w:val="-8"/>
          <w:w w:val="105"/>
          <w:sz w:val="17"/>
        </w:rPr>
        <w:t> </w:t>
      </w:r>
      <w:r>
        <w:rPr>
          <w:i/>
          <w:color w:val="3F3D3D"/>
          <w:spacing w:val="-1"/>
          <w:w w:val="105"/>
          <w:sz w:val="17"/>
        </w:rPr>
        <w:t>Dmg_ovich</w:t>
      </w:r>
      <w:r>
        <w:rPr>
          <w:i/>
          <w:color w:val="3F3D3D"/>
          <w:spacing w:val="7"/>
          <w:w w:val="105"/>
          <w:sz w:val="17"/>
        </w:rPr>
        <w:t> </w:t>
      </w:r>
      <w:r>
        <w:rPr>
          <w:i/>
          <w:color w:val="3F3D3D"/>
          <w:spacing w:val="-1"/>
          <w:w w:val="105"/>
          <w:sz w:val="17"/>
        </w:rPr>
        <w:t>v.</w:t>
      </w:r>
      <w:r>
        <w:rPr>
          <w:i/>
          <w:color w:val="3F3D3D"/>
          <w:spacing w:val="3"/>
          <w:w w:val="105"/>
          <w:sz w:val="17"/>
        </w:rPr>
        <w:t> </w:t>
      </w:r>
      <w:r>
        <w:rPr>
          <w:i/>
          <w:color w:val="4F4F50"/>
          <w:spacing w:val="-1"/>
          <w:w w:val="105"/>
          <w:sz w:val="17"/>
        </w:rPr>
        <w:t>U.S.</w:t>
      </w:r>
      <w:r>
        <w:rPr>
          <w:i/>
          <w:color w:val="4F4F50"/>
          <w:spacing w:val="-8"/>
          <w:w w:val="105"/>
          <w:sz w:val="17"/>
        </w:rPr>
        <w:t> </w:t>
      </w:r>
      <w:r>
        <w:rPr>
          <w:i/>
          <w:color w:val="4F4F50"/>
          <w:spacing w:val="-1"/>
          <w:w w:val="105"/>
          <w:sz w:val="17"/>
        </w:rPr>
        <w:t>Dept.</w:t>
      </w:r>
      <w:r>
        <w:rPr>
          <w:i/>
          <w:color w:val="4F4F50"/>
          <w:spacing w:val="-27"/>
          <w:w w:val="105"/>
          <w:sz w:val="17"/>
        </w:rPr>
        <w:t> </w:t>
      </w:r>
      <w:r>
        <w:rPr>
          <w:i/>
          <w:color w:val="3F3D3D"/>
          <w:spacing w:val="-1"/>
          <w:w w:val="105"/>
          <w:sz w:val="17"/>
        </w:rPr>
        <w:t>of</w:t>
      </w:r>
      <w:r>
        <w:rPr>
          <w:i/>
          <w:color w:val="3F3D3D"/>
          <w:spacing w:val="3"/>
          <w:w w:val="105"/>
          <w:sz w:val="17"/>
        </w:rPr>
        <w:t> </w:t>
      </w:r>
      <w:r>
        <w:rPr>
          <w:i/>
          <w:color w:val="3F3D3D"/>
          <w:spacing w:val="-1"/>
          <w:w w:val="105"/>
          <w:sz w:val="17"/>
        </w:rPr>
        <w:t>Treasury,</w:t>
      </w:r>
      <w:r>
        <w:rPr>
          <w:i/>
          <w:color w:val="3F3D3D"/>
          <w:spacing w:val="-16"/>
          <w:w w:val="105"/>
          <w:sz w:val="17"/>
        </w:rPr>
        <w:t> </w:t>
      </w:r>
      <w:r>
        <w:rPr>
          <w:color w:val="3F3D3D"/>
          <w:spacing w:val="-1"/>
          <w:w w:val="105"/>
          <w:sz w:val="18"/>
        </w:rPr>
        <w:t>872</w:t>
      </w:r>
      <w:r>
        <w:rPr>
          <w:color w:val="3F3D3D"/>
          <w:spacing w:val="15"/>
          <w:w w:val="105"/>
          <w:sz w:val="18"/>
        </w:rPr>
        <w:t> </w:t>
      </w:r>
      <w:r>
        <w:rPr>
          <w:rFonts w:ascii="Arial" w:hAnsi="Arial"/>
          <w:color w:val="3F3D3D"/>
          <w:spacing w:val="-1"/>
          <w:w w:val="105"/>
          <w:sz w:val="16"/>
        </w:rPr>
        <w:t>F.</w:t>
      </w:r>
      <w:r>
        <w:rPr>
          <w:rFonts w:ascii="Arial" w:hAnsi="Arial"/>
          <w:color w:val="3F3D3D"/>
          <w:spacing w:val="-21"/>
          <w:w w:val="105"/>
          <w:sz w:val="16"/>
        </w:rPr>
        <w:t> </w:t>
      </w:r>
      <w:r>
        <w:rPr>
          <w:color w:val="4F4F50"/>
          <w:spacing w:val="-1"/>
          <w:w w:val="105"/>
          <w:sz w:val="18"/>
        </w:rPr>
        <w:t>Supp.</w:t>
      </w:r>
      <w:r>
        <w:rPr>
          <w:color w:val="4F4F50"/>
          <w:spacing w:val="-12"/>
          <w:w w:val="105"/>
          <w:sz w:val="18"/>
        </w:rPr>
        <w:t> </w:t>
      </w:r>
      <w:r>
        <w:rPr>
          <w:color w:val="3F3D3D"/>
          <w:w w:val="105"/>
          <w:sz w:val="18"/>
        </w:rPr>
        <w:t>2d</w:t>
      </w:r>
      <w:r>
        <w:rPr>
          <w:color w:val="3F3D3D"/>
          <w:spacing w:val="-1"/>
          <w:w w:val="105"/>
          <w:sz w:val="18"/>
        </w:rPr>
        <w:t> </w:t>
      </w:r>
      <w:r>
        <w:rPr>
          <w:color w:val="4F4F50"/>
          <w:w w:val="105"/>
          <w:sz w:val="18"/>
        </w:rPr>
        <w:t>944, </w:t>
      </w:r>
      <w:r>
        <w:rPr>
          <w:color w:val="3F3D3D"/>
          <w:w w:val="105"/>
          <w:sz w:val="18"/>
        </w:rPr>
        <w:t>950</w:t>
      </w:r>
      <w:r>
        <w:rPr>
          <w:color w:val="3F3D3D"/>
          <w:spacing w:val="1"/>
          <w:w w:val="105"/>
          <w:sz w:val="18"/>
        </w:rPr>
        <w:t> </w:t>
      </w:r>
      <w:r>
        <w:rPr>
          <w:color w:val="4F4F50"/>
          <w:w w:val="105"/>
          <w:sz w:val="18"/>
        </w:rPr>
        <w:t>(N.D.</w:t>
      </w:r>
      <w:r>
        <w:rPr>
          <w:color w:val="4F4F50"/>
          <w:spacing w:val="-2"/>
          <w:w w:val="105"/>
          <w:sz w:val="18"/>
        </w:rPr>
        <w:t> </w:t>
      </w:r>
      <w:r>
        <w:rPr>
          <w:color w:val="4F4F50"/>
          <w:w w:val="105"/>
          <w:sz w:val="18"/>
        </w:rPr>
        <w:t>Cal.</w:t>
      </w:r>
      <w:r>
        <w:rPr>
          <w:color w:val="4F4F50"/>
          <w:spacing w:val="-13"/>
          <w:w w:val="105"/>
          <w:sz w:val="18"/>
        </w:rPr>
        <w:t> </w:t>
      </w:r>
      <w:r>
        <w:rPr>
          <w:color w:val="3F3D3D"/>
          <w:w w:val="105"/>
          <w:sz w:val="18"/>
        </w:rPr>
        <w:t>2012)</w:t>
      </w:r>
      <w:r>
        <w:rPr>
          <w:color w:val="3F3D3D"/>
          <w:spacing w:val="4"/>
          <w:w w:val="105"/>
          <w:sz w:val="18"/>
        </w:rPr>
        <w:t> </w:t>
      </w:r>
      <w:r>
        <w:rPr>
          <w:color w:val="3F3D3D"/>
          <w:w w:val="105"/>
          <w:sz w:val="18"/>
        </w:rPr>
        <w:t>(referring</w:t>
      </w:r>
      <w:r>
        <w:rPr>
          <w:color w:val="3F3D3D"/>
          <w:spacing w:val="1"/>
          <w:w w:val="105"/>
          <w:sz w:val="18"/>
        </w:rPr>
        <w:t> </w:t>
      </w:r>
      <w:r>
        <w:rPr>
          <w:color w:val="3F3D3D"/>
          <w:w w:val="105"/>
          <w:sz w:val="18"/>
        </w:rPr>
        <w:t>to</w:t>
      </w:r>
      <w:r>
        <w:rPr>
          <w:color w:val="3F3D3D"/>
          <w:spacing w:val="1"/>
          <w:w w:val="105"/>
          <w:sz w:val="18"/>
        </w:rPr>
        <w:t> </w:t>
      </w:r>
      <w:r>
        <w:rPr>
          <w:color w:val="3F3D3D"/>
          <w:w w:val="105"/>
          <w:sz w:val="18"/>
        </w:rPr>
        <w:t>"rational basis standar? </w:t>
      </w:r>
      <w:r>
        <w:rPr>
          <w:color w:val="4F4F50"/>
          <w:w w:val="105"/>
          <w:sz w:val="18"/>
        </w:rPr>
        <w:t>of </w:t>
      </w:r>
      <w:r>
        <w:rPr>
          <w:color w:val="3F3D3D"/>
          <w:w w:val="105"/>
          <w:sz w:val="18"/>
        </w:rPr>
        <w:t>revi</w:t>
      </w:r>
      <w:r>
        <w:rPr>
          <w:color w:val="666667"/>
          <w:w w:val="105"/>
          <w:sz w:val="18"/>
        </w:rPr>
        <w:t>e</w:t>
      </w:r>
      <w:r>
        <w:rPr>
          <w:color w:val="3F3D3D"/>
          <w:w w:val="105"/>
          <w:sz w:val="18"/>
        </w:rPr>
        <w:t>w"); </w:t>
      </w:r>
      <w:r>
        <w:rPr>
          <w:i/>
          <w:color w:val="4F4F50"/>
          <w:w w:val="105"/>
          <w:sz w:val="17"/>
        </w:rPr>
        <w:t>DynaLantic Corp. </w:t>
      </w:r>
      <w:r>
        <w:rPr>
          <w:i/>
          <w:color w:val="3F3D3D"/>
          <w:w w:val="105"/>
          <w:sz w:val="17"/>
        </w:rPr>
        <w:t>v. U.S. </w:t>
      </w:r>
      <w:r>
        <w:rPr>
          <w:i/>
          <w:color w:val="4F4F50"/>
          <w:w w:val="105"/>
          <w:sz w:val="17"/>
        </w:rPr>
        <w:t>Dept. </w:t>
      </w:r>
      <w:r>
        <w:rPr>
          <w:i/>
          <w:color w:val="3F3D3D"/>
          <w:w w:val="105"/>
          <w:sz w:val="17"/>
        </w:rPr>
        <w:t>of Def., </w:t>
      </w:r>
      <w:r>
        <w:rPr>
          <w:color w:val="3F3D3D"/>
          <w:w w:val="105"/>
          <w:position w:val="-5"/>
          <w:sz w:val="18"/>
        </w:rPr>
        <w:t>885 </w:t>
      </w:r>
      <w:r>
        <w:rPr>
          <w:rFonts w:ascii="Arial" w:hAnsi="Arial"/>
          <w:color w:val="3F3D3D"/>
          <w:w w:val="105"/>
          <w:sz w:val="24"/>
        </w:rPr>
        <w:t>r.</w:t>
      </w:r>
      <w:r>
        <w:rPr>
          <w:color w:val="3F3D3D"/>
          <w:w w:val="105"/>
          <w:sz w:val="18"/>
        </w:rPr>
        <w:t>Supp. 2d 237,</w:t>
      </w:r>
      <w:r>
        <w:rPr>
          <w:color w:val="3F3D3D"/>
          <w:spacing w:val="1"/>
          <w:w w:val="105"/>
          <w:sz w:val="18"/>
        </w:rPr>
        <w:t> </w:t>
      </w:r>
      <w:r>
        <w:rPr>
          <w:color w:val="4F4F50"/>
          <w:w w:val="105"/>
          <w:sz w:val="18"/>
        </w:rPr>
        <w:t>272</w:t>
      </w:r>
      <w:r>
        <w:rPr>
          <w:color w:val="4F4F50"/>
          <w:spacing w:val="21"/>
          <w:w w:val="105"/>
          <w:sz w:val="18"/>
        </w:rPr>
        <w:t> </w:t>
      </w:r>
      <w:r>
        <w:rPr>
          <w:color w:val="3F3D3D"/>
          <w:w w:val="105"/>
          <w:sz w:val="18"/>
        </w:rPr>
        <w:t>\</w:t>
      </w:r>
      <w:r>
        <w:rPr>
          <w:color w:val="3F3D3D"/>
          <w:spacing w:val="12"/>
          <w:w w:val="105"/>
          <w:sz w:val="18"/>
        </w:rPr>
        <w:t> </w:t>
      </w:r>
      <w:r>
        <w:rPr>
          <w:color w:val="3F3D3D"/>
          <w:w w:val="105"/>
          <w:sz w:val="18"/>
        </w:rPr>
        <w:t>·D.C</w:t>
      </w:r>
      <w:r>
        <w:rPr>
          <w:color w:val="666667"/>
          <w:w w:val="105"/>
          <w:sz w:val="18"/>
        </w:rPr>
        <w:t>.</w:t>
      </w:r>
      <w:r>
        <w:rPr>
          <w:color w:val="666667"/>
          <w:spacing w:val="-2"/>
          <w:w w:val="105"/>
          <w:sz w:val="18"/>
        </w:rPr>
        <w:t> </w:t>
      </w:r>
      <w:r>
        <w:rPr>
          <w:rFonts w:ascii="Arial" w:hAnsi="Arial"/>
          <w:i/>
          <w:color w:val="3F3D3D"/>
          <w:w w:val="105"/>
          <w:sz w:val="16"/>
        </w:rPr>
        <w:t>2?12)</w:t>
      </w:r>
      <w:r>
        <w:rPr>
          <w:rFonts w:ascii="Arial" w:hAnsi="Arial"/>
          <w:i/>
          <w:color w:val="3F3D3D"/>
          <w:spacing w:val="-9"/>
          <w:w w:val="105"/>
          <w:sz w:val="16"/>
        </w:rPr>
        <w:t> </w:t>
      </w:r>
      <w:r>
        <w:rPr>
          <w:color w:val="4F4F50"/>
          <w:w w:val="105"/>
          <w:sz w:val="18"/>
        </w:rPr>
        <w:t>(referring</w:t>
      </w:r>
      <w:r>
        <w:rPr>
          <w:color w:val="4F4F50"/>
          <w:spacing w:val="-1"/>
          <w:w w:val="105"/>
          <w:sz w:val="18"/>
        </w:rPr>
        <w:t> </w:t>
      </w:r>
      <w:r>
        <w:rPr>
          <w:color w:val="4F4F50"/>
          <w:w w:val="105"/>
          <w:sz w:val="18"/>
        </w:rPr>
        <w:t>to</w:t>
      </w:r>
      <w:r>
        <w:rPr>
          <w:color w:val="4F4F50"/>
          <w:spacing w:val="10"/>
          <w:w w:val="105"/>
          <w:sz w:val="18"/>
        </w:rPr>
        <w:t> </w:t>
      </w:r>
      <w:r>
        <w:rPr>
          <w:color w:val="4F4F50"/>
          <w:w w:val="105"/>
          <w:sz w:val="18"/>
        </w:rPr>
        <w:t>"strict</w:t>
      </w:r>
      <w:r>
        <w:rPr>
          <w:color w:val="4F4F50"/>
          <w:spacing w:val="2"/>
          <w:w w:val="105"/>
          <w:sz w:val="18"/>
        </w:rPr>
        <w:t> </w:t>
      </w:r>
      <w:r>
        <w:rPr>
          <w:color w:val="4F4F50"/>
          <w:w w:val="105"/>
          <w:sz w:val="18"/>
        </w:rPr>
        <w:t>scrutiny</w:t>
      </w:r>
      <w:r>
        <w:rPr>
          <w:color w:val="4F4F50"/>
          <w:spacing w:val="-19"/>
          <w:w w:val="105"/>
          <w:sz w:val="18"/>
        </w:rPr>
        <w:t> </w:t>
      </w:r>
      <w:r>
        <w:rPr>
          <w:color w:val="4F4F50"/>
          <w:w w:val="105"/>
          <w:sz w:val="18"/>
        </w:rPr>
        <w:t>standard of</w:t>
      </w:r>
      <w:r>
        <w:rPr>
          <w:color w:val="4F4F50"/>
          <w:spacing w:val="4"/>
          <w:w w:val="105"/>
          <w:sz w:val="18"/>
        </w:rPr>
        <w:t> </w:t>
      </w:r>
      <w:r>
        <w:rPr>
          <w:color w:val="3F3D3D"/>
          <w:w w:val="105"/>
          <w:sz w:val="18"/>
        </w:rPr>
        <w:t>review").</w:t>
      </w:r>
    </w:p>
    <w:p>
      <w:pPr>
        <w:spacing w:line="202" w:lineRule="exact" w:before="0"/>
        <w:ind w:left="520" w:right="180" w:firstLine="535"/>
        <w:jc w:val="both"/>
        <w:rPr>
          <w:sz w:val="18"/>
        </w:rPr>
      </w:pPr>
      <w:r>
        <w:rPr>
          <w:i/>
          <w:color w:val="4F4F50"/>
          <w:w w:val="110"/>
          <w:sz w:val="17"/>
        </w:rPr>
        <w:t>E.g.,</w:t>
      </w:r>
      <w:r>
        <w:rPr>
          <w:i/>
          <w:color w:val="4F4F50"/>
          <w:spacing w:val="-23"/>
          <w:w w:val="110"/>
          <w:sz w:val="17"/>
        </w:rPr>
        <w:t> </w:t>
      </w:r>
      <w:r>
        <w:rPr>
          <w:i/>
          <w:color w:val="3F3D3D"/>
          <w:w w:val="110"/>
          <w:sz w:val="17"/>
        </w:rPr>
        <w:t>Wmdsor</w:t>
      </w:r>
      <w:r>
        <w:rPr>
          <w:i/>
          <w:color w:val="3F3D3D"/>
          <w:spacing w:val="-3"/>
          <w:w w:val="110"/>
          <w:sz w:val="17"/>
        </w:rPr>
        <w:t> </w:t>
      </w:r>
      <w:r>
        <w:rPr>
          <w:i/>
          <w:color w:val="3F3D3D"/>
          <w:w w:val="110"/>
          <w:sz w:val="17"/>
        </w:rPr>
        <w:t>v.</w:t>
      </w:r>
      <w:r>
        <w:rPr>
          <w:i/>
          <w:color w:val="3F3D3D"/>
          <w:spacing w:val="-18"/>
          <w:w w:val="110"/>
          <w:sz w:val="17"/>
        </w:rPr>
        <w:t> </w:t>
      </w:r>
      <w:r>
        <w:rPr>
          <w:i/>
          <w:color w:val="4F4F50"/>
          <w:w w:val="110"/>
          <w:sz w:val="17"/>
        </w:rPr>
        <w:t>Umted</w:t>
      </w:r>
      <w:r>
        <w:rPr>
          <w:i/>
          <w:color w:val="4F4F50"/>
          <w:spacing w:val="32"/>
          <w:w w:val="110"/>
          <w:sz w:val="17"/>
        </w:rPr>
        <w:t> </w:t>
      </w:r>
      <w:r>
        <w:rPr>
          <w:i/>
          <w:color w:val="3F3D3D"/>
          <w:w w:val="110"/>
          <w:sz w:val="17"/>
        </w:rPr>
        <w:t>l</w:t>
      </w:r>
      <w:r>
        <w:rPr>
          <w:i/>
          <w:color w:val="3F3D3D"/>
          <w:spacing w:val="17"/>
          <w:w w:val="110"/>
          <w:sz w:val="17"/>
        </w:rPr>
        <w:t> </w:t>
      </w:r>
      <w:r>
        <w:rPr>
          <w:i/>
          <w:color w:val="3F3D3D"/>
          <w:w w:val="110"/>
          <w:sz w:val="17"/>
        </w:rPr>
        <w:t>tes,</w:t>
      </w:r>
      <w:r>
        <w:rPr>
          <w:i/>
          <w:color w:val="3F3D3D"/>
          <w:spacing w:val="-23"/>
          <w:w w:val="110"/>
          <w:sz w:val="17"/>
        </w:rPr>
        <w:t> </w:t>
      </w:r>
      <w:r>
        <w:rPr>
          <w:color w:val="4F4F50"/>
          <w:w w:val="110"/>
          <w:sz w:val="18"/>
        </w:rPr>
        <w:t>699F.3d</w:t>
      </w:r>
      <w:r>
        <w:rPr>
          <w:color w:val="4F4F50"/>
          <w:spacing w:val="12"/>
          <w:w w:val="110"/>
          <w:sz w:val="18"/>
        </w:rPr>
        <w:t> </w:t>
      </w:r>
      <w:r>
        <w:rPr>
          <w:color w:val="4F4F50"/>
          <w:w w:val="110"/>
          <w:sz w:val="18"/>
        </w:rPr>
        <w:t>169,</w:t>
      </w:r>
      <w:r>
        <w:rPr>
          <w:color w:val="4F4F50"/>
          <w:spacing w:val="-4"/>
          <w:w w:val="110"/>
          <w:sz w:val="18"/>
        </w:rPr>
        <w:t> </w:t>
      </w:r>
      <w:r>
        <w:rPr>
          <w:color w:val="3F3D3D"/>
          <w:w w:val="110"/>
          <w:sz w:val="18"/>
        </w:rPr>
        <w:t>176,</w:t>
      </w:r>
      <w:r>
        <w:rPr>
          <w:color w:val="3F3D3D"/>
          <w:spacing w:val="-2"/>
          <w:w w:val="110"/>
          <w:sz w:val="18"/>
        </w:rPr>
        <w:t> </w:t>
      </w:r>
      <w:r>
        <w:rPr>
          <w:color w:val="4F4F50"/>
          <w:w w:val="110"/>
          <w:sz w:val="18"/>
        </w:rPr>
        <w:t>181</w:t>
      </w:r>
      <w:r>
        <w:rPr>
          <w:color w:val="4F4F50"/>
          <w:spacing w:val="-18"/>
          <w:w w:val="110"/>
          <w:sz w:val="18"/>
        </w:rPr>
        <w:t> </w:t>
      </w:r>
      <w:r>
        <w:rPr>
          <w:color w:val="3F3D3D"/>
          <w:w w:val="110"/>
          <w:sz w:val="18"/>
        </w:rPr>
        <w:t>(2d</w:t>
      </w:r>
      <w:r>
        <w:rPr>
          <w:color w:val="3F3D3D"/>
          <w:spacing w:val="-5"/>
          <w:w w:val="110"/>
          <w:sz w:val="18"/>
        </w:rPr>
        <w:t> </w:t>
      </w:r>
      <w:r>
        <w:rPr>
          <w:color w:val="4F4F50"/>
          <w:w w:val="110"/>
          <w:sz w:val="18"/>
        </w:rPr>
        <w:t>Cir.</w:t>
      </w:r>
      <w:r>
        <w:rPr>
          <w:color w:val="4F4F50"/>
          <w:spacing w:val="-10"/>
          <w:w w:val="110"/>
          <w:sz w:val="18"/>
        </w:rPr>
        <w:t> </w:t>
      </w:r>
      <w:r>
        <w:rPr>
          <w:color w:val="3F3D3D"/>
          <w:w w:val="110"/>
          <w:sz w:val="18"/>
        </w:rPr>
        <w:t>2012)</w:t>
      </w:r>
      <w:r>
        <w:rPr>
          <w:color w:val="3F3D3D"/>
          <w:spacing w:val="-1"/>
          <w:w w:val="110"/>
          <w:sz w:val="18"/>
        </w:rPr>
        <w:t> </w:t>
      </w:r>
      <w:r>
        <w:rPr>
          <w:color w:val="3F3D3D"/>
          <w:w w:val="110"/>
          <w:sz w:val="18"/>
        </w:rPr>
        <w:t>(applying</w:t>
      </w:r>
      <w:r>
        <w:rPr>
          <w:color w:val="3F3D3D"/>
          <w:spacing w:val="-12"/>
          <w:w w:val="110"/>
          <w:sz w:val="18"/>
        </w:rPr>
        <w:t> </w:t>
      </w:r>
      <w:r>
        <w:rPr>
          <w:color w:val="3F3D3D"/>
          <w:w w:val="110"/>
          <w:sz w:val="18"/>
        </w:rPr>
        <w:t>de</w:t>
      </w:r>
      <w:r>
        <w:rPr>
          <w:color w:val="3F3D3D"/>
          <w:spacing w:val="14"/>
          <w:w w:val="110"/>
          <w:sz w:val="18"/>
        </w:rPr>
        <w:t> </w:t>
      </w:r>
      <w:r>
        <w:rPr>
          <w:color w:val="3F3D3D"/>
          <w:w w:val="110"/>
          <w:sz w:val="18"/>
        </w:rPr>
        <w:t>novo</w:t>
      </w:r>
      <w:r>
        <w:rPr>
          <w:color w:val="3F3D3D"/>
          <w:spacing w:val="-17"/>
          <w:w w:val="110"/>
          <w:sz w:val="18"/>
        </w:rPr>
        <w:t> </w:t>
      </w:r>
      <w:r>
        <w:rPr>
          <w:color w:val="4F4F50"/>
          <w:w w:val="110"/>
          <w:position w:val="3"/>
          <w:sz w:val="18"/>
        </w:rPr>
        <w:t>st</w:t>
      </w:r>
      <w:r>
        <w:rPr>
          <w:color w:val="4F4F50"/>
          <w:w w:val="110"/>
          <w:sz w:val="18"/>
        </w:rPr>
        <w:t>an·</w:t>
      </w:r>
      <w:r>
        <w:rPr>
          <w:color w:val="4F4F50"/>
          <w:spacing w:val="-48"/>
          <w:w w:val="110"/>
          <w:sz w:val="18"/>
        </w:rPr>
        <w:t> </w:t>
      </w:r>
      <w:r>
        <w:rPr>
          <w:color w:val="3F3D3D"/>
          <w:w w:val="105"/>
          <w:sz w:val="18"/>
        </w:rPr>
        <w:t>dard of review to review a </w:t>
      </w:r>
      <w:r>
        <w:rPr>
          <w:color w:val="4F4F50"/>
          <w:w w:val="105"/>
          <w:sz w:val="18"/>
        </w:rPr>
        <w:t>dec1SJon granting </w:t>
      </w:r>
      <w:r>
        <w:rPr>
          <w:color w:val="3F3D3D"/>
          <w:w w:val="105"/>
          <w:sz w:val="18"/>
        </w:rPr>
        <w:t>summary judgment to plaintiff and deciding to </w:t>
      </w:r>
      <w:r>
        <w:rPr>
          <w:color w:val="4F4F50"/>
          <w:w w:val="105"/>
          <w:sz w:val="18"/>
        </w:rPr>
        <w:t>apply</w:t>
      </w:r>
      <w:r>
        <w:rPr>
          <w:color w:val="4F4F50"/>
          <w:spacing w:val="1"/>
          <w:w w:val="105"/>
          <w:sz w:val="18"/>
        </w:rPr>
        <w:t> </w:t>
      </w:r>
      <w:r>
        <w:rPr>
          <w:color w:val="3F3D3D"/>
          <w:w w:val="115"/>
          <w:sz w:val="18"/>
        </w:rPr>
        <w:t>height</w:t>
      </w:r>
      <w:r>
        <w:rPr>
          <w:color w:val="3F3D3D"/>
          <w:spacing w:val="-5"/>
          <w:w w:val="115"/>
          <w:sz w:val="18"/>
        </w:rPr>
        <w:t> </w:t>
      </w:r>
      <w:r>
        <w:rPr>
          <w:color w:val="3F3D3D"/>
          <w:w w:val="115"/>
          <w:sz w:val="18"/>
        </w:rPr>
        <w:t>ned</w:t>
      </w:r>
      <w:r>
        <w:rPr>
          <w:color w:val="3F3D3D"/>
          <w:spacing w:val="11"/>
          <w:w w:val="115"/>
          <w:sz w:val="18"/>
        </w:rPr>
        <w:t> </w:t>
      </w:r>
      <w:r>
        <w:rPr>
          <w:color w:val="4F4F50"/>
          <w:w w:val="115"/>
          <w:sz w:val="18"/>
        </w:rPr>
        <w:t>scrutl!1</w:t>
      </w:r>
      <w:r>
        <w:rPr>
          <w:color w:val="4F4F50"/>
          <w:spacing w:val="13"/>
          <w:w w:val="115"/>
          <w:sz w:val="18"/>
        </w:rPr>
        <w:t> </w:t>
      </w:r>
      <w:r>
        <w:rPr>
          <w:color w:val="3F3D3D"/>
          <w:w w:val="115"/>
          <w:sz w:val="18"/>
        </w:rPr>
        <w:t>to</w:t>
      </w:r>
      <w:r>
        <w:rPr>
          <w:color w:val="3F3D3D"/>
          <w:spacing w:val="9"/>
          <w:w w:val="115"/>
          <w:sz w:val="18"/>
        </w:rPr>
        <w:t> </w:t>
      </w:r>
      <w:r>
        <w:rPr>
          <w:color w:val="3F3D3D"/>
          <w:w w:val="115"/>
          <w:sz w:val="18"/>
        </w:rPr>
        <w:t>determine</w:t>
      </w:r>
      <w:r>
        <w:rPr>
          <w:color w:val="3F3D3D"/>
          <w:spacing w:val="12"/>
          <w:w w:val="115"/>
          <w:sz w:val="18"/>
        </w:rPr>
        <w:t> </w:t>
      </w:r>
      <w:r>
        <w:rPr>
          <w:color w:val="3F3D3D"/>
          <w:w w:val="115"/>
          <w:sz w:val="18"/>
        </w:rPr>
        <w:t>whether</w:t>
      </w:r>
      <w:r>
        <w:rPr>
          <w:color w:val="3F3D3D"/>
          <w:spacing w:val="16"/>
          <w:w w:val="115"/>
          <w:sz w:val="18"/>
        </w:rPr>
        <w:t> </w:t>
      </w:r>
      <w:r>
        <w:rPr>
          <w:color w:val="3F3D3D"/>
          <w:w w:val="115"/>
          <w:sz w:val="18"/>
        </w:rPr>
        <w:t>taxation</w:t>
      </w:r>
      <w:r>
        <w:rPr>
          <w:color w:val="3F3D3D"/>
          <w:spacing w:val="19"/>
          <w:w w:val="115"/>
          <w:sz w:val="18"/>
        </w:rPr>
        <w:t> </w:t>
      </w:r>
      <w:r>
        <w:rPr>
          <w:color w:val="4F4F50"/>
          <w:w w:val="115"/>
          <w:sz w:val="18"/>
        </w:rPr>
        <w:t>statute</w:t>
      </w:r>
      <w:r>
        <w:rPr>
          <w:color w:val="4F4F50"/>
          <w:spacing w:val="9"/>
          <w:w w:val="115"/>
          <w:sz w:val="18"/>
        </w:rPr>
        <w:t> </w:t>
      </w:r>
      <w:r>
        <w:rPr>
          <w:color w:val="4F4F50"/>
          <w:w w:val="115"/>
          <w:sz w:val="18"/>
        </w:rPr>
        <w:t>unconstitutionally </w:t>
      </w:r>
      <w:r>
        <w:rPr>
          <w:color w:val="3F3D3D"/>
          <w:w w:val="115"/>
          <w:sz w:val="18"/>
        </w:rPr>
        <w:t>denied</w:t>
      </w:r>
      <w:r>
        <w:rPr>
          <w:color w:val="3F3D3D"/>
          <w:spacing w:val="18"/>
          <w:w w:val="115"/>
          <w:sz w:val="18"/>
        </w:rPr>
        <w:t> </w:t>
      </w:r>
      <w:r>
        <w:rPr>
          <w:color w:val="4F4F50"/>
          <w:w w:val="115"/>
          <w:sz w:val="18"/>
        </w:rPr>
        <w:t>sp0usa</w:t>
      </w:r>
      <w:r>
        <w:rPr>
          <w:color w:val="2D2A2B"/>
          <w:w w:val="115"/>
          <w:sz w:val="18"/>
        </w:rPr>
        <w:t>l</w:t>
      </w:r>
    </w:p>
    <w:p>
      <w:pPr>
        <w:spacing w:line="185" w:lineRule="exact" w:before="0"/>
        <w:ind w:left="505" w:right="0" w:firstLine="0"/>
        <w:jc w:val="left"/>
        <w:rPr>
          <w:sz w:val="20"/>
        </w:rPr>
      </w:pPr>
      <w:r>
        <w:rPr>
          <w:color w:val="3F3D3D"/>
          <w:w w:val="105"/>
          <w:sz w:val="18"/>
        </w:rPr>
        <w:t>deducuon</w:t>
      </w:r>
      <w:r>
        <w:rPr>
          <w:color w:val="3F3D3D"/>
          <w:spacing w:val="33"/>
          <w:w w:val="105"/>
          <w:sz w:val="18"/>
        </w:rPr>
        <w:t> </w:t>
      </w:r>
      <w:r>
        <w:rPr>
          <w:color w:val="3F3D3D"/>
          <w:w w:val="105"/>
          <w:sz w:val="18"/>
        </w:rPr>
        <w:t>to</w:t>
      </w:r>
      <w:r>
        <w:rPr>
          <w:color w:val="3F3D3D"/>
          <w:spacing w:val="11"/>
          <w:w w:val="105"/>
          <w:sz w:val="18"/>
        </w:rPr>
        <w:t> </w:t>
      </w:r>
      <w:r>
        <w:rPr>
          <w:color w:val="3F3D3D"/>
          <w:w w:val="105"/>
          <w:sz w:val="18"/>
        </w:rPr>
        <w:t>surviving</w:t>
      </w:r>
      <w:r>
        <w:rPr>
          <w:color w:val="3F3D3D"/>
          <w:spacing w:val="-14"/>
          <w:w w:val="105"/>
          <w:sz w:val="18"/>
        </w:rPr>
        <w:t> </w:t>
      </w:r>
      <w:r>
        <w:rPr>
          <w:color w:val="3F3D3D"/>
          <w:w w:val="105"/>
          <w:sz w:val="18"/>
        </w:rPr>
        <w:t>spouse</w:t>
      </w:r>
      <w:r>
        <w:rPr>
          <w:color w:val="3F3D3D"/>
          <w:spacing w:val="-2"/>
          <w:w w:val="105"/>
          <w:sz w:val="18"/>
        </w:rPr>
        <w:t> </w:t>
      </w:r>
      <w:r>
        <w:rPr>
          <w:color w:val="3F3D3D"/>
          <w:w w:val="105"/>
          <w:sz w:val="18"/>
        </w:rPr>
        <w:t>of</w:t>
      </w:r>
      <w:r>
        <w:rPr>
          <w:color w:val="3F3D3D"/>
          <w:spacing w:val="21"/>
          <w:w w:val="105"/>
          <w:sz w:val="18"/>
        </w:rPr>
        <w:t> </w:t>
      </w:r>
      <w:r>
        <w:rPr>
          <w:color w:val="3F3D3D"/>
          <w:w w:val="105"/>
          <w:sz w:val="18"/>
        </w:rPr>
        <w:t>same</w:t>
      </w:r>
      <w:r>
        <w:rPr>
          <w:color w:val="666667"/>
          <w:w w:val="105"/>
          <w:sz w:val="18"/>
        </w:rPr>
        <w:t>-sex</w:t>
      </w:r>
      <w:r>
        <w:rPr>
          <w:color w:val="666667"/>
          <w:spacing w:val="26"/>
          <w:w w:val="105"/>
          <w:sz w:val="18"/>
        </w:rPr>
        <w:t> </w:t>
      </w:r>
      <w:r>
        <w:rPr>
          <w:color w:val="3F3D3D"/>
          <w:w w:val="105"/>
          <w:sz w:val="18"/>
        </w:rPr>
        <w:t>marriage),</w:t>
      </w:r>
      <w:r>
        <w:rPr>
          <w:color w:val="3F3D3D"/>
          <w:spacing w:val="21"/>
          <w:w w:val="105"/>
          <w:sz w:val="18"/>
        </w:rPr>
        <w:t> </w:t>
      </w:r>
      <w:r>
        <w:rPr>
          <w:i/>
          <w:color w:val="3F3D3D"/>
          <w:w w:val="105"/>
          <w:sz w:val="17"/>
        </w:rPr>
        <w:t>affd,</w:t>
      </w:r>
      <w:r>
        <w:rPr>
          <w:i/>
          <w:color w:val="3F3D3D"/>
          <w:spacing w:val="-14"/>
          <w:w w:val="105"/>
          <w:sz w:val="17"/>
        </w:rPr>
        <w:t> </w:t>
      </w:r>
      <w:r>
        <w:rPr>
          <w:color w:val="3F3D3D"/>
          <w:w w:val="105"/>
          <w:position w:val="-5"/>
          <w:sz w:val="18"/>
        </w:rPr>
        <w:t>1</w:t>
      </w:r>
      <w:r>
        <w:rPr>
          <w:color w:val="3F3D3D"/>
          <w:w w:val="105"/>
          <w:sz w:val="18"/>
        </w:rPr>
        <w:t>3</w:t>
      </w:r>
      <w:r>
        <w:rPr>
          <w:color w:val="3F3D3D"/>
          <w:w w:val="105"/>
          <w:position w:val="-5"/>
          <w:sz w:val="18"/>
        </w:rPr>
        <w:t>3</w:t>
      </w:r>
      <w:r>
        <w:rPr>
          <w:color w:val="3F3D3D"/>
          <w:spacing w:val="-2"/>
          <w:w w:val="105"/>
          <w:position w:val="-5"/>
          <w:sz w:val="18"/>
        </w:rPr>
        <w:t> </w:t>
      </w:r>
      <w:r>
        <w:rPr>
          <w:color w:val="3F3D3D"/>
          <w:w w:val="105"/>
          <w:sz w:val="26"/>
        </w:rPr>
        <w:t>s.</w:t>
      </w:r>
      <w:r>
        <w:rPr>
          <w:color w:val="3F3D3D"/>
          <w:spacing w:val="-37"/>
          <w:w w:val="105"/>
          <w:sz w:val="26"/>
        </w:rPr>
        <w:t> </w:t>
      </w:r>
      <w:r>
        <w:rPr>
          <w:color w:val="3F3D3D"/>
          <w:w w:val="105"/>
          <w:sz w:val="17"/>
        </w:rPr>
        <w:t>Ct. </w:t>
      </w:r>
      <w:r>
        <w:rPr>
          <w:color w:val="3F3D3D"/>
          <w:spacing w:val="13"/>
          <w:w w:val="105"/>
          <w:sz w:val="17"/>
        </w:rPr>
        <w:t> </w:t>
      </w:r>
      <w:r>
        <w:rPr>
          <w:color w:val="4F4F50"/>
          <w:w w:val="105"/>
          <w:position w:val="-6"/>
          <w:sz w:val="18"/>
        </w:rPr>
        <w:t>2675</w:t>
      </w:r>
      <w:r>
        <w:rPr>
          <w:color w:val="3F3D3D"/>
          <w:w w:val="105"/>
          <w:sz w:val="18"/>
        </w:rPr>
        <w:t>(</w:t>
      </w:r>
      <w:r>
        <w:rPr>
          <w:color w:val="3F3D3D"/>
          <w:w w:val="105"/>
          <w:position w:val="-7"/>
          <w:sz w:val="18"/>
        </w:rPr>
        <w:t>2</w:t>
      </w:r>
      <w:r>
        <w:rPr>
          <w:color w:val="3F3D3D"/>
          <w:w w:val="105"/>
          <w:sz w:val="18"/>
        </w:rPr>
        <w:t>0l3);</w:t>
      </w:r>
      <w:r>
        <w:rPr>
          <w:color w:val="3F3D3D"/>
          <w:spacing w:val="14"/>
          <w:w w:val="105"/>
          <w:sz w:val="18"/>
        </w:rPr>
        <w:t> </w:t>
      </w:r>
      <w:r>
        <w:rPr>
          <w:i/>
          <w:color w:val="4F4F50"/>
          <w:w w:val="105"/>
          <w:sz w:val="20"/>
        </w:rPr>
        <w:t>Se/evan</w:t>
      </w:r>
      <w:r>
        <w:rPr>
          <w:i/>
          <w:color w:val="4F4F50"/>
          <w:spacing w:val="3"/>
          <w:w w:val="105"/>
          <w:sz w:val="20"/>
        </w:rPr>
        <w:t> </w:t>
      </w:r>
      <w:r>
        <w:rPr>
          <w:i/>
          <w:color w:val="4F4F50"/>
          <w:w w:val="105"/>
          <w:sz w:val="20"/>
        </w:rPr>
        <w:t>v</w:t>
      </w:r>
      <w:r>
        <w:rPr>
          <w:i/>
          <w:color w:val="2D2A2B"/>
          <w:w w:val="105"/>
          <w:sz w:val="20"/>
        </w:rPr>
        <w:t>.</w:t>
      </w:r>
      <w:r>
        <w:rPr>
          <w:i/>
          <w:color w:val="2D2A2B"/>
          <w:spacing w:val="18"/>
          <w:w w:val="105"/>
          <w:sz w:val="20"/>
        </w:rPr>
        <w:t> </w:t>
      </w:r>
      <w:r>
        <w:rPr>
          <w:i/>
          <w:color w:val="3F3D3D"/>
          <w:w w:val="105"/>
          <w:sz w:val="20"/>
        </w:rPr>
        <w:t>N.</w:t>
      </w:r>
      <w:r>
        <w:rPr>
          <w:color w:val="3F3D3D"/>
          <w:w w:val="105"/>
          <w:sz w:val="20"/>
        </w:rPr>
        <w:t>'/.</w:t>
      </w:r>
    </w:p>
    <w:p>
      <w:pPr>
        <w:spacing w:after="0" w:line="185" w:lineRule="exact"/>
        <w:jc w:val="left"/>
        <w:rPr>
          <w:sz w:val="20"/>
        </w:rPr>
        <w:sectPr>
          <w:headerReference w:type="even" r:id="rId56"/>
          <w:headerReference w:type="default" r:id="rId57"/>
          <w:pgSz w:w="9690" w:h="13790"/>
          <w:pgMar w:header="366" w:footer="0" w:top="560" w:bottom="280" w:left="1340" w:right="0"/>
        </w:sectPr>
      </w:pPr>
    </w:p>
    <w:p>
      <w:pPr>
        <w:spacing w:line="160" w:lineRule="auto" w:before="22"/>
        <w:ind w:left="509" w:right="0" w:firstLine="0"/>
        <w:jc w:val="left"/>
        <w:rPr>
          <w:sz w:val="18"/>
        </w:rPr>
      </w:pPr>
      <w:r>
        <w:rPr>
          <w:i/>
          <w:color w:val="3F3D3D"/>
          <w:spacing w:val="-1"/>
          <w:w w:val="112"/>
          <w:sz w:val="17"/>
        </w:rPr>
        <w:t>Thruwa</w:t>
      </w:r>
      <w:r>
        <w:rPr>
          <w:i/>
          <w:color w:val="3F3D3D"/>
          <w:w w:val="112"/>
          <w:sz w:val="17"/>
        </w:rPr>
        <w:t>y</w:t>
      </w:r>
      <w:r>
        <w:rPr>
          <w:i/>
          <w:color w:val="3F3D3D"/>
          <w:spacing w:val="-18"/>
          <w:sz w:val="17"/>
        </w:rPr>
        <w:t> </w:t>
      </w:r>
      <w:r>
        <w:rPr>
          <w:i/>
          <w:color w:val="4F4F50"/>
          <w:w w:val="112"/>
          <w:sz w:val="17"/>
        </w:rPr>
        <w:t>A</w:t>
      </w:r>
      <w:r>
        <w:rPr>
          <w:i/>
          <w:color w:val="3F3D3D"/>
          <w:w w:val="97"/>
          <w:sz w:val="15"/>
        </w:rPr>
        <w:t>1</w:t>
      </w:r>
      <w:r>
        <w:rPr>
          <w:i/>
          <w:color w:val="3F3D3D"/>
          <w:spacing w:val="1"/>
          <w:w w:val="97"/>
          <w:sz w:val="15"/>
        </w:rPr>
        <w:t>1</w:t>
      </w:r>
      <w:r>
        <w:rPr>
          <w:i/>
          <w:color w:val="3F3D3D"/>
          <w:w w:val="97"/>
          <w:sz w:val="15"/>
        </w:rPr>
        <w:t>th</w:t>
      </w:r>
      <w:r>
        <w:rPr>
          <w:i/>
          <w:color w:val="666667"/>
          <w:w w:val="97"/>
          <w:sz w:val="15"/>
        </w:rPr>
        <w:t>.,</w:t>
      </w:r>
      <w:r>
        <w:rPr>
          <w:i/>
          <w:color w:val="666667"/>
          <w:sz w:val="15"/>
        </w:rPr>
        <w:t> </w:t>
      </w:r>
      <w:r>
        <w:rPr>
          <w:i/>
          <w:color w:val="666667"/>
          <w:spacing w:val="-15"/>
          <w:sz w:val="15"/>
        </w:rPr>
        <w:t> </w:t>
      </w:r>
      <w:r>
        <w:rPr>
          <w:color w:val="3F3D3D"/>
          <w:w w:val="97"/>
          <w:sz w:val="18"/>
        </w:rPr>
        <w:t>584</w:t>
      </w:r>
      <w:r>
        <w:rPr>
          <w:color w:val="3F3D3D"/>
          <w:sz w:val="18"/>
        </w:rPr>
        <w:t> </w:t>
      </w:r>
      <w:r>
        <w:rPr>
          <w:color w:val="3F3D3D"/>
          <w:spacing w:val="-10"/>
          <w:sz w:val="18"/>
        </w:rPr>
        <w:t> </w:t>
      </w:r>
      <w:r>
        <w:rPr>
          <w:color w:val="3F3D3D"/>
          <w:spacing w:val="-1"/>
          <w:w w:val="96"/>
          <w:sz w:val="18"/>
        </w:rPr>
        <w:t>F.3</w:t>
      </w:r>
      <w:r>
        <w:rPr>
          <w:color w:val="3F3D3D"/>
          <w:w w:val="96"/>
          <w:sz w:val="18"/>
        </w:rPr>
        <w:t>d</w:t>
      </w:r>
      <w:r>
        <w:rPr>
          <w:color w:val="3F3D3D"/>
          <w:spacing w:val="-10"/>
          <w:sz w:val="18"/>
        </w:rPr>
        <w:t> </w:t>
      </w:r>
      <w:r>
        <w:rPr>
          <w:color w:val="3F3D3D"/>
          <w:w w:val="96"/>
          <w:sz w:val="18"/>
        </w:rPr>
        <w:t>82,</w:t>
      </w:r>
      <w:r>
        <w:rPr>
          <w:color w:val="3F3D3D"/>
          <w:sz w:val="18"/>
        </w:rPr>
        <w:t> </w:t>
      </w:r>
      <w:r>
        <w:rPr>
          <w:color w:val="3F3D3D"/>
          <w:spacing w:val="-18"/>
          <w:sz w:val="18"/>
        </w:rPr>
        <w:t> </w:t>
      </w:r>
      <w:r>
        <w:rPr>
          <w:color w:val="4F4F50"/>
          <w:w w:val="96"/>
          <w:sz w:val="18"/>
        </w:rPr>
        <w:t>88</w:t>
      </w:r>
      <w:r>
        <w:rPr>
          <w:color w:val="4F4F50"/>
          <w:sz w:val="18"/>
        </w:rPr>
        <w:t> </w:t>
      </w:r>
      <w:r>
        <w:rPr>
          <w:color w:val="4F4F50"/>
          <w:spacing w:val="-20"/>
          <w:sz w:val="18"/>
        </w:rPr>
        <w:t> </w:t>
      </w:r>
      <w:r>
        <w:rPr>
          <w:color w:val="4F4F50"/>
          <w:w w:val="109"/>
          <w:sz w:val="18"/>
        </w:rPr>
        <w:t>(2d</w:t>
      </w:r>
      <w:r>
        <w:rPr>
          <w:color w:val="4F4F50"/>
          <w:spacing w:val="-9"/>
          <w:sz w:val="18"/>
        </w:rPr>
        <w:t> </w:t>
      </w:r>
      <w:r>
        <w:rPr>
          <w:color w:val="3F3D3D"/>
          <w:spacing w:val="-1"/>
          <w:w w:val="109"/>
          <w:sz w:val="18"/>
        </w:rPr>
        <w:t>Ci</w:t>
      </w:r>
      <w:r>
        <w:rPr>
          <w:color w:val="3F3D3D"/>
          <w:spacing w:val="-35"/>
          <w:w w:val="109"/>
          <w:sz w:val="18"/>
        </w:rPr>
        <w:t>r</w:t>
      </w:r>
      <w:r>
        <w:rPr>
          <w:color w:val="4F4F50"/>
          <w:w w:val="103"/>
          <w:position w:val="-7"/>
          <w:sz w:val="18"/>
        </w:rPr>
        <w:t>·</w:t>
      </w:r>
      <w:r>
        <w:rPr>
          <w:color w:val="4F4F50"/>
          <w:spacing w:val="-4"/>
          <w:position w:val="-7"/>
          <w:sz w:val="18"/>
        </w:rPr>
        <w:t> </w:t>
      </w:r>
      <w:r>
        <w:rPr>
          <w:color w:val="4F4F50"/>
          <w:w w:val="108"/>
          <w:sz w:val="18"/>
        </w:rPr>
        <w:t>2009)</w:t>
      </w:r>
      <w:r>
        <w:rPr>
          <w:color w:val="4F4F50"/>
          <w:spacing w:val="-13"/>
          <w:sz w:val="18"/>
        </w:rPr>
        <w:t> </w:t>
      </w:r>
      <w:r>
        <w:rPr>
          <w:color w:val="4F4F50"/>
          <w:w w:val="94"/>
          <w:sz w:val="18"/>
        </w:rPr>
        <w:t>(us</w:t>
      </w:r>
      <w:r>
        <w:rPr>
          <w:color w:val="4F4F50"/>
          <w:spacing w:val="-1"/>
          <w:w w:val="94"/>
          <w:sz w:val="18"/>
        </w:rPr>
        <w:t>i</w:t>
      </w:r>
      <w:r>
        <w:rPr>
          <w:color w:val="959799"/>
          <w:w w:val="94"/>
          <w:sz w:val="18"/>
        </w:rPr>
        <w:t>·</w:t>
      </w:r>
      <w:r>
        <w:rPr>
          <w:color w:val="3F3D3D"/>
          <w:w w:val="94"/>
          <w:sz w:val="18"/>
        </w:rPr>
        <w:t>ng</w:t>
      </w:r>
      <w:r>
        <w:rPr>
          <w:color w:val="3F3D3D"/>
          <w:spacing w:val="4"/>
          <w:sz w:val="18"/>
        </w:rPr>
        <w:t> </w:t>
      </w:r>
      <w:r>
        <w:rPr>
          <w:color w:val="3F3D3D"/>
          <w:spacing w:val="-1"/>
          <w:w w:val="94"/>
          <w:sz w:val="18"/>
        </w:rPr>
        <w:t>a</w:t>
      </w:r>
      <w:r>
        <w:rPr>
          <w:color w:val="3F3D3D"/>
          <w:w w:val="94"/>
          <w:sz w:val="18"/>
        </w:rPr>
        <w:t>d</w:t>
      </w:r>
      <w:r>
        <w:rPr>
          <w:color w:val="3F3D3D"/>
          <w:sz w:val="18"/>
        </w:rPr>
        <w:t> </w:t>
      </w:r>
      <w:r>
        <w:rPr>
          <w:color w:val="3F3D3D"/>
          <w:spacing w:val="-20"/>
          <w:sz w:val="18"/>
        </w:rPr>
        <w:t> </w:t>
      </w:r>
      <w:r>
        <w:rPr>
          <w:color w:val="3F3D3D"/>
          <w:w w:val="103"/>
          <w:position w:val="-7"/>
          <w:sz w:val="18"/>
        </w:rPr>
        <w:t>e</w:t>
      </w:r>
      <w:r>
        <w:rPr>
          <w:color w:val="3F3D3D"/>
          <w:spacing w:val="8"/>
          <w:position w:val="-7"/>
          <w:sz w:val="18"/>
        </w:rPr>
        <w:t> </w:t>
      </w:r>
      <w:r>
        <w:rPr>
          <w:rFonts w:ascii="Arial" w:hAnsi="Arial"/>
          <w:i/>
          <w:color w:val="3F3D3D"/>
          <w:spacing w:val="-1"/>
          <w:w w:val="113"/>
          <w:position w:val="-7"/>
          <w:sz w:val="17"/>
        </w:rPr>
        <w:t>nov</w:t>
      </w:r>
      <w:r>
        <w:rPr>
          <w:rFonts w:ascii="Arial" w:hAnsi="Arial"/>
          <w:i/>
          <w:color w:val="3F3D3D"/>
          <w:w w:val="113"/>
          <w:position w:val="-7"/>
          <w:sz w:val="17"/>
        </w:rPr>
        <w:t>o</w:t>
      </w:r>
      <w:r>
        <w:rPr>
          <w:rFonts w:ascii="Arial" w:hAnsi="Arial"/>
          <w:i/>
          <w:color w:val="3F3D3D"/>
          <w:spacing w:val="-26"/>
          <w:position w:val="-7"/>
          <w:sz w:val="17"/>
        </w:rPr>
        <w:t> </w:t>
      </w:r>
      <w:r>
        <w:rPr>
          <w:color w:val="3F3D3D"/>
          <w:spacing w:val="-74"/>
          <w:w w:val="113"/>
          <w:position w:val="-7"/>
          <w:sz w:val="18"/>
        </w:rPr>
        <w:t>s</w:t>
      </w:r>
      <w:r>
        <w:rPr>
          <w:color w:val="4F4F50"/>
          <w:w w:val="60"/>
          <w:sz w:val="18"/>
        </w:rPr>
        <w:t>t</w:t>
      </w:r>
    </w:p>
    <w:p>
      <w:pPr>
        <w:spacing w:line="241" w:lineRule="exact" w:before="0"/>
        <w:ind w:left="61" w:right="0" w:firstLine="0"/>
        <w:jc w:val="left"/>
        <w:rPr>
          <w:sz w:val="18"/>
        </w:rPr>
      </w:pPr>
      <w:r>
        <w:rPr/>
        <w:br w:type="column"/>
      </w:r>
      <w:r>
        <w:rPr>
          <w:color w:val="3F3D3D"/>
          <w:spacing w:val="-20"/>
          <w:w w:val="105"/>
          <w:sz w:val="18"/>
        </w:rPr>
        <w:t>an</w:t>
      </w:r>
      <w:r>
        <w:rPr>
          <w:color w:val="3F3D3D"/>
          <w:spacing w:val="-20"/>
          <w:w w:val="105"/>
          <w:position w:val="8"/>
          <w:sz w:val="18"/>
        </w:rPr>
        <w:t>d</w:t>
      </w:r>
      <w:r>
        <w:rPr>
          <w:color w:val="3F3D3D"/>
          <w:spacing w:val="9"/>
          <w:w w:val="105"/>
          <w:position w:val="8"/>
          <w:sz w:val="18"/>
        </w:rPr>
        <w:t> </w:t>
      </w:r>
      <w:r>
        <w:rPr>
          <w:color w:val="4F4F50"/>
          <w:spacing w:val="-20"/>
          <w:w w:val="105"/>
          <w:sz w:val="18"/>
        </w:rPr>
        <w:t>ar</w:t>
      </w:r>
      <w:r>
        <w:rPr>
          <w:color w:val="3F3D3D"/>
          <w:spacing w:val="-20"/>
          <w:w w:val="105"/>
          <w:position w:val="8"/>
          <w:sz w:val="18"/>
        </w:rPr>
        <w:t>d</w:t>
      </w:r>
    </w:p>
    <w:p>
      <w:pPr>
        <w:spacing w:line="153" w:lineRule="auto" w:before="30"/>
        <w:ind w:left="91" w:right="0" w:firstLine="0"/>
        <w:jc w:val="left"/>
        <w:rPr>
          <w:sz w:val="18"/>
        </w:rPr>
      </w:pPr>
      <w:r>
        <w:rPr/>
        <w:br w:type="column"/>
      </w:r>
      <w:r>
        <w:rPr>
          <w:color w:val="3F3D3D"/>
          <w:w w:val="110"/>
          <w:position w:val="-7"/>
          <w:sz w:val="18"/>
        </w:rPr>
        <w:t>to</w:t>
      </w:r>
      <w:r>
        <w:rPr>
          <w:color w:val="3F3D3D"/>
          <w:spacing w:val="-6"/>
          <w:w w:val="110"/>
          <w:position w:val="-7"/>
          <w:sz w:val="18"/>
        </w:rPr>
        <w:t> </w:t>
      </w:r>
      <w:r>
        <w:rPr>
          <w:color w:val="3F3D3D"/>
          <w:w w:val="110"/>
          <w:position w:val="-7"/>
          <w:sz w:val="18"/>
        </w:rPr>
        <w:t>analyze</w:t>
      </w:r>
      <w:r>
        <w:rPr>
          <w:color w:val="3F3D3D"/>
          <w:spacing w:val="-12"/>
          <w:w w:val="110"/>
          <w:position w:val="-7"/>
          <w:sz w:val="18"/>
        </w:rPr>
        <w:t> </w:t>
      </w:r>
      <w:r>
        <w:rPr>
          <w:color w:val="3F3D3D"/>
          <w:w w:val="110"/>
          <w:position w:val="-7"/>
          <w:sz w:val="20"/>
        </w:rPr>
        <w:t>w</w:t>
      </w:r>
      <w:r>
        <w:rPr>
          <w:color w:val="3F3D3D"/>
          <w:w w:val="110"/>
          <w:sz w:val="18"/>
        </w:rPr>
        <w:t>hether</w:t>
      </w:r>
      <w:r>
        <w:rPr>
          <w:color w:val="3F3D3D"/>
          <w:spacing w:val="-16"/>
          <w:w w:val="110"/>
          <w:sz w:val="18"/>
        </w:rPr>
        <w:t> </w:t>
      </w:r>
      <w:r>
        <w:rPr>
          <w:color w:val="3F3D3D"/>
          <w:w w:val="110"/>
          <w:sz w:val="18"/>
        </w:rPr>
        <w:t>a trial</w:t>
      </w:r>
    </w:p>
    <w:p>
      <w:pPr>
        <w:spacing w:after="0" w:line="153" w:lineRule="auto"/>
        <w:jc w:val="left"/>
        <w:rPr>
          <w:sz w:val="18"/>
        </w:rPr>
        <w:sectPr>
          <w:type w:val="continuous"/>
          <w:pgSz w:w="9690" w:h="13790"/>
          <w:pgMar w:header="380" w:footer="0" w:top="340" w:bottom="280" w:left="1340" w:right="0"/>
          <w:cols w:num="3" w:equalWidth="0">
            <w:col w:w="5439" w:space="40"/>
            <w:col w:w="533" w:space="39"/>
            <w:col w:w="2299"/>
          </w:cols>
        </w:sectPr>
      </w:pPr>
    </w:p>
    <w:p>
      <w:pPr>
        <w:spacing w:line="135" w:lineRule="exact" w:before="0"/>
        <w:ind w:left="486" w:right="0" w:firstLine="0"/>
        <w:jc w:val="left"/>
        <w:rPr>
          <w:sz w:val="18"/>
        </w:rPr>
      </w:pPr>
      <w:r>
        <w:rPr>
          <w:color w:val="3F3D3D"/>
          <w:w w:val="95"/>
          <w:position w:val="-10"/>
          <w:sz w:val="18"/>
        </w:rPr>
        <w:t>d</w:t>
      </w:r>
      <w:r>
        <w:rPr>
          <w:color w:val="3F3D3D"/>
          <w:w w:val="95"/>
          <w:sz w:val="18"/>
        </w:rPr>
        <w:t>c?sumrti</w:t>
      </w:r>
      <w:r>
        <w:rPr>
          <w:color w:val="3F3D3D"/>
          <w:spacing w:val="4"/>
          <w:w w:val="95"/>
          <w:sz w:val="18"/>
        </w:rPr>
        <w:t> </w:t>
      </w:r>
      <w:r>
        <w:rPr>
          <w:color w:val="4F4F50"/>
          <w:w w:val="95"/>
          <w:sz w:val="18"/>
        </w:rPr>
        <w:t>correcltlytchlo_s.:t!offusehthehrational</w:t>
      </w:r>
      <w:r>
        <w:rPr>
          <w:color w:val="4F4F50"/>
          <w:spacing w:val="11"/>
          <w:w w:val="95"/>
          <w:sz w:val="18"/>
        </w:rPr>
        <w:t> </w:t>
      </w:r>
      <w:r>
        <w:rPr>
          <w:color w:val="4F4F50"/>
          <w:w w:val="95"/>
          <w:sz w:val="18"/>
        </w:rPr>
        <w:t>basis</w:t>
      </w:r>
      <w:r>
        <w:rPr>
          <w:color w:val="4F4F50"/>
          <w:spacing w:val="1"/>
          <w:w w:val="95"/>
          <w:sz w:val="18"/>
        </w:rPr>
        <w:t> </w:t>
      </w:r>
      <w:r>
        <w:rPr>
          <w:color w:val="4F4F50"/>
          <w:w w:val="95"/>
          <w:sz w:val="18"/>
        </w:rPr>
        <w:t>standard</w:t>
      </w:r>
      <w:r>
        <w:rPr>
          <w:color w:val="4F4F50"/>
          <w:spacing w:val="41"/>
          <w:w w:val="95"/>
          <w:sz w:val="18"/>
        </w:rPr>
        <w:t> </w:t>
      </w:r>
      <w:r>
        <w:rPr>
          <w:color w:val="3F3D3D"/>
          <w:w w:val="95"/>
          <w:sz w:val="18"/>
        </w:rPr>
        <w:t>as</w:t>
      </w:r>
      <w:r>
        <w:rPr>
          <w:color w:val="3F3D3D"/>
          <w:spacing w:val="21"/>
          <w:w w:val="95"/>
          <w:sz w:val="18"/>
        </w:rPr>
        <w:t> </w:t>
      </w:r>
      <w:r>
        <w:rPr>
          <w:color w:val="3F3D3D"/>
          <w:w w:val="95"/>
          <w:sz w:val="18"/>
        </w:rPr>
        <w:t>part</w:t>
      </w:r>
      <w:r>
        <w:rPr>
          <w:color w:val="3F3D3D"/>
          <w:spacing w:val="13"/>
          <w:w w:val="95"/>
          <w:sz w:val="18"/>
        </w:rPr>
        <w:t> </w:t>
      </w:r>
      <w:r>
        <w:rPr>
          <w:color w:val="3F3D3D"/>
          <w:w w:val="95"/>
          <w:sz w:val="18"/>
        </w:rPr>
        <w:t>of</w:t>
      </w:r>
      <w:r>
        <w:rPr>
          <w:color w:val="3F3D3D"/>
          <w:spacing w:val="25"/>
          <w:w w:val="95"/>
          <w:sz w:val="18"/>
        </w:rPr>
        <w:t> </w:t>
      </w:r>
      <w:r>
        <w:rPr>
          <w:color w:val="3F3D3D"/>
          <w:w w:val="95"/>
          <w:sz w:val="18"/>
        </w:rPr>
        <w:t>its</w:t>
      </w:r>
      <w:r>
        <w:rPr>
          <w:color w:val="3F3D3D"/>
          <w:spacing w:val="4"/>
          <w:w w:val="95"/>
          <w:sz w:val="18"/>
        </w:rPr>
        <w:t> </w:t>
      </w:r>
      <w:r>
        <w:rPr>
          <w:color w:val="3F3D3D"/>
          <w:w w:val="95"/>
          <w:sz w:val="18"/>
        </w:rPr>
        <w:t>decision</w:t>
      </w:r>
      <w:r>
        <w:rPr>
          <w:color w:val="3F3D3D"/>
          <w:spacing w:val="30"/>
          <w:w w:val="95"/>
          <w:sz w:val="18"/>
        </w:rPr>
        <w:t> </w:t>
      </w:r>
      <w:r>
        <w:rPr>
          <w:color w:val="3F3D3D"/>
          <w:w w:val="95"/>
          <w:sz w:val="18"/>
        </w:rPr>
        <w:t>to</w:t>
      </w:r>
      <w:r>
        <w:rPr>
          <w:color w:val="3F3D3D"/>
          <w:spacing w:val="21"/>
          <w:w w:val="95"/>
          <w:sz w:val="18"/>
        </w:rPr>
        <w:t> </w:t>
      </w:r>
      <w:r>
        <w:rPr>
          <w:color w:val="3F3D3D"/>
          <w:w w:val="95"/>
          <w:sz w:val="18"/>
        </w:rPr>
        <w:t>grant</w:t>
      </w:r>
      <w:r>
        <w:rPr>
          <w:color w:val="3F3D3D"/>
          <w:spacing w:val="1"/>
          <w:w w:val="95"/>
          <w:sz w:val="18"/>
        </w:rPr>
        <w:t> </w:t>
      </w:r>
      <w:r>
        <w:rPr>
          <w:color w:val="3F3D3D"/>
          <w:w w:val="95"/>
          <w:sz w:val="18"/>
        </w:rPr>
        <w:t>a</w:t>
      </w:r>
      <w:r>
        <w:rPr>
          <w:color w:val="3F3D3D"/>
          <w:spacing w:val="39"/>
          <w:w w:val="95"/>
          <w:sz w:val="18"/>
        </w:rPr>
        <w:t> </w:t>
      </w:r>
      <w:r>
        <w:rPr>
          <w:color w:val="3F3D3D"/>
          <w:w w:val="95"/>
          <w:sz w:val="18"/>
        </w:rPr>
        <w:t>rnot1on)to</w:t>
      </w:r>
    </w:p>
    <w:p>
      <w:pPr>
        <w:spacing w:after="0" w:line="135" w:lineRule="exact"/>
        <w:jc w:val="left"/>
        <w:rPr>
          <w:sz w:val="18"/>
        </w:rPr>
        <w:sectPr>
          <w:type w:val="continuous"/>
          <w:pgSz w:w="9690" w:h="13790"/>
          <w:pgMar w:header="380" w:footer="0" w:top="340" w:bottom="280" w:left="1340" w:right="0"/>
        </w:sectPr>
      </w:pPr>
    </w:p>
    <w:p>
      <w:pPr>
        <w:tabs>
          <w:tab w:pos="936" w:val="left" w:leader="none"/>
        </w:tabs>
        <w:spacing w:line="296" w:lineRule="exact" w:before="0"/>
        <w:ind w:left="594" w:right="0" w:firstLine="0"/>
        <w:jc w:val="left"/>
        <w:rPr>
          <w:sz w:val="18"/>
        </w:rPr>
      </w:pPr>
      <w:r>
        <w:rPr>
          <w:color w:val="3F3D3D"/>
          <w:w w:val="101"/>
          <w:sz w:val="18"/>
          <w:vertAlign w:val="superscript"/>
        </w:rPr>
        <w:t>1</w:t>
      </w:r>
      <w:r>
        <w:rPr>
          <w:color w:val="3F3D3D"/>
          <w:sz w:val="18"/>
          <w:vertAlign w:val="baseline"/>
        </w:rPr>
        <w:tab/>
      </w:r>
      <w:r>
        <w:rPr>
          <w:color w:val="3F3D3D"/>
          <w:spacing w:val="-1"/>
          <w:w w:val="101"/>
          <w:position w:val="10"/>
          <w:sz w:val="18"/>
          <w:vertAlign w:val="baseline"/>
        </w:rPr>
        <w:t>s</w:t>
      </w:r>
      <w:r>
        <w:rPr>
          <w:color w:val="3F3D3D"/>
          <w:w w:val="101"/>
          <w:position w:val="10"/>
          <w:sz w:val="18"/>
          <w:vertAlign w:val="baseline"/>
        </w:rPr>
        <w:t>s</w:t>
      </w:r>
      <w:r>
        <w:rPr>
          <w:color w:val="3F3D3D"/>
          <w:spacing w:val="-2"/>
          <w:position w:val="10"/>
          <w:sz w:val="18"/>
          <w:vertAlign w:val="baseline"/>
        </w:rPr>
        <w:t> </w:t>
      </w:r>
      <w:r>
        <w:rPr>
          <w:color w:val="3F3D3D"/>
          <w:spacing w:val="-1"/>
          <w:w w:val="109"/>
          <w:position w:val="10"/>
          <w:sz w:val="18"/>
          <w:vertAlign w:val="baseline"/>
        </w:rPr>
        <w:t>ag</w:t>
      </w:r>
      <w:r>
        <w:rPr>
          <w:color w:val="3F3D3D"/>
          <w:w w:val="109"/>
          <w:position w:val="10"/>
          <w:sz w:val="18"/>
          <w:vertAlign w:val="baseline"/>
        </w:rPr>
        <w:t>a</w:t>
      </w:r>
      <w:r>
        <w:rPr>
          <w:color w:val="3F3D3D"/>
          <w:spacing w:val="5"/>
          <w:position w:val="10"/>
          <w:sz w:val="18"/>
          <w:vertAlign w:val="baseline"/>
        </w:rPr>
        <w:t> </w:t>
      </w:r>
      <w:r>
        <w:rPr>
          <w:color w:val="4F4F50"/>
          <w:w w:val="109"/>
          <w:position w:val="10"/>
          <w:sz w:val="18"/>
          <w:vertAlign w:val="baseline"/>
        </w:rPr>
        <w:t>ns</w:t>
      </w:r>
      <w:r>
        <w:rPr>
          <w:color w:val="4F4F50"/>
          <w:position w:val="10"/>
          <w:sz w:val="18"/>
          <w:vertAlign w:val="baseline"/>
        </w:rPr>
        <w:t>  </w:t>
      </w:r>
      <w:r>
        <w:rPr>
          <w:color w:val="4F4F50"/>
          <w:spacing w:val="-10"/>
          <w:position w:val="10"/>
          <w:sz w:val="18"/>
          <w:vertAlign w:val="baseline"/>
        </w:rPr>
        <w:t> </w:t>
      </w:r>
      <w:r>
        <w:rPr>
          <w:color w:val="3F3D3D"/>
          <w:w w:val="109"/>
          <w:position w:val="10"/>
          <w:sz w:val="18"/>
          <w:vertAlign w:val="baseline"/>
        </w:rPr>
        <w:t>p</w:t>
      </w:r>
      <w:r>
        <w:rPr>
          <w:color w:val="3F3D3D"/>
          <w:spacing w:val="3"/>
          <w:position w:val="10"/>
          <w:sz w:val="18"/>
          <w:vertAlign w:val="baseline"/>
        </w:rPr>
        <w:t> </w:t>
      </w:r>
      <w:r>
        <w:rPr>
          <w:color w:val="3F3D3D"/>
          <w:spacing w:val="-1"/>
          <w:w w:val="109"/>
          <w:position w:val="10"/>
          <w:sz w:val="18"/>
          <w:vertAlign w:val="baseline"/>
        </w:rPr>
        <w:t>a</w:t>
      </w:r>
      <w:r>
        <w:rPr>
          <w:color w:val="3F3D3D"/>
          <w:w w:val="109"/>
          <w:position w:val="10"/>
          <w:sz w:val="18"/>
          <w:vertAlign w:val="baseline"/>
        </w:rPr>
        <w:t>m</w:t>
      </w:r>
      <w:r>
        <w:rPr>
          <w:color w:val="3F3D3D"/>
          <w:position w:val="10"/>
          <w:sz w:val="18"/>
          <w:vertAlign w:val="baseline"/>
        </w:rPr>
        <w:t> </w:t>
      </w:r>
      <w:r>
        <w:rPr>
          <w:color w:val="3F3D3D"/>
          <w:spacing w:val="-10"/>
          <w:position w:val="10"/>
          <w:sz w:val="18"/>
          <w:vertAlign w:val="baseline"/>
        </w:rPr>
        <w:t> </w:t>
      </w:r>
      <w:r>
        <w:rPr>
          <w:color w:val="3F3D3D"/>
          <w:w w:val="109"/>
          <w:position w:val="10"/>
          <w:sz w:val="12"/>
          <w:vertAlign w:val="baseline"/>
        </w:rPr>
        <w:t>I</w:t>
      </w:r>
      <w:r>
        <w:rPr>
          <w:color w:val="3F3D3D"/>
          <w:position w:val="10"/>
          <w:sz w:val="12"/>
          <w:vertAlign w:val="baseline"/>
        </w:rPr>
        <w:t>   </w:t>
      </w:r>
      <w:r>
        <w:rPr>
          <w:color w:val="3F3D3D"/>
          <w:spacing w:val="4"/>
          <w:position w:val="10"/>
          <w:sz w:val="12"/>
          <w:vertAlign w:val="baseline"/>
        </w:rPr>
        <w:t> </w:t>
      </w:r>
      <w:r>
        <w:rPr>
          <w:i/>
          <w:color w:val="3F3D3D"/>
          <w:w w:val="109"/>
          <w:position w:val="10"/>
          <w:sz w:val="18"/>
          <w:vertAlign w:val="baseline"/>
        </w:rPr>
        <w:t>s</w:t>
      </w:r>
      <w:r>
        <w:rPr>
          <w:i/>
          <w:color w:val="3F3D3D"/>
          <w:spacing w:val="-2"/>
          <w:position w:val="10"/>
          <w:sz w:val="18"/>
          <w:vertAlign w:val="baseline"/>
        </w:rPr>
        <w:t> </w:t>
      </w:r>
      <w:r>
        <w:rPr>
          <w:i/>
          <w:color w:val="3F3D3D"/>
          <w:w w:val="109"/>
          <w:position w:val="10"/>
          <w:sz w:val="18"/>
          <w:vertAlign w:val="baseline"/>
        </w:rPr>
        <w:t>w</w:t>
      </w:r>
      <w:r>
        <w:rPr>
          <w:i/>
          <w:color w:val="3F3D3D"/>
          <w:position w:val="10"/>
          <w:sz w:val="18"/>
          <w:vertAlign w:val="baseline"/>
        </w:rPr>
        <w:t> </w:t>
      </w:r>
      <w:r>
        <w:rPr>
          <w:i/>
          <w:color w:val="3F3D3D"/>
          <w:spacing w:val="16"/>
          <w:position w:val="10"/>
          <w:sz w:val="18"/>
          <w:vertAlign w:val="baseline"/>
        </w:rPr>
        <w:t> </w:t>
      </w:r>
      <w:r>
        <w:rPr>
          <w:color w:val="4F4F50"/>
          <w:w w:val="109"/>
          <w:position w:val="10"/>
          <w:sz w:val="18"/>
          <w:vertAlign w:val="baseline"/>
        </w:rPr>
        <w:t>o</w:t>
      </w:r>
      <w:r>
        <w:rPr>
          <w:color w:val="4F4F50"/>
          <w:position w:val="10"/>
          <w:sz w:val="18"/>
          <w:vertAlign w:val="baseline"/>
        </w:rPr>
        <w:t>   </w:t>
      </w:r>
      <w:r>
        <w:rPr>
          <w:color w:val="4F4F50"/>
          <w:spacing w:val="-19"/>
          <w:position w:val="10"/>
          <w:sz w:val="18"/>
          <w:vertAlign w:val="baseline"/>
        </w:rPr>
        <w:t> </w:t>
      </w:r>
      <w:r>
        <w:rPr>
          <w:color w:val="3F3D3D"/>
          <w:spacing w:val="-1"/>
          <w:w w:val="109"/>
          <w:position w:val="10"/>
          <w:sz w:val="18"/>
          <w:vertAlign w:val="baseline"/>
        </w:rPr>
        <w:t>a</w:t>
      </w:r>
      <w:r>
        <w:rPr>
          <w:color w:val="3F3D3D"/>
          <w:w w:val="109"/>
          <w:position w:val="10"/>
          <w:sz w:val="18"/>
          <w:vertAlign w:val="baseline"/>
        </w:rPr>
        <w:t>d</w:t>
      </w:r>
      <w:r>
        <w:rPr>
          <w:color w:val="3F3D3D"/>
          <w:position w:val="10"/>
          <w:sz w:val="18"/>
          <w:vertAlign w:val="baseline"/>
        </w:rPr>
        <w:t> </w:t>
      </w:r>
      <w:r>
        <w:rPr>
          <w:color w:val="2D2A2B"/>
          <w:spacing w:val="-1"/>
          <w:w w:val="102"/>
          <w:position w:val="10"/>
          <w:sz w:val="18"/>
          <w:vertAlign w:val="baseline"/>
        </w:rPr>
        <w:t>c</w:t>
      </w:r>
      <w:r>
        <w:rPr>
          <w:color w:val="2D2A2B"/>
          <w:w w:val="102"/>
          <w:position w:val="10"/>
          <w:sz w:val="18"/>
          <w:vertAlign w:val="baseline"/>
        </w:rPr>
        <w:t>J</w:t>
      </w:r>
      <w:r>
        <w:rPr>
          <w:color w:val="4F4F50"/>
          <w:spacing w:val="-13"/>
          <w:w w:val="102"/>
          <w:position w:val="10"/>
          <w:sz w:val="18"/>
          <w:vertAlign w:val="baseline"/>
        </w:rPr>
        <w:t>a</w:t>
      </w:r>
      <w:r>
        <w:rPr>
          <w:color w:val="3F3D3D"/>
          <w:spacing w:val="-42"/>
          <w:w w:val="107"/>
          <w:sz w:val="18"/>
          <w:vertAlign w:val="baseline"/>
        </w:rPr>
        <w:t>i</w:t>
      </w:r>
      <w:r>
        <w:rPr>
          <w:color w:val="4F4F50"/>
          <w:spacing w:val="-21"/>
          <w:w w:val="102"/>
          <w:position w:val="10"/>
          <w:sz w:val="18"/>
          <w:vertAlign w:val="baseline"/>
        </w:rPr>
        <w:t>·</w:t>
      </w:r>
      <w:r>
        <w:rPr>
          <w:color w:val="3F3D3D"/>
          <w:spacing w:val="-1"/>
          <w:w w:val="107"/>
          <w:sz w:val="18"/>
          <w:vertAlign w:val="baseline"/>
        </w:rPr>
        <w:t>m</w:t>
      </w:r>
      <w:r>
        <w:rPr>
          <w:color w:val="3F3D3D"/>
          <w:spacing w:val="-58"/>
          <w:w w:val="107"/>
          <w:sz w:val="18"/>
          <w:vertAlign w:val="baseline"/>
        </w:rPr>
        <w:t>e</w:t>
      </w:r>
      <w:r>
        <w:rPr>
          <w:color w:val="3F3D3D"/>
          <w:w w:val="88"/>
          <w:position w:val="10"/>
          <w:sz w:val="18"/>
          <w:vertAlign w:val="baseline"/>
        </w:rPr>
        <w:t>d</w:t>
      </w:r>
      <w:r>
        <w:rPr>
          <w:color w:val="3F3D3D"/>
          <w:position w:val="10"/>
          <w:sz w:val="18"/>
          <w:vertAlign w:val="baseline"/>
        </w:rPr>
        <w:t> </w:t>
      </w:r>
      <w:r>
        <w:rPr>
          <w:color w:val="3F3D3D"/>
          <w:spacing w:val="-11"/>
          <w:position w:val="10"/>
          <w:sz w:val="18"/>
          <w:vertAlign w:val="baseline"/>
        </w:rPr>
        <w:t> </w:t>
      </w:r>
      <w:r>
        <w:rPr>
          <w:color w:val="4F4F50"/>
          <w:w w:val="107"/>
          <w:sz w:val="18"/>
          <w:vertAlign w:val="baseline"/>
        </w:rPr>
        <w:t>,</w:t>
      </w:r>
      <w:r>
        <w:rPr>
          <w:color w:val="4F4F50"/>
          <w:spacing w:val="6"/>
          <w:sz w:val="18"/>
          <w:vertAlign w:val="baseline"/>
        </w:rPr>
        <w:t> </w:t>
      </w:r>
      <w:r>
        <w:rPr>
          <w:color w:val="3F3D3D"/>
          <w:spacing w:val="-1"/>
          <w:w w:val="114"/>
          <w:sz w:val="18"/>
          <w:vertAlign w:val="baseline"/>
        </w:rPr>
        <w:t>amon</w:t>
      </w:r>
      <w:r>
        <w:rPr>
          <w:color w:val="3F3D3D"/>
          <w:w w:val="114"/>
          <w:sz w:val="18"/>
          <w:vertAlign w:val="baseline"/>
        </w:rPr>
        <w:t>g</w:t>
      </w:r>
      <w:r>
        <w:rPr>
          <w:color w:val="3F3D3D"/>
          <w:spacing w:val="-18"/>
          <w:sz w:val="18"/>
          <w:vertAlign w:val="baseline"/>
        </w:rPr>
        <w:t> </w:t>
      </w:r>
      <w:r>
        <w:rPr>
          <w:color w:val="3F3D3D"/>
          <w:w w:val="119"/>
          <w:sz w:val="18"/>
          <w:vertAlign w:val="baseline"/>
        </w:rPr>
        <w:t>other</w:t>
      </w:r>
      <w:r>
        <w:rPr>
          <w:color w:val="3F3D3D"/>
          <w:spacing w:val="-1"/>
          <w:sz w:val="18"/>
          <w:vertAlign w:val="baseline"/>
        </w:rPr>
        <w:t> </w:t>
      </w:r>
      <w:r>
        <w:rPr>
          <w:color w:val="4F4F50"/>
          <w:spacing w:val="-1"/>
          <w:w w:val="111"/>
          <w:sz w:val="18"/>
          <w:vertAlign w:val="baseline"/>
        </w:rPr>
        <w:t>things</w:t>
      </w:r>
      <w:r>
        <w:rPr>
          <w:color w:val="4F4F50"/>
          <w:w w:val="111"/>
          <w:sz w:val="18"/>
          <w:vertAlign w:val="baseline"/>
        </w:rPr>
        <w:t>,</w:t>
      </w:r>
      <w:r>
        <w:rPr>
          <w:color w:val="4F4F50"/>
          <w:spacing w:val="-2"/>
          <w:sz w:val="18"/>
          <w:vertAlign w:val="baseline"/>
        </w:rPr>
        <w:t> </w:t>
      </w:r>
      <w:r>
        <w:rPr>
          <w:color w:val="3F3D3D"/>
          <w:spacing w:val="-1"/>
          <w:w w:val="111"/>
          <w:sz w:val="18"/>
          <w:vertAlign w:val="baseline"/>
        </w:rPr>
        <w:t>a</w:t>
      </w:r>
      <w:r>
        <w:rPr>
          <w:color w:val="3F3D3D"/>
          <w:w w:val="111"/>
          <w:sz w:val="18"/>
          <w:vertAlign w:val="baseline"/>
        </w:rPr>
        <w:t>n</w:t>
      </w:r>
      <w:r>
        <w:rPr>
          <w:color w:val="3F3D3D"/>
          <w:spacing w:val="16"/>
          <w:sz w:val="18"/>
          <w:vertAlign w:val="baseline"/>
        </w:rPr>
        <w:t> </w:t>
      </w:r>
      <w:r>
        <w:rPr>
          <w:color w:val="3F3D3D"/>
          <w:spacing w:val="-1"/>
          <w:w w:val="112"/>
          <w:sz w:val="18"/>
          <w:vertAlign w:val="baseline"/>
        </w:rPr>
        <w:t>equa</w:t>
      </w:r>
      <w:r>
        <w:rPr>
          <w:color w:val="3F3D3D"/>
          <w:w w:val="112"/>
          <w:sz w:val="18"/>
          <w:vertAlign w:val="baseline"/>
        </w:rPr>
        <w:t>l</w:t>
      </w:r>
      <w:r>
        <w:rPr>
          <w:color w:val="3F3D3D"/>
          <w:spacing w:val="6"/>
          <w:sz w:val="18"/>
          <w:vertAlign w:val="baseline"/>
        </w:rPr>
        <w:t> </w:t>
      </w:r>
      <w:r>
        <w:rPr>
          <w:color w:val="3F3D3D"/>
          <w:w w:val="113"/>
          <w:sz w:val="18"/>
          <w:vertAlign w:val="baseline"/>
        </w:rPr>
        <w:t>protection</w:t>
      </w:r>
      <w:r>
        <w:rPr>
          <w:color w:val="3F3D3D"/>
          <w:spacing w:val="11"/>
          <w:sz w:val="18"/>
          <w:vertAlign w:val="baseline"/>
        </w:rPr>
        <w:t> </w:t>
      </w:r>
      <w:r>
        <w:rPr>
          <w:color w:val="3F3D3D"/>
          <w:w w:val="113"/>
          <w:sz w:val="18"/>
          <w:vertAlign w:val="baseline"/>
        </w:rPr>
        <w:t>vi</w:t>
      </w:r>
      <w:r>
        <w:rPr>
          <w:color w:val="3F3D3D"/>
          <w:spacing w:val="-77"/>
          <w:w w:val="113"/>
          <w:sz w:val="18"/>
          <w:vertAlign w:val="baseline"/>
        </w:rPr>
        <w:t>o</w:t>
      </w:r>
      <w:r>
        <w:rPr>
          <w:color w:val="4F4F50"/>
          <w:spacing w:val="-8"/>
          <w:w w:val="48"/>
          <w:position w:val="10"/>
          <w:sz w:val="18"/>
          <w:vertAlign w:val="baseline"/>
        </w:rPr>
        <w:t>I</w:t>
      </w:r>
      <w:r>
        <w:rPr>
          <w:color w:val="4F4F50"/>
          <w:w w:val="100"/>
          <w:sz w:val="18"/>
          <w:vertAlign w:val="baseline"/>
        </w:rPr>
        <w:t>a</w:t>
      </w:r>
    </w:p>
    <w:p>
      <w:pPr>
        <w:spacing w:line="200" w:lineRule="exact" w:before="0"/>
        <w:ind w:left="69" w:right="0" w:firstLine="0"/>
        <w:jc w:val="left"/>
        <w:rPr>
          <w:sz w:val="18"/>
        </w:rPr>
      </w:pPr>
      <w:r>
        <w:rPr/>
        <w:br w:type="column"/>
      </w:r>
      <w:r>
        <w:rPr>
          <w:color w:val="4F4F50"/>
          <w:sz w:val="18"/>
        </w:rPr>
        <w:t>t1on</w:t>
      </w:r>
      <w:r>
        <w:rPr>
          <w:color w:val="4F4F50"/>
          <w:spacing w:val="4"/>
          <w:sz w:val="18"/>
        </w:rPr>
        <w:t> </w:t>
      </w:r>
      <w:r>
        <w:rPr>
          <w:color w:val="3F3D3D"/>
          <w:sz w:val="18"/>
        </w:rPr>
        <w:t>•</w:t>
      </w:r>
    </w:p>
    <w:p>
      <w:pPr>
        <w:spacing w:after="0" w:line="200" w:lineRule="exact"/>
        <w:jc w:val="left"/>
        <w:rPr>
          <w:sz w:val="18"/>
        </w:rPr>
        <w:sectPr>
          <w:type w:val="continuous"/>
          <w:pgSz w:w="9690" w:h="13790"/>
          <w:pgMar w:header="380" w:footer="0" w:top="340" w:bottom="280" w:left="1340" w:right="0"/>
          <w:cols w:num="2" w:equalWidth="0">
            <w:col w:w="7519" w:space="40"/>
            <w:col w:w="791"/>
          </w:cols>
        </w:sectPr>
      </w:pPr>
    </w:p>
    <w:p>
      <w:pPr>
        <w:pStyle w:val="BodyText"/>
        <w:spacing w:line="235" w:lineRule="auto" w:before="85"/>
        <w:ind w:left="120" w:right="249" w:firstLine="7"/>
        <w:jc w:val="both"/>
      </w:pPr>
      <w:r>
        <w:rPr>
          <w:color w:val="383638"/>
          <w:w w:val="110"/>
        </w:rPr>
        <w:t>use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appropriate (1) appellate standard of review to analyze whether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the trial court properly applied the (2) motion standard of review and</w:t>
      </w:r>
      <w:r>
        <w:rPr>
          <w:color w:val="383638"/>
          <w:spacing w:val="1"/>
          <w:w w:val="115"/>
        </w:rPr>
        <w:t> </w:t>
      </w:r>
      <w:r>
        <w:rPr>
          <w:color w:val="383638"/>
          <w:spacing w:val="-1"/>
          <w:w w:val="115"/>
        </w:rPr>
        <w:t>used the correct </w:t>
      </w:r>
      <w:r>
        <w:rPr>
          <w:color w:val="383638"/>
          <w:w w:val="115"/>
        </w:rPr>
        <w:t>(3) government action standard of review. Because the</w:t>
      </w:r>
      <w:r>
        <w:rPr>
          <w:color w:val="383638"/>
          <w:spacing w:val="-65"/>
          <w:w w:val="115"/>
        </w:rPr>
        <w:t> </w:t>
      </w:r>
      <w:r>
        <w:rPr>
          <w:color w:val="383638"/>
          <w:w w:val="115"/>
        </w:rPr>
        <w:t>appellate standard in that situation would almost certainly be de novo,</w:t>
      </w:r>
      <w:r>
        <w:rPr>
          <w:color w:val="383638"/>
          <w:spacing w:val="1"/>
          <w:w w:val="115"/>
        </w:rPr>
        <w:t> </w:t>
      </w:r>
      <w:r>
        <w:rPr>
          <w:color w:val="383638"/>
          <w:spacing w:val="-1"/>
          <w:w w:val="115"/>
        </w:rPr>
        <w:t>the appellate court would, in essence, reapply both the </w:t>
      </w:r>
      <w:r>
        <w:rPr>
          <w:color w:val="383638"/>
          <w:w w:val="115"/>
        </w:rPr>
        <w:t>motion standard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0"/>
        </w:rPr>
        <w:t>of review and the government action standard of review as part of its de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novo</w:t>
      </w:r>
      <w:r>
        <w:rPr>
          <w:color w:val="383638"/>
          <w:spacing w:val="-4"/>
          <w:w w:val="105"/>
        </w:rPr>
        <w:t> </w:t>
      </w:r>
      <w:r>
        <w:rPr>
          <w:color w:val="383638"/>
          <w:w w:val="105"/>
        </w:rPr>
        <w:t>review</w:t>
      </w:r>
      <w:r>
        <w:rPr>
          <w:color w:val="383638"/>
          <w:spacing w:val="-13"/>
          <w:w w:val="105"/>
        </w:rPr>
        <w:t> </w:t>
      </w:r>
      <w:r>
        <w:rPr>
          <w:color w:val="383638"/>
          <w:w w:val="105"/>
        </w:rPr>
        <w:t>of</w:t>
      </w:r>
      <w:r>
        <w:rPr>
          <w:color w:val="383638"/>
          <w:spacing w:val="15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45"/>
          <w:w w:val="105"/>
        </w:rPr>
        <w:t> </w:t>
      </w:r>
      <w:r>
        <w:rPr>
          <w:color w:val="383638"/>
          <w:w w:val="105"/>
        </w:rPr>
        <w:t>decision</w:t>
      </w:r>
      <w:r>
        <w:rPr>
          <w:color w:val="383638"/>
          <w:spacing w:val="8"/>
          <w:w w:val="105"/>
        </w:rPr>
        <w:t> </w:t>
      </w:r>
      <w:r>
        <w:rPr>
          <w:color w:val="383638"/>
          <w:w w:val="105"/>
        </w:rPr>
        <w:t>below.</w:t>
      </w:r>
    </w:p>
    <w:p>
      <w:pPr>
        <w:spacing w:line="235" w:lineRule="auto" w:before="0"/>
        <w:ind w:left="120" w:right="199" w:firstLine="362"/>
        <w:jc w:val="both"/>
        <w:rPr>
          <w:i/>
          <w:sz w:val="23"/>
        </w:rPr>
      </w:pPr>
      <w:r>
        <w:rPr>
          <w:color w:val="383638"/>
          <w:w w:val="110"/>
          <w:sz w:val="23"/>
        </w:rPr>
        <w:t>Although the  use of the  same term for three different meanings may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be confus</w:t>
      </w:r>
      <w:r>
        <w:rPr>
          <w:color w:val="525052"/>
          <w:w w:val="110"/>
          <w:sz w:val="23"/>
        </w:rPr>
        <w:t>i</w:t>
      </w:r>
      <w:r>
        <w:rPr>
          <w:color w:val="383638"/>
          <w:w w:val="110"/>
          <w:sz w:val="23"/>
        </w:rPr>
        <w:t>ng, keep the di</w:t>
      </w:r>
      <w:r>
        <w:rPr>
          <w:color w:val="525052"/>
          <w:w w:val="110"/>
          <w:sz w:val="23"/>
        </w:rPr>
        <w:t>s</w:t>
      </w:r>
      <w:r>
        <w:rPr>
          <w:color w:val="383638"/>
          <w:w w:val="110"/>
          <w:sz w:val="23"/>
        </w:rPr>
        <w:t>tinguishing factors in mind: (1) Trial courts may</w:t>
      </w:r>
      <w:r>
        <w:rPr>
          <w:color w:val="383638"/>
          <w:spacing w:val="-61"/>
          <w:w w:val="110"/>
          <w:sz w:val="23"/>
        </w:rPr>
        <w:t> </w:t>
      </w:r>
      <w:r>
        <w:rPr>
          <w:color w:val="383638"/>
          <w:w w:val="105"/>
          <w:sz w:val="23"/>
        </w:rPr>
        <w:t>not use appellate standards of review</w:t>
      </w:r>
      <w:r>
        <w:rPr>
          <w:color w:val="525052"/>
          <w:w w:val="105"/>
          <w:sz w:val="23"/>
        </w:rPr>
        <w:t>. </w:t>
      </w:r>
      <w:r>
        <w:rPr>
          <w:i/>
          <w:color w:val="383638"/>
          <w:w w:val="105"/>
          <w:sz w:val="23"/>
        </w:rPr>
        <w:t>Only courts of appeals and courts of</w:t>
      </w:r>
      <w:r>
        <w:rPr>
          <w:i/>
          <w:color w:val="383638"/>
          <w:spacing w:val="1"/>
          <w:w w:val="105"/>
          <w:sz w:val="23"/>
        </w:rPr>
        <w:t> </w:t>
      </w:r>
      <w:r>
        <w:rPr>
          <w:i/>
          <w:color w:val="383638"/>
          <w:spacing w:val="-1"/>
          <w:w w:val="110"/>
          <w:sz w:val="23"/>
        </w:rPr>
        <w:t>last r</w:t>
      </w:r>
      <w:r>
        <w:rPr>
          <w:i/>
          <w:color w:val="525052"/>
          <w:spacing w:val="-1"/>
          <w:w w:val="110"/>
          <w:sz w:val="23"/>
        </w:rPr>
        <w:t>e</w:t>
      </w:r>
      <w:r>
        <w:rPr>
          <w:i/>
          <w:color w:val="383638"/>
          <w:spacing w:val="-1"/>
          <w:w w:val="110"/>
          <w:sz w:val="23"/>
        </w:rPr>
        <w:t>sort </w:t>
      </w:r>
      <w:r>
        <w:rPr>
          <w:color w:val="383638"/>
          <w:spacing w:val="-1"/>
          <w:w w:val="110"/>
          <w:sz w:val="23"/>
        </w:rPr>
        <w:t>may</w:t>
      </w:r>
      <w:r>
        <w:rPr>
          <w:color w:val="383638"/>
          <w:w w:val="110"/>
          <w:sz w:val="23"/>
        </w:rPr>
        <w:t> </w:t>
      </w:r>
      <w:r>
        <w:rPr>
          <w:color w:val="383638"/>
          <w:spacing w:val="-1"/>
          <w:w w:val="110"/>
          <w:sz w:val="23"/>
        </w:rPr>
        <w:t>use appellate stand</w:t>
      </w:r>
      <w:r>
        <w:rPr>
          <w:color w:val="525052"/>
          <w:spacing w:val="-1"/>
          <w:w w:val="110"/>
          <w:sz w:val="23"/>
        </w:rPr>
        <w:t>a</w:t>
      </w:r>
      <w:r>
        <w:rPr>
          <w:color w:val="383638"/>
          <w:spacing w:val="-1"/>
          <w:w w:val="110"/>
          <w:sz w:val="23"/>
        </w:rPr>
        <w:t>rds of review </w:t>
      </w:r>
      <w:r>
        <w:rPr>
          <w:color w:val="383638"/>
          <w:w w:val="110"/>
          <w:sz w:val="23"/>
        </w:rPr>
        <w:t>when they review </w:t>
      </w:r>
      <w:r>
        <w:rPr>
          <w:i/>
          <w:color w:val="383638"/>
          <w:w w:val="110"/>
          <w:sz w:val="23"/>
        </w:rPr>
        <w:t>lower</w:t>
      </w:r>
      <w:r>
        <w:rPr>
          <w:i/>
          <w:color w:val="383638"/>
          <w:spacing w:val="1"/>
          <w:w w:val="110"/>
          <w:sz w:val="23"/>
        </w:rPr>
        <w:t> </w:t>
      </w:r>
      <w:r>
        <w:rPr>
          <w:i/>
          <w:color w:val="383638"/>
          <w:w w:val="105"/>
          <w:sz w:val="23"/>
        </w:rPr>
        <w:t>court decisions. </w:t>
      </w:r>
      <w:r>
        <w:rPr>
          <w:color w:val="383638"/>
          <w:w w:val="105"/>
          <w:sz w:val="23"/>
        </w:rPr>
        <w:t>(2) </w:t>
      </w:r>
      <w:r>
        <w:rPr>
          <w:i/>
          <w:color w:val="383638"/>
          <w:w w:val="105"/>
          <w:sz w:val="23"/>
        </w:rPr>
        <w:t>Any </w:t>
      </w:r>
      <w:r>
        <w:rPr>
          <w:color w:val="383638"/>
          <w:w w:val="105"/>
          <w:sz w:val="23"/>
        </w:rPr>
        <w:t>court (trial or appellate)  may use a </w:t>
      </w:r>
      <w:r>
        <w:rPr>
          <w:i/>
          <w:color w:val="383638"/>
          <w:w w:val="105"/>
          <w:sz w:val="23"/>
        </w:rPr>
        <w:t>motion </w:t>
      </w:r>
      <w:r>
        <w:rPr>
          <w:color w:val="383638"/>
          <w:w w:val="105"/>
          <w:sz w:val="23"/>
        </w:rPr>
        <w:t>standard</w:t>
      </w:r>
      <w:r>
        <w:rPr>
          <w:color w:val="383638"/>
          <w:spacing w:val="1"/>
          <w:w w:val="105"/>
          <w:sz w:val="23"/>
        </w:rPr>
        <w:t> </w:t>
      </w:r>
      <w:r>
        <w:rPr>
          <w:color w:val="383638"/>
          <w:w w:val="110"/>
          <w:sz w:val="23"/>
        </w:rPr>
        <w:t>of</w:t>
      </w:r>
      <w:r>
        <w:rPr>
          <w:color w:val="383638"/>
          <w:spacing w:val="13"/>
          <w:w w:val="110"/>
          <w:sz w:val="23"/>
        </w:rPr>
        <w:t> </w:t>
      </w:r>
      <w:r>
        <w:rPr>
          <w:color w:val="383638"/>
          <w:w w:val="110"/>
          <w:sz w:val="23"/>
        </w:rPr>
        <w:t>review</w:t>
      </w:r>
      <w:r>
        <w:rPr>
          <w:color w:val="383638"/>
          <w:spacing w:val="3"/>
          <w:w w:val="110"/>
          <w:sz w:val="23"/>
        </w:rPr>
        <w:t> </w:t>
      </w:r>
      <w:r>
        <w:rPr>
          <w:color w:val="383638"/>
          <w:w w:val="110"/>
          <w:sz w:val="23"/>
        </w:rPr>
        <w:t>to</w:t>
      </w:r>
      <w:r>
        <w:rPr>
          <w:color w:val="383638"/>
          <w:spacing w:val="24"/>
          <w:w w:val="110"/>
          <w:sz w:val="23"/>
        </w:rPr>
        <w:t> </w:t>
      </w:r>
      <w:r>
        <w:rPr>
          <w:color w:val="383638"/>
          <w:w w:val="110"/>
          <w:sz w:val="23"/>
        </w:rPr>
        <w:t>decide,</w:t>
      </w:r>
      <w:r>
        <w:rPr>
          <w:color w:val="383638"/>
          <w:spacing w:val="7"/>
          <w:w w:val="110"/>
          <w:sz w:val="23"/>
        </w:rPr>
        <w:t> </w:t>
      </w:r>
      <w:r>
        <w:rPr>
          <w:color w:val="383638"/>
          <w:w w:val="110"/>
          <w:sz w:val="23"/>
        </w:rPr>
        <w:t>or</w:t>
      </w:r>
      <w:r>
        <w:rPr>
          <w:color w:val="383638"/>
          <w:spacing w:val="28"/>
          <w:w w:val="110"/>
          <w:sz w:val="23"/>
        </w:rPr>
        <w:t> </w:t>
      </w:r>
      <w:r>
        <w:rPr>
          <w:color w:val="383638"/>
          <w:w w:val="110"/>
          <w:sz w:val="23"/>
        </w:rPr>
        <w:t>to</w:t>
      </w:r>
      <w:r>
        <w:rPr>
          <w:color w:val="383638"/>
          <w:spacing w:val="29"/>
          <w:w w:val="110"/>
          <w:sz w:val="23"/>
        </w:rPr>
        <w:t> </w:t>
      </w:r>
      <w:r>
        <w:rPr>
          <w:color w:val="383638"/>
          <w:w w:val="110"/>
          <w:sz w:val="23"/>
        </w:rPr>
        <w:t>review</w:t>
      </w:r>
      <w:r>
        <w:rPr>
          <w:color w:val="383638"/>
          <w:spacing w:val="15"/>
          <w:w w:val="110"/>
          <w:sz w:val="23"/>
        </w:rPr>
        <w:t> </w:t>
      </w:r>
      <w:r>
        <w:rPr>
          <w:color w:val="383638"/>
          <w:w w:val="110"/>
          <w:sz w:val="23"/>
        </w:rPr>
        <w:t>the</w:t>
      </w:r>
      <w:r>
        <w:rPr>
          <w:color w:val="383638"/>
          <w:spacing w:val="44"/>
          <w:w w:val="110"/>
          <w:sz w:val="23"/>
        </w:rPr>
        <w:t> </w:t>
      </w:r>
      <w:r>
        <w:rPr>
          <w:color w:val="383638"/>
          <w:w w:val="110"/>
          <w:sz w:val="23"/>
        </w:rPr>
        <w:t>validity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of</w:t>
      </w:r>
      <w:r>
        <w:rPr>
          <w:color w:val="383638"/>
          <w:spacing w:val="19"/>
          <w:w w:val="110"/>
          <w:sz w:val="23"/>
        </w:rPr>
        <w:t> </w:t>
      </w:r>
      <w:r>
        <w:rPr>
          <w:color w:val="383638"/>
          <w:w w:val="110"/>
          <w:sz w:val="23"/>
        </w:rPr>
        <w:t>a</w:t>
      </w:r>
      <w:r>
        <w:rPr>
          <w:color w:val="383638"/>
          <w:spacing w:val="12"/>
          <w:w w:val="110"/>
          <w:sz w:val="23"/>
        </w:rPr>
        <w:t> </w:t>
      </w:r>
      <w:r>
        <w:rPr>
          <w:color w:val="383638"/>
          <w:w w:val="110"/>
          <w:sz w:val="23"/>
        </w:rPr>
        <w:t>d</w:t>
      </w:r>
      <w:r>
        <w:rPr>
          <w:color w:val="525052"/>
          <w:w w:val="110"/>
          <w:sz w:val="23"/>
        </w:rPr>
        <w:t>e</w:t>
      </w:r>
      <w:r>
        <w:rPr>
          <w:color w:val="383638"/>
          <w:w w:val="110"/>
          <w:sz w:val="23"/>
        </w:rPr>
        <w:t>cision</w:t>
      </w:r>
      <w:r>
        <w:rPr>
          <w:color w:val="383638"/>
          <w:spacing w:val="30"/>
          <w:w w:val="110"/>
          <w:sz w:val="23"/>
        </w:rPr>
        <w:t> </w:t>
      </w:r>
      <w:r>
        <w:rPr>
          <w:color w:val="383638"/>
          <w:w w:val="110"/>
          <w:sz w:val="23"/>
        </w:rPr>
        <w:t>on,</w:t>
      </w:r>
      <w:r>
        <w:rPr>
          <w:color w:val="383638"/>
          <w:spacing w:val="40"/>
          <w:w w:val="110"/>
          <w:sz w:val="23"/>
        </w:rPr>
        <w:t> </w:t>
      </w:r>
      <w:r>
        <w:rPr>
          <w:color w:val="383638"/>
          <w:w w:val="110"/>
          <w:sz w:val="23"/>
        </w:rPr>
        <w:t>a</w:t>
      </w:r>
      <w:r>
        <w:rPr>
          <w:color w:val="383638"/>
          <w:spacing w:val="24"/>
          <w:w w:val="110"/>
          <w:sz w:val="23"/>
        </w:rPr>
        <w:t> </w:t>
      </w:r>
      <w:r>
        <w:rPr>
          <w:i/>
          <w:color w:val="383638"/>
          <w:w w:val="110"/>
          <w:sz w:val="23"/>
        </w:rPr>
        <w:t>motion.</w:t>
      </w:r>
    </w:p>
    <w:p>
      <w:pPr>
        <w:pStyle w:val="ListParagraph"/>
        <w:numPr>
          <w:ilvl w:val="0"/>
          <w:numId w:val="20"/>
        </w:numPr>
        <w:tabs>
          <w:tab w:pos="478" w:val="left" w:leader="none"/>
        </w:tabs>
        <w:spacing w:line="232" w:lineRule="auto" w:before="0" w:after="0"/>
        <w:ind w:left="118" w:right="183" w:firstLine="10"/>
        <w:jc w:val="both"/>
        <w:rPr>
          <w:color w:val="383638"/>
          <w:sz w:val="23"/>
        </w:rPr>
      </w:pPr>
      <w:r>
        <w:rPr>
          <w:i/>
          <w:color w:val="383638"/>
          <w:w w:val="110"/>
          <w:sz w:val="23"/>
        </w:rPr>
        <w:t>Any </w:t>
      </w:r>
      <w:r>
        <w:rPr>
          <w:color w:val="383638"/>
          <w:w w:val="110"/>
          <w:sz w:val="23"/>
        </w:rPr>
        <w:t>court (trial or appellate) may use a </w:t>
      </w:r>
      <w:r>
        <w:rPr>
          <w:i/>
          <w:color w:val="383638"/>
          <w:w w:val="110"/>
          <w:sz w:val="23"/>
        </w:rPr>
        <w:t>government action </w:t>
      </w:r>
      <w:r>
        <w:rPr>
          <w:color w:val="383638"/>
          <w:w w:val="110"/>
          <w:sz w:val="23"/>
        </w:rPr>
        <w:t>standard of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05"/>
          <w:sz w:val="23"/>
        </w:rPr>
        <w:t>review to review </w:t>
      </w:r>
      <w:r>
        <w:rPr>
          <w:i/>
          <w:color w:val="383638"/>
          <w:w w:val="105"/>
          <w:sz w:val="23"/>
        </w:rPr>
        <w:t>actions by governmental entities </w:t>
      </w:r>
      <w:r>
        <w:rPr>
          <w:color w:val="383638"/>
          <w:w w:val="105"/>
          <w:sz w:val="23"/>
        </w:rPr>
        <w:t>or to</w:t>
      </w:r>
      <w:r>
        <w:rPr>
          <w:color w:val="383638"/>
          <w:spacing w:val="1"/>
          <w:w w:val="105"/>
          <w:sz w:val="23"/>
        </w:rPr>
        <w:t> </w:t>
      </w:r>
      <w:r>
        <w:rPr>
          <w:color w:val="383638"/>
          <w:w w:val="105"/>
          <w:sz w:val="23"/>
        </w:rPr>
        <w:t>review the  validity of</w:t>
      </w:r>
      <w:r>
        <w:rPr>
          <w:color w:val="383638"/>
          <w:spacing w:val="-59"/>
          <w:w w:val="105"/>
          <w:sz w:val="23"/>
        </w:rPr>
        <w:t> </w:t>
      </w:r>
      <w:r>
        <w:rPr>
          <w:color w:val="383638"/>
          <w:w w:val="110"/>
          <w:sz w:val="23"/>
        </w:rPr>
        <w:t>a court's decision about the government action</w:t>
      </w:r>
      <w:r>
        <w:rPr>
          <w:color w:val="525052"/>
          <w:w w:val="110"/>
          <w:sz w:val="23"/>
        </w:rPr>
        <w:t>. </w:t>
      </w:r>
      <w:r>
        <w:rPr>
          <w:color w:val="383638"/>
          <w:w w:val="110"/>
          <w:sz w:val="23"/>
        </w:rPr>
        <w:t>The chart below will help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you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to</w:t>
      </w:r>
      <w:r>
        <w:rPr>
          <w:color w:val="383638"/>
          <w:spacing w:val="15"/>
          <w:w w:val="110"/>
          <w:sz w:val="23"/>
        </w:rPr>
        <w:t> </w:t>
      </w:r>
      <w:r>
        <w:rPr>
          <w:color w:val="383638"/>
          <w:w w:val="110"/>
          <w:sz w:val="23"/>
        </w:rPr>
        <w:t>understand</w:t>
      </w:r>
      <w:r>
        <w:rPr>
          <w:color w:val="383638"/>
          <w:spacing w:val="18"/>
          <w:w w:val="110"/>
          <w:sz w:val="23"/>
        </w:rPr>
        <w:t> </w:t>
      </w:r>
      <w:r>
        <w:rPr>
          <w:color w:val="383638"/>
          <w:w w:val="110"/>
          <w:sz w:val="23"/>
        </w:rPr>
        <w:t>these</w:t>
      </w:r>
      <w:r>
        <w:rPr>
          <w:color w:val="383638"/>
          <w:spacing w:val="-12"/>
          <w:w w:val="110"/>
          <w:sz w:val="23"/>
        </w:rPr>
        <w:t> </w:t>
      </w:r>
      <w:r>
        <w:rPr>
          <w:color w:val="383638"/>
          <w:w w:val="110"/>
          <w:sz w:val="23"/>
        </w:rPr>
        <w:t>three</w:t>
      </w:r>
      <w:r>
        <w:rPr>
          <w:color w:val="383638"/>
          <w:spacing w:val="-23"/>
          <w:w w:val="110"/>
          <w:sz w:val="23"/>
        </w:rPr>
        <w:t> </w:t>
      </w:r>
      <w:r>
        <w:rPr>
          <w:color w:val="383638"/>
          <w:w w:val="110"/>
          <w:sz w:val="23"/>
        </w:rPr>
        <w:t>different</w:t>
      </w:r>
      <w:r>
        <w:rPr>
          <w:color w:val="383638"/>
          <w:spacing w:val="-8"/>
          <w:w w:val="110"/>
          <w:sz w:val="23"/>
        </w:rPr>
        <w:t> </w:t>
      </w:r>
      <w:r>
        <w:rPr>
          <w:color w:val="383638"/>
          <w:w w:val="110"/>
          <w:sz w:val="23"/>
        </w:rPr>
        <w:t>standards.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</w:p>
    <w:tbl>
      <w:tblPr>
        <w:tblW w:w="0" w:type="auto"/>
        <w:jc w:val="left"/>
        <w:tblInd w:w="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0"/>
        <w:gridCol w:w="1706"/>
        <w:gridCol w:w="1671"/>
        <w:gridCol w:w="1501"/>
        <w:gridCol w:w="241"/>
      </w:tblGrid>
      <w:tr>
        <w:trPr>
          <w:trHeight w:val="531" w:hRule="atLeast"/>
        </w:trPr>
        <w:tc>
          <w:tcPr>
            <w:tcW w:w="2140" w:type="dxa"/>
            <w:tcBorders>
              <w:top w:val="single" w:sz="12" w:space="0" w:color="000000"/>
              <w:lef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76" w:lineRule="exact" w:before="129"/>
              <w:ind w:left="436"/>
              <w:rPr>
                <w:b/>
                <w:sz w:val="16"/>
              </w:rPr>
            </w:pPr>
            <w:r>
              <w:rPr>
                <w:b/>
                <w:color w:val="383638"/>
                <w:sz w:val="16"/>
              </w:rPr>
              <w:t>TYPE</w:t>
            </w:r>
            <w:r>
              <w:rPr>
                <w:b/>
                <w:color w:val="383638"/>
                <w:spacing w:val="-4"/>
                <w:sz w:val="16"/>
              </w:rPr>
              <w:t> </w:t>
            </w:r>
            <w:r>
              <w:rPr>
                <w:b/>
                <w:color w:val="383638"/>
                <w:sz w:val="16"/>
              </w:rPr>
              <w:t>OF</w:t>
            </w:r>
          </w:p>
        </w:tc>
        <w:tc>
          <w:tcPr>
            <w:tcW w:w="1706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76" w:lineRule="exact" w:before="129"/>
              <w:ind w:left="171"/>
              <w:rPr>
                <w:b/>
                <w:sz w:val="16"/>
              </w:rPr>
            </w:pPr>
            <w:r>
              <w:rPr>
                <w:b/>
                <w:color w:val="383638"/>
                <w:w w:val="120"/>
                <w:sz w:val="16"/>
              </w:rPr>
              <w:t>MOTION</w:t>
            </w:r>
          </w:p>
        </w:tc>
        <w:tc>
          <w:tcPr>
            <w:tcW w:w="1671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66" w:lineRule="exact" w:before="138"/>
              <w:ind w:left="117"/>
              <w:rPr>
                <w:b/>
                <w:sz w:val="16"/>
              </w:rPr>
            </w:pPr>
            <w:r>
              <w:rPr>
                <w:b/>
                <w:color w:val="383638"/>
                <w:w w:val="110"/>
                <w:sz w:val="16"/>
              </w:rPr>
              <w:t>GOVERNMENT</w:t>
            </w:r>
          </w:p>
        </w:tc>
        <w:tc>
          <w:tcPr>
            <w:tcW w:w="1501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66" w:lineRule="exact" w:before="138"/>
              <w:ind w:left="93"/>
              <w:rPr>
                <w:b/>
                <w:sz w:val="16"/>
              </w:rPr>
            </w:pPr>
            <w:r>
              <w:rPr>
                <w:b/>
                <w:color w:val="383638"/>
                <w:sz w:val="16"/>
              </w:rPr>
              <w:t>APPELLATE</w:t>
            </w:r>
          </w:p>
        </w:tc>
        <w:tc>
          <w:tcPr>
            <w:tcW w:w="241" w:type="dxa"/>
            <w:vMerge w:val="restart"/>
            <w:tcBorders>
              <w:top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97" w:hRule="atLeast"/>
        </w:trPr>
        <w:tc>
          <w:tcPr>
            <w:tcW w:w="214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71" w:lineRule="exact" w:before="6"/>
              <w:ind w:left="444"/>
              <w:rPr>
                <w:b/>
                <w:sz w:val="16"/>
              </w:rPr>
            </w:pPr>
            <w:r>
              <w:rPr>
                <w:b/>
                <w:color w:val="383638"/>
                <w:w w:val="105"/>
                <w:sz w:val="16"/>
              </w:rPr>
              <w:t>STANDARD</w:t>
            </w:r>
            <w:r>
              <w:rPr>
                <w:b/>
                <w:color w:val="383638"/>
                <w:spacing w:val="3"/>
                <w:w w:val="105"/>
                <w:sz w:val="16"/>
              </w:rPr>
              <w:t> </w:t>
            </w:r>
            <w:r>
              <w:rPr>
                <w:b/>
                <w:color w:val="383638"/>
                <w:w w:val="105"/>
                <w:sz w:val="16"/>
              </w:rPr>
              <w:t>OF</w:t>
            </w:r>
          </w:p>
        </w:tc>
        <w:tc>
          <w:tcPr>
            <w:tcW w:w="1706" w:type="dxa"/>
          </w:tcPr>
          <w:p>
            <w:pPr>
              <w:pStyle w:val="TableParagraph"/>
              <w:spacing w:line="177" w:lineRule="exact"/>
              <w:ind w:left="177"/>
              <w:rPr>
                <w:b/>
                <w:sz w:val="16"/>
              </w:rPr>
            </w:pPr>
            <w:r>
              <w:rPr>
                <w:b/>
                <w:color w:val="383638"/>
                <w:w w:val="105"/>
                <w:sz w:val="16"/>
              </w:rPr>
              <w:t>STANDARD</w:t>
            </w:r>
            <w:r>
              <w:rPr>
                <w:b/>
                <w:color w:val="383638"/>
                <w:spacing w:val="11"/>
                <w:w w:val="105"/>
                <w:sz w:val="16"/>
              </w:rPr>
              <w:t> </w:t>
            </w:r>
            <w:r>
              <w:rPr>
                <w:b/>
                <w:color w:val="383638"/>
                <w:w w:val="105"/>
                <w:sz w:val="16"/>
              </w:rPr>
              <w:t>OF</w:t>
            </w:r>
          </w:p>
        </w:tc>
        <w:tc>
          <w:tcPr>
            <w:tcW w:w="1671" w:type="dxa"/>
          </w:tcPr>
          <w:p>
            <w:pPr>
              <w:pStyle w:val="TableParagraph"/>
              <w:spacing w:line="171" w:lineRule="exact" w:before="6"/>
              <w:ind w:left="125"/>
              <w:rPr>
                <w:b/>
                <w:sz w:val="16"/>
              </w:rPr>
            </w:pPr>
            <w:r>
              <w:rPr>
                <w:b/>
                <w:color w:val="383638"/>
                <w:w w:val="115"/>
                <w:sz w:val="16"/>
              </w:rPr>
              <w:t>ACTION</w:t>
            </w:r>
          </w:p>
        </w:tc>
        <w:tc>
          <w:tcPr>
            <w:tcW w:w="1501" w:type="dxa"/>
          </w:tcPr>
          <w:p>
            <w:pPr>
              <w:pStyle w:val="TableParagraph"/>
              <w:spacing w:line="171" w:lineRule="exact" w:before="6"/>
              <w:ind w:left="106"/>
              <w:rPr>
                <w:b/>
                <w:sz w:val="16"/>
              </w:rPr>
            </w:pPr>
            <w:r>
              <w:rPr>
                <w:b/>
                <w:color w:val="383638"/>
                <w:w w:val="105"/>
                <w:sz w:val="16"/>
              </w:rPr>
              <w:t>STANDARD</w:t>
            </w:r>
          </w:p>
        </w:tc>
        <w:tc>
          <w:tcPr>
            <w:tcW w:w="241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2" w:hRule="atLeast"/>
        </w:trPr>
        <w:tc>
          <w:tcPr>
            <w:tcW w:w="214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71" w:lineRule="exact" w:before="11"/>
              <w:ind w:left="438"/>
              <w:rPr>
                <w:b/>
                <w:sz w:val="16"/>
              </w:rPr>
            </w:pPr>
            <w:r>
              <w:rPr>
                <w:b/>
                <w:color w:val="383638"/>
                <w:w w:val="105"/>
                <w:sz w:val="16"/>
              </w:rPr>
              <w:t>REVIEW:</w:t>
            </w:r>
          </w:p>
        </w:tc>
        <w:tc>
          <w:tcPr>
            <w:tcW w:w="1706" w:type="dxa"/>
          </w:tcPr>
          <w:p>
            <w:pPr>
              <w:pStyle w:val="TableParagraph"/>
              <w:spacing w:line="180" w:lineRule="exact" w:before="2"/>
              <w:ind w:left="181"/>
              <w:rPr>
                <w:b/>
                <w:sz w:val="16"/>
              </w:rPr>
            </w:pPr>
            <w:r>
              <w:rPr>
                <w:b/>
                <w:color w:val="383638"/>
                <w:sz w:val="16"/>
              </w:rPr>
              <w:t>REVIEWSO</w:t>
            </w:r>
          </w:p>
        </w:tc>
        <w:tc>
          <w:tcPr>
            <w:tcW w:w="1671" w:type="dxa"/>
          </w:tcPr>
          <w:p>
            <w:pPr>
              <w:pStyle w:val="TableParagraph"/>
              <w:spacing w:line="171" w:lineRule="exact" w:before="11"/>
              <w:ind w:left="129"/>
              <w:rPr>
                <w:b/>
                <w:sz w:val="16"/>
              </w:rPr>
            </w:pPr>
            <w:r>
              <w:rPr>
                <w:b/>
                <w:color w:val="383638"/>
                <w:w w:val="105"/>
                <w:sz w:val="16"/>
              </w:rPr>
              <w:t>STANDARD</w:t>
            </w:r>
            <w:r>
              <w:rPr>
                <w:b/>
                <w:color w:val="383638"/>
                <w:spacing w:val="9"/>
                <w:w w:val="105"/>
                <w:sz w:val="16"/>
              </w:rPr>
              <w:t> </w:t>
            </w:r>
            <w:r>
              <w:rPr>
                <w:b/>
                <w:color w:val="383638"/>
                <w:w w:val="105"/>
                <w:sz w:val="16"/>
              </w:rPr>
              <w:t>OF</w:t>
            </w:r>
          </w:p>
        </w:tc>
        <w:tc>
          <w:tcPr>
            <w:tcW w:w="1501" w:type="dxa"/>
          </w:tcPr>
          <w:p>
            <w:pPr>
              <w:pStyle w:val="TableParagraph"/>
              <w:spacing w:line="171" w:lineRule="exact" w:before="11"/>
              <w:ind w:left="95"/>
              <w:rPr>
                <w:b/>
                <w:sz w:val="16"/>
              </w:rPr>
            </w:pPr>
            <w:r>
              <w:rPr>
                <w:color w:val="383638"/>
                <w:w w:val="105"/>
                <w:sz w:val="16"/>
              </w:rPr>
              <w:t>OF</w:t>
            </w:r>
            <w:r>
              <w:rPr>
                <w:color w:val="383638"/>
                <w:spacing w:val="-3"/>
                <w:w w:val="105"/>
                <w:sz w:val="16"/>
              </w:rPr>
              <w:t> </w:t>
            </w:r>
            <w:r>
              <w:rPr>
                <w:b/>
                <w:color w:val="383638"/>
                <w:w w:val="105"/>
                <w:sz w:val="16"/>
              </w:rPr>
              <w:t>REVIEW</w:t>
            </w:r>
          </w:p>
        </w:tc>
        <w:tc>
          <w:tcPr>
            <w:tcW w:w="241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" w:hRule="atLeast"/>
        </w:trPr>
        <w:tc>
          <w:tcPr>
            <w:tcW w:w="2140" w:type="dxa"/>
            <w:tcBorders>
              <w:left w:val="single" w:sz="18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6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44" w:lineRule="exact" w:before="2"/>
              <w:ind w:left="123"/>
              <w:rPr>
                <w:b/>
                <w:sz w:val="16"/>
              </w:rPr>
            </w:pPr>
            <w:r>
              <w:rPr>
                <w:b/>
                <w:color w:val="383638"/>
                <w:w w:val="105"/>
                <w:sz w:val="16"/>
              </w:rPr>
              <w:t>REVIEW</w:t>
            </w:r>
          </w:p>
        </w:tc>
        <w:tc>
          <w:tcPr>
            <w:tcW w:w="1501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1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2140" w:type="dxa"/>
            <w:tcBorders>
              <w:top w:val="single" w:sz="12" w:space="0" w:color="000000"/>
              <w:left w:val="single" w:sz="18" w:space="0" w:color="000000"/>
            </w:tcBorders>
          </w:tcPr>
          <w:p>
            <w:pPr>
              <w:pStyle w:val="TableParagraph"/>
              <w:spacing w:line="216" w:lineRule="exact" w:before="78"/>
              <w:ind w:left="454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83638"/>
                <w:sz w:val="21"/>
              </w:rPr>
              <w:t>Type</w:t>
            </w:r>
            <w:r>
              <w:rPr>
                <w:rFonts w:ascii="Times New Roman"/>
                <w:i/>
                <w:color w:val="383638"/>
                <w:spacing w:val="-11"/>
                <w:sz w:val="21"/>
              </w:rPr>
              <w:t> </w:t>
            </w:r>
            <w:r>
              <w:rPr>
                <w:rFonts w:ascii="Times New Roman"/>
                <w:color w:val="383638"/>
                <w:sz w:val="20"/>
              </w:rPr>
              <w:t>of</w:t>
            </w:r>
            <w:r>
              <w:rPr>
                <w:rFonts w:ascii="Times New Roman"/>
                <w:color w:val="383638"/>
                <w:spacing w:val="22"/>
                <w:sz w:val="20"/>
              </w:rPr>
              <w:t> </w:t>
            </w:r>
            <w:r>
              <w:rPr>
                <w:rFonts w:ascii="Times New Roman"/>
                <w:i/>
                <w:color w:val="383638"/>
                <w:sz w:val="21"/>
              </w:rPr>
              <w:t>court</w:t>
            </w:r>
          </w:p>
        </w:tc>
        <w:tc>
          <w:tcPr>
            <w:tcW w:w="170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98" w:lineRule="exact" w:before="95"/>
              <w:ind w:left="178"/>
              <w:rPr>
                <w:sz w:val="19"/>
              </w:rPr>
            </w:pPr>
            <w:r>
              <w:rPr>
                <w:color w:val="383638"/>
                <w:w w:val="105"/>
                <w:sz w:val="19"/>
              </w:rPr>
              <w:t>Trial</w:t>
            </w:r>
            <w:r>
              <w:rPr>
                <w:color w:val="383638"/>
                <w:spacing w:val="-2"/>
                <w:w w:val="105"/>
                <w:sz w:val="19"/>
              </w:rPr>
              <w:t> </w:t>
            </w:r>
            <w:r>
              <w:rPr>
                <w:color w:val="383638"/>
                <w:w w:val="105"/>
                <w:sz w:val="19"/>
              </w:rPr>
              <w:t>court</w:t>
            </w:r>
          </w:p>
        </w:tc>
        <w:tc>
          <w:tcPr>
            <w:tcW w:w="167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98" w:lineRule="exact" w:before="95"/>
              <w:ind w:left="121"/>
              <w:rPr>
                <w:sz w:val="19"/>
              </w:rPr>
            </w:pPr>
            <w:r>
              <w:rPr>
                <w:color w:val="383638"/>
                <w:spacing w:val="-1"/>
                <w:w w:val="110"/>
                <w:sz w:val="19"/>
              </w:rPr>
              <w:t>Trial</w:t>
            </w:r>
            <w:r>
              <w:rPr>
                <w:color w:val="383638"/>
                <w:spacing w:val="-17"/>
                <w:w w:val="110"/>
                <w:sz w:val="19"/>
              </w:rPr>
              <w:t> </w:t>
            </w:r>
            <w:r>
              <w:rPr>
                <w:color w:val="383638"/>
                <w:w w:val="110"/>
                <w:sz w:val="19"/>
              </w:rPr>
              <w:t>court</w:t>
            </w:r>
          </w:p>
        </w:tc>
        <w:tc>
          <w:tcPr>
            <w:tcW w:w="150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98" w:lineRule="exact" w:before="95"/>
              <w:ind w:left="104"/>
              <w:rPr>
                <w:sz w:val="19"/>
              </w:rPr>
            </w:pPr>
            <w:r>
              <w:rPr>
                <w:color w:val="383638"/>
                <w:w w:val="105"/>
                <w:sz w:val="19"/>
              </w:rPr>
              <w:t>I</w:t>
            </w:r>
            <w:r>
              <w:rPr>
                <w:color w:val="525052"/>
                <w:w w:val="105"/>
                <w:sz w:val="19"/>
              </w:rPr>
              <w:t>n</w:t>
            </w:r>
            <w:r>
              <w:rPr>
                <w:color w:val="383638"/>
                <w:w w:val="105"/>
                <w:sz w:val="19"/>
              </w:rPr>
              <w:t>termediate</w:t>
            </w:r>
          </w:p>
        </w:tc>
        <w:tc>
          <w:tcPr>
            <w:tcW w:w="241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214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97" w:lineRule="exact"/>
              <w:ind w:left="450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83638"/>
                <w:w w:val="110"/>
                <w:sz w:val="21"/>
              </w:rPr>
              <w:t>that</w:t>
            </w:r>
            <w:r>
              <w:rPr>
                <w:rFonts w:ascii="Times New Roman"/>
                <w:i/>
                <w:color w:val="383638"/>
                <w:spacing w:val="-8"/>
                <w:w w:val="110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w w:val="110"/>
                <w:sz w:val="21"/>
              </w:rPr>
              <w:t>may</w:t>
            </w:r>
            <w:r>
              <w:rPr>
                <w:rFonts w:ascii="Times New Roman"/>
                <w:i/>
                <w:color w:val="383638"/>
                <w:spacing w:val="-13"/>
                <w:w w:val="110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w w:val="110"/>
                <w:sz w:val="21"/>
              </w:rPr>
              <w:t>use</w:t>
            </w:r>
            <w:r>
              <w:rPr>
                <w:rFonts w:ascii="Times New Roman"/>
                <w:i/>
                <w:color w:val="383638"/>
                <w:spacing w:val="-24"/>
                <w:w w:val="110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w w:val="110"/>
                <w:sz w:val="21"/>
              </w:rPr>
              <w:t>this</w:t>
            </w:r>
          </w:p>
        </w:tc>
        <w:tc>
          <w:tcPr>
            <w:tcW w:w="1706" w:type="dxa"/>
          </w:tcPr>
          <w:p>
            <w:pPr>
              <w:pStyle w:val="TableParagraph"/>
              <w:spacing w:line="193" w:lineRule="exact" w:before="3"/>
              <w:ind w:left="175"/>
              <w:rPr>
                <w:sz w:val="19"/>
              </w:rPr>
            </w:pPr>
            <w:r>
              <w:rPr>
                <w:color w:val="383638"/>
                <w:w w:val="110"/>
                <w:sz w:val="19"/>
              </w:rPr>
              <w:t>Intermediate</w:t>
            </w:r>
          </w:p>
        </w:tc>
        <w:tc>
          <w:tcPr>
            <w:tcW w:w="1671" w:type="dxa"/>
          </w:tcPr>
          <w:p>
            <w:pPr>
              <w:pStyle w:val="TableParagraph"/>
              <w:spacing w:line="193" w:lineRule="exact" w:before="3"/>
              <w:ind w:left="126"/>
              <w:rPr>
                <w:sz w:val="19"/>
              </w:rPr>
            </w:pPr>
            <w:r>
              <w:rPr>
                <w:color w:val="383638"/>
                <w:w w:val="110"/>
                <w:sz w:val="19"/>
              </w:rPr>
              <w:t>Intermediate</w:t>
            </w:r>
          </w:p>
        </w:tc>
        <w:tc>
          <w:tcPr>
            <w:tcW w:w="1501" w:type="dxa"/>
          </w:tcPr>
          <w:p>
            <w:pPr>
              <w:pStyle w:val="TableParagraph"/>
              <w:spacing w:line="193" w:lineRule="exact" w:before="3"/>
              <w:ind w:left="104"/>
              <w:rPr>
                <w:sz w:val="19"/>
              </w:rPr>
            </w:pPr>
            <w:r>
              <w:rPr>
                <w:color w:val="383638"/>
                <w:sz w:val="19"/>
              </w:rPr>
              <w:t>court</w:t>
            </w:r>
            <w:r>
              <w:rPr>
                <w:color w:val="383638"/>
                <w:spacing w:val="-6"/>
                <w:sz w:val="19"/>
              </w:rPr>
              <w:t> </w:t>
            </w:r>
            <w:r>
              <w:rPr>
                <w:color w:val="383638"/>
                <w:sz w:val="19"/>
              </w:rPr>
              <w:t>of</w:t>
            </w:r>
            <w:r>
              <w:rPr>
                <w:color w:val="383638"/>
                <w:spacing w:val="7"/>
                <w:sz w:val="19"/>
              </w:rPr>
              <w:t> </w:t>
            </w:r>
            <w:r>
              <w:rPr>
                <w:color w:val="383638"/>
                <w:sz w:val="19"/>
              </w:rPr>
              <w:t>appeals</w:t>
            </w:r>
          </w:p>
        </w:tc>
        <w:tc>
          <w:tcPr>
            <w:tcW w:w="241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6" w:hRule="atLeast"/>
        </w:trPr>
        <w:tc>
          <w:tcPr>
            <w:tcW w:w="214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07" w:lineRule="exact"/>
              <w:ind w:left="451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83638"/>
                <w:w w:val="105"/>
                <w:sz w:val="21"/>
              </w:rPr>
              <w:t>standard:</w:t>
            </w:r>
          </w:p>
        </w:tc>
        <w:tc>
          <w:tcPr>
            <w:tcW w:w="1706" w:type="dxa"/>
          </w:tcPr>
          <w:p>
            <w:pPr>
              <w:pStyle w:val="TableParagraph"/>
              <w:spacing w:line="207" w:lineRule="exact"/>
              <w:ind w:left="185"/>
              <w:rPr>
                <w:sz w:val="19"/>
              </w:rPr>
            </w:pPr>
            <w:r>
              <w:rPr>
                <w:color w:val="383638"/>
                <w:w w:val="105"/>
                <w:sz w:val="19"/>
              </w:rPr>
              <w:t>court</w:t>
            </w:r>
            <w:r>
              <w:rPr>
                <w:color w:val="383638"/>
                <w:spacing w:val="-2"/>
                <w:w w:val="105"/>
                <w:sz w:val="19"/>
              </w:rPr>
              <w:t> </w:t>
            </w:r>
            <w:r>
              <w:rPr>
                <w:color w:val="383638"/>
                <w:w w:val="105"/>
                <w:sz w:val="19"/>
              </w:rPr>
              <w:t>of</w:t>
            </w:r>
            <w:r>
              <w:rPr>
                <w:color w:val="383638"/>
                <w:spacing w:val="4"/>
                <w:w w:val="105"/>
                <w:sz w:val="19"/>
              </w:rPr>
              <w:t> </w:t>
            </w:r>
            <w:r>
              <w:rPr>
                <w:color w:val="383638"/>
                <w:w w:val="105"/>
                <w:sz w:val="19"/>
              </w:rPr>
              <w:t>appeals</w:t>
            </w:r>
          </w:p>
        </w:tc>
        <w:tc>
          <w:tcPr>
            <w:tcW w:w="1671" w:type="dxa"/>
          </w:tcPr>
          <w:p>
            <w:pPr>
              <w:pStyle w:val="TableParagraph"/>
              <w:spacing w:line="198" w:lineRule="exact" w:before="8"/>
              <w:ind w:left="127"/>
              <w:rPr>
                <w:sz w:val="19"/>
              </w:rPr>
            </w:pPr>
            <w:r>
              <w:rPr>
                <w:color w:val="383638"/>
                <w:w w:val="105"/>
                <w:sz w:val="19"/>
              </w:rPr>
              <w:t>court</w:t>
            </w:r>
            <w:r>
              <w:rPr>
                <w:color w:val="383638"/>
                <w:spacing w:val="-12"/>
                <w:w w:val="105"/>
                <w:sz w:val="19"/>
              </w:rPr>
              <w:t> </w:t>
            </w:r>
            <w:r>
              <w:rPr>
                <w:color w:val="383638"/>
                <w:w w:val="105"/>
                <w:sz w:val="19"/>
              </w:rPr>
              <w:t>of</w:t>
            </w:r>
            <w:r>
              <w:rPr>
                <w:color w:val="383638"/>
                <w:spacing w:val="13"/>
                <w:w w:val="105"/>
                <w:sz w:val="19"/>
              </w:rPr>
              <w:t> </w:t>
            </w:r>
            <w:r>
              <w:rPr>
                <w:color w:val="383638"/>
                <w:w w:val="105"/>
                <w:sz w:val="19"/>
              </w:rPr>
              <w:t>appeals</w:t>
            </w:r>
          </w:p>
        </w:tc>
        <w:tc>
          <w:tcPr>
            <w:tcW w:w="1501" w:type="dxa"/>
          </w:tcPr>
          <w:p>
            <w:pPr>
              <w:pStyle w:val="TableParagraph"/>
              <w:spacing w:line="207" w:lineRule="exact"/>
              <w:ind w:left="112"/>
              <w:rPr>
                <w:sz w:val="19"/>
              </w:rPr>
            </w:pPr>
            <w:r>
              <w:rPr>
                <w:color w:val="383638"/>
                <w:w w:val="110"/>
                <w:sz w:val="19"/>
              </w:rPr>
              <w:t>Court</w:t>
            </w:r>
            <w:r>
              <w:rPr>
                <w:color w:val="383638"/>
                <w:spacing w:val="-14"/>
                <w:w w:val="110"/>
                <w:sz w:val="19"/>
              </w:rPr>
              <w:t> </w:t>
            </w:r>
            <w:r>
              <w:rPr>
                <w:color w:val="383638"/>
                <w:w w:val="110"/>
                <w:sz w:val="19"/>
              </w:rPr>
              <w:t>of</w:t>
            </w:r>
            <w:r>
              <w:rPr>
                <w:color w:val="383638"/>
                <w:spacing w:val="-12"/>
                <w:w w:val="110"/>
                <w:sz w:val="19"/>
              </w:rPr>
              <w:t> </w:t>
            </w:r>
            <w:r>
              <w:rPr>
                <w:color w:val="383638"/>
                <w:w w:val="110"/>
                <w:sz w:val="19"/>
              </w:rPr>
              <w:t>last</w:t>
            </w:r>
          </w:p>
        </w:tc>
        <w:tc>
          <w:tcPr>
            <w:tcW w:w="241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1" w:hRule="atLeast"/>
        </w:trPr>
        <w:tc>
          <w:tcPr>
            <w:tcW w:w="214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spacing w:line="202" w:lineRule="exact"/>
              <w:ind w:left="183"/>
              <w:rPr>
                <w:sz w:val="19"/>
              </w:rPr>
            </w:pPr>
            <w:r>
              <w:rPr>
                <w:color w:val="383638"/>
                <w:spacing w:val="-1"/>
                <w:w w:val="110"/>
                <w:sz w:val="19"/>
              </w:rPr>
              <w:t>Court</w:t>
            </w:r>
            <w:r>
              <w:rPr>
                <w:color w:val="383638"/>
                <w:spacing w:val="-18"/>
                <w:w w:val="110"/>
                <w:sz w:val="19"/>
              </w:rPr>
              <w:t> </w:t>
            </w:r>
            <w:r>
              <w:rPr>
                <w:color w:val="383638"/>
                <w:w w:val="110"/>
                <w:sz w:val="19"/>
              </w:rPr>
              <w:t>of last</w:t>
            </w:r>
          </w:p>
        </w:tc>
        <w:tc>
          <w:tcPr>
            <w:tcW w:w="1671" w:type="dxa"/>
          </w:tcPr>
          <w:p>
            <w:pPr>
              <w:pStyle w:val="TableParagraph"/>
              <w:spacing w:line="202" w:lineRule="exact"/>
              <w:ind w:left="135"/>
              <w:rPr>
                <w:sz w:val="19"/>
              </w:rPr>
            </w:pPr>
            <w:r>
              <w:rPr>
                <w:color w:val="383638"/>
                <w:spacing w:val="-1"/>
                <w:w w:val="110"/>
                <w:sz w:val="19"/>
              </w:rPr>
              <w:t>Court</w:t>
            </w:r>
            <w:r>
              <w:rPr>
                <w:color w:val="383638"/>
                <w:spacing w:val="-18"/>
                <w:w w:val="110"/>
                <w:sz w:val="19"/>
              </w:rPr>
              <w:t> </w:t>
            </w:r>
            <w:r>
              <w:rPr>
                <w:color w:val="383638"/>
                <w:w w:val="110"/>
                <w:sz w:val="19"/>
              </w:rPr>
              <w:t>of last</w:t>
            </w:r>
          </w:p>
        </w:tc>
        <w:tc>
          <w:tcPr>
            <w:tcW w:w="1501" w:type="dxa"/>
          </w:tcPr>
          <w:p>
            <w:pPr>
              <w:pStyle w:val="TableParagraph"/>
              <w:spacing w:line="198" w:lineRule="exact" w:before="3"/>
              <w:ind w:left="109"/>
              <w:rPr>
                <w:sz w:val="19"/>
              </w:rPr>
            </w:pPr>
            <w:r>
              <w:rPr>
                <w:color w:val="383638"/>
                <w:sz w:val="19"/>
              </w:rPr>
              <w:t>r</w:t>
            </w:r>
            <w:r>
              <w:rPr>
                <w:color w:val="525052"/>
                <w:sz w:val="19"/>
              </w:rPr>
              <w:t>e</w:t>
            </w:r>
            <w:r>
              <w:rPr>
                <w:color w:val="383638"/>
                <w:sz w:val="19"/>
              </w:rPr>
              <w:t>sort</w:t>
            </w:r>
          </w:p>
        </w:tc>
        <w:tc>
          <w:tcPr>
            <w:tcW w:w="241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2140" w:type="dxa"/>
            <w:tcBorders>
              <w:left w:val="single" w:sz="18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12" w:lineRule="exact"/>
              <w:ind w:left="180"/>
              <w:rPr>
                <w:sz w:val="19"/>
              </w:rPr>
            </w:pPr>
            <w:r>
              <w:rPr>
                <w:color w:val="383638"/>
                <w:w w:val="110"/>
                <w:sz w:val="19"/>
              </w:rPr>
              <w:t>resort</w:t>
            </w:r>
          </w:p>
        </w:tc>
        <w:tc>
          <w:tcPr>
            <w:tcW w:w="16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12" w:lineRule="exact"/>
              <w:ind w:left="141"/>
              <w:rPr>
                <w:sz w:val="19"/>
              </w:rPr>
            </w:pPr>
            <w:r>
              <w:rPr>
                <w:color w:val="383638"/>
                <w:w w:val="105"/>
                <w:sz w:val="19"/>
              </w:rPr>
              <w:t>resort</w:t>
            </w:r>
          </w:p>
        </w:tc>
        <w:tc>
          <w:tcPr>
            <w:tcW w:w="1501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6" w:hRule="atLeast"/>
        </w:trPr>
        <w:tc>
          <w:tcPr>
            <w:tcW w:w="2140" w:type="dxa"/>
            <w:tcBorders>
              <w:top w:val="single" w:sz="12" w:space="0" w:color="000000"/>
              <w:left w:val="single" w:sz="18" w:space="0" w:color="000000"/>
            </w:tcBorders>
          </w:tcPr>
          <w:p>
            <w:pPr>
              <w:pStyle w:val="TableParagraph"/>
              <w:spacing w:line="218" w:lineRule="exact" w:before="68"/>
              <w:ind w:left="464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83638"/>
                <w:sz w:val="21"/>
              </w:rPr>
              <w:t>Example(s)</w:t>
            </w:r>
            <w:r>
              <w:rPr>
                <w:rFonts w:ascii="Times New Roman"/>
                <w:i/>
                <w:color w:val="383638"/>
                <w:spacing w:val="-14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sz w:val="21"/>
              </w:rPr>
              <w:t>of</w:t>
            </w:r>
          </w:p>
        </w:tc>
        <w:tc>
          <w:tcPr>
            <w:tcW w:w="170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90" w:lineRule="exact" w:before="95"/>
              <w:ind w:left="180"/>
              <w:rPr>
                <w:sz w:val="19"/>
              </w:rPr>
            </w:pPr>
            <w:r>
              <w:rPr>
                <w:color w:val="383638"/>
                <w:w w:val="110"/>
                <w:sz w:val="19"/>
              </w:rPr>
              <w:t>Whether</w:t>
            </w:r>
            <w:r>
              <w:rPr>
                <w:color w:val="383638"/>
                <w:spacing w:val="-11"/>
                <w:w w:val="110"/>
                <w:sz w:val="19"/>
              </w:rPr>
              <w:t> </w:t>
            </w:r>
            <w:r>
              <w:rPr>
                <w:color w:val="383638"/>
                <w:w w:val="110"/>
                <w:sz w:val="19"/>
              </w:rPr>
              <w:t>the</w:t>
            </w:r>
          </w:p>
        </w:tc>
        <w:tc>
          <w:tcPr>
            <w:tcW w:w="167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90" w:lineRule="exact" w:before="95"/>
              <w:ind w:left="145"/>
              <w:rPr>
                <w:sz w:val="19"/>
              </w:rPr>
            </w:pPr>
            <w:r>
              <w:rPr>
                <w:color w:val="383638"/>
                <w:w w:val="105"/>
                <w:sz w:val="19"/>
              </w:rPr>
              <w:t>Strict</w:t>
            </w:r>
            <w:r>
              <w:rPr>
                <w:color w:val="383638"/>
                <w:spacing w:val="-1"/>
                <w:w w:val="105"/>
                <w:sz w:val="19"/>
              </w:rPr>
              <w:t> </w:t>
            </w:r>
            <w:r>
              <w:rPr>
                <w:color w:val="383638"/>
                <w:w w:val="105"/>
                <w:sz w:val="19"/>
              </w:rPr>
              <w:t>scrutiny</w:t>
            </w:r>
          </w:p>
        </w:tc>
        <w:tc>
          <w:tcPr>
            <w:tcW w:w="150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90" w:lineRule="exact" w:before="95"/>
              <w:ind w:left="117"/>
              <w:rPr>
                <w:sz w:val="19"/>
              </w:rPr>
            </w:pPr>
            <w:r>
              <w:rPr>
                <w:color w:val="383638"/>
                <w:w w:val="110"/>
                <w:sz w:val="19"/>
              </w:rPr>
              <w:t>De</w:t>
            </w:r>
            <w:r>
              <w:rPr>
                <w:color w:val="383638"/>
                <w:spacing w:val="-9"/>
                <w:w w:val="110"/>
                <w:sz w:val="19"/>
              </w:rPr>
              <w:t> </w:t>
            </w:r>
            <w:r>
              <w:rPr>
                <w:color w:val="383638"/>
                <w:w w:val="110"/>
                <w:sz w:val="19"/>
              </w:rPr>
              <w:t>novo</w:t>
            </w:r>
          </w:p>
        </w:tc>
        <w:tc>
          <w:tcPr>
            <w:tcW w:w="241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6" w:hRule="atLeast"/>
        </w:trPr>
        <w:tc>
          <w:tcPr>
            <w:tcW w:w="214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06" w:lineRule="exact"/>
              <w:ind w:left="460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83638"/>
                <w:w w:val="105"/>
                <w:sz w:val="21"/>
              </w:rPr>
              <w:t>this</w:t>
            </w:r>
            <w:r>
              <w:rPr>
                <w:rFonts w:ascii="Times New Roman"/>
                <w:i/>
                <w:color w:val="383638"/>
                <w:spacing w:val="-10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w w:val="105"/>
                <w:sz w:val="21"/>
              </w:rPr>
              <w:t>type</w:t>
            </w:r>
            <w:r>
              <w:rPr>
                <w:rFonts w:ascii="Times New Roman"/>
                <w:i/>
                <w:color w:val="383638"/>
                <w:spacing w:val="-14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w w:val="105"/>
                <w:sz w:val="21"/>
              </w:rPr>
              <w:t>of</w:t>
            </w:r>
          </w:p>
        </w:tc>
        <w:tc>
          <w:tcPr>
            <w:tcW w:w="1706" w:type="dxa"/>
          </w:tcPr>
          <w:p>
            <w:pPr>
              <w:pStyle w:val="TableParagraph"/>
              <w:spacing w:line="195" w:lineRule="exact" w:before="11"/>
              <w:ind w:left="191"/>
              <w:rPr>
                <w:sz w:val="19"/>
              </w:rPr>
            </w:pPr>
            <w:r>
              <w:rPr>
                <w:color w:val="383638"/>
                <w:w w:val="105"/>
                <w:sz w:val="19"/>
              </w:rPr>
              <w:t>facts</w:t>
            </w:r>
            <w:r>
              <w:rPr>
                <w:color w:val="383638"/>
                <w:spacing w:val="-10"/>
                <w:w w:val="105"/>
                <w:sz w:val="19"/>
              </w:rPr>
              <w:t> </w:t>
            </w:r>
            <w:r>
              <w:rPr>
                <w:color w:val="383638"/>
                <w:w w:val="105"/>
                <w:sz w:val="19"/>
              </w:rPr>
              <w:t>alleged</w:t>
            </w:r>
          </w:p>
        </w:tc>
        <w:tc>
          <w:tcPr>
            <w:tcW w:w="1671" w:type="dxa"/>
          </w:tcPr>
          <w:p>
            <w:pPr>
              <w:pStyle w:val="TableParagraph"/>
              <w:spacing w:line="195" w:lineRule="exact" w:before="11"/>
              <w:ind w:left="138"/>
              <w:rPr>
                <w:sz w:val="19"/>
              </w:rPr>
            </w:pPr>
            <w:r>
              <w:rPr>
                <w:color w:val="383638"/>
                <w:w w:val="110"/>
                <w:sz w:val="19"/>
              </w:rPr>
              <w:t>Heightened</w:t>
            </w:r>
          </w:p>
        </w:tc>
        <w:tc>
          <w:tcPr>
            <w:tcW w:w="1501" w:type="dxa"/>
          </w:tcPr>
          <w:p>
            <w:pPr>
              <w:pStyle w:val="TableParagraph"/>
              <w:spacing w:line="195" w:lineRule="exact" w:before="11"/>
              <w:ind w:left="122"/>
              <w:rPr>
                <w:sz w:val="19"/>
              </w:rPr>
            </w:pPr>
            <w:r>
              <w:rPr>
                <w:color w:val="383638"/>
                <w:w w:val="105"/>
                <w:sz w:val="19"/>
              </w:rPr>
              <w:t>Clearly</w:t>
            </w:r>
          </w:p>
        </w:tc>
        <w:tc>
          <w:tcPr>
            <w:tcW w:w="241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6" w:hRule="atLeast"/>
        </w:trPr>
        <w:tc>
          <w:tcPr>
            <w:tcW w:w="214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07" w:lineRule="exact"/>
              <w:ind w:left="461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83638"/>
                <w:w w:val="105"/>
                <w:sz w:val="21"/>
              </w:rPr>
              <w:t>standard:</w:t>
            </w:r>
          </w:p>
        </w:tc>
        <w:tc>
          <w:tcPr>
            <w:tcW w:w="1706" w:type="dxa"/>
          </w:tcPr>
          <w:p>
            <w:pPr>
              <w:pStyle w:val="TableParagraph"/>
              <w:spacing w:line="201" w:lineRule="exact" w:before="6"/>
              <w:ind w:left="189"/>
              <w:rPr>
                <w:sz w:val="19"/>
              </w:rPr>
            </w:pPr>
            <w:r>
              <w:rPr>
                <w:color w:val="383638"/>
                <w:w w:val="105"/>
                <w:sz w:val="19"/>
              </w:rPr>
              <w:t>plaus</w:t>
            </w:r>
            <w:r>
              <w:rPr>
                <w:color w:val="525052"/>
                <w:w w:val="105"/>
                <w:sz w:val="19"/>
              </w:rPr>
              <w:t>i</w:t>
            </w:r>
            <w:r>
              <w:rPr>
                <w:color w:val="383638"/>
                <w:w w:val="105"/>
                <w:sz w:val="19"/>
              </w:rPr>
              <w:t>bly</w:t>
            </w:r>
            <w:r>
              <w:rPr>
                <w:color w:val="383638"/>
                <w:spacing w:val="16"/>
                <w:w w:val="105"/>
                <w:sz w:val="19"/>
              </w:rPr>
              <w:t> </w:t>
            </w:r>
            <w:r>
              <w:rPr>
                <w:color w:val="383638"/>
                <w:w w:val="105"/>
                <w:sz w:val="19"/>
              </w:rPr>
              <w:t>give</w:t>
            </w:r>
          </w:p>
        </w:tc>
        <w:tc>
          <w:tcPr>
            <w:tcW w:w="1671" w:type="dxa"/>
          </w:tcPr>
          <w:p>
            <w:pPr>
              <w:pStyle w:val="TableParagraph"/>
              <w:spacing w:line="201" w:lineRule="exact" w:before="6"/>
              <w:ind w:left="148"/>
              <w:rPr>
                <w:sz w:val="19"/>
              </w:rPr>
            </w:pPr>
            <w:r>
              <w:rPr>
                <w:color w:val="383638"/>
                <w:w w:val="110"/>
                <w:sz w:val="19"/>
              </w:rPr>
              <w:t>scrutiny</w:t>
            </w:r>
          </w:p>
        </w:tc>
        <w:tc>
          <w:tcPr>
            <w:tcW w:w="1501" w:type="dxa"/>
          </w:tcPr>
          <w:p>
            <w:pPr>
              <w:pStyle w:val="TableParagraph"/>
              <w:spacing w:line="201" w:lineRule="exact" w:before="6"/>
              <w:ind w:left="124"/>
              <w:rPr>
                <w:sz w:val="19"/>
              </w:rPr>
            </w:pPr>
            <w:r>
              <w:rPr>
                <w:color w:val="383638"/>
                <w:w w:val="105"/>
                <w:sz w:val="19"/>
              </w:rPr>
              <w:t>erroneous</w:t>
            </w:r>
          </w:p>
        </w:tc>
        <w:tc>
          <w:tcPr>
            <w:tcW w:w="241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214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spacing w:line="199" w:lineRule="exact"/>
              <w:ind w:left="189"/>
              <w:rPr>
                <w:sz w:val="19"/>
              </w:rPr>
            </w:pPr>
            <w:r>
              <w:rPr>
                <w:color w:val="383638"/>
                <w:sz w:val="19"/>
              </w:rPr>
              <w:t>rise</w:t>
            </w:r>
            <w:r>
              <w:rPr>
                <w:color w:val="383638"/>
                <w:spacing w:val="2"/>
                <w:sz w:val="19"/>
              </w:rPr>
              <w:t> </w:t>
            </w:r>
            <w:r>
              <w:rPr>
                <w:color w:val="383638"/>
                <w:sz w:val="19"/>
              </w:rPr>
              <w:t>to</w:t>
            </w:r>
            <w:r>
              <w:rPr>
                <w:color w:val="383638"/>
                <w:spacing w:val="27"/>
                <w:sz w:val="19"/>
              </w:rPr>
              <w:t> </w:t>
            </w:r>
            <w:r>
              <w:rPr>
                <w:color w:val="383638"/>
                <w:sz w:val="19"/>
              </w:rPr>
              <w:t>an</w:t>
            </w:r>
          </w:p>
        </w:tc>
        <w:tc>
          <w:tcPr>
            <w:tcW w:w="1671" w:type="dxa"/>
          </w:tcPr>
          <w:p>
            <w:pPr>
              <w:pStyle w:val="TableParagraph"/>
              <w:spacing w:line="199" w:lineRule="exact"/>
              <w:ind w:left="148"/>
              <w:rPr>
                <w:sz w:val="19"/>
              </w:rPr>
            </w:pPr>
            <w:r>
              <w:rPr>
                <w:color w:val="383638"/>
                <w:sz w:val="19"/>
              </w:rPr>
              <w:t>Rational</w:t>
            </w:r>
            <w:r>
              <w:rPr>
                <w:color w:val="383638"/>
                <w:spacing w:val="1"/>
                <w:sz w:val="19"/>
              </w:rPr>
              <w:t> </w:t>
            </w:r>
            <w:r>
              <w:rPr>
                <w:color w:val="383638"/>
                <w:sz w:val="19"/>
              </w:rPr>
              <w:t>basis</w:t>
            </w:r>
          </w:p>
        </w:tc>
        <w:tc>
          <w:tcPr>
            <w:tcW w:w="1501" w:type="dxa"/>
          </w:tcPr>
          <w:p>
            <w:pPr>
              <w:pStyle w:val="TableParagraph"/>
              <w:spacing w:line="198" w:lineRule="exact" w:before="1"/>
              <w:ind w:left="132"/>
              <w:rPr>
                <w:sz w:val="19"/>
              </w:rPr>
            </w:pPr>
            <w:r>
              <w:rPr>
                <w:color w:val="383638"/>
                <w:sz w:val="19"/>
              </w:rPr>
              <w:t>Abuse</w:t>
            </w:r>
            <w:r>
              <w:rPr>
                <w:color w:val="383638"/>
                <w:spacing w:val="-13"/>
                <w:sz w:val="19"/>
              </w:rPr>
              <w:t> </w:t>
            </w:r>
            <w:r>
              <w:rPr>
                <w:color w:val="383638"/>
                <w:sz w:val="19"/>
              </w:rPr>
              <w:t>of</w:t>
            </w:r>
          </w:p>
        </w:tc>
        <w:tc>
          <w:tcPr>
            <w:tcW w:w="241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214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spacing w:line="197" w:lineRule="exact"/>
              <w:ind w:left="195"/>
              <w:rPr>
                <w:sz w:val="19"/>
              </w:rPr>
            </w:pPr>
            <w:r>
              <w:rPr>
                <w:color w:val="383638"/>
                <w:w w:val="110"/>
                <w:sz w:val="19"/>
              </w:rPr>
              <w:t>entitlement to</w:t>
            </w:r>
          </w:p>
        </w:tc>
        <w:tc>
          <w:tcPr>
            <w:tcW w:w="16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1" w:type="dxa"/>
          </w:tcPr>
          <w:p>
            <w:pPr>
              <w:pStyle w:val="TableParagraph"/>
              <w:spacing w:line="197" w:lineRule="exact"/>
              <w:ind w:left="135"/>
              <w:rPr>
                <w:sz w:val="19"/>
              </w:rPr>
            </w:pPr>
            <w:r>
              <w:rPr>
                <w:color w:val="383638"/>
                <w:w w:val="110"/>
                <w:sz w:val="19"/>
              </w:rPr>
              <w:t>discretion</w:t>
            </w:r>
          </w:p>
        </w:tc>
        <w:tc>
          <w:tcPr>
            <w:tcW w:w="241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8" w:hRule="atLeast"/>
        </w:trPr>
        <w:tc>
          <w:tcPr>
            <w:tcW w:w="2140" w:type="dxa"/>
            <w:tcBorders>
              <w:left w:val="single" w:sz="18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17" w:lineRule="exact"/>
              <w:ind w:left="189"/>
              <w:rPr>
                <w:sz w:val="19"/>
              </w:rPr>
            </w:pPr>
            <w:r>
              <w:rPr>
                <w:color w:val="383638"/>
                <w:w w:val="105"/>
                <w:sz w:val="19"/>
              </w:rPr>
              <w:t>relief</w:t>
            </w:r>
          </w:p>
        </w:tc>
        <w:tc>
          <w:tcPr>
            <w:tcW w:w="1671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1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3" w:hRule="atLeast"/>
        </w:trPr>
        <w:tc>
          <w:tcPr>
            <w:tcW w:w="2140" w:type="dxa"/>
            <w:tcBorders>
              <w:top w:val="single" w:sz="12" w:space="0" w:color="000000"/>
              <w:left w:val="single" w:sz="18" w:space="0" w:color="000000"/>
            </w:tcBorders>
          </w:tcPr>
          <w:p>
            <w:pPr>
              <w:pStyle w:val="TableParagraph"/>
              <w:spacing w:line="216" w:lineRule="exact" w:before="87"/>
              <w:ind w:left="453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83638"/>
                <w:w w:val="110"/>
                <w:sz w:val="21"/>
              </w:rPr>
              <w:t>What</w:t>
            </w:r>
            <w:r>
              <w:rPr>
                <w:rFonts w:ascii="Times New Roman"/>
                <w:i/>
                <w:color w:val="383638"/>
                <w:spacing w:val="-24"/>
                <w:w w:val="110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w w:val="110"/>
                <w:sz w:val="21"/>
              </w:rPr>
              <w:t>the</w:t>
            </w:r>
            <w:r>
              <w:rPr>
                <w:rFonts w:ascii="Times New Roman"/>
                <w:i/>
                <w:color w:val="383638"/>
                <w:spacing w:val="-15"/>
                <w:w w:val="110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w w:val="110"/>
                <w:sz w:val="21"/>
              </w:rPr>
              <w:t>court</w:t>
            </w:r>
          </w:p>
        </w:tc>
        <w:tc>
          <w:tcPr>
            <w:tcW w:w="170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08" w:lineRule="exact" w:before="95"/>
              <w:ind w:left="190"/>
              <w:rPr>
                <w:sz w:val="19"/>
              </w:rPr>
            </w:pPr>
            <w:r>
              <w:rPr>
                <w:color w:val="383638"/>
                <w:w w:val="110"/>
                <w:sz w:val="19"/>
              </w:rPr>
              <w:t>Whether</w:t>
            </w:r>
            <w:r>
              <w:rPr>
                <w:color w:val="383638"/>
                <w:spacing w:val="-8"/>
                <w:w w:val="110"/>
                <w:sz w:val="19"/>
              </w:rPr>
              <w:t> </w:t>
            </w:r>
            <w:r>
              <w:rPr>
                <w:color w:val="383638"/>
                <w:w w:val="110"/>
                <w:sz w:val="19"/>
              </w:rPr>
              <w:t>it's</w:t>
            </w:r>
          </w:p>
        </w:tc>
        <w:tc>
          <w:tcPr>
            <w:tcW w:w="167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08" w:lineRule="exact" w:before="95"/>
              <w:ind w:left="152"/>
              <w:rPr>
                <w:sz w:val="19"/>
              </w:rPr>
            </w:pPr>
            <w:r>
              <w:rPr>
                <w:color w:val="383638"/>
                <w:w w:val="110"/>
                <w:sz w:val="19"/>
              </w:rPr>
              <w:t>Whether</w:t>
            </w:r>
            <w:r>
              <w:rPr>
                <w:color w:val="383638"/>
                <w:spacing w:val="-14"/>
                <w:w w:val="110"/>
                <w:sz w:val="19"/>
              </w:rPr>
              <w:t> </w:t>
            </w:r>
            <w:r>
              <w:rPr>
                <w:color w:val="383638"/>
                <w:w w:val="110"/>
                <w:sz w:val="19"/>
              </w:rPr>
              <w:t>certain</w:t>
            </w:r>
          </w:p>
        </w:tc>
        <w:tc>
          <w:tcPr>
            <w:tcW w:w="150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08" w:lineRule="exact" w:before="95"/>
              <w:ind w:left="139"/>
              <w:rPr>
                <w:sz w:val="19"/>
              </w:rPr>
            </w:pPr>
            <w:r>
              <w:rPr>
                <w:color w:val="383638"/>
                <w:w w:val="110"/>
                <w:sz w:val="19"/>
              </w:rPr>
              <w:t>Whether</w:t>
            </w:r>
            <w:r>
              <w:rPr>
                <w:color w:val="383638"/>
                <w:spacing w:val="-9"/>
                <w:w w:val="110"/>
                <w:sz w:val="19"/>
              </w:rPr>
              <w:t> </w:t>
            </w:r>
            <w:r>
              <w:rPr>
                <w:color w:val="383638"/>
                <w:w w:val="110"/>
                <w:sz w:val="19"/>
              </w:rPr>
              <w:t>to</w:t>
            </w:r>
          </w:p>
        </w:tc>
        <w:tc>
          <w:tcPr>
            <w:tcW w:w="241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214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97" w:lineRule="exact"/>
              <w:ind w:left="462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83638"/>
                <w:spacing w:val="-1"/>
                <w:w w:val="105"/>
                <w:sz w:val="21"/>
              </w:rPr>
              <w:t>uses</w:t>
            </w:r>
            <w:r>
              <w:rPr>
                <w:rFonts w:ascii="Times New Roman"/>
                <w:i/>
                <w:color w:val="383638"/>
                <w:spacing w:val="-14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w w:val="105"/>
                <w:sz w:val="21"/>
              </w:rPr>
              <w:t>this</w:t>
            </w:r>
          </w:p>
        </w:tc>
        <w:tc>
          <w:tcPr>
            <w:tcW w:w="1706" w:type="dxa"/>
          </w:tcPr>
          <w:p>
            <w:pPr>
              <w:pStyle w:val="TableParagraph"/>
              <w:spacing w:line="193" w:lineRule="exact" w:before="3"/>
              <w:ind w:left="195"/>
              <w:rPr>
                <w:sz w:val="19"/>
              </w:rPr>
            </w:pPr>
            <w:r>
              <w:rPr>
                <w:color w:val="383638"/>
                <w:w w:val="110"/>
                <w:sz w:val="19"/>
              </w:rPr>
              <w:t>appropriate</w:t>
            </w:r>
            <w:r>
              <w:rPr>
                <w:color w:val="383638"/>
                <w:spacing w:val="-8"/>
                <w:w w:val="110"/>
                <w:sz w:val="19"/>
              </w:rPr>
              <w:t> </w:t>
            </w:r>
            <w:r>
              <w:rPr>
                <w:color w:val="383638"/>
                <w:w w:val="110"/>
                <w:sz w:val="19"/>
              </w:rPr>
              <w:t>to</w:t>
            </w:r>
          </w:p>
        </w:tc>
        <w:tc>
          <w:tcPr>
            <w:tcW w:w="1671" w:type="dxa"/>
          </w:tcPr>
          <w:p>
            <w:pPr>
              <w:pStyle w:val="TableParagraph"/>
              <w:spacing w:line="193" w:lineRule="exact" w:before="3"/>
              <w:ind w:left="156"/>
              <w:rPr>
                <w:b/>
                <w:sz w:val="19"/>
              </w:rPr>
            </w:pPr>
            <w:r>
              <w:rPr>
                <w:b/>
                <w:color w:val="383638"/>
                <w:w w:val="110"/>
                <w:sz w:val="19"/>
              </w:rPr>
              <w:t>government</w:t>
            </w:r>
          </w:p>
        </w:tc>
        <w:tc>
          <w:tcPr>
            <w:tcW w:w="1501" w:type="dxa"/>
          </w:tcPr>
          <w:p>
            <w:pPr>
              <w:pStyle w:val="TableParagraph"/>
              <w:spacing w:line="193" w:lineRule="exact" w:before="3"/>
              <w:ind w:left="144"/>
              <w:rPr>
                <w:sz w:val="19"/>
              </w:rPr>
            </w:pPr>
            <w:r>
              <w:rPr>
                <w:color w:val="383638"/>
                <w:w w:val="105"/>
                <w:sz w:val="19"/>
              </w:rPr>
              <w:t>affirm,</w:t>
            </w:r>
            <w:r>
              <w:rPr>
                <w:color w:val="383638"/>
                <w:spacing w:val="-8"/>
                <w:w w:val="105"/>
                <w:sz w:val="19"/>
              </w:rPr>
              <w:t> </w:t>
            </w:r>
            <w:r>
              <w:rPr>
                <w:color w:val="383638"/>
                <w:w w:val="105"/>
                <w:sz w:val="19"/>
              </w:rPr>
              <w:t>reverse,</w:t>
            </w:r>
          </w:p>
        </w:tc>
        <w:tc>
          <w:tcPr>
            <w:tcW w:w="241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1" w:hRule="atLeast"/>
        </w:trPr>
        <w:tc>
          <w:tcPr>
            <w:tcW w:w="214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92" w:lineRule="exact"/>
              <w:ind w:left="461"/>
              <w:rPr>
                <w:rFonts w:ascii="Times New Roman"/>
                <w:sz w:val="20"/>
              </w:rPr>
            </w:pPr>
            <w:r>
              <w:rPr>
                <w:rFonts w:ascii="Times New Roman"/>
                <w:i/>
                <w:color w:val="383638"/>
                <w:w w:val="105"/>
                <w:sz w:val="21"/>
              </w:rPr>
              <w:t>standard</w:t>
            </w:r>
            <w:r>
              <w:rPr>
                <w:rFonts w:ascii="Times New Roman"/>
                <w:i/>
                <w:color w:val="383638"/>
                <w:spacing w:val="18"/>
                <w:w w:val="105"/>
                <w:sz w:val="21"/>
              </w:rPr>
              <w:t> </w:t>
            </w:r>
            <w:r>
              <w:rPr>
                <w:rFonts w:ascii="Times New Roman"/>
                <w:color w:val="383638"/>
                <w:w w:val="105"/>
                <w:sz w:val="20"/>
              </w:rPr>
              <w:t>to</w:t>
            </w:r>
          </w:p>
        </w:tc>
        <w:tc>
          <w:tcPr>
            <w:tcW w:w="1706" w:type="dxa"/>
          </w:tcPr>
          <w:p>
            <w:pPr>
              <w:pStyle w:val="TableParagraph"/>
              <w:spacing w:line="192" w:lineRule="exact"/>
              <w:ind w:left="205"/>
              <w:rPr>
                <w:sz w:val="19"/>
              </w:rPr>
            </w:pPr>
            <w:r>
              <w:rPr>
                <w:color w:val="383638"/>
                <w:w w:val="110"/>
                <w:sz w:val="19"/>
              </w:rPr>
              <w:t>grant</w:t>
            </w:r>
            <w:r>
              <w:rPr>
                <w:color w:val="383638"/>
                <w:spacing w:val="-1"/>
                <w:w w:val="110"/>
                <w:sz w:val="19"/>
              </w:rPr>
              <w:t> </w:t>
            </w:r>
            <w:r>
              <w:rPr>
                <w:color w:val="383638"/>
                <w:w w:val="110"/>
                <w:sz w:val="19"/>
              </w:rPr>
              <w:t>or</w:t>
            </w:r>
            <w:r>
              <w:rPr>
                <w:color w:val="383638"/>
                <w:spacing w:val="-5"/>
                <w:w w:val="110"/>
                <w:sz w:val="19"/>
              </w:rPr>
              <w:t> </w:t>
            </w:r>
            <w:r>
              <w:rPr>
                <w:color w:val="383638"/>
                <w:w w:val="110"/>
                <w:sz w:val="19"/>
              </w:rPr>
              <w:t>deny</w:t>
            </w:r>
            <w:r>
              <w:rPr>
                <w:color w:val="383638"/>
                <w:spacing w:val="-13"/>
                <w:w w:val="110"/>
                <w:sz w:val="19"/>
              </w:rPr>
              <w:t> </w:t>
            </w:r>
            <w:r>
              <w:rPr>
                <w:color w:val="383638"/>
                <w:w w:val="110"/>
                <w:sz w:val="19"/>
              </w:rPr>
              <w:t>a</w:t>
            </w:r>
          </w:p>
        </w:tc>
        <w:tc>
          <w:tcPr>
            <w:tcW w:w="1671" w:type="dxa"/>
          </w:tcPr>
          <w:p>
            <w:pPr>
              <w:pStyle w:val="TableParagraph"/>
              <w:spacing w:line="192" w:lineRule="exact"/>
              <w:ind w:left="166"/>
              <w:rPr>
                <w:sz w:val="19"/>
              </w:rPr>
            </w:pPr>
            <w:r>
              <w:rPr>
                <w:color w:val="383638"/>
                <w:w w:val="115"/>
                <w:sz w:val="19"/>
              </w:rPr>
              <w:t>action</w:t>
            </w:r>
            <w:r>
              <w:rPr>
                <w:color w:val="383638"/>
                <w:spacing w:val="-17"/>
                <w:w w:val="115"/>
                <w:sz w:val="19"/>
              </w:rPr>
              <w:t> </w:t>
            </w:r>
            <w:r>
              <w:rPr>
                <w:color w:val="383638"/>
                <w:w w:val="115"/>
                <w:sz w:val="19"/>
              </w:rPr>
              <w:t>is</w:t>
            </w:r>
          </w:p>
        </w:tc>
        <w:tc>
          <w:tcPr>
            <w:tcW w:w="1501" w:type="dxa"/>
          </w:tcPr>
          <w:p>
            <w:pPr>
              <w:pStyle w:val="TableParagraph"/>
              <w:spacing w:line="192" w:lineRule="exact"/>
              <w:ind w:left="154"/>
              <w:rPr>
                <w:sz w:val="19"/>
              </w:rPr>
            </w:pPr>
            <w:r>
              <w:rPr>
                <w:color w:val="383638"/>
                <w:w w:val="105"/>
                <w:sz w:val="19"/>
              </w:rPr>
              <w:t>or</w:t>
            </w:r>
            <w:r>
              <w:rPr>
                <w:color w:val="383638"/>
                <w:spacing w:val="-15"/>
                <w:w w:val="105"/>
                <w:sz w:val="19"/>
              </w:rPr>
              <w:t> </w:t>
            </w:r>
            <w:r>
              <w:rPr>
                <w:color w:val="383638"/>
                <w:w w:val="105"/>
                <w:sz w:val="19"/>
              </w:rPr>
              <w:t>vacate</w:t>
            </w:r>
            <w:r>
              <w:rPr>
                <w:color w:val="383638"/>
                <w:spacing w:val="-7"/>
                <w:w w:val="105"/>
                <w:sz w:val="19"/>
              </w:rPr>
              <w:t> </w:t>
            </w:r>
            <w:r>
              <w:rPr>
                <w:color w:val="383638"/>
                <w:w w:val="105"/>
                <w:sz w:val="19"/>
              </w:rPr>
              <w:t>a</w:t>
            </w:r>
          </w:p>
        </w:tc>
        <w:tc>
          <w:tcPr>
            <w:tcW w:w="241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4" w:hRule="atLeast"/>
        </w:trPr>
        <w:tc>
          <w:tcPr>
            <w:tcW w:w="214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04" w:lineRule="exact"/>
              <w:ind w:left="464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83638"/>
                <w:sz w:val="21"/>
              </w:rPr>
              <w:t>decide:</w:t>
            </w:r>
          </w:p>
        </w:tc>
        <w:tc>
          <w:tcPr>
            <w:tcW w:w="1706" w:type="dxa"/>
          </w:tcPr>
          <w:p>
            <w:pPr>
              <w:pStyle w:val="TableParagraph"/>
              <w:spacing w:line="204" w:lineRule="exact"/>
              <w:ind w:left="199"/>
              <w:rPr>
                <w:sz w:val="19"/>
              </w:rPr>
            </w:pPr>
            <w:r>
              <w:rPr>
                <w:color w:val="383638"/>
                <w:w w:val="120"/>
                <w:sz w:val="19"/>
              </w:rPr>
              <w:t>mot</w:t>
            </w:r>
            <w:r>
              <w:rPr>
                <w:color w:val="525052"/>
                <w:w w:val="120"/>
                <w:sz w:val="19"/>
              </w:rPr>
              <w:t>i</w:t>
            </w:r>
            <w:r>
              <w:rPr>
                <w:color w:val="383638"/>
                <w:w w:val="120"/>
                <w:sz w:val="19"/>
              </w:rPr>
              <w:t>on</w:t>
            </w:r>
          </w:p>
        </w:tc>
        <w:tc>
          <w:tcPr>
            <w:tcW w:w="1671" w:type="dxa"/>
          </w:tcPr>
          <w:p>
            <w:pPr>
              <w:pStyle w:val="TableParagraph"/>
              <w:spacing w:line="204" w:lineRule="exact"/>
              <w:ind w:left="166"/>
              <w:rPr>
                <w:sz w:val="19"/>
              </w:rPr>
            </w:pPr>
            <w:r>
              <w:rPr>
                <w:color w:val="383638"/>
                <w:w w:val="110"/>
                <w:sz w:val="19"/>
              </w:rPr>
              <w:t>constitut</w:t>
            </w:r>
            <w:r>
              <w:rPr>
                <w:color w:val="525052"/>
                <w:w w:val="110"/>
                <w:sz w:val="19"/>
              </w:rPr>
              <w:t>i</w:t>
            </w:r>
            <w:r>
              <w:rPr>
                <w:color w:val="383638"/>
                <w:w w:val="110"/>
                <w:sz w:val="19"/>
              </w:rPr>
              <w:t>onal</w:t>
            </w:r>
          </w:p>
        </w:tc>
        <w:tc>
          <w:tcPr>
            <w:tcW w:w="1501" w:type="dxa"/>
          </w:tcPr>
          <w:p>
            <w:pPr>
              <w:pStyle w:val="TableParagraph"/>
              <w:spacing w:line="204" w:lineRule="exact"/>
              <w:ind w:left="154"/>
              <w:rPr>
                <w:sz w:val="19"/>
              </w:rPr>
            </w:pPr>
            <w:r>
              <w:rPr>
                <w:color w:val="383638"/>
                <w:w w:val="110"/>
                <w:sz w:val="19"/>
              </w:rPr>
              <w:t>decision</w:t>
            </w:r>
            <w:r>
              <w:rPr>
                <w:color w:val="383638"/>
                <w:spacing w:val="-15"/>
                <w:w w:val="110"/>
                <w:sz w:val="19"/>
              </w:rPr>
              <w:t> </w:t>
            </w:r>
            <w:r>
              <w:rPr>
                <w:color w:val="383638"/>
                <w:w w:val="110"/>
                <w:sz w:val="19"/>
              </w:rPr>
              <w:t>of</w:t>
            </w:r>
            <w:r>
              <w:rPr>
                <w:color w:val="383638"/>
                <w:spacing w:val="11"/>
                <w:w w:val="110"/>
                <w:sz w:val="19"/>
              </w:rPr>
              <w:t> </w:t>
            </w:r>
            <w:r>
              <w:rPr>
                <w:color w:val="383638"/>
                <w:w w:val="110"/>
                <w:sz w:val="19"/>
              </w:rPr>
              <w:t>a</w:t>
            </w:r>
          </w:p>
        </w:tc>
        <w:tc>
          <w:tcPr>
            <w:tcW w:w="241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6" w:hRule="atLeast"/>
        </w:trPr>
        <w:tc>
          <w:tcPr>
            <w:tcW w:w="2140" w:type="dxa"/>
            <w:tcBorders>
              <w:left w:val="single" w:sz="18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6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1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15" w:lineRule="exact"/>
              <w:ind w:left="162"/>
              <w:rPr>
                <w:sz w:val="19"/>
              </w:rPr>
            </w:pPr>
            <w:r>
              <w:rPr>
                <w:color w:val="383638"/>
                <w:w w:val="110"/>
                <w:sz w:val="19"/>
              </w:rPr>
              <w:t>court</w:t>
            </w:r>
            <w:r>
              <w:rPr>
                <w:color w:val="383638"/>
                <w:spacing w:val="-8"/>
                <w:w w:val="110"/>
                <w:sz w:val="19"/>
              </w:rPr>
              <w:t> </w:t>
            </w:r>
            <w:r>
              <w:rPr>
                <w:color w:val="383638"/>
                <w:w w:val="110"/>
                <w:sz w:val="19"/>
              </w:rPr>
              <w:t>below</w:t>
            </w:r>
          </w:p>
        </w:tc>
        <w:tc>
          <w:tcPr>
            <w:tcW w:w="241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54" w:hRule="atLeast"/>
        </w:trPr>
        <w:tc>
          <w:tcPr>
            <w:tcW w:w="2140" w:type="dxa"/>
            <w:tcBorders>
              <w:top w:val="single" w:sz="12" w:space="0" w:color="000000"/>
              <w:left w:val="single" w:sz="18" w:space="0" w:color="000000"/>
            </w:tcBorders>
          </w:tcPr>
          <w:p>
            <w:pPr>
              <w:pStyle w:val="TableParagraph"/>
              <w:spacing w:line="211" w:lineRule="auto" w:before="111"/>
              <w:ind w:left="460" w:right="195" w:hanging="8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83638"/>
                <w:spacing w:val="-2"/>
                <w:w w:val="105"/>
                <w:sz w:val="21"/>
              </w:rPr>
              <w:t>Whose decision</w:t>
            </w:r>
            <w:r>
              <w:rPr>
                <w:rFonts w:ascii="Times New Roman"/>
                <w:i/>
                <w:color w:val="383638"/>
                <w:spacing w:val="-53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w w:val="105"/>
                <w:sz w:val="21"/>
              </w:rPr>
              <w:t>the court is</w:t>
            </w:r>
            <w:r>
              <w:rPr>
                <w:rFonts w:ascii="Times New Roman"/>
                <w:i/>
                <w:color w:val="383638"/>
                <w:spacing w:val="1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w w:val="105"/>
                <w:sz w:val="21"/>
              </w:rPr>
              <w:t>being</w:t>
            </w:r>
            <w:r>
              <w:rPr>
                <w:rFonts w:ascii="Times New Roman"/>
                <w:i/>
                <w:color w:val="383638"/>
                <w:spacing w:val="-3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w w:val="105"/>
                <w:sz w:val="21"/>
              </w:rPr>
              <w:t>asked</w:t>
            </w:r>
            <w:r>
              <w:rPr>
                <w:rFonts w:ascii="Times New Roman"/>
                <w:i/>
                <w:color w:val="383638"/>
                <w:spacing w:val="13"/>
                <w:w w:val="105"/>
                <w:sz w:val="21"/>
              </w:rPr>
              <w:t> </w:t>
            </w:r>
            <w:r>
              <w:rPr>
                <w:rFonts w:ascii="Times New Roman"/>
                <w:color w:val="383638"/>
                <w:w w:val="105"/>
                <w:sz w:val="20"/>
              </w:rPr>
              <w:t>to</w:t>
            </w:r>
            <w:r>
              <w:rPr>
                <w:rFonts w:ascii="Times New Roman"/>
                <w:color w:val="383638"/>
                <w:spacing w:val="1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383638"/>
                <w:w w:val="105"/>
                <w:sz w:val="21"/>
              </w:rPr>
              <w:t>defer</w:t>
            </w:r>
            <w:r>
              <w:rPr>
                <w:rFonts w:ascii="Times New Roman"/>
                <w:i/>
                <w:color w:val="383638"/>
                <w:spacing w:val="-6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83638"/>
                <w:w w:val="105"/>
                <w:sz w:val="21"/>
              </w:rPr>
              <w:t>to:</w:t>
            </w:r>
          </w:p>
        </w:tc>
        <w:tc>
          <w:tcPr>
            <w:tcW w:w="170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5"/>
              <w:ind w:left="207"/>
              <w:rPr>
                <w:sz w:val="19"/>
              </w:rPr>
            </w:pPr>
            <w:r>
              <w:rPr>
                <w:color w:val="383638"/>
                <w:sz w:val="19"/>
              </w:rPr>
              <w:t>N/A</w:t>
            </w:r>
          </w:p>
        </w:tc>
        <w:tc>
          <w:tcPr>
            <w:tcW w:w="167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32" w:lineRule="auto" w:before="101"/>
              <w:ind w:left="174" w:right="136" w:hanging="5"/>
              <w:jc w:val="both"/>
              <w:rPr>
                <w:rFonts w:ascii="Times New Roman"/>
                <w:b/>
                <w:sz w:val="20"/>
              </w:rPr>
            </w:pPr>
            <w:r>
              <w:rPr>
                <w:color w:val="383638"/>
                <w:w w:val="105"/>
                <w:sz w:val="19"/>
              </w:rPr>
              <w:t>The decision of</w:t>
            </w:r>
            <w:r>
              <w:rPr>
                <w:color w:val="383638"/>
                <w:spacing w:val="-53"/>
                <w:w w:val="105"/>
                <w:sz w:val="19"/>
              </w:rPr>
              <w:t> </w:t>
            </w:r>
            <w:r>
              <w:rPr>
                <w:color w:val="383638"/>
                <w:w w:val="110"/>
                <w:sz w:val="19"/>
              </w:rPr>
              <w:t>a government</w:t>
            </w:r>
            <w:r>
              <w:rPr>
                <w:color w:val="383638"/>
                <w:spacing w:val="1"/>
                <w:w w:val="110"/>
                <w:sz w:val="19"/>
              </w:rPr>
              <w:t> </w:t>
            </w:r>
            <w:r>
              <w:rPr>
                <w:rFonts w:ascii="Times New Roman"/>
                <w:b/>
                <w:color w:val="383638"/>
                <w:w w:val="110"/>
                <w:sz w:val="20"/>
              </w:rPr>
              <w:t>actor</w:t>
            </w:r>
          </w:p>
        </w:tc>
        <w:tc>
          <w:tcPr>
            <w:tcW w:w="150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32" w:lineRule="auto" w:before="110"/>
              <w:ind w:left="163" w:right="-27" w:hanging="8"/>
              <w:rPr>
                <w:sz w:val="19"/>
              </w:rPr>
            </w:pPr>
            <w:r>
              <w:rPr>
                <w:color w:val="383638"/>
                <w:w w:val="105"/>
                <w:sz w:val="19"/>
              </w:rPr>
              <w:t>The decision of</w:t>
            </w:r>
            <w:r>
              <w:rPr>
                <w:color w:val="383638"/>
                <w:spacing w:val="-53"/>
                <w:w w:val="105"/>
                <w:sz w:val="19"/>
              </w:rPr>
              <w:t> </w:t>
            </w:r>
            <w:r>
              <w:rPr>
                <w:color w:val="383638"/>
                <w:w w:val="115"/>
                <w:sz w:val="19"/>
              </w:rPr>
              <w:t>a</w:t>
            </w:r>
            <w:r>
              <w:rPr>
                <w:color w:val="383638"/>
                <w:spacing w:val="-7"/>
                <w:w w:val="115"/>
                <w:sz w:val="19"/>
              </w:rPr>
              <w:t> </w:t>
            </w:r>
            <w:r>
              <w:rPr>
                <w:color w:val="383638"/>
                <w:w w:val="115"/>
                <w:sz w:val="19"/>
              </w:rPr>
              <w:t>lower</w:t>
            </w:r>
            <w:r>
              <w:rPr>
                <w:color w:val="383638"/>
                <w:spacing w:val="3"/>
                <w:w w:val="115"/>
                <w:sz w:val="19"/>
              </w:rPr>
              <w:t> </w:t>
            </w:r>
            <w:r>
              <w:rPr>
                <w:color w:val="383638"/>
                <w:w w:val="115"/>
                <w:sz w:val="19"/>
              </w:rPr>
              <w:t>court</w:t>
            </w:r>
          </w:p>
        </w:tc>
        <w:tc>
          <w:tcPr>
            <w:tcW w:w="24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1"/>
        <w:ind w:left="500" w:right="0" w:firstLine="0"/>
        <w:jc w:val="left"/>
        <w:rPr>
          <w:i/>
          <w:sz w:val="18"/>
        </w:rPr>
      </w:pPr>
      <w:r>
        <w:rPr>
          <w:rFonts w:ascii="Arial"/>
          <w:color w:val="383638"/>
          <w:position w:val="6"/>
          <w:sz w:val="10"/>
        </w:rPr>
        <w:t>50</w:t>
      </w:r>
      <w:r>
        <w:rPr>
          <w:rFonts w:ascii="Arial"/>
          <w:color w:val="383638"/>
          <w:spacing w:val="-4"/>
          <w:position w:val="6"/>
          <w:sz w:val="10"/>
        </w:rPr>
        <w:t> </w:t>
      </w:r>
      <w:r>
        <w:rPr>
          <w:color w:val="383638"/>
          <w:sz w:val="18"/>
        </w:rPr>
        <w:t>As</w:t>
      </w:r>
      <w:r>
        <w:rPr>
          <w:color w:val="383638"/>
          <w:spacing w:val="-8"/>
          <w:sz w:val="18"/>
        </w:rPr>
        <w:t> </w:t>
      </w:r>
      <w:r>
        <w:rPr>
          <w:color w:val="383638"/>
          <w:sz w:val="18"/>
        </w:rPr>
        <w:t>noted</w:t>
      </w:r>
      <w:r>
        <w:rPr>
          <w:color w:val="383638"/>
          <w:spacing w:val="2"/>
          <w:sz w:val="18"/>
        </w:rPr>
        <w:t> </w:t>
      </w:r>
      <w:r>
        <w:rPr>
          <w:color w:val="383638"/>
          <w:sz w:val="18"/>
        </w:rPr>
        <w:t>above</w:t>
      </w:r>
      <w:r>
        <w:rPr>
          <w:color w:val="525052"/>
          <w:sz w:val="18"/>
        </w:rPr>
        <w:t>,</w:t>
      </w:r>
      <w:r>
        <w:rPr>
          <w:color w:val="525052"/>
          <w:spacing w:val="6"/>
          <w:sz w:val="18"/>
        </w:rPr>
        <w:t> </w:t>
      </w:r>
      <w:r>
        <w:rPr>
          <w:color w:val="383638"/>
          <w:sz w:val="18"/>
        </w:rPr>
        <w:t>c</w:t>
      </w:r>
      <w:r>
        <w:rPr>
          <w:color w:val="525052"/>
          <w:sz w:val="18"/>
        </w:rPr>
        <w:t>o</w:t>
      </w:r>
      <w:r>
        <w:rPr>
          <w:color w:val="383638"/>
          <w:sz w:val="18"/>
        </w:rPr>
        <w:t>urts</w:t>
      </w:r>
      <w:r>
        <w:rPr>
          <w:color w:val="383638"/>
          <w:spacing w:val="-1"/>
          <w:sz w:val="18"/>
        </w:rPr>
        <w:t> </w:t>
      </w:r>
      <w:r>
        <w:rPr>
          <w:color w:val="383638"/>
          <w:sz w:val="18"/>
        </w:rPr>
        <w:t>also</w:t>
      </w:r>
      <w:r>
        <w:rPr>
          <w:color w:val="383638"/>
          <w:spacing w:val="-6"/>
          <w:sz w:val="18"/>
        </w:rPr>
        <w:t> </w:t>
      </w:r>
      <w:r>
        <w:rPr>
          <w:color w:val="383638"/>
          <w:sz w:val="18"/>
        </w:rPr>
        <w:t>us</w:t>
      </w:r>
      <w:r>
        <w:rPr>
          <w:color w:val="525052"/>
          <w:sz w:val="18"/>
        </w:rPr>
        <w:t>e</w:t>
      </w:r>
      <w:r>
        <w:rPr>
          <w:color w:val="525052"/>
          <w:spacing w:val="15"/>
          <w:sz w:val="18"/>
        </w:rPr>
        <w:t> </w:t>
      </w:r>
      <w:r>
        <w:rPr>
          <w:color w:val="383638"/>
          <w:sz w:val="18"/>
        </w:rPr>
        <w:t>the</w:t>
      </w:r>
      <w:r>
        <w:rPr>
          <w:color w:val="383638"/>
          <w:spacing w:val="53"/>
          <w:sz w:val="18"/>
        </w:rPr>
        <w:t> </w:t>
      </w:r>
      <w:r>
        <w:rPr>
          <w:color w:val="525052"/>
          <w:sz w:val="18"/>
        </w:rPr>
        <w:t>t</w:t>
      </w:r>
      <w:r>
        <w:rPr>
          <w:color w:val="383638"/>
          <w:sz w:val="18"/>
        </w:rPr>
        <w:t>erms</w:t>
      </w:r>
      <w:r>
        <w:rPr>
          <w:color w:val="383638"/>
          <w:spacing w:val="10"/>
          <w:sz w:val="18"/>
        </w:rPr>
        <w:t> </w:t>
      </w:r>
      <w:r>
        <w:rPr>
          <w:i/>
          <w:color w:val="383638"/>
          <w:sz w:val="18"/>
        </w:rPr>
        <w:t>leg</w:t>
      </w:r>
      <w:r>
        <w:rPr>
          <w:i/>
          <w:color w:val="525052"/>
          <w:sz w:val="18"/>
        </w:rPr>
        <w:t>a</w:t>
      </w:r>
      <w:r>
        <w:rPr>
          <w:i/>
          <w:color w:val="383638"/>
          <w:sz w:val="18"/>
        </w:rPr>
        <w:t>l</w:t>
      </w:r>
      <w:r>
        <w:rPr>
          <w:i/>
          <w:color w:val="383638"/>
          <w:spacing w:val="8"/>
          <w:sz w:val="18"/>
        </w:rPr>
        <w:t> </w:t>
      </w:r>
      <w:r>
        <w:rPr>
          <w:i/>
          <w:color w:val="525052"/>
          <w:sz w:val="18"/>
        </w:rPr>
        <w:t>s</w:t>
      </w:r>
      <w:r>
        <w:rPr>
          <w:i/>
          <w:color w:val="383638"/>
          <w:sz w:val="18"/>
        </w:rPr>
        <w:t>t</w:t>
      </w:r>
      <w:r>
        <w:rPr>
          <w:i/>
          <w:color w:val="525052"/>
          <w:sz w:val="18"/>
        </w:rPr>
        <w:t>a</w:t>
      </w:r>
      <w:r>
        <w:rPr>
          <w:i/>
          <w:color w:val="383638"/>
          <w:sz w:val="18"/>
        </w:rPr>
        <w:t>11dard</w:t>
      </w:r>
      <w:r>
        <w:rPr>
          <w:i/>
          <w:color w:val="383638"/>
          <w:spacing w:val="-1"/>
          <w:sz w:val="18"/>
        </w:rPr>
        <w:t> </w:t>
      </w:r>
      <w:r>
        <w:rPr>
          <w:color w:val="525052"/>
          <w:sz w:val="18"/>
        </w:rPr>
        <w:t>a</w:t>
      </w:r>
      <w:r>
        <w:rPr>
          <w:color w:val="383638"/>
          <w:sz w:val="18"/>
        </w:rPr>
        <w:t>nd</w:t>
      </w:r>
      <w:r>
        <w:rPr>
          <w:color w:val="383638"/>
          <w:spacing w:val="39"/>
          <w:sz w:val="18"/>
        </w:rPr>
        <w:t> </w:t>
      </w:r>
      <w:r>
        <w:rPr>
          <w:i/>
          <w:color w:val="383638"/>
          <w:sz w:val="18"/>
        </w:rPr>
        <w:t>pl</w:t>
      </w:r>
      <w:r>
        <w:rPr>
          <w:i/>
          <w:color w:val="525052"/>
          <w:sz w:val="18"/>
        </w:rPr>
        <w:t>e</w:t>
      </w:r>
      <w:r>
        <w:rPr>
          <w:i/>
          <w:color w:val="383638"/>
          <w:sz w:val="18"/>
        </w:rPr>
        <w:t>a</w:t>
      </w:r>
      <w:r>
        <w:rPr>
          <w:i/>
          <w:color w:val="525052"/>
          <w:sz w:val="18"/>
        </w:rPr>
        <w:t>d</w:t>
      </w:r>
      <w:r>
        <w:rPr>
          <w:i/>
          <w:color w:val="383638"/>
          <w:sz w:val="18"/>
        </w:rPr>
        <w:t>i11g</w:t>
      </w:r>
      <w:r>
        <w:rPr>
          <w:i/>
          <w:color w:val="383638"/>
          <w:spacing w:val="8"/>
          <w:sz w:val="18"/>
        </w:rPr>
        <w:t> </w:t>
      </w:r>
      <w:r>
        <w:rPr>
          <w:i/>
          <w:color w:val="383638"/>
          <w:sz w:val="18"/>
        </w:rPr>
        <w:t>stanclard</w:t>
      </w:r>
      <w:r>
        <w:rPr>
          <w:i/>
          <w:color w:val="525052"/>
          <w:sz w:val="18"/>
        </w:rPr>
        <w:t>.</w:t>
      </w:r>
    </w:p>
    <w:p>
      <w:pPr>
        <w:spacing w:after="0"/>
        <w:jc w:val="left"/>
        <w:rPr>
          <w:sz w:val="18"/>
        </w:rPr>
        <w:sectPr>
          <w:pgSz w:w="9560" w:h="13750"/>
          <w:pgMar w:header="380" w:footer="0" w:top="980" w:bottom="280" w:left="440" w:right="1240"/>
        </w:sectPr>
      </w:pPr>
    </w:p>
    <w:p>
      <w:pPr>
        <w:spacing w:before="12"/>
        <w:ind w:left="2897" w:right="0" w:firstLine="0"/>
        <w:jc w:val="left"/>
        <w:rPr>
          <w:b/>
          <w:sz w:val="28"/>
        </w:rPr>
      </w:pPr>
      <w:r>
        <w:rPr>
          <w:b/>
          <w:color w:val="383638"/>
          <w:sz w:val="28"/>
        </w:rPr>
        <w:t>SUMMARY</w:t>
      </w:r>
    </w:p>
    <w:p>
      <w:pPr>
        <w:pStyle w:val="BodyText"/>
        <w:spacing w:line="232" w:lineRule="auto" w:before="251"/>
        <w:ind w:left="2264" w:right="109" w:firstLine="611"/>
        <w:jc w:val="both"/>
      </w:pP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type of court that hears your case and the standard of review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that the court applies can each make a significant difference in the way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that you structure your arguments. Even if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applicable standard is not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controversial, you must keep that standard in mind as you conduct your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research and write your brief. Be sure to update your research so that 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are confident about the standard itself and its judicial gloss</w:t>
      </w:r>
      <w:r>
        <w:rPr>
          <w:color w:val="545254"/>
          <w:w w:val="110"/>
        </w:rPr>
        <w:t>. </w:t>
      </w:r>
      <w:r>
        <w:rPr>
          <w:color w:val="383638"/>
          <w:w w:val="110"/>
        </w:rPr>
        <w:t>In your brief</w:t>
      </w:r>
      <w:r>
        <w:rPr>
          <w:color w:val="545254"/>
          <w:w w:val="110"/>
        </w:rPr>
        <w:t>,</w:t>
      </w:r>
      <w:r>
        <w:rPr>
          <w:color w:val="545254"/>
          <w:spacing w:val="1"/>
          <w:w w:val="110"/>
        </w:rPr>
        <w:t> </w:t>
      </w:r>
      <w:r>
        <w:rPr>
          <w:color w:val="383638"/>
          <w:w w:val="110"/>
        </w:rPr>
        <w:t>be sure to connect the standard explicitly to the legal or factual conclu­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sions that you ask the court to accept</w:t>
      </w:r>
      <w:r>
        <w:rPr>
          <w:color w:val="545254"/>
          <w:w w:val="110"/>
        </w:rPr>
        <w:t>. </w:t>
      </w:r>
      <w:r>
        <w:rPr>
          <w:color w:val="383638"/>
          <w:w w:val="110"/>
        </w:rPr>
        <w:t>If the standard raises substantive or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factual issues</w:t>
      </w:r>
      <w:r>
        <w:rPr>
          <w:color w:val="545254"/>
          <w:w w:val="110"/>
        </w:rPr>
        <w:t>, </w:t>
      </w:r>
      <w:r>
        <w:rPr>
          <w:color w:val="383638"/>
          <w:w w:val="110"/>
        </w:rPr>
        <w:t>you may well need to address those issues in depth within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argument.</w:t>
      </w:r>
    </w:p>
    <w:p>
      <w:pPr>
        <w:pStyle w:val="BodyText"/>
        <w:spacing w:line="232" w:lineRule="auto" w:before="17"/>
        <w:ind w:left="2247" w:right="101" w:firstLine="397"/>
        <w:jc w:val="both"/>
      </w:pPr>
      <w:r>
        <w:rPr>
          <w:color w:val="383638"/>
          <w:w w:val="110"/>
        </w:rPr>
        <w:t>It is likely that most of the appellate cases you argue will be reviewed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under a de novo standard. However, do not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make this decision on auto­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matic pilot. Carefully consider the record, the issues,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relevant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appellate standards of review so that youcan make an informed decision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about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which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standard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applies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case.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before="88"/>
        <w:ind w:left="50" w:right="0" w:firstLine="0"/>
        <w:jc w:val="left"/>
        <w:rPr>
          <w:sz w:val="31"/>
        </w:rPr>
      </w:pPr>
      <w:r>
        <w:rPr>
          <w:color w:val="87898C"/>
          <w:w w:val="108"/>
          <w:sz w:val="31"/>
        </w:rPr>
        <w:t>,</w:t>
      </w:r>
    </w:p>
    <w:p>
      <w:pPr>
        <w:spacing w:after="0"/>
        <w:jc w:val="left"/>
        <w:rPr>
          <w:sz w:val="31"/>
        </w:rPr>
        <w:sectPr>
          <w:headerReference w:type="even" r:id="rId58"/>
          <w:pgSz w:w="9900" w:h="13810"/>
          <w:pgMar w:header="318" w:footer="0" w:top="1400" w:bottom="280" w:left="0" w:right="40"/>
        </w:sectPr>
      </w:pPr>
    </w:p>
    <w:p>
      <w:pPr>
        <w:pStyle w:val="BodyText"/>
        <w:spacing w:before="2"/>
        <w:rPr>
          <w:sz w:val="57"/>
        </w:rPr>
      </w:pPr>
    </w:p>
    <w:p>
      <w:pPr>
        <w:spacing w:before="0"/>
        <w:ind w:left="185" w:right="0" w:firstLine="0"/>
        <w:jc w:val="left"/>
        <w:rPr>
          <w:sz w:val="46"/>
        </w:rPr>
      </w:pPr>
      <w:r>
        <w:rPr>
          <w:color w:val="3A3838"/>
          <w:w w:val="108"/>
          <w:sz w:val="46"/>
        </w:rPr>
        <w:t>!</w:t>
      </w:r>
    </w:p>
    <w:p>
      <w:pPr>
        <w:spacing w:line="180" w:lineRule="auto" w:before="225"/>
        <w:ind w:left="204" w:right="0" w:firstLine="0"/>
        <w:jc w:val="left"/>
        <w:rPr>
          <w:rFonts w:ascii="Arial"/>
          <w:sz w:val="28"/>
        </w:rPr>
      </w:pPr>
      <w:r>
        <w:rPr>
          <w:rFonts w:ascii="Arial"/>
          <w:b/>
          <w:color w:val="3A3838"/>
          <w:spacing w:val="-221"/>
          <w:w w:val="110"/>
          <w:position w:val="-22"/>
          <w:sz w:val="37"/>
        </w:rPr>
        <w:t>a</w:t>
      </w:r>
      <w:r>
        <w:rPr>
          <w:rFonts w:ascii="Arial"/>
          <w:color w:val="3A3838"/>
          <w:spacing w:val="-1"/>
          <w:w w:val="108"/>
          <w:sz w:val="28"/>
        </w:rPr>
        <w:t>Ii</w:t>
      </w:r>
    </w:p>
    <w:p>
      <w:pPr>
        <w:spacing w:line="129" w:lineRule="auto" w:before="67"/>
        <w:ind w:left="177" w:right="0" w:firstLine="0"/>
        <w:jc w:val="left"/>
        <w:rPr>
          <w:sz w:val="37"/>
        </w:rPr>
      </w:pPr>
      <w:r>
        <w:rPr>
          <w:b/>
          <w:color w:val="3A3838"/>
          <w:spacing w:val="-162"/>
          <w:w w:val="82"/>
          <w:position w:val="-19"/>
          <w:sz w:val="54"/>
        </w:rPr>
        <w:t>e</w:t>
      </w:r>
      <w:r>
        <w:rPr>
          <w:color w:val="3A3838"/>
          <w:spacing w:val="-1"/>
          <w:w w:val="73"/>
          <w:sz w:val="37"/>
        </w:rPr>
        <w:t>"'</w:t>
      </w:r>
    </w:p>
    <w:p>
      <w:pPr>
        <w:spacing w:before="80"/>
        <w:ind w:left="0" w:right="117" w:firstLine="0"/>
        <w:jc w:val="righ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color w:val="3A3838"/>
          <w:w w:val="110"/>
          <w:sz w:val="18"/>
        </w:rPr>
        <w:t>35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7"/>
        </w:rPr>
      </w:pPr>
    </w:p>
    <w:p>
      <w:pPr>
        <w:pStyle w:val="Heading4"/>
        <w:spacing w:before="1"/>
        <w:ind w:left="177"/>
      </w:pPr>
      <w:bookmarkStart w:name="_TOC_250000" w:id="1"/>
      <w:r>
        <w:rPr>
          <w:color w:val="69696B"/>
        </w:rPr>
        <w:t>BEF</w:t>
      </w:r>
      <w:r>
        <w:rPr>
          <w:color w:val="3A3838"/>
        </w:rPr>
        <w:t>O</w:t>
      </w:r>
      <w:r>
        <w:rPr>
          <w:color w:val="545454"/>
        </w:rPr>
        <w:t>R</w:t>
      </w:r>
      <w:r>
        <w:rPr>
          <w:color w:val="3A3838"/>
        </w:rPr>
        <w:t>E</w:t>
      </w:r>
      <w:r>
        <w:rPr>
          <w:color w:val="3A3838"/>
          <w:spacing w:val="-4"/>
        </w:rPr>
        <w:t> </w:t>
      </w:r>
      <w:r>
        <w:rPr>
          <w:color w:val="3A3838"/>
        </w:rPr>
        <w:t>YOU</w:t>
      </w:r>
      <w:r>
        <w:rPr>
          <w:color w:val="3A3838"/>
          <w:spacing w:val="173"/>
        </w:rPr>
        <w:t> </w:t>
      </w:r>
      <w:r>
        <w:rPr>
          <w:color w:val="3A3838"/>
        </w:rPr>
        <w:t>W</w:t>
      </w:r>
      <w:r>
        <w:rPr>
          <w:color w:val="545454"/>
        </w:rPr>
        <w:t>R</w:t>
      </w:r>
      <w:bookmarkEnd w:id="1"/>
      <w:r>
        <w:rPr>
          <w:color w:val="3A3838"/>
        </w:rPr>
        <w:t>ITE</w:t>
      </w:r>
    </w:p>
    <w:p>
      <w:pPr>
        <w:pStyle w:val="BodyText"/>
        <w:spacing w:before="9"/>
        <w:rPr>
          <w:rFonts w:ascii="Arial"/>
          <w:b/>
          <w:sz w:val="56"/>
        </w:rPr>
      </w:pPr>
    </w:p>
    <w:p>
      <w:pPr>
        <w:pStyle w:val="ListParagraph"/>
        <w:numPr>
          <w:ilvl w:val="1"/>
          <w:numId w:val="26"/>
        </w:numPr>
        <w:tabs>
          <w:tab w:pos="691" w:val="left" w:leader="none"/>
        </w:tabs>
        <w:spacing w:line="247" w:lineRule="exact" w:before="0" w:after="0"/>
        <w:ind w:left="690" w:right="0" w:hanging="479"/>
        <w:jc w:val="left"/>
        <w:rPr>
          <w:sz w:val="20"/>
        </w:rPr>
      </w:pPr>
      <w:r>
        <w:rPr>
          <w:color w:val="3A3838"/>
          <w:w w:val="110"/>
          <w:sz w:val="20"/>
        </w:rPr>
        <w:t>Creating</w:t>
      </w:r>
      <w:r>
        <w:rPr>
          <w:color w:val="3A3838"/>
          <w:spacing w:val="-10"/>
          <w:w w:val="110"/>
          <w:sz w:val="20"/>
        </w:rPr>
        <w:t> </w:t>
      </w:r>
      <w:r>
        <w:rPr>
          <w:color w:val="3A3838"/>
          <w:w w:val="110"/>
          <w:sz w:val="20"/>
        </w:rPr>
        <w:t>an</w:t>
      </w:r>
      <w:r>
        <w:rPr>
          <w:color w:val="3A3838"/>
          <w:spacing w:val="31"/>
          <w:w w:val="110"/>
          <w:sz w:val="20"/>
        </w:rPr>
        <w:t> </w:t>
      </w:r>
      <w:r>
        <w:rPr>
          <w:color w:val="3A3838"/>
          <w:w w:val="110"/>
          <w:sz w:val="20"/>
        </w:rPr>
        <w:t>Abstract</w:t>
      </w:r>
      <w:r>
        <w:rPr>
          <w:color w:val="3A3838"/>
          <w:spacing w:val="1"/>
          <w:w w:val="110"/>
          <w:sz w:val="20"/>
        </w:rPr>
        <w:t> </w:t>
      </w:r>
      <w:r>
        <w:rPr>
          <w:color w:val="3A3838"/>
          <w:w w:val="110"/>
          <w:sz w:val="20"/>
        </w:rPr>
        <w:t>of</w:t>
      </w:r>
      <w:r>
        <w:rPr>
          <w:color w:val="3A3838"/>
          <w:spacing w:val="14"/>
          <w:w w:val="110"/>
          <w:sz w:val="20"/>
        </w:rPr>
        <w:t> </w:t>
      </w:r>
      <w:r>
        <w:rPr>
          <w:color w:val="3A3838"/>
          <w:w w:val="110"/>
          <w:sz w:val="20"/>
        </w:rPr>
        <w:t>the </w:t>
      </w:r>
      <w:r>
        <w:rPr>
          <w:color w:val="3A3838"/>
          <w:spacing w:val="10"/>
          <w:w w:val="110"/>
          <w:sz w:val="20"/>
        </w:rPr>
        <w:t> </w:t>
      </w:r>
      <w:r>
        <w:rPr>
          <w:color w:val="3A3838"/>
          <w:w w:val="110"/>
          <w:sz w:val="20"/>
        </w:rPr>
        <w:t>Record</w:t>
      </w:r>
    </w:p>
    <w:p>
      <w:pPr>
        <w:pStyle w:val="ListParagraph"/>
        <w:numPr>
          <w:ilvl w:val="1"/>
          <w:numId w:val="26"/>
        </w:numPr>
        <w:tabs>
          <w:tab w:pos="705" w:val="left" w:leader="none"/>
        </w:tabs>
        <w:spacing w:line="241" w:lineRule="exact" w:before="0" w:after="0"/>
        <w:ind w:left="704" w:right="0" w:hanging="493"/>
        <w:jc w:val="left"/>
        <w:rPr>
          <w:sz w:val="20"/>
        </w:rPr>
      </w:pPr>
      <w:r>
        <w:rPr>
          <w:color w:val="3A3838"/>
          <w:w w:val="110"/>
          <w:sz w:val="20"/>
        </w:rPr>
        <w:t>Planning</w:t>
      </w:r>
      <w:r>
        <w:rPr>
          <w:color w:val="3A3838"/>
          <w:spacing w:val="1"/>
          <w:w w:val="110"/>
          <w:sz w:val="20"/>
        </w:rPr>
        <w:t> </w:t>
      </w:r>
      <w:r>
        <w:rPr>
          <w:color w:val="3A3838"/>
          <w:w w:val="110"/>
          <w:sz w:val="20"/>
        </w:rPr>
        <w:t>Your</w:t>
      </w:r>
      <w:r>
        <w:rPr>
          <w:color w:val="3A3838"/>
          <w:spacing w:val="11"/>
          <w:w w:val="110"/>
          <w:sz w:val="20"/>
        </w:rPr>
        <w:t> </w:t>
      </w:r>
      <w:r>
        <w:rPr>
          <w:color w:val="3A3838"/>
          <w:w w:val="110"/>
          <w:sz w:val="20"/>
        </w:rPr>
        <w:t>Research</w:t>
      </w:r>
    </w:p>
    <w:p>
      <w:pPr>
        <w:pStyle w:val="ListParagraph"/>
        <w:numPr>
          <w:ilvl w:val="2"/>
          <w:numId w:val="26"/>
        </w:numPr>
        <w:tabs>
          <w:tab w:pos="1388" w:val="left" w:leader="none"/>
          <w:tab w:pos="1389" w:val="left" w:leader="none"/>
        </w:tabs>
        <w:spacing w:line="237" w:lineRule="auto" w:before="0" w:after="0"/>
        <w:ind w:left="1394" w:right="1935" w:hanging="691"/>
        <w:jc w:val="left"/>
        <w:rPr>
          <w:b/>
          <w:color w:val="3A3838"/>
          <w:sz w:val="22"/>
        </w:rPr>
      </w:pPr>
      <w:r>
        <w:rPr>
          <w:color w:val="3A3838"/>
          <w:w w:val="105"/>
          <w:sz w:val="20"/>
        </w:rPr>
        <w:t>Begin</w:t>
      </w:r>
      <w:r>
        <w:rPr>
          <w:color w:val="3A3838"/>
          <w:spacing w:val="5"/>
          <w:w w:val="105"/>
          <w:sz w:val="20"/>
        </w:rPr>
        <w:t> </w:t>
      </w:r>
      <w:r>
        <w:rPr>
          <w:color w:val="3A3838"/>
          <w:w w:val="105"/>
          <w:sz w:val="20"/>
        </w:rPr>
        <w:t>at</w:t>
      </w:r>
      <w:r>
        <w:rPr>
          <w:color w:val="3A3838"/>
          <w:spacing w:val="38"/>
          <w:w w:val="105"/>
          <w:sz w:val="20"/>
        </w:rPr>
        <w:t> </w:t>
      </w:r>
      <w:r>
        <w:rPr>
          <w:color w:val="3A3838"/>
          <w:w w:val="105"/>
          <w:sz w:val="20"/>
        </w:rPr>
        <w:t>the</w:t>
      </w:r>
      <w:r>
        <w:rPr>
          <w:color w:val="3A3838"/>
          <w:spacing w:val="42"/>
          <w:w w:val="105"/>
          <w:sz w:val="20"/>
        </w:rPr>
        <w:t> </w:t>
      </w:r>
      <w:r>
        <w:rPr>
          <w:color w:val="3A3838"/>
          <w:w w:val="105"/>
          <w:sz w:val="20"/>
        </w:rPr>
        <w:t>Beginning:</w:t>
      </w:r>
      <w:r>
        <w:rPr>
          <w:color w:val="3A3838"/>
          <w:spacing w:val="9"/>
          <w:w w:val="105"/>
          <w:sz w:val="20"/>
        </w:rPr>
        <w:t> </w:t>
      </w:r>
      <w:r>
        <w:rPr>
          <w:color w:val="3A3838"/>
          <w:w w:val="105"/>
          <w:sz w:val="20"/>
        </w:rPr>
        <w:t>Decide</w:t>
      </w:r>
      <w:r>
        <w:rPr>
          <w:color w:val="3A3838"/>
          <w:spacing w:val="6"/>
          <w:w w:val="105"/>
          <w:sz w:val="20"/>
        </w:rPr>
        <w:t> </w:t>
      </w:r>
      <w:r>
        <w:rPr>
          <w:color w:val="3A3838"/>
          <w:w w:val="105"/>
          <w:sz w:val="20"/>
        </w:rPr>
        <w:t>What</w:t>
      </w:r>
      <w:r>
        <w:rPr>
          <w:color w:val="3A3838"/>
          <w:spacing w:val="9"/>
          <w:w w:val="105"/>
          <w:sz w:val="20"/>
        </w:rPr>
        <w:t> </w:t>
      </w:r>
      <w:r>
        <w:rPr>
          <w:color w:val="3A3838"/>
          <w:w w:val="105"/>
          <w:sz w:val="20"/>
        </w:rPr>
        <w:t>Questions</w:t>
      </w:r>
      <w:r>
        <w:rPr>
          <w:color w:val="3A3838"/>
          <w:spacing w:val="-3"/>
          <w:w w:val="105"/>
          <w:sz w:val="20"/>
        </w:rPr>
        <w:t> </w:t>
      </w:r>
      <w:r>
        <w:rPr>
          <w:color w:val="3A3838"/>
          <w:w w:val="105"/>
          <w:sz w:val="20"/>
        </w:rPr>
        <w:t>You</w:t>
      </w:r>
      <w:r>
        <w:rPr>
          <w:color w:val="3A3838"/>
          <w:spacing w:val="1"/>
          <w:w w:val="105"/>
          <w:sz w:val="20"/>
        </w:rPr>
        <w:t> </w:t>
      </w:r>
      <w:r>
        <w:rPr>
          <w:color w:val="3A3838"/>
          <w:w w:val="110"/>
          <w:sz w:val="20"/>
        </w:rPr>
        <w:t>Need</w:t>
      </w:r>
      <w:r>
        <w:rPr>
          <w:color w:val="3A3838"/>
          <w:spacing w:val="9"/>
          <w:w w:val="110"/>
          <w:sz w:val="20"/>
        </w:rPr>
        <w:t> </w:t>
      </w:r>
      <w:r>
        <w:rPr>
          <w:color w:val="3A3838"/>
          <w:w w:val="110"/>
          <w:sz w:val="20"/>
        </w:rPr>
        <w:t>to</w:t>
      </w:r>
      <w:r>
        <w:rPr>
          <w:color w:val="3A3838"/>
          <w:spacing w:val="10"/>
          <w:w w:val="110"/>
          <w:sz w:val="20"/>
        </w:rPr>
        <w:t> </w:t>
      </w:r>
      <w:r>
        <w:rPr>
          <w:color w:val="3A3838"/>
          <w:w w:val="110"/>
          <w:sz w:val="20"/>
        </w:rPr>
        <w:t>Answer</w:t>
      </w:r>
    </w:p>
    <w:p>
      <w:pPr>
        <w:pStyle w:val="ListParagraph"/>
        <w:numPr>
          <w:ilvl w:val="2"/>
          <w:numId w:val="26"/>
        </w:numPr>
        <w:tabs>
          <w:tab w:pos="1398" w:val="left" w:leader="none"/>
          <w:tab w:pos="1399" w:val="left" w:leader="none"/>
        </w:tabs>
        <w:spacing w:line="237" w:lineRule="auto" w:before="0" w:after="0"/>
        <w:ind w:left="1394" w:right="1824" w:hanging="681"/>
        <w:jc w:val="left"/>
        <w:rPr>
          <w:b/>
          <w:color w:val="3A3838"/>
          <w:sz w:val="22"/>
        </w:rPr>
      </w:pPr>
      <w:r>
        <w:rPr>
          <w:color w:val="3A3838"/>
          <w:w w:val="105"/>
          <w:sz w:val="20"/>
        </w:rPr>
        <w:t>Broadening</w:t>
      </w:r>
      <w:r>
        <w:rPr>
          <w:color w:val="3A3838"/>
          <w:spacing w:val="1"/>
          <w:w w:val="105"/>
          <w:sz w:val="20"/>
        </w:rPr>
        <w:t> </w:t>
      </w:r>
      <w:r>
        <w:rPr>
          <w:color w:val="3A3838"/>
          <w:w w:val="105"/>
          <w:sz w:val="20"/>
        </w:rPr>
        <w:t>Your</w:t>
      </w:r>
      <w:r>
        <w:rPr>
          <w:color w:val="3A3838"/>
          <w:spacing w:val="4"/>
          <w:w w:val="105"/>
          <w:sz w:val="20"/>
        </w:rPr>
        <w:t> </w:t>
      </w:r>
      <w:r>
        <w:rPr>
          <w:color w:val="3A3838"/>
          <w:w w:val="105"/>
          <w:sz w:val="20"/>
        </w:rPr>
        <w:t>Horizons</w:t>
      </w:r>
      <w:r>
        <w:rPr>
          <w:color w:val="3A3838"/>
          <w:spacing w:val="-6"/>
          <w:w w:val="105"/>
          <w:sz w:val="20"/>
        </w:rPr>
        <w:t> </w:t>
      </w:r>
      <w:r>
        <w:rPr>
          <w:color w:val="3A3838"/>
          <w:w w:val="105"/>
          <w:sz w:val="20"/>
        </w:rPr>
        <w:t>(You</w:t>
      </w:r>
      <w:r>
        <w:rPr>
          <w:color w:val="3A3838"/>
          <w:spacing w:val="-9"/>
          <w:w w:val="105"/>
          <w:sz w:val="20"/>
        </w:rPr>
        <w:t> </w:t>
      </w:r>
      <w:r>
        <w:rPr>
          <w:rFonts w:ascii="Arial"/>
          <w:i/>
          <w:color w:val="3A3838"/>
          <w:w w:val="105"/>
          <w:sz w:val="17"/>
        </w:rPr>
        <w:t>Can</w:t>
      </w:r>
      <w:r>
        <w:rPr>
          <w:rFonts w:ascii="Arial"/>
          <w:i/>
          <w:color w:val="3A3838"/>
          <w:spacing w:val="14"/>
          <w:w w:val="105"/>
          <w:sz w:val="17"/>
        </w:rPr>
        <w:t> </w:t>
      </w:r>
      <w:r>
        <w:rPr>
          <w:color w:val="3A3838"/>
          <w:w w:val="105"/>
          <w:sz w:val="20"/>
        </w:rPr>
        <w:t>Compare</w:t>
      </w:r>
      <w:r>
        <w:rPr>
          <w:color w:val="3A3838"/>
          <w:spacing w:val="8"/>
          <w:w w:val="105"/>
          <w:sz w:val="20"/>
        </w:rPr>
        <w:t> </w:t>
      </w:r>
      <w:r>
        <w:rPr>
          <w:color w:val="3A3838"/>
          <w:w w:val="105"/>
          <w:sz w:val="20"/>
        </w:rPr>
        <w:t>Apples</w:t>
      </w:r>
      <w:r>
        <w:rPr>
          <w:color w:val="3A3838"/>
          <w:spacing w:val="-50"/>
          <w:w w:val="105"/>
          <w:sz w:val="20"/>
        </w:rPr>
        <w:t> </w:t>
      </w:r>
      <w:r>
        <w:rPr>
          <w:color w:val="3A3838"/>
          <w:w w:val="105"/>
          <w:sz w:val="20"/>
        </w:rPr>
        <w:t>and</w:t>
      </w:r>
      <w:r>
        <w:rPr>
          <w:color w:val="3A3838"/>
          <w:spacing w:val="28"/>
          <w:w w:val="105"/>
          <w:sz w:val="20"/>
        </w:rPr>
        <w:t> </w:t>
      </w:r>
      <w:r>
        <w:rPr>
          <w:color w:val="3A3838"/>
          <w:w w:val="105"/>
          <w:sz w:val="20"/>
        </w:rPr>
        <w:t>Oranges)</w:t>
      </w:r>
    </w:p>
    <w:p>
      <w:pPr>
        <w:pStyle w:val="ListParagraph"/>
        <w:numPr>
          <w:ilvl w:val="2"/>
          <w:numId w:val="26"/>
        </w:numPr>
        <w:tabs>
          <w:tab w:pos="1386" w:val="left" w:leader="none"/>
          <w:tab w:pos="1387" w:val="left" w:leader="none"/>
        </w:tabs>
        <w:spacing w:line="247" w:lineRule="exact" w:before="0" w:after="0"/>
        <w:ind w:left="1386" w:right="0" w:hanging="674"/>
        <w:jc w:val="left"/>
        <w:rPr>
          <w:b/>
          <w:color w:val="3A3838"/>
          <w:sz w:val="22"/>
        </w:rPr>
      </w:pPr>
      <w:r>
        <w:rPr>
          <w:color w:val="3A3838"/>
          <w:w w:val="105"/>
          <w:sz w:val="20"/>
        </w:rPr>
        <w:t>The</w:t>
      </w:r>
      <w:r>
        <w:rPr>
          <w:color w:val="3A3838"/>
          <w:spacing w:val="23"/>
          <w:w w:val="105"/>
          <w:sz w:val="20"/>
        </w:rPr>
        <w:t> </w:t>
      </w:r>
      <w:r>
        <w:rPr>
          <w:color w:val="3A3838"/>
          <w:w w:val="105"/>
          <w:sz w:val="20"/>
        </w:rPr>
        <w:t>Abstraction</w:t>
      </w:r>
      <w:r>
        <w:rPr>
          <w:color w:val="3A3838"/>
          <w:spacing w:val="20"/>
          <w:w w:val="105"/>
          <w:sz w:val="20"/>
        </w:rPr>
        <w:t> </w:t>
      </w:r>
      <w:r>
        <w:rPr>
          <w:color w:val="3A3838"/>
          <w:w w:val="105"/>
          <w:sz w:val="20"/>
        </w:rPr>
        <w:t>Ladder</w:t>
      </w:r>
    </w:p>
    <w:p>
      <w:pPr>
        <w:pStyle w:val="ListParagraph"/>
        <w:numPr>
          <w:ilvl w:val="2"/>
          <w:numId w:val="26"/>
        </w:numPr>
        <w:tabs>
          <w:tab w:pos="1401" w:val="left" w:leader="none"/>
        </w:tabs>
        <w:spacing w:line="236" w:lineRule="exact" w:before="0" w:after="0"/>
        <w:ind w:left="1400" w:right="0" w:hanging="688"/>
        <w:jc w:val="left"/>
        <w:rPr>
          <w:b/>
          <w:color w:val="3A3838"/>
          <w:sz w:val="22"/>
        </w:rPr>
      </w:pPr>
      <w:r>
        <w:rPr>
          <w:color w:val="3A3838"/>
          <w:w w:val="105"/>
          <w:sz w:val="20"/>
        </w:rPr>
        <w:t>Using</w:t>
      </w:r>
      <w:r>
        <w:rPr>
          <w:color w:val="3A3838"/>
          <w:spacing w:val="-10"/>
          <w:w w:val="105"/>
          <w:sz w:val="20"/>
        </w:rPr>
        <w:t> </w:t>
      </w:r>
      <w:r>
        <w:rPr>
          <w:color w:val="3A3838"/>
          <w:w w:val="105"/>
          <w:sz w:val="20"/>
        </w:rPr>
        <w:t>the</w:t>
      </w:r>
      <w:r>
        <w:rPr>
          <w:color w:val="3A3838"/>
          <w:spacing w:val="31"/>
          <w:w w:val="105"/>
          <w:sz w:val="20"/>
        </w:rPr>
        <w:t> </w:t>
      </w:r>
      <w:r>
        <w:rPr>
          <w:color w:val="3A3838"/>
          <w:w w:val="105"/>
          <w:sz w:val="20"/>
        </w:rPr>
        <w:t>Abstraction</w:t>
      </w:r>
      <w:r>
        <w:rPr>
          <w:color w:val="3A3838"/>
          <w:spacing w:val="8"/>
          <w:w w:val="105"/>
          <w:sz w:val="20"/>
        </w:rPr>
        <w:t> </w:t>
      </w:r>
      <w:r>
        <w:rPr>
          <w:color w:val="3A3838"/>
          <w:w w:val="105"/>
          <w:sz w:val="20"/>
        </w:rPr>
        <w:t>Ladder</w:t>
      </w:r>
      <w:r>
        <w:rPr>
          <w:color w:val="3A3838"/>
          <w:spacing w:val="7"/>
          <w:w w:val="105"/>
          <w:sz w:val="20"/>
        </w:rPr>
        <w:t> </w:t>
      </w:r>
      <w:r>
        <w:rPr>
          <w:color w:val="3A3838"/>
          <w:w w:val="105"/>
          <w:sz w:val="20"/>
        </w:rPr>
        <w:t>in</w:t>
      </w:r>
      <w:r>
        <w:rPr>
          <w:color w:val="3A3838"/>
          <w:spacing w:val="29"/>
          <w:w w:val="105"/>
          <w:sz w:val="20"/>
        </w:rPr>
        <w:t> </w:t>
      </w:r>
      <w:r>
        <w:rPr>
          <w:color w:val="3A3838"/>
          <w:w w:val="105"/>
          <w:sz w:val="20"/>
        </w:rPr>
        <w:t>Legal</w:t>
      </w:r>
      <w:r>
        <w:rPr>
          <w:color w:val="3A3838"/>
          <w:spacing w:val="13"/>
          <w:w w:val="105"/>
          <w:sz w:val="20"/>
        </w:rPr>
        <w:t> </w:t>
      </w:r>
      <w:r>
        <w:rPr>
          <w:color w:val="3A3838"/>
          <w:w w:val="105"/>
          <w:sz w:val="20"/>
        </w:rPr>
        <w:t>Research</w:t>
      </w:r>
    </w:p>
    <w:p>
      <w:pPr>
        <w:pStyle w:val="ListParagraph"/>
        <w:numPr>
          <w:ilvl w:val="2"/>
          <w:numId w:val="26"/>
        </w:numPr>
        <w:tabs>
          <w:tab w:pos="1406" w:val="left" w:leader="none"/>
          <w:tab w:pos="1407" w:val="left" w:leader="none"/>
        </w:tabs>
        <w:spacing w:line="236" w:lineRule="exact" w:before="0" w:after="0"/>
        <w:ind w:left="1406" w:right="0" w:hanging="694"/>
        <w:jc w:val="left"/>
        <w:rPr>
          <w:b/>
          <w:color w:val="3A3838"/>
          <w:sz w:val="22"/>
        </w:rPr>
      </w:pPr>
      <w:r>
        <w:rPr>
          <w:color w:val="3A3838"/>
          <w:w w:val="105"/>
          <w:sz w:val="20"/>
        </w:rPr>
        <w:t>Identifying</w:t>
      </w:r>
      <w:r>
        <w:rPr>
          <w:color w:val="3A3838"/>
          <w:spacing w:val="7"/>
          <w:w w:val="105"/>
          <w:sz w:val="20"/>
        </w:rPr>
        <w:t> </w:t>
      </w:r>
      <w:r>
        <w:rPr>
          <w:color w:val="3A3838"/>
          <w:w w:val="105"/>
          <w:sz w:val="20"/>
        </w:rPr>
        <w:t>a</w:t>
      </w:r>
      <w:r>
        <w:rPr>
          <w:color w:val="3A3838"/>
          <w:spacing w:val="20"/>
          <w:w w:val="105"/>
          <w:sz w:val="20"/>
        </w:rPr>
        <w:t> </w:t>
      </w:r>
      <w:r>
        <w:rPr>
          <w:color w:val="3A3838"/>
          <w:w w:val="105"/>
          <w:sz w:val="20"/>
        </w:rPr>
        <w:t>Th</w:t>
      </w:r>
      <w:r>
        <w:rPr>
          <w:color w:val="545454"/>
          <w:w w:val="105"/>
          <w:sz w:val="20"/>
        </w:rPr>
        <w:t>e</w:t>
      </w:r>
      <w:r>
        <w:rPr>
          <w:color w:val="3A3838"/>
          <w:w w:val="105"/>
          <w:sz w:val="20"/>
        </w:rPr>
        <w:t>me</w:t>
      </w:r>
      <w:r>
        <w:rPr>
          <w:color w:val="3A3838"/>
          <w:spacing w:val="22"/>
          <w:w w:val="105"/>
          <w:sz w:val="20"/>
        </w:rPr>
        <w:t> </w:t>
      </w:r>
      <w:r>
        <w:rPr>
          <w:color w:val="3A3838"/>
          <w:w w:val="105"/>
          <w:sz w:val="20"/>
        </w:rPr>
        <w:t>for</w:t>
      </w:r>
      <w:r>
        <w:rPr>
          <w:color w:val="3A3838"/>
          <w:spacing w:val="24"/>
          <w:w w:val="105"/>
          <w:sz w:val="20"/>
        </w:rPr>
        <w:t> </w:t>
      </w:r>
      <w:r>
        <w:rPr>
          <w:color w:val="3A3838"/>
          <w:w w:val="105"/>
          <w:sz w:val="20"/>
        </w:rPr>
        <w:t>Your</w:t>
      </w:r>
      <w:r>
        <w:rPr>
          <w:color w:val="3A3838"/>
          <w:spacing w:val="6"/>
          <w:w w:val="105"/>
          <w:sz w:val="20"/>
        </w:rPr>
        <w:t> </w:t>
      </w:r>
      <w:r>
        <w:rPr>
          <w:color w:val="3A3838"/>
          <w:w w:val="105"/>
          <w:sz w:val="20"/>
        </w:rPr>
        <w:t>Argument</w:t>
      </w:r>
    </w:p>
    <w:p>
      <w:pPr>
        <w:pStyle w:val="ListParagraph"/>
        <w:numPr>
          <w:ilvl w:val="2"/>
          <w:numId w:val="26"/>
        </w:numPr>
        <w:tabs>
          <w:tab w:pos="1407" w:val="left" w:leader="none"/>
        </w:tabs>
        <w:spacing w:line="246" w:lineRule="exact" w:before="0" w:after="0"/>
        <w:ind w:left="1406" w:right="0" w:hanging="694"/>
        <w:jc w:val="left"/>
        <w:rPr>
          <w:b/>
          <w:color w:val="3A3838"/>
          <w:sz w:val="22"/>
        </w:rPr>
      </w:pPr>
      <w:r>
        <w:rPr>
          <w:color w:val="3A3838"/>
          <w:w w:val="110"/>
          <w:sz w:val="20"/>
        </w:rPr>
        <w:t>Identifying</w:t>
      </w:r>
      <w:r>
        <w:rPr>
          <w:color w:val="3A3838"/>
          <w:spacing w:val="-4"/>
          <w:w w:val="110"/>
          <w:sz w:val="20"/>
        </w:rPr>
        <w:t> </w:t>
      </w:r>
      <w:r>
        <w:rPr>
          <w:color w:val="3A3838"/>
          <w:w w:val="110"/>
          <w:sz w:val="20"/>
        </w:rPr>
        <w:t>Valid</w:t>
      </w:r>
      <w:r>
        <w:rPr>
          <w:color w:val="3A3838"/>
          <w:spacing w:val="-9"/>
          <w:w w:val="110"/>
          <w:sz w:val="20"/>
        </w:rPr>
        <w:t> </w:t>
      </w:r>
      <w:r>
        <w:rPr>
          <w:color w:val="3A3838"/>
          <w:w w:val="110"/>
          <w:sz w:val="20"/>
        </w:rPr>
        <w:t>Authority</w:t>
      </w:r>
    </w:p>
    <w:p>
      <w:pPr>
        <w:pStyle w:val="ListParagraph"/>
        <w:numPr>
          <w:ilvl w:val="3"/>
          <w:numId w:val="26"/>
        </w:numPr>
        <w:tabs>
          <w:tab w:pos="1707" w:val="left" w:leader="none"/>
        </w:tabs>
        <w:spacing w:line="252" w:lineRule="exact" w:before="0" w:after="0"/>
        <w:ind w:left="1706" w:right="0" w:hanging="306"/>
        <w:jc w:val="left"/>
        <w:rPr>
          <w:sz w:val="20"/>
        </w:rPr>
      </w:pPr>
      <w:r>
        <w:rPr>
          <w:color w:val="3A3838"/>
          <w:w w:val="105"/>
          <w:sz w:val="20"/>
        </w:rPr>
        <w:t>Relevant</w:t>
      </w:r>
      <w:r>
        <w:rPr>
          <w:color w:val="3A3838"/>
          <w:spacing w:val="7"/>
          <w:w w:val="105"/>
          <w:sz w:val="20"/>
        </w:rPr>
        <w:t> </w:t>
      </w:r>
      <w:r>
        <w:rPr>
          <w:color w:val="3A3838"/>
          <w:w w:val="105"/>
          <w:sz w:val="20"/>
        </w:rPr>
        <w:t>Facts</w:t>
      </w:r>
    </w:p>
    <w:p>
      <w:pPr>
        <w:pStyle w:val="ListParagraph"/>
        <w:numPr>
          <w:ilvl w:val="3"/>
          <w:numId w:val="26"/>
        </w:numPr>
        <w:tabs>
          <w:tab w:pos="1688" w:val="left" w:leader="none"/>
        </w:tabs>
        <w:spacing w:line="240" w:lineRule="auto" w:before="0" w:after="0"/>
        <w:ind w:left="1687" w:right="0" w:hanging="282"/>
        <w:jc w:val="left"/>
        <w:rPr>
          <w:sz w:val="20"/>
        </w:rPr>
      </w:pPr>
      <w:r>
        <w:rPr>
          <w:color w:val="3A3838"/>
          <w:w w:val="105"/>
          <w:sz w:val="20"/>
        </w:rPr>
        <w:t>Relevant</w:t>
      </w:r>
      <w:r>
        <w:rPr>
          <w:color w:val="3A3838"/>
          <w:spacing w:val="9"/>
          <w:w w:val="105"/>
          <w:sz w:val="20"/>
        </w:rPr>
        <w:t> </w:t>
      </w:r>
      <w:r>
        <w:rPr>
          <w:color w:val="3A3838"/>
          <w:w w:val="105"/>
          <w:sz w:val="20"/>
        </w:rPr>
        <w:t>Legal</w:t>
      </w:r>
      <w:r>
        <w:rPr>
          <w:color w:val="3A3838"/>
          <w:spacing w:val="-1"/>
          <w:w w:val="105"/>
          <w:sz w:val="20"/>
        </w:rPr>
        <w:t> </w:t>
      </w:r>
      <w:r>
        <w:rPr>
          <w:color w:val="3A3838"/>
          <w:w w:val="105"/>
          <w:sz w:val="20"/>
        </w:rPr>
        <w:t>Issues</w:t>
      </w:r>
    </w:p>
    <w:p>
      <w:pPr>
        <w:pStyle w:val="ListParagraph"/>
        <w:numPr>
          <w:ilvl w:val="3"/>
          <w:numId w:val="26"/>
        </w:numPr>
        <w:tabs>
          <w:tab w:pos="1688" w:val="left" w:leader="none"/>
        </w:tabs>
        <w:spacing w:line="240" w:lineRule="auto" w:before="6" w:after="0"/>
        <w:ind w:left="1687" w:right="0" w:hanging="285"/>
        <w:jc w:val="left"/>
        <w:rPr>
          <w:sz w:val="20"/>
        </w:rPr>
      </w:pPr>
      <w:r>
        <w:rPr>
          <w:color w:val="3A3838"/>
          <w:w w:val="105"/>
          <w:sz w:val="20"/>
        </w:rPr>
        <w:t>Relevant Sources</w:t>
      </w:r>
    </w:p>
    <w:p>
      <w:pPr>
        <w:pStyle w:val="ListParagraph"/>
        <w:numPr>
          <w:ilvl w:val="4"/>
          <w:numId w:val="26"/>
        </w:numPr>
        <w:tabs>
          <w:tab w:pos="2072" w:val="left" w:leader="none"/>
          <w:tab w:pos="2073" w:val="left" w:leader="none"/>
        </w:tabs>
        <w:spacing w:line="240" w:lineRule="auto" w:before="25" w:after="0"/>
        <w:ind w:left="2072" w:right="0" w:hanging="376"/>
        <w:jc w:val="left"/>
        <w:rPr>
          <w:sz w:val="20"/>
        </w:rPr>
      </w:pPr>
      <w:r>
        <w:rPr>
          <w:color w:val="3A3838"/>
          <w:sz w:val="20"/>
        </w:rPr>
        <w:t>Legal</w:t>
      </w:r>
      <w:r>
        <w:rPr>
          <w:color w:val="3A3838"/>
          <w:spacing w:val="4"/>
          <w:sz w:val="20"/>
        </w:rPr>
        <w:t> </w:t>
      </w:r>
      <w:r>
        <w:rPr>
          <w:color w:val="3A3838"/>
          <w:sz w:val="20"/>
        </w:rPr>
        <w:t>Sources</w:t>
      </w:r>
    </w:p>
    <w:p>
      <w:pPr>
        <w:pStyle w:val="ListParagraph"/>
        <w:numPr>
          <w:ilvl w:val="4"/>
          <w:numId w:val="26"/>
        </w:numPr>
        <w:tabs>
          <w:tab w:pos="2063" w:val="left" w:leader="none"/>
          <w:tab w:pos="2064" w:val="left" w:leader="none"/>
        </w:tabs>
        <w:spacing w:line="240" w:lineRule="auto" w:before="19" w:after="0"/>
        <w:ind w:left="2063" w:right="0" w:hanging="367"/>
        <w:jc w:val="left"/>
        <w:rPr>
          <w:sz w:val="20"/>
        </w:rPr>
      </w:pPr>
      <w:r>
        <w:rPr>
          <w:color w:val="545454"/>
          <w:w w:val="105"/>
          <w:sz w:val="20"/>
        </w:rPr>
        <w:t>"</w:t>
      </w:r>
      <w:r>
        <w:rPr>
          <w:color w:val="3A3838"/>
          <w:w w:val="105"/>
          <w:sz w:val="20"/>
        </w:rPr>
        <w:t>Extra</w:t>
      </w:r>
      <w:r>
        <w:rPr>
          <w:color w:val="545454"/>
          <w:w w:val="105"/>
          <w:sz w:val="20"/>
        </w:rPr>
        <w:t>-</w:t>
      </w:r>
      <w:r>
        <w:rPr>
          <w:color w:val="3A3838"/>
          <w:w w:val="105"/>
          <w:sz w:val="20"/>
        </w:rPr>
        <w:t>Le</w:t>
      </w:r>
      <w:r>
        <w:rPr>
          <w:color w:val="545454"/>
          <w:w w:val="105"/>
          <w:sz w:val="20"/>
        </w:rPr>
        <w:t>g</w:t>
      </w:r>
      <w:r>
        <w:rPr>
          <w:color w:val="3A3838"/>
          <w:w w:val="105"/>
          <w:sz w:val="20"/>
        </w:rPr>
        <w:t>al"</w:t>
      </w:r>
      <w:r>
        <w:rPr>
          <w:color w:val="3A3838"/>
          <w:spacing w:val="3"/>
          <w:w w:val="105"/>
          <w:sz w:val="20"/>
        </w:rPr>
        <w:t> </w:t>
      </w:r>
      <w:r>
        <w:rPr>
          <w:color w:val="3A3838"/>
          <w:w w:val="105"/>
          <w:sz w:val="20"/>
        </w:rPr>
        <w:t>Sources</w:t>
      </w:r>
    </w:p>
    <w:p>
      <w:pPr>
        <w:pStyle w:val="ListParagraph"/>
        <w:numPr>
          <w:ilvl w:val="4"/>
          <w:numId w:val="26"/>
        </w:numPr>
        <w:tabs>
          <w:tab w:pos="375" w:val="left" w:leader="none"/>
        </w:tabs>
        <w:spacing w:line="227" w:lineRule="exact" w:before="39" w:after="0"/>
        <w:ind w:left="2071" w:right="4416" w:hanging="2072"/>
        <w:jc w:val="right"/>
        <w:rPr>
          <w:sz w:val="20"/>
        </w:rPr>
      </w:pPr>
      <w:r>
        <w:rPr>
          <w:color w:val="3A3838"/>
          <w:w w:val="110"/>
          <w:sz w:val="20"/>
        </w:rPr>
        <w:t>Internet</w:t>
      </w:r>
      <w:r>
        <w:rPr>
          <w:color w:val="3A3838"/>
          <w:spacing w:val="7"/>
          <w:w w:val="110"/>
          <w:sz w:val="20"/>
        </w:rPr>
        <w:t> </w:t>
      </w:r>
      <w:r>
        <w:rPr>
          <w:color w:val="3A3838"/>
          <w:w w:val="110"/>
          <w:sz w:val="20"/>
        </w:rPr>
        <w:t>Sources</w:t>
      </w:r>
    </w:p>
    <w:p>
      <w:pPr>
        <w:pStyle w:val="ListParagraph"/>
        <w:numPr>
          <w:ilvl w:val="1"/>
          <w:numId w:val="26"/>
        </w:numPr>
        <w:tabs>
          <w:tab w:pos="492" w:val="left" w:leader="none"/>
        </w:tabs>
        <w:spacing w:line="238" w:lineRule="exact" w:before="0" w:after="0"/>
        <w:ind w:left="723" w:right="4447" w:hanging="724"/>
        <w:jc w:val="right"/>
        <w:rPr>
          <w:sz w:val="20"/>
        </w:rPr>
      </w:pPr>
      <w:r>
        <w:rPr>
          <w:color w:val="3A3838"/>
          <w:w w:val="110"/>
          <w:sz w:val="20"/>
        </w:rPr>
        <w:t>Executing</w:t>
      </w:r>
      <w:r>
        <w:rPr>
          <w:color w:val="3A3838"/>
          <w:spacing w:val="-3"/>
          <w:w w:val="110"/>
          <w:sz w:val="20"/>
        </w:rPr>
        <w:t> </w:t>
      </w:r>
      <w:r>
        <w:rPr>
          <w:color w:val="3A3838"/>
          <w:w w:val="110"/>
          <w:sz w:val="20"/>
        </w:rPr>
        <w:t>Your</w:t>
      </w:r>
      <w:r>
        <w:rPr>
          <w:color w:val="3A3838"/>
          <w:spacing w:val="13"/>
          <w:w w:val="110"/>
          <w:sz w:val="20"/>
        </w:rPr>
        <w:t> </w:t>
      </w:r>
      <w:r>
        <w:rPr>
          <w:color w:val="3A3838"/>
          <w:w w:val="110"/>
          <w:sz w:val="20"/>
        </w:rPr>
        <w:t>Research</w:t>
      </w:r>
      <w:r>
        <w:rPr>
          <w:color w:val="3A3838"/>
          <w:spacing w:val="29"/>
          <w:w w:val="110"/>
          <w:sz w:val="20"/>
        </w:rPr>
        <w:t> </w:t>
      </w:r>
      <w:r>
        <w:rPr>
          <w:color w:val="3A3838"/>
          <w:w w:val="110"/>
          <w:sz w:val="20"/>
        </w:rPr>
        <w:t>Plan</w:t>
      </w:r>
    </w:p>
    <w:p>
      <w:pPr>
        <w:pStyle w:val="ListParagraph"/>
        <w:numPr>
          <w:ilvl w:val="2"/>
          <w:numId w:val="26"/>
        </w:numPr>
        <w:tabs>
          <w:tab w:pos="1417" w:val="left" w:leader="none"/>
          <w:tab w:pos="1418" w:val="left" w:leader="none"/>
        </w:tabs>
        <w:spacing w:line="236" w:lineRule="exact" w:before="0" w:after="0"/>
        <w:ind w:left="1417" w:right="0" w:hanging="685"/>
        <w:jc w:val="left"/>
        <w:rPr>
          <w:b/>
          <w:color w:val="3A3838"/>
          <w:sz w:val="22"/>
        </w:rPr>
      </w:pPr>
      <w:r>
        <w:rPr>
          <w:color w:val="3A3838"/>
          <w:w w:val="105"/>
          <w:sz w:val="20"/>
        </w:rPr>
        <w:t>Researching</w:t>
      </w:r>
      <w:r>
        <w:rPr>
          <w:color w:val="3A3838"/>
          <w:spacing w:val="5"/>
          <w:w w:val="105"/>
          <w:sz w:val="20"/>
        </w:rPr>
        <w:t> </w:t>
      </w:r>
      <w:r>
        <w:rPr>
          <w:color w:val="3A3838"/>
          <w:w w:val="105"/>
          <w:sz w:val="20"/>
        </w:rPr>
        <w:t>Statutory</w:t>
      </w:r>
      <w:r>
        <w:rPr>
          <w:color w:val="3A3838"/>
          <w:spacing w:val="28"/>
          <w:w w:val="105"/>
          <w:sz w:val="20"/>
        </w:rPr>
        <w:t> </w:t>
      </w:r>
      <w:r>
        <w:rPr>
          <w:color w:val="3A3838"/>
          <w:w w:val="105"/>
          <w:sz w:val="20"/>
        </w:rPr>
        <w:t>Issu</w:t>
      </w:r>
      <w:r>
        <w:rPr>
          <w:color w:val="545454"/>
          <w:w w:val="105"/>
          <w:sz w:val="20"/>
        </w:rPr>
        <w:t>e</w:t>
      </w:r>
      <w:r>
        <w:rPr>
          <w:color w:val="3A3838"/>
          <w:w w:val="105"/>
          <w:sz w:val="20"/>
        </w:rPr>
        <w:t>s</w:t>
      </w:r>
    </w:p>
    <w:p>
      <w:pPr>
        <w:pStyle w:val="ListParagraph"/>
        <w:numPr>
          <w:ilvl w:val="2"/>
          <w:numId w:val="26"/>
        </w:numPr>
        <w:tabs>
          <w:tab w:pos="1419" w:val="left" w:leader="none"/>
        </w:tabs>
        <w:spacing w:line="236" w:lineRule="exact" w:before="0" w:after="0"/>
        <w:ind w:left="1418" w:right="0" w:hanging="686"/>
        <w:jc w:val="left"/>
        <w:rPr>
          <w:b/>
          <w:color w:val="3A3838"/>
          <w:sz w:val="22"/>
        </w:rPr>
      </w:pPr>
      <w:r>
        <w:rPr>
          <w:color w:val="3A3838"/>
          <w:w w:val="105"/>
          <w:sz w:val="20"/>
        </w:rPr>
        <w:t>Writing</w:t>
      </w:r>
      <w:r>
        <w:rPr>
          <w:color w:val="3A3838"/>
          <w:spacing w:val="5"/>
          <w:w w:val="105"/>
          <w:sz w:val="20"/>
        </w:rPr>
        <w:t> </w:t>
      </w:r>
      <w:r>
        <w:rPr>
          <w:color w:val="3A3838"/>
          <w:w w:val="105"/>
          <w:sz w:val="20"/>
        </w:rPr>
        <w:t>to</w:t>
      </w:r>
      <w:r>
        <w:rPr>
          <w:color w:val="3A3838"/>
          <w:spacing w:val="24"/>
          <w:w w:val="105"/>
          <w:sz w:val="20"/>
        </w:rPr>
        <w:t> </w:t>
      </w:r>
      <w:r>
        <w:rPr>
          <w:color w:val="3A3838"/>
          <w:w w:val="105"/>
          <w:sz w:val="20"/>
        </w:rPr>
        <w:t>Courts</w:t>
      </w:r>
      <w:r>
        <w:rPr>
          <w:color w:val="3A3838"/>
          <w:spacing w:val="-14"/>
          <w:w w:val="105"/>
          <w:sz w:val="20"/>
        </w:rPr>
        <w:t> </w:t>
      </w:r>
      <w:r>
        <w:rPr>
          <w:color w:val="3A3838"/>
          <w:w w:val="105"/>
          <w:sz w:val="20"/>
        </w:rPr>
        <w:t>of</w:t>
      </w:r>
      <w:r>
        <w:rPr>
          <w:color w:val="3A3838"/>
          <w:spacing w:val="20"/>
          <w:w w:val="105"/>
          <w:sz w:val="20"/>
        </w:rPr>
        <w:t> </w:t>
      </w:r>
      <w:r>
        <w:rPr>
          <w:color w:val="3A3838"/>
          <w:w w:val="105"/>
          <w:sz w:val="20"/>
        </w:rPr>
        <w:t>La</w:t>
      </w:r>
      <w:r>
        <w:rPr>
          <w:color w:val="545454"/>
          <w:w w:val="105"/>
          <w:sz w:val="20"/>
        </w:rPr>
        <w:t>s</w:t>
      </w:r>
      <w:r>
        <w:rPr>
          <w:color w:val="3A3838"/>
          <w:w w:val="105"/>
          <w:sz w:val="20"/>
        </w:rPr>
        <w:t>t</w:t>
      </w:r>
      <w:r>
        <w:rPr>
          <w:color w:val="3A3838"/>
          <w:spacing w:val="30"/>
          <w:w w:val="105"/>
          <w:sz w:val="20"/>
        </w:rPr>
        <w:t> </w:t>
      </w:r>
      <w:r>
        <w:rPr>
          <w:color w:val="3A3838"/>
          <w:w w:val="105"/>
          <w:sz w:val="20"/>
        </w:rPr>
        <w:t>Resort</w:t>
      </w:r>
    </w:p>
    <w:p>
      <w:pPr>
        <w:pStyle w:val="ListParagraph"/>
        <w:numPr>
          <w:ilvl w:val="2"/>
          <w:numId w:val="26"/>
        </w:numPr>
        <w:tabs>
          <w:tab w:pos="1427" w:val="left" w:leader="none"/>
          <w:tab w:pos="1428" w:val="left" w:leader="none"/>
        </w:tabs>
        <w:spacing w:line="236" w:lineRule="exact" w:before="0" w:after="0"/>
        <w:ind w:left="1427" w:right="0" w:hanging="695"/>
        <w:jc w:val="left"/>
        <w:rPr>
          <w:b/>
          <w:color w:val="3A3838"/>
          <w:sz w:val="22"/>
        </w:rPr>
      </w:pPr>
      <w:r>
        <w:rPr>
          <w:color w:val="3A3838"/>
          <w:w w:val="110"/>
          <w:sz w:val="20"/>
        </w:rPr>
        <w:t>Harvesting</w:t>
      </w:r>
      <w:r>
        <w:rPr>
          <w:color w:val="3A3838"/>
          <w:spacing w:val="6"/>
          <w:w w:val="110"/>
          <w:sz w:val="20"/>
        </w:rPr>
        <w:t> </w:t>
      </w:r>
      <w:r>
        <w:rPr>
          <w:color w:val="3A3838"/>
          <w:w w:val="110"/>
          <w:sz w:val="20"/>
        </w:rPr>
        <w:t>Arguments</w:t>
      </w:r>
      <w:r>
        <w:rPr>
          <w:color w:val="3A3838"/>
          <w:spacing w:val="-3"/>
          <w:w w:val="110"/>
          <w:sz w:val="20"/>
        </w:rPr>
        <w:t> </w:t>
      </w:r>
      <w:r>
        <w:rPr>
          <w:color w:val="3A3838"/>
          <w:w w:val="110"/>
          <w:sz w:val="20"/>
        </w:rPr>
        <w:t>from</w:t>
      </w:r>
      <w:r>
        <w:rPr>
          <w:color w:val="3A3838"/>
          <w:spacing w:val="8"/>
          <w:w w:val="110"/>
          <w:sz w:val="20"/>
        </w:rPr>
        <w:t> </w:t>
      </w:r>
      <w:r>
        <w:rPr>
          <w:color w:val="3A3838"/>
          <w:w w:val="110"/>
          <w:sz w:val="20"/>
        </w:rPr>
        <w:t>Nonmandatory</w:t>
      </w:r>
      <w:r>
        <w:rPr>
          <w:color w:val="3A3838"/>
          <w:spacing w:val="16"/>
          <w:w w:val="110"/>
          <w:sz w:val="20"/>
        </w:rPr>
        <w:t> </w:t>
      </w:r>
      <w:r>
        <w:rPr>
          <w:color w:val="3A3838"/>
          <w:w w:val="110"/>
          <w:sz w:val="20"/>
        </w:rPr>
        <w:t>Authorities</w:t>
      </w:r>
    </w:p>
    <w:p>
      <w:pPr>
        <w:pStyle w:val="ListParagraph"/>
        <w:numPr>
          <w:ilvl w:val="1"/>
          <w:numId w:val="26"/>
        </w:numPr>
        <w:tabs>
          <w:tab w:pos="722" w:val="left" w:leader="none"/>
        </w:tabs>
        <w:spacing w:line="246" w:lineRule="exact" w:before="0" w:after="0"/>
        <w:ind w:left="721" w:right="0" w:hanging="491"/>
        <w:jc w:val="left"/>
        <w:rPr>
          <w:sz w:val="20"/>
        </w:rPr>
      </w:pPr>
      <w:r>
        <w:rPr>
          <w:color w:val="3A3838"/>
          <w:w w:val="110"/>
          <w:sz w:val="20"/>
        </w:rPr>
        <w:t>The</w:t>
      </w:r>
      <w:r>
        <w:rPr>
          <w:color w:val="3A3838"/>
          <w:spacing w:val="23"/>
          <w:w w:val="110"/>
          <w:sz w:val="20"/>
        </w:rPr>
        <w:t> </w:t>
      </w:r>
      <w:r>
        <w:rPr>
          <w:color w:val="3A3838"/>
          <w:w w:val="110"/>
          <w:sz w:val="20"/>
        </w:rPr>
        <w:t>Legal</w:t>
      </w:r>
      <w:r>
        <w:rPr>
          <w:color w:val="3A3838"/>
          <w:spacing w:val="-3"/>
          <w:w w:val="110"/>
          <w:sz w:val="20"/>
        </w:rPr>
        <w:t> </w:t>
      </w:r>
      <w:r>
        <w:rPr>
          <w:color w:val="3A3838"/>
          <w:w w:val="110"/>
          <w:sz w:val="20"/>
        </w:rPr>
        <w:t>Writer</w:t>
      </w:r>
      <w:r>
        <w:rPr>
          <w:color w:val="3A3838"/>
          <w:spacing w:val="4"/>
          <w:w w:val="110"/>
          <w:sz w:val="20"/>
        </w:rPr>
        <w:t> </w:t>
      </w:r>
      <w:r>
        <w:rPr>
          <w:color w:val="3A3838"/>
          <w:w w:val="110"/>
          <w:sz w:val="20"/>
        </w:rPr>
        <w:t>as</w:t>
      </w:r>
      <w:r>
        <w:rPr>
          <w:color w:val="3A3838"/>
          <w:spacing w:val="3"/>
          <w:w w:val="110"/>
          <w:sz w:val="20"/>
        </w:rPr>
        <w:t> </w:t>
      </w:r>
      <w:r>
        <w:rPr>
          <w:color w:val="3A3838"/>
          <w:w w:val="110"/>
          <w:sz w:val="20"/>
        </w:rPr>
        <w:t>Digital</w:t>
      </w:r>
      <w:r>
        <w:rPr>
          <w:color w:val="3A3838"/>
          <w:spacing w:val="8"/>
          <w:w w:val="110"/>
          <w:sz w:val="20"/>
        </w:rPr>
        <w:t> </w:t>
      </w:r>
      <w:r>
        <w:rPr>
          <w:color w:val="3A3838"/>
          <w:w w:val="110"/>
          <w:sz w:val="20"/>
        </w:rPr>
        <w:t>Reader</w:t>
      </w:r>
    </w:p>
    <w:p>
      <w:pPr>
        <w:pStyle w:val="ListParagraph"/>
        <w:numPr>
          <w:ilvl w:val="1"/>
          <w:numId w:val="26"/>
        </w:numPr>
        <w:tabs>
          <w:tab w:pos="734" w:val="left" w:leader="none"/>
        </w:tabs>
        <w:spacing w:line="241" w:lineRule="exact" w:before="0" w:after="0"/>
        <w:ind w:left="733" w:right="0" w:hanging="503"/>
        <w:jc w:val="left"/>
        <w:rPr>
          <w:sz w:val="20"/>
        </w:rPr>
      </w:pPr>
      <w:r>
        <w:rPr>
          <w:color w:val="3A3838"/>
          <w:w w:val="115"/>
          <w:sz w:val="20"/>
        </w:rPr>
        <w:t>Knowing</w:t>
      </w:r>
      <w:r>
        <w:rPr>
          <w:color w:val="3A3838"/>
          <w:spacing w:val="6"/>
          <w:w w:val="115"/>
          <w:sz w:val="20"/>
        </w:rPr>
        <w:t> </w:t>
      </w:r>
      <w:r>
        <w:rPr>
          <w:color w:val="3A3838"/>
          <w:w w:val="115"/>
          <w:sz w:val="20"/>
        </w:rPr>
        <w:t>When</w:t>
      </w:r>
      <w:r>
        <w:rPr>
          <w:color w:val="3A3838"/>
          <w:spacing w:val="6"/>
          <w:w w:val="115"/>
          <w:sz w:val="20"/>
        </w:rPr>
        <w:t> </w:t>
      </w:r>
      <w:r>
        <w:rPr>
          <w:color w:val="3A3838"/>
          <w:w w:val="115"/>
          <w:sz w:val="20"/>
        </w:rPr>
        <w:t>to</w:t>
      </w:r>
      <w:r>
        <w:rPr>
          <w:color w:val="3A3838"/>
          <w:spacing w:val="3"/>
          <w:w w:val="115"/>
          <w:sz w:val="20"/>
        </w:rPr>
        <w:t> </w:t>
      </w:r>
      <w:r>
        <w:rPr>
          <w:color w:val="3A3838"/>
          <w:w w:val="115"/>
          <w:sz w:val="20"/>
        </w:rPr>
        <w:t>Stop</w:t>
      </w:r>
    </w:p>
    <w:p>
      <w:pPr>
        <w:pStyle w:val="ListParagraph"/>
        <w:numPr>
          <w:ilvl w:val="1"/>
          <w:numId w:val="26"/>
        </w:numPr>
        <w:tabs>
          <w:tab w:pos="715" w:val="left" w:leader="none"/>
        </w:tabs>
        <w:spacing w:line="242" w:lineRule="exact" w:before="0" w:after="0"/>
        <w:ind w:left="714" w:right="0" w:hanging="484"/>
        <w:jc w:val="left"/>
        <w:rPr>
          <w:sz w:val="20"/>
        </w:rPr>
      </w:pPr>
      <w:r>
        <w:rPr>
          <w:color w:val="3A3838"/>
          <w:w w:val="115"/>
          <w:sz w:val="20"/>
        </w:rPr>
        <w:t>Summary</w:t>
      </w:r>
    </w:p>
    <w:p>
      <w:pPr>
        <w:spacing w:after="0" w:line="242" w:lineRule="exact"/>
        <w:jc w:val="left"/>
        <w:rPr>
          <w:sz w:val="20"/>
        </w:rPr>
        <w:sectPr>
          <w:headerReference w:type="default" r:id="rId59"/>
          <w:pgSz w:w="9560" w:h="13770"/>
          <w:pgMar w:header="0" w:footer="0" w:top="480" w:bottom="280" w:left="380" w:right="740"/>
          <w:cols w:num="2" w:equalWidth="0">
            <w:col w:w="413" w:space="80"/>
            <w:col w:w="7947"/>
          </w:cols>
        </w:sect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32" w:lineRule="auto" w:before="97"/>
        <w:ind w:left="112" w:right="614" w:firstLine="609"/>
        <w:jc w:val="both"/>
      </w:pPr>
      <w:r>
        <w:rPr>
          <w:color w:val="3A3838"/>
          <w:w w:val="110"/>
        </w:rPr>
        <w:t>Naturally, you would not expect to be able to receive a brief-writing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assignment and immediately begin to draft the brief. Nor should you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expect that you can immediately go online or to the library and begin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your legal research</w:t>
      </w:r>
      <w:r>
        <w:rPr>
          <w:color w:val="545454"/>
          <w:w w:val="110"/>
        </w:rPr>
        <w:t>. </w:t>
      </w:r>
      <w:r>
        <w:rPr>
          <w:color w:val="3A3838"/>
          <w:w w:val="110"/>
        </w:rPr>
        <w:t>Just as you plan before you write by conducting legal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rese</w:t>
      </w:r>
      <w:r>
        <w:rPr>
          <w:color w:val="545454"/>
          <w:w w:val="115"/>
        </w:rPr>
        <w:t>a</w:t>
      </w:r>
      <w:r>
        <w:rPr>
          <w:color w:val="3A3838"/>
          <w:w w:val="115"/>
        </w:rPr>
        <w:t>rch and by outlining, you must also plan before you begin your for­</w:t>
      </w:r>
      <w:r>
        <w:rPr>
          <w:color w:val="3A3838"/>
          <w:spacing w:val="-64"/>
          <w:w w:val="115"/>
        </w:rPr>
        <w:t> </w:t>
      </w:r>
      <w:r>
        <w:rPr>
          <w:color w:val="3A3838"/>
          <w:w w:val="110"/>
        </w:rPr>
        <w:t>mal legal research. The first step is to become familiar with the facts of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case 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 issues that the case presents. Next, decide what questions you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need to answer and what types of authorities are best suit</w:t>
      </w:r>
      <w:r>
        <w:rPr>
          <w:color w:val="545454"/>
          <w:w w:val="115"/>
        </w:rPr>
        <w:t>e</w:t>
      </w:r>
      <w:r>
        <w:rPr>
          <w:color w:val="3A3838"/>
          <w:w w:val="115"/>
        </w:rPr>
        <w:t>d to provide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those answers. Rem</w:t>
      </w:r>
      <w:r>
        <w:rPr>
          <w:color w:val="545454"/>
          <w:w w:val="110"/>
        </w:rPr>
        <w:t>e</w:t>
      </w:r>
      <w:r>
        <w:rPr>
          <w:color w:val="3A3838"/>
          <w:w w:val="110"/>
        </w:rPr>
        <w:t>mber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that you need  not  always restrict your research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to cases and statutes</w:t>
      </w:r>
      <w:r>
        <w:rPr>
          <w:color w:val="545454"/>
          <w:w w:val="110"/>
        </w:rPr>
        <w:t>. </w:t>
      </w:r>
      <w:r>
        <w:rPr>
          <w:color w:val="3A3838"/>
          <w:w w:val="110"/>
        </w:rPr>
        <w:t>Sometimes, your argument can be enhanced by refer­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ence</w:t>
      </w:r>
      <w:r>
        <w:rPr>
          <w:color w:val="3A3838"/>
          <w:spacing w:val="-14"/>
          <w:w w:val="115"/>
        </w:rPr>
        <w:t> </w:t>
      </w:r>
      <w:r>
        <w:rPr>
          <w:color w:val="3A3838"/>
          <w:w w:val="115"/>
        </w:rPr>
        <w:t>to</w:t>
      </w:r>
      <w:r>
        <w:rPr>
          <w:color w:val="3A3838"/>
          <w:spacing w:val="-1"/>
          <w:w w:val="115"/>
        </w:rPr>
        <w:t> </w:t>
      </w:r>
      <w:r>
        <w:rPr>
          <w:color w:val="3A3838"/>
          <w:w w:val="115"/>
        </w:rPr>
        <w:t>"</w:t>
      </w:r>
      <w:r>
        <w:rPr>
          <w:color w:val="545454"/>
          <w:w w:val="115"/>
        </w:rPr>
        <w:t>e</w:t>
      </w:r>
      <w:r>
        <w:rPr>
          <w:color w:val="3A3838"/>
          <w:w w:val="115"/>
        </w:rPr>
        <w:t>xtra-legal"</w:t>
      </w:r>
      <w:r>
        <w:rPr>
          <w:color w:val="3A3838"/>
          <w:spacing w:val="-4"/>
          <w:w w:val="115"/>
        </w:rPr>
        <w:t> </w:t>
      </w:r>
      <w:r>
        <w:rPr>
          <w:color w:val="3A3838"/>
          <w:w w:val="115"/>
        </w:rPr>
        <w:t>authorities</w:t>
      </w:r>
      <w:r>
        <w:rPr>
          <w:color w:val="545454"/>
          <w:w w:val="115"/>
        </w:rPr>
        <w:t>.</w:t>
      </w:r>
    </w:p>
    <w:p>
      <w:pPr>
        <w:spacing w:after="0" w:line="232" w:lineRule="auto"/>
        <w:jc w:val="both"/>
        <w:sectPr>
          <w:type w:val="continuous"/>
          <w:pgSz w:w="9560" w:h="13770"/>
          <w:pgMar w:header="0" w:footer="0" w:top="340" w:bottom="280" w:left="380" w:right="740"/>
        </w:sectPr>
      </w:pPr>
    </w:p>
    <w:p>
      <w:pPr>
        <w:pStyle w:val="BodyText"/>
        <w:rPr>
          <w:sz w:val="20"/>
        </w:rPr>
      </w:pPr>
    </w:p>
    <w:p>
      <w:pPr>
        <w:spacing w:before="212"/>
        <w:ind w:left="1595" w:right="0" w:firstLine="0"/>
        <w:jc w:val="left"/>
        <w:rPr>
          <w:sz w:val="34"/>
        </w:rPr>
      </w:pPr>
      <w:r>
        <w:rPr>
          <w:color w:val="646467"/>
          <w:w w:val="110"/>
          <w:sz w:val="34"/>
        </w:rPr>
        <w:t>3</w:t>
      </w:r>
      <w:r>
        <w:rPr>
          <w:color w:val="383638"/>
          <w:w w:val="110"/>
          <w:sz w:val="34"/>
        </w:rPr>
        <w:t>.</w:t>
      </w:r>
      <w:r>
        <w:rPr>
          <w:color w:val="646467"/>
          <w:w w:val="110"/>
          <w:sz w:val="34"/>
        </w:rPr>
        <w:t>1</w:t>
      </w:r>
    </w:p>
    <w:p>
      <w:pPr>
        <w:spacing w:before="41"/>
        <w:ind w:left="1586" w:right="0" w:firstLine="0"/>
        <w:jc w:val="left"/>
        <w:rPr>
          <w:rFonts w:ascii="Arial"/>
          <w:sz w:val="25"/>
        </w:rPr>
      </w:pPr>
      <w:r>
        <w:rPr>
          <w:rFonts w:ascii="Arial"/>
          <w:color w:val="646467"/>
          <w:w w:val="105"/>
          <w:sz w:val="25"/>
        </w:rPr>
        <w:t>CREATING</w:t>
      </w:r>
      <w:r>
        <w:rPr>
          <w:rFonts w:ascii="Arial"/>
          <w:color w:val="646467"/>
          <w:spacing w:val="15"/>
          <w:w w:val="105"/>
          <w:sz w:val="25"/>
        </w:rPr>
        <w:t> </w:t>
      </w:r>
      <w:r>
        <w:rPr>
          <w:color w:val="646467"/>
          <w:w w:val="105"/>
          <w:sz w:val="28"/>
        </w:rPr>
        <w:t>AN</w:t>
      </w:r>
      <w:r>
        <w:rPr>
          <w:color w:val="646467"/>
          <w:spacing w:val="1"/>
          <w:w w:val="105"/>
          <w:sz w:val="28"/>
        </w:rPr>
        <w:t> </w:t>
      </w:r>
      <w:r>
        <w:rPr>
          <w:rFonts w:ascii="Arial"/>
          <w:color w:val="757779"/>
          <w:w w:val="105"/>
          <w:sz w:val="25"/>
        </w:rPr>
        <w:t>ABSTRACT</w:t>
      </w:r>
      <w:r>
        <w:rPr>
          <w:rFonts w:ascii="Arial"/>
          <w:color w:val="757779"/>
          <w:spacing w:val="-2"/>
          <w:w w:val="105"/>
          <w:sz w:val="25"/>
        </w:rPr>
        <w:t> </w:t>
      </w:r>
      <w:r>
        <w:rPr>
          <w:rFonts w:ascii="Arial"/>
          <w:color w:val="757779"/>
          <w:w w:val="105"/>
          <w:sz w:val="25"/>
        </w:rPr>
        <w:t>OF</w:t>
      </w:r>
      <w:r>
        <w:rPr>
          <w:rFonts w:ascii="Arial"/>
          <w:color w:val="757779"/>
          <w:spacing w:val="-7"/>
          <w:w w:val="105"/>
          <w:sz w:val="25"/>
        </w:rPr>
        <w:t> </w:t>
      </w:r>
      <w:r>
        <w:rPr>
          <w:rFonts w:ascii="Arial"/>
          <w:color w:val="646467"/>
          <w:w w:val="105"/>
          <w:sz w:val="25"/>
        </w:rPr>
        <w:t>THE </w:t>
      </w:r>
      <w:r>
        <w:rPr>
          <w:rFonts w:ascii="Arial"/>
          <w:color w:val="757779"/>
          <w:w w:val="105"/>
          <w:sz w:val="25"/>
        </w:rPr>
        <w:t>RECORD</w:t>
      </w:r>
    </w:p>
    <w:p>
      <w:pPr>
        <w:pStyle w:val="BodyText"/>
        <w:spacing w:line="232" w:lineRule="auto" w:before="261"/>
        <w:ind w:left="954" w:right="52" w:firstLine="608"/>
      </w:pPr>
      <w:r>
        <w:rPr>
          <w:color w:val="383638"/>
          <w:w w:val="110"/>
        </w:rPr>
        <w:t>The first thing you should do as you prepare to write a brief is to get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44"/>
          <w:w w:val="110"/>
        </w:rPr>
        <w:t> </w:t>
      </w:r>
      <w:r>
        <w:rPr>
          <w:color w:val="383638"/>
          <w:w w:val="110"/>
        </w:rPr>
        <w:t>know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5"/>
          <w:w w:val="110"/>
        </w:rPr>
        <w:t> </w:t>
      </w:r>
      <w:r>
        <w:rPr>
          <w:color w:val="383638"/>
          <w:w w:val="110"/>
        </w:rPr>
        <w:t>case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30"/>
          <w:w w:val="110"/>
        </w:rPr>
        <w:t> </w:t>
      </w:r>
      <w:r>
        <w:rPr>
          <w:color w:val="383638"/>
          <w:w w:val="110"/>
        </w:rPr>
        <w:t>which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have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been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assigned.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If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are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preparing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motion brief, it  is likely that you were with  the case from its inception.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  <w:sz w:val="21"/>
        </w:rPr>
        <w:t>If </w:t>
      </w:r>
      <w:r>
        <w:rPr>
          <w:color w:val="383638"/>
          <w:w w:val="110"/>
        </w:rPr>
        <w:t>you are preparing an appellate brief, 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may also have worked 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case from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initial pleadings onward. Sometimes,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however, both in law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school and 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practice, 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may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arrive 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 scene a little later. When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happens,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34"/>
          <w:w w:val="110"/>
        </w:rPr>
        <w:t> </w:t>
      </w:r>
      <w:r>
        <w:rPr>
          <w:color w:val="383638"/>
          <w:w w:val="110"/>
        </w:rPr>
        <w:t>job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get</w:t>
      </w:r>
      <w:r>
        <w:rPr>
          <w:color w:val="383638"/>
          <w:spacing w:val="31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know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8"/>
          <w:w w:val="110"/>
        </w:rPr>
        <w:t> </w:t>
      </w:r>
      <w:r>
        <w:rPr>
          <w:color w:val="383638"/>
          <w:w w:val="110"/>
        </w:rPr>
        <w:t>facts</w:t>
      </w:r>
      <w:r>
        <w:rPr>
          <w:color w:val="383638"/>
          <w:spacing w:val="-25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29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5"/>
          <w:w w:val="110"/>
        </w:rPr>
        <w:t> </w:t>
      </w:r>
      <w:r>
        <w:rPr>
          <w:color w:val="383638"/>
          <w:w w:val="110"/>
        </w:rPr>
        <w:t>procedure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-7"/>
          <w:w w:val="110"/>
        </w:rPr>
        <w:t> </w:t>
      </w:r>
      <w:r>
        <w:rPr>
          <w:b/>
          <w:color w:val="383638"/>
          <w:w w:val="110"/>
          <w:sz w:val="21"/>
        </w:rPr>
        <w:t>if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</w:rPr>
        <w:t>they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had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happened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you.</w:t>
      </w:r>
      <w:r>
        <w:rPr>
          <w:color w:val="383638"/>
          <w:spacing w:val="-27"/>
          <w:w w:val="110"/>
        </w:rPr>
        <w:t> </w:t>
      </w:r>
      <w:r>
        <w:rPr>
          <w:color w:val="383638"/>
          <w:w w:val="110"/>
        </w:rPr>
        <w:t>Thus,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should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carefully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study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"record"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of the case. The record can consist of many different elements, depending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stage of litigation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on  the case itself. </w:t>
      </w:r>
      <w:r>
        <w:rPr>
          <w:color w:val="383638"/>
          <w:w w:val="110"/>
          <w:sz w:val="22"/>
        </w:rPr>
        <w:t>If </w:t>
      </w:r>
      <w:r>
        <w:rPr>
          <w:color w:val="383638"/>
          <w:w w:val="110"/>
        </w:rPr>
        <w:t>you are filing a motion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to dismiss, for example, the only "record" you may have is the complaint.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  <w:sz w:val="22"/>
        </w:rPr>
        <w:t>If </w:t>
      </w:r>
      <w:r>
        <w:rPr>
          <w:color w:val="383638"/>
          <w:spacing w:val="-1"/>
          <w:w w:val="110"/>
        </w:rPr>
        <w:t>you</w:t>
      </w:r>
      <w:r>
        <w:rPr>
          <w:color w:val="383638"/>
          <w:w w:val="110"/>
        </w:rPr>
        <w:t> </w:t>
      </w:r>
      <w:r>
        <w:rPr>
          <w:color w:val="383638"/>
          <w:spacing w:val="-1"/>
          <w:w w:val="110"/>
        </w:rPr>
        <w:t>are filing a motion for summary</w:t>
      </w:r>
      <w:r>
        <w:rPr>
          <w:color w:val="383638"/>
          <w:w w:val="110"/>
        </w:rPr>
        <w:t> judgment,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record may include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not only pleadings, but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also affidavits, depositions, answers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interroga­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tories,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written admissions or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stipulations of  fact. If  you  are writing</w:t>
      </w:r>
      <w:r>
        <w:rPr>
          <w:color w:val="383638"/>
          <w:spacing w:val="-61"/>
          <w:w w:val="110"/>
        </w:rPr>
        <w:t> </w:t>
      </w:r>
      <w:r>
        <w:rPr>
          <w:color w:val="383638"/>
          <w:spacing w:val="-1"/>
          <w:w w:val="110"/>
        </w:rPr>
        <w:t>an</w:t>
      </w:r>
      <w:r>
        <w:rPr>
          <w:color w:val="383638"/>
          <w:spacing w:val="13"/>
          <w:w w:val="110"/>
        </w:rPr>
        <w:t> </w:t>
      </w:r>
      <w:r>
        <w:rPr>
          <w:color w:val="383638"/>
          <w:spacing w:val="-1"/>
          <w:w w:val="110"/>
        </w:rPr>
        <w:t>appellate</w:t>
      </w:r>
      <w:r>
        <w:rPr>
          <w:color w:val="383638"/>
          <w:spacing w:val="6"/>
          <w:w w:val="110"/>
        </w:rPr>
        <w:t> </w:t>
      </w:r>
      <w:r>
        <w:rPr>
          <w:color w:val="383638"/>
          <w:spacing w:val="-1"/>
          <w:w w:val="110"/>
        </w:rPr>
        <w:t>brief,</w:t>
      </w:r>
      <w:r>
        <w:rPr>
          <w:color w:val="383638"/>
          <w:spacing w:val="7"/>
          <w:w w:val="110"/>
        </w:rPr>
        <w:t> </w:t>
      </w:r>
      <w:r>
        <w:rPr>
          <w:color w:val="383638"/>
          <w:spacing w:val="-1"/>
          <w:w w:val="110"/>
        </w:rPr>
        <w:t>the</w:t>
      </w:r>
      <w:r>
        <w:rPr>
          <w:color w:val="383638"/>
          <w:spacing w:val="32"/>
          <w:w w:val="110"/>
        </w:rPr>
        <w:t> </w:t>
      </w:r>
      <w:r>
        <w:rPr>
          <w:color w:val="383638"/>
          <w:spacing w:val="-1"/>
          <w:w w:val="110"/>
        </w:rPr>
        <w:t>record</w:t>
      </w:r>
      <w:r>
        <w:rPr>
          <w:color w:val="383638"/>
          <w:spacing w:val="13"/>
          <w:w w:val="110"/>
        </w:rPr>
        <w:t> </w:t>
      </w:r>
      <w:r>
        <w:rPr>
          <w:color w:val="383638"/>
          <w:spacing w:val="-1"/>
          <w:w w:val="110"/>
        </w:rPr>
        <w:t>will</w:t>
      </w:r>
      <w:r>
        <w:rPr>
          <w:color w:val="383638"/>
          <w:spacing w:val="6"/>
          <w:w w:val="110"/>
        </w:rPr>
        <w:t> </w:t>
      </w:r>
      <w:r>
        <w:rPr>
          <w:color w:val="383638"/>
          <w:spacing w:val="-1"/>
          <w:w w:val="110"/>
        </w:rPr>
        <w:t>also</w:t>
      </w:r>
      <w:r>
        <w:rPr>
          <w:color w:val="383638"/>
          <w:spacing w:val="-16"/>
          <w:w w:val="110"/>
        </w:rPr>
        <w:t> </w:t>
      </w:r>
      <w:r>
        <w:rPr>
          <w:color w:val="383638"/>
          <w:spacing w:val="-1"/>
          <w:w w:val="110"/>
        </w:rPr>
        <w:t>include</w:t>
      </w:r>
      <w:r>
        <w:rPr>
          <w:color w:val="383638"/>
          <w:spacing w:val="6"/>
          <w:w w:val="110"/>
        </w:rPr>
        <w:t> </w:t>
      </w:r>
      <w:r>
        <w:rPr>
          <w:color w:val="383638"/>
          <w:spacing w:val="-1"/>
          <w:w w:val="110"/>
        </w:rPr>
        <w:t>the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decision(s)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below,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may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incJude transcripts of trial testimony, reproductions of exhibits </w:t>
      </w:r>
      <w:r>
        <w:rPr>
          <w:color w:val="383638"/>
          <w:w w:val="110"/>
          <w:sz w:val="25"/>
        </w:rPr>
        <w:t>or</w:t>
      </w:r>
      <w:r>
        <w:rPr>
          <w:color w:val="383638"/>
          <w:spacing w:val="1"/>
          <w:w w:val="110"/>
          <w:sz w:val="25"/>
        </w:rPr>
        <w:t> </w:t>
      </w:r>
      <w:r>
        <w:rPr>
          <w:color w:val="383638"/>
          <w:w w:val="110"/>
        </w:rPr>
        <w:t>other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evidence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offered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at</w:t>
      </w:r>
      <w:r>
        <w:rPr>
          <w:color w:val="383638"/>
          <w:spacing w:val="27"/>
          <w:w w:val="110"/>
        </w:rPr>
        <w:t> </w:t>
      </w:r>
      <w:r>
        <w:rPr>
          <w:color w:val="383638"/>
          <w:w w:val="110"/>
        </w:rPr>
        <w:t>trial,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28"/>
          <w:w w:val="110"/>
        </w:rPr>
        <w:t> </w:t>
      </w:r>
      <w:r>
        <w:rPr>
          <w:color w:val="383638"/>
          <w:w w:val="110"/>
        </w:rPr>
        <w:t>other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items.</w:t>
      </w:r>
    </w:p>
    <w:p>
      <w:pPr>
        <w:pStyle w:val="BodyText"/>
        <w:spacing w:line="235" w:lineRule="auto"/>
        <w:ind w:left="850" w:right="77" w:firstLine="475"/>
        <w:jc w:val="both"/>
      </w:pPr>
      <w:r>
        <w:rPr>
          <w:color w:val="383638"/>
          <w:w w:val="105"/>
        </w:rPr>
        <w:t>Because appe11ate records can be so voluminous, many appellate courts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either require or allow what is often called a </w:t>
      </w:r>
      <w:r>
        <w:rPr>
          <w:i/>
          <w:color w:val="383638"/>
          <w:w w:val="110"/>
          <w:sz w:val="22"/>
        </w:rPr>
        <w:t>joint appendix, </w:t>
      </w:r>
      <w:r>
        <w:rPr>
          <w:color w:val="383638"/>
          <w:w w:val="110"/>
        </w:rPr>
        <w:t>prepared by the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petitioner and perhaps supplemented by the respondent. The joint appen­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5"/>
        </w:rPr>
        <w:t>dix is a printed document that </w:t>
      </w:r>
      <w:r>
        <w:rPr>
          <w:color w:val="383638"/>
          <w:w w:val="115"/>
        </w:rPr>
        <w:t>includes record elements that one or both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of the parties would like the appellate court to have before it while the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court is making its decision. Technically,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joint appendix does not take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the  place of  the  </w:t>
      </w:r>
      <w:r>
        <w:rPr>
          <w:rFonts w:ascii="Arial" w:hAnsi="Arial"/>
          <w:i/>
          <w:color w:val="383638"/>
          <w:w w:val="105"/>
          <w:sz w:val="22"/>
        </w:rPr>
        <w:t>record; </w:t>
      </w:r>
      <w:r>
        <w:rPr>
          <w:color w:val="383638"/>
          <w:w w:val="105"/>
        </w:rPr>
        <w:t>the</w:t>
      </w:r>
      <w:r>
        <w:rPr>
          <w:color w:val="383638"/>
          <w:spacing w:val="61"/>
          <w:w w:val="105"/>
        </w:rPr>
        <w:t> </w:t>
      </w:r>
      <w:r>
        <w:rPr>
          <w:color w:val="383638"/>
          <w:w w:val="105"/>
        </w:rPr>
        <w:t>court may always refer to  the  complete record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if it wishes. </w:t>
      </w:r>
      <w:r>
        <w:rPr>
          <w:i/>
          <w:color w:val="383638"/>
          <w:w w:val="110"/>
          <w:sz w:val="22"/>
        </w:rPr>
        <w:t>As </w:t>
      </w:r>
      <w:r>
        <w:rPr>
          <w:color w:val="383638"/>
          <w:w w:val="110"/>
        </w:rPr>
        <w:t>a practical matter, however, it is reasonable to think that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judges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would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prefer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not</w:t>
      </w:r>
      <w:r>
        <w:rPr>
          <w:color w:val="383638"/>
          <w:spacing w:val="44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have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consult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full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record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when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reviewing</w:t>
      </w:r>
    </w:p>
    <w:p>
      <w:pPr>
        <w:pStyle w:val="BodyText"/>
        <w:spacing w:line="235" w:lineRule="auto" w:before="3"/>
        <w:ind w:left="830" w:right="139" w:hanging="1"/>
        <w:jc w:val="both"/>
      </w:pPr>
      <w:r>
        <w:rPr>
          <w:color w:val="383638"/>
          <w:w w:val="110"/>
        </w:rPr>
        <w:t>decisions below. Thus, you should certainly plan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joint appendix and,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later, write the brief, as if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joint appendix is the entire universe of fac­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tual</w:t>
      </w:r>
      <w:r>
        <w:rPr>
          <w:color w:val="383638"/>
          <w:spacing w:val="-9"/>
          <w:w w:val="115"/>
        </w:rPr>
        <w:t> </w:t>
      </w:r>
      <w:r>
        <w:rPr>
          <w:color w:val="383638"/>
          <w:w w:val="115"/>
        </w:rPr>
        <w:t>information</w:t>
      </w:r>
      <w:r>
        <w:rPr>
          <w:color w:val="383638"/>
          <w:spacing w:val="-6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3"/>
          <w:w w:val="115"/>
        </w:rPr>
        <w:t> </w:t>
      </w:r>
      <w:r>
        <w:rPr>
          <w:color w:val="383638"/>
          <w:w w:val="115"/>
        </w:rPr>
        <w:t>which</w:t>
      </w:r>
      <w:r>
        <w:rPr>
          <w:color w:val="383638"/>
          <w:spacing w:val="-5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35"/>
          <w:w w:val="115"/>
        </w:rPr>
        <w:t> </w:t>
      </w:r>
      <w:r>
        <w:rPr>
          <w:color w:val="383638"/>
          <w:w w:val="115"/>
        </w:rPr>
        <w:t>judges</w:t>
      </w:r>
      <w:r>
        <w:rPr>
          <w:color w:val="383638"/>
          <w:spacing w:val="-8"/>
          <w:w w:val="115"/>
        </w:rPr>
        <w:t> </w:t>
      </w:r>
      <w:r>
        <w:rPr>
          <w:color w:val="383638"/>
          <w:w w:val="115"/>
        </w:rPr>
        <w:t>will</w:t>
      </w:r>
      <w:r>
        <w:rPr>
          <w:color w:val="383638"/>
          <w:spacing w:val="-11"/>
          <w:w w:val="115"/>
        </w:rPr>
        <w:t> </w:t>
      </w:r>
      <w:r>
        <w:rPr>
          <w:color w:val="383638"/>
          <w:w w:val="115"/>
        </w:rPr>
        <w:t>refer.</w:t>
      </w:r>
    </w:p>
    <w:p>
      <w:pPr>
        <w:pStyle w:val="BodyText"/>
        <w:spacing w:line="237" w:lineRule="auto"/>
        <w:ind w:left="787" w:right="160" w:firstLine="400"/>
        <w:jc w:val="both"/>
      </w:pP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joint appendix always contains certain procedural information; </w:t>
      </w:r>
      <w:r>
        <w:rPr>
          <w:color w:val="383638"/>
          <w:w w:val="110"/>
          <w:sz w:val="21"/>
        </w:rPr>
        <w:t>it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</w:rPr>
        <w:t>also contains information that oneor both of the parties believe is relevant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to the appeal. United States Supreme Court Rule 26.2specifies how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the par­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ties should collaborate to compile the joint appendix. Rule 26.1 describes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43"/>
          <w:w w:val="110"/>
        </w:rPr>
        <w:t> </w:t>
      </w:r>
      <w:r>
        <w:rPr>
          <w:color w:val="383638"/>
          <w:w w:val="110"/>
        </w:rPr>
        <w:t>categories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material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should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be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included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57"/>
          <w:w w:val="110"/>
        </w:rPr>
        <w:t> </w:t>
      </w:r>
      <w:r>
        <w:rPr>
          <w:color w:val="383638"/>
          <w:w w:val="110"/>
        </w:rPr>
        <w:t>joint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appendix:</w:t>
      </w:r>
    </w:p>
    <w:p>
      <w:pPr>
        <w:spacing w:line="237" w:lineRule="auto" w:before="135"/>
        <w:ind w:left="1119" w:right="525" w:firstLine="30"/>
        <w:jc w:val="both"/>
        <w:rPr>
          <w:sz w:val="22"/>
        </w:rPr>
      </w:pPr>
      <w:r>
        <w:rPr>
          <w:color w:val="383638"/>
          <w:w w:val="105"/>
          <w:sz w:val="22"/>
        </w:rPr>
        <w:t>The joint appendix shall contain: (1) the</w:t>
      </w:r>
      <w:r>
        <w:rPr>
          <w:color w:val="383638"/>
          <w:spacing w:val="1"/>
          <w:w w:val="105"/>
          <w:sz w:val="22"/>
        </w:rPr>
        <w:t> </w:t>
      </w:r>
      <w:r>
        <w:rPr>
          <w:color w:val="383638"/>
          <w:w w:val="105"/>
          <w:sz w:val="22"/>
        </w:rPr>
        <w:t>relevant docket entries in all </w:t>
      </w:r>
      <w:r>
        <w:rPr>
          <w:color w:val="383638"/>
          <w:w w:val="105"/>
          <w:sz w:val="20"/>
        </w:rPr>
        <w:t>the</w:t>
      </w:r>
      <w:r>
        <w:rPr>
          <w:color w:val="383638"/>
          <w:spacing w:val="1"/>
          <w:w w:val="105"/>
          <w:sz w:val="20"/>
        </w:rPr>
        <w:t> </w:t>
      </w:r>
      <w:r>
        <w:rPr>
          <w:color w:val="383638"/>
          <w:w w:val="105"/>
          <w:sz w:val="22"/>
        </w:rPr>
        <w:t>courts below; (2) any relevant pleadings, fury instructions, findings, con­</w:t>
      </w:r>
      <w:r>
        <w:rPr>
          <w:color w:val="383638"/>
          <w:spacing w:val="1"/>
          <w:w w:val="105"/>
          <w:sz w:val="22"/>
        </w:rPr>
        <w:t> </w:t>
      </w:r>
      <w:r>
        <w:rPr>
          <w:color w:val="383638"/>
          <w:w w:val="105"/>
          <w:sz w:val="22"/>
        </w:rPr>
        <w:t>clusions,</w:t>
      </w:r>
      <w:r>
        <w:rPr>
          <w:color w:val="383638"/>
          <w:spacing w:val="10"/>
          <w:w w:val="105"/>
          <w:sz w:val="22"/>
        </w:rPr>
        <w:t> </w:t>
      </w:r>
      <w:r>
        <w:rPr>
          <w:color w:val="383638"/>
          <w:w w:val="105"/>
          <w:sz w:val="22"/>
        </w:rPr>
        <w:t>or</w:t>
      </w:r>
      <w:r>
        <w:rPr>
          <w:color w:val="383638"/>
          <w:spacing w:val="24"/>
          <w:w w:val="105"/>
          <w:sz w:val="22"/>
        </w:rPr>
        <w:t> </w:t>
      </w:r>
      <w:r>
        <w:rPr>
          <w:color w:val="383638"/>
          <w:w w:val="105"/>
          <w:sz w:val="22"/>
        </w:rPr>
        <w:t>opinions;</w:t>
      </w:r>
      <w:r>
        <w:rPr>
          <w:color w:val="383638"/>
          <w:spacing w:val="15"/>
          <w:w w:val="105"/>
          <w:sz w:val="22"/>
        </w:rPr>
        <w:t> </w:t>
      </w:r>
      <w:r>
        <w:rPr>
          <w:color w:val="383638"/>
          <w:w w:val="105"/>
          <w:sz w:val="22"/>
        </w:rPr>
        <w:t>(3)</w:t>
      </w:r>
      <w:r>
        <w:rPr>
          <w:color w:val="383638"/>
          <w:spacing w:val="7"/>
          <w:w w:val="105"/>
          <w:sz w:val="22"/>
        </w:rPr>
        <w:t> </w:t>
      </w:r>
      <w:r>
        <w:rPr>
          <w:color w:val="383638"/>
          <w:w w:val="105"/>
          <w:sz w:val="22"/>
        </w:rPr>
        <w:t>the</w:t>
      </w:r>
      <w:r>
        <w:rPr>
          <w:color w:val="383638"/>
          <w:spacing w:val="14"/>
          <w:w w:val="105"/>
          <w:sz w:val="22"/>
        </w:rPr>
        <w:t> </w:t>
      </w:r>
      <w:r>
        <w:rPr>
          <w:color w:val="383638"/>
          <w:w w:val="105"/>
          <w:sz w:val="22"/>
        </w:rPr>
        <w:t>judgment,</w:t>
      </w:r>
      <w:r>
        <w:rPr>
          <w:color w:val="383638"/>
          <w:spacing w:val="2"/>
          <w:w w:val="105"/>
          <w:sz w:val="22"/>
        </w:rPr>
        <w:t> </w:t>
      </w:r>
      <w:r>
        <w:rPr>
          <w:color w:val="383638"/>
          <w:w w:val="105"/>
          <w:sz w:val="22"/>
        </w:rPr>
        <w:t>order,</w:t>
      </w:r>
      <w:r>
        <w:rPr>
          <w:color w:val="383638"/>
          <w:spacing w:val="8"/>
          <w:w w:val="105"/>
          <w:sz w:val="22"/>
        </w:rPr>
        <w:t> </w:t>
      </w:r>
      <w:r>
        <w:rPr>
          <w:color w:val="383638"/>
          <w:w w:val="105"/>
          <w:sz w:val="22"/>
        </w:rPr>
        <w:t>or</w:t>
      </w:r>
      <w:r>
        <w:rPr>
          <w:color w:val="383638"/>
          <w:spacing w:val="27"/>
          <w:w w:val="105"/>
          <w:sz w:val="22"/>
        </w:rPr>
        <w:t> </w:t>
      </w:r>
      <w:r>
        <w:rPr>
          <w:color w:val="383638"/>
          <w:w w:val="105"/>
          <w:sz w:val="22"/>
        </w:rPr>
        <w:t>decision</w:t>
      </w:r>
      <w:r>
        <w:rPr>
          <w:color w:val="383638"/>
          <w:spacing w:val="30"/>
          <w:w w:val="105"/>
          <w:sz w:val="22"/>
        </w:rPr>
        <w:t> </w:t>
      </w:r>
      <w:r>
        <w:rPr>
          <w:color w:val="383638"/>
          <w:w w:val="105"/>
          <w:sz w:val="22"/>
        </w:rPr>
        <w:t>under</w:t>
      </w:r>
      <w:r>
        <w:rPr>
          <w:color w:val="383638"/>
          <w:spacing w:val="4"/>
          <w:w w:val="105"/>
          <w:sz w:val="22"/>
        </w:rPr>
        <w:t> </w:t>
      </w:r>
      <w:r>
        <w:rPr>
          <w:color w:val="383638"/>
          <w:w w:val="105"/>
          <w:sz w:val="22"/>
        </w:rPr>
        <w:t>review;</w:t>
      </w:r>
    </w:p>
    <w:p>
      <w:pPr>
        <w:spacing w:line="201" w:lineRule="auto" w:before="21"/>
        <w:ind w:left="1127" w:right="547" w:hanging="9"/>
        <w:jc w:val="both"/>
        <w:rPr>
          <w:sz w:val="22"/>
        </w:rPr>
      </w:pPr>
      <w:r>
        <w:rPr>
          <w:color w:val="383638"/>
          <w:w w:val="105"/>
          <w:sz w:val="22"/>
        </w:rPr>
        <w:t>and</w:t>
      </w:r>
      <w:r>
        <w:rPr>
          <w:color w:val="383638"/>
          <w:spacing w:val="1"/>
          <w:w w:val="105"/>
          <w:sz w:val="22"/>
        </w:rPr>
        <w:t> </w:t>
      </w:r>
      <w:r>
        <w:rPr>
          <w:color w:val="383638"/>
          <w:w w:val="105"/>
          <w:sz w:val="22"/>
        </w:rPr>
        <w:t>(4) any other parts of the record that the parties particularly </w:t>
      </w:r>
      <w:r>
        <w:rPr>
          <w:b/>
          <w:color w:val="383638"/>
          <w:w w:val="105"/>
          <w:sz w:val="21"/>
        </w:rPr>
        <w:t>wish </w:t>
      </w:r>
      <w:r>
        <w:rPr>
          <w:color w:val="383638"/>
          <w:w w:val="105"/>
          <w:sz w:val="22"/>
        </w:rPr>
        <w:t>to</w:t>
      </w:r>
      <w:r>
        <w:rPr>
          <w:color w:val="383638"/>
          <w:spacing w:val="1"/>
          <w:w w:val="105"/>
          <w:sz w:val="22"/>
        </w:rPr>
        <w:t> </w:t>
      </w:r>
      <w:r>
        <w:rPr>
          <w:color w:val="383638"/>
          <w:w w:val="105"/>
          <w:sz w:val="22"/>
        </w:rPr>
        <w:t>bring</w:t>
      </w:r>
      <w:r>
        <w:rPr>
          <w:color w:val="383638"/>
          <w:spacing w:val="-5"/>
          <w:w w:val="105"/>
          <w:sz w:val="22"/>
        </w:rPr>
        <w:t> </w:t>
      </w:r>
      <w:r>
        <w:rPr>
          <w:color w:val="383638"/>
          <w:w w:val="105"/>
          <w:sz w:val="22"/>
        </w:rPr>
        <w:t>to</w:t>
      </w:r>
      <w:r>
        <w:rPr>
          <w:color w:val="383638"/>
          <w:spacing w:val="9"/>
          <w:w w:val="105"/>
          <w:sz w:val="22"/>
        </w:rPr>
        <w:t> </w:t>
      </w:r>
      <w:r>
        <w:rPr>
          <w:color w:val="383638"/>
          <w:w w:val="105"/>
          <w:sz w:val="22"/>
        </w:rPr>
        <w:t>the</w:t>
      </w:r>
      <w:r>
        <w:rPr>
          <w:color w:val="383638"/>
          <w:spacing w:val="3"/>
          <w:w w:val="105"/>
          <w:sz w:val="22"/>
        </w:rPr>
        <w:t> </w:t>
      </w:r>
      <w:r>
        <w:rPr>
          <w:color w:val="383638"/>
          <w:w w:val="105"/>
          <w:sz w:val="22"/>
        </w:rPr>
        <w:t>Court's</w:t>
      </w:r>
      <w:r>
        <w:rPr>
          <w:color w:val="383638"/>
          <w:spacing w:val="-12"/>
          <w:w w:val="105"/>
          <w:sz w:val="22"/>
        </w:rPr>
        <w:t> </w:t>
      </w:r>
      <w:r>
        <w:rPr>
          <w:color w:val="383638"/>
          <w:w w:val="105"/>
          <w:sz w:val="22"/>
        </w:rPr>
        <w:t>attention.</w:t>
      </w:r>
    </w:p>
    <w:p>
      <w:pPr>
        <w:pStyle w:val="BodyText"/>
        <w:spacing w:line="228" w:lineRule="auto" w:before="208"/>
        <w:ind w:left="695" w:firstLine="13"/>
        <w:rPr>
          <w:sz w:val="22"/>
        </w:rPr>
      </w:pPr>
      <w:r>
        <w:rPr/>
        <w:pict>
          <v:shape style="position:absolute;margin-left:490.926086pt;margin-top:51.215561pt;width:3.9pt;height:27.8pt;mso-position-horizontal-relative:page;mso-position-vertical-relative:paragraph;z-index:15731200" type="#_x0000_t202" id="docshape80" filled="false" stroked="false">
            <v:textbox inset="0,0,0,0">
              <w:txbxContent>
                <w:p>
                  <w:pPr>
                    <w:spacing w:line="555" w:lineRule="exact" w:before="0"/>
                    <w:ind w:left="0" w:right="0" w:firstLine="0"/>
                    <w:jc w:val="left"/>
                    <w:rPr>
                      <w:sz w:val="50"/>
                    </w:rPr>
                  </w:pPr>
                  <w:r>
                    <w:rPr>
                      <w:color w:val="383638"/>
                      <w:w w:val="62"/>
                      <w:sz w:val="5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383638"/>
          <w:w w:val="115"/>
        </w:rPr>
        <w:t>Rule 26.1 </w:t>
      </w:r>
      <w:r>
        <w:rPr>
          <w:color w:val="383638"/>
          <w:w w:val="140"/>
        </w:rPr>
        <w:t>als </w:t>
      </w:r>
      <w:r>
        <w:rPr>
          <w:color w:val="383638"/>
          <w:w w:val="115"/>
        </w:rPr>
        <w:t>provides </w:t>
      </w:r>
      <w:r>
        <w:rPr>
          <w:color w:val="383638"/>
          <w:w w:val="140"/>
        </w:rPr>
        <w:t>t at </w:t>
      </w:r>
      <w:r>
        <w:rPr>
          <w:color w:val="383638"/>
          <w:w w:val="115"/>
        </w:rPr>
        <w:t>"[a] y </w:t>
      </w:r>
      <w:r>
        <w:rPr>
          <w:color w:val="383638"/>
          <w:w w:val="105"/>
        </w:rPr>
        <w:t>of_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5"/>
        </w:rPr>
        <w:t>foregoing items already r P d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0"/>
        </w:rPr>
        <w:t>duced</w:t>
      </w:r>
      <w:r>
        <w:rPr>
          <w:color w:val="383638"/>
          <w:spacing w:val="-23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27"/>
          <w:w w:val="110"/>
        </w:rPr>
        <w:t> </w:t>
      </w:r>
      <w:r>
        <w:rPr>
          <w:color w:val="383638"/>
          <w:w w:val="110"/>
        </w:rPr>
        <w:t>pet1t1on</w:t>
      </w:r>
      <w:r>
        <w:rPr>
          <w:color w:val="383638"/>
          <w:spacing w:val="-21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wnt</w:t>
      </w:r>
      <w:r>
        <w:rPr>
          <w:color w:val="383638"/>
          <w:spacing w:val="25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-33"/>
          <w:w w:val="110"/>
        </w:rPr>
        <w:t> </w:t>
      </w:r>
      <w:r>
        <w:rPr>
          <w:color w:val="383638"/>
          <w:w w:val="110"/>
        </w:rPr>
        <w:t>cert1oran</w:t>
      </w:r>
      <w:r>
        <w:rPr>
          <w:color w:val="383638"/>
          <w:spacing w:val="-31"/>
          <w:w w:val="110"/>
        </w:rPr>
        <w:t> </w:t>
      </w:r>
      <w:r>
        <w:rPr>
          <w:color w:val="383638"/>
          <w:w w:val="110"/>
        </w:rPr>
        <w:t>[or</w:t>
      </w:r>
      <w:r>
        <w:rPr>
          <w:color w:val="383638"/>
          <w:spacing w:val="-24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another</w:t>
      </w:r>
      <w:r>
        <w:rPr>
          <w:color w:val="383638"/>
          <w:spacing w:val="-27"/>
          <w:w w:val="110"/>
        </w:rPr>
        <w:t> </w:t>
      </w:r>
      <w:r>
        <w:rPr>
          <w:color w:val="383638"/>
          <w:w w:val="110"/>
        </w:rPr>
        <w:t>document</w:t>
      </w:r>
      <w:r>
        <w:rPr>
          <w:color w:val="383638"/>
          <w:spacing w:val="-23"/>
          <w:w w:val="110"/>
        </w:rPr>
        <w:t> </w:t>
      </w:r>
      <w:r>
        <w:rPr>
          <w:color w:val="383638"/>
          <w:w w:val="110"/>
          <w:sz w:val="22"/>
        </w:rPr>
        <w:t>subJJlltt</w:t>
      </w:r>
    </w:p>
    <w:p>
      <w:pPr>
        <w:spacing w:after="0" w:line="228" w:lineRule="auto"/>
        <w:rPr>
          <w:sz w:val="22"/>
        </w:rPr>
        <w:sectPr>
          <w:headerReference w:type="even" r:id="rId60"/>
          <w:headerReference w:type="default" r:id="rId61"/>
          <w:pgSz w:w="9930" w:h="13830"/>
          <w:pgMar w:header="532" w:footer="0" w:top="720" w:bottom="0" w:left="1380" w:right="0"/>
          <w:pgNumType w:start="36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32" w:lineRule="auto"/>
        <w:ind w:left="130" w:right="296" w:firstLine="5"/>
        <w:jc w:val="both"/>
      </w:pPr>
      <w:r>
        <w:rPr>
          <w:color w:val="3A383A"/>
          <w:w w:val="110"/>
        </w:rPr>
        <w:t>to the court] need not be reproduced again in the joint appendix." As a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practical matter,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joint appendix is often relatively short because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appendix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to the  petition  for the  writ of certiorari contained  much or all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of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needed information. Combined, these appendices usually contain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the complete text of any  decisions below and  may contain excerpts of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trial testimony, excerpts of other documents submitted into evidence (e.g.,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0"/>
        </w:rPr>
        <w:t>depositions), or reproductions of exhibits used </w:t>
      </w:r>
      <w:r>
        <w:rPr>
          <w:color w:val="3A383A"/>
          <w:w w:val="110"/>
          <w:sz w:val="21"/>
        </w:rPr>
        <w:t>in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</w:rPr>
        <w:t>the case. The selected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materials proVide the court access to sufficient knowledge about the case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without</w:t>
      </w:r>
      <w:r>
        <w:rPr>
          <w:color w:val="3A383A"/>
          <w:spacing w:val="2"/>
          <w:w w:val="110"/>
        </w:rPr>
        <w:t> </w:t>
      </w:r>
      <w:r>
        <w:rPr>
          <w:color w:val="3A383A"/>
          <w:w w:val="110"/>
        </w:rPr>
        <w:t>forcing</w:t>
      </w:r>
      <w:r>
        <w:rPr>
          <w:color w:val="3A383A"/>
          <w:spacing w:val="-7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57"/>
          <w:w w:val="110"/>
        </w:rPr>
        <w:t> </w:t>
      </w:r>
      <w:r>
        <w:rPr>
          <w:color w:val="3A383A"/>
          <w:w w:val="110"/>
        </w:rPr>
        <w:t>judges to</w:t>
      </w:r>
      <w:r>
        <w:rPr>
          <w:color w:val="3A383A"/>
          <w:spacing w:val="22"/>
          <w:w w:val="110"/>
        </w:rPr>
        <w:t> </w:t>
      </w:r>
      <w:r>
        <w:rPr>
          <w:color w:val="3A383A"/>
          <w:w w:val="110"/>
        </w:rPr>
        <w:t>wade</w:t>
      </w:r>
      <w:r>
        <w:rPr>
          <w:color w:val="3A383A"/>
          <w:spacing w:val="-5"/>
          <w:w w:val="110"/>
        </w:rPr>
        <w:t> </w:t>
      </w:r>
      <w:r>
        <w:rPr>
          <w:color w:val="3A383A"/>
          <w:w w:val="110"/>
        </w:rPr>
        <w:t>through an</w:t>
      </w:r>
      <w:r>
        <w:rPr>
          <w:color w:val="3A383A"/>
          <w:spacing w:val="3"/>
          <w:w w:val="110"/>
        </w:rPr>
        <w:t> </w:t>
      </w:r>
      <w:r>
        <w:rPr>
          <w:color w:val="3A383A"/>
          <w:w w:val="110"/>
        </w:rPr>
        <w:t>enormous</w:t>
      </w:r>
      <w:r>
        <w:rPr>
          <w:color w:val="3A383A"/>
          <w:spacing w:val="8"/>
          <w:w w:val="110"/>
        </w:rPr>
        <w:t> </w:t>
      </w:r>
      <w:r>
        <w:rPr>
          <w:color w:val="3A383A"/>
          <w:w w:val="110"/>
        </w:rPr>
        <w:t>record.</w:t>
      </w:r>
      <w:r>
        <w:rPr>
          <w:color w:val="3A383A"/>
          <w:w w:val="110"/>
          <w:vertAlign w:val="superscript"/>
        </w:rPr>
        <w:t>1</w:t>
      </w:r>
    </w:p>
    <w:p>
      <w:pPr>
        <w:pStyle w:val="BodyText"/>
        <w:spacing w:line="232" w:lineRule="auto" w:before="12"/>
        <w:ind w:left="129" w:right="217" w:firstLine="371"/>
        <w:jc w:val="both"/>
      </w:pPr>
      <w:r>
        <w:rPr>
          <w:color w:val="3A383A"/>
          <w:w w:val="110"/>
        </w:rPr>
        <w:t>When filing an appeal in a court other than the United States Supreme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Court, you should consult the  relevant rules of procedure and  local rules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to see what requirements exist regarding the "record on appeal," as it is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05"/>
        </w:rPr>
        <w:t>often known.</w:t>
      </w:r>
      <w:r>
        <w:rPr>
          <w:rFonts w:ascii="Arial"/>
          <w:color w:val="3A383A"/>
          <w:w w:val="105"/>
          <w:vertAlign w:val="superscript"/>
        </w:rPr>
        <w:t>2</w:t>
      </w:r>
      <w:r>
        <w:rPr>
          <w:rFonts w:ascii="Arial"/>
          <w:color w:val="3A383A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If you  are at  the  intermediate level, you may be assembling</w:t>
      </w:r>
      <w:r>
        <w:rPr>
          <w:color w:val="3A383A"/>
          <w:spacing w:val="1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the record on  appeal as you work on the  brief. If you  are  arguing to a court</w:t>
      </w:r>
      <w:r>
        <w:rPr>
          <w:color w:val="3A383A"/>
          <w:spacing w:val="1"/>
          <w:w w:val="105"/>
          <w:vertAlign w:val="baseline"/>
        </w:rPr>
        <w:t> </w:t>
      </w:r>
      <w:r>
        <w:rPr>
          <w:color w:val="3A383A"/>
          <w:w w:val="110"/>
          <w:vertAlign w:val="baseline"/>
        </w:rPr>
        <w:t>of last resort, you may be able to start from an excerpted record that was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15"/>
          <w:vertAlign w:val="baseline"/>
        </w:rPr>
        <w:t>created</w:t>
      </w:r>
      <w:r>
        <w:rPr>
          <w:color w:val="3A383A"/>
          <w:spacing w:val="2"/>
          <w:w w:val="115"/>
          <w:vertAlign w:val="baseline"/>
        </w:rPr>
        <w:t> </w:t>
      </w:r>
      <w:r>
        <w:rPr>
          <w:color w:val="3A383A"/>
          <w:w w:val="115"/>
          <w:vertAlign w:val="baseline"/>
        </w:rPr>
        <w:t>for</w:t>
      </w:r>
      <w:r>
        <w:rPr>
          <w:color w:val="3A383A"/>
          <w:spacing w:val="-5"/>
          <w:w w:val="115"/>
          <w:vertAlign w:val="baseline"/>
        </w:rPr>
        <w:t> </w:t>
      </w:r>
      <w:r>
        <w:rPr>
          <w:color w:val="3A383A"/>
          <w:w w:val="115"/>
          <w:vertAlign w:val="baseline"/>
        </w:rPr>
        <w:t>the</w:t>
      </w:r>
      <w:r>
        <w:rPr>
          <w:color w:val="3A383A"/>
          <w:spacing w:val="27"/>
          <w:w w:val="115"/>
          <w:vertAlign w:val="baseline"/>
        </w:rPr>
        <w:t> </w:t>
      </w:r>
      <w:r>
        <w:rPr>
          <w:color w:val="3A383A"/>
          <w:w w:val="115"/>
          <w:vertAlign w:val="baseline"/>
        </w:rPr>
        <w:t>intermediate</w:t>
      </w:r>
      <w:r>
        <w:rPr>
          <w:color w:val="3A383A"/>
          <w:spacing w:val="-4"/>
          <w:w w:val="115"/>
          <w:vertAlign w:val="baseline"/>
        </w:rPr>
        <w:t> </w:t>
      </w:r>
      <w:r>
        <w:rPr>
          <w:color w:val="3A383A"/>
          <w:w w:val="115"/>
          <w:vertAlign w:val="baseline"/>
        </w:rPr>
        <w:t>court.</w:t>
      </w:r>
    </w:p>
    <w:p>
      <w:pPr>
        <w:pStyle w:val="BodyText"/>
        <w:spacing w:line="232" w:lineRule="auto" w:before="3"/>
        <w:ind w:left="117" w:right="223" w:firstLine="384"/>
        <w:jc w:val="both"/>
      </w:pPr>
      <w:r>
        <w:rPr>
          <w:color w:val="3A383A"/>
          <w:w w:val="110"/>
        </w:rPr>
        <w:t>Whether the record is a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joint appendix, a "raw" record and opinions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below, or just pleadings and affidaVits, your job at this early stage of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writing process is to identify the important facts of the  case. One of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best ways to  organize this process is to create an abstract of  the  record.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An </w:t>
      </w:r>
      <w:r>
        <w:rPr>
          <w:i/>
          <w:color w:val="3A383A"/>
          <w:w w:val="110"/>
        </w:rPr>
        <w:t>abstract </w:t>
      </w:r>
      <w:r>
        <w:rPr>
          <w:color w:val="3A383A"/>
          <w:w w:val="110"/>
        </w:rPr>
        <w:t>in this sense is a referenced summary of the information con­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tained in the record. The purpose of an abstract is to help the </w:t>
      </w:r>
      <w:r>
        <w:rPr>
          <w:color w:val="3A383A"/>
          <w:w w:val="125"/>
        </w:rPr>
        <w:t>lawyer-or</w:t>
      </w:r>
      <w:r>
        <w:rPr>
          <w:color w:val="3A383A"/>
          <w:spacing w:val="1"/>
          <w:w w:val="125"/>
        </w:rPr>
        <w:t> </w:t>
      </w:r>
      <w:r>
        <w:rPr>
          <w:color w:val="3A383A"/>
          <w:w w:val="110"/>
        </w:rPr>
        <w:t>whoever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is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working on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the  </w:t>
      </w:r>
      <w:r>
        <w:rPr>
          <w:color w:val="3A383A"/>
          <w:w w:val="125"/>
        </w:rPr>
        <w:t>case-to </w:t>
      </w:r>
      <w:r>
        <w:rPr>
          <w:color w:val="3A383A"/>
          <w:w w:val="110"/>
        </w:rPr>
        <w:t>easily find important  information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from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19"/>
          <w:w w:val="110"/>
        </w:rPr>
        <w:t> </w:t>
      </w:r>
      <w:r>
        <w:rPr>
          <w:color w:val="3A383A"/>
          <w:w w:val="110"/>
        </w:rPr>
        <w:t>record</w:t>
      </w:r>
      <w:r>
        <w:rPr>
          <w:color w:val="3A383A"/>
          <w:spacing w:val="6"/>
          <w:w w:val="110"/>
        </w:rPr>
        <w:t> </w:t>
      </w:r>
      <w:r>
        <w:rPr>
          <w:color w:val="3A383A"/>
          <w:w w:val="110"/>
        </w:rPr>
        <w:t>throughout</w:t>
      </w:r>
      <w:r>
        <w:rPr>
          <w:color w:val="3A383A"/>
          <w:spacing w:val="18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18"/>
          <w:w w:val="110"/>
        </w:rPr>
        <w:t> </w:t>
      </w:r>
      <w:r>
        <w:rPr>
          <w:color w:val="3A383A"/>
          <w:w w:val="110"/>
        </w:rPr>
        <w:t>writing</w:t>
      </w:r>
      <w:r>
        <w:rPr>
          <w:color w:val="3A383A"/>
          <w:spacing w:val="6"/>
          <w:w w:val="110"/>
        </w:rPr>
        <w:t> </w:t>
      </w:r>
      <w:r>
        <w:rPr>
          <w:color w:val="3A383A"/>
          <w:w w:val="110"/>
        </w:rPr>
        <w:t>process.</w:t>
      </w:r>
    </w:p>
    <w:p>
      <w:pPr>
        <w:pStyle w:val="BodyText"/>
        <w:spacing w:line="235" w:lineRule="auto" w:before="6"/>
        <w:ind w:left="120" w:right="208" w:firstLine="380"/>
        <w:jc w:val="both"/>
      </w:pPr>
      <w:r>
        <w:rPr>
          <w:color w:val="3A383A"/>
          <w:w w:val="115"/>
        </w:rPr>
        <w:t>Reading the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record materials carefully a few times and creating a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good abstract will enable you to learn more about your case now and to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find important record information later, while you are conducting legal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research</w:t>
      </w:r>
      <w:r>
        <w:rPr>
          <w:color w:val="3A383A"/>
          <w:spacing w:val="-9"/>
          <w:w w:val="115"/>
        </w:rPr>
        <w:t> </w:t>
      </w:r>
      <w:r>
        <w:rPr>
          <w:color w:val="3A383A"/>
          <w:w w:val="115"/>
        </w:rPr>
        <w:t>or</w:t>
      </w:r>
      <w:r>
        <w:rPr>
          <w:color w:val="3A383A"/>
          <w:spacing w:val="9"/>
          <w:w w:val="115"/>
        </w:rPr>
        <w:t> </w:t>
      </w:r>
      <w:r>
        <w:rPr>
          <w:color w:val="3A383A"/>
          <w:w w:val="115"/>
        </w:rPr>
        <w:t>writing</w:t>
      </w:r>
      <w:r>
        <w:rPr>
          <w:color w:val="3A383A"/>
          <w:spacing w:val="-3"/>
          <w:w w:val="115"/>
        </w:rPr>
        <w:t> </w:t>
      </w:r>
      <w:r>
        <w:rPr>
          <w:color w:val="3A383A"/>
          <w:w w:val="115"/>
        </w:rPr>
        <w:t>the</w:t>
      </w:r>
      <w:r>
        <w:rPr>
          <w:color w:val="3A383A"/>
          <w:spacing w:val="12"/>
          <w:w w:val="115"/>
        </w:rPr>
        <w:t> </w:t>
      </w:r>
      <w:r>
        <w:rPr>
          <w:color w:val="3A383A"/>
          <w:w w:val="115"/>
        </w:rPr>
        <w:t>brief.</w:t>
      </w:r>
    </w:p>
    <w:p>
      <w:pPr>
        <w:pStyle w:val="BodyText"/>
        <w:spacing w:line="232" w:lineRule="auto" w:before="6"/>
        <w:ind w:left="112" w:right="172" w:firstLine="387"/>
        <w:jc w:val="both"/>
      </w:pPr>
      <w:r>
        <w:rPr>
          <w:color w:val="3A383A"/>
          <w:w w:val="110"/>
        </w:rPr>
        <w:t>Like conducting legal research, preparing an abstract is often a recur­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sive process. It is difficult to understand the significance of the case's facts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until you know what law applies to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the  case, but  it's difficult  to identify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the relevant law until you know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facts. Therefore, as preparation for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creating an abstract, read over the  lower court opinions or the pleadings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first to familiarize yourself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with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major issues that the case presents.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Then, read through any other materials two or three times. You may  wish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to</w:t>
      </w:r>
      <w:r>
        <w:rPr>
          <w:color w:val="3A383A"/>
          <w:spacing w:val="36"/>
          <w:w w:val="110"/>
        </w:rPr>
        <w:t> </w:t>
      </w:r>
      <w:r>
        <w:rPr>
          <w:color w:val="3A383A"/>
          <w:w w:val="110"/>
        </w:rPr>
        <w:t>abstract</w:t>
      </w:r>
      <w:r>
        <w:rPr>
          <w:color w:val="3A383A"/>
          <w:spacing w:val="33"/>
          <w:w w:val="110"/>
        </w:rPr>
        <w:t> </w:t>
      </w:r>
      <w:r>
        <w:rPr>
          <w:color w:val="3A383A"/>
          <w:w w:val="110"/>
        </w:rPr>
        <w:t>information</w:t>
      </w:r>
      <w:r>
        <w:rPr>
          <w:color w:val="3A383A"/>
          <w:spacing w:val="47"/>
          <w:w w:val="110"/>
        </w:rPr>
        <w:t> </w:t>
      </w:r>
      <w:r>
        <w:rPr>
          <w:color w:val="3A383A"/>
          <w:w w:val="110"/>
        </w:rPr>
        <w:t>as</w:t>
      </w:r>
      <w:r>
        <w:rPr>
          <w:color w:val="3A383A"/>
          <w:spacing w:val="7"/>
          <w:w w:val="110"/>
        </w:rPr>
        <w:t> </w:t>
      </w:r>
      <w:r>
        <w:rPr>
          <w:color w:val="3A383A"/>
          <w:w w:val="110"/>
        </w:rPr>
        <w:t>you</w:t>
      </w:r>
      <w:r>
        <w:rPr>
          <w:color w:val="3A383A"/>
          <w:spacing w:val="22"/>
          <w:w w:val="110"/>
        </w:rPr>
        <w:t> </w:t>
      </w:r>
      <w:r>
        <w:rPr>
          <w:color w:val="3A383A"/>
          <w:w w:val="110"/>
        </w:rPr>
        <w:t>go</w:t>
      </w:r>
      <w:r>
        <w:rPr>
          <w:color w:val="3A383A"/>
          <w:spacing w:val="22"/>
          <w:w w:val="110"/>
        </w:rPr>
        <w:t> </w:t>
      </w:r>
      <w:r>
        <w:rPr>
          <w:color w:val="3A383A"/>
          <w:w w:val="110"/>
        </w:rPr>
        <w:t>through</w:t>
      </w:r>
      <w:r>
        <w:rPr>
          <w:color w:val="3A383A"/>
          <w:spacing w:val="42"/>
          <w:w w:val="110"/>
        </w:rPr>
        <w:t> </w:t>
      </w:r>
      <w:r>
        <w:rPr>
          <w:color w:val="3A383A"/>
          <w:w w:val="110"/>
        </w:rPr>
        <w:t>it</w:t>
      </w:r>
      <w:r>
        <w:rPr>
          <w:color w:val="3A383A"/>
          <w:spacing w:val="24"/>
          <w:w w:val="110"/>
        </w:rPr>
        <w:t> </w:t>
      </w:r>
      <w:r>
        <w:rPr>
          <w:color w:val="3A383A"/>
          <w:w w:val="110"/>
        </w:rPr>
        <w:t>each</w:t>
      </w:r>
      <w:r>
        <w:rPr>
          <w:color w:val="3A383A"/>
          <w:spacing w:val="38"/>
          <w:w w:val="110"/>
        </w:rPr>
        <w:t> </w:t>
      </w:r>
      <w:r>
        <w:rPr>
          <w:color w:val="3A383A"/>
          <w:w w:val="110"/>
        </w:rPr>
        <w:t>time,</w:t>
      </w:r>
      <w:r>
        <w:rPr>
          <w:color w:val="3A383A"/>
          <w:spacing w:val="17"/>
          <w:w w:val="110"/>
        </w:rPr>
        <w:t> </w:t>
      </w:r>
      <w:r>
        <w:rPr>
          <w:color w:val="3A383A"/>
          <w:w w:val="110"/>
        </w:rPr>
        <w:t>or</w:t>
      </w:r>
      <w:r>
        <w:rPr>
          <w:color w:val="3A383A"/>
          <w:spacing w:val="32"/>
          <w:w w:val="110"/>
        </w:rPr>
        <w:t> </w:t>
      </w:r>
      <w:r>
        <w:rPr>
          <w:color w:val="3A383A"/>
          <w:w w:val="110"/>
        </w:rPr>
        <w:t>you</w:t>
      </w:r>
      <w:r>
        <w:rPr>
          <w:color w:val="3A383A"/>
          <w:spacing w:val="28"/>
          <w:w w:val="110"/>
        </w:rPr>
        <w:t> </w:t>
      </w:r>
      <w:r>
        <w:rPr>
          <w:color w:val="3A383A"/>
          <w:w w:val="110"/>
        </w:rPr>
        <w:t>may</w:t>
      </w:r>
      <w:r>
        <w:rPr>
          <w:color w:val="3A383A"/>
          <w:spacing w:val="18"/>
          <w:w w:val="110"/>
        </w:rPr>
        <w:t> </w:t>
      </w:r>
      <w:r>
        <w:rPr>
          <w:color w:val="3A383A"/>
          <w:w w:val="110"/>
        </w:rPr>
        <w:t>wish</w:t>
      </w:r>
    </w:p>
    <w:p>
      <w:pPr>
        <w:pStyle w:val="BodyText"/>
        <w:rPr>
          <w:sz w:val="35"/>
        </w:rPr>
      </w:pPr>
    </w:p>
    <w:p>
      <w:pPr>
        <w:spacing w:line="228" w:lineRule="auto" w:before="0"/>
        <w:ind w:left="118" w:right="120" w:firstLine="383"/>
        <w:jc w:val="both"/>
        <w:rPr>
          <w:sz w:val="18"/>
        </w:rPr>
      </w:pPr>
      <w:r>
        <w:rPr>
          <w:color w:val="3A383A"/>
          <w:w w:val="110"/>
          <w:position w:val="5"/>
          <w:sz w:val="11"/>
        </w:rPr>
        <w:t>1 </w:t>
      </w:r>
      <w:r>
        <w:rPr>
          <w:color w:val="3A383A"/>
          <w:w w:val="110"/>
          <w:sz w:val="18"/>
        </w:rPr>
        <w:t>Although the</w:t>
      </w:r>
      <w:r>
        <w:rPr>
          <w:color w:val="3A383A"/>
          <w:spacing w:val="1"/>
          <w:w w:val="110"/>
          <w:sz w:val="18"/>
        </w:rPr>
        <w:t> </w:t>
      </w:r>
      <w:r>
        <w:rPr>
          <w:color w:val="504F52"/>
          <w:w w:val="110"/>
          <w:sz w:val="18"/>
        </w:rPr>
        <w:t>joint </w:t>
      </w:r>
      <w:r>
        <w:rPr>
          <w:color w:val="3A383A"/>
          <w:w w:val="110"/>
          <w:sz w:val="18"/>
        </w:rPr>
        <w:t>appendix </w:t>
      </w:r>
      <w:r>
        <w:rPr>
          <w:color w:val="504F52"/>
          <w:w w:val="110"/>
          <w:sz w:val="18"/>
        </w:rPr>
        <w:t>Is </w:t>
      </w:r>
      <w:r>
        <w:rPr>
          <w:color w:val="3A383A"/>
          <w:w w:val="110"/>
          <w:sz w:val="18"/>
        </w:rPr>
        <w:t>usually not the </w:t>
      </w:r>
      <w:r>
        <w:rPr>
          <w:color w:val="504F52"/>
          <w:w w:val="110"/>
          <w:sz w:val="18"/>
        </w:rPr>
        <w:t>complete </w:t>
      </w:r>
      <w:r>
        <w:rPr>
          <w:color w:val="3A383A"/>
          <w:w w:val="110"/>
          <w:sz w:val="18"/>
        </w:rPr>
        <w:t>record, courts may use the term</w:t>
      </w:r>
      <w:r>
        <w:rPr>
          <w:color w:val="3A383A"/>
          <w:spacing w:val="1"/>
          <w:w w:val="110"/>
          <w:sz w:val="18"/>
        </w:rPr>
        <w:t> </w:t>
      </w:r>
      <w:r>
        <w:rPr>
          <w:rFonts w:ascii="Arial"/>
          <w:i/>
          <w:color w:val="3A383A"/>
          <w:w w:val="110"/>
          <w:sz w:val="15"/>
        </w:rPr>
        <w:t>record </w:t>
      </w:r>
      <w:r>
        <w:rPr>
          <w:color w:val="3A383A"/>
          <w:w w:val="110"/>
          <w:sz w:val="18"/>
        </w:rPr>
        <w:t>to refer to Information from the joint appendix or from the appendix to the </w:t>
      </w:r>
      <w:r>
        <w:rPr>
          <w:color w:val="504F52"/>
          <w:w w:val="110"/>
          <w:sz w:val="18"/>
        </w:rPr>
        <w:t>petition </w:t>
      </w:r>
      <w:r>
        <w:rPr>
          <w:color w:val="3A383A"/>
          <w:w w:val="110"/>
          <w:sz w:val="18"/>
        </w:rPr>
        <w:t>for the</w:t>
      </w:r>
      <w:r>
        <w:rPr>
          <w:color w:val="3A383A"/>
          <w:spacing w:val="1"/>
          <w:w w:val="110"/>
          <w:sz w:val="18"/>
        </w:rPr>
        <w:t> </w:t>
      </w:r>
      <w:r>
        <w:rPr>
          <w:color w:val="3A383A"/>
          <w:w w:val="110"/>
          <w:sz w:val="18"/>
        </w:rPr>
        <w:t>writ of certiorari. </w:t>
      </w:r>
      <w:r>
        <w:rPr>
          <w:rFonts w:ascii="Arial"/>
          <w:i/>
          <w:color w:val="3A383A"/>
          <w:w w:val="110"/>
          <w:sz w:val="15"/>
        </w:rPr>
        <w:t>E.g., Home </w:t>
      </w:r>
      <w:r>
        <w:rPr>
          <w:rFonts w:ascii="Arial"/>
          <w:i/>
          <w:color w:val="504F52"/>
          <w:w w:val="110"/>
          <w:sz w:val="15"/>
        </w:rPr>
        <w:t>v. Flores, </w:t>
      </w:r>
      <w:r>
        <w:rPr>
          <w:color w:val="3A383A"/>
          <w:w w:val="110"/>
          <w:sz w:val="18"/>
        </w:rPr>
        <w:t>557 U.S. 433, 470 </w:t>
      </w:r>
      <w:r>
        <w:rPr>
          <w:color w:val="504F52"/>
          <w:w w:val="110"/>
          <w:sz w:val="18"/>
        </w:rPr>
        <w:t>(2009) ("The </w:t>
      </w:r>
      <w:r>
        <w:rPr>
          <w:color w:val="3A383A"/>
          <w:w w:val="110"/>
          <w:sz w:val="18"/>
        </w:rPr>
        <w:t>record contains no factual</w:t>
      </w:r>
      <w:r>
        <w:rPr>
          <w:color w:val="3A383A"/>
          <w:spacing w:val="1"/>
          <w:w w:val="110"/>
          <w:sz w:val="18"/>
        </w:rPr>
        <w:t> </w:t>
      </w:r>
      <w:r>
        <w:rPr>
          <w:color w:val="3A383A"/>
          <w:w w:val="110"/>
          <w:sz w:val="18"/>
        </w:rPr>
        <w:t>findings or evidence that any school district other than Nogales failed </w:t>
      </w:r>
      <w:r>
        <w:rPr>
          <w:color w:val="504F52"/>
          <w:w w:val="110"/>
          <w:sz w:val="18"/>
        </w:rPr>
        <w:t>(much </w:t>
      </w:r>
      <w:r>
        <w:rPr>
          <w:color w:val="3A383A"/>
          <w:w w:val="110"/>
          <w:sz w:val="18"/>
        </w:rPr>
        <w:t>less continues to</w:t>
      </w:r>
      <w:r>
        <w:rPr>
          <w:color w:val="3A383A"/>
          <w:spacing w:val="1"/>
          <w:w w:val="110"/>
          <w:sz w:val="18"/>
        </w:rPr>
        <w:t> </w:t>
      </w:r>
      <w:r>
        <w:rPr>
          <w:color w:val="3A383A"/>
          <w:w w:val="110"/>
          <w:sz w:val="18"/>
        </w:rPr>
        <w:t>fail) to provide </w:t>
      </w:r>
      <w:r>
        <w:rPr>
          <w:color w:val="504F52"/>
          <w:w w:val="110"/>
          <w:sz w:val="18"/>
        </w:rPr>
        <w:t>equal </w:t>
      </w:r>
      <w:r>
        <w:rPr>
          <w:color w:val="3A383A"/>
          <w:w w:val="110"/>
          <w:sz w:val="18"/>
        </w:rPr>
        <w:t>educational opportunities to ELL students. See App. to Pet. for </w:t>
      </w:r>
      <w:r>
        <w:rPr>
          <w:color w:val="504F52"/>
          <w:w w:val="110"/>
          <w:sz w:val="18"/>
        </w:rPr>
        <w:t>Cert. </w:t>
      </w:r>
      <w:r>
        <w:rPr>
          <w:color w:val="3A383A"/>
          <w:w w:val="110"/>
          <w:sz w:val="18"/>
        </w:rPr>
        <w:t>in No.</w:t>
      </w:r>
      <w:r>
        <w:rPr>
          <w:color w:val="3A383A"/>
          <w:spacing w:val="1"/>
          <w:w w:val="110"/>
          <w:sz w:val="18"/>
        </w:rPr>
        <w:t> </w:t>
      </w:r>
      <w:r>
        <w:rPr>
          <w:color w:val="3A383A"/>
          <w:sz w:val="18"/>
        </w:rPr>
        <w:t>08-294, pp. l 77a-178a."); </w:t>
      </w:r>
      <w:r>
        <w:rPr>
          <w:i/>
          <w:color w:val="3A383A"/>
          <w:sz w:val="18"/>
        </w:rPr>
        <w:t>Herri11g v. U11/tecl States, </w:t>
      </w:r>
      <w:r>
        <w:rPr>
          <w:color w:val="3A383A"/>
          <w:sz w:val="18"/>
        </w:rPr>
        <w:t>555 U.S. 135, 153 </w:t>
      </w:r>
      <w:r>
        <w:rPr>
          <w:color w:val="504F52"/>
          <w:sz w:val="18"/>
        </w:rPr>
        <w:t>(2009) </w:t>
      </w:r>
      <w:r>
        <w:rPr>
          <w:color w:val="3A383A"/>
          <w:sz w:val="18"/>
        </w:rPr>
        <w:t>("[T)he record lndlc-ates</w:t>
      </w:r>
      <w:r>
        <w:rPr>
          <w:color w:val="3A383A"/>
          <w:spacing w:val="1"/>
          <w:sz w:val="18"/>
        </w:rPr>
        <w:t> </w:t>
      </w:r>
      <w:r>
        <w:rPr>
          <w:color w:val="3A383A"/>
          <w:w w:val="110"/>
          <w:sz w:val="18"/>
        </w:rPr>
        <w:t>that there Is no electronic connection between the warrant database </w:t>
      </w:r>
      <w:r>
        <w:rPr>
          <w:color w:val="504F52"/>
          <w:w w:val="110"/>
          <w:sz w:val="18"/>
        </w:rPr>
        <w:t>of </w:t>
      </w:r>
      <w:r>
        <w:rPr>
          <w:color w:val="3A383A"/>
          <w:w w:val="110"/>
          <w:sz w:val="18"/>
        </w:rPr>
        <w:t>the Dale </w:t>
      </w:r>
      <w:r>
        <w:rPr>
          <w:color w:val="504F52"/>
          <w:w w:val="110"/>
          <w:sz w:val="18"/>
        </w:rPr>
        <w:t>County </w:t>
      </w:r>
      <w:r>
        <w:rPr>
          <w:color w:val="3A383A"/>
          <w:w w:val="110"/>
          <w:sz w:val="18"/>
        </w:rPr>
        <w:t>Sheriff's</w:t>
      </w:r>
      <w:r>
        <w:rPr>
          <w:color w:val="3A383A"/>
          <w:spacing w:val="1"/>
          <w:w w:val="110"/>
          <w:sz w:val="18"/>
        </w:rPr>
        <w:t> </w:t>
      </w:r>
      <w:r>
        <w:rPr>
          <w:color w:val="3A383A"/>
          <w:w w:val="110"/>
          <w:sz w:val="18"/>
        </w:rPr>
        <w:t>Department and that of the </w:t>
      </w:r>
      <w:r>
        <w:rPr>
          <w:color w:val="504F52"/>
          <w:w w:val="110"/>
          <w:sz w:val="18"/>
        </w:rPr>
        <w:t>County Circuit </w:t>
      </w:r>
      <w:r>
        <w:rPr>
          <w:color w:val="3A383A"/>
          <w:w w:val="110"/>
          <w:sz w:val="18"/>
        </w:rPr>
        <w:t>Clerk's office, which is located in the basement of the</w:t>
      </w:r>
      <w:r>
        <w:rPr>
          <w:color w:val="3A383A"/>
          <w:spacing w:val="1"/>
          <w:w w:val="110"/>
          <w:sz w:val="18"/>
        </w:rPr>
        <w:t> </w:t>
      </w:r>
      <w:r>
        <w:rPr>
          <w:color w:val="3A383A"/>
          <w:w w:val="110"/>
          <w:sz w:val="18"/>
        </w:rPr>
        <w:t>same</w:t>
      </w:r>
      <w:r>
        <w:rPr>
          <w:color w:val="3A383A"/>
          <w:spacing w:val="-10"/>
          <w:w w:val="110"/>
          <w:sz w:val="18"/>
        </w:rPr>
        <w:t> </w:t>
      </w:r>
      <w:r>
        <w:rPr>
          <w:color w:val="3A383A"/>
          <w:w w:val="110"/>
          <w:sz w:val="18"/>
        </w:rPr>
        <w:t>building.</w:t>
      </w:r>
      <w:r>
        <w:rPr>
          <w:color w:val="3A383A"/>
          <w:spacing w:val="-3"/>
          <w:w w:val="110"/>
          <w:sz w:val="18"/>
        </w:rPr>
        <w:t> </w:t>
      </w:r>
      <w:r>
        <w:rPr>
          <w:color w:val="3A383A"/>
          <w:w w:val="110"/>
          <w:sz w:val="18"/>
        </w:rPr>
        <w:t>App.</w:t>
      </w:r>
      <w:r>
        <w:rPr>
          <w:color w:val="3A383A"/>
          <w:spacing w:val="-16"/>
          <w:w w:val="110"/>
          <w:sz w:val="18"/>
        </w:rPr>
        <w:t> </w:t>
      </w:r>
      <w:r>
        <w:rPr>
          <w:color w:val="3A383A"/>
          <w:w w:val="110"/>
          <w:sz w:val="18"/>
        </w:rPr>
        <w:t>39-40,</w:t>
      </w:r>
      <w:r>
        <w:rPr>
          <w:color w:val="3A383A"/>
          <w:spacing w:val="-6"/>
          <w:w w:val="110"/>
          <w:sz w:val="18"/>
        </w:rPr>
        <w:t> </w:t>
      </w:r>
      <w:r>
        <w:rPr>
          <w:color w:val="3A383A"/>
          <w:w w:val="110"/>
          <w:sz w:val="18"/>
        </w:rPr>
        <w:t>43,</w:t>
      </w:r>
      <w:r>
        <w:rPr>
          <w:color w:val="3A383A"/>
          <w:spacing w:val="8"/>
          <w:w w:val="110"/>
          <w:sz w:val="18"/>
        </w:rPr>
        <w:t> </w:t>
      </w:r>
      <w:r>
        <w:rPr>
          <w:color w:val="3A383A"/>
          <w:w w:val="110"/>
          <w:sz w:val="18"/>
        </w:rPr>
        <w:t>45").</w:t>
      </w:r>
    </w:p>
    <w:p>
      <w:pPr>
        <w:spacing w:line="205" w:lineRule="exact" w:before="3"/>
        <w:ind w:left="503" w:right="0" w:firstLine="0"/>
        <w:jc w:val="both"/>
        <w:rPr>
          <w:sz w:val="18"/>
        </w:rPr>
      </w:pPr>
      <w:r>
        <w:rPr>
          <w:i/>
          <w:color w:val="3A383A"/>
          <w:w w:val="105"/>
          <w:position w:val="6"/>
          <w:sz w:val="11"/>
        </w:rPr>
        <w:t>2</w:t>
      </w:r>
      <w:r>
        <w:rPr>
          <w:i/>
          <w:color w:val="3A383A"/>
          <w:w w:val="105"/>
          <w:sz w:val="18"/>
        </w:rPr>
        <w:t>£.g.,</w:t>
      </w:r>
      <w:r>
        <w:rPr>
          <w:i/>
          <w:color w:val="3A383A"/>
          <w:spacing w:val="20"/>
          <w:w w:val="105"/>
          <w:sz w:val="18"/>
        </w:rPr>
        <w:t> </w:t>
      </w:r>
      <w:r>
        <w:rPr>
          <w:color w:val="3A383A"/>
          <w:w w:val="105"/>
          <w:sz w:val="18"/>
        </w:rPr>
        <w:t>Fed.</w:t>
      </w:r>
      <w:r>
        <w:rPr>
          <w:color w:val="3A383A"/>
          <w:spacing w:val="6"/>
          <w:w w:val="105"/>
          <w:sz w:val="18"/>
        </w:rPr>
        <w:t> </w:t>
      </w:r>
      <w:r>
        <w:rPr>
          <w:color w:val="3A383A"/>
          <w:w w:val="105"/>
          <w:sz w:val="18"/>
        </w:rPr>
        <w:t>R.</w:t>
      </w:r>
      <w:r>
        <w:rPr>
          <w:color w:val="3A383A"/>
          <w:spacing w:val="-5"/>
          <w:w w:val="105"/>
          <w:sz w:val="18"/>
        </w:rPr>
        <w:t> </w:t>
      </w:r>
      <w:r>
        <w:rPr>
          <w:color w:val="3A383A"/>
          <w:w w:val="105"/>
          <w:sz w:val="18"/>
        </w:rPr>
        <w:t>App.</w:t>
      </w:r>
      <w:r>
        <w:rPr>
          <w:color w:val="3A383A"/>
          <w:spacing w:val="-5"/>
          <w:w w:val="105"/>
          <w:sz w:val="18"/>
        </w:rPr>
        <w:t> </w:t>
      </w:r>
      <w:r>
        <w:rPr>
          <w:color w:val="3A383A"/>
          <w:w w:val="105"/>
          <w:sz w:val="18"/>
        </w:rPr>
        <w:t>Proc.</w:t>
      </w:r>
      <w:r>
        <w:rPr>
          <w:color w:val="3A383A"/>
          <w:spacing w:val="-3"/>
          <w:w w:val="105"/>
          <w:sz w:val="18"/>
        </w:rPr>
        <w:t> </w:t>
      </w:r>
      <w:r>
        <w:rPr>
          <w:color w:val="3A383A"/>
          <w:w w:val="105"/>
          <w:sz w:val="18"/>
        </w:rPr>
        <w:t>10</w:t>
      </w:r>
      <w:r>
        <w:rPr>
          <w:color w:val="3A383A"/>
          <w:spacing w:val="9"/>
          <w:w w:val="105"/>
          <w:sz w:val="18"/>
        </w:rPr>
        <w:t> </w:t>
      </w:r>
      <w:r>
        <w:rPr>
          <w:color w:val="3A383A"/>
          <w:w w:val="105"/>
          <w:sz w:val="18"/>
        </w:rPr>
        <w:t>(describing</w:t>
      </w:r>
      <w:r>
        <w:rPr>
          <w:color w:val="3A383A"/>
          <w:spacing w:val="14"/>
          <w:w w:val="105"/>
          <w:sz w:val="18"/>
        </w:rPr>
        <w:t> </w:t>
      </w:r>
      <w:r>
        <w:rPr>
          <w:color w:val="3A383A"/>
          <w:w w:val="105"/>
          <w:sz w:val="18"/>
        </w:rPr>
        <w:t>requirements</w:t>
      </w:r>
      <w:r>
        <w:rPr>
          <w:color w:val="3A383A"/>
          <w:spacing w:val="16"/>
          <w:w w:val="105"/>
          <w:sz w:val="18"/>
        </w:rPr>
        <w:t> </w:t>
      </w:r>
      <w:r>
        <w:rPr>
          <w:color w:val="3A383A"/>
          <w:w w:val="105"/>
          <w:sz w:val="18"/>
        </w:rPr>
        <w:t>for the</w:t>
      </w:r>
      <w:r>
        <w:rPr>
          <w:color w:val="3A383A"/>
          <w:spacing w:val="25"/>
          <w:w w:val="105"/>
          <w:sz w:val="18"/>
        </w:rPr>
        <w:t> </w:t>
      </w:r>
      <w:r>
        <w:rPr>
          <w:color w:val="504F52"/>
          <w:w w:val="105"/>
          <w:sz w:val="18"/>
        </w:rPr>
        <w:t>"Record</w:t>
      </w:r>
      <w:r>
        <w:rPr>
          <w:color w:val="504F52"/>
          <w:spacing w:val="13"/>
          <w:w w:val="105"/>
          <w:sz w:val="18"/>
        </w:rPr>
        <w:t> </w:t>
      </w:r>
      <w:r>
        <w:rPr>
          <w:color w:val="504F52"/>
          <w:w w:val="105"/>
          <w:sz w:val="18"/>
        </w:rPr>
        <w:t>on</w:t>
      </w:r>
      <w:r>
        <w:rPr>
          <w:color w:val="504F52"/>
          <w:spacing w:val="45"/>
          <w:w w:val="105"/>
          <w:sz w:val="18"/>
        </w:rPr>
        <w:t> </w:t>
      </w:r>
      <w:r>
        <w:rPr>
          <w:color w:val="3A383A"/>
          <w:w w:val="105"/>
          <w:sz w:val="18"/>
        </w:rPr>
        <w:t>Appeal");</w:t>
      </w:r>
      <w:r>
        <w:rPr>
          <w:color w:val="3A383A"/>
          <w:spacing w:val="19"/>
          <w:w w:val="105"/>
          <w:sz w:val="18"/>
        </w:rPr>
        <w:t> </w:t>
      </w:r>
      <w:r>
        <w:rPr>
          <w:color w:val="3A383A"/>
          <w:w w:val="105"/>
          <w:sz w:val="18"/>
        </w:rPr>
        <w:t>Fl.</w:t>
      </w:r>
      <w:r>
        <w:rPr>
          <w:color w:val="3A383A"/>
          <w:spacing w:val="3"/>
          <w:w w:val="105"/>
          <w:sz w:val="18"/>
        </w:rPr>
        <w:t> </w:t>
      </w:r>
      <w:r>
        <w:rPr>
          <w:color w:val="3A383A"/>
          <w:w w:val="105"/>
          <w:sz w:val="18"/>
        </w:rPr>
        <w:t>R.</w:t>
      </w:r>
      <w:r>
        <w:rPr>
          <w:color w:val="3A383A"/>
          <w:spacing w:val="-6"/>
          <w:w w:val="105"/>
          <w:sz w:val="18"/>
        </w:rPr>
        <w:t> </w:t>
      </w:r>
      <w:r>
        <w:rPr>
          <w:color w:val="3A383A"/>
          <w:w w:val="105"/>
          <w:sz w:val="18"/>
        </w:rPr>
        <w:t>App.</w:t>
      </w:r>
    </w:p>
    <w:p>
      <w:pPr>
        <w:spacing w:line="205" w:lineRule="exact" w:before="0"/>
        <w:ind w:left="135" w:right="0" w:firstLine="0"/>
        <w:jc w:val="both"/>
        <w:rPr>
          <w:sz w:val="18"/>
        </w:rPr>
      </w:pPr>
      <w:r>
        <w:rPr>
          <w:color w:val="3A383A"/>
          <w:w w:val="110"/>
          <w:sz w:val="18"/>
        </w:rPr>
        <w:t>Proc.</w:t>
      </w:r>
      <w:r>
        <w:rPr>
          <w:color w:val="3A383A"/>
          <w:spacing w:val="-13"/>
          <w:w w:val="110"/>
          <w:sz w:val="18"/>
        </w:rPr>
        <w:t> </w:t>
      </w:r>
      <w:r>
        <w:rPr>
          <w:color w:val="3A383A"/>
          <w:w w:val="110"/>
          <w:sz w:val="18"/>
        </w:rPr>
        <w:t>9.200</w:t>
      </w:r>
      <w:r>
        <w:rPr>
          <w:color w:val="3A383A"/>
          <w:spacing w:val="-16"/>
          <w:w w:val="110"/>
          <w:sz w:val="18"/>
        </w:rPr>
        <w:t> </w:t>
      </w:r>
      <w:r>
        <w:rPr>
          <w:color w:val="3A383A"/>
          <w:w w:val="110"/>
          <w:sz w:val="18"/>
        </w:rPr>
        <w:t>(describing</w:t>
      </w:r>
      <w:r>
        <w:rPr>
          <w:color w:val="3A383A"/>
          <w:spacing w:val="18"/>
          <w:w w:val="110"/>
          <w:sz w:val="18"/>
        </w:rPr>
        <w:t> </w:t>
      </w:r>
      <w:r>
        <w:rPr>
          <w:color w:val="3A383A"/>
          <w:w w:val="110"/>
          <w:sz w:val="18"/>
        </w:rPr>
        <w:t>the</w:t>
      </w:r>
      <w:r>
        <w:rPr>
          <w:color w:val="3A383A"/>
          <w:spacing w:val="14"/>
          <w:w w:val="110"/>
          <w:sz w:val="18"/>
        </w:rPr>
        <w:t> </w:t>
      </w:r>
      <w:r>
        <w:rPr>
          <w:color w:val="3A383A"/>
          <w:w w:val="110"/>
          <w:sz w:val="18"/>
        </w:rPr>
        <w:t>contents</w:t>
      </w:r>
      <w:r>
        <w:rPr>
          <w:color w:val="3A383A"/>
          <w:spacing w:val="-21"/>
          <w:w w:val="110"/>
          <w:sz w:val="18"/>
        </w:rPr>
        <w:t> </w:t>
      </w:r>
      <w:r>
        <w:rPr>
          <w:color w:val="3A383A"/>
          <w:w w:val="110"/>
          <w:sz w:val="18"/>
        </w:rPr>
        <w:t>of</w:t>
      </w:r>
      <w:r>
        <w:rPr>
          <w:color w:val="3A383A"/>
          <w:spacing w:val="-8"/>
          <w:w w:val="110"/>
          <w:sz w:val="18"/>
        </w:rPr>
        <w:t> </w:t>
      </w:r>
      <w:r>
        <w:rPr>
          <w:color w:val="504F52"/>
          <w:w w:val="110"/>
          <w:sz w:val="18"/>
        </w:rPr>
        <w:t>"the</w:t>
      </w:r>
      <w:r>
        <w:rPr>
          <w:color w:val="504F52"/>
          <w:spacing w:val="-16"/>
          <w:w w:val="110"/>
          <w:sz w:val="18"/>
        </w:rPr>
        <w:t> </w:t>
      </w:r>
      <w:r>
        <w:rPr>
          <w:color w:val="3A383A"/>
          <w:w w:val="110"/>
          <w:sz w:val="18"/>
        </w:rPr>
        <w:t>record"</w:t>
      </w:r>
      <w:r>
        <w:rPr>
          <w:color w:val="3A383A"/>
          <w:spacing w:val="-2"/>
          <w:w w:val="110"/>
          <w:sz w:val="18"/>
        </w:rPr>
        <w:t> </w:t>
      </w:r>
      <w:r>
        <w:rPr>
          <w:color w:val="3A383A"/>
          <w:w w:val="110"/>
          <w:sz w:val="18"/>
        </w:rPr>
        <w:t>In</w:t>
      </w:r>
      <w:r>
        <w:rPr>
          <w:color w:val="3A383A"/>
          <w:spacing w:val="1"/>
          <w:w w:val="110"/>
          <w:sz w:val="18"/>
        </w:rPr>
        <w:t> </w:t>
      </w:r>
      <w:r>
        <w:rPr>
          <w:color w:val="504F52"/>
          <w:w w:val="110"/>
          <w:sz w:val="18"/>
        </w:rPr>
        <w:t>various</w:t>
      </w:r>
      <w:r>
        <w:rPr>
          <w:color w:val="504F52"/>
          <w:spacing w:val="-22"/>
          <w:w w:val="110"/>
          <w:sz w:val="18"/>
        </w:rPr>
        <w:t> </w:t>
      </w:r>
      <w:r>
        <w:rPr>
          <w:color w:val="3A383A"/>
          <w:w w:val="110"/>
          <w:sz w:val="18"/>
        </w:rPr>
        <w:t>cah!gorles</w:t>
      </w:r>
      <w:r>
        <w:rPr>
          <w:color w:val="3A383A"/>
          <w:spacing w:val="-9"/>
          <w:w w:val="110"/>
          <w:sz w:val="18"/>
        </w:rPr>
        <w:t> </w:t>
      </w:r>
      <w:r>
        <w:rPr>
          <w:color w:val="3A383A"/>
          <w:w w:val="110"/>
          <w:sz w:val="18"/>
        </w:rPr>
        <w:t>of</w:t>
      </w:r>
      <w:r>
        <w:rPr>
          <w:color w:val="3A383A"/>
          <w:spacing w:val="10"/>
          <w:w w:val="110"/>
          <w:sz w:val="18"/>
        </w:rPr>
        <w:t> </w:t>
      </w:r>
      <w:r>
        <w:rPr>
          <w:color w:val="504F52"/>
          <w:w w:val="110"/>
          <w:sz w:val="18"/>
        </w:rPr>
        <w:t>cases).</w:t>
      </w:r>
    </w:p>
    <w:p>
      <w:pPr>
        <w:spacing w:after="0" w:line="205" w:lineRule="exact"/>
        <w:jc w:val="both"/>
        <w:rPr>
          <w:sz w:val="18"/>
        </w:rPr>
        <w:sectPr>
          <w:pgSz w:w="9570" w:h="13790"/>
          <w:pgMar w:header="581" w:footer="0" w:top="780" w:bottom="280" w:left="44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28" w:lineRule="auto" w:before="1"/>
        <w:ind w:left="2196" w:right="151" w:firstLine="9"/>
        <w:jc w:val="both"/>
      </w:pPr>
      <w:r>
        <w:rPr>
          <w:color w:val="3B383A"/>
          <w:w w:val="110"/>
        </w:rPr>
        <w:t>to wait until you have read the documents through once before you begin</w:t>
      </w:r>
      <w:r>
        <w:rPr>
          <w:color w:val="3B383A"/>
          <w:spacing w:val="-61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15"/>
          <w:w w:val="110"/>
        </w:rPr>
        <w:t> </w:t>
      </w:r>
      <w:r>
        <w:rPr>
          <w:color w:val="3B383A"/>
          <w:w w:val="110"/>
        </w:rPr>
        <w:t>abstract</w:t>
      </w:r>
      <w:r>
        <w:rPr>
          <w:color w:val="3B383A"/>
          <w:spacing w:val="3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23"/>
          <w:w w:val="110"/>
        </w:rPr>
        <w:t> </w:t>
      </w:r>
      <w:r>
        <w:rPr>
          <w:color w:val="3B383A"/>
          <w:w w:val="110"/>
        </w:rPr>
        <w:t>details</w:t>
      </w:r>
      <w:r>
        <w:rPr>
          <w:color w:val="3B383A"/>
          <w:spacing w:val="-5"/>
          <w:w w:val="110"/>
        </w:rPr>
        <w:t> </w:t>
      </w:r>
      <w:r>
        <w:rPr>
          <w:color w:val="3B383A"/>
          <w:w w:val="110"/>
        </w:rPr>
        <w:t>that</w:t>
      </w:r>
      <w:r>
        <w:rPr>
          <w:color w:val="3B383A"/>
          <w:spacing w:val="-7"/>
          <w:w w:val="110"/>
        </w:rPr>
        <w:t> </w:t>
      </w:r>
      <w:r>
        <w:rPr>
          <w:color w:val="3B383A"/>
          <w:w w:val="110"/>
        </w:rPr>
        <w:t>you think</w:t>
      </w:r>
      <w:r>
        <w:rPr>
          <w:color w:val="3B383A"/>
          <w:spacing w:val="-9"/>
          <w:w w:val="110"/>
        </w:rPr>
        <w:t> </w:t>
      </w:r>
      <w:r>
        <w:rPr>
          <w:color w:val="3B383A"/>
          <w:w w:val="110"/>
        </w:rPr>
        <w:t>are</w:t>
      </w:r>
      <w:r>
        <w:rPr>
          <w:color w:val="3B383A"/>
          <w:spacing w:val="-27"/>
          <w:w w:val="110"/>
        </w:rPr>
        <w:t> </w:t>
      </w:r>
      <w:r>
        <w:rPr>
          <w:color w:val="3B383A"/>
          <w:w w:val="110"/>
        </w:rPr>
        <w:t>important.</w:t>
      </w:r>
    </w:p>
    <w:p>
      <w:pPr>
        <w:pStyle w:val="BodyText"/>
        <w:spacing w:line="232" w:lineRule="auto" w:before="3"/>
        <w:ind w:left="2177" w:right="114" w:firstLine="384"/>
        <w:jc w:val="both"/>
      </w:pPr>
      <w:r>
        <w:rPr>
          <w:color w:val="3B383A"/>
          <w:w w:val="110"/>
        </w:rPr>
        <w:t>Your method may differ if you are working on an appellate brief as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opposed to a motion brief. </w:t>
      </w:r>
      <w:r>
        <w:rPr>
          <w:color w:val="3B383A"/>
          <w:w w:val="110"/>
          <w:sz w:val="22"/>
        </w:rPr>
        <w:t>If </w:t>
      </w:r>
      <w:r>
        <w:rPr>
          <w:color w:val="3B383A"/>
          <w:w w:val="110"/>
        </w:rPr>
        <w:t>you are working on an appellate brief, be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sure to abstract the information and arguments contained in the decisions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below. Furthermore, when reviewing an appellate record, note that you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may need to distinguish between the court's findings of fact and the infor­</w:t>
      </w:r>
      <w:r>
        <w:rPr>
          <w:color w:val="3B383A"/>
          <w:spacing w:val="-61"/>
          <w:w w:val="110"/>
        </w:rPr>
        <w:t> </w:t>
      </w:r>
      <w:r>
        <w:rPr>
          <w:color w:val="3B383A"/>
          <w:w w:val="110"/>
        </w:rPr>
        <w:t>mation that was merely offered into evidence in the trial court. Consider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precisely what decisions of the court are being appealed and be sure to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record significant information about each one. </w:t>
      </w:r>
      <w:r>
        <w:rPr>
          <w:rFonts w:ascii="Arial" w:hAnsi="Arial"/>
          <w:color w:val="3B383A"/>
          <w:w w:val="110"/>
          <w:sz w:val="22"/>
        </w:rPr>
        <w:t>If </w:t>
      </w:r>
      <w:r>
        <w:rPr>
          <w:color w:val="3B383A"/>
          <w:w w:val="110"/>
        </w:rPr>
        <w:t>you are working on a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motion to dismiss or a motion for summary judgment</w:t>
      </w:r>
      <w:r>
        <w:rPr>
          <w:color w:val="565657"/>
          <w:w w:val="110"/>
        </w:rPr>
        <w:t>, </w:t>
      </w:r>
      <w:r>
        <w:rPr>
          <w:color w:val="3B383A"/>
          <w:w w:val="110"/>
        </w:rPr>
        <w:t>consider the stan­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dard of review. </w:t>
      </w:r>
      <w:r>
        <w:rPr>
          <w:rFonts w:ascii="Arial" w:hAnsi="Arial"/>
          <w:color w:val="3B383A"/>
          <w:w w:val="110"/>
          <w:sz w:val="22"/>
        </w:rPr>
        <w:t>If</w:t>
      </w:r>
      <w:r>
        <w:rPr>
          <w:rFonts w:ascii="Arial" w:hAnsi="Arial"/>
          <w:color w:val="3B383A"/>
          <w:spacing w:val="1"/>
          <w:w w:val="110"/>
          <w:sz w:val="22"/>
        </w:rPr>
        <w:t> </w:t>
      </w:r>
      <w:r>
        <w:rPr>
          <w:color w:val="3B383A"/>
          <w:w w:val="110"/>
        </w:rPr>
        <w:t>you are writing a brief in opposition to a motion for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summary judgment, for example, you may be arguing that youhave pro­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vided evidence sufficient to establish your claim as to one of your causes of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action. In that situation, when reviewing the record, you would consider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your client's burden of proof as to the relevant issues and be sure to review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carefully</w:t>
      </w:r>
      <w:r>
        <w:rPr>
          <w:color w:val="3B383A"/>
          <w:spacing w:val="-8"/>
          <w:w w:val="110"/>
        </w:rPr>
        <w:t> </w:t>
      </w:r>
      <w:r>
        <w:rPr>
          <w:color w:val="3B383A"/>
          <w:w w:val="110"/>
        </w:rPr>
        <w:t>any</w:t>
      </w:r>
      <w:r>
        <w:rPr>
          <w:color w:val="3B383A"/>
          <w:spacing w:val="30"/>
          <w:w w:val="110"/>
        </w:rPr>
        <w:t> </w:t>
      </w:r>
      <w:r>
        <w:rPr>
          <w:color w:val="3B383A"/>
          <w:w w:val="110"/>
        </w:rPr>
        <w:t>information</w:t>
      </w:r>
      <w:r>
        <w:rPr>
          <w:color w:val="3B383A"/>
          <w:spacing w:val="7"/>
          <w:w w:val="110"/>
        </w:rPr>
        <w:t> </w:t>
      </w:r>
      <w:r>
        <w:rPr>
          <w:color w:val="3B383A"/>
          <w:w w:val="110"/>
        </w:rPr>
        <w:t>in</w:t>
      </w:r>
      <w:r>
        <w:rPr>
          <w:color w:val="3B383A"/>
          <w:spacing w:val="7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13"/>
          <w:w w:val="110"/>
        </w:rPr>
        <w:t> </w:t>
      </w:r>
      <w:r>
        <w:rPr>
          <w:color w:val="3B383A"/>
          <w:w w:val="110"/>
        </w:rPr>
        <w:t>record</w:t>
      </w:r>
      <w:r>
        <w:rPr>
          <w:color w:val="3B383A"/>
          <w:spacing w:val="12"/>
          <w:w w:val="110"/>
        </w:rPr>
        <w:t> </w:t>
      </w:r>
      <w:r>
        <w:rPr>
          <w:color w:val="3B383A"/>
          <w:w w:val="110"/>
        </w:rPr>
        <w:t>relevant</w:t>
      </w:r>
      <w:r>
        <w:rPr>
          <w:color w:val="3B383A"/>
          <w:spacing w:val="6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10"/>
          <w:w w:val="110"/>
        </w:rPr>
        <w:t> </w:t>
      </w:r>
      <w:r>
        <w:rPr>
          <w:color w:val="3B383A"/>
          <w:w w:val="110"/>
        </w:rPr>
        <w:t>those</w:t>
      </w:r>
      <w:r>
        <w:rPr>
          <w:color w:val="3B383A"/>
          <w:spacing w:val="-13"/>
          <w:w w:val="110"/>
        </w:rPr>
        <w:t> </w:t>
      </w:r>
      <w:r>
        <w:rPr>
          <w:color w:val="3B383A"/>
          <w:w w:val="110"/>
        </w:rPr>
        <w:t>issues.</w:t>
      </w:r>
    </w:p>
    <w:p>
      <w:pPr>
        <w:pStyle w:val="BodyText"/>
        <w:spacing w:line="232" w:lineRule="auto" w:before="6"/>
        <w:ind w:left="2168" w:right="130" w:firstLine="409"/>
        <w:jc w:val="both"/>
      </w:pPr>
      <w:r>
        <w:rPr>
          <w:color w:val="3B383A"/>
          <w:w w:val="115"/>
        </w:rPr>
        <w:t>To</w:t>
      </w:r>
      <w:r>
        <w:rPr>
          <w:color w:val="3B383A"/>
          <w:spacing w:val="6"/>
          <w:w w:val="115"/>
        </w:rPr>
        <w:t> </w:t>
      </w:r>
      <w:r>
        <w:rPr>
          <w:color w:val="3B383A"/>
          <w:w w:val="115"/>
        </w:rPr>
        <w:t>create</w:t>
      </w:r>
      <w:r>
        <w:rPr>
          <w:color w:val="3B383A"/>
          <w:spacing w:val="30"/>
          <w:w w:val="115"/>
        </w:rPr>
        <w:t> </w:t>
      </w:r>
      <w:r>
        <w:rPr>
          <w:color w:val="3B383A"/>
          <w:w w:val="115"/>
        </w:rPr>
        <w:t>the</w:t>
      </w:r>
      <w:r>
        <w:rPr>
          <w:color w:val="3B383A"/>
          <w:spacing w:val="47"/>
          <w:w w:val="115"/>
        </w:rPr>
        <w:t> </w:t>
      </w:r>
      <w:r>
        <w:rPr>
          <w:color w:val="3B383A"/>
          <w:w w:val="115"/>
        </w:rPr>
        <w:t>actual</w:t>
      </w:r>
      <w:r>
        <w:rPr>
          <w:color w:val="3B383A"/>
          <w:spacing w:val="14"/>
          <w:w w:val="115"/>
        </w:rPr>
        <w:t> </w:t>
      </w:r>
      <w:r>
        <w:rPr>
          <w:color w:val="3B383A"/>
          <w:w w:val="115"/>
        </w:rPr>
        <w:t>abstract,</w:t>
      </w:r>
      <w:r>
        <w:rPr>
          <w:color w:val="3B383A"/>
          <w:spacing w:val="32"/>
          <w:w w:val="115"/>
        </w:rPr>
        <w:t> </w:t>
      </w:r>
      <w:r>
        <w:rPr>
          <w:color w:val="3B383A"/>
          <w:w w:val="115"/>
        </w:rPr>
        <w:t>make</w:t>
      </w:r>
      <w:r>
        <w:rPr>
          <w:color w:val="3B383A"/>
          <w:spacing w:val="12"/>
          <w:w w:val="115"/>
        </w:rPr>
        <w:t> </w:t>
      </w:r>
      <w:r>
        <w:rPr>
          <w:color w:val="3B383A"/>
          <w:w w:val="115"/>
        </w:rPr>
        <w:t>a</w:t>
      </w:r>
      <w:r>
        <w:rPr>
          <w:color w:val="3B383A"/>
          <w:spacing w:val="29"/>
          <w:w w:val="115"/>
        </w:rPr>
        <w:t> </w:t>
      </w:r>
      <w:r>
        <w:rPr>
          <w:color w:val="3B383A"/>
          <w:w w:val="115"/>
        </w:rPr>
        <w:t>chart-either</w:t>
      </w:r>
      <w:r>
        <w:rPr>
          <w:color w:val="3B383A"/>
          <w:spacing w:val="37"/>
          <w:w w:val="115"/>
        </w:rPr>
        <w:t> </w:t>
      </w:r>
      <w:r>
        <w:rPr>
          <w:color w:val="3B383A"/>
          <w:w w:val="115"/>
        </w:rPr>
        <w:t>on</w:t>
      </w:r>
      <w:r>
        <w:rPr>
          <w:color w:val="3B383A"/>
          <w:spacing w:val="19"/>
          <w:w w:val="115"/>
        </w:rPr>
        <w:t> </w:t>
      </w:r>
      <w:r>
        <w:rPr>
          <w:color w:val="3B383A"/>
          <w:w w:val="115"/>
        </w:rPr>
        <w:t>paper</w:t>
      </w:r>
      <w:r>
        <w:rPr>
          <w:color w:val="3B383A"/>
          <w:spacing w:val="15"/>
          <w:w w:val="115"/>
        </w:rPr>
        <w:t> </w:t>
      </w:r>
      <w:r>
        <w:rPr>
          <w:color w:val="3B383A"/>
          <w:w w:val="115"/>
        </w:rPr>
        <w:t>or</w:t>
      </w:r>
      <w:r>
        <w:rPr>
          <w:color w:val="3B383A"/>
          <w:spacing w:val="43"/>
          <w:w w:val="115"/>
        </w:rPr>
        <w:t> </w:t>
      </w:r>
      <w:r>
        <w:rPr>
          <w:color w:val="3B383A"/>
          <w:w w:val="115"/>
        </w:rPr>
        <w:t>on</w:t>
      </w:r>
      <w:r>
        <w:rPr>
          <w:color w:val="3B383A"/>
          <w:spacing w:val="-64"/>
          <w:w w:val="115"/>
        </w:rPr>
        <w:t> </w:t>
      </w:r>
      <w:r>
        <w:rPr>
          <w:color w:val="3B383A"/>
          <w:w w:val="115"/>
        </w:rPr>
        <w:t>a word processor-and summarize the important information found in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0"/>
        </w:rPr>
        <w:t>each part of the record or joint appendix as you read through it. Here are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some</w:t>
      </w:r>
      <w:r>
        <w:rPr>
          <w:color w:val="3B383A"/>
          <w:spacing w:val="-13"/>
          <w:w w:val="110"/>
        </w:rPr>
        <w:t> </w:t>
      </w:r>
      <w:r>
        <w:rPr>
          <w:color w:val="3B383A"/>
          <w:w w:val="110"/>
        </w:rPr>
        <w:t>examples</w:t>
      </w:r>
      <w:r>
        <w:rPr>
          <w:color w:val="3B383A"/>
          <w:spacing w:val="-8"/>
          <w:w w:val="110"/>
        </w:rPr>
        <w:t> </w:t>
      </w:r>
      <w:r>
        <w:rPr>
          <w:color w:val="3B383A"/>
          <w:w w:val="110"/>
        </w:rPr>
        <w:t>of</w:t>
      </w:r>
      <w:r>
        <w:rPr>
          <w:color w:val="3B383A"/>
          <w:spacing w:val="12"/>
          <w:w w:val="110"/>
        </w:rPr>
        <w:t> </w:t>
      </w:r>
      <w:r>
        <w:rPr>
          <w:color w:val="3B383A"/>
          <w:w w:val="110"/>
        </w:rPr>
        <w:t>things</w:t>
      </w:r>
      <w:r>
        <w:rPr>
          <w:color w:val="3B383A"/>
          <w:spacing w:val="-6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-14"/>
          <w:w w:val="110"/>
        </w:rPr>
        <w:t> </w:t>
      </w:r>
      <w:r>
        <w:rPr>
          <w:color w:val="3B383A"/>
          <w:w w:val="110"/>
        </w:rPr>
        <w:t>look</w:t>
      </w:r>
      <w:r>
        <w:rPr>
          <w:color w:val="3B383A"/>
          <w:spacing w:val="-12"/>
          <w:w w:val="110"/>
        </w:rPr>
        <w:t> </w:t>
      </w:r>
      <w:r>
        <w:rPr>
          <w:color w:val="3B383A"/>
          <w:w w:val="110"/>
        </w:rPr>
        <w:t>for</w:t>
      </w:r>
      <w:r>
        <w:rPr>
          <w:color w:val="3B383A"/>
          <w:spacing w:val="-7"/>
          <w:w w:val="110"/>
        </w:rPr>
        <w:t> </w:t>
      </w:r>
      <w:r>
        <w:rPr>
          <w:color w:val="3B383A"/>
          <w:w w:val="110"/>
        </w:rPr>
        <w:t>and</w:t>
      </w:r>
      <w:r>
        <w:rPr>
          <w:color w:val="3B383A"/>
          <w:spacing w:val="25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7"/>
          <w:w w:val="110"/>
        </w:rPr>
        <w:t> </w:t>
      </w:r>
      <w:r>
        <w:rPr>
          <w:color w:val="3B383A"/>
          <w:w w:val="110"/>
        </w:rPr>
        <w:t>record:</w:t>
      </w:r>
    </w:p>
    <w:p>
      <w:pPr>
        <w:pStyle w:val="ListParagraph"/>
        <w:numPr>
          <w:ilvl w:val="0"/>
          <w:numId w:val="27"/>
        </w:numPr>
        <w:tabs>
          <w:tab w:pos="2581" w:val="left" w:leader="none"/>
        </w:tabs>
        <w:spacing w:line="262" w:lineRule="exact" w:before="104" w:after="0"/>
        <w:ind w:left="2580" w:right="0" w:hanging="319"/>
        <w:jc w:val="both"/>
        <w:rPr>
          <w:rFonts w:ascii="Arial"/>
          <w:color w:val="3B383A"/>
          <w:sz w:val="21"/>
        </w:rPr>
      </w:pPr>
      <w:r>
        <w:rPr>
          <w:color w:val="3B383A"/>
          <w:spacing w:val="-1"/>
          <w:w w:val="110"/>
          <w:sz w:val="23"/>
        </w:rPr>
        <w:t>Page</w:t>
      </w:r>
      <w:r>
        <w:rPr>
          <w:color w:val="3B383A"/>
          <w:spacing w:val="-14"/>
          <w:w w:val="110"/>
          <w:sz w:val="23"/>
        </w:rPr>
        <w:t> </w:t>
      </w:r>
      <w:r>
        <w:rPr>
          <w:color w:val="3B383A"/>
          <w:spacing w:val="-1"/>
          <w:w w:val="110"/>
          <w:sz w:val="23"/>
        </w:rPr>
        <w:t>cites</w:t>
      </w:r>
      <w:r>
        <w:rPr>
          <w:color w:val="3B383A"/>
          <w:spacing w:val="-18"/>
          <w:w w:val="110"/>
          <w:sz w:val="23"/>
        </w:rPr>
        <w:t> </w:t>
      </w:r>
      <w:r>
        <w:rPr>
          <w:color w:val="3B383A"/>
          <w:spacing w:val="-1"/>
          <w:w w:val="110"/>
          <w:sz w:val="23"/>
        </w:rPr>
        <w:t>for</w:t>
      </w:r>
      <w:r>
        <w:rPr>
          <w:color w:val="3B383A"/>
          <w:spacing w:val="7"/>
          <w:w w:val="110"/>
          <w:sz w:val="23"/>
        </w:rPr>
        <w:t> </w:t>
      </w:r>
      <w:r>
        <w:rPr>
          <w:color w:val="3B383A"/>
          <w:spacing w:val="-1"/>
          <w:w w:val="110"/>
          <w:sz w:val="23"/>
        </w:rPr>
        <w:t>positive</w:t>
      </w:r>
      <w:r>
        <w:rPr>
          <w:color w:val="3B383A"/>
          <w:spacing w:val="-6"/>
          <w:w w:val="110"/>
          <w:sz w:val="23"/>
        </w:rPr>
        <w:t> </w:t>
      </w:r>
      <w:r>
        <w:rPr>
          <w:color w:val="3B383A"/>
          <w:spacing w:val="-1"/>
          <w:w w:val="110"/>
          <w:sz w:val="23"/>
        </w:rPr>
        <w:t>facts,</w:t>
      </w:r>
      <w:r>
        <w:rPr>
          <w:color w:val="3B383A"/>
          <w:spacing w:val="8"/>
          <w:w w:val="110"/>
          <w:sz w:val="23"/>
        </w:rPr>
        <w:t> </w:t>
      </w:r>
      <w:r>
        <w:rPr>
          <w:color w:val="3B383A"/>
          <w:w w:val="110"/>
          <w:sz w:val="23"/>
        </w:rPr>
        <w:t>testimony,</w:t>
      </w:r>
      <w:r>
        <w:rPr>
          <w:color w:val="3B383A"/>
          <w:spacing w:val="-6"/>
          <w:w w:val="110"/>
          <w:sz w:val="23"/>
        </w:rPr>
        <w:t> </w:t>
      </w:r>
      <w:r>
        <w:rPr>
          <w:color w:val="3B383A"/>
          <w:w w:val="110"/>
          <w:sz w:val="23"/>
        </w:rPr>
        <w:t>and</w:t>
      </w:r>
      <w:r>
        <w:rPr>
          <w:color w:val="3B383A"/>
          <w:spacing w:val="23"/>
          <w:w w:val="110"/>
          <w:sz w:val="23"/>
        </w:rPr>
        <w:t> </w:t>
      </w:r>
      <w:r>
        <w:rPr>
          <w:color w:val="3B383A"/>
          <w:w w:val="110"/>
          <w:sz w:val="23"/>
        </w:rPr>
        <w:t>other</w:t>
      </w:r>
      <w:r>
        <w:rPr>
          <w:color w:val="3B383A"/>
          <w:spacing w:val="-6"/>
          <w:w w:val="110"/>
          <w:sz w:val="23"/>
        </w:rPr>
        <w:t> </w:t>
      </w:r>
      <w:r>
        <w:rPr>
          <w:color w:val="3B383A"/>
          <w:w w:val="110"/>
          <w:sz w:val="23"/>
        </w:rPr>
        <w:t>evidence</w:t>
      </w:r>
    </w:p>
    <w:p>
      <w:pPr>
        <w:pStyle w:val="ListParagraph"/>
        <w:numPr>
          <w:ilvl w:val="0"/>
          <w:numId w:val="27"/>
        </w:numPr>
        <w:tabs>
          <w:tab w:pos="2562" w:val="left" w:leader="none"/>
        </w:tabs>
        <w:spacing w:line="260" w:lineRule="exact" w:before="0" w:after="0"/>
        <w:ind w:left="2561" w:right="0" w:hanging="311"/>
        <w:jc w:val="both"/>
        <w:rPr>
          <w:color w:val="3B383A"/>
          <w:sz w:val="23"/>
        </w:rPr>
      </w:pPr>
      <w:r>
        <w:rPr>
          <w:color w:val="3B383A"/>
          <w:w w:val="110"/>
          <w:sz w:val="23"/>
        </w:rPr>
        <w:t>Page</w:t>
      </w:r>
      <w:r>
        <w:rPr>
          <w:color w:val="3B383A"/>
          <w:spacing w:val="-13"/>
          <w:w w:val="110"/>
          <w:sz w:val="23"/>
        </w:rPr>
        <w:t> </w:t>
      </w:r>
      <w:r>
        <w:rPr>
          <w:color w:val="3B383A"/>
          <w:w w:val="110"/>
          <w:sz w:val="23"/>
        </w:rPr>
        <w:t>cites</w:t>
      </w:r>
      <w:r>
        <w:rPr>
          <w:color w:val="3B383A"/>
          <w:spacing w:val="-15"/>
          <w:w w:val="110"/>
          <w:sz w:val="23"/>
        </w:rPr>
        <w:t> </w:t>
      </w:r>
      <w:r>
        <w:rPr>
          <w:color w:val="3B383A"/>
          <w:w w:val="110"/>
          <w:sz w:val="23"/>
        </w:rPr>
        <w:t>for</w:t>
      </w:r>
      <w:r>
        <w:rPr>
          <w:color w:val="3B383A"/>
          <w:spacing w:val="-10"/>
          <w:w w:val="110"/>
          <w:sz w:val="23"/>
        </w:rPr>
        <w:t> </w:t>
      </w:r>
      <w:r>
        <w:rPr>
          <w:color w:val="3B383A"/>
          <w:w w:val="110"/>
          <w:sz w:val="23"/>
        </w:rPr>
        <w:t>negative</w:t>
      </w:r>
      <w:r>
        <w:rPr>
          <w:color w:val="3B383A"/>
          <w:spacing w:val="-4"/>
          <w:w w:val="110"/>
          <w:sz w:val="23"/>
        </w:rPr>
        <w:t> </w:t>
      </w:r>
      <w:r>
        <w:rPr>
          <w:color w:val="3B383A"/>
          <w:w w:val="110"/>
          <w:sz w:val="23"/>
        </w:rPr>
        <w:t>facts</w:t>
      </w:r>
      <w:r>
        <w:rPr>
          <w:color w:val="565657"/>
          <w:w w:val="110"/>
          <w:sz w:val="23"/>
        </w:rPr>
        <w:t>,</w:t>
      </w:r>
      <w:r>
        <w:rPr>
          <w:color w:val="565657"/>
          <w:spacing w:val="5"/>
          <w:w w:val="110"/>
          <w:sz w:val="23"/>
        </w:rPr>
        <w:t> </w:t>
      </w:r>
      <w:r>
        <w:rPr>
          <w:color w:val="3B383A"/>
          <w:w w:val="110"/>
          <w:sz w:val="23"/>
        </w:rPr>
        <w:t>testimony,</w:t>
      </w:r>
      <w:r>
        <w:rPr>
          <w:color w:val="3B383A"/>
          <w:spacing w:val="7"/>
          <w:w w:val="110"/>
          <w:sz w:val="23"/>
        </w:rPr>
        <w:t> </w:t>
      </w:r>
      <w:r>
        <w:rPr>
          <w:color w:val="3B383A"/>
          <w:w w:val="110"/>
          <w:sz w:val="23"/>
        </w:rPr>
        <w:t>and</w:t>
      </w:r>
      <w:r>
        <w:rPr>
          <w:color w:val="3B383A"/>
          <w:spacing w:val="25"/>
          <w:w w:val="110"/>
          <w:sz w:val="23"/>
        </w:rPr>
        <w:t> </w:t>
      </w:r>
      <w:r>
        <w:rPr>
          <w:color w:val="3B383A"/>
          <w:w w:val="110"/>
          <w:sz w:val="23"/>
        </w:rPr>
        <w:t>other</w:t>
      </w:r>
      <w:r>
        <w:rPr>
          <w:color w:val="3B383A"/>
          <w:spacing w:val="-7"/>
          <w:w w:val="110"/>
          <w:sz w:val="23"/>
        </w:rPr>
        <w:t> </w:t>
      </w:r>
      <w:r>
        <w:rPr>
          <w:color w:val="3B383A"/>
          <w:w w:val="110"/>
          <w:sz w:val="23"/>
        </w:rPr>
        <w:t>evidence</w:t>
      </w:r>
    </w:p>
    <w:p>
      <w:pPr>
        <w:pStyle w:val="ListParagraph"/>
        <w:numPr>
          <w:ilvl w:val="0"/>
          <w:numId w:val="27"/>
        </w:numPr>
        <w:tabs>
          <w:tab w:pos="2543" w:val="left" w:leader="none"/>
        </w:tabs>
        <w:spacing w:line="240" w:lineRule="auto" w:before="0" w:after="0"/>
        <w:ind w:left="2524" w:right="138" w:hanging="297"/>
        <w:jc w:val="both"/>
        <w:rPr>
          <w:color w:val="3B383A"/>
          <w:sz w:val="23"/>
        </w:rPr>
      </w:pPr>
      <w:r>
        <w:rPr>
          <w:color w:val="3B383A"/>
          <w:w w:val="110"/>
          <w:sz w:val="23"/>
        </w:rPr>
        <w:t>Page</w:t>
      </w:r>
      <w:r>
        <w:rPr>
          <w:color w:val="3B383A"/>
          <w:spacing w:val="-32"/>
          <w:w w:val="110"/>
          <w:sz w:val="23"/>
        </w:rPr>
        <w:t> </w:t>
      </w:r>
      <w:r>
        <w:rPr>
          <w:color w:val="3B383A"/>
          <w:w w:val="110"/>
          <w:sz w:val="23"/>
        </w:rPr>
        <w:t>cites</w:t>
      </w:r>
      <w:r>
        <w:rPr>
          <w:color w:val="3B383A"/>
          <w:spacing w:val="-25"/>
          <w:w w:val="110"/>
          <w:sz w:val="23"/>
        </w:rPr>
        <w:t> </w:t>
      </w:r>
      <w:r>
        <w:rPr>
          <w:color w:val="3B383A"/>
          <w:w w:val="110"/>
          <w:sz w:val="23"/>
        </w:rPr>
        <w:t>for</w:t>
      </w:r>
      <w:r>
        <w:rPr>
          <w:color w:val="3B383A"/>
          <w:spacing w:val="-30"/>
          <w:w w:val="110"/>
          <w:sz w:val="23"/>
        </w:rPr>
        <w:t> </w:t>
      </w:r>
      <w:r>
        <w:rPr>
          <w:color w:val="3B383A"/>
          <w:w w:val="110"/>
          <w:sz w:val="23"/>
        </w:rPr>
        <w:t>segments</w:t>
      </w:r>
      <w:r>
        <w:rPr>
          <w:color w:val="3B383A"/>
          <w:spacing w:val="-20"/>
          <w:w w:val="110"/>
          <w:sz w:val="23"/>
        </w:rPr>
        <w:t> </w:t>
      </w:r>
      <w:r>
        <w:rPr>
          <w:color w:val="3B383A"/>
          <w:w w:val="110"/>
          <w:sz w:val="23"/>
        </w:rPr>
        <w:t>of</w:t>
      </w:r>
      <w:r>
        <w:rPr>
          <w:color w:val="3B383A"/>
          <w:spacing w:val="-6"/>
          <w:w w:val="110"/>
          <w:sz w:val="23"/>
        </w:rPr>
        <w:t> </w:t>
      </w:r>
      <w:r>
        <w:rPr>
          <w:color w:val="3B383A"/>
          <w:w w:val="110"/>
          <w:sz w:val="23"/>
        </w:rPr>
        <w:t>the</w:t>
      </w:r>
      <w:r>
        <w:rPr>
          <w:color w:val="3B383A"/>
          <w:spacing w:val="12"/>
          <w:w w:val="110"/>
          <w:sz w:val="23"/>
        </w:rPr>
        <w:t> </w:t>
      </w:r>
      <w:r>
        <w:rPr>
          <w:color w:val="3B383A"/>
          <w:w w:val="110"/>
          <w:sz w:val="23"/>
        </w:rPr>
        <w:t>appendix</w:t>
      </w:r>
      <w:r>
        <w:rPr>
          <w:color w:val="3B383A"/>
          <w:spacing w:val="-6"/>
          <w:w w:val="110"/>
          <w:sz w:val="23"/>
        </w:rPr>
        <w:t> </w:t>
      </w:r>
      <w:r>
        <w:rPr>
          <w:color w:val="3B383A"/>
          <w:w w:val="110"/>
          <w:sz w:val="23"/>
        </w:rPr>
        <w:t>(e.g.,</w:t>
      </w:r>
      <w:r>
        <w:rPr>
          <w:color w:val="3B383A"/>
          <w:spacing w:val="-17"/>
          <w:w w:val="110"/>
          <w:sz w:val="23"/>
        </w:rPr>
        <w:t> </w:t>
      </w:r>
      <w:r>
        <w:rPr>
          <w:color w:val="3B383A"/>
          <w:w w:val="110"/>
          <w:sz w:val="23"/>
        </w:rPr>
        <w:t>each</w:t>
      </w:r>
      <w:r>
        <w:rPr>
          <w:color w:val="3B383A"/>
          <w:spacing w:val="-12"/>
          <w:w w:val="110"/>
          <w:sz w:val="23"/>
        </w:rPr>
        <w:t> </w:t>
      </w:r>
      <w:r>
        <w:rPr>
          <w:color w:val="3B383A"/>
          <w:w w:val="110"/>
          <w:sz w:val="23"/>
        </w:rPr>
        <w:t>separate</w:t>
      </w:r>
      <w:r>
        <w:rPr>
          <w:color w:val="3B383A"/>
          <w:spacing w:val="-14"/>
          <w:w w:val="110"/>
          <w:sz w:val="23"/>
        </w:rPr>
        <w:t> </w:t>
      </w:r>
      <w:r>
        <w:rPr>
          <w:color w:val="3B383A"/>
          <w:w w:val="110"/>
          <w:sz w:val="23"/>
        </w:rPr>
        <w:t>pleading</w:t>
      </w:r>
      <w:r>
        <w:rPr>
          <w:color w:val="3B383A"/>
          <w:spacing w:val="-9"/>
          <w:w w:val="110"/>
          <w:sz w:val="23"/>
        </w:rPr>
        <w:t> </w:t>
      </w:r>
      <w:r>
        <w:rPr>
          <w:color w:val="3B383A"/>
          <w:w w:val="110"/>
          <w:sz w:val="23"/>
        </w:rPr>
        <w:t>or</w:t>
      </w:r>
      <w:r>
        <w:rPr>
          <w:color w:val="3B383A"/>
          <w:spacing w:val="-60"/>
          <w:w w:val="110"/>
          <w:sz w:val="23"/>
        </w:rPr>
        <w:t> </w:t>
      </w:r>
      <w:r>
        <w:rPr>
          <w:color w:val="3B383A"/>
          <w:w w:val="110"/>
          <w:sz w:val="23"/>
        </w:rPr>
        <w:t>other type of document) (if a formal joint appendix has been created,</w:t>
      </w:r>
      <w:r>
        <w:rPr>
          <w:color w:val="3B383A"/>
          <w:spacing w:val="1"/>
          <w:w w:val="110"/>
          <w:sz w:val="23"/>
        </w:rPr>
        <w:t> </w:t>
      </w:r>
      <w:r>
        <w:rPr>
          <w:color w:val="3B383A"/>
          <w:w w:val="110"/>
          <w:sz w:val="23"/>
        </w:rPr>
        <w:t>this</w:t>
      </w:r>
      <w:r>
        <w:rPr>
          <w:color w:val="3B383A"/>
          <w:spacing w:val="-12"/>
          <w:w w:val="110"/>
          <w:sz w:val="23"/>
        </w:rPr>
        <w:t> </w:t>
      </w:r>
      <w:r>
        <w:rPr>
          <w:color w:val="3B383A"/>
          <w:w w:val="110"/>
          <w:sz w:val="23"/>
        </w:rPr>
        <w:t>information</w:t>
      </w:r>
      <w:r>
        <w:rPr>
          <w:color w:val="3B383A"/>
          <w:spacing w:val="16"/>
          <w:w w:val="110"/>
          <w:sz w:val="23"/>
        </w:rPr>
        <w:t> </w:t>
      </w:r>
      <w:r>
        <w:rPr>
          <w:color w:val="3B383A"/>
          <w:w w:val="110"/>
          <w:sz w:val="23"/>
        </w:rPr>
        <w:t>may</w:t>
      </w:r>
      <w:r>
        <w:rPr>
          <w:color w:val="3B383A"/>
          <w:spacing w:val="-20"/>
          <w:w w:val="110"/>
          <w:sz w:val="23"/>
        </w:rPr>
        <w:t> </w:t>
      </w:r>
      <w:r>
        <w:rPr>
          <w:color w:val="3B383A"/>
          <w:w w:val="110"/>
          <w:sz w:val="23"/>
        </w:rPr>
        <w:t>appear</w:t>
      </w:r>
      <w:r>
        <w:rPr>
          <w:color w:val="3B383A"/>
          <w:spacing w:val="-4"/>
          <w:w w:val="110"/>
          <w:sz w:val="23"/>
        </w:rPr>
        <w:t> </w:t>
      </w:r>
      <w:r>
        <w:rPr>
          <w:rFonts w:ascii="Arial"/>
          <w:i/>
          <w:color w:val="3B383A"/>
          <w:w w:val="110"/>
          <w:sz w:val="20"/>
        </w:rPr>
        <w:t>in</w:t>
      </w:r>
      <w:r>
        <w:rPr>
          <w:rFonts w:ascii="Arial"/>
          <w:i/>
          <w:color w:val="3B383A"/>
          <w:spacing w:val="48"/>
          <w:w w:val="110"/>
          <w:sz w:val="20"/>
        </w:rPr>
        <w:t> </w:t>
      </w:r>
      <w:r>
        <w:rPr>
          <w:color w:val="3B383A"/>
          <w:w w:val="110"/>
          <w:sz w:val="23"/>
        </w:rPr>
        <w:t>its table</w:t>
      </w:r>
      <w:r>
        <w:rPr>
          <w:color w:val="3B383A"/>
          <w:spacing w:val="-18"/>
          <w:w w:val="110"/>
          <w:sz w:val="23"/>
        </w:rPr>
        <w:t> </w:t>
      </w:r>
      <w:r>
        <w:rPr>
          <w:color w:val="3B383A"/>
          <w:w w:val="110"/>
          <w:sz w:val="23"/>
        </w:rPr>
        <w:t>of</w:t>
      </w:r>
      <w:r>
        <w:rPr>
          <w:color w:val="3B383A"/>
          <w:spacing w:val="10"/>
          <w:w w:val="110"/>
          <w:sz w:val="23"/>
        </w:rPr>
        <w:t> </w:t>
      </w:r>
      <w:r>
        <w:rPr>
          <w:color w:val="3B383A"/>
          <w:w w:val="110"/>
          <w:sz w:val="23"/>
        </w:rPr>
        <w:t>contents)</w:t>
      </w:r>
    </w:p>
    <w:p>
      <w:pPr>
        <w:pStyle w:val="ListParagraph"/>
        <w:numPr>
          <w:ilvl w:val="0"/>
          <w:numId w:val="27"/>
        </w:numPr>
        <w:tabs>
          <w:tab w:pos="2514" w:val="left" w:leader="none"/>
        </w:tabs>
        <w:spacing w:line="228" w:lineRule="auto" w:before="5" w:after="0"/>
        <w:ind w:left="2499" w:right="144" w:hanging="295"/>
        <w:jc w:val="both"/>
        <w:rPr>
          <w:color w:val="3B383A"/>
          <w:sz w:val="23"/>
        </w:rPr>
      </w:pPr>
      <w:r>
        <w:rPr>
          <w:color w:val="3B383A"/>
          <w:w w:val="110"/>
          <w:sz w:val="23"/>
        </w:rPr>
        <w:t>Page cites for evidence that establishes needed elements of the crime</w:t>
      </w:r>
      <w:r>
        <w:rPr>
          <w:color w:val="3B383A"/>
          <w:spacing w:val="1"/>
          <w:w w:val="110"/>
          <w:sz w:val="23"/>
        </w:rPr>
        <w:t> </w:t>
      </w:r>
      <w:r>
        <w:rPr>
          <w:color w:val="3B383A"/>
          <w:w w:val="110"/>
          <w:sz w:val="23"/>
        </w:rPr>
        <w:t>or</w:t>
      </w:r>
      <w:r>
        <w:rPr>
          <w:color w:val="3B383A"/>
          <w:spacing w:val="-11"/>
          <w:w w:val="110"/>
          <w:sz w:val="23"/>
        </w:rPr>
        <w:t> </w:t>
      </w:r>
      <w:r>
        <w:rPr>
          <w:color w:val="3B383A"/>
          <w:w w:val="110"/>
          <w:sz w:val="23"/>
        </w:rPr>
        <w:t>cause</w:t>
      </w:r>
      <w:r>
        <w:rPr>
          <w:color w:val="3B383A"/>
          <w:spacing w:val="-9"/>
          <w:w w:val="110"/>
          <w:sz w:val="23"/>
        </w:rPr>
        <w:t> </w:t>
      </w:r>
      <w:r>
        <w:rPr>
          <w:color w:val="3B383A"/>
          <w:w w:val="110"/>
          <w:sz w:val="23"/>
        </w:rPr>
        <w:t>of</w:t>
      </w:r>
      <w:r>
        <w:rPr>
          <w:color w:val="3B383A"/>
          <w:spacing w:val="-4"/>
          <w:w w:val="110"/>
          <w:sz w:val="23"/>
        </w:rPr>
        <w:t> </w:t>
      </w:r>
      <w:r>
        <w:rPr>
          <w:color w:val="3B383A"/>
          <w:w w:val="110"/>
          <w:sz w:val="23"/>
        </w:rPr>
        <w:t>action</w:t>
      </w:r>
    </w:p>
    <w:p>
      <w:pPr>
        <w:pStyle w:val="ListParagraph"/>
        <w:numPr>
          <w:ilvl w:val="0"/>
          <w:numId w:val="27"/>
        </w:numPr>
        <w:tabs>
          <w:tab w:pos="2494" w:val="left" w:leader="none"/>
        </w:tabs>
        <w:spacing w:line="262" w:lineRule="exact" w:before="7" w:after="0"/>
        <w:ind w:left="2493" w:right="0" w:hanging="314"/>
        <w:jc w:val="left"/>
        <w:rPr>
          <w:b/>
          <w:i/>
          <w:color w:val="3B383A"/>
          <w:sz w:val="23"/>
        </w:rPr>
      </w:pPr>
      <w:r>
        <w:rPr>
          <w:color w:val="3B383A"/>
          <w:w w:val="110"/>
          <w:sz w:val="23"/>
        </w:rPr>
        <w:t>Page</w:t>
      </w:r>
      <w:r>
        <w:rPr>
          <w:color w:val="3B383A"/>
          <w:spacing w:val="-18"/>
          <w:w w:val="110"/>
          <w:sz w:val="23"/>
        </w:rPr>
        <w:t> </w:t>
      </w:r>
      <w:r>
        <w:rPr>
          <w:color w:val="3B383A"/>
          <w:w w:val="110"/>
          <w:sz w:val="23"/>
        </w:rPr>
        <w:t>cites</w:t>
      </w:r>
      <w:r>
        <w:rPr>
          <w:color w:val="3B383A"/>
          <w:spacing w:val="-10"/>
          <w:w w:val="110"/>
          <w:sz w:val="23"/>
        </w:rPr>
        <w:t> </w:t>
      </w:r>
      <w:r>
        <w:rPr>
          <w:color w:val="3B383A"/>
          <w:w w:val="110"/>
          <w:sz w:val="23"/>
        </w:rPr>
        <w:t>for</w:t>
      </w:r>
      <w:r>
        <w:rPr>
          <w:color w:val="3B383A"/>
          <w:spacing w:val="-1"/>
          <w:w w:val="110"/>
          <w:sz w:val="23"/>
        </w:rPr>
        <w:t> </w:t>
      </w:r>
      <w:r>
        <w:rPr>
          <w:color w:val="3B383A"/>
          <w:w w:val="110"/>
          <w:sz w:val="23"/>
        </w:rPr>
        <w:t>findings</w:t>
      </w:r>
      <w:r>
        <w:rPr>
          <w:color w:val="3B383A"/>
          <w:spacing w:val="-5"/>
          <w:w w:val="110"/>
          <w:sz w:val="23"/>
        </w:rPr>
        <w:t> </w:t>
      </w:r>
      <w:r>
        <w:rPr>
          <w:color w:val="3B383A"/>
          <w:w w:val="110"/>
          <w:sz w:val="23"/>
        </w:rPr>
        <w:t>of</w:t>
      </w:r>
      <w:r>
        <w:rPr>
          <w:color w:val="3B383A"/>
          <w:spacing w:val="13"/>
          <w:w w:val="110"/>
          <w:sz w:val="23"/>
        </w:rPr>
        <w:t> </w:t>
      </w:r>
      <w:r>
        <w:rPr>
          <w:color w:val="3B383A"/>
          <w:w w:val="110"/>
          <w:sz w:val="23"/>
        </w:rPr>
        <w:t>fact</w:t>
      </w:r>
      <w:r>
        <w:rPr>
          <w:color w:val="3B383A"/>
          <w:spacing w:val="-8"/>
          <w:w w:val="110"/>
          <w:sz w:val="23"/>
        </w:rPr>
        <w:t> </w:t>
      </w:r>
      <w:r>
        <w:rPr>
          <w:color w:val="3B383A"/>
          <w:w w:val="110"/>
          <w:sz w:val="23"/>
        </w:rPr>
        <w:t>in</w:t>
      </w:r>
      <w:r>
        <w:rPr>
          <w:color w:val="3B383A"/>
          <w:spacing w:val="31"/>
          <w:w w:val="110"/>
          <w:sz w:val="23"/>
        </w:rPr>
        <w:t> </w:t>
      </w:r>
      <w:r>
        <w:rPr>
          <w:color w:val="3B383A"/>
          <w:w w:val="110"/>
          <w:sz w:val="23"/>
        </w:rPr>
        <w:t>the</w:t>
      </w:r>
      <w:r>
        <w:rPr>
          <w:color w:val="3B383A"/>
          <w:spacing w:val="22"/>
          <w:w w:val="110"/>
          <w:sz w:val="23"/>
        </w:rPr>
        <w:t> </w:t>
      </w:r>
      <w:r>
        <w:rPr>
          <w:color w:val="3B383A"/>
          <w:w w:val="110"/>
          <w:sz w:val="23"/>
        </w:rPr>
        <w:t>opinions</w:t>
      </w:r>
      <w:r>
        <w:rPr>
          <w:color w:val="3B383A"/>
          <w:spacing w:val="5"/>
          <w:w w:val="110"/>
          <w:sz w:val="23"/>
        </w:rPr>
        <w:t> </w:t>
      </w:r>
      <w:r>
        <w:rPr>
          <w:color w:val="3B383A"/>
          <w:w w:val="110"/>
          <w:sz w:val="23"/>
        </w:rPr>
        <w:t>below</w:t>
      </w:r>
    </w:p>
    <w:p>
      <w:pPr>
        <w:pStyle w:val="ListParagraph"/>
        <w:numPr>
          <w:ilvl w:val="0"/>
          <w:numId w:val="27"/>
        </w:numPr>
        <w:tabs>
          <w:tab w:pos="2485" w:val="left" w:leader="none"/>
        </w:tabs>
        <w:spacing w:line="260" w:lineRule="exact" w:before="0" w:after="0"/>
        <w:ind w:left="2484" w:right="0" w:hanging="316"/>
        <w:jc w:val="left"/>
        <w:rPr>
          <w:color w:val="3B383A"/>
          <w:sz w:val="23"/>
        </w:rPr>
      </w:pPr>
      <w:r>
        <w:rPr>
          <w:color w:val="3B383A"/>
          <w:w w:val="110"/>
          <w:sz w:val="23"/>
        </w:rPr>
        <w:t>Page</w:t>
      </w:r>
      <w:r>
        <w:rPr>
          <w:color w:val="3B383A"/>
          <w:spacing w:val="-17"/>
          <w:w w:val="110"/>
          <w:sz w:val="23"/>
        </w:rPr>
        <w:t> </w:t>
      </w:r>
      <w:r>
        <w:rPr>
          <w:color w:val="3B383A"/>
          <w:w w:val="110"/>
          <w:sz w:val="23"/>
        </w:rPr>
        <w:t>cites</w:t>
      </w:r>
      <w:r>
        <w:rPr>
          <w:color w:val="3B383A"/>
          <w:spacing w:val="-6"/>
          <w:w w:val="110"/>
          <w:sz w:val="23"/>
        </w:rPr>
        <w:t> </w:t>
      </w:r>
      <w:r>
        <w:rPr>
          <w:color w:val="3B383A"/>
          <w:w w:val="110"/>
          <w:sz w:val="23"/>
        </w:rPr>
        <w:t>for</w:t>
      </w:r>
      <w:r>
        <w:rPr>
          <w:color w:val="3B383A"/>
          <w:spacing w:val="-14"/>
          <w:w w:val="110"/>
          <w:sz w:val="23"/>
        </w:rPr>
        <w:t> </w:t>
      </w:r>
      <w:r>
        <w:rPr>
          <w:color w:val="3B383A"/>
          <w:w w:val="110"/>
          <w:sz w:val="23"/>
        </w:rPr>
        <w:t>legal</w:t>
      </w:r>
      <w:r>
        <w:rPr>
          <w:color w:val="3B383A"/>
          <w:spacing w:val="1"/>
          <w:w w:val="110"/>
          <w:sz w:val="23"/>
        </w:rPr>
        <w:t> </w:t>
      </w:r>
      <w:r>
        <w:rPr>
          <w:color w:val="3B383A"/>
          <w:w w:val="110"/>
          <w:sz w:val="23"/>
        </w:rPr>
        <w:t>findings</w:t>
      </w:r>
      <w:r>
        <w:rPr>
          <w:color w:val="3B383A"/>
          <w:spacing w:val="-1"/>
          <w:w w:val="110"/>
          <w:sz w:val="23"/>
        </w:rPr>
        <w:t> </w:t>
      </w:r>
      <w:r>
        <w:rPr>
          <w:color w:val="3B383A"/>
          <w:w w:val="110"/>
          <w:sz w:val="23"/>
        </w:rPr>
        <w:t>in</w:t>
      </w:r>
      <w:r>
        <w:rPr>
          <w:color w:val="3B383A"/>
          <w:spacing w:val="33"/>
          <w:w w:val="110"/>
          <w:sz w:val="23"/>
        </w:rPr>
        <w:t> </w:t>
      </w:r>
      <w:r>
        <w:rPr>
          <w:color w:val="3B383A"/>
          <w:w w:val="110"/>
          <w:sz w:val="23"/>
        </w:rPr>
        <w:t>the</w:t>
      </w:r>
      <w:r>
        <w:rPr>
          <w:color w:val="3B383A"/>
          <w:spacing w:val="21"/>
          <w:w w:val="110"/>
          <w:sz w:val="23"/>
        </w:rPr>
        <w:t> </w:t>
      </w:r>
      <w:r>
        <w:rPr>
          <w:color w:val="3B383A"/>
          <w:w w:val="110"/>
          <w:sz w:val="23"/>
        </w:rPr>
        <w:t>opinions</w:t>
      </w:r>
      <w:r>
        <w:rPr>
          <w:color w:val="3B383A"/>
          <w:spacing w:val="7"/>
          <w:w w:val="110"/>
          <w:sz w:val="23"/>
        </w:rPr>
        <w:t> </w:t>
      </w:r>
      <w:r>
        <w:rPr>
          <w:color w:val="3B383A"/>
          <w:w w:val="110"/>
          <w:sz w:val="23"/>
        </w:rPr>
        <w:t>below</w:t>
      </w:r>
    </w:p>
    <w:p>
      <w:pPr>
        <w:pStyle w:val="ListParagraph"/>
        <w:numPr>
          <w:ilvl w:val="0"/>
          <w:numId w:val="27"/>
        </w:numPr>
        <w:tabs>
          <w:tab w:pos="2475" w:val="left" w:leader="none"/>
        </w:tabs>
        <w:spacing w:line="260" w:lineRule="exact" w:before="0" w:after="0"/>
        <w:ind w:left="2474" w:right="0" w:hanging="305"/>
        <w:jc w:val="left"/>
        <w:rPr>
          <w:color w:val="3B383A"/>
          <w:sz w:val="23"/>
        </w:rPr>
      </w:pPr>
      <w:r>
        <w:rPr>
          <w:color w:val="3B383A"/>
          <w:w w:val="110"/>
          <w:sz w:val="23"/>
        </w:rPr>
        <w:t>Page</w:t>
      </w:r>
      <w:r>
        <w:rPr>
          <w:color w:val="3B383A"/>
          <w:spacing w:val="-6"/>
          <w:w w:val="110"/>
          <w:sz w:val="23"/>
        </w:rPr>
        <w:t> </w:t>
      </w:r>
      <w:r>
        <w:rPr>
          <w:color w:val="3B383A"/>
          <w:w w:val="110"/>
          <w:sz w:val="23"/>
        </w:rPr>
        <w:t>cites</w:t>
      </w:r>
      <w:r>
        <w:rPr>
          <w:color w:val="3B383A"/>
          <w:spacing w:val="-10"/>
          <w:w w:val="110"/>
          <w:sz w:val="23"/>
        </w:rPr>
        <w:t> </w:t>
      </w:r>
      <w:r>
        <w:rPr>
          <w:color w:val="3B383A"/>
          <w:w w:val="110"/>
          <w:sz w:val="23"/>
        </w:rPr>
        <w:t>for</w:t>
      </w:r>
      <w:r>
        <w:rPr>
          <w:color w:val="3B383A"/>
          <w:spacing w:val="-3"/>
          <w:w w:val="110"/>
          <w:sz w:val="23"/>
        </w:rPr>
        <w:t> </w:t>
      </w:r>
      <w:r>
        <w:rPr>
          <w:color w:val="3B383A"/>
          <w:w w:val="110"/>
          <w:sz w:val="23"/>
        </w:rPr>
        <w:t>major</w:t>
      </w:r>
      <w:r>
        <w:rPr>
          <w:color w:val="3B383A"/>
          <w:spacing w:val="7"/>
          <w:w w:val="110"/>
          <w:sz w:val="23"/>
        </w:rPr>
        <w:t> </w:t>
      </w:r>
      <w:r>
        <w:rPr>
          <w:color w:val="3B383A"/>
          <w:w w:val="110"/>
          <w:sz w:val="23"/>
        </w:rPr>
        <w:t>arguments</w:t>
      </w:r>
      <w:r>
        <w:rPr>
          <w:color w:val="3B383A"/>
          <w:spacing w:val="15"/>
          <w:w w:val="110"/>
          <w:sz w:val="23"/>
        </w:rPr>
        <w:t> </w:t>
      </w:r>
      <w:r>
        <w:rPr>
          <w:color w:val="3B383A"/>
          <w:w w:val="110"/>
          <w:sz w:val="23"/>
        </w:rPr>
        <w:t>that</w:t>
      </w:r>
      <w:r>
        <w:rPr>
          <w:color w:val="3B383A"/>
          <w:spacing w:val="2"/>
          <w:w w:val="110"/>
          <w:sz w:val="23"/>
        </w:rPr>
        <w:t> </w:t>
      </w:r>
      <w:r>
        <w:rPr>
          <w:color w:val="3B383A"/>
          <w:w w:val="110"/>
          <w:sz w:val="23"/>
        </w:rPr>
        <w:t>each</w:t>
      </w:r>
      <w:r>
        <w:rPr>
          <w:color w:val="3B383A"/>
          <w:spacing w:val="6"/>
          <w:w w:val="110"/>
          <w:sz w:val="23"/>
        </w:rPr>
        <w:t> </w:t>
      </w:r>
      <w:r>
        <w:rPr>
          <w:color w:val="3B383A"/>
          <w:w w:val="110"/>
          <w:sz w:val="23"/>
        </w:rPr>
        <w:t>side</w:t>
      </w:r>
      <w:r>
        <w:rPr>
          <w:color w:val="3B383A"/>
          <w:spacing w:val="1"/>
          <w:w w:val="110"/>
          <w:sz w:val="23"/>
        </w:rPr>
        <w:t> </w:t>
      </w:r>
      <w:r>
        <w:rPr>
          <w:color w:val="3B383A"/>
          <w:w w:val="110"/>
          <w:sz w:val="23"/>
        </w:rPr>
        <w:t>has</w:t>
      </w:r>
      <w:r>
        <w:rPr>
          <w:color w:val="3B383A"/>
          <w:spacing w:val="16"/>
          <w:w w:val="110"/>
          <w:sz w:val="23"/>
        </w:rPr>
        <w:t> </w:t>
      </w:r>
      <w:r>
        <w:rPr>
          <w:color w:val="3B383A"/>
          <w:w w:val="110"/>
          <w:sz w:val="23"/>
        </w:rPr>
        <w:t>made</w:t>
      </w:r>
      <w:r>
        <w:rPr>
          <w:color w:val="3B383A"/>
          <w:spacing w:val="6"/>
          <w:w w:val="110"/>
          <w:sz w:val="23"/>
        </w:rPr>
        <w:t> </w:t>
      </w:r>
      <w:r>
        <w:rPr>
          <w:color w:val="3B383A"/>
          <w:w w:val="110"/>
          <w:sz w:val="23"/>
        </w:rPr>
        <w:t>below</w:t>
      </w:r>
    </w:p>
    <w:p>
      <w:pPr>
        <w:pStyle w:val="ListParagraph"/>
        <w:numPr>
          <w:ilvl w:val="0"/>
          <w:numId w:val="27"/>
        </w:numPr>
        <w:tabs>
          <w:tab w:pos="2465" w:val="left" w:leader="none"/>
        </w:tabs>
        <w:spacing w:line="228" w:lineRule="auto" w:before="9" w:after="0"/>
        <w:ind w:left="2459" w:right="199" w:hanging="314"/>
        <w:jc w:val="left"/>
        <w:rPr>
          <w:color w:val="3B383A"/>
          <w:sz w:val="23"/>
        </w:rPr>
      </w:pPr>
      <w:r>
        <w:rPr>
          <w:color w:val="3B383A"/>
          <w:w w:val="110"/>
          <w:sz w:val="23"/>
        </w:rPr>
        <w:t>Page cites for concessions</w:t>
      </w:r>
      <w:r>
        <w:rPr>
          <w:color w:val="3B383A"/>
          <w:spacing w:val="1"/>
          <w:w w:val="110"/>
          <w:sz w:val="23"/>
        </w:rPr>
        <w:t> </w:t>
      </w:r>
      <w:r>
        <w:rPr>
          <w:color w:val="3B383A"/>
          <w:w w:val="110"/>
          <w:sz w:val="23"/>
        </w:rPr>
        <w:t>that</w:t>
      </w:r>
      <w:r>
        <w:rPr>
          <w:color w:val="3B383A"/>
          <w:spacing w:val="1"/>
          <w:w w:val="110"/>
          <w:sz w:val="23"/>
        </w:rPr>
        <w:t> </w:t>
      </w:r>
      <w:r>
        <w:rPr>
          <w:color w:val="3B383A"/>
          <w:w w:val="110"/>
          <w:sz w:val="23"/>
        </w:rPr>
        <w:t>either side</w:t>
      </w:r>
      <w:r>
        <w:rPr>
          <w:color w:val="3B383A"/>
          <w:spacing w:val="1"/>
          <w:w w:val="110"/>
          <w:sz w:val="23"/>
        </w:rPr>
        <w:t> </w:t>
      </w:r>
      <w:r>
        <w:rPr>
          <w:color w:val="3B383A"/>
          <w:w w:val="110"/>
          <w:sz w:val="23"/>
        </w:rPr>
        <w:t>has made</w:t>
      </w:r>
      <w:r>
        <w:rPr>
          <w:color w:val="3B383A"/>
          <w:spacing w:val="1"/>
          <w:w w:val="110"/>
          <w:sz w:val="23"/>
        </w:rPr>
        <w:t> </w:t>
      </w:r>
      <w:r>
        <w:rPr>
          <w:color w:val="3B383A"/>
          <w:w w:val="110"/>
          <w:sz w:val="23"/>
        </w:rPr>
        <w:t>below</w:t>
      </w:r>
      <w:r>
        <w:rPr>
          <w:color w:val="3B383A"/>
          <w:spacing w:val="1"/>
          <w:w w:val="110"/>
          <w:sz w:val="23"/>
        </w:rPr>
        <w:t> </w:t>
      </w:r>
      <w:r>
        <w:rPr>
          <w:color w:val="3B383A"/>
          <w:w w:val="110"/>
          <w:sz w:val="23"/>
        </w:rPr>
        <w:t>(e.g.,</w:t>
      </w:r>
      <w:r>
        <w:rPr>
          <w:color w:val="3B383A"/>
          <w:spacing w:val="1"/>
          <w:w w:val="110"/>
          <w:sz w:val="23"/>
        </w:rPr>
        <w:t> </w:t>
      </w:r>
      <w:r>
        <w:rPr>
          <w:color w:val="3B383A"/>
          <w:w w:val="110"/>
          <w:sz w:val="23"/>
        </w:rPr>
        <w:t>in</w:t>
      </w:r>
      <w:r>
        <w:rPr>
          <w:color w:val="3B383A"/>
          <w:spacing w:val="-61"/>
          <w:w w:val="110"/>
          <w:sz w:val="23"/>
        </w:rPr>
        <w:t> </w:t>
      </w:r>
      <w:r>
        <w:rPr>
          <w:color w:val="3B383A"/>
          <w:w w:val="110"/>
          <w:sz w:val="23"/>
        </w:rPr>
        <w:t>pleadings</w:t>
      </w:r>
      <w:r>
        <w:rPr>
          <w:color w:val="3B383A"/>
          <w:spacing w:val="-5"/>
          <w:w w:val="110"/>
          <w:sz w:val="23"/>
        </w:rPr>
        <w:t> </w:t>
      </w:r>
      <w:r>
        <w:rPr>
          <w:color w:val="3B383A"/>
          <w:w w:val="110"/>
          <w:sz w:val="23"/>
        </w:rPr>
        <w:t>or</w:t>
      </w:r>
      <w:r>
        <w:rPr>
          <w:color w:val="3B383A"/>
          <w:spacing w:val="-5"/>
          <w:w w:val="110"/>
          <w:sz w:val="23"/>
        </w:rPr>
        <w:t> </w:t>
      </w:r>
      <w:r>
        <w:rPr>
          <w:color w:val="3B383A"/>
          <w:w w:val="110"/>
          <w:sz w:val="23"/>
        </w:rPr>
        <w:t>in</w:t>
      </w:r>
      <w:r>
        <w:rPr>
          <w:color w:val="3B383A"/>
          <w:spacing w:val="13"/>
          <w:w w:val="110"/>
          <w:sz w:val="23"/>
        </w:rPr>
        <w:t> </w:t>
      </w:r>
      <w:r>
        <w:rPr>
          <w:color w:val="3B383A"/>
          <w:w w:val="110"/>
          <w:sz w:val="23"/>
        </w:rPr>
        <w:t>stipulations)</w:t>
      </w:r>
    </w:p>
    <w:p>
      <w:pPr>
        <w:pStyle w:val="ListParagraph"/>
        <w:numPr>
          <w:ilvl w:val="0"/>
          <w:numId w:val="27"/>
        </w:numPr>
        <w:tabs>
          <w:tab w:pos="2456" w:val="left" w:leader="none"/>
        </w:tabs>
        <w:spacing w:line="234" w:lineRule="exact" w:before="16" w:after="0"/>
        <w:ind w:left="2455" w:right="0" w:hanging="325"/>
        <w:jc w:val="left"/>
        <w:rPr>
          <w:color w:val="3B383A"/>
          <w:sz w:val="23"/>
        </w:rPr>
      </w:pPr>
      <w:r>
        <w:rPr>
          <w:color w:val="3B383A"/>
          <w:w w:val="110"/>
          <w:sz w:val="23"/>
        </w:rPr>
        <w:t>Page</w:t>
      </w:r>
      <w:r>
        <w:rPr>
          <w:color w:val="3B383A"/>
          <w:spacing w:val="-21"/>
          <w:w w:val="110"/>
          <w:sz w:val="23"/>
        </w:rPr>
        <w:t> </w:t>
      </w:r>
      <w:r>
        <w:rPr>
          <w:color w:val="3B383A"/>
          <w:w w:val="110"/>
          <w:sz w:val="23"/>
        </w:rPr>
        <w:t>cites</w:t>
      </w:r>
      <w:r>
        <w:rPr>
          <w:color w:val="3B383A"/>
          <w:spacing w:val="1"/>
          <w:w w:val="110"/>
          <w:sz w:val="23"/>
        </w:rPr>
        <w:t> </w:t>
      </w:r>
      <w:r>
        <w:rPr>
          <w:color w:val="3B383A"/>
          <w:w w:val="110"/>
          <w:sz w:val="23"/>
        </w:rPr>
        <w:t>for</w:t>
      </w:r>
      <w:r>
        <w:rPr>
          <w:color w:val="3B383A"/>
          <w:spacing w:val="-11"/>
          <w:w w:val="110"/>
          <w:sz w:val="23"/>
        </w:rPr>
        <w:t> </w:t>
      </w:r>
      <w:r>
        <w:rPr>
          <w:color w:val="3B383A"/>
          <w:w w:val="110"/>
          <w:sz w:val="23"/>
        </w:rPr>
        <w:t>information</w:t>
      </w:r>
      <w:r>
        <w:rPr>
          <w:color w:val="3B383A"/>
          <w:spacing w:val="25"/>
          <w:w w:val="110"/>
          <w:sz w:val="23"/>
        </w:rPr>
        <w:t> </w:t>
      </w:r>
      <w:r>
        <w:rPr>
          <w:color w:val="3B383A"/>
          <w:w w:val="110"/>
          <w:sz w:val="23"/>
        </w:rPr>
        <w:t>that</w:t>
      </w:r>
      <w:r>
        <w:rPr>
          <w:color w:val="3B383A"/>
          <w:spacing w:val="11"/>
          <w:w w:val="110"/>
          <w:sz w:val="23"/>
        </w:rPr>
        <w:t> </w:t>
      </w:r>
      <w:r>
        <w:rPr>
          <w:color w:val="3B383A"/>
          <w:w w:val="110"/>
          <w:sz w:val="23"/>
        </w:rPr>
        <w:t>maysupport</w:t>
      </w:r>
      <w:r>
        <w:rPr>
          <w:color w:val="3B383A"/>
          <w:spacing w:val="9"/>
          <w:w w:val="110"/>
          <w:sz w:val="23"/>
        </w:rPr>
        <w:t> </w:t>
      </w:r>
      <w:r>
        <w:rPr>
          <w:color w:val="3B383A"/>
          <w:w w:val="110"/>
          <w:sz w:val="23"/>
        </w:rPr>
        <w:t>any</w:t>
      </w:r>
      <w:r>
        <w:rPr>
          <w:color w:val="3B383A"/>
          <w:spacing w:val="23"/>
          <w:w w:val="110"/>
          <w:sz w:val="23"/>
        </w:rPr>
        <w:t> </w:t>
      </w:r>
      <w:r>
        <w:rPr>
          <w:color w:val="3B383A"/>
          <w:w w:val="110"/>
          <w:sz w:val="23"/>
        </w:rPr>
        <w:t>policy</w:t>
      </w:r>
      <w:r>
        <w:rPr>
          <w:color w:val="3B383A"/>
          <w:spacing w:val="-8"/>
          <w:w w:val="110"/>
          <w:sz w:val="23"/>
        </w:rPr>
        <w:t> </w:t>
      </w:r>
      <w:r>
        <w:rPr>
          <w:color w:val="3B383A"/>
          <w:w w:val="110"/>
          <w:sz w:val="23"/>
        </w:rPr>
        <w:t>arguments</w:t>
      </w:r>
      <w:r>
        <w:rPr>
          <w:color w:val="3B383A"/>
          <w:spacing w:val="18"/>
          <w:w w:val="110"/>
          <w:sz w:val="23"/>
        </w:rPr>
        <w:t> </w:t>
      </w:r>
      <w:r>
        <w:rPr>
          <w:color w:val="3B383A"/>
          <w:w w:val="110"/>
          <w:sz w:val="23"/>
        </w:rPr>
        <w:t>you</w:t>
      </w:r>
    </w:p>
    <w:p>
      <w:pPr>
        <w:pStyle w:val="BodyText"/>
        <w:tabs>
          <w:tab w:pos="2440" w:val="left" w:leader="none"/>
        </w:tabs>
        <w:spacing w:line="295" w:lineRule="exact"/>
        <w:ind w:left="71"/>
      </w:pPr>
      <w:r>
        <w:rPr>
          <w:color w:val="909395"/>
          <w:w w:val="115"/>
          <w:sz w:val="29"/>
        </w:rPr>
        <w:t>,</w:t>
        <w:tab/>
      </w:r>
      <w:r>
        <w:rPr>
          <w:color w:val="3B383A"/>
          <w:w w:val="115"/>
          <w:position w:val="2"/>
        </w:rPr>
        <w:t>plan</w:t>
      </w:r>
      <w:r>
        <w:rPr>
          <w:color w:val="3B383A"/>
          <w:spacing w:val="-11"/>
          <w:w w:val="115"/>
          <w:position w:val="2"/>
        </w:rPr>
        <w:t> </w:t>
      </w:r>
      <w:r>
        <w:rPr>
          <w:color w:val="3B383A"/>
          <w:w w:val="115"/>
          <w:position w:val="2"/>
        </w:rPr>
        <w:t>to</w:t>
      </w:r>
      <w:r>
        <w:rPr>
          <w:color w:val="3B383A"/>
          <w:spacing w:val="12"/>
          <w:w w:val="115"/>
          <w:position w:val="2"/>
        </w:rPr>
        <w:t> </w:t>
      </w:r>
      <w:r>
        <w:rPr>
          <w:color w:val="3B383A"/>
          <w:w w:val="115"/>
          <w:position w:val="2"/>
        </w:rPr>
        <w:t>make</w:t>
      </w:r>
    </w:p>
    <w:p>
      <w:pPr>
        <w:pStyle w:val="ListParagraph"/>
        <w:numPr>
          <w:ilvl w:val="0"/>
          <w:numId w:val="27"/>
        </w:numPr>
        <w:tabs>
          <w:tab w:pos="2427" w:val="left" w:leader="none"/>
        </w:tabs>
        <w:spacing w:line="225" w:lineRule="auto" w:before="5" w:after="0"/>
        <w:ind w:left="2409" w:right="202" w:hanging="402"/>
        <w:jc w:val="left"/>
        <w:rPr>
          <w:color w:val="3B383A"/>
          <w:sz w:val="23"/>
        </w:rPr>
      </w:pPr>
      <w:r>
        <w:rPr>
          <w:color w:val="3B383A"/>
          <w:w w:val="110"/>
          <w:sz w:val="23"/>
        </w:rPr>
        <w:t>Page cites for any information</w:t>
      </w:r>
      <w:r>
        <w:rPr>
          <w:color w:val="3B383A"/>
          <w:spacing w:val="1"/>
          <w:w w:val="110"/>
          <w:sz w:val="23"/>
        </w:rPr>
        <w:t> </w:t>
      </w:r>
      <w:r>
        <w:rPr>
          <w:color w:val="3B383A"/>
          <w:w w:val="110"/>
          <w:sz w:val="23"/>
        </w:rPr>
        <w:t>you think is important, even if you</w:t>
      </w:r>
      <w:r>
        <w:rPr>
          <w:color w:val="3B383A"/>
          <w:spacing w:val="1"/>
          <w:w w:val="110"/>
          <w:sz w:val="23"/>
        </w:rPr>
        <w:t> </w:t>
      </w:r>
      <w:r>
        <w:rPr>
          <w:color w:val="3B383A"/>
          <w:w w:val="110"/>
          <w:sz w:val="23"/>
        </w:rPr>
        <w:t>are</w:t>
      </w:r>
      <w:r>
        <w:rPr>
          <w:color w:val="3B383A"/>
          <w:spacing w:val="-61"/>
          <w:w w:val="110"/>
          <w:sz w:val="23"/>
        </w:rPr>
        <w:t> </w:t>
      </w:r>
      <w:r>
        <w:rPr>
          <w:color w:val="3B383A"/>
          <w:w w:val="110"/>
          <w:sz w:val="23"/>
        </w:rPr>
        <w:t>not</w:t>
      </w:r>
      <w:r>
        <w:rPr>
          <w:color w:val="3B383A"/>
          <w:spacing w:val="44"/>
          <w:w w:val="110"/>
          <w:sz w:val="23"/>
        </w:rPr>
        <w:t> </w:t>
      </w:r>
      <w:r>
        <w:rPr>
          <w:color w:val="3B383A"/>
          <w:w w:val="110"/>
          <w:sz w:val="23"/>
        </w:rPr>
        <w:t>yet</w:t>
      </w:r>
      <w:r>
        <w:rPr>
          <w:color w:val="3B383A"/>
          <w:spacing w:val="8"/>
          <w:w w:val="110"/>
          <w:sz w:val="23"/>
        </w:rPr>
        <w:t> </w:t>
      </w:r>
      <w:r>
        <w:rPr>
          <w:color w:val="3B383A"/>
          <w:w w:val="110"/>
          <w:sz w:val="23"/>
        </w:rPr>
        <w:t>sure</w:t>
      </w:r>
      <w:r>
        <w:rPr>
          <w:color w:val="3B383A"/>
          <w:spacing w:val="-16"/>
          <w:w w:val="110"/>
          <w:sz w:val="23"/>
        </w:rPr>
        <w:t> </w:t>
      </w:r>
      <w:r>
        <w:rPr>
          <w:color w:val="3B383A"/>
          <w:w w:val="110"/>
          <w:sz w:val="23"/>
        </w:rPr>
        <w:t>why</w:t>
      </w:r>
      <w:r>
        <w:rPr>
          <w:color w:val="3B383A"/>
          <w:spacing w:val="-9"/>
          <w:w w:val="110"/>
          <w:sz w:val="23"/>
        </w:rPr>
        <w:t> </w:t>
      </w:r>
      <w:r>
        <w:rPr>
          <w:color w:val="3B383A"/>
          <w:w w:val="110"/>
          <w:sz w:val="23"/>
        </w:rPr>
        <w:t>it</w:t>
      </w:r>
      <w:r>
        <w:rPr>
          <w:color w:val="3B383A"/>
          <w:spacing w:val="1"/>
          <w:w w:val="110"/>
          <w:sz w:val="23"/>
        </w:rPr>
        <w:t> </w:t>
      </w:r>
      <w:r>
        <w:rPr>
          <w:color w:val="3B383A"/>
          <w:w w:val="110"/>
          <w:sz w:val="23"/>
        </w:rPr>
        <w:t>is</w:t>
      </w:r>
      <w:r>
        <w:rPr>
          <w:color w:val="3B383A"/>
          <w:spacing w:val="-20"/>
          <w:w w:val="110"/>
          <w:sz w:val="23"/>
        </w:rPr>
        <w:t> </w:t>
      </w:r>
      <w:r>
        <w:rPr>
          <w:color w:val="3B383A"/>
          <w:w w:val="110"/>
          <w:sz w:val="23"/>
        </w:rPr>
        <w:t>important</w:t>
      </w:r>
      <w:r>
        <w:rPr>
          <w:rFonts w:ascii="Arial"/>
          <w:color w:val="3B383A"/>
          <w:w w:val="110"/>
          <w:sz w:val="23"/>
          <w:vertAlign w:val="superscript"/>
        </w:rPr>
        <w:t>3</w:t>
      </w:r>
    </w:p>
    <w:p>
      <w:pPr>
        <w:spacing w:line="242" w:lineRule="auto" w:before="134"/>
        <w:ind w:left="1929" w:right="207" w:firstLine="45"/>
        <w:jc w:val="both"/>
        <w:rPr>
          <w:sz w:val="23"/>
        </w:rPr>
      </w:pPr>
      <w:r>
        <w:rPr>
          <w:color w:val="3B383A"/>
          <w:w w:val="110"/>
          <w:sz w:val="23"/>
        </w:rPr>
        <w:t>A section of an abstract of the joint appendix </w:t>
      </w:r>
      <w:r>
        <w:rPr>
          <w:i/>
          <w:color w:val="3B383A"/>
          <w:w w:val="110"/>
          <w:sz w:val="23"/>
        </w:rPr>
        <w:t>in </w:t>
      </w:r>
      <w:r>
        <w:rPr>
          <w:color w:val="3B383A"/>
          <w:w w:val="110"/>
          <w:sz w:val="23"/>
        </w:rPr>
        <w:t>the case of </w:t>
      </w:r>
      <w:r>
        <w:rPr>
          <w:i/>
          <w:color w:val="3B383A"/>
          <w:w w:val="110"/>
          <w:sz w:val="23"/>
        </w:rPr>
        <w:t>Adolph Coors</w:t>
      </w:r>
      <w:r>
        <w:rPr>
          <w:i/>
          <w:color w:val="3B383A"/>
          <w:spacing w:val="1"/>
          <w:w w:val="110"/>
          <w:sz w:val="23"/>
        </w:rPr>
        <w:t> </w:t>
      </w:r>
      <w:r>
        <w:rPr>
          <w:i/>
          <w:color w:val="3B383A"/>
          <w:spacing w:val="-1"/>
          <w:w w:val="110"/>
          <w:sz w:val="23"/>
        </w:rPr>
        <w:t>Co. </w:t>
      </w:r>
      <w:r>
        <w:rPr>
          <w:i/>
          <w:color w:val="3B383A"/>
          <w:w w:val="110"/>
          <w:sz w:val="23"/>
        </w:rPr>
        <w:t>v. Bentsen </w:t>
      </w:r>
      <w:r>
        <w:rPr>
          <w:color w:val="3B383A"/>
          <w:w w:val="110"/>
          <w:sz w:val="23"/>
        </w:rPr>
        <w:t>(later decided as </w:t>
      </w:r>
      <w:r>
        <w:rPr>
          <w:i/>
          <w:color w:val="3B383A"/>
          <w:w w:val="110"/>
          <w:sz w:val="23"/>
        </w:rPr>
        <w:t>Rubin v. Coors Brewing Co., </w:t>
      </w:r>
      <w:r>
        <w:rPr>
          <w:color w:val="3B383A"/>
          <w:w w:val="110"/>
          <w:sz w:val="23"/>
        </w:rPr>
        <w:t>514 U.S. 476</w:t>
      </w:r>
      <w:r>
        <w:rPr>
          <w:color w:val="3B383A"/>
          <w:spacing w:val="1"/>
          <w:w w:val="110"/>
          <w:sz w:val="23"/>
        </w:rPr>
        <w:t> </w:t>
      </w:r>
      <w:r>
        <w:rPr>
          <w:color w:val="3B383A"/>
          <w:w w:val="110"/>
          <w:sz w:val="23"/>
        </w:rPr>
        <w:t>(1995)) might look like the example that follows. In that case, counsel for</w:t>
      </w:r>
      <w:r>
        <w:rPr>
          <w:color w:val="3B383A"/>
          <w:spacing w:val="1"/>
          <w:w w:val="110"/>
          <w:sz w:val="23"/>
        </w:rPr>
        <w:t> </w:t>
      </w:r>
      <w:r>
        <w:rPr>
          <w:color w:val="3B383A"/>
          <w:w w:val="110"/>
          <w:sz w:val="23"/>
        </w:rPr>
        <w:t>Coors</w:t>
      </w:r>
      <w:r>
        <w:rPr>
          <w:color w:val="3B383A"/>
          <w:spacing w:val="23"/>
          <w:w w:val="110"/>
          <w:sz w:val="23"/>
        </w:rPr>
        <w:t> </w:t>
      </w:r>
      <w:r>
        <w:rPr>
          <w:color w:val="3B383A"/>
          <w:w w:val="110"/>
          <w:sz w:val="23"/>
        </w:rPr>
        <w:t>was</w:t>
      </w:r>
      <w:r>
        <w:rPr>
          <w:color w:val="3B383A"/>
          <w:spacing w:val="-2"/>
          <w:w w:val="110"/>
          <w:sz w:val="23"/>
        </w:rPr>
        <w:t> </w:t>
      </w:r>
      <w:r>
        <w:rPr>
          <w:color w:val="3B383A"/>
          <w:w w:val="110"/>
          <w:sz w:val="23"/>
        </w:rPr>
        <w:t>arguing</w:t>
      </w:r>
      <w:r>
        <w:rPr>
          <w:color w:val="3B383A"/>
          <w:spacing w:val="13"/>
          <w:w w:val="110"/>
          <w:sz w:val="23"/>
        </w:rPr>
        <w:t> </w:t>
      </w:r>
      <w:r>
        <w:rPr>
          <w:color w:val="3B383A"/>
          <w:w w:val="110"/>
          <w:sz w:val="23"/>
        </w:rPr>
        <w:t>that</w:t>
      </w:r>
      <w:r>
        <w:rPr>
          <w:color w:val="3B383A"/>
          <w:spacing w:val="16"/>
          <w:w w:val="110"/>
          <w:sz w:val="23"/>
        </w:rPr>
        <w:t> </w:t>
      </w:r>
      <w:r>
        <w:rPr>
          <w:color w:val="3B383A"/>
          <w:w w:val="110"/>
          <w:sz w:val="23"/>
        </w:rPr>
        <w:t>the</w:t>
      </w:r>
      <w:r>
        <w:rPr>
          <w:color w:val="3B383A"/>
          <w:spacing w:val="4"/>
          <w:w w:val="110"/>
          <w:sz w:val="23"/>
        </w:rPr>
        <w:t> </w:t>
      </w:r>
      <w:r>
        <w:rPr>
          <w:color w:val="3B383A"/>
          <w:w w:val="110"/>
          <w:sz w:val="23"/>
        </w:rPr>
        <w:t>First</w:t>
      </w:r>
      <w:r>
        <w:rPr>
          <w:color w:val="3B383A"/>
          <w:spacing w:val="4"/>
          <w:w w:val="110"/>
          <w:sz w:val="23"/>
        </w:rPr>
        <w:t> </w:t>
      </w:r>
      <w:r>
        <w:rPr>
          <w:color w:val="3B383A"/>
          <w:w w:val="110"/>
          <w:sz w:val="23"/>
        </w:rPr>
        <w:t>Amendment</w:t>
      </w:r>
      <w:r>
        <w:rPr>
          <w:color w:val="3B383A"/>
          <w:spacing w:val="29"/>
          <w:w w:val="110"/>
          <w:sz w:val="23"/>
        </w:rPr>
        <w:t> </w:t>
      </w:r>
      <w:r>
        <w:rPr>
          <w:color w:val="3B383A"/>
          <w:w w:val="110"/>
          <w:sz w:val="23"/>
        </w:rPr>
        <w:t>allowed</w:t>
      </w:r>
      <w:r>
        <w:rPr>
          <w:color w:val="3B383A"/>
          <w:spacing w:val="38"/>
          <w:w w:val="110"/>
          <w:sz w:val="23"/>
        </w:rPr>
        <w:t> </w:t>
      </w:r>
      <w:r>
        <w:rPr>
          <w:color w:val="3B383A"/>
          <w:w w:val="110"/>
          <w:sz w:val="23"/>
        </w:rPr>
        <w:t>beer</w:t>
      </w:r>
      <w:r>
        <w:rPr>
          <w:color w:val="3B383A"/>
          <w:spacing w:val="3"/>
          <w:w w:val="110"/>
          <w:sz w:val="23"/>
        </w:rPr>
        <w:t> </w:t>
      </w:r>
      <w:r>
        <w:rPr>
          <w:color w:val="3B383A"/>
          <w:w w:val="110"/>
          <w:sz w:val="23"/>
        </w:rPr>
        <w:t>manufacturers</w:t>
      </w:r>
    </w:p>
    <w:p>
      <w:pPr>
        <w:pStyle w:val="BodyText"/>
        <w:spacing w:before="3"/>
        <w:rPr>
          <w:sz w:val="33"/>
        </w:rPr>
      </w:pPr>
    </w:p>
    <w:p>
      <w:pPr>
        <w:spacing w:line="201" w:lineRule="auto" w:before="0"/>
        <w:ind w:left="1874" w:right="0" w:firstLine="406"/>
        <w:jc w:val="left"/>
        <w:rPr>
          <w:sz w:val="18"/>
        </w:rPr>
      </w:pPr>
      <w:r>
        <w:rPr>
          <w:rFonts w:ascii="Arial" w:hAnsi="Arial"/>
          <w:color w:val="3B383A"/>
          <w:w w:val="105"/>
          <w:sz w:val="16"/>
          <w:vertAlign w:val="superscript"/>
        </w:rPr>
        <w:t>3</w:t>
      </w:r>
      <w:r>
        <w:rPr>
          <w:rFonts w:ascii="Arial" w:hAnsi="Arial"/>
          <w:i/>
          <w:color w:val="3B383A"/>
          <w:w w:val="105"/>
          <w:sz w:val="16"/>
          <w:vertAlign w:val="baseline"/>
        </w:rPr>
        <w:t>See </w:t>
      </w:r>
      <w:r>
        <w:rPr>
          <w:color w:val="3B383A"/>
          <w:w w:val="105"/>
          <w:sz w:val="18"/>
          <w:vertAlign w:val="baseline"/>
        </w:rPr>
        <w:t>Michael </w:t>
      </w:r>
      <w:r>
        <w:rPr>
          <w:rFonts w:ascii="Arial" w:hAnsi="Arial"/>
          <w:color w:val="3B383A"/>
          <w:w w:val="105"/>
          <w:sz w:val="17"/>
          <w:vertAlign w:val="baseline"/>
        </w:rPr>
        <w:t>R. </w:t>
      </w:r>
      <w:r>
        <w:rPr>
          <w:color w:val="3B383A"/>
          <w:w w:val="105"/>
          <w:sz w:val="18"/>
          <w:vertAlign w:val="baseline"/>
        </w:rPr>
        <w:t>Fontham,</w:t>
      </w:r>
      <w:r>
        <w:rPr>
          <w:color w:val="3B383A"/>
          <w:spacing w:val="1"/>
          <w:w w:val="105"/>
          <w:sz w:val="18"/>
          <w:vertAlign w:val="baseline"/>
        </w:rPr>
        <w:t> </w:t>
      </w:r>
      <w:r>
        <w:rPr>
          <w:color w:val="3B383A"/>
          <w:w w:val="105"/>
          <w:sz w:val="18"/>
          <w:vertAlign w:val="baseline"/>
        </w:rPr>
        <w:t>Michael</w:t>
      </w:r>
      <w:r>
        <w:rPr>
          <w:color w:val="3B383A"/>
          <w:spacing w:val="1"/>
          <w:w w:val="105"/>
          <w:sz w:val="18"/>
          <w:vertAlign w:val="baseline"/>
        </w:rPr>
        <w:t> </w:t>
      </w:r>
      <w:r>
        <w:rPr>
          <w:color w:val="3B383A"/>
          <w:w w:val="105"/>
          <w:sz w:val="18"/>
          <w:vertAlign w:val="baseline"/>
        </w:rPr>
        <w:t>Vitiello</w:t>
      </w:r>
      <w:r>
        <w:rPr>
          <w:color w:val="3B383A"/>
          <w:spacing w:val="1"/>
          <w:w w:val="105"/>
          <w:sz w:val="18"/>
          <w:vertAlign w:val="baseline"/>
        </w:rPr>
        <w:t> </w:t>
      </w:r>
      <w:r>
        <w:rPr>
          <w:color w:val="3B383A"/>
          <w:w w:val="105"/>
          <w:sz w:val="18"/>
          <w:vertAlign w:val="baseline"/>
        </w:rPr>
        <w:t>&amp;</w:t>
      </w:r>
      <w:r>
        <w:rPr>
          <w:color w:val="3B383A"/>
          <w:spacing w:val="1"/>
          <w:w w:val="105"/>
          <w:sz w:val="18"/>
          <w:vertAlign w:val="baseline"/>
        </w:rPr>
        <w:t> </w:t>
      </w:r>
      <w:r>
        <w:rPr>
          <w:color w:val="3B383A"/>
          <w:w w:val="105"/>
          <w:sz w:val="18"/>
          <w:vertAlign w:val="baseline"/>
        </w:rPr>
        <w:t>David</w:t>
      </w:r>
      <w:r>
        <w:rPr>
          <w:color w:val="3B383A"/>
          <w:spacing w:val="1"/>
          <w:w w:val="105"/>
          <w:sz w:val="18"/>
          <w:vertAlign w:val="baseline"/>
        </w:rPr>
        <w:t> </w:t>
      </w:r>
      <w:r>
        <w:rPr>
          <w:rFonts w:ascii="Arial" w:hAnsi="Arial"/>
          <w:color w:val="3B383A"/>
          <w:w w:val="105"/>
          <w:sz w:val="24"/>
          <w:vertAlign w:val="baseline"/>
        </w:rPr>
        <w:t>w. </w:t>
      </w:r>
      <w:r>
        <w:rPr>
          <w:color w:val="3B383A"/>
          <w:w w:val="105"/>
          <w:sz w:val="18"/>
          <w:vertAlign w:val="baseline"/>
        </w:rPr>
        <w:t>Mlller</w:t>
      </w:r>
      <w:r>
        <w:rPr>
          <w:color w:val="3B383A"/>
          <w:spacing w:val="1"/>
          <w:w w:val="105"/>
          <w:sz w:val="18"/>
          <w:vertAlign w:val="baseline"/>
        </w:rPr>
        <w:t> </w:t>
      </w:r>
      <w:r>
        <w:rPr>
          <w:rFonts w:ascii="Arial" w:hAnsi="Arial"/>
          <w:i/>
          <w:color w:val="3B383A"/>
          <w:w w:val="105"/>
          <w:sz w:val="16"/>
          <w:vertAlign w:val="baseline"/>
        </w:rPr>
        <w:t>Persuasive Written and oral</w:t>
      </w:r>
      <w:r>
        <w:rPr>
          <w:rFonts w:ascii="Arial" w:hAnsi="Arial"/>
          <w:i/>
          <w:color w:val="3B383A"/>
          <w:spacing w:val="-44"/>
          <w:w w:val="105"/>
          <w:sz w:val="16"/>
          <w:vertAlign w:val="baseline"/>
        </w:rPr>
        <w:t> </w:t>
      </w:r>
      <w:r>
        <w:rPr>
          <w:rFonts w:ascii="Arial" w:hAnsi="Arial"/>
          <w:i/>
          <w:color w:val="3B383A"/>
          <w:w w:val="105"/>
          <w:sz w:val="16"/>
          <w:vertAlign w:val="baseline"/>
        </w:rPr>
        <w:t>Advocacy</w:t>
      </w:r>
      <w:r>
        <w:rPr>
          <w:rFonts w:ascii="Arial" w:hAnsi="Arial"/>
          <w:i/>
          <w:color w:val="3B383A"/>
          <w:spacing w:val="2"/>
          <w:w w:val="105"/>
          <w:sz w:val="16"/>
          <w:vertAlign w:val="baseline"/>
        </w:rPr>
        <w:t> </w:t>
      </w:r>
      <w:r>
        <w:rPr>
          <w:rFonts w:ascii="Arial" w:hAnsi="Arial"/>
          <w:i/>
          <w:color w:val="3B383A"/>
          <w:w w:val="105"/>
          <w:sz w:val="16"/>
          <w:vertAlign w:val="baseline"/>
        </w:rPr>
        <w:t>in</w:t>
      </w:r>
      <w:r>
        <w:rPr>
          <w:rFonts w:ascii="Arial" w:hAnsi="Arial"/>
          <w:i/>
          <w:color w:val="3B383A"/>
          <w:spacing w:val="16"/>
          <w:w w:val="105"/>
          <w:sz w:val="16"/>
          <w:vertAlign w:val="baseline"/>
        </w:rPr>
        <w:t> </w:t>
      </w:r>
      <w:r>
        <w:rPr>
          <w:rFonts w:ascii="Arial" w:hAnsi="Arial"/>
          <w:i/>
          <w:color w:val="3B383A"/>
          <w:w w:val="105"/>
          <w:sz w:val="16"/>
          <w:vertAlign w:val="baseline"/>
        </w:rPr>
        <w:t>Trial</w:t>
      </w:r>
      <w:r>
        <w:rPr>
          <w:rFonts w:ascii="Arial" w:hAnsi="Arial"/>
          <w:i/>
          <w:color w:val="3B383A"/>
          <w:spacing w:val="-11"/>
          <w:w w:val="105"/>
          <w:sz w:val="16"/>
          <w:vertAlign w:val="baseline"/>
        </w:rPr>
        <w:t> </w:t>
      </w:r>
      <w:r>
        <w:rPr>
          <w:rFonts w:ascii="Arial" w:hAnsi="Arial"/>
          <w:i/>
          <w:color w:val="3B383A"/>
          <w:w w:val="105"/>
          <w:sz w:val="16"/>
          <w:vertAlign w:val="baseline"/>
        </w:rPr>
        <w:t>andAppellate</w:t>
      </w:r>
      <w:r>
        <w:rPr>
          <w:rFonts w:ascii="Arial" w:hAnsi="Arial"/>
          <w:i/>
          <w:color w:val="3B383A"/>
          <w:spacing w:val="-19"/>
          <w:w w:val="105"/>
          <w:sz w:val="16"/>
          <w:vertAlign w:val="baseline"/>
        </w:rPr>
        <w:t> </w:t>
      </w:r>
      <w:r>
        <w:rPr>
          <w:i/>
          <w:color w:val="3B383A"/>
          <w:w w:val="105"/>
          <w:sz w:val="19"/>
          <w:vertAlign w:val="baseline"/>
        </w:rPr>
        <w:t>Courts</w:t>
      </w:r>
      <w:r>
        <w:rPr>
          <w:i/>
          <w:color w:val="3B383A"/>
          <w:spacing w:val="-27"/>
          <w:w w:val="105"/>
          <w:sz w:val="19"/>
          <w:vertAlign w:val="baseline"/>
        </w:rPr>
        <w:t> </w:t>
      </w:r>
      <w:r>
        <w:rPr>
          <w:color w:val="3B383A"/>
          <w:w w:val="105"/>
          <w:sz w:val="18"/>
          <w:vertAlign w:val="baseline"/>
        </w:rPr>
        <w:t>§§11.6,</w:t>
      </w:r>
      <w:r>
        <w:rPr>
          <w:color w:val="3B383A"/>
          <w:spacing w:val="4"/>
          <w:w w:val="105"/>
          <w:sz w:val="18"/>
          <w:vertAlign w:val="baseline"/>
        </w:rPr>
        <w:t> </w:t>
      </w:r>
      <w:r>
        <w:rPr>
          <w:color w:val="3B383A"/>
          <w:w w:val="105"/>
          <w:sz w:val="18"/>
          <w:vertAlign w:val="baseline"/>
        </w:rPr>
        <w:t>11.7</w:t>
      </w:r>
      <w:r>
        <w:rPr>
          <w:color w:val="3B383A"/>
          <w:spacing w:val="-10"/>
          <w:w w:val="105"/>
          <w:sz w:val="18"/>
          <w:vertAlign w:val="baseline"/>
        </w:rPr>
        <w:t> </w:t>
      </w:r>
      <w:r>
        <w:rPr>
          <w:color w:val="3B383A"/>
          <w:w w:val="105"/>
          <w:sz w:val="18"/>
          <w:vertAlign w:val="baseline"/>
        </w:rPr>
        <w:t>(2d</w:t>
      </w:r>
      <w:r>
        <w:rPr>
          <w:color w:val="3B383A"/>
          <w:spacing w:val="-18"/>
          <w:w w:val="105"/>
          <w:sz w:val="18"/>
          <w:vertAlign w:val="baseline"/>
        </w:rPr>
        <w:t> </w:t>
      </w:r>
      <w:r>
        <w:rPr>
          <w:color w:val="3B383A"/>
          <w:w w:val="105"/>
          <w:sz w:val="18"/>
          <w:vertAlign w:val="baseline"/>
        </w:rPr>
        <w:t>ed.,</w:t>
      </w:r>
      <w:r>
        <w:rPr>
          <w:color w:val="3B383A"/>
          <w:spacing w:val="-5"/>
          <w:w w:val="105"/>
          <w:sz w:val="18"/>
          <w:vertAlign w:val="baseline"/>
        </w:rPr>
        <w:t> </w:t>
      </w:r>
      <w:r>
        <w:rPr>
          <w:color w:val="3B383A"/>
          <w:w w:val="105"/>
          <w:sz w:val="18"/>
          <w:vertAlign w:val="baseline"/>
        </w:rPr>
        <w:t>Aspen200</w:t>
      </w:r>
      <w:r>
        <w:rPr>
          <w:color w:val="565657"/>
          <w:w w:val="105"/>
          <w:sz w:val="18"/>
          <w:vertAlign w:val="baseline"/>
        </w:rPr>
        <w:t>7</w:t>
      </w:r>
      <w:r>
        <w:rPr>
          <w:color w:val="3B383A"/>
          <w:w w:val="105"/>
          <w:sz w:val="18"/>
          <w:vertAlign w:val="baseline"/>
        </w:rPr>
        <w:t>).</w:t>
      </w:r>
    </w:p>
    <w:p>
      <w:pPr>
        <w:spacing w:after="0" w:line="201" w:lineRule="auto"/>
        <w:jc w:val="left"/>
        <w:rPr>
          <w:sz w:val="18"/>
        </w:rPr>
        <w:sectPr>
          <w:headerReference w:type="even" r:id="rId62"/>
          <w:headerReference w:type="default" r:id="rId63"/>
          <w:pgSz w:w="9830" w:h="13790"/>
          <w:pgMar w:header="453" w:footer="0" w:top="640" w:bottom="0" w:left="0" w:right="40"/>
          <w:pgNumType w:start="38"/>
        </w:sectPr>
      </w:pPr>
    </w:p>
    <w:p>
      <w:pPr>
        <w:pStyle w:val="BodyText"/>
        <w:spacing w:line="232" w:lineRule="auto" w:before="87"/>
        <w:ind w:left="128" w:right="317"/>
        <w:jc w:val="both"/>
      </w:pPr>
      <w:r>
        <w:rPr>
          <w:color w:val="3A3838"/>
          <w:w w:val="115"/>
        </w:rPr>
        <w:t>to print on beer labels the percentage of alcohol in the beer and that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therefore the prohibition-era regulation that forbade this information was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unconstitutional. The joint appendix was over 350 pages long, and it con­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tained excerpts of various depositions as well as photographic reproduc­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tions</w:t>
      </w:r>
      <w:r>
        <w:rPr>
          <w:color w:val="3A3838"/>
          <w:spacing w:val="-13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several</w:t>
      </w:r>
      <w:r>
        <w:rPr>
          <w:color w:val="3A3838"/>
          <w:spacing w:val="-2"/>
          <w:w w:val="110"/>
        </w:rPr>
        <w:t> </w:t>
      </w:r>
      <w:r>
        <w:rPr>
          <w:color w:val="3A3838"/>
          <w:w w:val="110"/>
        </w:rPr>
        <w:t>trial</w:t>
      </w:r>
      <w:r>
        <w:rPr>
          <w:color w:val="3A3838"/>
          <w:spacing w:val="-21"/>
          <w:w w:val="110"/>
        </w:rPr>
        <w:t> </w:t>
      </w:r>
      <w:r>
        <w:rPr>
          <w:color w:val="3A3838"/>
          <w:w w:val="110"/>
        </w:rPr>
        <w:t>exhibits.</w:t>
      </w:r>
    </w:p>
    <w:p>
      <w:pPr>
        <w:pStyle w:val="BodyText"/>
        <w:spacing w:line="232" w:lineRule="auto" w:before="8"/>
        <w:ind w:left="113" w:right="262" w:firstLine="378"/>
        <w:jc w:val="both"/>
      </w:pPr>
      <w:r>
        <w:rPr>
          <w:color w:val="3A3838"/>
          <w:w w:val="115"/>
        </w:rPr>
        <w:t>In the excerpts below (from two different parts of the abstract), the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attorney has recorded the page number from the joint appendix in the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left-hand column. In the right-hand column, the attorney has described</w:t>
      </w:r>
      <w:r>
        <w:rPr>
          <w:color w:val="3A3838"/>
          <w:spacing w:val="1"/>
          <w:w w:val="115"/>
        </w:rPr>
        <w:t> </w:t>
      </w:r>
      <w:r>
        <w:rPr>
          <w:color w:val="3A3838"/>
          <w:spacing w:val="-1"/>
          <w:w w:val="115"/>
        </w:rPr>
        <w:t>the information that can be found on that page. Notice </w:t>
      </w:r>
      <w:r>
        <w:rPr>
          <w:color w:val="3A3838"/>
          <w:w w:val="115"/>
        </w:rPr>
        <w:t>the comments in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brackets: They illustrate what an attorney for Coors might write as a way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of using the process of creating the abstract to think about potential argu­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ments in the case</w:t>
      </w:r>
      <w:r>
        <w:rPr>
          <w:color w:val="525254"/>
          <w:w w:val="110"/>
        </w:rPr>
        <w:t>. </w:t>
      </w:r>
      <w:r>
        <w:rPr>
          <w:color w:val="3A3838"/>
          <w:w w:val="110"/>
        </w:rPr>
        <w:t>As noted above, you will understand the legal signifi­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cance of the fact</w:t>
      </w:r>
      <w:r>
        <w:rPr>
          <w:color w:val="525254"/>
          <w:w w:val="110"/>
        </w:rPr>
        <w:t>s </w:t>
      </w:r>
      <w:r>
        <w:rPr>
          <w:color w:val="3A3838"/>
          <w:w w:val="110"/>
        </w:rPr>
        <w:t>better after you have conducted legal research. Do not,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however, neglect to record the thoughts that occur to you as you create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the abstract. They may yield creative arguments or ideas that would not</w:t>
      </w:r>
      <w:r>
        <w:rPr>
          <w:color w:val="3A3838"/>
          <w:spacing w:val="-64"/>
          <w:w w:val="115"/>
        </w:rPr>
        <w:t> </w:t>
      </w:r>
      <w:r>
        <w:rPr>
          <w:color w:val="3A3838"/>
          <w:w w:val="115"/>
        </w:rPr>
        <w:t>occur to you after you have been "biased" by your knowledge of what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courts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usually</w:t>
      </w:r>
      <w:r>
        <w:rPr>
          <w:color w:val="3A3838"/>
          <w:spacing w:val="-13"/>
          <w:w w:val="110"/>
        </w:rPr>
        <w:t> </w:t>
      </w:r>
      <w:r>
        <w:rPr>
          <w:color w:val="3A3838"/>
          <w:w w:val="110"/>
        </w:rPr>
        <w:t>do</w:t>
      </w:r>
      <w:r>
        <w:rPr>
          <w:color w:val="3A3838"/>
          <w:spacing w:val="19"/>
          <w:w w:val="110"/>
        </w:rPr>
        <w:t> </w:t>
      </w:r>
      <w:r>
        <w:rPr>
          <w:color w:val="3A3838"/>
          <w:w w:val="110"/>
        </w:rPr>
        <w:t>with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cases</w:t>
      </w:r>
      <w:r>
        <w:rPr>
          <w:color w:val="3A3838"/>
          <w:spacing w:val="-13"/>
          <w:w w:val="110"/>
        </w:rPr>
        <w:t> </w:t>
      </w:r>
      <w:r>
        <w:rPr>
          <w:color w:val="3A3838"/>
          <w:w w:val="110"/>
        </w:rPr>
        <w:t>like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-14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6"/>
          <w:w w:val="110"/>
        </w:rPr>
        <w:t> </w:t>
      </w:r>
      <w:r>
        <w:rPr>
          <w:color w:val="3A3838"/>
          <w:w w:val="110"/>
        </w:rPr>
        <w:t>your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client</w:t>
      </w:r>
      <w:r>
        <w:rPr>
          <w:color w:val="525254"/>
          <w:w w:val="110"/>
        </w:rPr>
        <w:t>.</w:t>
      </w:r>
    </w:p>
    <w:p>
      <w:pPr>
        <w:pStyle w:val="BodyText"/>
        <w:spacing w:line="235" w:lineRule="auto" w:before="2"/>
        <w:ind w:left="113" w:right="232" w:firstLine="367"/>
        <w:jc w:val="both"/>
      </w:pPr>
      <w:r>
        <w:rPr>
          <w:color w:val="3A3838"/>
          <w:w w:val="115"/>
        </w:rPr>
        <w:t>The attorney can use the abstract to ease the process of writing the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brief. First, the attorney can scan through the abstract to find references</w:t>
      </w:r>
      <w:r>
        <w:rPr>
          <w:color w:val="3A3838"/>
          <w:spacing w:val="-64"/>
          <w:w w:val="115"/>
        </w:rPr>
        <w:t> </w:t>
      </w:r>
      <w:r>
        <w:rPr>
          <w:color w:val="3A3838"/>
          <w:w w:val="115"/>
        </w:rPr>
        <w:t>to information that might be helpful. Furthermore, when the attorney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recalls facts that need to be quoted or cited in the brief, he or she can use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 abstract to quickly find the appropr</w:t>
      </w:r>
      <w:r>
        <w:rPr>
          <w:color w:val="525254"/>
          <w:w w:val="110"/>
        </w:rPr>
        <w:t>i</w:t>
      </w:r>
      <w:r>
        <w:rPr>
          <w:color w:val="3A3838"/>
          <w:w w:val="110"/>
        </w:rPr>
        <w:t>ate page in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joint appendix or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opinion below 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retrieve specific language, citations, or other informa­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tion</w:t>
      </w:r>
      <w:r>
        <w:rPr>
          <w:color w:val="3A3838"/>
          <w:spacing w:val="-6"/>
          <w:w w:val="115"/>
        </w:rPr>
        <w:t> </w:t>
      </w:r>
      <w:r>
        <w:rPr>
          <w:color w:val="3A3838"/>
          <w:w w:val="115"/>
        </w:rPr>
        <w:t>to</w:t>
      </w:r>
      <w:r>
        <w:rPr>
          <w:color w:val="3A3838"/>
          <w:spacing w:val="-3"/>
          <w:w w:val="115"/>
        </w:rPr>
        <w:t> </w:t>
      </w:r>
      <w:r>
        <w:rPr>
          <w:color w:val="3A3838"/>
          <w:w w:val="115"/>
        </w:rPr>
        <w:t>include</w:t>
      </w:r>
      <w:r>
        <w:rPr>
          <w:color w:val="3A3838"/>
          <w:spacing w:val="-12"/>
          <w:w w:val="115"/>
        </w:rPr>
        <w:t> </w:t>
      </w:r>
      <w:r>
        <w:rPr>
          <w:color w:val="3A3838"/>
          <w:w w:val="115"/>
        </w:rPr>
        <w:t>in</w:t>
      </w:r>
      <w:r>
        <w:rPr>
          <w:color w:val="3A3838"/>
          <w:spacing w:val="12"/>
          <w:w w:val="115"/>
        </w:rPr>
        <w:t> </w:t>
      </w:r>
      <w:r>
        <w:rPr>
          <w:color w:val="3A3838"/>
          <w:w w:val="115"/>
        </w:rPr>
        <w:t>the</w:t>
      </w:r>
      <w:r>
        <w:rPr>
          <w:color w:val="3A3838"/>
          <w:spacing w:val="9"/>
          <w:w w:val="115"/>
        </w:rPr>
        <w:t> </w:t>
      </w:r>
      <w:r>
        <w:rPr>
          <w:color w:val="3A3838"/>
          <w:w w:val="115"/>
        </w:rPr>
        <w:t>brief</w:t>
      </w:r>
      <w:r>
        <w:rPr>
          <w:color w:val="3A3838"/>
          <w:spacing w:val="8"/>
          <w:w w:val="115"/>
        </w:rPr>
        <w:t> </w:t>
      </w:r>
      <w:r>
        <w:rPr>
          <w:color w:val="3A3838"/>
          <w:w w:val="115"/>
        </w:rPr>
        <w:t>itself.</w:t>
      </w:r>
    </w:p>
    <w:p>
      <w:pPr>
        <w:pStyle w:val="BodyText"/>
        <w:rPr>
          <w:sz w:val="26"/>
        </w:rPr>
      </w:pPr>
    </w:p>
    <w:p>
      <w:pPr>
        <w:spacing w:before="221"/>
        <w:ind w:left="716" w:right="0" w:firstLine="0"/>
        <w:jc w:val="left"/>
        <w:rPr>
          <w:b/>
          <w:sz w:val="18"/>
        </w:rPr>
      </w:pPr>
      <w:r>
        <w:rPr>
          <w:b/>
          <w:color w:val="3A3838"/>
          <w:w w:val="115"/>
          <w:sz w:val="18"/>
        </w:rPr>
        <w:t>E</w:t>
      </w:r>
      <w:r>
        <w:rPr>
          <w:b/>
          <w:color w:val="525254"/>
          <w:w w:val="115"/>
          <w:sz w:val="18"/>
        </w:rPr>
        <w:t>x</w:t>
      </w:r>
      <w:r>
        <w:rPr>
          <w:b/>
          <w:color w:val="3A3838"/>
          <w:w w:val="115"/>
          <w:sz w:val="18"/>
        </w:rPr>
        <w:t>c</w:t>
      </w:r>
      <w:r>
        <w:rPr>
          <w:b/>
          <w:color w:val="525254"/>
          <w:w w:val="115"/>
          <w:sz w:val="18"/>
        </w:rPr>
        <w:t>er</w:t>
      </w:r>
      <w:r>
        <w:rPr>
          <w:b/>
          <w:color w:val="3A3838"/>
          <w:w w:val="115"/>
          <w:sz w:val="18"/>
        </w:rPr>
        <w:t>pts</w:t>
      </w:r>
      <w:r>
        <w:rPr>
          <w:b/>
          <w:color w:val="3A3838"/>
          <w:spacing w:val="16"/>
          <w:w w:val="115"/>
          <w:sz w:val="18"/>
        </w:rPr>
        <w:t> </w:t>
      </w:r>
      <w:r>
        <w:rPr>
          <w:b/>
          <w:color w:val="3A3838"/>
          <w:w w:val="115"/>
          <w:sz w:val="18"/>
        </w:rPr>
        <w:t>from</w:t>
      </w:r>
      <w:r>
        <w:rPr>
          <w:b/>
          <w:color w:val="3A3838"/>
          <w:spacing w:val="-1"/>
          <w:w w:val="115"/>
          <w:sz w:val="18"/>
        </w:rPr>
        <w:t> </w:t>
      </w:r>
      <w:r>
        <w:rPr>
          <w:b/>
          <w:color w:val="3A3838"/>
          <w:w w:val="115"/>
          <w:sz w:val="18"/>
        </w:rPr>
        <w:t>Abstract</w:t>
      </w:r>
    </w:p>
    <w:p>
      <w:pPr>
        <w:pStyle w:val="BodyText"/>
        <w:spacing w:before="5"/>
        <w:rPr>
          <w:b/>
          <w:sz w:val="20"/>
        </w:rPr>
      </w:pPr>
    </w:p>
    <w:p>
      <w:pPr>
        <w:tabs>
          <w:tab w:pos="1641" w:val="left" w:leader="none"/>
        </w:tabs>
        <w:spacing w:before="0"/>
        <w:ind w:left="707" w:right="0" w:firstLine="0"/>
        <w:jc w:val="left"/>
        <w:rPr>
          <w:sz w:val="16"/>
        </w:rPr>
      </w:pPr>
      <w:r>
        <w:rPr>
          <w:rFonts w:ascii="Arial"/>
          <w:color w:val="3A3838"/>
          <w:w w:val="115"/>
          <w:sz w:val="16"/>
        </w:rPr>
        <w:t>PAGE#</w:t>
        <w:tab/>
      </w:r>
      <w:r>
        <w:rPr>
          <w:color w:val="3A3838"/>
          <w:w w:val="115"/>
          <w:sz w:val="16"/>
        </w:rPr>
        <w:t>INFORMATION</w:t>
      </w:r>
    </w:p>
    <w:p>
      <w:pPr>
        <w:pStyle w:val="BodyText"/>
        <w:spacing w:before="8"/>
        <w:rPr>
          <w:sz w:val="16"/>
        </w:rPr>
      </w:pPr>
    </w:p>
    <w:p>
      <w:pPr>
        <w:spacing w:line="242" w:lineRule="auto" w:before="0"/>
        <w:ind w:left="1663" w:right="140" w:hanging="5"/>
        <w:jc w:val="left"/>
        <w:rPr>
          <w:rFonts w:ascii="Arial"/>
          <w:sz w:val="19"/>
        </w:rPr>
      </w:pPr>
      <w:r>
        <w:rPr/>
        <w:pict>
          <v:shape style="position:absolute;margin-left:55.752071pt;margin-top:5.749197pt;width:16.75pt;height:11.15pt;mso-position-horizontal-relative:page;mso-position-vertical-relative:paragraph;z-index:15731712" type="#_x0000_t202" id="docshape85" filled="false" stroked="false">
            <v:textbox inset="0,0,0,0">
              <w:txbxContent>
                <w:p>
                  <w:pPr>
                    <w:spacing w:line="222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3A3838"/>
                      <w:w w:val="110"/>
                      <w:sz w:val="20"/>
                    </w:rPr>
                    <w:t>135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3A3838"/>
          <w:w w:val="110"/>
          <w:sz w:val="19"/>
        </w:rPr>
        <w:t>First</w:t>
      </w:r>
      <w:r>
        <w:rPr>
          <w:rFonts w:ascii="Arial"/>
          <w:color w:val="3A3838"/>
          <w:spacing w:val="-10"/>
          <w:w w:val="110"/>
          <w:sz w:val="19"/>
        </w:rPr>
        <w:t> </w:t>
      </w:r>
      <w:r>
        <w:rPr>
          <w:rFonts w:ascii="Arial"/>
          <w:color w:val="3A3838"/>
          <w:w w:val="110"/>
          <w:sz w:val="19"/>
        </w:rPr>
        <w:t>page</w:t>
      </w:r>
      <w:r>
        <w:rPr>
          <w:rFonts w:ascii="Arial"/>
          <w:color w:val="3A3838"/>
          <w:spacing w:val="-19"/>
          <w:w w:val="110"/>
          <w:sz w:val="19"/>
        </w:rPr>
        <w:t> </w:t>
      </w:r>
      <w:r>
        <w:rPr>
          <w:rFonts w:ascii="Arial"/>
          <w:color w:val="3A3838"/>
          <w:w w:val="110"/>
          <w:sz w:val="19"/>
        </w:rPr>
        <w:t>of</w:t>
      </w:r>
      <w:r>
        <w:rPr>
          <w:rFonts w:ascii="Arial"/>
          <w:color w:val="3A3838"/>
          <w:spacing w:val="1"/>
          <w:w w:val="110"/>
          <w:sz w:val="19"/>
        </w:rPr>
        <w:t> </w:t>
      </w:r>
      <w:r>
        <w:rPr>
          <w:rFonts w:ascii="Arial"/>
          <w:color w:val="3A3838"/>
          <w:w w:val="110"/>
          <w:sz w:val="19"/>
        </w:rPr>
        <w:t>deposition</w:t>
      </w:r>
      <w:r>
        <w:rPr>
          <w:rFonts w:ascii="Arial"/>
          <w:color w:val="3A3838"/>
          <w:spacing w:val="-4"/>
          <w:w w:val="110"/>
          <w:sz w:val="19"/>
        </w:rPr>
        <w:t> </w:t>
      </w:r>
      <w:r>
        <w:rPr>
          <w:rFonts w:ascii="Arial"/>
          <w:color w:val="3A3838"/>
          <w:w w:val="110"/>
          <w:sz w:val="19"/>
        </w:rPr>
        <w:t>of</w:t>
      </w:r>
      <w:r>
        <w:rPr>
          <w:rFonts w:ascii="Arial"/>
          <w:color w:val="3A3838"/>
          <w:spacing w:val="-5"/>
          <w:w w:val="110"/>
          <w:sz w:val="19"/>
        </w:rPr>
        <w:t> </w:t>
      </w:r>
      <w:r>
        <w:rPr>
          <w:rFonts w:ascii="Arial"/>
          <w:color w:val="3A3838"/>
          <w:w w:val="110"/>
          <w:sz w:val="19"/>
        </w:rPr>
        <w:t>nmothy</w:t>
      </w:r>
      <w:r>
        <w:rPr>
          <w:rFonts w:ascii="Arial"/>
          <w:color w:val="3A3838"/>
          <w:spacing w:val="-16"/>
          <w:w w:val="110"/>
          <w:sz w:val="19"/>
        </w:rPr>
        <w:t> </w:t>
      </w:r>
      <w:r>
        <w:rPr>
          <w:rFonts w:ascii="Arial"/>
          <w:color w:val="3A3838"/>
          <w:w w:val="110"/>
          <w:sz w:val="19"/>
        </w:rPr>
        <w:t>Ambler,</w:t>
      </w:r>
      <w:r>
        <w:rPr>
          <w:rFonts w:ascii="Arial"/>
          <w:color w:val="3A3838"/>
          <w:spacing w:val="1"/>
          <w:w w:val="110"/>
          <w:sz w:val="19"/>
        </w:rPr>
        <w:t> </w:t>
      </w:r>
      <w:r>
        <w:rPr>
          <w:rFonts w:ascii="Arial"/>
          <w:color w:val="3A3838"/>
          <w:w w:val="110"/>
          <w:sz w:val="19"/>
        </w:rPr>
        <w:t>alcohol</w:t>
      </w:r>
      <w:r>
        <w:rPr>
          <w:rFonts w:ascii="Arial"/>
          <w:color w:val="3A3838"/>
          <w:spacing w:val="-19"/>
          <w:w w:val="110"/>
          <w:sz w:val="19"/>
        </w:rPr>
        <w:t> </w:t>
      </w:r>
      <w:r>
        <w:rPr>
          <w:rFonts w:ascii="Arial"/>
          <w:color w:val="3A3838"/>
          <w:w w:val="110"/>
          <w:sz w:val="19"/>
        </w:rPr>
        <w:t>mktg.</w:t>
      </w:r>
      <w:r>
        <w:rPr>
          <w:rFonts w:ascii="Arial"/>
          <w:color w:val="3A3838"/>
          <w:spacing w:val="-20"/>
          <w:w w:val="110"/>
          <w:sz w:val="19"/>
        </w:rPr>
        <w:t> </w:t>
      </w:r>
      <w:r>
        <w:rPr>
          <w:rFonts w:ascii="Arial"/>
          <w:color w:val="3A3838"/>
          <w:w w:val="110"/>
          <w:sz w:val="19"/>
        </w:rPr>
        <w:t>expert</w:t>
      </w:r>
      <w:r>
        <w:rPr>
          <w:rFonts w:ascii="Arial"/>
          <w:color w:val="3A3838"/>
          <w:spacing w:val="-55"/>
          <w:w w:val="110"/>
          <w:sz w:val="19"/>
        </w:rPr>
        <w:t> </w:t>
      </w:r>
      <w:r>
        <w:rPr>
          <w:rFonts w:ascii="Arial"/>
          <w:color w:val="3A3838"/>
          <w:w w:val="110"/>
          <w:sz w:val="19"/>
        </w:rPr>
        <w:t>from</w:t>
      </w:r>
      <w:r>
        <w:rPr>
          <w:rFonts w:ascii="Arial"/>
          <w:color w:val="3A3838"/>
          <w:spacing w:val="-12"/>
          <w:w w:val="110"/>
          <w:sz w:val="19"/>
        </w:rPr>
        <w:t> </w:t>
      </w:r>
      <w:r>
        <w:rPr>
          <w:rFonts w:ascii="Arial"/>
          <w:color w:val="3A3838"/>
          <w:w w:val="110"/>
          <w:sz w:val="19"/>
        </w:rPr>
        <w:t>England</w:t>
      </w:r>
    </w:p>
    <w:p>
      <w:pPr>
        <w:spacing w:line="211" w:lineRule="exact" w:before="175"/>
        <w:ind w:left="1660" w:right="0" w:firstLine="0"/>
        <w:jc w:val="left"/>
        <w:rPr>
          <w:rFonts w:ascii="Arial"/>
          <w:sz w:val="19"/>
        </w:rPr>
      </w:pPr>
      <w:r>
        <w:rPr>
          <w:rFonts w:ascii="Arial"/>
          <w:color w:val="3A3838"/>
          <w:w w:val="105"/>
          <w:sz w:val="19"/>
        </w:rPr>
        <w:t>Testimony</w:t>
      </w:r>
      <w:r>
        <w:rPr>
          <w:rFonts w:ascii="Arial"/>
          <w:color w:val="3A3838"/>
          <w:spacing w:val="-4"/>
          <w:w w:val="105"/>
          <w:sz w:val="19"/>
        </w:rPr>
        <w:t> </w:t>
      </w:r>
      <w:r>
        <w:rPr>
          <w:rFonts w:ascii="Arial"/>
          <w:color w:val="3A3838"/>
          <w:w w:val="105"/>
          <w:sz w:val="19"/>
        </w:rPr>
        <w:t>re:</w:t>
      </w:r>
      <w:r>
        <w:rPr>
          <w:rFonts w:ascii="Arial"/>
          <w:color w:val="3A3838"/>
          <w:spacing w:val="3"/>
          <w:w w:val="105"/>
          <w:sz w:val="19"/>
        </w:rPr>
        <w:t> </w:t>
      </w:r>
      <w:r>
        <w:rPr>
          <w:rFonts w:ascii="Arial"/>
          <w:color w:val="3A3838"/>
          <w:w w:val="105"/>
          <w:sz w:val="19"/>
        </w:rPr>
        <w:t>mandatory</w:t>
      </w:r>
      <w:r>
        <w:rPr>
          <w:rFonts w:ascii="Arial"/>
          <w:color w:val="3A3838"/>
          <w:spacing w:val="1"/>
          <w:w w:val="105"/>
          <w:sz w:val="19"/>
        </w:rPr>
        <w:t> </w:t>
      </w:r>
      <w:r>
        <w:rPr>
          <w:rFonts w:ascii="Arial"/>
          <w:color w:val="3A3838"/>
          <w:w w:val="105"/>
          <w:sz w:val="19"/>
        </w:rPr>
        <w:t>disclosure</w:t>
      </w:r>
      <w:r>
        <w:rPr>
          <w:rFonts w:ascii="Arial"/>
          <w:color w:val="3A3838"/>
          <w:spacing w:val="-5"/>
          <w:w w:val="105"/>
          <w:sz w:val="19"/>
        </w:rPr>
        <w:t> </w:t>
      </w:r>
      <w:r>
        <w:rPr>
          <w:rFonts w:ascii="Arial"/>
          <w:color w:val="3A3838"/>
          <w:w w:val="105"/>
          <w:sz w:val="19"/>
        </w:rPr>
        <w:t>of</w:t>
      </w:r>
      <w:r>
        <w:rPr>
          <w:rFonts w:ascii="Arial"/>
          <w:color w:val="3A3838"/>
          <w:spacing w:val="12"/>
          <w:w w:val="105"/>
          <w:sz w:val="19"/>
        </w:rPr>
        <w:t> </w:t>
      </w:r>
      <w:r>
        <w:rPr>
          <w:rFonts w:ascii="Arial"/>
          <w:color w:val="3A3838"/>
          <w:w w:val="105"/>
          <w:sz w:val="19"/>
        </w:rPr>
        <w:t>alcohol</w:t>
      </w:r>
      <w:r>
        <w:rPr>
          <w:rFonts w:ascii="Arial"/>
          <w:color w:val="3A3838"/>
          <w:spacing w:val="-10"/>
          <w:w w:val="105"/>
          <w:sz w:val="19"/>
        </w:rPr>
        <w:t> </w:t>
      </w:r>
      <w:r>
        <w:rPr>
          <w:rFonts w:ascii="Arial"/>
          <w:color w:val="3A3838"/>
          <w:w w:val="105"/>
          <w:sz w:val="19"/>
        </w:rPr>
        <w:t>on</w:t>
      </w:r>
      <w:r>
        <w:rPr>
          <w:rFonts w:ascii="Arial"/>
          <w:color w:val="3A3838"/>
          <w:spacing w:val="6"/>
          <w:w w:val="105"/>
          <w:sz w:val="19"/>
        </w:rPr>
        <w:t> </w:t>
      </w:r>
      <w:r>
        <w:rPr>
          <w:rFonts w:ascii="Arial"/>
          <w:color w:val="3A3838"/>
          <w:w w:val="105"/>
          <w:sz w:val="19"/>
        </w:rPr>
        <w:t>beer</w:t>
      </w:r>
      <w:r>
        <w:rPr>
          <w:rFonts w:ascii="Arial"/>
          <w:color w:val="3A3838"/>
          <w:spacing w:val="1"/>
          <w:w w:val="105"/>
          <w:sz w:val="19"/>
        </w:rPr>
        <w:t> </w:t>
      </w:r>
      <w:r>
        <w:rPr>
          <w:rFonts w:ascii="Arial"/>
          <w:color w:val="3A3838"/>
          <w:w w:val="105"/>
          <w:sz w:val="19"/>
        </w:rPr>
        <w:t>labels</w:t>
      </w:r>
      <w:r>
        <w:rPr>
          <w:rFonts w:ascii="Arial"/>
          <w:color w:val="3A3838"/>
          <w:spacing w:val="-9"/>
          <w:w w:val="105"/>
          <w:sz w:val="19"/>
        </w:rPr>
        <w:t> </w:t>
      </w:r>
      <w:r>
        <w:rPr>
          <w:rFonts w:ascii="Arial"/>
          <w:color w:val="3A3838"/>
          <w:w w:val="105"/>
          <w:sz w:val="19"/>
        </w:rPr>
        <w:t>in</w:t>
      </w:r>
    </w:p>
    <w:p>
      <w:pPr>
        <w:tabs>
          <w:tab w:pos="1660" w:val="left" w:leader="none"/>
        </w:tabs>
        <w:spacing w:line="240" w:lineRule="auto" w:before="0"/>
        <w:ind w:left="1662" w:right="530" w:hanging="928"/>
        <w:jc w:val="left"/>
        <w:rPr>
          <w:rFonts w:ascii="Arial" w:hAnsi="Arial"/>
          <w:sz w:val="19"/>
        </w:rPr>
      </w:pPr>
      <w:r>
        <w:rPr>
          <w:color w:val="3A3838"/>
          <w:w w:val="110"/>
          <w:sz w:val="20"/>
        </w:rPr>
        <w:t>139-40</w:t>
        <w:tab/>
      </w:r>
      <w:r>
        <w:rPr>
          <w:rFonts w:ascii="Arial" w:hAnsi="Arial"/>
          <w:color w:val="3A3838"/>
          <w:w w:val="105"/>
          <w:sz w:val="19"/>
        </w:rPr>
        <w:t>Britain and the</w:t>
      </w:r>
      <w:r>
        <w:rPr>
          <w:rFonts w:ascii="Arial" w:hAnsi="Arial"/>
          <w:color w:val="3A3838"/>
          <w:spacing w:val="1"/>
          <w:w w:val="105"/>
          <w:sz w:val="19"/>
        </w:rPr>
        <w:t> </w:t>
      </w:r>
      <w:r>
        <w:rPr>
          <w:rFonts w:ascii="Arial" w:hAnsi="Arial"/>
          <w:color w:val="3A3838"/>
          <w:w w:val="105"/>
          <w:sz w:val="19"/>
        </w:rPr>
        <w:t>European Community</w:t>
      </w:r>
      <w:r>
        <w:rPr>
          <w:rFonts w:ascii="Arial" w:hAnsi="Arial"/>
          <w:color w:val="3A3838"/>
          <w:spacing w:val="1"/>
          <w:w w:val="105"/>
          <w:sz w:val="19"/>
        </w:rPr>
        <w:t> </w:t>
      </w:r>
      <w:r>
        <w:rPr>
          <w:rFonts w:ascii="Arial" w:hAnsi="Arial"/>
          <w:color w:val="3A3838"/>
          <w:w w:val="105"/>
          <w:sz w:val="19"/>
        </w:rPr>
        <w:t>[Any precedent for</w:t>
      </w:r>
      <w:r>
        <w:rPr>
          <w:rFonts w:ascii="Arial" w:hAnsi="Arial"/>
          <w:color w:val="3A3838"/>
          <w:spacing w:val="1"/>
          <w:w w:val="105"/>
          <w:sz w:val="19"/>
        </w:rPr>
        <w:t> </w:t>
      </w:r>
      <w:r>
        <w:rPr>
          <w:rFonts w:ascii="Arial" w:hAnsi="Arial"/>
          <w:color w:val="3A3838"/>
          <w:w w:val="105"/>
          <w:sz w:val="19"/>
        </w:rPr>
        <w:t>follow­</w:t>
      </w:r>
      <w:r>
        <w:rPr>
          <w:rFonts w:ascii="Arial" w:hAnsi="Arial"/>
          <w:color w:val="3A3838"/>
          <w:spacing w:val="-53"/>
          <w:w w:val="105"/>
          <w:sz w:val="19"/>
        </w:rPr>
        <w:t> </w:t>
      </w:r>
      <w:r>
        <w:rPr>
          <w:rFonts w:ascii="Arial" w:hAnsi="Arial"/>
          <w:color w:val="3A3838"/>
          <w:w w:val="110"/>
          <w:sz w:val="19"/>
        </w:rPr>
        <w:t>ing</w:t>
      </w:r>
      <w:r>
        <w:rPr>
          <w:rFonts w:ascii="Arial" w:hAnsi="Arial"/>
          <w:color w:val="3A3838"/>
          <w:spacing w:val="4"/>
          <w:w w:val="110"/>
          <w:sz w:val="19"/>
        </w:rPr>
        <w:t> </w:t>
      </w:r>
      <w:r>
        <w:rPr>
          <w:rFonts w:ascii="Arial" w:hAnsi="Arial"/>
          <w:color w:val="3A3838"/>
          <w:w w:val="110"/>
          <w:sz w:val="19"/>
        </w:rPr>
        <w:t>international</w:t>
      </w:r>
      <w:r>
        <w:rPr>
          <w:rFonts w:ascii="Arial" w:hAnsi="Arial"/>
          <w:color w:val="3A3838"/>
          <w:spacing w:val="-6"/>
          <w:w w:val="110"/>
          <w:sz w:val="19"/>
        </w:rPr>
        <w:t> </w:t>
      </w:r>
      <w:r>
        <w:rPr>
          <w:rFonts w:ascii="Arial" w:hAnsi="Arial"/>
          <w:color w:val="3A3838"/>
          <w:w w:val="110"/>
          <w:sz w:val="19"/>
        </w:rPr>
        <w:t>precedent?]</w:t>
      </w:r>
    </w:p>
    <w:p>
      <w:pPr>
        <w:tabs>
          <w:tab w:pos="1668" w:val="left" w:leader="none"/>
        </w:tabs>
        <w:spacing w:before="179"/>
        <w:ind w:left="742" w:right="0" w:firstLine="0"/>
        <w:jc w:val="left"/>
        <w:rPr>
          <w:rFonts w:ascii="Arial"/>
          <w:sz w:val="20"/>
        </w:rPr>
      </w:pPr>
      <w:r>
        <w:rPr>
          <w:rFonts w:ascii="Arial"/>
          <w:color w:val="3A3838"/>
          <w:w w:val="105"/>
          <w:sz w:val="20"/>
        </w:rPr>
        <w:t>***</w:t>
        <w:tab/>
        <w:t>*</w:t>
      </w:r>
      <w:r>
        <w:rPr>
          <w:rFonts w:ascii="Arial"/>
          <w:color w:val="3A3838"/>
          <w:spacing w:val="4"/>
          <w:w w:val="105"/>
          <w:sz w:val="20"/>
        </w:rPr>
        <w:t> </w:t>
      </w:r>
      <w:r>
        <w:rPr>
          <w:rFonts w:ascii="Arial"/>
          <w:color w:val="3A3838"/>
          <w:w w:val="105"/>
          <w:sz w:val="20"/>
        </w:rPr>
        <w:t>*</w:t>
      </w:r>
      <w:r>
        <w:rPr>
          <w:rFonts w:ascii="Arial"/>
          <w:color w:val="3A3838"/>
          <w:spacing w:val="4"/>
          <w:w w:val="105"/>
          <w:sz w:val="20"/>
        </w:rPr>
        <w:t> </w:t>
      </w:r>
      <w:r>
        <w:rPr>
          <w:rFonts w:ascii="Arial"/>
          <w:color w:val="3A3838"/>
          <w:w w:val="105"/>
          <w:sz w:val="20"/>
        </w:rPr>
        <w:t>*</w:t>
      </w:r>
    </w:p>
    <w:p>
      <w:pPr>
        <w:spacing w:before="145"/>
        <w:ind w:left="1669" w:right="0" w:firstLine="0"/>
        <w:jc w:val="left"/>
        <w:rPr>
          <w:rFonts w:ascii="Arial"/>
          <w:sz w:val="19"/>
        </w:rPr>
      </w:pPr>
      <w:r>
        <w:rPr>
          <w:rFonts w:ascii="Arial"/>
          <w:color w:val="3A3838"/>
          <w:w w:val="110"/>
          <w:sz w:val="19"/>
        </w:rPr>
        <w:t>Pla</w:t>
      </w:r>
      <w:r>
        <w:rPr>
          <w:rFonts w:ascii="Arial"/>
          <w:color w:val="525254"/>
          <w:w w:val="110"/>
          <w:sz w:val="19"/>
        </w:rPr>
        <w:t>i</w:t>
      </w:r>
      <w:r>
        <w:rPr>
          <w:rFonts w:ascii="Arial"/>
          <w:color w:val="3A3838"/>
          <w:w w:val="110"/>
          <w:sz w:val="19"/>
        </w:rPr>
        <w:t>ntiff's</w:t>
      </w:r>
      <w:r>
        <w:rPr>
          <w:rFonts w:ascii="Arial"/>
          <w:color w:val="3A3838"/>
          <w:spacing w:val="-15"/>
          <w:w w:val="110"/>
          <w:sz w:val="19"/>
        </w:rPr>
        <w:t> </w:t>
      </w:r>
      <w:r>
        <w:rPr>
          <w:rFonts w:ascii="Arial"/>
          <w:color w:val="3A3838"/>
          <w:w w:val="110"/>
          <w:sz w:val="19"/>
        </w:rPr>
        <w:t>Exh.</w:t>
      </w:r>
      <w:r>
        <w:rPr>
          <w:rFonts w:ascii="Arial"/>
          <w:color w:val="3A3838"/>
          <w:spacing w:val="3"/>
          <w:w w:val="110"/>
          <w:sz w:val="19"/>
        </w:rPr>
        <w:t> </w:t>
      </w:r>
      <w:r>
        <w:rPr>
          <w:rFonts w:ascii="Arial"/>
          <w:color w:val="3A3838"/>
          <w:w w:val="110"/>
          <w:sz w:val="19"/>
        </w:rPr>
        <w:t>3A-Chart</w:t>
      </w:r>
      <w:r>
        <w:rPr>
          <w:rFonts w:ascii="Arial"/>
          <w:color w:val="3A3838"/>
          <w:spacing w:val="4"/>
          <w:w w:val="110"/>
          <w:sz w:val="19"/>
        </w:rPr>
        <w:t> </w:t>
      </w:r>
      <w:r>
        <w:rPr>
          <w:rFonts w:ascii="Arial"/>
          <w:color w:val="3A3838"/>
          <w:w w:val="110"/>
          <w:sz w:val="19"/>
        </w:rPr>
        <w:t>showing</w:t>
      </w:r>
      <w:r>
        <w:rPr>
          <w:rFonts w:ascii="Arial"/>
          <w:color w:val="3A3838"/>
          <w:spacing w:val="4"/>
          <w:w w:val="110"/>
          <w:sz w:val="19"/>
        </w:rPr>
        <w:t> </w:t>
      </w:r>
      <w:r>
        <w:rPr>
          <w:rFonts w:ascii="Arial"/>
          <w:color w:val="3A3838"/>
          <w:w w:val="110"/>
          <w:sz w:val="19"/>
        </w:rPr>
        <w:t>alcohol</w:t>
      </w:r>
      <w:r>
        <w:rPr>
          <w:rFonts w:ascii="Arial"/>
          <w:color w:val="3A3838"/>
          <w:spacing w:val="-4"/>
          <w:w w:val="110"/>
          <w:sz w:val="19"/>
        </w:rPr>
        <w:t> </w:t>
      </w:r>
      <w:r>
        <w:rPr>
          <w:color w:val="3A3838"/>
          <w:w w:val="110"/>
          <w:sz w:val="19"/>
        </w:rPr>
        <w:t>%</w:t>
      </w:r>
      <w:r>
        <w:rPr>
          <w:color w:val="3A3838"/>
          <w:spacing w:val="35"/>
          <w:w w:val="110"/>
          <w:sz w:val="19"/>
        </w:rPr>
        <w:t> </w:t>
      </w:r>
      <w:r>
        <w:rPr>
          <w:rFonts w:ascii="Arial"/>
          <w:color w:val="3A3838"/>
          <w:w w:val="110"/>
          <w:sz w:val="19"/>
        </w:rPr>
        <w:t>by</w:t>
      </w:r>
      <w:r>
        <w:rPr>
          <w:rFonts w:ascii="Arial"/>
          <w:color w:val="3A3838"/>
          <w:spacing w:val="17"/>
          <w:w w:val="110"/>
          <w:sz w:val="19"/>
        </w:rPr>
        <w:t> </w:t>
      </w:r>
      <w:r>
        <w:rPr>
          <w:rFonts w:ascii="Arial"/>
          <w:color w:val="3A3838"/>
          <w:w w:val="110"/>
          <w:sz w:val="19"/>
        </w:rPr>
        <w:t>weight</w:t>
      </w:r>
      <w:r>
        <w:rPr>
          <w:rFonts w:ascii="Arial"/>
          <w:color w:val="3A3838"/>
          <w:spacing w:val="4"/>
          <w:w w:val="110"/>
          <w:sz w:val="19"/>
        </w:rPr>
        <w:t> </w:t>
      </w:r>
      <w:r>
        <w:rPr>
          <w:rFonts w:ascii="Arial"/>
          <w:color w:val="3A3838"/>
          <w:w w:val="110"/>
          <w:sz w:val="19"/>
        </w:rPr>
        <w:t>of</w:t>
      </w:r>
    </w:p>
    <w:p>
      <w:pPr>
        <w:tabs>
          <w:tab w:pos="1672" w:val="left" w:leader="none"/>
        </w:tabs>
        <w:spacing w:line="225" w:lineRule="auto" w:before="12"/>
        <w:ind w:left="1672" w:right="682" w:hanging="930"/>
        <w:jc w:val="left"/>
        <w:rPr>
          <w:rFonts w:ascii="Arial"/>
          <w:sz w:val="19"/>
        </w:rPr>
      </w:pPr>
      <w:r>
        <w:rPr>
          <w:rFonts w:ascii="Courier New"/>
          <w:color w:val="3A3838"/>
          <w:w w:val="105"/>
          <w:sz w:val="19"/>
        </w:rPr>
        <w:t>284</w:t>
        <w:tab/>
      </w:r>
      <w:r>
        <w:rPr>
          <w:rFonts w:ascii="Arial"/>
          <w:color w:val="3A3838"/>
          <w:w w:val="105"/>
          <w:sz w:val="19"/>
        </w:rPr>
        <w:t>various</w:t>
      </w:r>
      <w:r>
        <w:rPr>
          <w:rFonts w:ascii="Arial"/>
          <w:color w:val="3A3838"/>
          <w:spacing w:val="1"/>
          <w:w w:val="105"/>
          <w:sz w:val="19"/>
        </w:rPr>
        <w:t> </w:t>
      </w:r>
      <w:r>
        <w:rPr>
          <w:rFonts w:ascii="Arial"/>
          <w:color w:val="3A3838"/>
          <w:w w:val="105"/>
          <w:sz w:val="19"/>
        </w:rPr>
        <w:t>beers</w:t>
      </w:r>
      <w:r>
        <w:rPr>
          <w:rFonts w:ascii="Arial"/>
          <w:color w:val="3A3838"/>
          <w:spacing w:val="-3"/>
          <w:w w:val="105"/>
          <w:sz w:val="19"/>
        </w:rPr>
        <w:t> </w:t>
      </w:r>
      <w:r>
        <w:rPr>
          <w:rFonts w:ascii="Arial"/>
          <w:color w:val="3A3838"/>
          <w:w w:val="105"/>
          <w:sz w:val="19"/>
        </w:rPr>
        <w:t>[Use</w:t>
      </w:r>
      <w:r>
        <w:rPr>
          <w:rFonts w:ascii="Arial"/>
          <w:color w:val="3A3838"/>
          <w:spacing w:val="-7"/>
          <w:w w:val="105"/>
          <w:sz w:val="19"/>
        </w:rPr>
        <w:t> </w:t>
      </w:r>
      <w:r>
        <w:rPr>
          <w:rFonts w:ascii="Arial"/>
          <w:color w:val="3A3838"/>
          <w:w w:val="105"/>
          <w:sz w:val="19"/>
        </w:rPr>
        <w:t>to</w:t>
      </w:r>
      <w:r>
        <w:rPr>
          <w:rFonts w:ascii="Arial"/>
          <w:color w:val="3A3838"/>
          <w:spacing w:val="36"/>
          <w:w w:val="105"/>
          <w:sz w:val="19"/>
        </w:rPr>
        <w:t> </w:t>
      </w:r>
      <w:r>
        <w:rPr>
          <w:rFonts w:ascii="Arial"/>
          <w:color w:val="3A3838"/>
          <w:w w:val="105"/>
          <w:sz w:val="19"/>
        </w:rPr>
        <w:t>show</w:t>
      </w:r>
      <w:r>
        <w:rPr>
          <w:rFonts w:ascii="Arial"/>
          <w:color w:val="3A3838"/>
          <w:spacing w:val="-7"/>
          <w:w w:val="105"/>
          <w:sz w:val="19"/>
        </w:rPr>
        <w:t> </w:t>
      </w:r>
      <w:r>
        <w:rPr>
          <w:rFonts w:ascii="Arial"/>
          <w:color w:val="3A3838"/>
          <w:w w:val="105"/>
          <w:sz w:val="19"/>
        </w:rPr>
        <w:t>low</w:t>
      </w:r>
      <w:r>
        <w:rPr>
          <w:rFonts w:ascii="Arial"/>
          <w:color w:val="3A3838"/>
          <w:spacing w:val="31"/>
          <w:w w:val="105"/>
          <w:sz w:val="19"/>
        </w:rPr>
        <w:t> </w:t>
      </w:r>
      <w:r>
        <w:rPr>
          <w:rFonts w:ascii="Arial"/>
          <w:color w:val="3A3838"/>
          <w:w w:val="105"/>
          <w:sz w:val="19"/>
        </w:rPr>
        <w:t>range</w:t>
      </w:r>
      <w:r>
        <w:rPr>
          <w:rFonts w:ascii="Arial"/>
          <w:color w:val="3A3838"/>
          <w:spacing w:val="-7"/>
          <w:w w:val="105"/>
          <w:sz w:val="19"/>
        </w:rPr>
        <w:t> </w:t>
      </w:r>
      <w:r>
        <w:rPr>
          <w:rFonts w:ascii="Arial"/>
          <w:color w:val="3A3838"/>
          <w:w w:val="105"/>
          <w:sz w:val="19"/>
        </w:rPr>
        <w:t>of</w:t>
      </w:r>
      <w:r>
        <w:rPr>
          <w:rFonts w:ascii="Arial"/>
          <w:color w:val="3A3838"/>
          <w:spacing w:val="15"/>
          <w:w w:val="105"/>
          <w:sz w:val="19"/>
        </w:rPr>
        <w:t> </w:t>
      </w:r>
      <w:r>
        <w:rPr>
          <w:rFonts w:ascii="Arial"/>
          <w:color w:val="3A3838"/>
          <w:w w:val="105"/>
          <w:sz w:val="19"/>
        </w:rPr>
        <w:t>var</w:t>
      </w:r>
      <w:r>
        <w:rPr>
          <w:rFonts w:ascii="Arial"/>
          <w:color w:val="525254"/>
          <w:w w:val="105"/>
          <w:sz w:val="19"/>
        </w:rPr>
        <w:t>i</w:t>
      </w:r>
      <w:r>
        <w:rPr>
          <w:rFonts w:ascii="Arial"/>
          <w:color w:val="3A3838"/>
          <w:w w:val="105"/>
          <w:sz w:val="19"/>
        </w:rPr>
        <w:t>ation</w:t>
      </w:r>
      <w:r>
        <w:rPr>
          <w:rFonts w:ascii="Arial"/>
          <w:color w:val="3A3838"/>
          <w:spacing w:val="4"/>
          <w:w w:val="105"/>
          <w:sz w:val="19"/>
        </w:rPr>
        <w:t> </w:t>
      </w:r>
      <w:r>
        <w:rPr>
          <w:rFonts w:ascii="Arial"/>
          <w:color w:val="3A3838"/>
          <w:w w:val="105"/>
          <w:sz w:val="19"/>
        </w:rPr>
        <w:t>among</w:t>
      </w:r>
      <w:r>
        <w:rPr>
          <w:rFonts w:ascii="Arial"/>
          <w:color w:val="3A3838"/>
          <w:spacing w:val="2"/>
          <w:w w:val="105"/>
          <w:sz w:val="19"/>
        </w:rPr>
        <w:t> </w:t>
      </w:r>
      <w:r>
        <w:rPr>
          <w:rFonts w:ascii="Arial"/>
          <w:color w:val="3A3838"/>
          <w:w w:val="105"/>
          <w:sz w:val="19"/>
        </w:rPr>
        <w:t>mo</w:t>
      </w:r>
      <w:r>
        <w:rPr>
          <w:rFonts w:ascii="Arial"/>
          <w:color w:val="525254"/>
          <w:w w:val="105"/>
          <w:sz w:val="19"/>
        </w:rPr>
        <w:t>s</w:t>
      </w:r>
      <w:r>
        <w:rPr>
          <w:rFonts w:ascii="Arial"/>
          <w:color w:val="3A3838"/>
          <w:w w:val="105"/>
          <w:sz w:val="19"/>
        </w:rPr>
        <w:t>t</w:t>
      </w:r>
      <w:r>
        <w:rPr>
          <w:rFonts w:ascii="Arial"/>
          <w:color w:val="3A3838"/>
          <w:spacing w:val="-53"/>
          <w:w w:val="105"/>
          <w:sz w:val="19"/>
        </w:rPr>
        <w:t> </w:t>
      </w:r>
      <w:r>
        <w:rPr>
          <w:rFonts w:ascii="Arial"/>
          <w:color w:val="3A3838"/>
          <w:w w:val="105"/>
          <w:sz w:val="19"/>
        </w:rPr>
        <w:t>beers?]</w:t>
      </w:r>
    </w:p>
    <w:p>
      <w:pPr>
        <w:spacing w:line="242" w:lineRule="auto" w:before="170"/>
        <w:ind w:left="1675" w:right="910" w:hanging="6"/>
        <w:jc w:val="left"/>
        <w:rPr>
          <w:rFonts w:ascii="Arial"/>
          <w:sz w:val="19"/>
        </w:rPr>
      </w:pPr>
      <w:r>
        <w:rPr/>
        <w:pict>
          <v:shape style="position:absolute;margin-left:56.115849pt;margin-top:15.254679pt;width:18.95pt;height:10.8pt;mso-position-horizontal-relative:page;mso-position-vertical-relative:paragraph;z-index:15732224" type="#_x0000_t202" id="docshape86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19"/>
                    </w:rPr>
                  </w:pPr>
                  <w:r>
                    <w:rPr>
                      <w:rFonts w:ascii="Courier New"/>
                      <w:color w:val="3A3838"/>
                      <w:w w:val="110"/>
                      <w:sz w:val="19"/>
                    </w:rPr>
                    <w:t>289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3A3838"/>
          <w:spacing w:val="-1"/>
          <w:w w:val="105"/>
          <w:sz w:val="19"/>
        </w:rPr>
        <w:t>U.S. Dept. </w:t>
      </w:r>
      <w:r>
        <w:rPr>
          <w:rFonts w:ascii="Arial"/>
          <w:color w:val="3A3838"/>
          <w:w w:val="105"/>
          <w:sz w:val="19"/>
        </w:rPr>
        <w:t>of HHS, Inspector General's Survey on Youth and</w:t>
      </w:r>
      <w:r>
        <w:rPr>
          <w:rFonts w:ascii="Arial"/>
          <w:color w:val="3A3838"/>
          <w:spacing w:val="-53"/>
          <w:w w:val="105"/>
          <w:sz w:val="19"/>
        </w:rPr>
        <w:t> </w:t>
      </w:r>
      <w:r>
        <w:rPr>
          <w:rFonts w:ascii="Arial"/>
          <w:color w:val="3A3838"/>
          <w:w w:val="110"/>
          <w:sz w:val="19"/>
        </w:rPr>
        <w:t>Alcohol:</w:t>
      </w:r>
      <w:r>
        <w:rPr>
          <w:rFonts w:ascii="Arial"/>
          <w:color w:val="3A3838"/>
          <w:spacing w:val="-5"/>
          <w:w w:val="110"/>
          <w:sz w:val="19"/>
        </w:rPr>
        <w:t> </w:t>
      </w:r>
      <w:r>
        <w:rPr>
          <w:rFonts w:ascii="Arial"/>
          <w:color w:val="3A3838"/>
          <w:w w:val="110"/>
          <w:sz w:val="19"/>
        </w:rPr>
        <w:t>"Do</w:t>
      </w:r>
      <w:r>
        <w:rPr>
          <w:rFonts w:ascii="Arial"/>
          <w:color w:val="3A3838"/>
          <w:spacing w:val="24"/>
          <w:w w:val="110"/>
          <w:sz w:val="19"/>
        </w:rPr>
        <w:t> </w:t>
      </w:r>
      <w:r>
        <w:rPr>
          <w:rFonts w:ascii="Arial"/>
          <w:color w:val="3A3838"/>
          <w:w w:val="110"/>
          <w:sz w:val="19"/>
        </w:rPr>
        <w:t>they</w:t>
      </w:r>
      <w:r>
        <w:rPr>
          <w:rFonts w:ascii="Arial"/>
          <w:color w:val="3A3838"/>
          <w:spacing w:val="-17"/>
          <w:w w:val="110"/>
          <w:sz w:val="19"/>
        </w:rPr>
        <w:t> </w:t>
      </w:r>
      <w:r>
        <w:rPr>
          <w:rFonts w:ascii="Arial"/>
          <w:color w:val="3A3838"/>
          <w:w w:val="110"/>
          <w:sz w:val="19"/>
        </w:rPr>
        <w:t>know</w:t>
      </w:r>
      <w:r>
        <w:rPr>
          <w:rFonts w:ascii="Arial"/>
          <w:color w:val="3A3838"/>
          <w:spacing w:val="-13"/>
          <w:w w:val="110"/>
          <w:sz w:val="19"/>
        </w:rPr>
        <w:t> </w:t>
      </w:r>
      <w:r>
        <w:rPr>
          <w:rFonts w:ascii="Arial"/>
          <w:color w:val="3A3838"/>
          <w:w w:val="110"/>
          <w:sz w:val="19"/>
        </w:rPr>
        <w:t>what</w:t>
      </w:r>
      <w:r>
        <w:rPr>
          <w:rFonts w:ascii="Arial"/>
          <w:color w:val="3A3838"/>
          <w:spacing w:val="-7"/>
          <w:w w:val="110"/>
          <w:sz w:val="19"/>
        </w:rPr>
        <w:t> </w:t>
      </w:r>
      <w:r>
        <w:rPr>
          <w:rFonts w:ascii="Arial"/>
          <w:color w:val="3A3838"/>
          <w:w w:val="110"/>
          <w:sz w:val="19"/>
        </w:rPr>
        <w:t>they</w:t>
      </w:r>
      <w:r>
        <w:rPr>
          <w:rFonts w:ascii="Arial"/>
          <w:color w:val="525254"/>
          <w:w w:val="110"/>
          <w:sz w:val="19"/>
        </w:rPr>
        <w:t>'</w:t>
      </w:r>
      <w:r>
        <w:rPr>
          <w:rFonts w:ascii="Arial"/>
          <w:color w:val="3A3838"/>
          <w:w w:val="110"/>
          <w:sz w:val="19"/>
        </w:rPr>
        <w:t>re</w:t>
      </w:r>
      <w:r>
        <w:rPr>
          <w:rFonts w:ascii="Arial"/>
          <w:color w:val="3A3838"/>
          <w:spacing w:val="-3"/>
          <w:w w:val="110"/>
          <w:sz w:val="19"/>
        </w:rPr>
        <w:t> </w:t>
      </w:r>
      <w:r>
        <w:rPr>
          <w:rFonts w:ascii="Arial"/>
          <w:color w:val="3A3838"/>
          <w:w w:val="110"/>
          <w:sz w:val="19"/>
        </w:rPr>
        <w:t>drink</w:t>
      </w:r>
      <w:r>
        <w:rPr>
          <w:rFonts w:ascii="Arial"/>
          <w:color w:val="525254"/>
          <w:w w:val="110"/>
          <w:sz w:val="19"/>
        </w:rPr>
        <w:t>i</w:t>
      </w:r>
      <w:r>
        <w:rPr>
          <w:rFonts w:ascii="Arial"/>
          <w:color w:val="3A3838"/>
          <w:w w:val="110"/>
          <w:sz w:val="19"/>
        </w:rPr>
        <w:t>ng?"</w:t>
      </w:r>
    </w:p>
    <w:p>
      <w:pPr>
        <w:spacing w:before="165"/>
        <w:ind w:left="1685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color w:val="3A3838"/>
          <w:w w:val="105"/>
          <w:sz w:val="19"/>
        </w:rPr>
        <w:t>Survey</w:t>
      </w:r>
      <w:r>
        <w:rPr>
          <w:rFonts w:ascii="Arial" w:hAnsi="Arial"/>
          <w:color w:val="3A3838"/>
          <w:spacing w:val="9"/>
          <w:w w:val="105"/>
          <w:sz w:val="19"/>
        </w:rPr>
        <w:t> </w:t>
      </w:r>
      <w:r>
        <w:rPr>
          <w:rFonts w:ascii="Arial" w:hAnsi="Arial"/>
          <w:color w:val="3A3838"/>
          <w:w w:val="105"/>
          <w:sz w:val="19"/>
        </w:rPr>
        <w:t>findings:</w:t>
      </w:r>
      <w:r>
        <w:rPr>
          <w:rFonts w:ascii="Arial" w:hAnsi="Arial"/>
          <w:color w:val="3A3838"/>
          <w:spacing w:val="24"/>
          <w:w w:val="105"/>
          <w:sz w:val="19"/>
        </w:rPr>
        <w:t> </w:t>
      </w:r>
      <w:r>
        <w:rPr>
          <w:rFonts w:ascii="Arial" w:hAnsi="Arial"/>
          <w:color w:val="3A3838"/>
          <w:w w:val="105"/>
          <w:sz w:val="19"/>
        </w:rPr>
        <w:t>"2/3</w:t>
      </w:r>
      <w:r>
        <w:rPr>
          <w:rFonts w:ascii="Arial" w:hAnsi="Arial"/>
          <w:color w:val="3A3838"/>
          <w:spacing w:val="13"/>
          <w:w w:val="105"/>
          <w:sz w:val="19"/>
        </w:rPr>
        <w:t> </w:t>
      </w:r>
      <w:r>
        <w:rPr>
          <w:rFonts w:ascii="Arial" w:hAnsi="Arial"/>
          <w:color w:val="3A3838"/>
          <w:w w:val="105"/>
          <w:sz w:val="19"/>
        </w:rPr>
        <w:t>students</w:t>
      </w:r>
      <w:r>
        <w:rPr>
          <w:rFonts w:ascii="Arial" w:hAnsi="Arial"/>
          <w:color w:val="3A3838"/>
          <w:spacing w:val="12"/>
          <w:w w:val="105"/>
          <w:sz w:val="19"/>
        </w:rPr>
        <w:t> </w:t>
      </w:r>
      <w:r>
        <w:rPr>
          <w:rFonts w:ascii="Arial" w:hAnsi="Arial"/>
          <w:color w:val="3A3838"/>
          <w:w w:val="105"/>
          <w:sz w:val="19"/>
        </w:rPr>
        <w:t>can't</w:t>
      </w:r>
      <w:r>
        <w:rPr>
          <w:rFonts w:ascii="Arial" w:hAnsi="Arial"/>
          <w:color w:val="3A3838"/>
          <w:spacing w:val="12"/>
          <w:w w:val="105"/>
          <w:sz w:val="19"/>
        </w:rPr>
        <w:t> </w:t>
      </w:r>
      <w:r>
        <w:rPr>
          <w:rFonts w:ascii="Arial" w:hAnsi="Arial"/>
          <w:color w:val="3A3838"/>
          <w:w w:val="105"/>
          <w:sz w:val="19"/>
        </w:rPr>
        <w:t>distinguish</w:t>
      </w:r>
      <w:r>
        <w:rPr>
          <w:rFonts w:ascii="Arial" w:hAnsi="Arial"/>
          <w:color w:val="3A3838"/>
          <w:spacing w:val="17"/>
          <w:w w:val="105"/>
          <w:sz w:val="19"/>
        </w:rPr>
        <w:t> </w:t>
      </w:r>
      <w:r>
        <w:rPr>
          <w:rFonts w:ascii="Arial" w:hAnsi="Arial"/>
          <w:color w:val="3A3838"/>
          <w:w w:val="105"/>
          <w:sz w:val="19"/>
        </w:rPr>
        <w:t>alcoholic</w:t>
      </w:r>
      <w:r>
        <w:rPr>
          <w:rFonts w:ascii="Arial" w:hAnsi="Arial"/>
          <w:color w:val="3A3838"/>
          <w:spacing w:val="27"/>
          <w:w w:val="105"/>
          <w:sz w:val="19"/>
        </w:rPr>
        <w:t> </w:t>
      </w:r>
      <w:r>
        <w:rPr>
          <w:rFonts w:ascii="Arial" w:hAnsi="Arial"/>
          <w:color w:val="3A3838"/>
          <w:w w:val="105"/>
          <w:sz w:val="19"/>
        </w:rPr>
        <w:t>bever­</w:t>
      </w:r>
    </w:p>
    <w:p>
      <w:pPr>
        <w:spacing w:after="0"/>
        <w:jc w:val="left"/>
        <w:rPr>
          <w:rFonts w:ascii="Arial" w:hAnsi="Arial"/>
          <w:sz w:val="19"/>
        </w:rPr>
        <w:sectPr>
          <w:pgSz w:w="9620" w:h="13750"/>
          <w:pgMar w:header="530" w:footer="0" w:top="1120" w:bottom="280" w:left="380" w:right="1280"/>
        </w:sectPr>
      </w:pPr>
    </w:p>
    <w:p>
      <w:pPr>
        <w:spacing w:before="33"/>
        <w:ind w:left="742" w:right="0" w:firstLine="0"/>
        <w:jc w:val="left"/>
        <w:rPr>
          <w:rFonts w:ascii="Courier New"/>
          <w:sz w:val="19"/>
        </w:rPr>
      </w:pPr>
      <w:r>
        <w:rPr>
          <w:rFonts w:ascii="Courier New"/>
          <w:color w:val="3A3838"/>
          <w:spacing w:val="-1"/>
          <w:w w:val="110"/>
          <w:sz w:val="19"/>
        </w:rPr>
        <w:t>294</w:t>
      </w:r>
    </w:p>
    <w:p>
      <w:pPr>
        <w:spacing w:line="232" w:lineRule="auto" w:before="8"/>
        <w:ind w:left="521" w:right="568" w:hanging="1"/>
        <w:jc w:val="left"/>
        <w:rPr>
          <w:rFonts w:ascii="Arial"/>
          <w:sz w:val="19"/>
        </w:rPr>
      </w:pPr>
      <w:r>
        <w:rPr/>
        <w:br w:type="column"/>
      </w:r>
      <w:r>
        <w:rPr>
          <w:rFonts w:ascii="Arial"/>
          <w:color w:val="3A3838"/>
          <w:w w:val="105"/>
          <w:sz w:val="19"/>
        </w:rPr>
        <w:t>ages from nonalcoholic beverages</w:t>
      </w:r>
      <w:r>
        <w:rPr>
          <w:rFonts w:ascii="Arial"/>
          <w:color w:val="525254"/>
          <w:w w:val="105"/>
          <w:sz w:val="19"/>
        </w:rPr>
        <w:t>"</w:t>
      </w:r>
      <w:r>
        <w:rPr>
          <w:rFonts w:ascii="Arial"/>
          <w:color w:val="525254"/>
          <w:spacing w:val="1"/>
          <w:w w:val="105"/>
          <w:sz w:val="19"/>
        </w:rPr>
        <w:t> </w:t>
      </w:r>
      <w:r>
        <w:rPr>
          <w:rFonts w:ascii="Arial"/>
          <w:color w:val="3A3838"/>
          <w:w w:val="105"/>
          <w:sz w:val="19"/>
        </w:rPr>
        <w:t>[Use to</w:t>
      </w:r>
      <w:r>
        <w:rPr>
          <w:rFonts w:ascii="Arial"/>
          <w:color w:val="3A3838"/>
          <w:spacing w:val="1"/>
          <w:w w:val="105"/>
          <w:sz w:val="19"/>
        </w:rPr>
        <w:t> </w:t>
      </w:r>
      <w:r>
        <w:rPr>
          <w:rFonts w:ascii="Arial"/>
          <w:color w:val="3A3838"/>
          <w:w w:val="105"/>
          <w:sz w:val="19"/>
        </w:rPr>
        <w:t>show public benefit</w:t>
      </w:r>
      <w:r>
        <w:rPr>
          <w:rFonts w:ascii="Arial"/>
          <w:color w:val="3A3838"/>
          <w:spacing w:val="-53"/>
          <w:w w:val="105"/>
          <w:sz w:val="19"/>
        </w:rPr>
        <w:t> </w:t>
      </w:r>
      <w:r>
        <w:rPr>
          <w:rFonts w:ascii="Arial"/>
          <w:color w:val="3A3838"/>
          <w:spacing w:val="-1"/>
          <w:w w:val="110"/>
          <w:sz w:val="19"/>
        </w:rPr>
        <w:t>of</w:t>
      </w:r>
      <w:r>
        <w:rPr>
          <w:rFonts w:ascii="Arial"/>
          <w:color w:val="3A3838"/>
          <w:spacing w:val="-3"/>
          <w:w w:val="110"/>
          <w:sz w:val="19"/>
        </w:rPr>
        <w:t> </w:t>
      </w:r>
      <w:r>
        <w:rPr>
          <w:rFonts w:ascii="Arial"/>
          <w:color w:val="3A3838"/>
          <w:spacing w:val="-1"/>
          <w:w w:val="110"/>
          <w:sz w:val="19"/>
        </w:rPr>
        <w:t>putting</w:t>
      </w:r>
      <w:r>
        <w:rPr>
          <w:rFonts w:ascii="Arial"/>
          <w:color w:val="3A3838"/>
          <w:spacing w:val="-15"/>
          <w:w w:val="110"/>
          <w:sz w:val="19"/>
        </w:rPr>
        <w:t> </w:t>
      </w:r>
      <w:r>
        <w:rPr>
          <w:rFonts w:ascii="Arial"/>
          <w:color w:val="3A3838"/>
          <w:spacing w:val="-1"/>
          <w:w w:val="110"/>
          <w:sz w:val="19"/>
        </w:rPr>
        <w:t>alcohol</w:t>
      </w:r>
      <w:r>
        <w:rPr>
          <w:rFonts w:ascii="Arial"/>
          <w:color w:val="3A3838"/>
          <w:spacing w:val="-15"/>
          <w:w w:val="110"/>
          <w:sz w:val="19"/>
        </w:rPr>
        <w:t> </w:t>
      </w:r>
      <w:r>
        <w:rPr>
          <w:rFonts w:ascii="Arial"/>
          <w:color w:val="3A3838"/>
          <w:spacing w:val="-1"/>
          <w:w w:val="110"/>
          <w:sz w:val="19"/>
        </w:rPr>
        <w:t>percentage</w:t>
      </w:r>
      <w:r>
        <w:rPr>
          <w:rFonts w:ascii="Arial"/>
          <w:color w:val="3A3838"/>
          <w:spacing w:val="-4"/>
          <w:w w:val="110"/>
          <w:sz w:val="19"/>
        </w:rPr>
        <w:t> </w:t>
      </w:r>
      <w:r>
        <w:rPr>
          <w:rFonts w:ascii="Arial"/>
          <w:color w:val="3A3838"/>
          <w:spacing w:val="-1"/>
          <w:w w:val="110"/>
          <w:sz w:val="19"/>
        </w:rPr>
        <w:t>on</w:t>
      </w:r>
      <w:r>
        <w:rPr>
          <w:rFonts w:ascii="Arial"/>
          <w:color w:val="3A3838"/>
          <w:spacing w:val="7"/>
          <w:w w:val="110"/>
          <w:sz w:val="19"/>
        </w:rPr>
        <w:t> </w:t>
      </w:r>
      <w:r>
        <w:rPr>
          <w:rFonts w:ascii="Arial"/>
          <w:color w:val="3A3838"/>
          <w:spacing w:val="-1"/>
          <w:w w:val="110"/>
          <w:sz w:val="19"/>
        </w:rPr>
        <w:t>the</w:t>
      </w:r>
      <w:r>
        <w:rPr>
          <w:rFonts w:ascii="Arial"/>
          <w:color w:val="3A3838"/>
          <w:spacing w:val="15"/>
          <w:w w:val="110"/>
          <w:sz w:val="19"/>
        </w:rPr>
        <w:t> </w:t>
      </w:r>
      <w:r>
        <w:rPr>
          <w:rFonts w:ascii="Arial"/>
          <w:color w:val="3A3838"/>
          <w:w w:val="110"/>
          <w:sz w:val="19"/>
        </w:rPr>
        <w:t>label?]</w:t>
      </w:r>
    </w:p>
    <w:p>
      <w:pPr>
        <w:spacing w:after="0" w:line="232" w:lineRule="auto"/>
        <w:jc w:val="left"/>
        <w:rPr>
          <w:rFonts w:ascii="Arial"/>
          <w:sz w:val="19"/>
        </w:rPr>
        <w:sectPr>
          <w:type w:val="continuous"/>
          <w:pgSz w:w="9620" w:h="13750"/>
          <w:pgMar w:header="453" w:footer="0" w:top="340" w:bottom="280" w:left="380" w:right="1280"/>
          <w:cols w:num="2" w:equalWidth="0">
            <w:col w:w="1117" w:space="40"/>
            <w:col w:w="6803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0"/>
        </w:rPr>
      </w:pPr>
    </w:p>
    <w:p>
      <w:pPr>
        <w:pStyle w:val="BodyText"/>
        <w:spacing w:line="232" w:lineRule="auto"/>
        <w:ind w:left="685" w:right="126" w:firstLine="397"/>
        <w:jc w:val="both"/>
      </w:pPr>
      <w:r>
        <w:rPr>
          <w:color w:val="3D3B3B"/>
          <w:w w:val="110"/>
        </w:rPr>
        <w:t>In these days of digital recordkeeping, you may find that some or all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of the record materials are available in digital form. In that situation, it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may be wise to create links to the full text of the record while creating the</w:t>
      </w:r>
      <w:r>
        <w:rPr>
          <w:color w:val="3D3B3B"/>
          <w:spacing w:val="-61"/>
          <w:w w:val="110"/>
        </w:rPr>
        <w:t> </w:t>
      </w:r>
      <w:r>
        <w:rPr>
          <w:color w:val="3D3B3B"/>
          <w:w w:val="110"/>
        </w:rPr>
        <w:t>abstract. But be sure that youstill take the time to include relevant quota­</w:t>
      </w:r>
      <w:r>
        <w:rPr>
          <w:color w:val="3D3B3B"/>
          <w:spacing w:val="1"/>
          <w:w w:val="110"/>
        </w:rPr>
        <w:t> </w:t>
      </w:r>
      <w:r>
        <w:rPr>
          <w:color w:val="3D3B3B"/>
          <w:spacing w:val="-1"/>
          <w:w w:val="110"/>
        </w:rPr>
        <w:t>tions</w:t>
      </w:r>
      <w:r>
        <w:rPr>
          <w:color w:val="3D3B3B"/>
          <w:spacing w:val="-26"/>
          <w:w w:val="110"/>
        </w:rPr>
        <w:t> </w:t>
      </w:r>
      <w:r>
        <w:rPr>
          <w:color w:val="3D3B3B"/>
          <w:spacing w:val="-1"/>
          <w:w w:val="110"/>
        </w:rPr>
        <w:t>and</w:t>
      </w:r>
      <w:r>
        <w:rPr>
          <w:color w:val="3D3B3B"/>
          <w:spacing w:val="-10"/>
          <w:w w:val="110"/>
        </w:rPr>
        <w:t> </w:t>
      </w:r>
      <w:r>
        <w:rPr>
          <w:color w:val="3D3B3B"/>
          <w:spacing w:val="-1"/>
          <w:w w:val="110"/>
        </w:rPr>
        <w:t>paraphrases</w:t>
      </w:r>
      <w:r>
        <w:rPr>
          <w:color w:val="3D3B3B"/>
          <w:spacing w:val="-15"/>
          <w:w w:val="110"/>
        </w:rPr>
        <w:t> </w:t>
      </w:r>
      <w:r>
        <w:rPr>
          <w:color w:val="3D3B3B"/>
          <w:w w:val="110"/>
        </w:rPr>
        <w:t>in</w:t>
      </w:r>
      <w:r>
        <w:rPr>
          <w:color w:val="3D3B3B"/>
          <w:spacing w:val="16"/>
          <w:w w:val="110"/>
        </w:rPr>
        <w:t> </w:t>
      </w:r>
      <w:r>
        <w:rPr>
          <w:color w:val="3D3B3B"/>
          <w:w w:val="110"/>
        </w:rPr>
        <w:t>the</w:t>
      </w:r>
      <w:r>
        <w:rPr>
          <w:color w:val="3D3B3B"/>
          <w:spacing w:val="10"/>
          <w:w w:val="110"/>
        </w:rPr>
        <w:t> </w:t>
      </w:r>
      <w:r>
        <w:rPr>
          <w:color w:val="3D3B3B"/>
          <w:w w:val="110"/>
        </w:rPr>
        <w:t>abstract</w:t>
      </w:r>
      <w:r>
        <w:rPr>
          <w:color w:val="3D3B3B"/>
          <w:spacing w:val="-14"/>
          <w:w w:val="110"/>
        </w:rPr>
        <w:t> </w:t>
      </w:r>
      <w:r>
        <w:rPr>
          <w:color w:val="3D3B3B"/>
          <w:w w:val="110"/>
        </w:rPr>
        <w:t>itself.</w:t>
      </w:r>
      <w:r>
        <w:rPr>
          <w:color w:val="3D3B3B"/>
          <w:spacing w:val="-18"/>
          <w:w w:val="110"/>
        </w:rPr>
        <w:t> </w:t>
      </w:r>
      <w:r>
        <w:rPr>
          <w:color w:val="3D3B3B"/>
          <w:w w:val="110"/>
        </w:rPr>
        <w:t>Do</w:t>
      </w:r>
      <w:r>
        <w:rPr>
          <w:color w:val="3D3B3B"/>
          <w:spacing w:val="-21"/>
          <w:w w:val="110"/>
        </w:rPr>
        <w:t> </w:t>
      </w:r>
      <w:r>
        <w:rPr>
          <w:color w:val="3D3B3B"/>
          <w:w w:val="110"/>
        </w:rPr>
        <w:t>not</w:t>
      </w:r>
      <w:r>
        <w:rPr>
          <w:color w:val="3D3B3B"/>
          <w:spacing w:val="14"/>
          <w:w w:val="110"/>
        </w:rPr>
        <w:t> </w:t>
      </w:r>
      <w:r>
        <w:rPr>
          <w:color w:val="3D3B3B"/>
          <w:w w:val="110"/>
        </w:rPr>
        <w:t>let</w:t>
      </w:r>
      <w:r>
        <w:rPr>
          <w:color w:val="3D3B3B"/>
          <w:spacing w:val="-1"/>
          <w:w w:val="110"/>
        </w:rPr>
        <w:t> </w:t>
      </w:r>
      <w:r>
        <w:rPr>
          <w:color w:val="3D3B3B"/>
          <w:w w:val="110"/>
        </w:rPr>
        <w:t>the ease</w:t>
      </w:r>
      <w:r>
        <w:rPr>
          <w:color w:val="3D3B3B"/>
          <w:spacing w:val="-33"/>
          <w:w w:val="110"/>
        </w:rPr>
        <w:t> </w:t>
      </w:r>
      <w:r>
        <w:rPr>
          <w:color w:val="3D3B3B"/>
          <w:w w:val="110"/>
        </w:rPr>
        <w:t>of</w:t>
      </w:r>
      <w:r>
        <w:rPr>
          <w:color w:val="3D3B3B"/>
          <w:spacing w:val="-8"/>
          <w:w w:val="110"/>
        </w:rPr>
        <w:t> </w:t>
      </w:r>
      <w:r>
        <w:rPr>
          <w:color w:val="3D3B3B"/>
          <w:w w:val="110"/>
        </w:rPr>
        <w:t>switching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to full text make you skip the important step of reading and rereading the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complete record and creating a careful summary of the information, as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well</w:t>
      </w:r>
      <w:r>
        <w:rPr>
          <w:color w:val="3D3B3B"/>
          <w:spacing w:val="-9"/>
          <w:w w:val="110"/>
        </w:rPr>
        <w:t> </w:t>
      </w:r>
      <w:r>
        <w:rPr>
          <w:color w:val="3D3B3B"/>
          <w:w w:val="110"/>
        </w:rPr>
        <w:t>as</w:t>
      </w:r>
      <w:r>
        <w:rPr>
          <w:color w:val="3D3B3B"/>
          <w:spacing w:val="-5"/>
          <w:w w:val="110"/>
        </w:rPr>
        <w:t> </w:t>
      </w:r>
      <w:r>
        <w:rPr>
          <w:color w:val="3D3B3B"/>
          <w:w w:val="110"/>
        </w:rPr>
        <w:t>creating</w:t>
      </w:r>
      <w:r>
        <w:rPr>
          <w:color w:val="3D3B3B"/>
          <w:spacing w:val="-14"/>
          <w:w w:val="110"/>
        </w:rPr>
        <w:t> </w:t>
      </w:r>
      <w:r>
        <w:rPr>
          <w:color w:val="3D3B3B"/>
          <w:w w:val="110"/>
        </w:rPr>
        <w:t>a</w:t>
      </w:r>
      <w:r>
        <w:rPr>
          <w:color w:val="3D3B3B"/>
          <w:spacing w:val="2"/>
          <w:w w:val="110"/>
        </w:rPr>
        <w:t> </w:t>
      </w:r>
      <w:r>
        <w:rPr>
          <w:color w:val="3D3B3B"/>
          <w:w w:val="110"/>
        </w:rPr>
        <w:t>record</w:t>
      </w:r>
      <w:r>
        <w:rPr>
          <w:color w:val="3D3B3B"/>
          <w:spacing w:val="-11"/>
          <w:w w:val="110"/>
        </w:rPr>
        <w:t> </w:t>
      </w:r>
      <w:r>
        <w:rPr>
          <w:color w:val="3D3B3B"/>
          <w:w w:val="110"/>
        </w:rPr>
        <w:t>of</w:t>
      </w:r>
      <w:r>
        <w:rPr>
          <w:color w:val="3D3B3B"/>
          <w:spacing w:val="4"/>
          <w:w w:val="110"/>
        </w:rPr>
        <w:t> </w:t>
      </w:r>
      <w:r>
        <w:rPr>
          <w:color w:val="3D3B3B"/>
          <w:w w:val="110"/>
        </w:rPr>
        <w:t>your</w:t>
      </w:r>
      <w:r>
        <w:rPr>
          <w:color w:val="3D3B3B"/>
          <w:spacing w:val="-7"/>
          <w:w w:val="110"/>
        </w:rPr>
        <w:t> </w:t>
      </w:r>
      <w:r>
        <w:rPr>
          <w:color w:val="3D3B3B"/>
          <w:w w:val="110"/>
        </w:rPr>
        <w:t>thoughts</w:t>
      </w:r>
      <w:r>
        <w:rPr>
          <w:color w:val="3D3B3B"/>
          <w:spacing w:val="-17"/>
          <w:w w:val="110"/>
        </w:rPr>
        <w:t> </w:t>
      </w:r>
      <w:r>
        <w:rPr>
          <w:color w:val="3D3B3B"/>
          <w:w w:val="110"/>
        </w:rPr>
        <w:t>as</w:t>
      </w:r>
      <w:r>
        <w:rPr>
          <w:color w:val="3D3B3B"/>
          <w:spacing w:val="-17"/>
          <w:w w:val="110"/>
        </w:rPr>
        <w:t> </w:t>
      </w:r>
      <w:r>
        <w:rPr>
          <w:color w:val="3D3B3B"/>
          <w:w w:val="110"/>
        </w:rPr>
        <w:t>you</w:t>
      </w:r>
      <w:r>
        <w:rPr>
          <w:color w:val="3D3B3B"/>
          <w:spacing w:val="-8"/>
          <w:w w:val="110"/>
        </w:rPr>
        <w:t> </w:t>
      </w:r>
      <w:r>
        <w:rPr>
          <w:color w:val="3D3B3B"/>
          <w:w w:val="110"/>
        </w:rPr>
        <w:t>review</w:t>
      </w:r>
      <w:r>
        <w:rPr>
          <w:color w:val="3D3B3B"/>
          <w:spacing w:val="-9"/>
          <w:w w:val="110"/>
        </w:rPr>
        <w:t> </w:t>
      </w:r>
      <w:r>
        <w:rPr>
          <w:color w:val="3D3B3B"/>
          <w:w w:val="110"/>
        </w:rPr>
        <w:t>the</w:t>
      </w:r>
      <w:r>
        <w:rPr>
          <w:color w:val="3D3B3B"/>
          <w:spacing w:val="49"/>
          <w:w w:val="110"/>
        </w:rPr>
        <w:t> </w:t>
      </w:r>
      <w:r>
        <w:rPr>
          <w:color w:val="3D3B3B"/>
          <w:w w:val="110"/>
        </w:rPr>
        <w:t>record.</w:t>
      </w:r>
    </w:p>
    <w:p>
      <w:pPr>
        <w:pStyle w:val="BodyText"/>
        <w:spacing w:line="232" w:lineRule="auto" w:before="8"/>
        <w:ind w:left="720" w:right="108" w:firstLine="360"/>
        <w:jc w:val="both"/>
      </w:pPr>
      <w:r>
        <w:rPr>
          <w:color w:val="3D3B3B"/>
          <w:w w:val="110"/>
        </w:rPr>
        <w:t>Creating an abstract may be time-consuming, but it can actually save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time in the long run. The process of creating an abstract helps you get to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05"/>
        </w:rPr>
        <w:t>know the realities of your case and</w:t>
      </w:r>
      <w:r>
        <w:rPr>
          <w:color w:val="3D3B3B"/>
          <w:spacing w:val="1"/>
          <w:w w:val="105"/>
        </w:rPr>
        <w:t> </w:t>
      </w:r>
      <w:r>
        <w:rPr>
          <w:color w:val="3D3B3B"/>
          <w:w w:val="105"/>
        </w:rPr>
        <w:t>lets you rely on</w:t>
      </w:r>
      <w:r>
        <w:rPr>
          <w:color w:val="3D3B3B"/>
          <w:spacing w:val="1"/>
          <w:w w:val="105"/>
        </w:rPr>
        <w:t> </w:t>
      </w:r>
      <w:r>
        <w:rPr>
          <w:color w:val="3D3B3B"/>
          <w:w w:val="105"/>
        </w:rPr>
        <w:t>recorded information</w:t>
      </w:r>
      <w:r>
        <w:rPr>
          <w:color w:val="3D3B3B"/>
          <w:spacing w:val="1"/>
          <w:w w:val="105"/>
        </w:rPr>
        <w:t> </w:t>
      </w:r>
      <w:r>
        <w:rPr>
          <w:color w:val="3D3B3B"/>
          <w:w w:val="110"/>
        </w:rPr>
        <w:t>instead of memory</w:t>
      </w:r>
      <w:r>
        <w:rPr>
          <w:color w:val="5B5B5D"/>
          <w:w w:val="110"/>
        </w:rPr>
        <w:t>. </w:t>
      </w:r>
      <w:r>
        <w:rPr>
          <w:color w:val="3D3B3B"/>
          <w:w w:val="110"/>
        </w:rPr>
        <w:t>During brief-writing, a good abstract makes it easier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for you to support your fact statement and your arguments with vital cita­</w:t>
      </w:r>
      <w:r>
        <w:rPr>
          <w:color w:val="3D3B3B"/>
          <w:spacing w:val="-61"/>
          <w:w w:val="110"/>
        </w:rPr>
        <w:t> </w:t>
      </w:r>
      <w:r>
        <w:rPr>
          <w:color w:val="3D3B3B"/>
          <w:w w:val="110"/>
        </w:rPr>
        <w:t>tions</w:t>
      </w:r>
      <w:r>
        <w:rPr>
          <w:color w:val="3D3B3B"/>
          <w:spacing w:val="-15"/>
          <w:w w:val="110"/>
        </w:rPr>
        <w:t> </w:t>
      </w:r>
      <w:r>
        <w:rPr>
          <w:color w:val="3D3B3B"/>
          <w:w w:val="110"/>
        </w:rPr>
        <w:t>to</w:t>
      </w:r>
      <w:r>
        <w:rPr>
          <w:color w:val="3D3B3B"/>
          <w:spacing w:val="-8"/>
          <w:w w:val="110"/>
        </w:rPr>
        <w:t> </w:t>
      </w:r>
      <w:r>
        <w:rPr>
          <w:color w:val="3D3B3B"/>
          <w:w w:val="110"/>
        </w:rPr>
        <w:t>the record.</w:t>
      </w:r>
      <w:r>
        <w:rPr>
          <w:color w:val="3D3B3B"/>
          <w:spacing w:val="-6"/>
          <w:w w:val="110"/>
        </w:rPr>
        <w:t> </w:t>
      </w:r>
      <w:r>
        <w:rPr>
          <w:color w:val="3D3B3B"/>
          <w:w w:val="110"/>
        </w:rPr>
        <w:t>When</w:t>
      </w:r>
      <w:r>
        <w:rPr>
          <w:color w:val="3D3B3B"/>
          <w:spacing w:val="-9"/>
          <w:w w:val="110"/>
        </w:rPr>
        <w:t> </w:t>
      </w:r>
      <w:r>
        <w:rPr>
          <w:color w:val="3D3B3B"/>
          <w:w w:val="110"/>
        </w:rPr>
        <w:t>you</w:t>
      </w:r>
      <w:r>
        <w:rPr>
          <w:color w:val="3D3B3B"/>
          <w:spacing w:val="-7"/>
          <w:w w:val="110"/>
        </w:rPr>
        <w:t> </w:t>
      </w:r>
      <w:r>
        <w:rPr>
          <w:color w:val="3D3B3B"/>
          <w:w w:val="110"/>
        </w:rPr>
        <w:t>prepare</w:t>
      </w:r>
      <w:r>
        <w:rPr>
          <w:color w:val="3D3B3B"/>
          <w:spacing w:val="-5"/>
          <w:w w:val="110"/>
        </w:rPr>
        <w:t> </w:t>
      </w:r>
      <w:r>
        <w:rPr>
          <w:color w:val="3D3B3B"/>
          <w:w w:val="110"/>
        </w:rPr>
        <w:t>for</w:t>
      </w:r>
      <w:r>
        <w:rPr>
          <w:color w:val="3D3B3B"/>
          <w:spacing w:val="-11"/>
          <w:w w:val="110"/>
        </w:rPr>
        <w:t> </w:t>
      </w:r>
      <w:r>
        <w:rPr>
          <w:color w:val="3D3B3B"/>
          <w:w w:val="110"/>
        </w:rPr>
        <w:t>oral</w:t>
      </w:r>
      <w:r>
        <w:rPr>
          <w:color w:val="3D3B3B"/>
          <w:spacing w:val="-17"/>
          <w:w w:val="110"/>
        </w:rPr>
        <w:t> </w:t>
      </w:r>
      <w:r>
        <w:rPr>
          <w:color w:val="3D3B3B"/>
          <w:w w:val="110"/>
        </w:rPr>
        <w:t>argument,</w:t>
      </w:r>
      <w:r>
        <w:rPr>
          <w:color w:val="3D3B3B"/>
          <w:spacing w:val="-1"/>
          <w:w w:val="110"/>
        </w:rPr>
        <w:t> </w:t>
      </w:r>
      <w:r>
        <w:rPr>
          <w:color w:val="3D3B3B"/>
          <w:w w:val="110"/>
        </w:rPr>
        <w:t>you</w:t>
      </w:r>
      <w:r>
        <w:rPr>
          <w:color w:val="3D3B3B"/>
          <w:spacing w:val="-17"/>
          <w:w w:val="110"/>
        </w:rPr>
        <w:t> </w:t>
      </w:r>
      <w:r>
        <w:rPr>
          <w:color w:val="3D3B3B"/>
          <w:w w:val="110"/>
        </w:rPr>
        <w:t>can</w:t>
      </w:r>
      <w:r>
        <w:rPr>
          <w:color w:val="3D3B3B"/>
          <w:spacing w:val="11"/>
          <w:w w:val="110"/>
        </w:rPr>
        <w:t> </w:t>
      </w:r>
      <w:r>
        <w:rPr>
          <w:color w:val="3D3B3B"/>
          <w:w w:val="110"/>
        </w:rPr>
        <w:t>use</w:t>
      </w:r>
      <w:r>
        <w:rPr>
          <w:color w:val="3D3B3B"/>
          <w:spacing w:val="-12"/>
          <w:w w:val="110"/>
        </w:rPr>
        <w:t> </w:t>
      </w:r>
      <w:r>
        <w:rPr>
          <w:color w:val="3D3B3B"/>
          <w:w w:val="110"/>
        </w:rPr>
        <w:t>your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abstract to</w:t>
      </w:r>
      <w:r>
        <w:rPr>
          <w:color w:val="3D3B3B"/>
          <w:spacing w:val="3"/>
          <w:w w:val="110"/>
        </w:rPr>
        <w:t> </w:t>
      </w:r>
      <w:r>
        <w:rPr>
          <w:color w:val="3D3B3B"/>
          <w:w w:val="110"/>
        </w:rPr>
        <w:t>study</w:t>
      </w:r>
      <w:r>
        <w:rPr>
          <w:color w:val="3D3B3B"/>
          <w:spacing w:val="-12"/>
          <w:w w:val="110"/>
        </w:rPr>
        <w:t> </w:t>
      </w:r>
      <w:r>
        <w:rPr>
          <w:color w:val="3D3B3B"/>
          <w:w w:val="110"/>
        </w:rPr>
        <w:t>the</w:t>
      </w:r>
      <w:r>
        <w:rPr>
          <w:color w:val="3D3B3B"/>
          <w:spacing w:val="-1"/>
          <w:w w:val="110"/>
        </w:rPr>
        <w:t> </w:t>
      </w:r>
      <w:r>
        <w:rPr>
          <w:color w:val="3D3B3B"/>
          <w:w w:val="110"/>
        </w:rPr>
        <w:t>crucial</w:t>
      </w:r>
      <w:r>
        <w:rPr>
          <w:color w:val="3D3B3B"/>
          <w:spacing w:val="5"/>
          <w:w w:val="110"/>
        </w:rPr>
        <w:t> </w:t>
      </w:r>
      <w:r>
        <w:rPr>
          <w:color w:val="3D3B3B"/>
          <w:w w:val="110"/>
        </w:rPr>
        <w:t>facts,</w:t>
      </w:r>
      <w:r>
        <w:rPr>
          <w:color w:val="3D3B3B"/>
          <w:spacing w:val="-20"/>
          <w:w w:val="110"/>
        </w:rPr>
        <w:t> </w:t>
      </w:r>
      <w:r>
        <w:rPr>
          <w:color w:val="3D3B3B"/>
          <w:w w:val="110"/>
        </w:rPr>
        <w:t>so</w:t>
      </w:r>
      <w:r>
        <w:rPr>
          <w:color w:val="3D3B3B"/>
          <w:spacing w:val="2"/>
          <w:w w:val="110"/>
        </w:rPr>
        <w:t> </w:t>
      </w:r>
      <w:r>
        <w:rPr>
          <w:color w:val="3D3B3B"/>
          <w:w w:val="110"/>
        </w:rPr>
        <w:t>that</w:t>
      </w:r>
      <w:r>
        <w:rPr>
          <w:color w:val="3D3B3B"/>
          <w:spacing w:val="-27"/>
          <w:w w:val="110"/>
        </w:rPr>
        <w:t> </w:t>
      </w:r>
      <w:r>
        <w:rPr>
          <w:color w:val="3D3B3B"/>
          <w:w w:val="110"/>
        </w:rPr>
        <w:t>you</w:t>
      </w:r>
      <w:r>
        <w:rPr>
          <w:color w:val="3D3B3B"/>
          <w:spacing w:val="-36"/>
          <w:w w:val="110"/>
        </w:rPr>
        <w:t> </w:t>
      </w:r>
      <w:r>
        <w:rPr>
          <w:color w:val="3D3B3B"/>
          <w:w w:val="110"/>
        </w:rPr>
        <w:t>canrefer</w:t>
      </w:r>
      <w:r>
        <w:rPr>
          <w:color w:val="3D3B3B"/>
          <w:spacing w:val="-5"/>
          <w:w w:val="110"/>
        </w:rPr>
        <w:t> </w:t>
      </w:r>
      <w:r>
        <w:rPr>
          <w:color w:val="3D3B3B"/>
          <w:w w:val="110"/>
        </w:rPr>
        <w:t>the</w:t>
      </w:r>
      <w:r>
        <w:rPr>
          <w:color w:val="3D3B3B"/>
          <w:spacing w:val="15"/>
          <w:w w:val="110"/>
        </w:rPr>
        <w:t> </w:t>
      </w:r>
      <w:r>
        <w:rPr>
          <w:color w:val="3D3B3B"/>
          <w:w w:val="110"/>
        </w:rPr>
        <w:t>court</w:t>
      </w:r>
      <w:r>
        <w:rPr>
          <w:color w:val="3D3B3B"/>
          <w:spacing w:val="-9"/>
          <w:w w:val="110"/>
        </w:rPr>
        <w:t> </w:t>
      </w:r>
      <w:r>
        <w:rPr>
          <w:color w:val="3D3B3B"/>
          <w:w w:val="110"/>
        </w:rPr>
        <w:t>to</w:t>
      </w:r>
      <w:r>
        <w:rPr>
          <w:color w:val="3D3B3B"/>
          <w:spacing w:val="-13"/>
          <w:w w:val="110"/>
        </w:rPr>
        <w:t> </w:t>
      </w:r>
      <w:r>
        <w:rPr>
          <w:color w:val="3D3B3B"/>
          <w:w w:val="110"/>
        </w:rPr>
        <w:t>specific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record</w:t>
      </w:r>
      <w:r>
        <w:rPr>
          <w:color w:val="3D3B3B"/>
          <w:spacing w:val="6"/>
          <w:w w:val="110"/>
        </w:rPr>
        <w:t> </w:t>
      </w:r>
      <w:r>
        <w:rPr>
          <w:color w:val="3D3B3B"/>
          <w:w w:val="110"/>
        </w:rPr>
        <w:t>pages</w:t>
      </w:r>
      <w:r>
        <w:rPr>
          <w:color w:val="3D3B3B"/>
          <w:spacing w:val="-13"/>
          <w:w w:val="110"/>
        </w:rPr>
        <w:t> </w:t>
      </w:r>
      <w:r>
        <w:rPr>
          <w:color w:val="3D3B3B"/>
          <w:w w:val="110"/>
        </w:rPr>
        <w:t>as</w:t>
      </w:r>
      <w:r>
        <w:rPr>
          <w:color w:val="3D3B3B"/>
          <w:spacing w:val="-1"/>
          <w:w w:val="110"/>
        </w:rPr>
        <w:t> </w:t>
      </w:r>
      <w:r>
        <w:rPr>
          <w:color w:val="3D3B3B"/>
          <w:w w:val="110"/>
        </w:rPr>
        <w:t>needed.</w:t>
      </w:r>
    </w:p>
    <w:p>
      <w:pPr>
        <w:pStyle w:val="BodyText"/>
        <w:rPr>
          <w:sz w:val="26"/>
        </w:rPr>
      </w:pPr>
    </w:p>
    <w:p>
      <w:pPr>
        <w:spacing w:before="157"/>
        <w:ind w:left="1346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3D3B3B"/>
          <w:w w:val="105"/>
          <w:sz w:val="32"/>
        </w:rPr>
        <w:t>3</w:t>
      </w:r>
      <w:r>
        <w:rPr>
          <w:rFonts w:ascii="Arial"/>
          <w:b/>
          <w:color w:val="5B5B5D"/>
          <w:w w:val="105"/>
          <w:sz w:val="32"/>
        </w:rPr>
        <w:t>.</w:t>
      </w:r>
      <w:r>
        <w:rPr>
          <w:rFonts w:ascii="Arial"/>
          <w:b/>
          <w:color w:val="3D3B3B"/>
          <w:w w:val="105"/>
          <w:sz w:val="32"/>
        </w:rPr>
        <w:t>2</w:t>
      </w:r>
    </w:p>
    <w:p>
      <w:pPr>
        <w:spacing w:before="64"/>
        <w:ind w:left="1339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3D3B3B"/>
          <w:sz w:val="26"/>
        </w:rPr>
        <w:t>PLA</w:t>
      </w:r>
      <w:r>
        <w:rPr>
          <w:rFonts w:ascii="Arial"/>
          <w:b/>
          <w:color w:val="5B5B5D"/>
          <w:sz w:val="26"/>
        </w:rPr>
        <w:t>NNI</w:t>
      </w:r>
      <w:r>
        <w:rPr>
          <w:rFonts w:ascii="Arial"/>
          <w:b/>
          <w:color w:val="3D3B3B"/>
          <w:sz w:val="26"/>
        </w:rPr>
        <w:t>NG</w:t>
      </w:r>
      <w:r>
        <w:rPr>
          <w:rFonts w:ascii="Arial"/>
          <w:b/>
          <w:color w:val="3D3B3B"/>
          <w:spacing w:val="39"/>
          <w:sz w:val="26"/>
        </w:rPr>
        <w:t> </w:t>
      </w:r>
      <w:r>
        <w:rPr>
          <w:rFonts w:ascii="Arial"/>
          <w:b/>
          <w:color w:val="3D3B3B"/>
          <w:sz w:val="26"/>
        </w:rPr>
        <w:t>YOUR</w:t>
      </w:r>
      <w:r>
        <w:rPr>
          <w:rFonts w:ascii="Arial"/>
          <w:b/>
          <w:color w:val="3D3B3B"/>
          <w:spacing w:val="26"/>
          <w:sz w:val="26"/>
        </w:rPr>
        <w:t> </w:t>
      </w:r>
      <w:r>
        <w:rPr>
          <w:rFonts w:ascii="Arial"/>
          <w:b/>
          <w:color w:val="3D3B3B"/>
          <w:sz w:val="26"/>
        </w:rPr>
        <w:t>RE</w:t>
      </w:r>
      <w:r>
        <w:rPr>
          <w:rFonts w:ascii="Arial"/>
          <w:b/>
          <w:color w:val="5B5B5D"/>
          <w:sz w:val="26"/>
        </w:rPr>
        <w:t>SEAR</w:t>
      </w:r>
      <w:r>
        <w:rPr>
          <w:rFonts w:ascii="Arial"/>
          <w:b/>
          <w:color w:val="3D3B3B"/>
          <w:sz w:val="26"/>
        </w:rPr>
        <w:t>CH</w:t>
      </w: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spacing w:before="0"/>
        <w:ind w:left="1076" w:right="0" w:firstLine="0"/>
        <w:jc w:val="left"/>
        <w:rPr>
          <w:sz w:val="30"/>
        </w:rPr>
      </w:pPr>
      <w:r>
        <w:rPr>
          <w:color w:val="3D3B3B"/>
          <w:w w:val="110"/>
          <w:sz w:val="30"/>
        </w:rPr>
        <w:t>3.2.1</w:t>
      </w:r>
    </w:p>
    <w:p>
      <w:pPr>
        <w:spacing w:before="29"/>
        <w:ind w:left="1063" w:right="0" w:firstLine="0"/>
        <w:jc w:val="left"/>
        <w:rPr>
          <w:b/>
          <w:sz w:val="24"/>
        </w:rPr>
      </w:pPr>
      <w:r>
        <w:rPr>
          <w:rFonts w:ascii="Arial"/>
          <w:color w:val="3D3B3B"/>
          <w:sz w:val="22"/>
        </w:rPr>
        <w:t>BEGIN</w:t>
      </w:r>
      <w:r>
        <w:rPr>
          <w:rFonts w:ascii="Arial"/>
          <w:color w:val="3D3B3B"/>
          <w:spacing w:val="16"/>
          <w:sz w:val="22"/>
        </w:rPr>
        <w:t> </w:t>
      </w:r>
      <w:r>
        <w:rPr>
          <w:rFonts w:ascii="Arial"/>
          <w:color w:val="3D3B3B"/>
          <w:sz w:val="22"/>
        </w:rPr>
        <w:t>AT</w:t>
      </w:r>
      <w:r>
        <w:rPr>
          <w:rFonts w:ascii="Arial"/>
          <w:color w:val="3D3B3B"/>
          <w:spacing w:val="-4"/>
          <w:sz w:val="22"/>
        </w:rPr>
        <w:t> </w:t>
      </w:r>
      <w:r>
        <w:rPr>
          <w:rFonts w:ascii="Arial"/>
          <w:color w:val="3D3B3B"/>
          <w:sz w:val="22"/>
        </w:rPr>
        <w:t>THE</w:t>
      </w:r>
      <w:r>
        <w:rPr>
          <w:rFonts w:ascii="Arial"/>
          <w:color w:val="3D3B3B"/>
          <w:spacing w:val="16"/>
          <w:sz w:val="22"/>
        </w:rPr>
        <w:t> </w:t>
      </w:r>
      <w:r>
        <w:rPr>
          <w:rFonts w:ascii="Arial"/>
          <w:color w:val="3D3B3B"/>
          <w:sz w:val="22"/>
        </w:rPr>
        <w:t>BEGINNING:</w:t>
      </w:r>
      <w:r>
        <w:rPr>
          <w:rFonts w:ascii="Arial"/>
          <w:color w:val="3D3B3B"/>
          <w:spacing w:val="31"/>
          <w:sz w:val="22"/>
        </w:rPr>
        <w:t> </w:t>
      </w:r>
      <w:r>
        <w:rPr>
          <w:rFonts w:ascii="Arial"/>
          <w:color w:val="3D3B3B"/>
          <w:sz w:val="22"/>
        </w:rPr>
        <w:t>DECIDE</w:t>
      </w:r>
      <w:r>
        <w:rPr>
          <w:rFonts w:ascii="Arial"/>
          <w:color w:val="3D3B3B"/>
          <w:spacing w:val="34"/>
          <w:sz w:val="22"/>
        </w:rPr>
        <w:t> </w:t>
      </w:r>
      <w:r>
        <w:rPr>
          <w:rFonts w:ascii="Arial"/>
          <w:b/>
          <w:color w:val="3D3B3B"/>
          <w:sz w:val="22"/>
        </w:rPr>
        <w:t>WHAT</w:t>
      </w:r>
      <w:r>
        <w:rPr>
          <w:rFonts w:ascii="Arial"/>
          <w:b/>
          <w:color w:val="3D3B3B"/>
          <w:spacing w:val="13"/>
          <w:sz w:val="22"/>
        </w:rPr>
        <w:t> </w:t>
      </w:r>
      <w:r>
        <w:rPr>
          <w:b/>
          <w:color w:val="3D3B3B"/>
          <w:sz w:val="24"/>
        </w:rPr>
        <w:t>QUESTIONS</w:t>
      </w:r>
      <w:r>
        <w:rPr>
          <w:b/>
          <w:color w:val="3D3B3B"/>
          <w:spacing w:val="75"/>
          <w:sz w:val="24"/>
        </w:rPr>
        <w:t> </w:t>
      </w:r>
      <w:r>
        <w:rPr>
          <w:b/>
          <w:color w:val="3D3B3B"/>
          <w:sz w:val="24"/>
        </w:rPr>
        <w:t>YO</w:t>
      </w:r>
      <w:r>
        <w:rPr>
          <w:b/>
          <w:color w:val="5B5B5D"/>
          <w:sz w:val="24"/>
        </w:rPr>
        <w:t>U</w:t>
      </w:r>
    </w:p>
    <w:p>
      <w:pPr>
        <w:spacing w:before="42"/>
        <w:ind w:left="1072" w:right="0" w:firstLine="0"/>
        <w:jc w:val="left"/>
        <w:rPr>
          <w:b/>
          <w:sz w:val="24"/>
        </w:rPr>
      </w:pPr>
      <w:r>
        <w:rPr>
          <w:color w:val="3D3B3B"/>
          <w:w w:val="95"/>
          <w:sz w:val="24"/>
        </w:rPr>
        <w:t>NEED</w:t>
      </w:r>
      <w:r>
        <w:rPr>
          <w:color w:val="3D3B3B"/>
          <w:spacing w:val="14"/>
          <w:w w:val="95"/>
          <w:sz w:val="24"/>
        </w:rPr>
        <w:t> </w:t>
      </w:r>
      <w:r>
        <w:rPr>
          <w:color w:val="3D3B3B"/>
          <w:w w:val="95"/>
          <w:sz w:val="23"/>
        </w:rPr>
        <w:t>TO</w:t>
      </w:r>
      <w:r>
        <w:rPr>
          <w:color w:val="3D3B3B"/>
          <w:spacing w:val="3"/>
          <w:w w:val="95"/>
          <w:sz w:val="23"/>
        </w:rPr>
        <w:t> </w:t>
      </w:r>
      <w:r>
        <w:rPr>
          <w:b/>
          <w:color w:val="3D3B3B"/>
          <w:w w:val="95"/>
          <w:sz w:val="24"/>
        </w:rPr>
        <w:t>ANSWER</w:t>
      </w:r>
    </w:p>
    <w:p>
      <w:pPr>
        <w:pStyle w:val="BodyText"/>
        <w:spacing w:line="237" w:lineRule="auto" w:before="149"/>
        <w:ind w:left="556" w:right="137" w:firstLine="450"/>
        <w:jc w:val="both"/>
      </w:pPr>
      <w:r>
        <w:rPr>
          <w:color w:val="3D3B3B"/>
          <w:w w:val="110"/>
        </w:rPr>
        <w:t>Effective legal research begins before you go to the library or access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the Web. Of course, when you write a brief, you should follow the same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research methods that are relevant to any type of legal research. Be thor­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ough. Take good notes. Be sure to check the validity of your authorities.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This section will address some basic methods of legal research and some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methods that are particularly appropriate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to researching briefs. A good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method to use before starting to research any legal issue is to analyze the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facts that you have at  hand and begin to  identify possible search words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and possible legally significant categories.</w:t>
      </w:r>
      <w:r>
        <w:rPr>
          <w:rFonts w:ascii="Arial" w:hAnsi="Arial"/>
          <w:color w:val="3D3B3B"/>
          <w:w w:val="110"/>
          <w:position w:val="9"/>
          <w:sz w:val="12"/>
        </w:rPr>
        <w:t>4</w:t>
      </w:r>
      <w:r>
        <w:rPr>
          <w:rFonts w:ascii="Arial" w:hAnsi="Arial"/>
          <w:color w:val="3D3B3B"/>
          <w:spacing w:val="1"/>
          <w:w w:val="110"/>
          <w:position w:val="9"/>
          <w:sz w:val="12"/>
        </w:rPr>
        <w:t> </w:t>
      </w:r>
      <w:r>
        <w:rPr>
          <w:color w:val="3D3B3B"/>
          <w:w w:val="110"/>
        </w:rPr>
        <w:t>Then, create "research ques­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tions"</w:t>
      </w:r>
      <w:r>
        <w:rPr>
          <w:color w:val="3D3B3B"/>
          <w:spacing w:val="-9"/>
          <w:w w:val="110"/>
        </w:rPr>
        <w:t> </w:t>
      </w:r>
      <w:r>
        <w:rPr>
          <w:color w:val="3D3B3B"/>
          <w:w w:val="110"/>
        </w:rPr>
        <w:t>based</w:t>
      </w:r>
      <w:r>
        <w:rPr>
          <w:color w:val="3D3B3B"/>
          <w:spacing w:val="-2"/>
          <w:w w:val="110"/>
        </w:rPr>
        <w:t> </w:t>
      </w:r>
      <w:r>
        <w:rPr>
          <w:color w:val="3D3B3B"/>
          <w:w w:val="110"/>
        </w:rPr>
        <w:t>on</w:t>
      </w:r>
      <w:r>
        <w:rPr>
          <w:color w:val="3D3B3B"/>
          <w:spacing w:val="49"/>
          <w:w w:val="110"/>
        </w:rPr>
        <w:t> </w:t>
      </w:r>
      <w:r>
        <w:rPr>
          <w:color w:val="3D3B3B"/>
          <w:w w:val="110"/>
        </w:rPr>
        <w:t>what</w:t>
      </w:r>
      <w:r>
        <w:rPr>
          <w:color w:val="3D3B3B"/>
          <w:spacing w:val="6"/>
          <w:w w:val="110"/>
        </w:rPr>
        <w:t> </w:t>
      </w:r>
      <w:r>
        <w:rPr>
          <w:color w:val="3D3B3B"/>
          <w:w w:val="110"/>
        </w:rPr>
        <w:t>you</w:t>
      </w:r>
      <w:r>
        <w:rPr>
          <w:color w:val="3D3B3B"/>
          <w:spacing w:val="-5"/>
          <w:w w:val="110"/>
        </w:rPr>
        <w:t> </w:t>
      </w:r>
      <w:r>
        <w:rPr>
          <w:color w:val="3D3B3B"/>
          <w:w w:val="110"/>
        </w:rPr>
        <w:t>know</w:t>
      </w:r>
      <w:r>
        <w:rPr>
          <w:color w:val="3D3B3B"/>
          <w:spacing w:val="-11"/>
          <w:w w:val="110"/>
        </w:rPr>
        <w:t> </w:t>
      </w:r>
      <w:r>
        <w:rPr>
          <w:color w:val="3D3B3B"/>
          <w:w w:val="110"/>
        </w:rPr>
        <w:t>about</w:t>
      </w:r>
      <w:r>
        <w:rPr>
          <w:color w:val="3D3B3B"/>
          <w:spacing w:val="4"/>
          <w:w w:val="110"/>
        </w:rPr>
        <w:t> </w:t>
      </w:r>
      <w:r>
        <w:rPr>
          <w:color w:val="3D3B3B"/>
          <w:w w:val="110"/>
        </w:rPr>
        <w:t>the</w:t>
      </w:r>
      <w:r>
        <w:rPr>
          <w:color w:val="3D3B3B"/>
          <w:spacing w:val="-4"/>
          <w:w w:val="110"/>
        </w:rPr>
        <w:t> </w:t>
      </w:r>
      <w:r>
        <w:rPr>
          <w:color w:val="3D3B3B"/>
          <w:w w:val="110"/>
        </w:rPr>
        <w:t>case</w:t>
      </w:r>
      <w:r>
        <w:rPr>
          <w:color w:val="3D3B3B"/>
          <w:spacing w:val="-16"/>
          <w:w w:val="110"/>
        </w:rPr>
        <w:t> </w:t>
      </w:r>
      <w:r>
        <w:rPr>
          <w:color w:val="3D3B3B"/>
          <w:w w:val="110"/>
        </w:rPr>
        <w:t>so</w:t>
      </w:r>
      <w:r>
        <w:rPr>
          <w:color w:val="3D3B3B"/>
          <w:spacing w:val="-4"/>
          <w:w w:val="110"/>
        </w:rPr>
        <w:t> </w:t>
      </w:r>
      <w:r>
        <w:rPr>
          <w:color w:val="3D3B3B"/>
          <w:w w:val="110"/>
        </w:rPr>
        <w:t>far.</w:t>
      </w:r>
    </w:p>
    <w:p>
      <w:pPr>
        <w:pStyle w:val="BodyText"/>
        <w:spacing w:line="237" w:lineRule="auto" w:before="1"/>
        <w:ind w:left="499" w:right="168" w:firstLine="421"/>
        <w:jc w:val="both"/>
      </w:pPr>
      <w:r>
        <w:rPr>
          <w:color w:val="3D3B3B"/>
          <w:w w:val="110"/>
        </w:rPr>
        <w:t>Like all statements of legal issues, your research questions should be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focused on how the relevant law applies to the legally significant facts. </w:t>
      </w:r>
      <w:r>
        <w:rPr>
          <w:i/>
          <w:color w:val="3D3B3B"/>
          <w:w w:val="110"/>
        </w:rPr>
        <w:t>A</w:t>
      </w:r>
      <w:r>
        <w:rPr>
          <w:i/>
          <w:color w:val="3D3B3B"/>
          <w:spacing w:val="1"/>
          <w:w w:val="110"/>
        </w:rPr>
        <w:t> </w:t>
      </w:r>
      <w:r>
        <w:rPr>
          <w:color w:val="3D3B3B"/>
          <w:w w:val="110"/>
        </w:rPr>
        <w:t>popular structure for these questions is the so-called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Under-Does-When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structure.</w:t>
      </w:r>
      <w:r>
        <w:rPr>
          <w:rFonts w:ascii="Arial"/>
          <w:color w:val="3D3B3B"/>
          <w:w w:val="110"/>
          <w:vertAlign w:val="superscript"/>
        </w:rPr>
        <w:t>5</w:t>
      </w:r>
      <w:r>
        <w:rPr>
          <w:rFonts w:ascii="Arial"/>
          <w:color w:val="3D3B3B"/>
          <w:spacing w:val="-19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The</w:t>
      </w:r>
      <w:r>
        <w:rPr>
          <w:color w:val="3D3B3B"/>
          <w:spacing w:val="11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''under"</w:t>
      </w:r>
      <w:r>
        <w:rPr>
          <w:color w:val="3D3B3B"/>
          <w:spacing w:val="-5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part</w:t>
      </w:r>
      <w:r>
        <w:rPr>
          <w:color w:val="3D3B3B"/>
          <w:spacing w:val="-13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of</w:t>
      </w:r>
      <w:r>
        <w:rPr>
          <w:color w:val="3D3B3B"/>
          <w:spacing w:val="26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the</w:t>
      </w:r>
      <w:r>
        <w:rPr>
          <w:color w:val="3D3B3B"/>
          <w:spacing w:val="35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question</w:t>
      </w:r>
      <w:r>
        <w:rPr>
          <w:color w:val="3D3B3B"/>
          <w:spacing w:val="22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identifies</w:t>
      </w:r>
      <w:r>
        <w:rPr>
          <w:color w:val="3D3B3B"/>
          <w:spacing w:val="12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the</w:t>
      </w:r>
      <w:r>
        <w:rPr>
          <w:color w:val="3D3B3B"/>
          <w:spacing w:val="24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law</w:t>
      </w:r>
      <w:r>
        <w:rPr>
          <w:color w:val="3D3B3B"/>
          <w:spacing w:val="-1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that</w:t>
      </w:r>
      <w:r>
        <w:rPr>
          <w:color w:val="3D3B3B"/>
          <w:spacing w:val="-11"/>
          <w:w w:val="110"/>
          <w:vertAlign w:val="baseline"/>
        </w:rPr>
        <w:t> </w:t>
      </w:r>
      <w:r>
        <w:rPr>
          <w:color w:val="3D3B3B"/>
          <w:w w:val="110"/>
          <w:vertAlign w:val="baseline"/>
        </w:rPr>
        <w:t>governs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28"/>
        </w:numPr>
        <w:tabs>
          <w:tab w:pos="924" w:val="left" w:leader="none"/>
        </w:tabs>
        <w:spacing w:line="241" w:lineRule="exact" w:before="1" w:after="0"/>
        <w:ind w:left="923" w:right="0" w:hanging="148"/>
        <w:jc w:val="left"/>
        <w:rPr>
          <w:rFonts w:ascii="Arial" w:hAnsi="Arial"/>
          <w:i/>
          <w:sz w:val="16"/>
        </w:rPr>
      </w:pPr>
      <w:r>
        <w:rPr>
          <w:rFonts w:ascii="Arial" w:hAnsi="Arial"/>
          <w:i/>
          <w:color w:val="3D3B3B"/>
          <w:sz w:val="16"/>
        </w:rPr>
        <w:t>See,</w:t>
      </w:r>
      <w:r>
        <w:rPr>
          <w:rFonts w:ascii="Arial" w:hAnsi="Arial"/>
          <w:i/>
          <w:color w:val="3D3B3B"/>
          <w:spacing w:val="2"/>
          <w:sz w:val="16"/>
        </w:rPr>
        <w:t> </w:t>
      </w:r>
      <w:r>
        <w:rPr>
          <w:rFonts w:ascii="Arial" w:hAnsi="Arial"/>
          <w:i/>
          <w:color w:val="3D3B3B"/>
          <w:sz w:val="16"/>
        </w:rPr>
        <w:t>e</w:t>
      </w:r>
      <w:r>
        <w:rPr>
          <w:rFonts w:ascii="Arial" w:hAnsi="Arial"/>
          <w:i/>
          <w:color w:val="707070"/>
          <w:sz w:val="16"/>
        </w:rPr>
        <w:t>.</w:t>
      </w:r>
      <w:r>
        <w:rPr>
          <w:rFonts w:ascii="Arial" w:hAnsi="Arial"/>
          <w:i/>
          <w:color w:val="3D3B3B"/>
          <w:sz w:val="16"/>
        </w:rPr>
        <w:t>g.</w:t>
      </w:r>
      <w:r>
        <w:rPr>
          <w:rFonts w:ascii="Arial" w:hAnsi="Arial"/>
          <w:i/>
          <w:color w:val="3D3B3B"/>
          <w:spacing w:val="38"/>
          <w:sz w:val="16"/>
        </w:rPr>
        <w:t> </w:t>
      </w:r>
      <w:r>
        <w:rPr>
          <w:color w:val="3D3B3B"/>
          <w:sz w:val="18"/>
        </w:rPr>
        <w:t>Mary</w:t>
      </w:r>
      <w:r>
        <w:rPr>
          <w:color w:val="3D3B3B"/>
          <w:spacing w:val="27"/>
          <w:sz w:val="18"/>
        </w:rPr>
        <w:t> </w:t>
      </w:r>
      <w:r>
        <w:rPr>
          <w:color w:val="3D3B3B"/>
          <w:sz w:val="18"/>
        </w:rPr>
        <w:t>Barnard</w:t>
      </w:r>
      <w:r>
        <w:rPr>
          <w:color w:val="3D3B3B"/>
          <w:spacing w:val="36"/>
          <w:sz w:val="18"/>
        </w:rPr>
        <w:t> </w:t>
      </w:r>
      <w:r>
        <w:rPr>
          <w:color w:val="3D3B3B"/>
          <w:sz w:val="18"/>
        </w:rPr>
        <w:t>Ray</w:t>
      </w:r>
      <w:r>
        <w:rPr>
          <w:color w:val="3D3B3B"/>
          <w:spacing w:val="22"/>
          <w:sz w:val="18"/>
        </w:rPr>
        <w:t> </w:t>
      </w:r>
      <w:r>
        <w:rPr>
          <w:color w:val="3D3B3B"/>
          <w:sz w:val="18"/>
        </w:rPr>
        <w:t>&amp;</w:t>
      </w:r>
      <w:r>
        <w:rPr>
          <w:color w:val="3D3B3B"/>
          <w:spacing w:val="2"/>
          <w:sz w:val="18"/>
        </w:rPr>
        <w:t> </w:t>
      </w:r>
      <w:r>
        <w:rPr>
          <w:rFonts w:ascii="Arial" w:hAnsi="Arial"/>
          <w:color w:val="3D3B3B"/>
          <w:sz w:val="20"/>
        </w:rPr>
        <w:t>JJII</w:t>
      </w:r>
      <w:r>
        <w:rPr>
          <w:rFonts w:ascii="Arial" w:hAnsi="Arial"/>
          <w:color w:val="3D3B3B"/>
          <w:spacing w:val="-12"/>
          <w:sz w:val="20"/>
        </w:rPr>
        <w:t> </w:t>
      </w:r>
      <w:r>
        <w:rPr>
          <w:color w:val="3D3B3B"/>
          <w:sz w:val="22"/>
        </w:rPr>
        <w:t>J</w:t>
      </w:r>
      <w:r>
        <w:rPr>
          <w:color w:val="5B5B5D"/>
          <w:sz w:val="22"/>
        </w:rPr>
        <w:t>.</w:t>
      </w:r>
      <w:r>
        <w:rPr>
          <w:color w:val="5B5B5D"/>
          <w:spacing w:val="14"/>
          <w:sz w:val="22"/>
        </w:rPr>
        <w:t> </w:t>
      </w:r>
      <w:r>
        <w:rPr>
          <w:color w:val="3D3B3B"/>
          <w:sz w:val="18"/>
        </w:rPr>
        <w:t>Ramsfield</w:t>
      </w:r>
      <w:r>
        <w:rPr>
          <w:color w:val="5B5B5D"/>
          <w:sz w:val="18"/>
        </w:rPr>
        <w:t>,</w:t>
      </w:r>
      <w:r>
        <w:rPr>
          <w:color w:val="5B5B5D"/>
          <w:spacing w:val="32"/>
          <w:sz w:val="18"/>
        </w:rPr>
        <w:t> </w:t>
      </w:r>
      <w:r>
        <w:rPr>
          <w:rFonts w:ascii="Arial" w:hAnsi="Arial"/>
          <w:i/>
          <w:color w:val="3D3B3B"/>
          <w:sz w:val="16"/>
        </w:rPr>
        <w:t>Legal</w:t>
      </w:r>
      <w:r>
        <w:rPr>
          <w:rFonts w:ascii="Arial" w:hAnsi="Arial"/>
          <w:i/>
          <w:color w:val="3D3B3B"/>
          <w:spacing w:val="31"/>
          <w:sz w:val="16"/>
        </w:rPr>
        <w:t> </w:t>
      </w:r>
      <w:r>
        <w:rPr>
          <w:rFonts w:ascii="Arial" w:hAnsi="Arial"/>
          <w:i/>
          <w:color w:val="3D3B3B"/>
          <w:sz w:val="16"/>
        </w:rPr>
        <w:t>Writing:</w:t>
      </w:r>
      <w:r>
        <w:rPr>
          <w:rFonts w:ascii="Arial" w:hAnsi="Arial"/>
          <w:i/>
          <w:color w:val="3D3B3B"/>
          <w:spacing w:val="15"/>
          <w:sz w:val="16"/>
        </w:rPr>
        <w:t> </w:t>
      </w:r>
      <w:r>
        <w:rPr>
          <w:rFonts w:ascii="Arial" w:hAnsi="Arial"/>
          <w:i/>
          <w:color w:val="3D3B3B"/>
          <w:sz w:val="16"/>
        </w:rPr>
        <w:t>Getting</w:t>
      </w:r>
      <w:r>
        <w:rPr>
          <w:rFonts w:ascii="Arial" w:hAnsi="Arial"/>
          <w:i/>
          <w:color w:val="3D3B3B"/>
          <w:spacing w:val="6"/>
          <w:sz w:val="16"/>
        </w:rPr>
        <w:t> </w:t>
      </w:r>
      <w:r>
        <w:rPr>
          <w:rFonts w:ascii="Arial" w:hAnsi="Arial"/>
          <w:i/>
          <w:color w:val="3D3B3B"/>
          <w:sz w:val="16"/>
        </w:rPr>
        <w:t>ft</w:t>
      </w:r>
      <w:r>
        <w:rPr>
          <w:rFonts w:ascii="Arial" w:hAnsi="Arial"/>
          <w:i/>
          <w:color w:val="3D3B3B"/>
          <w:spacing w:val="57"/>
          <w:sz w:val="16"/>
        </w:rPr>
        <w:t> </w:t>
      </w:r>
      <w:r>
        <w:rPr>
          <w:rFonts w:ascii="Arial" w:hAnsi="Arial"/>
          <w:i/>
          <w:color w:val="3D3B3B"/>
          <w:sz w:val="16"/>
        </w:rPr>
        <w:t>Righ</w:t>
      </w:r>
      <w:r>
        <w:rPr>
          <w:rFonts w:ascii="Arial" w:hAnsi="Arial"/>
          <w:i/>
          <w:color w:val="3D3B3B"/>
          <w:spacing w:val="11"/>
          <w:sz w:val="16"/>
        </w:rPr>
        <w:t> </w:t>
      </w:r>
      <w:r>
        <w:rPr>
          <w:rFonts w:ascii="Arial" w:hAnsi="Arial"/>
          <w:i/>
          <w:color w:val="3D3B3B"/>
          <w:sz w:val="16"/>
        </w:rPr>
        <w:t>a/Id</w:t>
      </w:r>
      <w:r>
        <w:rPr>
          <w:rFonts w:ascii="Arial" w:hAnsi="Arial"/>
          <w:i/>
          <w:color w:val="3D3B3B"/>
          <w:spacing w:val="7"/>
          <w:sz w:val="16"/>
        </w:rPr>
        <w:t> </w:t>
      </w:r>
      <w:r>
        <w:rPr>
          <w:rFonts w:ascii="Arial" w:hAnsi="Arial"/>
          <w:i/>
          <w:color w:val="3D3B3B"/>
          <w:sz w:val="16"/>
        </w:rPr>
        <w:t>Gettlt1K</w:t>
      </w:r>
      <w:r>
        <w:rPr>
          <w:rFonts w:ascii="Arial" w:hAnsi="Arial"/>
          <w:i/>
          <w:color w:val="3D3B3B"/>
          <w:spacing w:val="18"/>
          <w:sz w:val="16"/>
        </w:rPr>
        <w:t> </w:t>
      </w:r>
      <w:r>
        <w:rPr>
          <w:rFonts w:ascii="Arial" w:hAnsi="Arial"/>
          <w:i/>
          <w:color w:val="3D3B3B"/>
          <w:sz w:val="16"/>
        </w:rPr>
        <w:t>It</w:t>
      </w:r>
    </w:p>
    <w:p>
      <w:pPr>
        <w:spacing w:line="193" w:lineRule="exact" w:before="0"/>
        <w:ind w:left="469" w:right="0" w:firstLine="0"/>
        <w:jc w:val="left"/>
        <w:rPr>
          <w:sz w:val="18"/>
        </w:rPr>
      </w:pPr>
      <w:r>
        <w:rPr>
          <w:rFonts w:ascii="Arial"/>
          <w:i/>
          <w:color w:val="3D3B3B"/>
          <w:w w:val="105"/>
          <w:sz w:val="17"/>
        </w:rPr>
        <w:t>Written</w:t>
      </w:r>
      <w:r>
        <w:rPr>
          <w:rFonts w:ascii="Arial"/>
          <w:i/>
          <w:color w:val="3D3B3B"/>
          <w:spacing w:val="-3"/>
          <w:w w:val="105"/>
          <w:sz w:val="17"/>
        </w:rPr>
        <w:t> </w:t>
      </w:r>
      <w:r>
        <w:rPr>
          <w:color w:val="3D3B3B"/>
          <w:w w:val="105"/>
          <w:sz w:val="18"/>
        </w:rPr>
        <w:t>359</w:t>
      </w:r>
      <w:r>
        <w:rPr>
          <w:color w:val="707070"/>
          <w:w w:val="105"/>
          <w:sz w:val="18"/>
        </w:rPr>
        <w:t>-</w:t>
      </w:r>
      <w:r>
        <w:rPr>
          <w:color w:val="3D3B3B"/>
          <w:w w:val="105"/>
          <w:sz w:val="18"/>
        </w:rPr>
        <w:t>63</w:t>
      </w:r>
      <w:r>
        <w:rPr>
          <w:color w:val="3D3B3B"/>
          <w:spacing w:val="20"/>
          <w:w w:val="105"/>
          <w:sz w:val="18"/>
        </w:rPr>
        <w:t> </w:t>
      </w:r>
      <w:r>
        <w:rPr>
          <w:color w:val="3D3B3B"/>
          <w:w w:val="105"/>
          <w:sz w:val="18"/>
        </w:rPr>
        <w:t>(5th</w:t>
      </w:r>
      <w:r>
        <w:rPr>
          <w:color w:val="3D3B3B"/>
          <w:spacing w:val="13"/>
          <w:w w:val="105"/>
          <w:sz w:val="18"/>
        </w:rPr>
        <w:t> </w:t>
      </w:r>
      <w:r>
        <w:rPr>
          <w:color w:val="3D3B3B"/>
          <w:w w:val="105"/>
          <w:sz w:val="18"/>
        </w:rPr>
        <w:t>ed.</w:t>
      </w:r>
      <w:r>
        <w:rPr>
          <w:color w:val="3D3B3B"/>
          <w:spacing w:val="2"/>
          <w:w w:val="105"/>
          <w:sz w:val="18"/>
        </w:rPr>
        <w:t> </w:t>
      </w:r>
      <w:r>
        <w:rPr>
          <w:color w:val="3D3B3B"/>
          <w:w w:val="105"/>
          <w:sz w:val="18"/>
        </w:rPr>
        <w:t>Thomson</w:t>
      </w:r>
      <w:r>
        <w:rPr>
          <w:color w:val="3D3B3B"/>
          <w:spacing w:val="29"/>
          <w:w w:val="105"/>
          <w:sz w:val="18"/>
        </w:rPr>
        <w:t> </w:t>
      </w:r>
      <w:r>
        <w:rPr>
          <w:color w:val="3D3B3B"/>
          <w:w w:val="105"/>
          <w:sz w:val="18"/>
        </w:rPr>
        <w:t>Reuters</w:t>
      </w:r>
      <w:r>
        <w:rPr>
          <w:color w:val="3D3B3B"/>
          <w:spacing w:val="4"/>
          <w:w w:val="105"/>
          <w:sz w:val="18"/>
        </w:rPr>
        <w:t> </w:t>
      </w:r>
      <w:r>
        <w:rPr>
          <w:color w:val="3D3B3B"/>
          <w:w w:val="105"/>
          <w:sz w:val="18"/>
        </w:rPr>
        <w:t>2010).</w:t>
      </w:r>
    </w:p>
    <w:p>
      <w:pPr>
        <w:spacing w:line="223" w:lineRule="exact" w:before="0"/>
        <w:ind w:left="853" w:right="0" w:firstLine="0"/>
        <w:jc w:val="left"/>
        <w:rPr>
          <w:sz w:val="20"/>
        </w:rPr>
      </w:pPr>
      <w:r>
        <w:rPr>
          <w:i/>
          <w:color w:val="3D3B3B"/>
          <w:sz w:val="16"/>
          <w:vertAlign w:val="superscript"/>
        </w:rPr>
        <w:t>5</w:t>
      </w:r>
      <w:r>
        <w:rPr>
          <w:rFonts w:ascii="Arial" w:hAnsi="Arial"/>
          <w:i/>
          <w:color w:val="3D3B3B"/>
          <w:sz w:val="16"/>
          <w:vertAlign w:val="baseline"/>
        </w:rPr>
        <w:t>See,</w:t>
      </w:r>
      <w:r>
        <w:rPr>
          <w:rFonts w:ascii="Arial" w:hAnsi="Arial"/>
          <w:i/>
          <w:color w:val="3D3B3B"/>
          <w:spacing w:val="-17"/>
          <w:sz w:val="16"/>
          <w:vertAlign w:val="baseline"/>
        </w:rPr>
        <w:t> </w:t>
      </w:r>
      <w:r>
        <w:rPr>
          <w:rFonts w:ascii="Arial" w:hAnsi="Arial"/>
          <w:i/>
          <w:color w:val="3D3B3B"/>
          <w:sz w:val="16"/>
          <w:vertAlign w:val="baseline"/>
        </w:rPr>
        <w:t>e.g</w:t>
      </w:r>
      <w:r>
        <w:rPr>
          <w:rFonts w:ascii="Arial" w:hAnsi="Arial"/>
          <w:i/>
          <w:color w:val="5B5B5D"/>
          <w:sz w:val="16"/>
          <w:vertAlign w:val="baseline"/>
        </w:rPr>
        <w:t>.,</w:t>
      </w:r>
      <w:r>
        <w:rPr>
          <w:rFonts w:ascii="Arial" w:hAnsi="Arial"/>
          <w:i/>
          <w:color w:val="5B5B5D"/>
          <w:spacing w:val="22"/>
          <w:sz w:val="16"/>
          <w:vertAlign w:val="baseline"/>
        </w:rPr>
        <w:t> </w:t>
      </w:r>
      <w:r>
        <w:rPr>
          <w:rFonts w:ascii="Arial" w:hAnsi="Arial"/>
          <w:i/>
          <w:color w:val="3D3B3B"/>
          <w:sz w:val="17"/>
          <w:vertAlign w:val="baseline"/>
        </w:rPr>
        <w:t>id.</w:t>
      </w:r>
      <w:r>
        <w:rPr>
          <w:rFonts w:ascii="Arial" w:hAnsi="Arial"/>
          <w:i/>
          <w:color w:val="3D3B3B"/>
          <w:spacing w:val="17"/>
          <w:sz w:val="17"/>
          <w:vertAlign w:val="baseline"/>
        </w:rPr>
        <w:t> </w:t>
      </w:r>
      <w:r>
        <w:rPr>
          <w:color w:val="3D3B3B"/>
          <w:sz w:val="18"/>
          <w:vertAlign w:val="baseline"/>
        </w:rPr>
        <w:t>at</w:t>
      </w:r>
      <w:r>
        <w:rPr>
          <w:color w:val="3D3B3B"/>
          <w:spacing w:val="35"/>
          <w:sz w:val="18"/>
          <w:vertAlign w:val="baseline"/>
        </w:rPr>
        <w:t> </w:t>
      </w:r>
      <w:r>
        <w:rPr>
          <w:color w:val="3D3B3B"/>
          <w:sz w:val="18"/>
          <w:vertAlign w:val="baseline"/>
        </w:rPr>
        <w:t>323</w:t>
      </w:r>
      <w:r>
        <w:rPr>
          <w:color w:val="5B5B5D"/>
          <w:sz w:val="18"/>
          <w:vertAlign w:val="baseline"/>
        </w:rPr>
        <w:t>-</w:t>
      </w:r>
      <w:r>
        <w:rPr>
          <w:color w:val="3D3B3B"/>
          <w:sz w:val="18"/>
          <w:vertAlign w:val="baseline"/>
        </w:rPr>
        <w:t>24;</w:t>
      </w:r>
      <w:r>
        <w:rPr>
          <w:color w:val="3D3B3B"/>
          <w:spacing w:val="6"/>
          <w:sz w:val="18"/>
          <w:vertAlign w:val="baseline"/>
        </w:rPr>
        <w:t> </w:t>
      </w:r>
      <w:r>
        <w:rPr>
          <w:color w:val="3D3B3B"/>
          <w:sz w:val="18"/>
          <w:vertAlign w:val="baseline"/>
        </w:rPr>
        <w:t>Laurel</w:t>
      </w:r>
      <w:r>
        <w:rPr>
          <w:color w:val="3D3B3B"/>
          <w:spacing w:val="-3"/>
          <w:sz w:val="18"/>
          <w:vertAlign w:val="baseline"/>
        </w:rPr>
        <w:t> </w:t>
      </w:r>
      <w:r>
        <w:rPr>
          <w:color w:val="3D3B3B"/>
          <w:sz w:val="18"/>
          <w:vertAlign w:val="baseline"/>
        </w:rPr>
        <w:t>Currie</w:t>
      </w:r>
      <w:r>
        <w:rPr>
          <w:color w:val="3D3B3B"/>
          <w:spacing w:val="-13"/>
          <w:sz w:val="18"/>
          <w:vertAlign w:val="baseline"/>
        </w:rPr>
        <w:t> </w:t>
      </w:r>
      <w:r>
        <w:rPr>
          <w:color w:val="3D3B3B"/>
          <w:sz w:val="18"/>
          <w:vertAlign w:val="baseline"/>
        </w:rPr>
        <w:t>Oates</w:t>
      </w:r>
      <w:r>
        <w:rPr>
          <w:color w:val="3D3B3B"/>
          <w:spacing w:val="-8"/>
          <w:sz w:val="18"/>
          <w:vertAlign w:val="baseline"/>
        </w:rPr>
        <w:t> </w:t>
      </w:r>
      <w:r>
        <w:rPr>
          <w:color w:val="3D3B3B"/>
          <w:sz w:val="18"/>
          <w:vertAlign w:val="baseline"/>
        </w:rPr>
        <w:t>&amp;</w:t>
      </w:r>
      <w:r>
        <w:rPr>
          <w:color w:val="3D3B3B"/>
          <w:spacing w:val="-24"/>
          <w:sz w:val="18"/>
          <w:vertAlign w:val="baseline"/>
        </w:rPr>
        <w:t> </w:t>
      </w:r>
      <w:r>
        <w:rPr>
          <w:color w:val="3D3B3B"/>
          <w:sz w:val="18"/>
          <w:vertAlign w:val="baseline"/>
        </w:rPr>
        <w:t>Anne</w:t>
      </w:r>
      <w:r>
        <w:rPr>
          <w:color w:val="3D3B3B"/>
          <w:spacing w:val="-11"/>
          <w:sz w:val="18"/>
          <w:vertAlign w:val="baseline"/>
        </w:rPr>
        <w:t> </w:t>
      </w:r>
      <w:r>
        <w:rPr>
          <w:color w:val="3D3B3B"/>
          <w:sz w:val="18"/>
          <w:vertAlign w:val="baseline"/>
        </w:rPr>
        <w:t>M</w:t>
      </w:r>
      <w:r>
        <w:rPr>
          <w:color w:val="5B5B5D"/>
          <w:sz w:val="18"/>
          <w:vertAlign w:val="baseline"/>
        </w:rPr>
        <w:t>.</w:t>
      </w:r>
      <w:r>
        <w:rPr>
          <w:color w:val="5B5B5D"/>
          <w:spacing w:val="1"/>
          <w:sz w:val="18"/>
          <w:vertAlign w:val="baseline"/>
        </w:rPr>
        <w:t> </w:t>
      </w:r>
      <w:r>
        <w:rPr>
          <w:color w:val="3D3B3B"/>
          <w:sz w:val="18"/>
          <w:vertAlign w:val="baseline"/>
        </w:rPr>
        <w:t>Enquist</w:t>
      </w:r>
      <w:r>
        <w:rPr>
          <w:color w:val="5B5B5D"/>
          <w:sz w:val="18"/>
          <w:vertAlign w:val="baseline"/>
        </w:rPr>
        <w:t>,</w:t>
      </w:r>
      <w:r>
        <w:rPr>
          <w:color w:val="5B5B5D"/>
          <w:spacing w:val="-19"/>
          <w:sz w:val="18"/>
          <w:vertAlign w:val="baseline"/>
        </w:rPr>
        <w:t> </w:t>
      </w:r>
      <w:r>
        <w:rPr>
          <w:rFonts w:ascii="Arial" w:hAnsi="Arial"/>
          <w:i/>
          <w:color w:val="3D3B3B"/>
          <w:sz w:val="16"/>
          <w:vertAlign w:val="baseline"/>
        </w:rPr>
        <w:t>The</w:t>
      </w:r>
      <w:r>
        <w:rPr>
          <w:rFonts w:ascii="Arial" w:hAnsi="Arial"/>
          <w:i/>
          <w:color w:val="3D3B3B"/>
          <w:spacing w:val="-13"/>
          <w:sz w:val="16"/>
          <w:vertAlign w:val="baseline"/>
        </w:rPr>
        <w:t> </w:t>
      </w:r>
      <w:r>
        <w:rPr>
          <w:rFonts w:ascii="Arial" w:hAnsi="Arial"/>
          <w:i/>
          <w:color w:val="3D3B3B"/>
          <w:sz w:val="16"/>
          <w:vertAlign w:val="baseline"/>
        </w:rPr>
        <w:t>Legal</w:t>
      </w:r>
      <w:r>
        <w:rPr>
          <w:rFonts w:ascii="Arial" w:hAnsi="Arial"/>
          <w:i/>
          <w:color w:val="3D3B3B"/>
          <w:spacing w:val="-7"/>
          <w:sz w:val="16"/>
          <w:vertAlign w:val="baseline"/>
        </w:rPr>
        <w:t> </w:t>
      </w:r>
      <w:r>
        <w:rPr>
          <w:rFonts w:ascii="Arial" w:hAnsi="Arial"/>
          <w:i/>
          <w:color w:val="3D3B3B"/>
          <w:sz w:val="16"/>
          <w:vertAlign w:val="baseline"/>
        </w:rPr>
        <w:t>WritingHandboOk</w:t>
      </w:r>
      <w:r>
        <w:rPr>
          <w:rFonts w:ascii="Arial" w:hAnsi="Arial"/>
          <w:i/>
          <w:color w:val="3D3B3B"/>
          <w:spacing w:val="-4"/>
          <w:sz w:val="16"/>
          <w:vertAlign w:val="baseline"/>
        </w:rPr>
        <w:t> </w:t>
      </w:r>
      <w:r>
        <w:rPr>
          <w:color w:val="3D3B3B"/>
          <w:sz w:val="20"/>
          <w:vertAlign w:val="baseline"/>
        </w:rPr>
        <w:t>§7.4;</w:t>
      </w:r>
    </w:p>
    <w:p>
      <w:pPr>
        <w:spacing w:line="194" w:lineRule="auto" w:before="27"/>
        <w:ind w:left="424" w:right="0" w:firstLine="20"/>
        <w:jc w:val="left"/>
        <w:rPr>
          <w:sz w:val="18"/>
        </w:rPr>
      </w:pPr>
      <w:r>
        <w:rPr>
          <w:color w:val="3D3B3B"/>
          <w:w w:val="105"/>
          <w:sz w:val="18"/>
        </w:rPr>
        <w:t>(4th </w:t>
      </w:r>
      <w:r>
        <w:rPr>
          <w:color w:val="3D3B3B"/>
          <w:w w:val="105"/>
          <w:sz w:val="17"/>
        </w:rPr>
        <w:t>ed., </w:t>
      </w:r>
      <w:r>
        <w:rPr>
          <w:color w:val="3D3B3B"/>
          <w:w w:val="105"/>
          <w:sz w:val="18"/>
        </w:rPr>
        <w:t>Aspen </w:t>
      </w:r>
      <w:r>
        <w:rPr>
          <w:i/>
          <w:color w:val="3D3B3B"/>
          <w:w w:val="105"/>
          <w:sz w:val="16"/>
        </w:rPr>
        <w:t>2006). </w:t>
      </w:r>
      <w:r>
        <w:rPr>
          <w:color w:val="3D3B3B"/>
          <w:w w:val="105"/>
          <w:sz w:val="18"/>
        </w:rPr>
        <w:t>Although</w:t>
      </w:r>
      <w:r>
        <w:rPr>
          <w:color w:val="3D3B3B"/>
          <w:spacing w:val="1"/>
          <w:w w:val="105"/>
          <w:sz w:val="18"/>
        </w:rPr>
        <w:t> </w:t>
      </w:r>
      <w:r>
        <w:rPr>
          <w:color w:val="3D3B3B"/>
          <w:w w:val="105"/>
          <w:sz w:val="18"/>
        </w:rPr>
        <w:t>your research questions may </w:t>
      </w:r>
      <w:r>
        <w:rPr>
          <w:rFonts w:ascii="Arial" w:hAnsi="Arial"/>
          <w:color w:val="5B5B5D"/>
          <w:w w:val="105"/>
          <w:sz w:val="16"/>
        </w:rPr>
        <w:t>be </w:t>
      </w:r>
      <w:r>
        <w:rPr>
          <w:color w:val="3D3B3B"/>
          <w:w w:val="105"/>
          <w:sz w:val="18"/>
        </w:rPr>
        <w:t>similar In format</w:t>
      </w:r>
      <w:r>
        <w:rPr>
          <w:color w:val="3D3B3B"/>
          <w:spacing w:val="1"/>
          <w:w w:val="105"/>
          <w:sz w:val="18"/>
        </w:rPr>
        <w:t> </w:t>
      </w:r>
      <w:r>
        <w:rPr>
          <w:color w:val="3D3B3B"/>
          <w:w w:val="105"/>
          <w:sz w:val="18"/>
        </w:rPr>
        <w:t>to</w:t>
      </w:r>
      <w:r>
        <w:rPr>
          <w:color w:val="3D3B3B"/>
          <w:spacing w:val="1"/>
          <w:w w:val="105"/>
          <w:sz w:val="18"/>
        </w:rPr>
        <w:t> </w:t>
      </w:r>
      <w:r>
        <w:rPr>
          <w:color w:val="3D3B3B"/>
          <w:w w:val="105"/>
          <w:sz w:val="18"/>
        </w:rPr>
        <w:t>questions</w:t>
      </w:r>
      <w:r>
        <w:rPr>
          <w:color w:val="3D3B3B"/>
          <w:spacing w:val="1"/>
          <w:w w:val="105"/>
          <w:sz w:val="18"/>
        </w:rPr>
        <w:t> </w:t>
      </w:r>
      <w:r>
        <w:rPr>
          <w:color w:val="3D3B3B"/>
          <w:w w:val="105"/>
          <w:sz w:val="18"/>
        </w:rPr>
        <w:t>pr•</w:t>
      </w:r>
      <w:r>
        <w:rPr>
          <w:color w:val="3D3B3B"/>
          <w:spacing w:val="1"/>
          <w:w w:val="105"/>
          <w:sz w:val="18"/>
        </w:rPr>
        <w:t> </w:t>
      </w:r>
      <w:r>
        <w:rPr>
          <w:color w:val="3D3B3B"/>
          <w:w w:val="105"/>
          <w:sz w:val="18"/>
        </w:rPr>
        <w:t>sented,</w:t>
      </w:r>
      <w:r>
        <w:rPr>
          <w:color w:val="3D3B3B"/>
          <w:spacing w:val="14"/>
          <w:w w:val="105"/>
          <w:sz w:val="18"/>
        </w:rPr>
        <w:t> </w:t>
      </w:r>
      <w:r>
        <w:rPr>
          <w:color w:val="3D3B3B"/>
          <w:w w:val="105"/>
          <w:sz w:val="18"/>
        </w:rPr>
        <w:t>you</w:t>
      </w:r>
      <w:r>
        <w:rPr>
          <w:color w:val="3D3B3B"/>
          <w:spacing w:val="11"/>
          <w:w w:val="105"/>
          <w:sz w:val="18"/>
        </w:rPr>
        <w:t> </w:t>
      </w:r>
      <w:r>
        <w:rPr>
          <w:color w:val="3D3B3B"/>
          <w:w w:val="105"/>
          <w:sz w:val="18"/>
        </w:rPr>
        <w:t>should</w:t>
      </w:r>
      <w:r>
        <w:rPr>
          <w:color w:val="3D3B3B"/>
          <w:spacing w:val="23"/>
          <w:w w:val="105"/>
          <w:sz w:val="18"/>
        </w:rPr>
        <w:t> </w:t>
      </w:r>
      <w:r>
        <w:rPr>
          <w:color w:val="3D3B3B"/>
          <w:w w:val="105"/>
          <w:sz w:val="18"/>
        </w:rPr>
        <w:t>not</w:t>
      </w:r>
      <w:r>
        <w:rPr>
          <w:color w:val="3D3B3B"/>
          <w:spacing w:val="26"/>
          <w:w w:val="105"/>
          <w:sz w:val="18"/>
        </w:rPr>
        <w:t> </w:t>
      </w:r>
      <w:r>
        <w:rPr>
          <w:color w:val="3D3B3B"/>
          <w:w w:val="105"/>
          <w:sz w:val="18"/>
        </w:rPr>
        <w:t>expect</w:t>
      </w:r>
      <w:r>
        <w:rPr>
          <w:color w:val="3D3B3B"/>
          <w:spacing w:val="22"/>
          <w:w w:val="105"/>
          <w:sz w:val="18"/>
        </w:rPr>
        <w:t> </w:t>
      </w:r>
      <w:r>
        <w:rPr>
          <w:color w:val="3D3B3B"/>
          <w:w w:val="105"/>
          <w:sz w:val="18"/>
        </w:rPr>
        <w:t>that</w:t>
      </w:r>
      <w:r>
        <w:rPr>
          <w:color w:val="3D3B3B"/>
          <w:spacing w:val="9"/>
          <w:w w:val="105"/>
          <w:sz w:val="18"/>
        </w:rPr>
        <w:t> </w:t>
      </w:r>
      <w:r>
        <w:rPr>
          <w:color w:val="3D3B3B"/>
          <w:w w:val="105"/>
          <w:sz w:val="18"/>
        </w:rPr>
        <w:t>the</w:t>
      </w:r>
      <w:r>
        <w:rPr>
          <w:color w:val="3D3B3B"/>
          <w:spacing w:val="10"/>
          <w:w w:val="105"/>
          <w:sz w:val="18"/>
        </w:rPr>
        <w:t> </w:t>
      </w:r>
      <w:r>
        <w:rPr>
          <w:color w:val="3D3B3B"/>
          <w:w w:val="105"/>
          <w:sz w:val="18"/>
        </w:rPr>
        <w:t>research</w:t>
      </w:r>
      <w:r>
        <w:rPr>
          <w:color w:val="3D3B3B"/>
          <w:spacing w:val="7"/>
          <w:w w:val="105"/>
          <w:sz w:val="18"/>
        </w:rPr>
        <w:t> </w:t>
      </w:r>
      <w:r>
        <w:rPr>
          <w:color w:val="3D3B3B"/>
          <w:w w:val="105"/>
          <w:sz w:val="18"/>
        </w:rPr>
        <w:t>questions</w:t>
      </w:r>
      <w:r>
        <w:rPr>
          <w:color w:val="3D3B3B"/>
          <w:spacing w:val="17"/>
          <w:w w:val="105"/>
          <w:sz w:val="18"/>
        </w:rPr>
        <w:t> </w:t>
      </w:r>
      <w:r>
        <w:rPr>
          <w:color w:val="3D3B3B"/>
          <w:w w:val="105"/>
          <w:sz w:val="17"/>
        </w:rPr>
        <w:t>will</w:t>
      </w:r>
      <w:r>
        <w:rPr>
          <w:color w:val="3D3B3B"/>
          <w:spacing w:val="20"/>
          <w:w w:val="105"/>
          <w:sz w:val="17"/>
        </w:rPr>
        <w:t> </w:t>
      </w:r>
      <w:r>
        <w:rPr>
          <w:color w:val="3D3B3B"/>
          <w:w w:val="105"/>
          <w:sz w:val="17"/>
        </w:rPr>
        <w:t>be</w:t>
      </w:r>
      <w:r>
        <w:rPr>
          <w:color w:val="3D3B3B"/>
          <w:spacing w:val="26"/>
          <w:w w:val="105"/>
          <w:sz w:val="17"/>
        </w:rPr>
        <w:t> </w:t>
      </w:r>
      <w:r>
        <w:rPr>
          <w:color w:val="3D3B3B"/>
          <w:w w:val="105"/>
          <w:sz w:val="18"/>
        </w:rPr>
        <w:t>identical</w:t>
      </w:r>
      <w:r>
        <w:rPr>
          <w:color w:val="3D3B3B"/>
          <w:spacing w:val="32"/>
          <w:w w:val="105"/>
          <w:sz w:val="18"/>
        </w:rPr>
        <w:t> </w:t>
      </w:r>
      <w:r>
        <w:rPr>
          <w:color w:val="3D3B3B"/>
          <w:w w:val="105"/>
          <w:sz w:val="18"/>
        </w:rPr>
        <w:t>to</w:t>
      </w:r>
      <w:r>
        <w:rPr>
          <w:color w:val="3D3B3B"/>
          <w:spacing w:val="22"/>
          <w:w w:val="105"/>
          <w:sz w:val="18"/>
        </w:rPr>
        <w:t> </w:t>
      </w:r>
      <w:r>
        <w:rPr>
          <w:color w:val="3D3B3B"/>
          <w:w w:val="105"/>
          <w:sz w:val="18"/>
        </w:rPr>
        <w:t>the</w:t>
      </w:r>
      <w:r>
        <w:rPr>
          <w:color w:val="3D3B3B"/>
          <w:spacing w:val="41"/>
          <w:w w:val="105"/>
          <w:sz w:val="18"/>
        </w:rPr>
        <w:t> </w:t>
      </w:r>
      <w:r>
        <w:rPr>
          <w:color w:val="3D3B3B"/>
          <w:w w:val="105"/>
          <w:sz w:val="18"/>
        </w:rPr>
        <w:t>formal quest.1°</w:t>
      </w:r>
      <w:r>
        <w:rPr>
          <w:color w:val="3D3B3B"/>
          <w:w w:val="105"/>
          <w:position w:val="9"/>
          <w:sz w:val="15"/>
        </w:rPr>
        <w:t>11</w:t>
      </w:r>
      <w:r>
        <w:rPr>
          <w:color w:val="3D3B3B"/>
          <w:spacing w:val="1"/>
          <w:w w:val="105"/>
          <w:position w:val="9"/>
          <w:sz w:val="15"/>
        </w:rPr>
        <w:t> </w:t>
      </w:r>
      <w:r>
        <w:rPr>
          <w:color w:val="3D3B3B"/>
          <w:w w:val="110"/>
          <w:sz w:val="18"/>
        </w:rPr>
        <w:t>presented.</w:t>
      </w:r>
    </w:p>
    <w:p>
      <w:pPr>
        <w:spacing w:after="0" w:line="194" w:lineRule="auto"/>
        <w:jc w:val="left"/>
        <w:rPr>
          <w:sz w:val="18"/>
        </w:rPr>
        <w:sectPr>
          <w:headerReference w:type="even" r:id="rId64"/>
          <w:pgSz w:w="9650" w:h="13790"/>
          <w:pgMar w:header="494" w:footer="0" w:top="680" w:bottom="280" w:left="1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tabs>
          <w:tab w:pos="8113" w:val="left" w:leader="none"/>
        </w:tabs>
        <w:spacing w:before="95"/>
        <w:ind w:left="5496" w:right="0" w:firstLine="0"/>
        <w:jc w:val="left"/>
        <w:rPr>
          <w:rFonts w:ascii="Arial"/>
          <w:b/>
          <w:sz w:val="18"/>
        </w:rPr>
      </w:pPr>
      <w:r>
        <w:rPr>
          <w:color w:val="383636"/>
          <w:w w:val="105"/>
          <w:sz w:val="18"/>
        </w:rPr>
        <w:t>-2 </w:t>
      </w:r>
      <w:r>
        <w:rPr>
          <w:color w:val="383636"/>
          <w:spacing w:val="10"/>
          <w:w w:val="105"/>
          <w:sz w:val="18"/>
        </w:rPr>
        <w:t> </w:t>
      </w:r>
      <w:r>
        <w:rPr>
          <w:color w:val="383636"/>
          <w:w w:val="105"/>
          <w:sz w:val="18"/>
        </w:rPr>
        <w:t>Planning</w:t>
      </w:r>
      <w:r>
        <w:rPr>
          <w:color w:val="383636"/>
          <w:spacing w:val="-11"/>
          <w:w w:val="105"/>
          <w:sz w:val="18"/>
        </w:rPr>
        <w:t> </w:t>
      </w:r>
      <w:r>
        <w:rPr>
          <w:color w:val="383636"/>
          <w:w w:val="105"/>
          <w:sz w:val="18"/>
        </w:rPr>
        <w:t>Your</w:t>
      </w:r>
      <w:r>
        <w:rPr>
          <w:color w:val="383636"/>
          <w:spacing w:val="-8"/>
          <w:w w:val="105"/>
          <w:sz w:val="18"/>
        </w:rPr>
        <w:t> </w:t>
      </w:r>
      <w:r>
        <w:rPr>
          <w:color w:val="383636"/>
          <w:w w:val="105"/>
          <w:sz w:val="18"/>
        </w:rPr>
        <w:t>Research</w:t>
        <w:tab/>
      </w:r>
      <w:r>
        <w:rPr>
          <w:rFonts w:ascii="Arial"/>
          <w:b/>
          <w:color w:val="383636"/>
          <w:w w:val="105"/>
          <w:sz w:val="18"/>
        </w:rPr>
        <w:t>41</w:t>
      </w:r>
    </w:p>
    <w:p>
      <w:pPr>
        <w:pStyle w:val="BodyText"/>
        <w:spacing w:line="232" w:lineRule="auto" w:before="484"/>
        <w:ind w:left="108" w:right="785" w:firstLine="14"/>
        <w:jc w:val="both"/>
        <w:rPr>
          <w:rFonts w:ascii="Arial" w:hAnsi="Arial"/>
        </w:rPr>
      </w:pPr>
      <w:r>
        <w:rPr>
          <w:color w:val="383636"/>
          <w:spacing w:val="-1"/>
          <w:w w:val="110"/>
        </w:rPr>
        <w:t>the </w:t>
      </w:r>
      <w:r>
        <w:rPr>
          <w:color w:val="383636"/>
          <w:w w:val="110"/>
        </w:rPr>
        <w:t>legal issue; the "does" part identifies the narrow, yes-or-no legal ques­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tion that you are trying to answer (whether it is about liability, guilt, or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some other legal status or form of legal responsibility); and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"when"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part identifies the legally significant facts that relate to the legal issue.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Thus, a format for the research question is "Under [relevant law], does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[legal</w:t>
      </w:r>
      <w:r>
        <w:rPr>
          <w:color w:val="383636"/>
          <w:spacing w:val="-8"/>
          <w:w w:val="105"/>
        </w:rPr>
        <w:t> </w:t>
      </w:r>
      <w:r>
        <w:rPr>
          <w:color w:val="383636"/>
          <w:w w:val="105"/>
        </w:rPr>
        <w:t>status]</w:t>
      </w:r>
      <w:r>
        <w:rPr>
          <w:color w:val="383636"/>
          <w:spacing w:val="-9"/>
          <w:w w:val="105"/>
        </w:rPr>
        <w:t> </w:t>
      </w:r>
      <w:r>
        <w:rPr>
          <w:color w:val="383636"/>
          <w:w w:val="105"/>
        </w:rPr>
        <w:t>exist</w:t>
      </w:r>
      <w:r>
        <w:rPr>
          <w:color w:val="383636"/>
          <w:spacing w:val="9"/>
          <w:w w:val="105"/>
        </w:rPr>
        <w:t> </w:t>
      </w:r>
      <w:r>
        <w:rPr>
          <w:color w:val="383636"/>
          <w:w w:val="105"/>
        </w:rPr>
        <w:t>when</w:t>
      </w:r>
      <w:r>
        <w:rPr>
          <w:color w:val="383636"/>
          <w:spacing w:val="2"/>
          <w:w w:val="105"/>
        </w:rPr>
        <w:t> </w:t>
      </w:r>
      <w:r>
        <w:rPr>
          <w:color w:val="383636"/>
          <w:w w:val="105"/>
        </w:rPr>
        <w:t>[legally</w:t>
      </w:r>
      <w:r>
        <w:rPr>
          <w:color w:val="383636"/>
          <w:spacing w:val="-10"/>
          <w:w w:val="105"/>
        </w:rPr>
        <w:t> </w:t>
      </w:r>
      <w:r>
        <w:rPr>
          <w:color w:val="383636"/>
          <w:w w:val="105"/>
        </w:rPr>
        <w:t>significant</w:t>
      </w:r>
      <w:r>
        <w:rPr>
          <w:color w:val="383636"/>
          <w:spacing w:val="2"/>
          <w:w w:val="105"/>
        </w:rPr>
        <w:t> </w:t>
      </w:r>
      <w:r>
        <w:rPr>
          <w:color w:val="383636"/>
          <w:w w:val="105"/>
        </w:rPr>
        <w:t>facts]</w:t>
      </w:r>
      <w:r>
        <w:rPr>
          <w:color w:val="383636"/>
          <w:spacing w:val="-7"/>
          <w:w w:val="105"/>
        </w:rPr>
        <w:t> </w:t>
      </w:r>
      <w:r>
        <w:rPr>
          <w:color w:val="383636"/>
          <w:w w:val="105"/>
        </w:rPr>
        <w:t>exist?"</w:t>
      </w:r>
      <w:r>
        <w:rPr>
          <w:rFonts w:ascii="Arial" w:hAnsi="Arial"/>
          <w:color w:val="383636"/>
          <w:w w:val="105"/>
          <w:vertAlign w:val="superscript"/>
        </w:rPr>
        <w:t>6</w:t>
      </w:r>
    </w:p>
    <w:p>
      <w:pPr>
        <w:pStyle w:val="BodyText"/>
        <w:spacing w:line="230" w:lineRule="auto" w:before="12"/>
        <w:ind w:left="117" w:right="765" w:firstLine="369"/>
        <w:jc w:val="both"/>
      </w:pPr>
      <w:r>
        <w:rPr>
          <w:color w:val="383636"/>
          <w:w w:val="110"/>
        </w:rPr>
        <w:t>Let's</w:t>
      </w:r>
      <w:r>
        <w:rPr>
          <w:color w:val="383636"/>
          <w:spacing w:val="-10"/>
          <w:w w:val="110"/>
        </w:rPr>
        <w:t> </w:t>
      </w:r>
      <w:r>
        <w:rPr>
          <w:color w:val="383636"/>
          <w:w w:val="110"/>
        </w:rPr>
        <w:t>presume</w:t>
      </w:r>
      <w:r>
        <w:rPr>
          <w:color w:val="383636"/>
          <w:spacing w:val="-16"/>
          <w:w w:val="110"/>
        </w:rPr>
        <w:t> </w:t>
      </w:r>
      <w:r>
        <w:rPr>
          <w:color w:val="383636"/>
          <w:w w:val="110"/>
        </w:rPr>
        <w:t>that</w:t>
      </w:r>
      <w:r>
        <w:rPr>
          <w:color w:val="383636"/>
          <w:spacing w:val="-15"/>
          <w:w w:val="110"/>
        </w:rPr>
        <w:t> </w:t>
      </w:r>
      <w:r>
        <w:rPr>
          <w:color w:val="383636"/>
          <w:w w:val="110"/>
        </w:rPr>
        <w:t>youareconducting</w:t>
      </w:r>
      <w:r>
        <w:rPr>
          <w:color w:val="383636"/>
          <w:spacing w:val="-6"/>
          <w:w w:val="110"/>
        </w:rPr>
        <w:t> </w:t>
      </w:r>
      <w:r>
        <w:rPr>
          <w:color w:val="383636"/>
          <w:w w:val="110"/>
        </w:rPr>
        <w:t>research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on</w:t>
      </w:r>
      <w:r>
        <w:rPr>
          <w:color w:val="383636"/>
          <w:spacing w:val="16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5"/>
          <w:w w:val="110"/>
        </w:rPr>
        <w:t> </w:t>
      </w:r>
      <w:r>
        <w:rPr>
          <w:rFonts w:ascii="Arial" w:hAnsi="Arial"/>
          <w:i/>
          <w:color w:val="383636"/>
          <w:w w:val="110"/>
          <w:sz w:val="22"/>
        </w:rPr>
        <w:t>Coors</w:t>
      </w:r>
      <w:r>
        <w:rPr>
          <w:rFonts w:ascii="Arial" w:hAnsi="Arial"/>
          <w:i/>
          <w:color w:val="383636"/>
          <w:spacing w:val="-22"/>
          <w:w w:val="110"/>
          <w:sz w:val="22"/>
        </w:rPr>
        <w:t> </w:t>
      </w:r>
      <w:r>
        <w:rPr>
          <w:color w:val="383636"/>
          <w:w w:val="110"/>
        </w:rPr>
        <w:t>case.</w:t>
      </w:r>
      <w:r>
        <w:rPr>
          <w:color w:val="383636"/>
          <w:spacing w:val="-27"/>
          <w:w w:val="110"/>
        </w:rPr>
        <w:t> </w:t>
      </w:r>
      <w:r>
        <w:rPr>
          <w:color w:val="383636"/>
          <w:w w:val="110"/>
        </w:rPr>
        <w:t>From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reading the decisions below and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joint appendix, you know that this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case is about the constitutionality of a federal statute that prohibits print­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ing alcohol content information on beer labels. If that were all you knew,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you'd</w:t>
      </w:r>
      <w:r>
        <w:rPr>
          <w:color w:val="383636"/>
          <w:spacing w:val="5"/>
          <w:w w:val="110"/>
        </w:rPr>
        <w:t> </w:t>
      </w:r>
      <w:r>
        <w:rPr>
          <w:color w:val="383636"/>
          <w:w w:val="110"/>
        </w:rPr>
        <w:t>have</w:t>
      </w:r>
      <w:r>
        <w:rPr>
          <w:color w:val="383636"/>
          <w:spacing w:val="-21"/>
          <w:w w:val="110"/>
        </w:rPr>
        <w:t> </w:t>
      </w:r>
      <w:r>
        <w:rPr>
          <w:color w:val="383636"/>
          <w:w w:val="110"/>
        </w:rPr>
        <w:t>a</w:t>
      </w:r>
      <w:r>
        <w:rPr>
          <w:color w:val="383636"/>
          <w:spacing w:val="15"/>
          <w:w w:val="110"/>
        </w:rPr>
        <w:t> </w:t>
      </w:r>
      <w:r>
        <w:rPr>
          <w:color w:val="383636"/>
          <w:w w:val="110"/>
        </w:rPr>
        <w:t>pretty</w:t>
      </w:r>
      <w:r>
        <w:rPr>
          <w:color w:val="383636"/>
          <w:spacing w:val="-17"/>
          <w:w w:val="110"/>
        </w:rPr>
        <w:t> </w:t>
      </w:r>
      <w:r>
        <w:rPr>
          <w:color w:val="383636"/>
          <w:w w:val="110"/>
        </w:rPr>
        <w:t>broad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"under"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clause:</w:t>
      </w:r>
    </w:p>
    <w:p>
      <w:pPr>
        <w:pStyle w:val="BodyText"/>
        <w:spacing w:before="118"/>
        <w:ind w:left="490"/>
        <w:jc w:val="both"/>
      </w:pPr>
      <w:r>
        <w:rPr>
          <w:color w:val="383636"/>
          <w:w w:val="110"/>
        </w:rPr>
        <w:t>Under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27"/>
          <w:w w:val="110"/>
        </w:rPr>
        <w:t> </w:t>
      </w:r>
      <w:r>
        <w:rPr>
          <w:color w:val="383636"/>
          <w:w w:val="110"/>
        </w:rPr>
        <w:t>United</w:t>
      </w:r>
      <w:r>
        <w:rPr>
          <w:color w:val="383636"/>
          <w:spacing w:val="-30"/>
          <w:w w:val="110"/>
        </w:rPr>
        <w:t> </w:t>
      </w:r>
      <w:r>
        <w:rPr>
          <w:color w:val="383636"/>
          <w:w w:val="110"/>
        </w:rPr>
        <w:t>States</w:t>
      </w:r>
      <w:r>
        <w:rPr>
          <w:color w:val="383636"/>
          <w:spacing w:val="-13"/>
          <w:w w:val="110"/>
        </w:rPr>
        <w:t> </w:t>
      </w:r>
      <w:r>
        <w:rPr>
          <w:color w:val="383636"/>
          <w:w w:val="110"/>
        </w:rPr>
        <w:t>Constitution</w:t>
      </w:r>
      <w:r>
        <w:rPr>
          <w:color w:val="383636"/>
          <w:spacing w:val="8"/>
          <w:w w:val="110"/>
        </w:rPr>
        <w:t> </w:t>
      </w:r>
      <w:r>
        <w:rPr>
          <w:color w:val="383636"/>
          <w:w w:val="110"/>
        </w:rPr>
        <w:t>.</w:t>
      </w:r>
      <w:r>
        <w:rPr>
          <w:color w:val="6E6E70"/>
          <w:w w:val="110"/>
        </w:rPr>
        <w:t>.</w:t>
      </w:r>
      <w:r>
        <w:rPr>
          <w:color w:val="383636"/>
          <w:w w:val="110"/>
        </w:rPr>
        <w:t>.</w:t>
      </w:r>
    </w:p>
    <w:p>
      <w:pPr>
        <w:pStyle w:val="BodyText"/>
        <w:spacing w:line="235" w:lineRule="auto" w:before="135"/>
        <w:ind w:left="118" w:right="730" w:firstLine="12"/>
        <w:jc w:val="both"/>
      </w:pPr>
      <w:r>
        <w:rPr>
          <w:color w:val="383636"/>
          <w:w w:val="115"/>
        </w:rPr>
        <w:t>But of course, when you created the abstract, you read the lower court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decisions, and so you know that this is a First Amendment case and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that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the issue is not a matter of political speech but of commercial speech.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Thus,</w:t>
      </w:r>
      <w:r>
        <w:rPr>
          <w:color w:val="383636"/>
          <w:spacing w:val="-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4"/>
          <w:w w:val="110"/>
        </w:rPr>
        <w:t> </w:t>
      </w:r>
      <w:r>
        <w:rPr>
          <w:color w:val="383636"/>
          <w:w w:val="110"/>
        </w:rPr>
        <w:t>"under"</w:t>
      </w:r>
      <w:r>
        <w:rPr>
          <w:color w:val="383636"/>
          <w:spacing w:val="-28"/>
          <w:w w:val="110"/>
        </w:rPr>
        <w:t> </w:t>
      </w:r>
      <w:r>
        <w:rPr>
          <w:color w:val="383636"/>
          <w:w w:val="110"/>
        </w:rPr>
        <w:t>clause</w:t>
      </w:r>
      <w:r>
        <w:rPr>
          <w:color w:val="383636"/>
          <w:spacing w:val="-18"/>
          <w:w w:val="110"/>
        </w:rPr>
        <w:t> </w:t>
      </w:r>
      <w:r>
        <w:rPr>
          <w:color w:val="383636"/>
          <w:w w:val="110"/>
        </w:rPr>
        <w:t>can</w:t>
      </w:r>
      <w:r>
        <w:rPr>
          <w:color w:val="383636"/>
          <w:spacing w:val="22"/>
          <w:w w:val="110"/>
        </w:rPr>
        <w:t> </w:t>
      </w:r>
      <w:r>
        <w:rPr>
          <w:color w:val="383636"/>
          <w:w w:val="110"/>
        </w:rPr>
        <w:t>be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a</w:t>
      </w:r>
      <w:r>
        <w:rPr>
          <w:color w:val="383636"/>
          <w:spacing w:val="-2"/>
          <w:w w:val="110"/>
        </w:rPr>
        <w:t> </w:t>
      </w:r>
      <w:r>
        <w:rPr>
          <w:color w:val="383636"/>
          <w:w w:val="110"/>
        </w:rPr>
        <w:t>little</w:t>
      </w:r>
      <w:r>
        <w:rPr>
          <w:color w:val="383636"/>
          <w:spacing w:val="-14"/>
          <w:w w:val="110"/>
        </w:rPr>
        <w:t> </w:t>
      </w:r>
      <w:r>
        <w:rPr>
          <w:color w:val="383636"/>
          <w:w w:val="110"/>
        </w:rPr>
        <w:t>more</w:t>
      </w:r>
      <w:r>
        <w:rPr>
          <w:color w:val="383636"/>
          <w:spacing w:val="-9"/>
          <w:w w:val="110"/>
        </w:rPr>
        <w:t> </w:t>
      </w:r>
      <w:r>
        <w:rPr>
          <w:color w:val="383636"/>
          <w:w w:val="110"/>
        </w:rPr>
        <w:t>focused:</w:t>
      </w:r>
    </w:p>
    <w:p>
      <w:pPr>
        <w:pStyle w:val="BodyText"/>
        <w:spacing w:line="218" w:lineRule="auto" w:before="134"/>
        <w:ind w:left="502" w:right="1101" w:hanging="3"/>
        <w:jc w:val="both"/>
      </w:pPr>
      <w:r>
        <w:rPr>
          <w:color w:val="383636"/>
          <w:w w:val="110"/>
        </w:rPr>
        <w:t>Under the </w:t>
      </w:r>
      <w:r>
        <w:rPr>
          <w:color w:val="383636"/>
          <w:w w:val="110"/>
          <w:sz w:val="20"/>
        </w:rPr>
        <w:t>first </w:t>
      </w:r>
      <w:r>
        <w:rPr>
          <w:color w:val="383636"/>
          <w:w w:val="110"/>
        </w:rPr>
        <w:t>Amendment's freedom of speech provisions </w:t>
      </w:r>
      <w:r>
        <w:rPr>
          <w:rFonts w:ascii="Arial"/>
          <w:color w:val="383636"/>
          <w:w w:val="110"/>
          <w:sz w:val="19"/>
        </w:rPr>
        <w:t>as </w:t>
      </w:r>
      <w:r>
        <w:rPr>
          <w:color w:val="383636"/>
          <w:w w:val="110"/>
        </w:rPr>
        <w:t>they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pertain</w:t>
      </w:r>
      <w:r>
        <w:rPr>
          <w:color w:val="383636"/>
          <w:spacing w:val="-1"/>
          <w:w w:val="105"/>
        </w:rPr>
        <w:t> </w:t>
      </w:r>
      <w:r>
        <w:rPr>
          <w:color w:val="383636"/>
          <w:w w:val="105"/>
        </w:rPr>
        <w:t>to</w:t>
      </w:r>
      <w:r>
        <w:rPr>
          <w:color w:val="383636"/>
          <w:spacing w:val="-11"/>
          <w:w w:val="105"/>
        </w:rPr>
        <w:t> </w:t>
      </w:r>
      <w:r>
        <w:rPr>
          <w:color w:val="383636"/>
          <w:w w:val="105"/>
        </w:rPr>
        <w:t>commercial</w:t>
      </w:r>
      <w:r>
        <w:rPr>
          <w:color w:val="383636"/>
          <w:spacing w:val="-15"/>
          <w:w w:val="105"/>
        </w:rPr>
        <w:t> </w:t>
      </w:r>
      <w:r>
        <w:rPr>
          <w:color w:val="383636"/>
          <w:w w:val="105"/>
        </w:rPr>
        <w:t>speech</w:t>
      </w:r>
      <w:r>
        <w:rPr>
          <w:color w:val="383636"/>
          <w:spacing w:val="-11"/>
          <w:w w:val="105"/>
        </w:rPr>
        <w:t> </w:t>
      </w:r>
      <w:r>
        <w:rPr>
          <w:color w:val="383636"/>
          <w:w w:val="105"/>
        </w:rPr>
        <w:t>...</w:t>
      </w:r>
    </w:p>
    <w:p>
      <w:pPr>
        <w:pStyle w:val="BodyText"/>
        <w:spacing w:line="235" w:lineRule="auto" w:before="129"/>
        <w:ind w:left="123" w:right="692" w:hanging="6"/>
        <w:jc w:val="both"/>
      </w:pPr>
      <w:r>
        <w:rPr>
          <w:color w:val="383636"/>
          <w:spacing w:val="-1"/>
          <w:w w:val="115"/>
        </w:rPr>
        <w:t>The "does" part </w:t>
      </w:r>
      <w:r>
        <w:rPr>
          <w:rFonts w:ascii="Arial"/>
          <w:color w:val="383636"/>
          <w:spacing w:val="-1"/>
          <w:w w:val="115"/>
          <w:sz w:val="22"/>
        </w:rPr>
        <w:t>of </w:t>
      </w:r>
      <w:r>
        <w:rPr>
          <w:color w:val="383636"/>
          <w:spacing w:val="-1"/>
          <w:w w:val="115"/>
        </w:rPr>
        <w:t>the research </w:t>
      </w:r>
      <w:r>
        <w:rPr>
          <w:color w:val="383636"/>
          <w:w w:val="115"/>
        </w:rPr>
        <w:t>question refers to the legal question that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your research will answer. In this part of the question, you ask a yes-or-no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question-which mayor maynot begin with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the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word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does-that</w:t>
      </w:r>
      <w:r>
        <w:rPr>
          <w:color w:val="383636"/>
          <w:spacing w:val="1"/>
          <w:w w:val="115"/>
        </w:rPr>
        <w:t> </w:t>
      </w:r>
      <w:r>
        <w:rPr>
          <w:rFonts w:ascii="Arial"/>
          <w:color w:val="383636"/>
          <w:w w:val="115"/>
          <w:sz w:val="22"/>
        </w:rPr>
        <w:t>asks</w:t>
      </w:r>
      <w:r>
        <w:rPr>
          <w:rFonts w:ascii="Arial"/>
          <w:color w:val="383636"/>
          <w:spacing w:val="1"/>
          <w:w w:val="115"/>
          <w:sz w:val="22"/>
        </w:rPr>
        <w:t> </w:t>
      </w:r>
      <w:r>
        <w:rPr>
          <w:color w:val="383636"/>
          <w:w w:val="115"/>
        </w:rPr>
        <w:t>whether</w:t>
      </w:r>
      <w:r>
        <w:rPr>
          <w:color w:val="383636"/>
          <w:spacing w:val="-12"/>
          <w:w w:val="115"/>
        </w:rPr>
        <w:t> </w:t>
      </w:r>
      <w:r>
        <w:rPr>
          <w:color w:val="383636"/>
          <w:w w:val="115"/>
        </w:rPr>
        <w:t>a</w:t>
      </w:r>
      <w:r>
        <w:rPr>
          <w:color w:val="383636"/>
          <w:spacing w:val="-4"/>
          <w:w w:val="115"/>
        </w:rPr>
        <w:t> </w:t>
      </w:r>
      <w:r>
        <w:rPr>
          <w:color w:val="383636"/>
          <w:w w:val="115"/>
        </w:rPr>
        <w:t>certain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legal</w:t>
      </w:r>
      <w:r>
        <w:rPr>
          <w:color w:val="383636"/>
          <w:spacing w:val="-16"/>
          <w:w w:val="115"/>
        </w:rPr>
        <w:t> </w:t>
      </w:r>
      <w:r>
        <w:rPr>
          <w:color w:val="383636"/>
          <w:w w:val="115"/>
        </w:rPr>
        <w:t>condition</w:t>
      </w:r>
      <w:r>
        <w:rPr>
          <w:color w:val="383636"/>
          <w:spacing w:val="5"/>
          <w:w w:val="115"/>
        </w:rPr>
        <w:t> </w:t>
      </w:r>
      <w:r>
        <w:rPr>
          <w:color w:val="383636"/>
          <w:w w:val="115"/>
        </w:rPr>
        <w:t>has</w:t>
      </w:r>
      <w:r>
        <w:rPr>
          <w:color w:val="383636"/>
          <w:spacing w:val="-11"/>
          <w:w w:val="115"/>
        </w:rPr>
        <w:t> </w:t>
      </w:r>
      <w:r>
        <w:rPr>
          <w:color w:val="383636"/>
          <w:w w:val="115"/>
        </w:rPr>
        <w:t>been</w:t>
      </w:r>
      <w:r>
        <w:rPr>
          <w:color w:val="383636"/>
          <w:spacing w:val="-10"/>
          <w:w w:val="115"/>
        </w:rPr>
        <w:t> </w:t>
      </w:r>
      <w:r>
        <w:rPr>
          <w:color w:val="383636"/>
          <w:w w:val="115"/>
        </w:rPr>
        <w:t>met</w:t>
      </w:r>
      <w:r>
        <w:rPr>
          <w:color w:val="383636"/>
          <w:spacing w:val="-13"/>
          <w:w w:val="115"/>
        </w:rPr>
        <w:t> </w:t>
      </w:r>
      <w:r>
        <w:rPr>
          <w:color w:val="383636"/>
          <w:w w:val="115"/>
        </w:rPr>
        <w:t>or</w:t>
      </w:r>
      <w:r>
        <w:rPr>
          <w:color w:val="383636"/>
          <w:spacing w:val="-11"/>
          <w:w w:val="115"/>
        </w:rPr>
        <w:t> </w:t>
      </w:r>
      <w:r>
        <w:rPr>
          <w:color w:val="383636"/>
          <w:w w:val="115"/>
        </w:rPr>
        <w:t>whether</w:t>
      </w:r>
      <w:r>
        <w:rPr>
          <w:color w:val="383636"/>
          <w:spacing w:val="-14"/>
          <w:w w:val="115"/>
        </w:rPr>
        <w:t> </w:t>
      </w:r>
      <w:r>
        <w:rPr>
          <w:rFonts w:ascii="Arial"/>
          <w:color w:val="383636"/>
          <w:w w:val="115"/>
          <w:sz w:val="20"/>
        </w:rPr>
        <w:t>a</w:t>
      </w:r>
      <w:r>
        <w:rPr>
          <w:rFonts w:ascii="Arial"/>
          <w:color w:val="383636"/>
          <w:spacing w:val="-15"/>
          <w:w w:val="115"/>
          <w:sz w:val="20"/>
        </w:rPr>
        <w:t> </w:t>
      </w:r>
      <w:r>
        <w:rPr>
          <w:color w:val="383636"/>
          <w:w w:val="115"/>
        </w:rPr>
        <w:t>certain</w:t>
      </w:r>
      <w:r>
        <w:rPr>
          <w:color w:val="383636"/>
          <w:spacing w:val="-7"/>
          <w:w w:val="115"/>
        </w:rPr>
        <w:t> </w:t>
      </w:r>
      <w:r>
        <w:rPr>
          <w:color w:val="383636"/>
          <w:w w:val="115"/>
        </w:rPr>
        <w:t>legal</w:t>
      </w:r>
      <w:r>
        <w:rPr>
          <w:color w:val="383636"/>
          <w:spacing w:val="-64"/>
          <w:w w:val="115"/>
        </w:rPr>
        <w:t> </w:t>
      </w:r>
      <w:r>
        <w:rPr>
          <w:color w:val="383636"/>
          <w:w w:val="110"/>
        </w:rPr>
        <w:t>status exists. This part of the question often focuses on the legal question</w:t>
      </w:r>
      <w:r>
        <w:rPr>
          <w:color w:val="383636"/>
          <w:spacing w:val="1"/>
          <w:w w:val="110"/>
        </w:rPr>
        <w:t> </w:t>
      </w:r>
      <w:r>
        <w:rPr>
          <w:color w:val="383636"/>
          <w:spacing w:val="-1"/>
          <w:w w:val="115"/>
        </w:rPr>
        <w:t>that</w:t>
      </w:r>
      <w:r>
        <w:rPr>
          <w:color w:val="383636"/>
          <w:spacing w:val="-3"/>
          <w:w w:val="115"/>
        </w:rPr>
        <w:t> </w:t>
      </w:r>
      <w:r>
        <w:rPr>
          <w:color w:val="383636"/>
          <w:spacing w:val="-1"/>
          <w:w w:val="115"/>
        </w:rPr>
        <w:t>the</w:t>
      </w:r>
      <w:r>
        <w:rPr>
          <w:color w:val="383636"/>
          <w:spacing w:val="-28"/>
          <w:w w:val="115"/>
        </w:rPr>
        <w:t> </w:t>
      </w:r>
      <w:r>
        <w:rPr>
          <w:color w:val="383636"/>
          <w:spacing w:val="-1"/>
          <w:w w:val="115"/>
        </w:rPr>
        <w:t>case</w:t>
      </w:r>
      <w:r>
        <w:rPr>
          <w:color w:val="383636"/>
          <w:spacing w:val="-4"/>
          <w:w w:val="115"/>
        </w:rPr>
        <w:t> </w:t>
      </w:r>
      <w:r>
        <w:rPr>
          <w:color w:val="383636"/>
          <w:spacing w:val="-1"/>
          <w:w w:val="115"/>
        </w:rPr>
        <w:t>is</w:t>
      </w:r>
      <w:r>
        <w:rPr>
          <w:color w:val="383636"/>
          <w:spacing w:val="-24"/>
          <w:w w:val="115"/>
        </w:rPr>
        <w:t> </w:t>
      </w:r>
      <w:r>
        <w:rPr>
          <w:color w:val="383636"/>
          <w:spacing w:val="-1"/>
          <w:w w:val="115"/>
        </w:rPr>
        <w:t>about,</w:t>
      </w:r>
      <w:r>
        <w:rPr>
          <w:color w:val="383636"/>
          <w:spacing w:val="-10"/>
          <w:w w:val="115"/>
        </w:rPr>
        <w:t> </w:t>
      </w:r>
      <w:r>
        <w:rPr>
          <w:color w:val="383636"/>
          <w:w w:val="115"/>
        </w:rPr>
        <w:t>as</w:t>
      </w:r>
      <w:r>
        <w:rPr>
          <w:color w:val="383636"/>
          <w:spacing w:val="-30"/>
          <w:w w:val="115"/>
        </w:rPr>
        <w:t> </w:t>
      </w:r>
      <w:r>
        <w:rPr>
          <w:color w:val="383636"/>
          <w:w w:val="115"/>
        </w:rPr>
        <w:t>in</w:t>
      </w:r>
      <w:r>
        <w:rPr>
          <w:color w:val="383636"/>
          <w:spacing w:val="8"/>
          <w:w w:val="115"/>
        </w:rPr>
        <w:t> </w:t>
      </w:r>
      <w:r>
        <w:rPr>
          <w:color w:val="383636"/>
          <w:w w:val="115"/>
        </w:rPr>
        <w:t>the</w:t>
      </w:r>
      <w:r>
        <w:rPr>
          <w:color w:val="383636"/>
          <w:spacing w:val="11"/>
          <w:w w:val="115"/>
        </w:rPr>
        <w:t> </w:t>
      </w:r>
      <w:r>
        <w:rPr>
          <w:color w:val="383636"/>
          <w:w w:val="115"/>
        </w:rPr>
        <w:t>following</w:t>
      </w:r>
      <w:r>
        <w:rPr>
          <w:color w:val="383636"/>
          <w:spacing w:val="-12"/>
          <w:w w:val="115"/>
        </w:rPr>
        <w:t> </w:t>
      </w:r>
      <w:r>
        <w:rPr>
          <w:color w:val="383636"/>
          <w:w w:val="115"/>
        </w:rPr>
        <w:t>example:</w:t>
      </w:r>
    </w:p>
    <w:p>
      <w:pPr>
        <w:spacing w:before="116"/>
        <w:ind w:left="505" w:right="0" w:firstLine="0"/>
        <w:jc w:val="both"/>
        <w:rPr>
          <w:sz w:val="23"/>
        </w:rPr>
      </w:pPr>
      <w:r>
        <w:rPr>
          <w:color w:val="383636"/>
          <w:w w:val="110"/>
          <w:sz w:val="23"/>
        </w:rPr>
        <w:t>Is</w:t>
      </w:r>
      <w:r>
        <w:rPr>
          <w:color w:val="383636"/>
          <w:spacing w:val="-31"/>
          <w:w w:val="110"/>
          <w:sz w:val="23"/>
        </w:rPr>
        <w:t> </w:t>
      </w:r>
      <w:r>
        <w:rPr>
          <w:rFonts w:ascii="Arial" w:hAnsi="Arial"/>
          <w:color w:val="383636"/>
          <w:w w:val="110"/>
          <w:sz w:val="18"/>
        </w:rPr>
        <w:t>27</w:t>
      </w:r>
      <w:r>
        <w:rPr>
          <w:rFonts w:ascii="Arial" w:hAnsi="Arial"/>
          <w:color w:val="383636"/>
          <w:spacing w:val="21"/>
          <w:w w:val="110"/>
          <w:sz w:val="18"/>
        </w:rPr>
        <w:t> </w:t>
      </w:r>
      <w:r>
        <w:rPr>
          <w:color w:val="383636"/>
          <w:w w:val="110"/>
          <w:sz w:val="23"/>
        </w:rPr>
        <w:t>U.S.C.</w:t>
      </w:r>
      <w:r>
        <w:rPr>
          <w:color w:val="383636"/>
          <w:spacing w:val="-13"/>
          <w:w w:val="110"/>
          <w:sz w:val="23"/>
        </w:rPr>
        <w:t> </w:t>
      </w:r>
      <w:r>
        <w:rPr>
          <w:rFonts w:ascii="Arial" w:hAnsi="Arial"/>
          <w:color w:val="383636"/>
          <w:w w:val="110"/>
          <w:sz w:val="18"/>
        </w:rPr>
        <w:t>§205(r.)(2)</w:t>
      </w:r>
      <w:r>
        <w:rPr>
          <w:rFonts w:ascii="Arial" w:hAnsi="Arial"/>
          <w:color w:val="383636"/>
          <w:spacing w:val="6"/>
          <w:w w:val="110"/>
          <w:sz w:val="18"/>
        </w:rPr>
        <w:t> </w:t>
      </w:r>
      <w:r>
        <w:rPr>
          <w:color w:val="383636"/>
          <w:w w:val="110"/>
          <w:sz w:val="23"/>
        </w:rPr>
        <w:t>constitutional</w:t>
      </w:r>
      <w:r>
        <w:rPr>
          <w:color w:val="383636"/>
          <w:spacing w:val="-8"/>
          <w:w w:val="110"/>
          <w:sz w:val="23"/>
        </w:rPr>
        <w:t> </w:t>
      </w:r>
      <w:r>
        <w:rPr>
          <w:color w:val="383636"/>
          <w:w w:val="110"/>
          <w:sz w:val="23"/>
        </w:rPr>
        <w:t>when</w:t>
      </w:r>
      <w:r>
        <w:rPr>
          <w:color w:val="383636"/>
          <w:spacing w:val="-11"/>
          <w:w w:val="110"/>
          <w:sz w:val="23"/>
        </w:rPr>
        <w:t> </w:t>
      </w:r>
      <w:r>
        <w:rPr>
          <w:color w:val="383636"/>
          <w:w w:val="110"/>
          <w:sz w:val="23"/>
        </w:rPr>
        <w:t>...</w:t>
      </w:r>
    </w:p>
    <w:p>
      <w:pPr>
        <w:pStyle w:val="BodyText"/>
        <w:spacing w:line="232" w:lineRule="auto" w:before="128"/>
        <w:ind w:left="133" w:right="648" w:firstLine="2"/>
        <w:jc w:val="both"/>
      </w:pPr>
      <w:r>
        <w:rPr>
          <w:color w:val="383636"/>
          <w:w w:val="115"/>
        </w:rPr>
        <w:t>Of course, </w:t>
      </w:r>
      <w:r>
        <w:rPr>
          <w:color w:val="383636"/>
          <w:w w:val="115"/>
          <w:sz w:val="24"/>
        </w:rPr>
        <w:t>your </w:t>
      </w:r>
      <w:r>
        <w:rPr>
          <w:color w:val="383636"/>
          <w:w w:val="115"/>
        </w:rPr>
        <w:t>reading of the arguments in the lower courts might lead</w:t>
      </w:r>
      <w:r>
        <w:rPr>
          <w:color w:val="383636"/>
          <w:spacing w:val="-64"/>
          <w:w w:val="115"/>
        </w:rPr>
        <w:t> </w:t>
      </w:r>
      <w:r>
        <w:rPr>
          <w:color w:val="383636"/>
          <w:w w:val="115"/>
        </w:rPr>
        <w:t>you to address more narrow questions related to the commercial speech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test, and thus you might try to articulate questions that reflect your cur­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rent understanding of that test and of the relevant arguments, as in the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following</w:t>
      </w:r>
      <w:r>
        <w:rPr>
          <w:color w:val="383636"/>
          <w:spacing w:val="-6"/>
          <w:w w:val="115"/>
        </w:rPr>
        <w:t> </w:t>
      </w:r>
      <w:r>
        <w:rPr>
          <w:color w:val="383636"/>
          <w:w w:val="115"/>
        </w:rPr>
        <w:t>examples:</w:t>
      </w:r>
    </w:p>
    <w:p>
      <w:pPr>
        <w:pStyle w:val="BodyText"/>
        <w:spacing w:line="218" w:lineRule="auto" w:before="133"/>
        <w:ind w:left="514" w:right="1012" w:firstLine="1"/>
        <w:jc w:val="both"/>
      </w:pPr>
      <w:r>
        <w:rPr>
          <w:color w:val="383636"/>
          <w:w w:val="110"/>
        </w:rPr>
        <w:t>Does prohibiting the printing of alcohol content information on a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beer label sufficiently advance the government's interest in prevent•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Ing</w:t>
      </w:r>
      <w:r>
        <w:rPr>
          <w:color w:val="383636"/>
          <w:spacing w:val="-26"/>
          <w:w w:val="110"/>
        </w:rPr>
        <w:t> </w:t>
      </w:r>
      <w:r>
        <w:rPr>
          <w:color w:val="383636"/>
          <w:w w:val="110"/>
        </w:rPr>
        <w:t>strength</w:t>
      </w:r>
      <w:r>
        <w:rPr>
          <w:color w:val="383636"/>
          <w:spacing w:val="7"/>
          <w:w w:val="110"/>
        </w:rPr>
        <w:t> </w:t>
      </w:r>
      <w:r>
        <w:rPr>
          <w:color w:val="383636"/>
          <w:w w:val="110"/>
        </w:rPr>
        <w:t>wars</w:t>
      </w:r>
      <w:r>
        <w:rPr>
          <w:color w:val="383636"/>
          <w:spacing w:val="-28"/>
          <w:w w:val="110"/>
        </w:rPr>
        <w:t> </w:t>
      </w:r>
      <w:r>
        <w:rPr>
          <w:color w:val="383636"/>
          <w:w w:val="110"/>
        </w:rPr>
        <w:t>when</w:t>
      </w:r>
      <w:r>
        <w:rPr>
          <w:color w:val="383636"/>
          <w:spacing w:val="-12"/>
          <w:w w:val="110"/>
        </w:rPr>
        <w:t> </w:t>
      </w:r>
      <w:r>
        <w:rPr>
          <w:color w:val="383636"/>
          <w:w w:val="110"/>
        </w:rPr>
        <w:t>...</w:t>
      </w:r>
    </w:p>
    <w:p>
      <w:pPr>
        <w:pStyle w:val="BodyText"/>
        <w:spacing w:line="213" w:lineRule="auto" w:before="130"/>
        <w:ind w:left="508" w:right="992" w:firstLine="18"/>
        <w:jc w:val="both"/>
      </w:pPr>
      <w:r>
        <w:rPr>
          <w:color w:val="383636"/>
          <w:w w:val="110"/>
        </w:rPr>
        <w:t>Does prohibiting the printing of alcohol content information on a</w:t>
      </w:r>
      <w:r>
        <w:rPr>
          <w:color w:val="383636"/>
          <w:spacing w:val="1"/>
          <w:w w:val="110"/>
        </w:rPr>
        <w:t> </w:t>
      </w:r>
      <w:r>
        <w:rPr>
          <w:rFonts w:ascii="Arial"/>
          <w:color w:val="383636"/>
          <w:w w:val="110"/>
          <w:sz w:val="19"/>
        </w:rPr>
        <w:t>beer </w:t>
      </w:r>
      <w:r>
        <w:rPr>
          <w:color w:val="383636"/>
          <w:w w:val="110"/>
        </w:rPr>
        <w:t>label directly advance the government's interest </w:t>
      </w:r>
      <w:r>
        <w:rPr>
          <w:color w:val="383636"/>
          <w:w w:val="110"/>
          <w:sz w:val="20"/>
        </w:rPr>
        <w:t>in</w:t>
      </w:r>
      <w:r>
        <w:rPr>
          <w:color w:val="383636"/>
          <w:spacing w:val="1"/>
          <w:w w:val="110"/>
          <w:sz w:val="20"/>
        </w:rPr>
        <w:t> </w:t>
      </w:r>
      <w:r>
        <w:rPr>
          <w:color w:val="383636"/>
          <w:w w:val="110"/>
        </w:rPr>
        <w:t>preventing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consumers</w:t>
      </w:r>
      <w:r>
        <w:rPr>
          <w:color w:val="383636"/>
          <w:spacing w:val="-2"/>
          <w:w w:val="110"/>
        </w:rPr>
        <w:t> </w:t>
      </w:r>
      <w:r>
        <w:rPr>
          <w:color w:val="383636"/>
          <w:w w:val="110"/>
        </w:rPr>
        <w:t>from</w:t>
      </w:r>
      <w:r>
        <w:rPr>
          <w:color w:val="383636"/>
          <w:spacing w:val="7"/>
          <w:w w:val="110"/>
        </w:rPr>
        <w:t> </w:t>
      </w:r>
      <w:r>
        <w:rPr>
          <w:color w:val="383636"/>
          <w:w w:val="110"/>
        </w:rPr>
        <w:t>having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misleading</w:t>
      </w:r>
      <w:r>
        <w:rPr>
          <w:color w:val="383636"/>
          <w:spacing w:val="4"/>
          <w:w w:val="110"/>
        </w:rPr>
        <w:t> </w:t>
      </w:r>
      <w:r>
        <w:rPr>
          <w:color w:val="383636"/>
          <w:w w:val="110"/>
        </w:rPr>
        <w:t>information</w:t>
      </w:r>
      <w:r>
        <w:rPr>
          <w:color w:val="383636"/>
          <w:spacing w:val="13"/>
          <w:w w:val="110"/>
        </w:rPr>
        <w:t> </w:t>
      </w:r>
      <w:r>
        <w:rPr>
          <w:color w:val="383636"/>
          <w:w w:val="110"/>
        </w:rPr>
        <w:t>when</w:t>
      </w:r>
      <w:r>
        <w:rPr>
          <w:color w:val="383636"/>
          <w:spacing w:val="-14"/>
          <w:w w:val="110"/>
        </w:rPr>
        <w:t> </w:t>
      </w:r>
      <w:r>
        <w:rPr>
          <w:color w:val="383636"/>
          <w:w w:val="110"/>
        </w:rPr>
        <w:t>...</w:t>
      </w:r>
    </w:p>
    <w:p>
      <w:pPr>
        <w:spacing w:line="228" w:lineRule="auto" w:before="606"/>
        <w:ind w:left="147" w:right="562" w:firstLine="375"/>
        <w:jc w:val="both"/>
        <w:rPr>
          <w:sz w:val="18"/>
        </w:rPr>
      </w:pPr>
      <w:r>
        <w:rPr>
          <w:color w:val="383636"/>
          <w:w w:val="115"/>
          <w:sz w:val="18"/>
        </w:rPr>
        <w:t>'Note also that the narrow question may begin with something other than </w:t>
      </w:r>
      <w:r>
        <w:rPr>
          <w:i/>
          <w:color w:val="383636"/>
          <w:w w:val="115"/>
          <w:sz w:val="17"/>
        </w:rPr>
        <w:t>does, </w:t>
      </w:r>
      <w:r>
        <w:rPr>
          <w:color w:val="383636"/>
          <w:w w:val="115"/>
          <w:sz w:val="18"/>
        </w:rPr>
        <w:t>and that</w:t>
      </w:r>
      <w:r>
        <w:rPr>
          <w:color w:val="383636"/>
          <w:spacing w:val="1"/>
          <w:w w:val="115"/>
          <w:sz w:val="18"/>
        </w:rPr>
        <w:t> </w:t>
      </w:r>
      <w:r>
        <w:rPr>
          <w:color w:val="383636"/>
          <w:w w:val="110"/>
          <w:sz w:val="18"/>
        </w:rPr>
        <w:t>the section about the facts may begin with </w:t>
      </w:r>
      <w:r>
        <w:rPr>
          <w:rFonts w:ascii="Arial"/>
          <w:i/>
          <w:color w:val="383636"/>
          <w:w w:val="110"/>
          <w:sz w:val="16"/>
        </w:rPr>
        <w:t>include </w:t>
      </w:r>
      <w:r>
        <w:rPr>
          <w:color w:val="383636"/>
          <w:w w:val="110"/>
          <w:sz w:val="18"/>
        </w:rPr>
        <w:t>rather than </w:t>
      </w:r>
      <w:r>
        <w:rPr>
          <w:rFonts w:ascii="Arial"/>
          <w:i/>
          <w:color w:val="383636"/>
          <w:w w:val="110"/>
          <w:sz w:val="16"/>
        </w:rPr>
        <w:t>when. </w:t>
      </w:r>
      <w:r>
        <w:rPr>
          <w:color w:val="383636"/>
          <w:w w:val="110"/>
          <w:sz w:val="18"/>
        </w:rPr>
        <w:t>for example, you may ask,</w:t>
      </w:r>
      <w:r>
        <w:rPr>
          <w:color w:val="383636"/>
          <w:spacing w:val="1"/>
          <w:w w:val="110"/>
          <w:sz w:val="18"/>
        </w:rPr>
        <w:t> </w:t>
      </w:r>
      <w:r>
        <w:rPr>
          <w:color w:val="383636"/>
          <w:w w:val="110"/>
          <w:sz w:val="18"/>
        </w:rPr>
        <w:t>"Under relevant law, does legal status Include legally significant facts?" Or "Under relevant law,</w:t>
      </w:r>
      <w:r>
        <w:rPr>
          <w:color w:val="383636"/>
          <w:spacing w:val="1"/>
          <w:w w:val="110"/>
          <w:sz w:val="18"/>
        </w:rPr>
        <w:t> </w:t>
      </w:r>
      <w:r>
        <w:rPr>
          <w:color w:val="383636"/>
          <w:w w:val="110"/>
          <w:sz w:val="18"/>
        </w:rPr>
        <w:t>can</w:t>
      </w:r>
      <w:r>
        <w:rPr>
          <w:color w:val="383636"/>
          <w:spacing w:val="9"/>
          <w:w w:val="110"/>
          <w:sz w:val="18"/>
        </w:rPr>
        <w:t> </w:t>
      </w:r>
      <w:r>
        <w:rPr>
          <w:color w:val="383636"/>
          <w:w w:val="110"/>
          <w:sz w:val="18"/>
        </w:rPr>
        <w:t>a</w:t>
      </w:r>
      <w:r>
        <w:rPr>
          <w:color w:val="383636"/>
          <w:spacing w:val="7"/>
          <w:w w:val="110"/>
          <w:sz w:val="18"/>
        </w:rPr>
        <w:t> </w:t>
      </w:r>
      <w:r>
        <w:rPr>
          <w:color w:val="383636"/>
          <w:w w:val="110"/>
          <w:sz w:val="18"/>
        </w:rPr>
        <w:t>party</w:t>
      </w:r>
      <w:r>
        <w:rPr>
          <w:color w:val="383636"/>
          <w:spacing w:val="-11"/>
          <w:w w:val="110"/>
          <w:sz w:val="18"/>
        </w:rPr>
        <w:t> </w:t>
      </w:r>
      <w:r>
        <w:rPr>
          <w:color w:val="383636"/>
          <w:w w:val="110"/>
          <w:sz w:val="18"/>
        </w:rPr>
        <w:t>establlsh</w:t>
      </w:r>
      <w:r>
        <w:rPr>
          <w:color w:val="383636"/>
          <w:spacing w:val="2"/>
          <w:w w:val="110"/>
          <w:sz w:val="18"/>
        </w:rPr>
        <w:t> </w:t>
      </w:r>
      <w:r>
        <w:rPr>
          <w:color w:val="383636"/>
          <w:w w:val="110"/>
          <w:sz w:val="18"/>
        </w:rPr>
        <w:t>legal</w:t>
      </w:r>
      <w:r>
        <w:rPr>
          <w:color w:val="383636"/>
          <w:spacing w:val="-7"/>
          <w:w w:val="110"/>
          <w:sz w:val="18"/>
        </w:rPr>
        <w:t> </w:t>
      </w:r>
      <w:r>
        <w:rPr>
          <w:color w:val="383636"/>
          <w:w w:val="110"/>
          <w:sz w:val="18"/>
        </w:rPr>
        <w:t>status</w:t>
      </w:r>
      <w:r>
        <w:rPr>
          <w:color w:val="383636"/>
          <w:spacing w:val="-22"/>
          <w:w w:val="110"/>
          <w:sz w:val="18"/>
        </w:rPr>
        <w:t> </w:t>
      </w:r>
      <w:r>
        <w:rPr>
          <w:color w:val="383636"/>
          <w:w w:val="110"/>
          <w:sz w:val="18"/>
        </w:rPr>
        <w:t>when</w:t>
      </w:r>
      <w:r>
        <w:rPr>
          <w:color w:val="383636"/>
          <w:spacing w:val="-11"/>
          <w:w w:val="110"/>
          <w:sz w:val="18"/>
        </w:rPr>
        <w:t> </w:t>
      </w:r>
      <w:r>
        <w:rPr>
          <w:color w:val="383636"/>
          <w:w w:val="110"/>
          <w:sz w:val="18"/>
        </w:rPr>
        <w:t>legally</w:t>
      </w:r>
      <w:r>
        <w:rPr>
          <w:color w:val="383636"/>
          <w:spacing w:val="-10"/>
          <w:w w:val="110"/>
          <w:sz w:val="18"/>
        </w:rPr>
        <w:t> </w:t>
      </w:r>
      <w:r>
        <w:rPr>
          <w:color w:val="383636"/>
          <w:w w:val="110"/>
          <w:sz w:val="18"/>
        </w:rPr>
        <w:t>slgnlflcant</w:t>
      </w:r>
      <w:r>
        <w:rPr>
          <w:color w:val="383636"/>
          <w:spacing w:val="4"/>
          <w:w w:val="110"/>
          <w:sz w:val="18"/>
        </w:rPr>
        <w:t> </w:t>
      </w:r>
      <w:r>
        <w:rPr>
          <w:color w:val="383636"/>
          <w:w w:val="110"/>
          <w:sz w:val="18"/>
        </w:rPr>
        <w:t>facts</w:t>
      </w:r>
      <w:r>
        <w:rPr>
          <w:color w:val="383636"/>
          <w:spacing w:val="-21"/>
          <w:w w:val="110"/>
          <w:sz w:val="18"/>
        </w:rPr>
        <w:t> </w:t>
      </w:r>
      <w:r>
        <w:rPr>
          <w:color w:val="383636"/>
          <w:w w:val="110"/>
          <w:sz w:val="18"/>
        </w:rPr>
        <w:t>exist?"</w:t>
      </w:r>
    </w:p>
    <w:p>
      <w:pPr>
        <w:spacing w:after="0" w:line="228" w:lineRule="auto"/>
        <w:jc w:val="both"/>
        <w:rPr>
          <w:sz w:val="18"/>
        </w:rPr>
        <w:sectPr>
          <w:headerReference w:type="default" r:id="rId65"/>
          <w:pgSz w:w="9540" w:h="13740"/>
          <w:pgMar w:header="0" w:footer="0" w:top="0" w:bottom="280" w:left="540" w:right="560"/>
        </w:sectPr>
      </w:pPr>
    </w:p>
    <w:p>
      <w:pPr>
        <w:spacing w:line="260" w:lineRule="exact" w:before="0"/>
        <w:ind w:left="-11" w:right="0" w:firstLine="0"/>
        <w:jc w:val="left"/>
        <w:rPr>
          <w:rFonts w:ascii="Arial"/>
          <w:i/>
          <w:sz w:val="31"/>
        </w:rPr>
      </w:pPr>
      <w:r>
        <w:rPr>
          <w:rFonts w:ascii="Arial"/>
          <w:i/>
          <w:color w:val="3A383A"/>
          <w:w w:val="62"/>
          <w:sz w:val="31"/>
        </w:rPr>
        <w:t>r</w:t>
      </w:r>
    </w:p>
    <w:p>
      <w:pPr>
        <w:pStyle w:val="BodyText"/>
        <w:spacing w:before="9"/>
        <w:rPr>
          <w:rFonts w:ascii="Arial"/>
          <w:i/>
          <w:sz w:val="19"/>
        </w:rPr>
      </w:pPr>
    </w:p>
    <w:p>
      <w:pPr>
        <w:tabs>
          <w:tab w:pos="1911" w:val="left" w:leader="none"/>
        </w:tabs>
        <w:spacing w:before="0"/>
        <w:ind w:left="1164" w:right="0" w:firstLine="0"/>
        <w:jc w:val="left"/>
        <w:rPr>
          <w:rFonts w:ascii="Arial"/>
          <w:sz w:val="17"/>
        </w:rPr>
      </w:pPr>
      <w:r>
        <w:rPr>
          <w:rFonts w:ascii="Arial"/>
          <w:b/>
          <w:color w:val="3A383A"/>
          <w:w w:val="95"/>
          <w:sz w:val="18"/>
        </w:rPr>
        <w:t>42</w:t>
        <w:tab/>
      </w:r>
      <w:r>
        <w:rPr>
          <w:rFonts w:ascii="Arial"/>
          <w:color w:val="3A383A"/>
          <w:sz w:val="17"/>
        </w:rPr>
        <w:t>Chapter</w:t>
      </w:r>
      <w:r>
        <w:rPr>
          <w:rFonts w:ascii="Arial"/>
          <w:color w:val="3A383A"/>
          <w:spacing w:val="15"/>
          <w:sz w:val="17"/>
        </w:rPr>
        <w:t> </w:t>
      </w:r>
      <w:r>
        <w:rPr>
          <w:rFonts w:ascii="Arial"/>
          <w:color w:val="3A383A"/>
          <w:sz w:val="17"/>
        </w:rPr>
        <w:t>Three   </w:t>
      </w:r>
      <w:r>
        <w:rPr>
          <w:rFonts w:ascii="Arial"/>
          <w:color w:val="3A383A"/>
          <w:spacing w:val="9"/>
          <w:sz w:val="17"/>
        </w:rPr>
        <w:t> </w:t>
      </w:r>
      <w:r>
        <w:rPr>
          <w:rFonts w:ascii="Arial"/>
          <w:color w:val="3A383A"/>
          <w:sz w:val="17"/>
        </w:rPr>
        <w:t>Before</w:t>
      </w:r>
      <w:r>
        <w:rPr>
          <w:rFonts w:ascii="Arial"/>
          <w:color w:val="3A383A"/>
          <w:spacing w:val="-12"/>
          <w:sz w:val="17"/>
        </w:rPr>
        <w:t> </w:t>
      </w:r>
      <w:r>
        <w:rPr>
          <w:rFonts w:ascii="Arial"/>
          <w:color w:val="3A383A"/>
          <w:sz w:val="17"/>
        </w:rPr>
        <w:t>You</w:t>
      </w:r>
      <w:r>
        <w:rPr>
          <w:rFonts w:ascii="Arial"/>
          <w:color w:val="3A383A"/>
          <w:spacing w:val="-11"/>
          <w:sz w:val="17"/>
        </w:rPr>
        <w:t> </w:t>
      </w:r>
      <w:r>
        <w:rPr>
          <w:rFonts w:ascii="Arial"/>
          <w:color w:val="3A383A"/>
          <w:sz w:val="17"/>
        </w:rPr>
        <w:t>Write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1"/>
        </w:rPr>
      </w:pPr>
    </w:p>
    <w:p>
      <w:pPr>
        <w:pStyle w:val="BodyText"/>
        <w:spacing w:line="228" w:lineRule="auto"/>
        <w:ind w:left="1911" w:right="124" w:hanging="9"/>
        <w:jc w:val="both"/>
      </w:pPr>
      <w:r>
        <w:rPr>
          <w:color w:val="3A383A"/>
          <w:w w:val="110"/>
        </w:rPr>
        <w:t>These core questions help you to focus your research by forcing you to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articulate</w:t>
      </w:r>
      <w:r>
        <w:rPr>
          <w:color w:val="3A383A"/>
          <w:spacing w:val="4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21"/>
          <w:w w:val="110"/>
        </w:rPr>
        <w:t> </w:t>
      </w:r>
      <w:r>
        <w:rPr>
          <w:color w:val="3A383A"/>
          <w:w w:val="110"/>
        </w:rPr>
        <w:t>narrow</w:t>
      </w:r>
      <w:r>
        <w:rPr>
          <w:color w:val="3A383A"/>
          <w:spacing w:val="-13"/>
          <w:w w:val="110"/>
        </w:rPr>
        <w:t> </w:t>
      </w:r>
      <w:r>
        <w:rPr>
          <w:color w:val="3A383A"/>
          <w:w w:val="110"/>
        </w:rPr>
        <w:t>questions</w:t>
      </w:r>
      <w:r>
        <w:rPr>
          <w:color w:val="3A383A"/>
          <w:spacing w:val="-1"/>
          <w:w w:val="110"/>
        </w:rPr>
        <w:t> </w:t>
      </w:r>
      <w:r>
        <w:rPr>
          <w:color w:val="3A383A"/>
          <w:w w:val="110"/>
        </w:rPr>
        <w:t>that</w:t>
      </w:r>
      <w:r>
        <w:rPr>
          <w:color w:val="3A383A"/>
          <w:spacing w:val="-7"/>
          <w:w w:val="110"/>
        </w:rPr>
        <w:t> </w:t>
      </w:r>
      <w:r>
        <w:rPr>
          <w:color w:val="3A383A"/>
          <w:w w:val="110"/>
        </w:rPr>
        <w:t>your</w:t>
      </w:r>
      <w:r>
        <w:rPr>
          <w:color w:val="3A383A"/>
          <w:spacing w:val="-7"/>
          <w:w w:val="110"/>
        </w:rPr>
        <w:t> </w:t>
      </w:r>
      <w:r>
        <w:rPr>
          <w:color w:val="3A383A"/>
          <w:w w:val="110"/>
        </w:rPr>
        <w:t>research</w:t>
      </w:r>
      <w:r>
        <w:rPr>
          <w:color w:val="3A383A"/>
          <w:spacing w:val="15"/>
          <w:w w:val="110"/>
        </w:rPr>
        <w:t> </w:t>
      </w:r>
      <w:r>
        <w:rPr>
          <w:color w:val="3A383A"/>
          <w:w w:val="110"/>
        </w:rPr>
        <w:t>is</w:t>
      </w:r>
      <w:r>
        <w:rPr>
          <w:color w:val="3A383A"/>
          <w:spacing w:val="-4"/>
          <w:w w:val="110"/>
        </w:rPr>
        <w:t> </w:t>
      </w:r>
      <w:r>
        <w:rPr>
          <w:color w:val="3A383A"/>
          <w:w w:val="110"/>
        </w:rPr>
        <w:t>designed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to</w:t>
      </w:r>
      <w:r>
        <w:rPr>
          <w:color w:val="3A383A"/>
          <w:spacing w:val="18"/>
          <w:w w:val="110"/>
        </w:rPr>
        <w:t> </w:t>
      </w:r>
      <w:r>
        <w:rPr>
          <w:color w:val="3A383A"/>
          <w:w w:val="110"/>
        </w:rPr>
        <w:t>answer.</w:t>
      </w:r>
    </w:p>
    <w:p>
      <w:pPr>
        <w:pStyle w:val="BodyText"/>
        <w:spacing w:line="232" w:lineRule="auto" w:before="4"/>
        <w:ind w:left="1908" w:right="110" w:firstLine="382"/>
        <w:jc w:val="both"/>
      </w:pPr>
      <w:r>
        <w:rPr>
          <w:color w:val="3A383A"/>
          <w:w w:val="110"/>
        </w:rPr>
        <w:t>In the "when" part of the question, you list the legally significant facts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0"/>
        </w:rPr>
        <w:t>that you (or your opponent) will use to demonstrate that the legal issue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should be resolved in a certain way. One caveat about the "facts" part of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research question-what is a "fact" in a legal question may vary from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case to case. In many cases, the facts are "real-world" facts that describe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behavior or relationships (such as "when the officer did X," or "when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employment contract specified employment at will"). In a statutory analy­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05"/>
        </w:rPr>
        <w:t>sis case like </w:t>
      </w:r>
      <w:r>
        <w:rPr>
          <w:i/>
          <w:color w:val="3A383A"/>
          <w:w w:val="105"/>
          <w:sz w:val="24"/>
        </w:rPr>
        <w:t>Coors, </w:t>
      </w:r>
      <w:r>
        <w:rPr>
          <w:color w:val="3A383A"/>
          <w:w w:val="105"/>
        </w:rPr>
        <w:t>however, some (or perhaps all) of the  facts may consist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of the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language or requirements of the statute. For example, if the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"does"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10"/>
        </w:rPr>
        <w:t>element had asked merely "is 27 U.S.C. §205(e)(2) constitutional?" then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the "when" element should at least describe what  the statute requires, as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in</w:t>
      </w:r>
      <w:r>
        <w:rPr>
          <w:color w:val="3A383A"/>
          <w:spacing w:val="12"/>
          <w:w w:val="115"/>
        </w:rPr>
        <w:t> </w:t>
      </w:r>
      <w:r>
        <w:rPr>
          <w:color w:val="3A383A"/>
          <w:w w:val="115"/>
        </w:rPr>
        <w:t>the</w:t>
      </w:r>
      <w:r>
        <w:rPr>
          <w:color w:val="3A383A"/>
          <w:spacing w:val="16"/>
          <w:w w:val="115"/>
        </w:rPr>
        <w:t> </w:t>
      </w:r>
      <w:r>
        <w:rPr>
          <w:color w:val="3A383A"/>
          <w:w w:val="115"/>
        </w:rPr>
        <w:t>following</w:t>
      </w:r>
      <w:r>
        <w:rPr>
          <w:color w:val="3A383A"/>
          <w:spacing w:val="-14"/>
          <w:w w:val="115"/>
        </w:rPr>
        <w:t> </w:t>
      </w:r>
      <w:r>
        <w:rPr>
          <w:color w:val="3A383A"/>
          <w:w w:val="115"/>
        </w:rPr>
        <w:t>example:</w:t>
      </w:r>
    </w:p>
    <w:p>
      <w:pPr>
        <w:spacing w:line="230" w:lineRule="auto" w:before="128"/>
        <w:ind w:left="2298" w:right="498" w:firstLine="15"/>
        <w:jc w:val="both"/>
        <w:rPr>
          <w:b/>
          <w:sz w:val="21"/>
        </w:rPr>
      </w:pPr>
      <w:r>
        <w:rPr>
          <w:b/>
          <w:color w:val="3A383A"/>
          <w:w w:val="105"/>
          <w:sz w:val="21"/>
        </w:rPr>
        <w:t>when the statute prohibits beer manufacturers</w:t>
      </w:r>
      <w:r>
        <w:rPr>
          <w:b/>
          <w:color w:val="3A383A"/>
          <w:spacing w:val="1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from printing alcohol</w:t>
      </w:r>
      <w:r>
        <w:rPr>
          <w:b/>
          <w:color w:val="3A383A"/>
          <w:spacing w:val="1"/>
          <w:w w:val="105"/>
          <w:sz w:val="21"/>
        </w:rPr>
        <w:t> </w:t>
      </w:r>
      <w:r>
        <w:rPr>
          <w:b/>
          <w:color w:val="3A383A"/>
          <w:w w:val="110"/>
          <w:sz w:val="21"/>
        </w:rPr>
        <w:t>content</w:t>
      </w:r>
      <w:r>
        <w:rPr>
          <w:b/>
          <w:color w:val="3A383A"/>
          <w:spacing w:val="-11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information</w:t>
      </w:r>
      <w:r>
        <w:rPr>
          <w:b/>
          <w:color w:val="3A383A"/>
          <w:spacing w:val="-4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on</w:t>
      </w:r>
      <w:r>
        <w:rPr>
          <w:b/>
          <w:color w:val="3A383A"/>
          <w:spacing w:val="16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their</w:t>
      </w:r>
      <w:r>
        <w:rPr>
          <w:b/>
          <w:color w:val="3A383A"/>
          <w:spacing w:val="-9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beer</w:t>
      </w:r>
      <w:r>
        <w:rPr>
          <w:b/>
          <w:color w:val="3A383A"/>
          <w:spacing w:val="-10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labels</w:t>
      </w:r>
    </w:p>
    <w:p>
      <w:pPr>
        <w:pStyle w:val="BodyText"/>
        <w:spacing w:line="232" w:lineRule="auto" w:before="142"/>
        <w:ind w:left="1901" w:right="105" w:firstLine="22"/>
        <w:jc w:val="both"/>
      </w:pPr>
      <w:r>
        <w:rPr>
          <w:color w:val="3A383A"/>
          <w:w w:val="110"/>
        </w:rPr>
        <w:t>If the "does" section had been more detailed, the "when" section might be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0"/>
        </w:rPr>
        <w:t>written as foJiows, based on your predictions as to which arguments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Court</w:t>
      </w:r>
      <w:r>
        <w:rPr>
          <w:color w:val="3A383A"/>
          <w:spacing w:val="-7"/>
          <w:w w:val="110"/>
        </w:rPr>
        <w:t> </w:t>
      </w:r>
      <w:r>
        <w:rPr>
          <w:color w:val="3A383A"/>
          <w:w w:val="110"/>
        </w:rPr>
        <w:t>would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find</w:t>
      </w:r>
      <w:r>
        <w:rPr>
          <w:color w:val="3A383A"/>
          <w:spacing w:val="2"/>
          <w:w w:val="110"/>
        </w:rPr>
        <w:t> </w:t>
      </w:r>
      <w:r>
        <w:rPr>
          <w:color w:val="3A383A"/>
          <w:w w:val="110"/>
        </w:rPr>
        <w:t>to</w:t>
      </w:r>
      <w:r>
        <w:rPr>
          <w:color w:val="3A383A"/>
          <w:spacing w:val="11"/>
          <w:w w:val="110"/>
        </w:rPr>
        <w:t> </w:t>
      </w:r>
      <w:r>
        <w:rPr>
          <w:color w:val="3A383A"/>
          <w:w w:val="110"/>
        </w:rPr>
        <w:t>be</w:t>
      </w:r>
      <w:r>
        <w:rPr>
          <w:color w:val="3A383A"/>
          <w:spacing w:val="-11"/>
          <w:w w:val="110"/>
        </w:rPr>
        <w:t> </w:t>
      </w:r>
      <w:r>
        <w:rPr>
          <w:color w:val="3A383A"/>
          <w:w w:val="110"/>
        </w:rPr>
        <w:t>most</w:t>
      </w:r>
      <w:r>
        <w:rPr>
          <w:color w:val="3A383A"/>
          <w:spacing w:val="-8"/>
          <w:w w:val="110"/>
        </w:rPr>
        <w:t> </w:t>
      </w:r>
      <w:r>
        <w:rPr>
          <w:color w:val="3A383A"/>
          <w:w w:val="110"/>
        </w:rPr>
        <w:t>important:</w:t>
      </w:r>
    </w:p>
    <w:p>
      <w:pPr>
        <w:spacing w:line="244" w:lineRule="auto" w:before="129"/>
        <w:ind w:left="2243" w:right="497" w:firstLine="12"/>
        <w:jc w:val="both"/>
        <w:rPr>
          <w:b/>
          <w:sz w:val="21"/>
        </w:rPr>
      </w:pPr>
      <w:r>
        <w:rPr>
          <w:b/>
          <w:color w:val="3A383A"/>
          <w:w w:val="110"/>
          <w:sz w:val="21"/>
        </w:rPr>
        <w:t>when there is no evidence of strength wars in states or countries in</w:t>
      </w:r>
      <w:r>
        <w:rPr>
          <w:b/>
          <w:color w:val="3A383A"/>
          <w:spacing w:val="1"/>
          <w:w w:val="110"/>
          <w:sz w:val="21"/>
        </w:rPr>
        <w:t> </w:t>
      </w:r>
      <w:r>
        <w:rPr>
          <w:color w:val="3A383A"/>
          <w:w w:val="115"/>
          <w:sz w:val="21"/>
        </w:rPr>
        <w:t>which alcohol content information is allowed to be printed on beer</w:t>
      </w:r>
      <w:r>
        <w:rPr>
          <w:color w:val="3A383A"/>
          <w:spacing w:val="1"/>
          <w:w w:val="115"/>
          <w:sz w:val="21"/>
        </w:rPr>
        <w:t> </w:t>
      </w:r>
      <w:r>
        <w:rPr>
          <w:b/>
          <w:color w:val="3A383A"/>
          <w:w w:val="115"/>
          <w:sz w:val="21"/>
        </w:rPr>
        <w:t>labels</w:t>
      </w:r>
    </w:p>
    <w:p>
      <w:pPr>
        <w:spacing w:before="119"/>
        <w:ind w:left="2209" w:right="491" w:firstLine="17"/>
        <w:jc w:val="both"/>
        <w:rPr>
          <w:b/>
          <w:sz w:val="21"/>
        </w:rPr>
      </w:pPr>
      <w:r>
        <w:rPr>
          <w:b/>
          <w:color w:val="3A383A"/>
          <w:w w:val="110"/>
          <w:sz w:val="21"/>
        </w:rPr>
        <w:t>when it is now possible to accurately measure alcohol content in beer</w:t>
      </w:r>
      <w:r>
        <w:rPr>
          <w:b/>
          <w:color w:val="3A383A"/>
          <w:spacing w:val="-55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and</w:t>
      </w:r>
      <w:r>
        <w:rPr>
          <w:b/>
          <w:color w:val="3A383A"/>
          <w:spacing w:val="15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thus</w:t>
      </w:r>
      <w:r>
        <w:rPr>
          <w:b/>
          <w:color w:val="3A383A"/>
          <w:spacing w:val="-13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the</w:t>
      </w:r>
      <w:r>
        <w:rPr>
          <w:b/>
          <w:color w:val="3A383A"/>
          <w:spacing w:val="-15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statute</w:t>
      </w:r>
      <w:r>
        <w:rPr>
          <w:b/>
          <w:color w:val="3A383A"/>
          <w:spacing w:val="-14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is</w:t>
      </w:r>
      <w:r>
        <w:rPr>
          <w:b/>
          <w:color w:val="3A383A"/>
          <w:spacing w:val="-8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preventing</w:t>
      </w:r>
      <w:r>
        <w:rPr>
          <w:b/>
          <w:color w:val="3A383A"/>
          <w:spacing w:val="-6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publication</w:t>
      </w:r>
      <w:r>
        <w:rPr>
          <w:b/>
          <w:color w:val="3A383A"/>
          <w:spacing w:val="-5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of</w:t>
      </w:r>
      <w:r>
        <w:rPr>
          <w:b/>
          <w:color w:val="3A383A"/>
          <w:spacing w:val="4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truthful</w:t>
      </w:r>
      <w:r>
        <w:rPr>
          <w:b/>
          <w:color w:val="3A383A"/>
          <w:spacing w:val="2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information</w:t>
      </w:r>
    </w:p>
    <w:p>
      <w:pPr>
        <w:pStyle w:val="BodyText"/>
        <w:spacing w:line="235" w:lineRule="auto" w:before="138"/>
        <w:ind w:left="1816" w:right="147" w:firstLine="9"/>
        <w:jc w:val="both"/>
      </w:pPr>
      <w:r>
        <w:rPr>
          <w:color w:val="3A383A"/>
          <w:w w:val="110"/>
        </w:rPr>
        <w:t>These details may or may not be important later; right now they are useful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5"/>
        </w:rPr>
        <w:t>in</w:t>
      </w:r>
      <w:r>
        <w:rPr>
          <w:color w:val="3A383A"/>
          <w:spacing w:val="23"/>
          <w:w w:val="115"/>
        </w:rPr>
        <w:t> </w:t>
      </w:r>
      <w:r>
        <w:rPr>
          <w:color w:val="3A383A"/>
          <w:w w:val="115"/>
        </w:rPr>
        <w:t>planning</w:t>
      </w:r>
      <w:r>
        <w:rPr>
          <w:color w:val="3A383A"/>
          <w:spacing w:val="-9"/>
          <w:w w:val="115"/>
        </w:rPr>
        <w:t> </w:t>
      </w:r>
      <w:r>
        <w:rPr>
          <w:color w:val="3A383A"/>
          <w:w w:val="115"/>
        </w:rPr>
        <w:t>the</w:t>
      </w:r>
      <w:r>
        <w:rPr>
          <w:color w:val="3A383A"/>
          <w:spacing w:val="13"/>
          <w:w w:val="115"/>
        </w:rPr>
        <w:t> </w:t>
      </w:r>
      <w:r>
        <w:rPr>
          <w:color w:val="3A383A"/>
          <w:w w:val="115"/>
        </w:rPr>
        <w:t>research</w:t>
      </w:r>
      <w:r>
        <w:rPr>
          <w:color w:val="3A383A"/>
          <w:spacing w:val="4"/>
          <w:w w:val="115"/>
        </w:rPr>
        <w:t> </w:t>
      </w:r>
      <w:r>
        <w:rPr>
          <w:color w:val="3A383A"/>
          <w:w w:val="115"/>
        </w:rPr>
        <w:t>for</w:t>
      </w:r>
      <w:r>
        <w:rPr>
          <w:color w:val="3A383A"/>
          <w:spacing w:val="-1"/>
          <w:w w:val="115"/>
        </w:rPr>
        <w:t> </w:t>
      </w:r>
      <w:r>
        <w:rPr>
          <w:color w:val="3A383A"/>
          <w:w w:val="115"/>
        </w:rPr>
        <w:t>the</w:t>
      </w:r>
      <w:r>
        <w:rPr>
          <w:color w:val="3A383A"/>
          <w:spacing w:val="30"/>
          <w:w w:val="115"/>
        </w:rPr>
        <w:t> </w:t>
      </w:r>
      <w:r>
        <w:rPr>
          <w:color w:val="3A383A"/>
          <w:w w:val="115"/>
        </w:rPr>
        <w:t>case.</w:t>
      </w:r>
    </w:p>
    <w:p>
      <w:pPr>
        <w:pStyle w:val="BodyText"/>
        <w:spacing w:line="232" w:lineRule="auto" w:before="14"/>
        <w:ind w:left="1773" w:right="155" w:firstLine="408"/>
        <w:jc w:val="both"/>
      </w:pPr>
      <w:r>
        <w:rPr>
          <w:color w:val="3A383A"/>
          <w:w w:val="115"/>
        </w:rPr>
        <w:t>Of course, in a case in which statutory language is not at issue, the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05"/>
        </w:rPr>
        <w:t>questions would be different. For example, in </w:t>
      </w:r>
      <w:r>
        <w:rPr>
          <w:i/>
          <w:color w:val="3A383A"/>
          <w:w w:val="105"/>
          <w:sz w:val="24"/>
        </w:rPr>
        <w:t>State v</w:t>
      </w:r>
      <w:r>
        <w:rPr>
          <w:i/>
          <w:color w:val="59595B"/>
          <w:w w:val="105"/>
          <w:sz w:val="24"/>
        </w:rPr>
        <w:t>. </w:t>
      </w:r>
      <w:r>
        <w:rPr>
          <w:i/>
          <w:color w:val="3A383A"/>
          <w:w w:val="105"/>
          <w:sz w:val="24"/>
        </w:rPr>
        <w:t>Knowles, </w:t>
      </w:r>
      <w:r>
        <w:rPr>
          <w:color w:val="3A383A"/>
          <w:w w:val="105"/>
        </w:rPr>
        <w:t>569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N</w:t>
      </w:r>
      <w:r>
        <w:rPr>
          <w:color w:val="59595B"/>
          <w:w w:val="105"/>
        </w:rPr>
        <w:t>.</w:t>
      </w:r>
      <w:r>
        <w:rPr>
          <w:color w:val="3A383A"/>
          <w:w w:val="105"/>
        </w:rPr>
        <w:t>W.2d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10"/>
        </w:rPr>
        <w:t>601 (Iowa 1997), the issue was the constitutionality of the behavior of an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officer who conducted a complete search of a vehicle stopped for a traffic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violation. In that situation, the "when" part of the question could have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0"/>
        </w:rPr>
        <w:t>more real-world</w:t>
      </w:r>
      <w:r>
        <w:rPr>
          <w:color w:val="3A383A"/>
          <w:spacing w:val="19"/>
          <w:w w:val="110"/>
        </w:rPr>
        <w:t> </w:t>
      </w:r>
      <w:r>
        <w:rPr>
          <w:color w:val="3A383A"/>
          <w:w w:val="110"/>
        </w:rPr>
        <w:t>details</w:t>
      </w:r>
      <w:r>
        <w:rPr>
          <w:color w:val="3A383A"/>
          <w:spacing w:val="-7"/>
          <w:w w:val="110"/>
        </w:rPr>
        <w:t> </w:t>
      </w:r>
      <w:r>
        <w:rPr>
          <w:color w:val="3A383A"/>
          <w:w w:val="110"/>
        </w:rPr>
        <w:t>about</w:t>
      </w:r>
      <w:r>
        <w:rPr>
          <w:color w:val="3A383A"/>
          <w:spacing w:val="11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16"/>
          <w:w w:val="110"/>
        </w:rPr>
        <w:t> </w:t>
      </w:r>
      <w:r>
        <w:rPr>
          <w:color w:val="3A383A"/>
          <w:w w:val="110"/>
        </w:rPr>
        <w:t>parties</w:t>
      </w:r>
      <w:r>
        <w:rPr>
          <w:color w:val="3A383A"/>
          <w:spacing w:val="-14"/>
          <w:w w:val="110"/>
        </w:rPr>
        <w:t> </w:t>
      </w:r>
      <w:r>
        <w:rPr>
          <w:color w:val="3A383A"/>
          <w:w w:val="110"/>
        </w:rPr>
        <w:t>in</w:t>
      </w:r>
      <w:r>
        <w:rPr>
          <w:color w:val="3A383A"/>
          <w:spacing w:val="29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30"/>
          <w:w w:val="110"/>
        </w:rPr>
        <w:t> </w:t>
      </w:r>
      <w:r>
        <w:rPr>
          <w:color w:val="3A383A"/>
          <w:w w:val="110"/>
        </w:rPr>
        <w:t>case,</w:t>
      </w:r>
      <w:r>
        <w:rPr>
          <w:color w:val="3A383A"/>
          <w:spacing w:val="-4"/>
          <w:w w:val="110"/>
        </w:rPr>
        <w:t> </w:t>
      </w:r>
      <w:r>
        <w:rPr>
          <w:color w:val="3A383A"/>
          <w:w w:val="110"/>
        </w:rPr>
        <w:t>as</w:t>
      </w:r>
      <w:r>
        <w:rPr>
          <w:color w:val="3A383A"/>
          <w:spacing w:val="-2"/>
          <w:w w:val="110"/>
        </w:rPr>
        <w:t> </w:t>
      </w:r>
      <w:r>
        <w:rPr>
          <w:color w:val="3A383A"/>
          <w:w w:val="110"/>
        </w:rPr>
        <w:t>in</w:t>
      </w:r>
      <w:r>
        <w:rPr>
          <w:color w:val="3A383A"/>
          <w:spacing w:val="40"/>
          <w:w w:val="110"/>
        </w:rPr>
        <w:t> </w:t>
      </w:r>
      <w:r>
        <w:rPr>
          <w:color w:val="3A383A"/>
          <w:w w:val="110"/>
        </w:rPr>
        <w:t>this</w:t>
      </w:r>
      <w:r>
        <w:rPr>
          <w:color w:val="3A383A"/>
          <w:spacing w:val="-22"/>
          <w:w w:val="110"/>
        </w:rPr>
        <w:t> </w:t>
      </w:r>
      <w:r>
        <w:rPr>
          <w:color w:val="3A383A"/>
          <w:w w:val="110"/>
        </w:rPr>
        <w:t>example:</w:t>
      </w:r>
    </w:p>
    <w:p>
      <w:pPr>
        <w:spacing w:line="228" w:lineRule="auto" w:before="147"/>
        <w:ind w:left="2114" w:right="547" w:firstLine="25"/>
        <w:jc w:val="both"/>
        <w:rPr>
          <w:b/>
          <w:sz w:val="21"/>
        </w:rPr>
      </w:pPr>
      <w:r>
        <w:rPr>
          <w:b/>
          <w:color w:val="3A383A"/>
          <w:w w:val="110"/>
          <w:sz w:val="21"/>
        </w:rPr>
        <w:t>when</w:t>
      </w:r>
      <w:r>
        <w:rPr>
          <w:b/>
          <w:color w:val="3A383A"/>
          <w:spacing w:val="1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the officer had no</w:t>
      </w:r>
      <w:r>
        <w:rPr>
          <w:b/>
          <w:color w:val="3A383A"/>
          <w:spacing w:val="1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indication that the defendant  had broken</w:t>
      </w:r>
      <w:r>
        <w:rPr>
          <w:b/>
          <w:color w:val="3A383A"/>
          <w:spacing w:val="1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any law other than a traffic law before he initiated the search of </w:t>
      </w:r>
      <w:r>
        <w:rPr>
          <w:b/>
          <w:i/>
          <w:color w:val="3A383A"/>
          <w:w w:val="110"/>
          <w:sz w:val="22"/>
        </w:rPr>
        <w:t>the</w:t>
      </w:r>
      <w:r>
        <w:rPr>
          <w:b/>
          <w:i/>
          <w:color w:val="3A383A"/>
          <w:spacing w:val="1"/>
          <w:w w:val="110"/>
          <w:sz w:val="22"/>
        </w:rPr>
        <w:t> </w:t>
      </w:r>
      <w:r>
        <w:rPr>
          <w:b/>
          <w:color w:val="3A383A"/>
          <w:w w:val="110"/>
          <w:sz w:val="21"/>
        </w:rPr>
        <w:t>defendant</w:t>
      </w:r>
      <w:r>
        <w:rPr>
          <w:b/>
          <w:color w:val="59595B"/>
          <w:w w:val="110"/>
          <w:sz w:val="21"/>
        </w:rPr>
        <w:t>'</w:t>
      </w:r>
      <w:r>
        <w:rPr>
          <w:b/>
          <w:color w:val="3A383A"/>
          <w:w w:val="110"/>
          <w:sz w:val="21"/>
        </w:rPr>
        <w:t>s</w:t>
      </w:r>
      <w:r>
        <w:rPr>
          <w:b/>
          <w:color w:val="3A383A"/>
          <w:spacing w:val="-2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car</w:t>
      </w:r>
    </w:p>
    <w:p>
      <w:pPr>
        <w:pStyle w:val="BodyText"/>
        <w:spacing w:before="159"/>
        <w:ind w:left="1679" w:right="195" w:firstLine="50"/>
        <w:jc w:val="both"/>
      </w:pPr>
      <w:r>
        <w:rPr>
          <w:color w:val="3A383A"/>
          <w:w w:val="115"/>
        </w:rPr>
        <w:t>The "when" part of the question helps to focus your research because </w:t>
      </w:r>
      <w:r>
        <w:rPr>
          <w:b/>
          <w:color w:val="3A383A"/>
          <w:w w:val="115"/>
          <w:sz w:val="21"/>
        </w:rPr>
        <w:t>it</w:t>
      </w:r>
      <w:r>
        <w:rPr>
          <w:b/>
          <w:color w:val="3A383A"/>
          <w:spacing w:val="1"/>
          <w:w w:val="115"/>
          <w:sz w:val="21"/>
        </w:rPr>
        <w:t> </w:t>
      </w:r>
      <w:r>
        <w:rPr>
          <w:color w:val="3A383A"/>
          <w:w w:val="110"/>
        </w:rPr>
        <w:t>makes it easier for you to recognize relevant authorities that aresimilar to</w:t>
      </w:r>
      <w:r>
        <w:rPr>
          <w:color w:val="3A383A"/>
          <w:spacing w:val="1"/>
          <w:w w:val="110"/>
        </w:rPr>
        <w:t> </w:t>
      </w:r>
      <w:r>
        <w:rPr>
          <w:color w:val="3A383A"/>
          <w:spacing w:val="-1"/>
          <w:w w:val="115"/>
        </w:rPr>
        <w:t>your </w:t>
      </w:r>
      <w:r>
        <w:rPr>
          <w:color w:val="3A383A"/>
          <w:w w:val="115"/>
        </w:rPr>
        <w:t>client's case. The more familiar you are with the legally significant</w:t>
      </w:r>
      <w:r>
        <w:rPr>
          <w:color w:val="3A383A"/>
          <w:spacing w:val="-64"/>
          <w:w w:val="115"/>
        </w:rPr>
        <w:t> </w:t>
      </w:r>
      <w:r>
        <w:rPr>
          <w:color w:val="3A383A"/>
          <w:w w:val="110"/>
        </w:rPr>
        <w:t>facts,</w:t>
      </w:r>
      <w:r>
        <w:rPr>
          <w:color w:val="3A383A"/>
          <w:spacing w:val="15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35"/>
          <w:w w:val="110"/>
        </w:rPr>
        <w:t> </w:t>
      </w:r>
      <w:r>
        <w:rPr>
          <w:color w:val="3A383A"/>
          <w:w w:val="110"/>
        </w:rPr>
        <w:t>more</w:t>
      </w:r>
      <w:r>
        <w:rPr>
          <w:color w:val="3A383A"/>
          <w:spacing w:val="-17"/>
          <w:w w:val="110"/>
        </w:rPr>
        <w:t> </w:t>
      </w:r>
      <w:r>
        <w:rPr>
          <w:color w:val="3A383A"/>
          <w:w w:val="110"/>
        </w:rPr>
        <w:t>quickly you</w:t>
      </w:r>
      <w:r>
        <w:rPr>
          <w:color w:val="3A383A"/>
          <w:spacing w:val="5"/>
          <w:w w:val="110"/>
        </w:rPr>
        <w:t> </w:t>
      </w:r>
      <w:r>
        <w:rPr>
          <w:color w:val="3A383A"/>
          <w:w w:val="110"/>
        </w:rPr>
        <w:t>can</w:t>
      </w:r>
      <w:r>
        <w:rPr>
          <w:color w:val="3A383A"/>
          <w:spacing w:val="36"/>
          <w:w w:val="110"/>
        </w:rPr>
        <w:t> </w:t>
      </w:r>
      <w:r>
        <w:rPr>
          <w:color w:val="3A383A"/>
          <w:w w:val="110"/>
        </w:rPr>
        <w:t>identify</w:t>
      </w:r>
      <w:r>
        <w:rPr>
          <w:color w:val="3A383A"/>
          <w:spacing w:val="-2"/>
          <w:w w:val="110"/>
        </w:rPr>
        <w:t> </w:t>
      </w:r>
      <w:r>
        <w:rPr>
          <w:color w:val="3A383A"/>
          <w:w w:val="110"/>
        </w:rPr>
        <w:t>relevant cases</w:t>
      </w:r>
      <w:r>
        <w:rPr>
          <w:color w:val="3A383A"/>
          <w:spacing w:val="-11"/>
          <w:w w:val="110"/>
        </w:rPr>
        <w:t> </w:t>
      </w:r>
      <w:r>
        <w:rPr>
          <w:color w:val="3A383A"/>
          <w:w w:val="110"/>
        </w:rPr>
        <w:t>and</w:t>
      </w:r>
      <w:r>
        <w:rPr>
          <w:color w:val="3A383A"/>
          <w:spacing w:val="22"/>
          <w:w w:val="110"/>
        </w:rPr>
        <w:t> </w:t>
      </w:r>
      <w:r>
        <w:rPr>
          <w:color w:val="3A383A"/>
          <w:w w:val="110"/>
        </w:rPr>
        <w:t>statutes.</w:t>
      </w:r>
    </w:p>
    <w:p>
      <w:pPr>
        <w:pStyle w:val="BodyText"/>
        <w:spacing w:line="228" w:lineRule="auto" w:before="12"/>
        <w:ind w:left="1666" w:right="194" w:firstLine="403"/>
        <w:jc w:val="both"/>
      </w:pPr>
      <w:r>
        <w:rPr>
          <w:color w:val="3A383A"/>
          <w:w w:val="110"/>
        </w:rPr>
        <w:t>Putting all of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pieces together, here are three sample research ques­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tions</w:t>
      </w:r>
      <w:r>
        <w:rPr>
          <w:color w:val="3A383A"/>
          <w:spacing w:val="-6"/>
          <w:w w:val="110"/>
        </w:rPr>
        <w:t> </w:t>
      </w:r>
      <w:r>
        <w:rPr>
          <w:color w:val="3A383A"/>
          <w:w w:val="110"/>
        </w:rPr>
        <w:t>for</w:t>
      </w:r>
      <w:r>
        <w:rPr>
          <w:color w:val="3A383A"/>
          <w:spacing w:val="4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8"/>
          <w:w w:val="110"/>
        </w:rPr>
        <w:t> </w:t>
      </w:r>
      <w:r>
        <w:rPr>
          <w:i/>
          <w:color w:val="3A383A"/>
          <w:w w:val="110"/>
          <w:sz w:val="24"/>
        </w:rPr>
        <w:t>Coors</w:t>
      </w:r>
      <w:r>
        <w:rPr>
          <w:i/>
          <w:color w:val="3A383A"/>
          <w:spacing w:val="1"/>
          <w:w w:val="110"/>
          <w:sz w:val="24"/>
        </w:rPr>
        <w:t> </w:t>
      </w:r>
      <w:r>
        <w:rPr>
          <w:color w:val="3A383A"/>
          <w:w w:val="110"/>
        </w:rPr>
        <w:t>case.</w:t>
      </w:r>
      <w:r>
        <w:rPr>
          <w:color w:val="3A383A"/>
          <w:spacing w:val="-3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27"/>
          <w:w w:val="110"/>
        </w:rPr>
        <w:t> </w:t>
      </w:r>
      <w:r>
        <w:rPr>
          <w:color w:val="3A383A"/>
          <w:w w:val="110"/>
        </w:rPr>
        <w:t>first</w:t>
      </w:r>
      <w:r>
        <w:rPr>
          <w:color w:val="3A383A"/>
          <w:spacing w:val="4"/>
          <w:w w:val="110"/>
        </w:rPr>
        <w:t> </w:t>
      </w:r>
      <w:r>
        <w:rPr>
          <w:color w:val="3A383A"/>
          <w:w w:val="110"/>
        </w:rPr>
        <w:t>question</w:t>
      </w:r>
      <w:r>
        <w:rPr>
          <w:color w:val="3A383A"/>
          <w:spacing w:val="13"/>
          <w:w w:val="110"/>
        </w:rPr>
        <w:t> </w:t>
      </w:r>
      <w:r>
        <w:rPr>
          <w:color w:val="3A383A"/>
          <w:w w:val="110"/>
        </w:rPr>
        <w:t>could</w:t>
      </w:r>
      <w:r>
        <w:rPr>
          <w:color w:val="3A383A"/>
          <w:spacing w:val="32"/>
          <w:w w:val="110"/>
        </w:rPr>
        <w:t> </w:t>
      </w:r>
      <w:r>
        <w:rPr>
          <w:color w:val="3A383A"/>
          <w:w w:val="110"/>
        </w:rPr>
        <w:t>be</w:t>
      </w:r>
      <w:r>
        <w:rPr>
          <w:color w:val="3A383A"/>
          <w:spacing w:val="6"/>
          <w:w w:val="110"/>
        </w:rPr>
        <w:t> </w:t>
      </w:r>
      <w:r>
        <w:rPr>
          <w:color w:val="3A383A"/>
          <w:w w:val="110"/>
        </w:rPr>
        <w:t>used</w:t>
      </w:r>
      <w:r>
        <w:rPr>
          <w:color w:val="3A383A"/>
          <w:spacing w:val="5"/>
          <w:w w:val="110"/>
        </w:rPr>
        <w:t> </w:t>
      </w:r>
      <w:r>
        <w:rPr>
          <w:color w:val="3A383A"/>
          <w:w w:val="110"/>
        </w:rPr>
        <w:t>alone,</w:t>
      </w:r>
      <w:r>
        <w:rPr>
          <w:color w:val="3A383A"/>
          <w:spacing w:val="19"/>
          <w:w w:val="110"/>
        </w:rPr>
        <w:t> </w:t>
      </w:r>
      <w:r>
        <w:rPr>
          <w:color w:val="3A383A"/>
          <w:w w:val="110"/>
        </w:rPr>
        <w:t>while</w:t>
      </w:r>
      <w:r>
        <w:rPr>
          <w:color w:val="3A383A"/>
          <w:spacing w:val="2"/>
          <w:w w:val="110"/>
        </w:rPr>
        <w:t> </w:t>
      </w:r>
      <w:r>
        <w:rPr>
          <w:color w:val="3A383A"/>
          <w:w w:val="110"/>
        </w:rPr>
        <w:t>the</w:t>
      </w:r>
    </w:p>
    <w:p>
      <w:pPr>
        <w:spacing w:after="0" w:line="228" w:lineRule="auto"/>
        <w:jc w:val="both"/>
        <w:sectPr>
          <w:headerReference w:type="even" r:id="rId66"/>
          <w:pgSz w:w="9610" w:h="13780"/>
          <w:pgMar w:header="0" w:footer="0" w:top="0" w:bottom="0" w:left="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28" w:lineRule="auto"/>
        <w:ind w:left="118" w:right="324" w:firstLine="6"/>
        <w:jc w:val="both"/>
      </w:pPr>
      <w:r>
        <w:rPr>
          <w:color w:val="3A3838"/>
          <w:w w:val="110"/>
        </w:rPr>
        <w:t>second and third questions might reveal two different aspects of the case,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and</w:t>
      </w:r>
      <w:r>
        <w:rPr>
          <w:color w:val="3A3838"/>
          <w:spacing w:val="39"/>
          <w:w w:val="110"/>
        </w:rPr>
        <w:t> </w:t>
      </w:r>
      <w:r>
        <w:rPr>
          <w:color w:val="3A3838"/>
          <w:w w:val="110"/>
        </w:rPr>
        <w:t>thus</w:t>
      </w:r>
      <w:r>
        <w:rPr>
          <w:color w:val="3A3838"/>
          <w:spacing w:val="-13"/>
          <w:w w:val="110"/>
        </w:rPr>
        <w:t> </w:t>
      </w:r>
      <w:r>
        <w:rPr>
          <w:color w:val="3A3838"/>
          <w:w w:val="110"/>
        </w:rPr>
        <w:t>could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be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used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together:</w:t>
      </w:r>
    </w:p>
    <w:p>
      <w:pPr>
        <w:spacing w:line="235" w:lineRule="auto" w:before="136"/>
        <w:ind w:left="475" w:right="662" w:firstLine="12"/>
        <w:jc w:val="both"/>
        <w:rPr>
          <w:b/>
          <w:sz w:val="21"/>
        </w:rPr>
      </w:pPr>
      <w:r>
        <w:rPr>
          <w:b/>
          <w:color w:val="3A3838"/>
          <w:w w:val="110"/>
          <w:sz w:val="21"/>
        </w:rPr>
        <w:t>Under the First Amendment's freedom </w:t>
      </w:r>
      <w:r>
        <w:rPr>
          <w:color w:val="3A3838"/>
          <w:w w:val="110"/>
          <w:sz w:val="20"/>
        </w:rPr>
        <w:t>of </w:t>
      </w:r>
      <w:r>
        <w:rPr>
          <w:b/>
          <w:color w:val="3A3838"/>
          <w:w w:val="110"/>
          <w:sz w:val="21"/>
        </w:rPr>
        <w:t>speech provisions as they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pertain to commercial speech, is </w:t>
      </w:r>
      <w:r>
        <w:rPr>
          <w:color w:val="3A3838"/>
          <w:w w:val="110"/>
          <w:sz w:val="20"/>
        </w:rPr>
        <w:t>27</w:t>
      </w:r>
      <w:r>
        <w:rPr>
          <w:color w:val="3A3838"/>
          <w:spacing w:val="1"/>
          <w:w w:val="110"/>
          <w:sz w:val="20"/>
        </w:rPr>
        <w:t> </w:t>
      </w:r>
      <w:r>
        <w:rPr>
          <w:b/>
          <w:color w:val="3A3838"/>
          <w:w w:val="110"/>
          <w:sz w:val="21"/>
        </w:rPr>
        <w:t>U.S.C. </w:t>
      </w:r>
      <w:r>
        <w:rPr>
          <w:color w:val="3A3838"/>
          <w:w w:val="110"/>
          <w:sz w:val="20"/>
        </w:rPr>
        <w:t>§205(e)(2) constitutional</w:t>
      </w:r>
      <w:r>
        <w:rPr>
          <w:color w:val="3A3838"/>
          <w:spacing w:val="1"/>
          <w:w w:val="110"/>
          <w:sz w:val="20"/>
        </w:rPr>
        <w:t> </w:t>
      </w:r>
      <w:r>
        <w:rPr>
          <w:b/>
          <w:color w:val="3A3838"/>
          <w:w w:val="110"/>
          <w:sz w:val="21"/>
        </w:rPr>
        <w:t>when the statute prohibits beer manufacturers from printing alcohol</w:t>
      </w:r>
      <w:r>
        <w:rPr>
          <w:b/>
          <w:color w:val="3A3838"/>
          <w:spacing w:val="-55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content</w:t>
      </w:r>
      <w:r>
        <w:rPr>
          <w:b/>
          <w:color w:val="3A3838"/>
          <w:spacing w:val="-5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information</w:t>
      </w:r>
      <w:r>
        <w:rPr>
          <w:b/>
          <w:color w:val="3A3838"/>
          <w:spacing w:val="7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on</w:t>
      </w:r>
      <w:r>
        <w:rPr>
          <w:b/>
          <w:color w:val="3A3838"/>
          <w:spacing w:val="17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their</w:t>
      </w:r>
      <w:r>
        <w:rPr>
          <w:b/>
          <w:color w:val="3A3838"/>
          <w:spacing w:val="-8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beer</w:t>
      </w:r>
      <w:r>
        <w:rPr>
          <w:b/>
          <w:color w:val="3A3838"/>
          <w:spacing w:val="-1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labels?</w:t>
      </w:r>
    </w:p>
    <w:p>
      <w:pPr>
        <w:spacing w:line="237" w:lineRule="auto" w:before="130"/>
        <w:ind w:left="475" w:right="629" w:firstLine="13"/>
        <w:jc w:val="both"/>
        <w:rPr>
          <w:b/>
          <w:sz w:val="21"/>
        </w:rPr>
      </w:pPr>
      <w:r>
        <w:rPr>
          <w:b/>
          <w:color w:val="3A3838"/>
          <w:w w:val="110"/>
          <w:sz w:val="21"/>
        </w:rPr>
        <w:t>Under the First Amendment's freedom of speech provisions as </w:t>
      </w:r>
      <w:r>
        <w:rPr>
          <w:color w:val="3A3838"/>
          <w:w w:val="110"/>
          <w:sz w:val="22"/>
        </w:rPr>
        <w:t>they</w:t>
      </w:r>
      <w:r>
        <w:rPr>
          <w:color w:val="3A3838"/>
          <w:spacing w:val="1"/>
          <w:w w:val="110"/>
          <w:sz w:val="22"/>
        </w:rPr>
        <w:t> </w:t>
      </w:r>
      <w:r>
        <w:rPr>
          <w:b/>
          <w:color w:val="3A3838"/>
          <w:w w:val="110"/>
          <w:sz w:val="21"/>
        </w:rPr>
        <w:t>pertain to commercial speech, does prohibiting the printing of alco­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hol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content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information on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a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beer label sufficiently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advance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the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government's interest in preventing strength wars when there is no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evidence </w:t>
      </w:r>
      <w:r>
        <w:rPr>
          <w:rFonts w:ascii="Arial" w:hAnsi="Arial"/>
          <w:color w:val="3A3838"/>
          <w:w w:val="110"/>
          <w:sz w:val="19"/>
        </w:rPr>
        <w:t>of </w:t>
      </w:r>
      <w:r>
        <w:rPr>
          <w:b/>
          <w:color w:val="3A3838"/>
          <w:w w:val="110"/>
          <w:sz w:val="21"/>
        </w:rPr>
        <w:t>strength wars in states or countries in which alcohol </w:t>
      </w:r>
      <w:r>
        <w:rPr>
          <w:color w:val="3A3838"/>
          <w:w w:val="110"/>
          <w:sz w:val="20"/>
        </w:rPr>
        <w:t>con­</w:t>
      </w:r>
      <w:r>
        <w:rPr>
          <w:color w:val="3A3838"/>
          <w:spacing w:val="1"/>
          <w:w w:val="110"/>
          <w:sz w:val="20"/>
        </w:rPr>
        <w:t> </w:t>
      </w:r>
      <w:r>
        <w:rPr>
          <w:b/>
          <w:color w:val="3A3838"/>
          <w:w w:val="110"/>
          <w:sz w:val="21"/>
        </w:rPr>
        <w:t>tent</w:t>
      </w:r>
      <w:r>
        <w:rPr>
          <w:b/>
          <w:color w:val="3A3838"/>
          <w:spacing w:val="2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information</w:t>
      </w:r>
      <w:r>
        <w:rPr>
          <w:b/>
          <w:color w:val="3A3838"/>
          <w:spacing w:val="14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is</w:t>
      </w:r>
      <w:r>
        <w:rPr>
          <w:b/>
          <w:color w:val="3A3838"/>
          <w:spacing w:val="-4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allowed</w:t>
      </w:r>
      <w:r>
        <w:rPr>
          <w:b/>
          <w:color w:val="3A3838"/>
          <w:spacing w:val="2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to</w:t>
      </w:r>
      <w:r>
        <w:rPr>
          <w:b/>
          <w:color w:val="3A3838"/>
          <w:spacing w:val="-8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be printed</w:t>
      </w:r>
      <w:r>
        <w:rPr>
          <w:b/>
          <w:color w:val="3A3838"/>
          <w:spacing w:val="-7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on</w:t>
      </w:r>
      <w:r>
        <w:rPr>
          <w:b/>
          <w:color w:val="3A3838"/>
          <w:spacing w:val="28"/>
          <w:w w:val="110"/>
          <w:sz w:val="21"/>
        </w:rPr>
        <w:t> </w:t>
      </w:r>
      <w:r>
        <w:rPr>
          <w:color w:val="3A3838"/>
          <w:w w:val="110"/>
          <w:sz w:val="21"/>
        </w:rPr>
        <w:t>beer</w:t>
      </w:r>
      <w:r>
        <w:rPr>
          <w:color w:val="3A3838"/>
          <w:spacing w:val="-4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labels?</w:t>
      </w:r>
    </w:p>
    <w:p>
      <w:pPr>
        <w:spacing w:line="235" w:lineRule="auto" w:before="136"/>
        <w:ind w:left="475" w:right="624" w:firstLine="13"/>
        <w:jc w:val="both"/>
        <w:rPr>
          <w:b/>
          <w:sz w:val="21"/>
        </w:rPr>
      </w:pPr>
      <w:r>
        <w:rPr>
          <w:b/>
          <w:color w:val="3A3838"/>
          <w:w w:val="110"/>
          <w:sz w:val="21"/>
        </w:rPr>
        <w:t>Under the First Amendment's freedom of speech provisions as they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pertain to commercial speech, does prohibiting the printing </w:t>
      </w:r>
      <w:r>
        <w:rPr>
          <w:color w:val="3A3838"/>
          <w:w w:val="110"/>
          <w:sz w:val="20"/>
        </w:rPr>
        <w:t>of </w:t>
      </w:r>
      <w:r>
        <w:rPr>
          <w:b/>
          <w:color w:val="3A3838"/>
          <w:w w:val="110"/>
          <w:sz w:val="21"/>
        </w:rPr>
        <w:t>alco­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0"/>
        </w:rPr>
        <w:t>hol</w:t>
      </w:r>
      <w:r>
        <w:rPr>
          <w:color w:val="3A3838"/>
          <w:spacing w:val="1"/>
          <w:w w:val="110"/>
          <w:sz w:val="20"/>
        </w:rPr>
        <w:t> </w:t>
      </w:r>
      <w:r>
        <w:rPr>
          <w:b/>
          <w:color w:val="3A3838"/>
          <w:w w:val="110"/>
          <w:sz w:val="21"/>
        </w:rPr>
        <w:t>content information on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a beer label directly advance the gov­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ernment's interest in preventing </w:t>
      </w:r>
      <w:r>
        <w:rPr>
          <w:color w:val="3A3838"/>
          <w:w w:val="110"/>
          <w:sz w:val="22"/>
        </w:rPr>
        <w:t>consumers from </w:t>
      </w:r>
      <w:r>
        <w:rPr>
          <w:b/>
          <w:color w:val="3A3838"/>
          <w:w w:val="110"/>
          <w:sz w:val="21"/>
        </w:rPr>
        <w:t>having misleading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information when it is now possible to accurately measure alcohol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content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in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beer and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thus the statute is preventing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publication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of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truthful</w:t>
      </w:r>
      <w:r>
        <w:rPr>
          <w:b/>
          <w:color w:val="3A3838"/>
          <w:spacing w:val="8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information?</w:t>
      </w:r>
    </w:p>
    <w:p>
      <w:pPr>
        <w:spacing w:before="130"/>
        <w:ind w:left="115" w:right="0" w:firstLine="0"/>
        <w:jc w:val="both"/>
        <w:rPr>
          <w:sz w:val="23"/>
        </w:rPr>
      </w:pPr>
      <w:r>
        <w:rPr>
          <w:color w:val="3A3838"/>
          <w:w w:val="105"/>
          <w:sz w:val="23"/>
        </w:rPr>
        <w:t>A</w:t>
      </w:r>
      <w:r>
        <w:rPr>
          <w:color w:val="3A3838"/>
          <w:spacing w:val="-5"/>
          <w:w w:val="105"/>
          <w:sz w:val="23"/>
        </w:rPr>
        <w:t> </w:t>
      </w:r>
      <w:r>
        <w:rPr>
          <w:color w:val="3A3838"/>
          <w:w w:val="105"/>
          <w:sz w:val="23"/>
        </w:rPr>
        <w:t>complete</w:t>
      </w:r>
      <w:r>
        <w:rPr>
          <w:color w:val="3A3838"/>
          <w:spacing w:val="11"/>
          <w:w w:val="105"/>
          <w:sz w:val="23"/>
        </w:rPr>
        <w:t> </w:t>
      </w:r>
      <w:r>
        <w:rPr>
          <w:color w:val="3A3838"/>
          <w:w w:val="105"/>
          <w:sz w:val="23"/>
        </w:rPr>
        <w:t>sample</w:t>
      </w:r>
      <w:r>
        <w:rPr>
          <w:color w:val="3A3838"/>
          <w:spacing w:val="15"/>
          <w:w w:val="105"/>
          <w:sz w:val="23"/>
        </w:rPr>
        <w:t> </w:t>
      </w:r>
      <w:r>
        <w:rPr>
          <w:color w:val="3A3838"/>
          <w:w w:val="105"/>
          <w:sz w:val="23"/>
        </w:rPr>
        <w:t>question</w:t>
      </w:r>
      <w:r>
        <w:rPr>
          <w:color w:val="3A3838"/>
          <w:spacing w:val="25"/>
          <w:w w:val="105"/>
          <w:sz w:val="23"/>
        </w:rPr>
        <w:t> </w:t>
      </w:r>
      <w:r>
        <w:rPr>
          <w:color w:val="3A3838"/>
          <w:w w:val="105"/>
          <w:sz w:val="23"/>
        </w:rPr>
        <w:t>for</w:t>
      </w:r>
      <w:r>
        <w:rPr>
          <w:color w:val="3A3838"/>
          <w:spacing w:val="11"/>
          <w:w w:val="105"/>
          <w:sz w:val="23"/>
        </w:rPr>
        <w:t> </w:t>
      </w:r>
      <w:r>
        <w:rPr>
          <w:i/>
          <w:color w:val="3A3838"/>
          <w:w w:val="105"/>
          <w:sz w:val="24"/>
        </w:rPr>
        <w:t>Knowles</w:t>
      </w:r>
      <w:r>
        <w:rPr>
          <w:i/>
          <w:color w:val="3A3838"/>
          <w:spacing w:val="21"/>
          <w:w w:val="105"/>
          <w:sz w:val="24"/>
        </w:rPr>
        <w:t> </w:t>
      </w:r>
      <w:r>
        <w:rPr>
          <w:i/>
          <w:color w:val="3A3838"/>
          <w:w w:val="105"/>
          <w:sz w:val="24"/>
        </w:rPr>
        <w:t>v.</w:t>
      </w:r>
      <w:r>
        <w:rPr>
          <w:i/>
          <w:color w:val="3A3838"/>
          <w:spacing w:val="1"/>
          <w:w w:val="105"/>
          <w:sz w:val="24"/>
        </w:rPr>
        <w:t> </w:t>
      </w:r>
      <w:r>
        <w:rPr>
          <w:i/>
          <w:color w:val="3A3838"/>
          <w:w w:val="105"/>
          <w:sz w:val="24"/>
        </w:rPr>
        <w:t>Iowa</w:t>
      </w:r>
      <w:r>
        <w:rPr>
          <w:i/>
          <w:color w:val="3A3838"/>
          <w:spacing w:val="22"/>
          <w:w w:val="105"/>
          <w:sz w:val="24"/>
        </w:rPr>
        <w:t> </w:t>
      </w:r>
      <w:r>
        <w:rPr>
          <w:color w:val="3A3838"/>
          <w:w w:val="105"/>
          <w:sz w:val="23"/>
        </w:rPr>
        <w:t>might</w:t>
      </w:r>
      <w:r>
        <w:rPr>
          <w:color w:val="3A3838"/>
          <w:spacing w:val="15"/>
          <w:w w:val="105"/>
          <w:sz w:val="23"/>
        </w:rPr>
        <w:t> </w:t>
      </w:r>
      <w:r>
        <w:rPr>
          <w:color w:val="3A3838"/>
          <w:w w:val="105"/>
          <w:sz w:val="23"/>
        </w:rPr>
        <w:t>look</w:t>
      </w:r>
      <w:r>
        <w:rPr>
          <w:color w:val="3A3838"/>
          <w:spacing w:val="20"/>
          <w:w w:val="105"/>
          <w:sz w:val="23"/>
        </w:rPr>
        <w:t> </w:t>
      </w:r>
      <w:r>
        <w:rPr>
          <w:color w:val="3A3838"/>
          <w:w w:val="105"/>
          <w:sz w:val="23"/>
        </w:rPr>
        <w:t>like</w:t>
      </w:r>
      <w:r>
        <w:rPr>
          <w:color w:val="3A3838"/>
          <w:spacing w:val="15"/>
          <w:w w:val="105"/>
          <w:sz w:val="23"/>
        </w:rPr>
        <w:t> </w:t>
      </w:r>
      <w:r>
        <w:rPr>
          <w:color w:val="3A3838"/>
          <w:w w:val="105"/>
          <w:sz w:val="23"/>
        </w:rPr>
        <w:t>this:</w:t>
      </w:r>
    </w:p>
    <w:p>
      <w:pPr>
        <w:spacing w:line="235" w:lineRule="auto" w:before="131"/>
        <w:ind w:left="474" w:right="585" w:firstLine="17"/>
        <w:jc w:val="both"/>
        <w:rPr>
          <w:b/>
          <w:sz w:val="21"/>
        </w:rPr>
      </w:pPr>
      <w:r>
        <w:rPr>
          <w:color w:val="3A3838"/>
          <w:w w:val="110"/>
          <w:sz w:val="21"/>
        </w:rPr>
        <w:t>Under the </w:t>
      </w:r>
      <w:r>
        <w:rPr>
          <w:b/>
          <w:color w:val="3A3838"/>
          <w:w w:val="110"/>
          <w:sz w:val="21"/>
        </w:rPr>
        <w:t>Fourth Amendment's search and seizure limitations, </w:t>
      </w:r>
      <w:r>
        <w:rPr>
          <w:color w:val="3A3838"/>
          <w:w w:val="110"/>
          <w:sz w:val="21"/>
        </w:rPr>
        <w:t>does a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police </w:t>
      </w:r>
      <w:r>
        <w:rPr>
          <w:b/>
          <w:color w:val="3A3838"/>
          <w:w w:val="110"/>
          <w:sz w:val="21"/>
        </w:rPr>
        <w:t>officer have the authority to conduct a complete vehicle search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2"/>
        </w:rPr>
        <w:t>of </w:t>
      </w:r>
      <w:r>
        <w:rPr>
          <w:b/>
          <w:color w:val="3A3838"/>
          <w:w w:val="110"/>
          <w:sz w:val="21"/>
        </w:rPr>
        <w:t>a car that has been stopped for a traffic violation, when the </w:t>
      </w:r>
      <w:r>
        <w:rPr>
          <w:color w:val="3A3838"/>
          <w:w w:val="110"/>
          <w:sz w:val="22"/>
        </w:rPr>
        <w:t>officer</w:t>
      </w:r>
      <w:r>
        <w:rPr>
          <w:color w:val="3A3838"/>
          <w:spacing w:val="1"/>
          <w:w w:val="110"/>
          <w:sz w:val="22"/>
        </w:rPr>
        <w:t> </w:t>
      </w:r>
      <w:r>
        <w:rPr>
          <w:b/>
          <w:color w:val="3A3838"/>
          <w:w w:val="110"/>
          <w:sz w:val="21"/>
        </w:rPr>
        <w:t>had no  indication that the defendant had broken any  law other than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a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traffic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law</w:t>
      </w:r>
      <w:r>
        <w:rPr>
          <w:b/>
          <w:color w:val="3A3838"/>
          <w:spacing w:val="6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before</w:t>
      </w:r>
      <w:r>
        <w:rPr>
          <w:b/>
          <w:color w:val="3A3838"/>
          <w:spacing w:val="-13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he</w:t>
      </w:r>
      <w:r>
        <w:rPr>
          <w:b/>
          <w:color w:val="3A3838"/>
          <w:spacing w:val="2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initiated</w:t>
      </w:r>
      <w:r>
        <w:rPr>
          <w:b/>
          <w:color w:val="3A3838"/>
          <w:spacing w:val="-4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the</w:t>
      </w:r>
      <w:r>
        <w:rPr>
          <w:b/>
          <w:color w:val="3A3838"/>
          <w:spacing w:val="-7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search</w:t>
      </w:r>
      <w:r>
        <w:rPr>
          <w:b/>
          <w:color w:val="3A3838"/>
          <w:spacing w:val="-6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of</w:t>
      </w:r>
      <w:r>
        <w:rPr>
          <w:b/>
          <w:color w:val="3A3838"/>
          <w:spacing w:val="13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the</w:t>
      </w:r>
      <w:r>
        <w:rPr>
          <w:b/>
          <w:color w:val="3A3838"/>
          <w:spacing w:val="15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defendant's</w:t>
      </w:r>
      <w:r>
        <w:rPr>
          <w:b/>
          <w:color w:val="3A3838"/>
          <w:spacing w:val="-9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car?</w:t>
      </w:r>
    </w:p>
    <w:p>
      <w:pPr>
        <w:pStyle w:val="BodyText"/>
        <w:spacing w:line="235" w:lineRule="auto" w:before="126"/>
        <w:ind w:left="115" w:right="202" w:firstLine="3"/>
        <w:jc w:val="both"/>
      </w:pPr>
      <w:r>
        <w:rPr>
          <w:color w:val="3A3838"/>
          <w:w w:val="115"/>
        </w:rPr>
        <w:t>One more caveat. At this early stage of the writing process, don't worry</w:t>
      </w:r>
      <w:r>
        <w:rPr>
          <w:color w:val="3A3838"/>
          <w:spacing w:val="-64"/>
          <w:w w:val="115"/>
        </w:rPr>
        <w:t> </w:t>
      </w:r>
      <w:r>
        <w:rPr>
          <w:color w:val="3A3838"/>
          <w:w w:val="110"/>
        </w:rPr>
        <w:t>about perfect form or perfection in any way. The important thing is to get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some</w:t>
      </w:r>
      <w:r>
        <w:rPr>
          <w:color w:val="3A3838"/>
          <w:spacing w:val="-11"/>
          <w:w w:val="110"/>
        </w:rPr>
        <w:t> </w:t>
      </w:r>
      <w:r>
        <w:rPr>
          <w:color w:val="3A3838"/>
          <w:w w:val="110"/>
        </w:rPr>
        <w:t>information</w:t>
      </w:r>
      <w:r>
        <w:rPr>
          <w:color w:val="3A3838"/>
          <w:spacing w:val="9"/>
          <w:w w:val="110"/>
        </w:rPr>
        <w:t> </w:t>
      </w:r>
      <w:r>
        <w:rPr>
          <w:color w:val="3A3838"/>
          <w:w w:val="110"/>
        </w:rPr>
        <w:t>down</w:t>
      </w:r>
      <w:r>
        <w:rPr>
          <w:color w:val="3A3838"/>
          <w:spacing w:val="10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9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useful</w:t>
      </w:r>
      <w:r>
        <w:rPr>
          <w:color w:val="3A3838"/>
          <w:spacing w:val="3"/>
          <w:w w:val="110"/>
        </w:rPr>
        <w:t> </w:t>
      </w:r>
      <w:r>
        <w:rPr>
          <w:color w:val="3A3838"/>
          <w:w w:val="110"/>
        </w:rPr>
        <w:t>format.</w:t>
      </w:r>
    </w:p>
    <w:p>
      <w:pPr>
        <w:pStyle w:val="BodyText"/>
        <w:spacing w:before="2"/>
        <w:rPr>
          <w:sz w:val="34"/>
        </w:rPr>
      </w:pPr>
    </w:p>
    <w:p>
      <w:pPr>
        <w:spacing w:before="0"/>
        <w:ind w:left="472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A3838"/>
          <w:w w:val="110"/>
          <w:sz w:val="28"/>
        </w:rPr>
        <w:t>3.2.2</w:t>
      </w:r>
    </w:p>
    <w:p>
      <w:pPr>
        <w:spacing w:line="276" w:lineRule="auto" w:before="25"/>
        <w:ind w:left="462" w:right="0" w:firstLine="16"/>
        <w:jc w:val="left"/>
        <w:rPr>
          <w:b/>
          <w:sz w:val="24"/>
        </w:rPr>
      </w:pPr>
      <w:r>
        <w:rPr>
          <w:b/>
          <w:color w:val="3A3838"/>
          <w:w w:val="95"/>
          <w:sz w:val="24"/>
        </w:rPr>
        <w:t>BROADENING</w:t>
      </w:r>
      <w:r>
        <w:rPr>
          <w:b/>
          <w:color w:val="3A3838"/>
          <w:spacing w:val="41"/>
          <w:w w:val="95"/>
          <w:sz w:val="24"/>
        </w:rPr>
        <w:t> </w:t>
      </w:r>
      <w:r>
        <w:rPr>
          <w:b/>
          <w:color w:val="3A3838"/>
          <w:w w:val="95"/>
          <w:sz w:val="24"/>
        </w:rPr>
        <w:t>YOUR</w:t>
      </w:r>
      <w:r>
        <w:rPr>
          <w:b/>
          <w:color w:val="3A3838"/>
          <w:spacing w:val="25"/>
          <w:w w:val="95"/>
          <w:sz w:val="24"/>
        </w:rPr>
        <w:t> </w:t>
      </w:r>
      <w:r>
        <w:rPr>
          <w:b/>
          <w:color w:val="3A3838"/>
          <w:w w:val="95"/>
          <w:sz w:val="24"/>
        </w:rPr>
        <w:t>HORIZONS</w:t>
      </w:r>
      <w:r>
        <w:rPr>
          <w:b/>
          <w:color w:val="3A3838"/>
          <w:spacing w:val="16"/>
          <w:w w:val="95"/>
          <w:sz w:val="24"/>
        </w:rPr>
        <w:t> </w:t>
      </w:r>
      <w:r>
        <w:rPr>
          <w:b/>
          <w:color w:val="3A3838"/>
          <w:w w:val="95"/>
          <w:sz w:val="24"/>
        </w:rPr>
        <w:t>(YOU</w:t>
      </w:r>
      <w:r>
        <w:rPr>
          <w:b/>
          <w:color w:val="3A3838"/>
          <w:spacing w:val="28"/>
          <w:w w:val="95"/>
          <w:sz w:val="24"/>
        </w:rPr>
        <w:t> </w:t>
      </w:r>
      <w:r>
        <w:rPr>
          <w:b/>
          <w:color w:val="3A3838"/>
          <w:w w:val="95"/>
          <w:sz w:val="24"/>
        </w:rPr>
        <w:t>CAN</w:t>
      </w:r>
      <w:r>
        <w:rPr>
          <w:b/>
          <w:color w:val="3A3838"/>
          <w:spacing w:val="-9"/>
          <w:w w:val="95"/>
          <w:sz w:val="24"/>
        </w:rPr>
        <w:t> </w:t>
      </w:r>
      <w:r>
        <w:rPr>
          <w:b/>
          <w:color w:val="3A3838"/>
          <w:w w:val="95"/>
          <w:sz w:val="24"/>
        </w:rPr>
        <w:t>COMPARE</w:t>
      </w:r>
      <w:r>
        <w:rPr>
          <w:b/>
          <w:color w:val="3A3838"/>
          <w:spacing w:val="10"/>
          <w:w w:val="95"/>
          <w:sz w:val="24"/>
        </w:rPr>
        <w:t> </w:t>
      </w:r>
      <w:r>
        <w:rPr>
          <w:b/>
          <w:color w:val="3A3838"/>
          <w:w w:val="95"/>
          <w:sz w:val="24"/>
        </w:rPr>
        <w:t>APPLES</w:t>
      </w:r>
      <w:r>
        <w:rPr>
          <w:b/>
          <w:color w:val="3A3838"/>
          <w:spacing w:val="-54"/>
          <w:w w:val="95"/>
          <w:sz w:val="24"/>
        </w:rPr>
        <w:t> </w:t>
      </w:r>
      <w:r>
        <w:rPr>
          <w:b/>
          <w:color w:val="3A3838"/>
          <w:sz w:val="24"/>
        </w:rPr>
        <w:t>AND</w:t>
      </w:r>
      <w:r>
        <w:rPr>
          <w:b/>
          <w:color w:val="3A3838"/>
          <w:spacing w:val="-4"/>
          <w:sz w:val="24"/>
        </w:rPr>
        <w:t> </w:t>
      </w:r>
      <w:r>
        <w:rPr>
          <w:b/>
          <w:color w:val="3A3838"/>
          <w:sz w:val="24"/>
        </w:rPr>
        <w:t>ORANGES)</w:t>
      </w:r>
    </w:p>
    <w:p>
      <w:pPr>
        <w:pStyle w:val="BodyText"/>
        <w:spacing w:line="230" w:lineRule="auto" w:before="106"/>
        <w:ind w:left="118" w:right="129" w:firstLine="372"/>
        <w:jc w:val="both"/>
      </w:pPr>
      <w:r>
        <w:rPr>
          <w:color w:val="3A3838"/>
          <w:w w:val="115"/>
        </w:rPr>
        <w:t>After you have formulated your research questions, you should take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two more steps before you begin researching your specific legal issues.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First, evaluate your level of ignorance about the case and do any needed</w:t>
      </w:r>
      <w:r>
        <w:rPr>
          <w:color w:val="3A3838"/>
          <w:spacing w:val="-64"/>
          <w:w w:val="115"/>
        </w:rPr>
        <w:t> </w:t>
      </w:r>
      <w:r>
        <w:rPr>
          <w:color w:val="3A3838"/>
          <w:w w:val="115"/>
        </w:rPr>
        <w:t>background reading. Second, decide what you're looking for. What are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your "ideal" authorities and your "practical" authorities? That is, if you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could invent an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ideal authority,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what would  it  be? On  the  other hand,</w:t>
      </w:r>
      <w:r>
        <w:rPr>
          <w:color w:val="3A3838"/>
          <w:spacing w:val="-64"/>
          <w:w w:val="115"/>
        </w:rPr>
        <w:t> </w:t>
      </w:r>
      <w:r>
        <w:rPr>
          <w:color w:val="3A3838"/>
          <w:w w:val="115"/>
        </w:rPr>
        <w:t>if the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ideal authority isn't out there (and it probably isn't), you should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decide</w:t>
      </w:r>
      <w:r>
        <w:rPr>
          <w:color w:val="3A3838"/>
          <w:spacing w:val="2"/>
          <w:w w:val="110"/>
        </w:rPr>
        <w:t> </w:t>
      </w:r>
      <w:r>
        <w:rPr>
          <w:color w:val="3A3838"/>
          <w:w w:val="110"/>
        </w:rPr>
        <w:t>what</w:t>
      </w:r>
      <w:r>
        <w:rPr>
          <w:color w:val="3A3838"/>
          <w:spacing w:val="24"/>
          <w:w w:val="110"/>
        </w:rPr>
        <w:t> </w:t>
      </w:r>
      <w:r>
        <w:rPr>
          <w:color w:val="3A3838"/>
          <w:w w:val="110"/>
        </w:rPr>
        <w:t>types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17"/>
          <w:w w:val="110"/>
        </w:rPr>
        <w:t> </w:t>
      </w:r>
      <w:r>
        <w:rPr>
          <w:color w:val="3A3838"/>
          <w:w w:val="110"/>
        </w:rPr>
        <w:t>authorities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would</w:t>
      </w:r>
      <w:r>
        <w:rPr>
          <w:color w:val="3A3838"/>
          <w:spacing w:val="21"/>
          <w:w w:val="110"/>
        </w:rPr>
        <w:t> </w:t>
      </w:r>
      <w:r>
        <w:rPr>
          <w:color w:val="3A3838"/>
          <w:w w:val="110"/>
        </w:rPr>
        <w:t>be</w:t>
      </w:r>
      <w:r>
        <w:rPr>
          <w:color w:val="3A3838"/>
          <w:spacing w:val="7"/>
          <w:w w:val="110"/>
        </w:rPr>
        <w:t> </w:t>
      </w:r>
      <w:r>
        <w:rPr>
          <w:color w:val="3A3838"/>
          <w:w w:val="110"/>
        </w:rPr>
        <w:t>useful</w:t>
      </w:r>
      <w:r>
        <w:rPr>
          <w:color w:val="3A3838"/>
          <w:spacing w:val="11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33"/>
          <w:w w:val="110"/>
        </w:rPr>
        <w:t> </w:t>
      </w:r>
      <w:r>
        <w:rPr>
          <w:color w:val="3A3838"/>
          <w:w w:val="110"/>
        </w:rPr>
        <w:t>your</w:t>
      </w:r>
      <w:r>
        <w:rPr>
          <w:color w:val="3A3838"/>
          <w:spacing w:val="6"/>
          <w:w w:val="110"/>
        </w:rPr>
        <w:t> </w:t>
      </w:r>
      <w:r>
        <w:rPr>
          <w:color w:val="3A3838"/>
          <w:w w:val="110"/>
        </w:rPr>
        <w:t>client's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case.</w:t>
      </w:r>
    </w:p>
    <w:p>
      <w:pPr>
        <w:pStyle w:val="BodyText"/>
        <w:spacing w:line="235" w:lineRule="auto" w:before="6"/>
        <w:ind w:left="119" w:right="108" w:firstLine="366"/>
        <w:jc w:val="both"/>
      </w:pPr>
      <w:r>
        <w:rPr>
          <w:color w:val="3A3838"/>
          <w:w w:val="110"/>
        </w:rPr>
        <w:t>These steps are important because the problem many people have with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legal</w:t>
      </w:r>
      <w:r>
        <w:rPr>
          <w:color w:val="3A3838"/>
          <w:spacing w:val="-1"/>
          <w:w w:val="115"/>
        </w:rPr>
        <w:t> </w:t>
      </w:r>
      <w:r>
        <w:rPr>
          <w:color w:val="3A3838"/>
          <w:w w:val="115"/>
        </w:rPr>
        <w:t>research</w:t>
      </w:r>
      <w:r>
        <w:rPr>
          <w:color w:val="3A3838"/>
          <w:spacing w:val="8"/>
          <w:w w:val="115"/>
        </w:rPr>
        <w:t> </w:t>
      </w:r>
      <w:r>
        <w:rPr>
          <w:color w:val="3A3838"/>
          <w:w w:val="115"/>
        </w:rPr>
        <w:t>is</w:t>
      </w:r>
      <w:r>
        <w:rPr>
          <w:color w:val="3A3838"/>
          <w:spacing w:val="-10"/>
          <w:w w:val="115"/>
        </w:rPr>
        <w:t> </w:t>
      </w:r>
      <w:r>
        <w:rPr>
          <w:color w:val="3A3838"/>
          <w:w w:val="115"/>
        </w:rPr>
        <w:t>not</w:t>
      </w:r>
      <w:r>
        <w:rPr>
          <w:color w:val="3A3838"/>
          <w:spacing w:val="38"/>
          <w:w w:val="115"/>
        </w:rPr>
        <w:t> </w:t>
      </w:r>
      <w:r>
        <w:rPr>
          <w:color w:val="3A3838"/>
          <w:w w:val="115"/>
        </w:rPr>
        <w:t>that</w:t>
      </w:r>
      <w:r>
        <w:rPr>
          <w:color w:val="3A3838"/>
          <w:spacing w:val="-8"/>
          <w:w w:val="115"/>
        </w:rPr>
        <w:t> </w:t>
      </w:r>
      <w:r>
        <w:rPr>
          <w:color w:val="3A3838"/>
          <w:w w:val="115"/>
        </w:rPr>
        <w:t>they</w:t>
      </w:r>
      <w:r>
        <w:rPr>
          <w:color w:val="3A3838"/>
          <w:spacing w:val="-12"/>
          <w:w w:val="115"/>
        </w:rPr>
        <w:t> </w:t>
      </w:r>
      <w:r>
        <w:rPr>
          <w:color w:val="3A3838"/>
          <w:w w:val="115"/>
        </w:rPr>
        <w:t>can't</w:t>
      </w:r>
      <w:r>
        <w:rPr>
          <w:color w:val="3A3838"/>
          <w:spacing w:val="31"/>
          <w:w w:val="115"/>
        </w:rPr>
        <w:t> </w:t>
      </w:r>
      <w:r>
        <w:rPr>
          <w:i/>
          <w:color w:val="3A3838"/>
          <w:w w:val="115"/>
          <w:sz w:val="21"/>
        </w:rPr>
        <w:t>find</w:t>
      </w:r>
      <w:r>
        <w:rPr>
          <w:i/>
          <w:color w:val="3A3838"/>
          <w:spacing w:val="26"/>
          <w:w w:val="115"/>
          <w:sz w:val="21"/>
        </w:rPr>
        <w:t> </w:t>
      </w:r>
      <w:r>
        <w:rPr>
          <w:color w:val="3A3838"/>
          <w:w w:val="115"/>
        </w:rPr>
        <w:t>relevant</w:t>
      </w:r>
      <w:r>
        <w:rPr>
          <w:color w:val="3A3838"/>
          <w:spacing w:val="5"/>
          <w:w w:val="115"/>
        </w:rPr>
        <w:t> </w:t>
      </w:r>
      <w:r>
        <w:rPr>
          <w:color w:val="3A3838"/>
          <w:w w:val="115"/>
        </w:rPr>
        <w:t>authorities,</w:t>
      </w:r>
      <w:r>
        <w:rPr>
          <w:color w:val="3A3838"/>
          <w:spacing w:val="7"/>
          <w:w w:val="115"/>
        </w:rPr>
        <w:t> </w:t>
      </w:r>
      <w:r>
        <w:rPr>
          <w:color w:val="3A3838"/>
          <w:w w:val="115"/>
        </w:rPr>
        <w:t>it's</w:t>
      </w:r>
      <w:r>
        <w:rPr>
          <w:color w:val="3A3838"/>
          <w:spacing w:val="-11"/>
          <w:w w:val="115"/>
        </w:rPr>
        <w:t> </w:t>
      </w:r>
      <w:r>
        <w:rPr>
          <w:color w:val="3A3838"/>
          <w:w w:val="115"/>
        </w:rPr>
        <w:t>that</w:t>
      </w:r>
      <w:r>
        <w:rPr>
          <w:color w:val="3A3838"/>
          <w:spacing w:val="2"/>
          <w:w w:val="115"/>
        </w:rPr>
        <w:t> </w:t>
      </w:r>
      <w:r>
        <w:rPr>
          <w:color w:val="3A3838"/>
          <w:w w:val="115"/>
        </w:rPr>
        <w:t>they</w:t>
      </w:r>
    </w:p>
    <w:p>
      <w:pPr>
        <w:spacing w:after="0" w:line="235" w:lineRule="auto"/>
        <w:jc w:val="both"/>
        <w:sectPr>
          <w:headerReference w:type="default" r:id="rId67"/>
          <w:headerReference w:type="even" r:id="rId68"/>
          <w:pgSz w:w="9520" w:h="13740"/>
          <w:pgMar w:header="434" w:footer="0" w:top="620" w:bottom="280" w:left="500" w:right="1080"/>
          <w:pgNumType w:start="43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35" w:lineRule="auto" w:before="227"/>
        <w:ind w:left="761" w:right="150" w:firstLine="10"/>
        <w:jc w:val="both"/>
      </w:pPr>
      <w:r>
        <w:rPr>
          <w:color w:val="3A383A"/>
          <w:w w:val="105"/>
        </w:rPr>
        <w:t>don't </w:t>
      </w:r>
      <w:r>
        <w:rPr>
          <w:i/>
          <w:color w:val="3A383A"/>
          <w:w w:val="105"/>
          <w:sz w:val="24"/>
        </w:rPr>
        <w:t>recognize </w:t>
      </w:r>
      <w:r>
        <w:rPr>
          <w:color w:val="3A383A"/>
          <w:w w:val="105"/>
        </w:rPr>
        <w:t>relevant authorities when they see them. Even people who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10"/>
        </w:rPr>
        <w:t>can eventually recognize relevant authorities often don't recognize them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during</w:t>
      </w:r>
      <w:r>
        <w:rPr>
          <w:color w:val="3A383A"/>
          <w:spacing w:val="-10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4"/>
          <w:w w:val="110"/>
        </w:rPr>
        <w:t> </w:t>
      </w:r>
      <w:r>
        <w:rPr>
          <w:color w:val="3A383A"/>
          <w:w w:val="110"/>
        </w:rPr>
        <w:t>initial</w:t>
      </w:r>
      <w:r>
        <w:rPr>
          <w:color w:val="3A383A"/>
          <w:spacing w:val="3"/>
          <w:w w:val="110"/>
        </w:rPr>
        <w:t> </w:t>
      </w:r>
      <w:r>
        <w:rPr>
          <w:color w:val="3A383A"/>
          <w:w w:val="110"/>
        </w:rPr>
        <w:t>phase</w:t>
      </w:r>
      <w:r>
        <w:rPr>
          <w:color w:val="3A383A"/>
          <w:spacing w:val="-23"/>
          <w:w w:val="110"/>
        </w:rPr>
        <w:t> </w:t>
      </w:r>
      <w:r>
        <w:rPr>
          <w:color w:val="3A383A"/>
          <w:w w:val="110"/>
        </w:rPr>
        <w:t>of</w:t>
      </w:r>
      <w:r>
        <w:rPr>
          <w:color w:val="3A383A"/>
          <w:spacing w:val="13"/>
          <w:w w:val="110"/>
        </w:rPr>
        <w:t> </w:t>
      </w:r>
      <w:r>
        <w:rPr>
          <w:color w:val="3A383A"/>
          <w:w w:val="110"/>
        </w:rPr>
        <w:t>their</w:t>
      </w:r>
      <w:r>
        <w:rPr>
          <w:color w:val="3A383A"/>
          <w:spacing w:val="-10"/>
          <w:w w:val="110"/>
        </w:rPr>
        <w:t> </w:t>
      </w:r>
      <w:r>
        <w:rPr>
          <w:color w:val="3A383A"/>
          <w:w w:val="110"/>
        </w:rPr>
        <w:t>research.</w:t>
      </w:r>
      <w:r>
        <w:rPr>
          <w:color w:val="3A383A"/>
          <w:spacing w:val="-4"/>
          <w:w w:val="110"/>
        </w:rPr>
        <w:t> </w:t>
      </w:r>
      <w:r>
        <w:rPr>
          <w:color w:val="3A383A"/>
          <w:w w:val="110"/>
        </w:rPr>
        <w:t>Perhaps</w:t>
      </w:r>
      <w:r>
        <w:rPr>
          <w:color w:val="3A383A"/>
          <w:spacing w:val="-8"/>
          <w:w w:val="110"/>
        </w:rPr>
        <w:t> </w:t>
      </w:r>
      <w:r>
        <w:rPr>
          <w:color w:val="3A383A"/>
          <w:w w:val="110"/>
        </w:rPr>
        <w:t>because</w:t>
      </w:r>
      <w:r>
        <w:rPr>
          <w:color w:val="3A383A"/>
          <w:spacing w:val="-9"/>
          <w:w w:val="110"/>
        </w:rPr>
        <w:t> </w:t>
      </w:r>
      <w:r>
        <w:rPr>
          <w:color w:val="3A383A"/>
          <w:w w:val="110"/>
        </w:rPr>
        <w:t>they</w:t>
      </w:r>
      <w:r>
        <w:rPr>
          <w:color w:val="3A383A"/>
          <w:spacing w:val="-22"/>
          <w:w w:val="110"/>
        </w:rPr>
        <w:t> </w:t>
      </w:r>
      <w:r>
        <w:rPr>
          <w:color w:val="3A383A"/>
          <w:w w:val="110"/>
        </w:rPr>
        <w:t>don't</w:t>
      </w:r>
      <w:r>
        <w:rPr>
          <w:color w:val="3A383A"/>
          <w:spacing w:val="-2"/>
          <w:w w:val="110"/>
        </w:rPr>
        <w:t> </w:t>
      </w:r>
      <w:r>
        <w:rPr>
          <w:color w:val="3A383A"/>
          <w:w w:val="110"/>
        </w:rPr>
        <w:t>know</w:t>
      </w:r>
      <w:r>
        <w:rPr>
          <w:color w:val="3A383A"/>
          <w:spacing w:val="-60"/>
          <w:w w:val="110"/>
        </w:rPr>
        <w:t> </w:t>
      </w:r>
      <w:r>
        <w:rPr>
          <w:color w:val="3A383A"/>
          <w:w w:val="110"/>
        </w:rPr>
        <w:t>enough about the relevant law, they are looking for a case that is the per­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fect match, and they ignore every authority that is not identical, factually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and  in every other way. After they realize that they're not going to find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the ideal case, they have to retrace their steps to pick up those imperfect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authorities</w:t>
      </w:r>
      <w:r>
        <w:rPr>
          <w:color w:val="3A383A"/>
          <w:spacing w:val="-9"/>
          <w:w w:val="110"/>
        </w:rPr>
        <w:t> </w:t>
      </w:r>
      <w:r>
        <w:rPr>
          <w:color w:val="3A383A"/>
          <w:w w:val="110"/>
        </w:rPr>
        <w:t>that</w:t>
      </w:r>
      <w:r>
        <w:rPr>
          <w:color w:val="3A383A"/>
          <w:spacing w:val="3"/>
          <w:w w:val="110"/>
        </w:rPr>
        <w:t> </w:t>
      </w:r>
      <w:r>
        <w:rPr>
          <w:color w:val="3A383A"/>
          <w:w w:val="110"/>
        </w:rPr>
        <w:t>nowlook</w:t>
      </w:r>
      <w:r>
        <w:rPr>
          <w:color w:val="3A383A"/>
          <w:spacing w:val="-3"/>
          <w:w w:val="110"/>
        </w:rPr>
        <w:t> </w:t>
      </w:r>
      <w:r>
        <w:rPr>
          <w:color w:val="3A383A"/>
          <w:w w:val="110"/>
        </w:rPr>
        <w:t>a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lot</w:t>
      </w:r>
      <w:r>
        <w:rPr>
          <w:color w:val="3A383A"/>
          <w:spacing w:val="6"/>
          <w:w w:val="110"/>
        </w:rPr>
        <w:t> </w:t>
      </w:r>
      <w:r>
        <w:rPr>
          <w:color w:val="3A383A"/>
          <w:w w:val="110"/>
        </w:rPr>
        <w:t>better.</w:t>
      </w:r>
    </w:p>
    <w:p>
      <w:pPr>
        <w:pStyle w:val="BodyText"/>
        <w:spacing w:line="243" w:lineRule="exact"/>
        <w:ind w:left="1171"/>
        <w:jc w:val="both"/>
      </w:pPr>
      <w:r>
        <w:rPr>
          <w:color w:val="3A383A"/>
          <w:w w:val="105"/>
        </w:rPr>
        <w:t>Many</w:t>
      </w:r>
      <w:r>
        <w:rPr>
          <w:color w:val="3A383A"/>
          <w:spacing w:val="-12"/>
          <w:w w:val="105"/>
        </w:rPr>
        <w:t> </w:t>
      </w:r>
      <w:r>
        <w:rPr>
          <w:color w:val="3A383A"/>
          <w:w w:val="105"/>
        </w:rPr>
        <w:t>researchers</w:t>
      </w:r>
      <w:r>
        <w:rPr>
          <w:color w:val="3A383A"/>
          <w:spacing w:val="-18"/>
          <w:w w:val="105"/>
        </w:rPr>
        <w:t> </w:t>
      </w:r>
      <w:r>
        <w:rPr>
          <w:color w:val="3A383A"/>
          <w:w w:val="105"/>
        </w:rPr>
        <w:t>are</w:t>
      </w:r>
      <w:r>
        <w:rPr>
          <w:color w:val="3A383A"/>
          <w:spacing w:val="9"/>
          <w:w w:val="105"/>
        </w:rPr>
        <w:t> </w:t>
      </w:r>
      <w:r>
        <w:rPr>
          <w:color w:val="3A383A"/>
          <w:w w:val="105"/>
        </w:rPr>
        <w:t>able</w:t>
      </w:r>
      <w:r>
        <w:rPr>
          <w:color w:val="3A383A"/>
          <w:spacing w:val="-23"/>
          <w:w w:val="105"/>
        </w:rPr>
        <w:t> </w:t>
      </w:r>
      <w:r>
        <w:rPr>
          <w:color w:val="3A383A"/>
          <w:w w:val="105"/>
        </w:rPr>
        <w:t>to</w:t>
      </w:r>
      <w:r>
        <w:rPr>
          <w:color w:val="3A383A"/>
          <w:spacing w:val="30"/>
          <w:w w:val="105"/>
        </w:rPr>
        <w:t> </w:t>
      </w:r>
      <w:r>
        <w:rPr>
          <w:color w:val="3A383A"/>
          <w:w w:val="105"/>
        </w:rPr>
        <w:t>recognize</w:t>
      </w:r>
      <w:r>
        <w:rPr>
          <w:color w:val="3A383A"/>
          <w:spacing w:val="10"/>
          <w:w w:val="105"/>
        </w:rPr>
        <w:t> </w:t>
      </w:r>
      <w:r>
        <w:rPr>
          <w:color w:val="3A383A"/>
          <w:w w:val="105"/>
        </w:rPr>
        <w:t>those</w:t>
      </w:r>
      <w:r>
        <w:rPr>
          <w:color w:val="3A383A"/>
          <w:spacing w:val="-20"/>
          <w:w w:val="105"/>
        </w:rPr>
        <w:t> </w:t>
      </w:r>
      <w:r>
        <w:rPr>
          <w:color w:val="3A383A"/>
          <w:w w:val="105"/>
        </w:rPr>
        <w:t>valid</w:t>
      </w:r>
      <w:r>
        <w:rPr>
          <w:color w:val="3A383A"/>
          <w:spacing w:val="-5"/>
          <w:w w:val="105"/>
        </w:rPr>
        <w:t> </w:t>
      </w:r>
      <w:r>
        <w:rPr>
          <w:color w:val="3A383A"/>
          <w:w w:val="105"/>
        </w:rPr>
        <w:t>but</w:t>
      </w:r>
      <w:r>
        <w:rPr>
          <w:color w:val="3A383A"/>
          <w:spacing w:val="41"/>
          <w:w w:val="105"/>
        </w:rPr>
        <w:t> </w:t>
      </w:r>
      <w:r>
        <w:rPr>
          <w:color w:val="3A383A"/>
          <w:w w:val="105"/>
        </w:rPr>
        <w:t>imperfect</w:t>
      </w:r>
      <w:r>
        <w:rPr>
          <w:color w:val="3A383A"/>
          <w:spacing w:val="6"/>
          <w:w w:val="105"/>
        </w:rPr>
        <w:t> </w:t>
      </w:r>
      <w:r>
        <w:rPr>
          <w:color w:val="3A383A"/>
          <w:w w:val="105"/>
        </w:rPr>
        <w:t>author­</w:t>
      </w:r>
    </w:p>
    <w:p>
      <w:pPr>
        <w:pStyle w:val="BodyText"/>
        <w:spacing w:line="232" w:lineRule="auto" w:before="4"/>
        <w:ind w:left="759" w:right="113" w:firstLine="42"/>
        <w:jc w:val="both"/>
      </w:pPr>
      <w:r>
        <w:rPr>
          <w:color w:val="3A383A"/>
          <w:w w:val="110"/>
        </w:rPr>
        <w:t>ities</w:t>
      </w:r>
      <w:r>
        <w:rPr>
          <w:color w:val="3A383A"/>
          <w:spacing w:val="-29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2"/>
          <w:w w:val="110"/>
        </w:rPr>
        <w:t> </w:t>
      </w:r>
      <w:r>
        <w:rPr>
          <w:color w:val="3A383A"/>
          <w:w w:val="110"/>
        </w:rPr>
        <w:t>first</w:t>
      </w:r>
      <w:r>
        <w:rPr>
          <w:color w:val="3A383A"/>
          <w:spacing w:val="-17"/>
          <w:w w:val="110"/>
        </w:rPr>
        <w:t> </w:t>
      </w:r>
      <w:r>
        <w:rPr>
          <w:color w:val="3A383A"/>
          <w:w w:val="110"/>
        </w:rPr>
        <w:t>time</w:t>
      </w:r>
      <w:r>
        <w:rPr>
          <w:color w:val="3A383A"/>
          <w:spacing w:val="-26"/>
          <w:w w:val="110"/>
        </w:rPr>
        <w:t> </w:t>
      </w:r>
      <w:r>
        <w:rPr>
          <w:color w:val="3A383A"/>
          <w:w w:val="110"/>
        </w:rPr>
        <w:t>through</w:t>
      </w:r>
      <w:r>
        <w:rPr>
          <w:color w:val="3A383A"/>
          <w:spacing w:val="-5"/>
          <w:w w:val="110"/>
        </w:rPr>
        <w:t> </w:t>
      </w:r>
      <w:r>
        <w:rPr>
          <w:color w:val="3A383A"/>
          <w:w w:val="110"/>
        </w:rPr>
        <w:t>if</w:t>
      </w:r>
      <w:r>
        <w:rPr>
          <w:color w:val="3A383A"/>
          <w:spacing w:val="-7"/>
          <w:w w:val="110"/>
        </w:rPr>
        <w:t> </w:t>
      </w:r>
      <w:r>
        <w:rPr>
          <w:color w:val="3A383A"/>
          <w:w w:val="110"/>
        </w:rPr>
        <w:t>they</w:t>
      </w:r>
      <w:r>
        <w:rPr>
          <w:color w:val="3A383A"/>
          <w:spacing w:val="-9"/>
          <w:w w:val="110"/>
        </w:rPr>
        <w:t> </w:t>
      </w:r>
      <w:r>
        <w:rPr>
          <w:color w:val="3A383A"/>
          <w:w w:val="110"/>
        </w:rPr>
        <w:t>have</w:t>
      </w:r>
      <w:r>
        <w:rPr>
          <w:color w:val="3A383A"/>
          <w:spacing w:val="-32"/>
          <w:w w:val="110"/>
        </w:rPr>
        <w:t> </w:t>
      </w:r>
      <w:r>
        <w:rPr>
          <w:color w:val="3A383A"/>
          <w:w w:val="110"/>
        </w:rPr>
        <w:t>completed</w:t>
      </w:r>
      <w:r>
        <w:rPr>
          <w:color w:val="3A383A"/>
          <w:spacing w:val="12"/>
          <w:w w:val="110"/>
        </w:rPr>
        <w:t> </w:t>
      </w:r>
      <w:r>
        <w:rPr>
          <w:color w:val="3A383A"/>
          <w:w w:val="110"/>
        </w:rPr>
        <w:t>background</w:t>
      </w:r>
      <w:r>
        <w:rPr>
          <w:color w:val="3A383A"/>
          <w:spacing w:val="5"/>
          <w:w w:val="110"/>
        </w:rPr>
        <w:t> </w:t>
      </w:r>
      <w:r>
        <w:rPr>
          <w:color w:val="3A383A"/>
          <w:w w:val="110"/>
        </w:rPr>
        <w:t>reading</w:t>
      </w:r>
      <w:r>
        <w:rPr>
          <w:color w:val="3A383A"/>
          <w:spacing w:val="-19"/>
          <w:w w:val="110"/>
        </w:rPr>
        <w:t> </w:t>
      </w:r>
      <w:r>
        <w:rPr>
          <w:color w:val="3A383A"/>
          <w:w w:val="110"/>
        </w:rPr>
        <w:t>and</w:t>
      </w:r>
      <w:r>
        <w:rPr>
          <w:color w:val="3A383A"/>
          <w:spacing w:val="1"/>
          <w:w w:val="110"/>
        </w:rPr>
        <w:t> </w:t>
      </w:r>
      <w:r>
        <w:rPr>
          <w:color w:val="3A383A"/>
          <w:spacing w:val="-1"/>
          <w:w w:val="110"/>
        </w:rPr>
        <w:t>used</w:t>
      </w:r>
      <w:r>
        <w:rPr>
          <w:color w:val="3A383A"/>
          <w:spacing w:val="-21"/>
          <w:w w:val="110"/>
        </w:rPr>
        <w:t> </w:t>
      </w:r>
      <w:r>
        <w:rPr>
          <w:color w:val="3A383A"/>
          <w:spacing w:val="-1"/>
          <w:w w:val="110"/>
        </w:rPr>
        <w:t>their</w:t>
      </w:r>
      <w:r>
        <w:rPr>
          <w:color w:val="3A383A"/>
          <w:spacing w:val="-22"/>
          <w:w w:val="110"/>
        </w:rPr>
        <w:t> </w:t>
      </w:r>
      <w:r>
        <w:rPr>
          <w:color w:val="3A383A"/>
          <w:spacing w:val="-1"/>
          <w:w w:val="110"/>
        </w:rPr>
        <w:t>general</w:t>
      </w:r>
      <w:r>
        <w:rPr>
          <w:color w:val="3A383A"/>
          <w:spacing w:val="-18"/>
          <w:w w:val="110"/>
        </w:rPr>
        <w:t> </w:t>
      </w:r>
      <w:r>
        <w:rPr>
          <w:color w:val="3A383A"/>
          <w:spacing w:val="-1"/>
          <w:w w:val="110"/>
        </w:rPr>
        <w:t>knowledge</w:t>
      </w:r>
      <w:r>
        <w:rPr>
          <w:color w:val="3A383A"/>
          <w:spacing w:val="-16"/>
          <w:w w:val="110"/>
        </w:rPr>
        <w:t> </w:t>
      </w:r>
      <w:r>
        <w:rPr>
          <w:color w:val="3A383A"/>
          <w:w w:val="110"/>
        </w:rPr>
        <w:t>about</w:t>
      </w:r>
      <w:r>
        <w:rPr>
          <w:color w:val="3A383A"/>
          <w:spacing w:val="-16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-4"/>
          <w:w w:val="110"/>
        </w:rPr>
        <w:t> </w:t>
      </w:r>
      <w:r>
        <w:rPr>
          <w:color w:val="3A383A"/>
          <w:w w:val="110"/>
        </w:rPr>
        <w:t>area</w:t>
      </w:r>
      <w:r>
        <w:rPr>
          <w:color w:val="3A383A"/>
          <w:spacing w:val="-24"/>
          <w:w w:val="110"/>
        </w:rPr>
        <w:t> </w:t>
      </w:r>
      <w:r>
        <w:rPr>
          <w:color w:val="3A383A"/>
          <w:w w:val="110"/>
        </w:rPr>
        <w:t>of</w:t>
      </w:r>
      <w:r>
        <w:rPr>
          <w:color w:val="3A383A"/>
          <w:spacing w:val="-4"/>
          <w:w w:val="110"/>
        </w:rPr>
        <w:t> </w:t>
      </w:r>
      <w:r>
        <w:rPr>
          <w:color w:val="3A383A"/>
          <w:w w:val="110"/>
        </w:rPr>
        <w:t>law</w:t>
      </w:r>
      <w:r>
        <w:rPr>
          <w:color w:val="3A383A"/>
          <w:spacing w:val="-20"/>
          <w:w w:val="110"/>
        </w:rPr>
        <w:t> </w:t>
      </w:r>
      <w:r>
        <w:rPr>
          <w:color w:val="3A383A"/>
          <w:w w:val="110"/>
        </w:rPr>
        <w:t>(whether</w:t>
      </w:r>
      <w:r>
        <w:rPr>
          <w:color w:val="3A383A"/>
          <w:spacing w:val="-1"/>
          <w:w w:val="110"/>
        </w:rPr>
        <w:t> </w:t>
      </w:r>
      <w:r>
        <w:rPr>
          <w:color w:val="3A383A"/>
          <w:w w:val="110"/>
        </w:rPr>
        <w:t>preexisting</w:t>
      </w:r>
      <w:r>
        <w:rPr>
          <w:color w:val="3A383A"/>
          <w:spacing w:val="-14"/>
          <w:w w:val="110"/>
        </w:rPr>
        <w:t> </w:t>
      </w:r>
      <w:r>
        <w:rPr>
          <w:color w:val="3A383A"/>
          <w:w w:val="110"/>
        </w:rPr>
        <w:t>or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newfound) to help them identify both ideal and practical authorities. To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decide what kind of background reading is necessary, consult the "under"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clause of any research questions you havedrafted to evaluate your level of</w:t>
      </w:r>
      <w:r>
        <w:rPr>
          <w:color w:val="3A383A"/>
          <w:spacing w:val="-61"/>
          <w:w w:val="110"/>
        </w:rPr>
        <w:t> </w:t>
      </w:r>
      <w:r>
        <w:rPr>
          <w:color w:val="3A383A"/>
          <w:spacing w:val="-1"/>
          <w:w w:val="110"/>
        </w:rPr>
        <w:t>ignorance. </w:t>
      </w:r>
      <w:r>
        <w:rPr>
          <w:color w:val="3A383A"/>
          <w:w w:val="110"/>
        </w:rPr>
        <w:t>If you have written "under Section 23's limitation provisions,"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05"/>
        </w:rPr>
        <w:t>you are pretty well focused on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the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narrow legal issues. </w:t>
      </w:r>
      <w:r>
        <w:rPr>
          <w:color w:val="3A383A"/>
          <w:w w:val="105"/>
          <w:sz w:val="22"/>
        </w:rPr>
        <w:t>If </w:t>
      </w:r>
      <w:r>
        <w:rPr>
          <w:color w:val="3A383A"/>
          <w:w w:val="105"/>
        </w:rPr>
        <w:t>you are familiar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15"/>
        </w:rPr>
        <w:t>with</w:t>
      </w:r>
      <w:r>
        <w:rPr>
          <w:color w:val="3A383A"/>
          <w:spacing w:val="-2"/>
          <w:w w:val="115"/>
        </w:rPr>
        <w:t> </w:t>
      </w:r>
      <w:r>
        <w:rPr>
          <w:color w:val="3A383A"/>
          <w:w w:val="115"/>
        </w:rPr>
        <w:t>those</w:t>
      </w:r>
      <w:r>
        <w:rPr>
          <w:color w:val="3A383A"/>
          <w:spacing w:val="-11"/>
          <w:w w:val="115"/>
        </w:rPr>
        <w:t> </w:t>
      </w:r>
      <w:r>
        <w:rPr>
          <w:color w:val="3A383A"/>
          <w:w w:val="115"/>
        </w:rPr>
        <w:t>provisions</w:t>
      </w:r>
      <w:r>
        <w:rPr>
          <w:color w:val="3A383A"/>
          <w:spacing w:val="-11"/>
          <w:w w:val="115"/>
        </w:rPr>
        <w:t> </w:t>
      </w:r>
      <w:r>
        <w:rPr>
          <w:color w:val="3A383A"/>
          <w:w w:val="115"/>
        </w:rPr>
        <w:t>and</w:t>
      </w:r>
      <w:r>
        <w:rPr>
          <w:color w:val="3A383A"/>
          <w:spacing w:val="15"/>
          <w:w w:val="115"/>
        </w:rPr>
        <w:t> </w:t>
      </w:r>
      <w:r>
        <w:rPr>
          <w:color w:val="3A383A"/>
          <w:w w:val="115"/>
        </w:rPr>
        <w:t>the</w:t>
      </w:r>
      <w:r>
        <w:rPr>
          <w:color w:val="3A383A"/>
          <w:spacing w:val="6"/>
          <w:w w:val="115"/>
        </w:rPr>
        <w:t> </w:t>
      </w:r>
      <w:r>
        <w:rPr>
          <w:color w:val="3A383A"/>
          <w:w w:val="115"/>
        </w:rPr>
        <w:t>law</w:t>
      </w:r>
      <w:r>
        <w:rPr>
          <w:color w:val="3A383A"/>
          <w:spacing w:val="-13"/>
          <w:w w:val="115"/>
        </w:rPr>
        <w:t> </w:t>
      </w:r>
      <w:r>
        <w:rPr>
          <w:color w:val="3A383A"/>
          <w:w w:val="115"/>
        </w:rPr>
        <w:t>governing</w:t>
      </w:r>
      <w:r>
        <w:rPr>
          <w:color w:val="3A383A"/>
          <w:spacing w:val="-15"/>
          <w:w w:val="115"/>
        </w:rPr>
        <w:t> </w:t>
      </w:r>
      <w:r>
        <w:rPr>
          <w:color w:val="3A383A"/>
          <w:w w:val="115"/>
        </w:rPr>
        <w:t>those</w:t>
      </w:r>
      <w:r>
        <w:rPr>
          <w:color w:val="3A383A"/>
          <w:spacing w:val="-11"/>
          <w:w w:val="115"/>
        </w:rPr>
        <w:t> </w:t>
      </w:r>
      <w:r>
        <w:rPr>
          <w:color w:val="3A383A"/>
          <w:w w:val="115"/>
        </w:rPr>
        <w:t>provisions,</w:t>
      </w:r>
      <w:r>
        <w:rPr>
          <w:color w:val="3A383A"/>
          <w:spacing w:val="-2"/>
          <w:w w:val="115"/>
        </w:rPr>
        <w:t> </w:t>
      </w:r>
      <w:r>
        <w:rPr>
          <w:color w:val="3A383A"/>
          <w:w w:val="115"/>
        </w:rPr>
        <w:t>then</w:t>
      </w:r>
      <w:r>
        <w:rPr>
          <w:color w:val="3A383A"/>
          <w:spacing w:val="-9"/>
          <w:w w:val="115"/>
        </w:rPr>
        <w:t> </w:t>
      </w:r>
      <w:r>
        <w:rPr>
          <w:color w:val="3A383A"/>
          <w:w w:val="115"/>
        </w:rPr>
        <w:t>you</w:t>
      </w:r>
      <w:r>
        <w:rPr>
          <w:color w:val="3A383A"/>
          <w:spacing w:val="-64"/>
          <w:w w:val="115"/>
        </w:rPr>
        <w:t> </w:t>
      </w:r>
      <w:r>
        <w:rPr>
          <w:color w:val="3A383A"/>
          <w:w w:val="110"/>
        </w:rPr>
        <w:t>do not need to do any background reading before trying to identify what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you</w:t>
      </w:r>
      <w:r>
        <w:rPr>
          <w:color w:val="3A383A"/>
          <w:spacing w:val="-8"/>
          <w:w w:val="110"/>
        </w:rPr>
        <w:t> </w:t>
      </w:r>
      <w:r>
        <w:rPr>
          <w:color w:val="3A383A"/>
          <w:w w:val="110"/>
        </w:rPr>
        <w:t>are</w:t>
      </w:r>
      <w:r>
        <w:rPr>
          <w:color w:val="3A383A"/>
          <w:spacing w:val="-4"/>
          <w:w w:val="110"/>
        </w:rPr>
        <w:t> </w:t>
      </w:r>
      <w:r>
        <w:rPr>
          <w:color w:val="3A383A"/>
          <w:w w:val="110"/>
        </w:rPr>
        <w:t>looking</w:t>
      </w:r>
      <w:r>
        <w:rPr>
          <w:color w:val="3A383A"/>
          <w:spacing w:val="-12"/>
          <w:w w:val="110"/>
        </w:rPr>
        <w:t> </w:t>
      </w:r>
      <w:r>
        <w:rPr>
          <w:color w:val="3A383A"/>
          <w:w w:val="110"/>
        </w:rPr>
        <w:t>for.</w:t>
      </w:r>
      <w:r>
        <w:rPr>
          <w:color w:val="3A383A"/>
          <w:spacing w:val="-14"/>
          <w:w w:val="110"/>
        </w:rPr>
        <w:t> </w:t>
      </w:r>
      <w:r>
        <w:rPr>
          <w:color w:val="3A383A"/>
          <w:w w:val="110"/>
          <w:sz w:val="22"/>
        </w:rPr>
        <w:t>If</w:t>
      </w:r>
      <w:r>
        <w:rPr>
          <w:color w:val="3A383A"/>
          <w:spacing w:val="-6"/>
          <w:w w:val="110"/>
          <w:sz w:val="22"/>
        </w:rPr>
        <w:t> </w:t>
      </w:r>
      <w:r>
        <w:rPr>
          <w:color w:val="3A383A"/>
          <w:w w:val="110"/>
        </w:rPr>
        <w:t>you</w:t>
      </w:r>
      <w:r>
        <w:rPr>
          <w:color w:val="3A383A"/>
          <w:spacing w:val="14"/>
          <w:w w:val="110"/>
        </w:rPr>
        <w:t> </w:t>
      </w:r>
      <w:r>
        <w:rPr>
          <w:color w:val="3A383A"/>
          <w:w w:val="110"/>
        </w:rPr>
        <w:t>are</w:t>
      </w:r>
      <w:r>
        <w:rPr>
          <w:color w:val="3A383A"/>
          <w:spacing w:val="19"/>
          <w:w w:val="110"/>
        </w:rPr>
        <w:t> </w:t>
      </w:r>
      <w:r>
        <w:rPr>
          <w:color w:val="3A383A"/>
          <w:w w:val="110"/>
        </w:rPr>
        <w:t>unfamiliar</w:t>
      </w:r>
      <w:r>
        <w:rPr>
          <w:color w:val="3A383A"/>
          <w:spacing w:val="-3"/>
          <w:w w:val="110"/>
        </w:rPr>
        <w:t> </w:t>
      </w:r>
      <w:r>
        <w:rPr>
          <w:color w:val="3A383A"/>
          <w:w w:val="110"/>
        </w:rPr>
        <w:t>with</w:t>
      </w:r>
      <w:r>
        <w:rPr>
          <w:color w:val="3A383A"/>
          <w:spacing w:val="-2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-7"/>
          <w:w w:val="110"/>
        </w:rPr>
        <w:t> </w:t>
      </w:r>
      <w:r>
        <w:rPr>
          <w:color w:val="3A383A"/>
          <w:w w:val="110"/>
        </w:rPr>
        <w:t>statute</w:t>
      </w:r>
      <w:r>
        <w:rPr>
          <w:color w:val="3A383A"/>
          <w:spacing w:val="-20"/>
          <w:w w:val="110"/>
        </w:rPr>
        <w:t> </w:t>
      </w:r>
      <w:r>
        <w:rPr>
          <w:color w:val="3A383A"/>
          <w:w w:val="110"/>
        </w:rPr>
        <w:t>or</w:t>
      </w:r>
      <w:r>
        <w:rPr>
          <w:color w:val="3A383A"/>
          <w:spacing w:val="-8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-7"/>
          <w:w w:val="110"/>
        </w:rPr>
        <w:t> </w:t>
      </w:r>
      <w:r>
        <w:rPr>
          <w:color w:val="3A383A"/>
          <w:w w:val="110"/>
        </w:rPr>
        <w:t>cases</w:t>
      </w:r>
      <w:r>
        <w:rPr>
          <w:color w:val="3A383A"/>
          <w:spacing w:val="-23"/>
          <w:w w:val="110"/>
        </w:rPr>
        <w:t> </w:t>
      </w:r>
      <w:r>
        <w:rPr>
          <w:color w:val="3A383A"/>
          <w:w w:val="110"/>
        </w:rPr>
        <w:t>gov­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erning it, however, you can use narrow search terms to find some worth­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while</w:t>
      </w:r>
      <w:r>
        <w:rPr>
          <w:color w:val="3A383A"/>
          <w:spacing w:val="-9"/>
          <w:w w:val="115"/>
        </w:rPr>
        <w:t> </w:t>
      </w:r>
      <w:r>
        <w:rPr>
          <w:color w:val="3A383A"/>
          <w:w w:val="115"/>
        </w:rPr>
        <w:t>background</w:t>
      </w:r>
      <w:r>
        <w:rPr>
          <w:color w:val="3A383A"/>
          <w:spacing w:val="3"/>
          <w:w w:val="115"/>
        </w:rPr>
        <w:t> </w:t>
      </w:r>
      <w:r>
        <w:rPr>
          <w:color w:val="3A383A"/>
          <w:w w:val="115"/>
        </w:rPr>
        <w:t>reading.</w:t>
      </w:r>
    </w:p>
    <w:p>
      <w:pPr>
        <w:pStyle w:val="BodyText"/>
        <w:spacing w:line="235" w:lineRule="auto"/>
        <w:ind w:left="691" w:right="132" w:firstLine="430"/>
        <w:jc w:val="both"/>
      </w:pPr>
      <w:r>
        <w:rPr>
          <w:color w:val="3A383A"/>
          <w:w w:val="110"/>
          <w:sz w:val="21"/>
        </w:rPr>
        <w:t>If </w:t>
      </w:r>
      <w:r>
        <w:rPr>
          <w:color w:val="3A383A"/>
          <w:w w:val="110"/>
        </w:rPr>
        <w:t>your "under" dauses are even broader, with such phrases as "under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the First Amendment" or "under state and federal employment law," you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are obviously pretty unfamiliar with the narrow legal issue that your case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presents. In that situation, go to secondary sources first. Do some general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background reading by conducting Internet research, by looking for rel­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evant encyclopedia entries, or by reading American Law Reports or law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review</w:t>
      </w:r>
      <w:r>
        <w:rPr>
          <w:color w:val="3A383A"/>
          <w:spacing w:val="-16"/>
          <w:w w:val="110"/>
        </w:rPr>
        <w:t> </w:t>
      </w:r>
      <w:r>
        <w:rPr>
          <w:color w:val="3A383A"/>
          <w:w w:val="110"/>
        </w:rPr>
        <w:t>articles.</w:t>
      </w:r>
    </w:p>
    <w:p>
      <w:pPr>
        <w:pStyle w:val="BodyText"/>
        <w:spacing w:line="232" w:lineRule="auto"/>
        <w:ind w:left="627" w:right="153" w:firstLine="430"/>
        <w:jc w:val="both"/>
      </w:pPr>
      <w:r>
        <w:rPr>
          <w:color w:val="3A383A"/>
          <w:w w:val="110"/>
        </w:rPr>
        <w:t>Although a search for law review articles in an online database may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generate a high number of "hits," remember that unlike case names, law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review titles instantly reveal their legal significance. Spending ten minutes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scanning  through  a hundred or  more titles may result in  finding a title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that is exactly on point. Conducting this kind of background reading can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help you recognize valid authorities both by teaching you the key terms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relevant to your client's legal issues and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by giving you a broader under­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standing of relevant categories of facts and authorities in a particular area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of</w:t>
      </w:r>
      <w:r>
        <w:rPr>
          <w:color w:val="3A383A"/>
          <w:spacing w:val="-3"/>
          <w:w w:val="110"/>
        </w:rPr>
        <w:t> </w:t>
      </w:r>
      <w:r>
        <w:rPr>
          <w:color w:val="3A383A"/>
          <w:w w:val="110"/>
        </w:rPr>
        <w:t>law.</w:t>
      </w:r>
    </w:p>
    <w:p>
      <w:pPr>
        <w:pStyle w:val="BodyText"/>
        <w:spacing w:line="237" w:lineRule="auto" w:before="27"/>
        <w:ind w:left="549" w:right="187" w:firstLine="453"/>
        <w:jc w:val="both"/>
      </w:pPr>
      <w:r>
        <w:rPr>
          <w:color w:val="3A383A"/>
          <w:w w:val="110"/>
        </w:rPr>
        <w:t>Once you have identified or acquired the needed background informa­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tion, tentatively identify ideal and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practical authorities. Identifying ideal</w:t>
      </w:r>
      <w:r>
        <w:rPr>
          <w:color w:val="3A383A"/>
          <w:spacing w:val="1"/>
          <w:w w:val="110"/>
        </w:rPr>
        <w:t> </w:t>
      </w:r>
      <w:r>
        <w:rPr>
          <w:color w:val="3A383A"/>
          <w:spacing w:val="-1"/>
          <w:w w:val="115"/>
        </w:rPr>
        <w:t>authority is simple: It </w:t>
      </w:r>
      <w:r>
        <w:rPr>
          <w:color w:val="3A383A"/>
          <w:w w:val="115"/>
        </w:rPr>
        <w:t>would be great to find a mandatory authority that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dictates a decision in your favor, whether that authority is a statute, a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constitutional provision, or an on-point case. Finding your ideal author·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0"/>
        </w:rPr>
        <w:t>ity may be difficult, because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United States Supreme Court and other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courts of last resort frequently take up issues that they haven't decided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before.</w:t>
      </w:r>
      <w:r>
        <w:rPr>
          <w:color w:val="3A383A"/>
          <w:spacing w:val="-17"/>
          <w:w w:val="115"/>
        </w:rPr>
        <w:t> </w:t>
      </w:r>
      <w:r>
        <w:rPr>
          <w:color w:val="3A383A"/>
          <w:w w:val="115"/>
        </w:rPr>
        <w:t>Even</w:t>
      </w:r>
      <w:r>
        <w:rPr>
          <w:color w:val="3A383A"/>
          <w:spacing w:val="-3"/>
          <w:w w:val="115"/>
        </w:rPr>
        <w:t> </w:t>
      </w:r>
      <w:r>
        <w:rPr>
          <w:color w:val="3A383A"/>
          <w:w w:val="115"/>
        </w:rPr>
        <w:t>if</w:t>
      </w:r>
      <w:r>
        <w:rPr>
          <w:color w:val="3A383A"/>
          <w:spacing w:val="-7"/>
          <w:w w:val="115"/>
        </w:rPr>
        <w:t> </w:t>
      </w:r>
      <w:r>
        <w:rPr>
          <w:color w:val="3A383A"/>
          <w:w w:val="115"/>
        </w:rPr>
        <w:t>you</w:t>
      </w:r>
      <w:r>
        <w:rPr>
          <w:color w:val="3A383A"/>
          <w:spacing w:val="-1"/>
          <w:w w:val="115"/>
        </w:rPr>
        <w:t> </w:t>
      </w:r>
      <w:r>
        <w:rPr>
          <w:color w:val="3A383A"/>
          <w:w w:val="115"/>
        </w:rPr>
        <w:t>are</w:t>
      </w:r>
      <w:r>
        <w:rPr>
          <w:color w:val="3A383A"/>
          <w:spacing w:val="5"/>
          <w:w w:val="115"/>
        </w:rPr>
        <w:t> </w:t>
      </w:r>
      <w:r>
        <w:rPr>
          <w:color w:val="3A383A"/>
          <w:w w:val="115"/>
        </w:rPr>
        <w:t>writing</w:t>
      </w:r>
      <w:r>
        <w:rPr>
          <w:color w:val="3A383A"/>
          <w:spacing w:val="-7"/>
          <w:w w:val="115"/>
        </w:rPr>
        <w:t> </w:t>
      </w:r>
      <w:r>
        <w:rPr>
          <w:color w:val="3A383A"/>
          <w:w w:val="115"/>
        </w:rPr>
        <w:t>to</w:t>
      </w:r>
      <w:r>
        <w:rPr>
          <w:color w:val="3A383A"/>
          <w:spacing w:val="-10"/>
          <w:w w:val="115"/>
        </w:rPr>
        <w:t> </w:t>
      </w:r>
      <w:r>
        <w:rPr>
          <w:color w:val="3A383A"/>
          <w:w w:val="115"/>
        </w:rPr>
        <w:t>a</w:t>
      </w:r>
      <w:r>
        <w:rPr>
          <w:color w:val="3A383A"/>
          <w:spacing w:val="8"/>
          <w:w w:val="115"/>
        </w:rPr>
        <w:t> </w:t>
      </w:r>
      <w:r>
        <w:rPr>
          <w:color w:val="3A383A"/>
          <w:w w:val="115"/>
        </w:rPr>
        <w:t>trial</w:t>
      </w:r>
      <w:r>
        <w:rPr>
          <w:color w:val="3A383A"/>
          <w:spacing w:val="-17"/>
          <w:w w:val="115"/>
        </w:rPr>
        <w:t> </w:t>
      </w:r>
      <w:r>
        <w:rPr>
          <w:color w:val="3A383A"/>
          <w:w w:val="115"/>
        </w:rPr>
        <w:t>court,</w:t>
      </w:r>
      <w:r>
        <w:rPr>
          <w:color w:val="3A383A"/>
          <w:spacing w:val="-2"/>
          <w:w w:val="115"/>
        </w:rPr>
        <w:t> </w:t>
      </w:r>
      <w:r>
        <w:rPr>
          <w:color w:val="3A383A"/>
          <w:w w:val="115"/>
        </w:rPr>
        <w:t>however, you</w:t>
      </w:r>
      <w:r>
        <w:rPr>
          <w:color w:val="3A383A"/>
          <w:spacing w:val="9"/>
          <w:w w:val="115"/>
        </w:rPr>
        <w:t> </w:t>
      </w:r>
      <w:r>
        <w:rPr>
          <w:color w:val="3A383A"/>
          <w:w w:val="115"/>
        </w:rPr>
        <w:t>should</w:t>
      </w:r>
      <w:r>
        <w:rPr>
          <w:color w:val="3A383A"/>
          <w:spacing w:val="-4"/>
          <w:w w:val="115"/>
        </w:rPr>
        <w:t> </w:t>
      </w:r>
      <w:r>
        <w:rPr>
          <w:color w:val="3A383A"/>
          <w:w w:val="115"/>
        </w:rPr>
        <w:t>also</w:t>
      </w:r>
    </w:p>
    <w:p>
      <w:pPr>
        <w:spacing w:after="0" w:line="237" w:lineRule="auto"/>
        <w:jc w:val="both"/>
        <w:sectPr>
          <w:pgSz w:w="9760" w:h="13800"/>
          <w:pgMar w:header="376" w:footer="0" w:top="560" w:bottom="0" w:left="13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35" w:lineRule="auto"/>
        <w:ind w:left="116" w:right="320" w:hanging="6"/>
        <w:jc w:val="both"/>
      </w:pPr>
      <w:r>
        <w:rPr>
          <w:color w:val="3B3A3B"/>
          <w:w w:val="110"/>
        </w:rPr>
        <w:t>consider what nonideal or practical authorities would support your argu­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ment</w:t>
      </w:r>
      <w:r>
        <w:rPr>
          <w:color w:val="3B3A3B"/>
          <w:spacing w:val="-13"/>
          <w:w w:val="110"/>
        </w:rPr>
        <w:t> </w:t>
      </w:r>
      <w:r>
        <w:rPr>
          <w:color w:val="3B3A3B"/>
          <w:w w:val="110"/>
        </w:rPr>
        <w:t>and</w:t>
      </w:r>
      <w:r>
        <w:rPr>
          <w:color w:val="3B3A3B"/>
          <w:spacing w:val="14"/>
          <w:w w:val="110"/>
        </w:rPr>
        <w:t> </w:t>
      </w:r>
      <w:r>
        <w:rPr>
          <w:color w:val="3B3A3B"/>
          <w:w w:val="110"/>
        </w:rPr>
        <w:t>be</w:t>
      </w:r>
      <w:r>
        <w:rPr>
          <w:color w:val="3B3A3B"/>
          <w:spacing w:val="-20"/>
          <w:w w:val="110"/>
        </w:rPr>
        <w:t> </w:t>
      </w:r>
      <w:r>
        <w:rPr>
          <w:color w:val="3B3A3B"/>
          <w:w w:val="110"/>
        </w:rPr>
        <w:t>acceptable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to</w:t>
      </w:r>
      <w:r>
        <w:rPr>
          <w:color w:val="3B3A3B"/>
          <w:spacing w:val="11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27"/>
          <w:w w:val="110"/>
        </w:rPr>
        <w:t> </w:t>
      </w:r>
      <w:r>
        <w:rPr>
          <w:color w:val="3B3A3B"/>
          <w:w w:val="110"/>
        </w:rPr>
        <w:t>court.</w:t>
      </w:r>
    </w:p>
    <w:p>
      <w:pPr>
        <w:pStyle w:val="BodyText"/>
        <w:spacing w:line="232" w:lineRule="auto" w:before="4"/>
        <w:ind w:left="110" w:right="301" w:firstLine="348"/>
        <w:jc w:val="both"/>
      </w:pPr>
      <w:r>
        <w:rPr>
          <w:color w:val="3B3A3B"/>
          <w:w w:val="110"/>
        </w:rPr>
        <w:t>To identify practical authorities, broaden your horizons. </w:t>
      </w:r>
      <w:r>
        <w:rPr>
          <w:color w:val="3B3A3B"/>
          <w:w w:val="110"/>
          <w:sz w:val="22"/>
        </w:rPr>
        <w:t>If </w:t>
      </w:r>
      <w:r>
        <w:rPr>
          <w:color w:val="3B3A3B"/>
          <w:w w:val="110"/>
        </w:rPr>
        <w:t>your client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is a nun who was bitten byan aardvark, don't pass by a case about an ante­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10"/>
        </w:rPr>
        <w:t>lope that bita priest. That is, instead of looking at the narrow facts of your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10"/>
        </w:rPr>
        <w:t>case,</w:t>
      </w:r>
      <w:r>
        <w:rPr>
          <w:color w:val="3B3A3B"/>
          <w:spacing w:val="-2"/>
          <w:w w:val="110"/>
        </w:rPr>
        <w:t> </w:t>
      </w:r>
      <w:r>
        <w:rPr>
          <w:color w:val="3B3A3B"/>
          <w:w w:val="110"/>
        </w:rPr>
        <w:t>look</w:t>
      </w:r>
      <w:r>
        <w:rPr>
          <w:color w:val="3B3A3B"/>
          <w:spacing w:val="-14"/>
          <w:w w:val="110"/>
        </w:rPr>
        <w:t> </w:t>
      </w:r>
      <w:r>
        <w:rPr>
          <w:color w:val="3B3A3B"/>
          <w:w w:val="110"/>
        </w:rPr>
        <w:t>for</w:t>
      </w:r>
      <w:r>
        <w:rPr>
          <w:color w:val="3B3A3B"/>
          <w:spacing w:val="-2"/>
          <w:w w:val="110"/>
        </w:rPr>
        <w:t> </w:t>
      </w:r>
      <w:r>
        <w:rPr>
          <w:color w:val="3B3A3B"/>
          <w:w w:val="110"/>
        </w:rPr>
        <w:t>legally</w:t>
      </w:r>
      <w:r>
        <w:rPr>
          <w:color w:val="3B3A3B"/>
          <w:spacing w:val="-23"/>
          <w:w w:val="110"/>
        </w:rPr>
        <w:t> </w:t>
      </w:r>
      <w:r>
        <w:rPr>
          <w:color w:val="3B3A3B"/>
          <w:w w:val="110"/>
        </w:rPr>
        <w:t>significant</w:t>
      </w:r>
      <w:r>
        <w:rPr>
          <w:color w:val="3B3A3B"/>
          <w:spacing w:val="-1"/>
          <w:w w:val="110"/>
        </w:rPr>
        <w:t> </w:t>
      </w:r>
      <w:r>
        <w:rPr>
          <w:color w:val="3B3A3B"/>
          <w:w w:val="110"/>
        </w:rPr>
        <w:t>categories</w:t>
      </w:r>
      <w:r>
        <w:rPr>
          <w:color w:val="3B3A3B"/>
          <w:spacing w:val="-3"/>
          <w:w w:val="110"/>
        </w:rPr>
        <w:t> </w:t>
      </w:r>
      <w:r>
        <w:rPr>
          <w:color w:val="3B3A3B"/>
          <w:w w:val="110"/>
        </w:rPr>
        <w:t>that</w:t>
      </w:r>
      <w:r>
        <w:rPr>
          <w:color w:val="3B3A3B"/>
          <w:spacing w:val="-6"/>
          <w:w w:val="110"/>
        </w:rPr>
        <w:t> </w:t>
      </w:r>
      <w:r>
        <w:rPr>
          <w:color w:val="3B3A3B"/>
          <w:w w:val="110"/>
        </w:rPr>
        <w:t>youcan</w:t>
      </w:r>
      <w:r>
        <w:rPr>
          <w:color w:val="3B3A3B"/>
          <w:spacing w:val="-15"/>
          <w:w w:val="110"/>
        </w:rPr>
        <w:t> </w:t>
      </w:r>
      <w:r>
        <w:rPr>
          <w:color w:val="3B3A3B"/>
          <w:w w:val="110"/>
        </w:rPr>
        <w:t>use</w:t>
      </w:r>
      <w:r>
        <w:rPr>
          <w:color w:val="3B3A3B"/>
          <w:spacing w:val="-16"/>
          <w:w w:val="110"/>
        </w:rPr>
        <w:t> </w:t>
      </w:r>
      <w:r>
        <w:rPr>
          <w:color w:val="3B3A3B"/>
          <w:w w:val="110"/>
        </w:rPr>
        <w:t>to</w:t>
      </w:r>
      <w:r>
        <w:rPr>
          <w:color w:val="3B3A3B"/>
          <w:spacing w:val="7"/>
          <w:w w:val="110"/>
        </w:rPr>
        <w:t> </w:t>
      </w:r>
      <w:r>
        <w:rPr>
          <w:color w:val="3B3A3B"/>
          <w:w w:val="110"/>
        </w:rPr>
        <w:t>characterize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the parties, events, or issues in your case and that will help you recognize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potentially</w:t>
      </w:r>
      <w:r>
        <w:rPr>
          <w:color w:val="3B3A3B"/>
          <w:spacing w:val="4"/>
          <w:w w:val="110"/>
        </w:rPr>
        <w:t> </w:t>
      </w:r>
      <w:r>
        <w:rPr>
          <w:color w:val="3B3A3B"/>
          <w:w w:val="110"/>
        </w:rPr>
        <w:t>relevant</w:t>
      </w:r>
      <w:r>
        <w:rPr>
          <w:color w:val="3B3A3B"/>
          <w:spacing w:val="2"/>
          <w:w w:val="110"/>
        </w:rPr>
        <w:t> </w:t>
      </w:r>
      <w:r>
        <w:rPr>
          <w:color w:val="3B3A3B"/>
          <w:w w:val="110"/>
        </w:rPr>
        <w:t>authorities.</w:t>
      </w:r>
    </w:p>
    <w:p>
      <w:pPr>
        <w:pStyle w:val="BodyText"/>
        <w:spacing w:before="10"/>
        <w:rPr>
          <w:sz w:val="33"/>
        </w:rPr>
      </w:pPr>
    </w:p>
    <w:p>
      <w:pPr>
        <w:spacing w:before="0"/>
        <w:ind w:left="483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B3A3B"/>
          <w:w w:val="105"/>
          <w:sz w:val="28"/>
        </w:rPr>
        <w:t>3.2.3</w:t>
      </w:r>
    </w:p>
    <w:p>
      <w:pPr>
        <w:spacing w:before="62"/>
        <w:ind w:left="470" w:right="0" w:firstLine="0"/>
        <w:jc w:val="left"/>
        <w:rPr>
          <w:rFonts w:ascii="Arial"/>
          <w:sz w:val="21"/>
        </w:rPr>
      </w:pPr>
      <w:r>
        <w:rPr>
          <w:rFonts w:ascii="Arial"/>
          <w:color w:val="3B3A3B"/>
          <w:w w:val="105"/>
          <w:sz w:val="21"/>
        </w:rPr>
        <w:t>THE</w:t>
      </w:r>
      <w:r>
        <w:rPr>
          <w:rFonts w:ascii="Arial"/>
          <w:color w:val="3B3A3B"/>
          <w:spacing w:val="51"/>
          <w:w w:val="105"/>
          <w:sz w:val="21"/>
        </w:rPr>
        <w:t> </w:t>
      </w:r>
      <w:r>
        <w:rPr>
          <w:rFonts w:ascii="Arial"/>
          <w:color w:val="3B3A3B"/>
          <w:w w:val="105"/>
          <w:sz w:val="21"/>
        </w:rPr>
        <w:t>ABSTRACTION</w:t>
      </w:r>
      <w:r>
        <w:rPr>
          <w:rFonts w:ascii="Arial"/>
          <w:color w:val="3B3A3B"/>
          <w:spacing w:val="45"/>
          <w:w w:val="105"/>
          <w:sz w:val="21"/>
        </w:rPr>
        <w:t> </w:t>
      </w:r>
      <w:r>
        <w:rPr>
          <w:rFonts w:ascii="Arial"/>
          <w:color w:val="3B3A3B"/>
          <w:w w:val="105"/>
          <w:sz w:val="21"/>
        </w:rPr>
        <w:t>LADDER</w:t>
      </w:r>
    </w:p>
    <w:p>
      <w:pPr>
        <w:pStyle w:val="BodyText"/>
        <w:spacing w:line="232" w:lineRule="auto" w:before="151"/>
        <w:ind w:left="107" w:right="245" w:firstLine="364"/>
        <w:jc w:val="both"/>
      </w:pPr>
      <w:r>
        <w:rPr>
          <w:color w:val="3B3A3B"/>
          <w:w w:val="105"/>
        </w:rPr>
        <w:t>Many legal writers use a theoretical device called  the  </w:t>
      </w:r>
      <w:r>
        <w:rPr>
          <w:i/>
          <w:color w:val="3B3A3B"/>
          <w:w w:val="105"/>
          <w:sz w:val="22"/>
        </w:rPr>
        <w:t>abstraction ladder</w:t>
      </w:r>
      <w:r>
        <w:rPr>
          <w:i/>
          <w:color w:val="3B3A3B"/>
          <w:spacing w:val="1"/>
          <w:w w:val="105"/>
          <w:sz w:val="22"/>
        </w:rPr>
        <w:t> </w:t>
      </w:r>
      <w:r>
        <w:rPr>
          <w:color w:val="3B3A3B"/>
          <w:w w:val="110"/>
        </w:rPr>
        <w:t>to help them identify relevant categories. The abstraction ladder is based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on the concept that everything in the world can be thought of at various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levels of abstraction or concreteness. Labeling case facts at different levels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10"/>
        </w:rPr>
        <w:t>of abstraction can help writers and readers understand legally significant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similarities</w:t>
      </w:r>
      <w:r>
        <w:rPr>
          <w:color w:val="3B3A3B"/>
          <w:spacing w:val="17"/>
          <w:w w:val="110"/>
        </w:rPr>
        <w:t> </w:t>
      </w:r>
      <w:r>
        <w:rPr>
          <w:color w:val="3B3A3B"/>
          <w:w w:val="110"/>
        </w:rPr>
        <w:t>and</w:t>
      </w:r>
      <w:r>
        <w:rPr>
          <w:color w:val="3B3A3B"/>
          <w:spacing w:val="38"/>
          <w:w w:val="110"/>
        </w:rPr>
        <w:t> </w:t>
      </w:r>
      <w:r>
        <w:rPr>
          <w:color w:val="3B3A3B"/>
          <w:w w:val="110"/>
        </w:rPr>
        <w:t>distinctions</w:t>
      </w:r>
      <w:r>
        <w:rPr>
          <w:color w:val="3B3A3B"/>
          <w:spacing w:val="5"/>
          <w:w w:val="110"/>
        </w:rPr>
        <w:t> </w:t>
      </w:r>
      <w:r>
        <w:rPr>
          <w:color w:val="3B3A3B"/>
          <w:w w:val="110"/>
        </w:rPr>
        <w:t>that</w:t>
      </w:r>
      <w:r>
        <w:rPr>
          <w:color w:val="3B3A3B"/>
          <w:spacing w:val="19"/>
          <w:w w:val="110"/>
        </w:rPr>
        <w:t> </w:t>
      </w:r>
      <w:r>
        <w:rPr>
          <w:color w:val="3B3A3B"/>
          <w:w w:val="110"/>
        </w:rPr>
        <w:t>might</w:t>
      </w:r>
      <w:r>
        <w:rPr>
          <w:color w:val="3B3A3B"/>
          <w:spacing w:val="10"/>
          <w:w w:val="110"/>
        </w:rPr>
        <w:t> </w:t>
      </w:r>
      <w:r>
        <w:rPr>
          <w:color w:val="3B3A3B"/>
          <w:w w:val="110"/>
        </w:rPr>
        <w:t>not</w:t>
      </w:r>
      <w:r>
        <w:rPr>
          <w:color w:val="3B3A3B"/>
          <w:spacing w:val="23"/>
          <w:w w:val="110"/>
        </w:rPr>
        <w:t> </w:t>
      </w:r>
      <w:r>
        <w:rPr>
          <w:color w:val="3B3A3B"/>
          <w:w w:val="110"/>
        </w:rPr>
        <w:t>be</w:t>
      </w:r>
      <w:r>
        <w:rPr>
          <w:color w:val="3B3A3B"/>
          <w:spacing w:val="-9"/>
          <w:w w:val="110"/>
        </w:rPr>
        <w:t> </w:t>
      </w:r>
      <w:r>
        <w:rPr>
          <w:color w:val="3B3A3B"/>
          <w:w w:val="110"/>
        </w:rPr>
        <w:t>obvious</w:t>
      </w:r>
      <w:r>
        <w:rPr>
          <w:color w:val="3B3A3B"/>
          <w:spacing w:val="-7"/>
          <w:w w:val="110"/>
        </w:rPr>
        <w:t> </w:t>
      </w:r>
      <w:r>
        <w:rPr>
          <w:color w:val="3B3A3B"/>
          <w:w w:val="110"/>
        </w:rPr>
        <w:t>at</w:t>
      </w:r>
      <w:r>
        <w:rPr>
          <w:color w:val="3B3A3B"/>
          <w:spacing w:val="27"/>
          <w:w w:val="110"/>
        </w:rPr>
        <w:t> </w:t>
      </w:r>
      <w:r>
        <w:rPr>
          <w:color w:val="3B3A3B"/>
          <w:w w:val="110"/>
        </w:rPr>
        <w:t>first glance.</w:t>
      </w:r>
    </w:p>
    <w:p>
      <w:pPr>
        <w:pStyle w:val="BodyText"/>
        <w:spacing w:line="235" w:lineRule="auto" w:before="9"/>
        <w:ind w:left="107" w:right="203" w:firstLine="374"/>
        <w:jc w:val="both"/>
      </w:pPr>
      <w:r>
        <w:rPr>
          <w:color w:val="3B3A3B"/>
          <w:w w:val="115"/>
        </w:rPr>
        <w:t>First, let's define our terms. The word </w:t>
      </w:r>
      <w:r>
        <w:rPr>
          <w:i/>
          <w:color w:val="3B3A3B"/>
          <w:w w:val="115"/>
          <w:sz w:val="22"/>
        </w:rPr>
        <w:t>abstract </w:t>
      </w:r>
      <w:r>
        <w:rPr>
          <w:color w:val="3B3A3B"/>
          <w:w w:val="115"/>
        </w:rPr>
        <w:t>has several meanings</w:t>
      </w:r>
      <w:r>
        <w:rPr>
          <w:color w:val="3B3A3B"/>
          <w:spacing w:val="-64"/>
          <w:w w:val="115"/>
        </w:rPr>
        <w:t> </w:t>
      </w:r>
      <w:r>
        <w:rPr>
          <w:color w:val="3B3A3B"/>
          <w:w w:val="110"/>
        </w:rPr>
        <w:t>and is sometimes hard for people to understand. It is used earlier in this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chapter to talk about a written summary of the  information in the  record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5"/>
        </w:rPr>
        <w:t>or joint appendix. The meaning of </w:t>
      </w:r>
      <w:r>
        <w:rPr>
          <w:i/>
          <w:color w:val="3B3A3B"/>
          <w:w w:val="115"/>
          <w:sz w:val="22"/>
        </w:rPr>
        <w:t>abstract </w:t>
      </w:r>
      <w:r>
        <w:rPr>
          <w:color w:val="3B3A3B"/>
          <w:w w:val="115"/>
        </w:rPr>
        <w:t>in the abstraction ladder has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0"/>
        </w:rPr>
        <w:t>perhaps a more familiar definition. In this sense, art is abstract if two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peo­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5"/>
        </w:rPr>
        <w:t>ple</w:t>
      </w:r>
      <w:r>
        <w:rPr>
          <w:color w:val="3B3A3B"/>
          <w:spacing w:val="4"/>
          <w:w w:val="115"/>
        </w:rPr>
        <w:t> </w:t>
      </w:r>
      <w:r>
        <w:rPr>
          <w:color w:val="3B3A3B"/>
          <w:w w:val="115"/>
        </w:rPr>
        <w:t>could</w:t>
      </w:r>
      <w:r>
        <w:rPr>
          <w:color w:val="3B3A3B"/>
          <w:spacing w:val="26"/>
          <w:w w:val="115"/>
        </w:rPr>
        <w:t> </w:t>
      </w:r>
      <w:r>
        <w:rPr>
          <w:color w:val="3B3A3B"/>
          <w:w w:val="115"/>
        </w:rPr>
        <w:t>see</w:t>
      </w:r>
      <w:r>
        <w:rPr>
          <w:color w:val="3B3A3B"/>
          <w:spacing w:val="4"/>
          <w:w w:val="115"/>
        </w:rPr>
        <w:t> </w:t>
      </w:r>
      <w:r>
        <w:rPr>
          <w:color w:val="3B3A3B"/>
          <w:w w:val="115"/>
        </w:rPr>
        <w:t>different</w:t>
      </w:r>
      <w:r>
        <w:rPr>
          <w:color w:val="3B3A3B"/>
          <w:spacing w:val="32"/>
          <w:w w:val="115"/>
        </w:rPr>
        <w:t> </w:t>
      </w:r>
      <w:r>
        <w:rPr>
          <w:color w:val="3B3A3B"/>
          <w:w w:val="115"/>
        </w:rPr>
        <w:t>things</w:t>
      </w:r>
      <w:r>
        <w:rPr>
          <w:color w:val="3B3A3B"/>
          <w:spacing w:val="16"/>
          <w:w w:val="115"/>
        </w:rPr>
        <w:t> </w:t>
      </w:r>
      <w:r>
        <w:rPr>
          <w:color w:val="3B3A3B"/>
          <w:w w:val="115"/>
        </w:rPr>
        <w:t>in</w:t>
      </w:r>
      <w:r>
        <w:rPr>
          <w:color w:val="3B3A3B"/>
          <w:spacing w:val="26"/>
          <w:w w:val="115"/>
        </w:rPr>
        <w:t> </w:t>
      </w:r>
      <w:r>
        <w:rPr>
          <w:color w:val="3B3A3B"/>
          <w:w w:val="115"/>
        </w:rPr>
        <w:t>the</w:t>
      </w:r>
      <w:r>
        <w:rPr>
          <w:color w:val="3B3A3B"/>
          <w:spacing w:val="25"/>
          <w:w w:val="115"/>
        </w:rPr>
        <w:t> </w:t>
      </w:r>
      <w:r>
        <w:rPr>
          <w:color w:val="3B3A3B"/>
          <w:w w:val="115"/>
        </w:rPr>
        <w:t>same</w:t>
      </w:r>
      <w:r>
        <w:rPr>
          <w:color w:val="3B3A3B"/>
          <w:spacing w:val="23"/>
          <w:w w:val="115"/>
        </w:rPr>
        <w:t> </w:t>
      </w:r>
      <w:r>
        <w:rPr>
          <w:color w:val="3B3A3B"/>
          <w:w w:val="115"/>
        </w:rPr>
        <w:t>painting.</w:t>
      </w:r>
      <w:r>
        <w:rPr>
          <w:color w:val="3B3A3B"/>
          <w:spacing w:val="27"/>
          <w:w w:val="115"/>
        </w:rPr>
        <w:t> </w:t>
      </w:r>
      <w:r>
        <w:rPr>
          <w:color w:val="3B3A3B"/>
          <w:w w:val="115"/>
        </w:rPr>
        <w:t>A</w:t>
      </w:r>
      <w:r>
        <w:rPr>
          <w:color w:val="3B3A3B"/>
          <w:spacing w:val="2"/>
          <w:w w:val="115"/>
        </w:rPr>
        <w:t> </w:t>
      </w:r>
      <w:r>
        <w:rPr>
          <w:color w:val="3B3A3B"/>
          <w:w w:val="115"/>
        </w:rPr>
        <w:t>word</w:t>
      </w:r>
      <w:r>
        <w:rPr>
          <w:color w:val="3B3A3B"/>
          <w:spacing w:val="23"/>
          <w:w w:val="115"/>
        </w:rPr>
        <w:t> </w:t>
      </w:r>
      <w:r>
        <w:rPr>
          <w:color w:val="3B3A3B"/>
          <w:w w:val="115"/>
        </w:rPr>
        <w:t>is</w:t>
      </w:r>
      <w:r>
        <w:rPr>
          <w:color w:val="3B3A3B"/>
          <w:spacing w:val="12"/>
          <w:w w:val="115"/>
        </w:rPr>
        <w:t> </w:t>
      </w:r>
      <w:r>
        <w:rPr>
          <w:color w:val="3B3A3B"/>
          <w:w w:val="115"/>
        </w:rPr>
        <w:t>abstract</w:t>
      </w:r>
      <w:r>
        <w:rPr>
          <w:color w:val="3B3A3B"/>
          <w:spacing w:val="-64"/>
          <w:w w:val="115"/>
        </w:rPr>
        <w:t> </w:t>
      </w:r>
      <w:r>
        <w:rPr>
          <w:color w:val="3B3A3B"/>
          <w:w w:val="115"/>
        </w:rPr>
        <w:t>if two people could perceive two (or more) different meanings from the</w:t>
      </w:r>
      <w:r>
        <w:rPr>
          <w:color w:val="3B3A3B"/>
          <w:spacing w:val="-64"/>
          <w:w w:val="115"/>
        </w:rPr>
        <w:t> </w:t>
      </w:r>
      <w:r>
        <w:rPr>
          <w:color w:val="3B3A3B"/>
          <w:w w:val="115"/>
        </w:rPr>
        <w:t>same</w:t>
      </w:r>
      <w:r>
        <w:rPr>
          <w:color w:val="3B3A3B"/>
          <w:spacing w:val="-11"/>
          <w:w w:val="115"/>
        </w:rPr>
        <w:t> </w:t>
      </w:r>
      <w:r>
        <w:rPr>
          <w:color w:val="3B3A3B"/>
          <w:w w:val="115"/>
        </w:rPr>
        <w:t>word.</w:t>
      </w:r>
    </w:p>
    <w:p>
      <w:pPr>
        <w:pStyle w:val="BodyText"/>
        <w:spacing w:line="236" w:lineRule="exact"/>
        <w:ind w:left="490"/>
        <w:jc w:val="both"/>
      </w:pPr>
      <w:r>
        <w:rPr>
          <w:color w:val="3B3A3B"/>
          <w:w w:val="110"/>
        </w:rPr>
        <w:t>For</w:t>
      </w:r>
      <w:r>
        <w:rPr>
          <w:color w:val="3B3A3B"/>
          <w:spacing w:val="-1"/>
          <w:w w:val="110"/>
        </w:rPr>
        <w:t> </w:t>
      </w:r>
      <w:r>
        <w:rPr>
          <w:color w:val="3B3A3B"/>
          <w:w w:val="110"/>
        </w:rPr>
        <w:t>example,</w:t>
      </w:r>
      <w:r>
        <w:rPr>
          <w:color w:val="3B3A3B"/>
          <w:spacing w:val="28"/>
          <w:w w:val="110"/>
        </w:rPr>
        <w:t> </w:t>
      </w:r>
      <w:r>
        <w:rPr>
          <w:color w:val="3B3A3B"/>
          <w:w w:val="110"/>
        </w:rPr>
        <w:t>if</w:t>
      </w:r>
      <w:r>
        <w:rPr>
          <w:color w:val="3B3A3B"/>
          <w:spacing w:val="16"/>
          <w:w w:val="110"/>
        </w:rPr>
        <w:t> </w:t>
      </w:r>
      <w:r>
        <w:rPr>
          <w:color w:val="3B3A3B"/>
          <w:w w:val="110"/>
        </w:rPr>
        <w:t>someone</w:t>
      </w:r>
      <w:r>
        <w:rPr>
          <w:color w:val="3B3A3B"/>
          <w:spacing w:val="6"/>
          <w:w w:val="110"/>
        </w:rPr>
        <w:t> </w:t>
      </w:r>
      <w:r>
        <w:rPr>
          <w:color w:val="3B3A3B"/>
          <w:w w:val="110"/>
        </w:rPr>
        <w:t>asked</w:t>
      </w:r>
      <w:r>
        <w:rPr>
          <w:color w:val="3B3A3B"/>
          <w:spacing w:val="30"/>
          <w:w w:val="110"/>
        </w:rPr>
        <w:t> </w:t>
      </w:r>
      <w:r>
        <w:rPr>
          <w:color w:val="3B3A3B"/>
          <w:w w:val="110"/>
        </w:rPr>
        <w:t>you</w:t>
      </w:r>
      <w:r>
        <w:rPr>
          <w:color w:val="3B3A3B"/>
          <w:spacing w:val="26"/>
          <w:w w:val="110"/>
        </w:rPr>
        <w:t> </w:t>
      </w:r>
      <w:r>
        <w:rPr>
          <w:color w:val="3B3A3B"/>
          <w:w w:val="110"/>
        </w:rPr>
        <w:t>what</w:t>
      </w:r>
      <w:r>
        <w:rPr>
          <w:color w:val="3B3A3B"/>
          <w:spacing w:val="21"/>
          <w:w w:val="110"/>
        </w:rPr>
        <w:t> </w:t>
      </w:r>
      <w:r>
        <w:rPr>
          <w:color w:val="3B3A3B"/>
          <w:w w:val="110"/>
        </w:rPr>
        <w:t>you</w:t>
      </w:r>
      <w:r>
        <w:rPr>
          <w:color w:val="3B3A3B"/>
          <w:spacing w:val="7"/>
          <w:w w:val="110"/>
        </w:rPr>
        <w:t> </w:t>
      </w:r>
      <w:r>
        <w:rPr>
          <w:color w:val="3B3A3B"/>
          <w:w w:val="110"/>
        </w:rPr>
        <w:t>did</w:t>
      </w:r>
      <w:r>
        <w:rPr>
          <w:color w:val="3B3A3B"/>
          <w:spacing w:val="15"/>
          <w:w w:val="110"/>
        </w:rPr>
        <w:t> </w:t>
      </w:r>
      <w:r>
        <w:rPr>
          <w:color w:val="3B3A3B"/>
          <w:w w:val="110"/>
        </w:rPr>
        <w:t>before</w:t>
      </w:r>
      <w:r>
        <w:rPr>
          <w:color w:val="3B3A3B"/>
          <w:spacing w:val="15"/>
          <w:w w:val="110"/>
        </w:rPr>
        <w:t> </w:t>
      </w:r>
      <w:r>
        <w:rPr>
          <w:color w:val="3B3A3B"/>
          <w:w w:val="110"/>
        </w:rPr>
        <w:t>you</w:t>
      </w:r>
      <w:r>
        <w:rPr>
          <w:color w:val="3B3A3B"/>
          <w:spacing w:val="20"/>
          <w:w w:val="110"/>
        </w:rPr>
        <w:t> </w:t>
      </w:r>
      <w:r>
        <w:rPr>
          <w:color w:val="3B3A3B"/>
          <w:w w:val="110"/>
        </w:rPr>
        <w:t>came</w:t>
      </w:r>
      <w:r>
        <w:rPr>
          <w:color w:val="3B3A3B"/>
          <w:spacing w:val="17"/>
          <w:w w:val="110"/>
        </w:rPr>
        <w:t> </w:t>
      </w:r>
      <w:r>
        <w:rPr>
          <w:color w:val="3B3A3B"/>
          <w:w w:val="110"/>
        </w:rPr>
        <w:t>in</w:t>
      </w:r>
    </w:p>
    <w:p>
      <w:pPr>
        <w:pStyle w:val="BodyText"/>
        <w:spacing w:line="232" w:lineRule="auto" w:before="5"/>
        <w:ind w:left="113" w:right="121" w:firstLine="12"/>
        <w:jc w:val="both"/>
      </w:pPr>
      <w:r>
        <w:rPr>
          <w:color w:val="3B3A3B"/>
          <w:w w:val="110"/>
        </w:rPr>
        <w:t>to school  or work this morning,  you might answer, somewhat  abstractly,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"I ate." Different people might conjure up different mental images of what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kind of food you had from your rather abstract reply. You might be a little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less abstract and say, "I had breakfast." Even with this description, some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people might picture yogurt, while others would think of bacon an4 eggs.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5"/>
        </w:rPr>
        <w:t>Or you could be a little more concrete and say, "l had some cereal." Or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0"/>
        </w:rPr>
        <w:t>even more concrete and say, "I had some Cheerios." Or you might be even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5"/>
        </w:rPr>
        <w:t>more concrete and say, "I had one and one quarter cups of multigrain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0"/>
        </w:rPr>
        <w:t>Cheerios and  three-quarters of a cup of skim milk." Thus, the words you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use to describe something can be placed on a ladder between the extremes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5"/>
        </w:rPr>
        <w:t>of "most abstract" and "most concrete." You might think of the ladder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0"/>
        </w:rPr>
        <w:t>growing wider as it grows taller; the more abstract something is, the more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5"/>
        </w:rPr>
        <w:t>other</w:t>
      </w:r>
      <w:r>
        <w:rPr>
          <w:color w:val="3B3A3B"/>
          <w:spacing w:val="-4"/>
          <w:w w:val="115"/>
        </w:rPr>
        <w:t> </w:t>
      </w:r>
      <w:r>
        <w:rPr>
          <w:color w:val="3B3A3B"/>
          <w:w w:val="115"/>
        </w:rPr>
        <w:t>things</w:t>
      </w:r>
      <w:r>
        <w:rPr>
          <w:color w:val="3B3A3B"/>
          <w:spacing w:val="-10"/>
          <w:w w:val="115"/>
        </w:rPr>
        <w:t> </w:t>
      </w:r>
      <w:r>
        <w:rPr>
          <w:color w:val="3B3A3B"/>
          <w:w w:val="115"/>
        </w:rPr>
        <w:t>share</w:t>
      </w:r>
      <w:r>
        <w:rPr>
          <w:color w:val="3B3A3B"/>
          <w:spacing w:val="-10"/>
          <w:w w:val="115"/>
        </w:rPr>
        <w:t> </w:t>
      </w:r>
      <w:r>
        <w:rPr>
          <w:color w:val="3B3A3B"/>
          <w:w w:val="115"/>
        </w:rPr>
        <w:t>the</w:t>
      </w:r>
      <w:r>
        <w:rPr>
          <w:color w:val="3B3A3B"/>
          <w:spacing w:val="6"/>
          <w:w w:val="115"/>
        </w:rPr>
        <w:t> </w:t>
      </w:r>
      <w:r>
        <w:rPr>
          <w:color w:val="3B3A3B"/>
          <w:w w:val="115"/>
        </w:rPr>
        <w:t>same</w:t>
      </w:r>
      <w:r>
        <w:rPr>
          <w:color w:val="3B3A3B"/>
          <w:spacing w:val="-10"/>
          <w:w w:val="115"/>
        </w:rPr>
        <w:t> </w:t>
      </w:r>
      <w:r>
        <w:rPr>
          <w:color w:val="3B3A3B"/>
          <w:w w:val="115"/>
        </w:rPr>
        <w:t>rung.</w:t>
      </w:r>
    </w:p>
    <w:p>
      <w:pPr>
        <w:pStyle w:val="BodyText"/>
        <w:spacing w:line="235" w:lineRule="auto"/>
        <w:ind w:left="127" w:right="99" w:firstLine="364"/>
        <w:jc w:val="both"/>
      </w:pPr>
      <w:r>
        <w:rPr>
          <w:color w:val="3B3A3B"/>
          <w:w w:val="115"/>
        </w:rPr>
        <w:t>Moving in the other direction, from most concrete to most abstract,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0"/>
        </w:rPr>
        <w:t>you can think of a cow by thinking of Bossy, a particular cow. Or you can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5"/>
        </w:rPr>
        <w:t>be a little more abstract and think of a Holstein. Or you can be a little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5"/>
        </w:rPr>
        <w:t>more</w:t>
      </w:r>
      <w:r>
        <w:rPr>
          <w:color w:val="3B3A3B"/>
          <w:spacing w:val="-4"/>
          <w:w w:val="115"/>
        </w:rPr>
        <w:t> </w:t>
      </w:r>
      <w:r>
        <w:rPr>
          <w:color w:val="3B3A3B"/>
          <w:w w:val="115"/>
        </w:rPr>
        <w:t>abstract</w:t>
      </w:r>
      <w:r>
        <w:rPr>
          <w:color w:val="3B3A3B"/>
          <w:spacing w:val="19"/>
          <w:w w:val="115"/>
        </w:rPr>
        <w:t> </w:t>
      </w:r>
      <w:r>
        <w:rPr>
          <w:color w:val="3B3A3B"/>
          <w:w w:val="115"/>
        </w:rPr>
        <w:t>and</w:t>
      </w:r>
      <w:r>
        <w:rPr>
          <w:color w:val="3B3A3B"/>
          <w:spacing w:val="55"/>
          <w:w w:val="115"/>
        </w:rPr>
        <w:t> </w:t>
      </w:r>
      <w:r>
        <w:rPr>
          <w:color w:val="3B3A3B"/>
          <w:w w:val="115"/>
        </w:rPr>
        <w:t>just</w:t>
      </w:r>
      <w:r>
        <w:rPr>
          <w:color w:val="3B3A3B"/>
          <w:spacing w:val="9"/>
          <w:w w:val="115"/>
        </w:rPr>
        <w:t> </w:t>
      </w:r>
      <w:r>
        <w:rPr>
          <w:color w:val="3B3A3B"/>
          <w:w w:val="115"/>
        </w:rPr>
        <w:t>think</w:t>
      </w:r>
      <w:r>
        <w:rPr>
          <w:color w:val="3B3A3B"/>
          <w:spacing w:val="7"/>
          <w:w w:val="115"/>
        </w:rPr>
        <w:t> </w:t>
      </w:r>
      <w:r>
        <w:rPr>
          <w:color w:val="3B3A3B"/>
          <w:w w:val="115"/>
        </w:rPr>
        <w:t>of</w:t>
      </w:r>
      <w:r>
        <w:rPr>
          <w:color w:val="3B3A3B"/>
          <w:spacing w:val="15"/>
          <w:w w:val="115"/>
        </w:rPr>
        <w:t> </w:t>
      </w:r>
      <w:r>
        <w:rPr>
          <w:color w:val="3B3A3B"/>
          <w:w w:val="115"/>
        </w:rPr>
        <w:t>cows</w:t>
      </w:r>
      <w:r>
        <w:rPr>
          <w:color w:val="3B3A3B"/>
          <w:spacing w:val="4"/>
          <w:w w:val="115"/>
        </w:rPr>
        <w:t> </w:t>
      </w:r>
      <w:r>
        <w:rPr>
          <w:color w:val="3B3A3B"/>
          <w:w w:val="115"/>
        </w:rPr>
        <w:t>in</w:t>
      </w:r>
      <w:r>
        <w:rPr>
          <w:color w:val="3B3A3B"/>
          <w:spacing w:val="22"/>
          <w:w w:val="115"/>
        </w:rPr>
        <w:t> </w:t>
      </w:r>
      <w:r>
        <w:rPr>
          <w:color w:val="3B3A3B"/>
          <w:w w:val="115"/>
        </w:rPr>
        <w:t>general.</w:t>
      </w:r>
      <w:r>
        <w:rPr>
          <w:color w:val="3B3A3B"/>
          <w:spacing w:val="9"/>
          <w:w w:val="115"/>
        </w:rPr>
        <w:t> </w:t>
      </w:r>
      <w:r>
        <w:rPr>
          <w:color w:val="3B3A3B"/>
          <w:w w:val="115"/>
        </w:rPr>
        <w:t>Or</w:t>
      </w:r>
      <w:r>
        <w:rPr>
          <w:color w:val="3B3A3B"/>
          <w:spacing w:val="12"/>
          <w:w w:val="115"/>
        </w:rPr>
        <w:t> </w:t>
      </w:r>
      <w:r>
        <w:rPr>
          <w:color w:val="3B3A3B"/>
          <w:w w:val="115"/>
        </w:rPr>
        <w:t>you</w:t>
      </w:r>
      <w:r>
        <w:rPr>
          <w:color w:val="3B3A3B"/>
          <w:spacing w:val="6"/>
          <w:w w:val="115"/>
        </w:rPr>
        <w:t> </w:t>
      </w:r>
      <w:r>
        <w:rPr>
          <w:color w:val="3B3A3B"/>
          <w:w w:val="115"/>
        </w:rPr>
        <w:t>could</w:t>
      </w:r>
      <w:r>
        <w:rPr>
          <w:color w:val="3B3A3B"/>
          <w:spacing w:val="30"/>
          <w:w w:val="115"/>
        </w:rPr>
        <w:t> </w:t>
      </w:r>
      <w:r>
        <w:rPr>
          <w:color w:val="3B3A3B"/>
          <w:w w:val="115"/>
        </w:rPr>
        <w:t>move</w:t>
      </w:r>
      <w:r>
        <w:rPr>
          <w:color w:val="3B3A3B"/>
          <w:spacing w:val="4"/>
          <w:w w:val="115"/>
        </w:rPr>
        <w:t> </w:t>
      </w:r>
      <w:r>
        <w:rPr>
          <w:color w:val="3B3A3B"/>
          <w:w w:val="115"/>
        </w:rPr>
        <w:t>up</w:t>
      </w:r>
    </w:p>
    <w:p>
      <w:pPr>
        <w:spacing w:after="0" w:line="235" w:lineRule="auto"/>
        <w:jc w:val="both"/>
        <w:sectPr>
          <w:headerReference w:type="default" r:id="rId69"/>
          <w:headerReference w:type="even" r:id="rId70"/>
          <w:pgSz w:w="9570" w:h="13760"/>
          <w:pgMar w:header="434" w:footer="0" w:top="620" w:bottom="280" w:left="460" w:right="1180"/>
          <w:pgNumType w:start="45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2" w:lineRule="auto" w:before="1"/>
        <w:ind w:left="859" w:right="112" w:firstLine="15"/>
        <w:jc w:val="both"/>
        <w:rPr>
          <w:rFonts w:ascii="Arial"/>
          <w:sz w:val="12"/>
        </w:rPr>
      </w:pPr>
      <w:r>
        <w:rPr>
          <w:color w:val="3A383A"/>
          <w:w w:val="110"/>
        </w:rPr>
        <w:t>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abstraction ladder-or several abstraction ladders-and think of farm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animals, or mammals, or farm property, or assets, or wealth. At the top of</w:t>
      </w:r>
      <w:r>
        <w:rPr>
          <w:color w:val="3A383A"/>
          <w:spacing w:val="-62"/>
          <w:w w:val="110"/>
        </w:rPr>
        <w:t> </w:t>
      </w:r>
      <w:r>
        <w:rPr>
          <w:color w:val="3A383A"/>
          <w:w w:val="110"/>
        </w:rPr>
        <w:t>this</w:t>
      </w:r>
      <w:r>
        <w:rPr>
          <w:color w:val="3A383A"/>
          <w:spacing w:val="-14"/>
          <w:w w:val="110"/>
        </w:rPr>
        <w:t> </w:t>
      </w:r>
      <w:r>
        <w:rPr>
          <w:color w:val="3A383A"/>
          <w:w w:val="110"/>
        </w:rPr>
        <w:t>(and</w:t>
      </w:r>
      <w:r>
        <w:rPr>
          <w:color w:val="3A383A"/>
          <w:spacing w:val="-1"/>
          <w:w w:val="110"/>
        </w:rPr>
        <w:t> </w:t>
      </w:r>
      <w:r>
        <w:rPr>
          <w:color w:val="3A383A"/>
          <w:w w:val="110"/>
        </w:rPr>
        <w:t>every)</w:t>
      </w:r>
      <w:r>
        <w:rPr>
          <w:color w:val="3A383A"/>
          <w:spacing w:val="-10"/>
          <w:w w:val="110"/>
        </w:rPr>
        <w:t> </w:t>
      </w:r>
      <w:r>
        <w:rPr>
          <w:color w:val="3A383A"/>
          <w:w w:val="110"/>
        </w:rPr>
        <w:t>abstraction</w:t>
      </w:r>
      <w:r>
        <w:rPr>
          <w:color w:val="3A383A"/>
          <w:spacing w:val="16"/>
          <w:w w:val="110"/>
        </w:rPr>
        <w:t> </w:t>
      </w:r>
      <w:r>
        <w:rPr>
          <w:color w:val="3A383A"/>
          <w:w w:val="110"/>
        </w:rPr>
        <w:t>ladder,</w:t>
      </w:r>
      <w:r>
        <w:rPr>
          <w:color w:val="3A383A"/>
          <w:spacing w:val="-5"/>
          <w:w w:val="110"/>
        </w:rPr>
        <w:t> </w:t>
      </w:r>
      <w:r>
        <w:rPr>
          <w:color w:val="3A383A"/>
          <w:w w:val="110"/>
        </w:rPr>
        <w:t>you</w:t>
      </w:r>
      <w:r>
        <w:rPr>
          <w:color w:val="3A383A"/>
          <w:spacing w:val="-3"/>
          <w:w w:val="110"/>
        </w:rPr>
        <w:t> </w:t>
      </w:r>
      <w:r>
        <w:rPr>
          <w:color w:val="3A383A"/>
          <w:w w:val="110"/>
        </w:rPr>
        <w:t>can</w:t>
      </w:r>
      <w:r>
        <w:rPr>
          <w:color w:val="3A383A"/>
          <w:spacing w:val="21"/>
          <w:w w:val="110"/>
        </w:rPr>
        <w:t> </w:t>
      </w:r>
      <w:r>
        <w:rPr>
          <w:color w:val="3A383A"/>
          <w:w w:val="110"/>
        </w:rPr>
        <w:t>think</w:t>
      </w:r>
      <w:r>
        <w:rPr>
          <w:color w:val="3A383A"/>
          <w:spacing w:val="-7"/>
          <w:w w:val="110"/>
        </w:rPr>
        <w:t> </w:t>
      </w:r>
      <w:r>
        <w:rPr>
          <w:color w:val="3A383A"/>
          <w:w w:val="110"/>
        </w:rPr>
        <w:t>of</w:t>
      </w:r>
      <w:r>
        <w:rPr>
          <w:color w:val="3A383A"/>
          <w:spacing w:val="10"/>
          <w:w w:val="110"/>
        </w:rPr>
        <w:t> </w:t>
      </w:r>
      <w:r>
        <w:rPr>
          <w:color w:val="3A383A"/>
          <w:w w:val="110"/>
        </w:rPr>
        <w:t>a</w:t>
      </w:r>
      <w:r>
        <w:rPr>
          <w:color w:val="3A383A"/>
          <w:spacing w:val="8"/>
          <w:w w:val="110"/>
        </w:rPr>
        <w:t> </w:t>
      </w:r>
      <w:r>
        <w:rPr>
          <w:color w:val="3A383A"/>
          <w:w w:val="110"/>
        </w:rPr>
        <w:t>cow</w:t>
      </w:r>
      <w:r>
        <w:rPr>
          <w:color w:val="3A383A"/>
          <w:spacing w:val="-16"/>
          <w:w w:val="110"/>
        </w:rPr>
        <w:t> </w:t>
      </w:r>
      <w:r>
        <w:rPr>
          <w:color w:val="3A383A"/>
          <w:w w:val="110"/>
        </w:rPr>
        <w:t>as</w:t>
      </w:r>
      <w:r>
        <w:rPr>
          <w:color w:val="3A383A"/>
          <w:spacing w:val="2"/>
          <w:w w:val="110"/>
        </w:rPr>
        <w:t> </w:t>
      </w:r>
      <w:r>
        <w:rPr>
          <w:color w:val="3A383A"/>
          <w:w w:val="110"/>
        </w:rPr>
        <w:t>a</w:t>
      </w:r>
      <w:r>
        <w:rPr>
          <w:color w:val="3A383A"/>
          <w:spacing w:val="-4"/>
          <w:w w:val="110"/>
        </w:rPr>
        <w:t> </w:t>
      </w:r>
      <w:r>
        <w:rPr>
          <w:color w:val="3A383A"/>
          <w:w w:val="110"/>
        </w:rPr>
        <w:t>"thing."</w:t>
      </w:r>
      <w:r>
        <w:rPr>
          <w:rFonts w:ascii="Arial"/>
          <w:color w:val="3A383A"/>
          <w:w w:val="110"/>
          <w:position w:val="10"/>
          <w:sz w:val="12"/>
        </w:rPr>
        <w:t>7</w:t>
      </w:r>
    </w:p>
    <w:p>
      <w:pPr>
        <w:pStyle w:val="BodyText"/>
        <w:spacing w:line="235" w:lineRule="auto"/>
        <w:ind w:left="868" w:right="78" w:firstLine="368"/>
        <w:jc w:val="both"/>
      </w:pPr>
      <w:r>
        <w:rPr>
          <w:color w:val="3A383A"/>
          <w:w w:val="110"/>
        </w:rPr>
        <w:t>This concept is important to legal analysis because abstract reasoning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helps lawyers to identify analogous authorities. Once you recognize that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facts and issues can be put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into broader, more abstract categories, you</w:t>
      </w:r>
      <w:r>
        <w:rPr>
          <w:color w:val="3A383A"/>
          <w:spacing w:val="1"/>
          <w:w w:val="110"/>
        </w:rPr>
        <w:t> </w:t>
      </w:r>
      <w:r>
        <w:rPr>
          <w:color w:val="3A383A"/>
          <w:spacing w:val="-1"/>
          <w:w w:val="110"/>
        </w:rPr>
        <w:t>may be better </w:t>
      </w:r>
      <w:r>
        <w:rPr>
          <w:color w:val="3A383A"/>
          <w:w w:val="110"/>
        </w:rPr>
        <w:t>able to see legal similarities between your client's case and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relevant authorities. Very frequently, the tension in a legal argument is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about whether a rule applies to a broad category that includes a certain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person, thing, or event, or whether the rule applies to a narrower group</w:t>
      </w:r>
      <w:r>
        <w:rPr>
          <w:color w:val="3A383A"/>
          <w:spacing w:val="1"/>
          <w:w w:val="110"/>
        </w:rPr>
        <w:t> </w:t>
      </w:r>
      <w:r>
        <w:rPr>
          <w:color w:val="3A383A"/>
          <w:spacing w:val="-1"/>
          <w:w w:val="110"/>
        </w:rPr>
        <w:t>that excludes a certain person, thing, </w:t>
      </w:r>
      <w:r>
        <w:rPr>
          <w:color w:val="3A383A"/>
          <w:w w:val="110"/>
        </w:rPr>
        <w:t>or event. You can use the abstraction</w:t>
      </w:r>
      <w:r>
        <w:rPr>
          <w:color w:val="3A383A"/>
          <w:spacing w:val="-62"/>
          <w:w w:val="110"/>
        </w:rPr>
        <w:t> </w:t>
      </w:r>
      <w:r>
        <w:rPr>
          <w:color w:val="3A383A"/>
          <w:spacing w:val="-1"/>
          <w:w w:val="110"/>
        </w:rPr>
        <w:t>ladder to identify both legal and factual </w:t>
      </w:r>
      <w:r>
        <w:rPr>
          <w:color w:val="3A383A"/>
          <w:w w:val="110"/>
        </w:rPr>
        <w:t>categories that may be significant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0"/>
        </w:rPr>
        <w:t>to</w:t>
      </w:r>
      <w:r>
        <w:rPr>
          <w:color w:val="3A383A"/>
          <w:spacing w:val="12"/>
          <w:w w:val="110"/>
        </w:rPr>
        <w:t> </w:t>
      </w:r>
      <w:r>
        <w:rPr>
          <w:color w:val="3A383A"/>
          <w:w w:val="110"/>
        </w:rPr>
        <w:t>your</w:t>
      </w:r>
      <w:r>
        <w:rPr>
          <w:color w:val="3A383A"/>
          <w:spacing w:val="-4"/>
          <w:w w:val="110"/>
        </w:rPr>
        <w:t> </w:t>
      </w:r>
      <w:r>
        <w:rPr>
          <w:color w:val="3A383A"/>
          <w:w w:val="110"/>
        </w:rPr>
        <w:t>argument.</w:t>
      </w:r>
    </w:p>
    <w:p>
      <w:pPr>
        <w:pStyle w:val="BodyText"/>
        <w:rPr>
          <w:sz w:val="33"/>
        </w:rPr>
      </w:pPr>
    </w:p>
    <w:p>
      <w:pPr>
        <w:spacing w:before="0"/>
        <w:ind w:left="1252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3A383A"/>
          <w:w w:val="115"/>
          <w:sz w:val="27"/>
        </w:rPr>
        <w:t>3.2.4</w:t>
      </w:r>
    </w:p>
    <w:p>
      <w:pPr>
        <w:spacing w:before="18"/>
        <w:ind w:left="1237" w:right="0" w:firstLine="0"/>
        <w:jc w:val="left"/>
        <w:rPr>
          <w:b/>
          <w:sz w:val="25"/>
        </w:rPr>
      </w:pPr>
      <w:r>
        <w:rPr>
          <w:rFonts w:ascii="Arial"/>
          <w:b/>
          <w:color w:val="3A383A"/>
          <w:w w:val="95"/>
          <w:sz w:val="22"/>
        </w:rPr>
        <w:t>USING</w:t>
      </w:r>
      <w:r>
        <w:rPr>
          <w:rFonts w:ascii="Arial"/>
          <w:b/>
          <w:color w:val="3A383A"/>
          <w:spacing w:val="8"/>
          <w:w w:val="95"/>
          <w:sz w:val="22"/>
        </w:rPr>
        <w:t> </w:t>
      </w:r>
      <w:r>
        <w:rPr>
          <w:rFonts w:ascii="Arial"/>
          <w:b/>
          <w:color w:val="3A383A"/>
          <w:w w:val="95"/>
          <w:sz w:val="22"/>
        </w:rPr>
        <w:t>THE</w:t>
      </w:r>
      <w:r>
        <w:rPr>
          <w:rFonts w:ascii="Arial"/>
          <w:b/>
          <w:color w:val="3A383A"/>
          <w:spacing w:val="6"/>
          <w:w w:val="95"/>
          <w:sz w:val="22"/>
        </w:rPr>
        <w:t> </w:t>
      </w:r>
      <w:r>
        <w:rPr>
          <w:rFonts w:ascii="Arial"/>
          <w:b/>
          <w:color w:val="3A383A"/>
          <w:w w:val="95"/>
          <w:sz w:val="22"/>
        </w:rPr>
        <w:t>ABSTRACTION</w:t>
      </w:r>
      <w:r>
        <w:rPr>
          <w:rFonts w:ascii="Arial"/>
          <w:b/>
          <w:color w:val="3A383A"/>
          <w:spacing w:val="19"/>
          <w:w w:val="95"/>
          <w:sz w:val="22"/>
        </w:rPr>
        <w:t> </w:t>
      </w:r>
      <w:r>
        <w:rPr>
          <w:rFonts w:ascii="Arial"/>
          <w:b/>
          <w:color w:val="3A383A"/>
          <w:w w:val="95"/>
          <w:sz w:val="22"/>
        </w:rPr>
        <w:t>I.ADDER</w:t>
      </w:r>
      <w:r>
        <w:rPr>
          <w:rFonts w:ascii="Arial"/>
          <w:b/>
          <w:color w:val="3A383A"/>
          <w:spacing w:val="29"/>
          <w:w w:val="95"/>
          <w:sz w:val="22"/>
        </w:rPr>
        <w:t> </w:t>
      </w:r>
      <w:r>
        <w:rPr>
          <w:rFonts w:ascii="Arial"/>
          <w:b/>
          <w:color w:val="3A383A"/>
          <w:w w:val="95"/>
          <w:sz w:val="22"/>
        </w:rPr>
        <w:t>IN</w:t>
      </w:r>
      <w:r>
        <w:rPr>
          <w:rFonts w:ascii="Arial"/>
          <w:b/>
          <w:color w:val="3A383A"/>
          <w:spacing w:val="4"/>
          <w:w w:val="95"/>
          <w:sz w:val="22"/>
        </w:rPr>
        <w:t> </w:t>
      </w:r>
      <w:r>
        <w:rPr>
          <w:rFonts w:ascii="Arial"/>
          <w:b/>
          <w:color w:val="3A383A"/>
          <w:w w:val="95"/>
          <w:sz w:val="22"/>
        </w:rPr>
        <w:t>LEGAL</w:t>
      </w:r>
      <w:r>
        <w:rPr>
          <w:rFonts w:ascii="Arial"/>
          <w:b/>
          <w:color w:val="3A383A"/>
          <w:spacing w:val="24"/>
          <w:w w:val="95"/>
          <w:sz w:val="22"/>
        </w:rPr>
        <w:t> </w:t>
      </w:r>
      <w:r>
        <w:rPr>
          <w:b/>
          <w:color w:val="3A383A"/>
          <w:w w:val="95"/>
          <w:sz w:val="25"/>
        </w:rPr>
        <w:t>RESEARCH</w:t>
      </w:r>
    </w:p>
    <w:p>
      <w:pPr>
        <w:pStyle w:val="BodyText"/>
        <w:spacing w:line="230" w:lineRule="auto" w:before="135"/>
        <w:ind w:left="789" w:right="41" w:firstLine="418"/>
        <w:jc w:val="both"/>
      </w:pPr>
      <w:r>
        <w:rPr>
          <w:color w:val="3A383A"/>
          <w:w w:val="110"/>
        </w:rPr>
        <w:t>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good news </w:t>
      </w:r>
      <w:r>
        <w:rPr>
          <w:rFonts w:ascii="Arial"/>
          <w:i/>
          <w:color w:val="3A383A"/>
          <w:w w:val="110"/>
          <w:sz w:val="20"/>
        </w:rPr>
        <w:t>is </w:t>
      </w:r>
      <w:r>
        <w:rPr>
          <w:color w:val="3A383A"/>
          <w:w w:val="110"/>
        </w:rPr>
        <w:t>that </w:t>
      </w:r>
      <w:r>
        <w:rPr>
          <w:color w:val="3A383A"/>
          <w:w w:val="110"/>
          <w:sz w:val="20"/>
        </w:rPr>
        <w:t>if </w:t>
      </w:r>
      <w:r>
        <w:rPr>
          <w:color w:val="3A383A"/>
          <w:w w:val="110"/>
        </w:rPr>
        <w:t>you move high enough up the abstraction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ladder, you can almost always identify some connection between two sets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of facts. For example, you could analogize a cow to a horse because they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are both farm animals. Or you could analogize a cow to a wheat field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because they are both income-producing property for farmers. You could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even analogize a cow </w:t>
      </w:r>
      <w:r>
        <w:rPr>
          <w:i/>
          <w:color w:val="3A383A"/>
          <w:w w:val="110"/>
          <w:sz w:val="24"/>
        </w:rPr>
        <w:t>to </w:t>
      </w:r>
      <w:r>
        <w:rPr>
          <w:color w:val="3A383A"/>
          <w:w w:val="110"/>
        </w:rPr>
        <w:t>a tractor because they are both farm property. Or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you</w:t>
      </w:r>
      <w:r>
        <w:rPr>
          <w:color w:val="3A383A"/>
          <w:spacing w:val="5"/>
          <w:w w:val="110"/>
        </w:rPr>
        <w:t> </w:t>
      </w:r>
      <w:r>
        <w:rPr>
          <w:color w:val="3A383A"/>
          <w:w w:val="110"/>
        </w:rPr>
        <w:t>could</w:t>
      </w:r>
      <w:r>
        <w:rPr>
          <w:color w:val="3A383A"/>
          <w:spacing w:val="-4"/>
          <w:w w:val="110"/>
        </w:rPr>
        <w:t> </w:t>
      </w:r>
      <w:r>
        <w:rPr>
          <w:color w:val="3A383A"/>
          <w:w w:val="110"/>
        </w:rPr>
        <w:t>analogize</w:t>
      </w:r>
      <w:r>
        <w:rPr>
          <w:color w:val="3A383A"/>
          <w:spacing w:val="-3"/>
          <w:w w:val="110"/>
        </w:rPr>
        <w:t> </w:t>
      </w:r>
      <w:r>
        <w:rPr>
          <w:color w:val="3A383A"/>
          <w:w w:val="110"/>
        </w:rPr>
        <w:t>a</w:t>
      </w:r>
      <w:r>
        <w:rPr>
          <w:color w:val="3A383A"/>
          <w:spacing w:val="8"/>
          <w:w w:val="110"/>
        </w:rPr>
        <w:t> </w:t>
      </w:r>
      <w:r>
        <w:rPr>
          <w:color w:val="3A383A"/>
          <w:w w:val="110"/>
        </w:rPr>
        <w:t>cow</w:t>
      </w:r>
      <w:r>
        <w:rPr>
          <w:color w:val="3A383A"/>
          <w:spacing w:val="-7"/>
          <w:w w:val="110"/>
        </w:rPr>
        <w:t> </w:t>
      </w:r>
      <w:r>
        <w:rPr>
          <w:color w:val="3A383A"/>
          <w:w w:val="110"/>
        </w:rPr>
        <w:t>to</w:t>
      </w:r>
      <w:r>
        <w:rPr>
          <w:color w:val="3A383A"/>
          <w:spacing w:val="4"/>
          <w:w w:val="110"/>
        </w:rPr>
        <w:t> </w:t>
      </w:r>
      <w:r>
        <w:rPr>
          <w:color w:val="3A383A"/>
          <w:w w:val="110"/>
        </w:rPr>
        <w:t>a</w:t>
      </w:r>
      <w:r>
        <w:rPr>
          <w:color w:val="3A383A"/>
          <w:spacing w:val="8"/>
          <w:w w:val="110"/>
        </w:rPr>
        <w:t> </w:t>
      </w:r>
      <w:r>
        <w:rPr>
          <w:color w:val="3A383A"/>
          <w:w w:val="110"/>
        </w:rPr>
        <w:t>pet</w:t>
      </w:r>
      <w:r>
        <w:rPr>
          <w:color w:val="3A383A"/>
          <w:spacing w:val="14"/>
          <w:w w:val="110"/>
        </w:rPr>
        <w:t> </w:t>
      </w:r>
      <w:r>
        <w:rPr>
          <w:color w:val="3A383A"/>
          <w:w w:val="110"/>
        </w:rPr>
        <w:t>dog</w:t>
      </w:r>
      <w:r>
        <w:rPr>
          <w:color w:val="3A383A"/>
          <w:spacing w:val="9"/>
          <w:w w:val="110"/>
        </w:rPr>
        <w:t> </w:t>
      </w:r>
      <w:r>
        <w:rPr>
          <w:color w:val="3A383A"/>
          <w:w w:val="110"/>
        </w:rPr>
        <w:t>because</w:t>
      </w:r>
      <w:r>
        <w:rPr>
          <w:color w:val="3A383A"/>
          <w:spacing w:val="4"/>
          <w:w w:val="110"/>
        </w:rPr>
        <w:t> </w:t>
      </w:r>
      <w:r>
        <w:rPr>
          <w:color w:val="3A383A"/>
          <w:w w:val="110"/>
        </w:rPr>
        <w:t>both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are</w:t>
      </w:r>
      <w:r>
        <w:rPr>
          <w:color w:val="3A383A"/>
          <w:spacing w:val="-7"/>
          <w:w w:val="110"/>
        </w:rPr>
        <w:t> </w:t>
      </w:r>
      <w:r>
        <w:rPr>
          <w:color w:val="3A383A"/>
          <w:w w:val="110"/>
        </w:rPr>
        <w:t>mammals.</w:t>
      </w:r>
    </w:p>
    <w:p>
      <w:pPr>
        <w:pStyle w:val="BodyText"/>
        <w:spacing w:line="235" w:lineRule="auto" w:before="9"/>
        <w:ind w:left="694" w:right="93" w:firstLine="455"/>
        <w:jc w:val="both"/>
      </w:pPr>
      <w:r>
        <w:rPr>
          <w:color w:val="3A383A"/>
          <w:w w:val="110"/>
        </w:rPr>
        <w:t>The</w:t>
      </w:r>
      <w:r>
        <w:rPr>
          <w:color w:val="3A383A"/>
          <w:spacing w:val="3"/>
          <w:w w:val="110"/>
        </w:rPr>
        <w:t> </w:t>
      </w:r>
      <w:r>
        <w:rPr>
          <w:color w:val="3A383A"/>
          <w:w w:val="110"/>
        </w:rPr>
        <w:t>bad</w:t>
      </w:r>
      <w:r>
        <w:rPr>
          <w:color w:val="3A383A"/>
          <w:spacing w:val="6"/>
          <w:w w:val="110"/>
        </w:rPr>
        <w:t> </w:t>
      </w:r>
      <w:r>
        <w:rPr>
          <w:color w:val="3A383A"/>
          <w:w w:val="110"/>
        </w:rPr>
        <w:t>news</w:t>
      </w:r>
      <w:r>
        <w:rPr>
          <w:color w:val="3A383A"/>
          <w:spacing w:val="-31"/>
          <w:w w:val="110"/>
        </w:rPr>
        <w:t> </w:t>
      </w:r>
      <w:r>
        <w:rPr>
          <w:i/>
          <w:color w:val="3A383A"/>
          <w:w w:val="110"/>
        </w:rPr>
        <w:t>is</w:t>
      </w:r>
      <w:r>
        <w:rPr>
          <w:i/>
          <w:color w:val="3A383A"/>
          <w:spacing w:val="3"/>
          <w:w w:val="110"/>
        </w:rPr>
        <w:t> </w:t>
      </w:r>
      <w:r>
        <w:rPr>
          <w:color w:val="3A383A"/>
          <w:w w:val="110"/>
        </w:rPr>
        <w:t>that</w:t>
      </w:r>
      <w:r>
        <w:rPr>
          <w:color w:val="3A383A"/>
          <w:spacing w:val="-28"/>
          <w:w w:val="110"/>
        </w:rPr>
        <w:t> </w:t>
      </w:r>
      <w:r>
        <w:rPr>
          <w:color w:val="3A383A"/>
          <w:w w:val="110"/>
        </w:rPr>
        <w:t>after</w:t>
      </w:r>
      <w:r>
        <w:rPr>
          <w:color w:val="3A383A"/>
          <w:spacing w:val="-26"/>
          <w:w w:val="110"/>
        </w:rPr>
        <w:t> </w:t>
      </w:r>
      <w:r>
        <w:rPr>
          <w:color w:val="3A383A"/>
          <w:w w:val="110"/>
        </w:rPr>
        <w:t>asking</w:t>
      </w:r>
      <w:r>
        <w:rPr>
          <w:color w:val="3A383A"/>
          <w:spacing w:val="-19"/>
          <w:w w:val="110"/>
        </w:rPr>
        <w:t> </w:t>
      </w:r>
      <w:r>
        <w:rPr>
          <w:color w:val="3A383A"/>
          <w:w w:val="110"/>
        </w:rPr>
        <w:t>whether there</w:t>
      </w:r>
      <w:r>
        <w:rPr>
          <w:color w:val="3A383A"/>
          <w:spacing w:val="-20"/>
          <w:w w:val="110"/>
        </w:rPr>
        <w:t> </w:t>
      </w:r>
      <w:r>
        <w:rPr>
          <w:color w:val="3A383A"/>
          <w:w w:val="110"/>
        </w:rPr>
        <w:t>is</w:t>
      </w:r>
      <w:r>
        <w:rPr>
          <w:color w:val="3A383A"/>
          <w:spacing w:val="-24"/>
          <w:w w:val="110"/>
        </w:rPr>
        <w:t> </w:t>
      </w:r>
      <w:r>
        <w:rPr>
          <w:color w:val="3A383A"/>
          <w:w w:val="110"/>
        </w:rPr>
        <w:t>an</w:t>
      </w:r>
      <w:r>
        <w:rPr>
          <w:color w:val="3A383A"/>
          <w:spacing w:val="-8"/>
          <w:w w:val="110"/>
        </w:rPr>
        <w:t> </w:t>
      </w:r>
      <w:r>
        <w:rPr>
          <w:color w:val="3A383A"/>
          <w:w w:val="110"/>
        </w:rPr>
        <w:t>analogy,</w:t>
      </w:r>
      <w:r>
        <w:rPr>
          <w:color w:val="3A383A"/>
          <w:spacing w:val="16"/>
          <w:w w:val="110"/>
        </w:rPr>
        <w:t> </w:t>
      </w:r>
      <w:r>
        <w:rPr>
          <w:color w:val="3A383A"/>
          <w:w w:val="110"/>
        </w:rPr>
        <w:t>you</w:t>
      </w:r>
      <w:r>
        <w:rPr>
          <w:color w:val="3A383A"/>
          <w:spacing w:val="13"/>
          <w:w w:val="110"/>
        </w:rPr>
        <w:t> </w:t>
      </w:r>
      <w:r>
        <w:rPr>
          <w:color w:val="3A383A"/>
          <w:w w:val="110"/>
        </w:rPr>
        <w:t>must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0"/>
        </w:rPr>
        <w:t>then ask whether the analogy is legally significant. For example, if a rule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governs licensing of pet dogs and cats, that rule probably will not apply to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cows on a dairy farm, even though cows, dogs, and cats are all mammals.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  <w:sz w:val="21"/>
        </w:rPr>
        <w:t>If, </w:t>
      </w:r>
      <w:r>
        <w:rPr>
          <w:color w:val="3A383A"/>
          <w:w w:val="110"/>
        </w:rPr>
        <w:t>however, a common law rule governed additives to cow feed, you might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0"/>
        </w:rPr>
        <w:t>be able to argue that this rule also should apply to fertilizers on  wheat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fields because  both cow feed and  wheat field fertilizer may affect food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that consumers purchase. One  hint  about using the  abstraction  ladder: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Try to go up (i.e.</w:t>
      </w:r>
      <w:r>
        <w:rPr>
          <w:color w:val="59595B"/>
          <w:w w:val="110"/>
        </w:rPr>
        <w:t>, </w:t>
      </w:r>
      <w:r>
        <w:rPr>
          <w:color w:val="3A383A"/>
          <w:w w:val="110"/>
        </w:rPr>
        <w:t>to a more abstract level) only as far as you need to go to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find</w:t>
      </w:r>
      <w:r>
        <w:rPr>
          <w:color w:val="3A383A"/>
          <w:spacing w:val="10"/>
          <w:w w:val="110"/>
        </w:rPr>
        <w:t> </w:t>
      </w:r>
      <w:r>
        <w:rPr>
          <w:color w:val="3A383A"/>
          <w:w w:val="110"/>
        </w:rPr>
        <w:t>a</w:t>
      </w:r>
      <w:r>
        <w:rPr>
          <w:color w:val="3A383A"/>
          <w:spacing w:val="7"/>
          <w:w w:val="110"/>
        </w:rPr>
        <w:t> </w:t>
      </w:r>
      <w:r>
        <w:rPr>
          <w:color w:val="3A383A"/>
          <w:w w:val="110"/>
        </w:rPr>
        <w:t>legally</w:t>
      </w:r>
      <w:r>
        <w:rPr>
          <w:color w:val="3A383A"/>
          <w:spacing w:val="-4"/>
          <w:w w:val="110"/>
        </w:rPr>
        <w:t> </w:t>
      </w:r>
      <w:r>
        <w:rPr>
          <w:color w:val="3A383A"/>
          <w:w w:val="110"/>
        </w:rPr>
        <w:t>significant</w:t>
      </w:r>
      <w:r>
        <w:rPr>
          <w:color w:val="3A383A"/>
          <w:spacing w:val="12"/>
          <w:w w:val="110"/>
        </w:rPr>
        <w:t> </w:t>
      </w:r>
      <w:r>
        <w:rPr>
          <w:color w:val="3A383A"/>
          <w:w w:val="110"/>
        </w:rPr>
        <w:t>analogy</w:t>
      </w:r>
      <w:r>
        <w:rPr>
          <w:color w:val="3A383A"/>
          <w:spacing w:val="13"/>
          <w:w w:val="110"/>
        </w:rPr>
        <w:t> </w:t>
      </w:r>
      <w:r>
        <w:rPr>
          <w:color w:val="3A383A"/>
          <w:w w:val="110"/>
        </w:rPr>
        <w:t>and</w:t>
      </w:r>
      <w:r>
        <w:rPr>
          <w:color w:val="3A383A"/>
          <w:spacing w:val="43"/>
          <w:w w:val="110"/>
        </w:rPr>
        <w:t> </w:t>
      </w:r>
      <w:r>
        <w:rPr>
          <w:color w:val="3A383A"/>
          <w:w w:val="110"/>
        </w:rPr>
        <w:t>no</w:t>
      </w:r>
      <w:r>
        <w:rPr>
          <w:color w:val="3A383A"/>
          <w:spacing w:val="26"/>
          <w:w w:val="110"/>
        </w:rPr>
        <w:t> </w:t>
      </w:r>
      <w:r>
        <w:rPr>
          <w:color w:val="3A383A"/>
          <w:w w:val="110"/>
        </w:rPr>
        <w:t>farther.</w:t>
      </w:r>
      <w:r>
        <w:rPr>
          <w:color w:val="3A383A"/>
          <w:spacing w:val="11"/>
          <w:w w:val="110"/>
        </w:rPr>
        <w:t> </w:t>
      </w:r>
      <w:r>
        <w:rPr>
          <w:color w:val="3A383A"/>
          <w:w w:val="110"/>
        </w:rPr>
        <w:t>For</w:t>
      </w:r>
      <w:r>
        <w:rPr>
          <w:color w:val="3A383A"/>
          <w:spacing w:val="-1"/>
          <w:w w:val="110"/>
        </w:rPr>
        <w:t> </w:t>
      </w:r>
      <w:r>
        <w:rPr>
          <w:color w:val="3A383A"/>
          <w:w w:val="110"/>
        </w:rPr>
        <w:t>example,</w:t>
      </w:r>
      <w:r>
        <w:rPr>
          <w:color w:val="3A383A"/>
          <w:spacing w:val="16"/>
          <w:w w:val="110"/>
        </w:rPr>
        <w:t> </w:t>
      </w:r>
      <w:r>
        <w:rPr>
          <w:color w:val="3A383A"/>
          <w:w w:val="110"/>
        </w:rPr>
        <w:t>a</w:t>
      </w:r>
      <w:r>
        <w:rPr>
          <w:color w:val="3A383A"/>
          <w:spacing w:val="15"/>
          <w:w w:val="110"/>
        </w:rPr>
        <w:t> </w:t>
      </w:r>
      <w:r>
        <w:rPr>
          <w:color w:val="3A383A"/>
          <w:w w:val="110"/>
        </w:rPr>
        <w:t>goat</w:t>
      </w:r>
      <w:r>
        <w:rPr>
          <w:color w:val="3A383A"/>
          <w:spacing w:val="11"/>
          <w:w w:val="110"/>
        </w:rPr>
        <w:t> </w:t>
      </w:r>
      <w:r>
        <w:rPr>
          <w:color w:val="3A383A"/>
          <w:w w:val="110"/>
        </w:rPr>
        <w:t>and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 cow are both mammals,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but  their more legally significant connection  in</w:t>
      </w:r>
      <w:r>
        <w:rPr>
          <w:color w:val="3A383A"/>
          <w:spacing w:val="-61"/>
          <w:w w:val="110"/>
        </w:rPr>
        <w:t> </w:t>
      </w:r>
      <w:r>
        <w:rPr>
          <w:rFonts w:ascii="Arial"/>
          <w:i/>
          <w:color w:val="3A383A"/>
          <w:w w:val="110"/>
          <w:sz w:val="20"/>
        </w:rPr>
        <w:t>a </w:t>
      </w:r>
      <w:r>
        <w:rPr>
          <w:color w:val="3A383A"/>
          <w:w w:val="110"/>
        </w:rPr>
        <w:t>given case could well be lower on the abstraction ladder: They are both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animals</w:t>
      </w:r>
      <w:r>
        <w:rPr>
          <w:color w:val="3A383A"/>
          <w:spacing w:val="26"/>
          <w:w w:val="110"/>
        </w:rPr>
        <w:t> </w:t>
      </w:r>
      <w:r>
        <w:rPr>
          <w:color w:val="3A383A"/>
          <w:w w:val="110"/>
        </w:rPr>
        <w:t>that</w:t>
      </w:r>
      <w:r>
        <w:rPr>
          <w:color w:val="3A383A"/>
          <w:spacing w:val="32"/>
          <w:w w:val="110"/>
        </w:rPr>
        <w:t> </w:t>
      </w:r>
      <w:r>
        <w:rPr>
          <w:color w:val="3A383A"/>
          <w:w w:val="110"/>
        </w:rPr>
        <w:t>produce</w:t>
      </w:r>
      <w:r>
        <w:rPr>
          <w:color w:val="3A383A"/>
          <w:spacing w:val="22"/>
          <w:w w:val="110"/>
        </w:rPr>
        <w:t> </w:t>
      </w:r>
      <w:r>
        <w:rPr>
          <w:color w:val="3A383A"/>
          <w:w w:val="110"/>
        </w:rPr>
        <w:t>milk</w:t>
      </w:r>
      <w:r>
        <w:rPr>
          <w:color w:val="3A383A"/>
          <w:spacing w:val="30"/>
          <w:w w:val="110"/>
        </w:rPr>
        <w:t> </w:t>
      </w:r>
      <w:r>
        <w:rPr>
          <w:color w:val="3A383A"/>
          <w:w w:val="110"/>
        </w:rPr>
        <w:t>that</w:t>
      </w:r>
      <w:r>
        <w:rPr>
          <w:color w:val="3A383A"/>
          <w:spacing w:val="14"/>
          <w:w w:val="110"/>
        </w:rPr>
        <w:t> </w:t>
      </w:r>
      <w:r>
        <w:rPr>
          <w:color w:val="3A383A"/>
          <w:w w:val="110"/>
        </w:rPr>
        <w:t>maybesold</w:t>
      </w:r>
      <w:r>
        <w:rPr>
          <w:color w:val="3A383A"/>
          <w:spacing w:val="16"/>
          <w:w w:val="110"/>
        </w:rPr>
        <w:t> </w:t>
      </w:r>
      <w:r>
        <w:rPr>
          <w:color w:val="3A383A"/>
          <w:w w:val="110"/>
        </w:rPr>
        <w:t>for</w:t>
      </w:r>
      <w:r>
        <w:rPr>
          <w:color w:val="3A383A"/>
          <w:spacing w:val="4"/>
          <w:w w:val="110"/>
        </w:rPr>
        <w:t> </w:t>
      </w:r>
      <w:r>
        <w:rPr>
          <w:color w:val="3A383A"/>
          <w:w w:val="110"/>
        </w:rPr>
        <w:t>human</w:t>
      </w:r>
      <w:r>
        <w:rPr>
          <w:color w:val="3A383A"/>
          <w:spacing w:val="25"/>
          <w:w w:val="110"/>
        </w:rPr>
        <w:t> </w:t>
      </w:r>
      <w:r>
        <w:rPr>
          <w:color w:val="3A383A"/>
          <w:w w:val="110"/>
        </w:rPr>
        <w:t>consumption.</w:t>
      </w:r>
    </w:p>
    <w:p>
      <w:pPr>
        <w:pStyle w:val="BodyText"/>
        <w:spacing w:line="225" w:lineRule="auto" w:before="21"/>
        <w:ind w:left="667" w:right="135" w:firstLine="395"/>
        <w:jc w:val="both"/>
      </w:pPr>
      <w:r>
        <w:rPr>
          <w:color w:val="3A383A"/>
          <w:w w:val="110"/>
        </w:rPr>
        <w:t>Thus,</w:t>
      </w:r>
      <w:r>
        <w:rPr>
          <w:color w:val="3A383A"/>
          <w:spacing w:val="-18"/>
          <w:w w:val="110"/>
        </w:rPr>
        <w:t> </w:t>
      </w:r>
      <w:r>
        <w:rPr>
          <w:color w:val="3A383A"/>
          <w:w w:val="110"/>
        </w:rPr>
        <w:t>beforeyou</w:t>
      </w:r>
      <w:r>
        <w:rPr>
          <w:color w:val="3A383A"/>
          <w:spacing w:val="-14"/>
          <w:w w:val="110"/>
        </w:rPr>
        <w:t> </w:t>
      </w:r>
      <w:r>
        <w:rPr>
          <w:color w:val="3A383A"/>
          <w:w w:val="110"/>
        </w:rPr>
        <w:t>start</w:t>
      </w:r>
      <w:r>
        <w:rPr>
          <w:color w:val="3A383A"/>
          <w:spacing w:val="-26"/>
          <w:w w:val="110"/>
        </w:rPr>
        <w:t> </w:t>
      </w:r>
      <w:r>
        <w:rPr>
          <w:color w:val="3A383A"/>
          <w:w w:val="110"/>
        </w:rPr>
        <w:t>researching,</w:t>
      </w:r>
      <w:r>
        <w:rPr>
          <w:color w:val="3A383A"/>
          <w:spacing w:val="-8"/>
          <w:w w:val="110"/>
        </w:rPr>
        <w:t> </w:t>
      </w:r>
      <w:r>
        <w:rPr>
          <w:color w:val="3A383A"/>
          <w:w w:val="110"/>
        </w:rPr>
        <w:t>look</w:t>
      </w:r>
      <w:r>
        <w:rPr>
          <w:color w:val="3A383A"/>
          <w:spacing w:val="-32"/>
          <w:w w:val="110"/>
        </w:rPr>
        <w:t> </w:t>
      </w:r>
      <w:r>
        <w:rPr>
          <w:color w:val="3A383A"/>
          <w:w w:val="110"/>
        </w:rPr>
        <w:t>at</w:t>
      </w:r>
      <w:r>
        <w:rPr>
          <w:color w:val="3A383A"/>
          <w:spacing w:val="-4"/>
          <w:w w:val="110"/>
        </w:rPr>
        <w:t> </w:t>
      </w:r>
      <w:r>
        <w:rPr>
          <w:color w:val="3A383A"/>
          <w:w w:val="110"/>
        </w:rPr>
        <w:t>your</w:t>
      </w:r>
      <w:r>
        <w:rPr>
          <w:color w:val="3A383A"/>
          <w:spacing w:val="-32"/>
          <w:w w:val="110"/>
        </w:rPr>
        <w:t> </w:t>
      </w:r>
      <w:r>
        <w:rPr>
          <w:color w:val="3A383A"/>
          <w:w w:val="110"/>
        </w:rPr>
        <w:t>case</w:t>
      </w:r>
      <w:r>
        <w:rPr>
          <w:color w:val="3A383A"/>
          <w:spacing w:val="-31"/>
          <w:w w:val="110"/>
        </w:rPr>
        <w:t> </w:t>
      </w:r>
      <w:r>
        <w:rPr>
          <w:color w:val="3A383A"/>
          <w:w w:val="110"/>
        </w:rPr>
        <w:t>and</w:t>
      </w:r>
      <w:r>
        <w:rPr>
          <w:color w:val="3A383A"/>
          <w:spacing w:val="2"/>
          <w:w w:val="110"/>
        </w:rPr>
        <w:t> </w:t>
      </w:r>
      <w:r>
        <w:rPr>
          <w:color w:val="3A383A"/>
          <w:w w:val="110"/>
        </w:rPr>
        <w:t>at</w:t>
      </w:r>
      <w:r>
        <w:rPr>
          <w:color w:val="3A383A"/>
          <w:spacing w:val="8"/>
          <w:w w:val="110"/>
        </w:rPr>
        <w:t> </w:t>
      </w:r>
      <w:r>
        <w:rPr>
          <w:color w:val="3A383A"/>
          <w:w w:val="110"/>
        </w:rPr>
        <w:t>your</w:t>
      </w:r>
      <w:r>
        <w:rPr>
          <w:color w:val="3A383A"/>
          <w:spacing w:val="-24"/>
          <w:w w:val="110"/>
        </w:rPr>
        <w:t> </w:t>
      </w:r>
      <w:r>
        <w:rPr>
          <w:color w:val="3A383A"/>
          <w:w w:val="110"/>
        </w:rPr>
        <w:t>research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0"/>
        </w:rPr>
        <w:t>question(s) and decide what types of authorities you're looking for. </w:t>
      </w:r>
      <w:r>
        <w:rPr>
          <w:color w:val="3A383A"/>
          <w:w w:val="110"/>
          <w:sz w:val="24"/>
        </w:rPr>
        <w:t>If </w:t>
      </w:r>
      <w:r>
        <w:rPr>
          <w:color w:val="3A383A"/>
          <w:w w:val="110"/>
        </w:rPr>
        <w:t>you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were researching the </w:t>
      </w:r>
      <w:r>
        <w:rPr>
          <w:i/>
          <w:color w:val="3A383A"/>
          <w:w w:val="110"/>
          <w:sz w:val="25"/>
        </w:rPr>
        <w:t>Coors </w:t>
      </w:r>
      <w:r>
        <w:rPr>
          <w:color w:val="3A383A"/>
          <w:w w:val="110"/>
        </w:rPr>
        <w:t>case, for example, you should plan what to do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if</w:t>
      </w:r>
      <w:r>
        <w:rPr>
          <w:color w:val="3A383A"/>
          <w:spacing w:val="14"/>
          <w:w w:val="110"/>
        </w:rPr>
        <w:t> </w:t>
      </w:r>
      <w:r>
        <w:rPr>
          <w:color w:val="3A383A"/>
          <w:w w:val="110"/>
        </w:rPr>
        <w:t>you</w:t>
      </w:r>
      <w:r>
        <w:rPr>
          <w:color w:val="3A383A"/>
          <w:spacing w:val="38"/>
          <w:w w:val="110"/>
        </w:rPr>
        <w:t> </w:t>
      </w:r>
      <w:r>
        <w:rPr>
          <w:color w:val="3A383A"/>
          <w:w w:val="110"/>
        </w:rPr>
        <w:t>don't</w:t>
      </w:r>
      <w:r>
        <w:rPr>
          <w:color w:val="3A383A"/>
          <w:spacing w:val="-4"/>
          <w:w w:val="110"/>
        </w:rPr>
        <w:t> </w:t>
      </w:r>
      <w:r>
        <w:rPr>
          <w:color w:val="3A383A"/>
          <w:w w:val="110"/>
        </w:rPr>
        <w:t>find</w:t>
      </w:r>
      <w:r>
        <w:rPr>
          <w:color w:val="3A383A"/>
          <w:spacing w:val="3"/>
          <w:w w:val="110"/>
        </w:rPr>
        <w:t> </w:t>
      </w:r>
      <w:r>
        <w:rPr>
          <w:color w:val="3A383A"/>
          <w:w w:val="110"/>
        </w:rPr>
        <w:t>any</w:t>
      </w:r>
      <w:r>
        <w:rPr>
          <w:color w:val="3A383A"/>
          <w:spacing w:val="-2"/>
          <w:w w:val="110"/>
        </w:rPr>
        <w:t> </w:t>
      </w:r>
      <w:r>
        <w:rPr>
          <w:color w:val="3A383A"/>
          <w:w w:val="110"/>
        </w:rPr>
        <w:t>cases</w:t>
      </w:r>
      <w:r>
        <w:rPr>
          <w:color w:val="3A383A"/>
          <w:spacing w:val="-17"/>
          <w:w w:val="110"/>
        </w:rPr>
        <w:t> </w:t>
      </w:r>
      <w:r>
        <w:rPr>
          <w:color w:val="3A383A"/>
          <w:w w:val="110"/>
        </w:rPr>
        <w:t>dealing</w:t>
      </w:r>
      <w:r>
        <w:rPr>
          <w:color w:val="3A383A"/>
          <w:spacing w:val="-14"/>
          <w:w w:val="110"/>
        </w:rPr>
        <w:t> </w:t>
      </w:r>
      <w:r>
        <w:rPr>
          <w:color w:val="3A383A"/>
          <w:w w:val="110"/>
        </w:rPr>
        <w:t>with</w:t>
      </w:r>
      <w:r>
        <w:rPr>
          <w:color w:val="3A383A"/>
          <w:spacing w:val="11"/>
          <w:w w:val="110"/>
        </w:rPr>
        <w:t> </w:t>
      </w:r>
      <w:r>
        <w:rPr>
          <w:color w:val="3A383A"/>
          <w:w w:val="110"/>
        </w:rPr>
        <w:t>regulation of</w:t>
      </w:r>
      <w:r>
        <w:rPr>
          <w:color w:val="3A383A"/>
          <w:spacing w:val="20"/>
          <w:w w:val="110"/>
        </w:rPr>
        <w:t> </w:t>
      </w:r>
      <w:r>
        <w:rPr>
          <w:color w:val="3A383A"/>
          <w:w w:val="110"/>
        </w:rPr>
        <w:t>beer</w:t>
      </w:r>
      <w:r>
        <w:rPr>
          <w:color w:val="3A383A"/>
          <w:spacing w:val="-14"/>
          <w:w w:val="110"/>
        </w:rPr>
        <w:t> </w:t>
      </w:r>
      <w:r>
        <w:rPr>
          <w:color w:val="3A383A"/>
          <w:w w:val="110"/>
        </w:rPr>
        <w:t>labels.</w:t>
      </w:r>
      <w:r>
        <w:rPr>
          <w:color w:val="3A383A"/>
          <w:spacing w:val="-13"/>
          <w:w w:val="110"/>
        </w:rPr>
        <w:t> </w:t>
      </w:r>
      <w:r>
        <w:rPr>
          <w:color w:val="3A383A"/>
          <w:w w:val="110"/>
        </w:rPr>
        <w:t>Going</w:t>
      </w:r>
      <w:r>
        <w:rPr>
          <w:color w:val="3A383A"/>
          <w:spacing w:val="-13"/>
          <w:w w:val="110"/>
        </w:rPr>
        <w:t> </w:t>
      </w:r>
      <w:r>
        <w:rPr>
          <w:color w:val="3A383A"/>
          <w:w w:val="110"/>
        </w:rPr>
        <w:t>up</w:t>
      </w:r>
    </w:p>
    <w:p>
      <w:pPr>
        <w:pStyle w:val="BodyText"/>
        <w:rPr>
          <w:sz w:val="26"/>
        </w:rPr>
      </w:pPr>
    </w:p>
    <w:p>
      <w:pPr>
        <w:spacing w:line="195" w:lineRule="exact" w:before="211"/>
        <w:ind w:left="1024" w:right="0" w:firstLine="0"/>
        <w:jc w:val="left"/>
        <w:rPr>
          <w:sz w:val="18"/>
        </w:rPr>
      </w:pPr>
      <w:r>
        <w:rPr>
          <w:color w:val="3A383A"/>
          <w:w w:val="110"/>
          <w:sz w:val="18"/>
        </w:rPr>
        <w:t>'S.</w:t>
      </w:r>
      <w:r>
        <w:rPr>
          <w:color w:val="3A383A"/>
          <w:spacing w:val="1"/>
          <w:w w:val="110"/>
          <w:sz w:val="18"/>
        </w:rPr>
        <w:t> </w:t>
      </w:r>
      <w:r>
        <w:rPr>
          <w:color w:val="3A383A"/>
          <w:w w:val="110"/>
          <w:sz w:val="18"/>
        </w:rPr>
        <w:t>I</w:t>
      </w:r>
      <w:r>
        <w:rPr>
          <w:color w:val="59595B"/>
          <w:w w:val="110"/>
          <w:sz w:val="18"/>
        </w:rPr>
        <w:t>.</w:t>
      </w:r>
      <w:r>
        <w:rPr>
          <w:color w:val="59595B"/>
          <w:spacing w:val="-5"/>
          <w:w w:val="110"/>
          <w:sz w:val="18"/>
        </w:rPr>
        <w:t> </w:t>
      </w:r>
      <w:r>
        <w:rPr>
          <w:color w:val="3A383A"/>
          <w:w w:val="110"/>
          <w:sz w:val="18"/>
        </w:rPr>
        <w:t>Hayakawa</w:t>
      </w:r>
      <w:r>
        <w:rPr>
          <w:color w:val="59595B"/>
          <w:w w:val="110"/>
          <w:sz w:val="18"/>
        </w:rPr>
        <w:t>,</w:t>
      </w:r>
      <w:r>
        <w:rPr>
          <w:color w:val="59595B"/>
          <w:spacing w:val="-6"/>
          <w:w w:val="110"/>
          <w:sz w:val="18"/>
        </w:rPr>
        <w:t> </w:t>
      </w:r>
      <w:r>
        <w:rPr>
          <w:rFonts w:ascii="Arial"/>
          <w:i/>
          <w:color w:val="3A383A"/>
          <w:w w:val="110"/>
          <w:sz w:val="16"/>
        </w:rPr>
        <w:t>Language</w:t>
      </w:r>
      <w:r>
        <w:rPr>
          <w:rFonts w:ascii="Arial"/>
          <w:i/>
          <w:color w:val="3A383A"/>
          <w:spacing w:val="-9"/>
          <w:w w:val="110"/>
          <w:sz w:val="16"/>
        </w:rPr>
        <w:t> </w:t>
      </w:r>
      <w:r>
        <w:rPr>
          <w:rFonts w:ascii="Arial"/>
          <w:i/>
          <w:color w:val="3A383A"/>
          <w:w w:val="110"/>
          <w:sz w:val="16"/>
        </w:rPr>
        <w:t>In</w:t>
      </w:r>
      <w:r>
        <w:rPr>
          <w:rFonts w:ascii="Arial"/>
          <w:i/>
          <w:color w:val="3A383A"/>
          <w:spacing w:val="4"/>
          <w:w w:val="110"/>
          <w:sz w:val="16"/>
        </w:rPr>
        <w:t> </w:t>
      </w:r>
      <w:r>
        <w:rPr>
          <w:rFonts w:ascii="Arial"/>
          <w:i/>
          <w:color w:val="3A383A"/>
          <w:w w:val="110"/>
          <w:sz w:val="16"/>
        </w:rPr>
        <w:t>Thought</w:t>
      </w:r>
      <w:r>
        <w:rPr>
          <w:rFonts w:ascii="Arial"/>
          <w:i/>
          <w:color w:val="3A383A"/>
          <w:spacing w:val="-9"/>
          <w:w w:val="110"/>
          <w:sz w:val="16"/>
        </w:rPr>
        <w:t> </w:t>
      </w:r>
      <w:r>
        <w:rPr>
          <w:rFonts w:ascii="Arial"/>
          <w:i/>
          <w:color w:val="3A383A"/>
          <w:w w:val="110"/>
          <w:sz w:val="16"/>
        </w:rPr>
        <w:t>and</w:t>
      </w:r>
      <w:r>
        <w:rPr>
          <w:rFonts w:ascii="Arial"/>
          <w:i/>
          <w:color w:val="3A383A"/>
          <w:spacing w:val="-11"/>
          <w:w w:val="110"/>
          <w:sz w:val="16"/>
        </w:rPr>
        <w:t> </w:t>
      </w:r>
      <w:r>
        <w:rPr>
          <w:rFonts w:ascii="Arial"/>
          <w:i/>
          <w:color w:val="3A383A"/>
          <w:w w:val="110"/>
          <w:sz w:val="16"/>
        </w:rPr>
        <w:t>Action</w:t>
      </w:r>
      <w:r>
        <w:rPr>
          <w:rFonts w:ascii="Arial"/>
          <w:i/>
          <w:color w:val="3A383A"/>
          <w:spacing w:val="-7"/>
          <w:w w:val="110"/>
          <w:sz w:val="16"/>
        </w:rPr>
        <w:t> </w:t>
      </w:r>
      <w:r>
        <w:rPr>
          <w:color w:val="3A383A"/>
          <w:w w:val="110"/>
          <w:sz w:val="18"/>
        </w:rPr>
        <w:t>155</w:t>
      </w:r>
      <w:r>
        <w:rPr>
          <w:color w:val="3A383A"/>
          <w:spacing w:val="-1"/>
          <w:w w:val="110"/>
          <w:sz w:val="18"/>
        </w:rPr>
        <w:t> </w:t>
      </w:r>
      <w:r>
        <w:rPr>
          <w:color w:val="3A383A"/>
          <w:w w:val="110"/>
          <w:sz w:val="18"/>
        </w:rPr>
        <w:t>(4th</w:t>
      </w:r>
      <w:r>
        <w:rPr>
          <w:color w:val="3A383A"/>
          <w:spacing w:val="-7"/>
          <w:w w:val="110"/>
          <w:sz w:val="18"/>
        </w:rPr>
        <w:t> </w:t>
      </w:r>
      <w:r>
        <w:rPr>
          <w:color w:val="3A383A"/>
          <w:w w:val="110"/>
          <w:sz w:val="18"/>
        </w:rPr>
        <w:t>ed.,</w:t>
      </w:r>
      <w:r>
        <w:rPr>
          <w:color w:val="3A383A"/>
          <w:spacing w:val="-5"/>
          <w:w w:val="110"/>
          <w:sz w:val="18"/>
        </w:rPr>
        <w:t> </w:t>
      </w:r>
      <w:r>
        <w:rPr>
          <w:color w:val="3A383A"/>
          <w:w w:val="110"/>
          <w:sz w:val="18"/>
        </w:rPr>
        <w:t>Harcourt</w:t>
      </w:r>
      <w:r>
        <w:rPr>
          <w:color w:val="3A383A"/>
          <w:spacing w:val="41"/>
          <w:w w:val="110"/>
          <w:sz w:val="18"/>
        </w:rPr>
        <w:t> </w:t>
      </w:r>
      <w:r>
        <w:rPr>
          <w:color w:val="3A383A"/>
          <w:w w:val="110"/>
          <w:sz w:val="18"/>
        </w:rPr>
        <w:t>Brace</w:t>
      </w:r>
      <w:r>
        <w:rPr>
          <w:color w:val="3A383A"/>
          <w:spacing w:val="18"/>
          <w:w w:val="110"/>
          <w:sz w:val="18"/>
        </w:rPr>
        <w:t> </w:t>
      </w:r>
      <w:r>
        <w:rPr>
          <w:color w:val="3A383A"/>
          <w:w w:val="110"/>
          <w:sz w:val="18"/>
        </w:rPr>
        <w:t>Jovanovich</w:t>
      </w:r>
    </w:p>
    <w:p>
      <w:pPr>
        <w:spacing w:line="218" w:lineRule="exact" w:before="0"/>
        <w:ind w:left="634" w:right="0" w:firstLine="0"/>
        <w:jc w:val="left"/>
        <w:rPr>
          <w:sz w:val="18"/>
        </w:rPr>
      </w:pPr>
      <w:r>
        <w:rPr>
          <w:color w:val="3A383A"/>
          <w:w w:val="110"/>
          <w:sz w:val="20"/>
        </w:rPr>
        <w:t>t</w:t>
      </w:r>
      <w:r>
        <w:rPr>
          <w:color w:val="3A383A"/>
          <w:spacing w:val="-33"/>
          <w:w w:val="110"/>
          <w:sz w:val="20"/>
        </w:rPr>
        <w:t> </w:t>
      </w:r>
      <w:r>
        <w:rPr>
          <w:color w:val="3A383A"/>
          <w:w w:val="110"/>
          <w:sz w:val="18"/>
        </w:rPr>
        <w:t>978)</w:t>
      </w:r>
      <w:r>
        <w:rPr>
          <w:color w:val="3A383A"/>
          <w:spacing w:val="-12"/>
          <w:w w:val="110"/>
          <w:sz w:val="18"/>
        </w:rPr>
        <w:t> </w:t>
      </w:r>
      <w:r>
        <w:rPr>
          <w:color w:val="3A383A"/>
          <w:w w:val="110"/>
          <w:sz w:val="18"/>
        </w:rPr>
        <w:t>(discussing</w:t>
      </w:r>
      <w:r>
        <w:rPr>
          <w:color w:val="3A383A"/>
          <w:spacing w:val="4"/>
          <w:w w:val="110"/>
          <w:sz w:val="18"/>
        </w:rPr>
        <w:t> </w:t>
      </w:r>
      <w:r>
        <w:rPr>
          <w:color w:val="3A383A"/>
          <w:w w:val="110"/>
          <w:sz w:val="18"/>
        </w:rPr>
        <w:t>the</w:t>
      </w:r>
      <w:r>
        <w:rPr>
          <w:color w:val="3A383A"/>
          <w:spacing w:val="11"/>
          <w:w w:val="110"/>
          <w:sz w:val="18"/>
        </w:rPr>
        <w:t> </w:t>
      </w:r>
      <w:r>
        <w:rPr>
          <w:color w:val="3A383A"/>
          <w:w w:val="110"/>
          <w:sz w:val="18"/>
        </w:rPr>
        <w:t>abstraction</w:t>
      </w:r>
      <w:r>
        <w:rPr>
          <w:color w:val="3A383A"/>
          <w:spacing w:val="7"/>
          <w:w w:val="110"/>
          <w:sz w:val="18"/>
        </w:rPr>
        <w:t> </w:t>
      </w:r>
      <w:r>
        <w:rPr>
          <w:color w:val="3A383A"/>
          <w:w w:val="110"/>
          <w:sz w:val="18"/>
        </w:rPr>
        <w:t>ladder</w:t>
      </w:r>
      <w:r>
        <w:rPr>
          <w:color w:val="3A383A"/>
          <w:spacing w:val="-3"/>
          <w:w w:val="110"/>
          <w:sz w:val="18"/>
        </w:rPr>
        <w:t> </w:t>
      </w:r>
      <w:r>
        <w:rPr>
          <w:color w:val="3A383A"/>
          <w:w w:val="110"/>
          <w:sz w:val="18"/>
        </w:rPr>
        <w:t>In</w:t>
      </w:r>
      <w:r>
        <w:rPr>
          <w:color w:val="3A383A"/>
          <w:spacing w:val="-2"/>
          <w:w w:val="110"/>
          <w:sz w:val="18"/>
        </w:rPr>
        <w:t> </w:t>
      </w:r>
      <w:r>
        <w:rPr>
          <w:color w:val="3A383A"/>
          <w:w w:val="110"/>
          <w:sz w:val="18"/>
        </w:rPr>
        <w:t>general</w:t>
      </w:r>
      <w:r>
        <w:rPr>
          <w:color w:val="3A383A"/>
          <w:spacing w:val="-12"/>
          <w:w w:val="110"/>
          <w:sz w:val="18"/>
        </w:rPr>
        <w:t> </w:t>
      </w:r>
      <w:r>
        <w:rPr>
          <w:color w:val="3A383A"/>
          <w:w w:val="110"/>
          <w:sz w:val="18"/>
        </w:rPr>
        <w:t>and</w:t>
      </w:r>
      <w:r>
        <w:rPr>
          <w:color w:val="3A383A"/>
          <w:spacing w:val="21"/>
          <w:w w:val="110"/>
          <w:sz w:val="18"/>
        </w:rPr>
        <w:t> </w:t>
      </w:r>
      <w:r>
        <w:rPr>
          <w:color w:val="3A383A"/>
          <w:w w:val="110"/>
          <w:sz w:val="18"/>
        </w:rPr>
        <w:t>the</w:t>
      </w:r>
      <w:r>
        <w:rPr>
          <w:color w:val="3A383A"/>
          <w:spacing w:val="17"/>
          <w:w w:val="110"/>
          <w:sz w:val="18"/>
        </w:rPr>
        <w:t> </w:t>
      </w:r>
      <w:r>
        <w:rPr>
          <w:color w:val="3A383A"/>
          <w:w w:val="110"/>
          <w:sz w:val="18"/>
        </w:rPr>
        <w:t>cow</w:t>
      </w:r>
      <w:r>
        <w:rPr>
          <w:color w:val="3A383A"/>
          <w:spacing w:val="-13"/>
          <w:w w:val="110"/>
          <w:sz w:val="18"/>
        </w:rPr>
        <w:t> </w:t>
      </w:r>
      <w:r>
        <w:rPr>
          <w:color w:val="3A383A"/>
          <w:w w:val="110"/>
          <w:sz w:val="18"/>
        </w:rPr>
        <w:t>example</w:t>
      </w:r>
      <w:r>
        <w:rPr>
          <w:color w:val="3A383A"/>
          <w:spacing w:val="-11"/>
          <w:w w:val="110"/>
          <w:sz w:val="18"/>
        </w:rPr>
        <w:t> </w:t>
      </w:r>
      <w:r>
        <w:rPr>
          <w:color w:val="3A383A"/>
          <w:w w:val="110"/>
          <w:sz w:val="18"/>
        </w:rPr>
        <w:t>In</w:t>
      </w:r>
      <w:r>
        <w:rPr>
          <w:color w:val="3A383A"/>
          <w:spacing w:val="12"/>
          <w:w w:val="110"/>
          <w:sz w:val="18"/>
        </w:rPr>
        <w:t> </w:t>
      </w:r>
      <w:r>
        <w:rPr>
          <w:color w:val="3A383A"/>
          <w:w w:val="110"/>
          <w:sz w:val="18"/>
        </w:rPr>
        <w:t>p</w:t>
      </w:r>
      <w:r>
        <w:rPr>
          <w:color w:val="3A383A"/>
          <w:spacing w:val="7"/>
          <w:w w:val="110"/>
          <w:sz w:val="18"/>
        </w:rPr>
        <w:t> </w:t>
      </w:r>
      <w:r>
        <w:rPr>
          <w:color w:val="3A383A"/>
          <w:w w:val="110"/>
          <w:sz w:val="18"/>
        </w:rPr>
        <w:t>rticul</w:t>
      </w:r>
      <w:r>
        <w:rPr>
          <w:color w:val="3A383A"/>
          <w:spacing w:val="8"/>
          <w:w w:val="110"/>
          <w:sz w:val="18"/>
        </w:rPr>
        <w:t> </w:t>
      </w:r>
      <w:r>
        <w:rPr>
          <w:color w:val="3A383A"/>
          <w:w w:val="110"/>
          <w:sz w:val="18"/>
        </w:rPr>
        <w:t>r).</w:t>
      </w:r>
    </w:p>
    <w:p>
      <w:pPr>
        <w:spacing w:after="0" w:line="218" w:lineRule="exact"/>
        <w:jc w:val="left"/>
        <w:rPr>
          <w:sz w:val="18"/>
        </w:rPr>
        <w:sectPr>
          <w:pgSz w:w="9780" w:h="13770"/>
          <w:pgMar w:header="376" w:footer="0" w:top="560" w:bottom="280" w:left="13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32" w:lineRule="auto"/>
        <w:ind w:left="118" w:right="326" w:firstLine="5"/>
        <w:jc w:val="both"/>
      </w:pPr>
      <w:r>
        <w:rPr>
          <w:color w:val="3A3838"/>
          <w:w w:val="110"/>
        </w:rPr>
        <w:t>the abstraction ladder, you might look for regulations about labels of any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kind. Or going up farther</w:t>
      </w:r>
      <w:r>
        <w:rPr>
          <w:color w:val="5B5B5D"/>
          <w:w w:val="110"/>
        </w:rPr>
        <w:t>, </w:t>
      </w:r>
      <w:r>
        <w:rPr>
          <w:color w:val="3A3838"/>
          <w:w w:val="110"/>
        </w:rPr>
        <w:t>you might look for regulations about any kind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3"/>
          <w:w w:val="110"/>
        </w:rPr>
        <w:t> </w:t>
      </w:r>
      <w:r>
        <w:rPr>
          <w:color w:val="3A3838"/>
          <w:w w:val="110"/>
        </w:rPr>
        <w:t>advertising</w:t>
      </w:r>
      <w:r>
        <w:rPr>
          <w:color w:val="5B5B5D"/>
          <w:w w:val="110"/>
        </w:rPr>
        <w:t>.</w:t>
      </w:r>
    </w:p>
    <w:p>
      <w:pPr>
        <w:pStyle w:val="BodyText"/>
        <w:spacing w:line="232" w:lineRule="auto" w:before="11"/>
        <w:ind w:left="105" w:right="278" w:firstLine="373"/>
        <w:jc w:val="both"/>
      </w:pPr>
      <w:r>
        <w:rPr>
          <w:color w:val="3A3838"/>
          <w:spacing w:val="-1"/>
          <w:w w:val="115"/>
        </w:rPr>
        <w:t>But "any kind of advertising" might be </w:t>
      </w:r>
      <w:r>
        <w:rPr>
          <w:color w:val="3A3838"/>
          <w:w w:val="115"/>
        </w:rPr>
        <w:t>too broad a concept. What is</w:t>
      </w:r>
      <w:r>
        <w:rPr>
          <w:color w:val="3A3838"/>
          <w:spacing w:val="-64"/>
          <w:w w:val="115"/>
        </w:rPr>
        <w:t> </w:t>
      </w:r>
      <w:r>
        <w:rPr>
          <w:color w:val="3A3838"/>
          <w:w w:val="110"/>
        </w:rPr>
        <w:t>significant about beer advertising as opposed to the general definition of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advertising? One obvious answer is that there are lots of restrictions on</w:t>
      </w:r>
      <w:r>
        <w:rPr>
          <w:color w:val="3A3838"/>
          <w:spacing w:val="-64"/>
          <w:w w:val="115"/>
        </w:rPr>
        <w:t> </w:t>
      </w:r>
      <w:r>
        <w:rPr>
          <w:color w:val="3A3838"/>
          <w:w w:val="115"/>
        </w:rPr>
        <w:t>beer-as oneof my students put it, it's a vice that the government regu­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lates</w:t>
      </w:r>
      <w:r>
        <w:rPr>
          <w:color w:val="5B5B5D"/>
          <w:w w:val="110"/>
        </w:rPr>
        <w:t>. </w:t>
      </w:r>
      <w:r>
        <w:rPr>
          <w:color w:val="3A3838"/>
          <w:w w:val="110"/>
        </w:rPr>
        <w:t>Thinking in terms of "vices" that the government regulates would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5"/>
        </w:rPr>
        <w:t>broaden your</w:t>
      </w:r>
      <w:r>
        <w:rPr>
          <w:color w:val="3A3838"/>
          <w:spacing w:val="-10"/>
          <w:w w:val="115"/>
        </w:rPr>
        <w:t> </w:t>
      </w:r>
      <w:r>
        <w:rPr>
          <w:color w:val="3A3838"/>
          <w:w w:val="115"/>
        </w:rPr>
        <w:t>horizons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to</w:t>
      </w:r>
      <w:r>
        <w:rPr>
          <w:color w:val="3A3838"/>
          <w:spacing w:val="-5"/>
          <w:w w:val="115"/>
        </w:rPr>
        <w:t> </w:t>
      </w:r>
      <w:r>
        <w:rPr>
          <w:color w:val="3A3838"/>
          <w:w w:val="115"/>
        </w:rPr>
        <w:t>looking</w:t>
      </w:r>
      <w:r>
        <w:rPr>
          <w:color w:val="3A3838"/>
          <w:spacing w:val="-15"/>
          <w:w w:val="115"/>
        </w:rPr>
        <w:t> </w:t>
      </w:r>
      <w:r>
        <w:rPr>
          <w:color w:val="3A3838"/>
          <w:w w:val="115"/>
        </w:rPr>
        <w:t>for</w:t>
      </w:r>
      <w:r>
        <w:rPr>
          <w:color w:val="3A3838"/>
          <w:spacing w:val="-13"/>
          <w:w w:val="115"/>
        </w:rPr>
        <w:t> </w:t>
      </w:r>
      <w:r>
        <w:rPr>
          <w:color w:val="3A3838"/>
          <w:w w:val="115"/>
        </w:rPr>
        <w:t>cases</w:t>
      </w:r>
      <w:r>
        <w:rPr>
          <w:color w:val="3A3838"/>
          <w:spacing w:val="-17"/>
          <w:w w:val="115"/>
        </w:rPr>
        <w:t> </w:t>
      </w:r>
      <w:r>
        <w:rPr>
          <w:color w:val="3A3838"/>
          <w:w w:val="115"/>
        </w:rPr>
        <w:t>about</w:t>
      </w:r>
      <w:r>
        <w:rPr>
          <w:color w:val="3A3838"/>
          <w:spacing w:val="-9"/>
          <w:w w:val="115"/>
        </w:rPr>
        <w:t> </w:t>
      </w:r>
      <w:r>
        <w:rPr>
          <w:color w:val="3A3838"/>
          <w:w w:val="115"/>
        </w:rPr>
        <w:t>regulation</w:t>
      </w:r>
      <w:r>
        <w:rPr>
          <w:color w:val="3A3838"/>
          <w:spacing w:val="-6"/>
          <w:w w:val="115"/>
        </w:rPr>
        <w:t> </w:t>
      </w:r>
      <w:r>
        <w:rPr>
          <w:color w:val="3A3838"/>
          <w:w w:val="115"/>
        </w:rPr>
        <w:t>of</w:t>
      </w:r>
      <w:r>
        <w:rPr>
          <w:color w:val="3A3838"/>
          <w:spacing w:val="-2"/>
          <w:w w:val="115"/>
        </w:rPr>
        <w:t> </w:t>
      </w:r>
      <w:r>
        <w:rPr>
          <w:color w:val="3A3838"/>
          <w:w w:val="115"/>
        </w:rPr>
        <w:t>advertis­</w:t>
      </w:r>
      <w:r>
        <w:rPr>
          <w:color w:val="3A3838"/>
          <w:spacing w:val="-64"/>
          <w:w w:val="115"/>
        </w:rPr>
        <w:t> </w:t>
      </w:r>
      <w:r>
        <w:rPr>
          <w:color w:val="3A3838"/>
          <w:w w:val="110"/>
        </w:rPr>
        <w:t>ing about liquor, gambling, smoking, or pornography because they are all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legal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activities</w:t>
      </w:r>
      <w:r>
        <w:rPr>
          <w:color w:val="3A3838"/>
          <w:spacing w:val="-11"/>
          <w:w w:val="110"/>
        </w:rPr>
        <w:t> </w:t>
      </w:r>
      <w:r>
        <w:rPr>
          <w:color w:val="3A3838"/>
          <w:w w:val="110"/>
        </w:rPr>
        <w:t>subject</w:t>
      </w:r>
      <w:r>
        <w:rPr>
          <w:color w:val="3A3838"/>
          <w:spacing w:val="3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significant</w:t>
      </w:r>
      <w:r>
        <w:rPr>
          <w:color w:val="3A3838"/>
          <w:spacing w:val="6"/>
          <w:w w:val="110"/>
        </w:rPr>
        <w:t> </w:t>
      </w:r>
      <w:r>
        <w:rPr>
          <w:color w:val="3A3838"/>
          <w:w w:val="110"/>
        </w:rPr>
        <w:t>governmental</w:t>
      </w:r>
      <w:r>
        <w:rPr>
          <w:color w:val="3A3838"/>
          <w:spacing w:val="20"/>
          <w:w w:val="110"/>
        </w:rPr>
        <w:t> </w:t>
      </w:r>
      <w:r>
        <w:rPr>
          <w:color w:val="3A3838"/>
          <w:w w:val="110"/>
        </w:rPr>
        <w:t>regulation</w:t>
      </w:r>
      <w:r>
        <w:rPr>
          <w:color w:val="3A3838"/>
          <w:spacing w:val="7"/>
          <w:w w:val="110"/>
        </w:rPr>
        <w:t> </w:t>
      </w:r>
      <w:r>
        <w:rPr>
          <w:color w:val="3A3838"/>
          <w:w w:val="110"/>
        </w:rPr>
        <w:t>("vices").</w:t>
      </w:r>
    </w:p>
    <w:p>
      <w:pPr>
        <w:pStyle w:val="BodyText"/>
        <w:spacing w:line="232" w:lineRule="auto" w:before="9"/>
        <w:ind w:left="108" w:right="259" w:firstLine="371"/>
        <w:jc w:val="both"/>
      </w:pPr>
      <w:r>
        <w:rPr>
          <w:color w:val="3A3838"/>
          <w:w w:val="110"/>
        </w:rPr>
        <w:t>Broadening your horizons in this way can make the research process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easier because you will be more attuned to the cases that are relevant 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helpful even though they are not 100 percent on point</w:t>
      </w:r>
      <w:r>
        <w:rPr>
          <w:color w:val="5B5B5D"/>
          <w:w w:val="115"/>
        </w:rPr>
        <w:t>. </w:t>
      </w:r>
      <w:r>
        <w:rPr>
          <w:color w:val="3A3838"/>
          <w:w w:val="115"/>
        </w:rPr>
        <w:t>By being more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practical about the potential results of your research, you will be more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likely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22"/>
          <w:w w:val="110"/>
        </w:rPr>
        <w:t> </w:t>
      </w:r>
      <w:r>
        <w:rPr>
          <w:color w:val="3A3838"/>
          <w:w w:val="110"/>
        </w:rPr>
        <w:t>recognize relevant</w:t>
      </w:r>
      <w:r>
        <w:rPr>
          <w:color w:val="3A3838"/>
          <w:spacing w:val="-7"/>
          <w:w w:val="110"/>
        </w:rPr>
        <w:t> </w:t>
      </w:r>
      <w:r>
        <w:rPr>
          <w:color w:val="3A3838"/>
          <w:w w:val="110"/>
        </w:rPr>
        <w:t>authorities.</w:t>
      </w:r>
    </w:p>
    <w:p>
      <w:pPr>
        <w:pStyle w:val="BodyText"/>
        <w:spacing w:before="2"/>
        <w:rPr>
          <w:sz w:val="36"/>
        </w:rPr>
      </w:pPr>
    </w:p>
    <w:p>
      <w:pPr>
        <w:spacing w:before="0"/>
        <w:ind w:left="463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A3838"/>
          <w:w w:val="105"/>
          <w:sz w:val="28"/>
        </w:rPr>
        <w:t>3.2.5</w:t>
      </w:r>
    </w:p>
    <w:p>
      <w:pPr>
        <w:spacing w:before="35"/>
        <w:ind w:left="468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3A3838"/>
          <w:sz w:val="22"/>
        </w:rPr>
        <w:t>IDENTI</w:t>
      </w:r>
      <w:r>
        <w:rPr>
          <w:rFonts w:ascii="Arial"/>
          <w:b/>
          <w:color w:val="5B5B5D"/>
          <w:sz w:val="22"/>
        </w:rPr>
        <w:t>F</w:t>
      </w:r>
      <w:r>
        <w:rPr>
          <w:rFonts w:ascii="Arial"/>
          <w:b/>
          <w:color w:val="3A3838"/>
          <w:sz w:val="22"/>
        </w:rPr>
        <w:t>YING</w:t>
      </w:r>
      <w:r>
        <w:rPr>
          <w:rFonts w:ascii="Arial"/>
          <w:b/>
          <w:color w:val="3A3838"/>
          <w:spacing w:val="40"/>
          <w:sz w:val="22"/>
        </w:rPr>
        <w:t> </w:t>
      </w:r>
      <w:r>
        <w:rPr>
          <w:b/>
          <w:color w:val="3A3838"/>
          <w:sz w:val="24"/>
        </w:rPr>
        <w:t>A</w:t>
      </w:r>
      <w:r>
        <w:rPr>
          <w:b/>
          <w:color w:val="3A3838"/>
          <w:spacing w:val="-10"/>
          <w:sz w:val="24"/>
        </w:rPr>
        <w:t> </w:t>
      </w:r>
      <w:r>
        <w:rPr>
          <w:b/>
          <w:color w:val="3A3838"/>
          <w:sz w:val="24"/>
        </w:rPr>
        <w:t>THEME</w:t>
      </w:r>
      <w:r>
        <w:rPr>
          <w:b/>
          <w:color w:val="3A3838"/>
          <w:spacing w:val="22"/>
          <w:sz w:val="24"/>
        </w:rPr>
        <w:t> </w:t>
      </w:r>
      <w:r>
        <w:rPr>
          <w:rFonts w:ascii="Arial"/>
          <w:b/>
          <w:color w:val="3A3838"/>
          <w:sz w:val="22"/>
        </w:rPr>
        <w:t>FOR</w:t>
      </w:r>
      <w:r>
        <w:rPr>
          <w:rFonts w:ascii="Arial"/>
          <w:b/>
          <w:color w:val="3A3838"/>
          <w:spacing w:val="34"/>
          <w:sz w:val="22"/>
        </w:rPr>
        <w:t> </w:t>
      </w:r>
      <w:r>
        <w:rPr>
          <w:rFonts w:ascii="Arial"/>
          <w:b/>
          <w:color w:val="3A3838"/>
          <w:sz w:val="22"/>
        </w:rPr>
        <w:t>YOUR</w:t>
      </w:r>
      <w:r>
        <w:rPr>
          <w:rFonts w:ascii="Arial"/>
          <w:b/>
          <w:color w:val="3A3838"/>
          <w:spacing w:val="26"/>
          <w:sz w:val="22"/>
        </w:rPr>
        <w:t> </w:t>
      </w:r>
      <w:r>
        <w:rPr>
          <w:rFonts w:ascii="Arial"/>
          <w:b/>
          <w:color w:val="3A3838"/>
          <w:sz w:val="22"/>
        </w:rPr>
        <w:t>ARGUMENT</w:t>
      </w:r>
    </w:p>
    <w:p>
      <w:pPr>
        <w:pStyle w:val="BodyText"/>
        <w:spacing w:line="232" w:lineRule="auto" w:before="115"/>
        <w:ind w:left="115" w:right="193" w:firstLine="366"/>
        <w:jc w:val="both"/>
      </w:pPr>
      <w:r>
        <w:rPr>
          <w:color w:val="3A3838"/>
          <w:w w:val="110"/>
        </w:rPr>
        <w:t>As you think broadly about the issues that your case presents, it is a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good idea to identify a potential theme or themes for your argument</w:t>
      </w:r>
      <w:r>
        <w:rPr>
          <w:color w:val="5B5B5D"/>
          <w:w w:val="110"/>
        </w:rPr>
        <w:t>. </w:t>
      </w:r>
      <w:r>
        <w:rPr>
          <w:color w:val="3A3838"/>
          <w:w w:val="110"/>
        </w:rPr>
        <w:t>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theme may develop or change as you continue the research 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writing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process, but  identifying at least a tentative theme early in </w:t>
      </w:r>
      <w:r>
        <w:rPr>
          <w:color w:val="3A3838"/>
          <w:w w:val="110"/>
          <w:sz w:val="24"/>
        </w:rPr>
        <w:t>y </w:t>
      </w:r>
      <w:r>
        <w:rPr>
          <w:color w:val="3A3838"/>
          <w:w w:val="110"/>
        </w:rPr>
        <w:t>Jur research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can help to direct your research as well. A theme is particularly important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when arguing issues for which no mandatory authority governs the out­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come, or  when arguing to  a court of last resort</w:t>
      </w:r>
      <w:r>
        <w:rPr>
          <w:color w:val="5B5B5D"/>
          <w:w w:val="110"/>
        </w:rPr>
        <w:t>. </w:t>
      </w:r>
      <w:r>
        <w:rPr>
          <w:color w:val="3A3838"/>
          <w:w w:val="110"/>
        </w:rPr>
        <w:t>If counsel on two sides of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 case present legal arguments that are equally plausible from a logical or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legal viewpoint,</w:t>
      </w:r>
      <w:r>
        <w:rPr>
          <w:color w:val="3A3838"/>
          <w:spacing w:val="2"/>
          <w:w w:val="110"/>
        </w:rPr>
        <w:t> </w:t>
      </w:r>
      <w:r>
        <w:rPr>
          <w:color w:val="3A3838"/>
          <w:w w:val="110"/>
        </w:rPr>
        <w:t>an</w:t>
      </w:r>
      <w:r>
        <w:rPr>
          <w:color w:val="3A3838"/>
          <w:spacing w:val="29"/>
          <w:w w:val="110"/>
        </w:rPr>
        <w:t> </w:t>
      </w:r>
      <w:r>
        <w:rPr>
          <w:color w:val="3A3838"/>
          <w:w w:val="110"/>
        </w:rPr>
        <w:t>effective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theme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may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help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carry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6"/>
          <w:w w:val="110"/>
        </w:rPr>
        <w:t> </w:t>
      </w:r>
      <w:r>
        <w:rPr>
          <w:color w:val="3A3838"/>
          <w:w w:val="110"/>
        </w:rPr>
        <w:t>day.</w:t>
      </w:r>
    </w:p>
    <w:p>
      <w:pPr>
        <w:pStyle w:val="BodyText"/>
        <w:spacing w:line="235" w:lineRule="auto"/>
        <w:ind w:left="115" w:right="125" w:firstLine="366"/>
        <w:jc w:val="both"/>
      </w:pPr>
      <w:r>
        <w:rPr>
          <w:color w:val="3A3838"/>
          <w:w w:val="115"/>
        </w:rPr>
        <w:t>A good theme is a statement about the law, the facts, or about how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the law and facts intersect, and it is a statement that is true even in the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face of your opponent's best argument. Good themes are often policy­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based for this reason; although two interpretations of a statute may not</w:t>
      </w:r>
      <w:r>
        <w:rPr>
          <w:color w:val="3A3838"/>
          <w:spacing w:val="1"/>
          <w:w w:val="115"/>
        </w:rPr>
        <w:t> </w:t>
      </w:r>
      <w:r>
        <w:rPr>
          <w:color w:val="3A3838"/>
          <w:spacing w:val="-1"/>
          <w:w w:val="115"/>
        </w:rPr>
        <w:t>be able to coexist, two competing policies </w:t>
      </w:r>
      <w:r>
        <w:rPr>
          <w:color w:val="3A3838"/>
          <w:w w:val="115"/>
        </w:rPr>
        <w:t>often can. When courts must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choose between  two competing  interpretations of  the  law, they often do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so by identifying (explicitly or implicitly) which of two competing pol­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icy arguments is more important </w:t>
      </w:r>
      <w:r>
        <w:rPr>
          <w:i/>
          <w:color w:val="3A3838"/>
          <w:w w:val="115"/>
        </w:rPr>
        <w:t>in this situation. </w:t>
      </w:r>
      <w:r>
        <w:rPr>
          <w:color w:val="3A3838"/>
          <w:w w:val="115"/>
        </w:rPr>
        <w:t>The court's decision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does not negate the validity of the "losing" theme or policy argument; it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merely decides that in this particular circumstance, another policy Is more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important.</w:t>
      </w:r>
    </w:p>
    <w:p>
      <w:pPr>
        <w:pStyle w:val="BodyText"/>
        <w:spacing w:line="239" w:lineRule="exact"/>
        <w:ind w:left="486"/>
        <w:jc w:val="both"/>
      </w:pPr>
      <w:r>
        <w:rPr>
          <w:color w:val="3A3838"/>
          <w:w w:val="115"/>
        </w:rPr>
        <w:t>To</w:t>
      </w:r>
      <w:r>
        <w:rPr>
          <w:color w:val="3A3838"/>
          <w:spacing w:val="-4"/>
          <w:w w:val="115"/>
        </w:rPr>
        <w:t> </w:t>
      </w:r>
      <w:r>
        <w:rPr>
          <w:color w:val="3A3838"/>
          <w:w w:val="115"/>
        </w:rPr>
        <w:t>identify</w:t>
      </w:r>
      <w:r>
        <w:rPr>
          <w:color w:val="3A3838"/>
          <w:spacing w:val="13"/>
          <w:w w:val="115"/>
        </w:rPr>
        <w:t> </w:t>
      </w:r>
      <w:r>
        <w:rPr>
          <w:color w:val="3A3838"/>
          <w:w w:val="115"/>
        </w:rPr>
        <w:t>a</w:t>
      </w:r>
      <w:r>
        <w:rPr>
          <w:color w:val="3A3838"/>
          <w:spacing w:val="4"/>
          <w:w w:val="115"/>
        </w:rPr>
        <w:t> </w:t>
      </w:r>
      <w:r>
        <w:rPr>
          <w:color w:val="3A3838"/>
          <w:w w:val="115"/>
        </w:rPr>
        <w:t>theme,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try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to</w:t>
      </w:r>
      <w:r>
        <w:rPr>
          <w:color w:val="3A3838"/>
          <w:spacing w:val="14"/>
          <w:w w:val="115"/>
        </w:rPr>
        <w:t> </w:t>
      </w:r>
      <w:r>
        <w:rPr>
          <w:color w:val="3A3838"/>
          <w:w w:val="115"/>
        </w:rPr>
        <w:t>think</w:t>
      </w:r>
      <w:r>
        <w:rPr>
          <w:color w:val="3A3838"/>
          <w:spacing w:val="10"/>
          <w:w w:val="115"/>
        </w:rPr>
        <w:t> </w:t>
      </w:r>
      <w:r>
        <w:rPr>
          <w:color w:val="3A3838"/>
          <w:w w:val="115"/>
        </w:rPr>
        <w:t>both</w:t>
      </w:r>
      <w:r>
        <w:rPr>
          <w:color w:val="3A3838"/>
          <w:spacing w:val="16"/>
          <w:w w:val="115"/>
        </w:rPr>
        <w:t> </w:t>
      </w:r>
      <w:r>
        <w:rPr>
          <w:color w:val="3A3838"/>
          <w:w w:val="115"/>
        </w:rPr>
        <w:t>broadly</w:t>
      </w:r>
      <w:r>
        <w:rPr>
          <w:color w:val="3A3838"/>
          <w:spacing w:val="10"/>
          <w:w w:val="115"/>
        </w:rPr>
        <w:t> </w:t>
      </w:r>
      <w:r>
        <w:rPr>
          <w:color w:val="3A3838"/>
          <w:w w:val="115"/>
        </w:rPr>
        <w:t>and</w:t>
      </w:r>
      <w:r>
        <w:rPr>
          <w:color w:val="3A3838"/>
          <w:spacing w:val="22"/>
          <w:w w:val="115"/>
        </w:rPr>
        <w:t> </w:t>
      </w:r>
      <w:r>
        <w:rPr>
          <w:color w:val="3A3838"/>
          <w:w w:val="115"/>
        </w:rPr>
        <w:t>specifically</w:t>
      </w:r>
      <w:r>
        <w:rPr>
          <w:color w:val="3A3838"/>
          <w:spacing w:val="7"/>
          <w:w w:val="115"/>
        </w:rPr>
        <w:t> </w:t>
      </w:r>
      <w:r>
        <w:rPr>
          <w:color w:val="3A3838"/>
          <w:w w:val="115"/>
        </w:rPr>
        <w:t>about</w:t>
      </w:r>
    </w:p>
    <w:p>
      <w:pPr>
        <w:pStyle w:val="BodyText"/>
        <w:spacing w:line="232" w:lineRule="auto" w:before="4"/>
        <w:ind w:left="134" w:right="102" w:hanging="9"/>
        <w:jc w:val="both"/>
      </w:pPr>
      <w:r>
        <w:rPr>
          <w:color w:val="3A3838"/>
          <w:w w:val="115"/>
        </w:rPr>
        <w:t>what your case Is about, and try to identify a policy that supports the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result you  seek. For example, if your client is arguing that a state statute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that</w:t>
      </w:r>
      <w:r>
        <w:rPr>
          <w:color w:val="3A3838"/>
          <w:spacing w:val="21"/>
          <w:w w:val="115"/>
        </w:rPr>
        <w:t> </w:t>
      </w:r>
      <w:r>
        <w:rPr>
          <w:color w:val="3A3838"/>
          <w:w w:val="115"/>
        </w:rPr>
        <w:t>promises</w:t>
      </w:r>
      <w:r>
        <w:rPr>
          <w:color w:val="3A3838"/>
          <w:spacing w:val="10"/>
          <w:w w:val="115"/>
        </w:rPr>
        <w:t> </w:t>
      </w:r>
      <w:r>
        <w:rPr>
          <w:color w:val="3A3838"/>
          <w:w w:val="115"/>
        </w:rPr>
        <w:t>a</w:t>
      </w:r>
      <w:r>
        <w:rPr>
          <w:color w:val="3A3838"/>
          <w:spacing w:val="28"/>
          <w:w w:val="115"/>
        </w:rPr>
        <w:t> </w:t>
      </w:r>
      <w:r>
        <w:rPr>
          <w:color w:val="3A3838"/>
          <w:w w:val="115"/>
        </w:rPr>
        <w:t>"safe"</w:t>
      </w:r>
      <w:r>
        <w:rPr>
          <w:color w:val="3A3838"/>
          <w:spacing w:val="9"/>
          <w:w w:val="115"/>
        </w:rPr>
        <w:t> </w:t>
      </w:r>
      <w:r>
        <w:rPr>
          <w:color w:val="3A3838"/>
          <w:w w:val="115"/>
        </w:rPr>
        <w:t>workplace</w:t>
      </w:r>
      <w:r>
        <w:rPr>
          <w:color w:val="3A3838"/>
          <w:spacing w:val="17"/>
          <w:w w:val="115"/>
        </w:rPr>
        <w:t> </w:t>
      </w:r>
      <w:r>
        <w:rPr>
          <w:color w:val="3A3838"/>
          <w:w w:val="115"/>
        </w:rPr>
        <w:t>entitles</w:t>
      </w:r>
      <w:r>
        <w:rPr>
          <w:color w:val="3A3838"/>
          <w:spacing w:val="24"/>
          <w:w w:val="115"/>
        </w:rPr>
        <w:t> </w:t>
      </w:r>
      <w:r>
        <w:rPr>
          <w:color w:val="3A3838"/>
          <w:w w:val="115"/>
        </w:rPr>
        <w:t>him</w:t>
      </w:r>
      <w:r>
        <w:rPr>
          <w:color w:val="3A3838"/>
          <w:spacing w:val="31"/>
          <w:w w:val="115"/>
        </w:rPr>
        <w:t> </w:t>
      </w:r>
      <w:r>
        <w:rPr>
          <w:color w:val="3A3838"/>
          <w:w w:val="115"/>
        </w:rPr>
        <w:t>to</w:t>
      </w:r>
      <w:r>
        <w:rPr>
          <w:color w:val="3A3838"/>
          <w:spacing w:val="26"/>
          <w:w w:val="115"/>
        </w:rPr>
        <w:t> </w:t>
      </w:r>
      <w:r>
        <w:rPr>
          <w:color w:val="3A3838"/>
          <w:w w:val="115"/>
        </w:rPr>
        <w:t>an</w:t>
      </w:r>
      <w:r>
        <w:rPr>
          <w:color w:val="3A3838"/>
          <w:spacing w:val="35"/>
          <w:w w:val="115"/>
        </w:rPr>
        <w:t> </w:t>
      </w:r>
      <w:r>
        <w:rPr>
          <w:color w:val="3A3838"/>
          <w:w w:val="115"/>
        </w:rPr>
        <w:t>injunction</w:t>
      </w:r>
      <w:r>
        <w:rPr>
          <w:color w:val="3A3838"/>
          <w:spacing w:val="26"/>
          <w:w w:val="115"/>
        </w:rPr>
        <w:t> </w:t>
      </w:r>
      <w:r>
        <w:rPr>
          <w:color w:val="3A3838"/>
          <w:w w:val="115"/>
        </w:rPr>
        <w:t>banning</w:t>
      </w:r>
    </w:p>
    <w:p>
      <w:pPr>
        <w:spacing w:after="0" w:line="232" w:lineRule="auto"/>
        <w:jc w:val="both"/>
        <w:sectPr>
          <w:headerReference w:type="default" r:id="rId71"/>
          <w:pgSz w:w="9530" w:h="13730"/>
          <w:pgMar w:header="505" w:footer="0" w:top="680" w:bottom="280" w:left="500" w:right="1100"/>
          <w:pgNumType w:start="47"/>
        </w:sectPr>
      </w:pPr>
    </w:p>
    <w:p>
      <w:pPr>
        <w:pStyle w:val="BodyText"/>
        <w:spacing w:before="7"/>
        <w:rPr>
          <w:sz w:val="27"/>
        </w:rPr>
      </w:pPr>
    </w:p>
    <w:p>
      <w:pPr>
        <w:tabs>
          <w:tab w:pos="2162" w:val="left" w:leader="none"/>
        </w:tabs>
        <w:spacing w:before="95"/>
        <w:ind w:left="1419" w:right="0" w:firstLine="0"/>
        <w:jc w:val="left"/>
        <w:rPr>
          <w:rFonts w:ascii="Arial"/>
          <w:sz w:val="17"/>
        </w:rPr>
      </w:pPr>
      <w:r>
        <w:rPr/>
        <w:pict>
          <v:shape style="position:absolute;margin-left:-3.756104pt;margin-top:-14.958358pt;width:10.4pt;height:64.5pt;mso-position-horizontal-relative:page;mso-position-vertical-relative:paragraph;z-index:-21606400" type="#_x0000_t202" id="docshape98" filled="false" stroked="false">
            <v:textbox inset="0,0,0,0">
              <w:txbxContent>
                <w:p>
                  <w:pPr>
                    <w:spacing w:line="1289" w:lineRule="exact" w:before="0"/>
                    <w:ind w:left="0" w:right="0" w:firstLine="0"/>
                    <w:jc w:val="left"/>
                    <w:rPr>
                      <w:rFonts w:ascii="Arial"/>
                      <w:sz w:val="115"/>
                    </w:rPr>
                  </w:pPr>
                  <w:r>
                    <w:rPr>
                      <w:rFonts w:ascii="Arial"/>
                      <w:color w:val="67696B"/>
                      <w:w w:val="54"/>
                      <w:sz w:val="115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3B3A3B"/>
          <w:w w:val="90"/>
          <w:position w:val="-2"/>
          <w:sz w:val="18"/>
        </w:rPr>
        <w:t>48</w:t>
        <w:tab/>
      </w:r>
      <w:r>
        <w:rPr>
          <w:rFonts w:ascii="Arial"/>
          <w:color w:val="3B3A3B"/>
          <w:sz w:val="17"/>
        </w:rPr>
        <w:t>Chapter</w:t>
      </w:r>
      <w:r>
        <w:rPr>
          <w:rFonts w:ascii="Arial"/>
          <w:color w:val="3B3A3B"/>
          <w:spacing w:val="-5"/>
          <w:sz w:val="17"/>
        </w:rPr>
        <w:t> </w:t>
      </w:r>
      <w:r>
        <w:rPr>
          <w:rFonts w:ascii="Arial"/>
          <w:color w:val="3B3A3B"/>
          <w:sz w:val="17"/>
        </w:rPr>
        <w:t>Three</w:t>
      </w:r>
      <w:r>
        <w:rPr>
          <w:rFonts w:ascii="Arial"/>
          <w:color w:val="3B3A3B"/>
          <w:spacing w:val="88"/>
          <w:sz w:val="17"/>
        </w:rPr>
        <w:t> </w:t>
      </w:r>
      <w:r>
        <w:rPr>
          <w:rFonts w:ascii="Arial"/>
          <w:color w:val="3B3A3B"/>
          <w:sz w:val="17"/>
        </w:rPr>
        <w:t>Before</w:t>
      </w:r>
      <w:r>
        <w:rPr>
          <w:rFonts w:ascii="Arial"/>
          <w:color w:val="3B3A3B"/>
          <w:spacing w:val="-4"/>
          <w:sz w:val="17"/>
        </w:rPr>
        <w:t> </w:t>
      </w:r>
      <w:r>
        <w:rPr>
          <w:rFonts w:ascii="Arial"/>
          <w:color w:val="3B3A3B"/>
          <w:sz w:val="17"/>
        </w:rPr>
        <w:t>You</w:t>
      </w:r>
      <w:r>
        <w:rPr>
          <w:rFonts w:ascii="Arial"/>
          <w:color w:val="3B3A3B"/>
          <w:spacing w:val="-15"/>
          <w:sz w:val="17"/>
        </w:rPr>
        <w:t> </w:t>
      </w:r>
      <w:r>
        <w:rPr>
          <w:rFonts w:ascii="Arial"/>
          <w:color w:val="3B3A3B"/>
          <w:sz w:val="17"/>
        </w:rPr>
        <w:t>Write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line="235" w:lineRule="auto" w:before="181"/>
        <w:ind w:left="2129" w:right="-44"/>
        <w:jc w:val="both"/>
      </w:pPr>
      <w:r>
        <w:rPr>
          <w:color w:val="3B3A3B"/>
          <w:w w:val="110"/>
        </w:rPr>
        <w:t>smoking in and around his office building, possible themes include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importance of protecting nonsmokers from secondhand smoke, of pro­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tecting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health of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workers,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or of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protecting and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promoting public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health. In contrast, your opponent might choose as a theme the impor­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tance of respecting the autonomy of private employers to make decisions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regarding legal activities within the workplace. If both sides present legal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arguments of similar validity, the  policies behind each theme may help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2"/>
          <w:w w:val="110"/>
        </w:rPr>
        <w:t> </w:t>
      </w:r>
      <w:r>
        <w:rPr>
          <w:color w:val="3B3A3B"/>
          <w:w w:val="110"/>
        </w:rPr>
        <w:t>court to</w:t>
      </w:r>
      <w:r>
        <w:rPr>
          <w:color w:val="3B3A3B"/>
          <w:spacing w:val="-1"/>
          <w:w w:val="110"/>
        </w:rPr>
        <w:t> </w:t>
      </w:r>
      <w:r>
        <w:rPr>
          <w:color w:val="3B3A3B"/>
          <w:w w:val="110"/>
        </w:rPr>
        <w:t>make</w:t>
      </w:r>
      <w:r>
        <w:rPr>
          <w:color w:val="3B3A3B"/>
          <w:spacing w:val="-10"/>
          <w:w w:val="110"/>
        </w:rPr>
        <w:t> </w:t>
      </w:r>
      <w:r>
        <w:rPr>
          <w:color w:val="3B3A3B"/>
          <w:w w:val="110"/>
        </w:rPr>
        <w:t>its</w:t>
      </w:r>
      <w:r>
        <w:rPr>
          <w:color w:val="3B3A3B"/>
          <w:spacing w:val="-14"/>
          <w:w w:val="110"/>
        </w:rPr>
        <w:t> </w:t>
      </w:r>
      <w:r>
        <w:rPr>
          <w:color w:val="3B3A3B"/>
          <w:w w:val="110"/>
        </w:rPr>
        <w:t>decision.</w:t>
      </w:r>
    </w:p>
    <w:p>
      <w:pPr>
        <w:pStyle w:val="BodyText"/>
        <w:spacing w:line="249" w:lineRule="exact"/>
        <w:ind w:left="2535"/>
        <w:jc w:val="both"/>
      </w:pPr>
      <w:r>
        <w:rPr>
          <w:color w:val="3B3A3B"/>
          <w:w w:val="110"/>
        </w:rPr>
        <w:t>A</w:t>
      </w:r>
      <w:r>
        <w:rPr>
          <w:color w:val="3B3A3B"/>
          <w:spacing w:val="14"/>
          <w:w w:val="110"/>
        </w:rPr>
        <w:t> </w:t>
      </w:r>
      <w:r>
        <w:rPr>
          <w:color w:val="3B3A3B"/>
          <w:w w:val="110"/>
        </w:rPr>
        <w:t>theme</w:t>
      </w:r>
      <w:r>
        <w:rPr>
          <w:color w:val="3B3A3B"/>
          <w:spacing w:val="6"/>
          <w:w w:val="110"/>
        </w:rPr>
        <w:t> </w:t>
      </w:r>
      <w:r>
        <w:rPr>
          <w:color w:val="3B3A3B"/>
          <w:w w:val="110"/>
        </w:rPr>
        <w:t>can</w:t>
      </w:r>
      <w:r>
        <w:rPr>
          <w:color w:val="3B3A3B"/>
          <w:spacing w:val="9"/>
          <w:w w:val="110"/>
        </w:rPr>
        <w:t> </w:t>
      </w:r>
      <w:r>
        <w:rPr>
          <w:color w:val="3B3A3B"/>
          <w:w w:val="110"/>
        </w:rPr>
        <w:t>affect</w:t>
      </w:r>
      <w:r>
        <w:rPr>
          <w:color w:val="3B3A3B"/>
          <w:spacing w:val="17"/>
          <w:w w:val="110"/>
        </w:rPr>
        <w:t> </w:t>
      </w:r>
      <w:r>
        <w:rPr>
          <w:color w:val="3B3A3B"/>
          <w:w w:val="110"/>
        </w:rPr>
        <w:t>how</w:t>
      </w:r>
      <w:r>
        <w:rPr>
          <w:color w:val="3B3A3B"/>
          <w:spacing w:val="35"/>
          <w:w w:val="110"/>
        </w:rPr>
        <w:t> </w:t>
      </w:r>
      <w:r>
        <w:rPr>
          <w:color w:val="3B3A3B"/>
          <w:w w:val="110"/>
        </w:rPr>
        <w:t>you</w:t>
      </w:r>
      <w:r>
        <w:rPr>
          <w:color w:val="3B3A3B"/>
          <w:spacing w:val="11"/>
          <w:w w:val="110"/>
        </w:rPr>
        <w:t> </w:t>
      </w:r>
      <w:r>
        <w:rPr>
          <w:color w:val="3B3A3B"/>
          <w:w w:val="110"/>
        </w:rPr>
        <w:t>write</w:t>
      </w:r>
      <w:r>
        <w:rPr>
          <w:color w:val="3B3A3B"/>
          <w:spacing w:val="7"/>
          <w:w w:val="110"/>
        </w:rPr>
        <w:t> </w:t>
      </w:r>
      <w:r>
        <w:rPr>
          <w:color w:val="3B3A3B"/>
          <w:w w:val="110"/>
        </w:rPr>
        <w:t>your</w:t>
      </w:r>
      <w:r>
        <w:rPr>
          <w:color w:val="3B3A3B"/>
          <w:spacing w:val="17"/>
          <w:w w:val="110"/>
        </w:rPr>
        <w:t> </w:t>
      </w:r>
      <w:r>
        <w:rPr>
          <w:color w:val="3B3A3B"/>
          <w:w w:val="110"/>
        </w:rPr>
        <w:t>brief,</w:t>
      </w:r>
      <w:r>
        <w:rPr>
          <w:color w:val="3B3A3B"/>
          <w:spacing w:val="14"/>
          <w:w w:val="110"/>
        </w:rPr>
        <w:t> </w:t>
      </w:r>
      <w:r>
        <w:rPr>
          <w:color w:val="3B3A3B"/>
          <w:w w:val="110"/>
        </w:rPr>
        <w:t>but</w:t>
      </w:r>
      <w:r>
        <w:rPr>
          <w:color w:val="3B3A3B"/>
          <w:spacing w:val="38"/>
          <w:w w:val="110"/>
        </w:rPr>
        <w:t> </w:t>
      </w:r>
      <w:r>
        <w:rPr>
          <w:color w:val="3B3A3B"/>
          <w:w w:val="110"/>
        </w:rPr>
        <w:t>it</w:t>
      </w:r>
      <w:r>
        <w:rPr>
          <w:color w:val="3B3A3B"/>
          <w:spacing w:val="17"/>
          <w:w w:val="110"/>
        </w:rPr>
        <w:t> </w:t>
      </w:r>
      <w:r>
        <w:rPr>
          <w:color w:val="3B3A3B"/>
          <w:w w:val="110"/>
        </w:rPr>
        <w:t>can</w:t>
      </w:r>
      <w:r>
        <w:rPr>
          <w:color w:val="3B3A3B"/>
          <w:spacing w:val="28"/>
          <w:w w:val="110"/>
        </w:rPr>
        <w:t> </w:t>
      </w:r>
      <w:r>
        <w:rPr>
          <w:color w:val="3B3A3B"/>
          <w:w w:val="110"/>
        </w:rPr>
        <w:t>also</w:t>
      </w:r>
      <w:r>
        <w:rPr>
          <w:color w:val="3B3A3B"/>
          <w:spacing w:val="6"/>
          <w:w w:val="110"/>
        </w:rPr>
        <w:t> </w:t>
      </w:r>
      <w:r>
        <w:rPr>
          <w:color w:val="3B3A3B"/>
          <w:w w:val="110"/>
        </w:rPr>
        <w:t>help</w:t>
      </w:r>
      <w:r>
        <w:rPr>
          <w:color w:val="3B3A3B"/>
          <w:spacing w:val="-6"/>
          <w:w w:val="110"/>
        </w:rPr>
        <w:t> </w:t>
      </w:r>
      <w:r>
        <w:rPr>
          <w:color w:val="3B3A3B"/>
          <w:w w:val="110"/>
        </w:rPr>
        <w:t>to</w:t>
      </w:r>
    </w:p>
    <w:p>
      <w:pPr>
        <w:pStyle w:val="BodyText"/>
        <w:spacing w:line="232" w:lineRule="auto" w:before="12"/>
        <w:ind w:left="2095" w:right="-58" w:firstLine="73"/>
        <w:jc w:val="both"/>
      </w:pPr>
      <w:r>
        <w:rPr>
          <w:color w:val="3B3A3B"/>
          <w:w w:val="110"/>
        </w:rPr>
        <w:t>make your legal research more effective. In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injunction case noted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previously, both sides would research the safe workplace statute and its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interpreting decisions, as well as authorities relevant to injunctive relief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Going up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abstraction ladder, both sides could research workplace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issues in general, and workplace safety issues in particular. Counsel </w:t>
      </w:r>
      <w:r>
        <w:rPr>
          <w:b/>
          <w:color w:val="3B3A3B"/>
          <w:w w:val="110"/>
        </w:rPr>
        <w:t>for</w:t>
      </w:r>
      <w:r>
        <w:rPr>
          <w:b/>
          <w:color w:val="3B3A3B"/>
          <w:spacing w:val="1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employee,  however, might spend some time identifying authorities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that show the importance of protecting worker health or public health, or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the laws and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regulations that govern secondhand smoke. Counsel for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employer would try to identify other situations in which legislatures </w:t>
      </w:r>
      <w:r>
        <w:rPr>
          <w:rFonts w:ascii="Arial"/>
          <w:b/>
          <w:color w:val="3B3A3B"/>
          <w:w w:val="110"/>
          <w:sz w:val="20"/>
        </w:rPr>
        <w:t>or</w:t>
      </w:r>
      <w:r>
        <w:rPr>
          <w:rFonts w:ascii="Arial"/>
          <w:b/>
          <w:color w:val="3B3A3B"/>
          <w:spacing w:val="1"/>
          <w:w w:val="110"/>
          <w:sz w:val="20"/>
        </w:rPr>
        <w:t> </w:t>
      </w:r>
      <w:r>
        <w:rPr>
          <w:color w:val="3B3A3B"/>
          <w:w w:val="110"/>
        </w:rPr>
        <w:t>courts have given employers the autonomy to make workplace decisions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that</w:t>
      </w:r>
      <w:r>
        <w:rPr>
          <w:color w:val="3B3A3B"/>
          <w:spacing w:val="2"/>
          <w:w w:val="110"/>
        </w:rPr>
        <w:t> </w:t>
      </w:r>
      <w:r>
        <w:rPr>
          <w:color w:val="3B3A3B"/>
          <w:w w:val="110"/>
        </w:rPr>
        <w:t>were</w:t>
      </w:r>
      <w:r>
        <w:rPr>
          <w:color w:val="3B3A3B"/>
          <w:spacing w:val="-5"/>
          <w:w w:val="110"/>
        </w:rPr>
        <w:t> </w:t>
      </w:r>
      <w:r>
        <w:rPr>
          <w:color w:val="3B3A3B"/>
          <w:w w:val="110"/>
        </w:rPr>
        <w:t>unpopular</w:t>
      </w:r>
      <w:r>
        <w:rPr>
          <w:color w:val="3B3A3B"/>
          <w:spacing w:val="7"/>
          <w:w w:val="110"/>
        </w:rPr>
        <w:t> </w:t>
      </w:r>
      <w:r>
        <w:rPr>
          <w:color w:val="3B3A3B"/>
          <w:w w:val="110"/>
        </w:rPr>
        <w:t>with some</w:t>
      </w:r>
      <w:r>
        <w:rPr>
          <w:color w:val="3B3A3B"/>
          <w:spacing w:val="-13"/>
          <w:w w:val="110"/>
        </w:rPr>
        <w:t> </w:t>
      </w:r>
      <w:r>
        <w:rPr>
          <w:color w:val="3B3A3B"/>
          <w:w w:val="110"/>
        </w:rPr>
        <w:t>employees.</w:t>
      </w:r>
    </w:p>
    <w:p>
      <w:pPr>
        <w:pStyle w:val="BodyText"/>
        <w:spacing w:line="232" w:lineRule="auto"/>
        <w:ind w:left="2037" w:right="-29" w:firstLine="428"/>
        <w:jc w:val="both"/>
      </w:pPr>
      <w:r>
        <w:rPr>
          <w:color w:val="3B3A3B"/>
          <w:w w:val="110"/>
        </w:rPr>
        <w:t>Do not close yourself off </w:t>
      </w:r>
      <w:r>
        <w:rPr>
          <w:i/>
          <w:color w:val="3B3A3B"/>
          <w:w w:val="110"/>
        </w:rPr>
        <w:t>to </w:t>
      </w:r>
      <w:r>
        <w:rPr>
          <w:color w:val="3B3A3B"/>
          <w:w w:val="110"/>
        </w:rPr>
        <w:t>other ideas when trying to choose a theme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15"/>
        </w:rPr>
        <w:t>you may well change your mind as your research and writing progress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5"/>
        </w:rPr>
        <w:t>By starting to think about possible themes now, however, you make </w:t>
      </w:r>
      <w:r>
        <w:rPr>
          <w:b/>
          <w:color w:val="3B3A3B"/>
          <w:w w:val="115"/>
          <w:sz w:val="22"/>
        </w:rPr>
        <w:t>it</w:t>
      </w:r>
      <w:r>
        <w:rPr>
          <w:b/>
          <w:color w:val="3B3A3B"/>
          <w:spacing w:val="1"/>
          <w:w w:val="115"/>
          <w:sz w:val="22"/>
        </w:rPr>
        <w:t> </w:t>
      </w:r>
      <w:r>
        <w:rPr>
          <w:color w:val="3B3A3B"/>
          <w:w w:val="110"/>
        </w:rPr>
        <w:t>more likely that you will </w:t>
      </w:r>
      <w:r>
        <w:rPr>
          <w:rFonts w:ascii="Arial"/>
          <w:i/>
          <w:color w:val="3B3A3B"/>
          <w:w w:val="110"/>
          <w:sz w:val="21"/>
        </w:rPr>
        <w:t>find </w:t>
      </w:r>
      <w:r>
        <w:rPr>
          <w:color w:val="3B3A3B"/>
          <w:w w:val="110"/>
        </w:rPr>
        <w:t>authorities that help you to build arguments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5"/>
        </w:rPr>
        <w:t>around</w:t>
      </w:r>
      <w:r>
        <w:rPr>
          <w:color w:val="3B3A3B"/>
          <w:spacing w:val="10"/>
          <w:w w:val="115"/>
        </w:rPr>
        <w:t> </w:t>
      </w:r>
      <w:r>
        <w:rPr>
          <w:color w:val="3B3A3B"/>
          <w:w w:val="115"/>
        </w:rPr>
        <w:t>your</w:t>
      </w:r>
      <w:r>
        <w:rPr>
          <w:color w:val="3B3A3B"/>
          <w:spacing w:val="-2"/>
          <w:w w:val="115"/>
        </w:rPr>
        <w:t> </w:t>
      </w:r>
      <w:r>
        <w:rPr>
          <w:color w:val="3B3A3B"/>
          <w:w w:val="115"/>
        </w:rPr>
        <w:t>theme.</w:t>
      </w:r>
    </w:p>
    <w:p>
      <w:pPr>
        <w:pStyle w:val="BodyText"/>
        <w:spacing w:before="7"/>
        <w:rPr>
          <w:sz w:val="27"/>
        </w:rPr>
      </w:pPr>
    </w:p>
    <w:p>
      <w:pPr>
        <w:spacing w:before="92"/>
        <w:ind w:left="241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B3A3B"/>
          <w:w w:val="110"/>
          <w:sz w:val="28"/>
        </w:rPr>
        <w:t>3.2.6</w:t>
      </w:r>
    </w:p>
    <w:p>
      <w:pPr>
        <w:spacing w:before="25"/>
        <w:ind w:left="2405" w:right="0" w:firstLine="0"/>
        <w:jc w:val="left"/>
        <w:rPr>
          <w:rFonts w:ascii="Arial"/>
          <w:b/>
          <w:sz w:val="22"/>
        </w:rPr>
      </w:pPr>
      <w:r>
        <w:rPr>
          <w:color w:val="3B3A3B"/>
          <w:sz w:val="24"/>
        </w:rPr>
        <w:t>IDENTIFYING</w:t>
      </w:r>
      <w:r>
        <w:rPr>
          <w:color w:val="3B3A3B"/>
          <w:spacing w:val="50"/>
          <w:sz w:val="24"/>
        </w:rPr>
        <w:t> </w:t>
      </w:r>
      <w:r>
        <w:rPr>
          <w:rFonts w:ascii="Arial"/>
          <w:b/>
          <w:color w:val="3B3A3B"/>
          <w:sz w:val="22"/>
        </w:rPr>
        <w:t>VALID</w:t>
      </w:r>
      <w:r>
        <w:rPr>
          <w:rFonts w:ascii="Arial"/>
          <w:b/>
          <w:color w:val="3B3A3B"/>
          <w:spacing w:val="-5"/>
          <w:sz w:val="22"/>
        </w:rPr>
        <w:t> </w:t>
      </w:r>
      <w:r>
        <w:rPr>
          <w:rFonts w:ascii="Arial"/>
          <w:b/>
          <w:color w:val="3B3A3B"/>
          <w:sz w:val="22"/>
        </w:rPr>
        <w:t>AUTHORITY</w:t>
      </w:r>
    </w:p>
    <w:p>
      <w:pPr>
        <w:pStyle w:val="BodyText"/>
        <w:spacing w:line="235" w:lineRule="auto" w:before="133"/>
        <w:ind w:left="1967" w:right="19" w:firstLine="412"/>
        <w:jc w:val="both"/>
      </w:pPr>
      <w:r>
        <w:rPr>
          <w:color w:val="3B3A3B"/>
          <w:w w:val="110"/>
        </w:rPr>
        <w:t>When</w:t>
      </w:r>
      <w:r>
        <w:rPr>
          <w:color w:val="3B3A3B"/>
          <w:spacing w:val="-6"/>
          <w:w w:val="110"/>
        </w:rPr>
        <w:t> </w:t>
      </w:r>
      <w:r>
        <w:rPr>
          <w:color w:val="3B3A3B"/>
          <w:w w:val="110"/>
        </w:rPr>
        <w:t>you</w:t>
      </w:r>
      <w:r>
        <w:rPr>
          <w:color w:val="3B3A3B"/>
          <w:spacing w:val="-4"/>
          <w:w w:val="110"/>
        </w:rPr>
        <w:t> </w:t>
      </w:r>
      <w:r>
        <w:rPr>
          <w:color w:val="3B3A3B"/>
          <w:w w:val="110"/>
        </w:rPr>
        <w:t>are</w:t>
      </w:r>
      <w:r>
        <w:rPr>
          <w:color w:val="3B3A3B"/>
          <w:spacing w:val="-5"/>
          <w:w w:val="110"/>
        </w:rPr>
        <w:t> </w:t>
      </w:r>
      <w:r>
        <w:rPr>
          <w:color w:val="3B3A3B"/>
          <w:w w:val="110"/>
        </w:rPr>
        <w:t>writing</w:t>
      </w:r>
      <w:r>
        <w:rPr>
          <w:color w:val="3B3A3B"/>
          <w:spacing w:val="-12"/>
          <w:w w:val="110"/>
        </w:rPr>
        <w:t> </w:t>
      </w:r>
      <w:r>
        <w:rPr>
          <w:color w:val="3B3A3B"/>
          <w:w w:val="110"/>
        </w:rPr>
        <w:t>a</w:t>
      </w:r>
      <w:r>
        <w:rPr>
          <w:color w:val="3B3A3B"/>
          <w:spacing w:val="-1"/>
          <w:w w:val="110"/>
        </w:rPr>
        <w:t> </w:t>
      </w:r>
      <w:r>
        <w:rPr>
          <w:color w:val="3B3A3B"/>
          <w:w w:val="110"/>
        </w:rPr>
        <w:t>brief</w:t>
      </w:r>
      <w:r>
        <w:rPr>
          <w:color w:val="3B3A3B"/>
          <w:spacing w:val="11"/>
          <w:w w:val="110"/>
        </w:rPr>
        <w:t> </w:t>
      </w:r>
      <w:r>
        <w:rPr>
          <w:color w:val="3B3A3B"/>
          <w:w w:val="110"/>
        </w:rPr>
        <w:t>to</w:t>
      </w:r>
      <w:r>
        <w:rPr>
          <w:color w:val="3B3A3B"/>
          <w:spacing w:val="12"/>
          <w:w w:val="110"/>
        </w:rPr>
        <w:t> </w:t>
      </w:r>
      <w:r>
        <w:rPr>
          <w:color w:val="3B3A3B"/>
          <w:w w:val="110"/>
        </w:rPr>
        <w:t>a court,</w:t>
      </w:r>
      <w:r>
        <w:rPr>
          <w:color w:val="3B3A3B"/>
          <w:spacing w:val="-7"/>
          <w:w w:val="110"/>
        </w:rPr>
        <w:t> </w:t>
      </w:r>
      <w:r>
        <w:rPr>
          <w:color w:val="3B3A3B"/>
          <w:w w:val="110"/>
        </w:rPr>
        <w:t>you</w:t>
      </w:r>
      <w:r>
        <w:rPr>
          <w:color w:val="3B3A3B"/>
          <w:spacing w:val="-4"/>
          <w:w w:val="110"/>
        </w:rPr>
        <w:t> </w:t>
      </w:r>
      <w:r>
        <w:rPr>
          <w:color w:val="3B3A3B"/>
          <w:w w:val="110"/>
        </w:rPr>
        <w:t>are</w:t>
      </w:r>
      <w:r>
        <w:rPr>
          <w:color w:val="3B3A3B"/>
          <w:spacing w:val="-7"/>
          <w:w w:val="110"/>
        </w:rPr>
        <w:t> </w:t>
      </w:r>
      <w:r>
        <w:rPr>
          <w:color w:val="3B3A3B"/>
          <w:w w:val="110"/>
        </w:rPr>
        <w:t>trying</w:t>
      </w:r>
      <w:r>
        <w:rPr>
          <w:color w:val="3B3A3B"/>
          <w:spacing w:val="-18"/>
          <w:w w:val="110"/>
        </w:rPr>
        <w:t> </w:t>
      </w:r>
      <w:r>
        <w:rPr>
          <w:color w:val="3B3A3B"/>
          <w:w w:val="110"/>
        </w:rPr>
        <w:t>to</w:t>
      </w:r>
      <w:r>
        <w:rPr>
          <w:color w:val="3B3A3B"/>
          <w:spacing w:val="-11"/>
          <w:w w:val="110"/>
        </w:rPr>
        <w:t> </w:t>
      </w:r>
      <w:r>
        <w:rPr>
          <w:color w:val="3B3A3B"/>
          <w:w w:val="110"/>
        </w:rPr>
        <w:t>convince</w:t>
      </w:r>
      <w:r>
        <w:rPr>
          <w:color w:val="3B3A3B"/>
          <w:spacing w:val="-5"/>
          <w:w w:val="110"/>
        </w:rPr>
        <w:t> </w:t>
      </w:r>
      <w:r>
        <w:rPr>
          <w:color w:val="3B3A3B"/>
          <w:w w:val="110"/>
        </w:rPr>
        <w:t>it</w:t>
      </w:r>
      <w:r>
        <w:rPr>
          <w:color w:val="3B3A3B"/>
          <w:spacing w:val="-7"/>
          <w:w w:val="110"/>
        </w:rPr>
        <w:t> </w:t>
      </w:r>
      <w:r>
        <w:rPr>
          <w:color w:val="3B3A3B"/>
          <w:w w:val="110"/>
        </w:rPr>
        <w:t>to</w:t>
      </w:r>
      <w:r>
        <w:rPr>
          <w:color w:val="3B3A3B"/>
          <w:spacing w:val="-60"/>
          <w:w w:val="110"/>
        </w:rPr>
        <w:t> </w:t>
      </w:r>
      <w:r>
        <w:rPr>
          <w:color w:val="3B3A3B"/>
          <w:w w:val="110"/>
        </w:rPr>
        <w:t>do something. On a basic level, your argument consists of assertions that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5"/>
        </w:rPr>
        <w:t>will convince the court to decide in your favor-if it agrees with those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5"/>
        </w:rPr>
        <w:t>assertions.</w:t>
      </w:r>
      <w:r>
        <w:rPr>
          <w:color w:val="3B3A3B"/>
          <w:spacing w:val="-5"/>
          <w:w w:val="115"/>
        </w:rPr>
        <w:t> </w:t>
      </w:r>
      <w:r>
        <w:rPr>
          <w:color w:val="3B3A3B"/>
          <w:w w:val="115"/>
        </w:rPr>
        <w:t>The</w:t>
      </w:r>
      <w:r>
        <w:rPr>
          <w:color w:val="3B3A3B"/>
          <w:spacing w:val="-2"/>
          <w:w w:val="115"/>
        </w:rPr>
        <w:t> </w:t>
      </w:r>
      <w:r>
        <w:rPr>
          <w:color w:val="3B3A3B"/>
          <w:w w:val="115"/>
        </w:rPr>
        <w:t>court</w:t>
      </w:r>
      <w:r>
        <w:rPr>
          <w:color w:val="3B3A3B"/>
          <w:spacing w:val="-12"/>
          <w:w w:val="115"/>
        </w:rPr>
        <w:t> </w:t>
      </w:r>
      <w:r>
        <w:rPr>
          <w:color w:val="3B3A3B"/>
          <w:w w:val="115"/>
        </w:rPr>
        <w:t>will</w:t>
      </w:r>
      <w:r>
        <w:rPr>
          <w:color w:val="3B3A3B"/>
          <w:spacing w:val="-10"/>
          <w:w w:val="115"/>
        </w:rPr>
        <w:t> </w:t>
      </w:r>
      <w:r>
        <w:rPr>
          <w:color w:val="3B3A3B"/>
          <w:w w:val="115"/>
        </w:rPr>
        <w:t>be</w:t>
      </w:r>
      <w:r>
        <w:rPr>
          <w:color w:val="3B3A3B"/>
          <w:spacing w:val="-4"/>
          <w:w w:val="115"/>
        </w:rPr>
        <w:t> </w:t>
      </w:r>
      <w:r>
        <w:rPr>
          <w:color w:val="3B3A3B"/>
          <w:w w:val="115"/>
        </w:rPr>
        <w:t>much</w:t>
      </w:r>
      <w:r>
        <w:rPr>
          <w:color w:val="3B3A3B"/>
          <w:spacing w:val="2"/>
          <w:w w:val="115"/>
        </w:rPr>
        <w:t> </w:t>
      </w:r>
      <w:r>
        <w:rPr>
          <w:color w:val="3B3A3B"/>
          <w:w w:val="115"/>
        </w:rPr>
        <w:t>more</w:t>
      </w:r>
      <w:r>
        <w:rPr>
          <w:color w:val="3B3A3B"/>
          <w:spacing w:val="-14"/>
          <w:w w:val="115"/>
        </w:rPr>
        <w:t> </w:t>
      </w:r>
      <w:r>
        <w:rPr>
          <w:color w:val="3B3A3B"/>
          <w:w w:val="115"/>
        </w:rPr>
        <w:t>likely</w:t>
      </w:r>
      <w:r>
        <w:rPr>
          <w:color w:val="3B3A3B"/>
          <w:spacing w:val="-6"/>
          <w:w w:val="115"/>
        </w:rPr>
        <w:t> </w:t>
      </w:r>
      <w:r>
        <w:rPr>
          <w:color w:val="3B3A3B"/>
          <w:w w:val="115"/>
        </w:rPr>
        <w:t>to</w:t>
      </w:r>
      <w:r>
        <w:rPr>
          <w:color w:val="3B3A3B"/>
          <w:spacing w:val="6"/>
          <w:w w:val="115"/>
        </w:rPr>
        <w:t> </w:t>
      </w:r>
      <w:r>
        <w:rPr>
          <w:color w:val="3B3A3B"/>
          <w:w w:val="115"/>
        </w:rPr>
        <w:t>agree</w:t>
      </w:r>
      <w:r>
        <w:rPr>
          <w:color w:val="3B3A3B"/>
          <w:spacing w:val="-9"/>
          <w:w w:val="115"/>
        </w:rPr>
        <w:t> </w:t>
      </w:r>
      <w:r>
        <w:rPr>
          <w:color w:val="3B3A3B"/>
          <w:w w:val="115"/>
        </w:rPr>
        <w:t>with your</w:t>
      </w:r>
      <w:r>
        <w:rPr>
          <w:color w:val="3B3A3B"/>
          <w:spacing w:val="-15"/>
          <w:w w:val="115"/>
        </w:rPr>
        <w:t> </w:t>
      </w:r>
      <w:r>
        <w:rPr>
          <w:color w:val="3B3A3B"/>
          <w:w w:val="115"/>
        </w:rPr>
        <w:t>asser­</w:t>
      </w:r>
      <w:r>
        <w:rPr>
          <w:color w:val="3B3A3B"/>
          <w:spacing w:val="-64"/>
          <w:w w:val="115"/>
        </w:rPr>
        <w:t> </w:t>
      </w:r>
      <w:r>
        <w:rPr>
          <w:color w:val="3B3A3B"/>
          <w:w w:val="110"/>
        </w:rPr>
        <w:t>tions if it believes in the validity of the authorities you cite as support for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5"/>
        </w:rPr>
        <w:t>your</w:t>
      </w:r>
      <w:r>
        <w:rPr>
          <w:color w:val="3B3A3B"/>
          <w:spacing w:val="-9"/>
          <w:w w:val="115"/>
        </w:rPr>
        <w:t> </w:t>
      </w:r>
      <w:r>
        <w:rPr>
          <w:color w:val="3B3A3B"/>
          <w:w w:val="115"/>
        </w:rPr>
        <w:t>assertions.</w:t>
      </w:r>
    </w:p>
    <w:p>
      <w:pPr>
        <w:pStyle w:val="BodyText"/>
        <w:spacing w:line="237" w:lineRule="auto"/>
        <w:ind w:left="1863" w:right="63" w:firstLine="464"/>
        <w:jc w:val="both"/>
      </w:pPr>
      <w:r>
        <w:rPr>
          <w:color w:val="3B3A3B"/>
          <w:w w:val="110"/>
        </w:rPr>
        <w:t>The "validity" of each authority depends on several factors. When you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are deciding what authorities to cite, realize that most judges are not inter­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ested in breaking new ground or making new law: They are interested in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5"/>
        </w:rPr>
        <w:t>not getting reversed. Thus, part of your job is to reassure them that the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5"/>
        </w:rPr>
        <w:t>result you seek is consistent with the mandatory authorities that govern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0"/>
        </w:rPr>
        <w:t>their jurisdiction. Every time your brief includes a cite to an authority that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5"/>
        </w:rPr>
        <w:t>is not mandatory, the judge (or the clerk) who is reading the brief </w:t>
      </w:r>
      <w:r>
        <w:rPr>
          <w:color w:val="3B3A3B"/>
          <w:w w:val="110"/>
        </w:rPr>
        <w:t>rnaY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be  thinking, "Why should  I care about this?" If you are writing to a court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5"/>
        </w:rPr>
        <w:t>of</w:t>
      </w:r>
      <w:r>
        <w:rPr>
          <w:color w:val="3B3A3B"/>
          <w:spacing w:val="44"/>
          <w:w w:val="115"/>
        </w:rPr>
        <w:t> </w:t>
      </w:r>
      <w:r>
        <w:rPr>
          <w:color w:val="3B3A3B"/>
          <w:w w:val="115"/>
        </w:rPr>
        <w:t>last</w:t>
      </w:r>
      <w:r>
        <w:rPr>
          <w:color w:val="3B3A3B"/>
          <w:spacing w:val="28"/>
          <w:w w:val="115"/>
        </w:rPr>
        <w:t> </w:t>
      </w:r>
      <w:r>
        <w:rPr>
          <w:color w:val="3B3A3B"/>
          <w:w w:val="115"/>
        </w:rPr>
        <w:t>resort,</w:t>
      </w:r>
      <w:r>
        <w:rPr>
          <w:color w:val="3B3A3B"/>
          <w:spacing w:val="23"/>
          <w:w w:val="115"/>
        </w:rPr>
        <w:t> </w:t>
      </w:r>
      <w:r>
        <w:rPr>
          <w:color w:val="3B3A3B"/>
          <w:w w:val="115"/>
        </w:rPr>
        <w:t>like</w:t>
      </w:r>
      <w:r>
        <w:rPr>
          <w:color w:val="3B3A3B"/>
          <w:spacing w:val="22"/>
          <w:w w:val="115"/>
        </w:rPr>
        <w:t> </w:t>
      </w:r>
      <w:r>
        <w:rPr>
          <w:color w:val="3B3A3B"/>
          <w:w w:val="115"/>
        </w:rPr>
        <w:t>the</w:t>
      </w:r>
      <w:r>
        <w:rPr>
          <w:color w:val="3B3A3B"/>
          <w:spacing w:val="58"/>
          <w:w w:val="115"/>
        </w:rPr>
        <w:t> </w:t>
      </w:r>
      <w:r>
        <w:rPr>
          <w:color w:val="3B3A3B"/>
          <w:w w:val="115"/>
        </w:rPr>
        <w:t>United</w:t>
      </w:r>
      <w:r>
        <w:rPr>
          <w:color w:val="3B3A3B"/>
          <w:spacing w:val="15"/>
          <w:w w:val="115"/>
        </w:rPr>
        <w:t> </w:t>
      </w:r>
      <w:r>
        <w:rPr>
          <w:color w:val="3B3A3B"/>
          <w:w w:val="115"/>
        </w:rPr>
        <w:t>States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5"/>
        </w:rPr>
        <w:t>Supreme</w:t>
      </w:r>
      <w:r>
        <w:rPr>
          <w:color w:val="3B3A3B"/>
          <w:spacing w:val="17"/>
          <w:w w:val="115"/>
        </w:rPr>
        <w:t> </w:t>
      </w:r>
      <w:r>
        <w:rPr>
          <w:color w:val="3B3A3B"/>
          <w:w w:val="115"/>
        </w:rPr>
        <w:t>Court,</w:t>
      </w:r>
      <w:r>
        <w:rPr>
          <w:color w:val="3B3A3B"/>
          <w:spacing w:val="32"/>
          <w:w w:val="115"/>
        </w:rPr>
        <w:t> </w:t>
      </w:r>
      <w:r>
        <w:rPr>
          <w:color w:val="3B3A3B"/>
          <w:w w:val="115"/>
        </w:rPr>
        <w:t>realize</w:t>
      </w:r>
      <w:r>
        <w:rPr>
          <w:color w:val="3B3A3B"/>
          <w:spacing w:val="24"/>
          <w:w w:val="115"/>
        </w:rPr>
        <w:t> </w:t>
      </w:r>
      <w:r>
        <w:rPr>
          <w:color w:val="3B3A3B"/>
          <w:w w:val="115"/>
        </w:rPr>
        <w:t>that-even</w:t>
      </w:r>
    </w:p>
    <w:p>
      <w:pPr>
        <w:spacing w:after="0" w:line="237" w:lineRule="auto"/>
        <w:jc w:val="both"/>
        <w:sectPr>
          <w:headerReference w:type="even" r:id="rId72"/>
          <w:pgSz w:w="9580" w:h="13770"/>
          <w:pgMar w:header="0" w:footer="0"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32" w:lineRule="auto"/>
        <w:ind w:left="128" w:right="308" w:firstLine="5"/>
        <w:jc w:val="both"/>
      </w:pPr>
      <w:r>
        <w:rPr>
          <w:color w:val="3A3838"/>
          <w:w w:val="115"/>
        </w:rPr>
        <w:t>though that court has the power to make new </w:t>
      </w:r>
      <w:r>
        <w:rPr>
          <w:color w:val="3A3838"/>
          <w:w w:val="120"/>
        </w:rPr>
        <w:t>law-its </w:t>
      </w:r>
      <w:r>
        <w:rPr>
          <w:color w:val="3A3838"/>
          <w:w w:val="115"/>
        </w:rPr>
        <w:t>first instinct is to</w:t>
      </w:r>
      <w:r>
        <w:rPr>
          <w:color w:val="3A3838"/>
          <w:spacing w:val="-64"/>
          <w:w w:val="115"/>
        </w:rPr>
        <w:t> </w:t>
      </w:r>
      <w:r>
        <w:rPr>
          <w:color w:val="3A3838"/>
          <w:w w:val="110"/>
        </w:rPr>
        <w:t>look to its own decisions for authority rather than to lower court authori­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ties.</w:t>
      </w:r>
      <w:r>
        <w:rPr>
          <w:color w:val="3A3838"/>
          <w:spacing w:val="-26"/>
          <w:w w:val="110"/>
        </w:rPr>
        <w:t> </w:t>
      </w:r>
      <w:r>
        <w:rPr>
          <w:color w:val="3A3838"/>
          <w:w w:val="110"/>
        </w:rPr>
        <w:t>If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you</w:t>
      </w:r>
      <w:r>
        <w:rPr>
          <w:color w:val="3A3838"/>
          <w:spacing w:val="-24"/>
          <w:w w:val="110"/>
        </w:rPr>
        <w:t> </w:t>
      </w:r>
      <w:r>
        <w:rPr>
          <w:color w:val="3A3838"/>
          <w:w w:val="110"/>
        </w:rPr>
        <w:t>are</w:t>
      </w:r>
      <w:r>
        <w:rPr>
          <w:color w:val="3A3838"/>
          <w:spacing w:val="-14"/>
          <w:w w:val="110"/>
        </w:rPr>
        <w:t> </w:t>
      </w:r>
      <w:r>
        <w:rPr>
          <w:color w:val="3A3838"/>
          <w:w w:val="110"/>
        </w:rPr>
        <w:t>writing</w:t>
      </w:r>
      <w:r>
        <w:rPr>
          <w:color w:val="3A3838"/>
          <w:spacing w:val="-23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-3"/>
          <w:w w:val="110"/>
        </w:rPr>
        <w:t> </w:t>
      </w:r>
      <w:r>
        <w:rPr>
          <w:color w:val="3A3838"/>
          <w:w w:val="110"/>
        </w:rPr>
        <w:t>trial</w:t>
      </w:r>
      <w:r>
        <w:rPr>
          <w:color w:val="3A3838"/>
          <w:spacing w:val="-28"/>
          <w:w w:val="110"/>
        </w:rPr>
        <w:t> </w:t>
      </w:r>
      <w:r>
        <w:rPr>
          <w:color w:val="3A3838"/>
          <w:w w:val="110"/>
        </w:rPr>
        <w:t>court</w:t>
      </w:r>
      <w:r>
        <w:rPr>
          <w:color w:val="3A3838"/>
          <w:spacing w:val="-20"/>
          <w:w w:val="110"/>
        </w:rPr>
        <w:t> </w:t>
      </w:r>
      <w:r>
        <w:rPr>
          <w:color w:val="3A3838"/>
          <w:w w:val="110"/>
        </w:rPr>
        <w:t>or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-22"/>
          <w:w w:val="110"/>
        </w:rPr>
        <w:t> </w:t>
      </w:r>
      <w:r>
        <w:rPr>
          <w:color w:val="3A3838"/>
          <w:w w:val="110"/>
        </w:rPr>
        <w:t>an intermediate</w:t>
      </w:r>
      <w:r>
        <w:rPr>
          <w:color w:val="3A3838"/>
          <w:spacing w:val="-11"/>
          <w:w w:val="110"/>
        </w:rPr>
        <w:t> </w:t>
      </w:r>
      <w:r>
        <w:rPr>
          <w:color w:val="3A3838"/>
          <w:w w:val="110"/>
        </w:rPr>
        <w:t>court</w:t>
      </w:r>
      <w:r>
        <w:rPr>
          <w:color w:val="3A3838"/>
          <w:spacing w:val="-31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appeals,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its first instinct is to look to decisions of the court or courts that have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authority</w:t>
      </w:r>
      <w:r>
        <w:rPr>
          <w:color w:val="3A3838"/>
          <w:spacing w:val="-12"/>
          <w:w w:val="115"/>
        </w:rPr>
        <w:t> </w:t>
      </w:r>
      <w:r>
        <w:rPr>
          <w:color w:val="3A3838"/>
          <w:w w:val="115"/>
        </w:rPr>
        <w:t>to</w:t>
      </w:r>
      <w:r>
        <w:rPr>
          <w:color w:val="3A3838"/>
          <w:spacing w:val="9"/>
          <w:w w:val="115"/>
        </w:rPr>
        <w:t> </w:t>
      </w:r>
      <w:r>
        <w:rPr>
          <w:color w:val="3A3838"/>
          <w:w w:val="115"/>
        </w:rPr>
        <w:t>reverse</w:t>
      </w:r>
      <w:r>
        <w:rPr>
          <w:color w:val="3A3838"/>
          <w:spacing w:val="-3"/>
          <w:w w:val="115"/>
        </w:rPr>
        <w:t> </w:t>
      </w:r>
      <w:r>
        <w:rPr>
          <w:color w:val="3A3838"/>
          <w:w w:val="115"/>
        </w:rPr>
        <w:t>its</w:t>
      </w:r>
      <w:r>
        <w:rPr>
          <w:color w:val="3A3838"/>
          <w:spacing w:val="-8"/>
          <w:w w:val="115"/>
        </w:rPr>
        <w:t> </w:t>
      </w:r>
      <w:r>
        <w:rPr>
          <w:color w:val="3A3838"/>
          <w:w w:val="115"/>
        </w:rPr>
        <w:t>decisions.</w:t>
      </w:r>
    </w:p>
    <w:p>
      <w:pPr>
        <w:pStyle w:val="BodyText"/>
        <w:spacing w:line="232" w:lineRule="auto" w:before="8"/>
        <w:ind w:left="118" w:right="245" w:firstLine="358"/>
        <w:jc w:val="both"/>
      </w:pPr>
      <w:r>
        <w:rPr>
          <w:color w:val="3A3838"/>
          <w:w w:val="110"/>
        </w:rPr>
        <w:t>This principle does not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mean that you should ignore nonmandatory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authorities; rather, it indicates that you should</w:t>
      </w:r>
      <w:r>
        <w:rPr>
          <w:color w:val="3A3838"/>
          <w:spacing w:val="1"/>
          <w:w w:val="110"/>
        </w:rPr>
        <w:t> </w:t>
      </w:r>
      <w:r>
        <w:rPr>
          <w:i/>
          <w:color w:val="3A3838"/>
          <w:w w:val="110"/>
          <w:sz w:val="24"/>
        </w:rPr>
        <w:t>first </w:t>
      </w:r>
      <w:r>
        <w:rPr>
          <w:color w:val="3A3838"/>
          <w:w w:val="110"/>
        </w:rPr>
        <w:t>identify any manda­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tory authorities because they will have more validity than nonmandatory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authorities. The more valid the authorities you cite, the more weight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authority will have with the court. Nonmandatory authorities can per­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suade, but because they have less weight, you should be sure that your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reader knows why he or she should care about the authority. For example,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you may be able to use nonmandatory authorities to show how various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courts have applied a particular rule from the mandatory authority, par­</w:t>
      </w:r>
      <w:r>
        <w:rPr>
          <w:color w:val="3A3838"/>
          <w:spacing w:val="-64"/>
          <w:w w:val="115"/>
        </w:rPr>
        <w:t> </w:t>
      </w:r>
      <w:r>
        <w:rPr>
          <w:color w:val="3A3838"/>
          <w:w w:val="110"/>
        </w:rPr>
        <w:t>ticularly if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lower court decisions are more on point than the decisions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of</w:t>
      </w:r>
      <w:r>
        <w:rPr>
          <w:color w:val="3A3838"/>
          <w:spacing w:val="-4"/>
          <w:w w:val="115"/>
        </w:rPr>
        <w:t> </w:t>
      </w:r>
      <w:r>
        <w:rPr>
          <w:color w:val="3A3838"/>
          <w:w w:val="115"/>
        </w:rPr>
        <w:t>the</w:t>
      </w:r>
      <w:r>
        <w:rPr>
          <w:color w:val="3A3838"/>
          <w:spacing w:val="23"/>
          <w:w w:val="115"/>
        </w:rPr>
        <w:t> </w:t>
      </w:r>
      <w:r>
        <w:rPr>
          <w:color w:val="3A3838"/>
          <w:w w:val="115"/>
        </w:rPr>
        <w:t>mandatory</w:t>
      </w:r>
      <w:r>
        <w:rPr>
          <w:color w:val="3A3838"/>
          <w:spacing w:val="-3"/>
          <w:w w:val="115"/>
        </w:rPr>
        <w:t> </w:t>
      </w:r>
      <w:r>
        <w:rPr>
          <w:color w:val="3A3838"/>
          <w:w w:val="115"/>
        </w:rPr>
        <w:t>authority.</w:t>
      </w:r>
    </w:p>
    <w:p>
      <w:pPr>
        <w:pStyle w:val="BodyText"/>
        <w:spacing w:line="232" w:lineRule="auto" w:before="19"/>
        <w:ind w:left="118" w:right="215" w:firstLine="371"/>
        <w:jc w:val="both"/>
      </w:pPr>
      <w:r>
        <w:rPr>
          <w:color w:val="3A3838"/>
          <w:w w:val="110"/>
        </w:rPr>
        <w:t>Because each case is decided based on  the  facts and issues unique to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it, the validity of an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authority can vary depending on  both the court you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are arguing to and the facts of the case before the court. Therefore, when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assessing the validity of authorities during your research, consider the rel­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0"/>
        </w:rPr>
        <w:t>evance</w:t>
      </w:r>
      <w:r>
        <w:rPr>
          <w:color w:val="3A3838"/>
          <w:spacing w:val="-9"/>
          <w:w w:val="110"/>
        </w:rPr>
        <w:t> </w:t>
      </w:r>
      <w:r>
        <w:rPr>
          <w:color w:val="3A3838"/>
          <w:spacing w:val="-1"/>
          <w:w w:val="110"/>
        </w:rPr>
        <w:t>of</w:t>
      </w:r>
      <w:r>
        <w:rPr>
          <w:color w:val="3A3838"/>
          <w:spacing w:val="10"/>
          <w:w w:val="110"/>
        </w:rPr>
        <w:t> </w:t>
      </w:r>
      <w:r>
        <w:rPr>
          <w:color w:val="3A3838"/>
          <w:spacing w:val="-1"/>
          <w:w w:val="110"/>
        </w:rPr>
        <w:t>the</w:t>
      </w:r>
      <w:r>
        <w:rPr>
          <w:color w:val="3A3838"/>
          <w:spacing w:val="39"/>
          <w:w w:val="110"/>
        </w:rPr>
        <w:t> </w:t>
      </w:r>
      <w:r>
        <w:rPr>
          <w:color w:val="3A3838"/>
          <w:spacing w:val="-1"/>
          <w:w w:val="110"/>
        </w:rPr>
        <w:t>facts,</w:t>
      </w:r>
      <w:r>
        <w:rPr>
          <w:color w:val="3A3838"/>
          <w:spacing w:val="-3"/>
          <w:w w:val="110"/>
        </w:rPr>
        <w:t> </w:t>
      </w:r>
      <w:r>
        <w:rPr>
          <w:color w:val="3A3838"/>
          <w:spacing w:val="-1"/>
          <w:w w:val="110"/>
        </w:rPr>
        <w:t>the</w:t>
      </w:r>
      <w:r>
        <w:rPr>
          <w:color w:val="3A3838"/>
          <w:spacing w:val="32"/>
          <w:w w:val="110"/>
        </w:rPr>
        <w:t> </w:t>
      </w:r>
      <w:r>
        <w:rPr>
          <w:color w:val="3A3838"/>
          <w:spacing w:val="-1"/>
          <w:w w:val="110"/>
        </w:rPr>
        <w:t>legal</w:t>
      </w:r>
      <w:r>
        <w:rPr>
          <w:color w:val="3A3838"/>
          <w:spacing w:val="-8"/>
          <w:w w:val="110"/>
        </w:rPr>
        <w:t> </w:t>
      </w:r>
      <w:r>
        <w:rPr>
          <w:color w:val="3A3838"/>
          <w:spacing w:val="-1"/>
          <w:w w:val="110"/>
        </w:rPr>
        <w:t>issues,</w:t>
      </w:r>
      <w:r>
        <w:rPr>
          <w:color w:val="3A3838"/>
          <w:spacing w:val="-3"/>
          <w:w w:val="110"/>
        </w:rPr>
        <w:t> </w:t>
      </w:r>
      <w:r>
        <w:rPr>
          <w:color w:val="3A3838"/>
          <w:spacing w:val="-1"/>
          <w:w w:val="110"/>
        </w:rPr>
        <w:t>and</w:t>
      </w:r>
      <w:r>
        <w:rPr>
          <w:color w:val="3A3838"/>
          <w:spacing w:val="49"/>
          <w:w w:val="110"/>
        </w:rPr>
        <w:t> </w:t>
      </w:r>
      <w:r>
        <w:rPr>
          <w:color w:val="3A3838"/>
          <w:spacing w:val="-1"/>
          <w:w w:val="110"/>
        </w:rPr>
        <w:t>the</w:t>
      </w:r>
      <w:r>
        <w:rPr>
          <w:color w:val="3A3838"/>
          <w:spacing w:val="22"/>
          <w:w w:val="110"/>
        </w:rPr>
        <w:t> </w:t>
      </w:r>
      <w:r>
        <w:rPr>
          <w:color w:val="3A3838"/>
          <w:spacing w:val="-1"/>
          <w:w w:val="110"/>
        </w:rPr>
        <w:t>source</w:t>
      </w:r>
      <w:r>
        <w:rPr>
          <w:color w:val="3A3838"/>
          <w:spacing w:val="-19"/>
          <w:w w:val="110"/>
        </w:rPr>
        <w:t> </w:t>
      </w:r>
      <w:r>
        <w:rPr>
          <w:color w:val="3A3838"/>
          <w:spacing w:val="-1"/>
          <w:w w:val="110"/>
        </w:rPr>
        <w:t>of</w:t>
      </w:r>
      <w:r>
        <w:rPr>
          <w:color w:val="3A3838"/>
          <w:spacing w:val="12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8"/>
          <w:w w:val="110"/>
        </w:rPr>
        <w:t> </w:t>
      </w:r>
      <w:r>
        <w:rPr>
          <w:color w:val="3A3838"/>
          <w:w w:val="110"/>
        </w:rPr>
        <w:t>authority.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29"/>
        </w:numPr>
        <w:tabs>
          <w:tab w:pos="904" w:val="left" w:leader="none"/>
        </w:tabs>
        <w:spacing w:line="233" w:lineRule="exact" w:before="1" w:after="0"/>
        <w:ind w:left="903" w:right="0" w:hanging="402"/>
        <w:jc w:val="both"/>
        <w:rPr>
          <w:b/>
          <w:color w:val="3A3838"/>
          <w:sz w:val="22"/>
        </w:rPr>
      </w:pPr>
      <w:r>
        <w:rPr>
          <w:b/>
          <w:color w:val="3A3838"/>
          <w:w w:val="115"/>
          <w:sz w:val="22"/>
        </w:rPr>
        <w:t>R</w:t>
      </w:r>
      <w:r>
        <w:rPr>
          <w:b/>
          <w:color w:val="606064"/>
          <w:w w:val="115"/>
          <w:sz w:val="22"/>
        </w:rPr>
        <w:t>el</w:t>
      </w:r>
      <w:r>
        <w:rPr>
          <w:b/>
          <w:color w:val="3A3838"/>
          <w:w w:val="115"/>
          <w:sz w:val="22"/>
        </w:rPr>
        <w:t>ev</w:t>
      </w:r>
      <w:r>
        <w:rPr>
          <w:b/>
          <w:color w:val="606064"/>
          <w:w w:val="115"/>
          <w:sz w:val="22"/>
        </w:rPr>
        <w:t>an</w:t>
      </w:r>
      <w:r>
        <w:rPr>
          <w:b/>
          <w:color w:val="3A3838"/>
          <w:w w:val="115"/>
          <w:sz w:val="22"/>
        </w:rPr>
        <w:t>t</w:t>
      </w:r>
      <w:r>
        <w:rPr>
          <w:b/>
          <w:color w:val="3A3838"/>
          <w:spacing w:val="6"/>
          <w:w w:val="115"/>
          <w:sz w:val="22"/>
        </w:rPr>
        <w:t> </w:t>
      </w:r>
      <w:r>
        <w:rPr>
          <w:b/>
          <w:color w:val="3A3838"/>
          <w:w w:val="115"/>
          <w:sz w:val="22"/>
        </w:rPr>
        <w:t>Facts</w:t>
      </w:r>
    </w:p>
    <w:p>
      <w:pPr>
        <w:pStyle w:val="BodyText"/>
        <w:spacing w:line="242" w:lineRule="exact"/>
        <w:ind w:left="499"/>
        <w:jc w:val="both"/>
      </w:pPr>
      <w:r>
        <w:rPr>
          <w:color w:val="3A3838"/>
          <w:w w:val="110"/>
        </w:rPr>
        <w:t>First,</w:t>
      </w:r>
      <w:r>
        <w:rPr>
          <w:color w:val="3A3838"/>
          <w:spacing w:val="36"/>
          <w:w w:val="110"/>
        </w:rPr>
        <w:t> </w:t>
      </w:r>
      <w:r>
        <w:rPr>
          <w:color w:val="3A3838"/>
          <w:w w:val="110"/>
        </w:rPr>
        <w:t>consider</w:t>
      </w:r>
      <w:r>
        <w:rPr>
          <w:color w:val="3A3838"/>
          <w:spacing w:val="58"/>
          <w:w w:val="110"/>
        </w:rPr>
        <w:t> </w:t>
      </w:r>
      <w:r>
        <w:rPr>
          <w:color w:val="3A3838"/>
          <w:w w:val="110"/>
        </w:rPr>
        <w:t>what</w:t>
      </w:r>
      <w:r>
        <w:rPr>
          <w:color w:val="3A3838"/>
          <w:spacing w:val="60"/>
          <w:w w:val="110"/>
        </w:rPr>
        <w:t> </w:t>
      </w:r>
      <w:r>
        <w:rPr>
          <w:color w:val="3A3838"/>
          <w:w w:val="110"/>
        </w:rPr>
        <w:t>types</w:t>
      </w:r>
      <w:r>
        <w:rPr>
          <w:color w:val="3A3838"/>
          <w:spacing w:val="34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52"/>
          <w:w w:val="110"/>
        </w:rPr>
        <w:t> </w:t>
      </w:r>
      <w:r>
        <w:rPr>
          <w:color w:val="3A3838"/>
          <w:w w:val="110"/>
        </w:rPr>
        <w:t>facts</w:t>
      </w:r>
      <w:r>
        <w:rPr>
          <w:color w:val="3A3838"/>
          <w:spacing w:val="47"/>
          <w:w w:val="110"/>
        </w:rPr>
        <w:t> </w:t>
      </w:r>
      <w:r>
        <w:rPr>
          <w:color w:val="3A3838"/>
          <w:w w:val="110"/>
        </w:rPr>
        <w:t>might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be</w:t>
      </w:r>
      <w:r>
        <w:rPr>
          <w:color w:val="3A3838"/>
          <w:spacing w:val="46"/>
          <w:w w:val="110"/>
        </w:rPr>
        <w:t> </w:t>
      </w:r>
      <w:r>
        <w:rPr>
          <w:color w:val="3A3838"/>
          <w:w w:val="110"/>
        </w:rPr>
        <w:t>relevant,</w:t>
      </w:r>
      <w:r>
        <w:rPr>
          <w:color w:val="3A3838"/>
          <w:spacing w:val="53"/>
          <w:w w:val="110"/>
        </w:rPr>
        <w:t> </w:t>
      </w:r>
      <w:r>
        <w:rPr>
          <w:color w:val="3A3838"/>
          <w:w w:val="110"/>
        </w:rPr>
        <w:t>and </w:t>
      </w:r>
      <w:r>
        <w:rPr>
          <w:color w:val="3A3838"/>
          <w:spacing w:val="13"/>
          <w:w w:val="110"/>
        </w:rPr>
        <w:t> </w:t>
      </w:r>
      <w:r>
        <w:rPr>
          <w:color w:val="3A3838"/>
          <w:w w:val="110"/>
        </w:rPr>
        <w:t>look</w:t>
      </w:r>
      <w:r>
        <w:rPr>
          <w:color w:val="3A3838"/>
          <w:spacing w:val="40"/>
          <w:w w:val="110"/>
        </w:rPr>
        <w:t> </w:t>
      </w:r>
      <w:r>
        <w:rPr>
          <w:color w:val="3A3838"/>
          <w:w w:val="110"/>
        </w:rPr>
        <w:t>for</w:t>
      </w:r>
    </w:p>
    <w:p>
      <w:pPr>
        <w:pStyle w:val="BodyText"/>
        <w:spacing w:line="235" w:lineRule="auto" w:before="2"/>
        <w:ind w:left="118" w:right="134" w:firstLine="9"/>
        <w:jc w:val="both"/>
      </w:pPr>
      <w:r>
        <w:rPr>
          <w:color w:val="3A3838"/>
          <w:w w:val="115"/>
        </w:rPr>
        <w:t>authorities that relate to those types of facts. Remember that research is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recursive; you may not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know what facts are legally significant until after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you have completed some of your research. Keep an open mind, and revisit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your facts frequently (e.g., by reviewing your abstract of the record). Some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cases with similar facts will be easy to  recognize, but be sure to consider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 different levels of similarity. This is where the lessons of the abstrac­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tion ladder become important: Thinking about your facts at various lev­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els of abstraction can help you to recognize facts from other cases whose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relevance is not apparent. If your client is seeking to ban smoking in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workplace, for example, you should not limit your research to cases in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which plaintiffs tried to ban smoking in the workplace. You might look for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cases dealing with other types of toxic fumes in the workplace, other types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of dangers in the workplace, or other situations in which an employee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tried</w:t>
      </w:r>
      <w:r>
        <w:rPr>
          <w:color w:val="3A3838"/>
          <w:spacing w:val="9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20"/>
          <w:w w:val="110"/>
        </w:rPr>
        <w:t> </w:t>
      </w:r>
      <w:r>
        <w:rPr>
          <w:color w:val="3A3838"/>
          <w:w w:val="110"/>
        </w:rPr>
        <w:t>enforce</w:t>
      </w:r>
      <w:r>
        <w:rPr>
          <w:color w:val="3A3838"/>
          <w:spacing w:val="5"/>
          <w:w w:val="110"/>
        </w:rPr>
        <w:t> </w:t>
      </w:r>
      <w:r>
        <w:rPr>
          <w:color w:val="3A3838"/>
          <w:w w:val="110"/>
        </w:rPr>
        <w:t>public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health</w:t>
      </w:r>
      <w:r>
        <w:rPr>
          <w:color w:val="3A3838"/>
          <w:spacing w:val="3"/>
          <w:w w:val="110"/>
        </w:rPr>
        <w:t> </w:t>
      </w:r>
      <w:r>
        <w:rPr>
          <w:color w:val="3A3838"/>
          <w:w w:val="110"/>
        </w:rPr>
        <w:t>laws</w:t>
      </w:r>
      <w:r>
        <w:rPr>
          <w:color w:val="3A3838"/>
          <w:spacing w:val="-14"/>
          <w:w w:val="110"/>
        </w:rPr>
        <w:t> </w:t>
      </w:r>
      <w:r>
        <w:rPr>
          <w:color w:val="3A3838"/>
          <w:w w:val="110"/>
        </w:rPr>
        <w:t>(or</w:t>
      </w:r>
      <w:r>
        <w:rPr>
          <w:color w:val="3A3838"/>
          <w:spacing w:val="-2"/>
          <w:w w:val="110"/>
        </w:rPr>
        <w:t> </w:t>
      </w:r>
      <w:r>
        <w:rPr>
          <w:color w:val="3A3838"/>
          <w:w w:val="110"/>
        </w:rPr>
        <w:t>other laws)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32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53"/>
          <w:w w:val="110"/>
        </w:rPr>
        <w:t> </w:t>
      </w:r>
      <w:r>
        <w:rPr>
          <w:color w:val="3A3838"/>
          <w:w w:val="110"/>
        </w:rPr>
        <w:t>workplace.</w:t>
      </w:r>
    </w:p>
    <w:p>
      <w:pPr>
        <w:pStyle w:val="BodyText"/>
        <w:spacing w:line="239" w:lineRule="exact"/>
        <w:ind w:left="510"/>
        <w:jc w:val="both"/>
      </w:pPr>
      <w:r>
        <w:rPr>
          <w:color w:val="3A3838"/>
          <w:w w:val="115"/>
        </w:rPr>
        <w:t>As</w:t>
      </w:r>
      <w:r>
        <w:rPr>
          <w:color w:val="3A3838"/>
          <w:spacing w:val="14"/>
          <w:w w:val="115"/>
        </w:rPr>
        <w:t> </w:t>
      </w:r>
      <w:r>
        <w:rPr>
          <w:color w:val="3A3838"/>
          <w:w w:val="115"/>
        </w:rPr>
        <w:t>noted</w:t>
      </w:r>
      <w:r>
        <w:rPr>
          <w:color w:val="3A3838"/>
          <w:spacing w:val="20"/>
          <w:w w:val="115"/>
        </w:rPr>
        <w:t> </w:t>
      </w:r>
      <w:r>
        <w:rPr>
          <w:color w:val="3A3838"/>
          <w:w w:val="115"/>
        </w:rPr>
        <w:t>above,</w:t>
      </w:r>
      <w:r>
        <w:rPr>
          <w:color w:val="3A3838"/>
          <w:spacing w:val="42"/>
          <w:w w:val="115"/>
        </w:rPr>
        <w:t> </w:t>
      </w:r>
      <w:r>
        <w:rPr>
          <w:i/>
          <w:color w:val="3A3838"/>
          <w:w w:val="115"/>
          <w:sz w:val="24"/>
        </w:rPr>
        <w:t>you</w:t>
      </w:r>
      <w:r>
        <w:rPr>
          <w:i/>
          <w:color w:val="3A3838"/>
          <w:spacing w:val="27"/>
          <w:w w:val="115"/>
          <w:sz w:val="24"/>
        </w:rPr>
        <w:t> </w:t>
      </w:r>
      <w:r>
        <w:rPr>
          <w:color w:val="3A3838"/>
          <w:w w:val="115"/>
        </w:rPr>
        <w:t>may</w:t>
      </w:r>
      <w:r>
        <w:rPr>
          <w:color w:val="3A3838"/>
          <w:spacing w:val="44"/>
          <w:w w:val="115"/>
        </w:rPr>
        <w:t> </w:t>
      </w:r>
      <w:r>
        <w:rPr>
          <w:color w:val="3A3838"/>
          <w:w w:val="115"/>
        </w:rPr>
        <w:t>have</w:t>
      </w:r>
      <w:r>
        <w:rPr>
          <w:color w:val="3A3838"/>
          <w:spacing w:val="18"/>
          <w:w w:val="115"/>
        </w:rPr>
        <w:t> </w:t>
      </w:r>
      <w:r>
        <w:rPr>
          <w:color w:val="3A3838"/>
          <w:w w:val="115"/>
        </w:rPr>
        <w:t>to</w:t>
      </w:r>
      <w:r>
        <w:rPr>
          <w:color w:val="3A3838"/>
          <w:spacing w:val="34"/>
          <w:w w:val="115"/>
        </w:rPr>
        <w:t> </w:t>
      </w:r>
      <w:r>
        <w:rPr>
          <w:color w:val="3A3838"/>
          <w:w w:val="115"/>
        </w:rPr>
        <w:t>broaden</w:t>
      </w:r>
      <w:r>
        <w:rPr>
          <w:color w:val="3A3838"/>
          <w:spacing w:val="28"/>
          <w:w w:val="115"/>
        </w:rPr>
        <w:t> </w:t>
      </w:r>
      <w:r>
        <w:rPr>
          <w:color w:val="3A3838"/>
          <w:w w:val="115"/>
        </w:rPr>
        <w:t>your</w:t>
      </w:r>
      <w:r>
        <w:rPr>
          <w:color w:val="3A3838"/>
          <w:spacing w:val="13"/>
          <w:w w:val="115"/>
        </w:rPr>
        <w:t> </w:t>
      </w:r>
      <w:r>
        <w:rPr>
          <w:color w:val="3A3838"/>
          <w:w w:val="115"/>
        </w:rPr>
        <w:t>concept</w:t>
      </w:r>
      <w:r>
        <w:rPr>
          <w:color w:val="3A3838"/>
          <w:spacing w:val="23"/>
          <w:w w:val="115"/>
        </w:rPr>
        <w:t> </w:t>
      </w:r>
      <w:r>
        <w:rPr>
          <w:color w:val="3A3838"/>
          <w:w w:val="115"/>
        </w:rPr>
        <w:t>of</w:t>
      </w:r>
      <w:r>
        <w:rPr>
          <w:color w:val="3A3838"/>
          <w:spacing w:val="34"/>
          <w:w w:val="115"/>
        </w:rPr>
        <w:t> </w:t>
      </w:r>
      <w:r>
        <w:rPr>
          <w:color w:val="3A3838"/>
          <w:w w:val="115"/>
        </w:rPr>
        <w:t>what</w:t>
      </w:r>
      <w:r>
        <w:rPr>
          <w:color w:val="3A3838"/>
          <w:spacing w:val="20"/>
          <w:w w:val="115"/>
        </w:rPr>
        <w:t> </w:t>
      </w:r>
      <w:r>
        <w:rPr>
          <w:color w:val="3A3838"/>
          <w:w w:val="115"/>
        </w:rPr>
        <w:t>a</w:t>
      </w:r>
    </w:p>
    <w:p>
      <w:pPr>
        <w:pStyle w:val="BodyText"/>
        <w:spacing w:line="232" w:lineRule="auto"/>
        <w:ind w:left="137" w:right="104" w:hanging="7"/>
        <w:jc w:val="both"/>
      </w:pPr>
      <w:r>
        <w:rPr>
          <w:color w:val="3A3838"/>
          <w:w w:val="115"/>
        </w:rPr>
        <w:t>"fact" is. Many law students think of facts as events that involve human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beings-the details of a contract negotiation, a car accident, or a termi­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nation of employment. In a statutory construction case, however, the</w:t>
      </w:r>
      <w:r>
        <w:rPr>
          <w:color w:val="3A3838"/>
          <w:spacing w:val="1"/>
          <w:w w:val="115"/>
        </w:rPr>
        <w:t> </w:t>
      </w:r>
      <w:r>
        <w:rPr>
          <w:color w:val="3A3838"/>
          <w:spacing w:val="-1"/>
          <w:w w:val="115"/>
        </w:rPr>
        <w:t>language of a statute can be a "fact" that is significant </w:t>
      </w:r>
      <w:r>
        <w:rPr>
          <w:color w:val="3A3838"/>
          <w:w w:val="115"/>
        </w:rPr>
        <w:t>to your argument.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Likewise,</w:t>
      </w:r>
      <w:r>
        <w:rPr>
          <w:color w:val="3A3838"/>
          <w:spacing w:val="11"/>
          <w:w w:val="115"/>
        </w:rPr>
        <w:t> </w:t>
      </w:r>
      <w:r>
        <w:rPr>
          <w:color w:val="3A3838"/>
          <w:w w:val="115"/>
        </w:rPr>
        <w:t>the</w:t>
      </w:r>
      <w:r>
        <w:rPr>
          <w:color w:val="3A3838"/>
          <w:spacing w:val="43"/>
          <w:w w:val="115"/>
        </w:rPr>
        <w:t> </w:t>
      </w:r>
      <w:r>
        <w:rPr>
          <w:color w:val="3A3838"/>
          <w:w w:val="115"/>
        </w:rPr>
        <w:t>way</w:t>
      </w:r>
      <w:r>
        <w:rPr>
          <w:color w:val="3A3838"/>
          <w:spacing w:val="2"/>
          <w:w w:val="115"/>
        </w:rPr>
        <w:t> </w:t>
      </w:r>
      <w:r>
        <w:rPr>
          <w:color w:val="3A3838"/>
          <w:w w:val="115"/>
        </w:rPr>
        <w:t>that</w:t>
      </w:r>
      <w:r>
        <w:rPr>
          <w:color w:val="3A3838"/>
          <w:spacing w:val="14"/>
          <w:w w:val="115"/>
        </w:rPr>
        <w:t> </w:t>
      </w:r>
      <w:r>
        <w:rPr>
          <w:color w:val="3A3838"/>
          <w:w w:val="115"/>
        </w:rPr>
        <w:t>particular</w:t>
      </w:r>
      <w:r>
        <w:rPr>
          <w:color w:val="3A3838"/>
          <w:spacing w:val="10"/>
          <w:w w:val="115"/>
        </w:rPr>
        <w:t> </w:t>
      </w:r>
      <w:r>
        <w:rPr>
          <w:color w:val="3A3838"/>
          <w:w w:val="115"/>
        </w:rPr>
        <w:t>language</w:t>
      </w:r>
      <w:r>
        <w:rPr>
          <w:color w:val="3A3838"/>
          <w:spacing w:val="6"/>
          <w:w w:val="115"/>
        </w:rPr>
        <w:t> </w:t>
      </w:r>
      <w:r>
        <w:rPr>
          <w:color w:val="3A3838"/>
          <w:w w:val="115"/>
        </w:rPr>
        <w:t>within</w:t>
      </w:r>
      <w:r>
        <w:rPr>
          <w:color w:val="3A3838"/>
          <w:spacing w:val="8"/>
          <w:w w:val="115"/>
        </w:rPr>
        <w:t> </w:t>
      </w:r>
      <w:r>
        <w:rPr>
          <w:color w:val="3A3838"/>
          <w:w w:val="115"/>
        </w:rPr>
        <w:t>a statute</w:t>
      </w:r>
      <w:r>
        <w:rPr>
          <w:color w:val="3A3838"/>
          <w:spacing w:val="-7"/>
          <w:w w:val="115"/>
        </w:rPr>
        <w:t> </w:t>
      </w:r>
      <w:r>
        <w:rPr>
          <w:color w:val="3A3838"/>
          <w:w w:val="115"/>
        </w:rPr>
        <w:t>operates</w:t>
      </w:r>
      <w:r>
        <w:rPr>
          <w:color w:val="3A3838"/>
          <w:spacing w:val="-1"/>
          <w:w w:val="115"/>
        </w:rPr>
        <w:t> </w:t>
      </w:r>
      <w:r>
        <w:rPr>
          <w:color w:val="3A3838"/>
          <w:w w:val="115"/>
        </w:rPr>
        <w:t>can</w:t>
      </w:r>
    </w:p>
    <w:p>
      <w:pPr>
        <w:spacing w:after="0" w:line="232" w:lineRule="auto"/>
        <w:jc w:val="both"/>
        <w:sectPr>
          <w:headerReference w:type="default" r:id="rId73"/>
          <w:pgSz w:w="9530" w:h="13730"/>
          <w:pgMar w:header="457" w:footer="0" w:top="660" w:bottom="280" w:left="500" w:right="1100"/>
          <w:pgNumType w:start="49"/>
        </w:sectPr>
      </w:pPr>
    </w:p>
    <w:p>
      <w:pPr>
        <w:pStyle w:val="BodyText"/>
        <w:spacing w:before="5"/>
        <w:rPr>
          <w:sz w:val="29"/>
        </w:rPr>
      </w:pPr>
    </w:p>
    <w:p>
      <w:pPr>
        <w:tabs>
          <w:tab w:pos="964" w:val="left" w:leader="none"/>
        </w:tabs>
        <w:spacing w:before="93"/>
        <w:ind w:left="223" w:right="0" w:firstLine="0"/>
        <w:jc w:val="left"/>
        <w:rPr>
          <w:rFonts w:ascii="Arial"/>
          <w:sz w:val="17"/>
        </w:rPr>
      </w:pPr>
      <w:r>
        <w:rPr>
          <w:b/>
          <w:color w:val="3B3A3B"/>
          <w:w w:val="105"/>
          <w:sz w:val="20"/>
        </w:rPr>
        <w:t>50</w:t>
        <w:tab/>
      </w:r>
      <w:r>
        <w:rPr>
          <w:rFonts w:ascii="Arial"/>
          <w:color w:val="3B3A3B"/>
          <w:sz w:val="17"/>
        </w:rPr>
        <w:t>Chapter</w:t>
      </w:r>
      <w:r>
        <w:rPr>
          <w:rFonts w:ascii="Arial"/>
          <w:color w:val="3B3A3B"/>
          <w:spacing w:val="-5"/>
          <w:sz w:val="17"/>
        </w:rPr>
        <w:t> </w:t>
      </w:r>
      <w:r>
        <w:rPr>
          <w:rFonts w:ascii="Arial"/>
          <w:color w:val="2D2A2B"/>
          <w:sz w:val="17"/>
        </w:rPr>
        <w:t>Three</w:t>
      </w:r>
      <w:r>
        <w:rPr>
          <w:rFonts w:ascii="Arial"/>
          <w:color w:val="2D2A2B"/>
          <w:spacing w:val="69"/>
          <w:sz w:val="17"/>
        </w:rPr>
        <w:t> </w:t>
      </w:r>
      <w:r>
        <w:rPr>
          <w:rFonts w:ascii="Arial"/>
          <w:color w:val="3B3A3B"/>
          <w:sz w:val="17"/>
        </w:rPr>
        <w:t>Before</w:t>
      </w:r>
      <w:r>
        <w:rPr>
          <w:rFonts w:ascii="Arial"/>
          <w:color w:val="3B3A3B"/>
          <w:spacing w:val="-15"/>
          <w:sz w:val="17"/>
        </w:rPr>
        <w:t> </w:t>
      </w:r>
      <w:r>
        <w:rPr>
          <w:rFonts w:ascii="Arial"/>
          <w:color w:val="3B3A3B"/>
          <w:sz w:val="17"/>
        </w:rPr>
        <w:t>You</w:t>
      </w:r>
      <w:r>
        <w:rPr>
          <w:rFonts w:ascii="Arial"/>
          <w:color w:val="3B3A3B"/>
          <w:spacing w:val="-4"/>
          <w:sz w:val="17"/>
        </w:rPr>
        <w:t> </w:t>
      </w:r>
      <w:r>
        <w:rPr>
          <w:rFonts w:ascii="Arial"/>
          <w:color w:val="3B3A3B"/>
          <w:sz w:val="17"/>
        </w:rPr>
        <w:t>Write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line="235" w:lineRule="auto" w:before="196"/>
        <w:ind w:left="868" w:right="120" w:firstLine="77"/>
        <w:jc w:val="both"/>
      </w:pPr>
      <w:r>
        <w:rPr>
          <w:color w:val="3B3A3B"/>
          <w:w w:val="115"/>
        </w:rPr>
        <w:t>also be a "fact"-or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5"/>
        </w:rPr>
        <w:t>a category of facts-that youneed to be aware of so</w:t>
      </w:r>
      <w:r>
        <w:rPr>
          <w:color w:val="3B3A3B"/>
          <w:spacing w:val="-64"/>
          <w:w w:val="115"/>
        </w:rPr>
        <w:t> </w:t>
      </w:r>
      <w:r>
        <w:rPr>
          <w:color w:val="3B3A3B"/>
          <w:w w:val="110"/>
        </w:rPr>
        <w:t>that you can look for similar categories of facts when you conduct your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research. For example, if you are arguing that </w:t>
      </w:r>
      <w:r>
        <w:rPr>
          <w:color w:val="2D2A2B"/>
          <w:w w:val="110"/>
        </w:rPr>
        <w:t>the </w:t>
      </w:r>
      <w:r>
        <w:rPr>
          <w:color w:val="3B3A3B"/>
          <w:w w:val="110"/>
        </w:rPr>
        <w:t>word "employer" in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05"/>
        </w:rPr>
        <w:t>Family and Medical Leave Act includes "supervisors" as well as the entity­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employer, it may be a legally significant fact that Congress used the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terms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10"/>
        </w:rPr>
        <w:t>"employer," "person," and other words in particular ways within certain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05"/>
        </w:rPr>
        <w:t>provisions of the Act. A relevant category of facts </w:t>
      </w:r>
      <w:r>
        <w:rPr>
          <w:color w:val="3B3A3B"/>
          <w:w w:val="105"/>
          <w:sz w:val="21"/>
        </w:rPr>
        <w:t>in</w:t>
      </w:r>
      <w:r>
        <w:rPr>
          <w:color w:val="3B3A3B"/>
          <w:spacing w:val="1"/>
          <w:w w:val="105"/>
          <w:sz w:val="21"/>
        </w:rPr>
        <w:t> </w:t>
      </w:r>
      <w:r>
        <w:rPr>
          <w:color w:val="3B3A3B"/>
          <w:w w:val="105"/>
        </w:rPr>
        <w:t>this case could be the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way </w:t>
      </w:r>
      <w:r>
        <w:rPr>
          <w:color w:val="2D2A2B"/>
          <w:w w:val="105"/>
        </w:rPr>
        <w:t>that </w:t>
      </w:r>
      <w:r>
        <w:rPr>
          <w:color w:val="3B3A3B"/>
          <w:w w:val="105"/>
        </w:rPr>
        <w:t>the legislature used words in the statute. Accordingly, you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might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find </w:t>
      </w:r>
      <w:r>
        <w:rPr>
          <w:color w:val="2D2A2B"/>
          <w:w w:val="105"/>
        </w:rPr>
        <w:t>relevant </w:t>
      </w:r>
      <w:r>
        <w:rPr>
          <w:color w:val="3B3A3B"/>
          <w:w w:val="105"/>
        </w:rPr>
        <w:t>cases that discussed how Congress used a variety of words </w:t>
      </w:r>
      <w:r>
        <w:rPr>
          <w:color w:val="3B3A3B"/>
          <w:w w:val="105"/>
          <w:sz w:val="21"/>
        </w:rPr>
        <w:t>in</w:t>
      </w:r>
      <w:r>
        <w:rPr>
          <w:color w:val="3B3A3B"/>
          <w:spacing w:val="1"/>
          <w:w w:val="105"/>
          <w:sz w:val="21"/>
        </w:rPr>
        <w:t> </w:t>
      </w:r>
      <w:r>
        <w:rPr>
          <w:color w:val="3B3A3B"/>
          <w:w w:val="105"/>
        </w:rPr>
        <w:t>a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variety of contexts. You may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miss the significance of these facts if you limit</w:t>
      </w:r>
      <w:r>
        <w:rPr>
          <w:color w:val="3B3A3B"/>
          <w:spacing w:val="-58"/>
          <w:w w:val="105"/>
        </w:rPr>
        <w:t> </w:t>
      </w:r>
      <w:r>
        <w:rPr>
          <w:color w:val="2D2A2B"/>
          <w:w w:val="110"/>
        </w:rPr>
        <w:t>the </w:t>
      </w:r>
      <w:r>
        <w:rPr>
          <w:color w:val="3B3A3B"/>
          <w:w w:val="110"/>
        </w:rPr>
        <w:t>concept of "facts" to your client's behavior in the workplace and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conversations</w:t>
      </w:r>
      <w:r>
        <w:rPr>
          <w:color w:val="3B3A3B"/>
          <w:spacing w:val="7"/>
          <w:w w:val="110"/>
        </w:rPr>
        <w:t> </w:t>
      </w:r>
      <w:r>
        <w:rPr>
          <w:color w:val="2D2A2B"/>
          <w:w w:val="110"/>
        </w:rPr>
        <w:t>the</w:t>
      </w:r>
      <w:r>
        <w:rPr>
          <w:color w:val="2D2A2B"/>
          <w:spacing w:val="-1"/>
          <w:w w:val="110"/>
        </w:rPr>
        <w:t> </w:t>
      </w:r>
      <w:r>
        <w:rPr>
          <w:color w:val="3B3A3B"/>
          <w:w w:val="110"/>
        </w:rPr>
        <w:t>supervisor</w:t>
      </w:r>
      <w:r>
        <w:rPr>
          <w:color w:val="3B3A3B"/>
          <w:spacing w:val="4"/>
          <w:w w:val="110"/>
        </w:rPr>
        <w:t> </w:t>
      </w:r>
      <w:r>
        <w:rPr>
          <w:color w:val="2D2A2B"/>
          <w:w w:val="110"/>
        </w:rPr>
        <w:t>had</w:t>
      </w:r>
      <w:r>
        <w:rPr>
          <w:color w:val="2D2A2B"/>
          <w:spacing w:val="20"/>
          <w:w w:val="110"/>
        </w:rPr>
        <w:t> </w:t>
      </w:r>
      <w:r>
        <w:rPr>
          <w:color w:val="3B3A3B"/>
          <w:w w:val="110"/>
        </w:rPr>
        <w:t>with</w:t>
      </w:r>
      <w:r>
        <w:rPr>
          <w:color w:val="3B3A3B"/>
          <w:spacing w:val="-14"/>
          <w:w w:val="110"/>
        </w:rPr>
        <w:t> </w:t>
      </w:r>
      <w:r>
        <w:rPr>
          <w:color w:val="3B3A3B"/>
          <w:w w:val="110"/>
        </w:rPr>
        <w:t>your</w:t>
      </w:r>
      <w:r>
        <w:rPr>
          <w:color w:val="3B3A3B"/>
          <w:spacing w:val="-4"/>
          <w:w w:val="110"/>
        </w:rPr>
        <w:t> </w:t>
      </w:r>
      <w:r>
        <w:rPr>
          <w:color w:val="3B3A3B"/>
          <w:w w:val="110"/>
        </w:rPr>
        <w:t>client</w:t>
      </w:r>
      <w:r>
        <w:rPr>
          <w:color w:val="3B3A3B"/>
          <w:spacing w:val="-8"/>
          <w:w w:val="110"/>
        </w:rPr>
        <w:t> </w:t>
      </w:r>
      <w:r>
        <w:rPr>
          <w:color w:val="3B3A3B"/>
          <w:w w:val="110"/>
        </w:rPr>
        <w:t>before</w:t>
      </w:r>
      <w:r>
        <w:rPr>
          <w:color w:val="3B3A3B"/>
          <w:spacing w:val="-15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17"/>
          <w:w w:val="110"/>
        </w:rPr>
        <w:t> </w:t>
      </w:r>
      <w:r>
        <w:rPr>
          <w:color w:val="3B3A3B"/>
          <w:w w:val="110"/>
        </w:rPr>
        <w:t>termination.</w:t>
      </w: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0"/>
          <w:numId w:val="29"/>
        </w:numPr>
        <w:tabs>
          <w:tab w:pos="1615" w:val="left" w:leader="none"/>
        </w:tabs>
        <w:spacing w:line="240" w:lineRule="auto" w:before="0" w:after="0"/>
        <w:ind w:left="1614" w:right="0" w:hanging="416"/>
        <w:jc w:val="both"/>
        <w:rPr>
          <w:b/>
          <w:color w:val="59595B"/>
          <w:sz w:val="20"/>
        </w:rPr>
      </w:pPr>
      <w:r>
        <w:rPr>
          <w:b/>
          <w:color w:val="59595B"/>
          <w:w w:val="120"/>
          <w:sz w:val="20"/>
        </w:rPr>
        <w:t>Relevant</w:t>
      </w:r>
      <w:r>
        <w:rPr>
          <w:b/>
          <w:color w:val="59595B"/>
          <w:spacing w:val="-1"/>
          <w:w w:val="120"/>
          <w:sz w:val="20"/>
        </w:rPr>
        <w:t> </w:t>
      </w:r>
      <w:r>
        <w:rPr>
          <w:b/>
          <w:color w:val="3B3A3B"/>
          <w:w w:val="120"/>
          <w:sz w:val="20"/>
        </w:rPr>
        <w:t>L</w:t>
      </w:r>
      <w:r>
        <w:rPr>
          <w:b/>
          <w:color w:val="59595B"/>
          <w:w w:val="120"/>
          <w:sz w:val="20"/>
        </w:rPr>
        <w:t>e</w:t>
      </w:r>
      <w:r>
        <w:rPr>
          <w:b/>
          <w:color w:val="3B3A3B"/>
          <w:w w:val="120"/>
          <w:sz w:val="20"/>
        </w:rPr>
        <w:t>g</w:t>
      </w:r>
      <w:r>
        <w:rPr>
          <w:b/>
          <w:color w:val="59595B"/>
          <w:w w:val="120"/>
          <w:sz w:val="20"/>
        </w:rPr>
        <w:t>al</w:t>
      </w:r>
      <w:r>
        <w:rPr>
          <w:b/>
          <w:color w:val="59595B"/>
          <w:spacing w:val="42"/>
          <w:w w:val="120"/>
          <w:sz w:val="20"/>
        </w:rPr>
        <w:t> </w:t>
      </w:r>
      <w:r>
        <w:rPr>
          <w:b/>
          <w:color w:val="59595B"/>
          <w:w w:val="120"/>
          <w:sz w:val="20"/>
        </w:rPr>
        <w:t>Issu</w:t>
      </w:r>
      <w:r>
        <w:rPr>
          <w:b/>
          <w:color w:val="3B3A3B"/>
          <w:w w:val="120"/>
          <w:sz w:val="20"/>
        </w:rPr>
        <w:t>es</w:t>
      </w:r>
    </w:p>
    <w:p>
      <w:pPr>
        <w:pStyle w:val="BodyText"/>
        <w:spacing w:line="235" w:lineRule="auto" w:before="16"/>
        <w:ind w:left="714" w:right="99" w:firstLine="504"/>
        <w:jc w:val="both"/>
      </w:pPr>
      <w:r>
        <w:rPr>
          <w:color w:val="3B3A3B"/>
          <w:w w:val="105"/>
        </w:rPr>
        <w:t>Second, consider what types of </w:t>
      </w:r>
      <w:r>
        <w:rPr>
          <w:color w:val="2D2A2B"/>
          <w:w w:val="105"/>
        </w:rPr>
        <w:t>legal </w:t>
      </w:r>
      <w:r>
        <w:rPr>
          <w:color w:val="3B3A3B"/>
          <w:w w:val="105"/>
        </w:rPr>
        <w:t>issues might berelevant. Obviously,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10"/>
        </w:rPr>
        <w:t>when choosing authority cases</w:t>
      </w:r>
      <w:r>
        <w:rPr>
          <w:color w:val="59595B"/>
          <w:w w:val="110"/>
        </w:rPr>
        <w:t>, </w:t>
      </w:r>
      <w:r>
        <w:rPr>
          <w:color w:val="3B3A3B"/>
          <w:w w:val="110"/>
        </w:rPr>
        <w:t>the more on point the issue, </w:t>
      </w:r>
      <w:r>
        <w:rPr>
          <w:color w:val="2D2A2B"/>
          <w:w w:val="110"/>
        </w:rPr>
        <w:t>the </w:t>
      </w:r>
      <w:r>
        <w:rPr>
          <w:color w:val="3B3A3B"/>
          <w:w w:val="110"/>
        </w:rPr>
        <w:t>better. </w:t>
      </w:r>
      <w:r>
        <w:rPr>
          <w:color w:val="3B3A3B"/>
          <w:w w:val="110"/>
          <w:sz w:val="24"/>
        </w:rPr>
        <w:t>If</w:t>
      </w:r>
      <w:r>
        <w:rPr>
          <w:color w:val="3B3A3B"/>
          <w:spacing w:val="1"/>
          <w:w w:val="110"/>
          <w:sz w:val="24"/>
        </w:rPr>
        <w:t> </w:t>
      </w:r>
      <w:r>
        <w:rPr>
          <w:color w:val="3B3A3B"/>
          <w:w w:val="110"/>
        </w:rPr>
        <w:t>your </w:t>
      </w:r>
      <w:r>
        <w:rPr>
          <w:i/>
          <w:color w:val="3B3A3B"/>
          <w:w w:val="110"/>
        </w:rPr>
        <w:t>issue </w:t>
      </w:r>
      <w:r>
        <w:rPr>
          <w:color w:val="3B3A3B"/>
          <w:w w:val="110"/>
        </w:rPr>
        <w:t>involves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meaning of a federal statute, for example, cases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interpreting </w:t>
      </w:r>
      <w:r>
        <w:rPr>
          <w:color w:val="2D2A2B"/>
          <w:w w:val="110"/>
        </w:rPr>
        <w:t>the </w:t>
      </w:r>
      <w:r>
        <w:rPr>
          <w:color w:val="3B3A3B"/>
          <w:w w:val="110"/>
        </w:rPr>
        <w:t>statute would certainly be relevant. But you might also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consider  looking for cases that have interpreted other statutes that either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use similar (or identical) language or govern similar legal problems or cat­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egories of legal problems. </w:t>
      </w:r>
      <w:r>
        <w:rPr>
          <w:color w:val="3B3A3B"/>
          <w:w w:val="110"/>
          <w:sz w:val="22"/>
        </w:rPr>
        <w:t>If </w:t>
      </w:r>
      <w:r>
        <w:rPr>
          <w:color w:val="3B3A3B"/>
          <w:w w:val="110"/>
        </w:rPr>
        <w:t>your client </w:t>
      </w:r>
      <w:r>
        <w:rPr>
          <w:color w:val="2D2A2B"/>
          <w:w w:val="110"/>
        </w:rPr>
        <w:t>has </w:t>
      </w:r>
      <w:r>
        <w:rPr>
          <w:color w:val="3B3A3B"/>
          <w:w w:val="110"/>
        </w:rPr>
        <w:t>sued under the Americans with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10"/>
        </w:rPr>
        <w:t>Disabilities Act, for example, you might search for cases interpreting simi­</w:t>
      </w:r>
      <w:r>
        <w:rPr>
          <w:color w:val="3B3A3B"/>
          <w:spacing w:val="1"/>
          <w:w w:val="110"/>
        </w:rPr>
        <w:t> </w:t>
      </w:r>
      <w:r>
        <w:rPr>
          <w:color w:val="3B3A3B"/>
          <w:spacing w:val="-1"/>
          <w:w w:val="110"/>
        </w:rPr>
        <w:t>lar aspects of Title VII. Likewise, </w:t>
      </w:r>
      <w:r>
        <w:rPr>
          <w:color w:val="2D2A2B"/>
          <w:w w:val="110"/>
        </w:rPr>
        <w:t>if </w:t>
      </w:r>
      <w:r>
        <w:rPr>
          <w:color w:val="3B3A3B"/>
          <w:w w:val="110"/>
        </w:rPr>
        <w:t>your client is being accused of wrong­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fully discharging an  employee in  violation of a contract, other categories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of wrongful discharge cases can be helpful as well. Furthermore, if your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case has several possible sub-issues, authorities that address a sub-issue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might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be highly  relevant for  that sub-issue even  though  they might  not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be relevant to every issue </w:t>
      </w:r>
      <w:r>
        <w:rPr>
          <w:color w:val="2D2A2B"/>
          <w:w w:val="110"/>
        </w:rPr>
        <w:t>in </w:t>
      </w:r>
      <w:r>
        <w:rPr>
          <w:color w:val="3B3A3B"/>
          <w:w w:val="110"/>
        </w:rPr>
        <w:t>your case. For example, if you are analyzing a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torts issue, </w:t>
      </w:r>
      <w:r>
        <w:rPr>
          <w:rFonts w:ascii="Arial" w:hAnsi="Arial"/>
          <w:b/>
          <w:color w:val="3B3A3B"/>
          <w:w w:val="110"/>
          <w:sz w:val="21"/>
        </w:rPr>
        <w:t>a </w:t>
      </w:r>
      <w:r>
        <w:rPr>
          <w:color w:val="3B3A3B"/>
          <w:w w:val="110"/>
        </w:rPr>
        <w:t>case addressing foreseeability might be relevant to your case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even if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particular tort at issue in that case is </w:t>
      </w:r>
      <w:r>
        <w:rPr>
          <w:color w:val="2D2A2B"/>
          <w:w w:val="110"/>
        </w:rPr>
        <w:t>irrelevant. </w:t>
      </w:r>
      <w:r>
        <w:rPr>
          <w:color w:val="3B3A3B"/>
          <w:w w:val="110"/>
        </w:rPr>
        <w:t>Even a case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addressing</w:t>
      </w:r>
      <w:r>
        <w:rPr>
          <w:color w:val="3B3A3B"/>
          <w:spacing w:val="4"/>
          <w:w w:val="110"/>
        </w:rPr>
        <w:t> </w:t>
      </w:r>
      <w:r>
        <w:rPr>
          <w:color w:val="3B3A3B"/>
          <w:w w:val="110"/>
        </w:rPr>
        <w:t>foreseeability</w:t>
      </w:r>
      <w:r>
        <w:rPr>
          <w:color w:val="3B3A3B"/>
          <w:spacing w:val="-8"/>
          <w:w w:val="110"/>
        </w:rPr>
        <w:t> </w:t>
      </w:r>
      <w:r>
        <w:rPr>
          <w:color w:val="3B3A3B"/>
          <w:w w:val="110"/>
        </w:rPr>
        <w:t>in</w:t>
      </w:r>
      <w:r>
        <w:rPr>
          <w:color w:val="3B3A3B"/>
          <w:spacing w:val="14"/>
          <w:w w:val="110"/>
        </w:rPr>
        <w:t> </w:t>
      </w:r>
      <w:r>
        <w:rPr>
          <w:color w:val="3B3A3B"/>
          <w:w w:val="110"/>
        </w:rPr>
        <w:t>a</w:t>
      </w:r>
      <w:r>
        <w:rPr>
          <w:color w:val="3B3A3B"/>
          <w:spacing w:val="2"/>
          <w:w w:val="110"/>
        </w:rPr>
        <w:t> </w:t>
      </w:r>
      <w:r>
        <w:rPr>
          <w:color w:val="3B3A3B"/>
          <w:w w:val="110"/>
        </w:rPr>
        <w:t>context</w:t>
      </w:r>
      <w:r>
        <w:rPr>
          <w:color w:val="3B3A3B"/>
          <w:spacing w:val="-5"/>
          <w:w w:val="110"/>
        </w:rPr>
        <w:t> </w:t>
      </w:r>
      <w:r>
        <w:rPr>
          <w:color w:val="3B3A3B"/>
          <w:w w:val="110"/>
        </w:rPr>
        <w:t>other</w:t>
      </w:r>
      <w:r>
        <w:rPr>
          <w:color w:val="3B3A3B"/>
          <w:spacing w:val="18"/>
          <w:w w:val="110"/>
        </w:rPr>
        <w:t> </w:t>
      </w:r>
      <w:r>
        <w:rPr>
          <w:color w:val="3B3A3B"/>
          <w:w w:val="110"/>
        </w:rPr>
        <w:t>than</w:t>
      </w:r>
      <w:r>
        <w:rPr>
          <w:color w:val="3B3A3B"/>
          <w:spacing w:val="19"/>
          <w:w w:val="110"/>
        </w:rPr>
        <w:t> </w:t>
      </w:r>
      <w:r>
        <w:rPr>
          <w:color w:val="3B3A3B"/>
          <w:w w:val="110"/>
        </w:rPr>
        <w:t>torts</w:t>
      </w:r>
      <w:r>
        <w:rPr>
          <w:color w:val="3B3A3B"/>
          <w:spacing w:val="-13"/>
          <w:w w:val="110"/>
        </w:rPr>
        <w:t> </w:t>
      </w:r>
      <w:r>
        <w:rPr>
          <w:color w:val="3B3A3B"/>
          <w:w w:val="110"/>
        </w:rPr>
        <w:t>could</w:t>
      </w:r>
      <w:r>
        <w:rPr>
          <w:color w:val="3B3A3B"/>
          <w:spacing w:val="23"/>
          <w:w w:val="110"/>
        </w:rPr>
        <w:t> </w:t>
      </w:r>
      <w:r>
        <w:rPr>
          <w:color w:val="3B3A3B"/>
          <w:w w:val="110"/>
        </w:rPr>
        <w:t>be</w:t>
      </w:r>
      <w:r>
        <w:rPr>
          <w:color w:val="3B3A3B"/>
          <w:spacing w:val="-5"/>
          <w:w w:val="110"/>
        </w:rPr>
        <w:t> </w:t>
      </w:r>
      <w:r>
        <w:rPr>
          <w:color w:val="3B3A3B"/>
          <w:w w:val="110"/>
        </w:rPr>
        <w:t>significant.</w:t>
      </w:r>
    </w:p>
    <w:p>
      <w:pPr>
        <w:pStyle w:val="BodyText"/>
        <w:spacing w:before="10"/>
        <w:rPr>
          <w:sz w:val="30"/>
        </w:rPr>
      </w:pPr>
    </w:p>
    <w:p>
      <w:pPr>
        <w:pStyle w:val="ListParagraph"/>
        <w:numPr>
          <w:ilvl w:val="0"/>
          <w:numId w:val="29"/>
        </w:numPr>
        <w:tabs>
          <w:tab w:pos="1412" w:val="left" w:leader="none"/>
          <w:tab w:pos="1413" w:val="left" w:leader="none"/>
        </w:tabs>
        <w:spacing w:line="240" w:lineRule="auto" w:before="0" w:after="0"/>
        <w:ind w:left="1412" w:right="0" w:hanging="400"/>
        <w:jc w:val="left"/>
        <w:rPr>
          <w:color w:val="3B3A3B"/>
          <w:sz w:val="21"/>
        </w:rPr>
      </w:pPr>
      <w:r>
        <w:rPr>
          <w:b/>
          <w:color w:val="59595B"/>
          <w:w w:val="125"/>
          <w:sz w:val="20"/>
        </w:rPr>
        <w:t>Re</w:t>
      </w:r>
      <w:r>
        <w:rPr>
          <w:b/>
          <w:color w:val="3B3A3B"/>
          <w:w w:val="125"/>
          <w:sz w:val="20"/>
        </w:rPr>
        <w:t>l</w:t>
      </w:r>
      <w:r>
        <w:rPr>
          <w:b/>
          <w:color w:val="59595B"/>
          <w:w w:val="125"/>
          <w:sz w:val="20"/>
        </w:rPr>
        <w:t>e</w:t>
      </w:r>
      <w:r>
        <w:rPr>
          <w:b/>
          <w:color w:val="3B3A3B"/>
          <w:w w:val="125"/>
          <w:sz w:val="20"/>
        </w:rPr>
        <w:t>v</w:t>
      </w:r>
      <w:r>
        <w:rPr>
          <w:b/>
          <w:color w:val="59595B"/>
          <w:w w:val="125"/>
          <w:sz w:val="20"/>
        </w:rPr>
        <w:t>an</w:t>
      </w:r>
      <w:r>
        <w:rPr>
          <w:b/>
          <w:color w:val="3B3A3B"/>
          <w:w w:val="125"/>
          <w:sz w:val="20"/>
        </w:rPr>
        <w:t>t</w:t>
      </w:r>
      <w:r>
        <w:rPr>
          <w:b/>
          <w:color w:val="3B3A3B"/>
          <w:spacing w:val="7"/>
          <w:w w:val="125"/>
          <w:sz w:val="20"/>
        </w:rPr>
        <w:t> </w:t>
      </w:r>
      <w:r>
        <w:rPr>
          <w:b/>
          <w:color w:val="59595B"/>
          <w:w w:val="125"/>
          <w:sz w:val="20"/>
        </w:rPr>
        <w:t>So</w:t>
      </w:r>
      <w:r>
        <w:rPr>
          <w:b/>
          <w:color w:val="3B3A3B"/>
          <w:w w:val="125"/>
          <w:sz w:val="20"/>
        </w:rPr>
        <w:t>ur</w:t>
      </w:r>
      <w:r>
        <w:rPr>
          <w:b/>
          <w:color w:val="59595B"/>
          <w:w w:val="125"/>
          <w:sz w:val="20"/>
        </w:rPr>
        <w:t>c</w:t>
      </w:r>
      <w:r>
        <w:rPr>
          <w:b/>
          <w:color w:val="3B3A3B"/>
          <w:w w:val="125"/>
          <w:sz w:val="20"/>
        </w:rPr>
        <w:t>es</w:t>
      </w:r>
    </w:p>
    <w:p>
      <w:pPr>
        <w:pStyle w:val="ListParagraph"/>
        <w:numPr>
          <w:ilvl w:val="0"/>
          <w:numId w:val="30"/>
        </w:numPr>
        <w:tabs>
          <w:tab w:pos="1235" w:val="left" w:leader="none"/>
        </w:tabs>
        <w:spacing w:line="240" w:lineRule="auto" w:before="162" w:after="0"/>
        <w:ind w:left="1234" w:right="0" w:hanging="221"/>
        <w:jc w:val="left"/>
        <w:rPr>
          <w:rFonts w:ascii="Arial"/>
          <w:i/>
          <w:color w:val="3B3A3B"/>
          <w:sz w:val="19"/>
        </w:rPr>
      </w:pPr>
      <w:r>
        <w:rPr>
          <w:rFonts w:ascii="Arial"/>
          <w:i/>
          <w:color w:val="3B3A3B"/>
          <w:sz w:val="20"/>
        </w:rPr>
        <w:t>Le</w:t>
      </w:r>
      <w:r>
        <w:rPr>
          <w:rFonts w:ascii="Arial"/>
          <w:i/>
          <w:color w:val="59595B"/>
          <w:sz w:val="20"/>
        </w:rPr>
        <w:t>g</w:t>
      </w:r>
      <w:r>
        <w:rPr>
          <w:rFonts w:ascii="Arial"/>
          <w:i/>
          <w:color w:val="3B3A3B"/>
          <w:sz w:val="20"/>
        </w:rPr>
        <w:t>al</w:t>
      </w:r>
      <w:r>
        <w:rPr>
          <w:rFonts w:ascii="Arial"/>
          <w:i/>
          <w:color w:val="3B3A3B"/>
          <w:spacing w:val="12"/>
          <w:sz w:val="20"/>
        </w:rPr>
        <w:t> </w:t>
      </w:r>
      <w:r>
        <w:rPr>
          <w:rFonts w:ascii="Arial"/>
          <w:i/>
          <w:color w:val="59595B"/>
          <w:sz w:val="20"/>
        </w:rPr>
        <w:t>S</w:t>
      </w:r>
      <w:r>
        <w:rPr>
          <w:rFonts w:ascii="Arial"/>
          <w:i/>
          <w:color w:val="3B3A3B"/>
          <w:sz w:val="20"/>
        </w:rPr>
        <w:t>ourc</w:t>
      </w:r>
      <w:r>
        <w:rPr>
          <w:rFonts w:ascii="Arial"/>
          <w:i/>
          <w:color w:val="59595B"/>
          <w:sz w:val="20"/>
        </w:rPr>
        <w:t>e</w:t>
      </w:r>
      <w:r>
        <w:rPr>
          <w:rFonts w:ascii="Arial"/>
          <w:i/>
          <w:color w:val="3B3A3B"/>
          <w:sz w:val="20"/>
        </w:rPr>
        <w:t>s</w:t>
      </w:r>
    </w:p>
    <w:p>
      <w:pPr>
        <w:pStyle w:val="BodyText"/>
        <w:spacing w:line="235" w:lineRule="auto" w:before="36"/>
        <w:ind w:left="652" w:right="164" w:firstLine="413"/>
        <w:jc w:val="both"/>
      </w:pPr>
      <w:r>
        <w:rPr>
          <w:color w:val="3B3A3B"/>
          <w:w w:val="110"/>
        </w:rPr>
        <w:t>Finally, consider what types of sources might be relevant. The most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obvious source for </w:t>
      </w:r>
      <w:r>
        <w:rPr>
          <w:color w:val="2D2A2B"/>
          <w:w w:val="110"/>
        </w:rPr>
        <w:t>legal </w:t>
      </w:r>
      <w:r>
        <w:rPr>
          <w:color w:val="3B3A3B"/>
          <w:w w:val="110"/>
        </w:rPr>
        <w:t>authority is a court of </w:t>
      </w:r>
      <w:r>
        <w:rPr>
          <w:color w:val="2D2A2B"/>
          <w:w w:val="110"/>
        </w:rPr>
        <w:t>Jaw, but</w:t>
      </w:r>
      <w:r>
        <w:rPr>
          <w:color w:val="2D2A2B"/>
          <w:spacing w:val="1"/>
          <w:w w:val="110"/>
        </w:rPr>
        <w:t> </w:t>
      </w:r>
      <w:r>
        <w:rPr>
          <w:color w:val="3B3A3B"/>
          <w:w w:val="110"/>
        </w:rPr>
        <w:t>some courts will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05"/>
        </w:rPr>
        <w:t>hav_e more validity with the reviewing court. Thus, if you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are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writing to an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10"/>
        </w:rPr>
        <w:t>Indiana Court of Appeals, opinions of the</w:t>
      </w:r>
      <w:r>
        <w:rPr>
          <w:color w:val="3B3A3B"/>
          <w:spacing w:val="1"/>
          <w:w w:val="110"/>
        </w:rPr>
        <w:t> </w:t>
      </w:r>
      <w:r>
        <w:rPr>
          <w:color w:val="2D2A2B"/>
          <w:w w:val="110"/>
        </w:rPr>
        <w:t>Indiana </w:t>
      </w:r>
      <w:r>
        <w:rPr>
          <w:color w:val="3B3A3B"/>
          <w:w w:val="110"/>
        </w:rPr>
        <w:t>Supreme Court would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have </w:t>
      </w:r>
      <w:r>
        <w:rPr>
          <w:color w:val="2D2A2B"/>
          <w:w w:val="110"/>
        </w:rPr>
        <w:t>high </w:t>
      </w:r>
      <w:r>
        <w:rPr>
          <w:color w:val="3B3A3B"/>
          <w:w w:val="110"/>
        </w:rPr>
        <w:t>relevance. The obvious rule is that mandatory authorities from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48"/>
          <w:w w:val="110"/>
        </w:rPr>
        <w:t> </w:t>
      </w:r>
      <w:r>
        <w:rPr>
          <w:color w:val="2D2A2B"/>
          <w:w w:val="110"/>
        </w:rPr>
        <w:t>relevant</w:t>
      </w:r>
      <w:r>
        <w:rPr>
          <w:color w:val="2D2A2B"/>
          <w:spacing w:val="44"/>
          <w:w w:val="110"/>
        </w:rPr>
        <w:t> </w:t>
      </w:r>
      <w:r>
        <w:rPr>
          <w:color w:val="3B3A3B"/>
          <w:w w:val="110"/>
        </w:rPr>
        <w:t>jurisdiction</w:t>
      </w:r>
      <w:r>
        <w:rPr>
          <w:color w:val="3B3A3B"/>
          <w:spacing w:val="23"/>
          <w:w w:val="110"/>
        </w:rPr>
        <w:t> </w:t>
      </w:r>
      <w:r>
        <w:rPr>
          <w:color w:val="3B3A3B"/>
          <w:w w:val="110"/>
        </w:rPr>
        <w:t>will</w:t>
      </w:r>
      <w:r>
        <w:rPr>
          <w:color w:val="3B3A3B"/>
          <w:spacing w:val="-2"/>
          <w:w w:val="110"/>
        </w:rPr>
        <w:t> </w:t>
      </w:r>
      <w:r>
        <w:rPr>
          <w:color w:val="3B3A3B"/>
          <w:w w:val="110"/>
        </w:rPr>
        <w:t>have</w:t>
      </w:r>
      <w:r>
        <w:rPr>
          <w:color w:val="3B3A3B"/>
          <w:spacing w:val="-3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23"/>
          <w:w w:val="110"/>
        </w:rPr>
        <w:t> </w:t>
      </w:r>
      <w:r>
        <w:rPr>
          <w:color w:val="3B3A3B"/>
          <w:w w:val="110"/>
        </w:rPr>
        <w:t>most</w:t>
      </w:r>
      <w:r>
        <w:rPr>
          <w:color w:val="3B3A3B"/>
          <w:spacing w:val="8"/>
          <w:w w:val="110"/>
        </w:rPr>
        <w:t> </w:t>
      </w:r>
      <w:r>
        <w:rPr>
          <w:color w:val="3B3A3B"/>
          <w:w w:val="110"/>
        </w:rPr>
        <w:t>validity</w:t>
      </w:r>
      <w:r>
        <w:rPr>
          <w:color w:val="3B3A3B"/>
          <w:spacing w:val="6"/>
          <w:w w:val="110"/>
        </w:rPr>
        <w:t> </w:t>
      </w:r>
      <w:r>
        <w:rPr>
          <w:color w:val="3B3A3B"/>
          <w:w w:val="110"/>
        </w:rPr>
        <w:t>with</w:t>
      </w:r>
      <w:r>
        <w:rPr>
          <w:color w:val="3B3A3B"/>
          <w:spacing w:val="6"/>
          <w:w w:val="110"/>
        </w:rPr>
        <w:t> </w:t>
      </w:r>
      <w:r>
        <w:rPr>
          <w:color w:val="3B3A3B"/>
          <w:w w:val="110"/>
        </w:rPr>
        <w:t>a</w:t>
      </w:r>
      <w:r>
        <w:rPr>
          <w:color w:val="3B3A3B"/>
          <w:spacing w:val="-3"/>
          <w:w w:val="110"/>
        </w:rPr>
        <w:t> </w:t>
      </w:r>
      <w:r>
        <w:rPr>
          <w:color w:val="3B3A3B"/>
          <w:w w:val="110"/>
        </w:rPr>
        <w:t>court.</w:t>
      </w:r>
    </w:p>
    <w:p>
      <w:pPr>
        <w:pStyle w:val="BodyText"/>
        <w:spacing w:line="262" w:lineRule="exact" w:before="1"/>
        <w:ind w:right="186"/>
        <w:jc w:val="right"/>
      </w:pPr>
      <w:r>
        <w:rPr>
          <w:color w:val="3B3A3B"/>
          <w:w w:val="115"/>
          <w:sz w:val="20"/>
        </w:rPr>
        <w:t>If</w:t>
      </w:r>
      <w:r>
        <w:rPr>
          <w:color w:val="3B3A3B"/>
          <w:spacing w:val="34"/>
          <w:w w:val="115"/>
          <w:sz w:val="20"/>
        </w:rPr>
        <w:t> </w:t>
      </w:r>
      <w:r>
        <w:rPr>
          <w:color w:val="3B3A3B"/>
          <w:w w:val="115"/>
        </w:rPr>
        <w:t>there</w:t>
      </w:r>
      <w:r>
        <w:rPr>
          <w:color w:val="3B3A3B"/>
          <w:spacing w:val="26"/>
          <w:w w:val="115"/>
        </w:rPr>
        <w:t> </w:t>
      </w:r>
      <w:r>
        <w:rPr>
          <w:color w:val="3B3A3B"/>
          <w:w w:val="115"/>
        </w:rPr>
        <w:t>is</w:t>
      </w:r>
      <w:r>
        <w:rPr>
          <w:color w:val="3B3A3B"/>
          <w:spacing w:val="10"/>
          <w:w w:val="115"/>
        </w:rPr>
        <w:t> </w:t>
      </w:r>
      <w:r>
        <w:rPr>
          <w:color w:val="3B3A3B"/>
          <w:w w:val="115"/>
        </w:rPr>
        <w:t>no</w:t>
      </w:r>
      <w:r>
        <w:rPr>
          <w:color w:val="3B3A3B"/>
          <w:spacing w:val="48"/>
          <w:w w:val="115"/>
        </w:rPr>
        <w:t> </w:t>
      </w:r>
      <w:r>
        <w:rPr>
          <w:color w:val="3B3A3B"/>
          <w:w w:val="115"/>
        </w:rPr>
        <w:t>mandatory</w:t>
      </w:r>
      <w:r>
        <w:rPr>
          <w:color w:val="3B3A3B"/>
          <w:spacing w:val="27"/>
          <w:w w:val="115"/>
        </w:rPr>
        <w:t> </w:t>
      </w:r>
      <w:r>
        <w:rPr>
          <w:color w:val="3B3A3B"/>
          <w:w w:val="115"/>
        </w:rPr>
        <w:t>authority</w:t>
      </w:r>
      <w:r>
        <w:rPr>
          <w:color w:val="3B3A3B"/>
          <w:spacing w:val="30"/>
          <w:w w:val="115"/>
        </w:rPr>
        <w:t> </w:t>
      </w:r>
      <w:r>
        <w:rPr>
          <w:color w:val="3B3A3B"/>
          <w:w w:val="115"/>
        </w:rPr>
        <w:t>exactly</w:t>
      </w:r>
      <w:r>
        <w:rPr>
          <w:color w:val="3B3A3B"/>
          <w:spacing w:val="20"/>
          <w:w w:val="115"/>
        </w:rPr>
        <w:t> </w:t>
      </w:r>
      <w:r>
        <w:rPr>
          <w:color w:val="3B3A3B"/>
          <w:w w:val="115"/>
        </w:rPr>
        <w:t>on</w:t>
      </w:r>
      <w:r>
        <w:rPr>
          <w:color w:val="3B3A3B"/>
          <w:spacing w:val="57"/>
          <w:w w:val="115"/>
        </w:rPr>
        <w:t> </w:t>
      </w:r>
      <w:r>
        <w:rPr>
          <w:color w:val="3B3A3B"/>
          <w:w w:val="115"/>
        </w:rPr>
        <w:t>point,</w:t>
      </w:r>
      <w:r>
        <w:rPr>
          <w:color w:val="3B3A3B"/>
          <w:spacing w:val="35"/>
          <w:w w:val="115"/>
        </w:rPr>
        <w:t> </w:t>
      </w:r>
      <w:r>
        <w:rPr>
          <w:color w:val="3B3A3B"/>
          <w:w w:val="115"/>
        </w:rPr>
        <w:t>however,</w:t>
      </w:r>
      <w:r>
        <w:rPr>
          <w:color w:val="3B3A3B"/>
          <w:spacing w:val="30"/>
          <w:w w:val="115"/>
        </w:rPr>
        <w:t> </w:t>
      </w:r>
      <w:r>
        <w:rPr>
          <w:color w:val="3B3A3B"/>
          <w:w w:val="115"/>
        </w:rPr>
        <w:t>find</w:t>
      </w:r>
    </w:p>
    <w:p>
      <w:pPr>
        <w:pStyle w:val="BodyText"/>
        <w:spacing w:line="255" w:lineRule="exact"/>
        <w:ind w:right="198"/>
        <w:jc w:val="right"/>
      </w:pPr>
      <w:r>
        <w:rPr>
          <w:color w:val="3B3A3B"/>
          <w:w w:val="110"/>
        </w:rPr>
        <w:t>:mt</w:t>
      </w:r>
      <w:r>
        <w:rPr>
          <w:color w:val="3B3A3B"/>
          <w:spacing w:val="8"/>
          <w:w w:val="110"/>
        </w:rPr>
        <w:t> </w:t>
      </w:r>
      <w:r>
        <w:rPr>
          <w:color w:val="2D2A2B"/>
          <w:w w:val="110"/>
        </w:rPr>
        <w:t>how </w:t>
      </w:r>
      <w:r>
        <w:rPr>
          <w:color w:val="2D2A2B"/>
          <w:spacing w:val="35"/>
          <w:w w:val="110"/>
        </w:rPr>
        <w:t> </w:t>
      </w:r>
      <w:r>
        <w:rPr>
          <w:color w:val="3B3A3B"/>
          <w:w w:val="110"/>
        </w:rPr>
        <w:t>close</w:t>
      </w:r>
      <w:r>
        <w:rPr>
          <w:color w:val="3B3A3B"/>
          <w:spacing w:val="24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59"/>
          <w:w w:val="110"/>
        </w:rPr>
        <w:t> </w:t>
      </w:r>
      <w:r>
        <w:rPr>
          <w:color w:val="3B3A3B"/>
          <w:w w:val="110"/>
        </w:rPr>
        <w:t>mandatory</w:t>
      </w:r>
      <w:r>
        <w:rPr>
          <w:color w:val="3B3A3B"/>
          <w:spacing w:val="22"/>
          <w:w w:val="110"/>
        </w:rPr>
        <w:t> </w:t>
      </w:r>
      <w:r>
        <w:rPr>
          <w:color w:val="3B3A3B"/>
          <w:w w:val="110"/>
        </w:rPr>
        <w:t>court</w:t>
      </w:r>
      <w:r>
        <w:rPr>
          <w:color w:val="3B3A3B"/>
          <w:spacing w:val="33"/>
          <w:w w:val="110"/>
        </w:rPr>
        <w:t> </w:t>
      </w:r>
      <w:r>
        <w:rPr>
          <w:color w:val="3B3A3B"/>
          <w:w w:val="110"/>
        </w:rPr>
        <w:t>has</w:t>
      </w:r>
      <w:r>
        <w:rPr>
          <w:color w:val="3B3A3B"/>
          <w:spacing w:val="-2"/>
          <w:w w:val="110"/>
        </w:rPr>
        <w:t> </w:t>
      </w:r>
      <w:r>
        <w:rPr>
          <w:color w:val="3B3A3B"/>
          <w:w w:val="110"/>
        </w:rPr>
        <w:t>come</w:t>
      </w:r>
      <w:r>
        <w:rPr>
          <w:color w:val="3B3A3B"/>
          <w:spacing w:val="13"/>
          <w:w w:val="110"/>
        </w:rPr>
        <w:t> </w:t>
      </w:r>
      <w:r>
        <w:rPr>
          <w:color w:val="3B3A3B"/>
          <w:w w:val="110"/>
        </w:rPr>
        <w:t>to</w:t>
      </w:r>
      <w:r>
        <w:rPr>
          <w:color w:val="3B3A3B"/>
          <w:spacing w:val="19"/>
          <w:w w:val="110"/>
        </w:rPr>
        <w:t> </w:t>
      </w:r>
      <w:r>
        <w:rPr>
          <w:color w:val="3B3A3B"/>
          <w:w w:val="110"/>
        </w:rPr>
        <w:t>addressing</w:t>
      </w:r>
      <w:r>
        <w:rPr>
          <w:color w:val="3B3A3B"/>
          <w:spacing w:val="36"/>
          <w:w w:val="110"/>
        </w:rPr>
        <w:t> </w:t>
      </w:r>
      <w:r>
        <w:rPr>
          <w:color w:val="2D2A2B"/>
          <w:w w:val="110"/>
        </w:rPr>
        <w:t>the</w:t>
      </w:r>
      <w:r>
        <w:rPr>
          <w:color w:val="2D2A2B"/>
          <w:spacing w:val="46"/>
          <w:w w:val="110"/>
        </w:rPr>
        <w:t> </w:t>
      </w:r>
      <w:r>
        <w:rPr>
          <w:color w:val="2D2A2B"/>
          <w:w w:val="110"/>
        </w:rPr>
        <w:t>relevant</w:t>
      </w:r>
    </w:p>
    <w:p>
      <w:pPr>
        <w:pStyle w:val="BodyText"/>
        <w:spacing w:line="269" w:lineRule="exact"/>
        <w:ind w:right="196"/>
        <w:jc w:val="right"/>
      </w:pPr>
      <w:r>
        <w:rPr>
          <w:i/>
          <w:color w:val="2D2A2B"/>
          <w:w w:val="115"/>
          <w:sz w:val="24"/>
        </w:rPr>
        <w:t>issue</w:t>
      </w:r>
      <w:r>
        <w:rPr>
          <w:i/>
          <w:color w:val="2D2A2B"/>
          <w:spacing w:val="21"/>
          <w:w w:val="115"/>
          <w:sz w:val="24"/>
        </w:rPr>
        <w:t> </w:t>
      </w:r>
      <w:r>
        <w:rPr>
          <w:color w:val="3B3A3B"/>
          <w:w w:val="115"/>
        </w:rPr>
        <w:t>and</w:t>
      </w:r>
      <w:r>
        <w:rPr>
          <w:color w:val="3B3A3B"/>
          <w:spacing w:val="63"/>
          <w:w w:val="115"/>
        </w:rPr>
        <w:t> </w:t>
      </w:r>
      <w:r>
        <w:rPr>
          <w:color w:val="2D2A2B"/>
          <w:w w:val="115"/>
        </w:rPr>
        <w:t>build</w:t>
      </w:r>
      <w:r>
        <w:rPr>
          <w:color w:val="2D2A2B"/>
          <w:spacing w:val="30"/>
          <w:w w:val="115"/>
        </w:rPr>
        <w:t> </w:t>
      </w:r>
      <w:r>
        <w:rPr>
          <w:color w:val="3B3A3B"/>
          <w:w w:val="115"/>
        </w:rPr>
        <w:t>your</w:t>
      </w:r>
      <w:r>
        <w:rPr>
          <w:color w:val="3B3A3B"/>
          <w:spacing w:val="13"/>
          <w:w w:val="115"/>
        </w:rPr>
        <w:t> </w:t>
      </w:r>
      <w:r>
        <w:rPr>
          <w:color w:val="3B3A3B"/>
          <w:w w:val="115"/>
        </w:rPr>
        <w:t>argument</w:t>
      </w:r>
      <w:r>
        <w:rPr>
          <w:color w:val="3B3A3B"/>
          <w:spacing w:val="31"/>
          <w:w w:val="115"/>
        </w:rPr>
        <w:t> </w:t>
      </w:r>
      <w:r>
        <w:rPr>
          <w:color w:val="3B3A3B"/>
          <w:w w:val="115"/>
        </w:rPr>
        <w:t>on</w:t>
      </w:r>
      <w:r>
        <w:rPr>
          <w:color w:val="3B3A3B"/>
          <w:spacing w:val="45"/>
          <w:w w:val="115"/>
        </w:rPr>
        <w:t> </w:t>
      </w:r>
      <w:r>
        <w:rPr>
          <w:color w:val="2D2A2B"/>
          <w:w w:val="115"/>
        </w:rPr>
        <w:t>those</w:t>
      </w:r>
      <w:r>
        <w:rPr>
          <w:color w:val="2D2A2B"/>
          <w:spacing w:val="14"/>
          <w:w w:val="115"/>
        </w:rPr>
        <w:t> </w:t>
      </w:r>
      <w:r>
        <w:rPr>
          <w:color w:val="3B3A3B"/>
          <w:w w:val="115"/>
        </w:rPr>
        <w:t>authorities.</w:t>
      </w:r>
      <w:r>
        <w:rPr>
          <w:color w:val="3B3A3B"/>
          <w:spacing w:val="31"/>
          <w:w w:val="115"/>
        </w:rPr>
        <w:t> </w:t>
      </w:r>
      <w:r>
        <w:rPr>
          <w:color w:val="2D2A2B"/>
          <w:w w:val="115"/>
        </w:rPr>
        <w:t>If</w:t>
      </w:r>
      <w:r>
        <w:rPr>
          <w:color w:val="2D2A2B"/>
          <w:spacing w:val="34"/>
          <w:w w:val="115"/>
        </w:rPr>
        <w:t> </w:t>
      </w:r>
      <w:r>
        <w:rPr>
          <w:color w:val="3B3A3B"/>
          <w:w w:val="115"/>
        </w:rPr>
        <w:t>the </w:t>
      </w:r>
      <w:r>
        <w:rPr>
          <w:color w:val="3B3A3B"/>
          <w:spacing w:val="24"/>
          <w:w w:val="115"/>
        </w:rPr>
        <w:t> </w:t>
      </w:r>
      <w:r>
        <w:rPr>
          <w:color w:val="3B3A3B"/>
          <w:w w:val="115"/>
        </w:rPr>
        <w:t>mandatory</w:t>
      </w:r>
    </w:p>
    <w:p>
      <w:pPr>
        <w:spacing w:after="0" w:line="269" w:lineRule="exact"/>
        <w:jc w:val="right"/>
        <w:sectPr>
          <w:headerReference w:type="even" r:id="rId74"/>
          <w:pgSz w:w="9840" w:h="13780"/>
          <w:pgMar w:header="0" w:footer="0" w:top="0" w:bottom="280" w:left="1360" w:right="0"/>
        </w:sectPr>
      </w:pPr>
    </w:p>
    <w:p>
      <w:pPr>
        <w:pStyle w:val="BodyText"/>
        <w:spacing w:line="230" w:lineRule="auto" w:before="89"/>
        <w:ind w:left="129" w:right="300" w:firstLine="35"/>
        <w:jc w:val="both"/>
      </w:pPr>
      <w:r>
        <w:rPr>
          <w:color w:val="3B383A"/>
          <w:w w:val="105"/>
        </w:rPr>
        <w:t>jurisdiction has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not  yet  considered  the  precise legal issue in  your case, or</w:t>
      </w:r>
      <w:r>
        <w:rPr>
          <w:color w:val="3B383A"/>
          <w:spacing w:val="-58"/>
          <w:w w:val="105"/>
        </w:rPr>
        <w:t> </w:t>
      </w:r>
      <w:r>
        <w:rPr>
          <w:color w:val="3B383A"/>
          <w:w w:val="110"/>
          <w:sz w:val="24"/>
        </w:rPr>
        <w:t>if </w:t>
      </w:r>
      <w:r>
        <w:rPr>
          <w:color w:val="3B383A"/>
          <w:w w:val="110"/>
        </w:rPr>
        <w:t>nonmandatory decisions are much more on point than any mandatory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decisions, you may wish to go beyond cases from the mandatory court.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When you decide to include citations to nonmandatory authorities, you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can increase the validity of those authorities if you tie them to mandatory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authorities</w:t>
      </w:r>
      <w:r>
        <w:rPr>
          <w:color w:val="3B383A"/>
          <w:spacing w:val="-15"/>
          <w:w w:val="110"/>
        </w:rPr>
        <w:t> </w:t>
      </w:r>
      <w:r>
        <w:rPr>
          <w:color w:val="3B383A"/>
          <w:w w:val="110"/>
        </w:rPr>
        <w:t>or</w:t>
      </w:r>
      <w:r>
        <w:rPr>
          <w:color w:val="3B383A"/>
          <w:spacing w:val="6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25"/>
          <w:w w:val="110"/>
        </w:rPr>
        <w:t> </w:t>
      </w:r>
      <w:r>
        <w:rPr>
          <w:color w:val="3B383A"/>
          <w:w w:val="110"/>
        </w:rPr>
        <w:t>rules</w:t>
      </w:r>
      <w:r>
        <w:rPr>
          <w:color w:val="3B383A"/>
          <w:spacing w:val="-13"/>
          <w:w w:val="110"/>
        </w:rPr>
        <w:t> </w:t>
      </w:r>
      <w:r>
        <w:rPr>
          <w:color w:val="3B383A"/>
          <w:w w:val="110"/>
        </w:rPr>
        <w:t>from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mandatory</w:t>
      </w:r>
      <w:r>
        <w:rPr>
          <w:color w:val="3B383A"/>
          <w:spacing w:val="3"/>
          <w:w w:val="110"/>
        </w:rPr>
        <w:t> </w:t>
      </w:r>
      <w:r>
        <w:rPr>
          <w:color w:val="3B383A"/>
          <w:w w:val="110"/>
        </w:rPr>
        <w:t>authorities</w:t>
      </w:r>
      <w:r>
        <w:rPr>
          <w:color w:val="666769"/>
          <w:w w:val="110"/>
        </w:rPr>
        <w:t>.</w:t>
      </w:r>
    </w:p>
    <w:p>
      <w:pPr>
        <w:pStyle w:val="BodyText"/>
        <w:spacing w:line="235" w:lineRule="auto" w:before="13"/>
        <w:ind w:left="119" w:right="257" w:firstLine="348"/>
        <w:jc w:val="both"/>
      </w:pPr>
      <w:r>
        <w:rPr>
          <w:color w:val="3B383A"/>
          <w:w w:val="115"/>
        </w:rPr>
        <w:t>Thus, if you find that there are few opinions addressing the issue in</w:t>
      </w:r>
      <w:r>
        <w:rPr>
          <w:color w:val="3B383A"/>
          <w:spacing w:val="1"/>
          <w:w w:val="115"/>
        </w:rPr>
        <w:t> </w:t>
      </w:r>
      <w:r>
        <w:rPr>
          <w:color w:val="3B383A"/>
          <w:spacing w:val="-1"/>
          <w:w w:val="115"/>
        </w:rPr>
        <w:t>your case, and</w:t>
      </w:r>
      <w:r>
        <w:rPr>
          <w:color w:val="3B383A"/>
          <w:w w:val="115"/>
        </w:rPr>
        <w:t> </w:t>
      </w:r>
      <w:r>
        <w:rPr>
          <w:color w:val="3B383A"/>
          <w:spacing w:val="-1"/>
          <w:w w:val="115"/>
        </w:rPr>
        <w:t>none </w:t>
      </w:r>
      <w:r>
        <w:rPr>
          <w:color w:val="3B383A"/>
          <w:w w:val="115"/>
        </w:rPr>
        <w:t>that are on point, first find the opinions in your</w:t>
      </w:r>
      <w:r>
        <w:rPr>
          <w:color w:val="3B383A"/>
          <w:spacing w:val="1"/>
          <w:w w:val="115"/>
        </w:rPr>
        <w:t> </w:t>
      </w:r>
      <w:r>
        <w:rPr>
          <w:color w:val="4F4D4F"/>
          <w:w w:val="115"/>
        </w:rPr>
        <w:t>"mandatory </w:t>
      </w:r>
      <w:r>
        <w:rPr>
          <w:color w:val="3B383A"/>
          <w:w w:val="115"/>
        </w:rPr>
        <w:t>court" that are most on point. </w:t>
      </w:r>
      <w:r>
        <w:rPr>
          <w:rFonts w:ascii="Arial" w:hAnsi="Arial"/>
          <w:color w:val="3B383A"/>
          <w:w w:val="115"/>
          <w:sz w:val="22"/>
        </w:rPr>
        <w:t>If </w:t>
      </w:r>
      <w:r>
        <w:rPr>
          <w:color w:val="3B383A"/>
          <w:w w:val="115"/>
        </w:rPr>
        <w:t>you also wish to cite to a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0"/>
        </w:rPr>
        <w:t>nonmandatory authority, begin your discussion of that issue by citing to</w:t>
      </w:r>
      <w:r>
        <w:rPr>
          <w:color w:val="3B383A"/>
          <w:spacing w:val="1"/>
          <w:w w:val="110"/>
        </w:rPr>
        <w:t> </w:t>
      </w:r>
      <w:r>
        <w:rPr>
          <w:color w:val="3B383A"/>
          <w:spacing w:val="-1"/>
          <w:w w:val="115"/>
        </w:rPr>
        <w:t>the mandatory authority. Citing a nonmandatory authority </w:t>
      </w:r>
      <w:r>
        <w:rPr>
          <w:color w:val="3B383A"/>
          <w:w w:val="115"/>
        </w:rPr>
        <w:t>is sort of like</w:t>
      </w:r>
      <w:r>
        <w:rPr>
          <w:color w:val="3B383A"/>
          <w:spacing w:val="-64"/>
          <w:w w:val="115"/>
        </w:rPr>
        <w:t> </w:t>
      </w:r>
      <w:r>
        <w:rPr>
          <w:color w:val="3B383A"/>
          <w:w w:val="115"/>
        </w:rPr>
        <w:t>bringing an uninvited guest to a small party. You might bring an unin­</w:t>
      </w:r>
      <w:r>
        <w:rPr>
          <w:color w:val="3B383A"/>
          <w:spacing w:val="1"/>
          <w:w w:val="115"/>
        </w:rPr>
        <w:t> </w:t>
      </w:r>
      <w:r>
        <w:rPr>
          <w:color w:val="3B383A"/>
          <w:spacing w:val="-1"/>
          <w:w w:val="115"/>
        </w:rPr>
        <w:t>vited</w:t>
      </w:r>
      <w:r>
        <w:rPr>
          <w:color w:val="3B383A"/>
          <w:spacing w:val="-8"/>
          <w:w w:val="115"/>
        </w:rPr>
        <w:t> </w:t>
      </w:r>
      <w:r>
        <w:rPr>
          <w:color w:val="3B383A"/>
          <w:spacing w:val="-1"/>
          <w:w w:val="115"/>
        </w:rPr>
        <w:t>guest</w:t>
      </w:r>
      <w:r>
        <w:rPr>
          <w:color w:val="3B383A"/>
          <w:spacing w:val="-8"/>
          <w:w w:val="115"/>
        </w:rPr>
        <w:t> </w:t>
      </w:r>
      <w:r>
        <w:rPr>
          <w:color w:val="3B383A"/>
          <w:spacing w:val="-1"/>
          <w:w w:val="115"/>
        </w:rPr>
        <w:t>under</w:t>
      </w:r>
      <w:r>
        <w:rPr>
          <w:color w:val="3B383A"/>
          <w:spacing w:val="-8"/>
          <w:w w:val="115"/>
        </w:rPr>
        <w:t> </w:t>
      </w:r>
      <w:r>
        <w:rPr>
          <w:color w:val="3B383A"/>
          <w:spacing w:val="-1"/>
          <w:w w:val="115"/>
        </w:rPr>
        <w:t>some</w:t>
      </w:r>
      <w:r>
        <w:rPr>
          <w:color w:val="3B383A"/>
          <w:spacing w:val="-14"/>
          <w:w w:val="115"/>
        </w:rPr>
        <w:t> </w:t>
      </w:r>
      <w:r>
        <w:rPr>
          <w:color w:val="3B383A"/>
          <w:spacing w:val="-1"/>
          <w:w w:val="115"/>
        </w:rPr>
        <w:t>circumstances,</w:t>
      </w:r>
      <w:r>
        <w:rPr>
          <w:color w:val="3B383A"/>
          <w:spacing w:val="-16"/>
          <w:w w:val="115"/>
        </w:rPr>
        <w:t> </w:t>
      </w:r>
      <w:r>
        <w:rPr>
          <w:color w:val="3B383A"/>
          <w:spacing w:val="-1"/>
          <w:w w:val="115"/>
        </w:rPr>
        <w:t>but</w:t>
      </w:r>
      <w:r>
        <w:rPr>
          <w:color w:val="3B383A"/>
          <w:spacing w:val="8"/>
          <w:w w:val="115"/>
        </w:rPr>
        <w:t> </w:t>
      </w:r>
      <w:r>
        <w:rPr>
          <w:color w:val="3B383A"/>
          <w:w w:val="115"/>
        </w:rPr>
        <w:t>(a)</w:t>
      </w:r>
      <w:r>
        <w:rPr>
          <w:color w:val="3B383A"/>
          <w:spacing w:val="-7"/>
          <w:w w:val="115"/>
        </w:rPr>
        <w:t> </w:t>
      </w:r>
      <w:r>
        <w:rPr>
          <w:color w:val="3B383A"/>
          <w:w w:val="115"/>
        </w:rPr>
        <w:t>you</w:t>
      </w:r>
      <w:r>
        <w:rPr>
          <w:color w:val="3B383A"/>
          <w:spacing w:val="14"/>
          <w:w w:val="115"/>
        </w:rPr>
        <w:t> </w:t>
      </w:r>
      <w:r>
        <w:rPr>
          <w:color w:val="3B383A"/>
          <w:w w:val="115"/>
        </w:rPr>
        <w:t>would</w:t>
      </w:r>
      <w:r>
        <w:rPr>
          <w:color w:val="3B383A"/>
          <w:spacing w:val="-6"/>
          <w:w w:val="115"/>
        </w:rPr>
        <w:t> </w:t>
      </w:r>
      <w:r>
        <w:rPr>
          <w:color w:val="3B383A"/>
          <w:w w:val="115"/>
        </w:rPr>
        <w:t>almost</w:t>
      </w:r>
      <w:r>
        <w:rPr>
          <w:color w:val="3B383A"/>
          <w:spacing w:val="-12"/>
          <w:w w:val="115"/>
        </w:rPr>
        <w:t> </w:t>
      </w:r>
      <w:r>
        <w:rPr>
          <w:color w:val="3B383A"/>
          <w:w w:val="115"/>
        </w:rPr>
        <w:t>always</w:t>
      </w:r>
      <w:r>
        <w:rPr>
          <w:color w:val="3B383A"/>
          <w:spacing w:val="-63"/>
          <w:w w:val="115"/>
        </w:rPr>
        <w:t> </w:t>
      </w:r>
      <w:r>
        <w:rPr>
          <w:color w:val="3B383A"/>
          <w:w w:val="110"/>
        </w:rPr>
        <w:t>explain those circumstances to the host, and </w:t>
      </w:r>
      <w:r>
        <w:rPr>
          <w:color w:val="3B383A"/>
          <w:w w:val="110"/>
          <w:sz w:val="21"/>
        </w:rPr>
        <w:t>(b) </w:t>
      </w:r>
      <w:r>
        <w:rPr>
          <w:color w:val="3B383A"/>
          <w:w w:val="110"/>
        </w:rPr>
        <w:t>you would rarely send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uninvited guest in first, or unescorted. Instead, you would go in first and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5"/>
        </w:rPr>
        <w:t>explain</w:t>
      </w:r>
      <w:r>
        <w:rPr>
          <w:color w:val="3B383A"/>
          <w:spacing w:val="-12"/>
          <w:w w:val="115"/>
        </w:rPr>
        <w:t> </w:t>
      </w:r>
      <w:r>
        <w:rPr>
          <w:color w:val="3B383A"/>
          <w:w w:val="115"/>
        </w:rPr>
        <w:t>why</w:t>
      </w:r>
      <w:r>
        <w:rPr>
          <w:color w:val="3B383A"/>
          <w:spacing w:val="9"/>
          <w:w w:val="115"/>
        </w:rPr>
        <w:t> </w:t>
      </w:r>
      <w:r>
        <w:rPr>
          <w:color w:val="3B383A"/>
          <w:w w:val="115"/>
        </w:rPr>
        <w:t>you</w:t>
      </w:r>
      <w:r>
        <w:rPr>
          <w:color w:val="3B383A"/>
          <w:spacing w:val="8"/>
          <w:w w:val="115"/>
        </w:rPr>
        <w:t> </w:t>
      </w:r>
      <w:r>
        <w:rPr>
          <w:color w:val="3B383A"/>
          <w:w w:val="115"/>
        </w:rPr>
        <w:t>are</w:t>
      </w:r>
      <w:r>
        <w:rPr>
          <w:color w:val="3B383A"/>
          <w:spacing w:val="5"/>
          <w:w w:val="115"/>
        </w:rPr>
        <w:t> </w:t>
      </w:r>
      <w:r>
        <w:rPr>
          <w:color w:val="3B383A"/>
          <w:w w:val="115"/>
        </w:rPr>
        <w:t>bringing</w:t>
      </w:r>
      <w:r>
        <w:rPr>
          <w:color w:val="3B383A"/>
          <w:spacing w:val="-13"/>
          <w:w w:val="115"/>
        </w:rPr>
        <w:t> </w:t>
      </w:r>
      <w:r>
        <w:rPr>
          <w:color w:val="3B383A"/>
          <w:w w:val="115"/>
        </w:rPr>
        <w:t>the</w:t>
      </w:r>
      <w:r>
        <w:rPr>
          <w:color w:val="3B383A"/>
          <w:spacing w:val="17"/>
          <w:w w:val="115"/>
        </w:rPr>
        <w:t> </w:t>
      </w:r>
      <w:r>
        <w:rPr>
          <w:color w:val="3B383A"/>
          <w:w w:val="115"/>
        </w:rPr>
        <w:t>uninvited</w:t>
      </w:r>
      <w:r>
        <w:rPr>
          <w:color w:val="3B383A"/>
          <w:spacing w:val="8"/>
          <w:w w:val="115"/>
        </w:rPr>
        <w:t> </w:t>
      </w:r>
      <w:r>
        <w:rPr>
          <w:color w:val="3B383A"/>
          <w:w w:val="115"/>
        </w:rPr>
        <w:t>guest.</w:t>
      </w:r>
    </w:p>
    <w:p>
      <w:pPr>
        <w:pStyle w:val="BodyText"/>
        <w:spacing w:line="235" w:lineRule="auto"/>
        <w:ind w:left="116" w:right="220" w:firstLine="353"/>
        <w:jc w:val="both"/>
        <w:rPr>
          <w:rFonts w:ascii="Arial" w:hAnsi="Arial"/>
        </w:rPr>
      </w:pPr>
      <w:r>
        <w:rPr>
          <w:color w:val="3B383A"/>
          <w:w w:val="110"/>
        </w:rPr>
        <w:t>Likewise,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you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should cite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mandatory authority first; only then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should you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cite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nonmandatory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authorities,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noting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perhaps that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courts in those cases are applying the mandatory rule or (for cases from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other jurisdictions) are applying rules that areconsistent with or very sim­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ilar to the  mandatory rule. Although, of course, the court is not obligated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to follow these cases, you can lay groundwork that will help the court to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find</w:t>
      </w:r>
      <w:r>
        <w:rPr>
          <w:color w:val="3B383A"/>
          <w:spacing w:val="-2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14"/>
          <w:w w:val="110"/>
        </w:rPr>
        <w:t> </w:t>
      </w:r>
      <w:r>
        <w:rPr>
          <w:color w:val="3B383A"/>
          <w:w w:val="110"/>
        </w:rPr>
        <w:t>authorities</w:t>
      </w:r>
      <w:r>
        <w:rPr>
          <w:color w:val="3B383A"/>
          <w:spacing w:val="-10"/>
          <w:w w:val="110"/>
        </w:rPr>
        <w:t> </w:t>
      </w:r>
      <w:r>
        <w:rPr>
          <w:color w:val="3B383A"/>
          <w:w w:val="110"/>
        </w:rPr>
        <w:t>valid.</w:t>
      </w:r>
      <w:r>
        <w:rPr>
          <w:rFonts w:ascii="Arial" w:hAnsi="Arial"/>
          <w:color w:val="3B383A"/>
          <w:w w:val="110"/>
          <w:vertAlign w:val="superscript"/>
        </w:rPr>
        <w:t>8</w:t>
      </w:r>
    </w:p>
    <w:p>
      <w:pPr>
        <w:pStyle w:val="BodyText"/>
        <w:spacing w:line="232" w:lineRule="auto"/>
        <w:ind w:left="116" w:right="162" w:firstLine="344"/>
        <w:jc w:val="both"/>
      </w:pPr>
      <w:r>
        <w:rPr>
          <w:color w:val="3B383A"/>
          <w:w w:val="110"/>
        </w:rPr>
        <w:t>Some noncourt authorities can  also be valid. </w:t>
      </w:r>
      <w:r>
        <w:rPr>
          <w:rFonts w:ascii="Arial" w:hAnsi="Arial"/>
          <w:color w:val="3B383A"/>
          <w:w w:val="110"/>
          <w:sz w:val="22"/>
        </w:rPr>
        <w:t>If  </w:t>
      </w:r>
      <w:r>
        <w:rPr>
          <w:color w:val="3B383A"/>
          <w:w w:val="110"/>
        </w:rPr>
        <w:t>you are asking a court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to decide on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meaning of federal legislation, the opinion of a federal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agency would be relevant if that agency was involved in drafting regula­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tions, enforcing the  legislation, or suing to  have the  legislation enforced.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If the area of law is particularly novel, you may have difficulty finding on­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point cases or  other authorities. In  that situation, consider  whether any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law review articles have been written on the subject. Although most courts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would rather rely on  cases in  which courts have considered the  impact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that their decisions would have on real-life parties, they may refer to law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reviews when case authorities are few or inadequate.</w:t>
      </w:r>
      <w:r>
        <w:rPr>
          <w:rFonts w:ascii="Arial" w:hAnsi="Arial"/>
          <w:color w:val="3B383A"/>
          <w:w w:val="110"/>
          <w:position w:val="8"/>
          <w:sz w:val="12"/>
        </w:rPr>
        <w:t>9</w:t>
      </w:r>
      <w:r>
        <w:rPr>
          <w:rFonts w:ascii="Arial" w:hAnsi="Arial"/>
          <w:color w:val="3B383A"/>
          <w:spacing w:val="1"/>
          <w:w w:val="110"/>
          <w:position w:val="8"/>
          <w:sz w:val="12"/>
        </w:rPr>
        <w:t> </w:t>
      </w:r>
      <w:r>
        <w:rPr>
          <w:color w:val="3B383A"/>
          <w:w w:val="110"/>
        </w:rPr>
        <w:t>If you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can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cite to a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prestigious  professor  from a prestigious law school, so much the better,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but</w:t>
      </w:r>
      <w:r>
        <w:rPr>
          <w:color w:val="3B383A"/>
          <w:spacing w:val="3"/>
          <w:w w:val="110"/>
        </w:rPr>
        <w:t> </w:t>
      </w:r>
      <w:r>
        <w:rPr>
          <w:color w:val="3B383A"/>
          <w:w w:val="110"/>
        </w:rPr>
        <w:t>most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courts</w:t>
      </w:r>
      <w:r>
        <w:rPr>
          <w:color w:val="3B383A"/>
          <w:spacing w:val="6"/>
          <w:w w:val="110"/>
        </w:rPr>
        <w:t> </w:t>
      </w:r>
      <w:r>
        <w:rPr>
          <w:color w:val="3B383A"/>
          <w:w w:val="110"/>
        </w:rPr>
        <w:t>are</w:t>
      </w:r>
      <w:r>
        <w:rPr>
          <w:color w:val="3B383A"/>
          <w:spacing w:val="9"/>
          <w:w w:val="110"/>
        </w:rPr>
        <w:t> </w:t>
      </w:r>
      <w:r>
        <w:rPr>
          <w:color w:val="3B383A"/>
          <w:w w:val="110"/>
        </w:rPr>
        <w:t>more</w:t>
      </w:r>
      <w:r>
        <w:rPr>
          <w:color w:val="3B383A"/>
          <w:spacing w:val="4"/>
          <w:w w:val="110"/>
        </w:rPr>
        <w:t> </w:t>
      </w:r>
      <w:r>
        <w:rPr>
          <w:color w:val="3B383A"/>
          <w:w w:val="110"/>
        </w:rPr>
        <w:t>interested</w:t>
      </w:r>
      <w:r>
        <w:rPr>
          <w:color w:val="3B383A"/>
          <w:spacing w:val="21"/>
          <w:w w:val="110"/>
        </w:rPr>
        <w:t> </w:t>
      </w:r>
      <w:r>
        <w:rPr>
          <w:color w:val="3B383A"/>
          <w:w w:val="110"/>
        </w:rPr>
        <w:t>in</w:t>
      </w:r>
      <w:r>
        <w:rPr>
          <w:color w:val="3B383A"/>
          <w:spacing w:val="25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43"/>
          <w:w w:val="110"/>
        </w:rPr>
        <w:t> </w:t>
      </w:r>
      <w:r>
        <w:rPr>
          <w:color w:val="3B383A"/>
          <w:w w:val="110"/>
        </w:rPr>
        <w:t>writer's</w:t>
      </w:r>
      <w:r>
        <w:rPr>
          <w:color w:val="3B383A"/>
          <w:spacing w:val="-8"/>
          <w:w w:val="110"/>
        </w:rPr>
        <w:t> </w:t>
      </w:r>
      <w:r>
        <w:rPr>
          <w:color w:val="3B383A"/>
          <w:w w:val="110"/>
        </w:rPr>
        <w:t>expertise,</w:t>
      </w:r>
      <w:r>
        <w:rPr>
          <w:rFonts w:ascii="Arial" w:hAnsi="Arial"/>
          <w:color w:val="3B383A"/>
          <w:w w:val="110"/>
          <w:vertAlign w:val="superscript"/>
        </w:rPr>
        <w:t>10</w:t>
      </w:r>
      <w:r>
        <w:rPr>
          <w:rFonts w:ascii="Arial" w:hAnsi="Arial"/>
          <w:color w:val="3B383A"/>
          <w:spacing w:val="-21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or</w:t>
      </w:r>
      <w:r>
        <w:rPr>
          <w:color w:val="3B383A"/>
          <w:spacing w:val="12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the</w:t>
      </w:r>
      <w:r>
        <w:rPr>
          <w:color w:val="3B383A"/>
          <w:spacing w:val="40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legal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31"/>
        </w:numPr>
        <w:tabs>
          <w:tab w:pos="556" w:val="left" w:leader="none"/>
        </w:tabs>
        <w:spacing w:line="223" w:lineRule="auto" w:before="0" w:after="0"/>
        <w:ind w:left="116" w:right="145" w:firstLine="349"/>
        <w:jc w:val="left"/>
        <w:rPr>
          <w:sz w:val="18"/>
        </w:rPr>
      </w:pPr>
      <w:r>
        <w:rPr>
          <w:i/>
          <w:color w:val="3B383A"/>
          <w:w w:val="105"/>
          <w:sz w:val="17"/>
        </w:rPr>
        <w:t>E.g., Vall/es</w:t>
      </w:r>
      <w:r>
        <w:rPr>
          <w:i/>
          <w:color w:val="3B383A"/>
          <w:spacing w:val="9"/>
          <w:w w:val="105"/>
          <w:sz w:val="17"/>
        </w:rPr>
        <w:t> </w:t>
      </w:r>
      <w:r>
        <w:rPr>
          <w:i/>
          <w:color w:val="3B383A"/>
          <w:w w:val="105"/>
          <w:sz w:val="17"/>
        </w:rPr>
        <w:t>v.</w:t>
      </w:r>
      <w:r>
        <w:rPr>
          <w:i/>
          <w:color w:val="3B383A"/>
          <w:spacing w:val="1"/>
          <w:w w:val="105"/>
          <w:sz w:val="17"/>
        </w:rPr>
        <w:t> </w:t>
      </w:r>
      <w:r>
        <w:rPr>
          <w:i/>
          <w:color w:val="3B383A"/>
          <w:w w:val="105"/>
          <w:sz w:val="17"/>
        </w:rPr>
        <w:t>Sky</w:t>
      </w:r>
      <w:r>
        <w:rPr>
          <w:i/>
          <w:color w:val="3B383A"/>
          <w:spacing w:val="35"/>
          <w:w w:val="105"/>
          <w:sz w:val="17"/>
        </w:rPr>
        <w:t> </w:t>
      </w:r>
      <w:r>
        <w:rPr>
          <w:i/>
          <w:color w:val="3B383A"/>
          <w:w w:val="105"/>
          <w:sz w:val="17"/>
        </w:rPr>
        <w:t>Bank,</w:t>
      </w:r>
      <w:r>
        <w:rPr>
          <w:i/>
          <w:color w:val="3B383A"/>
          <w:spacing w:val="-10"/>
          <w:w w:val="105"/>
          <w:sz w:val="17"/>
        </w:rPr>
        <w:t> </w:t>
      </w:r>
      <w:r>
        <w:rPr>
          <w:color w:val="3B383A"/>
          <w:w w:val="105"/>
          <w:sz w:val="18"/>
        </w:rPr>
        <w:t>591 F.3d</w:t>
      </w:r>
      <w:r>
        <w:rPr>
          <w:color w:val="3B383A"/>
          <w:spacing w:val="12"/>
          <w:w w:val="105"/>
          <w:sz w:val="18"/>
        </w:rPr>
        <w:t> </w:t>
      </w:r>
      <w:r>
        <w:rPr>
          <w:color w:val="3B383A"/>
          <w:w w:val="105"/>
          <w:sz w:val="18"/>
        </w:rPr>
        <w:t>152,</w:t>
      </w:r>
      <w:r>
        <w:rPr>
          <w:color w:val="3B383A"/>
          <w:spacing w:val="-6"/>
          <w:w w:val="105"/>
          <w:sz w:val="18"/>
        </w:rPr>
        <w:t> </w:t>
      </w:r>
      <w:r>
        <w:rPr>
          <w:color w:val="3B383A"/>
          <w:w w:val="105"/>
          <w:sz w:val="18"/>
        </w:rPr>
        <w:t>154</w:t>
      </w:r>
      <w:r>
        <w:rPr>
          <w:color w:val="3B383A"/>
          <w:spacing w:val="15"/>
          <w:w w:val="105"/>
          <w:sz w:val="18"/>
        </w:rPr>
        <w:t> </w:t>
      </w:r>
      <w:r>
        <w:rPr>
          <w:color w:val="3B383A"/>
          <w:w w:val="105"/>
          <w:sz w:val="18"/>
        </w:rPr>
        <w:t>(3d</w:t>
      </w:r>
      <w:r>
        <w:rPr>
          <w:color w:val="3B383A"/>
          <w:spacing w:val="14"/>
          <w:w w:val="105"/>
          <w:sz w:val="18"/>
        </w:rPr>
        <w:t> </w:t>
      </w:r>
      <w:r>
        <w:rPr>
          <w:color w:val="3B383A"/>
          <w:w w:val="105"/>
          <w:sz w:val="18"/>
        </w:rPr>
        <w:t>Cir.</w:t>
      </w:r>
      <w:r>
        <w:rPr>
          <w:color w:val="3B383A"/>
          <w:spacing w:val="-1"/>
          <w:w w:val="105"/>
          <w:sz w:val="18"/>
        </w:rPr>
        <w:t> </w:t>
      </w:r>
      <w:r>
        <w:rPr>
          <w:color w:val="3B383A"/>
          <w:w w:val="105"/>
          <w:sz w:val="18"/>
        </w:rPr>
        <w:t>2009)</w:t>
      </w:r>
      <w:r>
        <w:rPr>
          <w:color w:val="3B383A"/>
          <w:spacing w:val="4"/>
          <w:w w:val="105"/>
          <w:sz w:val="18"/>
        </w:rPr>
        <w:t> </w:t>
      </w:r>
      <w:r>
        <w:rPr>
          <w:color w:val="3B383A"/>
          <w:w w:val="105"/>
          <w:sz w:val="18"/>
        </w:rPr>
        <w:t>(affirming</w:t>
      </w:r>
      <w:r>
        <w:rPr>
          <w:color w:val="3B383A"/>
          <w:spacing w:val="10"/>
          <w:w w:val="105"/>
          <w:sz w:val="18"/>
        </w:rPr>
        <w:t> </w:t>
      </w:r>
      <w:r>
        <w:rPr>
          <w:color w:val="3B383A"/>
          <w:w w:val="105"/>
          <w:sz w:val="18"/>
        </w:rPr>
        <w:t>decision</w:t>
      </w:r>
      <w:r>
        <w:rPr>
          <w:color w:val="3B383A"/>
          <w:spacing w:val="7"/>
          <w:w w:val="105"/>
          <w:sz w:val="18"/>
        </w:rPr>
        <w:t> </w:t>
      </w:r>
      <w:r>
        <w:rPr>
          <w:color w:val="3B383A"/>
          <w:w w:val="105"/>
          <w:sz w:val="18"/>
        </w:rPr>
        <w:t>of</w:t>
      </w:r>
      <w:r>
        <w:rPr>
          <w:color w:val="3B383A"/>
          <w:spacing w:val="14"/>
          <w:w w:val="105"/>
          <w:sz w:val="18"/>
        </w:rPr>
        <w:t> </w:t>
      </w:r>
      <w:r>
        <w:rPr>
          <w:color w:val="3B383A"/>
          <w:w w:val="105"/>
          <w:sz w:val="18"/>
        </w:rPr>
        <w:t>district</w:t>
      </w:r>
      <w:r>
        <w:rPr>
          <w:color w:val="3B383A"/>
          <w:spacing w:val="6"/>
          <w:w w:val="105"/>
          <w:sz w:val="18"/>
        </w:rPr>
        <w:t> </w:t>
      </w:r>
      <w:r>
        <w:rPr>
          <w:color w:val="3B383A"/>
          <w:w w:val="105"/>
          <w:sz w:val="18"/>
        </w:rPr>
        <w:t>court</w:t>
      </w:r>
      <w:r>
        <w:rPr>
          <w:color w:val="3B383A"/>
          <w:spacing w:val="1"/>
          <w:w w:val="105"/>
          <w:sz w:val="18"/>
        </w:rPr>
        <w:t> </w:t>
      </w:r>
      <w:r>
        <w:rPr>
          <w:color w:val="3B383A"/>
          <w:w w:val="110"/>
          <w:sz w:val="18"/>
        </w:rPr>
        <w:t>that</w:t>
      </w:r>
      <w:r>
        <w:rPr>
          <w:color w:val="3B383A"/>
          <w:spacing w:val="-18"/>
          <w:w w:val="110"/>
          <w:sz w:val="18"/>
        </w:rPr>
        <w:t> </w:t>
      </w:r>
      <w:r>
        <w:rPr>
          <w:color w:val="3B383A"/>
          <w:w w:val="110"/>
          <w:sz w:val="18"/>
        </w:rPr>
        <w:t>"follow[ed]</w:t>
      </w:r>
      <w:r>
        <w:rPr>
          <w:color w:val="3B383A"/>
          <w:spacing w:val="8"/>
          <w:w w:val="110"/>
          <w:sz w:val="18"/>
        </w:rPr>
        <w:t> </w:t>
      </w:r>
      <w:r>
        <w:rPr>
          <w:color w:val="3B383A"/>
          <w:w w:val="110"/>
          <w:sz w:val="18"/>
        </w:rPr>
        <w:t>persuasive</w:t>
      </w:r>
      <w:r>
        <w:rPr>
          <w:color w:val="3B383A"/>
          <w:spacing w:val="-1"/>
          <w:w w:val="110"/>
          <w:sz w:val="18"/>
        </w:rPr>
        <w:t> </w:t>
      </w:r>
      <w:r>
        <w:rPr>
          <w:color w:val="3B383A"/>
          <w:w w:val="110"/>
          <w:sz w:val="18"/>
        </w:rPr>
        <w:t>authority</w:t>
      </w:r>
      <w:r>
        <w:rPr>
          <w:color w:val="3B383A"/>
          <w:spacing w:val="-9"/>
          <w:w w:val="110"/>
          <w:sz w:val="18"/>
        </w:rPr>
        <w:t> </w:t>
      </w:r>
      <w:r>
        <w:rPr>
          <w:color w:val="3B383A"/>
          <w:w w:val="110"/>
          <w:sz w:val="18"/>
        </w:rPr>
        <w:t>from</w:t>
      </w:r>
      <w:r>
        <w:rPr>
          <w:color w:val="3B383A"/>
          <w:spacing w:val="-13"/>
          <w:w w:val="110"/>
          <w:sz w:val="18"/>
        </w:rPr>
        <w:t> </w:t>
      </w:r>
      <w:r>
        <w:rPr>
          <w:color w:val="3B383A"/>
          <w:w w:val="110"/>
          <w:sz w:val="18"/>
        </w:rPr>
        <w:t>our</w:t>
      </w:r>
      <w:r>
        <w:rPr>
          <w:color w:val="3B383A"/>
          <w:spacing w:val="4"/>
          <w:w w:val="110"/>
          <w:sz w:val="18"/>
        </w:rPr>
        <w:t> </w:t>
      </w:r>
      <w:r>
        <w:rPr>
          <w:color w:val="3B383A"/>
          <w:w w:val="110"/>
          <w:sz w:val="18"/>
        </w:rPr>
        <w:t>sister</w:t>
      </w:r>
      <w:r>
        <w:rPr>
          <w:color w:val="3B383A"/>
          <w:spacing w:val="-11"/>
          <w:w w:val="110"/>
          <w:sz w:val="18"/>
        </w:rPr>
        <w:t> </w:t>
      </w:r>
      <w:r>
        <w:rPr>
          <w:color w:val="3B383A"/>
          <w:w w:val="110"/>
          <w:sz w:val="18"/>
        </w:rPr>
        <w:t>courts</w:t>
      </w:r>
      <w:r>
        <w:rPr>
          <w:color w:val="3B383A"/>
          <w:spacing w:val="-26"/>
          <w:w w:val="110"/>
          <w:sz w:val="18"/>
        </w:rPr>
        <w:t> </w:t>
      </w:r>
      <w:r>
        <w:rPr>
          <w:color w:val="3B383A"/>
          <w:w w:val="110"/>
          <w:sz w:val="18"/>
        </w:rPr>
        <w:t>of</w:t>
      </w:r>
      <w:r>
        <w:rPr>
          <w:color w:val="3B383A"/>
          <w:spacing w:val="-5"/>
          <w:w w:val="110"/>
          <w:sz w:val="18"/>
        </w:rPr>
        <w:t> </w:t>
      </w:r>
      <w:r>
        <w:rPr>
          <w:color w:val="3B383A"/>
          <w:w w:val="110"/>
          <w:sz w:val="18"/>
        </w:rPr>
        <w:t>appeals").</w:t>
      </w:r>
    </w:p>
    <w:p>
      <w:pPr>
        <w:spacing w:line="207" w:lineRule="exact" w:before="0"/>
        <w:ind w:left="471" w:right="0" w:firstLine="0"/>
        <w:jc w:val="left"/>
        <w:rPr>
          <w:i/>
          <w:sz w:val="17"/>
        </w:rPr>
      </w:pPr>
      <w:r>
        <w:rPr>
          <w:i/>
          <w:color w:val="3B383A"/>
          <w:position w:val="7"/>
          <w:sz w:val="11"/>
        </w:rPr>
        <w:t>9</w:t>
      </w:r>
      <w:r>
        <w:rPr>
          <w:i/>
          <w:color w:val="4F4D4F"/>
          <w:sz w:val="17"/>
        </w:rPr>
        <w:t>See</w:t>
      </w:r>
      <w:r>
        <w:rPr>
          <w:i/>
          <w:color w:val="3B383A"/>
          <w:sz w:val="17"/>
        </w:rPr>
        <w:t>generally</w:t>
      </w:r>
      <w:r>
        <w:rPr>
          <w:i/>
          <w:color w:val="3B383A"/>
          <w:spacing w:val="13"/>
          <w:sz w:val="17"/>
        </w:rPr>
        <w:t> </w:t>
      </w:r>
      <w:r>
        <w:rPr>
          <w:color w:val="3B383A"/>
          <w:sz w:val="18"/>
        </w:rPr>
        <w:t>Deborah</w:t>
      </w:r>
      <w:r>
        <w:rPr>
          <w:color w:val="3B383A"/>
          <w:spacing w:val="-7"/>
          <w:sz w:val="18"/>
        </w:rPr>
        <w:t> </w:t>
      </w:r>
      <w:r>
        <w:rPr>
          <w:color w:val="3B383A"/>
          <w:sz w:val="22"/>
        </w:rPr>
        <w:t>J.</w:t>
      </w:r>
      <w:r>
        <w:rPr>
          <w:color w:val="3B383A"/>
          <w:spacing w:val="-9"/>
          <w:sz w:val="22"/>
        </w:rPr>
        <w:t> </w:t>
      </w:r>
      <w:r>
        <w:rPr>
          <w:color w:val="3B383A"/>
          <w:sz w:val="18"/>
        </w:rPr>
        <w:t>Merritt</w:t>
      </w:r>
      <w:r>
        <w:rPr>
          <w:color w:val="3B383A"/>
          <w:spacing w:val="15"/>
          <w:sz w:val="18"/>
        </w:rPr>
        <w:t> </w:t>
      </w:r>
      <w:r>
        <w:rPr>
          <w:color w:val="3B383A"/>
          <w:sz w:val="17"/>
        </w:rPr>
        <w:t>&amp;</w:t>
      </w:r>
      <w:r>
        <w:rPr>
          <w:color w:val="3B383A"/>
          <w:spacing w:val="6"/>
          <w:sz w:val="17"/>
        </w:rPr>
        <w:t> </w:t>
      </w:r>
      <w:r>
        <w:rPr>
          <w:color w:val="3B383A"/>
          <w:sz w:val="18"/>
        </w:rPr>
        <w:t>Melanie</w:t>
      </w:r>
      <w:r>
        <w:rPr>
          <w:color w:val="3B383A"/>
          <w:spacing w:val="17"/>
          <w:sz w:val="18"/>
        </w:rPr>
        <w:t> </w:t>
      </w:r>
      <w:r>
        <w:rPr>
          <w:color w:val="3B383A"/>
          <w:sz w:val="18"/>
        </w:rPr>
        <w:t>Putnam,</w:t>
      </w:r>
      <w:r>
        <w:rPr>
          <w:color w:val="3B383A"/>
          <w:spacing w:val="-1"/>
          <w:sz w:val="18"/>
        </w:rPr>
        <w:t> </w:t>
      </w:r>
      <w:r>
        <w:rPr>
          <w:i/>
          <w:color w:val="3B383A"/>
          <w:sz w:val="17"/>
        </w:rPr>
        <w:t>Symposium</w:t>
      </w:r>
      <w:r>
        <w:rPr>
          <w:i/>
          <w:color w:val="3B383A"/>
          <w:spacing w:val="9"/>
          <w:sz w:val="17"/>
        </w:rPr>
        <w:t> </w:t>
      </w:r>
      <w:r>
        <w:rPr>
          <w:i/>
          <w:color w:val="4F4D4F"/>
          <w:sz w:val="17"/>
        </w:rPr>
        <w:t>011</w:t>
      </w:r>
      <w:r>
        <w:rPr>
          <w:i/>
          <w:color w:val="4F4D4F"/>
          <w:spacing w:val="-3"/>
          <w:sz w:val="17"/>
        </w:rPr>
        <w:t> </w:t>
      </w:r>
      <w:r>
        <w:rPr>
          <w:i/>
          <w:color w:val="3B383A"/>
          <w:sz w:val="17"/>
        </w:rPr>
        <w:t>the  </w:t>
      </w:r>
      <w:r>
        <w:rPr>
          <w:i/>
          <w:color w:val="3B383A"/>
          <w:spacing w:val="13"/>
          <w:sz w:val="17"/>
        </w:rPr>
        <w:t> </w:t>
      </w:r>
      <w:r>
        <w:rPr>
          <w:i/>
          <w:color w:val="3B383A"/>
          <w:sz w:val="17"/>
        </w:rPr>
        <w:t>Tre11ds</w:t>
      </w:r>
      <w:r>
        <w:rPr>
          <w:i/>
          <w:color w:val="3B383A"/>
          <w:spacing w:val="8"/>
          <w:sz w:val="17"/>
        </w:rPr>
        <w:t> </w:t>
      </w:r>
      <w:r>
        <w:rPr>
          <w:i/>
          <w:color w:val="3B383A"/>
          <w:sz w:val="17"/>
        </w:rPr>
        <w:t>in</w:t>
      </w:r>
      <w:r>
        <w:rPr>
          <w:i/>
          <w:color w:val="3B383A"/>
          <w:spacing w:val="58"/>
          <w:sz w:val="17"/>
        </w:rPr>
        <w:t> </w:t>
      </w:r>
      <w:r>
        <w:rPr>
          <w:i/>
          <w:color w:val="3B383A"/>
          <w:sz w:val="17"/>
        </w:rPr>
        <w:t>Legal</w:t>
      </w:r>
      <w:r>
        <w:rPr>
          <w:i/>
          <w:color w:val="3B383A"/>
          <w:spacing w:val="1"/>
          <w:sz w:val="17"/>
        </w:rPr>
        <w:t> </w:t>
      </w:r>
      <w:r>
        <w:rPr>
          <w:i/>
          <w:color w:val="3B383A"/>
          <w:sz w:val="17"/>
        </w:rPr>
        <w:t>Citations</w:t>
      </w:r>
    </w:p>
    <w:p>
      <w:pPr>
        <w:spacing w:line="225" w:lineRule="auto" w:before="3"/>
        <w:ind w:left="116" w:right="128" w:hanging="3"/>
        <w:jc w:val="both"/>
        <w:rPr>
          <w:sz w:val="18"/>
        </w:rPr>
      </w:pPr>
      <w:r>
        <w:rPr>
          <w:i/>
          <w:color w:val="3B383A"/>
          <w:w w:val="105"/>
          <w:sz w:val="17"/>
        </w:rPr>
        <w:t>and Scholarsliip:</w:t>
      </w:r>
      <w:r>
        <w:rPr>
          <w:i/>
          <w:color w:val="3B383A"/>
          <w:spacing w:val="1"/>
          <w:w w:val="105"/>
          <w:sz w:val="17"/>
        </w:rPr>
        <w:t> </w:t>
      </w:r>
      <w:r>
        <w:rPr>
          <w:i/>
          <w:color w:val="3B383A"/>
          <w:w w:val="105"/>
          <w:sz w:val="17"/>
        </w:rPr>
        <w:t>fudges a"'I Schol"rs: Do Courts arid Scholarly /011mals </w:t>
      </w:r>
      <w:r>
        <w:rPr>
          <w:i/>
          <w:color w:val="4F4D4F"/>
          <w:w w:val="105"/>
          <w:sz w:val="17"/>
        </w:rPr>
        <w:t>Cite </w:t>
      </w:r>
      <w:r>
        <w:rPr>
          <w:i/>
          <w:color w:val="3B383A"/>
          <w:w w:val="105"/>
          <w:sz w:val="17"/>
        </w:rPr>
        <w:t>the Same </w:t>
      </w:r>
      <w:r>
        <w:rPr>
          <w:color w:val="3B383A"/>
          <w:w w:val="105"/>
          <w:sz w:val="17"/>
        </w:rPr>
        <w:t>L"w </w:t>
      </w:r>
      <w:r>
        <w:rPr>
          <w:i/>
          <w:color w:val="3B383A"/>
          <w:w w:val="105"/>
          <w:sz w:val="17"/>
        </w:rPr>
        <w:t>Review</w:t>
      </w:r>
      <w:r>
        <w:rPr>
          <w:i/>
          <w:color w:val="3B383A"/>
          <w:spacing w:val="1"/>
          <w:w w:val="105"/>
          <w:sz w:val="17"/>
        </w:rPr>
        <w:t> </w:t>
      </w:r>
      <w:r>
        <w:rPr>
          <w:i/>
          <w:color w:val="3B383A"/>
          <w:w w:val="105"/>
          <w:sz w:val="17"/>
        </w:rPr>
        <w:t>Articles?,</w:t>
      </w:r>
      <w:r>
        <w:rPr>
          <w:i/>
          <w:color w:val="3B383A"/>
          <w:spacing w:val="1"/>
          <w:w w:val="105"/>
          <w:sz w:val="17"/>
        </w:rPr>
        <w:t> </w:t>
      </w:r>
      <w:r>
        <w:rPr>
          <w:color w:val="3B383A"/>
          <w:w w:val="105"/>
          <w:sz w:val="18"/>
        </w:rPr>
        <w:t>71</w:t>
      </w:r>
      <w:r>
        <w:rPr>
          <w:color w:val="3B383A"/>
          <w:spacing w:val="-6"/>
          <w:w w:val="105"/>
          <w:sz w:val="18"/>
        </w:rPr>
        <w:t> </w:t>
      </w:r>
      <w:r>
        <w:rPr>
          <w:color w:val="3B383A"/>
          <w:w w:val="105"/>
          <w:sz w:val="18"/>
        </w:rPr>
        <w:t>Chl.-Kent.</w:t>
      </w:r>
      <w:r>
        <w:rPr>
          <w:color w:val="3B383A"/>
          <w:spacing w:val="-10"/>
          <w:w w:val="105"/>
          <w:sz w:val="18"/>
        </w:rPr>
        <w:t> </w:t>
      </w:r>
      <w:r>
        <w:rPr>
          <w:color w:val="3B383A"/>
          <w:w w:val="105"/>
          <w:sz w:val="17"/>
        </w:rPr>
        <w:t>L.</w:t>
      </w:r>
      <w:r>
        <w:rPr>
          <w:color w:val="3B383A"/>
          <w:spacing w:val="-2"/>
          <w:w w:val="105"/>
          <w:sz w:val="17"/>
        </w:rPr>
        <w:t> </w:t>
      </w:r>
      <w:r>
        <w:rPr>
          <w:color w:val="3B383A"/>
          <w:w w:val="105"/>
          <w:sz w:val="18"/>
        </w:rPr>
        <w:t>Rev.</w:t>
      </w:r>
      <w:r>
        <w:rPr>
          <w:color w:val="3B383A"/>
          <w:spacing w:val="-15"/>
          <w:w w:val="105"/>
          <w:sz w:val="18"/>
        </w:rPr>
        <w:t> </w:t>
      </w:r>
      <w:r>
        <w:rPr>
          <w:color w:val="3B383A"/>
          <w:w w:val="105"/>
          <w:sz w:val="18"/>
        </w:rPr>
        <w:t>871</w:t>
      </w:r>
      <w:r>
        <w:rPr>
          <w:color w:val="3B383A"/>
          <w:spacing w:val="38"/>
          <w:w w:val="105"/>
          <w:sz w:val="18"/>
        </w:rPr>
        <w:t> </w:t>
      </w:r>
      <w:r>
        <w:rPr>
          <w:color w:val="3B383A"/>
          <w:w w:val="105"/>
          <w:sz w:val="18"/>
        </w:rPr>
        <w:t>(1996).</w:t>
      </w:r>
    </w:p>
    <w:p>
      <w:pPr>
        <w:spacing w:line="225" w:lineRule="auto" w:before="8"/>
        <w:ind w:left="111" w:right="112" w:firstLine="361"/>
        <w:jc w:val="both"/>
        <w:rPr>
          <w:sz w:val="18"/>
        </w:rPr>
      </w:pPr>
      <w:r>
        <w:rPr>
          <w:color w:val="3B383A"/>
          <w:w w:val="105"/>
          <w:sz w:val="18"/>
          <w:vertAlign w:val="superscript"/>
        </w:rPr>
        <w:t>10</w:t>
      </w:r>
      <w:r>
        <w:rPr>
          <w:color w:val="3B383A"/>
          <w:w w:val="105"/>
          <w:sz w:val="18"/>
          <w:vertAlign w:val="baseline"/>
        </w:rPr>
        <w:t>1n a</w:t>
      </w:r>
      <w:r>
        <w:rPr>
          <w:color w:val="3B383A"/>
          <w:spacing w:val="1"/>
          <w:w w:val="105"/>
          <w:sz w:val="18"/>
          <w:vertAlign w:val="baseline"/>
        </w:rPr>
        <w:t> </w:t>
      </w:r>
      <w:r>
        <w:rPr>
          <w:color w:val="3B383A"/>
          <w:w w:val="105"/>
          <w:sz w:val="18"/>
          <w:vertAlign w:val="baseline"/>
        </w:rPr>
        <w:t>2011 case on</w:t>
      </w:r>
      <w:r>
        <w:rPr>
          <w:color w:val="3B383A"/>
          <w:spacing w:val="1"/>
          <w:w w:val="105"/>
          <w:sz w:val="18"/>
          <w:vertAlign w:val="baseline"/>
        </w:rPr>
        <w:t> </w:t>
      </w:r>
      <w:r>
        <w:rPr>
          <w:color w:val="3B383A"/>
          <w:w w:val="105"/>
          <w:sz w:val="18"/>
          <w:vertAlign w:val="baseline"/>
        </w:rPr>
        <w:t>election</w:t>
      </w:r>
      <w:r>
        <w:rPr>
          <w:color w:val="3B383A"/>
          <w:spacing w:val="1"/>
          <w:w w:val="105"/>
          <w:sz w:val="18"/>
          <w:vertAlign w:val="baseline"/>
        </w:rPr>
        <w:t> </w:t>
      </w:r>
      <w:r>
        <w:rPr>
          <w:color w:val="3B383A"/>
          <w:w w:val="105"/>
          <w:sz w:val="18"/>
          <w:vertAlign w:val="baseline"/>
        </w:rPr>
        <w:t>technology,  for example,  the Texas Supreme Court cited an</w:t>
      </w:r>
      <w:r>
        <w:rPr>
          <w:color w:val="3B383A"/>
          <w:spacing w:val="1"/>
          <w:w w:val="105"/>
          <w:sz w:val="18"/>
          <w:vertAlign w:val="baseline"/>
        </w:rPr>
        <w:t> </w:t>
      </w:r>
      <w:r>
        <w:rPr>
          <w:color w:val="3B383A"/>
          <w:w w:val="105"/>
          <w:sz w:val="18"/>
          <w:vertAlign w:val="baseline"/>
        </w:rPr>
        <w:t>election  law expert  several  times as It  discussed  the</w:t>
      </w:r>
      <w:r>
        <w:rPr>
          <w:color w:val="3B383A"/>
          <w:spacing w:val="48"/>
          <w:w w:val="105"/>
          <w:sz w:val="18"/>
          <w:vertAlign w:val="baseline"/>
        </w:rPr>
        <w:t> </w:t>
      </w:r>
      <w:r>
        <w:rPr>
          <w:color w:val="4F4D4F"/>
          <w:w w:val="105"/>
          <w:sz w:val="18"/>
          <w:vertAlign w:val="baseline"/>
        </w:rPr>
        <w:t>particulars  </w:t>
      </w:r>
      <w:r>
        <w:rPr>
          <w:color w:val="3B383A"/>
          <w:w w:val="105"/>
          <w:sz w:val="18"/>
          <w:vertAlign w:val="baseline"/>
        </w:rPr>
        <w:t>of  DRE </w:t>
      </w:r>
      <w:r>
        <w:rPr>
          <w:color w:val="4F4D4F"/>
          <w:w w:val="105"/>
          <w:sz w:val="18"/>
          <w:vertAlign w:val="baseline"/>
        </w:rPr>
        <w:t>voting  </w:t>
      </w:r>
      <w:r>
        <w:rPr>
          <w:color w:val="3B383A"/>
          <w:w w:val="105"/>
          <w:sz w:val="18"/>
          <w:vertAlign w:val="baseline"/>
        </w:rPr>
        <w:t>machines,  and</w:t>
      </w:r>
      <w:r>
        <w:rPr>
          <w:color w:val="3B383A"/>
          <w:spacing w:val="1"/>
          <w:w w:val="105"/>
          <w:sz w:val="18"/>
          <w:vertAlign w:val="baseline"/>
        </w:rPr>
        <w:t> </w:t>
      </w:r>
      <w:r>
        <w:rPr>
          <w:color w:val="3B383A"/>
          <w:w w:val="105"/>
          <w:sz w:val="18"/>
          <w:vertAlign w:val="baseline"/>
        </w:rPr>
        <w:t>the constitutional Implications of that technology. </w:t>
      </w:r>
      <w:r>
        <w:rPr>
          <w:i/>
          <w:color w:val="3B383A"/>
          <w:w w:val="105"/>
          <w:sz w:val="17"/>
          <w:vertAlign w:val="baseline"/>
        </w:rPr>
        <w:t>Amlm,le v. NAACP </w:t>
      </w:r>
      <w:r>
        <w:rPr>
          <w:i/>
          <w:color w:val="4F4D4F"/>
          <w:w w:val="105"/>
          <w:sz w:val="17"/>
          <w:vertAlign w:val="baseline"/>
        </w:rPr>
        <w:t>of </w:t>
      </w:r>
      <w:r>
        <w:rPr>
          <w:i/>
          <w:color w:val="3B383A"/>
          <w:w w:val="105"/>
          <w:sz w:val="17"/>
          <w:vertAlign w:val="baseline"/>
        </w:rPr>
        <w:t>A11sti11, </w:t>
      </w:r>
      <w:r>
        <w:rPr>
          <w:color w:val="3B383A"/>
          <w:w w:val="105"/>
          <w:sz w:val="18"/>
          <w:vertAlign w:val="baseline"/>
        </w:rPr>
        <w:t>345</w:t>
      </w:r>
      <w:r>
        <w:rPr>
          <w:color w:val="3B383A"/>
          <w:spacing w:val="1"/>
          <w:w w:val="105"/>
          <w:sz w:val="18"/>
          <w:vertAlign w:val="baseline"/>
        </w:rPr>
        <w:t> </w:t>
      </w:r>
      <w:r>
        <w:rPr>
          <w:color w:val="3B383A"/>
          <w:w w:val="105"/>
          <w:sz w:val="18"/>
          <w:vertAlign w:val="baseline"/>
        </w:rPr>
        <w:t>S.W.3d 1, 4</w:t>
      </w:r>
      <w:r>
        <w:rPr>
          <w:color w:val="3B383A"/>
          <w:spacing w:val="1"/>
          <w:w w:val="105"/>
          <w:sz w:val="18"/>
          <w:vertAlign w:val="baseline"/>
        </w:rPr>
        <w:t> </w:t>
      </w:r>
      <w:r>
        <w:rPr>
          <w:color w:val="3B383A"/>
          <w:sz w:val="18"/>
          <w:vertAlign w:val="baseline"/>
        </w:rPr>
        <w:t>(Tex</w:t>
      </w:r>
      <w:r>
        <w:rPr>
          <w:color w:val="666769"/>
          <w:sz w:val="18"/>
          <w:vertAlign w:val="baseline"/>
        </w:rPr>
        <w:t>. </w:t>
      </w:r>
      <w:r>
        <w:rPr>
          <w:color w:val="3B383A"/>
          <w:sz w:val="18"/>
          <w:vertAlign w:val="baseline"/>
        </w:rPr>
        <w:t>2011) (citing Daniel P. Tokafl, </w:t>
      </w:r>
      <w:r>
        <w:rPr>
          <w:i/>
          <w:color w:val="3B383A"/>
          <w:sz w:val="17"/>
          <w:vertAlign w:val="baseline"/>
        </w:rPr>
        <w:t>The</w:t>
      </w:r>
      <w:r>
        <w:rPr>
          <w:i/>
          <w:color w:val="3B383A"/>
          <w:spacing w:val="1"/>
          <w:sz w:val="17"/>
          <w:vertAlign w:val="baseline"/>
        </w:rPr>
        <w:t> </w:t>
      </w:r>
      <w:r>
        <w:rPr>
          <w:i/>
          <w:color w:val="3B383A"/>
          <w:sz w:val="17"/>
          <w:vertAlign w:val="baseline"/>
        </w:rPr>
        <w:t>Paperless Chase: Electronic Voting a11rl Democratic Values, </w:t>
      </w:r>
      <w:r>
        <w:rPr>
          <w:color w:val="3B383A"/>
          <w:sz w:val="18"/>
          <w:vertAlign w:val="baseline"/>
        </w:rPr>
        <w:t>73</w:t>
      </w:r>
      <w:r>
        <w:rPr>
          <w:color w:val="3B383A"/>
          <w:spacing w:val="1"/>
          <w:sz w:val="18"/>
          <w:vertAlign w:val="baseline"/>
        </w:rPr>
        <w:t> </w:t>
      </w:r>
      <w:r>
        <w:rPr>
          <w:color w:val="3B383A"/>
          <w:w w:val="105"/>
          <w:sz w:val="18"/>
          <w:vertAlign w:val="baseline"/>
        </w:rPr>
        <w:t>Fordham</w:t>
      </w:r>
      <w:r>
        <w:rPr>
          <w:color w:val="3B383A"/>
          <w:spacing w:val="-4"/>
          <w:w w:val="105"/>
          <w:sz w:val="18"/>
          <w:vertAlign w:val="baseline"/>
        </w:rPr>
        <w:t> </w:t>
      </w:r>
      <w:r>
        <w:rPr>
          <w:color w:val="3B383A"/>
          <w:w w:val="105"/>
          <w:sz w:val="18"/>
          <w:vertAlign w:val="baseline"/>
        </w:rPr>
        <w:t>L</w:t>
      </w:r>
      <w:r>
        <w:rPr>
          <w:color w:val="666769"/>
          <w:w w:val="105"/>
          <w:sz w:val="18"/>
          <w:vertAlign w:val="baseline"/>
        </w:rPr>
        <w:t>.</w:t>
      </w:r>
      <w:r>
        <w:rPr>
          <w:color w:val="666769"/>
          <w:spacing w:val="2"/>
          <w:w w:val="105"/>
          <w:sz w:val="18"/>
          <w:vertAlign w:val="baseline"/>
        </w:rPr>
        <w:t> </w:t>
      </w:r>
      <w:r>
        <w:rPr>
          <w:color w:val="3B383A"/>
          <w:w w:val="105"/>
          <w:sz w:val="18"/>
          <w:vertAlign w:val="baseline"/>
        </w:rPr>
        <w:t>Rev.</w:t>
      </w:r>
      <w:r>
        <w:rPr>
          <w:color w:val="3B383A"/>
          <w:spacing w:val="-16"/>
          <w:w w:val="105"/>
          <w:sz w:val="18"/>
          <w:vertAlign w:val="baseline"/>
        </w:rPr>
        <w:t> </w:t>
      </w:r>
      <w:r>
        <w:rPr>
          <w:color w:val="3B383A"/>
          <w:w w:val="105"/>
          <w:sz w:val="18"/>
          <w:vertAlign w:val="baseline"/>
        </w:rPr>
        <w:t>1711,</w:t>
      </w:r>
      <w:r>
        <w:rPr>
          <w:color w:val="3B383A"/>
          <w:spacing w:val="-15"/>
          <w:w w:val="105"/>
          <w:sz w:val="18"/>
          <w:vertAlign w:val="baseline"/>
        </w:rPr>
        <w:t> </w:t>
      </w:r>
      <w:r>
        <w:rPr>
          <w:color w:val="3B383A"/>
          <w:w w:val="105"/>
          <w:sz w:val="18"/>
          <w:vertAlign w:val="baseline"/>
        </w:rPr>
        <w:t>1724</w:t>
      </w:r>
      <w:r>
        <w:rPr>
          <w:color w:val="3B383A"/>
          <w:spacing w:val="-19"/>
          <w:w w:val="105"/>
          <w:sz w:val="18"/>
          <w:vertAlign w:val="baseline"/>
        </w:rPr>
        <w:t> </w:t>
      </w:r>
      <w:r>
        <w:rPr>
          <w:color w:val="4F4D4F"/>
          <w:w w:val="105"/>
          <w:sz w:val="18"/>
          <w:vertAlign w:val="baseline"/>
        </w:rPr>
        <w:t>(2005))</w:t>
      </w:r>
      <w:r>
        <w:rPr>
          <w:color w:val="231F1F"/>
          <w:w w:val="105"/>
          <w:sz w:val="18"/>
          <w:vertAlign w:val="baseline"/>
        </w:rPr>
        <w:t>.</w:t>
      </w:r>
    </w:p>
    <w:p>
      <w:pPr>
        <w:spacing w:after="0" w:line="225" w:lineRule="auto"/>
        <w:jc w:val="both"/>
        <w:rPr>
          <w:sz w:val="18"/>
        </w:rPr>
        <w:sectPr>
          <w:headerReference w:type="default" r:id="rId75"/>
          <w:pgSz w:w="9640" w:h="13740"/>
          <w:pgMar w:header="502" w:footer="0" w:top="1080" w:bottom="280" w:left="480" w:right="1240"/>
          <w:pgNumType w:start="51"/>
        </w:sectPr>
      </w:pPr>
    </w:p>
    <w:p>
      <w:pPr>
        <w:pStyle w:val="BodyText"/>
        <w:spacing w:before="9"/>
        <w:rPr>
          <w:sz w:val="28"/>
        </w:rPr>
      </w:pPr>
      <w:r>
        <w:rPr/>
        <w:pict>
          <v:shape style="position:absolute;margin-left:-2.891674pt;margin-top:-15.725025pt;width:11.25pt;height:80pt;mso-position-horizontal-relative:page;mso-position-vertical-relative:page;z-index:-21605888" type="#_x0000_t202" id="docshape103" filled="false" stroked="false">
            <v:textbox inset="0,0,0,0">
              <w:txbxContent>
                <w:p>
                  <w:pPr>
                    <w:spacing w:line="1599" w:lineRule="exact" w:before="0"/>
                    <w:ind w:left="0" w:right="0" w:firstLine="0"/>
                    <w:jc w:val="left"/>
                    <w:rPr>
                      <w:sz w:val="144"/>
                    </w:rPr>
                  </w:pPr>
                  <w:r>
                    <w:rPr>
                      <w:color w:val="575759"/>
                      <w:w w:val="86"/>
                      <w:sz w:val="144"/>
                    </w:rPr>
                    <w:t>'</w:t>
                  </w:r>
                </w:p>
              </w:txbxContent>
            </v:textbox>
            <w10:wrap type="none"/>
          </v:shape>
        </w:pict>
      </w:r>
    </w:p>
    <w:p>
      <w:pPr>
        <w:tabs>
          <w:tab w:pos="1996" w:val="left" w:leader="none"/>
        </w:tabs>
        <w:spacing w:before="92"/>
        <w:ind w:left="1256" w:right="0" w:firstLine="0"/>
        <w:jc w:val="left"/>
        <w:rPr>
          <w:rFonts w:ascii="Arial"/>
          <w:sz w:val="17"/>
        </w:rPr>
      </w:pPr>
      <w:r>
        <w:rPr>
          <w:b/>
          <w:color w:val="3A3838"/>
          <w:sz w:val="20"/>
        </w:rPr>
        <w:t>52</w:t>
        <w:tab/>
      </w:r>
      <w:r>
        <w:rPr>
          <w:rFonts w:ascii="Arial"/>
          <w:color w:val="3A3838"/>
          <w:sz w:val="17"/>
        </w:rPr>
        <w:t>Chapter Three</w:t>
      </w:r>
      <w:r>
        <w:rPr>
          <w:rFonts w:ascii="Arial"/>
          <w:color w:val="3A3838"/>
          <w:spacing w:val="73"/>
          <w:sz w:val="17"/>
        </w:rPr>
        <w:t> </w:t>
      </w:r>
      <w:r>
        <w:rPr>
          <w:rFonts w:ascii="Arial"/>
          <w:color w:val="3A3838"/>
          <w:sz w:val="17"/>
        </w:rPr>
        <w:t>Before</w:t>
      </w:r>
      <w:r>
        <w:rPr>
          <w:rFonts w:ascii="Arial"/>
          <w:color w:val="3A3838"/>
          <w:spacing w:val="-12"/>
          <w:sz w:val="17"/>
        </w:rPr>
        <w:t> </w:t>
      </w:r>
      <w:r>
        <w:rPr>
          <w:rFonts w:ascii="Arial"/>
          <w:color w:val="3A3838"/>
          <w:sz w:val="17"/>
        </w:rPr>
        <w:t>You</w:t>
      </w:r>
      <w:r>
        <w:rPr>
          <w:rFonts w:ascii="Arial"/>
          <w:color w:val="3A3838"/>
          <w:spacing w:val="-25"/>
          <w:sz w:val="17"/>
        </w:rPr>
        <w:t> </w:t>
      </w:r>
      <w:r>
        <w:rPr>
          <w:rFonts w:ascii="Arial"/>
          <w:color w:val="3A3838"/>
          <w:sz w:val="17"/>
        </w:rPr>
        <w:t>Write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6"/>
        <w:rPr>
          <w:rFonts w:ascii="Arial"/>
          <w:sz w:val="17"/>
        </w:rPr>
      </w:pPr>
    </w:p>
    <w:p>
      <w:pPr>
        <w:pStyle w:val="BodyText"/>
        <w:spacing w:line="244" w:lineRule="auto"/>
        <w:ind w:left="1973" w:right="147" w:firstLine="3"/>
        <w:jc w:val="both"/>
        <w:rPr>
          <w:rFonts w:ascii="Arial"/>
        </w:rPr>
      </w:pPr>
      <w:r>
        <w:rPr>
          <w:color w:val="3A3838"/>
          <w:w w:val="110"/>
        </w:rPr>
        <w:t>analysis that the article presents, than in the pedigree of its author or of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58"/>
          <w:w w:val="110"/>
        </w:rPr>
        <w:t> </w:t>
      </w:r>
      <w:r>
        <w:rPr>
          <w:color w:val="3A3838"/>
          <w:w w:val="110"/>
        </w:rPr>
        <w:t>journal.</w:t>
      </w:r>
      <w:r>
        <w:rPr>
          <w:rFonts w:ascii="Arial"/>
          <w:color w:val="3A3838"/>
          <w:w w:val="110"/>
          <w:vertAlign w:val="superscript"/>
        </w:rPr>
        <w:t>11</w:t>
      </w:r>
    </w:p>
    <w:p>
      <w:pPr>
        <w:pStyle w:val="ListParagraph"/>
        <w:numPr>
          <w:ilvl w:val="0"/>
          <w:numId w:val="30"/>
        </w:numPr>
        <w:tabs>
          <w:tab w:pos="2542" w:val="left" w:leader="none"/>
        </w:tabs>
        <w:spacing w:line="247" w:lineRule="exact" w:before="124" w:after="0"/>
        <w:ind w:left="2541" w:right="0" w:hanging="274"/>
        <w:jc w:val="both"/>
        <w:rPr>
          <w:rFonts w:ascii="Arial"/>
          <w:i/>
          <w:color w:val="3A3838"/>
          <w:sz w:val="20"/>
        </w:rPr>
      </w:pPr>
      <w:r>
        <w:rPr>
          <w:i/>
          <w:color w:val="3A3838"/>
          <w:sz w:val="22"/>
        </w:rPr>
        <w:t>"Extra-Legal"</w:t>
      </w:r>
      <w:r>
        <w:rPr>
          <w:i/>
          <w:color w:val="3A3838"/>
          <w:spacing w:val="16"/>
          <w:sz w:val="22"/>
        </w:rPr>
        <w:t> </w:t>
      </w:r>
      <w:r>
        <w:rPr>
          <w:i/>
          <w:color w:val="3A3838"/>
          <w:sz w:val="22"/>
        </w:rPr>
        <w:t>Sources</w:t>
      </w:r>
    </w:p>
    <w:p>
      <w:pPr>
        <w:pStyle w:val="BodyText"/>
        <w:spacing w:line="235" w:lineRule="auto"/>
        <w:ind w:left="1861" w:right="117" w:firstLine="450"/>
        <w:jc w:val="both"/>
      </w:pPr>
      <w:r>
        <w:rPr>
          <w:color w:val="3A3838"/>
          <w:w w:val="110"/>
        </w:rPr>
        <w:t>And don't limit your research to traditional legal sources. If your case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concerns an issue of public significance-and many cases argued to courts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of last resort fit that definition</w:t>
      </w:r>
      <w:r>
        <w:rPr>
          <w:color w:val="575759"/>
          <w:w w:val="110"/>
        </w:rPr>
        <w:t>-</w:t>
      </w:r>
      <w:r>
        <w:rPr>
          <w:color w:val="3A3838"/>
          <w:w w:val="110"/>
        </w:rPr>
        <w:t>you maywant to give the court informa­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tion that will help it understand how this issue affects the public, not just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parties that are before the court.</w:t>
      </w:r>
      <w:r>
        <w:rPr>
          <w:color w:val="3A3838"/>
          <w:w w:val="110"/>
          <w:vertAlign w:val="superscript"/>
        </w:rPr>
        <w:t>12</w:t>
      </w:r>
      <w:r>
        <w:rPr>
          <w:color w:val="3A3838"/>
          <w:w w:val="110"/>
          <w:vertAlign w:val="baseline"/>
        </w:rPr>
        <w:t> Although traditionally courts are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restricted in their use of information to facts that have been admitted into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evidence, in  recent years courts have shown more and  more willingness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05"/>
          <w:vertAlign w:val="baseline"/>
        </w:rPr>
        <w:t>to consider "extra-legal" or "legislative facts."</w:t>
      </w:r>
      <w:r>
        <w:rPr>
          <w:rFonts w:ascii="Arial" w:hAnsi="Arial"/>
          <w:color w:val="3A3838"/>
          <w:w w:val="105"/>
          <w:vertAlign w:val="superscript"/>
        </w:rPr>
        <w:t>13</w:t>
      </w:r>
      <w:r>
        <w:rPr>
          <w:rFonts w:ascii="Arial" w:hAnsi="Arial"/>
          <w:color w:val="3A3838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Generally, courts consider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w w:val="110"/>
          <w:vertAlign w:val="baseline"/>
        </w:rPr>
        <w:t>adjudicative facts outside the record by taking "judicial notice" of those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facts, under Federal Rule of Evidence 201. When considering legislative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b/>
          <w:color w:val="3A3838"/>
          <w:w w:val="110"/>
          <w:sz w:val="22"/>
          <w:vertAlign w:val="baseline"/>
        </w:rPr>
        <w:t>facts, </w:t>
      </w:r>
      <w:r>
        <w:rPr>
          <w:color w:val="3A3838"/>
          <w:w w:val="110"/>
          <w:vertAlign w:val="baseline"/>
        </w:rPr>
        <w:t>in contrast, courts can go beyond the record to understand the broad</w:t>
      </w:r>
      <w:r>
        <w:rPr>
          <w:color w:val="3A3838"/>
          <w:spacing w:val="-6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factual</w:t>
      </w:r>
      <w:r>
        <w:rPr>
          <w:color w:val="3A3838"/>
          <w:spacing w:val="-3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context</w:t>
      </w:r>
      <w:r>
        <w:rPr>
          <w:color w:val="3A3838"/>
          <w:spacing w:val="-3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of</w:t>
      </w:r>
      <w:r>
        <w:rPr>
          <w:color w:val="3A3838"/>
          <w:spacing w:val="9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the</w:t>
      </w:r>
      <w:r>
        <w:rPr>
          <w:color w:val="3A3838"/>
          <w:spacing w:val="30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issues</w:t>
      </w:r>
      <w:r>
        <w:rPr>
          <w:color w:val="3A3838"/>
          <w:spacing w:val="-13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in</w:t>
      </w:r>
      <w:r>
        <w:rPr>
          <w:color w:val="3A3838"/>
          <w:spacing w:val="10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</w:t>
      </w:r>
      <w:r>
        <w:rPr>
          <w:color w:val="3A3838"/>
          <w:spacing w:val="8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particular</w:t>
      </w:r>
      <w:r>
        <w:rPr>
          <w:color w:val="3A3838"/>
          <w:spacing w:val="-6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case.</w:t>
      </w:r>
      <w:r>
        <w:rPr>
          <w:color w:val="3A3838"/>
          <w:w w:val="110"/>
          <w:vertAlign w:val="superscript"/>
        </w:rPr>
        <w:t>14</w:t>
      </w:r>
    </w:p>
    <w:p>
      <w:pPr>
        <w:pStyle w:val="BodyText"/>
        <w:spacing w:line="238" w:lineRule="exact"/>
        <w:ind w:left="2242"/>
        <w:jc w:val="both"/>
      </w:pPr>
      <w:r>
        <w:rPr>
          <w:color w:val="3A3838"/>
          <w:w w:val="110"/>
        </w:rPr>
        <w:t>For</w:t>
      </w:r>
      <w:r>
        <w:rPr>
          <w:color w:val="3A3838"/>
          <w:spacing w:val="56"/>
          <w:w w:val="110"/>
        </w:rPr>
        <w:t> </w:t>
      </w:r>
      <w:r>
        <w:rPr>
          <w:color w:val="3A3838"/>
          <w:w w:val="110"/>
        </w:rPr>
        <w:t>example,</w:t>
      </w:r>
      <w:r>
        <w:rPr>
          <w:color w:val="3A3838"/>
          <w:spacing w:val="8"/>
          <w:w w:val="110"/>
        </w:rPr>
        <w:t> </w:t>
      </w:r>
      <w:r>
        <w:rPr>
          <w:color w:val="3A3838"/>
          <w:w w:val="110"/>
        </w:rPr>
        <w:t>suppose  you 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are 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representing </w:t>
      </w:r>
      <w:r>
        <w:rPr>
          <w:color w:val="3A3838"/>
          <w:spacing w:val="11"/>
          <w:w w:val="110"/>
        </w:rPr>
        <w:t> </w:t>
      </w:r>
      <w:r>
        <w:rPr>
          <w:color w:val="3A3838"/>
          <w:w w:val="110"/>
        </w:rPr>
        <w:t>the </w:t>
      </w:r>
      <w:r>
        <w:rPr>
          <w:color w:val="3A3838"/>
          <w:spacing w:val="14"/>
          <w:w w:val="110"/>
        </w:rPr>
        <w:t> </w:t>
      </w:r>
      <w:r>
        <w:rPr>
          <w:color w:val="3A3838"/>
          <w:w w:val="110"/>
        </w:rPr>
        <w:t>state</w:t>
      </w:r>
      <w:r>
        <w:rPr>
          <w:color w:val="3A3838"/>
          <w:spacing w:val="57"/>
          <w:w w:val="110"/>
        </w:rPr>
        <w:t> </w:t>
      </w:r>
      <w:r>
        <w:rPr>
          <w:color w:val="3A3838"/>
          <w:w w:val="110"/>
        </w:rPr>
        <w:t>in </w:t>
      </w:r>
      <w:r>
        <w:rPr>
          <w:color w:val="3A3838"/>
          <w:spacing w:val="9"/>
          <w:w w:val="110"/>
        </w:rPr>
        <w:t> </w:t>
      </w:r>
      <w:r>
        <w:rPr>
          <w:color w:val="3A3838"/>
          <w:w w:val="110"/>
        </w:rPr>
        <w:t>a </w:t>
      </w:r>
      <w:r>
        <w:rPr>
          <w:color w:val="3A3838"/>
          <w:spacing w:val="6"/>
          <w:w w:val="110"/>
        </w:rPr>
        <w:t> </w:t>
      </w:r>
      <w:r>
        <w:rPr>
          <w:color w:val="3A3838"/>
          <w:w w:val="110"/>
        </w:rPr>
        <w:t>Fourth</w:t>
      </w:r>
    </w:p>
    <w:p>
      <w:pPr>
        <w:pStyle w:val="BodyText"/>
        <w:spacing w:line="230" w:lineRule="auto" w:before="5"/>
        <w:ind w:left="1765" w:right="104" w:firstLine="83"/>
        <w:jc w:val="both"/>
      </w:pPr>
      <w:r>
        <w:rPr>
          <w:color w:val="3A3838"/>
          <w:w w:val="115"/>
        </w:rPr>
        <w:t>Amendment case about the constitutionality of a state law that gives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police officers the authority to order all passengers out of a vehicle at a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traffic stop. If you are counsel for the state, </w:t>
      </w:r>
      <w:r>
        <w:rPr>
          <w:i/>
          <w:color w:val="3A3838"/>
          <w:w w:val="110"/>
          <w:sz w:val="26"/>
        </w:rPr>
        <w:t>you </w:t>
      </w:r>
      <w:r>
        <w:rPr>
          <w:color w:val="3A3838"/>
          <w:w w:val="110"/>
        </w:rPr>
        <w:t>might be making a policy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argument that the court should find the law constitutional because it will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promote officer safety. To support that argument, you could look for sta­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tistics about the dangers that police officers face when conducting traffic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stops, noting howoften passengers in the stopped vehicles became violent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or caused other problems</w:t>
      </w:r>
      <w:r>
        <w:rPr>
          <w:color w:val="575759"/>
          <w:w w:val="115"/>
        </w:rPr>
        <w:t>. </w:t>
      </w:r>
      <w:r>
        <w:rPr>
          <w:color w:val="3A3838"/>
          <w:w w:val="115"/>
        </w:rPr>
        <w:t>These authorities might persuade the court to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agree </w:t>
      </w:r>
      <w:r>
        <w:rPr>
          <w:i/>
          <w:color w:val="3A3838"/>
          <w:w w:val="115"/>
        </w:rPr>
        <w:t>with </w:t>
      </w:r>
      <w:r>
        <w:rPr>
          <w:color w:val="3A3838"/>
          <w:w w:val="115"/>
        </w:rPr>
        <w:t>your assertion that traffic stops are dangerous situations for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police officers, and  thu</w:t>
      </w:r>
      <w:r>
        <w:rPr>
          <w:color w:val="575759"/>
          <w:w w:val="110"/>
        </w:rPr>
        <w:t>s </w:t>
      </w:r>
      <w:r>
        <w:rPr>
          <w:color w:val="3A3838"/>
          <w:w w:val="110"/>
        </w:rPr>
        <w:t>make it  more likely to decide that the state law is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5"/>
        </w:rPr>
        <w:t>a</w:t>
      </w:r>
      <w:r>
        <w:rPr>
          <w:color w:val="3A3838"/>
          <w:spacing w:val="-9"/>
          <w:w w:val="115"/>
        </w:rPr>
        <w:t> </w:t>
      </w:r>
      <w:r>
        <w:rPr>
          <w:color w:val="3A3838"/>
          <w:w w:val="115"/>
        </w:rPr>
        <w:t>valid</w:t>
      </w:r>
      <w:r>
        <w:rPr>
          <w:color w:val="3A3838"/>
          <w:spacing w:val="-1"/>
          <w:w w:val="115"/>
        </w:rPr>
        <w:t> </w:t>
      </w:r>
      <w:r>
        <w:rPr>
          <w:color w:val="3A3838"/>
          <w:w w:val="115"/>
        </w:rPr>
        <w:t>exercise</w:t>
      </w:r>
      <w:r>
        <w:rPr>
          <w:color w:val="3A3838"/>
          <w:spacing w:val="-13"/>
          <w:w w:val="115"/>
        </w:rPr>
        <w:t> </w:t>
      </w:r>
      <w:r>
        <w:rPr>
          <w:color w:val="3A3838"/>
          <w:w w:val="115"/>
        </w:rPr>
        <w:t>of</w:t>
      </w:r>
      <w:r>
        <w:rPr>
          <w:color w:val="3A3838"/>
          <w:spacing w:val="10"/>
          <w:w w:val="115"/>
        </w:rPr>
        <w:t> </w:t>
      </w:r>
      <w:r>
        <w:rPr>
          <w:color w:val="3A3838"/>
          <w:w w:val="115"/>
        </w:rPr>
        <w:t>police</w:t>
      </w:r>
      <w:r>
        <w:rPr>
          <w:color w:val="3A3838"/>
          <w:spacing w:val="-14"/>
          <w:w w:val="115"/>
        </w:rPr>
        <w:t> </w:t>
      </w:r>
      <w:r>
        <w:rPr>
          <w:color w:val="3A3838"/>
          <w:w w:val="115"/>
        </w:rPr>
        <w:t>power.</w:t>
      </w:r>
    </w:p>
    <w:p>
      <w:pPr>
        <w:pStyle w:val="BodyText"/>
        <w:spacing w:line="232" w:lineRule="auto" w:before="4"/>
        <w:ind w:left="1704" w:right="55" w:firstLine="439"/>
      </w:pPr>
      <w:r>
        <w:rPr>
          <w:color w:val="3A3838"/>
          <w:w w:val="105"/>
        </w:rPr>
        <w:t>In</w:t>
      </w:r>
      <w:r>
        <w:rPr>
          <w:color w:val="3A3838"/>
          <w:spacing w:val="23"/>
          <w:w w:val="105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47"/>
          <w:w w:val="105"/>
        </w:rPr>
        <w:t> </w:t>
      </w:r>
      <w:r>
        <w:rPr>
          <w:i/>
          <w:color w:val="3A3838"/>
          <w:w w:val="105"/>
          <w:sz w:val="24"/>
        </w:rPr>
        <w:t>Coors</w:t>
      </w:r>
      <w:r>
        <w:rPr>
          <w:i/>
          <w:color w:val="3A3838"/>
          <w:spacing w:val="4"/>
          <w:w w:val="105"/>
          <w:sz w:val="24"/>
        </w:rPr>
        <w:t> </w:t>
      </w:r>
      <w:r>
        <w:rPr>
          <w:i/>
          <w:color w:val="3A3838"/>
          <w:w w:val="105"/>
          <w:sz w:val="24"/>
        </w:rPr>
        <w:t>Brewing</w:t>
      </w:r>
      <w:r>
        <w:rPr>
          <w:i/>
          <w:color w:val="3A3838"/>
          <w:spacing w:val="-5"/>
          <w:w w:val="105"/>
          <w:sz w:val="24"/>
        </w:rPr>
        <w:t> </w:t>
      </w:r>
      <w:r>
        <w:rPr>
          <w:color w:val="3A3838"/>
          <w:w w:val="105"/>
        </w:rPr>
        <w:t>case</w:t>
      </w:r>
      <w:r>
        <w:rPr>
          <w:color w:val="3A3838"/>
          <w:spacing w:val="-3"/>
          <w:w w:val="105"/>
        </w:rPr>
        <w:t> </w:t>
      </w:r>
      <w:r>
        <w:rPr>
          <w:color w:val="3A3838"/>
          <w:w w:val="105"/>
        </w:rPr>
        <w:t>discussed</w:t>
      </w:r>
      <w:r>
        <w:rPr>
          <w:color w:val="3A3838"/>
          <w:spacing w:val="25"/>
          <w:w w:val="105"/>
        </w:rPr>
        <w:t> </w:t>
      </w:r>
      <w:r>
        <w:rPr>
          <w:color w:val="3A3838"/>
          <w:w w:val="105"/>
        </w:rPr>
        <w:t>above,</w:t>
      </w:r>
      <w:r>
        <w:rPr>
          <w:color w:val="3A3838"/>
          <w:spacing w:val="8"/>
          <w:w w:val="105"/>
        </w:rPr>
        <w:t> </w:t>
      </w:r>
      <w:r>
        <w:rPr>
          <w:color w:val="3A3838"/>
          <w:w w:val="105"/>
        </w:rPr>
        <w:t>one</w:t>
      </w:r>
      <w:r>
        <w:rPr>
          <w:color w:val="3A3838"/>
          <w:spacing w:val="51"/>
          <w:w w:val="105"/>
        </w:rPr>
        <w:t> </w:t>
      </w:r>
      <w:r>
        <w:rPr>
          <w:color w:val="3A3838"/>
          <w:w w:val="105"/>
        </w:rPr>
        <w:t>reason</w:t>
      </w:r>
      <w:r>
        <w:rPr>
          <w:color w:val="3A3838"/>
          <w:spacing w:val="12"/>
          <w:w w:val="105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29"/>
          <w:w w:val="105"/>
        </w:rPr>
        <w:t> </w:t>
      </w:r>
      <w:r>
        <w:rPr>
          <w:color w:val="3A3838"/>
          <w:w w:val="105"/>
        </w:rPr>
        <w:t>government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gave for banning alcohol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percentages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beer labels was its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fear that con­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5"/>
        </w:rPr>
        <w:t>sumers,</w:t>
      </w:r>
      <w:r>
        <w:rPr>
          <w:color w:val="3A3838"/>
          <w:spacing w:val="15"/>
          <w:w w:val="115"/>
        </w:rPr>
        <w:t> </w:t>
      </w:r>
      <w:r>
        <w:rPr>
          <w:color w:val="3A3838"/>
          <w:w w:val="115"/>
        </w:rPr>
        <w:t>especially</w:t>
      </w:r>
      <w:r>
        <w:rPr>
          <w:color w:val="3A3838"/>
          <w:spacing w:val="17"/>
          <w:w w:val="115"/>
        </w:rPr>
        <w:t> </w:t>
      </w:r>
      <w:r>
        <w:rPr>
          <w:color w:val="3A3838"/>
          <w:w w:val="115"/>
        </w:rPr>
        <w:t>young</w:t>
      </w:r>
      <w:r>
        <w:rPr>
          <w:color w:val="3A3838"/>
          <w:spacing w:val="6"/>
          <w:w w:val="115"/>
        </w:rPr>
        <w:t> </w:t>
      </w:r>
      <w:r>
        <w:rPr>
          <w:color w:val="3A3838"/>
          <w:w w:val="115"/>
        </w:rPr>
        <w:t>consumers,</w:t>
      </w:r>
      <w:r>
        <w:rPr>
          <w:color w:val="3A3838"/>
          <w:spacing w:val="16"/>
          <w:w w:val="115"/>
        </w:rPr>
        <w:t> </w:t>
      </w:r>
      <w:r>
        <w:rPr>
          <w:color w:val="3A3838"/>
          <w:w w:val="115"/>
        </w:rPr>
        <w:t>would</w:t>
      </w:r>
      <w:r>
        <w:rPr>
          <w:color w:val="3A3838"/>
          <w:spacing w:val="23"/>
          <w:w w:val="115"/>
        </w:rPr>
        <w:t> </w:t>
      </w:r>
      <w:r>
        <w:rPr>
          <w:color w:val="3A3838"/>
          <w:w w:val="115"/>
        </w:rPr>
        <w:t>base</w:t>
      </w:r>
      <w:r>
        <w:rPr>
          <w:color w:val="3A3838"/>
          <w:spacing w:val="12"/>
          <w:w w:val="115"/>
        </w:rPr>
        <w:t> </w:t>
      </w:r>
      <w:r>
        <w:rPr>
          <w:color w:val="3A3838"/>
          <w:w w:val="115"/>
        </w:rPr>
        <w:t>their</w:t>
      </w:r>
      <w:r>
        <w:rPr>
          <w:color w:val="3A3838"/>
          <w:spacing w:val="14"/>
          <w:w w:val="115"/>
        </w:rPr>
        <w:t> </w:t>
      </w:r>
      <w:r>
        <w:rPr>
          <w:color w:val="3A3838"/>
          <w:w w:val="115"/>
        </w:rPr>
        <w:t>beer-purchasing</w:t>
      </w:r>
      <w:r>
        <w:rPr>
          <w:color w:val="3A3838"/>
          <w:spacing w:val="-63"/>
          <w:w w:val="115"/>
        </w:rPr>
        <w:t> </w:t>
      </w:r>
      <w:r>
        <w:rPr>
          <w:color w:val="3A3838"/>
          <w:w w:val="110"/>
        </w:rPr>
        <w:t>choices on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percentage of alcohol in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beer</w:t>
      </w:r>
      <w:r>
        <w:rPr>
          <w:color w:val="575759"/>
          <w:w w:val="110"/>
        </w:rPr>
        <w:t>. </w:t>
      </w:r>
      <w:r>
        <w:rPr>
          <w:color w:val="3A3838"/>
          <w:w w:val="110"/>
        </w:rPr>
        <w:t>One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of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parties might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cite</w:t>
      </w:r>
      <w:r>
        <w:rPr>
          <w:color w:val="3A3838"/>
          <w:spacing w:val="2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19"/>
          <w:w w:val="110"/>
        </w:rPr>
        <w:t> </w:t>
      </w:r>
      <w:r>
        <w:rPr>
          <w:color w:val="3A3838"/>
          <w:w w:val="110"/>
        </w:rPr>
        <w:t>reputable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study</w:t>
      </w:r>
      <w:r>
        <w:rPr>
          <w:color w:val="3A3838"/>
          <w:spacing w:val="21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18"/>
          <w:w w:val="110"/>
        </w:rPr>
        <w:t> </w:t>
      </w:r>
      <w:r>
        <w:rPr>
          <w:color w:val="3A3838"/>
          <w:w w:val="110"/>
        </w:rPr>
        <w:t>analyzed</w:t>
      </w:r>
      <w:r>
        <w:rPr>
          <w:color w:val="3A3838"/>
          <w:spacing w:val="40"/>
          <w:w w:val="110"/>
        </w:rPr>
        <w:t> </w:t>
      </w:r>
      <w:r>
        <w:rPr>
          <w:color w:val="3A3838"/>
          <w:w w:val="110"/>
        </w:rPr>
        <w:t>beer-buying</w:t>
      </w:r>
      <w:r>
        <w:rPr>
          <w:color w:val="3A3838"/>
          <w:spacing w:val="11"/>
          <w:w w:val="110"/>
        </w:rPr>
        <w:t> </w:t>
      </w:r>
      <w:r>
        <w:rPr>
          <w:color w:val="3A3838"/>
          <w:w w:val="110"/>
        </w:rPr>
        <w:t>patterns</w:t>
      </w:r>
      <w:r>
        <w:rPr>
          <w:color w:val="3A3838"/>
          <w:spacing w:val="9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18"/>
          <w:w w:val="110"/>
        </w:rPr>
        <w:t> </w:t>
      </w:r>
      <w:r>
        <w:rPr>
          <w:color w:val="3A3838"/>
          <w:w w:val="110"/>
        </w:rPr>
        <w:t>young</w:t>
      </w:r>
      <w:r>
        <w:rPr>
          <w:color w:val="3A3838"/>
          <w:spacing w:val="14"/>
          <w:w w:val="110"/>
        </w:rPr>
        <w:t> </w:t>
      </w:r>
      <w:r>
        <w:rPr>
          <w:color w:val="3A3838"/>
          <w:w w:val="110"/>
        </w:rPr>
        <w:t>people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in states or countries in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which alcohol percentages were already on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th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label. The</w:t>
      </w:r>
      <w:r>
        <w:rPr>
          <w:color w:val="3A3838"/>
          <w:spacing w:val="3"/>
          <w:w w:val="115"/>
        </w:rPr>
        <w:t> </w:t>
      </w:r>
      <w:r>
        <w:rPr>
          <w:color w:val="3A3838"/>
          <w:w w:val="115"/>
        </w:rPr>
        <w:t>conclusion</w:t>
      </w:r>
      <w:r>
        <w:rPr>
          <w:color w:val="3A3838"/>
          <w:spacing w:val="15"/>
          <w:w w:val="115"/>
        </w:rPr>
        <w:t> </w:t>
      </w:r>
      <w:r>
        <w:rPr>
          <w:color w:val="3A3838"/>
          <w:w w:val="115"/>
        </w:rPr>
        <w:t>of</w:t>
      </w:r>
      <w:r>
        <w:rPr>
          <w:color w:val="3A3838"/>
          <w:spacing w:val="23"/>
          <w:w w:val="115"/>
        </w:rPr>
        <w:t> </w:t>
      </w:r>
      <w:r>
        <w:rPr>
          <w:color w:val="3A3838"/>
          <w:w w:val="115"/>
        </w:rPr>
        <w:t>that</w:t>
      </w:r>
      <w:r>
        <w:rPr>
          <w:color w:val="3A3838"/>
          <w:spacing w:val="-7"/>
          <w:w w:val="115"/>
        </w:rPr>
        <w:t> </w:t>
      </w:r>
      <w:r>
        <w:rPr>
          <w:color w:val="3A3838"/>
          <w:w w:val="115"/>
        </w:rPr>
        <w:t>study</w:t>
      </w:r>
      <w:r>
        <w:rPr>
          <w:color w:val="3A3838"/>
          <w:spacing w:val="10"/>
          <w:w w:val="115"/>
        </w:rPr>
        <w:t> </w:t>
      </w:r>
      <w:r>
        <w:rPr>
          <w:color w:val="3A3838"/>
          <w:w w:val="115"/>
        </w:rPr>
        <w:t>might</w:t>
      </w:r>
      <w:r>
        <w:rPr>
          <w:color w:val="3A3838"/>
          <w:spacing w:val="13"/>
          <w:w w:val="115"/>
        </w:rPr>
        <w:t> </w:t>
      </w:r>
      <w:r>
        <w:rPr>
          <w:color w:val="3A3838"/>
          <w:w w:val="115"/>
        </w:rPr>
        <w:t>convince</w:t>
      </w:r>
      <w:r>
        <w:rPr>
          <w:color w:val="3A3838"/>
          <w:spacing w:val="26"/>
          <w:w w:val="115"/>
        </w:rPr>
        <w:t> </w:t>
      </w:r>
      <w:r>
        <w:rPr>
          <w:color w:val="3A3838"/>
          <w:w w:val="115"/>
        </w:rPr>
        <w:t>the</w:t>
      </w:r>
      <w:r>
        <w:rPr>
          <w:color w:val="3A3838"/>
          <w:spacing w:val="28"/>
          <w:w w:val="115"/>
        </w:rPr>
        <w:t> </w:t>
      </w:r>
      <w:r>
        <w:rPr>
          <w:color w:val="3A3838"/>
          <w:w w:val="115"/>
        </w:rPr>
        <w:t>court</w:t>
      </w:r>
      <w:r>
        <w:rPr>
          <w:color w:val="3A3838"/>
          <w:spacing w:val="23"/>
          <w:w w:val="115"/>
        </w:rPr>
        <w:t> </w:t>
      </w:r>
      <w:r>
        <w:rPr>
          <w:color w:val="3A3838"/>
          <w:w w:val="115"/>
        </w:rPr>
        <w:t>that</w:t>
      </w:r>
      <w:r>
        <w:rPr>
          <w:color w:val="3A3838"/>
          <w:spacing w:val="6"/>
          <w:w w:val="115"/>
        </w:rPr>
        <w:t> </w:t>
      </w:r>
      <w:r>
        <w:rPr>
          <w:color w:val="3A3838"/>
          <w:w w:val="115"/>
        </w:rPr>
        <w:t>alco.: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hol</w:t>
      </w:r>
      <w:r>
        <w:rPr>
          <w:color w:val="3A3838"/>
          <w:spacing w:val="61"/>
          <w:w w:val="110"/>
        </w:rPr>
        <w:t> </w:t>
      </w:r>
      <w:r>
        <w:rPr>
          <w:color w:val="3A3838"/>
          <w:w w:val="110"/>
        </w:rPr>
        <w:t>percentages on</w:t>
      </w:r>
      <w:r>
        <w:rPr>
          <w:color w:val="3A3838"/>
          <w:spacing w:val="43"/>
          <w:w w:val="110"/>
        </w:rPr>
        <w:t> </w:t>
      </w:r>
      <w:r>
        <w:rPr>
          <w:color w:val="3A3838"/>
          <w:w w:val="110"/>
        </w:rPr>
        <w:t>beer</w:t>
      </w:r>
      <w:r>
        <w:rPr>
          <w:color w:val="3A3838"/>
          <w:spacing w:val="6"/>
          <w:w w:val="110"/>
        </w:rPr>
        <w:t> </w:t>
      </w:r>
      <w:r>
        <w:rPr>
          <w:color w:val="3A3838"/>
          <w:w w:val="110"/>
        </w:rPr>
        <w:t>labels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either</w:t>
      </w:r>
      <w:r>
        <w:rPr>
          <w:color w:val="3A3838"/>
          <w:spacing w:val="3"/>
          <w:w w:val="110"/>
        </w:rPr>
        <w:t> </w:t>
      </w:r>
      <w:r>
        <w:rPr>
          <w:color w:val="3A3838"/>
          <w:w w:val="110"/>
        </w:rPr>
        <w:t>helped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or</w:t>
      </w:r>
      <w:r>
        <w:rPr>
          <w:color w:val="3A3838"/>
          <w:spacing w:val="20"/>
          <w:w w:val="110"/>
        </w:rPr>
        <w:t> </w:t>
      </w:r>
      <w:r>
        <w:rPr>
          <w:color w:val="3A3838"/>
          <w:w w:val="110"/>
        </w:rPr>
        <w:t>hindered</w:t>
      </w:r>
      <w:r>
        <w:rPr>
          <w:color w:val="3A3838"/>
          <w:spacing w:val="11"/>
          <w:w w:val="110"/>
        </w:rPr>
        <w:t> </w:t>
      </w:r>
      <w:r>
        <w:rPr>
          <w:color w:val="3A3838"/>
          <w:w w:val="110"/>
        </w:rPr>
        <w:t>consumers'</w:t>
      </w:r>
      <w:r>
        <w:rPr>
          <w:color w:val="3A3838"/>
          <w:spacing w:val="21"/>
          <w:w w:val="110"/>
        </w:rPr>
        <w:t> </w:t>
      </w:r>
      <w:r>
        <w:rPr>
          <w:color w:val="3A3838"/>
          <w:w w:val="110"/>
        </w:rPr>
        <w:t>abili•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ties to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make good choices when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purchasing beer. That conclusion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turn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might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affect</w:t>
      </w:r>
      <w:r>
        <w:rPr>
          <w:color w:val="3A3838"/>
          <w:spacing w:val="2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28"/>
          <w:w w:val="110"/>
        </w:rPr>
        <w:t> </w:t>
      </w:r>
      <w:r>
        <w:rPr>
          <w:color w:val="3A3838"/>
          <w:w w:val="110"/>
        </w:rPr>
        <w:t>court's</w:t>
      </w:r>
      <w:r>
        <w:rPr>
          <w:color w:val="3A3838"/>
          <w:spacing w:val="-19"/>
          <w:w w:val="110"/>
        </w:rPr>
        <w:t> </w:t>
      </w:r>
      <w:r>
        <w:rPr>
          <w:color w:val="3A3838"/>
          <w:w w:val="110"/>
        </w:rPr>
        <w:t>decision</w:t>
      </w:r>
      <w:r>
        <w:rPr>
          <w:color w:val="3A3838"/>
          <w:spacing w:val="10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22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25"/>
          <w:w w:val="110"/>
        </w:rPr>
        <w:t> </w:t>
      </w:r>
      <w:r>
        <w:rPr>
          <w:color w:val="3A3838"/>
          <w:w w:val="110"/>
        </w:rPr>
        <w:t>case.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7"/>
        </w:rPr>
      </w:pPr>
    </w:p>
    <w:p>
      <w:pPr>
        <w:spacing w:before="0"/>
        <w:ind w:left="2059" w:right="0" w:firstLine="0"/>
        <w:jc w:val="left"/>
        <w:rPr>
          <w:sz w:val="18"/>
        </w:rPr>
      </w:pPr>
      <w:r>
        <w:rPr>
          <w:color w:val="3A3838"/>
          <w:w w:val="110"/>
          <w:sz w:val="18"/>
        </w:rPr>
        <w:t>;;Merritt</w:t>
      </w:r>
      <w:r>
        <w:rPr>
          <w:color w:val="3A3838"/>
          <w:spacing w:val="-4"/>
          <w:w w:val="110"/>
          <w:sz w:val="18"/>
        </w:rPr>
        <w:t> </w:t>
      </w:r>
      <w:r>
        <w:rPr>
          <w:color w:val="3A3838"/>
          <w:w w:val="110"/>
          <w:sz w:val="17"/>
        </w:rPr>
        <w:t>&amp;</w:t>
      </w:r>
      <w:r>
        <w:rPr>
          <w:color w:val="3A3838"/>
          <w:spacing w:val="-3"/>
          <w:w w:val="110"/>
          <w:sz w:val="17"/>
        </w:rPr>
        <w:t> </w:t>
      </w:r>
      <w:r>
        <w:rPr>
          <w:color w:val="3A3838"/>
          <w:w w:val="110"/>
          <w:sz w:val="18"/>
        </w:rPr>
        <w:t>Putnam</w:t>
      </w:r>
      <w:r>
        <w:rPr>
          <w:color w:val="575759"/>
          <w:w w:val="110"/>
          <w:sz w:val="18"/>
        </w:rPr>
        <w:t>,</w:t>
      </w:r>
      <w:r>
        <w:rPr>
          <w:color w:val="575759"/>
          <w:spacing w:val="5"/>
          <w:w w:val="110"/>
          <w:sz w:val="18"/>
        </w:rPr>
        <w:t> </w:t>
      </w:r>
      <w:r>
        <w:rPr>
          <w:i/>
          <w:color w:val="3A3838"/>
          <w:w w:val="110"/>
          <w:sz w:val="19"/>
        </w:rPr>
        <w:t>supra</w:t>
      </w:r>
      <w:r>
        <w:rPr>
          <w:i/>
          <w:color w:val="3A3838"/>
          <w:spacing w:val="-6"/>
          <w:w w:val="110"/>
          <w:sz w:val="19"/>
        </w:rPr>
        <w:t> </w:t>
      </w:r>
      <w:r>
        <w:rPr>
          <w:color w:val="3A3838"/>
          <w:w w:val="110"/>
          <w:sz w:val="18"/>
        </w:rPr>
        <w:t>note</w:t>
      </w:r>
      <w:r>
        <w:rPr>
          <w:color w:val="3A3838"/>
          <w:spacing w:val="-18"/>
          <w:w w:val="110"/>
          <w:sz w:val="18"/>
        </w:rPr>
        <w:t> </w:t>
      </w:r>
      <w:r>
        <w:rPr>
          <w:color w:val="3A3838"/>
          <w:w w:val="110"/>
          <w:sz w:val="18"/>
        </w:rPr>
        <w:t>9,</w:t>
      </w:r>
      <w:r>
        <w:rPr>
          <w:color w:val="3A3838"/>
          <w:spacing w:val="-16"/>
          <w:w w:val="110"/>
          <w:sz w:val="18"/>
        </w:rPr>
        <w:t> </w:t>
      </w:r>
      <w:r>
        <w:rPr>
          <w:rFonts w:ascii="Arial"/>
          <w:color w:val="3A3838"/>
          <w:w w:val="110"/>
          <w:sz w:val="17"/>
        </w:rPr>
        <w:t>at</w:t>
      </w:r>
      <w:r>
        <w:rPr>
          <w:rFonts w:ascii="Arial"/>
          <w:color w:val="3A3838"/>
          <w:spacing w:val="-33"/>
          <w:w w:val="110"/>
          <w:sz w:val="17"/>
        </w:rPr>
        <w:t> </w:t>
      </w:r>
      <w:r>
        <w:rPr>
          <w:color w:val="3A3838"/>
          <w:w w:val="110"/>
          <w:sz w:val="18"/>
        </w:rPr>
        <w:t>890-92.</w:t>
      </w:r>
    </w:p>
    <w:p>
      <w:pPr>
        <w:spacing w:line="170" w:lineRule="auto" w:before="55"/>
        <w:ind w:left="1657" w:right="0" w:firstLine="529"/>
        <w:jc w:val="left"/>
        <w:rPr>
          <w:b/>
          <w:sz w:val="18"/>
        </w:rPr>
      </w:pPr>
      <w:r>
        <w:rPr>
          <w:i/>
          <w:color w:val="3A3838"/>
          <w:sz w:val="19"/>
        </w:rPr>
        <w:t>See</w:t>
      </w:r>
      <w:r>
        <w:rPr>
          <w:i/>
          <w:color w:val="3A3838"/>
          <w:spacing w:val="-6"/>
          <w:sz w:val="19"/>
        </w:rPr>
        <w:t> </w:t>
      </w:r>
      <w:r>
        <w:rPr>
          <w:i/>
          <w:color w:val="3A3838"/>
          <w:sz w:val="19"/>
        </w:rPr>
        <w:t>generally</w:t>
      </w:r>
      <w:r>
        <w:rPr>
          <w:i/>
          <w:color w:val="3A3838"/>
          <w:spacing w:val="10"/>
          <w:sz w:val="19"/>
        </w:rPr>
        <w:t> </w:t>
      </w:r>
      <w:r>
        <w:rPr>
          <w:color w:val="3A3838"/>
          <w:sz w:val="18"/>
        </w:rPr>
        <w:t>Ellie</w:t>
      </w:r>
      <w:r>
        <w:rPr>
          <w:color w:val="3A3838"/>
          <w:spacing w:val="11"/>
          <w:sz w:val="18"/>
        </w:rPr>
        <w:t> </w:t>
      </w:r>
      <w:r>
        <w:rPr>
          <w:color w:val="3A3838"/>
          <w:sz w:val="18"/>
        </w:rPr>
        <w:t>Margolis,</w:t>
      </w:r>
      <w:r>
        <w:rPr>
          <w:color w:val="3A3838"/>
          <w:spacing w:val="21"/>
          <w:sz w:val="18"/>
        </w:rPr>
        <w:t> </w:t>
      </w:r>
      <w:r>
        <w:rPr>
          <w:i/>
          <w:color w:val="3A3838"/>
          <w:sz w:val="19"/>
        </w:rPr>
        <w:t>Beyond</w:t>
      </w:r>
      <w:r>
        <w:rPr>
          <w:i/>
          <w:color w:val="3A3838"/>
          <w:spacing w:val="17"/>
          <w:sz w:val="19"/>
        </w:rPr>
        <w:t> </w:t>
      </w:r>
      <w:r>
        <w:rPr>
          <w:i/>
          <w:color w:val="3A3838"/>
          <w:sz w:val="19"/>
        </w:rPr>
        <w:t>Brandeis: Exploring</w:t>
      </w:r>
      <w:r>
        <w:rPr>
          <w:i/>
          <w:color w:val="3A3838"/>
          <w:spacing w:val="13"/>
          <w:sz w:val="19"/>
        </w:rPr>
        <w:t> </w:t>
      </w:r>
      <w:r>
        <w:rPr>
          <w:i/>
          <w:color w:val="3A3838"/>
          <w:sz w:val="19"/>
        </w:rPr>
        <w:t>the</w:t>
      </w:r>
      <w:r>
        <w:rPr>
          <w:i/>
          <w:color w:val="3A3838"/>
          <w:spacing w:val="-3"/>
          <w:sz w:val="19"/>
        </w:rPr>
        <w:t> </w:t>
      </w:r>
      <w:r>
        <w:rPr>
          <w:i/>
          <w:color w:val="3A3838"/>
          <w:sz w:val="19"/>
        </w:rPr>
        <w:t>Uses ofNon</w:t>
      </w:r>
      <w:r>
        <w:rPr>
          <w:i/>
          <w:color w:val="575759"/>
          <w:sz w:val="19"/>
        </w:rPr>
        <w:t>-</w:t>
      </w:r>
      <w:r>
        <w:rPr>
          <w:i/>
          <w:color w:val="3A3838"/>
          <w:sz w:val="19"/>
        </w:rPr>
        <w:t>legal</w:t>
      </w:r>
      <w:r>
        <w:rPr>
          <w:i/>
          <w:color w:val="3A3838"/>
          <w:spacing w:val="8"/>
          <w:sz w:val="19"/>
        </w:rPr>
        <w:t> </w:t>
      </w:r>
      <w:r>
        <w:rPr>
          <w:i/>
          <w:color w:val="3A3838"/>
          <w:sz w:val="19"/>
        </w:rPr>
        <w:t>Mat</w:t>
      </w:r>
      <w:r>
        <w:rPr>
          <w:i/>
          <w:color w:val="575759"/>
          <w:sz w:val="19"/>
        </w:rPr>
        <w:t>e</w:t>
      </w:r>
      <w:r>
        <w:rPr>
          <w:i/>
          <w:color w:val="3A3838"/>
          <w:sz w:val="19"/>
        </w:rPr>
        <w:t>rials</w:t>
      </w:r>
      <w:r>
        <w:rPr>
          <w:i/>
          <w:color w:val="3A3838"/>
          <w:spacing w:val="26"/>
          <w:sz w:val="19"/>
        </w:rPr>
        <w:t> </w:t>
      </w:r>
      <w:r>
        <w:rPr>
          <w:i/>
          <w:color w:val="3A3838"/>
          <w:sz w:val="19"/>
        </w:rPr>
        <w:t>In</w:t>
      </w:r>
      <w:r>
        <w:rPr>
          <w:i/>
          <w:color w:val="3A3838"/>
          <w:spacing w:val="-44"/>
          <w:sz w:val="19"/>
        </w:rPr>
        <w:t> </w:t>
      </w:r>
      <w:r>
        <w:rPr>
          <w:i/>
          <w:color w:val="3A3838"/>
          <w:sz w:val="19"/>
        </w:rPr>
        <w:t>Appellate</w:t>
      </w:r>
      <w:r>
        <w:rPr>
          <w:i/>
          <w:color w:val="3A3838"/>
          <w:spacing w:val="-1"/>
          <w:sz w:val="19"/>
        </w:rPr>
        <w:t> </w:t>
      </w:r>
      <w:r>
        <w:rPr>
          <w:i/>
          <w:color w:val="3A3838"/>
          <w:sz w:val="19"/>
        </w:rPr>
        <w:t>Briefs</w:t>
      </w:r>
      <w:r>
        <w:rPr>
          <w:i/>
          <w:color w:val="575759"/>
          <w:sz w:val="19"/>
        </w:rPr>
        <w:t>,</w:t>
      </w:r>
      <w:r>
        <w:rPr>
          <w:i/>
          <w:color w:val="575759"/>
          <w:spacing w:val="3"/>
          <w:sz w:val="19"/>
        </w:rPr>
        <w:t> </w:t>
      </w:r>
      <w:r>
        <w:rPr>
          <w:color w:val="3A3838"/>
          <w:sz w:val="18"/>
        </w:rPr>
        <w:t>34</w:t>
      </w:r>
      <w:r>
        <w:rPr>
          <w:color w:val="3A3838"/>
          <w:spacing w:val="3"/>
          <w:sz w:val="18"/>
        </w:rPr>
        <w:t> </w:t>
      </w:r>
      <w:r>
        <w:rPr>
          <w:color w:val="3A3838"/>
          <w:sz w:val="18"/>
        </w:rPr>
        <w:t>U.S.F.</w:t>
      </w:r>
      <w:r>
        <w:rPr>
          <w:color w:val="3A3838"/>
          <w:spacing w:val="-2"/>
          <w:sz w:val="18"/>
        </w:rPr>
        <w:t> </w:t>
      </w:r>
      <w:r>
        <w:rPr>
          <w:color w:val="3A3838"/>
          <w:sz w:val="18"/>
        </w:rPr>
        <w:t>L.</w:t>
      </w:r>
      <w:r>
        <w:rPr>
          <w:color w:val="3A3838"/>
          <w:spacing w:val="-12"/>
          <w:sz w:val="18"/>
        </w:rPr>
        <w:t> </w:t>
      </w:r>
      <w:r>
        <w:rPr>
          <w:color w:val="3A3838"/>
          <w:sz w:val="18"/>
        </w:rPr>
        <w:t>Rev.</w:t>
      </w:r>
      <w:r>
        <w:rPr>
          <w:color w:val="3A3838"/>
          <w:spacing w:val="-12"/>
          <w:sz w:val="18"/>
        </w:rPr>
        <w:t> </w:t>
      </w:r>
      <w:r>
        <w:rPr>
          <w:rFonts w:ascii="Arial"/>
          <w:color w:val="3A3838"/>
          <w:sz w:val="17"/>
        </w:rPr>
        <w:t>197</w:t>
      </w:r>
      <w:r>
        <w:rPr>
          <w:rFonts w:ascii="Arial"/>
          <w:color w:val="3A3838"/>
          <w:spacing w:val="-12"/>
          <w:sz w:val="17"/>
        </w:rPr>
        <w:t> </w:t>
      </w:r>
      <w:r>
        <w:rPr>
          <w:b/>
          <w:color w:val="3A3838"/>
          <w:sz w:val="18"/>
        </w:rPr>
        <w:t>(2000).</w:t>
      </w:r>
    </w:p>
    <w:p>
      <w:pPr>
        <w:spacing w:line="159" w:lineRule="exact" w:before="3"/>
        <w:ind w:left="2042" w:right="0" w:firstLine="0"/>
        <w:jc w:val="left"/>
        <w:rPr>
          <w:rFonts w:ascii="Arial"/>
          <w:sz w:val="17"/>
        </w:rPr>
      </w:pPr>
      <w:r>
        <w:rPr>
          <w:rFonts w:ascii="Arial"/>
          <w:color w:val="3A3838"/>
          <w:w w:val="110"/>
          <w:sz w:val="17"/>
          <w:vertAlign w:val="superscript"/>
        </w:rPr>
        <w:t>13</w:t>
      </w:r>
      <w:r>
        <w:rPr>
          <w:rFonts w:ascii="Arial"/>
          <w:color w:val="3A3838"/>
          <w:spacing w:val="-23"/>
          <w:w w:val="110"/>
          <w:sz w:val="17"/>
          <w:vertAlign w:val="baseline"/>
        </w:rPr>
        <w:t> </w:t>
      </w:r>
      <w:r>
        <w:rPr>
          <w:i/>
          <w:color w:val="3A3838"/>
          <w:w w:val="110"/>
          <w:sz w:val="17"/>
          <w:vertAlign w:val="baseline"/>
        </w:rPr>
        <w:t>Id.</w:t>
      </w:r>
      <w:r>
        <w:rPr>
          <w:i/>
          <w:color w:val="3A3838"/>
          <w:spacing w:val="9"/>
          <w:w w:val="110"/>
          <w:sz w:val="17"/>
          <w:vertAlign w:val="baseline"/>
        </w:rPr>
        <w:t> </w:t>
      </w:r>
      <w:r>
        <w:rPr>
          <w:color w:val="3A3838"/>
          <w:w w:val="110"/>
          <w:sz w:val="16"/>
          <w:vertAlign w:val="baseline"/>
        </w:rPr>
        <w:t>at</w:t>
      </w:r>
      <w:r>
        <w:rPr>
          <w:color w:val="3A3838"/>
          <w:spacing w:val="19"/>
          <w:w w:val="110"/>
          <w:sz w:val="16"/>
          <w:vertAlign w:val="baseline"/>
        </w:rPr>
        <w:t> </w:t>
      </w:r>
      <w:r>
        <w:rPr>
          <w:rFonts w:ascii="Arial"/>
          <w:color w:val="3A3838"/>
          <w:w w:val="110"/>
          <w:sz w:val="17"/>
          <w:vertAlign w:val="baseline"/>
        </w:rPr>
        <w:t>199</w:t>
      </w:r>
      <w:r>
        <w:rPr>
          <w:rFonts w:ascii="Arial"/>
          <w:color w:val="3A3838"/>
          <w:spacing w:val="-20"/>
          <w:w w:val="110"/>
          <w:sz w:val="17"/>
          <w:vertAlign w:val="baseline"/>
        </w:rPr>
        <w:t> </w:t>
      </w:r>
      <w:r>
        <w:rPr>
          <w:color w:val="3A3838"/>
          <w:w w:val="110"/>
          <w:sz w:val="16"/>
          <w:vertAlign w:val="baseline"/>
        </w:rPr>
        <w:t>(citations</w:t>
      </w:r>
      <w:r>
        <w:rPr>
          <w:color w:val="3A3838"/>
          <w:spacing w:val="-1"/>
          <w:w w:val="110"/>
          <w:sz w:val="16"/>
          <w:vertAlign w:val="baseline"/>
        </w:rPr>
        <w:t> </w:t>
      </w:r>
      <w:r>
        <w:rPr>
          <w:rFonts w:ascii="Arial"/>
          <w:color w:val="3A3838"/>
          <w:w w:val="110"/>
          <w:sz w:val="17"/>
          <w:vertAlign w:val="baseline"/>
        </w:rPr>
        <w:t>omitted).</w:t>
      </w:r>
    </w:p>
    <w:p>
      <w:pPr>
        <w:spacing w:line="325" w:lineRule="exact" w:before="0"/>
        <w:ind w:left="1618" w:right="0" w:firstLine="0"/>
        <w:jc w:val="left"/>
        <w:rPr>
          <w:i/>
          <w:sz w:val="19"/>
        </w:rPr>
      </w:pPr>
      <w:r>
        <w:rPr>
          <w:i/>
          <w:color w:val="3A3838"/>
          <w:spacing w:val="-19"/>
          <w:w w:val="104"/>
          <w:sz w:val="19"/>
        </w:rPr>
        <w:t>U</w:t>
      </w:r>
      <w:r>
        <w:rPr>
          <w:i/>
          <w:color w:val="3A3838"/>
          <w:spacing w:val="-82"/>
          <w:w w:val="57"/>
          <w:sz w:val="35"/>
        </w:rPr>
        <w:t>o</w:t>
      </w:r>
      <w:r>
        <w:rPr>
          <w:i/>
          <w:color w:val="3A3838"/>
          <w:spacing w:val="-1"/>
          <w:w w:val="104"/>
          <w:sz w:val="19"/>
        </w:rPr>
        <w:t>s</w:t>
      </w:r>
      <w:r>
        <w:rPr>
          <w:i/>
          <w:color w:val="3A3838"/>
          <w:spacing w:val="-83"/>
          <w:w w:val="104"/>
          <w:sz w:val="19"/>
        </w:rPr>
        <w:t>e</w:t>
      </w:r>
      <w:r>
        <w:rPr>
          <w:i/>
          <w:color w:val="3A3838"/>
          <w:w w:val="57"/>
          <w:sz w:val="35"/>
        </w:rPr>
        <w:t>f</w:t>
      </w:r>
      <w:r>
        <w:rPr>
          <w:i/>
          <w:color w:val="3A3838"/>
          <w:spacing w:val="1"/>
          <w:w w:val="57"/>
          <w:sz w:val="35"/>
        </w:rPr>
        <w:t>u</w:t>
      </w:r>
      <w:r>
        <w:rPr>
          <w:i/>
          <w:color w:val="3A3838"/>
          <w:spacing w:val="-1"/>
          <w:w w:val="57"/>
          <w:sz w:val="35"/>
        </w:rPr>
        <w:t>J</w:t>
      </w:r>
      <w:r>
        <w:rPr>
          <w:i/>
          <w:color w:val="3A3838"/>
          <w:spacing w:val="2"/>
          <w:w w:val="57"/>
          <w:sz w:val="35"/>
        </w:rPr>
        <w:t>:</w:t>
      </w:r>
      <w:r>
        <w:rPr>
          <w:i/>
          <w:color w:val="3A3838"/>
          <w:w w:val="57"/>
          <w:sz w:val="35"/>
        </w:rPr>
        <w:t>::::</w:t>
      </w:r>
      <w:r>
        <w:rPr>
          <w:i/>
          <w:color w:val="3A3838"/>
          <w:spacing w:val="5"/>
          <w:w w:val="57"/>
          <w:sz w:val="35"/>
        </w:rPr>
        <w:t>:</w:t>
      </w:r>
      <w:r>
        <w:rPr>
          <w:i/>
          <w:color w:val="3A3838"/>
          <w:w w:val="57"/>
          <w:sz w:val="35"/>
        </w:rPr>
        <w:t>:</w:t>
      </w:r>
      <w:r>
        <w:rPr>
          <w:i/>
          <w:color w:val="3A3838"/>
          <w:spacing w:val="1"/>
          <w:w w:val="57"/>
          <w:sz w:val="35"/>
        </w:rPr>
        <w:t>'</w:t>
      </w:r>
      <w:r>
        <w:rPr>
          <w:i/>
          <w:color w:val="3A3838"/>
          <w:w w:val="57"/>
          <w:sz w:val="35"/>
        </w:rPr>
        <w:t>::/!i</w:t>
      </w:r>
      <w:r>
        <w:rPr>
          <w:i/>
          <w:color w:val="3A3838"/>
          <w:spacing w:val="-32"/>
          <w:sz w:val="35"/>
        </w:rPr>
        <w:t> </w:t>
      </w:r>
      <w:r>
        <w:rPr>
          <w:i/>
          <w:color w:val="3A3838"/>
          <w:spacing w:val="-1"/>
          <w:w w:val="57"/>
          <w:sz w:val="35"/>
        </w:rPr>
        <w:t>';</w:t>
      </w:r>
      <w:r>
        <w:rPr>
          <w:i/>
          <w:color w:val="3A3838"/>
          <w:spacing w:val="3"/>
          <w:w w:val="57"/>
          <w:sz w:val="35"/>
        </w:rPr>
        <w:t>:</w:t>
      </w:r>
      <w:r>
        <w:rPr>
          <w:i/>
          <w:color w:val="3A3838"/>
          <w:spacing w:val="1"/>
          <w:w w:val="57"/>
          <w:sz w:val="35"/>
        </w:rPr>
        <w:t>Js</w:t>
      </w:r>
      <w:r>
        <w:rPr>
          <w:i/>
          <w:color w:val="575759"/>
          <w:spacing w:val="1"/>
          <w:w w:val="57"/>
          <w:sz w:val="35"/>
        </w:rPr>
        <w:t>e</w:t>
      </w:r>
      <w:r>
        <w:rPr>
          <w:i/>
          <w:color w:val="3A3838"/>
          <w:spacing w:val="1"/>
          <w:w w:val="57"/>
          <w:sz w:val="35"/>
        </w:rPr>
        <w:t>e;J</w:t>
      </w:r>
      <w:r>
        <w:rPr>
          <w:i/>
          <w:color w:val="3A3838"/>
          <w:spacing w:val="2"/>
          <w:w w:val="57"/>
          <w:sz w:val="35"/>
        </w:rPr>
        <w:t>M</w:t>
      </w:r>
      <w:r>
        <w:rPr>
          <w:i/>
          <w:color w:val="3A3838"/>
          <w:spacing w:val="1"/>
          <w:w w:val="57"/>
          <w:sz w:val="35"/>
        </w:rPr>
        <w:t>A</w:t>
      </w:r>
      <w:r>
        <w:rPr>
          <w:i/>
          <w:color w:val="3A3838"/>
          <w:spacing w:val="-2"/>
          <w:w w:val="57"/>
          <w:sz w:val="35"/>
        </w:rPr>
        <w:t>.</w:t>
      </w:r>
      <w:r>
        <w:rPr>
          <w:color w:val="3A3838"/>
          <w:spacing w:val="-1"/>
          <w:w w:val="84"/>
          <w:sz w:val="18"/>
        </w:rPr>
        <w:t>Bargper</w:t>
      </w:r>
      <w:r>
        <w:rPr>
          <w:color w:val="3A3838"/>
          <w:w w:val="84"/>
          <w:sz w:val="18"/>
        </w:rPr>
        <w:t>,</w:t>
      </w:r>
      <w:r>
        <w:rPr>
          <w:color w:val="3A3838"/>
          <w:spacing w:val="-5"/>
          <w:sz w:val="18"/>
        </w:rPr>
        <w:t> </w:t>
      </w:r>
      <w:r>
        <w:rPr>
          <w:rFonts w:ascii="Arial"/>
          <w:i/>
          <w:color w:val="3A3838"/>
          <w:spacing w:val="-1"/>
          <w:w w:val="84"/>
          <w:sz w:val="16"/>
        </w:rPr>
        <w:t>O</w:t>
      </w:r>
      <w:r>
        <w:rPr>
          <w:rFonts w:ascii="Arial"/>
          <w:i/>
          <w:color w:val="3A3838"/>
          <w:w w:val="84"/>
          <w:sz w:val="16"/>
        </w:rPr>
        <w:t>n</w:t>
      </w:r>
      <w:r>
        <w:rPr>
          <w:rFonts w:ascii="Arial"/>
          <w:i/>
          <w:color w:val="3A3838"/>
          <w:sz w:val="16"/>
        </w:rPr>
        <w:t> </w:t>
      </w:r>
      <w:r>
        <w:rPr>
          <w:rFonts w:ascii="Arial"/>
          <w:i/>
          <w:color w:val="3A3838"/>
          <w:spacing w:val="7"/>
          <w:sz w:val="16"/>
        </w:rPr>
        <w:t> </w:t>
      </w:r>
      <w:r>
        <w:rPr>
          <w:i/>
          <w:color w:val="3A3838"/>
          <w:spacing w:val="-1"/>
          <w:w w:val="106"/>
          <w:sz w:val="19"/>
        </w:rPr>
        <w:t>th</w:t>
      </w:r>
      <w:r>
        <w:rPr>
          <w:i/>
          <w:color w:val="3A3838"/>
          <w:w w:val="106"/>
          <w:sz w:val="19"/>
        </w:rPr>
        <w:t>e</w:t>
      </w:r>
      <w:r>
        <w:rPr>
          <w:i/>
          <w:color w:val="3A3838"/>
          <w:spacing w:val="-21"/>
          <w:sz w:val="19"/>
        </w:rPr>
        <w:t> </w:t>
      </w:r>
      <w:r>
        <w:rPr>
          <w:i/>
          <w:color w:val="3A3838"/>
          <w:w w:val="95"/>
          <w:sz w:val="19"/>
        </w:rPr>
        <w:t>Internet,</w:t>
      </w:r>
      <w:r>
        <w:rPr>
          <w:i/>
          <w:color w:val="3A3838"/>
          <w:spacing w:val="3"/>
          <w:sz w:val="19"/>
        </w:rPr>
        <w:t> </w:t>
      </w:r>
      <w:r>
        <w:rPr>
          <w:i/>
          <w:color w:val="3A3838"/>
          <w:spacing w:val="-1"/>
          <w:w w:val="51"/>
          <w:sz w:val="35"/>
        </w:rPr>
        <w:t>Nobod</w:t>
      </w:r>
      <w:r>
        <w:rPr>
          <w:i/>
          <w:color w:val="3A3838"/>
          <w:w w:val="51"/>
          <w:sz w:val="35"/>
        </w:rPr>
        <w:t>y</w:t>
      </w:r>
      <w:r>
        <w:rPr>
          <w:i/>
          <w:color w:val="3A3838"/>
          <w:spacing w:val="-43"/>
          <w:sz w:val="35"/>
        </w:rPr>
        <w:t> </w:t>
      </w:r>
      <w:r>
        <w:rPr>
          <w:i/>
          <w:color w:val="3A3838"/>
          <w:spacing w:val="-1"/>
          <w:w w:val="94"/>
          <w:sz w:val="19"/>
        </w:rPr>
        <w:t>Know</w:t>
      </w:r>
      <w:r>
        <w:rPr>
          <w:i/>
          <w:color w:val="3A3838"/>
          <w:w w:val="94"/>
          <w:sz w:val="19"/>
        </w:rPr>
        <w:t>s</w:t>
      </w:r>
      <w:r>
        <w:rPr>
          <w:i/>
          <w:color w:val="3A3838"/>
          <w:spacing w:val="-9"/>
          <w:sz w:val="19"/>
        </w:rPr>
        <w:t> </w:t>
      </w:r>
      <w:r>
        <w:rPr>
          <w:i/>
          <w:color w:val="3A3838"/>
          <w:spacing w:val="-1"/>
          <w:w w:val="93"/>
          <w:sz w:val="19"/>
        </w:rPr>
        <w:t>You'r</w:t>
      </w:r>
      <w:r>
        <w:rPr>
          <w:i/>
          <w:color w:val="3A3838"/>
          <w:w w:val="93"/>
          <w:sz w:val="19"/>
        </w:rPr>
        <w:t>e</w:t>
      </w:r>
      <w:r>
        <w:rPr>
          <w:i/>
          <w:color w:val="3A3838"/>
          <w:spacing w:val="-25"/>
          <w:sz w:val="19"/>
        </w:rPr>
        <w:t> </w:t>
      </w:r>
      <w:r>
        <w:rPr>
          <w:i/>
          <w:color w:val="3A3838"/>
          <w:w w:val="93"/>
          <w:sz w:val="19"/>
        </w:rPr>
        <w:t>a</w:t>
      </w:r>
      <w:r>
        <w:rPr>
          <w:i/>
          <w:color w:val="3A3838"/>
          <w:sz w:val="19"/>
        </w:rPr>
        <w:t> </w:t>
      </w:r>
      <w:r>
        <w:rPr>
          <w:i/>
          <w:color w:val="3A3838"/>
          <w:spacing w:val="-22"/>
          <w:sz w:val="19"/>
        </w:rPr>
        <w:t> </w:t>
      </w:r>
      <w:r>
        <w:rPr>
          <w:i/>
          <w:color w:val="3A3838"/>
          <w:spacing w:val="-1"/>
          <w:w w:val="91"/>
          <w:sz w:val="19"/>
        </w:rPr>
        <w:t>fudge</w:t>
      </w:r>
      <w:r>
        <w:rPr>
          <w:i/>
          <w:color w:val="3A3838"/>
          <w:w w:val="91"/>
          <w:sz w:val="19"/>
        </w:rPr>
        <w:t>:</w:t>
      </w:r>
      <w:r>
        <w:rPr>
          <w:i/>
          <w:color w:val="3A3838"/>
          <w:spacing w:val="-23"/>
          <w:sz w:val="19"/>
        </w:rPr>
        <w:t> </w:t>
      </w:r>
      <w:r>
        <w:rPr>
          <w:i/>
          <w:color w:val="3A3838"/>
          <w:spacing w:val="-1"/>
          <w:w w:val="96"/>
          <w:sz w:val="19"/>
        </w:rPr>
        <w:t>Appellat</w:t>
      </w:r>
      <w:r>
        <w:rPr>
          <w:i/>
          <w:color w:val="3A3838"/>
          <w:w w:val="96"/>
          <w:sz w:val="19"/>
        </w:rPr>
        <w:t>e</w:t>
      </w:r>
      <w:r>
        <w:rPr>
          <w:i/>
          <w:color w:val="3A3838"/>
          <w:spacing w:val="-11"/>
          <w:sz w:val="19"/>
        </w:rPr>
        <w:t> </w:t>
      </w:r>
      <w:r>
        <w:rPr>
          <w:i/>
          <w:color w:val="3A3838"/>
          <w:spacing w:val="-1"/>
          <w:w w:val="99"/>
          <w:sz w:val="19"/>
        </w:rPr>
        <w:t>courts/</w:t>
      </w:r>
    </w:p>
    <w:p>
      <w:pPr>
        <w:tabs>
          <w:tab w:pos="3757" w:val="left" w:leader="none"/>
          <w:tab w:pos="8119" w:val="left" w:leader="none"/>
        </w:tabs>
        <w:spacing w:line="167" w:lineRule="exact" w:before="0"/>
        <w:ind w:left="3299" w:right="0" w:firstLine="0"/>
        <w:jc w:val="left"/>
        <w:rPr>
          <w:rFonts w:ascii="Arial" w:hAnsi="Arial"/>
          <w:sz w:val="17"/>
        </w:rPr>
      </w:pPr>
      <w:r>
        <w:rPr>
          <w:color w:val="3A3838"/>
          <w:w w:val="105"/>
          <w:sz w:val="18"/>
        </w:rPr>
        <w:t>,</w:t>
        <w:tab/>
      </w:r>
      <w:r>
        <w:rPr>
          <w:color w:val="3A3838"/>
          <w:spacing w:val="-1"/>
          <w:w w:val="105"/>
          <w:sz w:val="18"/>
        </w:rPr>
        <w:t>·</w:t>
      </w:r>
      <w:r>
        <w:rPr>
          <w:color w:val="3A3838"/>
          <w:spacing w:val="116"/>
          <w:w w:val="105"/>
          <w:sz w:val="18"/>
        </w:rPr>
        <w:t> </w:t>
      </w:r>
      <w:r>
        <w:rPr>
          <w:color w:val="3A3838"/>
          <w:spacing w:val="-1"/>
          <w:w w:val="105"/>
          <w:sz w:val="18"/>
        </w:rPr>
        <w:t>pp.</w:t>
      </w:r>
      <w:r>
        <w:rPr>
          <w:color w:val="3A3838"/>
          <w:spacing w:val="133"/>
          <w:w w:val="105"/>
          <w:sz w:val="18"/>
        </w:rPr>
        <w:t> </w:t>
      </w:r>
      <w:r>
        <w:rPr>
          <w:color w:val="3A3838"/>
          <w:w w:val="105"/>
          <w:sz w:val="18"/>
        </w:rPr>
        <w:t>rac.</w:t>
      </w:r>
      <w:r>
        <w:rPr>
          <w:color w:val="3A3838"/>
          <w:spacing w:val="-17"/>
          <w:w w:val="105"/>
          <w:sz w:val="18"/>
        </w:rPr>
        <w:t> </w:t>
      </w:r>
      <w:r>
        <w:rPr>
          <w:rFonts w:ascii="Arial" w:hAnsi="Arial"/>
          <w:color w:val="3A3838"/>
          <w:w w:val="105"/>
          <w:sz w:val="17"/>
        </w:rPr>
        <w:t>&amp;:</w:t>
      </w:r>
      <w:r>
        <w:rPr>
          <w:rFonts w:ascii="Arial" w:hAnsi="Arial"/>
          <w:color w:val="3A3838"/>
          <w:spacing w:val="-17"/>
          <w:w w:val="105"/>
          <w:sz w:val="17"/>
        </w:rPr>
        <w:t> </w:t>
      </w:r>
      <w:r>
        <w:rPr>
          <w:color w:val="3A3838"/>
          <w:w w:val="105"/>
          <w:sz w:val="18"/>
        </w:rPr>
        <w:t>Proc.</w:t>
      </w:r>
      <w:r>
        <w:rPr>
          <w:color w:val="3A3838"/>
          <w:spacing w:val="-8"/>
          <w:w w:val="105"/>
          <w:sz w:val="18"/>
        </w:rPr>
        <w:t> </w:t>
      </w:r>
      <w:r>
        <w:rPr>
          <w:rFonts w:ascii="Arial" w:hAnsi="Arial"/>
          <w:color w:val="3A3838"/>
          <w:w w:val="105"/>
          <w:sz w:val="17"/>
        </w:rPr>
        <w:t>417</w:t>
      </w:r>
      <w:r>
        <w:rPr>
          <w:rFonts w:ascii="Arial" w:hAnsi="Arial"/>
          <w:color w:val="3A3838"/>
          <w:spacing w:val="-17"/>
          <w:w w:val="105"/>
          <w:sz w:val="17"/>
        </w:rPr>
        <w:t> </w:t>
      </w:r>
      <w:r>
        <w:rPr>
          <w:rFonts w:ascii="Arial" w:hAnsi="Arial"/>
          <w:color w:val="3A3838"/>
          <w:w w:val="105"/>
          <w:sz w:val="17"/>
        </w:rPr>
        <w:t>(2002).</w:t>
        <w:tab/>
      </w:r>
      <w:r>
        <w:rPr>
          <w:rFonts w:ascii="Arial" w:hAnsi="Arial"/>
          <w:color w:val="9A9C9E"/>
          <w:w w:val="105"/>
          <w:sz w:val="17"/>
        </w:rPr>
        <w:t>.</w:t>
      </w:r>
    </w:p>
    <w:p>
      <w:pPr>
        <w:spacing w:after="0" w:line="167" w:lineRule="exact"/>
        <w:jc w:val="left"/>
        <w:rPr>
          <w:rFonts w:ascii="Arial" w:hAnsi="Arial"/>
          <w:sz w:val="17"/>
        </w:rPr>
        <w:sectPr>
          <w:headerReference w:type="even" r:id="rId76"/>
          <w:pgSz w:w="9610" w:h="13770"/>
          <w:pgMar w:header="0" w:footer="0" w:top="0" w:bottom="280" w:left="0" w:right="100"/>
        </w:sectPr>
      </w:pPr>
    </w:p>
    <w:p>
      <w:pPr>
        <w:pStyle w:val="BodyText"/>
        <w:spacing w:line="232" w:lineRule="auto" w:before="87"/>
        <w:ind w:left="102" w:right="320" w:firstLine="347"/>
        <w:jc w:val="both"/>
      </w:pPr>
      <w:r>
        <w:rPr>
          <w:color w:val="3D3B3D"/>
          <w:w w:val="110"/>
        </w:rPr>
        <w:t>Of course, many of these extra-legal facts could be submitted into evi­</w:t>
      </w:r>
      <w:r>
        <w:rPr>
          <w:color w:val="3D3B3D"/>
          <w:spacing w:val="-61"/>
          <w:w w:val="110"/>
        </w:rPr>
        <w:t> </w:t>
      </w:r>
      <w:r>
        <w:rPr>
          <w:color w:val="3D3B3D"/>
          <w:w w:val="115"/>
        </w:rPr>
        <w:t>dence at the trial court, but trials are usually focused on the individual</w:t>
      </w:r>
      <w:r>
        <w:rPr>
          <w:color w:val="3D3B3D"/>
          <w:spacing w:val="1"/>
          <w:w w:val="115"/>
        </w:rPr>
        <w:t> </w:t>
      </w:r>
      <w:r>
        <w:rPr>
          <w:color w:val="3D3B3D"/>
          <w:spacing w:val="-1"/>
          <w:w w:val="110"/>
        </w:rPr>
        <w:t>parties. </w:t>
      </w:r>
      <w:r>
        <w:rPr>
          <w:color w:val="3D3B3D"/>
          <w:w w:val="110"/>
        </w:rPr>
        <w:t>Often, arguments about the broad impact of the case become sig­</w:t>
      </w:r>
      <w:r>
        <w:rPr>
          <w:color w:val="3D3B3D"/>
          <w:spacing w:val="1"/>
          <w:w w:val="110"/>
        </w:rPr>
        <w:t> </w:t>
      </w:r>
      <w:r>
        <w:rPr>
          <w:color w:val="3D3B3D"/>
          <w:spacing w:val="-1"/>
          <w:w w:val="115"/>
        </w:rPr>
        <w:t>nificant only at the appellate level. Just as with legal authorities, </w:t>
      </w:r>
      <w:r>
        <w:rPr>
          <w:color w:val="3D3B3D"/>
          <w:w w:val="115"/>
        </w:rPr>
        <w:t>extra­</w:t>
      </w:r>
      <w:r>
        <w:rPr>
          <w:color w:val="3D3B3D"/>
          <w:spacing w:val="1"/>
          <w:w w:val="115"/>
        </w:rPr>
        <w:t> </w:t>
      </w:r>
      <w:r>
        <w:rPr>
          <w:color w:val="3D3B3D"/>
          <w:w w:val="110"/>
        </w:rPr>
        <w:t>legal authorities will be more or less valid depending on the source. The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05"/>
        </w:rPr>
        <w:t>reputation of the source, whether a newspaper article or a university study,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10"/>
        </w:rPr>
        <w:t>will doubtless have an  impact on the court's attitude toward the validity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of the information from that source. Therefore, when deciding whether to</w:t>
      </w:r>
      <w:r>
        <w:rPr>
          <w:color w:val="3D3B3D"/>
          <w:spacing w:val="-61"/>
          <w:w w:val="110"/>
        </w:rPr>
        <w:t> </w:t>
      </w:r>
      <w:r>
        <w:rPr>
          <w:color w:val="3D3B3D"/>
          <w:w w:val="105"/>
        </w:rPr>
        <w:t>use</w:t>
      </w:r>
      <w:r>
        <w:rPr>
          <w:color w:val="3D3B3D"/>
          <w:spacing w:val="-21"/>
          <w:w w:val="105"/>
        </w:rPr>
        <w:t> </w:t>
      </w:r>
      <w:r>
        <w:rPr>
          <w:color w:val="3D3B3D"/>
          <w:w w:val="105"/>
        </w:rPr>
        <w:t>extra-legal</w:t>
      </w:r>
      <w:r>
        <w:rPr>
          <w:color w:val="3D3B3D"/>
          <w:spacing w:val="10"/>
          <w:w w:val="105"/>
        </w:rPr>
        <w:t> </w:t>
      </w:r>
      <w:r>
        <w:rPr>
          <w:color w:val="3D3B3D"/>
          <w:w w:val="105"/>
        </w:rPr>
        <w:t>information,</w:t>
      </w:r>
      <w:r>
        <w:rPr>
          <w:color w:val="3D3B3D"/>
          <w:spacing w:val="18"/>
          <w:w w:val="105"/>
        </w:rPr>
        <w:t> </w:t>
      </w:r>
      <w:r>
        <w:rPr>
          <w:color w:val="3D3B3D"/>
          <w:w w:val="105"/>
        </w:rPr>
        <w:t>consider</w:t>
      </w:r>
      <w:r>
        <w:rPr>
          <w:color w:val="3D3B3D"/>
          <w:spacing w:val="10"/>
          <w:w w:val="105"/>
        </w:rPr>
        <w:t> </w:t>
      </w:r>
      <w:r>
        <w:rPr>
          <w:color w:val="3D3B3D"/>
          <w:w w:val="105"/>
        </w:rPr>
        <w:t>the</w:t>
      </w:r>
      <w:r>
        <w:rPr>
          <w:color w:val="3D3B3D"/>
          <w:spacing w:val="26"/>
          <w:w w:val="105"/>
        </w:rPr>
        <w:t> </w:t>
      </w:r>
      <w:r>
        <w:rPr>
          <w:color w:val="3D3B3D"/>
          <w:w w:val="105"/>
        </w:rPr>
        <w:t>source</w:t>
      </w:r>
      <w:r>
        <w:rPr>
          <w:color w:val="3D3B3D"/>
          <w:spacing w:val="7"/>
          <w:w w:val="105"/>
        </w:rPr>
        <w:t> </w:t>
      </w:r>
      <w:r>
        <w:rPr>
          <w:color w:val="3D3B3D"/>
          <w:w w:val="105"/>
        </w:rPr>
        <w:t>carefully.</w:t>
      </w:r>
    </w:p>
    <w:p>
      <w:pPr>
        <w:pStyle w:val="ListParagraph"/>
        <w:numPr>
          <w:ilvl w:val="0"/>
          <w:numId w:val="30"/>
        </w:numPr>
        <w:tabs>
          <w:tab w:pos="792" w:val="left" w:leader="none"/>
        </w:tabs>
        <w:spacing w:line="240" w:lineRule="auto" w:before="121" w:after="0"/>
        <w:ind w:left="791" w:right="0" w:hanging="332"/>
        <w:jc w:val="both"/>
        <w:rPr>
          <w:rFonts w:ascii="Arial"/>
          <w:i/>
          <w:color w:val="3D3B3D"/>
          <w:sz w:val="20"/>
        </w:rPr>
      </w:pPr>
      <w:r>
        <w:rPr>
          <w:i/>
          <w:color w:val="3D3B3D"/>
          <w:w w:val="105"/>
          <w:sz w:val="22"/>
        </w:rPr>
        <w:t>Internet</w:t>
      </w:r>
      <w:r>
        <w:rPr>
          <w:i/>
          <w:color w:val="3D3B3D"/>
          <w:spacing w:val="4"/>
          <w:w w:val="105"/>
          <w:sz w:val="22"/>
        </w:rPr>
        <w:t> </w:t>
      </w:r>
      <w:r>
        <w:rPr>
          <w:i/>
          <w:color w:val="3D3B3D"/>
          <w:w w:val="105"/>
          <w:sz w:val="22"/>
        </w:rPr>
        <w:t>Sources</w:t>
      </w:r>
    </w:p>
    <w:p>
      <w:pPr>
        <w:pStyle w:val="BodyText"/>
        <w:spacing w:line="235" w:lineRule="auto" w:before="30"/>
        <w:ind w:left="101" w:right="230" w:firstLine="339"/>
        <w:jc w:val="both"/>
      </w:pPr>
      <w:r>
        <w:rPr>
          <w:color w:val="3D3B3D"/>
          <w:w w:val="110"/>
        </w:rPr>
        <w:t>The advent of the Internet is changing the way that lawyers and judges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find and use legal authorities.</w:t>
      </w:r>
      <w:r>
        <w:rPr>
          <w:color w:val="3D3B3D"/>
          <w:w w:val="110"/>
          <w:vertAlign w:val="superscript"/>
        </w:rPr>
        <w:t>15</w:t>
      </w:r>
      <w:r>
        <w:rPr>
          <w:color w:val="3D3B3D"/>
          <w:w w:val="110"/>
          <w:vertAlign w:val="baseline"/>
        </w:rPr>
        <w:t> Internet research can  be an effective way</w:t>
      </w:r>
      <w:r>
        <w:rPr>
          <w:color w:val="3D3B3D"/>
          <w:spacing w:val="1"/>
          <w:w w:val="110"/>
          <w:vertAlign w:val="baseline"/>
        </w:rPr>
        <w:t> </w:t>
      </w:r>
      <w:r>
        <w:rPr>
          <w:color w:val="3D3B3D"/>
          <w:w w:val="105"/>
          <w:vertAlign w:val="baseline"/>
        </w:rPr>
        <w:t>to bring yourself up to speed on an area of law. Be careful, however, when</w:t>
      </w:r>
      <w:r>
        <w:rPr>
          <w:color w:val="3D3B3D"/>
          <w:spacing w:val="1"/>
          <w:w w:val="105"/>
          <w:vertAlign w:val="baseline"/>
        </w:rPr>
        <w:t> </w:t>
      </w:r>
      <w:r>
        <w:rPr>
          <w:color w:val="3D3B3D"/>
          <w:w w:val="110"/>
          <w:vertAlign w:val="baseline"/>
        </w:rPr>
        <w:t>deciding whether to</w:t>
      </w:r>
      <w:r>
        <w:rPr>
          <w:color w:val="3D3B3D"/>
          <w:spacing w:val="1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cite Internet materials in</w:t>
      </w:r>
      <w:r>
        <w:rPr>
          <w:color w:val="3D3B3D"/>
          <w:spacing w:val="1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a brief. Certainly, valid</w:t>
      </w:r>
      <w:r>
        <w:rPr>
          <w:color w:val="3D3B3D"/>
          <w:spacing w:val="1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authorities do</w:t>
      </w:r>
      <w:r>
        <w:rPr>
          <w:color w:val="3D3B3D"/>
          <w:spacing w:val="1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not  lose validity simply  because  they  can also be  found</w:t>
      </w:r>
      <w:r>
        <w:rPr>
          <w:color w:val="3D3B3D"/>
          <w:spacing w:val="1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on the Internet; similarly, however, nonvalid authorities do not become</w:t>
      </w:r>
      <w:r>
        <w:rPr>
          <w:color w:val="3D3B3D"/>
          <w:spacing w:val="1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valid simply because they can be called up on the computer screen of an</w:t>
      </w:r>
      <w:r>
        <w:rPr>
          <w:color w:val="3D3B3D"/>
          <w:spacing w:val="1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attorney or a</w:t>
      </w:r>
      <w:r>
        <w:rPr>
          <w:color w:val="3D3B3D"/>
          <w:spacing w:val="1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judge. In  addition, the ever-changing content online can</w:t>
      </w:r>
      <w:r>
        <w:rPr>
          <w:color w:val="3D3B3D"/>
          <w:spacing w:val="1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affect judges' impressions of the validity of certain source material. </w:t>
      </w:r>
      <w:r>
        <w:rPr>
          <w:rFonts w:ascii="Arial"/>
          <w:color w:val="3D3B3D"/>
          <w:w w:val="110"/>
          <w:sz w:val="22"/>
          <w:vertAlign w:val="baseline"/>
        </w:rPr>
        <w:t>If </w:t>
      </w:r>
      <w:r>
        <w:rPr>
          <w:color w:val="3D3B3D"/>
          <w:w w:val="110"/>
          <w:vertAlign w:val="baseline"/>
        </w:rPr>
        <w:t>a</w:t>
      </w:r>
      <w:r>
        <w:rPr>
          <w:color w:val="3D3B3D"/>
          <w:spacing w:val="1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judge goes to a link within a brief and does not find the cited material, he</w:t>
      </w:r>
      <w:r>
        <w:rPr>
          <w:color w:val="3D3B3D"/>
          <w:spacing w:val="1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or she may question the credibility of the source, the</w:t>
      </w:r>
      <w:r>
        <w:rPr>
          <w:color w:val="3D3B3D"/>
          <w:spacing w:val="1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attorney, or both.</w:t>
      </w:r>
      <w:r>
        <w:rPr>
          <w:color w:val="3D3B3D"/>
          <w:spacing w:val="1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Thus, attorneys conducting legal research on</w:t>
      </w:r>
      <w:r>
        <w:rPr>
          <w:color w:val="3D3B3D"/>
          <w:spacing w:val="1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the</w:t>
      </w:r>
      <w:r>
        <w:rPr>
          <w:color w:val="3D3B3D"/>
          <w:spacing w:val="1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I</w:t>
      </w:r>
      <w:r>
        <w:rPr>
          <w:color w:val="575659"/>
          <w:w w:val="110"/>
          <w:vertAlign w:val="baseline"/>
        </w:rPr>
        <w:t>n</w:t>
      </w:r>
      <w:r>
        <w:rPr>
          <w:color w:val="3D3B3D"/>
          <w:w w:val="110"/>
          <w:vertAlign w:val="baseline"/>
        </w:rPr>
        <w:t>ternet  should  keep</w:t>
      </w:r>
      <w:r>
        <w:rPr>
          <w:color w:val="3D3B3D"/>
          <w:spacing w:val="1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both</w:t>
      </w:r>
      <w:r>
        <w:rPr>
          <w:color w:val="3D3B3D"/>
          <w:spacing w:val="-12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validity</w:t>
      </w:r>
      <w:r>
        <w:rPr>
          <w:color w:val="3D3B3D"/>
          <w:spacing w:val="-13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and</w:t>
      </w:r>
      <w:r>
        <w:rPr>
          <w:color w:val="3D3B3D"/>
          <w:spacing w:val="29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accessibility</w:t>
      </w:r>
      <w:r>
        <w:rPr>
          <w:color w:val="3D3B3D"/>
          <w:spacing w:val="9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in</w:t>
      </w:r>
      <w:r>
        <w:rPr>
          <w:color w:val="3D3B3D"/>
          <w:spacing w:val="36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mind.</w:t>
      </w:r>
    </w:p>
    <w:p>
      <w:pPr>
        <w:pStyle w:val="BodyText"/>
        <w:spacing w:line="235" w:lineRule="auto"/>
        <w:ind w:left="103" w:right="166" w:firstLine="347"/>
        <w:jc w:val="both"/>
      </w:pPr>
      <w:r>
        <w:rPr>
          <w:color w:val="3D3B3D"/>
          <w:w w:val="110"/>
        </w:rPr>
        <w:t>There are  numerous resources available on  the  Internet that have a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high degree of validity. Many of the extra-legal sources mentioned above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may also be found on the Internet. Numerous government agencies have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Web pages that contain reports, research studies, or other information that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courts would find useful and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reliable. On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the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other hand, an on-point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assertion from a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random blog may carry little weight.</w:t>
      </w:r>
      <w:r>
        <w:rPr>
          <w:color w:val="3D3B3D"/>
          <w:w w:val="110"/>
          <w:vertAlign w:val="superscript"/>
        </w:rPr>
        <w:t>16</w:t>
      </w:r>
      <w:r>
        <w:rPr>
          <w:color w:val="3D3B3D"/>
          <w:w w:val="110"/>
          <w:vertAlign w:val="baseline"/>
        </w:rPr>
        <w:t> </w:t>
      </w:r>
      <w:r>
        <w:rPr>
          <w:rFonts w:ascii="Arial"/>
          <w:color w:val="3D3B3D"/>
          <w:w w:val="110"/>
          <w:sz w:val="22"/>
          <w:vertAlign w:val="baseline"/>
        </w:rPr>
        <w:t>If</w:t>
      </w:r>
      <w:r>
        <w:rPr>
          <w:rFonts w:ascii="Arial"/>
          <w:color w:val="3D3B3D"/>
          <w:spacing w:val="1"/>
          <w:w w:val="110"/>
          <w:sz w:val="22"/>
          <w:vertAlign w:val="baseline"/>
        </w:rPr>
        <w:t> </w:t>
      </w:r>
      <w:r>
        <w:rPr>
          <w:color w:val="3D3B3D"/>
          <w:w w:val="110"/>
          <w:vertAlign w:val="baseline"/>
        </w:rPr>
        <w:t>the</w:t>
      </w:r>
      <w:r>
        <w:rPr>
          <w:color w:val="3D3B3D"/>
          <w:spacing w:val="1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Internet</w:t>
      </w:r>
      <w:r>
        <w:rPr>
          <w:color w:val="3D3B3D"/>
          <w:spacing w:val="1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simply makes it easier for you to gain access to a report that would have</w:t>
      </w:r>
      <w:r>
        <w:rPr>
          <w:color w:val="3D3B3D"/>
          <w:spacing w:val="1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required a trip to the library or to the state capital in days of yore, then the</w:t>
      </w:r>
      <w:r>
        <w:rPr>
          <w:color w:val="3D3B3D"/>
          <w:spacing w:val="1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source may well be worth citing. If, in contrast, the source has come into</w:t>
      </w:r>
      <w:r>
        <w:rPr>
          <w:color w:val="3D3B3D"/>
          <w:spacing w:val="1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existence</w:t>
      </w:r>
      <w:r>
        <w:rPr>
          <w:color w:val="3D3B3D"/>
          <w:spacing w:val="25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because</w:t>
      </w:r>
      <w:r>
        <w:rPr>
          <w:color w:val="3D3B3D"/>
          <w:spacing w:val="9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of</w:t>
      </w:r>
      <w:r>
        <w:rPr>
          <w:color w:val="3D3B3D"/>
          <w:spacing w:val="29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the</w:t>
      </w:r>
      <w:r>
        <w:rPr>
          <w:color w:val="3D3B3D"/>
          <w:spacing w:val="49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Internet,</w:t>
      </w:r>
      <w:r>
        <w:rPr>
          <w:color w:val="3D3B3D"/>
          <w:spacing w:val="21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you</w:t>
      </w:r>
      <w:r>
        <w:rPr>
          <w:color w:val="3D3B3D"/>
          <w:spacing w:val="22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may</w:t>
      </w:r>
      <w:r>
        <w:rPr>
          <w:color w:val="3D3B3D"/>
          <w:spacing w:val="2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wish</w:t>
      </w:r>
      <w:r>
        <w:rPr>
          <w:color w:val="3D3B3D"/>
          <w:spacing w:val="13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to</w:t>
      </w:r>
      <w:r>
        <w:rPr>
          <w:color w:val="3D3B3D"/>
          <w:spacing w:val="32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be</w:t>
      </w:r>
      <w:r>
        <w:rPr>
          <w:color w:val="3D3B3D"/>
          <w:spacing w:val="19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more</w:t>
      </w:r>
      <w:r>
        <w:rPr>
          <w:color w:val="3D3B3D"/>
          <w:spacing w:val="3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circumspect.</w:t>
      </w:r>
    </w:p>
    <w:p>
      <w:pPr>
        <w:pStyle w:val="BodyText"/>
        <w:spacing w:line="259" w:lineRule="exact"/>
        <w:ind w:left="103"/>
        <w:jc w:val="both"/>
      </w:pPr>
      <w:r>
        <w:rPr>
          <w:color w:val="3D3B3D"/>
          <w:w w:val="110"/>
        </w:rPr>
        <w:t>The</w:t>
      </w:r>
      <w:r>
        <w:rPr>
          <w:color w:val="3D3B3D"/>
          <w:spacing w:val="-12"/>
          <w:w w:val="110"/>
        </w:rPr>
        <w:t> </w:t>
      </w:r>
      <w:r>
        <w:rPr>
          <w:color w:val="3D3B3D"/>
          <w:w w:val="110"/>
        </w:rPr>
        <w:t>most</w:t>
      </w:r>
      <w:r>
        <w:rPr>
          <w:color w:val="3D3B3D"/>
          <w:spacing w:val="-3"/>
          <w:w w:val="110"/>
        </w:rPr>
        <w:t> </w:t>
      </w:r>
      <w:r>
        <w:rPr>
          <w:color w:val="3D3B3D"/>
          <w:w w:val="110"/>
        </w:rPr>
        <w:t>important</w:t>
      </w:r>
      <w:r>
        <w:rPr>
          <w:color w:val="3D3B3D"/>
          <w:spacing w:val="17"/>
          <w:w w:val="110"/>
        </w:rPr>
        <w:t> </w:t>
      </w:r>
      <w:r>
        <w:rPr>
          <w:color w:val="3D3B3D"/>
          <w:w w:val="110"/>
        </w:rPr>
        <w:t>consideration</w:t>
      </w:r>
      <w:r>
        <w:rPr>
          <w:color w:val="3D3B3D"/>
          <w:spacing w:val="31"/>
          <w:w w:val="110"/>
        </w:rPr>
        <w:t> </w:t>
      </w:r>
      <w:r>
        <w:rPr>
          <w:color w:val="3D3B3D"/>
          <w:w w:val="110"/>
        </w:rPr>
        <w:t>is</w:t>
      </w:r>
      <w:r>
        <w:rPr>
          <w:color w:val="3D3B3D"/>
          <w:spacing w:val="8"/>
          <w:w w:val="110"/>
        </w:rPr>
        <w:t> </w:t>
      </w:r>
      <w:r>
        <w:rPr>
          <w:color w:val="3D3B3D"/>
          <w:w w:val="110"/>
        </w:rPr>
        <w:t>the</w:t>
      </w:r>
      <w:r>
        <w:rPr>
          <w:color w:val="3D3B3D"/>
          <w:spacing w:val="24"/>
          <w:w w:val="110"/>
        </w:rPr>
        <w:t> </w:t>
      </w:r>
      <w:r>
        <w:rPr>
          <w:color w:val="3D3B3D"/>
          <w:w w:val="110"/>
        </w:rPr>
        <w:t>validity</w:t>
      </w:r>
      <w:r>
        <w:rPr>
          <w:color w:val="3D3B3D"/>
          <w:spacing w:val="12"/>
          <w:w w:val="110"/>
        </w:rPr>
        <w:t> </w:t>
      </w:r>
      <w:r>
        <w:rPr>
          <w:color w:val="3D3B3D"/>
          <w:w w:val="110"/>
        </w:rPr>
        <w:t>of</w:t>
      </w:r>
      <w:r>
        <w:rPr>
          <w:color w:val="3D3B3D"/>
          <w:spacing w:val="26"/>
          <w:w w:val="110"/>
        </w:rPr>
        <w:t> </w:t>
      </w:r>
      <w:r>
        <w:rPr>
          <w:color w:val="3D3B3D"/>
          <w:w w:val="110"/>
        </w:rPr>
        <w:t>the</w:t>
      </w:r>
      <w:r>
        <w:rPr>
          <w:color w:val="3D3B3D"/>
          <w:spacing w:val="53"/>
          <w:w w:val="110"/>
        </w:rPr>
        <w:t> </w:t>
      </w:r>
      <w:r>
        <w:rPr>
          <w:color w:val="3D3B3D"/>
          <w:w w:val="110"/>
        </w:rPr>
        <w:t>source.</w:t>
      </w:r>
      <w:r>
        <w:rPr>
          <w:color w:val="3D3B3D"/>
          <w:w w:val="110"/>
          <w:vertAlign w:val="superscript"/>
        </w:rPr>
        <w:t>17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3"/>
        </w:rPr>
      </w:pPr>
    </w:p>
    <w:p>
      <w:pPr>
        <w:spacing w:line="205" w:lineRule="exact" w:before="0"/>
        <w:ind w:left="471" w:right="0" w:firstLine="0"/>
        <w:jc w:val="both"/>
        <w:rPr>
          <w:sz w:val="16"/>
        </w:rPr>
      </w:pPr>
      <w:r>
        <w:rPr>
          <w:color w:val="3D3B3D"/>
          <w:sz w:val="15"/>
        </w:rPr>
        <w:t>is</w:t>
      </w:r>
      <w:r>
        <w:rPr>
          <w:color w:val="3D3B3D"/>
          <w:spacing w:val="-11"/>
          <w:sz w:val="15"/>
        </w:rPr>
        <w:t> </w:t>
      </w:r>
      <w:r>
        <w:rPr>
          <w:i/>
          <w:color w:val="3D3B3D"/>
          <w:sz w:val="18"/>
        </w:rPr>
        <w:t>See</w:t>
      </w:r>
      <w:r>
        <w:rPr>
          <w:i/>
          <w:color w:val="3D3B3D"/>
          <w:spacing w:val="-20"/>
          <w:sz w:val="18"/>
        </w:rPr>
        <w:t> </w:t>
      </w:r>
      <w:r>
        <w:rPr>
          <w:i/>
          <w:color w:val="3D3B3D"/>
          <w:sz w:val="18"/>
        </w:rPr>
        <w:t>id.</w:t>
      </w:r>
      <w:r>
        <w:rPr>
          <w:i/>
          <w:color w:val="3D3B3D"/>
          <w:spacing w:val="29"/>
          <w:sz w:val="18"/>
        </w:rPr>
        <w:t> </w:t>
      </w:r>
      <w:r>
        <w:rPr>
          <w:color w:val="3D3B3D"/>
          <w:sz w:val="18"/>
        </w:rPr>
        <w:t>at</w:t>
      </w:r>
      <w:r>
        <w:rPr>
          <w:color w:val="3D3B3D"/>
          <w:spacing w:val="57"/>
          <w:sz w:val="18"/>
        </w:rPr>
        <w:t> </w:t>
      </w:r>
      <w:r>
        <w:rPr>
          <w:color w:val="3D3B3D"/>
          <w:sz w:val="16"/>
        </w:rPr>
        <w:t>420-22</w:t>
      </w:r>
      <w:r>
        <w:rPr>
          <w:color w:val="575659"/>
          <w:sz w:val="16"/>
        </w:rPr>
        <w:t>.</w:t>
      </w:r>
    </w:p>
    <w:p>
      <w:pPr>
        <w:spacing w:line="225" w:lineRule="auto" w:before="8"/>
        <w:ind w:left="118" w:right="119" w:firstLine="356"/>
        <w:jc w:val="both"/>
        <w:rPr>
          <w:i/>
          <w:sz w:val="18"/>
        </w:rPr>
      </w:pPr>
      <w:r>
        <w:rPr>
          <w:rFonts w:ascii="Arial" w:hAnsi="Arial"/>
          <w:color w:val="3D3B3D"/>
          <w:w w:val="105"/>
          <w:position w:val="6"/>
          <w:sz w:val="10"/>
        </w:rPr>
        <w:t>16</w:t>
      </w:r>
      <w:r>
        <w:rPr>
          <w:color w:val="3D3B3D"/>
          <w:w w:val="105"/>
          <w:sz w:val="18"/>
        </w:rPr>
        <w:t>0f course, the</w:t>
      </w:r>
      <w:r>
        <w:rPr>
          <w:color w:val="3D3B3D"/>
          <w:spacing w:val="1"/>
          <w:w w:val="105"/>
          <w:sz w:val="18"/>
        </w:rPr>
        <w:t> </w:t>
      </w:r>
      <w:r>
        <w:rPr>
          <w:color w:val="3D3B3D"/>
          <w:w w:val="105"/>
          <w:sz w:val="18"/>
        </w:rPr>
        <w:t>correct legal standard Is often "It depends," and</w:t>
      </w:r>
      <w:r>
        <w:rPr>
          <w:color w:val="3D3B3D"/>
          <w:spacing w:val="1"/>
          <w:w w:val="105"/>
          <w:sz w:val="18"/>
        </w:rPr>
        <w:t> </w:t>
      </w:r>
      <w:r>
        <w:rPr>
          <w:color w:val="3D3B3D"/>
          <w:w w:val="105"/>
          <w:sz w:val="18"/>
        </w:rPr>
        <w:t>Internet</w:t>
      </w:r>
      <w:r>
        <w:rPr>
          <w:color w:val="3D3B3D"/>
          <w:spacing w:val="1"/>
          <w:w w:val="105"/>
          <w:sz w:val="18"/>
        </w:rPr>
        <w:t> </w:t>
      </w:r>
      <w:r>
        <w:rPr>
          <w:color w:val="3D3B3D"/>
          <w:w w:val="105"/>
          <w:sz w:val="18"/>
        </w:rPr>
        <w:t>research Is no dif­</w:t>
      </w:r>
      <w:r>
        <w:rPr>
          <w:color w:val="3D3B3D"/>
          <w:spacing w:val="1"/>
          <w:w w:val="105"/>
          <w:sz w:val="18"/>
        </w:rPr>
        <w:t> </w:t>
      </w:r>
      <w:r>
        <w:rPr>
          <w:color w:val="3D3B3D"/>
          <w:w w:val="105"/>
          <w:sz w:val="18"/>
        </w:rPr>
        <w:t>ferent</w:t>
      </w:r>
      <w:r>
        <w:rPr>
          <w:color w:val="575659"/>
          <w:w w:val="105"/>
          <w:sz w:val="18"/>
        </w:rPr>
        <w:t>. </w:t>
      </w:r>
      <w:r>
        <w:rPr>
          <w:color w:val="3D3B3D"/>
          <w:w w:val="105"/>
          <w:sz w:val="18"/>
        </w:rPr>
        <w:t>Some biogs contain</w:t>
      </w:r>
      <w:r>
        <w:rPr>
          <w:color w:val="3D3B3D"/>
          <w:spacing w:val="1"/>
          <w:w w:val="105"/>
          <w:sz w:val="18"/>
        </w:rPr>
        <w:t> </w:t>
      </w:r>
      <w:r>
        <w:rPr>
          <w:color w:val="3D3B3D"/>
          <w:w w:val="105"/>
          <w:sz w:val="18"/>
        </w:rPr>
        <w:t>reasoned</w:t>
      </w:r>
      <w:r>
        <w:rPr>
          <w:color w:val="3D3B3D"/>
          <w:spacing w:val="1"/>
          <w:w w:val="105"/>
          <w:sz w:val="18"/>
        </w:rPr>
        <w:t> </w:t>
      </w:r>
      <w:r>
        <w:rPr>
          <w:color w:val="3D3B3D"/>
          <w:w w:val="105"/>
          <w:sz w:val="18"/>
        </w:rPr>
        <w:t>analysis th</w:t>
      </w:r>
      <w:r>
        <w:rPr>
          <w:color w:val="575659"/>
          <w:w w:val="105"/>
          <w:sz w:val="18"/>
        </w:rPr>
        <w:t>a</w:t>
      </w:r>
      <w:r>
        <w:rPr>
          <w:color w:val="3D3B3D"/>
          <w:w w:val="105"/>
          <w:sz w:val="18"/>
        </w:rPr>
        <w:t>t</w:t>
      </w:r>
      <w:r>
        <w:rPr>
          <w:color w:val="3D3B3D"/>
          <w:spacing w:val="1"/>
          <w:w w:val="105"/>
          <w:sz w:val="18"/>
        </w:rPr>
        <w:t> </w:t>
      </w:r>
      <w:r>
        <w:rPr>
          <w:color w:val="3D3B3D"/>
          <w:w w:val="105"/>
          <w:sz w:val="18"/>
        </w:rPr>
        <w:t>Is more akin</w:t>
      </w:r>
      <w:r>
        <w:rPr>
          <w:color w:val="3D3B3D"/>
          <w:spacing w:val="1"/>
          <w:w w:val="105"/>
          <w:sz w:val="18"/>
        </w:rPr>
        <w:t> </w:t>
      </w:r>
      <w:r>
        <w:rPr>
          <w:color w:val="3D3B3D"/>
          <w:w w:val="105"/>
          <w:sz w:val="18"/>
        </w:rPr>
        <w:t>to  that found  in  law  r</w:t>
      </w:r>
      <w:r>
        <w:rPr>
          <w:color w:val="575659"/>
          <w:w w:val="105"/>
          <w:sz w:val="18"/>
        </w:rPr>
        <w:t>e</w:t>
      </w:r>
      <w:r>
        <w:rPr>
          <w:color w:val="3D3B3D"/>
          <w:w w:val="105"/>
          <w:sz w:val="18"/>
        </w:rPr>
        <w:t>vi</w:t>
      </w:r>
      <w:r>
        <w:rPr>
          <w:color w:val="575659"/>
          <w:w w:val="105"/>
          <w:sz w:val="18"/>
        </w:rPr>
        <w:t>e</w:t>
      </w:r>
      <w:r>
        <w:rPr>
          <w:color w:val="3D3B3D"/>
          <w:w w:val="105"/>
          <w:sz w:val="18"/>
        </w:rPr>
        <w:t>ws. As</w:t>
      </w:r>
      <w:r>
        <w:rPr>
          <w:color w:val="3D3B3D"/>
          <w:spacing w:val="1"/>
          <w:w w:val="105"/>
          <w:sz w:val="18"/>
        </w:rPr>
        <w:t> </w:t>
      </w:r>
      <w:r>
        <w:rPr>
          <w:color w:val="3D3B3D"/>
          <w:w w:val="105"/>
          <w:sz w:val="18"/>
        </w:rPr>
        <w:t>with law review articles</w:t>
      </w:r>
      <w:r>
        <w:rPr>
          <w:color w:val="575659"/>
          <w:w w:val="105"/>
          <w:sz w:val="18"/>
        </w:rPr>
        <w:t>, </w:t>
      </w:r>
      <w:r>
        <w:rPr>
          <w:color w:val="3D3B3D"/>
          <w:w w:val="105"/>
          <w:sz w:val="18"/>
        </w:rPr>
        <w:t>a blog may be an appropriate citation for a developing legal Issue. For</w:t>
      </w:r>
      <w:r>
        <w:rPr>
          <w:color w:val="3D3B3D"/>
          <w:spacing w:val="1"/>
          <w:w w:val="105"/>
          <w:sz w:val="18"/>
        </w:rPr>
        <w:t> </w:t>
      </w:r>
      <w:r>
        <w:rPr>
          <w:color w:val="3D3B3D"/>
          <w:w w:val="105"/>
          <w:sz w:val="18"/>
        </w:rPr>
        <w:t>example, a  judge In the  District of  North  Dakota cited a </w:t>
      </w:r>
      <w:r>
        <w:rPr>
          <w:color w:val="575659"/>
          <w:w w:val="105"/>
          <w:sz w:val="18"/>
        </w:rPr>
        <w:t>l</w:t>
      </w:r>
      <w:r>
        <w:rPr>
          <w:color w:val="3D3B3D"/>
          <w:w w:val="105"/>
          <w:sz w:val="18"/>
        </w:rPr>
        <w:t>aw  professor's blog in </w:t>
      </w:r>
      <w:r>
        <w:rPr>
          <w:color w:val="3D3B3D"/>
          <w:w w:val="105"/>
          <w:sz w:val="16"/>
        </w:rPr>
        <w:t>2011, </w:t>
      </w:r>
      <w:r>
        <w:rPr>
          <w:color w:val="3D3B3D"/>
          <w:w w:val="105"/>
          <w:sz w:val="18"/>
        </w:rPr>
        <w:t>noting that</w:t>
      </w:r>
      <w:r>
        <w:rPr>
          <w:color w:val="3D3B3D"/>
          <w:spacing w:val="1"/>
          <w:w w:val="105"/>
          <w:sz w:val="18"/>
        </w:rPr>
        <w:t> </w:t>
      </w:r>
      <w:r>
        <w:rPr>
          <w:color w:val="3D3B3D"/>
          <w:w w:val="105"/>
          <w:sz w:val="18"/>
        </w:rPr>
        <w:t>th</w:t>
      </w:r>
      <w:r>
        <w:rPr>
          <w:color w:val="575659"/>
          <w:w w:val="105"/>
          <w:sz w:val="18"/>
        </w:rPr>
        <w:t>e</w:t>
      </w:r>
      <w:r>
        <w:rPr>
          <w:color w:val="575659"/>
          <w:spacing w:val="30"/>
          <w:w w:val="105"/>
          <w:sz w:val="18"/>
        </w:rPr>
        <w:t> </w:t>
      </w:r>
      <w:r>
        <w:rPr>
          <w:color w:val="3D3B3D"/>
          <w:w w:val="105"/>
          <w:sz w:val="18"/>
        </w:rPr>
        <w:t>particular</w:t>
      </w:r>
      <w:r>
        <w:rPr>
          <w:color w:val="3D3B3D"/>
          <w:spacing w:val="39"/>
          <w:w w:val="105"/>
          <w:sz w:val="18"/>
        </w:rPr>
        <w:t> </w:t>
      </w:r>
      <w:r>
        <w:rPr>
          <w:color w:val="3D3B3D"/>
          <w:w w:val="105"/>
          <w:sz w:val="18"/>
        </w:rPr>
        <w:t>blog</w:t>
      </w:r>
      <w:r>
        <w:rPr>
          <w:color w:val="3D3B3D"/>
          <w:spacing w:val="13"/>
          <w:w w:val="105"/>
          <w:sz w:val="18"/>
        </w:rPr>
        <w:t> </w:t>
      </w:r>
      <w:r>
        <w:rPr>
          <w:color w:val="3D3B3D"/>
          <w:w w:val="105"/>
          <w:sz w:val="18"/>
        </w:rPr>
        <w:t>cited</w:t>
      </w:r>
      <w:r>
        <w:rPr>
          <w:color w:val="3D3B3D"/>
          <w:spacing w:val="37"/>
          <w:w w:val="105"/>
          <w:sz w:val="18"/>
        </w:rPr>
        <w:t> </w:t>
      </w:r>
      <w:r>
        <w:rPr>
          <w:color w:val="3D3B3D"/>
          <w:w w:val="105"/>
          <w:sz w:val="18"/>
        </w:rPr>
        <w:t>was</w:t>
      </w:r>
      <w:r>
        <w:rPr>
          <w:color w:val="3D3B3D"/>
          <w:spacing w:val="14"/>
          <w:w w:val="105"/>
          <w:sz w:val="18"/>
        </w:rPr>
        <w:t> </w:t>
      </w:r>
      <w:r>
        <w:rPr>
          <w:color w:val="3D3B3D"/>
          <w:w w:val="105"/>
          <w:sz w:val="18"/>
        </w:rPr>
        <w:t>"(a]noth</w:t>
      </w:r>
      <w:r>
        <w:rPr>
          <w:color w:val="575659"/>
          <w:w w:val="105"/>
          <w:sz w:val="18"/>
        </w:rPr>
        <w:t>e</w:t>
      </w:r>
      <w:r>
        <w:rPr>
          <w:color w:val="3D3B3D"/>
          <w:w w:val="105"/>
          <w:sz w:val="18"/>
        </w:rPr>
        <w:t>r</w:t>
      </w:r>
      <w:r>
        <w:rPr>
          <w:color w:val="3D3B3D"/>
          <w:spacing w:val="17"/>
          <w:w w:val="105"/>
          <w:sz w:val="18"/>
        </w:rPr>
        <w:t> </w:t>
      </w:r>
      <w:r>
        <w:rPr>
          <w:color w:val="3D3B3D"/>
          <w:w w:val="105"/>
          <w:sz w:val="18"/>
        </w:rPr>
        <w:t>source</w:t>
      </w:r>
      <w:r>
        <w:rPr>
          <w:color w:val="3D3B3D"/>
          <w:spacing w:val="17"/>
          <w:w w:val="105"/>
          <w:sz w:val="18"/>
        </w:rPr>
        <w:t> </w:t>
      </w:r>
      <w:r>
        <w:rPr>
          <w:color w:val="3D3B3D"/>
          <w:w w:val="105"/>
          <w:sz w:val="18"/>
        </w:rPr>
        <w:t>that</w:t>
      </w:r>
      <w:r>
        <w:rPr>
          <w:color w:val="3D3B3D"/>
          <w:spacing w:val="29"/>
          <w:w w:val="105"/>
          <w:sz w:val="18"/>
        </w:rPr>
        <w:t> </w:t>
      </w:r>
      <w:r>
        <w:rPr>
          <w:color w:val="3D3B3D"/>
          <w:w w:val="105"/>
          <w:sz w:val="18"/>
        </w:rPr>
        <w:t>courts</w:t>
      </w:r>
      <w:r>
        <w:rPr>
          <w:color w:val="3D3B3D"/>
          <w:spacing w:val="43"/>
          <w:w w:val="105"/>
          <w:sz w:val="18"/>
        </w:rPr>
        <w:t> </w:t>
      </w:r>
      <w:r>
        <w:rPr>
          <w:color w:val="3D3B3D"/>
          <w:w w:val="105"/>
          <w:sz w:val="18"/>
        </w:rPr>
        <w:t>have</w:t>
      </w:r>
      <w:r>
        <w:rPr>
          <w:color w:val="3D3B3D"/>
          <w:spacing w:val="10"/>
          <w:w w:val="105"/>
          <w:sz w:val="18"/>
        </w:rPr>
        <w:t> </w:t>
      </w:r>
      <w:r>
        <w:rPr>
          <w:color w:val="3D3B3D"/>
          <w:w w:val="105"/>
          <w:sz w:val="18"/>
        </w:rPr>
        <w:t>found</w:t>
      </w:r>
      <w:r>
        <w:rPr>
          <w:color w:val="3D3B3D"/>
          <w:spacing w:val="45"/>
          <w:w w:val="105"/>
          <w:sz w:val="18"/>
        </w:rPr>
        <w:t> </w:t>
      </w:r>
      <w:r>
        <w:rPr>
          <w:color w:val="3D3B3D"/>
          <w:w w:val="105"/>
          <w:sz w:val="18"/>
        </w:rPr>
        <w:t>per</w:t>
      </w:r>
      <w:r>
        <w:rPr>
          <w:color w:val="575659"/>
          <w:w w:val="105"/>
          <w:sz w:val="18"/>
        </w:rPr>
        <w:t>s</w:t>
      </w:r>
      <w:r>
        <w:rPr>
          <w:color w:val="3D3B3D"/>
          <w:w w:val="105"/>
          <w:sz w:val="18"/>
        </w:rPr>
        <w:t>uasiv</w:t>
      </w:r>
      <w:r>
        <w:rPr>
          <w:color w:val="575659"/>
          <w:w w:val="105"/>
          <w:sz w:val="18"/>
        </w:rPr>
        <w:t>e.</w:t>
      </w:r>
      <w:r>
        <w:rPr>
          <w:color w:val="3D3B3D"/>
          <w:w w:val="105"/>
          <w:sz w:val="18"/>
        </w:rPr>
        <w:t>"</w:t>
      </w:r>
      <w:r>
        <w:rPr>
          <w:color w:val="3D3B3D"/>
          <w:spacing w:val="43"/>
          <w:w w:val="105"/>
          <w:sz w:val="18"/>
        </w:rPr>
        <w:t> </w:t>
      </w:r>
      <w:r>
        <w:rPr>
          <w:rFonts w:ascii="Arial" w:hAnsi="Arial"/>
          <w:i/>
          <w:color w:val="3D3B3D"/>
          <w:w w:val="105"/>
          <w:sz w:val="16"/>
        </w:rPr>
        <w:t>Unit</w:t>
      </w:r>
      <w:r>
        <w:rPr>
          <w:rFonts w:ascii="Arial" w:hAnsi="Arial"/>
          <w:i/>
          <w:color w:val="575659"/>
          <w:w w:val="105"/>
          <w:sz w:val="16"/>
        </w:rPr>
        <w:t>e</w:t>
      </w:r>
      <w:r>
        <w:rPr>
          <w:rFonts w:ascii="Arial" w:hAnsi="Arial"/>
          <w:i/>
          <w:color w:val="3D3B3D"/>
          <w:w w:val="105"/>
          <w:sz w:val="16"/>
        </w:rPr>
        <w:t>d</w:t>
      </w:r>
      <w:r>
        <w:rPr>
          <w:rFonts w:ascii="Arial" w:hAnsi="Arial"/>
          <w:i/>
          <w:color w:val="3D3B3D"/>
          <w:spacing w:val="29"/>
          <w:w w:val="105"/>
          <w:sz w:val="16"/>
        </w:rPr>
        <w:t> </w:t>
      </w:r>
      <w:r>
        <w:rPr>
          <w:i/>
          <w:color w:val="3D3B3D"/>
          <w:w w:val="105"/>
          <w:sz w:val="18"/>
        </w:rPr>
        <w:t>States</w:t>
      </w:r>
    </w:p>
    <w:p>
      <w:pPr>
        <w:spacing w:line="232" w:lineRule="auto" w:before="0"/>
        <w:ind w:left="108" w:right="111" w:firstLine="16"/>
        <w:jc w:val="both"/>
        <w:rPr>
          <w:sz w:val="18"/>
        </w:rPr>
      </w:pPr>
      <w:r>
        <w:rPr>
          <w:i/>
          <w:color w:val="3D3B3D"/>
          <w:w w:val="105"/>
          <w:sz w:val="19"/>
        </w:rPr>
        <w:t>v. </w:t>
      </w:r>
      <w:r>
        <w:rPr>
          <w:i/>
          <w:color w:val="3D3B3D"/>
          <w:w w:val="105"/>
          <w:sz w:val="18"/>
        </w:rPr>
        <w:t>Peterson, </w:t>
      </w:r>
      <w:r>
        <w:rPr>
          <w:color w:val="3D3B3D"/>
          <w:w w:val="105"/>
          <w:sz w:val="18"/>
        </w:rPr>
        <w:t>774 F. Supp</w:t>
      </w:r>
      <w:r>
        <w:rPr>
          <w:color w:val="67696B"/>
          <w:w w:val="105"/>
          <w:sz w:val="18"/>
        </w:rPr>
        <w:t>. </w:t>
      </w:r>
      <w:r>
        <w:rPr>
          <w:color w:val="3D3B3D"/>
          <w:w w:val="105"/>
          <w:sz w:val="16"/>
        </w:rPr>
        <w:t>2d</w:t>
      </w:r>
      <w:r>
        <w:rPr>
          <w:color w:val="3D3B3D"/>
          <w:spacing w:val="1"/>
          <w:w w:val="105"/>
          <w:sz w:val="16"/>
        </w:rPr>
        <w:t> </w:t>
      </w:r>
      <w:r>
        <w:rPr>
          <w:color w:val="3D3B3D"/>
          <w:w w:val="105"/>
          <w:sz w:val="16"/>
        </w:rPr>
        <w:t>1024</w:t>
      </w:r>
      <w:r>
        <w:rPr>
          <w:color w:val="575659"/>
          <w:w w:val="105"/>
          <w:sz w:val="16"/>
        </w:rPr>
        <w:t>, </w:t>
      </w:r>
      <w:r>
        <w:rPr>
          <w:color w:val="3D3B3D"/>
          <w:w w:val="105"/>
          <w:sz w:val="16"/>
        </w:rPr>
        <w:t>1033 </w:t>
      </w:r>
      <w:r>
        <w:rPr>
          <w:color w:val="3D3B3D"/>
          <w:w w:val="105"/>
          <w:sz w:val="18"/>
        </w:rPr>
        <w:t>(D</w:t>
      </w:r>
      <w:r>
        <w:rPr>
          <w:color w:val="67696B"/>
          <w:w w:val="105"/>
          <w:sz w:val="18"/>
        </w:rPr>
        <w:t>.</w:t>
      </w:r>
      <w:r>
        <w:rPr>
          <w:color w:val="3D3B3D"/>
          <w:w w:val="105"/>
          <w:sz w:val="18"/>
        </w:rPr>
        <w:t>N.D. </w:t>
      </w:r>
      <w:r>
        <w:rPr>
          <w:color w:val="3D3B3D"/>
          <w:w w:val="105"/>
          <w:sz w:val="16"/>
        </w:rPr>
        <w:t>2011) </w:t>
      </w:r>
      <w:r>
        <w:rPr>
          <w:color w:val="3D3B3D"/>
          <w:w w:val="105"/>
          <w:sz w:val="18"/>
        </w:rPr>
        <w:t>(referring to Prof</w:t>
      </w:r>
      <w:r>
        <w:rPr>
          <w:color w:val="575659"/>
          <w:w w:val="105"/>
          <w:sz w:val="18"/>
        </w:rPr>
        <w:t>e</w:t>
      </w:r>
      <w:r>
        <w:rPr>
          <w:color w:val="3D3B3D"/>
          <w:w w:val="105"/>
          <w:sz w:val="18"/>
        </w:rPr>
        <w:t>ssor Doug</w:t>
      </w:r>
      <w:r>
        <w:rPr>
          <w:color w:val="575659"/>
          <w:w w:val="105"/>
          <w:sz w:val="18"/>
        </w:rPr>
        <w:t>l</w:t>
      </w:r>
      <w:r>
        <w:rPr>
          <w:color w:val="3D3B3D"/>
          <w:w w:val="105"/>
          <w:sz w:val="18"/>
        </w:rPr>
        <w:t>as A</w:t>
      </w:r>
      <w:r>
        <w:rPr>
          <w:color w:val="575659"/>
          <w:w w:val="105"/>
          <w:sz w:val="18"/>
        </w:rPr>
        <w:t>. </w:t>
      </w:r>
      <w:r>
        <w:rPr>
          <w:color w:val="3D3B3D"/>
          <w:w w:val="105"/>
          <w:sz w:val="18"/>
        </w:rPr>
        <w:t>Berman's</w:t>
      </w:r>
      <w:r>
        <w:rPr>
          <w:color w:val="3D3B3D"/>
          <w:spacing w:val="1"/>
          <w:w w:val="105"/>
          <w:sz w:val="18"/>
        </w:rPr>
        <w:t> </w:t>
      </w:r>
      <w:r>
        <w:rPr>
          <w:color w:val="3D3B3D"/>
          <w:w w:val="110"/>
          <w:sz w:val="18"/>
        </w:rPr>
        <w:t>Sentencing</w:t>
      </w:r>
      <w:r>
        <w:rPr>
          <w:color w:val="3D3B3D"/>
          <w:spacing w:val="1"/>
          <w:w w:val="110"/>
          <w:sz w:val="18"/>
        </w:rPr>
        <w:t> </w:t>
      </w:r>
      <w:r>
        <w:rPr>
          <w:color w:val="3D3B3D"/>
          <w:w w:val="110"/>
          <w:sz w:val="18"/>
        </w:rPr>
        <w:t>Law</w:t>
      </w:r>
      <w:r>
        <w:rPr>
          <w:color w:val="3D3B3D"/>
          <w:spacing w:val="-6"/>
          <w:w w:val="110"/>
          <w:sz w:val="18"/>
        </w:rPr>
        <w:t> </w:t>
      </w:r>
      <w:r>
        <w:rPr>
          <w:color w:val="3D3B3D"/>
          <w:w w:val="110"/>
          <w:sz w:val="18"/>
        </w:rPr>
        <w:t>and</w:t>
      </w:r>
      <w:r>
        <w:rPr>
          <w:color w:val="3D3B3D"/>
          <w:spacing w:val="48"/>
          <w:w w:val="110"/>
          <w:sz w:val="18"/>
        </w:rPr>
        <w:t> </w:t>
      </w:r>
      <w:r>
        <w:rPr>
          <w:color w:val="575659"/>
          <w:w w:val="110"/>
          <w:sz w:val="18"/>
        </w:rPr>
        <w:t>P</w:t>
      </w:r>
      <w:r>
        <w:rPr>
          <w:color w:val="3D3B3D"/>
          <w:w w:val="110"/>
          <w:sz w:val="18"/>
        </w:rPr>
        <w:t>olicy</w:t>
      </w:r>
      <w:r>
        <w:rPr>
          <w:color w:val="3D3B3D"/>
          <w:spacing w:val="4"/>
          <w:w w:val="110"/>
          <w:sz w:val="18"/>
        </w:rPr>
        <w:t> </w:t>
      </w:r>
      <w:r>
        <w:rPr>
          <w:color w:val="3D3B3D"/>
          <w:w w:val="110"/>
          <w:sz w:val="18"/>
        </w:rPr>
        <w:t>blog)</w:t>
      </w:r>
      <w:r>
        <w:rPr>
          <w:color w:val="575659"/>
          <w:w w:val="110"/>
          <w:sz w:val="18"/>
        </w:rPr>
        <w:t>.</w:t>
      </w:r>
    </w:p>
    <w:p>
      <w:pPr>
        <w:spacing w:line="191" w:lineRule="exact" w:before="0"/>
        <w:ind w:left="482" w:right="0" w:firstLine="0"/>
        <w:jc w:val="both"/>
        <w:rPr>
          <w:sz w:val="18"/>
        </w:rPr>
      </w:pPr>
      <w:r>
        <w:rPr>
          <w:color w:val="3D3B3D"/>
          <w:w w:val="105"/>
          <w:position w:val="5"/>
          <w:sz w:val="11"/>
        </w:rPr>
        <w:t>17</w:t>
      </w:r>
      <w:r>
        <w:rPr>
          <w:color w:val="3D3B3D"/>
          <w:spacing w:val="-6"/>
          <w:w w:val="105"/>
          <w:position w:val="5"/>
          <w:sz w:val="11"/>
        </w:rPr>
        <w:t> </w:t>
      </w:r>
      <w:r>
        <w:rPr>
          <w:color w:val="3D3B3D"/>
          <w:w w:val="105"/>
          <w:sz w:val="18"/>
        </w:rPr>
        <w:t>For</w:t>
      </w:r>
      <w:r>
        <w:rPr>
          <w:color w:val="3D3B3D"/>
          <w:spacing w:val="5"/>
          <w:w w:val="105"/>
          <w:sz w:val="18"/>
        </w:rPr>
        <w:t> </w:t>
      </w:r>
      <w:r>
        <w:rPr>
          <w:color w:val="3D3B3D"/>
          <w:w w:val="105"/>
          <w:sz w:val="18"/>
        </w:rPr>
        <w:t>excellent</w:t>
      </w:r>
      <w:r>
        <w:rPr>
          <w:color w:val="3D3B3D"/>
          <w:spacing w:val="3"/>
          <w:w w:val="105"/>
          <w:sz w:val="18"/>
        </w:rPr>
        <w:t> </w:t>
      </w:r>
      <w:r>
        <w:rPr>
          <w:color w:val="3D3B3D"/>
          <w:w w:val="105"/>
          <w:sz w:val="18"/>
        </w:rPr>
        <w:t>advice</w:t>
      </w:r>
      <w:r>
        <w:rPr>
          <w:color w:val="3D3B3D"/>
          <w:spacing w:val="-10"/>
          <w:w w:val="105"/>
          <w:sz w:val="18"/>
        </w:rPr>
        <w:t> </w:t>
      </w:r>
      <w:r>
        <w:rPr>
          <w:color w:val="3D3B3D"/>
          <w:w w:val="105"/>
          <w:sz w:val="18"/>
        </w:rPr>
        <w:t>on </w:t>
      </w:r>
      <w:r>
        <w:rPr>
          <w:color w:val="3D3B3D"/>
          <w:spacing w:val="2"/>
          <w:w w:val="105"/>
          <w:sz w:val="18"/>
        </w:rPr>
        <w:t> </w:t>
      </w:r>
      <w:r>
        <w:rPr>
          <w:color w:val="3D3B3D"/>
          <w:w w:val="105"/>
          <w:sz w:val="18"/>
        </w:rPr>
        <w:t>using</w:t>
      </w:r>
      <w:r>
        <w:rPr>
          <w:color w:val="3D3B3D"/>
          <w:spacing w:val="8"/>
          <w:w w:val="105"/>
          <w:sz w:val="18"/>
        </w:rPr>
        <w:t> </w:t>
      </w:r>
      <w:r>
        <w:rPr>
          <w:color w:val="3D3B3D"/>
          <w:w w:val="105"/>
          <w:sz w:val="18"/>
        </w:rPr>
        <w:t>th</w:t>
      </w:r>
      <w:r>
        <w:rPr>
          <w:color w:val="575659"/>
          <w:w w:val="105"/>
          <w:sz w:val="18"/>
        </w:rPr>
        <w:t>e</w:t>
      </w:r>
      <w:r>
        <w:rPr>
          <w:color w:val="575659"/>
          <w:spacing w:val="25"/>
          <w:w w:val="105"/>
          <w:sz w:val="18"/>
        </w:rPr>
        <w:t> </w:t>
      </w:r>
      <w:r>
        <w:rPr>
          <w:color w:val="3D3B3D"/>
          <w:w w:val="105"/>
          <w:sz w:val="18"/>
        </w:rPr>
        <w:t>Internet</w:t>
      </w:r>
      <w:r>
        <w:rPr>
          <w:color w:val="3D3B3D"/>
          <w:spacing w:val="17"/>
          <w:w w:val="105"/>
          <w:sz w:val="18"/>
        </w:rPr>
        <w:t> </w:t>
      </w:r>
      <w:r>
        <w:rPr>
          <w:color w:val="3D3B3D"/>
          <w:w w:val="105"/>
          <w:sz w:val="18"/>
        </w:rPr>
        <w:t>to</w:t>
      </w:r>
      <w:r>
        <w:rPr>
          <w:color w:val="3D3B3D"/>
          <w:spacing w:val="5"/>
          <w:w w:val="105"/>
          <w:sz w:val="18"/>
        </w:rPr>
        <w:t> </w:t>
      </w:r>
      <w:r>
        <w:rPr>
          <w:color w:val="3D3B3D"/>
          <w:w w:val="105"/>
          <w:sz w:val="18"/>
        </w:rPr>
        <w:t>condu</w:t>
      </w:r>
      <w:r>
        <w:rPr>
          <w:color w:val="575659"/>
          <w:w w:val="105"/>
          <w:sz w:val="18"/>
        </w:rPr>
        <w:t>c</w:t>
      </w:r>
      <w:r>
        <w:rPr>
          <w:color w:val="3D3B3D"/>
          <w:w w:val="105"/>
          <w:sz w:val="18"/>
        </w:rPr>
        <w:t>t</w:t>
      </w:r>
      <w:r>
        <w:rPr>
          <w:color w:val="3D3B3D"/>
          <w:spacing w:val="10"/>
          <w:w w:val="105"/>
          <w:sz w:val="18"/>
        </w:rPr>
        <w:t> </w:t>
      </w:r>
      <w:r>
        <w:rPr>
          <w:color w:val="3D3B3D"/>
          <w:w w:val="105"/>
          <w:sz w:val="18"/>
        </w:rPr>
        <w:t>effective</w:t>
      </w:r>
      <w:r>
        <w:rPr>
          <w:color w:val="3D3B3D"/>
          <w:spacing w:val="-5"/>
          <w:w w:val="105"/>
          <w:sz w:val="18"/>
        </w:rPr>
        <w:t> </w:t>
      </w:r>
      <w:r>
        <w:rPr>
          <w:color w:val="3D3B3D"/>
          <w:w w:val="105"/>
          <w:sz w:val="18"/>
        </w:rPr>
        <w:t>legal</w:t>
      </w:r>
      <w:r>
        <w:rPr>
          <w:color w:val="3D3B3D"/>
          <w:spacing w:val="9"/>
          <w:w w:val="105"/>
          <w:sz w:val="18"/>
        </w:rPr>
        <w:t> </w:t>
      </w:r>
      <w:r>
        <w:rPr>
          <w:color w:val="3D3B3D"/>
          <w:w w:val="105"/>
          <w:sz w:val="18"/>
        </w:rPr>
        <w:t>r</w:t>
      </w:r>
      <w:r>
        <w:rPr>
          <w:color w:val="575659"/>
          <w:w w:val="105"/>
          <w:sz w:val="18"/>
        </w:rPr>
        <w:t>e</w:t>
      </w:r>
      <w:r>
        <w:rPr>
          <w:color w:val="3D3B3D"/>
          <w:w w:val="105"/>
          <w:sz w:val="18"/>
        </w:rPr>
        <w:t>search,</w:t>
      </w:r>
      <w:r>
        <w:rPr>
          <w:color w:val="3D3B3D"/>
          <w:spacing w:val="3"/>
          <w:w w:val="105"/>
          <w:sz w:val="18"/>
        </w:rPr>
        <w:t> </w:t>
      </w:r>
      <w:r>
        <w:rPr>
          <w:color w:val="3D3B3D"/>
          <w:w w:val="105"/>
          <w:sz w:val="18"/>
        </w:rPr>
        <w:t>consult</w:t>
      </w:r>
      <w:r>
        <w:rPr>
          <w:color w:val="3D3B3D"/>
          <w:spacing w:val="31"/>
          <w:w w:val="105"/>
          <w:sz w:val="18"/>
        </w:rPr>
        <w:t> </w:t>
      </w:r>
      <w:r>
        <w:rPr>
          <w:color w:val="3D3B3D"/>
          <w:w w:val="105"/>
          <w:sz w:val="18"/>
        </w:rPr>
        <w:t>Laurel</w:t>
      </w:r>
    </w:p>
    <w:p>
      <w:pPr>
        <w:spacing w:line="205" w:lineRule="exact" w:before="0"/>
        <w:ind w:left="122" w:right="0" w:firstLine="0"/>
        <w:jc w:val="both"/>
        <w:rPr>
          <w:sz w:val="16"/>
        </w:rPr>
      </w:pPr>
      <w:r>
        <w:rPr>
          <w:color w:val="3D3B3D"/>
          <w:spacing w:val="-1"/>
          <w:sz w:val="18"/>
        </w:rPr>
        <w:t>Currie</w:t>
      </w:r>
      <w:r>
        <w:rPr>
          <w:color w:val="3D3B3D"/>
          <w:spacing w:val="-10"/>
          <w:sz w:val="18"/>
        </w:rPr>
        <w:t> </w:t>
      </w:r>
      <w:r>
        <w:rPr>
          <w:color w:val="3D3B3D"/>
          <w:sz w:val="18"/>
        </w:rPr>
        <w:t>Oates</w:t>
      </w:r>
      <w:r>
        <w:rPr>
          <w:color w:val="3D3B3D"/>
          <w:spacing w:val="-5"/>
          <w:sz w:val="18"/>
        </w:rPr>
        <w:t> </w:t>
      </w:r>
      <w:r>
        <w:rPr>
          <w:rFonts w:ascii="Arial"/>
          <w:color w:val="3D3B3D"/>
          <w:sz w:val="16"/>
        </w:rPr>
        <w:t>6t</w:t>
      </w:r>
      <w:r>
        <w:rPr>
          <w:rFonts w:ascii="Arial"/>
          <w:color w:val="3D3B3D"/>
          <w:spacing w:val="-8"/>
          <w:sz w:val="16"/>
        </w:rPr>
        <w:t> </w:t>
      </w:r>
      <w:r>
        <w:rPr>
          <w:color w:val="3D3B3D"/>
          <w:sz w:val="18"/>
        </w:rPr>
        <w:t>Anne</w:t>
      </w:r>
      <w:r>
        <w:rPr>
          <w:color w:val="3D3B3D"/>
          <w:spacing w:val="-11"/>
          <w:sz w:val="18"/>
        </w:rPr>
        <w:t> </w:t>
      </w:r>
      <w:r>
        <w:rPr>
          <w:color w:val="3D3B3D"/>
          <w:sz w:val="18"/>
        </w:rPr>
        <w:t>Enqulst,</w:t>
      </w:r>
      <w:r>
        <w:rPr>
          <w:color w:val="3D3B3D"/>
          <w:spacing w:val="4"/>
          <w:sz w:val="18"/>
        </w:rPr>
        <w:t> </w:t>
      </w:r>
      <w:r>
        <w:rPr>
          <w:rFonts w:ascii="Arial"/>
          <w:i/>
          <w:color w:val="3D3B3D"/>
          <w:sz w:val="17"/>
        </w:rPr>
        <w:t>/11s1</w:t>
      </w:r>
      <w:r>
        <w:rPr>
          <w:rFonts w:ascii="Arial"/>
          <w:i/>
          <w:color w:val="3D3B3D"/>
          <w:spacing w:val="1"/>
          <w:sz w:val="17"/>
        </w:rPr>
        <w:t> </w:t>
      </w:r>
      <w:r>
        <w:rPr>
          <w:i/>
          <w:color w:val="3D3B3D"/>
          <w:sz w:val="18"/>
        </w:rPr>
        <w:t>Rese,1rcJ1</w:t>
      </w:r>
      <w:r>
        <w:rPr>
          <w:i/>
          <w:color w:val="3D3B3D"/>
          <w:spacing w:val="-1"/>
          <w:sz w:val="18"/>
        </w:rPr>
        <w:t> </w:t>
      </w:r>
      <w:r>
        <w:rPr>
          <w:color w:val="3D3B3D"/>
          <w:sz w:val="16"/>
        </w:rPr>
        <w:t>(2d</w:t>
      </w:r>
      <w:r>
        <w:rPr>
          <w:color w:val="3D3B3D"/>
          <w:spacing w:val="54"/>
          <w:sz w:val="16"/>
        </w:rPr>
        <w:t> </w:t>
      </w:r>
      <w:r>
        <w:rPr>
          <w:color w:val="3D3B3D"/>
          <w:sz w:val="18"/>
        </w:rPr>
        <w:t>ed.,</w:t>
      </w:r>
      <w:r>
        <w:rPr>
          <w:color w:val="3D3B3D"/>
          <w:spacing w:val="-7"/>
          <w:sz w:val="18"/>
        </w:rPr>
        <w:t> </w:t>
      </w:r>
      <w:r>
        <w:rPr>
          <w:color w:val="3D3B3D"/>
          <w:sz w:val="18"/>
        </w:rPr>
        <w:t>Aspen</w:t>
      </w:r>
      <w:r>
        <w:rPr>
          <w:color w:val="3D3B3D"/>
          <w:spacing w:val="7"/>
          <w:sz w:val="18"/>
        </w:rPr>
        <w:t> </w:t>
      </w:r>
      <w:r>
        <w:rPr>
          <w:color w:val="3D3B3D"/>
          <w:sz w:val="16"/>
        </w:rPr>
        <w:t>2009).</w:t>
      </w:r>
    </w:p>
    <w:p>
      <w:pPr>
        <w:spacing w:after="0" w:line="205" w:lineRule="exact"/>
        <w:jc w:val="both"/>
        <w:rPr>
          <w:sz w:val="16"/>
        </w:rPr>
        <w:sectPr>
          <w:headerReference w:type="default" r:id="rId77"/>
          <w:headerReference w:type="even" r:id="rId78"/>
          <w:pgSz w:w="9610" w:h="13730"/>
          <w:pgMar w:header="453" w:footer="0" w:top="1040" w:bottom="280" w:left="420" w:right="1280"/>
          <w:pgNumType w:start="53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32" w:lineRule="auto"/>
        <w:ind w:left="827" w:right="3" w:firstLine="458"/>
        <w:jc w:val="both"/>
      </w:pPr>
      <w:r>
        <w:rPr>
          <w:color w:val="3B3A3B"/>
          <w:w w:val="105"/>
        </w:rPr>
        <w:t>The fact that Web pages are constantly updated makes them a wonder­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ful research tool, but it can also hurt accessibility for those trying to access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10"/>
        </w:rPr>
        <w:t>"old" citations. One scholar has labeled as "link rot" the persistent prob­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lem of links that lead the researcher to defunct Web sites.</w:t>
      </w:r>
      <w:r>
        <w:rPr>
          <w:color w:val="3B3A3B"/>
          <w:w w:val="110"/>
          <w:vertAlign w:val="superscript"/>
        </w:rPr>
        <w:t>18</w:t>
      </w:r>
      <w:r>
        <w:rPr>
          <w:color w:val="3B3A3B"/>
          <w:w w:val="110"/>
          <w:vertAlign w:val="baseline"/>
        </w:rPr>
        <w:t> Two authors</w:t>
      </w:r>
      <w:r>
        <w:rPr>
          <w:color w:val="3B3A3B"/>
          <w:spacing w:val="1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studied the 430 links included in Supreme Court opinions issued from</w:t>
      </w:r>
      <w:r>
        <w:rPr>
          <w:color w:val="3B3A3B"/>
          <w:spacing w:val="1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1995 to 2010 and found that 29 percent of them were invalid</w:t>
      </w:r>
      <w:r>
        <w:rPr>
          <w:color w:val="606062"/>
          <w:w w:val="110"/>
          <w:vertAlign w:val="baseline"/>
        </w:rPr>
        <w:t>.</w:t>
      </w:r>
      <w:r>
        <w:rPr>
          <w:color w:val="3B3A3B"/>
          <w:w w:val="110"/>
          <w:vertAlign w:val="superscript"/>
        </w:rPr>
        <w:t>19</w:t>
      </w:r>
      <w:r>
        <w:rPr>
          <w:color w:val="3B3A3B"/>
          <w:w w:val="110"/>
          <w:vertAlign w:val="baseline"/>
        </w:rPr>
        <w:t> Thus,</w:t>
      </w:r>
      <w:r>
        <w:rPr>
          <w:color w:val="3B3A3B"/>
          <w:spacing w:val="1"/>
          <w:w w:val="110"/>
          <w:vertAlign w:val="baseline"/>
        </w:rPr>
        <w:t> </w:t>
      </w:r>
      <w:r>
        <w:rPr>
          <w:color w:val="3B3A3B"/>
          <w:spacing w:val="-1"/>
          <w:w w:val="110"/>
          <w:vertAlign w:val="baseline"/>
        </w:rPr>
        <w:t>whenever you include a </w:t>
      </w:r>
      <w:r>
        <w:rPr>
          <w:color w:val="3B3A3B"/>
          <w:w w:val="110"/>
          <w:vertAlign w:val="baseline"/>
        </w:rPr>
        <w:t>Web citation in a brief, be sure to print a copy of</w:t>
      </w:r>
      <w:r>
        <w:rPr>
          <w:color w:val="3B3A3B"/>
          <w:spacing w:val="1"/>
          <w:w w:val="110"/>
          <w:vertAlign w:val="baseline"/>
        </w:rPr>
        <w:t> </w:t>
      </w:r>
      <w:r>
        <w:rPr>
          <w:color w:val="3B3A3B"/>
          <w:spacing w:val="-1"/>
          <w:w w:val="110"/>
          <w:vertAlign w:val="baseline"/>
        </w:rPr>
        <w:t>the material; </w:t>
      </w:r>
      <w:r>
        <w:rPr>
          <w:color w:val="3B3A3B"/>
          <w:w w:val="110"/>
          <w:vertAlign w:val="baseline"/>
        </w:rPr>
        <w:t>you should also attach a copy to your brief to make sure that</w:t>
      </w:r>
      <w:r>
        <w:rPr>
          <w:color w:val="3B3A3B"/>
          <w:spacing w:val="-61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the court has access to the information.</w:t>
      </w:r>
      <w:r>
        <w:rPr>
          <w:color w:val="3B3A3B"/>
          <w:w w:val="110"/>
          <w:vertAlign w:val="superscript"/>
        </w:rPr>
        <w:t>20</w:t>
      </w:r>
      <w:r>
        <w:rPr>
          <w:color w:val="3B3A3B"/>
          <w:w w:val="110"/>
          <w:vertAlign w:val="baseline"/>
        </w:rPr>
        <w:t> In addition, you may wish to</w:t>
      </w:r>
      <w:r>
        <w:rPr>
          <w:color w:val="3B3A3B"/>
          <w:spacing w:val="1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copy the source to your hard drive, to a word processing file, or to both.</w:t>
      </w:r>
      <w:r>
        <w:rPr>
          <w:color w:val="3B3A3B"/>
          <w:spacing w:val="1"/>
          <w:w w:val="110"/>
          <w:vertAlign w:val="baseline"/>
        </w:rPr>
        <w:t> </w:t>
      </w:r>
      <w:r>
        <w:rPr>
          <w:color w:val="3B3A3B"/>
          <w:spacing w:val="-1"/>
          <w:w w:val="110"/>
          <w:vertAlign w:val="baseline"/>
        </w:rPr>
        <w:t>In</w:t>
      </w:r>
      <w:r>
        <w:rPr>
          <w:color w:val="3B3A3B"/>
          <w:spacing w:val="-2"/>
          <w:w w:val="110"/>
          <w:vertAlign w:val="baseline"/>
        </w:rPr>
        <w:t> </w:t>
      </w:r>
      <w:r>
        <w:rPr>
          <w:color w:val="3B3A3B"/>
          <w:spacing w:val="-1"/>
          <w:w w:val="110"/>
          <w:vertAlign w:val="baseline"/>
        </w:rPr>
        <w:t>these</w:t>
      </w:r>
      <w:r>
        <w:rPr>
          <w:color w:val="3B3A3B"/>
          <w:spacing w:val="-15"/>
          <w:w w:val="110"/>
          <w:vertAlign w:val="baseline"/>
        </w:rPr>
        <w:t> </w:t>
      </w:r>
      <w:r>
        <w:rPr>
          <w:color w:val="3B3A3B"/>
          <w:spacing w:val="-1"/>
          <w:w w:val="110"/>
          <w:vertAlign w:val="baseline"/>
        </w:rPr>
        <w:t>ways,</w:t>
      </w:r>
      <w:r>
        <w:rPr>
          <w:color w:val="3B3A3B"/>
          <w:spacing w:val="-10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you</w:t>
      </w:r>
      <w:r>
        <w:rPr>
          <w:color w:val="3B3A3B"/>
          <w:spacing w:val="8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make</w:t>
      </w:r>
      <w:r>
        <w:rPr>
          <w:color w:val="3B3A3B"/>
          <w:spacing w:val="-15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sure</w:t>
      </w:r>
      <w:r>
        <w:rPr>
          <w:color w:val="3B3A3B"/>
          <w:spacing w:val="-10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that</w:t>
      </w:r>
      <w:r>
        <w:rPr>
          <w:color w:val="3B3A3B"/>
          <w:spacing w:val="-8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the</w:t>
      </w:r>
      <w:r>
        <w:rPr>
          <w:color w:val="3B3A3B"/>
          <w:spacing w:val="-10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resource</w:t>
      </w:r>
      <w:r>
        <w:rPr>
          <w:color w:val="3B3A3B"/>
          <w:spacing w:val="-12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is</w:t>
      </w:r>
      <w:r>
        <w:rPr>
          <w:color w:val="3B3A3B"/>
          <w:spacing w:val="-11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preserved,</w:t>
      </w:r>
      <w:r>
        <w:rPr>
          <w:color w:val="3B3A3B"/>
          <w:spacing w:val="-9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should</w:t>
      </w:r>
      <w:r>
        <w:rPr>
          <w:color w:val="3B3A3B"/>
          <w:spacing w:val="6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you</w:t>
      </w:r>
      <w:r>
        <w:rPr>
          <w:color w:val="3B3A3B"/>
          <w:spacing w:val="-17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or</w:t>
      </w:r>
      <w:r>
        <w:rPr>
          <w:color w:val="3B3A3B"/>
          <w:spacing w:val="1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the</w:t>
      </w:r>
      <w:r>
        <w:rPr>
          <w:color w:val="3B3A3B"/>
          <w:spacing w:val="17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court</w:t>
      </w:r>
      <w:r>
        <w:rPr>
          <w:color w:val="3B3A3B"/>
          <w:spacing w:val="-8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need</w:t>
      </w:r>
      <w:r>
        <w:rPr>
          <w:color w:val="3B3A3B"/>
          <w:spacing w:val="12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to</w:t>
      </w:r>
      <w:r>
        <w:rPr>
          <w:color w:val="3B3A3B"/>
          <w:spacing w:val="1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find</w:t>
      </w:r>
      <w:r>
        <w:rPr>
          <w:color w:val="3B3A3B"/>
          <w:spacing w:val="-5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it</w:t>
      </w:r>
      <w:r>
        <w:rPr>
          <w:color w:val="3B3A3B"/>
          <w:spacing w:val="4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at</w:t>
      </w:r>
      <w:r>
        <w:rPr>
          <w:color w:val="3B3A3B"/>
          <w:spacing w:val="1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a</w:t>
      </w:r>
      <w:r>
        <w:rPr>
          <w:color w:val="3B3A3B"/>
          <w:spacing w:val="-2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later</w:t>
      </w:r>
      <w:r>
        <w:rPr>
          <w:color w:val="3B3A3B"/>
          <w:spacing w:val="-13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date.</w:t>
      </w:r>
    </w:p>
    <w:p>
      <w:pPr>
        <w:pStyle w:val="BodyText"/>
        <w:spacing w:line="235" w:lineRule="auto"/>
        <w:ind w:left="802" w:right="42" w:firstLine="391"/>
        <w:jc w:val="both"/>
      </w:pPr>
      <w:r>
        <w:rPr>
          <w:color w:val="3B3A3B"/>
          <w:w w:val="110"/>
        </w:rPr>
        <w:t>Assessing the possible relevance of the facts, the legal issues, and the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10"/>
        </w:rPr>
        <w:t>sources of the authorities you plan to cite can help you to predict which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authorities the court will find more valid, and to decide where and how to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10"/>
        </w:rPr>
        <w:t>concentrate</w:t>
      </w:r>
      <w:r>
        <w:rPr>
          <w:color w:val="3B3A3B"/>
          <w:spacing w:val="-4"/>
          <w:w w:val="110"/>
        </w:rPr>
        <w:t> </w:t>
      </w:r>
      <w:r>
        <w:rPr>
          <w:color w:val="3B3A3B"/>
          <w:w w:val="110"/>
        </w:rPr>
        <w:t>your</w:t>
      </w:r>
      <w:r>
        <w:rPr>
          <w:color w:val="3B3A3B"/>
          <w:spacing w:val="4"/>
          <w:w w:val="110"/>
        </w:rPr>
        <w:t> </w:t>
      </w:r>
      <w:r>
        <w:rPr>
          <w:color w:val="3B3A3B"/>
          <w:w w:val="110"/>
        </w:rPr>
        <w:t>research.</w:t>
      </w:r>
    </w:p>
    <w:p>
      <w:pPr>
        <w:pStyle w:val="BodyText"/>
        <w:rPr>
          <w:sz w:val="26"/>
        </w:rPr>
      </w:pPr>
    </w:p>
    <w:p>
      <w:pPr>
        <w:pStyle w:val="Heading9"/>
        <w:spacing w:before="203"/>
        <w:ind w:left="1355"/>
      </w:pPr>
      <w:r>
        <w:rPr>
          <w:color w:val="3B3A3B"/>
          <w:w w:val="85"/>
        </w:rPr>
        <w:t>3.3</w:t>
      </w:r>
    </w:p>
    <w:p>
      <w:pPr>
        <w:spacing w:before="33"/>
        <w:ind w:left="1351" w:right="0" w:firstLine="0"/>
        <w:jc w:val="left"/>
        <w:rPr>
          <w:rFonts w:ascii="Arial"/>
          <w:b/>
          <w:sz w:val="25"/>
        </w:rPr>
      </w:pPr>
      <w:r>
        <w:rPr>
          <w:rFonts w:ascii="Arial"/>
          <w:b/>
          <w:color w:val="3B3A3B"/>
          <w:w w:val="105"/>
          <w:sz w:val="25"/>
        </w:rPr>
        <w:t>EXECUTING</w:t>
      </w:r>
      <w:r>
        <w:rPr>
          <w:rFonts w:ascii="Arial"/>
          <w:b/>
          <w:color w:val="3B3A3B"/>
          <w:spacing w:val="19"/>
          <w:w w:val="105"/>
          <w:sz w:val="25"/>
        </w:rPr>
        <w:t> </w:t>
      </w:r>
      <w:r>
        <w:rPr>
          <w:rFonts w:ascii="Arial"/>
          <w:b/>
          <w:color w:val="3B3A3B"/>
          <w:w w:val="105"/>
          <w:sz w:val="25"/>
        </w:rPr>
        <w:t>YOUR</w:t>
      </w:r>
      <w:r>
        <w:rPr>
          <w:rFonts w:ascii="Arial"/>
          <w:b/>
          <w:color w:val="3B3A3B"/>
          <w:spacing w:val="5"/>
          <w:w w:val="105"/>
          <w:sz w:val="25"/>
        </w:rPr>
        <w:t> </w:t>
      </w:r>
      <w:r>
        <w:rPr>
          <w:rFonts w:ascii="Arial"/>
          <w:b/>
          <w:color w:val="3B3A3B"/>
          <w:w w:val="105"/>
          <w:sz w:val="25"/>
        </w:rPr>
        <w:t>RESEARCH</w:t>
      </w:r>
      <w:r>
        <w:rPr>
          <w:rFonts w:ascii="Arial"/>
          <w:b/>
          <w:color w:val="3B3A3B"/>
          <w:spacing w:val="8"/>
          <w:w w:val="105"/>
          <w:sz w:val="25"/>
        </w:rPr>
        <w:t> </w:t>
      </w:r>
      <w:r>
        <w:rPr>
          <w:rFonts w:ascii="Arial"/>
          <w:b/>
          <w:color w:val="3B3A3B"/>
          <w:w w:val="105"/>
          <w:sz w:val="25"/>
        </w:rPr>
        <w:t>PLAN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BodyText"/>
        <w:spacing w:line="235" w:lineRule="auto" w:before="1"/>
        <w:ind w:left="666" w:right="63" w:firstLine="687"/>
        <w:jc w:val="both"/>
      </w:pPr>
      <w:r>
        <w:rPr>
          <w:color w:val="3B3A3B"/>
          <w:w w:val="110"/>
        </w:rPr>
        <w:t>If you are working on a motion brief, your research questions will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be crucial components of your research plan. Whether you are writing a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motion brief or an appellate brief, however, your research questions can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help to guide  your  research. As noted  above,  the  "under" clause can  be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10"/>
        </w:rPr>
        <w:t>a signal as to how much background research you need to conduct.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"does" clause can help you to focus your research by reminding you of the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10"/>
        </w:rPr>
        <w:t>particular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legal</w:t>
      </w:r>
      <w:r>
        <w:rPr>
          <w:color w:val="3B3A3B"/>
          <w:spacing w:val="-4"/>
          <w:w w:val="110"/>
        </w:rPr>
        <w:t> </w:t>
      </w:r>
      <w:r>
        <w:rPr>
          <w:color w:val="3B3A3B"/>
          <w:w w:val="110"/>
        </w:rPr>
        <w:t>question</w:t>
      </w:r>
      <w:r>
        <w:rPr>
          <w:color w:val="3B3A3B"/>
          <w:spacing w:val="16"/>
          <w:w w:val="110"/>
        </w:rPr>
        <w:t> </w:t>
      </w:r>
      <w:r>
        <w:rPr>
          <w:color w:val="3B3A3B"/>
          <w:w w:val="110"/>
        </w:rPr>
        <w:t>that</w:t>
      </w:r>
      <w:r>
        <w:rPr>
          <w:color w:val="3B3A3B"/>
          <w:spacing w:val="-4"/>
          <w:w w:val="110"/>
        </w:rPr>
        <w:t> </w:t>
      </w:r>
      <w:r>
        <w:rPr>
          <w:color w:val="3B3A3B"/>
          <w:w w:val="110"/>
        </w:rPr>
        <w:t>youare</w:t>
      </w:r>
      <w:r>
        <w:rPr>
          <w:color w:val="3B3A3B"/>
          <w:spacing w:val="-19"/>
          <w:w w:val="110"/>
        </w:rPr>
        <w:t> </w:t>
      </w:r>
      <w:r>
        <w:rPr>
          <w:color w:val="3B3A3B"/>
          <w:w w:val="110"/>
        </w:rPr>
        <w:t>trying</w:t>
      </w:r>
      <w:r>
        <w:rPr>
          <w:color w:val="3B3A3B"/>
          <w:spacing w:val="3"/>
          <w:w w:val="110"/>
        </w:rPr>
        <w:t> </w:t>
      </w:r>
      <w:r>
        <w:rPr>
          <w:color w:val="3B3A3B"/>
          <w:w w:val="110"/>
        </w:rPr>
        <w:t>to</w:t>
      </w:r>
      <w:r>
        <w:rPr>
          <w:color w:val="3B3A3B"/>
          <w:spacing w:val="12"/>
          <w:w w:val="110"/>
        </w:rPr>
        <w:t> </w:t>
      </w:r>
      <w:r>
        <w:rPr>
          <w:color w:val="3B3A3B"/>
          <w:w w:val="110"/>
        </w:rPr>
        <w:t>answer.</w:t>
      </w:r>
    </w:p>
    <w:p>
      <w:pPr>
        <w:pStyle w:val="BodyText"/>
        <w:spacing w:line="230" w:lineRule="auto"/>
        <w:ind w:left="606" w:right="78" w:firstLine="427"/>
        <w:jc w:val="both"/>
      </w:pPr>
      <w:r>
        <w:rPr>
          <w:color w:val="3B3A3B"/>
          <w:w w:val="110"/>
        </w:rPr>
        <w:t>Once you have a basic understanding of how your jurisdiction treats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this particular area of law, step back for a moment and take a look at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big picture. Although your main goal is to identify support for your argu­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ments, an effective research plan can also help you to discover new argu­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ments. You may wish to use particular research methods when researching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10"/>
        </w:rPr>
        <w:t>a statutory issue, when writing to a court of last resort, or when deciding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5"/>
        </w:rPr>
        <w:t>how</w:t>
      </w:r>
      <w:r>
        <w:rPr>
          <w:color w:val="3B3A3B"/>
          <w:spacing w:val="17"/>
          <w:w w:val="115"/>
        </w:rPr>
        <w:t> </w:t>
      </w:r>
      <w:r>
        <w:rPr>
          <w:color w:val="3B3A3B"/>
          <w:w w:val="115"/>
        </w:rPr>
        <w:t>to</w:t>
      </w:r>
      <w:r>
        <w:rPr>
          <w:color w:val="3B3A3B"/>
          <w:spacing w:val="16"/>
          <w:w w:val="115"/>
        </w:rPr>
        <w:t> </w:t>
      </w:r>
      <w:r>
        <w:rPr>
          <w:color w:val="3B3A3B"/>
          <w:w w:val="115"/>
        </w:rPr>
        <w:t>use</w:t>
      </w:r>
      <w:r>
        <w:rPr>
          <w:color w:val="3B3A3B"/>
          <w:spacing w:val="-13"/>
          <w:w w:val="115"/>
        </w:rPr>
        <w:t> </w:t>
      </w:r>
      <w:r>
        <w:rPr>
          <w:color w:val="3B3A3B"/>
          <w:w w:val="115"/>
        </w:rPr>
        <w:t>mandatory</w:t>
      </w:r>
      <w:r>
        <w:rPr>
          <w:color w:val="3B3A3B"/>
          <w:spacing w:val="-8"/>
          <w:w w:val="115"/>
        </w:rPr>
        <w:t> </w:t>
      </w:r>
      <w:r>
        <w:rPr>
          <w:color w:val="3B3A3B"/>
          <w:w w:val="115"/>
        </w:rPr>
        <w:t>versus</w:t>
      </w:r>
      <w:r>
        <w:rPr>
          <w:color w:val="3B3A3B"/>
          <w:spacing w:val="-7"/>
          <w:w w:val="115"/>
        </w:rPr>
        <w:t> </w:t>
      </w:r>
      <w:r>
        <w:rPr>
          <w:color w:val="3B3A3B"/>
          <w:w w:val="115"/>
        </w:rPr>
        <w:t>nonmandatory</w:t>
      </w:r>
      <w:r>
        <w:rPr>
          <w:color w:val="3B3A3B"/>
          <w:spacing w:val="6"/>
          <w:w w:val="115"/>
        </w:rPr>
        <w:t> </w:t>
      </w:r>
      <w:r>
        <w:rPr>
          <w:color w:val="3B3A3B"/>
          <w:w w:val="115"/>
        </w:rPr>
        <w:t>authorities.</w:t>
      </w:r>
    </w:p>
    <w:p>
      <w:pPr>
        <w:pStyle w:val="BodyText"/>
        <w:spacing w:line="235" w:lineRule="auto" w:before="9"/>
        <w:ind w:left="576" w:right="113" w:firstLine="401"/>
        <w:jc w:val="both"/>
      </w:pPr>
      <w:r>
        <w:rPr>
          <w:rFonts w:ascii="Arial" w:hAnsi="Arial"/>
          <w:i/>
          <w:color w:val="3B3A3B"/>
          <w:w w:val="110"/>
          <w:sz w:val="20"/>
        </w:rPr>
        <w:t>A </w:t>
      </w:r>
      <w:r>
        <w:rPr>
          <w:color w:val="3B3A3B"/>
          <w:w w:val="110"/>
        </w:rPr>
        <w:t>particular word of advice to those who are accustomed to using elec­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10"/>
        </w:rPr>
        <w:t>tronic</w:t>
      </w:r>
      <w:r>
        <w:rPr>
          <w:color w:val="3B3A3B"/>
          <w:spacing w:val="-16"/>
          <w:w w:val="110"/>
        </w:rPr>
        <w:t> </w:t>
      </w:r>
      <w:r>
        <w:rPr>
          <w:color w:val="3B3A3B"/>
          <w:w w:val="110"/>
        </w:rPr>
        <w:t>search</w:t>
      </w:r>
      <w:r>
        <w:rPr>
          <w:color w:val="3B3A3B"/>
          <w:spacing w:val="-7"/>
          <w:w w:val="110"/>
        </w:rPr>
        <w:t> </w:t>
      </w:r>
      <w:r>
        <w:rPr>
          <w:color w:val="3B3A3B"/>
          <w:w w:val="110"/>
        </w:rPr>
        <w:t>engines</w:t>
      </w:r>
      <w:r>
        <w:rPr>
          <w:color w:val="3B3A3B"/>
          <w:spacing w:val="-1"/>
          <w:w w:val="110"/>
        </w:rPr>
        <w:t> </w:t>
      </w:r>
      <w:r>
        <w:rPr>
          <w:color w:val="3B3A3B"/>
          <w:w w:val="110"/>
        </w:rPr>
        <w:t>such</w:t>
      </w:r>
      <w:r>
        <w:rPr>
          <w:color w:val="3B3A3B"/>
          <w:spacing w:val="2"/>
          <w:w w:val="110"/>
        </w:rPr>
        <w:t> </w:t>
      </w:r>
      <w:r>
        <w:rPr>
          <w:color w:val="3B3A3B"/>
          <w:w w:val="110"/>
        </w:rPr>
        <w:t>as Google:</w:t>
      </w:r>
      <w:r>
        <w:rPr>
          <w:color w:val="3B3A3B"/>
          <w:spacing w:val="7"/>
          <w:w w:val="110"/>
        </w:rPr>
        <w:t> </w:t>
      </w:r>
      <w:r>
        <w:rPr>
          <w:color w:val="3B3A3B"/>
          <w:w w:val="110"/>
        </w:rPr>
        <w:t>Many</w:t>
      </w:r>
      <w:r>
        <w:rPr>
          <w:color w:val="3B3A3B"/>
          <w:spacing w:val="-7"/>
          <w:w w:val="110"/>
        </w:rPr>
        <w:t> </w:t>
      </w:r>
      <w:r>
        <w:rPr>
          <w:color w:val="3B3A3B"/>
          <w:w w:val="110"/>
        </w:rPr>
        <w:t>law</w:t>
      </w:r>
      <w:r>
        <w:rPr>
          <w:color w:val="3B3A3B"/>
          <w:spacing w:val="-19"/>
          <w:w w:val="110"/>
        </w:rPr>
        <w:t> </w:t>
      </w:r>
      <w:r>
        <w:rPr>
          <w:color w:val="3B3A3B"/>
          <w:w w:val="110"/>
        </w:rPr>
        <w:t>students</w:t>
      </w:r>
      <w:r>
        <w:rPr>
          <w:color w:val="3B3A3B"/>
          <w:spacing w:val="10"/>
          <w:w w:val="110"/>
        </w:rPr>
        <w:t> </w:t>
      </w:r>
      <w:r>
        <w:rPr>
          <w:color w:val="3B3A3B"/>
          <w:w w:val="110"/>
        </w:rPr>
        <w:t>begin</w:t>
      </w:r>
      <w:r>
        <w:rPr>
          <w:color w:val="3B3A3B"/>
          <w:spacing w:val="7"/>
          <w:w w:val="110"/>
        </w:rPr>
        <w:t> </w:t>
      </w:r>
      <w:r>
        <w:rPr>
          <w:color w:val="3B3A3B"/>
          <w:w w:val="110"/>
        </w:rPr>
        <w:t>law</w:t>
      </w:r>
      <w:r>
        <w:rPr>
          <w:color w:val="3B3A3B"/>
          <w:spacing w:val="-14"/>
          <w:w w:val="110"/>
        </w:rPr>
        <w:t> </w:t>
      </w:r>
      <w:r>
        <w:rPr>
          <w:color w:val="3B3A3B"/>
          <w:w w:val="110"/>
        </w:rPr>
        <w:t>school</w:t>
      </w:r>
    </w:p>
    <w:p>
      <w:pPr>
        <w:pStyle w:val="BodyText"/>
        <w:spacing w:before="11"/>
        <w:rPr>
          <w:sz w:val="35"/>
        </w:rPr>
      </w:pPr>
    </w:p>
    <w:p>
      <w:pPr>
        <w:spacing w:line="235" w:lineRule="auto" w:before="0"/>
        <w:ind w:left="522" w:right="113" w:firstLine="420"/>
        <w:jc w:val="both"/>
        <w:rPr>
          <w:i/>
          <w:sz w:val="18"/>
        </w:rPr>
      </w:pPr>
      <w:r>
        <w:rPr>
          <w:color w:val="3B3A3B"/>
          <w:w w:val="105"/>
          <w:sz w:val="18"/>
        </w:rPr>
        <w:t>"Howard A</w:t>
      </w:r>
      <w:r>
        <w:rPr>
          <w:color w:val="606062"/>
          <w:w w:val="105"/>
          <w:sz w:val="18"/>
        </w:rPr>
        <w:t>. </w:t>
      </w:r>
      <w:r>
        <w:rPr>
          <w:color w:val="3B3A3B"/>
          <w:w w:val="105"/>
          <w:sz w:val="18"/>
        </w:rPr>
        <w:t>Denemark, </w:t>
      </w:r>
      <w:r>
        <w:rPr>
          <w:i/>
          <w:color w:val="3B3A3B"/>
          <w:w w:val="105"/>
          <w:sz w:val="18"/>
        </w:rPr>
        <w:t>The Death of </w:t>
      </w:r>
      <w:r>
        <w:rPr>
          <w:rFonts w:ascii="Arial"/>
          <w:i/>
          <w:color w:val="3B3A3B"/>
          <w:w w:val="105"/>
          <w:sz w:val="16"/>
        </w:rPr>
        <w:t>I.Aw </w:t>
      </w:r>
      <w:r>
        <w:rPr>
          <w:i/>
          <w:color w:val="3B3A3B"/>
          <w:w w:val="105"/>
          <w:sz w:val="18"/>
        </w:rPr>
        <w:t>Reviews Has Been Predicted</w:t>
      </w:r>
      <w:r>
        <w:rPr>
          <w:i/>
          <w:color w:val="606062"/>
          <w:w w:val="105"/>
          <w:sz w:val="18"/>
        </w:rPr>
        <w:t>: </w:t>
      </w:r>
      <w:r>
        <w:rPr>
          <w:i/>
          <w:color w:val="3B3A3B"/>
          <w:w w:val="105"/>
          <w:sz w:val="18"/>
        </w:rPr>
        <w:t>What Might Be Lost</w:t>
      </w:r>
      <w:r>
        <w:rPr>
          <w:i/>
          <w:color w:val="3B3A3B"/>
          <w:spacing w:val="1"/>
          <w:w w:val="105"/>
          <w:sz w:val="18"/>
        </w:rPr>
        <w:t> </w:t>
      </w:r>
      <w:r>
        <w:rPr>
          <w:rFonts w:ascii="Arial"/>
          <w:i/>
          <w:color w:val="3B3A3B"/>
          <w:w w:val="105"/>
          <w:sz w:val="16"/>
        </w:rPr>
        <w:t>When </w:t>
      </w:r>
      <w:r>
        <w:rPr>
          <w:i/>
          <w:color w:val="3B3A3B"/>
          <w:w w:val="105"/>
          <w:sz w:val="18"/>
        </w:rPr>
        <w:t>the Last </w:t>
      </w:r>
      <w:r>
        <w:rPr>
          <w:rFonts w:ascii="Arial"/>
          <w:i/>
          <w:color w:val="3B3A3B"/>
          <w:w w:val="105"/>
          <w:sz w:val="15"/>
        </w:rPr>
        <w:t>Law</w:t>
      </w:r>
      <w:r>
        <w:rPr>
          <w:rFonts w:ascii="Arial"/>
          <w:i/>
          <w:color w:val="3B3A3B"/>
          <w:spacing w:val="1"/>
          <w:w w:val="105"/>
          <w:sz w:val="15"/>
        </w:rPr>
        <w:t> </w:t>
      </w:r>
      <w:r>
        <w:rPr>
          <w:i/>
          <w:color w:val="3B3A3B"/>
          <w:w w:val="105"/>
          <w:sz w:val="18"/>
        </w:rPr>
        <w:t>Review Shuts Down?, </w:t>
      </w:r>
      <w:r>
        <w:rPr>
          <w:color w:val="3B3A3B"/>
          <w:w w:val="105"/>
          <w:sz w:val="17"/>
        </w:rPr>
        <w:t>27 </w:t>
      </w:r>
      <w:r>
        <w:rPr>
          <w:color w:val="3B3A3B"/>
          <w:w w:val="105"/>
          <w:sz w:val="18"/>
        </w:rPr>
        <w:t>Seton </w:t>
      </w:r>
      <w:r>
        <w:rPr>
          <w:color w:val="3B3A3B"/>
          <w:w w:val="105"/>
          <w:sz w:val="17"/>
        </w:rPr>
        <w:t>Hall L. </w:t>
      </w:r>
      <w:r>
        <w:rPr>
          <w:color w:val="3B3A3B"/>
          <w:w w:val="105"/>
          <w:sz w:val="18"/>
        </w:rPr>
        <w:t>Rev. </w:t>
      </w:r>
      <w:r>
        <w:rPr>
          <w:color w:val="3B3A3B"/>
          <w:w w:val="105"/>
          <w:sz w:val="17"/>
        </w:rPr>
        <w:t>1, 32</w:t>
      </w:r>
      <w:r>
        <w:rPr>
          <w:color w:val="3B3A3B"/>
          <w:spacing w:val="1"/>
          <w:w w:val="105"/>
          <w:sz w:val="17"/>
        </w:rPr>
        <w:t> </w:t>
      </w:r>
      <w:r>
        <w:rPr>
          <w:color w:val="3B3A3B"/>
          <w:w w:val="105"/>
          <w:sz w:val="17"/>
        </w:rPr>
        <w:t>n.</w:t>
      </w:r>
      <w:r>
        <w:rPr>
          <w:color w:val="3B3A3B"/>
          <w:spacing w:val="1"/>
          <w:w w:val="105"/>
          <w:sz w:val="17"/>
        </w:rPr>
        <w:t> </w:t>
      </w:r>
      <w:r>
        <w:rPr>
          <w:color w:val="3B3A3B"/>
          <w:w w:val="105"/>
          <w:sz w:val="17"/>
        </w:rPr>
        <w:t>77 (1996) </w:t>
      </w:r>
      <w:r>
        <w:rPr>
          <w:color w:val="3B3A3B"/>
          <w:w w:val="105"/>
          <w:sz w:val="18"/>
        </w:rPr>
        <w:t>(cited In </w:t>
      </w:r>
      <w:r>
        <w:rPr>
          <w:color w:val="3B3A3B"/>
          <w:w w:val="105"/>
          <w:sz w:val="17"/>
        </w:rPr>
        <w:t>Barger,</w:t>
      </w:r>
      <w:r>
        <w:rPr>
          <w:color w:val="3B3A3B"/>
          <w:spacing w:val="1"/>
          <w:w w:val="105"/>
          <w:sz w:val="17"/>
        </w:rPr>
        <w:t> </w:t>
      </w:r>
      <w:r>
        <w:rPr>
          <w:i/>
          <w:color w:val="3B3A3B"/>
          <w:w w:val="105"/>
          <w:sz w:val="18"/>
        </w:rPr>
        <w:t>supra</w:t>
      </w:r>
      <w:r>
        <w:rPr>
          <w:i/>
          <w:color w:val="3B3A3B"/>
          <w:spacing w:val="-1"/>
          <w:w w:val="105"/>
          <w:sz w:val="18"/>
        </w:rPr>
        <w:t> </w:t>
      </w:r>
      <w:r>
        <w:rPr>
          <w:color w:val="3B3A3B"/>
          <w:w w:val="105"/>
          <w:sz w:val="18"/>
        </w:rPr>
        <w:t>note</w:t>
      </w:r>
      <w:r>
        <w:rPr>
          <w:color w:val="3B3A3B"/>
          <w:spacing w:val="-19"/>
          <w:w w:val="105"/>
          <w:sz w:val="18"/>
        </w:rPr>
        <w:t> </w:t>
      </w:r>
      <w:r>
        <w:rPr>
          <w:color w:val="3B3A3B"/>
          <w:w w:val="105"/>
          <w:sz w:val="17"/>
        </w:rPr>
        <w:t>14,</w:t>
      </w:r>
      <w:r>
        <w:rPr>
          <w:color w:val="3B3A3B"/>
          <w:spacing w:val="-9"/>
          <w:w w:val="105"/>
          <w:sz w:val="17"/>
        </w:rPr>
        <w:t> </w:t>
      </w:r>
      <w:r>
        <w:rPr>
          <w:color w:val="3B3A3B"/>
          <w:w w:val="105"/>
          <w:sz w:val="18"/>
        </w:rPr>
        <w:t>at</w:t>
      </w:r>
      <w:r>
        <w:rPr>
          <w:color w:val="3B3A3B"/>
          <w:spacing w:val="2"/>
          <w:w w:val="105"/>
          <w:sz w:val="18"/>
        </w:rPr>
        <w:t> </w:t>
      </w:r>
      <w:r>
        <w:rPr>
          <w:color w:val="3B3A3B"/>
          <w:w w:val="105"/>
          <w:sz w:val="17"/>
        </w:rPr>
        <w:t>438</w:t>
      </w:r>
      <w:r>
        <w:rPr>
          <w:color w:val="3B3A3B"/>
          <w:spacing w:val="-15"/>
          <w:w w:val="105"/>
          <w:sz w:val="17"/>
        </w:rPr>
        <w:t> </w:t>
      </w:r>
      <w:r>
        <w:rPr>
          <w:color w:val="3B3A3B"/>
          <w:w w:val="105"/>
          <w:sz w:val="18"/>
        </w:rPr>
        <w:t>n.</w:t>
      </w:r>
      <w:r>
        <w:rPr>
          <w:color w:val="3B3A3B"/>
          <w:spacing w:val="-9"/>
          <w:w w:val="105"/>
          <w:sz w:val="18"/>
        </w:rPr>
        <w:t> </w:t>
      </w:r>
      <w:r>
        <w:rPr>
          <w:i/>
          <w:color w:val="3B3A3B"/>
          <w:w w:val="105"/>
          <w:sz w:val="18"/>
        </w:rPr>
        <w:t>67)</w:t>
      </w:r>
      <w:r>
        <w:rPr>
          <w:i/>
          <w:color w:val="606062"/>
          <w:w w:val="105"/>
          <w:sz w:val="18"/>
        </w:rPr>
        <w:t>.</w:t>
      </w:r>
    </w:p>
    <w:p>
      <w:pPr>
        <w:pStyle w:val="ListParagraph"/>
        <w:numPr>
          <w:ilvl w:val="0"/>
          <w:numId w:val="32"/>
        </w:numPr>
        <w:tabs>
          <w:tab w:pos="1049" w:val="left" w:leader="none"/>
        </w:tabs>
        <w:spacing w:line="180" w:lineRule="exact" w:before="0" w:after="0"/>
        <w:ind w:left="1048" w:right="0" w:hanging="134"/>
        <w:jc w:val="both"/>
        <w:rPr>
          <w:i/>
          <w:sz w:val="18"/>
        </w:rPr>
      </w:pPr>
      <w:r>
        <w:rPr>
          <w:color w:val="3B3A3B"/>
          <w:sz w:val="18"/>
        </w:rPr>
        <w:t>Ralzel</w:t>
      </w:r>
      <w:r>
        <w:rPr>
          <w:color w:val="3B3A3B"/>
          <w:spacing w:val="15"/>
          <w:sz w:val="18"/>
        </w:rPr>
        <w:t> </w:t>
      </w:r>
      <w:r>
        <w:rPr>
          <w:color w:val="3B3A3B"/>
          <w:sz w:val="18"/>
        </w:rPr>
        <w:t>Liebler</w:t>
      </w:r>
      <w:r>
        <w:rPr>
          <w:color w:val="3B3A3B"/>
          <w:spacing w:val="8"/>
          <w:sz w:val="18"/>
        </w:rPr>
        <w:t> </w:t>
      </w:r>
      <w:r>
        <w:rPr>
          <w:color w:val="3B3A3B"/>
          <w:sz w:val="16"/>
        </w:rPr>
        <w:t>&amp;</w:t>
      </w:r>
      <w:r>
        <w:rPr>
          <w:color w:val="3B3A3B"/>
          <w:spacing w:val="14"/>
          <w:sz w:val="16"/>
        </w:rPr>
        <w:t> </w:t>
      </w:r>
      <w:r>
        <w:rPr>
          <w:color w:val="3B3A3B"/>
          <w:sz w:val="18"/>
        </w:rPr>
        <w:t>June</w:t>
      </w:r>
      <w:r>
        <w:rPr>
          <w:color w:val="3B3A3B"/>
          <w:spacing w:val="7"/>
          <w:sz w:val="18"/>
        </w:rPr>
        <w:t> </w:t>
      </w:r>
      <w:r>
        <w:rPr>
          <w:color w:val="3B3A3B"/>
          <w:sz w:val="18"/>
        </w:rPr>
        <w:t>Liebert,</w:t>
      </w:r>
      <w:r>
        <w:rPr>
          <w:color w:val="3B3A3B"/>
          <w:spacing w:val="15"/>
          <w:sz w:val="18"/>
        </w:rPr>
        <w:t> </w:t>
      </w:r>
      <w:r>
        <w:rPr>
          <w:i/>
          <w:color w:val="3B3A3B"/>
          <w:sz w:val="18"/>
        </w:rPr>
        <w:t>Something</w:t>
      </w:r>
      <w:r>
        <w:rPr>
          <w:i/>
          <w:color w:val="3B3A3B"/>
          <w:spacing w:val="1"/>
          <w:sz w:val="18"/>
        </w:rPr>
        <w:t> </w:t>
      </w:r>
      <w:r>
        <w:rPr>
          <w:i/>
          <w:color w:val="3B3A3B"/>
          <w:sz w:val="18"/>
        </w:rPr>
        <w:t>Rotten</w:t>
      </w:r>
      <w:r>
        <w:rPr>
          <w:i/>
          <w:color w:val="3B3A3B"/>
          <w:spacing w:val="22"/>
          <w:sz w:val="18"/>
        </w:rPr>
        <w:t> </w:t>
      </w:r>
      <w:r>
        <w:rPr>
          <w:i/>
          <w:color w:val="3B3A3B"/>
          <w:sz w:val="18"/>
        </w:rPr>
        <w:t>In the</w:t>
      </w:r>
      <w:r>
        <w:rPr>
          <w:i/>
          <w:color w:val="3B3A3B"/>
          <w:spacing w:val="19"/>
          <w:sz w:val="18"/>
        </w:rPr>
        <w:t> </w:t>
      </w:r>
      <w:r>
        <w:rPr>
          <w:i/>
          <w:color w:val="3B3A3B"/>
          <w:sz w:val="18"/>
        </w:rPr>
        <w:t>State</w:t>
      </w:r>
      <w:r>
        <w:rPr>
          <w:i/>
          <w:color w:val="3B3A3B"/>
          <w:spacing w:val="2"/>
          <w:sz w:val="18"/>
        </w:rPr>
        <w:t> </w:t>
      </w:r>
      <w:r>
        <w:rPr>
          <w:i/>
          <w:color w:val="3B3A3B"/>
          <w:sz w:val="18"/>
        </w:rPr>
        <w:t>of</w:t>
      </w:r>
      <w:r>
        <w:rPr>
          <w:i/>
          <w:color w:val="3B3A3B"/>
          <w:spacing w:val="26"/>
          <w:sz w:val="18"/>
        </w:rPr>
        <w:t> </w:t>
      </w:r>
      <w:r>
        <w:rPr>
          <w:i/>
          <w:color w:val="3B3A3B"/>
          <w:sz w:val="18"/>
        </w:rPr>
        <w:t>Legal</w:t>
      </w:r>
      <w:r>
        <w:rPr>
          <w:i/>
          <w:color w:val="3B3A3B"/>
          <w:spacing w:val="2"/>
          <w:sz w:val="18"/>
        </w:rPr>
        <w:t> </w:t>
      </w:r>
      <w:r>
        <w:rPr>
          <w:i/>
          <w:color w:val="606062"/>
          <w:sz w:val="18"/>
        </w:rPr>
        <w:t>C</w:t>
      </w:r>
      <w:r>
        <w:rPr>
          <w:i/>
          <w:color w:val="3B3A3B"/>
          <w:sz w:val="18"/>
        </w:rPr>
        <w:t>itation:</w:t>
      </w:r>
      <w:r>
        <w:rPr>
          <w:i/>
          <w:color w:val="3B3A3B"/>
          <w:spacing w:val="-4"/>
          <w:sz w:val="18"/>
        </w:rPr>
        <w:t> </w:t>
      </w:r>
      <w:r>
        <w:rPr>
          <w:i/>
          <w:color w:val="3B3A3B"/>
          <w:sz w:val="18"/>
        </w:rPr>
        <w:t>The</w:t>
      </w:r>
      <w:r>
        <w:rPr>
          <w:i/>
          <w:color w:val="3B3A3B"/>
          <w:spacing w:val="33"/>
          <w:sz w:val="18"/>
        </w:rPr>
        <w:t> </w:t>
      </w:r>
      <w:r>
        <w:rPr>
          <w:i/>
          <w:color w:val="3B3A3B"/>
          <w:sz w:val="18"/>
        </w:rPr>
        <w:t>Life</w:t>
      </w:r>
      <w:r>
        <w:rPr>
          <w:i/>
          <w:color w:val="3B3A3B"/>
          <w:spacing w:val="-8"/>
          <w:sz w:val="18"/>
        </w:rPr>
        <w:t> </w:t>
      </w:r>
      <w:r>
        <w:rPr>
          <w:i/>
          <w:color w:val="3B3A3B"/>
          <w:sz w:val="18"/>
        </w:rPr>
        <w:t>Spa</w:t>
      </w:r>
      <w:r>
        <w:rPr>
          <w:rFonts w:ascii="Arial" w:hAnsi="Arial"/>
          <w:i/>
          <w:color w:val="3B3A3B"/>
          <w:sz w:val="18"/>
          <w:vertAlign w:val="subscript"/>
        </w:rPr>
        <w:t>11</w:t>
      </w:r>
      <w:r>
        <w:rPr>
          <w:i/>
          <w:color w:val="3B3A3B"/>
          <w:sz w:val="18"/>
          <w:vertAlign w:val="baseline"/>
        </w:rPr>
        <w:t>o(</w:t>
      </w:r>
    </w:p>
    <w:p>
      <w:pPr>
        <w:spacing w:line="205" w:lineRule="exact" w:before="0"/>
        <w:ind w:left="497" w:right="0" w:firstLine="0"/>
        <w:jc w:val="both"/>
        <w:rPr>
          <w:sz w:val="18"/>
        </w:rPr>
      </w:pPr>
      <w:r>
        <w:rPr>
          <w:i/>
          <w:color w:val="3B3A3B"/>
          <w:spacing w:val="-1"/>
          <w:w w:val="105"/>
          <w:sz w:val="18"/>
        </w:rPr>
        <w:t>a</w:t>
      </w:r>
      <w:r>
        <w:rPr>
          <w:i/>
          <w:color w:val="3B3A3B"/>
          <w:spacing w:val="8"/>
          <w:w w:val="105"/>
          <w:sz w:val="18"/>
        </w:rPr>
        <w:t> </w:t>
      </w:r>
      <w:r>
        <w:rPr>
          <w:i/>
          <w:color w:val="3B3A3B"/>
          <w:spacing w:val="-1"/>
          <w:w w:val="105"/>
          <w:sz w:val="18"/>
        </w:rPr>
        <w:t>United</w:t>
      </w:r>
      <w:r>
        <w:rPr>
          <w:i/>
          <w:color w:val="3B3A3B"/>
          <w:spacing w:val="4"/>
          <w:w w:val="105"/>
          <w:sz w:val="18"/>
        </w:rPr>
        <w:t> </w:t>
      </w:r>
      <w:r>
        <w:rPr>
          <w:i/>
          <w:color w:val="3B3A3B"/>
          <w:spacing w:val="-1"/>
          <w:w w:val="105"/>
          <w:sz w:val="18"/>
        </w:rPr>
        <w:t>States</w:t>
      </w:r>
      <w:r>
        <w:rPr>
          <w:i/>
          <w:color w:val="3B3A3B"/>
          <w:spacing w:val="-17"/>
          <w:w w:val="105"/>
          <w:sz w:val="18"/>
        </w:rPr>
        <w:t> </w:t>
      </w:r>
      <w:r>
        <w:rPr>
          <w:i/>
          <w:color w:val="3B3A3B"/>
          <w:spacing w:val="-1"/>
          <w:w w:val="105"/>
          <w:sz w:val="18"/>
        </w:rPr>
        <w:t>Supreme</w:t>
      </w:r>
      <w:r>
        <w:rPr>
          <w:i/>
          <w:color w:val="3B3A3B"/>
          <w:spacing w:val="-13"/>
          <w:w w:val="105"/>
          <w:sz w:val="18"/>
        </w:rPr>
        <w:t> </w:t>
      </w:r>
      <w:r>
        <w:rPr>
          <w:i/>
          <w:color w:val="3B3A3B"/>
          <w:spacing w:val="-1"/>
          <w:w w:val="105"/>
          <w:sz w:val="18"/>
        </w:rPr>
        <w:t>Court</w:t>
      </w:r>
      <w:r>
        <w:rPr>
          <w:i/>
          <w:color w:val="3B3A3B"/>
          <w:spacing w:val="-19"/>
          <w:w w:val="105"/>
          <w:sz w:val="18"/>
        </w:rPr>
        <w:t> </w:t>
      </w:r>
      <w:r>
        <w:rPr>
          <w:i/>
          <w:color w:val="3B3A3B"/>
          <w:spacing w:val="-1"/>
          <w:w w:val="105"/>
          <w:sz w:val="18"/>
        </w:rPr>
        <w:t>Citation</w:t>
      </w:r>
      <w:r>
        <w:rPr>
          <w:i/>
          <w:color w:val="3B3A3B"/>
          <w:spacing w:val="-19"/>
          <w:w w:val="105"/>
          <w:sz w:val="18"/>
        </w:rPr>
        <w:t> </w:t>
      </w:r>
      <w:r>
        <w:rPr>
          <w:i/>
          <w:color w:val="3B3A3B"/>
          <w:spacing w:val="-1"/>
          <w:w w:val="105"/>
          <w:sz w:val="18"/>
        </w:rPr>
        <w:t>Containing</w:t>
      </w:r>
      <w:r>
        <w:rPr>
          <w:i/>
          <w:color w:val="3B3A3B"/>
          <w:spacing w:val="2"/>
          <w:w w:val="105"/>
          <w:sz w:val="18"/>
        </w:rPr>
        <w:t> </w:t>
      </w:r>
      <w:r>
        <w:rPr>
          <w:i/>
          <w:color w:val="3B3A3B"/>
          <w:w w:val="105"/>
          <w:sz w:val="18"/>
        </w:rPr>
        <w:t>an</w:t>
      </w:r>
      <w:r>
        <w:rPr>
          <w:i/>
          <w:color w:val="3B3A3B"/>
          <w:spacing w:val="4"/>
          <w:w w:val="105"/>
          <w:sz w:val="18"/>
        </w:rPr>
        <w:t> </w:t>
      </w:r>
      <w:r>
        <w:rPr>
          <w:i/>
          <w:color w:val="3B3A3B"/>
          <w:w w:val="105"/>
          <w:sz w:val="18"/>
        </w:rPr>
        <w:t>lntemet</w:t>
      </w:r>
      <w:r>
        <w:rPr>
          <w:i/>
          <w:color w:val="3B3A3B"/>
          <w:spacing w:val="-18"/>
          <w:w w:val="105"/>
          <w:sz w:val="18"/>
        </w:rPr>
        <w:t> </w:t>
      </w:r>
      <w:r>
        <w:rPr>
          <w:i/>
          <w:color w:val="3B3A3B"/>
          <w:w w:val="105"/>
          <w:sz w:val="14"/>
        </w:rPr>
        <w:t>U11k</w:t>
      </w:r>
      <w:r>
        <w:rPr>
          <w:i/>
          <w:color w:val="3B3A3B"/>
          <w:spacing w:val="16"/>
          <w:w w:val="105"/>
          <w:sz w:val="14"/>
        </w:rPr>
        <w:t> </w:t>
      </w:r>
      <w:r>
        <w:rPr>
          <w:color w:val="3B3A3B"/>
          <w:w w:val="105"/>
          <w:sz w:val="17"/>
        </w:rPr>
        <w:t>(1996-2010),</w:t>
      </w:r>
      <w:r>
        <w:rPr>
          <w:color w:val="3B3A3B"/>
          <w:spacing w:val="9"/>
          <w:w w:val="105"/>
          <w:sz w:val="17"/>
        </w:rPr>
        <w:t> </w:t>
      </w:r>
      <w:r>
        <w:rPr>
          <w:color w:val="3B3A3B"/>
          <w:w w:val="105"/>
          <w:sz w:val="17"/>
        </w:rPr>
        <w:t>15</w:t>
      </w:r>
      <w:r>
        <w:rPr>
          <w:color w:val="3B3A3B"/>
          <w:spacing w:val="23"/>
          <w:w w:val="105"/>
          <w:sz w:val="17"/>
        </w:rPr>
        <w:t> </w:t>
      </w:r>
      <w:r>
        <w:rPr>
          <w:color w:val="3B3A3B"/>
          <w:w w:val="105"/>
          <w:sz w:val="18"/>
        </w:rPr>
        <w:t>Yale</w:t>
      </w:r>
      <w:r>
        <w:rPr>
          <w:color w:val="3B3A3B"/>
          <w:spacing w:val="-20"/>
          <w:w w:val="105"/>
          <w:sz w:val="18"/>
        </w:rPr>
        <w:t> </w:t>
      </w:r>
      <w:r>
        <w:rPr>
          <w:color w:val="3B3A3B"/>
          <w:w w:val="105"/>
          <w:sz w:val="18"/>
        </w:rPr>
        <w:t>J.L.</w:t>
      </w:r>
      <w:r>
        <w:rPr>
          <w:color w:val="3B3A3B"/>
          <w:spacing w:val="-13"/>
          <w:w w:val="105"/>
          <w:sz w:val="18"/>
        </w:rPr>
        <w:t> </w:t>
      </w:r>
      <w:r>
        <w:rPr>
          <w:color w:val="3B3A3B"/>
          <w:w w:val="105"/>
          <w:sz w:val="16"/>
        </w:rPr>
        <w:t>&amp;</w:t>
      </w:r>
      <w:r>
        <w:rPr>
          <w:color w:val="3B3A3B"/>
          <w:spacing w:val="22"/>
          <w:w w:val="105"/>
          <w:sz w:val="16"/>
        </w:rPr>
        <w:t> </w:t>
      </w:r>
      <w:r>
        <w:rPr>
          <w:color w:val="3B3A3B"/>
          <w:w w:val="105"/>
          <w:sz w:val="18"/>
        </w:rPr>
        <w:t>Tech</w:t>
      </w:r>
      <w:r>
        <w:rPr>
          <w:color w:val="606062"/>
          <w:w w:val="105"/>
          <w:sz w:val="18"/>
        </w:rPr>
        <w:t>.</w:t>
      </w:r>
    </w:p>
    <w:p>
      <w:pPr>
        <w:spacing w:line="180" w:lineRule="exact" w:before="14"/>
        <w:ind w:left="498" w:right="0" w:firstLine="0"/>
        <w:jc w:val="both"/>
        <w:rPr>
          <w:sz w:val="17"/>
        </w:rPr>
      </w:pPr>
      <w:r>
        <w:rPr>
          <w:color w:val="3B3A3B"/>
          <w:w w:val="120"/>
          <w:sz w:val="17"/>
        </w:rPr>
        <w:t>273,</w:t>
      </w:r>
      <w:r>
        <w:rPr>
          <w:color w:val="3B3A3B"/>
          <w:spacing w:val="-15"/>
          <w:w w:val="120"/>
          <w:sz w:val="17"/>
        </w:rPr>
        <w:t> </w:t>
      </w:r>
      <w:r>
        <w:rPr>
          <w:color w:val="3B3A3B"/>
          <w:w w:val="120"/>
          <w:sz w:val="17"/>
        </w:rPr>
        <w:t>307</w:t>
      </w:r>
      <w:r>
        <w:rPr>
          <w:color w:val="3B3A3B"/>
          <w:spacing w:val="-17"/>
          <w:w w:val="120"/>
          <w:sz w:val="17"/>
        </w:rPr>
        <w:t> </w:t>
      </w:r>
      <w:r>
        <w:rPr>
          <w:color w:val="3B3A3B"/>
          <w:w w:val="120"/>
          <w:sz w:val="17"/>
        </w:rPr>
        <w:t>(2013).</w:t>
      </w:r>
    </w:p>
    <w:p>
      <w:pPr>
        <w:spacing w:line="203" w:lineRule="exact" w:before="0"/>
        <w:ind w:left="859" w:right="0" w:firstLine="0"/>
        <w:jc w:val="both"/>
        <w:rPr>
          <w:sz w:val="18"/>
        </w:rPr>
      </w:pPr>
      <w:r>
        <w:rPr>
          <w:i/>
          <w:color w:val="3B3A3B"/>
          <w:w w:val="110"/>
          <w:sz w:val="19"/>
        </w:rPr>
        <w:t>"'Be</w:t>
      </w:r>
      <w:r>
        <w:rPr>
          <w:i/>
          <w:color w:val="3B3A3B"/>
          <w:spacing w:val="-23"/>
          <w:w w:val="110"/>
          <w:sz w:val="19"/>
        </w:rPr>
        <w:t> </w:t>
      </w:r>
      <w:r>
        <w:rPr>
          <w:color w:val="3B3A3B"/>
          <w:w w:val="110"/>
          <w:sz w:val="18"/>
        </w:rPr>
        <w:t>sure</w:t>
      </w:r>
      <w:r>
        <w:rPr>
          <w:color w:val="3B3A3B"/>
          <w:spacing w:val="-14"/>
          <w:w w:val="110"/>
          <w:sz w:val="18"/>
        </w:rPr>
        <w:t> </w:t>
      </w:r>
      <w:r>
        <w:rPr>
          <w:color w:val="3B3A3B"/>
          <w:w w:val="110"/>
          <w:sz w:val="18"/>
        </w:rPr>
        <w:t>to</w:t>
      </w:r>
      <w:r>
        <w:rPr>
          <w:color w:val="3B3A3B"/>
          <w:spacing w:val="-2"/>
          <w:w w:val="110"/>
          <w:sz w:val="18"/>
        </w:rPr>
        <w:t> </w:t>
      </w:r>
      <w:r>
        <w:rPr>
          <w:color w:val="3B3A3B"/>
          <w:w w:val="110"/>
          <w:sz w:val="18"/>
        </w:rPr>
        <w:t>check</w:t>
      </w:r>
      <w:r>
        <w:rPr>
          <w:color w:val="3B3A3B"/>
          <w:spacing w:val="-1"/>
          <w:w w:val="110"/>
          <w:sz w:val="18"/>
        </w:rPr>
        <w:t> </w:t>
      </w:r>
      <w:r>
        <w:rPr>
          <w:color w:val="3B3A3B"/>
          <w:w w:val="110"/>
          <w:sz w:val="18"/>
        </w:rPr>
        <w:t>the</w:t>
      </w:r>
      <w:r>
        <w:rPr>
          <w:color w:val="3B3A3B"/>
          <w:spacing w:val="-5"/>
          <w:w w:val="110"/>
          <w:sz w:val="18"/>
        </w:rPr>
        <w:t> </w:t>
      </w:r>
      <w:r>
        <w:rPr>
          <w:color w:val="3B3A3B"/>
          <w:w w:val="110"/>
          <w:sz w:val="18"/>
        </w:rPr>
        <w:t>court's</w:t>
      </w:r>
      <w:r>
        <w:rPr>
          <w:color w:val="3B3A3B"/>
          <w:spacing w:val="-13"/>
          <w:w w:val="110"/>
          <w:sz w:val="18"/>
        </w:rPr>
        <w:t> </w:t>
      </w:r>
      <w:r>
        <w:rPr>
          <w:color w:val="3B3A3B"/>
          <w:w w:val="110"/>
          <w:sz w:val="18"/>
        </w:rPr>
        <w:t>local</w:t>
      </w:r>
      <w:r>
        <w:rPr>
          <w:color w:val="3B3A3B"/>
          <w:spacing w:val="4"/>
          <w:w w:val="110"/>
          <w:sz w:val="18"/>
        </w:rPr>
        <w:t> </w:t>
      </w:r>
      <w:r>
        <w:rPr>
          <w:color w:val="3B3A3B"/>
          <w:w w:val="110"/>
          <w:sz w:val="18"/>
        </w:rPr>
        <w:t>rules</w:t>
      </w:r>
      <w:r>
        <w:rPr>
          <w:color w:val="3B3A3B"/>
          <w:spacing w:val="-10"/>
          <w:w w:val="110"/>
          <w:sz w:val="18"/>
        </w:rPr>
        <w:t> </w:t>
      </w:r>
      <w:r>
        <w:rPr>
          <w:color w:val="3B3A3B"/>
          <w:w w:val="110"/>
          <w:sz w:val="18"/>
        </w:rPr>
        <w:t>to</w:t>
      </w:r>
      <w:r>
        <w:rPr>
          <w:color w:val="3B3A3B"/>
          <w:spacing w:val="4"/>
          <w:w w:val="110"/>
          <w:sz w:val="18"/>
        </w:rPr>
        <w:t> </w:t>
      </w:r>
      <w:r>
        <w:rPr>
          <w:color w:val="3B3A3B"/>
          <w:w w:val="110"/>
          <w:sz w:val="18"/>
        </w:rPr>
        <w:t>see</w:t>
      </w:r>
      <w:r>
        <w:rPr>
          <w:color w:val="3B3A3B"/>
          <w:spacing w:val="-6"/>
          <w:w w:val="110"/>
          <w:sz w:val="18"/>
        </w:rPr>
        <w:t> </w:t>
      </w:r>
      <w:r>
        <w:rPr>
          <w:color w:val="3B3A3B"/>
          <w:w w:val="110"/>
          <w:sz w:val="17"/>
        </w:rPr>
        <w:t>If</w:t>
      </w:r>
      <w:r>
        <w:rPr>
          <w:color w:val="3B3A3B"/>
          <w:spacing w:val="13"/>
          <w:w w:val="110"/>
          <w:sz w:val="17"/>
        </w:rPr>
        <w:t> </w:t>
      </w:r>
      <w:r>
        <w:rPr>
          <w:color w:val="3B3A3B"/>
          <w:w w:val="110"/>
          <w:sz w:val="18"/>
        </w:rPr>
        <w:t>they</w:t>
      </w:r>
      <w:r>
        <w:rPr>
          <w:color w:val="3B3A3B"/>
          <w:spacing w:val="-13"/>
          <w:w w:val="110"/>
          <w:sz w:val="18"/>
        </w:rPr>
        <w:t> </w:t>
      </w:r>
      <w:r>
        <w:rPr>
          <w:color w:val="3B3A3B"/>
          <w:w w:val="110"/>
          <w:sz w:val="18"/>
        </w:rPr>
        <w:t>specifically</w:t>
      </w:r>
      <w:r>
        <w:rPr>
          <w:color w:val="3B3A3B"/>
          <w:spacing w:val="-12"/>
          <w:w w:val="110"/>
          <w:sz w:val="18"/>
        </w:rPr>
        <w:t> </w:t>
      </w:r>
      <w:r>
        <w:rPr>
          <w:color w:val="3B3A3B"/>
          <w:w w:val="110"/>
          <w:sz w:val="18"/>
        </w:rPr>
        <w:t>address</w:t>
      </w:r>
      <w:r>
        <w:rPr>
          <w:color w:val="3B3A3B"/>
          <w:spacing w:val="-10"/>
          <w:w w:val="110"/>
          <w:sz w:val="18"/>
        </w:rPr>
        <w:t> </w:t>
      </w:r>
      <w:r>
        <w:rPr>
          <w:color w:val="3B3A3B"/>
          <w:w w:val="110"/>
          <w:sz w:val="18"/>
        </w:rPr>
        <w:t>Interne</w:t>
      </w:r>
      <w:r>
        <w:rPr>
          <w:color w:val="606062"/>
          <w:w w:val="110"/>
          <w:sz w:val="18"/>
        </w:rPr>
        <w:t>t</w:t>
      </w:r>
      <w:r>
        <w:rPr>
          <w:color w:val="606062"/>
          <w:spacing w:val="5"/>
          <w:w w:val="110"/>
          <w:sz w:val="18"/>
        </w:rPr>
        <w:t> </w:t>
      </w:r>
      <w:r>
        <w:rPr>
          <w:color w:val="3B3A3B"/>
          <w:w w:val="110"/>
          <w:sz w:val="18"/>
        </w:rPr>
        <w:t>citations</w:t>
      </w:r>
      <w:r>
        <w:rPr>
          <w:color w:val="606062"/>
          <w:w w:val="110"/>
          <w:sz w:val="18"/>
        </w:rPr>
        <w:t>.</w:t>
      </w:r>
    </w:p>
    <w:p>
      <w:pPr>
        <w:spacing w:after="0" w:line="203" w:lineRule="exact"/>
        <w:jc w:val="both"/>
        <w:rPr>
          <w:sz w:val="18"/>
        </w:rPr>
        <w:sectPr>
          <w:pgSz w:w="9650" w:h="13760"/>
          <w:pgMar w:header="443" w:footer="0" w:top="640" w:bottom="0" w:left="1340" w:right="0"/>
        </w:sectPr>
      </w:pPr>
    </w:p>
    <w:p>
      <w:pPr>
        <w:pStyle w:val="BodyText"/>
        <w:spacing w:before="7"/>
        <w:rPr>
          <w:sz w:val="27"/>
        </w:rPr>
      </w:pPr>
    </w:p>
    <w:p>
      <w:pPr>
        <w:tabs>
          <w:tab w:pos="8182" w:val="left" w:leader="none"/>
        </w:tabs>
        <w:spacing w:before="93"/>
        <w:ind w:left="4999" w:right="0" w:firstLine="0"/>
        <w:jc w:val="left"/>
        <w:rPr>
          <w:b/>
          <w:i/>
          <w:sz w:val="19"/>
        </w:rPr>
      </w:pPr>
      <w:r>
        <w:rPr>
          <w:rFonts w:ascii="Arial"/>
          <w:color w:val="3A383A"/>
          <w:sz w:val="17"/>
        </w:rPr>
        <w:t>3.3</w:t>
      </w:r>
      <w:r>
        <w:rPr>
          <w:rFonts w:ascii="Arial"/>
          <w:color w:val="3A383A"/>
          <w:spacing w:val="40"/>
          <w:sz w:val="17"/>
        </w:rPr>
        <w:t> </w:t>
      </w:r>
      <w:r>
        <w:rPr>
          <w:rFonts w:ascii="Arial"/>
          <w:color w:val="3A383A"/>
          <w:sz w:val="17"/>
        </w:rPr>
        <w:t>Executing Your</w:t>
      </w:r>
      <w:r>
        <w:rPr>
          <w:rFonts w:ascii="Arial"/>
          <w:color w:val="3A383A"/>
          <w:spacing w:val="-1"/>
          <w:sz w:val="17"/>
        </w:rPr>
        <w:t> </w:t>
      </w:r>
      <w:r>
        <w:rPr>
          <w:rFonts w:ascii="Arial"/>
          <w:color w:val="3A383A"/>
          <w:sz w:val="17"/>
        </w:rPr>
        <w:t>Research</w:t>
      </w:r>
      <w:r>
        <w:rPr>
          <w:rFonts w:ascii="Arial"/>
          <w:color w:val="3A383A"/>
          <w:spacing w:val="-3"/>
          <w:sz w:val="17"/>
        </w:rPr>
        <w:t> </w:t>
      </w:r>
      <w:r>
        <w:rPr>
          <w:rFonts w:ascii="Arial"/>
          <w:color w:val="3A383A"/>
          <w:sz w:val="17"/>
        </w:rPr>
        <w:t>Plan</w:t>
        <w:tab/>
      </w:r>
      <w:r>
        <w:rPr>
          <w:b/>
          <w:i/>
          <w:color w:val="3A383A"/>
          <w:w w:val="105"/>
          <w:sz w:val="19"/>
        </w:rPr>
        <w:t>SS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21"/>
        </w:rPr>
      </w:pPr>
    </w:p>
    <w:p>
      <w:pPr>
        <w:pStyle w:val="BodyText"/>
        <w:spacing w:line="232" w:lineRule="auto"/>
        <w:ind w:left="118" w:right="791" w:firstLine="12"/>
        <w:jc w:val="both"/>
      </w:pPr>
      <w:r>
        <w:rPr>
          <w:color w:val="3A383A"/>
          <w:w w:val="110"/>
        </w:rPr>
        <w:t>feeling as though they are accomplished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researchers because they have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spent much of their lives using computer systems to find answers to ques­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tions both large and  small. Recognize,  however,  that the questions you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are asking in legal research are usually more complex, and they therefore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require more time and careful attention when searching for an answer. </w:t>
      </w:r>
      <w:r>
        <w:rPr>
          <w:rFonts w:ascii="Arial" w:hAnsi="Arial"/>
          <w:color w:val="3A383A"/>
          <w:w w:val="110"/>
          <w:sz w:val="22"/>
        </w:rPr>
        <w:t>If</w:t>
      </w:r>
      <w:r>
        <w:rPr>
          <w:rFonts w:ascii="Arial" w:hAnsi="Arial"/>
          <w:color w:val="3A383A"/>
          <w:spacing w:val="1"/>
          <w:w w:val="110"/>
          <w:sz w:val="22"/>
        </w:rPr>
        <w:t> </w:t>
      </w:r>
      <w:r>
        <w:rPr>
          <w:color w:val="3A383A"/>
          <w:w w:val="110"/>
        </w:rPr>
        <w:t>you use Google or another search engine to ask a simple question with a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definite answer, you are likely to get dozens or hundreds of "hits." </w:t>
      </w:r>
      <w:r>
        <w:rPr>
          <w:color w:val="3A383A"/>
          <w:w w:val="110"/>
          <w:sz w:val="22"/>
        </w:rPr>
        <w:t>If </w:t>
      </w:r>
      <w:r>
        <w:rPr>
          <w:color w:val="3A383A"/>
          <w:w w:val="110"/>
        </w:rPr>
        <w:t>you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scan the first half-dozen or so of those hits and find that they agree with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each other, you would be sensible to stop researching and be satisfied with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0"/>
        </w:rPr>
        <w:t>the answer you have received. In legal research, however, you are often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asking a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more complex question, and you will often ask questions that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could have more than one answer. </w:t>
      </w:r>
      <w:r>
        <w:rPr>
          <w:color w:val="3A383A"/>
          <w:w w:val="110"/>
          <w:sz w:val="22"/>
        </w:rPr>
        <w:t>If </w:t>
      </w:r>
      <w:r>
        <w:rPr>
          <w:color w:val="3A383A"/>
          <w:w w:val="110"/>
        </w:rPr>
        <w:t>you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have an expectation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that the</w:t>
      </w:r>
      <w:r>
        <w:rPr>
          <w:color w:val="3A383A"/>
          <w:spacing w:val="1"/>
          <w:w w:val="110"/>
        </w:rPr>
        <w:t> </w:t>
      </w:r>
      <w:r>
        <w:rPr>
          <w:b/>
          <w:color w:val="3A383A"/>
          <w:w w:val="110"/>
          <w:sz w:val="22"/>
        </w:rPr>
        <w:t>answer </w:t>
      </w:r>
      <w:r>
        <w:rPr>
          <w:b/>
          <w:color w:val="3A383A"/>
          <w:w w:val="110"/>
        </w:rPr>
        <w:t>will </w:t>
      </w:r>
      <w:r>
        <w:rPr>
          <w:color w:val="3A383A"/>
          <w:w w:val="110"/>
        </w:rPr>
        <w:t>bubble to the surface after your first query, you may be misled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0"/>
        </w:rPr>
        <w:t>as to the state of the law or become frustrated in your research, thinking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that something is wrong because you can't find an argument as easily as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05"/>
        </w:rPr>
        <w:t>expected. Recognize that effective legal research may require you to review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10"/>
        </w:rPr>
        <w:t>dozens of cases (and to update those cases in a variety of ways) before you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0"/>
        </w:rPr>
        <w:t>are</w:t>
      </w:r>
      <w:r>
        <w:rPr>
          <w:color w:val="3A383A"/>
          <w:spacing w:val="-1"/>
          <w:w w:val="110"/>
        </w:rPr>
        <w:t> </w:t>
      </w:r>
      <w:r>
        <w:rPr>
          <w:color w:val="3A383A"/>
          <w:w w:val="110"/>
        </w:rPr>
        <w:t>able</w:t>
      </w:r>
      <w:r>
        <w:rPr>
          <w:color w:val="3A383A"/>
          <w:spacing w:val="-1"/>
          <w:w w:val="110"/>
        </w:rPr>
        <w:t> </w:t>
      </w:r>
      <w:r>
        <w:rPr>
          <w:color w:val="3A383A"/>
          <w:w w:val="110"/>
        </w:rPr>
        <w:t>to</w:t>
      </w:r>
      <w:r>
        <w:rPr>
          <w:color w:val="3A383A"/>
          <w:spacing w:val="24"/>
          <w:w w:val="110"/>
        </w:rPr>
        <w:t> </w:t>
      </w:r>
      <w:r>
        <w:rPr>
          <w:color w:val="3A383A"/>
          <w:w w:val="110"/>
        </w:rPr>
        <w:t>identify</w:t>
      </w:r>
      <w:r>
        <w:rPr>
          <w:color w:val="3A383A"/>
          <w:spacing w:val="-3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24"/>
          <w:w w:val="110"/>
        </w:rPr>
        <w:t> </w:t>
      </w:r>
      <w:r>
        <w:rPr>
          <w:color w:val="3A383A"/>
          <w:w w:val="110"/>
        </w:rPr>
        <w:t>authorities</w:t>
      </w:r>
      <w:r>
        <w:rPr>
          <w:color w:val="3A383A"/>
          <w:spacing w:val="6"/>
          <w:w w:val="110"/>
        </w:rPr>
        <w:t> </w:t>
      </w:r>
      <w:r>
        <w:rPr>
          <w:color w:val="3A383A"/>
          <w:w w:val="110"/>
        </w:rPr>
        <w:t>that</w:t>
      </w:r>
      <w:r>
        <w:rPr>
          <w:color w:val="3A383A"/>
          <w:spacing w:val="-9"/>
          <w:w w:val="110"/>
        </w:rPr>
        <w:t> </w:t>
      </w:r>
      <w:r>
        <w:rPr>
          <w:color w:val="3A383A"/>
          <w:w w:val="110"/>
        </w:rPr>
        <w:t>govern</w:t>
      </w:r>
      <w:r>
        <w:rPr>
          <w:color w:val="3A383A"/>
          <w:spacing w:val="3"/>
          <w:w w:val="110"/>
        </w:rPr>
        <w:t> </w:t>
      </w:r>
      <w:r>
        <w:rPr>
          <w:color w:val="3A383A"/>
          <w:w w:val="110"/>
        </w:rPr>
        <w:t>your</w:t>
      </w:r>
      <w:r>
        <w:rPr>
          <w:color w:val="3A383A"/>
          <w:spacing w:val="13"/>
          <w:w w:val="110"/>
        </w:rPr>
        <w:t> </w:t>
      </w:r>
      <w:r>
        <w:rPr>
          <w:color w:val="3A383A"/>
          <w:w w:val="110"/>
        </w:rPr>
        <w:t>particular</w:t>
      </w:r>
      <w:r>
        <w:rPr>
          <w:color w:val="3A383A"/>
          <w:spacing w:val="14"/>
          <w:w w:val="110"/>
        </w:rPr>
        <w:t> </w:t>
      </w:r>
      <w:r>
        <w:rPr>
          <w:color w:val="3A383A"/>
          <w:w w:val="110"/>
        </w:rPr>
        <w:t>issues.</w:t>
      </w:r>
    </w:p>
    <w:p>
      <w:pPr>
        <w:pStyle w:val="BodyText"/>
        <w:spacing w:line="235" w:lineRule="auto" w:before="21"/>
        <w:ind w:left="130" w:right="752" w:firstLine="358"/>
      </w:pPr>
      <w:r>
        <w:rPr>
          <w:color w:val="3A383A"/>
          <w:w w:val="110"/>
        </w:rPr>
        <w:t>This is not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to say that you </w:t>
      </w:r>
      <w:r>
        <w:rPr>
          <w:i/>
          <w:color w:val="3A383A"/>
          <w:w w:val="110"/>
        </w:rPr>
        <w:t>cannot </w:t>
      </w:r>
      <w:r>
        <w:rPr>
          <w:color w:val="3A383A"/>
          <w:w w:val="110"/>
        </w:rPr>
        <w:t>use Google or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other nonlegal search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5"/>
        </w:rPr>
        <w:t>engines</w:t>
      </w:r>
      <w:r>
        <w:rPr>
          <w:color w:val="3A383A"/>
          <w:spacing w:val="22"/>
          <w:w w:val="115"/>
        </w:rPr>
        <w:t> </w:t>
      </w:r>
      <w:r>
        <w:rPr>
          <w:color w:val="3A383A"/>
          <w:w w:val="115"/>
        </w:rPr>
        <w:t>to</w:t>
      </w:r>
      <w:r>
        <w:rPr>
          <w:color w:val="3A383A"/>
          <w:spacing w:val="38"/>
          <w:w w:val="115"/>
        </w:rPr>
        <w:t> </w:t>
      </w:r>
      <w:r>
        <w:rPr>
          <w:color w:val="3A383A"/>
          <w:w w:val="115"/>
        </w:rPr>
        <w:t>assist</w:t>
      </w:r>
      <w:r>
        <w:rPr>
          <w:color w:val="3A383A"/>
          <w:spacing w:val="24"/>
          <w:w w:val="115"/>
        </w:rPr>
        <w:t> </w:t>
      </w:r>
      <w:r>
        <w:rPr>
          <w:color w:val="3A383A"/>
          <w:w w:val="115"/>
        </w:rPr>
        <w:t>you</w:t>
      </w:r>
      <w:r>
        <w:rPr>
          <w:color w:val="3A383A"/>
          <w:spacing w:val="37"/>
          <w:w w:val="115"/>
        </w:rPr>
        <w:t> </w:t>
      </w:r>
      <w:r>
        <w:rPr>
          <w:color w:val="3A383A"/>
          <w:w w:val="115"/>
        </w:rPr>
        <w:t>in</w:t>
      </w:r>
      <w:r>
        <w:rPr>
          <w:color w:val="3A383A"/>
          <w:spacing w:val="45"/>
          <w:w w:val="115"/>
        </w:rPr>
        <w:t> </w:t>
      </w:r>
      <w:r>
        <w:rPr>
          <w:color w:val="3A383A"/>
          <w:w w:val="115"/>
        </w:rPr>
        <w:t>your</w:t>
      </w:r>
      <w:r>
        <w:rPr>
          <w:color w:val="3A383A"/>
          <w:spacing w:val="24"/>
          <w:w w:val="115"/>
        </w:rPr>
        <w:t> </w:t>
      </w:r>
      <w:r>
        <w:rPr>
          <w:color w:val="3A383A"/>
          <w:w w:val="115"/>
        </w:rPr>
        <w:t>research.</w:t>
      </w:r>
      <w:r>
        <w:rPr>
          <w:color w:val="3A383A"/>
          <w:spacing w:val="-3"/>
          <w:w w:val="115"/>
        </w:rPr>
        <w:t> </w:t>
      </w:r>
      <w:r>
        <w:rPr>
          <w:color w:val="3A383A"/>
          <w:w w:val="115"/>
        </w:rPr>
        <w:t>Just</w:t>
      </w:r>
      <w:r>
        <w:rPr>
          <w:color w:val="3A383A"/>
          <w:spacing w:val="24"/>
          <w:w w:val="115"/>
        </w:rPr>
        <w:t> </w:t>
      </w:r>
      <w:r>
        <w:rPr>
          <w:color w:val="3A383A"/>
          <w:w w:val="115"/>
        </w:rPr>
        <w:t>realize</w:t>
      </w:r>
      <w:r>
        <w:rPr>
          <w:color w:val="3A383A"/>
          <w:spacing w:val="25"/>
          <w:w w:val="115"/>
        </w:rPr>
        <w:t> </w:t>
      </w:r>
      <w:r>
        <w:rPr>
          <w:color w:val="3A383A"/>
          <w:w w:val="115"/>
        </w:rPr>
        <w:t>that</w:t>
      </w:r>
      <w:r>
        <w:rPr>
          <w:color w:val="3A383A"/>
          <w:spacing w:val="26"/>
          <w:w w:val="115"/>
        </w:rPr>
        <w:t> </w:t>
      </w:r>
      <w:r>
        <w:rPr>
          <w:color w:val="3A383A"/>
          <w:w w:val="115"/>
        </w:rPr>
        <w:t>legal</w:t>
      </w:r>
      <w:r>
        <w:rPr>
          <w:color w:val="3A383A"/>
          <w:spacing w:val="28"/>
          <w:w w:val="115"/>
        </w:rPr>
        <w:t> </w:t>
      </w:r>
      <w:r>
        <w:rPr>
          <w:color w:val="3A383A"/>
          <w:w w:val="115"/>
        </w:rPr>
        <w:t>research</w:t>
      </w:r>
      <w:r>
        <w:rPr>
          <w:color w:val="3A383A"/>
          <w:spacing w:val="-63"/>
          <w:w w:val="115"/>
        </w:rPr>
        <w:t> </w:t>
      </w:r>
      <w:r>
        <w:rPr>
          <w:color w:val="3A383A"/>
          <w:w w:val="110"/>
        </w:rPr>
        <w:t>requires more thoroughness and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more patience than the nonlegal searches</w:t>
      </w:r>
      <w:r>
        <w:rPr>
          <w:color w:val="3A383A"/>
          <w:spacing w:val="1"/>
          <w:w w:val="110"/>
        </w:rPr>
        <w:t> </w:t>
      </w:r>
      <w:r>
        <w:rPr>
          <w:color w:val="3A383A"/>
          <w:spacing w:val="-1"/>
          <w:w w:val="115"/>
        </w:rPr>
        <w:t>you</w:t>
      </w:r>
      <w:r>
        <w:rPr>
          <w:color w:val="3A383A"/>
          <w:spacing w:val="4"/>
          <w:w w:val="115"/>
        </w:rPr>
        <w:t> </w:t>
      </w:r>
      <w:r>
        <w:rPr>
          <w:color w:val="3A383A"/>
          <w:spacing w:val="-1"/>
          <w:w w:val="115"/>
        </w:rPr>
        <w:t>may</w:t>
      </w:r>
      <w:r>
        <w:rPr>
          <w:color w:val="3A383A"/>
          <w:spacing w:val="7"/>
          <w:w w:val="115"/>
        </w:rPr>
        <w:t> </w:t>
      </w:r>
      <w:r>
        <w:rPr>
          <w:color w:val="3A383A"/>
          <w:spacing w:val="-1"/>
          <w:w w:val="115"/>
        </w:rPr>
        <w:t>have</w:t>
      </w:r>
      <w:r>
        <w:rPr>
          <w:color w:val="3A383A"/>
          <w:spacing w:val="-4"/>
          <w:w w:val="115"/>
        </w:rPr>
        <w:t> </w:t>
      </w:r>
      <w:r>
        <w:rPr>
          <w:color w:val="3A383A"/>
          <w:w w:val="115"/>
        </w:rPr>
        <w:t>conducted</w:t>
      </w:r>
      <w:r>
        <w:rPr>
          <w:color w:val="3A383A"/>
          <w:spacing w:val="19"/>
          <w:w w:val="115"/>
        </w:rPr>
        <w:t> </w:t>
      </w:r>
      <w:r>
        <w:rPr>
          <w:color w:val="3A383A"/>
          <w:w w:val="115"/>
        </w:rPr>
        <w:t>in</w:t>
      </w:r>
      <w:r>
        <w:rPr>
          <w:color w:val="3A383A"/>
          <w:spacing w:val="20"/>
          <w:w w:val="115"/>
        </w:rPr>
        <w:t> </w:t>
      </w:r>
      <w:r>
        <w:rPr>
          <w:color w:val="3A383A"/>
          <w:w w:val="115"/>
        </w:rPr>
        <w:t>the</w:t>
      </w:r>
      <w:r>
        <w:rPr>
          <w:color w:val="3A383A"/>
          <w:spacing w:val="18"/>
          <w:w w:val="115"/>
        </w:rPr>
        <w:t> </w:t>
      </w:r>
      <w:r>
        <w:rPr>
          <w:color w:val="3A383A"/>
          <w:w w:val="115"/>
        </w:rPr>
        <w:t>past.</w:t>
      </w:r>
      <w:r>
        <w:rPr>
          <w:color w:val="3A383A"/>
          <w:spacing w:val="-16"/>
          <w:w w:val="115"/>
        </w:rPr>
        <w:t> </w:t>
      </w:r>
      <w:r>
        <w:rPr>
          <w:rFonts w:ascii="Arial" w:hAnsi="Arial"/>
          <w:color w:val="3A383A"/>
          <w:w w:val="115"/>
          <w:sz w:val="22"/>
        </w:rPr>
        <w:t>If</w:t>
      </w:r>
      <w:r>
        <w:rPr>
          <w:rFonts w:ascii="Arial" w:hAnsi="Arial"/>
          <w:color w:val="3A383A"/>
          <w:spacing w:val="26"/>
          <w:w w:val="115"/>
          <w:sz w:val="22"/>
        </w:rPr>
        <w:t> </w:t>
      </w:r>
      <w:r>
        <w:rPr>
          <w:color w:val="3A383A"/>
          <w:w w:val="115"/>
        </w:rPr>
        <w:t>you</w:t>
      </w:r>
      <w:r>
        <w:rPr>
          <w:color w:val="3A383A"/>
          <w:spacing w:val="10"/>
          <w:w w:val="115"/>
        </w:rPr>
        <w:t> </w:t>
      </w:r>
      <w:r>
        <w:rPr>
          <w:color w:val="3A383A"/>
          <w:w w:val="115"/>
        </w:rPr>
        <w:t>have</w:t>
      </w:r>
      <w:r>
        <w:rPr>
          <w:color w:val="3A383A"/>
          <w:spacing w:val="9"/>
          <w:w w:val="115"/>
        </w:rPr>
        <w:t> </w:t>
      </w:r>
      <w:r>
        <w:rPr>
          <w:color w:val="3A383A"/>
          <w:w w:val="115"/>
        </w:rPr>
        <w:t>not</w:t>
      </w:r>
      <w:r>
        <w:rPr>
          <w:color w:val="3A383A"/>
          <w:spacing w:val="21"/>
          <w:w w:val="115"/>
        </w:rPr>
        <w:t> </w:t>
      </w:r>
      <w:r>
        <w:rPr>
          <w:color w:val="3A383A"/>
          <w:w w:val="115"/>
        </w:rPr>
        <w:t>yet</w:t>
      </w:r>
      <w:r>
        <w:rPr>
          <w:color w:val="3A383A"/>
          <w:spacing w:val="2"/>
          <w:w w:val="115"/>
        </w:rPr>
        <w:t> </w:t>
      </w:r>
      <w:r>
        <w:rPr>
          <w:color w:val="3A383A"/>
          <w:w w:val="115"/>
        </w:rPr>
        <w:t>become</w:t>
      </w:r>
      <w:r>
        <w:rPr>
          <w:color w:val="3A383A"/>
          <w:spacing w:val="11"/>
          <w:w w:val="115"/>
        </w:rPr>
        <w:t> </w:t>
      </w:r>
      <w:r>
        <w:rPr>
          <w:color w:val="3A383A"/>
          <w:w w:val="115"/>
        </w:rPr>
        <w:t>profi­</w:t>
      </w:r>
      <w:r>
        <w:rPr>
          <w:color w:val="3A383A"/>
          <w:spacing w:val="-64"/>
          <w:w w:val="115"/>
        </w:rPr>
        <w:t> </w:t>
      </w:r>
      <w:r>
        <w:rPr>
          <w:color w:val="3A383A"/>
          <w:w w:val="115"/>
        </w:rPr>
        <w:t>cient in conducting Boolean, or "terms and connectors" research, now </w:t>
      </w:r>
      <w:r>
        <w:rPr>
          <w:color w:val="3A383A"/>
          <w:w w:val="115"/>
          <w:sz w:val="21"/>
        </w:rPr>
        <w:t>i</w:t>
      </w:r>
      <w:r>
        <w:rPr>
          <w:color w:val="3A383A"/>
          <w:spacing w:val="1"/>
          <w:w w:val="115"/>
          <w:sz w:val="21"/>
        </w:rPr>
        <w:t> </w:t>
      </w:r>
      <w:r>
        <w:rPr>
          <w:color w:val="3A383A"/>
          <w:w w:val="110"/>
        </w:rPr>
        <w:t>a</w:t>
      </w:r>
      <w:r>
        <w:rPr>
          <w:color w:val="3A383A"/>
          <w:spacing w:val="10"/>
          <w:w w:val="110"/>
        </w:rPr>
        <w:t> </w:t>
      </w:r>
      <w:r>
        <w:rPr>
          <w:color w:val="3A383A"/>
          <w:w w:val="110"/>
        </w:rPr>
        <w:t>good</w:t>
      </w:r>
      <w:r>
        <w:rPr>
          <w:color w:val="3A383A"/>
          <w:spacing w:val="14"/>
          <w:w w:val="110"/>
        </w:rPr>
        <w:t> </w:t>
      </w:r>
      <w:r>
        <w:rPr>
          <w:color w:val="3A383A"/>
          <w:w w:val="110"/>
        </w:rPr>
        <w:t>time</w:t>
      </w:r>
      <w:r>
        <w:rPr>
          <w:color w:val="3A383A"/>
          <w:spacing w:val="2"/>
          <w:w w:val="110"/>
        </w:rPr>
        <w:t> </w:t>
      </w:r>
      <w:r>
        <w:rPr>
          <w:color w:val="3A383A"/>
          <w:w w:val="110"/>
        </w:rPr>
        <w:t>to</w:t>
      </w:r>
      <w:r>
        <w:rPr>
          <w:color w:val="3A383A"/>
          <w:spacing w:val="15"/>
          <w:w w:val="110"/>
        </w:rPr>
        <w:t> </w:t>
      </w:r>
      <w:r>
        <w:rPr>
          <w:color w:val="3A383A"/>
          <w:w w:val="110"/>
        </w:rPr>
        <w:t>do</w:t>
      </w:r>
      <w:r>
        <w:rPr>
          <w:color w:val="3A383A"/>
          <w:spacing w:val="5"/>
          <w:w w:val="110"/>
        </w:rPr>
        <w:t> </w:t>
      </w:r>
      <w:r>
        <w:rPr>
          <w:color w:val="3A383A"/>
          <w:w w:val="110"/>
        </w:rPr>
        <w:t>so.</w:t>
      </w:r>
      <w:r>
        <w:rPr>
          <w:color w:val="3A383A"/>
          <w:spacing w:val="-6"/>
          <w:w w:val="110"/>
        </w:rPr>
        <w:t> </w:t>
      </w:r>
      <w:r>
        <w:rPr>
          <w:color w:val="3A383A"/>
          <w:w w:val="110"/>
        </w:rPr>
        <w:t>These</w:t>
      </w:r>
      <w:r>
        <w:rPr>
          <w:color w:val="3A383A"/>
          <w:spacing w:val="-3"/>
          <w:w w:val="110"/>
        </w:rPr>
        <w:t> </w:t>
      </w:r>
      <w:r>
        <w:rPr>
          <w:color w:val="3A383A"/>
          <w:w w:val="110"/>
        </w:rPr>
        <w:t>searches</w:t>
      </w:r>
      <w:r>
        <w:rPr>
          <w:color w:val="3A383A"/>
          <w:spacing w:val="5"/>
          <w:w w:val="110"/>
        </w:rPr>
        <w:t> </w:t>
      </w:r>
      <w:r>
        <w:rPr>
          <w:color w:val="3A383A"/>
          <w:w w:val="110"/>
        </w:rPr>
        <w:t>allow</w:t>
      </w:r>
      <w:r>
        <w:rPr>
          <w:color w:val="3A383A"/>
          <w:spacing w:val="4"/>
          <w:w w:val="110"/>
        </w:rPr>
        <w:t> </w:t>
      </w:r>
      <w:r>
        <w:rPr>
          <w:color w:val="3A383A"/>
          <w:w w:val="110"/>
        </w:rPr>
        <w:t>you</w:t>
      </w:r>
      <w:r>
        <w:rPr>
          <w:color w:val="3A383A"/>
          <w:spacing w:val="25"/>
          <w:w w:val="110"/>
        </w:rPr>
        <w:t> </w:t>
      </w:r>
      <w:r>
        <w:rPr>
          <w:color w:val="3A383A"/>
          <w:w w:val="110"/>
        </w:rPr>
        <w:t>to</w:t>
      </w:r>
      <w:r>
        <w:rPr>
          <w:color w:val="3A383A"/>
          <w:spacing w:val="23"/>
          <w:w w:val="110"/>
        </w:rPr>
        <w:t> </w:t>
      </w:r>
      <w:r>
        <w:rPr>
          <w:color w:val="3A383A"/>
          <w:w w:val="110"/>
        </w:rPr>
        <w:t>find</w:t>
      </w:r>
      <w:r>
        <w:rPr>
          <w:color w:val="3A383A"/>
          <w:spacing w:val="14"/>
          <w:w w:val="110"/>
        </w:rPr>
        <w:t> </w:t>
      </w:r>
      <w:r>
        <w:rPr>
          <w:color w:val="3A383A"/>
          <w:w w:val="110"/>
        </w:rPr>
        <w:t>legal</w:t>
      </w:r>
      <w:r>
        <w:rPr>
          <w:color w:val="3A383A"/>
          <w:spacing w:val="9"/>
          <w:w w:val="110"/>
        </w:rPr>
        <w:t> </w:t>
      </w:r>
      <w:r>
        <w:rPr>
          <w:color w:val="3A383A"/>
          <w:w w:val="110"/>
        </w:rPr>
        <w:t>sources</w:t>
      </w:r>
      <w:r>
        <w:rPr>
          <w:color w:val="3A383A"/>
          <w:spacing w:val="10"/>
          <w:w w:val="110"/>
        </w:rPr>
        <w:t> </w:t>
      </w:r>
      <w:r>
        <w:rPr>
          <w:color w:val="3A383A"/>
          <w:w w:val="110"/>
        </w:rPr>
        <w:t>wit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more</w:t>
      </w:r>
      <w:r>
        <w:rPr>
          <w:color w:val="3A383A"/>
          <w:spacing w:val="2"/>
          <w:w w:val="115"/>
        </w:rPr>
        <w:t> </w:t>
      </w:r>
      <w:r>
        <w:rPr>
          <w:color w:val="3A383A"/>
          <w:w w:val="115"/>
        </w:rPr>
        <w:t>precision.</w:t>
      </w:r>
      <w:r>
        <w:rPr>
          <w:color w:val="3A383A"/>
          <w:w w:val="115"/>
          <w:vertAlign w:val="superscript"/>
        </w:rPr>
        <w:t>21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541" w:right="0" w:firstLine="0"/>
        <w:jc w:val="left"/>
        <w:rPr>
          <w:sz w:val="30"/>
        </w:rPr>
      </w:pPr>
      <w:r>
        <w:rPr>
          <w:color w:val="3A383A"/>
          <w:w w:val="110"/>
          <w:sz w:val="30"/>
        </w:rPr>
        <w:t>3.3.1</w:t>
      </w:r>
    </w:p>
    <w:p>
      <w:pPr>
        <w:spacing w:before="19"/>
        <w:ind w:left="549" w:right="0" w:firstLine="0"/>
        <w:jc w:val="left"/>
        <w:rPr>
          <w:rFonts w:ascii="Arial"/>
          <w:sz w:val="21"/>
        </w:rPr>
      </w:pPr>
      <w:r>
        <w:rPr>
          <w:color w:val="3A383A"/>
          <w:sz w:val="24"/>
        </w:rPr>
        <w:t>RESEARCHING</w:t>
      </w:r>
      <w:r>
        <w:rPr>
          <w:color w:val="3A383A"/>
          <w:spacing w:val="26"/>
          <w:sz w:val="24"/>
        </w:rPr>
        <w:t> </w:t>
      </w:r>
      <w:r>
        <w:rPr>
          <w:rFonts w:ascii="Arial"/>
          <w:color w:val="3A383A"/>
          <w:sz w:val="21"/>
        </w:rPr>
        <w:t>STATUTORY</w:t>
      </w:r>
      <w:r>
        <w:rPr>
          <w:rFonts w:ascii="Arial"/>
          <w:color w:val="3A383A"/>
          <w:spacing w:val="10"/>
          <w:sz w:val="21"/>
        </w:rPr>
        <w:t> </w:t>
      </w:r>
      <w:r>
        <w:rPr>
          <w:rFonts w:ascii="Arial"/>
          <w:color w:val="3A383A"/>
          <w:sz w:val="21"/>
        </w:rPr>
        <w:t>ISSUES</w:t>
      </w:r>
    </w:p>
    <w:p>
      <w:pPr>
        <w:pStyle w:val="BodyText"/>
        <w:spacing w:line="232" w:lineRule="auto" w:before="163"/>
        <w:ind w:left="146" w:right="670" w:firstLine="372"/>
        <w:jc w:val="both"/>
      </w:pPr>
      <w:r>
        <w:rPr>
          <w:color w:val="3A383A"/>
          <w:w w:val="115"/>
        </w:rPr>
        <w:t>If your case presents an issue of statutory or constitutional construc­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tion, you should conduct some research in the text or online versions of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the United States Code Annotated or the United States Code Service (or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0"/>
        </w:rPr>
        <w:t>the  relevant state court code collections).  Note that  for some resources, it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is easier and faster to use the hard-copy version to survey a wide array of</w:t>
      </w:r>
      <w:r>
        <w:rPr>
          <w:color w:val="3A383A"/>
          <w:spacing w:val="1"/>
          <w:w w:val="110"/>
        </w:rPr>
        <w:t> </w:t>
      </w:r>
      <w:r>
        <w:rPr>
          <w:color w:val="3A383A"/>
          <w:spacing w:val="-1"/>
          <w:w w:val="115"/>
        </w:rPr>
        <w:t>authorities</w:t>
      </w:r>
      <w:r>
        <w:rPr>
          <w:color w:val="3A383A"/>
          <w:spacing w:val="-4"/>
          <w:w w:val="115"/>
        </w:rPr>
        <w:t> </w:t>
      </w:r>
      <w:r>
        <w:rPr>
          <w:color w:val="3A383A"/>
          <w:w w:val="115"/>
        </w:rPr>
        <w:t>that</w:t>
      </w:r>
      <w:r>
        <w:rPr>
          <w:color w:val="3A383A"/>
          <w:spacing w:val="-2"/>
          <w:w w:val="115"/>
        </w:rPr>
        <w:t> </w:t>
      </w:r>
      <w:r>
        <w:rPr>
          <w:color w:val="3A383A"/>
          <w:w w:val="115"/>
        </w:rPr>
        <w:t>have</w:t>
      </w:r>
      <w:r>
        <w:rPr>
          <w:color w:val="3A383A"/>
          <w:spacing w:val="-25"/>
          <w:w w:val="115"/>
        </w:rPr>
        <w:t> </w:t>
      </w:r>
      <w:r>
        <w:rPr>
          <w:color w:val="3A383A"/>
          <w:w w:val="115"/>
        </w:rPr>
        <w:t>cited</w:t>
      </w:r>
      <w:r>
        <w:rPr>
          <w:color w:val="3A383A"/>
          <w:spacing w:val="-2"/>
          <w:w w:val="115"/>
        </w:rPr>
        <w:t> </w:t>
      </w:r>
      <w:r>
        <w:rPr>
          <w:color w:val="3A383A"/>
          <w:w w:val="115"/>
        </w:rPr>
        <w:t>the</w:t>
      </w:r>
      <w:r>
        <w:rPr>
          <w:color w:val="3A383A"/>
          <w:spacing w:val="9"/>
          <w:w w:val="115"/>
        </w:rPr>
        <w:t> </w:t>
      </w:r>
      <w:r>
        <w:rPr>
          <w:color w:val="3A383A"/>
          <w:w w:val="115"/>
        </w:rPr>
        <w:t>relevant</w:t>
      </w:r>
      <w:r>
        <w:rPr>
          <w:color w:val="3A383A"/>
          <w:spacing w:val="-5"/>
          <w:w w:val="115"/>
        </w:rPr>
        <w:t> </w:t>
      </w:r>
      <w:r>
        <w:rPr>
          <w:color w:val="3A383A"/>
          <w:w w:val="115"/>
        </w:rPr>
        <w:t>statute</w:t>
      </w:r>
      <w:r>
        <w:rPr>
          <w:color w:val="3A383A"/>
          <w:spacing w:val="-26"/>
          <w:w w:val="115"/>
        </w:rPr>
        <w:t> </w:t>
      </w:r>
      <w:r>
        <w:rPr>
          <w:color w:val="3A383A"/>
          <w:w w:val="115"/>
        </w:rPr>
        <w:t>or</w:t>
      </w:r>
      <w:r>
        <w:rPr>
          <w:color w:val="3A383A"/>
          <w:spacing w:val="-12"/>
          <w:w w:val="115"/>
        </w:rPr>
        <w:t> </w:t>
      </w:r>
      <w:r>
        <w:rPr>
          <w:color w:val="3A383A"/>
          <w:w w:val="115"/>
        </w:rPr>
        <w:t>constitutional</w:t>
      </w:r>
      <w:r>
        <w:rPr>
          <w:color w:val="3A383A"/>
          <w:spacing w:val="-18"/>
          <w:w w:val="115"/>
        </w:rPr>
        <w:t> </w:t>
      </w:r>
      <w:r>
        <w:rPr>
          <w:color w:val="3A383A"/>
          <w:w w:val="115"/>
        </w:rPr>
        <w:t>provision.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In addition, remember that courts are interested in hearing about inter­</w:t>
      </w:r>
      <w:r>
        <w:rPr>
          <w:color w:val="3A383A"/>
          <w:spacing w:val="1"/>
          <w:w w:val="115"/>
        </w:rPr>
        <w:t> </w:t>
      </w:r>
      <w:r>
        <w:rPr>
          <w:color w:val="3A383A"/>
          <w:spacing w:val="-1"/>
          <w:w w:val="115"/>
        </w:rPr>
        <w:t>pretations of similar </w:t>
      </w:r>
      <w:r>
        <w:rPr>
          <w:color w:val="3A383A"/>
          <w:w w:val="115"/>
        </w:rPr>
        <w:t>statutes, or even different statutes that use similar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phrases</w:t>
      </w:r>
      <w:r>
        <w:rPr>
          <w:color w:val="3A383A"/>
          <w:spacing w:val="-13"/>
          <w:w w:val="115"/>
        </w:rPr>
        <w:t> </w:t>
      </w:r>
      <w:r>
        <w:rPr>
          <w:color w:val="3A383A"/>
          <w:w w:val="115"/>
        </w:rPr>
        <w:t>or</w:t>
      </w:r>
      <w:r>
        <w:rPr>
          <w:color w:val="3A383A"/>
          <w:spacing w:val="2"/>
          <w:w w:val="115"/>
        </w:rPr>
        <w:t> </w:t>
      </w:r>
      <w:r>
        <w:rPr>
          <w:color w:val="3A383A"/>
          <w:w w:val="115"/>
        </w:rPr>
        <w:t>clauses.</w:t>
      </w:r>
    </w:p>
    <w:p>
      <w:pPr>
        <w:pStyle w:val="BodyText"/>
        <w:spacing w:line="235" w:lineRule="auto"/>
        <w:ind w:left="153" w:right="667" w:firstLine="376"/>
        <w:jc w:val="both"/>
      </w:pPr>
      <w:r>
        <w:rPr>
          <w:color w:val="3A383A"/>
          <w:w w:val="115"/>
        </w:rPr>
        <w:t>For example, </w:t>
      </w:r>
      <w:r>
        <w:rPr>
          <w:color w:val="3A383A"/>
          <w:w w:val="115"/>
          <w:sz w:val="22"/>
        </w:rPr>
        <w:t>if </w:t>
      </w:r>
      <w:r>
        <w:rPr>
          <w:color w:val="3A383A"/>
          <w:w w:val="115"/>
        </w:rPr>
        <w:t>your case involves the federal Age Discrimination in</w:t>
      </w:r>
      <w:r>
        <w:rPr>
          <w:color w:val="3A383A"/>
          <w:spacing w:val="-64"/>
          <w:w w:val="115"/>
        </w:rPr>
        <w:t> </w:t>
      </w:r>
      <w:r>
        <w:rPr>
          <w:color w:val="3A383A"/>
          <w:w w:val="115"/>
        </w:rPr>
        <w:t>Employment</w:t>
      </w:r>
      <w:r>
        <w:rPr>
          <w:color w:val="3A383A"/>
          <w:spacing w:val="-3"/>
          <w:w w:val="115"/>
        </w:rPr>
        <w:t> </w:t>
      </w:r>
      <w:r>
        <w:rPr>
          <w:color w:val="3A383A"/>
          <w:w w:val="115"/>
        </w:rPr>
        <w:t>Act,</w:t>
      </w:r>
      <w:r>
        <w:rPr>
          <w:color w:val="3A383A"/>
          <w:spacing w:val="-7"/>
          <w:w w:val="115"/>
        </w:rPr>
        <w:t> </w:t>
      </w:r>
      <w:r>
        <w:rPr>
          <w:rFonts w:ascii="Arial"/>
          <w:i/>
          <w:color w:val="3A383A"/>
          <w:w w:val="115"/>
          <w:sz w:val="21"/>
        </w:rPr>
        <w:t>you</w:t>
      </w:r>
      <w:r>
        <w:rPr>
          <w:rFonts w:ascii="Arial"/>
          <w:i/>
          <w:color w:val="3A383A"/>
          <w:spacing w:val="15"/>
          <w:w w:val="115"/>
          <w:sz w:val="21"/>
        </w:rPr>
        <w:t> </w:t>
      </w:r>
      <w:r>
        <w:rPr>
          <w:color w:val="3A383A"/>
          <w:w w:val="115"/>
        </w:rPr>
        <w:t>might</w:t>
      </w:r>
      <w:r>
        <w:rPr>
          <w:color w:val="3A383A"/>
          <w:spacing w:val="-6"/>
          <w:w w:val="115"/>
        </w:rPr>
        <w:t> </w:t>
      </w:r>
      <w:r>
        <w:rPr>
          <w:color w:val="3A383A"/>
          <w:w w:val="115"/>
        </w:rPr>
        <w:t>look</w:t>
      </w:r>
      <w:r>
        <w:rPr>
          <w:color w:val="3A383A"/>
          <w:spacing w:val="-9"/>
          <w:w w:val="115"/>
        </w:rPr>
        <w:t> </w:t>
      </w:r>
      <w:r>
        <w:rPr>
          <w:color w:val="3A383A"/>
          <w:w w:val="115"/>
        </w:rPr>
        <w:t>for</w:t>
      </w:r>
      <w:r>
        <w:rPr>
          <w:color w:val="3A383A"/>
          <w:spacing w:val="-13"/>
          <w:w w:val="115"/>
        </w:rPr>
        <w:t> </w:t>
      </w:r>
      <w:r>
        <w:rPr>
          <w:color w:val="3A383A"/>
          <w:w w:val="115"/>
        </w:rPr>
        <w:t>similar language</w:t>
      </w:r>
      <w:r>
        <w:rPr>
          <w:color w:val="3A383A"/>
          <w:spacing w:val="-8"/>
          <w:w w:val="115"/>
        </w:rPr>
        <w:t> </w:t>
      </w:r>
      <w:r>
        <w:rPr>
          <w:color w:val="3A383A"/>
          <w:w w:val="115"/>
        </w:rPr>
        <w:t>in</w:t>
      </w:r>
      <w:r>
        <w:rPr>
          <w:color w:val="3A383A"/>
          <w:spacing w:val="-2"/>
          <w:w w:val="115"/>
        </w:rPr>
        <w:t> </w:t>
      </w:r>
      <w:r>
        <w:rPr>
          <w:color w:val="3A383A"/>
          <w:w w:val="115"/>
        </w:rPr>
        <w:t>Title</w:t>
      </w:r>
      <w:r>
        <w:rPr>
          <w:color w:val="3A383A"/>
          <w:spacing w:val="-14"/>
          <w:w w:val="115"/>
        </w:rPr>
        <w:t> </w:t>
      </w:r>
      <w:r>
        <w:rPr>
          <w:color w:val="3A383A"/>
          <w:w w:val="115"/>
        </w:rPr>
        <w:t>VII</w:t>
      </w:r>
      <w:r>
        <w:rPr>
          <w:color w:val="3A383A"/>
          <w:spacing w:val="-16"/>
          <w:w w:val="115"/>
        </w:rPr>
        <w:t> </w:t>
      </w:r>
      <w:r>
        <w:rPr>
          <w:color w:val="3A383A"/>
          <w:w w:val="115"/>
        </w:rPr>
        <w:t>of</w:t>
      </w:r>
      <w:r>
        <w:rPr>
          <w:color w:val="3A383A"/>
          <w:spacing w:val="-5"/>
          <w:w w:val="115"/>
        </w:rPr>
        <w:t> </w:t>
      </w:r>
      <w:r>
        <w:rPr>
          <w:color w:val="3A383A"/>
          <w:w w:val="115"/>
        </w:rPr>
        <w:t>the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</w:pPr>
    </w:p>
    <w:p>
      <w:pPr>
        <w:spacing w:line="223" w:lineRule="auto" w:before="0"/>
        <w:ind w:left="152" w:right="610" w:firstLine="379"/>
        <w:jc w:val="both"/>
        <w:rPr>
          <w:sz w:val="18"/>
        </w:rPr>
      </w:pPr>
      <w:r>
        <w:rPr>
          <w:color w:val="3A383A"/>
          <w:w w:val="110"/>
          <w:sz w:val="18"/>
          <w:vertAlign w:val="superscript"/>
        </w:rPr>
        <w:t>21</w:t>
      </w:r>
      <w:r>
        <w:rPr>
          <w:color w:val="3A383A"/>
          <w:w w:val="110"/>
          <w:sz w:val="18"/>
          <w:vertAlign w:val="baseline"/>
        </w:rPr>
        <w:t>Take the</w:t>
      </w:r>
      <w:r>
        <w:rPr>
          <w:color w:val="3A383A"/>
          <w:spacing w:val="1"/>
          <w:w w:val="110"/>
          <w:sz w:val="18"/>
          <w:vertAlign w:val="baseline"/>
        </w:rPr>
        <w:t> </w:t>
      </w:r>
      <w:r>
        <w:rPr>
          <w:color w:val="3A383A"/>
          <w:w w:val="110"/>
          <w:sz w:val="18"/>
          <w:vertAlign w:val="baseline"/>
        </w:rPr>
        <w:t>time to learn the benefits and llmltatlons of the various search engines that you</w:t>
      </w:r>
      <w:r>
        <w:rPr>
          <w:color w:val="3A383A"/>
          <w:spacing w:val="1"/>
          <w:w w:val="110"/>
          <w:sz w:val="18"/>
          <w:vertAlign w:val="baseline"/>
        </w:rPr>
        <w:t> </w:t>
      </w:r>
      <w:r>
        <w:rPr>
          <w:color w:val="3A383A"/>
          <w:w w:val="105"/>
          <w:sz w:val="18"/>
          <w:vertAlign w:val="baseline"/>
        </w:rPr>
        <w:t>use. As of</w:t>
      </w:r>
      <w:r>
        <w:rPr>
          <w:color w:val="3A383A"/>
          <w:spacing w:val="1"/>
          <w:w w:val="105"/>
          <w:sz w:val="18"/>
          <w:vertAlign w:val="baseline"/>
        </w:rPr>
        <w:t> </w:t>
      </w:r>
      <w:r>
        <w:rPr>
          <w:color w:val="3A383A"/>
          <w:w w:val="105"/>
          <w:sz w:val="18"/>
          <w:vertAlign w:val="baseline"/>
        </w:rPr>
        <w:t>this writing, Lexis and</w:t>
      </w:r>
      <w:r>
        <w:rPr>
          <w:color w:val="3A383A"/>
          <w:spacing w:val="1"/>
          <w:w w:val="105"/>
          <w:sz w:val="18"/>
          <w:vertAlign w:val="baseline"/>
        </w:rPr>
        <w:t> </w:t>
      </w:r>
      <w:r>
        <w:rPr>
          <w:color w:val="3A383A"/>
          <w:w w:val="105"/>
          <w:sz w:val="18"/>
          <w:vertAlign w:val="baseline"/>
        </w:rPr>
        <w:t>Westlaw generally allow more precision ln researching, but this</w:t>
      </w:r>
      <w:r>
        <w:rPr>
          <w:color w:val="3A383A"/>
          <w:spacing w:val="1"/>
          <w:w w:val="105"/>
          <w:sz w:val="18"/>
          <w:vertAlign w:val="baseline"/>
        </w:rPr>
        <w:t> </w:t>
      </w:r>
      <w:r>
        <w:rPr>
          <w:color w:val="3A383A"/>
          <w:w w:val="110"/>
          <w:sz w:val="18"/>
          <w:vertAlign w:val="baseline"/>
        </w:rPr>
        <w:t>difference</w:t>
      </w:r>
      <w:r>
        <w:rPr>
          <w:color w:val="3A383A"/>
          <w:spacing w:val="-7"/>
          <w:w w:val="110"/>
          <w:sz w:val="18"/>
          <w:vertAlign w:val="baseline"/>
        </w:rPr>
        <w:t> </w:t>
      </w:r>
      <w:r>
        <w:rPr>
          <w:color w:val="3A383A"/>
          <w:w w:val="110"/>
          <w:sz w:val="18"/>
          <w:vertAlign w:val="baseline"/>
        </w:rPr>
        <w:t>may</w:t>
      </w:r>
      <w:r>
        <w:rPr>
          <w:color w:val="3A383A"/>
          <w:spacing w:val="-5"/>
          <w:w w:val="110"/>
          <w:sz w:val="18"/>
          <w:vertAlign w:val="baseline"/>
        </w:rPr>
        <w:t> </w:t>
      </w:r>
      <w:r>
        <w:rPr>
          <w:color w:val="3A383A"/>
          <w:w w:val="110"/>
          <w:sz w:val="18"/>
          <w:vertAlign w:val="baseline"/>
        </w:rPr>
        <w:t>fade</w:t>
      </w:r>
      <w:r>
        <w:rPr>
          <w:color w:val="3A383A"/>
          <w:spacing w:val="-9"/>
          <w:w w:val="110"/>
          <w:sz w:val="18"/>
          <w:vertAlign w:val="baseline"/>
        </w:rPr>
        <w:t> </w:t>
      </w:r>
      <w:r>
        <w:rPr>
          <w:color w:val="3A383A"/>
          <w:w w:val="110"/>
          <w:sz w:val="18"/>
          <w:vertAlign w:val="baseline"/>
        </w:rPr>
        <w:t>as</w:t>
      </w:r>
      <w:r>
        <w:rPr>
          <w:color w:val="3A383A"/>
          <w:spacing w:val="-14"/>
          <w:w w:val="110"/>
          <w:sz w:val="18"/>
          <w:vertAlign w:val="baseline"/>
        </w:rPr>
        <w:t> </w:t>
      </w:r>
      <w:r>
        <w:rPr>
          <w:color w:val="3A383A"/>
          <w:w w:val="110"/>
          <w:sz w:val="18"/>
          <w:vertAlign w:val="baseline"/>
        </w:rPr>
        <w:t>Google</w:t>
      </w:r>
      <w:r>
        <w:rPr>
          <w:color w:val="3A383A"/>
          <w:spacing w:val="-22"/>
          <w:w w:val="110"/>
          <w:sz w:val="18"/>
          <w:vertAlign w:val="baseline"/>
        </w:rPr>
        <w:t> </w:t>
      </w:r>
      <w:r>
        <w:rPr>
          <w:color w:val="3A383A"/>
          <w:w w:val="110"/>
          <w:sz w:val="18"/>
          <w:vertAlign w:val="baseline"/>
        </w:rPr>
        <w:t>and</w:t>
      </w:r>
      <w:r>
        <w:rPr>
          <w:color w:val="3A383A"/>
          <w:spacing w:val="24"/>
          <w:w w:val="110"/>
          <w:sz w:val="18"/>
          <w:vertAlign w:val="baseline"/>
        </w:rPr>
        <w:t> </w:t>
      </w:r>
      <w:r>
        <w:rPr>
          <w:color w:val="3A383A"/>
          <w:w w:val="110"/>
          <w:sz w:val="18"/>
          <w:vertAlign w:val="baseline"/>
        </w:rPr>
        <w:t>other</w:t>
      </w:r>
      <w:r>
        <w:rPr>
          <w:color w:val="3A383A"/>
          <w:spacing w:val="-22"/>
          <w:w w:val="110"/>
          <w:sz w:val="18"/>
          <w:vertAlign w:val="baseline"/>
        </w:rPr>
        <w:t> </w:t>
      </w:r>
      <w:r>
        <w:rPr>
          <w:color w:val="3A383A"/>
          <w:w w:val="110"/>
          <w:sz w:val="18"/>
          <w:vertAlign w:val="baseline"/>
        </w:rPr>
        <w:t>sl.'arch</w:t>
      </w:r>
      <w:r>
        <w:rPr>
          <w:color w:val="3A383A"/>
          <w:spacing w:val="-6"/>
          <w:w w:val="110"/>
          <w:sz w:val="18"/>
          <w:vertAlign w:val="baseline"/>
        </w:rPr>
        <w:t> </w:t>
      </w:r>
      <w:r>
        <w:rPr>
          <w:color w:val="3A383A"/>
          <w:w w:val="110"/>
          <w:sz w:val="18"/>
          <w:vertAlign w:val="baseline"/>
        </w:rPr>
        <w:t>engines</w:t>
      </w:r>
      <w:r>
        <w:rPr>
          <w:color w:val="3A383A"/>
          <w:spacing w:val="-6"/>
          <w:w w:val="110"/>
          <w:sz w:val="18"/>
          <w:vertAlign w:val="baseline"/>
        </w:rPr>
        <w:t> </w:t>
      </w:r>
      <w:r>
        <w:rPr>
          <w:color w:val="3A383A"/>
          <w:w w:val="110"/>
          <w:sz w:val="18"/>
          <w:vertAlign w:val="baseline"/>
        </w:rPr>
        <w:t>update</w:t>
      </w:r>
      <w:r>
        <w:rPr>
          <w:color w:val="3A383A"/>
          <w:spacing w:val="-8"/>
          <w:w w:val="110"/>
          <w:sz w:val="18"/>
          <w:vertAlign w:val="baseline"/>
        </w:rPr>
        <w:t> </w:t>
      </w:r>
      <w:r>
        <w:rPr>
          <w:color w:val="3A383A"/>
          <w:w w:val="110"/>
          <w:sz w:val="18"/>
          <w:vertAlign w:val="baseline"/>
        </w:rPr>
        <w:t>their</w:t>
      </w:r>
      <w:r>
        <w:rPr>
          <w:color w:val="3A383A"/>
          <w:spacing w:val="-10"/>
          <w:w w:val="110"/>
          <w:sz w:val="18"/>
          <w:vertAlign w:val="baseline"/>
        </w:rPr>
        <w:t> </w:t>
      </w:r>
      <w:r>
        <w:rPr>
          <w:color w:val="3A383A"/>
          <w:w w:val="110"/>
          <w:sz w:val="18"/>
          <w:vertAlign w:val="baseline"/>
        </w:rPr>
        <w:t>capabilities.</w:t>
      </w:r>
    </w:p>
    <w:p>
      <w:pPr>
        <w:spacing w:after="0" w:line="223" w:lineRule="auto"/>
        <w:jc w:val="both"/>
        <w:rPr>
          <w:sz w:val="18"/>
        </w:rPr>
        <w:sectPr>
          <w:headerReference w:type="default" r:id="rId79"/>
          <w:pgSz w:w="9680" w:h="13710"/>
          <w:pgMar w:header="0" w:footer="0" w:top="0" w:bottom="280" w:left="4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35" w:lineRule="auto"/>
        <w:ind w:left="744" w:right="89" w:firstLine="28"/>
        <w:jc w:val="both"/>
      </w:pPr>
      <w:r>
        <w:rPr>
          <w:color w:val="3B383A"/>
          <w:w w:val="105"/>
        </w:rPr>
        <w:t>Civil  Rights Act of 1964, which deals with sex and  race discrimination, or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in the Americans with Disabilities Act, which deals with discrimination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against people with disabilities. </w:t>
      </w:r>
      <w:r>
        <w:rPr>
          <w:color w:val="3B383A"/>
          <w:w w:val="110"/>
          <w:sz w:val="22"/>
        </w:rPr>
        <w:t>If </w:t>
      </w:r>
      <w:r>
        <w:rPr>
          <w:color w:val="3B383A"/>
          <w:w w:val="110"/>
        </w:rPr>
        <w:t>your analysis focuses on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the  meaning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of a particular word or phrase in the statute, try using one or more words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from</w:t>
      </w:r>
      <w:r>
        <w:rPr>
          <w:color w:val="3B383A"/>
          <w:spacing w:val="-10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21"/>
          <w:w w:val="110"/>
        </w:rPr>
        <w:t> </w:t>
      </w:r>
      <w:r>
        <w:rPr>
          <w:color w:val="3B383A"/>
          <w:w w:val="110"/>
        </w:rPr>
        <w:t>phrase</w:t>
      </w:r>
      <w:r>
        <w:rPr>
          <w:color w:val="3B383A"/>
          <w:spacing w:val="-8"/>
          <w:w w:val="110"/>
        </w:rPr>
        <w:t> </w:t>
      </w:r>
      <w:r>
        <w:rPr>
          <w:color w:val="3B383A"/>
          <w:w w:val="110"/>
        </w:rPr>
        <w:t>as</w:t>
      </w:r>
      <w:r>
        <w:rPr>
          <w:color w:val="3B383A"/>
          <w:spacing w:val="-26"/>
          <w:w w:val="110"/>
        </w:rPr>
        <w:t> </w:t>
      </w:r>
      <w:r>
        <w:rPr>
          <w:color w:val="3B383A"/>
          <w:w w:val="110"/>
        </w:rPr>
        <w:t>a</w:t>
      </w:r>
      <w:r>
        <w:rPr>
          <w:color w:val="3B383A"/>
          <w:spacing w:val="-5"/>
          <w:w w:val="110"/>
        </w:rPr>
        <w:t> </w:t>
      </w:r>
      <w:r>
        <w:rPr>
          <w:color w:val="3B383A"/>
          <w:w w:val="110"/>
        </w:rPr>
        <w:t>search</w:t>
      </w:r>
      <w:r>
        <w:rPr>
          <w:color w:val="3B383A"/>
          <w:spacing w:val="-8"/>
          <w:w w:val="110"/>
        </w:rPr>
        <w:t> </w:t>
      </w:r>
      <w:r>
        <w:rPr>
          <w:color w:val="3B383A"/>
          <w:w w:val="110"/>
        </w:rPr>
        <w:t>term,</w:t>
      </w:r>
      <w:r>
        <w:rPr>
          <w:color w:val="3B383A"/>
          <w:spacing w:val="-8"/>
          <w:w w:val="110"/>
        </w:rPr>
        <w:t> </w:t>
      </w:r>
      <w:r>
        <w:rPr>
          <w:color w:val="3B383A"/>
          <w:w w:val="110"/>
        </w:rPr>
        <w:t>and</w:t>
      </w:r>
      <w:r>
        <w:rPr>
          <w:color w:val="3B383A"/>
          <w:spacing w:val="4"/>
          <w:w w:val="110"/>
        </w:rPr>
        <w:t> </w:t>
      </w:r>
      <w:r>
        <w:rPr>
          <w:color w:val="3B383A"/>
          <w:w w:val="110"/>
        </w:rPr>
        <w:t>search in</w:t>
      </w:r>
      <w:r>
        <w:rPr>
          <w:color w:val="3B383A"/>
          <w:spacing w:val="2"/>
          <w:w w:val="110"/>
        </w:rPr>
        <w:t> </w:t>
      </w:r>
      <w:r>
        <w:rPr>
          <w:color w:val="3B383A"/>
          <w:w w:val="110"/>
        </w:rPr>
        <w:t>a</w:t>
      </w:r>
      <w:r>
        <w:rPr>
          <w:color w:val="3B383A"/>
          <w:spacing w:val="8"/>
          <w:w w:val="110"/>
        </w:rPr>
        <w:t> </w:t>
      </w:r>
      <w:r>
        <w:rPr>
          <w:color w:val="3B383A"/>
          <w:w w:val="110"/>
        </w:rPr>
        <w:t>United</w:t>
      </w:r>
      <w:r>
        <w:rPr>
          <w:color w:val="3B383A"/>
          <w:spacing w:val="-15"/>
          <w:w w:val="110"/>
        </w:rPr>
        <w:t> </w:t>
      </w:r>
      <w:r>
        <w:rPr>
          <w:color w:val="3B383A"/>
          <w:w w:val="110"/>
        </w:rPr>
        <w:t>States</w:t>
      </w:r>
      <w:r>
        <w:rPr>
          <w:color w:val="3B383A"/>
          <w:spacing w:val="-22"/>
          <w:w w:val="110"/>
        </w:rPr>
        <w:t> </w:t>
      </w:r>
      <w:r>
        <w:rPr>
          <w:color w:val="3B383A"/>
          <w:w w:val="110"/>
        </w:rPr>
        <w:t>Code</w:t>
      </w:r>
      <w:r>
        <w:rPr>
          <w:color w:val="3B383A"/>
          <w:spacing w:val="-9"/>
          <w:w w:val="110"/>
        </w:rPr>
        <w:t> </w:t>
      </w:r>
      <w:r>
        <w:rPr>
          <w:color w:val="3B383A"/>
          <w:w w:val="110"/>
        </w:rPr>
        <w:t>data­</w:t>
      </w:r>
      <w:r>
        <w:rPr>
          <w:color w:val="3B383A"/>
          <w:spacing w:val="-61"/>
          <w:w w:val="110"/>
        </w:rPr>
        <w:t> </w:t>
      </w:r>
      <w:r>
        <w:rPr>
          <w:color w:val="3B383A"/>
          <w:w w:val="110"/>
        </w:rPr>
        <w:t>base to see if you can find any other statutes with the same or similar lan­</w:t>
      </w:r>
      <w:r>
        <w:rPr>
          <w:color w:val="3B383A"/>
          <w:spacing w:val="-61"/>
          <w:w w:val="110"/>
        </w:rPr>
        <w:t> </w:t>
      </w:r>
      <w:r>
        <w:rPr>
          <w:color w:val="3B383A"/>
          <w:w w:val="110"/>
        </w:rPr>
        <w:t>guage. You may then be able to use authorities that interpret those other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statutes</w:t>
      </w:r>
      <w:r>
        <w:rPr>
          <w:color w:val="3B383A"/>
          <w:spacing w:val="-18"/>
          <w:w w:val="110"/>
        </w:rPr>
        <w:t> </w:t>
      </w:r>
      <w:r>
        <w:rPr>
          <w:color w:val="3B383A"/>
          <w:w w:val="110"/>
        </w:rPr>
        <w:t>when</w:t>
      </w:r>
      <w:r>
        <w:rPr>
          <w:color w:val="3B383A"/>
          <w:spacing w:val="2"/>
          <w:w w:val="110"/>
        </w:rPr>
        <w:t> </w:t>
      </w:r>
      <w:r>
        <w:rPr>
          <w:color w:val="3B383A"/>
          <w:w w:val="110"/>
        </w:rPr>
        <w:t>making</w:t>
      </w:r>
      <w:r>
        <w:rPr>
          <w:color w:val="3B383A"/>
          <w:spacing w:val="-16"/>
          <w:w w:val="110"/>
        </w:rPr>
        <w:t> </w:t>
      </w:r>
      <w:r>
        <w:rPr>
          <w:color w:val="3B383A"/>
          <w:w w:val="110"/>
        </w:rPr>
        <w:t>your</w:t>
      </w:r>
      <w:r>
        <w:rPr>
          <w:color w:val="3B383A"/>
          <w:spacing w:val="-14"/>
          <w:w w:val="110"/>
        </w:rPr>
        <w:t> </w:t>
      </w:r>
      <w:r>
        <w:rPr>
          <w:color w:val="3B383A"/>
          <w:w w:val="110"/>
        </w:rPr>
        <w:t>arguments.</w:t>
      </w:r>
    </w:p>
    <w:p>
      <w:pPr>
        <w:pStyle w:val="BodyText"/>
        <w:spacing w:line="232" w:lineRule="auto"/>
        <w:ind w:left="715" w:right="91" w:firstLine="429"/>
        <w:jc w:val="both"/>
      </w:pPr>
      <w:r>
        <w:rPr>
          <w:color w:val="3B383A"/>
          <w:w w:val="110"/>
        </w:rPr>
        <w:t>When looking for authority on the meaning of statutes, consider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three branches of government. First,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executive-has this statute been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interpreted  by a relevant federal agency? </w:t>
      </w:r>
      <w:r>
        <w:rPr>
          <w:color w:val="3B383A"/>
          <w:w w:val="110"/>
          <w:sz w:val="22"/>
        </w:rPr>
        <w:t>If </w:t>
      </w:r>
      <w:r>
        <w:rPr>
          <w:color w:val="3B383A"/>
          <w:w w:val="110"/>
        </w:rPr>
        <w:t>so, then  the court may defer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to the agency's interpretation under the </w:t>
      </w:r>
      <w:r>
        <w:rPr>
          <w:rFonts w:ascii="Arial" w:hAnsi="Arial"/>
          <w:i/>
          <w:color w:val="3B383A"/>
          <w:w w:val="110"/>
          <w:sz w:val="20"/>
        </w:rPr>
        <w:t>Chevron </w:t>
      </w:r>
      <w:r>
        <w:rPr>
          <w:color w:val="3B383A"/>
          <w:w w:val="110"/>
        </w:rPr>
        <w:t>rule.</w:t>
      </w:r>
      <w:r>
        <w:rPr>
          <w:rFonts w:ascii="Arial" w:hAnsi="Arial"/>
          <w:color w:val="3B383A"/>
          <w:w w:val="110"/>
          <w:position w:val="9"/>
          <w:sz w:val="12"/>
        </w:rPr>
        <w:t>22 </w:t>
      </w:r>
      <w:r>
        <w:rPr>
          <w:color w:val="3B383A"/>
          <w:w w:val="110"/>
        </w:rPr>
        <w:t>Second, consider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the legislative branch: Is there any relevant legislative history? (Keep in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mind, however, that courts sometimes refuse to consider legislative his­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tory.) Finally, and often most importantly, consider the judicial branch: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5"/>
        </w:rPr>
        <w:t>Has </w:t>
      </w:r>
      <w:r>
        <w:rPr>
          <w:color w:val="4D4D4D"/>
          <w:w w:val="115"/>
        </w:rPr>
        <w:t>a </w:t>
      </w:r>
      <w:r>
        <w:rPr>
          <w:color w:val="3B383A"/>
          <w:w w:val="115"/>
        </w:rPr>
        <w:t>relevant court interpreted this language or analogous language?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0"/>
        </w:rPr>
        <w:t>When you look for interpretations from all three points of view, you may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5"/>
        </w:rPr>
        <w:t>discover</w:t>
      </w:r>
      <w:r>
        <w:rPr>
          <w:color w:val="3B383A"/>
          <w:spacing w:val="-10"/>
          <w:w w:val="115"/>
        </w:rPr>
        <w:t> </w:t>
      </w:r>
      <w:r>
        <w:rPr>
          <w:color w:val="3B383A"/>
          <w:w w:val="115"/>
        </w:rPr>
        <w:t>analysis that</w:t>
      </w:r>
      <w:r>
        <w:rPr>
          <w:color w:val="3B383A"/>
          <w:spacing w:val="-14"/>
          <w:w w:val="115"/>
        </w:rPr>
        <w:t> </w:t>
      </w:r>
      <w:r>
        <w:rPr>
          <w:color w:val="3B383A"/>
          <w:w w:val="115"/>
        </w:rPr>
        <w:t>will</w:t>
      </w:r>
      <w:r>
        <w:rPr>
          <w:color w:val="3B383A"/>
          <w:spacing w:val="-6"/>
          <w:w w:val="115"/>
        </w:rPr>
        <w:t> </w:t>
      </w:r>
      <w:r>
        <w:rPr>
          <w:color w:val="3B383A"/>
          <w:w w:val="115"/>
        </w:rPr>
        <w:t>help</w:t>
      </w:r>
      <w:r>
        <w:rPr>
          <w:color w:val="3B383A"/>
          <w:spacing w:val="-14"/>
          <w:w w:val="115"/>
        </w:rPr>
        <w:t> </w:t>
      </w:r>
      <w:r>
        <w:rPr>
          <w:color w:val="3B383A"/>
          <w:w w:val="115"/>
        </w:rPr>
        <w:t>you</w:t>
      </w:r>
      <w:r>
        <w:rPr>
          <w:color w:val="3B383A"/>
          <w:spacing w:val="-7"/>
          <w:w w:val="115"/>
        </w:rPr>
        <w:t> </w:t>
      </w:r>
      <w:r>
        <w:rPr>
          <w:color w:val="3B383A"/>
          <w:w w:val="115"/>
        </w:rPr>
        <w:t>argue</w:t>
      </w:r>
      <w:r>
        <w:rPr>
          <w:color w:val="3B383A"/>
          <w:spacing w:val="-4"/>
          <w:w w:val="115"/>
        </w:rPr>
        <w:t> </w:t>
      </w:r>
      <w:r>
        <w:rPr>
          <w:color w:val="3B383A"/>
          <w:w w:val="115"/>
        </w:rPr>
        <w:t>that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your</w:t>
      </w:r>
      <w:r>
        <w:rPr>
          <w:color w:val="3B383A"/>
          <w:spacing w:val="-8"/>
          <w:w w:val="115"/>
        </w:rPr>
        <w:t> </w:t>
      </w:r>
      <w:r>
        <w:rPr>
          <w:color w:val="3B383A"/>
          <w:w w:val="115"/>
        </w:rPr>
        <w:t>interpretation</w:t>
      </w:r>
      <w:r>
        <w:rPr>
          <w:color w:val="3B383A"/>
          <w:spacing w:val="-9"/>
          <w:w w:val="115"/>
        </w:rPr>
        <w:t> </w:t>
      </w:r>
      <w:r>
        <w:rPr>
          <w:color w:val="3B383A"/>
          <w:w w:val="115"/>
        </w:rPr>
        <w:t>is</w:t>
      </w:r>
      <w:r>
        <w:rPr>
          <w:color w:val="3B383A"/>
          <w:spacing w:val="-9"/>
          <w:w w:val="115"/>
        </w:rPr>
        <w:t> </w:t>
      </w:r>
      <w:r>
        <w:rPr>
          <w:color w:val="3B383A"/>
          <w:w w:val="115"/>
        </w:rPr>
        <w:t>the</w:t>
      </w:r>
      <w:r>
        <w:rPr>
          <w:color w:val="3B383A"/>
          <w:spacing w:val="-64"/>
          <w:w w:val="115"/>
        </w:rPr>
        <w:t> </w:t>
      </w:r>
      <w:r>
        <w:rPr>
          <w:color w:val="3B383A"/>
          <w:w w:val="115"/>
        </w:rPr>
        <w:t>correct</w:t>
      </w:r>
      <w:r>
        <w:rPr>
          <w:color w:val="3B383A"/>
          <w:spacing w:val="-16"/>
          <w:w w:val="115"/>
        </w:rPr>
        <w:t> </w:t>
      </w:r>
      <w:r>
        <w:rPr>
          <w:color w:val="3B383A"/>
          <w:w w:val="115"/>
        </w:rPr>
        <w:t>one.</w:t>
      </w:r>
    </w:p>
    <w:p>
      <w:pPr>
        <w:pStyle w:val="BodyText"/>
        <w:spacing w:before="7"/>
        <w:rPr>
          <w:sz w:val="30"/>
        </w:rPr>
      </w:pPr>
    </w:p>
    <w:p>
      <w:pPr>
        <w:spacing w:before="0"/>
        <w:ind w:left="1021" w:right="0" w:firstLine="0"/>
        <w:jc w:val="left"/>
        <w:rPr>
          <w:rFonts w:ascii="Courier New"/>
          <w:b/>
          <w:sz w:val="31"/>
        </w:rPr>
      </w:pPr>
      <w:r>
        <w:rPr>
          <w:rFonts w:ascii="Courier New"/>
          <w:b/>
          <w:color w:val="3B383A"/>
          <w:w w:val="85"/>
          <w:sz w:val="31"/>
        </w:rPr>
        <w:t>3.3.2</w:t>
      </w:r>
    </w:p>
    <w:p>
      <w:pPr>
        <w:spacing w:before="18"/>
        <w:ind w:left="1031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3B383A"/>
          <w:sz w:val="22"/>
        </w:rPr>
        <w:t>WRITING</w:t>
      </w:r>
      <w:r>
        <w:rPr>
          <w:rFonts w:ascii="Arial"/>
          <w:b/>
          <w:color w:val="3B383A"/>
          <w:spacing w:val="33"/>
          <w:sz w:val="22"/>
        </w:rPr>
        <w:t> </w:t>
      </w:r>
      <w:r>
        <w:rPr>
          <w:rFonts w:ascii="Arial"/>
          <w:b/>
          <w:color w:val="3B383A"/>
          <w:sz w:val="22"/>
        </w:rPr>
        <w:t>TO</w:t>
      </w:r>
      <w:r>
        <w:rPr>
          <w:rFonts w:ascii="Arial"/>
          <w:b/>
          <w:color w:val="3B383A"/>
          <w:spacing w:val="8"/>
          <w:sz w:val="22"/>
        </w:rPr>
        <w:t> </w:t>
      </w:r>
      <w:r>
        <w:rPr>
          <w:rFonts w:ascii="Arial"/>
          <w:b/>
          <w:color w:val="3B383A"/>
          <w:sz w:val="22"/>
        </w:rPr>
        <w:t>COURTS</w:t>
      </w:r>
      <w:r>
        <w:rPr>
          <w:rFonts w:ascii="Arial"/>
          <w:b/>
          <w:color w:val="3B383A"/>
          <w:spacing w:val="20"/>
          <w:sz w:val="22"/>
        </w:rPr>
        <w:t> </w:t>
      </w:r>
      <w:r>
        <w:rPr>
          <w:rFonts w:ascii="Arial"/>
          <w:b/>
          <w:color w:val="3B383A"/>
          <w:sz w:val="22"/>
        </w:rPr>
        <w:t>OF</w:t>
      </w:r>
      <w:r>
        <w:rPr>
          <w:rFonts w:ascii="Arial"/>
          <w:b/>
          <w:color w:val="3B383A"/>
          <w:spacing w:val="26"/>
          <w:sz w:val="22"/>
        </w:rPr>
        <w:t> </w:t>
      </w:r>
      <w:r>
        <w:rPr>
          <w:rFonts w:ascii="Arial"/>
          <w:b/>
          <w:color w:val="3B383A"/>
          <w:sz w:val="22"/>
        </w:rPr>
        <w:t>LAST</w:t>
      </w:r>
      <w:r>
        <w:rPr>
          <w:rFonts w:ascii="Arial"/>
          <w:b/>
          <w:color w:val="3B383A"/>
          <w:spacing w:val="2"/>
          <w:sz w:val="22"/>
        </w:rPr>
        <w:t> </w:t>
      </w:r>
      <w:r>
        <w:rPr>
          <w:rFonts w:ascii="Arial"/>
          <w:b/>
          <w:color w:val="3B383A"/>
          <w:sz w:val="22"/>
        </w:rPr>
        <w:t>RESORT</w:t>
      </w:r>
    </w:p>
    <w:p>
      <w:pPr>
        <w:pStyle w:val="BodyText"/>
        <w:spacing w:line="232" w:lineRule="auto" w:before="178"/>
        <w:ind w:left="589" w:right="98" w:firstLine="446"/>
        <w:jc w:val="both"/>
      </w:pPr>
      <w:r>
        <w:rPr>
          <w:color w:val="3B383A"/>
          <w:w w:val="110"/>
          <w:sz w:val="22"/>
        </w:rPr>
        <w:t>If</w:t>
      </w:r>
      <w:r>
        <w:rPr>
          <w:color w:val="3B383A"/>
          <w:spacing w:val="9"/>
          <w:w w:val="110"/>
          <w:sz w:val="22"/>
        </w:rPr>
        <w:t> </w:t>
      </w:r>
      <w:r>
        <w:rPr>
          <w:color w:val="3B383A"/>
          <w:w w:val="110"/>
        </w:rPr>
        <w:t>you</w:t>
      </w:r>
      <w:r>
        <w:rPr>
          <w:color w:val="3B383A"/>
          <w:spacing w:val="-12"/>
          <w:w w:val="110"/>
        </w:rPr>
        <w:t> </w:t>
      </w:r>
      <w:r>
        <w:rPr>
          <w:color w:val="3B383A"/>
          <w:w w:val="110"/>
        </w:rPr>
        <w:t>are</w:t>
      </w:r>
      <w:r>
        <w:rPr>
          <w:color w:val="3B383A"/>
          <w:spacing w:val="-4"/>
          <w:w w:val="110"/>
        </w:rPr>
        <w:t> </w:t>
      </w:r>
      <w:r>
        <w:rPr>
          <w:color w:val="3B383A"/>
          <w:w w:val="110"/>
        </w:rPr>
        <w:t>writing</w:t>
      </w:r>
      <w:r>
        <w:rPr>
          <w:color w:val="3B383A"/>
          <w:spacing w:val="-5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-8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26"/>
          <w:w w:val="110"/>
        </w:rPr>
        <w:t> </w:t>
      </w:r>
      <w:r>
        <w:rPr>
          <w:color w:val="3B383A"/>
          <w:w w:val="110"/>
        </w:rPr>
        <w:t>United</w:t>
      </w:r>
      <w:r>
        <w:rPr>
          <w:color w:val="3B383A"/>
          <w:spacing w:val="-14"/>
          <w:w w:val="110"/>
        </w:rPr>
        <w:t> </w:t>
      </w:r>
      <w:r>
        <w:rPr>
          <w:color w:val="3B383A"/>
          <w:w w:val="110"/>
        </w:rPr>
        <w:t>States</w:t>
      </w:r>
      <w:r>
        <w:rPr>
          <w:color w:val="3B383A"/>
          <w:spacing w:val="-23"/>
          <w:w w:val="110"/>
        </w:rPr>
        <w:t> </w:t>
      </w:r>
      <w:r>
        <w:rPr>
          <w:color w:val="3B383A"/>
          <w:w w:val="110"/>
        </w:rPr>
        <w:t>Supreme</w:t>
      </w:r>
      <w:r>
        <w:rPr>
          <w:color w:val="3B383A"/>
          <w:spacing w:val="-20"/>
          <w:w w:val="110"/>
        </w:rPr>
        <w:t> </w:t>
      </w:r>
      <w:r>
        <w:rPr>
          <w:color w:val="3B383A"/>
          <w:w w:val="110"/>
        </w:rPr>
        <w:t>Court</w:t>
      </w:r>
      <w:r>
        <w:rPr>
          <w:color w:val="3B383A"/>
          <w:spacing w:val="-17"/>
          <w:w w:val="110"/>
        </w:rPr>
        <w:t> </w:t>
      </w:r>
      <w:r>
        <w:rPr>
          <w:color w:val="3B383A"/>
          <w:w w:val="110"/>
        </w:rPr>
        <w:t>or</w:t>
      </w:r>
      <w:r>
        <w:rPr>
          <w:color w:val="3B383A"/>
          <w:spacing w:val="-25"/>
          <w:w w:val="110"/>
        </w:rPr>
        <w:t> </w:t>
      </w:r>
      <w:r>
        <w:rPr>
          <w:color w:val="3B383A"/>
          <w:w w:val="110"/>
        </w:rPr>
        <w:t>a</w:t>
      </w:r>
      <w:r>
        <w:rPr>
          <w:color w:val="3B383A"/>
          <w:spacing w:val="-18"/>
          <w:w w:val="110"/>
        </w:rPr>
        <w:t> </w:t>
      </w:r>
      <w:r>
        <w:rPr>
          <w:color w:val="3B383A"/>
          <w:w w:val="110"/>
        </w:rPr>
        <w:t>state</w:t>
      </w:r>
      <w:r>
        <w:rPr>
          <w:color w:val="3B383A"/>
          <w:spacing w:val="-31"/>
          <w:w w:val="110"/>
        </w:rPr>
        <w:t> </w:t>
      </w:r>
      <w:r>
        <w:rPr>
          <w:color w:val="3B383A"/>
          <w:w w:val="110"/>
        </w:rPr>
        <w:t>court</w:t>
      </w:r>
      <w:r>
        <w:rPr>
          <w:color w:val="3B383A"/>
          <w:spacing w:val="-10"/>
          <w:w w:val="110"/>
        </w:rPr>
        <w:t> </w:t>
      </w:r>
      <w:r>
        <w:rPr>
          <w:color w:val="3B383A"/>
          <w:w w:val="110"/>
        </w:rPr>
        <w:t>of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last resort, some well-worn research paths can be fruitful. First, review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authorities cited in the lower court opinions; you may well use some or all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of them in your brief. Likewise, Shepardizing those authorities may lead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you to other relevant authorities. You may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also discover,  however,  that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the lower court did not consider some of the arguments </w:t>
      </w:r>
      <w:r>
        <w:rPr>
          <w:color w:val="4D4D4D"/>
          <w:w w:val="110"/>
        </w:rPr>
        <w:t>that </w:t>
      </w:r>
      <w:r>
        <w:rPr>
          <w:color w:val="3B383A"/>
          <w:w w:val="110"/>
        </w:rPr>
        <w:t>may be most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effective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for your client. Often,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arguments  that end up winning 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case at the appellate level either were not considered or were considered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and</w:t>
      </w:r>
      <w:r>
        <w:rPr>
          <w:color w:val="3B383A"/>
          <w:spacing w:val="33"/>
          <w:w w:val="110"/>
        </w:rPr>
        <w:t> </w:t>
      </w:r>
      <w:r>
        <w:rPr>
          <w:color w:val="3B383A"/>
          <w:w w:val="110"/>
        </w:rPr>
        <w:t>rejected</w:t>
      </w:r>
      <w:r>
        <w:rPr>
          <w:color w:val="3B383A"/>
          <w:spacing w:val="12"/>
          <w:w w:val="110"/>
        </w:rPr>
        <w:t> </w:t>
      </w:r>
      <w:r>
        <w:rPr>
          <w:color w:val="3B383A"/>
          <w:w w:val="110"/>
        </w:rPr>
        <w:t>by</w:t>
      </w:r>
      <w:r>
        <w:rPr>
          <w:color w:val="3B383A"/>
          <w:spacing w:val="-2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27"/>
          <w:w w:val="110"/>
        </w:rPr>
        <w:t> </w:t>
      </w:r>
      <w:r>
        <w:rPr>
          <w:color w:val="3B383A"/>
          <w:w w:val="110"/>
        </w:rPr>
        <w:t>lower</w:t>
      </w:r>
      <w:r>
        <w:rPr>
          <w:color w:val="3B383A"/>
          <w:spacing w:val="-10"/>
          <w:w w:val="110"/>
        </w:rPr>
        <w:t> </w:t>
      </w:r>
      <w:r>
        <w:rPr>
          <w:color w:val="3B383A"/>
          <w:w w:val="110"/>
        </w:rPr>
        <w:t>court.</w:t>
      </w:r>
    </w:p>
    <w:p>
      <w:pPr>
        <w:pStyle w:val="BodyText"/>
        <w:spacing w:line="235" w:lineRule="auto" w:before="19"/>
        <w:ind w:left="538" w:right="143" w:firstLine="426"/>
        <w:jc w:val="both"/>
      </w:pPr>
      <w:r>
        <w:rPr>
          <w:color w:val="3B383A"/>
          <w:w w:val="115"/>
        </w:rPr>
        <w:t>Consider, too, that the lower courts may have been persuaded </w:t>
      </w:r>
      <w:r>
        <w:rPr>
          <w:rFonts w:ascii="Arial"/>
          <w:color w:val="3B383A"/>
          <w:w w:val="115"/>
          <w:sz w:val="22"/>
        </w:rPr>
        <w:t>by</w:t>
      </w:r>
      <w:r>
        <w:rPr>
          <w:rFonts w:ascii="Arial"/>
          <w:color w:val="3B383A"/>
          <w:spacing w:val="1"/>
          <w:w w:val="115"/>
          <w:sz w:val="22"/>
        </w:rPr>
        <w:t> </w:t>
      </w:r>
      <w:r>
        <w:rPr>
          <w:color w:val="4D4D4D"/>
          <w:w w:val="110"/>
        </w:rPr>
        <w:t>authorities </w:t>
      </w:r>
      <w:r>
        <w:rPr>
          <w:color w:val="3B383A"/>
          <w:w w:val="110"/>
        </w:rPr>
        <w:t>that would  not  persuade a court of last resort. For example, if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at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intermediate appellate level you were arguing to a court of appeals,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you (or the attorney then working on the case) might have used on-point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5"/>
        </w:rPr>
        <w:t>authorities from that court or from other courts of appeals. When you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0"/>
        </w:rPr>
        <w:t>must write a brief on that same issue to the court of last resort, you should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do more research to see how that court has addressed this issue or at least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how</w:t>
      </w:r>
      <w:r>
        <w:rPr>
          <w:color w:val="3B383A"/>
          <w:spacing w:val="43"/>
          <w:w w:val="110"/>
        </w:rPr>
        <w:t> </w:t>
      </w:r>
      <w:r>
        <w:rPr>
          <w:color w:val="3B383A"/>
          <w:w w:val="110"/>
        </w:rPr>
        <w:t>dose</w:t>
      </w:r>
      <w:r>
        <w:rPr>
          <w:color w:val="3B383A"/>
          <w:spacing w:val="21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-7"/>
          <w:w w:val="110"/>
        </w:rPr>
        <w:t> </w:t>
      </w:r>
      <w:r>
        <w:rPr>
          <w:color w:val="3B383A"/>
          <w:w w:val="110"/>
        </w:rPr>
        <w:t>court</w:t>
      </w:r>
      <w:r>
        <w:rPr>
          <w:color w:val="3B383A"/>
          <w:spacing w:val="36"/>
          <w:w w:val="110"/>
        </w:rPr>
        <w:t> </w:t>
      </w:r>
      <w:r>
        <w:rPr>
          <w:color w:val="3B383A"/>
          <w:w w:val="110"/>
        </w:rPr>
        <w:t>has</w:t>
      </w:r>
      <w:r>
        <w:rPr>
          <w:color w:val="3B383A"/>
          <w:spacing w:val="20"/>
          <w:w w:val="110"/>
        </w:rPr>
        <w:t> </w:t>
      </w:r>
      <w:r>
        <w:rPr>
          <w:color w:val="3B383A"/>
          <w:w w:val="110"/>
        </w:rPr>
        <w:t>come</w:t>
      </w:r>
      <w:r>
        <w:rPr>
          <w:color w:val="3B383A"/>
          <w:spacing w:val="40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32"/>
          <w:w w:val="110"/>
        </w:rPr>
        <w:t> </w:t>
      </w:r>
      <w:r>
        <w:rPr>
          <w:color w:val="3B383A"/>
          <w:w w:val="110"/>
        </w:rPr>
        <w:t>addressing</w:t>
      </w:r>
      <w:r>
        <w:rPr>
          <w:color w:val="3B383A"/>
          <w:spacing w:val="29"/>
          <w:w w:val="110"/>
        </w:rPr>
        <w:t> </w:t>
      </w:r>
      <w:r>
        <w:rPr>
          <w:color w:val="3B383A"/>
          <w:w w:val="110"/>
        </w:rPr>
        <w:t>that</w:t>
      </w:r>
      <w:r>
        <w:rPr>
          <w:color w:val="3B383A"/>
          <w:spacing w:val="29"/>
          <w:w w:val="110"/>
        </w:rPr>
        <w:t> </w:t>
      </w:r>
      <w:r>
        <w:rPr>
          <w:color w:val="3B383A"/>
          <w:w w:val="110"/>
        </w:rPr>
        <w:t>issue.</w:t>
      </w:r>
      <w:r>
        <w:rPr>
          <w:color w:val="3B383A"/>
          <w:spacing w:val="34"/>
          <w:w w:val="110"/>
        </w:rPr>
        <w:t> </w:t>
      </w:r>
      <w:r>
        <w:rPr>
          <w:color w:val="3B383A"/>
          <w:w w:val="110"/>
        </w:rPr>
        <w:t>In</w:t>
      </w:r>
      <w:r>
        <w:rPr>
          <w:color w:val="3B383A"/>
          <w:spacing w:val="46"/>
          <w:w w:val="110"/>
        </w:rPr>
        <w:t> </w:t>
      </w:r>
      <w:r>
        <w:rPr>
          <w:color w:val="3B383A"/>
          <w:w w:val="110"/>
        </w:rPr>
        <w:t>this</w:t>
      </w:r>
      <w:r>
        <w:rPr>
          <w:color w:val="3B383A"/>
          <w:spacing w:val="24"/>
          <w:w w:val="110"/>
        </w:rPr>
        <w:t> </w:t>
      </w:r>
      <w:r>
        <w:rPr>
          <w:color w:val="3B383A"/>
          <w:w w:val="110"/>
        </w:rPr>
        <w:t>way,</w:t>
      </w:r>
      <w:r>
        <w:rPr>
          <w:color w:val="3B383A"/>
          <w:spacing w:val="33"/>
          <w:w w:val="110"/>
        </w:rPr>
        <w:t> </w:t>
      </w:r>
      <w:r>
        <w:rPr>
          <w:color w:val="3B383A"/>
          <w:w w:val="110"/>
        </w:rPr>
        <w:t>yotJ</w:t>
      </w:r>
    </w:p>
    <w:p>
      <w:pPr>
        <w:pStyle w:val="BodyText"/>
        <w:spacing w:before="1"/>
        <w:rPr>
          <w:sz w:val="29"/>
        </w:rPr>
      </w:pPr>
    </w:p>
    <w:p>
      <w:pPr>
        <w:spacing w:line="228" w:lineRule="auto" w:before="0"/>
        <w:ind w:left="473" w:right="177" w:firstLine="412"/>
        <w:jc w:val="both"/>
        <w:rPr>
          <w:sz w:val="18"/>
        </w:rPr>
      </w:pPr>
      <w:r>
        <w:rPr>
          <w:i/>
          <w:color w:val="4D4D4D"/>
          <w:w w:val="105"/>
          <w:sz w:val="17"/>
          <w:vertAlign w:val="superscript"/>
        </w:rPr>
        <w:t>22</w:t>
      </w:r>
      <w:r>
        <w:rPr>
          <w:i/>
          <w:color w:val="4D4D4D"/>
          <w:w w:val="105"/>
          <w:sz w:val="17"/>
          <w:vertAlign w:val="baseline"/>
        </w:rPr>
        <w:t>See</w:t>
      </w:r>
      <w:r>
        <w:rPr>
          <w:i/>
          <w:color w:val="4D4D4D"/>
          <w:spacing w:val="-3"/>
          <w:w w:val="105"/>
          <w:sz w:val="17"/>
          <w:vertAlign w:val="baseline"/>
        </w:rPr>
        <w:t> </w:t>
      </w:r>
      <w:r>
        <w:rPr>
          <w:i/>
          <w:color w:val="3B383A"/>
          <w:w w:val="105"/>
          <w:sz w:val="17"/>
          <w:vertAlign w:val="baseline"/>
        </w:rPr>
        <w:t>Cht!YTon</w:t>
      </w:r>
      <w:r>
        <w:rPr>
          <w:i/>
          <w:color w:val="3B383A"/>
          <w:spacing w:val="-11"/>
          <w:w w:val="105"/>
          <w:sz w:val="17"/>
          <w:vertAlign w:val="baseline"/>
        </w:rPr>
        <w:t> </w:t>
      </w:r>
      <w:r>
        <w:rPr>
          <w:i/>
          <w:color w:val="3B383A"/>
          <w:w w:val="105"/>
          <w:sz w:val="17"/>
          <w:vertAlign w:val="baseline"/>
        </w:rPr>
        <w:t>U.S.A.,</w:t>
      </w:r>
      <w:r>
        <w:rPr>
          <w:i/>
          <w:color w:val="3B383A"/>
          <w:spacing w:val="-16"/>
          <w:w w:val="105"/>
          <w:sz w:val="17"/>
          <w:vertAlign w:val="baseline"/>
        </w:rPr>
        <w:t> </w:t>
      </w:r>
      <w:r>
        <w:rPr>
          <w:i/>
          <w:color w:val="3B383A"/>
          <w:w w:val="105"/>
          <w:sz w:val="17"/>
          <w:vertAlign w:val="baseline"/>
        </w:rPr>
        <w:t>Inc.</w:t>
      </w:r>
      <w:r>
        <w:rPr>
          <w:i/>
          <w:color w:val="3B383A"/>
          <w:spacing w:val="-16"/>
          <w:w w:val="105"/>
          <w:sz w:val="17"/>
          <w:vertAlign w:val="baseline"/>
        </w:rPr>
        <w:t> </w:t>
      </w:r>
      <w:r>
        <w:rPr>
          <w:i/>
          <w:color w:val="3B383A"/>
          <w:w w:val="105"/>
          <w:sz w:val="17"/>
          <w:vertAlign w:val="baseline"/>
        </w:rPr>
        <w:t>v.</w:t>
      </w:r>
      <w:r>
        <w:rPr>
          <w:i/>
          <w:color w:val="3B383A"/>
          <w:spacing w:val="-23"/>
          <w:w w:val="105"/>
          <w:sz w:val="17"/>
          <w:vertAlign w:val="baseline"/>
        </w:rPr>
        <w:t> </w:t>
      </w:r>
      <w:r>
        <w:rPr>
          <w:i/>
          <w:color w:val="3B383A"/>
          <w:w w:val="105"/>
          <w:sz w:val="17"/>
          <w:vertAlign w:val="baseline"/>
        </w:rPr>
        <w:t>Natural</w:t>
      </w:r>
      <w:r>
        <w:rPr>
          <w:i/>
          <w:color w:val="3B383A"/>
          <w:spacing w:val="-5"/>
          <w:w w:val="105"/>
          <w:sz w:val="17"/>
          <w:vertAlign w:val="baseline"/>
        </w:rPr>
        <w:t> </w:t>
      </w:r>
      <w:r>
        <w:rPr>
          <w:i/>
          <w:color w:val="3B383A"/>
          <w:w w:val="105"/>
          <w:sz w:val="17"/>
          <w:vertAlign w:val="baseline"/>
        </w:rPr>
        <w:t>Resources</w:t>
      </w:r>
      <w:r>
        <w:rPr>
          <w:i/>
          <w:color w:val="3B383A"/>
          <w:spacing w:val="6"/>
          <w:w w:val="105"/>
          <w:sz w:val="17"/>
          <w:vertAlign w:val="baseline"/>
        </w:rPr>
        <w:t> </w:t>
      </w:r>
      <w:r>
        <w:rPr>
          <w:i/>
          <w:color w:val="3B383A"/>
          <w:w w:val="105"/>
          <w:sz w:val="17"/>
          <w:vertAlign w:val="baseline"/>
        </w:rPr>
        <w:t>Defense</w:t>
      </w:r>
      <w:r>
        <w:rPr>
          <w:i/>
          <w:color w:val="3B383A"/>
          <w:spacing w:val="-21"/>
          <w:w w:val="105"/>
          <w:sz w:val="17"/>
          <w:vertAlign w:val="baseline"/>
        </w:rPr>
        <w:t> </w:t>
      </w:r>
      <w:r>
        <w:rPr>
          <w:i/>
          <w:color w:val="3B383A"/>
          <w:w w:val="105"/>
          <w:sz w:val="17"/>
          <w:vertAlign w:val="baseline"/>
        </w:rPr>
        <w:t>Council,</w:t>
      </w:r>
      <w:r>
        <w:rPr>
          <w:i/>
          <w:color w:val="3B383A"/>
          <w:spacing w:val="2"/>
          <w:w w:val="105"/>
          <w:sz w:val="17"/>
          <w:vertAlign w:val="baseline"/>
        </w:rPr>
        <w:t> </w:t>
      </w:r>
      <w:r>
        <w:rPr>
          <w:i/>
          <w:color w:val="3B383A"/>
          <w:w w:val="105"/>
          <w:sz w:val="17"/>
          <w:vertAlign w:val="baseline"/>
        </w:rPr>
        <w:t>Inc.,</w:t>
      </w:r>
      <w:r>
        <w:rPr>
          <w:color w:val="3B383A"/>
          <w:w w:val="105"/>
          <w:sz w:val="18"/>
          <w:vertAlign w:val="baseline"/>
        </w:rPr>
        <w:t>467</w:t>
      </w:r>
      <w:r>
        <w:rPr>
          <w:color w:val="3B383A"/>
          <w:spacing w:val="-10"/>
          <w:w w:val="105"/>
          <w:sz w:val="18"/>
          <w:vertAlign w:val="baseline"/>
        </w:rPr>
        <w:t> </w:t>
      </w:r>
      <w:r>
        <w:rPr>
          <w:color w:val="3B383A"/>
          <w:w w:val="105"/>
          <w:sz w:val="18"/>
          <w:vertAlign w:val="baseline"/>
        </w:rPr>
        <w:t>U.S.</w:t>
      </w:r>
      <w:r>
        <w:rPr>
          <w:color w:val="3B383A"/>
          <w:spacing w:val="-13"/>
          <w:w w:val="105"/>
          <w:sz w:val="18"/>
          <w:vertAlign w:val="baseline"/>
        </w:rPr>
        <w:t> </w:t>
      </w:r>
      <w:r>
        <w:rPr>
          <w:color w:val="3B383A"/>
          <w:w w:val="105"/>
          <w:sz w:val="18"/>
          <w:vertAlign w:val="baseline"/>
        </w:rPr>
        <w:t>837,</w:t>
      </w:r>
      <w:r>
        <w:rPr>
          <w:color w:val="3B383A"/>
          <w:spacing w:val="-25"/>
          <w:w w:val="105"/>
          <w:sz w:val="18"/>
          <w:vertAlign w:val="baseline"/>
        </w:rPr>
        <w:t> </w:t>
      </w:r>
      <w:r>
        <w:rPr>
          <w:color w:val="3B383A"/>
          <w:w w:val="105"/>
          <w:sz w:val="18"/>
          <w:vertAlign w:val="baseline"/>
        </w:rPr>
        <w:t>842-44</w:t>
      </w:r>
      <w:r>
        <w:rPr>
          <w:color w:val="3B383A"/>
          <w:spacing w:val="-2"/>
          <w:w w:val="105"/>
          <w:sz w:val="18"/>
          <w:vertAlign w:val="baseline"/>
        </w:rPr>
        <w:t> </w:t>
      </w:r>
      <w:r>
        <w:rPr>
          <w:color w:val="4D4D4D"/>
          <w:w w:val="105"/>
          <w:sz w:val="18"/>
          <w:vertAlign w:val="baseline"/>
        </w:rPr>
        <w:t>(J98</w:t>
      </w:r>
      <w:r>
        <w:rPr>
          <w:color w:val="4D4D4D"/>
          <w:w w:val="105"/>
          <w:position w:val="5"/>
          <w:sz w:val="18"/>
          <w:vertAlign w:val="baseline"/>
        </w:rPr>
        <w:t>4</w:t>
      </w:r>
      <w:r>
        <w:rPr>
          <w:color w:val="4D4D4D"/>
          <w:w w:val="105"/>
          <w:sz w:val="18"/>
          <w:vertAlign w:val="baseline"/>
        </w:rPr>
        <w:t>)</w:t>
      </w:r>
      <w:r>
        <w:rPr>
          <w:color w:val="4D4D4D"/>
          <w:spacing w:val="1"/>
          <w:w w:val="105"/>
          <w:sz w:val="18"/>
          <w:vertAlign w:val="baseline"/>
        </w:rPr>
        <w:t> </w:t>
      </w:r>
      <w:r>
        <w:rPr>
          <w:color w:val="3B383A"/>
          <w:w w:val="110"/>
          <w:sz w:val="18"/>
          <w:vertAlign w:val="baseline"/>
        </w:rPr>
        <w:t>(holding that courts must defer to a federal agency interpretation of an ambiguous statute Jf </w:t>
      </w:r>
      <w:r>
        <w:rPr>
          <w:color w:val="3B383A"/>
          <w:w w:val="110"/>
          <w:sz w:val="17"/>
          <w:vertAlign w:val="baseline"/>
        </w:rPr>
        <w:t>It </w:t>
      </w:r>
      <w:r>
        <w:rPr>
          <w:color w:val="4D4D4D"/>
          <w:w w:val="110"/>
          <w:sz w:val="17"/>
          <w:vertAlign w:val="baseline"/>
        </w:rPr>
        <w:t>JS</w:t>
      </w:r>
      <w:r>
        <w:rPr>
          <w:color w:val="4D4D4D"/>
          <w:spacing w:val="-44"/>
          <w:w w:val="110"/>
          <w:sz w:val="17"/>
          <w:vertAlign w:val="baseline"/>
        </w:rPr>
        <w:t> </w:t>
      </w:r>
      <w:r>
        <w:rPr>
          <w:color w:val="3B383A"/>
          <w:spacing w:val="-1"/>
          <w:w w:val="110"/>
          <w:sz w:val="18"/>
          <w:vertAlign w:val="baseline"/>
        </w:rPr>
        <w:t>based on a </w:t>
      </w:r>
      <w:r>
        <w:rPr>
          <w:color w:val="4D4D4D"/>
          <w:spacing w:val="-1"/>
          <w:w w:val="110"/>
          <w:sz w:val="18"/>
          <w:vertAlign w:val="baseline"/>
        </w:rPr>
        <w:t>"permissible </w:t>
      </w:r>
      <w:r>
        <w:rPr>
          <w:color w:val="4D4D4D"/>
          <w:w w:val="110"/>
          <w:sz w:val="18"/>
          <w:vertAlign w:val="baseline"/>
        </w:rPr>
        <w:t>construction" </w:t>
      </w:r>
      <w:r>
        <w:rPr>
          <w:color w:val="3B383A"/>
          <w:w w:val="110"/>
          <w:sz w:val="18"/>
          <w:vertAlign w:val="baseline"/>
        </w:rPr>
        <w:t>of the statute)</w:t>
      </w:r>
      <w:r>
        <w:rPr>
          <w:color w:val="676769"/>
          <w:w w:val="110"/>
          <w:sz w:val="18"/>
          <w:vertAlign w:val="baseline"/>
        </w:rPr>
        <w:t>. </w:t>
      </w:r>
      <w:r>
        <w:rPr>
          <w:color w:val="3B383A"/>
          <w:w w:val="110"/>
          <w:sz w:val="18"/>
          <w:vertAlign w:val="baseline"/>
        </w:rPr>
        <w:t>Note </w:t>
      </w:r>
      <w:r>
        <w:rPr>
          <w:color w:val="4D4D4D"/>
          <w:w w:val="110"/>
          <w:sz w:val="18"/>
          <w:vertAlign w:val="baseline"/>
        </w:rPr>
        <w:t>that </w:t>
      </w:r>
      <w:r>
        <w:rPr>
          <w:color w:val="3B383A"/>
          <w:w w:val="110"/>
          <w:sz w:val="18"/>
          <w:vertAlign w:val="baseline"/>
        </w:rPr>
        <w:t>federal agencies sometimes </w:t>
      </w:r>
      <w:r>
        <w:rPr>
          <w:color w:val="4D4D4D"/>
          <w:w w:val="110"/>
          <w:sz w:val="18"/>
          <w:vertAlign w:val="baseline"/>
        </w:rPr>
        <w:t>inter­</w:t>
      </w:r>
      <w:r>
        <w:rPr>
          <w:color w:val="4D4D4D"/>
          <w:spacing w:val="-47"/>
          <w:w w:val="110"/>
          <w:sz w:val="18"/>
          <w:vertAlign w:val="baseline"/>
        </w:rPr>
        <w:t> </w:t>
      </w:r>
      <w:r>
        <w:rPr>
          <w:color w:val="3B383A"/>
          <w:w w:val="110"/>
          <w:sz w:val="18"/>
          <w:vertAlign w:val="baseline"/>
        </w:rPr>
        <w:t>pret</w:t>
      </w:r>
      <w:r>
        <w:rPr>
          <w:color w:val="3B383A"/>
          <w:spacing w:val="-2"/>
          <w:w w:val="110"/>
          <w:sz w:val="18"/>
          <w:vertAlign w:val="baseline"/>
        </w:rPr>
        <w:t> </w:t>
      </w:r>
      <w:r>
        <w:rPr>
          <w:color w:val="4D4D4D"/>
          <w:w w:val="110"/>
          <w:sz w:val="18"/>
          <w:vertAlign w:val="baseline"/>
        </w:rPr>
        <w:t>statutes</w:t>
      </w:r>
      <w:r>
        <w:rPr>
          <w:color w:val="4D4D4D"/>
          <w:spacing w:val="-14"/>
          <w:w w:val="110"/>
          <w:sz w:val="18"/>
          <w:vertAlign w:val="baseline"/>
        </w:rPr>
        <w:t> </w:t>
      </w:r>
      <w:r>
        <w:rPr>
          <w:color w:val="3B383A"/>
          <w:w w:val="110"/>
          <w:sz w:val="18"/>
          <w:vertAlign w:val="baseline"/>
        </w:rPr>
        <w:t>in</w:t>
      </w:r>
      <w:r>
        <w:rPr>
          <w:color w:val="3B383A"/>
          <w:spacing w:val="3"/>
          <w:w w:val="110"/>
          <w:sz w:val="18"/>
          <w:vertAlign w:val="baseline"/>
        </w:rPr>
        <w:t> </w:t>
      </w:r>
      <w:r>
        <w:rPr>
          <w:color w:val="3B383A"/>
          <w:w w:val="110"/>
          <w:sz w:val="18"/>
          <w:vertAlign w:val="baseline"/>
        </w:rPr>
        <w:t>documents</w:t>
      </w:r>
      <w:r>
        <w:rPr>
          <w:color w:val="3B383A"/>
          <w:spacing w:val="-8"/>
          <w:w w:val="110"/>
          <w:sz w:val="18"/>
          <w:vertAlign w:val="baseline"/>
        </w:rPr>
        <w:t> </w:t>
      </w:r>
      <w:r>
        <w:rPr>
          <w:color w:val="3B383A"/>
          <w:w w:val="110"/>
          <w:sz w:val="18"/>
          <w:vertAlign w:val="baseline"/>
        </w:rPr>
        <w:t>other</w:t>
      </w:r>
      <w:r>
        <w:rPr>
          <w:color w:val="3B383A"/>
          <w:spacing w:val="-6"/>
          <w:w w:val="110"/>
          <w:sz w:val="18"/>
          <w:vertAlign w:val="baseline"/>
        </w:rPr>
        <w:t> </w:t>
      </w:r>
      <w:r>
        <w:rPr>
          <w:color w:val="3B383A"/>
          <w:w w:val="110"/>
          <w:sz w:val="18"/>
          <w:vertAlign w:val="baseline"/>
        </w:rPr>
        <w:t>than</w:t>
      </w:r>
      <w:r>
        <w:rPr>
          <w:color w:val="3B383A"/>
          <w:spacing w:val="-12"/>
          <w:w w:val="110"/>
          <w:sz w:val="18"/>
          <w:vertAlign w:val="baseline"/>
        </w:rPr>
        <w:t> </w:t>
      </w:r>
      <w:r>
        <w:rPr>
          <w:color w:val="3B383A"/>
          <w:w w:val="110"/>
          <w:sz w:val="18"/>
          <w:vertAlign w:val="baseline"/>
        </w:rPr>
        <w:t>formal</w:t>
      </w:r>
      <w:r>
        <w:rPr>
          <w:color w:val="3B383A"/>
          <w:spacing w:val="-9"/>
          <w:w w:val="110"/>
          <w:sz w:val="18"/>
          <w:vertAlign w:val="baseline"/>
        </w:rPr>
        <w:t> </w:t>
      </w:r>
      <w:r>
        <w:rPr>
          <w:color w:val="3B383A"/>
          <w:w w:val="110"/>
          <w:sz w:val="18"/>
          <w:vertAlign w:val="baseline"/>
        </w:rPr>
        <w:t>rulings.</w:t>
      </w:r>
    </w:p>
    <w:p>
      <w:pPr>
        <w:spacing w:after="0" w:line="228" w:lineRule="auto"/>
        <w:jc w:val="both"/>
        <w:rPr>
          <w:sz w:val="18"/>
        </w:rPr>
        <w:sectPr>
          <w:headerReference w:type="even" r:id="rId80"/>
          <w:headerReference w:type="default" r:id="rId81"/>
          <w:pgSz w:w="9650" w:h="13790"/>
          <w:pgMar w:header="455" w:footer="0" w:top="640" w:bottom="0" w:left="1340" w:right="0"/>
        </w:sectPr>
      </w:pPr>
    </w:p>
    <w:p>
      <w:pPr>
        <w:pStyle w:val="BodyText"/>
        <w:spacing w:before="81"/>
        <w:ind w:left="110" w:right="378" w:firstLine="9"/>
        <w:jc w:val="both"/>
      </w:pPr>
      <w:r>
        <w:rPr>
          <w:color w:val="363436"/>
          <w:w w:val="110"/>
        </w:rPr>
        <w:t>may discover a variety of authorities that were not explored in the lower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courts. Therefore, although you can begin your research with the authori­</w:t>
      </w:r>
      <w:r>
        <w:rPr>
          <w:color w:val="363436"/>
          <w:spacing w:val="1"/>
          <w:w w:val="110"/>
        </w:rPr>
        <w:t> </w:t>
      </w:r>
      <w:r>
        <w:rPr>
          <w:color w:val="363436"/>
          <w:spacing w:val="-1"/>
          <w:w w:val="115"/>
        </w:rPr>
        <w:t>ties</w:t>
      </w:r>
      <w:r>
        <w:rPr>
          <w:color w:val="363436"/>
          <w:spacing w:val="-20"/>
          <w:w w:val="115"/>
        </w:rPr>
        <w:t> </w:t>
      </w:r>
      <w:r>
        <w:rPr>
          <w:color w:val="363436"/>
          <w:spacing w:val="-1"/>
          <w:w w:val="115"/>
        </w:rPr>
        <w:t>cited</w:t>
      </w:r>
      <w:r>
        <w:rPr>
          <w:color w:val="363436"/>
          <w:spacing w:val="-9"/>
          <w:w w:val="115"/>
        </w:rPr>
        <w:t> </w:t>
      </w:r>
      <w:r>
        <w:rPr>
          <w:color w:val="363436"/>
          <w:spacing w:val="-1"/>
          <w:w w:val="115"/>
        </w:rPr>
        <w:t>by</w:t>
      </w:r>
      <w:r>
        <w:rPr>
          <w:color w:val="363436"/>
          <w:spacing w:val="-4"/>
          <w:w w:val="115"/>
        </w:rPr>
        <w:t> </w:t>
      </w:r>
      <w:r>
        <w:rPr>
          <w:color w:val="363436"/>
          <w:spacing w:val="-1"/>
          <w:w w:val="115"/>
        </w:rPr>
        <w:t>the</w:t>
      </w:r>
      <w:r>
        <w:rPr>
          <w:color w:val="363436"/>
          <w:spacing w:val="12"/>
          <w:w w:val="115"/>
        </w:rPr>
        <w:t> </w:t>
      </w:r>
      <w:r>
        <w:rPr>
          <w:color w:val="363436"/>
          <w:spacing w:val="-1"/>
          <w:w w:val="115"/>
        </w:rPr>
        <w:t>court</w:t>
      </w:r>
      <w:r>
        <w:rPr>
          <w:color w:val="363436"/>
          <w:w w:val="115"/>
        </w:rPr>
        <w:t> </w:t>
      </w:r>
      <w:r>
        <w:rPr>
          <w:color w:val="363436"/>
          <w:spacing w:val="-1"/>
          <w:w w:val="115"/>
        </w:rPr>
        <w:t>being</w:t>
      </w:r>
      <w:r>
        <w:rPr>
          <w:color w:val="363436"/>
          <w:spacing w:val="-14"/>
          <w:w w:val="115"/>
        </w:rPr>
        <w:t> </w:t>
      </w:r>
      <w:r>
        <w:rPr>
          <w:color w:val="363436"/>
          <w:spacing w:val="-1"/>
          <w:w w:val="115"/>
        </w:rPr>
        <w:t>appealed, those</w:t>
      </w:r>
      <w:r>
        <w:rPr>
          <w:color w:val="363436"/>
          <w:spacing w:val="-5"/>
          <w:w w:val="115"/>
        </w:rPr>
        <w:t> </w:t>
      </w:r>
      <w:r>
        <w:rPr>
          <w:color w:val="363436"/>
          <w:spacing w:val="-1"/>
          <w:w w:val="115"/>
        </w:rPr>
        <w:t>authorities</w:t>
      </w:r>
      <w:r>
        <w:rPr>
          <w:color w:val="363436"/>
          <w:spacing w:val="-12"/>
          <w:w w:val="115"/>
        </w:rPr>
        <w:t> </w:t>
      </w:r>
      <w:r>
        <w:rPr>
          <w:color w:val="363436"/>
          <w:w w:val="115"/>
        </w:rPr>
        <w:t>should</w:t>
      </w:r>
      <w:r>
        <w:rPr>
          <w:color w:val="363436"/>
          <w:spacing w:val="3"/>
          <w:w w:val="115"/>
        </w:rPr>
        <w:t> </w:t>
      </w:r>
      <w:r>
        <w:rPr>
          <w:color w:val="363436"/>
          <w:w w:val="115"/>
        </w:rPr>
        <w:t>be</w:t>
      </w:r>
      <w:r>
        <w:rPr>
          <w:color w:val="363436"/>
          <w:spacing w:val="-19"/>
          <w:w w:val="115"/>
        </w:rPr>
        <w:t> </w:t>
      </w:r>
      <w:r>
        <w:rPr>
          <w:color w:val="363436"/>
          <w:w w:val="115"/>
        </w:rPr>
        <w:t>only</w:t>
      </w:r>
      <w:r>
        <w:rPr>
          <w:color w:val="363436"/>
          <w:spacing w:val="-11"/>
          <w:w w:val="115"/>
        </w:rPr>
        <w:t> </w:t>
      </w:r>
      <w:r>
        <w:rPr>
          <w:color w:val="363436"/>
          <w:w w:val="115"/>
        </w:rPr>
        <w:t>a</w:t>
      </w:r>
      <w:r>
        <w:rPr>
          <w:color w:val="363436"/>
          <w:spacing w:val="-63"/>
          <w:w w:val="115"/>
        </w:rPr>
        <w:t> </w:t>
      </w:r>
      <w:r>
        <w:rPr>
          <w:color w:val="363436"/>
          <w:w w:val="115"/>
        </w:rPr>
        <w:t>starting</w:t>
      </w:r>
      <w:r>
        <w:rPr>
          <w:color w:val="363436"/>
          <w:spacing w:val="-8"/>
          <w:w w:val="115"/>
        </w:rPr>
        <w:t> </w:t>
      </w:r>
      <w:r>
        <w:rPr>
          <w:color w:val="363436"/>
          <w:w w:val="115"/>
        </w:rPr>
        <w:t>point.</w:t>
      </w:r>
    </w:p>
    <w:p>
      <w:pPr>
        <w:pStyle w:val="BodyText"/>
        <w:spacing w:line="241" w:lineRule="exact"/>
        <w:ind w:left="479"/>
        <w:jc w:val="both"/>
        <w:rPr>
          <w:i/>
          <w:sz w:val="24"/>
        </w:rPr>
      </w:pPr>
      <w:r>
        <w:rPr>
          <w:color w:val="363436"/>
          <w:w w:val="115"/>
        </w:rPr>
        <w:t>Consider</w:t>
      </w:r>
      <w:r>
        <w:rPr>
          <w:color w:val="363436"/>
          <w:spacing w:val="-9"/>
          <w:w w:val="115"/>
        </w:rPr>
        <w:t> </w:t>
      </w:r>
      <w:r>
        <w:rPr>
          <w:color w:val="363436"/>
          <w:w w:val="115"/>
        </w:rPr>
        <w:t>three</w:t>
      </w:r>
      <w:r>
        <w:rPr>
          <w:color w:val="363436"/>
          <w:spacing w:val="-33"/>
          <w:w w:val="115"/>
        </w:rPr>
        <w:t> </w:t>
      </w:r>
      <w:r>
        <w:rPr>
          <w:color w:val="363436"/>
          <w:w w:val="115"/>
        </w:rPr>
        <w:t>cases</w:t>
      </w:r>
      <w:r>
        <w:rPr>
          <w:color w:val="363436"/>
          <w:spacing w:val="-26"/>
          <w:w w:val="115"/>
        </w:rPr>
        <w:t> </w:t>
      </w:r>
      <w:r>
        <w:rPr>
          <w:color w:val="363436"/>
          <w:w w:val="115"/>
        </w:rPr>
        <w:t>that</w:t>
      </w:r>
      <w:r>
        <w:rPr>
          <w:color w:val="363436"/>
          <w:spacing w:val="-5"/>
          <w:w w:val="115"/>
        </w:rPr>
        <w:t> </w:t>
      </w:r>
      <w:r>
        <w:rPr>
          <w:color w:val="363436"/>
          <w:w w:val="115"/>
        </w:rPr>
        <w:t>mayor</w:t>
      </w:r>
      <w:r>
        <w:rPr>
          <w:color w:val="363436"/>
          <w:spacing w:val="-34"/>
          <w:w w:val="115"/>
        </w:rPr>
        <w:t> </w:t>
      </w:r>
      <w:r>
        <w:rPr>
          <w:color w:val="363436"/>
          <w:w w:val="115"/>
        </w:rPr>
        <w:t>maynot</w:t>
      </w:r>
      <w:r>
        <w:rPr>
          <w:color w:val="363436"/>
          <w:spacing w:val="-19"/>
          <w:w w:val="115"/>
        </w:rPr>
        <w:t> </w:t>
      </w:r>
      <w:r>
        <w:rPr>
          <w:color w:val="363436"/>
          <w:w w:val="115"/>
        </w:rPr>
        <w:t>be</w:t>
      </w:r>
      <w:r>
        <w:rPr>
          <w:color w:val="363436"/>
          <w:spacing w:val="-37"/>
          <w:w w:val="115"/>
        </w:rPr>
        <w:t> </w:t>
      </w:r>
      <w:r>
        <w:rPr>
          <w:color w:val="363436"/>
          <w:w w:val="115"/>
        </w:rPr>
        <w:t>representative.In </w:t>
      </w:r>
      <w:r>
        <w:rPr>
          <w:i/>
          <w:color w:val="363436"/>
          <w:w w:val="115"/>
          <w:sz w:val="24"/>
        </w:rPr>
        <w:t>Florida</w:t>
      </w:r>
    </w:p>
    <w:p>
      <w:pPr>
        <w:pStyle w:val="BodyText"/>
        <w:spacing w:line="232" w:lineRule="auto"/>
        <w:ind w:left="117" w:right="298" w:hanging="7"/>
        <w:jc w:val="both"/>
      </w:pPr>
      <w:r>
        <w:rPr>
          <w:color w:val="363436"/>
          <w:w w:val="110"/>
        </w:rPr>
        <w:t>v. </w:t>
      </w:r>
      <w:r>
        <w:rPr>
          <w:i/>
          <w:color w:val="363436"/>
          <w:w w:val="110"/>
          <w:sz w:val="24"/>
        </w:rPr>
        <w:t>/ardines, </w:t>
      </w:r>
      <w:r>
        <w:rPr>
          <w:color w:val="363436"/>
          <w:w w:val="110"/>
        </w:rPr>
        <w:t>133 S. Ct. 1409 (2013), the United States Supreme Court cited</w:t>
      </w:r>
      <w:r>
        <w:rPr>
          <w:color w:val="363436"/>
          <w:spacing w:val="-61"/>
          <w:w w:val="110"/>
        </w:rPr>
        <w:t> </w:t>
      </w:r>
      <w:r>
        <w:rPr>
          <w:color w:val="363436"/>
          <w:spacing w:val="-1"/>
          <w:w w:val="115"/>
        </w:rPr>
        <w:t>approximately 41 cases in its opinion. </w:t>
      </w:r>
      <w:r>
        <w:rPr>
          <w:color w:val="363436"/>
          <w:w w:val="115"/>
        </w:rPr>
        <w:t>Thirty of those cases were United</w:t>
      </w:r>
      <w:r>
        <w:rPr>
          <w:color w:val="363436"/>
          <w:spacing w:val="-64"/>
          <w:w w:val="115"/>
        </w:rPr>
        <w:t> </w:t>
      </w:r>
      <w:r>
        <w:rPr>
          <w:color w:val="363436"/>
          <w:spacing w:val="-1"/>
          <w:w w:val="115"/>
        </w:rPr>
        <w:t>States</w:t>
      </w:r>
      <w:r>
        <w:rPr>
          <w:color w:val="363436"/>
          <w:spacing w:val="-42"/>
          <w:w w:val="115"/>
        </w:rPr>
        <w:t> </w:t>
      </w:r>
      <w:r>
        <w:rPr>
          <w:color w:val="363436"/>
          <w:spacing w:val="-1"/>
          <w:w w:val="115"/>
        </w:rPr>
        <w:t>Supreme</w:t>
      </w:r>
      <w:r>
        <w:rPr>
          <w:color w:val="363436"/>
          <w:spacing w:val="-25"/>
          <w:w w:val="115"/>
        </w:rPr>
        <w:t> </w:t>
      </w:r>
      <w:r>
        <w:rPr>
          <w:color w:val="363436"/>
          <w:spacing w:val="-1"/>
          <w:w w:val="115"/>
        </w:rPr>
        <w:t>Court</w:t>
      </w:r>
      <w:r>
        <w:rPr>
          <w:color w:val="363436"/>
          <w:spacing w:val="-24"/>
          <w:w w:val="115"/>
        </w:rPr>
        <w:t> </w:t>
      </w:r>
      <w:r>
        <w:rPr>
          <w:color w:val="363436"/>
          <w:spacing w:val="-1"/>
          <w:w w:val="115"/>
        </w:rPr>
        <w:t>decisions.</w:t>
      </w:r>
      <w:r>
        <w:rPr>
          <w:color w:val="363436"/>
          <w:spacing w:val="-42"/>
          <w:w w:val="115"/>
        </w:rPr>
        <w:t> </w:t>
      </w:r>
      <w:r>
        <w:rPr>
          <w:color w:val="363436"/>
          <w:spacing w:val="-1"/>
          <w:w w:val="115"/>
        </w:rPr>
        <w:t>The</w:t>
      </w:r>
      <w:r>
        <w:rPr>
          <w:color w:val="363436"/>
          <w:spacing w:val="-9"/>
          <w:w w:val="115"/>
        </w:rPr>
        <w:t> </w:t>
      </w:r>
      <w:r>
        <w:rPr>
          <w:color w:val="363436"/>
          <w:spacing w:val="-1"/>
          <w:w w:val="115"/>
        </w:rPr>
        <w:t>Florida</w:t>
      </w:r>
      <w:r>
        <w:rPr>
          <w:color w:val="363436"/>
          <w:spacing w:val="-30"/>
          <w:w w:val="115"/>
        </w:rPr>
        <w:t> </w:t>
      </w:r>
      <w:r>
        <w:rPr>
          <w:color w:val="363436"/>
          <w:w w:val="115"/>
        </w:rPr>
        <w:t>Supreme</w:t>
      </w:r>
      <w:r>
        <w:rPr>
          <w:color w:val="363436"/>
          <w:spacing w:val="-32"/>
          <w:w w:val="115"/>
        </w:rPr>
        <w:t> </w:t>
      </w:r>
      <w:r>
        <w:rPr>
          <w:color w:val="363436"/>
          <w:w w:val="115"/>
        </w:rPr>
        <w:t>Court,</w:t>
      </w:r>
      <w:r>
        <w:rPr>
          <w:color w:val="363436"/>
          <w:spacing w:val="-26"/>
          <w:w w:val="115"/>
        </w:rPr>
        <w:t> </w:t>
      </w:r>
      <w:r>
        <w:rPr>
          <w:color w:val="363436"/>
          <w:w w:val="115"/>
        </w:rPr>
        <w:t>whose</w:t>
      </w:r>
      <w:r>
        <w:rPr>
          <w:color w:val="363436"/>
          <w:spacing w:val="-34"/>
          <w:w w:val="115"/>
        </w:rPr>
        <w:t> </w:t>
      </w:r>
      <w:r>
        <w:rPr>
          <w:color w:val="363436"/>
          <w:w w:val="115"/>
        </w:rPr>
        <w:t>opin­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ion the Court affirmed, cited about 95 cases, 45 of which were Supreme</w:t>
      </w:r>
      <w:r>
        <w:rPr>
          <w:color w:val="363436"/>
          <w:spacing w:val="-64"/>
          <w:w w:val="115"/>
        </w:rPr>
        <w:t> </w:t>
      </w:r>
      <w:r>
        <w:rPr>
          <w:color w:val="363436"/>
          <w:spacing w:val="-1"/>
          <w:w w:val="105"/>
        </w:rPr>
        <w:t>Court cases. </w:t>
      </w:r>
      <w:r>
        <w:rPr>
          <w:i/>
          <w:color w:val="363436"/>
          <w:w w:val="105"/>
          <w:sz w:val="24"/>
        </w:rPr>
        <w:t>/ardines v. State, </w:t>
      </w:r>
      <w:r>
        <w:rPr>
          <w:color w:val="363436"/>
          <w:w w:val="105"/>
        </w:rPr>
        <w:t>73 So. 3d 34 (Fla. 2011) </w:t>
      </w:r>
      <w:r>
        <w:rPr>
          <w:i/>
          <w:color w:val="363436"/>
          <w:w w:val="105"/>
          <w:sz w:val="24"/>
        </w:rPr>
        <w:t>cert. granted in part,</w:t>
      </w:r>
      <w:r>
        <w:rPr>
          <w:i/>
          <w:color w:val="363436"/>
          <w:spacing w:val="1"/>
          <w:w w:val="105"/>
          <w:sz w:val="24"/>
        </w:rPr>
        <w:t> </w:t>
      </w:r>
      <w:r>
        <w:rPr>
          <w:color w:val="363436"/>
          <w:w w:val="115"/>
        </w:rPr>
        <w:t>132 S. Ct. 995 (2012), and  </w:t>
      </w:r>
      <w:r>
        <w:rPr>
          <w:i/>
          <w:color w:val="363436"/>
          <w:w w:val="115"/>
        </w:rPr>
        <w:t>aff'd, </w:t>
      </w:r>
      <w:r>
        <w:rPr>
          <w:color w:val="363436"/>
          <w:w w:val="115"/>
        </w:rPr>
        <w:t>133 S. Ct. 1409 (2013). Only ten of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the 95 cases cited in the Florida Supreme Court were also cited in the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05"/>
        </w:rPr>
        <w:t>United States Supreme Court. In </w:t>
      </w:r>
      <w:r>
        <w:rPr>
          <w:i/>
          <w:color w:val="363436"/>
          <w:w w:val="105"/>
          <w:sz w:val="24"/>
        </w:rPr>
        <w:t>Florida v. Harris, </w:t>
      </w:r>
      <w:r>
        <w:rPr>
          <w:color w:val="363436"/>
          <w:w w:val="105"/>
        </w:rPr>
        <w:t>133 S. Ct.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1050 (2013),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15"/>
        </w:rPr>
        <w:t>the United States Supreme Court cited only nine cases (other than prior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history decisions), all of them United States Supreme Court decisions.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That Court reversed a decision of the Florida Supreme Court: </w:t>
      </w:r>
      <w:r>
        <w:rPr>
          <w:i/>
          <w:color w:val="363436"/>
          <w:w w:val="115"/>
          <w:sz w:val="24"/>
        </w:rPr>
        <w:t>Harris v.</w:t>
      </w:r>
      <w:r>
        <w:rPr>
          <w:i/>
          <w:color w:val="363436"/>
          <w:spacing w:val="-66"/>
          <w:w w:val="115"/>
          <w:sz w:val="24"/>
        </w:rPr>
        <w:t> </w:t>
      </w:r>
      <w:r>
        <w:rPr>
          <w:i/>
          <w:color w:val="363436"/>
          <w:w w:val="110"/>
          <w:sz w:val="24"/>
        </w:rPr>
        <w:t>State, </w:t>
      </w:r>
      <w:r>
        <w:rPr>
          <w:color w:val="363436"/>
          <w:w w:val="110"/>
        </w:rPr>
        <w:t>71 So. 3d 756, 759 (Fla. 2011), </w:t>
      </w:r>
      <w:r>
        <w:rPr>
          <w:i/>
          <w:color w:val="363436"/>
          <w:w w:val="110"/>
          <w:sz w:val="24"/>
        </w:rPr>
        <w:t>as revised on denial of reh'g </w:t>
      </w:r>
      <w:r>
        <w:rPr>
          <w:color w:val="363436"/>
          <w:w w:val="110"/>
        </w:rPr>
        <w:t>(Sept.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22, 2011), </w:t>
      </w:r>
      <w:r>
        <w:rPr>
          <w:i/>
          <w:color w:val="363436"/>
          <w:w w:val="110"/>
          <w:sz w:val="24"/>
        </w:rPr>
        <w:t>rev'd</w:t>
      </w:r>
      <w:r>
        <w:rPr>
          <w:i/>
          <w:color w:val="575659"/>
          <w:w w:val="110"/>
          <w:sz w:val="24"/>
        </w:rPr>
        <w:t>, </w:t>
      </w:r>
      <w:r>
        <w:rPr>
          <w:color w:val="363436"/>
          <w:w w:val="110"/>
        </w:rPr>
        <w:t>133 S. Ct. 10S0 (2013) and </w:t>
      </w:r>
      <w:r>
        <w:rPr>
          <w:i/>
          <w:color w:val="363436"/>
          <w:w w:val="110"/>
          <w:sz w:val="24"/>
        </w:rPr>
        <w:t>opinion withdrawn, </w:t>
      </w:r>
      <w:r>
        <w:rPr>
          <w:color w:val="363436"/>
          <w:w w:val="110"/>
        </w:rPr>
        <w:t>SC0S-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1871</w:t>
      </w:r>
      <w:r>
        <w:rPr>
          <w:color w:val="575659"/>
          <w:w w:val="110"/>
        </w:rPr>
        <w:t>, </w:t>
      </w:r>
      <w:r>
        <w:rPr>
          <w:color w:val="363436"/>
          <w:w w:val="110"/>
        </w:rPr>
        <w:t>2013 WL S476903 (Fla. Oct. 3, 2013). The Florida Supreme Court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opinion in </w:t>
      </w:r>
      <w:r>
        <w:rPr>
          <w:i/>
          <w:color w:val="363436"/>
          <w:w w:val="110"/>
          <w:sz w:val="24"/>
        </w:rPr>
        <w:t>Harris </w:t>
      </w:r>
      <w:r>
        <w:rPr>
          <w:color w:val="363436"/>
          <w:w w:val="110"/>
        </w:rPr>
        <w:t>cited about 47 cases; 20 of these were decisions of the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5"/>
        </w:rPr>
        <w:t>United States Supreme Court. Only five authoritative cases were cited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in both the Florida Supreme Court and United States Supreme Court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opinions.</w:t>
      </w:r>
    </w:p>
    <w:p>
      <w:pPr>
        <w:spacing w:line="223" w:lineRule="exact" w:before="0"/>
        <w:ind w:left="513" w:right="0" w:firstLine="0"/>
        <w:jc w:val="both"/>
        <w:rPr>
          <w:sz w:val="23"/>
        </w:rPr>
      </w:pPr>
      <w:r>
        <w:rPr>
          <w:color w:val="363436"/>
          <w:sz w:val="23"/>
        </w:rPr>
        <w:t>Finally,</w:t>
      </w:r>
      <w:r>
        <w:rPr>
          <w:color w:val="363436"/>
          <w:spacing w:val="-5"/>
          <w:sz w:val="23"/>
        </w:rPr>
        <w:t> </w:t>
      </w:r>
      <w:r>
        <w:rPr>
          <w:color w:val="363436"/>
          <w:sz w:val="23"/>
        </w:rPr>
        <w:t>in</w:t>
      </w:r>
      <w:r>
        <w:rPr>
          <w:color w:val="363436"/>
          <w:spacing w:val="37"/>
          <w:sz w:val="23"/>
        </w:rPr>
        <w:t> </w:t>
      </w:r>
      <w:r>
        <w:rPr>
          <w:i/>
          <w:color w:val="363436"/>
          <w:sz w:val="24"/>
        </w:rPr>
        <w:t>United</w:t>
      </w:r>
      <w:r>
        <w:rPr>
          <w:i/>
          <w:color w:val="363436"/>
          <w:spacing w:val="19"/>
          <w:sz w:val="24"/>
        </w:rPr>
        <w:t> </w:t>
      </w:r>
      <w:r>
        <w:rPr>
          <w:i/>
          <w:color w:val="363436"/>
          <w:sz w:val="24"/>
        </w:rPr>
        <w:t>States</w:t>
      </w:r>
      <w:r>
        <w:rPr>
          <w:i/>
          <w:color w:val="363436"/>
          <w:spacing w:val="5"/>
          <w:sz w:val="24"/>
        </w:rPr>
        <w:t> </w:t>
      </w:r>
      <w:r>
        <w:rPr>
          <w:i/>
          <w:color w:val="363436"/>
          <w:sz w:val="24"/>
        </w:rPr>
        <w:t>v.</w:t>
      </w:r>
      <w:r>
        <w:rPr>
          <w:i/>
          <w:color w:val="363436"/>
          <w:spacing w:val="-4"/>
          <w:sz w:val="24"/>
        </w:rPr>
        <w:t> </w:t>
      </w:r>
      <w:r>
        <w:rPr>
          <w:i/>
          <w:color w:val="363436"/>
          <w:sz w:val="24"/>
        </w:rPr>
        <w:t>Stevens,</w:t>
      </w:r>
      <w:r>
        <w:rPr>
          <w:i/>
          <w:color w:val="363436"/>
          <w:spacing w:val="-14"/>
          <w:sz w:val="24"/>
        </w:rPr>
        <w:t> </w:t>
      </w:r>
      <w:r>
        <w:rPr>
          <w:color w:val="363436"/>
          <w:sz w:val="23"/>
        </w:rPr>
        <w:t>559</w:t>
      </w:r>
      <w:r>
        <w:rPr>
          <w:color w:val="363436"/>
          <w:spacing w:val="62"/>
          <w:sz w:val="23"/>
        </w:rPr>
        <w:t> </w:t>
      </w:r>
      <w:r>
        <w:rPr>
          <w:color w:val="363436"/>
          <w:sz w:val="23"/>
        </w:rPr>
        <w:t>U.S.</w:t>
      </w:r>
      <w:r>
        <w:rPr>
          <w:color w:val="363436"/>
          <w:spacing w:val="-1"/>
          <w:sz w:val="23"/>
        </w:rPr>
        <w:t> </w:t>
      </w:r>
      <w:r>
        <w:rPr>
          <w:color w:val="363436"/>
          <w:sz w:val="23"/>
        </w:rPr>
        <w:t>460</w:t>
      </w:r>
      <w:r>
        <w:rPr>
          <w:color w:val="363436"/>
          <w:spacing w:val="33"/>
          <w:sz w:val="23"/>
        </w:rPr>
        <w:t> </w:t>
      </w:r>
      <w:r>
        <w:rPr>
          <w:color w:val="363436"/>
          <w:sz w:val="23"/>
        </w:rPr>
        <w:t>(2010),</w:t>
      </w:r>
      <w:r>
        <w:rPr>
          <w:color w:val="363436"/>
          <w:spacing w:val="14"/>
          <w:sz w:val="23"/>
        </w:rPr>
        <w:t> </w:t>
      </w:r>
      <w:r>
        <w:rPr>
          <w:color w:val="363436"/>
          <w:sz w:val="23"/>
        </w:rPr>
        <w:t>the</w:t>
      </w:r>
      <w:r>
        <w:rPr>
          <w:color w:val="363436"/>
          <w:spacing w:val="47"/>
          <w:sz w:val="23"/>
        </w:rPr>
        <w:t> </w:t>
      </w:r>
      <w:r>
        <w:rPr>
          <w:color w:val="363436"/>
          <w:sz w:val="23"/>
        </w:rPr>
        <w:t>United</w:t>
      </w:r>
      <w:r>
        <w:rPr>
          <w:color w:val="363436"/>
          <w:spacing w:val="-7"/>
          <w:sz w:val="23"/>
        </w:rPr>
        <w:t> </w:t>
      </w:r>
      <w:r>
        <w:rPr>
          <w:color w:val="363436"/>
          <w:sz w:val="23"/>
        </w:rPr>
        <w:t>States</w:t>
      </w:r>
    </w:p>
    <w:p>
      <w:pPr>
        <w:pStyle w:val="BodyText"/>
        <w:spacing w:line="225" w:lineRule="auto" w:before="8"/>
        <w:ind w:left="133" w:right="245" w:hanging="7"/>
        <w:jc w:val="both"/>
      </w:pPr>
      <w:r>
        <w:rPr>
          <w:color w:val="363436"/>
          <w:w w:val="110"/>
        </w:rPr>
        <w:t>Supreme</w:t>
      </w:r>
      <w:r>
        <w:rPr>
          <w:color w:val="363436"/>
          <w:spacing w:val="-22"/>
          <w:w w:val="110"/>
        </w:rPr>
        <w:t> </w:t>
      </w:r>
      <w:r>
        <w:rPr>
          <w:color w:val="363436"/>
          <w:w w:val="110"/>
        </w:rPr>
        <w:t>Court</w:t>
      </w:r>
      <w:r>
        <w:rPr>
          <w:color w:val="363436"/>
          <w:spacing w:val="-17"/>
          <w:w w:val="110"/>
        </w:rPr>
        <w:t> </w:t>
      </w:r>
      <w:r>
        <w:rPr>
          <w:color w:val="363436"/>
          <w:w w:val="110"/>
        </w:rPr>
        <w:t>cited</w:t>
      </w:r>
      <w:r>
        <w:rPr>
          <w:color w:val="363436"/>
          <w:spacing w:val="-10"/>
          <w:w w:val="110"/>
        </w:rPr>
        <w:t> </w:t>
      </w:r>
      <w:r>
        <w:rPr>
          <w:color w:val="363436"/>
          <w:w w:val="110"/>
        </w:rPr>
        <w:t>approximately</w:t>
      </w:r>
      <w:r>
        <w:rPr>
          <w:color w:val="363436"/>
          <w:spacing w:val="-6"/>
          <w:w w:val="110"/>
        </w:rPr>
        <w:t> </w:t>
      </w:r>
      <w:r>
        <w:rPr>
          <w:color w:val="363436"/>
          <w:w w:val="110"/>
        </w:rPr>
        <w:t>44</w:t>
      </w:r>
      <w:r>
        <w:rPr>
          <w:color w:val="363436"/>
          <w:spacing w:val="-16"/>
          <w:w w:val="110"/>
        </w:rPr>
        <w:t> </w:t>
      </w:r>
      <w:r>
        <w:rPr>
          <w:color w:val="363436"/>
          <w:w w:val="110"/>
        </w:rPr>
        <w:t>cases.</w:t>
      </w:r>
      <w:r>
        <w:rPr>
          <w:color w:val="363436"/>
          <w:spacing w:val="-19"/>
          <w:w w:val="110"/>
        </w:rPr>
        <w:t> </w:t>
      </w:r>
      <w:r>
        <w:rPr>
          <w:color w:val="363436"/>
          <w:w w:val="110"/>
        </w:rPr>
        <w:t>All</w:t>
      </w:r>
      <w:r>
        <w:rPr>
          <w:color w:val="363436"/>
          <w:spacing w:val="-19"/>
          <w:w w:val="110"/>
        </w:rPr>
        <w:t> </w:t>
      </w:r>
      <w:r>
        <w:rPr>
          <w:color w:val="363436"/>
          <w:w w:val="110"/>
        </w:rPr>
        <w:t>of</w:t>
      </w:r>
      <w:r>
        <w:rPr>
          <w:color w:val="363436"/>
          <w:spacing w:val="-1"/>
          <w:w w:val="110"/>
        </w:rPr>
        <w:t> </w:t>
      </w:r>
      <w:r>
        <w:rPr>
          <w:color w:val="363436"/>
          <w:w w:val="110"/>
        </w:rPr>
        <w:t>these</w:t>
      </w:r>
      <w:r>
        <w:rPr>
          <w:color w:val="363436"/>
          <w:spacing w:val="-27"/>
          <w:w w:val="110"/>
        </w:rPr>
        <w:t> </w:t>
      </w:r>
      <w:r>
        <w:rPr>
          <w:color w:val="363436"/>
          <w:w w:val="110"/>
        </w:rPr>
        <w:t>cases</w:t>
      </w:r>
      <w:r>
        <w:rPr>
          <w:color w:val="363436"/>
          <w:spacing w:val="-25"/>
          <w:w w:val="110"/>
        </w:rPr>
        <w:t> </w:t>
      </w:r>
      <w:r>
        <w:rPr>
          <w:color w:val="363436"/>
          <w:w w:val="110"/>
        </w:rPr>
        <w:t>were</w:t>
      </w:r>
      <w:r>
        <w:rPr>
          <w:color w:val="363436"/>
          <w:spacing w:val="-23"/>
          <w:w w:val="110"/>
        </w:rPr>
        <w:t> </w:t>
      </w:r>
      <w:r>
        <w:rPr>
          <w:color w:val="363436"/>
          <w:w w:val="110"/>
        </w:rPr>
        <w:t>United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States</w:t>
      </w:r>
      <w:r>
        <w:rPr>
          <w:color w:val="363436"/>
          <w:spacing w:val="-35"/>
          <w:w w:val="110"/>
        </w:rPr>
        <w:t> </w:t>
      </w:r>
      <w:r>
        <w:rPr>
          <w:color w:val="363436"/>
          <w:w w:val="110"/>
        </w:rPr>
        <w:t>Supreme</w:t>
      </w:r>
      <w:r>
        <w:rPr>
          <w:color w:val="363436"/>
          <w:spacing w:val="-11"/>
          <w:w w:val="110"/>
        </w:rPr>
        <w:t> </w:t>
      </w:r>
      <w:r>
        <w:rPr>
          <w:color w:val="363436"/>
          <w:w w:val="110"/>
        </w:rPr>
        <w:t>Court</w:t>
      </w:r>
      <w:r>
        <w:rPr>
          <w:color w:val="363436"/>
          <w:spacing w:val="-17"/>
          <w:w w:val="110"/>
        </w:rPr>
        <w:t> </w:t>
      </w:r>
      <w:r>
        <w:rPr>
          <w:color w:val="363436"/>
          <w:w w:val="110"/>
        </w:rPr>
        <w:t>d</w:t>
      </w:r>
      <w:r>
        <w:rPr>
          <w:color w:val="575659"/>
          <w:w w:val="110"/>
        </w:rPr>
        <w:t>e</w:t>
      </w:r>
      <w:r>
        <w:rPr>
          <w:color w:val="363436"/>
          <w:w w:val="110"/>
        </w:rPr>
        <w:t>cisions.</w:t>
      </w:r>
      <w:r>
        <w:rPr>
          <w:color w:val="363436"/>
          <w:spacing w:val="-28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-2"/>
          <w:w w:val="110"/>
        </w:rPr>
        <w:t> </w:t>
      </w:r>
      <w:r>
        <w:rPr>
          <w:color w:val="363436"/>
          <w:w w:val="110"/>
        </w:rPr>
        <w:t>United</w:t>
      </w:r>
      <w:r>
        <w:rPr>
          <w:color w:val="363436"/>
          <w:spacing w:val="-11"/>
          <w:w w:val="110"/>
        </w:rPr>
        <w:t> </w:t>
      </w:r>
      <w:r>
        <w:rPr>
          <w:color w:val="363436"/>
          <w:w w:val="110"/>
        </w:rPr>
        <w:t>States</w:t>
      </w:r>
      <w:r>
        <w:rPr>
          <w:color w:val="363436"/>
          <w:spacing w:val="-22"/>
          <w:w w:val="110"/>
        </w:rPr>
        <w:t> </w:t>
      </w:r>
      <w:r>
        <w:rPr>
          <w:color w:val="363436"/>
          <w:w w:val="110"/>
        </w:rPr>
        <w:t>Court</w:t>
      </w:r>
      <w:r>
        <w:rPr>
          <w:color w:val="363436"/>
          <w:spacing w:val="-18"/>
          <w:w w:val="110"/>
        </w:rPr>
        <w:t> </w:t>
      </w:r>
      <w:r>
        <w:rPr>
          <w:color w:val="363436"/>
          <w:w w:val="110"/>
        </w:rPr>
        <w:t>of</w:t>
      </w:r>
      <w:r>
        <w:rPr>
          <w:color w:val="363436"/>
          <w:spacing w:val="-2"/>
          <w:w w:val="110"/>
        </w:rPr>
        <w:t> </w:t>
      </w:r>
      <w:r>
        <w:rPr>
          <w:color w:val="363436"/>
          <w:w w:val="110"/>
        </w:rPr>
        <w:t>Appeals</w:t>
      </w:r>
      <w:r>
        <w:rPr>
          <w:color w:val="363436"/>
          <w:spacing w:val="-16"/>
          <w:w w:val="110"/>
        </w:rPr>
        <w:t> </w:t>
      </w:r>
      <w:r>
        <w:rPr>
          <w:color w:val="363436"/>
          <w:w w:val="110"/>
        </w:rPr>
        <w:t>for</w:t>
      </w:r>
      <w:r>
        <w:rPr>
          <w:color w:val="363436"/>
          <w:spacing w:val="-6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Third Circuit, whose opinion the Court affirmed, cited approximately 58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cases, of which 42 were United States Supreme Court decisions</w:t>
      </w:r>
      <w:r>
        <w:rPr>
          <w:color w:val="575659"/>
          <w:w w:val="110"/>
        </w:rPr>
        <w:t>. </w:t>
      </w:r>
      <w:r>
        <w:rPr>
          <w:i/>
          <w:color w:val="363436"/>
          <w:w w:val="110"/>
          <w:sz w:val="24"/>
        </w:rPr>
        <w:t>United</w:t>
      </w:r>
      <w:r>
        <w:rPr>
          <w:i/>
          <w:color w:val="363436"/>
          <w:spacing w:val="1"/>
          <w:w w:val="110"/>
          <w:sz w:val="24"/>
        </w:rPr>
        <w:t> </w:t>
      </w:r>
      <w:r>
        <w:rPr>
          <w:i/>
          <w:color w:val="363436"/>
          <w:w w:val="105"/>
          <w:sz w:val="24"/>
        </w:rPr>
        <w:t>States </w:t>
      </w:r>
      <w:r>
        <w:rPr>
          <w:i/>
          <w:color w:val="363436"/>
          <w:w w:val="105"/>
          <w:sz w:val="27"/>
        </w:rPr>
        <w:t>v.</w:t>
      </w:r>
      <w:r>
        <w:rPr>
          <w:i/>
          <w:color w:val="363436"/>
          <w:w w:val="105"/>
          <w:sz w:val="24"/>
        </w:rPr>
        <w:t>Stevens, </w:t>
      </w:r>
      <w:r>
        <w:rPr>
          <w:color w:val="363436"/>
          <w:w w:val="105"/>
        </w:rPr>
        <w:t>533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F.3d 218, 221 (3d Cir. 2008), </w:t>
      </w:r>
      <w:r>
        <w:rPr>
          <w:i/>
          <w:color w:val="363436"/>
          <w:w w:val="105"/>
          <w:sz w:val="24"/>
        </w:rPr>
        <w:t>affd,</w:t>
      </w:r>
      <w:r>
        <w:rPr>
          <w:color w:val="363436"/>
          <w:w w:val="105"/>
        </w:rPr>
        <w:t>559U.S. 460 (2010).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10"/>
        </w:rPr>
        <w:t>Eighteen of the 44 cases cited in the Supreme Court decision had also been</w:t>
      </w:r>
      <w:r>
        <w:rPr>
          <w:color w:val="363436"/>
          <w:spacing w:val="-61"/>
          <w:w w:val="110"/>
        </w:rPr>
        <w:t> </w:t>
      </w:r>
      <w:r>
        <w:rPr>
          <w:color w:val="363436"/>
          <w:w w:val="110"/>
        </w:rPr>
        <w:t>cited</w:t>
      </w:r>
      <w:r>
        <w:rPr>
          <w:color w:val="363436"/>
          <w:spacing w:val="-5"/>
          <w:w w:val="110"/>
        </w:rPr>
        <w:t> </w:t>
      </w:r>
      <w:r>
        <w:rPr>
          <w:color w:val="363436"/>
          <w:w w:val="110"/>
        </w:rPr>
        <w:t>in</w:t>
      </w:r>
      <w:r>
        <w:rPr>
          <w:color w:val="363436"/>
          <w:spacing w:val="21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12"/>
          <w:w w:val="110"/>
        </w:rPr>
        <w:t> </w:t>
      </w:r>
      <w:r>
        <w:rPr>
          <w:color w:val="363436"/>
          <w:w w:val="110"/>
        </w:rPr>
        <w:t>opinion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being</w:t>
      </w:r>
      <w:r>
        <w:rPr>
          <w:color w:val="363436"/>
          <w:spacing w:val="-10"/>
          <w:w w:val="110"/>
        </w:rPr>
        <w:t> </w:t>
      </w:r>
      <w:r>
        <w:rPr>
          <w:color w:val="363436"/>
          <w:w w:val="110"/>
        </w:rPr>
        <w:t>reviewed.</w:t>
      </w:r>
    </w:p>
    <w:p>
      <w:pPr>
        <w:pStyle w:val="BodyText"/>
        <w:spacing w:line="232" w:lineRule="auto" w:before="10"/>
        <w:ind w:left="149" w:right="112" w:firstLine="361"/>
        <w:jc w:val="both"/>
      </w:pPr>
      <w:r>
        <w:rPr>
          <w:color w:val="363436"/>
          <w:w w:val="110"/>
        </w:rPr>
        <w:t>These illustrations provide at least two guideposts: First, although the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United States Supreme Court prefers its own decisions, it is willing to con­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sider others. Second, the Supreme Court is likely to consider cases beyond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those discussed in  the  lower courts. Thus, when writing a brief  to  a court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5"/>
        </w:rPr>
        <w:t>of last resort, carefully consider any decisions from that court that were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cited by the lower court(s). </w:t>
      </w:r>
      <w:r>
        <w:rPr>
          <w:color w:val="363436"/>
          <w:w w:val="115"/>
          <w:sz w:val="22"/>
        </w:rPr>
        <w:t>If </w:t>
      </w:r>
      <w:r>
        <w:rPr>
          <w:color w:val="363436"/>
          <w:w w:val="115"/>
        </w:rPr>
        <w:t>there are other decisions cited-e.g., deci­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sions of relevant courts of appeals-read those decisions and see if </w:t>
      </w:r>
      <w:r>
        <w:rPr>
          <w:i/>
          <w:color w:val="363436"/>
          <w:w w:val="115"/>
          <w:sz w:val="24"/>
        </w:rPr>
        <w:t>those</w:t>
      </w:r>
      <w:r>
        <w:rPr>
          <w:i/>
          <w:color w:val="363436"/>
          <w:spacing w:val="1"/>
          <w:w w:val="115"/>
          <w:sz w:val="24"/>
        </w:rPr>
        <w:t> </w:t>
      </w:r>
      <w:r>
        <w:rPr>
          <w:i/>
          <w:color w:val="363436"/>
          <w:w w:val="110"/>
          <w:sz w:val="24"/>
        </w:rPr>
        <w:t>decisions</w:t>
      </w:r>
      <w:r>
        <w:rPr>
          <w:i/>
          <w:color w:val="363436"/>
          <w:spacing w:val="-10"/>
          <w:w w:val="110"/>
          <w:sz w:val="24"/>
        </w:rPr>
        <w:t> </w:t>
      </w:r>
      <w:r>
        <w:rPr>
          <w:color w:val="363436"/>
          <w:w w:val="110"/>
        </w:rPr>
        <w:t>cite</w:t>
      </w:r>
      <w:r>
        <w:rPr>
          <w:color w:val="363436"/>
          <w:spacing w:val="-25"/>
          <w:w w:val="110"/>
        </w:rPr>
        <w:t> </w:t>
      </w:r>
      <w:r>
        <w:rPr>
          <w:color w:val="363436"/>
          <w:w w:val="110"/>
        </w:rPr>
        <w:t>to</w:t>
      </w:r>
      <w:r>
        <w:rPr>
          <w:color w:val="363436"/>
          <w:spacing w:val="16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-4"/>
          <w:w w:val="110"/>
        </w:rPr>
        <w:t> </w:t>
      </w:r>
      <w:r>
        <w:rPr>
          <w:color w:val="363436"/>
          <w:w w:val="110"/>
        </w:rPr>
        <w:t>court</w:t>
      </w:r>
      <w:r>
        <w:rPr>
          <w:color w:val="363436"/>
          <w:spacing w:val="-10"/>
          <w:w w:val="110"/>
        </w:rPr>
        <w:t> </w:t>
      </w:r>
      <w:r>
        <w:rPr>
          <w:color w:val="363436"/>
          <w:w w:val="110"/>
        </w:rPr>
        <w:t>of</w:t>
      </w:r>
      <w:r>
        <w:rPr>
          <w:color w:val="363436"/>
          <w:spacing w:val="3"/>
          <w:w w:val="110"/>
        </w:rPr>
        <w:t> </w:t>
      </w:r>
      <w:r>
        <w:rPr>
          <w:color w:val="363436"/>
          <w:w w:val="110"/>
        </w:rPr>
        <w:t>last</w:t>
      </w:r>
      <w:r>
        <w:rPr>
          <w:color w:val="363436"/>
          <w:spacing w:val="-5"/>
          <w:w w:val="110"/>
        </w:rPr>
        <w:t> </w:t>
      </w:r>
      <w:r>
        <w:rPr>
          <w:color w:val="363436"/>
          <w:w w:val="110"/>
        </w:rPr>
        <w:t>resort.</w:t>
      </w:r>
      <w:r>
        <w:rPr>
          <w:color w:val="363436"/>
          <w:spacing w:val="-14"/>
          <w:w w:val="110"/>
        </w:rPr>
        <w:t> </w:t>
      </w:r>
      <w:r>
        <w:rPr>
          <w:color w:val="363436"/>
          <w:w w:val="110"/>
        </w:rPr>
        <w:t>If</w:t>
      </w:r>
      <w:r>
        <w:rPr>
          <w:color w:val="363436"/>
          <w:spacing w:val="-4"/>
          <w:w w:val="110"/>
        </w:rPr>
        <w:t> </w:t>
      </w:r>
      <w:r>
        <w:rPr>
          <w:color w:val="363436"/>
          <w:w w:val="110"/>
        </w:rPr>
        <w:t>you</w:t>
      </w:r>
      <w:r>
        <w:rPr>
          <w:color w:val="363436"/>
          <w:spacing w:val="18"/>
          <w:w w:val="110"/>
        </w:rPr>
        <w:t> </w:t>
      </w:r>
      <w:r>
        <w:rPr>
          <w:color w:val="363436"/>
          <w:w w:val="110"/>
        </w:rPr>
        <w:t>want</w:t>
      </w:r>
      <w:r>
        <w:rPr>
          <w:color w:val="363436"/>
          <w:spacing w:val="-14"/>
          <w:w w:val="110"/>
        </w:rPr>
        <w:t> </w:t>
      </w:r>
      <w:r>
        <w:rPr>
          <w:color w:val="363436"/>
          <w:w w:val="110"/>
        </w:rPr>
        <w:t>to</w:t>
      </w:r>
      <w:r>
        <w:rPr>
          <w:color w:val="363436"/>
          <w:spacing w:val="-2"/>
          <w:w w:val="110"/>
        </w:rPr>
        <w:t> </w:t>
      </w:r>
      <w:r>
        <w:rPr>
          <w:color w:val="363436"/>
          <w:w w:val="110"/>
        </w:rPr>
        <w:t>use</w:t>
      </w:r>
      <w:r>
        <w:rPr>
          <w:color w:val="363436"/>
          <w:spacing w:val="-30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10"/>
          <w:w w:val="110"/>
        </w:rPr>
        <w:t> </w:t>
      </w:r>
      <w:r>
        <w:rPr>
          <w:color w:val="363436"/>
          <w:w w:val="110"/>
        </w:rPr>
        <w:t>rules</w:t>
      </w:r>
      <w:r>
        <w:rPr>
          <w:color w:val="363436"/>
          <w:spacing w:val="-18"/>
          <w:w w:val="110"/>
        </w:rPr>
        <w:t> </w:t>
      </w:r>
      <w:r>
        <w:rPr>
          <w:color w:val="363436"/>
          <w:w w:val="110"/>
        </w:rPr>
        <w:t>or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hold­</w:t>
      </w:r>
      <w:r>
        <w:rPr>
          <w:color w:val="363436"/>
          <w:spacing w:val="1"/>
          <w:w w:val="110"/>
        </w:rPr>
        <w:t> </w:t>
      </w:r>
      <w:r>
        <w:rPr>
          <w:color w:val="363436"/>
          <w:spacing w:val="-1"/>
          <w:w w:val="115"/>
        </w:rPr>
        <w:t>ings</w:t>
      </w:r>
      <w:r>
        <w:rPr>
          <w:color w:val="363436"/>
          <w:spacing w:val="-41"/>
          <w:w w:val="115"/>
        </w:rPr>
        <w:t> </w:t>
      </w:r>
      <w:r>
        <w:rPr>
          <w:color w:val="363436"/>
          <w:spacing w:val="-1"/>
          <w:w w:val="115"/>
        </w:rPr>
        <w:t>from</w:t>
      </w:r>
      <w:r>
        <w:rPr>
          <w:color w:val="363436"/>
          <w:spacing w:val="-12"/>
          <w:w w:val="115"/>
        </w:rPr>
        <w:t> </w:t>
      </w:r>
      <w:r>
        <w:rPr>
          <w:color w:val="363436"/>
          <w:spacing w:val="-1"/>
          <w:w w:val="115"/>
        </w:rPr>
        <w:t>those</w:t>
      </w:r>
      <w:r>
        <w:rPr>
          <w:color w:val="363436"/>
          <w:spacing w:val="-24"/>
          <w:w w:val="115"/>
        </w:rPr>
        <w:t> </w:t>
      </w:r>
      <w:r>
        <w:rPr>
          <w:color w:val="363436"/>
          <w:w w:val="115"/>
        </w:rPr>
        <w:t>lower</w:t>
      </w:r>
      <w:r>
        <w:rPr>
          <w:color w:val="363436"/>
          <w:spacing w:val="-23"/>
          <w:w w:val="115"/>
        </w:rPr>
        <w:t> </w:t>
      </w:r>
      <w:r>
        <w:rPr>
          <w:color w:val="363436"/>
          <w:w w:val="115"/>
        </w:rPr>
        <w:t>court</w:t>
      </w:r>
      <w:r>
        <w:rPr>
          <w:color w:val="363436"/>
          <w:spacing w:val="-18"/>
          <w:w w:val="115"/>
        </w:rPr>
        <w:t> </w:t>
      </w:r>
      <w:r>
        <w:rPr>
          <w:color w:val="363436"/>
          <w:w w:val="115"/>
        </w:rPr>
        <w:t>decisions,</w:t>
      </w:r>
      <w:r>
        <w:rPr>
          <w:color w:val="363436"/>
          <w:spacing w:val="-17"/>
          <w:w w:val="115"/>
        </w:rPr>
        <w:t> </w:t>
      </w:r>
      <w:r>
        <w:rPr>
          <w:color w:val="363436"/>
          <w:w w:val="115"/>
        </w:rPr>
        <w:t>you</w:t>
      </w:r>
      <w:r>
        <w:rPr>
          <w:color w:val="363436"/>
          <w:spacing w:val="-3"/>
          <w:w w:val="115"/>
        </w:rPr>
        <w:t> </w:t>
      </w:r>
      <w:r>
        <w:rPr>
          <w:color w:val="363436"/>
          <w:w w:val="115"/>
        </w:rPr>
        <w:t>may</w:t>
      </w:r>
      <w:r>
        <w:rPr>
          <w:color w:val="363436"/>
          <w:spacing w:val="-7"/>
          <w:w w:val="115"/>
        </w:rPr>
        <w:t> </w:t>
      </w:r>
      <w:r>
        <w:rPr>
          <w:color w:val="363436"/>
          <w:w w:val="115"/>
        </w:rPr>
        <w:t>be</w:t>
      </w:r>
      <w:r>
        <w:rPr>
          <w:color w:val="363436"/>
          <w:spacing w:val="-21"/>
          <w:w w:val="115"/>
        </w:rPr>
        <w:t> </w:t>
      </w:r>
      <w:r>
        <w:rPr>
          <w:color w:val="363436"/>
          <w:w w:val="115"/>
        </w:rPr>
        <w:t>able</w:t>
      </w:r>
      <w:r>
        <w:rPr>
          <w:color w:val="363436"/>
          <w:spacing w:val="-31"/>
          <w:w w:val="115"/>
        </w:rPr>
        <w:t> </w:t>
      </w:r>
      <w:r>
        <w:rPr>
          <w:color w:val="363436"/>
          <w:w w:val="115"/>
        </w:rPr>
        <w:t>to</w:t>
      </w:r>
      <w:r>
        <w:rPr>
          <w:color w:val="363436"/>
          <w:spacing w:val="-6"/>
          <w:w w:val="115"/>
        </w:rPr>
        <w:t> </w:t>
      </w:r>
      <w:r>
        <w:rPr>
          <w:color w:val="363436"/>
          <w:w w:val="115"/>
        </w:rPr>
        <w:t>find</w:t>
      </w:r>
      <w:r>
        <w:rPr>
          <w:color w:val="363436"/>
          <w:spacing w:val="-20"/>
          <w:w w:val="115"/>
        </w:rPr>
        <w:t> </w:t>
      </w:r>
      <w:r>
        <w:rPr>
          <w:color w:val="363436"/>
          <w:w w:val="115"/>
        </w:rPr>
        <w:t>a</w:t>
      </w:r>
      <w:r>
        <w:rPr>
          <w:color w:val="363436"/>
          <w:spacing w:val="-10"/>
          <w:w w:val="115"/>
        </w:rPr>
        <w:t> </w:t>
      </w:r>
      <w:r>
        <w:rPr>
          <w:color w:val="363436"/>
          <w:w w:val="115"/>
        </w:rPr>
        <w:t>high</w:t>
      </w:r>
      <w:r>
        <w:rPr>
          <w:color w:val="363436"/>
          <w:spacing w:val="-21"/>
          <w:w w:val="115"/>
        </w:rPr>
        <w:t> </w:t>
      </w:r>
      <w:r>
        <w:rPr>
          <w:color w:val="363436"/>
          <w:w w:val="115"/>
        </w:rPr>
        <w:t>court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"hook" in the decisions themselves. </w:t>
      </w:r>
      <w:r>
        <w:rPr>
          <w:color w:val="363436"/>
          <w:w w:val="115"/>
          <w:sz w:val="22"/>
        </w:rPr>
        <w:t>If </w:t>
      </w:r>
      <w:r>
        <w:rPr>
          <w:color w:val="363436"/>
          <w:w w:val="115"/>
        </w:rPr>
        <w:t>you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cannot find any high court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authority in those decisions and you still want to use the legal principles,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use your research skills (and your abstract reasoning) to search for high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court decisions that govern the  same or similar  points. Once again, this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is</w:t>
      </w:r>
      <w:r>
        <w:rPr>
          <w:color w:val="363436"/>
          <w:spacing w:val="-23"/>
          <w:w w:val="115"/>
        </w:rPr>
        <w:t> </w:t>
      </w:r>
      <w:r>
        <w:rPr>
          <w:color w:val="363436"/>
          <w:w w:val="115"/>
        </w:rPr>
        <w:t>not</w:t>
      </w:r>
      <w:r>
        <w:rPr>
          <w:color w:val="363436"/>
          <w:spacing w:val="-10"/>
          <w:w w:val="115"/>
        </w:rPr>
        <w:t> </w:t>
      </w:r>
      <w:r>
        <w:rPr>
          <w:color w:val="363436"/>
          <w:w w:val="115"/>
        </w:rPr>
        <w:t>to</w:t>
      </w:r>
      <w:r>
        <w:rPr>
          <w:color w:val="363436"/>
          <w:spacing w:val="-8"/>
          <w:w w:val="115"/>
        </w:rPr>
        <w:t> </w:t>
      </w:r>
      <w:r>
        <w:rPr>
          <w:color w:val="363436"/>
          <w:w w:val="115"/>
        </w:rPr>
        <w:t>saythat</w:t>
      </w:r>
      <w:r>
        <w:rPr>
          <w:color w:val="363436"/>
          <w:spacing w:val="7"/>
          <w:w w:val="115"/>
        </w:rPr>
        <w:t> </w:t>
      </w:r>
      <w:r>
        <w:rPr>
          <w:color w:val="363436"/>
          <w:w w:val="115"/>
        </w:rPr>
        <w:t>you</w:t>
      </w:r>
      <w:r>
        <w:rPr>
          <w:color w:val="363436"/>
          <w:spacing w:val="-24"/>
          <w:w w:val="115"/>
        </w:rPr>
        <w:t> </w:t>
      </w:r>
      <w:r>
        <w:rPr>
          <w:color w:val="363436"/>
          <w:w w:val="115"/>
        </w:rPr>
        <w:t>must</w:t>
      </w:r>
      <w:r>
        <w:rPr>
          <w:color w:val="363436"/>
          <w:spacing w:val="20"/>
          <w:w w:val="115"/>
        </w:rPr>
        <w:t> </w:t>
      </w:r>
      <w:r>
        <w:rPr>
          <w:color w:val="363436"/>
          <w:w w:val="115"/>
        </w:rPr>
        <w:t>restrict</w:t>
      </w:r>
      <w:r>
        <w:rPr>
          <w:color w:val="363436"/>
          <w:spacing w:val="10"/>
          <w:w w:val="115"/>
        </w:rPr>
        <w:t> </w:t>
      </w:r>
      <w:r>
        <w:rPr>
          <w:color w:val="363436"/>
          <w:w w:val="115"/>
        </w:rPr>
        <w:t>your</w:t>
      </w:r>
      <w:r>
        <w:rPr>
          <w:color w:val="363436"/>
          <w:spacing w:val="15"/>
          <w:w w:val="115"/>
        </w:rPr>
        <w:t> </w:t>
      </w:r>
      <w:r>
        <w:rPr>
          <w:color w:val="363436"/>
          <w:w w:val="115"/>
        </w:rPr>
        <w:t>case</w:t>
      </w:r>
      <w:r>
        <w:rPr>
          <w:color w:val="363436"/>
          <w:spacing w:val="2"/>
          <w:w w:val="115"/>
        </w:rPr>
        <w:t> </w:t>
      </w:r>
      <w:r>
        <w:rPr>
          <w:color w:val="363436"/>
          <w:w w:val="115"/>
        </w:rPr>
        <w:t>citations</w:t>
      </w:r>
      <w:r>
        <w:rPr>
          <w:color w:val="363436"/>
          <w:spacing w:val="13"/>
          <w:w w:val="115"/>
        </w:rPr>
        <w:t> </w:t>
      </w:r>
      <w:r>
        <w:rPr>
          <w:color w:val="363436"/>
          <w:w w:val="115"/>
        </w:rPr>
        <w:t>to</w:t>
      </w:r>
      <w:r>
        <w:rPr>
          <w:color w:val="363436"/>
          <w:spacing w:val="36"/>
          <w:w w:val="115"/>
        </w:rPr>
        <w:t> </w:t>
      </w:r>
      <w:r>
        <w:rPr>
          <w:color w:val="363436"/>
          <w:w w:val="115"/>
        </w:rPr>
        <w:t>mandatory</w:t>
      </w:r>
      <w:r>
        <w:rPr>
          <w:color w:val="363436"/>
          <w:spacing w:val="6"/>
          <w:w w:val="115"/>
        </w:rPr>
        <w:t> </w:t>
      </w:r>
      <w:r>
        <w:rPr>
          <w:color w:val="363436"/>
          <w:w w:val="115"/>
        </w:rPr>
        <w:t>cases</w:t>
      </w:r>
    </w:p>
    <w:p>
      <w:pPr>
        <w:spacing w:after="0" w:line="232" w:lineRule="auto"/>
        <w:jc w:val="both"/>
        <w:sectPr>
          <w:pgSz w:w="9430" w:h="13750"/>
          <w:pgMar w:header="418" w:footer="0" w:top="1000" w:bottom="280" w:left="360" w:right="1040"/>
        </w:sectPr>
      </w:pPr>
    </w:p>
    <w:p>
      <w:pPr>
        <w:pStyle w:val="BodyText"/>
        <w:spacing w:before="1"/>
        <w:rPr>
          <w:sz w:val="29"/>
        </w:rPr>
      </w:pPr>
    </w:p>
    <w:p>
      <w:pPr>
        <w:tabs>
          <w:tab w:pos="869" w:val="left" w:leader="none"/>
        </w:tabs>
        <w:spacing w:before="92"/>
        <w:ind w:left="118" w:right="0" w:firstLine="0"/>
        <w:jc w:val="left"/>
        <w:rPr>
          <w:rFonts w:ascii="Arial"/>
          <w:sz w:val="17"/>
        </w:rPr>
      </w:pPr>
      <w:r>
        <w:rPr>
          <w:b/>
          <w:i/>
          <w:color w:val="3B383B"/>
          <w:w w:val="105"/>
          <w:sz w:val="19"/>
        </w:rPr>
        <w:t>58</w:t>
        <w:tab/>
      </w:r>
      <w:r>
        <w:rPr>
          <w:rFonts w:ascii="Arial"/>
          <w:color w:val="3B383B"/>
          <w:sz w:val="17"/>
        </w:rPr>
        <w:t>Chapter</w:t>
      </w:r>
      <w:r>
        <w:rPr>
          <w:rFonts w:ascii="Arial"/>
          <w:color w:val="3B383B"/>
          <w:spacing w:val="-8"/>
          <w:sz w:val="17"/>
        </w:rPr>
        <w:t> </w:t>
      </w:r>
      <w:r>
        <w:rPr>
          <w:rFonts w:ascii="Arial"/>
          <w:color w:val="3B383B"/>
          <w:sz w:val="17"/>
        </w:rPr>
        <w:t>Three</w:t>
      </w:r>
      <w:r>
        <w:rPr>
          <w:rFonts w:ascii="Arial"/>
          <w:color w:val="3B383B"/>
          <w:spacing w:val="76"/>
          <w:sz w:val="17"/>
        </w:rPr>
        <w:t> </w:t>
      </w:r>
      <w:r>
        <w:rPr>
          <w:rFonts w:ascii="Arial"/>
          <w:color w:val="3B383B"/>
          <w:sz w:val="17"/>
        </w:rPr>
        <w:t>Before</w:t>
      </w:r>
      <w:r>
        <w:rPr>
          <w:rFonts w:ascii="Arial"/>
          <w:color w:val="3B383B"/>
          <w:spacing w:val="-5"/>
          <w:sz w:val="17"/>
        </w:rPr>
        <w:t> </w:t>
      </w:r>
      <w:r>
        <w:rPr>
          <w:rFonts w:ascii="Arial"/>
          <w:color w:val="3B383B"/>
          <w:sz w:val="17"/>
        </w:rPr>
        <w:t>You</w:t>
      </w:r>
      <w:r>
        <w:rPr>
          <w:rFonts w:ascii="Arial"/>
          <w:color w:val="3B383B"/>
          <w:spacing w:val="-15"/>
          <w:sz w:val="17"/>
        </w:rPr>
        <w:t> </w:t>
      </w:r>
      <w:r>
        <w:rPr>
          <w:rFonts w:ascii="Arial"/>
          <w:color w:val="3B383B"/>
          <w:sz w:val="17"/>
        </w:rPr>
        <w:t>Write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19"/>
        </w:rPr>
      </w:pPr>
    </w:p>
    <w:p>
      <w:pPr>
        <w:pStyle w:val="BodyText"/>
        <w:ind w:left="812" w:right="78" w:firstLine="35"/>
        <w:jc w:val="both"/>
      </w:pPr>
      <w:r>
        <w:rPr>
          <w:color w:val="3B383B"/>
          <w:w w:val="105"/>
        </w:rPr>
        <w:t>when writing to a court of last resort. Nonmandatory cases will be seen as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more valid, however, if the  writer can connect them to a mandatory rule</w:t>
      </w:r>
      <w:r>
        <w:rPr>
          <w:color w:val="575759"/>
          <w:w w:val="105"/>
        </w:rPr>
        <w:t>.</w:t>
      </w:r>
      <w:r>
        <w:rPr>
          <w:color w:val="575759"/>
          <w:spacing w:val="1"/>
          <w:w w:val="105"/>
        </w:rPr>
        <w:t> </w:t>
      </w:r>
      <w:r>
        <w:rPr>
          <w:color w:val="3B383B"/>
          <w:w w:val="110"/>
        </w:rPr>
        <w:t>The next section addresses methods for pulling arguments from nonman­</w:t>
      </w:r>
      <w:r>
        <w:rPr>
          <w:color w:val="3B383B"/>
          <w:spacing w:val="-61"/>
          <w:w w:val="110"/>
        </w:rPr>
        <w:t> </w:t>
      </w:r>
      <w:r>
        <w:rPr>
          <w:color w:val="3B383B"/>
          <w:w w:val="110"/>
        </w:rPr>
        <w:t>datory</w:t>
      </w:r>
      <w:r>
        <w:rPr>
          <w:color w:val="3B383B"/>
          <w:spacing w:val="-8"/>
          <w:w w:val="110"/>
        </w:rPr>
        <w:t> </w:t>
      </w:r>
      <w:r>
        <w:rPr>
          <w:color w:val="3B383B"/>
          <w:w w:val="110"/>
        </w:rPr>
        <w:t>authorities.</w:t>
      </w:r>
    </w:p>
    <w:p>
      <w:pPr>
        <w:pStyle w:val="BodyText"/>
        <w:spacing w:before="8"/>
        <w:rPr>
          <w:sz w:val="28"/>
        </w:rPr>
      </w:pPr>
    </w:p>
    <w:p>
      <w:pPr>
        <w:spacing w:before="0"/>
        <w:ind w:left="1185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B383B"/>
          <w:w w:val="105"/>
          <w:sz w:val="28"/>
        </w:rPr>
        <w:t>3.3</w:t>
      </w:r>
      <w:r>
        <w:rPr>
          <w:rFonts w:ascii="Arial"/>
          <w:b/>
          <w:color w:val="575759"/>
          <w:w w:val="105"/>
          <w:sz w:val="28"/>
        </w:rPr>
        <w:t>.</w:t>
      </w:r>
      <w:r>
        <w:rPr>
          <w:rFonts w:ascii="Arial"/>
          <w:b/>
          <w:color w:val="3B383B"/>
          <w:w w:val="105"/>
          <w:sz w:val="28"/>
        </w:rPr>
        <w:t>3</w:t>
      </w:r>
    </w:p>
    <w:p>
      <w:pPr>
        <w:spacing w:line="295" w:lineRule="auto" w:before="34"/>
        <w:ind w:left="1157" w:right="314" w:firstLine="25"/>
        <w:jc w:val="left"/>
        <w:rPr>
          <w:rFonts w:ascii="Arial"/>
          <w:b/>
          <w:sz w:val="22"/>
        </w:rPr>
      </w:pPr>
      <w:r>
        <w:rPr>
          <w:color w:val="3B383B"/>
          <w:sz w:val="23"/>
        </w:rPr>
        <w:t>HARVESTING</w:t>
      </w:r>
      <w:r>
        <w:rPr>
          <w:color w:val="3B383B"/>
          <w:spacing w:val="1"/>
          <w:sz w:val="23"/>
        </w:rPr>
        <w:t> </w:t>
      </w:r>
      <w:r>
        <w:rPr>
          <w:rFonts w:ascii="Arial"/>
          <w:b/>
          <w:color w:val="3B383B"/>
          <w:sz w:val="22"/>
        </w:rPr>
        <w:t>ARGUMENTS</w:t>
      </w:r>
      <w:r>
        <w:rPr>
          <w:rFonts w:ascii="Arial"/>
          <w:b/>
          <w:color w:val="3B383B"/>
          <w:spacing w:val="1"/>
          <w:sz w:val="22"/>
        </w:rPr>
        <w:t> </w:t>
      </w:r>
      <w:r>
        <w:rPr>
          <w:rFonts w:ascii="Arial"/>
          <w:b/>
          <w:color w:val="3B383B"/>
          <w:sz w:val="22"/>
        </w:rPr>
        <w:t>FROM NONMANDATORY</w:t>
      </w:r>
      <w:r>
        <w:rPr>
          <w:rFonts w:ascii="Arial"/>
          <w:b/>
          <w:color w:val="3B383B"/>
          <w:spacing w:val="-59"/>
          <w:sz w:val="22"/>
        </w:rPr>
        <w:t> </w:t>
      </w:r>
      <w:r>
        <w:rPr>
          <w:rFonts w:ascii="Arial"/>
          <w:b/>
          <w:color w:val="3B383B"/>
          <w:sz w:val="22"/>
        </w:rPr>
        <w:t>AUTHORITIES</w:t>
      </w:r>
    </w:p>
    <w:p>
      <w:pPr>
        <w:pStyle w:val="BodyText"/>
        <w:spacing w:line="232" w:lineRule="auto" w:before="131"/>
        <w:ind w:left="625" w:right="88" w:firstLine="507"/>
        <w:jc w:val="both"/>
      </w:pPr>
      <w:r>
        <w:rPr>
          <w:color w:val="3B383B"/>
          <w:w w:val="110"/>
        </w:rPr>
        <w:t>If you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are  writing  to a  trial court,  you  need  to  know first whether</w:t>
      </w:r>
      <w:r>
        <w:rPr>
          <w:color w:val="3B383B"/>
          <w:spacing w:val="-61"/>
          <w:w w:val="110"/>
        </w:rPr>
        <w:t> </w:t>
      </w:r>
      <w:r>
        <w:rPr>
          <w:color w:val="3B383B"/>
          <w:w w:val="110"/>
        </w:rPr>
        <w:t>a  mandatory authority governs the  issue  directly.  </w:t>
      </w:r>
      <w:r>
        <w:rPr>
          <w:color w:val="3B383B"/>
          <w:w w:val="110"/>
          <w:sz w:val="22"/>
        </w:rPr>
        <w:t>If  </w:t>
      </w:r>
      <w:r>
        <w:rPr>
          <w:color w:val="3B383B"/>
          <w:w w:val="110"/>
        </w:rPr>
        <w:t>you  are  writing  to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a court of last resort, or if there are no mandatory authorities that are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directly on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point,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you  may  need  to  look  beyond  mandatory  author­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ities.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First, if  you are  in  a state court  or in  a  federal  court other  than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the Supreme Court, you should determine whether your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jurisdiction is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within the mainstream. </w:t>
      </w:r>
      <w:r>
        <w:rPr>
          <w:rFonts w:ascii="Arial" w:hAnsi="Arial"/>
          <w:color w:val="3B383B"/>
          <w:w w:val="110"/>
          <w:sz w:val="21"/>
        </w:rPr>
        <w:t>If </w:t>
      </w:r>
      <w:r>
        <w:rPr>
          <w:color w:val="3B383B"/>
          <w:w w:val="110"/>
        </w:rPr>
        <w:t>your jurisdiction is within the mainstream, and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the mainstream is on your side, your arguments will be pretty much laid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out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for you. If, in contrast, your jurisdiction is the first to tackle a new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interpretation of the law</w:t>
      </w:r>
      <w:r>
        <w:rPr>
          <w:color w:val="575759"/>
          <w:w w:val="110"/>
        </w:rPr>
        <w:t>, </w:t>
      </w:r>
      <w:r>
        <w:rPr>
          <w:color w:val="3B383B"/>
          <w:w w:val="110"/>
        </w:rPr>
        <w:t>or a new cause of action entirely, one side or 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other may be able to argue that it is nowtime to return to the old way of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doing things. If all or most of your sister jurisdictions have made a juris­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prudential change, one side can  argue that  it  is time for this  jurisdiction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to</w:t>
      </w:r>
      <w:r>
        <w:rPr>
          <w:color w:val="3B383B"/>
          <w:spacing w:val="23"/>
          <w:w w:val="110"/>
        </w:rPr>
        <w:t> </w:t>
      </w:r>
      <w:r>
        <w:rPr>
          <w:color w:val="3B383B"/>
          <w:w w:val="110"/>
        </w:rPr>
        <w:t>make</w:t>
      </w:r>
      <w:r>
        <w:rPr>
          <w:color w:val="3B383B"/>
          <w:spacing w:val="-6"/>
          <w:w w:val="110"/>
        </w:rPr>
        <w:t> </w:t>
      </w:r>
      <w:r>
        <w:rPr>
          <w:color w:val="3B383B"/>
          <w:w w:val="110"/>
        </w:rPr>
        <w:t>the</w:t>
      </w:r>
      <w:r>
        <w:rPr>
          <w:color w:val="3B383B"/>
          <w:spacing w:val="5"/>
          <w:w w:val="110"/>
        </w:rPr>
        <w:t> </w:t>
      </w:r>
      <w:r>
        <w:rPr>
          <w:color w:val="3B383B"/>
          <w:w w:val="110"/>
        </w:rPr>
        <w:t>change</w:t>
      </w:r>
      <w:r>
        <w:rPr>
          <w:color w:val="3B383B"/>
          <w:spacing w:val="-11"/>
          <w:w w:val="110"/>
        </w:rPr>
        <w:t> </w:t>
      </w:r>
      <w:r>
        <w:rPr>
          <w:color w:val="3B383B"/>
          <w:w w:val="110"/>
        </w:rPr>
        <w:t>as well.</w:t>
      </w:r>
    </w:p>
    <w:p>
      <w:pPr>
        <w:pStyle w:val="BodyText"/>
        <w:spacing w:line="232" w:lineRule="auto" w:before="12"/>
        <w:ind w:left="542" w:right="111" w:firstLine="458"/>
        <w:jc w:val="both"/>
      </w:pPr>
      <w:r>
        <w:rPr>
          <w:color w:val="3B383B"/>
          <w:w w:val="115"/>
        </w:rPr>
        <w:t>Whether you are arguing to a trial court, an intermediate court of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appeals, or a court of last resort, you need to decide whether to cite non­</w:t>
      </w:r>
      <w:r>
        <w:rPr>
          <w:color w:val="3B383B"/>
          <w:spacing w:val="-64"/>
          <w:w w:val="115"/>
        </w:rPr>
        <w:t> </w:t>
      </w:r>
      <w:r>
        <w:rPr>
          <w:color w:val="3B383B"/>
          <w:w w:val="115"/>
        </w:rPr>
        <w:t>mandatory, or even nonjurisdictional, authorities. </w:t>
      </w:r>
      <w:r>
        <w:rPr>
          <w:rFonts w:ascii="Arial" w:hAnsi="Arial"/>
          <w:color w:val="3B383B"/>
          <w:w w:val="115"/>
          <w:sz w:val="21"/>
        </w:rPr>
        <w:t>If </w:t>
      </w:r>
      <w:r>
        <w:rPr>
          <w:color w:val="3B383B"/>
          <w:w w:val="115"/>
        </w:rPr>
        <w:t>your jurisdiction is</w:t>
      </w:r>
      <w:r>
        <w:rPr>
          <w:color w:val="3B383B"/>
          <w:spacing w:val="1"/>
          <w:w w:val="115"/>
        </w:rPr>
        <w:t> </w:t>
      </w:r>
      <w:r>
        <w:rPr>
          <w:color w:val="3B383B"/>
          <w:spacing w:val="-1"/>
          <w:w w:val="115"/>
        </w:rPr>
        <w:t>within the mainstream </w:t>
      </w:r>
      <w:r>
        <w:rPr>
          <w:color w:val="3B383B"/>
          <w:w w:val="115"/>
        </w:rPr>
        <w:t>and if authorities within your jurisdiction are suf­</w:t>
      </w:r>
      <w:r>
        <w:rPr>
          <w:color w:val="3B383B"/>
          <w:spacing w:val="-64"/>
          <w:w w:val="115"/>
        </w:rPr>
        <w:t> </w:t>
      </w:r>
      <w:r>
        <w:rPr>
          <w:color w:val="3B383B"/>
          <w:w w:val="110"/>
        </w:rPr>
        <w:t>ficiently on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point to answer your legal question, there may be no need to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5"/>
        </w:rPr>
        <w:t>cite authorities outside of that jurisdiction. </w:t>
      </w:r>
      <w:r>
        <w:rPr>
          <w:rFonts w:ascii="Arial" w:hAnsi="Arial"/>
          <w:color w:val="3B383B"/>
          <w:w w:val="115"/>
          <w:sz w:val="21"/>
        </w:rPr>
        <w:t>If </w:t>
      </w:r>
      <w:r>
        <w:rPr>
          <w:color w:val="3B383B"/>
          <w:w w:val="115"/>
        </w:rPr>
        <w:t>your jurisdiction is out of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the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mainstream or </w:t>
      </w:r>
      <w:r>
        <w:rPr>
          <w:color w:val="3B383B"/>
          <w:w w:val="115"/>
          <w:sz w:val="20"/>
        </w:rPr>
        <w:t>if </w:t>
      </w:r>
      <w:r>
        <w:rPr>
          <w:color w:val="3B383B"/>
          <w:w w:val="115"/>
        </w:rPr>
        <w:t>there are no authorities that are directly on point,</w:t>
      </w:r>
      <w:r>
        <w:rPr>
          <w:color w:val="3B383B"/>
          <w:spacing w:val="1"/>
          <w:w w:val="115"/>
        </w:rPr>
        <w:t> </w:t>
      </w:r>
      <w:r>
        <w:rPr>
          <w:color w:val="3B383B"/>
          <w:spacing w:val="-1"/>
          <w:w w:val="115"/>
        </w:rPr>
        <w:t>you may want to consult </w:t>
      </w:r>
      <w:r>
        <w:rPr>
          <w:color w:val="3B383B"/>
          <w:w w:val="115"/>
        </w:rPr>
        <w:t>nonmandatory or nonjurisdictional authorities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as</w:t>
      </w:r>
      <w:r>
        <w:rPr>
          <w:color w:val="3B383B"/>
          <w:spacing w:val="-19"/>
          <w:w w:val="115"/>
        </w:rPr>
        <w:t> </w:t>
      </w:r>
      <w:r>
        <w:rPr>
          <w:color w:val="3B383B"/>
          <w:w w:val="115"/>
        </w:rPr>
        <w:t>well.</w:t>
      </w:r>
    </w:p>
    <w:p>
      <w:pPr>
        <w:pStyle w:val="BodyText"/>
        <w:spacing w:line="230" w:lineRule="auto" w:before="25"/>
        <w:ind w:left="465" w:right="151" w:firstLine="431"/>
        <w:jc w:val="both"/>
      </w:pPr>
      <w:r>
        <w:rPr>
          <w:rFonts w:ascii="Arial" w:hAnsi="Arial"/>
          <w:color w:val="3B383B"/>
          <w:w w:val="115"/>
          <w:sz w:val="21"/>
        </w:rPr>
        <w:t>If</w:t>
      </w:r>
      <w:r>
        <w:rPr>
          <w:rFonts w:ascii="Arial" w:hAnsi="Arial"/>
          <w:color w:val="3B383B"/>
          <w:spacing w:val="42"/>
          <w:w w:val="115"/>
          <w:sz w:val="21"/>
        </w:rPr>
        <w:t> </w:t>
      </w:r>
      <w:r>
        <w:rPr>
          <w:color w:val="3B383B"/>
          <w:w w:val="115"/>
        </w:rPr>
        <w:t>you</w:t>
      </w:r>
      <w:r>
        <w:rPr>
          <w:color w:val="3B383B"/>
          <w:spacing w:val="16"/>
          <w:w w:val="115"/>
        </w:rPr>
        <w:t> </w:t>
      </w:r>
      <w:r>
        <w:rPr>
          <w:color w:val="3B383B"/>
          <w:w w:val="115"/>
        </w:rPr>
        <w:t>have</w:t>
      </w:r>
      <w:r>
        <w:rPr>
          <w:color w:val="3B383B"/>
          <w:spacing w:val="-21"/>
          <w:w w:val="115"/>
        </w:rPr>
        <w:t> </w:t>
      </w:r>
      <w:r>
        <w:rPr>
          <w:color w:val="3B383B"/>
          <w:w w:val="115"/>
        </w:rPr>
        <w:t>not</w:t>
      </w:r>
      <w:r>
        <w:rPr>
          <w:color w:val="3B383B"/>
          <w:spacing w:val="14"/>
          <w:w w:val="115"/>
        </w:rPr>
        <w:t> </w:t>
      </w:r>
      <w:r>
        <w:rPr>
          <w:color w:val="3B383B"/>
          <w:w w:val="115"/>
        </w:rPr>
        <w:t>already</w:t>
      </w:r>
      <w:r>
        <w:rPr>
          <w:color w:val="3B383B"/>
          <w:spacing w:val="-15"/>
          <w:w w:val="115"/>
        </w:rPr>
        <w:t> </w:t>
      </w:r>
      <w:r>
        <w:rPr>
          <w:color w:val="3B383B"/>
          <w:w w:val="115"/>
        </w:rPr>
        <w:t>done</w:t>
      </w:r>
      <w:r>
        <w:rPr>
          <w:color w:val="3B383B"/>
          <w:spacing w:val="-30"/>
          <w:w w:val="115"/>
        </w:rPr>
        <w:t> </w:t>
      </w:r>
      <w:r>
        <w:rPr>
          <w:color w:val="3B383B"/>
          <w:w w:val="115"/>
        </w:rPr>
        <w:t>so,</w:t>
      </w:r>
      <w:r>
        <w:rPr>
          <w:color w:val="3B383B"/>
          <w:spacing w:val="-25"/>
          <w:w w:val="115"/>
        </w:rPr>
        <w:t> </w:t>
      </w:r>
      <w:r>
        <w:rPr>
          <w:color w:val="3B383B"/>
          <w:w w:val="115"/>
        </w:rPr>
        <w:t>now</w:t>
      </w:r>
      <w:r>
        <w:rPr>
          <w:color w:val="3B383B"/>
          <w:spacing w:val="-38"/>
          <w:w w:val="115"/>
        </w:rPr>
        <w:t> </w:t>
      </w:r>
      <w:r>
        <w:rPr>
          <w:color w:val="3B383B"/>
          <w:w w:val="115"/>
        </w:rPr>
        <w:t>is</w:t>
      </w:r>
      <w:r>
        <w:rPr>
          <w:color w:val="3B383B"/>
          <w:spacing w:val="-40"/>
          <w:w w:val="115"/>
        </w:rPr>
        <w:t> </w:t>
      </w:r>
      <w:r>
        <w:rPr>
          <w:color w:val="3B383B"/>
          <w:w w:val="115"/>
        </w:rPr>
        <w:t>a</w:t>
      </w:r>
      <w:r>
        <w:rPr>
          <w:color w:val="3B383B"/>
          <w:spacing w:val="-14"/>
          <w:w w:val="115"/>
        </w:rPr>
        <w:t> </w:t>
      </w:r>
      <w:r>
        <w:rPr>
          <w:color w:val="3B383B"/>
          <w:w w:val="115"/>
        </w:rPr>
        <w:t>good</w:t>
      </w:r>
      <w:r>
        <w:rPr>
          <w:color w:val="3B383B"/>
          <w:spacing w:val="10"/>
          <w:w w:val="115"/>
        </w:rPr>
        <w:t> </w:t>
      </w:r>
      <w:r>
        <w:rPr>
          <w:color w:val="3B383B"/>
          <w:w w:val="115"/>
        </w:rPr>
        <w:t>time</w:t>
      </w:r>
      <w:r>
        <w:rPr>
          <w:color w:val="3B383B"/>
          <w:spacing w:val="-8"/>
          <w:w w:val="115"/>
        </w:rPr>
        <w:t> </w:t>
      </w:r>
      <w:r>
        <w:rPr>
          <w:color w:val="3B383B"/>
          <w:w w:val="115"/>
        </w:rPr>
        <w:t>to</w:t>
      </w:r>
      <w:r>
        <w:rPr>
          <w:color w:val="3B383B"/>
          <w:spacing w:val="-2"/>
          <w:w w:val="115"/>
        </w:rPr>
        <w:t> </w:t>
      </w:r>
      <w:r>
        <w:rPr>
          <w:color w:val="3B383B"/>
          <w:w w:val="115"/>
        </w:rPr>
        <w:t>identify</w:t>
      </w:r>
      <w:r>
        <w:rPr>
          <w:color w:val="3B383B"/>
          <w:spacing w:val="-4"/>
          <w:w w:val="115"/>
        </w:rPr>
        <w:t> </w:t>
      </w:r>
      <w:r>
        <w:rPr>
          <w:color w:val="3B383B"/>
          <w:w w:val="115"/>
        </w:rPr>
        <w:t>"foun­</w:t>
      </w:r>
      <w:r>
        <w:rPr>
          <w:color w:val="3B383B"/>
          <w:spacing w:val="-64"/>
          <w:w w:val="115"/>
        </w:rPr>
        <w:t> </w:t>
      </w:r>
      <w:r>
        <w:rPr>
          <w:color w:val="3B383B"/>
          <w:w w:val="110"/>
        </w:rPr>
        <w:t>dational search terms": These are unique statute numbers or legal phrases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5"/>
        </w:rPr>
        <w:t>that always pull up on-point authorities. They may pull up other authori­</w:t>
      </w:r>
      <w:r>
        <w:rPr>
          <w:color w:val="3B383B"/>
          <w:spacing w:val="-64"/>
          <w:w w:val="115"/>
        </w:rPr>
        <w:t> </w:t>
      </w:r>
      <w:r>
        <w:rPr>
          <w:color w:val="3B383B"/>
          <w:w w:val="110"/>
        </w:rPr>
        <w:t>ties as well; I call them </w:t>
      </w:r>
      <w:r>
        <w:rPr>
          <w:i/>
          <w:color w:val="3B383B"/>
          <w:w w:val="110"/>
        </w:rPr>
        <w:t>foundational </w:t>
      </w:r>
      <w:r>
        <w:rPr>
          <w:color w:val="3B383B"/>
          <w:w w:val="110"/>
        </w:rPr>
        <w:t>search terms because they include 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fundamental, or foundational, legal terms that are relevant to a particular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legal issue. Often, you will discover foundational search terms as part of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your research, </w:t>
      </w:r>
      <w:r>
        <w:rPr>
          <w:i/>
          <w:color w:val="3B383B"/>
          <w:w w:val="110"/>
          <w:sz w:val="24"/>
        </w:rPr>
        <w:t>so </w:t>
      </w:r>
      <w:r>
        <w:rPr>
          <w:color w:val="3B383B"/>
          <w:w w:val="110"/>
        </w:rPr>
        <w:t>don't be surprised </w:t>
      </w:r>
      <w:r>
        <w:rPr>
          <w:rFonts w:ascii="Arial" w:hAnsi="Arial"/>
          <w:i/>
          <w:color w:val="3B383B"/>
          <w:w w:val="110"/>
          <w:sz w:val="22"/>
        </w:rPr>
        <w:t>if </w:t>
      </w:r>
      <w:r>
        <w:rPr>
          <w:color w:val="3B383B"/>
          <w:w w:val="110"/>
        </w:rPr>
        <w:t>you can't identify them  until wcU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5"/>
        </w:rPr>
        <w:t>into your research. For example, if you were arguing that an employer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0"/>
        </w:rPr>
        <w:t>should </w:t>
      </w:r>
      <w:r>
        <w:rPr>
          <w:color w:val="3B383B"/>
          <w:w w:val="105"/>
        </w:rPr>
        <w:t>ba1:1 </w:t>
      </w:r>
      <w:r>
        <w:rPr>
          <w:color w:val="3B383B"/>
          <w:w w:val="110"/>
        </w:rPr>
        <w:t>smoking in the workplace, you would discover the term </w:t>
      </w:r>
      <w:r>
        <w:rPr>
          <w:i/>
          <w:color w:val="3B383B"/>
          <w:w w:val="110"/>
          <w:sz w:val="25"/>
        </w:rPr>
        <w:t>safe</w:t>
      </w:r>
      <w:r>
        <w:rPr>
          <w:i/>
          <w:color w:val="3B383B"/>
          <w:spacing w:val="1"/>
          <w:w w:val="110"/>
          <w:sz w:val="25"/>
        </w:rPr>
        <w:t> </w:t>
      </w:r>
      <w:r>
        <w:rPr>
          <w:i/>
          <w:color w:val="3B383B"/>
          <w:w w:val="115"/>
        </w:rPr>
        <w:t>workplace </w:t>
      </w:r>
      <w:r>
        <w:rPr>
          <w:color w:val="3B383B"/>
          <w:w w:val="115"/>
        </w:rPr>
        <w:t>m a relevant statute. Both the statute number and the terrn</w:t>
      </w:r>
      <w:r>
        <w:rPr>
          <w:color w:val="3B383B"/>
          <w:spacing w:val="1"/>
          <w:w w:val="115"/>
        </w:rPr>
        <w:t> </w:t>
      </w:r>
      <w:r>
        <w:rPr>
          <w:i/>
          <w:color w:val="3B383B"/>
          <w:spacing w:val="-1"/>
          <w:w w:val="110"/>
        </w:rPr>
        <w:t>safe</w:t>
      </w:r>
      <w:r>
        <w:rPr>
          <w:i/>
          <w:color w:val="3B383B"/>
          <w:spacing w:val="-9"/>
          <w:w w:val="110"/>
        </w:rPr>
        <w:t> </w:t>
      </w:r>
      <w:r>
        <w:rPr>
          <w:i/>
          <w:color w:val="3B383B"/>
          <w:spacing w:val="-1"/>
          <w:w w:val="110"/>
        </w:rPr>
        <w:t>workplace</w:t>
      </w:r>
      <w:r>
        <w:rPr>
          <w:i/>
          <w:color w:val="3B383B"/>
          <w:spacing w:val="-3"/>
          <w:w w:val="110"/>
        </w:rPr>
        <w:t> </w:t>
      </w:r>
      <w:r>
        <w:rPr>
          <w:color w:val="3B383B"/>
          <w:spacing w:val="-1"/>
          <w:w w:val="110"/>
        </w:rPr>
        <w:t>could</w:t>
      </w:r>
      <w:r>
        <w:rPr>
          <w:color w:val="3B383B"/>
          <w:spacing w:val="5"/>
          <w:w w:val="110"/>
        </w:rPr>
        <w:t> </w:t>
      </w:r>
      <w:r>
        <w:rPr>
          <w:color w:val="3B383B"/>
          <w:spacing w:val="-1"/>
          <w:w w:val="110"/>
        </w:rPr>
        <w:t>be</w:t>
      </w:r>
      <w:r>
        <w:rPr>
          <w:color w:val="3B383B"/>
          <w:spacing w:val="-15"/>
          <w:w w:val="110"/>
        </w:rPr>
        <w:t> </w:t>
      </w:r>
      <w:r>
        <w:rPr>
          <w:color w:val="3B383B"/>
          <w:spacing w:val="-1"/>
          <w:w w:val="110"/>
        </w:rPr>
        <w:t>good</w:t>
      </w:r>
      <w:r>
        <w:rPr>
          <w:color w:val="3B383B"/>
          <w:spacing w:val="20"/>
          <w:w w:val="110"/>
        </w:rPr>
        <w:t> </w:t>
      </w:r>
      <w:r>
        <w:rPr>
          <w:i/>
          <w:color w:val="3B383B"/>
          <w:spacing w:val="-1"/>
          <w:w w:val="110"/>
        </w:rPr>
        <w:t>foundational</w:t>
      </w:r>
      <w:r>
        <w:rPr>
          <w:i/>
          <w:color w:val="3B383B"/>
          <w:spacing w:val="10"/>
          <w:w w:val="110"/>
        </w:rPr>
        <w:t> </w:t>
      </w:r>
      <w:r>
        <w:rPr>
          <w:i/>
          <w:color w:val="3B383B"/>
          <w:spacing w:val="-1"/>
          <w:w w:val="110"/>
        </w:rPr>
        <w:t>search</w:t>
      </w:r>
      <w:r>
        <w:rPr>
          <w:i/>
          <w:color w:val="3B383B"/>
          <w:spacing w:val="-5"/>
          <w:w w:val="110"/>
        </w:rPr>
        <w:t> </w:t>
      </w:r>
      <w:r>
        <w:rPr>
          <w:i/>
          <w:color w:val="3B383B"/>
          <w:spacing w:val="-1"/>
          <w:w w:val="110"/>
        </w:rPr>
        <w:t>terms.</w:t>
      </w:r>
      <w:r>
        <w:rPr>
          <w:color w:val="3B383B"/>
          <w:spacing w:val="-1"/>
          <w:w w:val="110"/>
        </w:rPr>
        <w:t>A</w:t>
      </w:r>
      <w:r>
        <w:rPr>
          <w:color w:val="3B383B"/>
          <w:spacing w:val="57"/>
          <w:w w:val="110"/>
        </w:rPr>
        <w:t> </w:t>
      </w:r>
      <w:r>
        <w:rPr>
          <w:color w:val="3B383B"/>
          <w:w w:val="110"/>
        </w:rPr>
        <w:t>Boolean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searcll</w:t>
      </w:r>
    </w:p>
    <w:p>
      <w:pPr>
        <w:spacing w:after="0" w:line="230" w:lineRule="auto"/>
        <w:jc w:val="both"/>
        <w:sectPr>
          <w:headerReference w:type="even" r:id="rId82"/>
          <w:pgSz w:w="9660" w:h="13740"/>
          <w:pgMar w:header="0" w:footer="0" w:top="0" w:bottom="0" w:left="1340" w:right="0"/>
        </w:sectPr>
      </w:pPr>
    </w:p>
    <w:p>
      <w:pPr>
        <w:pStyle w:val="BodyText"/>
        <w:spacing w:line="232" w:lineRule="auto" w:before="87"/>
        <w:ind w:left="116" w:right="313" w:hanging="1"/>
        <w:jc w:val="both"/>
      </w:pPr>
      <w:r>
        <w:rPr>
          <w:color w:val="383638"/>
          <w:w w:val="105"/>
        </w:rPr>
        <w:t>that looked for </w:t>
      </w:r>
      <w:r>
        <w:rPr>
          <w:i/>
          <w:color w:val="383638"/>
          <w:w w:val="105"/>
          <w:sz w:val="24"/>
        </w:rPr>
        <w:t>the </w:t>
      </w:r>
      <w:r>
        <w:rPr>
          <w:color w:val="383638"/>
          <w:w w:val="105"/>
        </w:rPr>
        <w:t>statute number </w:t>
      </w:r>
      <w:r>
        <w:rPr>
          <w:i/>
          <w:color w:val="383638"/>
          <w:w w:val="105"/>
          <w:sz w:val="24"/>
        </w:rPr>
        <w:t>or </w:t>
      </w:r>
      <w:r>
        <w:rPr>
          <w:color w:val="383638"/>
          <w:w w:val="105"/>
        </w:rPr>
        <w:t>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term </w:t>
      </w:r>
      <w:r>
        <w:rPr>
          <w:i/>
          <w:color w:val="383638"/>
          <w:w w:val="105"/>
          <w:sz w:val="24"/>
        </w:rPr>
        <w:t>safe workplace </w:t>
      </w:r>
      <w:r>
        <w:rPr>
          <w:color w:val="383638"/>
          <w:w w:val="105"/>
        </w:rPr>
        <w:t>would be a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broad</w:t>
      </w:r>
      <w:r>
        <w:rPr>
          <w:color w:val="383638"/>
          <w:spacing w:val="-21"/>
          <w:w w:val="110"/>
        </w:rPr>
        <w:t> </w:t>
      </w:r>
      <w:r>
        <w:rPr>
          <w:color w:val="383638"/>
          <w:w w:val="110"/>
        </w:rPr>
        <w:t>search,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but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if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34"/>
          <w:w w:val="110"/>
        </w:rPr>
        <w:t> </w:t>
      </w:r>
      <w:r>
        <w:rPr>
          <w:color w:val="383638"/>
          <w:w w:val="110"/>
        </w:rPr>
        <w:t>limit</w:t>
      </w:r>
      <w:r>
        <w:rPr>
          <w:color w:val="383638"/>
          <w:spacing w:val="-28"/>
          <w:w w:val="110"/>
        </w:rPr>
        <w:t> </w:t>
      </w:r>
      <w:r>
        <w:rPr>
          <w:color w:val="383638"/>
          <w:w w:val="110"/>
        </w:rPr>
        <w:t>it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mandatory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authority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database,</w:t>
      </w:r>
      <w:r>
        <w:rPr>
          <w:rFonts w:ascii="Arial"/>
          <w:color w:val="383638"/>
          <w:w w:val="110"/>
          <w:vertAlign w:val="superscript"/>
        </w:rPr>
        <w:t>23</w:t>
      </w:r>
      <w:r>
        <w:rPr>
          <w:rFonts w:ascii="Arial"/>
          <w:color w:val="383638"/>
          <w:spacing w:val="-3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you</w:t>
      </w:r>
      <w:r>
        <w:rPr>
          <w:color w:val="383638"/>
          <w:spacing w:val="-6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would be sure to find every case in which the court of last resort in your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05"/>
          <w:vertAlign w:val="baseline"/>
        </w:rPr>
        <w:t>jurisdiction</w:t>
      </w:r>
      <w:r>
        <w:rPr>
          <w:color w:val="383638"/>
          <w:spacing w:val="18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addressed</w:t>
      </w:r>
      <w:r>
        <w:rPr>
          <w:color w:val="383638"/>
          <w:spacing w:val="17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the</w:t>
      </w:r>
      <w:r>
        <w:rPr>
          <w:color w:val="383638"/>
          <w:spacing w:val="28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issue</w:t>
      </w:r>
      <w:r>
        <w:rPr>
          <w:color w:val="383638"/>
          <w:spacing w:val="-18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of</w:t>
      </w:r>
      <w:r>
        <w:rPr>
          <w:color w:val="383638"/>
          <w:spacing w:val="6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safe</w:t>
      </w:r>
      <w:r>
        <w:rPr>
          <w:color w:val="383638"/>
          <w:spacing w:val="-14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workplaces.</w:t>
      </w:r>
    </w:p>
    <w:p>
      <w:pPr>
        <w:pStyle w:val="BodyText"/>
        <w:spacing w:line="235" w:lineRule="auto"/>
        <w:ind w:left="106" w:right="265" w:firstLine="363"/>
        <w:jc w:val="both"/>
      </w:pPr>
      <w:r>
        <w:rPr>
          <w:color w:val="383638"/>
          <w:w w:val="110"/>
        </w:rPr>
        <w:t>Search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foundational search terms in your mandatory database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make sure you have the most recent word on how the court of last resort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has interpreted the crucial word, phrase, or statute at issue. You should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review each relevant case from within the last few years to make sure that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 are up  to date on  the mandatory authority. In addition, you should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find the most recent cases in your jurisdiction to have addressed the issue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 any way, even if they were not decided by the court of last resort. If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your search pulls up too many hits, try using the </w:t>
      </w:r>
      <w:r>
        <w:rPr>
          <w:i/>
          <w:color w:val="383638"/>
          <w:w w:val="110"/>
        </w:rPr>
        <w:t>when </w:t>
      </w:r>
      <w:r>
        <w:rPr>
          <w:color w:val="383638"/>
          <w:w w:val="110"/>
        </w:rPr>
        <w:t>clause from your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research question  to  help you to  identify fact-based search terms to add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 your search, which will help you discover the authorities that are most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point. In  the  smoke-in-the-workplace case, for example, you  could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add "cigarette or tobacco or smoking or smoke or fumes" to narrow your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search.</w:t>
      </w:r>
    </w:p>
    <w:p>
      <w:pPr>
        <w:pStyle w:val="BodyText"/>
        <w:spacing w:line="232" w:lineRule="auto"/>
        <w:ind w:left="109" w:right="213" w:firstLine="368"/>
        <w:jc w:val="both"/>
      </w:pPr>
      <w:r>
        <w:rPr>
          <w:color w:val="383638"/>
          <w:w w:val="110"/>
        </w:rPr>
        <w:t>If there are relevant authorities in your jurisdiction but no authorities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that are sufficiently on  point,  plug your fact-based foundational search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into databases outside your jurisdiction. In this way you may be able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discover any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cases that are on point as to issues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facts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that can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therefore serve as persuasive authority. Although these cases would be a</w:t>
      </w:r>
      <w:r>
        <w:rPr>
          <w:color w:val="383638"/>
          <w:spacing w:val="1"/>
          <w:w w:val="110"/>
        </w:rPr>
        <w:t> </w:t>
      </w:r>
      <w:r>
        <w:rPr>
          <w:i/>
          <w:color w:val="383638"/>
          <w:w w:val="110"/>
          <w:sz w:val="24"/>
        </w:rPr>
        <w:t>source </w:t>
      </w:r>
      <w:r>
        <w:rPr>
          <w:color w:val="383638"/>
          <w:w w:val="110"/>
        </w:rPr>
        <w:t>of an argument rather than an authority for it,2</w:t>
      </w:r>
      <w:r>
        <w:rPr>
          <w:rFonts w:ascii="Arial"/>
          <w:color w:val="383638"/>
          <w:w w:val="110"/>
          <w:position w:val="9"/>
          <w:sz w:val="12"/>
        </w:rPr>
        <w:t>4</w:t>
      </w:r>
      <w:r>
        <w:rPr>
          <w:rFonts w:ascii="Arial"/>
          <w:color w:val="383638"/>
          <w:spacing w:val="1"/>
          <w:w w:val="110"/>
          <w:position w:val="9"/>
          <w:sz w:val="12"/>
        </w:rPr>
        <w:t> </w:t>
      </w:r>
      <w:r>
        <w:rPr>
          <w:color w:val="383638"/>
          <w:w w:val="110"/>
        </w:rPr>
        <w:t>courts often find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on-point authorities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be helpful guideposts,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even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when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they are not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mandatory.</w:t>
      </w:r>
    </w:p>
    <w:p>
      <w:pPr>
        <w:pStyle w:val="BodyText"/>
        <w:spacing w:line="232" w:lineRule="auto"/>
        <w:ind w:left="119" w:right="186" w:firstLine="371"/>
        <w:jc w:val="both"/>
      </w:pPr>
      <w:r>
        <w:rPr>
          <w:color w:val="383638"/>
          <w:w w:val="115"/>
        </w:rPr>
        <w:t>Furthermore, you may be able to "harvest" effective arguments from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5"/>
        </w:rPr>
        <w:t>nonmandatory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authorities both within and outside your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jurisdiction.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When I refer to </w:t>
      </w:r>
      <w:r>
        <w:rPr>
          <w:i/>
          <w:color w:val="383638"/>
          <w:w w:val="110"/>
        </w:rPr>
        <w:t>harvesting </w:t>
      </w:r>
      <w:r>
        <w:rPr>
          <w:color w:val="383638"/>
          <w:w w:val="110"/>
        </w:rPr>
        <w:t>an argument, I am suggesting that you use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raw materials from an argument or an analysis and then figure out how</w:t>
      </w:r>
      <w:r>
        <w:rPr>
          <w:color w:val="383638"/>
          <w:spacing w:val="1"/>
          <w:w w:val="115"/>
        </w:rPr>
        <w:t> </w:t>
      </w:r>
      <w:r>
        <w:rPr>
          <w:color w:val="4D4D4F"/>
          <w:w w:val="110"/>
        </w:rPr>
        <w:t>to </w:t>
      </w:r>
      <w:r>
        <w:rPr>
          <w:i/>
          <w:color w:val="383638"/>
          <w:w w:val="110"/>
          <w:sz w:val="24"/>
        </w:rPr>
        <w:t>make </w:t>
      </w:r>
      <w:r>
        <w:rPr>
          <w:color w:val="383638"/>
          <w:w w:val="110"/>
        </w:rPr>
        <w:t>that same argument  to your court. Harvesting an  argument  from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a nonmandatory or nonjurisdictional authority is a very different thing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than </w:t>
      </w:r>
      <w:r>
        <w:rPr>
          <w:i/>
          <w:color w:val="383638"/>
          <w:w w:val="115"/>
        </w:rPr>
        <w:t>citing </w:t>
      </w:r>
      <w:r>
        <w:rPr>
          <w:color w:val="383638"/>
          <w:w w:val="115"/>
        </w:rPr>
        <w:t>an argument from such an authority. When you harvest an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argument, you let nonmandatory or nonjurisdictional sources help to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direct</w:t>
      </w:r>
      <w:r>
        <w:rPr>
          <w:color w:val="383638"/>
          <w:spacing w:val="-13"/>
          <w:w w:val="115"/>
        </w:rPr>
        <w:t> </w:t>
      </w:r>
      <w:r>
        <w:rPr>
          <w:color w:val="383638"/>
          <w:w w:val="115"/>
        </w:rPr>
        <w:t>your</w:t>
      </w:r>
      <w:r>
        <w:rPr>
          <w:color w:val="383638"/>
          <w:spacing w:val="-2"/>
          <w:w w:val="115"/>
        </w:rPr>
        <w:t> </w:t>
      </w:r>
      <w:r>
        <w:rPr>
          <w:color w:val="383638"/>
          <w:w w:val="115"/>
        </w:rPr>
        <w:t>research.</w:t>
      </w:r>
    </w:p>
    <w:p>
      <w:pPr>
        <w:pStyle w:val="BodyText"/>
        <w:spacing w:line="230" w:lineRule="auto" w:before="5"/>
        <w:ind w:left="115" w:right="143" w:firstLine="363"/>
        <w:jc w:val="both"/>
      </w:pPr>
      <w:r>
        <w:rPr>
          <w:color w:val="383638"/>
          <w:w w:val="110"/>
        </w:rPr>
        <w:t>Suppose, for example,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that you are arguing that the Americans with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Disabilities Act (ADA) forbids your dient's employer from requiring her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submit to medical testing. You are arguing the case in a motion brief in a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circuit that hasno mandatory authority governing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issue.The statutory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section at</w:t>
      </w:r>
      <w:r>
        <w:rPr>
          <w:color w:val="383638"/>
          <w:spacing w:val="21"/>
          <w:w w:val="105"/>
        </w:rPr>
        <w:t> </w:t>
      </w:r>
      <w:r>
        <w:rPr>
          <w:color w:val="383638"/>
          <w:w w:val="105"/>
        </w:rPr>
        <w:t>issue,</w:t>
      </w:r>
      <w:r>
        <w:rPr>
          <w:color w:val="383638"/>
          <w:spacing w:val="2"/>
          <w:w w:val="105"/>
        </w:rPr>
        <w:t> </w:t>
      </w:r>
      <w:r>
        <w:rPr>
          <w:color w:val="383638"/>
          <w:w w:val="105"/>
        </w:rPr>
        <w:t>42</w:t>
      </w:r>
      <w:r>
        <w:rPr>
          <w:color w:val="383638"/>
          <w:spacing w:val="25"/>
          <w:w w:val="105"/>
        </w:rPr>
        <w:t> </w:t>
      </w:r>
      <w:r>
        <w:rPr>
          <w:color w:val="383638"/>
          <w:w w:val="105"/>
        </w:rPr>
        <w:t>U.S.C.</w:t>
      </w:r>
      <w:r>
        <w:rPr>
          <w:color w:val="383638"/>
          <w:spacing w:val="-11"/>
          <w:w w:val="105"/>
        </w:rPr>
        <w:t> </w:t>
      </w:r>
      <w:r>
        <w:rPr>
          <w:color w:val="383638"/>
          <w:w w:val="105"/>
        </w:rPr>
        <w:t>§12112(d)(4)(A),</w:t>
      </w:r>
      <w:r>
        <w:rPr>
          <w:color w:val="383638"/>
          <w:spacing w:val="6"/>
          <w:w w:val="105"/>
        </w:rPr>
        <w:t> </w:t>
      </w:r>
      <w:r>
        <w:rPr>
          <w:color w:val="383638"/>
          <w:w w:val="105"/>
        </w:rPr>
        <w:t>provides: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1"/>
        </w:rPr>
      </w:pPr>
    </w:p>
    <w:p>
      <w:pPr>
        <w:spacing w:line="211" w:lineRule="auto" w:before="0"/>
        <w:ind w:left="118" w:right="109" w:firstLine="364"/>
        <w:jc w:val="both"/>
        <w:rPr>
          <w:sz w:val="18"/>
        </w:rPr>
      </w:pPr>
      <w:r>
        <w:rPr>
          <w:rFonts w:ascii="Arial"/>
          <w:color w:val="383638"/>
          <w:w w:val="110"/>
          <w:sz w:val="17"/>
        </w:rPr>
        <w:t>uPor</w:t>
      </w:r>
      <w:r>
        <w:rPr>
          <w:rFonts w:ascii="Arial"/>
          <w:color w:val="383638"/>
          <w:spacing w:val="-32"/>
          <w:w w:val="110"/>
          <w:sz w:val="17"/>
        </w:rPr>
        <w:t> </w:t>
      </w:r>
      <w:r>
        <w:rPr>
          <w:color w:val="383638"/>
          <w:w w:val="110"/>
          <w:sz w:val="18"/>
        </w:rPr>
        <w:t>example,</w:t>
      </w:r>
      <w:r>
        <w:rPr>
          <w:color w:val="383638"/>
          <w:spacing w:val="-4"/>
          <w:w w:val="110"/>
          <w:sz w:val="18"/>
        </w:rPr>
        <w:t> </w:t>
      </w:r>
      <w:r>
        <w:rPr>
          <w:color w:val="383638"/>
          <w:w w:val="110"/>
          <w:sz w:val="18"/>
        </w:rPr>
        <w:t>Lexis</w:t>
      </w:r>
      <w:r>
        <w:rPr>
          <w:color w:val="383638"/>
          <w:spacing w:val="-27"/>
          <w:w w:val="110"/>
          <w:sz w:val="18"/>
        </w:rPr>
        <w:t> </w:t>
      </w:r>
      <w:r>
        <w:rPr>
          <w:color w:val="383638"/>
          <w:w w:val="110"/>
          <w:sz w:val="18"/>
        </w:rPr>
        <w:t>and</w:t>
      </w:r>
      <w:r>
        <w:rPr>
          <w:color w:val="383638"/>
          <w:spacing w:val="37"/>
          <w:w w:val="110"/>
          <w:sz w:val="18"/>
        </w:rPr>
        <w:t> </w:t>
      </w:r>
      <w:r>
        <w:rPr>
          <w:color w:val="383638"/>
          <w:w w:val="110"/>
          <w:sz w:val="18"/>
        </w:rPr>
        <w:t>Wcstlaw</w:t>
      </w:r>
      <w:r>
        <w:rPr>
          <w:color w:val="383638"/>
          <w:spacing w:val="-1"/>
          <w:w w:val="110"/>
          <w:sz w:val="18"/>
        </w:rPr>
        <w:t> </w:t>
      </w:r>
      <w:r>
        <w:rPr>
          <w:color w:val="383638"/>
          <w:w w:val="110"/>
          <w:sz w:val="18"/>
        </w:rPr>
        <w:t>have</w:t>
      </w:r>
      <w:r>
        <w:rPr>
          <w:color w:val="383638"/>
          <w:spacing w:val="-28"/>
          <w:w w:val="110"/>
          <w:sz w:val="18"/>
        </w:rPr>
        <w:t> </w:t>
      </w:r>
      <w:r>
        <w:rPr>
          <w:color w:val="383638"/>
          <w:w w:val="110"/>
          <w:sz w:val="18"/>
        </w:rPr>
        <w:t>search</w:t>
      </w:r>
      <w:r>
        <w:rPr>
          <w:color w:val="383638"/>
          <w:spacing w:val="5"/>
          <w:w w:val="110"/>
          <w:sz w:val="18"/>
        </w:rPr>
        <w:t> </w:t>
      </w:r>
      <w:r>
        <w:rPr>
          <w:color w:val="383638"/>
          <w:w w:val="110"/>
          <w:sz w:val="18"/>
        </w:rPr>
        <w:t>techniques</w:t>
      </w:r>
      <w:r>
        <w:rPr>
          <w:color w:val="383638"/>
          <w:spacing w:val="-6"/>
          <w:w w:val="110"/>
          <w:sz w:val="18"/>
        </w:rPr>
        <w:t> </w:t>
      </w:r>
      <w:r>
        <w:rPr>
          <w:color w:val="383638"/>
          <w:w w:val="110"/>
          <w:sz w:val="18"/>
        </w:rPr>
        <w:t>that</w:t>
      </w:r>
      <w:r>
        <w:rPr>
          <w:color w:val="383638"/>
          <w:spacing w:val="-7"/>
          <w:w w:val="110"/>
          <w:sz w:val="18"/>
        </w:rPr>
        <w:t> </w:t>
      </w:r>
      <w:r>
        <w:rPr>
          <w:color w:val="383638"/>
          <w:w w:val="110"/>
          <w:sz w:val="18"/>
        </w:rPr>
        <w:t>would</w:t>
      </w:r>
      <w:r>
        <w:rPr>
          <w:color w:val="383638"/>
          <w:spacing w:val="-7"/>
          <w:w w:val="110"/>
          <w:sz w:val="18"/>
        </w:rPr>
        <w:t> </w:t>
      </w:r>
      <w:r>
        <w:rPr>
          <w:color w:val="383638"/>
          <w:w w:val="110"/>
          <w:sz w:val="18"/>
        </w:rPr>
        <w:t>allow</w:t>
      </w:r>
      <w:r>
        <w:rPr>
          <w:color w:val="383638"/>
          <w:spacing w:val="-17"/>
          <w:w w:val="110"/>
          <w:sz w:val="18"/>
        </w:rPr>
        <w:t> </w:t>
      </w:r>
      <w:r>
        <w:rPr>
          <w:color w:val="383638"/>
          <w:w w:val="110"/>
          <w:sz w:val="18"/>
        </w:rPr>
        <w:t>you</w:t>
      </w:r>
      <w:r>
        <w:rPr>
          <w:color w:val="383638"/>
          <w:spacing w:val="5"/>
          <w:w w:val="110"/>
          <w:sz w:val="18"/>
        </w:rPr>
        <w:t> </w:t>
      </w:r>
      <w:r>
        <w:rPr>
          <w:color w:val="383638"/>
          <w:w w:val="110"/>
          <w:sz w:val="18"/>
        </w:rPr>
        <w:t>to</w:t>
      </w:r>
      <w:r>
        <w:rPr>
          <w:color w:val="383638"/>
          <w:spacing w:val="4"/>
          <w:w w:val="110"/>
          <w:sz w:val="18"/>
        </w:rPr>
        <w:t> </w:t>
      </w:r>
      <w:r>
        <w:rPr>
          <w:color w:val="383638"/>
          <w:w w:val="110"/>
          <w:sz w:val="18"/>
        </w:rPr>
        <w:t>limit</w:t>
      </w:r>
      <w:r>
        <w:rPr>
          <w:color w:val="383638"/>
          <w:spacing w:val="3"/>
          <w:w w:val="110"/>
          <w:sz w:val="18"/>
        </w:rPr>
        <w:t> </w:t>
      </w:r>
      <w:r>
        <w:rPr>
          <w:color w:val="383638"/>
          <w:w w:val="110"/>
          <w:sz w:val="18"/>
        </w:rPr>
        <w:t>your</w:t>
      </w:r>
      <w:r>
        <w:rPr>
          <w:color w:val="383638"/>
          <w:spacing w:val="1"/>
          <w:w w:val="110"/>
          <w:sz w:val="18"/>
        </w:rPr>
        <w:t> </w:t>
      </w:r>
      <w:r>
        <w:rPr>
          <w:color w:val="383638"/>
          <w:w w:val="110"/>
          <w:sz w:val="18"/>
        </w:rPr>
        <w:t>search</w:t>
      </w:r>
      <w:r>
        <w:rPr>
          <w:color w:val="383638"/>
          <w:spacing w:val="-7"/>
          <w:w w:val="110"/>
          <w:sz w:val="18"/>
        </w:rPr>
        <w:t> </w:t>
      </w:r>
      <w:r>
        <w:rPr>
          <w:color w:val="4D4D4F"/>
          <w:w w:val="110"/>
          <w:sz w:val="18"/>
        </w:rPr>
        <w:t>to</w:t>
      </w:r>
      <w:r>
        <w:rPr>
          <w:color w:val="4D4D4F"/>
          <w:spacing w:val="27"/>
          <w:w w:val="110"/>
          <w:sz w:val="18"/>
        </w:rPr>
        <w:t> </w:t>
      </w:r>
      <w:r>
        <w:rPr>
          <w:color w:val="383638"/>
          <w:w w:val="110"/>
          <w:sz w:val="18"/>
        </w:rPr>
        <w:t>just</w:t>
      </w:r>
      <w:r>
        <w:rPr>
          <w:color w:val="383638"/>
          <w:spacing w:val="-8"/>
          <w:w w:val="110"/>
          <w:sz w:val="18"/>
        </w:rPr>
        <w:t> </w:t>
      </w:r>
      <w:r>
        <w:rPr>
          <w:color w:val="383638"/>
          <w:w w:val="110"/>
          <w:sz w:val="18"/>
        </w:rPr>
        <w:t>the</w:t>
      </w:r>
      <w:r>
        <w:rPr>
          <w:color w:val="383638"/>
          <w:spacing w:val="23"/>
          <w:w w:val="110"/>
          <w:sz w:val="18"/>
        </w:rPr>
        <w:t> </w:t>
      </w:r>
      <w:r>
        <w:rPr>
          <w:color w:val="383638"/>
          <w:w w:val="110"/>
          <w:sz w:val="18"/>
        </w:rPr>
        <w:t>highest</w:t>
      </w:r>
      <w:r>
        <w:rPr>
          <w:color w:val="383638"/>
          <w:spacing w:val="2"/>
          <w:w w:val="110"/>
          <w:sz w:val="18"/>
        </w:rPr>
        <w:t> </w:t>
      </w:r>
      <w:r>
        <w:rPr>
          <w:color w:val="383638"/>
          <w:w w:val="110"/>
          <w:sz w:val="18"/>
        </w:rPr>
        <w:t>court</w:t>
      </w:r>
      <w:r>
        <w:rPr>
          <w:color w:val="383638"/>
          <w:spacing w:val="-10"/>
          <w:w w:val="110"/>
          <w:sz w:val="18"/>
        </w:rPr>
        <w:t> </w:t>
      </w:r>
      <w:r>
        <w:rPr>
          <w:color w:val="4D4D4F"/>
          <w:w w:val="110"/>
          <w:sz w:val="18"/>
        </w:rPr>
        <w:t>in</w:t>
      </w:r>
      <w:r>
        <w:rPr>
          <w:color w:val="4D4D4F"/>
          <w:spacing w:val="15"/>
          <w:w w:val="110"/>
          <w:sz w:val="18"/>
        </w:rPr>
        <w:t> </w:t>
      </w:r>
      <w:r>
        <w:rPr>
          <w:color w:val="383638"/>
          <w:w w:val="110"/>
          <w:sz w:val="18"/>
        </w:rPr>
        <w:t>the</w:t>
      </w:r>
      <w:r>
        <w:rPr>
          <w:color w:val="383638"/>
          <w:spacing w:val="9"/>
          <w:w w:val="110"/>
          <w:sz w:val="18"/>
        </w:rPr>
        <w:t> </w:t>
      </w:r>
      <w:r>
        <w:rPr>
          <w:color w:val="383638"/>
          <w:w w:val="110"/>
          <w:sz w:val="18"/>
        </w:rPr>
        <w:t>particular</w:t>
      </w:r>
      <w:r>
        <w:rPr>
          <w:color w:val="383638"/>
          <w:spacing w:val="18"/>
          <w:w w:val="110"/>
          <w:sz w:val="18"/>
        </w:rPr>
        <w:t> </w:t>
      </w:r>
      <w:r>
        <w:rPr>
          <w:color w:val="383638"/>
          <w:w w:val="110"/>
          <w:sz w:val="18"/>
        </w:rPr>
        <w:t>jurisdiction.</w:t>
      </w:r>
    </w:p>
    <w:p>
      <w:pPr>
        <w:spacing w:before="1"/>
        <w:ind w:left="491" w:right="0" w:firstLine="0"/>
        <w:jc w:val="left"/>
        <w:rPr>
          <w:sz w:val="18"/>
        </w:rPr>
      </w:pPr>
      <w:r>
        <w:rPr>
          <w:rFonts w:ascii="Arial"/>
          <w:color w:val="383638"/>
          <w:w w:val="110"/>
          <w:position w:val="7"/>
          <w:sz w:val="9"/>
        </w:rPr>
        <w:t>24</w:t>
      </w:r>
      <w:r>
        <w:rPr>
          <w:color w:val="383638"/>
          <w:w w:val="110"/>
          <w:sz w:val="18"/>
        </w:rPr>
        <w:t>Chapter</w:t>
      </w:r>
      <w:r>
        <w:rPr>
          <w:color w:val="383638"/>
          <w:spacing w:val="6"/>
          <w:w w:val="110"/>
          <w:sz w:val="18"/>
        </w:rPr>
        <w:t> </w:t>
      </w:r>
      <w:r>
        <w:rPr>
          <w:color w:val="4D4D4F"/>
          <w:w w:val="110"/>
          <w:sz w:val="18"/>
        </w:rPr>
        <w:t>Six</w:t>
      </w:r>
      <w:r>
        <w:rPr>
          <w:color w:val="4D4D4F"/>
          <w:spacing w:val="-9"/>
          <w:w w:val="110"/>
          <w:sz w:val="18"/>
        </w:rPr>
        <w:t> </w:t>
      </w:r>
      <w:r>
        <w:rPr>
          <w:color w:val="383638"/>
          <w:w w:val="110"/>
          <w:sz w:val="18"/>
        </w:rPr>
        <w:t>explains</w:t>
      </w:r>
      <w:r>
        <w:rPr>
          <w:color w:val="383638"/>
          <w:spacing w:val="12"/>
          <w:w w:val="110"/>
          <w:sz w:val="18"/>
        </w:rPr>
        <w:t> </w:t>
      </w:r>
      <w:r>
        <w:rPr>
          <w:color w:val="383638"/>
          <w:w w:val="110"/>
          <w:sz w:val="18"/>
        </w:rPr>
        <w:t>the</w:t>
      </w:r>
      <w:r>
        <w:rPr>
          <w:color w:val="383638"/>
          <w:spacing w:val="10"/>
          <w:w w:val="110"/>
          <w:sz w:val="18"/>
        </w:rPr>
        <w:t> </w:t>
      </w:r>
      <w:r>
        <w:rPr>
          <w:color w:val="383638"/>
          <w:w w:val="110"/>
          <w:sz w:val="18"/>
        </w:rPr>
        <w:t>difference</w:t>
      </w:r>
      <w:r>
        <w:rPr>
          <w:color w:val="383638"/>
          <w:spacing w:val="6"/>
          <w:w w:val="110"/>
          <w:sz w:val="18"/>
        </w:rPr>
        <w:t> </w:t>
      </w:r>
      <w:r>
        <w:rPr>
          <w:color w:val="383638"/>
          <w:w w:val="110"/>
          <w:sz w:val="18"/>
        </w:rPr>
        <w:t>between</w:t>
      </w:r>
      <w:r>
        <w:rPr>
          <w:color w:val="383638"/>
          <w:spacing w:val="-5"/>
          <w:w w:val="110"/>
          <w:sz w:val="18"/>
        </w:rPr>
        <w:t> </w:t>
      </w:r>
      <w:r>
        <w:rPr>
          <w:color w:val="383638"/>
          <w:w w:val="110"/>
          <w:sz w:val="18"/>
        </w:rPr>
        <w:t>"sources"</w:t>
      </w:r>
      <w:r>
        <w:rPr>
          <w:color w:val="383638"/>
          <w:spacing w:val="-1"/>
          <w:w w:val="110"/>
          <w:sz w:val="18"/>
        </w:rPr>
        <w:t> </w:t>
      </w:r>
      <w:r>
        <w:rPr>
          <w:color w:val="383638"/>
          <w:w w:val="110"/>
          <w:sz w:val="18"/>
        </w:rPr>
        <w:t>and</w:t>
      </w:r>
      <w:r>
        <w:rPr>
          <w:color w:val="383638"/>
          <w:spacing w:val="25"/>
          <w:w w:val="110"/>
          <w:sz w:val="18"/>
        </w:rPr>
        <w:t> </w:t>
      </w:r>
      <w:r>
        <w:rPr>
          <w:color w:val="383638"/>
          <w:w w:val="110"/>
          <w:sz w:val="18"/>
        </w:rPr>
        <w:t>"authorities."</w:t>
      </w:r>
    </w:p>
    <w:p>
      <w:pPr>
        <w:spacing w:after="0"/>
        <w:jc w:val="left"/>
        <w:rPr>
          <w:sz w:val="18"/>
        </w:rPr>
        <w:sectPr>
          <w:headerReference w:type="default" r:id="rId83"/>
          <w:pgSz w:w="9650" w:h="13700"/>
          <w:pgMar w:header="390" w:footer="0" w:top="960" w:bottom="280" w:left="500" w:right="1200"/>
          <w:pgNumType w:start="59"/>
        </w:sectPr>
      </w:pPr>
    </w:p>
    <w:p>
      <w:pPr>
        <w:spacing w:line="348" w:lineRule="exact" w:before="0"/>
        <w:ind w:left="-12" w:right="0" w:firstLine="0"/>
        <w:jc w:val="left"/>
        <w:rPr>
          <w:rFonts w:ascii="Arial"/>
          <w:i/>
          <w:sz w:val="34"/>
        </w:rPr>
      </w:pPr>
      <w:r>
        <w:rPr>
          <w:rFonts w:ascii="Arial"/>
          <w:i/>
          <w:color w:val="3A3838"/>
          <w:w w:val="64"/>
          <w:sz w:val="34"/>
        </w:rPr>
        <w:t>r</w:t>
      </w:r>
    </w:p>
    <w:p>
      <w:pPr>
        <w:tabs>
          <w:tab w:pos="2152" w:val="left" w:leader="none"/>
        </w:tabs>
        <w:spacing w:before="28"/>
        <w:ind w:left="1392" w:right="0" w:firstLine="0"/>
        <w:jc w:val="left"/>
        <w:rPr>
          <w:rFonts w:ascii="Arial"/>
          <w:sz w:val="17"/>
        </w:rPr>
      </w:pPr>
      <w:r>
        <w:rPr>
          <w:rFonts w:ascii="Arial"/>
          <w:color w:val="3A3838"/>
          <w:w w:val="95"/>
          <w:sz w:val="17"/>
        </w:rPr>
        <w:t>60</w:t>
        <w:tab/>
      </w:r>
      <w:r>
        <w:rPr>
          <w:rFonts w:ascii="Arial"/>
          <w:color w:val="3A3838"/>
          <w:sz w:val="17"/>
        </w:rPr>
        <w:t>Chapter</w:t>
      </w:r>
      <w:r>
        <w:rPr>
          <w:rFonts w:ascii="Arial"/>
          <w:color w:val="3A3838"/>
          <w:spacing w:val="-14"/>
          <w:sz w:val="17"/>
        </w:rPr>
        <w:t> </w:t>
      </w:r>
      <w:r>
        <w:rPr>
          <w:rFonts w:ascii="Arial"/>
          <w:color w:val="3A3838"/>
          <w:sz w:val="17"/>
        </w:rPr>
        <w:t>Three  </w:t>
      </w:r>
      <w:r>
        <w:rPr>
          <w:rFonts w:ascii="Arial"/>
          <w:color w:val="3A3838"/>
          <w:spacing w:val="30"/>
          <w:sz w:val="17"/>
        </w:rPr>
        <w:t> </w:t>
      </w:r>
      <w:r>
        <w:rPr>
          <w:rFonts w:ascii="Arial"/>
          <w:color w:val="3A3838"/>
          <w:sz w:val="17"/>
        </w:rPr>
        <w:t>Before</w:t>
      </w:r>
      <w:r>
        <w:rPr>
          <w:rFonts w:ascii="Arial"/>
          <w:color w:val="3A3838"/>
          <w:spacing w:val="-12"/>
          <w:sz w:val="17"/>
        </w:rPr>
        <w:t> </w:t>
      </w:r>
      <w:r>
        <w:rPr>
          <w:rFonts w:ascii="Arial"/>
          <w:color w:val="3A3838"/>
          <w:sz w:val="17"/>
        </w:rPr>
        <w:t>You</w:t>
      </w:r>
      <w:r>
        <w:rPr>
          <w:rFonts w:ascii="Arial"/>
          <w:color w:val="3A3838"/>
          <w:spacing w:val="-24"/>
          <w:sz w:val="17"/>
        </w:rPr>
        <w:t> </w:t>
      </w:r>
      <w:r>
        <w:rPr>
          <w:rFonts w:ascii="Arial"/>
          <w:color w:val="3A3838"/>
          <w:sz w:val="17"/>
        </w:rPr>
        <w:t>Write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4"/>
        <w:rPr>
          <w:rFonts w:ascii="Arial"/>
          <w:sz w:val="21"/>
        </w:rPr>
      </w:pPr>
    </w:p>
    <w:p>
      <w:pPr>
        <w:spacing w:line="237" w:lineRule="exact" w:before="0"/>
        <w:ind w:left="2494" w:right="0" w:firstLine="0"/>
        <w:jc w:val="both"/>
        <w:rPr>
          <w:sz w:val="22"/>
        </w:rPr>
      </w:pPr>
      <w:r>
        <w:rPr>
          <w:color w:val="3A3838"/>
          <w:spacing w:val="-1"/>
          <w:w w:val="105"/>
          <w:sz w:val="22"/>
        </w:rPr>
        <w:t>Prohibited</w:t>
      </w:r>
      <w:r>
        <w:rPr>
          <w:color w:val="3A3838"/>
          <w:spacing w:val="-12"/>
          <w:w w:val="105"/>
          <w:sz w:val="22"/>
        </w:rPr>
        <w:t> </w:t>
      </w:r>
      <w:r>
        <w:rPr>
          <w:color w:val="3A3838"/>
          <w:spacing w:val="-1"/>
          <w:w w:val="105"/>
          <w:sz w:val="22"/>
        </w:rPr>
        <w:t>examinations</w:t>
      </w:r>
      <w:r>
        <w:rPr>
          <w:color w:val="3A3838"/>
          <w:spacing w:val="-9"/>
          <w:w w:val="105"/>
          <w:sz w:val="22"/>
        </w:rPr>
        <w:t> </w:t>
      </w:r>
      <w:r>
        <w:rPr>
          <w:color w:val="3A3838"/>
          <w:spacing w:val="-1"/>
          <w:w w:val="105"/>
          <w:sz w:val="22"/>
        </w:rPr>
        <w:t>and</w:t>
      </w:r>
      <w:r>
        <w:rPr>
          <w:color w:val="3A3838"/>
          <w:spacing w:val="3"/>
          <w:w w:val="105"/>
          <w:sz w:val="22"/>
        </w:rPr>
        <w:t> </w:t>
      </w:r>
      <w:r>
        <w:rPr>
          <w:color w:val="3A3838"/>
          <w:spacing w:val="-1"/>
          <w:w w:val="105"/>
          <w:sz w:val="22"/>
        </w:rPr>
        <w:t>inquiries</w:t>
      </w:r>
    </w:p>
    <w:p>
      <w:pPr>
        <w:spacing w:line="230" w:lineRule="auto" w:before="0"/>
        <w:ind w:left="2467" w:right="444" w:firstLine="386"/>
        <w:jc w:val="both"/>
        <w:rPr>
          <w:sz w:val="22"/>
        </w:rPr>
      </w:pPr>
      <w:r>
        <w:rPr>
          <w:color w:val="3A3838"/>
          <w:w w:val="105"/>
          <w:sz w:val="22"/>
        </w:rPr>
        <w:t>A covered entity shall not require a medical examination and shall</w:t>
      </w:r>
      <w:r>
        <w:rPr>
          <w:color w:val="3A3838"/>
          <w:spacing w:val="1"/>
          <w:w w:val="105"/>
          <w:sz w:val="22"/>
        </w:rPr>
        <w:t> </w:t>
      </w:r>
      <w:r>
        <w:rPr>
          <w:color w:val="3A3838"/>
          <w:w w:val="105"/>
          <w:sz w:val="22"/>
        </w:rPr>
        <w:t>not make inquiries of an employee as to whether such employee is an</w:t>
      </w:r>
      <w:r>
        <w:rPr>
          <w:color w:val="3A3838"/>
          <w:spacing w:val="1"/>
          <w:w w:val="105"/>
          <w:sz w:val="22"/>
        </w:rPr>
        <w:t> </w:t>
      </w:r>
      <w:r>
        <w:rPr>
          <w:color w:val="3A3838"/>
          <w:sz w:val="22"/>
        </w:rPr>
        <w:t>individual with a disability or as to the nature or severity of the disability,</w:t>
      </w:r>
      <w:r>
        <w:rPr>
          <w:color w:val="3A3838"/>
          <w:spacing w:val="1"/>
          <w:sz w:val="22"/>
        </w:rPr>
        <w:t> </w:t>
      </w:r>
      <w:r>
        <w:rPr>
          <w:color w:val="3A3838"/>
          <w:sz w:val="22"/>
        </w:rPr>
        <w:t>unless such examination or inquiry is shown to be job-related and</w:t>
      </w:r>
      <w:r>
        <w:rPr>
          <w:color w:val="3A3838"/>
          <w:spacing w:val="1"/>
          <w:sz w:val="22"/>
        </w:rPr>
        <w:t> </w:t>
      </w:r>
      <w:r>
        <w:rPr>
          <w:color w:val="3A3838"/>
          <w:sz w:val="22"/>
        </w:rPr>
        <w:t>consis­</w:t>
      </w:r>
      <w:r>
        <w:rPr>
          <w:color w:val="3A3838"/>
          <w:spacing w:val="1"/>
          <w:sz w:val="22"/>
        </w:rPr>
        <w:t> </w:t>
      </w:r>
      <w:r>
        <w:rPr>
          <w:color w:val="3A3838"/>
          <w:w w:val="105"/>
          <w:sz w:val="22"/>
        </w:rPr>
        <w:t>tent</w:t>
      </w:r>
      <w:r>
        <w:rPr>
          <w:color w:val="3A3838"/>
          <w:spacing w:val="-3"/>
          <w:w w:val="105"/>
          <w:sz w:val="22"/>
        </w:rPr>
        <w:t> </w:t>
      </w:r>
      <w:r>
        <w:rPr>
          <w:rFonts w:ascii="Arial" w:hAnsi="Arial"/>
          <w:color w:val="3A3838"/>
          <w:w w:val="105"/>
          <w:sz w:val="19"/>
        </w:rPr>
        <w:t>with</w:t>
      </w:r>
      <w:r>
        <w:rPr>
          <w:rFonts w:ascii="Arial" w:hAnsi="Arial"/>
          <w:color w:val="3A3838"/>
          <w:spacing w:val="-16"/>
          <w:w w:val="105"/>
          <w:sz w:val="19"/>
        </w:rPr>
        <w:t> </w:t>
      </w:r>
      <w:r>
        <w:rPr>
          <w:color w:val="3A3838"/>
          <w:w w:val="105"/>
          <w:sz w:val="22"/>
        </w:rPr>
        <w:t>business</w:t>
      </w:r>
      <w:r>
        <w:rPr>
          <w:color w:val="3A3838"/>
          <w:spacing w:val="-6"/>
          <w:w w:val="105"/>
          <w:sz w:val="22"/>
        </w:rPr>
        <w:t> </w:t>
      </w:r>
      <w:r>
        <w:rPr>
          <w:color w:val="3A3838"/>
          <w:w w:val="105"/>
          <w:sz w:val="22"/>
        </w:rPr>
        <w:t>necessity.</w:t>
      </w:r>
    </w:p>
    <w:p>
      <w:pPr>
        <w:spacing w:line="247" w:lineRule="auto" w:before="120"/>
        <w:ind w:left="2034" w:right="68" w:firstLine="423"/>
        <w:jc w:val="both"/>
        <w:rPr>
          <w:sz w:val="22"/>
        </w:rPr>
      </w:pPr>
      <w:r>
        <w:rPr>
          <w:color w:val="3A3838"/>
          <w:w w:val="115"/>
          <w:sz w:val="22"/>
        </w:rPr>
        <w:t>You are</w:t>
      </w:r>
      <w:r>
        <w:rPr>
          <w:color w:val="3A3838"/>
          <w:spacing w:val="1"/>
          <w:w w:val="115"/>
          <w:sz w:val="22"/>
        </w:rPr>
        <w:t> </w:t>
      </w:r>
      <w:r>
        <w:rPr>
          <w:color w:val="3A3838"/>
          <w:w w:val="115"/>
          <w:sz w:val="22"/>
        </w:rPr>
        <w:t>arguing that the term </w:t>
      </w:r>
      <w:r>
        <w:rPr>
          <w:i/>
          <w:color w:val="3A3838"/>
          <w:w w:val="115"/>
          <w:sz w:val="22"/>
        </w:rPr>
        <w:t>employee </w:t>
      </w:r>
      <w:r>
        <w:rPr>
          <w:color w:val="3A3838"/>
          <w:w w:val="115"/>
          <w:sz w:val="22"/>
        </w:rPr>
        <w:t>in</w:t>
      </w:r>
      <w:r>
        <w:rPr>
          <w:color w:val="3A3838"/>
          <w:spacing w:val="1"/>
          <w:w w:val="115"/>
          <w:sz w:val="22"/>
        </w:rPr>
        <w:t> </w:t>
      </w:r>
      <w:r>
        <w:rPr>
          <w:color w:val="3A3838"/>
          <w:w w:val="115"/>
          <w:sz w:val="22"/>
        </w:rPr>
        <w:t>this section means "any</w:t>
      </w:r>
      <w:r>
        <w:rPr>
          <w:color w:val="3A3838"/>
          <w:spacing w:val="1"/>
          <w:w w:val="115"/>
          <w:sz w:val="22"/>
        </w:rPr>
        <w:t> </w:t>
      </w:r>
      <w:r>
        <w:rPr>
          <w:color w:val="3A3838"/>
          <w:w w:val="115"/>
          <w:sz w:val="22"/>
        </w:rPr>
        <w:t>employee," while your opponent is arguing that the term means only</w:t>
      </w:r>
      <w:r>
        <w:rPr>
          <w:color w:val="3A3838"/>
          <w:spacing w:val="1"/>
          <w:w w:val="115"/>
          <w:sz w:val="22"/>
        </w:rPr>
        <w:t> </w:t>
      </w:r>
      <w:r>
        <w:rPr>
          <w:color w:val="3A3838"/>
          <w:w w:val="115"/>
          <w:sz w:val="22"/>
        </w:rPr>
        <w:t>"qualified individuals with disabilities." In your research, you discover a</w:t>
      </w:r>
      <w:r>
        <w:rPr>
          <w:color w:val="3A3838"/>
          <w:spacing w:val="1"/>
          <w:w w:val="115"/>
          <w:sz w:val="22"/>
        </w:rPr>
        <w:t> </w:t>
      </w:r>
      <w:r>
        <w:rPr>
          <w:color w:val="3A3838"/>
          <w:w w:val="115"/>
          <w:sz w:val="22"/>
        </w:rPr>
        <w:t>case from a nonmandatory authority that looks at the ways that the terms</w:t>
      </w:r>
      <w:r>
        <w:rPr>
          <w:color w:val="3A3838"/>
          <w:spacing w:val="1"/>
          <w:w w:val="115"/>
          <w:sz w:val="22"/>
        </w:rPr>
        <w:t> </w:t>
      </w:r>
      <w:r>
        <w:rPr>
          <w:i/>
          <w:color w:val="3A3838"/>
          <w:w w:val="110"/>
          <w:sz w:val="22"/>
        </w:rPr>
        <w:t>employee </w:t>
      </w:r>
      <w:r>
        <w:rPr>
          <w:color w:val="3A3838"/>
          <w:w w:val="110"/>
          <w:sz w:val="22"/>
        </w:rPr>
        <w:t>and</w:t>
      </w:r>
      <w:r>
        <w:rPr>
          <w:color w:val="3A3838"/>
          <w:spacing w:val="1"/>
          <w:w w:val="110"/>
          <w:sz w:val="22"/>
        </w:rPr>
        <w:t> </w:t>
      </w:r>
      <w:r>
        <w:rPr>
          <w:i/>
          <w:color w:val="3A3838"/>
          <w:w w:val="110"/>
          <w:sz w:val="22"/>
        </w:rPr>
        <w:t>qualified individual with a disability </w:t>
      </w:r>
      <w:r>
        <w:rPr>
          <w:color w:val="3A3838"/>
          <w:w w:val="110"/>
          <w:sz w:val="22"/>
        </w:rPr>
        <w:t>are used throughout the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15"/>
          <w:sz w:val="22"/>
        </w:rPr>
        <w:t>statute. That court alludes to statutory and regulatory language that sup­</w:t>
      </w:r>
      <w:r>
        <w:rPr>
          <w:color w:val="3A3838"/>
          <w:spacing w:val="1"/>
          <w:w w:val="115"/>
          <w:sz w:val="22"/>
        </w:rPr>
        <w:t> </w:t>
      </w:r>
      <w:r>
        <w:rPr>
          <w:color w:val="3A3838"/>
          <w:w w:val="115"/>
          <w:sz w:val="22"/>
        </w:rPr>
        <w:t>ports</w:t>
      </w:r>
      <w:r>
        <w:rPr>
          <w:color w:val="3A3838"/>
          <w:spacing w:val="-8"/>
          <w:w w:val="115"/>
          <w:sz w:val="22"/>
        </w:rPr>
        <w:t> </w:t>
      </w:r>
      <w:r>
        <w:rPr>
          <w:color w:val="3A3838"/>
          <w:w w:val="115"/>
          <w:sz w:val="22"/>
        </w:rPr>
        <w:t>your</w:t>
      </w:r>
      <w:r>
        <w:rPr>
          <w:color w:val="3A3838"/>
          <w:spacing w:val="-14"/>
          <w:w w:val="115"/>
          <w:sz w:val="22"/>
        </w:rPr>
        <w:t> </w:t>
      </w:r>
      <w:r>
        <w:rPr>
          <w:color w:val="3A3838"/>
          <w:w w:val="115"/>
          <w:sz w:val="22"/>
        </w:rPr>
        <w:t>conclusion:</w:t>
      </w:r>
    </w:p>
    <w:p>
      <w:pPr>
        <w:spacing w:line="225" w:lineRule="auto" w:before="115"/>
        <w:ind w:left="2365" w:right="438" w:firstLine="44"/>
        <w:jc w:val="both"/>
        <w:rPr>
          <w:sz w:val="22"/>
        </w:rPr>
      </w:pPr>
      <w:r>
        <w:rPr>
          <w:color w:val="3A3838"/>
          <w:sz w:val="22"/>
        </w:rPr>
        <w:t>A plaintiff</w:t>
      </w:r>
      <w:r>
        <w:rPr>
          <w:color w:val="3A3838"/>
          <w:spacing w:val="55"/>
          <w:sz w:val="22"/>
        </w:rPr>
        <w:t> </w:t>
      </w:r>
      <w:r>
        <w:rPr>
          <w:color w:val="3A3838"/>
          <w:sz w:val="22"/>
        </w:rPr>
        <w:t>need not</w:t>
      </w:r>
      <w:r>
        <w:rPr>
          <w:color w:val="3A3838"/>
          <w:spacing w:val="55"/>
          <w:sz w:val="22"/>
        </w:rPr>
        <w:t> </w:t>
      </w:r>
      <w:r>
        <w:rPr>
          <w:color w:val="3A3838"/>
          <w:sz w:val="22"/>
        </w:rPr>
        <w:t>prove that he or she has a disability</w:t>
      </w:r>
      <w:r>
        <w:rPr>
          <w:color w:val="3A3838"/>
          <w:spacing w:val="55"/>
          <w:sz w:val="22"/>
        </w:rPr>
        <w:t> </w:t>
      </w:r>
      <w:r>
        <w:rPr>
          <w:color w:val="3A3838"/>
          <w:sz w:val="22"/>
        </w:rPr>
        <w:t>unknown</w:t>
      </w:r>
      <w:r>
        <w:rPr>
          <w:color w:val="3A3838"/>
          <w:spacing w:val="55"/>
          <w:sz w:val="22"/>
        </w:rPr>
        <w:t> </w:t>
      </w:r>
      <w:r>
        <w:rPr>
          <w:color w:val="3A3838"/>
          <w:sz w:val="22"/>
        </w:rPr>
        <w:t>to</w:t>
      </w:r>
      <w:r>
        <w:rPr>
          <w:color w:val="3A3838"/>
          <w:spacing w:val="55"/>
          <w:sz w:val="22"/>
        </w:rPr>
        <w:t> </w:t>
      </w:r>
      <w:r>
        <w:rPr>
          <w:color w:val="3A3838"/>
          <w:sz w:val="22"/>
        </w:rPr>
        <w:t>his</w:t>
      </w:r>
      <w:r>
        <w:rPr>
          <w:color w:val="3A3838"/>
          <w:spacing w:val="1"/>
          <w:sz w:val="22"/>
        </w:rPr>
        <w:t> </w:t>
      </w:r>
      <w:r>
        <w:rPr>
          <w:color w:val="3A3838"/>
          <w:sz w:val="22"/>
        </w:rPr>
        <w:t>or her employer </w:t>
      </w:r>
      <w:r>
        <w:rPr>
          <w:color w:val="3A3838"/>
          <w:sz w:val="19"/>
        </w:rPr>
        <w:t>in   </w:t>
      </w:r>
      <w:r>
        <w:rPr>
          <w:color w:val="3A3838"/>
          <w:sz w:val="22"/>
        </w:rPr>
        <w:t>order to challenge a medical inquiry or examination</w:t>
      </w:r>
      <w:r>
        <w:rPr>
          <w:color w:val="3A3838"/>
          <w:spacing w:val="1"/>
          <w:sz w:val="22"/>
        </w:rPr>
        <w:t> </w:t>
      </w:r>
      <w:r>
        <w:rPr>
          <w:color w:val="3A3838"/>
          <w:sz w:val="22"/>
        </w:rPr>
        <w:t>under 42 U.S.C. §I2112(d)(4)(A). In</w:t>
      </w:r>
      <w:r>
        <w:rPr>
          <w:color w:val="3A3838"/>
          <w:spacing w:val="55"/>
          <w:sz w:val="22"/>
        </w:rPr>
        <w:t> </w:t>
      </w:r>
      <w:r>
        <w:rPr>
          <w:color w:val="3A3838"/>
          <w:sz w:val="22"/>
        </w:rPr>
        <w:t>contrast</w:t>
      </w:r>
      <w:r>
        <w:rPr>
          <w:color w:val="3A3838"/>
          <w:spacing w:val="55"/>
          <w:sz w:val="22"/>
        </w:rPr>
        <w:t> </w:t>
      </w:r>
      <w:r>
        <w:rPr>
          <w:color w:val="3A3838"/>
          <w:sz w:val="22"/>
        </w:rPr>
        <w:t>to other parts of</w:t>
      </w:r>
      <w:r>
        <w:rPr>
          <w:color w:val="3A3838"/>
          <w:spacing w:val="55"/>
          <w:sz w:val="22"/>
        </w:rPr>
        <w:t> </w:t>
      </w:r>
      <w:r>
        <w:rPr>
          <w:color w:val="3A3838"/>
          <w:sz w:val="22"/>
        </w:rPr>
        <w:t>the</w:t>
      </w:r>
      <w:r>
        <w:rPr>
          <w:color w:val="3A3838"/>
          <w:spacing w:val="55"/>
          <w:sz w:val="22"/>
        </w:rPr>
        <w:t> </w:t>
      </w:r>
      <w:r>
        <w:rPr>
          <w:color w:val="3A3838"/>
          <w:sz w:val="22"/>
        </w:rPr>
        <w:t>ADA,</w:t>
      </w:r>
      <w:r>
        <w:rPr>
          <w:color w:val="3A3838"/>
          <w:spacing w:val="1"/>
          <w:sz w:val="22"/>
        </w:rPr>
        <w:t> </w:t>
      </w:r>
      <w:r>
        <w:rPr>
          <w:color w:val="3A3838"/>
          <w:sz w:val="22"/>
        </w:rPr>
        <w:t>the</w:t>
      </w:r>
      <w:r>
        <w:rPr>
          <w:color w:val="3A3838"/>
          <w:spacing w:val="1"/>
          <w:sz w:val="22"/>
        </w:rPr>
        <w:t> </w:t>
      </w:r>
      <w:r>
        <w:rPr>
          <w:color w:val="3A3838"/>
          <w:sz w:val="22"/>
        </w:rPr>
        <w:t>statutory language does not</w:t>
      </w:r>
      <w:r>
        <w:rPr>
          <w:color w:val="3A3838"/>
          <w:spacing w:val="1"/>
          <w:sz w:val="22"/>
        </w:rPr>
        <w:t> </w:t>
      </w:r>
      <w:r>
        <w:rPr>
          <w:color w:val="3A3838"/>
          <w:sz w:val="22"/>
        </w:rPr>
        <w:t>refer to</w:t>
      </w:r>
      <w:r>
        <w:rPr>
          <w:color w:val="3A3838"/>
          <w:spacing w:val="1"/>
          <w:sz w:val="22"/>
        </w:rPr>
        <w:t> </w:t>
      </w:r>
      <w:r>
        <w:rPr>
          <w:color w:val="3A3838"/>
          <w:sz w:val="22"/>
        </w:rPr>
        <w:t>qualified</w:t>
      </w:r>
      <w:r>
        <w:rPr>
          <w:color w:val="3A3838"/>
          <w:spacing w:val="1"/>
          <w:sz w:val="22"/>
        </w:rPr>
        <w:t> </w:t>
      </w:r>
      <w:r>
        <w:rPr>
          <w:color w:val="3A3838"/>
          <w:sz w:val="22"/>
        </w:rPr>
        <w:t>individuals with dis­</w:t>
      </w:r>
      <w:r>
        <w:rPr>
          <w:color w:val="3A3838"/>
          <w:spacing w:val="1"/>
          <w:sz w:val="22"/>
        </w:rPr>
        <w:t> </w:t>
      </w:r>
      <w:r>
        <w:rPr>
          <w:color w:val="3A3838"/>
          <w:sz w:val="22"/>
        </w:rPr>
        <w:t>abilities,</w:t>
      </w:r>
      <w:r>
        <w:rPr>
          <w:color w:val="3A3838"/>
          <w:spacing w:val="32"/>
          <w:sz w:val="22"/>
        </w:rPr>
        <w:t> </w:t>
      </w:r>
      <w:r>
        <w:rPr>
          <w:color w:val="3A3838"/>
          <w:sz w:val="22"/>
        </w:rPr>
        <w:t>but</w:t>
      </w:r>
      <w:r>
        <w:rPr>
          <w:color w:val="3A3838"/>
          <w:spacing w:val="3"/>
          <w:sz w:val="22"/>
        </w:rPr>
        <w:t> </w:t>
      </w:r>
      <w:r>
        <w:rPr>
          <w:color w:val="3A3838"/>
          <w:sz w:val="22"/>
        </w:rPr>
        <w:t>instead</w:t>
      </w:r>
      <w:r>
        <w:rPr>
          <w:color w:val="3A3838"/>
          <w:spacing w:val="21"/>
          <w:sz w:val="22"/>
        </w:rPr>
        <w:t> </w:t>
      </w:r>
      <w:r>
        <w:rPr>
          <w:color w:val="3A3838"/>
          <w:sz w:val="22"/>
        </w:rPr>
        <w:t>merely</w:t>
      </w:r>
      <w:r>
        <w:rPr>
          <w:color w:val="3A3838"/>
          <w:spacing w:val="3"/>
          <w:sz w:val="22"/>
        </w:rPr>
        <w:t> </w:t>
      </w:r>
      <w:r>
        <w:rPr>
          <w:color w:val="3A3838"/>
          <w:sz w:val="22"/>
        </w:rPr>
        <w:t>to</w:t>
      </w:r>
      <w:r>
        <w:rPr>
          <w:color w:val="3A3838"/>
          <w:spacing w:val="30"/>
          <w:sz w:val="22"/>
        </w:rPr>
        <w:t> </w:t>
      </w:r>
      <w:r>
        <w:rPr>
          <w:color w:val="3A3838"/>
          <w:sz w:val="22"/>
        </w:rPr>
        <w:t>"employees."</w:t>
      </w:r>
      <w:r>
        <w:rPr>
          <w:color w:val="3A3838"/>
          <w:spacing w:val="13"/>
          <w:sz w:val="22"/>
        </w:rPr>
        <w:t> </w:t>
      </w:r>
      <w:r>
        <w:rPr>
          <w:color w:val="3A3838"/>
          <w:sz w:val="22"/>
        </w:rPr>
        <w:t>42</w:t>
      </w:r>
      <w:r>
        <w:rPr>
          <w:color w:val="3A3838"/>
          <w:spacing w:val="7"/>
          <w:sz w:val="22"/>
        </w:rPr>
        <w:t> </w:t>
      </w:r>
      <w:r>
        <w:rPr>
          <w:color w:val="3A3838"/>
          <w:sz w:val="22"/>
        </w:rPr>
        <w:t>U.S.C.</w:t>
      </w:r>
      <w:r>
        <w:rPr>
          <w:color w:val="3A3838"/>
          <w:spacing w:val="-7"/>
          <w:sz w:val="22"/>
        </w:rPr>
        <w:t> </w:t>
      </w:r>
      <w:r>
        <w:rPr>
          <w:color w:val="3A3838"/>
          <w:sz w:val="22"/>
        </w:rPr>
        <w:t>§12112(d)(4)(A).</w:t>
      </w:r>
    </w:p>
    <w:p>
      <w:pPr>
        <w:spacing w:before="120"/>
        <w:ind w:left="1977" w:right="0" w:firstLine="0"/>
        <w:jc w:val="both"/>
        <w:rPr>
          <w:rFonts w:ascii="Arial"/>
          <w:sz w:val="22"/>
        </w:rPr>
      </w:pPr>
      <w:r>
        <w:rPr>
          <w:i/>
          <w:color w:val="3A3838"/>
          <w:w w:val="105"/>
          <w:sz w:val="22"/>
        </w:rPr>
        <w:t>McGuffin</w:t>
      </w:r>
      <w:r>
        <w:rPr>
          <w:i/>
          <w:color w:val="3A3838"/>
          <w:spacing w:val="24"/>
          <w:w w:val="105"/>
          <w:sz w:val="22"/>
        </w:rPr>
        <w:t> </w:t>
      </w:r>
      <w:r>
        <w:rPr>
          <w:i/>
          <w:color w:val="3A3838"/>
          <w:w w:val="105"/>
          <w:sz w:val="25"/>
        </w:rPr>
        <w:t>v.</w:t>
      </w:r>
      <w:r>
        <w:rPr>
          <w:i/>
          <w:color w:val="3A3838"/>
          <w:spacing w:val="-20"/>
          <w:w w:val="105"/>
          <w:sz w:val="25"/>
        </w:rPr>
        <w:t> </w:t>
      </w:r>
      <w:r>
        <w:rPr>
          <w:i/>
          <w:color w:val="3A3838"/>
          <w:w w:val="105"/>
          <w:sz w:val="22"/>
        </w:rPr>
        <w:t>Bernard,</w:t>
      </w:r>
      <w:r>
        <w:rPr>
          <w:i/>
          <w:color w:val="3A3838"/>
          <w:spacing w:val="11"/>
          <w:w w:val="105"/>
          <w:sz w:val="22"/>
        </w:rPr>
        <w:t> </w:t>
      </w:r>
      <w:r>
        <w:rPr>
          <w:color w:val="3A3838"/>
          <w:w w:val="105"/>
          <w:sz w:val="22"/>
        </w:rPr>
        <w:t>444 </w:t>
      </w:r>
      <w:r>
        <w:rPr>
          <w:color w:val="3A3838"/>
          <w:spacing w:val="1"/>
          <w:w w:val="105"/>
          <w:sz w:val="22"/>
        </w:rPr>
        <w:t> </w:t>
      </w:r>
      <w:r>
        <w:rPr>
          <w:rFonts w:ascii="Arial"/>
          <w:color w:val="3A3838"/>
          <w:w w:val="105"/>
          <w:sz w:val="22"/>
        </w:rPr>
        <w:t>F.</w:t>
      </w:r>
      <w:r>
        <w:rPr>
          <w:rFonts w:ascii="Arial"/>
          <w:color w:val="3A3838"/>
          <w:spacing w:val="-11"/>
          <w:w w:val="105"/>
          <w:sz w:val="22"/>
        </w:rPr>
        <w:t> </w:t>
      </w:r>
      <w:r>
        <w:rPr>
          <w:color w:val="3A3838"/>
          <w:w w:val="105"/>
          <w:sz w:val="22"/>
        </w:rPr>
        <w:t>Supp.</w:t>
      </w:r>
      <w:r>
        <w:rPr>
          <w:color w:val="3A3838"/>
          <w:spacing w:val="13"/>
          <w:w w:val="105"/>
          <w:sz w:val="22"/>
        </w:rPr>
        <w:t> </w:t>
      </w:r>
      <w:r>
        <w:rPr>
          <w:color w:val="3A3838"/>
          <w:w w:val="105"/>
          <w:sz w:val="22"/>
        </w:rPr>
        <w:t>2d</w:t>
      </w:r>
      <w:r>
        <w:rPr>
          <w:color w:val="3A3838"/>
          <w:spacing w:val="36"/>
          <w:w w:val="105"/>
          <w:sz w:val="22"/>
        </w:rPr>
        <w:t> </w:t>
      </w:r>
      <w:r>
        <w:rPr>
          <w:color w:val="3A3838"/>
          <w:w w:val="105"/>
          <w:sz w:val="22"/>
        </w:rPr>
        <w:t>455,</w:t>
      </w:r>
      <w:r>
        <w:rPr>
          <w:color w:val="3A3838"/>
          <w:spacing w:val="14"/>
          <w:w w:val="105"/>
          <w:sz w:val="22"/>
        </w:rPr>
        <w:t> </w:t>
      </w:r>
      <w:r>
        <w:rPr>
          <w:color w:val="3A3838"/>
          <w:w w:val="105"/>
          <w:sz w:val="22"/>
        </w:rPr>
        <w:t>472</w:t>
      </w:r>
      <w:r>
        <w:rPr>
          <w:color w:val="3A3838"/>
          <w:spacing w:val="28"/>
          <w:w w:val="105"/>
          <w:sz w:val="22"/>
        </w:rPr>
        <w:t> </w:t>
      </w:r>
      <w:r>
        <w:rPr>
          <w:color w:val="3A3838"/>
          <w:w w:val="105"/>
          <w:sz w:val="22"/>
        </w:rPr>
        <w:t>(S.D.</w:t>
      </w:r>
      <w:r>
        <w:rPr>
          <w:color w:val="3A3838"/>
          <w:spacing w:val="22"/>
          <w:w w:val="105"/>
          <w:sz w:val="22"/>
        </w:rPr>
        <w:t> </w:t>
      </w:r>
      <w:r>
        <w:rPr>
          <w:color w:val="3A3838"/>
          <w:w w:val="105"/>
          <w:sz w:val="22"/>
        </w:rPr>
        <w:t>Ohio</w:t>
      </w:r>
      <w:r>
        <w:rPr>
          <w:color w:val="3A3838"/>
          <w:spacing w:val="10"/>
          <w:w w:val="105"/>
          <w:sz w:val="22"/>
        </w:rPr>
        <w:t> </w:t>
      </w:r>
      <w:r>
        <w:rPr>
          <w:color w:val="3A3838"/>
          <w:w w:val="105"/>
          <w:sz w:val="22"/>
        </w:rPr>
        <w:t>2009).</w:t>
      </w:r>
      <w:r>
        <w:rPr>
          <w:rFonts w:ascii="Arial"/>
          <w:color w:val="3A3838"/>
          <w:w w:val="105"/>
          <w:sz w:val="22"/>
          <w:vertAlign w:val="superscript"/>
        </w:rPr>
        <w:t>25</w:t>
      </w:r>
    </w:p>
    <w:p>
      <w:pPr>
        <w:spacing w:line="256" w:lineRule="auto" w:before="1"/>
        <w:ind w:left="1966" w:right="72" w:firstLine="385"/>
        <w:jc w:val="both"/>
        <w:rPr>
          <w:sz w:val="22"/>
        </w:rPr>
      </w:pPr>
      <w:r>
        <w:rPr>
          <w:color w:val="3A3838"/>
          <w:w w:val="120"/>
          <w:sz w:val="22"/>
        </w:rPr>
        <w:t>A writer who merely </w:t>
      </w:r>
      <w:r>
        <w:rPr>
          <w:i/>
          <w:color w:val="3A3838"/>
          <w:w w:val="120"/>
          <w:sz w:val="22"/>
        </w:rPr>
        <w:t>cited </w:t>
      </w:r>
      <w:r>
        <w:rPr>
          <w:color w:val="3A3838"/>
          <w:w w:val="120"/>
          <w:sz w:val="22"/>
        </w:rPr>
        <w:t>that nonjurisdictional case as authority</w:t>
      </w:r>
      <w:r>
        <w:rPr>
          <w:color w:val="3A3838"/>
          <w:spacing w:val="1"/>
          <w:w w:val="120"/>
          <w:sz w:val="22"/>
        </w:rPr>
        <w:t> </w:t>
      </w:r>
      <w:r>
        <w:rPr>
          <w:color w:val="3A3838"/>
          <w:w w:val="120"/>
          <w:sz w:val="22"/>
        </w:rPr>
        <w:t>would</w:t>
      </w:r>
      <w:r>
        <w:rPr>
          <w:color w:val="3A3838"/>
          <w:spacing w:val="-1"/>
          <w:w w:val="120"/>
          <w:sz w:val="22"/>
        </w:rPr>
        <w:t> </w:t>
      </w:r>
      <w:r>
        <w:rPr>
          <w:color w:val="3A3838"/>
          <w:w w:val="120"/>
          <w:sz w:val="22"/>
        </w:rPr>
        <w:t>not</w:t>
      </w:r>
      <w:r>
        <w:rPr>
          <w:color w:val="3A3838"/>
          <w:spacing w:val="16"/>
          <w:w w:val="120"/>
          <w:sz w:val="22"/>
        </w:rPr>
        <w:t> </w:t>
      </w:r>
      <w:r>
        <w:rPr>
          <w:color w:val="3A3838"/>
          <w:w w:val="120"/>
          <w:sz w:val="22"/>
        </w:rPr>
        <w:t>use</w:t>
      </w:r>
      <w:r>
        <w:rPr>
          <w:color w:val="3A3838"/>
          <w:spacing w:val="-32"/>
          <w:w w:val="120"/>
          <w:sz w:val="22"/>
        </w:rPr>
        <w:t> </w:t>
      </w:r>
      <w:r>
        <w:rPr>
          <w:color w:val="3A3838"/>
          <w:w w:val="120"/>
          <w:sz w:val="22"/>
        </w:rPr>
        <w:t>it</w:t>
      </w:r>
      <w:r>
        <w:rPr>
          <w:color w:val="3A3838"/>
          <w:spacing w:val="-1"/>
          <w:w w:val="120"/>
          <w:sz w:val="22"/>
        </w:rPr>
        <w:t> </w:t>
      </w:r>
      <w:r>
        <w:rPr>
          <w:color w:val="3A3838"/>
          <w:w w:val="120"/>
          <w:sz w:val="22"/>
        </w:rPr>
        <w:t>effectively:</w:t>
      </w:r>
    </w:p>
    <w:p>
      <w:pPr>
        <w:pStyle w:val="BodyText"/>
        <w:spacing w:before="8"/>
        <w:rPr>
          <w:sz w:val="9"/>
        </w:rPr>
      </w:pPr>
    </w:p>
    <w:p>
      <w:pPr>
        <w:spacing w:before="96"/>
        <w:ind w:left="1959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3A3838"/>
          <w:w w:val="110"/>
          <w:sz w:val="15"/>
          <w:u w:val="thick" w:color="3A3838"/>
        </w:rPr>
        <w:t>-\,./BAD</w:t>
      </w:r>
      <w:r>
        <w:rPr>
          <w:rFonts w:ascii="Arial"/>
          <w:b/>
          <w:color w:val="3A3838"/>
          <w:spacing w:val="-4"/>
          <w:w w:val="110"/>
          <w:sz w:val="15"/>
          <w:u w:val="thick" w:color="3A3838"/>
        </w:rPr>
        <w:t> </w:t>
      </w:r>
      <w:r>
        <w:rPr>
          <w:rFonts w:ascii="Arial"/>
          <w:b/>
          <w:color w:val="3A3838"/>
          <w:w w:val="110"/>
          <w:sz w:val="15"/>
          <w:u w:val="thick" w:color="3A3838"/>
        </w:rPr>
        <w:t>EXAMPLE</w:t>
      </w:r>
    </w:p>
    <w:p>
      <w:pPr>
        <w:spacing w:line="228" w:lineRule="auto" w:before="62"/>
        <w:ind w:left="2268" w:right="411" w:firstLine="40"/>
        <w:jc w:val="left"/>
        <w:rPr>
          <w:sz w:val="22"/>
        </w:rPr>
      </w:pPr>
      <w:r>
        <w:rPr>
          <w:color w:val="3A3838"/>
          <w:w w:val="110"/>
          <w:sz w:val="22"/>
        </w:rPr>
        <w:t>The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10"/>
          <w:sz w:val="22"/>
        </w:rPr>
        <w:t>United States District Court for the Southern District of Ohio has</w:t>
      </w:r>
      <w:r>
        <w:rPr>
          <w:color w:val="3A3838"/>
          <w:spacing w:val="-58"/>
          <w:w w:val="110"/>
          <w:sz w:val="22"/>
        </w:rPr>
        <w:t> </w:t>
      </w:r>
      <w:r>
        <w:rPr>
          <w:color w:val="3A3838"/>
          <w:spacing w:val="-1"/>
          <w:w w:val="110"/>
          <w:sz w:val="22"/>
        </w:rPr>
        <w:t>observed that the term </w:t>
      </w:r>
      <w:r>
        <w:rPr>
          <w:color w:val="3A3838"/>
          <w:w w:val="110"/>
          <w:sz w:val="22"/>
        </w:rPr>
        <w:t>"employee" in 42 U.S.C. §12122(d)(4){A) must</w:t>
      </w:r>
      <w:r>
        <w:rPr>
          <w:color w:val="3A3838"/>
          <w:spacing w:val="-58"/>
          <w:w w:val="110"/>
          <w:sz w:val="22"/>
        </w:rPr>
        <w:t> </w:t>
      </w:r>
      <w:r>
        <w:rPr>
          <w:color w:val="3A3838"/>
          <w:w w:val="110"/>
          <w:sz w:val="22"/>
        </w:rPr>
        <w:t>refer to all employees and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10"/>
          <w:sz w:val="22"/>
        </w:rPr>
        <w:t>not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10"/>
          <w:sz w:val="22"/>
        </w:rPr>
        <w:t>jwt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10"/>
          <w:sz w:val="22"/>
        </w:rPr>
        <w:t>to those employees who are quali­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10"/>
          <w:sz w:val="22"/>
        </w:rPr>
        <w:t>fied</w:t>
      </w:r>
      <w:r>
        <w:rPr>
          <w:color w:val="3A3838"/>
          <w:spacing w:val="14"/>
          <w:w w:val="110"/>
          <w:sz w:val="22"/>
        </w:rPr>
        <w:t> </w:t>
      </w:r>
      <w:r>
        <w:rPr>
          <w:color w:val="3A3838"/>
          <w:w w:val="110"/>
          <w:sz w:val="22"/>
        </w:rPr>
        <w:t>individuals</w:t>
      </w:r>
      <w:r>
        <w:rPr>
          <w:color w:val="3A3838"/>
          <w:spacing w:val="21"/>
          <w:w w:val="110"/>
          <w:sz w:val="22"/>
        </w:rPr>
        <w:t> </w:t>
      </w:r>
      <w:r>
        <w:rPr>
          <w:color w:val="3A3838"/>
          <w:w w:val="110"/>
          <w:sz w:val="22"/>
        </w:rPr>
        <w:t>with</w:t>
      </w:r>
      <w:r>
        <w:rPr>
          <w:color w:val="3A3838"/>
          <w:spacing w:val="13"/>
          <w:w w:val="110"/>
          <w:sz w:val="22"/>
        </w:rPr>
        <w:t> </w:t>
      </w:r>
      <w:r>
        <w:rPr>
          <w:color w:val="3A3838"/>
          <w:w w:val="110"/>
          <w:sz w:val="22"/>
        </w:rPr>
        <w:t>disabilities.</w:t>
      </w:r>
      <w:r>
        <w:rPr>
          <w:color w:val="3A3838"/>
          <w:spacing w:val="22"/>
          <w:w w:val="110"/>
          <w:sz w:val="22"/>
        </w:rPr>
        <w:t> </w:t>
      </w:r>
      <w:r>
        <w:rPr>
          <w:color w:val="3A3838"/>
          <w:w w:val="110"/>
          <w:sz w:val="22"/>
          <w:u w:val="thick" w:color="3A3838"/>
        </w:rPr>
        <w:t>McGuffin</w:t>
      </w:r>
      <w:r>
        <w:rPr>
          <w:color w:val="3A3838"/>
          <w:spacing w:val="46"/>
          <w:w w:val="110"/>
          <w:sz w:val="22"/>
          <w:u w:val="thick" w:color="3A3838"/>
        </w:rPr>
        <w:t> </w:t>
      </w:r>
      <w:r>
        <w:rPr>
          <w:color w:val="3A3838"/>
          <w:w w:val="110"/>
          <w:sz w:val="22"/>
          <w:u w:val="thick" w:color="3A3838"/>
        </w:rPr>
        <w:t>v.</w:t>
      </w:r>
      <w:r>
        <w:rPr>
          <w:color w:val="3A3838"/>
          <w:spacing w:val="9"/>
          <w:w w:val="110"/>
          <w:sz w:val="22"/>
          <w:u w:val="thick" w:color="3A3838"/>
        </w:rPr>
        <w:t> </w:t>
      </w:r>
      <w:r>
        <w:rPr>
          <w:color w:val="3A3838"/>
          <w:w w:val="110"/>
          <w:sz w:val="22"/>
          <w:u w:val="thick" w:color="3A3838"/>
        </w:rPr>
        <w:t>Bernard.</w:t>
      </w:r>
      <w:r>
        <w:rPr>
          <w:color w:val="3A3838"/>
          <w:spacing w:val="11"/>
          <w:w w:val="110"/>
          <w:sz w:val="22"/>
        </w:rPr>
        <w:t> </w:t>
      </w:r>
      <w:r>
        <w:rPr>
          <w:color w:val="3A3838"/>
          <w:w w:val="110"/>
          <w:sz w:val="22"/>
        </w:rPr>
        <w:t>444</w:t>
      </w:r>
      <w:r>
        <w:rPr>
          <w:color w:val="3A3838"/>
          <w:spacing w:val="20"/>
          <w:w w:val="110"/>
          <w:sz w:val="22"/>
        </w:rPr>
        <w:t> </w:t>
      </w:r>
      <w:r>
        <w:rPr>
          <w:color w:val="3A3838"/>
          <w:w w:val="110"/>
          <w:sz w:val="22"/>
        </w:rPr>
        <w:t>F.</w:t>
      </w:r>
      <w:r>
        <w:rPr>
          <w:color w:val="3A3838"/>
          <w:spacing w:val="2"/>
          <w:w w:val="110"/>
          <w:sz w:val="22"/>
        </w:rPr>
        <w:t> </w:t>
      </w:r>
      <w:r>
        <w:rPr>
          <w:color w:val="3A3838"/>
          <w:w w:val="110"/>
          <w:sz w:val="22"/>
        </w:rPr>
        <w:t>Supp.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10"/>
          <w:sz w:val="22"/>
        </w:rPr>
        <w:t>2d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10"/>
          <w:sz w:val="22"/>
        </w:rPr>
        <w:t>455, 472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10"/>
          <w:sz w:val="22"/>
        </w:rPr>
        <w:t>(S.D. Ohio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10"/>
          <w:sz w:val="19"/>
        </w:rPr>
        <w:t>2009).</w:t>
      </w:r>
      <w:r>
        <w:rPr>
          <w:color w:val="3A3838"/>
          <w:spacing w:val="1"/>
          <w:w w:val="110"/>
          <w:sz w:val="19"/>
        </w:rPr>
        <w:t> </w:t>
      </w:r>
      <w:r>
        <w:rPr>
          <w:color w:val="3A3838"/>
          <w:w w:val="110"/>
          <w:sz w:val="19"/>
        </w:rPr>
        <w:t>It</w:t>
      </w:r>
      <w:r>
        <w:rPr>
          <w:color w:val="3A3838"/>
          <w:spacing w:val="1"/>
          <w:w w:val="110"/>
          <w:sz w:val="19"/>
        </w:rPr>
        <w:t> </w:t>
      </w:r>
      <w:r>
        <w:rPr>
          <w:color w:val="3A3838"/>
          <w:w w:val="110"/>
          <w:sz w:val="22"/>
        </w:rPr>
        <w:t>noted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10"/>
          <w:sz w:val="22"/>
        </w:rPr>
        <w:t>that Congress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10"/>
          <w:sz w:val="22"/>
        </w:rPr>
        <w:t>had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10"/>
          <w:sz w:val="22"/>
        </w:rPr>
        <w:t>used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10"/>
          <w:sz w:val="22"/>
        </w:rPr>
        <w:t>the</w:t>
      </w:r>
      <w:r>
        <w:rPr>
          <w:color w:val="3A3838"/>
          <w:spacing w:val="-58"/>
          <w:w w:val="110"/>
          <w:sz w:val="22"/>
        </w:rPr>
        <w:t> </w:t>
      </w:r>
      <w:r>
        <w:rPr>
          <w:color w:val="3A3838"/>
          <w:w w:val="110"/>
          <w:sz w:val="22"/>
        </w:rPr>
        <w:t>phrase "qualified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10"/>
          <w:sz w:val="22"/>
        </w:rPr>
        <w:t>individual with disabilities" in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10"/>
          <w:sz w:val="22"/>
        </w:rPr>
        <w:t>other sections of the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10"/>
          <w:sz w:val="22"/>
        </w:rPr>
        <w:t>ADA and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10"/>
          <w:sz w:val="22"/>
        </w:rPr>
        <w:t>could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10"/>
          <w:sz w:val="22"/>
        </w:rPr>
        <w:t>have done so in §12122(d)(4)(A) </w:t>
      </w:r>
      <w:r>
        <w:rPr>
          <w:color w:val="3A3838"/>
          <w:w w:val="110"/>
          <w:sz w:val="20"/>
        </w:rPr>
        <w:t>if</w:t>
      </w:r>
      <w:r>
        <w:rPr>
          <w:color w:val="3A3838"/>
          <w:spacing w:val="1"/>
          <w:w w:val="110"/>
          <w:sz w:val="20"/>
        </w:rPr>
        <w:t> </w:t>
      </w:r>
      <w:r>
        <w:rPr>
          <w:color w:val="3A3838"/>
          <w:w w:val="110"/>
          <w:sz w:val="19"/>
        </w:rPr>
        <w:t>it</w:t>
      </w:r>
      <w:r>
        <w:rPr>
          <w:color w:val="3A3838"/>
          <w:spacing w:val="1"/>
          <w:w w:val="110"/>
          <w:sz w:val="19"/>
        </w:rPr>
        <w:t> </w:t>
      </w:r>
      <w:r>
        <w:rPr>
          <w:color w:val="3A3838"/>
          <w:w w:val="110"/>
          <w:sz w:val="22"/>
        </w:rPr>
        <w:t>so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10"/>
          <w:sz w:val="22"/>
        </w:rPr>
        <w:t>desired. </w:t>
      </w:r>
      <w:r>
        <w:rPr>
          <w:color w:val="3A3838"/>
          <w:w w:val="110"/>
          <w:sz w:val="17"/>
        </w:rPr>
        <w:t>lg.</w:t>
      </w:r>
      <w:r>
        <w:rPr>
          <w:color w:val="3A3838"/>
          <w:spacing w:val="-44"/>
          <w:w w:val="110"/>
          <w:sz w:val="17"/>
        </w:rPr>
        <w:t> </w:t>
      </w:r>
      <w:r>
        <w:rPr>
          <w:b/>
          <w:color w:val="3A3838"/>
          <w:w w:val="110"/>
          <w:sz w:val="21"/>
        </w:rPr>
        <w:t>Therefore,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when the ADA forbids medical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inquiries directed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to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"an</w:t>
      </w:r>
      <w:r>
        <w:rPr>
          <w:b/>
          <w:color w:val="3A3838"/>
          <w:spacing w:val="-55"/>
          <w:w w:val="110"/>
          <w:sz w:val="21"/>
        </w:rPr>
        <w:t> </w:t>
      </w:r>
      <w:r>
        <w:rPr>
          <w:color w:val="3A3838"/>
          <w:w w:val="110"/>
          <w:sz w:val="22"/>
        </w:rPr>
        <w:t>employee,"</w:t>
      </w:r>
      <w:r>
        <w:rPr>
          <w:color w:val="3A3838"/>
          <w:spacing w:val="-1"/>
          <w:w w:val="110"/>
          <w:sz w:val="22"/>
        </w:rPr>
        <w:t> </w:t>
      </w:r>
      <w:r>
        <w:rPr>
          <w:color w:val="3A3838"/>
          <w:w w:val="110"/>
          <w:sz w:val="22"/>
        </w:rPr>
        <w:t>the</w:t>
      </w:r>
      <w:r>
        <w:rPr>
          <w:color w:val="3A3838"/>
          <w:spacing w:val="8"/>
          <w:w w:val="110"/>
          <w:sz w:val="22"/>
        </w:rPr>
        <w:t> </w:t>
      </w:r>
      <w:r>
        <w:rPr>
          <w:color w:val="3A3838"/>
          <w:w w:val="110"/>
          <w:sz w:val="22"/>
        </w:rPr>
        <w:t>term</w:t>
      </w:r>
      <w:r>
        <w:rPr>
          <w:color w:val="3A3838"/>
          <w:spacing w:val="3"/>
          <w:w w:val="110"/>
          <w:sz w:val="22"/>
        </w:rPr>
        <w:t> </w:t>
      </w:r>
      <w:r>
        <w:rPr>
          <w:color w:val="3A3838"/>
          <w:w w:val="110"/>
          <w:sz w:val="22"/>
        </w:rPr>
        <w:t>must</w:t>
      </w:r>
      <w:r>
        <w:rPr>
          <w:color w:val="3A3838"/>
          <w:spacing w:val="-2"/>
          <w:w w:val="110"/>
          <w:sz w:val="22"/>
        </w:rPr>
        <w:t> </w:t>
      </w:r>
      <w:r>
        <w:rPr>
          <w:color w:val="3A3838"/>
          <w:w w:val="110"/>
          <w:sz w:val="22"/>
        </w:rPr>
        <w:t>mean</w:t>
      </w:r>
      <w:r>
        <w:rPr>
          <w:color w:val="3A3838"/>
          <w:spacing w:val="-11"/>
          <w:w w:val="110"/>
          <w:sz w:val="22"/>
        </w:rPr>
        <w:t> </w:t>
      </w:r>
      <w:r>
        <w:rPr>
          <w:color w:val="3A3838"/>
          <w:w w:val="110"/>
          <w:sz w:val="22"/>
        </w:rPr>
        <w:t>...</w:t>
      </w:r>
    </w:p>
    <w:p>
      <w:pPr>
        <w:spacing w:line="247" w:lineRule="auto" w:before="151"/>
        <w:ind w:left="1834" w:right="108" w:firstLine="20"/>
        <w:jc w:val="both"/>
        <w:rPr>
          <w:sz w:val="22"/>
        </w:rPr>
      </w:pPr>
      <w:r>
        <w:rPr>
          <w:color w:val="3A3838"/>
          <w:w w:val="115"/>
          <w:sz w:val="22"/>
        </w:rPr>
        <w:t>To harvest the argument effectively, the writer should let the nonmanda­</w:t>
      </w:r>
      <w:r>
        <w:rPr>
          <w:color w:val="3A3838"/>
          <w:spacing w:val="1"/>
          <w:w w:val="115"/>
          <w:sz w:val="22"/>
        </w:rPr>
        <w:t> </w:t>
      </w:r>
      <w:r>
        <w:rPr>
          <w:color w:val="3A3838"/>
          <w:spacing w:val="-1"/>
          <w:w w:val="120"/>
          <w:sz w:val="22"/>
        </w:rPr>
        <w:t>tory</w:t>
      </w:r>
      <w:r>
        <w:rPr>
          <w:color w:val="3A3838"/>
          <w:spacing w:val="-24"/>
          <w:w w:val="120"/>
          <w:sz w:val="22"/>
        </w:rPr>
        <w:t> </w:t>
      </w:r>
      <w:r>
        <w:rPr>
          <w:color w:val="3A3838"/>
          <w:spacing w:val="-1"/>
          <w:w w:val="120"/>
          <w:sz w:val="22"/>
        </w:rPr>
        <w:t>source</w:t>
      </w:r>
      <w:r>
        <w:rPr>
          <w:color w:val="3A3838"/>
          <w:spacing w:val="-22"/>
          <w:w w:val="120"/>
          <w:sz w:val="22"/>
        </w:rPr>
        <w:t> </w:t>
      </w:r>
      <w:r>
        <w:rPr>
          <w:color w:val="3A3838"/>
          <w:spacing w:val="-1"/>
          <w:w w:val="120"/>
          <w:sz w:val="22"/>
        </w:rPr>
        <w:t>direct</w:t>
      </w:r>
      <w:r>
        <w:rPr>
          <w:color w:val="3A3838"/>
          <w:spacing w:val="-21"/>
          <w:w w:val="120"/>
          <w:sz w:val="22"/>
        </w:rPr>
        <w:t> </w:t>
      </w:r>
      <w:r>
        <w:rPr>
          <w:color w:val="3A3838"/>
          <w:spacing w:val="-1"/>
          <w:w w:val="120"/>
          <w:sz w:val="22"/>
        </w:rPr>
        <w:t>further</w:t>
      </w:r>
      <w:r>
        <w:rPr>
          <w:color w:val="3A3838"/>
          <w:w w:val="120"/>
          <w:sz w:val="22"/>
        </w:rPr>
        <w:t> </w:t>
      </w:r>
      <w:r>
        <w:rPr>
          <w:color w:val="3A3838"/>
          <w:spacing w:val="-1"/>
          <w:w w:val="120"/>
          <w:sz w:val="22"/>
        </w:rPr>
        <w:t>research.</w:t>
      </w:r>
      <w:r>
        <w:rPr>
          <w:color w:val="3A3838"/>
          <w:spacing w:val="-19"/>
          <w:w w:val="120"/>
          <w:sz w:val="22"/>
        </w:rPr>
        <w:t> </w:t>
      </w:r>
      <w:r>
        <w:rPr>
          <w:color w:val="3A3838"/>
          <w:spacing w:val="-1"/>
          <w:w w:val="120"/>
          <w:sz w:val="22"/>
        </w:rPr>
        <w:t>The</w:t>
      </w:r>
      <w:r>
        <w:rPr>
          <w:color w:val="3A3838"/>
          <w:spacing w:val="-9"/>
          <w:w w:val="120"/>
          <w:sz w:val="22"/>
        </w:rPr>
        <w:t> </w:t>
      </w:r>
      <w:r>
        <w:rPr>
          <w:color w:val="3A3838"/>
          <w:w w:val="120"/>
          <w:sz w:val="22"/>
        </w:rPr>
        <w:t>writer</w:t>
      </w:r>
      <w:r>
        <w:rPr>
          <w:color w:val="3A3838"/>
          <w:spacing w:val="-17"/>
          <w:w w:val="120"/>
          <w:sz w:val="22"/>
        </w:rPr>
        <w:t> </w:t>
      </w:r>
      <w:r>
        <w:rPr>
          <w:color w:val="3A3838"/>
          <w:w w:val="120"/>
          <w:sz w:val="22"/>
        </w:rPr>
        <w:t>should</w:t>
      </w:r>
      <w:r>
        <w:rPr>
          <w:color w:val="3A3838"/>
          <w:spacing w:val="-2"/>
          <w:w w:val="120"/>
          <w:sz w:val="22"/>
        </w:rPr>
        <w:t> </w:t>
      </w:r>
      <w:r>
        <w:rPr>
          <w:color w:val="3A3838"/>
          <w:w w:val="120"/>
          <w:sz w:val="22"/>
        </w:rPr>
        <w:t>notice</w:t>
      </w:r>
      <w:r>
        <w:rPr>
          <w:color w:val="3A3838"/>
          <w:spacing w:val="-11"/>
          <w:w w:val="120"/>
          <w:sz w:val="22"/>
        </w:rPr>
        <w:t> </w:t>
      </w:r>
      <w:r>
        <w:rPr>
          <w:color w:val="3A3838"/>
          <w:w w:val="120"/>
          <w:sz w:val="22"/>
        </w:rPr>
        <w:t>that</w:t>
      </w:r>
      <w:r>
        <w:rPr>
          <w:color w:val="3A3838"/>
          <w:spacing w:val="-14"/>
          <w:w w:val="120"/>
          <w:sz w:val="22"/>
        </w:rPr>
        <w:t> </w:t>
      </w:r>
      <w:r>
        <w:rPr>
          <w:color w:val="3A3838"/>
          <w:w w:val="120"/>
          <w:sz w:val="22"/>
        </w:rPr>
        <w:t>the</w:t>
      </w:r>
      <w:r>
        <w:rPr>
          <w:color w:val="3A3838"/>
          <w:spacing w:val="-17"/>
          <w:w w:val="120"/>
          <w:sz w:val="22"/>
        </w:rPr>
        <w:t> </w:t>
      </w:r>
      <w:r>
        <w:rPr>
          <w:color w:val="3A3838"/>
          <w:w w:val="120"/>
          <w:sz w:val="22"/>
        </w:rPr>
        <w:t>court</w:t>
      </w:r>
      <w:r>
        <w:rPr>
          <w:color w:val="3A3838"/>
          <w:spacing w:val="1"/>
          <w:w w:val="120"/>
          <w:sz w:val="22"/>
        </w:rPr>
        <w:t> </w:t>
      </w:r>
      <w:r>
        <w:rPr>
          <w:color w:val="3A3838"/>
          <w:w w:val="120"/>
          <w:sz w:val="22"/>
        </w:rPr>
        <w:t>based its analysis-at least implicitly-on a governing rule that says that</w:t>
      </w:r>
      <w:r>
        <w:rPr>
          <w:color w:val="3A3838"/>
          <w:spacing w:val="1"/>
          <w:w w:val="120"/>
          <w:sz w:val="22"/>
        </w:rPr>
        <w:t> </w:t>
      </w:r>
      <w:r>
        <w:rPr>
          <w:color w:val="3A3838"/>
          <w:spacing w:val="-2"/>
          <w:w w:val="120"/>
          <w:sz w:val="22"/>
        </w:rPr>
        <w:t>when Congress </w:t>
      </w:r>
      <w:r>
        <w:rPr>
          <w:color w:val="3A3838"/>
          <w:spacing w:val="-1"/>
          <w:w w:val="120"/>
          <w:sz w:val="22"/>
        </w:rPr>
        <w:t>uses the same term in more than one section of a statute,</w:t>
      </w:r>
      <w:r>
        <w:rPr>
          <w:color w:val="3A3838"/>
          <w:w w:val="120"/>
          <w:sz w:val="22"/>
        </w:rPr>
        <w:t> </w:t>
      </w:r>
      <w:r>
        <w:rPr>
          <w:color w:val="3A3838"/>
          <w:w w:val="115"/>
          <w:sz w:val="22"/>
        </w:rPr>
        <w:t>the term should be interpreted consistently, and when Congress chooses a</w:t>
      </w:r>
      <w:r>
        <w:rPr>
          <w:color w:val="3A3838"/>
          <w:spacing w:val="1"/>
          <w:w w:val="115"/>
          <w:sz w:val="22"/>
        </w:rPr>
        <w:t> </w:t>
      </w:r>
      <w:r>
        <w:rPr>
          <w:color w:val="3A3838"/>
          <w:spacing w:val="-1"/>
          <w:w w:val="120"/>
          <w:sz w:val="22"/>
        </w:rPr>
        <w:t>different term, </w:t>
      </w:r>
      <w:r>
        <w:rPr>
          <w:color w:val="3A3838"/>
          <w:w w:val="120"/>
          <w:sz w:val="22"/>
        </w:rPr>
        <w:t>it must have intended the term to mean something differ•</w:t>
      </w:r>
      <w:r>
        <w:rPr>
          <w:color w:val="3A3838"/>
          <w:spacing w:val="-63"/>
          <w:w w:val="120"/>
          <w:sz w:val="22"/>
        </w:rPr>
        <w:t> </w:t>
      </w:r>
      <w:r>
        <w:rPr>
          <w:color w:val="3A3838"/>
          <w:w w:val="115"/>
          <w:sz w:val="22"/>
        </w:rPr>
        <w:t>ent. This observation should lead the writer to conduct research to find an</w:t>
      </w:r>
      <w:r>
        <w:rPr>
          <w:color w:val="3A3838"/>
          <w:spacing w:val="1"/>
          <w:w w:val="115"/>
          <w:sz w:val="22"/>
        </w:rPr>
        <w:t> </w:t>
      </w:r>
      <w:r>
        <w:rPr>
          <w:color w:val="3A3838"/>
          <w:spacing w:val="-1"/>
          <w:w w:val="120"/>
          <w:sz w:val="22"/>
        </w:rPr>
        <w:t>appropriate</w:t>
      </w:r>
      <w:r>
        <w:rPr>
          <w:color w:val="3A3838"/>
          <w:spacing w:val="-2"/>
          <w:w w:val="120"/>
          <w:sz w:val="22"/>
        </w:rPr>
        <w:t> </w:t>
      </w:r>
      <w:r>
        <w:rPr>
          <w:color w:val="3A3838"/>
          <w:w w:val="120"/>
          <w:sz w:val="22"/>
        </w:rPr>
        <w:t>rule</w:t>
      </w:r>
      <w:r>
        <w:rPr>
          <w:color w:val="3A3838"/>
          <w:spacing w:val="-17"/>
          <w:w w:val="120"/>
          <w:sz w:val="22"/>
        </w:rPr>
        <w:t> </w:t>
      </w:r>
      <w:r>
        <w:rPr>
          <w:color w:val="3A3838"/>
          <w:w w:val="120"/>
          <w:sz w:val="22"/>
        </w:rPr>
        <w:t>in</w:t>
      </w:r>
      <w:r>
        <w:rPr>
          <w:color w:val="3A3838"/>
          <w:spacing w:val="19"/>
          <w:w w:val="120"/>
          <w:sz w:val="22"/>
        </w:rPr>
        <w:t> </w:t>
      </w:r>
      <w:r>
        <w:rPr>
          <w:color w:val="3A3838"/>
          <w:w w:val="120"/>
          <w:sz w:val="22"/>
        </w:rPr>
        <w:t>the</w:t>
      </w:r>
      <w:r>
        <w:rPr>
          <w:color w:val="3A3838"/>
          <w:spacing w:val="10"/>
          <w:w w:val="120"/>
          <w:sz w:val="22"/>
        </w:rPr>
        <w:t> </w:t>
      </w:r>
      <w:r>
        <w:rPr>
          <w:color w:val="3A3838"/>
          <w:w w:val="120"/>
          <w:sz w:val="22"/>
        </w:rPr>
        <w:t>mandatory</w:t>
      </w:r>
      <w:r>
        <w:rPr>
          <w:color w:val="3A3838"/>
          <w:spacing w:val="27"/>
          <w:w w:val="120"/>
          <w:sz w:val="22"/>
        </w:rPr>
        <w:t> </w:t>
      </w:r>
      <w:r>
        <w:rPr>
          <w:color w:val="3A3838"/>
          <w:w w:val="120"/>
          <w:sz w:val="22"/>
        </w:rPr>
        <w:t>jurisdiction.</w:t>
      </w:r>
      <w:r>
        <w:rPr>
          <w:color w:val="3A3838"/>
          <w:spacing w:val="16"/>
          <w:w w:val="120"/>
          <w:sz w:val="22"/>
        </w:rPr>
        <w:t> </w:t>
      </w:r>
      <w:r>
        <w:rPr>
          <w:color w:val="3A3838"/>
          <w:w w:val="120"/>
          <w:sz w:val="22"/>
        </w:rPr>
        <w:t>But</w:t>
      </w:r>
      <w:r>
        <w:rPr>
          <w:color w:val="3A3838"/>
          <w:spacing w:val="-6"/>
          <w:w w:val="120"/>
          <w:sz w:val="22"/>
        </w:rPr>
        <w:t> </w:t>
      </w:r>
      <w:r>
        <w:rPr>
          <w:color w:val="3A3838"/>
          <w:w w:val="120"/>
          <w:sz w:val="22"/>
        </w:rPr>
        <w:t>that</w:t>
      </w:r>
      <w:r>
        <w:rPr>
          <w:color w:val="3A3838"/>
          <w:spacing w:val="1"/>
          <w:w w:val="120"/>
          <w:sz w:val="22"/>
        </w:rPr>
        <w:t> </w:t>
      </w:r>
      <w:r>
        <w:rPr>
          <w:color w:val="3A3838"/>
          <w:w w:val="120"/>
          <w:sz w:val="22"/>
        </w:rPr>
        <w:t>is</w:t>
      </w:r>
      <w:r>
        <w:rPr>
          <w:color w:val="3A3838"/>
          <w:spacing w:val="-16"/>
          <w:w w:val="120"/>
          <w:sz w:val="22"/>
        </w:rPr>
        <w:t> </w:t>
      </w:r>
      <w:r>
        <w:rPr>
          <w:color w:val="3A3838"/>
          <w:w w:val="120"/>
          <w:sz w:val="22"/>
        </w:rPr>
        <w:t>not</w:t>
      </w:r>
      <w:r>
        <w:rPr>
          <w:color w:val="3A3838"/>
          <w:spacing w:val="3"/>
          <w:w w:val="120"/>
          <w:sz w:val="22"/>
        </w:rPr>
        <w:t> </w:t>
      </w:r>
      <w:r>
        <w:rPr>
          <w:color w:val="3A3838"/>
          <w:w w:val="120"/>
          <w:sz w:val="22"/>
        </w:rPr>
        <w:t>enough.</w:t>
      </w:r>
      <w:r>
        <w:rPr>
          <w:color w:val="3A3838"/>
          <w:spacing w:val="-7"/>
          <w:w w:val="120"/>
          <w:sz w:val="22"/>
        </w:rPr>
        <w:t> </w:t>
      </w:r>
      <w:r>
        <w:rPr>
          <w:color w:val="3A3838"/>
          <w:w w:val="120"/>
          <w:sz w:val="22"/>
        </w:rPr>
        <w:t>It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spacing w:line="186" w:lineRule="exact" w:before="0"/>
        <w:ind w:left="2197" w:right="0" w:firstLine="0"/>
        <w:jc w:val="left"/>
        <w:rPr>
          <w:sz w:val="18"/>
        </w:rPr>
      </w:pPr>
      <w:r>
        <w:rPr>
          <w:color w:val="3A3838"/>
          <w:spacing w:val="-1"/>
          <w:w w:val="120"/>
          <w:sz w:val="18"/>
        </w:rPr>
        <w:t>"The</w:t>
      </w:r>
      <w:r>
        <w:rPr>
          <w:color w:val="3A3838"/>
          <w:spacing w:val="-25"/>
          <w:w w:val="120"/>
          <w:sz w:val="18"/>
        </w:rPr>
        <w:t> </w:t>
      </w:r>
      <w:r>
        <w:rPr>
          <w:color w:val="3A3838"/>
          <w:spacing w:val="-1"/>
          <w:w w:val="110"/>
          <w:sz w:val="18"/>
        </w:rPr>
        <w:t>language</w:t>
      </w:r>
      <w:r>
        <w:rPr>
          <w:color w:val="3A3838"/>
          <w:w w:val="110"/>
          <w:sz w:val="18"/>
        </w:rPr>
        <w:t> </w:t>
      </w:r>
      <w:r>
        <w:rPr>
          <w:color w:val="3A3838"/>
          <w:spacing w:val="-1"/>
          <w:w w:val="110"/>
          <w:sz w:val="18"/>
        </w:rPr>
        <w:t>from</w:t>
      </w:r>
      <w:r>
        <w:rPr>
          <w:color w:val="3A3838"/>
          <w:spacing w:val="3"/>
          <w:w w:val="110"/>
          <w:sz w:val="18"/>
        </w:rPr>
        <w:t> </w:t>
      </w:r>
      <w:r>
        <w:rPr>
          <w:color w:val="3A3838"/>
          <w:spacing w:val="-1"/>
          <w:w w:val="110"/>
          <w:sz w:val="18"/>
        </w:rPr>
        <w:t>this</w:t>
      </w:r>
      <w:r>
        <w:rPr>
          <w:color w:val="3A3838"/>
          <w:spacing w:val="-11"/>
          <w:w w:val="110"/>
          <w:sz w:val="18"/>
        </w:rPr>
        <w:t> </w:t>
      </w:r>
      <w:r>
        <w:rPr>
          <w:color w:val="3A3838"/>
          <w:spacing w:val="-1"/>
          <w:w w:val="110"/>
          <w:sz w:val="18"/>
        </w:rPr>
        <w:t>fictional</w:t>
      </w:r>
      <w:r>
        <w:rPr>
          <w:color w:val="3A3838"/>
          <w:spacing w:val="-2"/>
          <w:w w:val="110"/>
          <w:sz w:val="18"/>
        </w:rPr>
        <w:t> </w:t>
      </w:r>
      <w:r>
        <w:rPr>
          <w:color w:val="3A3838"/>
          <w:spacing w:val="-1"/>
          <w:w w:val="110"/>
          <w:sz w:val="18"/>
        </w:rPr>
        <w:t>case</w:t>
      </w:r>
      <w:r>
        <w:rPr>
          <w:color w:val="3A3838"/>
          <w:spacing w:val="-19"/>
          <w:w w:val="110"/>
          <w:sz w:val="18"/>
        </w:rPr>
        <w:t> </w:t>
      </w:r>
      <w:r>
        <w:rPr>
          <w:color w:val="3A3838"/>
          <w:w w:val="110"/>
          <w:sz w:val="18"/>
        </w:rPr>
        <w:t>ls</w:t>
      </w:r>
      <w:r>
        <w:rPr>
          <w:color w:val="3A3838"/>
          <w:spacing w:val="-10"/>
          <w:w w:val="110"/>
          <w:sz w:val="18"/>
        </w:rPr>
        <w:t> </w:t>
      </w:r>
      <w:r>
        <w:rPr>
          <w:color w:val="3A3838"/>
          <w:w w:val="110"/>
          <w:sz w:val="18"/>
        </w:rPr>
        <w:t>adapted</w:t>
      </w:r>
      <w:r>
        <w:rPr>
          <w:color w:val="3A3838"/>
          <w:spacing w:val="-1"/>
          <w:w w:val="110"/>
          <w:sz w:val="18"/>
        </w:rPr>
        <w:t> </w:t>
      </w:r>
      <w:r>
        <w:rPr>
          <w:color w:val="3A3838"/>
          <w:w w:val="110"/>
          <w:sz w:val="18"/>
        </w:rPr>
        <w:t>from</w:t>
      </w:r>
      <w:r>
        <w:rPr>
          <w:color w:val="3A3838"/>
          <w:spacing w:val="1"/>
          <w:w w:val="110"/>
          <w:sz w:val="18"/>
        </w:rPr>
        <w:t> </w:t>
      </w:r>
      <w:r>
        <w:rPr>
          <w:i/>
          <w:color w:val="3A3838"/>
          <w:w w:val="120"/>
          <w:sz w:val="19"/>
        </w:rPr>
        <w:t>Lee</w:t>
      </w:r>
      <w:r>
        <w:rPr>
          <w:i/>
          <w:color w:val="3A3838"/>
          <w:spacing w:val="14"/>
          <w:w w:val="120"/>
          <w:sz w:val="19"/>
        </w:rPr>
        <w:t> </w:t>
      </w:r>
      <w:r>
        <w:rPr>
          <w:i/>
          <w:color w:val="3A3838"/>
          <w:w w:val="110"/>
          <w:sz w:val="19"/>
        </w:rPr>
        <w:t>City</w:t>
      </w:r>
      <w:r>
        <w:rPr>
          <w:i/>
          <w:color w:val="3A3838"/>
          <w:spacing w:val="-25"/>
          <w:w w:val="110"/>
          <w:sz w:val="19"/>
        </w:rPr>
        <w:t> </w:t>
      </w:r>
      <w:r>
        <w:rPr>
          <w:i/>
          <w:color w:val="3A3838"/>
          <w:w w:val="110"/>
          <w:sz w:val="19"/>
        </w:rPr>
        <w:t>of</w:t>
      </w:r>
      <w:r>
        <w:rPr>
          <w:i/>
          <w:color w:val="3A3838"/>
          <w:spacing w:val="-22"/>
          <w:w w:val="110"/>
          <w:sz w:val="19"/>
        </w:rPr>
        <w:t> </w:t>
      </w:r>
      <w:r>
        <w:rPr>
          <w:i/>
          <w:color w:val="3A3838"/>
          <w:w w:val="110"/>
          <w:sz w:val="19"/>
        </w:rPr>
        <w:t>Columbus</w:t>
      </w:r>
      <w:r>
        <w:rPr>
          <w:i/>
          <w:color w:val="3A3838"/>
          <w:spacing w:val="47"/>
          <w:w w:val="110"/>
          <w:sz w:val="19"/>
        </w:rPr>
        <w:t> </w:t>
      </w:r>
      <w:r>
        <w:rPr>
          <w:color w:val="3A3838"/>
          <w:w w:val="110"/>
          <w:sz w:val="18"/>
        </w:rPr>
        <w:t>644</w:t>
      </w:r>
      <w:r>
        <w:rPr>
          <w:color w:val="3A3838"/>
          <w:spacing w:val="27"/>
          <w:w w:val="110"/>
          <w:sz w:val="18"/>
        </w:rPr>
        <w:t> </w:t>
      </w:r>
      <w:r>
        <w:rPr>
          <w:color w:val="3A3838"/>
          <w:w w:val="110"/>
          <w:sz w:val="18"/>
        </w:rPr>
        <w:t>f.</w:t>
      </w:r>
      <w:r>
        <w:rPr>
          <w:color w:val="3A3838"/>
          <w:spacing w:val="5"/>
          <w:w w:val="110"/>
          <w:sz w:val="18"/>
        </w:rPr>
        <w:t> </w:t>
      </w:r>
      <w:r>
        <w:rPr>
          <w:color w:val="3A3838"/>
          <w:w w:val="110"/>
          <w:sz w:val="18"/>
        </w:rPr>
        <w:t>Supp</w:t>
      </w:r>
      <w:r>
        <w:rPr>
          <w:color w:val="5D5D60"/>
          <w:w w:val="110"/>
          <w:sz w:val="18"/>
        </w:rPr>
        <w:t>.</w:t>
      </w:r>
    </w:p>
    <w:p>
      <w:pPr>
        <w:tabs>
          <w:tab w:pos="6822" w:val="left" w:leader="none"/>
          <w:tab w:pos="8385" w:val="left" w:leader="none"/>
        </w:tabs>
        <w:spacing w:line="163" w:lineRule="exact" w:before="0"/>
        <w:ind w:left="1809" w:right="0" w:firstLine="0"/>
        <w:jc w:val="both"/>
        <w:rPr>
          <w:sz w:val="17"/>
        </w:rPr>
      </w:pPr>
      <w:r>
        <w:rPr>
          <w:color w:val="3A3838"/>
          <w:w w:val="115"/>
          <w:sz w:val="17"/>
        </w:rPr>
        <w:t>2d</w:t>
      </w:r>
      <w:r>
        <w:rPr>
          <w:color w:val="3A3838"/>
          <w:spacing w:val="30"/>
          <w:w w:val="115"/>
          <w:sz w:val="17"/>
        </w:rPr>
        <w:t> </w:t>
      </w:r>
      <w:r>
        <w:rPr>
          <w:color w:val="3A3838"/>
          <w:w w:val="115"/>
          <w:sz w:val="17"/>
        </w:rPr>
        <w:t>1000,</w:t>
      </w:r>
      <w:r>
        <w:rPr>
          <w:color w:val="3A3838"/>
          <w:spacing w:val="-16"/>
          <w:w w:val="115"/>
          <w:sz w:val="17"/>
        </w:rPr>
        <w:t> </w:t>
      </w:r>
      <w:r>
        <w:rPr>
          <w:color w:val="3A3838"/>
          <w:w w:val="115"/>
          <w:sz w:val="17"/>
        </w:rPr>
        <w:t>1011</w:t>
      </w:r>
      <w:r>
        <w:rPr>
          <w:color w:val="3A3838"/>
          <w:spacing w:val="-20"/>
          <w:w w:val="115"/>
          <w:sz w:val="17"/>
        </w:rPr>
        <w:t> </w:t>
      </w:r>
      <w:r>
        <w:rPr>
          <w:color w:val="3A3838"/>
          <w:w w:val="115"/>
          <w:sz w:val="17"/>
        </w:rPr>
        <w:t>(S</w:t>
      </w:r>
      <w:r>
        <w:rPr>
          <w:color w:val="5D5D60"/>
          <w:w w:val="115"/>
          <w:sz w:val="17"/>
        </w:rPr>
        <w:t>.</w:t>
      </w:r>
      <w:r>
        <w:rPr>
          <w:color w:val="3A3838"/>
          <w:w w:val="115"/>
          <w:sz w:val="17"/>
        </w:rPr>
        <w:t>D.</w:t>
      </w:r>
      <w:r>
        <w:rPr>
          <w:color w:val="3A3838"/>
          <w:spacing w:val="-7"/>
          <w:w w:val="115"/>
          <w:sz w:val="17"/>
        </w:rPr>
        <w:t> </w:t>
      </w:r>
      <w:r>
        <w:rPr>
          <w:color w:val="3A3838"/>
          <w:w w:val="115"/>
          <w:sz w:val="17"/>
        </w:rPr>
        <w:t>Ohio</w:t>
      </w:r>
      <w:r>
        <w:rPr>
          <w:color w:val="3A3838"/>
          <w:spacing w:val="-15"/>
          <w:w w:val="115"/>
          <w:sz w:val="17"/>
        </w:rPr>
        <w:t> </w:t>
      </w:r>
      <w:r>
        <w:rPr>
          <w:color w:val="3A3838"/>
          <w:w w:val="115"/>
          <w:sz w:val="17"/>
        </w:rPr>
        <w:t>2009).</w:t>
        <w:tab/>
        <w:t>.</w:t>
        <w:tab/>
        <w:t>'</w:t>
      </w:r>
    </w:p>
    <w:p>
      <w:pPr>
        <w:spacing w:after="0" w:line="163" w:lineRule="exact"/>
        <w:jc w:val="both"/>
        <w:rPr>
          <w:sz w:val="17"/>
        </w:rPr>
        <w:sectPr>
          <w:headerReference w:type="even" r:id="rId84"/>
          <w:pgSz w:w="9590" w:h="13820"/>
          <w:pgMar w:header="0" w:footer="0" w:top="0" w:bottom="0" w:left="0" w:right="0"/>
        </w:sectPr>
      </w:pPr>
    </w:p>
    <w:p>
      <w:pPr>
        <w:pStyle w:val="BodyText"/>
        <w:spacing w:line="232" w:lineRule="auto" w:before="87"/>
        <w:ind w:left="118" w:right="301" w:firstLine="6"/>
        <w:jc w:val="both"/>
      </w:pPr>
      <w:r>
        <w:rPr>
          <w:color w:val="3A383A"/>
          <w:w w:val="110"/>
        </w:rPr>
        <w:t>would be ineffective to merely cite the mandatory rule and state the same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conclusory analysis. Instead, the writer should also research the language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of the statute and figure out how best to apply the rule regarding consis­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tent</w:t>
      </w:r>
      <w:r>
        <w:rPr>
          <w:color w:val="3A383A"/>
          <w:spacing w:val="-14"/>
          <w:w w:val="110"/>
        </w:rPr>
        <w:t> </w:t>
      </w:r>
      <w:r>
        <w:rPr>
          <w:color w:val="3A383A"/>
          <w:w w:val="110"/>
        </w:rPr>
        <w:t>interpretation</w:t>
      </w:r>
      <w:r>
        <w:rPr>
          <w:color w:val="3A383A"/>
          <w:spacing w:val="-15"/>
          <w:w w:val="110"/>
        </w:rPr>
        <w:t> </w:t>
      </w:r>
      <w:r>
        <w:rPr>
          <w:color w:val="3A383A"/>
          <w:w w:val="110"/>
        </w:rPr>
        <w:t>of</w:t>
      </w:r>
      <w:r>
        <w:rPr>
          <w:color w:val="3A383A"/>
          <w:spacing w:val="17"/>
          <w:w w:val="110"/>
        </w:rPr>
        <w:t> </w:t>
      </w:r>
      <w:r>
        <w:rPr>
          <w:color w:val="3A383A"/>
          <w:w w:val="110"/>
        </w:rPr>
        <w:t>terms</w:t>
      </w:r>
      <w:r>
        <w:rPr>
          <w:color w:val="3A383A"/>
          <w:spacing w:val="-2"/>
          <w:w w:val="110"/>
        </w:rPr>
        <w:t> </w:t>
      </w:r>
      <w:r>
        <w:rPr>
          <w:color w:val="3A383A"/>
          <w:w w:val="110"/>
        </w:rPr>
        <w:t>to</w:t>
      </w:r>
      <w:r>
        <w:rPr>
          <w:color w:val="3A383A"/>
          <w:spacing w:val="21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21"/>
          <w:w w:val="110"/>
        </w:rPr>
        <w:t> </w:t>
      </w:r>
      <w:r>
        <w:rPr>
          <w:color w:val="3A383A"/>
          <w:w w:val="110"/>
        </w:rPr>
        <w:t>"fact"</w:t>
      </w:r>
      <w:r>
        <w:rPr>
          <w:color w:val="3A383A"/>
          <w:spacing w:val="-13"/>
          <w:w w:val="110"/>
        </w:rPr>
        <w:t> </w:t>
      </w:r>
      <w:r>
        <w:rPr>
          <w:color w:val="3A383A"/>
          <w:w w:val="110"/>
        </w:rPr>
        <w:t>of</w:t>
      </w:r>
      <w:r>
        <w:rPr>
          <w:color w:val="3A383A"/>
          <w:spacing w:val="15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33"/>
          <w:w w:val="110"/>
        </w:rPr>
        <w:t> </w:t>
      </w:r>
      <w:r>
        <w:rPr>
          <w:color w:val="3A383A"/>
          <w:w w:val="110"/>
        </w:rPr>
        <w:t>statutory</w:t>
      </w:r>
      <w:r>
        <w:rPr>
          <w:color w:val="3A383A"/>
          <w:spacing w:val="6"/>
          <w:w w:val="110"/>
        </w:rPr>
        <w:t> </w:t>
      </w:r>
      <w:r>
        <w:rPr>
          <w:color w:val="3A383A"/>
          <w:w w:val="110"/>
        </w:rPr>
        <w:t>language:</w:t>
      </w:r>
      <w:r>
        <w:rPr>
          <w:color w:val="3A383A"/>
          <w:w w:val="110"/>
          <w:vertAlign w:val="superscript"/>
        </w:rPr>
        <w:t>26</w:t>
      </w:r>
    </w:p>
    <w:p>
      <w:pPr>
        <w:pStyle w:val="BodyText"/>
        <w:spacing w:before="1"/>
        <w:rPr>
          <w:sz w:val="9"/>
        </w:rPr>
      </w:pPr>
    </w:p>
    <w:p>
      <w:pPr>
        <w:spacing w:before="94"/>
        <w:ind w:left="129" w:right="0" w:firstLine="0"/>
        <w:jc w:val="both"/>
        <w:rPr>
          <w:b/>
          <w:sz w:val="16"/>
        </w:rPr>
      </w:pPr>
      <w:r>
        <w:rPr>
          <w:rFonts w:ascii="Arial"/>
          <w:color w:val="3A383A"/>
          <w:sz w:val="15"/>
          <w:u w:val="thick" w:color="3A383A"/>
        </w:rPr>
        <w:t>_/\</w:t>
      </w:r>
      <w:r>
        <w:rPr>
          <w:rFonts w:ascii="Arial"/>
          <w:color w:val="3A383A"/>
          <w:spacing w:val="56"/>
          <w:sz w:val="15"/>
          <w:u w:val="thick" w:color="3A383A"/>
        </w:rPr>
        <w:t> </w:t>
      </w:r>
      <w:r>
        <w:rPr>
          <w:rFonts w:ascii="Arial"/>
          <w:color w:val="3A383A"/>
          <w:sz w:val="15"/>
          <w:u w:val="thick" w:color="3A383A"/>
        </w:rPr>
        <w:t>GOOD</w:t>
      </w:r>
      <w:r>
        <w:rPr>
          <w:rFonts w:ascii="Arial"/>
          <w:color w:val="3A383A"/>
          <w:spacing w:val="-6"/>
          <w:sz w:val="15"/>
          <w:u w:val="thick" w:color="3A383A"/>
        </w:rPr>
        <w:t> </w:t>
      </w:r>
      <w:r>
        <w:rPr>
          <w:b/>
          <w:color w:val="3A383A"/>
          <w:sz w:val="16"/>
          <w:u w:val="thick" w:color="3A383A"/>
        </w:rPr>
        <w:t>EXAMPLE</w:t>
      </w:r>
    </w:p>
    <w:p>
      <w:pPr>
        <w:pStyle w:val="BodyText"/>
        <w:spacing w:before="8"/>
        <w:rPr>
          <w:b/>
          <w:sz w:val="20"/>
        </w:rPr>
      </w:pPr>
    </w:p>
    <w:p>
      <w:pPr>
        <w:spacing w:line="232" w:lineRule="auto" w:before="0"/>
        <w:ind w:left="480" w:right="645" w:firstLine="1"/>
        <w:jc w:val="both"/>
        <w:rPr>
          <w:b/>
          <w:sz w:val="21"/>
        </w:rPr>
      </w:pPr>
      <w:r>
        <w:rPr>
          <w:b/>
          <w:color w:val="3A383A"/>
          <w:w w:val="110"/>
          <w:sz w:val="21"/>
        </w:rPr>
        <w:t>When Congress uses one term in one part of a statute and a different</w:t>
      </w:r>
      <w:r>
        <w:rPr>
          <w:b/>
          <w:color w:val="3A383A"/>
          <w:spacing w:val="1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term in another, this court should assume that different meanings</w:t>
      </w:r>
      <w:r>
        <w:rPr>
          <w:b/>
          <w:color w:val="3A383A"/>
          <w:spacing w:val="1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were intended. </w:t>
      </w:r>
      <w:r>
        <w:rPr>
          <w:color w:val="3A383A"/>
          <w:w w:val="110"/>
          <w:sz w:val="19"/>
          <w:u w:val="thick" w:color="3A383A"/>
        </w:rPr>
        <w:t>Cucilich </w:t>
      </w:r>
      <w:r>
        <w:rPr>
          <w:b/>
          <w:color w:val="3A383A"/>
          <w:w w:val="110"/>
          <w:sz w:val="21"/>
          <w:u w:val="thick" w:color="3A383A"/>
        </w:rPr>
        <w:t>Industries v. Perek.</w:t>
      </w:r>
      <w:r>
        <w:rPr>
          <w:b/>
          <w:color w:val="3A383A"/>
          <w:w w:val="110"/>
          <w:sz w:val="21"/>
        </w:rPr>
        <w:t> 599 F.3d 947, 955 (18th</w:t>
      </w:r>
      <w:r>
        <w:rPr>
          <w:b/>
          <w:color w:val="3A383A"/>
          <w:spacing w:val="1"/>
          <w:w w:val="110"/>
          <w:sz w:val="21"/>
        </w:rPr>
        <w:t> </w:t>
      </w:r>
      <w:r>
        <w:rPr>
          <w:b/>
          <w:color w:val="3A383A"/>
          <w:w w:val="105"/>
          <w:sz w:val="21"/>
        </w:rPr>
        <w:t>Cir. 2009). In </w:t>
      </w:r>
      <w:r>
        <w:rPr>
          <w:color w:val="3A383A"/>
          <w:w w:val="105"/>
          <w:sz w:val="23"/>
          <w:u w:val="thick" w:color="3A383A"/>
        </w:rPr>
        <w:t>Cucilich </w:t>
      </w:r>
      <w:r>
        <w:rPr>
          <w:b/>
          <w:color w:val="3A383A"/>
          <w:w w:val="105"/>
          <w:sz w:val="21"/>
          <w:u w:val="thick" w:color="3A383A"/>
        </w:rPr>
        <w:t>Industries.</w:t>
      </w:r>
      <w:r>
        <w:rPr>
          <w:b/>
          <w:color w:val="3A383A"/>
          <w:w w:val="105"/>
          <w:sz w:val="21"/>
        </w:rPr>
        <w:t> the Eighteenth Circuit analyzed the</w:t>
      </w:r>
      <w:r>
        <w:rPr>
          <w:b/>
          <w:color w:val="3A383A"/>
          <w:spacing w:val="1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Carriage of Goods by Rail Act and</w:t>
      </w:r>
      <w:r>
        <w:rPr>
          <w:b/>
          <w:color w:val="3A383A"/>
          <w:spacing w:val="1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noted that "Congress chose to use</w:t>
      </w:r>
      <w:r>
        <w:rPr>
          <w:b/>
          <w:color w:val="3A383A"/>
          <w:spacing w:val="1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different terms in [the Act]when referring to the 'shipper' in conjunc­</w:t>
      </w:r>
      <w:r>
        <w:rPr>
          <w:b/>
          <w:color w:val="3A383A"/>
          <w:spacing w:val="1"/>
          <w:w w:val="105"/>
          <w:sz w:val="21"/>
        </w:rPr>
        <w:t> </w:t>
      </w:r>
      <w:r>
        <w:rPr>
          <w:b/>
          <w:color w:val="3A383A"/>
          <w:w w:val="110"/>
          <w:sz w:val="21"/>
        </w:rPr>
        <w:t>tion with other parties, on the one hand, and the 'shipper' alone, on</w:t>
      </w:r>
      <w:r>
        <w:rPr>
          <w:b/>
          <w:color w:val="3A383A"/>
          <w:spacing w:val="1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the other." </w:t>
      </w:r>
      <w:r>
        <w:rPr>
          <w:b/>
          <w:color w:val="3A383A"/>
          <w:w w:val="110"/>
          <w:sz w:val="21"/>
          <w:u w:val="thick" w:color="3A383A"/>
        </w:rPr>
        <w:t>Id</w:t>
      </w:r>
      <w:r>
        <w:rPr>
          <w:b/>
          <w:color w:val="3A383A"/>
          <w:w w:val="110"/>
          <w:sz w:val="21"/>
        </w:rPr>
        <w:t>. at 956. Accordingly, the court refused to interpret the</w:t>
      </w:r>
      <w:r>
        <w:rPr>
          <w:b/>
          <w:color w:val="3A383A"/>
          <w:spacing w:val="1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term "shipper" in one clause in the same way that it interpreted the</w:t>
      </w:r>
      <w:r>
        <w:rPr>
          <w:b/>
          <w:color w:val="3A383A"/>
          <w:spacing w:val="1"/>
          <w:w w:val="110"/>
          <w:sz w:val="21"/>
        </w:rPr>
        <w:t> </w:t>
      </w:r>
      <w:r>
        <w:rPr>
          <w:b/>
          <w:color w:val="3A383A"/>
          <w:w w:val="105"/>
          <w:sz w:val="21"/>
        </w:rPr>
        <w:t>phrase</w:t>
      </w:r>
      <w:r>
        <w:rPr>
          <w:b/>
          <w:color w:val="3A383A"/>
          <w:spacing w:val="-6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"shipper,</w:t>
      </w:r>
      <w:r>
        <w:rPr>
          <w:b/>
          <w:color w:val="3A383A"/>
          <w:spacing w:val="27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receiver,</w:t>
      </w:r>
      <w:r>
        <w:rPr>
          <w:b/>
          <w:color w:val="3A383A"/>
          <w:spacing w:val="14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or</w:t>
      </w:r>
      <w:r>
        <w:rPr>
          <w:b/>
          <w:color w:val="3A383A"/>
          <w:spacing w:val="26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holder</w:t>
      </w:r>
      <w:r>
        <w:rPr>
          <w:b/>
          <w:color w:val="3A383A"/>
          <w:spacing w:val="-2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of</w:t>
      </w:r>
      <w:r>
        <w:rPr>
          <w:b/>
          <w:color w:val="3A383A"/>
          <w:spacing w:val="10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bill</w:t>
      </w:r>
      <w:r>
        <w:rPr>
          <w:b/>
          <w:color w:val="3A383A"/>
          <w:spacing w:val="4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of</w:t>
      </w:r>
      <w:r>
        <w:rPr>
          <w:b/>
          <w:color w:val="3A383A"/>
          <w:spacing w:val="13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lading."</w:t>
      </w:r>
      <w:r>
        <w:rPr>
          <w:b/>
          <w:color w:val="3A383A"/>
          <w:spacing w:val="-23"/>
          <w:w w:val="105"/>
          <w:sz w:val="21"/>
        </w:rPr>
        <w:t> </w:t>
      </w:r>
      <w:r>
        <w:rPr>
          <w:rFonts w:ascii="Arial" w:hAnsi="Arial"/>
          <w:b/>
          <w:color w:val="3A383A"/>
          <w:w w:val="105"/>
          <w:sz w:val="18"/>
        </w:rPr>
        <w:t>lg.</w:t>
      </w:r>
      <w:r>
        <w:rPr>
          <w:rFonts w:ascii="Arial" w:hAnsi="Arial"/>
          <w:b/>
          <w:color w:val="3A383A"/>
          <w:spacing w:val="18"/>
          <w:w w:val="105"/>
          <w:sz w:val="18"/>
        </w:rPr>
        <w:t> </w:t>
      </w:r>
      <w:r>
        <w:rPr>
          <w:b/>
          <w:color w:val="3A383A"/>
          <w:w w:val="105"/>
          <w:sz w:val="21"/>
        </w:rPr>
        <w:t>at</w:t>
      </w:r>
      <w:r>
        <w:rPr>
          <w:b/>
          <w:color w:val="3A383A"/>
          <w:spacing w:val="13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958.</w:t>
      </w:r>
    </w:p>
    <w:p>
      <w:pPr>
        <w:spacing w:line="241" w:lineRule="exact" w:before="144"/>
        <w:ind w:left="858" w:right="0" w:firstLine="0"/>
        <w:jc w:val="both"/>
        <w:rPr>
          <w:b/>
          <w:sz w:val="21"/>
        </w:rPr>
      </w:pPr>
      <w:r>
        <w:rPr>
          <w:b/>
          <w:color w:val="3A383A"/>
          <w:w w:val="110"/>
          <w:sz w:val="21"/>
        </w:rPr>
        <w:t>When</w:t>
      </w:r>
      <w:r>
        <w:rPr>
          <w:b/>
          <w:color w:val="3A383A"/>
          <w:spacing w:val="29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Congress</w:t>
      </w:r>
      <w:r>
        <w:rPr>
          <w:b/>
          <w:color w:val="3A383A"/>
          <w:spacing w:val="24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chose</w:t>
      </w:r>
      <w:r>
        <w:rPr>
          <w:b/>
          <w:color w:val="3A383A"/>
          <w:spacing w:val="24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to</w:t>
      </w:r>
      <w:r>
        <w:rPr>
          <w:b/>
          <w:color w:val="3A383A"/>
          <w:spacing w:val="24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use</w:t>
      </w:r>
      <w:r>
        <w:rPr>
          <w:b/>
          <w:color w:val="3A383A"/>
          <w:spacing w:val="20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the</w:t>
      </w:r>
      <w:r>
        <w:rPr>
          <w:b/>
          <w:color w:val="3A383A"/>
          <w:spacing w:val="20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term</w:t>
      </w:r>
      <w:r>
        <w:rPr>
          <w:b/>
          <w:color w:val="3A383A"/>
          <w:spacing w:val="19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"employee"</w:t>
      </w:r>
      <w:r>
        <w:rPr>
          <w:b/>
          <w:color w:val="3A383A"/>
          <w:spacing w:val="33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in</w:t>
      </w:r>
      <w:r>
        <w:rPr>
          <w:b/>
          <w:color w:val="3A383A"/>
          <w:spacing w:val="46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42</w:t>
      </w:r>
      <w:r>
        <w:rPr>
          <w:b/>
          <w:color w:val="3A383A"/>
          <w:spacing w:val="40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U.S</w:t>
      </w:r>
      <w:r>
        <w:rPr>
          <w:b/>
          <w:color w:val="59595B"/>
          <w:w w:val="110"/>
          <w:sz w:val="21"/>
        </w:rPr>
        <w:t>.</w:t>
      </w:r>
      <w:r>
        <w:rPr>
          <w:b/>
          <w:color w:val="3A383A"/>
          <w:w w:val="110"/>
          <w:sz w:val="21"/>
        </w:rPr>
        <w:t>C.</w:t>
      </w:r>
    </w:p>
    <w:p>
      <w:pPr>
        <w:spacing w:line="237" w:lineRule="auto" w:before="2"/>
        <w:ind w:left="485" w:right="598" w:hanging="2"/>
        <w:jc w:val="both"/>
        <w:rPr>
          <w:sz w:val="21"/>
        </w:rPr>
      </w:pPr>
      <w:r>
        <w:rPr>
          <w:b/>
          <w:color w:val="3A383A"/>
          <w:w w:val="105"/>
          <w:sz w:val="21"/>
        </w:rPr>
        <w:t>§12112(d)(4)(A) of the ADA, it did so in order to refer to all "employ­</w:t>
      </w:r>
      <w:r>
        <w:rPr>
          <w:b/>
          <w:color w:val="3A383A"/>
          <w:spacing w:val="1"/>
          <w:w w:val="105"/>
          <w:sz w:val="21"/>
        </w:rPr>
        <w:t> </w:t>
      </w:r>
      <w:r>
        <w:rPr>
          <w:b/>
          <w:color w:val="3A383A"/>
          <w:w w:val="115"/>
          <w:sz w:val="21"/>
        </w:rPr>
        <w:t>ees" of the employing entity, and the term should not be inter­</w:t>
      </w:r>
      <w:r>
        <w:rPr>
          <w:b/>
          <w:color w:val="3A383A"/>
          <w:spacing w:val="1"/>
          <w:w w:val="115"/>
          <w:sz w:val="21"/>
        </w:rPr>
        <w:t> </w:t>
      </w:r>
      <w:r>
        <w:rPr>
          <w:b/>
          <w:color w:val="3A383A"/>
          <w:w w:val="115"/>
          <w:sz w:val="21"/>
        </w:rPr>
        <w:t>preted to mean "qualified individual with a disability." The tenns</w:t>
      </w:r>
      <w:r>
        <w:rPr>
          <w:b/>
          <w:color w:val="3A383A"/>
          <w:spacing w:val="1"/>
          <w:w w:val="115"/>
          <w:sz w:val="21"/>
        </w:rPr>
        <w:t> </w:t>
      </w:r>
      <w:r>
        <w:rPr>
          <w:b/>
          <w:color w:val="3A383A"/>
          <w:w w:val="110"/>
          <w:sz w:val="21"/>
        </w:rPr>
        <w:t>"employee" and "qualified individual" are defined separately in the</w:t>
      </w:r>
      <w:r>
        <w:rPr>
          <w:b/>
          <w:color w:val="3A383A"/>
          <w:spacing w:val="1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Act, at §§12111(4) and 12111(8), respectively. Section 12114(c) speci­</w:t>
      </w:r>
      <w:r>
        <w:rPr>
          <w:b/>
          <w:color w:val="3A383A"/>
          <w:spacing w:val="1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fies limits that can be imposed on "employees," while other sections</w:t>
      </w:r>
      <w:r>
        <w:rPr>
          <w:b/>
          <w:color w:val="3A383A"/>
          <w:spacing w:val="1"/>
          <w:w w:val="110"/>
          <w:sz w:val="21"/>
        </w:rPr>
        <w:t> </w:t>
      </w:r>
      <w:r>
        <w:rPr>
          <w:b/>
          <w:color w:val="3A383A"/>
          <w:w w:val="115"/>
          <w:sz w:val="21"/>
        </w:rPr>
        <w:t>speak specifically to qualified individuals with a disability. Section</w:t>
      </w:r>
      <w:r>
        <w:rPr>
          <w:b/>
          <w:color w:val="3A383A"/>
          <w:spacing w:val="1"/>
          <w:w w:val="115"/>
          <w:sz w:val="21"/>
        </w:rPr>
        <w:t> </w:t>
      </w:r>
      <w:r>
        <w:rPr>
          <w:b/>
          <w:color w:val="3A383A"/>
          <w:w w:val="115"/>
          <w:sz w:val="21"/>
        </w:rPr>
        <w:t>12122(b)(5)(A), for example, notes that discrimination against a</w:t>
      </w:r>
      <w:r>
        <w:rPr>
          <w:b/>
          <w:color w:val="3A383A"/>
          <w:spacing w:val="1"/>
          <w:w w:val="115"/>
          <w:sz w:val="21"/>
        </w:rPr>
        <w:t> </w:t>
      </w:r>
      <w:r>
        <w:rPr>
          <w:b/>
          <w:color w:val="3A383A"/>
          <w:w w:val="110"/>
          <w:sz w:val="21"/>
        </w:rPr>
        <w:t>"qualified individual on the basis of disability" includes not making</w:t>
      </w:r>
      <w:r>
        <w:rPr>
          <w:b/>
          <w:color w:val="3A383A"/>
          <w:spacing w:val="1"/>
          <w:w w:val="110"/>
          <w:sz w:val="21"/>
        </w:rPr>
        <w:t> </w:t>
      </w:r>
      <w:r>
        <w:rPr>
          <w:b/>
          <w:color w:val="3A383A"/>
          <w:w w:val="115"/>
          <w:sz w:val="21"/>
        </w:rPr>
        <w:t>reasonable accommodations for "an otherwise qualified individual</w:t>
      </w:r>
      <w:r>
        <w:rPr>
          <w:b/>
          <w:color w:val="3A383A"/>
          <w:spacing w:val="-58"/>
          <w:w w:val="115"/>
          <w:sz w:val="21"/>
        </w:rPr>
        <w:t> </w:t>
      </w:r>
      <w:r>
        <w:rPr>
          <w:b/>
          <w:color w:val="3A383A"/>
          <w:w w:val="110"/>
          <w:sz w:val="21"/>
        </w:rPr>
        <w:t>with a disability." Similarly, §12112(b)(S)(B) forbids denying employ­</w:t>
      </w:r>
      <w:r>
        <w:rPr>
          <w:b/>
          <w:color w:val="3A383A"/>
          <w:spacing w:val="-55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ment in certain circumstances to "an otherwise qualified individual</w:t>
      </w:r>
      <w:r>
        <w:rPr>
          <w:b/>
          <w:color w:val="3A383A"/>
          <w:spacing w:val="1"/>
          <w:w w:val="110"/>
          <w:sz w:val="21"/>
        </w:rPr>
        <w:t> </w:t>
      </w:r>
      <w:r>
        <w:rPr>
          <w:b/>
          <w:color w:val="3A383A"/>
          <w:spacing w:val="-1"/>
          <w:w w:val="115"/>
          <w:sz w:val="21"/>
        </w:rPr>
        <w:t>with</w:t>
      </w:r>
      <w:r>
        <w:rPr>
          <w:b/>
          <w:color w:val="3A383A"/>
          <w:spacing w:val="-22"/>
          <w:w w:val="115"/>
          <w:sz w:val="21"/>
        </w:rPr>
        <w:t> </w:t>
      </w:r>
      <w:r>
        <w:rPr>
          <w:b/>
          <w:color w:val="3A383A"/>
          <w:spacing w:val="-1"/>
          <w:w w:val="115"/>
          <w:sz w:val="21"/>
        </w:rPr>
        <w:t>a</w:t>
      </w:r>
      <w:r>
        <w:rPr>
          <w:b/>
          <w:color w:val="3A383A"/>
          <w:spacing w:val="-6"/>
          <w:w w:val="115"/>
          <w:sz w:val="21"/>
        </w:rPr>
        <w:t> </w:t>
      </w:r>
      <w:r>
        <w:rPr>
          <w:b/>
          <w:color w:val="3A383A"/>
          <w:spacing w:val="-1"/>
          <w:w w:val="115"/>
          <w:sz w:val="21"/>
        </w:rPr>
        <w:t>disability."</w:t>
      </w:r>
      <w:r>
        <w:rPr>
          <w:b/>
          <w:color w:val="3A383A"/>
          <w:spacing w:val="-9"/>
          <w:w w:val="115"/>
          <w:sz w:val="21"/>
        </w:rPr>
        <w:t> </w:t>
      </w:r>
      <w:r>
        <w:rPr>
          <w:b/>
          <w:color w:val="3A383A"/>
          <w:spacing w:val="-1"/>
          <w:w w:val="115"/>
          <w:sz w:val="21"/>
        </w:rPr>
        <w:t>Accordingly</w:t>
      </w:r>
      <w:r>
        <w:rPr>
          <w:b/>
          <w:color w:val="3A383A"/>
          <w:spacing w:val="4"/>
          <w:w w:val="115"/>
          <w:sz w:val="21"/>
        </w:rPr>
        <w:t> </w:t>
      </w:r>
      <w:r>
        <w:rPr>
          <w:b/>
          <w:color w:val="3A383A"/>
          <w:w w:val="115"/>
          <w:sz w:val="21"/>
        </w:rPr>
        <w:t>.</w:t>
      </w:r>
      <w:r>
        <w:rPr>
          <w:color w:val="3A383A"/>
          <w:w w:val="115"/>
          <w:sz w:val="21"/>
        </w:rPr>
        <w:t>..</w:t>
      </w:r>
    </w:p>
    <w:p>
      <w:pPr>
        <w:pStyle w:val="BodyText"/>
        <w:spacing w:line="232" w:lineRule="auto" w:before="135"/>
        <w:ind w:left="134" w:right="153" w:firstLine="5"/>
        <w:jc w:val="both"/>
      </w:pPr>
      <w:r>
        <w:rPr>
          <w:color w:val="3A383A"/>
          <w:w w:val="110"/>
        </w:rPr>
        <w:t>Notice that the writer has gone beyond the conclusory statement from the</w:t>
      </w:r>
      <w:r>
        <w:rPr>
          <w:color w:val="3A383A"/>
          <w:spacing w:val="1"/>
          <w:w w:val="110"/>
        </w:rPr>
        <w:t> </w:t>
      </w:r>
      <w:r>
        <w:rPr>
          <w:i/>
          <w:color w:val="3A383A"/>
          <w:w w:val="110"/>
          <w:sz w:val="21"/>
        </w:rPr>
        <w:t>McGuffin </w:t>
      </w:r>
      <w:r>
        <w:rPr>
          <w:color w:val="3A383A"/>
          <w:w w:val="110"/>
        </w:rPr>
        <w:t>case. That decision merely referred to "other parts of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ADA"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that mentioned "qualified individuals with a disability." As part of har­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0"/>
        </w:rPr>
        <w:t>vesting the argument, the writer took a cue from that conclusory language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and read the ADA so that he or she was able to quote and cite the spe­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0"/>
        </w:rPr>
        <w:t>cific provisions that mentioned "qualified individuals with a disability" as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opposed</w:t>
      </w:r>
      <w:r>
        <w:rPr>
          <w:color w:val="3A383A"/>
          <w:spacing w:val="5"/>
          <w:w w:val="115"/>
        </w:rPr>
        <w:t> </w:t>
      </w:r>
      <w:r>
        <w:rPr>
          <w:color w:val="3A383A"/>
          <w:w w:val="115"/>
        </w:rPr>
        <w:t>to</w:t>
      </w:r>
      <w:r>
        <w:rPr>
          <w:color w:val="3A383A"/>
          <w:spacing w:val="3"/>
          <w:w w:val="115"/>
        </w:rPr>
        <w:t> </w:t>
      </w:r>
      <w:r>
        <w:rPr>
          <w:color w:val="3A383A"/>
          <w:w w:val="115"/>
        </w:rPr>
        <w:t>"employees."</w:t>
      </w:r>
    </w:p>
    <w:p>
      <w:pPr>
        <w:pStyle w:val="BodyText"/>
        <w:spacing w:line="232" w:lineRule="auto" w:before="6"/>
        <w:ind w:left="137" w:right="125" w:firstLine="373"/>
        <w:jc w:val="both"/>
      </w:pPr>
      <w:r>
        <w:rPr>
          <w:color w:val="3A383A"/>
          <w:w w:val="110"/>
        </w:rPr>
        <w:t>Accordingly, one way to "harvest" an argument is to (1) unpack a rel­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evant legal conclusion from a nonmandatory source, (2) conduct  research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to</w:t>
      </w:r>
      <w:r>
        <w:rPr>
          <w:color w:val="3A383A"/>
          <w:spacing w:val="-5"/>
          <w:w w:val="115"/>
        </w:rPr>
        <w:t> </w:t>
      </w:r>
      <w:r>
        <w:rPr>
          <w:color w:val="3A383A"/>
          <w:w w:val="115"/>
        </w:rPr>
        <w:t>find</w:t>
      </w:r>
      <w:r>
        <w:rPr>
          <w:color w:val="3A383A"/>
          <w:spacing w:val="-13"/>
          <w:w w:val="115"/>
        </w:rPr>
        <w:t> </w:t>
      </w:r>
      <w:r>
        <w:rPr>
          <w:color w:val="3A383A"/>
          <w:w w:val="115"/>
        </w:rPr>
        <w:t>a</w:t>
      </w:r>
      <w:r>
        <w:rPr>
          <w:color w:val="3A383A"/>
          <w:spacing w:val="-4"/>
          <w:w w:val="115"/>
        </w:rPr>
        <w:t> </w:t>
      </w:r>
      <w:r>
        <w:rPr>
          <w:color w:val="3A383A"/>
          <w:w w:val="115"/>
        </w:rPr>
        <w:t>mandatory</w:t>
      </w:r>
      <w:r>
        <w:rPr>
          <w:color w:val="3A383A"/>
          <w:spacing w:val="2"/>
          <w:w w:val="115"/>
        </w:rPr>
        <w:t> </w:t>
      </w:r>
      <w:r>
        <w:rPr>
          <w:color w:val="3A383A"/>
          <w:w w:val="115"/>
        </w:rPr>
        <w:t>rule</w:t>
      </w:r>
      <w:r>
        <w:rPr>
          <w:color w:val="3A383A"/>
          <w:spacing w:val="-12"/>
          <w:w w:val="115"/>
        </w:rPr>
        <w:t> </w:t>
      </w:r>
      <w:r>
        <w:rPr>
          <w:color w:val="3A383A"/>
          <w:w w:val="115"/>
        </w:rPr>
        <w:t>that</w:t>
      </w:r>
      <w:r>
        <w:rPr>
          <w:color w:val="3A383A"/>
          <w:spacing w:val="-5"/>
          <w:w w:val="115"/>
        </w:rPr>
        <w:t> </w:t>
      </w:r>
      <w:r>
        <w:rPr>
          <w:color w:val="3A383A"/>
          <w:w w:val="115"/>
        </w:rPr>
        <w:t>would</w:t>
      </w:r>
      <w:r>
        <w:rPr>
          <w:color w:val="3A383A"/>
          <w:spacing w:val="-8"/>
          <w:w w:val="115"/>
        </w:rPr>
        <w:t> </w:t>
      </w:r>
      <w:r>
        <w:rPr>
          <w:color w:val="3A383A"/>
          <w:w w:val="115"/>
        </w:rPr>
        <w:t>lead</w:t>
      </w:r>
      <w:r>
        <w:rPr>
          <w:color w:val="3A383A"/>
          <w:spacing w:val="5"/>
          <w:w w:val="115"/>
        </w:rPr>
        <w:t> </w:t>
      </w:r>
      <w:r>
        <w:rPr>
          <w:color w:val="3A383A"/>
          <w:w w:val="115"/>
        </w:rPr>
        <w:t>to</w:t>
      </w:r>
      <w:r>
        <w:rPr>
          <w:color w:val="3A383A"/>
          <w:spacing w:val="13"/>
          <w:w w:val="115"/>
        </w:rPr>
        <w:t> </w:t>
      </w:r>
      <w:r>
        <w:rPr>
          <w:color w:val="3A383A"/>
          <w:w w:val="115"/>
        </w:rPr>
        <w:t>that</w:t>
      </w:r>
      <w:r>
        <w:rPr>
          <w:color w:val="3A383A"/>
          <w:spacing w:val="-11"/>
          <w:w w:val="115"/>
        </w:rPr>
        <w:t> </w:t>
      </w:r>
      <w:r>
        <w:rPr>
          <w:color w:val="3A383A"/>
          <w:w w:val="115"/>
        </w:rPr>
        <w:t>conclusion,</w:t>
      </w:r>
      <w:r>
        <w:rPr>
          <w:color w:val="3A383A"/>
          <w:spacing w:val="7"/>
          <w:w w:val="115"/>
        </w:rPr>
        <w:t> </w:t>
      </w:r>
      <w:r>
        <w:rPr>
          <w:color w:val="3A383A"/>
          <w:w w:val="115"/>
        </w:rPr>
        <w:t>(3)</w:t>
      </w:r>
      <w:r>
        <w:rPr>
          <w:color w:val="3A383A"/>
          <w:spacing w:val="-17"/>
          <w:w w:val="115"/>
        </w:rPr>
        <w:t> </w:t>
      </w:r>
      <w:r>
        <w:rPr>
          <w:color w:val="3A383A"/>
          <w:w w:val="115"/>
        </w:rPr>
        <w:t>articulate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180" w:lineRule="auto" w:before="229"/>
        <w:ind w:left="154" w:right="102" w:firstLine="365"/>
        <w:jc w:val="both"/>
        <w:rPr>
          <w:sz w:val="17"/>
        </w:rPr>
      </w:pPr>
      <w:r>
        <w:rPr>
          <w:rFonts w:ascii="Arial"/>
          <w:color w:val="3A383A"/>
          <w:w w:val="110"/>
          <w:position w:val="7"/>
          <w:sz w:val="9"/>
        </w:rPr>
        <w:t>26</w:t>
      </w:r>
      <w:r>
        <w:rPr>
          <w:color w:val="3A383A"/>
          <w:w w:val="110"/>
          <w:sz w:val="17"/>
        </w:rPr>
        <w:t>The example mentions fictional case law that Is adapted from </w:t>
      </w:r>
      <w:r>
        <w:rPr>
          <w:rFonts w:ascii="Arial"/>
          <w:i/>
          <w:color w:val="3A383A"/>
          <w:w w:val="110"/>
          <w:sz w:val="16"/>
        </w:rPr>
        <w:t>S</w:t>
      </w:r>
      <w:r>
        <w:rPr>
          <w:rFonts w:ascii="Arial"/>
          <w:i/>
          <w:color w:val="59595B"/>
          <w:w w:val="110"/>
          <w:sz w:val="16"/>
        </w:rPr>
        <w:t>os</w:t>
      </w:r>
      <w:r>
        <w:rPr>
          <w:rFonts w:ascii="Arial"/>
          <w:i/>
          <w:color w:val="3A383A"/>
          <w:w w:val="110"/>
          <w:sz w:val="16"/>
        </w:rPr>
        <w:t>a </w:t>
      </w:r>
      <w:r>
        <w:rPr>
          <w:rFonts w:ascii="Arial"/>
          <w:i/>
          <w:color w:val="59595B"/>
          <w:w w:val="110"/>
          <w:sz w:val="16"/>
        </w:rPr>
        <w:t>v</w:t>
      </w:r>
      <w:r>
        <w:rPr>
          <w:rFonts w:ascii="Arial"/>
          <w:i/>
          <w:color w:val="3A383A"/>
          <w:w w:val="110"/>
          <w:sz w:val="16"/>
        </w:rPr>
        <w:t>. Alvm</w:t>
      </w:r>
      <w:r>
        <w:rPr>
          <w:rFonts w:ascii="Arial"/>
          <w:i/>
          <w:color w:val="59595B"/>
          <w:w w:val="110"/>
          <w:sz w:val="16"/>
        </w:rPr>
        <w:t>ez-</w:t>
      </w:r>
      <w:r>
        <w:rPr>
          <w:rFonts w:ascii="Arial"/>
          <w:i/>
          <w:color w:val="3A383A"/>
          <w:w w:val="110"/>
          <w:sz w:val="16"/>
        </w:rPr>
        <w:t>Mncl,afn</w:t>
      </w:r>
      <w:r>
        <w:rPr>
          <w:rFonts w:ascii="Arial"/>
          <w:i/>
          <w:color w:val="59595B"/>
          <w:w w:val="110"/>
          <w:sz w:val="16"/>
        </w:rPr>
        <w:t>,</w:t>
      </w:r>
      <w:r>
        <w:rPr>
          <w:color w:val="3A383A"/>
          <w:w w:val="110"/>
          <w:sz w:val="17"/>
        </w:rPr>
        <w:t>5</w:t>
      </w:r>
      <w:r>
        <w:rPr>
          <w:color w:val="3A383A"/>
          <w:w w:val="110"/>
          <w:position w:val="-5"/>
          <w:sz w:val="17"/>
        </w:rPr>
        <w:t>42</w:t>
      </w:r>
      <w:r>
        <w:rPr>
          <w:color w:val="3A383A"/>
          <w:spacing w:val="1"/>
          <w:w w:val="110"/>
          <w:position w:val="-5"/>
          <w:sz w:val="17"/>
        </w:rPr>
        <w:t> </w:t>
      </w:r>
      <w:r>
        <w:rPr>
          <w:color w:val="3A383A"/>
          <w:w w:val="110"/>
          <w:sz w:val="17"/>
        </w:rPr>
        <w:t>U</w:t>
      </w:r>
      <w:r>
        <w:rPr>
          <w:color w:val="59595B"/>
          <w:w w:val="110"/>
          <w:sz w:val="17"/>
        </w:rPr>
        <w:t>.</w:t>
      </w:r>
      <w:r>
        <w:rPr>
          <w:color w:val="3A383A"/>
          <w:w w:val="110"/>
          <w:sz w:val="17"/>
        </w:rPr>
        <w:t>S.</w:t>
      </w:r>
      <w:r>
        <w:rPr>
          <w:color w:val="3A383A"/>
          <w:spacing w:val="-8"/>
          <w:w w:val="110"/>
          <w:sz w:val="17"/>
        </w:rPr>
        <w:t> </w:t>
      </w:r>
      <w:r>
        <w:rPr>
          <w:color w:val="3A383A"/>
          <w:w w:val="110"/>
          <w:sz w:val="17"/>
        </w:rPr>
        <w:t>692,</w:t>
      </w:r>
      <w:r>
        <w:rPr>
          <w:color w:val="3A383A"/>
          <w:spacing w:val="-9"/>
          <w:w w:val="110"/>
          <w:sz w:val="17"/>
        </w:rPr>
        <w:t> </w:t>
      </w:r>
      <w:r>
        <w:rPr>
          <w:color w:val="3A383A"/>
          <w:w w:val="110"/>
          <w:sz w:val="17"/>
        </w:rPr>
        <w:t>712</w:t>
      </w:r>
      <w:r>
        <w:rPr>
          <w:color w:val="3A383A"/>
          <w:spacing w:val="-18"/>
          <w:w w:val="110"/>
          <w:sz w:val="17"/>
        </w:rPr>
        <w:t> </w:t>
      </w:r>
      <w:r>
        <w:rPr>
          <w:color w:val="3A383A"/>
          <w:w w:val="110"/>
          <w:sz w:val="17"/>
        </w:rPr>
        <w:t>(2004),</w:t>
      </w:r>
      <w:r>
        <w:rPr>
          <w:color w:val="3A383A"/>
          <w:spacing w:val="-4"/>
          <w:w w:val="110"/>
          <w:sz w:val="17"/>
        </w:rPr>
        <w:t> </w:t>
      </w:r>
      <w:r>
        <w:rPr>
          <w:color w:val="3A383A"/>
          <w:w w:val="110"/>
          <w:sz w:val="17"/>
        </w:rPr>
        <w:t>and</w:t>
      </w:r>
      <w:r>
        <w:rPr>
          <w:color w:val="3A383A"/>
          <w:spacing w:val="31"/>
          <w:w w:val="110"/>
          <w:sz w:val="17"/>
        </w:rPr>
        <w:t> </w:t>
      </w:r>
      <w:r>
        <w:rPr>
          <w:rFonts w:ascii="Arial"/>
          <w:i/>
          <w:color w:val="3A383A"/>
          <w:w w:val="110"/>
          <w:sz w:val="16"/>
        </w:rPr>
        <w:t>APL</w:t>
      </w:r>
      <w:r>
        <w:rPr>
          <w:rFonts w:ascii="Arial"/>
          <w:i/>
          <w:color w:val="3A383A"/>
          <w:spacing w:val="-15"/>
          <w:w w:val="110"/>
          <w:sz w:val="16"/>
        </w:rPr>
        <w:t> </w:t>
      </w:r>
      <w:r>
        <w:rPr>
          <w:rFonts w:ascii="Arial"/>
          <w:i/>
          <w:color w:val="3A383A"/>
          <w:w w:val="110"/>
          <w:sz w:val="16"/>
        </w:rPr>
        <w:t>Co. Pte</w:t>
      </w:r>
      <w:r>
        <w:rPr>
          <w:rFonts w:ascii="Arial"/>
          <w:i/>
          <w:color w:val="3A383A"/>
          <w:spacing w:val="-23"/>
          <w:w w:val="110"/>
          <w:sz w:val="16"/>
        </w:rPr>
        <w:t> </w:t>
      </w:r>
      <w:r>
        <w:rPr>
          <w:rFonts w:ascii="Arial"/>
          <w:i/>
          <w:color w:val="3A383A"/>
          <w:w w:val="110"/>
          <w:sz w:val="16"/>
        </w:rPr>
        <w:t>v.</w:t>
      </w:r>
      <w:r>
        <w:rPr>
          <w:rFonts w:ascii="Arial"/>
          <w:i/>
          <w:color w:val="3A383A"/>
          <w:spacing w:val="-11"/>
          <w:w w:val="110"/>
          <w:sz w:val="16"/>
        </w:rPr>
        <w:t> </w:t>
      </w:r>
      <w:r>
        <w:rPr>
          <w:rFonts w:ascii="Arial"/>
          <w:i/>
          <w:color w:val="3A383A"/>
          <w:w w:val="110"/>
          <w:sz w:val="16"/>
        </w:rPr>
        <w:t>UK</w:t>
      </w:r>
      <w:r>
        <w:rPr>
          <w:rFonts w:ascii="Arial"/>
          <w:i/>
          <w:color w:val="3A383A"/>
          <w:spacing w:val="1"/>
          <w:w w:val="110"/>
          <w:sz w:val="16"/>
        </w:rPr>
        <w:t> </w:t>
      </w:r>
      <w:r>
        <w:rPr>
          <w:rFonts w:ascii="Arial"/>
          <w:i/>
          <w:color w:val="3A383A"/>
          <w:w w:val="110"/>
          <w:sz w:val="16"/>
        </w:rPr>
        <w:t>Aerosols</w:t>
      </w:r>
      <w:r>
        <w:rPr>
          <w:rFonts w:ascii="Arial"/>
          <w:i/>
          <w:color w:val="3A383A"/>
          <w:spacing w:val="-3"/>
          <w:w w:val="110"/>
          <w:sz w:val="16"/>
        </w:rPr>
        <w:t> </w:t>
      </w:r>
      <w:r>
        <w:rPr>
          <w:rFonts w:ascii="Arial"/>
          <w:i/>
          <w:color w:val="3A383A"/>
          <w:w w:val="110"/>
          <w:sz w:val="16"/>
        </w:rPr>
        <w:t>Ltd</w:t>
      </w:r>
      <w:r>
        <w:rPr>
          <w:rFonts w:ascii="Arial"/>
          <w:i/>
          <w:color w:val="59595B"/>
          <w:w w:val="110"/>
          <w:sz w:val="16"/>
        </w:rPr>
        <w:t>.</w:t>
      </w:r>
      <w:r>
        <w:rPr>
          <w:rFonts w:ascii="Arial"/>
          <w:i/>
          <w:color w:val="3A383A"/>
          <w:w w:val="110"/>
          <w:sz w:val="16"/>
        </w:rPr>
        <w:t>,</w:t>
      </w:r>
      <w:r>
        <w:rPr>
          <w:rFonts w:ascii="Arial"/>
          <w:i/>
          <w:color w:val="3A383A"/>
          <w:spacing w:val="-3"/>
          <w:w w:val="110"/>
          <w:sz w:val="16"/>
        </w:rPr>
        <w:t> </w:t>
      </w:r>
      <w:r>
        <w:rPr>
          <w:color w:val="3A383A"/>
          <w:w w:val="110"/>
          <w:sz w:val="17"/>
        </w:rPr>
        <w:t>582</w:t>
      </w:r>
      <w:r>
        <w:rPr>
          <w:color w:val="3A383A"/>
          <w:spacing w:val="21"/>
          <w:w w:val="110"/>
          <w:sz w:val="17"/>
        </w:rPr>
        <w:t> </w:t>
      </w:r>
      <w:r>
        <w:rPr>
          <w:color w:val="3A383A"/>
          <w:w w:val="110"/>
          <w:sz w:val="17"/>
        </w:rPr>
        <w:t>l'.3d</w:t>
      </w:r>
      <w:r>
        <w:rPr>
          <w:color w:val="3A383A"/>
          <w:spacing w:val="-6"/>
          <w:w w:val="110"/>
          <w:sz w:val="17"/>
        </w:rPr>
        <w:t> </w:t>
      </w:r>
      <w:r>
        <w:rPr>
          <w:color w:val="3A383A"/>
          <w:w w:val="110"/>
          <w:sz w:val="17"/>
        </w:rPr>
        <w:t>947,</w:t>
      </w:r>
      <w:r>
        <w:rPr>
          <w:color w:val="3A383A"/>
          <w:spacing w:val="-9"/>
          <w:w w:val="110"/>
          <w:sz w:val="17"/>
        </w:rPr>
        <w:t> </w:t>
      </w:r>
      <w:r>
        <w:rPr>
          <w:color w:val="3A383A"/>
          <w:w w:val="110"/>
          <w:sz w:val="17"/>
        </w:rPr>
        <w:t>9S2</w:t>
      </w:r>
      <w:r>
        <w:rPr>
          <w:color w:val="3A383A"/>
          <w:spacing w:val="-8"/>
          <w:w w:val="110"/>
          <w:sz w:val="17"/>
        </w:rPr>
        <w:t> </w:t>
      </w:r>
      <w:r>
        <w:rPr>
          <w:color w:val="3A383A"/>
          <w:w w:val="110"/>
          <w:sz w:val="17"/>
        </w:rPr>
        <w:t>(9th Cl(. 2009)</w:t>
      </w:r>
      <w:r>
        <w:rPr>
          <w:color w:val="59595B"/>
          <w:w w:val="110"/>
          <w:sz w:val="17"/>
        </w:rPr>
        <w:t>.</w:t>
      </w:r>
    </w:p>
    <w:p>
      <w:pPr>
        <w:spacing w:after="0" w:line="180" w:lineRule="auto"/>
        <w:jc w:val="both"/>
        <w:rPr>
          <w:sz w:val="17"/>
        </w:rPr>
        <w:sectPr>
          <w:headerReference w:type="default" r:id="rId85"/>
          <w:headerReference w:type="even" r:id="rId86"/>
          <w:pgSz w:w="9440" w:h="13770"/>
          <w:pgMar w:header="511" w:footer="0" w:top="1100" w:bottom="280" w:left="500" w:right="980"/>
          <w:pgNumType w:start="61"/>
        </w:sect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235" w:lineRule="auto" w:before="96"/>
        <w:ind w:left="869" w:right="27" w:firstLine="15"/>
        <w:jc w:val="both"/>
        <w:rPr>
          <w:rFonts w:ascii="Arial"/>
        </w:rPr>
      </w:pPr>
      <w:r>
        <w:rPr>
          <w:color w:val="3B383A"/>
          <w:w w:val="110"/>
        </w:rPr>
        <w:t>that mandatory rule and explain it appropriately, and (4) apply that rule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completely</w:t>
      </w:r>
      <w:r>
        <w:rPr>
          <w:color w:val="3B383A"/>
          <w:spacing w:val="9"/>
          <w:w w:val="105"/>
        </w:rPr>
        <w:t> </w:t>
      </w:r>
      <w:r>
        <w:rPr>
          <w:color w:val="3B383A"/>
          <w:w w:val="105"/>
        </w:rPr>
        <w:t>and</w:t>
      </w:r>
      <w:r>
        <w:rPr>
          <w:color w:val="3B383A"/>
          <w:spacing w:val="37"/>
          <w:w w:val="105"/>
        </w:rPr>
        <w:t> </w:t>
      </w:r>
      <w:r>
        <w:rPr>
          <w:color w:val="3B383A"/>
          <w:w w:val="105"/>
        </w:rPr>
        <w:t>effectively</w:t>
      </w:r>
      <w:r>
        <w:rPr>
          <w:color w:val="3B383A"/>
          <w:spacing w:val="23"/>
          <w:w w:val="105"/>
        </w:rPr>
        <w:t> </w:t>
      </w:r>
      <w:r>
        <w:rPr>
          <w:color w:val="3B383A"/>
          <w:w w:val="105"/>
        </w:rPr>
        <w:t>to</w:t>
      </w:r>
      <w:r>
        <w:rPr>
          <w:color w:val="3B383A"/>
          <w:spacing w:val="24"/>
          <w:w w:val="105"/>
        </w:rPr>
        <w:t> </w:t>
      </w:r>
      <w:r>
        <w:rPr>
          <w:color w:val="3B383A"/>
          <w:w w:val="105"/>
        </w:rPr>
        <w:t>the</w:t>
      </w:r>
      <w:r>
        <w:rPr>
          <w:color w:val="3B383A"/>
          <w:spacing w:val="39"/>
          <w:w w:val="105"/>
        </w:rPr>
        <w:t> </w:t>
      </w:r>
      <w:r>
        <w:rPr>
          <w:color w:val="3B383A"/>
          <w:w w:val="105"/>
        </w:rPr>
        <w:t>appropriate</w:t>
      </w:r>
      <w:r>
        <w:rPr>
          <w:color w:val="3B383A"/>
          <w:spacing w:val="8"/>
          <w:w w:val="105"/>
        </w:rPr>
        <w:t> </w:t>
      </w:r>
      <w:r>
        <w:rPr>
          <w:color w:val="3B383A"/>
          <w:w w:val="105"/>
        </w:rPr>
        <w:t>facts</w:t>
      </w:r>
      <w:r>
        <w:rPr>
          <w:color w:val="3B383A"/>
          <w:spacing w:val="-5"/>
          <w:w w:val="105"/>
        </w:rPr>
        <w:t> </w:t>
      </w:r>
      <w:r>
        <w:rPr>
          <w:color w:val="3B383A"/>
          <w:w w:val="105"/>
        </w:rPr>
        <w:t>in</w:t>
      </w:r>
      <w:r>
        <w:rPr>
          <w:color w:val="3B383A"/>
          <w:spacing w:val="33"/>
          <w:w w:val="105"/>
        </w:rPr>
        <w:t> </w:t>
      </w:r>
      <w:r>
        <w:rPr>
          <w:color w:val="3B383A"/>
          <w:w w:val="105"/>
        </w:rPr>
        <w:t>your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client's</w:t>
      </w:r>
      <w:r>
        <w:rPr>
          <w:color w:val="3B383A"/>
          <w:spacing w:val="-9"/>
          <w:w w:val="105"/>
        </w:rPr>
        <w:t> </w:t>
      </w:r>
      <w:r>
        <w:rPr>
          <w:color w:val="3B383A"/>
          <w:w w:val="105"/>
        </w:rPr>
        <w:t>case.</w:t>
      </w:r>
      <w:r>
        <w:rPr>
          <w:rFonts w:ascii="Arial"/>
          <w:color w:val="3B383A"/>
          <w:w w:val="105"/>
          <w:vertAlign w:val="superscript"/>
        </w:rPr>
        <w:t>27</w:t>
      </w:r>
    </w:p>
    <w:p>
      <w:pPr>
        <w:pStyle w:val="BodyText"/>
        <w:spacing w:line="235" w:lineRule="auto"/>
        <w:ind w:left="792" w:right="22" w:firstLine="436"/>
        <w:jc w:val="both"/>
      </w:pPr>
      <w:r>
        <w:rPr>
          <w:color w:val="3B383A"/>
          <w:w w:val="115"/>
          <w:sz w:val="22"/>
        </w:rPr>
        <w:t>If </w:t>
      </w:r>
      <w:r>
        <w:rPr>
          <w:color w:val="3B383A"/>
          <w:w w:val="115"/>
        </w:rPr>
        <w:t>you believe that the court you are writing to would find the non­</w:t>
      </w:r>
      <w:r>
        <w:rPr>
          <w:color w:val="3B383A"/>
          <w:spacing w:val="-64"/>
          <w:w w:val="115"/>
        </w:rPr>
        <w:t> </w:t>
      </w:r>
      <w:r>
        <w:rPr>
          <w:color w:val="3B383A"/>
          <w:w w:val="110"/>
        </w:rPr>
        <w:t>mandatory source to be meaningful, you could include a "see also" cita­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tion to that authority, but </w:t>
      </w:r>
      <w:r>
        <w:rPr>
          <w:color w:val="4B4B4B"/>
          <w:w w:val="110"/>
        </w:rPr>
        <w:t>you </w:t>
      </w:r>
      <w:r>
        <w:rPr>
          <w:color w:val="3B383A"/>
          <w:w w:val="110"/>
        </w:rPr>
        <w:t>should not presume that one isappropriate.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In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the  alternative,  if </w:t>
      </w:r>
      <w:r>
        <w:rPr>
          <w:color w:val="2B282A"/>
          <w:w w:val="105"/>
        </w:rPr>
        <w:t>th</w:t>
      </w:r>
      <w:r>
        <w:rPr>
          <w:color w:val="4B4B4B"/>
          <w:w w:val="105"/>
        </w:rPr>
        <w:t>e </w:t>
      </w:r>
      <w:r>
        <w:rPr>
          <w:color w:val="3B383A"/>
          <w:w w:val="105"/>
        </w:rPr>
        <w:t>area of law were novel or  </w:t>
      </w:r>
      <w:r>
        <w:rPr>
          <w:color w:val="2B282A"/>
          <w:w w:val="105"/>
        </w:rPr>
        <w:t>the  </w:t>
      </w:r>
      <w:r>
        <w:rPr>
          <w:color w:val="3B383A"/>
          <w:w w:val="105"/>
        </w:rPr>
        <w:t>facts or legal issues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in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nonmandatory cases were particularly relevant, the writer might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follow the citations to the mandatory authorities with a discussion of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5"/>
        </w:rPr>
        <w:t>nonmandatory authority, perhaps beginning the </w:t>
      </w:r>
      <w:r>
        <w:rPr>
          <w:color w:val="2B282A"/>
          <w:w w:val="115"/>
        </w:rPr>
        <w:t>discussion </w:t>
      </w:r>
      <w:r>
        <w:rPr>
          <w:color w:val="3B383A"/>
          <w:w w:val="115"/>
        </w:rPr>
        <w:t>by noting,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0"/>
        </w:rPr>
        <w:t>"This is just </w:t>
      </w:r>
      <w:r>
        <w:rPr>
          <w:color w:val="2B282A"/>
          <w:w w:val="110"/>
        </w:rPr>
        <w:t>the </w:t>
      </w:r>
      <w:r>
        <w:rPr>
          <w:color w:val="3B383A"/>
          <w:w w:val="110"/>
        </w:rPr>
        <w:t>approach </w:t>
      </w:r>
      <w:r>
        <w:rPr>
          <w:color w:val="2B282A"/>
          <w:w w:val="110"/>
        </w:rPr>
        <w:t>taken </w:t>
      </w:r>
      <w:r>
        <w:rPr>
          <w:color w:val="3B383A"/>
          <w:w w:val="110"/>
        </w:rPr>
        <w:t>by the Fifteenth Circuit in a very similar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5"/>
        </w:rPr>
        <w:t>case</w:t>
      </w:r>
      <w:r>
        <w:rPr>
          <w:color w:val="3B383A"/>
          <w:spacing w:val="32"/>
          <w:w w:val="115"/>
        </w:rPr>
        <w:t> </w:t>
      </w:r>
      <w:r>
        <w:rPr>
          <w:color w:val="4B4B4B"/>
          <w:w w:val="165"/>
        </w:rPr>
        <w:t>"</w:t>
      </w:r>
    </w:p>
    <w:p>
      <w:pPr>
        <w:pStyle w:val="BodyText"/>
        <w:spacing w:line="236" w:lineRule="exact"/>
        <w:ind w:left="1160"/>
        <w:jc w:val="both"/>
      </w:pPr>
      <w:r>
        <w:rPr>
          <w:color w:val="3B383A"/>
          <w:w w:val="110"/>
        </w:rPr>
        <w:t>To</w:t>
      </w:r>
      <w:r>
        <w:rPr>
          <w:color w:val="3B383A"/>
          <w:spacing w:val="-12"/>
          <w:w w:val="110"/>
        </w:rPr>
        <w:t> </w:t>
      </w:r>
      <w:r>
        <w:rPr>
          <w:color w:val="3B383A"/>
          <w:w w:val="110"/>
        </w:rPr>
        <w:t>sum</w:t>
      </w:r>
      <w:r>
        <w:rPr>
          <w:color w:val="3B383A"/>
          <w:spacing w:val="50"/>
          <w:w w:val="110"/>
        </w:rPr>
        <w:t> </w:t>
      </w:r>
      <w:r>
        <w:rPr>
          <w:color w:val="3B383A"/>
          <w:w w:val="110"/>
        </w:rPr>
        <w:t>up,</w:t>
      </w:r>
      <w:r>
        <w:rPr>
          <w:color w:val="3B383A"/>
          <w:spacing w:val="24"/>
          <w:w w:val="110"/>
        </w:rPr>
        <w:t> </w:t>
      </w:r>
      <w:r>
        <w:rPr>
          <w:color w:val="3B383A"/>
          <w:w w:val="110"/>
        </w:rPr>
        <w:t>when</w:t>
      </w:r>
      <w:r>
        <w:rPr>
          <w:color w:val="3B383A"/>
          <w:spacing w:val="16"/>
          <w:w w:val="110"/>
        </w:rPr>
        <w:t> </w:t>
      </w:r>
      <w:r>
        <w:rPr>
          <w:color w:val="3B383A"/>
          <w:w w:val="110"/>
        </w:rPr>
        <w:t>designing</w:t>
      </w:r>
      <w:r>
        <w:rPr>
          <w:color w:val="3B383A"/>
          <w:spacing w:val="-2"/>
          <w:w w:val="110"/>
        </w:rPr>
        <w:t> </w:t>
      </w:r>
      <w:r>
        <w:rPr>
          <w:color w:val="3B383A"/>
          <w:w w:val="110"/>
        </w:rPr>
        <w:t>and</w:t>
      </w:r>
      <w:r>
        <w:rPr>
          <w:color w:val="3B383A"/>
          <w:spacing w:val="31"/>
          <w:w w:val="110"/>
        </w:rPr>
        <w:t> </w:t>
      </w:r>
      <w:r>
        <w:rPr>
          <w:color w:val="3B383A"/>
          <w:w w:val="110"/>
        </w:rPr>
        <w:t>executing</w:t>
      </w:r>
      <w:r>
        <w:rPr>
          <w:color w:val="3B383A"/>
          <w:spacing w:val="19"/>
          <w:w w:val="110"/>
        </w:rPr>
        <w:t> </w:t>
      </w:r>
      <w:r>
        <w:rPr>
          <w:color w:val="3B383A"/>
          <w:w w:val="110"/>
        </w:rPr>
        <w:t>your</w:t>
      </w:r>
      <w:r>
        <w:rPr>
          <w:color w:val="3B383A"/>
          <w:spacing w:val="24"/>
          <w:w w:val="110"/>
        </w:rPr>
        <w:t> </w:t>
      </w:r>
      <w:r>
        <w:rPr>
          <w:color w:val="3B383A"/>
          <w:w w:val="110"/>
        </w:rPr>
        <w:t>research</w:t>
      </w:r>
      <w:r>
        <w:rPr>
          <w:color w:val="3B383A"/>
          <w:spacing w:val="29"/>
          <w:w w:val="110"/>
        </w:rPr>
        <w:t> </w:t>
      </w:r>
      <w:r>
        <w:rPr>
          <w:color w:val="3B383A"/>
          <w:w w:val="110"/>
        </w:rPr>
        <w:t>plan,</w:t>
      </w:r>
      <w:r>
        <w:rPr>
          <w:color w:val="3B383A"/>
          <w:spacing w:val="16"/>
          <w:w w:val="110"/>
        </w:rPr>
        <w:t> </w:t>
      </w:r>
      <w:r>
        <w:rPr>
          <w:color w:val="3B383A"/>
          <w:w w:val="110"/>
        </w:rPr>
        <w:t>think</w:t>
      </w:r>
    </w:p>
    <w:p>
      <w:pPr>
        <w:pStyle w:val="BodyText"/>
        <w:spacing w:line="244" w:lineRule="auto"/>
        <w:ind w:left="763" w:right="48" w:firstLine="9"/>
        <w:jc w:val="both"/>
      </w:pPr>
      <w:r>
        <w:rPr>
          <w:color w:val="3B383A"/>
          <w:w w:val="110"/>
        </w:rPr>
        <w:t>ahead, but be ready to explore new </w:t>
      </w:r>
      <w:r>
        <w:rPr>
          <w:color w:val="2B282A"/>
          <w:w w:val="110"/>
        </w:rPr>
        <w:t>lead</w:t>
      </w:r>
      <w:r>
        <w:rPr>
          <w:color w:val="4B4B4B"/>
          <w:w w:val="110"/>
        </w:rPr>
        <w:t>s </w:t>
      </w:r>
      <w:r>
        <w:rPr>
          <w:color w:val="3B383A"/>
          <w:w w:val="110"/>
        </w:rPr>
        <w:t>as you learn more about your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case</w:t>
      </w:r>
      <w:r>
        <w:rPr>
          <w:color w:val="3B383A"/>
          <w:spacing w:val="-23"/>
          <w:w w:val="110"/>
        </w:rPr>
        <w:t> </w:t>
      </w:r>
      <w:r>
        <w:rPr>
          <w:color w:val="3B383A"/>
          <w:w w:val="110"/>
        </w:rPr>
        <w:t>and</w:t>
      </w:r>
      <w:r>
        <w:rPr>
          <w:color w:val="3B383A"/>
          <w:spacing w:val="21"/>
          <w:w w:val="110"/>
        </w:rPr>
        <w:t> </w:t>
      </w:r>
      <w:r>
        <w:rPr>
          <w:color w:val="3B383A"/>
          <w:w w:val="110"/>
        </w:rPr>
        <w:t>its</w:t>
      </w:r>
      <w:r>
        <w:rPr>
          <w:color w:val="3B383A"/>
          <w:spacing w:val="-7"/>
          <w:w w:val="110"/>
        </w:rPr>
        <w:t> </w:t>
      </w:r>
      <w:r>
        <w:rPr>
          <w:color w:val="3B383A"/>
          <w:w w:val="110"/>
        </w:rPr>
        <w:t>issues.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0"/>
        <w:ind w:left="1357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2B282A"/>
          <w:w w:val="105"/>
          <w:sz w:val="32"/>
        </w:rPr>
        <w:t>3</w:t>
      </w:r>
      <w:r>
        <w:rPr>
          <w:rFonts w:ascii="Arial"/>
          <w:b/>
          <w:color w:val="4B4B4B"/>
          <w:w w:val="105"/>
          <w:sz w:val="32"/>
        </w:rPr>
        <w:t>.4</w:t>
      </w:r>
    </w:p>
    <w:p>
      <w:pPr>
        <w:spacing w:before="74"/>
        <w:ind w:left="1335" w:right="0" w:firstLine="0"/>
        <w:jc w:val="left"/>
        <w:rPr>
          <w:rFonts w:ascii="Arial"/>
          <w:b/>
          <w:sz w:val="25"/>
        </w:rPr>
      </w:pPr>
      <w:r>
        <w:rPr>
          <w:rFonts w:ascii="Arial"/>
          <w:b/>
          <w:color w:val="3B383A"/>
          <w:w w:val="105"/>
          <w:sz w:val="26"/>
        </w:rPr>
        <w:t>THE</w:t>
      </w:r>
      <w:r>
        <w:rPr>
          <w:rFonts w:ascii="Arial"/>
          <w:b/>
          <w:color w:val="3B383A"/>
          <w:spacing w:val="-8"/>
          <w:w w:val="105"/>
          <w:sz w:val="26"/>
        </w:rPr>
        <w:t> </w:t>
      </w:r>
      <w:r>
        <w:rPr>
          <w:rFonts w:ascii="Arial"/>
          <w:b/>
          <w:color w:val="2B282A"/>
          <w:w w:val="105"/>
          <w:sz w:val="25"/>
        </w:rPr>
        <w:t>LEGAL</w:t>
      </w:r>
      <w:r>
        <w:rPr>
          <w:rFonts w:ascii="Arial"/>
          <w:b/>
          <w:color w:val="2B282A"/>
          <w:spacing w:val="-4"/>
          <w:w w:val="105"/>
          <w:sz w:val="25"/>
        </w:rPr>
        <w:t> </w:t>
      </w:r>
      <w:r>
        <w:rPr>
          <w:rFonts w:ascii="Arial"/>
          <w:b/>
          <w:color w:val="3B383A"/>
          <w:w w:val="105"/>
          <w:sz w:val="25"/>
        </w:rPr>
        <w:t>WRITER</w:t>
      </w:r>
      <w:r>
        <w:rPr>
          <w:rFonts w:ascii="Arial"/>
          <w:b/>
          <w:color w:val="3B383A"/>
          <w:spacing w:val="9"/>
          <w:w w:val="105"/>
          <w:sz w:val="25"/>
        </w:rPr>
        <w:t> </w:t>
      </w:r>
      <w:r>
        <w:rPr>
          <w:rFonts w:ascii="Arial"/>
          <w:b/>
          <w:color w:val="3B383A"/>
          <w:w w:val="105"/>
          <w:sz w:val="25"/>
        </w:rPr>
        <w:t>AS</w:t>
      </w:r>
      <w:r>
        <w:rPr>
          <w:rFonts w:ascii="Arial"/>
          <w:b/>
          <w:color w:val="3B383A"/>
          <w:spacing w:val="-13"/>
          <w:w w:val="105"/>
          <w:sz w:val="25"/>
        </w:rPr>
        <w:t> </w:t>
      </w:r>
      <w:r>
        <w:rPr>
          <w:rFonts w:ascii="Arial"/>
          <w:b/>
          <w:color w:val="3B383A"/>
          <w:w w:val="105"/>
          <w:sz w:val="25"/>
        </w:rPr>
        <w:t>DIGITAL</w:t>
      </w:r>
      <w:r>
        <w:rPr>
          <w:rFonts w:ascii="Arial"/>
          <w:b/>
          <w:color w:val="3B383A"/>
          <w:spacing w:val="-6"/>
          <w:w w:val="105"/>
          <w:sz w:val="25"/>
        </w:rPr>
        <w:t> </w:t>
      </w:r>
      <w:r>
        <w:rPr>
          <w:rFonts w:ascii="Arial"/>
          <w:b/>
          <w:color w:val="3B383A"/>
          <w:w w:val="105"/>
          <w:sz w:val="25"/>
        </w:rPr>
        <w:t>READER</w:t>
      </w:r>
    </w:p>
    <w:p>
      <w:pPr>
        <w:pStyle w:val="BodyText"/>
        <w:spacing w:line="232" w:lineRule="auto" w:before="237"/>
        <w:ind w:left="605" w:right="68" w:firstLine="729"/>
        <w:jc w:val="both"/>
      </w:pPr>
      <w:r>
        <w:rPr>
          <w:color w:val="3B383A"/>
          <w:w w:val="105"/>
        </w:rPr>
        <w:t>If you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are</w:t>
      </w:r>
      <w:r>
        <w:rPr>
          <w:color w:val="3B383A"/>
          <w:spacing w:val="1"/>
          <w:w w:val="105"/>
        </w:rPr>
        <w:t> </w:t>
      </w:r>
      <w:r>
        <w:rPr>
          <w:color w:val="2B282A"/>
          <w:w w:val="105"/>
        </w:rPr>
        <w:t>like </w:t>
      </w:r>
      <w:r>
        <w:rPr>
          <w:color w:val="3B383A"/>
          <w:w w:val="105"/>
        </w:rPr>
        <w:t>most twenty-first-century law students, you are accus­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tomed to conducting legal </w:t>
      </w:r>
      <w:r>
        <w:rPr>
          <w:color w:val="2B282A"/>
          <w:w w:val="110"/>
        </w:rPr>
        <w:t>resear</w:t>
      </w:r>
      <w:r>
        <w:rPr>
          <w:color w:val="4B4B4B"/>
          <w:w w:val="110"/>
        </w:rPr>
        <w:t>ch </w:t>
      </w:r>
      <w:r>
        <w:rPr>
          <w:color w:val="3B383A"/>
          <w:w w:val="110"/>
        </w:rPr>
        <w:t>on </w:t>
      </w:r>
      <w:r>
        <w:rPr>
          <w:color w:val="4B4B4B"/>
          <w:w w:val="110"/>
        </w:rPr>
        <w:t>a </w:t>
      </w:r>
      <w:r>
        <w:rPr>
          <w:color w:val="3B383A"/>
          <w:w w:val="110"/>
        </w:rPr>
        <w:t>tablet, laptop, or desktop com­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puter. Thus, it is likely that you first start to read most of your research</w:t>
      </w:r>
      <w:r>
        <w:rPr>
          <w:color w:val="3B383A"/>
          <w:spacing w:val="1"/>
          <w:w w:val="110"/>
        </w:rPr>
        <w:t> </w:t>
      </w:r>
      <w:r>
        <w:rPr>
          <w:color w:val="2B282A"/>
          <w:w w:val="110"/>
        </w:rPr>
        <w:t>resourc</w:t>
      </w:r>
      <w:r>
        <w:rPr>
          <w:color w:val="4B4B4B"/>
          <w:w w:val="110"/>
        </w:rPr>
        <w:t>es </w:t>
      </w:r>
      <w:r>
        <w:rPr>
          <w:color w:val="3B383A"/>
          <w:w w:val="110"/>
        </w:rPr>
        <w:t>in digital rather than hard-copy form. The </w:t>
      </w:r>
      <w:r>
        <w:rPr>
          <w:color w:val="4B4B4B"/>
          <w:w w:val="110"/>
        </w:rPr>
        <w:t>easy ava</w:t>
      </w:r>
      <w:r>
        <w:rPr>
          <w:color w:val="2B282A"/>
          <w:w w:val="110"/>
        </w:rPr>
        <w:t>ilability </w:t>
      </w:r>
      <w:r>
        <w:rPr>
          <w:color w:val="3B383A"/>
          <w:w w:val="110"/>
        </w:rPr>
        <w:t>of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digital documents has been a  boon to </w:t>
      </w:r>
      <w:r>
        <w:rPr>
          <w:color w:val="2B282A"/>
          <w:w w:val="110"/>
        </w:rPr>
        <w:t>legal  </w:t>
      </w:r>
      <w:r>
        <w:rPr>
          <w:color w:val="3B383A"/>
          <w:w w:val="110"/>
        </w:rPr>
        <w:t>researchers. When  I was </w:t>
      </w:r>
      <w:r>
        <w:rPr>
          <w:color w:val="2B282A"/>
          <w:w w:val="110"/>
        </w:rPr>
        <w:t>in</w:t>
      </w:r>
      <w:r>
        <w:rPr>
          <w:color w:val="2B282A"/>
          <w:spacing w:val="1"/>
          <w:w w:val="110"/>
        </w:rPr>
        <w:t> </w:t>
      </w:r>
      <w:r>
        <w:rPr>
          <w:color w:val="3B383A"/>
          <w:w w:val="110"/>
        </w:rPr>
        <w:t>law school, in  the  early 1980s, I could conduct legal research only in a</w:t>
      </w:r>
      <w:r>
        <w:rPr>
          <w:color w:val="3B383A"/>
          <w:spacing w:val="1"/>
          <w:w w:val="110"/>
        </w:rPr>
        <w:t> </w:t>
      </w:r>
      <w:r>
        <w:rPr>
          <w:color w:val="2B282A"/>
          <w:w w:val="110"/>
        </w:rPr>
        <w:t>law </w:t>
      </w:r>
      <w:r>
        <w:rPr>
          <w:color w:val="3B383A"/>
          <w:w w:val="110"/>
        </w:rPr>
        <w:t>library. Research databases were in their infancy, and one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research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computer served the entire student body (which was fine, since we hardly</w:t>
      </w:r>
      <w:r>
        <w:rPr>
          <w:color w:val="3B383A"/>
          <w:spacing w:val="1"/>
          <w:w w:val="110"/>
        </w:rPr>
        <w:t> </w:t>
      </w:r>
      <w:r>
        <w:rPr>
          <w:color w:val="2B282A"/>
          <w:w w:val="110"/>
        </w:rPr>
        <w:t>used</w:t>
      </w:r>
      <w:r>
        <w:rPr>
          <w:color w:val="2B282A"/>
          <w:spacing w:val="-15"/>
          <w:w w:val="110"/>
        </w:rPr>
        <w:t> </w:t>
      </w:r>
      <w:r>
        <w:rPr>
          <w:color w:val="3B383A"/>
          <w:w w:val="110"/>
        </w:rPr>
        <w:t>it).</w:t>
      </w:r>
      <w:r>
        <w:rPr>
          <w:color w:val="3B383A"/>
          <w:spacing w:val="-38"/>
          <w:w w:val="110"/>
        </w:rPr>
        <w:t> </w:t>
      </w:r>
      <w:r>
        <w:rPr>
          <w:color w:val="3B383A"/>
          <w:w w:val="110"/>
        </w:rPr>
        <w:t>Thus,</w:t>
      </w:r>
      <w:r>
        <w:rPr>
          <w:color w:val="3B383A"/>
          <w:spacing w:val="-7"/>
          <w:w w:val="110"/>
        </w:rPr>
        <w:t> </w:t>
      </w:r>
      <w:r>
        <w:rPr>
          <w:color w:val="2B282A"/>
          <w:w w:val="110"/>
        </w:rPr>
        <w:t>I</w:t>
      </w:r>
      <w:r>
        <w:rPr>
          <w:color w:val="2B282A"/>
          <w:spacing w:val="-36"/>
          <w:w w:val="110"/>
        </w:rPr>
        <w:t> </w:t>
      </w:r>
      <w:r>
        <w:rPr>
          <w:color w:val="3B383A"/>
          <w:w w:val="110"/>
        </w:rPr>
        <w:t>conducted virtually</w:t>
      </w:r>
      <w:r>
        <w:rPr>
          <w:color w:val="3B383A"/>
          <w:spacing w:val="-21"/>
          <w:w w:val="110"/>
        </w:rPr>
        <w:t> </w:t>
      </w:r>
      <w:r>
        <w:rPr>
          <w:color w:val="3B383A"/>
          <w:w w:val="110"/>
        </w:rPr>
        <w:t>all</w:t>
      </w:r>
      <w:r>
        <w:rPr>
          <w:color w:val="3B383A"/>
          <w:spacing w:val="-20"/>
          <w:w w:val="110"/>
        </w:rPr>
        <w:t> </w:t>
      </w:r>
      <w:r>
        <w:rPr>
          <w:color w:val="3B383A"/>
          <w:w w:val="110"/>
        </w:rPr>
        <w:t>of</w:t>
      </w:r>
      <w:r>
        <w:rPr>
          <w:color w:val="3B383A"/>
          <w:spacing w:val="-11"/>
          <w:w w:val="110"/>
        </w:rPr>
        <w:t> </w:t>
      </w:r>
      <w:r>
        <w:rPr>
          <w:rFonts w:ascii="Arial" w:hAnsi="Arial"/>
          <w:i/>
          <w:color w:val="3B383A"/>
          <w:w w:val="110"/>
          <w:sz w:val="20"/>
        </w:rPr>
        <w:t>my</w:t>
      </w:r>
      <w:r>
        <w:rPr>
          <w:rFonts w:ascii="Arial" w:hAnsi="Arial"/>
          <w:i/>
          <w:color w:val="3B383A"/>
          <w:spacing w:val="39"/>
          <w:w w:val="110"/>
          <w:sz w:val="20"/>
        </w:rPr>
        <w:t> </w:t>
      </w:r>
      <w:r>
        <w:rPr>
          <w:color w:val="3B383A"/>
          <w:w w:val="110"/>
        </w:rPr>
        <w:t>research</w:t>
      </w:r>
      <w:r>
        <w:rPr>
          <w:color w:val="3B383A"/>
          <w:spacing w:val="6"/>
          <w:w w:val="110"/>
        </w:rPr>
        <w:t> </w:t>
      </w:r>
      <w:r>
        <w:rPr>
          <w:color w:val="3B383A"/>
          <w:w w:val="110"/>
        </w:rPr>
        <w:t>by</w:t>
      </w:r>
      <w:r>
        <w:rPr>
          <w:color w:val="3B383A"/>
          <w:spacing w:val="-14"/>
          <w:w w:val="110"/>
        </w:rPr>
        <w:t> </w:t>
      </w:r>
      <w:r>
        <w:rPr>
          <w:color w:val="3B383A"/>
          <w:w w:val="110"/>
        </w:rPr>
        <w:t>using</w:t>
      </w:r>
      <w:r>
        <w:rPr>
          <w:color w:val="3B383A"/>
          <w:spacing w:val="-10"/>
          <w:w w:val="110"/>
        </w:rPr>
        <w:t> </w:t>
      </w:r>
      <w:r>
        <w:rPr>
          <w:color w:val="3B383A"/>
          <w:w w:val="110"/>
        </w:rPr>
        <w:t>book-based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finding tools, and then going to the appropriate shelf </w:t>
      </w:r>
      <w:r>
        <w:rPr>
          <w:color w:val="2B282A"/>
          <w:w w:val="110"/>
        </w:rPr>
        <w:t>in the </w:t>
      </w:r>
      <w:r>
        <w:rPr>
          <w:color w:val="3B383A"/>
          <w:w w:val="110"/>
        </w:rPr>
        <w:t>library to find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32"/>
          <w:w w:val="110"/>
        </w:rPr>
        <w:t> </w:t>
      </w:r>
      <w:r>
        <w:rPr>
          <w:color w:val="2B282A"/>
          <w:w w:val="110"/>
        </w:rPr>
        <w:t>Jaw</w:t>
      </w:r>
      <w:r>
        <w:rPr>
          <w:color w:val="2B282A"/>
          <w:spacing w:val="-10"/>
          <w:w w:val="110"/>
        </w:rPr>
        <w:t> </w:t>
      </w:r>
      <w:r>
        <w:rPr>
          <w:color w:val="2B282A"/>
          <w:w w:val="110"/>
        </w:rPr>
        <w:t>review</w:t>
      </w:r>
      <w:r>
        <w:rPr>
          <w:color w:val="4B4B4B"/>
          <w:w w:val="110"/>
        </w:rPr>
        <w:t>,</w:t>
      </w:r>
      <w:r>
        <w:rPr>
          <w:color w:val="4B4B4B"/>
          <w:spacing w:val="-10"/>
          <w:w w:val="110"/>
        </w:rPr>
        <w:t> </w:t>
      </w:r>
      <w:r>
        <w:rPr>
          <w:color w:val="3B383A"/>
          <w:w w:val="110"/>
        </w:rPr>
        <w:t>case</w:t>
      </w:r>
      <w:r>
        <w:rPr>
          <w:color w:val="3B383A"/>
          <w:spacing w:val="-15"/>
          <w:w w:val="110"/>
        </w:rPr>
        <w:t> </w:t>
      </w:r>
      <w:r>
        <w:rPr>
          <w:color w:val="3B383A"/>
          <w:w w:val="110"/>
        </w:rPr>
        <w:t>reporter,</w:t>
      </w:r>
      <w:r>
        <w:rPr>
          <w:color w:val="3B383A"/>
          <w:spacing w:val="-9"/>
          <w:w w:val="110"/>
        </w:rPr>
        <w:t> </w:t>
      </w:r>
      <w:r>
        <w:rPr>
          <w:color w:val="3B383A"/>
          <w:w w:val="110"/>
        </w:rPr>
        <w:t>or</w:t>
      </w:r>
      <w:r>
        <w:rPr>
          <w:color w:val="3B383A"/>
          <w:spacing w:val="-3"/>
          <w:w w:val="110"/>
        </w:rPr>
        <w:t> </w:t>
      </w:r>
      <w:r>
        <w:rPr>
          <w:color w:val="3B383A"/>
          <w:w w:val="110"/>
        </w:rPr>
        <w:t>other</w:t>
      </w:r>
      <w:r>
        <w:rPr>
          <w:color w:val="3B383A"/>
          <w:spacing w:val="-8"/>
          <w:w w:val="110"/>
        </w:rPr>
        <w:t> </w:t>
      </w:r>
      <w:r>
        <w:rPr>
          <w:color w:val="3B383A"/>
          <w:w w:val="110"/>
        </w:rPr>
        <w:t>text</w:t>
      </w:r>
      <w:r>
        <w:rPr>
          <w:color w:val="3B383A"/>
          <w:spacing w:val="-9"/>
          <w:w w:val="110"/>
        </w:rPr>
        <w:t> </w:t>
      </w:r>
      <w:r>
        <w:rPr>
          <w:color w:val="3B383A"/>
          <w:w w:val="110"/>
        </w:rPr>
        <w:t>that</w:t>
      </w:r>
      <w:r>
        <w:rPr>
          <w:color w:val="3B383A"/>
          <w:spacing w:val="-11"/>
          <w:w w:val="110"/>
        </w:rPr>
        <w:t> </w:t>
      </w:r>
      <w:r>
        <w:rPr>
          <w:color w:val="3B383A"/>
          <w:w w:val="110"/>
        </w:rPr>
        <w:t>I</w:t>
      </w:r>
      <w:r>
        <w:rPr>
          <w:color w:val="3B383A"/>
          <w:spacing w:val="-27"/>
          <w:w w:val="110"/>
        </w:rPr>
        <w:t> </w:t>
      </w:r>
      <w:r>
        <w:rPr>
          <w:color w:val="3B383A"/>
          <w:w w:val="110"/>
        </w:rPr>
        <w:t>wanted.</w:t>
      </w:r>
      <w:r>
        <w:rPr>
          <w:color w:val="3B383A"/>
          <w:spacing w:val="-4"/>
          <w:w w:val="110"/>
        </w:rPr>
        <w:t> </w:t>
      </w:r>
      <w:r>
        <w:rPr>
          <w:color w:val="3B383A"/>
          <w:w w:val="110"/>
        </w:rPr>
        <w:t>I</w:t>
      </w:r>
      <w:r>
        <w:rPr>
          <w:color w:val="3B383A"/>
          <w:spacing w:val="-9"/>
          <w:w w:val="110"/>
        </w:rPr>
        <w:t> </w:t>
      </w:r>
      <w:r>
        <w:rPr>
          <w:color w:val="3B383A"/>
          <w:w w:val="110"/>
        </w:rPr>
        <w:t>read</w:t>
      </w:r>
      <w:r>
        <w:rPr>
          <w:color w:val="3B383A"/>
          <w:spacing w:val="4"/>
          <w:w w:val="110"/>
        </w:rPr>
        <w:t> </w:t>
      </w:r>
      <w:r>
        <w:rPr>
          <w:color w:val="3B383A"/>
          <w:w w:val="110"/>
        </w:rPr>
        <w:t>many</w:t>
      </w:r>
      <w:r>
        <w:rPr>
          <w:color w:val="3B383A"/>
          <w:spacing w:val="-22"/>
          <w:w w:val="110"/>
        </w:rPr>
        <w:t> </w:t>
      </w:r>
      <w:r>
        <w:rPr>
          <w:color w:val="3B383A"/>
          <w:w w:val="110"/>
        </w:rPr>
        <w:t>cases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in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books; if I </w:t>
      </w:r>
      <w:r>
        <w:rPr>
          <w:color w:val="2B282A"/>
          <w:w w:val="105"/>
        </w:rPr>
        <w:t>decided </w:t>
      </w:r>
      <w:r>
        <w:rPr>
          <w:color w:val="3B383A"/>
          <w:w w:val="105"/>
        </w:rPr>
        <w:t>a case was significant to my research, I would </w:t>
      </w:r>
      <w:r>
        <w:rPr>
          <w:color w:val="2B282A"/>
          <w:w w:val="105"/>
        </w:rPr>
        <w:t>pay </w:t>
      </w:r>
      <w:r>
        <w:rPr>
          <w:color w:val="3B383A"/>
          <w:w w:val="105"/>
        </w:rPr>
        <w:t>to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make a copy of it so </w:t>
      </w:r>
      <w:r>
        <w:rPr>
          <w:color w:val="2B282A"/>
          <w:w w:val="110"/>
        </w:rPr>
        <w:t>I </w:t>
      </w:r>
      <w:r>
        <w:rPr>
          <w:color w:val="3B383A"/>
          <w:w w:val="110"/>
        </w:rPr>
        <w:t>would be able to mark up the text and take the copy</w:t>
      </w:r>
      <w:r>
        <w:rPr>
          <w:color w:val="3B383A"/>
          <w:spacing w:val="1"/>
          <w:w w:val="110"/>
        </w:rPr>
        <w:t> </w:t>
      </w:r>
      <w:r>
        <w:rPr>
          <w:color w:val="2B282A"/>
          <w:w w:val="110"/>
        </w:rPr>
        <w:t>home</w:t>
      </w:r>
      <w:r>
        <w:rPr>
          <w:color w:val="2B282A"/>
          <w:spacing w:val="-3"/>
          <w:w w:val="110"/>
        </w:rPr>
        <w:t> </w:t>
      </w:r>
      <w:r>
        <w:rPr>
          <w:color w:val="3B383A"/>
          <w:w w:val="110"/>
        </w:rPr>
        <w:t>with</w:t>
      </w:r>
      <w:r>
        <w:rPr>
          <w:color w:val="3B383A"/>
          <w:spacing w:val="-1"/>
          <w:w w:val="110"/>
        </w:rPr>
        <w:t> </w:t>
      </w:r>
      <w:r>
        <w:rPr>
          <w:color w:val="3B383A"/>
          <w:w w:val="110"/>
        </w:rPr>
        <w:t>me</w:t>
      </w:r>
      <w:r>
        <w:rPr>
          <w:color w:val="626264"/>
          <w:w w:val="110"/>
        </w:rPr>
        <w:t>.</w:t>
      </w:r>
    </w:p>
    <w:p>
      <w:pPr>
        <w:pStyle w:val="BodyText"/>
        <w:spacing w:line="228" w:lineRule="auto" w:before="14"/>
        <w:ind w:left="598" w:right="112" w:firstLine="380"/>
        <w:jc w:val="both"/>
      </w:pPr>
      <w:r>
        <w:rPr>
          <w:color w:val="3B383A"/>
          <w:w w:val="110"/>
        </w:rPr>
        <w:t>I tell you this story not just to evoke your pity (wait till I tell you about</w:t>
      </w:r>
      <w:r>
        <w:rPr>
          <w:color w:val="3B383A"/>
          <w:spacing w:val="-61"/>
          <w:w w:val="110"/>
        </w:rPr>
        <w:t> </w:t>
      </w:r>
      <w:r>
        <w:rPr>
          <w:color w:val="3B383A"/>
          <w:w w:val="110"/>
        </w:rPr>
        <w:t>using</w:t>
      </w:r>
      <w:r>
        <w:rPr>
          <w:color w:val="3B383A"/>
          <w:spacing w:val="-12"/>
          <w:w w:val="110"/>
        </w:rPr>
        <w:t> </w:t>
      </w:r>
      <w:r>
        <w:rPr>
          <w:color w:val="3B383A"/>
          <w:w w:val="110"/>
        </w:rPr>
        <w:t>a</w:t>
      </w:r>
      <w:r>
        <w:rPr>
          <w:color w:val="3B383A"/>
          <w:spacing w:val="19"/>
          <w:w w:val="110"/>
        </w:rPr>
        <w:t> </w:t>
      </w:r>
      <w:r>
        <w:rPr>
          <w:color w:val="3B383A"/>
          <w:w w:val="110"/>
        </w:rPr>
        <w:t>typewriter</w:t>
      </w:r>
      <w:r>
        <w:rPr>
          <w:color w:val="3B383A"/>
          <w:spacing w:val="22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17"/>
          <w:w w:val="110"/>
        </w:rPr>
        <w:t> </w:t>
      </w:r>
      <w:r>
        <w:rPr>
          <w:color w:val="3B383A"/>
          <w:w w:val="110"/>
        </w:rPr>
        <w:t>write!)</w:t>
      </w:r>
      <w:r>
        <w:rPr>
          <w:color w:val="3B383A"/>
          <w:spacing w:val="15"/>
          <w:w w:val="110"/>
        </w:rPr>
        <w:t> </w:t>
      </w:r>
      <w:r>
        <w:rPr>
          <w:color w:val="3B383A"/>
          <w:w w:val="110"/>
        </w:rPr>
        <w:t>but</w:t>
      </w:r>
      <w:r>
        <w:rPr>
          <w:color w:val="3B383A"/>
          <w:spacing w:val="44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30"/>
          <w:w w:val="110"/>
        </w:rPr>
        <w:t> </w:t>
      </w:r>
      <w:r>
        <w:rPr>
          <w:color w:val="3B383A"/>
          <w:w w:val="110"/>
        </w:rPr>
        <w:t>illustrate</w:t>
      </w:r>
      <w:r>
        <w:rPr>
          <w:color w:val="3B383A"/>
          <w:spacing w:val="12"/>
          <w:w w:val="110"/>
        </w:rPr>
        <w:t> </w:t>
      </w:r>
      <w:r>
        <w:rPr>
          <w:color w:val="3B383A"/>
          <w:w w:val="110"/>
        </w:rPr>
        <w:t>what</w:t>
      </w:r>
      <w:r>
        <w:rPr>
          <w:color w:val="3B383A"/>
          <w:spacing w:val="6"/>
          <w:w w:val="110"/>
        </w:rPr>
        <w:t> </w:t>
      </w:r>
      <w:r>
        <w:rPr>
          <w:color w:val="3B383A"/>
          <w:w w:val="110"/>
        </w:rPr>
        <w:t>a</w:t>
      </w:r>
      <w:r>
        <w:rPr>
          <w:color w:val="3B383A"/>
          <w:spacing w:val="9"/>
          <w:w w:val="110"/>
        </w:rPr>
        <w:t> </w:t>
      </w:r>
      <w:r>
        <w:rPr>
          <w:color w:val="3B383A"/>
          <w:w w:val="110"/>
        </w:rPr>
        <w:t>physical</w:t>
      </w:r>
      <w:r>
        <w:rPr>
          <w:color w:val="3B383A"/>
          <w:spacing w:val="6"/>
          <w:w w:val="110"/>
        </w:rPr>
        <w:t> </w:t>
      </w:r>
      <w:r>
        <w:rPr>
          <w:color w:val="3B383A"/>
          <w:w w:val="110"/>
        </w:rPr>
        <w:t>act</w:t>
      </w:r>
      <w:r>
        <w:rPr>
          <w:color w:val="3B383A"/>
          <w:spacing w:val="32"/>
          <w:w w:val="110"/>
        </w:rPr>
        <w:t> </w:t>
      </w:r>
      <w:r>
        <w:rPr>
          <w:color w:val="3B383A"/>
          <w:w w:val="110"/>
        </w:rPr>
        <w:t>research</w:t>
      </w:r>
    </w:p>
    <w:p>
      <w:pPr>
        <w:pStyle w:val="BodyText"/>
        <w:spacing w:line="230" w:lineRule="auto" w:before="6"/>
        <w:ind w:left="562" w:right="95" w:firstLine="26"/>
        <w:jc w:val="both"/>
      </w:pPr>
      <w:r>
        <w:rPr>
          <w:color w:val="3B383A"/>
          <w:w w:val="115"/>
        </w:rPr>
        <w:t>used to be. Researchers had to use their whole bodies. They used their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0"/>
        </w:rPr>
        <w:t>hands and arms to pull booksoff shelves, and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they had to walk around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5"/>
        </w:rPr>
        <w:t>library</w:t>
      </w:r>
      <w:r>
        <w:rPr>
          <w:color w:val="3B383A"/>
          <w:spacing w:val="-1"/>
          <w:w w:val="115"/>
        </w:rPr>
        <w:t> </w:t>
      </w:r>
      <w:r>
        <w:rPr>
          <w:color w:val="3B383A"/>
          <w:w w:val="115"/>
        </w:rPr>
        <w:t>to</w:t>
      </w:r>
      <w:r>
        <w:rPr>
          <w:color w:val="3B383A"/>
          <w:spacing w:val="3"/>
          <w:w w:val="115"/>
        </w:rPr>
        <w:t> </w:t>
      </w:r>
      <w:r>
        <w:rPr>
          <w:color w:val="3B383A"/>
          <w:w w:val="115"/>
        </w:rPr>
        <w:t>find</w:t>
      </w:r>
      <w:r>
        <w:rPr>
          <w:color w:val="3B383A"/>
          <w:spacing w:val="3"/>
          <w:w w:val="115"/>
        </w:rPr>
        <w:t> </w:t>
      </w:r>
      <w:r>
        <w:rPr>
          <w:color w:val="3B383A"/>
          <w:w w:val="115"/>
        </w:rPr>
        <w:t>the</w:t>
      </w:r>
      <w:r>
        <w:rPr>
          <w:color w:val="3B383A"/>
          <w:spacing w:val="8"/>
          <w:w w:val="115"/>
        </w:rPr>
        <w:t> </w:t>
      </w:r>
      <w:r>
        <w:rPr>
          <w:color w:val="3B383A"/>
          <w:w w:val="115"/>
        </w:rPr>
        <w:t>books</w:t>
      </w:r>
      <w:r>
        <w:rPr>
          <w:color w:val="3B383A"/>
          <w:spacing w:val="-4"/>
          <w:w w:val="115"/>
        </w:rPr>
        <w:t> </w:t>
      </w:r>
      <w:r>
        <w:rPr>
          <w:color w:val="3B383A"/>
          <w:w w:val="115"/>
        </w:rPr>
        <w:t>that</w:t>
      </w:r>
      <w:r>
        <w:rPr>
          <w:color w:val="3B383A"/>
          <w:spacing w:val="4"/>
          <w:w w:val="115"/>
        </w:rPr>
        <w:t> </w:t>
      </w:r>
      <w:r>
        <w:rPr>
          <w:color w:val="3B383A"/>
          <w:w w:val="115"/>
        </w:rPr>
        <w:t>they</w:t>
      </w:r>
      <w:r>
        <w:rPr>
          <w:color w:val="3B383A"/>
          <w:spacing w:val="-7"/>
          <w:w w:val="115"/>
        </w:rPr>
        <w:t> </w:t>
      </w:r>
      <w:r>
        <w:rPr>
          <w:color w:val="3B383A"/>
          <w:w w:val="115"/>
        </w:rPr>
        <w:t>needed.</w:t>
      </w:r>
      <w:r>
        <w:rPr>
          <w:color w:val="3B383A"/>
          <w:spacing w:val="-9"/>
          <w:w w:val="115"/>
        </w:rPr>
        <w:t> </w:t>
      </w:r>
      <w:r>
        <w:rPr>
          <w:color w:val="3B383A"/>
          <w:w w:val="115"/>
        </w:rPr>
        <w:t>These</w:t>
      </w:r>
      <w:r>
        <w:rPr>
          <w:color w:val="3B383A"/>
          <w:spacing w:val="-5"/>
          <w:w w:val="115"/>
        </w:rPr>
        <w:t> </w:t>
      </w:r>
      <w:r>
        <w:rPr>
          <w:color w:val="3B383A"/>
          <w:w w:val="115"/>
        </w:rPr>
        <w:t>activities</w:t>
      </w:r>
      <w:r>
        <w:rPr>
          <w:color w:val="3B383A"/>
          <w:spacing w:val="-9"/>
          <w:w w:val="115"/>
        </w:rPr>
        <w:t> </w:t>
      </w:r>
      <w:r>
        <w:rPr>
          <w:color w:val="3B383A"/>
          <w:w w:val="115"/>
        </w:rPr>
        <w:t>certainly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had</w:t>
      </w:r>
    </w:p>
    <w:p>
      <w:pPr>
        <w:pStyle w:val="BodyText"/>
        <w:spacing w:before="7"/>
        <w:rPr>
          <w:sz w:val="30"/>
        </w:rPr>
      </w:pPr>
    </w:p>
    <w:p>
      <w:pPr>
        <w:spacing w:line="230" w:lineRule="auto" w:before="0"/>
        <w:ind w:left="476" w:right="119" w:firstLine="443"/>
        <w:jc w:val="both"/>
        <w:rPr>
          <w:sz w:val="18"/>
        </w:rPr>
      </w:pPr>
      <w:r>
        <w:rPr>
          <w:i/>
          <w:color w:val="3B383A"/>
          <w:w w:val="105"/>
          <w:position w:val="6"/>
          <w:sz w:val="11"/>
        </w:rPr>
        <w:t>11 </w:t>
      </w:r>
      <w:r>
        <w:rPr>
          <w:color w:val="3B383A"/>
          <w:w w:val="105"/>
          <w:sz w:val="18"/>
        </w:rPr>
        <w:t>Of course, It Is vitally important to note that plagiarism</w:t>
      </w:r>
      <w:r>
        <w:rPr>
          <w:color w:val="3B383A"/>
          <w:spacing w:val="1"/>
          <w:w w:val="105"/>
          <w:sz w:val="18"/>
        </w:rPr>
        <w:t> </w:t>
      </w:r>
      <w:r>
        <w:rPr>
          <w:color w:val="3B383A"/>
          <w:w w:val="105"/>
          <w:sz w:val="18"/>
        </w:rPr>
        <w:t>rules vary greatly In academic </w:t>
      </w:r>
      <w:r>
        <w:rPr>
          <w:color w:val="4B4B4B"/>
          <w:w w:val="105"/>
          <w:sz w:val="18"/>
        </w:rPr>
        <w:t>set•</w:t>
      </w:r>
      <w:r>
        <w:rPr>
          <w:color w:val="4B4B4B"/>
          <w:spacing w:val="1"/>
          <w:w w:val="105"/>
          <w:sz w:val="18"/>
        </w:rPr>
        <w:t> </w:t>
      </w:r>
      <w:r>
        <w:rPr>
          <w:b/>
          <w:color w:val="3B383A"/>
          <w:w w:val="105"/>
          <w:sz w:val="18"/>
        </w:rPr>
        <w:t>tings </w:t>
      </w:r>
      <w:r>
        <w:rPr>
          <w:color w:val="3B383A"/>
          <w:w w:val="105"/>
          <w:sz w:val="18"/>
        </w:rPr>
        <w:t>and  in litigation settings </w:t>
      </w:r>
      <w:r>
        <w:rPr>
          <w:color w:val="4B4B4B"/>
          <w:w w:val="105"/>
          <w:sz w:val="18"/>
        </w:rPr>
        <w:t>In </w:t>
      </w:r>
      <w:r>
        <w:rPr>
          <w:color w:val="3B383A"/>
          <w:w w:val="105"/>
          <w:sz w:val="18"/>
        </w:rPr>
        <w:t>practice</w:t>
      </w:r>
      <w:r>
        <w:rPr>
          <w:color w:val="626264"/>
          <w:w w:val="105"/>
          <w:sz w:val="18"/>
        </w:rPr>
        <w:t>. </w:t>
      </w:r>
      <w:r>
        <w:rPr>
          <w:color w:val="3B383A"/>
          <w:w w:val="105"/>
          <w:sz w:val="18"/>
        </w:rPr>
        <w:t>In an academic </w:t>
      </w:r>
      <w:r>
        <w:rPr>
          <w:color w:val="4B4B4B"/>
          <w:w w:val="105"/>
          <w:sz w:val="18"/>
        </w:rPr>
        <w:t>setting, </w:t>
      </w:r>
      <w:r>
        <w:rPr>
          <w:color w:val="3B383A"/>
          <w:w w:val="105"/>
          <w:sz w:val="18"/>
        </w:rPr>
        <w:t>If you  </w:t>
      </w:r>
      <w:r>
        <w:rPr>
          <w:color w:val="626264"/>
          <w:w w:val="105"/>
          <w:sz w:val="18"/>
        </w:rPr>
        <w:t>"</w:t>
      </w:r>
      <w:r>
        <w:rPr>
          <w:color w:val="3B383A"/>
          <w:w w:val="105"/>
          <w:sz w:val="18"/>
        </w:rPr>
        <w:t>harvest" an  argument</w:t>
      </w:r>
      <w:r>
        <w:rPr>
          <w:color w:val="3B383A"/>
          <w:spacing w:val="1"/>
          <w:w w:val="105"/>
          <w:sz w:val="18"/>
        </w:rPr>
        <w:t> </w:t>
      </w:r>
      <w:r>
        <w:rPr>
          <w:color w:val="3B383A"/>
          <w:w w:val="110"/>
          <w:sz w:val="18"/>
        </w:rPr>
        <w:t>from an </w:t>
      </w:r>
      <w:r>
        <w:rPr>
          <w:color w:val="2B282A"/>
          <w:w w:val="110"/>
          <w:sz w:val="18"/>
        </w:rPr>
        <w:t>authority</w:t>
      </w:r>
      <w:r>
        <w:rPr>
          <w:color w:val="4B4B4B"/>
          <w:w w:val="110"/>
          <w:sz w:val="18"/>
        </w:rPr>
        <w:t>, </w:t>
      </w:r>
      <w:r>
        <w:rPr>
          <w:color w:val="3B383A"/>
          <w:w w:val="110"/>
          <w:sz w:val="18"/>
        </w:rPr>
        <w:t>you should always note the source </w:t>
      </w:r>
      <w:r>
        <w:rPr>
          <w:color w:val="4B4B4B"/>
          <w:w w:val="110"/>
          <w:sz w:val="18"/>
        </w:rPr>
        <w:t>of </w:t>
      </w:r>
      <w:r>
        <w:rPr>
          <w:color w:val="3B383A"/>
          <w:w w:val="110"/>
          <w:sz w:val="18"/>
        </w:rPr>
        <w:t>the </w:t>
      </w:r>
      <w:r>
        <w:rPr>
          <w:color w:val="4B4B4B"/>
          <w:w w:val="110"/>
          <w:sz w:val="18"/>
        </w:rPr>
        <w:t>argument. </w:t>
      </w:r>
      <w:r>
        <w:rPr>
          <w:color w:val="3B383A"/>
          <w:w w:val="110"/>
          <w:sz w:val="18"/>
        </w:rPr>
        <w:t>When writing </w:t>
      </w:r>
      <w:r>
        <w:rPr>
          <w:color w:val="2B282A"/>
          <w:w w:val="110"/>
          <w:sz w:val="18"/>
        </w:rPr>
        <w:t>litig</w:t>
      </w:r>
      <w:r>
        <w:rPr>
          <w:color w:val="4B4B4B"/>
          <w:w w:val="110"/>
          <w:sz w:val="18"/>
        </w:rPr>
        <w:t>ation</w:t>
      </w:r>
      <w:r>
        <w:rPr>
          <w:color w:val="4B4B4B"/>
          <w:spacing w:val="1"/>
          <w:w w:val="110"/>
          <w:sz w:val="18"/>
        </w:rPr>
        <w:t> </w:t>
      </w:r>
      <w:r>
        <w:rPr>
          <w:color w:val="3B383A"/>
          <w:w w:val="110"/>
          <w:sz w:val="18"/>
        </w:rPr>
        <w:t>materials Jn an academic setting, the best </w:t>
      </w:r>
      <w:r>
        <w:rPr>
          <w:color w:val="4B4B4B"/>
          <w:w w:val="110"/>
          <w:sz w:val="18"/>
        </w:rPr>
        <w:t>cou</w:t>
      </w:r>
      <w:r>
        <w:rPr>
          <w:color w:val="2B282A"/>
          <w:w w:val="110"/>
          <w:sz w:val="18"/>
        </w:rPr>
        <w:t>rs</w:t>
      </w:r>
      <w:r>
        <w:rPr>
          <w:color w:val="4B4B4B"/>
          <w:w w:val="110"/>
          <w:sz w:val="18"/>
        </w:rPr>
        <w:t>e </w:t>
      </w:r>
      <w:r>
        <w:rPr>
          <w:color w:val="3B383A"/>
          <w:w w:val="110"/>
          <w:sz w:val="18"/>
        </w:rPr>
        <w:t>might be to drop a footnote and Indicate the</w:t>
      </w:r>
      <w:r>
        <w:rPr>
          <w:color w:val="3B383A"/>
          <w:spacing w:val="1"/>
          <w:w w:val="110"/>
          <w:sz w:val="18"/>
        </w:rPr>
        <w:t> </w:t>
      </w:r>
      <w:r>
        <w:rPr>
          <w:color w:val="3B383A"/>
          <w:w w:val="110"/>
          <w:sz w:val="18"/>
        </w:rPr>
        <w:t>nonmandatory source of the argument. Some </w:t>
      </w:r>
      <w:r>
        <w:rPr>
          <w:color w:val="4B4B4B"/>
          <w:w w:val="110"/>
          <w:sz w:val="18"/>
        </w:rPr>
        <w:t>teachers </w:t>
      </w:r>
      <w:r>
        <w:rPr>
          <w:color w:val="3B383A"/>
          <w:w w:val="110"/>
          <w:sz w:val="18"/>
        </w:rPr>
        <w:t>might </w:t>
      </w:r>
      <w:r>
        <w:rPr>
          <w:color w:val="4B4B4B"/>
          <w:w w:val="110"/>
          <w:sz w:val="18"/>
        </w:rPr>
        <w:t>give yo</w:t>
      </w:r>
      <w:r>
        <w:rPr>
          <w:color w:val="2B282A"/>
          <w:w w:val="110"/>
          <w:sz w:val="18"/>
        </w:rPr>
        <w:t>u </w:t>
      </w:r>
      <w:r>
        <w:rPr>
          <w:color w:val="3B383A"/>
          <w:w w:val="110"/>
          <w:sz w:val="18"/>
        </w:rPr>
        <w:t>permission to remove the</w:t>
      </w:r>
      <w:r>
        <w:rPr>
          <w:color w:val="3B383A"/>
          <w:spacing w:val="1"/>
          <w:w w:val="110"/>
          <w:sz w:val="18"/>
        </w:rPr>
        <w:t> </w:t>
      </w:r>
      <w:r>
        <w:rPr>
          <w:color w:val="3B383A"/>
          <w:w w:val="110"/>
          <w:sz w:val="18"/>
        </w:rPr>
        <w:t>cttatlon,</w:t>
      </w:r>
      <w:r>
        <w:rPr>
          <w:color w:val="3B383A"/>
          <w:spacing w:val="3"/>
          <w:w w:val="110"/>
          <w:sz w:val="18"/>
        </w:rPr>
        <w:t> </w:t>
      </w:r>
      <w:r>
        <w:rPr>
          <w:color w:val="3B383A"/>
          <w:w w:val="110"/>
          <w:sz w:val="18"/>
        </w:rPr>
        <w:t>but presume</w:t>
      </w:r>
      <w:r>
        <w:rPr>
          <w:color w:val="3B383A"/>
          <w:spacing w:val="-2"/>
          <w:w w:val="110"/>
          <w:sz w:val="18"/>
        </w:rPr>
        <w:t> </w:t>
      </w:r>
      <w:r>
        <w:rPr>
          <w:color w:val="3B383A"/>
          <w:w w:val="110"/>
          <w:sz w:val="18"/>
        </w:rPr>
        <w:t>that</w:t>
      </w:r>
      <w:r>
        <w:rPr>
          <w:color w:val="3B383A"/>
          <w:spacing w:val="8"/>
          <w:w w:val="110"/>
          <w:sz w:val="18"/>
        </w:rPr>
        <w:t> </w:t>
      </w:r>
      <w:r>
        <w:rPr>
          <w:color w:val="3B383A"/>
          <w:w w:val="110"/>
          <w:sz w:val="18"/>
        </w:rPr>
        <w:t>you</w:t>
      </w:r>
      <w:r>
        <w:rPr>
          <w:color w:val="3B383A"/>
          <w:spacing w:val="-2"/>
          <w:w w:val="110"/>
          <w:sz w:val="18"/>
        </w:rPr>
        <w:t> </w:t>
      </w:r>
      <w:r>
        <w:rPr>
          <w:color w:val="4B4B4B"/>
          <w:w w:val="110"/>
          <w:sz w:val="18"/>
        </w:rPr>
        <w:t>shou</w:t>
      </w:r>
      <w:r>
        <w:rPr>
          <w:color w:val="2B282A"/>
          <w:w w:val="110"/>
          <w:sz w:val="18"/>
        </w:rPr>
        <w:t>ld</w:t>
      </w:r>
      <w:r>
        <w:rPr>
          <w:color w:val="2B282A"/>
          <w:spacing w:val="27"/>
          <w:w w:val="110"/>
          <w:sz w:val="18"/>
        </w:rPr>
        <w:t> </w:t>
      </w:r>
      <w:r>
        <w:rPr>
          <w:color w:val="2B282A"/>
          <w:w w:val="110"/>
          <w:sz w:val="18"/>
        </w:rPr>
        <w:t>include</w:t>
      </w:r>
      <w:r>
        <w:rPr>
          <w:color w:val="2B282A"/>
          <w:spacing w:val="-7"/>
          <w:w w:val="110"/>
          <w:sz w:val="18"/>
        </w:rPr>
        <w:t> </w:t>
      </w:r>
      <w:r>
        <w:rPr>
          <w:color w:val="3B383A"/>
          <w:w w:val="110"/>
          <w:sz w:val="18"/>
        </w:rPr>
        <w:t>the</w:t>
      </w:r>
      <w:r>
        <w:rPr>
          <w:color w:val="3B383A"/>
          <w:spacing w:val="10"/>
          <w:w w:val="110"/>
          <w:sz w:val="18"/>
        </w:rPr>
        <w:t> </w:t>
      </w:r>
      <w:r>
        <w:rPr>
          <w:color w:val="3B383A"/>
          <w:w w:val="110"/>
          <w:sz w:val="18"/>
        </w:rPr>
        <w:t>citation</w:t>
      </w:r>
      <w:r>
        <w:rPr>
          <w:color w:val="3B383A"/>
          <w:spacing w:val="21"/>
          <w:w w:val="110"/>
          <w:sz w:val="18"/>
        </w:rPr>
        <w:t> </w:t>
      </w:r>
      <w:r>
        <w:rPr>
          <w:color w:val="3B383A"/>
          <w:w w:val="110"/>
          <w:sz w:val="18"/>
        </w:rPr>
        <w:t>unless</w:t>
      </w:r>
      <w:r>
        <w:rPr>
          <w:color w:val="3B383A"/>
          <w:spacing w:val="-10"/>
          <w:w w:val="110"/>
          <w:sz w:val="18"/>
        </w:rPr>
        <w:t> </w:t>
      </w:r>
      <w:r>
        <w:rPr>
          <w:color w:val="3B383A"/>
          <w:w w:val="110"/>
          <w:sz w:val="18"/>
        </w:rPr>
        <w:t>instructed</w:t>
      </w:r>
      <w:r>
        <w:rPr>
          <w:color w:val="3B383A"/>
          <w:spacing w:val="3"/>
          <w:w w:val="110"/>
          <w:sz w:val="18"/>
        </w:rPr>
        <w:t> </w:t>
      </w:r>
      <w:r>
        <w:rPr>
          <w:color w:val="4B4B4B"/>
          <w:w w:val="110"/>
          <w:sz w:val="18"/>
        </w:rPr>
        <w:t>othe</w:t>
      </w:r>
      <w:r>
        <w:rPr>
          <w:color w:val="2B282A"/>
          <w:w w:val="110"/>
          <w:sz w:val="18"/>
        </w:rPr>
        <w:t>rwi</w:t>
      </w:r>
      <w:r>
        <w:rPr>
          <w:color w:val="4B4B4B"/>
          <w:w w:val="110"/>
          <w:sz w:val="18"/>
        </w:rPr>
        <w:t>se.</w:t>
      </w:r>
    </w:p>
    <w:p>
      <w:pPr>
        <w:spacing w:after="0" w:line="230" w:lineRule="auto"/>
        <w:jc w:val="both"/>
        <w:rPr>
          <w:sz w:val="18"/>
        </w:rPr>
        <w:sectPr>
          <w:pgSz w:w="9630" w:h="13760"/>
          <w:pgMar w:header="428" w:footer="0" w:top="640" w:bottom="0" w:left="1340" w:right="0"/>
        </w:sectPr>
      </w:pPr>
    </w:p>
    <w:p>
      <w:pPr>
        <w:pStyle w:val="BodyText"/>
        <w:spacing w:line="235" w:lineRule="auto" w:before="85"/>
        <w:ind w:left="112" w:right="312" w:firstLine="4"/>
        <w:jc w:val="both"/>
        <w:rPr>
          <w:rFonts w:ascii="Arial" w:hAnsi="Arial"/>
        </w:rPr>
      </w:pPr>
      <w:r>
        <w:rPr>
          <w:color w:val="3B383B"/>
          <w:w w:val="110"/>
        </w:rPr>
        <w:t>time and place restrictions. But there were benefits, too. When we had to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go to one set of shelves to find cases in the F. Supp. reporters, and another</w:t>
      </w:r>
      <w:r>
        <w:rPr>
          <w:color w:val="3B383B"/>
          <w:spacing w:val="-61"/>
          <w:w w:val="110"/>
        </w:rPr>
        <w:t> </w:t>
      </w:r>
      <w:r>
        <w:rPr>
          <w:color w:val="3B383B"/>
          <w:spacing w:val="-1"/>
          <w:w w:val="110"/>
        </w:rPr>
        <w:t>set of shelves to find the cases </w:t>
      </w:r>
      <w:r>
        <w:rPr>
          <w:color w:val="3B383B"/>
          <w:w w:val="110"/>
        </w:rPr>
        <w:t>in the F.2d reporters, the constant reinforce­</w:t>
      </w:r>
      <w:r>
        <w:rPr>
          <w:color w:val="3B383B"/>
          <w:spacing w:val="-61"/>
          <w:w w:val="110"/>
        </w:rPr>
        <w:t> </w:t>
      </w:r>
      <w:r>
        <w:rPr>
          <w:color w:val="3B383B"/>
          <w:w w:val="115"/>
        </w:rPr>
        <w:t>ment taught </w:t>
      </w:r>
      <w:r>
        <w:rPr>
          <w:color w:val="3B383B"/>
          <w:w w:val="120"/>
        </w:rPr>
        <w:t>us-without </w:t>
      </w:r>
      <w:r>
        <w:rPr>
          <w:color w:val="3B383B"/>
          <w:w w:val="115"/>
        </w:rPr>
        <w:t>anyconscious effort on our </w:t>
      </w:r>
      <w:r>
        <w:rPr>
          <w:color w:val="3B383B"/>
          <w:w w:val="120"/>
        </w:rPr>
        <w:t>part-that </w:t>
      </w:r>
      <w:r>
        <w:rPr>
          <w:color w:val="3B383B"/>
          <w:w w:val="110"/>
        </w:rPr>
        <w:t>F. </w:t>
      </w:r>
      <w:r>
        <w:rPr>
          <w:color w:val="3B383B"/>
          <w:w w:val="115"/>
        </w:rPr>
        <w:t>Supp.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0"/>
        </w:rPr>
        <w:t>published only federal district court opinions and F.2d published only fed­</w:t>
      </w:r>
      <w:r>
        <w:rPr>
          <w:color w:val="3B383B"/>
          <w:spacing w:val="-61"/>
          <w:w w:val="110"/>
        </w:rPr>
        <w:t> </w:t>
      </w:r>
      <w:r>
        <w:rPr>
          <w:color w:val="3B383B"/>
          <w:w w:val="110"/>
        </w:rPr>
        <w:t>eral</w:t>
      </w:r>
      <w:r>
        <w:rPr>
          <w:color w:val="3B383B"/>
          <w:spacing w:val="-15"/>
          <w:w w:val="110"/>
        </w:rPr>
        <w:t> </w:t>
      </w:r>
      <w:r>
        <w:rPr>
          <w:color w:val="3B383B"/>
          <w:w w:val="110"/>
        </w:rPr>
        <w:t>circuit</w:t>
      </w:r>
      <w:r>
        <w:rPr>
          <w:color w:val="3B383B"/>
          <w:spacing w:val="-15"/>
          <w:w w:val="110"/>
        </w:rPr>
        <w:t> </w:t>
      </w:r>
      <w:r>
        <w:rPr>
          <w:color w:val="3B383B"/>
          <w:w w:val="110"/>
        </w:rPr>
        <w:t>cases.</w:t>
      </w:r>
      <w:r>
        <w:rPr>
          <w:color w:val="3B383B"/>
          <w:spacing w:val="-20"/>
          <w:w w:val="110"/>
        </w:rPr>
        <w:t> </w:t>
      </w:r>
      <w:r>
        <w:rPr>
          <w:color w:val="3B383B"/>
          <w:w w:val="110"/>
        </w:rPr>
        <w:t>When</w:t>
      </w:r>
      <w:r>
        <w:rPr>
          <w:color w:val="3B383B"/>
          <w:spacing w:val="2"/>
          <w:w w:val="110"/>
        </w:rPr>
        <w:t> </w:t>
      </w:r>
      <w:r>
        <w:rPr>
          <w:color w:val="3B383B"/>
          <w:w w:val="110"/>
        </w:rPr>
        <w:t>we</w:t>
      </w:r>
      <w:r>
        <w:rPr>
          <w:color w:val="3B383B"/>
          <w:spacing w:val="-6"/>
          <w:w w:val="110"/>
        </w:rPr>
        <w:t> </w:t>
      </w:r>
      <w:r>
        <w:rPr>
          <w:color w:val="3B383B"/>
          <w:w w:val="110"/>
        </w:rPr>
        <w:t>had</w:t>
      </w:r>
      <w:r>
        <w:rPr>
          <w:color w:val="3B383B"/>
          <w:spacing w:val="-4"/>
          <w:w w:val="110"/>
        </w:rPr>
        <w:t> </w:t>
      </w:r>
      <w:r>
        <w:rPr>
          <w:color w:val="3B383B"/>
          <w:w w:val="110"/>
        </w:rPr>
        <w:t>to</w:t>
      </w:r>
      <w:r>
        <w:rPr>
          <w:color w:val="3B383B"/>
          <w:spacing w:val="4"/>
          <w:w w:val="110"/>
        </w:rPr>
        <w:t> </w:t>
      </w:r>
      <w:r>
        <w:rPr>
          <w:color w:val="3B383B"/>
          <w:w w:val="110"/>
        </w:rPr>
        <w:t>flip</w:t>
      </w:r>
      <w:r>
        <w:rPr>
          <w:color w:val="3B383B"/>
          <w:spacing w:val="-15"/>
          <w:w w:val="110"/>
        </w:rPr>
        <w:t> </w:t>
      </w:r>
      <w:r>
        <w:rPr>
          <w:color w:val="3B383B"/>
          <w:w w:val="110"/>
        </w:rPr>
        <w:t>through</w:t>
      </w:r>
      <w:r>
        <w:rPr>
          <w:color w:val="3B383B"/>
          <w:spacing w:val="2"/>
          <w:w w:val="110"/>
        </w:rPr>
        <w:t> </w:t>
      </w:r>
      <w:r>
        <w:rPr>
          <w:color w:val="3B383B"/>
          <w:w w:val="110"/>
        </w:rPr>
        <w:t>the</w:t>
      </w:r>
      <w:r>
        <w:rPr>
          <w:color w:val="3B383B"/>
          <w:spacing w:val="3"/>
          <w:w w:val="110"/>
        </w:rPr>
        <w:t> </w:t>
      </w:r>
      <w:r>
        <w:rPr>
          <w:color w:val="3B383B"/>
          <w:w w:val="110"/>
        </w:rPr>
        <w:t>pages</w:t>
      </w:r>
      <w:r>
        <w:rPr>
          <w:color w:val="3B383B"/>
          <w:spacing w:val="-19"/>
          <w:w w:val="110"/>
        </w:rPr>
        <w:t> </w:t>
      </w:r>
      <w:r>
        <w:rPr>
          <w:color w:val="3B383B"/>
          <w:w w:val="110"/>
        </w:rPr>
        <w:t>of</w:t>
      </w:r>
      <w:r>
        <w:rPr>
          <w:color w:val="3B383B"/>
          <w:spacing w:val="3"/>
          <w:w w:val="110"/>
        </w:rPr>
        <w:t> </w:t>
      </w:r>
      <w:r>
        <w:rPr>
          <w:color w:val="3B383B"/>
          <w:w w:val="110"/>
        </w:rPr>
        <w:t>a case</w:t>
      </w:r>
      <w:r>
        <w:rPr>
          <w:color w:val="3B383B"/>
          <w:spacing w:val="-10"/>
          <w:w w:val="110"/>
        </w:rPr>
        <w:t> </w:t>
      </w:r>
      <w:r>
        <w:rPr>
          <w:color w:val="3B383B"/>
          <w:w w:val="110"/>
        </w:rPr>
        <w:t>to</w:t>
      </w:r>
      <w:r>
        <w:rPr>
          <w:color w:val="3B383B"/>
          <w:spacing w:val="21"/>
          <w:w w:val="110"/>
        </w:rPr>
        <w:t> </w:t>
      </w:r>
      <w:r>
        <w:rPr>
          <w:color w:val="3B383B"/>
          <w:w w:val="110"/>
        </w:rPr>
        <w:t>find</w:t>
      </w:r>
      <w:r>
        <w:rPr>
          <w:color w:val="3B383B"/>
          <w:spacing w:val="-13"/>
          <w:w w:val="110"/>
        </w:rPr>
        <w:t> </w:t>
      </w:r>
      <w:r>
        <w:rPr>
          <w:color w:val="3B383B"/>
          <w:w w:val="110"/>
        </w:rPr>
        <w:t>a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5"/>
        </w:rPr>
        <w:t>pinpoint cite, we could easily </w:t>
      </w:r>
      <w:r>
        <w:rPr>
          <w:color w:val="3B383B"/>
          <w:w w:val="120"/>
        </w:rPr>
        <w:t>notice-due </w:t>
      </w:r>
      <w:r>
        <w:rPr>
          <w:color w:val="3B383B"/>
          <w:w w:val="115"/>
        </w:rPr>
        <w:t>to the reader-friendly printing</w:t>
      </w:r>
      <w:r>
        <w:rPr>
          <w:color w:val="3B383B"/>
          <w:spacing w:val="-64"/>
          <w:w w:val="115"/>
        </w:rPr>
        <w:t> </w:t>
      </w:r>
      <w:r>
        <w:rPr>
          <w:color w:val="3B383B"/>
          <w:w w:val="115"/>
        </w:rPr>
        <w:t>techniques-when we passed from the majority opinion to a concurrence</w:t>
      </w:r>
      <w:r>
        <w:rPr>
          <w:color w:val="3B383B"/>
          <w:spacing w:val="-64"/>
          <w:w w:val="115"/>
        </w:rPr>
        <w:t> </w:t>
      </w:r>
      <w:r>
        <w:rPr>
          <w:color w:val="3B383B"/>
          <w:w w:val="115"/>
        </w:rPr>
        <w:t>or</w:t>
      </w:r>
      <w:r>
        <w:rPr>
          <w:color w:val="3B383B"/>
          <w:spacing w:val="-15"/>
          <w:w w:val="115"/>
        </w:rPr>
        <w:t> </w:t>
      </w:r>
      <w:r>
        <w:rPr>
          <w:color w:val="3B383B"/>
          <w:w w:val="115"/>
        </w:rPr>
        <w:t>a</w:t>
      </w:r>
      <w:r>
        <w:rPr>
          <w:color w:val="3B383B"/>
          <w:spacing w:val="-18"/>
          <w:w w:val="115"/>
        </w:rPr>
        <w:t> </w:t>
      </w:r>
      <w:r>
        <w:rPr>
          <w:color w:val="3B383B"/>
          <w:w w:val="115"/>
        </w:rPr>
        <w:t>dissent.</w:t>
      </w:r>
      <w:r>
        <w:rPr>
          <w:rFonts w:ascii="Arial" w:hAnsi="Arial"/>
          <w:color w:val="3B383B"/>
          <w:w w:val="115"/>
          <w:vertAlign w:val="superscript"/>
        </w:rPr>
        <w:t>28</w:t>
      </w:r>
    </w:p>
    <w:p>
      <w:pPr>
        <w:pStyle w:val="BodyText"/>
        <w:spacing w:line="235" w:lineRule="auto"/>
        <w:ind w:left="127" w:right="270" w:firstLine="351"/>
        <w:jc w:val="both"/>
      </w:pPr>
      <w:r>
        <w:rPr>
          <w:color w:val="3B383B"/>
          <w:w w:val="110"/>
        </w:rPr>
        <w:t>These obvious benefits are not the only physical benefits of the hard­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copy research process. Scholars who study digital reading have seen that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readers of  digital text interact  differently  with  the  text  than do readers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of hard-copy text. We might believe that we read only with our eyes, or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maybe our eyes and our brains, but scientists are realizing that the physi­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cal dimension plays a real role in 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reading process. When we read a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hard-copy text,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physicality  of  the  document  helps to  give us  more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of a sense of the whole document, and of 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relationships between and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among 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various pieces of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information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within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that document.</w:t>
      </w:r>
      <w:r>
        <w:rPr>
          <w:color w:val="3B383B"/>
          <w:w w:val="110"/>
          <w:vertAlign w:val="superscript"/>
        </w:rPr>
        <w:t>29</w:t>
      </w:r>
      <w:r>
        <w:rPr>
          <w:color w:val="3B383B"/>
          <w:w w:val="110"/>
          <w:vertAlign w:val="baseline"/>
        </w:rPr>
        <w:t> The</w:t>
      </w:r>
      <w:r>
        <w:rPr>
          <w:color w:val="3B383B"/>
          <w:spacing w:val="1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smaller the screen, the harder it is for us to develop a spatial relationship</w:t>
      </w:r>
      <w:r>
        <w:rPr>
          <w:color w:val="3B383B"/>
          <w:spacing w:val="1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with the  text; this lack of a spatial relationship  may inhibit our immedi­</w:t>
      </w:r>
      <w:r>
        <w:rPr>
          <w:color w:val="3B383B"/>
          <w:spacing w:val="1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ate comprehension,</w:t>
      </w:r>
      <w:r>
        <w:rPr>
          <w:color w:val="3B383B"/>
          <w:w w:val="110"/>
          <w:vertAlign w:val="superscript"/>
        </w:rPr>
        <w:t>30</w:t>
      </w:r>
      <w:r>
        <w:rPr>
          <w:color w:val="3B383B"/>
          <w:w w:val="110"/>
          <w:vertAlign w:val="baseline"/>
        </w:rPr>
        <w:t> and, more importantly, our learning and long-term</w:t>
      </w:r>
      <w:r>
        <w:rPr>
          <w:color w:val="3B383B"/>
          <w:spacing w:val="1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memory</w:t>
      </w:r>
      <w:r>
        <w:rPr>
          <w:color w:val="3B383B"/>
          <w:spacing w:val="7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regarding</w:t>
      </w:r>
      <w:r>
        <w:rPr>
          <w:color w:val="3B383B"/>
          <w:spacing w:val="-6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the</w:t>
      </w:r>
      <w:r>
        <w:rPr>
          <w:color w:val="3B383B"/>
          <w:spacing w:val="31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text.</w:t>
      </w:r>
    </w:p>
    <w:p>
      <w:pPr>
        <w:pStyle w:val="BodyText"/>
        <w:spacing w:line="235" w:lineRule="auto"/>
        <w:ind w:left="140" w:right="255" w:firstLine="356"/>
        <w:jc w:val="both"/>
      </w:pPr>
      <w:r>
        <w:rPr>
          <w:color w:val="3B383B"/>
          <w:spacing w:val="-1"/>
          <w:w w:val="115"/>
        </w:rPr>
        <w:t>Other</w:t>
      </w:r>
      <w:r>
        <w:rPr>
          <w:color w:val="3B383B"/>
          <w:spacing w:val="-5"/>
          <w:w w:val="115"/>
        </w:rPr>
        <w:t> </w:t>
      </w:r>
      <w:r>
        <w:rPr>
          <w:color w:val="3B383B"/>
          <w:spacing w:val="-1"/>
          <w:w w:val="115"/>
        </w:rPr>
        <w:t>studies</w:t>
      </w:r>
      <w:r>
        <w:rPr>
          <w:color w:val="3B383B"/>
          <w:spacing w:val="-15"/>
          <w:w w:val="115"/>
        </w:rPr>
        <w:t> </w:t>
      </w:r>
      <w:r>
        <w:rPr>
          <w:color w:val="3B383B"/>
          <w:spacing w:val="-1"/>
          <w:w w:val="115"/>
        </w:rPr>
        <w:t>show</w:t>
      </w:r>
      <w:r>
        <w:rPr>
          <w:color w:val="3B383B"/>
          <w:spacing w:val="-12"/>
          <w:w w:val="115"/>
        </w:rPr>
        <w:t> </w:t>
      </w:r>
      <w:r>
        <w:rPr>
          <w:color w:val="3B383B"/>
          <w:spacing w:val="-1"/>
          <w:w w:val="115"/>
        </w:rPr>
        <w:t>that</w:t>
      </w:r>
      <w:r>
        <w:rPr>
          <w:color w:val="3B383B"/>
          <w:spacing w:val="-5"/>
          <w:w w:val="115"/>
        </w:rPr>
        <w:t> </w:t>
      </w:r>
      <w:r>
        <w:rPr>
          <w:color w:val="3B383B"/>
          <w:spacing w:val="-1"/>
          <w:w w:val="115"/>
        </w:rPr>
        <w:t>digital</w:t>
      </w:r>
      <w:r>
        <w:rPr>
          <w:color w:val="3B383B"/>
          <w:w w:val="115"/>
        </w:rPr>
        <w:t> readers</w:t>
      </w:r>
      <w:r>
        <w:rPr>
          <w:color w:val="3B383B"/>
          <w:spacing w:val="-9"/>
          <w:w w:val="115"/>
        </w:rPr>
        <w:t> </w:t>
      </w:r>
      <w:r>
        <w:rPr>
          <w:color w:val="3B383B"/>
          <w:w w:val="115"/>
        </w:rPr>
        <w:t>are</w:t>
      </w:r>
      <w:r>
        <w:rPr>
          <w:color w:val="3B383B"/>
          <w:spacing w:val="-4"/>
          <w:w w:val="115"/>
        </w:rPr>
        <w:t> </w:t>
      </w:r>
      <w:r>
        <w:rPr>
          <w:color w:val="3B383B"/>
          <w:w w:val="115"/>
        </w:rPr>
        <w:t>more</w:t>
      </w:r>
      <w:r>
        <w:rPr>
          <w:color w:val="3B383B"/>
          <w:spacing w:val="-9"/>
          <w:w w:val="115"/>
        </w:rPr>
        <w:t> </w:t>
      </w:r>
      <w:r>
        <w:rPr>
          <w:color w:val="3B383B"/>
          <w:w w:val="115"/>
        </w:rPr>
        <w:t>likely</w:t>
      </w:r>
      <w:r>
        <w:rPr>
          <w:color w:val="3B383B"/>
          <w:spacing w:val="-17"/>
          <w:w w:val="115"/>
        </w:rPr>
        <w:t> </w:t>
      </w:r>
      <w:r>
        <w:rPr>
          <w:color w:val="3B383B"/>
          <w:w w:val="115"/>
        </w:rPr>
        <w:t>skim</w:t>
      </w:r>
      <w:r>
        <w:rPr>
          <w:color w:val="3B383B"/>
          <w:spacing w:val="-7"/>
          <w:w w:val="115"/>
        </w:rPr>
        <w:t> </w:t>
      </w:r>
      <w:r>
        <w:rPr>
          <w:color w:val="3B383B"/>
          <w:w w:val="115"/>
        </w:rPr>
        <w:t>and</w:t>
      </w:r>
      <w:r>
        <w:rPr>
          <w:color w:val="3B383B"/>
          <w:spacing w:val="19"/>
          <w:w w:val="115"/>
        </w:rPr>
        <w:t> </w:t>
      </w:r>
      <w:r>
        <w:rPr>
          <w:color w:val="3B383B"/>
          <w:w w:val="115"/>
        </w:rPr>
        <w:t>scan</w:t>
      </w:r>
      <w:r>
        <w:rPr>
          <w:color w:val="3B383B"/>
          <w:spacing w:val="-64"/>
          <w:w w:val="115"/>
        </w:rPr>
        <w:t> </w:t>
      </w:r>
      <w:r>
        <w:rPr>
          <w:color w:val="3B383B"/>
          <w:spacing w:val="-1"/>
          <w:w w:val="115"/>
        </w:rPr>
        <w:t>through</w:t>
      </w:r>
      <w:r>
        <w:rPr>
          <w:color w:val="3B383B"/>
          <w:spacing w:val="5"/>
          <w:w w:val="115"/>
        </w:rPr>
        <w:t> </w:t>
      </w:r>
      <w:r>
        <w:rPr>
          <w:color w:val="3B383B"/>
          <w:spacing w:val="-1"/>
          <w:w w:val="115"/>
        </w:rPr>
        <w:t>the</w:t>
      </w:r>
      <w:r>
        <w:rPr>
          <w:color w:val="3B383B"/>
          <w:spacing w:val="11"/>
          <w:w w:val="115"/>
        </w:rPr>
        <w:t> </w:t>
      </w:r>
      <w:r>
        <w:rPr>
          <w:color w:val="3B383B"/>
          <w:spacing w:val="-1"/>
          <w:w w:val="115"/>
        </w:rPr>
        <w:t>document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than</w:t>
      </w:r>
      <w:r>
        <w:rPr>
          <w:color w:val="3B383B"/>
          <w:spacing w:val="5"/>
          <w:w w:val="115"/>
        </w:rPr>
        <w:t> </w:t>
      </w:r>
      <w:r>
        <w:rPr>
          <w:color w:val="3B383B"/>
          <w:w w:val="115"/>
        </w:rPr>
        <w:t>to</w:t>
      </w:r>
      <w:r>
        <w:rPr>
          <w:color w:val="3B383B"/>
          <w:spacing w:val="-17"/>
          <w:w w:val="115"/>
        </w:rPr>
        <w:t> </w:t>
      </w:r>
      <w:r>
        <w:rPr>
          <w:color w:val="3B383B"/>
          <w:w w:val="115"/>
        </w:rPr>
        <w:t>read</w:t>
      </w:r>
      <w:r>
        <w:rPr>
          <w:color w:val="3B383B"/>
          <w:spacing w:val="2"/>
          <w:w w:val="115"/>
        </w:rPr>
        <w:t> </w:t>
      </w:r>
      <w:r>
        <w:rPr>
          <w:color w:val="3B383B"/>
          <w:w w:val="115"/>
        </w:rPr>
        <w:t>it</w:t>
      </w:r>
      <w:r>
        <w:rPr>
          <w:color w:val="3B383B"/>
          <w:spacing w:val="3"/>
          <w:w w:val="115"/>
        </w:rPr>
        <w:t> </w:t>
      </w:r>
      <w:r>
        <w:rPr>
          <w:color w:val="3B383B"/>
          <w:w w:val="115"/>
        </w:rPr>
        <w:t>from beginning</w:t>
      </w:r>
      <w:r>
        <w:rPr>
          <w:color w:val="3B383B"/>
          <w:spacing w:val="6"/>
          <w:w w:val="115"/>
        </w:rPr>
        <w:t> </w:t>
      </w:r>
      <w:r>
        <w:rPr>
          <w:color w:val="3B383B"/>
          <w:w w:val="115"/>
        </w:rPr>
        <w:t>to</w:t>
      </w:r>
      <w:r>
        <w:rPr>
          <w:color w:val="3B383B"/>
          <w:spacing w:val="-7"/>
          <w:w w:val="115"/>
        </w:rPr>
        <w:t> </w:t>
      </w:r>
      <w:r>
        <w:rPr>
          <w:color w:val="3B383B"/>
          <w:w w:val="115"/>
        </w:rPr>
        <w:t>end,</w:t>
      </w:r>
      <w:r>
        <w:rPr>
          <w:color w:val="3B383B"/>
          <w:spacing w:val="-14"/>
          <w:w w:val="115"/>
        </w:rPr>
        <w:t> </w:t>
      </w:r>
      <w:r>
        <w:rPr>
          <w:color w:val="3B383B"/>
          <w:w w:val="115"/>
        </w:rPr>
        <w:t>and</w:t>
      </w:r>
      <w:r>
        <w:rPr>
          <w:color w:val="3B383B"/>
          <w:spacing w:val="-13"/>
          <w:w w:val="115"/>
        </w:rPr>
        <w:t> </w:t>
      </w:r>
      <w:r>
        <w:rPr>
          <w:color w:val="3B383B"/>
          <w:w w:val="115"/>
        </w:rPr>
        <w:t>are</w:t>
      </w:r>
      <w:r>
        <w:rPr>
          <w:color w:val="3B383B"/>
          <w:spacing w:val="-37"/>
          <w:w w:val="115"/>
        </w:rPr>
        <w:t> </w:t>
      </w:r>
      <w:r>
        <w:rPr>
          <w:color w:val="3B383B"/>
          <w:w w:val="115"/>
        </w:rPr>
        <w:t>less</w:t>
      </w:r>
      <w:r>
        <w:rPr>
          <w:color w:val="3B383B"/>
          <w:spacing w:val="-64"/>
          <w:w w:val="115"/>
        </w:rPr>
        <w:t> </w:t>
      </w:r>
      <w:r>
        <w:rPr>
          <w:color w:val="3B383B"/>
          <w:w w:val="110"/>
        </w:rPr>
        <w:t>likely to read longer excerpts. The skimming and scanning process, obvi­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ously, is less likely to promote comprehension and full engagement with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the text. The ability to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jump from one keyword to another is an obvious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benefit of digital reading, but it inhibits learning and comprehension if it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changes</w:t>
      </w:r>
      <w:r>
        <w:rPr>
          <w:color w:val="3B383B"/>
          <w:spacing w:val="-3"/>
          <w:w w:val="110"/>
        </w:rPr>
        <w:t> </w:t>
      </w:r>
      <w:r>
        <w:rPr>
          <w:color w:val="3B383B"/>
          <w:w w:val="110"/>
        </w:rPr>
        <w:t>our</w:t>
      </w:r>
      <w:r>
        <w:rPr>
          <w:color w:val="3B383B"/>
          <w:spacing w:val="29"/>
          <w:w w:val="110"/>
        </w:rPr>
        <w:t> </w:t>
      </w:r>
      <w:r>
        <w:rPr>
          <w:color w:val="3B383B"/>
          <w:w w:val="110"/>
        </w:rPr>
        <w:t>behavior</w:t>
      </w:r>
      <w:r>
        <w:rPr>
          <w:color w:val="3B383B"/>
          <w:spacing w:val="9"/>
          <w:w w:val="110"/>
        </w:rPr>
        <w:t> </w:t>
      </w:r>
      <w:r>
        <w:rPr>
          <w:color w:val="3B383B"/>
          <w:w w:val="110"/>
        </w:rPr>
        <w:t>by</w:t>
      </w:r>
      <w:r>
        <w:rPr>
          <w:color w:val="3B383B"/>
          <w:spacing w:val="-5"/>
          <w:w w:val="110"/>
        </w:rPr>
        <w:t> </w:t>
      </w:r>
      <w:r>
        <w:rPr>
          <w:color w:val="3B383B"/>
          <w:w w:val="110"/>
        </w:rPr>
        <w:t>turning</w:t>
      </w:r>
      <w:r>
        <w:rPr>
          <w:color w:val="3B383B"/>
          <w:spacing w:val="6"/>
          <w:w w:val="110"/>
        </w:rPr>
        <w:t> </w:t>
      </w:r>
      <w:r>
        <w:rPr>
          <w:color w:val="3B383B"/>
          <w:w w:val="110"/>
        </w:rPr>
        <w:t>readers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into</w:t>
      </w:r>
      <w:r>
        <w:rPr>
          <w:color w:val="3B383B"/>
          <w:spacing w:val="-19"/>
          <w:w w:val="110"/>
        </w:rPr>
        <w:t> </w:t>
      </w:r>
      <w:r>
        <w:rPr>
          <w:color w:val="3B383B"/>
          <w:w w:val="110"/>
        </w:rPr>
        <w:t>skimmers.</w:t>
      </w:r>
    </w:p>
    <w:p>
      <w:pPr>
        <w:pStyle w:val="BodyText"/>
        <w:spacing w:line="247" w:lineRule="exact"/>
        <w:ind w:left="511"/>
        <w:jc w:val="both"/>
      </w:pPr>
      <w:r>
        <w:rPr>
          <w:color w:val="3B383B"/>
          <w:w w:val="115"/>
        </w:rPr>
        <w:t>Perhaps</w:t>
      </w:r>
      <w:r>
        <w:rPr>
          <w:color w:val="3B383B"/>
          <w:spacing w:val="39"/>
          <w:w w:val="115"/>
        </w:rPr>
        <w:t> </w:t>
      </w:r>
      <w:r>
        <w:rPr>
          <w:color w:val="3B383B"/>
          <w:w w:val="115"/>
        </w:rPr>
        <w:t>most</w:t>
      </w:r>
      <w:r>
        <w:rPr>
          <w:color w:val="3B383B"/>
          <w:spacing w:val="36"/>
          <w:w w:val="115"/>
        </w:rPr>
        <w:t> </w:t>
      </w:r>
      <w:r>
        <w:rPr>
          <w:color w:val="3B383B"/>
          <w:w w:val="115"/>
        </w:rPr>
        <w:t>obviously,</w:t>
      </w:r>
      <w:r>
        <w:rPr>
          <w:color w:val="3B383B"/>
          <w:spacing w:val="56"/>
          <w:w w:val="115"/>
        </w:rPr>
        <w:t> </w:t>
      </w:r>
      <w:r>
        <w:rPr>
          <w:color w:val="3B383B"/>
          <w:w w:val="115"/>
        </w:rPr>
        <w:t>the</w:t>
      </w:r>
      <w:r>
        <w:rPr>
          <w:color w:val="3B383B"/>
          <w:spacing w:val="65"/>
          <w:w w:val="115"/>
        </w:rPr>
        <w:t> </w:t>
      </w:r>
      <w:r>
        <w:rPr>
          <w:color w:val="3B383B"/>
          <w:w w:val="115"/>
        </w:rPr>
        <w:t>digital</w:t>
      </w:r>
      <w:r>
        <w:rPr>
          <w:color w:val="3B383B"/>
          <w:spacing w:val="37"/>
          <w:w w:val="115"/>
        </w:rPr>
        <w:t> </w:t>
      </w:r>
      <w:r>
        <w:rPr>
          <w:color w:val="3B383B"/>
          <w:w w:val="115"/>
        </w:rPr>
        <w:t>reader</w:t>
      </w:r>
      <w:r>
        <w:rPr>
          <w:color w:val="3B383B"/>
          <w:spacing w:val="43"/>
          <w:w w:val="115"/>
        </w:rPr>
        <w:t> </w:t>
      </w:r>
      <w:r>
        <w:rPr>
          <w:color w:val="3B383B"/>
          <w:w w:val="115"/>
        </w:rPr>
        <w:t>faces</w:t>
      </w:r>
      <w:r>
        <w:rPr>
          <w:color w:val="3B383B"/>
          <w:spacing w:val="27"/>
          <w:w w:val="115"/>
        </w:rPr>
        <w:t> </w:t>
      </w:r>
      <w:r>
        <w:rPr>
          <w:color w:val="3B383B"/>
          <w:w w:val="115"/>
        </w:rPr>
        <w:t>constant</w:t>
      </w:r>
      <w:r>
        <w:rPr>
          <w:color w:val="3B383B"/>
          <w:spacing w:val="46"/>
          <w:w w:val="115"/>
        </w:rPr>
        <w:t> </w:t>
      </w:r>
      <w:r>
        <w:rPr>
          <w:color w:val="3B383B"/>
          <w:w w:val="115"/>
        </w:rPr>
        <w:t>tempta­</w:t>
      </w:r>
    </w:p>
    <w:p>
      <w:pPr>
        <w:pStyle w:val="BodyText"/>
        <w:spacing w:line="232" w:lineRule="auto"/>
        <w:ind w:left="140" w:right="180" w:firstLine="15"/>
        <w:jc w:val="both"/>
      </w:pPr>
      <w:r>
        <w:rPr>
          <w:color w:val="3B383B"/>
          <w:w w:val="115"/>
        </w:rPr>
        <w:t>tion to abandon the relevant document and to go to another document.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Hot links within the document may lead to another document and then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another, until the reader is unable to remember (or retrieve) the original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text.</w:t>
      </w:r>
      <w:r>
        <w:rPr>
          <w:color w:val="3B383B"/>
          <w:spacing w:val="6"/>
          <w:w w:val="115"/>
        </w:rPr>
        <w:t> </w:t>
      </w:r>
      <w:r>
        <w:rPr>
          <w:color w:val="3B383B"/>
          <w:w w:val="115"/>
        </w:rPr>
        <w:t>When</w:t>
      </w:r>
      <w:r>
        <w:rPr>
          <w:color w:val="3B383B"/>
          <w:spacing w:val="13"/>
          <w:w w:val="115"/>
        </w:rPr>
        <w:t> </w:t>
      </w:r>
      <w:r>
        <w:rPr>
          <w:color w:val="3B383B"/>
          <w:w w:val="115"/>
        </w:rPr>
        <w:t>we</w:t>
      </w:r>
      <w:r>
        <w:rPr>
          <w:color w:val="3B383B"/>
          <w:spacing w:val="7"/>
          <w:w w:val="115"/>
        </w:rPr>
        <w:t> </w:t>
      </w:r>
      <w:r>
        <w:rPr>
          <w:color w:val="3B383B"/>
          <w:w w:val="115"/>
        </w:rPr>
        <w:t>face</w:t>
      </w:r>
      <w:r>
        <w:rPr>
          <w:color w:val="3B383B"/>
          <w:spacing w:val="3"/>
          <w:w w:val="115"/>
        </w:rPr>
        <w:t> </w:t>
      </w:r>
      <w:r>
        <w:rPr>
          <w:color w:val="3B383B"/>
          <w:w w:val="115"/>
        </w:rPr>
        <w:t>a</w:t>
      </w:r>
      <w:r>
        <w:rPr>
          <w:color w:val="3B383B"/>
          <w:spacing w:val="29"/>
          <w:w w:val="115"/>
        </w:rPr>
        <w:t> </w:t>
      </w:r>
      <w:r>
        <w:rPr>
          <w:color w:val="3B383B"/>
          <w:w w:val="115"/>
        </w:rPr>
        <w:t>roadblock</w:t>
      </w:r>
      <w:r>
        <w:rPr>
          <w:color w:val="3B383B"/>
          <w:spacing w:val="15"/>
          <w:w w:val="115"/>
        </w:rPr>
        <w:t> </w:t>
      </w:r>
      <w:r>
        <w:rPr>
          <w:color w:val="3B383B"/>
          <w:w w:val="115"/>
        </w:rPr>
        <w:t>in</w:t>
      </w:r>
      <w:r>
        <w:rPr>
          <w:color w:val="3B383B"/>
          <w:spacing w:val="30"/>
          <w:w w:val="115"/>
        </w:rPr>
        <w:t> </w:t>
      </w:r>
      <w:r>
        <w:rPr>
          <w:color w:val="3B383B"/>
          <w:w w:val="115"/>
        </w:rPr>
        <w:t>either</w:t>
      </w:r>
      <w:r>
        <w:rPr>
          <w:color w:val="3B383B"/>
          <w:spacing w:val="21"/>
          <w:w w:val="115"/>
        </w:rPr>
        <w:t> </w:t>
      </w:r>
      <w:r>
        <w:rPr>
          <w:color w:val="3B383B"/>
          <w:w w:val="115"/>
        </w:rPr>
        <w:t>research</w:t>
      </w:r>
      <w:r>
        <w:rPr>
          <w:color w:val="3B383B"/>
          <w:spacing w:val="18"/>
          <w:w w:val="115"/>
        </w:rPr>
        <w:t> </w:t>
      </w:r>
      <w:r>
        <w:rPr>
          <w:color w:val="3B383B"/>
          <w:w w:val="115"/>
        </w:rPr>
        <w:t>or</w:t>
      </w:r>
      <w:r>
        <w:rPr>
          <w:color w:val="3B383B"/>
          <w:spacing w:val="39"/>
          <w:w w:val="115"/>
        </w:rPr>
        <w:t> </w:t>
      </w:r>
      <w:r>
        <w:rPr>
          <w:color w:val="3B383B"/>
          <w:w w:val="115"/>
        </w:rPr>
        <w:t>thinking,</w:t>
      </w:r>
      <w:r>
        <w:rPr>
          <w:color w:val="3B383B"/>
          <w:spacing w:val="25"/>
          <w:w w:val="115"/>
        </w:rPr>
        <w:t> </w:t>
      </w:r>
      <w:r>
        <w:rPr>
          <w:color w:val="3B383B"/>
          <w:w w:val="115"/>
        </w:rPr>
        <w:t>we</w:t>
      </w:r>
      <w:r>
        <w:rPr>
          <w:color w:val="3B383B"/>
          <w:spacing w:val="-2"/>
          <w:w w:val="115"/>
        </w:rPr>
        <w:t> </w:t>
      </w:r>
      <w:r>
        <w:rPr>
          <w:color w:val="3B383B"/>
          <w:w w:val="115"/>
        </w:rPr>
        <w:t>may</w:t>
      </w:r>
    </w:p>
    <w:p>
      <w:pPr>
        <w:pStyle w:val="BodyText"/>
        <w:spacing w:before="4"/>
        <w:rPr>
          <w:sz w:val="38"/>
        </w:rPr>
      </w:pPr>
    </w:p>
    <w:p>
      <w:pPr>
        <w:spacing w:line="228" w:lineRule="auto" w:before="0"/>
        <w:ind w:left="156" w:right="165" w:firstLine="365"/>
        <w:jc w:val="both"/>
        <w:rPr>
          <w:sz w:val="18"/>
        </w:rPr>
      </w:pPr>
      <w:r>
        <w:rPr>
          <w:color w:val="3B383B"/>
          <w:w w:val="110"/>
          <w:position w:val="4"/>
          <w:sz w:val="11"/>
        </w:rPr>
        <w:t>21</w:t>
      </w:r>
      <w:r>
        <w:rPr>
          <w:color w:val="3B383B"/>
          <w:w w:val="110"/>
          <w:sz w:val="18"/>
        </w:rPr>
        <w:t>1 have nagged legal database publishers for years that they should use shading, colors,</w:t>
      </w:r>
      <w:r>
        <w:rPr>
          <w:color w:val="3B383B"/>
          <w:spacing w:val="1"/>
          <w:w w:val="110"/>
          <w:sz w:val="18"/>
        </w:rPr>
        <w:t> </w:t>
      </w:r>
      <w:r>
        <w:rPr>
          <w:color w:val="3B383B"/>
          <w:w w:val="110"/>
          <w:sz w:val="18"/>
        </w:rPr>
        <w:t>marginal markers, or some other signal to make clear to all readers whether case text Is a part of</w:t>
      </w:r>
      <w:r>
        <w:rPr>
          <w:color w:val="3B383B"/>
          <w:spacing w:val="1"/>
          <w:w w:val="110"/>
          <w:sz w:val="18"/>
        </w:rPr>
        <w:t> </w:t>
      </w:r>
      <w:r>
        <w:rPr>
          <w:color w:val="3B383B"/>
          <w:w w:val="110"/>
          <w:sz w:val="18"/>
        </w:rPr>
        <w:t>majority,</w:t>
      </w:r>
      <w:r>
        <w:rPr>
          <w:color w:val="3B383B"/>
          <w:spacing w:val="-12"/>
          <w:w w:val="110"/>
          <w:sz w:val="18"/>
        </w:rPr>
        <w:t> </w:t>
      </w:r>
      <w:r>
        <w:rPr>
          <w:color w:val="3B383B"/>
          <w:w w:val="110"/>
          <w:sz w:val="18"/>
        </w:rPr>
        <w:t>concurrence,</w:t>
      </w:r>
      <w:r>
        <w:rPr>
          <w:color w:val="3B383B"/>
          <w:spacing w:val="2"/>
          <w:w w:val="110"/>
          <w:sz w:val="18"/>
        </w:rPr>
        <w:t> </w:t>
      </w:r>
      <w:r>
        <w:rPr>
          <w:color w:val="3B383B"/>
          <w:w w:val="110"/>
          <w:sz w:val="18"/>
        </w:rPr>
        <w:t>dissent,</w:t>
      </w:r>
      <w:r>
        <w:rPr>
          <w:color w:val="3B383B"/>
          <w:spacing w:val="-18"/>
          <w:w w:val="110"/>
          <w:sz w:val="18"/>
        </w:rPr>
        <w:t> </w:t>
      </w:r>
      <w:r>
        <w:rPr>
          <w:color w:val="3B383B"/>
          <w:w w:val="110"/>
          <w:sz w:val="18"/>
        </w:rPr>
        <w:t>or</w:t>
      </w:r>
      <w:r>
        <w:rPr>
          <w:color w:val="3B383B"/>
          <w:spacing w:val="20"/>
          <w:w w:val="110"/>
          <w:sz w:val="18"/>
        </w:rPr>
        <w:t> </w:t>
      </w:r>
      <w:r>
        <w:rPr>
          <w:color w:val="3B383B"/>
          <w:w w:val="110"/>
          <w:sz w:val="18"/>
        </w:rPr>
        <w:t>plurality</w:t>
      </w:r>
      <w:r>
        <w:rPr>
          <w:color w:val="3B383B"/>
          <w:spacing w:val="-5"/>
          <w:w w:val="110"/>
          <w:sz w:val="18"/>
        </w:rPr>
        <w:t> </w:t>
      </w:r>
      <w:r>
        <w:rPr>
          <w:color w:val="3B383B"/>
          <w:w w:val="110"/>
          <w:sz w:val="18"/>
        </w:rPr>
        <w:t>opinion.</w:t>
      </w:r>
    </w:p>
    <w:p>
      <w:pPr>
        <w:tabs>
          <w:tab w:pos="7787" w:val="left" w:leader="none"/>
        </w:tabs>
        <w:spacing w:line="228" w:lineRule="auto" w:before="0"/>
        <w:ind w:left="145" w:right="133" w:firstLine="376"/>
        <w:jc w:val="both"/>
        <w:rPr>
          <w:sz w:val="18"/>
        </w:rPr>
      </w:pPr>
      <w:r>
        <w:rPr>
          <w:color w:val="3B383B"/>
          <w:spacing w:val="-1"/>
          <w:w w:val="105"/>
          <w:position w:val="4"/>
          <w:sz w:val="11"/>
        </w:rPr>
        <w:t>29</w:t>
      </w:r>
      <w:r>
        <w:rPr>
          <w:color w:val="3B383B"/>
          <w:spacing w:val="-16"/>
          <w:w w:val="105"/>
          <w:position w:val="4"/>
          <w:sz w:val="11"/>
        </w:rPr>
        <w:t> </w:t>
      </w:r>
      <w:r>
        <w:rPr>
          <w:color w:val="3B383B"/>
          <w:spacing w:val="-1"/>
          <w:w w:val="105"/>
          <w:sz w:val="18"/>
        </w:rPr>
        <w:t>Anne</w:t>
      </w:r>
      <w:r>
        <w:rPr>
          <w:color w:val="3B383B"/>
          <w:spacing w:val="-18"/>
          <w:w w:val="105"/>
          <w:sz w:val="18"/>
        </w:rPr>
        <w:t> </w:t>
      </w:r>
      <w:r>
        <w:rPr>
          <w:color w:val="3B383B"/>
          <w:spacing w:val="-1"/>
          <w:w w:val="105"/>
          <w:sz w:val="18"/>
        </w:rPr>
        <w:t>Mangen,</w:t>
      </w:r>
      <w:r>
        <w:rPr>
          <w:color w:val="3B383B"/>
          <w:w w:val="105"/>
          <w:sz w:val="18"/>
        </w:rPr>
        <w:t> </w:t>
      </w:r>
      <w:r>
        <w:rPr>
          <w:color w:val="3B383B"/>
          <w:spacing w:val="-1"/>
          <w:w w:val="105"/>
          <w:sz w:val="18"/>
        </w:rPr>
        <w:t>Bente</w:t>
      </w:r>
      <w:r>
        <w:rPr>
          <w:color w:val="3B383B"/>
          <w:spacing w:val="-20"/>
          <w:w w:val="105"/>
          <w:sz w:val="18"/>
        </w:rPr>
        <w:t> </w:t>
      </w:r>
      <w:r>
        <w:rPr>
          <w:color w:val="3B383B"/>
          <w:spacing w:val="-1"/>
          <w:w w:val="105"/>
          <w:sz w:val="18"/>
        </w:rPr>
        <w:t>R.Walgermo</w:t>
      </w:r>
      <w:r>
        <w:rPr>
          <w:color w:val="3B383B"/>
          <w:spacing w:val="-17"/>
          <w:w w:val="105"/>
          <w:sz w:val="18"/>
        </w:rPr>
        <w:t> </w:t>
      </w:r>
      <w:r>
        <w:rPr>
          <w:color w:val="3B383B"/>
          <w:spacing w:val="-1"/>
          <w:w w:val="105"/>
          <w:sz w:val="16"/>
        </w:rPr>
        <w:t>&amp;</w:t>
      </w:r>
      <w:r>
        <w:rPr>
          <w:color w:val="3B383B"/>
          <w:spacing w:val="9"/>
          <w:w w:val="105"/>
          <w:sz w:val="16"/>
        </w:rPr>
        <w:t> </w:t>
      </w:r>
      <w:r>
        <w:rPr>
          <w:color w:val="3B383B"/>
          <w:spacing w:val="-1"/>
          <w:w w:val="105"/>
          <w:sz w:val="18"/>
        </w:rPr>
        <w:t>Kolbjorn</w:t>
      </w:r>
      <w:r>
        <w:rPr>
          <w:color w:val="3B383B"/>
          <w:w w:val="105"/>
          <w:sz w:val="18"/>
        </w:rPr>
        <w:t> Bronnick,</w:t>
      </w:r>
      <w:r>
        <w:rPr>
          <w:color w:val="3B383B"/>
          <w:spacing w:val="-17"/>
          <w:w w:val="105"/>
          <w:sz w:val="18"/>
        </w:rPr>
        <w:t> </w:t>
      </w:r>
      <w:r>
        <w:rPr>
          <w:i/>
          <w:color w:val="3B383B"/>
          <w:w w:val="105"/>
          <w:sz w:val="18"/>
        </w:rPr>
        <w:t>Reading</w:t>
      </w:r>
      <w:r>
        <w:rPr>
          <w:i/>
          <w:color w:val="3B383B"/>
          <w:spacing w:val="-15"/>
          <w:w w:val="105"/>
          <w:sz w:val="18"/>
        </w:rPr>
        <w:t> </w:t>
      </w:r>
      <w:r>
        <w:rPr>
          <w:i/>
          <w:color w:val="3B383B"/>
          <w:w w:val="105"/>
          <w:sz w:val="18"/>
        </w:rPr>
        <w:t>Linear</w:t>
      </w:r>
      <w:r>
        <w:rPr>
          <w:i/>
          <w:color w:val="3B383B"/>
          <w:spacing w:val="-27"/>
          <w:w w:val="105"/>
          <w:sz w:val="18"/>
        </w:rPr>
        <w:t> </w:t>
      </w:r>
      <w:r>
        <w:rPr>
          <w:i/>
          <w:color w:val="3B383B"/>
          <w:w w:val="105"/>
          <w:sz w:val="18"/>
        </w:rPr>
        <w:t>Texts</w:t>
      </w:r>
      <w:r>
        <w:rPr>
          <w:i/>
          <w:color w:val="3B383B"/>
          <w:spacing w:val="-22"/>
          <w:w w:val="105"/>
          <w:sz w:val="18"/>
        </w:rPr>
        <w:t> </w:t>
      </w:r>
      <w:r>
        <w:rPr>
          <w:i/>
          <w:color w:val="3B383B"/>
          <w:w w:val="105"/>
          <w:sz w:val="18"/>
        </w:rPr>
        <w:t>on</w:t>
      </w:r>
      <w:r>
        <w:rPr>
          <w:i/>
          <w:color w:val="3B383B"/>
          <w:spacing w:val="-5"/>
          <w:w w:val="105"/>
          <w:sz w:val="18"/>
        </w:rPr>
        <w:t> </w:t>
      </w:r>
      <w:r>
        <w:rPr>
          <w:i/>
          <w:color w:val="3B383B"/>
          <w:w w:val="105"/>
          <w:sz w:val="18"/>
        </w:rPr>
        <w:t>Paper</w:t>
      </w:r>
      <w:r>
        <w:rPr>
          <w:i/>
          <w:color w:val="3B383B"/>
          <w:spacing w:val="-21"/>
          <w:w w:val="105"/>
          <w:sz w:val="18"/>
        </w:rPr>
        <w:t> </w:t>
      </w:r>
      <w:r>
        <w:rPr>
          <w:i/>
          <w:color w:val="3B383B"/>
          <w:w w:val="105"/>
          <w:sz w:val="18"/>
        </w:rPr>
        <w:t>ver.sus</w:t>
      </w:r>
      <w:r>
        <w:rPr>
          <w:i/>
          <w:color w:val="3B383B"/>
          <w:spacing w:val="1"/>
          <w:w w:val="105"/>
          <w:sz w:val="18"/>
        </w:rPr>
        <w:t> </w:t>
      </w:r>
      <w:r>
        <w:rPr>
          <w:i/>
          <w:color w:val="3B383B"/>
          <w:sz w:val="18"/>
        </w:rPr>
        <w:t>Comp11ter Screen: Effects on Reading Comprclrens/011, </w:t>
      </w:r>
      <w:r>
        <w:rPr>
          <w:color w:val="3B383B"/>
          <w:sz w:val="18"/>
        </w:rPr>
        <w:t>58 Intl.</w:t>
      </w:r>
      <w:r>
        <w:rPr>
          <w:color w:val="3B383B"/>
          <w:sz w:val="19"/>
        </w:rPr>
        <w:t>J. </w:t>
      </w:r>
      <w:r>
        <w:rPr>
          <w:color w:val="3B383B"/>
          <w:sz w:val="18"/>
        </w:rPr>
        <w:t>Educ. Research 61-68 </w:t>
      </w:r>
      <w:r>
        <w:rPr>
          <w:color w:val="3B383B"/>
          <w:sz w:val="16"/>
        </w:rPr>
        <w:t>(2013). </w:t>
      </w:r>
      <w:r>
        <w:rPr>
          <w:color w:val="3B383B"/>
          <w:sz w:val="18"/>
        </w:rPr>
        <w:t>"Readers</w:t>
      </w:r>
      <w:r>
        <w:rPr>
          <w:color w:val="3B383B"/>
          <w:spacing w:val="-42"/>
          <w:sz w:val="18"/>
        </w:rPr>
        <w:t> </w:t>
      </w:r>
      <w:r>
        <w:rPr>
          <w:rFonts w:ascii="Arial" w:hAnsi="Arial"/>
          <w:color w:val="3B383B"/>
          <w:w w:val="110"/>
          <w:sz w:val="15"/>
        </w:rPr>
        <w:t>In </w:t>
      </w:r>
      <w:r>
        <w:rPr>
          <w:color w:val="3B383B"/>
          <w:w w:val="110"/>
          <w:sz w:val="18"/>
        </w:rPr>
        <w:t>the paper condition had Immediate access to the text In its entirety. This access Is, moreover,</w:t>
      </w:r>
      <w:r>
        <w:rPr>
          <w:color w:val="3B383B"/>
          <w:spacing w:val="1"/>
          <w:w w:val="110"/>
          <w:sz w:val="18"/>
        </w:rPr>
        <w:t> </w:t>
      </w:r>
      <w:r>
        <w:rPr>
          <w:color w:val="3B383B"/>
          <w:w w:val="110"/>
          <w:sz w:val="18"/>
        </w:rPr>
        <w:t>built on both visual and tactile cues: the reader can see as well as tactilely feel the spatial exten­</w:t>
      </w:r>
      <w:r>
        <w:rPr>
          <w:color w:val="3B383B"/>
          <w:spacing w:val="1"/>
          <w:w w:val="110"/>
          <w:sz w:val="18"/>
        </w:rPr>
        <w:t> </w:t>
      </w:r>
      <w:r>
        <w:rPr>
          <w:color w:val="3B383B"/>
          <w:w w:val="110"/>
          <w:sz w:val="18"/>
        </w:rPr>
        <w:t>sion and physical dimensions of the text, as the material substrate of paper provides physical</w:t>
      </w:r>
      <w:r>
        <w:rPr>
          <w:color w:val="3B383B"/>
          <w:spacing w:val="1"/>
          <w:w w:val="110"/>
          <w:sz w:val="18"/>
        </w:rPr>
        <w:t> </w:t>
      </w:r>
      <w:r>
        <w:rPr>
          <w:color w:val="3B383B"/>
          <w:w w:val="110"/>
          <w:sz w:val="18"/>
        </w:rPr>
        <w:t>tactile,</w:t>
      </w:r>
      <w:r>
        <w:rPr>
          <w:color w:val="3B383B"/>
          <w:spacing w:val="-5"/>
          <w:w w:val="110"/>
          <w:sz w:val="18"/>
        </w:rPr>
        <w:t> </w:t>
      </w:r>
      <w:r>
        <w:rPr>
          <w:color w:val="3B383B"/>
          <w:w w:val="110"/>
          <w:sz w:val="18"/>
        </w:rPr>
        <w:t>spatlotemporally</w:t>
      </w:r>
      <w:r>
        <w:rPr>
          <w:color w:val="3B383B"/>
          <w:spacing w:val="-11"/>
          <w:w w:val="110"/>
          <w:sz w:val="18"/>
        </w:rPr>
        <w:t> </w:t>
      </w:r>
      <w:r>
        <w:rPr>
          <w:color w:val="3B383B"/>
          <w:w w:val="110"/>
          <w:sz w:val="18"/>
        </w:rPr>
        <w:t>fixed</w:t>
      </w:r>
      <w:r>
        <w:rPr>
          <w:color w:val="3B383B"/>
          <w:spacing w:val="-2"/>
          <w:w w:val="110"/>
          <w:sz w:val="18"/>
        </w:rPr>
        <w:t> </w:t>
      </w:r>
      <w:r>
        <w:rPr>
          <w:color w:val="3B383B"/>
          <w:w w:val="110"/>
          <w:sz w:val="18"/>
        </w:rPr>
        <w:t>cues</w:t>
      </w:r>
      <w:r>
        <w:rPr>
          <w:color w:val="3B383B"/>
          <w:spacing w:val="-8"/>
          <w:w w:val="110"/>
          <w:sz w:val="18"/>
        </w:rPr>
        <w:t> </w:t>
      </w:r>
      <w:r>
        <w:rPr>
          <w:color w:val="3B383B"/>
          <w:w w:val="110"/>
          <w:sz w:val="18"/>
        </w:rPr>
        <w:t>to</w:t>
      </w:r>
      <w:r>
        <w:rPr>
          <w:color w:val="3B383B"/>
          <w:spacing w:val="24"/>
          <w:w w:val="110"/>
          <w:sz w:val="18"/>
        </w:rPr>
        <w:t> </w:t>
      </w:r>
      <w:r>
        <w:rPr>
          <w:color w:val="3B383B"/>
          <w:w w:val="110"/>
          <w:sz w:val="18"/>
        </w:rPr>
        <w:t>the</w:t>
      </w:r>
      <w:r>
        <w:rPr>
          <w:color w:val="3B383B"/>
          <w:spacing w:val="15"/>
          <w:w w:val="110"/>
          <w:sz w:val="18"/>
        </w:rPr>
        <w:t> </w:t>
      </w:r>
      <w:r>
        <w:rPr>
          <w:color w:val="3B383B"/>
          <w:w w:val="110"/>
          <w:sz w:val="18"/>
        </w:rPr>
        <w:t>length</w:t>
      </w:r>
      <w:r>
        <w:rPr>
          <w:color w:val="3B383B"/>
          <w:spacing w:val="-2"/>
          <w:w w:val="110"/>
          <w:sz w:val="18"/>
        </w:rPr>
        <w:t> </w:t>
      </w:r>
      <w:r>
        <w:rPr>
          <w:color w:val="3B383B"/>
          <w:w w:val="110"/>
          <w:sz w:val="18"/>
        </w:rPr>
        <w:t>of</w:t>
      </w:r>
      <w:r>
        <w:rPr>
          <w:color w:val="3B383B"/>
          <w:spacing w:val="3"/>
          <w:w w:val="110"/>
          <w:sz w:val="18"/>
        </w:rPr>
        <w:t> </w:t>
      </w:r>
      <w:r>
        <w:rPr>
          <w:color w:val="3B383B"/>
          <w:w w:val="110"/>
          <w:sz w:val="18"/>
        </w:rPr>
        <w:t>the</w:t>
      </w:r>
      <w:r>
        <w:rPr>
          <w:color w:val="3B383B"/>
          <w:spacing w:val="16"/>
          <w:w w:val="110"/>
          <w:sz w:val="18"/>
        </w:rPr>
        <w:t> </w:t>
      </w:r>
      <w:r>
        <w:rPr>
          <w:color w:val="3B383B"/>
          <w:w w:val="110"/>
          <w:sz w:val="18"/>
        </w:rPr>
        <w:t>text."</w:t>
      </w:r>
      <w:r>
        <w:rPr>
          <w:color w:val="3B383B"/>
          <w:spacing w:val="1"/>
          <w:w w:val="110"/>
          <w:sz w:val="18"/>
        </w:rPr>
        <w:t> </w:t>
      </w:r>
      <w:r>
        <w:rPr>
          <w:rFonts w:ascii="Arial" w:hAnsi="Arial"/>
          <w:i/>
          <w:color w:val="3B383B"/>
          <w:w w:val="110"/>
          <w:sz w:val="16"/>
        </w:rPr>
        <w:t>Id.</w:t>
      </w:r>
      <w:r>
        <w:rPr>
          <w:rFonts w:ascii="Arial" w:hAnsi="Arial"/>
          <w:i/>
          <w:color w:val="3B383B"/>
          <w:spacing w:val="-5"/>
          <w:w w:val="110"/>
          <w:sz w:val="16"/>
        </w:rPr>
        <w:t> </w:t>
      </w:r>
      <w:r>
        <w:rPr>
          <w:color w:val="3B383B"/>
          <w:w w:val="110"/>
          <w:sz w:val="18"/>
        </w:rPr>
        <w:t>at</w:t>
      </w:r>
      <w:r>
        <w:rPr>
          <w:color w:val="3B383B"/>
          <w:spacing w:val="10"/>
          <w:w w:val="110"/>
          <w:sz w:val="18"/>
        </w:rPr>
        <w:t> </w:t>
      </w:r>
      <w:r>
        <w:rPr>
          <w:color w:val="3B383B"/>
          <w:w w:val="110"/>
          <w:sz w:val="18"/>
        </w:rPr>
        <w:t>66</w:t>
      </w:r>
      <w:r>
        <w:rPr>
          <w:color w:val="3B383B"/>
          <w:spacing w:val="1"/>
          <w:w w:val="110"/>
          <w:sz w:val="18"/>
        </w:rPr>
        <w:t> </w:t>
      </w:r>
      <w:r>
        <w:rPr>
          <w:color w:val="3B383B"/>
          <w:w w:val="110"/>
          <w:sz w:val="18"/>
        </w:rPr>
        <w:t>(citations</w:t>
      </w:r>
      <w:r>
        <w:rPr>
          <w:color w:val="3B383B"/>
          <w:spacing w:val="5"/>
          <w:w w:val="110"/>
          <w:sz w:val="18"/>
        </w:rPr>
        <w:t> </w:t>
      </w:r>
      <w:r>
        <w:rPr>
          <w:color w:val="3B383B"/>
          <w:w w:val="110"/>
          <w:sz w:val="18"/>
        </w:rPr>
        <w:t>omitted)</w:t>
        <w:tab/>
        <w:t>'</w:t>
      </w:r>
    </w:p>
    <w:p>
      <w:pPr>
        <w:tabs>
          <w:tab w:pos="7377" w:val="left" w:leader="none"/>
        </w:tabs>
        <w:spacing w:line="218" w:lineRule="auto" w:before="0"/>
        <w:ind w:left="158" w:right="108" w:firstLine="370"/>
        <w:jc w:val="left"/>
        <w:rPr>
          <w:sz w:val="13"/>
        </w:rPr>
      </w:pPr>
      <w:r>
        <w:rPr>
          <w:rFonts w:ascii="Arial" w:hAnsi="Arial"/>
          <w:i/>
          <w:color w:val="3B383B"/>
          <w:w w:val="110"/>
          <w:position w:val="5"/>
          <w:sz w:val="9"/>
        </w:rPr>
        <w:t>30</w:t>
      </w:r>
      <w:r>
        <w:rPr>
          <w:i/>
          <w:color w:val="3B383B"/>
          <w:w w:val="110"/>
          <w:sz w:val="16"/>
        </w:rPr>
        <w:t>/d.</w:t>
      </w:r>
      <w:r>
        <w:rPr>
          <w:i/>
          <w:color w:val="3B383B"/>
          <w:spacing w:val="1"/>
          <w:w w:val="110"/>
          <w:sz w:val="16"/>
        </w:rPr>
        <w:t> </w:t>
      </w:r>
      <w:r>
        <w:rPr>
          <w:color w:val="3B383B"/>
          <w:w w:val="110"/>
          <w:sz w:val="18"/>
        </w:rPr>
        <w:t>at</w:t>
      </w:r>
      <w:r>
        <w:rPr>
          <w:color w:val="3B383B"/>
          <w:spacing w:val="1"/>
          <w:w w:val="110"/>
          <w:sz w:val="18"/>
        </w:rPr>
        <w:t> </w:t>
      </w:r>
      <w:r>
        <w:rPr>
          <w:color w:val="3B383B"/>
          <w:w w:val="110"/>
          <w:sz w:val="18"/>
        </w:rPr>
        <w:t>61-68 (reporting</w:t>
      </w:r>
      <w:r>
        <w:rPr>
          <w:color w:val="3B383B"/>
          <w:spacing w:val="1"/>
          <w:w w:val="110"/>
          <w:sz w:val="18"/>
        </w:rPr>
        <w:t> </w:t>
      </w:r>
      <w:r>
        <w:rPr>
          <w:color w:val="3B383B"/>
          <w:w w:val="110"/>
          <w:sz w:val="18"/>
        </w:rPr>
        <w:t>results of</w:t>
      </w:r>
      <w:r>
        <w:rPr>
          <w:color w:val="3B383B"/>
          <w:spacing w:val="1"/>
          <w:w w:val="110"/>
          <w:sz w:val="18"/>
        </w:rPr>
        <w:t> </w:t>
      </w:r>
      <w:r>
        <w:rPr>
          <w:color w:val="3B383B"/>
          <w:w w:val="110"/>
          <w:sz w:val="18"/>
        </w:rPr>
        <w:t>a</w:t>
      </w:r>
      <w:r>
        <w:rPr>
          <w:color w:val="3B383B"/>
          <w:spacing w:val="1"/>
          <w:w w:val="110"/>
          <w:sz w:val="18"/>
        </w:rPr>
        <w:t> </w:t>
      </w:r>
      <w:r>
        <w:rPr>
          <w:color w:val="3B383B"/>
          <w:w w:val="110"/>
          <w:sz w:val="18"/>
        </w:rPr>
        <w:t>study</w:t>
      </w:r>
      <w:r>
        <w:rPr>
          <w:color w:val="3B383B"/>
          <w:spacing w:val="1"/>
          <w:w w:val="110"/>
          <w:sz w:val="18"/>
        </w:rPr>
        <w:t> </w:t>
      </w:r>
      <w:r>
        <w:rPr>
          <w:color w:val="3B383B"/>
          <w:w w:val="110"/>
          <w:sz w:val="18"/>
        </w:rPr>
        <w:t>showing  that "subjects  In  the  print  co;tdltl</w:t>
      </w:r>
      <w:r>
        <w:rPr>
          <w:color w:val="3B383B"/>
          <w:spacing w:val="1"/>
          <w:w w:val="110"/>
          <w:sz w:val="18"/>
        </w:rPr>
        <w:t> </w:t>
      </w:r>
      <w:r>
        <w:rPr>
          <w:color w:val="3B383B"/>
          <w:w w:val="110"/>
          <w:sz w:val="18"/>
        </w:rPr>
        <w:t>scored significantly  higher on  the  comprehension  tests than those In the screen condltio </w:t>
      </w:r>
      <w:r>
        <w:rPr>
          <w:color w:val="3B383B"/>
          <w:spacing w:val="1"/>
          <w:w w:val="110"/>
          <w:sz w:val="18"/>
        </w:rPr>
        <w:t> </w:t>
      </w:r>
      <w:r>
        <w:rPr>
          <w:color w:val="3B383B"/>
          <w:w w:val="110"/>
          <w:sz w:val="18"/>
        </w:rPr>
        <w:t>,.  </w:t>
      </w:r>
      <w:r>
        <w:rPr>
          <w:rFonts w:ascii="Arial" w:hAnsi="Arial"/>
          <w:color w:val="3B383B"/>
          <w:w w:val="110"/>
          <w:sz w:val="17"/>
        </w:rPr>
        <w:t>dn</w:t>
      </w:r>
      <w:r>
        <w:rPr>
          <w:rFonts w:ascii="Arial" w:hAnsi="Arial"/>
          <w:color w:val="3B383B"/>
          <w:spacing w:val="1"/>
          <w:w w:val="110"/>
          <w:sz w:val="17"/>
        </w:rPr>
        <w:t> </w:t>
      </w:r>
      <w:r>
        <w:rPr>
          <w:color w:val="3B383B"/>
          <w:w w:val="110"/>
          <w:sz w:val="18"/>
        </w:rPr>
        <w:t>at</w:t>
      </w:r>
      <w:r>
        <w:rPr>
          <w:color w:val="3B383B"/>
          <w:spacing w:val="6"/>
          <w:w w:val="110"/>
          <w:sz w:val="18"/>
        </w:rPr>
        <w:t> </w:t>
      </w:r>
      <w:r>
        <w:rPr>
          <w:color w:val="3B383B"/>
          <w:w w:val="110"/>
          <w:sz w:val="18"/>
        </w:rPr>
        <w:t>65).</w:t>
        <w:tab/>
        <w:t>n,  </w:t>
      </w:r>
      <w:r>
        <w:rPr>
          <w:color w:val="3B383B"/>
          <w:spacing w:val="13"/>
          <w:w w:val="110"/>
          <w:sz w:val="18"/>
        </w:rPr>
        <w:t> </w:t>
      </w:r>
      <w:r>
        <w:rPr>
          <w:color w:val="3B383B"/>
          <w:w w:val="110"/>
          <w:sz w:val="18"/>
          <w:vertAlign w:val="superscript"/>
        </w:rPr>
        <w:t>1</w:t>
      </w:r>
      <w:r>
        <w:rPr>
          <w:color w:val="3B383B"/>
          <w:w w:val="110"/>
          <w:sz w:val="13"/>
          <w:vertAlign w:val="baseline"/>
        </w:rPr>
        <w:t>•</w:t>
      </w:r>
    </w:p>
    <w:p>
      <w:pPr>
        <w:spacing w:after="0" w:line="218" w:lineRule="auto"/>
        <w:jc w:val="left"/>
        <w:rPr>
          <w:sz w:val="13"/>
        </w:rPr>
        <w:sectPr>
          <w:headerReference w:type="default" r:id="rId87"/>
          <w:headerReference w:type="even" r:id="rId88"/>
          <w:pgSz w:w="9500" w:h="13710"/>
          <w:pgMar w:header="443" w:footer="0" w:top="1040" w:bottom="0" w:left="440" w:right="1060"/>
          <w:pgNumType w:start="63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35" w:lineRule="auto" w:before="223"/>
        <w:ind w:left="847" w:right="86" w:firstLine="40"/>
        <w:jc w:val="both"/>
      </w:pPr>
      <w:r>
        <w:rPr>
          <w:color w:val="3A3838"/>
          <w:w w:val="110"/>
        </w:rPr>
        <w:t>be tempted to abandon our research, or "take a break," and look at other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tabs or icons readily available on our screens. Likewise,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dings of new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e-mails or Facebook notices call to us even when our research is going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well.</w:t>
      </w:r>
    </w:p>
    <w:p>
      <w:pPr>
        <w:pStyle w:val="BodyText"/>
        <w:spacing w:line="243" w:lineRule="exact"/>
        <w:ind w:left="1199"/>
        <w:jc w:val="both"/>
      </w:pPr>
      <w:r>
        <w:rPr>
          <w:color w:val="3A3838"/>
          <w:w w:val="110"/>
        </w:rPr>
        <w:t>I</w:t>
      </w:r>
      <w:r>
        <w:rPr>
          <w:color w:val="3A3838"/>
          <w:spacing w:val="18"/>
          <w:w w:val="110"/>
        </w:rPr>
        <w:t> </w:t>
      </w:r>
      <w:r>
        <w:rPr>
          <w:color w:val="3A3838"/>
          <w:w w:val="110"/>
          <w:sz w:val="24"/>
        </w:rPr>
        <w:t>am</w:t>
      </w:r>
      <w:r>
        <w:rPr>
          <w:color w:val="3A3838"/>
          <w:spacing w:val="43"/>
          <w:w w:val="110"/>
          <w:sz w:val="24"/>
        </w:rPr>
        <w:t> </w:t>
      </w:r>
      <w:r>
        <w:rPr>
          <w:color w:val="3A3838"/>
          <w:w w:val="110"/>
        </w:rPr>
        <w:t>not</w:t>
      </w:r>
      <w:r>
        <w:rPr>
          <w:color w:val="3A3838"/>
          <w:spacing w:val="39"/>
          <w:w w:val="110"/>
        </w:rPr>
        <w:t> </w:t>
      </w:r>
      <w:r>
        <w:rPr>
          <w:color w:val="3A3838"/>
          <w:w w:val="110"/>
        </w:rPr>
        <w:t>suggesting</w:t>
      </w:r>
      <w:r>
        <w:rPr>
          <w:color w:val="3A3838"/>
          <w:spacing w:val="28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32"/>
          <w:w w:val="110"/>
        </w:rPr>
        <w:t> </w:t>
      </w:r>
      <w:r>
        <w:rPr>
          <w:color w:val="3A3838"/>
          <w:w w:val="110"/>
        </w:rPr>
        <w:t>we</w:t>
      </w:r>
      <w:r>
        <w:rPr>
          <w:color w:val="3A3838"/>
          <w:spacing w:val="12"/>
          <w:w w:val="110"/>
        </w:rPr>
        <w:t> </w:t>
      </w:r>
      <w:r>
        <w:rPr>
          <w:color w:val="3A3838"/>
          <w:w w:val="110"/>
        </w:rPr>
        <w:t>should</w:t>
      </w:r>
      <w:r>
        <w:rPr>
          <w:color w:val="3A3838"/>
          <w:spacing w:val="27"/>
          <w:w w:val="110"/>
        </w:rPr>
        <w:t> </w:t>
      </w:r>
      <w:r>
        <w:rPr>
          <w:color w:val="3A3838"/>
          <w:w w:val="110"/>
        </w:rPr>
        <w:t>all</w:t>
      </w:r>
      <w:r>
        <w:rPr>
          <w:color w:val="3A3838"/>
          <w:spacing w:val="24"/>
          <w:w w:val="110"/>
        </w:rPr>
        <w:t> </w:t>
      </w:r>
      <w:r>
        <w:rPr>
          <w:color w:val="3A3838"/>
          <w:w w:val="110"/>
        </w:rPr>
        <w:t>abandon</w:t>
      </w:r>
      <w:r>
        <w:rPr>
          <w:color w:val="3A3838"/>
          <w:spacing w:val="31"/>
          <w:w w:val="110"/>
        </w:rPr>
        <w:t> </w:t>
      </w:r>
      <w:r>
        <w:rPr>
          <w:color w:val="3A3838"/>
          <w:w w:val="110"/>
        </w:rPr>
        <w:t>all</w:t>
      </w:r>
      <w:r>
        <w:rPr>
          <w:color w:val="3A3838"/>
          <w:spacing w:val="13"/>
          <w:w w:val="110"/>
        </w:rPr>
        <w:t> </w:t>
      </w:r>
      <w:r>
        <w:rPr>
          <w:color w:val="3A3838"/>
          <w:w w:val="110"/>
        </w:rPr>
        <w:t>digital</w:t>
      </w:r>
      <w:r>
        <w:rPr>
          <w:color w:val="3A3838"/>
          <w:spacing w:val="38"/>
          <w:w w:val="110"/>
        </w:rPr>
        <w:t> </w:t>
      </w:r>
      <w:r>
        <w:rPr>
          <w:color w:val="3A3838"/>
          <w:w w:val="110"/>
        </w:rPr>
        <w:t>reading.</w:t>
      </w:r>
    </w:p>
    <w:p>
      <w:pPr>
        <w:pStyle w:val="BodyText"/>
        <w:spacing w:line="232" w:lineRule="auto" w:before="3"/>
        <w:ind w:left="721" w:right="89" w:firstLine="104"/>
        <w:jc w:val="both"/>
      </w:pPr>
      <w:r>
        <w:rPr>
          <w:color w:val="3A3838"/>
          <w:w w:val="105"/>
        </w:rPr>
        <w:t>We should, however, be aware of its limits and take steps to combat them.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We can absorb the content from digital documents, but we may have to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expend extra energy to do so</w:t>
      </w:r>
      <w:r>
        <w:rPr>
          <w:color w:val="565659"/>
          <w:w w:val="110"/>
        </w:rPr>
        <w:t>. </w:t>
      </w:r>
      <w:r>
        <w:rPr>
          <w:color w:val="3A3838"/>
          <w:w w:val="110"/>
        </w:rPr>
        <w:t>To make sure that we are comprehending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context, we may want to scan a table of contents, if one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is available, or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strive to take notes (either on or off the screen) that provide context </w:t>
      </w:r>
      <w:r>
        <w:rPr>
          <w:color w:val="3A3838"/>
          <w:w w:val="110"/>
          <w:sz w:val="25"/>
        </w:rPr>
        <w:t>cues.</w:t>
      </w:r>
      <w:r>
        <w:rPr>
          <w:color w:val="3A3838"/>
          <w:spacing w:val="1"/>
          <w:w w:val="110"/>
          <w:sz w:val="25"/>
        </w:rPr>
        <w:t> </w:t>
      </w:r>
      <w:r>
        <w:rPr>
          <w:color w:val="3A3838"/>
          <w:w w:val="110"/>
        </w:rPr>
        <w:t>Many research databases make it easy for writers to insert pop-up notes,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and planning to write those notes may encourage us to engage with the</w:t>
      </w:r>
      <w:r>
        <w:rPr>
          <w:color w:val="3A3838"/>
          <w:spacing w:val="-64"/>
          <w:w w:val="115"/>
        </w:rPr>
        <w:t> </w:t>
      </w:r>
      <w:r>
        <w:rPr>
          <w:color w:val="3A3838"/>
          <w:w w:val="110"/>
        </w:rPr>
        <w:t>text and discourage skimming. Similarly, consciously noting how long </w:t>
      </w:r>
      <w:r>
        <w:rPr>
          <w:color w:val="3A3838"/>
          <w:w w:val="110"/>
          <w:sz w:val="22"/>
        </w:rPr>
        <w:t>a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15"/>
        </w:rPr>
        <w:t>case or article is-either byscanning through the document or by noting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a page length that is provided in the document-may help us to subcon­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sciously place the information into a physical context (such as beginning,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20"/>
        </w:rPr>
        <w:t>middle,</w:t>
      </w:r>
      <w:r>
        <w:rPr>
          <w:color w:val="3A3838"/>
          <w:spacing w:val="-10"/>
          <w:w w:val="120"/>
        </w:rPr>
        <w:t> </w:t>
      </w:r>
      <w:r>
        <w:rPr>
          <w:color w:val="3A3838"/>
          <w:w w:val="120"/>
        </w:rPr>
        <w:t>or</w:t>
      </w:r>
      <w:r>
        <w:rPr>
          <w:color w:val="3A3838"/>
          <w:spacing w:val="-6"/>
          <w:w w:val="120"/>
        </w:rPr>
        <w:t> </w:t>
      </w:r>
      <w:r>
        <w:rPr>
          <w:color w:val="3A3838"/>
          <w:w w:val="120"/>
        </w:rPr>
        <w:t>end).</w:t>
      </w:r>
    </w:p>
    <w:p>
      <w:pPr>
        <w:pStyle w:val="BodyText"/>
        <w:spacing w:line="235" w:lineRule="auto"/>
        <w:ind w:left="629" w:right="116" w:firstLine="456"/>
        <w:jc w:val="both"/>
      </w:pPr>
      <w:r>
        <w:rPr>
          <w:color w:val="3A3838"/>
          <w:w w:val="110"/>
        </w:rPr>
        <w:t>Furthermore, when we have the choice to read the article as a .pdf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rather than  byscrolling, we should do so, especially if we  can</w:t>
      </w:r>
      <w:r>
        <w:rPr>
          <w:color w:val="3A3838"/>
          <w:spacing w:val="61"/>
          <w:w w:val="105"/>
        </w:rPr>
        <w:t> </w:t>
      </w:r>
      <w:r>
        <w:rPr>
          <w:color w:val="3A3838"/>
          <w:w w:val="105"/>
        </w:rPr>
        <w:t>fit  the   page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screen si</w:t>
      </w:r>
      <w:r>
        <w:rPr>
          <w:color w:val="565659"/>
          <w:w w:val="110"/>
        </w:rPr>
        <w:t>z</w:t>
      </w:r>
      <w:r>
        <w:rPr>
          <w:color w:val="3A3838"/>
          <w:w w:val="110"/>
        </w:rPr>
        <w:t>e</w:t>
      </w:r>
      <w:r>
        <w:rPr>
          <w:color w:val="565659"/>
          <w:w w:val="110"/>
        </w:rPr>
        <w:t>. </w:t>
      </w:r>
      <w:r>
        <w:rPr>
          <w:color w:val="3A3838"/>
          <w:w w:val="110"/>
        </w:rPr>
        <w:t>Many studies show that scrolling through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  text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affects comprehension and recall because the information has no perma­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nent physical location.</w:t>
      </w:r>
      <w:r>
        <w:rPr>
          <w:color w:val="3A3838"/>
          <w:w w:val="110"/>
          <w:vertAlign w:val="superscript"/>
        </w:rPr>
        <w:t>31</w:t>
      </w:r>
      <w:r>
        <w:rPr>
          <w:color w:val="3A3838"/>
          <w:w w:val="110"/>
          <w:vertAlign w:val="baseline"/>
        </w:rPr>
        <w:t> </w:t>
      </w:r>
      <w:r>
        <w:rPr>
          <w:color w:val="3A3838"/>
          <w:w w:val="110"/>
          <w:sz w:val="22"/>
          <w:vertAlign w:val="baseline"/>
        </w:rPr>
        <w:t>It </w:t>
      </w:r>
      <w:r>
        <w:rPr>
          <w:color w:val="3A3838"/>
          <w:w w:val="110"/>
          <w:vertAlign w:val="baseline"/>
        </w:rPr>
        <w:t>is common for readers to  "picture" informa­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tion by recalling where it was on a page, or on the two-page presentation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common in hard-copy books.</w:t>
      </w:r>
      <w:r>
        <w:rPr>
          <w:color w:val="3A3838"/>
          <w:w w:val="110"/>
          <w:vertAlign w:val="superscript"/>
        </w:rPr>
        <w:t>32</w:t>
      </w:r>
      <w:r>
        <w:rPr>
          <w:color w:val="3A3838"/>
          <w:w w:val="110"/>
          <w:vertAlign w:val="baseline"/>
        </w:rPr>
        <w:t> Likewise, consider the size of the  screen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on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the device you are using to read the document: the smaller the screen,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the harder you have to work to put information into context. Your smart­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spacing w:val="-1"/>
          <w:w w:val="110"/>
          <w:vertAlign w:val="baseline"/>
        </w:rPr>
        <w:t>phone will allow you to read cases anywhere, </w:t>
      </w:r>
      <w:r>
        <w:rPr>
          <w:color w:val="3A3838"/>
          <w:w w:val="110"/>
          <w:vertAlign w:val="baseline"/>
        </w:rPr>
        <w:t>but the benefit of accessibil­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ity</w:t>
      </w:r>
      <w:r>
        <w:rPr>
          <w:color w:val="3A3838"/>
          <w:spacing w:val="29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may</w:t>
      </w:r>
      <w:r>
        <w:rPr>
          <w:color w:val="3A3838"/>
          <w:spacing w:val="34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impose</w:t>
      </w:r>
      <w:r>
        <w:rPr>
          <w:color w:val="3A3838"/>
          <w:spacing w:val="-17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costs</w:t>
      </w:r>
      <w:r>
        <w:rPr>
          <w:color w:val="3A3838"/>
          <w:spacing w:val="-14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in</w:t>
      </w:r>
      <w:r>
        <w:rPr>
          <w:color w:val="3A3838"/>
          <w:spacing w:val="3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comprehension</w:t>
      </w:r>
      <w:r>
        <w:rPr>
          <w:color w:val="565659"/>
          <w:w w:val="110"/>
          <w:vertAlign w:val="baseline"/>
        </w:rPr>
        <w:t>.</w:t>
      </w:r>
    </w:p>
    <w:p>
      <w:pPr>
        <w:pStyle w:val="BodyText"/>
        <w:spacing w:line="232" w:lineRule="auto"/>
        <w:ind w:left="561" w:right="132" w:firstLine="434"/>
        <w:jc w:val="both"/>
      </w:pPr>
      <w:r>
        <w:rPr>
          <w:color w:val="3A3838"/>
          <w:w w:val="115"/>
        </w:rPr>
        <w:t>Thus, when conducting your research, take steps to help you focus</w:t>
      </w:r>
      <w:r>
        <w:rPr>
          <w:color w:val="3A3838"/>
          <w:spacing w:val="1"/>
          <w:w w:val="115"/>
        </w:rPr>
        <w:t> </w:t>
      </w:r>
      <w:r>
        <w:rPr>
          <w:color w:val="3A3838"/>
          <w:spacing w:val="-1"/>
          <w:w w:val="115"/>
        </w:rPr>
        <w:t>your attention</w:t>
      </w:r>
      <w:r>
        <w:rPr>
          <w:color w:val="565659"/>
          <w:spacing w:val="-1"/>
          <w:w w:val="115"/>
        </w:rPr>
        <w:t>. </w:t>
      </w:r>
      <w:r>
        <w:rPr>
          <w:color w:val="3A3838"/>
          <w:spacing w:val="-1"/>
          <w:w w:val="115"/>
        </w:rPr>
        <w:t>Set timers or </w:t>
      </w:r>
      <w:r>
        <w:rPr>
          <w:color w:val="3A3838"/>
          <w:w w:val="115"/>
        </w:rPr>
        <w:t>use other methods to encourage you to stay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with one document for a specific period of time. Read .pdfs or use other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hard-page imitations to improve your spatial relationship with your docu­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ments. FinaJly, if you are having a particularly difficult time with a docu•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ment, or if you know that a document is particularly crucial</w:t>
      </w:r>
      <w:r>
        <w:rPr>
          <w:color w:val="565659"/>
          <w:w w:val="115"/>
        </w:rPr>
        <w:t>, </w:t>
      </w:r>
      <w:r>
        <w:rPr>
          <w:color w:val="3A3838"/>
          <w:w w:val="115"/>
        </w:rPr>
        <w:t>spend the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toner to print it out</w:t>
      </w:r>
      <w:r>
        <w:rPr>
          <w:color w:val="565659"/>
          <w:w w:val="115"/>
        </w:rPr>
        <w:t>. </w:t>
      </w:r>
      <w:r>
        <w:rPr>
          <w:color w:val="3A3838"/>
          <w:w w:val="115"/>
        </w:rPr>
        <w:t>Your brain-and your clients-may beglad that </w:t>
      </w:r>
      <w:r>
        <w:rPr>
          <w:rFonts w:ascii="Arial" w:hAnsi="Arial"/>
          <w:color w:val="3A3838"/>
          <w:w w:val="115"/>
          <w:sz w:val="22"/>
        </w:rPr>
        <w:t>you</w:t>
      </w:r>
      <w:r>
        <w:rPr>
          <w:rFonts w:ascii="Arial" w:hAnsi="Arial"/>
          <w:color w:val="3A3838"/>
          <w:spacing w:val="1"/>
          <w:w w:val="115"/>
          <w:sz w:val="22"/>
        </w:rPr>
        <w:t> </w:t>
      </w:r>
      <w:r>
        <w:rPr>
          <w:color w:val="3A3838"/>
          <w:w w:val="115"/>
        </w:rPr>
        <w:t>did.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28" w:lineRule="auto" w:before="192"/>
        <w:ind w:left="495" w:right="172" w:firstLine="409"/>
        <w:jc w:val="both"/>
        <w:rPr>
          <w:sz w:val="17"/>
        </w:rPr>
      </w:pPr>
      <w:r>
        <w:rPr>
          <w:color w:val="3A3838"/>
          <w:spacing w:val="-1"/>
          <w:w w:val="110"/>
          <w:sz w:val="12"/>
        </w:rPr>
        <w:t>JI</w:t>
      </w:r>
      <w:r>
        <w:rPr>
          <w:color w:val="3A3838"/>
          <w:spacing w:val="4"/>
          <w:w w:val="110"/>
          <w:sz w:val="12"/>
        </w:rPr>
        <w:t> </w:t>
      </w:r>
      <w:r>
        <w:rPr>
          <w:i/>
          <w:color w:val="3A3838"/>
          <w:spacing w:val="-1"/>
          <w:w w:val="110"/>
          <w:sz w:val="17"/>
        </w:rPr>
        <w:t>Id</w:t>
      </w:r>
      <w:r>
        <w:rPr>
          <w:i/>
          <w:color w:val="565659"/>
          <w:spacing w:val="-1"/>
          <w:w w:val="110"/>
          <w:sz w:val="17"/>
        </w:rPr>
        <w:t>. </w:t>
      </w:r>
      <w:r>
        <w:rPr>
          <w:b/>
          <w:color w:val="3A3838"/>
          <w:spacing w:val="-1"/>
          <w:w w:val="110"/>
          <w:sz w:val="17"/>
        </w:rPr>
        <w:t>at</w:t>
      </w:r>
      <w:r>
        <w:rPr>
          <w:b/>
          <w:color w:val="3A3838"/>
          <w:spacing w:val="9"/>
          <w:w w:val="110"/>
          <w:sz w:val="17"/>
        </w:rPr>
        <w:t> </w:t>
      </w:r>
      <w:r>
        <w:rPr>
          <w:color w:val="3A3838"/>
          <w:spacing w:val="-1"/>
          <w:w w:val="110"/>
          <w:sz w:val="17"/>
        </w:rPr>
        <w:t>61-68.</w:t>
      </w:r>
      <w:r>
        <w:rPr>
          <w:color w:val="3A3838"/>
          <w:spacing w:val="3"/>
          <w:w w:val="110"/>
          <w:sz w:val="17"/>
        </w:rPr>
        <w:t> </w:t>
      </w:r>
      <w:r>
        <w:rPr>
          <w:color w:val="565659"/>
          <w:spacing w:val="-1"/>
          <w:w w:val="110"/>
          <w:sz w:val="18"/>
        </w:rPr>
        <w:t>u</w:t>
      </w:r>
      <w:r>
        <w:rPr>
          <w:color w:val="3A3838"/>
          <w:spacing w:val="-1"/>
          <w:w w:val="110"/>
          <w:sz w:val="18"/>
        </w:rPr>
        <w:t>lf</w:t>
      </w:r>
      <w:r>
        <w:rPr>
          <w:color w:val="3A3838"/>
          <w:spacing w:val="5"/>
          <w:w w:val="110"/>
          <w:sz w:val="18"/>
        </w:rPr>
        <w:t> </w:t>
      </w:r>
      <w:r>
        <w:rPr>
          <w:color w:val="3A3838"/>
          <w:spacing w:val="-1"/>
          <w:w w:val="110"/>
          <w:sz w:val="18"/>
        </w:rPr>
        <w:t>texts</w:t>
      </w:r>
      <w:r>
        <w:rPr>
          <w:color w:val="3A3838"/>
          <w:spacing w:val="-19"/>
          <w:w w:val="110"/>
          <w:sz w:val="18"/>
        </w:rPr>
        <w:t> </w:t>
      </w:r>
      <w:r>
        <w:rPr>
          <w:color w:val="3A3838"/>
          <w:spacing w:val="-1"/>
          <w:w w:val="110"/>
          <w:sz w:val="18"/>
        </w:rPr>
        <w:t>are</w:t>
      </w:r>
      <w:r>
        <w:rPr>
          <w:color w:val="3A3838"/>
          <w:spacing w:val="-20"/>
          <w:w w:val="110"/>
          <w:sz w:val="18"/>
        </w:rPr>
        <w:t> </w:t>
      </w:r>
      <w:r>
        <w:rPr>
          <w:color w:val="3A3838"/>
          <w:spacing w:val="-1"/>
          <w:w w:val="110"/>
          <w:sz w:val="18"/>
        </w:rPr>
        <w:t>longer</w:t>
      </w:r>
      <w:r>
        <w:rPr>
          <w:color w:val="3A3838"/>
          <w:spacing w:val="-14"/>
          <w:w w:val="110"/>
          <w:sz w:val="18"/>
        </w:rPr>
        <w:t> </w:t>
      </w:r>
      <w:r>
        <w:rPr>
          <w:color w:val="3A3838"/>
          <w:spacing w:val="-1"/>
          <w:w w:val="110"/>
          <w:sz w:val="18"/>
        </w:rPr>
        <w:t>than</w:t>
      </w:r>
      <w:r>
        <w:rPr>
          <w:color w:val="3A3838"/>
          <w:spacing w:val="-12"/>
          <w:w w:val="110"/>
          <w:sz w:val="18"/>
        </w:rPr>
        <w:t> </w:t>
      </w:r>
      <w:r>
        <w:rPr>
          <w:color w:val="3A3838"/>
          <w:spacing w:val="-1"/>
          <w:w w:val="110"/>
          <w:sz w:val="18"/>
        </w:rPr>
        <w:t>a</w:t>
      </w:r>
      <w:r>
        <w:rPr>
          <w:color w:val="3A3838"/>
          <w:spacing w:val="-5"/>
          <w:w w:val="110"/>
          <w:sz w:val="18"/>
        </w:rPr>
        <w:t> </w:t>
      </w:r>
      <w:r>
        <w:rPr>
          <w:color w:val="3A3838"/>
          <w:spacing w:val="-1"/>
          <w:w w:val="110"/>
          <w:sz w:val="18"/>
        </w:rPr>
        <w:t>page,</w:t>
      </w:r>
      <w:r>
        <w:rPr>
          <w:color w:val="3A3838"/>
          <w:spacing w:val="-14"/>
          <w:w w:val="110"/>
          <w:sz w:val="18"/>
        </w:rPr>
        <w:t> </w:t>
      </w:r>
      <w:r>
        <w:rPr>
          <w:color w:val="3A3838"/>
          <w:w w:val="110"/>
          <w:sz w:val="18"/>
        </w:rPr>
        <w:t>scrolllng</w:t>
      </w:r>
      <w:r>
        <w:rPr>
          <w:color w:val="3A3838"/>
          <w:spacing w:val="-8"/>
          <w:w w:val="110"/>
          <w:sz w:val="18"/>
        </w:rPr>
        <w:t> </w:t>
      </w:r>
      <w:r>
        <w:rPr>
          <w:color w:val="3A3838"/>
          <w:w w:val="110"/>
          <w:sz w:val="18"/>
        </w:rPr>
        <w:t>and</w:t>
      </w:r>
      <w:r>
        <w:rPr>
          <w:color w:val="3A3838"/>
          <w:spacing w:val="11"/>
          <w:w w:val="110"/>
          <w:sz w:val="18"/>
        </w:rPr>
        <w:t> </w:t>
      </w:r>
      <w:r>
        <w:rPr>
          <w:color w:val="3A3838"/>
          <w:w w:val="110"/>
          <w:sz w:val="18"/>
        </w:rPr>
        <w:t>the</w:t>
      </w:r>
      <w:r>
        <w:rPr>
          <w:color w:val="3A3838"/>
          <w:spacing w:val="16"/>
          <w:w w:val="110"/>
          <w:sz w:val="18"/>
        </w:rPr>
        <w:t> </w:t>
      </w:r>
      <w:r>
        <w:rPr>
          <w:color w:val="3A3838"/>
          <w:w w:val="110"/>
          <w:sz w:val="18"/>
        </w:rPr>
        <w:t>lack</w:t>
      </w:r>
      <w:r>
        <w:rPr>
          <w:color w:val="3A3838"/>
          <w:spacing w:val="-9"/>
          <w:w w:val="110"/>
          <w:sz w:val="18"/>
        </w:rPr>
        <w:t> </w:t>
      </w:r>
      <w:r>
        <w:rPr>
          <w:color w:val="3A3838"/>
          <w:w w:val="110"/>
          <w:sz w:val="18"/>
        </w:rPr>
        <w:t>of</w:t>
      </w:r>
      <w:r>
        <w:rPr>
          <w:color w:val="3A3838"/>
          <w:spacing w:val="-8"/>
          <w:w w:val="110"/>
          <w:sz w:val="18"/>
        </w:rPr>
        <w:t> </w:t>
      </w:r>
      <w:r>
        <w:rPr>
          <w:color w:val="3A3838"/>
          <w:w w:val="110"/>
          <w:sz w:val="18"/>
        </w:rPr>
        <w:t>spatlo</w:t>
      </w:r>
      <w:r>
        <w:rPr>
          <w:color w:val="565659"/>
          <w:w w:val="110"/>
          <w:sz w:val="18"/>
        </w:rPr>
        <w:t>t</w:t>
      </w:r>
      <w:r>
        <w:rPr>
          <w:color w:val="3A3838"/>
          <w:w w:val="110"/>
          <w:sz w:val="18"/>
        </w:rPr>
        <w:t>emporal</w:t>
      </w:r>
      <w:r>
        <w:rPr>
          <w:color w:val="3A3838"/>
          <w:spacing w:val="-5"/>
          <w:w w:val="110"/>
          <w:sz w:val="18"/>
        </w:rPr>
        <w:t> </w:t>
      </w:r>
      <w:r>
        <w:rPr>
          <w:color w:val="3A3838"/>
          <w:w w:val="110"/>
          <w:sz w:val="18"/>
        </w:rPr>
        <w:t>mark•</w:t>
      </w:r>
      <w:r>
        <w:rPr>
          <w:color w:val="3A3838"/>
          <w:spacing w:val="1"/>
          <w:w w:val="110"/>
          <w:sz w:val="18"/>
        </w:rPr>
        <w:t> </w:t>
      </w:r>
      <w:r>
        <w:rPr>
          <w:color w:val="3A3838"/>
          <w:w w:val="110"/>
          <w:sz w:val="18"/>
        </w:rPr>
        <w:t>ers of the digital texts to aid memory and reading comprehens</w:t>
      </w:r>
      <w:r>
        <w:rPr>
          <w:color w:val="565659"/>
          <w:w w:val="110"/>
          <w:sz w:val="18"/>
        </w:rPr>
        <w:t>i</w:t>
      </w:r>
      <w:r>
        <w:rPr>
          <w:color w:val="3A3838"/>
          <w:w w:val="110"/>
          <w:sz w:val="18"/>
        </w:rPr>
        <w:t>on might Imped</w:t>
      </w:r>
      <w:r>
        <w:rPr>
          <w:color w:val="565659"/>
          <w:w w:val="110"/>
          <w:sz w:val="18"/>
        </w:rPr>
        <w:t>e </w:t>
      </w:r>
      <w:r>
        <w:rPr>
          <w:color w:val="3A3838"/>
          <w:w w:val="110"/>
          <w:sz w:val="18"/>
        </w:rPr>
        <w:t>reader perfor•</w:t>
      </w:r>
      <w:r>
        <w:rPr>
          <w:color w:val="3A3838"/>
          <w:spacing w:val="1"/>
          <w:w w:val="110"/>
          <w:sz w:val="18"/>
        </w:rPr>
        <w:t> </w:t>
      </w:r>
      <w:r>
        <w:rPr>
          <w:color w:val="3A3838"/>
          <w:w w:val="110"/>
          <w:sz w:val="18"/>
        </w:rPr>
        <w:t>mance</w:t>
      </w:r>
      <w:r>
        <w:rPr>
          <w:color w:val="565659"/>
          <w:w w:val="110"/>
          <w:sz w:val="18"/>
        </w:rPr>
        <w:t>."</w:t>
      </w:r>
      <w:r>
        <w:rPr>
          <w:color w:val="565659"/>
          <w:spacing w:val="8"/>
          <w:w w:val="110"/>
          <w:sz w:val="18"/>
        </w:rPr>
        <w:t> </w:t>
      </w:r>
      <w:r>
        <w:rPr>
          <w:i/>
          <w:color w:val="3A3838"/>
          <w:w w:val="110"/>
          <w:sz w:val="17"/>
        </w:rPr>
        <w:t>Id.</w:t>
      </w:r>
      <w:r>
        <w:rPr>
          <w:i/>
          <w:color w:val="3A3838"/>
          <w:spacing w:val="-5"/>
          <w:w w:val="110"/>
          <w:sz w:val="17"/>
        </w:rPr>
        <w:t> </w:t>
      </w:r>
      <w:r>
        <w:rPr>
          <w:color w:val="3A3838"/>
          <w:w w:val="110"/>
          <w:sz w:val="18"/>
        </w:rPr>
        <w:t>at</w:t>
      </w:r>
      <w:r>
        <w:rPr>
          <w:color w:val="3A3838"/>
          <w:spacing w:val="6"/>
          <w:w w:val="110"/>
          <w:sz w:val="18"/>
        </w:rPr>
        <w:t> </w:t>
      </w:r>
      <w:r>
        <w:rPr>
          <w:color w:val="3A3838"/>
          <w:w w:val="110"/>
          <w:sz w:val="17"/>
        </w:rPr>
        <w:t>67.</w:t>
      </w:r>
    </w:p>
    <w:p>
      <w:pPr>
        <w:spacing w:line="228" w:lineRule="auto" w:before="7"/>
        <w:ind w:left="458" w:right="180" w:firstLine="424"/>
        <w:jc w:val="both"/>
        <w:rPr>
          <w:i/>
          <w:sz w:val="17"/>
        </w:rPr>
      </w:pPr>
      <w:r>
        <w:rPr>
          <w:color w:val="3A3838"/>
          <w:w w:val="110"/>
          <w:sz w:val="17"/>
          <w:vertAlign w:val="superscript"/>
        </w:rPr>
        <w:t>32</w:t>
      </w:r>
      <w:r>
        <w:rPr>
          <w:i/>
          <w:color w:val="3A3838"/>
          <w:w w:val="110"/>
          <w:sz w:val="17"/>
          <w:vertAlign w:val="baseline"/>
        </w:rPr>
        <w:t>Id. at </w:t>
      </w:r>
      <w:r>
        <w:rPr>
          <w:color w:val="3A3838"/>
          <w:w w:val="110"/>
          <w:sz w:val="17"/>
          <w:vertAlign w:val="baseline"/>
        </w:rPr>
        <w:t>61-68. </w:t>
      </w:r>
      <w:r>
        <w:rPr>
          <w:color w:val="3A3838"/>
          <w:w w:val="110"/>
          <w:sz w:val="18"/>
          <w:vertAlign w:val="baseline"/>
        </w:rPr>
        <w:t>"Evidence suggests that readers often recall where In a text some particular</w:t>
      </w:r>
      <w:r>
        <w:rPr>
          <w:color w:val="3A3838"/>
          <w:spacing w:val="1"/>
          <w:w w:val="110"/>
          <w:sz w:val="18"/>
          <w:vertAlign w:val="baseline"/>
        </w:rPr>
        <w:t> </w:t>
      </w:r>
      <w:r>
        <w:rPr>
          <w:color w:val="3A3838"/>
          <w:w w:val="110"/>
          <w:sz w:val="18"/>
          <w:vertAlign w:val="baseline"/>
        </w:rPr>
        <w:t>piece of Information appeared (e</w:t>
      </w:r>
      <w:r>
        <w:rPr>
          <w:color w:val="565659"/>
          <w:w w:val="110"/>
          <w:sz w:val="18"/>
          <w:vertAlign w:val="baseline"/>
        </w:rPr>
        <w:t>.</w:t>
      </w:r>
      <w:r>
        <w:rPr>
          <w:color w:val="3A3838"/>
          <w:w w:val="110"/>
          <w:sz w:val="18"/>
          <w:vertAlign w:val="baseline"/>
        </w:rPr>
        <w:t>g., toward the upper right corner or at the bottom of the page)."</w:t>
      </w:r>
      <w:r>
        <w:rPr>
          <w:color w:val="3A3838"/>
          <w:spacing w:val="1"/>
          <w:w w:val="110"/>
          <w:sz w:val="18"/>
          <w:vertAlign w:val="baseline"/>
        </w:rPr>
        <w:t> </w:t>
      </w:r>
      <w:r>
        <w:rPr>
          <w:i/>
          <w:color w:val="3A3838"/>
          <w:w w:val="115"/>
          <w:sz w:val="17"/>
          <w:vertAlign w:val="baseline"/>
        </w:rPr>
        <w:t>Id.</w:t>
      </w:r>
      <w:r>
        <w:rPr>
          <w:i/>
          <w:color w:val="3A3838"/>
          <w:spacing w:val="11"/>
          <w:w w:val="115"/>
          <w:sz w:val="17"/>
          <w:vertAlign w:val="baseline"/>
        </w:rPr>
        <w:t> </w:t>
      </w:r>
      <w:r>
        <w:rPr>
          <w:color w:val="3A3838"/>
          <w:w w:val="115"/>
          <w:sz w:val="17"/>
          <w:vertAlign w:val="baseline"/>
        </w:rPr>
        <w:t>at</w:t>
      </w:r>
      <w:r>
        <w:rPr>
          <w:color w:val="3A3838"/>
          <w:spacing w:val="36"/>
          <w:w w:val="115"/>
          <w:sz w:val="17"/>
          <w:vertAlign w:val="baseline"/>
        </w:rPr>
        <w:t> </w:t>
      </w:r>
      <w:r>
        <w:rPr>
          <w:color w:val="3A3838"/>
          <w:w w:val="115"/>
          <w:sz w:val="17"/>
          <w:vertAlign w:val="baseline"/>
        </w:rPr>
        <w:t>65-66</w:t>
      </w:r>
      <w:r>
        <w:rPr>
          <w:color w:val="3A3838"/>
          <w:spacing w:val="-20"/>
          <w:w w:val="115"/>
          <w:sz w:val="17"/>
          <w:vertAlign w:val="baseline"/>
        </w:rPr>
        <w:t> </w:t>
      </w:r>
      <w:r>
        <w:rPr>
          <w:color w:val="3A3838"/>
          <w:w w:val="115"/>
          <w:sz w:val="18"/>
          <w:vertAlign w:val="baseline"/>
        </w:rPr>
        <w:t>(citations</w:t>
      </w:r>
      <w:r>
        <w:rPr>
          <w:color w:val="3A3838"/>
          <w:spacing w:val="-14"/>
          <w:w w:val="115"/>
          <w:sz w:val="18"/>
          <w:vertAlign w:val="baseline"/>
        </w:rPr>
        <w:t> </w:t>
      </w:r>
      <w:r>
        <w:rPr>
          <w:i/>
          <w:color w:val="3A3838"/>
          <w:w w:val="115"/>
          <w:sz w:val="17"/>
          <w:vertAlign w:val="baseline"/>
        </w:rPr>
        <w:t>omitted).</w:t>
      </w:r>
    </w:p>
    <w:p>
      <w:pPr>
        <w:spacing w:after="0" w:line="228" w:lineRule="auto"/>
        <w:jc w:val="both"/>
        <w:rPr>
          <w:sz w:val="17"/>
        </w:rPr>
        <w:sectPr>
          <w:pgSz w:w="9680" w:h="13840"/>
          <w:pgMar w:header="369" w:footer="0" w:top="560" w:bottom="0" w:left="1340" w:right="0"/>
        </w:sectPr>
      </w:pPr>
    </w:p>
    <w:p>
      <w:pPr>
        <w:spacing w:before="80"/>
        <w:ind w:left="728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383638"/>
          <w:w w:val="110"/>
          <w:sz w:val="32"/>
        </w:rPr>
        <w:t>3.5</w:t>
      </w:r>
    </w:p>
    <w:p>
      <w:pPr>
        <w:spacing w:before="64"/>
        <w:ind w:left="72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383638"/>
          <w:w w:val="110"/>
          <w:sz w:val="26"/>
        </w:rPr>
        <w:t>KNOWING</w:t>
      </w:r>
      <w:r>
        <w:rPr>
          <w:rFonts w:ascii="Arial"/>
          <w:b/>
          <w:color w:val="383638"/>
          <w:spacing w:val="5"/>
          <w:w w:val="110"/>
          <w:sz w:val="26"/>
        </w:rPr>
        <w:t> </w:t>
      </w:r>
      <w:r>
        <w:rPr>
          <w:rFonts w:ascii="Arial"/>
          <w:b/>
          <w:color w:val="383638"/>
          <w:w w:val="110"/>
          <w:sz w:val="26"/>
        </w:rPr>
        <w:t>WHEN</w:t>
      </w:r>
      <w:r>
        <w:rPr>
          <w:rFonts w:ascii="Arial"/>
          <w:b/>
          <w:color w:val="383638"/>
          <w:spacing w:val="-6"/>
          <w:w w:val="110"/>
          <w:sz w:val="26"/>
        </w:rPr>
        <w:t> </w:t>
      </w:r>
      <w:r>
        <w:rPr>
          <w:rFonts w:ascii="Arial"/>
          <w:b/>
          <w:color w:val="383638"/>
          <w:w w:val="110"/>
          <w:sz w:val="26"/>
        </w:rPr>
        <w:t>TO STOP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line="235" w:lineRule="auto"/>
        <w:ind w:left="111" w:right="218" w:firstLine="596"/>
        <w:jc w:val="both"/>
      </w:pPr>
      <w:r>
        <w:rPr>
          <w:color w:val="383638"/>
          <w:w w:val="110"/>
        </w:rPr>
        <w:t>Most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lawyers</w:t>
      </w:r>
      <w:r>
        <w:rPr>
          <w:color w:val="383638"/>
          <w:spacing w:val="-23"/>
          <w:w w:val="110"/>
        </w:rPr>
        <w:t> </w:t>
      </w:r>
      <w:r>
        <w:rPr>
          <w:color w:val="383638"/>
          <w:w w:val="110"/>
        </w:rPr>
        <w:t>havea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hard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time</w:t>
      </w:r>
      <w:r>
        <w:rPr>
          <w:color w:val="383638"/>
          <w:spacing w:val="-25"/>
          <w:w w:val="110"/>
        </w:rPr>
        <w:t> </w:t>
      </w:r>
      <w:r>
        <w:rPr>
          <w:color w:val="383638"/>
          <w:w w:val="110"/>
        </w:rPr>
        <w:t>ending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their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research,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perhaps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because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they don't want to start writing. Researching is fun, and you don't have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to make any hard decisions; if 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think a case or other authority may be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useful, you store it or print it and keep on going. Of course, printing is not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research; you must actually read and analyze the sources you have found.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For some writers, research is like dating and writing is like marriage: With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research, you hope that if you keep looking, you'll find the perfect match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right around the next corner</w:t>
      </w:r>
      <w:r>
        <w:rPr>
          <w:color w:val="575659"/>
          <w:w w:val="110"/>
        </w:rPr>
        <w:t>. </w:t>
      </w:r>
      <w:r>
        <w:rPr>
          <w:color w:val="383638"/>
          <w:w w:val="110"/>
        </w:rPr>
        <w:t>With writing, you just have to take what 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have</w:t>
      </w:r>
      <w:r>
        <w:rPr>
          <w:color w:val="383638"/>
          <w:spacing w:val="-27"/>
          <w:w w:val="115"/>
        </w:rPr>
        <w:t> </w:t>
      </w:r>
      <w:r>
        <w:rPr>
          <w:color w:val="383638"/>
          <w:w w:val="115"/>
        </w:rPr>
        <w:t>and</w:t>
      </w:r>
      <w:r>
        <w:rPr>
          <w:color w:val="383638"/>
          <w:spacing w:val="22"/>
          <w:w w:val="115"/>
        </w:rPr>
        <w:t> </w:t>
      </w:r>
      <w:r>
        <w:rPr>
          <w:color w:val="383638"/>
          <w:w w:val="115"/>
        </w:rPr>
        <w:t>try</w:t>
      </w:r>
      <w:r>
        <w:rPr>
          <w:color w:val="383638"/>
          <w:spacing w:val="-4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4"/>
          <w:w w:val="115"/>
        </w:rPr>
        <w:t> </w:t>
      </w:r>
      <w:r>
        <w:rPr>
          <w:color w:val="383638"/>
          <w:w w:val="115"/>
        </w:rPr>
        <w:t>work</w:t>
      </w:r>
      <w:r>
        <w:rPr>
          <w:color w:val="383638"/>
          <w:spacing w:val="-6"/>
          <w:w w:val="115"/>
        </w:rPr>
        <w:t> </w:t>
      </w:r>
      <w:r>
        <w:rPr>
          <w:color w:val="383638"/>
          <w:w w:val="115"/>
        </w:rPr>
        <w:t>it</w:t>
      </w:r>
      <w:r>
        <w:rPr>
          <w:color w:val="383638"/>
          <w:spacing w:val="-7"/>
          <w:w w:val="115"/>
        </w:rPr>
        <w:t> </w:t>
      </w:r>
      <w:r>
        <w:rPr>
          <w:color w:val="383638"/>
          <w:w w:val="115"/>
        </w:rPr>
        <w:t>out.</w:t>
      </w:r>
    </w:p>
    <w:p>
      <w:pPr>
        <w:pStyle w:val="BodyText"/>
        <w:spacing w:line="232" w:lineRule="auto" w:before="2"/>
        <w:ind w:left="105" w:right="211" w:firstLine="363"/>
        <w:jc w:val="both"/>
      </w:pPr>
      <w:r>
        <w:rPr>
          <w:color w:val="383638"/>
          <w:w w:val="110"/>
        </w:rPr>
        <w:t>Accordingly,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when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doing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research,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should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consciously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decide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5"/>
        </w:rPr>
        <w:t>when to stop. No matter how diligent your research, your writing will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probably reveal some gaps that need to be filled. Don</w:t>
      </w:r>
      <w:r>
        <w:rPr>
          <w:color w:val="575659"/>
          <w:w w:val="115"/>
        </w:rPr>
        <w:t>'</w:t>
      </w:r>
      <w:r>
        <w:rPr>
          <w:color w:val="383638"/>
          <w:w w:val="115"/>
        </w:rPr>
        <w:t>t try to fill those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05"/>
        </w:rPr>
        <w:t>gaps </w:t>
      </w:r>
      <w:r>
        <w:rPr>
          <w:i/>
          <w:color w:val="383638"/>
          <w:w w:val="105"/>
          <w:sz w:val="24"/>
        </w:rPr>
        <w:t>before </w:t>
      </w:r>
      <w:r>
        <w:rPr>
          <w:color w:val="383638"/>
          <w:w w:val="105"/>
        </w:rPr>
        <w:t>you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start writing. Instead, let the writing reveal the gaps to you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and help to direct your follow-up research. Think in terms of a partial stop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and a full stop. You should come to a partial stop when you have followed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5"/>
        </w:rPr>
        <w:t>a good research plan, you have updated your authorities,</w:t>
      </w:r>
      <w:r>
        <w:rPr>
          <w:color w:val="383638"/>
          <w:w w:val="115"/>
          <w:vertAlign w:val="superscript"/>
        </w:rPr>
        <w:t>33</w:t>
      </w:r>
      <w:r>
        <w:rPr>
          <w:color w:val="383638"/>
          <w:w w:val="115"/>
          <w:vertAlign w:val="baseline"/>
        </w:rPr>
        <w:t> and you are</w:t>
      </w:r>
      <w:r>
        <w:rPr>
          <w:color w:val="383638"/>
          <w:spacing w:val="1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not finding anything new-you keep encountering again and again those</w:t>
      </w:r>
      <w:r>
        <w:rPr>
          <w:color w:val="383638"/>
          <w:spacing w:val="1"/>
          <w:w w:val="115"/>
          <w:vertAlign w:val="baseline"/>
        </w:rPr>
        <w:t> </w:t>
      </w:r>
      <w:r>
        <w:rPr>
          <w:color w:val="383638"/>
          <w:w w:val="110"/>
          <w:vertAlign w:val="baseline"/>
        </w:rPr>
        <w:t>almost-relevant</w:t>
      </w:r>
      <w:r>
        <w:rPr>
          <w:color w:val="383638"/>
          <w:spacing w:val="-9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cases</w:t>
      </w:r>
      <w:r>
        <w:rPr>
          <w:color w:val="383638"/>
          <w:spacing w:val="-6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that</w:t>
      </w:r>
      <w:r>
        <w:rPr>
          <w:color w:val="383638"/>
          <w:spacing w:val="-5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you've</w:t>
      </w:r>
      <w:r>
        <w:rPr>
          <w:color w:val="383638"/>
          <w:spacing w:val="-2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rejected</w:t>
      </w:r>
      <w:r>
        <w:rPr>
          <w:color w:val="383638"/>
          <w:spacing w:val="13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once</w:t>
      </w:r>
      <w:r>
        <w:rPr>
          <w:color w:val="383638"/>
          <w:spacing w:val="-22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or</w:t>
      </w:r>
      <w:r>
        <w:rPr>
          <w:color w:val="383638"/>
          <w:spacing w:val="1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twice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before.</w:t>
      </w:r>
    </w:p>
    <w:p>
      <w:pPr>
        <w:pStyle w:val="BodyText"/>
        <w:spacing w:line="262" w:lineRule="exact" w:before="5"/>
        <w:ind w:left="477"/>
        <w:jc w:val="both"/>
      </w:pPr>
      <w:r>
        <w:rPr>
          <w:color w:val="383638"/>
          <w:w w:val="110"/>
        </w:rPr>
        <w:t>You</w:t>
      </w:r>
      <w:r>
        <w:rPr>
          <w:color w:val="383638"/>
          <w:spacing w:val="25"/>
          <w:w w:val="110"/>
        </w:rPr>
        <w:t> </w:t>
      </w:r>
      <w:r>
        <w:rPr>
          <w:color w:val="383638"/>
          <w:w w:val="110"/>
        </w:rPr>
        <w:t>can</w:t>
      </w:r>
      <w:r>
        <w:rPr>
          <w:color w:val="383638"/>
          <w:spacing w:val="26"/>
          <w:w w:val="110"/>
        </w:rPr>
        <w:t> </w:t>
      </w:r>
      <w:r>
        <w:rPr>
          <w:color w:val="383638"/>
          <w:w w:val="110"/>
        </w:rPr>
        <w:t>come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38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34"/>
          <w:w w:val="110"/>
        </w:rPr>
        <w:t> </w:t>
      </w:r>
      <w:r>
        <w:rPr>
          <w:color w:val="383638"/>
          <w:w w:val="110"/>
        </w:rPr>
        <w:t>partial</w:t>
      </w:r>
      <w:r>
        <w:rPr>
          <w:color w:val="383638"/>
          <w:spacing w:val="28"/>
          <w:w w:val="110"/>
        </w:rPr>
        <w:t> </w:t>
      </w:r>
      <w:r>
        <w:rPr>
          <w:color w:val="383638"/>
          <w:w w:val="110"/>
        </w:rPr>
        <w:t>stop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when</w:t>
      </w:r>
      <w:r>
        <w:rPr>
          <w:color w:val="383638"/>
          <w:spacing w:val="36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30"/>
          <w:w w:val="110"/>
        </w:rPr>
        <w:t> </w:t>
      </w:r>
      <w:r>
        <w:rPr>
          <w:color w:val="383638"/>
          <w:w w:val="110"/>
        </w:rPr>
        <w:t>have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achieved</w:t>
      </w:r>
      <w:r>
        <w:rPr>
          <w:color w:val="383638"/>
          <w:spacing w:val="33"/>
          <w:w w:val="110"/>
        </w:rPr>
        <w:t> </w:t>
      </w:r>
      <w:r>
        <w:rPr>
          <w:color w:val="383638"/>
          <w:w w:val="110"/>
        </w:rPr>
        <w:t>four</w:t>
      </w:r>
      <w:r>
        <w:rPr>
          <w:color w:val="383638"/>
          <w:spacing w:val="28"/>
          <w:w w:val="110"/>
        </w:rPr>
        <w:t> </w:t>
      </w:r>
      <w:r>
        <w:rPr>
          <w:color w:val="383638"/>
          <w:w w:val="110"/>
        </w:rPr>
        <w:t>goals:</w:t>
      </w:r>
    </w:p>
    <w:p>
      <w:pPr>
        <w:pStyle w:val="BodyText"/>
        <w:spacing w:line="235" w:lineRule="auto" w:before="2"/>
        <w:ind w:left="114" w:right="172" w:hanging="1"/>
        <w:jc w:val="both"/>
      </w:pPr>
      <w:r>
        <w:rPr>
          <w:color w:val="383638"/>
          <w:spacing w:val="-1"/>
          <w:w w:val="115"/>
        </w:rPr>
        <w:t>(1) you understand the general </w:t>
      </w:r>
      <w:r>
        <w:rPr>
          <w:color w:val="383638"/>
          <w:w w:val="115"/>
        </w:rPr>
        <w:t>area of law and how the relevant courts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apply it in cases similar to your client's case; (2) you understand whether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your jurisdiction is in the mainstream or is an outlier as to the relevant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legal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issues;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(3)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have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found the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most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recent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cases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address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issue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in any way from (a) </w:t>
      </w:r>
      <w:r>
        <w:rPr>
          <w:color w:val="383638"/>
          <w:w w:val="110"/>
        </w:rPr>
        <w:t>the court of last resort in your jurisdiction, and </w:t>
      </w:r>
      <w:r>
        <w:rPr>
          <w:rFonts w:ascii="Arial" w:hAnsi="Arial"/>
          <w:color w:val="383638"/>
          <w:w w:val="110"/>
          <w:sz w:val="20"/>
        </w:rPr>
        <w:t>(b) </w:t>
      </w:r>
      <w:r>
        <w:rPr>
          <w:color w:val="383638"/>
          <w:w w:val="110"/>
        </w:rPr>
        <w:t>any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court</w:t>
      </w:r>
      <w:r>
        <w:rPr>
          <w:color w:val="383638"/>
          <w:spacing w:val="-17"/>
          <w:w w:val="115"/>
        </w:rPr>
        <w:t> </w:t>
      </w:r>
      <w:r>
        <w:rPr>
          <w:color w:val="383638"/>
          <w:w w:val="115"/>
        </w:rPr>
        <w:t>in</w:t>
      </w:r>
      <w:r>
        <w:rPr>
          <w:color w:val="383638"/>
          <w:spacing w:val="-4"/>
          <w:w w:val="115"/>
        </w:rPr>
        <w:t> </w:t>
      </w:r>
      <w:r>
        <w:rPr>
          <w:color w:val="383638"/>
          <w:w w:val="115"/>
        </w:rPr>
        <w:t>your</w:t>
      </w:r>
      <w:r>
        <w:rPr>
          <w:color w:val="383638"/>
          <w:spacing w:val="11"/>
          <w:w w:val="115"/>
        </w:rPr>
        <w:t> </w:t>
      </w:r>
      <w:r>
        <w:rPr>
          <w:color w:val="383638"/>
          <w:w w:val="115"/>
        </w:rPr>
        <w:t>jurisdiction;</w:t>
      </w:r>
      <w:r>
        <w:rPr>
          <w:color w:val="383638"/>
          <w:spacing w:val="-7"/>
          <w:w w:val="115"/>
        </w:rPr>
        <w:t> </w:t>
      </w:r>
      <w:r>
        <w:rPr>
          <w:color w:val="383638"/>
          <w:w w:val="115"/>
        </w:rPr>
        <w:t>and</w:t>
      </w:r>
      <w:r>
        <w:rPr>
          <w:color w:val="383638"/>
          <w:spacing w:val="14"/>
          <w:w w:val="115"/>
        </w:rPr>
        <w:t> </w:t>
      </w:r>
      <w:r>
        <w:rPr>
          <w:color w:val="383638"/>
          <w:w w:val="115"/>
        </w:rPr>
        <w:t>(4)</w:t>
      </w:r>
      <w:r>
        <w:rPr>
          <w:color w:val="383638"/>
          <w:spacing w:val="-13"/>
          <w:w w:val="115"/>
        </w:rPr>
        <w:t> </w:t>
      </w:r>
      <w:r>
        <w:rPr>
          <w:color w:val="383638"/>
          <w:w w:val="115"/>
        </w:rPr>
        <w:t>if</w:t>
      </w:r>
      <w:r>
        <w:rPr>
          <w:color w:val="383638"/>
          <w:spacing w:val="-10"/>
          <w:w w:val="115"/>
        </w:rPr>
        <w:t> </w:t>
      </w:r>
      <w:r>
        <w:rPr>
          <w:color w:val="383638"/>
          <w:w w:val="115"/>
        </w:rPr>
        <w:t>appropriate,</w:t>
      </w:r>
      <w:r>
        <w:rPr>
          <w:color w:val="383638"/>
          <w:spacing w:val="-3"/>
          <w:w w:val="115"/>
        </w:rPr>
        <w:t> </w:t>
      </w:r>
      <w:r>
        <w:rPr>
          <w:color w:val="383638"/>
          <w:w w:val="115"/>
        </w:rPr>
        <w:t>you</w:t>
      </w:r>
      <w:r>
        <w:rPr>
          <w:color w:val="383638"/>
          <w:spacing w:val="-7"/>
          <w:w w:val="115"/>
        </w:rPr>
        <w:t> </w:t>
      </w:r>
      <w:r>
        <w:rPr>
          <w:color w:val="383638"/>
          <w:w w:val="115"/>
        </w:rPr>
        <w:t>have</w:t>
      </w:r>
      <w:r>
        <w:rPr>
          <w:color w:val="383638"/>
          <w:spacing w:val="-13"/>
          <w:w w:val="115"/>
        </w:rPr>
        <w:t> </w:t>
      </w:r>
      <w:r>
        <w:rPr>
          <w:color w:val="383638"/>
          <w:w w:val="115"/>
        </w:rPr>
        <w:t>identified</w:t>
      </w:r>
      <w:r>
        <w:rPr>
          <w:color w:val="383638"/>
          <w:spacing w:val="-3"/>
          <w:w w:val="115"/>
        </w:rPr>
        <w:t> </w:t>
      </w:r>
      <w:r>
        <w:rPr>
          <w:color w:val="383638"/>
          <w:w w:val="115"/>
        </w:rPr>
        <w:t>rel­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0"/>
        </w:rPr>
        <w:t>evant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cases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or</w:t>
      </w:r>
      <w:r>
        <w:rPr>
          <w:color w:val="383638"/>
          <w:spacing w:val="36"/>
          <w:w w:val="110"/>
        </w:rPr>
        <w:t> </w:t>
      </w:r>
      <w:r>
        <w:rPr>
          <w:color w:val="383638"/>
          <w:w w:val="110"/>
        </w:rPr>
        <w:t>other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sources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from</w:t>
      </w:r>
      <w:r>
        <w:rPr>
          <w:color w:val="383638"/>
          <w:spacing w:val="28"/>
          <w:w w:val="110"/>
        </w:rPr>
        <w:t> </w:t>
      </w:r>
      <w:r>
        <w:rPr>
          <w:color w:val="383638"/>
          <w:w w:val="110"/>
        </w:rPr>
        <w:t>nonmandatory</w:t>
      </w:r>
      <w:r>
        <w:rPr>
          <w:color w:val="383638"/>
          <w:spacing w:val="30"/>
          <w:w w:val="110"/>
        </w:rPr>
        <w:t> </w:t>
      </w:r>
      <w:r>
        <w:rPr>
          <w:color w:val="383638"/>
          <w:w w:val="110"/>
        </w:rPr>
        <w:t>courts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or</w:t>
      </w:r>
      <w:r>
        <w:rPr>
          <w:color w:val="383638"/>
          <w:spacing w:val="56"/>
          <w:w w:val="110"/>
        </w:rPr>
        <w:t> </w:t>
      </w:r>
      <w:r>
        <w:rPr>
          <w:color w:val="383638"/>
          <w:w w:val="110"/>
        </w:rPr>
        <w:t>jurisdictions.</w:t>
      </w:r>
    </w:p>
    <w:p>
      <w:pPr>
        <w:pStyle w:val="BodyText"/>
        <w:spacing w:line="232" w:lineRule="auto"/>
        <w:ind w:left="111" w:right="121" w:firstLine="376"/>
        <w:jc w:val="both"/>
      </w:pPr>
      <w:r>
        <w:rPr>
          <w:color w:val="383638"/>
          <w:w w:val="115"/>
        </w:rPr>
        <w:t>As you review these authorities and begin to outline and write your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argument, you may decide that some of them are not worth citing. The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process of reading and analyzing them, however, can help you to under­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0"/>
        </w:rPr>
        <w:t>stand your case and to identify valid arguments</w:t>
      </w:r>
      <w:r>
        <w:rPr>
          <w:color w:val="575659"/>
          <w:w w:val="110"/>
        </w:rPr>
        <w:t>. </w:t>
      </w:r>
      <w:r>
        <w:rPr>
          <w:color w:val="383638"/>
          <w:w w:val="110"/>
        </w:rPr>
        <w:t>Conversely, as you write,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you may discover new avenues that you wish to explore, and you can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make tactical research strikes to grab cases or other authorities to support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5"/>
        </w:rPr>
        <w:t>the</w:t>
      </w:r>
      <w:r>
        <w:rPr>
          <w:color w:val="383638"/>
          <w:spacing w:val="-20"/>
          <w:w w:val="115"/>
        </w:rPr>
        <w:t> </w:t>
      </w:r>
      <w:r>
        <w:rPr>
          <w:color w:val="383638"/>
          <w:spacing w:val="-1"/>
          <w:w w:val="115"/>
        </w:rPr>
        <w:t>points</w:t>
      </w:r>
      <w:r>
        <w:rPr>
          <w:color w:val="383638"/>
          <w:spacing w:val="-11"/>
          <w:w w:val="115"/>
        </w:rPr>
        <w:t> </w:t>
      </w:r>
      <w:r>
        <w:rPr>
          <w:color w:val="383638"/>
          <w:w w:val="115"/>
        </w:rPr>
        <w:t>that</w:t>
      </w:r>
      <w:r>
        <w:rPr>
          <w:color w:val="383638"/>
          <w:spacing w:val="-9"/>
          <w:w w:val="115"/>
        </w:rPr>
        <w:t> </w:t>
      </w:r>
      <w:r>
        <w:rPr>
          <w:color w:val="383638"/>
          <w:w w:val="115"/>
        </w:rPr>
        <w:t>come</w:t>
      </w:r>
      <w:r>
        <w:rPr>
          <w:color w:val="383638"/>
          <w:spacing w:val="-6"/>
          <w:w w:val="115"/>
        </w:rPr>
        <w:t> </w:t>
      </w:r>
      <w:r>
        <w:rPr>
          <w:color w:val="383638"/>
          <w:w w:val="115"/>
        </w:rPr>
        <w:t>up.</w:t>
      </w:r>
      <w:r>
        <w:rPr>
          <w:color w:val="383638"/>
          <w:spacing w:val="-17"/>
          <w:w w:val="115"/>
        </w:rPr>
        <w:t> </w:t>
      </w:r>
      <w:r>
        <w:rPr>
          <w:color w:val="383638"/>
          <w:w w:val="115"/>
        </w:rPr>
        <w:t>Some</w:t>
      </w:r>
      <w:r>
        <w:rPr>
          <w:color w:val="383638"/>
          <w:spacing w:val="-11"/>
          <w:w w:val="115"/>
        </w:rPr>
        <w:t> </w:t>
      </w:r>
      <w:r>
        <w:rPr>
          <w:color w:val="383638"/>
          <w:w w:val="115"/>
        </w:rPr>
        <w:t>writers</w:t>
      </w:r>
      <w:r>
        <w:rPr>
          <w:color w:val="383638"/>
          <w:spacing w:val="-23"/>
          <w:w w:val="115"/>
        </w:rPr>
        <w:t> </w:t>
      </w:r>
      <w:r>
        <w:rPr>
          <w:color w:val="383638"/>
          <w:w w:val="115"/>
        </w:rPr>
        <w:t>continue</w:t>
      </w:r>
      <w:r>
        <w:rPr>
          <w:color w:val="383638"/>
          <w:spacing w:val="6"/>
          <w:w w:val="115"/>
        </w:rPr>
        <w:t> </w:t>
      </w:r>
      <w:r>
        <w:rPr>
          <w:color w:val="383638"/>
          <w:w w:val="115"/>
        </w:rPr>
        <w:t>these</w:t>
      </w:r>
      <w:r>
        <w:rPr>
          <w:color w:val="383638"/>
          <w:spacing w:val="-9"/>
          <w:w w:val="115"/>
        </w:rPr>
        <w:t> </w:t>
      </w:r>
      <w:r>
        <w:rPr>
          <w:color w:val="383638"/>
          <w:w w:val="115"/>
        </w:rPr>
        <w:t>tactical</w:t>
      </w:r>
      <w:r>
        <w:rPr>
          <w:color w:val="383638"/>
          <w:spacing w:val="-1"/>
          <w:w w:val="115"/>
        </w:rPr>
        <w:t> </w:t>
      </w:r>
      <w:r>
        <w:rPr>
          <w:color w:val="383638"/>
          <w:w w:val="115"/>
        </w:rPr>
        <w:t>strikes</w:t>
      </w:r>
      <w:r>
        <w:rPr>
          <w:color w:val="383638"/>
          <w:spacing w:val="-9"/>
          <w:w w:val="115"/>
        </w:rPr>
        <w:t> </w:t>
      </w:r>
      <w:r>
        <w:rPr>
          <w:color w:val="383638"/>
          <w:w w:val="115"/>
        </w:rPr>
        <w:t>until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they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are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stopped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by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an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outside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force: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court-imposed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due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date.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tabs>
          <w:tab w:pos="7339" w:val="left" w:leader="none"/>
        </w:tabs>
        <w:spacing w:line="218" w:lineRule="auto" w:before="230"/>
        <w:ind w:left="132" w:right="102" w:firstLine="361"/>
        <w:jc w:val="both"/>
        <w:rPr>
          <w:sz w:val="18"/>
        </w:rPr>
      </w:pPr>
      <w:r>
        <w:rPr>
          <w:color w:val="383638"/>
          <w:w w:val="110"/>
          <w:sz w:val="17"/>
        </w:rPr>
        <w:t>llOf </w:t>
      </w:r>
      <w:r>
        <w:rPr>
          <w:color w:val="383638"/>
          <w:w w:val="110"/>
          <w:sz w:val="18"/>
        </w:rPr>
        <w:t>course, you should update your authorities frequently during the research process</w:t>
      </w:r>
      <w:r>
        <w:rPr>
          <w:color w:val="383638"/>
          <w:spacing w:val="1"/>
          <w:w w:val="110"/>
          <w:sz w:val="18"/>
        </w:rPr>
        <w:t> </w:t>
      </w:r>
      <w:r>
        <w:rPr>
          <w:color w:val="383638"/>
          <w:w w:val="110"/>
          <w:sz w:val="20"/>
        </w:rPr>
        <w:t>rt </w:t>
      </w:r>
      <w:r>
        <w:rPr>
          <w:color w:val="383638"/>
          <w:w w:val="110"/>
          <w:sz w:val="18"/>
        </w:rPr>
        <w:t>ht</w:t>
      </w:r>
      <w:r>
        <w:rPr>
          <w:color w:val="383638"/>
          <w:spacing w:val="1"/>
          <w:w w:val="110"/>
          <w:sz w:val="18"/>
        </w:rPr>
        <w:t> </w:t>
      </w:r>
      <w:r>
        <w:rPr>
          <w:color w:val="383638"/>
          <w:w w:val="110"/>
          <w:sz w:val="18"/>
        </w:rPr>
        <w:t>up</w:t>
      </w:r>
      <w:r>
        <w:rPr>
          <w:color w:val="383638"/>
          <w:spacing w:val="24"/>
          <w:w w:val="110"/>
          <w:sz w:val="18"/>
        </w:rPr>
        <w:t> </w:t>
      </w:r>
      <w:r>
        <w:rPr>
          <w:color w:val="383638"/>
          <w:w w:val="110"/>
          <w:sz w:val="18"/>
        </w:rPr>
        <w:t>until</w:t>
      </w:r>
      <w:r>
        <w:rPr>
          <w:color w:val="383638"/>
          <w:spacing w:val="3"/>
          <w:w w:val="110"/>
          <w:sz w:val="18"/>
        </w:rPr>
        <w:t> </w:t>
      </w:r>
      <w:r>
        <w:rPr>
          <w:color w:val="383638"/>
          <w:w w:val="110"/>
          <w:sz w:val="18"/>
        </w:rPr>
        <w:t>the</w:t>
      </w:r>
      <w:r>
        <w:rPr>
          <w:color w:val="383638"/>
          <w:spacing w:val="17"/>
          <w:w w:val="110"/>
          <w:sz w:val="18"/>
        </w:rPr>
        <w:t> </w:t>
      </w:r>
      <w:r>
        <w:rPr>
          <w:color w:val="383638"/>
          <w:w w:val="110"/>
          <w:sz w:val="18"/>
        </w:rPr>
        <w:t>day you</w:t>
      </w:r>
      <w:r>
        <w:rPr>
          <w:color w:val="383638"/>
          <w:spacing w:val="-1"/>
          <w:w w:val="110"/>
          <w:sz w:val="18"/>
        </w:rPr>
        <w:t> </w:t>
      </w:r>
      <w:r>
        <w:rPr>
          <w:color w:val="383638"/>
          <w:w w:val="110"/>
          <w:sz w:val="18"/>
        </w:rPr>
        <w:t>fil</w:t>
      </w:r>
      <w:r>
        <w:rPr>
          <w:color w:val="575659"/>
          <w:w w:val="110"/>
          <w:sz w:val="18"/>
        </w:rPr>
        <w:t>e</w:t>
      </w:r>
      <w:r>
        <w:rPr>
          <w:color w:val="575659"/>
          <w:spacing w:val="12"/>
          <w:w w:val="110"/>
          <w:sz w:val="18"/>
        </w:rPr>
        <w:t> </w:t>
      </w:r>
      <w:r>
        <w:rPr>
          <w:color w:val="383638"/>
          <w:w w:val="110"/>
          <w:sz w:val="18"/>
        </w:rPr>
        <w:t>your</w:t>
      </w:r>
      <w:r>
        <w:rPr>
          <w:color w:val="383638"/>
          <w:spacing w:val="3"/>
          <w:w w:val="110"/>
          <w:sz w:val="18"/>
        </w:rPr>
        <w:t> </w:t>
      </w:r>
      <w:r>
        <w:rPr>
          <w:color w:val="383638"/>
          <w:w w:val="110"/>
          <w:sz w:val="18"/>
        </w:rPr>
        <w:t>brief,</w:t>
      </w:r>
      <w:r>
        <w:rPr>
          <w:color w:val="383638"/>
          <w:spacing w:val="-19"/>
          <w:w w:val="110"/>
          <w:sz w:val="18"/>
        </w:rPr>
        <w:t> </w:t>
      </w:r>
      <w:r>
        <w:rPr>
          <w:color w:val="383638"/>
          <w:w w:val="110"/>
          <w:sz w:val="18"/>
        </w:rPr>
        <w:t>and</w:t>
      </w:r>
      <w:r>
        <w:rPr>
          <w:color w:val="383638"/>
          <w:spacing w:val="32"/>
          <w:w w:val="110"/>
          <w:sz w:val="18"/>
        </w:rPr>
        <w:t> </w:t>
      </w:r>
      <w:r>
        <w:rPr>
          <w:color w:val="383638"/>
          <w:w w:val="110"/>
          <w:sz w:val="18"/>
        </w:rPr>
        <w:t>again</w:t>
      </w:r>
      <w:r>
        <w:rPr>
          <w:color w:val="383638"/>
          <w:spacing w:val="-10"/>
          <w:w w:val="110"/>
          <w:sz w:val="18"/>
        </w:rPr>
        <w:t> </w:t>
      </w:r>
      <w:r>
        <w:rPr>
          <w:color w:val="383638"/>
          <w:w w:val="110"/>
          <w:sz w:val="18"/>
        </w:rPr>
        <w:t>as</w:t>
      </w:r>
      <w:r>
        <w:rPr>
          <w:color w:val="383638"/>
          <w:spacing w:val="-11"/>
          <w:w w:val="110"/>
          <w:sz w:val="18"/>
        </w:rPr>
        <w:t> </w:t>
      </w:r>
      <w:r>
        <w:rPr>
          <w:color w:val="383638"/>
          <w:w w:val="110"/>
          <w:sz w:val="18"/>
        </w:rPr>
        <w:t>you</w:t>
      </w:r>
      <w:r>
        <w:rPr>
          <w:color w:val="383638"/>
          <w:spacing w:val="4"/>
          <w:w w:val="110"/>
          <w:sz w:val="18"/>
        </w:rPr>
        <w:t> </w:t>
      </w:r>
      <w:r>
        <w:rPr>
          <w:color w:val="383638"/>
          <w:w w:val="110"/>
          <w:sz w:val="18"/>
        </w:rPr>
        <w:t>prepare</w:t>
      </w:r>
      <w:r>
        <w:rPr>
          <w:color w:val="383638"/>
          <w:spacing w:val="-13"/>
          <w:w w:val="110"/>
          <w:sz w:val="18"/>
        </w:rPr>
        <w:t> </w:t>
      </w:r>
      <w:r>
        <w:rPr>
          <w:color w:val="383638"/>
          <w:w w:val="110"/>
          <w:sz w:val="18"/>
        </w:rPr>
        <w:t>your</w:t>
      </w:r>
      <w:r>
        <w:rPr>
          <w:color w:val="383638"/>
          <w:spacing w:val="-5"/>
          <w:w w:val="110"/>
          <w:sz w:val="18"/>
        </w:rPr>
        <w:t> </w:t>
      </w:r>
      <w:r>
        <w:rPr>
          <w:color w:val="383638"/>
          <w:w w:val="110"/>
          <w:sz w:val="18"/>
        </w:rPr>
        <w:t>oral</w:t>
      </w:r>
      <w:r>
        <w:rPr>
          <w:color w:val="383638"/>
          <w:spacing w:val="-13"/>
          <w:w w:val="110"/>
          <w:sz w:val="18"/>
        </w:rPr>
        <w:t> </w:t>
      </w:r>
      <w:r>
        <w:rPr>
          <w:color w:val="383638"/>
          <w:w w:val="110"/>
          <w:sz w:val="18"/>
        </w:rPr>
        <w:t>argument.</w:t>
        <w:tab/>
        <w:t>'</w:t>
      </w:r>
      <w:r>
        <w:rPr>
          <w:color w:val="383638"/>
          <w:spacing w:val="23"/>
          <w:w w:val="110"/>
          <w:sz w:val="18"/>
        </w:rPr>
        <w:t> </w:t>
      </w:r>
      <w:r>
        <w:rPr>
          <w:color w:val="383638"/>
          <w:w w:val="110"/>
          <w:sz w:val="18"/>
        </w:rPr>
        <w:t>g</w:t>
      </w:r>
    </w:p>
    <w:p>
      <w:pPr>
        <w:spacing w:after="0" w:line="218" w:lineRule="auto"/>
        <w:jc w:val="both"/>
        <w:rPr>
          <w:sz w:val="18"/>
        </w:rPr>
        <w:sectPr>
          <w:headerReference w:type="default" r:id="rId89"/>
          <w:headerReference w:type="even" r:id="rId90"/>
          <w:pgSz w:w="9490" w:h="13800"/>
          <w:pgMar w:header="572" w:footer="0" w:top="1180" w:bottom="280" w:left="340" w:right="1240"/>
        </w:sectPr>
      </w:pPr>
    </w:p>
    <w:p>
      <w:pPr>
        <w:spacing w:before="80"/>
        <w:ind w:left="1075" w:right="0" w:firstLine="0"/>
        <w:jc w:val="left"/>
        <w:rPr>
          <w:rFonts w:ascii="Arial"/>
          <w:b/>
          <w:sz w:val="31"/>
        </w:rPr>
      </w:pPr>
      <w:r>
        <w:rPr>
          <w:rFonts w:ascii="Arial"/>
          <w:b/>
          <w:color w:val="383638"/>
          <w:w w:val="135"/>
          <w:sz w:val="31"/>
        </w:rPr>
        <w:t>3.6</w:t>
      </w:r>
    </w:p>
    <w:p>
      <w:pPr>
        <w:spacing w:before="58"/>
        <w:ind w:left="1163" w:right="0" w:firstLine="0"/>
        <w:jc w:val="left"/>
        <w:rPr>
          <w:b/>
          <w:sz w:val="28"/>
        </w:rPr>
      </w:pPr>
      <w:r>
        <w:rPr>
          <w:b/>
          <w:color w:val="383638"/>
          <w:sz w:val="28"/>
        </w:rPr>
        <w:t>SU</w:t>
      </w:r>
      <w:r>
        <w:rPr>
          <w:b/>
          <w:color w:val="59595B"/>
          <w:sz w:val="28"/>
        </w:rPr>
        <w:t>MM</w:t>
      </w:r>
      <w:r>
        <w:rPr>
          <w:b/>
          <w:color w:val="383638"/>
          <w:sz w:val="28"/>
        </w:rPr>
        <w:t>A</w:t>
      </w:r>
      <w:r>
        <w:rPr>
          <w:b/>
          <w:color w:val="59595B"/>
          <w:sz w:val="28"/>
        </w:rPr>
        <w:t>R</w:t>
      </w:r>
      <w:r>
        <w:rPr>
          <w:b/>
          <w:color w:val="383638"/>
          <w:sz w:val="28"/>
        </w:rPr>
        <w:t>Y</w:t>
      </w:r>
    </w:p>
    <w:p>
      <w:pPr>
        <w:pStyle w:val="BodyText"/>
        <w:spacing w:line="216" w:lineRule="auto" w:before="157"/>
        <w:ind w:left="506" w:right="67" w:firstLine="296"/>
        <w:jc w:val="both"/>
      </w:pPr>
      <w:r>
        <w:rPr>
          <w:rFonts w:ascii="Arial" w:hAnsi="Arial"/>
          <w:b/>
          <w:color w:val="59595B"/>
          <w:w w:val="105"/>
          <w:sz w:val="37"/>
        </w:rPr>
        <w:t>1 </w:t>
      </w:r>
      <w:r>
        <w:rPr>
          <w:color w:val="383638"/>
          <w:w w:val="105"/>
          <w:position w:val="1"/>
        </w:rPr>
        <w:t>To writean effective brief</w:t>
      </w:r>
      <w:r>
        <w:rPr>
          <w:color w:val="59595B"/>
          <w:w w:val="105"/>
          <w:position w:val="1"/>
        </w:rPr>
        <w:t>, </w:t>
      </w:r>
      <w:r>
        <w:rPr>
          <w:color w:val="383638"/>
          <w:w w:val="105"/>
          <w:position w:val="1"/>
        </w:rPr>
        <w:t>you must follow an effective research plan;</w:t>
      </w:r>
      <w:r>
        <w:rPr>
          <w:color w:val="383638"/>
          <w:spacing w:val="-58"/>
          <w:w w:val="105"/>
          <w:position w:val="1"/>
        </w:rPr>
        <w:t> </w:t>
      </w:r>
      <w:r>
        <w:rPr>
          <w:color w:val="383638"/>
          <w:w w:val="110"/>
        </w:rPr>
        <w:t>you need to know your case thoroughly and plan your research accord­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ingly.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Before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41"/>
          <w:w w:val="110"/>
        </w:rPr>
        <w:t> </w:t>
      </w:r>
      <w:r>
        <w:rPr>
          <w:color w:val="383638"/>
          <w:w w:val="110"/>
        </w:rPr>
        <w:t>research,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get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28"/>
          <w:w w:val="110"/>
        </w:rPr>
        <w:t> </w:t>
      </w:r>
      <w:r>
        <w:rPr>
          <w:color w:val="383638"/>
          <w:w w:val="110"/>
        </w:rPr>
        <w:t>know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facts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client's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case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by</w:t>
      </w:r>
    </w:p>
    <w:p>
      <w:pPr>
        <w:pStyle w:val="BodyText"/>
        <w:spacing w:line="235" w:lineRule="auto" w:before="4"/>
        <w:ind w:left="395" w:right="71" w:firstLine="100"/>
        <w:jc w:val="both"/>
      </w:pPr>
      <w:r>
        <w:rPr>
          <w:color w:val="383638"/>
          <w:w w:val="110"/>
        </w:rPr>
        <w:t>abstracting any record materials. Identify the questions that your research</w:t>
      </w:r>
      <w:r>
        <w:rPr>
          <w:color w:val="383638"/>
          <w:spacing w:val="-61"/>
          <w:w w:val="110"/>
        </w:rPr>
        <w:t> </w:t>
      </w:r>
      <w:r>
        <w:rPr>
          <w:color w:val="383638"/>
          <w:spacing w:val="-1"/>
          <w:w w:val="110"/>
        </w:rPr>
        <w:t>must answer, and be reaJistic </w:t>
      </w:r>
      <w:r>
        <w:rPr>
          <w:color w:val="383638"/>
          <w:w w:val="110"/>
        </w:rPr>
        <w:t>about the types of authorities you can expect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to find. When assessing the validity of authorities, use the abstraction lad­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der to identify those that address analogous facts and issues. Weigh the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validity of the source of </w:t>
      </w:r>
      <w:r>
        <w:rPr>
          <w:color w:val="383638"/>
          <w:w w:val="110"/>
        </w:rPr>
        <w:t>the authority, and be willing to look beyond legal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authorities. Be certain to update your authorities and to get a complete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picture of the relevant area of law, including nonmandatory authorities.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When appropriate, do relevant follow-up research so that you can "har­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vest" effective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arguments from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nonmandatory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authorities.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When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con­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ducting your research, be mindful about the technology you use: Focus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your attention, and use methods that promote engagement with the texts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youread.</w:t>
      </w:r>
    </w:p>
    <w:p>
      <w:pPr>
        <w:pStyle w:val="BodyText"/>
        <w:spacing w:line="239" w:lineRule="exact"/>
        <w:ind w:left="769"/>
        <w:jc w:val="both"/>
      </w:pPr>
      <w:r>
        <w:rPr>
          <w:color w:val="383638"/>
          <w:w w:val="110"/>
        </w:rPr>
        <w:t>Finally,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be</w:t>
      </w:r>
      <w:r>
        <w:rPr>
          <w:color w:val="383638"/>
          <w:spacing w:val="39"/>
          <w:w w:val="110"/>
        </w:rPr>
        <w:t> </w:t>
      </w:r>
      <w:r>
        <w:rPr>
          <w:color w:val="383638"/>
          <w:w w:val="110"/>
        </w:rPr>
        <w:t>practical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about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9"/>
          <w:w w:val="110"/>
        </w:rPr>
        <w:t> </w:t>
      </w:r>
      <w:r>
        <w:rPr>
          <w:color w:val="383638"/>
          <w:w w:val="110"/>
        </w:rPr>
        <w:t>percentage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available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time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that</w:t>
      </w:r>
    </w:p>
    <w:p>
      <w:pPr>
        <w:pStyle w:val="BodyText"/>
        <w:spacing w:line="235" w:lineRule="auto" w:before="2"/>
        <w:ind w:left="360" w:right="102" w:firstLine="16"/>
        <w:jc w:val="both"/>
      </w:pPr>
      <w:r>
        <w:rPr>
          <w:color w:val="383638"/>
          <w:w w:val="110"/>
        </w:rPr>
        <w:t>you spend on researching. Set a deadline for research that allows you suf­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ficient time to work on the actual writing of your brief. The process of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05"/>
        </w:rPr>
        <w:t>Yriting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brief will often reveal gaps in your research; by giving yourself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dme</w:t>
      </w:r>
      <w:r>
        <w:rPr>
          <w:color w:val="383638"/>
          <w:spacing w:val="61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29"/>
          <w:w w:val="110"/>
        </w:rPr>
        <w:t> </w:t>
      </w:r>
      <w:r>
        <w:rPr>
          <w:color w:val="383638"/>
          <w:w w:val="110"/>
        </w:rPr>
        <w:t>write,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create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opportunities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finding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any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research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gaps</w:t>
      </w:r>
      <w:r>
        <w:rPr>
          <w:color w:val="59595B"/>
          <w:w w:val="110"/>
        </w:rPr>
        <w:t>.</w:t>
      </w:r>
    </w:p>
    <w:p>
      <w:pPr>
        <w:spacing w:after="0" w:line="235" w:lineRule="auto"/>
        <w:jc w:val="both"/>
        <w:sectPr>
          <w:pgSz w:w="9310" w:h="13800"/>
          <w:pgMar w:header="395" w:footer="0" w:top="980" w:bottom="0" w:left="1280" w:right="0"/>
        </w:sectPr>
      </w:pPr>
    </w:p>
    <w:p>
      <w:pPr>
        <w:spacing w:line="162" w:lineRule="exact" w:before="0"/>
        <w:ind w:left="210" w:right="0" w:firstLine="0"/>
        <w:jc w:val="left"/>
        <w:rPr>
          <w:b/>
          <w:sz w:val="19"/>
        </w:rPr>
      </w:pPr>
      <w:r>
        <w:rPr/>
        <w:pict>
          <v:shape style="position:absolute;margin-left:29.45787pt;margin-top:4.547077pt;width:8.550pt;height:29.5pt;mso-position-horizontal-relative:page;mso-position-vertical-relative:paragraph;z-index:-21605376" type="#_x0000_t202" id="docshape130" filled="false" stroked="false">
            <v:textbox inset="0,0,0,0">
              <w:txbxContent>
                <w:p>
                  <w:pPr>
                    <w:spacing w:line="589" w:lineRule="exact" w:before="0"/>
                    <w:ind w:left="0" w:right="0" w:firstLine="0"/>
                    <w:jc w:val="left"/>
                    <w:rPr>
                      <w:sz w:val="53"/>
                    </w:rPr>
                  </w:pPr>
                  <w:r>
                    <w:rPr>
                      <w:color w:val="383638"/>
                      <w:w w:val="60"/>
                      <w:sz w:val="53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b/>
          <w:color w:val="383638"/>
          <w:w w:val="105"/>
          <w:sz w:val="19"/>
        </w:rPr>
        <w:t>:I</w:t>
      </w:r>
    </w:p>
    <w:p>
      <w:pPr>
        <w:spacing w:line="318" w:lineRule="exact" w:before="0"/>
        <w:ind w:left="174" w:right="0" w:firstLine="0"/>
        <w:jc w:val="left"/>
        <w:rPr>
          <w:b/>
          <w:sz w:val="32"/>
        </w:rPr>
      </w:pPr>
      <w:r>
        <w:rPr>
          <w:b/>
          <w:color w:val="383638"/>
          <w:spacing w:val="-13"/>
          <w:w w:val="90"/>
          <w:sz w:val="32"/>
        </w:rPr>
        <w:t>.2</w:t>
      </w:r>
    </w:p>
    <w:p>
      <w:pPr>
        <w:spacing w:line="382" w:lineRule="exact" w:before="109"/>
        <w:ind w:left="191" w:right="0" w:firstLine="0"/>
        <w:jc w:val="left"/>
        <w:rPr>
          <w:sz w:val="42"/>
        </w:rPr>
      </w:pPr>
      <w:r>
        <w:rPr/>
        <w:pict>
          <v:shape style="position:absolute;margin-left:31.15992pt;margin-top:3.78779pt;width:3.25pt;height:8.35pt;mso-position-horizontal-relative:page;mso-position-vertical-relative:paragraph;z-index:-21604864" type="#_x0000_t202" id="docshape131" filled="false" stroked="false">
            <v:textbox inset="0,0,0,0">
              <w:txbxContent>
                <w:p>
                  <w:pPr>
                    <w:spacing w:line="167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383638"/>
                      <w:w w:val="60"/>
                      <w:sz w:val="15"/>
                    </w:rPr>
                    <w:t>II</w:t>
                  </w:r>
                </w:p>
              </w:txbxContent>
            </v:textbox>
            <w10:wrap type="none"/>
          </v:shape>
        </w:pict>
      </w:r>
      <w:r>
        <w:rPr>
          <w:b/>
          <w:color w:val="383638"/>
          <w:spacing w:val="-25"/>
          <w:w w:val="80"/>
          <w:sz w:val="32"/>
        </w:rPr>
        <w:t>l</w:t>
      </w:r>
      <w:r>
        <w:rPr>
          <w:color w:val="383638"/>
          <w:spacing w:val="-25"/>
          <w:w w:val="80"/>
          <w:position w:val="-5"/>
          <w:sz w:val="42"/>
        </w:rPr>
        <w:t>.</w:t>
      </w:r>
      <w:r>
        <w:rPr>
          <w:b/>
          <w:color w:val="383638"/>
          <w:spacing w:val="-25"/>
          <w:w w:val="80"/>
          <w:sz w:val="32"/>
        </w:rPr>
        <w:t>.</w:t>
      </w:r>
      <w:r>
        <w:rPr>
          <w:color w:val="383638"/>
          <w:spacing w:val="-25"/>
          <w:w w:val="80"/>
          <w:position w:val="-5"/>
          <w:sz w:val="42"/>
        </w:rPr>
        <w:t>,</w:t>
      </w:r>
    </w:p>
    <w:p>
      <w:pPr>
        <w:spacing w:line="520" w:lineRule="exact" w:before="0"/>
        <w:ind w:left="157" w:right="0" w:firstLine="0"/>
        <w:jc w:val="left"/>
        <w:rPr>
          <w:b/>
          <w:sz w:val="54"/>
        </w:rPr>
      </w:pPr>
      <w:r>
        <w:rPr>
          <w:b/>
          <w:color w:val="383638"/>
          <w:w w:val="86"/>
          <w:sz w:val="54"/>
        </w:rPr>
        <w:t>e</w:t>
      </w:r>
    </w:p>
    <w:p>
      <w:pPr>
        <w:spacing w:line="240" w:lineRule="auto" w:before="0"/>
        <w:rPr>
          <w:b/>
          <w:sz w:val="44"/>
        </w:rPr>
      </w:pPr>
      <w:r>
        <w:rPr/>
        <w:br w:type="column"/>
      </w:r>
      <w:r>
        <w:rPr>
          <w:b/>
          <w:sz w:val="44"/>
        </w:rPr>
      </w:r>
    </w:p>
    <w:p>
      <w:pPr>
        <w:pStyle w:val="BodyText"/>
        <w:spacing w:before="10"/>
        <w:rPr>
          <w:b/>
          <w:sz w:val="42"/>
        </w:rPr>
      </w:pPr>
    </w:p>
    <w:p>
      <w:pPr>
        <w:pStyle w:val="Heading4"/>
        <w:ind w:left="157"/>
      </w:pPr>
      <w:r>
        <w:rPr>
          <w:color w:val="383638"/>
        </w:rPr>
        <w:t>F</w:t>
      </w:r>
      <w:r>
        <w:rPr>
          <w:color w:val="606264"/>
        </w:rPr>
        <w:t>ACIN</w:t>
      </w:r>
      <w:r>
        <w:rPr>
          <w:color w:val="383638"/>
        </w:rPr>
        <w:t>G</w:t>
      </w:r>
      <w:r>
        <w:rPr>
          <w:color w:val="383638"/>
          <w:spacing w:val="56"/>
        </w:rPr>
        <w:t> </w:t>
      </w:r>
      <w:r>
        <w:rPr>
          <w:color w:val="383638"/>
        </w:rPr>
        <w:t>T</w:t>
      </w:r>
      <w:r>
        <w:rPr>
          <w:color w:val="606264"/>
        </w:rPr>
        <w:t>HE</w:t>
      </w:r>
      <w:r>
        <w:rPr>
          <w:color w:val="606264"/>
          <w:spacing w:val="-14"/>
        </w:rPr>
        <w:t> </w:t>
      </w:r>
      <w:r>
        <w:rPr>
          <w:color w:val="606264"/>
        </w:rPr>
        <w:t>BLAN</w:t>
      </w:r>
      <w:r>
        <w:rPr>
          <w:color w:val="606264"/>
          <w:spacing w:val="28"/>
        </w:rPr>
        <w:t> </w:t>
      </w:r>
      <w:r>
        <w:rPr>
          <w:color w:val="606264"/>
        </w:rPr>
        <w:t>&lt;</w:t>
      </w:r>
      <w:r>
        <w:rPr>
          <w:color w:val="606264"/>
          <w:spacing w:val="60"/>
        </w:rPr>
        <w:t> </w:t>
      </w:r>
      <w:r>
        <w:rPr>
          <w:color w:val="606264"/>
        </w:rPr>
        <w:t>PAGE</w:t>
      </w:r>
    </w:p>
    <w:p>
      <w:pPr>
        <w:pStyle w:val="BodyText"/>
        <w:spacing w:before="10"/>
        <w:rPr>
          <w:rFonts w:ascii="Arial"/>
          <w:b/>
          <w:sz w:val="60"/>
        </w:rPr>
      </w:pPr>
    </w:p>
    <w:p>
      <w:pPr>
        <w:pStyle w:val="ListParagraph"/>
        <w:numPr>
          <w:ilvl w:val="1"/>
          <w:numId w:val="33"/>
        </w:numPr>
        <w:tabs>
          <w:tab w:pos="685" w:val="left" w:leader="none"/>
          <w:tab w:pos="686" w:val="left" w:leader="none"/>
        </w:tabs>
        <w:spacing w:line="240" w:lineRule="auto" w:before="0" w:after="0"/>
        <w:ind w:left="685" w:right="0" w:hanging="503"/>
        <w:jc w:val="left"/>
        <w:rPr>
          <w:rFonts w:ascii="Arial"/>
          <w:b/>
          <w:color w:val="383638"/>
          <w:sz w:val="20"/>
        </w:rPr>
      </w:pPr>
      <w:r>
        <w:rPr>
          <w:color w:val="383638"/>
          <w:spacing w:val="-1"/>
          <w:w w:val="115"/>
          <w:sz w:val="20"/>
        </w:rPr>
        <w:t>Finding</w:t>
      </w:r>
      <w:r>
        <w:rPr>
          <w:color w:val="383638"/>
          <w:spacing w:val="-12"/>
          <w:w w:val="115"/>
          <w:sz w:val="20"/>
        </w:rPr>
        <w:t> </w:t>
      </w:r>
      <w:r>
        <w:rPr>
          <w:color w:val="383638"/>
          <w:w w:val="115"/>
          <w:sz w:val="20"/>
        </w:rPr>
        <w:t>Structure</w:t>
      </w:r>
    </w:p>
    <w:p>
      <w:pPr>
        <w:pStyle w:val="ListParagraph"/>
        <w:numPr>
          <w:ilvl w:val="2"/>
          <w:numId w:val="33"/>
        </w:numPr>
        <w:tabs>
          <w:tab w:pos="1381" w:val="left" w:leader="none"/>
          <w:tab w:pos="1382" w:val="left" w:leader="none"/>
        </w:tabs>
        <w:spacing w:line="252" w:lineRule="auto" w:before="1" w:after="0"/>
        <w:ind w:left="1380" w:right="1813" w:hanging="706"/>
        <w:jc w:val="left"/>
        <w:rPr>
          <w:rFonts w:ascii="Arial"/>
          <w:b/>
          <w:color w:val="383638"/>
          <w:sz w:val="20"/>
        </w:rPr>
      </w:pPr>
      <w:r>
        <w:rPr>
          <w:color w:val="383638"/>
          <w:w w:val="105"/>
          <w:sz w:val="20"/>
        </w:rPr>
        <w:t>Using Existing Rules and</w:t>
      </w:r>
      <w:r>
        <w:rPr>
          <w:color w:val="383638"/>
          <w:spacing w:val="1"/>
          <w:w w:val="105"/>
          <w:sz w:val="20"/>
        </w:rPr>
        <w:t> </w:t>
      </w:r>
      <w:r>
        <w:rPr>
          <w:color w:val="383638"/>
          <w:w w:val="105"/>
          <w:sz w:val="20"/>
        </w:rPr>
        <w:t>the</w:t>
      </w:r>
      <w:r>
        <w:rPr>
          <w:color w:val="383638"/>
          <w:spacing w:val="1"/>
          <w:w w:val="105"/>
          <w:sz w:val="20"/>
        </w:rPr>
        <w:t> </w:t>
      </w:r>
      <w:r>
        <w:rPr>
          <w:color w:val="383638"/>
          <w:w w:val="105"/>
          <w:sz w:val="20"/>
        </w:rPr>
        <w:t>"Phrase-That-Pays"</w:t>
      </w:r>
      <w:r>
        <w:rPr>
          <w:color w:val="383638"/>
          <w:spacing w:val="-50"/>
          <w:w w:val="105"/>
          <w:sz w:val="20"/>
        </w:rPr>
        <w:t> </w:t>
      </w:r>
      <w:r>
        <w:rPr>
          <w:color w:val="383638"/>
          <w:w w:val="110"/>
          <w:sz w:val="20"/>
        </w:rPr>
        <w:t>to</w:t>
      </w:r>
      <w:r>
        <w:rPr>
          <w:color w:val="383638"/>
          <w:spacing w:val="-7"/>
          <w:w w:val="110"/>
          <w:sz w:val="20"/>
        </w:rPr>
        <w:t> </w:t>
      </w:r>
      <w:r>
        <w:rPr>
          <w:color w:val="383638"/>
          <w:w w:val="110"/>
          <w:sz w:val="20"/>
        </w:rPr>
        <w:t>Structure</w:t>
      </w:r>
      <w:r>
        <w:rPr>
          <w:color w:val="383638"/>
          <w:spacing w:val="-6"/>
          <w:w w:val="110"/>
          <w:sz w:val="20"/>
        </w:rPr>
        <w:t> </w:t>
      </w:r>
      <w:r>
        <w:rPr>
          <w:color w:val="383638"/>
          <w:w w:val="110"/>
          <w:sz w:val="20"/>
        </w:rPr>
        <w:t>Your</w:t>
      </w:r>
      <w:r>
        <w:rPr>
          <w:color w:val="383638"/>
          <w:spacing w:val="-2"/>
          <w:w w:val="110"/>
          <w:sz w:val="20"/>
        </w:rPr>
        <w:t> </w:t>
      </w:r>
      <w:r>
        <w:rPr>
          <w:color w:val="383638"/>
          <w:w w:val="110"/>
          <w:sz w:val="20"/>
        </w:rPr>
        <w:t>Argument</w:t>
      </w:r>
    </w:p>
    <w:p>
      <w:pPr>
        <w:pStyle w:val="ListParagraph"/>
        <w:numPr>
          <w:ilvl w:val="2"/>
          <w:numId w:val="33"/>
        </w:numPr>
        <w:tabs>
          <w:tab w:pos="1381" w:val="left" w:leader="none"/>
          <w:tab w:pos="1382" w:val="left" w:leader="none"/>
        </w:tabs>
        <w:spacing w:line="219" w:lineRule="exact" w:before="0" w:after="0"/>
        <w:ind w:left="1381" w:right="0" w:hanging="698"/>
        <w:jc w:val="left"/>
        <w:rPr>
          <w:rFonts w:ascii="Arial"/>
          <w:b/>
          <w:color w:val="383638"/>
          <w:sz w:val="20"/>
        </w:rPr>
      </w:pPr>
      <w:r>
        <w:rPr>
          <w:color w:val="383638"/>
          <w:sz w:val="20"/>
        </w:rPr>
        <w:t>Using</w:t>
      </w:r>
      <w:r>
        <w:rPr>
          <w:color w:val="383638"/>
          <w:spacing w:val="17"/>
          <w:sz w:val="20"/>
        </w:rPr>
        <w:t> </w:t>
      </w:r>
      <w:r>
        <w:rPr>
          <w:color w:val="383638"/>
          <w:sz w:val="20"/>
        </w:rPr>
        <w:t>Your</w:t>
      </w:r>
      <w:r>
        <w:rPr>
          <w:color w:val="383638"/>
          <w:spacing w:val="26"/>
          <w:sz w:val="20"/>
        </w:rPr>
        <w:t> </w:t>
      </w:r>
      <w:r>
        <w:rPr>
          <w:color w:val="383638"/>
          <w:sz w:val="20"/>
        </w:rPr>
        <w:t>Research</w:t>
      </w:r>
      <w:r>
        <w:rPr>
          <w:color w:val="383638"/>
          <w:spacing w:val="21"/>
          <w:sz w:val="20"/>
        </w:rPr>
        <w:t> </w:t>
      </w:r>
      <w:r>
        <w:rPr>
          <w:color w:val="383638"/>
          <w:sz w:val="20"/>
        </w:rPr>
        <w:t>to</w:t>
      </w:r>
      <w:r>
        <w:rPr>
          <w:color w:val="383638"/>
          <w:spacing w:val="61"/>
          <w:sz w:val="20"/>
        </w:rPr>
        <w:t> </w:t>
      </w:r>
      <w:r>
        <w:rPr>
          <w:color w:val="383638"/>
          <w:sz w:val="20"/>
        </w:rPr>
        <w:t>Help</w:t>
      </w:r>
      <w:r>
        <w:rPr>
          <w:color w:val="383638"/>
          <w:spacing w:val="-1"/>
          <w:sz w:val="20"/>
        </w:rPr>
        <w:t> </w:t>
      </w:r>
      <w:r>
        <w:rPr>
          <w:color w:val="383638"/>
          <w:sz w:val="20"/>
        </w:rPr>
        <w:t>You</w:t>
      </w:r>
      <w:r>
        <w:rPr>
          <w:color w:val="383638"/>
          <w:spacing w:val="-4"/>
          <w:sz w:val="20"/>
        </w:rPr>
        <w:t> </w:t>
      </w:r>
      <w:r>
        <w:rPr>
          <w:color w:val="383638"/>
          <w:sz w:val="20"/>
        </w:rPr>
        <w:t>Structure</w:t>
      </w:r>
      <w:r>
        <w:rPr>
          <w:color w:val="383638"/>
          <w:spacing w:val="4"/>
          <w:sz w:val="20"/>
        </w:rPr>
        <w:t> </w:t>
      </w:r>
      <w:r>
        <w:rPr>
          <w:color w:val="383638"/>
          <w:sz w:val="20"/>
        </w:rPr>
        <w:t>Your</w:t>
      </w:r>
      <w:r>
        <w:rPr>
          <w:color w:val="383638"/>
          <w:spacing w:val="-1"/>
          <w:sz w:val="20"/>
        </w:rPr>
        <w:t> </w:t>
      </w:r>
      <w:r>
        <w:rPr>
          <w:color w:val="383638"/>
          <w:sz w:val="20"/>
        </w:rPr>
        <w:t>Argument</w:t>
      </w:r>
    </w:p>
    <w:p>
      <w:pPr>
        <w:pStyle w:val="ListParagraph"/>
        <w:numPr>
          <w:ilvl w:val="2"/>
          <w:numId w:val="33"/>
        </w:numPr>
        <w:tabs>
          <w:tab w:pos="1381" w:val="left" w:leader="none"/>
          <w:tab w:pos="1382" w:val="left" w:leader="none"/>
        </w:tabs>
        <w:spacing w:line="240" w:lineRule="auto" w:before="10" w:after="0"/>
        <w:ind w:left="1381" w:right="0" w:hanging="698"/>
        <w:jc w:val="left"/>
        <w:rPr>
          <w:rFonts w:ascii="Arial"/>
          <w:b/>
          <w:color w:val="383638"/>
          <w:sz w:val="20"/>
        </w:rPr>
      </w:pPr>
      <w:r>
        <w:rPr>
          <w:color w:val="383638"/>
          <w:sz w:val="20"/>
        </w:rPr>
        <w:t>Using</w:t>
      </w:r>
      <w:r>
        <w:rPr>
          <w:color w:val="383638"/>
          <w:spacing w:val="13"/>
          <w:sz w:val="20"/>
        </w:rPr>
        <w:t> </w:t>
      </w:r>
      <w:r>
        <w:rPr>
          <w:color w:val="383638"/>
          <w:sz w:val="20"/>
        </w:rPr>
        <w:t>Policy-Based</w:t>
      </w:r>
      <w:r>
        <w:rPr>
          <w:color w:val="383638"/>
          <w:spacing w:val="48"/>
          <w:sz w:val="20"/>
        </w:rPr>
        <w:t> </w:t>
      </w:r>
      <w:r>
        <w:rPr>
          <w:color w:val="383638"/>
          <w:sz w:val="20"/>
        </w:rPr>
        <w:t>Rules</w:t>
      </w:r>
      <w:r>
        <w:rPr>
          <w:color w:val="383638"/>
          <w:spacing w:val="5"/>
          <w:sz w:val="20"/>
        </w:rPr>
        <w:t> </w:t>
      </w:r>
      <w:r>
        <w:rPr>
          <w:color w:val="383638"/>
          <w:sz w:val="20"/>
        </w:rPr>
        <w:t>in</w:t>
      </w:r>
      <w:r>
        <w:rPr>
          <w:color w:val="383638"/>
          <w:spacing w:val="62"/>
          <w:sz w:val="20"/>
        </w:rPr>
        <w:t> </w:t>
      </w:r>
      <w:r>
        <w:rPr>
          <w:color w:val="383638"/>
          <w:sz w:val="20"/>
        </w:rPr>
        <w:t>Your</w:t>
      </w:r>
      <w:r>
        <w:rPr>
          <w:color w:val="383638"/>
          <w:spacing w:val="21"/>
          <w:sz w:val="20"/>
        </w:rPr>
        <w:t> </w:t>
      </w:r>
      <w:r>
        <w:rPr>
          <w:color w:val="383638"/>
          <w:sz w:val="20"/>
        </w:rPr>
        <w:t>Argument</w:t>
      </w:r>
    </w:p>
    <w:p>
      <w:pPr>
        <w:pStyle w:val="ListParagraph"/>
        <w:numPr>
          <w:ilvl w:val="2"/>
          <w:numId w:val="33"/>
        </w:numPr>
        <w:tabs>
          <w:tab w:pos="1391" w:val="left" w:leader="none"/>
          <w:tab w:pos="1392" w:val="left" w:leader="none"/>
        </w:tabs>
        <w:spacing w:line="240" w:lineRule="auto" w:before="0" w:after="0"/>
        <w:ind w:left="1391" w:right="0" w:hanging="698"/>
        <w:jc w:val="left"/>
        <w:rPr>
          <w:rFonts w:ascii="Arial"/>
          <w:b/>
          <w:color w:val="383638"/>
          <w:sz w:val="20"/>
        </w:rPr>
      </w:pPr>
      <w:r>
        <w:rPr>
          <w:color w:val="383638"/>
          <w:w w:val="105"/>
          <w:sz w:val="20"/>
        </w:rPr>
        <w:t>Using</w:t>
      </w:r>
      <w:r>
        <w:rPr>
          <w:color w:val="383638"/>
          <w:spacing w:val="-12"/>
          <w:w w:val="105"/>
          <w:sz w:val="20"/>
        </w:rPr>
        <w:t> </w:t>
      </w:r>
      <w:r>
        <w:rPr>
          <w:color w:val="383638"/>
          <w:w w:val="105"/>
          <w:sz w:val="20"/>
        </w:rPr>
        <w:t>a</w:t>
      </w:r>
      <w:r>
        <w:rPr>
          <w:color w:val="383638"/>
          <w:spacing w:val="19"/>
          <w:w w:val="105"/>
          <w:sz w:val="20"/>
        </w:rPr>
        <w:t> </w:t>
      </w:r>
      <w:r>
        <w:rPr>
          <w:color w:val="383638"/>
          <w:w w:val="105"/>
          <w:sz w:val="20"/>
        </w:rPr>
        <w:t>Reverse</w:t>
      </w:r>
      <w:r>
        <w:rPr>
          <w:color w:val="383638"/>
          <w:spacing w:val="10"/>
          <w:w w:val="105"/>
          <w:sz w:val="20"/>
        </w:rPr>
        <w:t> </w:t>
      </w:r>
      <w:r>
        <w:rPr>
          <w:color w:val="383638"/>
          <w:w w:val="105"/>
          <w:sz w:val="20"/>
        </w:rPr>
        <w:t>Roadmap</w:t>
      </w:r>
      <w:r>
        <w:rPr>
          <w:color w:val="383638"/>
          <w:spacing w:val="6"/>
          <w:w w:val="105"/>
          <w:sz w:val="20"/>
        </w:rPr>
        <w:t> </w:t>
      </w:r>
      <w:r>
        <w:rPr>
          <w:color w:val="383638"/>
          <w:w w:val="105"/>
          <w:sz w:val="20"/>
        </w:rPr>
        <w:t>to</w:t>
      </w:r>
      <w:r>
        <w:rPr>
          <w:color w:val="383638"/>
          <w:spacing w:val="18"/>
          <w:w w:val="105"/>
          <w:sz w:val="20"/>
        </w:rPr>
        <w:t> </w:t>
      </w:r>
      <w:r>
        <w:rPr>
          <w:color w:val="383638"/>
          <w:w w:val="105"/>
          <w:sz w:val="20"/>
        </w:rPr>
        <w:t>Structure</w:t>
      </w:r>
      <w:r>
        <w:rPr>
          <w:color w:val="383638"/>
          <w:spacing w:val="-5"/>
          <w:w w:val="105"/>
          <w:sz w:val="20"/>
        </w:rPr>
        <w:t> </w:t>
      </w:r>
      <w:r>
        <w:rPr>
          <w:color w:val="383638"/>
          <w:w w:val="105"/>
          <w:sz w:val="20"/>
        </w:rPr>
        <w:t>Your</w:t>
      </w:r>
      <w:r>
        <w:rPr>
          <w:color w:val="383638"/>
          <w:spacing w:val="13"/>
          <w:w w:val="105"/>
          <w:sz w:val="20"/>
        </w:rPr>
        <w:t> </w:t>
      </w:r>
      <w:r>
        <w:rPr>
          <w:color w:val="383638"/>
          <w:w w:val="105"/>
          <w:sz w:val="20"/>
        </w:rPr>
        <w:t>Argument</w:t>
      </w:r>
    </w:p>
    <w:p>
      <w:pPr>
        <w:pStyle w:val="ListParagraph"/>
        <w:numPr>
          <w:ilvl w:val="2"/>
          <w:numId w:val="33"/>
        </w:numPr>
        <w:tabs>
          <w:tab w:pos="1376" w:val="left" w:leader="none"/>
          <w:tab w:pos="1377" w:val="left" w:leader="none"/>
        </w:tabs>
        <w:spacing w:line="226" w:lineRule="exact" w:before="11" w:after="0"/>
        <w:ind w:left="1376" w:right="0" w:hanging="683"/>
        <w:jc w:val="left"/>
        <w:rPr>
          <w:rFonts w:ascii="Arial"/>
          <w:b/>
          <w:color w:val="383638"/>
          <w:sz w:val="18"/>
        </w:rPr>
      </w:pPr>
      <w:r>
        <w:rPr>
          <w:rFonts w:ascii="Arial"/>
          <w:b/>
          <w:color w:val="383638"/>
          <w:w w:val="105"/>
          <w:sz w:val="18"/>
        </w:rPr>
        <w:t>5</w:t>
        <w:tab/>
      </w:r>
      <w:r>
        <w:rPr>
          <w:color w:val="383638"/>
          <w:w w:val="110"/>
          <w:sz w:val="20"/>
        </w:rPr>
        <w:t>The</w:t>
      </w:r>
      <w:r>
        <w:rPr>
          <w:color w:val="383638"/>
          <w:spacing w:val="4"/>
          <w:w w:val="110"/>
          <w:sz w:val="20"/>
        </w:rPr>
        <w:t> </w:t>
      </w:r>
      <w:r>
        <w:rPr>
          <w:color w:val="383638"/>
          <w:w w:val="110"/>
          <w:sz w:val="20"/>
        </w:rPr>
        <w:t>Working</w:t>
      </w:r>
      <w:r>
        <w:rPr>
          <w:color w:val="383638"/>
          <w:spacing w:val="-10"/>
          <w:w w:val="110"/>
          <w:sz w:val="20"/>
        </w:rPr>
        <w:t> </w:t>
      </w:r>
      <w:r>
        <w:rPr>
          <w:color w:val="383638"/>
          <w:w w:val="110"/>
          <w:sz w:val="20"/>
        </w:rPr>
        <w:t>Outline</w:t>
      </w:r>
    </w:p>
    <w:p>
      <w:pPr>
        <w:pStyle w:val="ListParagraph"/>
        <w:numPr>
          <w:ilvl w:val="1"/>
          <w:numId w:val="33"/>
        </w:numPr>
        <w:tabs>
          <w:tab w:pos="697" w:val="left" w:leader="none"/>
        </w:tabs>
        <w:spacing w:line="247" w:lineRule="auto" w:before="0" w:after="0"/>
        <w:ind w:left="704" w:right="1493" w:hanging="514"/>
        <w:jc w:val="left"/>
        <w:rPr>
          <w:b/>
          <w:color w:val="383638"/>
          <w:sz w:val="22"/>
        </w:rPr>
      </w:pPr>
      <w:r>
        <w:rPr>
          <w:color w:val="383638"/>
          <w:w w:val="115"/>
          <w:sz w:val="20"/>
        </w:rPr>
        <w:t>Using "Private Memos" to Quiet Your Inner Demons and</w:t>
      </w:r>
      <w:r>
        <w:rPr>
          <w:color w:val="383638"/>
          <w:spacing w:val="-55"/>
          <w:w w:val="115"/>
          <w:sz w:val="20"/>
        </w:rPr>
        <w:t> </w:t>
      </w:r>
      <w:r>
        <w:rPr>
          <w:color w:val="383638"/>
          <w:w w:val="115"/>
          <w:sz w:val="20"/>
        </w:rPr>
        <w:t>Prevent</w:t>
      </w:r>
      <w:r>
        <w:rPr>
          <w:color w:val="383638"/>
          <w:spacing w:val="10"/>
          <w:w w:val="115"/>
          <w:sz w:val="20"/>
        </w:rPr>
        <w:t> </w:t>
      </w:r>
      <w:r>
        <w:rPr>
          <w:color w:val="383638"/>
          <w:w w:val="115"/>
          <w:sz w:val="20"/>
        </w:rPr>
        <w:t>Writer's</w:t>
      </w:r>
      <w:r>
        <w:rPr>
          <w:color w:val="383638"/>
          <w:spacing w:val="-9"/>
          <w:w w:val="115"/>
          <w:sz w:val="20"/>
        </w:rPr>
        <w:t> </w:t>
      </w:r>
      <w:r>
        <w:rPr>
          <w:color w:val="383638"/>
          <w:w w:val="115"/>
          <w:sz w:val="20"/>
        </w:rPr>
        <w:t>Block</w:t>
      </w:r>
    </w:p>
    <w:p>
      <w:pPr>
        <w:pStyle w:val="ListParagraph"/>
        <w:numPr>
          <w:ilvl w:val="1"/>
          <w:numId w:val="33"/>
        </w:numPr>
        <w:tabs>
          <w:tab w:pos="704" w:val="left" w:leader="none"/>
          <w:tab w:pos="705" w:val="left" w:leader="none"/>
        </w:tabs>
        <w:spacing w:line="237" w:lineRule="exact" w:before="0" w:after="0"/>
        <w:ind w:left="704" w:right="0" w:hanging="514"/>
        <w:jc w:val="left"/>
        <w:rPr>
          <w:b/>
          <w:color w:val="383638"/>
          <w:sz w:val="22"/>
        </w:rPr>
      </w:pPr>
      <w:r>
        <w:rPr>
          <w:color w:val="383638"/>
          <w:w w:val="115"/>
          <w:sz w:val="20"/>
        </w:rPr>
        <w:t>Facing</w:t>
      </w:r>
      <w:r>
        <w:rPr>
          <w:color w:val="383638"/>
          <w:spacing w:val="-3"/>
          <w:w w:val="115"/>
          <w:sz w:val="20"/>
        </w:rPr>
        <w:t> </w:t>
      </w:r>
      <w:r>
        <w:rPr>
          <w:color w:val="383638"/>
          <w:w w:val="115"/>
          <w:sz w:val="20"/>
        </w:rPr>
        <w:t>Procrastination</w:t>
      </w:r>
    </w:p>
    <w:p>
      <w:pPr>
        <w:pStyle w:val="ListParagraph"/>
        <w:numPr>
          <w:ilvl w:val="2"/>
          <w:numId w:val="33"/>
        </w:numPr>
        <w:tabs>
          <w:tab w:pos="1400" w:val="left" w:leader="none"/>
        </w:tabs>
        <w:spacing w:line="240" w:lineRule="auto" w:before="2" w:after="0"/>
        <w:ind w:left="1399" w:right="0" w:hanging="706"/>
        <w:jc w:val="left"/>
        <w:rPr>
          <w:rFonts w:ascii="Arial"/>
          <w:b/>
          <w:color w:val="383638"/>
          <w:sz w:val="20"/>
        </w:rPr>
      </w:pPr>
      <w:r>
        <w:rPr>
          <w:color w:val="383638"/>
          <w:w w:val="110"/>
          <w:sz w:val="20"/>
        </w:rPr>
        <w:t>Fear</w:t>
      </w:r>
      <w:r>
        <w:rPr>
          <w:color w:val="383638"/>
          <w:spacing w:val="-12"/>
          <w:w w:val="110"/>
          <w:sz w:val="20"/>
        </w:rPr>
        <w:t> </w:t>
      </w:r>
      <w:r>
        <w:rPr>
          <w:color w:val="383638"/>
          <w:w w:val="110"/>
          <w:sz w:val="20"/>
        </w:rPr>
        <w:t>of</w:t>
      </w:r>
      <w:r>
        <w:rPr>
          <w:color w:val="383638"/>
          <w:spacing w:val="-4"/>
          <w:w w:val="110"/>
          <w:sz w:val="20"/>
        </w:rPr>
        <w:t> </w:t>
      </w:r>
      <w:r>
        <w:rPr>
          <w:color w:val="383638"/>
          <w:w w:val="110"/>
          <w:sz w:val="20"/>
        </w:rPr>
        <w:t>Commitment</w:t>
      </w:r>
    </w:p>
    <w:p>
      <w:pPr>
        <w:pStyle w:val="ListParagraph"/>
        <w:numPr>
          <w:ilvl w:val="2"/>
          <w:numId w:val="33"/>
        </w:numPr>
        <w:tabs>
          <w:tab w:pos="1408" w:val="left" w:leader="none"/>
          <w:tab w:pos="1409" w:val="left" w:leader="none"/>
        </w:tabs>
        <w:spacing w:line="240" w:lineRule="auto" w:before="0" w:after="0"/>
        <w:ind w:left="1408" w:right="0" w:hanging="715"/>
        <w:jc w:val="left"/>
        <w:rPr>
          <w:rFonts w:ascii="Arial"/>
          <w:b/>
          <w:color w:val="383638"/>
          <w:sz w:val="20"/>
        </w:rPr>
      </w:pPr>
      <w:r>
        <w:rPr>
          <w:color w:val="383638"/>
          <w:w w:val="105"/>
          <w:sz w:val="20"/>
        </w:rPr>
        <w:t>Fear</w:t>
      </w:r>
      <w:r>
        <w:rPr>
          <w:color w:val="383638"/>
          <w:spacing w:val="-13"/>
          <w:w w:val="105"/>
          <w:sz w:val="20"/>
        </w:rPr>
        <w:t> </w:t>
      </w:r>
      <w:r>
        <w:rPr>
          <w:color w:val="383638"/>
          <w:w w:val="105"/>
          <w:sz w:val="20"/>
        </w:rPr>
        <w:t>of</w:t>
      </w:r>
      <w:r>
        <w:rPr>
          <w:color w:val="383638"/>
          <w:spacing w:val="8"/>
          <w:w w:val="105"/>
          <w:sz w:val="20"/>
        </w:rPr>
        <w:t> </w:t>
      </w:r>
      <w:r>
        <w:rPr>
          <w:color w:val="383638"/>
          <w:w w:val="105"/>
          <w:sz w:val="20"/>
        </w:rPr>
        <w:t>Failure</w:t>
      </w:r>
    </w:p>
    <w:p>
      <w:pPr>
        <w:pStyle w:val="ListParagraph"/>
        <w:numPr>
          <w:ilvl w:val="2"/>
          <w:numId w:val="33"/>
        </w:numPr>
        <w:tabs>
          <w:tab w:pos="1408" w:val="left" w:leader="none"/>
          <w:tab w:pos="1409" w:val="left" w:leader="none"/>
        </w:tabs>
        <w:spacing w:line="240" w:lineRule="auto" w:before="10" w:after="0"/>
        <w:ind w:left="1408" w:right="0" w:hanging="715"/>
        <w:jc w:val="left"/>
        <w:rPr>
          <w:rFonts w:ascii="Arial"/>
          <w:b/>
          <w:color w:val="383638"/>
          <w:sz w:val="20"/>
        </w:rPr>
      </w:pPr>
      <w:r>
        <w:rPr>
          <w:color w:val="383638"/>
          <w:w w:val="105"/>
          <w:sz w:val="20"/>
        </w:rPr>
        <w:t>Fear</w:t>
      </w:r>
      <w:r>
        <w:rPr>
          <w:color w:val="383638"/>
          <w:spacing w:val="-11"/>
          <w:w w:val="105"/>
          <w:sz w:val="20"/>
        </w:rPr>
        <w:t> </w:t>
      </w:r>
      <w:r>
        <w:rPr>
          <w:color w:val="383638"/>
          <w:w w:val="105"/>
          <w:sz w:val="20"/>
        </w:rPr>
        <w:t>of</w:t>
      </w:r>
      <w:r>
        <w:rPr>
          <w:color w:val="383638"/>
          <w:spacing w:val="11"/>
          <w:w w:val="105"/>
          <w:sz w:val="20"/>
        </w:rPr>
        <w:t> </w:t>
      </w:r>
      <w:r>
        <w:rPr>
          <w:color w:val="383638"/>
          <w:w w:val="105"/>
          <w:sz w:val="20"/>
        </w:rPr>
        <w:t>Pain</w:t>
      </w:r>
    </w:p>
    <w:p>
      <w:pPr>
        <w:pStyle w:val="ListParagraph"/>
        <w:numPr>
          <w:ilvl w:val="1"/>
          <w:numId w:val="33"/>
        </w:numPr>
        <w:tabs>
          <w:tab w:pos="696" w:val="left" w:leader="none"/>
        </w:tabs>
        <w:spacing w:line="240" w:lineRule="auto" w:before="68" w:after="0"/>
        <w:ind w:left="695" w:right="0" w:hanging="494"/>
        <w:jc w:val="left"/>
        <w:rPr>
          <w:rFonts w:ascii="Arial"/>
          <w:b/>
          <w:color w:val="383638"/>
          <w:sz w:val="20"/>
        </w:rPr>
      </w:pPr>
      <w:r>
        <w:rPr>
          <w:color w:val="383638"/>
          <w:w w:val="115"/>
          <w:sz w:val="20"/>
        </w:rPr>
        <w:t>Summary</w:t>
      </w:r>
    </w:p>
    <w:p>
      <w:pPr>
        <w:spacing w:after="0" w:line="240" w:lineRule="auto"/>
        <w:jc w:val="left"/>
        <w:rPr>
          <w:rFonts w:ascii="Arial"/>
          <w:sz w:val="20"/>
        </w:rPr>
        <w:sectPr>
          <w:headerReference w:type="default" r:id="rId91"/>
          <w:headerReference w:type="even" r:id="rId92"/>
          <w:pgSz w:w="9640" w:h="13760"/>
          <w:pgMar w:header="543" w:footer="0" w:top="1440" w:bottom="280" w:left="400" w:right="1240"/>
          <w:cols w:num="2" w:equalWidth="0">
            <w:col w:w="411" w:space="93"/>
            <w:col w:w="7496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91"/>
        <w:ind w:left="112" w:right="274" w:firstLine="579"/>
        <w:jc w:val="both"/>
      </w:pPr>
      <w:r>
        <w:rPr>
          <w:color w:val="383638"/>
          <w:w w:val="115"/>
        </w:rPr>
        <w:t>The hardest thing about writing is writing. Writing is harder than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researching before you write, and it's harder than revising after you've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written. But to use the research, and to have something to revise, you must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actually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write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a draft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document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at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some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point.</w:t>
      </w:r>
    </w:p>
    <w:p>
      <w:pPr>
        <w:pStyle w:val="BodyText"/>
        <w:spacing w:line="245" w:lineRule="exact"/>
        <w:ind w:left="470"/>
        <w:jc w:val="both"/>
      </w:pPr>
      <w:r>
        <w:rPr>
          <w:color w:val="383638"/>
          <w:w w:val="115"/>
        </w:rPr>
        <w:t>Two</w:t>
      </w:r>
      <w:r>
        <w:rPr>
          <w:color w:val="383638"/>
          <w:spacing w:val="13"/>
          <w:w w:val="115"/>
        </w:rPr>
        <w:t> </w:t>
      </w:r>
      <w:r>
        <w:rPr>
          <w:color w:val="383638"/>
          <w:w w:val="115"/>
        </w:rPr>
        <w:t>techniques</w:t>
      </w:r>
      <w:r>
        <w:rPr>
          <w:color w:val="383638"/>
          <w:spacing w:val="12"/>
          <w:w w:val="115"/>
        </w:rPr>
        <w:t> </w:t>
      </w:r>
      <w:r>
        <w:rPr>
          <w:color w:val="383638"/>
          <w:w w:val="115"/>
        </w:rPr>
        <w:t>can</w:t>
      </w:r>
      <w:r>
        <w:rPr>
          <w:color w:val="383638"/>
          <w:spacing w:val="34"/>
          <w:w w:val="115"/>
        </w:rPr>
        <w:t> </w:t>
      </w:r>
      <w:r>
        <w:rPr>
          <w:color w:val="383638"/>
          <w:w w:val="115"/>
        </w:rPr>
        <w:t>make</w:t>
      </w:r>
      <w:r>
        <w:rPr>
          <w:color w:val="383638"/>
          <w:spacing w:val="10"/>
          <w:w w:val="115"/>
        </w:rPr>
        <w:t> </w:t>
      </w:r>
      <w:r>
        <w:rPr>
          <w:color w:val="383638"/>
          <w:w w:val="115"/>
        </w:rPr>
        <w:t>it</w:t>
      </w:r>
      <w:r>
        <w:rPr>
          <w:color w:val="383638"/>
          <w:spacing w:val="30"/>
          <w:w w:val="115"/>
        </w:rPr>
        <w:t> </w:t>
      </w:r>
      <w:r>
        <w:rPr>
          <w:color w:val="383638"/>
          <w:w w:val="115"/>
        </w:rPr>
        <w:t>easier</w:t>
      </w:r>
      <w:r>
        <w:rPr>
          <w:color w:val="383638"/>
          <w:spacing w:val="16"/>
          <w:w w:val="115"/>
        </w:rPr>
        <w:t> </w:t>
      </w:r>
      <w:r>
        <w:rPr>
          <w:color w:val="383638"/>
          <w:w w:val="115"/>
        </w:rPr>
        <w:t>for</w:t>
      </w:r>
      <w:r>
        <w:rPr>
          <w:color w:val="383638"/>
          <w:spacing w:val="25"/>
          <w:w w:val="115"/>
        </w:rPr>
        <w:t> </w:t>
      </w:r>
      <w:r>
        <w:rPr>
          <w:color w:val="383638"/>
          <w:w w:val="115"/>
        </w:rPr>
        <w:t>you</w:t>
      </w:r>
      <w:r>
        <w:rPr>
          <w:color w:val="383638"/>
          <w:spacing w:val="36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38"/>
          <w:w w:val="115"/>
        </w:rPr>
        <w:t> </w:t>
      </w:r>
      <w:r>
        <w:rPr>
          <w:color w:val="383638"/>
          <w:w w:val="115"/>
        </w:rPr>
        <w:t>face</w:t>
      </w:r>
      <w:r>
        <w:rPr>
          <w:color w:val="383638"/>
          <w:spacing w:val="20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52"/>
          <w:w w:val="115"/>
        </w:rPr>
        <w:t> </w:t>
      </w:r>
      <w:r>
        <w:rPr>
          <w:color w:val="383638"/>
          <w:w w:val="115"/>
        </w:rPr>
        <w:t>blank</w:t>
      </w:r>
      <w:r>
        <w:rPr>
          <w:color w:val="383638"/>
          <w:spacing w:val="26"/>
          <w:w w:val="115"/>
        </w:rPr>
        <w:t> </w:t>
      </w:r>
      <w:r>
        <w:rPr>
          <w:color w:val="383638"/>
          <w:w w:val="115"/>
        </w:rPr>
        <w:t>page:</w:t>
      </w:r>
    </w:p>
    <w:p>
      <w:pPr>
        <w:pStyle w:val="ListParagraph"/>
        <w:numPr>
          <w:ilvl w:val="0"/>
          <w:numId w:val="34"/>
        </w:numPr>
        <w:tabs>
          <w:tab w:pos="490" w:val="left" w:leader="none"/>
        </w:tabs>
        <w:spacing w:line="260" w:lineRule="exact" w:before="0" w:after="0"/>
        <w:ind w:left="489" w:right="0" w:hanging="360"/>
        <w:jc w:val="both"/>
        <w:rPr>
          <w:sz w:val="23"/>
        </w:rPr>
      </w:pPr>
      <w:r>
        <w:rPr>
          <w:color w:val="383638"/>
          <w:w w:val="110"/>
          <w:sz w:val="23"/>
        </w:rPr>
        <w:t>deciding</w:t>
      </w:r>
      <w:r>
        <w:rPr>
          <w:color w:val="383638"/>
          <w:spacing w:val="46"/>
          <w:w w:val="110"/>
          <w:sz w:val="23"/>
        </w:rPr>
        <w:t> </w:t>
      </w:r>
      <w:r>
        <w:rPr>
          <w:color w:val="383638"/>
          <w:w w:val="110"/>
          <w:sz w:val="23"/>
        </w:rPr>
        <w:t>on</w:t>
      </w:r>
      <w:r>
        <w:rPr>
          <w:color w:val="383638"/>
          <w:spacing w:val="12"/>
          <w:w w:val="110"/>
          <w:sz w:val="23"/>
        </w:rPr>
        <w:t> </w:t>
      </w:r>
      <w:r>
        <w:rPr>
          <w:color w:val="383638"/>
          <w:w w:val="110"/>
          <w:sz w:val="23"/>
        </w:rPr>
        <w:t>some</w:t>
      </w:r>
      <w:r>
        <w:rPr>
          <w:color w:val="383638"/>
          <w:spacing w:val="40"/>
          <w:w w:val="110"/>
          <w:sz w:val="23"/>
        </w:rPr>
        <w:t> </w:t>
      </w:r>
      <w:r>
        <w:rPr>
          <w:color w:val="383638"/>
          <w:w w:val="110"/>
          <w:sz w:val="23"/>
        </w:rPr>
        <w:t>sort</w:t>
      </w:r>
      <w:r>
        <w:rPr>
          <w:color w:val="383638"/>
          <w:spacing w:val="49"/>
          <w:w w:val="110"/>
          <w:sz w:val="23"/>
        </w:rPr>
        <w:t> </w:t>
      </w:r>
      <w:r>
        <w:rPr>
          <w:color w:val="383638"/>
          <w:w w:val="110"/>
          <w:sz w:val="23"/>
        </w:rPr>
        <w:t>of</w:t>
      </w:r>
      <w:r>
        <w:rPr>
          <w:color w:val="383638"/>
          <w:spacing w:val="59"/>
          <w:w w:val="110"/>
          <w:sz w:val="23"/>
        </w:rPr>
        <w:t> </w:t>
      </w:r>
      <w:r>
        <w:rPr>
          <w:color w:val="383638"/>
          <w:w w:val="110"/>
          <w:sz w:val="23"/>
        </w:rPr>
        <w:t>structure</w:t>
      </w:r>
      <w:r>
        <w:rPr>
          <w:color w:val="383638"/>
          <w:spacing w:val="61"/>
          <w:w w:val="110"/>
          <w:sz w:val="23"/>
        </w:rPr>
        <w:t> </w:t>
      </w:r>
      <w:r>
        <w:rPr>
          <w:color w:val="383638"/>
          <w:w w:val="110"/>
          <w:sz w:val="23"/>
        </w:rPr>
        <w:t>before</w:t>
      </w:r>
      <w:r>
        <w:rPr>
          <w:color w:val="383638"/>
          <w:spacing w:val="48"/>
          <w:w w:val="110"/>
          <w:sz w:val="23"/>
        </w:rPr>
        <w:t> </w:t>
      </w:r>
      <w:r>
        <w:rPr>
          <w:color w:val="383638"/>
          <w:w w:val="110"/>
          <w:sz w:val="23"/>
        </w:rPr>
        <w:t>you </w:t>
      </w:r>
      <w:r>
        <w:rPr>
          <w:color w:val="383638"/>
          <w:spacing w:val="7"/>
          <w:w w:val="110"/>
          <w:sz w:val="23"/>
        </w:rPr>
        <w:t> </w:t>
      </w:r>
      <w:r>
        <w:rPr>
          <w:color w:val="383638"/>
          <w:w w:val="110"/>
          <w:sz w:val="23"/>
        </w:rPr>
        <w:t>begin</w:t>
      </w:r>
      <w:r>
        <w:rPr>
          <w:color w:val="383638"/>
          <w:spacing w:val="58"/>
          <w:w w:val="110"/>
          <w:sz w:val="23"/>
        </w:rPr>
        <w:t> </w:t>
      </w:r>
      <w:r>
        <w:rPr>
          <w:color w:val="383638"/>
          <w:w w:val="110"/>
          <w:sz w:val="23"/>
        </w:rPr>
        <w:t>to  write,</w:t>
      </w:r>
      <w:r>
        <w:rPr>
          <w:color w:val="383638"/>
          <w:spacing w:val="53"/>
          <w:w w:val="110"/>
          <w:sz w:val="23"/>
        </w:rPr>
        <w:t> </w:t>
      </w:r>
      <w:r>
        <w:rPr>
          <w:color w:val="383638"/>
          <w:w w:val="110"/>
          <w:sz w:val="23"/>
        </w:rPr>
        <w:t>and</w:t>
      </w:r>
    </w:p>
    <w:p>
      <w:pPr>
        <w:pStyle w:val="ListParagraph"/>
        <w:numPr>
          <w:ilvl w:val="0"/>
          <w:numId w:val="34"/>
        </w:numPr>
        <w:tabs>
          <w:tab w:pos="449" w:val="left" w:leader="none"/>
        </w:tabs>
        <w:spacing w:line="235" w:lineRule="auto" w:before="2" w:after="0"/>
        <w:ind w:left="131" w:right="197" w:hanging="1"/>
        <w:jc w:val="both"/>
        <w:rPr>
          <w:sz w:val="23"/>
        </w:rPr>
      </w:pPr>
      <w:r>
        <w:rPr>
          <w:color w:val="383638"/>
          <w:w w:val="110"/>
          <w:sz w:val="23"/>
        </w:rPr>
        <w:t>using "private memos," which are a way to record your concerns about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5"/>
          <w:sz w:val="23"/>
        </w:rPr>
        <w:t>problems</w:t>
      </w:r>
      <w:r>
        <w:rPr>
          <w:color w:val="383638"/>
          <w:spacing w:val="-24"/>
          <w:w w:val="115"/>
          <w:sz w:val="23"/>
        </w:rPr>
        <w:t> </w:t>
      </w:r>
      <w:r>
        <w:rPr>
          <w:color w:val="383638"/>
          <w:w w:val="115"/>
          <w:sz w:val="23"/>
        </w:rPr>
        <w:t>with</w:t>
      </w:r>
      <w:r>
        <w:rPr>
          <w:color w:val="383638"/>
          <w:spacing w:val="-15"/>
          <w:w w:val="115"/>
          <w:sz w:val="23"/>
        </w:rPr>
        <w:t> </w:t>
      </w:r>
      <w:r>
        <w:rPr>
          <w:color w:val="383638"/>
          <w:w w:val="115"/>
          <w:sz w:val="23"/>
        </w:rPr>
        <w:t>the</w:t>
      </w:r>
      <w:r>
        <w:rPr>
          <w:color w:val="383638"/>
          <w:spacing w:val="-7"/>
          <w:w w:val="115"/>
          <w:sz w:val="23"/>
        </w:rPr>
        <w:t> </w:t>
      </w:r>
      <w:r>
        <w:rPr>
          <w:color w:val="383638"/>
          <w:w w:val="115"/>
          <w:sz w:val="23"/>
        </w:rPr>
        <w:t>draft</w:t>
      </w:r>
      <w:r>
        <w:rPr>
          <w:color w:val="383638"/>
          <w:spacing w:val="-29"/>
          <w:w w:val="115"/>
          <w:sz w:val="23"/>
        </w:rPr>
        <w:t> </w:t>
      </w:r>
      <w:r>
        <w:rPr>
          <w:color w:val="383638"/>
          <w:w w:val="115"/>
          <w:sz w:val="23"/>
        </w:rPr>
        <w:t>as</w:t>
      </w:r>
      <w:r>
        <w:rPr>
          <w:color w:val="383638"/>
          <w:spacing w:val="-29"/>
          <w:w w:val="115"/>
          <w:sz w:val="23"/>
        </w:rPr>
        <w:t> </w:t>
      </w:r>
      <w:r>
        <w:rPr>
          <w:color w:val="383638"/>
          <w:w w:val="115"/>
          <w:sz w:val="23"/>
        </w:rPr>
        <w:t>you</w:t>
      </w:r>
      <w:r>
        <w:rPr>
          <w:color w:val="383638"/>
          <w:spacing w:val="-22"/>
          <w:w w:val="115"/>
          <w:sz w:val="23"/>
        </w:rPr>
        <w:t> </w:t>
      </w:r>
      <w:r>
        <w:rPr>
          <w:color w:val="383638"/>
          <w:w w:val="115"/>
          <w:sz w:val="23"/>
        </w:rPr>
        <w:t>write</w:t>
      </w:r>
      <w:r>
        <w:rPr>
          <w:color w:val="383638"/>
          <w:spacing w:val="-35"/>
          <w:w w:val="115"/>
          <w:sz w:val="23"/>
        </w:rPr>
        <w:t> </w:t>
      </w:r>
      <w:r>
        <w:rPr>
          <w:color w:val="383638"/>
          <w:w w:val="115"/>
          <w:sz w:val="23"/>
        </w:rPr>
        <w:t>it.</w:t>
      </w:r>
      <w:r>
        <w:rPr>
          <w:color w:val="383638"/>
          <w:spacing w:val="-12"/>
          <w:w w:val="115"/>
          <w:sz w:val="23"/>
        </w:rPr>
        <w:t> </w:t>
      </w:r>
      <w:r>
        <w:rPr>
          <w:color w:val="383638"/>
          <w:w w:val="115"/>
          <w:sz w:val="23"/>
        </w:rPr>
        <w:t>A</w:t>
      </w:r>
      <w:r>
        <w:rPr>
          <w:color w:val="383638"/>
          <w:spacing w:val="-30"/>
          <w:w w:val="115"/>
          <w:sz w:val="23"/>
        </w:rPr>
        <w:t> </w:t>
      </w:r>
      <w:r>
        <w:rPr>
          <w:color w:val="383638"/>
          <w:w w:val="115"/>
          <w:sz w:val="23"/>
        </w:rPr>
        <w:t>third</w:t>
      </w:r>
      <w:r>
        <w:rPr>
          <w:color w:val="383638"/>
          <w:spacing w:val="-12"/>
          <w:w w:val="115"/>
          <w:sz w:val="23"/>
        </w:rPr>
        <w:t> </w:t>
      </w:r>
      <w:r>
        <w:rPr>
          <w:color w:val="383638"/>
          <w:w w:val="115"/>
          <w:sz w:val="23"/>
        </w:rPr>
        <w:t>thing</w:t>
      </w:r>
      <w:r>
        <w:rPr>
          <w:color w:val="383638"/>
          <w:spacing w:val="-28"/>
          <w:w w:val="115"/>
          <w:sz w:val="23"/>
        </w:rPr>
        <w:t> </w:t>
      </w:r>
      <w:r>
        <w:rPr>
          <w:color w:val="383638"/>
          <w:w w:val="115"/>
          <w:sz w:val="23"/>
        </w:rPr>
        <w:t>that</w:t>
      </w:r>
      <w:r>
        <w:rPr>
          <w:color w:val="383638"/>
          <w:spacing w:val="-29"/>
          <w:w w:val="115"/>
          <w:sz w:val="23"/>
        </w:rPr>
        <w:t> </w:t>
      </w:r>
      <w:r>
        <w:rPr>
          <w:color w:val="383638"/>
          <w:w w:val="115"/>
          <w:sz w:val="23"/>
        </w:rPr>
        <w:t>canmake</w:t>
      </w:r>
      <w:r>
        <w:rPr>
          <w:color w:val="383638"/>
          <w:spacing w:val="-33"/>
          <w:w w:val="115"/>
          <w:sz w:val="23"/>
        </w:rPr>
        <w:t> </w:t>
      </w:r>
      <w:r>
        <w:rPr>
          <w:color w:val="383638"/>
          <w:w w:val="115"/>
          <w:sz w:val="23"/>
        </w:rPr>
        <w:t>it</w:t>
      </w:r>
      <w:r>
        <w:rPr>
          <w:color w:val="383638"/>
          <w:spacing w:val="-12"/>
          <w:w w:val="115"/>
          <w:sz w:val="23"/>
        </w:rPr>
        <w:t> </w:t>
      </w:r>
      <w:r>
        <w:rPr>
          <w:color w:val="383638"/>
          <w:w w:val="115"/>
          <w:sz w:val="23"/>
        </w:rPr>
        <w:t>easier</w:t>
      </w:r>
      <w:r>
        <w:rPr>
          <w:color w:val="383638"/>
          <w:spacing w:val="1"/>
          <w:w w:val="115"/>
          <w:sz w:val="23"/>
        </w:rPr>
        <w:t> </w:t>
      </w:r>
      <w:r>
        <w:rPr>
          <w:color w:val="383638"/>
          <w:w w:val="110"/>
          <w:sz w:val="23"/>
        </w:rPr>
        <w:t>to</w:t>
      </w:r>
      <w:r>
        <w:rPr>
          <w:color w:val="383638"/>
          <w:spacing w:val="-5"/>
          <w:w w:val="110"/>
          <w:sz w:val="23"/>
        </w:rPr>
        <w:t> </w:t>
      </w:r>
      <w:r>
        <w:rPr>
          <w:color w:val="383638"/>
          <w:w w:val="110"/>
          <w:sz w:val="23"/>
        </w:rPr>
        <w:t>face</w:t>
      </w:r>
      <w:r>
        <w:rPr>
          <w:color w:val="383638"/>
          <w:spacing w:val="-4"/>
          <w:w w:val="110"/>
          <w:sz w:val="23"/>
        </w:rPr>
        <w:t> </w:t>
      </w:r>
      <w:r>
        <w:rPr>
          <w:color w:val="383638"/>
          <w:w w:val="110"/>
          <w:sz w:val="23"/>
        </w:rPr>
        <w:t>the</w:t>
      </w:r>
      <w:r>
        <w:rPr>
          <w:color w:val="383638"/>
          <w:spacing w:val="57"/>
          <w:w w:val="110"/>
          <w:sz w:val="23"/>
        </w:rPr>
        <w:t> </w:t>
      </w:r>
      <w:r>
        <w:rPr>
          <w:color w:val="383638"/>
          <w:w w:val="110"/>
          <w:sz w:val="23"/>
        </w:rPr>
        <w:t>blank</w:t>
      </w:r>
      <w:r>
        <w:rPr>
          <w:color w:val="383638"/>
          <w:spacing w:val="17"/>
          <w:w w:val="110"/>
          <w:sz w:val="23"/>
        </w:rPr>
        <w:t> </w:t>
      </w:r>
      <w:r>
        <w:rPr>
          <w:color w:val="383638"/>
          <w:w w:val="110"/>
          <w:sz w:val="23"/>
        </w:rPr>
        <w:t>page</w:t>
      </w:r>
      <w:r>
        <w:rPr>
          <w:color w:val="383638"/>
          <w:spacing w:val="-8"/>
          <w:w w:val="110"/>
          <w:sz w:val="23"/>
        </w:rPr>
        <w:t> </w:t>
      </w:r>
      <w:r>
        <w:rPr>
          <w:color w:val="383638"/>
          <w:w w:val="110"/>
          <w:sz w:val="23"/>
        </w:rPr>
        <w:t>is</w:t>
      </w:r>
      <w:r>
        <w:rPr>
          <w:color w:val="383638"/>
          <w:spacing w:val="3"/>
          <w:w w:val="110"/>
          <w:sz w:val="23"/>
        </w:rPr>
        <w:t> </w:t>
      </w:r>
      <w:r>
        <w:rPr>
          <w:color w:val="383638"/>
          <w:w w:val="110"/>
          <w:sz w:val="23"/>
        </w:rPr>
        <w:t>facing the</w:t>
      </w:r>
      <w:r>
        <w:rPr>
          <w:color w:val="383638"/>
          <w:spacing w:val="41"/>
          <w:w w:val="110"/>
          <w:sz w:val="23"/>
        </w:rPr>
        <w:t> </w:t>
      </w:r>
      <w:r>
        <w:rPr>
          <w:color w:val="383638"/>
          <w:w w:val="110"/>
          <w:sz w:val="23"/>
        </w:rPr>
        <w:t>fears</w:t>
      </w:r>
      <w:r>
        <w:rPr>
          <w:color w:val="383638"/>
          <w:spacing w:val="11"/>
          <w:w w:val="110"/>
          <w:sz w:val="23"/>
        </w:rPr>
        <w:t> </w:t>
      </w:r>
      <w:r>
        <w:rPr>
          <w:color w:val="383638"/>
          <w:w w:val="110"/>
          <w:sz w:val="23"/>
        </w:rPr>
        <w:t>that</w:t>
      </w:r>
      <w:r>
        <w:rPr>
          <w:color w:val="383638"/>
          <w:spacing w:val="-14"/>
          <w:w w:val="110"/>
          <w:sz w:val="23"/>
        </w:rPr>
        <w:t> </w:t>
      </w:r>
      <w:r>
        <w:rPr>
          <w:color w:val="383638"/>
          <w:w w:val="110"/>
          <w:sz w:val="23"/>
        </w:rPr>
        <w:t>often</w:t>
      </w:r>
      <w:r>
        <w:rPr>
          <w:color w:val="383638"/>
          <w:spacing w:val="12"/>
          <w:w w:val="110"/>
          <w:sz w:val="23"/>
        </w:rPr>
        <w:t> </w:t>
      </w:r>
      <w:r>
        <w:rPr>
          <w:color w:val="383638"/>
          <w:w w:val="110"/>
          <w:sz w:val="23"/>
        </w:rPr>
        <w:t>lead</w:t>
      </w:r>
      <w:r>
        <w:rPr>
          <w:color w:val="383638"/>
          <w:spacing w:val="6"/>
          <w:w w:val="110"/>
          <w:sz w:val="23"/>
        </w:rPr>
        <w:t> </w:t>
      </w:r>
      <w:r>
        <w:rPr>
          <w:color w:val="383638"/>
          <w:w w:val="110"/>
          <w:sz w:val="23"/>
        </w:rPr>
        <w:t>to</w:t>
      </w:r>
      <w:r>
        <w:rPr>
          <w:color w:val="383638"/>
          <w:spacing w:val="28"/>
          <w:w w:val="110"/>
          <w:sz w:val="23"/>
        </w:rPr>
        <w:t> </w:t>
      </w:r>
      <w:r>
        <w:rPr>
          <w:color w:val="383638"/>
          <w:w w:val="110"/>
          <w:sz w:val="23"/>
        </w:rPr>
        <w:t>procrastination.</w:t>
      </w:r>
    </w:p>
    <w:p>
      <w:pPr>
        <w:pStyle w:val="BodyText"/>
        <w:rPr>
          <w:sz w:val="26"/>
        </w:rPr>
      </w:pPr>
    </w:p>
    <w:p>
      <w:pPr>
        <w:spacing w:before="230"/>
        <w:ind w:left="722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383638"/>
          <w:w w:val="110"/>
          <w:sz w:val="32"/>
        </w:rPr>
        <w:t>4.1</w:t>
      </w:r>
    </w:p>
    <w:p>
      <w:pPr>
        <w:spacing w:before="55"/>
        <w:ind w:left="719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383638"/>
          <w:w w:val="105"/>
          <w:sz w:val="26"/>
        </w:rPr>
        <w:t>FINDING</w:t>
      </w:r>
      <w:r>
        <w:rPr>
          <w:rFonts w:ascii="Arial"/>
          <w:b/>
          <w:color w:val="383638"/>
          <w:spacing w:val="8"/>
          <w:w w:val="105"/>
          <w:sz w:val="26"/>
        </w:rPr>
        <w:t> </w:t>
      </w:r>
      <w:r>
        <w:rPr>
          <w:rFonts w:ascii="Arial"/>
          <w:b/>
          <w:color w:val="383638"/>
          <w:w w:val="105"/>
          <w:sz w:val="26"/>
        </w:rPr>
        <w:t>STRUCTURE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235" w:lineRule="auto"/>
        <w:ind w:left="141" w:right="106" w:firstLine="604"/>
        <w:jc w:val="both"/>
      </w:pPr>
      <w:r>
        <w:rPr>
          <w:color w:val="383638"/>
          <w:w w:val="115"/>
        </w:rPr>
        <w:t>At</w:t>
      </w:r>
      <w:r>
        <w:rPr>
          <w:color w:val="383638"/>
          <w:spacing w:val="-12"/>
          <w:w w:val="115"/>
        </w:rPr>
        <w:t> </w:t>
      </w:r>
      <w:r>
        <w:rPr>
          <w:color w:val="383638"/>
          <w:w w:val="115"/>
        </w:rPr>
        <w:t>this</w:t>
      </w:r>
      <w:r>
        <w:rPr>
          <w:color w:val="383638"/>
          <w:spacing w:val="-18"/>
          <w:w w:val="115"/>
        </w:rPr>
        <w:t> </w:t>
      </w:r>
      <w:r>
        <w:rPr>
          <w:color w:val="383638"/>
          <w:w w:val="115"/>
        </w:rPr>
        <w:t>stage,</w:t>
      </w:r>
      <w:r>
        <w:rPr>
          <w:color w:val="383638"/>
          <w:spacing w:val="-1"/>
          <w:w w:val="115"/>
        </w:rPr>
        <w:t> </w:t>
      </w:r>
      <w:r>
        <w:rPr>
          <w:color w:val="383638"/>
          <w:w w:val="115"/>
        </w:rPr>
        <w:t>you should</w:t>
      </w:r>
      <w:r>
        <w:rPr>
          <w:color w:val="383638"/>
          <w:spacing w:val="-1"/>
          <w:w w:val="115"/>
        </w:rPr>
        <w:t> </w:t>
      </w:r>
      <w:r>
        <w:rPr>
          <w:color w:val="383638"/>
          <w:w w:val="115"/>
        </w:rPr>
        <w:t>have</w:t>
      </w:r>
      <w:r>
        <w:rPr>
          <w:color w:val="383638"/>
          <w:spacing w:val="-26"/>
          <w:w w:val="115"/>
        </w:rPr>
        <w:t> </w:t>
      </w:r>
      <w:r>
        <w:rPr>
          <w:color w:val="383638"/>
          <w:w w:val="115"/>
        </w:rPr>
        <w:t>a</w:t>
      </w:r>
      <w:r>
        <w:rPr>
          <w:color w:val="383638"/>
          <w:spacing w:val="-14"/>
          <w:w w:val="115"/>
        </w:rPr>
        <w:t> </w:t>
      </w:r>
      <w:r>
        <w:rPr>
          <w:color w:val="383638"/>
          <w:w w:val="115"/>
        </w:rPr>
        <w:t>stack</w:t>
      </w:r>
      <w:r>
        <w:rPr>
          <w:color w:val="383638"/>
          <w:spacing w:val="-2"/>
          <w:w w:val="115"/>
        </w:rPr>
        <w:t> </w:t>
      </w:r>
      <w:r>
        <w:rPr>
          <w:color w:val="383638"/>
          <w:w w:val="115"/>
        </w:rPr>
        <w:t>of</w:t>
      </w:r>
      <w:r>
        <w:rPr>
          <w:color w:val="383638"/>
          <w:spacing w:val="-4"/>
          <w:w w:val="115"/>
        </w:rPr>
        <w:t> </w:t>
      </w:r>
      <w:r>
        <w:rPr>
          <w:color w:val="383638"/>
          <w:w w:val="115"/>
        </w:rPr>
        <w:t>authorities</w:t>
      </w:r>
      <w:r>
        <w:rPr>
          <w:color w:val="383638"/>
          <w:spacing w:val="2"/>
          <w:w w:val="115"/>
        </w:rPr>
        <w:t> </w:t>
      </w:r>
      <w:r>
        <w:rPr>
          <w:color w:val="383638"/>
          <w:w w:val="115"/>
        </w:rPr>
        <w:t>that</w:t>
      </w:r>
      <w:r>
        <w:rPr>
          <w:color w:val="383638"/>
          <w:spacing w:val="-19"/>
          <w:w w:val="115"/>
        </w:rPr>
        <w:t> </w:t>
      </w:r>
      <w:r>
        <w:rPr>
          <w:color w:val="383638"/>
          <w:w w:val="115"/>
        </w:rPr>
        <w:t>you</w:t>
      </w:r>
      <w:r>
        <w:rPr>
          <w:color w:val="383638"/>
          <w:spacing w:val="-30"/>
          <w:w w:val="115"/>
        </w:rPr>
        <w:t> </w:t>
      </w:r>
      <w:r>
        <w:rPr>
          <w:color w:val="383638"/>
          <w:w w:val="115"/>
        </w:rPr>
        <w:t>plan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use in support of your client's case. Now, you must make the move from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that stack of paper to some sort of an outline</w:t>
      </w:r>
      <w:r>
        <w:rPr>
          <w:color w:val="606264"/>
          <w:w w:val="115"/>
        </w:rPr>
        <w:t>. </w:t>
      </w:r>
      <w:r>
        <w:rPr>
          <w:color w:val="383638"/>
          <w:w w:val="115"/>
        </w:rPr>
        <w:t>Effective legal arguments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are usually best organized around issues, rules,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arguments rather than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5"/>
        </w:rPr>
        <w:t>around</w:t>
      </w:r>
      <w:r>
        <w:rPr>
          <w:color w:val="383638"/>
          <w:spacing w:val="-16"/>
          <w:w w:val="115"/>
        </w:rPr>
        <w:t> </w:t>
      </w:r>
      <w:r>
        <w:rPr>
          <w:color w:val="383638"/>
          <w:spacing w:val="-1"/>
          <w:w w:val="115"/>
        </w:rPr>
        <w:t>authority</w:t>
      </w:r>
      <w:r>
        <w:rPr>
          <w:color w:val="383638"/>
          <w:spacing w:val="-10"/>
          <w:w w:val="115"/>
        </w:rPr>
        <w:t> </w:t>
      </w:r>
      <w:r>
        <w:rPr>
          <w:color w:val="383638"/>
          <w:w w:val="115"/>
        </w:rPr>
        <w:t>cases.</w:t>
      </w:r>
      <w:r>
        <w:rPr>
          <w:color w:val="383638"/>
          <w:spacing w:val="-30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12"/>
          <w:w w:val="115"/>
        </w:rPr>
        <w:t> </w:t>
      </w:r>
      <w:r>
        <w:rPr>
          <w:color w:val="383638"/>
          <w:w w:val="115"/>
        </w:rPr>
        <w:t>court's</w:t>
      </w:r>
      <w:r>
        <w:rPr>
          <w:color w:val="383638"/>
          <w:spacing w:val="-16"/>
          <w:w w:val="115"/>
        </w:rPr>
        <w:t> </w:t>
      </w:r>
      <w:r>
        <w:rPr>
          <w:color w:val="383638"/>
          <w:w w:val="115"/>
        </w:rPr>
        <w:t>major</w:t>
      </w:r>
      <w:r>
        <w:rPr>
          <w:color w:val="383638"/>
          <w:spacing w:val="-25"/>
          <w:w w:val="115"/>
        </w:rPr>
        <w:t> </w:t>
      </w:r>
      <w:r>
        <w:rPr>
          <w:color w:val="383638"/>
          <w:w w:val="115"/>
        </w:rPr>
        <w:t>concern</w:t>
      </w:r>
      <w:r>
        <w:rPr>
          <w:color w:val="383638"/>
          <w:spacing w:val="-4"/>
          <w:w w:val="115"/>
        </w:rPr>
        <w:t> </w:t>
      </w:r>
      <w:r>
        <w:rPr>
          <w:color w:val="383638"/>
          <w:w w:val="115"/>
        </w:rPr>
        <w:t>is</w:t>
      </w:r>
      <w:r>
        <w:rPr>
          <w:color w:val="383638"/>
          <w:spacing w:val="-19"/>
          <w:w w:val="115"/>
        </w:rPr>
        <w:t> </w:t>
      </w:r>
      <w:r>
        <w:rPr>
          <w:color w:val="383638"/>
          <w:w w:val="115"/>
        </w:rPr>
        <w:t>not</w:t>
      </w:r>
      <w:r>
        <w:rPr>
          <w:color w:val="383638"/>
          <w:spacing w:val="-6"/>
          <w:w w:val="115"/>
        </w:rPr>
        <w:t> </w:t>
      </w:r>
      <w:r>
        <w:rPr>
          <w:color w:val="383638"/>
          <w:w w:val="115"/>
        </w:rPr>
        <w:t>whether</w:t>
      </w:r>
      <w:r>
        <w:rPr>
          <w:color w:val="383638"/>
          <w:spacing w:val="-5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-15"/>
          <w:w w:val="115"/>
        </w:rPr>
        <w:t> </w:t>
      </w:r>
      <w:r>
        <w:rPr>
          <w:color w:val="383638"/>
          <w:w w:val="115"/>
        </w:rPr>
        <w:t>cases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5"/>
        </w:rPr>
        <w:t>you</w:t>
      </w:r>
      <w:r>
        <w:rPr>
          <w:color w:val="383638"/>
          <w:spacing w:val="35"/>
          <w:w w:val="115"/>
        </w:rPr>
        <w:t> </w:t>
      </w:r>
      <w:r>
        <w:rPr>
          <w:color w:val="383638"/>
          <w:w w:val="115"/>
        </w:rPr>
        <w:t>have</w:t>
      </w:r>
      <w:r>
        <w:rPr>
          <w:color w:val="383638"/>
          <w:spacing w:val="32"/>
          <w:w w:val="115"/>
        </w:rPr>
        <w:t> </w:t>
      </w:r>
      <w:r>
        <w:rPr>
          <w:color w:val="383638"/>
          <w:w w:val="115"/>
        </w:rPr>
        <w:t>found</w:t>
      </w:r>
      <w:r>
        <w:rPr>
          <w:color w:val="383638"/>
          <w:spacing w:val="33"/>
          <w:w w:val="115"/>
        </w:rPr>
        <w:t> </w:t>
      </w:r>
      <w:r>
        <w:rPr>
          <w:color w:val="383638"/>
          <w:w w:val="115"/>
        </w:rPr>
        <w:t>are</w:t>
      </w:r>
      <w:r>
        <w:rPr>
          <w:color w:val="383638"/>
          <w:spacing w:val="32"/>
          <w:w w:val="115"/>
        </w:rPr>
        <w:t> </w:t>
      </w:r>
      <w:r>
        <w:rPr>
          <w:color w:val="383638"/>
          <w:w w:val="115"/>
        </w:rPr>
        <w:t>analogous</w:t>
      </w:r>
      <w:r>
        <w:rPr>
          <w:color w:val="383638"/>
          <w:spacing w:val="41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49"/>
          <w:w w:val="115"/>
        </w:rPr>
        <w:t> </w:t>
      </w:r>
      <w:r>
        <w:rPr>
          <w:color w:val="383638"/>
          <w:w w:val="115"/>
        </w:rPr>
        <w:t>your</w:t>
      </w:r>
      <w:r>
        <w:rPr>
          <w:color w:val="383638"/>
          <w:spacing w:val="34"/>
          <w:w w:val="115"/>
        </w:rPr>
        <w:t> </w:t>
      </w:r>
      <w:r>
        <w:rPr>
          <w:color w:val="383638"/>
          <w:w w:val="115"/>
        </w:rPr>
        <w:t>client's</w:t>
      </w:r>
      <w:r>
        <w:rPr>
          <w:color w:val="383638"/>
          <w:spacing w:val="37"/>
          <w:w w:val="115"/>
        </w:rPr>
        <w:t> </w:t>
      </w:r>
      <w:r>
        <w:rPr>
          <w:color w:val="383638"/>
          <w:w w:val="115"/>
        </w:rPr>
        <w:t>case.</w:t>
      </w:r>
      <w:r>
        <w:rPr>
          <w:color w:val="383638"/>
          <w:spacing w:val="35"/>
          <w:w w:val="115"/>
        </w:rPr>
        <w:t> </w:t>
      </w:r>
      <w:r>
        <w:rPr>
          <w:color w:val="383638"/>
          <w:w w:val="115"/>
        </w:rPr>
        <w:t>Instead,</w:t>
      </w:r>
      <w:r>
        <w:rPr>
          <w:color w:val="383638"/>
          <w:spacing w:val="45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53"/>
          <w:w w:val="115"/>
        </w:rPr>
        <w:t> </w:t>
      </w:r>
      <w:r>
        <w:rPr>
          <w:color w:val="383638"/>
          <w:w w:val="115"/>
        </w:rPr>
        <w:t>court</w:t>
      </w:r>
    </w:p>
    <w:p>
      <w:pPr>
        <w:spacing w:after="0" w:line="235" w:lineRule="auto"/>
        <w:jc w:val="both"/>
        <w:sectPr>
          <w:type w:val="continuous"/>
          <w:pgSz w:w="9640" w:h="13760"/>
          <w:pgMar w:header="414" w:footer="0" w:top="340" w:bottom="280" w:left="400" w:right="1240"/>
        </w:sectPr>
      </w:pPr>
    </w:p>
    <w:p>
      <w:pPr>
        <w:spacing w:before="80"/>
        <w:ind w:left="1340" w:right="0" w:firstLine="0"/>
        <w:jc w:val="left"/>
        <w:rPr>
          <w:rFonts w:ascii="Arial"/>
          <w:b/>
          <w:sz w:val="33"/>
        </w:rPr>
      </w:pPr>
      <w:r>
        <w:rPr>
          <w:rFonts w:ascii="Arial"/>
          <w:b/>
          <w:color w:val="383638"/>
          <w:w w:val="105"/>
          <w:sz w:val="33"/>
        </w:rPr>
        <w:t>3.6</w:t>
      </w:r>
    </w:p>
    <w:p>
      <w:pPr>
        <w:spacing w:before="44"/>
        <w:ind w:left="1328" w:right="0" w:firstLine="0"/>
        <w:jc w:val="left"/>
        <w:rPr>
          <w:b/>
          <w:sz w:val="28"/>
        </w:rPr>
      </w:pPr>
      <w:r>
        <w:rPr>
          <w:b/>
          <w:color w:val="383638"/>
          <w:sz w:val="28"/>
        </w:rPr>
        <w:t>SUMMARY</w:t>
      </w:r>
    </w:p>
    <w:p>
      <w:pPr>
        <w:pStyle w:val="BodyText"/>
        <w:spacing w:line="235" w:lineRule="auto" w:before="249"/>
        <w:ind w:left="627" w:right="-44" w:firstLine="670"/>
        <w:jc w:val="both"/>
      </w:pPr>
      <w:r>
        <w:rPr>
          <w:color w:val="383638"/>
          <w:w w:val="105"/>
        </w:rPr>
        <w:t>To writean effective brief, you must followan effective research plan</w:t>
      </w:r>
      <w:r>
        <w:rPr>
          <w:color w:val="383638"/>
          <w:spacing w:val="-58"/>
          <w:w w:val="105"/>
        </w:rPr>
        <w:t> </w:t>
      </w:r>
      <w:r>
        <w:rPr>
          <w:color w:val="383638"/>
          <w:w w:val="110"/>
        </w:rPr>
        <w:t>you need to know your case thoroughly and plan your research accord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ingly. Before you research, get to know the facts of your client's case </w:t>
      </w:r>
      <w:r>
        <w:rPr>
          <w:rFonts w:ascii="Arial" w:hAnsi="Arial"/>
          <w:color w:val="383638"/>
          <w:w w:val="110"/>
          <w:sz w:val="22"/>
        </w:rPr>
        <w:t>by</w:t>
      </w:r>
      <w:r>
        <w:rPr>
          <w:rFonts w:ascii="Arial" w:hAnsi="Arial"/>
          <w:color w:val="383638"/>
          <w:spacing w:val="-65"/>
          <w:w w:val="110"/>
          <w:sz w:val="22"/>
        </w:rPr>
        <w:t> </w:t>
      </w:r>
      <w:r>
        <w:rPr>
          <w:color w:val="383638"/>
          <w:w w:val="105"/>
        </w:rPr>
        <w:t>abstracting any record materials. Identify the questions that your research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must answer, and be realistic about the types of authorities you can expect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to find. When assessing the validity of authorities, use the abstraction lad­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der to identify those that address analogous facts and issues. Weigh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validity of the source of the authority, and be willing to look beyond legal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authorities</w:t>
      </w:r>
      <w:r>
        <w:rPr>
          <w:color w:val="606062"/>
          <w:w w:val="110"/>
        </w:rPr>
        <w:t>. </w:t>
      </w:r>
      <w:r>
        <w:rPr>
          <w:color w:val="383638"/>
          <w:w w:val="110"/>
        </w:rPr>
        <w:t>Be certain to update your authorities and to get a complete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picture of the relevant area of law, including nonmandatory authorities.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When appropriate, do relevant follow-up research so that you can "har­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vest" effective arguments frorp nonmandatory authorities. When con­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ducting your research, be mindful about the technology you use: Focus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your </w:t>
      </w:r>
      <w:r>
        <w:rPr>
          <w:color w:val="383638"/>
          <w:w w:val="110"/>
        </w:rPr>
        <w:t>attention, and use methods that promote engagement with the texts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you read.</w:t>
      </w:r>
    </w:p>
    <w:p>
      <w:pPr>
        <w:pStyle w:val="BodyText"/>
        <w:spacing w:line="230" w:lineRule="auto"/>
        <w:ind w:left="572" w:right="23" w:firstLine="371"/>
        <w:jc w:val="both"/>
      </w:pPr>
      <w:r>
        <w:rPr>
          <w:color w:val="383638"/>
          <w:w w:val="105"/>
        </w:rPr>
        <w:t>Finally,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be practical about  the percentage of your available time that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you spend on researching. Set a deadline for research that allows you suf­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ficient</w:t>
      </w:r>
      <w:r>
        <w:rPr>
          <w:color w:val="383638"/>
          <w:spacing w:val="32"/>
          <w:w w:val="105"/>
        </w:rPr>
        <w:t> </w:t>
      </w:r>
      <w:r>
        <w:rPr>
          <w:color w:val="383638"/>
          <w:w w:val="105"/>
        </w:rPr>
        <w:t>time</w:t>
      </w:r>
      <w:r>
        <w:rPr>
          <w:color w:val="383638"/>
          <w:spacing w:val="20"/>
          <w:w w:val="105"/>
        </w:rPr>
        <w:t> </w:t>
      </w:r>
      <w:r>
        <w:rPr>
          <w:color w:val="383638"/>
          <w:w w:val="105"/>
        </w:rPr>
        <w:t>to</w:t>
      </w:r>
      <w:r>
        <w:rPr>
          <w:color w:val="383638"/>
          <w:spacing w:val="32"/>
          <w:w w:val="105"/>
        </w:rPr>
        <w:t> </w:t>
      </w:r>
      <w:r>
        <w:rPr>
          <w:color w:val="383638"/>
          <w:w w:val="105"/>
        </w:rPr>
        <w:t>work</w:t>
      </w:r>
      <w:r>
        <w:rPr>
          <w:color w:val="383638"/>
          <w:spacing w:val="36"/>
          <w:w w:val="105"/>
        </w:rPr>
        <w:t> </w:t>
      </w:r>
      <w:r>
        <w:rPr>
          <w:color w:val="383638"/>
          <w:w w:val="105"/>
        </w:rPr>
        <w:t>on</w:t>
      </w:r>
      <w:r>
        <w:rPr>
          <w:color w:val="383638"/>
          <w:spacing w:val="8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60"/>
          <w:w w:val="105"/>
        </w:rPr>
        <w:t> </w:t>
      </w:r>
      <w:r>
        <w:rPr>
          <w:color w:val="383638"/>
          <w:w w:val="105"/>
        </w:rPr>
        <w:t>actual</w:t>
      </w:r>
      <w:r>
        <w:rPr>
          <w:color w:val="383638"/>
          <w:spacing w:val="25"/>
          <w:w w:val="105"/>
        </w:rPr>
        <w:t> </w:t>
      </w:r>
      <w:r>
        <w:rPr>
          <w:color w:val="383638"/>
          <w:w w:val="105"/>
        </w:rPr>
        <w:t>writing</w:t>
      </w:r>
      <w:r>
        <w:rPr>
          <w:color w:val="383638"/>
          <w:spacing w:val="25"/>
          <w:w w:val="105"/>
        </w:rPr>
        <w:t> </w:t>
      </w:r>
      <w:r>
        <w:rPr>
          <w:color w:val="383638"/>
          <w:w w:val="105"/>
        </w:rPr>
        <w:t>of</w:t>
      </w:r>
      <w:r>
        <w:rPr>
          <w:color w:val="383638"/>
          <w:spacing w:val="43"/>
          <w:w w:val="105"/>
        </w:rPr>
        <w:t> </w:t>
      </w:r>
      <w:r>
        <w:rPr>
          <w:color w:val="383638"/>
          <w:w w:val="105"/>
        </w:rPr>
        <w:t>your</w:t>
      </w:r>
      <w:r>
        <w:rPr>
          <w:color w:val="383638"/>
          <w:spacing w:val="36"/>
          <w:w w:val="105"/>
        </w:rPr>
        <w:t> </w:t>
      </w:r>
      <w:r>
        <w:rPr>
          <w:color w:val="383638"/>
          <w:w w:val="105"/>
        </w:rPr>
        <w:t>brief.</w:t>
      </w:r>
      <w:r>
        <w:rPr>
          <w:color w:val="383638"/>
          <w:spacing w:val="18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3"/>
          <w:w w:val="105"/>
        </w:rPr>
        <w:t> </w:t>
      </w:r>
      <w:r>
        <w:rPr>
          <w:color w:val="383638"/>
          <w:w w:val="105"/>
        </w:rPr>
        <w:t>process</w:t>
      </w:r>
      <w:r>
        <w:rPr>
          <w:color w:val="383638"/>
          <w:spacing w:val="29"/>
          <w:w w:val="105"/>
        </w:rPr>
        <w:t> </w:t>
      </w:r>
      <w:r>
        <w:rPr>
          <w:color w:val="383638"/>
          <w:w w:val="105"/>
        </w:rPr>
        <w:t>of</w:t>
      </w:r>
    </w:p>
    <w:p>
      <w:pPr>
        <w:pStyle w:val="BodyText"/>
        <w:spacing w:line="235" w:lineRule="auto"/>
        <w:ind w:left="559" w:right="60" w:firstLine="20"/>
        <w:jc w:val="both"/>
      </w:pPr>
      <w:r>
        <w:rPr>
          <w:color w:val="383638"/>
          <w:w w:val="105"/>
        </w:rPr>
        <w:t>writing the brief will often reveal gaps in your research; by giving yourself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time</w:t>
      </w:r>
      <w:r>
        <w:rPr>
          <w:color w:val="383638"/>
          <w:spacing w:val="-5"/>
          <w:w w:val="105"/>
        </w:rPr>
        <w:t> </w:t>
      </w:r>
      <w:r>
        <w:rPr>
          <w:color w:val="383638"/>
          <w:w w:val="105"/>
        </w:rPr>
        <w:t>to</w:t>
      </w:r>
      <w:r>
        <w:rPr>
          <w:color w:val="383638"/>
          <w:spacing w:val="19"/>
          <w:w w:val="105"/>
        </w:rPr>
        <w:t> </w:t>
      </w:r>
      <w:r>
        <w:rPr>
          <w:color w:val="383638"/>
          <w:w w:val="105"/>
        </w:rPr>
        <w:t>write,</w:t>
      </w:r>
      <w:r>
        <w:rPr>
          <w:color w:val="383638"/>
          <w:spacing w:val="18"/>
          <w:w w:val="105"/>
        </w:rPr>
        <w:t> </w:t>
      </w:r>
      <w:r>
        <w:rPr>
          <w:color w:val="383638"/>
          <w:w w:val="105"/>
        </w:rPr>
        <w:t>you</w:t>
      </w:r>
      <w:r>
        <w:rPr>
          <w:color w:val="383638"/>
          <w:spacing w:val="9"/>
          <w:w w:val="105"/>
        </w:rPr>
        <w:t> </w:t>
      </w:r>
      <w:r>
        <w:rPr>
          <w:color w:val="383638"/>
          <w:w w:val="105"/>
        </w:rPr>
        <w:t>create</w:t>
      </w:r>
      <w:r>
        <w:rPr>
          <w:color w:val="383638"/>
          <w:spacing w:val="-6"/>
          <w:w w:val="105"/>
        </w:rPr>
        <w:t> </w:t>
      </w:r>
      <w:r>
        <w:rPr>
          <w:color w:val="383638"/>
          <w:w w:val="105"/>
        </w:rPr>
        <w:t>opportunities</w:t>
      </w:r>
      <w:r>
        <w:rPr>
          <w:color w:val="383638"/>
          <w:spacing w:val="-1"/>
          <w:w w:val="105"/>
        </w:rPr>
        <w:t> </w:t>
      </w:r>
      <w:r>
        <w:rPr>
          <w:color w:val="383638"/>
          <w:w w:val="105"/>
        </w:rPr>
        <w:t>for</w:t>
      </w:r>
      <w:r>
        <w:rPr>
          <w:color w:val="383638"/>
          <w:spacing w:val="-7"/>
          <w:w w:val="105"/>
        </w:rPr>
        <w:t> </w:t>
      </w:r>
      <w:r>
        <w:rPr>
          <w:color w:val="383638"/>
          <w:w w:val="105"/>
        </w:rPr>
        <w:t>finding</w:t>
      </w:r>
      <w:r>
        <w:rPr>
          <w:color w:val="383638"/>
          <w:spacing w:val="-2"/>
          <w:w w:val="105"/>
        </w:rPr>
        <w:t> </w:t>
      </w:r>
      <w:r>
        <w:rPr>
          <w:color w:val="383638"/>
          <w:w w:val="105"/>
        </w:rPr>
        <w:t>any</w:t>
      </w:r>
      <w:r>
        <w:rPr>
          <w:color w:val="383638"/>
          <w:spacing w:val="30"/>
          <w:w w:val="105"/>
        </w:rPr>
        <w:t> </w:t>
      </w:r>
      <w:r>
        <w:rPr>
          <w:color w:val="383638"/>
          <w:w w:val="105"/>
        </w:rPr>
        <w:t>research</w:t>
      </w:r>
      <w:r>
        <w:rPr>
          <w:color w:val="383638"/>
          <w:spacing w:val="30"/>
          <w:w w:val="105"/>
        </w:rPr>
        <w:t> </w:t>
      </w:r>
      <w:r>
        <w:rPr>
          <w:color w:val="383638"/>
          <w:w w:val="105"/>
        </w:rPr>
        <w:t>gaps.</w:t>
      </w:r>
    </w:p>
    <w:p>
      <w:pPr>
        <w:spacing w:after="0" w:line="235" w:lineRule="auto"/>
        <w:jc w:val="both"/>
        <w:sectPr>
          <w:pgSz w:w="9210" w:h="13830"/>
          <w:pgMar w:header="414" w:footer="0" w:top="980" w:bottom="0" w:left="1280" w:right="0"/>
        </w:sectPr>
      </w:pPr>
    </w:p>
    <w:p>
      <w:pPr>
        <w:spacing w:line="595" w:lineRule="exact" w:before="0"/>
        <w:ind w:left="155" w:right="0" w:firstLine="0"/>
        <w:jc w:val="left"/>
        <w:rPr>
          <w:sz w:val="46"/>
        </w:rPr>
      </w:pPr>
      <w:r>
        <w:rPr>
          <w:color w:val="383638"/>
          <w:spacing w:val="-36"/>
          <w:w w:val="56"/>
          <w:sz w:val="46"/>
        </w:rPr>
        <w:t>.</w:t>
      </w:r>
      <w:r>
        <w:rPr>
          <w:color w:val="383638"/>
          <w:spacing w:val="-65"/>
          <w:w w:val="62"/>
          <w:position w:val="-14"/>
          <w:sz w:val="59"/>
        </w:rPr>
        <w:t>.</w:t>
      </w:r>
      <w:r>
        <w:rPr>
          <w:b/>
          <w:color w:val="383638"/>
          <w:spacing w:val="-27"/>
          <w:w w:val="60"/>
          <w:position w:val="24"/>
          <w:sz w:val="17"/>
        </w:rPr>
        <w:t>:</w:t>
      </w:r>
      <w:r>
        <w:rPr>
          <w:rFonts w:ascii="Arial"/>
          <w:b/>
          <w:color w:val="383638"/>
          <w:spacing w:val="-57"/>
          <w:w w:val="60"/>
          <w:position w:val="10"/>
          <w:sz w:val="17"/>
        </w:rPr>
        <w:t>0</w:t>
      </w:r>
      <w:r>
        <w:rPr>
          <w:color w:val="383638"/>
          <w:spacing w:val="-39"/>
          <w:w w:val="56"/>
          <w:sz w:val="46"/>
        </w:rPr>
        <w:t>.</w:t>
      </w:r>
      <w:r>
        <w:rPr>
          <w:b/>
          <w:color w:val="383638"/>
          <w:spacing w:val="-10"/>
          <w:w w:val="60"/>
          <w:position w:val="24"/>
          <w:sz w:val="17"/>
        </w:rPr>
        <w:t>I</w:t>
      </w:r>
      <w:r>
        <w:rPr>
          <w:color w:val="383638"/>
          <w:spacing w:val="-84"/>
          <w:w w:val="62"/>
          <w:position w:val="-14"/>
          <w:sz w:val="59"/>
        </w:rPr>
        <w:t>.</w:t>
      </w:r>
      <w:r>
        <w:rPr>
          <w:color w:val="383638"/>
          <w:w w:val="56"/>
          <w:sz w:val="46"/>
        </w:rPr>
        <w:t>.</w:t>
      </w:r>
    </w:p>
    <w:p>
      <w:pPr>
        <w:spacing w:line="387" w:lineRule="exact" w:before="0"/>
        <w:ind w:left="182" w:right="0" w:firstLine="0"/>
        <w:jc w:val="left"/>
        <w:rPr>
          <w:sz w:val="46"/>
        </w:rPr>
      </w:pPr>
      <w:r>
        <w:rPr/>
        <w:pict>
          <v:shape style="position:absolute;margin-left:30.16416pt;margin-top:15.901803pt;width:7pt;height:8.9pt;mso-position-horizontal-relative:page;mso-position-vertical-relative:paragraph;z-index:-21604352" type="#_x0000_t202" id="docshape136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383638"/>
                      <w:w w:val="95"/>
                      <w:sz w:val="16"/>
                    </w:rPr>
                    <w:t>Ill</w:t>
                  </w:r>
                </w:p>
              </w:txbxContent>
            </v:textbox>
            <w10:wrap type="none"/>
          </v:shape>
        </w:pict>
      </w:r>
      <w:r>
        <w:rPr>
          <w:color w:val="383638"/>
          <w:spacing w:val="-29"/>
          <w:w w:val="75"/>
          <w:sz w:val="46"/>
        </w:rPr>
        <w:t>a</w:t>
      </w:r>
      <w:r>
        <w:rPr>
          <w:rFonts w:ascii="Arial"/>
          <w:color w:val="383638"/>
          <w:spacing w:val="-29"/>
          <w:w w:val="75"/>
          <w:position w:val="3"/>
          <w:sz w:val="40"/>
        </w:rPr>
        <w:t>"</w:t>
      </w:r>
      <w:r>
        <w:rPr>
          <w:color w:val="383638"/>
          <w:spacing w:val="-29"/>
          <w:w w:val="75"/>
          <w:sz w:val="46"/>
        </w:rPr>
        <w:t>.</w:t>
      </w:r>
    </w:p>
    <w:p>
      <w:pPr>
        <w:pStyle w:val="Heading2"/>
        <w:spacing w:line="503" w:lineRule="exact"/>
        <w:ind w:left="163"/>
      </w:pPr>
      <w:r>
        <w:rPr>
          <w:color w:val="383638"/>
          <w:w w:val="80"/>
        </w:rPr>
        <w:t>o</w:t>
      </w:r>
    </w:p>
    <w:p>
      <w:pPr>
        <w:spacing w:line="240" w:lineRule="auto" w:before="0"/>
        <w:rPr>
          <w:rFonts w:ascii="Arial"/>
          <w:sz w:val="44"/>
        </w:rPr>
      </w:pPr>
      <w:r>
        <w:rPr/>
        <w:br w:type="column"/>
      </w:r>
      <w:r>
        <w:rPr>
          <w:rFonts w:ascii="Arial"/>
          <w:sz w:val="44"/>
        </w:rPr>
      </w:r>
    </w:p>
    <w:p>
      <w:pPr>
        <w:pStyle w:val="BodyText"/>
        <w:spacing w:before="7"/>
        <w:rPr>
          <w:rFonts w:ascii="Arial"/>
          <w:sz w:val="43"/>
        </w:rPr>
      </w:pPr>
    </w:p>
    <w:p>
      <w:pPr>
        <w:pStyle w:val="Heading5"/>
        <w:ind w:left="155"/>
      </w:pPr>
      <w:r>
        <w:rPr>
          <w:color w:val="383638"/>
          <w:w w:val="105"/>
        </w:rPr>
        <w:t>F</w:t>
      </w:r>
      <w:r>
        <w:rPr>
          <w:color w:val="606062"/>
          <w:w w:val="105"/>
        </w:rPr>
        <w:t>ACIN</w:t>
      </w:r>
      <w:r>
        <w:rPr>
          <w:color w:val="383638"/>
          <w:w w:val="105"/>
        </w:rPr>
        <w:t>G</w:t>
      </w:r>
      <w:r>
        <w:rPr>
          <w:color w:val="383638"/>
          <w:spacing w:val="35"/>
          <w:w w:val="105"/>
        </w:rPr>
        <w:t> </w:t>
      </w:r>
      <w:r>
        <w:rPr>
          <w:color w:val="383638"/>
          <w:w w:val="105"/>
        </w:rPr>
        <w:t>T</w:t>
      </w:r>
      <w:r>
        <w:rPr>
          <w:color w:val="606062"/>
          <w:w w:val="105"/>
        </w:rPr>
        <w:t>H</w:t>
      </w:r>
      <w:r>
        <w:rPr>
          <w:color w:val="383638"/>
          <w:w w:val="105"/>
        </w:rPr>
        <w:t>E</w:t>
      </w:r>
      <w:r>
        <w:rPr>
          <w:color w:val="383638"/>
          <w:spacing w:val="-17"/>
          <w:w w:val="105"/>
        </w:rPr>
        <w:t> </w:t>
      </w:r>
      <w:r>
        <w:rPr>
          <w:color w:val="606062"/>
          <w:w w:val="105"/>
        </w:rPr>
        <w:t>BLANK</w:t>
      </w:r>
      <w:r>
        <w:rPr>
          <w:color w:val="606062"/>
          <w:spacing w:val="65"/>
          <w:w w:val="105"/>
        </w:rPr>
        <w:t> </w:t>
      </w:r>
      <w:r>
        <w:rPr>
          <w:color w:val="606062"/>
          <w:w w:val="105"/>
        </w:rPr>
        <w:t>PAGE</w:t>
      </w:r>
    </w:p>
    <w:p>
      <w:pPr>
        <w:pStyle w:val="BodyText"/>
        <w:spacing w:before="10"/>
        <w:rPr>
          <w:rFonts w:ascii="Arial"/>
          <w:sz w:val="60"/>
        </w:rPr>
      </w:pPr>
    </w:p>
    <w:p>
      <w:pPr>
        <w:pStyle w:val="ListParagraph"/>
        <w:numPr>
          <w:ilvl w:val="1"/>
          <w:numId w:val="35"/>
        </w:numPr>
        <w:tabs>
          <w:tab w:pos="686" w:val="left" w:leader="none"/>
          <w:tab w:pos="687" w:val="left" w:leader="none"/>
        </w:tabs>
        <w:spacing w:line="240" w:lineRule="auto" w:before="0" w:after="0"/>
        <w:ind w:left="686" w:right="0" w:hanging="502"/>
        <w:jc w:val="left"/>
        <w:rPr>
          <w:sz w:val="20"/>
        </w:rPr>
      </w:pPr>
      <w:r>
        <w:rPr>
          <w:color w:val="383638"/>
          <w:spacing w:val="-1"/>
          <w:w w:val="115"/>
          <w:sz w:val="20"/>
        </w:rPr>
        <w:t>Finding</w:t>
      </w:r>
      <w:r>
        <w:rPr>
          <w:color w:val="383638"/>
          <w:spacing w:val="-13"/>
          <w:w w:val="115"/>
          <w:sz w:val="20"/>
        </w:rPr>
        <w:t> </w:t>
      </w:r>
      <w:r>
        <w:rPr>
          <w:color w:val="383638"/>
          <w:w w:val="115"/>
          <w:sz w:val="20"/>
        </w:rPr>
        <w:t>Structure</w:t>
      </w:r>
    </w:p>
    <w:p>
      <w:pPr>
        <w:pStyle w:val="ListParagraph"/>
        <w:numPr>
          <w:ilvl w:val="2"/>
          <w:numId w:val="35"/>
        </w:numPr>
        <w:tabs>
          <w:tab w:pos="1382" w:val="left" w:leader="none"/>
          <w:tab w:pos="1383" w:val="left" w:leader="none"/>
        </w:tabs>
        <w:spacing w:line="240" w:lineRule="auto" w:before="0" w:after="0"/>
        <w:ind w:left="1382" w:right="1800" w:hanging="706"/>
        <w:jc w:val="left"/>
        <w:rPr>
          <w:sz w:val="20"/>
        </w:rPr>
      </w:pPr>
      <w:r>
        <w:rPr>
          <w:color w:val="383638"/>
          <w:w w:val="105"/>
          <w:sz w:val="20"/>
        </w:rPr>
        <w:t>Using Existing Rules and</w:t>
      </w:r>
      <w:r>
        <w:rPr>
          <w:color w:val="383638"/>
          <w:spacing w:val="1"/>
          <w:w w:val="105"/>
          <w:sz w:val="20"/>
        </w:rPr>
        <w:t> </w:t>
      </w:r>
      <w:r>
        <w:rPr>
          <w:color w:val="383638"/>
          <w:w w:val="105"/>
          <w:sz w:val="20"/>
        </w:rPr>
        <w:t>the</w:t>
      </w:r>
      <w:r>
        <w:rPr>
          <w:color w:val="383638"/>
          <w:spacing w:val="1"/>
          <w:w w:val="105"/>
          <w:sz w:val="20"/>
        </w:rPr>
        <w:t> </w:t>
      </w:r>
      <w:r>
        <w:rPr>
          <w:color w:val="383638"/>
          <w:w w:val="105"/>
          <w:sz w:val="20"/>
        </w:rPr>
        <w:t>"Phrase-That-Pays"</w:t>
      </w:r>
      <w:r>
        <w:rPr>
          <w:color w:val="383638"/>
          <w:spacing w:val="1"/>
          <w:w w:val="105"/>
          <w:sz w:val="20"/>
        </w:rPr>
        <w:t> </w:t>
      </w:r>
      <w:r>
        <w:rPr>
          <w:color w:val="383638"/>
          <w:w w:val="110"/>
          <w:sz w:val="20"/>
        </w:rPr>
        <w:t>to</w:t>
      </w:r>
      <w:r>
        <w:rPr>
          <w:color w:val="383638"/>
          <w:spacing w:val="-7"/>
          <w:w w:val="110"/>
          <w:sz w:val="20"/>
        </w:rPr>
        <w:t> </w:t>
      </w:r>
      <w:r>
        <w:rPr>
          <w:color w:val="383638"/>
          <w:w w:val="110"/>
          <w:sz w:val="20"/>
        </w:rPr>
        <w:t>Structure</w:t>
      </w:r>
      <w:r>
        <w:rPr>
          <w:color w:val="383638"/>
          <w:spacing w:val="-5"/>
          <w:w w:val="110"/>
          <w:sz w:val="20"/>
        </w:rPr>
        <w:t> </w:t>
      </w:r>
      <w:r>
        <w:rPr>
          <w:color w:val="383638"/>
          <w:w w:val="110"/>
          <w:sz w:val="20"/>
        </w:rPr>
        <w:t>Your</w:t>
      </w:r>
      <w:r>
        <w:rPr>
          <w:color w:val="383638"/>
          <w:spacing w:val="-10"/>
          <w:w w:val="110"/>
          <w:sz w:val="20"/>
        </w:rPr>
        <w:t> </w:t>
      </w:r>
      <w:r>
        <w:rPr>
          <w:color w:val="383638"/>
          <w:w w:val="110"/>
          <w:sz w:val="20"/>
        </w:rPr>
        <w:t>Argument</w:t>
      </w:r>
    </w:p>
    <w:p>
      <w:pPr>
        <w:pStyle w:val="ListParagraph"/>
        <w:numPr>
          <w:ilvl w:val="2"/>
          <w:numId w:val="35"/>
        </w:numPr>
        <w:tabs>
          <w:tab w:pos="1383" w:val="left" w:leader="none"/>
        </w:tabs>
        <w:spacing w:line="240" w:lineRule="auto" w:before="11" w:after="0"/>
        <w:ind w:left="1383" w:right="0" w:hanging="697"/>
        <w:jc w:val="left"/>
        <w:rPr>
          <w:sz w:val="20"/>
        </w:rPr>
      </w:pPr>
      <w:r>
        <w:rPr>
          <w:color w:val="383638"/>
          <w:spacing w:val="-1"/>
          <w:w w:val="105"/>
          <w:sz w:val="20"/>
        </w:rPr>
        <w:t>Using</w:t>
      </w:r>
      <w:r>
        <w:rPr>
          <w:color w:val="383638"/>
          <w:spacing w:val="-23"/>
          <w:w w:val="105"/>
          <w:sz w:val="20"/>
        </w:rPr>
        <w:t> </w:t>
      </w:r>
      <w:r>
        <w:rPr>
          <w:color w:val="383638"/>
          <w:spacing w:val="-1"/>
          <w:w w:val="105"/>
          <w:sz w:val="20"/>
        </w:rPr>
        <w:t>Your</w:t>
      </w:r>
      <w:r>
        <w:rPr>
          <w:color w:val="383638"/>
          <w:spacing w:val="-8"/>
          <w:w w:val="105"/>
          <w:sz w:val="20"/>
        </w:rPr>
        <w:t> </w:t>
      </w:r>
      <w:r>
        <w:rPr>
          <w:color w:val="383638"/>
          <w:spacing w:val="-1"/>
          <w:w w:val="105"/>
          <w:sz w:val="20"/>
        </w:rPr>
        <w:t>Research</w:t>
      </w:r>
      <w:r>
        <w:rPr>
          <w:color w:val="383638"/>
          <w:spacing w:val="9"/>
          <w:w w:val="105"/>
          <w:sz w:val="20"/>
        </w:rPr>
        <w:t> </w:t>
      </w:r>
      <w:r>
        <w:rPr>
          <w:color w:val="383638"/>
          <w:spacing w:val="-1"/>
          <w:w w:val="105"/>
          <w:sz w:val="20"/>
        </w:rPr>
        <w:t>to</w:t>
      </w:r>
      <w:r>
        <w:rPr>
          <w:color w:val="383638"/>
          <w:spacing w:val="18"/>
          <w:w w:val="105"/>
          <w:sz w:val="20"/>
        </w:rPr>
        <w:t> </w:t>
      </w:r>
      <w:r>
        <w:rPr>
          <w:color w:val="383638"/>
          <w:spacing w:val="-1"/>
          <w:w w:val="105"/>
          <w:sz w:val="20"/>
        </w:rPr>
        <w:t>Help</w:t>
      </w:r>
      <w:r>
        <w:rPr>
          <w:color w:val="383638"/>
          <w:spacing w:val="-18"/>
          <w:w w:val="105"/>
          <w:sz w:val="20"/>
        </w:rPr>
        <w:t> </w:t>
      </w:r>
      <w:r>
        <w:rPr>
          <w:color w:val="383638"/>
          <w:spacing w:val="-1"/>
          <w:w w:val="105"/>
          <w:sz w:val="20"/>
        </w:rPr>
        <w:t>You</w:t>
      </w:r>
      <w:r>
        <w:rPr>
          <w:color w:val="383638"/>
          <w:spacing w:val="-9"/>
          <w:w w:val="105"/>
          <w:sz w:val="20"/>
        </w:rPr>
        <w:t> </w:t>
      </w:r>
      <w:r>
        <w:rPr>
          <w:color w:val="383638"/>
          <w:spacing w:val="-1"/>
          <w:w w:val="105"/>
          <w:sz w:val="20"/>
        </w:rPr>
        <w:t>Structure</w:t>
      </w:r>
      <w:r>
        <w:rPr>
          <w:color w:val="383638"/>
          <w:spacing w:val="-14"/>
          <w:w w:val="105"/>
          <w:sz w:val="20"/>
        </w:rPr>
        <w:t> </w:t>
      </w:r>
      <w:r>
        <w:rPr>
          <w:color w:val="383638"/>
          <w:w w:val="105"/>
          <w:sz w:val="20"/>
        </w:rPr>
        <w:t>Your</w:t>
      </w:r>
      <w:r>
        <w:rPr>
          <w:color w:val="383638"/>
          <w:spacing w:val="-7"/>
          <w:w w:val="105"/>
          <w:sz w:val="20"/>
        </w:rPr>
        <w:t> </w:t>
      </w:r>
      <w:r>
        <w:rPr>
          <w:color w:val="383638"/>
          <w:w w:val="105"/>
          <w:sz w:val="20"/>
        </w:rPr>
        <w:t>Argument</w:t>
      </w:r>
    </w:p>
    <w:p>
      <w:pPr>
        <w:pStyle w:val="ListParagraph"/>
        <w:numPr>
          <w:ilvl w:val="2"/>
          <w:numId w:val="35"/>
        </w:numPr>
        <w:tabs>
          <w:tab w:pos="1382" w:val="left" w:leader="none"/>
          <w:tab w:pos="1383" w:val="left" w:leader="none"/>
        </w:tabs>
        <w:spacing w:line="240" w:lineRule="auto" w:before="10" w:after="0"/>
        <w:ind w:left="1383" w:right="0" w:hanging="697"/>
        <w:jc w:val="left"/>
        <w:rPr>
          <w:sz w:val="20"/>
        </w:rPr>
      </w:pPr>
      <w:r>
        <w:rPr>
          <w:color w:val="383638"/>
          <w:spacing w:val="-1"/>
          <w:w w:val="105"/>
          <w:sz w:val="20"/>
        </w:rPr>
        <w:t>Using</w:t>
      </w:r>
      <w:r>
        <w:rPr>
          <w:color w:val="383638"/>
          <w:spacing w:val="-14"/>
          <w:w w:val="105"/>
          <w:sz w:val="20"/>
        </w:rPr>
        <w:t> </w:t>
      </w:r>
      <w:r>
        <w:rPr>
          <w:color w:val="383638"/>
          <w:w w:val="105"/>
          <w:sz w:val="20"/>
        </w:rPr>
        <w:t>Policy-Based</w:t>
      </w:r>
      <w:r>
        <w:rPr>
          <w:color w:val="383638"/>
          <w:spacing w:val="11"/>
          <w:w w:val="105"/>
          <w:sz w:val="20"/>
        </w:rPr>
        <w:t> </w:t>
      </w:r>
      <w:r>
        <w:rPr>
          <w:color w:val="383638"/>
          <w:w w:val="105"/>
          <w:sz w:val="20"/>
        </w:rPr>
        <w:t>Rules</w:t>
      </w:r>
      <w:r>
        <w:rPr>
          <w:color w:val="383638"/>
          <w:spacing w:val="-9"/>
          <w:w w:val="105"/>
          <w:sz w:val="20"/>
        </w:rPr>
        <w:t> </w:t>
      </w:r>
      <w:r>
        <w:rPr>
          <w:color w:val="383638"/>
          <w:w w:val="105"/>
          <w:sz w:val="20"/>
        </w:rPr>
        <w:t>in</w:t>
      </w:r>
      <w:r>
        <w:rPr>
          <w:color w:val="383638"/>
          <w:spacing w:val="19"/>
          <w:w w:val="105"/>
          <w:sz w:val="20"/>
        </w:rPr>
        <w:t> </w:t>
      </w:r>
      <w:r>
        <w:rPr>
          <w:color w:val="383638"/>
          <w:w w:val="105"/>
          <w:sz w:val="20"/>
        </w:rPr>
        <w:t>Your</w:t>
      </w:r>
      <w:r>
        <w:rPr>
          <w:color w:val="383638"/>
          <w:spacing w:val="4"/>
          <w:w w:val="105"/>
          <w:sz w:val="20"/>
        </w:rPr>
        <w:t> </w:t>
      </w:r>
      <w:r>
        <w:rPr>
          <w:color w:val="383638"/>
          <w:w w:val="105"/>
          <w:sz w:val="20"/>
        </w:rPr>
        <w:t>Argument</w:t>
      </w:r>
    </w:p>
    <w:p>
      <w:pPr>
        <w:pStyle w:val="ListParagraph"/>
        <w:numPr>
          <w:ilvl w:val="2"/>
          <w:numId w:val="35"/>
        </w:numPr>
        <w:tabs>
          <w:tab w:pos="1383" w:val="left" w:leader="none"/>
        </w:tabs>
        <w:spacing w:line="240" w:lineRule="auto" w:before="0" w:after="0"/>
        <w:ind w:left="1383" w:right="0" w:hanging="697"/>
        <w:jc w:val="left"/>
        <w:rPr>
          <w:sz w:val="20"/>
        </w:rPr>
      </w:pPr>
      <w:r>
        <w:rPr>
          <w:color w:val="383638"/>
          <w:w w:val="105"/>
          <w:sz w:val="20"/>
        </w:rPr>
        <w:t>Using</w:t>
      </w:r>
      <w:r>
        <w:rPr>
          <w:color w:val="383638"/>
          <w:spacing w:val="-10"/>
          <w:w w:val="105"/>
          <w:sz w:val="20"/>
        </w:rPr>
        <w:t> </w:t>
      </w:r>
      <w:r>
        <w:rPr>
          <w:color w:val="383638"/>
          <w:w w:val="105"/>
          <w:sz w:val="20"/>
        </w:rPr>
        <w:t>a</w:t>
      </w:r>
      <w:r>
        <w:rPr>
          <w:color w:val="383638"/>
          <w:spacing w:val="21"/>
          <w:w w:val="105"/>
          <w:sz w:val="20"/>
        </w:rPr>
        <w:t> </w:t>
      </w:r>
      <w:r>
        <w:rPr>
          <w:color w:val="383638"/>
          <w:w w:val="105"/>
          <w:sz w:val="20"/>
        </w:rPr>
        <w:t>Reverse</w:t>
      </w:r>
      <w:r>
        <w:rPr>
          <w:color w:val="383638"/>
          <w:spacing w:val="11"/>
          <w:w w:val="105"/>
          <w:sz w:val="20"/>
        </w:rPr>
        <w:t> </w:t>
      </w:r>
      <w:r>
        <w:rPr>
          <w:color w:val="383638"/>
          <w:w w:val="105"/>
          <w:sz w:val="20"/>
        </w:rPr>
        <w:t>Roadmap</w:t>
      </w:r>
      <w:r>
        <w:rPr>
          <w:color w:val="383638"/>
          <w:spacing w:val="10"/>
          <w:w w:val="105"/>
          <w:sz w:val="20"/>
        </w:rPr>
        <w:t> </w:t>
      </w:r>
      <w:r>
        <w:rPr>
          <w:color w:val="383638"/>
          <w:w w:val="105"/>
          <w:sz w:val="20"/>
        </w:rPr>
        <w:t>to</w:t>
      </w:r>
      <w:r>
        <w:rPr>
          <w:color w:val="383638"/>
          <w:spacing w:val="22"/>
          <w:w w:val="105"/>
          <w:sz w:val="20"/>
        </w:rPr>
        <w:t> </w:t>
      </w:r>
      <w:r>
        <w:rPr>
          <w:color w:val="383638"/>
          <w:w w:val="105"/>
          <w:sz w:val="20"/>
        </w:rPr>
        <w:t>Structure</w:t>
      </w:r>
      <w:r>
        <w:rPr>
          <w:color w:val="383638"/>
          <w:spacing w:val="10"/>
          <w:w w:val="105"/>
          <w:sz w:val="20"/>
        </w:rPr>
        <w:t> </w:t>
      </w:r>
      <w:r>
        <w:rPr>
          <w:color w:val="383638"/>
          <w:w w:val="105"/>
          <w:sz w:val="20"/>
        </w:rPr>
        <w:t>Your</w:t>
      </w:r>
      <w:r>
        <w:rPr>
          <w:color w:val="383638"/>
          <w:spacing w:val="5"/>
          <w:w w:val="105"/>
          <w:sz w:val="20"/>
        </w:rPr>
        <w:t> </w:t>
      </w:r>
      <w:r>
        <w:rPr>
          <w:color w:val="383638"/>
          <w:w w:val="105"/>
          <w:sz w:val="20"/>
        </w:rPr>
        <w:t>Argument</w:t>
      </w:r>
    </w:p>
    <w:p>
      <w:pPr>
        <w:pStyle w:val="ListParagraph"/>
        <w:numPr>
          <w:ilvl w:val="2"/>
          <w:numId w:val="35"/>
        </w:numPr>
        <w:tabs>
          <w:tab w:pos="1378" w:val="left" w:leader="none"/>
          <w:tab w:pos="1379" w:val="left" w:leader="none"/>
        </w:tabs>
        <w:spacing w:line="240" w:lineRule="auto" w:before="19" w:after="0"/>
        <w:ind w:left="1378" w:right="0" w:hanging="693"/>
        <w:jc w:val="left"/>
        <w:rPr>
          <w:sz w:val="20"/>
        </w:rPr>
      </w:pPr>
      <w:r>
        <w:rPr>
          <w:color w:val="383638"/>
          <w:w w:val="110"/>
          <w:sz w:val="20"/>
        </w:rPr>
        <w:t>The</w:t>
      </w:r>
      <w:r>
        <w:rPr>
          <w:color w:val="383638"/>
          <w:spacing w:val="6"/>
          <w:w w:val="110"/>
          <w:sz w:val="20"/>
        </w:rPr>
        <w:t> </w:t>
      </w:r>
      <w:r>
        <w:rPr>
          <w:color w:val="383638"/>
          <w:w w:val="110"/>
          <w:sz w:val="20"/>
        </w:rPr>
        <w:t>Working</w:t>
      </w:r>
      <w:r>
        <w:rPr>
          <w:color w:val="383638"/>
          <w:spacing w:val="-3"/>
          <w:w w:val="110"/>
          <w:sz w:val="20"/>
        </w:rPr>
        <w:t> </w:t>
      </w:r>
      <w:r>
        <w:rPr>
          <w:color w:val="383638"/>
          <w:w w:val="110"/>
          <w:sz w:val="20"/>
        </w:rPr>
        <w:t>Outline</w:t>
      </w:r>
    </w:p>
    <w:p>
      <w:pPr>
        <w:pStyle w:val="ListParagraph"/>
        <w:numPr>
          <w:ilvl w:val="1"/>
          <w:numId w:val="35"/>
        </w:numPr>
        <w:tabs>
          <w:tab w:pos="699" w:val="left" w:leader="none"/>
        </w:tabs>
        <w:spacing w:line="252" w:lineRule="auto" w:before="1" w:after="0"/>
        <w:ind w:left="696" w:right="1471" w:hanging="502"/>
        <w:jc w:val="left"/>
        <w:rPr>
          <w:sz w:val="20"/>
        </w:rPr>
      </w:pPr>
      <w:r>
        <w:rPr>
          <w:color w:val="383638"/>
          <w:w w:val="115"/>
          <w:sz w:val="20"/>
        </w:rPr>
        <w:t>Using "Private Memos" to Quiet Your Inner Demons and</w:t>
      </w:r>
      <w:r>
        <w:rPr>
          <w:color w:val="383638"/>
          <w:spacing w:val="-55"/>
          <w:w w:val="115"/>
          <w:sz w:val="20"/>
        </w:rPr>
        <w:t> </w:t>
      </w:r>
      <w:r>
        <w:rPr>
          <w:color w:val="383638"/>
          <w:w w:val="115"/>
          <w:sz w:val="20"/>
        </w:rPr>
        <w:t>Prevent</w:t>
      </w:r>
      <w:r>
        <w:rPr>
          <w:color w:val="383638"/>
          <w:spacing w:val="-3"/>
          <w:w w:val="115"/>
          <w:sz w:val="20"/>
        </w:rPr>
        <w:t> </w:t>
      </w:r>
      <w:r>
        <w:rPr>
          <w:color w:val="383638"/>
          <w:w w:val="115"/>
          <w:sz w:val="20"/>
        </w:rPr>
        <w:t>Writer's</w:t>
      </w:r>
      <w:r>
        <w:rPr>
          <w:color w:val="383638"/>
          <w:spacing w:val="-1"/>
          <w:w w:val="115"/>
          <w:sz w:val="20"/>
        </w:rPr>
        <w:t> </w:t>
      </w:r>
      <w:r>
        <w:rPr>
          <w:color w:val="383638"/>
          <w:w w:val="115"/>
          <w:sz w:val="20"/>
        </w:rPr>
        <w:t>Block</w:t>
      </w:r>
    </w:p>
    <w:p>
      <w:pPr>
        <w:pStyle w:val="ListParagraph"/>
        <w:numPr>
          <w:ilvl w:val="1"/>
          <w:numId w:val="35"/>
        </w:numPr>
        <w:tabs>
          <w:tab w:pos="706" w:val="left" w:leader="none"/>
          <w:tab w:pos="707" w:val="left" w:leader="none"/>
        </w:tabs>
        <w:spacing w:line="228" w:lineRule="exact" w:before="0" w:after="0"/>
        <w:ind w:left="706" w:right="0" w:hanging="513"/>
        <w:jc w:val="left"/>
        <w:rPr>
          <w:sz w:val="20"/>
        </w:rPr>
      </w:pPr>
      <w:r>
        <w:rPr>
          <w:color w:val="383638"/>
          <w:w w:val="115"/>
          <w:sz w:val="20"/>
        </w:rPr>
        <w:t>Facing</w:t>
      </w:r>
      <w:r>
        <w:rPr>
          <w:color w:val="383638"/>
          <w:spacing w:val="-1"/>
          <w:w w:val="115"/>
          <w:sz w:val="20"/>
        </w:rPr>
        <w:t> </w:t>
      </w:r>
      <w:r>
        <w:rPr>
          <w:color w:val="383638"/>
          <w:w w:val="115"/>
          <w:sz w:val="20"/>
        </w:rPr>
        <w:t>Procrastination</w:t>
      </w:r>
    </w:p>
    <w:p>
      <w:pPr>
        <w:pStyle w:val="ListParagraph"/>
        <w:numPr>
          <w:ilvl w:val="2"/>
          <w:numId w:val="35"/>
        </w:numPr>
        <w:tabs>
          <w:tab w:pos="1400" w:val="left" w:leader="none"/>
          <w:tab w:pos="1401" w:val="left" w:leader="none"/>
        </w:tabs>
        <w:spacing w:line="240" w:lineRule="auto" w:before="9" w:after="0"/>
        <w:ind w:left="1400" w:right="0" w:hanging="706"/>
        <w:jc w:val="left"/>
        <w:rPr>
          <w:sz w:val="20"/>
        </w:rPr>
      </w:pPr>
      <w:r>
        <w:rPr>
          <w:color w:val="383638"/>
          <w:w w:val="110"/>
          <w:sz w:val="20"/>
        </w:rPr>
        <w:t>Fear</w:t>
      </w:r>
      <w:r>
        <w:rPr>
          <w:color w:val="383638"/>
          <w:spacing w:val="-25"/>
          <w:w w:val="110"/>
          <w:sz w:val="20"/>
        </w:rPr>
        <w:t> </w:t>
      </w:r>
      <w:r>
        <w:rPr>
          <w:color w:val="383638"/>
          <w:w w:val="110"/>
          <w:sz w:val="20"/>
        </w:rPr>
        <w:t>of</w:t>
      </w:r>
      <w:r>
        <w:rPr>
          <w:color w:val="383638"/>
          <w:spacing w:val="13"/>
          <w:w w:val="110"/>
          <w:sz w:val="20"/>
        </w:rPr>
        <w:t> </w:t>
      </w:r>
      <w:r>
        <w:rPr>
          <w:color w:val="383638"/>
          <w:w w:val="110"/>
          <w:sz w:val="20"/>
        </w:rPr>
        <w:t>Commitment</w:t>
      </w:r>
    </w:p>
    <w:p>
      <w:pPr>
        <w:pStyle w:val="ListParagraph"/>
        <w:numPr>
          <w:ilvl w:val="2"/>
          <w:numId w:val="35"/>
        </w:numPr>
        <w:tabs>
          <w:tab w:pos="1401" w:val="left" w:leader="none"/>
        </w:tabs>
        <w:spacing w:line="240" w:lineRule="auto" w:before="1" w:after="0"/>
        <w:ind w:left="1400" w:right="0" w:hanging="706"/>
        <w:jc w:val="left"/>
        <w:rPr>
          <w:sz w:val="20"/>
        </w:rPr>
      </w:pPr>
      <w:r>
        <w:rPr>
          <w:color w:val="383638"/>
          <w:w w:val="105"/>
          <w:sz w:val="20"/>
        </w:rPr>
        <w:t>Fear</w:t>
      </w:r>
      <w:r>
        <w:rPr>
          <w:color w:val="383638"/>
          <w:spacing w:val="-13"/>
          <w:w w:val="105"/>
          <w:sz w:val="20"/>
        </w:rPr>
        <w:t> </w:t>
      </w:r>
      <w:r>
        <w:rPr>
          <w:color w:val="383638"/>
          <w:w w:val="105"/>
          <w:sz w:val="20"/>
        </w:rPr>
        <w:t>of</w:t>
      </w:r>
      <w:r>
        <w:rPr>
          <w:color w:val="383638"/>
          <w:spacing w:val="17"/>
          <w:w w:val="105"/>
          <w:sz w:val="20"/>
        </w:rPr>
        <w:t> </w:t>
      </w:r>
      <w:r>
        <w:rPr>
          <w:color w:val="383638"/>
          <w:w w:val="105"/>
          <w:sz w:val="20"/>
        </w:rPr>
        <w:t>Failure</w:t>
      </w:r>
    </w:p>
    <w:p>
      <w:pPr>
        <w:pStyle w:val="ListParagraph"/>
        <w:numPr>
          <w:ilvl w:val="2"/>
          <w:numId w:val="35"/>
        </w:numPr>
        <w:tabs>
          <w:tab w:pos="1400" w:val="left" w:leader="none"/>
          <w:tab w:pos="1401" w:val="left" w:leader="none"/>
        </w:tabs>
        <w:spacing w:line="240" w:lineRule="auto" w:before="19" w:after="0"/>
        <w:ind w:left="1400" w:right="0" w:hanging="706"/>
        <w:jc w:val="left"/>
        <w:rPr>
          <w:sz w:val="20"/>
        </w:rPr>
      </w:pPr>
      <w:r>
        <w:rPr>
          <w:color w:val="383638"/>
          <w:w w:val="105"/>
          <w:sz w:val="20"/>
        </w:rPr>
        <w:t>Fear</w:t>
      </w:r>
      <w:r>
        <w:rPr>
          <w:color w:val="383638"/>
          <w:spacing w:val="-12"/>
          <w:w w:val="105"/>
          <w:sz w:val="20"/>
        </w:rPr>
        <w:t> </w:t>
      </w:r>
      <w:r>
        <w:rPr>
          <w:color w:val="383638"/>
          <w:w w:val="105"/>
          <w:sz w:val="20"/>
        </w:rPr>
        <w:t>of</w:t>
      </w:r>
      <w:r>
        <w:rPr>
          <w:color w:val="383638"/>
          <w:spacing w:val="21"/>
          <w:w w:val="105"/>
          <w:sz w:val="20"/>
        </w:rPr>
        <w:t> </w:t>
      </w:r>
      <w:r>
        <w:rPr>
          <w:color w:val="383638"/>
          <w:w w:val="105"/>
          <w:sz w:val="20"/>
        </w:rPr>
        <w:t>Pain</w:t>
      </w:r>
    </w:p>
    <w:p>
      <w:pPr>
        <w:pStyle w:val="ListParagraph"/>
        <w:numPr>
          <w:ilvl w:val="1"/>
          <w:numId w:val="35"/>
        </w:numPr>
        <w:tabs>
          <w:tab w:pos="697" w:val="left" w:leader="none"/>
        </w:tabs>
        <w:spacing w:line="240" w:lineRule="auto" w:before="58" w:after="0"/>
        <w:ind w:left="696" w:right="0" w:hanging="493"/>
        <w:jc w:val="left"/>
        <w:rPr>
          <w:sz w:val="20"/>
        </w:rPr>
      </w:pPr>
      <w:r>
        <w:rPr>
          <w:color w:val="383638"/>
          <w:w w:val="115"/>
          <w:sz w:val="20"/>
        </w:rPr>
        <w:t>Summary</w:t>
      </w:r>
    </w:p>
    <w:p>
      <w:pPr>
        <w:spacing w:after="0" w:line="240" w:lineRule="auto"/>
        <w:jc w:val="left"/>
        <w:rPr>
          <w:sz w:val="20"/>
        </w:rPr>
        <w:sectPr>
          <w:headerReference w:type="default" r:id="rId93"/>
          <w:headerReference w:type="even" r:id="rId94"/>
          <w:pgSz w:w="9640" w:h="13790"/>
          <w:pgMar w:header="523" w:footer="0" w:top="1420" w:bottom="280" w:left="380" w:right="1260"/>
          <w:cols w:num="2" w:equalWidth="0">
            <w:col w:w="456" w:space="45"/>
            <w:col w:w="7499"/>
          </w:cols>
        </w:sect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92"/>
        <w:ind w:left="113" w:right="249" w:firstLine="579"/>
        <w:jc w:val="both"/>
      </w:pPr>
      <w:r>
        <w:rPr>
          <w:color w:val="383638"/>
          <w:w w:val="115"/>
        </w:rPr>
        <w:t>The hardest thing about writing is writing</w:t>
      </w:r>
      <w:r>
        <w:rPr>
          <w:color w:val="525254"/>
          <w:w w:val="115"/>
        </w:rPr>
        <w:t>. </w:t>
      </w:r>
      <w:r>
        <w:rPr>
          <w:color w:val="383638"/>
          <w:w w:val="115"/>
        </w:rPr>
        <w:t>Writing is harder than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researching before you write, and it's harder than revising after you've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written. But to use the research, and to have something to revise, you must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actually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write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draft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your document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at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some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point.</w:t>
      </w:r>
    </w:p>
    <w:p>
      <w:pPr>
        <w:pStyle w:val="BodyText"/>
        <w:spacing w:line="244" w:lineRule="exact"/>
        <w:ind w:left="461"/>
        <w:jc w:val="both"/>
      </w:pPr>
      <w:r>
        <w:rPr>
          <w:color w:val="383638"/>
          <w:w w:val="110"/>
        </w:rPr>
        <w:t>Two</w:t>
      </w:r>
      <w:r>
        <w:rPr>
          <w:color w:val="383638"/>
          <w:spacing w:val="32"/>
          <w:w w:val="110"/>
        </w:rPr>
        <w:t> </w:t>
      </w:r>
      <w:r>
        <w:rPr>
          <w:color w:val="383638"/>
          <w:w w:val="110"/>
        </w:rPr>
        <w:t>techniques</w:t>
      </w:r>
      <w:r>
        <w:rPr>
          <w:color w:val="383638"/>
          <w:spacing w:val="36"/>
          <w:w w:val="110"/>
        </w:rPr>
        <w:t> </w:t>
      </w:r>
      <w:r>
        <w:rPr>
          <w:color w:val="383638"/>
          <w:w w:val="110"/>
        </w:rPr>
        <w:t>can</w:t>
      </w:r>
      <w:r>
        <w:rPr>
          <w:color w:val="383638"/>
          <w:spacing w:val="53"/>
          <w:w w:val="110"/>
        </w:rPr>
        <w:t> </w:t>
      </w:r>
      <w:r>
        <w:rPr>
          <w:color w:val="383638"/>
          <w:w w:val="110"/>
        </w:rPr>
        <w:t>make</w:t>
      </w:r>
      <w:r>
        <w:rPr>
          <w:color w:val="383638"/>
          <w:spacing w:val="31"/>
          <w:w w:val="110"/>
        </w:rPr>
        <w:t> </w:t>
      </w:r>
      <w:r>
        <w:rPr>
          <w:color w:val="383638"/>
          <w:w w:val="110"/>
        </w:rPr>
        <w:t>it</w:t>
      </w:r>
      <w:r>
        <w:rPr>
          <w:color w:val="383638"/>
          <w:spacing w:val="55"/>
          <w:w w:val="110"/>
        </w:rPr>
        <w:t> </w:t>
      </w:r>
      <w:r>
        <w:rPr>
          <w:color w:val="383638"/>
          <w:w w:val="110"/>
        </w:rPr>
        <w:t>easier</w:t>
      </w:r>
      <w:r>
        <w:rPr>
          <w:color w:val="383638"/>
          <w:spacing w:val="40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62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to 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face</w:t>
      </w:r>
      <w:r>
        <w:rPr>
          <w:color w:val="383638"/>
          <w:spacing w:val="36"/>
          <w:w w:val="110"/>
        </w:rPr>
        <w:t> </w:t>
      </w:r>
      <w:r>
        <w:rPr>
          <w:color w:val="383638"/>
          <w:w w:val="110"/>
        </w:rPr>
        <w:t>the 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blank</w:t>
      </w:r>
      <w:r>
        <w:rPr>
          <w:color w:val="383638"/>
          <w:spacing w:val="62"/>
          <w:w w:val="110"/>
        </w:rPr>
        <w:t> </w:t>
      </w:r>
      <w:r>
        <w:rPr>
          <w:color w:val="383638"/>
          <w:w w:val="110"/>
        </w:rPr>
        <w:t>page:</w:t>
      </w:r>
    </w:p>
    <w:p>
      <w:pPr>
        <w:pStyle w:val="ListParagraph"/>
        <w:numPr>
          <w:ilvl w:val="0"/>
          <w:numId w:val="36"/>
        </w:numPr>
        <w:tabs>
          <w:tab w:pos="490" w:val="left" w:leader="none"/>
        </w:tabs>
        <w:spacing w:line="260" w:lineRule="exact" w:before="0" w:after="0"/>
        <w:ind w:left="489" w:right="0" w:hanging="369"/>
        <w:jc w:val="both"/>
        <w:rPr>
          <w:sz w:val="23"/>
        </w:rPr>
      </w:pPr>
      <w:r>
        <w:rPr>
          <w:color w:val="383638"/>
          <w:w w:val="115"/>
          <w:sz w:val="23"/>
        </w:rPr>
        <w:t>deciding</w:t>
      </w:r>
      <w:r>
        <w:rPr>
          <w:color w:val="383638"/>
          <w:spacing w:val="15"/>
          <w:w w:val="115"/>
          <w:sz w:val="23"/>
        </w:rPr>
        <w:t> </w:t>
      </w:r>
      <w:r>
        <w:rPr>
          <w:color w:val="383638"/>
          <w:w w:val="115"/>
          <w:sz w:val="23"/>
        </w:rPr>
        <w:t>on</w:t>
      </w:r>
      <w:r>
        <w:rPr>
          <w:color w:val="383638"/>
          <w:spacing w:val="55"/>
          <w:w w:val="115"/>
          <w:sz w:val="23"/>
        </w:rPr>
        <w:t> </w:t>
      </w:r>
      <w:r>
        <w:rPr>
          <w:color w:val="383638"/>
          <w:w w:val="115"/>
          <w:sz w:val="23"/>
        </w:rPr>
        <w:t>some</w:t>
      </w:r>
      <w:r>
        <w:rPr>
          <w:color w:val="383638"/>
          <w:spacing w:val="20"/>
          <w:w w:val="115"/>
          <w:sz w:val="23"/>
        </w:rPr>
        <w:t> </w:t>
      </w:r>
      <w:r>
        <w:rPr>
          <w:color w:val="383638"/>
          <w:w w:val="115"/>
          <w:sz w:val="23"/>
        </w:rPr>
        <w:t>sort</w:t>
      </w:r>
      <w:r>
        <w:rPr>
          <w:color w:val="383638"/>
          <w:spacing w:val="26"/>
          <w:w w:val="115"/>
          <w:sz w:val="23"/>
        </w:rPr>
        <w:t> </w:t>
      </w:r>
      <w:r>
        <w:rPr>
          <w:color w:val="383638"/>
          <w:w w:val="115"/>
          <w:sz w:val="23"/>
        </w:rPr>
        <w:t>of</w:t>
      </w:r>
      <w:r>
        <w:rPr>
          <w:color w:val="383638"/>
          <w:spacing w:val="35"/>
          <w:w w:val="115"/>
          <w:sz w:val="23"/>
        </w:rPr>
        <w:t> </w:t>
      </w:r>
      <w:r>
        <w:rPr>
          <w:color w:val="383638"/>
          <w:w w:val="115"/>
          <w:sz w:val="23"/>
        </w:rPr>
        <w:t>structure</w:t>
      </w:r>
      <w:r>
        <w:rPr>
          <w:color w:val="383638"/>
          <w:spacing w:val="29"/>
          <w:w w:val="115"/>
          <w:sz w:val="23"/>
        </w:rPr>
        <w:t> </w:t>
      </w:r>
      <w:r>
        <w:rPr>
          <w:color w:val="383638"/>
          <w:w w:val="115"/>
          <w:sz w:val="23"/>
        </w:rPr>
        <w:t>before</w:t>
      </w:r>
      <w:r>
        <w:rPr>
          <w:color w:val="383638"/>
          <w:spacing w:val="24"/>
          <w:w w:val="115"/>
          <w:sz w:val="23"/>
        </w:rPr>
        <w:t> </w:t>
      </w:r>
      <w:r>
        <w:rPr>
          <w:color w:val="383638"/>
          <w:w w:val="115"/>
          <w:sz w:val="23"/>
        </w:rPr>
        <w:t>you</w:t>
      </w:r>
      <w:r>
        <w:rPr>
          <w:color w:val="383638"/>
          <w:spacing w:val="37"/>
          <w:w w:val="115"/>
          <w:sz w:val="23"/>
        </w:rPr>
        <w:t> </w:t>
      </w:r>
      <w:r>
        <w:rPr>
          <w:color w:val="383638"/>
          <w:w w:val="115"/>
          <w:sz w:val="23"/>
        </w:rPr>
        <w:t>begin</w:t>
      </w:r>
      <w:r>
        <w:rPr>
          <w:color w:val="383638"/>
          <w:spacing w:val="34"/>
          <w:w w:val="115"/>
          <w:sz w:val="23"/>
        </w:rPr>
        <w:t> </w:t>
      </w:r>
      <w:r>
        <w:rPr>
          <w:color w:val="383638"/>
          <w:w w:val="115"/>
          <w:sz w:val="23"/>
        </w:rPr>
        <w:t>to</w:t>
      </w:r>
      <w:r>
        <w:rPr>
          <w:color w:val="383638"/>
          <w:spacing w:val="39"/>
          <w:w w:val="115"/>
          <w:sz w:val="23"/>
        </w:rPr>
        <w:t> </w:t>
      </w:r>
      <w:r>
        <w:rPr>
          <w:color w:val="383638"/>
          <w:w w:val="115"/>
          <w:sz w:val="23"/>
        </w:rPr>
        <w:t>write,</w:t>
      </w:r>
      <w:r>
        <w:rPr>
          <w:color w:val="383638"/>
          <w:spacing w:val="30"/>
          <w:w w:val="115"/>
          <w:sz w:val="23"/>
        </w:rPr>
        <w:t> </w:t>
      </w:r>
      <w:r>
        <w:rPr>
          <w:color w:val="383638"/>
          <w:w w:val="115"/>
          <w:sz w:val="23"/>
        </w:rPr>
        <w:t>and</w:t>
      </w:r>
    </w:p>
    <w:p>
      <w:pPr>
        <w:pStyle w:val="ListParagraph"/>
        <w:numPr>
          <w:ilvl w:val="0"/>
          <w:numId w:val="36"/>
        </w:numPr>
        <w:tabs>
          <w:tab w:pos="449" w:val="left" w:leader="none"/>
        </w:tabs>
        <w:spacing w:line="230" w:lineRule="auto" w:before="6" w:after="0"/>
        <w:ind w:left="128" w:right="205" w:hanging="8"/>
        <w:jc w:val="both"/>
        <w:rPr>
          <w:sz w:val="23"/>
        </w:rPr>
      </w:pPr>
      <w:r>
        <w:rPr>
          <w:color w:val="383638"/>
          <w:w w:val="110"/>
          <w:sz w:val="23"/>
        </w:rPr>
        <w:t>using "private memos," which are a way to record your concerns about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spacing w:val="-1"/>
          <w:w w:val="115"/>
          <w:sz w:val="23"/>
        </w:rPr>
        <w:t>problems</w:t>
      </w:r>
      <w:r>
        <w:rPr>
          <w:color w:val="383638"/>
          <w:spacing w:val="-25"/>
          <w:w w:val="115"/>
          <w:sz w:val="23"/>
        </w:rPr>
        <w:t> </w:t>
      </w:r>
      <w:r>
        <w:rPr>
          <w:color w:val="383638"/>
          <w:spacing w:val="-1"/>
          <w:w w:val="115"/>
          <w:sz w:val="23"/>
        </w:rPr>
        <w:t>with</w:t>
      </w:r>
      <w:r>
        <w:rPr>
          <w:color w:val="383638"/>
          <w:spacing w:val="-22"/>
          <w:w w:val="115"/>
          <w:sz w:val="23"/>
        </w:rPr>
        <w:t> </w:t>
      </w:r>
      <w:r>
        <w:rPr>
          <w:color w:val="383638"/>
          <w:spacing w:val="-1"/>
          <w:w w:val="115"/>
          <w:sz w:val="23"/>
        </w:rPr>
        <w:t>the</w:t>
      </w:r>
      <w:r>
        <w:rPr>
          <w:color w:val="383638"/>
          <w:spacing w:val="-4"/>
          <w:w w:val="115"/>
          <w:sz w:val="23"/>
        </w:rPr>
        <w:t> </w:t>
      </w:r>
      <w:r>
        <w:rPr>
          <w:color w:val="383638"/>
          <w:spacing w:val="-1"/>
          <w:w w:val="115"/>
          <w:sz w:val="23"/>
        </w:rPr>
        <w:t>draft</w:t>
      </w:r>
      <w:r>
        <w:rPr>
          <w:color w:val="383638"/>
          <w:spacing w:val="-28"/>
          <w:w w:val="115"/>
          <w:sz w:val="23"/>
        </w:rPr>
        <w:t> </w:t>
      </w:r>
      <w:r>
        <w:rPr>
          <w:color w:val="383638"/>
          <w:spacing w:val="-1"/>
          <w:w w:val="115"/>
          <w:sz w:val="23"/>
        </w:rPr>
        <w:t>as</w:t>
      </w:r>
      <w:r>
        <w:rPr>
          <w:color w:val="383638"/>
          <w:spacing w:val="-29"/>
          <w:w w:val="115"/>
          <w:sz w:val="23"/>
        </w:rPr>
        <w:t> </w:t>
      </w:r>
      <w:r>
        <w:rPr>
          <w:color w:val="383638"/>
          <w:spacing w:val="-1"/>
          <w:w w:val="115"/>
          <w:sz w:val="23"/>
        </w:rPr>
        <w:t>you</w:t>
      </w:r>
      <w:r>
        <w:rPr>
          <w:color w:val="383638"/>
          <w:spacing w:val="-22"/>
          <w:w w:val="115"/>
          <w:sz w:val="23"/>
        </w:rPr>
        <w:t> </w:t>
      </w:r>
      <w:r>
        <w:rPr>
          <w:color w:val="383638"/>
          <w:spacing w:val="-1"/>
          <w:w w:val="115"/>
          <w:sz w:val="23"/>
        </w:rPr>
        <w:t>write</w:t>
      </w:r>
      <w:r>
        <w:rPr>
          <w:color w:val="383638"/>
          <w:spacing w:val="-34"/>
          <w:w w:val="115"/>
          <w:sz w:val="23"/>
        </w:rPr>
        <w:t> </w:t>
      </w:r>
      <w:r>
        <w:rPr>
          <w:color w:val="383638"/>
          <w:spacing w:val="-1"/>
          <w:w w:val="115"/>
          <w:sz w:val="23"/>
        </w:rPr>
        <w:t>it.</w:t>
      </w:r>
      <w:r>
        <w:rPr>
          <w:color w:val="383638"/>
          <w:spacing w:val="-13"/>
          <w:w w:val="115"/>
          <w:sz w:val="23"/>
        </w:rPr>
        <w:t> </w:t>
      </w:r>
      <w:r>
        <w:rPr>
          <w:color w:val="383638"/>
          <w:spacing w:val="-1"/>
          <w:w w:val="115"/>
          <w:sz w:val="23"/>
        </w:rPr>
        <w:t>A</w:t>
      </w:r>
      <w:r>
        <w:rPr>
          <w:color w:val="383638"/>
          <w:spacing w:val="-20"/>
          <w:w w:val="115"/>
          <w:sz w:val="23"/>
        </w:rPr>
        <w:t> </w:t>
      </w:r>
      <w:r>
        <w:rPr>
          <w:color w:val="383638"/>
          <w:spacing w:val="-1"/>
          <w:w w:val="115"/>
          <w:sz w:val="23"/>
        </w:rPr>
        <w:t>third</w:t>
      </w:r>
      <w:r>
        <w:rPr>
          <w:color w:val="383638"/>
          <w:spacing w:val="-11"/>
          <w:w w:val="115"/>
          <w:sz w:val="23"/>
        </w:rPr>
        <w:t> </w:t>
      </w:r>
      <w:r>
        <w:rPr>
          <w:color w:val="383638"/>
          <w:w w:val="115"/>
          <w:sz w:val="23"/>
        </w:rPr>
        <w:t>thing</w:t>
      </w:r>
      <w:r>
        <w:rPr>
          <w:color w:val="383638"/>
          <w:spacing w:val="-28"/>
          <w:w w:val="115"/>
          <w:sz w:val="23"/>
        </w:rPr>
        <w:t> </w:t>
      </w:r>
      <w:r>
        <w:rPr>
          <w:color w:val="383638"/>
          <w:w w:val="115"/>
          <w:sz w:val="23"/>
        </w:rPr>
        <w:t>that</w:t>
      </w:r>
      <w:r>
        <w:rPr>
          <w:color w:val="383638"/>
          <w:spacing w:val="-28"/>
          <w:w w:val="115"/>
          <w:sz w:val="23"/>
        </w:rPr>
        <w:t> </w:t>
      </w:r>
      <w:r>
        <w:rPr>
          <w:color w:val="383638"/>
          <w:w w:val="115"/>
          <w:sz w:val="23"/>
        </w:rPr>
        <w:t>can</w:t>
      </w:r>
      <w:r>
        <w:rPr>
          <w:color w:val="383638"/>
          <w:spacing w:val="-34"/>
          <w:w w:val="115"/>
          <w:sz w:val="23"/>
        </w:rPr>
        <w:t> </w:t>
      </w:r>
      <w:r>
        <w:rPr>
          <w:color w:val="383638"/>
          <w:w w:val="115"/>
          <w:sz w:val="23"/>
        </w:rPr>
        <w:t>make</w:t>
      </w:r>
      <w:r>
        <w:rPr>
          <w:color w:val="383638"/>
          <w:spacing w:val="-23"/>
          <w:w w:val="115"/>
          <w:sz w:val="23"/>
        </w:rPr>
        <w:t> </w:t>
      </w:r>
      <w:r>
        <w:rPr>
          <w:color w:val="383638"/>
          <w:w w:val="115"/>
          <w:sz w:val="23"/>
        </w:rPr>
        <w:t>it</w:t>
      </w:r>
      <w:r>
        <w:rPr>
          <w:color w:val="383638"/>
          <w:spacing w:val="-19"/>
          <w:w w:val="115"/>
          <w:sz w:val="23"/>
        </w:rPr>
        <w:t> </w:t>
      </w:r>
      <w:r>
        <w:rPr>
          <w:color w:val="383638"/>
          <w:w w:val="115"/>
          <w:sz w:val="23"/>
        </w:rPr>
        <w:t>easier</w:t>
      </w:r>
      <w:r>
        <w:rPr>
          <w:color w:val="383638"/>
          <w:spacing w:val="1"/>
          <w:w w:val="115"/>
          <w:sz w:val="23"/>
        </w:rPr>
        <w:t> </w:t>
      </w:r>
      <w:r>
        <w:rPr>
          <w:color w:val="383638"/>
          <w:w w:val="110"/>
          <w:sz w:val="23"/>
        </w:rPr>
        <w:t>to</w:t>
      </w:r>
      <w:r>
        <w:rPr>
          <w:color w:val="383638"/>
          <w:spacing w:val="7"/>
          <w:w w:val="110"/>
          <w:sz w:val="23"/>
        </w:rPr>
        <w:t> </w:t>
      </w:r>
      <w:r>
        <w:rPr>
          <w:color w:val="383638"/>
          <w:w w:val="110"/>
          <w:sz w:val="23"/>
        </w:rPr>
        <w:t>face</w:t>
      </w:r>
      <w:r>
        <w:rPr>
          <w:color w:val="383638"/>
          <w:spacing w:val="-3"/>
          <w:w w:val="110"/>
          <w:sz w:val="23"/>
        </w:rPr>
        <w:t> </w:t>
      </w:r>
      <w:r>
        <w:rPr>
          <w:color w:val="383638"/>
          <w:w w:val="110"/>
          <w:sz w:val="23"/>
        </w:rPr>
        <w:t>the</w:t>
      </w:r>
      <w:r>
        <w:rPr>
          <w:color w:val="383638"/>
          <w:spacing w:val="57"/>
          <w:w w:val="110"/>
          <w:sz w:val="23"/>
        </w:rPr>
        <w:t> </w:t>
      </w:r>
      <w:r>
        <w:rPr>
          <w:color w:val="383638"/>
          <w:w w:val="110"/>
          <w:sz w:val="23"/>
        </w:rPr>
        <w:t>blank</w:t>
      </w:r>
      <w:r>
        <w:rPr>
          <w:color w:val="383638"/>
          <w:spacing w:val="4"/>
          <w:w w:val="110"/>
          <w:sz w:val="23"/>
        </w:rPr>
        <w:t> </w:t>
      </w:r>
      <w:r>
        <w:rPr>
          <w:color w:val="383638"/>
          <w:w w:val="110"/>
          <w:sz w:val="23"/>
        </w:rPr>
        <w:t>page</w:t>
      </w:r>
      <w:r>
        <w:rPr>
          <w:color w:val="383638"/>
          <w:spacing w:val="4"/>
          <w:w w:val="110"/>
          <w:sz w:val="23"/>
        </w:rPr>
        <w:t> </w:t>
      </w:r>
      <w:r>
        <w:rPr>
          <w:color w:val="383638"/>
          <w:w w:val="110"/>
          <w:sz w:val="23"/>
        </w:rPr>
        <w:t>is</w:t>
      </w:r>
      <w:r>
        <w:rPr>
          <w:color w:val="383638"/>
          <w:spacing w:val="2"/>
          <w:w w:val="110"/>
          <w:sz w:val="23"/>
        </w:rPr>
        <w:t> </w:t>
      </w:r>
      <w:r>
        <w:rPr>
          <w:color w:val="383638"/>
          <w:w w:val="110"/>
          <w:sz w:val="23"/>
        </w:rPr>
        <w:t>facing</w:t>
      </w:r>
      <w:r>
        <w:rPr>
          <w:color w:val="383638"/>
          <w:spacing w:val="-1"/>
          <w:w w:val="110"/>
          <w:sz w:val="23"/>
        </w:rPr>
        <w:t> </w:t>
      </w:r>
      <w:r>
        <w:rPr>
          <w:color w:val="383638"/>
          <w:w w:val="110"/>
          <w:sz w:val="23"/>
        </w:rPr>
        <w:t>the</w:t>
      </w:r>
      <w:r>
        <w:rPr>
          <w:color w:val="383638"/>
          <w:spacing w:val="41"/>
          <w:w w:val="110"/>
          <w:sz w:val="23"/>
        </w:rPr>
        <w:t> </w:t>
      </w:r>
      <w:r>
        <w:rPr>
          <w:color w:val="383638"/>
          <w:w w:val="110"/>
          <w:sz w:val="23"/>
        </w:rPr>
        <w:t>fears</w:t>
      </w:r>
      <w:r>
        <w:rPr>
          <w:color w:val="383638"/>
          <w:spacing w:val="-8"/>
          <w:w w:val="110"/>
          <w:sz w:val="23"/>
        </w:rPr>
        <w:t> </w:t>
      </w:r>
      <w:r>
        <w:rPr>
          <w:color w:val="383638"/>
          <w:w w:val="110"/>
          <w:sz w:val="23"/>
        </w:rPr>
        <w:t>that</w:t>
      </w:r>
      <w:r>
        <w:rPr>
          <w:color w:val="383638"/>
          <w:spacing w:val="-16"/>
          <w:w w:val="110"/>
          <w:sz w:val="23"/>
        </w:rPr>
        <w:t> </w:t>
      </w:r>
      <w:r>
        <w:rPr>
          <w:color w:val="383638"/>
          <w:w w:val="110"/>
          <w:sz w:val="23"/>
        </w:rPr>
        <w:t>often</w:t>
      </w:r>
      <w:r>
        <w:rPr>
          <w:color w:val="383638"/>
          <w:spacing w:val="12"/>
          <w:w w:val="110"/>
          <w:sz w:val="23"/>
        </w:rPr>
        <w:t> </w:t>
      </w:r>
      <w:r>
        <w:rPr>
          <w:color w:val="383638"/>
          <w:w w:val="110"/>
          <w:sz w:val="23"/>
        </w:rPr>
        <w:t>lead</w:t>
      </w:r>
      <w:r>
        <w:rPr>
          <w:color w:val="383638"/>
          <w:spacing w:val="17"/>
          <w:w w:val="110"/>
          <w:sz w:val="23"/>
        </w:rPr>
        <w:t> </w:t>
      </w:r>
      <w:r>
        <w:rPr>
          <w:color w:val="383638"/>
          <w:w w:val="110"/>
          <w:sz w:val="23"/>
        </w:rPr>
        <w:t>to</w:t>
      </w:r>
      <w:r>
        <w:rPr>
          <w:color w:val="383638"/>
          <w:spacing w:val="16"/>
          <w:w w:val="110"/>
          <w:sz w:val="23"/>
        </w:rPr>
        <w:t> </w:t>
      </w:r>
      <w:r>
        <w:rPr>
          <w:color w:val="383638"/>
          <w:w w:val="110"/>
          <w:sz w:val="23"/>
        </w:rPr>
        <w:t>procrastination</w:t>
      </w:r>
      <w:r>
        <w:rPr>
          <w:color w:val="525254"/>
          <w:w w:val="110"/>
          <w:sz w:val="23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spacing w:before="0"/>
        <w:ind w:left="712" w:right="0" w:firstLine="0"/>
        <w:jc w:val="left"/>
        <w:rPr>
          <w:rFonts w:ascii="Arial"/>
          <w:b/>
          <w:sz w:val="33"/>
        </w:rPr>
      </w:pPr>
      <w:r>
        <w:rPr>
          <w:rFonts w:ascii="Arial"/>
          <w:b/>
          <w:color w:val="383638"/>
          <w:w w:val="110"/>
          <w:sz w:val="33"/>
        </w:rPr>
        <w:t>4.1</w:t>
      </w:r>
    </w:p>
    <w:p>
      <w:pPr>
        <w:spacing w:before="52"/>
        <w:ind w:left="716" w:right="0" w:firstLine="0"/>
        <w:jc w:val="left"/>
        <w:rPr>
          <w:rFonts w:ascii="Arial"/>
          <w:sz w:val="26"/>
        </w:rPr>
      </w:pPr>
      <w:r>
        <w:rPr>
          <w:rFonts w:ascii="Arial"/>
          <w:color w:val="383638"/>
          <w:w w:val="105"/>
          <w:sz w:val="26"/>
        </w:rPr>
        <w:t>FINDING</w:t>
      </w:r>
      <w:r>
        <w:rPr>
          <w:rFonts w:ascii="Arial"/>
          <w:color w:val="383638"/>
          <w:spacing w:val="30"/>
          <w:w w:val="105"/>
          <w:sz w:val="26"/>
        </w:rPr>
        <w:t> </w:t>
      </w:r>
      <w:r>
        <w:rPr>
          <w:rFonts w:ascii="Arial"/>
          <w:color w:val="383638"/>
          <w:w w:val="105"/>
          <w:sz w:val="26"/>
        </w:rPr>
        <w:t>STRUCTU</w:t>
      </w:r>
      <w:r>
        <w:rPr>
          <w:rFonts w:ascii="Arial"/>
          <w:color w:val="525254"/>
          <w:w w:val="105"/>
          <w:sz w:val="26"/>
        </w:rPr>
        <w:t>R</w:t>
      </w:r>
      <w:r>
        <w:rPr>
          <w:rFonts w:ascii="Arial"/>
          <w:color w:val="383638"/>
          <w:w w:val="105"/>
          <w:sz w:val="26"/>
        </w:rPr>
        <w:t>E</w:t>
      </w:r>
    </w:p>
    <w:p>
      <w:pPr>
        <w:pStyle w:val="BodyText"/>
        <w:spacing w:before="11"/>
        <w:rPr>
          <w:rFonts w:ascii="Arial"/>
          <w:sz w:val="22"/>
        </w:rPr>
      </w:pPr>
    </w:p>
    <w:p>
      <w:pPr>
        <w:pStyle w:val="BodyText"/>
        <w:spacing w:line="235" w:lineRule="auto"/>
        <w:ind w:left="139" w:right="115" w:firstLine="596"/>
        <w:jc w:val="both"/>
      </w:pPr>
      <w:r>
        <w:rPr>
          <w:color w:val="383638"/>
          <w:w w:val="115"/>
        </w:rPr>
        <w:t>At</w:t>
      </w:r>
      <w:r>
        <w:rPr>
          <w:color w:val="383638"/>
          <w:spacing w:val="-13"/>
          <w:w w:val="115"/>
        </w:rPr>
        <w:t> </w:t>
      </w:r>
      <w:r>
        <w:rPr>
          <w:color w:val="383638"/>
          <w:w w:val="115"/>
        </w:rPr>
        <w:t>this</w:t>
      </w:r>
      <w:r>
        <w:rPr>
          <w:color w:val="383638"/>
          <w:spacing w:val="-29"/>
          <w:w w:val="115"/>
        </w:rPr>
        <w:t> </w:t>
      </w:r>
      <w:r>
        <w:rPr>
          <w:color w:val="383638"/>
          <w:w w:val="115"/>
        </w:rPr>
        <w:t>stage,</w:t>
      </w:r>
      <w:r>
        <w:rPr>
          <w:color w:val="383638"/>
          <w:spacing w:val="-13"/>
          <w:w w:val="115"/>
        </w:rPr>
        <w:t> </w:t>
      </w:r>
      <w:r>
        <w:rPr>
          <w:color w:val="383638"/>
          <w:w w:val="115"/>
        </w:rPr>
        <w:t>you</w:t>
      </w:r>
      <w:r>
        <w:rPr>
          <w:color w:val="383638"/>
          <w:spacing w:val="2"/>
          <w:w w:val="115"/>
        </w:rPr>
        <w:t> </w:t>
      </w:r>
      <w:r>
        <w:rPr>
          <w:color w:val="383638"/>
          <w:w w:val="115"/>
        </w:rPr>
        <w:t>should</w:t>
      </w:r>
      <w:r>
        <w:rPr>
          <w:color w:val="383638"/>
          <w:spacing w:val="14"/>
          <w:w w:val="115"/>
        </w:rPr>
        <w:t> </w:t>
      </w:r>
      <w:r>
        <w:rPr>
          <w:color w:val="383638"/>
          <w:w w:val="115"/>
        </w:rPr>
        <w:t>have</w:t>
      </w:r>
      <w:r>
        <w:rPr>
          <w:color w:val="383638"/>
          <w:spacing w:val="-22"/>
          <w:w w:val="115"/>
        </w:rPr>
        <w:t> </w:t>
      </w:r>
      <w:r>
        <w:rPr>
          <w:color w:val="383638"/>
          <w:w w:val="115"/>
        </w:rPr>
        <w:t>a</w:t>
      </w:r>
      <w:r>
        <w:rPr>
          <w:color w:val="383638"/>
          <w:spacing w:val="-11"/>
          <w:w w:val="115"/>
        </w:rPr>
        <w:t> </w:t>
      </w:r>
      <w:r>
        <w:rPr>
          <w:color w:val="383638"/>
          <w:w w:val="115"/>
        </w:rPr>
        <w:t>stack</w:t>
      </w:r>
      <w:r>
        <w:rPr>
          <w:color w:val="383638"/>
          <w:spacing w:val="-14"/>
          <w:w w:val="115"/>
        </w:rPr>
        <w:t> </w:t>
      </w:r>
      <w:r>
        <w:rPr>
          <w:color w:val="383638"/>
          <w:w w:val="115"/>
        </w:rPr>
        <w:t>of</w:t>
      </w:r>
      <w:r>
        <w:rPr>
          <w:color w:val="383638"/>
          <w:spacing w:val="-3"/>
          <w:w w:val="115"/>
        </w:rPr>
        <w:t> </w:t>
      </w:r>
      <w:r>
        <w:rPr>
          <w:color w:val="383638"/>
          <w:w w:val="115"/>
        </w:rPr>
        <w:t>authorities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that</w:t>
      </w:r>
      <w:r>
        <w:rPr>
          <w:color w:val="383638"/>
          <w:spacing w:val="-8"/>
          <w:w w:val="115"/>
        </w:rPr>
        <w:t> </w:t>
      </w:r>
      <w:r>
        <w:rPr>
          <w:color w:val="383638"/>
          <w:w w:val="115"/>
        </w:rPr>
        <w:t>you</w:t>
      </w:r>
      <w:r>
        <w:rPr>
          <w:color w:val="383638"/>
          <w:spacing w:val="-19"/>
          <w:w w:val="115"/>
        </w:rPr>
        <w:t> </w:t>
      </w:r>
      <w:r>
        <w:rPr>
          <w:color w:val="383638"/>
          <w:w w:val="115"/>
        </w:rPr>
        <w:t>plan to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use in support of your client's case. Now, you must make the move from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that stack of paper to some sort of an outline. Effective legal arguments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are usually best organized around issues, rules,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arguments rather than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5"/>
        </w:rPr>
        <w:t>around</w:t>
      </w:r>
      <w:r>
        <w:rPr>
          <w:color w:val="383638"/>
          <w:spacing w:val="-13"/>
          <w:w w:val="115"/>
        </w:rPr>
        <w:t> </w:t>
      </w:r>
      <w:r>
        <w:rPr>
          <w:color w:val="383638"/>
          <w:spacing w:val="-1"/>
          <w:w w:val="115"/>
        </w:rPr>
        <w:t>authority</w:t>
      </w:r>
      <w:r>
        <w:rPr>
          <w:color w:val="383638"/>
          <w:spacing w:val="-19"/>
          <w:w w:val="115"/>
        </w:rPr>
        <w:t> </w:t>
      </w:r>
      <w:r>
        <w:rPr>
          <w:color w:val="383638"/>
          <w:spacing w:val="-1"/>
          <w:w w:val="115"/>
        </w:rPr>
        <w:t>cases.</w:t>
      </w:r>
      <w:r>
        <w:rPr>
          <w:color w:val="383638"/>
          <w:spacing w:val="-31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4"/>
          <w:w w:val="115"/>
        </w:rPr>
        <w:t> </w:t>
      </w:r>
      <w:r>
        <w:rPr>
          <w:color w:val="383638"/>
          <w:w w:val="115"/>
        </w:rPr>
        <w:t>court's</w:t>
      </w:r>
      <w:r>
        <w:rPr>
          <w:color w:val="383638"/>
          <w:spacing w:val="-16"/>
          <w:w w:val="115"/>
        </w:rPr>
        <w:t> </w:t>
      </w:r>
      <w:r>
        <w:rPr>
          <w:color w:val="383638"/>
          <w:w w:val="115"/>
        </w:rPr>
        <w:t>major</w:t>
      </w:r>
      <w:r>
        <w:rPr>
          <w:color w:val="383638"/>
          <w:spacing w:val="-17"/>
          <w:w w:val="115"/>
        </w:rPr>
        <w:t> </w:t>
      </w:r>
      <w:r>
        <w:rPr>
          <w:color w:val="383638"/>
          <w:w w:val="115"/>
        </w:rPr>
        <w:t>concern</w:t>
      </w:r>
      <w:r>
        <w:rPr>
          <w:color w:val="383638"/>
          <w:spacing w:val="-12"/>
          <w:w w:val="115"/>
        </w:rPr>
        <w:t> </w:t>
      </w:r>
      <w:r>
        <w:rPr>
          <w:color w:val="383638"/>
          <w:w w:val="115"/>
        </w:rPr>
        <w:t>is</w:t>
      </w:r>
      <w:r>
        <w:rPr>
          <w:color w:val="383638"/>
          <w:spacing w:val="-20"/>
          <w:w w:val="115"/>
        </w:rPr>
        <w:t> </w:t>
      </w:r>
      <w:r>
        <w:rPr>
          <w:color w:val="383638"/>
          <w:w w:val="115"/>
        </w:rPr>
        <w:t>not</w:t>
      </w:r>
      <w:r>
        <w:rPr>
          <w:color w:val="383638"/>
          <w:spacing w:val="3"/>
          <w:w w:val="115"/>
        </w:rPr>
        <w:t> </w:t>
      </w:r>
      <w:r>
        <w:rPr>
          <w:color w:val="383638"/>
          <w:w w:val="115"/>
        </w:rPr>
        <w:t>whether</w:t>
      </w:r>
      <w:r>
        <w:rPr>
          <w:color w:val="383638"/>
          <w:spacing w:val="-8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-13"/>
          <w:w w:val="115"/>
        </w:rPr>
        <w:t> </w:t>
      </w:r>
      <w:r>
        <w:rPr>
          <w:color w:val="383638"/>
          <w:w w:val="115"/>
        </w:rPr>
        <w:t>cases</w:t>
      </w:r>
      <w:r>
        <w:rPr>
          <w:color w:val="383638"/>
          <w:spacing w:val="-63"/>
          <w:w w:val="115"/>
        </w:rPr>
        <w:t> </w:t>
      </w:r>
      <w:r>
        <w:rPr>
          <w:color w:val="383638"/>
          <w:w w:val="115"/>
        </w:rPr>
        <w:t>you</w:t>
      </w:r>
      <w:r>
        <w:rPr>
          <w:color w:val="383638"/>
          <w:spacing w:val="39"/>
          <w:w w:val="115"/>
        </w:rPr>
        <w:t> </w:t>
      </w:r>
      <w:r>
        <w:rPr>
          <w:color w:val="383638"/>
          <w:w w:val="115"/>
        </w:rPr>
        <w:t>have</w:t>
      </w:r>
      <w:r>
        <w:rPr>
          <w:color w:val="383638"/>
          <w:spacing w:val="30"/>
          <w:w w:val="115"/>
        </w:rPr>
        <w:t> </w:t>
      </w:r>
      <w:r>
        <w:rPr>
          <w:color w:val="383638"/>
          <w:w w:val="115"/>
        </w:rPr>
        <w:t>found</w:t>
      </w:r>
      <w:r>
        <w:rPr>
          <w:color w:val="383638"/>
          <w:spacing w:val="41"/>
          <w:w w:val="115"/>
        </w:rPr>
        <w:t> </w:t>
      </w:r>
      <w:r>
        <w:rPr>
          <w:color w:val="383638"/>
          <w:w w:val="115"/>
        </w:rPr>
        <w:t>are</w:t>
      </w:r>
      <w:r>
        <w:rPr>
          <w:color w:val="383638"/>
          <w:spacing w:val="21"/>
          <w:w w:val="115"/>
        </w:rPr>
        <w:t> </w:t>
      </w:r>
      <w:r>
        <w:rPr>
          <w:color w:val="383638"/>
          <w:w w:val="115"/>
        </w:rPr>
        <w:t>analogous</w:t>
      </w:r>
      <w:r>
        <w:rPr>
          <w:color w:val="383638"/>
          <w:spacing w:val="39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46"/>
          <w:w w:val="115"/>
        </w:rPr>
        <w:t> </w:t>
      </w:r>
      <w:r>
        <w:rPr>
          <w:color w:val="383638"/>
          <w:w w:val="115"/>
        </w:rPr>
        <w:t>your</w:t>
      </w:r>
      <w:r>
        <w:rPr>
          <w:color w:val="383638"/>
          <w:spacing w:val="32"/>
          <w:w w:val="115"/>
        </w:rPr>
        <w:t> </w:t>
      </w:r>
      <w:r>
        <w:rPr>
          <w:color w:val="383638"/>
          <w:w w:val="115"/>
        </w:rPr>
        <w:t>client's</w:t>
      </w:r>
      <w:r>
        <w:rPr>
          <w:color w:val="383638"/>
          <w:spacing w:val="23"/>
          <w:w w:val="115"/>
        </w:rPr>
        <w:t> </w:t>
      </w:r>
      <w:r>
        <w:rPr>
          <w:color w:val="383638"/>
          <w:w w:val="115"/>
        </w:rPr>
        <w:t>case.</w:t>
      </w:r>
      <w:r>
        <w:rPr>
          <w:color w:val="383638"/>
          <w:spacing w:val="33"/>
          <w:w w:val="115"/>
        </w:rPr>
        <w:t> </w:t>
      </w:r>
      <w:r>
        <w:rPr>
          <w:color w:val="383638"/>
          <w:w w:val="115"/>
        </w:rPr>
        <w:t>In</w:t>
      </w:r>
      <w:r>
        <w:rPr>
          <w:color w:val="525254"/>
          <w:w w:val="115"/>
        </w:rPr>
        <w:t>s</w:t>
      </w:r>
      <w:r>
        <w:rPr>
          <w:color w:val="383638"/>
          <w:w w:val="115"/>
        </w:rPr>
        <w:t>t</w:t>
      </w:r>
      <w:r>
        <w:rPr>
          <w:color w:val="525254"/>
          <w:w w:val="115"/>
        </w:rPr>
        <w:t>e</w:t>
      </w:r>
      <w:r>
        <w:rPr>
          <w:color w:val="383638"/>
          <w:w w:val="115"/>
        </w:rPr>
        <w:t>ad,</w:t>
      </w:r>
      <w:r>
        <w:rPr>
          <w:color w:val="383638"/>
          <w:spacing w:val="58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56"/>
          <w:w w:val="115"/>
        </w:rPr>
        <w:t> </w:t>
      </w:r>
      <w:r>
        <w:rPr>
          <w:color w:val="383638"/>
          <w:w w:val="115"/>
        </w:rPr>
        <w:t>court</w:t>
      </w:r>
    </w:p>
    <w:p>
      <w:pPr>
        <w:spacing w:after="0" w:line="235" w:lineRule="auto"/>
        <w:jc w:val="both"/>
        <w:sectPr>
          <w:type w:val="continuous"/>
          <w:pgSz w:w="9640" w:h="13790"/>
          <w:pgMar w:header="427" w:footer="0" w:top="340" w:bottom="280" w:left="380" w:right="1260"/>
        </w:sectPr>
      </w:pPr>
    </w:p>
    <w:p>
      <w:pPr>
        <w:pStyle w:val="BodyText"/>
        <w:spacing w:line="230" w:lineRule="auto" w:before="89"/>
        <w:ind w:left="1023" w:right="-44" w:firstLine="9"/>
      </w:pPr>
      <w:r>
        <w:rPr>
          <w:color w:val="383636"/>
          <w:w w:val="105"/>
        </w:rPr>
        <w:t>wants to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know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the issues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that your case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presents</w:t>
      </w:r>
      <w:r>
        <w:rPr>
          <w:color w:val="525254"/>
          <w:w w:val="105"/>
        </w:rPr>
        <w:t>,</w:t>
      </w:r>
      <w:r>
        <w:rPr>
          <w:color w:val="525254"/>
          <w:spacing w:val="1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rules that govern</w:t>
      </w:r>
      <w:r>
        <w:rPr>
          <w:color w:val="383636"/>
          <w:spacing w:val="-58"/>
          <w:w w:val="105"/>
        </w:rPr>
        <w:t> </w:t>
      </w:r>
      <w:r>
        <w:rPr>
          <w:color w:val="383636"/>
          <w:spacing w:val="-1"/>
          <w:w w:val="105"/>
        </w:rPr>
        <w:t>those</w:t>
      </w:r>
      <w:r>
        <w:rPr>
          <w:color w:val="383636"/>
          <w:spacing w:val="-27"/>
          <w:w w:val="105"/>
        </w:rPr>
        <w:t> </w:t>
      </w:r>
      <w:r>
        <w:rPr>
          <w:color w:val="383636"/>
          <w:spacing w:val="-1"/>
          <w:w w:val="105"/>
        </w:rPr>
        <w:t>issues,</w:t>
      </w:r>
      <w:r>
        <w:rPr>
          <w:color w:val="383636"/>
          <w:spacing w:val="-18"/>
          <w:w w:val="105"/>
        </w:rPr>
        <w:t> </w:t>
      </w:r>
      <w:r>
        <w:rPr>
          <w:color w:val="383636"/>
          <w:w w:val="105"/>
        </w:rPr>
        <w:t>and</w:t>
      </w:r>
      <w:r>
        <w:rPr>
          <w:color w:val="383636"/>
          <w:spacing w:val="20"/>
          <w:w w:val="105"/>
        </w:rPr>
        <w:t> </w:t>
      </w:r>
      <w:r>
        <w:rPr>
          <w:color w:val="383636"/>
          <w:w w:val="105"/>
        </w:rPr>
        <w:t>how</w:t>
      </w:r>
      <w:r>
        <w:rPr>
          <w:color w:val="383636"/>
          <w:spacing w:val="15"/>
          <w:w w:val="105"/>
        </w:rPr>
        <w:t> </w:t>
      </w:r>
      <w:r>
        <w:rPr>
          <w:color w:val="383636"/>
          <w:w w:val="105"/>
        </w:rPr>
        <w:t>those</w:t>
      </w:r>
      <w:r>
        <w:rPr>
          <w:color w:val="383636"/>
          <w:spacing w:val="-32"/>
          <w:w w:val="105"/>
        </w:rPr>
        <w:t> </w:t>
      </w:r>
      <w:r>
        <w:rPr>
          <w:color w:val="383636"/>
          <w:w w:val="105"/>
        </w:rPr>
        <w:t>rules</w:t>
      </w:r>
      <w:r>
        <w:rPr>
          <w:color w:val="383636"/>
          <w:spacing w:val="-32"/>
          <w:w w:val="105"/>
        </w:rPr>
        <w:t> </w:t>
      </w:r>
      <w:r>
        <w:rPr>
          <w:color w:val="383636"/>
          <w:w w:val="105"/>
        </w:rPr>
        <w:t>should</w:t>
      </w:r>
      <w:r>
        <w:rPr>
          <w:color w:val="383636"/>
          <w:spacing w:val="-9"/>
          <w:w w:val="105"/>
        </w:rPr>
        <w:t> </w:t>
      </w:r>
      <w:r>
        <w:rPr>
          <w:color w:val="383636"/>
          <w:w w:val="105"/>
        </w:rPr>
        <w:t>apply</w:t>
      </w:r>
      <w:r>
        <w:rPr>
          <w:color w:val="383636"/>
          <w:spacing w:val="-14"/>
          <w:w w:val="105"/>
        </w:rPr>
        <w:t> </w:t>
      </w:r>
      <w:r>
        <w:rPr>
          <w:color w:val="383636"/>
          <w:w w:val="105"/>
        </w:rPr>
        <w:t>to</w:t>
      </w:r>
      <w:r>
        <w:rPr>
          <w:color w:val="383636"/>
          <w:spacing w:val="-11"/>
          <w:w w:val="105"/>
        </w:rPr>
        <w:t> </w:t>
      </w:r>
      <w:r>
        <w:rPr>
          <w:color w:val="383636"/>
          <w:w w:val="105"/>
        </w:rPr>
        <w:t>your</w:t>
      </w:r>
      <w:r>
        <w:rPr>
          <w:color w:val="383636"/>
          <w:spacing w:val="-20"/>
          <w:w w:val="105"/>
        </w:rPr>
        <w:t> </w:t>
      </w:r>
      <w:r>
        <w:rPr>
          <w:color w:val="383636"/>
          <w:w w:val="105"/>
        </w:rPr>
        <w:t>case.</w:t>
      </w:r>
      <w:r>
        <w:rPr>
          <w:color w:val="383636"/>
          <w:spacing w:val="-28"/>
          <w:w w:val="105"/>
        </w:rPr>
        <w:t> </w:t>
      </w:r>
      <w:r>
        <w:rPr>
          <w:color w:val="383636"/>
          <w:w w:val="105"/>
        </w:rPr>
        <w:t>Of</w:t>
      </w:r>
      <w:r>
        <w:rPr>
          <w:color w:val="383636"/>
          <w:spacing w:val="-11"/>
          <w:w w:val="105"/>
        </w:rPr>
        <w:t> </w:t>
      </w:r>
      <w:r>
        <w:rPr>
          <w:color w:val="383636"/>
          <w:w w:val="105"/>
        </w:rPr>
        <w:t>course,</w:t>
      </w:r>
      <w:r>
        <w:rPr>
          <w:color w:val="383636"/>
          <w:spacing w:val="-11"/>
          <w:w w:val="105"/>
        </w:rPr>
        <w:t> </w:t>
      </w:r>
      <w:r>
        <w:rPr>
          <w:color w:val="383636"/>
          <w:w w:val="105"/>
        </w:rPr>
        <w:t>yot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will probably use cases to illustrate or explain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rules that you identify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but</w:t>
      </w:r>
      <w:r>
        <w:rPr>
          <w:color w:val="383636"/>
          <w:spacing w:val="23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27"/>
          <w:w w:val="105"/>
        </w:rPr>
        <w:t> </w:t>
      </w:r>
      <w:r>
        <w:rPr>
          <w:rFonts w:ascii="Arial"/>
          <w:i/>
          <w:color w:val="383636"/>
          <w:w w:val="105"/>
          <w:sz w:val="19"/>
        </w:rPr>
        <w:t>rules,</w:t>
      </w:r>
      <w:r>
        <w:rPr>
          <w:rFonts w:ascii="Arial"/>
          <w:i/>
          <w:color w:val="383636"/>
          <w:spacing w:val="-5"/>
          <w:w w:val="105"/>
          <w:sz w:val="19"/>
        </w:rPr>
        <w:t> </w:t>
      </w:r>
      <w:r>
        <w:rPr>
          <w:color w:val="383636"/>
          <w:w w:val="105"/>
        </w:rPr>
        <w:t>rather</w:t>
      </w:r>
      <w:r>
        <w:rPr>
          <w:color w:val="383636"/>
          <w:spacing w:val="3"/>
          <w:w w:val="105"/>
        </w:rPr>
        <w:t> </w:t>
      </w:r>
      <w:r>
        <w:rPr>
          <w:color w:val="383636"/>
          <w:w w:val="105"/>
        </w:rPr>
        <w:t>than</w:t>
      </w:r>
      <w:r>
        <w:rPr>
          <w:color w:val="383636"/>
          <w:spacing w:val="17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-7"/>
          <w:w w:val="105"/>
        </w:rPr>
        <w:t> </w:t>
      </w:r>
      <w:r>
        <w:rPr>
          <w:color w:val="383636"/>
          <w:w w:val="105"/>
        </w:rPr>
        <w:t>cases,</w:t>
      </w:r>
      <w:r>
        <w:rPr>
          <w:color w:val="383636"/>
          <w:spacing w:val="-11"/>
          <w:w w:val="105"/>
        </w:rPr>
        <w:t> </w:t>
      </w:r>
      <w:r>
        <w:rPr>
          <w:color w:val="383636"/>
          <w:w w:val="105"/>
        </w:rPr>
        <w:t>should</w:t>
      </w:r>
      <w:r>
        <w:rPr>
          <w:color w:val="383636"/>
          <w:spacing w:val="17"/>
          <w:w w:val="105"/>
        </w:rPr>
        <w:t> </w:t>
      </w:r>
      <w:r>
        <w:rPr>
          <w:color w:val="383636"/>
          <w:w w:val="105"/>
        </w:rPr>
        <w:t>be</w:t>
      </w:r>
      <w:r>
        <w:rPr>
          <w:color w:val="383636"/>
          <w:spacing w:val="-4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22"/>
          <w:w w:val="105"/>
        </w:rPr>
        <w:t> </w:t>
      </w:r>
      <w:r>
        <w:rPr>
          <w:color w:val="383636"/>
          <w:w w:val="105"/>
        </w:rPr>
        <w:t>focus</w:t>
      </w:r>
      <w:r>
        <w:rPr>
          <w:color w:val="383636"/>
          <w:spacing w:val="-16"/>
          <w:w w:val="105"/>
        </w:rPr>
        <w:t> </w:t>
      </w:r>
      <w:r>
        <w:rPr>
          <w:color w:val="383636"/>
          <w:w w:val="105"/>
        </w:rPr>
        <w:t>of</w:t>
      </w:r>
      <w:r>
        <w:rPr>
          <w:color w:val="383636"/>
          <w:spacing w:val="11"/>
          <w:w w:val="105"/>
        </w:rPr>
        <w:t> </w:t>
      </w:r>
      <w:r>
        <w:rPr>
          <w:color w:val="383636"/>
          <w:w w:val="105"/>
        </w:rPr>
        <w:t>your</w:t>
      </w:r>
      <w:r>
        <w:rPr>
          <w:color w:val="383636"/>
          <w:spacing w:val="-3"/>
          <w:w w:val="105"/>
        </w:rPr>
        <w:t> </w:t>
      </w:r>
      <w:r>
        <w:rPr>
          <w:color w:val="383636"/>
          <w:w w:val="105"/>
        </w:rPr>
        <w:t>analysis.</w:t>
      </w:r>
    </w:p>
    <w:p>
      <w:pPr>
        <w:pStyle w:val="BodyText"/>
        <w:spacing w:line="232" w:lineRule="auto" w:before="4"/>
        <w:ind w:left="958" w:right="-44" w:firstLine="419"/>
      </w:pPr>
      <w:r>
        <w:rPr>
          <w:color w:val="383636"/>
          <w:w w:val="105"/>
        </w:rPr>
        <w:t>When</w:t>
      </w:r>
      <w:r>
        <w:rPr>
          <w:color w:val="383636"/>
          <w:spacing w:val="40"/>
          <w:w w:val="105"/>
        </w:rPr>
        <w:t> </w:t>
      </w:r>
      <w:r>
        <w:rPr>
          <w:color w:val="383636"/>
          <w:w w:val="105"/>
        </w:rPr>
        <w:t>trying</w:t>
      </w:r>
      <w:r>
        <w:rPr>
          <w:color w:val="383636"/>
          <w:spacing w:val="16"/>
          <w:w w:val="105"/>
        </w:rPr>
        <w:t> </w:t>
      </w:r>
      <w:r>
        <w:rPr>
          <w:color w:val="383636"/>
          <w:w w:val="105"/>
        </w:rPr>
        <w:t>to</w:t>
      </w:r>
      <w:r>
        <w:rPr>
          <w:color w:val="383636"/>
          <w:spacing w:val="29"/>
          <w:w w:val="105"/>
        </w:rPr>
        <w:t> </w:t>
      </w:r>
      <w:r>
        <w:rPr>
          <w:color w:val="383636"/>
          <w:w w:val="105"/>
        </w:rPr>
        <w:t>identify</w:t>
      </w:r>
      <w:r>
        <w:rPr>
          <w:color w:val="383636"/>
          <w:spacing w:val="34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44"/>
          <w:w w:val="105"/>
        </w:rPr>
        <w:t> </w:t>
      </w:r>
      <w:r>
        <w:rPr>
          <w:color w:val="383636"/>
          <w:w w:val="105"/>
        </w:rPr>
        <w:t>rules</w:t>
      </w:r>
      <w:r>
        <w:rPr>
          <w:color w:val="383636"/>
          <w:spacing w:val="20"/>
          <w:w w:val="105"/>
        </w:rPr>
        <w:t> </w:t>
      </w:r>
      <w:r>
        <w:rPr>
          <w:color w:val="383636"/>
          <w:w w:val="105"/>
        </w:rPr>
        <w:t>that</w:t>
      </w:r>
      <w:r>
        <w:rPr>
          <w:color w:val="383636"/>
          <w:spacing w:val="30"/>
          <w:w w:val="105"/>
        </w:rPr>
        <w:t> </w:t>
      </w:r>
      <w:r>
        <w:rPr>
          <w:color w:val="383636"/>
          <w:w w:val="105"/>
        </w:rPr>
        <w:t>you</w:t>
      </w:r>
      <w:r>
        <w:rPr>
          <w:color w:val="383636"/>
          <w:spacing w:val="30"/>
          <w:w w:val="105"/>
        </w:rPr>
        <w:t> </w:t>
      </w:r>
      <w:r>
        <w:rPr>
          <w:color w:val="383636"/>
          <w:w w:val="105"/>
        </w:rPr>
        <w:t>want</w:t>
      </w:r>
      <w:r>
        <w:rPr>
          <w:color w:val="383636"/>
          <w:spacing w:val="32"/>
          <w:w w:val="105"/>
        </w:rPr>
        <w:t> </w:t>
      </w:r>
      <w:r>
        <w:rPr>
          <w:color w:val="383636"/>
          <w:w w:val="105"/>
        </w:rPr>
        <w:t>to</w:t>
      </w:r>
      <w:r>
        <w:rPr>
          <w:color w:val="383636"/>
          <w:spacing w:val="53"/>
          <w:w w:val="105"/>
        </w:rPr>
        <w:t> </w:t>
      </w:r>
      <w:r>
        <w:rPr>
          <w:color w:val="383636"/>
          <w:w w:val="105"/>
        </w:rPr>
        <w:t>use</w:t>
      </w:r>
      <w:r>
        <w:rPr>
          <w:color w:val="383636"/>
          <w:spacing w:val="20"/>
          <w:w w:val="105"/>
        </w:rPr>
        <w:t> </w:t>
      </w:r>
      <w:r>
        <w:rPr>
          <w:color w:val="383636"/>
          <w:w w:val="105"/>
        </w:rPr>
        <w:t>to</w:t>
      </w:r>
      <w:r>
        <w:rPr>
          <w:color w:val="383636"/>
          <w:spacing w:val="47"/>
          <w:w w:val="105"/>
        </w:rPr>
        <w:t> </w:t>
      </w:r>
      <w:r>
        <w:rPr>
          <w:color w:val="383636"/>
          <w:w w:val="105"/>
        </w:rPr>
        <w:t>structurE</w:t>
      </w:r>
      <w:r>
        <w:rPr>
          <w:color w:val="383636"/>
          <w:spacing w:val="-57"/>
          <w:w w:val="105"/>
        </w:rPr>
        <w:t> </w:t>
      </w:r>
      <w:r>
        <w:rPr>
          <w:color w:val="383636"/>
          <w:w w:val="105"/>
        </w:rPr>
        <w:t>your argument</w:t>
      </w:r>
      <w:r>
        <w:rPr>
          <w:color w:val="525254"/>
          <w:w w:val="105"/>
        </w:rPr>
        <w:t>, </w:t>
      </w:r>
      <w:r>
        <w:rPr>
          <w:color w:val="383636"/>
          <w:w w:val="105"/>
        </w:rPr>
        <w:t>it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may help you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to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think of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possible categories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of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argu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ments.Since legal arguments are typically based on authority, you may </w:t>
      </w:r>
      <w:r>
        <w:rPr>
          <w:rFonts w:ascii="Arial"/>
          <w:i/>
          <w:color w:val="383636"/>
          <w:w w:val="105"/>
          <w:sz w:val="21"/>
        </w:rPr>
        <w:t>try</w:t>
      </w:r>
      <w:r>
        <w:rPr>
          <w:rFonts w:ascii="Arial"/>
          <w:i/>
          <w:color w:val="383636"/>
          <w:spacing w:val="1"/>
          <w:w w:val="105"/>
          <w:sz w:val="21"/>
        </w:rPr>
        <w:t> </w:t>
      </w:r>
      <w:r>
        <w:rPr>
          <w:color w:val="383636"/>
          <w:w w:val="105"/>
        </w:rPr>
        <w:t>to develop your arguments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based on</w:t>
      </w:r>
      <w:r>
        <w:rPr>
          <w:color w:val="383636"/>
          <w:spacing w:val="1"/>
          <w:w w:val="105"/>
        </w:rPr>
        <w:t> </w:t>
      </w:r>
      <w:r>
        <w:rPr>
          <w:i/>
          <w:color w:val="383636"/>
          <w:w w:val="105"/>
          <w:sz w:val="22"/>
        </w:rPr>
        <w:t>the  </w:t>
      </w:r>
      <w:r>
        <w:rPr>
          <w:color w:val="383636"/>
          <w:w w:val="105"/>
        </w:rPr>
        <w:t>categories of authority, as noted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in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Chapter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Three: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case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law,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constitutions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and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statutes,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regulations,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o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extra-legal authority. Since these different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types of authority may interac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within</w:t>
      </w:r>
      <w:r>
        <w:rPr>
          <w:color w:val="383636"/>
          <w:spacing w:val="-4"/>
          <w:w w:val="105"/>
        </w:rPr>
        <w:t> </w:t>
      </w:r>
      <w:r>
        <w:rPr>
          <w:color w:val="383636"/>
          <w:w w:val="105"/>
        </w:rPr>
        <w:t>one</w:t>
      </w:r>
      <w:r>
        <w:rPr>
          <w:color w:val="383636"/>
          <w:spacing w:val="-29"/>
          <w:w w:val="105"/>
        </w:rPr>
        <w:t> </w:t>
      </w:r>
      <w:r>
        <w:rPr>
          <w:color w:val="383636"/>
          <w:w w:val="105"/>
        </w:rPr>
        <w:t>argument,</w:t>
      </w:r>
      <w:r>
        <w:rPr>
          <w:color w:val="383636"/>
          <w:spacing w:val="25"/>
          <w:w w:val="105"/>
        </w:rPr>
        <w:t> </w:t>
      </w:r>
      <w:r>
        <w:rPr>
          <w:color w:val="383636"/>
          <w:w w:val="105"/>
        </w:rPr>
        <w:t>however,</w:t>
      </w:r>
      <w:r>
        <w:rPr>
          <w:color w:val="383636"/>
          <w:spacing w:val="8"/>
          <w:w w:val="105"/>
        </w:rPr>
        <w:t> </w:t>
      </w:r>
      <w:r>
        <w:rPr>
          <w:color w:val="383636"/>
          <w:w w:val="105"/>
        </w:rPr>
        <w:t>you</w:t>
      </w:r>
      <w:r>
        <w:rPr>
          <w:color w:val="383636"/>
          <w:spacing w:val="23"/>
          <w:w w:val="105"/>
        </w:rPr>
        <w:t> </w:t>
      </w:r>
      <w:r>
        <w:rPr>
          <w:color w:val="383636"/>
          <w:w w:val="105"/>
        </w:rPr>
        <w:t>may</w:t>
      </w:r>
      <w:r>
        <w:rPr>
          <w:color w:val="383636"/>
          <w:spacing w:val="12"/>
          <w:w w:val="105"/>
        </w:rPr>
        <w:t> </w:t>
      </w:r>
      <w:r>
        <w:rPr>
          <w:color w:val="383636"/>
          <w:w w:val="105"/>
        </w:rPr>
        <w:t>wish</w:t>
      </w:r>
      <w:r>
        <w:rPr>
          <w:color w:val="383636"/>
          <w:spacing w:val="12"/>
          <w:w w:val="105"/>
        </w:rPr>
        <w:t> </w:t>
      </w:r>
      <w:r>
        <w:rPr>
          <w:color w:val="383636"/>
          <w:w w:val="105"/>
        </w:rPr>
        <w:t>to</w:t>
      </w:r>
      <w:r>
        <w:rPr>
          <w:color w:val="383636"/>
          <w:spacing w:val="23"/>
          <w:w w:val="105"/>
        </w:rPr>
        <w:t> </w:t>
      </w:r>
      <w:r>
        <w:rPr>
          <w:color w:val="383636"/>
          <w:w w:val="105"/>
        </w:rPr>
        <w:t>think of</w:t>
      </w:r>
      <w:r>
        <w:rPr>
          <w:color w:val="383636"/>
          <w:spacing w:val="6"/>
          <w:w w:val="105"/>
        </w:rPr>
        <w:t> </w:t>
      </w:r>
      <w:r>
        <w:rPr>
          <w:color w:val="383636"/>
          <w:w w:val="105"/>
        </w:rPr>
        <w:t>categories</w:t>
      </w:r>
      <w:r>
        <w:rPr>
          <w:color w:val="383636"/>
          <w:spacing w:val="10"/>
          <w:w w:val="105"/>
        </w:rPr>
        <w:t> </w:t>
      </w:r>
      <w:r>
        <w:rPr>
          <w:color w:val="383636"/>
          <w:w w:val="105"/>
        </w:rPr>
        <w:t>from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a different perspective.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Wilson Huhn has identified five different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types of</w:t>
      </w:r>
      <w:r>
        <w:rPr>
          <w:color w:val="383636"/>
          <w:spacing w:val="-58"/>
          <w:w w:val="105"/>
        </w:rPr>
        <w:t> </w:t>
      </w:r>
      <w:r>
        <w:rPr>
          <w:color w:val="383636"/>
          <w:w w:val="105"/>
        </w:rPr>
        <w:t>arguments:</w:t>
      </w:r>
      <w:r>
        <w:rPr>
          <w:color w:val="383636"/>
          <w:spacing w:val="3"/>
          <w:w w:val="105"/>
        </w:rPr>
        <w:t> </w:t>
      </w:r>
      <w:r>
        <w:rPr>
          <w:color w:val="383636"/>
          <w:w w:val="105"/>
        </w:rPr>
        <w:t>text,</w:t>
      </w:r>
      <w:r>
        <w:rPr>
          <w:color w:val="383636"/>
          <w:spacing w:val="-3"/>
          <w:w w:val="105"/>
        </w:rPr>
        <w:t> </w:t>
      </w:r>
      <w:r>
        <w:rPr>
          <w:color w:val="383636"/>
          <w:w w:val="105"/>
        </w:rPr>
        <w:t>precedent,</w:t>
      </w:r>
      <w:r>
        <w:rPr>
          <w:color w:val="383636"/>
          <w:spacing w:val="11"/>
          <w:w w:val="105"/>
        </w:rPr>
        <w:t> </w:t>
      </w:r>
      <w:r>
        <w:rPr>
          <w:color w:val="383636"/>
          <w:w w:val="105"/>
        </w:rPr>
        <w:t>intent,</w:t>
      </w:r>
      <w:r>
        <w:rPr>
          <w:color w:val="383636"/>
          <w:spacing w:val="-6"/>
          <w:w w:val="105"/>
        </w:rPr>
        <w:t> </w:t>
      </w:r>
      <w:r>
        <w:rPr>
          <w:color w:val="383636"/>
          <w:w w:val="105"/>
        </w:rPr>
        <w:t>policy,</w:t>
      </w:r>
      <w:r>
        <w:rPr>
          <w:color w:val="383636"/>
          <w:spacing w:val="-12"/>
          <w:w w:val="105"/>
        </w:rPr>
        <w:t> </w:t>
      </w:r>
      <w:r>
        <w:rPr>
          <w:color w:val="383636"/>
          <w:w w:val="105"/>
        </w:rPr>
        <w:t>and</w:t>
      </w:r>
      <w:r>
        <w:rPr>
          <w:color w:val="383636"/>
          <w:spacing w:val="32"/>
          <w:w w:val="105"/>
        </w:rPr>
        <w:t> </w:t>
      </w:r>
      <w:r>
        <w:rPr>
          <w:color w:val="383636"/>
          <w:w w:val="105"/>
        </w:rPr>
        <w:t>tradition.</w:t>
      </w:r>
      <w:r>
        <w:rPr>
          <w:color w:val="383636"/>
          <w:w w:val="105"/>
          <w:vertAlign w:val="superscript"/>
        </w:rPr>
        <w:t>1</w:t>
      </w:r>
    </w:p>
    <w:p>
      <w:pPr>
        <w:pStyle w:val="BodyText"/>
        <w:spacing w:line="232" w:lineRule="auto" w:before="3"/>
        <w:ind w:left="887" w:right="-44" w:firstLine="411"/>
        <w:jc w:val="both"/>
      </w:pPr>
      <w:r>
        <w:rPr>
          <w:color w:val="383636"/>
          <w:w w:val="105"/>
          <w:sz w:val="22"/>
        </w:rPr>
        <w:t>If </w:t>
      </w:r>
      <w:r>
        <w:rPr>
          <w:color w:val="383636"/>
          <w:w w:val="105"/>
        </w:rPr>
        <w:t>the rules that govern your case are well established, and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you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must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argue </w:t>
      </w:r>
      <w:r>
        <w:rPr>
          <w:rFonts w:ascii="Arial" w:hAnsi="Arial"/>
          <w:i/>
          <w:color w:val="383636"/>
          <w:w w:val="105"/>
          <w:sz w:val="22"/>
        </w:rPr>
        <w:t>how </w:t>
      </w:r>
      <w:r>
        <w:rPr>
          <w:color w:val="383636"/>
          <w:w w:val="105"/>
        </w:rPr>
        <w:t>those rulesapply, you can structureyour argument around those</w:t>
      </w:r>
      <w:r>
        <w:rPr>
          <w:color w:val="383636"/>
          <w:spacing w:val="1"/>
          <w:w w:val="105"/>
        </w:rPr>
        <w:t> </w:t>
      </w:r>
      <w:r>
        <w:rPr>
          <w:color w:val="383636"/>
        </w:rPr>
        <w:t>established</w:t>
      </w:r>
      <w:r>
        <w:rPr>
          <w:color w:val="383636"/>
          <w:spacing w:val="57"/>
        </w:rPr>
        <w:t> </w:t>
      </w:r>
      <w:r>
        <w:rPr>
          <w:color w:val="383636"/>
        </w:rPr>
        <w:t>rules.</w:t>
      </w:r>
      <w:r>
        <w:rPr>
          <w:rFonts w:ascii="Arial" w:hAnsi="Arial"/>
          <w:color w:val="383636"/>
          <w:vertAlign w:val="superscript"/>
        </w:rPr>
        <w:t>2</w:t>
      </w:r>
      <w:r>
        <w:rPr>
          <w:rFonts w:ascii="Arial" w:hAnsi="Arial"/>
          <w:color w:val="383636"/>
          <w:vertAlign w:val="baseline"/>
        </w:rPr>
        <w:t> </w:t>
      </w:r>
      <w:r>
        <w:rPr>
          <w:color w:val="383636"/>
          <w:vertAlign w:val="baseline"/>
        </w:rPr>
        <w:t>If</w:t>
      </w:r>
      <w:r>
        <w:rPr>
          <w:color w:val="383636"/>
          <w:spacing w:val="58"/>
          <w:vertAlign w:val="baseline"/>
        </w:rPr>
        <w:t> </w:t>
      </w:r>
      <w:r>
        <w:rPr>
          <w:color w:val="383636"/>
          <w:vertAlign w:val="baseline"/>
        </w:rPr>
        <w:t>your case is not</w:t>
      </w:r>
      <w:r>
        <w:rPr>
          <w:color w:val="383636"/>
          <w:spacing w:val="57"/>
          <w:vertAlign w:val="baseline"/>
        </w:rPr>
        <w:t> </w:t>
      </w:r>
      <w:r>
        <w:rPr>
          <w:color w:val="383636"/>
          <w:vertAlign w:val="baseline"/>
        </w:rPr>
        <w:t>governed</w:t>
      </w:r>
      <w:r>
        <w:rPr>
          <w:color w:val="383636"/>
          <w:spacing w:val="58"/>
          <w:vertAlign w:val="baseline"/>
        </w:rPr>
        <w:t> </w:t>
      </w:r>
      <w:r>
        <w:rPr>
          <w:color w:val="383636"/>
          <w:vertAlign w:val="baseline"/>
        </w:rPr>
        <w:t>by well-established rules, or</w:t>
      </w:r>
      <w:r>
        <w:rPr>
          <w:color w:val="383636"/>
          <w:spacing w:val="1"/>
          <w:vertAlign w:val="baseline"/>
        </w:rPr>
        <w:t> </w:t>
      </w:r>
      <w:r>
        <w:rPr>
          <w:color w:val="383636"/>
          <w:w w:val="105"/>
          <w:sz w:val="22"/>
          <w:vertAlign w:val="baseline"/>
        </w:rPr>
        <w:t>if </w:t>
      </w:r>
      <w:r>
        <w:rPr>
          <w:color w:val="383636"/>
          <w:w w:val="105"/>
          <w:vertAlign w:val="baseline"/>
        </w:rPr>
        <w:t>you are struggling to discover or articulate</w:t>
      </w:r>
      <w:r>
        <w:rPr>
          <w:rFonts w:ascii="Arial" w:hAnsi="Arial"/>
          <w:color w:val="383636"/>
          <w:w w:val="105"/>
          <w:vertAlign w:val="superscript"/>
        </w:rPr>
        <w:t>3</w:t>
      </w:r>
      <w:r>
        <w:rPr>
          <w:rFonts w:ascii="Arial" w:hAnsi="Arial"/>
          <w:color w:val="383636"/>
          <w:w w:val="105"/>
          <w:vertAlign w:val="baseline"/>
        </w:rPr>
        <w:t> </w:t>
      </w:r>
      <w:r>
        <w:rPr>
          <w:color w:val="383636"/>
          <w:w w:val="105"/>
          <w:vertAlign w:val="baseline"/>
        </w:rPr>
        <w:t>the relevant rules, you can</w:t>
      </w:r>
      <w:r>
        <w:rPr>
          <w:color w:val="383636"/>
          <w:spacing w:val="1"/>
          <w:w w:val="105"/>
          <w:vertAlign w:val="baseline"/>
        </w:rPr>
        <w:t> </w:t>
      </w:r>
      <w:r>
        <w:rPr>
          <w:color w:val="383636"/>
          <w:w w:val="105"/>
          <w:vertAlign w:val="baseline"/>
        </w:rPr>
        <w:t>use both research and</w:t>
      </w:r>
      <w:r>
        <w:rPr>
          <w:color w:val="383636"/>
          <w:spacing w:val="1"/>
          <w:w w:val="105"/>
          <w:vertAlign w:val="baseline"/>
        </w:rPr>
        <w:t> </w:t>
      </w:r>
      <w:r>
        <w:rPr>
          <w:color w:val="383636"/>
          <w:w w:val="105"/>
          <w:vertAlign w:val="baseline"/>
        </w:rPr>
        <w:t>brainstorming techniques to help you discover your</w:t>
      </w:r>
      <w:r>
        <w:rPr>
          <w:color w:val="383636"/>
          <w:spacing w:val="1"/>
          <w:w w:val="105"/>
          <w:vertAlign w:val="baseline"/>
        </w:rPr>
        <w:t> </w:t>
      </w:r>
      <w:r>
        <w:rPr>
          <w:color w:val="383636"/>
          <w:w w:val="105"/>
          <w:vertAlign w:val="baseline"/>
        </w:rPr>
        <w:t>structure. Furthermore, remember that some of your rules may be policy­</w:t>
      </w:r>
      <w:r>
        <w:rPr>
          <w:color w:val="383636"/>
          <w:spacing w:val="1"/>
          <w:w w:val="105"/>
          <w:vertAlign w:val="baseline"/>
        </w:rPr>
        <w:t> </w:t>
      </w:r>
      <w:r>
        <w:rPr>
          <w:color w:val="383636"/>
          <w:w w:val="105"/>
          <w:vertAlign w:val="baseline"/>
        </w:rPr>
        <w:t>based rules, and  that those policy-based rules can help you to structure</w:t>
      </w:r>
      <w:r>
        <w:rPr>
          <w:color w:val="383636"/>
          <w:spacing w:val="1"/>
          <w:w w:val="105"/>
          <w:vertAlign w:val="baseline"/>
        </w:rPr>
        <w:t> </w:t>
      </w:r>
      <w:r>
        <w:rPr>
          <w:color w:val="383636"/>
          <w:w w:val="105"/>
          <w:vertAlign w:val="baseline"/>
        </w:rPr>
        <w:t>your argument. Once you have identified  the issues, rules, and  policies</w:t>
      </w:r>
      <w:r>
        <w:rPr>
          <w:color w:val="383636"/>
          <w:spacing w:val="1"/>
          <w:w w:val="105"/>
          <w:vertAlign w:val="baseline"/>
        </w:rPr>
        <w:t> </w:t>
      </w:r>
      <w:r>
        <w:rPr>
          <w:color w:val="383636"/>
          <w:w w:val="105"/>
          <w:vertAlign w:val="baseline"/>
        </w:rPr>
        <w:t>that</w:t>
      </w:r>
      <w:r>
        <w:rPr>
          <w:color w:val="383636"/>
          <w:spacing w:val="-15"/>
          <w:w w:val="105"/>
          <w:vertAlign w:val="baseline"/>
        </w:rPr>
        <w:t> </w:t>
      </w:r>
      <w:r>
        <w:rPr>
          <w:color w:val="383636"/>
          <w:w w:val="105"/>
          <w:vertAlign w:val="baseline"/>
        </w:rPr>
        <w:t>are</w:t>
      </w:r>
      <w:r>
        <w:rPr>
          <w:color w:val="383636"/>
          <w:spacing w:val="-6"/>
          <w:w w:val="105"/>
          <w:vertAlign w:val="baseline"/>
        </w:rPr>
        <w:t> </w:t>
      </w:r>
      <w:r>
        <w:rPr>
          <w:color w:val="383636"/>
          <w:w w:val="105"/>
          <w:vertAlign w:val="baseline"/>
        </w:rPr>
        <w:t>relevant</w:t>
      </w:r>
      <w:r>
        <w:rPr>
          <w:color w:val="383636"/>
          <w:spacing w:val="17"/>
          <w:w w:val="105"/>
          <w:vertAlign w:val="baseline"/>
        </w:rPr>
        <w:t> </w:t>
      </w:r>
      <w:r>
        <w:rPr>
          <w:color w:val="383636"/>
          <w:w w:val="105"/>
          <w:vertAlign w:val="baseline"/>
        </w:rPr>
        <w:t>to</w:t>
      </w:r>
      <w:r>
        <w:rPr>
          <w:color w:val="383636"/>
          <w:spacing w:val="25"/>
          <w:w w:val="105"/>
          <w:vertAlign w:val="baseline"/>
        </w:rPr>
        <w:t> </w:t>
      </w:r>
      <w:r>
        <w:rPr>
          <w:color w:val="383636"/>
          <w:w w:val="105"/>
          <w:vertAlign w:val="baseline"/>
        </w:rPr>
        <w:t>your</w:t>
      </w:r>
      <w:r>
        <w:rPr>
          <w:color w:val="383636"/>
          <w:spacing w:val="-2"/>
          <w:w w:val="105"/>
          <w:vertAlign w:val="baseline"/>
        </w:rPr>
        <w:t> </w:t>
      </w:r>
      <w:r>
        <w:rPr>
          <w:color w:val="383636"/>
          <w:w w:val="105"/>
          <w:vertAlign w:val="baseline"/>
        </w:rPr>
        <w:t>argument,</w:t>
      </w:r>
      <w:r>
        <w:rPr>
          <w:color w:val="383636"/>
          <w:spacing w:val="16"/>
          <w:w w:val="105"/>
          <w:vertAlign w:val="baseline"/>
        </w:rPr>
        <w:t> </w:t>
      </w:r>
      <w:r>
        <w:rPr>
          <w:color w:val="383636"/>
          <w:w w:val="105"/>
          <w:vertAlign w:val="baseline"/>
        </w:rPr>
        <w:t>you</w:t>
      </w:r>
      <w:r>
        <w:rPr>
          <w:color w:val="383636"/>
          <w:spacing w:val="5"/>
          <w:w w:val="105"/>
          <w:vertAlign w:val="baseline"/>
        </w:rPr>
        <w:t> </w:t>
      </w:r>
      <w:r>
        <w:rPr>
          <w:color w:val="383636"/>
          <w:w w:val="105"/>
          <w:vertAlign w:val="baseline"/>
        </w:rPr>
        <w:t>can</w:t>
      </w:r>
      <w:r>
        <w:rPr>
          <w:color w:val="383636"/>
          <w:spacing w:val="23"/>
          <w:w w:val="105"/>
          <w:vertAlign w:val="baseline"/>
        </w:rPr>
        <w:t> </w:t>
      </w:r>
      <w:r>
        <w:rPr>
          <w:color w:val="383636"/>
          <w:w w:val="105"/>
          <w:vertAlign w:val="baseline"/>
        </w:rPr>
        <w:t>create</w:t>
      </w:r>
      <w:r>
        <w:rPr>
          <w:color w:val="383636"/>
          <w:spacing w:val="2"/>
          <w:w w:val="105"/>
          <w:vertAlign w:val="baseline"/>
        </w:rPr>
        <w:t> </w:t>
      </w:r>
      <w:r>
        <w:rPr>
          <w:color w:val="383636"/>
          <w:w w:val="105"/>
          <w:vertAlign w:val="baseline"/>
        </w:rPr>
        <w:t>a</w:t>
      </w:r>
      <w:r>
        <w:rPr>
          <w:color w:val="383636"/>
          <w:spacing w:val="11"/>
          <w:w w:val="105"/>
          <w:vertAlign w:val="baseline"/>
        </w:rPr>
        <w:t> </w:t>
      </w:r>
      <w:r>
        <w:rPr>
          <w:color w:val="383636"/>
          <w:w w:val="105"/>
          <w:vertAlign w:val="baseline"/>
        </w:rPr>
        <w:t>working</w:t>
      </w:r>
      <w:r>
        <w:rPr>
          <w:color w:val="383636"/>
          <w:spacing w:val="-5"/>
          <w:w w:val="105"/>
          <w:vertAlign w:val="baseline"/>
        </w:rPr>
        <w:t> </w:t>
      </w:r>
      <w:r>
        <w:rPr>
          <w:color w:val="383636"/>
          <w:w w:val="105"/>
          <w:vertAlign w:val="baseline"/>
        </w:rPr>
        <w:t>outline</w:t>
      </w:r>
      <w:r>
        <w:rPr>
          <w:color w:val="525254"/>
          <w:w w:val="105"/>
          <w:vertAlign w:val="baseline"/>
        </w:rPr>
        <w:t>.</w:t>
      </w:r>
    </w:p>
    <w:p>
      <w:pPr>
        <w:pStyle w:val="BodyText"/>
        <w:spacing w:before="1"/>
      </w:pPr>
    </w:p>
    <w:p>
      <w:pPr>
        <w:spacing w:before="88"/>
        <w:ind w:left="1183" w:right="0" w:firstLine="0"/>
        <w:jc w:val="left"/>
        <w:rPr>
          <w:sz w:val="31"/>
        </w:rPr>
      </w:pPr>
      <w:r>
        <w:rPr>
          <w:color w:val="383636"/>
          <w:sz w:val="31"/>
        </w:rPr>
        <w:t>4.1</w:t>
      </w:r>
      <w:r>
        <w:rPr>
          <w:color w:val="525254"/>
          <w:sz w:val="31"/>
        </w:rPr>
        <w:t>.</w:t>
      </w:r>
      <w:r>
        <w:rPr>
          <w:color w:val="383636"/>
          <w:sz w:val="31"/>
        </w:rPr>
        <w:t>1</w:t>
      </w:r>
    </w:p>
    <w:p>
      <w:pPr>
        <w:spacing w:line="292" w:lineRule="auto" w:before="27"/>
        <w:ind w:left="1169" w:right="0" w:firstLine="17"/>
        <w:jc w:val="left"/>
        <w:rPr>
          <w:rFonts w:ascii="Arial"/>
          <w:sz w:val="21"/>
        </w:rPr>
      </w:pPr>
      <w:r>
        <w:rPr>
          <w:color w:val="383636"/>
          <w:sz w:val="24"/>
        </w:rPr>
        <w:t>USING</w:t>
      </w:r>
      <w:r>
        <w:rPr>
          <w:color w:val="383636"/>
          <w:spacing w:val="1"/>
          <w:sz w:val="24"/>
        </w:rPr>
        <w:t> </w:t>
      </w:r>
      <w:r>
        <w:rPr>
          <w:rFonts w:ascii="Arial"/>
          <w:color w:val="383636"/>
          <w:sz w:val="21"/>
        </w:rPr>
        <w:t>EXISTING</w:t>
      </w:r>
      <w:r>
        <w:rPr>
          <w:rFonts w:ascii="Arial"/>
          <w:color w:val="383636"/>
          <w:spacing w:val="1"/>
          <w:sz w:val="21"/>
        </w:rPr>
        <w:t> </w:t>
      </w:r>
      <w:r>
        <w:rPr>
          <w:rFonts w:ascii="Arial"/>
          <w:color w:val="383636"/>
          <w:sz w:val="21"/>
        </w:rPr>
        <w:t>RULES AND</w:t>
      </w:r>
      <w:r>
        <w:rPr>
          <w:rFonts w:ascii="Arial"/>
          <w:color w:val="383636"/>
          <w:spacing w:val="1"/>
          <w:sz w:val="21"/>
        </w:rPr>
        <w:t> </w:t>
      </w:r>
      <w:r>
        <w:rPr>
          <w:rFonts w:ascii="Arial"/>
          <w:color w:val="383636"/>
          <w:sz w:val="21"/>
        </w:rPr>
        <w:t>THE</w:t>
      </w:r>
      <w:r>
        <w:rPr>
          <w:rFonts w:ascii="Arial"/>
          <w:color w:val="383636"/>
          <w:spacing w:val="1"/>
          <w:sz w:val="21"/>
        </w:rPr>
        <w:t> </w:t>
      </w:r>
      <w:r>
        <w:rPr>
          <w:rFonts w:ascii="Arial"/>
          <w:color w:val="383636"/>
          <w:sz w:val="21"/>
        </w:rPr>
        <w:t>"PHRASE-THAT-PAYS" TO</w:t>
      </w:r>
      <w:r>
        <w:rPr>
          <w:rFonts w:ascii="Arial"/>
          <w:color w:val="383636"/>
          <w:spacing w:val="-56"/>
          <w:sz w:val="21"/>
        </w:rPr>
        <w:t> </w:t>
      </w:r>
      <w:r>
        <w:rPr>
          <w:rFonts w:ascii="Arial"/>
          <w:color w:val="383636"/>
          <w:sz w:val="21"/>
        </w:rPr>
        <w:t>STRUCTURE</w:t>
      </w:r>
      <w:r>
        <w:rPr>
          <w:rFonts w:ascii="Arial"/>
          <w:color w:val="383636"/>
          <w:spacing w:val="13"/>
          <w:sz w:val="21"/>
        </w:rPr>
        <w:t> </w:t>
      </w:r>
      <w:r>
        <w:rPr>
          <w:rFonts w:ascii="Arial"/>
          <w:color w:val="383636"/>
          <w:sz w:val="21"/>
        </w:rPr>
        <w:t>YOUR</w:t>
      </w:r>
      <w:r>
        <w:rPr>
          <w:rFonts w:ascii="Arial"/>
          <w:color w:val="383636"/>
          <w:spacing w:val="21"/>
          <w:sz w:val="21"/>
        </w:rPr>
        <w:t> </w:t>
      </w:r>
      <w:r>
        <w:rPr>
          <w:rFonts w:ascii="Arial"/>
          <w:color w:val="383636"/>
          <w:sz w:val="21"/>
        </w:rPr>
        <w:t>ARGUMENT</w:t>
      </w:r>
    </w:p>
    <w:p>
      <w:pPr>
        <w:pStyle w:val="BodyText"/>
        <w:spacing w:line="230" w:lineRule="auto" w:before="119"/>
        <w:ind w:left="727" w:right="12" w:firstLine="426"/>
        <w:jc w:val="both"/>
      </w:pPr>
      <w:r>
        <w:rPr>
          <w:color w:val="383636"/>
          <w:w w:val="105"/>
        </w:rPr>
        <w:t>If your argument is based in whole or in part on well-established statu­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tory or common law rules, you can structure your argument by lookJng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for each rule's "key terms,"</w:t>
      </w:r>
      <w:r>
        <w:rPr>
          <w:rFonts w:ascii="Arial" w:hAnsi="Arial"/>
          <w:color w:val="383636"/>
          <w:w w:val="105"/>
          <w:position w:val="11"/>
          <w:sz w:val="12"/>
        </w:rPr>
        <w:t>4</w:t>
      </w:r>
      <w:r>
        <w:rPr>
          <w:rFonts w:ascii="Arial" w:hAnsi="Arial"/>
          <w:color w:val="383636"/>
          <w:spacing w:val="1"/>
          <w:w w:val="105"/>
          <w:position w:val="11"/>
          <w:sz w:val="12"/>
        </w:rPr>
        <w:t> </w:t>
      </w:r>
      <w:r>
        <w:rPr>
          <w:color w:val="383636"/>
          <w:w w:val="105"/>
        </w:rPr>
        <w:t>or, as I call them, the "phrases-that-pay." I use</w:t>
      </w:r>
      <w:r>
        <w:rPr>
          <w:color w:val="383636"/>
          <w:spacing w:val="1"/>
          <w:w w:val="105"/>
        </w:rPr>
        <w:t> </w:t>
      </w:r>
      <w:r>
        <w:rPr>
          <w:color w:val="383636"/>
          <w:spacing w:val="-1"/>
          <w:w w:val="110"/>
        </w:rPr>
        <w:t>this</w:t>
      </w:r>
      <w:r>
        <w:rPr>
          <w:color w:val="383636"/>
          <w:spacing w:val="-29"/>
          <w:w w:val="110"/>
        </w:rPr>
        <w:t> </w:t>
      </w:r>
      <w:r>
        <w:rPr>
          <w:color w:val="383636"/>
          <w:spacing w:val="-1"/>
          <w:w w:val="110"/>
        </w:rPr>
        <w:t>term</w:t>
      </w:r>
      <w:r>
        <w:rPr>
          <w:color w:val="383636"/>
          <w:spacing w:val="-2"/>
          <w:w w:val="110"/>
        </w:rPr>
        <w:t> </w:t>
      </w:r>
      <w:r>
        <w:rPr>
          <w:color w:val="383636"/>
          <w:spacing w:val="-1"/>
          <w:w w:val="110"/>
        </w:rPr>
        <w:t>to</w:t>
      </w:r>
      <w:r>
        <w:rPr>
          <w:color w:val="383636"/>
          <w:spacing w:val="-14"/>
          <w:w w:val="110"/>
        </w:rPr>
        <w:t> </w:t>
      </w:r>
      <w:r>
        <w:rPr>
          <w:color w:val="383636"/>
          <w:spacing w:val="-1"/>
          <w:w w:val="110"/>
        </w:rPr>
        <w:t>label</w:t>
      </w:r>
      <w:r>
        <w:rPr>
          <w:color w:val="383636"/>
          <w:spacing w:val="-3"/>
          <w:w w:val="110"/>
        </w:rPr>
        <w:t> </w:t>
      </w:r>
      <w:r>
        <w:rPr>
          <w:color w:val="383636"/>
          <w:spacing w:val="-1"/>
          <w:w w:val="110"/>
        </w:rPr>
        <w:t>the</w:t>
      </w:r>
      <w:r>
        <w:rPr>
          <w:color w:val="383636"/>
          <w:spacing w:val="14"/>
          <w:w w:val="110"/>
        </w:rPr>
        <w:t> </w:t>
      </w:r>
      <w:r>
        <w:rPr>
          <w:color w:val="383636"/>
          <w:spacing w:val="-1"/>
          <w:w w:val="110"/>
        </w:rPr>
        <w:t>word</w:t>
      </w:r>
      <w:r>
        <w:rPr>
          <w:color w:val="383636"/>
          <w:spacing w:val="-14"/>
          <w:w w:val="110"/>
        </w:rPr>
        <w:t> </w:t>
      </w:r>
      <w:r>
        <w:rPr>
          <w:color w:val="383636"/>
          <w:spacing w:val="-1"/>
          <w:w w:val="110"/>
        </w:rPr>
        <w:t>or</w:t>
      </w:r>
      <w:r>
        <w:rPr>
          <w:color w:val="383636"/>
          <w:spacing w:val="8"/>
          <w:w w:val="110"/>
        </w:rPr>
        <w:t> </w:t>
      </w:r>
      <w:r>
        <w:rPr>
          <w:color w:val="383636"/>
          <w:w w:val="110"/>
        </w:rPr>
        <w:t>phrase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that</w:t>
      </w:r>
      <w:r>
        <w:rPr>
          <w:color w:val="383636"/>
          <w:spacing w:val="-23"/>
          <w:w w:val="110"/>
        </w:rPr>
        <w:t> </w:t>
      </w:r>
      <w:r>
        <w:rPr>
          <w:color w:val="383636"/>
          <w:w w:val="110"/>
        </w:rPr>
        <w:t>is</w:t>
      </w:r>
      <w:r>
        <w:rPr>
          <w:color w:val="383636"/>
          <w:spacing w:val="-37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-17"/>
          <w:w w:val="110"/>
        </w:rPr>
        <w:t> </w:t>
      </w:r>
      <w:r>
        <w:rPr>
          <w:color w:val="383636"/>
          <w:w w:val="110"/>
        </w:rPr>
        <w:t>focus</w:t>
      </w:r>
      <w:r>
        <w:rPr>
          <w:color w:val="383636"/>
          <w:spacing w:val="-34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-6"/>
          <w:w w:val="110"/>
        </w:rPr>
        <w:t> </w:t>
      </w:r>
      <w:r>
        <w:rPr>
          <w:color w:val="383636"/>
          <w:w w:val="110"/>
        </w:rPr>
        <w:t>controversy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about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whether or how a rule applies. You can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use phrases-that-pay as an  effec­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tive organizing principle: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By focusing on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one  "phrase-that-pays" within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each subsection of the document, you ensure that you are focusing on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one</w:t>
      </w:r>
      <w:r>
        <w:rPr>
          <w:color w:val="383636"/>
          <w:spacing w:val="3"/>
          <w:w w:val="110"/>
        </w:rPr>
        <w:t> </w:t>
      </w:r>
      <w:r>
        <w:rPr>
          <w:color w:val="383636"/>
          <w:w w:val="110"/>
        </w:rPr>
        <w:t>issue</w:t>
      </w:r>
      <w:r>
        <w:rPr>
          <w:color w:val="383636"/>
          <w:spacing w:val="-6"/>
          <w:w w:val="110"/>
        </w:rPr>
        <w:t> </w:t>
      </w:r>
      <w:r>
        <w:rPr>
          <w:color w:val="383636"/>
          <w:w w:val="110"/>
        </w:rPr>
        <w:t>or</w:t>
      </w:r>
      <w:r>
        <w:rPr>
          <w:color w:val="383636"/>
          <w:spacing w:val="19"/>
          <w:w w:val="110"/>
        </w:rPr>
        <w:t> </w:t>
      </w:r>
      <w:r>
        <w:rPr>
          <w:color w:val="383636"/>
          <w:w w:val="110"/>
        </w:rPr>
        <w:t>sub-issue</w:t>
      </w:r>
      <w:r>
        <w:rPr>
          <w:color w:val="383636"/>
          <w:spacing w:val="5"/>
          <w:w w:val="110"/>
        </w:rPr>
        <w:t> </w:t>
      </w:r>
      <w:r>
        <w:rPr>
          <w:color w:val="383636"/>
          <w:w w:val="110"/>
        </w:rPr>
        <w:t>at</w:t>
      </w:r>
      <w:r>
        <w:rPr>
          <w:color w:val="383636"/>
          <w:spacing w:val="31"/>
          <w:w w:val="110"/>
        </w:rPr>
        <w:t> </w:t>
      </w:r>
      <w:r>
        <w:rPr>
          <w:color w:val="383636"/>
          <w:w w:val="110"/>
        </w:rPr>
        <w:t>a</w:t>
      </w:r>
      <w:r>
        <w:rPr>
          <w:color w:val="383636"/>
          <w:spacing w:val="17"/>
          <w:w w:val="110"/>
        </w:rPr>
        <w:t> </w:t>
      </w:r>
      <w:r>
        <w:rPr>
          <w:color w:val="383636"/>
          <w:w w:val="110"/>
        </w:rPr>
        <w:t>time,</w:t>
      </w:r>
      <w:r>
        <w:rPr>
          <w:color w:val="383636"/>
          <w:spacing w:val="3"/>
          <w:w w:val="110"/>
        </w:rPr>
        <w:t> </w:t>
      </w:r>
      <w:r>
        <w:rPr>
          <w:color w:val="383636"/>
          <w:w w:val="110"/>
        </w:rPr>
        <w:t>and</w:t>
      </w:r>
      <w:r>
        <w:rPr>
          <w:color w:val="383636"/>
          <w:spacing w:val="27"/>
          <w:w w:val="110"/>
        </w:rPr>
        <w:t> </w:t>
      </w:r>
      <w:r>
        <w:rPr>
          <w:color w:val="383636"/>
          <w:w w:val="110"/>
        </w:rPr>
        <w:t>you</w:t>
      </w:r>
      <w:r>
        <w:rPr>
          <w:color w:val="383636"/>
          <w:spacing w:val="10"/>
          <w:w w:val="110"/>
        </w:rPr>
        <w:t> </w:t>
      </w:r>
      <w:r>
        <w:rPr>
          <w:color w:val="383636"/>
          <w:w w:val="110"/>
        </w:rPr>
        <w:t>make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  <w:sz w:val="21"/>
        </w:rPr>
        <w:t>It</w:t>
      </w:r>
      <w:r>
        <w:rPr>
          <w:color w:val="383636"/>
          <w:spacing w:val="14"/>
          <w:w w:val="110"/>
          <w:sz w:val="21"/>
        </w:rPr>
        <w:t> </w:t>
      </w:r>
      <w:r>
        <w:rPr>
          <w:color w:val="383636"/>
          <w:w w:val="110"/>
        </w:rPr>
        <w:t>easier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for</w:t>
      </w:r>
      <w:r>
        <w:rPr>
          <w:color w:val="383636"/>
          <w:spacing w:val="36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39"/>
          <w:w w:val="110"/>
        </w:rPr>
        <w:t> </w:t>
      </w:r>
      <w:r>
        <w:rPr>
          <w:color w:val="383636"/>
          <w:w w:val="110"/>
        </w:rPr>
        <w:t>court</w:t>
      </w:r>
      <w:r>
        <w:rPr>
          <w:color w:val="383636"/>
          <w:spacing w:val="2"/>
          <w:w w:val="110"/>
        </w:rPr>
        <w:t> </w:t>
      </w:r>
      <w:r>
        <w:rPr>
          <w:color w:val="383636"/>
          <w:w w:val="110"/>
        </w:rPr>
        <w:t>to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spacing w:line="228" w:lineRule="auto" w:before="0"/>
        <w:ind w:left="661" w:right="0" w:firstLine="389"/>
        <w:jc w:val="left"/>
        <w:rPr>
          <w:sz w:val="18"/>
        </w:rPr>
      </w:pPr>
      <w:r>
        <w:rPr>
          <w:color w:val="383636"/>
          <w:spacing w:val="-1"/>
          <w:w w:val="105"/>
          <w:position w:val="5"/>
          <w:sz w:val="11"/>
        </w:rPr>
        <w:t>1 </w:t>
      </w:r>
      <w:r>
        <w:rPr>
          <w:color w:val="383636"/>
          <w:spacing w:val="-1"/>
          <w:w w:val="105"/>
          <w:sz w:val="18"/>
        </w:rPr>
        <w:t>Wilson Huhn</w:t>
      </w:r>
      <w:r>
        <w:rPr>
          <w:color w:val="525254"/>
          <w:spacing w:val="-1"/>
          <w:w w:val="105"/>
          <w:sz w:val="18"/>
        </w:rPr>
        <w:t>, </w:t>
      </w:r>
      <w:r>
        <w:rPr>
          <w:rFonts w:ascii="Arial"/>
          <w:color w:val="383636"/>
          <w:spacing w:val="-1"/>
          <w:w w:val="105"/>
          <w:sz w:val="16"/>
        </w:rPr>
        <w:t>The </w:t>
      </w:r>
      <w:r>
        <w:rPr>
          <w:rFonts w:ascii="Arial"/>
          <w:i/>
          <w:color w:val="383636"/>
          <w:spacing w:val="-1"/>
          <w:w w:val="105"/>
          <w:sz w:val="16"/>
        </w:rPr>
        <w:t>Fiw</w:t>
      </w:r>
      <w:r>
        <w:rPr>
          <w:rFonts w:ascii="Arial"/>
          <w:i/>
          <w:color w:val="383636"/>
          <w:w w:val="105"/>
          <w:sz w:val="16"/>
        </w:rPr>
        <w:t> </w:t>
      </w:r>
      <w:r>
        <w:rPr>
          <w:i/>
          <w:color w:val="383636"/>
          <w:spacing w:val="-1"/>
          <w:w w:val="105"/>
          <w:sz w:val="15"/>
        </w:rPr>
        <w:t>1}'pes </w:t>
      </w:r>
      <w:r>
        <w:rPr>
          <w:i/>
          <w:color w:val="383636"/>
          <w:spacing w:val="-1"/>
          <w:w w:val="105"/>
          <w:sz w:val="16"/>
        </w:rPr>
        <w:t>of </w:t>
      </w:r>
      <w:r>
        <w:rPr>
          <w:rFonts w:ascii="Arial"/>
          <w:i/>
          <w:color w:val="383636"/>
          <w:spacing w:val="-1"/>
          <w:w w:val="105"/>
          <w:sz w:val="16"/>
        </w:rPr>
        <w:t>Legal Argument</w:t>
      </w:r>
      <w:r>
        <w:rPr>
          <w:rFonts w:ascii="Arial"/>
          <w:i/>
          <w:color w:val="383636"/>
          <w:w w:val="105"/>
          <w:sz w:val="16"/>
        </w:rPr>
        <w:t> </w:t>
      </w:r>
      <w:r>
        <w:rPr>
          <w:rFonts w:ascii="Arial"/>
          <w:color w:val="383636"/>
          <w:spacing w:val="-1"/>
          <w:w w:val="105"/>
          <w:sz w:val="16"/>
        </w:rPr>
        <w:t>13 </w:t>
      </w:r>
      <w:r>
        <w:rPr>
          <w:rFonts w:ascii="Arial"/>
          <w:color w:val="525254"/>
          <w:w w:val="105"/>
          <w:sz w:val="16"/>
        </w:rPr>
        <w:t>(</w:t>
      </w:r>
      <w:r>
        <w:rPr>
          <w:rFonts w:ascii="Arial"/>
          <w:color w:val="383636"/>
          <w:w w:val="105"/>
          <w:sz w:val="16"/>
        </w:rPr>
        <w:t>2d </w:t>
      </w:r>
      <w:r>
        <w:rPr>
          <w:color w:val="383636"/>
          <w:w w:val="105"/>
          <w:sz w:val="18"/>
        </w:rPr>
        <w:t>ed</w:t>
      </w:r>
      <w:r>
        <w:rPr>
          <w:color w:val="525254"/>
          <w:w w:val="105"/>
          <w:sz w:val="18"/>
        </w:rPr>
        <w:t>.</w:t>
      </w:r>
      <w:r>
        <w:rPr>
          <w:color w:val="383636"/>
          <w:w w:val="105"/>
          <w:sz w:val="18"/>
        </w:rPr>
        <w:t>, Carolina Academic Press </w:t>
      </w:r>
      <w:r>
        <w:rPr>
          <w:rFonts w:ascii="Arial"/>
          <w:color w:val="383636"/>
          <w:w w:val="105"/>
          <w:sz w:val="16"/>
        </w:rPr>
        <w:t>2008)</w:t>
      </w:r>
      <w:r>
        <w:rPr>
          <w:rFonts w:ascii="Arial"/>
          <w:color w:val="383636"/>
          <w:spacing w:val="-44"/>
          <w:w w:val="105"/>
          <w:sz w:val="16"/>
        </w:rPr>
        <w:t> </w:t>
      </w:r>
      <w:r>
        <w:rPr>
          <w:color w:val="383636"/>
          <w:w w:val="105"/>
          <w:sz w:val="18"/>
        </w:rPr>
        <w:t>Huhn</w:t>
      </w:r>
      <w:r>
        <w:rPr>
          <w:color w:val="626264"/>
          <w:w w:val="105"/>
          <w:sz w:val="18"/>
        </w:rPr>
        <w:t>'</w:t>
      </w:r>
      <w:r>
        <w:rPr>
          <w:color w:val="383636"/>
          <w:w w:val="105"/>
          <w:sz w:val="18"/>
        </w:rPr>
        <w:t>s</w:t>
      </w:r>
      <w:r>
        <w:rPr>
          <w:color w:val="383636"/>
          <w:spacing w:val="8"/>
          <w:w w:val="105"/>
          <w:sz w:val="18"/>
        </w:rPr>
        <w:t> </w:t>
      </w:r>
      <w:r>
        <w:rPr>
          <w:i/>
          <w:color w:val="383636"/>
          <w:w w:val="105"/>
          <w:sz w:val="18"/>
        </w:rPr>
        <w:t>text</w:t>
      </w:r>
      <w:r>
        <w:rPr>
          <w:i/>
          <w:color w:val="383636"/>
          <w:spacing w:val="20"/>
          <w:w w:val="105"/>
          <w:sz w:val="18"/>
        </w:rPr>
        <w:t> </w:t>
      </w:r>
      <w:r>
        <w:rPr>
          <w:color w:val="383636"/>
          <w:w w:val="105"/>
          <w:sz w:val="18"/>
        </w:rPr>
        <w:t>analyzes</w:t>
      </w:r>
      <w:r>
        <w:rPr>
          <w:color w:val="383636"/>
          <w:spacing w:val="21"/>
          <w:w w:val="105"/>
          <w:sz w:val="18"/>
        </w:rPr>
        <w:t> </w:t>
      </w:r>
      <w:r>
        <w:rPr>
          <w:color w:val="383636"/>
          <w:w w:val="105"/>
          <w:sz w:val="18"/>
        </w:rPr>
        <w:t>how</w:t>
      </w:r>
      <w:r>
        <w:rPr>
          <w:color w:val="383636"/>
          <w:spacing w:val="36"/>
          <w:w w:val="105"/>
          <w:sz w:val="18"/>
        </w:rPr>
        <w:t> </w:t>
      </w:r>
      <w:r>
        <w:rPr>
          <w:color w:val="383636"/>
          <w:w w:val="105"/>
          <w:sz w:val="18"/>
        </w:rPr>
        <w:t>to</w:t>
      </w:r>
      <w:r>
        <w:rPr>
          <w:color w:val="383636"/>
          <w:spacing w:val="42"/>
          <w:w w:val="105"/>
          <w:sz w:val="18"/>
        </w:rPr>
        <w:t> </w:t>
      </w:r>
      <w:r>
        <w:rPr>
          <w:color w:val="383636"/>
          <w:w w:val="105"/>
          <w:sz w:val="18"/>
        </w:rPr>
        <w:t>Identify</w:t>
      </w:r>
      <w:r>
        <w:rPr>
          <w:color w:val="383636"/>
          <w:spacing w:val="20"/>
          <w:w w:val="105"/>
          <w:sz w:val="18"/>
        </w:rPr>
        <w:t> </w:t>
      </w:r>
      <w:r>
        <w:rPr>
          <w:i/>
          <w:color w:val="383636"/>
          <w:w w:val="105"/>
          <w:sz w:val="18"/>
        </w:rPr>
        <w:t>these</w:t>
      </w:r>
      <w:r>
        <w:rPr>
          <w:i/>
          <w:color w:val="383636"/>
          <w:spacing w:val="2"/>
          <w:w w:val="105"/>
          <w:sz w:val="18"/>
        </w:rPr>
        <w:t> </w:t>
      </w:r>
      <w:r>
        <w:rPr>
          <w:color w:val="383636"/>
          <w:w w:val="105"/>
          <w:sz w:val="18"/>
        </w:rPr>
        <w:t>arguments,</w:t>
      </w:r>
      <w:r>
        <w:rPr>
          <w:color w:val="383636"/>
          <w:spacing w:val="28"/>
          <w:w w:val="105"/>
          <w:sz w:val="18"/>
        </w:rPr>
        <w:t> </w:t>
      </w:r>
      <w:r>
        <w:rPr>
          <w:color w:val="383636"/>
          <w:w w:val="105"/>
          <w:sz w:val="18"/>
        </w:rPr>
        <w:t>how</w:t>
      </w:r>
      <w:r>
        <w:rPr>
          <w:color w:val="383636"/>
          <w:spacing w:val="36"/>
          <w:w w:val="105"/>
          <w:sz w:val="18"/>
        </w:rPr>
        <w:t> </w:t>
      </w:r>
      <w:r>
        <w:rPr>
          <w:color w:val="383636"/>
          <w:w w:val="105"/>
          <w:sz w:val="18"/>
        </w:rPr>
        <w:t>to</w:t>
      </w:r>
      <w:r>
        <w:rPr>
          <w:color w:val="383636"/>
          <w:spacing w:val="18"/>
          <w:w w:val="105"/>
          <w:sz w:val="18"/>
        </w:rPr>
        <w:t> </w:t>
      </w:r>
      <w:r>
        <w:rPr>
          <w:color w:val="383636"/>
          <w:w w:val="105"/>
          <w:sz w:val="18"/>
        </w:rPr>
        <w:t>create</w:t>
      </w:r>
      <w:r>
        <w:rPr>
          <w:color w:val="383636"/>
          <w:spacing w:val="15"/>
          <w:w w:val="105"/>
          <w:sz w:val="18"/>
        </w:rPr>
        <w:t> </w:t>
      </w:r>
      <w:r>
        <w:rPr>
          <w:color w:val="383636"/>
          <w:w w:val="105"/>
          <w:sz w:val="18"/>
        </w:rPr>
        <w:t>argum</w:t>
      </w:r>
      <w:r>
        <w:rPr>
          <w:color w:val="525254"/>
          <w:w w:val="105"/>
          <w:sz w:val="18"/>
        </w:rPr>
        <w:t>e</w:t>
      </w:r>
      <w:r>
        <w:rPr>
          <w:color w:val="383636"/>
          <w:w w:val="105"/>
          <w:sz w:val="18"/>
        </w:rPr>
        <w:t>nts,</w:t>
      </w:r>
      <w:r>
        <w:rPr>
          <w:color w:val="383636"/>
          <w:spacing w:val="26"/>
          <w:w w:val="105"/>
          <w:sz w:val="18"/>
        </w:rPr>
        <w:t> </w:t>
      </w:r>
      <w:r>
        <w:rPr>
          <w:color w:val="383636"/>
          <w:w w:val="105"/>
          <w:sz w:val="18"/>
        </w:rPr>
        <w:t>and</w:t>
      </w:r>
      <w:r>
        <w:rPr>
          <w:color w:val="383636"/>
          <w:spacing w:val="32"/>
          <w:w w:val="105"/>
          <w:sz w:val="18"/>
        </w:rPr>
        <w:t> </w:t>
      </w:r>
      <w:r>
        <w:rPr>
          <w:color w:val="383636"/>
          <w:w w:val="105"/>
          <w:sz w:val="18"/>
        </w:rPr>
        <w:t>how</w:t>
      </w:r>
      <w:r>
        <w:rPr>
          <w:color w:val="383636"/>
          <w:spacing w:val="33"/>
          <w:w w:val="105"/>
          <w:sz w:val="18"/>
        </w:rPr>
        <w:t> </w:t>
      </w:r>
      <w:r>
        <w:rPr>
          <w:color w:val="383636"/>
          <w:w w:val="105"/>
          <w:sz w:val="18"/>
        </w:rPr>
        <w:t>t</w:t>
      </w:r>
      <w:r>
        <w:rPr>
          <w:color w:val="383636"/>
          <w:spacing w:val="1"/>
          <w:w w:val="105"/>
          <w:sz w:val="18"/>
        </w:rPr>
        <w:t> </w:t>
      </w:r>
      <w:r>
        <w:rPr>
          <w:color w:val="383636"/>
          <w:w w:val="105"/>
          <w:sz w:val="18"/>
        </w:rPr>
        <w:t>attack</w:t>
      </w:r>
      <w:r>
        <w:rPr>
          <w:color w:val="383636"/>
          <w:spacing w:val="-8"/>
          <w:w w:val="105"/>
          <w:sz w:val="18"/>
        </w:rPr>
        <w:t> </w:t>
      </w:r>
      <w:r>
        <w:rPr>
          <w:color w:val="383636"/>
          <w:w w:val="105"/>
          <w:sz w:val="18"/>
        </w:rPr>
        <w:t>arguments</w:t>
      </w:r>
      <w:r>
        <w:rPr>
          <w:color w:val="525254"/>
          <w:w w:val="105"/>
          <w:sz w:val="18"/>
        </w:rPr>
        <w:t>.</w:t>
      </w:r>
    </w:p>
    <w:p>
      <w:pPr>
        <w:spacing w:line="218" w:lineRule="auto" w:before="4"/>
        <w:ind w:left="619" w:right="70" w:firstLine="411"/>
        <w:jc w:val="both"/>
        <w:rPr>
          <w:sz w:val="18"/>
        </w:rPr>
      </w:pPr>
      <w:r>
        <w:rPr>
          <w:color w:val="383636"/>
          <w:sz w:val="18"/>
        </w:rPr>
        <w:t>z</w:t>
      </w:r>
      <w:r>
        <w:rPr>
          <w:i/>
          <w:color w:val="383636"/>
          <w:sz w:val="18"/>
        </w:rPr>
        <w:t>See</w:t>
      </w:r>
      <w:r>
        <w:rPr>
          <w:i/>
          <w:color w:val="525254"/>
          <w:sz w:val="18"/>
        </w:rPr>
        <w:t>, </w:t>
      </w:r>
      <w:r>
        <w:rPr>
          <w:i/>
          <w:color w:val="383636"/>
          <w:sz w:val="18"/>
        </w:rPr>
        <w:t>e</w:t>
      </w:r>
      <w:r>
        <w:rPr>
          <w:i/>
          <w:color w:val="626264"/>
          <w:sz w:val="18"/>
        </w:rPr>
        <w:t>.</w:t>
      </w:r>
      <w:r>
        <w:rPr>
          <w:i/>
          <w:color w:val="383636"/>
          <w:sz w:val="18"/>
        </w:rPr>
        <w:t>g</w:t>
      </w:r>
      <w:r>
        <w:rPr>
          <w:i/>
          <w:color w:val="525254"/>
          <w:sz w:val="18"/>
        </w:rPr>
        <w:t>.</w:t>
      </w:r>
      <w:r>
        <w:rPr>
          <w:i/>
          <w:color w:val="383636"/>
          <w:sz w:val="18"/>
        </w:rPr>
        <w:t>, </w:t>
      </w:r>
      <w:r>
        <w:rPr>
          <w:color w:val="383636"/>
          <w:sz w:val="18"/>
        </w:rPr>
        <w:t>Linda H</w:t>
      </w:r>
      <w:r>
        <w:rPr>
          <w:color w:val="525254"/>
          <w:sz w:val="18"/>
        </w:rPr>
        <w:t>. </w:t>
      </w:r>
      <w:r>
        <w:rPr>
          <w:color w:val="383636"/>
          <w:sz w:val="18"/>
        </w:rPr>
        <w:t>Edwards</w:t>
      </w:r>
      <w:r>
        <w:rPr>
          <w:color w:val="525254"/>
          <w:sz w:val="18"/>
        </w:rPr>
        <w:t>, </w:t>
      </w:r>
      <w:r>
        <w:rPr>
          <w:rFonts w:ascii="Arial"/>
          <w:i/>
          <w:color w:val="383636"/>
          <w:sz w:val="16"/>
        </w:rPr>
        <w:t>ugal Writing</w:t>
      </w:r>
      <w:r>
        <w:rPr>
          <w:rFonts w:ascii="Arial"/>
          <w:i/>
          <w:color w:val="525254"/>
          <w:sz w:val="16"/>
        </w:rPr>
        <w:t>: </w:t>
      </w:r>
      <w:r>
        <w:rPr>
          <w:rFonts w:ascii="Arial"/>
          <w:i/>
          <w:color w:val="383636"/>
          <w:sz w:val="16"/>
        </w:rPr>
        <w:t>Pnxess</w:t>
      </w:r>
      <w:r>
        <w:rPr>
          <w:rFonts w:ascii="Arial"/>
          <w:i/>
          <w:color w:val="525254"/>
          <w:sz w:val="16"/>
        </w:rPr>
        <w:t>, </w:t>
      </w:r>
      <w:r>
        <w:rPr>
          <w:rFonts w:ascii="Arial"/>
          <w:i/>
          <w:color w:val="383636"/>
          <w:sz w:val="16"/>
        </w:rPr>
        <w:t>Analysis</w:t>
      </w:r>
      <w:r>
        <w:rPr>
          <w:rFonts w:ascii="Arial"/>
          <w:i/>
          <w:color w:val="525254"/>
          <w:sz w:val="16"/>
        </w:rPr>
        <w:t>, </w:t>
      </w:r>
      <w:r>
        <w:rPr>
          <w:i/>
          <w:color w:val="383636"/>
          <w:sz w:val="18"/>
        </w:rPr>
        <w:t>and </w:t>
      </w:r>
      <w:r>
        <w:rPr>
          <w:rFonts w:ascii="Arial"/>
          <w:i/>
          <w:color w:val="383636"/>
          <w:sz w:val="16"/>
        </w:rPr>
        <w:t>Organization </w:t>
      </w:r>
      <w:r>
        <w:rPr>
          <w:color w:val="383636"/>
          <w:sz w:val="18"/>
        </w:rPr>
        <w:t>chs. 2-6 (Sth ed</w:t>
      </w:r>
      <w:r>
        <w:rPr>
          <w:color w:val="525254"/>
          <w:sz w:val="18"/>
        </w:rPr>
        <w:t>.</w:t>
      </w:r>
      <w:r>
        <w:rPr>
          <w:color w:val="383636"/>
          <w:sz w:val="18"/>
        </w:rPr>
        <w:t>,</w:t>
      </w:r>
      <w:r>
        <w:rPr>
          <w:color w:val="383636"/>
          <w:spacing w:val="1"/>
          <w:sz w:val="18"/>
        </w:rPr>
        <w:t> </w:t>
      </w:r>
      <w:r>
        <w:rPr>
          <w:color w:val="383636"/>
          <w:sz w:val="18"/>
        </w:rPr>
        <w:t>Wolters f(Juwer 2010); Richard</w:t>
      </w:r>
      <w:r>
        <w:rPr>
          <w:color w:val="383636"/>
          <w:spacing w:val="45"/>
          <w:sz w:val="18"/>
        </w:rPr>
        <w:t> </w:t>
      </w:r>
      <w:r>
        <w:rPr>
          <w:color w:val="383636"/>
          <w:sz w:val="18"/>
        </w:rPr>
        <w:t>K. Neumann</w:t>
      </w:r>
      <w:r>
        <w:rPr>
          <w:color w:val="626264"/>
          <w:sz w:val="18"/>
        </w:rPr>
        <w:t>, </w:t>
      </w:r>
      <w:r>
        <w:rPr>
          <w:color w:val="383636"/>
          <w:sz w:val="18"/>
        </w:rPr>
        <w:t>Jr. </w:t>
      </w:r>
      <w:r>
        <w:rPr>
          <w:rFonts w:ascii="Arial"/>
          <w:color w:val="383636"/>
          <w:sz w:val="16"/>
        </w:rPr>
        <w:t>6t </w:t>
      </w:r>
      <w:r>
        <w:rPr>
          <w:color w:val="383636"/>
          <w:sz w:val="18"/>
        </w:rPr>
        <w:t>Kristen Konrad Tisclone, </w:t>
      </w:r>
      <w:r>
        <w:rPr>
          <w:rFonts w:ascii="Arial"/>
          <w:i/>
          <w:color w:val="383636"/>
          <w:sz w:val="16"/>
        </w:rPr>
        <w:t>uga/ R</w:t>
      </w:r>
      <w:r>
        <w:rPr>
          <w:rFonts w:ascii="Arial"/>
          <w:i/>
          <w:color w:val="525254"/>
          <w:sz w:val="16"/>
        </w:rPr>
        <w:t>e</w:t>
      </w:r>
      <w:r>
        <w:rPr>
          <w:rFonts w:ascii="Arial"/>
          <w:i/>
          <w:color w:val="383636"/>
          <w:sz w:val="16"/>
        </w:rPr>
        <w:t>asoning </w:t>
      </w:r>
      <w:r>
        <w:rPr>
          <w:rFonts w:ascii="Arial"/>
          <w:i/>
          <w:color w:val="383636"/>
          <w:sz w:val="17"/>
        </w:rPr>
        <w:t>and</w:t>
      </w:r>
      <w:r>
        <w:rPr>
          <w:rFonts w:ascii="Arial"/>
          <w:i/>
          <w:color w:val="383636"/>
          <w:spacing w:val="1"/>
          <w:sz w:val="17"/>
        </w:rPr>
        <w:t> </w:t>
      </w:r>
      <w:r>
        <w:rPr>
          <w:rFonts w:ascii="Arial"/>
          <w:i/>
          <w:color w:val="383636"/>
          <w:w w:val="110"/>
          <w:sz w:val="16"/>
        </w:rPr>
        <w:t>ugaf</w:t>
      </w:r>
      <w:r>
        <w:rPr>
          <w:rFonts w:ascii="Arial"/>
          <w:i/>
          <w:color w:val="383636"/>
          <w:spacing w:val="10"/>
          <w:w w:val="110"/>
          <w:sz w:val="16"/>
        </w:rPr>
        <w:t> </w:t>
      </w:r>
      <w:r>
        <w:rPr>
          <w:rFonts w:ascii="Arial"/>
          <w:i/>
          <w:color w:val="383636"/>
          <w:w w:val="105"/>
          <w:sz w:val="16"/>
        </w:rPr>
        <w:t>Writing</w:t>
      </w:r>
      <w:r>
        <w:rPr>
          <w:rFonts w:ascii="Arial"/>
          <w:i/>
          <w:color w:val="383636"/>
          <w:spacing w:val="-22"/>
          <w:w w:val="105"/>
          <w:sz w:val="16"/>
        </w:rPr>
        <w:t> </w:t>
      </w:r>
      <w:r>
        <w:rPr>
          <w:color w:val="383636"/>
          <w:w w:val="105"/>
          <w:sz w:val="17"/>
        </w:rPr>
        <w:t>ch.</w:t>
      </w:r>
      <w:r>
        <w:rPr>
          <w:color w:val="383636"/>
          <w:spacing w:val="14"/>
          <w:w w:val="105"/>
          <w:sz w:val="17"/>
        </w:rPr>
        <w:t> </w:t>
      </w:r>
      <w:r>
        <w:rPr>
          <w:color w:val="383636"/>
          <w:w w:val="105"/>
          <w:sz w:val="18"/>
        </w:rPr>
        <w:t>2</w:t>
      </w:r>
      <w:r>
        <w:rPr>
          <w:color w:val="383636"/>
          <w:spacing w:val="5"/>
          <w:w w:val="105"/>
          <w:sz w:val="18"/>
        </w:rPr>
        <w:t> </w:t>
      </w:r>
      <w:r>
        <w:rPr>
          <w:color w:val="383636"/>
          <w:w w:val="105"/>
          <w:sz w:val="18"/>
        </w:rPr>
        <w:t>(7th</w:t>
      </w:r>
      <w:r>
        <w:rPr>
          <w:color w:val="383636"/>
          <w:spacing w:val="-20"/>
          <w:w w:val="105"/>
          <w:sz w:val="18"/>
        </w:rPr>
        <w:t> </w:t>
      </w:r>
      <w:r>
        <w:rPr>
          <w:color w:val="383636"/>
          <w:w w:val="110"/>
          <w:sz w:val="16"/>
        </w:rPr>
        <w:t>ed</w:t>
      </w:r>
      <w:r>
        <w:rPr>
          <w:color w:val="525254"/>
          <w:w w:val="110"/>
          <w:sz w:val="16"/>
        </w:rPr>
        <w:t>.</w:t>
      </w:r>
      <w:r>
        <w:rPr>
          <w:color w:val="383636"/>
          <w:w w:val="110"/>
          <w:sz w:val="16"/>
        </w:rPr>
        <w:t>,</w:t>
      </w:r>
      <w:r>
        <w:rPr>
          <w:color w:val="383636"/>
          <w:spacing w:val="11"/>
          <w:w w:val="110"/>
          <w:sz w:val="16"/>
        </w:rPr>
        <w:t> </w:t>
      </w:r>
      <w:r>
        <w:rPr>
          <w:color w:val="383636"/>
          <w:w w:val="105"/>
          <w:sz w:val="18"/>
        </w:rPr>
        <w:t>Wolters</w:t>
      </w:r>
      <w:r>
        <w:rPr>
          <w:color w:val="383636"/>
          <w:spacing w:val="-5"/>
          <w:w w:val="105"/>
          <w:sz w:val="18"/>
        </w:rPr>
        <w:t> </w:t>
      </w:r>
      <w:r>
        <w:rPr>
          <w:color w:val="383636"/>
          <w:w w:val="105"/>
          <w:sz w:val="18"/>
        </w:rPr>
        <w:t>Kluwer</w:t>
      </w:r>
      <w:r>
        <w:rPr>
          <w:color w:val="383636"/>
          <w:spacing w:val="-12"/>
          <w:w w:val="105"/>
          <w:sz w:val="18"/>
        </w:rPr>
        <w:t> </w:t>
      </w:r>
      <w:r>
        <w:rPr>
          <w:color w:val="383636"/>
          <w:w w:val="105"/>
          <w:sz w:val="18"/>
        </w:rPr>
        <w:t>2013).</w:t>
      </w:r>
    </w:p>
    <w:p>
      <w:pPr>
        <w:spacing w:line="195" w:lineRule="exact" w:before="0"/>
        <w:ind w:left="991" w:right="0" w:firstLine="0"/>
        <w:jc w:val="both"/>
        <w:rPr>
          <w:sz w:val="18"/>
        </w:rPr>
      </w:pPr>
      <w:r>
        <w:rPr>
          <w:rFonts w:ascii="Arial"/>
          <w:color w:val="383636"/>
          <w:w w:val="105"/>
          <w:sz w:val="16"/>
        </w:rPr>
        <w:t>J5ee</w:t>
      </w:r>
      <w:r>
        <w:rPr>
          <w:rFonts w:ascii="Arial"/>
          <w:color w:val="383636"/>
          <w:spacing w:val="-23"/>
          <w:w w:val="105"/>
          <w:sz w:val="16"/>
        </w:rPr>
        <w:t> </w:t>
      </w:r>
      <w:r>
        <w:rPr>
          <w:color w:val="383636"/>
          <w:w w:val="105"/>
          <w:sz w:val="18"/>
        </w:rPr>
        <w:t>Chapter</w:t>
      </w:r>
      <w:r>
        <w:rPr>
          <w:color w:val="383636"/>
          <w:spacing w:val="1"/>
          <w:w w:val="105"/>
          <w:sz w:val="18"/>
        </w:rPr>
        <w:t> </w:t>
      </w:r>
      <w:r>
        <w:rPr>
          <w:color w:val="383636"/>
          <w:w w:val="105"/>
          <w:sz w:val="18"/>
        </w:rPr>
        <w:t>Five</w:t>
      </w:r>
      <w:r>
        <w:rPr>
          <w:color w:val="383636"/>
          <w:spacing w:val="-24"/>
          <w:w w:val="105"/>
          <w:sz w:val="18"/>
        </w:rPr>
        <w:t> </w:t>
      </w:r>
      <w:r>
        <w:rPr>
          <w:color w:val="383636"/>
          <w:w w:val="105"/>
          <w:sz w:val="18"/>
        </w:rPr>
        <w:t>for</w:t>
      </w:r>
      <w:r>
        <w:rPr>
          <w:color w:val="383636"/>
          <w:spacing w:val="10"/>
          <w:w w:val="105"/>
          <w:sz w:val="18"/>
        </w:rPr>
        <w:t> </w:t>
      </w:r>
      <w:r>
        <w:rPr>
          <w:color w:val="383636"/>
          <w:w w:val="105"/>
          <w:sz w:val="18"/>
        </w:rPr>
        <w:t>guidance</w:t>
      </w:r>
      <w:r>
        <w:rPr>
          <w:color w:val="383636"/>
          <w:spacing w:val="-15"/>
          <w:w w:val="105"/>
          <w:sz w:val="18"/>
        </w:rPr>
        <w:t> </w:t>
      </w:r>
      <w:r>
        <w:rPr>
          <w:color w:val="383636"/>
          <w:w w:val="105"/>
          <w:sz w:val="18"/>
        </w:rPr>
        <w:t>on</w:t>
      </w:r>
      <w:r>
        <w:rPr>
          <w:color w:val="383636"/>
          <w:spacing w:val="26"/>
          <w:w w:val="105"/>
          <w:sz w:val="18"/>
        </w:rPr>
        <w:t> </w:t>
      </w:r>
      <w:r>
        <w:rPr>
          <w:color w:val="383636"/>
          <w:w w:val="105"/>
          <w:sz w:val="18"/>
        </w:rPr>
        <w:t>u</w:t>
      </w:r>
      <w:r>
        <w:rPr>
          <w:color w:val="525254"/>
          <w:w w:val="105"/>
          <w:sz w:val="18"/>
        </w:rPr>
        <w:t>s</w:t>
      </w:r>
      <w:r>
        <w:rPr>
          <w:color w:val="383636"/>
          <w:w w:val="105"/>
          <w:sz w:val="18"/>
        </w:rPr>
        <w:t>ing</w:t>
      </w:r>
      <w:r>
        <w:rPr>
          <w:color w:val="383636"/>
          <w:spacing w:val="8"/>
          <w:w w:val="105"/>
          <w:sz w:val="18"/>
        </w:rPr>
        <w:t> </w:t>
      </w:r>
      <w:r>
        <w:rPr>
          <w:color w:val="383636"/>
          <w:w w:val="105"/>
          <w:sz w:val="18"/>
        </w:rPr>
        <w:t>Inductive</w:t>
      </w:r>
      <w:r>
        <w:rPr>
          <w:color w:val="383636"/>
          <w:spacing w:val="-4"/>
          <w:w w:val="105"/>
          <w:sz w:val="18"/>
        </w:rPr>
        <w:t> </w:t>
      </w:r>
      <w:r>
        <w:rPr>
          <w:color w:val="383636"/>
          <w:w w:val="105"/>
          <w:sz w:val="18"/>
        </w:rPr>
        <w:t>reasoning</w:t>
      </w:r>
      <w:r>
        <w:rPr>
          <w:color w:val="383636"/>
          <w:spacing w:val="-5"/>
          <w:w w:val="105"/>
          <w:sz w:val="18"/>
        </w:rPr>
        <w:t> </w:t>
      </w:r>
      <w:r>
        <w:rPr>
          <w:color w:val="383636"/>
          <w:w w:val="105"/>
          <w:sz w:val="18"/>
        </w:rPr>
        <w:t>to</w:t>
      </w:r>
      <w:r>
        <w:rPr>
          <w:color w:val="383636"/>
          <w:spacing w:val="7"/>
          <w:w w:val="105"/>
          <w:sz w:val="18"/>
        </w:rPr>
        <w:t> </w:t>
      </w:r>
      <w:r>
        <w:rPr>
          <w:color w:val="383636"/>
          <w:w w:val="105"/>
          <w:sz w:val="18"/>
        </w:rPr>
        <w:t>find</w:t>
      </w:r>
      <w:r>
        <w:rPr>
          <w:color w:val="383636"/>
          <w:spacing w:val="-3"/>
          <w:w w:val="105"/>
          <w:sz w:val="18"/>
        </w:rPr>
        <w:t> </w:t>
      </w:r>
      <w:r>
        <w:rPr>
          <w:color w:val="383636"/>
          <w:w w:val="105"/>
          <w:sz w:val="18"/>
        </w:rPr>
        <w:t>rules</w:t>
      </w:r>
      <w:r>
        <w:rPr>
          <w:color w:val="525254"/>
          <w:w w:val="105"/>
          <w:sz w:val="18"/>
        </w:rPr>
        <w:t>.</w:t>
      </w:r>
    </w:p>
    <w:p>
      <w:pPr>
        <w:spacing w:line="195" w:lineRule="exact" w:before="15"/>
        <w:ind w:left="945" w:right="0" w:firstLine="0"/>
        <w:jc w:val="both"/>
        <w:rPr>
          <w:rFonts w:ascii="Arial" w:hAnsi="Arial"/>
          <w:i/>
          <w:sz w:val="16"/>
        </w:rPr>
      </w:pPr>
      <w:r>
        <w:rPr>
          <w:color w:val="383636"/>
          <w:spacing w:val="-1"/>
          <w:w w:val="105"/>
          <w:sz w:val="11"/>
        </w:rPr>
        <w:t>4</w:t>
      </w:r>
      <w:r>
        <w:rPr>
          <w:color w:val="383636"/>
          <w:spacing w:val="8"/>
          <w:w w:val="105"/>
          <w:sz w:val="11"/>
        </w:rPr>
        <w:t> </w:t>
      </w:r>
      <w:r>
        <w:rPr>
          <w:b/>
          <w:i/>
          <w:color w:val="383636"/>
          <w:spacing w:val="-1"/>
          <w:w w:val="105"/>
          <w:sz w:val="18"/>
        </w:rPr>
        <w:t>See,</w:t>
      </w:r>
      <w:r>
        <w:rPr>
          <w:b/>
          <w:i/>
          <w:color w:val="383636"/>
          <w:spacing w:val="-10"/>
          <w:w w:val="105"/>
          <w:sz w:val="18"/>
        </w:rPr>
        <w:t> </w:t>
      </w:r>
      <w:r>
        <w:rPr>
          <w:b/>
          <w:i/>
          <w:color w:val="383636"/>
          <w:spacing w:val="-1"/>
          <w:w w:val="105"/>
          <w:sz w:val="18"/>
        </w:rPr>
        <w:t>e</w:t>
      </w:r>
      <w:r>
        <w:rPr>
          <w:b/>
          <w:i/>
          <w:color w:val="626264"/>
          <w:spacing w:val="-1"/>
          <w:w w:val="105"/>
          <w:sz w:val="18"/>
        </w:rPr>
        <w:t>.</w:t>
      </w:r>
      <w:r>
        <w:rPr>
          <w:b/>
          <w:i/>
          <w:color w:val="383636"/>
          <w:spacing w:val="-1"/>
          <w:w w:val="105"/>
          <w:sz w:val="18"/>
        </w:rPr>
        <w:t>g</w:t>
      </w:r>
      <w:r>
        <w:rPr>
          <w:b/>
          <w:i/>
          <w:color w:val="626264"/>
          <w:spacing w:val="-1"/>
          <w:w w:val="105"/>
          <w:sz w:val="18"/>
        </w:rPr>
        <w:t>.,</w:t>
      </w:r>
      <w:r>
        <w:rPr>
          <w:b/>
          <w:i/>
          <w:color w:val="626264"/>
          <w:spacing w:val="11"/>
          <w:w w:val="105"/>
          <w:sz w:val="18"/>
        </w:rPr>
        <w:t> </w:t>
      </w:r>
      <w:r>
        <w:rPr>
          <w:color w:val="383636"/>
          <w:spacing w:val="-1"/>
          <w:w w:val="105"/>
          <w:sz w:val="18"/>
        </w:rPr>
        <w:t>Laurel Currie</w:t>
      </w:r>
      <w:r>
        <w:rPr>
          <w:color w:val="383636"/>
          <w:spacing w:val="-5"/>
          <w:w w:val="105"/>
          <w:sz w:val="18"/>
        </w:rPr>
        <w:t> </w:t>
      </w:r>
      <w:r>
        <w:rPr>
          <w:color w:val="383636"/>
          <w:spacing w:val="-1"/>
          <w:w w:val="105"/>
          <w:sz w:val="18"/>
        </w:rPr>
        <w:t>Oates</w:t>
      </w:r>
      <w:r>
        <w:rPr>
          <w:color w:val="383636"/>
          <w:spacing w:val="-15"/>
          <w:w w:val="105"/>
          <w:sz w:val="18"/>
        </w:rPr>
        <w:t> </w:t>
      </w:r>
      <w:r>
        <w:rPr>
          <w:color w:val="383636"/>
          <w:spacing w:val="-1"/>
          <w:w w:val="105"/>
          <w:sz w:val="17"/>
        </w:rPr>
        <w:t>&amp;</w:t>
      </w:r>
      <w:r>
        <w:rPr>
          <w:color w:val="383636"/>
          <w:spacing w:val="-2"/>
          <w:w w:val="105"/>
          <w:sz w:val="17"/>
        </w:rPr>
        <w:t> </w:t>
      </w:r>
      <w:r>
        <w:rPr>
          <w:color w:val="383636"/>
          <w:spacing w:val="-1"/>
          <w:w w:val="105"/>
          <w:sz w:val="18"/>
        </w:rPr>
        <w:t>Anne</w:t>
      </w:r>
      <w:r>
        <w:rPr>
          <w:color w:val="383636"/>
          <w:spacing w:val="1"/>
          <w:w w:val="105"/>
          <w:sz w:val="18"/>
        </w:rPr>
        <w:t> </w:t>
      </w:r>
      <w:r>
        <w:rPr>
          <w:color w:val="383636"/>
          <w:spacing w:val="-1"/>
          <w:w w:val="105"/>
          <w:sz w:val="18"/>
        </w:rPr>
        <w:t>M.</w:t>
      </w:r>
      <w:r>
        <w:rPr>
          <w:color w:val="383636"/>
          <w:spacing w:val="-2"/>
          <w:w w:val="105"/>
          <w:sz w:val="18"/>
        </w:rPr>
        <w:t> </w:t>
      </w:r>
      <w:r>
        <w:rPr>
          <w:color w:val="383636"/>
          <w:spacing w:val="-1"/>
          <w:w w:val="105"/>
          <w:sz w:val="18"/>
        </w:rPr>
        <w:t>Enquist,</w:t>
      </w:r>
      <w:r>
        <w:rPr>
          <w:color w:val="383636"/>
          <w:spacing w:val="6"/>
          <w:w w:val="105"/>
          <w:sz w:val="18"/>
        </w:rPr>
        <w:t> </w:t>
      </w:r>
      <w:r>
        <w:rPr>
          <w:rFonts w:ascii="Arial" w:hAnsi="Arial"/>
          <w:color w:val="383636"/>
          <w:spacing w:val="-1"/>
          <w:w w:val="105"/>
          <w:sz w:val="16"/>
        </w:rPr>
        <w:t>The</w:t>
      </w:r>
      <w:r>
        <w:rPr>
          <w:rFonts w:ascii="Arial" w:hAnsi="Arial"/>
          <w:color w:val="383636"/>
          <w:spacing w:val="-27"/>
          <w:w w:val="105"/>
          <w:sz w:val="16"/>
        </w:rPr>
        <w:t> </w:t>
      </w:r>
      <w:r>
        <w:rPr>
          <w:rFonts w:ascii="Arial" w:hAnsi="Arial"/>
          <w:i/>
          <w:color w:val="383636"/>
          <w:w w:val="105"/>
          <w:sz w:val="16"/>
        </w:rPr>
        <w:t>Legal</w:t>
      </w:r>
      <w:r>
        <w:rPr>
          <w:rFonts w:ascii="Arial" w:hAnsi="Arial"/>
          <w:i/>
          <w:color w:val="383636"/>
          <w:spacing w:val="-6"/>
          <w:w w:val="105"/>
          <w:sz w:val="16"/>
        </w:rPr>
        <w:t> </w:t>
      </w:r>
      <w:r>
        <w:rPr>
          <w:rFonts w:ascii="Arial" w:hAnsi="Arial"/>
          <w:i/>
          <w:color w:val="383636"/>
          <w:w w:val="105"/>
          <w:sz w:val="16"/>
        </w:rPr>
        <w:t>Writing</w:t>
      </w:r>
      <w:r>
        <w:rPr>
          <w:rFonts w:ascii="Arial" w:hAnsi="Arial"/>
          <w:i/>
          <w:color w:val="383636"/>
          <w:spacing w:val="-24"/>
          <w:w w:val="105"/>
          <w:sz w:val="16"/>
        </w:rPr>
        <w:t> </w:t>
      </w:r>
      <w:r>
        <w:rPr>
          <w:rFonts w:ascii="Arial" w:hAnsi="Arial"/>
          <w:i/>
          <w:color w:val="383636"/>
          <w:w w:val="105"/>
          <w:sz w:val="16"/>
        </w:rPr>
        <w:t>Handbook</w:t>
      </w:r>
      <w:r>
        <w:rPr>
          <w:rFonts w:ascii="Arial" w:hAnsi="Arial"/>
          <w:i/>
          <w:color w:val="383636"/>
          <w:spacing w:val="14"/>
          <w:w w:val="105"/>
          <w:sz w:val="16"/>
        </w:rPr>
        <w:t> </w:t>
      </w:r>
      <w:r>
        <w:rPr>
          <w:color w:val="383636"/>
          <w:w w:val="105"/>
          <w:sz w:val="18"/>
        </w:rPr>
        <w:t>§§22</w:t>
      </w:r>
      <w:r>
        <w:rPr>
          <w:color w:val="525254"/>
          <w:w w:val="105"/>
          <w:sz w:val="18"/>
        </w:rPr>
        <w:t>.</w:t>
      </w:r>
      <w:r>
        <w:rPr>
          <w:color w:val="383636"/>
          <w:w w:val="105"/>
          <w:sz w:val="18"/>
        </w:rPr>
        <w:t>3.2</w:t>
      </w:r>
      <w:r>
        <w:rPr>
          <w:color w:val="383636"/>
          <w:spacing w:val="4"/>
          <w:w w:val="105"/>
          <w:sz w:val="18"/>
        </w:rPr>
        <w:t> </w:t>
      </w:r>
      <w:r>
        <w:rPr>
          <w:rFonts w:ascii="Arial" w:hAnsi="Arial"/>
          <w:i/>
          <w:color w:val="383636"/>
          <w:w w:val="105"/>
          <w:sz w:val="16"/>
        </w:rPr>
        <w:t>(5th</w:t>
      </w:r>
    </w:p>
    <w:p>
      <w:pPr>
        <w:spacing w:line="195" w:lineRule="exact" w:before="0"/>
        <w:ind w:left="593" w:right="0" w:firstLine="0"/>
        <w:jc w:val="both"/>
        <w:rPr>
          <w:sz w:val="18"/>
        </w:rPr>
      </w:pPr>
      <w:r>
        <w:rPr>
          <w:color w:val="383636"/>
          <w:sz w:val="18"/>
        </w:rPr>
        <w:t>ed</w:t>
      </w:r>
      <w:r>
        <w:rPr>
          <w:color w:val="626264"/>
          <w:sz w:val="18"/>
        </w:rPr>
        <w:t>.</w:t>
      </w:r>
      <w:r>
        <w:rPr>
          <w:color w:val="383636"/>
          <w:sz w:val="18"/>
        </w:rPr>
        <w:t>,</w:t>
      </w:r>
      <w:r>
        <w:rPr>
          <w:color w:val="383636"/>
          <w:spacing w:val="27"/>
          <w:sz w:val="18"/>
        </w:rPr>
        <w:t> </w:t>
      </w:r>
      <w:r>
        <w:rPr>
          <w:color w:val="383636"/>
          <w:sz w:val="18"/>
        </w:rPr>
        <w:t>Wolters</w:t>
      </w:r>
      <w:r>
        <w:rPr>
          <w:color w:val="383636"/>
          <w:spacing w:val="2"/>
          <w:sz w:val="18"/>
        </w:rPr>
        <w:t> </w:t>
      </w:r>
      <w:r>
        <w:rPr>
          <w:color w:val="383636"/>
          <w:sz w:val="18"/>
        </w:rPr>
        <w:t>J(luwer</w:t>
      </w:r>
      <w:r>
        <w:rPr>
          <w:color w:val="383636"/>
          <w:spacing w:val="11"/>
          <w:sz w:val="18"/>
        </w:rPr>
        <w:t> </w:t>
      </w:r>
      <w:r>
        <w:rPr>
          <w:color w:val="383636"/>
          <w:sz w:val="18"/>
        </w:rPr>
        <w:t>2010)</w:t>
      </w:r>
      <w:r>
        <w:rPr>
          <w:color w:val="626264"/>
          <w:sz w:val="18"/>
        </w:rPr>
        <w:t>.</w:t>
      </w:r>
    </w:p>
    <w:p>
      <w:pPr>
        <w:spacing w:after="0" w:line="195" w:lineRule="exact"/>
        <w:jc w:val="both"/>
        <w:rPr>
          <w:sz w:val="18"/>
        </w:rPr>
        <w:sectPr>
          <w:pgSz w:w="9440" w:h="13790"/>
          <w:pgMar w:header="427" w:footer="0" w:top="100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35" w:lineRule="auto"/>
        <w:ind w:left="117" w:right="259" w:firstLine="8"/>
        <w:jc w:val="both"/>
      </w:pPr>
      <w:r>
        <w:rPr>
          <w:color w:val="383638"/>
          <w:w w:val="110"/>
        </w:rPr>
        <w:t>understand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argument.</w:t>
      </w:r>
      <w:r>
        <w:rPr>
          <w:color w:val="383638"/>
          <w:spacing w:val="-30"/>
          <w:w w:val="110"/>
        </w:rPr>
        <w:t> </w:t>
      </w:r>
      <w:r>
        <w:rPr>
          <w:color w:val="383638"/>
          <w:w w:val="110"/>
        </w:rPr>
        <w:t>Thus,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if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one</w:t>
      </w:r>
      <w:r>
        <w:rPr>
          <w:color w:val="383638"/>
          <w:spacing w:val="35"/>
          <w:w w:val="110"/>
        </w:rPr>
        <w:t> </w:t>
      </w:r>
      <w:r>
        <w:rPr>
          <w:color w:val="383638"/>
          <w:w w:val="110"/>
        </w:rPr>
        <w:t>or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more</w:t>
      </w:r>
      <w:r>
        <w:rPr>
          <w:color w:val="383638"/>
          <w:spacing w:val="-30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legal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issues</w:t>
      </w:r>
      <w:r>
        <w:rPr>
          <w:color w:val="383638"/>
          <w:spacing w:val="-21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gov­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erned by well-established rules, you can begin to structure your argument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by reviewing those rules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identifying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phrases-that-pay that are 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controversy</w:t>
      </w:r>
      <w:r>
        <w:rPr>
          <w:color w:val="383638"/>
          <w:spacing w:val="-10"/>
          <w:w w:val="115"/>
        </w:rPr>
        <w:t> </w:t>
      </w:r>
      <w:r>
        <w:rPr>
          <w:color w:val="383638"/>
          <w:w w:val="115"/>
        </w:rPr>
        <w:t>in</w:t>
      </w:r>
      <w:r>
        <w:rPr>
          <w:color w:val="383638"/>
          <w:spacing w:val="11"/>
          <w:w w:val="115"/>
        </w:rPr>
        <w:t> </w:t>
      </w:r>
      <w:r>
        <w:rPr>
          <w:color w:val="383638"/>
          <w:w w:val="115"/>
        </w:rPr>
        <w:t>your</w:t>
      </w:r>
      <w:r>
        <w:rPr>
          <w:color w:val="383638"/>
          <w:spacing w:val="-17"/>
          <w:w w:val="115"/>
        </w:rPr>
        <w:t> </w:t>
      </w:r>
      <w:r>
        <w:rPr>
          <w:color w:val="383638"/>
          <w:w w:val="115"/>
        </w:rPr>
        <w:t>case.</w:t>
      </w:r>
    </w:p>
    <w:p>
      <w:pPr>
        <w:pStyle w:val="BodyText"/>
        <w:spacing w:line="235" w:lineRule="auto"/>
        <w:ind w:left="117" w:right="239" w:firstLine="372"/>
        <w:jc w:val="both"/>
      </w:pPr>
      <w:r>
        <w:rPr>
          <w:color w:val="383638"/>
          <w:w w:val="110"/>
        </w:rPr>
        <w:t>You can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often identify phrases-that-pay by turning your rul-! into an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if-then statement.</w:t>
      </w:r>
      <w:r>
        <w:rPr>
          <w:rFonts w:ascii="Arial" w:hAnsi="Arial"/>
          <w:color w:val="383638"/>
          <w:w w:val="115"/>
          <w:position w:val="9"/>
          <w:sz w:val="12"/>
        </w:rPr>
        <w:t>5</w:t>
      </w:r>
      <w:r>
        <w:rPr>
          <w:rFonts w:ascii="Arial" w:hAnsi="Arial"/>
          <w:color w:val="383638"/>
          <w:spacing w:val="1"/>
          <w:w w:val="115"/>
          <w:position w:val="9"/>
          <w:sz w:val="12"/>
        </w:rPr>
        <w:t> </w:t>
      </w:r>
      <w:r>
        <w:rPr>
          <w:color w:val="383638"/>
          <w:w w:val="115"/>
        </w:rPr>
        <w:t>An "if-then" rule says, in essence, "if a certain con­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dition exists, then a certain legal status results</w:t>
      </w:r>
      <w:r>
        <w:rPr>
          <w:color w:val="545456"/>
          <w:w w:val="115"/>
        </w:rPr>
        <w:t>.</w:t>
      </w:r>
      <w:r>
        <w:rPr>
          <w:color w:val="383638"/>
          <w:w w:val="115"/>
        </w:rPr>
        <w:t>" The phrase-that-pays is</w:t>
      </w:r>
      <w:r>
        <w:rPr>
          <w:color w:val="383638"/>
          <w:spacing w:val="-64"/>
          <w:w w:val="115"/>
        </w:rPr>
        <w:t> </w:t>
      </w:r>
      <w:r>
        <w:rPr>
          <w:color w:val="383638"/>
          <w:spacing w:val="-1"/>
          <w:w w:val="115"/>
        </w:rPr>
        <w:t>almost always the "condition" that you are trying to prove </w:t>
      </w:r>
      <w:r>
        <w:rPr>
          <w:color w:val="383638"/>
          <w:w w:val="115"/>
        </w:rPr>
        <w:t>the existence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(or nonexistence) of. Thus, look for the phrases-that-pay in the </w:t>
      </w:r>
      <w:r>
        <w:rPr>
          <w:b/>
          <w:color w:val="383638"/>
          <w:w w:val="110"/>
          <w:sz w:val="21"/>
        </w:rPr>
        <w:t>"if" </w:t>
      </w:r>
      <w:r>
        <w:rPr>
          <w:color w:val="383638"/>
          <w:w w:val="110"/>
        </w:rPr>
        <w:t>clause;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5"/>
        </w:rPr>
        <w:t>that clause usually contains the narrow point that the writer is trying to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05"/>
        </w:rPr>
        <w:t>explain or prove. For example,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petitioner in </w:t>
      </w:r>
      <w:r>
        <w:rPr>
          <w:i/>
          <w:color w:val="383638"/>
          <w:w w:val="105"/>
        </w:rPr>
        <w:t>Minnesota v. Carter </w:t>
      </w:r>
      <w:r>
        <w:rPr>
          <w:color w:val="383638"/>
          <w:w w:val="105"/>
        </w:rPr>
        <w:t>might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write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rule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within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its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brief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follows:</w:t>
      </w:r>
    </w:p>
    <w:p>
      <w:pPr>
        <w:spacing w:line="228" w:lineRule="auto" w:before="131"/>
        <w:ind w:left="494" w:right="620" w:hanging="4"/>
        <w:jc w:val="both"/>
        <w:rPr>
          <w:sz w:val="20"/>
        </w:rPr>
      </w:pPr>
      <w:r>
        <w:rPr>
          <w:b/>
          <w:color w:val="383638"/>
          <w:w w:val="110"/>
          <w:sz w:val="21"/>
        </w:rPr>
        <w:t>While a person's home is, formost purposes, a place where he expects</w:t>
      </w:r>
      <w:r>
        <w:rPr>
          <w:b/>
          <w:color w:val="383638"/>
          <w:spacing w:val="-5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privacy,</w:t>
      </w:r>
      <w:r>
        <w:rPr>
          <w:b/>
          <w:color w:val="383638"/>
          <w:spacing w:val="-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activities</w:t>
      </w:r>
      <w:r>
        <w:rPr>
          <w:b/>
          <w:color w:val="383638"/>
          <w:spacing w:val="-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that</w:t>
      </w:r>
      <w:r>
        <w:rPr>
          <w:b/>
          <w:color w:val="383638"/>
          <w:spacing w:val="-2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are</w:t>
      </w:r>
      <w:r>
        <w:rPr>
          <w:b/>
          <w:color w:val="383638"/>
          <w:spacing w:val="-2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exposed</w:t>
      </w:r>
      <w:r>
        <w:rPr>
          <w:b/>
          <w:color w:val="383638"/>
          <w:spacing w:val="-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"to</w:t>
      </w:r>
      <w:r>
        <w:rPr>
          <w:b/>
          <w:color w:val="383638"/>
          <w:spacing w:val="-1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</w:t>
      </w:r>
      <w:r>
        <w:rPr>
          <w:b/>
          <w:color w:val="383638"/>
          <w:spacing w:val="-1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'plain</w:t>
      </w:r>
      <w:r>
        <w:rPr>
          <w:b/>
          <w:color w:val="383638"/>
          <w:spacing w:val="-1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view'</w:t>
      </w:r>
      <w:r>
        <w:rPr>
          <w:b/>
          <w:color w:val="383638"/>
          <w:spacing w:val="-30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of</w:t>
      </w:r>
      <w:r>
        <w:rPr>
          <w:b/>
          <w:color w:val="383638"/>
          <w:spacing w:val="1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outsiders</w:t>
      </w:r>
      <w:r>
        <w:rPr>
          <w:b/>
          <w:color w:val="383638"/>
          <w:spacing w:val="-12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are</w:t>
      </w:r>
      <w:r>
        <w:rPr>
          <w:b/>
          <w:color w:val="383638"/>
          <w:spacing w:val="-5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not protected" under the Fourth Amendment. Katz v. United States</w:t>
      </w:r>
      <w:r>
        <w:rPr>
          <w:b/>
          <w:color w:val="545456"/>
          <w:w w:val="110"/>
          <w:sz w:val="21"/>
        </w:rPr>
        <w:t>,</w:t>
      </w:r>
      <w:r>
        <w:rPr>
          <w:b/>
          <w:color w:val="545456"/>
          <w:spacing w:val="1"/>
          <w:w w:val="110"/>
          <w:sz w:val="21"/>
        </w:rPr>
        <w:t> </w:t>
      </w:r>
      <w:r>
        <w:rPr>
          <w:color w:val="383638"/>
          <w:w w:val="110"/>
          <w:sz w:val="20"/>
        </w:rPr>
        <w:t>389</w:t>
      </w:r>
      <w:r>
        <w:rPr>
          <w:color w:val="383638"/>
          <w:spacing w:val="42"/>
          <w:w w:val="110"/>
          <w:sz w:val="20"/>
        </w:rPr>
        <w:t> </w:t>
      </w:r>
      <w:r>
        <w:rPr>
          <w:color w:val="383638"/>
          <w:w w:val="110"/>
          <w:sz w:val="20"/>
        </w:rPr>
        <w:t>U.S.</w:t>
      </w:r>
      <w:r>
        <w:rPr>
          <w:color w:val="383638"/>
          <w:spacing w:val="2"/>
          <w:w w:val="110"/>
          <w:sz w:val="20"/>
        </w:rPr>
        <w:t> </w:t>
      </w:r>
      <w:r>
        <w:rPr>
          <w:color w:val="383638"/>
          <w:w w:val="110"/>
          <w:sz w:val="20"/>
        </w:rPr>
        <w:t>347,</w:t>
      </w:r>
      <w:r>
        <w:rPr>
          <w:color w:val="383638"/>
          <w:spacing w:val="6"/>
          <w:w w:val="110"/>
          <w:sz w:val="20"/>
        </w:rPr>
        <w:t> </w:t>
      </w:r>
      <w:r>
        <w:rPr>
          <w:color w:val="383638"/>
          <w:w w:val="110"/>
          <w:sz w:val="20"/>
        </w:rPr>
        <w:t>361</w:t>
      </w:r>
      <w:r>
        <w:rPr>
          <w:color w:val="383638"/>
          <w:spacing w:val="18"/>
          <w:w w:val="110"/>
          <w:sz w:val="20"/>
        </w:rPr>
        <w:t> </w:t>
      </w:r>
      <w:r>
        <w:rPr>
          <w:color w:val="383638"/>
          <w:w w:val="110"/>
          <w:sz w:val="20"/>
        </w:rPr>
        <w:t>(1967)</w:t>
      </w:r>
      <w:r>
        <w:rPr>
          <w:color w:val="383638"/>
          <w:spacing w:val="11"/>
          <w:w w:val="110"/>
          <w:sz w:val="20"/>
        </w:rPr>
        <w:t> </w:t>
      </w:r>
      <w:r>
        <w:rPr>
          <w:color w:val="383638"/>
          <w:w w:val="110"/>
          <w:sz w:val="20"/>
        </w:rPr>
        <w:t>(Harlan,</w:t>
      </w:r>
      <w:r>
        <w:rPr>
          <w:color w:val="383638"/>
          <w:spacing w:val="-23"/>
          <w:w w:val="110"/>
          <w:sz w:val="20"/>
        </w:rPr>
        <w:t> </w:t>
      </w:r>
      <w:r>
        <w:rPr>
          <w:color w:val="383638"/>
          <w:w w:val="110"/>
          <w:sz w:val="24"/>
        </w:rPr>
        <w:t>J</w:t>
      </w:r>
      <w:r>
        <w:rPr>
          <w:color w:val="545456"/>
          <w:w w:val="110"/>
          <w:sz w:val="24"/>
        </w:rPr>
        <w:t>.</w:t>
      </w:r>
      <w:r>
        <w:rPr>
          <w:color w:val="383638"/>
          <w:w w:val="110"/>
          <w:sz w:val="24"/>
        </w:rPr>
        <w:t>,</w:t>
      </w:r>
      <w:r>
        <w:rPr>
          <w:color w:val="383638"/>
          <w:spacing w:val="-10"/>
          <w:w w:val="110"/>
          <w:sz w:val="24"/>
        </w:rPr>
        <w:t> </w:t>
      </w:r>
      <w:r>
        <w:rPr>
          <w:color w:val="383638"/>
          <w:w w:val="110"/>
          <w:sz w:val="20"/>
        </w:rPr>
        <w:t>concurring).</w:t>
      </w:r>
    </w:p>
    <w:p>
      <w:pPr>
        <w:pStyle w:val="BodyText"/>
        <w:spacing w:before="129"/>
        <w:ind w:left="119"/>
        <w:jc w:val="both"/>
      </w:pPr>
      <w:r>
        <w:rPr>
          <w:color w:val="383638"/>
          <w:spacing w:val="-1"/>
          <w:w w:val="115"/>
        </w:rPr>
        <w:t>Thesame</w:t>
      </w:r>
      <w:r>
        <w:rPr>
          <w:color w:val="383638"/>
          <w:spacing w:val="-20"/>
          <w:w w:val="115"/>
        </w:rPr>
        <w:t> </w:t>
      </w:r>
      <w:r>
        <w:rPr>
          <w:color w:val="383638"/>
          <w:spacing w:val="-1"/>
          <w:w w:val="115"/>
        </w:rPr>
        <w:t>rule</w:t>
      </w:r>
      <w:r>
        <w:rPr>
          <w:color w:val="383638"/>
          <w:spacing w:val="-20"/>
          <w:w w:val="115"/>
        </w:rPr>
        <w:t> </w:t>
      </w:r>
      <w:r>
        <w:rPr>
          <w:color w:val="383638"/>
          <w:spacing w:val="-1"/>
          <w:w w:val="115"/>
        </w:rPr>
        <w:t>stated</w:t>
      </w:r>
      <w:r>
        <w:rPr>
          <w:color w:val="383638"/>
          <w:spacing w:val="-7"/>
          <w:w w:val="115"/>
        </w:rPr>
        <w:t> </w:t>
      </w:r>
      <w:r>
        <w:rPr>
          <w:color w:val="383638"/>
          <w:spacing w:val="-1"/>
          <w:w w:val="115"/>
        </w:rPr>
        <w:t>as</w:t>
      </w:r>
      <w:r>
        <w:rPr>
          <w:color w:val="383638"/>
          <w:spacing w:val="-18"/>
          <w:w w:val="115"/>
        </w:rPr>
        <w:t> </w:t>
      </w:r>
      <w:r>
        <w:rPr>
          <w:color w:val="383638"/>
          <w:w w:val="115"/>
        </w:rPr>
        <w:t>an</w:t>
      </w:r>
      <w:r>
        <w:rPr>
          <w:color w:val="383638"/>
          <w:spacing w:val="3"/>
          <w:w w:val="115"/>
        </w:rPr>
        <w:t> </w:t>
      </w:r>
      <w:r>
        <w:rPr>
          <w:color w:val="383638"/>
          <w:w w:val="115"/>
        </w:rPr>
        <w:t>if-then</w:t>
      </w:r>
      <w:r>
        <w:rPr>
          <w:color w:val="383638"/>
          <w:spacing w:val="-13"/>
          <w:w w:val="115"/>
        </w:rPr>
        <w:t> </w:t>
      </w:r>
      <w:r>
        <w:rPr>
          <w:color w:val="383638"/>
          <w:w w:val="115"/>
        </w:rPr>
        <w:t>statement</w:t>
      </w:r>
      <w:r>
        <w:rPr>
          <w:color w:val="383638"/>
          <w:spacing w:val="-3"/>
          <w:w w:val="115"/>
        </w:rPr>
        <w:t> </w:t>
      </w:r>
      <w:r>
        <w:rPr>
          <w:color w:val="383638"/>
          <w:w w:val="115"/>
        </w:rPr>
        <w:t>would</w:t>
      </w:r>
      <w:r>
        <w:rPr>
          <w:color w:val="383638"/>
          <w:spacing w:val="12"/>
          <w:w w:val="115"/>
        </w:rPr>
        <w:t> </w:t>
      </w:r>
      <w:r>
        <w:rPr>
          <w:color w:val="383638"/>
          <w:w w:val="115"/>
        </w:rPr>
        <w:t>read:</w:t>
      </w:r>
    </w:p>
    <w:p>
      <w:pPr>
        <w:spacing w:line="237" w:lineRule="auto" w:before="122"/>
        <w:ind w:left="498" w:right="610" w:hanging="1"/>
        <w:jc w:val="both"/>
        <w:rPr>
          <w:b/>
          <w:sz w:val="21"/>
        </w:rPr>
      </w:pPr>
      <w:r>
        <w:rPr>
          <w:b/>
          <w:color w:val="383638"/>
          <w:w w:val="110"/>
          <w:sz w:val="21"/>
        </w:rPr>
        <w:t>IF a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2"/>
        </w:rPr>
        <w:t>person </w:t>
      </w:r>
      <w:r>
        <w:rPr>
          <w:b/>
          <w:color w:val="383638"/>
          <w:w w:val="110"/>
          <w:sz w:val="21"/>
        </w:rPr>
        <w:t>exposes activities to the plain view of </w:t>
      </w:r>
      <w:r>
        <w:rPr>
          <w:color w:val="383638"/>
          <w:w w:val="110"/>
          <w:sz w:val="22"/>
        </w:rPr>
        <w:t>outsiders, </w:t>
      </w:r>
      <w:r>
        <w:rPr>
          <w:b/>
          <w:color w:val="383638"/>
          <w:w w:val="110"/>
          <w:sz w:val="21"/>
        </w:rPr>
        <w:t>THEN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those activities are not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protected against observation by </w:t>
      </w:r>
      <w:r>
        <w:rPr>
          <w:color w:val="383638"/>
          <w:w w:val="110"/>
          <w:sz w:val="20"/>
        </w:rPr>
        <w:t>the</w:t>
      </w:r>
      <w:r>
        <w:rPr>
          <w:color w:val="383638"/>
          <w:spacing w:val="1"/>
          <w:w w:val="110"/>
          <w:sz w:val="20"/>
        </w:rPr>
        <w:t> </w:t>
      </w:r>
      <w:r>
        <w:rPr>
          <w:color w:val="383638"/>
          <w:w w:val="110"/>
          <w:sz w:val="20"/>
        </w:rPr>
        <w:t>Fourth</w:t>
      </w:r>
      <w:r>
        <w:rPr>
          <w:color w:val="383638"/>
          <w:spacing w:val="1"/>
          <w:w w:val="110"/>
          <w:sz w:val="20"/>
        </w:rPr>
        <w:t> </w:t>
      </w:r>
      <w:r>
        <w:rPr>
          <w:b/>
          <w:color w:val="383638"/>
          <w:w w:val="110"/>
          <w:sz w:val="21"/>
        </w:rPr>
        <w:t>Amendment's</w:t>
      </w:r>
      <w:r>
        <w:rPr>
          <w:b/>
          <w:color w:val="383638"/>
          <w:spacing w:val="-2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search</w:t>
      </w:r>
      <w:r>
        <w:rPr>
          <w:b/>
          <w:color w:val="383638"/>
          <w:spacing w:val="-1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and</w:t>
      </w:r>
      <w:r>
        <w:rPr>
          <w:b/>
          <w:color w:val="383638"/>
          <w:spacing w:val="1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seizure</w:t>
      </w:r>
      <w:r>
        <w:rPr>
          <w:b/>
          <w:color w:val="383638"/>
          <w:spacing w:val="-7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limitations.</w:t>
      </w:r>
    </w:p>
    <w:p>
      <w:pPr>
        <w:pStyle w:val="BodyText"/>
        <w:spacing w:before="137"/>
        <w:ind w:left="127" w:right="207" w:hanging="9"/>
        <w:jc w:val="both"/>
      </w:pPr>
      <w:r>
        <w:rPr>
          <w:color w:val="383638"/>
          <w:w w:val="115"/>
        </w:rPr>
        <w:t>This writer is arguing, at least in part, that the defendant's activities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occurred within the plain view of police officers. Thus, "in plain view" is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21"/>
          <w:w w:val="115"/>
        </w:rPr>
        <w:t> </w:t>
      </w:r>
      <w:r>
        <w:rPr>
          <w:color w:val="383638"/>
          <w:w w:val="115"/>
        </w:rPr>
        <w:t>phrase-that-pays.</w:t>
      </w:r>
    </w:p>
    <w:p>
      <w:pPr>
        <w:pStyle w:val="BodyText"/>
        <w:spacing w:line="235" w:lineRule="auto"/>
        <w:ind w:left="137" w:right="134" w:firstLine="350"/>
        <w:jc w:val="both"/>
      </w:pPr>
      <w:r>
        <w:rPr>
          <w:color w:val="383638"/>
          <w:w w:val="110"/>
        </w:rPr>
        <w:t>Sometimes, one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rule will have more than one phrase-that-pays in con­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troversy. To determine if this is true for a particular rule, consider both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how courts have interpreted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rule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how the rule relates to a  par­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ticular set of facts</w:t>
      </w:r>
      <w:r>
        <w:rPr>
          <w:color w:val="545456"/>
          <w:w w:val="110"/>
        </w:rPr>
        <w:t>. </w:t>
      </w:r>
      <w:r>
        <w:rPr>
          <w:color w:val="383638"/>
          <w:w w:val="110"/>
        </w:rPr>
        <w:t>For instance, in the previous example, the respondents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might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argue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they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did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not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"expose"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their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activities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32"/>
          <w:w w:val="110"/>
        </w:rPr>
        <w:t> </w:t>
      </w:r>
      <w:r>
        <w:rPr>
          <w:color w:val="383638"/>
          <w:w w:val="110"/>
        </w:rPr>
        <w:t>"outsiders,"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even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activities were technically within plain view. Some courts might con­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5"/>
        </w:rPr>
        <w:t>duct a separate analysis of what exactly it means to "expose" activities;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they might also address who is considered an "outsider" for purposes of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the plain-view doctrine. If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courts have conducted these separate analy­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5"/>
        </w:rPr>
        <w:t>ses,</w:t>
      </w:r>
      <w:r>
        <w:rPr>
          <w:color w:val="383638"/>
          <w:spacing w:val="-2"/>
          <w:w w:val="115"/>
        </w:rPr>
        <w:t> </w:t>
      </w:r>
      <w:r>
        <w:rPr>
          <w:color w:val="383638"/>
          <w:w w:val="115"/>
        </w:rPr>
        <w:t>it</w:t>
      </w:r>
      <w:r>
        <w:rPr>
          <w:color w:val="383638"/>
          <w:spacing w:val="20"/>
          <w:w w:val="115"/>
        </w:rPr>
        <w:t> </w:t>
      </w:r>
      <w:r>
        <w:rPr>
          <w:color w:val="383638"/>
          <w:w w:val="115"/>
        </w:rPr>
        <w:t>would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be</w:t>
      </w:r>
      <w:r>
        <w:rPr>
          <w:color w:val="383638"/>
          <w:spacing w:val="-2"/>
          <w:w w:val="115"/>
        </w:rPr>
        <w:t> </w:t>
      </w:r>
      <w:r>
        <w:rPr>
          <w:color w:val="383638"/>
          <w:w w:val="115"/>
        </w:rPr>
        <w:t>easy</w:t>
      </w:r>
      <w:r>
        <w:rPr>
          <w:color w:val="383638"/>
          <w:spacing w:val="-8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2"/>
          <w:w w:val="115"/>
        </w:rPr>
        <w:t> </w:t>
      </w:r>
      <w:r>
        <w:rPr>
          <w:color w:val="383638"/>
          <w:w w:val="115"/>
        </w:rPr>
        <w:t>divide</w:t>
      </w:r>
      <w:r>
        <w:rPr>
          <w:color w:val="383638"/>
          <w:spacing w:val="-3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17"/>
          <w:w w:val="115"/>
        </w:rPr>
        <w:t> </w:t>
      </w:r>
      <w:r>
        <w:rPr>
          <w:color w:val="383638"/>
          <w:w w:val="115"/>
        </w:rPr>
        <w:t>argument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on</w:t>
      </w:r>
      <w:r>
        <w:rPr>
          <w:color w:val="383638"/>
          <w:spacing w:val="28"/>
          <w:w w:val="115"/>
        </w:rPr>
        <w:t> </w:t>
      </w:r>
      <w:r>
        <w:rPr>
          <w:color w:val="383638"/>
          <w:w w:val="115"/>
        </w:rPr>
        <w:t>this</w:t>
      </w:r>
      <w:r>
        <w:rPr>
          <w:color w:val="383638"/>
          <w:spacing w:val="-4"/>
          <w:w w:val="115"/>
        </w:rPr>
        <w:t> </w:t>
      </w:r>
      <w:r>
        <w:rPr>
          <w:color w:val="383638"/>
          <w:w w:val="115"/>
        </w:rPr>
        <w:t>rule</w:t>
      </w:r>
      <w:r>
        <w:rPr>
          <w:color w:val="383638"/>
          <w:spacing w:val="-6"/>
          <w:w w:val="115"/>
        </w:rPr>
        <w:t> </w:t>
      </w:r>
      <w:r>
        <w:rPr>
          <w:color w:val="383638"/>
          <w:w w:val="115"/>
        </w:rPr>
        <w:t>into</w:t>
      </w:r>
      <w:r>
        <w:rPr>
          <w:color w:val="383638"/>
          <w:spacing w:val="-17"/>
          <w:w w:val="115"/>
        </w:rPr>
        <w:t> </w:t>
      </w:r>
      <w:r>
        <w:rPr>
          <w:color w:val="383638"/>
          <w:w w:val="115"/>
        </w:rPr>
        <w:t>three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parts:</w:t>
      </w:r>
    </w:p>
    <w:p>
      <w:pPr>
        <w:pStyle w:val="BodyText"/>
        <w:spacing w:line="232" w:lineRule="auto"/>
        <w:ind w:left="147" w:right="114" w:hanging="2"/>
        <w:jc w:val="both"/>
      </w:pPr>
      <w:r>
        <w:rPr>
          <w:color w:val="383638"/>
          <w:spacing w:val="-1"/>
          <w:w w:val="115"/>
        </w:rPr>
        <w:t>(1) whether the activities were "exposed," (2) whether the activities were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0"/>
        </w:rPr>
        <w:t>in "plain view," and (3) whether the activities were exposed to "outsiders."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On the other hand, if the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courts have not addressed these issues sepa­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rately,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but 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have</w:t>
      </w:r>
      <w:r>
        <w:rPr>
          <w:color w:val="383638"/>
          <w:spacing w:val="31"/>
          <w:w w:val="110"/>
        </w:rPr>
        <w:t> </w:t>
      </w:r>
      <w:r>
        <w:rPr>
          <w:color w:val="383638"/>
          <w:w w:val="110"/>
        </w:rPr>
        <w:t>presumed</w:t>
      </w:r>
      <w:r>
        <w:rPr>
          <w:color w:val="383638"/>
          <w:spacing w:val="43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26"/>
          <w:w w:val="110"/>
        </w:rPr>
        <w:t> </w:t>
      </w:r>
      <w:r>
        <w:rPr>
          <w:color w:val="383638"/>
          <w:w w:val="110"/>
        </w:rPr>
        <w:t>all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activities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48"/>
          <w:w w:val="110"/>
        </w:rPr>
        <w:t> </w:t>
      </w:r>
      <w:r>
        <w:rPr>
          <w:color w:val="383638"/>
          <w:w w:val="110"/>
        </w:rPr>
        <w:t>plain</w:t>
      </w:r>
      <w:r>
        <w:rPr>
          <w:color w:val="383638"/>
          <w:spacing w:val="34"/>
          <w:w w:val="110"/>
        </w:rPr>
        <w:t> </w:t>
      </w:r>
      <w:r>
        <w:rPr>
          <w:color w:val="383638"/>
          <w:w w:val="110"/>
        </w:rPr>
        <w:t>view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are</w:t>
      </w:r>
      <w:r>
        <w:rPr>
          <w:color w:val="383638"/>
          <w:spacing w:val="39"/>
          <w:w w:val="110"/>
        </w:rPr>
        <w:t> </w:t>
      </w:r>
      <w:r>
        <w:rPr>
          <w:color w:val="383638"/>
          <w:w w:val="110"/>
        </w:rPr>
        <w:t>exposed</w:t>
      </w:r>
      <w:r>
        <w:rPr>
          <w:color w:val="383638"/>
          <w:spacing w:val="33"/>
          <w:w w:val="110"/>
        </w:rPr>
        <w:t> </w:t>
      </w:r>
      <w:r>
        <w:rPr>
          <w:color w:val="383638"/>
          <w:w w:val="110"/>
        </w:rPr>
        <w:t>to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8"/>
        </w:rPr>
      </w:pPr>
    </w:p>
    <w:p>
      <w:pPr>
        <w:tabs>
          <w:tab w:pos="7625" w:val="left" w:leader="none"/>
        </w:tabs>
        <w:spacing w:line="223" w:lineRule="auto" w:before="0"/>
        <w:ind w:left="163" w:right="127" w:firstLine="243"/>
        <w:jc w:val="both"/>
        <w:rPr>
          <w:sz w:val="18"/>
        </w:rPr>
      </w:pPr>
      <w:r>
        <w:rPr>
          <w:color w:val="545456"/>
          <w:w w:val="135"/>
          <w:sz w:val="18"/>
        </w:rPr>
        <w:t>N</w:t>
      </w:r>
      <w:r>
        <w:rPr>
          <w:color w:val="383638"/>
          <w:w w:val="135"/>
          <w:sz w:val="18"/>
        </w:rPr>
        <w:t>ote</w:t>
      </w:r>
      <w:r>
        <w:rPr>
          <w:color w:val="383638"/>
          <w:spacing w:val="-14"/>
          <w:w w:val="135"/>
          <w:sz w:val="18"/>
        </w:rPr>
        <w:t> </w:t>
      </w:r>
      <w:r>
        <w:rPr>
          <w:color w:val="383638"/>
          <w:w w:val="115"/>
          <w:sz w:val="18"/>
        </w:rPr>
        <w:t>that</w:t>
      </w:r>
      <w:r>
        <w:rPr>
          <w:color w:val="383638"/>
          <w:spacing w:val="-17"/>
          <w:w w:val="115"/>
          <w:sz w:val="18"/>
        </w:rPr>
        <w:t> </w:t>
      </w:r>
      <w:r>
        <w:rPr>
          <w:color w:val="383638"/>
          <w:w w:val="115"/>
          <w:sz w:val="18"/>
        </w:rPr>
        <w:t>youshould</w:t>
      </w:r>
      <w:r>
        <w:rPr>
          <w:color w:val="383638"/>
          <w:spacing w:val="-2"/>
          <w:w w:val="115"/>
          <w:sz w:val="18"/>
        </w:rPr>
        <w:t> </w:t>
      </w:r>
      <w:r>
        <w:rPr>
          <w:color w:val="383638"/>
          <w:w w:val="115"/>
          <w:sz w:val="18"/>
        </w:rPr>
        <w:t>not</w:t>
      </w:r>
      <w:r>
        <w:rPr>
          <w:color w:val="383638"/>
          <w:spacing w:val="6"/>
          <w:w w:val="115"/>
          <w:sz w:val="18"/>
        </w:rPr>
        <w:t> </w:t>
      </w:r>
      <w:r>
        <w:rPr>
          <w:color w:val="383638"/>
          <w:w w:val="115"/>
          <w:sz w:val="18"/>
        </w:rPr>
        <w:t>necessarily</w:t>
      </w:r>
      <w:r>
        <w:rPr>
          <w:color w:val="383638"/>
          <w:spacing w:val="-9"/>
          <w:w w:val="115"/>
          <w:sz w:val="18"/>
        </w:rPr>
        <w:t> </w:t>
      </w:r>
      <w:r>
        <w:rPr>
          <w:color w:val="383638"/>
          <w:w w:val="115"/>
          <w:sz w:val="18"/>
        </w:rPr>
        <w:t>articulate</w:t>
      </w:r>
      <w:r>
        <w:rPr>
          <w:color w:val="383638"/>
          <w:spacing w:val="-12"/>
          <w:w w:val="115"/>
          <w:sz w:val="18"/>
        </w:rPr>
        <w:t> </w:t>
      </w:r>
      <w:r>
        <w:rPr>
          <w:color w:val="383638"/>
          <w:w w:val="115"/>
          <w:sz w:val="18"/>
        </w:rPr>
        <w:t>your</w:t>
      </w:r>
      <w:r>
        <w:rPr>
          <w:color w:val="383638"/>
          <w:spacing w:val="-2"/>
          <w:w w:val="115"/>
          <w:sz w:val="18"/>
        </w:rPr>
        <w:t> </w:t>
      </w:r>
      <w:r>
        <w:rPr>
          <w:color w:val="383638"/>
          <w:w w:val="115"/>
          <w:sz w:val="18"/>
        </w:rPr>
        <w:t>ntle</w:t>
      </w:r>
      <w:r>
        <w:rPr>
          <w:color w:val="383638"/>
          <w:spacing w:val="-19"/>
          <w:w w:val="115"/>
          <w:sz w:val="18"/>
        </w:rPr>
        <w:t> </w:t>
      </w:r>
      <w:r>
        <w:rPr>
          <w:color w:val="383638"/>
          <w:w w:val="115"/>
          <w:sz w:val="18"/>
        </w:rPr>
        <w:t>as</w:t>
      </w:r>
      <w:r>
        <w:rPr>
          <w:color w:val="383638"/>
          <w:spacing w:val="-32"/>
          <w:w w:val="115"/>
          <w:sz w:val="18"/>
        </w:rPr>
        <w:t> </w:t>
      </w:r>
      <w:r>
        <w:rPr>
          <w:color w:val="383638"/>
          <w:w w:val="115"/>
          <w:sz w:val="18"/>
        </w:rPr>
        <w:t>an</w:t>
      </w:r>
      <w:r>
        <w:rPr>
          <w:color w:val="383638"/>
          <w:spacing w:val="-2"/>
          <w:w w:val="115"/>
          <w:sz w:val="18"/>
        </w:rPr>
        <w:t> </w:t>
      </w:r>
      <w:r>
        <w:rPr>
          <w:color w:val="383638"/>
          <w:w w:val="115"/>
          <w:sz w:val="18"/>
        </w:rPr>
        <w:t>If.then</w:t>
      </w:r>
      <w:r>
        <w:rPr>
          <w:color w:val="383638"/>
          <w:spacing w:val="-14"/>
          <w:w w:val="115"/>
          <w:sz w:val="18"/>
        </w:rPr>
        <w:t> </w:t>
      </w:r>
      <w:r>
        <w:rPr>
          <w:color w:val="383638"/>
          <w:w w:val="115"/>
          <w:sz w:val="18"/>
        </w:rPr>
        <w:t>statement</w:t>
      </w:r>
      <w:r>
        <w:rPr>
          <w:color w:val="383638"/>
          <w:spacing w:val="-6"/>
          <w:w w:val="115"/>
          <w:sz w:val="18"/>
        </w:rPr>
        <w:t> </w:t>
      </w:r>
      <w:r>
        <w:rPr>
          <w:color w:val="383638"/>
          <w:w w:val="115"/>
          <w:sz w:val="18"/>
        </w:rPr>
        <w:t>In</w:t>
      </w:r>
      <w:r>
        <w:rPr>
          <w:color w:val="383638"/>
          <w:spacing w:val="-11"/>
          <w:w w:val="115"/>
          <w:sz w:val="18"/>
        </w:rPr>
        <w:t> </w:t>
      </w:r>
      <w:r>
        <w:rPr>
          <w:color w:val="383638"/>
          <w:w w:val="115"/>
          <w:sz w:val="18"/>
        </w:rPr>
        <w:t>the</w:t>
      </w:r>
      <w:r>
        <w:rPr>
          <w:color w:val="383638"/>
          <w:spacing w:val="-3"/>
          <w:w w:val="115"/>
          <w:sz w:val="18"/>
        </w:rPr>
        <w:t> </w:t>
      </w:r>
      <w:r>
        <w:rPr>
          <w:color w:val="383638"/>
          <w:w w:val="115"/>
          <w:sz w:val="18"/>
        </w:rPr>
        <w:t>ar</w:t>
      </w:r>
      <w:r>
        <w:rPr>
          <w:color w:val="383638"/>
          <w:spacing w:val="37"/>
          <w:w w:val="115"/>
          <w:sz w:val="18"/>
        </w:rPr>
        <w:t> </w:t>
      </w:r>
      <w:r>
        <w:rPr>
          <w:color w:val="545456"/>
          <w:w w:val="115"/>
          <w:sz w:val="18"/>
        </w:rPr>
        <w:t>•</w:t>
      </w:r>
      <w:r>
        <w:rPr>
          <w:color w:val="545456"/>
          <w:spacing w:val="1"/>
          <w:w w:val="115"/>
          <w:sz w:val="18"/>
        </w:rPr>
        <w:t> </w:t>
      </w:r>
      <w:r>
        <w:rPr>
          <w:color w:val="383638"/>
          <w:w w:val="110"/>
          <w:sz w:val="18"/>
        </w:rPr>
        <w:t>ment</w:t>
      </w:r>
      <w:r>
        <w:rPr>
          <w:color w:val="383638"/>
          <w:spacing w:val="-2"/>
          <w:w w:val="110"/>
          <w:sz w:val="18"/>
        </w:rPr>
        <w:t> </w:t>
      </w:r>
      <w:r>
        <w:rPr>
          <w:color w:val="383638"/>
          <w:w w:val="110"/>
          <w:sz w:val="18"/>
        </w:rPr>
        <w:t>Itself;</w:t>
      </w:r>
      <w:r>
        <w:rPr>
          <w:color w:val="383638"/>
          <w:spacing w:val="-4"/>
          <w:w w:val="110"/>
          <w:sz w:val="18"/>
        </w:rPr>
        <w:t> </w:t>
      </w:r>
      <w:r>
        <w:rPr>
          <w:color w:val="383638"/>
          <w:w w:val="110"/>
          <w:sz w:val="18"/>
        </w:rPr>
        <w:t>this</w:t>
      </w:r>
      <w:r>
        <w:rPr>
          <w:color w:val="383638"/>
          <w:spacing w:val="-22"/>
          <w:w w:val="110"/>
          <w:sz w:val="18"/>
        </w:rPr>
        <w:t> </w:t>
      </w:r>
      <w:r>
        <w:rPr>
          <w:color w:val="383638"/>
          <w:w w:val="110"/>
          <w:sz w:val="18"/>
        </w:rPr>
        <w:t>technique</w:t>
      </w:r>
      <w:r>
        <w:rPr>
          <w:color w:val="383638"/>
          <w:spacing w:val="-4"/>
          <w:w w:val="110"/>
          <w:sz w:val="18"/>
        </w:rPr>
        <w:t> </w:t>
      </w:r>
      <w:r>
        <w:rPr>
          <w:color w:val="383638"/>
          <w:w w:val="110"/>
          <w:sz w:val="18"/>
        </w:rPr>
        <w:t>ls</w:t>
      </w:r>
      <w:r>
        <w:rPr>
          <w:color w:val="383638"/>
          <w:spacing w:val="-7"/>
          <w:w w:val="110"/>
          <w:sz w:val="18"/>
        </w:rPr>
        <w:t> </w:t>
      </w:r>
      <w:r>
        <w:rPr>
          <w:color w:val="383638"/>
          <w:w w:val="110"/>
          <w:sz w:val="18"/>
        </w:rPr>
        <w:t>mer</w:t>
      </w:r>
      <w:r>
        <w:rPr>
          <w:color w:val="545456"/>
          <w:w w:val="110"/>
          <w:sz w:val="18"/>
        </w:rPr>
        <w:t>e</w:t>
      </w:r>
      <w:r>
        <w:rPr>
          <w:color w:val="383638"/>
          <w:w w:val="110"/>
          <w:sz w:val="18"/>
        </w:rPr>
        <w:t>ly</w:t>
      </w:r>
      <w:r>
        <w:rPr>
          <w:color w:val="383638"/>
          <w:spacing w:val="8"/>
          <w:w w:val="110"/>
          <w:sz w:val="18"/>
        </w:rPr>
        <w:t> </w:t>
      </w:r>
      <w:r>
        <w:rPr>
          <w:color w:val="383638"/>
          <w:w w:val="110"/>
          <w:sz w:val="18"/>
        </w:rPr>
        <w:t>a</w:t>
      </w:r>
      <w:r>
        <w:rPr>
          <w:color w:val="383638"/>
          <w:spacing w:val="23"/>
          <w:w w:val="110"/>
          <w:sz w:val="18"/>
        </w:rPr>
        <w:t> </w:t>
      </w:r>
      <w:r>
        <w:rPr>
          <w:color w:val="383638"/>
          <w:w w:val="110"/>
          <w:sz w:val="18"/>
        </w:rPr>
        <w:t>method</w:t>
      </w:r>
      <w:r>
        <w:rPr>
          <w:color w:val="383638"/>
          <w:spacing w:val="9"/>
          <w:w w:val="110"/>
          <w:sz w:val="18"/>
        </w:rPr>
        <w:t> </w:t>
      </w:r>
      <w:r>
        <w:rPr>
          <w:color w:val="383638"/>
          <w:w w:val="110"/>
          <w:sz w:val="18"/>
        </w:rPr>
        <w:t>for</w:t>
      </w:r>
      <w:r>
        <w:rPr>
          <w:color w:val="383638"/>
          <w:spacing w:val="-7"/>
          <w:w w:val="110"/>
          <w:sz w:val="18"/>
        </w:rPr>
        <w:t> </w:t>
      </w:r>
      <w:r>
        <w:rPr>
          <w:color w:val="383638"/>
          <w:w w:val="110"/>
          <w:sz w:val="18"/>
        </w:rPr>
        <w:t>Identifying</w:t>
      </w:r>
      <w:r>
        <w:rPr>
          <w:color w:val="383638"/>
          <w:spacing w:val="1"/>
          <w:w w:val="110"/>
          <w:sz w:val="18"/>
        </w:rPr>
        <w:t> </w:t>
      </w:r>
      <w:r>
        <w:rPr>
          <w:color w:val="383638"/>
          <w:w w:val="110"/>
          <w:sz w:val="18"/>
        </w:rPr>
        <w:t>the</w:t>
      </w:r>
      <w:r>
        <w:rPr>
          <w:color w:val="383638"/>
          <w:spacing w:val="28"/>
          <w:w w:val="110"/>
          <w:sz w:val="18"/>
        </w:rPr>
        <w:t> </w:t>
      </w:r>
      <w:r>
        <w:rPr>
          <w:color w:val="383638"/>
          <w:w w:val="110"/>
          <w:sz w:val="18"/>
        </w:rPr>
        <w:t>phrases-that</w:t>
      </w:r>
      <w:r>
        <w:rPr>
          <w:color w:val="545456"/>
          <w:w w:val="110"/>
          <w:sz w:val="18"/>
        </w:rPr>
        <w:t>•</w:t>
      </w:r>
      <w:r>
        <w:rPr>
          <w:color w:val="383638"/>
          <w:w w:val="110"/>
          <w:sz w:val="18"/>
        </w:rPr>
        <w:t>pay.</w:t>
        <w:tab/>
      </w:r>
      <w:r>
        <w:rPr>
          <w:color w:val="383638"/>
          <w:spacing w:val="-5"/>
          <w:w w:val="115"/>
          <w:sz w:val="18"/>
        </w:rPr>
        <w:t>gu</w:t>
      </w:r>
    </w:p>
    <w:p>
      <w:pPr>
        <w:spacing w:after="0" w:line="223" w:lineRule="auto"/>
        <w:jc w:val="both"/>
        <w:rPr>
          <w:sz w:val="18"/>
        </w:rPr>
        <w:sectPr>
          <w:headerReference w:type="default" r:id="rId95"/>
          <w:headerReference w:type="even" r:id="rId96"/>
          <w:pgSz w:w="9440" w:h="13750"/>
          <w:pgMar w:header="485" w:footer="0" w:top="680" w:bottom="280" w:left="520" w:right="960"/>
          <w:pgNumType w:start="69"/>
        </w:sectPr>
      </w:pPr>
    </w:p>
    <w:p>
      <w:pPr>
        <w:pStyle w:val="BodyText"/>
        <w:spacing w:line="244" w:lineRule="auto" w:before="80"/>
        <w:ind w:left="1189" w:right="62" w:hanging="2"/>
        <w:jc w:val="both"/>
      </w:pPr>
      <w:r>
        <w:rPr>
          <w:color w:val="3B383A"/>
          <w:w w:val="105"/>
        </w:rPr>
        <w:t>outsiders</w:t>
      </w:r>
      <w:r>
        <w:rPr>
          <w:color w:val="525052"/>
          <w:w w:val="105"/>
        </w:rPr>
        <w:t>, </w:t>
      </w:r>
      <w:r>
        <w:rPr>
          <w:color w:val="3B383A"/>
          <w:w w:val="105"/>
          <w:sz w:val="21"/>
        </w:rPr>
        <w:t>it </w:t>
      </w:r>
      <w:r>
        <w:rPr>
          <w:color w:val="3B383A"/>
          <w:w w:val="105"/>
        </w:rPr>
        <w:t>might not be worthwhile to address these issues separately.</w:t>
      </w:r>
      <w:r>
        <w:rPr>
          <w:rFonts w:ascii="Arial"/>
          <w:color w:val="3B383A"/>
          <w:w w:val="105"/>
          <w:vertAlign w:val="superscript"/>
        </w:rPr>
        <w:t>6</w:t>
      </w:r>
      <w:r>
        <w:rPr>
          <w:rFonts w:ascii="Arial"/>
          <w:color w:val="3B383A"/>
          <w:spacing w:val="1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The</w:t>
      </w:r>
      <w:r>
        <w:rPr>
          <w:color w:val="3B383A"/>
          <w:spacing w:val="-21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courts'</w:t>
      </w:r>
      <w:r>
        <w:rPr>
          <w:color w:val="3B383A"/>
          <w:spacing w:val="-17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analysis</w:t>
      </w:r>
      <w:r>
        <w:rPr>
          <w:color w:val="3B383A"/>
          <w:spacing w:val="-9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is</w:t>
      </w:r>
      <w:r>
        <w:rPr>
          <w:color w:val="3B383A"/>
          <w:spacing w:val="-7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usually</w:t>
      </w:r>
      <w:r>
        <w:rPr>
          <w:color w:val="3B383A"/>
          <w:spacing w:val="-18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a good</w:t>
      </w:r>
      <w:r>
        <w:rPr>
          <w:color w:val="3B383A"/>
          <w:spacing w:val="8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starting</w:t>
      </w:r>
      <w:r>
        <w:rPr>
          <w:color w:val="3B383A"/>
          <w:spacing w:val="-11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point.</w:t>
      </w:r>
    </w:p>
    <w:p>
      <w:pPr>
        <w:pStyle w:val="BodyText"/>
        <w:spacing w:line="234" w:lineRule="exact"/>
        <w:ind w:left="1549"/>
        <w:jc w:val="both"/>
      </w:pPr>
      <w:r>
        <w:rPr>
          <w:color w:val="3B383A"/>
          <w:w w:val="110"/>
        </w:rPr>
        <w:t>Whether</w:t>
      </w:r>
      <w:r>
        <w:rPr>
          <w:color w:val="3B383A"/>
          <w:spacing w:val="26"/>
          <w:w w:val="110"/>
        </w:rPr>
        <w:t> </w:t>
      </w:r>
      <w:r>
        <w:rPr>
          <w:color w:val="3B383A"/>
          <w:w w:val="110"/>
        </w:rPr>
        <w:t>your</w:t>
      </w:r>
      <w:r>
        <w:rPr>
          <w:color w:val="3B383A"/>
          <w:spacing w:val="32"/>
          <w:w w:val="110"/>
        </w:rPr>
        <w:t> </w:t>
      </w:r>
      <w:r>
        <w:rPr>
          <w:color w:val="3B383A"/>
          <w:w w:val="110"/>
        </w:rPr>
        <w:t>rule</w:t>
      </w:r>
      <w:r>
        <w:rPr>
          <w:color w:val="3B383A"/>
          <w:spacing w:val="12"/>
          <w:w w:val="110"/>
        </w:rPr>
        <w:t> </w:t>
      </w:r>
      <w:r>
        <w:rPr>
          <w:color w:val="3B383A"/>
          <w:w w:val="110"/>
        </w:rPr>
        <w:t>comes</w:t>
      </w:r>
      <w:r>
        <w:rPr>
          <w:color w:val="3B383A"/>
          <w:spacing w:val="17"/>
          <w:w w:val="110"/>
        </w:rPr>
        <w:t> </w:t>
      </w:r>
      <w:r>
        <w:rPr>
          <w:color w:val="3B383A"/>
          <w:w w:val="110"/>
        </w:rPr>
        <w:t>from</w:t>
      </w:r>
      <w:r>
        <w:rPr>
          <w:color w:val="3B383A"/>
          <w:spacing w:val="20"/>
          <w:w w:val="110"/>
        </w:rPr>
        <w:t> </w:t>
      </w:r>
      <w:r>
        <w:rPr>
          <w:color w:val="3B383A"/>
          <w:w w:val="110"/>
        </w:rPr>
        <w:t>a</w:t>
      </w:r>
      <w:r>
        <w:rPr>
          <w:color w:val="3B383A"/>
          <w:spacing w:val="21"/>
          <w:w w:val="110"/>
        </w:rPr>
        <w:t> </w:t>
      </w:r>
      <w:r>
        <w:rPr>
          <w:color w:val="3B383A"/>
          <w:w w:val="110"/>
        </w:rPr>
        <w:t>statute</w:t>
      </w:r>
      <w:r>
        <w:rPr>
          <w:color w:val="3B383A"/>
          <w:spacing w:val="13"/>
          <w:w w:val="110"/>
        </w:rPr>
        <w:t> </w:t>
      </w:r>
      <w:r>
        <w:rPr>
          <w:color w:val="3B383A"/>
          <w:w w:val="110"/>
        </w:rPr>
        <w:t>or</w:t>
      </w:r>
      <w:r>
        <w:rPr>
          <w:color w:val="3B383A"/>
          <w:spacing w:val="29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32"/>
          <w:w w:val="110"/>
        </w:rPr>
        <w:t> </w:t>
      </w:r>
      <w:r>
        <w:rPr>
          <w:color w:val="3B383A"/>
          <w:w w:val="110"/>
        </w:rPr>
        <w:t>common</w:t>
      </w:r>
      <w:r>
        <w:rPr>
          <w:color w:val="3B383A"/>
          <w:spacing w:val="42"/>
          <w:w w:val="110"/>
        </w:rPr>
        <w:t> </w:t>
      </w:r>
      <w:r>
        <w:rPr>
          <w:color w:val="3B383A"/>
          <w:w w:val="110"/>
        </w:rPr>
        <w:t>law,</w:t>
      </w:r>
      <w:r>
        <w:rPr>
          <w:color w:val="3B383A"/>
          <w:spacing w:val="36"/>
          <w:w w:val="110"/>
        </w:rPr>
        <w:t> </w:t>
      </w:r>
      <w:r>
        <w:rPr>
          <w:color w:val="3B383A"/>
          <w:w w:val="110"/>
        </w:rPr>
        <w:t>you</w:t>
      </w:r>
    </w:p>
    <w:p>
      <w:pPr>
        <w:pStyle w:val="BodyText"/>
        <w:spacing w:line="230" w:lineRule="auto" w:before="6"/>
        <w:ind w:left="1168" w:right="71" w:firstLine="15"/>
        <w:jc w:val="both"/>
      </w:pPr>
      <w:r>
        <w:rPr>
          <w:color w:val="3B383A"/>
          <w:w w:val="105"/>
        </w:rPr>
        <w:t>may find that you can discover the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true phrases-that-pay only after fur­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ther research. </w:t>
      </w:r>
      <w:r>
        <w:rPr>
          <w:i/>
          <w:color w:val="3B383A"/>
          <w:w w:val="110"/>
          <w:sz w:val="24"/>
        </w:rPr>
        <w:t>Sometimes </w:t>
      </w:r>
      <w:r>
        <w:rPr>
          <w:color w:val="3B383A"/>
          <w:w w:val="110"/>
        </w:rPr>
        <w:t>a term in controversy has one or more layers</w:t>
      </w:r>
      <w:r>
        <w:rPr>
          <w:color w:val="3B383A"/>
          <w:spacing w:val="1"/>
          <w:w w:val="110"/>
        </w:rPr>
        <w:t> </w:t>
      </w:r>
      <w:r>
        <w:rPr>
          <w:color w:val="3B383A"/>
          <w:spacing w:val="-1"/>
          <w:w w:val="110"/>
        </w:rPr>
        <w:t>of judicial gloss, so that the actual phrase-that-pays is </w:t>
      </w:r>
      <w:r>
        <w:rPr>
          <w:color w:val="3B383A"/>
          <w:w w:val="110"/>
        </w:rPr>
        <w:t>one or two layers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away from</w:t>
      </w:r>
      <w:r>
        <w:rPr>
          <w:color w:val="3B383A"/>
          <w:spacing w:val="14"/>
          <w:w w:val="105"/>
        </w:rPr>
        <w:t> </w:t>
      </w:r>
      <w:r>
        <w:rPr>
          <w:color w:val="3B383A"/>
          <w:w w:val="105"/>
        </w:rPr>
        <w:t>the</w:t>
      </w:r>
      <w:r>
        <w:rPr>
          <w:color w:val="3B383A"/>
          <w:spacing w:val="26"/>
          <w:w w:val="105"/>
        </w:rPr>
        <w:t> </w:t>
      </w:r>
      <w:r>
        <w:rPr>
          <w:color w:val="3B383A"/>
          <w:w w:val="105"/>
        </w:rPr>
        <w:t>phrase-that-pays</w:t>
      </w:r>
      <w:r>
        <w:rPr>
          <w:color w:val="3B383A"/>
          <w:spacing w:val="-7"/>
          <w:w w:val="105"/>
        </w:rPr>
        <w:t> </w:t>
      </w:r>
      <w:r>
        <w:rPr>
          <w:color w:val="3B383A"/>
          <w:w w:val="105"/>
        </w:rPr>
        <w:t>in</w:t>
      </w:r>
      <w:r>
        <w:rPr>
          <w:color w:val="3B383A"/>
          <w:spacing w:val="36"/>
          <w:w w:val="105"/>
        </w:rPr>
        <w:t> </w:t>
      </w:r>
      <w:r>
        <w:rPr>
          <w:color w:val="3B383A"/>
          <w:w w:val="105"/>
        </w:rPr>
        <w:t>the</w:t>
      </w:r>
      <w:r>
        <w:rPr>
          <w:color w:val="3B383A"/>
          <w:spacing w:val="38"/>
          <w:w w:val="105"/>
        </w:rPr>
        <w:t> </w:t>
      </w:r>
      <w:r>
        <w:rPr>
          <w:color w:val="3B383A"/>
          <w:w w:val="105"/>
        </w:rPr>
        <w:t>rule</w:t>
      </w:r>
      <w:r>
        <w:rPr>
          <w:color w:val="3B383A"/>
          <w:spacing w:val="-7"/>
          <w:w w:val="105"/>
        </w:rPr>
        <w:t> </w:t>
      </w:r>
      <w:r>
        <w:rPr>
          <w:color w:val="3B383A"/>
          <w:w w:val="105"/>
        </w:rPr>
        <w:t>itself.</w:t>
      </w:r>
      <w:r>
        <w:rPr>
          <w:color w:val="3B383A"/>
          <w:spacing w:val="-1"/>
          <w:w w:val="105"/>
        </w:rPr>
        <w:t> </w:t>
      </w:r>
      <w:r>
        <w:rPr>
          <w:color w:val="3B383A"/>
          <w:w w:val="105"/>
        </w:rPr>
        <w:t>For example,</w:t>
      </w:r>
      <w:r>
        <w:rPr>
          <w:color w:val="3B383A"/>
          <w:spacing w:val="25"/>
          <w:w w:val="105"/>
        </w:rPr>
        <w:t> </w:t>
      </w:r>
      <w:r>
        <w:rPr>
          <w:color w:val="3B383A"/>
          <w:w w:val="105"/>
        </w:rPr>
        <w:t>28</w:t>
      </w:r>
      <w:r>
        <w:rPr>
          <w:color w:val="3B383A"/>
          <w:spacing w:val="30"/>
          <w:w w:val="105"/>
        </w:rPr>
        <w:t> </w:t>
      </w:r>
      <w:r>
        <w:rPr>
          <w:color w:val="3B383A"/>
          <w:w w:val="105"/>
        </w:rPr>
        <w:t>U</w:t>
      </w:r>
      <w:r>
        <w:rPr>
          <w:color w:val="525052"/>
          <w:w w:val="105"/>
        </w:rPr>
        <w:t>.</w:t>
      </w:r>
      <w:r>
        <w:rPr>
          <w:color w:val="3B383A"/>
          <w:w w:val="105"/>
        </w:rPr>
        <w:t>S</w:t>
      </w:r>
      <w:r>
        <w:rPr>
          <w:color w:val="525052"/>
          <w:w w:val="105"/>
        </w:rPr>
        <w:t>.</w:t>
      </w:r>
      <w:r>
        <w:rPr>
          <w:color w:val="3B383A"/>
          <w:w w:val="105"/>
        </w:rPr>
        <w:t>C.</w:t>
      </w:r>
    </w:p>
    <w:p>
      <w:pPr>
        <w:pStyle w:val="BodyText"/>
        <w:spacing w:line="235" w:lineRule="auto"/>
        <w:ind w:left="1042" w:right="89" w:firstLine="107"/>
        <w:jc w:val="both"/>
      </w:pPr>
      <w:r>
        <w:rPr>
          <w:color w:val="3B383A"/>
          <w:w w:val="110"/>
          <w:sz w:val="22"/>
        </w:rPr>
        <w:t>§1332 </w:t>
      </w:r>
      <w:r>
        <w:rPr>
          <w:color w:val="3B383A"/>
          <w:w w:val="110"/>
        </w:rPr>
        <w:t>gives federal district courts "diversity jurisdiction" over certain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lawsuits between "citizens of different states." If you did not conduct fur­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5"/>
        </w:rPr>
        <w:t>ther research, you might presume that you had to focus your analysis</w:t>
      </w:r>
      <w:r>
        <w:rPr>
          <w:color w:val="3B383A"/>
          <w:spacing w:val="-64"/>
          <w:w w:val="115"/>
        </w:rPr>
        <w:t> </w:t>
      </w:r>
      <w:r>
        <w:rPr>
          <w:color w:val="3B383A"/>
          <w:w w:val="105"/>
        </w:rPr>
        <w:t>on  the meaning of the  term </w:t>
      </w:r>
      <w:r>
        <w:rPr>
          <w:rFonts w:ascii="Arial" w:hAnsi="Arial"/>
          <w:i/>
          <w:color w:val="3B383A"/>
          <w:w w:val="105"/>
          <w:sz w:val="21"/>
        </w:rPr>
        <w:t>citizen </w:t>
      </w:r>
      <w:r>
        <w:rPr>
          <w:color w:val="3B383A"/>
          <w:w w:val="105"/>
        </w:rPr>
        <w:t>as it applies to your client and  his or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her opponent. </w:t>
      </w:r>
      <w:r>
        <w:rPr>
          <w:color w:val="3B383A"/>
          <w:w w:val="110"/>
          <w:sz w:val="22"/>
        </w:rPr>
        <w:t>If </w:t>
      </w:r>
      <w:r>
        <w:rPr>
          <w:color w:val="3B383A"/>
          <w:w w:val="110"/>
        </w:rPr>
        <w:t>you did conduct further </w:t>
      </w:r>
      <w:r>
        <w:rPr>
          <w:color w:val="2A2628"/>
          <w:w w:val="110"/>
        </w:rPr>
        <w:t>re</w:t>
      </w:r>
      <w:r>
        <w:rPr>
          <w:color w:val="525052"/>
          <w:w w:val="110"/>
        </w:rPr>
        <w:t>s</w:t>
      </w:r>
      <w:r>
        <w:rPr>
          <w:color w:val="3B383A"/>
          <w:w w:val="110"/>
        </w:rPr>
        <w:t>earch, however, you would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5"/>
        </w:rPr>
        <w:t>discover that the courts define </w:t>
      </w:r>
      <w:r>
        <w:rPr>
          <w:rFonts w:ascii="Arial" w:hAnsi="Arial"/>
          <w:i/>
          <w:color w:val="3B383A"/>
          <w:w w:val="115"/>
          <w:sz w:val="21"/>
        </w:rPr>
        <w:t>citizenship-for </w:t>
      </w:r>
      <w:r>
        <w:rPr>
          <w:color w:val="3B383A"/>
          <w:w w:val="115"/>
        </w:rPr>
        <w:t>purposes of </w:t>
      </w:r>
      <w:r>
        <w:rPr>
          <w:color w:val="3B383A"/>
          <w:w w:val="115"/>
          <w:sz w:val="22"/>
        </w:rPr>
        <w:t>§1332-as</w:t>
      </w:r>
      <w:r>
        <w:rPr>
          <w:color w:val="3B383A"/>
          <w:spacing w:val="1"/>
          <w:w w:val="115"/>
          <w:sz w:val="22"/>
        </w:rPr>
        <w:t> </w:t>
      </w:r>
      <w:r>
        <w:rPr>
          <w:color w:val="3B383A"/>
          <w:spacing w:val="-1"/>
          <w:w w:val="110"/>
        </w:rPr>
        <w:t>"domicile." </w:t>
      </w:r>
      <w:r>
        <w:rPr>
          <w:color w:val="3B383A"/>
          <w:w w:val="110"/>
        </w:rPr>
        <w:t>Furthermore, the courts explain that establishing a domicile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requires that "a person must be physically present in  the state and must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5"/>
        </w:rPr>
        <w:t>have either the intention to make his home there indefinitely or the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0"/>
        </w:rPr>
        <w:t>absence of an intention to make his home elsewhere.</w:t>
      </w:r>
      <w:r>
        <w:rPr>
          <w:color w:val="525052"/>
          <w:w w:val="110"/>
        </w:rPr>
        <w:t>"</w:t>
      </w:r>
      <w:r>
        <w:rPr>
          <w:rFonts w:ascii="Arial" w:hAnsi="Arial"/>
          <w:color w:val="525052"/>
          <w:w w:val="110"/>
          <w:vertAlign w:val="superscript"/>
        </w:rPr>
        <w:t>7</w:t>
      </w:r>
      <w:r>
        <w:rPr>
          <w:rFonts w:ascii="Arial" w:hAnsi="Arial"/>
          <w:color w:val="525052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Upon looking at</w:t>
      </w:r>
      <w:r>
        <w:rPr>
          <w:color w:val="3B383A"/>
          <w:spacing w:val="1"/>
          <w:w w:val="110"/>
          <w:vertAlign w:val="baseline"/>
        </w:rPr>
        <w:t> </w:t>
      </w:r>
      <w:r>
        <w:rPr>
          <w:color w:val="3B383A"/>
          <w:w w:val="105"/>
          <w:vertAlign w:val="baseline"/>
        </w:rPr>
        <w:t>the cases addressing this rule, you see that courts analyze "physical pres­</w:t>
      </w:r>
      <w:r>
        <w:rPr>
          <w:color w:val="3B383A"/>
          <w:spacing w:val="1"/>
          <w:w w:val="105"/>
          <w:vertAlign w:val="baseline"/>
        </w:rPr>
        <w:t> </w:t>
      </w:r>
      <w:r>
        <w:rPr>
          <w:color w:val="3B383A"/>
          <w:w w:val="115"/>
          <w:vertAlign w:val="baseline"/>
        </w:rPr>
        <w:t>ence," "intent" to make a home in a state, or both, when d</w:t>
      </w:r>
      <w:r>
        <w:rPr>
          <w:color w:val="525052"/>
          <w:w w:val="115"/>
          <w:vertAlign w:val="baseline"/>
        </w:rPr>
        <w:t>e</w:t>
      </w:r>
      <w:r>
        <w:rPr>
          <w:color w:val="3B383A"/>
          <w:w w:val="115"/>
          <w:vertAlign w:val="baseline"/>
        </w:rPr>
        <w:t>-termining</w:t>
      </w:r>
      <w:r>
        <w:rPr>
          <w:color w:val="3B383A"/>
          <w:spacing w:val="-64"/>
          <w:w w:val="115"/>
          <w:vertAlign w:val="baseline"/>
        </w:rPr>
        <w:t> </w:t>
      </w:r>
      <w:r>
        <w:rPr>
          <w:color w:val="3B383A"/>
          <w:w w:val="115"/>
          <w:vertAlign w:val="baseline"/>
        </w:rPr>
        <w:t>whether</w:t>
      </w:r>
      <w:r>
        <w:rPr>
          <w:color w:val="3B383A"/>
          <w:spacing w:val="1"/>
          <w:w w:val="115"/>
          <w:vertAlign w:val="baseline"/>
        </w:rPr>
        <w:t> </w:t>
      </w:r>
      <w:r>
        <w:rPr>
          <w:color w:val="3B383A"/>
          <w:w w:val="115"/>
          <w:vertAlign w:val="baseline"/>
        </w:rPr>
        <w:t>the</w:t>
      </w:r>
      <w:r>
        <w:rPr>
          <w:color w:val="3B383A"/>
          <w:spacing w:val="20"/>
          <w:w w:val="115"/>
          <w:vertAlign w:val="baseline"/>
        </w:rPr>
        <w:t> </w:t>
      </w:r>
      <w:r>
        <w:rPr>
          <w:color w:val="3B383A"/>
          <w:w w:val="115"/>
          <w:vertAlign w:val="baseline"/>
        </w:rPr>
        <w:t>standard</w:t>
      </w:r>
      <w:r>
        <w:rPr>
          <w:color w:val="3B383A"/>
          <w:spacing w:val="-4"/>
          <w:w w:val="115"/>
          <w:vertAlign w:val="baseline"/>
        </w:rPr>
        <w:t> </w:t>
      </w:r>
      <w:r>
        <w:rPr>
          <w:color w:val="3B383A"/>
          <w:w w:val="115"/>
          <w:vertAlign w:val="baseline"/>
        </w:rPr>
        <w:t>is</w:t>
      </w:r>
      <w:r>
        <w:rPr>
          <w:color w:val="3B383A"/>
          <w:spacing w:val="-16"/>
          <w:w w:val="115"/>
          <w:vertAlign w:val="baseline"/>
        </w:rPr>
        <w:t> </w:t>
      </w:r>
      <w:r>
        <w:rPr>
          <w:color w:val="3B383A"/>
          <w:w w:val="115"/>
          <w:vertAlign w:val="baseline"/>
        </w:rPr>
        <w:t>met</w:t>
      </w:r>
      <w:r>
        <w:rPr>
          <w:color w:val="525052"/>
          <w:w w:val="115"/>
          <w:vertAlign w:val="baseline"/>
        </w:rPr>
        <w:t>.</w:t>
      </w:r>
    </w:p>
    <w:p>
      <w:pPr>
        <w:pStyle w:val="BodyText"/>
        <w:spacing w:line="241" w:lineRule="exact"/>
        <w:ind w:left="1367"/>
        <w:jc w:val="both"/>
      </w:pPr>
      <w:r>
        <w:rPr>
          <w:color w:val="3B383A"/>
          <w:w w:val="110"/>
          <w:sz w:val="21"/>
        </w:rPr>
        <w:t>An</w:t>
      </w:r>
      <w:r>
        <w:rPr>
          <w:color w:val="3B383A"/>
          <w:spacing w:val="-35"/>
          <w:w w:val="110"/>
          <w:sz w:val="21"/>
        </w:rPr>
        <w:t> </w:t>
      </w:r>
      <w:r>
        <w:rPr>
          <w:color w:val="3B383A"/>
          <w:w w:val="110"/>
        </w:rPr>
        <w:t>often-reliable</w:t>
      </w:r>
      <w:r>
        <w:rPr>
          <w:color w:val="3B383A"/>
          <w:spacing w:val="-32"/>
          <w:w w:val="110"/>
        </w:rPr>
        <w:t> </w:t>
      </w:r>
      <w:r>
        <w:rPr>
          <w:color w:val="3B383A"/>
          <w:w w:val="110"/>
        </w:rPr>
        <w:t>test</w:t>
      </w:r>
      <w:r>
        <w:rPr>
          <w:color w:val="3B383A"/>
          <w:spacing w:val="-37"/>
          <w:w w:val="110"/>
        </w:rPr>
        <w:t> </w:t>
      </w:r>
      <w:r>
        <w:rPr>
          <w:color w:val="3B383A"/>
          <w:w w:val="110"/>
        </w:rPr>
        <w:t>for</w:t>
      </w:r>
      <w:r>
        <w:rPr>
          <w:color w:val="3B383A"/>
          <w:spacing w:val="-26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-8"/>
          <w:w w:val="110"/>
        </w:rPr>
        <w:t> </w:t>
      </w:r>
      <w:r>
        <w:rPr>
          <w:color w:val="3B383A"/>
          <w:w w:val="110"/>
        </w:rPr>
        <w:t>true</w:t>
      </w:r>
      <w:r>
        <w:rPr>
          <w:color w:val="3B383A"/>
          <w:spacing w:val="-35"/>
          <w:w w:val="110"/>
        </w:rPr>
        <w:t> </w:t>
      </w:r>
      <w:r>
        <w:rPr>
          <w:color w:val="3B383A"/>
          <w:w w:val="110"/>
        </w:rPr>
        <w:t>phrase-that-paysisto</w:t>
      </w:r>
      <w:r>
        <w:rPr>
          <w:color w:val="3B383A"/>
          <w:spacing w:val="-23"/>
          <w:w w:val="110"/>
        </w:rPr>
        <w:t> </w:t>
      </w:r>
      <w:r>
        <w:rPr>
          <w:color w:val="3B383A"/>
          <w:w w:val="110"/>
        </w:rPr>
        <w:t>identify</w:t>
      </w:r>
      <w:r>
        <w:rPr>
          <w:color w:val="3B383A"/>
          <w:spacing w:val="-14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-13"/>
          <w:w w:val="110"/>
        </w:rPr>
        <w:t> </w:t>
      </w:r>
      <w:r>
        <w:rPr>
          <w:color w:val="3B383A"/>
          <w:w w:val="110"/>
        </w:rPr>
        <w:t>term</w:t>
      </w:r>
    </w:p>
    <w:p>
      <w:pPr>
        <w:pStyle w:val="BodyText"/>
        <w:spacing w:line="232" w:lineRule="auto"/>
        <w:ind w:left="975" w:right="145" w:firstLine="63"/>
        <w:jc w:val="both"/>
      </w:pPr>
      <w:r>
        <w:rPr>
          <w:color w:val="3B383A"/>
          <w:w w:val="110"/>
        </w:rPr>
        <w:t>that courts connect-or "apply</w:t>
      </w:r>
      <w:r>
        <w:rPr>
          <w:color w:val="525052"/>
          <w:w w:val="110"/>
        </w:rPr>
        <w:t>"</w:t>
      </w:r>
      <w:r>
        <w:rPr>
          <w:color w:val="2A2628"/>
          <w:w w:val="110"/>
        </w:rPr>
        <w:t>-to</w:t>
      </w:r>
      <w:r>
        <w:rPr>
          <w:color w:val="2A2628"/>
          <w:spacing w:val="1"/>
          <w:w w:val="110"/>
        </w:rPr>
        <w:t> </w:t>
      </w:r>
      <w:r>
        <w:rPr>
          <w:color w:val="3B383A"/>
          <w:w w:val="110"/>
        </w:rPr>
        <w:t>the facts of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case. In a diversity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case, for example, the court might connect the concept of "citizenship" to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"domicile," and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"domicile" to "intent." If the  court connects case fa</w:t>
      </w:r>
      <w:r>
        <w:rPr>
          <w:color w:val="525052"/>
          <w:w w:val="105"/>
        </w:rPr>
        <w:t>c</w:t>
      </w:r>
      <w:r>
        <w:rPr>
          <w:color w:val="3B383A"/>
          <w:w w:val="105"/>
        </w:rPr>
        <w:t>ts to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the terms "physical presence" and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"intent" ("Mr. Guillen</w:t>
      </w:r>
      <w:r>
        <w:rPr>
          <w:rFonts w:ascii="Arial"/>
          <w:color w:val="3B383A"/>
          <w:w w:val="105"/>
          <w:vertAlign w:val="superscript"/>
        </w:rPr>
        <w:t>8</w:t>
      </w:r>
      <w:r>
        <w:rPr>
          <w:rFonts w:ascii="Arial"/>
          <w:color w:val="3B383A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was phy</w:t>
      </w:r>
      <w:r>
        <w:rPr>
          <w:color w:val="525052"/>
          <w:w w:val="105"/>
          <w:vertAlign w:val="baseline"/>
        </w:rPr>
        <w:t>s</w:t>
      </w:r>
      <w:r>
        <w:rPr>
          <w:color w:val="2A2628"/>
          <w:w w:val="105"/>
          <w:vertAlign w:val="baseline"/>
        </w:rPr>
        <w:t>ically</w:t>
      </w:r>
      <w:r>
        <w:rPr>
          <w:color w:val="2A2628"/>
          <w:spacing w:val="1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present in  Illinois through  much of the  relevant time period</w:t>
      </w:r>
      <w:r>
        <w:rPr>
          <w:color w:val="525052"/>
          <w:w w:val="105"/>
          <w:vertAlign w:val="baseline"/>
        </w:rPr>
        <w:t>, </w:t>
      </w:r>
      <w:r>
        <w:rPr>
          <w:color w:val="3B383A"/>
          <w:w w:val="105"/>
          <w:vertAlign w:val="baseline"/>
        </w:rPr>
        <w:t>and  stated at</w:t>
      </w:r>
      <w:r>
        <w:rPr>
          <w:color w:val="3B383A"/>
          <w:spacing w:val="1"/>
          <w:w w:val="105"/>
          <w:vertAlign w:val="baseline"/>
        </w:rPr>
        <w:t> </w:t>
      </w:r>
      <w:r>
        <w:rPr>
          <w:color w:val="3B383A"/>
          <w:w w:val="110"/>
          <w:vertAlign w:val="baseline"/>
        </w:rPr>
        <w:t>a</w:t>
      </w:r>
      <w:r>
        <w:rPr>
          <w:color w:val="3B383A"/>
          <w:spacing w:val="-18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press</w:t>
      </w:r>
      <w:r>
        <w:rPr>
          <w:color w:val="3B383A"/>
          <w:spacing w:val="-31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conference</w:t>
      </w:r>
      <w:r>
        <w:rPr>
          <w:color w:val="3B383A"/>
          <w:spacing w:val="-1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his</w:t>
      </w:r>
      <w:r>
        <w:rPr>
          <w:color w:val="3B383A"/>
          <w:spacing w:val="-10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intent</w:t>
      </w:r>
      <w:r>
        <w:rPr>
          <w:color w:val="3B383A"/>
          <w:spacing w:val="-7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to</w:t>
      </w:r>
      <w:r>
        <w:rPr>
          <w:color w:val="3B383A"/>
          <w:spacing w:val="-25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remain")</w:t>
      </w:r>
      <w:r>
        <w:rPr>
          <w:color w:val="525052"/>
          <w:w w:val="110"/>
          <w:vertAlign w:val="baseline"/>
        </w:rPr>
        <w:t>,</w:t>
      </w:r>
      <w:r>
        <w:rPr>
          <w:color w:val="525052"/>
          <w:spacing w:val="-5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you</w:t>
      </w:r>
      <w:r>
        <w:rPr>
          <w:color w:val="3B383A"/>
          <w:spacing w:val="-16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can</w:t>
      </w:r>
      <w:r>
        <w:rPr>
          <w:color w:val="3B383A"/>
          <w:spacing w:val="19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be</w:t>
      </w:r>
      <w:r>
        <w:rPr>
          <w:color w:val="3B383A"/>
          <w:spacing w:val="-15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pretty</w:t>
      </w:r>
      <w:r>
        <w:rPr>
          <w:color w:val="3B383A"/>
          <w:spacing w:val="-24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confident</w:t>
      </w:r>
      <w:r>
        <w:rPr>
          <w:color w:val="3B383A"/>
          <w:spacing w:val="-8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that</w:t>
      </w:r>
      <w:r>
        <w:rPr>
          <w:color w:val="3B383A"/>
          <w:spacing w:val="1"/>
          <w:w w:val="110"/>
          <w:vertAlign w:val="baseline"/>
        </w:rPr>
        <w:t> </w:t>
      </w:r>
      <w:r>
        <w:rPr>
          <w:color w:val="3B383A"/>
          <w:w w:val="105"/>
          <w:vertAlign w:val="baseline"/>
        </w:rPr>
        <w:t>for the rule </w:t>
      </w:r>
      <w:r>
        <w:rPr>
          <w:color w:val="2A2628"/>
          <w:w w:val="105"/>
          <w:vertAlign w:val="baseline"/>
        </w:rPr>
        <w:t>determining </w:t>
      </w:r>
      <w:r>
        <w:rPr>
          <w:color w:val="3B383A"/>
          <w:w w:val="105"/>
          <w:vertAlign w:val="baseline"/>
        </w:rPr>
        <w:t>diversity of citizenship, the</w:t>
      </w:r>
      <w:r>
        <w:rPr>
          <w:color w:val="3B383A"/>
          <w:spacing w:val="1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phrases-that-pay are</w:t>
      </w:r>
      <w:r>
        <w:rPr>
          <w:color w:val="3B383A"/>
          <w:spacing w:val="1"/>
          <w:w w:val="105"/>
          <w:vertAlign w:val="baseline"/>
        </w:rPr>
        <w:t> </w:t>
      </w:r>
      <w:r>
        <w:rPr>
          <w:color w:val="3B383A"/>
          <w:spacing w:val="-1"/>
          <w:w w:val="110"/>
          <w:vertAlign w:val="baseline"/>
        </w:rPr>
        <w:t>"physical presence" </w:t>
      </w:r>
      <w:r>
        <w:rPr>
          <w:color w:val="3B383A"/>
          <w:w w:val="110"/>
          <w:vertAlign w:val="baseline"/>
        </w:rPr>
        <w:t>and "intent to make a home there indefinitely or the</w:t>
      </w:r>
      <w:r>
        <w:rPr>
          <w:color w:val="3B383A"/>
          <w:spacing w:val="1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absence</w:t>
      </w:r>
      <w:r>
        <w:rPr>
          <w:color w:val="3B383A"/>
          <w:spacing w:val="-15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of</w:t>
      </w:r>
      <w:r>
        <w:rPr>
          <w:color w:val="3B383A"/>
          <w:spacing w:val="2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an</w:t>
      </w:r>
      <w:r>
        <w:rPr>
          <w:color w:val="3B383A"/>
          <w:spacing w:val="25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intent</w:t>
      </w:r>
      <w:r>
        <w:rPr>
          <w:color w:val="3B383A"/>
          <w:spacing w:val="-1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to</w:t>
      </w:r>
      <w:r>
        <w:rPr>
          <w:color w:val="3B383A"/>
          <w:spacing w:val="-6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make</w:t>
      </w:r>
      <w:r>
        <w:rPr>
          <w:color w:val="3B383A"/>
          <w:spacing w:val="-13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a</w:t>
      </w:r>
      <w:r>
        <w:rPr>
          <w:color w:val="3B383A"/>
          <w:spacing w:val="3"/>
          <w:w w:val="110"/>
          <w:vertAlign w:val="baseline"/>
        </w:rPr>
        <w:t> </w:t>
      </w:r>
      <w:r>
        <w:rPr>
          <w:color w:val="2A2628"/>
          <w:w w:val="110"/>
          <w:vertAlign w:val="baseline"/>
        </w:rPr>
        <w:t>home</w:t>
      </w:r>
      <w:r>
        <w:rPr>
          <w:color w:val="2A2628"/>
          <w:spacing w:val="-16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elsewhere."</w:t>
      </w:r>
    </w:p>
    <w:p>
      <w:pPr>
        <w:pStyle w:val="BodyText"/>
        <w:spacing w:line="232" w:lineRule="auto" w:before="8"/>
        <w:ind w:left="923" w:right="181" w:firstLine="404"/>
        <w:jc w:val="both"/>
      </w:pPr>
      <w:r>
        <w:rPr>
          <w:color w:val="3B383A"/>
          <w:w w:val="105"/>
        </w:rPr>
        <w:t>When deciding what points to argue in your b</w:t>
      </w:r>
      <w:r>
        <w:rPr>
          <w:color w:val="525052"/>
          <w:w w:val="105"/>
        </w:rPr>
        <w:t>r</w:t>
      </w:r>
      <w:r>
        <w:rPr>
          <w:color w:val="3B383A"/>
          <w:w w:val="105"/>
        </w:rPr>
        <w:t>ief, however, you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must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do more than identify the phrases-that-pay that exist within a rule; you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must decide which phrases-that-pay are at </w:t>
      </w:r>
      <w:r>
        <w:rPr>
          <w:color w:val="2A2628"/>
          <w:w w:val="110"/>
        </w:rPr>
        <w:t>issue. </w:t>
      </w:r>
      <w:r>
        <w:rPr>
          <w:color w:val="3B383A"/>
          <w:w w:val="110"/>
        </w:rPr>
        <w:t>For example, you may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have a diversity situation where a party to a case is obviously "physically</w:t>
      </w:r>
      <w:r>
        <w:rPr>
          <w:color w:val="3B383A"/>
          <w:spacing w:val="1"/>
          <w:w w:val="105"/>
        </w:rPr>
        <w:t> </w:t>
      </w:r>
      <w:r>
        <w:rPr>
          <w:color w:val="3B383A"/>
          <w:spacing w:val="-1"/>
          <w:w w:val="110"/>
        </w:rPr>
        <w:t>present,"</w:t>
      </w:r>
      <w:r>
        <w:rPr>
          <w:color w:val="3B383A"/>
          <w:spacing w:val="-4"/>
          <w:w w:val="110"/>
        </w:rPr>
        <w:t> </w:t>
      </w:r>
      <w:r>
        <w:rPr>
          <w:color w:val="3B383A"/>
          <w:spacing w:val="-1"/>
          <w:w w:val="110"/>
        </w:rPr>
        <w:t>but</w:t>
      </w:r>
      <w:r>
        <w:rPr>
          <w:color w:val="3B383A"/>
          <w:spacing w:val="11"/>
          <w:w w:val="110"/>
        </w:rPr>
        <w:t> </w:t>
      </w:r>
      <w:r>
        <w:rPr>
          <w:color w:val="3B383A"/>
          <w:spacing w:val="-1"/>
          <w:w w:val="110"/>
        </w:rPr>
        <w:t>where</w:t>
      </w:r>
      <w:r>
        <w:rPr>
          <w:color w:val="3B383A"/>
          <w:spacing w:val="-14"/>
          <w:w w:val="110"/>
        </w:rPr>
        <w:t> </w:t>
      </w:r>
      <w:r>
        <w:rPr>
          <w:color w:val="3B383A"/>
          <w:w w:val="110"/>
        </w:rPr>
        <w:t>there</w:t>
      </w:r>
      <w:r>
        <w:rPr>
          <w:color w:val="3B383A"/>
          <w:spacing w:val="-20"/>
          <w:w w:val="110"/>
        </w:rPr>
        <w:t> </w:t>
      </w:r>
      <w:r>
        <w:rPr>
          <w:color w:val="3B383A"/>
          <w:w w:val="110"/>
        </w:rPr>
        <w:t>is</w:t>
      </w:r>
      <w:r>
        <w:rPr>
          <w:color w:val="3B383A"/>
          <w:spacing w:val="-32"/>
          <w:w w:val="110"/>
        </w:rPr>
        <w:t> </w:t>
      </w:r>
      <w:r>
        <w:rPr>
          <w:color w:val="3B383A"/>
          <w:w w:val="110"/>
        </w:rPr>
        <w:t>some</w:t>
      </w:r>
      <w:r>
        <w:rPr>
          <w:color w:val="3B383A"/>
          <w:spacing w:val="-23"/>
          <w:w w:val="110"/>
        </w:rPr>
        <w:t> </w:t>
      </w:r>
      <w:r>
        <w:rPr>
          <w:color w:val="3B383A"/>
          <w:w w:val="110"/>
        </w:rPr>
        <w:t>controversy</w:t>
      </w:r>
      <w:r>
        <w:rPr>
          <w:color w:val="3B383A"/>
          <w:spacing w:val="-14"/>
          <w:w w:val="110"/>
        </w:rPr>
        <w:t> </w:t>
      </w:r>
      <w:r>
        <w:rPr>
          <w:color w:val="3B383A"/>
          <w:w w:val="110"/>
        </w:rPr>
        <w:t>as</w:t>
      </w:r>
      <w:r>
        <w:rPr>
          <w:color w:val="3B383A"/>
          <w:spacing w:val="-5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4"/>
          <w:w w:val="110"/>
        </w:rPr>
        <w:t> </w:t>
      </w:r>
      <w:r>
        <w:rPr>
          <w:color w:val="3B383A"/>
          <w:w w:val="110"/>
        </w:rPr>
        <w:t>whether</w:t>
      </w:r>
      <w:r>
        <w:rPr>
          <w:color w:val="3B383A"/>
          <w:spacing w:val="-3"/>
          <w:w w:val="110"/>
        </w:rPr>
        <w:t> </w:t>
      </w:r>
      <w:r>
        <w:rPr>
          <w:color w:val="3B383A"/>
          <w:w w:val="110"/>
        </w:rPr>
        <w:t>he</w:t>
      </w:r>
      <w:r>
        <w:rPr>
          <w:color w:val="3B383A"/>
          <w:spacing w:val="-3"/>
          <w:w w:val="110"/>
        </w:rPr>
        <w:t> </w:t>
      </w:r>
      <w:r>
        <w:rPr>
          <w:color w:val="3B383A"/>
          <w:w w:val="110"/>
        </w:rPr>
        <w:t>or</w:t>
      </w:r>
      <w:r>
        <w:rPr>
          <w:color w:val="3B383A"/>
          <w:spacing w:val="8"/>
          <w:w w:val="110"/>
        </w:rPr>
        <w:t> </w:t>
      </w:r>
      <w:r>
        <w:rPr>
          <w:color w:val="3B383A"/>
          <w:w w:val="110"/>
        </w:rPr>
        <w:t>she</w:t>
      </w:r>
      <w:r>
        <w:rPr>
          <w:color w:val="3B383A"/>
          <w:spacing w:val="20"/>
          <w:w w:val="110"/>
        </w:rPr>
        <w:t> </w:t>
      </w:r>
      <w:r>
        <w:rPr>
          <w:color w:val="3B383A"/>
          <w:w w:val="110"/>
        </w:rPr>
        <w:t>has</w:t>
      </w:r>
      <w:r>
        <w:rPr>
          <w:color w:val="3B383A"/>
          <w:spacing w:val="-61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41"/>
          <w:w w:val="110"/>
        </w:rPr>
        <w:t> </w:t>
      </w:r>
      <w:r>
        <w:rPr>
          <w:color w:val="3B383A"/>
          <w:w w:val="110"/>
        </w:rPr>
        <w:t>requisite</w:t>
      </w:r>
      <w:r>
        <w:rPr>
          <w:color w:val="3B383A"/>
          <w:spacing w:val="4"/>
          <w:w w:val="110"/>
        </w:rPr>
        <w:t> </w:t>
      </w:r>
      <w:r>
        <w:rPr>
          <w:color w:val="3B383A"/>
          <w:w w:val="110"/>
        </w:rPr>
        <w:t>"intent"</w:t>
      </w:r>
      <w:r>
        <w:rPr>
          <w:color w:val="3B383A"/>
          <w:spacing w:val="4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11"/>
          <w:w w:val="110"/>
        </w:rPr>
        <w:t> </w:t>
      </w:r>
      <w:r>
        <w:rPr>
          <w:color w:val="3B383A"/>
          <w:w w:val="110"/>
        </w:rPr>
        <w:t>make</w:t>
      </w:r>
      <w:r>
        <w:rPr>
          <w:color w:val="3B383A"/>
          <w:spacing w:val="-4"/>
          <w:w w:val="110"/>
        </w:rPr>
        <w:t> </w:t>
      </w:r>
      <w:r>
        <w:rPr>
          <w:color w:val="3B383A"/>
          <w:w w:val="110"/>
        </w:rPr>
        <w:t>a</w:t>
      </w:r>
      <w:r>
        <w:rPr>
          <w:color w:val="3B383A"/>
          <w:spacing w:val="27"/>
          <w:w w:val="110"/>
        </w:rPr>
        <w:t> </w:t>
      </w:r>
      <w:r>
        <w:rPr>
          <w:color w:val="3B383A"/>
          <w:w w:val="110"/>
        </w:rPr>
        <w:t>home</w:t>
      </w:r>
      <w:r>
        <w:rPr>
          <w:color w:val="3B383A"/>
          <w:spacing w:val="-5"/>
          <w:w w:val="110"/>
        </w:rPr>
        <w:t> </w:t>
      </w:r>
      <w:r>
        <w:rPr>
          <w:color w:val="3B383A"/>
          <w:w w:val="110"/>
        </w:rPr>
        <w:t>in</w:t>
      </w:r>
      <w:r>
        <w:rPr>
          <w:color w:val="3B383A"/>
          <w:spacing w:val="29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3"/>
          <w:w w:val="110"/>
        </w:rPr>
        <w:t> </w:t>
      </w:r>
      <w:r>
        <w:rPr>
          <w:color w:val="3B383A"/>
          <w:w w:val="110"/>
        </w:rPr>
        <w:t>state.</w:t>
      </w:r>
      <w:r>
        <w:rPr>
          <w:color w:val="3B383A"/>
          <w:spacing w:val="5"/>
          <w:w w:val="110"/>
        </w:rPr>
        <w:t> </w:t>
      </w:r>
      <w:r>
        <w:rPr>
          <w:color w:val="3B383A"/>
          <w:w w:val="110"/>
        </w:rPr>
        <w:t>In</w:t>
      </w:r>
      <w:r>
        <w:rPr>
          <w:color w:val="3B383A"/>
          <w:spacing w:val="24"/>
          <w:w w:val="110"/>
        </w:rPr>
        <w:t> </w:t>
      </w:r>
      <w:r>
        <w:rPr>
          <w:color w:val="3B383A"/>
          <w:w w:val="110"/>
        </w:rPr>
        <w:t>that situation,</w:t>
      </w:r>
      <w:r>
        <w:rPr>
          <w:color w:val="3B383A"/>
          <w:spacing w:val="28"/>
          <w:w w:val="110"/>
        </w:rPr>
        <w:t> </w:t>
      </w:r>
      <w:r>
        <w:rPr>
          <w:color w:val="3B383A"/>
          <w:w w:val="110"/>
        </w:rPr>
        <w:t>you</w:t>
      </w:r>
    </w:p>
    <w:p>
      <w:pPr>
        <w:pStyle w:val="BodyText"/>
        <w:rPr>
          <w:sz w:val="26"/>
        </w:rPr>
      </w:pPr>
    </w:p>
    <w:p>
      <w:pPr>
        <w:spacing w:line="228" w:lineRule="auto" w:before="215"/>
        <w:ind w:left="872" w:right="201" w:firstLine="374"/>
        <w:jc w:val="both"/>
        <w:rPr>
          <w:sz w:val="18"/>
        </w:rPr>
      </w:pPr>
      <w:r>
        <w:rPr>
          <w:color w:val="3B383A"/>
          <w:w w:val="105"/>
          <w:sz w:val="17"/>
        </w:rPr>
        <w:t>'Of</w:t>
      </w:r>
      <w:r>
        <w:rPr>
          <w:color w:val="3B383A"/>
          <w:spacing w:val="1"/>
          <w:w w:val="105"/>
          <w:sz w:val="17"/>
        </w:rPr>
        <w:t> </w:t>
      </w:r>
      <w:r>
        <w:rPr>
          <w:color w:val="3B383A"/>
          <w:w w:val="105"/>
          <w:sz w:val="18"/>
        </w:rPr>
        <w:t>course, </w:t>
      </w:r>
      <w:r>
        <w:rPr>
          <w:i/>
          <w:color w:val="3B383A"/>
          <w:w w:val="105"/>
          <w:sz w:val="19"/>
        </w:rPr>
        <w:t>you </w:t>
      </w:r>
      <w:r>
        <w:rPr>
          <w:color w:val="3B383A"/>
          <w:w w:val="105"/>
          <w:sz w:val="18"/>
        </w:rPr>
        <w:t>may decide that </w:t>
      </w:r>
      <w:r>
        <w:rPr>
          <w:color w:val="525052"/>
          <w:w w:val="105"/>
          <w:sz w:val="18"/>
        </w:rPr>
        <w:t>co</w:t>
      </w:r>
      <w:r>
        <w:rPr>
          <w:color w:val="3B383A"/>
          <w:w w:val="105"/>
          <w:sz w:val="18"/>
        </w:rPr>
        <w:t>urts </w:t>
      </w:r>
      <w:r>
        <w:rPr>
          <w:color w:val="525052"/>
          <w:w w:val="105"/>
          <w:sz w:val="18"/>
        </w:rPr>
        <w:t>s</w:t>
      </w:r>
      <w:r>
        <w:rPr>
          <w:color w:val="3B383A"/>
          <w:w w:val="105"/>
          <w:sz w:val="18"/>
        </w:rPr>
        <w:t>hould </w:t>
      </w:r>
      <w:r>
        <w:rPr>
          <w:rFonts w:ascii="Arial" w:hAnsi="Arial"/>
          <w:color w:val="3B383A"/>
          <w:w w:val="105"/>
          <w:sz w:val="17"/>
        </w:rPr>
        <w:t>be </w:t>
      </w:r>
      <w:r>
        <w:rPr>
          <w:color w:val="3B383A"/>
          <w:w w:val="105"/>
          <w:sz w:val="18"/>
        </w:rPr>
        <w:t>analy</w:t>
      </w:r>
      <w:r>
        <w:rPr>
          <w:color w:val="525052"/>
          <w:w w:val="105"/>
          <w:sz w:val="18"/>
        </w:rPr>
        <w:t>z</w:t>
      </w:r>
      <w:r>
        <w:rPr>
          <w:color w:val="3B383A"/>
          <w:w w:val="105"/>
          <w:sz w:val="18"/>
        </w:rPr>
        <w:t>ing I</w:t>
      </w:r>
      <w:r>
        <w:rPr>
          <w:color w:val="525052"/>
          <w:w w:val="105"/>
          <w:sz w:val="18"/>
        </w:rPr>
        <w:t>s</w:t>
      </w:r>
      <w:r>
        <w:rPr>
          <w:color w:val="3B383A"/>
          <w:w w:val="105"/>
          <w:sz w:val="18"/>
        </w:rPr>
        <w:t>sues that they have not </w:t>
      </w:r>
      <w:r>
        <w:rPr>
          <w:b/>
          <w:color w:val="3B383A"/>
          <w:w w:val="105"/>
          <w:sz w:val="18"/>
        </w:rPr>
        <w:t>ana­</w:t>
      </w:r>
      <w:r>
        <w:rPr>
          <w:b/>
          <w:color w:val="3B383A"/>
          <w:spacing w:val="1"/>
          <w:w w:val="105"/>
          <w:sz w:val="18"/>
        </w:rPr>
        <w:t> </w:t>
      </w:r>
      <w:r>
        <w:rPr>
          <w:color w:val="2A2628"/>
          <w:sz w:val="18"/>
        </w:rPr>
        <w:t>lyzed </w:t>
      </w:r>
      <w:r>
        <w:rPr>
          <w:color w:val="3B383A"/>
          <w:sz w:val="18"/>
        </w:rPr>
        <w:t>In the</w:t>
      </w:r>
      <w:r>
        <w:rPr>
          <w:color w:val="3B383A"/>
          <w:spacing w:val="1"/>
          <w:sz w:val="18"/>
        </w:rPr>
        <w:t> </w:t>
      </w:r>
      <w:r>
        <w:rPr>
          <w:color w:val="3B383A"/>
          <w:sz w:val="18"/>
        </w:rPr>
        <w:t>past. See Section 5</w:t>
      </w:r>
      <w:r>
        <w:rPr>
          <w:color w:val="525052"/>
          <w:sz w:val="18"/>
        </w:rPr>
        <w:t>.</w:t>
      </w:r>
      <w:r>
        <w:rPr>
          <w:color w:val="3B383A"/>
          <w:sz w:val="18"/>
        </w:rPr>
        <w:t>1.Z(c</w:t>
      </w:r>
      <w:r>
        <w:rPr>
          <w:color w:val="525052"/>
          <w:sz w:val="18"/>
        </w:rPr>
        <w:t>), </w:t>
      </w:r>
      <w:r>
        <w:rPr>
          <w:color w:val="3B383A"/>
          <w:sz w:val="18"/>
        </w:rPr>
        <w:t>#Using lnducllve Reasoning to Find and</w:t>
      </w:r>
      <w:r>
        <w:rPr>
          <w:color w:val="3B383A"/>
          <w:spacing w:val="1"/>
          <w:sz w:val="18"/>
        </w:rPr>
        <w:t> </w:t>
      </w:r>
      <w:r>
        <w:rPr>
          <w:color w:val="3B383A"/>
          <w:sz w:val="18"/>
        </w:rPr>
        <w:t>Articulate Legal</w:t>
      </w:r>
      <w:r>
        <w:rPr>
          <w:color w:val="3B383A"/>
          <w:spacing w:val="1"/>
          <w:sz w:val="18"/>
        </w:rPr>
        <w:t> </w:t>
      </w:r>
      <w:r>
        <w:rPr>
          <w:color w:val="3B383A"/>
          <w:w w:val="105"/>
          <w:sz w:val="18"/>
        </w:rPr>
        <w:t>Rule</w:t>
      </w:r>
      <w:r>
        <w:rPr>
          <w:color w:val="525052"/>
          <w:w w:val="105"/>
          <w:sz w:val="18"/>
        </w:rPr>
        <w:t>s</w:t>
      </w:r>
      <w:r>
        <w:rPr>
          <w:color w:val="2A2628"/>
          <w:w w:val="105"/>
          <w:sz w:val="18"/>
        </w:rPr>
        <w:t>.#</w:t>
      </w:r>
    </w:p>
    <w:p>
      <w:pPr>
        <w:spacing w:line="183" w:lineRule="exact" w:before="0"/>
        <w:ind w:left="1237" w:right="0" w:firstLine="0"/>
        <w:jc w:val="both"/>
        <w:rPr>
          <w:sz w:val="18"/>
        </w:rPr>
      </w:pPr>
      <w:r>
        <w:rPr>
          <w:i/>
          <w:color w:val="525052"/>
          <w:w w:val="95"/>
          <w:position w:val="5"/>
          <w:sz w:val="11"/>
        </w:rPr>
        <w:t>1</w:t>
      </w:r>
      <w:r>
        <w:rPr>
          <w:i/>
          <w:color w:val="525052"/>
          <w:spacing w:val="-7"/>
          <w:w w:val="95"/>
          <w:position w:val="5"/>
          <w:sz w:val="11"/>
        </w:rPr>
        <w:t> </w:t>
      </w:r>
      <w:r>
        <w:rPr>
          <w:i/>
          <w:color w:val="3B383A"/>
          <w:w w:val="95"/>
          <w:sz w:val="18"/>
        </w:rPr>
        <w:t>E.g.,</w:t>
      </w:r>
      <w:r>
        <w:rPr>
          <w:i/>
          <w:color w:val="3B383A"/>
          <w:spacing w:val="-16"/>
          <w:w w:val="95"/>
          <w:sz w:val="18"/>
        </w:rPr>
        <w:t> </w:t>
      </w:r>
      <w:r>
        <w:rPr>
          <w:i/>
          <w:color w:val="3B383A"/>
          <w:w w:val="95"/>
          <w:sz w:val="18"/>
        </w:rPr>
        <w:t>D</w:t>
      </w:r>
      <w:r>
        <w:rPr>
          <w:i/>
          <w:color w:val="525052"/>
          <w:w w:val="95"/>
          <w:sz w:val="18"/>
        </w:rPr>
        <w:t>e</w:t>
      </w:r>
      <w:r>
        <w:rPr>
          <w:i/>
          <w:color w:val="3B383A"/>
          <w:w w:val="95"/>
          <w:sz w:val="18"/>
        </w:rPr>
        <w:t>a</w:t>
      </w:r>
      <w:r>
        <w:rPr>
          <w:i/>
          <w:color w:val="525052"/>
          <w:w w:val="95"/>
          <w:sz w:val="18"/>
        </w:rPr>
        <w:t>s</w:t>
      </w:r>
      <w:r>
        <w:rPr>
          <w:i/>
          <w:color w:val="3B383A"/>
          <w:w w:val="95"/>
          <w:sz w:val="18"/>
        </w:rPr>
        <w:t>y</w:t>
      </w:r>
      <w:r>
        <w:rPr>
          <w:i/>
          <w:color w:val="3B383A"/>
          <w:spacing w:val="32"/>
          <w:w w:val="95"/>
          <w:sz w:val="18"/>
        </w:rPr>
        <w:t> </w:t>
      </w:r>
      <w:r>
        <w:rPr>
          <w:i/>
          <w:color w:val="3B383A"/>
          <w:w w:val="95"/>
          <w:sz w:val="18"/>
        </w:rPr>
        <w:t>v</w:t>
      </w:r>
      <w:r>
        <w:rPr>
          <w:i/>
          <w:color w:val="525052"/>
          <w:w w:val="95"/>
          <w:sz w:val="18"/>
        </w:rPr>
        <w:t>.</w:t>
      </w:r>
      <w:r>
        <w:rPr>
          <w:i/>
          <w:color w:val="525052"/>
          <w:spacing w:val="13"/>
          <w:w w:val="95"/>
          <w:sz w:val="18"/>
        </w:rPr>
        <w:t> </w:t>
      </w:r>
      <w:r>
        <w:rPr>
          <w:i/>
          <w:color w:val="3B383A"/>
          <w:w w:val="95"/>
          <w:sz w:val="18"/>
        </w:rPr>
        <w:t>Lou</w:t>
      </w:r>
      <w:r>
        <w:rPr>
          <w:i/>
          <w:color w:val="525052"/>
          <w:w w:val="95"/>
          <w:sz w:val="18"/>
        </w:rPr>
        <w:t>i</w:t>
      </w:r>
      <w:r>
        <w:rPr>
          <w:i/>
          <w:color w:val="3B383A"/>
          <w:w w:val="95"/>
          <w:sz w:val="18"/>
        </w:rPr>
        <w:t>svill</w:t>
      </w:r>
      <w:r>
        <w:rPr>
          <w:i/>
          <w:color w:val="525052"/>
          <w:w w:val="95"/>
          <w:sz w:val="18"/>
        </w:rPr>
        <w:t>e</w:t>
      </w:r>
      <w:r>
        <w:rPr>
          <w:i/>
          <w:color w:val="525052"/>
          <w:spacing w:val="-13"/>
          <w:w w:val="95"/>
          <w:sz w:val="18"/>
        </w:rPr>
        <w:t> </w:t>
      </w:r>
      <w:r>
        <w:rPr>
          <w:color w:val="3B383A"/>
          <w:w w:val="95"/>
          <w:sz w:val="17"/>
        </w:rPr>
        <w:t>&amp;</w:t>
      </w:r>
      <w:r>
        <w:rPr>
          <w:color w:val="3B383A"/>
          <w:spacing w:val="15"/>
          <w:w w:val="95"/>
          <w:sz w:val="17"/>
        </w:rPr>
        <w:t> </w:t>
      </w:r>
      <w:r>
        <w:rPr>
          <w:i/>
          <w:color w:val="3B383A"/>
          <w:w w:val="95"/>
          <w:sz w:val="18"/>
        </w:rPr>
        <w:t>Jefferson</w:t>
      </w:r>
      <w:r>
        <w:rPr>
          <w:i/>
          <w:color w:val="3B383A"/>
          <w:spacing w:val="-11"/>
          <w:w w:val="95"/>
          <w:sz w:val="18"/>
        </w:rPr>
        <w:t> </w:t>
      </w:r>
      <w:r>
        <w:rPr>
          <w:i/>
          <w:color w:val="3B383A"/>
          <w:w w:val="95"/>
          <w:sz w:val="18"/>
        </w:rPr>
        <w:t>County</w:t>
      </w:r>
      <w:r>
        <w:rPr>
          <w:i/>
          <w:color w:val="3B383A"/>
          <w:spacing w:val="-14"/>
          <w:w w:val="95"/>
          <w:sz w:val="18"/>
        </w:rPr>
        <w:t> </w:t>
      </w:r>
      <w:r>
        <w:rPr>
          <w:i/>
          <w:color w:val="3B383A"/>
          <w:w w:val="95"/>
          <w:sz w:val="18"/>
        </w:rPr>
        <w:t>M</w:t>
      </w:r>
      <w:r>
        <w:rPr>
          <w:i/>
          <w:color w:val="525052"/>
          <w:w w:val="95"/>
          <w:sz w:val="18"/>
        </w:rPr>
        <w:t>e</w:t>
      </w:r>
      <w:r>
        <w:rPr>
          <w:i/>
          <w:color w:val="3B383A"/>
          <w:w w:val="95"/>
          <w:sz w:val="18"/>
        </w:rPr>
        <w:t>tropoli</w:t>
      </w:r>
      <w:r>
        <w:rPr>
          <w:i/>
          <w:color w:val="525052"/>
          <w:w w:val="95"/>
          <w:sz w:val="18"/>
        </w:rPr>
        <w:t>t</w:t>
      </w:r>
      <w:r>
        <w:rPr>
          <w:i/>
          <w:color w:val="3B383A"/>
          <w:w w:val="95"/>
          <w:sz w:val="18"/>
        </w:rPr>
        <w:t>an</w:t>
      </w:r>
      <w:r>
        <w:rPr>
          <w:i/>
          <w:color w:val="3B383A"/>
          <w:spacing w:val="7"/>
          <w:w w:val="95"/>
          <w:sz w:val="18"/>
        </w:rPr>
        <w:t> </w:t>
      </w:r>
      <w:r>
        <w:rPr>
          <w:i/>
          <w:color w:val="3B383A"/>
          <w:w w:val="95"/>
          <w:sz w:val="18"/>
        </w:rPr>
        <w:t>Sewer</w:t>
      </w:r>
      <w:r>
        <w:rPr>
          <w:i/>
          <w:color w:val="3B383A"/>
          <w:spacing w:val="-7"/>
          <w:w w:val="95"/>
          <w:sz w:val="18"/>
        </w:rPr>
        <w:t> </w:t>
      </w:r>
      <w:r>
        <w:rPr>
          <w:i/>
          <w:color w:val="3B383A"/>
          <w:w w:val="95"/>
          <w:sz w:val="18"/>
        </w:rPr>
        <w:t>Dist.</w:t>
      </w:r>
      <w:r>
        <w:rPr>
          <w:i/>
          <w:color w:val="525052"/>
          <w:w w:val="95"/>
          <w:sz w:val="18"/>
        </w:rPr>
        <w:t>,</w:t>
      </w:r>
      <w:r>
        <w:rPr>
          <w:i/>
          <w:color w:val="525052"/>
          <w:spacing w:val="13"/>
          <w:w w:val="95"/>
          <w:sz w:val="18"/>
        </w:rPr>
        <w:t> </w:t>
      </w:r>
      <w:r>
        <w:rPr>
          <w:color w:val="3B383A"/>
          <w:w w:val="95"/>
          <w:sz w:val="18"/>
        </w:rPr>
        <w:t>47</w:t>
      </w:r>
      <w:r>
        <w:rPr>
          <w:color w:val="3B383A"/>
          <w:spacing w:val="21"/>
          <w:w w:val="95"/>
          <w:sz w:val="18"/>
        </w:rPr>
        <w:t> </w:t>
      </w:r>
      <w:r>
        <w:rPr>
          <w:color w:val="3B383A"/>
          <w:w w:val="95"/>
          <w:sz w:val="18"/>
        </w:rPr>
        <w:t>Fed</w:t>
      </w:r>
      <w:r>
        <w:rPr>
          <w:color w:val="525052"/>
          <w:w w:val="95"/>
          <w:sz w:val="18"/>
        </w:rPr>
        <w:t>.</w:t>
      </w:r>
      <w:r>
        <w:rPr>
          <w:color w:val="525052"/>
          <w:spacing w:val="1"/>
          <w:w w:val="95"/>
          <w:sz w:val="18"/>
        </w:rPr>
        <w:t> </w:t>
      </w:r>
      <w:r>
        <w:rPr>
          <w:color w:val="3B383A"/>
          <w:w w:val="95"/>
          <w:sz w:val="18"/>
        </w:rPr>
        <w:t>Appx.</w:t>
      </w:r>
      <w:r>
        <w:rPr>
          <w:color w:val="3B383A"/>
          <w:spacing w:val="9"/>
          <w:w w:val="95"/>
          <w:sz w:val="18"/>
        </w:rPr>
        <w:t> </w:t>
      </w:r>
      <w:r>
        <w:rPr>
          <w:color w:val="3B383A"/>
          <w:w w:val="95"/>
          <w:sz w:val="18"/>
        </w:rPr>
        <w:t>726,</w:t>
      </w:r>
      <w:r>
        <w:rPr>
          <w:color w:val="3B383A"/>
          <w:spacing w:val="-3"/>
          <w:w w:val="95"/>
          <w:sz w:val="18"/>
        </w:rPr>
        <w:t> </w:t>
      </w:r>
      <w:r>
        <w:rPr>
          <w:color w:val="3B383A"/>
          <w:w w:val="95"/>
          <w:sz w:val="18"/>
        </w:rPr>
        <w:t>728</w:t>
      </w:r>
      <w:r>
        <w:rPr>
          <w:color w:val="3B383A"/>
          <w:spacing w:val="12"/>
          <w:w w:val="95"/>
          <w:sz w:val="18"/>
        </w:rPr>
        <w:t> </w:t>
      </w:r>
      <w:r>
        <w:rPr>
          <w:color w:val="3B383A"/>
          <w:w w:val="95"/>
          <w:sz w:val="18"/>
        </w:rPr>
        <w:t>(6th</w:t>
      </w:r>
    </w:p>
    <w:p>
      <w:pPr>
        <w:spacing w:line="202" w:lineRule="exact" w:before="0"/>
        <w:ind w:left="842" w:right="0" w:firstLine="0"/>
        <w:jc w:val="both"/>
        <w:rPr>
          <w:sz w:val="18"/>
        </w:rPr>
      </w:pPr>
      <w:r>
        <w:rPr>
          <w:color w:val="3B383A"/>
          <w:w w:val="105"/>
          <w:sz w:val="18"/>
        </w:rPr>
        <w:t>Cir</w:t>
      </w:r>
      <w:r>
        <w:rPr>
          <w:color w:val="525052"/>
          <w:w w:val="105"/>
          <w:sz w:val="18"/>
        </w:rPr>
        <w:t>.</w:t>
      </w:r>
      <w:r>
        <w:rPr>
          <w:color w:val="525052"/>
          <w:spacing w:val="4"/>
          <w:w w:val="105"/>
          <w:sz w:val="18"/>
        </w:rPr>
        <w:t> </w:t>
      </w:r>
      <w:r>
        <w:rPr>
          <w:color w:val="3B383A"/>
          <w:w w:val="105"/>
          <w:sz w:val="18"/>
        </w:rPr>
        <w:t>2002)</w:t>
      </w:r>
      <w:r>
        <w:rPr>
          <w:color w:val="3B383A"/>
          <w:spacing w:val="-14"/>
          <w:w w:val="105"/>
          <w:sz w:val="18"/>
        </w:rPr>
        <w:t> </w:t>
      </w:r>
      <w:r>
        <w:rPr>
          <w:color w:val="3B383A"/>
          <w:w w:val="105"/>
          <w:sz w:val="18"/>
        </w:rPr>
        <w:t>(</w:t>
      </w:r>
      <w:r>
        <w:rPr>
          <w:color w:val="525052"/>
          <w:w w:val="105"/>
          <w:sz w:val="18"/>
        </w:rPr>
        <w:t>c</w:t>
      </w:r>
      <w:r>
        <w:rPr>
          <w:color w:val="3B383A"/>
          <w:w w:val="105"/>
          <w:sz w:val="18"/>
        </w:rPr>
        <w:t>ourt-d</w:t>
      </w:r>
      <w:r>
        <w:rPr>
          <w:color w:val="525052"/>
          <w:w w:val="105"/>
          <w:sz w:val="18"/>
        </w:rPr>
        <w:t>es</w:t>
      </w:r>
      <w:r>
        <w:rPr>
          <w:color w:val="3B383A"/>
          <w:w w:val="105"/>
          <w:sz w:val="18"/>
        </w:rPr>
        <w:t>ignated</w:t>
      </w:r>
      <w:r>
        <w:rPr>
          <w:color w:val="3B383A"/>
          <w:spacing w:val="13"/>
          <w:w w:val="105"/>
          <w:sz w:val="18"/>
        </w:rPr>
        <w:t> </w:t>
      </w:r>
      <w:r>
        <w:rPr>
          <w:color w:val="3B383A"/>
          <w:w w:val="105"/>
          <w:sz w:val="18"/>
        </w:rPr>
        <w:t>un</w:t>
      </w:r>
      <w:r>
        <w:rPr>
          <w:color w:val="525052"/>
          <w:w w:val="105"/>
          <w:sz w:val="18"/>
        </w:rPr>
        <w:t>p</w:t>
      </w:r>
      <w:r>
        <w:rPr>
          <w:color w:val="3B383A"/>
          <w:w w:val="105"/>
          <w:sz w:val="18"/>
        </w:rPr>
        <w:t>ublished</w:t>
      </w:r>
      <w:r>
        <w:rPr>
          <w:color w:val="3B383A"/>
          <w:spacing w:val="5"/>
          <w:w w:val="105"/>
          <w:sz w:val="18"/>
        </w:rPr>
        <w:t> </w:t>
      </w:r>
      <w:r>
        <w:rPr>
          <w:color w:val="3B383A"/>
          <w:w w:val="105"/>
          <w:sz w:val="18"/>
        </w:rPr>
        <w:t>d</w:t>
      </w:r>
      <w:r>
        <w:rPr>
          <w:color w:val="525052"/>
          <w:w w:val="105"/>
          <w:sz w:val="18"/>
        </w:rPr>
        <w:t>e</w:t>
      </w:r>
      <w:r>
        <w:rPr>
          <w:color w:val="3B383A"/>
          <w:w w:val="105"/>
          <w:sz w:val="18"/>
        </w:rPr>
        <w:t>cisi</w:t>
      </w:r>
      <w:r>
        <w:rPr>
          <w:color w:val="525052"/>
          <w:w w:val="105"/>
          <w:sz w:val="18"/>
        </w:rPr>
        <w:t>o</w:t>
      </w:r>
      <w:r>
        <w:rPr>
          <w:color w:val="3B383A"/>
          <w:w w:val="105"/>
          <w:sz w:val="18"/>
        </w:rPr>
        <w:t>n)</w:t>
      </w:r>
      <w:r>
        <w:rPr>
          <w:color w:val="525052"/>
          <w:w w:val="105"/>
          <w:sz w:val="18"/>
        </w:rPr>
        <w:t>.</w:t>
      </w:r>
    </w:p>
    <w:p>
      <w:pPr>
        <w:spacing w:line="228" w:lineRule="auto" w:before="6"/>
        <w:ind w:left="791" w:right="220" w:firstLine="416"/>
        <w:jc w:val="both"/>
        <w:rPr>
          <w:sz w:val="18"/>
        </w:rPr>
      </w:pPr>
      <w:r>
        <w:rPr>
          <w:color w:val="3B383A"/>
          <w:w w:val="110"/>
          <w:sz w:val="18"/>
        </w:rPr>
        <w:t>'The occasional use of names associated with </w:t>
      </w:r>
      <w:r>
        <w:rPr>
          <w:color w:val="2A2628"/>
          <w:w w:val="110"/>
          <w:sz w:val="18"/>
        </w:rPr>
        <w:t>the </w:t>
      </w:r>
      <w:r>
        <w:rPr>
          <w:color w:val="3B383A"/>
          <w:w w:val="110"/>
          <w:sz w:val="18"/>
        </w:rPr>
        <w:t>Chicago White Sox</w:t>
      </w:r>
      <w:r>
        <w:rPr>
          <w:color w:val="525052"/>
          <w:w w:val="110"/>
          <w:sz w:val="18"/>
        </w:rPr>
        <w:t>-</w:t>
      </w:r>
      <w:r>
        <w:rPr>
          <w:color w:val="2A2628"/>
          <w:w w:val="110"/>
          <w:sz w:val="18"/>
        </w:rPr>
        <w:t>the </w:t>
      </w:r>
      <w:r>
        <w:rPr>
          <w:color w:val="3B383A"/>
          <w:w w:val="110"/>
          <w:sz w:val="18"/>
        </w:rPr>
        <w:t>2005 Mafor</w:t>
      </w:r>
      <w:r>
        <w:rPr>
          <w:color w:val="3B383A"/>
          <w:spacing w:val="1"/>
          <w:w w:val="110"/>
          <w:sz w:val="18"/>
        </w:rPr>
        <w:t> </w:t>
      </w:r>
      <w:r>
        <w:rPr>
          <w:color w:val="3B383A"/>
          <w:w w:val="105"/>
          <w:sz w:val="18"/>
        </w:rPr>
        <w:t>League Baseball World Champi</w:t>
      </w:r>
      <w:r>
        <w:rPr>
          <w:color w:val="525052"/>
          <w:w w:val="105"/>
          <w:sz w:val="18"/>
        </w:rPr>
        <w:t>o</w:t>
      </w:r>
      <w:r>
        <w:rPr>
          <w:color w:val="3B383A"/>
          <w:w w:val="105"/>
          <w:sz w:val="18"/>
        </w:rPr>
        <w:t>ns</w:t>
      </w:r>
      <w:r>
        <w:rPr>
          <w:color w:val="69696B"/>
          <w:w w:val="105"/>
          <w:sz w:val="18"/>
        </w:rPr>
        <w:t>-</w:t>
      </w:r>
      <w:r>
        <w:rPr>
          <w:color w:val="3B383A"/>
          <w:w w:val="105"/>
          <w:sz w:val="18"/>
        </w:rPr>
        <w:t>ls p</w:t>
      </w:r>
      <w:r>
        <w:rPr>
          <w:color w:val="525052"/>
          <w:w w:val="105"/>
          <w:sz w:val="18"/>
        </w:rPr>
        <w:t>u</w:t>
      </w:r>
      <w:r>
        <w:rPr>
          <w:color w:val="3B383A"/>
          <w:w w:val="105"/>
          <w:sz w:val="18"/>
        </w:rPr>
        <w:t>r</w:t>
      </w:r>
      <w:r>
        <w:rPr>
          <w:color w:val="525052"/>
          <w:w w:val="105"/>
          <w:sz w:val="18"/>
        </w:rPr>
        <w:t>e</w:t>
      </w:r>
      <w:r>
        <w:rPr>
          <w:color w:val="3B383A"/>
          <w:w w:val="105"/>
          <w:sz w:val="18"/>
        </w:rPr>
        <w:t>ly honorifi</w:t>
      </w:r>
      <w:r>
        <w:rPr>
          <w:color w:val="525052"/>
          <w:w w:val="105"/>
          <w:sz w:val="18"/>
        </w:rPr>
        <w:t>c. </w:t>
      </w:r>
      <w:r>
        <w:rPr>
          <w:color w:val="3B383A"/>
          <w:w w:val="105"/>
          <w:sz w:val="18"/>
        </w:rPr>
        <w:t>The ca</w:t>
      </w:r>
      <w:r>
        <w:rPr>
          <w:color w:val="525052"/>
          <w:w w:val="105"/>
          <w:sz w:val="18"/>
        </w:rPr>
        <w:t>s</w:t>
      </w:r>
      <w:r>
        <w:rPr>
          <w:color w:val="3B383A"/>
          <w:w w:val="105"/>
          <w:sz w:val="18"/>
        </w:rPr>
        <w:t>e</w:t>
      </w:r>
      <w:r>
        <w:rPr>
          <w:color w:val="525052"/>
          <w:w w:val="105"/>
          <w:sz w:val="18"/>
        </w:rPr>
        <w:t>s </w:t>
      </w:r>
      <w:r>
        <w:rPr>
          <w:color w:val="3B383A"/>
          <w:w w:val="105"/>
          <w:sz w:val="18"/>
        </w:rPr>
        <w:t>and </w:t>
      </w:r>
      <w:r>
        <w:rPr>
          <w:color w:val="3B383A"/>
          <w:w w:val="105"/>
          <w:sz w:val="16"/>
        </w:rPr>
        <w:t>fact </w:t>
      </w:r>
      <w:r>
        <w:rPr>
          <w:color w:val="3B383A"/>
          <w:w w:val="105"/>
          <w:sz w:val="18"/>
        </w:rPr>
        <w:t>scenarios ar</w:t>
      </w:r>
      <w:r>
        <w:rPr>
          <w:color w:val="525052"/>
          <w:w w:val="105"/>
          <w:sz w:val="18"/>
        </w:rPr>
        <w:t>e </w:t>
      </w:r>
      <w:r>
        <w:rPr>
          <w:color w:val="3B383A"/>
          <w:w w:val="105"/>
          <w:sz w:val="18"/>
        </w:rPr>
        <w:t>fictional</w:t>
      </w:r>
      <w:r>
        <w:rPr>
          <w:color w:val="525052"/>
          <w:w w:val="105"/>
          <w:sz w:val="18"/>
        </w:rPr>
        <w:t>,</w:t>
      </w:r>
      <w:r>
        <w:rPr>
          <w:color w:val="525052"/>
          <w:spacing w:val="1"/>
          <w:w w:val="105"/>
          <w:sz w:val="18"/>
        </w:rPr>
        <w:t> </w:t>
      </w:r>
      <w:r>
        <w:rPr>
          <w:color w:val="3B383A"/>
          <w:w w:val="105"/>
          <w:sz w:val="18"/>
        </w:rPr>
        <w:t>and</w:t>
      </w:r>
      <w:r>
        <w:rPr>
          <w:color w:val="3B383A"/>
          <w:spacing w:val="1"/>
          <w:w w:val="105"/>
          <w:sz w:val="18"/>
        </w:rPr>
        <w:t> </w:t>
      </w:r>
      <w:r>
        <w:rPr>
          <w:color w:val="3B383A"/>
          <w:w w:val="105"/>
          <w:sz w:val="18"/>
        </w:rPr>
        <w:t>the author docs not mean to imp</w:t>
      </w:r>
      <w:r>
        <w:rPr>
          <w:color w:val="525052"/>
          <w:w w:val="105"/>
          <w:sz w:val="18"/>
        </w:rPr>
        <w:t>l</w:t>
      </w:r>
      <w:r>
        <w:rPr>
          <w:color w:val="3B383A"/>
          <w:w w:val="105"/>
          <w:sz w:val="18"/>
        </w:rPr>
        <w:t>y that these baseball s</w:t>
      </w:r>
      <w:r>
        <w:rPr>
          <w:color w:val="525052"/>
          <w:w w:val="105"/>
          <w:sz w:val="18"/>
        </w:rPr>
        <w:t>t</w:t>
      </w:r>
      <w:r>
        <w:rPr>
          <w:color w:val="3B383A"/>
          <w:w w:val="105"/>
          <w:sz w:val="18"/>
        </w:rPr>
        <w:t>ars are or should </w:t>
      </w:r>
      <w:r>
        <w:rPr>
          <w:rFonts w:ascii="Arial"/>
          <w:color w:val="3B383A"/>
          <w:w w:val="105"/>
          <w:sz w:val="17"/>
        </w:rPr>
        <w:t>be </w:t>
      </w:r>
      <w:r>
        <w:rPr>
          <w:color w:val="2A2628"/>
          <w:w w:val="105"/>
          <w:sz w:val="18"/>
        </w:rPr>
        <w:t>Involved </w:t>
      </w:r>
      <w:r>
        <w:rPr>
          <w:color w:val="3B383A"/>
          <w:w w:val="105"/>
          <w:sz w:val="17"/>
        </w:rPr>
        <w:t>ln </w:t>
      </w:r>
      <w:r>
        <w:rPr>
          <w:color w:val="3B383A"/>
          <w:w w:val="105"/>
          <w:sz w:val="18"/>
        </w:rPr>
        <w:t>any</w:t>
      </w:r>
      <w:r>
        <w:rPr>
          <w:color w:val="3B383A"/>
          <w:spacing w:val="1"/>
          <w:w w:val="105"/>
          <w:sz w:val="18"/>
        </w:rPr>
        <w:t> </w:t>
      </w:r>
      <w:r>
        <w:rPr>
          <w:color w:val="3B383A"/>
          <w:w w:val="110"/>
          <w:sz w:val="18"/>
        </w:rPr>
        <w:t>sort</w:t>
      </w:r>
      <w:r>
        <w:rPr>
          <w:color w:val="3B383A"/>
          <w:spacing w:val="-13"/>
          <w:w w:val="110"/>
          <w:sz w:val="18"/>
        </w:rPr>
        <w:t> </w:t>
      </w:r>
      <w:r>
        <w:rPr>
          <w:color w:val="3B383A"/>
          <w:w w:val="110"/>
          <w:sz w:val="18"/>
        </w:rPr>
        <w:t>of</w:t>
      </w:r>
      <w:r>
        <w:rPr>
          <w:color w:val="3B383A"/>
          <w:spacing w:val="-19"/>
          <w:w w:val="110"/>
          <w:sz w:val="18"/>
        </w:rPr>
        <w:t> </w:t>
      </w:r>
      <w:r>
        <w:rPr>
          <w:color w:val="3B383A"/>
          <w:w w:val="110"/>
          <w:sz w:val="18"/>
        </w:rPr>
        <w:t>litigation.</w:t>
      </w:r>
    </w:p>
    <w:p>
      <w:pPr>
        <w:spacing w:after="0" w:line="228" w:lineRule="auto"/>
        <w:jc w:val="both"/>
        <w:rPr>
          <w:sz w:val="18"/>
        </w:rPr>
        <w:sectPr>
          <w:pgSz w:w="9840" w:h="13790"/>
          <w:pgMar w:header="418" w:footer="0" w:top="980" w:bottom="0" w:left="13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32" w:lineRule="auto"/>
        <w:ind w:left="110" w:right="318" w:firstLine="6"/>
        <w:jc w:val="both"/>
      </w:pPr>
      <w:r>
        <w:rPr>
          <w:color w:val="3A3838"/>
          <w:w w:val="115"/>
        </w:rPr>
        <w:t>would</w:t>
      </w:r>
      <w:r>
        <w:rPr>
          <w:color w:val="3A3838"/>
          <w:spacing w:val="-10"/>
          <w:w w:val="115"/>
        </w:rPr>
        <w:t> </w:t>
      </w:r>
      <w:r>
        <w:rPr>
          <w:color w:val="3A3838"/>
          <w:w w:val="115"/>
        </w:rPr>
        <w:t>acknowledge</w:t>
      </w:r>
      <w:r>
        <w:rPr>
          <w:color w:val="3A3838"/>
          <w:spacing w:val="-4"/>
          <w:w w:val="115"/>
        </w:rPr>
        <w:t> </w:t>
      </w:r>
      <w:r>
        <w:rPr>
          <w:color w:val="3A3838"/>
          <w:w w:val="115"/>
        </w:rPr>
        <w:t>that</w:t>
      </w:r>
      <w:r>
        <w:rPr>
          <w:color w:val="3A3838"/>
          <w:spacing w:val="-9"/>
          <w:w w:val="115"/>
        </w:rPr>
        <w:t> </w:t>
      </w:r>
      <w:r>
        <w:rPr>
          <w:color w:val="3A3838"/>
          <w:w w:val="115"/>
        </w:rPr>
        <w:t>there</w:t>
      </w:r>
      <w:r>
        <w:rPr>
          <w:color w:val="3A3838"/>
          <w:spacing w:val="-9"/>
          <w:w w:val="115"/>
        </w:rPr>
        <w:t> </w:t>
      </w:r>
      <w:r>
        <w:rPr>
          <w:color w:val="3A3838"/>
          <w:w w:val="115"/>
        </w:rPr>
        <w:t>is</w:t>
      </w:r>
      <w:r>
        <w:rPr>
          <w:color w:val="3A3838"/>
          <w:spacing w:val="-11"/>
          <w:w w:val="115"/>
        </w:rPr>
        <w:t> </w:t>
      </w:r>
      <w:r>
        <w:rPr>
          <w:color w:val="3A3838"/>
          <w:w w:val="115"/>
        </w:rPr>
        <w:t>no</w:t>
      </w:r>
      <w:r>
        <w:rPr>
          <w:color w:val="3A3838"/>
          <w:spacing w:val="3"/>
          <w:w w:val="115"/>
        </w:rPr>
        <w:t> </w:t>
      </w:r>
      <w:r>
        <w:rPr>
          <w:color w:val="3A3838"/>
          <w:w w:val="115"/>
        </w:rPr>
        <w:t>controversy</w:t>
      </w:r>
      <w:r>
        <w:rPr>
          <w:color w:val="3A3838"/>
          <w:spacing w:val="-1"/>
          <w:w w:val="115"/>
        </w:rPr>
        <w:t> </w:t>
      </w:r>
      <w:r>
        <w:rPr>
          <w:color w:val="3A3838"/>
          <w:w w:val="115"/>
        </w:rPr>
        <w:t>as</w:t>
      </w:r>
      <w:r>
        <w:rPr>
          <w:color w:val="3A3838"/>
          <w:spacing w:val="-16"/>
          <w:w w:val="115"/>
        </w:rPr>
        <w:t> </w:t>
      </w:r>
      <w:r>
        <w:rPr>
          <w:color w:val="3A3838"/>
          <w:w w:val="115"/>
        </w:rPr>
        <w:t>to</w:t>
      </w:r>
      <w:r>
        <w:rPr>
          <w:color w:val="3A3838"/>
          <w:spacing w:val="6"/>
          <w:w w:val="115"/>
        </w:rPr>
        <w:t> </w:t>
      </w:r>
      <w:r>
        <w:rPr>
          <w:color w:val="3A3838"/>
          <w:w w:val="115"/>
        </w:rPr>
        <w:t>physical</w:t>
      </w:r>
      <w:r>
        <w:rPr>
          <w:color w:val="3A3838"/>
          <w:spacing w:val="2"/>
          <w:w w:val="115"/>
        </w:rPr>
        <w:t> </w:t>
      </w:r>
      <w:r>
        <w:rPr>
          <w:color w:val="3A3838"/>
          <w:w w:val="115"/>
        </w:rPr>
        <w:t>presence</w:t>
      </w:r>
      <w:r>
        <w:rPr>
          <w:color w:val="3A3838"/>
          <w:spacing w:val="-63"/>
          <w:w w:val="115"/>
        </w:rPr>
        <w:t> </w:t>
      </w:r>
      <w:r>
        <w:rPr>
          <w:color w:val="3A3838"/>
          <w:w w:val="115"/>
        </w:rPr>
        <w:t>and focus your argument on establishing intent. Chapter Five discusses</w:t>
      </w:r>
      <w:r>
        <w:rPr>
          <w:color w:val="3A3838"/>
          <w:spacing w:val="-64"/>
          <w:w w:val="115"/>
        </w:rPr>
        <w:t> </w:t>
      </w:r>
      <w:r>
        <w:rPr>
          <w:color w:val="3A3838"/>
          <w:w w:val="110"/>
        </w:rPr>
        <w:t>how</w:t>
      </w:r>
      <w:r>
        <w:rPr>
          <w:color w:val="3A3838"/>
          <w:spacing w:val="7"/>
          <w:w w:val="110"/>
        </w:rPr>
        <w:t> </w:t>
      </w:r>
      <w:r>
        <w:rPr>
          <w:color w:val="3A3838"/>
          <w:w w:val="110"/>
        </w:rPr>
        <w:t>best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14"/>
          <w:w w:val="110"/>
        </w:rPr>
        <w:t> </w:t>
      </w:r>
      <w:r>
        <w:rPr>
          <w:color w:val="3A3838"/>
          <w:w w:val="110"/>
        </w:rPr>
        <w:t>include</w:t>
      </w:r>
      <w:r>
        <w:rPr>
          <w:color w:val="3A3838"/>
          <w:spacing w:val="5"/>
          <w:w w:val="110"/>
        </w:rPr>
        <w:t> </w:t>
      </w:r>
      <w:r>
        <w:rPr>
          <w:color w:val="3A3838"/>
          <w:w w:val="110"/>
        </w:rPr>
        <w:t>uncontroversial</w:t>
      </w:r>
      <w:r>
        <w:rPr>
          <w:color w:val="3A3838"/>
          <w:spacing w:val="-11"/>
          <w:w w:val="110"/>
        </w:rPr>
        <w:t> </w:t>
      </w:r>
      <w:r>
        <w:rPr>
          <w:color w:val="3A3838"/>
          <w:w w:val="110"/>
        </w:rPr>
        <w:t>issues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within</w:t>
      </w:r>
      <w:r>
        <w:rPr>
          <w:color w:val="3A3838"/>
          <w:spacing w:val="8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argument.</w:t>
      </w:r>
    </w:p>
    <w:p>
      <w:pPr>
        <w:pStyle w:val="BodyText"/>
        <w:spacing w:line="235" w:lineRule="auto"/>
        <w:ind w:left="106" w:right="307" w:firstLine="361"/>
        <w:jc w:val="both"/>
      </w:pPr>
      <w:r>
        <w:rPr>
          <w:color w:val="3A3838"/>
          <w:spacing w:val="-1"/>
          <w:w w:val="115"/>
        </w:rPr>
        <w:t>Thus, you must look both </w:t>
      </w:r>
      <w:r>
        <w:rPr>
          <w:color w:val="3A3838"/>
          <w:w w:val="115"/>
        </w:rPr>
        <w:t>to your case facts and to the courts' analy­</w:t>
      </w:r>
      <w:r>
        <w:rPr>
          <w:color w:val="3A3838"/>
          <w:spacing w:val="-64"/>
          <w:w w:val="115"/>
        </w:rPr>
        <w:t> </w:t>
      </w:r>
      <w:r>
        <w:rPr>
          <w:color w:val="3A3838"/>
          <w:w w:val="115"/>
        </w:rPr>
        <w:t>ses</w:t>
      </w:r>
      <w:r>
        <w:rPr>
          <w:color w:val="3A3838"/>
          <w:spacing w:val="7"/>
          <w:w w:val="115"/>
        </w:rPr>
        <w:t> </w:t>
      </w:r>
      <w:r>
        <w:rPr>
          <w:color w:val="3A3838"/>
          <w:w w:val="115"/>
        </w:rPr>
        <w:t>to</w:t>
      </w:r>
      <w:r>
        <w:rPr>
          <w:color w:val="3A3838"/>
          <w:spacing w:val="22"/>
          <w:w w:val="115"/>
        </w:rPr>
        <w:t> </w:t>
      </w:r>
      <w:r>
        <w:rPr>
          <w:color w:val="3A3838"/>
          <w:w w:val="115"/>
        </w:rPr>
        <w:t>identify</w:t>
      </w:r>
      <w:r>
        <w:rPr>
          <w:color w:val="3A3838"/>
          <w:spacing w:val="13"/>
          <w:w w:val="115"/>
        </w:rPr>
        <w:t> </w:t>
      </w:r>
      <w:r>
        <w:rPr>
          <w:color w:val="3A3838"/>
          <w:w w:val="115"/>
        </w:rPr>
        <w:t>the</w:t>
      </w:r>
      <w:r>
        <w:rPr>
          <w:color w:val="3A3838"/>
          <w:spacing w:val="34"/>
          <w:w w:val="115"/>
        </w:rPr>
        <w:t> </w:t>
      </w:r>
      <w:r>
        <w:rPr>
          <w:color w:val="3A3838"/>
          <w:w w:val="115"/>
        </w:rPr>
        <w:t>phrases-that-pay</w:t>
      </w:r>
      <w:r>
        <w:rPr>
          <w:color w:val="3A3838"/>
          <w:spacing w:val="-8"/>
          <w:w w:val="115"/>
        </w:rPr>
        <w:t> </w:t>
      </w:r>
      <w:r>
        <w:rPr>
          <w:color w:val="3A3838"/>
          <w:w w:val="115"/>
        </w:rPr>
        <w:t>that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are</w:t>
      </w:r>
      <w:r>
        <w:rPr>
          <w:color w:val="3A3838"/>
          <w:spacing w:val="-10"/>
          <w:w w:val="115"/>
        </w:rPr>
        <w:t> </w:t>
      </w:r>
      <w:r>
        <w:rPr>
          <w:color w:val="3A3838"/>
          <w:w w:val="115"/>
        </w:rPr>
        <w:t>relevant</w:t>
      </w:r>
      <w:r>
        <w:rPr>
          <w:color w:val="3A3838"/>
          <w:spacing w:val="15"/>
          <w:w w:val="115"/>
        </w:rPr>
        <w:t> </w:t>
      </w:r>
      <w:r>
        <w:rPr>
          <w:color w:val="3A3838"/>
          <w:w w:val="115"/>
        </w:rPr>
        <w:t>to</w:t>
      </w:r>
      <w:r>
        <w:rPr>
          <w:color w:val="3A3838"/>
          <w:spacing w:val="31"/>
          <w:w w:val="115"/>
        </w:rPr>
        <w:t> </w:t>
      </w:r>
      <w:r>
        <w:rPr>
          <w:color w:val="3A3838"/>
          <w:w w:val="115"/>
        </w:rPr>
        <w:t>your</w:t>
      </w:r>
      <w:r>
        <w:rPr>
          <w:color w:val="3A3838"/>
          <w:spacing w:val="14"/>
          <w:w w:val="115"/>
        </w:rPr>
        <w:t> </w:t>
      </w:r>
      <w:r>
        <w:rPr>
          <w:color w:val="3A3838"/>
          <w:w w:val="115"/>
        </w:rPr>
        <w:t>argument:</w:t>
      </w:r>
    </w:p>
    <w:p>
      <w:pPr>
        <w:pStyle w:val="ListParagraph"/>
        <w:numPr>
          <w:ilvl w:val="0"/>
          <w:numId w:val="37"/>
        </w:numPr>
        <w:tabs>
          <w:tab w:pos="439" w:val="left" w:leader="none"/>
        </w:tabs>
        <w:spacing w:line="232" w:lineRule="auto" w:before="4" w:after="0"/>
        <w:ind w:left="110" w:right="288" w:firstLine="8"/>
        <w:jc w:val="both"/>
        <w:rPr>
          <w:sz w:val="23"/>
        </w:rPr>
      </w:pPr>
      <w:r>
        <w:rPr>
          <w:color w:val="3A3838"/>
          <w:w w:val="110"/>
          <w:sz w:val="23"/>
        </w:rPr>
        <w:t>determine what words or phrases the courts focus on when they apply</w:t>
      </w:r>
      <w:r>
        <w:rPr>
          <w:color w:val="3A3838"/>
          <w:spacing w:val="1"/>
          <w:w w:val="110"/>
          <w:sz w:val="23"/>
        </w:rPr>
        <w:t> </w:t>
      </w:r>
      <w:r>
        <w:rPr>
          <w:color w:val="3A3838"/>
          <w:w w:val="115"/>
          <w:sz w:val="23"/>
        </w:rPr>
        <w:t>law to facts in their analysis of the relevant issue(s); (2) determine how</w:t>
      </w:r>
      <w:r>
        <w:rPr>
          <w:color w:val="3A3838"/>
          <w:spacing w:val="-64"/>
          <w:w w:val="115"/>
          <w:sz w:val="23"/>
        </w:rPr>
        <w:t> </w:t>
      </w:r>
      <w:r>
        <w:rPr>
          <w:color w:val="3A3838"/>
          <w:w w:val="110"/>
          <w:sz w:val="23"/>
        </w:rPr>
        <w:t>those words or phrases relate to the rule or statute at issue (are the words</w:t>
      </w:r>
      <w:r>
        <w:rPr>
          <w:color w:val="3A3838"/>
          <w:spacing w:val="1"/>
          <w:w w:val="110"/>
          <w:sz w:val="23"/>
        </w:rPr>
        <w:t> </w:t>
      </w:r>
      <w:r>
        <w:rPr>
          <w:color w:val="3A3838"/>
          <w:w w:val="115"/>
          <w:sz w:val="23"/>
        </w:rPr>
        <w:t>part of the rule, part of the courts' definition of terms in the rule, or part</w:t>
      </w:r>
      <w:r>
        <w:rPr>
          <w:color w:val="3A3838"/>
          <w:spacing w:val="-64"/>
          <w:w w:val="115"/>
          <w:sz w:val="23"/>
        </w:rPr>
        <w:t> </w:t>
      </w:r>
      <w:r>
        <w:rPr>
          <w:color w:val="3A3838"/>
          <w:w w:val="110"/>
          <w:sz w:val="23"/>
        </w:rPr>
        <w:t>of the courts' explanation of how the rule applies?); finally, (3) determine</w:t>
      </w:r>
      <w:r>
        <w:rPr>
          <w:color w:val="3A3838"/>
          <w:spacing w:val="1"/>
          <w:w w:val="110"/>
          <w:sz w:val="23"/>
        </w:rPr>
        <w:t> </w:t>
      </w:r>
      <w:r>
        <w:rPr>
          <w:color w:val="3A3838"/>
          <w:w w:val="110"/>
          <w:sz w:val="23"/>
        </w:rPr>
        <w:t>which</w:t>
      </w:r>
      <w:r>
        <w:rPr>
          <w:color w:val="3A3838"/>
          <w:spacing w:val="7"/>
          <w:w w:val="110"/>
          <w:sz w:val="23"/>
        </w:rPr>
        <w:t> </w:t>
      </w:r>
      <w:r>
        <w:rPr>
          <w:color w:val="3A3838"/>
          <w:w w:val="110"/>
          <w:sz w:val="23"/>
        </w:rPr>
        <w:t>phrases-that-pay</w:t>
      </w:r>
      <w:r>
        <w:rPr>
          <w:color w:val="3A3838"/>
          <w:spacing w:val="-33"/>
          <w:w w:val="110"/>
          <w:sz w:val="23"/>
        </w:rPr>
        <w:t> </w:t>
      </w:r>
      <w:r>
        <w:rPr>
          <w:color w:val="3A3838"/>
          <w:w w:val="110"/>
          <w:sz w:val="23"/>
        </w:rPr>
        <w:t>are</w:t>
      </w:r>
      <w:r>
        <w:rPr>
          <w:color w:val="3A3838"/>
          <w:spacing w:val="-3"/>
          <w:w w:val="110"/>
          <w:sz w:val="23"/>
        </w:rPr>
        <w:t> </w:t>
      </w:r>
      <w:r>
        <w:rPr>
          <w:color w:val="3A3838"/>
          <w:w w:val="110"/>
          <w:sz w:val="23"/>
        </w:rPr>
        <w:t>at</w:t>
      </w:r>
      <w:r>
        <w:rPr>
          <w:color w:val="3A3838"/>
          <w:spacing w:val="13"/>
          <w:w w:val="110"/>
          <w:sz w:val="23"/>
        </w:rPr>
        <w:t> </w:t>
      </w:r>
      <w:r>
        <w:rPr>
          <w:color w:val="3A3838"/>
          <w:w w:val="110"/>
          <w:sz w:val="23"/>
        </w:rPr>
        <w:t>issue</w:t>
      </w:r>
      <w:r>
        <w:rPr>
          <w:color w:val="3A3838"/>
          <w:spacing w:val="-19"/>
          <w:w w:val="110"/>
          <w:sz w:val="23"/>
        </w:rPr>
        <w:t> </w:t>
      </w:r>
      <w:r>
        <w:rPr>
          <w:color w:val="3A3838"/>
          <w:w w:val="110"/>
          <w:sz w:val="21"/>
        </w:rPr>
        <w:t>in</w:t>
      </w:r>
      <w:r>
        <w:rPr>
          <w:color w:val="3A3838"/>
          <w:spacing w:val="51"/>
          <w:w w:val="110"/>
          <w:sz w:val="21"/>
        </w:rPr>
        <w:t> </w:t>
      </w:r>
      <w:r>
        <w:rPr>
          <w:color w:val="3A3838"/>
          <w:w w:val="110"/>
          <w:sz w:val="23"/>
        </w:rPr>
        <w:t>your</w:t>
      </w:r>
      <w:r>
        <w:rPr>
          <w:color w:val="3A3838"/>
          <w:spacing w:val="-11"/>
          <w:w w:val="110"/>
          <w:sz w:val="23"/>
        </w:rPr>
        <w:t> </w:t>
      </w:r>
      <w:r>
        <w:rPr>
          <w:color w:val="3A3838"/>
          <w:w w:val="110"/>
          <w:sz w:val="23"/>
        </w:rPr>
        <w:t>client's</w:t>
      </w:r>
      <w:r>
        <w:rPr>
          <w:color w:val="3A3838"/>
          <w:spacing w:val="-21"/>
          <w:w w:val="110"/>
          <w:sz w:val="23"/>
        </w:rPr>
        <w:t> </w:t>
      </w:r>
      <w:r>
        <w:rPr>
          <w:color w:val="3A3838"/>
          <w:w w:val="110"/>
          <w:sz w:val="23"/>
        </w:rPr>
        <w:t>case.</w:t>
      </w:r>
    </w:p>
    <w:p>
      <w:pPr>
        <w:pStyle w:val="BodyText"/>
        <w:spacing w:line="232" w:lineRule="auto" w:before="2"/>
        <w:ind w:left="117" w:right="275" w:firstLine="354"/>
        <w:jc w:val="both"/>
      </w:pPr>
      <w:r>
        <w:rPr>
          <w:color w:val="3A3838"/>
          <w:w w:val="110"/>
        </w:rPr>
        <w:t>When writing, you must be sure to clarify how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phrases-that-pay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relate to each other and to the relevant statutes or common law rules. Once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you have analyzed all of the applicable rules, identified their phrases-that­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pay, 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determined which phrases-that</w:t>
      </w:r>
      <w:r>
        <w:rPr>
          <w:color w:val="5B5B5D"/>
          <w:w w:val="110"/>
        </w:rPr>
        <w:t>-</w:t>
      </w:r>
      <w:r>
        <w:rPr>
          <w:color w:val="3A3838"/>
          <w:w w:val="110"/>
        </w:rPr>
        <w:t>pay are in controversy in your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case,</w:t>
      </w:r>
      <w:r>
        <w:rPr>
          <w:color w:val="3A3838"/>
          <w:spacing w:val="-7"/>
          <w:w w:val="110"/>
        </w:rPr>
        <w:t> </w:t>
      </w:r>
      <w:r>
        <w:rPr>
          <w:color w:val="3A3838"/>
          <w:w w:val="110"/>
        </w:rPr>
        <w:t>you</w:t>
      </w:r>
      <w:r>
        <w:rPr>
          <w:color w:val="3A3838"/>
          <w:spacing w:val="33"/>
          <w:w w:val="110"/>
        </w:rPr>
        <w:t> </w:t>
      </w:r>
      <w:r>
        <w:rPr>
          <w:color w:val="3A3838"/>
          <w:w w:val="110"/>
        </w:rPr>
        <w:t>can</w:t>
      </w:r>
      <w:r>
        <w:rPr>
          <w:color w:val="3A3838"/>
          <w:spacing w:val="48"/>
          <w:w w:val="110"/>
        </w:rPr>
        <w:t> </w:t>
      </w:r>
      <w:r>
        <w:rPr>
          <w:color w:val="3A3838"/>
          <w:w w:val="110"/>
        </w:rPr>
        <w:t>begin</w:t>
      </w:r>
      <w:r>
        <w:rPr>
          <w:color w:val="3A3838"/>
          <w:spacing w:val="3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15"/>
          <w:w w:val="110"/>
        </w:rPr>
        <w:t> </w:t>
      </w:r>
      <w:r>
        <w:rPr>
          <w:color w:val="3A3838"/>
          <w:w w:val="110"/>
        </w:rPr>
        <w:t>draft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working</w:t>
      </w:r>
      <w:r>
        <w:rPr>
          <w:color w:val="3A3838"/>
          <w:spacing w:val="-15"/>
          <w:w w:val="110"/>
        </w:rPr>
        <w:t> </w:t>
      </w:r>
      <w:r>
        <w:rPr>
          <w:color w:val="3A3838"/>
          <w:w w:val="110"/>
        </w:rPr>
        <w:t>outline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6"/>
          <w:w w:val="110"/>
        </w:rPr>
        <w:t> </w:t>
      </w:r>
      <w:r>
        <w:rPr>
          <w:color w:val="3A3838"/>
          <w:w w:val="110"/>
        </w:rPr>
        <w:t>your</w:t>
      </w:r>
      <w:r>
        <w:rPr>
          <w:color w:val="3A3838"/>
          <w:spacing w:val="-11"/>
          <w:w w:val="110"/>
        </w:rPr>
        <w:t> </w:t>
      </w:r>
      <w:r>
        <w:rPr>
          <w:color w:val="3A3838"/>
          <w:w w:val="110"/>
        </w:rPr>
        <w:t>argument.</w:t>
      </w:r>
    </w:p>
    <w:p>
      <w:pPr>
        <w:pStyle w:val="BodyText"/>
        <w:spacing w:before="10"/>
        <w:rPr>
          <w:sz w:val="32"/>
        </w:rPr>
      </w:pPr>
    </w:p>
    <w:p>
      <w:pPr>
        <w:spacing w:before="0"/>
        <w:ind w:left="469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A3838"/>
          <w:w w:val="110"/>
          <w:sz w:val="28"/>
        </w:rPr>
        <w:t>4.1.2</w:t>
      </w:r>
    </w:p>
    <w:p>
      <w:pPr>
        <w:spacing w:line="300" w:lineRule="auto" w:before="25"/>
        <w:ind w:left="465" w:right="273" w:firstLine="3"/>
        <w:jc w:val="left"/>
        <w:rPr>
          <w:rFonts w:ascii="Arial"/>
          <w:b/>
          <w:sz w:val="22"/>
        </w:rPr>
      </w:pPr>
      <w:r>
        <w:rPr>
          <w:rFonts w:ascii="Arial"/>
          <w:b/>
          <w:color w:val="3A3838"/>
          <w:sz w:val="22"/>
        </w:rPr>
        <w:t>USING YOUR </w:t>
      </w:r>
      <w:r>
        <w:rPr>
          <w:b/>
          <w:color w:val="3A3838"/>
          <w:sz w:val="24"/>
        </w:rPr>
        <w:t>RESEARCH </w:t>
      </w:r>
      <w:r>
        <w:rPr>
          <w:rFonts w:ascii="Arial"/>
          <w:b/>
          <w:color w:val="3A3838"/>
          <w:sz w:val="22"/>
        </w:rPr>
        <w:t>TO</w:t>
      </w:r>
      <w:r>
        <w:rPr>
          <w:rFonts w:ascii="Arial"/>
          <w:b/>
          <w:color w:val="3A3838"/>
          <w:spacing w:val="1"/>
          <w:sz w:val="22"/>
        </w:rPr>
        <w:t> </w:t>
      </w:r>
      <w:r>
        <w:rPr>
          <w:rFonts w:ascii="Arial"/>
          <w:b/>
          <w:color w:val="3A3838"/>
          <w:sz w:val="22"/>
        </w:rPr>
        <w:t>HELP YOU</w:t>
      </w:r>
      <w:r>
        <w:rPr>
          <w:rFonts w:ascii="Arial"/>
          <w:b/>
          <w:color w:val="3A3838"/>
          <w:spacing w:val="1"/>
          <w:sz w:val="22"/>
        </w:rPr>
        <w:t> </w:t>
      </w:r>
      <w:r>
        <w:rPr>
          <w:rFonts w:ascii="Arial"/>
          <w:b/>
          <w:color w:val="3A3838"/>
          <w:sz w:val="22"/>
        </w:rPr>
        <w:t>STRUCTURE YOUR</w:t>
      </w:r>
      <w:r>
        <w:rPr>
          <w:rFonts w:ascii="Arial"/>
          <w:b/>
          <w:color w:val="3A3838"/>
          <w:spacing w:val="-59"/>
          <w:sz w:val="22"/>
        </w:rPr>
        <w:t> </w:t>
      </w:r>
      <w:r>
        <w:rPr>
          <w:rFonts w:ascii="Arial"/>
          <w:b/>
          <w:color w:val="3A3838"/>
          <w:sz w:val="22"/>
        </w:rPr>
        <w:t>ARGUMENT</w:t>
      </w:r>
    </w:p>
    <w:p>
      <w:pPr>
        <w:pStyle w:val="BodyText"/>
        <w:spacing w:line="235" w:lineRule="auto" w:before="94"/>
        <w:ind w:left="119" w:right="200" w:firstLine="374"/>
        <w:jc w:val="both"/>
      </w:pPr>
      <w:r>
        <w:rPr>
          <w:rFonts w:ascii="Arial" w:hAnsi="Arial"/>
          <w:b/>
          <w:color w:val="3A3838"/>
          <w:w w:val="110"/>
          <w:sz w:val="21"/>
        </w:rPr>
        <w:t>A </w:t>
      </w:r>
      <w:r>
        <w:rPr>
          <w:color w:val="3A3838"/>
          <w:w w:val="110"/>
        </w:rPr>
        <w:t>second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method of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identifying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argument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structure is to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use your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research. Look at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that stack of authorities. Each one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of those authorities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made it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into the "chosen" pile because it appeared  to support some aspect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of your argument. Some authorities may support more than one, or even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several, aspects of your argument</w:t>
      </w:r>
      <w:r>
        <w:rPr>
          <w:color w:val="5B5B5D"/>
          <w:w w:val="110"/>
        </w:rPr>
        <w:t>. </w:t>
      </w:r>
      <w:r>
        <w:rPr>
          <w:color w:val="3A3838"/>
          <w:w w:val="110"/>
        </w:rPr>
        <w:t>Ideally, you will have used an organized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note-taking system as you reviewed each authority. For cases, for example,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you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may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have recorded  procedural  information  such as court and date,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and substantive information such as issue(s), facts, holding, and  reason­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ing. Now you can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review those notes, and the authorities themselves, 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look</w:t>
      </w:r>
      <w:r>
        <w:rPr>
          <w:color w:val="3A3838"/>
          <w:spacing w:val="-13"/>
          <w:w w:val="110"/>
        </w:rPr>
        <w:t> </w:t>
      </w:r>
      <w:r>
        <w:rPr>
          <w:color w:val="3A3838"/>
          <w:w w:val="110"/>
        </w:rPr>
        <w:t>for organizing</w:t>
      </w:r>
      <w:r>
        <w:rPr>
          <w:color w:val="3A3838"/>
          <w:spacing w:val="8"/>
          <w:w w:val="110"/>
        </w:rPr>
        <w:t> </w:t>
      </w:r>
      <w:r>
        <w:rPr>
          <w:color w:val="3A3838"/>
          <w:w w:val="110"/>
        </w:rPr>
        <w:t>principles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for</w:t>
      </w:r>
      <w:r>
        <w:rPr>
          <w:color w:val="3A3838"/>
          <w:spacing w:val="2"/>
          <w:w w:val="110"/>
        </w:rPr>
        <w:t> </w:t>
      </w:r>
      <w:r>
        <w:rPr>
          <w:color w:val="3A3838"/>
          <w:w w:val="110"/>
        </w:rPr>
        <w:t>your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argument.</w:t>
      </w:r>
    </w:p>
    <w:p>
      <w:pPr>
        <w:pStyle w:val="BodyText"/>
        <w:spacing w:line="235" w:lineRule="auto"/>
        <w:ind w:left="138" w:right="158" w:firstLine="356"/>
        <w:jc w:val="both"/>
      </w:pPr>
      <w:r>
        <w:rPr>
          <w:color w:val="3A3838"/>
          <w:w w:val="115"/>
        </w:rPr>
        <w:t>One way to identify organizing principles is to identify argument</w:t>
      </w:r>
      <w:r>
        <w:rPr>
          <w:color w:val="3A3838"/>
          <w:spacing w:val="1"/>
          <w:w w:val="115"/>
        </w:rPr>
        <w:t> </w:t>
      </w:r>
      <w:r>
        <w:rPr>
          <w:color w:val="3A3838"/>
          <w:spacing w:val="-1"/>
          <w:w w:val="115"/>
        </w:rPr>
        <w:t>points you can get from each authority. </w:t>
      </w:r>
      <w:r>
        <w:rPr>
          <w:color w:val="3A3838"/>
          <w:w w:val="115"/>
        </w:rPr>
        <w:t>To do this, look at each authority</w:t>
      </w:r>
      <w:r>
        <w:rPr>
          <w:color w:val="3A3838"/>
          <w:spacing w:val="-64"/>
          <w:w w:val="115"/>
        </w:rPr>
        <w:t> </w:t>
      </w:r>
      <w:r>
        <w:rPr>
          <w:color w:val="3A3838"/>
          <w:w w:val="110"/>
        </w:rPr>
        <w:t>and write out the ways in which the authority relates to or supports your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argument. These points may be rules or policies</w:t>
      </w:r>
      <w:r>
        <w:rPr>
          <w:rFonts w:ascii="Arial"/>
          <w:color w:val="3A3838"/>
          <w:w w:val="115"/>
          <w:vertAlign w:val="superscript"/>
        </w:rPr>
        <w:t>9</w:t>
      </w:r>
      <w:r>
        <w:rPr>
          <w:rFonts w:ascii="Arial"/>
          <w:color w:val="3A3838"/>
          <w:w w:val="115"/>
          <w:vertAlign w:val="baseline"/>
        </w:rPr>
        <w:t> </w:t>
      </w:r>
      <w:r>
        <w:rPr>
          <w:color w:val="3A3838"/>
          <w:w w:val="115"/>
          <w:vertAlign w:val="baseline"/>
        </w:rPr>
        <w:t>that the court would</w:t>
      </w:r>
      <w:r>
        <w:rPr>
          <w:color w:val="3A3838"/>
          <w:spacing w:val="1"/>
          <w:w w:val="115"/>
          <w:vertAlign w:val="baseline"/>
        </w:rPr>
        <w:t> </w:t>
      </w:r>
      <w:r>
        <w:rPr>
          <w:color w:val="3A3838"/>
          <w:w w:val="115"/>
          <w:vertAlign w:val="baseline"/>
        </w:rPr>
        <w:t>need to consider in order to decide the case, or assertions that the court</w:t>
      </w:r>
      <w:r>
        <w:rPr>
          <w:color w:val="3A3838"/>
          <w:spacing w:val="1"/>
          <w:w w:val="115"/>
          <w:vertAlign w:val="baseline"/>
        </w:rPr>
        <w:t> </w:t>
      </w:r>
      <w:r>
        <w:rPr>
          <w:color w:val="3A3838"/>
          <w:w w:val="115"/>
          <w:vertAlign w:val="baseline"/>
        </w:rPr>
        <w:t>would</w:t>
      </w:r>
      <w:r>
        <w:rPr>
          <w:color w:val="3A3838"/>
          <w:spacing w:val="5"/>
          <w:w w:val="115"/>
          <w:vertAlign w:val="baseline"/>
        </w:rPr>
        <w:t> </w:t>
      </w:r>
      <w:r>
        <w:rPr>
          <w:color w:val="3A3838"/>
          <w:w w:val="115"/>
          <w:vertAlign w:val="baseline"/>
        </w:rPr>
        <w:t>have</w:t>
      </w:r>
      <w:r>
        <w:rPr>
          <w:color w:val="3A3838"/>
          <w:spacing w:val="-5"/>
          <w:w w:val="115"/>
          <w:vertAlign w:val="baseline"/>
        </w:rPr>
        <w:t> </w:t>
      </w:r>
      <w:r>
        <w:rPr>
          <w:color w:val="3A3838"/>
          <w:w w:val="115"/>
          <w:vertAlign w:val="baseline"/>
        </w:rPr>
        <w:t>to</w:t>
      </w:r>
      <w:r>
        <w:rPr>
          <w:color w:val="3A3838"/>
          <w:spacing w:val="-9"/>
          <w:w w:val="115"/>
          <w:vertAlign w:val="baseline"/>
        </w:rPr>
        <w:t> </w:t>
      </w:r>
      <w:r>
        <w:rPr>
          <w:color w:val="3A3838"/>
          <w:w w:val="115"/>
          <w:vertAlign w:val="baseline"/>
        </w:rPr>
        <w:t>agree</w:t>
      </w:r>
      <w:r>
        <w:rPr>
          <w:color w:val="3A3838"/>
          <w:spacing w:val="-9"/>
          <w:w w:val="115"/>
          <w:vertAlign w:val="baseline"/>
        </w:rPr>
        <w:t> </w:t>
      </w:r>
      <w:r>
        <w:rPr>
          <w:color w:val="3A3838"/>
          <w:w w:val="115"/>
          <w:vertAlign w:val="baseline"/>
        </w:rPr>
        <w:t>with</w:t>
      </w:r>
      <w:r>
        <w:rPr>
          <w:color w:val="3A3838"/>
          <w:spacing w:val="-8"/>
          <w:w w:val="115"/>
          <w:vertAlign w:val="baseline"/>
        </w:rPr>
        <w:t> </w:t>
      </w:r>
      <w:r>
        <w:rPr>
          <w:color w:val="3A3838"/>
          <w:w w:val="115"/>
          <w:vertAlign w:val="baseline"/>
        </w:rPr>
        <w:t>to</w:t>
      </w:r>
      <w:r>
        <w:rPr>
          <w:color w:val="3A3838"/>
          <w:spacing w:val="-4"/>
          <w:w w:val="115"/>
          <w:vertAlign w:val="baseline"/>
        </w:rPr>
        <w:t> </w:t>
      </w:r>
      <w:r>
        <w:rPr>
          <w:color w:val="3A3838"/>
          <w:w w:val="115"/>
          <w:vertAlign w:val="baseline"/>
        </w:rPr>
        <w:t>decide</w:t>
      </w:r>
      <w:r>
        <w:rPr>
          <w:color w:val="3A3838"/>
          <w:spacing w:val="-9"/>
          <w:w w:val="115"/>
          <w:vertAlign w:val="baseline"/>
        </w:rPr>
        <w:t> </w:t>
      </w:r>
      <w:r>
        <w:rPr>
          <w:color w:val="3A3838"/>
          <w:w w:val="115"/>
          <w:vertAlign w:val="baseline"/>
        </w:rPr>
        <w:t>the</w:t>
      </w:r>
      <w:r>
        <w:rPr>
          <w:color w:val="3A3838"/>
          <w:spacing w:val="7"/>
          <w:w w:val="115"/>
          <w:vertAlign w:val="baseline"/>
        </w:rPr>
        <w:t> </w:t>
      </w:r>
      <w:r>
        <w:rPr>
          <w:color w:val="3A3838"/>
          <w:w w:val="115"/>
          <w:vertAlign w:val="baseline"/>
        </w:rPr>
        <w:t>case</w:t>
      </w:r>
      <w:r>
        <w:rPr>
          <w:color w:val="3A3838"/>
          <w:spacing w:val="-8"/>
          <w:w w:val="115"/>
          <w:vertAlign w:val="baseline"/>
        </w:rPr>
        <w:t> </w:t>
      </w:r>
      <w:r>
        <w:rPr>
          <w:color w:val="3A3838"/>
          <w:w w:val="115"/>
          <w:vertAlign w:val="baseline"/>
        </w:rPr>
        <w:t>in</w:t>
      </w:r>
      <w:r>
        <w:rPr>
          <w:color w:val="3A3838"/>
          <w:spacing w:val="6"/>
          <w:w w:val="115"/>
          <w:vertAlign w:val="baseline"/>
        </w:rPr>
        <w:t> </w:t>
      </w:r>
      <w:r>
        <w:rPr>
          <w:color w:val="3A3838"/>
          <w:w w:val="115"/>
          <w:vertAlign w:val="baseline"/>
        </w:rPr>
        <w:t>your</w:t>
      </w:r>
      <w:r>
        <w:rPr>
          <w:color w:val="3A3838"/>
          <w:spacing w:val="-10"/>
          <w:w w:val="115"/>
          <w:vertAlign w:val="baseline"/>
        </w:rPr>
        <w:t> </w:t>
      </w:r>
      <w:r>
        <w:rPr>
          <w:color w:val="3A3838"/>
          <w:w w:val="115"/>
          <w:vertAlign w:val="baseline"/>
        </w:rPr>
        <w:t>favor.</w:t>
      </w:r>
    </w:p>
    <w:p>
      <w:pPr>
        <w:pStyle w:val="BodyText"/>
        <w:spacing w:line="232" w:lineRule="auto"/>
        <w:ind w:left="135" w:right="102" w:firstLine="361"/>
        <w:jc w:val="both"/>
      </w:pPr>
      <w:r>
        <w:rPr>
          <w:color w:val="3A3838"/>
          <w:w w:val="115"/>
        </w:rPr>
        <w:t>This is a brainstorming technique, so don't worry about making the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statements in perfect rule format, or even in formal language.Just usesome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method to list the holding(s) or other information from the authority that</w:t>
      </w:r>
      <w:r>
        <w:rPr>
          <w:color w:val="3A3838"/>
          <w:spacing w:val="1"/>
          <w:w w:val="115"/>
        </w:rPr>
        <w:t> </w:t>
      </w:r>
      <w:r>
        <w:rPr>
          <w:color w:val="3A3838"/>
          <w:spacing w:val="-1"/>
          <w:w w:val="115"/>
        </w:rPr>
        <w:t>made you think </w:t>
      </w:r>
      <w:r>
        <w:rPr>
          <w:color w:val="3A3838"/>
          <w:w w:val="115"/>
        </w:rPr>
        <w:t>the authority would be helpful to your argument, record­</w:t>
      </w:r>
      <w:r>
        <w:rPr>
          <w:color w:val="3A3838"/>
          <w:spacing w:val="-64"/>
          <w:w w:val="115"/>
        </w:rPr>
        <w:t> </w:t>
      </w:r>
      <w:r>
        <w:rPr>
          <w:color w:val="3A3838"/>
          <w:w w:val="110"/>
        </w:rPr>
        <w:t>ing</w:t>
      </w:r>
      <w:r>
        <w:rPr>
          <w:color w:val="3A3838"/>
          <w:spacing w:val="13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4"/>
          <w:w w:val="110"/>
        </w:rPr>
        <w:t> </w:t>
      </w:r>
      <w:r>
        <w:rPr>
          <w:color w:val="3A3838"/>
          <w:w w:val="110"/>
        </w:rPr>
        <w:t>source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for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each</w:t>
      </w:r>
      <w:r>
        <w:rPr>
          <w:color w:val="3A3838"/>
          <w:spacing w:val="5"/>
          <w:w w:val="110"/>
        </w:rPr>
        <w:t> </w:t>
      </w:r>
      <w:r>
        <w:rPr>
          <w:color w:val="3A3838"/>
          <w:w w:val="110"/>
        </w:rPr>
        <w:t>item.</w:t>
      </w:r>
      <w:r>
        <w:rPr>
          <w:color w:val="3A3838"/>
          <w:spacing w:val="-13"/>
          <w:w w:val="110"/>
        </w:rPr>
        <w:t> </w:t>
      </w:r>
      <w:r>
        <w:rPr>
          <w:color w:val="3A3838"/>
          <w:w w:val="110"/>
        </w:rPr>
        <w:t>As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you</w:t>
      </w:r>
      <w:r>
        <w:rPr>
          <w:color w:val="3A3838"/>
          <w:spacing w:val="36"/>
          <w:w w:val="110"/>
        </w:rPr>
        <w:t> </w:t>
      </w:r>
      <w:r>
        <w:rPr>
          <w:color w:val="3A3838"/>
          <w:w w:val="110"/>
        </w:rPr>
        <w:t>proceed</w:t>
      </w:r>
      <w:r>
        <w:rPr>
          <w:color w:val="3A3838"/>
          <w:spacing w:val="14"/>
          <w:w w:val="110"/>
        </w:rPr>
        <w:t> </w:t>
      </w:r>
      <w:r>
        <w:rPr>
          <w:color w:val="3A3838"/>
          <w:w w:val="110"/>
        </w:rPr>
        <w:t>through</w:t>
      </w:r>
      <w:r>
        <w:rPr>
          <w:color w:val="3A3838"/>
          <w:spacing w:val="10"/>
          <w:w w:val="110"/>
        </w:rPr>
        <w:t> </w:t>
      </w:r>
      <w:r>
        <w:rPr>
          <w:color w:val="3A3838"/>
          <w:w w:val="110"/>
        </w:rPr>
        <w:t>your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authorities,</w:t>
      </w:r>
      <w:r>
        <w:rPr>
          <w:color w:val="3A3838"/>
          <w:spacing w:val="15"/>
          <w:w w:val="110"/>
        </w:rPr>
        <w:t> </w:t>
      </w:r>
      <w:r>
        <w:rPr>
          <w:color w:val="3A3838"/>
          <w:w w:val="110"/>
        </w:rPr>
        <w:t>you</w:t>
      </w:r>
    </w:p>
    <w:p>
      <w:pPr>
        <w:pStyle w:val="BodyText"/>
        <w:spacing w:before="11"/>
        <w:rPr>
          <w:sz w:val="29"/>
        </w:rPr>
      </w:pPr>
    </w:p>
    <w:p>
      <w:pPr>
        <w:spacing w:before="0"/>
        <w:ind w:left="506" w:right="0" w:firstLine="0"/>
        <w:jc w:val="left"/>
        <w:rPr>
          <w:sz w:val="18"/>
        </w:rPr>
      </w:pPr>
      <w:r>
        <w:rPr>
          <w:color w:val="3A3838"/>
          <w:w w:val="110"/>
          <w:sz w:val="18"/>
        </w:rPr>
        <w:t>'Section</w:t>
      </w:r>
      <w:r>
        <w:rPr>
          <w:color w:val="3A3838"/>
          <w:spacing w:val="3"/>
          <w:w w:val="110"/>
          <w:sz w:val="18"/>
        </w:rPr>
        <w:t> </w:t>
      </w:r>
      <w:r>
        <w:rPr>
          <w:color w:val="3A3838"/>
          <w:w w:val="110"/>
          <w:sz w:val="18"/>
        </w:rPr>
        <w:t>4</w:t>
      </w:r>
      <w:r>
        <w:rPr>
          <w:color w:val="5B5B5D"/>
          <w:w w:val="110"/>
          <w:sz w:val="18"/>
        </w:rPr>
        <w:t>.</w:t>
      </w:r>
      <w:r>
        <w:rPr>
          <w:color w:val="3A3838"/>
          <w:w w:val="110"/>
          <w:sz w:val="18"/>
        </w:rPr>
        <w:t>1.3</w:t>
      </w:r>
      <w:r>
        <w:rPr>
          <w:color w:val="3A3838"/>
          <w:spacing w:val="7"/>
          <w:w w:val="110"/>
          <w:sz w:val="18"/>
        </w:rPr>
        <w:t> </w:t>
      </w:r>
      <w:r>
        <w:rPr>
          <w:color w:val="3A3838"/>
          <w:w w:val="110"/>
          <w:sz w:val="17"/>
        </w:rPr>
        <w:t>will</w:t>
      </w:r>
      <w:r>
        <w:rPr>
          <w:color w:val="3A3838"/>
          <w:spacing w:val="12"/>
          <w:w w:val="110"/>
          <w:sz w:val="17"/>
        </w:rPr>
        <w:t> </w:t>
      </w:r>
      <w:r>
        <w:rPr>
          <w:color w:val="3A3838"/>
          <w:w w:val="110"/>
          <w:sz w:val="18"/>
        </w:rPr>
        <w:t>help</w:t>
      </w:r>
      <w:r>
        <w:rPr>
          <w:color w:val="3A3838"/>
          <w:spacing w:val="-14"/>
          <w:w w:val="110"/>
          <w:sz w:val="18"/>
        </w:rPr>
        <w:t> </w:t>
      </w:r>
      <w:r>
        <w:rPr>
          <w:color w:val="3A3838"/>
          <w:w w:val="110"/>
          <w:sz w:val="18"/>
        </w:rPr>
        <w:t>you</w:t>
      </w:r>
      <w:r>
        <w:rPr>
          <w:color w:val="3A3838"/>
          <w:spacing w:val="12"/>
          <w:w w:val="110"/>
          <w:sz w:val="18"/>
        </w:rPr>
        <w:t> </w:t>
      </w:r>
      <w:r>
        <w:rPr>
          <w:color w:val="3A3838"/>
          <w:w w:val="110"/>
          <w:sz w:val="18"/>
        </w:rPr>
        <w:t>to</w:t>
      </w:r>
      <w:r>
        <w:rPr>
          <w:color w:val="3A3838"/>
          <w:spacing w:val="9"/>
          <w:w w:val="110"/>
          <w:sz w:val="18"/>
        </w:rPr>
        <w:t> </w:t>
      </w:r>
      <w:r>
        <w:rPr>
          <w:color w:val="3A3838"/>
          <w:w w:val="110"/>
          <w:sz w:val="18"/>
        </w:rPr>
        <w:t>Identify</w:t>
      </w:r>
      <w:r>
        <w:rPr>
          <w:color w:val="3A3838"/>
          <w:spacing w:val="2"/>
          <w:w w:val="110"/>
          <w:sz w:val="18"/>
        </w:rPr>
        <w:t> </w:t>
      </w:r>
      <w:r>
        <w:rPr>
          <w:color w:val="3A3838"/>
          <w:w w:val="110"/>
          <w:sz w:val="18"/>
        </w:rPr>
        <w:t>policy-based</w:t>
      </w:r>
      <w:r>
        <w:rPr>
          <w:color w:val="3A3838"/>
          <w:spacing w:val="12"/>
          <w:w w:val="110"/>
          <w:sz w:val="18"/>
        </w:rPr>
        <w:t> </w:t>
      </w:r>
      <w:r>
        <w:rPr>
          <w:color w:val="3A3838"/>
          <w:w w:val="110"/>
          <w:sz w:val="18"/>
        </w:rPr>
        <w:t>rules.</w:t>
      </w:r>
    </w:p>
    <w:p>
      <w:pPr>
        <w:spacing w:after="0"/>
        <w:jc w:val="left"/>
        <w:rPr>
          <w:sz w:val="18"/>
        </w:rPr>
        <w:sectPr>
          <w:headerReference w:type="default" r:id="rId97"/>
          <w:headerReference w:type="even" r:id="rId98"/>
          <w:pgSz w:w="9620" w:h="13740"/>
          <w:pgMar w:header="482" w:footer="0" w:top="680" w:bottom="280" w:left="480" w:right="1160"/>
          <w:pgNumType w:start="71"/>
        </w:sectPr>
      </w:pPr>
    </w:p>
    <w:p>
      <w:pPr>
        <w:pStyle w:val="BodyText"/>
        <w:spacing w:line="230" w:lineRule="auto" w:before="89"/>
        <w:ind w:left="800" w:right="52" w:firstLine="38"/>
        <w:jc w:val="both"/>
      </w:pPr>
      <w:r>
        <w:rPr>
          <w:color w:val="3A3838"/>
          <w:w w:val="105"/>
        </w:rPr>
        <w:t>may discover that you have already written down the </w:t>
      </w:r>
      <w:r>
        <w:rPr>
          <w:color w:val="4B494B"/>
          <w:w w:val="105"/>
        </w:rPr>
        <w:t>same </w:t>
      </w:r>
      <w:r>
        <w:rPr>
          <w:color w:val="3A3838"/>
          <w:w w:val="105"/>
        </w:rPr>
        <w:t>assertion or a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similar one from a different source. </w:t>
      </w:r>
      <w:r>
        <w:rPr>
          <w:color w:val="3A3838"/>
          <w:w w:val="105"/>
          <w:sz w:val="22"/>
        </w:rPr>
        <w:t>If </w:t>
      </w:r>
      <w:r>
        <w:rPr>
          <w:color w:val="3A3838"/>
          <w:w w:val="105"/>
        </w:rPr>
        <w:t>that's the case, simply add the new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source to that item, perhaps noting the difference in a parenthetical. You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may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also have some assertions in mind that </w:t>
      </w:r>
      <w:r>
        <w:rPr>
          <w:color w:val="4B494B"/>
          <w:w w:val="105"/>
        </w:rPr>
        <w:t>you </w:t>
      </w:r>
      <w:r>
        <w:rPr>
          <w:color w:val="3A3838"/>
          <w:w w:val="105"/>
        </w:rPr>
        <w:t>can't tie </w:t>
      </w:r>
      <w:r>
        <w:rPr>
          <w:color w:val="4B494B"/>
          <w:w w:val="105"/>
        </w:rPr>
        <w:t>to </w:t>
      </w:r>
      <w:r>
        <w:rPr>
          <w:color w:val="3A3838"/>
          <w:w w:val="105"/>
        </w:rPr>
        <w:t>a particular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source</w:t>
      </w:r>
      <w:r>
        <w:rPr>
          <w:color w:val="3A3838"/>
          <w:spacing w:val="-16"/>
          <w:w w:val="105"/>
        </w:rPr>
        <w:t> </w:t>
      </w:r>
      <w:r>
        <w:rPr>
          <w:color w:val="3A3838"/>
          <w:w w:val="105"/>
        </w:rPr>
        <w:t>at</w:t>
      </w:r>
      <w:r>
        <w:rPr>
          <w:color w:val="3A3838"/>
          <w:spacing w:val="22"/>
          <w:w w:val="105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8"/>
          <w:w w:val="105"/>
        </w:rPr>
        <w:t> </w:t>
      </w:r>
      <w:r>
        <w:rPr>
          <w:color w:val="3A3838"/>
          <w:w w:val="105"/>
        </w:rPr>
        <w:t>moment;</w:t>
      </w:r>
      <w:r>
        <w:rPr>
          <w:color w:val="3A3838"/>
          <w:spacing w:val="-2"/>
          <w:w w:val="105"/>
        </w:rPr>
        <w:t> </w:t>
      </w:r>
      <w:r>
        <w:rPr>
          <w:color w:val="3A3838"/>
          <w:w w:val="105"/>
        </w:rPr>
        <w:t>be</w:t>
      </w:r>
      <w:r>
        <w:rPr>
          <w:color w:val="3A3838"/>
          <w:spacing w:val="-25"/>
          <w:w w:val="105"/>
        </w:rPr>
        <w:t> </w:t>
      </w:r>
      <w:r>
        <w:rPr>
          <w:color w:val="3A3838"/>
          <w:w w:val="105"/>
        </w:rPr>
        <w:t>sure</w:t>
      </w:r>
      <w:r>
        <w:rPr>
          <w:color w:val="3A3838"/>
          <w:spacing w:val="-1"/>
          <w:w w:val="105"/>
        </w:rPr>
        <w:t> </w:t>
      </w:r>
      <w:r>
        <w:rPr>
          <w:color w:val="3A3838"/>
          <w:w w:val="105"/>
        </w:rPr>
        <w:t>to write</w:t>
      </w:r>
      <w:r>
        <w:rPr>
          <w:color w:val="3A3838"/>
          <w:spacing w:val="-12"/>
          <w:w w:val="105"/>
        </w:rPr>
        <w:t> </w:t>
      </w:r>
      <w:r>
        <w:rPr>
          <w:color w:val="3A3838"/>
          <w:w w:val="105"/>
        </w:rPr>
        <w:t>those</w:t>
      </w:r>
      <w:r>
        <w:rPr>
          <w:color w:val="3A3838"/>
          <w:spacing w:val="-16"/>
          <w:w w:val="105"/>
        </w:rPr>
        <w:t> </w:t>
      </w:r>
      <w:r>
        <w:rPr>
          <w:color w:val="3A3838"/>
          <w:w w:val="105"/>
        </w:rPr>
        <w:t>down as</w:t>
      </w:r>
      <w:r>
        <w:rPr>
          <w:color w:val="3A3838"/>
          <w:spacing w:val="-1"/>
          <w:w w:val="105"/>
        </w:rPr>
        <w:t> </w:t>
      </w:r>
      <w:r>
        <w:rPr>
          <w:color w:val="3A3838"/>
          <w:w w:val="105"/>
        </w:rPr>
        <w:t>well.</w:t>
      </w:r>
    </w:p>
    <w:p>
      <w:pPr>
        <w:pStyle w:val="BodyText"/>
        <w:spacing w:line="232" w:lineRule="auto" w:before="9"/>
        <w:ind w:left="771" w:right="72" w:firstLine="395"/>
        <w:jc w:val="both"/>
      </w:pPr>
      <w:r>
        <w:rPr>
          <w:color w:val="3A3838"/>
          <w:w w:val="105"/>
        </w:rPr>
        <w:t>Although many good writers compose at the computer keyboard,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computer may not be the best place to use this method. You </w:t>
      </w:r>
      <w:r>
        <w:rPr>
          <w:color w:val="4B494B"/>
          <w:w w:val="105"/>
        </w:rPr>
        <w:t>may</w:t>
      </w:r>
      <w:r>
        <w:rPr>
          <w:color w:val="4B494B"/>
          <w:spacing w:val="1"/>
          <w:w w:val="105"/>
        </w:rPr>
        <w:t> </w:t>
      </w:r>
      <w:r>
        <w:rPr>
          <w:color w:val="3A3838"/>
          <w:w w:val="105"/>
        </w:rPr>
        <w:t>want to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write the assertions on index cards so that you can shuffle them around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later. You may want to write them on a big piece of paper so you can think</w:t>
      </w:r>
      <w:r>
        <w:rPr>
          <w:color w:val="3A3838"/>
          <w:spacing w:val="-58"/>
          <w:w w:val="105"/>
        </w:rPr>
        <w:t> </w:t>
      </w:r>
      <w:r>
        <w:rPr>
          <w:color w:val="3A3838"/>
          <w:w w:val="110"/>
        </w:rPr>
        <w:t>about how the statements from one authority connect to the statements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from another authority, perhaps drawing arrows to make the connections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more</w:t>
      </w:r>
      <w:r>
        <w:rPr>
          <w:color w:val="3A3838"/>
          <w:spacing w:val="-25"/>
          <w:w w:val="110"/>
        </w:rPr>
        <w:t> </w:t>
      </w:r>
      <w:r>
        <w:rPr>
          <w:color w:val="3A3838"/>
          <w:w w:val="110"/>
        </w:rPr>
        <w:t>obvious</w:t>
      </w:r>
      <w:r>
        <w:rPr>
          <w:color w:val="3A3838"/>
          <w:spacing w:val="-3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8"/>
          <w:w w:val="110"/>
        </w:rPr>
        <w:t> </w:t>
      </w:r>
      <w:r>
        <w:rPr>
          <w:color w:val="3A3838"/>
          <w:w w:val="110"/>
        </w:rPr>
        <w:t>yourself.</w:t>
      </w:r>
    </w:p>
    <w:p>
      <w:pPr>
        <w:pStyle w:val="BodyText"/>
        <w:spacing w:line="235" w:lineRule="auto"/>
        <w:ind w:left="650" w:right="101" w:firstLine="446"/>
        <w:jc w:val="both"/>
      </w:pPr>
      <w:r>
        <w:rPr>
          <w:color w:val="3A3838"/>
          <w:w w:val="105"/>
        </w:rPr>
        <w:t>Let's</w:t>
      </w:r>
      <w:r>
        <w:rPr>
          <w:color w:val="3A3838"/>
          <w:spacing w:val="-20"/>
          <w:w w:val="105"/>
        </w:rPr>
        <w:t> </w:t>
      </w:r>
      <w:r>
        <w:rPr>
          <w:color w:val="3A3838"/>
          <w:w w:val="105"/>
        </w:rPr>
        <w:t>use</w:t>
      </w:r>
      <w:r>
        <w:rPr>
          <w:color w:val="3A3838"/>
          <w:spacing w:val="-16"/>
          <w:w w:val="105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-3"/>
          <w:w w:val="105"/>
        </w:rPr>
        <w:t> </w:t>
      </w:r>
      <w:r>
        <w:rPr>
          <w:color w:val="3A3838"/>
          <w:w w:val="105"/>
        </w:rPr>
        <w:t>case</w:t>
      </w:r>
      <w:r>
        <w:rPr>
          <w:color w:val="3A3838"/>
          <w:spacing w:val="-19"/>
          <w:w w:val="105"/>
        </w:rPr>
        <w:t> </w:t>
      </w:r>
      <w:r>
        <w:rPr>
          <w:color w:val="3A3838"/>
          <w:w w:val="105"/>
        </w:rPr>
        <w:t>of</w:t>
      </w:r>
      <w:r>
        <w:rPr>
          <w:color w:val="3A3838"/>
          <w:spacing w:val="-13"/>
          <w:w w:val="105"/>
        </w:rPr>
        <w:t> </w:t>
      </w:r>
      <w:r>
        <w:rPr>
          <w:i/>
          <w:color w:val="3A3838"/>
          <w:w w:val="105"/>
          <w:sz w:val="21"/>
        </w:rPr>
        <w:t>Miller</w:t>
      </w:r>
      <w:r>
        <w:rPr>
          <w:i/>
          <w:color w:val="3A3838"/>
          <w:spacing w:val="-27"/>
          <w:w w:val="105"/>
          <w:sz w:val="21"/>
        </w:rPr>
        <w:t> </w:t>
      </w:r>
      <w:r>
        <w:rPr>
          <w:i/>
          <w:color w:val="3A3838"/>
          <w:w w:val="105"/>
          <w:sz w:val="21"/>
        </w:rPr>
        <w:t>v.</w:t>
      </w:r>
      <w:r>
        <w:rPr>
          <w:i/>
          <w:color w:val="3A3838"/>
          <w:spacing w:val="-15"/>
          <w:w w:val="105"/>
          <w:sz w:val="21"/>
        </w:rPr>
        <w:t> </w:t>
      </w:r>
      <w:r>
        <w:rPr>
          <w:rFonts w:ascii="Arial" w:hAnsi="Arial"/>
          <w:i/>
          <w:color w:val="3A3838"/>
          <w:w w:val="105"/>
          <w:sz w:val="21"/>
        </w:rPr>
        <w:t>Albright,</w:t>
      </w:r>
      <w:r>
        <w:rPr>
          <w:rFonts w:ascii="Arial" w:hAnsi="Arial"/>
          <w:i/>
          <w:color w:val="3A3838"/>
          <w:spacing w:val="-11"/>
          <w:w w:val="105"/>
          <w:sz w:val="21"/>
        </w:rPr>
        <w:t> </w:t>
      </w:r>
      <w:r>
        <w:rPr>
          <w:color w:val="3A3838"/>
          <w:w w:val="105"/>
        </w:rPr>
        <w:t>523</w:t>
      </w:r>
      <w:r>
        <w:rPr>
          <w:color w:val="3A3838"/>
          <w:spacing w:val="-5"/>
          <w:w w:val="105"/>
        </w:rPr>
        <w:t> </w:t>
      </w:r>
      <w:r>
        <w:rPr>
          <w:color w:val="3A3838"/>
          <w:w w:val="105"/>
        </w:rPr>
        <w:t>U.S.</w:t>
      </w:r>
      <w:r>
        <w:rPr>
          <w:color w:val="3A3838"/>
          <w:spacing w:val="-13"/>
          <w:w w:val="105"/>
        </w:rPr>
        <w:t> </w:t>
      </w:r>
      <w:r>
        <w:rPr>
          <w:color w:val="3A3838"/>
          <w:w w:val="105"/>
        </w:rPr>
        <w:t>420</w:t>
      </w:r>
      <w:r>
        <w:rPr>
          <w:color w:val="3A3838"/>
          <w:spacing w:val="-23"/>
          <w:w w:val="105"/>
        </w:rPr>
        <w:t> </w:t>
      </w:r>
      <w:r>
        <w:rPr>
          <w:color w:val="3A3838"/>
          <w:w w:val="105"/>
        </w:rPr>
        <w:t>(1998),</w:t>
      </w:r>
      <w:r>
        <w:rPr>
          <w:color w:val="3A3838"/>
          <w:spacing w:val="-11"/>
          <w:w w:val="105"/>
        </w:rPr>
        <w:t> </w:t>
      </w:r>
      <w:r>
        <w:rPr>
          <w:color w:val="3A3838"/>
          <w:w w:val="105"/>
        </w:rPr>
        <w:t>for</w:t>
      </w:r>
      <w:r>
        <w:rPr>
          <w:color w:val="3A3838"/>
          <w:spacing w:val="10"/>
          <w:w w:val="105"/>
        </w:rPr>
        <w:t> </w:t>
      </w:r>
      <w:r>
        <w:rPr>
          <w:color w:val="3A3838"/>
          <w:w w:val="105"/>
        </w:rPr>
        <w:t>an</w:t>
      </w:r>
      <w:r>
        <w:rPr>
          <w:color w:val="3A3838"/>
          <w:spacing w:val="24"/>
          <w:w w:val="105"/>
        </w:rPr>
        <w:t> </w:t>
      </w:r>
      <w:r>
        <w:rPr>
          <w:color w:val="3A3838"/>
          <w:w w:val="105"/>
        </w:rPr>
        <w:t>exam­</w:t>
      </w:r>
      <w:r>
        <w:rPr>
          <w:color w:val="3A3838"/>
          <w:spacing w:val="-58"/>
          <w:w w:val="105"/>
        </w:rPr>
        <w:t> </w:t>
      </w:r>
      <w:r>
        <w:rPr>
          <w:color w:val="3A3838"/>
          <w:w w:val="110"/>
        </w:rPr>
        <w:t>ple. The petitioner in </w:t>
      </w:r>
      <w:r>
        <w:rPr>
          <w:i/>
          <w:color w:val="3A3838"/>
          <w:w w:val="110"/>
          <w:sz w:val="21"/>
        </w:rPr>
        <w:t>Miller </w:t>
      </w:r>
      <w:r>
        <w:rPr>
          <w:color w:val="3A3838"/>
          <w:w w:val="110"/>
        </w:rPr>
        <w:t>was the foreign-born daughter of a United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States serviceman.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daughter wanted  to become a  United States </w:t>
      </w:r>
      <w:r>
        <w:rPr>
          <w:color w:val="4B494B"/>
          <w:w w:val="105"/>
        </w:rPr>
        <w:t>citi­</w:t>
      </w:r>
      <w:r>
        <w:rPr>
          <w:color w:val="4B494B"/>
          <w:spacing w:val="1"/>
          <w:w w:val="105"/>
        </w:rPr>
        <w:t> </w:t>
      </w:r>
      <w:r>
        <w:rPr>
          <w:color w:val="3A3838"/>
          <w:w w:val="110"/>
        </w:rPr>
        <w:t>zen based on  her status as the daughter of a United States citizen, but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her parents had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never married. Section 1409(a) of 8 U.S.C. imposed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strict requirements for citizenship on foreign-born children of unmar­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ried </w:t>
      </w:r>
      <w:r>
        <w:rPr>
          <w:color w:val="4B494B"/>
          <w:w w:val="110"/>
        </w:rPr>
        <w:t>citizen </w:t>
      </w:r>
      <w:r>
        <w:rPr>
          <w:color w:val="3A3838"/>
          <w:w w:val="110"/>
        </w:rPr>
        <w:t>fathers and foreign mothers. Because it imposed almost no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requirements for citizenship on foreign-born </w:t>
      </w:r>
      <w:r>
        <w:rPr>
          <w:color w:val="4B494B"/>
          <w:w w:val="110"/>
        </w:rPr>
        <w:t>children </w:t>
      </w:r>
      <w:r>
        <w:rPr>
          <w:color w:val="3A3838"/>
          <w:w w:val="110"/>
        </w:rPr>
        <w:t>of unmarried citi­</w:t>
      </w:r>
      <w:r>
        <w:rPr>
          <w:color w:val="3A3838"/>
          <w:spacing w:val="1"/>
          <w:w w:val="110"/>
        </w:rPr>
        <w:t> </w:t>
      </w:r>
      <w:r>
        <w:rPr>
          <w:color w:val="4B494B"/>
          <w:w w:val="110"/>
        </w:rPr>
        <w:t>zen </w:t>
      </w:r>
      <w:r>
        <w:rPr>
          <w:color w:val="3A3838"/>
          <w:w w:val="110"/>
        </w:rPr>
        <w:t>mothers and foreign fathers, the daughter sued to have the statute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declared</w:t>
      </w:r>
      <w:r>
        <w:rPr>
          <w:color w:val="3A3838"/>
          <w:spacing w:val="6"/>
          <w:w w:val="110"/>
        </w:rPr>
        <w:t> </w:t>
      </w:r>
      <w:r>
        <w:rPr>
          <w:color w:val="3A3838"/>
          <w:w w:val="110"/>
        </w:rPr>
        <w:t>unconstitutional.</w:t>
      </w:r>
    </w:p>
    <w:p>
      <w:pPr>
        <w:pStyle w:val="BodyText"/>
        <w:spacing w:line="230" w:lineRule="auto"/>
        <w:ind w:left="610" w:right="151" w:firstLine="370"/>
        <w:jc w:val="both"/>
      </w:pPr>
      <w:r>
        <w:rPr>
          <w:color w:val="3A3838"/>
          <w:w w:val="105"/>
        </w:rPr>
        <w:t>Let's presume that you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are researching</w:t>
      </w:r>
      <w:r>
        <w:rPr>
          <w:color w:val="3A3838"/>
          <w:spacing w:val="1"/>
          <w:w w:val="105"/>
        </w:rPr>
        <w:t> </w:t>
      </w:r>
      <w:r>
        <w:rPr>
          <w:i/>
          <w:color w:val="3A3838"/>
          <w:w w:val="105"/>
          <w:sz w:val="21"/>
        </w:rPr>
        <w:t>Miller v. </w:t>
      </w:r>
      <w:r>
        <w:rPr>
          <w:rFonts w:ascii="Arial" w:hAnsi="Arial"/>
          <w:i/>
          <w:color w:val="3A3838"/>
          <w:w w:val="105"/>
          <w:sz w:val="21"/>
        </w:rPr>
        <w:t>Albright </w:t>
      </w:r>
      <w:r>
        <w:rPr>
          <w:color w:val="4B494B"/>
          <w:w w:val="105"/>
        </w:rPr>
        <w:t>on  </w:t>
      </w:r>
      <w:r>
        <w:rPr>
          <w:color w:val="3A3838"/>
          <w:w w:val="105"/>
        </w:rPr>
        <w:t>behalf  of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the petitioner, and you have reached a "partial </w:t>
      </w:r>
      <w:r>
        <w:rPr>
          <w:color w:val="4B494B"/>
          <w:w w:val="105"/>
        </w:rPr>
        <w:t>stop" </w:t>
      </w:r>
      <w:r>
        <w:rPr>
          <w:color w:val="3A3838"/>
          <w:w w:val="105"/>
        </w:rPr>
        <w:t>in your research. You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have before you a stack of authorities that (you think) support your argu­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ment. You might come up with the following list of assertions that you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believe</w:t>
      </w:r>
      <w:r>
        <w:rPr>
          <w:color w:val="3A3838"/>
          <w:spacing w:val="-4"/>
          <w:w w:val="105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32"/>
          <w:w w:val="105"/>
        </w:rPr>
        <w:t> </w:t>
      </w:r>
      <w:r>
        <w:rPr>
          <w:color w:val="3A3838"/>
          <w:w w:val="105"/>
        </w:rPr>
        <w:t>court</w:t>
      </w:r>
      <w:r>
        <w:rPr>
          <w:color w:val="3A3838"/>
          <w:spacing w:val="-13"/>
          <w:w w:val="105"/>
        </w:rPr>
        <w:t> </w:t>
      </w:r>
      <w:r>
        <w:rPr>
          <w:color w:val="3A3838"/>
          <w:w w:val="105"/>
        </w:rPr>
        <w:t>has</w:t>
      </w:r>
      <w:r>
        <w:rPr>
          <w:color w:val="3A3838"/>
          <w:spacing w:val="-5"/>
          <w:w w:val="105"/>
        </w:rPr>
        <w:t> </w:t>
      </w:r>
      <w:r>
        <w:rPr>
          <w:color w:val="3A3838"/>
          <w:w w:val="105"/>
        </w:rPr>
        <w:t>to</w:t>
      </w:r>
      <w:r>
        <w:rPr>
          <w:color w:val="3A3838"/>
          <w:spacing w:val="3"/>
          <w:w w:val="105"/>
        </w:rPr>
        <w:t> </w:t>
      </w:r>
      <w:r>
        <w:rPr>
          <w:color w:val="3A3838"/>
          <w:w w:val="105"/>
        </w:rPr>
        <w:t>agree</w:t>
      </w:r>
      <w:r>
        <w:rPr>
          <w:color w:val="3A3838"/>
          <w:spacing w:val="4"/>
          <w:w w:val="105"/>
        </w:rPr>
        <w:t> </w:t>
      </w:r>
      <w:r>
        <w:rPr>
          <w:color w:val="3A3838"/>
          <w:w w:val="105"/>
        </w:rPr>
        <w:t>with</w:t>
      </w:r>
      <w:r>
        <w:rPr>
          <w:color w:val="3A3838"/>
          <w:spacing w:val="13"/>
          <w:w w:val="105"/>
        </w:rPr>
        <w:t> </w:t>
      </w:r>
      <w:r>
        <w:rPr>
          <w:color w:val="3A3838"/>
          <w:w w:val="105"/>
        </w:rPr>
        <w:t>to</w:t>
      </w:r>
      <w:r>
        <w:rPr>
          <w:color w:val="3A3838"/>
          <w:spacing w:val="-4"/>
          <w:w w:val="105"/>
        </w:rPr>
        <w:t> </w:t>
      </w:r>
      <w:r>
        <w:rPr>
          <w:color w:val="3A3838"/>
          <w:w w:val="105"/>
        </w:rPr>
        <w:t>decide</w:t>
      </w:r>
      <w:r>
        <w:rPr>
          <w:color w:val="3A3838"/>
          <w:spacing w:val="-16"/>
          <w:w w:val="105"/>
        </w:rPr>
        <w:t> </w:t>
      </w:r>
      <w:r>
        <w:rPr>
          <w:color w:val="3A3838"/>
          <w:w w:val="105"/>
        </w:rPr>
        <w:t>in</w:t>
      </w:r>
      <w:r>
        <w:rPr>
          <w:color w:val="3A3838"/>
          <w:spacing w:val="22"/>
          <w:w w:val="105"/>
        </w:rPr>
        <w:t> </w:t>
      </w:r>
      <w:r>
        <w:rPr>
          <w:color w:val="3A3838"/>
          <w:w w:val="105"/>
        </w:rPr>
        <w:t>your</w:t>
      </w:r>
      <w:r>
        <w:rPr>
          <w:color w:val="3A3838"/>
          <w:spacing w:val="-7"/>
          <w:w w:val="105"/>
        </w:rPr>
        <w:t> </w:t>
      </w:r>
      <w:r>
        <w:rPr>
          <w:color w:val="3A3838"/>
          <w:w w:val="105"/>
        </w:rPr>
        <w:t>favor:</w:t>
      </w:r>
    </w:p>
    <w:p>
      <w:pPr>
        <w:spacing w:before="153"/>
        <w:ind w:left="2208" w:right="0" w:firstLine="0"/>
        <w:jc w:val="left"/>
        <w:rPr>
          <w:rFonts w:ascii="Arial"/>
          <w:i/>
          <w:sz w:val="11"/>
        </w:rPr>
      </w:pPr>
      <w:r>
        <w:rPr>
          <w:i/>
          <w:color w:val="3A3838"/>
          <w:w w:val="110"/>
          <w:sz w:val="21"/>
        </w:rPr>
        <w:t>List</w:t>
      </w:r>
      <w:r>
        <w:rPr>
          <w:i/>
          <w:color w:val="3A3838"/>
          <w:spacing w:val="5"/>
          <w:w w:val="110"/>
          <w:sz w:val="21"/>
        </w:rPr>
        <w:t> </w:t>
      </w:r>
      <w:r>
        <w:rPr>
          <w:i/>
          <w:color w:val="3A3838"/>
          <w:w w:val="110"/>
          <w:sz w:val="21"/>
        </w:rPr>
        <w:t>of</w:t>
      </w:r>
      <w:r>
        <w:rPr>
          <w:i/>
          <w:color w:val="3A3838"/>
          <w:spacing w:val="19"/>
          <w:w w:val="110"/>
          <w:sz w:val="21"/>
        </w:rPr>
        <w:t> </w:t>
      </w:r>
      <w:r>
        <w:rPr>
          <w:i/>
          <w:color w:val="3A3838"/>
          <w:w w:val="110"/>
          <w:sz w:val="21"/>
        </w:rPr>
        <w:t>points</w:t>
      </w:r>
      <w:r>
        <w:rPr>
          <w:i/>
          <w:color w:val="3A3838"/>
          <w:spacing w:val="8"/>
          <w:w w:val="110"/>
          <w:sz w:val="21"/>
        </w:rPr>
        <w:t> </w:t>
      </w:r>
      <w:r>
        <w:rPr>
          <w:i/>
          <w:color w:val="3A3838"/>
          <w:w w:val="110"/>
          <w:sz w:val="21"/>
        </w:rPr>
        <w:t>that</w:t>
      </w:r>
      <w:r>
        <w:rPr>
          <w:i/>
          <w:color w:val="3A3838"/>
          <w:spacing w:val="-8"/>
          <w:w w:val="110"/>
          <w:sz w:val="21"/>
        </w:rPr>
        <w:t> </w:t>
      </w:r>
      <w:r>
        <w:rPr>
          <w:i/>
          <w:color w:val="4B494B"/>
          <w:w w:val="110"/>
          <w:sz w:val="21"/>
        </w:rPr>
        <w:t>court </w:t>
      </w:r>
      <w:r>
        <w:rPr>
          <w:i/>
          <w:color w:val="3A3838"/>
          <w:w w:val="110"/>
          <w:sz w:val="21"/>
        </w:rPr>
        <w:t>must</w:t>
      </w:r>
      <w:r>
        <w:rPr>
          <w:i/>
          <w:color w:val="3A3838"/>
          <w:spacing w:val="-3"/>
          <w:w w:val="110"/>
          <w:sz w:val="21"/>
        </w:rPr>
        <w:t> </w:t>
      </w:r>
      <w:r>
        <w:rPr>
          <w:i/>
          <w:color w:val="3A3838"/>
          <w:w w:val="110"/>
          <w:sz w:val="21"/>
        </w:rPr>
        <w:t>agree</w:t>
      </w:r>
      <w:r>
        <w:rPr>
          <w:i/>
          <w:color w:val="3A3838"/>
          <w:spacing w:val="2"/>
          <w:w w:val="110"/>
          <w:sz w:val="21"/>
        </w:rPr>
        <w:t> </w:t>
      </w:r>
      <w:r>
        <w:rPr>
          <w:i/>
          <w:color w:val="3A3838"/>
          <w:w w:val="110"/>
          <w:sz w:val="21"/>
        </w:rPr>
        <w:t>with:</w:t>
      </w:r>
      <w:r>
        <w:rPr>
          <w:rFonts w:ascii="Arial"/>
          <w:i/>
          <w:color w:val="3A3838"/>
          <w:w w:val="110"/>
          <w:position w:val="8"/>
          <w:sz w:val="11"/>
        </w:rPr>
        <w:t>10</w:t>
      </w:r>
    </w:p>
    <w:p>
      <w:pPr>
        <w:pStyle w:val="ListParagraph"/>
        <w:numPr>
          <w:ilvl w:val="1"/>
          <w:numId w:val="37"/>
        </w:numPr>
        <w:tabs>
          <w:tab w:pos="950" w:val="left" w:leader="none"/>
        </w:tabs>
        <w:spacing w:line="236" w:lineRule="exact" w:before="66" w:after="0"/>
        <w:ind w:left="949" w:right="0" w:hanging="279"/>
        <w:jc w:val="left"/>
        <w:rPr>
          <w:sz w:val="21"/>
        </w:rPr>
      </w:pPr>
      <w:r>
        <w:rPr>
          <w:color w:val="3A3838"/>
          <w:w w:val="110"/>
          <w:sz w:val="21"/>
        </w:rPr>
        <w:t>Court</w:t>
      </w:r>
      <w:r>
        <w:rPr>
          <w:color w:val="3A3838"/>
          <w:spacing w:val="-10"/>
          <w:w w:val="110"/>
          <w:sz w:val="21"/>
        </w:rPr>
        <w:t> </w:t>
      </w:r>
      <w:r>
        <w:rPr>
          <w:color w:val="3A3838"/>
          <w:w w:val="110"/>
          <w:sz w:val="21"/>
        </w:rPr>
        <w:t>should</w:t>
      </w:r>
      <w:r>
        <w:rPr>
          <w:color w:val="3A3838"/>
          <w:spacing w:val="24"/>
          <w:w w:val="110"/>
          <w:sz w:val="21"/>
        </w:rPr>
        <w:t> </w:t>
      </w:r>
      <w:r>
        <w:rPr>
          <w:color w:val="3A3838"/>
          <w:w w:val="110"/>
          <w:sz w:val="21"/>
        </w:rPr>
        <w:t>reverse</w:t>
      </w:r>
      <w:r>
        <w:rPr>
          <w:color w:val="3A3838"/>
          <w:spacing w:val="2"/>
          <w:w w:val="110"/>
          <w:sz w:val="21"/>
        </w:rPr>
        <w:t> </w:t>
      </w:r>
      <w:r>
        <w:rPr>
          <w:color w:val="3A3838"/>
          <w:w w:val="110"/>
          <w:sz w:val="21"/>
        </w:rPr>
        <w:t>decision</w:t>
      </w:r>
      <w:r>
        <w:rPr>
          <w:color w:val="3A3838"/>
          <w:spacing w:val="26"/>
          <w:w w:val="110"/>
          <w:sz w:val="21"/>
        </w:rPr>
        <w:t> </w:t>
      </w:r>
      <w:r>
        <w:rPr>
          <w:color w:val="3A3838"/>
          <w:w w:val="110"/>
          <w:sz w:val="21"/>
        </w:rPr>
        <w:t>below.</w:t>
      </w:r>
    </w:p>
    <w:p>
      <w:pPr>
        <w:pStyle w:val="ListParagraph"/>
        <w:numPr>
          <w:ilvl w:val="0"/>
          <w:numId w:val="38"/>
        </w:numPr>
        <w:tabs>
          <w:tab w:pos="935" w:val="left" w:leader="none"/>
        </w:tabs>
        <w:spacing w:line="236" w:lineRule="exact" w:before="0" w:after="0"/>
        <w:ind w:left="934" w:right="0" w:hanging="292"/>
        <w:jc w:val="left"/>
        <w:rPr>
          <w:color w:val="3A3838"/>
          <w:sz w:val="21"/>
        </w:rPr>
      </w:pPr>
      <w:r>
        <w:rPr>
          <w:color w:val="3A3838"/>
          <w:w w:val="115"/>
          <w:sz w:val="21"/>
        </w:rPr>
        <w:t>Statute</w:t>
      </w:r>
      <w:r>
        <w:rPr>
          <w:color w:val="3A3838"/>
          <w:spacing w:val="2"/>
          <w:w w:val="115"/>
          <w:sz w:val="21"/>
        </w:rPr>
        <w:t> </w:t>
      </w:r>
      <w:r>
        <w:rPr>
          <w:color w:val="3A3838"/>
          <w:w w:val="115"/>
          <w:sz w:val="21"/>
        </w:rPr>
        <w:t>is</w:t>
      </w:r>
      <w:r>
        <w:rPr>
          <w:color w:val="3A3838"/>
          <w:spacing w:val="11"/>
          <w:w w:val="115"/>
          <w:sz w:val="21"/>
        </w:rPr>
        <w:t> </w:t>
      </w:r>
      <w:r>
        <w:rPr>
          <w:color w:val="3A3838"/>
          <w:w w:val="115"/>
          <w:sz w:val="21"/>
        </w:rPr>
        <w:t>unconstitutional.</w:t>
      </w:r>
    </w:p>
    <w:p>
      <w:pPr>
        <w:pStyle w:val="ListParagraph"/>
        <w:numPr>
          <w:ilvl w:val="0"/>
          <w:numId w:val="38"/>
        </w:numPr>
        <w:tabs>
          <w:tab w:pos="925" w:val="left" w:leader="none"/>
        </w:tabs>
        <w:spacing w:line="241" w:lineRule="exact" w:before="0" w:after="0"/>
        <w:ind w:left="924" w:right="0" w:hanging="295"/>
        <w:jc w:val="left"/>
        <w:rPr>
          <w:color w:val="3A3838"/>
          <w:sz w:val="21"/>
        </w:rPr>
      </w:pPr>
      <w:r>
        <w:rPr>
          <w:color w:val="3A3838"/>
          <w:w w:val="110"/>
          <w:sz w:val="21"/>
        </w:rPr>
        <w:t>Statute</w:t>
      </w:r>
      <w:r>
        <w:rPr>
          <w:color w:val="3A3838"/>
          <w:spacing w:val="-2"/>
          <w:w w:val="110"/>
          <w:sz w:val="21"/>
        </w:rPr>
        <w:t> </w:t>
      </w:r>
      <w:r>
        <w:rPr>
          <w:color w:val="3A3838"/>
          <w:w w:val="110"/>
          <w:sz w:val="21"/>
        </w:rPr>
        <w:t>discriminates</w:t>
      </w:r>
      <w:r>
        <w:rPr>
          <w:color w:val="3A3838"/>
          <w:spacing w:val="15"/>
          <w:w w:val="110"/>
          <w:sz w:val="21"/>
        </w:rPr>
        <w:t> </w:t>
      </w:r>
      <w:r>
        <w:rPr>
          <w:color w:val="3A3838"/>
          <w:w w:val="110"/>
          <w:sz w:val="21"/>
        </w:rPr>
        <w:t>on</w:t>
      </w:r>
      <w:r>
        <w:rPr>
          <w:color w:val="3A3838"/>
          <w:spacing w:val="46"/>
          <w:w w:val="110"/>
          <w:sz w:val="21"/>
        </w:rPr>
        <w:t> </w:t>
      </w:r>
      <w:r>
        <w:rPr>
          <w:color w:val="3A3838"/>
          <w:w w:val="110"/>
          <w:sz w:val="21"/>
        </w:rPr>
        <w:t>the</w:t>
      </w:r>
      <w:r>
        <w:rPr>
          <w:color w:val="3A3838"/>
          <w:spacing w:val="48"/>
          <w:w w:val="110"/>
          <w:sz w:val="21"/>
        </w:rPr>
        <w:t> </w:t>
      </w:r>
      <w:r>
        <w:rPr>
          <w:color w:val="3A3838"/>
          <w:w w:val="110"/>
          <w:sz w:val="21"/>
        </w:rPr>
        <w:t>basis</w:t>
      </w:r>
      <w:r>
        <w:rPr>
          <w:color w:val="3A3838"/>
          <w:spacing w:val="-6"/>
          <w:w w:val="110"/>
          <w:sz w:val="21"/>
        </w:rPr>
        <w:t> </w:t>
      </w:r>
      <w:r>
        <w:rPr>
          <w:color w:val="3A3838"/>
          <w:w w:val="110"/>
          <w:sz w:val="21"/>
        </w:rPr>
        <w:t>of</w:t>
      </w:r>
      <w:r>
        <w:rPr>
          <w:color w:val="3A3838"/>
          <w:spacing w:val="18"/>
          <w:w w:val="110"/>
          <w:sz w:val="21"/>
        </w:rPr>
        <w:t> </w:t>
      </w:r>
      <w:r>
        <w:rPr>
          <w:color w:val="3A3838"/>
          <w:w w:val="110"/>
          <w:sz w:val="21"/>
        </w:rPr>
        <w:t>gender.</w:t>
      </w:r>
    </w:p>
    <w:p>
      <w:pPr>
        <w:spacing w:line="230" w:lineRule="auto" w:before="123"/>
        <w:ind w:left="905" w:right="4907" w:firstLine="9"/>
        <w:jc w:val="left"/>
        <w:rPr>
          <w:sz w:val="21"/>
        </w:rPr>
      </w:pPr>
      <w:r>
        <w:rPr>
          <w:color w:val="3A3838"/>
          <w:spacing w:val="-1"/>
          <w:w w:val="110"/>
          <w:sz w:val="21"/>
        </w:rPr>
        <w:t>McGuffin </w:t>
      </w:r>
      <w:r>
        <w:rPr>
          <w:color w:val="3A3838"/>
          <w:w w:val="110"/>
          <w:sz w:val="21"/>
        </w:rPr>
        <w:t>v. Podesednik</w:t>
      </w:r>
      <w:r>
        <w:rPr>
          <w:color w:val="3A3838"/>
          <w:spacing w:val="-55"/>
          <w:w w:val="110"/>
          <w:sz w:val="21"/>
        </w:rPr>
        <w:t> </w:t>
      </w:r>
      <w:r>
        <w:rPr>
          <w:color w:val="3A3838"/>
          <w:w w:val="110"/>
          <w:sz w:val="21"/>
        </w:rPr>
        <w:t>Patel</w:t>
      </w:r>
      <w:r>
        <w:rPr>
          <w:color w:val="3A3838"/>
          <w:spacing w:val="-11"/>
          <w:w w:val="110"/>
          <w:sz w:val="21"/>
        </w:rPr>
        <w:t> </w:t>
      </w:r>
      <w:r>
        <w:rPr>
          <w:color w:val="3A3838"/>
          <w:w w:val="110"/>
          <w:sz w:val="21"/>
        </w:rPr>
        <w:t>v.</w:t>
      </w:r>
      <w:r>
        <w:rPr>
          <w:color w:val="3A3838"/>
          <w:spacing w:val="-9"/>
          <w:w w:val="110"/>
          <w:sz w:val="21"/>
        </w:rPr>
        <w:t> </w:t>
      </w:r>
      <w:r>
        <w:rPr>
          <w:color w:val="3A3838"/>
          <w:w w:val="110"/>
          <w:sz w:val="21"/>
        </w:rPr>
        <w:t>Yoder</w:t>
      </w:r>
    </w:p>
    <w:p>
      <w:pPr>
        <w:pStyle w:val="ListParagraph"/>
        <w:numPr>
          <w:ilvl w:val="0"/>
          <w:numId w:val="38"/>
        </w:numPr>
        <w:tabs>
          <w:tab w:pos="882" w:val="left" w:leader="none"/>
        </w:tabs>
        <w:spacing w:line="220" w:lineRule="auto" w:before="141" w:after="0"/>
        <w:ind w:left="873" w:right="203" w:hanging="297"/>
        <w:jc w:val="left"/>
        <w:rPr>
          <w:color w:val="3A3838"/>
          <w:sz w:val="21"/>
        </w:rPr>
      </w:pPr>
      <w:r>
        <w:rPr>
          <w:color w:val="4B494B"/>
          <w:w w:val="115"/>
          <w:sz w:val="21"/>
        </w:rPr>
        <w:t>Court </w:t>
      </w:r>
      <w:r>
        <w:rPr>
          <w:color w:val="3A3838"/>
          <w:w w:val="115"/>
          <w:sz w:val="21"/>
        </w:rPr>
        <w:t>should scrutinize statutes that disc,:iminate based on gender under</w:t>
      </w:r>
      <w:r>
        <w:rPr>
          <w:color w:val="3A3838"/>
          <w:spacing w:val="-58"/>
          <w:w w:val="115"/>
          <w:sz w:val="21"/>
        </w:rPr>
        <w:t> </w:t>
      </w:r>
      <w:r>
        <w:rPr>
          <w:color w:val="3A3838"/>
          <w:w w:val="115"/>
          <w:sz w:val="21"/>
        </w:rPr>
        <w:t>intermediate</w:t>
      </w:r>
      <w:r>
        <w:rPr>
          <w:color w:val="3A3838"/>
          <w:spacing w:val="-10"/>
          <w:w w:val="115"/>
          <w:sz w:val="21"/>
        </w:rPr>
        <w:t> </w:t>
      </w:r>
      <w:r>
        <w:rPr>
          <w:color w:val="3A3838"/>
          <w:w w:val="115"/>
          <w:sz w:val="21"/>
        </w:rPr>
        <w:t>level</w:t>
      </w:r>
      <w:r>
        <w:rPr>
          <w:color w:val="3A3838"/>
          <w:spacing w:val="-17"/>
          <w:w w:val="115"/>
          <w:sz w:val="21"/>
        </w:rPr>
        <w:t> </w:t>
      </w:r>
      <w:r>
        <w:rPr>
          <w:color w:val="3A3838"/>
          <w:w w:val="115"/>
          <w:sz w:val="21"/>
        </w:rPr>
        <w:t>of</w:t>
      </w:r>
      <w:r>
        <w:rPr>
          <w:color w:val="3A3838"/>
          <w:spacing w:val="-3"/>
          <w:w w:val="115"/>
          <w:sz w:val="21"/>
        </w:rPr>
        <w:t> </w:t>
      </w:r>
      <w:r>
        <w:rPr>
          <w:color w:val="4B494B"/>
          <w:w w:val="115"/>
          <w:sz w:val="21"/>
        </w:rPr>
        <w:t>scrutiny.</w:t>
      </w:r>
    </w:p>
    <w:p>
      <w:pPr>
        <w:spacing w:line="247" w:lineRule="exact" w:before="109"/>
        <w:ind w:left="866" w:right="0" w:firstLine="0"/>
        <w:jc w:val="left"/>
        <w:rPr>
          <w:sz w:val="21"/>
        </w:rPr>
      </w:pPr>
      <w:r>
        <w:rPr>
          <w:color w:val="3A3838"/>
          <w:w w:val="110"/>
          <w:sz w:val="21"/>
        </w:rPr>
        <w:t>Reinsdorf</w:t>
      </w:r>
      <w:r>
        <w:rPr>
          <w:color w:val="3A3838"/>
          <w:spacing w:val="14"/>
          <w:w w:val="110"/>
          <w:sz w:val="21"/>
        </w:rPr>
        <w:t> </w:t>
      </w:r>
      <w:r>
        <w:rPr>
          <w:i/>
          <w:color w:val="3A3838"/>
          <w:w w:val="110"/>
          <w:sz w:val="22"/>
        </w:rPr>
        <w:t>v.</w:t>
      </w:r>
      <w:r>
        <w:rPr>
          <w:i/>
          <w:color w:val="3A3838"/>
          <w:spacing w:val="-12"/>
          <w:w w:val="110"/>
          <w:sz w:val="22"/>
        </w:rPr>
        <w:t> </w:t>
      </w:r>
      <w:r>
        <w:rPr>
          <w:color w:val="3A3838"/>
          <w:w w:val="110"/>
          <w:sz w:val="21"/>
        </w:rPr>
        <w:t>Williams</w:t>
      </w:r>
    </w:p>
    <w:p>
      <w:pPr>
        <w:spacing w:line="235" w:lineRule="exact" w:before="0"/>
        <w:ind w:left="846" w:right="0" w:firstLine="0"/>
        <w:jc w:val="left"/>
        <w:rPr>
          <w:sz w:val="21"/>
        </w:rPr>
      </w:pPr>
      <w:r>
        <w:rPr>
          <w:color w:val="3A3838"/>
          <w:w w:val="115"/>
          <w:sz w:val="21"/>
        </w:rPr>
        <w:t>Jfeduba</w:t>
      </w:r>
      <w:r>
        <w:rPr>
          <w:color w:val="3A3838"/>
          <w:spacing w:val="-4"/>
          <w:w w:val="115"/>
          <w:sz w:val="21"/>
        </w:rPr>
        <w:t> </w:t>
      </w:r>
      <w:r>
        <w:rPr>
          <w:color w:val="3A3838"/>
          <w:w w:val="115"/>
          <w:sz w:val="21"/>
        </w:rPr>
        <w:t>v.</w:t>
      </w:r>
      <w:r>
        <w:rPr>
          <w:color w:val="3A3838"/>
          <w:spacing w:val="-20"/>
          <w:w w:val="115"/>
          <w:sz w:val="21"/>
        </w:rPr>
        <w:t> </w:t>
      </w:r>
      <w:r>
        <w:rPr>
          <w:color w:val="4B494B"/>
          <w:w w:val="115"/>
          <w:sz w:val="21"/>
        </w:rPr>
        <w:t>Coleman</w:t>
      </w:r>
      <w:r>
        <w:rPr>
          <w:color w:val="4B494B"/>
          <w:spacing w:val="2"/>
          <w:w w:val="115"/>
          <w:sz w:val="21"/>
        </w:rPr>
        <w:t> </w:t>
      </w:r>
      <w:r>
        <w:rPr>
          <w:color w:val="3A3838"/>
          <w:w w:val="115"/>
          <w:sz w:val="21"/>
        </w:rPr>
        <w:t>("heightened"</w:t>
      </w:r>
      <w:r>
        <w:rPr>
          <w:color w:val="3A3838"/>
          <w:spacing w:val="-12"/>
          <w:w w:val="115"/>
          <w:sz w:val="21"/>
        </w:rPr>
        <w:t> </w:t>
      </w:r>
      <w:r>
        <w:rPr>
          <w:color w:val="3A3838"/>
          <w:w w:val="115"/>
          <w:sz w:val="21"/>
        </w:rPr>
        <w:t>scrutiny)</w:t>
      </w:r>
    </w:p>
    <w:p>
      <w:pPr>
        <w:spacing w:line="230" w:lineRule="auto" w:before="7"/>
        <w:ind w:left="818" w:right="1482" w:firstLine="15"/>
        <w:jc w:val="left"/>
        <w:rPr>
          <w:sz w:val="21"/>
        </w:rPr>
      </w:pPr>
      <w:r>
        <w:rPr>
          <w:color w:val="4B494B"/>
          <w:w w:val="115"/>
          <w:sz w:val="21"/>
        </w:rPr>
        <w:t>Crede</w:t>
      </w:r>
      <w:r>
        <w:rPr>
          <w:color w:val="4B494B"/>
          <w:spacing w:val="-5"/>
          <w:w w:val="115"/>
          <w:sz w:val="21"/>
        </w:rPr>
        <w:t> </w:t>
      </w:r>
      <w:r>
        <w:rPr>
          <w:color w:val="3A3838"/>
          <w:w w:val="115"/>
          <w:sz w:val="21"/>
        </w:rPr>
        <w:t>v.</w:t>
      </w:r>
      <w:r>
        <w:rPr>
          <w:color w:val="3A3838"/>
          <w:spacing w:val="-24"/>
          <w:w w:val="115"/>
          <w:sz w:val="21"/>
        </w:rPr>
        <w:t> </w:t>
      </w:r>
      <w:r>
        <w:rPr>
          <w:color w:val="3A3838"/>
          <w:w w:val="115"/>
          <w:sz w:val="21"/>
        </w:rPr>
        <w:t>State</w:t>
      </w:r>
      <w:r>
        <w:rPr>
          <w:color w:val="3A3838"/>
          <w:spacing w:val="-8"/>
          <w:w w:val="115"/>
          <w:sz w:val="21"/>
        </w:rPr>
        <w:t> </w:t>
      </w:r>
      <w:r>
        <w:rPr>
          <w:color w:val="3A3838"/>
          <w:w w:val="115"/>
          <w:sz w:val="21"/>
        </w:rPr>
        <w:t>("something less</w:t>
      </w:r>
      <w:r>
        <w:rPr>
          <w:color w:val="3A3838"/>
          <w:spacing w:val="-12"/>
          <w:w w:val="115"/>
          <w:sz w:val="21"/>
        </w:rPr>
        <w:t> </w:t>
      </w:r>
      <w:r>
        <w:rPr>
          <w:color w:val="3A3838"/>
          <w:w w:val="115"/>
          <w:sz w:val="21"/>
        </w:rPr>
        <w:t>than</w:t>
      </w:r>
      <w:r>
        <w:rPr>
          <w:color w:val="3A3838"/>
          <w:spacing w:val="-1"/>
          <w:w w:val="115"/>
          <w:sz w:val="21"/>
        </w:rPr>
        <w:t> </w:t>
      </w:r>
      <w:r>
        <w:rPr>
          <w:color w:val="3A3838"/>
          <w:w w:val="115"/>
          <w:sz w:val="21"/>
        </w:rPr>
        <w:t>strict</w:t>
      </w:r>
      <w:r>
        <w:rPr>
          <w:color w:val="3A3838"/>
          <w:spacing w:val="-23"/>
          <w:w w:val="115"/>
          <w:sz w:val="21"/>
        </w:rPr>
        <w:t> </w:t>
      </w:r>
      <w:r>
        <w:rPr>
          <w:color w:val="3A3838"/>
          <w:w w:val="115"/>
          <w:sz w:val="21"/>
        </w:rPr>
        <w:t>scrutiny")</w:t>
      </w:r>
      <w:r>
        <w:rPr>
          <w:color w:val="3A3838"/>
          <w:spacing w:val="-57"/>
          <w:w w:val="115"/>
          <w:sz w:val="21"/>
        </w:rPr>
        <w:t> </w:t>
      </w:r>
      <w:r>
        <w:rPr>
          <w:color w:val="3A3838"/>
          <w:w w:val="110"/>
          <w:sz w:val="21"/>
        </w:rPr>
        <w:t>Restrepo</w:t>
      </w:r>
      <w:r>
        <w:rPr>
          <w:color w:val="3A3838"/>
          <w:spacing w:val="8"/>
          <w:w w:val="110"/>
          <w:sz w:val="21"/>
        </w:rPr>
        <w:t> </w:t>
      </w:r>
      <w:r>
        <w:rPr>
          <w:color w:val="3A3838"/>
          <w:w w:val="110"/>
          <w:sz w:val="21"/>
        </w:rPr>
        <w:t>v.</w:t>
      </w:r>
      <w:r>
        <w:rPr>
          <w:color w:val="3A3838"/>
          <w:spacing w:val="-17"/>
          <w:w w:val="110"/>
          <w:sz w:val="21"/>
        </w:rPr>
        <w:t> </w:t>
      </w:r>
      <w:r>
        <w:rPr>
          <w:color w:val="3A3838"/>
          <w:w w:val="110"/>
          <w:sz w:val="21"/>
        </w:rPr>
        <w:t>Rowand</w:t>
      </w:r>
    </w:p>
    <w:p>
      <w:pPr>
        <w:spacing w:before="0"/>
        <w:ind w:left="808" w:right="0" w:firstLine="0"/>
        <w:jc w:val="left"/>
        <w:rPr>
          <w:sz w:val="21"/>
        </w:rPr>
      </w:pPr>
      <w:r>
        <w:rPr>
          <w:color w:val="3A3838"/>
          <w:w w:val="110"/>
          <w:sz w:val="21"/>
        </w:rPr>
        <w:t>Blum v</w:t>
      </w:r>
      <w:r>
        <w:rPr>
          <w:color w:val="5D5D5E"/>
          <w:w w:val="110"/>
          <w:sz w:val="21"/>
        </w:rPr>
        <w:t>.</w:t>
      </w:r>
      <w:r>
        <w:rPr>
          <w:color w:val="5D5D5E"/>
          <w:spacing w:val="6"/>
          <w:w w:val="110"/>
          <w:sz w:val="21"/>
        </w:rPr>
        <w:t> </w:t>
      </w:r>
      <w:r>
        <w:rPr>
          <w:color w:val="3A3838"/>
          <w:w w:val="110"/>
          <w:sz w:val="21"/>
        </w:rPr>
        <w:t>Vizcaino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30"/>
        </w:rPr>
      </w:pPr>
    </w:p>
    <w:p>
      <w:pPr>
        <w:spacing w:before="1"/>
        <w:ind w:left="714" w:right="0" w:firstLine="0"/>
        <w:jc w:val="left"/>
        <w:rPr>
          <w:sz w:val="18"/>
        </w:rPr>
      </w:pPr>
      <w:r>
        <w:rPr>
          <w:color w:val="3A3838"/>
          <w:w w:val="105"/>
          <w:sz w:val="18"/>
        </w:rPr>
        <w:t>1</w:t>
      </w:r>
      <w:r>
        <w:rPr>
          <w:color w:val="5D5D5E"/>
          <w:w w:val="105"/>
          <w:sz w:val="18"/>
        </w:rPr>
        <w:t>oea</w:t>
      </w:r>
      <w:r>
        <w:rPr>
          <w:color w:val="3A3838"/>
          <w:w w:val="105"/>
          <w:sz w:val="18"/>
        </w:rPr>
        <w:t>ses</w:t>
      </w:r>
      <w:r>
        <w:rPr>
          <w:color w:val="3A3838"/>
          <w:spacing w:val="5"/>
          <w:w w:val="105"/>
          <w:sz w:val="18"/>
        </w:rPr>
        <w:t> </w:t>
      </w:r>
      <w:r>
        <w:rPr>
          <w:color w:val="3A3838"/>
          <w:w w:val="105"/>
          <w:sz w:val="18"/>
        </w:rPr>
        <w:t>listed</w:t>
      </w:r>
      <w:r>
        <w:rPr>
          <w:color w:val="3A3838"/>
          <w:spacing w:val="-6"/>
          <w:w w:val="105"/>
          <w:sz w:val="18"/>
        </w:rPr>
        <w:t> </w:t>
      </w:r>
      <w:r>
        <w:rPr>
          <w:color w:val="3A3838"/>
          <w:w w:val="105"/>
          <w:sz w:val="18"/>
        </w:rPr>
        <w:t>are</w:t>
      </w:r>
      <w:r>
        <w:rPr>
          <w:color w:val="3A3838"/>
          <w:spacing w:val="16"/>
          <w:w w:val="105"/>
          <w:sz w:val="18"/>
        </w:rPr>
        <w:t> </w:t>
      </w:r>
      <w:r>
        <w:rPr>
          <w:color w:val="3A3838"/>
          <w:w w:val="105"/>
          <w:sz w:val="18"/>
        </w:rPr>
        <w:t>fictional.</w:t>
      </w:r>
    </w:p>
    <w:p>
      <w:pPr>
        <w:spacing w:after="0"/>
        <w:jc w:val="left"/>
        <w:rPr>
          <w:sz w:val="18"/>
        </w:rPr>
        <w:sectPr>
          <w:pgSz w:w="9410" w:h="13790"/>
          <w:pgMar w:header="524" w:footer="0" w:top="1120" w:bottom="0" w:left="1300" w:right="0"/>
        </w:sectPr>
      </w:pPr>
    </w:p>
    <w:p>
      <w:pPr>
        <w:pStyle w:val="ListParagraph"/>
        <w:numPr>
          <w:ilvl w:val="0"/>
          <w:numId w:val="38"/>
        </w:numPr>
        <w:tabs>
          <w:tab w:pos="479" w:val="left" w:leader="none"/>
        </w:tabs>
        <w:spacing w:line="240" w:lineRule="auto" w:before="81" w:after="0"/>
        <w:ind w:left="478" w:right="0" w:hanging="285"/>
        <w:jc w:val="left"/>
        <w:rPr>
          <w:i/>
          <w:color w:val="343133"/>
          <w:sz w:val="21"/>
        </w:rPr>
      </w:pPr>
      <w:r>
        <w:rPr>
          <w:color w:val="343133"/>
          <w:spacing w:val="-1"/>
          <w:w w:val="120"/>
          <w:sz w:val="21"/>
        </w:rPr>
        <w:t>Statute</w:t>
      </w:r>
      <w:r>
        <w:rPr>
          <w:color w:val="343133"/>
          <w:spacing w:val="-22"/>
          <w:w w:val="120"/>
          <w:sz w:val="21"/>
        </w:rPr>
        <w:t> </w:t>
      </w:r>
      <w:r>
        <w:rPr>
          <w:color w:val="343133"/>
          <w:spacing w:val="-1"/>
          <w:w w:val="120"/>
          <w:sz w:val="21"/>
        </w:rPr>
        <w:t>fails</w:t>
      </w:r>
      <w:r>
        <w:rPr>
          <w:color w:val="343133"/>
          <w:spacing w:val="-18"/>
          <w:w w:val="120"/>
          <w:sz w:val="21"/>
        </w:rPr>
        <w:t> </w:t>
      </w:r>
      <w:r>
        <w:rPr>
          <w:color w:val="343133"/>
          <w:spacing w:val="-1"/>
          <w:w w:val="120"/>
          <w:sz w:val="21"/>
        </w:rPr>
        <w:t>the</w:t>
      </w:r>
      <w:r>
        <w:rPr>
          <w:color w:val="343133"/>
          <w:spacing w:val="9"/>
          <w:w w:val="120"/>
          <w:sz w:val="21"/>
        </w:rPr>
        <w:t> </w:t>
      </w:r>
      <w:r>
        <w:rPr>
          <w:color w:val="343133"/>
          <w:spacing w:val="-1"/>
          <w:w w:val="120"/>
          <w:sz w:val="21"/>
        </w:rPr>
        <w:t>intermediate</w:t>
      </w:r>
      <w:r>
        <w:rPr>
          <w:color w:val="343133"/>
          <w:spacing w:val="-9"/>
          <w:w w:val="120"/>
          <w:sz w:val="21"/>
        </w:rPr>
        <w:t> </w:t>
      </w:r>
      <w:r>
        <w:rPr>
          <w:color w:val="343133"/>
          <w:w w:val="120"/>
          <w:sz w:val="21"/>
        </w:rPr>
        <w:t>scrutiny</w:t>
      </w:r>
      <w:r>
        <w:rPr>
          <w:color w:val="343133"/>
          <w:spacing w:val="-8"/>
          <w:w w:val="120"/>
          <w:sz w:val="21"/>
        </w:rPr>
        <w:t> </w:t>
      </w:r>
      <w:r>
        <w:rPr>
          <w:color w:val="343133"/>
          <w:w w:val="120"/>
          <w:sz w:val="21"/>
        </w:rPr>
        <w:t>test.</w:t>
      </w:r>
    </w:p>
    <w:p>
      <w:pPr>
        <w:spacing w:before="115"/>
        <w:ind w:left="497" w:right="5089" w:firstLine="0"/>
        <w:jc w:val="left"/>
        <w:rPr>
          <w:sz w:val="21"/>
        </w:rPr>
      </w:pPr>
      <w:r>
        <w:rPr>
          <w:color w:val="343133"/>
          <w:w w:val="110"/>
          <w:sz w:val="21"/>
        </w:rPr>
        <w:t>Restrepo</w:t>
      </w:r>
      <w:r>
        <w:rPr>
          <w:color w:val="343133"/>
          <w:spacing w:val="11"/>
          <w:w w:val="110"/>
          <w:sz w:val="21"/>
        </w:rPr>
        <w:t> </w:t>
      </w:r>
      <w:r>
        <w:rPr>
          <w:color w:val="343133"/>
          <w:w w:val="110"/>
          <w:sz w:val="21"/>
        </w:rPr>
        <w:t>v.</w:t>
      </w:r>
      <w:r>
        <w:rPr>
          <w:color w:val="343133"/>
          <w:spacing w:val="-1"/>
          <w:w w:val="110"/>
          <w:sz w:val="21"/>
        </w:rPr>
        <w:t> </w:t>
      </w:r>
      <w:r>
        <w:rPr>
          <w:color w:val="343133"/>
          <w:w w:val="110"/>
          <w:sz w:val="21"/>
        </w:rPr>
        <w:t>Rowand</w:t>
      </w:r>
      <w:r>
        <w:rPr>
          <w:color w:val="343133"/>
          <w:spacing w:val="-55"/>
          <w:w w:val="110"/>
          <w:sz w:val="21"/>
        </w:rPr>
        <w:t> </w:t>
      </w:r>
      <w:r>
        <w:rPr>
          <w:color w:val="343133"/>
          <w:w w:val="110"/>
          <w:sz w:val="21"/>
        </w:rPr>
        <w:t>Blum</w:t>
      </w:r>
      <w:r>
        <w:rPr>
          <w:color w:val="343133"/>
          <w:spacing w:val="-2"/>
          <w:w w:val="110"/>
          <w:sz w:val="21"/>
        </w:rPr>
        <w:t> </w:t>
      </w:r>
      <w:r>
        <w:rPr>
          <w:color w:val="343133"/>
          <w:w w:val="110"/>
          <w:sz w:val="21"/>
        </w:rPr>
        <w:t>v</w:t>
      </w:r>
      <w:r>
        <w:rPr>
          <w:color w:val="4B494B"/>
          <w:w w:val="110"/>
          <w:sz w:val="21"/>
        </w:rPr>
        <w:t>.</w:t>
      </w:r>
      <w:r>
        <w:rPr>
          <w:color w:val="4B494B"/>
          <w:spacing w:val="-5"/>
          <w:w w:val="110"/>
          <w:sz w:val="21"/>
        </w:rPr>
        <w:t> </w:t>
      </w:r>
      <w:r>
        <w:rPr>
          <w:color w:val="343133"/>
          <w:w w:val="110"/>
          <w:sz w:val="21"/>
        </w:rPr>
        <w:t>Vizcaino</w:t>
      </w:r>
    </w:p>
    <w:p>
      <w:pPr>
        <w:spacing w:line="232" w:lineRule="exact" w:before="0"/>
        <w:ind w:left="498" w:right="0" w:firstLine="0"/>
        <w:jc w:val="left"/>
        <w:rPr>
          <w:sz w:val="21"/>
        </w:rPr>
      </w:pPr>
      <w:r>
        <w:rPr>
          <w:color w:val="343133"/>
          <w:spacing w:val="-1"/>
          <w:w w:val="115"/>
          <w:sz w:val="21"/>
        </w:rPr>
        <w:t>Zawierucha</w:t>
      </w:r>
      <w:r>
        <w:rPr>
          <w:color w:val="343133"/>
          <w:spacing w:val="-7"/>
          <w:w w:val="115"/>
          <w:sz w:val="21"/>
        </w:rPr>
        <w:t> </w:t>
      </w:r>
      <w:r>
        <w:rPr>
          <w:color w:val="343133"/>
          <w:spacing w:val="-1"/>
          <w:w w:val="115"/>
          <w:sz w:val="22"/>
        </w:rPr>
        <w:t>v.</w:t>
      </w:r>
      <w:r>
        <w:rPr>
          <w:color w:val="343133"/>
          <w:spacing w:val="-30"/>
          <w:w w:val="115"/>
          <w:sz w:val="22"/>
        </w:rPr>
        <w:t> </w:t>
      </w:r>
      <w:r>
        <w:rPr>
          <w:color w:val="343133"/>
          <w:w w:val="115"/>
          <w:sz w:val="21"/>
        </w:rPr>
        <w:t>Vanita</w:t>
      </w:r>
      <w:r>
        <w:rPr>
          <w:color w:val="343133"/>
          <w:spacing w:val="-4"/>
          <w:w w:val="115"/>
          <w:sz w:val="21"/>
        </w:rPr>
        <w:t> </w:t>
      </w:r>
      <w:r>
        <w:rPr>
          <w:color w:val="343133"/>
          <w:w w:val="115"/>
          <w:sz w:val="21"/>
        </w:rPr>
        <w:t>Public</w:t>
      </w:r>
      <w:r>
        <w:rPr>
          <w:color w:val="343133"/>
          <w:spacing w:val="-22"/>
          <w:w w:val="115"/>
          <w:sz w:val="21"/>
        </w:rPr>
        <w:t> </w:t>
      </w:r>
      <w:r>
        <w:rPr>
          <w:color w:val="343133"/>
          <w:w w:val="115"/>
          <w:sz w:val="21"/>
        </w:rPr>
        <w:t>Schools</w:t>
      </w:r>
    </w:p>
    <w:p>
      <w:pPr>
        <w:pStyle w:val="ListParagraph"/>
        <w:numPr>
          <w:ilvl w:val="0"/>
          <w:numId w:val="38"/>
        </w:numPr>
        <w:tabs>
          <w:tab w:pos="489" w:val="left" w:leader="none"/>
        </w:tabs>
        <w:spacing w:line="356" w:lineRule="exact" w:before="24" w:after="0"/>
        <w:ind w:left="497" w:right="885" w:hanging="305"/>
        <w:jc w:val="left"/>
        <w:rPr>
          <w:color w:val="343133"/>
          <w:sz w:val="20"/>
        </w:rPr>
      </w:pPr>
      <w:r>
        <w:rPr>
          <w:color w:val="343133"/>
          <w:w w:val="115"/>
          <w:sz w:val="21"/>
        </w:rPr>
        <w:t>Statute is even</w:t>
      </w:r>
      <w:r>
        <w:rPr>
          <w:color w:val="343133"/>
          <w:spacing w:val="1"/>
          <w:w w:val="115"/>
          <w:sz w:val="21"/>
        </w:rPr>
        <w:t> </w:t>
      </w:r>
      <w:r>
        <w:rPr>
          <w:color w:val="343133"/>
          <w:w w:val="115"/>
          <w:sz w:val="21"/>
        </w:rPr>
        <w:t>unconstitutional under</w:t>
      </w:r>
      <w:r>
        <w:rPr>
          <w:color w:val="343133"/>
          <w:spacing w:val="1"/>
          <w:w w:val="115"/>
          <w:sz w:val="21"/>
        </w:rPr>
        <w:t> </w:t>
      </w:r>
      <w:r>
        <w:rPr>
          <w:color w:val="343133"/>
          <w:w w:val="115"/>
          <w:sz w:val="21"/>
        </w:rPr>
        <w:t>rational</w:t>
      </w:r>
      <w:r>
        <w:rPr>
          <w:color w:val="343133"/>
          <w:spacing w:val="1"/>
          <w:w w:val="115"/>
          <w:sz w:val="21"/>
        </w:rPr>
        <w:t> </w:t>
      </w:r>
      <w:r>
        <w:rPr>
          <w:color w:val="343133"/>
          <w:w w:val="115"/>
          <w:sz w:val="21"/>
        </w:rPr>
        <w:t>basis-type scrutiny.</w:t>
      </w:r>
      <w:r>
        <w:rPr>
          <w:color w:val="343133"/>
          <w:spacing w:val="-58"/>
          <w:w w:val="115"/>
          <w:sz w:val="21"/>
        </w:rPr>
        <w:t> </w:t>
      </w:r>
      <w:r>
        <w:rPr>
          <w:color w:val="343133"/>
          <w:w w:val="115"/>
          <w:sz w:val="21"/>
        </w:rPr>
        <w:t>Kelly</w:t>
      </w:r>
      <w:r>
        <w:rPr>
          <w:color w:val="343133"/>
          <w:spacing w:val="-17"/>
          <w:w w:val="115"/>
          <w:sz w:val="21"/>
        </w:rPr>
        <w:t> </w:t>
      </w:r>
      <w:r>
        <w:rPr>
          <w:color w:val="343133"/>
          <w:w w:val="115"/>
          <w:sz w:val="21"/>
        </w:rPr>
        <w:t>v</w:t>
      </w:r>
      <w:r>
        <w:rPr>
          <w:color w:val="4B494B"/>
          <w:w w:val="115"/>
          <w:sz w:val="21"/>
        </w:rPr>
        <w:t>.</w:t>
      </w:r>
      <w:r>
        <w:rPr>
          <w:color w:val="4B494B"/>
          <w:spacing w:val="-5"/>
          <w:w w:val="115"/>
          <w:sz w:val="21"/>
        </w:rPr>
        <w:t> </w:t>
      </w:r>
      <w:r>
        <w:rPr>
          <w:color w:val="343133"/>
          <w:w w:val="115"/>
          <w:sz w:val="21"/>
        </w:rPr>
        <w:t>C</w:t>
      </w:r>
      <w:r>
        <w:rPr>
          <w:color w:val="4B494B"/>
          <w:w w:val="115"/>
          <w:sz w:val="21"/>
        </w:rPr>
        <w:t>i</w:t>
      </w:r>
      <w:r>
        <w:rPr>
          <w:color w:val="343133"/>
          <w:w w:val="115"/>
          <w:sz w:val="21"/>
        </w:rPr>
        <w:t>ty</w:t>
      </w:r>
      <w:r>
        <w:rPr>
          <w:color w:val="343133"/>
          <w:spacing w:val="12"/>
          <w:w w:val="115"/>
          <w:sz w:val="21"/>
        </w:rPr>
        <w:t> </w:t>
      </w:r>
      <w:r>
        <w:rPr>
          <w:color w:val="343133"/>
          <w:w w:val="115"/>
          <w:sz w:val="21"/>
        </w:rPr>
        <w:t>of</w:t>
      </w:r>
      <w:r>
        <w:rPr>
          <w:color w:val="343133"/>
          <w:spacing w:val="9"/>
          <w:w w:val="115"/>
          <w:sz w:val="21"/>
        </w:rPr>
        <w:t> </w:t>
      </w:r>
      <w:r>
        <w:rPr>
          <w:color w:val="343133"/>
          <w:w w:val="115"/>
          <w:sz w:val="21"/>
        </w:rPr>
        <w:t>Chicago</w:t>
      </w:r>
    </w:p>
    <w:p>
      <w:pPr>
        <w:spacing w:line="225" w:lineRule="exact" w:before="0"/>
        <w:ind w:left="500" w:right="0" w:firstLine="0"/>
        <w:jc w:val="left"/>
        <w:rPr>
          <w:sz w:val="21"/>
        </w:rPr>
      </w:pPr>
      <w:r>
        <w:rPr>
          <w:rFonts w:ascii="Arial"/>
          <w:color w:val="343133"/>
          <w:spacing w:val="-1"/>
          <w:w w:val="110"/>
          <w:sz w:val="19"/>
        </w:rPr>
        <w:t>Yeary</w:t>
      </w:r>
      <w:r>
        <w:rPr>
          <w:rFonts w:ascii="Arial"/>
          <w:color w:val="343133"/>
          <w:spacing w:val="-14"/>
          <w:w w:val="110"/>
          <w:sz w:val="19"/>
        </w:rPr>
        <w:t> </w:t>
      </w:r>
      <w:r>
        <w:rPr>
          <w:color w:val="343133"/>
          <w:w w:val="110"/>
          <w:sz w:val="21"/>
        </w:rPr>
        <w:t>v</w:t>
      </w:r>
      <w:r>
        <w:rPr>
          <w:color w:val="4B494B"/>
          <w:w w:val="110"/>
          <w:sz w:val="21"/>
        </w:rPr>
        <w:t>.</w:t>
      </w:r>
      <w:r>
        <w:rPr>
          <w:color w:val="4B494B"/>
          <w:spacing w:val="-6"/>
          <w:w w:val="110"/>
          <w:sz w:val="21"/>
        </w:rPr>
        <w:t> </w:t>
      </w:r>
      <w:r>
        <w:rPr>
          <w:color w:val="343133"/>
          <w:w w:val="110"/>
          <w:sz w:val="21"/>
        </w:rPr>
        <w:t>Brooks</w:t>
      </w:r>
    </w:p>
    <w:p>
      <w:pPr>
        <w:pStyle w:val="ListParagraph"/>
        <w:numPr>
          <w:ilvl w:val="0"/>
          <w:numId w:val="38"/>
        </w:numPr>
        <w:tabs>
          <w:tab w:pos="493" w:val="left" w:leader="none"/>
          <w:tab w:pos="494" w:val="left" w:leader="none"/>
        </w:tabs>
        <w:spacing w:line="247" w:lineRule="auto" w:before="96" w:after="0"/>
        <w:ind w:left="494" w:right="295" w:hanging="394"/>
        <w:jc w:val="left"/>
        <w:rPr>
          <w:i/>
          <w:color w:val="343133"/>
          <w:sz w:val="21"/>
        </w:rPr>
      </w:pPr>
      <w:r>
        <w:rPr>
          <w:color w:val="343133"/>
          <w:w w:val="120"/>
          <w:sz w:val="21"/>
        </w:rPr>
        <w:t>Court should not</w:t>
      </w:r>
      <w:r>
        <w:rPr>
          <w:color w:val="343133"/>
          <w:spacing w:val="1"/>
          <w:w w:val="120"/>
          <w:sz w:val="21"/>
        </w:rPr>
        <w:t> </w:t>
      </w:r>
      <w:r>
        <w:rPr>
          <w:color w:val="343133"/>
          <w:w w:val="120"/>
          <w:sz w:val="21"/>
        </w:rPr>
        <w:t>defer to Congress even though this </w:t>
      </w:r>
      <w:r>
        <w:rPr>
          <w:rFonts w:ascii="Arial"/>
          <w:color w:val="343133"/>
          <w:w w:val="120"/>
          <w:sz w:val="19"/>
        </w:rPr>
        <w:t>is </w:t>
      </w:r>
      <w:r>
        <w:rPr>
          <w:color w:val="343133"/>
          <w:w w:val="120"/>
          <w:sz w:val="22"/>
        </w:rPr>
        <w:t>an </w:t>
      </w:r>
      <w:r>
        <w:rPr>
          <w:color w:val="343133"/>
          <w:w w:val="120"/>
          <w:sz w:val="21"/>
        </w:rPr>
        <w:t>immigration</w:t>
      </w:r>
      <w:r>
        <w:rPr>
          <w:color w:val="343133"/>
          <w:spacing w:val="-60"/>
          <w:w w:val="120"/>
          <w:sz w:val="21"/>
        </w:rPr>
        <w:t> </w:t>
      </w:r>
      <w:r>
        <w:rPr>
          <w:color w:val="343133"/>
          <w:w w:val="120"/>
          <w:sz w:val="21"/>
        </w:rPr>
        <w:t>law.</w:t>
      </w:r>
    </w:p>
    <w:p>
      <w:pPr>
        <w:spacing w:line="232" w:lineRule="auto" w:before="103"/>
        <w:ind w:left="509" w:right="4992" w:firstLine="0"/>
        <w:jc w:val="both"/>
        <w:rPr>
          <w:sz w:val="21"/>
        </w:rPr>
      </w:pPr>
      <w:r>
        <w:rPr>
          <w:color w:val="343133"/>
          <w:w w:val="115"/>
          <w:sz w:val="21"/>
        </w:rPr>
        <w:t>United States v. Shaheen</w:t>
      </w:r>
      <w:r>
        <w:rPr>
          <w:color w:val="343133"/>
          <w:spacing w:val="-58"/>
          <w:w w:val="115"/>
          <w:sz w:val="21"/>
        </w:rPr>
        <w:t> </w:t>
      </w:r>
      <w:r>
        <w:rPr>
          <w:color w:val="343133"/>
          <w:w w:val="115"/>
          <w:sz w:val="21"/>
        </w:rPr>
        <w:t>United</w:t>
      </w:r>
      <w:r>
        <w:rPr>
          <w:color w:val="343133"/>
          <w:spacing w:val="-5"/>
          <w:w w:val="115"/>
          <w:sz w:val="21"/>
        </w:rPr>
        <w:t> </w:t>
      </w:r>
      <w:r>
        <w:rPr>
          <w:color w:val="343133"/>
          <w:w w:val="115"/>
          <w:sz w:val="21"/>
        </w:rPr>
        <w:t>States</w:t>
      </w:r>
      <w:r>
        <w:rPr>
          <w:color w:val="343133"/>
          <w:spacing w:val="-20"/>
          <w:w w:val="115"/>
          <w:sz w:val="21"/>
        </w:rPr>
        <w:t> </w:t>
      </w:r>
      <w:r>
        <w:rPr>
          <w:color w:val="343133"/>
          <w:w w:val="115"/>
          <w:sz w:val="22"/>
        </w:rPr>
        <w:t>v.</w:t>
      </w:r>
      <w:r>
        <w:rPr>
          <w:color w:val="343133"/>
          <w:spacing w:val="-22"/>
          <w:w w:val="115"/>
          <w:sz w:val="22"/>
        </w:rPr>
        <w:t> </w:t>
      </w:r>
      <w:r>
        <w:rPr>
          <w:color w:val="343133"/>
          <w:w w:val="115"/>
          <w:sz w:val="21"/>
        </w:rPr>
        <w:t>Pelehach</w:t>
      </w:r>
      <w:r>
        <w:rPr>
          <w:color w:val="343133"/>
          <w:spacing w:val="-58"/>
          <w:w w:val="115"/>
          <w:sz w:val="21"/>
        </w:rPr>
        <w:t> </w:t>
      </w:r>
      <w:r>
        <w:rPr>
          <w:color w:val="343133"/>
          <w:w w:val="115"/>
          <w:sz w:val="21"/>
        </w:rPr>
        <w:t>United</w:t>
      </w:r>
      <w:r>
        <w:rPr>
          <w:color w:val="343133"/>
          <w:spacing w:val="-13"/>
          <w:w w:val="115"/>
          <w:sz w:val="21"/>
        </w:rPr>
        <w:t> </w:t>
      </w:r>
      <w:r>
        <w:rPr>
          <w:color w:val="343133"/>
          <w:w w:val="115"/>
          <w:sz w:val="21"/>
        </w:rPr>
        <w:t>States</w:t>
      </w:r>
      <w:r>
        <w:rPr>
          <w:color w:val="343133"/>
          <w:spacing w:val="-15"/>
          <w:w w:val="115"/>
          <w:sz w:val="21"/>
        </w:rPr>
        <w:t> </w:t>
      </w:r>
      <w:r>
        <w:rPr>
          <w:color w:val="343133"/>
          <w:w w:val="115"/>
          <w:sz w:val="21"/>
        </w:rPr>
        <w:t>v.</w:t>
      </w:r>
      <w:r>
        <w:rPr>
          <w:color w:val="343133"/>
          <w:spacing w:val="-31"/>
          <w:w w:val="115"/>
          <w:sz w:val="21"/>
        </w:rPr>
        <w:t> </w:t>
      </w:r>
      <w:r>
        <w:rPr>
          <w:color w:val="343133"/>
          <w:w w:val="115"/>
          <w:sz w:val="21"/>
        </w:rPr>
        <w:t>Chu</w:t>
      </w:r>
    </w:p>
    <w:p>
      <w:pPr>
        <w:pStyle w:val="ListParagraph"/>
        <w:numPr>
          <w:ilvl w:val="0"/>
          <w:numId w:val="38"/>
        </w:numPr>
        <w:tabs>
          <w:tab w:pos="495" w:val="left" w:leader="none"/>
        </w:tabs>
        <w:spacing w:line="249" w:lineRule="auto" w:before="108" w:after="0"/>
        <w:ind w:left="509" w:right="275" w:hanging="310"/>
        <w:jc w:val="both"/>
        <w:rPr>
          <w:color w:val="343133"/>
          <w:sz w:val="20"/>
        </w:rPr>
      </w:pPr>
      <w:r>
        <w:rPr>
          <w:color w:val="343133"/>
          <w:w w:val="120"/>
          <w:sz w:val="21"/>
        </w:rPr>
        <w:t>The</w:t>
      </w:r>
      <w:r>
        <w:rPr>
          <w:color w:val="343133"/>
          <w:spacing w:val="-28"/>
          <w:w w:val="120"/>
          <w:sz w:val="21"/>
        </w:rPr>
        <w:t> </w:t>
      </w:r>
      <w:r>
        <w:rPr>
          <w:color w:val="343133"/>
          <w:w w:val="120"/>
          <w:sz w:val="21"/>
        </w:rPr>
        <w:t>statute</w:t>
      </w:r>
      <w:r>
        <w:rPr>
          <w:color w:val="343133"/>
          <w:spacing w:val="-32"/>
          <w:w w:val="120"/>
          <w:sz w:val="21"/>
        </w:rPr>
        <w:t> </w:t>
      </w:r>
      <w:r>
        <w:rPr>
          <w:color w:val="343133"/>
          <w:w w:val="120"/>
          <w:sz w:val="21"/>
        </w:rPr>
        <w:t>is</w:t>
      </w:r>
      <w:r>
        <w:rPr>
          <w:color w:val="343133"/>
          <w:spacing w:val="-19"/>
          <w:w w:val="120"/>
          <w:sz w:val="21"/>
        </w:rPr>
        <w:t> </w:t>
      </w:r>
      <w:r>
        <w:rPr>
          <w:color w:val="343133"/>
          <w:w w:val="120"/>
          <w:sz w:val="21"/>
        </w:rPr>
        <w:t>not</w:t>
      </w:r>
      <w:r>
        <w:rPr>
          <w:color w:val="343133"/>
          <w:spacing w:val="-12"/>
          <w:w w:val="120"/>
          <w:sz w:val="21"/>
        </w:rPr>
        <w:t> </w:t>
      </w:r>
      <w:r>
        <w:rPr>
          <w:color w:val="343133"/>
          <w:w w:val="120"/>
          <w:sz w:val="21"/>
        </w:rPr>
        <w:t>substantially</w:t>
      </w:r>
      <w:r>
        <w:rPr>
          <w:color w:val="343133"/>
          <w:spacing w:val="-11"/>
          <w:w w:val="120"/>
          <w:sz w:val="21"/>
        </w:rPr>
        <w:t> </w:t>
      </w:r>
      <w:r>
        <w:rPr>
          <w:color w:val="343133"/>
          <w:w w:val="120"/>
          <w:sz w:val="21"/>
        </w:rPr>
        <w:t>related</w:t>
      </w:r>
      <w:r>
        <w:rPr>
          <w:color w:val="343133"/>
          <w:spacing w:val="-13"/>
          <w:w w:val="120"/>
          <w:sz w:val="21"/>
        </w:rPr>
        <w:t> </w:t>
      </w:r>
      <w:r>
        <w:rPr>
          <w:color w:val="343133"/>
          <w:w w:val="120"/>
          <w:sz w:val="21"/>
        </w:rPr>
        <w:t>to</w:t>
      </w:r>
      <w:r>
        <w:rPr>
          <w:color w:val="343133"/>
          <w:spacing w:val="2"/>
          <w:w w:val="120"/>
          <w:sz w:val="21"/>
        </w:rPr>
        <w:t> </w:t>
      </w:r>
      <w:r>
        <w:rPr>
          <w:color w:val="343133"/>
          <w:w w:val="120"/>
          <w:sz w:val="21"/>
        </w:rPr>
        <w:t>the</w:t>
      </w:r>
      <w:r>
        <w:rPr>
          <w:color w:val="343133"/>
          <w:spacing w:val="-1"/>
          <w:w w:val="120"/>
          <w:sz w:val="21"/>
        </w:rPr>
        <w:t> </w:t>
      </w:r>
      <w:r>
        <w:rPr>
          <w:color w:val="343133"/>
          <w:w w:val="120"/>
          <w:sz w:val="21"/>
        </w:rPr>
        <w:t>achievement</w:t>
      </w:r>
      <w:r>
        <w:rPr>
          <w:color w:val="343133"/>
          <w:spacing w:val="-7"/>
          <w:w w:val="120"/>
          <w:sz w:val="21"/>
        </w:rPr>
        <w:t> </w:t>
      </w:r>
      <w:r>
        <w:rPr>
          <w:color w:val="343133"/>
          <w:w w:val="120"/>
          <w:sz w:val="21"/>
        </w:rPr>
        <w:t>of</w:t>
      </w:r>
      <w:r>
        <w:rPr>
          <w:color w:val="343133"/>
          <w:spacing w:val="-5"/>
          <w:w w:val="120"/>
          <w:sz w:val="21"/>
        </w:rPr>
        <w:t> </w:t>
      </w:r>
      <w:r>
        <w:rPr>
          <w:color w:val="343133"/>
          <w:w w:val="120"/>
          <w:sz w:val="21"/>
        </w:rPr>
        <w:t>the</w:t>
      </w:r>
      <w:r>
        <w:rPr>
          <w:color w:val="343133"/>
          <w:spacing w:val="3"/>
          <w:w w:val="120"/>
          <w:sz w:val="21"/>
        </w:rPr>
        <w:t> </w:t>
      </w:r>
      <w:r>
        <w:rPr>
          <w:color w:val="343133"/>
          <w:w w:val="120"/>
          <w:sz w:val="21"/>
        </w:rPr>
        <w:t>govern</w:t>
      </w:r>
      <w:r>
        <w:rPr>
          <w:color w:val="4B494B"/>
          <w:w w:val="120"/>
          <w:sz w:val="21"/>
        </w:rPr>
        <w:t>­</w:t>
      </w:r>
      <w:r>
        <w:rPr>
          <w:color w:val="4B494B"/>
          <w:spacing w:val="-61"/>
          <w:w w:val="120"/>
          <w:sz w:val="21"/>
        </w:rPr>
        <w:t> </w:t>
      </w:r>
      <w:r>
        <w:rPr>
          <w:color w:val="343133"/>
          <w:w w:val="120"/>
          <w:sz w:val="21"/>
        </w:rPr>
        <w:t>ment's</w:t>
      </w:r>
      <w:r>
        <w:rPr>
          <w:color w:val="343133"/>
          <w:spacing w:val="-19"/>
          <w:w w:val="120"/>
          <w:sz w:val="21"/>
        </w:rPr>
        <w:t> </w:t>
      </w:r>
      <w:r>
        <w:rPr>
          <w:color w:val="343133"/>
          <w:w w:val="120"/>
          <w:sz w:val="21"/>
        </w:rPr>
        <w:t>objective</w:t>
      </w:r>
      <w:r>
        <w:rPr>
          <w:color w:val="59595B"/>
          <w:w w:val="120"/>
          <w:sz w:val="21"/>
        </w:rPr>
        <w:t>.</w:t>
      </w:r>
    </w:p>
    <w:p>
      <w:pPr>
        <w:spacing w:line="247" w:lineRule="auto" w:before="85"/>
        <w:ind w:left="517" w:right="3875" w:hanging="9"/>
        <w:jc w:val="both"/>
        <w:rPr>
          <w:sz w:val="21"/>
        </w:rPr>
      </w:pPr>
      <w:r>
        <w:rPr>
          <w:color w:val="343133"/>
          <w:w w:val="115"/>
          <w:sz w:val="21"/>
        </w:rPr>
        <w:t>Zawierucha</w:t>
      </w:r>
      <w:r>
        <w:rPr>
          <w:color w:val="343133"/>
          <w:spacing w:val="-3"/>
          <w:w w:val="115"/>
          <w:sz w:val="21"/>
        </w:rPr>
        <w:t> </w:t>
      </w:r>
      <w:r>
        <w:rPr>
          <w:color w:val="343133"/>
          <w:w w:val="115"/>
          <w:sz w:val="22"/>
        </w:rPr>
        <w:t>v.</w:t>
      </w:r>
      <w:r>
        <w:rPr>
          <w:color w:val="343133"/>
          <w:spacing w:val="-18"/>
          <w:w w:val="115"/>
          <w:sz w:val="22"/>
        </w:rPr>
        <w:t> </w:t>
      </w:r>
      <w:r>
        <w:rPr>
          <w:color w:val="343133"/>
          <w:w w:val="115"/>
          <w:sz w:val="21"/>
        </w:rPr>
        <w:t>Vanita</w:t>
      </w:r>
      <w:r>
        <w:rPr>
          <w:color w:val="343133"/>
          <w:spacing w:val="-1"/>
          <w:w w:val="115"/>
          <w:sz w:val="21"/>
        </w:rPr>
        <w:t> </w:t>
      </w:r>
      <w:r>
        <w:rPr>
          <w:color w:val="343133"/>
          <w:w w:val="115"/>
          <w:sz w:val="21"/>
        </w:rPr>
        <w:t>Public</w:t>
      </w:r>
      <w:r>
        <w:rPr>
          <w:color w:val="343133"/>
          <w:spacing w:val="-30"/>
          <w:w w:val="115"/>
          <w:sz w:val="21"/>
        </w:rPr>
        <w:t> </w:t>
      </w:r>
      <w:r>
        <w:rPr>
          <w:color w:val="343133"/>
          <w:w w:val="115"/>
          <w:sz w:val="21"/>
        </w:rPr>
        <w:t>Schools</w:t>
      </w:r>
      <w:r>
        <w:rPr>
          <w:color w:val="343133"/>
          <w:spacing w:val="-57"/>
          <w:w w:val="115"/>
          <w:sz w:val="21"/>
        </w:rPr>
        <w:t> </w:t>
      </w:r>
      <w:r>
        <w:rPr>
          <w:color w:val="343133"/>
          <w:w w:val="115"/>
          <w:sz w:val="21"/>
        </w:rPr>
        <w:t>Restrepo</w:t>
      </w:r>
      <w:r>
        <w:rPr>
          <w:color w:val="343133"/>
          <w:spacing w:val="-7"/>
          <w:w w:val="115"/>
          <w:sz w:val="21"/>
        </w:rPr>
        <w:t> </w:t>
      </w:r>
      <w:r>
        <w:rPr>
          <w:color w:val="343133"/>
          <w:w w:val="115"/>
          <w:sz w:val="21"/>
        </w:rPr>
        <w:t>v</w:t>
      </w:r>
      <w:r>
        <w:rPr>
          <w:color w:val="59595B"/>
          <w:w w:val="115"/>
          <w:sz w:val="21"/>
        </w:rPr>
        <w:t>.</w:t>
      </w:r>
      <w:r>
        <w:rPr>
          <w:color w:val="59595B"/>
          <w:spacing w:val="-2"/>
          <w:w w:val="115"/>
          <w:sz w:val="21"/>
        </w:rPr>
        <w:t> </w:t>
      </w:r>
      <w:r>
        <w:rPr>
          <w:color w:val="343133"/>
          <w:w w:val="115"/>
          <w:sz w:val="21"/>
        </w:rPr>
        <w:t>Rowand</w:t>
      </w:r>
    </w:p>
    <w:p>
      <w:pPr>
        <w:pStyle w:val="ListParagraph"/>
        <w:numPr>
          <w:ilvl w:val="0"/>
          <w:numId w:val="38"/>
        </w:numPr>
        <w:tabs>
          <w:tab w:pos="505" w:val="left" w:leader="none"/>
        </w:tabs>
        <w:spacing w:line="240" w:lineRule="auto" w:before="97" w:after="0"/>
        <w:ind w:left="521" w:right="257" w:hanging="318"/>
        <w:jc w:val="both"/>
        <w:rPr>
          <w:color w:val="343133"/>
          <w:sz w:val="20"/>
        </w:rPr>
      </w:pPr>
      <w:r>
        <w:rPr>
          <w:color w:val="343133"/>
          <w:w w:val="115"/>
          <w:sz w:val="21"/>
        </w:rPr>
        <w:t>There </w:t>
      </w:r>
      <w:r>
        <w:rPr>
          <w:color w:val="343133"/>
          <w:w w:val="115"/>
          <w:sz w:val="20"/>
        </w:rPr>
        <w:t>ls </w:t>
      </w:r>
      <w:r>
        <w:rPr>
          <w:color w:val="343133"/>
          <w:w w:val="115"/>
          <w:sz w:val="21"/>
        </w:rPr>
        <w:t>not an</w:t>
      </w:r>
      <w:r>
        <w:rPr>
          <w:color w:val="343133"/>
          <w:spacing w:val="1"/>
          <w:w w:val="115"/>
          <w:sz w:val="21"/>
        </w:rPr>
        <w:t> </w:t>
      </w:r>
      <w:r>
        <w:rPr>
          <w:color w:val="343133"/>
          <w:w w:val="115"/>
          <w:sz w:val="21"/>
        </w:rPr>
        <w:t>"exceedingly persuasive justification" for the distinction</w:t>
      </w:r>
      <w:r>
        <w:rPr>
          <w:color w:val="343133"/>
          <w:spacing w:val="1"/>
          <w:w w:val="115"/>
          <w:sz w:val="21"/>
        </w:rPr>
        <w:t> </w:t>
      </w:r>
      <w:r>
        <w:rPr>
          <w:color w:val="343133"/>
          <w:w w:val="115"/>
          <w:sz w:val="21"/>
        </w:rPr>
        <w:t>between</w:t>
      </w:r>
      <w:r>
        <w:rPr>
          <w:color w:val="343133"/>
          <w:spacing w:val="14"/>
          <w:w w:val="115"/>
          <w:sz w:val="21"/>
        </w:rPr>
        <w:t> </w:t>
      </w:r>
      <w:r>
        <w:rPr>
          <w:color w:val="343133"/>
          <w:w w:val="115"/>
          <w:sz w:val="21"/>
        </w:rPr>
        <w:t>the</w:t>
      </w:r>
      <w:r>
        <w:rPr>
          <w:color w:val="343133"/>
          <w:spacing w:val="33"/>
          <w:w w:val="115"/>
          <w:sz w:val="21"/>
        </w:rPr>
        <w:t> </w:t>
      </w:r>
      <w:r>
        <w:rPr>
          <w:color w:val="343133"/>
          <w:w w:val="115"/>
          <w:sz w:val="21"/>
        </w:rPr>
        <w:t>children</w:t>
      </w:r>
      <w:r>
        <w:rPr>
          <w:color w:val="343133"/>
          <w:spacing w:val="5"/>
          <w:w w:val="115"/>
          <w:sz w:val="21"/>
        </w:rPr>
        <w:t> </w:t>
      </w:r>
      <w:r>
        <w:rPr>
          <w:color w:val="343133"/>
          <w:w w:val="115"/>
          <w:sz w:val="21"/>
        </w:rPr>
        <w:t>of</w:t>
      </w:r>
      <w:r>
        <w:rPr>
          <w:color w:val="343133"/>
          <w:spacing w:val="-5"/>
          <w:w w:val="115"/>
          <w:sz w:val="21"/>
        </w:rPr>
        <w:t> </w:t>
      </w:r>
      <w:r>
        <w:rPr>
          <w:color w:val="343133"/>
          <w:w w:val="115"/>
          <w:sz w:val="21"/>
        </w:rPr>
        <w:t>the</w:t>
      </w:r>
      <w:r>
        <w:rPr>
          <w:color w:val="343133"/>
          <w:spacing w:val="8"/>
          <w:w w:val="115"/>
          <w:sz w:val="21"/>
        </w:rPr>
        <w:t> </w:t>
      </w:r>
      <w:r>
        <w:rPr>
          <w:color w:val="343133"/>
          <w:w w:val="115"/>
          <w:sz w:val="21"/>
        </w:rPr>
        <w:t>two</w:t>
      </w:r>
      <w:r>
        <w:rPr>
          <w:color w:val="343133"/>
          <w:spacing w:val="-6"/>
          <w:w w:val="115"/>
          <w:sz w:val="21"/>
        </w:rPr>
        <w:t> </w:t>
      </w:r>
      <w:r>
        <w:rPr>
          <w:color w:val="343133"/>
          <w:w w:val="115"/>
          <w:sz w:val="21"/>
        </w:rPr>
        <w:t>types</w:t>
      </w:r>
      <w:r>
        <w:rPr>
          <w:color w:val="343133"/>
          <w:spacing w:val="-18"/>
          <w:w w:val="115"/>
          <w:sz w:val="21"/>
        </w:rPr>
        <w:t> </w:t>
      </w:r>
      <w:r>
        <w:rPr>
          <w:color w:val="343133"/>
          <w:w w:val="115"/>
          <w:sz w:val="21"/>
        </w:rPr>
        <w:t>of</w:t>
      </w:r>
      <w:r>
        <w:rPr>
          <w:color w:val="343133"/>
          <w:spacing w:val="-4"/>
          <w:w w:val="115"/>
          <w:sz w:val="21"/>
        </w:rPr>
        <w:t> </w:t>
      </w:r>
      <w:r>
        <w:rPr>
          <w:color w:val="343133"/>
          <w:w w:val="115"/>
          <w:sz w:val="21"/>
        </w:rPr>
        <w:t>parents.</w:t>
      </w:r>
    </w:p>
    <w:p>
      <w:pPr>
        <w:spacing w:line="240" w:lineRule="auto" w:before="124"/>
        <w:ind w:left="512" w:right="5089" w:firstLine="13"/>
        <w:jc w:val="left"/>
        <w:rPr>
          <w:sz w:val="21"/>
        </w:rPr>
      </w:pPr>
      <w:r>
        <w:rPr>
          <w:color w:val="343133"/>
          <w:w w:val="110"/>
          <w:sz w:val="21"/>
        </w:rPr>
        <w:t>Reinsdorf</w:t>
      </w:r>
      <w:r>
        <w:rPr>
          <w:color w:val="343133"/>
          <w:spacing w:val="1"/>
          <w:w w:val="110"/>
          <w:sz w:val="21"/>
        </w:rPr>
        <w:t> </w:t>
      </w:r>
      <w:r>
        <w:rPr>
          <w:color w:val="343133"/>
          <w:w w:val="110"/>
          <w:sz w:val="21"/>
        </w:rPr>
        <w:t>v. Williams</w:t>
      </w:r>
      <w:r>
        <w:rPr>
          <w:color w:val="343133"/>
          <w:spacing w:val="-55"/>
          <w:w w:val="110"/>
          <w:sz w:val="21"/>
        </w:rPr>
        <w:t> </w:t>
      </w:r>
      <w:r>
        <w:rPr>
          <w:color w:val="343133"/>
          <w:w w:val="115"/>
          <w:sz w:val="21"/>
        </w:rPr>
        <w:t>lf</w:t>
      </w:r>
      <w:r>
        <w:rPr>
          <w:color w:val="4B494B"/>
          <w:w w:val="115"/>
          <w:sz w:val="21"/>
        </w:rPr>
        <w:t>e</w:t>
      </w:r>
      <w:r>
        <w:rPr>
          <w:color w:val="343133"/>
          <w:w w:val="115"/>
          <w:sz w:val="21"/>
        </w:rPr>
        <w:t>duba</w:t>
      </w:r>
      <w:r>
        <w:rPr>
          <w:color w:val="343133"/>
          <w:spacing w:val="1"/>
          <w:w w:val="115"/>
          <w:sz w:val="21"/>
        </w:rPr>
        <w:t> </w:t>
      </w:r>
      <w:r>
        <w:rPr>
          <w:color w:val="343133"/>
          <w:w w:val="115"/>
          <w:sz w:val="21"/>
        </w:rPr>
        <w:t>v. Coleman</w:t>
      </w:r>
      <w:r>
        <w:rPr>
          <w:color w:val="343133"/>
          <w:spacing w:val="1"/>
          <w:w w:val="115"/>
          <w:sz w:val="21"/>
        </w:rPr>
        <w:t> </w:t>
      </w:r>
      <w:r>
        <w:rPr>
          <w:color w:val="343133"/>
          <w:w w:val="115"/>
          <w:sz w:val="21"/>
        </w:rPr>
        <w:t>Crede</w:t>
      </w:r>
      <w:r>
        <w:rPr>
          <w:color w:val="343133"/>
          <w:spacing w:val="-12"/>
          <w:w w:val="115"/>
          <w:sz w:val="21"/>
        </w:rPr>
        <w:t> </w:t>
      </w:r>
      <w:r>
        <w:rPr>
          <w:color w:val="343133"/>
          <w:w w:val="115"/>
          <w:sz w:val="21"/>
        </w:rPr>
        <w:t>v</w:t>
      </w:r>
      <w:r>
        <w:rPr>
          <w:color w:val="4B494B"/>
          <w:w w:val="115"/>
          <w:sz w:val="21"/>
        </w:rPr>
        <w:t>.</w:t>
      </w:r>
      <w:r>
        <w:rPr>
          <w:color w:val="4B494B"/>
          <w:spacing w:val="-10"/>
          <w:w w:val="115"/>
          <w:sz w:val="21"/>
        </w:rPr>
        <w:t> </w:t>
      </w:r>
      <w:r>
        <w:rPr>
          <w:color w:val="343133"/>
          <w:w w:val="115"/>
          <w:sz w:val="21"/>
        </w:rPr>
        <w:t>State</w:t>
      </w:r>
    </w:p>
    <w:p>
      <w:pPr>
        <w:pStyle w:val="ListParagraph"/>
        <w:numPr>
          <w:ilvl w:val="0"/>
          <w:numId w:val="38"/>
        </w:numPr>
        <w:tabs>
          <w:tab w:pos="525" w:val="left" w:leader="none"/>
        </w:tabs>
        <w:spacing w:line="240" w:lineRule="auto" w:before="103" w:after="0"/>
        <w:ind w:left="522" w:right="236" w:hanging="412"/>
        <w:jc w:val="left"/>
        <w:rPr>
          <w:color w:val="343133"/>
          <w:sz w:val="21"/>
        </w:rPr>
      </w:pPr>
      <w:r>
        <w:rPr>
          <w:color w:val="343133"/>
          <w:w w:val="120"/>
          <w:sz w:val="21"/>
        </w:rPr>
        <w:t>It</w:t>
      </w:r>
      <w:r>
        <w:rPr>
          <w:color w:val="343133"/>
          <w:spacing w:val="-16"/>
          <w:w w:val="120"/>
          <w:sz w:val="21"/>
        </w:rPr>
        <w:t> </w:t>
      </w:r>
      <w:r>
        <w:rPr>
          <w:color w:val="343133"/>
          <w:w w:val="120"/>
          <w:sz w:val="21"/>
        </w:rPr>
        <w:t>ls</w:t>
      </w:r>
      <w:r>
        <w:rPr>
          <w:color w:val="343133"/>
          <w:spacing w:val="-14"/>
          <w:w w:val="120"/>
          <w:sz w:val="21"/>
        </w:rPr>
        <w:t> </w:t>
      </w:r>
      <w:r>
        <w:rPr>
          <w:color w:val="343133"/>
          <w:w w:val="120"/>
          <w:sz w:val="21"/>
        </w:rPr>
        <w:t>not</w:t>
      </w:r>
      <w:r>
        <w:rPr>
          <w:color w:val="343133"/>
          <w:spacing w:val="10"/>
          <w:w w:val="120"/>
          <w:sz w:val="21"/>
        </w:rPr>
        <w:t> </w:t>
      </w:r>
      <w:r>
        <w:rPr>
          <w:color w:val="343133"/>
          <w:w w:val="120"/>
          <w:sz w:val="21"/>
        </w:rPr>
        <w:t>rational</w:t>
      </w:r>
      <w:r>
        <w:rPr>
          <w:color w:val="343133"/>
          <w:spacing w:val="-6"/>
          <w:w w:val="120"/>
          <w:sz w:val="21"/>
        </w:rPr>
        <w:t> </w:t>
      </w:r>
      <w:r>
        <w:rPr>
          <w:color w:val="343133"/>
          <w:w w:val="120"/>
          <w:sz w:val="21"/>
        </w:rPr>
        <w:t>to</w:t>
      </w:r>
      <w:r>
        <w:rPr>
          <w:color w:val="343133"/>
          <w:spacing w:val="-8"/>
          <w:w w:val="120"/>
          <w:sz w:val="21"/>
        </w:rPr>
        <w:t> </w:t>
      </w:r>
      <w:r>
        <w:rPr>
          <w:color w:val="343133"/>
          <w:w w:val="120"/>
          <w:sz w:val="21"/>
        </w:rPr>
        <w:t>dlstlnguJsh</w:t>
      </w:r>
      <w:r>
        <w:rPr>
          <w:color w:val="343133"/>
          <w:spacing w:val="1"/>
          <w:w w:val="120"/>
          <w:sz w:val="21"/>
        </w:rPr>
        <w:t> </w:t>
      </w:r>
      <w:r>
        <w:rPr>
          <w:color w:val="343133"/>
          <w:w w:val="120"/>
          <w:sz w:val="21"/>
        </w:rPr>
        <w:t>between</w:t>
      </w:r>
      <w:r>
        <w:rPr>
          <w:color w:val="343133"/>
          <w:spacing w:val="-9"/>
          <w:w w:val="120"/>
          <w:sz w:val="21"/>
        </w:rPr>
        <w:t> </w:t>
      </w:r>
      <w:r>
        <w:rPr>
          <w:color w:val="343133"/>
          <w:w w:val="120"/>
          <w:sz w:val="21"/>
        </w:rPr>
        <w:t>children</w:t>
      </w:r>
      <w:r>
        <w:rPr>
          <w:color w:val="343133"/>
          <w:spacing w:val="3"/>
          <w:w w:val="120"/>
          <w:sz w:val="21"/>
        </w:rPr>
        <w:t> </w:t>
      </w:r>
      <w:r>
        <w:rPr>
          <w:color w:val="343133"/>
          <w:w w:val="120"/>
          <w:sz w:val="21"/>
        </w:rPr>
        <w:t>of</w:t>
      </w:r>
      <w:r>
        <w:rPr>
          <w:color w:val="343133"/>
          <w:spacing w:val="-11"/>
          <w:w w:val="120"/>
          <w:sz w:val="21"/>
        </w:rPr>
        <w:t> </w:t>
      </w:r>
      <w:r>
        <w:rPr>
          <w:color w:val="343133"/>
          <w:w w:val="120"/>
          <w:sz w:val="21"/>
        </w:rPr>
        <w:t>United</w:t>
      </w:r>
      <w:r>
        <w:rPr>
          <w:color w:val="343133"/>
          <w:spacing w:val="-14"/>
          <w:w w:val="120"/>
          <w:sz w:val="21"/>
        </w:rPr>
        <w:t> </w:t>
      </w:r>
      <w:r>
        <w:rPr>
          <w:color w:val="343133"/>
          <w:w w:val="120"/>
          <w:sz w:val="21"/>
        </w:rPr>
        <w:t>States</w:t>
      </w:r>
      <w:r>
        <w:rPr>
          <w:color w:val="343133"/>
          <w:spacing w:val="-35"/>
          <w:w w:val="120"/>
          <w:sz w:val="21"/>
        </w:rPr>
        <w:t> </w:t>
      </w:r>
      <w:r>
        <w:rPr>
          <w:color w:val="343133"/>
          <w:w w:val="120"/>
          <w:sz w:val="21"/>
        </w:rPr>
        <w:t>citizen</w:t>
      </w:r>
      <w:r>
        <w:rPr>
          <w:color w:val="343133"/>
          <w:spacing w:val="-60"/>
          <w:w w:val="120"/>
          <w:sz w:val="21"/>
        </w:rPr>
        <w:t> </w:t>
      </w:r>
      <w:r>
        <w:rPr>
          <w:color w:val="343133"/>
          <w:w w:val="120"/>
          <w:sz w:val="21"/>
        </w:rPr>
        <w:t>fathers</w:t>
      </w:r>
      <w:r>
        <w:rPr>
          <w:color w:val="343133"/>
          <w:spacing w:val="-23"/>
          <w:w w:val="120"/>
          <w:sz w:val="21"/>
        </w:rPr>
        <w:t> </w:t>
      </w:r>
      <w:r>
        <w:rPr>
          <w:color w:val="343133"/>
          <w:w w:val="120"/>
          <w:sz w:val="21"/>
        </w:rPr>
        <w:t>and</w:t>
      </w:r>
      <w:r>
        <w:rPr>
          <w:color w:val="343133"/>
          <w:spacing w:val="9"/>
          <w:w w:val="120"/>
          <w:sz w:val="21"/>
        </w:rPr>
        <w:t> </w:t>
      </w:r>
      <w:r>
        <w:rPr>
          <w:color w:val="343133"/>
          <w:w w:val="120"/>
          <w:sz w:val="21"/>
        </w:rPr>
        <w:t>children</w:t>
      </w:r>
      <w:r>
        <w:rPr>
          <w:color w:val="343133"/>
          <w:spacing w:val="-22"/>
          <w:w w:val="120"/>
          <w:sz w:val="21"/>
        </w:rPr>
        <w:t> </w:t>
      </w:r>
      <w:r>
        <w:rPr>
          <w:color w:val="343133"/>
          <w:w w:val="120"/>
          <w:sz w:val="21"/>
        </w:rPr>
        <w:t>of</w:t>
      </w:r>
      <w:r>
        <w:rPr>
          <w:color w:val="343133"/>
          <w:spacing w:val="-5"/>
          <w:w w:val="120"/>
          <w:sz w:val="21"/>
        </w:rPr>
        <w:t> </w:t>
      </w:r>
      <w:r>
        <w:rPr>
          <w:color w:val="343133"/>
          <w:w w:val="120"/>
          <w:sz w:val="21"/>
        </w:rPr>
        <w:t>United</w:t>
      </w:r>
      <w:r>
        <w:rPr>
          <w:color w:val="343133"/>
          <w:spacing w:val="-15"/>
          <w:w w:val="120"/>
          <w:sz w:val="21"/>
        </w:rPr>
        <w:t> </w:t>
      </w:r>
      <w:r>
        <w:rPr>
          <w:color w:val="343133"/>
          <w:w w:val="120"/>
          <w:sz w:val="21"/>
        </w:rPr>
        <w:t>States</w:t>
      </w:r>
      <w:r>
        <w:rPr>
          <w:color w:val="343133"/>
          <w:spacing w:val="-25"/>
          <w:w w:val="120"/>
          <w:sz w:val="21"/>
        </w:rPr>
        <w:t> </w:t>
      </w:r>
      <w:r>
        <w:rPr>
          <w:color w:val="343133"/>
          <w:w w:val="120"/>
          <w:sz w:val="21"/>
        </w:rPr>
        <w:t>citizen</w:t>
      </w:r>
      <w:r>
        <w:rPr>
          <w:color w:val="343133"/>
          <w:spacing w:val="-9"/>
          <w:w w:val="120"/>
          <w:sz w:val="21"/>
        </w:rPr>
        <w:t> </w:t>
      </w:r>
      <w:r>
        <w:rPr>
          <w:color w:val="343133"/>
          <w:w w:val="120"/>
          <w:sz w:val="21"/>
        </w:rPr>
        <w:t>mothers.</w:t>
      </w:r>
    </w:p>
    <w:p>
      <w:pPr>
        <w:spacing w:line="241" w:lineRule="exact" w:before="114"/>
        <w:ind w:left="526" w:right="0" w:firstLine="0"/>
        <w:jc w:val="left"/>
        <w:rPr>
          <w:sz w:val="21"/>
        </w:rPr>
      </w:pPr>
      <w:r>
        <w:rPr>
          <w:color w:val="343133"/>
          <w:w w:val="110"/>
          <w:sz w:val="21"/>
        </w:rPr>
        <w:t>Kelly</w:t>
      </w:r>
      <w:r>
        <w:rPr>
          <w:color w:val="343133"/>
          <w:spacing w:val="12"/>
          <w:w w:val="110"/>
          <w:sz w:val="21"/>
        </w:rPr>
        <w:t> </w:t>
      </w:r>
      <w:r>
        <w:rPr>
          <w:color w:val="343133"/>
          <w:w w:val="110"/>
          <w:sz w:val="21"/>
        </w:rPr>
        <w:t>v.</w:t>
      </w:r>
      <w:r>
        <w:rPr>
          <w:color w:val="343133"/>
          <w:spacing w:val="3"/>
          <w:w w:val="110"/>
          <w:sz w:val="21"/>
        </w:rPr>
        <w:t> </w:t>
      </w:r>
      <w:r>
        <w:rPr>
          <w:color w:val="343133"/>
          <w:w w:val="110"/>
          <w:sz w:val="21"/>
        </w:rPr>
        <w:t>City</w:t>
      </w:r>
      <w:r>
        <w:rPr>
          <w:color w:val="343133"/>
          <w:spacing w:val="-1"/>
          <w:w w:val="110"/>
          <w:sz w:val="21"/>
        </w:rPr>
        <w:t> </w:t>
      </w:r>
      <w:r>
        <w:rPr>
          <w:color w:val="343133"/>
          <w:w w:val="110"/>
          <w:sz w:val="21"/>
        </w:rPr>
        <w:t>of</w:t>
      </w:r>
      <w:r>
        <w:rPr>
          <w:color w:val="343133"/>
          <w:spacing w:val="10"/>
          <w:w w:val="110"/>
          <w:sz w:val="21"/>
        </w:rPr>
        <w:t> </w:t>
      </w:r>
      <w:r>
        <w:rPr>
          <w:color w:val="343133"/>
          <w:w w:val="110"/>
          <w:sz w:val="21"/>
        </w:rPr>
        <w:t>Chicago</w:t>
      </w:r>
    </w:p>
    <w:p>
      <w:pPr>
        <w:spacing w:line="241" w:lineRule="exact" w:before="0"/>
        <w:ind w:left="529" w:right="0" w:firstLine="0"/>
        <w:jc w:val="left"/>
        <w:rPr>
          <w:sz w:val="21"/>
        </w:rPr>
      </w:pPr>
      <w:r>
        <w:rPr>
          <w:rFonts w:ascii="Arial"/>
          <w:color w:val="343133"/>
          <w:w w:val="110"/>
          <w:sz w:val="19"/>
        </w:rPr>
        <w:t>Yeary</w:t>
      </w:r>
      <w:r>
        <w:rPr>
          <w:rFonts w:ascii="Arial"/>
          <w:color w:val="343133"/>
          <w:spacing w:val="-9"/>
          <w:w w:val="110"/>
          <w:sz w:val="19"/>
        </w:rPr>
        <w:t> </w:t>
      </w:r>
      <w:r>
        <w:rPr>
          <w:color w:val="343133"/>
          <w:w w:val="110"/>
          <w:sz w:val="21"/>
        </w:rPr>
        <w:t>v</w:t>
      </w:r>
      <w:r>
        <w:rPr>
          <w:color w:val="4B494B"/>
          <w:w w:val="110"/>
          <w:sz w:val="21"/>
        </w:rPr>
        <w:t>.</w:t>
      </w:r>
      <w:r>
        <w:rPr>
          <w:color w:val="4B494B"/>
          <w:spacing w:val="-1"/>
          <w:w w:val="110"/>
          <w:sz w:val="21"/>
        </w:rPr>
        <w:t> </w:t>
      </w:r>
      <w:r>
        <w:rPr>
          <w:color w:val="343133"/>
          <w:w w:val="110"/>
          <w:sz w:val="21"/>
        </w:rPr>
        <w:t>Brooks</w:t>
      </w:r>
    </w:p>
    <w:p>
      <w:pPr>
        <w:pStyle w:val="ListParagraph"/>
        <w:numPr>
          <w:ilvl w:val="0"/>
          <w:numId w:val="38"/>
        </w:numPr>
        <w:tabs>
          <w:tab w:pos="518" w:val="left" w:leader="none"/>
        </w:tabs>
        <w:spacing w:line="241" w:lineRule="exact" w:before="115" w:after="0"/>
        <w:ind w:left="517" w:right="0" w:hanging="398"/>
        <w:jc w:val="left"/>
        <w:rPr>
          <w:color w:val="343133"/>
          <w:sz w:val="21"/>
        </w:rPr>
      </w:pPr>
      <w:r>
        <w:rPr>
          <w:color w:val="343133"/>
          <w:w w:val="125"/>
          <w:sz w:val="21"/>
        </w:rPr>
        <w:t>Stopping</w:t>
      </w:r>
      <w:r>
        <w:rPr>
          <w:color w:val="343133"/>
          <w:spacing w:val="22"/>
          <w:w w:val="125"/>
          <w:sz w:val="21"/>
        </w:rPr>
        <w:t> </w:t>
      </w:r>
      <w:r>
        <w:rPr>
          <w:color w:val="343133"/>
          <w:w w:val="125"/>
          <w:sz w:val="21"/>
        </w:rPr>
        <w:t>gender</w:t>
      </w:r>
      <w:r>
        <w:rPr>
          <w:color w:val="343133"/>
          <w:spacing w:val="21"/>
          <w:w w:val="125"/>
          <w:sz w:val="21"/>
        </w:rPr>
        <w:t> </w:t>
      </w:r>
      <w:r>
        <w:rPr>
          <w:color w:val="343133"/>
          <w:w w:val="125"/>
          <w:sz w:val="21"/>
        </w:rPr>
        <w:t>discrimination</w:t>
      </w:r>
      <w:r>
        <w:rPr>
          <w:color w:val="343133"/>
          <w:spacing w:val="5"/>
          <w:w w:val="125"/>
          <w:sz w:val="21"/>
        </w:rPr>
        <w:t> </w:t>
      </w:r>
      <w:r>
        <w:rPr>
          <w:color w:val="343133"/>
          <w:w w:val="125"/>
          <w:sz w:val="21"/>
        </w:rPr>
        <w:t>and</w:t>
      </w:r>
      <w:r>
        <w:rPr>
          <w:color w:val="343133"/>
          <w:spacing w:val="44"/>
          <w:w w:val="125"/>
          <w:sz w:val="21"/>
        </w:rPr>
        <w:t> </w:t>
      </w:r>
      <w:r>
        <w:rPr>
          <w:color w:val="343133"/>
          <w:w w:val="125"/>
          <w:sz w:val="21"/>
        </w:rPr>
        <w:t>"illegitimacy"</w:t>
      </w:r>
      <w:r>
        <w:rPr>
          <w:color w:val="343133"/>
          <w:spacing w:val="7"/>
          <w:w w:val="125"/>
          <w:sz w:val="21"/>
        </w:rPr>
        <w:t> </w:t>
      </w:r>
      <w:r>
        <w:rPr>
          <w:color w:val="343133"/>
          <w:w w:val="125"/>
          <w:sz w:val="21"/>
        </w:rPr>
        <w:t>discrimination</w:t>
      </w:r>
      <w:r>
        <w:rPr>
          <w:color w:val="343133"/>
          <w:spacing w:val="15"/>
          <w:w w:val="125"/>
          <w:sz w:val="21"/>
        </w:rPr>
        <w:t> </w:t>
      </w:r>
      <w:r>
        <w:rPr>
          <w:color w:val="343133"/>
          <w:w w:val="125"/>
          <w:sz w:val="20"/>
        </w:rPr>
        <w:t>ls</w:t>
      </w:r>
    </w:p>
    <w:p>
      <w:pPr>
        <w:spacing w:line="241" w:lineRule="exact" w:before="0"/>
        <w:ind w:left="528" w:right="0" w:firstLine="0"/>
        <w:jc w:val="left"/>
        <w:rPr>
          <w:sz w:val="21"/>
        </w:rPr>
      </w:pPr>
      <w:r>
        <w:rPr>
          <w:color w:val="343133"/>
          <w:w w:val="120"/>
          <w:sz w:val="21"/>
        </w:rPr>
        <w:t>more</w:t>
      </w:r>
      <w:r>
        <w:rPr>
          <w:color w:val="343133"/>
          <w:spacing w:val="-19"/>
          <w:w w:val="120"/>
          <w:sz w:val="21"/>
        </w:rPr>
        <w:t> </w:t>
      </w:r>
      <w:r>
        <w:rPr>
          <w:color w:val="343133"/>
          <w:w w:val="120"/>
          <w:sz w:val="21"/>
        </w:rPr>
        <w:t>Important</w:t>
      </w:r>
      <w:r>
        <w:rPr>
          <w:color w:val="343133"/>
          <w:spacing w:val="12"/>
          <w:w w:val="120"/>
          <w:sz w:val="21"/>
        </w:rPr>
        <w:t> </w:t>
      </w:r>
      <w:r>
        <w:rPr>
          <w:color w:val="343133"/>
          <w:w w:val="120"/>
          <w:sz w:val="21"/>
        </w:rPr>
        <w:t>than</w:t>
      </w:r>
      <w:r>
        <w:rPr>
          <w:color w:val="343133"/>
          <w:spacing w:val="-6"/>
          <w:w w:val="120"/>
          <w:sz w:val="21"/>
        </w:rPr>
        <w:t> </w:t>
      </w:r>
      <w:r>
        <w:rPr>
          <w:color w:val="343133"/>
          <w:w w:val="120"/>
          <w:sz w:val="21"/>
        </w:rPr>
        <w:t>allowing</w:t>
      </w:r>
      <w:r>
        <w:rPr>
          <w:color w:val="343133"/>
          <w:spacing w:val="-19"/>
          <w:w w:val="120"/>
          <w:sz w:val="21"/>
        </w:rPr>
        <w:t> </w:t>
      </w:r>
      <w:r>
        <w:rPr>
          <w:color w:val="343133"/>
          <w:w w:val="120"/>
          <w:sz w:val="21"/>
        </w:rPr>
        <w:t>Congress</w:t>
      </w:r>
      <w:r>
        <w:rPr>
          <w:color w:val="343133"/>
          <w:spacing w:val="-6"/>
          <w:w w:val="120"/>
          <w:sz w:val="21"/>
        </w:rPr>
        <w:t> </w:t>
      </w:r>
      <w:r>
        <w:rPr>
          <w:color w:val="343133"/>
          <w:w w:val="120"/>
          <w:sz w:val="21"/>
        </w:rPr>
        <w:t>control</w:t>
      </w:r>
      <w:r>
        <w:rPr>
          <w:color w:val="343133"/>
          <w:spacing w:val="-4"/>
          <w:w w:val="120"/>
          <w:sz w:val="21"/>
        </w:rPr>
        <w:t> </w:t>
      </w:r>
      <w:r>
        <w:rPr>
          <w:color w:val="343133"/>
          <w:w w:val="120"/>
          <w:sz w:val="21"/>
        </w:rPr>
        <w:t>over</w:t>
      </w:r>
      <w:r>
        <w:rPr>
          <w:color w:val="343133"/>
          <w:spacing w:val="-15"/>
          <w:w w:val="120"/>
          <w:sz w:val="21"/>
        </w:rPr>
        <w:t> </w:t>
      </w:r>
      <w:r>
        <w:rPr>
          <w:color w:val="343133"/>
          <w:w w:val="120"/>
          <w:sz w:val="21"/>
        </w:rPr>
        <w:t>immigration</w:t>
      </w:r>
      <w:r>
        <w:rPr>
          <w:color w:val="4B494B"/>
          <w:w w:val="120"/>
          <w:sz w:val="21"/>
        </w:rPr>
        <w:t>.</w:t>
      </w:r>
    </w:p>
    <w:p>
      <w:pPr>
        <w:spacing w:line="230" w:lineRule="auto" w:before="123"/>
        <w:ind w:left="538" w:right="4336" w:hanging="10"/>
        <w:jc w:val="left"/>
        <w:rPr>
          <w:sz w:val="21"/>
        </w:rPr>
      </w:pPr>
      <w:r>
        <w:rPr>
          <w:color w:val="343133"/>
          <w:w w:val="115"/>
          <w:sz w:val="21"/>
        </w:rPr>
        <w:t>United States v. Pelehach</w:t>
      </w:r>
      <w:r>
        <w:rPr>
          <w:color w:val="343133"/>
          <w:spacing w:val="-58"/>
          <w:w w:val="115"/>
          <w:sz w:val="21"/>
        </w:rPr>
        <w:t> </w:t>
      </w:r>
      <w:r>
        <w:rPr>
          <w:color w:val="343133"/>
          <w:w w:val="115"/>
          <w:sz w:val="21"/>
        </w:rPr>
        <w:t>United</w:t>
      </w:r>
      <w:r>
        <w:rPr>
          <w:color w:val="343133"/>
          <w:spacing w:val="-25"/>
          <w:w w:val="115"/>
          <w:sz w:val="21"/>
        </w:rPr>
        <w:t> </w:t>
      </w:r>
      <w:r>
        <w:rPr>
          <w:color w:val="343133"/>
          <w:w w:val="115"/>
          <w:sz w:val="21"/>
        </w:rPr>
        <w:t>States</w:t>
      </w:r>
      <w:r>
        <w:rPr>
          <w:color w:val="343133"/>
          <w:spacing w:val="-14"/>
          <w:w w:val="115"/>
          <w:sz w:val="21"/>
        </w:rPr>
        <w:t> </w:t>
      </w:r>
      <w:r>
        <w:rPr>
          <w:color w:val="343133"/>
          <w:w w:val="115"/>
          <w:sz w:val="21"/>
        </w:rPr>
        <w:t>v.</w:t>
      </w:r>
      <w:r>
        <w:rPr>
          <w:color w:val="343133"/>
          <w:spacing w:val="-30"/>
          <w:w w:val="115"/>
          <w:sz w:val="21"/>
        </w:rPr>
        <w:t> </w:t>
      </w:r>
      <w:r>
        <w:rPr>
          <w:color w:val="343133"/>
          <w:w w:val="115"/>
          <w:sz w:val="21"/>
        </w:rPr>
        <w:t>Chu</w:t>
      </w:r>
    </w:p>
    <w:p>
      <w:pPr>
        <w:pStyle w:val="ListParagraph"/>
        <w:numPr>
          <w:ilvl w:val="0"/>
          <w:numId w:val="38"/>
        </w:numPr>
        <w:tabs>
          <w:tab w:pos="527" w:val="left" w:leader="none"/>
        </w:tabs>
        <w:spacing w:line="230" w:lineRule="auto" w:before="133" w:after="0"/>
        <w:ind w:left="532" w:right="156" w:hanging="403"/>
        <w:jc w:val="left"/>
        <w:rPr>
          <w:color w:val="343133"/>
          <w:sz w:val="21"/>
        </w:rPr>
      </w:pPr>
      <w:r>
        <w:rPr>
          <w:color w:val="343133"/>
          <w:w w:val="120"/>
          <w:sz w:val="21"/>
        </w:rPr>
        <w:t>Someone who is a child of a United States citizen is not an "immigrant"</w:t>
      </w:r>
      <w:r>
        <w:rPr>
          <w:color w:val="343133"/>
          <w:spacing w:val="-60"/>
          <w:w w:val="120"/>
          <w:sz w:val="21"/>
        </w:rPr>
        <w:t> </w:t>
      </w:r>
      <w:r>
        <w:rPr>
          <w:color w:val="343133"/>
          <w:w w:val="120"/>
          <w:sz w:val="21"/>
        </w:rPr>
        <w:t>and</w:t>
      </w:r>
      <w:r>
        <w:rPr>
          <w:color w:val="343133"/>
          <w:spacing w:val="-24"/>
          <w:w w:val="120"/>
          <w:sz w:val="21"/>
        </w:rPr>
        <w:t> </w:t>
      </w:r>
      <w:r>
        <w:rPr>
          <w:color w:val="343133"/>
          <w:w w:val="120"/>
          <w:sz w:val="21"/>
        </w:rPr>
        <w:t>soa</w:t>
      </w:r>
      <w:r>
        <w:rPr>
          <w:color w:val="343133"/>
          <w:spacing w:val="-19"/>
          <w:w w:val="120"/>
          <w:sz w:val="21"/>
        </w:rPr>
        <w:t> </w:t>
      </w:r>
      <w:r>
        <w:rPr>
          <w:color w:val="343133"/>
          <w:w w:val="120"/>
          <w:sz w:val="21"/>
        </w:rPr>
        <w:t>statute</w:t>
      </w:r>
      <w:r>
        <w:rPr>
          <w:color w:val="343133"/>
          <w:spacing w:val="-14"/>
          <w:w w:val="120"/>
          <w:sz w:val="21"/>
        </w:rPr>
        <w:t> </w:t>
      </w:r>
      <w:r>
        <w:rPr>
          <w:color w:val="343133"/>
          <w:w w:val="120"/>
          <w:sz w:val="21"/>
        </w:rPr>
        <w:t>that</w:t>
      </w:r>
      <w:r>
        <w:rPr>
          <w:color w:val="343133"/>
          <w:spacing w:val="-8"/>
          <w:w w:val="120"/>
          <w:sz w:val="21"/>
        </w:rPr>
        <w:t> </w:t>
      </w:r>
      <w:r>
        <w:rPr>
          <w:color w:val="343133"/>
          <w:w w:val="120"/>
          <w:sz w:val="21"/>
        </w:rPr>
        <w:t>regulates</w:t>
      </w:r>
      <w:r>
        <w:rPr>
          <w:color w:val="343133"/>
          <w:spacing w:val="-16"/>
          <w:w w:val="120"/>
          <w:sz w:val="21"/>
        </w:rPr>
        <w:t> </w:t>
      </w:r>
      <w:r>
        <w:rPr>
          <w:color w:val="343133"/>
          <w:w w:val="120"/>
          <w:sz w:val="21"/>
        </w:rPr>
        <w:t>such</w:t>
      </w:r>
      <w:r>
        <w:rPr>
          <w:color w:val="343133"/>
          <w:spacing w:val="-16"/>
          <w:w w:val="120"/>
          <w:sz w:val="21"/>
        </w:rPr>
        <w:t> </w:t>
      </w:r>
      <w:r>
        <w:rPr>
          <w:color w:val="343133"/>
          <w:w w:val="120"/>
          <w:sz w:val="21"/>
        </w:rPr>
        <w:t>a person</w:t>
      </w:r>
      <w:r>
        <w:rPr>
          <w:color w:val="343133"/>
          <w:spacing w:val="-16"/>
          <w:w w:val="120"/>
          <w:sz w:val="21"/>
        </w:rPr>
        <w:t> </w:t>
      </w:r>
      <w:r>
        <w:rPr>
          <w:color w:val="343133"/>
          <w:w w:val="120"/>
          <w:sz w:val="21"/>
        </w:rPr>
        <w:t>ts</w:t>
      </w:r>
      <w:r>
        <w:rPr>
          <w:color w:val="343133"/>
          <w:spacing w:val="-18"/>
          <w:w w:val="120"/>
          <w:sz w:val="21"/>
        </w:rPr>
        <w:t> </w:t>
      </w:r>
      <w:r>
        <w:rPr>
          <w:color w:val="343133"/>
          <w:w w:val="120"/>
          <w:sz w:val="21"/>
        </w:rPr>
        <w:t>not</w:t>
      </w:r>
      <w:r>
        <w:rPr>
          <w:color w:val="343133"/>
          <w:spacing w:val="9"/>
          <w:w w:val="120"/>
          <w:sz w:val="21"/>
        </w:rPr>
        <w:t> </w:t>
      </w:r>
      <w:r>
        <w:rPr>
          <w:color w:val="343133"/>
          <w:w w:val="120"/>
          <w:sz w:val="21"/>
        </w:rPr>
        <w:t>an</w:t>
      </w:r>
      <w:r>
        <w:rPr>
          <w:color w:val="343133"/>
          <w:spacing w:val="16"/>
          <w:w w:val="120"/>
          <w:sz w:val="21"/>
        </w:rPr>
        <w:t> </w:t>
      </w:r>
      <w:r>
        <w:rPr>
          <w:color w:val="343133"/>
          <w:w w:val="120"/>
          <w:sz w:val="21"/>
        </w:rPr>
        <w:t>immigration</w:t>
      </w:r>
      <w:r>
        <w:rPr>
          <w:color w:val="343133"/>
          <w:spacing w:val="-16"/>
          <w:w w:val="120"/>
          <w:sz w:val="21"/>
        </w:rPr>
        <w:t> </w:t>
      </w:r>
      <w:r>
        <w:rPr>
          <w:color w:val="343133"/>
          <w:w w:val="120"/>
          <w:sz w:val="21"/>
        </w:rPr>
        <w:t>statute.</w:t>
      </w:r>
    </w:p>
    <w:p>
      <w:pPr>
        <w:spacing w:before="116"/>
        <w:ind w:left="548" w:right="0" w:firstLine="0"/>
        <w:jc w:val="left"/>
        <w:rPr>
          <w:sz w:val="21"/>
        </w:rPr>
      </w:pPr>
      <w:r>
        <w:rPr>
          <w:color w:val="343133"/>
          <w:w w:val="115"/>
          <w:sz w:val="21"/>
        </w:rPr>
        <w:t>Unit</w:t>
      </w:r>
      <w:r>
        <w:rPr>
          <w:color w:val="59595B"/>
          <w:w w:val="115"/>
          <w:sz w:val="21"/>
        </w:rPr>
        <w:t>e</w:t>
      </w:r>
      <w:r>
        <w:rPr>
          <w:color w:val="343133"/>
          <w:w w:val="115"/>
          <w:sz w:val="21"/>
        </w:rPr>
        <w:t>d</w:t>
      </w:r>
      <w:r>
        <w:rPr>
          <w:color w:val="343133"/>
          <w:spacing w:val="23"/>
          <w:w w:val="115"/>
          <w:sz w:val="21"/>
        </w:rPr>
        <w:t> </w:t>
      </w:r>
      <w:r>
        <w:rPr>
          <w:color w:val="343133"/>
          <w:w w:val="115"/>
          <w:sz w:val="21"/>
        </w:rPr>
        <w:t>States</w:t>
      </w:r>
      <w:r>
        <w:rPr>
          <w:color w:val="343133"/>
          <w:spacing w:val="-13"/>
          <w:w w:val="115"/>
          <w:sz w:val="21"/>
        </w:rPr>
        <w:t> </w:t>
      </w:r>
      <w:r>
        <w:rPr>
          <w:color w:val="343133"/>
          <w:w w:val="115"/>
          <w:sz w:val="21"/>
        </w:rPr>
        <w:t>v</w:t>
      </w:r>
      <w:r>
        <w:rPr>
          <w:color w:val="4B494B"/>
          <w:w w:val="115"/>
          <w:sz w:val="21"/>
        </w:rPr>
        <w:t>.</w:t>
      </w:r>
      <w:r>
        <w:rPr>
          <w:color w:val="4B494B"/>
          <w:spacing w:val="-16"/>
          <w:w w:val="115"/>
          <w:sz w:val="21"/>
        </w:rPr>
        <w:t> </w:t>
      </w:r>
      <w:r>
        <w:rPr>
          <w:color w:val="343133"/>
          <w:w w:val="115"/>
          <w:sz w:val="21"/>
        </w:rPr>
        <w:t>Shaheen</w:t>
      </w:r>
    </w:p>
    <w:p>
      <w:pPr>
        <w:pStyle w:val="ListParagraph"/>
        <w:numPr>
          <w:ilvl w:val="0"/>
          <w:numId w:val="38"/>
        </w:numPr>
        <w:tabs>
          <w:tab w:pos="546" w:val="left" w:leader="none"/>
        </w:tabs>
        <w:spacing w:line="350" w:lineRule="atLeast" w:before="6" w:after="0"/>
        <w:ind w:left="542" w:right="2268" w:hanging="413"/>
        <w:jc w:val="left"/>
        <w:rPr>
          <w:color w:val="343133"/>
          <w:sz w:val="21"/>
        </w:rPr>
      </w:pPr>
      <w:r>
        <w:rPr>
          <w:color w:val="343133"/>
          <w:spacing w:val="-1"/>
          <w:w w:val="120"/>
          <w:sz w:val="21"/>
        </w:rPr>
        <w:t>Biological </w:t>
      </w:r>
      <w:r>
        <w:rPr>
          <w:color w:val="343133"/>
          <w:w w:val="120"/>
          <w:sz w:val="21"/>
        </w:rPr>
        <w:t>parent-child relationships are important</w:t>
      </w:r>
      <w:r>
        <w:rPr>
          <w:color w:val="4B494B"/>
          <w:w w:val="120"/>
          <w:sz w:val="21"/>
        </w:rPr>
        <w:t>.</w:t>
      </w:r>
      <w:r>
        <w:rPr>
          <w:color w:val="4B494B"/>
          <w:spacing w:val="-60"/>
          <w:w w:val="120"/>
          <w:sz w:val="21"/>
        </w:rPr>
        <w:t> </w:t>
      </w:r>
      <w:r>
        <w:rPr>
          <w:color w:val="343133"/>
          <w:w w:val="115"/>
          <w:sz w:val="21"/>
        </w:rPr>
        <w:t>Garcia</w:t>
      </w:r>
      <w:r>
        <w:rPr>
          <w:color w:val="343133"/>
          <w:spacing w:val="-6"/>
          <w:w w:val="115"/>
          <w:sz w:val="21"/>
        </w:rPr>
        <w:t> </w:t>
      </w:r>
      <w:r>
        <w:rPr>
          <w:color w:val="343133"/>
          <w:w w:val="115"/>
          <w:sz w:val="21"/>
        </w:rPr>
        <w:t>v</w:t>
      </w:r>
      <w:r>
        <w:rPr>
          <w:color w:val="4B494B"/>
          <w:w w:val="115"/>
          <w:sz w:val="21"/>
        </w:rPr>
        <w:t>.</w:t>
      </w:r>
      <w:r>
        <w:rPr>
          <w:color w:val="4B494B"/>
          <w:spacing w:val="12"/>
          <w:w w:val="115"/>
          <w:sz w:val="21"/>
        </w:rPr>
        <w:t> </w:t>
      </w:r>
      <w:r>
        <w:rPr>
          <w:color w:val="343133"/>
          <w:w w:val="115"/>
          <w:sz w:val="21"/>
        </w:rPr>
        <w:t>Department</w:t>
      </w:r>
      <w:r>
        <w:rPr>
          <w:color w:val="343133"/>
          <w:spacing w:val="-14"/>
          <w:w w:val="115"/>
          <w:sz w:val="21"/>
        </w:rPr>
        <w:t> </w:t>
      </w:r>
      <w:r>
        <w:rPr>
          <w:color w:val="343133"/>
          <w:w w:val="115"/>
          <w:sz w:val="21"/>
        </w:rPr>
        <w:t>of</w:t>
      </w:r>
      <w:r>
        <w:rPr>
          <w:color w:val="343133"/>
          <w:spacing w:val="-18"/>
          <w:w w:val="115"/>
          <w:sz w:val="21"/>
        </w:rPr>
        <w:t> </w:t>
      </w:r>
      <w:r>
        <w:rPr>
          <w:color w:val="343133"/>
          <w:w w:val="115"/>
          <w:sz w:val="21"/>
        </w:rPr>
        <w:t>Social</w:t>
      </w:r>
      <w:r>
        <w:rPr>
          <w:color w:val="343133"/>
          <w:spacing w:val="-20"/>
          <w:w w:val="115"/>
          <w:sz w:val="21"/>
        </w:rPr>
        <w:t> </w:t>
      </w:r>
      <w:r>
        <w:rPr>
          <w:color w:val="343133"/>
          <w:w w:val="115"/>
          <w:sz w:val="21"/>
        </w:rPr>
        <w:t>Services</w:t>
      </w:r>
    </w:p>
    <w:p>
      <w:pPr>
        <w:spacing w:line="237" w:lineRule="exact" w:before="0"/>
        <w:ind w:left="553" w:right="0" w:firstLine="0"/>
        <w:jc w:val="left"/>
        <w:rPr>
          <w:sz w:val="21"/>
        </w:rPr>
      </w:pPr>
      <w:r>
        <w:rPr>
          <w:color w:val="343133"/>
          <w:w w:val="115"/>
          <w:sz w:val="21"/>
        </w:rPr>
        <w:t>Indiana</w:t>
      </w:r>
      <w:r>
        <w:rPr>
          <w:color w:val="343133"/>
          <w:spacing w:val="18"/>
          <w:w w:val="115"/>
          <w:sz w:val="21"/>
        </w:rPr>
        <w:t> </w:t>
      </w:r>
      <w:r>
        <w:rPr>
          <w:color w:val="343133"/>
          <w:w w:val="115"/>
          <w:sz w:val="21"/>
        </w:rPr>
        <w:t>v.</w:t>
      </w:r>
      <w:r>
        <w:rPr>
          <w:color w:val="343133"/>
          <w:spacing w:val="-9"/>
          <w:w w:val="115"/>
          <w:sz w:val="21"/>
        </w:rPr>
        <w:t> </w:t>
      </w:r>
      <w:r>
        <w:rPr>
          <w:color w:val="343133"/>
          <w:w w:val="115"/>
          <w:sz w:val="21"/>
        </w:rPr>
        <w:t>Buehrle</w:t>
      </w:r>
    </w:p>
    <w:p>
      <w:pPr>
        <w:pStyle w:val="ListParagraph"/>
        <w:numPr>
          <w:ilvl w:val="0"/>
          <w:numId w:val="38"/>
        </w:numPr>
        <w:tabs>
          <w:tab w:pos="558" w:val="left" w:leader="none"/>
        </w:tabs>
        <w:spacing w:line="230" w:lineRule="auto" w:before="123" w:after="0"/>
        <w:ind w:left="558" w:right="111" w:hanging="420"/>
        <w:jc w:val="left"/>
        <w:rPr>
          <w:color w:val="343133"/>
          <w:sz w:val="21"/>
        </w:rPr>
      </w:pPr>
      <w:r>
        <w:rPr>
          <w:color w:val="343133"/>
          <w:w w:val="120"/>
          <w:sz w:val="21"/>
        </w:rPr>
        <w:t>A</w:t>
      </w:r>
      <w:r>
        <w:rPr>
          <w:color w:val="343133"/>
          <w:spacing w:val="-12"/>
          <w:w w:val="120"/>
          <w:sz w:val="21"/>
        </w:rPr>
        <w:t> </w:t>
      </w:r>
      <w:r>
        <w:rPr>
          <w:color w:val="343133"/>
          <w:w w:val="120"/>
          <w:sz w:val="21"/>
        </w:rPr>
        <w:t>statute</w:t>
      </w:r>
      <w:r>
        <w:rPr>
          <w:color w:val="343133"/>
          <w:spacing w:val="5"/>
          <w:w w:val="120"/>
          <w:sz w:val="21"/>
        </w:rPr>
        <w:t> </w:t>
      </w:r>
      <w:r>
        <w:rPr>
          <w:color w:val="343133"/>
          <w:w w:val="120"/>
          <w:sz w:val="21"/>
        </w:rPr>
        <w:t>that</w:t>
      </w:r>
      <w:r>
        <w:rPr>
          <w:color w:val="343133"/>
          <w:spacing w:val="9"/>
          <w:w w:val="120"/>
          <w:sz w:val="21"/>
        </w:rPr>
        <w:t> </w:t>
      </w:r>
      <w:r>
        <w:rPr>
          <w:color w:val="343133"/>
          <w:w w:val="120"/>
          <w:sz w:val="21"/>
        </w:rPr>
        <w:t>applies</w:t>
      </w:r>
      <w:r>
        <w:rPr>
          <w:color w:val="343133"/>
          <w:spacing w:val="11"/>
          <w:w w:val="120"/>
          <w:sz w:val="21"/>
        </w:rPr>
        <w:t> </w:t>
      </w:r>
      <w:r>
        <w:rPr>
          <w:color w:val="343133"/>
          <w:w w:val="120"/>
          <w:sz w:val="21"/>
        </w:rPr>
        <w:t>differently</w:t>
      </w:r>
      <w:r>
        <w:rPr>
          <w:color w:val="343133"/>
          <w:spacing w:val="27"/>
          <w:w w:val="120"/>
          <w:sz w:val="21"/>
        </w:rPr>
        <w:t> </w:t>
      </w:r>
      <w:r>
        <w:rPr>
          <w:color w:val="343133"/>
          <w:w w:val="120"/>
          <w:sz w:val="21"/>
        </w:rPr>
        <w:t>to</w:t>
      </w:r>
      <w:r>
        <w:rPr>
          <w:color w:val="343133"/>
          <w:spacing w:val="22"/>
          <w:w w:val="120"/>
          <w:sz w:val="21"/>
        </w:rPr>
        <w:t> </w:t>
      </w:r>
      <w:r>
        <w:rPr>
          <w:color w:val="343133"/>
          <w:w w:val="120"/>
          <w:sz w:val="21"/>
        </w:rPr>
        <w:t>citiz</w:t>
      </w:r>
      <w:r>
        <w:rPr>
          <w:color w:val="4B494B"/>
          <w:w w:val="120"/>
          <w:sz w:val="21"/>
        </w:rPr>
        <w:t>e</w:t>
      </w:r>
      <w:r>
        <w:rPr>
          <w:color w:val="343133"/>
          <w:w w:val="120"/>
          <w:sz w:val="21"/>
        </w:rPr>
        <w:t>ns</w:t>
      </w:r>
      <w:r>
        <w:rPr>
          <w:color w:val="343133"/>
          <w:spacing w:val="20"/>
          <w:w w:val="120"/>
          <w:sz w:val="21"/>
        </w:rPr>
        <w:t> </w:t>
      </w:r>
      <w:r>
        <w:rPr>
          <w:color w:val="343133"/>
          <w:w w:val="120"/>
          <w:sz w:val="21"/>
        </w:rPr>
        <w:t>of</w:t>
      </w:r>
      <w:r>
        <w:rPr>
          <w:color w:val="343133"/>
          <w:spacing w:val="16"/>
          <w:w w:val="120"/>
          <w:sz w:val="21"/>
        </w:rPr>
        <w:t> </w:t>
      </w:r>
      <w:r>
        <w:rPr>
          <w:color w:val="343133"/>
          <w:w w:val="120"/>
          <w:sz w:val="21"/>
        </w:rPr>
        <w:t>different</w:t>
      </w:r>
      <w:r>
        <w:rPr>
          <w:color w:val="343133"/>
          <w:spacing w:val="17"/>
          <w:w w:val="120"/>
          <w:sz w:val="21"/>
        </w:rPr>
        <w:t> </w:t>
      </w:r>
      <w:r>
        <w:rPr>
          <w:color w:val="343133"/>
          <w:w w:val="120"/>
          <w:sz w:val="21"/>
        </w:rPr>
        <w:t>genders</w:t>
      </w:r>
      <w:r>
        <w:rPr>
          <w:color w:val="343133"/>
          <w:spacing w:val="4"/>
          <w:w w:val="120"/>
          <w:sz w:val="21"/>
        </w:rPr>
        <w:t> </w:t>
      </w:r>
      <w:r>
        <w:rPr>
          <w:color w:val="343133"/>
          <w:w w:val="120"/>
          <w:sz w:val="21"/>
        </w:rPr>
        <w:t>can</w:t>
      </w:r>
      <w:r>
        <w:rPr>
          <w:color w:val="343133"/>
          <w:spacing w:val="42"/>
          <w:w w:val="120"/>
          <w:sz w:val="21"/>
        </w:rPr>
        <w:t> </w:t>
      </w:r>
      <w:r>
        <w:rPr>
          <w:color w:val="343133"/>
          <w:w w:val="120"/>
          <w:sz w:val="21"/>
        </w:rPr>
        <w:t>be</w:t>
      </w:r>
      <w:r>
        <w:rPr>
          <w:color w:val="343133"/>
          <w:spacing w:val="-60"/>
          <w:w w:val="120"/>
          <w:sz w:val="21"/>
        </w:rPr>
        <w:t> </w:t>
      </w:r>
      <w:r>
        <w:rPr>
          <w:color w:val="343133"/>
          <w:w w:val="115"/>
          <w:sz w:val="21"/>
        </w:rPr>
        <w:t>upheld</w:t>
      </w:r>
      <w:r>
        <w:rPr>
          <w:color w:val="343133"/>
          <w:spacing w:val="-6"/>
          <w:w w:val="115"/>
          <w:sz w:val="21"/>
        </w:rPr>
        <w:t> </w:t>
      </w:r>
      <w:r>
        <w:rPr>
          <w:color w:val="343133"/>
          <w:w w:val="115"/>
          <w:sz w:val="21"/>
        </w:rPr>
        <w:t>only if</w:t>
      </w:r>
      <w:r>
        <w:rPr>
          <w:color w:val="343133"/>
          <w:spacing w:val="-15"/>
          <w:w w:val="115"/>
          <w:sz w:val="21"/>
        </w:rPr>
        <w:t> </w:t>
      </w:r>
      <w:r>
        <w:rPr>
          <w:color w:val="343133"/>
          <w:w w:val="115"/>
          <w:sz w:val="21"/>
        </w:rPr>
        <w:t>it</w:t>
      </w:r>
      <w:r>
        <w:rPr>
          <w:color w:val="343133"/>
          <w:spacing w:val="28"/>
          <w:w w:val="115"/>
          <w:sz w:val="21"/>
        </w:rPr>
        <w:t> </w:t>
      </w:r>
      <w:r>
        <w:rPr>
          <w:color w:val="343133"/>
          <w:w w:val="115"/>
          <w:sz w:val="21"/>
        </w:rPr>
        <w:t>passes</w:t>
      </w:r>
      <w:r>
        <w:rPr>
          <w:color w:val="343133"/>
          <w:spacing w:val="-26"/>
          <w:w w:val="115"/>
          <w:sz w:val="21"/>
        </w:rPr>
        <w:t> </w:t>
      </w:r>
      <w:r>
        <w:rPr>
          <w:color w:val="343133"/>
          <w:w w:val="115"/>
          <w:sz w:val="21"/>
        </w:rPr>
        <w:t>a</w:t>
      </w:r>
      <w:r>
        <w:rPr>
          <w:color w:val="343133"/>
          <w:spacing w:val="8"/>
          <w:w w:val="115"/>
          <w:sz w:val="21"/>
        </w:rPr>
        <w:t> </w:t>
      </w:r>
      <w:r>
        <w:rPr>
          <w:color w:val="343133"/>
          <w:w w:val="115"/>
          <w:sz w:val="21"/>
        </w:rPr>
        <w:t>significant</w:t>
      </w:r>
      <w:r>
        <w:rPr>
          <w:color w:val="343133"/>
          <w:spacing w:val="-2"/>
          <w:w w:val="115"/>
          <w:sz w:val="21"/>
        </w:rPr>
        <w:t> </w:t>
      </w:r>
      <w:r>
        <w:rPr>
          <w:color w:val="343133"/>
          <w:w w:val="115"/>
          <w:sz w:val="21"/>
        </w:rPr>
        <w:t>l</w:t>
      </w:r>
      <w:r>
        <w:rPr>
          <w:color w:val="4B494B"/>
          <w:w w:val="115"/>
          <w:sz w:val="21"/>
        </w:rPr>
        <w:t>e</w:t>
      </w:r>
      <w:r>
        <w:rPr>
          <w:color w:val="343133"/>
          <w:w w:val="115"/>
          <w:sz w:val="21"/>
        </w:rPr>
        <w:t>vel</w:t>
      </w:r>
      <w:r>
        <w:rPr>
          <w:color w:val="343133"/>
          <w:spacing w:val="5"/>
          <w:w w:val="115"/>
          <w:sz w:val="21"/>
        </w:rPr>
        <w:t> </w:t>
      </w:r>
      <w:r>
        <w:rPr>
          <w:color w:val="343133"/>
          <w:w w:val="115"/>
          <w:sz w:val="21"/>
        </w:rPr>
        <w:t>of</w:t>
      </w:r>
      <w:r>
        <w:rPr>
          <w:color w:val="343133"/>
          <w:spacing w:val="4"/>
          <w:w w:val="115"/>
          <w:sz w:val="21"/>
        </w:rPr>
        <w:t> </w:t>
      </w:r>
      <w:r>
        <w:rPr>
          <w:color w:val="343133"/>
          <w:w w:val="115"/>
          <w:sz w:val="21"/>
        </w:rPr>
        <w:t>scrutiny</w:t>
      </w:r>
      <w:r>
        <w:rPr>
          <w:color w:val="4B494B"/>
          <w:w w:val="115"/>
          <w:sz w:val="21"/>
        </w:rPr>
        <w:t>.</w:t>
      </w:r>
    </w:p>
    <w:p>
      <w:pPr>
        <w:spacing w:before="106"/>
        <w:ind w:left="551" w:right="5089" w:firstLine="3"/>
        <w:jc w:val="left"/>
        <w:rPr>
          <w:sz w:val="21"/>
        </w:rPr>
      </w:pPr>
      <w:r>
        <w:rPr>
          <w:color w:val="343133"/>
          <w:w w:val="115"/>
          <w:sz w:val="21"/>
        </w:rPr>
        <w:t>Jfeduba v. Coleman</w:t>
      </w:r>
      <w:r>
        <w:rPr>
          <w:color w:val="343133"/>
          <w:spacing w:val="-58"/>
          <w:w w:val="115"/>
          <w:sz w:val="21"/>
        </w:rPr>
        <w:t> </w:t>
      </w:r>
      <w:r>
        <w:rPr>
          <w:color w:val="343133"/>
          <w:w w:val="115"/>
          <w:sz w:val="21"/>
        </w:rPr>
        <w:t>Crede</w:t>
      </w:r>
      <w:r>
        <w:rPr>
          <w:color w:val="343133"/>
          <w:spacing w:val="-19"/>
          <w:w w:val="115"/>
          <w:sz w:val="21"/>
        </w:rPr>
        <w:t> </w:t>
      </w:r>
      <w:r>
        <w:rPr>
          <w:color w:val="343133"/>
          <w:w w:val="115"/>
          <w:sz w:val="21"/>
        </w:rPr>
        <w:t>v.</w:t>
      </w:r>
      <w:r>
        <w:rPr>
          <w:color w:val="343133"/>
          <w:spacing w:val="-22"/>
          <w:w w:val="115"/>
          <w:sz w:val="21"/>
        </w:rPr>
        <w:t> </w:t>
      </w:r>
      <w:r>
        <w:rPr>
          <w:color w:val="343133"/>
          <w:w w:val="115"/>
          <w:sz w:val="21"/>
        </w:rPr>
        <w:t>State</w:t>
      </w:r>
    </w:p>
    <w:p>
      <w:pPr>
        <w:spacing w:after="0"/>
        <w:jc w:val="left"/>
        <w:rPr>
          <w:sz w:val="21"/>
        </w:rPr>
        <w:sectPr>
          <w:headerReference w:type="default" r:id="rId99"/>
          <w:headerReference w:type="even" r:id="rId100"/>
          <w:pgSz w:w="9370" w:h="13740"/>
          <w:pgMar w:header="466" w:footer="0" w:top="1080" w:bottom="280" w:left="540" w:right="860"/>
          <w:pgNumType w:start="73"/>
        </w:sectPr>
      </w:pPr>
    </w:p>
    <w:p>
      <w:pPr>
        <w:spacing w:before="82"/>
        <w:ind w:left="1117" w:right="5064" w:firstLine="10"/>
        <w:jc w:val="both"/>
        <w:rPr>
          <w:b/>
          <w:sz w:val="20"/>
        </w:rPr>
      </w:pPr>
      <w:r>
        <w:rPr>
          <w:b/>
          <w:color w:val="3B3A3B"/>
          <w:w w:val="105"/>
          <w:sz w:val="20"/>
        </w:rPr>
        <w:t>Restrepo v. Rowand</w:t>
      </w:r>
      <w:r>
        <w:rPr>
          <w:b/>
          <w:color w:val="3B3A3B"/>
          <w:spacing w:val="-50"/>
          <w:w w:val="105"/>
          <w:sz w:val="20"/>
        </w:rPr>
        <w:t> </w:t>
      </w:r>
      <w:r>
        <w:rPr>
          <w:b/>
          <w:color w:val="3B3A3B"/>
          <w:w w:val="110"/>
          <w:sz w:val="20"/>
        </w:rPr>
        <w:t>Blum</w:t>
      </w:r>
      <w:r>
        <w:rPr>
          <w:b/>
          <w:color w:val="3B3A3B"/>
          <w:spacing w:val="2"/>
          <w:w w:val="110"/>
          <w:sz w:val="20"/>
        </w:rPr>
        <w:t> </w:t>
      </w:r>
      <w:r>
        <w:rPr>
          <w:b/>
          <w:color w:val="3B3A3B"/>
          <w:w w:val="110"/>
          <w:sz w:val="20"/>
        </w:rPr>
        <w:t>v.</w:t>
      </w:r>
      <w:r>
        <w:rPr>
          <w:b/>
          <w:color w:val="3B3A3B"/>
          <w:spacing w:val="-9"/>
          <w:w w:val="110"/>
          <w:sz w:val="20"/>
        </w:rPr>
        <w:t> </w:t>
      </w:r>
      <w:r>
        <w:rPr>
          <w:b/>
          <w:color w:val="3B3A3B"/>
          <w:w w:val="110"/>
          <w:sz w:val="20"/>
        </w:rPr>
        <w:t>Vizcaino</w:t>
      </w:r>
    </w:p>
    <w:p>
      <w:pPr>
        <w:pStyle w:val="BodyText"/>
        <w:spacing w:line="232" w:lineRule="auto" w:before="115"/>
        <w:ind w:left="656" w:right="101" w:firstLine="415"/>
        <w:jc w:val="both"/>
      </w:pPr>
      <w:r>
        <w:rPr>
          <w:color w:val="3B3A3B"/>
          <w:w w:val="105"/>
        </w:rPr>
        <w:t>After making the list, try to identify relationships between and among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the points. For example, points </w:t>
      </w:r>
      <w:r>
        <w:rPr>
          <w:rFonts w:ascii="Arial"/>
          <w:b/>
          <w:color w:val="3B3A3B"/>
          <w:w w:val="105"/>
          <w:sz w:val="19"/>
        </w:rPr>
        <w:t>1 </w:t>
      </w:r>
      <w:r>
        <w:rPr>
          <w:color w:val="3B3A3B"/>
          <w:w w:val="105"/>
        </w:rPr>
        <w:t>and 2 are really two sides of the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same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coin:</w:t>
      </w:r>
      <w:r>
        <w:rPr>
          <w:color w:val="3B3A3B"/>
          <w:w w:val="105"/>
          <w:sz w:val="22"/>
        </w:rPr>
        <w:t>If </w:t>
      </w:r>
      <w:r>
        <w:rPr>
          <w:color w:val="3B3A3B"/>
          <w:w w:val="105"/>
        </w:rPr>
        <w:t>the statute is unconstitutional, the decision below must be </w:t>
      </w:r>
      <w:r>
        <w:rPr>
          <w:color w:val="2A2628"/>
          <w:w w:val="105"/>
        </w:rPr>
        <w:t>reversed.</w:t>
      </w:r>
      <w:r>
        <w:rPr>
          <w:color w:val="2A2628"/>
          <w:spacing w:val="1"/>
          <w:w w:val="105"/>
        </w:rPr>
        <w:t> </w:t>
      </w:r>
      <w:r>
        <w:rPr>
          <w:color w:val="3B3A3B"/>
          <w:w w:val="105"/>
        </w:rPr>
        <w:t>Some of the points may be repetitive of other points, and so they can be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eliminated, or the two repetitive points can be synthesized into one point,</w:t>
      </w:r>
      <w:r>
        <w:rPr>
          <w:color w:val="3B3A3B"/>
          <w:spacing w:val="1"/>
          <w:w w:val="105"/>
        </w:rPr>
        <w:t> </w:t>
      </w:r>
      <w:r>
        <w:rPr>
          <w:color w:val="3B3A3B"/>
          <w:spacing w:val="-1"/>
          <w:w w:val="110"/>
        </w:rPr>
        <w:t>for example, points 4 and 14. Some points may be parts or subparts </w:t>
      </w:r>
      <w:r>
        <w:rPr>
          <w:color w:val="3B3A3B"/>
          <w:w w:val="110"/>
        </w:rPr>
        <w:t>of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other points, and so they should be grouped accordingly, for example,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05"/>
        </w:rPr>
        <w:t>points </w:t>
      </w:r>
      <w:r>
        <w:rPr>
          <w:i/>
          <w:color w:val="3B3A3B"/>
          <w:w w:val="105"/>
          <w:sz w:val="22"/>
        </w:rPr>
        <w:t>5, </w:t>
      </w:r>
      <w:r>
        <w:rPr>
          <w:color w:val="3B3A3B"/>
          <w:w w:val="105"/>
        </w:rPr>
        <w:t>8, and 9. Some points may be threshold issues, so you may decide</w:t>
      </w:r>
      <w:r>
        <w:rPr>
          <w:color w:val="3B3A3B"/>
          <w:spacing w:val="-58"/>
          <w:w w:val="105"/>
        </w:rPr>
        <w:t> </w:t>
      </w:r>
      <w:r>
        <w:rPr>
          <w:color w:val="3B3A3B"/>
          <w:w w:val="105"/>
        </w:rPr>
        <w:t>that</w:t>
      </w:r>
      <w:r>
        <w:rPr>
          <w:color w:val="3B3A3B"/>
          <w:spacing w:val="-8"/>
          <w:w w:val="105"/>
        </w:rPr>
        <w:t> </w:t>
      </w:r>
      <w:r>
        <w:rPr>
          <w:color w:val="3B3A3B"/>
          <w:w w:val="105"/>
        </w:rPr>
        <w:t>they</w:t>
      </w:r>
      <w:r>
        <w:rPr>
          <w:color w:val="3B3A3B"/>
          <w:spacing w:val="-17"/>
          <w:w w:val="105"/>
        </w:rPr>
        <w:t> </w:t>
      </w:r>
      <w:r>
        <w:rPr>
          <w:color w:val="3B3A3B"/>
          <w:w w:val="105"/>
        </w:rPr>
        <w:t>should</w:t>
      </w:r>
      <w:r>
        <w:rPr>
          <w:color w:val="3B3A3B"/>
          <w:spacing w:val="22"/>
          <w:w w:val="105"/>
        </w:rPr>
        <w:t> </w:t>
      </w:r>
      <w:r>
        <w:rPr>
          <w:color w:val="3B3A3B"/>
          <w:w w:val="105"/>
        </w:rPr>
        <w:t>be</w:t>
      </w:r>
      <w:r>
        <w:rPr>
          <w:color w:val="3B3A3B"/>
          <w:spacing w:val="-22"/>
          <w:w w:val="105"/>
        </w:rPr>
        <w:t> </w:t>
      </w:r>
      <w:r>
        <w:rPr>
          <w:color w:val="3B3A3B"/>
          <w:w w:val="105"/>
        </w:rPr>
        <w:t>addressed</w:t>
      </w:r>
      <w:r>
        <w:rPr>
          <w:color w:val="3B3A3B"/>
          <w:spacing w:val="7"/>
          <w:w w:val="105"/>
        </w:rPr>
        <w:t> </w:t>
      </w:r>
      <w:r>
        <w:rPr>
          <w:color w:val="3B3A3B"/>
          <w:w w:val="105"/>
        </w:rPr>
        <w:t>first.</w:t>
      </w:r>
    </w:p>
    <w:p>
      <w:pPr>
        <w:pStyle w:val="BodyText"/>
        <w:spacing w:line="232" w:lineRule="auto"/>
        <w:ind w:left="579" w:right="140" w:firstLine="401"/>
        <w:jc w:val="both"/>
      </w:pPr>
      <w:r>
        <w:rPr>
          <w:color w:val="3B3A3B"/>
          <w:w w:val="105"/>
          <w:sz w:val="22"/>
        </w:rPr>
        <w:t>If </w:t>
      </w:r>
      <w:r>
        <w:rPr>
          <w:color w:val="3B3A3B"/>
          <w:w w:val="105"/>
        </w:rPr>
        <w:t>you have listed these points on index cards, you might try moVing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10"/>
        </w:rPr>
        <w:t>the cards around </w:t>
      </w:r>
      <w:r>
        <w:rPr>
          <w:i/>
          <w:color w:val="3B3A3B"/>
          <w:w w:val="110"/>
          <w:sz w:val="24"/>
        </w:rPr>
        <w:t>to </w:t>
      </w:r>
      <w:r>
        <w:rPr>
          <w:color w:val="3B3A3B"/>
          <w:w w:val="110"/>
        </w:rPr>
        <w:t>identify the relationships between and among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05"/>
        </w:rPr>
        <w:t>points. You might stack the cards that seem to make the same point. </w:t>
      </w:r>
      <w:r>
        <w:rPr>
          <w:color w:val="3B3A3B"/>
          <w:w w:val="105"/>
          <w:sz w:val="22"/>
        </w:rPr>
        <w:t>If </w:t>
      </w:r>
      <w:r>
        <w:rPr>
          <w:color w:val="3B3A3B"/>
          <w:w w:val="105"/>
        </w:rPr>
        <w:t>you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have listed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these points on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a  piece of  paper, you might try  drawing lines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or circles to connect related points, or to identify a hierarchy among the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assertions.</w:t>
      </w:r>
      <w:r>
        <w:rPr>
          <w:rFonts w:ascii="Arial"/>
          <w:color w:val="3B3A3B"/>
          <w:w w:val="105"/>
          <w:position w:val="9"/>
          <w:sz w:val="12"/>
        </w:rPr>
        <w:t>11</w:t>
      </w:r>
      <w:r>
        <w:rPr>
          <w:rFonts w:ascii="Arial"/>
          <w:color w:val="3B3A3B"/>
          <w:spacing w:val="1"/>
          <w:w w:val="105"/>
          <w:position w:val="9"/>
          <w:sz w:val="12"/>
        </w:rPr>
        <w:t> </w:t>
      </w:r>
      <w:r>
        <w:rPr>
          <w:color w:val="3B3A3B"/>
          <w:w w:val="105"/>
        </w:rPr>
        <w:t>Once you have figured out, even tentatively, how the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points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relate</w:t>
      </w:r>
      <w:r>
        <w:rPr>
          <w:color w:val="3B3A3B"/>
          <w:spacing w:val="-13"/>
          <w:w w:val="105"/>
        </w:rPr>
        <w:t> </w:t>
      </w:r>
      <w:r>
        <w:rPr>
          <w:color w:val="3B3A3B"/>
          <w:w w:val="105"/>
        </w:rPr>
        <w:t>to</w:t>
      </w:r>
      <w:r>
        <w:rPr>
          <w:color w:val="3B3A3B"/>
          <w:spacing w:val="12"/>
          <w:w w:val="105"/>
        </w:rPr>
        <w:t> </w:t>
      </w:r>
      <w:r>
        <w:rPr>
          <w:color w:val="3B3A3B"/>
          <w:w w:val="105"/>
        </w:rPr>
        <w:t>each</w:t>
      </w:r>
      <w:r>
        <w:rPr>
          <w:color w:val="3B3A3B"/>
          <w:spacing w:val="7"/>
          <w:w w:val="105"/>
        </w:rPr>
        <w:t> </w:t>
      </w:r>
      <w:r>
        <w:rPr>
          <w:color w:val="3B3A3B"/>
          <w:w w:val="105"/>
        </w:rPr>
        <w:t>other,</w:t>
      </w:r>
      <w:r>
        <w:rPr>
          <w:color w:val="3B3A3B"/>
          <w:spacing w:val="5"/>
          <w:w w:val="105"/>
        </w:rPr>
        <w:t> </w:t>
      </w:r>
      <w:r>
        <w:rPr>
          <w:color w:val="3B3A3B"/>
          <w:w w:val="105"/>
        </w:rPr>
        <w:t>you</w:t>
      </w:r>
      <w:r>
        <w:rPr>
          <w:color w:val="3B3A3B"/>
          <w:spacing w:val="-3"/>
          <w:w w:val="105"/>
        </w:rPr>
        <w:t> </w:t>
      </w:r>
      <w:r>
        <w:rPr>
          <w:color w:val="3B3A3B"/>
          <w:w w:val="105"/>
        </w:rPr>
        <w:t>are</w:t>
      </w:r>
      <w:r>
        <w:rPr>
          <w:color w:val="3B3A3B"/>
          <w:spacing w:val="6"/>
          <w:w w:val="105"/>
        </w:rPr>
        <w:t> </w:t>
      </w:r>
      <w:r>
        <w:rPr>
          <w:color w:val="3B3A3B"/>
          <w:w w:val="105"/>
        </w:rPr>
        <w:t>ready</w:t>
      </w:r>
      <w:r>
        <w:rPr>
          <w:color w:val="3B3A3B"/>
          <w:spacing w:val="-5"/>
          <w:w w:val="105"/>
        </w:rPr>
        <w:t> </w:t>
      </w:r>
      <w:r>
        <w:rPr>
          <w:color w:val="3B3A3B"/>
          <w:w w:val="105"/>
        </w:rPr>
        <w:t>to</w:t>
      </w:r>
      <w:r>
        <w:rPr>
          <w:color w:val="3B3A3B"/>
          <w:spacing w:val="4"/>
          <w:w w:val="105"/>
        </w:rPr>
        <w:t> </w:t>
      </w:r>
      <w:r>
        <w:rPr>
          <w:color w:val="3B3A3B"/>
          <w:w w:val="105"/>
        </w:rPr>
        <w:t>draft</w:t>
      </w:r>
      <w:r>
        <w:rPr>
          <w:color w:val="3B3A3B"/>
          <w:spacing w:val="-11"/>
          <w:w w:val="105"/>
        </w:rPr>
        <w:t> </w:t>
      </w:r>
      <w:r>
        <w:rPr>
          <w:color w:val="3B3A3B"/>
          <w:w w:val="105"/>
        </w:rPr>
        <w:t>an</w:t>
      </w:r>
      <w:r>
        <w:rPr>
          <w:color w:val="3B3A3B"/>
          <w:spacing w:val="5"/>
          <w:w w:val="105"/>
        </w:rPr>
        <w:t> </w:t>
      </w:r>
      <w:r>
        <w:rPr>
          <w:color w:val="3B3A3B"/>
          <w:w w:val="105"/>
        </w:rPr>
        <w:t>outline.</w:t>
      </w:r>
    </w:p>
    <w:p>
      <w:pPr>
        <w:pStyle w:val="BodyText"/>
        <w:spacing w:before="11"/>
        <w:rPr>
          <w:sz w:val="31"/>
        </w:rPr>
      </w:pPr>
    </w:p>
    <w:p>
      <w:pPr>
        <w:spacing w:before="0"/>
        <w:ind w:left="855" w:right="0" w:firstLine="0"/>
        <w:jc w:val="left"/>
        <w:rPr>
          <w:rFonts w:ascii="Arial"/>
          <w:b/>
          <w:sz w:val="29"/>
        </w:rPr>
      </w:pPr>
      <w:r>
        <w:rPr>
          <w:rFonts w:ascii="Arial"/>
          <w:b/>
          <w:color w:val="2A2628"/>
          <w:sz w:val="29"/>
        </w:rPr>
        <w:t>4.1.3</w:t>
      </w:r>
    </w:p>
    <w:p>
      <w:pPr>
        <w:spacing w:before="50"/>
        <w:ind w:left="854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A2628"/>
          <w:w w:val="105"/>
          <w:sz w:val="22"/>
        </w:rPr>
        <w:t>USING</w:t>
      </w:r>
      <w:r>
        <w:rPr>
          <w:rFonts w:ascii="Arial"/>
          <w:b/>
          <w:color w:val="2A2628"/>
          <w:spacing w:val="-2"/>
          <w:w w:val="105"/>
          <w:sz w:val="22"/>
        </w:rPr>
        <w:t> </w:t>
      </w:r>
      <w:r>
        <w:rPr>
          <w:rFonts w:ascii="Arial"/>
          <w:b/>
          <w:color w:val="2A2628"/>
          <w:w w:val="105"/>
          <w:sz w:val="20"/>
        </w:rPr>
        <w:t>POLICY-BASED</w:t>
      </w:r>
      <w:r>
        <w:rPr>
          <w:rFonts w:ascii="Arial"/>
          <w:b/>
          <w:color w:val="2A2628"/>
          <w:spacing w:val="17"/>
          <w:w w:val="105"/>
          <w:sz w:val="20"/>
        </w:rPr>
        <w:t> </w:t>
      </w:r>
      <w:r>
        <w:rPr>
          <w:rFonts w:ascii="Arial"/>
          <w:b/>
          <w:color w:val="3B3A3B"/>
          <w:w w:val="105"/>
          <w:sz w:val="20"/>
        </w:rPr>
        <w:t>RULES</w:t>
      </w:r>
      <w:r>
        <w:rPr>
          <w:rFonts w:ascii="Arial"/>
          <w:b/>
          <w:color w:val="3B3A3B"/>
          <w:spacing w:val="7"/>
          <w:w w:val="105"/>
          <w:sz w:val="20"/>
        </w:rPr>
        <w:t> </w:t>
      </w:r>
      <w:r>
        <w:rPr>
          <w:rFonts w:ascii="Arial"/>
          <w:b/>
          <w:color w:val="3B3A3B"/>
          <w:w w:val="105"/>
          <w:sz w:val="22"/>
        </w:rPr>
        <w:t>IN</w:t>
      </w:r>
      <w:r>
        <w:rPr>
          <w:rFonts w:ascii="Arial"/>
          <w:b/>
          <w:color w:val="3B3A3B"/>
          <w:spacing w:val="26"/>
          <w:w w:val="105"/>
          <w:sz w:val="22"/>
        </w:rPr>
        <w:t> </w:t>
      </w:r>
      <w:r>
        <w:rPr>
          <w:rFonts w:ascii="Arial"/>
          <w:b/>
          <w:color w:val="2A2628"/>
          <w:w w:val="105"/>
          <w:sz w:val="20"/>
        </w:rPr>
        <w:t>YOUR </w:t>
      </w:r>
      <w:r>
        <w:rPr>
          <w:rFonts w:ascii="Arial"/>
          <w:b/>
          <w:color w:val="3B3A3B"/>
          <w:w w:val="105"/>
          <w:sz w:val="22"/>
        </w:rPr>
        <w:t>ARGUMENT</w:t>
      </w:r>
    </w:p>
    <w:p>
      <w:pPr>
        <w:pStyle w:val="BodyText"/>
        <w:spacing w:line="232" w:lineRule="auto" w:before="150"/>
        <w:ind w:left="511" w:right="181" w:firstLine="357"/>
        <w:jc w:val="both"/>
      </w:pPr>
      <w:r>
        <w:rPr>
          <w:color w:val="3B3A3B"/>
          <w:w w:val="115"/>
        </w:rPr>
        <w:t>Another method of creating an outline of your argument-or points</w:t>
      </w:r>
      <w:r>
        <w:rPr>
          <w:color w:val="3B3A3B"/>
          <w:spacing w:val="-64"/>
          <w:w w:val="115"/>
        </w:rPr>
        <w:t> </w:t>
      </w:r>
      <w:r>
        <w:rPr>
          <w:color w:val="3B3A3B"/>
          <w:w w:val="110"/>
        </w:rPr>
        <w:t>to be included in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your outline-is </w:t>
      </w:r>
      <w:r>
        <w:rPr>
          <w:color w:val="2A2628"/>
          <w:w w:val="110"/>
        </w:rPr>
        <w:t>to </w:t>
      </w:r>
      <w:r>
        <w:rPr>
          <w:color w:val="3B3A3B"/>
          <w:w w:val="110"/>
        </w:rPr>
        <w:t>identify relevant policy arguments.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05"/>
        </w:rPr>
        <w:t>Legal writing is based on rules, and usually rules provide the best structure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for legal analysis. Some writers, however, focus so much on the structure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10"/>
        </w:rPr>
        <w:t>that</w:t>
      </w:r>
      <w:r>
        <w:rPr>
          <w:color w:val="3B3A3B"/>
          <w:spacing w:val="-11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-7"/>
          <w:w w:val="110"/>
        </w:rPr>
        <w:t> </w:t>
      </w:r>
      <w:r>
        <w:rPr>
          <w:color w:val="3B3A3B"/>
          <w:w w:val="110"/>
        </w:rPr>
        <w:t>rules</w:t>
      </w:r>
      <w:r>
        <w:rPr>
          <w:color w:val="3B3A3B"/>
          <w:spacing w:val="-4"/>
          <w:w w:val="110"/>
        </w:rPr>
        <w:t> </w:t>
      </w:r>
      <w:r>
        <w:rPr>
          <w:color w:val="3B3A3B"/>
          <w:w w:val="110"/>
        </w:rPr>
        <w:t>provide</w:t>
      </w:r>
      <w:r>
        <w:rPr>
          <w:color w:val="3B3A3B"/>
          <w:spacing w:val="-1"/>
          <w:w w:val="110"/>
        </w:rPr>
        <w:t> </w:t>
      </w:r>
      <w:r>
        <w:rPr>
          <w:color w:val="3B3A3B"/>
          <w:w w:val="110"/>
        </w:rPr>
        <w:t>that they</w:t>
      </w:r>
      <w:r>
        <w:rPr>
          <w:color w:val="3B3A3B"/>
          <w:spacing w:val="-14"/>
          <w:w w:val="110"/>
        </w:rPr>
        <w:t> </w:t>
      </w:r>
      <w:r>
        <w:rPr>
          <w:color w:val="3B3A3B"/>
          <w:w w:val="110"/>
        </w:rPr>
        <w:t>miss</w:t>
      </w:r>
      <w:r>
        <w:rPr>
          <w:color w:val="3B3A3B"/>
          <w:spacing w:val="-2"/>
          <w:w w:val="110"/>
        </w:rPr>
        <w:t> </w:t>
      </w:r>
      <w:r>
        <w:rPr>
          <w:color w:val="3B3A3B"/>
          <w:w w:val="110"/>
        </w:rPr>
        <w:t>important</w:t>
      </w:r>
      <w:r>
        <w:rPr>
          <w:color w:val="3B3A3B"/>
          <w:spacing w:val="9"/>
          <w:w w:val="110"/>
        </w:rPr>
        <w:t> </w:t>
      </w:r>
      <w:r>
        <w:rPr>
          <w:color w:val="3B3A3B"/>
          <w:w w:val="110"/>
        </w:rPr>
        <w:t>policy</w:t>
      </w:r>
      <w:r>
        <w:rPr>
          <w:color w:val="3B3A3B"/>
          <w:spacing w:val="-14"/>
          <w:w w:val="110"/>
        </w:rPr>
        <w:t> </w:t>
      </w:r>
      <w:r>
        <w:rPr>
          <w:color w:val="3B3A3B"/>
          <w:w w:val="110"/>
        </w:rPr>
        <w:t>arguments.</w:t>
      </w:r>
    </w:p>
    <w:p>
      <w:pPr>
        <w:pStyle w:val="BodyText"/>
        <w:spacing w:line="230" w:lineRule="auto" w:before="10"/>
        <w:ind w:left="379" w:right="193" w:firstLine="468"/>
      </w:pPr>
      <w:r>
        <w:rPr>
          <w:color w:val="3B3A3B"/>
          <w:w w:val="110"/>
        </w:rPr>
        <w:t>Policy</w:t>
      </w:r>
      <w:r>
        <w:rPr>
          <w:color w:val="3B3A3B"/>
          <w:spacing w:val="2"/>
          <w:w w:val="110"/>
        </w:rPr>
        <w:t> </w:t>
      </w:r>
      <w:r>
        <w:rPr>
          <w:color w:val="3B3A3B"/>
          <w:w w:val="110"/>
        </w:rPr>
        <w:t>arguments</w:t>
      </w:r>
      <w:r>
        <w:rPr>
          <w:color w:val="3B3A3B"/>
          <w:spacing w:val="13"/>
          <w:w w:val="110"/>
        </w:rPr>
        <w:t> </w:t>
      </w:r>
      <w:r>
        <w:rPr>
          <w:color w:val="3B3A3B"/>
          <w:w w:val="110"/>
        </w:rPr>
        <w:t>are</w:t>
      </w:r>
      <w:r>
        <w:rPr>
          <w:color w:val="3B3A3B"/>
          <w:spacing w:val="19"/>
          <w:w w:val="110"/>
        </w:rPr>
        <w:t> </w:t>
      </w:r>
      <w:r>
        <w:rPr>
          <w:color w:val="3B3A3B"/>
          <w:w w:val="110"/>
        </w:rPr>
        <w:t>based</w:t>
      </w:r>
      <w:r>
        <w:rPr>
          <w:color w:val="3B3A3B"/>
          <w:spacing w:val="12"/>
          <w:w w:val="110"/>
        </w:rPr>
        <w:t> </w:t>
      </w:r>
      <w:r>
        <w:rPr>
          <w:color w:val="3B3A3B"/>
          <w:w w:val="110"/>
        </w:rPr>
        <w:t>on</w:t>
      </w:r>
      <w:r>
        <w:rPr>
          <w:color w:val="3B3A3B"/>
          <w:spacing w:val="27"/>
          <w:w w:val="110"/>
        </w:rPr>
        <w:t> </w:t>
      </w:r>
      <w:r>
        <w:rPr>
          <w:color w:val="3B3A3B"/>
          <w:w w:val="110"/>
        </w:rPr>
        <w:t>a</w:t>
      </w:r>
      <w:r>
        <w:rPr>
          <w:color w:val="3B3A3B"/>
          <w:spacing w:val="14"/>
          <w:w w:val="110"/>
        </w:rPr>
        <w:t> </w:t>
      </w:r>
      <w:r>
        <w:rPr>
          <w:color w:val="3B3A3B"/>
          <w:w w:val="110"/>
        </w:rPr>
        <w:t>special</w:t>
      </w:r>
      <w:r>
        <w:rPr>
          <w:color w:val="3B3A3B"/>
          <w:spacing w:val="11"/>
          <w:w w:val="110"/>
        </w:rPr>
        <w:t> </w:t>
      </w:r>
      <w:r>
        <w:rPr>
          <w:color w:val="3B3A3B"/>
          <w:w w:val="110"/>
        </w:rPr>
        <w:t>kind</w:t>
      </w:r>
      <w:r>
        <w:rPr>
          <w:color w:val="3B3A3B"/>
          <w:spacing w:val="9"/>
          <w:w w:val="110"/>
        </w:rPr>
        <w:t> </w:t>
      </w:r>
      <w:r>
        <w:rPr>
          <w:color w:val="3B3A3B"/>
          <w:w w:val="110"/>
        </w:rPr>
        <w:t>of</w:t>
      </w:r>
      <w:r>
        <w:rPr>
          <w:color w:val="3B3A3B"/>
          <w:spacing w:val="15"/>
          <w:w w:val="110"/>
        </w:rPr>
        <w:t> </w:t>
      </w:r>
      <w:r>
        <w:rPr>
          <w:color w:val="3B3A3B"/>
          <w:w w:val="110"/>
        </w:rPr>
        <w:t>rule</w:t>
      </w:r>
      <w:r>
        <w:rPr>
          <w:color w:val="3B3A3B"/>
          <w:spacing w:val="-7"/>
          <w:w w:val="110"/>
        </w:rPr>
        <w:t> </w:t>
      </w:r>
      <w:r>
        <w:rPr>
          <w:color w:val="3B3A3B"/>
          <w:w w:val="110"/>
        </w:rPr>
        <w:t>called</w:t>
      </w:r>
      <w:r>
        <w:rPr>
          <w:color w:val="3B3A3B"/>
          <w:spacing w:val="13"/>
          <w:w w:val="110"/>
        </w:rPr>
        <w:t> </w:t>
      </w:r>
      <w:r>
        <w:rPr>
          <w:color w:val="3B3A3B"/>
          <w:w w:val="110"/>
        </w:rPr>
        <w:t>a</w:t>
      </w:r>
      <w:r>
        <w:rPr>
          <w:color w:val="3B3A3B"/>
          <w:spacing w:val="30"/>
          <w:w w:val="110"/>
        </w:rPr>
        <w:t> </w:t>
      </w:r>
      <w:r>
        <w:rPr>
          <w:color w:val="3B3A3B"/>
          <w:w w:val="110"/>
        </w:rPr>
        <w:t>public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05"/>
        </w:rPr>
        <w:t>policy. In law, </w:t>
      </w:r>
      <w:r>
        <w:rPr>
          <w:i/>
          <w:color w:val="3B3A3B"/>
          <w:w w:val="105"/>
        </w:rPr>
        <w:t>public policy </w:t>
      </w:r>
      <w:r>
        <w:rPr>
          <w:color w:val="3B3A3B"/>
          <w:w w:val="105"/>
        </w:rPr>
        <w:t>is defined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roughly as a societal rule about how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people should behave or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how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institutions should function in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our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society.</w:t>
      </w:r>
      <w:r>
        <w:rPr>
          <w:rFonts w:ascii="Arial" w:hAnsi="Arial"/>
          <w:color w:val="3B3A3B"/>
          <w:w w:val="105"/>
          <w:position w:val="6"/>
          <w:sz w:val="12"/>
        </w:rPr>
        <w:t>12</w:t>
      </w:r>
      <w:r>
        <w:rPr>
          <w:rFonts w:ascii="Arial" w:hAnsi="Arial"/>
          <w:color w:val="3B3A3B"/>
          <w:spacing w:val="1"/>
          <w:w w:val="105"/>
          <w:position w:val="6"/>
          <w:sz w:val="12"/>
        </w:rPr>
        <w:t> </w:t>
      </w:r>
      <w:r>
        <w:rPr>
          <w:color w:val="3B3A3B"/>
          <w:w w:val="105"/>
        </w:rPr>
        <w:t>Even</w:t>
      </w:r>
      <w:r>
        <w:rPr>
          <w:color w:val="3B3A3B"/>
          <w:spacing w:val="8"/>
          <w:w w:val="105"/>
        </w:rPr>
        <w:t> </w:t>
      </w:r>
      <w:r>
        <w:rPr>
          <w:color w:val="3B3A3B"/>
          <w:w w:val="105"/>
        </w:rPr>
        <w:t>when</w:t>
      </w:r>
      <w:r>
        <w:rPr>
          <w:color w:val="3B3A3B"/>
          <w:spacing w:val="10"/>
          <w:w w:val="105"/>
        </w:rPr>
        <w:t> </w:t>
      </w:r>
      <w:r>
        <w:rPr>
          <w:color w:val="3B3A3B"/>
          <w:w w:val="105"/>
        </w:rPr>
        <w:t>policies</w:t>
      </w:r>
      <w:r>
        <w:rPr>
          <w:color w:val="3B3A3B"/>
          <w:spacing w:val="13"/>
          <w:w w:val="105"/>
        </w:rPr>
        <w:t> </w:t>
      </w:r>
      <w:r>
        <w:rPr>
          <w:color w:val="3B3A3B"/>
          <w:w w:val="105"/>
        </w:rPr>
        <w:t>remain</w:t>
      </w:r>
      <w:r>
        <w:rPr>
          <w:color w:val="3B3A3B"/>
          <w:spacing w:val="15"/>
          <w:w w:val="105"/>
        </w:rPr>
        <w:t> </w:t>
      </w:r>
      <w:r>
        <w:rPr>
          <w:color w:val="3B3A3B"/>
          <w:w w:val="105"/>
        </w:rPr>
        <w:t>the</w:t>
      </w:r>
      <w:r>
        <w:rPr>
          <w:color w:val="3B3A3B"/>
          <w:spacing w:val="32"/>
          <w:w w:val="105"/>
        </w:rPr>
        <w:t> </w:t>
      </w:r>
      <w:r>
        <w:rPr>
          <w:color w:val="3B3A3B"/>
          <w:w w:val="105"/>
        </w:rPr>
        <w:t>same,</w:t>
      </w:r>
      <w:r>
        <w:rPr>
          <w:color w:val="3B3A3B"/>
          <w:spacing w:val="-2"/>
          <w:w w:val="105"/>
        </w:rPr>
        <w:t> </w:t>
      </w:r>
      <w:r>
        <w:rPr>
          <w:color w:val="3B3A3B"/>
          <w:w w:val="105"/>
        </w:rPr>
        <w:t>laws</w:t>
      </w:r>
      <w:r>
        <w:rPr>
          <w:color w:val="3B3A3B"/>
          <w:spacing w:val="-4"/>
          <w:w w:val="105"/>
        </w:rPr>
        <w:t> </w:t>
      </w:r>
      <w:r>
        <w:rPr>
          <w:color w:val="3B3A3B"/>
          <w:w w:val="105"/>
        </w:rPr>
        <w:t>may</w:t>
      </w:r>
      <w:r>
        <w:rPr>
          <w:color w:val="3B3A3B"/>
          <w:spacing w:val="-1"/>
          <w:w w:val="105"/>
        </w:rPr>
        <w:t> </w:t>
      </w:r>
      <w:r>
        <w:rPr>
          <w:color w:val="3B3A3B"/>
          <w:w w:val="105"/>
        </w:rPr>
        <w:t>change</w:t>
      </w:r>
      <w:r>
        <w:rPr>
          <w:color w:val="3B3A3B"/>
          <w:spacing w:val="-6"/>
          <w:w w:val="105"/>
        </w:rPr>
        <w:t> </w:t>
      </w:r>
      <w:r>
        <w:rPr>
          <w:color w:val="3B3A3B"/>
          <w:w w:val="105"/>
        </w:rPr>
        <w:t>as</w:t>
      </w:r>
      <w:r>
        <w:rPr>
          <w:color w:val="3B3A3B"/>
          <w:spacing w:val="-1"/>
          <w:w w:val="105"/>
        </w:rPr>
        <w:t> </w:t>
      </w:r>
      <w:r>
        <w:rPr>
          <w:color w:val="2A2628"/>
          <w:w w:val="105"/>
        </w:rPr>
        <w:t>human</w:t>
      </w:r>
      <w:r>
        <w:rPr>
          <w:color w:val="2A2628"/>
          <w:spacing w:val="6"/>
          <w:w w:val="105"/>
        </w:rPr>
        <w:t> </w:t>
      </w:r>
      <w:r>
        <w:rPr>
          <w:color w:val="3B3A3B"/>
          <w:w w:val="105"/>
        </w:rPr>
        <w:t>attitudes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change or as scientific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knowledge</w:t>
      </w:r>
      <w:r>
        <w:rPr>
          <w:color w:val="3B3A3B"/>
          <w:spacing w:val="1"/>
          <w:w w:val="105"/>
        </w:rPr>
        <w:t> </w:t>
      </w:r>
      <w:r>
        <w:rPr>
          <w:color w:val="504F52"/>
          <w:w w:val="105"/>
        </w:rPr>
        <w:t>changes. </w:t>
      </w:r>
      <w:r>
        <w:rPr>
          <w:color w:val="3B3A3B"/>
          <w:w w:val="105"/>
        </w:rPr>
        <w:t>For example,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over the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past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30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years, laws about smoking in public places have changed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based on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(I)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the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10"/>
        </w:rPr>
        <w:t>public policy or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societal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belief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that one person  should  not  cause  harm</w:t>
      </w:r>
      <w:r>
        <w:rPr>
          <w:color w:val="3B3A3B"/>
          <w:spacing w:val="-61"/>
          <w:w w:val="110"/>
        </w:rPr>
        <w:t> </w:t>
      </w:r>
      <w:r>
        <w:rPr>
          <w:i/>
          <w:color w:val="2A2628"/>
          <w:w w:val="110"/>
          <w:sz w:val="24"/>
        </w:rPr>
        <w:t>to</w:t>
      </w:r>
      <w:r>
        <w:rPr>
          <w:i/>
          <w:color w:val="2A2628"/>
          <w:spacing w:val="-11"/>
          <w:w w:val="110"/>
          <w:sz w:val="24"/>
        </w:rPr>
        <w:t> </w:t>
      </w:r>
      <w:r>
        <w:rPr>
          <w:color w:val="3B3A3B"/>
          <w:w w:val="110"/>
        </w:rPr>
        <w:t>another</w:t>
      </w:r>
      <w:r>
        <w:rPr>
          <w:color w:val="3B3A3B"/>
          <w:spacing w:val="12"/>
          <w:w w:val="110"/>
        </w:rPr>
        <w:t> </w:t>
      </w:r>
      <w:r>
        <w:rPr>
          <w:color w:val="3B3A3B"/>
          <w:w w:val="110"/>
        </w:rPr>
        <w:t>and</w:t>
      </w:r>
      <w:r>
        <w:rPr>
          <w:color w:val="3B3A3B"/>
          <w:spacing w:val="30"/>
          <w:w w:val="110"/>
        </w:rPr>
        <w:t> </w:t>
      </w:r>
      <w:r>
        <w:rPr>
          <w:color w:val="3B3A3B"/>
          <w:w w:val="110"/>
        </w:rPr>
        <w:t>(2)</w:t>
      </w:r>
      <w:r>
        <w:rPr>
          <w:color w:val="3B3A3B"/>
          <w:spacing w:val="15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44"/>
          <w:w w:val="110"/>
        </w:rPr>
        <w:t> </w:t>
      </w:r>
      <w:r>
        <w:rPr>
          <w:color w:val="3B3A3B"/>
          <w:w w:val="110"/>
        </w:rPr>
        <w:t>scientific</w:t>
      </w:r>
      <w:r>
        <w:rPr>
          <w:color w:val="3B3A3B"/>
          <w:spacing w:val="21"/>
          <w:w w:val="110"/>
        </w:rPr>
        <w:t> </w:t>
      </w:r>
      <w:r>
        <w:rPr>
          <w:color w:val="3B3A3B"/>
          <w:w w:val="110"/>
        </w:rPr>
        <w:t>knowledge</w:t>
      </w:r>
      <w:r>
        <w:rPr>
          <w:color w:val="3B3A3B"/>
          <w:spacing w:val="13"/>
          <w:w w:val="110"/>
        </w:rPr>
        <w:t> </w:t>
      </w:r>
      <w:r>
        <w:rPr>
          <w:color w:val="3B3A3B"/>
          <w:w w:val="110"/>
        </w:rPr>
        <w:t>about</w:t>
      </w:r>
      <w:r>
        <w:rPr>
          <w:color w:val="3B3A3B"/>
          <w:spacing w:val="21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20"/>
          <w:w w:val="110"/>
        </w:rPr>
        <w:t> </w:t>
      </w:r>
      <w:r>
        <w:rPr>
          <w:color w:val="3B3A3B"/>
          <w:w w:val="110"/>
        </w:rPr>
        <w:t>harms</w:t>
      </w:r>
      <w:r>
        <w:rPr>
          <w:color w:val="3B3A3B"/>
          <w:spacing w:val="-5"/>
          <w:w w:val="110"/>
        </w:rPr>
        <w:t> </w:t>
      </w:r>
      <w:r>
        <w:rPr>
          <w:color w:val="3B3A3B"/>
          <w:w w:val="110"/>
        </w:rPr>
        <w:t>of</w:t>
      </w:r>
      <w:r>
        <w:rPr>
          <w:color w:val="3B3A3B"/>
          <w:spacing w:val="22"/>
          <w:w w:val="110"/>
        </w:rPr>
        <w:t> </w:t>
      </w:r>
      <w:r>
        <w:rPr>
          <w:color w:val="3B3A3B"/>
          <w:w w:val="110"/>
        </w:rPr>
        <w:t>second­</w:t>
      </w:r>
      <w:r>
        <w:rPr>
          <w:color w:val="3B3A3B"/>
          <w:spacing w:val="1"/>
          <w:w w:val="110"/>
        </w:rPr>
        <w:t> </w:t>
      </w:r>
      <w:r>
        <w:rPr>
          <w:color w:val="3B3A3B"/>
          <w:spacing w:val="-1"/>
          <w:w w:val="110"/>
        </w:rPr>
        <w:t>hand smoke. In many legal arguments,</w:t>
      </w:r>
      <w:r>
        <w:rPr>
          <w:color w:val="3B3A3B"/>
          <w:w w:val="110"/>
        </w:rPr>
        <w:t> </w:t>
      </w:r>
      <w:r>
        <w:rPr>
          <w:color w:val="3B3A3B"/>
          <w:spacing w:val="-1"/>
          <w:w w:val="110"/>
        </w:rPr>
        <w:t>the policy </w:t>
      </w:r>
      <w:r>
        <w:rPr>
          <w:color w:val="3B3A3B"/>
          <w:w w:val="110"/>
        </w:rPr>
        <w:t>arguments are implicit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in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the more formal legal rul.::s that apply to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the issues in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case, and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05"/>
        </w:rPr>
        <w:t>they need not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be addressed separately. Sometimes, however, the  court will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10"/>
        </w:rPr>
        <w:t>be</w:t>
      </w:r>
      <w:r>
        <w:rPr>
          <w:color w:val="3B3A3B"/>
          <w:spacing w:val="18"/>
          <w:w w:val="110"/>
        </w:rPr>
        <w:t> </w:t>
      </w:r>
      <w:r>
        <w:rPr>
          <w:color w:val="3B3A3B"/>
          <w:w w:val="110"/>
        </w:rPr>
        <w:t>more</w:t>
      </w:r>
      <w:r>
        <w:rPr>
          <w:color w:val="3B3A3B"/>
          <w:spacing w:val="3"/>
          <w:w w:val="110"/>
        </w:rPr>
        <w:t> </w:t>
      </w:r>
      <w:r>
        <w:rPr>
          <w:color w:val="3B3A3B"/>
          <w:w w:val="110"/>
        </w:rPr>
        <w:t>Jikely</w:t>
      </w:r>
      <w:r>
        <w:rPr>
          <w:color w:val="3B3A3B"/>
          <w:spacing w:val="18"/>
          <w:w w:val="110"/>
        </w:rPr>
        <w:t> </w:t>
      </w:r>
      <w:r>
        <w:rPr>
          <w:color w:val="3B3A3B"/>
          <w:w w:val="110"/>
        </w:rPr>
        <w:t>to</w:t>
      </w:r>
      <w:r>
        <w:rPr>
          <w:color w:val="3B3A3B"/>
          <w:spacing w:val="37"/>
          <w:w w:val="110"/>
        </w:rPr>
        <w:t> </w:t>
      </w:r>
      <w:r>
        <w:rPr>
          <w:color w:val="3B3A3B"/>
          <w:w w:val="110"/>
        </w:rPr>
        <w:t>agree</w:t>
      </w:r>
      <w:r>
        <w:rPr>
          <w:color w:val="3B3A3B"/>
          <w:spacing w:val="16"/>
          <w:w w:val="110"/>
        </w:rPr>
        <w:t> </w:t>
      </w:r>
      <w:r>
        <w:rPr>
          <w:color w:val="3B3A3B"/>
          <w:w w:val="110"/>
        </w:rPr>
        <w:t>with</w:t>
      </w:r>
      <w:r>
        <w:rPr>
          <w:color w:val="3B3A3B"/>
          <w:spacing w:val="29"/>
          <w:w w:val="110"/>
        </w:rPr>
        <w:t> </w:t>
      </w:r>
      <w:r>
        <w:rPr>
          <w:color w:val="3B3A3B"/>
          <w:w w:val="110"/>
        </w:rPr>
        <w:t>your</w:t>
      </w:r>
      <w:r>
        <w:rPr>
          <w:color w:val="3B3A3B"/>
          <w:spacing w:val="23"/>
          <w:w w:val="110"/>
        </w:rPr>
        <w:t> </w:t>
      </w:r>
      <w:r>
        <w:rPr>
          <w:color w:val="3B3A3B"/>
          <w:w w:val="110"/>
        </w:rPr>
        <w:t>ultimate</w:t>
      </w:r>
      <w:r>
        <w:rPr>
          <w:color w:val="3B3A3B"/>
          <w:spacing w:val="13"/>
          <w:w w:val="110"/>
        </w:rPr>
        <w:t> </w:t>
      </w:r>
      <w:r>
        <w:rPr>
          <w:color w:val="3B3A3B"/>
          <w:w w:val="110"/>
        </w:rPr>
        <w:t>conclusion</w:t>
      </w:r>
      <w:r>
        <w:rPr>
          <w:color w:val="3B3A3B"/>
          <w:spacing w:val="34"/>
          <w:w w:val="110"/>
        </w:rPr>
        <w:t> </w:t>
      </w:r>
      <w:r>
        <w:rPr>
          <w:color w:val="3B3A3B"/>
          <w:w w:val="110"/>
        </w:rPr>
        <w:t>if</w:t>
      </w:r>
      <w:r>
        <w:rPr>
          <w:color w:val="3B3A3B"/>
          <w:spacing w:val="15"/>
          <w:w w:val="110"/>
        </w:rPr>
        <w:t> </w:t>
      </w:r>
      <w:r>
        <w:rPr>
          <w:color w:val="3B3A3B"/>
          <w:w w:val="110"/>
        </w:rPr>
        <w:t>it</w:t>
      </w:r>
      <w:r>
        <w:rPr>
          <w:color w:val="3B3A3B"/>
          <w:spacing w:val="34"/>
          <w:w w:val="110"/>
        </w:rPr>
        <w:t> </w:t>
      </w:r>
      <w:r>
        <w:rPr>
          <w:color w:val="3B3A3B"/>
          <w:w w:val="110"/>
        </w:rPr>
        <w:t>can</w:t>
      </w:r>
      <w:r>
        <w:rPr>
          <w:color w:val="3B3A3B"/>
          <w:spacing w:val="59"/>
          <w:w w:val="110"/>
        </w:rPr>
        <w:t> </w:t>
      </w:r>
      <w:r>
        <w:rPr>
          <w:color w:val="3B3A3B"/>
          <w:w w:val="110"/>
        </w:rPr>
        <w:t>also</w:t>
      </w:r>
      <w:r>
        <w:rPr>
          <w:color w:val="3B3A3B"/>
          <w:spacing w:val="23"/>
          <w:w w:val="110"/>
        </w:rPr>
        <w:t> </w:t>
      </w:r>
      <w:r>
        <w:rPr>
          <w:color w:val="3B3A3B"/>
          <w:w w:val="110"/>
        </w:rPr>
        <w:t>be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4"/>
        </w:rPr>
      </w:pPr>
    </w:p>
    <w:p>
      <w:pPr>
        <w:spacing w:line="177" w:lineRule="auto" w:before="1"/>
        <w:ind w:left="319" w:right="0" w:firstLine="393"/>
        <w:jc w:val="left"/>
        <w:rPr>
          <w:sz w:val="16"/>
        </w:rPr>
      </w:pPr>
      <w:r>
        <w:rPr>
          <w:color w:val="3B3A3B"/>
          <w:w w:val="105"/>
          <w:sz w:val="11"/>
        </w:rPr>
        <w:t>11</w:t>
      </w:r>
      <w:r>
        <w:rPr>
          <w:i/>
          <w:color w:val="3B3A3B"/>
          <w:w w:val="105"/>
          <w:sz w:val="17"/>
        </w:rPr>
        <w:t>See, </w:t>
      </w:r>
      <w:r>
        <w:rPr>
          <w:i/>
          <w:color w:val="504F52"/>
          <w:w w:val="105"/>
          <w:sz w:val="17"/>
        </w:rPr>
        <w:t>e.g., </w:t>
      </w:r>
      <w:r>
        <w:rPr>
          <w:color w:val="3B3A3B"/>
          <w:w w:val="105"/>
          <w:sz w:val="17"/>
        </w:rPr>
        <w:t>Eli7.abeth</w:t>
      </w:r>
      <w:r>
        <w:rPr>
          <w:color w:val="3B3A3B"/>
          <w:spacing w:val="1"/>
          <w:w w:val="105"/>
          <w:sz w:val="17"/>
        </w:rPr>
        <w:t> </w:t>
      </w:r>
      <w:r>
        <w:rPr>
          <w:color w:val="3B3A3B"/>
          <w:w w:val="105"/>
          <w:sz w:val="17"/>
        </w:rPr>
        <w:t>Fajans </w:t>
      </w:r>
      <w:r>
        <w:rPr>
          <w:color w:val="3B3A3B"/>
          <w:w w:val="105"/>
          <w:sz w:val="16"/>
        </w:rPr>
        <w:t>&amp;</w:t>
      </w:r>
      <w:r>
        <w:rPr>
          <w:color w:val="3B3A3B"/>
          <w:spacing w:val="1"/>
          <w:w w:val="105"/>
          <w:sz w:val="16"/>
        </w:rPr>
        <w:t> </w:t>
      </w:r>
      <w:r>
        <w:rPr>
          <w:color w:val="3B3A3B"/>
          <w:w w:val="105"/>
          <w:sz w:val="17"/>
        </w:rPr>
        <w:t>Mary</w:t>
      </w:r>
      <w:r>
        <w:rPr>
          <w:color w:val="3B3A3B"/>
          <w:spacing w:val="1"/>
          <w:w w:val="105"/>
          <w:sz w:val="17"/>
        </w:rPr>
        <w:t> </w:t>
      </w:r>
      <w:r>
        <w:rPr>
          <w:color w:val="3B3A3B"/>
          <w:w w:val="105"/>
          <w:sz w:val="17"/>
        </w:rPr>
        <w:t>R.</w:t>
      </w:r>
      <w:r>
        <w:rPr>
          <w:color w:val="3B3A3B"/>
          <w:spacing w:val="1"/>
          <w:w w:val="105"/>
          <w:sz w:val="17"/>
        </w:rPr>
        <w:t> </w:t>
      </w:r>
      <w:r>
        <w:rPr>
          <w:color w:val="3B3A3B"/>
          <w:w w:val="105"/>
          <w:sz w:val="17"/>
        </w:rPr>
        <w:t>Falk, </w:t>
      </w:r>
      <w:r>
        <w:rPr>
          <w:i/>
          <w:color w:val="3B3A3B"/>
          <w:w w:val="105"/>
          <w:sz w:val="17"/>
        </w:rPr>
        <w:t>Commmt.s</w:t>
      </w:r>
      <w:r>
        <w:rPr>
          <w:i/>
          <w:color w:val="3B3A3B"/>
          <w:spacing w:val="1"/>
          <w:w w:val="105"/>
          <w:sz w:val="17"/>
        </w:rPr>
        <w:t> </w:t>
      </w:r>
      <w:r>
        <w:rPr>
          <w:i/>
          <w:color w:val="3B3A3B"/>
          <w:w w:val="105"/>
          <w:sz w:val="17"/>
        </w:rPr>
        <w:t>Worth Making: Supervising Scholarly</w:t>
      </w:r>
      <w:r>
        <w:rPr>
          <w:i/>
          <w:color w:val="3B3A3B"/>
          <w:spacing w:val="-42"/>
          <w:w w:val="105"/>
          <w:sz w:val="17"/>
        </w:rPr>
        <w:t> </w:t>
      </w:r>
      <w:r>
        <w:rPr>
          <w:i/>
          <w:color w:val="3B3A3B"/>
          <w:w w:val="105"/>
          <w:sz w:val="17"/>
        </w:rPr>
        <w:t>Writing</w:t>
      </w:r>
      <w:r>
        <w:rPr>
          <w:i/>
          <w:color w:val="3B3A3B"/>
          <w:spacing w:val="-14"/>
          <w:w w:val="105"/>
          <w:sz w:val="17"/>
        </w:rPr>
        <w:t> </w:t>
      </w:r>
      <w:r>
        <w:rPr>
          <w:i/>
          <w:color w:val="3B3A3B"/>
          <w:w w:val="105"/>
          <w:sz w:val="17"/>
        </w:rPr>
        <w:t>in</w:t>
      </w:r>
      <w:r>
        <w:rPr>
          <w:i/>
          <w:color w:val="3B3A3B"/>
          <w:spacing w:val="-4"/>
          <w:w w:val="105"/>
          <w:sz w:val="17"/>
        </w:rPr>
        <w:t> </w:t>
      </w:r>
      <w:r>
        <w:rPr>
          <w:rFonts w:ascii="Arial"/>
          <w:i/>
          <w:color w:val="3B3A3B"/>
          <w:w w:val="105"/>
          <w:sz w:val="17"/>
        </w:rPr>
        <w:t>Law</w:t>
      </w:r>
      <w:r>
        <w:rPr>
          <w:rFonts w:ascii="Arial"/>
          <w:i/>
          <w:color w:val="3B3A3B"/>
          <w:spacing w:val="-16"/>
          <w:w w:val="105"/>
          <w:sz w:val="17"/>
        </w:rPr>
        <w:t> </w:t>
      </w:r>
      <w:r>
        <w:rPr>
          <w:i/>
          <w:color w:val="3B3A3B"/>
          <w:w w:val="105"/>
          <w:sz w:val="17"/>
        </w:rPr>
        <w:t>School,</w:t>
      </w:r>
      <w:r>
        <w:rPr>
          <w:i/>
          <w:color w:val="3B3A3B"/>
          <w:spacing w:val="-9"/>
          <w:w w:val="105"/>
          <w:sz w:val="17"/>
        </w:rPr>
        <w:t> </w:t>
      </w:r>
      <w:r>
        <w:rPr>
          <w:color w:val="3B3A3B"/>
          <w:w w:val="105"/>
          <w:sz w:val="16"/>
        </w:rPr>
        <w:t>46</w:t>
      </w:r>
      <w:r>
        <w:rPr>
          <w:color w:val="3B3A3B"/>
          <w:spacing w:val="10"/>
          <w:w w:val="105"/>
          <w:sz w:val="16"/>
        </w:rPr>
        <w:t> </w:t>
      </w:r>
      <w:r>
        <w:rPr>
          <w:color w:val="3B3A3B"/>
          <w:w w:val="105"/>
          <w:sz w:val="21"/>
        </w:rPr>
        <w:t>J.</w:t>
      </w:r>
      <w:r>
        <w:rPr>
          <w:color w:val="3B3A3B"/>
          <w:spacing w:val="-25"/>
          <w:w w:val="105"/>
          <w:sz w:val="21"/>
        </w:rPr>
        <w:t> </w:t>
      </w:r>
      <w:r>
        <w:rPr>
          <w:color w:val="3B3A3B"/>
          <w:w w:val="105"/>
          <w:sz w:val="17"/>
        </w:rPr>
        <w:t>Legal</w:t>
      </w:r>
      <w:r>
        <w:rPr>
          <w:color w:val="3B3A3B"/>
          <w:spacing w:val="6"/>
          <w:w w:val="105"/>
          <w:sz w:val="17"/>
        </w:rPr>
        <w:t> </w:t>
      </w:r>
      <w:r>
        <w:rPr>
          <w:rFonts w:ascii="Arial"/>
          <w:color w:val="3B3A3B"/>
          <w:w w:val="105"/>
          <w:sz w:val="16"/>
        </w:rPr>
        <w:t>f.duc.</w:t>
      </w:r>
      <w:r>
        <w:rPr>
          <w:rFonts w:ascii="Arial"/>
          <w:color w:val="3B3A3B"/>
          <w:spacing w:val="-12"/>
          <w:w w:val="105"/>
          <w:sz w:val="16"/>
        </w:rPr>
        <w:t> </w:t>
      </w:r>
      <w:r>
        <w:rPr>
          <w:color w:val="3B3A3B"/>
          <w:w w:val="105"/>
          <w:sz w:val="16"/>
        </w:rPr>
        <w:t>342</w:t>
      </w:r>
      <w:r>
        <w:rPr>
          <w:color w:val="3B3A3B"/>
          <w:spacing w:val="26"/>
          <w:w w:val="105"/>
          <w:sz w:val="16"/>
        </w:rPr>
        <w:t> </w:t>
      </w:r>
      <w:r>
        <w:rPr>
          <w:color w:val="3B3A3B"/>
          <w:w w:val="105"/>
          <w:sz w:val="16"/>
        </w:rPr>
        <w:t>(1996).</w:t>
      </w:r>
    </w:p>
    <w:p>
      <w:pPr>
        <w:spacing w:line="185" w:lineRule="exact" w:before="20"/>
        <w:ind w:left="696" w:right="0" w:firstLine="0"/>
        <w:jc w:val="left"/>
        <w:rPr>
          <w:rFonts w:ascii="Arial"/>
          <w:i/>
          <w:sz w:val="16"/>
        </w:rPr>
      </w:pPr>
      <w:r>
        <w:rPr>
          <w:color w:val="3B3A3B"/>
          <w:w w:val="105"/>
          <w:sz w:val="17"/>
        </w:rPr>
        <w:t>u</w:t>
      </w:r>
      <w:r>
        <w:rPr>
          <w:i/>
          <w:color w:val="3B3A3B"/>
          <w:w w:val="105"/>
          <w:sz w:val="17"/>
        </w:rPr>
        <w:t>See</w:t>
      </w:r>
      <w:r>
        <w:rPr>
          <w:i/>
          <w:color w:val="3B3A3B"/>
          <w:spacing w:val="-1"/>
          <w:w w:val="105"/>
          <w:sz w:val="17"/>
        </w:rPr>
        <w:t> </w:t>
      </w:r>
      <w:r>
        <w:rPr>
          <w:i/>
          <w:color w:val="3B3A3B"/>
          <w:w w:val="105"/>
          <w:sz w:val="17"/>
        </w:rPr>
        <w:t>generally</w:t>
      </w:r>
      <w:r>
        <w:rPr>
          <w:i/>
          <w:color w:val="3B3A3B"/>
          <w:spacing w:val="14"/>
          <w:w w:val="105"/>
          <w:sz w:val="17"/>
        </w:rPr>
        <w:t> </w:t>
      </w:r>
      <w:r>
        <w:rPr>
          <w:color w:val="3B3A3B"/>
          <w:w w:val="105"/>
          <w:sz w:val="17"/>
        </w:rPr>
        <w:t>Ellle</w:t>
      </w:r>
      <w:r>
        <w:rPr>
          <w:color w:val="3B3A3B"/>
          <w:spacing w:val="7"/>
          <w:w w:val="105"/>
          <w:sz w:val="17"/>
        </w:rPr>
        <w:t> </w:t>
      </w:r>
      <w:r>
        <w:rPr>
          <w:color w:val="504F52"/>
          <w:w w:val="105"/>
          <w:sz w:val="17"/>
        </w:rPr>
        <w:t>Margolis,</w:t>
      </w:r>
      <w:r>
        <w:rPr>
          <w:color w:val="504F52"/>
          <w:spacing w:val="11"/>
          <w:w w:val="105"/>
          <w:sz w:val="17"/>
        </w:rPr>
        <w:t> </w:t>
      </w:r>
      <w:r>
        <w:rPr>
          <w:i/>
          <w:color w:val="3B3A3B"/>
          <w:w w:val="105"/>
          <w:sz w:val="17"/>
        </w:rPr>
        <w:t>Closing</w:t>
      </w:r>
      <w:r>
        <w:rPr>
          <w:i/>
          <w:color w:val="3B3A3B"/>
          <w:spacing w:val="16"/>
          <w:w w:val="105"/>
          <w:sz w:val="17"/>
        </w:rPr>
        <w:t> </w:t>
      </w:r>
      <w:r>
        <w:rPr>
          <w:i/>
          <w:color w:val="3B3A3B"/>
          <w:w w:val="105"/>
          <w:sz w:val="17"/>
        </w:rPr>
        <w:t>th</w:t>
      </w:r>
      <w:r>
        <w:rPr>
          <w:i/>
          <w:color w:val="676769"/>
          <w:w w:val="105"/>
          <w:sz w:val="17"/>
        </w:rPr>
        <w:t>e</w:t>
      </w:r>
      <w:r>
        <w:rPr>
          <w:i/>
          <w:color w:val="676769"/>
          <w:spacing w:val="15"/>
          <w:w w:val="105"/>
          <w:sz w:val="17"/>
        </w:rPr>
        <w:t> </w:t>
      </w:r>
      <w:r>
        <w:rPr>
          <w:i/>
          <w:color w:val="3B3A3B"/>
          <w:w w:val="105"/>
          <w:sz w:val="17"/>
        </w:rPr>
        <w:t>Floodgates:</w:t>
      </w:r>
      <w:r>
        <w:rPr>
          <w:i/>
          <w:color w:val="3B3A3B"/>
          <w:spacing w:val="13"/>
          <w:w w:val="105"/>
          <w:sz w:val="17"/>
        </w:rPr>
        <w:t> </w:t>
      </w:r>
      <w:r>
        <w:rPr>
          <w:i/>
          <w:color w:val="3B3A3B"/>
          <w:w w:val="105"/>
          <w:sz w:val="17"/>
        </w:rPr>
        <w:t>Making</w:t>
      </w:r>
      <w:r>
        <w:rPr>
          <w:i/>
          <w:color w:val="3B3A3B"/>
          <w:spacing w:val="16"/>
          <w:w w:val="105"/>
          <w:sz w:val="17"/>
        </w:rPr>
        <w:t> </w:t>
      </w:r>
      <w:r>
        <w:rPr>
          <w:i/>
          <w:color w:val="3B3A3B"/>
          <w:w w:val="105"/>
          <w:sz w:val="17"/>
        </w:rPr>
        <w:t>Persuasive</w:t>
      </w:r>
      <w:r>
        <w:rPr>
          <w:i/>
          <w:color w:val="3B3A3B"/>
          <w:spacing w:val="14"/>
          <w:w w:val="105"/>
          <w:sz w:val="17"/>
        </w:rPr>
        <w:t> </w:t>
      </w:r>
      <w:r>
        <w:rPr>
          <w:i/>
          <w:color w:val="3B3A3B"/>
          <w:w w:val="105"/>
          <w:sz w:val="17"/>
        </w:rPr>
        <w:t>Policy</w:t>
      </w:r>
      <w:r>
        <w:rPr>
          <w:i/>
          <w:color w:val="3B3A3B"/>
          <w:spacing w:val="15"/>
          <w:w w:val="105"/>
          <w:sz w:val="17"/>
        </w:rPr>
        <w:t> </w:t>
      </w:r>
      <w:r>
        <w:rPr>
          <w:i/>
          <w:color w:val="3B3A3B"/>
          <w:w w:val="105"/>
          <w:sz w:val="17"/>
        </w:rPr>
        <w:t>Arguments</w:t>
      </w:r>
      <w:r>
        <w:rPr>
          <w:i/>
          <w:color w:val="3B3A3B"/>
          <w:spacing w:val="19"/>
          <w:w w:val="105"/>
          <w:sz w:val="17"/>
        </w:rPr>
        <w:t> </w:t>
      </w:r>
      <w:r>
        <w:rPr>
          <w:rFonts w:ascii="Arial"/>
          <w:i/>
          <w:color w:val="3B3A3B"/>
          <w:w w:val="105"/>
          <w:sz w:val="16"/>
        </w:rPr>
        <w:t>In</w:t>
      </w:r>
    </w:p>
    <w:p>
      <w:pPr>
        <w:spacing w:line="196" w:lineRule="exact" w:before="0"/>
        <w:ind w:left="290" w:right="0" w:firstLine="0"/>
        <w:jc w:val="left"/>
        <w:rPr>
          <w:sz w:val="17"/>
        </w:rPr>
      </w:pPr>
      <w:r>
        <w:rPr>
          <w:i/>
          <w:color w:val="3B3A3B"/>
          <w:w w:val="105"/>
          <w:sz w:val="17"/>
        </w:rPr>
        <w:t>Appellate</w:t>
      </w:r>
      <w:r>
        <w:rPr>
          <w:i/>
          <w:color w:val="3B3A3B"/>
          <w:spacing w:val="4"/>
          <w:w w:val="105"/>
          <w:sz w:val="17"/>
        </w:rPr>
        <w:t> </w:t>
      </w:r>
      <w:r>
        <w:rPr>
          <w:i/>
          <w:color w:val="3B3A3B"/>
          <w:w w:val="105"/>
          <w:sz w:val="17"/>
        </w:rPr>
        <w:t>Briefs,</w:t>
      </w:r>
      <w:r>
        <w:rPr>
          <w:i/>
          <w:color w:val="3B3A3B"/>
          <w:spacing w:val="-14"/>
          <w:w w:val="105"/>
          <w:sz w:val="17"/>
        </w:rPr>
        <w:t> </w:t>
      </w:r>
      <w:r>
        <w:rPr>
          <w:color w:val="3B3A3B"/>
          <w:w w:val="105"/>
          <w:sz w:val="16"/>
        </w:rPr>
        <w:t>62</w:t>
      </w:r>
      <w:r>
        <w:rPr>
          <w:color w:val="3B3A3B"/>
          <w:spacing w:val="11"/>
          <w:w w:val="105"/>
          <w:sz w:val="16"/>
        </w:rPr>
        <w:t> </w:t>
      </w:r>
      <w:r>
        <w:rPr>
          <w:color w:val="3B3A3B"/>
          <w:w w:val="105"/>
          <w:sz w:val="17"/>
        </w:rPr>
        <w:t>Mont.</w:t>
      </w:r>
      <w:r>
        <w:rPr>
          <w:color w:val="3B3A3B"/>
          <w:spacing w:val="-5"/>
          <w:w w:val="105"/>
          <w:sz w:val="17"/>
        </w:rPr>
        <w:t> </w:t>
      </w:r>
      <w:r>
        <w:rPr>
          <w:color w:val="3B3A3B"/>
          <w:w w:val="105"/>
          <w:sz w:val="18"/>
        </w:rPr>
        <w:t>L.</w:t>
      </w:r>
      <w:r>
        <w:rPr>
          <w:color w:val="3B3A3B"/>
          <w:spacing w:val="-11"/>
          <w:w w:val="105"/>
          <w:sz w:val="18"/>
        </w:rPr>
        <w:t> </w:t>
      </w:r>
      <w:r>
        <w:rPr>
          <w:color w:val="3B3A3B"/>
          <w:w w:val="105"/>
          <w:sz w:val="17"/>
        </w:rPr>
        <w:t>Rev.</w:t>
      </w:r>
      <w:r>
        <w:rPr>
          <w:color w:val="3B3A3B"/>
          <w:spacing w:val="-18"/>
          <w:w w:val="105"/>
          <w:sz w:val="17"/>
        </w:rPr>
        <w:t> </w:t>
      </w:r>
      <w:r>
        <w:rPr>
          <w:color w:val="3B3A3B"/>
          <w:w w:val="105"/>
          <w:sz w:val="16"/>
        </w:rPr>
        <w:t>59, </w:t>
      </w:r>
      <w:r>
        <w:rPr>
          <w:color w:val="3B3A3B"/>
          <w:spacing w:val="14"/>
          <w:w w:val="105"/>
          <w:sz w:val="16"/>
        </w:rPr>
        <w:t> </w:t>
      </w:r>
      <w:r>
        <w:rPr>
          <w:color w:val="3B3A3B"/>
          <w:w w:val="105"/>
          <w:sz w:val="16"/>
        </w:rPr>
        <w:t>70</w:t>
      </w:r>
      <w:r>
        <w:rPr>
          <w:color w:val="3B3A3B"/>
          <w:spacing w:val="33"/>
          <w:w w:val="105"/>
          <w:sz w:val="16"/>
        </w:rPr>
        <w:t> </w:t>
      </w:r>
      <w:r>
        <w:rPr>
          <w:color w:val="3B3A3B"/>
          <w:w w:val="105"/>
          <w:sz w:val="17"/>
        </w:rPr>
        <w:t>(2001).</w:t>
      </w:r>
    </w:p>
    <w:p>
      <w:pPr>
        <w:spacing w:after="0" w:line="196" w:lineRule="exact"/>
        <w:jc w:val="left"/>
        <w:rPr>
          <w:sz w:val="17"/>
        </w:rPr>
        <w:sectPr>
          <w:pgSz w:w="9340" w:h="13780"/>
          <w:pgMar w:header="530" w:footer="0" w:top="1120" w:bottom="0" w:left="1300" w:right="0"/>
        </w:sectPr>
      </w:pPr>
    </w:p>
    <w:p>
      <w:pPr>
        <w:pStyle w:val="BodyText"/>
        <w:spacing w:line="235" w:lineRule="auto" w:before="85"/>
        <w:ind w:left="112" w:right="332" w:hanging="7"/>
        <w:jc w:val="both"/>
      </w:pPr>
      <w:r>
        <w:rPr>
          <w:color w:val="383638"/>
          <w:w w:val="120"/>
        </w:rPr>
        <w:t>convinced-or rtminded-of the importance of a policy that underlies</w:t>
      </w:r>
      <w:r>
        <w:rPr>
          <w:color w:val="383638"/>
          <w:spacing w:val="1"/>
          <w:w w:val="120"/>
        </w:rPr>
        <w:t> </w:t>
      </w:r>
      <w:r>
        <w:rPr>
          <w:color w:val="383638"/>
          <w:w w:val="120"/>
        </w:rPr>
        <w:t>your</w:t>
      </w:r>
      <w:r>
        <w:rPr>
          <w:color w:val="383638"/>
          <w:spacing w:val="-29"/>
          <w:w w:val="120"/>
        </w:rPr>
        <w:t> </w:t>
      </w:r>
      <w:r>
        <w:rPr>
          <w:color w:val="383638"/>
          <w:w w:val="120"/>
        </w:rPr>
        <w:t>argument.</w:t>
      </w:r>
    </w:p>
    <w:p>
      <w:pPr>
        <w:pStyle w:val="BodyText"/>
        <w:spacing w:line="235" w:lineRule="auto"/>
        <w:ind w:left="105" w:right="315" w:firstLine="368"/>
        <w:jc w:val="both"/>
      </w:pPr>
      <w:r>
        <w:rPr>
          <w:color w:val="383638"/>
          <w:w w:val="110"/>
        </w:rPr>
        <w:t>In a Fourth Amendment case, for example, you might include a sepa­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rate point addressing either the importance of protecting police officers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from dangers of police work (and therefore the need to allow police offi­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cers wide latitude in their work) or the importance of the right to privacy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(and therefore the  need to limit the abilities of police officers to invade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privacy).</w:t>
      </w:r>
    </w:p>
    <w:p>
      <w:pPr>
        <w:pStyle w:val="BodyText"/>
        <w:spacing w:line="235" w:lineRule="auto"/>
        <w:ind w:left="105" w:right="273" w:firstLine="369"/>
        <w:jc w:val="both"/>
      </w:pPr>
      <w:r>
        <w:rPr>
          <w:color w:val="383638"/>
          <w:w w:val="110"/>
        </w:rPr>
        <w:t>In an argument based on the </w:t>
      </w:r>
      <w:r>
        <w:rPr>
          <w:rFonts w:ascii="Arial" w:hAnsi="Arial"/>
          <w:i/>
          <w:color w:val="383638"/>
          <w:w w:val="110"/>
          <w:sz w:val="21"/>
        </w:rPr>
        <w:t>Miller v. Albright </w:t>
      </w:r>
      <w:r>
        <w:rPr>
          <w:color w:val="383638"/>
          <w:w w:val="110"/>
        </w:rPr>
        <w:t>case, counsel represent­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ing Miller might make a separate argument based on the notion that par­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ent-child relationships are fundamental and must be promoted, no matter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5"/>
        </w:rPr>
        <w:t>when</w:t>
      </w:r>
      <w:r>
        <w:rPr>
          <w:color w:val="383638"/>
          <w:spacing w:val="-21"/>
          <w:w w:val="115"/>
        </w:rPr>
        <w:t> </w:t>
      </w:r>
      <w:r>
        <w:rPr>
          <w:color w:val="383638"/>
          <w:spacing w:val="-1"/>
          <w:w w:val="115"/>
        </w:rPr>
        <w:t>that</w:t>
      </w:r>
      <w:r>
        <w:rPr>
          <w:color w:val="383638"/>
          <w:spacing w:val="-21"/>
          <w:w w:val="115"/>
        </w:rPr>
        <w:t> </w:t>
      </w:r>
      <w:r>
        <w:rPr>
          <w:color w:val="383638"/>
          <w:spacing w:val="-1"/>
          <w:w w:val="115"/>
        </w:rPr>
        <w:t>relationship</w:t>
      </w:r>
      <w:r>
        <w:rPr>
          <w:color w:val="383638"/>
          <w:spacing w:val="-13"/>
          <w:w w:val="115"/>
        </w:rPr>
        <w:t> </w:t>
      </w:r>
      <w:r>
        <w:rPr>
          <w:color w:val="383638"/>
          <w:spacing w:val="-1"/>
          <w:w w:val="115"/>
        </w:rPr>
        <w:t>is</w:t>
      </w:r>
      <w:r>
        <w:rPr>
          <w:color w:val="383638"/>
          <w:spacing w:val="-31"/>
          <w:w w:val="115"/>
        </w:rPr>
        <w:t> </w:t>
      </w:r>
      <w:r>
        <w:rPr>
          <w:color w:val="383638"/>
          <w:spacing w:val="-1"/>
          <w:w w:val="115"/>
        </w:rPr>
        <w:t>formed.</w:t>
      </w:r>
      <w:r>
        <w:rPr>
          <w:color w:val="383638"/>
          <w:spacing w:val="-22"/>
          <w:w w:val="115"/>
        </w:rPr>
        <w:t> </w:t>
      </w:r>
      <w:r>
        <w:rPr>
          <w:color w:val="383638"/>
          <w:spacing w:val="-1"/>
          <w:w w:val="115"/>
        </w:rPr>
        <w:t>In</w:t>
      </w:r>
      <w:r>
        <w:rPr>
          <w:color w:val="383638"/>
          <w:spacing w:val="-27"/>
          <w:w w:val="115"/>
        </w:rPr>
        <w:t> </w:t>
      </w:r>
      <w:r>
        <w:rPr>
          <w:color w:val="383638"/>
          <w:spacing w:val="-1"/>
          <w:w w:val="115"/>
        </w:rPr>
        <w:t>addition</w:t>
      </w:r>
      <w:r>
        <w:rPr>
          <w:color w:val="383638"/>
          <w:spacing w:val="-15"/>
          <w:w w:val="115"/>
        </w:rPr>
        <w:t> </w:t>
      </w:r>
      <w:r>
        <w:rPr>
          <w:color w:val="383638"/>
          <w:w w:val="115"/>
        </w:rPr>
        <w:t>or</w:t>
      </w:r>
      <w:r>
        <w:rPr>
          <w:color w:val="383638"/>
          <w:spacing w:val="-30"/>
          <w:w w:val="115"/>
        </w:rPr>
        <w:t> </w:t>
      </w:r>
      <w:r>
        <w:rPr>
          <w:color w:val="383638"/>
          <w:w w:val="115"/>
        </w:rPr>
        <w:t>in</w:t>
      </w:r>
      <w:r>
        <w:rPr>
          <w:color w:val="383638"/>
          <w:spacing w:val="-1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-16"/>
          <w:w w:val="115"/>
        </w:rPr>
        <w:t> </w:t>
      </w:r>
      <w:r>
        <w:rPr>
          <w:color w:val="383638"/>
          <w:w w:val="115"/>
        </w:rPr>
        <w:t>alternative,</w:t>
      </w:r>
      <w:r>
        <w:rPr>
          <w:color w:val="383638"/>
          <w:spacing w:val="-16"/>
          <w:w w:val="115"/>
        </w:rPr>
        <w:t> </w:t>
      </w:r>
      <w:r>
        <w:rPr>
          <w:color w:val="383638"/>
          <w:w w:val="115"/>
        </w:rPr>
        <w:t>counsel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could argue that children should not suffer adverse consequences because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acts or status of their parents. Courts might have made these points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as part of their reasoning in cases that were being cited to support relevant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5"/>
        </w:rPr>
        <w:t>rules. In that situation, </w:t>
      </w:r>
      <w:r>
        <w:rPr>
          <w:color w:val="383638"/>
          <w:w w:val="115"/>
        </w:rPr>
        <w:t>these arguments could be incorporated into other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5"/>
        </w:rPr>
        <w:t>arguments. </w:t>
      </w:r>
      <w:r>
        <w:rPr>
          <w:rFonts w:ascii="Arial" w:hAnsi="Arial"/>
          <w:color w:val="383638"/>
          <w:w w:val="115"/>
          <w:sz w:val="22"/>
        </w:rPr>
        <w:t>If </w:t>
      </w:r>
      <w:r>
        <w:rPr>
          <w:color w:val="383638"/>
          <w:w w:val="115"/>
        </w:rPr>
        <w:t>your on-point cases don't contain these points, you might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want to incorporate them into your argument separately, not connected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to rational basis or intermediate scrutiny arguments. </w:t>
      </w:r>
      <w:r>
        <w:rPr>
          <w:rFonts w:ascii="Arial" w:hAnsi="Arial"/>
          <w:color w:val="383638"/>
          <w:w w:val="115"/>
          <w:sz w:val="22"/>
        </w:rPr>
        <w:t>If </w:t>
      </w:r>
      <w:r>
        <w:rPr>
          <w:color w:val="383638"/>
          <w:w w:val="115"/>
        </w:rPr>
        <w:t>the court agreed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with either of these policy-based assertions</w:t>
      </w:r>
      <w:r>
        <w:rPr>
          <w:color w:val="565656"/>
          <w:w w:val="115"/>
        </w:rPr>
        <w:t>, </w:t>
      </w:r>
      <w:r>
        <w:rPr>
          <w:color w:val="383638"/>
          <w:w w:val="115"/>
        </w:rPr>
        <w:t>it might be more willing to</w:t>
      </w:r>
      <w:r>
        <w:rPr>
          <w:color w:val="383638"/>
          <w:spacing w:val="1"/>
          <w:w w:val="115"/>
        </w:rPr>
        <w:t> </w:t>
      </w:r>
      <w:r>
        <w:rPr>
          <w:color w:val="383638"/>
          <w:spacing w:val="-1"/>
          <w:w w:val="115"/>
        </w:rPr>
        <w:t>apply</w:t>
      </w:r>
      <w:r>
        <w:rPr>
          <w:color w:val="383638"/>
          <w:spacing w:val="-17"/>
          <w:w w:val="115"/>
        </w:rPr>
        <w:t> </w:t>
      </w:r>
      <w:r>
        <w:rPr>
          <w:color w:val="383638"/>
          <w:spacing w:val="-1"/>
          <w:w w:val="115"/>
        </w:rPr>
        <w:t>intermediate</w:t>
      </w:r>
      <w:r>
        <w:rPr>
          <w:color w:val="383638"/>
          <w:spacing w:val="-25"/>
          <w:w w:val="115"/>
        </w:rPr>
        <w:t> </w:t>
      </w:r>
      <w:r>
        <w:rPr>
          <w:color w:val="383638"/>
          <w:w w:val="115"/>
        </w:rPr>
        <w:t>scrutiny</w:t>
      </w:r>
      <w:r>
        <w:rPr>
          <w:color w:val="383638"/>
          <w:spacing w:val="-23"/>
          <w:w w:val="115"/>
        </w:rPr>
        <w:t> </w:t>
      </w:r>
      <w:r>
        <w:rPr>
          <w:color w:val="383638"/>
          <w:w w:val="115"/>
        </w:rPr>
        <w:t>or</w:t>
      </w:r>
      <w:r>
        <w:rPr>
          <w:color w:val="383638"/>
          <w:spacing w:val="-12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-3"/>
          <w:w w:val="115"/>
        </w:rPr>
        <w:t> </w:t>
      </w:r>
      <w:r>
        <w:rPr>
          <w:color w:val="383638"/>
          <w:w w:val="115"/>
        </w:rPr>
        <w:t>hold</w:t>
      </w:r>
      <w:r>
        <w:rPr>
          <w:color w:val="383638"/>
          <w:spacing w:val="-13"/>
          <w:w w:val="115"/>
        </w:rPr>
        <w:t> </w:t>
      </w:r>
      <w:r>
        <w:rPr>
          <w:color w:val="383638"/>
          <w:w w:val="115"/>
        </w:rPr>
        <w:t>that</w:t>
      </w:r>
      <w:r>
        <w:rPr>
          <w:color w:val="383638"/>
          <w:spacing w:val="-14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-29"/>
          <w:w w:val="115"/>
        </w:rPr>
        <w:t> </w:t>
      </w:r>
      <w:r>
        <w:rPr>
          <w:color w:val="383638"/>
          <w:w w:val="115"/>
        </w:rPr>
        <w:t>statute</w:t>
      </w:r>
      <w:r>
        <w:rPr>
          <w:color w:val="383638"/>
          <w:spacing w:val="-26"/>
          <w:w w:val="115"/>
        </w:rPr>
        <w:t> </w:t>
      </w:r>
      <w:r>
        <w:rPr>
          <w:color w:val="383638"/>
          <w:w w:val="115"/>
        </w:rPr>
        <w:t>violates</w:t>
      </w:r>
      <w:r>
        <w:rPr>
          <w:color w:val="383638"/>
          <w:spacing w:val="-14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5"/>
          <w:w w:val="115"/>
        </w:rPr>
        <w:t> </w:t>
      </w:r>
      <w:r>
        <w:rPr>
          <w:color w:val="383638"/>
          <w:w w:val="115"/>
        </w:rPr>
        <w:t>rational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5"/>
        </w:rPr>
        <w:t>basis</w:t>
      </w:r>
      <w:r>
        <w:rPr>
          <w:color w:val="383638"/>
          <w:spacing w:val="-12"/>
          <w:w w:val="115"/>
        </w:rPr>
        <w:t> </w:t>
      </w:r>
      <w:r>
        <w:rPr>
          <w:color w:val="383638"/>
          <w:w w:val="115"/>
        </w:rPr>
        <w:t>test.</w:t>
      </w:r>
    </w:p>
    <w:p>
      <w:pPr>
        <w:pStyle w:val="BodyText"/>
        <w:spacing w:line="232" w:lineRule="auto"/>
        <w:ind w:left="116" w:right="220" w:firstLine="368"/>
        <w:jc w:val="both"/>
      </w:pPr>
      <w:r>
        <w:rPr>
          <w:color w:val="383638"/>
          <w:w w:val="110"/>
        </w:rPr>
        <w:t>Even if 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make a policy argument separately from more traditional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legal arguments, you need not treat policy arguments differently. You may,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but you are not required to, label them as "public policy" or "policy" argu­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ments (e.g., you need not say, "For reasons of public policy, this court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should ...  "). Furthermore, policy arguments can and should be supported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by references to  outside authorities.</w:t>
      </w:r>
      <w:r>
        <w:rPr>
          <w:rFonts w:ascii="Arial" w:hAnsi="Arial"/>
          <w:color w:val="383638"/>
          <w:w w:val="110"/>
          <w:vertAlign w:val="superscript"/>
        </w:rPr>
        <w:t>13</w:t>
      </w:r>
      <w:r>
        <w:rPr>
          <w:rFonts w:ascii="Arial" w:hAnsi="Arial"/>
          <w:color w:val="383638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Although  policy arguments  might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be more likely to include citations to extra-legal sources,</w:t>
      </w:r>
      <w:r>
        <w:rPr>
          <w:rFonts w:ascii="Arial" w:hAnsi="Arial"/>
          <w:color w:val="383638"/>
          <w:w w:val="110"/>
          <w:vertAlign w:val="superscript"/>
        </w:rPr>
        <w:t>14</w:t>
      </w:r>
      <w:r>
        <w:rPr>
          <w:rFonts w:ascii="Arial" w:hAnsi="Arial"/>
          <w:color w:val="383638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whenever pos­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sible, you should include citations to and analysis of cases in which courts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referenced</w:t>
      </w:r>
      <w:r>
        <w:rPr>
          <w:color w:val="383638"/>
          <w:spacing w:val="6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certain</w:t>
      </w:r>
      <w:r>
        <w:rPr>
          <w:color w:val="383638"/>
          <w:spacing w:val="29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policies</w:t>
      </w:r>
      <w:r>
        <w:rPr>
          <w:color w:val="383638"/>
          <w:spacing w:val="-10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when</w:t>
      </w:r>
      <w:r>
        <w:rPr>
          <w:color w:val="383638"/>
          <w:spacing w:val="-3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deciding</w:t>
      </w:r>
      <w:r>
        <w:rPr>
          <w:color w:val="383638"/>
          <w:spacing w:val="-9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similar</w:t>
      </w:r>
      <w:r>
        <w:rPr>
          <w:color w:val="383638"/>
          <w:spacing w:val="1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legal</w:t>
      </w:r>
      <w:r>
        <w:rPr>
          <w:color w:val="383638"/>
          <w:spacing w:val="-6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issues.</w:t>
      </w:r>
    </w:p>
    <w:p>
      <w:pPr>
        <w:pStyle w:val="BodyText"/>
        <w:spacing w:line="232" w:lineRule="auto"/>
        <w:ind w:left="121" w:right="144" w:firstLine="374"/>
        <w:jc w:val="both"/>
      </w:pPr>
      <w:r>
        <w:rPr>
          <w:color w:val="383638"/>
          <w:w w:val="110"/>
        </w:rPr>
        <w:t>For example, the writer of the </w:t>
      </w:r>
      <w:r>
        <w:rPr>
          <w:rFonts w:ascii="Arial" w:hAnsi="Arial"/>
          <w:i/>
          <w:color w:val="383638"/>
          <w:w w:val="110"/>
          <w:sz w:val="21"/>
        </w:rPr>
        <w:t>Miller v. Albright </w:t>
      </w:r>
      <w:r>
        <w:rPr>
          <w:color w:val="383638"/>
          <w:w w:val="110"/>
        </w:rPr>
        <w:t>brief might attack the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5"/>
        </w:rPr>
        <w:t>validity </w:t>
      </w:r>
      <w:r>
        <w:rPr>
          <w:color w:val="383638"/>
          <w:w w:val="115"/>
        </w:rPr>
        <w:t>of the statutory requirement that the connection between the par­</w:t>
      </w:r>
      <w:r>
        <w:rPr>
          <w:color w:val="383638"/>
          <w:spacing w:val="-64"/>
          <w:w w:val="115"/>
        </w:rPr>
        <w:t> </w:t>
      </w:r>
      <w:r>
        <w:rPr>
          <w:color w:val="383638"/>
          <w:spacing w:val="-1"/>
          <w:w w:val="115"/>
        </w:rPr>
        <w:t>ent </w:t>
      </w:r>
      <w:r>
        <w:rPr>
          <w:color w:val="383638"/>
          <w:w w:val="115"/>
        </w:rPr>
        <w:t>and the child must be formed before the child's twenty-first birthday.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As</w:t>
      </w:r>
      <w:r>
        <w:rPr>
          <w:color w:val="383638"/>
          <w:spacing w:val="-39"/>
          <w:w w:val="115"/>
        </w:rPr>
        <w:t> </w:t>
      </w:r>
      <w:r>
        <w:rPr>
          <w:color w:val="383638"/>
          <w:w w:val="115"/>
        </w:rPr>
        <w:t>a</w:t>
      </w:r>
      <w:r>
        <w:rPr>
          <w:color w:val="383638"/>
          <w:spacing w:val="-2"/>
          <w:w w:val="115"/>
        </w:rPr>
        <w:t> </w:t>
      </w:r>
      <w:r>
        <w:rPr>
          <w:color w:val="383638"/>
          <w:w w:val="115"/>
        </w:rPr>
        <w:t>separate</w:t>
      </w:r>
      <w:r>
        <w:rPr>
          <w:color w:val="383638"/>
          <w:spacing w:val="-12"/>
          <w:w w:val="115"/>
        </w:rPr>
        <w:t> </w:t>
      </w:r>
      <w:r>
        <w:rPr>
          <w:color w:val="383638"/>
          <w:w w:val="115"/>
        </w:rPr>
        <w:t>point</w:t>
      </w:r>
      <w:r>
        <w:rPr>
          <w:color w:val="383638"/>
          <w:spacing w:val="-5"/>
          <w:w w:val="115"/>
        </w:rPr>
        <w:t> </w:t>
      </w:r>
      <w:r>
        <w:rPr>
          <w:color w:val="383638"/>
          <w:w w:val="115"/>
        </w:rPr>
        <w:t>heading,</w:t>
      </w:r>
      <w:r>
        <w:rPr>
          <w:color w:val="383638"/>
          <w:spacing w:val="-6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-4"/>
          <w:w w:val="115"/>
        </w:rPr>
        <w:t> </w:t>
      </w:r>
      <w:r>
        <w:rPr>
          <w:color w:val="383638"/>
          <w:w w:val="115"/>
        </w:rPr>
        <w:t>writer</w:t>
      </w:r>
      <w:r>
        <w:rPr>
          <w:color w:val="383638"/>
          <w:spacing w:val="-7"/>
          <w:w w:val="115"/>
        </w:rPr>
        <w:t> </w:t>
      </w:r>
      <w:r>
        <w:rPr>
          <w:color w:val="383638"/>
          <w:w w:val="115"/>
        </w:rPr>
        <w:t>might</w:t>
      </w:r>
      <w:r>
        <w:rPr>
          <w:color w:val="383638"/>
          <w:spacing w:val="-10"/>
          <w:w w:val="115"/>
        </w:rPr>
        <w:t> </w:t>
      </w:r>
      <w:r>
        <w:rPr>
          <w:color w:val="383638"/>
          <w:w w:val="115"/>
        </w:rPr>
        <w:t>assert</w:t>
      </w:r>
      <w:r>
        <w:rPr>
          <w:color w:val="383638"/>
          <w:spacing w:val="-20"/>
          <w:w w:val="115"/>
        </w:rPr>
        <w:t> </w:t>
      </w:r>
      <w:r>
        <w:rPr>
          <w:color w:val="383638"/>
          <w:w w:val="115"/>
        </w:rPr>
        <w:t>that</w:t>
      </w:r>
      <w:r>
        <w:rPr>
          <w:color w:val="383638"/>
          <w:spacing w:val="-25"/>
          <w:w w:val="115"/>
        </w:rPr>
        <w:t> </w:t>
      </w:r>
      <w:r>
        <w:rPr>
          <w:color w:val="383638"/>
          <w:w w:val="115"/>
        </w:rPr>
        <w:t>"theCourt</w:t>
      </w:r>
      <w:r>
        <w:rPr>
          <w:color w:val="383638"/>
          <w:spacing w:val="-16"/>
          <w:w w:val="115"/>
        </w:rPr>
        <w:t> </w:t>
      </w:r>
      <w:r>
        <w:rPr>
          <w:color w:val="383638"/>
          <w:w w:val="115"/>
        </w:rPr>
        <w:t>should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not put a time limit on  parent</w:t>
      </w:r>
      <w:r>
        <w:rPr>
          <w:color w:val="565656"/>
          <w:w w:val="115"/>
        </w:rPr>
        <w:t>-</w:t>
      </w:r>
      <w:r>
        <w:rPr>
          <w:color w:val="383638"/>
          <w:w w:val="115"/>
        </w:rPr>
        <w:t>child  relationships," and could support</w:t>
      </w:r>
      <w:r>
        <w:rPr>
          <w:color w:val="383638"/>
          <w:spacing w:val="1"/>
          <w:w w:val="115"/>
        </w:rPr>
        <w:t> </w:t>
      </w:r>
      <w:r>
        <w:rPr>
          <w:color w:val="383638"/>
          <w:spacing w:val="-1"/>
          <w:w w:val="115"/>
        </w:rPr>
        <w:t>that point by citing cases </w:t>
      </w:r>
      <w:r>
        <w:rPr>
          <w:color w:val="383638"/>
          <w:w w:val="115"/>
        </w:rPr>
        <w:t>in which courts have articulated the importance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0"/>
        </w:rPr>
        <w:t>of parent-child relationships, especially cases in which the importance of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that</w:t>
      </w:r>
      <w:r>
        <w:rPr>
          <w:color w:val="383638"/>
          <w:spacing w:val="-3"/>
          <w:w w:val="115"/>
        </w:rPr>
        <w:t> </w:t>
      </w:r>
      <w:r>
        <w:rPr>
          <w:color w:val="383638"/>
          <w:w w:val="115"/>
        </w:rPr>
        <w:t>relationship</w:t>
      </w:r>
      <w:r>
        <w:rPr>
          <w:color w:val="383638"/>
          <w:spacing w:val="-5"/>
          <w:w w:val="115"/>
        </w:rPr>
        <w:t> </w:t>
      </w:r>
      <w:r>
        <w:rPr>
          <w:color w:val="383638"/>
          <w:w w:val="115"/>
        </w:rPr>
        <w:t>was</w:t>
      </w:r>
      <w:r>
        <w:rPr>
          <w:color w:val="383638"/>
          <w:spacing w:val="-16"/>
          <w:w w:val="115"/>
        </w:rPr>
        <w:t> </w:t>
      </w:r>
      <w:r>
        <w:rPr>
          <w:color w:val="383638"/>
          <w:w w:val="115"/>
        </w:rPr>
        <w:t>legally</w:t>
      </w:r>
      <w:r>
        <w:rPr>
          <w:color w:val="383638"/>
          <w:spacing w:val="-9"/>
          <w:w w:val="115"/>
        </w:rPr>
        <w:t> </w:t>
      </w:r>
      <w:r>
        <w:rPr>
          <w:color w:val="383638"/>
          <w:w w:val="115"/>
        </w:rPr>
        <w:t>significant.</w:t>
      </w:r>
      <w:r>
        <w:rPr>
          <w:color w:val="383638"/>
          <w:spacing w:val="-11"/>
          <w:w w:val="115"/>
        </w:rPr>
        <w:t> </w:t>
      </w:r>
      <w:r>
        <w:rPr>
          <w:color w:val="383638"/>
          <w:w w:val="115"/>
        </w:rPr>
        <w:t>These</w:t>
      </w:r>
      <w:r>
        <w:rPr>
          <w:color w:val="383638"/>
          <w:spacing w:val="-12"/>
          <w:w w:val="115"/>
        </w:rPr>
        <w:t> </w:t>
      </w:r>
      <w:r>
        <w:rPr>
          <w:color w:val="383638"/>
          <w:w w:val="115"/>
        </w:rPr>
        <w:t>cases</w:t>
      </w:r>
      <w:r>
        <w:rPr>
          <w:color w:val="383638"/>
          <w:spacing w:val="-9"/>
          <w:w w:val="115"/>
        </w:rPr>
        <w:t> </w:t>
      </w:r>
      <w:r>
        <w:rPr>
          <w:color w:val="383638"/>
          <w:w w:val="115"/>
        </w:rPr>
        <w:t>might</w:t>
      </w:r>
      <w:r>
        <w:rPr>
          <w:color w:val="383638"/>
          <w:spacing w:val="-1"/>
          <w:w w:val="115"/>
        </w:rPr>
        <w:t> </w:t>
      </w:r>
      <w:r>
        <w:rPr>
          <w:color w:val="383638"/>
          <w:w w:val="115"/>
        </w:rPr>
        <w:t>include</w:t>
      </w:r>
      <w:r>
        <w:rPr>
          <w:color w:val="383638"/>
          <w:spacing w:val="-8"/>
          <w:w w:val="115"/>
        </w:rPr>
        <w:t> </w:t>
      </w:r>
      <w:r>
        <w:rPr>
          <w:color w:val="383638"/>
          <w:w w:val="115"/>
        </w:rPr>
        <w:t>adop­</w:t>
      </w:r>
      <w:r>
        <w:rPr>
          <w:color w:val="383638"/>
          <w:spacing w:val="1"/>
          <w:w w:val="115"/>
        </w:rPr>
        <w:t> </w:t>
      </w:r>
      <w:r>
        <w:rPr>
          <w:color w:val="383638"/>
          <w:spacing w:val="-1"/>
          <w:w w:val="115"/>
        </w:rPr>
        <w:t>tion</w:t>
      </w:r>
      <w:r>
        <w:rPr>
          <w:color w:val="383638"/>
          <w:spacing w:val="-12"/>
          <w:w w:val="115"/>
        </w:rPr>
        <w:t> </w:t>
      </w:r>
      <w:r>
        <w:rPr>
          <w:color w:val="383638"/>
          <w:spacing w:val="-1"/>
          <w:w w:val="115"/>
        </w:rPr>
        <w:t>cases,</w:t>
      </w:r>
      <w:r>
        <w:rPr>
          <w:color w:val="383638"/>
          <w:spacing w:val="-5"/>
          <w:w w:val="115"/>
        </w:rPr>
        <w:t> </w:t>
      </w:r>
      <w:r>
        <w:rPr>
          <w:color w:val="383638"/>
          <w:spacing w:val="-1"/>
          <w:w w:val="115"/>
        </w:rPr>
        <w:t>termination</w:t>
      </w:r>
      <w:r>
        <w:rPr>
          <w:color w:val="383638"/>
          <w:spacing w:val="-15"/>
          <w:w w:val="115"/>
        </w:rPr>
        <w:t> </w:t>
      </w:r>
      <w:r>
        <w:rPr>
          <w:color w:val="383638"/>
          <w:spacing w:val="-1"/>
          <w:w w:val="115"/>
        </w:rPr>
        <w:t>of</w:t>
      </w:r>
      <w:r>
        <w:rPr>
          <w:color w:val="383638"/>
          <w:spacing w:val="3"/>
          <w:w w:val="115"/>
        </w:rPr>
        <w:t> </w:t>
      </w:r>
      <w:r>
        <w:rPr>
          <w:color w:val="383638"/>
          <w:spacing w:val="-1"/>
          <w:w w:val="115"/>
        </w:rPr>
        <w:t>parental</w:t>
      </w:r>
      <w:r>
        <w:rPr>
          <w:color w:val="383638"/>
          <w:spacing w:val="-14"/>
          <w:w w:val="115"/>
        </w:rPr>
        <w:t> </w:t>
      </w:r>
      <w:r>
        <w:rPr>
          <w:color w:val="383638"/>
          <w:spacing w:val="-1"/>
          <w:w w:val="115"/>
        </w:rPr>
        <w:t>rights</w:t>
      </w:r>
      <w:r>
        <w:rPr>
          <w:color w:val="383638"/>
          <w:spacing w:val="-27"/>
          <w:w w:val="115"/>
        </w:rPr>
        <w:t> </w:t>
      </w:r>
      <w:r>
        <w:rPr>
          <w:color w:val="383638"/>
          <w:w w:val="115"/>
        </w:rPr>
        <w:t>cases,</w:t>
      </w:r>
      <w:r>
        <w:rPr>
          <w:color w:val="383638"/>
          <w:spacing w:val="-8"/>
          <w:w w:val="115"/>
        </w:rPr>
        <w:t> </w:t>
      </w:r>
      <w:r>
        <w:rPr>
          <w:color w:val="383638"/>
          <w:w w:val="115"/>
        </w:rPr>
        <w:t>child</w:t>
      </w:r>
      <w:r>
        <w:rPr>
          <w:color w:val="383638"/>
          <w:spacing w:val="-12"/>
          <w:w w:val="115"/>
        </w:rPr>
        <w:t> </w:t>
      </w:r>
      <w:r>
        <w:rPr>
          <w:color w:val="383638"/>
          <w:w w:val="115"/>
        </w:rPr>
        <w:t>support</w:t>
      </w:r>
      <w:r>
        <w:rPr>
          <w:color w:val="383638"/>
          <w:spacing w:val="-13"/>
          <w:w w:val="115"/>
        </w:rPr>
        <w:t> </w:t>
      </w:r>
      <w:r>
        <w:rPr>
          <w:color w:val="383638"/>
          <w:w w:val="115"/>
        </w:rPr>
        <w:t>enforcement</w:t>
      </w:r>
    </w:p>
    <w:p>
      <w:pPr>
        <w:pStyle w:val="BodyText"/>
        <w:rPr>
          <w:sz w:val="26"/>
        </w:rPr>
      </w:pPr>
    </w:p>
    <w:p>
      <w:pPr>
        <w:spacing w:line="189" w:lineRule="exact" w:before="188"/>
        <w:ind w:left="507" w:right="0" w:firstLine="0"/>
        <w:jc w:val="both"/>
        <w:rPr>
          <w:sz w:val="17"/>
        </w:rPr>
      </w:pPr>
      <w:r>
        <w:rPr>
          <w:color w:val="383638"/>
          <w:w w:val="115"/>
          <w:sz w:val="16"/>
          <w:vertAlign w:val="superscript"/>
        </w:rPr>
        <w:t>13</w:t>
      </w:r>
      <w:r>
        <w:rPr>
          <w:rFonts w:ascii="Arial"/>
          <w:i/>
          <w:color w:val="383638"/>
          <w:w w:val="115"/>
          <w:sz w:val="16"/>
          <w:vertAlign w:val="baseline"/>
        </w:rPr>
        <w:t>Id.</w:t>
      </w:r>
      <w:r>
        <w:rPr>
          <w:rFonts w:ascii="Arial"/>
          <w:i/>
          <w:color w:val="383638"/>
          <w:spacing w:val="-17"/>
          <w:w w:val="115"/>
          <w:sz w:val="16"/>
          <w:vertAlign w:val="baseline"/>
        </w:rPr>
        <w:t> </w:t>
      </w:r>
      <w:r>
        <w:rPr>
          <w:b/>
          <w:color w:val="383638"/>
          <w:w w:val="115"/>
          <w:sz w:val="16"/>
          <w:vertAlign w:val="baseline"/>
        </w:rPr>
        <w:t>at</w:t>
      </w:r>
      <w:r>
        <w:rPr>
          <w:b/>
          <w:color w:val="383638"/>
          <w:spacing w:val="1"/>
          <w:w w:val="115"/>
          <w:sz w:val="16"/>
          <w:vertAlign w:val="baseline"/>
        </w:rPr>
        <w:t> </w:t>
      </w:r>
      <w:r>
        <w:rPr>
          <w:color w:val="383638"/>
          <w:w w:val="115"/>
          <w:sz w:val="17"/>
          <w:vertAlign w:val="baseline"/>
        </w:rPr>
        <w:t>66</w:t>
      </w:r>
      <w:r>
        <w:rPr>
          <w:color w:val="565656"/>
          <w:w w:val="115"/>
          <w:sz w:val="17"/>
          <w:vertAlign w:val="baseline"/>
        </w:rPr>
        <w:t>.</w:t>
      </w:r>
    </w:p>
    <w:p>
      <w:pPr>
        <w:spacing w:line="228" w:lineRule="auto" w:before="3"/>
        <w:ind w:left="136" w:right="109" w:firstLine="362"/>
        <w:jc w:val="both"/>
        <w:rPr>
          <w:sz w:val="18"/>
        </w:rPr>
      </w:pPr>
      <w:r>
        <w:rPr>
          <w:rFonts w:ascii="Arial"/>
          <w:color w:val="383638"/>
          <w:w w:val="110"/>
          <w:position w:val="6"/>
          <w:sz w:val="9"/>
        </w:rPr>
        <w:t>14 </w:t>
      </w:r>
      <w:r>
        <w:rPr>
          <w:color w:val="383638"/>
          <w:w w:val="110"/>
          <w:sz w:val="18"/>
        </w:rPr>
        <w:t>For example, If you</w:t>
      </w:r>
      <w:r>
        <w:rPr>
          <w:color w:val="383638"/>
          <w:spacing w:val="1"/>
          <w:w w:val="110"/>
          <w:sz w:val="18"/>
        </w:rPr>
        <w:t> </w:t>
      </w:r>
      <w:r>
        <w:rPr>
          <w:color w:val="383638"/>
          <w:w w:val="110"/>
          <w:sz w:val="18"/>
        </w:rPr>
        <w:t>are</w:t>
      </w:r>
      <w:r>
        <w:rPr>
          <w:color w:val="383638"/>
          <w:spacing w:val="1"/>
          <w:w w:val="110"/>
          <w:sz w:val="18"/>
        </w:rPr>
        <w:t> </w:t>
      </w:r>
      <w:r>
        <w:rPr>
          <w:color w:val="383638"/>
          <w:w w:val="110"/>
          <w:sz w:val="18"/>
        </w:rPr>
        <w:t>arguing that traffic stops are dang</w:t>
      </w:r>
      <w:r>
        <w:rPr>
          <w:color w:val="565656"/>
          <w:w w:val="110"/>
          <w:sz w:val="18"/>
        </w:rPr>
        <w:t>e</w:t>
      </w:r>
      <w:r>
        <w:rPr>
          <w:color w:val="383638"/>
          <w:w w:val="110"/>
          <w:sz w:val="18"/>
        </w:rPr>
        <w:t>rous for police officers, you</w:t>
      </w:r>
      <w:r>
        <w:rPr>
          <w:color w:val="383638"/>
          <w:spacing w:val="1"/>
          <w:w w:val="110"/>
          <w:sz w:val="18"/>
        </w:rPr>
        <w:t> </w:t>
      </w:r>
      <w:r>
        <w:rPr>
          <w:color w:val="383638"/>
          <w:w w:val="110"/>
          <w:sz w:val="18"/>
        </w:rPr>
        <w:t>might cite to </w:t>
      </w:r>
      <w:r>
        <w:rPr>
          <w:color w:val="565656"/>
          <w:w w:val="110"/>
          <w:sz w:val="18"/>
        </w:rPr>
        <w:t>s</w:t>
      </w:r>
      <w:r>
        <w:rPr>
          <w:color w:val="383638"/>
          <w:w w:val="110"/>
          <w:sz w:val="18"/>
        </w:rPr>
        <w:t>tati</w:t>
      </w:r>
      <w:r>
        <w:rPr>
          <w:color w:val="565656"/>
          <w:w w:val="110"/>
          <w:sz w:val="18"/>
        </w:rPr>
        <w:t>s</w:t>
      </w:r>
      <w:r>
        <w:rPr>
          <w:color w:val="383638"/>
          <w:w w:val="110"/>
          <w:sz w:val="18"/>
        </w:rPr>
        <w:t>tical Information about how frequently policeofficers are Injured In the course</w:t>
      </w:r>
      <w:r>
        <w:rPr>
          <w:color w:val="383638"/>
          <w:spacing w:val="1"/>
          <w:w w:val="110"/>
          <w:sz w:val="18"/>
        </w:rPr>
        <w:t> </w:t>
      </w:r>
      <w:r>
        <w:rPr>
          <w:color w:val="383638"/>
          <w:w w:val="110"/>
          <w:sz w:val="18"/>
        </w:rPr>
        <w:t>of</w:t>
      </w:r>
      <w:r>
        <w:rPr>
          <w:color w:val="383638"/>
          <w:spacing w:val="-7"/>
          <w:w w:val="110"/>
          <w:sz w:val="18"/>
        </w:rPr>
        <w:t> </w:t>
      </w:r>
      <w:r>
        <w:rPr>
          <w:color w:val="383638"/>
          <w:w w:val="110"/>
          <w:sz w:val="18"/>
        </w:rPr>
        <w:t>conducting</w:t>
      </w:r>
      <w:r>
        <w:rPr>
          <w:color w:val="383638"/>
          <w:spacing w:val="-1"/>
          <w:w w:val="110"/>
          <w:sz w:val="18"/>
        </w:rPr>
        <w:t> </w:t>
      </w:r>
      <w:r>
        <w:rPr>
          <w:color w:val="383638"/>
          <w:w w:val="110"/>
          <w:sz w:val="18"/>
        </w:rPr>
        <w:t>traffic</w:t>
      </w:r>
      <w:r>
        <w:rPr>
          <w:color w:val="383638"/>
          <w:spacing w:val="-15"/>
          <w:w w:val="110"/>
          <w:sz w:val="18"/>
        </w:rPr>
        <w:t> </w:t>
      </w:r>
      <w:r>
        <w:rPr>
          <w:color w:val="383638"/>
          <w:w w:val="110"/>
          <w:sz w:val="18"/>
        </w:rPr>
        <w:t>stops.</w:t>
      </w:r>
    </w:p>
    <w:p>
      <w:pPr>
        <w:spacing w:after="0" w:line="228" w:lineRule="auto"/>
        <w:jc w:val="both"/>
        <w:rPr>
          <w:sz w:val="18"/>
        </w:rPr>
        <w:sectPr>
          <w:headerReference w:type="default" r:id="rId101"/>
          <w:headerReference w:type="even" r:id="rId102"/>
          <w:pgSz w:w="9640" w:h="13740"/>
          <w:pgMar w:header="437" w:footer="0" w:top="1040" w:bottom="280" w:left="580" w:right="1060"/>
          <w:pgNumType w:start="75"/>
        </w:sectPr>
      </w:pPr>
    </w:p>
    <w:p>
      <w:pPr>
        <w:pStyle w:val="BodyText"/>
        <w:spacing w:line="232" w:lineRule="auto" w:before="87"/>
        <w:ind w:left="784" w:right="97" w:firstLine="29"/>
        <w:jc w:val="both"/>
      </w:pPr>
      <w:r>
        <w:rPr>
          <w:color w:val="383638"/>
          <w:spacing w:val="-1"/>
          <w:w w:val="105"/>
        </w:rPr>
        <w:t>cases,</w:t>
      </w:r>
      <w:r>
        <w:rPr>
          <w:color w:val="383638"/>
          <w:spacing w:val="-15"/>
          <w:w w:val="105"/>
        </w:rPr>
        <w:t> </w:t>
      </w:r>
      <w:r>
        <w:rPr>
          <w:color w:val="383638"/>
          <w:spacing w:val="-1"/>
          <w:w w:val="105"/>
        </w:rPr>
        <w:t>prison</w:t>
      </w:r>
      <w:r>
        <w:rPr>
          <w:color w:val="383638"/>
          <w:spacing w:val="-3"/>
          <w:w w:val="105"/>
        </w:rPr>
        <w:t> </w:t>
      </w:r>
      <w:r>
        <w:rPr>
          <w:color w:val="383638"/>
          <w:spacing w:val="-1"/>
          <w:w w:val="105"/>
        </w:rPr>
        <w:t>visitation</w:t>
      </w:r>
      <w:r>
        <w:rPr>
          <w:color w:val="383638"/>
          <w:spacing w:val="4"/>
          <w:w w:val="105"/>
        </w:rPr>
        <w:t> </w:t>
      </w:r>
      <w:r>
        <w:rPr>
          <w:color w:val="383638"/>
          <w:spacing w:val="-1"/>
          <w:w w:val="105"/>
        </w:rPr>
        <w:t>cases,</w:t>
      </w:r>
      <w:r>
        <w:rPr>
          <w:color w:val="383638"/>
          <w:spacing w:val="-12"/>
          <w:w w:val="105"/>
        </w:rPr>
        <w:t> </w:t>
      </w:r>
      <w:r>
        <w:rPr>
          <w:color w:val="383638"/>
          <w:w w:val="105"/>
        </w:rPr>
        <w:t>and</w:t>
      </w:r>
      <w:r>
        <w:rPr>
          <w:color w:val="383638"/>
          <w:spacing w:val="4"/>
          <w:w w:val="105"/>
        </w:rPr>
        <w:t> </w:t>
      </w:r>
      <w:r>
        <w:rPr>
          <w:color w:val="383638"/>
          <w:w w:val="105"/>
        </w:rPr>
        <w:t>more.</w:t>
      </w:r>
      <w:r>
        <w:rPr>
          <w:color w:val="383638"/>
          <w:spacing w:val="-34"/>
          <w:w w:val="105"/>
        </w:rPr>
        <w:t> </w:t>
      </w:r>
      <w:r>
        <w:rPr>
          <w:color w:val="383638"/>
          <w:w w:val="105"/>
        </w:rPr>
        <w:t>Similarly,</w:t>
      </w:r>
      <w:r>
        <w:rPr>
          <w:color w:val="383638"/>
          <w:spacing w:val="-7"/>
          <w:w w:val="105"/>
        </w:rPr>
        <w:t> </w:t>
      </w:r>
      <w:r>
        <w:rPr>
          <w:color w:val="383638"/>
          <w:w w:val="105"/>
        </w:rPr>
        <w:t>counsel</w:t>
      </w:r>
      <w:r>
        <w:rPr>
          <w:color w:val="383638"/>
          <w:spacing w:val="-10"/>
          <w:w w:val="105"/>
        </w:rPr>
        <w:t> </w:t>
      </w:r>
      <w:r>
        <w:rPr>
          <w:color w:val="383638"/>
          <w:w w:val="105"/>
        </w:rPr>
        <w:t>for</w:t>
      </w:r>
      <w:r>
        <w:rPr>
          <w:color w:val="383638"/>
          <w:spacing w:val="-19"/>
          <w:w w:val="105"/>
        </w:rPr>
        <w:t> </w:t>
      </w:r>
      <w:r>
        <w:rPr>
          <w:color w:val="383638"/>
          <w:w w:val="105"/>
        </w:rPr>
        <w:t>Miller</w:t>
      </w:r>
      <w:r>
        <w:rPr>
          <w:color w:val="383638"/>
          <w:spacing w:val="-10"/>
          <w:w w:val="105"/>
        </w:rPr>
        <w:t> </w:t>
      </w:r>
      <w:r>
        <w:rPr>
          <w:color w:val="383638"/>
          <w:w w:val="105"/>
        </w:rPr>
        <w:t>might</w:t>
      </w:r>
      <w:r>
        <w:rPr>
          <w:color w:val="383638"/>
          <w:spacing w:val="-58"/>
          <w:w w:val="105"/>
        </w:rPr>
        <w:t> </w:t>
      </w:r>
      <w:r>
        <w:rPr>
          <w:color w:val="383638"/>
          <w:w w:val="105"/>
        </w:rPr>
        <w:t>look to case authority to support an argument that "children should not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suffer adverse consequences for the acts or status of their parents" by look</w:t>
      </w:r>
      <w:r>
        <w:rPr>
          <w:color w:val="606062"/>
          <w:w w:val="105"/>
        </w:rPr>
        <w:t>­</w:t>
      </w:r>
      <w:r>
        <w:rPr>
          <w:color w:val="606062"/>
          <w:spacing w:val="-59"/>
          <w:w w:val="105"/>
        </w:rPr>
        <w:t> </w:t>
      </w:r>
      <w:r>
        <w:rPr>
          <w:color w:val="383638"/>
          <w:w w:val="105"/>
        </w:rPr>
        <w:t>ing to cases involving the right of a child born out of wedlock to inherit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from a parent who dies intestate or to cases involving the right to a free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education</w:t>
      </w:r>
      <w:r>
        <w:rPr>
          <w:color w:val="383638"/>
          <w:spacing w:val="2"/>
          <w:w w:val="105"/>
        </w:rPr>
        <w:t> </w:t>
      </w:r>
      <w:r>
        <w:rPr>
          <w:color w:val="383638"/>
          <w:w w:val="105"/>
        </w:rPr>
        <w:t>for</w:t>
      </w:r>
      <w:r>
        <w:rPr>
          <w:color w:val="383638"/>
          <w:spacing w:val="-21"/>
          <w:w w:val="105"/>
        </w:rPr>
        <w:t> </w:t>
      </w:r>
      <w:r>
        <w:rPr>
          <w:color w:val="383638"/>
          <w:w w:val="105"/>
        </w:rPr>
        <w:t>children</w:t>
      </w:r>
      <w:r>
        <w:rPr>
          <w:color w:val="383638"/>
          <w:spacing w:val="2"/>
          <w:w w:val="105"/>
        </w:rPr>
        <w:t> </w:t>
      </w:r>
      <w:r>
        <w:rPr>
          <w:color w:val="383638"/>
          <w:w w:val="105"/>
        </w:rPr>
        <w:t>of illegal</w:t>
      </w:r>
      <w:r>
        <w:rPr>
          <w:color w:val="383638"/>
          <w:spacing w:val="-1"/>
          <w:w w:val="105"/>
        </w:rPr>
        <w:t> </w:t>
      </w:r>
      <w:r>
        <w:rPr>
          <w:color w:val="383638"/>
          <w:w w:val="105"/>
        </w:rPr>
        <w:t>immigrant</w:t>
      </w:r>
      <w:r>
        <w:rPr>
          <w:color w:val="383638"/>
          <w:spacing w:val="10"/>
          <w:w w:val="105"/>
        </w:rPr>
        <w:t> </w:t>
      </w:r>
      <w:r>
        <w:rPr>
          <w:color w:val="383638"/>
          <w:w w:val="105"/>
        </w:rPr>
        <w:t>parents.</w:t>
      </w:r>
    </w:p>
    <w:p>
      <w:pPr>
        <w:pStyle w:val="BodyText"/>
        <w:spacing w:line="235" w:lineRule="auto"/>
        <w:ind w:left="706" w:right="116" w:firstLine="430"/>
        <w:jc w:val="both"/>
      </w:pPr>
      <w:r>
        <w:rPr>
          <w:color w:val="383638"/>
          <w:w w:val="110"/>
        </w:rPr>
        <w:t>You may have started thinking about policy arguments as you tried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 identify a theme for your argument. At this stage, you should make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sure that the outline of your argument reflects your theme. As part of that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step, note whether policy arguments that support your theme are worth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addressing as separate points in your argument and whether there are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authorities that would be useful support for these arguments. Not every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brief needs a separate policy argument; as noted previously, policy argu­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ments are often implicit </w:t>
      </w:r>
      <w:r>
        <w:rPr>
          <w:color w:val="383638"/>
          <w:w w:val="105"/>
          <w:sz w:val="21"/>
        </w:rPr>
        <w:t>in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</w:rPr>
        <w:t>legal arguments. But when drafting a working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outline, you may wish to  tentatively identify policy arguments that could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be</w:t>
      </w:r>
      <w:r>
        <w:rPr>
          <w:color w:val="383638"/>
          <w:spacing w:val="-33"/>
          <w:w w:val="105"/>
        </w:rPr>
        <w:t> </w:t>
      </w:r>
      <w:r>
        <w:rPr>
          <w:color w:val="383638"/>
          <w:w w:val="105"/>
        </w:rPr>
        <w:t>incorporated</w:t>
      </w:r>
      <w:r>
        <w:rPr>
          <w:color w:val="383638"/>
          <w:spacing w:val="15"/>
          <w:w w:val="105"/>
        </w:rPr>
        <w:t> </w:t>
      </w:r>
      <w:r>
        <w:rPr>
          <w:color w:val="383638"/>
          <w:w w:val="105"/>
        </w:rPr>
        <w:t>into</w:t>
      </w:r>
      <w:r>
        <w:rPr>
          <w:color w:val="383638"/>
          <w:spacing w:val="-17"/>
          <w:w w:val="105"/>
        </w:rPr>
        <w:t> </w:t>
      </w:r>
      <w:r>
        <w:rPr>
          <w:color w:val="383638"/>
          <w:w w:val="105"/>
        </w:rPr>
        <w:t>your</w:t>
      </w:r>
      <w:r>
        <w:rPr>
          <w:color w:val="383638"/>
          <w:spacing w:val="3"/>
          <w:w w:val="105"/>
        </w:rPr>
        <w:t> </w:t>
      </w:r>
      <w:r>
        <w:rPr>
          <w:color w:val="383638"/>
          <w:w w:val="105"/>
        </w:rPr>
        <w:t>argument.</w:t>
      </w:r>
    </w:p>
    <w:p>
      <w:pPr>
        <w:pStyle w:val="BodyText"/>
        <w:rPr>
          <w:sz w:val="33"/>
        </w:rPr>
      </w:pPr>
    </w:p>
    <w:p>
      <w:pPr>
        <w:spacing w:before="1"/>
        <w:ind w:left="990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383638"/>
          <w:w w:val="105"/>
          <w:sz w:val="27"/>
        </w:rPr>
        <w:t>4.1.4</w:t>
      </w:r>
    </w:p>
    <w:p>
      <w:pPr>
        <w:spacing w:line="292" w:lineRule="auto" w:before="36"/>
        <w:ind w:left="966" w:right="479" w:firstLine="3"/>
        <w:jc w:val="left"/>
        <w:rPr>
          <w:rFonts w:ascii="Arial"/>
          <w:b/>
          <w:sz w:val="22"/>
        </w:rPr>
      </w:pPr>
      <w:r>
        <w:rPr>
          <w:rFonts w:ascii="Arial"/>
          <w:b/>
          <w:color w:val="383638"/>
          <w:w w:val="95"/>
          <w:sz w:val="22"/>
        </w:rPr>
        <w:t>USING</w:t>
      </w:r>
      <w:r>
        <w:rPr>
          <w:rFonts w:ascii="Arial"/>
          <w:b/>
          <w:color w:val="383638"/>
          <w:spacing w:val="6"/>
          <w:w w:val="95"/>
          <w:sz w:val="22"/>
        </w:rPr>
        <w:t> </w:t>
      </w:r>
      <w:r>
        <w:rPr>
          <w:b/>
          <w:color w:val="383638"/>
          <w:w w:val="95"/>
          <w:sz w:val="24"/>
        </w:rPr>
        <w:t>A</w:t>
      </w:r>
      <w:r>
        <w:rPr>
          <w:b/>
          <w:color w:val="383638"/>
          <w:spacing w:val="-5"/>
          <w:w w:val="95"/>
          <w:sz w:val="24"/>
        </w:rPr>
        <w:t> </w:t>
      </w:r>
      <w:r>
        <w:rPr>
          <w:rFonts w:ascii="Arial"/>
          <w:b/>
          <w:color w:val="383638"/>
          <w:w w:val="95"/>
          <w:sz w:val="22"/>
        </w:rPr>
        <w:t>REVERSE</w:t>
      </w:r>
      <w:r>
        <w:rPr>
          <w:rFonts w:ascii="Arial"/>
          <w:b/>
          <w:color w:val="383638"/>
          <w:spacing w:val="13"/>
          <w:w w:val="95"/>
          <w:sz w:val="22"/>
        </w:rPr>
        <w:t> </w:t>
      </w:r>
      <w:r>
        <w:rPr>
          <w:b/>
          <w:color w:val="383638"/>
          <w:w w:val="95"/>
          <w:sz w:val="24"/>
        </w:rPr>
        <w:t>ROADMAP</w:t>
      </w:r>
      <w:r>
        <w:rPr>
          <w:b/>
          <w:color w:val="383638"/>
          <w:spacing w:val="11"/>
          <w:w w:val="95"/>
          <w:sz w:val="24"/>
        </w:rPr>
        <w:t> </w:t>
      </w:r>
      <w:r>
        <w:rPr>
          <w:b/>
          <w:color w:val="383638"/>
          <w:w w:val="95"/>
          <w:sz w:val="24"/>
        </w:rPr>
        <w:t>TO</w:t>
      </w:r>
      <w:r>
        <w:rPr>
          <w:b/>
          <w:color w:val="383638"/>
          <w:spacing w:val="10"/>
          <w:w w:val="95"/>
          <w:sz w:val="24"/>
        </w:rPr>
        <w:t> </w:t>
      </w:r>
      <w:r>
        <w:rPr>
          <w:rFonts w:ascii="Arial"/>
          <w:b/>
          <w:color w:val="383638"/>
          <w:w w:val="95"/>
          <w:sz w:val="22"/>
        </w:rPr>
        <w:t>STRUCTURE</w:t>
      </w:r>
      <w:r>
        <w:rPr>
          <w:rFonts w:ascii="Arial"/>
          <w:b/>
          <w:color w:val="383638"/>
          <w:spacing w:val="29"/>
          <w:w w:val="95"/>
          <w:sz w:val="22"/>
        </w:rPr>
        <w:t> </w:t>
      </w:r>
      <w:r>
        <w:rPr>
          <w:rFonts w:ascii="Arial"/>
          <w:b/>
          <w:color w:val="383638"/>
          <w:w w:val="95"/>
          <w:sz w:val="22"/>
        </w:rPr>
        <w:t>YOUR</w:t>
      </w:r>
      <w:r>
        <w:rPr>
          <w:rFonts w:ascii="Arial"/>
          <w:b/>
          <w:color w:val="383638"/>
          <w:spacing w:val="-56"/>
          <w:w w:val="95"/>
          <w:sz w:val="22"/>
        </w:rPr>
        <w:t> </w:t>
      </w:r>
      <w:r>
        <w:rPr>
          <w:rFonts w:ascii="Arial"/>
          <w:b/>
          <w:color w:val="383638"/>
          <w:sz w:val="22"/>
        </w:rPr>
        <w:t>ARGUMENT</w:t>
      </w:r>
    </w:p>
    <w:p>
      <w:pPr>
        <w:pStyle w:val="BodyText"/>
        <w:spacing w:line="232" w:lineRule="auto" w:before="83"/>
        <w:ind w:left="525" w:right="159" w:firstLine="429"/>
        <w:jc w:val="both"/>
      </w:pPr>
      <w:r>
        <w:rPr>
          <w:color w:val="383638"/>
          <w:w w:val="110"/>
        </w:rPr>
        <w:t>Another method of identifying structure is to create an outline 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paragraph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form. Start with  the  ultimate point  that  you want  the  court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to agree </w:t>
      </w:r>
      <w:r>
        <w:rPr>
          <w:color w:val="383638"/>
          <w:w w:val="110"/>
        </w:rPr>
        <w:t>with, and then ask yourself what point or points the court must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agree with to agree with </w:t>
      </w:r>
      <w:r>
        <w:rPr>
          <w:i/>
          <w:color w:val="383638"/>
          <w:w w:val="105"/>
          <w:sz w:val="22"/>
        </w:rPr>
        <w:t>that </w:t>
      </w:r>
      <w:r>
        <w:rPr>
          <w:color w:val="383638"/>
          <w:w w:val="105"/>
        </w:rPr>
        <w:t>point, moving in reverse until you are at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smallest part of any test you might ask a court to apply. This method is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more complicated because as you write the reverse roadmap paragraph,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 must already have in mind some relationships between and among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your points. The method might result in several branching paragraphs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rather than just one. For example, if you were working on </w:t>
      </w:r>
      <w:r>
        <w:rPr>
          <w:i/>
          <w:color w:val="383638"/>
          <w:w w:val="105"/>
          <w:sz w:val="22"/>
        </w:rPr>
        <w:t>Miller v. Albright,</w:t>
      </w:r>
      <w:r>
        <w:rPr>
          <w:i/>
          <w:color w:val="383638"/>
          <w:spacing w:val="1"/>
          <w:w w:val="105"/>
          <w:sz w:val="22"/>
        </w:rPr>
        <w:t> </w:t>
      </w:r>
      <w:r>
        <w:rPr>
          <w:color w:val="383638"/>
          <w:w w:val="105"/>
        </w:rPr>
        <w:t>the case described previously, part of your reverse roadmap outline might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look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like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this:</w:t>
      </w:r>
    </w:p>
    <w:p>
      <w:pPr>
        <w:spacing w:line="236" w:lineRule="exact" w:before="129"/>
        <w:ind w:left="862" w:right="0" w:firstLine="0"/>
        <w:jc w:val="both"/>
        <w:rPr>
          <w:b/>
          <w:sz w:val="21"/>
        </w:rPr>
      </w:pPr>
      <w:r>
        <w:rPr>
          <w:b/>
          <w:color w:val="383638"/>
          <w:w w:val="110"/>
          <w:sz w:val="21"/>
        </w:rPr>
        <w:t>This</w:t>
      </w:r>
      <w:r>
        <w:rPr>
          <w:b/>
          <w:color w:val="383638"/>
          <w:spacing w:val="-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court</w:t>
      </w:r>
      <w:r>
        <w:rPr>
          <w:b/>
          <w:color w:val="383638"/>
          <w:spacing w:val="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should</w:t>
      </w:r>
      <w:r>
        <w:rPr>
          <w:b/>
          <w:color w:val="383638"/>
          <w:spacing w:val="17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reverse</w:t>
      </w:r>
      <w:r>
        <w:rPr>
          <w:b/>
          <w:color w:val="383638"/>
          <w:spacing w:val="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</w:t>
      </w:r>
      <w:r>
        <w:rPr>
          <w:b/>
          <w:color w:val="383638"/>
          <w:spacing w:val="2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decision</w:t>
      </w:r>
      <w:r>
        <w:rPr>
          <w:b/>
          <w:color w:val="383638"/>
          <w:spacing w:val="2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below.</w:t>
      </w:r>
      <w:r>
        <w:rPr>
          <w:b/>
          <w:color w:val="383638"/>
          <w:spacing w:val="1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In</w:t>
      </w:r>
      <w:r>
        <w:rPr>
          <w:b/>
          <w:color w:val="383638"/>
          <w:spacing w:val="10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order</w:t>
      </w:r>
      <w:r>
        <w:rPr>
          <w:b/>
          <w:color w:val="383638"/>
          <w:spacing w:val="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to</w:t>
      </w:r>
      <w:r>
        <w:rPr>
          <w:b/>
          <w:color w:val="383638"/>
          <w:spacing w:val="2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decide</w:t>
      </w:r>
      <w:r>
        <w:rPr>
          <w:b/>
          <w:color w:val="383638"/>
          <w:spacing w:val="1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to</w:t>
      </w:r>
    </w:p>
    <w:p>
      <w:pPr>
        <w:spacing w:line="236" w:lineRule="exact" w:before="0"/>
        <w:ind w:left="858" w:right="0" w:firstLine="0"/>
        <w:jc w:val="both"/>
        <w:rPr>
          <w:sz w:val="21"/>
        </w:rPr>
      </w:pPr>
      <w:r>
        <w:rPr>
          <w:color w:val="383638"/>
          <w:w w:val="115"/>
          <w:sz w:val="21"/>
        </w:rPr>
        <w:t>reverse,</w:t>
      </w:r>
      <w:r>
        <w:rPr>
          <w:color w:val="383638"/>
          <w:spacing w:val="-5"/>
          <w:w w:val="115"/>
          <w:sz w:val="21"/>
        </w:rPr>
        <w:t> </w:t>
      </w:r>
      <w:r>
        <w:rPr>
          <w:color w:val="383638"/>
          <w:w w:val="115"/>
          <w:sz w:val="18"/>
        </w:rPr>
        <w:t>it</w:t>
      </w:r>
      <w:r>
        <w:rPr>
          <w:color w:val="383638"/>
          <w:spacing w:val="2"/>
          <w:w w:val="115"/>
          <w:sz w:val="18"/>
        </w:rPr>
        <w:t> </w:t>
      </w:r>
      <w:r>
        <w:rPr>
          <w:color w:val="383638"/>
          <w:w w:val="115"/>
          <w:sz w:val="21"/>
        </w:rPr>
        <w:t>has</w:t>
      </w:r>
      <w:r>
        <w:rPr>
          <w:color w:val="383638"/>
          <w:spacing w:val="26"/>
          <w:w w:val="115"/>
          <w:sz w:val="21"/>
        </w:rPr>
        <w:t> </w:t>
      </w:r>
      <w:r>
        <w:rPr>
          <w:color w:val="383638"/>
          <w:w w:val="115"/>
          <w:sz w:val="21"/>
        </w:rPr>
        <w:t>to</w:t>
      </w:r>
      <w:r>
        <w:rPr>
          <w:color w:val="383638"/>
          <w:spacing w:val="21"/>
          <w:w w:val="115"/>
          <w:sz w:val="21"/>
        </w:rPr>
        <w:t> </w:t>
      </w:r>
      <w:r>
        <w:rPr>
          <w:color w:val="383638"/>
          <w:w w:val="115"/>
          <w:sz w:val="21"/>
        </w:rPr>
        <w:t>agree</w:t>
      </w:r>
      <w:r>
        <w:rPr>
          <w:color w:val="383638"/>
          <w:spacing w:val="-13"/>
          <w:w w:val="115"/>
          <w:sz w:val="21"/>
        </w:rPr>
        <w:t> </w:t>
      </w:r>
      <w:r>
        <w:rPr>
          <w:color w:val="383638"/>
          <w:w w:val="115"/>
          <w:sz w:val="21"/>
        </w:rPr>
        <w:t>that</w:t>
      </w:r>
      <w:r>
        <w:rPr>
          <w:color w:val="383638"/>
          <w:spacing w:val="-18"/>
          <w:w w:val="115"/>
          <w:sz w:val="21"/>
        </w:rPr>
        <w:t> </w:t>
      </w:r>
      <w:r>
        <w:rPr>
          <w:color w:val="383638"/>
          <w:w w:val="115"/>
          <w:sz w:val="21"/>
        </w:rPr>
        <w:t>1409</w:t>
      </w:r>
      <w:r>
        <w:rPr>
          <w:color w:val="383638"/>
          <w:spacing w:val="-21"/>
          <w:w w:val="115"/>
          <w:sz w:val="21"/>
        </w:rPr>
        <w:t> </w:t>
      </w:r>
      <w:r>
        <w:rPr>
          <w:rFonts w:ascii="Arial"/>
          <w:color w:val="383638"/>
          <w:w w:val="115"/>
          <w:sz w:val="19"/>
        </w:rPr>
        <w:t>is</w:t>
      </w:r>
      <w:r>
        <w:rPr>
          <w:rFonts w:ascii="Arial"/>
          <w:color w:val="383638"/>
          <w:spacing w:val="-1"/>
          <w:w w:val="115"/>
          <w:sz w:val="19"/>
        </w:rPr>
        <w:t> </w:t>
      </w:r>
      <w:r>
        <w:rPr>
          <w:color w:val="383638"/>
          <w:w w:val="115"/>
          <w:sz w:val="21"/>
        </w:rPr>
        <w:t>unconstitutional.</w:t>
      </w:r>
    </w:p>
    <w:p>
      <w:pPr>
        <w:spacing w:line="230" w:lineRule="auto" w:before="132"/>
        <w:ind w:left="817" w:right="596" w:firstLine="28"/>
        <w:jc w:val="both"/>
        <w:rPr>
          <w:b/>
          <w:sz w:val="21"/>
        </w:rPr>
      </w:pPr>
      <w:r>
        <w:rPr>
          <w:b/>
          <w:color w:val="383638"/>
          <w:w w:val="105"/>
          <w:sz w:val="21"/>
        </w:rPr>
        <w:t>In order to agree that 1409 Js unconstitutional, the court either has to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10"/>
          <w:sz w:val="21"/>
        </w:rPr>
        <w:t>agree that 1409 violates the intermediate scrutiny test or that it vio­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lates</w:t>
      </w:r>
      <w:r>
        <w:rPr>
          <w:b/>
          <w:color w:val="383638"/>
          <w:spacing w:val="-1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</w:t>
      </w:r>
      <w:r>
        <w:rPr>
          <w:b/>
          <w:color w:val="383638"/>
          <w:spacing w:val="7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rational</w:t>
      </w:r>
      <w:r>
        <w:rPr>
          <w:b/>
          <w:color w:val="383638"/>
          <w:spacing w:val="20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basis</w:t>
      </w:r>
      <w:r>
        <w:rPr>
          <w:b/>
          <w:color w:val="383638"/>
          <w:spacing w:val="-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test.</w:t>
      </w:r>
    </w:p>
    <w:p>
      <w:pPr>
        <w:spacing w:line="232" w:lineRule="auto" w:before="141"/>
        <w:ind w:left="762" w:right="620" w:firstLine="34"/>
        <w:jc w:val="both"/>
        <w:rPr>
          <w:sz w:val="21"/>
        </w:rPr>
      </w:pPr>
      <w:r>
        <w:rPr>
          <w:color w:val="383638"/>
          <w:w w:val="115"/>
          <w:sz w:val="22"/>
        </w:rPr>
        <w:t>In </w:t>
      </w:r>
      <w:r>
        <w:rPr>
          <w:color w:val="383638"/>
          <w:w w:val="115"/>
          <w:sz w:val="21"/>
        </w:rPr>
        <w:t>order </w:t>
      </w:r>
      <w:r>
        <w:rPr>
          <w:color w:val="383638"/>
          <w:w w:val="115"/>
          <w:sz w:val="20"/>
        </w:rPr>
        <w:t>to </w:t>
      </w:r>
      <w:r>
        <w:rPr>
          <w:color w:val="383638"/>
          <w:w w:val="115"/>
          <w:sz w:val="21"/>
        </w:rPr>
        <w:t>agree that 1409 violates the intermediate scrutiny test, the</w:t>
      </w:r>
      <w:r>
        <w:rPr>
          <w:color w:val="383638"/>
          <w:spacing w:val="1"/>
          <w:w w:val="115"/>
          <w:sz w:val="21"/>
        </w:rPr>
        <w:t> </w:t>
      </w:r>
      <w:r>
        <w:rPr>
          <w:b/>
          <w:color w:val="383638"/>
          <w:w w:val="105"/>
          <w:sz w:val="21"/>
        </w:rPr>
        <w:t>court first has to agree that the intermediate scrutiny test applies. In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10"/>
          <w:sz w:val="21"/>
        </w:rPr>
        <w:t>order to agree that the intermediate scrutiny test applies, the court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color w:val="383638"/>
          <w:w w:val="115"/>
          <w:sz w:val="21"/>
        </w:rPr>
        <w:t>has</w:t>
      </w:r>
      <w:r>
        <w:rPr>
          <w:color w:val="383638"/>
          <w:spacing w:val="29"/>
          <w:w w:val="115"/>
          <w:sz w:val="21"/>
        </w:rPr>
        <w:t> </w:t>
      </w:r>
      <w:r>
        <w:rPr>
          <w:color w:val="383638"/>
          <w:w w:val="115"/>
          <w:sz w:val="21"/>
        </w:rPr>
        <w:t>to</w:t>
      </w:r>
      <w:r>
        <w:rPr>
          <w:color w:val="383638"/>
          <w:spacing w:val="9"/>
          <w:w w:val="115"/>
          <w:sz w:val="21"/>
        </w:rPr>
        <w:t> </w:t>
      </w:r>
      <w:r>
        <w:rPr>
          <w:color w:val="383638"/>
          <w:w w:val="115"/>
          <w:sz w:val="21"/>
        </w:rPr>
        <w:t>agree</w:t>
      </w:r>
      <w:r>
        <w:rPr>
          <w:color w:val="383638"/>
          <w:spacing w:val="-10"/>
          <w:w w:val="115"/>
          <w:sz w:val="21"/>
        </w:rPr>
        <w:t> </w:t>
      </w:r>
      <w:r>
        <w:rPr>
          <w:color w:val="383638"/>
          <w:w w:val="115"/>
          <w:sz w:val="21"/>
        </w:rPr>
        <w:t>that</w:t>
      </w:r>
      <w:r>
        <w:rPr>
          <w:color w:val="383638"/>
          <w:spacing w:val="7"/>
          <w:w w:val="115"/>
          <w:sz w:val="21"/>
        </w:rPr>
        <w:t> </w:t>
      </w:r>
      <w:r>
        <w:rPr>
          <w:color w:val="383638"/>
          <w:w w:val="115"/>
          <w:sz w:val="21"/>
        </w:rPr>
        <w:t>the</w:t>
      </w:r>
      <w:r>
        <w:rPr>
          <w:color w:val="383638"/>
          <w:spacing w:val="-25"/>
          <w:w w:val="115"/>
          <w:sz w:val="21"/>
        </w:rPr>
        <w:t> </w:t>
      </w:r>
      <w:r>
        <w:rPr>
          <w:color w:val="383638"/>
          <w:w w:val="115"/>
          <w:sz w:val="21"/>
        </w:rPr>
        <w:t>statute</w:t>
      </w:r>
      <w:r>
        <w:rPr>
          <w:color w:val="383638"/>
          <w:spacing w:val="-17"/>
          <w:w w:val="115"/>
          <w:sz w:val="21"/>
        </w:rPr>
        <w:t> </w:t>
      </w:r>
      <w:r>
        <w:rPr>
          <w:color w:val="383638"/>
          <w:w w:val="115"/>
          <w:sz w:val="21"/>
        </w:rPr>
        <w:t>discriminates on</w:t>
      </w:r>
      <w:r>
        <w:rPr>
          <w:color w:val="383638"/>
          <w:spacing w:val="17"/>
          <w:w w:val="115"/>
          <w:sz w:val="21"/>
        </w:rPr>
        <w:t> </w:t>
      </w:r>
      <w:r>
        <w:rPr>
          <w:color w:val="383638"/>
          <w:w w:val="115"/>
          <w:sz w:val="21"/>
        </w:rPr>
        <w:t>the</w:t>
      </w:r>
      <w:r>
        <w:rPr>
          <w:color w:val="383638"/>
          <w:spacing w:val="19"/>
          <w:w w:val="115"/>
          <w:sz w:val="21"/>
        </w:rPr>
        <w:t> </w:t>
      </w:r>
      <w:r>
        <w:rPr>
          <w:color w:val="383638"/>
          <w:w w:val="115"/>
          <w:sz w:val="21"/>
        </w:rPr>
        <w:t>basis</w:t>
      </w:r>
      <w:r>
        <w:rPr>
          <w:color w:val="383638"/>
          <w:spacing w:val="-17"/>
          <w:w w:val="115"/>
          <w:sz w:val="21"/>
        </w:rPr>
        <w:t> </w:t>
      </w:r>
      <w:r>
        <w:rPr>
          <w:color w:val="383638"/>
          <w:w w:val="115"/>
          <w:sz w:val="21"/>
        </w:rPr>
        <w:t>of</w:t>
      </w:r>
      <w:r>
        <w:rPr>
          <w:color w:val="383638"/>
          <w:spacing w:val="4"/>
          <w:w w:val="115"/>
          <w:sz w:val="21"/>
        </w:rPr>
        <w:t> </w:t>
      </w:r>
      <w:r>
        <w:rPr>
          <w:color w:val="383638"/>
          <w:w w:val="115"/>
          <w:sz w:val="21"/>
        </w:rPr>
        <w:t>gender.</w:t>
      </w:r>
    </w:p>
    <w:p>
      <w:pPr>
        <w:spacing w:line="230" w:lineRule="auto" w:before="142"/>
        <w:ind w:left="726" w:right="636" w:firstLine="10"/>
        <w:jc w:val="both"/>
        <w:rPr>
          <w:b/>
          <w:sz w:val="21"/>
        </w:rPr>
      </w:pPr>
      <w:r>
        <w:rPr>
          <w:b/>
          <w:color w:val="383638"/>
          <w:w w:val="110"/>
          <w:sz w:val="21"/>
        </w:rPr>
        <w:t>The court would also have to agree that this is not an immigration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statute, so</w:t>
      </w:r>
      <w:r>
        <w:rPr>
          <w:b/>
          <w:color w:val="383638"/>
          <w:spacing w:val="14"/>
          <w:w w:val="110"/>
          <w:sz w:val="21"/>
        </w:rPr>
        <w:t> </w:t>
      </w:r>
      <w:r>
        <w:rPr>
          <w:rFonts w:ascii="Arial"/>
          <w:b/>
          <w:i/>
          <w:color w:val="383638"/>
          <w:w w:val="110"/>
          <w:sz w:val="19"/>
        </w:rPr>
        <w:t>the</w:t>
      </w:r>
      <w:r>
        <w:rPr>
          <w:rFonts w:ascii="Arial"/>
          <w:b/>
          <w:i/>
          <w:color w:val="383638"/>
          <w:spacing w:val="23"/>
          <w:w w:val="110"/>
          <w:sz w:val="19"/>
        </w:rPr>
        <w:t> </w:t>
      </w:r>
      <w:r>
        <w:rPr>
          <w:b/>
          <w:color w:val="383638"/>
          <w:w w:val="110"/>
          <w:sz w:val="21"/>
        </w:rPr>
        <w:t>court</w:t>
      </w:r>
      <w:r>
        <w:rPr>
          <w:b/>
          <w:color w:val="383638"/>
          <w:spacing w:val="-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doesn't</w:t>
      </w:r>
      <w:r>
        <w:rPr>
          <w:b/>
          <w:color w:val="383638"/>
          <w:spacing w:val="-2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have</w:t>
      </w:r>
      <w:r>
        <w:rPr>
          <w:b/>
          <w:color w:val="383638"/>
          <w:spacing w:val="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to</w:t>
      </w:r>
      <w:r>
        <w:rPr>
          <w:b/>
          <w:color w:val="383638"/>
          <w:spacing w:val="-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defer</w:t>
      </w:r>
      <w:r>
        <w:rPr>
          <w:b/>
          <w:color w:val="383638"/>
          <w:spacing w:val="-12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to</w:t>
      </w:r>
      <w:r>
        <w:rPr>
          <w:b/>
          <w:color w:val="383638"/>
          <w:spacing w:val="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Congress</w:t>
      </w:r>
      <w:r>
        <w:rPr>
          <w:b/>
          <w:color w:val="383638"/>
          <w:spacing w:val="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and</w:t>
      </w:r>
      <w:r>
        <w:rPr>
          <w:b/>
          <w:color w:val="383638"/>
          <w:spacing w:val="2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therefore</w:t>
      </w:r>
    </w:p>
    <w:p>
      <w:pPr>
        <w:spacing w:after="0" w:line="230" w:lineRule="auto"/>
        <w:jc w:val="both"/>
        <w:rPr>
          <w:sz w:val="21"/>
        </w:rPr>
        <w:sectPr>
          <w:pgSz w:w="9430" w:h="13780"/>
          <w:pgMar w:header="437" w:footer="0" w:top="1020" w:bottom="0" w:left="130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spacing w:before="0"/>
        <w:ind w:left="456" w:right="670" w:hanging="2"/>
        <w:jc w:val="both"/>
        <w:rPr>
          <w:b/>
          <w:sz w:val="21"/>
        </w:rPr>
      </w:pPr>
      <w:r>
        <w:rPr>
          <w:b/>
          <w:color w:val="383638"/>
          <w:w w:val="110"/>
          <w:sz w:val="21"/>
        </w:rPr>
        <w:t>apply an easier test, OR </w:t>
      </w:r>
      <w:r>
        <w:rPr>
          <w:b/>
          <w:color w:val="2A2628"/>
          <w:w w:val="110"/>
          <w:sz w:val="21"/>
        </w:rPr>
        <w:t>it </w:t>
      </w:r>
      <w:r>
        <w:rPr>
          <w:b/>
          <w:color w:val="383638"/>
          <w:w w:val="110"/>
          <w:sz w:val="21"/>
        </w:rPr>
        <w:t>has to agree that even if the statute is an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0"/>
        </w:rPr>
        <w:t>immigration </w:t>
      </w:r>
      <w:r>
        <w:rPr>
          <w:b/>
          <w:color w:val="4B494B"/>
          <w:w w:val="110"/>
          <w:sz w:val="21"/>
        </w:rPr>
        <w:t>statute, </w:t>
      </w:r>
      <w:r>
        <w:rPr>
          <w:color w:val="383638"/>
          <w:w w:val="110"/>
          <w:sz w:val="20"/>
        </w:rPr>
        <w:t>the</w:t>
      </w:r>
      <w:r>
        <w:rPr>
          <w:color w:val="383638"/>
          <w:spacing w:val="1"/>
          <w:w w:val="110"/>
          <w:sz w:val="20"/>
        </w:rPr>
        <w:t> </w:t>
      </w:r>
      <w:r>
        <w:rPr>
          <w:b/>
          <w:color w:val="383638"/>
          <w:w w:val="110"/>
          <w:sz w:val="21"/>
        </w:rPr>
        <w:t>fact that it discriminates </w:t>
      </w:r>
      <w:r>
        <w:rPr>
          <w:color w:val="383638"/>
          <w:w w:val="110"/>
          <w:sz w:val="20"/>
        </w:rPr>
        <w:t>on</w:t>
      </w:r>
      <w:r>
        <w:rPr>
          <w:color w:val="383638"/>
          <w:spacing w:val="1"/>
          <w:w w:val="110"/>
          <w:sz w:val="20"/>
        </w:rPr>
        <w:t> </w:t>
      </w:r>
      <w:r>
        <w:rPr>
          <w:color w:val="383638"/>
          <w:w w:val="110"/>
          <w:sz w:val="20"/>
        </w:rPr>
        <w:t>the</w:t>
      </w:r>
      <w:r>
        <w:rPr>
          <w:color w:val="383638"/>
          <w:spacing w:val="1"/>
          <w:w w:val="110"/>
          <w:sz w:val="20"/>
        </w:rPr>
        <w:t> </w:t>
      </w:r>
      <w:r>
        <w:rPr>
          <w:b/>
          <w:color w:val="383638"/>
          <w:w w:val="110"/>
          <w:sz w:val="21"/>
        </w:rPr>
        <w:t>basis </w:t>
      </w:r>
      <w:r>
        <w:rPr>
          <w:color w:val="383638"/>
          <w:w w:val="110"/>
          <w:sz w:val="20"/>
        </w:rPr>
        <w:t>of </w:t>
      </w:r>
      <w:r>
        <w:rPr>
          <w:b/>
          <w:color w:val="383638"/>
          <w:w w:val="110"/>
          <w:sz w:val="21"/>
        </w:rPr>
        <w:t>gen­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der</w:t>
      </w:r>
      <w:r>
        <w:rPr>
          <w:b/>
          <w:color w:val="383638"/>
          <w:spacing w:val="-1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is more</w:t>
      </w:r>
      <w:r>
        <w:rPr>
          <w:b/>
          <w:color w:val="383638"/>
          <w:spacing w:val="-1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significant.</w:t>
      </w:r>
    </w:p>
    <w:p>
      <w:pPr>
        <w:spacing w:line="237" w:lineRule="auto" w:before="134"/>
        <w:ind w:left="456" w:right="670" w:firstLine="5"/>
        <w:jc w:val="both"/>
        <w:rPr>
          <w:b/>
          <w:sz w:val="21"/>
        </w:rPr>
      </w:pPr>
      <w:r>
        <w:rPr>
          <w:b/>
          <w:color w:val="4B494B"/>
          <w:w w:val="110"/>
          <w:sz w:val="21"/>
        </w:rPr>
        <w:t>Now, </w:t>
      </w:r>
      <w:r>
        <w:rPr>
          <w:b/>
          <w:color w:val="383638"/>
          <w:w w:val="110"/>
          <w:sz w:val="21"/>
        </w:rPr>
        <w:t>in order to agree that the statute </w:t>
      </w:r>
      <w:r>
        <w:rPr>
          <w:b/>
          <w:i/>
          <w:color w:val="383638"/>
          <w:w w:val="110"/>
          <w:sz w:val="20"/>
        </w:rPr>
        <w:t>fails </w:t>
      </w:r>
      <w:r>
        <w:rPr>
          <w:b/>
          <w:color w:val="383638"/>
          <w:w w:val="110"/>
          <w:sz w:val="21"/>
        </w:rPr>
        <w:t>the intermediate scrutiny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test, the court has to agree both that there's no substantial relation­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ship between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 discrimination in  the </w:t>
      </w:r>
      <w:r>
        <w:rPr>
          <w:b/>
          <w:color w:val="4B494B"/>
          <w:w w:val="110"/>
          <w:sz w:val="21"/>
        </w:rPr>
        <w:t>statute </w:t>
      </w:r>
      <w:r>
        <w:rPr>
          <w:b/>
          <w:color w:val="383638"/>
          <w:w w:val="110"/>
          <w:sz w:val="21"/>
        </w:rPr>
        <w:t>and  the achievement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rFonts w:ascii="Arial" w:hAnsi="Arial"/>
          <w:color w:val="383638"/>
          <w:w w:val="110"/>
          <w:sz w:val="19"/>
        </w:rPr>
        <w:t>of </w:t>
      </w:r>
      <w:r>
        <w:rPr>
          <w:b/>
          <w:color w:val="383638"/>
          <w:w w:val="110"/>
          <w:sz w:val="21"/>
        </w:rPr>
        <w:t>the government's goals </w:t>
      </w:r>
      <w:r>
        <w:rPr>
          <w:b/>
          <w:i/>
          <w:color w:val="383638"/>
          <w:w w:val="110"/>
          <w:sz w:val="21"/>
        </w:rPr>
        <w:t>and </w:t>
      </w:r>
      <w:r>
        <w:rPr>
          <w:b/>
          <w:color w:val="383638"/>
          <w:w w:val="110"/>
          <w:sz w:val="21"/>
        </w:rPr>
        <w:t>that there's </w:t>
      </w:r>
      <w:r>
        <w:rPr>
          <w:rFonts w:ascii="Arial" w:hAnsi="Arial"/>
          <w:color w:val="383638"/>
          <w:w w:val="110"/>
          <w:sz w:val="19"/>
        </w:rPr>
        <w:t>no </w:t>
      </w:r>
      <w:r>
        <w:rPr>
          <w:b/>
          <w:color w:val="383638"/>
          <w:w w:val="110"/>
          <w:sz w:val="21"/>
        </w:rPr>
        <w:t>exceedingly persuasive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justification</w:t>
      </w:r>
      <w:r>
        <w:rPr>
          <w:b/>
          <w:color w:val="383638"/>
          <w:spacing w:val="10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for</w:t>
      </w:r>
      <w:r>
        <w:rPr>
          <w:b/>
          <w:color w:val="383638"/>
          <w:spacing w:val="-1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</w:t>
      </w:r>
      <w:r>
        <w:rPr>
          <w:b/>
          <w:color w:val="383638"/>
          <w:spacing w:val="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statute.</w:t>
      </w:r>
    </w:p>
    <w:p>
      <w:pPr>
        <w:spacing w:line="235" w:lineRule="auto" w:before="146"/>
        <w:ind w:left="467" w:right="653" w:firstLine="3"/>
        <w:jc w:val="both"/>
        <w:rPr>
          <w:b/>
          <w:sz w:val="21"/>
        </w:rPr>
      </w:pPr>
      <w:r>
        <w:rPr>
          <w:b/>
          <w:color w:val="383638"/>
          <w:w w:val="110"/>
          <w:sz w:val="21"/>
        </w:rPr>
        <w:t>In order to agree that it violates the rational basis test, the </w:t>
      </w:r>
      <w:r>
        <w:rPr>
          <w:color w:val="383638"/>
          <w:w w:val="110"/>
          <w:sz w:val="20"/>
        </w:rPr>
        <w:t>court </w:t>
      </w:r>
      <w:r>
        <w:rPr>
          <w:b/>
          <w:color w:val="383638"/>
          <w:w w:val="110"/>
          <w:sz w:val="21"/>
        </w:rPr>
        <w:t>first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has</w:t>
      </w:r>
      <w:r>
        <w:rPr>
          <w:b/>
          <w:color w:val="383638"/>
          <w:spacing w:val="-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to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agree</w:t>
      </w:r>
      <w:r>
        <w:rPr>
          <w:b/>
          <w:color w:val="383638"/>
          <w:spacing w:val="-12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that</w:t>
      </w:r>
      <w:r>
        <w:rPr>
          <w:b/>
          <w:color w:val="383638"/>
          <w:spacing w:val="-12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this</w:t>
      </w:r>
      <w:r>
        <w:rPr>
          <w:b/>
          <w:color w:val="383638"/>
          <w:spacing w:val="-22"/>
          <w:w w:val="110"/>
          <w:sz w:val="21"/>
        </w:rPr>
        <w:t> </w:t>
      </w:r>
      <w:r>
        <w:rPr>
          <w:b/>
          <w:color w:val="2A2628"/>
          <w:w w:val="110"/>
          <w:sz w:val="21"/>
        </w:rPr>
        <w:t>test</w:t>
      </w:r>
      <w:r>
        <w:rPr>
          <w:b/>
          <w:color w:val="2A2628"/>
          <w:spacing w:val="-1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is</w:t>
      </w:r>
      <w:r>
        <w:rPr>
          <w:b/>
          <w:color w:val="383638"/>
          <w:spacing w:val="-1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</w:t>
      </w:r>
      <w:r>
        <w:rPr>
          <w:b/>
          <w:color w:val="383638"/>
          <w:spacing w:val="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correct</w:t>
      </w:r>
      <w:r>
        <w:rPr>
          <w:b/>
          <w:color w:val="383638"/>
          <w:spacing w:val="-7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test</w:t>
      </w:r>
      <w:r>
        <w:rPr>
          <w:b/>
          <w:color w:val="383638"/>
          <w:spacing w:val="-10"/>
          <w:w w:val="110"/>
          <w:sz w:val="21"/>
        </w:rPr>
        <w:t> </w:t>
      </w:r>
      <w:r>
        <w:rPr>
          <w:color w:val="383638"/>
          <w:w w:val="110"/>
          <w:sz w:val="20"/>
        </w:rPr>
        <w:t>to</w:t>
      </w:r>
      <w:r>
        <w:rPr>
          <w:color w:val="383638"/>
          <w:spacing w:val="23"/>
          <w:w w:val="110"/>
          <w:sz w:val="20"/>
        </w:rPr>
        <w:t> </w:t>
      </w:r>
      <w:r>
        <w:rPr>
          <w:b/>
          <w:color w:val="383638"/>
          <w:w w:val="110"/>
          <w:sz w:val="21"/>
        </w:rPr>
        <w:t>apply,</w:t>
      </w:r>
      <w:r>
        <w:rPr>
          <w:b/>
          <w:color w:val="383638"/>
          <w:spacing w:val="-2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which</w:t>
      </w:r>
      <w:r>
        <w:rPr>
          <w:b/>
          <w:color w:val="383638"/>
          <w:spacing w:val="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means</w:t>
      </w:r>
      <w:r>
        <w:rPr>
          <w:b/>
          <w:color w:val="383638"/>
          <w:spacing w:val="-17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that</w:t>
      </w:r>
      <w:r>
        <w:rPr>
          <w:b/>
          <w:color w:val="383638"/>
          <w:spacing w:val="-5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 court thinks that immigration </w:t>
      </w:r>
      <w:r>
        <w:rPr>
          <w:b/>
          <w:color w:val="2A2628"/>
          <w:w w:val="110"/>
          <w:sz w:val="21"/>
        </w:rPr>
        <w:t>law </w:t>
      </w:r>
      <w:r>
        <w:rPr>
          <w:b/>
          <w:color w:val="383638"/>
          <w:w w:val="110"/>
          <w:sz w:val="21"/>
        </w:rPr>
        <w:t>is more important than gender</w:t>
      </w:r>
      <w:r>
        <w:rPr>
          <w:b/>
          <w:color w:val="383638"/>
          <w:spacing w:val="-5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law. In order to agree that </w:t>
      </w:r>
      <w:r>
        <w:rPr>
          <w:color w:val="383638"/>
          <w:w w:val="110"/>
          <w:sz w:val="20"/>
        </w:rPr>
        <w:t>1409 </w:t>
      </w:r>
      <w:r>
        <w:rPr>
          <w:b/>
          <w:color w:val="383638"/>
          <w:w w:val="110"/>
          <w:sz w:val="21"/>
        </w:rPr>
        <w:t>violates the rational basis test, it first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05"/>
          <w:sz w:val="21"/>
        </w:rPr>
        <w:t>has</w:t>
      </w:r>
      <w:r>
        <w:rPr>
          <w:b/>
          <w:color w:val="383638"/>
          <w:spacing w:val="-2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to</w:t>
      </w:r>
      <w:r>
        <w:rPr>
          <w:b/>
          <w:color w:val="383638"/>
          <w:spacing w:val="4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agree that</w:t>
      </w:r>
      <w:r>
        <w:rPr>
          <w:b/>
          <w:color w:val="383638"/>
          <w:spacing w:val="-18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Congress</w:t>
      </w:r>
      <w:r>
        <w:rPr>
          <w:b/>
          <w:color w:val="383638"/>
          <w:spacing w:val="9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had</w:t>
      </w:r>
      <w:r>
        <w:rPr>
          <w:b/>
          <w:color w:val="383638"/>
          <w:spacing w:val="2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no</w:t>
      </w:r>
      <w:r>
        <w:rPr>
          <w:b/>
          <w:color w:val="383638"/>
          <w:spacing w:val="33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rational</w:t>
      </w:r>
      <w:r>
        <w:rPr>
          <w:b/>
          <w:color w:val="383638"/>
          <w:spacing w:val="25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reason</w:t>
      </w:r>
      <w:r>
        <w:rPr>
          <w:b/>
          <w:color w:val="383638"/>
          <w:spacing w:val="-4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for</w:t>
      </w:r>
      <w:r>
        <w:rPr>
          <w:b/>
          <w:color w:val="383638"/>
          <w:spacing w:val="8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the</w:t>
      </w:r>
      <w:r>
        <w:rPr>
          <w:b/>
          <w:color w:val="383638"/>
          <w:spacing w:val="34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law.</w:t>
      </w:r>
    </w:p>
    <w:p>
      <w:pPr>
        <w:spacing w:line="237" w:lineRule="auto" w:before="134"/>
        <w:ind w:left="464" w:right="648" w:firstLine="4"/>
        <w:jc w:val="both"/>
        <w:rPr>
          <w:b/>
          <w:sz w:val="21"/>
        </w:rPr>
      </w:pPr>
      <w:r>
        <w:rPr>
          <w:color w:val="383638"/>
          <w:w w:val="115"/>
          <w:sz w:val="19"/>
        </w:rPr>
        <w:t>It</w:t>
      </w:r>
      <w:r>
        <w:rPr>
          <w:color w:val="383638"/>
          <w:spacing w:val="1"/>
          <w:w w:val="115"/>
          <w:sz w:val="19"/>
        </w:rPr>
        <w:t> </w:t>
      </w:r>
      <w:r>
        <w:rPr>
          <w:b/>
          <w:color w:val="383638"/>
          <w:w w:val="115"/>
          <w:sz w:val="21"/>
        </w:rPr>
        <w:t>might</w:t>
      </w:r>
      <w:r>
        <w:rPr>
          <w:b/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0"/>
        </w:rPr>
        <w:t>help the court  </w:t>
      </w:r>
      <w:r>
        <w:rPr>
          <w:color w:val="2A2628"/>
          <w:w w:val="115"/>
          <w:sz w:val="20"/>
        </w:rPr>
        <w:t>to </w:t>
      </w:r>
      <w:r>
        <w:rPr>
          <w:b/>
          <w:color w:val="383638"/>
          <w:w w:val="115"/>
          <w:sz w:val="21"/>
        </w:rPr>
        <w:t>agree that </w:t>
      </w:r>
      <w:r>
        <w:rPr>
          <w:color w:val="383638"/>
          <w:w w:val="115"/>
          <w:sz w:val="20"/>
        </w:rPr>
        <w:t>1409 is </w:t>
      </w:r>
      <w:r>
        <w:rPr>
          <w:color w:val="2A2628"/>
          <w:w w:val="115"/>
          <w:sz w:val="20"/>
        </w:rPr>
        <w:t>unconstitution</w:t>
      </w:r>
      <w:r>
        <w:rPr>
          <w:color w:val="4B494B"/>
          <w:w w:val="115"/>
          <w:sz w:val="20"/>
        </w:rPr>
        <w:t>al  </w:t>
      </w:r>
      <w:r>
        <w:rPr>
          <w:color w:val="383638"/>
          <w:w w:val="115"/>
          <w:sz w:val="20"/>
        </w:rPr>
        <w:t>if </w:t>
      </w:r>
      <w:r>
        <w:rPr>
          <w:color w:val="383638"/>
          <w:w w:val="115"/>
          <w:sz w:val="18"/>
        </w:rPr>
        <w:t>it</w:t>
      </w:r>
      <w:r>
        <w:rPr>
          <w:color w:val="383638"/>
          <w:spacing w:val="1"/>
          <w:w w:val="115"/>
          <w:sz w:val="18"/>
        </w:rPr>
        <w:t> </w:t>
      </w:r>
      <w:r>
        <w:rPr>
          <w:b/>
          <w:color w:val="383638"/>
          <w:spacing w:val="-1"/>
          <w:w w:val="115"/>
          <w:sz w:val="21"/>
        </w:rPr>
        <w:t>agrees </w:t>
      </w:r>
      <w:r>
        <w:rPr>
          <w:b/>
          <w:color w:val="383638"/>
          <w:w w:val="115"/>
          <w:sz w:val="21"/>
        </w:rPr>
        <w:t>that biological </w:t>
      </w:r>
      <w:r>
        <w:rPr>
          <w:b/>
          <w:color w:val="2A2628"/>
          <w:w w:val="115"/>
          <w:sz w:val="21"/>
        </w:rPr>
        <w:t>parent-child </w:t>
      </w:r>
      <w:r>
        <w:rPr>
          <w:b/>
          <w:color w:val="383638"/>
          <w:w w:val="115"/>
          <w:sz w:val="21"/>
        </w:rPr>
        <w:t>relationships are important, or</w:t>
      </w:r>
      <w:r>
        <w:rPr>
          <w:b/>
          <w:color w:val="383638"/>
          <w:spacing w:val="1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that reuniting parents and children is important, or that children</w:t>
      </w:r>
      <w:r>
        <w:rPr>
          <w:b/>
          <w:color w:val="383638"/>
          <w:spacing w:val="1"/>
          <w:w w:val="115"/>
          <w:sz w:val="21"/>
        </w:rPr>
        <w:t> </w:t>
      </w:r>
      <w:r>
        <w:rPr>
          <w:b/>
          <w:color w:val="383638"/>
          <w:w w:val="110"/>
          <w:sz w:val="21"/>
        </w:rPr>
        <w:t>should not suffer adverse consequences for the </w:t>
      </w:r>
      <w:r>
        <w:rPr>
          <w:b/>
          <w:color w:val="4B494B"/>
          <w:w w:val="110"/>
          <w:sz w:val="21"/>
        </w:rPr>
        <w:t>acts</w:t>
      </w:r>
      <w:r>
        <w:rPr>
          <w:b/>
          <w:color w:val="383638"/>
          <w:w w:val="110"/>
          <w:sz w:val="21"/>
        </w:rPr>
        <w:t>of their parents or</w:t>
      </w:r>
      <w:r>
        <w:rPr>
          <w:b/>
          <w:color w:val="383638"/>
          <w:spacing w:val="-55"/>
          <w:w w:val="110"/>
          <w:sz w:val="21"/>
        </w:rPr>
        <w:t> </w:t>
      </w:r>
      <w:r>
        <w:rPr>
          <w:b/>
          <w:color w:val="383638"/>
          <w:w w:val="115"/>
          <w:sz w:val="21"/>
        </w:rPr>
        <w:t>the</w:t>
      </w:r>
      <w:r>
        <w:rPr>
          <w:b/>
          <w:color w:val="383638"/>
          <w:spacing w:val="-5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status</w:t>
      </w:r>
      <w:r>
        <w:rPr>
          <w:b/>
          <w:color w:val="383638"/>
          <w:spacing w:val="-17"/>
          <w:w w:val="115"/>
          <w:sz w:val="21"/>
        </w:rPr>
        <w:t> </w:t>
      </w:r>
      <w:r>
        <w:rPr>
          <w:rFonts w:ascii="Arial"/>
          <w:color w:val="383638"/>
          <w:w w:val="115"/>
          <w:sz w:val="19"/>
        </w:rPr>
        <w:t>of</w:t>
      </w:r>
      <w:r>
        <w:rPr>
          <w:rFonts w:ascii="Arial"/>
          <w:color w:val="383638"/>
          <w:spacing w:val="25"/>
          <w:w w:val="115"/>
          <w:sz w:val="19"/>
        </w:rPr>
        <w:t> </w:t>
      </w:r>
      <w:r>
        <w:rPr>
          <w:b/>
          <w:color w:val="383638"/>
          <w:w w:val="115"/>
          <w:sz w:val="21"/>
        </w:rPr>
        <w:t>their</w:t>
      </w:r>
      <w:r>
        <w:rPr>
          <w:b/>
          <w:color w:val="383638"/>
          <w:spacing w:val="-12"/>
          <w:w w:val="115"/>
          <w:sz w:val="21"/>
        </w:rPr>
        <w:t> </w:t>
      </w:r>
      <w:r>
        <w:rPr>
          <w:b/>
          <w:color w:val="2A2628"/>
          <w:w w:val="115"/>
          <w:sz w:val="21"/>
        </w:rPr>
        <w:t>par</w:t>
      </w:r>
      <w:r>
        <w:rPr>
          <w:b/>
          <w:color w:val="4B494B"/>
          <w:w w:val="115"/>
          <w:sz w:val="21"/>
        </w:rPr>
        <w:t>ents.</w:t>
      </w:r>
    </w:p>
    <w:p>
      <w:pPr>
        <w:pStyle w:val="BodyText"/>
        <w:spacing w:line="235" w:lineRule="auto" w:before="146"/>
        <w:ind w:left="116" w:right="251" w:hanging="1"/>
        <w:jc w:val="both"/>
      </w:pPr>
      <w:r>
        <w:rPr>
          <w:color w:val="383638"/>
          <w:w w:val="110"/>
        </w:rPr>
        <w:t>As with the "list of assertions" method, this method might be more effec­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tive with pen and paper than with a computer. If you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want to pick up a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paragraph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move it around or draw lines connecting two or more para­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graphs with each other, you may be better off with hard copy than digital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copy. A reverse roadmap outline might be complete enough to </w:t>
      </w:r>
      <w:r>
        <w:rPr>
          <w:color w:val="2A2628"/>
          <w:w w:val="115"/>
        </w:rPr>
        <w:t>let </w:t>
      </w:r>
      <w:r>
        <w:rPr>
          <w:color w:val="383638"/>
          <w:w w:val="115"/>
        </w:rPr>
        <w:t>you</w:t>
      </w:r>
      <w:r>
        <w:rPr>
          <w:color w:val="383638"/>
          <w:spacing w:val="1"/>
          <w:w w:val="115"/>
        </w:rPr>
        <w:t> </w:t>
      </w:r>
      <w:r>
        <w:rPr>
          <w:color w:val="4B494B"/>
          <w:w w:val="110"/>
        </w:rPr>
        <w:t>start </w:t>
      </w:r>
      <w:r>
        <w:rPr>
          <w:color w:val="383638"/>
          <w:w w:val="110"/>
        </w:rPr>
        <w:t>writing, or </w:t>
      </w:r>
      <w:r>
        <w:rPr>
          <w:color w:val="4B494B"/>
          <w:w w:val="110"/>
        </w:rPr>
        <w:t>it  </w:t>
      </w:r>
      <w:r>
        <w:rPr>
          <w:color w:val="383638"/>
          <w:w w:val="110"/>
        </w:rPr>
        <w:t>may be a method you can combine with other methods</w:t>
      </w:r>
      <w:r>
        <w:rPr>
          <w:color w:val="383638"/>
          <w:spacing w:val="1"/>
          <w:w w:val="110"/>
        </w:rPr>
        <w:t> </w:t>
      </w:r>
      <w:r>
        <w:rPr>
          <w:color w:val="2A2628"/>
          <w:w w:val="115"/>
        </w:rPr>
        <w:t>to</w:t>
      </w:r>
      <w:r>
        <w:rPr>
          <w:color w:val="2A2628"/>
          <w:spacing w:val="-9"/>
          <w:w w:val="115"/>
        </w:rPr>
        <w:t> </w:t>
      </w:r>
      <w:r>
        <w:rPr>
          <w:color w:val="383638"/>
          <w:w w:val="115"/>
        </w:rPr>
        <w:t>help</w:t>
      </w:r>
      <w:r>
        <w:rPr>
          <w:color w:val="383638"/>
          <w:spacing w:val="-11"/>
          <w:w w:val="115"/>
        </w:rPr>
        <w:t> </w:t>
      </w:r>
      <w:r>
        <w:rPr>
          <w:color w:val="383638"/>
          <w:w w:val="115"/>
        </w:rPr>
        <w:t>you</w:t>
      </w:r>
      <w:r>
        <w:rPr>
          <w:color w:val="383638"/>
          <w:spacing w:val="-11"/>
          <w:w w:val="115"/>
        </w:rPr>
        <w:t> </w:t>
      </w:r>
      <w:r>
        <w:rPr>
          <w:color w:val="383638"/>
          <w:w w:val="115"/>
        </w:rPr>
        <w:t>draft</w:t>
      </w:r>
      <w:r>
        <w:rPr>
          <w:color w:val="383638"/>
          <w:spacing w:val="-10"/>
          <w:w w:val="115"/>
        </w:rPr>
        <w:t> </w:t>
      </w:r>
      <w:r>
        <w:rPr>
          <w:color w:val="383638"/>
          <w:w w:val="115"/>
        </w:rPr>
        <w:t>a</w:t>
      </w:r>
      <w:r>
        <w:rPr>
          <w:color w:val="383638"/>
          <w:spacing w:val="-5"/>
          <w:w w:val="115"/>
        </w:rPr>
        <w:t> </w:t>
      </w:r>
      <w:r>
        <w:rPr>
          <w:color w:val="383638"/>
          <w:w w:val="115"/>
        </w:rPr>
        <w:t>working</w:t>
      </w:r>
      <w:r>
        <w:rPr>
          <w:color w:val="383638"/>
          <w:spacing w:val="-10"/>
          <w:w w:val="115"/>
        </w:rPr>
        <w:t> </w:t>
      </w:r>
      <w:r>
        <w:rPr>
          <w:color w:val="383638"/>
          <w:w w:val="115"/>
        </w:rPr>
        <w:t>outline.</w:t>
      </w:r>
    </w:p>
    <w:p>
      <w:pPr>
        <w:pStyle w:val="BodyText"/>
        <w:rPr>
          <w:sz w:val="32"/>
        </w:rPr>
      </w:pPr>
    </w:p>
    <w:p>
      <w:pPr>
        <w:spacing w:before="0"/>
        <w:ind w:left="469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2A2628"/>
          <w:w w:val="105"/>
          <w:sz w:val="28"/>
        </w:rPr>
        <w:t>4.1</w:t>
      </w:r>
      <w:r>
        <w:rPr>
          <w:rFonts w:ascii="Arial"/>
          <w:b/>
          <w:color w:val="4B494B"/>
          <w:w w:val="105"/>
          <w:sz w:val="28"/>
        </w:rPr>
        <w:t>.</w:t>
      </w:r>
      <w:r>
        <w:rPr>
          <w:rFonts w:ascii="Arial"/>
          <w:b/>
          <w:color w:val="2A2628"/>
          <w:w w:val="105"/>
          <w:sz w:val="28"/>
        </w:rPr>
        <w:t>5</w:t>
      </w:r>
    </w:p>
    <w:p>
      <w:pPr>
        <w:spacing w:before="52"/>
        <w:ind w:left="459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A2628"/>
          <w:w w:val="105"/>
          <w:sz w:val="22"/>
        </w:rPr>
        <w:t>THE</w:t>
      </w:r>
      <w:r>
        <w:rPr>
          <w:rFonts w:ascii="Arial"/>
          <w:b/>
          <w:color w:val="2A2628"/>
          <w:spacing w:val="7"/>
          <w:w w:val="105"/>
          <w:sz w:val="22"/>
        </w:rPr>
        <w:t> </w:t>
      </w:r>
      <w:r>
        <w:rPr>
          <w:rFonts w:ascii="Arial"/>
          <w:b/>
          <w:color w:val="2A2628"/>
          <w:w w:val="105"/>
          <w:sz w:val="22"/>
        </w:rPr>
        <w:t>WORKING</w:t>
      </w:r>
      <w:r>
        <w:rPr>
          <w:rFonts w:ascii="Arial"/>
          <w:b/>
          <w:color w:val="2A2628"/>
          <w:spacing w:val="50"/>
          <w:w w:val="105"/>
          <w:sz w:val="22"/>
        </w:rPr>
        <w:t> </w:t>
      </w:r>
      <w:r>
        <w:rPr>
          <w:rFonts w:ascii="Arial"/>
          <w:b/>
          <w:color w:val="2A2628"/>
          <w:w w:val="105"/>
          <w:sz w:val="22"/>
        </w:rPr>
        <w:t>OUTLINE</w:t>
      </w:r>
    </w:p>
    <w:p>
      <w:pPr>
        <w:pStyle w:val="BodyText"/>
        <w:spacing w:line="235" w:lineRule="auto" w:before="157"/>
        <w:ind w:left="116" w:right="178" w:firstLine="366"/>
        <w:jc w:val="both"/>
      </w:pPr>
      <w:r>
        <w:rPr>
          <w:color w:val="383638"/>
          <w:w w:val="115"/>
        </w:rPr>
        <w:t>After you have used some method or methods to identify the major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rules, policies, and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assertions that control your argument, you should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analyze how </w:t>
      </w:r>
      <w:r>
        <w:rPr>
          <w:color w:val="2A2628"/>
          <w:w w:val="115"/>
        </w:rPr>
        <w:t>th</w:t>
      </w:r>
      <w:r>
        <w:rPr>
          <w:color w:val="4B494B"/>
          <w:w w:val="115"/>
        </w:rPr>
        <w:t>ey </w:t>
      </w:r>
      <w:r>
        <w:rPr>
          <w:color w:val="383638"/>
          <w:w w:val="115"/>
        </w:rPr>
        <w:t>relate to each other and draft a working outline that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shows those relationships as you currently understand them. If 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were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researching the </w:t>
      </w:r>
      <w:r>
        <w:rPr>
          <w:rFonts w:ascii="Arial"/>
          <w:i/>
          <w:color w:val="383638"/>
          <w:w w:val="110"/>
          <w:sz w:val="21"/>
        </w:rPr>
        <w:t>Miller v. Albright </w:t>
      </w:r>
      <w:r>
        <w:rPr>
          <w:color w:val="383638"/>
          <w:w w:val="110"/>
        </w:rPr>
        <w:t>case, you might come up with a working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outline like the one below. (Note that these headings are not in perfect</w:t>
      </w:r>
      <w:r>
        <w:rPr>
          <w:color w:val="383638"/>
          <w:spacing w:val="1"/>
          <w:w w:val="115"/>
        </w:rPr>
        <w:t> </w:t>
      </w:r>
      <w:r>
        <w:rPr>
          <w:color w:val="4B494B"/>
          <w:w w:val="115"/>
        </w:rPr>
        <w:t>"point</w:t>
      </w:r>
      <w:r>
        <w:rPr>
          <w:color w:val="4B494B"/>
          <w:spacing w:val="-4"/>
          <w:w w:val="115"/>
        </w:rPr>
        <w:t> </w:t>
      </w:r>
      <w:r>
        <w:rPr>
          <w:color w:val="383638"/>
          <w:w w:val="115"/>
        </w:rPr>
        <w:t>heading"</w:t>
      </w:r>
      <w:r>
        <w:rPr>
          <w:color w:val="383638"/>
          <w:spacing w:val="-3"/>
          <w:w w:val="115"/>
        </w:rPr>
        <w:t> </w:t>
      </w:r>
      <w:r>
        <w:rPr>
          <w:color w:val="383638"/>
          <w:w w:val="115"/>
        </w:rPr>
        <w:t>form.)</w:t>
      </w:r>
    </w:p>
    <w:p>
      <w:pPr>
        <w:spacing w:before="126"/>
        <w:ind w:left="3105" w:right="3211" w:firstLine="0"/>
        <w:jc w:val="center"/>
        <w:rPr>
          <w:b/>
          <w:sz w:val="19"/>
        </w:rPr>
      </w:pPr>
      <w:r>
        <w:rPr>
          <w:rFonts w:ascii="Arial"/>
          <w:b/>
          <w:i/>
          <w:color w:val="383638"/>
          <w:w w:val="110"/>
          <w:sz w:val="17"/>
        </w:rPr>
        <w:t>Worki11g</w:t>
      </w:r>
      <w:r>
        <w:rPr>
          <w:rFonts w:ascii="Arial"/>
          <w:b/>
          <w:i/>
          <w:color w:val="383638"/>
          <w:spacing w:val="7"/>
          <w:w w:val="110"/>
          <w:sz w:val="17"/>
        </w:rPr>
        <w:t> </w:t>
      </w:r>
      <w:r>
        <w:rPr>
          <w:b/>
          <w:color w:val="383638"/>
          <w:w w:val="110"/>
          <w:sz w:val="19"/>
        </w:rPr>
        <w:t>Out/i,re</w:t>
      </w:r>
    </w:p>
    <w:p>
      <w:pPr>
        <w:pStyle w:val="ListParagraph"/>
        <w:numPr>
          <w:ilvl w:val="0"/>
          <w:numId w:val="39"/>
        </w:numPr>
        <w:tabs>
          <w:tab w:pos="476" w:val="left" w:leader="none"/>
          <w:tab w:pos="477" w:val="left" w:leader="none"/>
        </w:tabs>
        <w:spacing w:line="236" w:lineRule="exact" w:before="109" w:after="0"/>
        <w:ind w:left="476" w:right="0" w:hanging="345"/>
        <w:jc w:val="left"/>
        <w:rPr>
          <w:b/>
          <w:sz w:val="21"/>
        </w:rPr>
      </w:pPr>
      <w:r>
        <w:rPr>
          <w:b/>
          <w:color w:val="383638"/>
          <w:w w:val="110"/>
          <w:sz w:val="21"/>
        </w:rPr>
        <w:t>This</w:t>
      </w:r>
      <w:r>
        <w:rPr>
          <w:b/>
          <w:color w:val="383638"/>
          <w:spacing w:val="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court</w:t>
      </w:r>
      <w:r>
        <w:rPr>
          <w:b/>
          <w:color w:val="383638"/>
          <w:spacing w:val="2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should</w:t>
      </w:r>
      <w:r>
        <w:rPr>
          <w:b/>
          <w:color w:val="383638"/>
          <w:spacing w:val="30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reverse</w:t>
      </w:r>
      <w:r>
        <w:rPr>
          <w:b/>
          <w:color w:val="383638"/>
          <w:spacing w:val="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because</w:t>
      </w:r>
      <w:r>
        <w:rPr>
          <w:b/>
          <w:color w:val="383638"/>
          <w:spacing w:val="1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1409</w:t>
      </w:r>
      <w:r>
        <w:rPr>
          <w:b/>
          <w:color w:val="383638"/>
          <w:spacing w:val="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is</w:t>
      </w:r>
      <w:r>
        <w:rPr>
          <w:b/>
          <w:color w:val="383638"/>
          <w:spacing w:val="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unconstitutional.</w:t>
      </w:r>
    </w:p>
    <w:p>
      <w:pPr>
        <w:pStyle w:val="ListParagraph"/>
        <w:numPr>
          <w:ilvl w:val="1"/>
          <w:numId w:val="39"/>
        </w:numPr>
        <w:tabs>
          <w:tab w:pos="766" w:val="left" w:leader="none"/>
        </w:tabs>
        <w:spacing w:line="231" w:lineRule="exact" w:before="0" w:after="0"/>
        <w:ind w:left="765" w:right="0" w:hanging="274"/>
        <w:jc w:val="left"/>
        <w:rPr>
          <w:b/>
          <w:color w:val="383638"/>
          <w:sz w:val="21"/>
        </w:rPr>
      </w:pPr>
      <w:r>
        <w:rPr>
          <w:b/>
          <w:color w:val="383638"/>
          <w:w w:val="110"/>
          <w:sz w:val="21"/>
        </w:rPr>
        <w:t>This</w:t>
      </w:r>
      <w:r>
        <w:rPr>
          <w:b/>
          <w:color w:val="383638"/>
          <w:spacing w:val="-7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court</w:t>
      </w:r>
      <w:r>
        <w:rPr>
          <w:b/>
          <w:color w:val="383638"/>
          <w:spacing w:val="2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should</w:t>
      </w:r>
      <w:r>
        <w:rPr>
          <w:b/>
          <w:color w:val="383638"/>
          <w:spacing w:val="1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apply</w:t>
      </w:r>
      <w:r>
        <w:rPr>
          <w:b/>
          <w:color w:val="383638"/>
          <w:spacing w:val="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an</w:t>
      </w:r>
      <w:r>
        <w:rPr>
          <w:b/>
          <w:color w:val="383638"/>
          <w:spacing w:val="2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intermediate</w:t>
      </w:r>
      <w:r>
        <w:rPr>
          <w:b/>
          <w:color w:val="383638"/>
          <w:spacing w:val="9"/>
          <w:w w:val="110"/>
          <w:sz w:val="21"/>
        </w:rPr>
        <w:t> </w:t>
      </w:r>
      <w:r>
        <w:rPr>
          <w:b/>
          <w:color w:val="4B494B"/>
          <w:w w:val="110"/>
          <w:sz w:val="21"/>
        </w:rPr>
        <w:t>scrutiny</w:t>
      </w:r>
      <w:r>
        <w:rPr>
          <w:b/>
          <w:color w:val="4B494B"/>
          <w:spacing w:val="2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test.</w:t>
      </w:r>
    </w:p>
    <w:p>
      <w:pPr>
        <w:pStyle w:val="ListParagraph"/>
        <w:numPr>
          <w:ilvl w:val="2"/>
          <w:numId w:val="39"/>
        </w:numPr>
        <w:tabs>
          <w:tab w:pos="1055" w:val="left" w:leader="none"/>
        </w:tabs>
        <w:spacing w:line="236" w:lineRule="exact" w:before="0" w:after="0"/>
        <w:ind w:left="1054" w:right="0" w:hanging="278"/>
        <w:jc w:val="left"/>
        <w:rPr>
          <w:rFonts w:ascii="Arial"/>
          <w:b/>
          <w:color w:val="383638"/>
          <w:sz w:val="19"/>
        </w:rPr>
      </w:pPr>
      <w:r>
        <w:rPr>
          <w:b/>
          <w:color w:val="383638"/>
          <w:w w:val="110"/>
          <w:sz w:val="21"/>
        </w:rPr>
        <w:t>The</w:t>
      </w:r>
      <w:r>
        <w:rPr>
          <w:b/>
          <w:color w:val="383638"/>
          <w:spacing w:val="-1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statute</w:t>
      </w:r>
      <w:r>
        <w:rPr>
          <w:b/>
          <w:color w:val="383638"/>
          <w:spacing w:val="-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discriminates</w:t>
      </w:r>
      <w:r>
        <w:rPr>
          <w:b/>
          <w:color w:val="383638"/>
          <w:spacing w:val="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on</w:t>
      </w:r>
      <w:r>
        <w:rPr>
          <w:b/>
          <w:color w:val="383638"/>
          <w:spacing w:val="3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</w:t>
      </w:r>
      <w:r>
        <w:rPr>
          <w:b/>
          <w:color w:val="383638"/>
          <w:spacing w:val="20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basis</w:t>
      </w:r>
      <w:r>
        <w:rPr>
          <w:b/>
          <w:color w:val="383638"/>
          <w:spacing w:val="-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of</w:t>
      </w:r>
      <w:r>
        <w:rPr>
          <w:b/>
          <w:color w:val="383638"/>
          <w:spacing w:val="1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gender.</w:t>
      </w:r>
    </w:p>
    <w:p>
      <w:pPr>
        <w:pStyle w:val="ListParagraph"/>
        <w:numPr>
          <w:ilvl w:val="2"/>
          <w:numId w:val="39"/>
        </w:numPr>
        <w:tabs>
          <w:tab w:pos="1055" w:val="left" w:leader="none"/>
        </w:tabs>
        <w:spacing w:line="240" w:lineRule="auto" w:before="9" w:after="0"/>
        <w:ind w:left="1073" w:right="137" w:hanging="296"/>
        <w:jc w:val="left"/>
        <w:rPr>
          <w:b/>
          <w:color w:val="383638"/>
          <w:sz w:val="21"/>
        </w:rPr>
      </w:pPr>
      <w:r>
        <w:rPr>
          <w:b/>
          <w:color w:val="4B494B"/>
          <w:w w:val="110"/>
          <w:sz w:val="21"/>
        </w:rPr>
        <w:t>This</w:t>
      </w:r>
      <w:r>
        <w:rPr>
          <w:b/>
          <w:color w:val="4B494B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is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not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an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immigration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statute,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so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no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special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deference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to</w:t>
      </w:r>
      <w:r>
        <w:rPr>
          <w:b/>
          <w:color w:val="383638"/>
          <w:spacing w:val="-5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Congress</w:t>
      </w:r>
      <w:r>
        <w:rPr>
          <w:b/>
          <w:color w:val="383638"/>
          <w:spacing w:val="10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is needed.</w:t>
      </w:r>
    </w:p>
    <w:p>
      <w:pPr>
        <w:pStyle w:val="ListParagraph"/>
        <w:numPr>
          <w:ilvl w:val="2"/>
          <w:numId w:val="39"/>
        </w:numPr>
        <w:tabs>
          <w:tab w:pos="1078" w:val="left" w:leader="none"/>
        </w:tabs>
        <w:spacing w:line="220" w:lineRule="auto" w:before="15" w:after="0"/>
        <w:ind w:left="1072" w:right="106" w:hanging="293"/>
        <w:jc w:val="left"/>
        <w:rPr>
          <w:b/>
          <w:color w:val="383638"/>
          <w:sz w:val="21"/>
        </w:rPr>
      </w:pPr>
      <w:r>
        <w:rPr>
          <w:b/>
          <w:color w:val="383638"/>
          <w:w w:val="110"/>
          <w:sz w:val="21"/>
        </w:rPr>
        <w:t>Even if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it is an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immigration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4B494B"/>
          <w:w w:val="110"/>
          <w:sz w:val="21"/>
        </w:rPr>
        <w:t>statute, </w:t>
      </w:r>
      <w:r>
        <w:rPr>
          <w:b/>
          <w:color w:val="383638"/>
          <w:w w:val="110"/>
          <w:sz w:val="21"/>
        </w:rPr>
        <w:t>fighting gender discrimination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spacing w:val="-1"/>
          <w:w w:val="115"/>
          <w:sz w:val="21"/>
        </w:rPr>
        <w:t>and</w:t>
      </w:r>
      <w:r>
        <w:rPr>
          <w:b/>
          <w:color w:val="383638"/>
          <w:spacing w:val="-24"/>
          <w:w w:val="115"/>
          <w:sz w:val="21"/>
        </w:rPr>
        <w:t> </w:t>
      </w:r>
      <w:r>
        <w:rPr>
          <w:b/>
          <w:color w:val="383638"/>
          <w:spacing w:val="-1"/>
          <w:w w:val="115"/>
          <w:sz w:val="21"/>
        </w:rPr>
        <w:t>"illegitimacy"discrimination</w:t>
      </w:r>
      <w:r>
        <w:rPr>
          <w:b/>
          <w:color w:val="383638"/>
          <w:spacing w:val="-26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trumps</w:t>
      </w:r>
      <w:r>
        <w:rPr>
          <w:b/>
          <w:color w:val="383638"/>
          <w:spacing w:val="-5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immigration.</w:t>
      </w:r>
    </w:p>
    <w:p>
      <w:pPr>
        <w:spacing w:after="0" w:line="220" w:lineRule="auto"/>
        <w:jc w:val="left"/>
        <w:rPr>
          <w:sz w:val="21"/>
        </w:rPr>
        <w:sectPr>
          <w:pgSz w:w="9620" w:h="13740"/>
          <w:pgMar w:header="437" w:footer="0" w:top="640" w:bottom="280" w:left="480" w:right="1180"/>
        </w:sectPr>
      </w:pPr>
    </w:p>
    <w:p>
      <w:pPr>
        <w:pStyle w:val="ListParagraph"/>
        <w:numPr>
          <w:ilvl w:val="1"/>
          <w:numId w:val="39"/>
        </w:numPr>
        <w:tabs>
          <w:tab w:pos="1416" w:val="left" w:leader="none"/>
        </w:tabs>
        <w:spacing w:line="236" w:lineRule="exact" w:before="82" w:after="0"/>
        <w:ind w:left="1415" w:right="0" w:hanging="279"/>
        <w:jc w:val="both"/>
        <w:rPr>
          <w:b/>
          <w:color w:val="3A383A"/>
          <w:sz w:val="21"/>
        </w:rPr>
      </w:pPr>
      <w:r>
        <w:rPr>
          <w:color w:val="3A383A"/>
          <w:spacing w:val="-1"/>
          <w:w w:val="115"/>
          <w:sz w:val="21"/>
        </w:rPr>
        <w:t>This</w:t>
      </w:r>
      <w:r>
        <w:rPr>
          <w:color w:val="3A383A"/>
          <w:spacing w:val="-25"/>
          <w:w w:val="115"/>
          <w:sz w:val="21"/>
        </w:rPr>
        <w:t> </w:t>
      </w:r>
      <w:r>
        <w:rPr>
          <w:color w:val="3A383A"/>
          <w:spacing w:val="-1"/>
          <w:w w:val="115"/>
          <w:sz w:val="21"/>
        </w:rPr>
        <w:t>statute</w:t>
      </w:r>
      <w:r>
        <w:rPr>
          <w:color w:val="3A383A"/>
          <w:spacing w:val="-19"/>
          <w:w w:val="115"/>
          <w:sz w:val="21"/>
        </w:rPr>
        <w:t> </w:t>
      </w:r>
      <w:r>
        <w:rPr>
          <w:color w:val="3A383A"/>
          <w:spacing w:val="-1"/>
          <w:w w:val="115"/>
          <w:sz w:val="21"/>
        </w:rPr>
        <w:t>fails</w:t>
      </w:r>
      <w:r>
        <w:rPr>
          <w:color w:val="3A383A"/>
          <w:spacing w:val="-19"/>
          <w:w w:val="115"/>
          <w:sz w:val="21"/>
        </w:rPr>
        <w:t> </w:t>
      </w:r>
      <w:r>
        <w:rPr>
          <w:color w:val="3A383A"/>
          <w:w w:val="115"/>
          <w:sz w:val="21"/>
        </w:rPr>
        <w:t>the</w:t>
      </w:r>
      <w:r>
        <w:rPr>
          <w:color w:val="3A383A"/>
          <w:spacing w:val="-4"/>
          <w:w w:val="115"/>
          <w:sz w:val="21"/>
        </w:rPr>
        <w:t> </w:t>
      </w:r>
      <w:r>
        <w:rPr>
          <w:color w:val="3A383A"/>
          <w:w w:val="115"/>
          <w:sz w:val="21"/>
        </w:rPr>
        <w:t>intermediate</w:t>
      </w:r>
      <w:r>
        <w:rPr>
          <w:color w:val="3A383A"/>
          <w:spacing w:val="-21"/>
          <w:w w:val="115"/>
          <w:sz w:val="21"/>
        </w:rPr>
        <w:t> </w:t>
      </w:r>
      <w:r>
        <w:rPr>
          <w:color w:val="3A383A"/>
          <w:w w:val="115"/>
          <w:sz w:val="21"/>
        </w:rPr>
        <w:t>scrutiny</w:t>
      </w:r>
      <w:r>
        <w:rPr>
          <w:color w:val="3A383A"/>
          <w:spacing w:val="-5"/>
          <w:w w:val="115"/>
          <w:sz w:val="21"/>
        </w:rPr>
        <w:t> </w:t>
      </w:r>
      <w:r>
        <w:rPr>
          <w:color w:val="3A383A"/>
          <w:w w:val="115"/>
          <w:sz w:val="21"/>
        </w:rPr>
        <w:t>test.</w:t>
      </w:r>
    </w:p>
    <w:p>
      <w:pPr>
        <w:pStyle w:val="ListParagraph"/>
        <w:numPr>
          <w:ilvl w:val="2"/>
          <w:numId w:val="39"/>
        </w:numPr>
        <w:tabs>
          <w:tab w:pos="1696" w:val="left" w:leader="none"/>
        </w:tabs>
        <w:spacing w:line="231" w:lineRule="exact" w:before="0" w:after="0"/>
        <w:ind w:left="1695" w:right="0" w:hanging="276"/>
        <w:jc w:val="both"/>
        <w:rPr>
          <w:rFonts w:ascii="Arial"/>
          <w:color w:val="3A383A"/>
          <w:sz w:val="19"/>
        </w:rPr>
      </w:pPr>
      <w:r>
        <w:rPr>
          <w:color w:val="3A383A"/>
          <w:w w:val="115"/>
          <w:sz w:val="21"/>
        </w:rPr>
        <w:t>There's</w:t>
      </w:r>
      <w:r>
        <w:rPr>
          <w:color w:val="3A383A"/>
          <w:spacing w:val="4"/>
          <w:w w:val="115"/>
          <w:sz w:val="21"/>
        </w:rPr>
        <w:t> </w:t>
      </w:r>
      <w:r>
        <w:rPr>
          <w:color w:val="3A383A"/>
          <w:w w:val="115"/>
          <w:sz w:val="21"/>
        </w:rPr>
        <w:t>no</w:t>
      </w:r>
      <w:r>
        <w:rPr>
          <w:color w:val="3A383A"/>
          <w:spacing w:val="10"/>
          <w:w w:val="115"/>
          <w:sz w:val="21"/>
        </w:rPr>
        <w:t> </w:t>
      </w:r>
      <w:r>
        <w:rPr>
          <w:color w:val="3A383A"/>
          <w:w w:val="115"/>
          <w:sz w:val="21"/>
        </w:rPr>
        <w:t>substantial</w:t>
      </w:r>
      <w:r>
        <w:rPr>
          <w:color w:val="3A383A"/>
          <w:spacing w:val="23"/>
          <w:w w:val="115"/>
          <w:sz w:val="21"/>
        </w:rPr>
        <w:t> </w:t>
      </w:r>
      <w:r>
        <w:rPr>
          <w:color w:val="3A383A"/>
          <w:w w:val="115"/>
          <w:sz w:val="21"/>
        </w:rPr>
        <w:t>relationship</w:t>
      </w:r>
      <w:r>
        <w:rPr>
          <w:color w:val="3A383A"/>
          <w:spacing w:val="17"/>
          <w:w w:val="115"/>
          <w:sz w:val="21"/>
        </w:rPr>
        <w:t> </w:t>
      </w:r>
      <w:r>
        <w:rPr>
          <w:color w:val="3A383A"/>
          <w:w w:val="115"/>
          <w:sz w:val="21"/>
        </w:rPr>
        <w:t>between</w:t>
      </w:r>
      <w:r>
        <w:rPr>
          <w:color w:val="3A383A"/>
          <w:spacing w:val="10"/>
          <w:w w:val="115"/>
          <w:sz w:val="21"/>
        </w:rPr>
        <w:t> </w:t>
      </w:r>
      <w:r>
        <w:rPr>
          <w:color w:val="3A383A"/>
          <w:w w:val="115"/>
          <w:sz w:val="21"/>
        </w:rPr>
        <w:t>the</w:t>
      </w:r>
      <w:r>
        <w:rPr>
          <w:color w:val="3A383A"/>
          <w:spacing w:val="19"/>
          <w:w w:val="115"/>
          <w:sz w:val="21"/>
        </w:rPr>
        <w:t> </w:t>
      </w:r>
      <w:r>
        <w:rPr>
          <w:color w:val="3A383A"/>
          <w:w w:val="115"/>
          <w:sz w:val="21"/>
        </w:rPr>
        <w:t>discrimination</w:t>
      </w:r>
      <w:r>
        <w:rPr>
          <w:color w:val="3A383A"/>
          <w:spacing w:val="-9"/>
          <w:w w:val="115"/>
          <w:sz w:val="21"/>
        </w:rPr>
        <w:t> </w:t>
      </w:r>
      <w:r>
        <w:rPr>
          <w:color w:val="3A383A"/>
          <w:w w:val="115"/>
          <w:sz w:val="21"/>
        </w:rPr>
        <w:t>in</w:t>
      </w:r>
    </w:p>
    <w:p>
      <w:pPr>
        <w:spacing w:line="236" w:lineRule="exact" w:before="0"/>
        <w:ind w:left="1688" w:right="0" w:firstLine="0"/>
        <w:jc w:val="both"/>
        <w:rPr>
          <w:b/>
          <w:sz w:val="21"/>
        </w:rPr>
      </w:pPr>
      <w:r>
        <w:rPr>
          <w:b/>
          <w:color w:val="3A383A"/>
          <w:w w:val="105"/>
          <w:sz w:val="21"/>
        </w:rPr>
        <w:t>the</w:t>
      </w:r>
      <w:r>
        <w:rPr>
          <w:b/>
          <w:color w:val="3A383A"/>
          <w:spacing w:val="-22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statute</w:t>
      </w:r>
      <w:r>
        <w:rPr>
          <w:b/>
          <w:color w:val="3A383A"/>
          <w:spacing w:val="-8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and</w:t>
      </w:r>
      <w:r>
        <w:rPr>
          <w:b/>
          <w:color w:val="3A383A"/>
          <w:spacing w:val="19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the</w:t>
      </w:r>
      <w:r>
        <w:rPr>
          <w:b/>
          <w:color w:val="3A383A"/>
          <w:spacing w:val="11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achievement</w:t>
      </w:r>
      <w:r>
        <w:rPr>
          <w:b/>
          <w:color w:val="3A383A"/>
          <w:spacing w:val="11"/>
          <w:w w:val="105"/>
          <w:sz w:val="21"/>
        </w:rPr>
        <w:t> </w:t>
      </w:r>
      <w:r>
        <w:rPr>
          <w:rFonts w:ascii="Arial"/>
          <w:color w:val="3A383A"/>
          <w:w w:val="105"/>
          <w:sz w:val="19"/>
        </w:rPr>
        <w:t>of</w:t>
      </w:r>
      <w:r>
        <w:rPr>
          <w:rFonts w:ascii="Arial"/>
          <w:color w:val="3A383A"/>
          <w:spacing w:val="49"/>
          <w:w w:val="105"/>
          <w:sz w:val="19"/>
        </w:rPr>
        <w:t> </w:t>
      </w:r>
      <w:r>
        <w:rPr>
          <w:b/>
          <w:color w:val="3A383A"/>
          <w:w w:val="105"/>
          <w:sz w:val="21"/>
        </w:rPr>
        <w:t>the</w:t>
      </w:r>
      <w:r>
        <w:rPr>
          <w:b/>
          <w:color w:val="3A383A"/>
          <w:spacing w:val="9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government's</w:t>
      </w:r>
      <w:r>
        <w:rPr>
          <w:b/>
          <w:color w:val="3A383A"/>
          <w:spacing w:val="12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goals.</w:t>
      </w:r>
    </w:p>
    <w:p>
      <w:pPr>
        <w:pStyle w:val="ListParagraph"/>
        <w:numPr>
          <w:ilvl w:val="2"/>
          <w:numId w:val="39"/>
        </w:numPr>
        <w:tabs>
          <w:tab w:pos="1675" w:val="left" w:leader="none"/>
        </w:tabs>
        <w:spacing w:line="241" w:lineRule="exact" w:before="0" w:after="0"/>
        <w:ind w:left="1674" w:right="0" w:hanging="278"/>
        <w:jc w:val="both"/>
        <w:rPr>
          <w:b/>
          <w:color w:val="3A383A"/>
          <w:sz w:val="21"/>
        </w:rPr>
      </w:pPr>
      <w:r>
        <w:rPr>
          <w:b/>
          <w:color w:val="3A383A"/>
          <w:spacing w:val="-1"/>
          <w:w w:val="105"/>
          <w:sz w:val="21"/>
        </w:rPr>
        <w:t>There's</w:t>
      </w:r>
      <w:r>
        <w:rPr>
          <w:b/>
          <w:color w:val="3A383A"/>
          <w:spacing w:val="-10"/>
          <w:w w:val="105"/>
          <w:sz w:val="21"/>
        </w:rPr>
        <w:t> </w:t>
      </w:r>
      <w:r>
        <w:rPr>
          <w:b/>
          <w:color w:val="3A383A"/>
          <w:spacing w:val="-1"/>
          <w:w w:val="105"/>
          <w:sz w:val="21"/>
        </w:rPr>
        <w:t>no</w:t>
      </w:r>
      <w:r>
        <w:rPr>
          <w:b/>
          <w:color w:val="3A383A"/>
          <w:spacing w:val="21"/>
          <w:w w:val="105"/>
          <w:sz w:val="21"/>
        </w:rPr>
        <w:t> </w:t>
      </w:r>
      <w:r>
        <w:rPr>
          <w:b/>
          <w:color w:val="3A383A"/>
          <w:spacing w:val="-1"/>
          <w:w w:val="105"/>
          <w:sz w:val="21"/>
        </w:rPr>
        <w:t>exceedingly</w:t>
      </w:r>
      <w:r>
        <w:rPr>
          <w:b/>
          <w:color w:val="3A383A"/>
          <w:spacing w:val="13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persuasive</w:t>
      </w:r>
      <w:r>
        <w:rPr>
          <w:b/>
          <w:color w:val="3A383A"/>
          <w:spacing w:val="10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justification</w:t>
      </w:r>
      <w:r>
        <w:rPr>
          <w:b/>
          <w:color w:val="3A383A"/>
          <w:spacing w:val="-2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for</w:t>
      </w:r>
      <w:r>
        <w:rPr>
          <w:b/>
          <w:color w:val="3A383A"/>
          <w:spacing w:val="-20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the</w:t>
      </w:r>
      <w:r>
        <w:rPr>
          <w:b/>
          <w:color w:val="3A383A"/>
          <w:spacing w:val="-12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statute.</w:t>
      </w:r>
    </w:p>
    <w:p>
      <w:pPr>
        <w:pStyle w:val="ListParagraph"/>
        <w:numPr>
          <w:ilvl w:val="1"/>
          <w:numId w:val="39"/>
        </w:numPr>
        <w:tabs>
          <w:tab w:pos="1399" w:val="left" w:leader="none"/>
        </w:tabs>
        <w:spacing w:line="235" w:lineRule="auto" w:before="3" w:after="0"/>
        <w:ind w:left="1363" w:right="23" w:hanging="249"/>
        <w:jc w:val="both"/>
        <w:rPr>
          <w:color w:val="3A383A"/>
          <w:sz w:val="20"/>
        </w:rPr>
      </w:pPr>
      <w:r>
        <w:rPr>
          <w:b/>
          <w:color w:val="3A383A"/>
          <w:w w:val="105"/>
          <w:sz w:val="21"/>
        </w:rPr>
        <w:t>Even </w:t>
      </w:r>
      <w:r>
        <w:rPr>
          <w:color w:val="3A383A"/>
          <w:w w:val="105"/>
          <w:sz w:val="19"/>
        </w:rPr>
        <w:t>if</w:t>
      </w:r>
      <w:r>
        <w:rPr>
          <w:color w:val="3A383A"/>
          <w:spacing w:val="1"/>
          <w:w w:val="105"/>
          <w:sz w:val="19"/>
        </w:rPr>
        <w:t> </w:t>
      </w:r>
      <w:r>
        <w:rPr>
          <w:b/>
          <w:color w:val="3A383A"/>
          <w:w w:val="105"/>
          <w:sz w:val="21"/>
        </w:rPr>
        <w:t>this court applies the rational basis-type test, the statute still</w:t>
      </w:r>
      <w:r>
        <w:rPr>
          <w:b/>
          <w:color w:val="3A383A"/>
          <w:spacing w:val="1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fails because there's </w:t>
      </w:r>
      <w:r>
        <w:rPr>
          <w:color w:val="3A383A"/>
          <w:w w:val="105"/>
          <w:sz w:val="21"/>
        </w:rPr>
        <w:t>no</w:t>
      </w:r>
      <w:r>
        <w:rPr>
          <w:color w:val="3A383A"/>
          <w:spacing w:val="1"/>
          <w:w w:val="105"/>
          <w:sz w:val="21"/>
        </w:rPr>
        <w:t> </w:t>
      </w:r>
      <w:r>
        <w:rPr>
          <w:color w:val="3A383A"/>
          <w:w w:val="105"/>
          <w:sz w:val="21"/>
        </w:rPr>
        <w:t>rational relationship </w:t>
      </w:r>
      <w:r>
        <w:rPr>
          <w:b/>
          <w:color w:val="3A383A"/>
          <w:w w:val="105"/>
          <w:sz w:val="21"/>
        </w:rPr>
        <w:t>between encouraging ties</w:t>
      </w:r>
      <w:r>
        <w:rPr>
          <w:b/>
          <w:color w:val="3A383A"/>
          <w:spacing w:val="1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between parents and children and requiring a father </w:t>
      </w:r>
      <w:r>
        <w:rPr>
          <w:color w:val="3A383A"/>
          <w:w w:val="105"/>
          <w:sz w:val="21"/>
        </w:rPr>
        <w:t>to </w:t>
      </w:r>
      <w:r>
        <w:rPr>
          <w:b/>
          <w:color w:val="3A383A"/>
          <w:w w:val="105"/>
          <w:sz w:val="21"/>
        </w:rPr>
        <w:t>establish ties in</w:t>
      </w:r>
      <w:r>
        <w:rPr>
          <w:b/>
          <w:color w:val="3A383A"/>
          <w:spacing w:val="-53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a</w:t>
      </w:r>
      <w:r>
        <w:rPr>
          <w:b/>
          <w:color w:val="3A383A"/>
          <w:spacing w:val="-20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different</w:t>
      </w:r>
      <w:r>
        <w:rPr>
          <w:b/>
          <w:color w:val="3A383A"/>
          <w:spacing w:val="6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way</w:t>
      </w:r>
      <w:r>
        <w:rPr>
          <w:b/>
          <w:color w:val="3A383A"/>
          <w:spacing w:val="-6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than</w:t>
      </w:r>
      <w:r>
        <w:rPr>
          <w:b/>
          <w:color w:val="3A383A"/>
          <w:spacing w:val="-14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mothers</w:t>
      </w:r>
      <w:r>
        <w:rPr>
          <w:b/>
          <w:color w:val="3A383A"/>
          <w:spacing w:val="-16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do.</w:t>
      </w:r>
    </w:p>
    <w:p>
      <w:pPr>
        <w:pStyle w:val="ListParagraph"/>
        <w:numPr>
          <w:ilvl w:val="1"/>
          <w:numId w:val="39"/>
        </w:numPr>
        <w:tabs>
          <w:tab w:pos="1357" w:val="left" w:leader="none"/>
        </w:tabs>
        <w:spacing w:line="249" w:lineRule="auto" w:before="0" w:after="0"/>
        <w:ind w:left="1336" w:right="46" w:hanging="247"/>
        <w:jc w:val="both"/>
        <w:rPr>
          <w:b/>
          <w:color w:val="3A383A"/>
          <w:sz w:val="21"/>
        </w:rPr>
      </w:pPr>
      <w:r>
        <w:rPr>
          <w:b/>
          <w:color w:val="3A383A"/>
          <w:w w:val="110"/>
          <w:sz w:val="21"/>
        </w:rPr>
        <w:t>This</w:t>
      </w:r>
      <w:r>
        <w:rPr>
          <w:b/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court</w:t>
      </w:r>
      <w:r>
        <w:rPr>
          <w:color w:val="3A383A"/>
          <w:spacing w:val="1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has</w:t>
      </w:r>
      <w:r>
        <w:rPr>
          <w:b/>
          <w:color w:val="3A383A"/>
          <w:spacing w:val="1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always</w:t>
      </w:r>
      <w:r>
        <w:rPr>
          <w:b/>
          <w:color w:val="3A383A"/>
          <w:spacing w:val="1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promoted</w:t>
      </w:r>
      <w:r>
        <w:rPr>
          <w:b/>
          <w:color w:val="3A383A"/>
          <w:spacing w:val="1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the</w:t>
      </w:r>
      <w:r>
        <w:rPr>
          <w:b/>
          <w:color w:val="3A383A"/>
          <w:spacing w:val="1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maintenance</w:t>
      </w:r>
      <w:r>
        <w:rPr>
          <w:b/>
          <w:color w:val="3A383A"/>
          <w:spacing w:val="1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of</w:t>
      </w:r>
      <w:r>
        <w:rPr>
          <w:b/>
          <w:color w:val="3A383A"/>
          <w:spacing w:val="1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family</w:t>
      </w:r>
      <w:r>
        <w:rPr>
          <w:b/>
          <w:color w:val="3A383A"/>
          <w:spacing w:val="1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relationships.</w:t>
      </w:r>
    </w:p>
    <w:p>
      <w:pPr>
        <w:pStyle w:val="BodyText"/>
        <w:spacing w:line="235" w:lineRule="auto" w:before="114"/>
        <w:ind w:left="667" w:right="63" w:firstLine="388"/>
        <w:jc w:val="both"/>
      </w:pPr>
      <w:r>
        <w:rPr>
          <w:color w:val="3A383A"/>
          <w:w w:val="110"/>
        </w:rPr>
        <w:t>Of course, this outline is not carved in stone. As you write</w:t>
      </w:r>
      <w:r>
        <w:rPr>
          <w:color w:val="575659"/>
          <w:w w:val="110"/>
        </w:rPr>
        <w:t>, </w:t>
      </w:r>
      <w:r>
        <w:rPr>
          <w:color w:val="3A383A"/>
          <w:w w:val="110"/>
        </w:rPr>
        <w:t>you may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05"/>
        </w:rPr>
        <w:t>discover that some arguments are incomplete, while others are not worth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making. You may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discover that some sections of your outline need to be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divided into two subsections, or that others are not worthy of a full dis­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cussion.</w:t>
      </w:r>
      <w:r>
        <w:rPr>
          <w:color w:val="3A383A"/>
          <w:w w:val="105"/>
          <w:vertAlign w:val="superscript"/>
        </w:rPr>
        <w:t>15</w:t>
      </w:r>
      <w:r>
        <w:rPr>
          <w:color w:val="3A383A"/>
          <w:w w:val="105"/>
          <w:vertAlign w:val="baseline"/>
        </w:rPr>
        <w:t> As with the research questions,  your goal is not  perfection; it's</w:t>
      </w:r>
      <w:r>
        <w:rPr>
          <w:color w:val="3A383A"/>
          <w:spacing w:val="1"/>
          <w:w w:val="105"/>
          <w:vertAlign w:val="baseline"/>
        </w:rPr>
        <w:t> </w:t>
      </w:r>
      <w:r>
        <w:rPr>
          <w:color w:val="3A383A"/>
          <w:w w:val="110"/>
          <w:vertAlign w:val="baseline"/>
        </w:rPr>
        <w:t>to create an outline that is complete enough to get you started on your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writing</w:t>
      </w:r>
      <w:r>
        <w:rPr>
          <w:color w:val="575659"/>
          <w:w w:val="110"/>
          <w:vertAlign w:val="baseline"/>
        </w:rPr>
        <w:t>.</w:t>
      </w:r>
    </w:p>
    <w:p>
      <w:pPr>
        <w:pStyle w:val="BodyText"/>
        <w:spacing w:line="232" w:lineRule="auto"/>
        <w:ind w:left="603" w:right="94" w:firstLine="378"/>
        <w:jc w:val="both"/>
      </w:pPr>
      <w:r>
        <w:rPr>
          <w:color w:val="3A383A"/>
          <w:w w:val="105"/>
          <w:sz w:val="22"/>
        </w:rPr>
        <w:t>If </w:t>
      </w:r>
      <w:r>
        <w:rPr>
          <w:rFonts w:ascii="Arial"/>
          <w:i/>
          <w:color w:val="3A383A"/>
          <w:w w:val="105"/>
          <w:sz w:val="20"/>
        </w:rPr>
        <w:t>any </w:t>
      </w:r>
      <w:r>
        <w:rPr>
          <w:color w:val="3A383A"/>
          <w:w w:val="105"/>
        </w:rPr>
        <w:t>type of prewriting outline is too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difficult for you, you  may want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10"/>
        </w:rPr>
        <w:t>to try writing </w:t>
      </w:r>
      <w:r>
        <w:rPr>
          <w:i/>
          <w:color w:val="3A383A"/>
          <w:w w:val="110"/>
          <w:sz w:val="24"/>
        </w:rPr>
        <w:t>before </w:t>
      </w:r>
      <w:r>
        <w:rPr>
          <w:color w:val="3A383A"/>
          <w:w w:val="110"/>
        </w:rPr>
        <w:t>you outline. Keep your paragraphs to a reasonable</w:t>
      </w:r>
      <w:r>
        <w:rPr>
          <w:color w:val="3A383A"/>
          <w:spacing w:val="1"/>
          <w:w w:val="110"/>
        </w:rPr>
        <w:t> </w:t>
      </w:r>
      <w:r>
        <w:rPr>
          <w:color w:val="3A383A"/>
          <w:spacing w:val="-1"/>
          <w:w w:val="110"/>
        </w:rPr>
        <w:t>length, and then, after you have written your </w:t>
      </w:r>
      <w:r>
        <w:rPr>
          <w:color w:val="3A383A"/>
          <w:w w:val="110"/>
        </w:rPr>
        <w:t>argument, use the advice </w:t>
      </w:r>
      <w:r>
        <w:rPr>
          <w:rFonts w:ascii="Arial"/>
          <w:color w:val="3A383A"/>
          <w:w w:val="110"/>
          <w:sz w:val="21"/>
        </w:rPr>
        <w:t>in</w:t>
      </w:r>
      <w:r>
        <w:rPr>
          <w:rFonts w:ascii="Arial"/>
          <w:color w:val="3A383A"/>
          <w:spacing w:val="1"/>
          <w:w w:val="110"/>
          <w:sz w:val="21"/>
        </w:rPr>
        <w:t> </w:t>
      </w:r>
      <w:r>
        <w:rPr>
          <w:color w:val="3A383A"/>
          <w:w w:val="105"/>
        </w:rPr>
        <w:t>Chapter Ten to write an effective topic sentence for each paragraph. Those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topic sentences  will reveal the  main points you have made and  the  order</w:t>
      </w:r>
      <w:r>
        <w:rPr>
          <w:color w:val="3A383A"/>
          <w:spacing w:val="1"/>
          <w:w w:val="105"/>
        </w:rPr>
        <w:t> </w:t>
      </w:r>
      <w:r>
        <w:rPr>
          <w:rFonts w:ascii="Arial"/>
          <w:color w:val="3A383A"/>
          <w:w w:val="110"/>
          <w:sz w:val="21"/>
        </w:rPr>
        <w:t>in </w:t>
      </w:r>
      <w:r>
        <w:rPr>
          <w:color w:val="3A383A"/>
          <w:w w:val="110"/>
        </w:rPr>
        <w:t>which you have made them. You can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then use the topic sentences to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05"/>
        </w:rPr>
        <w:t>evaluate the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relationships among your points and to plan your large-scale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organization,</w:t>
      </w:r>
      <w:r>
        <w:rPr>
          <w:color w:val="3A383A"/>
          <w:spacing w:val="49"/>
          <w:w w:val="105"/>
        </w:rPr>
        <w:t> </w:t>
      </w:r>
      <w:r>
        <w:rPr>
          <w:color w:val="3A383A"/>
          <w:w w:val="105"/>
        </w:rPr>
        <w:t>perhaps</w:t>
      </w:r>
      <w:r>
        <w:rPr>
          <w:color w:val="3A383A"/>
          <w:spacing w:val="26"/>
          <w:w w:val="105"/>
        </w:rPr>
        <w:t> </w:t>
      </w:r>
      <w:r>
        <w:rPr>
          <w:color w:val="3A383A"/>
          <w:w w:val="105"/>
        </w:rPr>
        <w:t>using</w:t>
      </w:r>
      <w:r>
        <w:rPr>
          <w:color w:val="3A383A"/>
          <w:spacing w:val="-5"/>
          <w:w w:val="105"/>
        </w:rPr>
        <w:t> </w:t>
      </w:r>
      <w:r>
        <w:rPr>
          <w:color w:val="3A383A"/>
          <w:w w:val="105"/>
        </w:rPr>
        <w:t>some</w:t>
      </w:r>
      <w:r>
        <w:rPr>
          <w:color w:val="3A383A"/>
          <w:spacing w:val="-5"/>
          <w:w w:val="105"/>
        </w:rPr>
        <w:t> </w:t>
      </w:r>
      <w:r>
        <w:rPr>
          <w:color w:val="3A383A"/>
          <w:w w:val="105"/>
        </w:rPr>
        <w:t>of</w:t>
      </w:r>
      <w:r>
        <w:rPr>
          <w:color w:val="3A383A"/>
          <w:spacing w:val="26"/>
          <w:w w:val="105"/>
        </w:rPr>
        <w:t> </w:t>
      </w:r>
      <w:r>
        <w:rPr>
          <w:color w:val="3A383A"/>
          <w:w w:val="105"/>
        </w:rPr>
        <w:t>the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techniques</w:t>
      </w:r>
      <w:r>
        <w:rPr>
          <w:color w:val="3A383A"/>
          <w:spacing w:val="13"/>
          <w:w w:val="105"/>
        </w:rPr>
        <w:t> </w:t>
      </w:r>
      <w:r>
        <w:rPr>
          <w:color w:val="3A383A"/>
          <w:w w:val="105"/>
        </w:rPr>
        <w:t>noted</w:t>
      </w:r>
      <w:r>
        <w:rPr>
          <w:color w:val="3A383A"/>
          <w:spacing w:val="36"/>
          <w:w w:val="105"/>
        </w:rPr>
        <w:t> </w:t>
      </w:r>
      <w:r>
        <w:rPr>
          <w:color w:val="3A383A"/>
          <w:w w:val="105"/>
        </w:rPr>
        <w:t>in</w:t>
      </w:r>
      <w:r>
        <w:rPr>
          <w:color w:val="3A383A"/>
          <w:spacing w:val="41"/>
          <w:w w:val="105"/>
        </w:rPr>
        <w:t> </w:t>
      </w:r>
      <w:r>
        <w:rPr>
          <w:color w:val="3A383A"/>
          <w:w w:val="105"/>
        </w:rPr>
        <w:t>this</w:t>
      </w:r>
      <w:r>
        <w:rPr>
          <w:color w:val="3A383A"/>
          <w:spacing w:val="5"/>
          <w:w w:val="105"/>
        </w:rPr>
        <w:t> </w:t>
      </w:r>
      <w:r>
        <w:rPr>
          <w:color w:val="3A383A"/>
          <w:w w:val="105"/>
        </w:rPr>
        <w:t>chapter.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0"/>
        <w:ind w:left="1164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3A383A"/>
          <w:w w:val="110"/>
          <w:sz w:val="32"/>
        </w:rPr>
        <w:t>4.2</w:t>
      </w:r>
    </w:p>
    <w:p>
      <w:pPr>
        <w:spacing w:line="302" w:lineRule="auto" w:before="84"/>
        <w:ind w:left="1151" w:right="0" w:firstLine="9"/>
        <w:jc w:val="left"/>
        <w:rPr>
          <w:rFonts w:ascii="Arial"/>
          <w:b/>
          <w:sz w:val="26"/>
        </w:rPr>
      </w:pPr>
      <w:r>
        <w:rPr>
          <w:rFonts w:ascii="Arial"/>
          <w:b/>
          <w:color w:val="3A383A"/>
          <w:spacing w:val="-1"/>
          <w:w w:val="105"/>
          <w:sz w:val="26"/>
        </w:rPr>
        <w:t>USING</w:t>
      </w:r>
      <w:r>
        <w:rPr>
          <w:rFonts w:ascii="Arial"/>
          <w:b/>
          <w:color w:val="3A383A"/>
          <w:spacing w:val="-2"/>
          <w:w w:val="105"/>
          <w:sz w:val="26"/>
        </w:rPr>
        <w:t> </w:t>
      </w:r>
      <w:r>
        <w:rPr>
          <w:rFonts w:ascii="Arial"/>
          <w:b/>
          <w:color w:val="3A383A"/>
          <w:spacing w:val="-1"/>
          <w:w w:val="105"/>
          <w:sz w:val="26"/>
        </w:rPr>
        <w:t>"PRIVATE</w:t>
      </w:r>
      <w:r>
        <w:rPr>
          <w:rFonts w:ascii="Arial"/>
          <w:b/>
          <w:color w:val="3A383A"/>
          <w:w w:val="105"/>
          <w:sz w:val="26"/>
        </w:rPr>
        <w:t> MEMOS"</w:t>
      </w:r>
      <w:r>
        <w:rPr>
          <w:rFonts w:ascii="Arial"/>
          <w:b/>
          <w:color w:val="3A383A"/>
          <w:spacing w:val="-9"/>
          <w:w w:val="105"/>
          <w:sz w:val="26"/>
        </w:rPr>
        <w:t> </w:t>
      </w:r>
      <w:r>
        <w:rPr>
          <w:rFonts w:ascii="Arial"/>
          <w:b/>
          <w:color w:val="3A383A"/>
          <w:w w:val="105"/>
          <w:sz w:val="26"/>
        </w:rPr>
        <w:t>TO</w:t>
      </w:r>
      <w:r>
        <w:rPr>
          <w:rFonts w:ascii="Arial"/>
          <w:b/>
          <w:color w:val="3A383A"/>
          <w:spacing w:val="-18"/>
          <w:w w:val="105"/>
          <w:sz w:val="26"/>
        </w:rPr>
        <w:t> </w:t>
      </w:r>
      <w:r>
        <w:rPr>
          <w:rFonts w:ascii="Arial"/>
          <w:b/>
          <w:color w:val="3A383A"/>
          <w:w w:val="105"/>
          <w:sz w:val="26"/>
        </w:rPr>
        <w:t>QUIET</w:t>
      </w:r>
      <w:r>
        <w:rPr>
          <w:rFonts w:ascii="Arial"/>
          <w:b/>
          <w:color w:val="3A383A"/>
          <w:spacing w:val="5"/>
          <w:w w:val="105"/>
          <w:sz w:val="26"/>
        </w:rPr>
        <w:t> </w:t>
      </w:r>
      <w:r>
        <w:rPr>
          <w:rFonts w:ascii="Arial"/>
          <w:b/>
          <w:color w:val="3A383A"/>
          <w:w w:val="105"/>
          <w:sz w:val="26"/>
        </w:rPr>
        <w:t>YOUR</w:t>
      </w:r>
      <w:r>
        <w:rPr>
          <w:rFonts w:ascii="Arial"/>
          <w:b/>
          <w:color w:val="3A383A"/>
          <w:spacing w:val="24"/>
          <w:w w:val="105"/>
          <w:sz w:val="26"/>
        </w:rPr>
        <w:t> </w:t>
      </w:r>
      <w:r>
        <w:rPr>
          <w:rFonts w:ascii="Arial"/>
          <w:b/>
          <w:color w:val="3A383A"/>
          <w:w w:val="105"/>
          <w:sz w:val="26"/>
        </w:rPr>
        <w:t>INNER</w:t>
      </w:r>
      <w:r>
        <w:rPr>
          <w:rFonts w:ascii="Arial"/>
          <w:b/>
          <w:color w:val="3A383A"/>
          <w:spacing w:val="-73"/>
          <w:w w:val="105"/>
          <w:sz w:val="26"/>
        </w:rPr>
        <w:t> </w:t>
      </w:r>
      <w:r>
        <w:rPr>
          <w:rFonts w:ascii="Arial"/>
          <w:b/>
          <w:color w:val="3A383A"/>
          <w:w w:val="105"/>
          <w:sz w:val="26"/>
        </w:rPr>
        <w:t>DEMONS</w:t>
      </w:r>
      <w:r>
        <w:rPr>
          <w:rFonts w:ascii="Arial"/>
          <w:b/>
          <w:color w:val="3A383A"/>
          <w:spacing w:val="-9"/>
          <w:w w:val="105"/>
          <w:sz w:val="26"/>
        </w:rPr>
        <w:t> </w:t>
      </w:r>
      <w:r>
        <w:rPr>
          <w:rFonts w:ascii="Arial"/>
          <w:b/>
          <w:color w:val="3A383A"/>
          <w:w w:val="105"/>
          <w:sz w:val="26"/>
        </w:rPr>
        <w:t>AND</w:t>
      </w:r>
      <w:r>
        <w:rPr>
          <w:rFonts w:ascii="Arial"/>
          <w:b/>
          <w:color w:val="3A383A"/>
          <w:spacing w:val="-13"/>
          <w:w w:val="105"/>
          <w:sz w:val="26"/>
        </w:rPr>
        <w:t> </w:t>
      </w:r>
      <w:r>
        <w:rPr>
          <w:rFonts w:ascii="Arial"/>
          <w:b/>
          <w:color w:val="3A383A"/>
          <w:w w:val="105"/>
          <w:sz w:val="26"/>
        </w:rPr>
        <w:t>PREVENT</w:t>
      </w:r>
      <w:r>
        <w:rPr>
          <w:rFonts w:ascii="Arial"/>
          <w:b/>
          <w:color w:val="3A383A"/>
          <w:spacing w:val="-4"/>
          <w:w w:val="105"/>
          <w:sz w:val="26"/>
        </w:rPr>
        <w:t> </w:t>
      </w:r>
      <w:r>
        <w:rPr>
          <w:rFonts w:ascii="Arial"/>
          <w:b/>
          <w:color w:val="3A383A"/>
          <w:w w:val="105"/>
          <w:sz w:val="26"/>
        </w:rPr>
        <w:t>WRITER'S</w:t>
      </w:r>
      <w:r>
        <w:rPr>
          <w:rFonts w:ascii="Arial"/>
          <w:b/>
          <w:color w:val="3A383A"/>
          <w:spacing w:val="1"/>
          <w:w w:val="105"/>
          <w:sz w:val="26"/>
        </w:rPr>
        <w:t> </w:t>
      </w:r>
      <w:r>
        <w:rPr>
          <w:rFonts w:ascii="Arial"/>
          <w:b/>
          <w:color w:val="3A383A"/>
          <w:w w:val="105"/>
          <w:sz w:val="26"/>
        </w:rPr>
        <w:t>BLOCK</w:t>
      </w:r>
    </w:p>
    <w:p>
      <w:pPr>
        <w:pStyle w:val="BodyText"/>
        <w:spacing w:line="228" w:lineRule="auto" w:before="163"/>
        <w:ind w:left="477" w:right="142" w:firstLine="649"/>
        <w:jc w:val="both"/>
      </w:pPr>
      <w:r>
        <w:rPr>
          <w:color w:val="3A383A"/>
          <w:w w:val="105"/>
        </w:rPr>
        <w:t>Even if you have created a good outline, you may still face writer</w:t>
      </w:r>
      <w:r>
        <w:rPr>
          <w:color w:val="575659"/>
          <w:w w:val="105"/>
        </w:rPr>
        <w:t>'</w:t>
      </w:r>
      <w:r>
        <w:rPr>
          <w:color w:val="3A383A"/>
          <w:w w:val="105"/>
        </w:rPr>
        <w:t>s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block at this stage of the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process if you worry so much about avoiding mis­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takes that you are afraid to write a word. As Ray and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Ramsfield have noted,</w:t>
      </w:r>
      <w:r>
        <w:rPr>
          <w:color w:val="3A383A"/>
          <w:spacing w:val="-58"/>
          <w:w w:val="105"/>
        </w:rPr>
        <w:t> </w:t>
      </w:r>
      <w:r>
        <w:rPr>
          <w:color w:val="3A383A"/>
          <w:w w:val="105"/>
        </w:rPr>
        <w:t>a crisis can  result when  the  "id" of  creativity  bumps  into the "superego"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of criticism.</w:t>
      </w:r>
      <w:r>
        <w:rPr>
          <w:color w:val="3A383A"/>
          <w:w w:val="105"/>
          <w:vertAlign w:val="superscript"/>
        </w:rPr>
        <w:t>16</w:t>
      </w:r>
      <w:r>
        <w:rPr>
          <w:color w:val="3A383A"/>
          <w:w w:val="105"/>
          <w:vertAlign w:val="baseline"/>
        </w:rPr>
        <w:t> </w:t>
      </w:r>
      <w:r>
        <w:rPr>
          <w:color w:val="3A383A"/>
          <w:w w:val="105"/>
          <w:sz w:val="20"/>
          <w:vertAlign w:val="baseline"/>
        </w:rPr>
        <w:t>As </w:t>
      </w:r>
      <w:r>
        <w:rPr>
          <w:color w:val="3A383A"/>
          <w:w w:val="105"/>
          <w:vertAlign w:val="baseline"/>
        </w:rPr>
        <w:t>we write, we hear a critical voice yammering away inside</w:t>
      </w:r>
      <w:r>
        <w:rPr>
          <w:color w:val="3A383A"/>
          <w:spacing w:val="1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our</w:t>
      </w:r>
      <w:r>
        <w:rPr>
          <w:color w:val="3A383A"/>
          <w:spacing w:val="19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heads, asking,</w:t>
      </w:r>
      <w:r>
        <w:rPr>
          <w:color w:val="3A383A"/>
          <w:spacing w:val="22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"What</w:t>
      </w:r>
      <w:r>
        <w:rPr>
          <w:color w:val="3A383A"/>
          <w:spacing w:val="4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about</w:t>
      </w:r>
      <w:r>
        <w:rPr>
          <w:color w:val="3A383A"/>
          <w:spacing w:val="18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the</w:t>
      </w:r>
      <w:r>
        <w:rPr>
          <w:color w:val="3A383A"/>
          <w:spacing w:val="33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res</w:t>
      </w:r>
      <w:r>
        <w:rPr>
          <w:color w:val="3A383A"/>
          <w:spacing w:val="2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ipsa</w:t>
      </w:r>
      <w:r>
        <w:rPr>
          <w:color w:val="3A383A"/>
          <w:spacing w:val="28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issue?</w:t>
      </w:r>
      <w:r>
        <w:rPr>
          <w:color w:val="3A383A"/>
          <w:spacing w:val="10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Do</w:t>
      </w:r>
      <w:r>
        <w:rPr>
          <w:color w:val="3A383A"/>
          <w:spacing w:val="6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I</w:t>
      </w:r>
      <w:r>
        <w:rPr>
          <w:color w:val="3A383A"/>
          <w:spacing w:val="8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have</w:t>
      </w:r>
      <w:r>
        <w:rPr>
          <w:color w:val="3A383A"/>
          <w:spacing w:val="4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enough</w:t>
      </w:r>
      <w:r>
        <w:rPr>
          <w:color w:val="3A383A"/>
          <w:spacing w:val="30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cases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23" w:lineRule="auto" w:before="150"/>
        <w:ind w:left="411" w:right="82" w:firstLine="410"/>
        <w:jc w:val="left"/>
        <w:rPr>
          <w:sz w:val="18"/>
        </w:rPr>
      </w:pPr>
      <w:r>
        <w:rPr>
          <w:color w:val="3A383A"/>
          <w:w w:val="105"/>
          <w:sz w:val="18"/>
        </w:rPr>
        <w:t>nsee</w:t>
      </w:r>
      <w:r>
        <w:rPr>
          <w:color w:val="3A383A"/>
          <w:spacing w:val="-9"/>
          <w:w w:val="105"/>
          <w:sz w:val="18"/>
        </w:rPr>
        <w:t> </w:t>
      </w:r>
      <w:r>
        <w:rPr>
          <w:color w:val="3A383A"/>
          <w:w w:val="105"/>
          <w:sz w:val="18"/>
        </w:rPr>
        <w:t>Chapter</w:t>
      </w:r>
      <w:r>
        <w:rPr>
          <w:color w:val="3A383A"/>
          <w:spacing w:val="10"/>
          <w:w w:val="105"/>
          <w:sz w:val="18"/>
        </w:rPr>
        <w:t> </w:t>
      </w:r>
      <w:r>
        <w:rPr>
          <w:color w:val="3A383A"/>
          <w:w w:val="105"/>
          <w:sz w:val="18"/>
        </w:rPr>
        <w:t>Five</w:t>
      </w:r>
      <w:r>
        <w:rPr>
          <w:color w:val="3A383A"/>
          <w:spacing w:val="-11"/>
          <w:w w:val="105"/>
          <w:sz w:val="18"/>
        </w:rPr>
        <w:t> </w:t>
      </w:r>
      <w:r>
        <w:rPr>
          <w:color w:val="3A383A"/>
          <w:w w:val="105"/>
          <w:sz w:val="18"/>
        </w:rPr>
        <w:t>for</w:t>
      </w:r>
      <w:r>
        <w:rPr>
          <w:color w:val="3A383A"/>
          <w:spacing w:val="22"/>
          <w:w w:val="105"/>
          <w:sz w:val="18"/>
        </w:rPr>
        <w:t> </w:t>
      </w:r>
      <w:r>
        <w:rPr>
          <w:color w:val="3A383A"/>
          <w:w w:val="105"/>
          <w:sz w:val="18"/>
        </w:rPr>
        <w:t>a</w:t>
      </w:r>
      <w:r>
        <w:rPr>
          <w:color w:val="3A383A"/>
          <w:spacing w:val="6"/>
          <w:w w:val="105"/>
          <w:sz w:val="18"/>
        </w:rPr>
        <w:t> </w:t>
      </w:r>
      <w:r>
        <w:rPr>
          <w:color w:val="3A383A"/>
          <w:w w:val="105"/>
          <w:sz w:val="18"/>
        </w:rPr>
        <w:t>discuss</w:t>
      </w:r>
      <w:r>
        <w:rPr>
          <w:color w:val="575659"/>
          <w:w w:val="105"/>
          <w:sz w:val="18"/>
        </w:rPr>
        <w:t>i</w:t>
      </w:r>
      <w:r>
        <w:rPr>
          <w:color w:val="3A383A"/>
          <w:w w:val="105"/>
          <w:sz w:val="18"/>
        </w:rPr>
        <w:t>on</w:t>
      </w:r>
      <w:r>
        <w:rPr>
          <w:color w:val="3A383A"/>
          <w:spacing w:val="23"/>
          <w:w w:val="105"/>
          <w:sz w:val="18"/>
        </w:rPr>
        <w:t> </w:t>
      </w:r>
      <w:r>
        <w:rPr>
          <w:color w:val="3A383A"/>
          <w:w w:val="105"/>
          <w:sz w:val="18"/>
        </w:rPr>
        <w:t>of</w:t>
      </w:r>
      <w:r>
        <w:rPr>
          <w:color w:val="3A383A"/>
          <w:spacing w:val="10"/>
          <w:w w:val="105"/>
          <w:sz w:val="18"/>
        </w:rPr>
        <w:t> </w:t>
      </w:r>
      <w:r>
        <w:rPr>
          <w:color w:val="3A383A"/>
          <w:w w:val="105"/>
          <w:sz w:val="18"/>
        </w:rPr>
        <w:t>how</w:t>
      </w:r>
      <w:r>
        <w:rPr>
          <w:color w:val="3A383A"/>
          <w:spacing w:val="10"/>
          <w:w w:val="105"/>
          <w:sz w:val="18"/>
        </w:rPr>
        <w:t> </w:t>
      </w:r>
      <w:r>
        <w:rPr>
          <w:color w:val="3A383A"/>
          <w:w w:val="105"/>
          <w:sz w:val="18"/>
        </w:rPr>
        <w:t>to</w:t>
      </w:r>
      <w:r>
        <w:rPr>
          <w:color w:val="3A383A"/>
          <w:spacing w:val="11"/>
          <w:w w:val="105"/>
          <w:sz w:val="18"/>
        </w:rPr>
        <w:t> </w:t>
      </w:r>
      <w:r>
        <w:rPr>
          <w:color w:val="3A383A"/>
          <w:w w:val="105"/>
          <w:sz w:val="18"/>
        </w:rPr>
        <w:t>decide</w:t>
      </w:r>
      <w:r>
        <w:rPr>
          <w:color w:val="3A383A"/>
          <w:spacing w:val="-11"/>
          <w:w w:val="105"/>
          <w:sz w:val="18"/>
        </w:rPr>
        <w:t> </w:t>
      </w:r>
      <w:r>
        <w:rPr>
          <w:color w:val="3A383A"/>
          <w:w w:val="105"/>
          <w:sz w:val="18"/>
        </w:rPr>
        <w:t>when</w:t>
      </w:r>
      <w:r>
        <w:rPr>
          <w:color w:val="3A383A"/>
          <w:spacing w:val="6"/>
          <w:w w:val="105"/>
          <w:sz w:val="18"/>
        </w:rPr>
        <w:t> </w:t>
      </w:r>
      <w:r>
        <w:rPr>
          <w:color w:val="3A383A"/>
          <w:w w:val="105"/>
          <w:sz w:val="18"/>
        </w:rPr>
        <w:t>to</w:t>
      </w:r>
      <w:r>
        <w:rPr>
          <w:color w:val="3A383A"/>
          <w:spacing w:val="24"/>
          <w:w w:val="105"/>
          <w:sz w:val="18"/>
        </w:rPr>
        <w:t> </w:t>
      </w:r>
      <w:r>
        <w:rPr>
          <w:color w:val="3A383A"/>
          <w:w w:val="105"/>
          <w:sz w:val="18"/>
        </w:rPr>
        <w:t>provide</w:t>
      </w:r>
      <w:r>
        <w:rPr>
          <w:color w:val="3A383A"/>
          <w:spacing w:val="-12"/>
          <w:w w:val="105"/>
          <w:sz w:val="18"/>
        </w:rPr>
        <w:t> </w:t>
      </w:r>
      <w:r>
        <w:rPr>
          <w:color w:val="3A383A"/>
          <w:w w:val="105"/>
          <w:sz w:val="18"/>
        </w:rPr>
        <w:t>a</w:t>
      </w:r>
      <w:r>
        <w:rPr>
          <w:color w:val="3A383A"/>
          <w:spacing w:val="12"/>
          <w:w w:val="105"/>
          <w:sz w:val="18"/>
        </w:rPr>
        <w:t> </w:t>
      </w:r>
      <w:r>
        <w:rPr>
          <w:color w:val="3A383A"/>
          <w:w w:val="105"/>
          <w:sz w:val="18"/>
        </w:rPr>
        <w:t>complete</w:t>
      </w:r>
      <w:r>
        <w:rPr>
          <w:color w:val="3A383A"/>
          <w:spacing w:val="-15"/>
          <w:w w:val="105"/>
          <w:sz w:val="18"/>
        </w:rPr>
        <w:t> </w:t>
      </w:r>
      <w:r>
        <w:rPr>
          <w:color w:val="3A383A"/>
          <w:w w:val="105"/>
          <w:sz w:val="18"/>
        </w:rPr>
        <w:t>analysis</w:t>
      </w:r>
      <w:r>
        <w:rPr>
          <w:color w:val="3A383A"/>
          <w:spacing w:val="-6"/>
          <w:w w:val="105"/>
          <w:sz w:val="18"/>
        </w:rPr>
        <w:t> </w:t>
      </w:r>
      <w:r>
        <w:rPr>
          <w:color w:val="3A383A"/>
          <w:w w:val="105"/>
          <w:sz w:val="18"/>
        </w:rPr>
        <w:t>of</w:t>
      </w:r>
      <w:r>
        <w:rPr>
          <w:color w:val="3A383A"/>
          <w:spacing w:val="1"/>
          <w:w w:val="105"/>
          <w:sz w:val="18"/>
        </w:rPr>
        <w:t> </w:t>
      </w:r>
      <w:r>
        <w:rPr>
          <w:color w:val="3A383A"/>
          <w:w w:val="105"/>
          <w:sz w:val="18"/>
        </w:rPr>
        <w:t>an</w:t>
      </w:r>
      <w:r>
        <w:rPr>
          <w:color w:val="3A383A"/>
          <w:spacing w:val="36"/>
          <w:w w:val="105"/>
          <w:sz w:val="18"/>
        </w:rPr>
        <w:t> </w:t>
      </w:r>
      <w:r>
        <w:rPr>
          <w:color w:val="3A383A"/>
          <w:w w:val="105"/>
          <w:sz w:val="18"/>
        </w:rPr>
        <w:t>issue</w:t>
      </w:r>
      <w:r>
        <w:rPr>
          <w:color w:val="3A383A"/>
          <w:spacing w:val="-9"/>
          <w:w w:val="105"/>
          <w:sz w:val="18"/>
        </w:rPr>
        <w:t> </w:t>
      </w:r>
      <w:r>
        <w:rPr>
          <w:color w:val="3A383A"/>
          <w:w w:val="105"/>
          <w:sz w:val="18"/>
        </w:rPr>
        <w:t>versus</w:t>
      </w:r>
      <w:r>
        <w:rPr>
          <w:color w:val="3A383A"/>
          <w:spacing w:val="-6"/>
          <w:w w:val="105"/>
          <w:sz w:val="18"/>
        </w:rPr>
        <w:t> </w:t>
      </w:r>
      <w:r>
        <w:rPr>
          <w:color w:val="3A383A"/>
          <w:w w:val="105"/>
          <w:sz w:val="18"/>
        </w:rPr>
        <w:t>when</w:t>
      </w:r>
      <w:r>
        <w:rPr>
          <w:color w:val="3A383A"/>
          <w:spacing w:val="8"/>
          <w:w w:val="105"/>
          <w:sz w:val="18"/>
        </w:rPr>
        <w:t> </w:t>
      </w:r>
      <w:r>
        <w:rPr>
          <w:color w:val="3A383A"/>
          <w:w w:val="105"/>
          <w:sz w:val="18"/>
        </w:rPr>
        <w:t>to</w:t>
      </w:r>
      <w:r>
        <w:rPr>
          <w:color w:val="3A383A"/>
          <w:spacing w:val="5"/>
          <w:w w:val="105"/>
          <w:sz w:val="18"/>
        </w:rPr>
        <w:t> </w:t>
      </w:r>
      <w:r>
        <w:rPr>
          <w:color w:val="3A383A"/>
          <w:w w:val="105"/>
          <w:sz w:val="18"/>
        </w:rPr>
        <w:t>pr</w:t>
      </w:r>
      <w:r>
        <w:rPr>
          <w:color w:val="575659"/>
          <w:w w:val="105"/>
          <w:sz w:val="18"/>
        </w:rPr>
        <w:t>o</w:t>
      </w:r>
      <w:r>
        <w:rPr>
          <w:color w:val="3A383A"/>
          <w:w w:val="105"/>
          <w:sz w:val="18"/>
        </w:rPr>
        <w:t>v</w:t>
      </w:r>
      <w:r>
        <w:rPr>
          <w:color w:val="575659"/>
          <w:w w:val="105"/>
          <w:sz w:val="18"/>
        </w:rPr>
        <w:t>i</w:t>
      </w:r>
      <w:r>
        <w:rPr>
          <w:color w:val="3A383A"/>
          <w:w w:val="105"/>
          <w:sz w:val="18"/>
        </w:rPr>
        <w:t>d</w:t>
      </w:r>
      <w:r>
        <w:rPr>
          <w:color w:val="575659"/>
          <w:w w:val="105"/>
          <w:sz w:val="18"/>
        </w:rPr>
        <w:t>e</w:t>
      </w:r>
      <w:r>
        <w:rPr>
          <w:color w:val="575659"/>
          <w:spacing w:val="-9"/>
          <w:w w:val="105"/>
          <w:sz w:val="18"/>
        </w:rPr>
        <w:t> </w:t>
      </w:r>
      <w:r>
        <w:rPr>
          <w:color w:val="3A383A"/>
          <w:w w:val="105"/>
          <w:sz w:val="18"/>
        </w:rPr>
        <w:t>something</w:t>
      </w:r>
      <w:r>
        <w:rPr>
          <w:color w:val="3A383A"/>
          <w:spacing w:val="-5"/>
          <w:w w:val="105"/>
          <w:sz w:val="18"/>
        </w:rPr>
        <w:t> </w:t>
      </w:r>
      <w:r>
        <w:rPr>
          <w:color w:val="3A383A"/>
          <w:w w:val="105"/>
          <w:sz w:val="18"/>
        </w:rPr>
        <w:t>less</w:t>
      </w:r>
      <w:r>
        <w:rPr>
          <w:color w:val="3A383A"/>
          <w:spacing w:val="-15"/>
          <w:w w:val="105"/>
          <w:sz w:val="18"/>
        </w:rPr>
        <w:t> </w:t>
      </w:r>
      <w:r>
        <w:rPr>
          <w:color w:val="3A383A"/>
          <w:w w:val="105"/>
          <w:sz w:val="18"/>
        </w:rPr>
        <w:t>complete.</w:t>
      </w:r>
    </w:p>
    <w:p>
      <w:pPr>
        <w:spacing w:line="194" w:lineRule="exact" w:before="0"/>
        <w:ind w:left="794" w:right="0" w:firstLine="0"/>
        <w:jc w:val="left"/>
        <w:rPr>
          <w:i/>
          <w:sz w:val="17"/>
        </w:rPr>
      </w:pPr>
      <w:r>
        <w:rPr>
          <w:color w:val="575659"/>
          <w:sz w:val="17"/>
        </w:rPr>
        <w:t>•</w:t>
      </w:r>
      <w:r>
        <w:rPr>
          <w:color w:val="3A383A"/>
          <w:sz w:val="17"/>
        </w:rPr>
        <w:t>•</w:t>
      </w:r>
      <w:r>
        <w:rPr>
          <w:i/>
          <w:color w:val="3A383A"/>
          <w:sz w:val="17"/>
        </w:rPr>
        <w:t>See</w:t>
      </w:r>
      <w:r>
        <w:rPr>
          <w:i/>
          <w:color w:val="3A383A"/>
          <w:spacing w:val="-6"/>
          <w:sz w:val="17"/>
        </w:rPr>
        <w:t> </w:t>
      </w:r>
      <w:r>
        <w:rPr>
          <w:color w:val="3A383A"/>
          <w:sz w:val="18"/>
        </w:rPr>
        <w:t>Mary</w:t>
      </w:r>
      <w:r>
        <w:rPr>
          <w:color w:val="3A383A"/>
          <w:spacing w:val="9"/>
          <w:sz w:val="18"/>
        </w:rPr>
        <w:t> </w:t>
      </w:r>
      <w:r>
        <w:rPr>
          <w:color w:val="3A383A"/>
          <w:sz w:val="18"/>
        </w:rPr>
        <w:t>Barna</w:t>
      </w:r>
      <w:r>
        <w:rPr>
          <w:color w:val="575659"/>
          <w:sz w:val="18"/>
        </w:rPr>
        <w:t>r</w:t>
      </w:r>
      <w:r>
        <w:rPr>
          <w:color w:val="3A383A"/>
          <w:sz w:val="18"/>
        </w:rPr>
        <w:t>d</w:t>
      </w:r>
      <w:r>
        <w:rPr>
          <w:color w:val="3A383A"/>
          <w:spacing w:val="24"/>
          <w:sz w:val="18"/>
        </w:rPr>
        <w:t> </w:t>
      </w:r>
      <w:r>
        <w:rPr>
          <w:color w:val="3A383A"/>
          <w:sz w:val="18"/>
        </w:rPr>
        <w:t>Ray</w:t>
      </w:r>
      <w:r>
        <w:rPr>
          <w:color w:val="3A383A"/>
          <w:spacing w:val="-8"/>
          <w:sz w:val="18"/>
        </w:rPr>
        <w:t> </w:t>
      </w:r>
      <w:r>
        <w:rPr>
          <w:color w:val="3A383A"/>
          <w:sz w:val="16"/>
        </w:rPr>
        <w:t>&amp;</w:t>
      </w:r>
      <w:r>
        <w:rPr>
          <w:color w:val="3A383A"/>
          <w:spacing w:val="10"/>
          <w:sz w:val="16"/>
        </w:rPr>
        <w:t> </w:t>
      </w:r>
      <w:r>
        <w:rPr>
          <w:color w:val="3A383A"/>
          <w:sz w:val="18"/>
        </w:rPr>
        <w:t>Jlll</w:t>
      </w:r>
      <w:r>
        <w:rPr>
          <w:color w:val="3A383A"/>
          <w:spacing w:val="-24"/>
          <w:sz w:val="18"/>
        </w:rPr>
        <w:t> </w:t>
      </w:r>
      <w:r>
        <w:rPr>
          <w:color w:val="3A383A"/>
          <w:sz w:val="18"/>
        </w:rPr>
        <w:t>J.</w:t>
      </w:r>
      <w:r>
        <w:rPr>
          <w:color w:val="3A383A"/>
          <w:spacing w:val="21"/>
          <w:sz w:val="18"/>
        </w:rPr>
        <w:t> </w:t>
      </w:r>
      <w:r>
        <w:rPr>
          <w:color w:val="3A383A"/>
          <w:sz w:val="18"/>
        </w:rPr>
        <w:t>Ramsfield,</w:t>
      </w:r>
      <w:r>
        <w:rPr>
          <w:color w:val="3A383A"/>
          <w:spacing w:val="22"/>
          <w:sz w:val="18"/>
        </w:rPr>
        <w:t> </w:t>
      </w:r>
      <w:r>
        <w:rPr>
          <w:i/>
          <w:color w:val="3A383A"/>
          <w:sz w:val="17"/>
        </w:rPr>
        <w:t>Legal</w:t>
      </w:r>
      <w:r>
        <w:rPr>
          <w:i/>
          <w:color w:val="3A383A"/>
          <w:spacing w:val="9"/>
          <w:sz w:val="17"/>
        </w:rPr>
        <w:t> </w:t>
      </w:r>
      <w:r>
        <w:rPr>
          <w:i/>
          <w:color w:val="3A383A"/>
          <w:sz w:val="17"/>
        </w:rPr>
        <w:t>Writing</w:t>
      </w:r>
      <w:r>
        <w:rPr>
          <w:i/>
          <w:color w:val="575659"/>
          <w:sz w:val="17"/>
        </w:rPr>
        <w:t>:</w:t>
      </w:r>
      <w:r>
        <w:rPr>
          <w:i/>
          <w:color w:val="575659"/>
          <w:spacing w:val="-17"/>
          <w:sz w:val="17"/>
        </w:rPr>
        <w:t> </w:t>
      </w:r>
      <w:r>
        <w:rPr>
          <w:i/>
          <w:color w:val="3A383A"/>
          <w:sz w:val="17"/>
        </w:rPr>
        <w:t>Gett</w:t>
      </w:r>
      <w:r>
        <w:rPr>
          <w:i/>
          <w:color w:val="575659"/>
          <w:sz w:val="17"/>
        </w:rPr>
        <w:t>i</w:t>
      </w:r>
      <w:r>
        <w:rPr>
          <w:i/>
          <w:color w:val="3A383A"/>
          <w:sz w:val="17"/>
        </w:rPr>
        <w:t>ng</w:t>
      </w:r>
      <w:r>
        <w:rPr>
          <w:i/>
          <w:color w:val="3A383A"/>
          <w:spacing w:val="32"/>
          <w:sz w:val="17"/>
        </w:rPr>
        <w:t> </w:t>
      </w:r>
      <w:r>
        <w:rPr>
          <w:i/>
          <w:color w:val="3A383A"/>
          <w:sz w:val="15"/>
        </w:rPr>
        <w:t>It</w:t>
      </w:r>
      <w:r>
        <w:rPr>
          <w:i/>
          <w:color w:val="3A383A"/>
          <w:spacing w:val="4"/>
          <w:sz w:val="15"/>
        </w:rPr>
        <w:t> </w:t>
      </w:r>
      <w:r>
        <w:rPr>
          <w:i/>
          <w:color w:val="3A383A"/>
          <w:sz w:val="17"/>
        </w:rPr>
        <w:t>Right</w:t>
      </w:r>
      <w:r>
        <w:rPr>
          <w:i/>
          <w:color w:val="3A383A"/>
          <w:spacing w:val="5"/>
          <w:sz w:val="17"/>
        </w:rPr>
        <w:t> </w:t>
      </w:r>
      <w:r>
        <w:rPr>
          <w:i/>
          <w:color w:val="3A383A"/>
          <w:sz w:val="17"/>
        </w:rPr>
        <w:t>and</w:t>
      </w:r>
      <w:r>
        <w:rPr>
          <w:i/>
          <w:color w:val="3A383A"/>
          <w:spacing w:val="4"/>
          <w:sz w:val="17"/>
        </w:rPr>
        <w:t> </w:t>
      </w:r>
      <w:r>
        <w:rPr>
          <w:i/>
          <w:color w:val="3A383A"/>
          <w:sz w:val="17"/>
        </w:rPr>
        <w:t>Getting</w:t>
      </w:r>
      <w:r>
        <w:rPr>
          <w:i/>
          <w:color w:val="3A383A"/>
          <w:spacing w:val="7"/>
          <w:sz w:val="17"/>
        </w:rPr>
        <w:t> </w:t>
      </w:r>
      <w:r>
        <w:rPr>
          <w:i/>
          <w:color w:val="3A383A"/>
          <w:sz w:val="17"/>
        </w:rPr>
        <w:t>It</w:t>
      </w:r>
      <w:r>
        <w:rPr>
          <w:i/>
          <w:color w:val="3A383A"/>
          <w:spacing w:val="17"/>
          <w:sz w:val="17"/>
        </w:rPr>
        <w:t> </w:t>
      </w:r>
      <w:r>
        <w:rPr>
          <w:i/>
          <w:color w:val="3A383A"/>
          <w:sz w:val="17"/>
        </w:rPr>
        <w:t>Written</w:t>
      </w:r>
    </w:p>
    <w:p>
      <w:pPr>
        <w:spacing w:line="220" w:lineRule="auto" w:before="0"/>
        <w:ind w:left="404" w:right="0" w:firstLine="0"/>
        <w:jc w:val="left"/>
        <w:rPr>
          <w:sz w:val="18"/>
        </w:rPr>
      </w:pPr>
      <w:r>
        <w:rPr>
          <w:color w:val="3A383A"/>
          <w:w w:val="105"/>
          <w:position w:val="-6"/>
          <w:sz w:val="18"/>
        </w:rPr>
        <w:t>212</w:t>
      </w:r>
      <w:r>
        <w:rPr>
          <w:color w:val="3A383A"/>
          <w:spacing w:val="-9"/>
          <w:w w:val="105"/>
          <w:position w:val="-6"/>
          <w:sz w:val="18"/>
        </w:rPr>
        <w:t> </w:t>
      </w:r>
      <w:r>
        <w:rPr>
          <w:color w:val="3A383A"/>
          <w:w w:val="105"/>
          <w:sz w:val="18"/>
        </w:rPr>
        <w:t>(2d</w:t>
      </w:r>
      <w:r>
        <w:rPr>
          <w:color w:val="3A383A"/>
          <w:spacing w:val="-3"/>
          <w:w w:val="105"/>
          <w:sz w:val="18"/>
        </w:rPr>
        <w:t> </w:t>
      </w:r>
      <w:r>
        <w:rPr>
          <w:color w:val="3A383A"/>
          <w:w w:val="105"/>
          <w:sz w:val="18"/>
        </w:rPr>
        <w:t>ed</w:t>
      </w:r>
      <w:r>
        <w:rPr>
          <w:color w:val="575659"/>
          <w:w w:val="105"/>
          <w:sz w:val="18"/>
        </w:rPr>
        <w:t>.,</w:t>
      </w:r>
      <w:r>
        <w:rPr>
          <w:color w:val="575659"/>
          <w:spacing w:val="25"/>
          <w:w w:val="105"/>
          <w:sz w:val="18"/>
        </w:rPr>
        <w:t> </w:t>
      </w:r>
      <w:r>
        <w:rPr>
          <w:color w:val="3A383A"/>
          <w:w w:val="105"/>
          <w:sz w:val="18"/>
        </w:rPr>
        <w:t>West</w:t>
      </w:r>
      <w:r>
        <w:rPr>
          <w:color w:val="3A383A"/>
          <w:spacing w:val="4"/>
          <w:w w:val="105"/>
          <w:sz w:val="18"/>
        </w:rPr>
        <w:t> </w:t>
      </w:r>
      <w:r>
        <w:rPr>
          <w:color w:val="3A383A"/>
          <w:w w:val="105"/>
          <w:sz w:val="18"/>
        </w:rPr>
        <w:t>1993).</w:t>
      </w:r>
    </w:p>
    <w:p>
      <w:pPr>
        <w:spacing w:after="0" w:line="220" w:lineRule="auto"/>
        <w:jc w:val="left"/>
        <w:rPr>
          <w:sz w:val="18"/>
        </w:rPr>
        <w:sectPr>
          <w:headerReference w:type="even" r:id="rId103"/>
          <w:headerReference w:type="default" r:id="rId104"/>
          <w:pgSz w:w="9330" w:h="13780"/>
          <w:pgMar w:header="482" w:footer="0" w:top="1060" w:bottom="0" w:left="1280" w:right="0"/>
          <w:pgNumType w:start="7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35" w:lineRule="auto" w:before="1"/>
        <w:ind w:left="117" w:right="309"/>
        <w:jc w:val="both"/>
      </w:pPr>
      <w:r>
        <w:rPr>
          <w:color w:val="3A3838"/>
          <w:w w:val="110"/>
        </w:rPr>
        <w:t>on this point? Shouldn't that second issue come before this one?" and so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on.</w:t>
      </w:r>
      <w:r>
        <w:rPr>
          <w:color w:val="3A3838"/>
          <w:spacing w:val="-22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-9"/>
          <w:w w:val="110"/>
        </w:rPr>
        <w:t> </w:t>
      </w:r>
      <w:r>
        <w:rPr>
          <w:color w:val="3A3838"/>
          <w:w w:val="110"/>
        </w:rPr>
        <w:t>writer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freezes,</w:t>
      </w:r>
      <w:r>
        <w:rPr>
          <w:color w:val="3A3838"/>
          <w:spacing w:val="-7"/>
          <w:w w:val="110"/>
        </w:rPr>
        <w:t> </w:t>
      </w:r>
      <w:r>
        <w:rPr>
          <w:color w:val="3A3838"/>
          <w:w w:val="110"/>
        </w:rPr>
        <w:t>and</w:t>
      </w:r>
      <w:r>
        <w:rPr>
          <w:color w:val="3A3838"/>
          <w:spacing w:val="44"/>
          <w:w w:val="110"/>
        </w:rPr>
        <w:t> </w:t>
      </w:r>
      <w:r>
        <w:rPr>
          <w:color w:val="3A3838"/>
          <w:w w:val="110"/>
        </w:rPr>
        <w:t>writing</w:t>
      </w:r>
      <w:r>
        <w:rPr>
          <w:color w:val="3A3838"/>
          <w:spacing w:val="-14"/>
          <w:w w:val="110"/>
        </w:rPr>
        <w:t> </w:t>
      </w:r>
      <w:r>
        <w:rPr>
          <w:color w:val="3A3838"/>
          <w:w w:val="110"/>
        </w:rPr>
        <w:t>comes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10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stop.</w:t>
      </w:r>
    </w:p>
    <w:p>
      <w:pPr>
        <w:pStyle w:val="BodyText"/>
        <w:spacing w:line="232" w:lineRule="auto" w:before="3"/>
        <w:ind w:left="124" w:right="285" w:firstLine="364"/>
        <w:jc w:val="both"/>
      </w:pPr>
      <w:r>
        <w:rPr>
          <w:color w:val="3A3838"/>
          <w:w w:val="110"/>
        </w:rPr>
        <w:t>Hearing your critical voice is not a bad thing in itself. After all, writ­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ing is a method of thinking and of learning. While you write, you may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discover aspects of your case that youhadn't noticed before, new avenues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of research, and even whole arguments that didn</w:t>
      </w:r>
      <w:r>
        <w:rPr>
          <w:color w:val="545456"/>
          <w:w w:val="110"/>
        </w:rPr>
        <w:t>'</w:t>
      </w:r>
      <w:r>
        <w:rPr>
          <w:color w:val="3A3838"/>
          <w:w w:val="110"/>
        </w:rPr>
        <w:t>t occur to you while you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were researching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or  outlining. That's why it's important  to  leave your­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self enough time to write. Consistent with the discussion in Chapter One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about the cognitivist school of writing theory, presume that your first cou­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ple of drafts will be "thinking drafts" or "learning drafts" that will teach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you</w:t>
      </w:r>
      <w:r>
        <w:rPr>
          <w:color w:val="3A3838"/>
          <w:spacing w:val="-7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lot</w:t>
      </w:r>
      <w:r>
        <w:rPr>
          <w:color w:val="3A3838"/>
          <w:spacing w:val="20"/>
          <w:w w:val="110"/>
        </w:rPr>
        <w:t> </w:t>
      </w:r>
      <w:r>
        <w:rPr>
          <w:color w:val="3A3838"/>
          <w:w w:val="110"/>
        </w:rPr>
        <w:t>about</w:t>
      </w:r>
      <w:r>
        <w:rPr>
          <w:color w:val="3A3838"/>
          <w:spacing w:val="-5"/>
          <w:w w:val="110"/>
        </w:rPr>
        <w:t> </w:t>
      </w:r>
      <w:r>
        <w:rPr>
          <w:color w:val="3A3838"/>
          <w:w w:val="110"/>
        </w:rPr>
        <w:t>your</w:t>
      </w:r>
      <w:r>
        <w:rPr>
          <w:color w:val="3A3838"/>
          <w:spacing w:val="-13"/>
          <w:w w:val="110"/>
        </w:rPr>
        <w:t> </w:t>
      </w:r>
      <w:r>
        <w:rPr>
          <w:color w:val="3A3838"/>
          <w:w w:val="110"/>
        </w:rPr>
        <w:t>case.</w:t>
      </w:r>
    </w:p>
    <w:p>
      <w:pPr>
        <w:pStyle w:val="BodyText"/>
        <w:spacing w:line="232" w:lineRule="auto" w:before="3"/>
        <w:ind w:left="130" w:right="234" w:firstLine="355"/>
      </w:pPr>
      <w:r>
        <w:rPr>
          <w:color w:val="3A3838"/>
          <w:w w:val="110"/>
          <w:sz w:val="24"/>
        </w:rPr>
        <w:t>If </w:t>
      </w:r>
      <w:r>
        <w:rPr>
          <w:color w:val="3A3838"/>
          <w:w w:val="110"/>
        </w:rPr>
        <w:t>you stop writing every time your critical voice reminds you of some­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thing,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however,  you  may  never  finish  a  draft.  Instead,  allow yourself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write an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imperfect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first draft, 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record  the  questions  or  criticisms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18"/>
          <w:w w:val="110"/>
        </w:rPr>
        <w:t> </w:t>
      </w:r>
      <w:r>
        <w:rPr>
          <w:color w:val="3A3838"/>
          <w:w w:val="110"/>
        </w:rPr>
        <w:t>occur</w:t>
      </w:r>
      <w:r>
        <w:rPr>
          <w:color w:val="3A3838"/>
          <w:spacing w:val="41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46"/>
          <w:w w:val="110"/>
        </w:rPr>
        <w:t> </w:t>
      </w:r>
      <w:r>
        <w:rPr>
          <w:color w:val="3A3838"/>
          <w:w w:val="110"/>
        </w:rPr>
        <w:t>you</w:t>
      </w:r>
      <w:r>
        <w:rPr>
          <w:color w:val="545456"/>
          <w:w w:val="110"/>
        </w:rPr>
        <w:t>.</w:t>
      </w:r>
      <w:r>
        <w:rPr>
          <w:color w:val="545456"/>
          <w:spacing w:val="36"/>
          <w:w w:val="110"/>
        </w:rPr>
        <w:t> </w:t>
      </w:r>
      <w:r>
        <w:rPr>
          <w:color w:val="3A3838"/>
          <w:w w:val="110"/>
        </w:rPr>
        <w:t>Instead</w:t>
      </w:r>
      <w:r>
        <w:rPr>
          <w:color w:val="3A3838"/>
          <w:spacing w:val="43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50"/>
          <w:w w:val="110"/>
        </w:rPr>
        <w:t> </w:t>
      </w:r>
      <w:r>
        <w:rPr>
          <w:color w:val="3A3838"/>
          <w:w w:val="110"/>
        </w:rPr>
        <w:t>freezing</w:t>
      </w:r>
      <w:r>
        <w:rPr>
          <w:color w:val="3A3838"/>
          <w:spacing w:val="36"/>
          <w:w w:val="110"/>
        </w:rPr>
        <w:t> </w:t>
      </w:r>
      <w:r>
        <w:rPr>
          <w:color w:val="3A3838"/>
          <w:w w:val="110"/>
        </w:rPr>
        <w:t>up,</w:t>
      </w:r>
      <w:r>
        <w:rPr>
          <w:color w:val="3A3838"/>
          <w:spacing w:val="51"/>
          <w:w w:val="110"/>
        </w:rPr>
        <w:t> </w:t>
      </w:r>
      <w:r>
        <w:rPr>
          <w:color w:val="3A3838"/>
          <w:w w:val="110"/>
        </w:rPr>
        <w:t>use</w:t>
      </w:r>
      <w:r>
        <w:rPr>
          <w:color w:val="3A3838"/>
          <w:spacing w:val="30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60"/>
          <w:w w:val="110"/>
        </w:rPr>
        <w:t> </w:t>
      </w:r>
      <w:r>
        <w:rPr>
          <w:color w:val="3A3838"/>
          <w:w w:val="110"/>
        </w:rPr>
        <w:t>method</w:t>
      </w:r>
      <w:r>
        <w:rPr>
          <w:color w:val="3A3838"/>
          <w:spacing w:val="37"/>
          <w:w w:val="110"/>
        </w:rPr>
        <w:t> </w:t>
      </w:r>
      <w:r>
        <w:rPr>
          <w:color w:val="3A3838"/>
          <w:w w:val="110"/>
        </w:rPr>
        <w:t>called</w:t>
      </w:r>
      <w:r>
        <w:rPr>
          <w:color w:val="3A3838"/>
          <w:spacing w:val="34"/>
          <w:w w:val="110"/>
        </w:rPr>
        <w:t> </w:t>
      </w:r>
      <w:r>
        <w:rPr>
          <w:color w:val="3A3838"/>
          <w:w w:val="110"/>
        </w:rPr>
        <w:t>"private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memos."</w:t>
      </w:r>
      <w:r>
        <w:rPr>
          <w:color w:val="3A3838"/>
          <w:w w:val="110"/>
          <w:vertAlign w:val="superscript"/>
        </w:rPr>
        <w:t>17</w:t>
      </w:r>
      <w:r>
        <w:rPr>
          <w:color w:val="3A3838"/>
          <w:spacing w:val="6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As</w:t>
      </w:r>
      <w:r>
        <w:rPr>
          <w:color w:val="3A3838"/>
          <w:spacing w:val="-5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the</w:t>
      </w:r>
      <w:r>
        <w:rPr>
          <w:color w:val="3A3838"/>
          <w:spacing w:val="62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critical</w:t>
      </w:r>
      <w:r>
        <w:rPr>
          <w:color w:val="3A3838"/>
          <w:spacing w:val="1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voices</w:t>
      </w:r>
      <w:r>
        <w:rPr>
          <w:color w:val="3A3838"/>
          <w:spacing w:val="-14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chatter</w:t>
      </w:r>
      <w:r>
        <w:rPr>
          <w:color w:val="3A3838"/>
          <w:spacing w:val="8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in</w:t>
      </w:r>
      <w:r>
        <w:rPr>
          <w:color w:val="3A3838"/>
          <w:spacing w:val="1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your</w:t>
      </w:r>
      <w:r>
        <w:rPr>
          <w:color w:val="3A3838"/>
          <w:spacing w:val="13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head,</w:t>
      </w:r>
      <w:r>
        <w:rPr>
          <w:color w:val="3A3838"/>
          <w:spacing w:val="4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drop</w:t>
      </w:r>
      <w:r>
        <w:rPr>
          <w:color w:val="3A3838"/>
          <w:spacing w:val="-2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</w:t>
      </w:r>
      <w:r>
        <w:rPr>
          <w:color w:val="3A3838"/>
          <w:spacing w:val="4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footnote</w:t>
      </w:r>
      <w:r>
        <w:rPr>
          <w:color w:val="3A3838"/>
          <w:spacing w:val="-2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and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write down what those voices are saying: "Do I need more research here?"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"Should</w:t>
      </w:r>
      <w:r>
        <w:rPr>
          <w:color w:val="3A3838"/>
          <w:spacing w:val="35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I</w:t>
      </w:r>
      <w:r>
        <w:rPr>
          <w:color w:val="3A3838"/>
          <w:spacing w:val="24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talk</w:t>
      </w:r>
      <w:r>
        <w:rPr>
          <w:color w:val="3A3838"/>
          <w:spacing w:val="26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about</w:t>
      </w:r>
      <w:r>
        <w:rPr>
          <w:color w:val="3A3838"/>
          <w:spacing w:val="26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the</w:t>
      </w:r>
      <w:r>
        <w:rPr>
          <w:color w:val="3A3838"/>
          <w:spacing w:val="4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other</w:t>
      </w:r>
      <w:r>
        <w:rPr>
          <w:color w:val="3A3838"/>
          <w:spacing w:val="27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issue</w:t>
      </w:r>
      <w:r>
        <w:rPr>
          <w:color w:val="3A3838"/>
          <w:spacing w:val="18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first?"</w:t>
      </w:r>
      <w:r>
        <w:rPr>
          <w:color w:val="3A3838"/>
          <w:spacing w:val="24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In</w:t>
      </w:r>
      <w:r>
        <w:rPr>
          <w:color w:val="3A3838"/>
          <w:spacing w:val="49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this</w:t>
      </w:r>
      <w:r>
        <w:rPr>
          <w:color w:val="3A3838"/>
          <w:spacing w:val="12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way,</w:t>
      </w:r>
      <w:r>
        <w:rPr>
          <w:color w:val="3A3838"/>
          <w:spacing w:val="30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you</w:t>
      </w:r>
      <w:r>
        <w:rPr>
          <w:color w:val="3A3838"/>
          <w:spacing w:val="58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can</w:t>
      </w:r>
      <w:r>
        <w:rPr>
          <w:color w:val="3A3838"/>
          <w:spacing w:val="50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silence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your critical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voices by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preserving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the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concerns they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represent,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but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you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avoid writer's block because you don't interrupt your writing process. Pla,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to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review your private memo footnotes during the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rewriting stage of you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spacing w:val="-1"/>
          <w:w w:val="110"/>
          <w:vertAlign w:val="baseline"/>
        </w:rPr>
        <w:t>writing process. You may</w:t>
      </w:r>
      <w:r>
        <w:rPr>
          <w:color w:val="3A3838"/>
          <w:w w:val="110"/>
          <w:vertAlign w:val="baseline"/>
        </w:rPr>
        <w:t> find some points were irrelevant after all; on th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other</w:t>
      </w:r>
      <w:r>
        <w:rPr>
          <w:color w:val="3A3838"/>
          <w:spacing w:val="3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hand,</w:t>
      </w:r>
      <w:r>
        <w:rPr>
          <w:color w:val="3A3838"/>
          <w:spacing w:val="5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some</w:t>
      </w:r>
      <w:r>
        <w:rPr>
          <w:color w:val="3A3838"/>
          <w:spacing w:val="1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of</w:t>
      </w:r>
      <w:r>
        <w:rPr>
          <w:color w:val="3A3838"/>
          <w:spacing w:val="37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the</w:t>
      </w:r>
      <w:r>
        <w:rPr>
          <w:color w:val="3A3838"/>
          <w:spacing w:val="17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private</w:t>
      </w:r>
      <w:r>
        <w:rPr>
          <w:color w:val="3A3838"/>
          <w:spacing w:val="26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memos</w:t>
      </w:r>
      <w:r>
        <w:rPr>
          <w:color w:val="3A3838"/>
          <w:spacing w:val="22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may</w:t>
      </w:r>
      <w:r>
        <w:rPr>
          <w:color w:val="3A3838"/>
          <w:spacing w:val="15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lead</w:t>
      </w:r>
      <w:r>
        <w:rPr>
          <w:color w:val="3A3838"/>
          <w:spacing w:val="28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you</w:t>
      </w:r>
      <w:r>
        <w:rPr>
          <w:color w:val="3A3838"/>
          <w:spacing w:val="45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to</w:t>
      </w:r>
      <w:r>
        <w:rPr>
          <w:color w:val="3A3838"/>
          <w:spacing w:val="48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new</w:t>
      </w:r>
      <w:r>
        <w:rPr>
          <w:color w:val="3A3838"/>
          <w:spacing w:val="35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and</w:t>
      </w:r>
      <w:r>
        <w:rPr>
          <w:color w:val="3A3838"/>
          <w:spacing w:val="57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more</w:t>
      </w:r>
      <w:r>
        <w:rPr>
          <w:color w:val="3A3838"/>
          <w:spacing w:val="-6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effective</w:t>
      </w:r>
      <w:r>
        <w:rPr>
          <w:color w:val="3A3838"/>
          <w:spacing w:val="-7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arguments</w:t>
      </w:r>
      <w:r>
        <w:rPr>
          <w:color w:val="545456"/>
          <w:w w:val="110"/>
          <w:vertAlign w:val="baseline"/>
        </w:rPr>
        <w:t>.</w:t>
      </w:r>
    </w:p>
    <w:p>
      <w:pPr>
        <w:pStyle w:val="BodyText"/>
        <w:spacing w:line="235" w:lineRule="auto" w:before="13"/>
        <w:ind w:left="133" w:right="203" w:firstLine="366"/>
        <w:jc w:val="both"/>
      </w:pPr>
      <w:r>
        <w:rPr>
          <w:color w:val="3A3838"/>
          <w:w w:val="115"/>
        </w:rPr>
        <w:t>Although of course you must delete your private memos before you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submit your brief to  a court</w:t>
      </w:r>
      <w:r>
        <w:rPr>
          <w:color w:val="545456"/>
          <w:w w:val="110"/>
        </w:rPr>
        <w:t>, </w:t>
      </w:r>
      <w:r>
        <w:rPr>
          <w:color w:val="3A3838"/>
          <w:w w:val="110"/>
        </w:rPr>
        <w:t>they may be helpful reading for your teacher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or supervisor. You can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use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these private memos as a way to ask for specific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5"/>
        </w:rPr>
        <w:t>guidance on a problem or to make sure that your teacher or supervisor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notices a particular concern that youhave. Few people who review writing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can notice every problem on  every draft. Students can use private memos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5"/>
        </w:rPr>
        <w:t>to</w:t>
      </w:r>
      <w:r>
        <w:rPr>
          <w:color w:val="3A3838"/>
          <w:spacing w:val="-26"/>
          <w:w w:val="115"/>
        </w:rPr>
        <w:t> </w:t>
      </w:r>
      <w:r>
        <w:rPr>
          <w:color w:val="3A3838"/>
          <w:spacing w:val="-1"/>
          <w:w w:val="115"/>
        </w:rPr>
        <w:t>draw</w:t>
      </w:r>
      <w:r>
        <w:rPr>
          <w:color w:val="3A3838"/>
          <w:spacing w:val="-12"/>
          <w:w w:val="115"/>
        </w:rPr>
        <w:t> </w:t>
      </w:r>
      <w:r>
        <w:rPr>
          <w:color w:val="3A3838"/>
          <w:spacing w:val="-1"/>
          <w:w w:val="115"/>
        </w:rPr>
        <w:t>attention</w:t>
      </w:r>
      <w:r>
        <w:rPr>
          <w:color w:val="3A3838"/>
          <w:spacing w:val="2"/>
          <w:w w:val="115"/>
        </w:rPr>
        <w:t> </w:t>
      </w:r>
      <w:r>
        <w:rPr>
          <w:color w:val="3A3838"/>
          <w:w w:val="115"/>
        </w:rPr>
        <w:t>to</w:t>
      </w:r>
      <w:r>
        <w:rPr>
          <w:color w:val="3A3838"/>
          <w:spacing w:val="2"/>
          <w:w w:val="115"/>
        </w:rPr>
        <w:t> </w:t>
      </w:r>
      <w:r>
        <w:rPr>
          <w:color w:val="3A3838"/>
          <w:w w:val="115"/>
        </w:rPr>
        <w:t>particular</w:t>
      </w:r>
      <w:r>
        <w:rPr>
          <w:color w:val="3A3838"/>
          <w:spacing w:val="-5"/>
          <w:w w:val="115"/>
        </w:rPr>
        <w:t> </w:t>
      </w:r>
      <w:r>
        <w:rPr>
          <w:color w:val="3A3838"/>
          <w:w w:val="115"/>
        </w:rPr>
        <w:t>concerns.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0"/>
        <w:ind w:left="755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3A3838"/>
          <w:w w:val="115"/>
          <w:sz w:val="32"/>
        </w:rPr>
        <w:t>4.3</w:t>
      </w:r>
    </w:p>
    <w:p>
      <w:pPr>
        <w:spacing w:before="83"/>
        <w:ind w:left="762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3A3838"/>
          <w:w w:val="105"/>
          <w:sz w:val="26"/>
        </w:rPr>
        <w:t>FACING</w:t>
      </w:r>
      <w:r>
        <w:rPr>
          <w:rFonts w:ascii="Arial"/>
          <w:b/>
          <w:color w:val="3A3838"/>
          <w:spacing w:val="32"/>
          <w:w w:val="105"/>
          <w:sz w:val="26"/>
        </w:rPr>
        <w:t> </w:t>
      </w:r>
      <w:r>
        <w:rPr>
          <w:rFonts w:ascii="Arial"/>
          <w:b/>
          <w:color w:val="3A3838"/>
          <w:w w:val="105"/>
          <w:sz w:val="26"/>
        </w:rPr>
        <w:t>PROCRASTINATION</w:t>
      </w:r>
    </w:p>
    <w:p>
      <w:pPr>
        <w:pStyle w:val="BodyText"/>
        <w:spacing w:line="235" w:lineRule="auto" w:before="216"/>
        <w:ind w:left="146" w:right="133" w:firstLine="598"/>
        <w:jc w:val="both"/>
      </w:pPr>
      <w:r>
        <w:rPr>
          <w:color w:val="3A3838"/>
          <w:w w:val="115"/>
        </w:rPr>
        <w:t>One more thing mayinterfere with your ability to write your argu­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ment: procrastination</w:t>
      </w:r>
      <w:r>
        <w:rPr>
          <w:color w:val="545456"/>
          <w:w w:val="115"/>
        </w:rPr>
        <w:t>.  </w:t>
      </w:r>
      <w:r>
        <w:rPr>
          <w:color w:val="3A3838"/>
          <w:w w:val="115"/>
        </w:rPr>
        <w:t>I write about  procrastination from  the  position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of an expert-I have years of experience with it. Some of you may have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experience</w:t>
      </w:r>
      <w:r>
        <w:rPr>
          <w:color w:val="3A3838"/>
          <w:spacing w:val="10"/>
          <w:w w:val="115"/>
        </w:rPr>
        <w:t> </w:t>
      </w:r>
      <w:r>
        <w:rPr>
          <w:color w:val="3A3838"/>
          <w:w w:val="115"/>
        </w:rPr>
        <w:t>with</w:t>
      </w:r>
      <w:r>
        <w:rPr>
          <w:color w:val="3A3838"/>
          <w:spacing w:val="22"/>
          <w:w w:val="115"/>
        </w:rPr>
        <w:t> </w:t>
      </w:r>
      <w:r>
        <w:rPr>
          <w:color w:val="3A3838"/>
          <w:w w:val="115"/>
        </w:rPr>
        <w:t>it,</w:t>
      </w:r>
      <w:r>
        <w:rPr>
          <w:color w:val="3A3838"/>
          <w:spacing w:val="22"/>
          <w:w w:val="115"/>
        </w:rPr>
        <w:t> </w:t>
      </w:r>
      <w:r>
        <w:rPr>
          <w:color w:val="3A3838"/>
          <w:w w:val="115"/>
        </w:rPr>
        <w:t>too.</w:t>
      </w:r>
      <w:r>
        <w:rPr>
          <w:color w:val="3A3838"/>
          <w:spacing w:val="6"/>
          <w:w w:val="115"/>
        </w:rPr>
        <w:t> </w:t>
      </w:r>
      <w:r>
        <w:rPr>
          <w:color w:val="3A3838"/>
          <w:w w:val="115"/>
        </w:rPr>
        <w:t>Procrastination</w:t>
      </w:r>
      <w:r>
        <w:rPr>
          <w:color w:val="3A3838"/>
          <w:spacing w:val="10"/>
          <w:w w:val="115"/>
        </w:rPr>
        <w:t> </w:t>
      </w:r>
      <w:r>
        <w:rPr>
          <w:color w:val="3A3838"/>
          <w:w w:val="115"/>
        </w:rPr>
        <w:t>probably</w:t>
      </w:r>
      <w:r>
        <w:rPr>
          <w:color w:val="3A3838"/>
          <w:spacing w:val="25"/>
          <w:w w:val="115"/>
        </w:rPr>
        <w:t> </w:t>
      </w:r>
      <w:r>
        <w:rPr>
          <w:color w:val="3A3838"/>
          <w:w w:val="115"/>
        </w:rPr>
        <w:t>has</w:t>
      </w:r>
      <w:r>
        <w:rPr>
          <w:color w:val="3A3838"/>
          <w:spacing w:val="17"/>
          <w:w w:val="115"/>
        </w:rPr>
        <w:t> </w:t>
      </w:r>
      <w:r>
        <w:rPr>
          <w:color w:val="3A3838"/>
          <w:w w:val="115"/>
        </w:rPr>
        <w:t>as</w:t>
      </w:r>
      <w:r>
        <w:rPr>
          <w:color w:val="3A3838"/>
          <w:spacing w:val="24"/>
          <w:w w:val="115"/>
        </w:rPr>
        <w:t> </w:t>
      </w:r>
      <w:r>
        <w:rPr>
          <w:color w:val="3A3838"/>
          <w:w w:val="115"/>
        </w:rPr>
        <w:t>many</w:t>
      </w:r>
      <w:r>
        <w:rPr>
          <w:color w:val="3A3838"/>
          <w:spacing w:val="14"/>
          <w:w w:val="115"/>
        </w:rPr>
        <w:t> </w:t>
      </w:r>
      <w:r>
        <w:rPr>
          <w:color w:val="3A3838"/>
          <w:w w:val="115"/>
        </w:rPr>
        <w:t>causes</w:t>
      </w:r>
      <w:r>
        <w:rPr>
          <w:color w:val="3A3838"/>
          <w:spacing w:val="-1"/>
          <w:w w:val="115"/>
        </w:rPr>
        <w:t> </w:t>
      </w:r>
      <w:r>
        <w:rPr>
          <w:color w:val="3A3838"/>
          <w:w w:val="115"/>
        </w:rPr>
        <w:t>as</w:t>
      </w:r>
    </w:p>
    <w:p>
      <w:pPr>
        <w:pStyle w:val="BodyText"/>
        <w:spacing w:before="7"/>
        <w:rPr>
          <w:sz w:val="36"/>
        </w:rPr>
      </w:pPr>
    </w:p>
    <w:p>
      <w:pPr>
        <w:spacing w:line="200" w:lineRule="exact" w:before="1"/>
        <w:ind w:left="519" w:right="0" w:firstLine="0"/>
        <w:jc w:val="left"/>
        <w:rPr>
          <w:i/>
          <w:sz w:val="17"/>
        </w:rPr>
      </w:pPr>
      <w:r>
        <w:rPr>
          <w:rFonts w:ascii="Arial" w:hAnsi="Arial"/>
          <w:color w:val="3A3838"/>
          <w:spacing w:val="-1"/>
          <w:w w:val="105"/>
          <w:position w:val="6"/>
          <w:sz w:val="10"/>
        </w:rPr>
        <w:t>11</w:t>
      </w:r>
      <w:r>
        <w:rPr>
          <w:i/>
          <w:color w:val="3A3838"/>
          <w:spacing w:val="-1"/>
          <w:w w:val="105"/>
          <w:sz w:val="17"/>
        </w:rPr>
        <w:t>See</w:t>
      </w:r>
      <w:r>
        <w:rPr>
          <w:i/>
          <w:color w:val="3A3838"/>
          <w:spacing w:val="-17"/>
          <w:w w:val="105"/>
          <w:sz w:val="17"/>
        </w:rPr>
        <w:t> </w:t>
      </w:r>
      <w:r>
        <w:rPr>
          <w:color w:val="3A3838"/>
          <w:spacing w:val="-1"/>
          <w:w w:val="105"/>
          <w:sz w:val="18"/>
        </w:rPr>
        <w:t>Mary</w:t>
      </w:r>
      <w:r>
        <w:rPr>
          <w:color w:val="3A3838"/>
          <w:spacing w:val="4"/>
          <w:w w:val="105"/>
          <w:sz w:val="18"/>
        </w:rPr>
        <w:t> </w:t>
      </w:r>
      <w:r>
        <w:rPr>
          <w:color w:val="3A3838"/>
          <w:spacing w:val="-1"/>
          <w:w w:val="105"/>
          <w:sz w:val="18"/>
        </w:rPr>
        <w:t>Kate</w:t>
      </w:r>
      <w:r>
        <w:rPr>
          <w:color w:val="3A3838"/>
          <w:w w:val="105"/>
          <w:sz w:val="18"/>
        </w:rPr>
        <w:t> </w:t>
      </w:r>
      <w:r>
        <w:rPr>
          <w:color w:val="3A3838"/>
          <w:spacing w:val="-1"/>
          <w:w w:val="105"/>
          <w:sz w:val="18"/>
        </w:rPr>
        <w:t>Kearney</w:t>
      </w:r>
      <w:r>
        <w:rPr>
          <w:color w:val="3A3838"/>
          <w:spacing w:val="6"/>
          <w:w w:val="105"/>
          <w:sz w:val="18"/>
        </w:rPr>
        <w:t> </w:t>
      </w:r>
      <w:r>
        <w:rPr>
          <w:rFonts w:ascii="Arial" w:hAnsi="Arial"/>
          <w:color w:val="3A3838"/>
          <w:spacing w:val="-1"/>
          <w:w w:val="105"/>
          <w:sz w:val="17"/>
        </w:rPr>
        <w:t>&amp;.</w:t>
      </w:r>
      <w:r>
        <w:rPr>
          <w:rFonts w:ascii="Arial" w:hAnsi="Arial"/>
          <w:color w:val="3A3838"/>
          <w:spacing w:val="-16"/>
          <w:w w:val="105"/>
          <w:sz w:val="17"/>
        </w:rPr>
        <w:t> </w:t>
      </w:r>
      <w:r>
        <w:rPr>
          <w:color w:val="3A3838"/>
          <w:spacing w:val="-1"/>
          <w:w w:val="105"/>
          <w:sz w:val="18"/>
        </w:rPr>
        <w:t>Mary</w:t>
      </w:r>
      <w:r>
        <w:rPr>
          <w:color w:val="3A3838"/>
          <w:spacing w:val="6"/>
          <w:w w:val="105"/>
          <w:sz w:val="18"/>
        </w:rPr>
        <w:t> </w:t>
      </w:r>
      <w:r>
        <w:rPr>
          <w:color w:val="3A3838"/>
          <w:spacing w:val="-1"/>
          <w:w w:val="105"/>
          <w:sz w:val="18"/>
        </w:rPr>
        <w:t>Beth</w:t>
      </w:r>
      <w:r>
        <w:rPr>
          <w:color w:val="3A3838"/>
          <w:spacing w:val="13"/>
          <w:w w:val="105"/>
          <w:sz w:val="18"/>
        </w:rPr>
        <w:t> </w:t>
      </w:r>
      <w:r>
        <w:rPr>
          <w:color w:val="3A3838"/>
          <w:w w:val="105"/>
          <w:sz w:val="18"/>
        </w:rPr>
        <w:t>Bea</w:t>
      </w:r>
      <w:r>
        <w:rPr>
          <w:color w:val="545456"/>
          <w:w w:val="105"/>
          <w:sz w:val="18"/>
        </w:rPr>
        <w:t>z</w:t>
      </w:r>
      <w:r>
        <w:rPr>
          <w:color w:val="3A3838"/>
          <w:w w:val="105"/>
          <w:sz w:val="18"/>
        </w:rPr>
        <w:t>ley</w:t>
      </w:r>
      <w:r>
        <w:rPr>
          <w:color w:val="545456"/>
          <w:w w:val="105"/>
          <w:sz w:val="18"/>
        </w:rPr>
        <w:t>,</w:t>
      </w:r>
      <w:r>
        <w:rPr>
          <w:color w:val="545456"/>
          <w:spacing w:val="-7"/>
          <w:w w:val="105"/>
          <w:sz w:val="18"/>
        </w:rPr>
        <w:t> </w:t>
      </w:r>
      <w:r>
        <w:rPr>
          <w:i/>
          <w:color w:val="3A3838"/>
          <w:w w:val="105"/>
          <w:sz w:val="17"/>
        </w:rPr>
        <w:t>Teachlns</w:t>
      </w:r>
      <w:r>
        <w:rPr>
          <w:i/>
          <w:color w:val="3A3838"/>
          <w:spacing w:val="-12"/>
          <w:w w:val="105"/>
          <w:sz w:val="17"/>
        </w:rPr>
        <w:t> </w:t>
      </w:r>
      <w:r>
        <w:rPr>
          <w:i/>
          <w:color w:val="3A3838"/>
          <w:w w:val="105"/>
          <w:sz w:val="17"/>
        </w:rPr>
        <w:t>Sh1de11ts</w:t>
      </w:r>
      <w:r>
        <w:rPr>
          <w:i/>
          <w:color w:val="3A3838"/>
          <w:spacing w:val="11"/>
          <w:w w:val="105"/>
          <w:sz w:val="17"/>
        </w:rPr>
        <w:t> </w:t>
      </w:r>
      <w:r>
        <w:rPr>
          <w:i/>
          <w:color w:val="3A3838"/>
          <w:w w:val="105"/>
          <w:sz w:val="17"/>
        </w:rPr>
        <w:t>How</w:t>
      </w:r>
      <w:r>
        <w:rPr>
          <w:i/>
          <w:color w:val="3A3838"/>
          <w:spacing w:val="-6"/>
          <w:w w:val="105"/>
          <w:sz w:val="17"/>
        </w:rPr>
        <w:t> </w:t>
      </w:r>
      <w:r>
        <w:rPr>
          <w:i/>
          <w:color w:val="3A3838"/>
          <w:w w:val="105"/>
          <w:sz w:val="17"/>
        </w:rPr>
        <w:t>to</w:t>
      </w:r>
      <w:r>
        <w:rPr>
          <w:i/>
          <w:color w:val="3A3838"/>
          <w:spacing w:val="-6"/>
          <w:w w:val="105"/>
          <w:sz w:val="17"/>
        </w:rPr>
        <w:t> </w:t>
      </w:r>
      <w:r>
        <w:rPr>
          <w:i/>
          <w:color w:val="3A3838"/>
          <w:w w:val="105"/>
          <w:sz w:val="17"/>
        </w:rPr>
        <w:t>•Think</w:t>
      </w:r>
      <w:r>
        <w:rPr>
          <w:i/>
          <w:color w:val="3A3838"/>
          <w:spacing w:val="15"/>
          <w:w w:val="105"/>
          <w:sz w:val="17"/>
        </w:rPr>
        <w:t> </w:t>
      </w:r>
      <w:r>
        <w:rPr>
          <w:i/>
          <w:color w:val="3A3838"/>
          <w:w w:val="105"/>
          <w:sz w:val="17"/>
        </w:rPr>
        <w:t>LikeLawyers"</w:t>
      </w:r>
      <w:r>
        <w:rPr>
          <w:i/>
          <w:color w:val="545456"/>
          <w:w w:val="105"/>
          <w:sz w:val="17"/>
        </w:rPr>
        <w:t>:</w:t>
      </w:r>
    </w:p>
    <w:p>
      <w:pPr>
        <w:spacing w:line="200" w:lineRule="exact" w:before="0"/>
        <w:ind w:left="160" w:right="0" w:firstLine="0"/>
        <w:jc w:val="both"/>
        <w:rPr>
          <w:sz w:val="17"/>
        </w:rPr>
      </w:pPr>
      <w:r>
        <w:rPr>
          <w:i/>
          <w:color w:val="3A3838"/>
          <w:w w:val="105"/>
          <w:sz w:val="18"/>
        </w:rPr>
        <w:t>Integrating</w:t>
      </w:r>
      <w:r>
        <w:rPr>
          <w:i/>
          <w:color w:val="3A3838"/>
          <w:spacing w:val="1"/>
          <w:w w:val="105"/>
          <w:sz w:val="18"/>
        </w:rPr>
        <w:t> </w:t>
      </w:r>
      <w:r>
        <w:rPr>
          <w:i/>
          <w:color w:val="3A3838"/>
          <w:w w:val="105"/>
          <w:sz w:val="18"/>
        </w:rPr>
        <w:t>Socratic</w:t>
      </w:r>
      <w:r>
        <w:rPr>
          <w:i/>
          <w:color w:val="3A3838"/>
          <w:spacing w:val="-5"/>
          <w:w w:val="105"/>
          <w:sz w:val="18"/>
        </w:rPr>
        <w:t> </w:t>
      </w:r>
      <w:r>
        <w:rPr>
          <w:i/>
          <w:color w:val="3A3838"/>
          <w:w w:val="105"/>
          <w:sz w:val="17"/>
        </w:rPr>
        <w:t>Method</w:t>
      </w:r>
      <w:r>
        <w:rPr>
          <w:i/>
          <w:color w:val="3A3838"/>
          <w:spacing w:val="10"/>
          <w:w w:val="105"/>
          <w:sz w:val="17"/>
        </w:rPr>
        <w:t> </w:t>
      </w:r>
      <w:r>
        <w:rPr>
          <w:i/>
          <w:color w:val="3A3838"/>
          <w:w w:val="105"/>
          <w:sz w:val="18"/>
        </w:rPr>
        <w:t>with</w:t>
      </w:r>
      <w:r>
        <w:rPr>
          <w:i/>
          <w:color w:val="3A3838"/>
          <w:spacing w:val="-5"/>
          <w:w w:val="105"/>
          <w:sz w:val="18"/>
        </w:rPr>
        <w:t> </w:t>
      </w:r>
      <w:r>
        <w:rPr>
          <w:i/>
          <w:color w:val="3A3838"/>
          <w:w w:val="105"/>
          <w:sz w:val="18"/>
        </w:rPr>
        <w:t>tire</w:t>
      </w:r>
      <w:r>
        <w:rPr>
          <w:i/>
          <w:color w:val="3A3838"/>
          <w:spacing w:val="-15"/>
          <w:w w:val="105"/>
          <w:sz w:val="18"/>
        </w:rPr>
        <w:t> </w:t>
      </w:r>
      <w:r>
        <w:rPr>
          <w:i/>
          <w:color w:val="3A3838"/>
          <w:w w:val="105"/>
          <w:sz w:val="17"/>
        </w:rPr>
        <w:t>Writing</w:t>
      </w:r>
      <w:r>
        <w:rPr>
          <w:i/>
          <w:color w:val="3A3838"/>
          <w:spacing w:val="1"/>
          <w:w w:val="105"/>
          <w:sz w:val="17"/>
        </w:rPr>
        <w:t> </w:t>
      </w:r>
      <w:r>
        <w:rPr>
          <w:i/>
          <w:color w:val="3A3838"/>
          <w:w w:val="105"/>
          <w:sz w:val="18"/>
        </w:rPr>
        <w:t>Process,</w:t>
      </w:r>
      <w:r>
        <w:rPr>
          <w:i/>
          <w:color w:val="3A3838"/>
          <w:spacing w:val="-4"/>
          <w:w w:val="105"/>
          <w:sz w:val="18"/>
        </w:rPr>
        <w:t> </w:t>
      </w:r>
      <w:r>
        <w:rPr>
          <w:color w:val="3A3838"/>
          <w:w w:val="105"/>
          <w:sz w:val="17"/>
        </w:rPr>
        <w:t>64</w:t>
      </w:r>
      <w:r>
        <w:rPr>
          <w:color w:val="3A3838"/>
          <w:spacing w:val="35"/>
          <w:w w:val="105"/>
          <w:sz w:val="17"/>
        </w:rPr>
        <w:t> </w:t>
      </w:r>
      <w:r>
        <w:rPr>
          <w:color w:val="3A3838"/>
          <w:w w:val="105"/>
          <w:sz w:val="17"/>
        </w:rPr>
        <w:t>Temp.</w:t>
      </w:r>
      <w:r>
        <w:rPr>
          <w:color w:val="3A3838"/>
          <w:spacing w:val="7"/>
          <w:w w:val="105"/>
          <w:sz w:val="17"/>
        </w:rPr>
        <w:t> </w:t>
      </w:r>
      <w:r>
        <w:rPr>
          <w:color w:val="3A3838"/>
          <w:w w:val="105"/>
          <w:sz w:val="18"/>
        </w:rPr>
        <w:t>L.</w:t>
      </w:r>
      <w:r>
        <w:rPr>
          <w:color w:val="3A3838"/>
          <w:spacing w:val="-11"/>
          <w:w w:val="105"/>
          <w:sz w:val="18"/>
        </w:rPr>
        <w:t> </w:t>
      </w:r>
      <w:r>
        <w:rPr>
          <w:color w:val="3A3838"/>
          <w:w w:val="105"/>
          <w:sz w:val="17"/>
        </w:rPr>
        <w:t>Rev.</w:t>
      </w:r>
      <w:r>
        <w:rPr>
          <w:color w:val="3A3838"/>
          <w:spacing w:val="-20"/>
          <w:w w:val="105"/>
          <w:sz w:val="17"/>
        </w:rPr>
        <w:t> </w:t>
      </w:r>
      <w:r>
        <w:rPr>
          <w:color w:val="3A3838"/>
          <w:w w:val="105"/>
          <w:sz w:val="17"/>
        </w:rPr>
        <w:t>885,</w:t>
      </w:r>
      <w:r>
        <w:rPr>
          <w:color w:val="3A3838"/>
          <w:spacing w:val="-12"/>
          <w:w w:val="105"/>
          <w:sz w:val="17"/>
        </w:rPr>
        <w:t> </w:t>
      </w:r>
      <w:r>
        <w:rPr>
          <w:color w:val="3A3838"/>
          <w:w w:val="105"/>
          <w:sz w:val="17"/>
        </w:rPr>
        <w:t>894-97</w:t>
      </w:r>
      <w:r>
        <w:rPr>
          <w:color w:val="3A3838"/>
          <w:spacing w:val="8"/>
          <w:w w:val="105"/>
          <w:sz w:val="17"/>
        </w:rPr>
        <w:t> </w:t>
      </w:r>
      <w:r>
        <w:rPr>
          <w:color w:val="3A3838"/>
          <w:w w:val="105"/>
          <w:sz w:val="17"/>
        </w:rPr>
        <w:t>(1991).</w:t>
      </w:r>
    </w:p>
    <w:p>
      <w:pPr>
        <w:spacing w:after="0" w:line="200" w:lineRule="exact"/>
        <w:jc w:val="both"/>
        <w:rPr>
          <w:sz w:val="17"/>
        </w:rPr>
        <w:sectPr>
          <w:pgSz w:w="9610" w:h="13740"/>
          <w:pgMar w:header="447" w:footer="0" w:top="640" w:bottom="280" w:left="520" w:right="1100"/>
        </w:sectPr>
      </w:pPr>
    </w:p>
    <w:p>
      <w:pPr>
        <w:pStyle w:val="BodyText"/>
        <w:spacing w:before="81"/>
        <w:ind w:left="756" w:right="89" w:firstLine="15"/>
        <w:jc w:val="both"/>
      </w:pPr>
      <w:r>
        <w:rPr>
          <w:color w:val="3B3B3B"/>
          <w:w w:val="105"/>
        </w:rPr>
        <w:t>there are stars in the sky.</w:t>
      </w:r>
      <w:r>
        <w:rPr>
          <w:color w:val="3B3B3B"/>
          <w:w w:val="105"/>
          <w:vertAlign w:val="superscript"/>
        </w:rPr>
        <w:t>18</w:t>
      </w:r>
      <w:r>
        <w:rPr>
          <w:color w:val="3B3B3B"/>
          <w:w w:val="105"/>
          <w:vertAlign w:val="baseline"/>
        </w:rPr>
        <w:t> I believe, however, that much procrastination is</w:t>
      </w:r>
      <w:r>
        <w:rPr>
          <w:color w:val="3B3B3B"/>
          <w:spacing w:val="-58"/>
          <w:w w:val="105"/>
          <w:vertAlign w:val="baseline"/>
        </w:rPr>
        <w:t> </w:t>
      </w:r>
      <w:r>
        <w:rPr>
          <w:color w:val="3B3B3B"/>
          <w:w w:val="105"/>
          <w:vertAlign w:val="baseline"/>
        </w:rPr>
        <w:t>driven by three kinds of fear: fear of commitment, fear of failure, and fear</w:t>
      </w:r>
      <w:r>
        <w:rPr>
          <w:color w:val="3B3B3B"/>
          <w:spacing w:val="1"/>
          <w:w w:val="105"/>
          <w:vertAlign w:val="baseline"/>
        </w:rPr>
        <w:t> </w:t>
      </w:r>
      <w:r>
        <w:rPr>
          <w:color w:val="3B3B3B"/>
          <w:w w:val="105"/>
          <w:vertAlign w:val="baseline"/>
        </w:rPr>
        <w:t>of pain. The sections below describe some methods for dealing with each</w:t>
      </w:r>
      <w:r>
        <w:rPr>
          <w:color w:val="3B3B3B"/>
          <w:spacing w:val="1"/>
          <w:w w:val="105"/>
          <w:vertAlign w:val="baseline"/>
        </w:rPr>
        <w:t> </w:t>
      </w:r>
      <w:r>
        <w:rPr>
          <w:color w:val="3B3B3B"/>
          <w:w w:val="110"/>
          <w:vertAlign w:val="baseline"/>
        </w:rPr>
        <w:t>of</w:t>
      </w:r>
      <w:r>
        <w:rPr>
          <w:color w:val="3B3B3B"/>
          <w:spacing w:val="9"/>
          <w:w w:val="110"/>
          <w:vertAlign w:val="baseline"/>
        </w:rPr>
        <w:t> </w:t>
      </w:r>
      <w:r>
        <w:rPr>
          <w:color w:val="3B3B3B"/>
          <w:w w:val="110"/>
          <w:vertAlign w:val="baseline"/>
        </w:rPr>
        <w:t>these</w:t>
      </w:r>
      <w:r>
        <w:rPr>
          <w:color w:val="3B3B3B"/>
          <w:spacing w:val="-23"/>
          <w:w w:val="110"/>
          <w:vertAlign w:val="baseline"/>
        </w:rPr>
        <w:t> </w:t>
      </w:r>
      <w:r>
        <w:rPr>
          <w:color w:val="3B3B3B"/>
          <w:w w:val="110"/>
          <w:vertAlign w:val="baseline"/>
        </w:rPr>
        <w:t>fears.</w:t>
      </w:r>
    </w:p>
    <w:p>
      <w:pPr>
        <w:pStyle w:val="BodyText"/>
        <w:spacing w:before="7"/>
        <w:rPr>
          <w:sz w:val="33"/>
        </w:rPr>
      </w:pPr>
    </w:p>
    <w:p>
      <w:pPr>
        <w:spacing w:before="0"/>
        <w:ind w:left="1078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3B3B3B"/>
          <w:w w:val="105"/>
          <w:sz w:val="27"/>
        </w:rPr>
        <w:t>4.3.1</w:t>
      </w:r>
    </w:p>
    <w:p>
      <w:pPr>
        <w:spacing w:before="27"/>
        <w:ind w:left="1077" w:right="0" w:firstLine="0"/>
        <w:jc w:val="left"/>
        <w:rPr>
          <w:b/>
          <w:sz w:val="24"/>
        </w:rPr>
      </w:pPr>
      <w:r>
        <w:rPr>
          <w:b/>
          <w:color w:val="3B3B3B"/>
          <w:w w:val="85"/>
          <w:sz w:val="24"/>
        </w:rPr>
        <w:t>FEAR</w:t>
      </w:r>
      <w:r>
        <w:rPr>
          <w:b/>
          <w:color w:val="3B3B3B"/>
          <w:spacing w:val="46"/>
          <w:sz w:val="24"/>
        </w:rPr>
        <w:t> </w:t>
      </w:r>
      <w:r>
        <w:rPr>
          <w:rFonts w:ascii="Arial"/>
          <w:b/>
          <w:color w:val="3B3B3B"/>
          <w:w w:val="85"/>
          <w:sz w:val="21"/>
        </w:rPr>
        <w:t>OF</w:t>
      </w:r>
      <w:r>
        <w:rPr>
          <w:rFonts w:ascii="Arial"/>
          <w:b/>
          <w:color w:val="3B3B3B"/>
          <w:spacing w:val="23"/>
          <w:w w:val="85"/>
          <w:sz w:val="21"/>
        </w:rPr>
        <w:t> </w:t>
      </w:r>
      <w:r>
        <w:rPr>
          <w:b/>
          <w:color w:val="3B3B3B"/>
          <w:w w:val="85"/>
          <w:sz w:val="24"/>
        </w:rPr>
        <w:t>COMMITMENT</w:t>
      </w:r>
    </w:p>
    <w:p>
      <w:pPr>
        <w:pStyle w:val="BodyText"/>
        <w:spacing w:line="232" w:lineRule="auto" w:before="135"/>
        <w:ind w:left="640" w:right="130" w:firstLine="420"/>
        <w:jc w:val="both"/>
        <w:rPr>
          <w:rFonts w:ascii="Arial" w:hAnsi="Arial"/>
        </w:rPr>
      </w:pPr>
      <w:r>
        <w:rPr>
          <w:rFonts w:ascii="Arial" w:hAnsi="Arial"/>
          <w:color w:val="3B3B3B"/>
          <w:w w:val="105"/>
          <w:sz w:val="21"/>
        </w:rPr>
        <w:t>1 </w:t>
      </w:r>
      <w:r>
        <w:rPr>
          <w:color w:val="3B3B3B"/>
          <w:w w:val="105"/>
        </w:rPr>
        <w:t>noted earlier that research is like dating and writing is like marriage,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10"/>
        </w:rPr>
        <w:t>and one of the  fears that inhibits writers is a  fear of commitment. Just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as marriage forces you to commit to one person, writing forces you to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commit to a particular writing decision. By committing to one organi­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zational structure, you foreclose the option to choose all the other pos­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05"/>
        </w:rPr>
        <w:t>sible structures out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there. By committing to a particular set of cases and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10"/>
        </w:rPr>
        <w:t>other</w:t>
      </w:r>
      <w:r>
        <w:rPr>
          <w:color w:val="3B3B3B"/>
          <w:spacing w:val="-31"/>
          <w:w w:val="110"/>
        </w:rPr>
        <w:t> </w:t>
      </w:r>
      <w:r>
        <w:rPr>
          <w:color w:val="3B3B3B"/>
          <w:w w:val="110"/>
        </w:rPr>
        <w:t>authorities,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you</w:t>
      </w:r>
      <w:r>
        <w:rPr>
          <w:color w:val="3B3B3B"/>
          <w:spacing w:val="-9"/>
          <w:w w:val="110"/>
        </w:rPr>
        <w:t> </w:t>
      </w:r>
      <w:r>
        <w:rPr>
          <w:color w:val="3B3B3B"/>
          <w:w w:val="110"/>
        </w:rPr>
        <w:t>shut</w:t>
      </w:r>
      <w:r>
        <w:rPr>
          <w:color w:val="3B3B3B"/>
          <w:spacing w:val="-25"/>
          <w:w w:val="110"/>
        </w:rPr>
        <w:t> </w:t>
      </w:r>
      <w:r>
        <w:rPr>
          <w:rFonts w:ascii="Arial" w:hAnsi="Arial"/>
          <w:color w:val="3B3B3B"/>
          <w:w w:val="110"/>
          <w:sz w:val="22"/>
        </w:rPr>
        <w:t>off</w:t>
      </w:r>
      <w:r>
        <w:rPr>
          <w:rFonts w:ascii="Arial" w:hAnsi="Arial"/>
          <w:color w:val="3B3B3B"/>
          <w:spacing w:val="-5"/>
          <w:w w:val="110"/>
          <w:sz w:val="22"/>
        </w:rPr>
        <w:t> </w:t>
      </w:r>
      <w:r>
        <w:rPr>
          <w:color w:val="3B3B3B"/>
          <w:w w:val="110"/>
        </w:rPr>
        <w:t>the</w:t>
      </w:r>
      <w:r>
        <w:rPr>
          <w:color w:val="3B3B3B"/>
          <w:spacing w:val="-28"/>
          <w:w w:val="110"/>
        </w:rPr>
        <w:t> </w:t>
      </w:r>
      <w:r>
        <w:rPr>
          <w:color w:val="3B3B3B"/>
          <w:w w:val="110"/>
        </w:rPr>
        <w:t>chance</w:t>
      </w:r>
      <w:r>
        <w:rPr>
          <w:color w:val="3B3B3B"/>
          <w:spacing w:val="-11"/>
          <w:w w:val="110"/>
        </w:rPr>
        <w:t> </w:t>
      </w:r>
      <w:r>
        <w:rPr>
          <w:color w:val="3B3B3B"/>
          <w:w w:val="110"/>
        </w:rPr>
        <w:t>to</w:t>
      </w:r>
      <w:r>
        <w:rPr>
          <w:color w:val="3B3B3B"/>
          <w:spacing w:val="-9"/>
          <w:w w:val="110"/>
        </w:rPr>
        <w:t> </w:t>
      </w:r>
      <w:r>
        <w:rPr>
          <w:color w:val="3B3B3B"/>
          <w:w w:val="110"/>
        </w:rPr>
        <w:t>find</w:t>
      </w:r>
      <w:r>
        <w:rPr>
          <w:color w:val="3B3B3B"/>
          <w:spacing w:val="3"/>
          <w:w w:val="110"/>
        </w:rPr>
        <w:t> </w:t>
      </w:r>
      <w:r>
        <w:rPr>
          <w:color w:val="3B3B3B"/>
          <w:w w:val="110"/>
        </w:rPr>
        <w:t>the</w:t>
      </w:r>
      <w:r>
        <w:rPr>
          <w:color w:val="3B3B3B"/>
          <w:spacing w:val="2"/>
          <w:w w:val="110"/>
        </w:rPr>
        <w:t> </w:t>
      </w:r>
      <w:r>
        <w:rPr>
          <w:color w:val="3B3B3B"/>
          <w:w w:val="110"/>
        </w:rPr>
        <w:t>one</w:t>
      </w:r>
      <w:r>
        <w:rPr>
          <w:color w:val="3B3B3B"/>
          <w:spacing w:val="18"/>
          <w:w w:val="110"/>
        </w:rPr>
        <w:t> </w:t>
      </w:r>
      <w:r>
        <w:rPr>
          <w:color w:val="3B3B3B"/>
          <w:w w:val="110"/>
        </w:rPr>
        <w:t>perfect</w:t>
      </w:r>
      <w:r>
        <w:rPr>
          <w:color w:val="3B3B3B"/>
          <w:spacing w:val="-18"/>
          <w:w w:val="110"/>
        </w:rPr>
        <w:t> </w:t>
      </w:r>
      <w:r>
        <w:rPr>
          <w:color w:val="3B3B3B"/>
          <w:w w:val="110"/>
        </w:rPr>
        <w:t>case</w:t>
      </w:r>
      <w:r>
        <w:rPr>
          <w:color w:val="3B3B3B"/>
          <w:spacing w:val="-15"/>
          <w:w w:val="110"/>
        </w:rPr>
        <w:t> </w:t>
      </w:r>
      <w:r>
        <w:rPr>
          <w:color w:val="3B3B3B"/>
          <w:w w:val="110"/>
        </w:rPr>
        <w:t>that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would transform your work-a-day brief into the "perfect" brief of your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05"/>
        </w:rPr>
        <w:t>dreams. The psychologist Dan Ariely has observed that one of the ways in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which human  beings are "predictably irrational" is that we try to  keep all</w:t>
      </w:r>
      <w:r>
        <w:rPr>
          <w:color w:val="3B3B3B"/>
          <w:spacing w:val="1"/>
          <w:w w:val="105"/>
        </w:rPr>
        <w:t> </w:t>
      </w:r>
      <w:r>
        <w:rPr>
          <w:color w:val="3B3B3B"/>
          <w:spacing w:val="-1"/>
          <w:w w:val="110"/>
        </w:rPr>
        <w:t>of</w:t>
      </w:r>
      <w:r>
        <w:rPr>
          <w:color w:val="3B3B3B"/>
          <w:spacing w:val="-15"/>
          <w:w w:val="110"/>
        </w:rPr>
        <w:t> </w:t>
      </w:r>
      <w:r>
        <w:rPr>
          <w:color w:val="3B3B3B"/>
          <w:w w:val="110"/>
        </w:rPr>
        <w:t>our</w:t>
      </w:r>
      <w:r>
        <w:rPr>
          <w:color w:val="3B3B3B"/>
          <w:spacing w:val="-27"/>
          <w:w w:val="110"/>
        </w:rPr>
        <w:t> </w:t>
      </w:r>
      <w:r>
        <w:rPr>
          <w:color w:val="3B3B3B"/>
          <w:w w:val="110"/>
        </w:rPr>
        <w:t>options</w:t>
      </w:r>
      <w:r>
        <w:rPr>
          <w:color w:val="3B3B3B"/>
          <w:spacing w:val="-8"/>
          <w:w w:val="110"/>
        </w:rPr>
        <w:t> </w:t>
      </w:r>
      <w:r>
        <w:rPr>
          <w:color w:val="3B3B3B"/>
          <w:w w:val="110"/>
        </w:rPr>
        <w:t>open</w:t>
      </w:r>
      <w:r>
        <w:rPr>
          <w:color w:val="3B3B3B"/>
          <w:spacing w:val="-6"/>
          <w:w w:val="110"/>
        </w:rPr>
        <w:t> </w:t>
      </w:r>
      <w:r>
        <w:rPr>
          <w:color w:val="3B3B3B"/>
          <w:w w:val="110"/>
        </w:rPr>
        <w:t>as</w:t>
      </w:r>
      <w:r>
        <w:rPr>
          <w:color w:val="3B3B3B"/>
          <w:spacing w:val="-22"/>
          <w:w w:val="110"/>
        </w:rPr>
        <w:t> </w:t>
      </w:r>
      <w:r>
        <w:rPr>
          <w:color w:val="3B3B3B"/>
          <w:w w:val="110"/>
        </w:rPr>
        <w:t>long</w:t>
      </w:r>
      <w:r>
        <w:rPr>
          <w:color w:val="3B3B3B"/>
          <w:spacing w:val="-21"/>
          <w:w w:val="110"/>
        </w:rPr>
        <w:t> </w:t>
      </w:r>
      <w:r>
        <w:rPr>
          <w:color w:val="3B3B3B"/>
          <w:w w:val="110"/>
        </w:rPr>
        <w:t>as</w:t>
      </w:r>
      <w:r>
        <w:rPr>
          <w:color w:val="3B3B3B"/>
          <w:spacing w:val="-13"/>
          <w:w w:val="110"/>
        </w:rPr>
        <w:t> </w:t>
      </w:r>
      <w:r>
        <w:rPr>
          <w:color w:val="3B3B3B"/>
          <w:w w:val="110"/>
        </w:rPr>
        <w:t>possible,</w:t>
      </w:r>
      <w:r>
        <w:rPr>
          <w:color w:val="3B3B3B"/>
          <w:spacing w:val="-3"/>
          <w:w w:val="110"/>
        </w:rPr>
        <w:t> </w:t>
      </w:r>
      <w:r>
        <w:rPr>
          <w:color w:val="3B3B3B"/>
          <w:w w:val="110"/>
        </w:rPr>
        <w:t>even</w:t>
      </w:r>
      <w:r>
        <w:rPr>
          <w:color w:val="3B3B3B"/>
          <w:spacing w:val="-1"/>
          <w:w w:val="110"/>
        </w:rPr>
        <w:t> </w:t>
      </w:r>
      <w:r>
        <w:rPr>
          <w:color w:val="3B3B3B"/>
          <w:w w:val="110"/>
        </w:rPr>
        <w:t>when</w:t>
      </w:r>
      <w:r>
        <w:rPr>
          <w:color w:val="3B3B3B"/>
          <w:spacing w:val="7"/>
          <w:w w:val="110"/>
        </w:rPr>
        <w:t> </w:t>
      </w:r>
      <w:r>
        <w:rPr>
          <w:color w:val="3B3B3B"/>
          <w:w w:val="110"/>
        </w:rPr>
        <w:t>doing</w:t>
      </w:r>
      <w:r>
        <w:rPr>
          <w:color w:val="3B3B3B"/>
          <w:spacing w:val="-21"/>
          <w:w w:val="110"/>
        </w:rPr>
        <w:t> </w:t>
      </w:r>
      <w:r>
        <w:rPr>
          <w:color w:val="3B3B3B"/>
          <w:w w:val="110"/>
        </w:rPr>
        <w:t>so</w:t>
      </w:r>
      <w:r>
        <w:rPr>
          <w:color w:val="3B3B3B"/>
          <w:spacing w:val="-11"/>
          <w:w w:val="110"/>
        </w:rPr>
        <w:t> </w:t>
      </w:r>
      <w:r>
        <w:rPr>
          <w:color w:val="3B3B3B"/>
          <w:w w:val="110"/>
        </w:rPr>
        <w:t>creates</w:t>
      </w:r>
      <w:r>
        <w:rPr>
          <w:color w:val="3B3B3B"/>
          <w:spacing w:val="-2"/>
          <w:w w:val="110"/>
        </w:rPr>
        <w:t> </w:t>
      </w:r>
      <w:r>
        <w:rPr>
          <w:color w:val="3B3B3B"/>
          <w:w w:val="110"/>
        </w:rPr>
        <w:t>other</w:t>
      </w:r>
      <w:r>
        <w:rPr>
          <w:color w:val="3B3B3B"/>
          <w:spacing w:val="-61"/>
          <w:w w:val="110"/>
        </w:rPr>
        <w:t> </w:t>
      </w:r>
      <w:r>
        <w:rPr>
          <w:color w:val="3B3B3B"/>
          <w:w w:val="110"/>
        </w:rPr>
        <w:t>problems.</w:t>
      </w:r>
      <w:r>
        <w:rPr>
          <w:rFonts w:ascii="Arial" w:hAnsi="Arial"/>
          <w:color w:val="3B3B3B"/>
          <w:w w:val="110"/>
          <w:vertAlign w:val="superscript"/>
        </w:rPr>
        <w:t>19</w:t>
      </w:r>
    </w:p>
    <w:p>
      <w:pPr>
        <w:pStyle w:val="BodyText"/>
        <w:spacing w:line="232" w:lineRule="auto" w:before="4"/>
        <w:ind w:left="560" w:right="160" w:firstLine="390"/>
        <w:jc w:val="both"/>
      </w:pPr>
      <w:r>
        <w:rPr>
          <w:color w:val="3B3B3B"/>
          <w:w w:val="105"/>
        </w:rPr>
        <w:t>The sad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thing is that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procrastinating instead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of  writing almost  cer­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tainly hurts your ability to create the best possible brief. If you write a draft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early in your writing process, you will have time to review and revise your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document, increasing the chances that you wiU write a better brief. </w:t>
      </w:r>
      <w:r>
        <w:rPr>
          <w:color w:val="3B3B3B"/>
          <w:w w:val="105"/>
          <w:sz w:val="22"/>
        </w:rPr>
        <w:t>If </w:t>
      </w:r>
      <w:r>
        <w:rPr>
          <w:color w:val="3B3B3B"/>
          <w:w w:val="105"/>
        </w:rPr>
        <w:t>you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postpone writing due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to fear of commitment, however, you increase the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chances that the first draft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will be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the  only draft, making each  commit­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ment even more final, and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thus, even more difficult. Furthermore, because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procrastination usually leaves you with little or no time to revise, the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brief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wiU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likely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not</w:t>
      </w:r>
      <w:r>
        <w:rPr>
          <w:color w:val="3B3B3B"/>
          <w:spacing w:val="38"/>
          <w:w w:val="105"/>
        </w:rPr>
        <w:t> </w:t>
      </w:r>
      <w:r>
        <w:rPr>
          <w:color w:val="3B3B3B"/>
          <w:w w:val="105"/>
        </w:rPr>
        <w:t>be good</w:t>
      </w:r>
      <w:r>
        <w:rPr>
          <w:color w:val="3B3B3B"/>
          <w:spacing w:val="5"/>
          <w:w w:val="105"/>
        </w:rPr>
        <w:t> </w:t>
      </w:r>
      <w:r>
        <w:rPr>
          <w:color w:val="3B3B3B"/>
          <w:w w:val="105"/>
        </w:rPr>
        <w:t>work</w:t>
      </w:r>
      <w:r>
        <w:rPr>
          <w:color w:val="59595B"/>
          <w:w w:val="105"/>
        </w:rPr>
        <w:t>,</w:t>
      </w:r>
      <w:r>
        <w:rPr>
          <w:color w:val="59595B"/>
          <w:spacing w:val="5"/>
          <w:w w:val="105"/>
        </w:rPr>
        <w:t> </w:t>
      </w:r>
      <w:r>
        <w:rPr>
          <w:color w:val="3B3B3B"/>
          <w:w w:val="105"/>
        </w:rPr>
        <w:t>much</w:t>
      </w:r>
      <w:r>
        <w:rPr>
          <w:color w:val="3B3B3B"/>
          <w:spacing w:val="10"/>
          <w:w w:val="105"/>
        </w:rPr>
        <w:t> </w:t>
      </w:r>
      <w:r>
        <w:rPr>
          <w:color w:val="3B3B3B"/>
          <w:w w:val="105"/>
        </w:rPr>
        <w:t>less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your best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work.</w:t>
      </w:r>
    </w:p>
    <w:p>
      <w:pPr>
        <w:pStyle w:val="BodyText"/>
        <w:spacing w:line="230" w:lineRule="auto" w:before="15"/>
        <w:ind w:left="455" w:right="192" w:firstLine="449"/>
        <w:jc w:val="both"/>
      </w:pPr>
      <w:r>
        <w:rPr>
          <w:color w:val="3B3B3B"/>
          <w:w w:val="110"/>
          <w:sz w:val="22"/>
        </w:rPr>
        <w:t>If </w:t>
      </w:r>
      <w:r>
        <w:rPr>
          <w:color w:val="3B3B3B"/>
          <w:w w:val="110"/>
        </w:rPr>
        <w:t>fear of commitment is a problem for you, focus on using private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05"/>
        </w:rPr>
        <w:t>memos as you write. </w:t>
      </w:r>
      <w:r>
        <w:rPr>
          <w:color w:val="3B3B3B"/>
          <w:w w:val="105"/>
          <w:sz w:val="22"/>
        </w:rPr>
        <w:t>If </w:t>
      </w:r>
      <w:r>
        <w:rPr>
          <w:color w:val="3B3B3B"/>
          <w:w w:val="105"/>
        </w:rPr>
        <w:t>you are concerned about committing to any partic­</w:t>
      </w:r>
      <w:r>
        <w:rPr>
          <w:color w:val="3B3B3B"/>
          <w:spacing w:val="1"/>
          <w:w w:val="105"/>
        </w:rPr>
        <w:t> </w:t>
      </w:r>
      <w:r>
        <w:rPr>
          <w:color w:val="3B3B3B"/>
          <w:spacing w:val="-1"/>
          <w:w w:val="110"/>
        </w:rPr>
        <w:t>ular writing choice, drop a private </w:t>
      </w:r>
      <w:r>
        <w:rPr>
          <w:color w:val="3B3B3B"/>
          <w:w w:val="110"/>
        </w:rPr>
        <w:t>memo footnote to yourself to articulate</w:t>
      </w:r>
      <w:r>
        <w:rPr>
          <w:color w:val="3B3B3B"/>
          <w:spacing w:val="-61"/>
          <w:w w:val="110"/>
        </w:rPr>
        <w:t> </w:t>
      </w:r>
      <w:r>
        <w:rPr>
          <w:color w:val="59595B"/>
          <w:w w:val="110"/>
        </w:rPr>
        <w:t>y</w:t>
      </w:r>
      <w:r>
        <w:rPr>
          <w:color w:val="3B3B3B"/>
          <w:w w:val="110"/>
        </w:rPr>
        <w:t>our concern and preserve the other options you were considering. The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private memo </w:t>
      </w:r>
      <w:r>
        <w:rPr>
          <w:rFonts w:ascii="Arial" w:hAnsi="Arial"/>
          <w:color w:val="3B3B3B"/>
          <w:w w:val="110"/>
          <w:sz w:val="21"/>
        </w:rPr>
        <w:t>wi11 </w:t>
      </w:r>
      <w:r>
        <w:rPr>
          <w:color w:val="3B3B3B"/>
          <w:w w:val="110"/>
        </w:rPr>
        <w:t>help to quiet your fear of commitment by reminding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you</w:t>
      </w:r>
      <w:r>
        <w:rPr>
          <w:color w:val="3B3B3B"/>
          <w:spacing w:val="-6"/>
          <w:w w:val="110"/>
        </w:rPr>
        <w:t> </w:t>
      </w:r>
      <w:r>
        <w:rPr>
          <w:color w:val="3B3B3B"/>
          <w:w w:val="110"/>
        </w:rPr>
        <w:t>that</w:t>
      </w:r>
      <w:r>
        <w:rPr>
          <w:color w:val="3B3B3B"/>
          <w:spacing w:val="-17"/>
          <w:w w:val="110"/>
        </w:rPr>
        <w:t> </w:t>
      </w:r>
      <w:r>
        <w:rPr>
          <w:color w:val="3B3B3B"/>
          <w:w w:val="110"/>
        </w:rPr>
        <w:t>this</w:t>
      </w:r>
      <w:r>
        <w:rPr>
          <w:color w:val="3B3B3B"/>
          <w:spacing w:val="-30"/>
          <w:w w:val="110"/>
        </w:rPr>
        <w:t> </w:t>
      </w:r>
      <w:r>
        <w:rPr>
          <w:color w:val="3B3B3B"/>
          <w:w w:val="110"/>
        </w:rPr>
        <w:t>is</w:t>
      </w:r>
      <w:r>
        <w:rPr>
          <w:color w:val="3B3B3B"/>
          <w:spacing w:val="-18"/>
          <w:w w:val="110"/>
        </w:rPr>
        <w:t> </w:t>
      </w:r>
      <w:r>
        <w:rPr>
          <w:color w:val="3B3B3B"/>
          <w:w w:val="110"/>
        </w:rPr>
        <w:t>not</w:t>
      </w:r>
      <w:r>
        <w:rPr>
          <w:color w:val="3B3B3B"/>
          <w:spacing w:val="5"/>
          <w:w w:val="110"/>
        </w:rPr>
        <w:t> </w:t>
      </w:r>
      <w:r>
        <w:rPr>
          <w:color w:val="3B3B3B"/>
          <w:w w:val="110"/>
        </w:rPr>
        <w:t>a</w:t>
      </w:r>
      <w:r>
        <w:rPr>
          <w:color w:val="3B3B3B"/>
          <w:spacing w:val="-8"/>
          <w:w w:val="110"/>
        </w:rPr>
        <w:t> </w:t>
      </w:r>
      <w:r>
        <w:rPr>
          <w:color w:val="3B3B3B"/>
          <w:w w:val="110"/>
        </w:rPr>
        <w:t>"final"</w:t>
      </w:r>
      <w:r>
        <w:rPr>
          <w:color w:val="3B3B3B"/>
          <w:spacing w:val="-27"/>
          <w:w w:val="110"/>
        </w:rPr>
        <w:t> </w:t>
      </w:r>
      <w:r>
        <w:rPr>
          <w:color w:val="3B3B3B"/>
          <w:w w:val="110"/>
        </w:rPr>
        <w:t>commitment</w:t>
      </w:r>
      <w:r>
        <w:rPr>
          <w:color w:val="3B3B3B"/>
          <w:spacing w:val="-4"/>
          <w:w w:val="110"/>
        </w:rPr>
        <w:t> </w:t>
      </w:r>
      <w:r>
        <w:rPr>
          <w:color w:val="3B3B3B"/>
          <w:w w:val="110"/>
        </w:rPr>
        <w:t>and</w:t>
      </w:r>
      <w:r>
        <w:rPr>
          <w:color w:val="3B3B3B"/>
          <w:spacing w:val="14"/>
          <w:w w:val="110"/>
        </w:rPr>
        <w:t> </w:t>
      </w:r>
      <w:r>
        <w:rPr>
          <w:color w:val="3B3B3B"/>
          <w:w w:val="110"/>
        </w:rPr>
        <w:t>by</w:t>
      </w:r>
      <w:r>
        <w:rPr>
          <w:color w:val="3B3B3B"/>
          <w:spacing w:val="-27"/>
          <w:w w:val="110"/>
        </w:rPr>
        <w:t> </w:t>
      </w:r>
      <w:r>
        <w:rPr>
          <w:color w:val="3B3B3B"/>
          <w:w w:val="110"/>
        </w:rPr>
        <w:t>giving</w:t>
      </w:r>
      <w:r>
        <w:rPr>
          <w:color w:val="3B3B3B"/>
          <w:spacing w:val="-26"/>
          <w:w w:val="110"/>
        </w:rPr>
        <w:t> </w:t>
      </w:r>
      <w:r>
        <w:rPr>
          <w:color w:val="3B3B3B"/>
          <w:w w:val="110"/>
        </w:rPr>
        <w:t>you</w:t>
      </w:r>
      <w:r>
        <w:rPr>
          <w:color w:val="3B3B3B"/>
          <w:spacing w:val="-13"/>
          <w:w w:val="110"/>
        </w:rPr>
        <w:t> </w:t>
      </w:r>
      <w:r>
        <w:rPr>
          <w:color w:val="3B3B3B"/>
          <w:w w:val="110"/>
        </w:rPr>
        <w:t>a</w:t>
      </w:r>
      <w:r>
        <w:rPr>
          <w:color w:val="3B3B3B"/>
          <w:spacing w:val="-10"/>
          <w:w w:val="110"/>
        </w:rPr>
        <w:t> </w:t>
      </w:r>
      <w:r>
        <w:rPr>
          <w:color w:val="3B3B3B"/>
          <w:w w:val="110"/>
        </w:rPr>
        <w:t>way</w:t>
      </w:r>
      <w:r>
        <w:rPr>
          <w:color w:val="3B3B3B"/>
          <w:spacing w:val="-6"/>
          <w:w w:val="110"/>
        </w:rPr>
        <w:t> </w:t>
      </w:r>
      <w:r>
        <w:rPr>
          <w:color w:val="3B3B3B"/>
          <w:w w:val="110"/>
        </w:rPr>
        <w:t>to</w:t>
      </w:r>
      <w:r>
        <w:rPr>
          <w:color w:val="3B3B3B"/>
          <w:spacing w:val="2"/>
          <w:w w:val="110"/>
        </w:rPr>
        <w:t> </w:t>
      </w:r>
      <w:r>
        <w:rPr>
          <w:color w:val="3B3B3B"/>
          <w:w w:val="110"/>
        </w:rPr>
        <w:t>iden­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tify the places where you want to consider otheroptions. Furthermore, the</w:t>
      </w:r>
      <w:r>
        <w:rPr>
          <w:color w:val="3B3B3B"/>
          <w:spacing w:val="-61"/>
          <w:w w:val="110"/>
        </w:rPr>
        <w:t> </w:t>
      </w:r>
      <w:r>
        <w:rPr>
          <w:color w:val="3B3B3B"/>
          <w:w w:val="105"/>
        </w:rPr>
        <w:t>private memos can direct at least part of your revision process by focusing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10"/>
        </w:rPr>
        <w:t>your</w:t>
      </w:r>
      <w:r>
        <w:rPr>
          <w:color w:val="3B3B3B"/>
          <w:spacing w:val="-13"/>
          <w:w w:val="110"/>
        </w:rPr>
        <w:t> </w:t>
      </w:r>
      <w:r>
        <w:rPr>
          <w:color w:val="3B3B3B"/>
          <w:w w:val="110"/>
        </w:rPr>
        <w:t>attention</w:t>
      </w:r>
      <w:r>
        <w:rPr>
          <w:color w:val="3B3B3B"/>
          <w:spacing w:val="8"/>
          <w:w w:val="110"/>
        </w:rPr>
        <w:t> </w:t>
      </w:r>
      <w:r>
        <w:rPr>
          <w:color w:val="3B3B3B"/>
          <w:w w:val="110"/>
        </w:rPr>
        <w:t>on</w:t>
      </w:r>
      <w:r>
        <w:rPr>
          <w:color w:val="3B3B3B"/>
          <w:spacing w:val="22"/>
          <w:w w:val="110"/>
        </w:rPr>
        <w:t> </w:t>
      </w:r>
      <w:r>
        <w:rPr>
          <w:color w:val="3B3B3B"/>
          <w:w w:val="110"/>
        </w:rPr>
        <w:t>particular</w:t>
      </w:r>
      <w:r>
        <w:rPr>
          <w:color w:val="3B3B3B"/>
          <w:spacing w:val="-3"/>
          <w:w w:val="110"/>
        </w:rPr>
        <w:t> </w:t>
      </w:r>
      <w:r>
        <w:rPr>
          <w:color w:val="3B3B3B"/>
          <w:w w:val="110"/>
        </w:rPr>
        <w:t>aspects</w:t>
      </w:r>
      <w:r>
        <w:rPr>
          <w:color w:val="3B3B3B"/>
          <w:spacing w:val="-12"/>
          <w:w w:val="110"/>
        </w:rPr>
        <w:t> </w:t>
      </w:r>
      <w:r>
        <w:rPr>
          <w:color w:val="3B3B3B"/>
          <w:w w:val="110"/>
        </w:rPr>
        <w:t>of</w:t>
      </w:r>
      <w:r>
        <w:rPr>
          <w:color w:val="3B3B3B"/>
          <w:spacing w:val="10"/>
          <w:w w:val="110"/>
        </w:rPr>
        <w:t> </w:t>
      </w:r>
      <w:r>
        <w:rPr>
          <w:color w:val="3B3B3B"/>
          <w:w w:val="110"/>
        </w:rPr>
        <w:t>the</w:t>
      </w:r>
      <w:r>
        <w:rPr>
          <w:color w:val="3B3B3B"/>
          <w:spacing w:val="11"/>
          <w:w w:val="110"/>
        </w:rPr>
        <w:t> </w:t>
      </w:r>
      <w:r>
        <w:rPr>
          <w:color w:val="3B3B3B"/>
          <w:w w:val="110"/>
        </w:rPr>
        <w:t>draft.</w:t>
      </w:r>
    </w:p>
    <w:p>
      <w:pPr>
        <w:pStyle w:val="BodyText"/>
        <w:rPr>
          <w:sz w:val="26"/>
        </w:rPr>
      </w:pPr>
    </w:p>
    <w:p>
      <w:pPr>
        <w:spacing w:line="230" w:lineRule="auto" w:before="177"/>
        <w:ind w:left="313" w:right="234" w:firstLine="480"/>
        <w:jc w:val="both"/>
        <w:rPr>
          <w:sz w:val="16"/>
        </w:rPr>
      </w:pPr>
      <w:r>
        <w:rPr>
          <w:rFonts w:ascii="Arial" w:hAnsi="Arial"/>
          <w:color w:val="3B3B3B"/>
          <w:w w:val="105"/>
          <w:position w:val="5"/>
          <w:sz w:val="9"/>
        </w:rPr>
        <w:t>11 </w:t>
      </w:r>
      <w:r>
        <w:rPr>
          <w:color w:val="3B3B3B"/>
          <w:w w:val="105"/>
          <w:sz w:val="18"/>
        </w:rPr>
        <w:t>Although thissection </w:t>
      </w:r>
      <w:r>
        <w:rPr>
          <w:rFonts w:ascii="Arial" w:hAnsi="Arial"/>
          <w:color w:val="3B3B3B"/>
          <w:w w:val="105"/>
          <w:sz w:val="16"/>
        </w:rPr>
        <w:t>of </w:t>
      </w:r>
      <w:r>
        <w:rPr>
          <w:color w:val="3B3B3B"/>
          <w:w w:val="105"/>
          <w:sz w:val="18"/>
        </w:rPr>
        <w:t>the text talks about </w:t>
      </w:r>
      <w:r>
        <w:rPr>
          <w:i/>
          <w:color w:val="3B3B3B"/>
          <w:w w:val="105"/>
          <w:sz w:val="18"/>
        </w:rPr>
        <w:t>avoiding </w:t>
      </w:r>
      <w:r>
        <w:rPr>
          <w:color w:val="3B3B3B"/>
          <w:w w:val="105"/>
          <w:sz w:val="18"/>
        </w:rPr>
        <w:t>procrastination</w:t>
      </w:r>
      <w:r>
        <w:rPr>
          <w:color w:val="707072"/>
          <w:w w:val="105"/>
          <w:sz w:val="18"/>
        </w:rPr>
        <w:t>, </w:t>
      </w:r>
      <w:r>
        <w:rPr>
          <w:color w:val="3B3B3B"/>
          <w:w w:val="105"/>
          <w:sz w:val="18"/>
        </w:rPr>
        <w:t>I </w:t>
      </w:r>
      <w:r>
        <w:rPr>
          <w:i/>
          <w:color w:val="3B3B3B"/>
          <w:w w:val="105"/>
          <w:sz w:val="18"/>
        </w:rPr>
        <w:t>re</w:t>
      </w:r>
      <w:r>
        <w:rPr>
          <w:i/>
          <w:color w:val="59595B"/>
          <w:w w:val="105"/>
          <w:sz w:val="18"/>
        </w:rPr>
        <w:t>c</w:t>
      </w:r>
      <w:r>
        <w:rPr>
          <w:i/>
          <w:color w:val="3B3B3B"/>
          <w:w w:val="105"/>
          <w:sz w:val="18"/>
        </w:rPr>
        <w:t>omme,,d </w:t>
      </w:r>
      <w:r>
        <w:rPr>
          <w:color w:val="3B3B3B"/>
          <w:w w:val="105"/>
          <w:sz w:val="18"/>
        </w:rPr>
        <w:t>procras­</w:t>
      </w:r>
      <w:r>
        <w:rPr>
          <w:color w:val="3B3B3B"/>
          <w:spacing w:val="1"/>
          <w:w w:val="105"/>
          <w:sz w:val="18"/>
        </w:rPr>
        <w:t> </w:t>
      </w:r>
      <w:r>
        <w:rPr>
          <w:color w:val="3B3B3B"/>
          <w:w w:val="105"/>
          <w:sz w:val="18"/>
        </w:rPr>
        <w:t>tinating  just a little bit </w:t>
      </w:r>
      <w:r>
        <w:rPr>
          <w:rFonts w:ascii="Arial" w:hAnsi="Arial"/>
          <w:color w:val="3B3B3B"/>
          <w:w w:val="105"/>
          <w:sz w:val="15"/>
        </w:rPr>
        <w:t>so </w:t>
      </w:r>
      <w:r>
        <w:rPr>
          <w:color w:val="3B3B3B"/>
          <w:w w:val="105"/>
          <w:sz w:val="18"/>
        </w:rPr>
        <w:t>that y</w:t>
      </w:r>
      <w:r>
        <w:rPr>
          <w:color w:val="59595B"/>
          <w:w w:val="105"/>
          <w:sz w:val="18"/>
        </w:rPr>
        <w:t>o</w:t>
      </w:r>
      <w:r>
        <w:rPr>
          <w:color w:val="3B3B3B"/>
          <w:w w:val="105"/>
          <w:sz w:val="18"/>
        </w:rPr>
        <w:t>u can  take the time to read  this ex</w:t>
      </w:r>
      <w:r>
        <w:rPr>
          <w:color w:val="59595B"/>
          <w:w w:val="105"/>
          <w:sz w:val="18"/>
        </w:rPr>
        <w:t>c</w:t>
      </w:r>
      <w:r>
        <w:rPr>
          <w:color w:val="3B3B3B"/>
          <w:w w:val="105"/>
          <w:sz w:val="18"/>
        </w:rPr>
        <w:t>ellent article</w:t>
      </w:r>
      <w:r>
        <w:rPr>
          <w:color w:val="59595B"/>
          <w:w w:val="105"/>
          <w:sz w:val="18"/>
        </w:rPr>
        <w:t>: </w:t>
      </w:r>
      <w:r>
        <w:rPr>
          <w:color w:val="3B3B3B"/>
          <w:w w:val="105"/>
          <w:sz w:val="18"/>
        </w:rPr>
        <w:t>David </w:t>
      </w:r>
      <w:r>
        <w:rPr>
          <w:color w:val="3B3B3B"/>
          <w:w w:val="105"/>
          <w:sz w:val="17"/>
        </w:rPr>
        <w:t>A. </w:t>
      </w:r>
      <w:r>
        <w:rPr>
          <w:color w:val="3B3B3B"/>
          <w:w w:val="105"/>
          <w:sz w:val="18"/>
        </w:rPr>
        <w:t>Rasch</w:t>
      </w:r>
      <w:r>
        <w:rPr>
          <w:color w:val="3B3B3B"/>
          <w:spacing w:val="1"/>
          <w:w w:val="105"/>
          <w:sz w:val="18"/>
        </w:rPr>
        <w:t> </w:t>
      </w:r>
      <w:r>
        <w:rPr>
          <w:color w:val="3B3B3B"/>
          <w:w w:val="95"/>
          <w:sz w:val="17"/>
        </w:rPr>
        <w:t>&amp;</w:t>
      </w:r>
      <w:r>
        <w:rPr>
          <w:color w:val="3B3B3B"/>
          <w:spacing w:val="1"/>
          <w:w w:val="95"/>
          <w:sz w:val="17"/>
        </w:rPr>
        <w:t> </w:t>
      </w:r>
      <w:r>
        <w:rPr>
          <w:color w:val="3B3B3B"/>
          <w:w w:val="95"/>
          <w:sz w:val="18"/>
        </w:rPr>
        <w:t>Meehan Ra</w:t>
      </w:r>
      <w:r>
        <w:rPr>
          <w:color w:val="59595B"/>
          <w:w w:val="95"/>
          <w:sz w:val="18"/>
        </w:rPr>
        <w:t>sc</w:t>
      </w:r>
      <w:r>
        <w:rPr>
          <w:color w:val="3B3B3B"/>
          <w:w w:val="95"/>
          <w:sz w:val="18"/>
        </w:rPr>
        <w:t>h, </w:t>
      </w:r>
      <w:r>
        <w:rPr>
          <w:i/>
          <w:color w:val="3B3B3B"/>
          <w:w w:val="95"/>
          <w:sz w:val="18"/>
        </w:rPr>
        <w:t>Ov</w:t>
      </w:r>
      <w:r>
        <w:rPr>
          <w:i/>
          <w:color w:val="59595B"/>
          <w:w w:val="95"/>
          <w:sz w:val="18"/>
        </w:rPr>
        <w:t>e</w:t>
      </w:r>
      <w:r>
        <w:rPr>
          <w:i/>
          <w:color w:val="3B3B3B"/>
          <w:w w:val="95"/>
          <w:sz w:val="18"/>
        </w:rPr>
        <w:t>rcoming Writer</w:t>
      </w:r>
      <w:r>
        <w:rPr>
          <w:i/>
          <w:color w:val="59595B"/>
          <w:w w:val="95"/>
          <w:sz w:val="18"/>
        </w:rPr>
        <w:t>'</w:t>
      </w:r>
      <w:r>
        <w:rPr>
          <w:i/>
          <w:color w:val="3B3B3B"/>
          <w:w w:val="95"/>
          <w:sz w:val="18"/>
        </w:rPr>
        <w:t>s Block and l'rocrasti11ation for Attorneys</w:t>
      </w:r>
      <w:r>
        <w:rPr>
          <w:i/>
          <w:color w:val="59595B"/>
          <w:w w:val="95"/>
          <w:sz w:val="18"/>
        </w:rPr>
        <w:t>, </w:t>
      </w:r>
      <w:r>
        <w:rPr>
          <w:i/>
          <w:color w:val="3B3B3B"/>
          <w:w w:val="95"/>
          <w:sz w:val="18"/>
        </w:rPr>
        <w:t>Law Students, and Law</w:t>
      </w:r>
      <w:r>
        <w:rPr>
          <w:i/>
          <w:color w:val="3B3B3B"/>
          <w:spacing w:val="1"/>
          <w:w w:val="95"/>
          <w:sz w:val="18"/>
        </w:rPr>
        <w:t> </w:t>
      </w:r>
      <w:r>
        <w:rPr>
          <w:i/>
          <w:color w:val="3B3B3B"/>
          <w:w w:val="105"/>
          <w:sz w:val="18"/>
        </w:rPr>
        <w:t>Profess</w:t>
      </w:r>
      <w:r>
        <w:rPr>
          <w:i/>
          <w:color w:val="59595B"/>
          <w:w w:val="105"/>
          <w:sz w:val="18"/>
        </w:rPr>
        <w:t>o</w:t>
      </w:r>
      <w:r>
        <w:rPr>
          <w:i/>
          <w:color w:val="3B3B3B"/>
          <w:w w:val="105"/>
          <w:sz w:val="18"/>
        </w:rPr>
        <w:t>rs,</w:t>
      </w:r>
      <w:r>
        <w:rPr>
          <w:i/>
          <w:color w:val="3B3B3B"/>
          <w:spacing w:val="13"/>
          <w:w w:val="105"/>
          <w:sz w:val="18"/>
        </w:rPr>
        <w:t> </w:t>
      </w:r>
      <w:r>
        <w:rPr>
          <w:color w:val="3B3B3B"/>
          <w:w w:val="105"/>
          <w:sz w:val="16"/>
        </w:rPr>
        <w:t>43</w:t>
      </w:r>
      <w:r>
        <w:rPr>
          <w:color w:val="3B3B3B"/>
          <w:spacing w:val="39"/>
          <w:w w:val="105"/>
          <w:sz w:val="16"/>
        </w:rPr>
        <w:t> </w:t>
      </w:r>
      <w:r>
        <w:rPr>
          <w:color w:val="3B3B3B"/>
          <w:w w:val="105"/>
          <w:sz w:val="16"/>
        </w:rPr>
        <w:t>N</w:t>
      </w:r>
      <w:r>
        <w:rPr>
          <w:color w:val="707072"/>
          <w:w w:val="105"/>
          <w:sz w:val="16"/>
        </w:rPr>
        <w:t>.</w:t>
      </w:r>
      <w:r>
        <w:rPr>
          <w:color w:val="3B3B3B"/>
          <w:w w:val="105"/>
          <w:sz w:val="16"/>
        </w:rPr>
        <w:t>M.</w:t>
      </w:r>
      <w:r>
        <w:rPr>
          <w:color w:val="3B3B3B"/>
          <w:spacing w:val="14"/>
          <w:w w:val="105"/>
          <w:sz w:val="16"/>
        </w:rPr>
        <w:t> </w:t>
      </w:r>
      <w:r>
        <w:rPr>
          <w:color w:val="3B3B3B"/>
          <w:w w:val="105"/>
          <w:sz w:val="16"/>
        </w:rPr>
        <w:t>L.</w:t>
      </w:r>
      <w:r>
        <w:rPr>
          <w:color w:val="3B3B3B"/>
          <w:spacing w:val="28"/>
          <w:w w:val="105"/>
          <w:sz w:val="16"/>
        </w:rPr>
        <w:t> </w:t>
      </w:r>
      <w:r>
        <w:rPr>
          <w:i/>
          <w:color w:val="3B3B3B"/>
          <w:w w:val="105"/>
          <w:sz w:val="18"/>
        </w:rPr>
        <w:t>ev.</w:t>
      </w:r>
      <w:r>
        <w:rPr>
          <w:i/>
          <w:color w:val="3B3B3B"/>
          <w:spacing w:val="-16"/>
          <w:w w:val="105"/>
          <w:sz w:val="18"/>
        </w:rPr>
        <w:t> </w:t>
      </w:r>
      <w:r>
        <w:rPr>
          <w:color w:val="3B3B3B"/>
          <w:w w:val="105"/>
          <w:sz w:val="16"/>
        </w:rPr>
        <w:t>l</w:t>
      </w:r>
      <w:r>
        <w:rPr>
          <w:color w:val="3B3B3B"/>
          <w:spacing w:val="-15"/>
          <w:w w:val="105"/>
          <w:sz w:val="16"/>
        </w:rPr>
        <w:t> </w:t>
      </w:r>
      <w:r>
        <w:rPr>
          <w:color w:val="3B3B3B"/>
          <w:w w:val="105"/>
          <w:sz w:val="16"/>
        </w:rPr>
        <w:t>93</w:t>
      </w:r>
      <w:r>
        <w:rPr>
          <w:color w:val="3B3B3B"/>
          <w:spacing w:val="-13"/>
          <w:w w:val="105"/>
          <w:sz w:val="16"/>
        </w:rPr>
        <w:t> </w:t>
      </w:r>
      <w:r>
        <w:rPr>
          <w:color w:val="3B3B3B"/>
          <w:w w:val="105"/>
          <w:sz w:val="16"/>
        </w:rPr>
        <w:t>(2</w:t>
      </w:r>
      <w:r>
        <w:rPr>
          <w:color w:val="3B3B3B"/>
          <w:spacing w:val="13"/>
          <w:w w:val="105"/>
          <w:sz w:val="16"/>
        </w:rPr>
        <w:t> </w:t>
      </w:r>
      <w:r>
        <w:rPr>
          <w:color w:val="3B3B3B"/>
          <w:w w:val="105"/>
          <w:sz w:val="16"/>
        </w:rPr>
        <w:t>13).</w:t>
      </w:r>
    </w:p>
    <w:p>
      <w:pPr>
        <w:spacing w:line="188" w:lineRule="exact" w:before="0"/>
        <w:ind w:left="743" w:right="0" w:firstLine="0"/>
        <w:jc w:val="both"/>
        <w:rPr>
          <w:sz w:val="18"/>
        </w:rPr>
      </w:pPr>
      <w:r>
        <w:rPr>
          <w:color w:val="3B3B3B"/>
          <w:sz w:val="18"/>
        </w:rPr>
        <w:t>1</w:t>
      </w:r>
      <w:r>
        <w:rPr>
          <w:color w:val="59595B"/>
          <w:sz w:val="18"/>
        </w:rPr>
        <w:t>9</w:t>
      </w:r>
      <w:r>
        <w:rPr>
          <w:color w:val="3B3B3B"/>
          <w:sz w:val="18"/>
        </w:rPr>
        <w:t>Dan</w:t>
      </w:r>
      <w:r>
        <w:rPr>
          <w:color w:val="3B3B3B"/>
          <w:spacing w:val="6"/>
          <w:sz w:val="18"/>
        </w:rPr>
        <w:t> </w:t>
      </w:r>
      <w:r>
        <w:rPr>
          <w:color w:val="3B3B3B"/>
          <w:sz w:val="18"/>
        </w:rPr>
        <w:t>Ari</w:t>
      </w:r>
      <w:r>
        <w:rPr>
          <w:color w:val="59595B"/>
          <w:sz w:val="18"/>
        </w:rPr>
        <w:t>e</w:t>
      </w:r>
      <w:r>
        <w:rPr>
          <w:color w:val="3B3B3B"/>
          <w:sz w:val="18"/>
        </w:rPr>
        <w:t>ly,</w:t>
      </w:r>
      <w:r>
        <w:rPr>
          <w:color w:val="3B3B3B"/>
          <w:spacing w:val="10"/>
          <w:sz w:val="18"/>
        </w:rPr>
        <w:t> </w:t>
      </w:r>
      <w:r>
        <w:rPr>
          <w:i/>
          <w:color w:val="3B3B3B"/>
          <w:sz w:val="18"/>
        </w:rPr>
        <w:t>Pre</w:t>
      </w:r>
      <w:r>
        <w:rPr>
          <w:i/>
          <w:color w:val="59595B"/>
          <w:sz w:val="18"/>
        </w:rPr>
        <w:t>d</w:t>
      </w:r>
      <w:r>
        <w:rPr>
          <w:i/>
          <w:color w:val="3B3B3B"/>
          <w:sz w:val="18"/>
        </w:rPr>
        <w:t>i</w:t>
      </w:r>
      <w:r>
        <w:rPr>
          <w:i/>
          <w:color w:val="59595B"/>
          <w:sz w:val="18"/>
        </w:rPr>
        <w:t>c</w:t>
      </w:r>
      <w:r>
        <w:rPr>
          <w:i/>
          <w:color w:val="3B3B3B"/>
          <w:sz w:val="18"/>
        </w:rPr>
        <w:t>tably</w:t>
      </w:r>
      <w:r>
        <w:rPr>
          <w:i/>
          <w:color w:val="3B3B3B"/>
          <w:spacing w:val="11"/>
          <w:sz w:val="18"/>
        </w:rPr>
        <w:t> </w:t>
      </w:r>
      <w:r>
        <w:rPr>
          <w:i/>
          <w:color w:val="3B3B3B"/>
          <w:sz w:val="18"/>
        </w:rPr>
        <w:t>lffahonal</w:t>
      </w:r>
      <w:r>
        <w:rPr>
          <w:i/>
          <w:color w:val="3B3B3B"/>
          <w:spacing w:val="11"/>
          <w:sz w:val="18"/>
        </w:rPr>
        <w:t> </w:t>
      </w:r>
      <w:r>
        <w:rPr>
          <w:color w:val="3B3B3B"/>
          <w:sz w:val="17"/>
        </w:rPr>
        <w:t>183</w:t>
      </w:r>
      <w:r>
        <w:rPr>
          <w:color w:val="3B3B3B"/>
          <w:spacing w:val="4"/>
          <w:sz w:val="17"/>
        </w:rPr>
        <w:t> </w:t>
      </w:r>
      <w:r>
        <w:rPr>
          <w:color w:val="3B3B3B"/>
          <w:sz w:val="18"/>
        </w:rPr>
        <w:t>et</w:t>
      </w:r>
      <w:r>
        <w:rPr>
          <w:color w:val="3B3B3B"/>
          <w:spacing w:val="15"/>
          <w:sz w:val="18"/>
        </w:rPr>
        <w:t> </w:t>
      </w:r>
      <w:r>
        <w:rPr>
          <w:color w:val="3B3B3B"/>
          <w:sz w:val="18"/>
        </w:rPr>
        <w:t>seq.</w:t>
      </w:r>
      <w:r>
        <w:rPr>
          <w:color w:val="3B3B3B"/>
          <w:spacing w:val="-8"/>
          <w:sz w:val="18"/>
        </w:rPr>
        <w:t> </w:t>
      </w:r>
      <w:r>
        <w:rPr>
          <w:color w:val="3B3B3B"/>
          <w:sz w:val="15"/>
        </w:rPr>
        <w:t>(1</w:t>
      </w:r>
      <w:r>
        <w:rPr>
          <w:color w:val="3B3B3B"/>
          <w:spacing w:val="26"/>
          <w:sz w:val="15"/>
        </w:rPr>
        <w:t> </w:t>
      </w:r>
      <w:r>
        <w:rPr>
          <w:color w:val="3B3B3B"/>
          <w:sz w:val="18"/>
        </w:rPr>
        <w:t>Exp.</w:t>
      </w:r>
      <w:r>
        <w:rPr>
          <w:color w:val="3B3B3B"/>
          <w:spacing w:val="-14"/>
          <w:sz w:val="18"/>
        </w:rPr>
        <w:t> </w:t>
      </w:r>
      <w:r>
        <w:rPr>
          <w:color w:val="3B3B3B"/>
          <w:sz w:val="18"/>
        </w:rPr>
        <w:t>Rev</w:t>
      </w:r>
      <w:r>
        <w:rPr>
          <w:color w:val="59595B"/>
          <w:sz w:val="18"/>
        </w:rPr>
        <w:t>. </w:t>
      </w:r>
      <w:r>
        <w:rPr>
          <w:color w:val="3B3B3B"/>
          <w:sz w:val="18"/>
        </w:rPr>
        <w:t>Ed</w:t>
      </w:r>
      <w:r>
        <w:rPr>
          <w:color w:val="59595B"/>
          <w:sz w:val="18"/>
        </w:rPr>
        <w:t>.</w:t>
      </w:r>
      <w:r>
        <w:rPr>
          <w:color w:val="3B3B3B"/>
          <w:sz w:val="18"/>
        </w:rPr>
        <w:t>,</w:t>
      </w:r>
      <w:r>
        <w:rPr>
          <w:color w:val="3B3B3B"/>
          <w:spacing w:val="12"/>
          <w:sz w:val="18"/>
        </w:rPr>
        <w:t> </w:t>
      </w:r>
      <w:r>
        <w:rPr>
          <w:color w:val="3B3B3B"/>
          <w:sz w:val="18"/>
        </w:rPr>
        <w:t>Harper</w:t>
      </w:r>
      <w:r>
        <w:rPr>
          <w:color w:val="3B3B3B"/>
          <w:spacing w:val="-1"/>
          <w:sz w:val="18"/>
        </w:rPr>
        <w:t> </w:t>
      </w:r>
      <w:r>
        <w:rPr>
          <w:color w:val="3B3B3B"/>
          <w:sz w:val="18"/>
        </w:rPr>
        <w:t>Perennial</w:t>
      </w:r>
      <w:r>
        <w:rPr>
          <w:color w:val="3B3B3B"/>
          <w:spacing w:val="5"/>
          <w:sz w:val="18"/>
        </w:rPr>
        <w:t> </w:t>
      </w:r>
      <w:r>
        <w:rPr>
          <w:color w:val="3B3B3B"/>
          <w:sz w:val="17"/>
        </w:rPr>
        <w:t>2010).</w:t>
      </w:r>
      <w:r>
        <w:rPr>
          <w:color w:val="3B3B3B"/>
          <w:spacing w:val="-18"/>
          <w:sz w:val="17"/>
        </w:rPr>
        <w:t> </w:t>
      </w:r>
      <w:r>
        <w:rPr>
          <w:i/>
          <w:color w:val="3B3B3B"/>
          <w:sz w:val="18"/>
        </w:rPr>
        <w:t>See</w:t>
      </w:r>
      <w:r>
        <w:rPr>
          <w:i/>
          <w:color w:val="3B3B3B"/>
          <w:spacing w:val="-19"/>
          <w:sz w:val="18"/>
        </w:rPr>
        <w:t> </w:t>
      </w:r>
      <w:r>
        <w:rPr>
          <w:color w:val="3B3B3B"/>
          <w:sz w:val="18"/>
        </w:rPr>
        <w:t>pp.</w:t>
      </w:r>
    </w:p>
    <w:p>
      <w:pPr>
        <w:spacing w:line="200" w:lineRule="exact" w:before="0"/>
        <w:ind w:left="374" w:right="0" w:firstLine="0"/>
        <w:jc w:val="both"/>
        <w:rPr>
          <w:sz w:val="18"/>
        </w:rPr>
      </w:pPr>
      <w:r>
        <w:rPr>
          <w:rFonts w:ascii="Arial"/>
          <w:color w:val="3B3B3B"/>
          <w:w w:val="105"/>
          <w:sz w:val="16"/>
        </w:rPr>
        <w:t>J39-66</w:t>
      </w:r>
      <w:r>
        <w:rPr>
          <w:rFonts w:ascii="Arial"/>
          <w:color w:val="3B3B3B"/>
          <w:spacing w:val="-3"/>
          <w:w w:val="105"/>
          <w:sz w:val="16"/>
        </w:rPr>
        <w:t> </w:t>
      </w:r>
      <w:r>
        <w:rPr>
          <w:rFonts w:ascii="Arial"/>
          <w:color w:val="3B3B3B"/>
          <w:w w:val="105"/>
          <w:sz w:val="16"/>
        </w:rPr>
        <w:t>for</w:t>
      </w:r>
      <w:r>
        <w:rPr>
          <w:rFonts w:ascii="Arial"/>
          <w:color w:val="3B3B3B"/>
          <w:spacing w:val="18"/>
          <w:w w:val="105"/>
          <w:sz w:val="16"/>
        </w:rPr>
        <w:t> </w:t>
      </w:r>
      <w:r>
        <w:rPr>
          <w:color w:val="3B3B3B"/>
          <w:w w:val="105"/>
          <w:sz w:val="18"/>
        </w:rPr>
        <w:t>discussion</w:t>
      </w:r>
      <w:r>
        <w:rPr>
          <w:color w:val="3B3B3B"/>
          <w:spacing w:val="25"/>
          <w:w w:val="105"/>
          <w:sz w:val="18"/>
        </w:rPr>
        <w:t> </w:t>
      </w:r>
      <w:r>
        <w:rPr>
          <w:color w:val="3B3B3B"/>
          <w:w w:val="105"/>
          <w:sz w:val="18"/>
        </w:rPr>
        <w:t>of</w:t>
      </w:r>
      <w:r>
        <w:rPr>
          <w:color w:val="3B3B3B"/>
          <w:spacing w:val="17"/>
          <w:w w:val="105"/>
          <w:sz w:val="18"/>
        </w:rPr>
        <w:t> </w:t>
      </w:r>
      <w:r>
        <w:rPr>
          <w:color w:val="3B3B3B"/>
          <w:w w:val="105"/>
          <w:sz w:val="18"/>
        </w:rPr>
        <w:t>procrastination</w:t>
      </w:r>
      <w:r>
        <w:rPr>
          <w:color w:val="3B3B3B"/>
          <w:spacing w:val="3"/>
          <w:w w:val="105"/>
          <w:sz w:val="18"/>
        </w:rPr>
        <w:t> </w:t>
      </w:r>
      <w:r>
        <w:rPr>
          <w:color w:val="3B3B3B"/>
          <w:w w:val="105"/>
          <w:sz w:val="18"/>
        </w:rPr>
        <w:t>specifically</w:t>
      </w:r>
      <w:r>
        <w:rPr>
          <w:color w:val="59595B"/>
          <w:w w:val="105"/>
          <w:sz w:val="18"/>
        </w:rPr>
        <w:t>.</w:t>
      </w:r>
    </w:p>
    <w:p>
      <w:pPr>
        <w:spacing w:after="0" w:line="200" w:lineRule="exact"/>
        <w:jc w:val="both"/>
        <w:rPr>
          <w:sz w:val="18"/>
        </w:rPr>
        <w:sectPr>
          <w:headerReference w:type="even" r:id="rId105"/>
          <w:headerReference w:type="default" r:id="rId106"/>
          <w:pgSz w:w="9400" w:h="13790"/>
          <w:pgMar w:header="438" w:footer="0" w:top="1020" w:bottom="0" w:left="1300" w:right="0"/>
          <w:pgNumType w:start="80"/>
        </w:sectPr>
      </w:pPr>
    </w:p>
    <w:p>
      <w:pPr>
        <w:spacing w:before="81"/>
        <w:ind w:left="459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2A2828"/>
          <w:sz w:val="28"/>
        </w:rPr>
        <w:t>4.3</w:t>
      </w:r>
      <w:r>
        <w:rPr>
          <w:rFonts w:ascii="Arial"/>
          <w:b/>
          <w:color w:val="4B4B4B"/>
          <w:sz w:val="28"/>
        </w:rPr>
        <w:t>.</w:t>
      </w:r>
      <w:r>
        <w:rPr>
          <w:rFonts w:ascii="Arial"/>
          <w:b/>
          <w:color w:val="2A2828"/>
          <w:sz w:val="28"/>
        </w:rPr>
        <w:t>2</w:t>
      </w:r>
    </w:p>
    <w:p>
      <w:pPr>
        <w:spacing w:before="24"/>
        <w:ind w:left="457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3A3838"/>
          <w:w w:val="90"/>
          <w:sz w:val="23"/>
        </w:rPr>
        <w:t>FEAR</w:t>
      </w:r>
      <w:r>
        <w:rPr>
          <w:rFonts w:ascii="Arial"/>
          <w:b/>
          <w:color w:val="3A3838"/>
          <w:spacing w:val="12"/>
          <w:w w:val="90"/>
          <w:sz w:val="23"/>
        </w:rPr>
        <w:t> </w:t>
      </w:r>
      <w:r>
        <w:rPr>
          <w:rFonts w:ascii="Arial"/>
          <w:b/>
          <w:color w:val="2A2828"/>
          <w:w w:val="90"/>
          <w:sz w:val="23"/>
        </w:rPr>
        <w:t>OF</w:t>
      </w:r>
      <w:r>
        <w:rPr>
          <w:rFonts w:ascii="Arial"/>
          <w:b/>
          <w:color w:val="2A2828"/>
          <w:spacing w:val="6"/>
          <w:w w:val="90"/>
          <w:sz w:val="23"/>
        </w:rPr>
        <w:t> </w:t>
      </w:r>
      <w:r>
        <w:rPr>
          <w:rFonts w:ascii="Arial"/>
          <w:b/>
          <w:color w:val="3A3838"/>
          <w:w w:val="90"/>
          <w:sz w:val="23"/>
        </w:rPr>
        <w:t>FAILURE</w:t>
      </w:r>
    </w:p>
    <w:p>
      <w:pPr>
        <w:pStyle w:val="BodyText"/>
        <w:spacing w:line="235" w:lineRule="auto" w:before="145"/>
        <w:ind w:left="116" w:right="272" w:firstLine="354"/>
        <w:jc w:val="both"/>
      </w:pPr>
      <w:r>
        <w:rPr>
          <w:color w:val="3A3838"/>
          <w:w w:val="110"/>
        </w:rPr>
        <w:t>Fear of failure is a cousin of fear of commitment. Many of us fear put­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ting words to  paper because we feel that we are inadequate writers and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5"/>
        </w:rPr>
        <w:t>that</w:t>
      </w:r>
      <w:r>
        <w:rPr>
          <w:color w:val="3A3838"/>
          <w:spacing w:val="-13"/>
          <w:w w:val="115"/>
        </w:rPr>
        <w:t> </w:t>
      </w:r>
      <w:r>
        <w:rPr>
          <w:color w:val="3A3838"/>
          <w:spacing w:val="-1"/>
          <w:w w:val="115"/>
        </w:rPr>
        <w:t>we</w:t>
      </w:r>
      <w:r>
        <w:rPr>
          <w:color w:val="3A3838"/>
          <w:spacing w:val="-39"/>
          <w:w w:val="115"/>
        </w:rPr>
        <w:t> </w:t>
      </w:r>
      <w:r>
        <w:rPr>
          <w:color w:val="3A3838"/>
          <w:spacing w:val="-1"/>
          <w:w w:val="115"/>
        </w:rPr>
        <w:t>can</w:t>
      </w:r>
      <w:r>
        <w:rPr>
          <w:color w:val="3A3838"/>
          <w:spacing w:val="16"/>
          <w:w w:val="115"/>
        </w:rPr>
        <w:t> </w:t>
      </w:r>
      <w:r>
        <w:rPr>
          <w:color w:val="3A3838"/>
          <w:spacing w:val="-1"/>
          <w:w w:val="115"/>
        </w:rPr>
        <w:t>never</w:t>
      </w:r>
      <w:r>
        <w:rPr>
          <w:color w:val="3A3838"/>
          <w:spacing w:val="-19"/>
          <w:w w:val="115"/>
        </w:rPr>
        <w:t> </w:t>
      </w:r>
      <w:r>
        <w:rPr>
          <w:color w:val="3A3838"/>
          <w:spacing w:val="-1"/>
          <w:w w:val="115"/>
        </w:rPr>
        <w:t>write</w:t>
      </w:r>
      <w:r>
        <w:rPr>
          <w:color w:val="3A3838"/>
          <w:spacing w:val="-26"/>
          <w:w w:val="115"/>
        </w:rPr>
        <w:t> </w:t>
      </w:r>
      <w:r>
        <w:rPr>
          <w:color w:val="3A3838"/>
          <w:spacing w:val="-1"/>
          <w:w w:val="115"/>
        </w:rPr>
        <w:t>anything</w:t>
      </w:r>
      <w:r>
        <w:rPr>
          <w:color w:val="3A3838"/>
          <w:spacing w:val="-11"/>
          <w:w w:val="115"/>
        </w:rPr>
        <w:t> </w:t>
      </w:r>
      <w:r>
        <w:rPr>
          <w:color w:val="3A3838"/>
          <w:w w:val="115"/>
        </w:rPr>
        <w:t>that</w:t>
      </w:r>
      <w:r>
        <w:rPr>
          <w:color w:val="3A3838"/>
          <w:spacing w:val="-17"/>
          <w:w w:val="115"/>
        </w:rPr>
        <w:t> </w:t>
      </w:r>
      <w:r>
        <w:rPr>
          <w:color w:val="3A3838"/>
          <w:w w:val="115"/>
        </w:rPr>
        <w:t>is</w:t>
      </w:r>
      <w:r>
        <w:rPr>
          <w:color w:val="3A3838"/>
          <w:spacing w:val="-40"/>
          <w:w w:val="115"/>
        </w:rPr>
        <w:t> </w:t>
      </w:r>
      <w:r>
        <w:rPr>
          <w:color w:val="3A3838"/>
          <w:w w:val="115"/>
        </w:rPr>
        <w:t>worthy</w:t>
      </w:r>
      <w:r>
        <w:rPr>
          <w:color w:val="3A3838"/>
          <w:spacing w:val="-16"/>
          <w:w w:val="115"/>
        </w:rPr>
        <w:t> </w:t>
      </w:r>
      <w:r>
        <w:rPr>
          <w:color w:val="3A3838"/>
          <w:w w:val="115"/>
        </w:rPr>
        <w:t>of</w:t>
      </w:r>
      <w:r>
        <w:rPr>
          <w:color w:val="3A3838"/>
          <w:spacing w:val="8"/>
          <w:w w:val="115"/>
        </w:rPr>
        <w:t> </w:t>
      </w:r>
      <w:r>
        <w:rPr>
          <w:color w:val="3A3838"/>
          <w:w w:val="115"/>
        </w:rPr>
        <w:t>turning</w:t>
      </w:r>
      <w:r>
        <w:rPr>
          <w:color w:val="3A3838"/>
          <w:spacing w:val="-16"/>
          <w:w w:val="115"/>
        </w:rPr>
        <w:t> </w:t>
      </w:r>
      <w:r>
        <w:rPr>
          <w:color w:val="3A3838"/>
          <w:w w:val="115"/>
        </w:rPr>
        <w:t>in</w:t>
      </w:r>
      <w:r>
        <w:rPr>
          <w:color w:val="3A3838"/>
          <w:spacing w:val="-5"/>
          <w:w w:val="115"/>
        </w:rPr>
        <w:t> </w:t>
      </w:r>
      <w:r>
        <w:rPr>
          <w:color w:val="3A3838"/>
          <w:w w:val="115"/>
        </w:rPr>
        <w:t>to</w:t>
      </w:r>
      <w:r>
        <w:rPr>
          <w:color w:val="3A3838"/>
          <w:spacing w:val="-7"/>
          <w:w w:val="115"/>
        </w:rPr>
        <w:t> </w:t>
      </w:r>
      <w:r>
        <w:rPr>
          <w:color w:val="3A3838"/>
          <w:w w:val="115"/>
        </w:rPr>
        <w:t>a</w:t>
      </w:r>
      <w:r>
        <w:rPr>
          <w:color w:val="3A3838"/>
          <w:spacing w:val="-18"/>
          <w:w w:val="115"/>
        </w:rPr>
        <w:t> </w:t>
      </w:r>
      <w:r>
        <w:rPr>
          <w:color w:val="3A3838"/>
          <w:w w:val="115"/>
        </w:rPr>
        <w:t>teacher,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supervisor, or judge.</w:t>
      </w:r>
      <w:r>
        <w:rPr>
          <w:rFonts w:ascii="Arial" w:hAnsi="Arial"/>
          <w:color w:val="3A3838"/>
          <w:w w:val="115"/>
          <w:position w:val="10"/>
          <w:sz w:val="12"/>
        </w:rPr>
        <w:t>20 </w:t>
      </w:r>
      <w:r>
        <w:rPr>
          <w:color w:val="3A3838"/>
          <w:w w:val="115"/>
        </w:rPr>
        <w:t>By putting off writing, we postpone the moment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that others discover that we have been faking out  people all along, 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that we are not the good students or effective lawyers that people may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think that weare. Conversely, if we fail because we did not try, we may be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able to console ourselves that we </w:t>
      </w:r>
      <w:r>
        <w:rPr>
          <w:color w:val="2A2828"/>
          <w:w w:val="110"/>
        </w:rPr>
        <w:t>have </w:t>
      </w:r>
      <w:r>
        <w:rPr>
          <w:color w:val="3A3838"/>
          <w:w w:val="110"/>
        </w:rPr>
        <w:t>controlled the circumstances </w:t>
      </w:r>
      <w:r>
        <w:rPr>
          <w:color w:val="2A2828"/>
          <w:w w:val="110"/>
        </w:rPr>
        <w:t>under</w:t>
      </w:r>
      <w:r>
        <w:rPr>
          <w:color w:val="2A2828"/>
          <w:spacing w:val="1"/>
          <w:w w:val="110"/>
        </w:rPr>
        <w:t> </w:t>
      </w:r>
      <w:r>
        <w:rPr>
          <w:color w:val="3A3838"/>
          <w:w w:val="115"/>
        </w:rPr>
        <w:t>which we failed, and convince ourselves that we had the ability to suc­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ceed, if only we had tried. The procrastinating behavior thus allows us to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maintain</w:t>
      </w:r>
      <w:r>
        <w:rPr>
          <w:color w:val="3A3838"/>
          <w:spacing w:val="-2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6"/>
          <w:w w:val="110"/>
        </w:rPr>
        <w:t> </w:t>
      </w:r>
      <w:r>
        <w:rPr>
          <w:color w:val="3A3838"/>
          <w:w w:val="110"/>
        </w:rPr>
        <w:t>(tenuous)</w:t>
      </w:r>
      <w:r>
        <w:rPr>
          <w:color w:val="3A3838"/>
          <w:spacing w:val="12"/>
          <w:w w:val="110"/>
        </w:rPr>
        <w:t> </w:t>
      </w:r>
      <w:r>
        <w:rPr>
          <w:color w:val="3A3838"/>
          <w:w w:val="110"/>
        </w:rPr>
        <w:t>hold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on</w:t>
      </w:r>
      <w:r>
        <w:rPr>
          <w:color w:val="3A3838"/>
          <w:spacing w:val="7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-2"/>
          <w:w w:val="110"/>
        </w:rPr>
        <w:t> </w:t>
      </w:r>
      <w:r>
        <w:rPr>
          <w:color w:val="3A3838"/>
          <w:w w:val="110"/>
        </w:rPr>
        <w:t>superior</w:t>
      </w:r>
      <w:r>
        <w:rPr>
          <w:color w:val="3A3838"/>
          <w:spacing w:val="-14"/>
          <w:w w:val="110"/>
        </w:rPr>
        <w:t> </w:t>
      </w:r>
      <w:r>
        <w:rPr>
          <w:color w:val="3A3838"/>
          <w:w w:val="110"/>
        </w:rPr>
        <w:t>self-image.</w:t>
      </w:r>
    </w:p>
    <w:p>
      <w:pPr>
        <w:pStyle w:val="BodyText"/>
        <w:spacing w:line="235" w:lineRule="auto"/>
        <w:ind w:left="113" w:right="230" w:firstLine="359"/>
        <w:jc w:val="both"/>
      </w:pPr>
      <w:r>
        <w:rPr>
          <w:color w:val="3A3838"/>
          <w:w w:val="110"/>
        </w:rPr>
        <w:t>Another irrational fear may </w:t>
      </w:r>
      <w:r>
        <w:rPr>
          <w:color w:val="2A2828"/>
          <w:w w:val="110"/>
        </w:rPr>
        <w:t>lurk </w:t>
      </w:r>
      <w:r>
        <w:rPr>
          <w:color w:val="3A3838"/>
          <w:w w:val="110"/>
        </w:rPr>
        <w:t>behind the fear of failure. </w:t>
      </w:r>
      <w:r>
        <w:rPr>
          <w:color w:val="3A3838"/>
          <w:w w:val="110"/>
          <w:sz w:val="22"/>
        </w:rPr>
        <w:t>If </w:t>
      </w:r>
      <w:r>
        <w:rPr>
          <w:color w:val="3A3838"/>
          <w:w w:val="110"/>
        </w:rPr>
        <w:t>we fear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that we are unable to </w:t>
      </w:r>
      <w:r>
        <w:rPr>
          <w:i/>
          <w:color w:val="3A3838"/>
          <w:w w:val="110"/>
        </w:rPr>
        <w:t>learn, </w:t>
      </w:r>
      <w:r>
        <w:rPr>
          <w:color w:val="3A3838"/>
          <w:w w:val="110"/>
        </w:rPr>
        <w:t>failure on an early draft means that wewill </w:t>
      </w:r>
      <w:r>
        <w:rPr>
          <w:color w:val="3A3838"/>
          <w:w w:val="110"/>
          <w:sz w:val="22"/>
        </w:rPr>
        <w:t>fail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10"/>
        </w:rPr>
        <w:t>on the final draft as well. For if we  are  unable to learn, there is nothing</w:t>
      </w:r>
      <w:r>
        <w:rPr>
          <w:color w:val="3A3838"/>
          <w:spacing w:val="1"/>
          <w:w w:val="110"/>
        </w:rPr>
        <w:t> </w:t>
      </w:r>
      <w:r>
        <w:rPr>
          <w:color w:val="2A2828"/>
          <w:w w:val="110"/>
        </w:rPr>
        <w:t>that </w:t>
      </w:r>
      <w:r>
        <w:rPr>
          <w:color w:val="3A3838"/>
          <w:w w:val="110"/>
        </w:rPr>
        <w:t>a teacher or </w:t>
      </w:r>
      <w:r>
        <w:rPr>
          <w:color w:val="4B4B4B"/>
          <w:w w:val="110"/>
        </w:rPr>
        <w:t>supervisor can </w:t>
      </w:r>
      <w:r>
        <w:rPr>
          <w:color w:val="3A3838"/>
          <w:w w:val="110"/>
        </w:rPr>
        <w:t>do to help </w:t>
      </w:r>
      <w:r>
        <w:rPr>
          <w:color w:val="2A2828"/>
          <w:w w:val="110"/>
        </w:rPr>
        <w:t>us </w:t>
      </w:r>
      <w:r>
        <w:rPr>
          <w:color w:val="3A3838"/>
          <w:w w:val="110"/>
        </w:rPr>
        <w:t>to improve that "failed" first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attempt, and so the bad first draft means that wearedoomed to a bad final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draft. Carol Dweck, a Stanford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psychologist, describes people who believe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they cannot </w:t>
      </w:r>
      <w:r>
        <w:rPr>
          <w:color w:val="2A2828"/>
          <w:w w:val="110"/>
        </w:rPr>
        <w:t>learn </w:t>
      </w:r>
      <w:r>
        <w:rPr>
          <w:color w:val="3A3838"/>
          <w:w w:val="110"/>
        </w:rPr>
        <w:t>as having a "fixed mindset."</w:t>
      </w:r>
      <w:r>
        <w:rPr>
          <w:color w:val="3A3838"/>
          <w:w w:val="110"/>
          <w:vertAlign w:val="superscript"/>
        </w:rPr>
        <w:t>21</w:t>
      </w:r>
      <w:r>
        <w:rPr>
          <w:color w:val="3A3838"/>
          <w:w w:val="110"/>
          <w:vertAlign w:val="baseline"/>
        </w:rPr>
        <w:t> These people believe that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intelligence is fixed and limited, and </w:t>
      </w:r>
      <w:r>
        <w:rPr>
          <w:color w:val="2A2828"/>
          <w:w w:val="110"/>
          <w:vertAlign w:val="baseline"/>
        </w:rPr>
        <w:t>if </w:t>
      </w:r>
      <w:r>
        <w:rPr>
          <w:color w:val="4B4B4B"/>
          <w:w w:val="110"/>
          <w:vertAlign w:val="baseline"/>
        </w:rPr>
        <w:t>you</w:t>
      </w:r>
      <w:r>
        <w:rPr>
          <w:color w:val="4B4B4B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can't pick up knowledge or a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4B4B4B"/>
          <w:w w:val="110"/>
          <w:vertAlign w:val="baseline"/>
        </w:rPr>
        <w:t>ski</w:t>
      </w:r>
      <w:r>
        <w:rPr>
          <w:color w:val="2A2828"/>
          <w:w w:val="110"/>
          <w:vertAlign w:val="baseline"/>
        </w:rPr>
        <w:t>ll </w:t>
      </w:r>
      <w:r>
        <w:rPr>
          <w:color w:val="3A3838"/>
          <w:w w:val="110"/>
          <w:vertAlign w:val="baseline"/>
        </w:rPr>
        <w:t>immediately, you will never be able to do so. Those with a "growth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mindset," in  contrast, understand  that intelligence  is malleable and  that,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sz w:val="22"/>
          <w:vertAlign w:val="baseline"/>
        </w:rPr>
        <w:t>if </w:t>
      </w:r>
      <w:r>
        <w:rPr>
          <w:color w:val="3A3838"/>
          <w:w w:val="110"/>
          <w:vertAlign w:val="baseline"/>
        </w:rPr>
        <w:t>they work at it, they can increase their intelligence and </w:t>
      </w:r>
      <w:r>
        <w:rPr>
          <w:color w:val="2A2828"/>
          <w:w w:val="110"/>
          <w:vertAlign w:val="baseline"/>
        </w:rPr>
        <w:t>learn </w:t>
      </w:r>
      <w:r>
        <w:rPr>
          <w:color w:val="3A3838"/>
          <w:w w:val="110"/>
          <w:vertAlign w:val="baseline"/>
        </w:rPr>
        <w:t>new skills.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Sadly, those with a fixed mindset are often </w:t>
      </w:r>
      <w:r>
        <w:rPr>
          <w:color w:val="2A2828"/>
          <w:w w:val="110"/>
          <w:vertAlign w:val="baseline"/>
        </w:rPr>
        <w:t>resistant </w:t>
      </w:r>
      <w:r>
        <w:rPr>
          <w:color w:val="3A3838"/>
          <w:w w:val="110"/>
          <w:vertAlign w:val="baseline"/>
        </w:rPr>
        <w:t>to guidance that will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help them to </w:t>
      </w:r>
      <w:r>
        <w:rPr>
          <w:color w:val="2A2828"/>
          <w:w w:val="110"/>
          <w:vertAlign w:val="baseline"/>
        </w:rPr>
        <w:t>learn, </w:t>
      </w:r>
      <w:r>
        <w:rPr>
          <w:color w:val="3A3838"/>
          <w:w w:val="110"/>
          <w:vertAlign w:val="baseline"/>
        </w:rPr>
        <w:t>because they believe that such learning is impossible.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Happily, however, you can overcome the fear of being </w:t>
      </w:r>
      <w:r>
        <w:rPr>
          <w:color w:val="2A2828"/>
          <w:w w:val="110"/>
          <w:vertAlign w:val="baseline"/>
        </w:rPr>
        <w:t>unable </w:t>
      </w:r>
      <w:r>
        <w:rPr>
          <w:color w:val="3A3838"/>
          <w:w w:val="110"/>
          <w:vertAlign w:val="baseline"/>
        </w:rPr>
        <w:t>to learn.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Having</w:t>
      </w:r>
      <w:r>
        <w:rPr>
          <w:color w:val="3A3838"/>
          <w:spacing w:val="-8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</w:t>
      </w:r>
      <w:r>
        <w:rPr>
          <w:color w:val="3A3838"/>
          <w:spacing w:val="10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fixed</w:t>
      </w:r>
      <w:r>
        <w:rPr>
          <w:color w:val="3A3838"/>
          <w:spacing w:val="17"/>
          <w:w w:val="110"/>
          <w:vertAlign w:val="baseline"/>
        </w:rPr>
        <w:t> </w:t>
      </w:r>
      <w:r>
        <w:rPr>
          <w:color w:val="4B4B4B"/>
          <w:w w:val="110"/>
          <w:vertAlign w:val="baseline"/>
        </w:rPr>
        <w:t>mindset</w:t>
      </w:r>
      <w:r>
        <w:rPr>
          <w:color w:val="4B4B4B"/>
          <w:spacing w:val="10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is</w:t>
      </w:r>
      <w:r>
        <w:rPr>
          <w:color w:val="3A3838"/>
          <w:spacing w:val="6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not</w:t>
      </w:r>
      <w:r>
        <w:rPr>
          <w:color w:val="3A3838"/>
          <w:spacing w:val="18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</w:t>
      </w:r>
      <w:r>
        <w:rPr>
          <w:color w:val="3A3838"/>
          <w:spacing w:val="1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fixed</w:t>
      </w:r>
      <w:r>
        <w:rPr>
          <w:color w:val="3A3838"/>
          <w:spacing w:val="-4"/>
          <w:w w:val="110"/>
          <w:vertAlign w:val="baseline"/>
        </w:rPr>
        <w:t> </w:t>
      </w:r>
      <w:r>
        <w:rPr>
          <w:color w:val="4B4B4B"/>
          <w:w w:val="110"/>
          <w:vertAlign w:val="baseline"/>
        </w:rPr>
        <w:t>state</w:t>
      </w:r>
      <w:r>
        <w:rPr>
          <w:color w:val="4B4B4B"/>
          <w:spacing w:val="-1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of</w:t>
      </w:r>
      <w:r>
        <w:rPr>
          <w:color w:val="3A3838"/>
          <w:spacing w:val="13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being;</w:t>
      </w:r>
      <w:r>
        <w:rPr>
          <w:color w:val="3A3838"/>
          <w:spacing w:val="-8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you</w:t>
      </w:r>
      <w:r>
        <w:rPr>
          <w:color w:val="3A3838"/>
          <w:spacing w:val="7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can</w:t>
      </w:r>
      <w:r>
        <w:rPr>
          <w:color w:val="3A3838"/>
          <w:spacing w:val="6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learn</w:t>
      </w:r>
      <w:r>
        <w:rPr>
          <w:color w:val="3A3838"/>
          <w:spacing w:val="6"/>
          <w:w w:val="110"/>
          <w:vertAlign w:val="baseline"/>
        </w:rPr>
        <w:t> </w:t>
      </w:r>
      <w:r>
        <w:rPr>
          <w:color w:val="2A2828"/>
          <w:w w:val="110"/>
          <w:vertAlign w:val="baseline"/>
        </w:rPr>
        <w:t>to</w:t>
      </w:r>
      <w:r>
        <w:rPr>
          <w:color w:val="2A2828"/>
          <w:spacing w:val="18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have</w:t>
      </w:r>
      <w:r>
        <w:rPr>
          <w:color w:val="3A3838"/>
          <w:spacing w:val="-6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</w:t>
      </w:r>
      <w:r>
        <w:rPr>
          <w:color w:val="3A3838"/>
          <w:spacing w:val="-24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growth</w:t>
      </w:r>
      <w:r>
        <w:rPr>
          <w:color w:val="3A3838"/>
          <w:spacing w:val="3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mindset.</w:t>
      </w:r>
    </w:p>
    <w:p>
      <w:pPr>
        <w:pStyle w:val="BodyText"/>
        <w:spacing w:line="232" w:lineRule="auto"/>
        <w:ind w:left="125" w:right="193" w:firstLine="351"/>
        <w:jc w:val="both"/>
      </w:pPr>
      <w:r>
        <w:rPr>
          <w:color w:val="3A3838"/>
          <w:w w:val="110"/>
        </w:rPr>
        <w:t>To move to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  growth mindset,  realize that if  you 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were smart enough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to get into law school (or smart  enough  to  graduate from  law school),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you are smart enough to </w:t>
      </w:r>
      <w:r>
        <w:rPr>
          <w:color w:val="2A2828"/>
          <w:w w:val="110"/>
        </w:rPr>
        <w:t>learn </w:t>
      </w:r>
      <w:r>
        <w:rPr>
          <w:color w:val="3A3838"/>
          <w:w w:val="110"/>
        </w:rPr>
        <w:t>to write, and to learn how to analyze even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sophisticated  </w:t>
      </w:r>
      <w:r>
        <w:rPr>
          <w:color w:val="2A2828"/>
          <w:w w:val="110"/>
        </w:rPr>
        <w:t>legal </w:t>
      </w:r>
      <w:r>
        <w:rPr>
          <w:color w:val="3A3838"/>
          <w:w w:val="110"/>
        </w:rPr>
        <w:t>issues. You can  trust me on  this; </w:t>
      </w:r>
      <w:r>
        <w:rPr>
          <w:color w:val="2A2828"/>
          <w:w w:val="110"/>
        </w:rPr>
        <w:t>I </w:t>
      </w:r>
      <w:r>
        <w:rPr>
          <w:color w:val="3A3838"/>
          <w:w w:val="110"/>
        </w:rPr>
        <w:t>have been teach­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ing</w:t>
      </w:r>
      <w:r>
        <w:rPr>
          <w:color w:val="3A3838"/>
          <w:spacing w:val="-2"/>
          <w:w w:val="110"/>
        </w:rPr>
        <w:t> </w:t>
      </w:r>
      <w:r>
        <w:rPr>
          <w:color w:val="3A3838"/>
          <w:w w:val="110"/>
        </w:rPr>
        <w:t>for</w:t>
      </w:r>
      <w:r>
        <w:rPr>
          <w:color w:val="3A3838"/>
          <w:spacing w:val="14"/>
          <w:w w:val="110"/>
        </w:rPr>
        <w:t> </w:t>
      </w:r>
      <w:r>
        <w:rPr>
          <w:color w:val="3A3838"/>
          <w:w w:val="110"/>
        </w:rPr>
        <w:t>30</w:t>
      </w:r>
      <w:r>
        <w:rPr>
          <w:color w:val="3A3838"/>
          <w:spacing w:val="17"/>
          <w:w w:val="110"/>
        </w:rPr>
        <w:t> </w:t>
      </w:r>
      <w:r>
        <w:rPr>
          <w:color w:val="3A3838"/>
          <w:w w:val="110"/>
        </w:rPr>
        <w:t>years,</w:t>
      </w:r>
      <w:r>
        <w:rPr>
          <w:color w:val="3A3838"/>
          <w:spacing w:val="15"/>
          <w:w w:val="110"/>
        </w:rPr>
        <w:t> </w:t>
      </w:r>
      <w:r>
        <w:rPr>
          <w:color w:val="3A3838"/>
          <w:w w:val="110"/>
        </w:rPr>
        <w:t>and</w:t>
      </w:r>
      <w:r>
        <w:rPr>
          <w:color w:val="3A3838"/>
          <w:spacing w:val="8"/>
          <w:w w:val="110"/>
        </w:rPr>
        <w:t> </w:t>
      </w:r>
      <w:r>
        <w:rPr>
          <w:color w:val="2A2828"/>
          <w:w w:val="110"/>
        </w:rPr>
        <w:t>I</w:t>
      </w:r>
      <w:r>
        <w:rPr>
          <w:color w:val="2A2828"/>
          <w:spacing w:val="22"/>
          <w:w w:val="110"/>
        </w:rPr>
        <w:t> </w:t>
      </w:r>
      <w:r>
        <w:rPr>
          <w:color w:val="3A3838"/>
          <w:w w:val="110"/>
        </w:rPr>
        <w:t>have</w:t>
      </w:r>
      <w:r>
        <w:rPr>
          <w:color w:val="3A3838"/>
          <w:spacing w:val="5"/>
          <w:w w:val="110"/>
        </w:rPr>
        <w:t> </w:t>
      </w:r>
      <w:r>
        <w:rPr>
          <w:color w:val="3A3838"/>
          <w:w w:val="110"/>
        </w:rPr>
        <w:t>seen</w:t>
      </w:r>
      <w:r>
        <w:rPr>
          <w:color w:val="3A3838"/>
          <w:spacing w:val="12"/>
          <w:w w:val="110"/>
        </w:rPr>
        <w:t> </w:t>
      </w:r>
      <w:r>
        <w:rPr>
          <w:color w:val="3A3838"/>
          <w:w w:val="110"/>
        </w:rPr>
        <w:t>students</w:t>
      </w:r>
      <w:r>
        <w:rPr>
          <w:color w:val="3A3838"/>
          <w:spacing w:val="49"/>
          <w:w w:val="110"/>
        </w:rPr>
        <w:t> </w:t>
      </w:r>
      <w:r>
        <w:rPr>
          <w:color w:val="3A3838"/>
          <w:w w:val="110"/>
        </w:rPr>
        <w:t>just</w:t>
      </w:r>
      <w:r>
        <w:rPr>
          <w:color w:val="3A3838"/>
          <w:spacing w:val="18"/>
          <w:w w:val="110"/>
        </w:rPr>
        <w:t> </w:t>
      </w:r>
      <w:r>
        <w:rPr>
          <w:color w:val="3A3838"/>
          <w:w w:val="110"/>
        </w:rPr>
        <w:t>like</w:t>
      </w:r>
      <w:r>
        <w:rPr>
          <w:color w:val="3A3838"/>
          <w:spacing w:val="5"/>
          <w:w w:val="110"/>
        </w:rPr>
        <w:t> </w:t>
      </w:r>
      <w:r>
        <w:rPr>
          <w:color w:val="3A3838"/>
          <w:w w:val="110"/>
        </w:rPr>
        <w:t>you</w:t>
      </w:r>
      <w:r>
        <w:rPr>
          <w:color w:val="3A3838"/>
          <w:spacing w:val="32"/>
          <w:w w:val="110"/>
        </w:rPr>
        <w:t> </w:t>
      </w:r>
      <w:r>
        <w:rPr>
          <w:color w:val="3A3838"/>
          <w:w w:val="110"/>
        </w:rPr>
        <w:t>accomplish</w:t>
      </w:r>
      <w:r>
        <w:rPr>
          <w:color w:val="3A3838"/>
          <w:spacing w:val="32"/>
          <w:w w:val="110"/>
        </w:rPr>
        <w:t> </w:t>
      </w:r>
      <w:r>
        <w:rPr>
          <w:color w:val="3A3838"/>
          <w:w w:val="110"/>
        </w:rPr>
        <w:t>these</w:t>
      </w:r>
    </w:p>
    <w:p>
      <w:pPr>
        <w:pStyle w:val="BodyText"/>
        <w:spacing w:line="230" w:lineRule="auto"/>
        <w:ind w:left="129" w:right="151" w:firstLine="1"/>
        <w:jc w:val="both"/>
      </w:pPr>
      <w:r>
        <w:rPr>
          <w:color w:val="3A3838"/>
          <w:w w:val="115"/>
        </w:rPr>
        <w:t>goals. But they didn't do it all on the first day, or on the first draft. The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20"/>
        </w:rPr>
        <w:t>ones who made the most improvement tried hard on every draft, and</w:t>
      </w:r>
      <w:r>
        <w:rPr>
          <w:color w:val="3A3838"/>
          <w:spacing w:val="1"/>
          <w:w w:val="120"/>
        </w:rPr>
        <w:t> </w:t>
      </w:r>
      <w:r>
        <w:rPr>
          <w:color w:val="3A3838"/>
          <w:w w:val="110"/>
        </w:rPr>
        <w:t>they saw critiques not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as insults, but as opportunities. They focused  more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on</w:t>
      </w:r>
      <w:r>
        <w:rPr>
          <w:color w:val="3A3838"/>
          <w:spacing w:val="-9"/>
          <w:w w:val="115"/>
        </w:rPr>
        <w:t> </w:t>
      </w:r>
      <w:r>
        <w:rPr>
          <w:color w:val="3A3838"/>
          <w:w w:val="115"/>
        </w:rPr>
        <w:t>learning</w:t>
      </w:r>
      <w:r>
        <w:rPr>
          <w:color w:val="3A3838"/>
          <w:spacing w:val="12"/>
          <w:w w:val="115"/>
        </w:rPr>
        <w:t> </w:t>
      </w:r>
      <w:r>
        <w:rPr>
          <w:color w:val="3A3838"/>
          <w:w w:val="115"/>
        </w:rPr>
        <w:t>the</w:t>
      </w:r>
      <w:r>
        <w:rPr>
          <w:color w:val="3A3838"/>
          <w:spacing w:val="27"/>
          <w:w w:val="115"/>
        </w:rPr>
        <w:t> </w:t>
      </w:r>
      <w:r>
        <w:rPr>
          <w:color w:val="3A3838"/>
          <w:w w:val="115"/>
        </w:rPr>
        <w:t>skills</w:t>
      </w:r>
      <w:r>
        <w:rPr>
          <w:color w:val="3A3838"/>
          <w:spacing w:val="12"/>
          <w:w w:val="115"/>
        </w:rPr>
        <w:t> </w:t>
      </w:r>
      <w:r>
        <w:rPr>
          <w:color w:val="3A3838"/>
          <w:w w:val="115"/>
        </w:rPr>
        <w:t>than</w:t>
      </w:r>
      <w:r>
        <w:rPr>
          <w:color w:val="3A3838"/>
          <w:spacing w:val="11"/>
          <w:w w:val="115"/>
        </w:rPr>
        <w:t> </w:t>
      </w:r>
      <w:r>
        <w:rPr>
          <w:color w:val="3A3838"/>
          <w:w w:val="115"/>
        </w:rPr>
        <w:t>on</w:t>
      </w:r>
      <w:r>
        <w:rPr>
          <w:color w:val="3A3838"/>
          <w:spacing w:val="15"/>
          <w:w w:val="115"/>
        </w:rPr>
        <w:t> </w:t>
      </w:r>
      <w:r>
        <w:rPr>
          <w:color w:val="3A3838"/>
          <w:w w:val="115"/>
        </w:rPr>
        <w:t>the</w:t>
      </w:r>
      <w:r>
        <w:rPr>
          <w:color w:val="3A3838"/>
          <w:spacing w:val="10"/>
          <w:w w:val="115"/>
        </w:rPr>
        <w:t> </w:t>
      </w:r>
      <w:r>
        <w:rPr>
          <w:color w:val="3A3838"/>
          <w:w w:val="115"/>
        </w:rPr>
        <w:t>grade</w:t>
      </w:r>
      <w:r>
        <w:rPr>
          <w:color w:val="3A3838"/>
          <w:spacing w:val="13"/>
          <w:w w:val="115"/>
        </w:rPr>
        <w:t> </w:t>
      </w:r>
      <w:r>
        <w:rPr>
          <w:color w:val="3A3838"/>
          <w:w w:val="115"/>
        </w:rPr>
        <w:t>they</w:t>
      </w:r>
      <w:r>
        <w:rPr>
          <w:color w:val="3A3838"/>
          <w:spacing w:val="7"/>
          <w:w w:val="115"/>
        </w:rPr>
        <w:t> </w:t>
      </w:r>
      <w:r>
        <w:rPr>
          <w:color w:val="3A3838"/>
          <w:w w:val="115"/>
        </w:rPr>
        <w:t>would</w:t>
      </w:r>
      <w:r>
        <w:rPr>
          <w:color w:val="3A3838"/>
          <w:spacing w:val="16"/>
          <w:w w:val="115"/>
        </w:rPr>
        <w:t> </w:t>
      </w:r>
      <w:r>
        <w:rPr>
          <w:color w:val="3A3838"/>
          <w:w w:val="115"/>
        </w:rPr>
        <w:t>earn.</w:t>
      </w:r>
      <w:r>
        <w:rPr>
          <w:color w:val="3A3838"/>
          <w:spacing w:val="-16"/>
          <w:w w:val="115"/>
        </w:rPr>
        <w:t> </w:t>
      </w:r>
      <w:r>
        <w:rPr>
          <w:color w:val="3A3838"/>
          <w:w w:val="115"/>
        </w:rPr>
        <w:t>The best</w:t>
      </w:r>
      <w:r>
        <w:rPr>
          <w:color w:val="3A3838"/>
          <w:spacing w:val="21"/>
          <w:w w:val="115"/>
        </w:rPr>
        <w:t> </w:t>
      </w:r>
      <w:r>
        <w:rPr>
          <w:color w:val="3A3838"/>
          <w:w w:val="115"/>
        </w:rPr>
        <w:t>tonic</w:t>
      </w:r>
    </w:p>
    <w:p>
      <w:pPr>
        <w:pStyle w:val="BodyText"/>
        <w:spacing w:before="8"/>
        <w:rPr>
          <w:sz w:val="28"/>
        </w:rPr>
      </w:pPr>
    </w:p>
    <w:p>
      <w:pPr>
        <w:spacing w:line="205" w:lineRule="exact" w:before="1"/>
        <w:ind w:left="479" w:right="0" w:firstLine="0"/>
        <w:jc w:val="both"/>
        <w:rPr>
          <w:sz w:val="18"/>
        </w:rPr>
      </w:pPr>
      <w:r>
        <w:rPr>
          <w:rFonts w:ascii="Arial" w:hAnsi="Arial"/>
          <w:i/>
          <w:color w:val="3A3838"/>
          <w:sz w:val="16"/>
        </w:rPr>
        <w:t>11l£.g.,</w:t>
      </w:r>
      <w:r>
        <w:rPr>
          <w:rFonts w:ascii="Arial" w:hAnsi="Arial"/>
          <w:i/>
          <w:color w:val="3A3838"/>
          <w:spacing w:val="9"/>
          <w:sz w:val="16"/>
        </w:rPr>
        <w:t> </w:t>
      </w:r>
      <w:r>
        <w:rPr>
          <w:color w:val="3A3838"/>
          <w:sz w:val="18"/>
        </w:rPr>
        <w:t>Rasch</w:t>
      </w:r>
      <w:r>
        <w:rPr>
          <w:color w:val="3A3838"/>
          <w:spacing w:val="9"/>
          <w:sz w:val="18"/>
        </w:rPr>
        <w:t> </w:t>
      </w:r>
      <w:r>
        <w:rPr>
          <w:color w:val="4B4B4B"/>
          <w:sz w:val="17"/>
        </w:rPr>
        <w:t>Sc</w:t>
      </w:r>
      <w:r>
        <w:rPr>
          <w:color w:val="4B4B4B"/>
          <w:spacing w:val="13"/>
          <w:sz w:val="17"/>
        </w:rPr>
        <w:t> </w:t>
      </w:r>
      <w:r>
        <w:rPr>
          <w:color w:val="3A3838"/>
          <w:sz w:val="18"/>
        </w:rPr>
        <w:t>Rasch</w:t>
      </w:r>
      <w:r>
        <w:rPr>
          <w:color w:val="5D5D5E"/>
          <w:sz w:val="18"/>
        </w:rPr>
        <w:t>,</w:t>
      </w:r>
      <w:r>
        <w:rPr>
          <w:color w:val="5D5D5E"/>
          <w:spacing w:val="10"/>
          <w:sz w:val="18"/>
        </w:rPr>
        <w:t> </w:t>
      </w:r>
      <w:r>
        <w:rPr>
          <w:i/>
          <w:color w:val="4B4B4B"/>
          <w:sz w:val="18"/>
        </w:rPr>
        <w:t>s11pm</w:t>
      </w:r>
      <w:r>
        <w:rPr>
          <w:i/>
          <w:color w:val="4B4B4B"/>
          <w:spacing w:val="16"/>
          <w:sz w:val="18"/>
        </w:rPr>
        <w:t> </w:t>
      </w:r>
      <w:r>
        <w:rPr>
          <w:color w:val="3A3838"/>
          <w:sz w:val="18"/>
        </w:rPr>
        <w:t>note</w:t>
      </w:r>
      <w:r>
        <w:rPr>
          <w:color w:val="3A3838"/>
          <w:spacing w:val="-11"/>
          <w:sz w:val="18"/>
        </w:rPr>
        <w:t> </w:t>
      </w:r>
      <w:r>
        <w:rPr>
          <w:color w:val="3A3838"/>
          <w:sz w:val="18"/>
        </w:rPr>
        <w:t>18,</w:t>
      </w:r>
      <w:r>
        <w:rPr>
          <w:color w:val="3A3838"/>
          <w:spacing w:val="-11"/>
          <w:sz w:val="18"/>
        </w:rPr>
        <w:t> </w:t>
      </w:r>
      <w:r>
        <w:rPr>
          <w:color w:val="4B4B4B"/>
          <w:sz w:val="18"/>
        </w:rPr>
        <w:t>at</w:t>
      </w:r>
      <w:r>
        <w:rPr>
          <w:color w:val="4B4B4B"/>
          <w:spacing w:val="9"/>
          <w:sz w:val="18"/>
        </w:rPr>
        <w:t> </w:t>
      </w:r>
      <w:r>
        <w:rPr>
          <w:color w:val="4B4B4B"/>
          <w:sz w:val="18"/>
        </w:rPr>
        <w:t>199,</w:t>
      </w:r>
      <w:r>
        <w:rPr>
          <w:color w:val="4B4B4B"/>
          <w:spacing w:val="-2"/>
          <w:sz w:val="18"/>
        </w:rPr>
        <w:t> </w:t>
      </w:r>
      <w:r>
        <w:rPr>
          <w:color w:val="3A3838"/>
          <w:sz w:val="18"/>
        </w:rPr>
        <w:t>207-08.</w:t>
      </w:r>
    </w:p>
    <w:p>
      <w:pPr>
        <w:spacing w:line="220" w:lineRule="auto" w:before="11"/>
        <w:ind w:left="139" w:right="116" w:firstLine="361"/>
        <w:jc w:val="both"/>
        <w:rPr>
          <w:sz w:val="19"/>
        </w:rPr>
      </w:pPr>
      <w:r>
        <w:rPr>
          <w:color w:val="3A3838"/>
          <w:position w:val="6"/>
          <w:sz w:val="11"/>
        </w:rPr>
        <w:t>21</w:t>
      </w:r>
      <w:r>
        <w:rPr>
          <w:color w:val="4B4B4B"/>
          <w:sz w:val="18"/>
        </w:rPr>
        <w:t>Carol </w:t>
      </w:r>
      <w:r>
        <w:rPr>
          <w:color w:val="3A3838"/>
          <w:sz w:val="18"/>
        </w:rPr>
        <w:t>S. </w:t>
      </w:r>
      <w:r>
        <w:rPr>
          <w:color w:val="4B4B4B"/>
          <w:sz w:val="18"/>
        </w:rPr>
        <w:t>Dweck,</w:t>
      </w:r>
      <w:r>
        <w:rPr>
          <w:color w:val="4B4B4B"/>
          <w:spacing w:val="45"/>
          <w:sz w:val="18"/>
        </w:rPr>
        <w:t> </w:t>
      </w:r>
      <w:r>
        <w:rPr>
          <w:i/>
          <w:color w:val="3A3838"/>
          <w:sz w:val="18"/>
        </w:rPr>
        <w:t>Mindset: T11e New Psychology of </w:t>
      </w:r>
      <w:r>
        <w:rPr>
          <w:i/>
          <w:color w:val="4B4B4B"/>
          <w:sz w:val="18"/>
        </w:rPr>
        <w:t>S11ccess </w:t>
      </w:r>
      <w:r>
        <w:rPr>
          <w:color w:val="3A3838"/>
          <w:sz w:val="18"/>
        </w:rPr>
        <w:t>11   </w:t>
      </w:r>
      <w:r>
        <w:rPr>
          <w:color w:val="4B4B4B"/>
          <w:sz w:val="18"/>
        </w:rPr>
        <w:t>(Ballantlne</w:t>
      </w:r>
      <w:r>
        <w:rPr>
          <w:color w:val="4B4B4B"/>
          <w:spacing w:val="45"/>
          <w:sz w:val="18"/>
        </w:rPr>
        <w:t> </w:t>
      </w:r>
      <w:r>
        <w:rPr>
          <w:color w:val="4B4B4B"/>
          <w:sz w:val="18"/>
        </w:rPr>
        <w:t>B</w:t>
      </w:r>
      <w:r>
        <w:rPr>
          <w:color w:val="2A2828"/>
          <w:sz w:val="18"/>
        </w:rPr>
        <w:t>ks</w:t>
      </w:r>
      <w:r>
        <w:rPr>
          <w:color w:val="5D5D5E"/>
          <w:sz w:val="18"/>
        </w:rPr>
        <w:t>. </w:t>
      </w:r>
      <w:r>
        <w:rPr>
          <w:color w:val="3A3838"/>
          <w:sz w:val="18"/>
        </w:rPr>
        <w:t>2006) </w:t>
      </w:r>
      <w:r>
        <w:rPr>
          <w:color w:val="4B4B4B"/>
          <w:sz w:val="18"/>
        </w:rPr>
        <w:t>(defining</w:t>
      </w:r>
      <w:r>
        <w:rPr>
          <w:color w:val="4B4B4B"/>
          <w:spacing w:val="1"/>
          <w:sz w:val="18"/>
        </w:rPr>
        <w:t> </w:t>
      </w:r>
      <w:r>
        <w:rPr>
          <w:color w:val="3A3838"/>
          <w:sz w:val="18"/>
        </w:rPr>
        <w:t>a fixed mindset) (cited In Carrie </w:t>
      </w:r>
      <w:r>
        <w:rPr>
          <w:color w:val="4B4B4B"/>
          <w:sz w:val="18"/>
        </w:rPr>
        <w:t>Spe</w:t>
      </w:r>
      <w:r>
        <w:rPr>
          <w:color w:val="2A2828"/>
          <w:sz w:val="18"/>
        </w:rPr>
        <w:t>rlin</w:t>
      </w:r>
      <w:r>
        <w:rPr>
          <w:color w:val="4B4B4B"/>
          <w:sz w:val="18"/>
        </w:rPr>
        <w:t>g </w:t>
      </w:r>
      <w:r>
        <w:rPr>
          <w:color w:val="4B4B4B"/>
          <w:sz w:val="16"/>
        </w:rPr>
        <w:t>&amp; </w:t>
      </w:r>
      <w:r>
        <w:rPr>
          <w:color w:val="3A3838"/>
          <w:sz w:val="18"/>
        </w:rPr>
        <w:t>Susan Shapcott</w:t>
      </w:r>
      <w:r>
        <w:rPr>
          <w:color w:val="5D5D5E"/>
          <w:sz w:val="18"/>
        </w:rPr>
        <w:t>, </w:t>
      </w:r>
      <w:r>
        <w:rPr>
          <w:i/>
          <w:color w:val="3A3838"/>
          <w:sz w:val="18"/>
        </w:rPr>
        <w:t>Fixing Stuc/ent.s'</w:t>
      </w:r>
      <w:r>
        <w:rPr>
          <w:i/>
          <w:color w:val="3A3838"/>
          <w:spacing w:val="45"/>
          <w:sz w:val="18"/>
        </w:rPr>
        <w:t> </w:t>
      </w:r>
      <w:r>
        <w:rPr>
          <w:i/>
          <w:color w:val="4B4B4B"/>
          <w:sz w:val="18"/>
        </w:rPr>
        <w:t>Fixed</w:t>
      </w:r>
      <w:r>
        <w:rPr>
          <w:i/>
          <w:color w:val="4B4B4B"/>
          <w:spacing w:val="45"/>
          <w:sz w:val="18"/>
        </w:rPr>
        <w:t> </w:t>
      </w:r>
      <w:r>
        <w:rPr>
          <w:i/>
          <w:color w:val="3A3838"/>
          <w:sz w:val="18"/>
        </w:rPr>
        <w:t>Mindsets: Pavirtg</w:t>
      </w:r>
      <w:r>
        <w:rPr>
          <w:i/>
          <w:color w:val="3A3838"/>
          <w:spacing w:val="1"/>
          <w:sz w:val="18"/>
        </w:rPr>
        <w:t> </w:t>
      </w:r>
      <w:r>
        <w:rPr>
          <w:i/>
          <w:color w:val="3A3838"/>
          <w:sz w:val="17"/>
        </w:rPr>
        <w:t>the </w:t>
      </w:r>
      <w:r>
        <w:rPr>
          <w:i/>
          <w:color w:val="3A3838"/>
          <w:sz w:val="18"/>
        </w:rPr>
        <w:t>Way for Me"11i11gful Assessment, </w:t>
      </w:r>
      <w:r>
        <w:rPr>
          <w:color w:val="4B4B4B"/>
          <w:sz w:val="18"/>
        </w:rPr>
        <w:t>18 </w:t>
      </w:r>
      <w:r>
        <w:rPr>
          <w:color w:val="3A3838"/>
          <w:sz w:val="18"/>
        </w:rPr>
        <w:t>Legal Writing:</w:t>
      </w:r>
      <w:r>
        <w:rPr>
          <w:color w:val="3A3838"/>
          <w:sz w:val="19"/>
        </w:rPr>
        <w:t>J. </w:t>
      </w:r>
      <w:r>
        <w:rPr>
          <w:color w:val="3A3838"/>
          <w:sz w:val="18"/>
        </w:rPr>
        <w:t>Legal Writing </w:t>
      </w:r>
      <w:r>
        <w:rPr>
          <w:color w:val="2A2828"/>
          <w:sz w:val="18"/>
        </w:rPr>
        <w:t>Ins</w:t>
      </w:r>
      <w:r>
        <w:rPr>
          <w:color w:val="4B4B4B"/>
          <w:sz w:val="18"/>
        </w:rPr>
        <w:t>t. </w:t>
      </w:r>
      <w:r>
        <w:rPr>
          <w:color w:val="3A3838"/>
          <w:sz w:val="18"/>
        </w:rPr>
        <w:t>39, 4S (2012</w:t>
      </w:r>
      <w:r>
        <w:rPr>
          <w:color w:val="5D5D5E"/>
          <w:sz w:val="18"/>
        </w:rPr>
        <w:t>)). </w:t>
      </w:r>
      <w:r>
        <w:rPr>
          <w:color w:val="3A3838"/>
          <w:sz w:val="18"/>
        </w:rPr>
        <w:t>To learn</w:t>
      </w:r>
      <w:r>
        <w:rPr>
          <w:color w:val="3A3838"/>
          <w:spacing w:val="1"/>
          <w:sz w:val="18"/>
        </w:rPr>
        <w:t> </w:t>
      </w:r>
      <w:r>
        <w:rPr>
          <w:color w:val="3A3838"/>
          <w:w w:val="105"/>
          <w:sz w:val="18"/>
        </w:rPr>
        <w:t>more</w:t>
      </w:r>
      <w:r>
        <w:rPr>
          <w:color w:val="3A3838"/>
          <w:spacing w:val="18"/>
          <w:w w:val="105"/>
          <w:sz w:val="18"/>
        </w:rPr>
        <w:t> </w:t>
      </w:r>
      <w:r>
        <w:rPr>
          <w:color w:val="3A3838"/>
          <w:w w:val="105"/>
          <w:sz w:val="18"/>
        </w:rPr>
        <w:t>about</w:t>
      </w:r>
      <w:r>
        <w:rPr>
          <w:color w:val="3A3838"/>
          <w:spacing w:val="28"/>
          <w:w w:val="105"/>
          <w:sz w:val="18"/>
        </w:rPr>
        <w:t> </w:t>
      </w:r>
      <w:r>
        <w:rPr>
          <w:color w:val="3A3838"/>
          <w:w w:val="105"/>
          <w:sz w:val="18"/>
        </w:rPr>
        <w:t>mindset,</w:t>
      </w:r>
      <w:r>
        <w:rPr>
          <w:color w:val="3A3838"/>
          <w:spacing w:val="31"/>
          <w:w w:val="105"/>
          <w:sz w:val="18"/>
        </w:rPr>
        <w:t> </w:t>
      </w:r>
      <w:r>
        <w:rPr>
          <w:color w:val="4B4B4B"/>
          <w:w w:val="105"/>
          <w:sz w:val="18"/>
        </w:rPr>
        <w:t>see</w:t>
      </w:r>
      <w:r>
        <w:rPr>
          <w:color w:val="4B4B4B"/>
          <w:spacing w:val="14"/>
          <w:w w:val="105"/>
          <w:sz w:val="18"/>
        </w:rPr>
        <w:t> </w:t>
      </w:r>
      <w:r>
        <w:rPr>
          <w:color w:val="4B4B4B"/>
          <w:w w:val="105"/>
          <w:sz w:val="18"/>
        </w:rPr>
        <w:t>Carol</w:t>
      </w:r>
      <w:r>
        <w:rPr>
          <w:color w:val="4B4B4B"/>
          <w:spacing w:val="7"/>
          <w:w w:val="105"/>
          <w:sz w:val="18"/>
        </w:rPr>
        <w:t> </w:t>
      </w:r>
      <w:r>
        <w:rPr>
          <w:color w:val="3A3838"/>
          <w:w w:val="105"/>
          <w:sz w:val="18"/>
        </w:rPr>
        <w:t>Dweck,</w:t>
      </w:r>
      <w:r>
        <w:rPr>
          <w:color w:val="3A3838"/>
          <w:spacing w:val="41"/>
          <w:w w:val="105"/>
          <w:sz w:val="18"/>
        </w:rPr>
        <w:t> </w:t>
      </w:r>
      <w:r>
        <w:rPr>
          <w:i/>
          <w:color w:val="3A3838"/>
          <w:w w:val="105"/>
          <w:sz w:val="18"/>
        </w:rPr>
        <w:t>Minds</w:t>
      </w:r>
      <w:r>
        <w:rPr>
          <w:i/>
          <w:color w:val="5D5D5E"/>
          <w:w w:val="105"/>
          <w:sz w:val="18"/>
        </w:rPr>
        <w:t>e</w:t>
      </w:r>
      <w:r>
        <w:rPr>
          <w:i/>
          <w:color w:val="3A3838"/>
          <w:w w:val="105"/>
          <w:sz w:val="18"/>
        </w:rPr>
        <w:t>t,</w:t>
      </w:r>
      <w:r>
        <w:rPr>
          <w:i/>
          <w:color w:val="3A3838"/>
          <w:spacing w:val="8"/>
          <w:w w:val="105"/>
          <w:sz w:val="18"/>
        </w:rPr>
        <w:t> </w:t>
      </w:r>
      <w:hyperlink r:id="rId107">
        <w:r>
          <w:rPr>
            <w:color w:val="3A3838"/>
            <w:w w:val="105"/>
            <w:sz w:val="18"/>
          </w:rPr>
          <w:t>http://mln</w:t>
        </w:r>
      </w:hyperlink>
      <w:r>
        <w:rPr>
          <w:color w:val="3A3838"/>
          <w:w w:val="105"/>
          <w:sz w:val="18"/>
        </w:rPr>
        <w:t>&lt;lsetonllne</w:t>
      </w:r>
      <w:r>
        <w:rPr>
          <w:color w:val="5D5D5E"/>
          <w:w w:val="105"/>
          <w:sz w:val="18"/>
        </w:rPr>
        <w:t>.</w:t>
      </w:r>
      <w:r>
        <w:rPr>
          <w:color w:val="3A3838"/>
          <w:w w:val="105"/>
          <w:sz w:val="18"/>
        </w:rPr>
        <w:t>com/</w:t>
      </w:r>
      <w:r>
        <w:rPr>
          <w:color w:val="3A3838"/>
          <w:spacing w:val="19"/>
          <w:w w:val="105"/>
          <w:sz w:val="18"/>
        </w:rPr>
        <w:t> </w:t>
      </w:r>
      <w:r>
        <w:rPr>
          <w:color w:val="3A3838"/>
          <w:w w:val="105"/>
          <w:sz w:val="18"/>
        </w:rPr>
        <w:t>(last</w:t>
      </w:r>
      <w:r>
        <w:rPr>
          <w:color w:val="3A3838"/>
          <w:spacing w:val="30"/>
          <w:w w:val="105"/>
          <w:sz w:val="18"/>
        </w:rPr>
        <w:t> </w:t>
      </w:r>
      <w:r>
        <w:rPr>
          <w:color w:val="4B4B4B"/>
          <w:w w:val="105"/>
          <w:sz w:val="18"/>
        </w:rPr>
        <w:t>visited</w:t>
      </w:r>
      <w:r>
        <w:rPr>
          <w:color w:val="4B4B4B"/>
          <w:spacing w:val="19"/>
          <w:w w:val="105"/>
          <w:sz w:val="18"/>
        </w:rPr>
        <w:t> </w:t>
      </w:r>
      <w:r>
        <w:rPr>
          <w:color w:val="3A3838"/>
          <w:w w:val="105"/>
          <w:sz w:val="18"/>
        </w:rPr>
        <w:t>Jan.</w:t>
      </w:r>
      <w:r>
        <w:rPr>
          <w:color w:val="3A3838"/>
          <w:spacing w:val="25"/>
          <w:w w:val="105"/>
          <w:sz w:val="18"/>
        </w:rPr>
        <w:t> </w:t>
      </w:r>
      <w:r>
        <w:rPr>
          <w:color w:val="2A2828"/>
          <w:w w:val="105"/>
          <w:sz w:val="19"/>
        </w:rPr>
        <w:t>lS,</w:t>
      </w:r>
    </w:p>
    <w:p>
      <w:pPr>
        <w:spacing w:before="12"/>
        <w:ind w:left="143" w:right="0" w:firstLine="0"/>
        <w:jc w:val="left"/>
        <w:rPr>
          <w:sz w:val="17"/>
        </w:rPr>
      </w:pPr>
      <w:r>
        <w:rPr>
          <w:color w:val="3A3838"/>
          <w:w w:val="110"/>
          <w:sz w:val="17"/>
        </w:rPr>
        <w:t>2014).</w:t>
      </w:r>
    </w:p>
    <w:p>
      <w:pPr>
        <w:spacing w:after="0"/>
        <w:jc w:val="left"/>
        <w:rPr>
          <w:sz w:val="17"/>
        </w:rPr>
        <w:sectPr>
          <w:pgSz w:w="9520" w:h="13750"/>
          <w:pgMar w:header="415" w:footer="0" w:top="1040" w:bottom="280" w:left="480" w:right="1080"/>
        </w:sectPr>
      </w:pPr>
    </w:p>
    <w:p>
      <w:pPr>
        <w:pStyle w:val="BodyText"/>
        <w:spacing w:line="232" w:lineRule="auto" w:before="87"/>
        <w:ind w:left="890" w:right="-44" w:firstLine="57"/>
        <w:jc w:val="both"/>
      </w:pPr>
      <w:r>
        <w:rPr>
          <w:color w:val="3B383B"/>
          <w:w w:val="105"/>
        </w:rPr>
        <w:t>for fear of failure </w:t>
      </w:r>
      <w:r>
        <w:rPr>
          <w:i/>
          <w:color w:val="3B383B"/>
          <w:w w:val="105"/>
          <w:sz w:val="21"/>
        </w:rPr>
        <w:t>is </w:t>
      </w:r>
      <w:r>
        <w:rPr>
          <w:color w:val="3B383B"/>
          <w:w w:val="105"/>
        </w:rPr>
        <w:t>to write early. Work on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producing a draft that reflects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your current capabilities, so that the learning can begin. As noted above,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starting writing earlier rather than  later increases the  chances of  success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on the project as a whole. If we fear criticism from supervisors or teachers,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we might try road-testing our ideas by talking them out with friends </w:t>
      </w:r>
      <w:r>
        <w:rPr>
          <w:b/>
          <w:color w:val="3B383B"/>
          <w:w w:val="105"/>
          <w:sz w:val="21"/>
        </w:rPr>
        <w:t>(if</w:t>
      </w:r>
      <w:r>
        <w:rPr>
          <w:b/>
          <w:color w:val="3B383B"/>
          <w:spacing w:val="1"/>
          <w:w w:val="105"/>
          <w:sz w:val="21"/>
        </w:rPr>
        <w:t> </w:t>
      </w:r>
      <w:r>
        <w:rPr>
          <w:color w:val="3B383B"/>
          <w:w w:val="105"/>
        </w:rPr>
        <w:t>allowed by academic misconduct policies) or by speaking directly with the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teacher or supervisor who will be judging our work.</w:t>
      </w:r>
      <w:r>
        <w:rPr>
          <w:color w:val="3B383B"/>
          <w:w w:val="105"/>
          <w:vertAlign w:val="superscript"/>
        </w:rPr>
        <w:t>22</w:t>
      </w:r>
      <w:r>
        <w:rPr>
          <w:color w:val="3B383B"/>
          <w:w w:val="105"/>
          <w:vertAlign w:val="baseline"/>
        </w:rPr>
        <w:t> It is unrealistic, </w:t>
      </w:r>
      <w:r>
        <w:rPr>
          <w:b/>
          <w:color w:val="3B383B"/>
          <w:w w:val="105"/>
          <w:sz w:val="22"/>
          <w:vertAlign w:val="baseline"/>
        </w:rPr>
        <w:t>of</w:t>
      </w:r>
      <w:r>
        <w:rPr>
          <w:b/>
          <w:color w:val="3B383B"/>
          <w:spacing w:val="1"/>
          <w:w w:val="105"/>
          <w:sz w:val="22"/>
          <w:vertAlign w:val="baseline"/>
        </w:rPr>
        <w:t> </w:t>
      </w:r>
      <w:r>
        <w:rPr>
          <w:color w:val="3B383B"/>
          <w:w w:val="105"/>
          <w:vertAlign w:val="baseline"/>
        </w:rPr>
        <w:t>course, to expect that someone can pre-approve every aspect of our writ­</w:t>
      </w:r>
      <w:r>
        <w:rPr>
          <w:color w:val="3B383B"/>
          <w:spacing w:val="1"/>
          <w:w w:val="105"/>
          <w:vertAlign w:val="baseline"/>
        </w:rPr>
        <w:t> </w:t>
      </w:r>
      <w:r>
        <w:rPr>
          <w:color w:val="3B383B"/>
          <w:w w:val="105"/>
          <w:vertAlign w:val="baseline"/>
        </w:rPr>
        <w:t>ing, but by getting early feedback on some of our ideas, we can reassure</w:t>
      </w:r>
      <w:r>
        <w:rPr>
          <w:color w:val="3B383B"/>
          <w:spacing w:val="1"/>
          <w:w w:val="105"/>
          <w:vertAlign w:val="baseline"/>
        </w:rPr>
        <w:t> </w:t>
      </w:r>
      <w:r>
        <w:rPr>
          <w:color w:val="3B383B"/>
          <w:w w:val="105"/>
          <w:vertAlign w:val="baseline"/>
        </w:rPr>
        <w:t>ourselves</w:t>
      </w:r>
      <w:r>
        <w:rPr>
          <w:color w:val="3B383B"/>
          <w:spacing w:val="8"/>
          <w:w w:val="105"/>
          <w:vertAlign w:val="baseline"/>
        </w:rPr>
        <w:t> </w:t>
      </w:r>
      <w:r>
        <w:rPr>
          <w:color w:val="3B383B"/>
          <w:w w:val="105"/>
          <w:vertAlign w:val="baseline"/>
        </w:rPr>
        <w:t>that</w:t>
      </w:r>
      <w:r>
        <w:rPr>
          <w:color w:val="3B383B"/>
          <w:spacing w:val="-23"/>
          <w:w w:val="105"/>
          <w:vertAlign w:val="baseline"/>
        </w:rPr>
        <w:t> </w:t>
      </w:r>
      <w:r>
        <w:rPr>
          <w:color w:val="3B383B"/>
          <w:w w:val="105"/>
          <w:vertAlign w:val="baseline"/>
        </w:rPr>
        <w:t>our</w:t>
      </w:r>
      <w:r>
        <w:rPr>
          <w:color w:val="3B383B"/>
          <w:spacing w:val="-6"/>
          <w:w w:val="105"/>
          <w:vertAlign w:val="baseline"/>
        </w:rPr>
        <w:t> </w:t>
      </w:r>
      <w:r>
        <w:rPr>
          <w:color w:val="3B383B"/>
          <w:w w:val="105"/>
          <w:vertAlign w:val="baseline"/>
        </w:rPr>
        <w:t>work</w:t>
      </w:r>
      <w:r>
        <w:rPr>
          <w:color w:val="3B383B"/>
          <w:spacing w:val="7"/>
          <w:w w:val="105"/>
          <w:vertAlign w:val="baseline"/>
        </w:rPr>
        <w:t> </w:t>
      </w:r>
      <w:r>
        <w:rPr>
          <w:color w:val="3B383B"/>
          <w:w w:val="105"/>
          <w:sz w:val="22"/>
          <w:vertAlign w:val="baseline"/>
        </w:rPr>
        <w:t>wiJJ</w:t>
      </w:r>
      <w:r>
        <w:rPr>
          <w:color w:val="3B383B"/>
          <w:spacing w:val="6"/>
          <w:w w:val="105"/>
          <w:sz w:val="22"/>
          <w:vertAlign w:val="baseline"/>
        </w:rPr>
        <w:t> </w:t>
      </w:r>
      <w:r>
        <w:rPr>
          <w:color w:val="3B383B"/>
          <w:w w:val="105"/>
          <w:vertAlign w:val="baseline"/>
        </w:rPr>
        <w:t>meet</w:t>
      </w:r>
      <w:r>
        <w:rPr>
          <w:color w:val="3B383B"/>
          <w:spacing w:val="-3"/>
          <w:w w:val="105"/>
          <w:vertAlign w:val="baseline"/>
        </w:rPr>
        <w:t> </w:t>
      </w:r>
      <w:r>
        <w:rPr>
          <w:color w:val="3B383B"/>
          <w:w w:val="105"/>
          <w:vertAlign w:val="baseline"/>
        </w:rPr>
        <w:t>with</w:t>
      </w:r>
      <w:r>
        <w:rPr>
          <w:color w:val="3B383B"/>
          <w:spacing w:val="-9"/>
          <w:w w:val="105"/>
          <w:vertAlign w:val="baseline"/>
        </w:rPr>
        <w:t> </w:t>
      </w:r>
      <w:r>
        <w:rPr>
          <w:color w:val="3B383B"/>
          <w:w w:val="105"/>
          <w:vertAlign w:val="baseline"/>
        </w:rPr>
        <w:t>some</w:t>
      </w:r>
      <w:r>
        <w:rPr>
          <w:color w:val="3B383B"/>
          <w:spacing w:val="-18"/>
          <w:w w:val="105"/>
          <w:vertAlign w:val="baseline"/>
        </w:rPr>
        <w:t> </w:t>
      </w:r>
      <w:r>
        <w:rPr>
          <w:color w:val="3B383B"/>
          <w:w w:val="105"/>
          <w:vertAlign w:val="baseline"/>
        </w:rPr>
        <w:t>approval.</w:t>
      </w:r>
    </w:p>
    <w:p>
      <w:pPr>
        <w:pStyle w:val="BodyText"/>
        <w:spacing w:line="232" w:lineRule="auto"/>
        <w:ind w:left="755" w:right="2" w:firstLine="478"/>
        <w:jc w:val="both"/>
      </w:pPr>
      <w:r>
        <w:rPr>
          <w:color w:val="3B383B"/>
          <w:w w:val="110"/>
        </w:rPr>
        <w:t>Another way to deal with fear of failure is to embrace the prospect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of writing a bad draft. If we write a bad draft well before the  deadline,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we need not fear failure because we wiU know that we have time to turn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05"/>
        </w:rPr>
        <w:t>that failure around. The writer Anne Lamott specifically advocates writing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what she caIJs "shitty first drafts."</w:t>
      </w:r>
      <w:r>
        <w:rPr>
          <w:rFonts w:ascii="Arial"/>
          <w:color w:val="3B383B"/>
          <w:w w:val="105"/>
          <w:vertAlign w:val="superscript"/>
        </w:rPr>
        <w:t>23</w:t>
      </w:r>
      <w:r>
        <w:rPr>
          <w:rFonts w:ascii="Arial"/>
          <w:color w:val="3B383B"/>
          <w:w w:val="105"/>
          <w:vertAlign w:val="baseline"/>
        </w:rPr>
        <w:t> </w:t>
      </w:r>
      <w:r>
        <w:rPr>
          <w:color w:val="3B383B"/>
          <w:w w:val="105"/>
          <w:vertAlign w:val="baseline"/>
        </w:rPr>
        <w:t>Doing so can reduce your anxiety: If</w:t>
      </w:r>
      <w:r>
        <w:rPr>
          <w:color w:val="3B383B"/>
          <w:spacing w:val="1"/>
          <w:w w:val="105"/>
          <w:vertAlign w:val="baseline"/>
        </w:rPr>
        <w:t> </w:t>
      </w:r>
      <w:r>
        <w:rPr>
          <w:i/>
          <w:color w:val="3B383B"/>
          <w:w w:val="110"/>
          <w:sz w:val="24"/>
          <w:vertAlign w:val="baseline"/>
        </w:rPr>
        <w:t>you </w:t>
      </w:r>
      <w:r>
        <w:rPr>
          <w:rFonts w:ascii="Arial"/>
          <w:color w:val="3B383B"/>
          <w:w w:val="110"/>
          <w:sz w:val="20"/>
          <w:vertAlign w:val="baseline"/>
        </w:rPr>
        <w:t>know </w:t>
      </w:r>
      <w:r>
        <w:rPr>
          <w:color w:val="3B383B"/>
          <w:w w:val="110"/>
          <w:vertAlign w:val="baseline"/>
        </w:rPr>
        <w:t>the draft is a bad one, you are still maintaining control over the</w:t>
      </w:r>
      <w:r>
        <w:rPr>
          <w:color w:val="3B383B"/>
          <w:spacing w:val="-61"/>
          <w:w w:val="110"/>
          <w:vertAlign w:val="baseline"/>
        </w:rPr>
        <w:t> </w:t>
      </w:r>
      <w:r>
        <w:rPr>
          <w:color w:val="3B383B"/>
          <w:w w:val="105"/>
          <w:vertAlign w:val="baseline"/>
        </w:rPr>
        <w:t>product, and</w:t>
      </w:r>
      <w:r>
        <w:rPr>
          <w:color w:val="3B383B"/>
          <w:spacing w:val="1"/>
          <w:w w:val="105"/>
          <w:vertAlign w:val="baseline"/>
        </w:rPr>
        <w:t> </w:t>
      </w:r>
      <w:r>
        <w:rPr>
          <w:color w:val="3B383B"/>
          <w:w w:val="105"/>
          <w:vertAlign w:val="baseline"/>
        </w:rPr>
        <w:t>you can even agree with those who might criticize it. Using</w:t>
      </w:r>
      <w:r>
        <w:rPr>
          <w:color w:val="3B383B"/>
          <w:spacing w:val="1"/>
          <w:w w:val="105"/>
          <w:vertAlign w:val="baseline"/>
        </w:rPr>
        <w:t> </w:t>
      </w:r>
      <w:r>
        <w:rPr>
          <w:color w:val="3B383B"/>
          <w:w w:val="110"/>
          <w:vertAlign w:val="baseline"/>
        </w:rPr>
        <w:t>private memos can help this process as well: When you experience fear</w:t>
      </w:r>
      <w:r>
        <w:rPr>
          <w:color w:val="3B383B"/>
          <w:spacing w:val="1"/>
          <w:w w:val="110"/>
          <w:vertAlign w:val="baseline"/>
        </w:rPr>
        <w:t> </w:t>
      </w:r>
      <w:r>
        <w:rPr>
          <w:color w:val="3B383B"/>
          <w:w w:val="105"/>
          <w:vertAlign w:val="baseline"/>
        </w:rPr>
        <w:t>or doubt about a</w:t>
      </w:r>
      <w:r>
        <w:rPr>
          <w:color w:val="3B383B"/>
          <w:spacing w:val="1"/>
          <w:w w:val="105"/>
          <w:vertAlign w:val="baseline"/>
        </w:rPr>
        <w:t> </w:t>
      </w:r>
      <w:r>
        <w:rPr>
          <w:color w:val="3B383B"/>
          <w:w w:val="105"/>
          <w:vertAlign w:val="baseline"/>
        </w:rPr>
        <w:t>particular aspect of  your writing, record  your concerns,</w:t>
      </w:r>
      <w:r>
        <w:rPr>
          <w:color w:val="3B383B"/>
          <w:spacing w:val="1"/>
          <w:w w:val="105"/>
          <w:vertAlign w:val="baseline"/>
        </w:rPr>
        <w:t> </w:t>
      </w:r>
      <w:r>
        <w:rPr>
          <w:color w:val="3B383B"/>
          <w:w w:val="105"/>
          <w:vertAlign w:val="baseline"/>
        </w:rPr>
        <w:t>and</w:t>
      </w:r>
      <w:r>
        <w:rPr>
          <w:color w:val="3B383B"/>
          <w:spacing w:val="8"/>
          <w:w w:val="105"/>
          <w:vertAlign w:val="baseline"/>
        </w:rPr>
        <w:t> </w:t>
      </w:r>
      <w:r>
        <w:rPr>
          <w:color w:val="3B383B"/>
          <w:w w:val="105"/>
          <w:vertAlign w:val="baseline"/>
        </w:rPr>
        <w:t>be</w:t>
      </w:r>
      <w:r>
        <w:rPr>
          <w:color w:val="3B383B"/>
          <w:spacing w:val="-4"/>
          <w:w w:val="105"/>
          <w:vertAlign w:val="baseline"/>
        </w:rPr>
        <w:t> </w:t>
      </w:r>
      <w:r>
        <w:rPr>
          <w:color w:val="3B383B"/>
          <w:w w:val="105"/>
          <w:vertAlign w:val="baseline"/>
        </w:rPr>
        <w:t>as</w:t>
      </w:r>
      <w:r>
        <w:rPr>
          <w:color w:val="3B383B"/>
          <w:spacing w:val="-9"/>
          <w:w w:val="105"/>
          <w:vertAlign w:val="baseline"/>
        </w:rPr>
        <w:t> </w:t>
      </w:r>
      <w:r>
        <w:rPr>
          <w:color w:val="3B383B"/>
          <w:w w:val="105"/>
          <w:vertAlign w:val="baseline"/>
        </w:rPr>
        <w:t>specific</w:t>
      </w:r>
      <w:r>
        <w:rPr>
          <w:color w:val="3B383B"/>
          <w:spacing w:val="-3"/>
          <w:w w:val="105"/>
          <w:vertAlign w:val="baseline"/>
        </w:rPr>
        <w:t> </w:t>
      </w:r>
      <w:r>
        <w:rPr>
          <w:color w:val="3B383B"/>
          <w:w w:val="105"/>
          <w:vertAlign w:val="baseline"/>
        </w:rPr>
        <w:t>as</w:t>
      </w:r>
      <w:r>
        <w:rPr>
          <w:color w:val="3B383B"/>
          <w:spacing w:val="31"/>
          <w:w w:val="105"/>
          <w:vertAlign w:val="baseline"/>
        </w:rPr>
        <w:t> </w:t>
      </w:r>
      <w:r>
        <w:rPr>
          <w:color w:val="3B383B"/>
          <w:w w:val="105"/>
          <w:vertAlign w:val="baseline"/>
        </w:rPr>
        <w:t>possible.</w:t>
      </w:r>
      <w:r>
        <w:rPr>
          <w:color w:val="3B383B"/>
          <w:spacing w:val="26"/>
          <w:w w:val="105"/>
          <w:vertAlign w:val="baseline"/>
        </w:rPr>
        <w:t> </w:t>
      </w:r>
      <w:r>
        <w:rPr>
          <w:color w:val="3B383B"/>
          <w:w w:val="105"/>
          <w:vertAlign w:val="baseline"/>
        </w:rPr>
        <w:t>For</w:t>
      </w:r>
      <w:r>
        <w:rPr>
          <w:color w:val="3B383B"/>
          <w:spacing w:val="7"/>
          <w:w w:val="105"/>
          <w:vertAlign w:val="baseline"/>
        </w:rPr>
        <w:t> </w:t>
      </w:r>
      <w:r>
        <w:rPr>
          <w:color w:val="3B383B"/>
          <w:w w:val="105"/>
          <w:vertAlign w:val="baseline"/>
        </w:rPr>
        <w:t>example,</w:t>
      </w:r>
      <w:r>
        <w:rPr>
          <w:color w:val="3B383B"/>
          <w:spacing w:val="20"/>
          <w:w w:val="105"/>
          <w:vertAlign w:val="baseline"/>
        </w:rPr>
        <w:t> </w:t>
      </w:r>
      <w:r>
        <w:rPr>
          <w:color w:val="3B383B"/>
          <w:w w:val="105"/>
          <w:vertAlign w:val="baseline"/>
        </w:rPr>
        <w:t>"I</w:t>
      </w:r>
      <w:r>
        <w:rPr>
          <w:color w:val="3B383B"/>
          <w:spacing w:val="23"/>
          <w:w w:val="105"/>
          <w:vertAlign w:val="baseline"/>
        </w:rPr>
        <w:t> </w:t>
      </w:r>
      <w:r>
        <w:rPr>
          <w:color w:val="3B383B"/>
          <w:w w:val="105"/>
          <w:vertAlign w:val="baseline"/>
        </w:rPr>
        <w:t>need</w:t>
      </w:r>
      <w:r>
        <w:rPr>
          <w:color w:val="3B383B"/>
          <w:spacing w:val="23"/>
          <w:w w:val="105"/>
          <w:vertAlign w:val="baseline"/>
        </w:rPr>
        <w:t> </w:t>
      </w:r>
      <w:r>
        <w:rPr>
          <w:color w:val="3B383B"/>
          <w:w w:val="105"/>
          <w:vertAlign w:val="baseline"/>
        </w:rPr>
        <w:t>more</w:t>
      </w:r>
      <w:r>
        <w:rPr>
          <w:color w:val="3B383B"/>
          <w:spacing w:val="19"/>
          <w:w w:val="105"/>
          <w:vertAlign w:val="baseline"/>
        </w:rPr>
        <w:t> </w:t>
      </w:r>
      <w:r>
        <w:rPr>
          <w:color w:val="3B383B"/>
          <w:w w:val="105"/>
          <w:vertAlign w:val="baseline"/>
        </w:rPr>
        <w:t>research</w:t>
      </w:r>
      <w:r>
        <w:rPr>
          <w:color w:val="3B383B"/>
          <w:spacing w:val="23"/>
          <w:w w:val="105"/>
          <w:vertAlign w:val="baseline"/>
        </w:rPr>
        <w:t> </w:t>
      </w:r>
      <w:r>
        <w:rPr>
          <w:color w:val="3B383B"/>
          <w:w w:val="105"/>
          <w:vertAlign w:val="baseline"/>
        </w:rPr>
        <w:t>on</w:t>
      </w:r>
      <w:r>
        <w:rPr>
          <w:color w:val="3B383B"/>
          <w:spacing w:val="53"/>
          <w:w w:val="105"/>
          <w:vertAlign w:val="baseline"/>
        </w:rPr>
        <w:t> </w:t>
      </w:r>
      <w:r>
        <w:rPr>
          <w:color w:val="3B383B"/>
          <w:w w:val="105"/>
          <w:vertAlign w:val="baseline"/>
        </w:rPr>
        <w:t>the</w:t>
      </w:r>
      <w:r>
        <w:rPr>
          <w:color w:val="3B383B"/>
          <w:spacing w:val="1"/>
          <w:w w:val="105"/>
          <w:vertAlign w:val="baseline"/>
        </w:rPr>
        <w:t> </w:t>
      </w:r>
      <w:r>
        <w:rPr>
          <w:color w:val="3B383B"/>
          <w:w w:val="110"/>
          <w:vertAlign w:val="baseline"/>
        </w:rPr>
        <w:t>X issue. Are there any more cases addressing second part of test?" "This</w:t>
      </w:r>
      <w:r>
        <w:rPr>
          <w:color w:val="3B383B"/>
          <w:spacing w:val="1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sentence</w:t>
      </w:r>
      <w:r>
        <w:rPr>
          <w:color w:val="3B383B"/>
          <w:spacing w:val="-26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doesn't</w:t>
      </w:r>
      <w:r>
        <w:rPr>
          <w:color w:val="3B383B"/>
          <w:spacing w:val="1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make</w:t>
      </w:r>
      <w:r>
        <w:rPr>
          <w:color w:val="3B383B"/>
          <w:spacing w:val="-21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sense.</w:t>
      </w:r>
      <w:r>
        <w:rPr>
          <w:color w:val="3B383B"/>
          <w:spacing w:val="-17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I'm</w:t>
      </w:r>
      <w:r>
        <w:rPr>
          <w:color w:val="3B383B"/>
          <w:spacing w:val="11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trying</w:t>
      </w:r>
      <w:r>
        <w:rPr>
          <w:color w:val="3B383B"/>
          <w:spacing w:val="-16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to</w:t>
      </w:r>
      <w:r>
        <w:rPr>
          <w:color w:val="3B383B"/>
          <w:spacing w:val="-10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say</w:t>
      </w:r>
      <w:r>
        <w:rPr>
          <w:color w:val="3B383B"/>
          <w:spacing w:val="-9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that</w:t>
      </w:r>
      <w:r>
        <w:rPr>
          <w:color w:val="3B383B"/>
          <w:spacing w:val="-3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the</w:t>
      </w:r>
      <w:r>
        <w:rPr>
          <w:color w:val="3B383B"/>
          <w:spacing w:val="-10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defendant's</w:t>
      </w:r>
      <w:r>
        <w:rPr>
          <w:color w:val="3B383B"/>
          <w:spacing w:val="-6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refusal</w:t>
      </w:r>
      <w:r>
        <w:rPr>
          <w:color w:val="3B383B"/>
          <w:spacing w:val="1"/>
          <w:w w:val="110"/>
          <w:vertAlign w:val="baseline"/>
        </w:rPr>
        <w:t> </w:t>
      </w:r>
      <w:r>
        <w:rPr>
          <w:color w:val="3B383B"/>
          <w:w w:val="105"/>
          <w:vertAlign w:val="baseline"/>
        </w:rPr>
        <w:t>to come to an agreement was IegaUy significant." The private memos can</w:t>
      </w:r>
      <w:r>
        <w:rPr>
          <w:color w:val="3B383B"/>
          <w:spacing w:val="1"/>
          <w:w w:val="105"/>
          <w:vertAlign w:val="baseline"/>
        </w:rPr>
        <w:t> </w:t>
      </w:r>
      <w:r>
        <w:rPr>
          <w:color w:val="3B383B"/>
          <w:w w:val="105"/>
          <w:vertAlign w:val="baseline"/>
        </w:rPr>
        <w:t>help your fear of failure by allowing you to acknowledge areas where you</w:t>
      </w:r>
      <w:r>
        <w:rPr>
          <w:color w:val="3B383B"/>
          <w:spacing w:val="1"/>
          <w:w w:val="105"/>
          <w:vertAlign w:val="baseline"/>
        </w:rPr>
        <w:t> </w:t>
      </w:r>
      <w:r>
        <w:rPr>
          <w:color w:val="3B383B"/>
          <w:spacing w:val="-1"/>
          <w:w w:val="110"/>
          <w:vertAlign w:val="baseline"/>
        </w:rPr>
        <w:t>need guidance; </w:t>
      </w:r>
      <w:r>
        <w:rPr>
          <w:color w:val="3B383B"/>
          <w:w w:val="110"/>
          <w:vertAlign w:val="baseline"/>
        </w:rPr>
        <w:t>it can help your revision process by targeting the aspects</w:t>
      </w:r>
      <w:r>
        <w:rPr>
          <w:color w:val="3B383B"/>
          <w:spacing w:val="1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of</w:t>
      </w:r>
      <w:r>
        <w:rPr>
          <w:color w:val="3B383B"/>
          <w:spacing w:val="-1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the</w:t>
      </w:r>
      <w:r>
        <w:rPr>
          <w:color w:val="3B383B"/>
          <w:spacing w:val="6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draft</w:t>
      </w:r>
      <w:r>
        <w:rPr>
          <w:color w:val="3B383B"/>
          <w:spacing w:val="-10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that need</w:t>
      </w:r>
      <w:r>
        <w:rPr>
          <w:color w:val="3B383B"/>
          <w:spacing w:val="1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the</w:t>
      </w:r>
      <w:r>
        <w:rPr>
          <w:color w:val="3B383B"/>
          <w:spacing w:val="19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most</w:t>
      </w:r>
      <w:r>
        <w:rPr>
          <w:color w:val="3B383B"/>
          <w:spacing w:val="-8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work.</w:t>
      </w:r>
    </w:p>
    <w:p>
      <w:pPr>
        <w:pStyle w:val="BodyText"/>
        <w:spacing w:before="10"/>
        <w:rPr>
          <w:sz w:val="25"/>
        </w:rPr>
      </w:pPr>
    </w:p>
    <w:p>
      <w:pPr>
        <w:spacing w:before="92"/>
        <w:ind w:left="1067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3B383B"/>
          <w:w w:val="105"/>
          <w:sz w:val="26"/>
        </w:rPr>
        <w:t>4</w:t>
      </w:r>
      <w:r>
        <w:rPr>
          <w:rFonts w:ascii="Arial"/>
          <w:b/>
          <w:color w:val="595759"/>
          <w:w w:val="105"/>
          <w:sz w:val="26"/>
        </w:rPr>
        <w:t>.</w:t>
      </w:r>
      <w:r>
        <w:rPr>
          <w:rFonts w:ascii="Arial"/>
          <w:b/>
          <w:color w:val="3B383B"/>
          <w:w w:val="105"/>
          <w:sz w:val="26"/>
        </w:rPr>
        <w:t>3.3</w:t>
      </w:r>
    </w:p>
    <w:p>
      <w:pPr>
        <w:spacing w:before="47"/>
        <w:ind w:left="1056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3B383B"/>
          <w:w w:val="95"/>
          <w:sz w:val="22"/>
        </w:rPr>
        <w:t>FEAR</w:t>
      </w:r>
      <w:r>
        <w:rPr>
          <w:rFonts w:ascii="Arial"/>
          <w:b/>
          <w:color w:val="3B383B"/>
          <w:spacing w:val="16"/>
          <w:w w:val="95"/>
          <w:sz w:val="22"/>
        </w:rPr>
        <w:t> </w:t>
      </w:r>
      <w:r>
        <w:rPr>
          <w:rFonts w:ascii="Arial"/>
          <w:b/>
          <w:color w:val="3B383B"/>
          <w:w w:val="95"/>
          <w:sz w:val="22"/>
        </w:rPr>
        <w:t>OF</w:t>
      </w:r>
      <w:r>
        <w:rPr>
          <w:rFonts w:ascii="Arial"/>
          <w:b/>
          <w:color w:val="3B383B"/>
          <w:spacing w:val="-4"/>
          <w:w w:val="95"/>
          <w:sz w:val="22"/>
        </w:rPr>
        <w:t> </w:t>
      </w:r>
      <w:r>
        <w:rPr>
          <w:rFonts w:ascii="Arial"/>
          <w:b/>
          <w:color w:val="3B383B"/>
          <w:w w:val="95"/>
          <w:sz w:val="22"/>
        </w:rPr>
        <w:t>PAIN</w:t>
      </w:r>
    </w:p>
    <w:p>
      <w:pPr>
        <w:pStyle w:val="BodyText"/>
        <w:spacing w:line="230" w:lineRule="auto" w:before="171"/>
        <w:ind w:left="647" w:right="63" w:firstLine="423"/>
        <w:jc w:val="both"/>
      </w:pPr>
      <w:r>
        <w:rPr>
          <w:color w:val="3B383B"/>
          <w:w w:val="110"/>
        </w:rPr>
        <w:t>As noted in an earlier chapter, writing is a series of decisions. When</w:t>
      </w:r>
      <w:r>
        <w:rPr>
          <w:color w:val="3B383B"/>
          <w:spacing w:val="1"/>
          <w:w w:val="110"/>
        </w:rPr>
        <w:t> </w:t>
      </w:r>
      <w:r>
        <w:rPr>
          <w:color w:val="3B383B"/>
          <w:spacing w:val="-1"/>
          <w:w w:val="110"/>
        </w:rPr>
        <w:t>you </w:t>
      </w:r>
      <w:r>
        <w:rPr>
          <w:color w:val="3B383B"/>
          <w:w w:val="110"/>
        </w:rPr>
        <w:t>write a brief, or any analytical document, you have to decide which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issues to address and which to ignore. You must decide what authorities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05"/>
        </w:rPr>
        <w:t>to cite and how to organize your discussion of issues. At the  micro level,</w:t>
      </w:r>
      <w:r>
        <w:rPr>
          <w:color w:val="3B383B"/>
          <w:spacing w:val="1"/>
          <w:w w:val="105"/>
        </w:rPr>
        <w:t> </w:t>
      </w:r>
      <w:r>
        <w:rPr>
          <w:color w:val="3B383B"/>
          <w:spacing w:val="-1"/>
          <w:w w:val="110"/>
        </w:rPr>
        <w:t>you</w:t>
      </w:r>
      <w:r>
        <w:rPr>
          <w:color w:val="3B383B"/>
          <w:spacing w:val="-12"/>
          <w:w w:val="110"/>
        </w:rPr>
        <w:t> </w:t>
      </w:r>
      <w:r>
        <w:rPr>
          <w:color w:val="3B383B"/>
          <w:spacing w:val="-1"/>
          <w:w w:val="110"/>
        </w:rPr>
        <w:t>must</w:t>
      </w:r>
      <w:r>
        <w:rPr>
          <w:color w:val="3B383B"/>
          <w:spacing w:val="-14"/>
          <w:w w:val="110"/>
        </w:rPr>
        <w:t> </w:t>
      </w:r>
      <w:r>
        <w:rPr>
          <w:color w:val="3B383B"/>
          <w:spacing w:val="-1"/>
          <w:w w:val="110"/>
        </w:rPr>
        <w:t>decide</w:t>
      </w:r>
      <w:r>
        <w:rPr>
          <w:color w:val="3B383B"/>
          <w:spacing w:val="-4"/>
          <w:w w:val="110"/>
        </w:rPr>
        <w:t> </w:t>
      </w:r>
      <w:r>
        <w:rPr>
          <w:color w:val="3B383B"/>
          <w:spacing w:val="-1"/>
          <w:w w:val="110"/>
        </w:rPr>
        <w:t>how</w:t>
      </w:r>
      <w:r>
        <w:rPr>
          <w:color w:val="3B383B"/>
          <w:spacing w:val="-12"/>
          <w:w w:val="110"/>
        </w:rPr>
        <w:t> </w:t>
      </w:r>
      <w:r>
        <w:rPr>
          <w:color w:val="3B383B"/>
          <w:spacing w:val="-1"/>
          <w:w w:val="110"/>
        </w:rPr>
        <w:t>to</w:t>
      </w:r>
      <w:r>
        <w:rPr>
          <w:color w:val="3B383B"/>
          <w:spacing w:val="3"/>
          <w:w w:val="110"/>
        </w:rPr>
        <w:t> </w:t>
      </w:r>
      <w:r>
        <w:rPr>
          <w:color w:val="3B383B"/>
          <w:spacing w:val="-1"/>
          <w:w w:val="110"/>
        </w:rPr>
        <w:t>write</w:t>
      </w:r>
      <w:r>
        <w:rPr>
          <w:color w:val="3B383B"/>
          <w:spacing w:val="-23"/>
          <w:w w:val="110"/>
        </w:rPr>
        <w:t> </w:t>
      </w:r>
      <w:r>
        <w:rPr>
          <w:color w:val="3B383B"/>
          <w:w w:val="110"/>
        </w:rPr>
        <w:t>each</w:t>
      </w:r>
      <w:r>
        <w:rPr>
          <w:color w:val="3B383B"/>
          <w:spacing w:val="-20"/>
          <w:w w:val="110"/>
        </w:rPr>
        <w:t> </w:t>
      </w:r>
      <w:r>
        <w:rPr>
          <w:color w:val="3B383B"/>
          <w:w w:val="110"/>
        </w:rPr>
        <w:t>sentence,</w:t>
      </w:r>
      <w:r>
        <w:rPr>
          <w:color w:val="3B383B"/>
          <w:spacing w:val="-24"/>
          <w:w w:val="110"/>
        </w:rPr>
        <w:t> </w:t>
      </w:r>
      <w:r>
        <w:rPr>
          <w:color w:val="3B383B"/>
          <w:w w:val="110"/>
        </w:rPr>
        <w:t>choosing</w:t>
      </w:r>
      <w:r>
        <w:rPr>
          <w:color w:val="3B383B"/>
          <w:spacing w:val="-16"/>
          <w:w w:val="110"/>
        </w:rPr>
        <w:t> </w:t>
      </w:r>
      <w:r>
        <w:rPr>
          <w:color w:val="3B383B"/>
          <w:w w:val="110"/>
        </w:rPr>
        <w:t>which words</w:t>
      </w:r>
      <w:r>
        <w:rPr>
          <w:color w:val="3B383B"/>
          <w:spacing w:val="-17"/>
          <w:w w:val="110"/>
        </w:rPr>
        <w:t> </w:t>
      </w:r>
      <w:r>
        <w:rPr>
          <w:color w:val="3B383B"/>
          <w:w w:val="110"/>
        </w:rPr>
        <w:t>to</w:t>
      </w:r>
      <w:r>
        <w:rPr>
          <w:color w:val="3B383B"/>
          <w:spacing w:val="10"/>
          <w:w w:val="110"/>
        </w:rPr>
        <w:t> </w:t>
      </w:r>
      <w:r>
        <w:rPr>
          <w:color w:val="3B383B"/>
          <w:w w:val="110"/>
        </w:rPr>
        <w:t>use</w:t>
      </w:r>
      <w:r>
        <w:rPr>
          <w:color w:val="3B383B"/>
          <w:spacing w:val="1"/>
          <w:w w:val="110"/>
        </w:rPr>
        <w:t> </w:t>
      </w:r>
      <w:r>
        <w:rPr>
          <w:color w:val="3B383B"/>
          <w:spacing w:val="-1"/>
          <w:w w:val="110"/>
        </w:rPr>
        <w:t>and</w:t>
      </w:r>
      <w:r>
        <w:rPr>
          <w:color w:val="3B383B"/>
          <w:spacing w:val="11"/>
          <w:w w:val="110"/>
        </w:rPr>
        <w:t> </w:t>
      </w:r>
      <w:r>
        <w:rPr>
          <w:color w:val="3B383B"/>
          <w:spacing w:val="-1"/>
          <w:w w:val="110"/>
        </w:rPr>
        <w:t>which</w:t>
      </w:r>
      <w:r>
        <w:rPr>
          <w:color w:val="3B383B"/>
          <w:spacing w:val="-8"/>
          <w:w w:val="110"/>
        </w:rPr>
        <w:t> </w:t>
      </w:r>
      <w:r>
        <w:rPr>
          <w:color w:val="3B383B"/>
          <w:spacing w:val="-1"/>
          <w:w w:val="110"/>
        </w:rPr>
        <w:t>sentence</w:t>
      </w:r>
      <w:r>
        <w:rPr>
          <w:color w:val="3B383B"/>
          <w:spacing w:val="-18"/>
          <w:w w:val="110"/>
        </w:rPr>
        <w:t> </w:t>
      </w:r>
      <w:r>
        <w:rPr>
          <w:color w:val="3B383B"/>
          <w:spacing w:val="-1"/>
          <w:w w:val="110"/>
        </w:rPr>
        <w:t>structures </w:t>
      </w:r>
      <w:r>
        <w:rPr>
          <w:color w:val="3B383B"/>
          <w:w w:val="110"/>
        </w:rPr>
        <w:t>to</w:t>
      </w:r>
      <w:r>
        <w:rPr>
          <w:color w:val="3B383B"/>
          <w:spacing w:val="-4"/>
          <w:w w:val="110"/>
        </w:rPr>
        <w:t> </w:t>
      </w:r>
      <w:r>
        <w:rPr>
          <w:color w:val="3B383B"/>
          <w:w w:val="110"/>
        </w:rPr>
        <w:t>arrange</w:t>
      </w:r>
      <w:r>
        <w:rPr>
          <w:color w:val="3B383B"/>
          <w:spacing w:val="-10"/>
          <w:w w:val="110"/>
        </w:rPr>
        <w:t> </w:t>
      </w:r>
      <w:r>
        <w:rPr>
          <w:color w:val="3B383B"/>
          <w:w w:val="110"/>
        </w:rPr>
        <w:t>those</w:t>
      </w:r>
      <w:r>
        <w:rPr>
          <w:color w:val="3B383B"/>
          <w:spacing w:val="-15"/>
          <w:w w:val="110"/>
        </w:rPr>
        <w:t> </w:t>
      </w:r>
      <w:r>
        <w:rPr>
          <w:color w:val="3B383B"/>
          <w:w w:val="110"/>
        </w:rPr>
        <w:t>words</w:t>
      </w:r>
      <w:r>
        <w:rPr>
          <w:color w:val="3B383B"/>
          <w:spacing w:val="-17"/>
          <w:w w:val="110"/>
        </w:rPr>
        <w:t> </w:t>
      </w:r>
      <w:r>
        <w:rPr>
          <w:color w:val="3B383B"/>
          <w:w w:val="110"/>
        </w:rPr>
        <w:t>in</w:t>
      </w:r>
      <w:r>
        <w:rPr>
          <w:color w:val="595759"/>
          <w:w w:val="110"/>
        </w:rPr>
        <w:t>.</w:t>
      </w:r>
      <w:r>
        <w:rPr>
          <w:color w:val="595759"/>
          <w:spacing w:val="-6"/>
          <w:w w:val="110"/>
        </w:rPr>
        <w:t> </w:t>
      </w:r>
      <w:r>
        <w:rPr>
          <w:color w:val="3B383B"/>
          <w:w w:val="110"/>
        </w:rPr>
        <w:t>You</w:t>
      </w:r>
      <w:r>
        <w:rPr>
          <w:color w:val="3B383B"/>
          <w:spacing w:val="-1"/>
          <w:w w:val="110"/>
        </w:rPr>
        <w:t> </w:t>
      </w:r>
      <w:r>
        <w:rPr>
          <w:color w:val="3B383B"/>
          <w:w w:val="110"/>
        </w:rPr>
        <w:t>must</w:t>
      </w:r>
      <w:r>
        <w:rPr>
          <w:color w:val="3B383B"/>
          <w:spacing w:val="-15"/>
          <w:w w:val="110"/>
        </w:rPr>
        <w:t> </w:t>
      </w:r>
      <w:r>
        <w:rPr>
          <w:color w:val="3B383B"/>
          <w:w w:val="110"/>
        </w:rPr>
        <w:t>decide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whether it is permissible to end a sentence with a preposition, whether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you</w:t>
      </w:r>
      <w:r>
        <w:rPr>
          <w:color w:val="3B383B"/>
          <w:spacing w:val="-9"/>
          <w:w w:val="110"/>
        </w:rPr>
        <w:t> </w:t>
      </w:r>
      <w:r>
        <w:rPr>
          <w:color w:val="3B383B"/>
          <w:w w:val="110"/>
        </w:rPr>
        <w:t>can</w:t>
      </w:r>
      <w:r>
        <w:rPr>
          <w:color w:val="3B383B"/>
          <w:spacing w:val="5"/>
          <w:w w:val="110"/>
        </w:rPr>
        <w:t> </w:t>
      </w:r>
      <w:r>
        <w:rPr>
          <w:color w:val="3B383B"/>
          <w:w w:val="110"/>
        </w:rPr>
        <w:t>split</w:t>
      </w:r>
      <w:r>
        <w:rPr>
          <w:color w:val="3B383B"/>
          <w:spacing w:val="-9"/>
          <w:w w:val="110"/>
        </w:rPr>
        <w:t> </w:t>
      </w:r>
      <w:r>
        <w:rPr>
          <w:color w:val="3B383B"/>
          <w:w w:val="110"/>
        </w:rPr>
        <w:t>infinitives,</w:t>
      </w:r>
      <w:r>
        <w:rPr>
          <w:color w:val="3B383B"/>
          <w:spacing w:val="-9"/>
          <w:w w:val="110"/>
        </w:rPr>
        <w:t> </w:t>
      </w:r>
      <w:r>
        <w:rPr>
          <w:color w:val="3B383B"/>
          <w:w w:val="110"/>
        </w:rPr>
        <w:t>and</w:t>
      </w:r>
      <w:r>
        <w:rPr>
          <w:color w:val="3B383B"/>
          <w:spacing w:val="9"/>
          <w:w w:val="110"/>
        </w:rPr>
        <w:t> </w:t>
      </w:r>
      <w:r>
        <w:rPr>
          <w:color w:val="3B383B"/>
          <w:w w:val="110"/>
        </w:rPr>
        <w:t>whether</w:t>
      </w:r>
      <w:r>
        <w:rPr>
          <w:color w:val="3B383B"/>
          <w:spacing w:val="-1"/>
          <w:w w:val="110"/>
        </w:rPr>
        <w:t> </w:t>
      </w:r>
      <w:r>
        <w:rPr>
          <w:color w:val="3B383B"/>
          <w:w w:val="110"/>
        </w:rPr>
        <w:t>to</w:t>
      </w:r>
      <w:r>
        <w:rPr>
          <w:color w:val="3B383B"/>
          <w:spacing w:val="6"/>
          <w:w w:val="110"/>
        </w:rPr>
        <w:t> </w:t>
      </w:r>
      <w:r>
        <w:rPr>
          <w:color w:val="3B383B"/>
          <w:w w:val="110"/>
        </w:rPr>
        <w:t>use</w:t>
      </w:r>
      <w:r>
        <w:rPr>
          <w:color w:val="3B383B"/>
          <w:spacing w:val="-10"/>
          <w:w w:val="110"/>
        </w:rPr>
        <w:t> </w:t>
      </w:r>
      <w:r>
        <w:rPr>
          <w:color w:val="3B383B"/>
          <w:w w:val="110"/>
        </w:rPr>
        <w:t>the</w:t>
      </w:r>
      <w:r>
        <w:rPr>
          <w:color w:val="3B383B"/>
          <w:spacing w:val="14"/>
          <w:w w:val="110"/>
        </w:rPr>
        <w:t> </w:t>
      </w:r>
      <w:r>
        <w:rPr>
          <w:color w:val="3B383B"/>
          <w:w w:val="110"/>
        </w:rPr>
        <w:t>Oxford</w:t>
      </w:r>
      <w:r>
        <w:rPr>
          <w:color w:val="3B383B"/>
          <w:spacing w:val="-10"/>
          <w:w w:val="110"/>
        </w:rPr>
        <w:t> </w:t>
      </w:r>
      <w:r>
        <w:rPr>
          <w:color w:val="3B383B"/>
          <w:w w:val="110"/>
        </w:rPr>
        <w:t>comma</w:t>
      </w:r>
      <w:r>
        <w:rPr>
          <w:color w:val="595759"/>
          <w:w w:val="110"/>
        </w:rPr>
        <w:t>.</w:t>
      </w:r>
    </w:p>
    <w:p>
      <w:pPr>
        <w:pStyle w:val="BodyText"/>
        <w:rPr>
          <w:sz w:val="26"/>
        </w:rPr>
      </w:pPr>
    </w:p>
    <w:p>
      <w:pPr>
        <w:spacing w:line="228" w:lineRule="auto" w:before="163"/>
        <w:ind w:left="583" w:right="86" w:firstLine="398"/>
        <w:jc w:val="both"/>
        <w:rPr>
          <w:sz w:val="16"/>
        </w:rPr>
      </w:pPr>
      <w:r>
        <w:rPr>
          <w:i/>
          <w:color w:val="3B383B"/>
          <w:sz w:val="17"/>
        </w:rPr>
        <w:t>ns</w:t>
      </w:r>
      <w:r>
        <w:rPr>
          <w:i/>
          <w:color w:val="595759"/>
          <w:sz w:val="17"/>
        </w:rPr>
        <w:t>e</w:t>
      </w:r>
      <w:r>
        <w:rPr>
          <w:i/>
          <w:color w:val="3B383B"/>
          <w:sz w:val="17"/>
        </w:rPr>
        <w:t>e</w:t>
      </w:r>
      <w:r>
        <w:rPr>
          <w:i/>
          <w:color w:val="3B383B"/>
          <w:spacing w:val="1"/>
          <w:sz w:val="17"/>
        </w:rPr>
        <w:t> </w:t>
      </w:r>
      <w:r>
        <w:rPr>
          <w:color w:val="3B383B"/>
          <w:sz w:val="18"/>
        </w:rPr>
        <w:t>Rasch</w:t>
      </w:r>
      <w:r>
        <w:rPr>
          <w:color w:val="3B383B"/>
          <w:spacing w:val="1"/>
          <w:sz w:val="18"/>
        </w:rPr>
        <w:t> </w:t>
      </w:r>
      <w:r>
        <w:rPr>
          <w:color w:val="3B383B"/>
          <w:sz w:val="16"/>
        </w:rPr>
        <w:t>&amp;</w:t>
      </w:r>
      <w:r>
        <w:rPr>
          <w:color w:val="3B383B"/>
          <w:spacing w:val="1"/>
          <w:sz w:val="16"/>
        </w:rPr>
        <w:t> </w:t>
      </w:r>
      <w:r>
        <w:rPr>
          <w:color w:val="3B383B"/>
          <w:sz w:val="18"/>
        </w:rPr>
        <w:t>Rasch</w:t>
      </w:r>
      <w:r>
        <w:rPr>
          <w:color w:val="595759"/>
          <w:sz w:val="18"/>
        </w:rPr>
        <w:t>, </w:t>
      </w:r>
      <w:r>
        <w:rPr>
          <w:i/>
          <w:color w:val="3B383B"/>
          <w:sz w:val="19"/>
        </w:rPr>
        <w:t>supra </w:t>
      </w:r>
      <w:r>
        <w:rPr>
          <w:color w:val="3B383B"/>
          <w:sz w:val="18"/>
        </w:rPr>
        <w:t>note 18, at 220, 237. Although</w:t>
      </w:r>
      <w:r>
        <w:rPr>
          <w:color w:val="3B383B"/>
          <w:spacing w:val="1"/>
          <w:sz w:val="18"/>
        </w:rPr>
        <w:t> </w:t>
      </w:r>
      <w:r>
        <w:rPr>
          <w:color w:val="3B383B"/>
          <w:sz w:val="18"/>
        </w:rPr>
        <w:t>Ra</w:t>
      </w:r>
      <w:r>
        <w:rPr>
          <w:color w:val="595759"/>
          <w:sz w:val="18"/>
        </w:rPr>
        <w:t>s</w:t>
      </w:r>
      <w:r>
        <w:rPr>
          <w:color w:val="3B383B"/>
          <w:sz w:val="18"/>
        </w:rPr>
        <w:t>ch</w:t>
      </w:r>
      <w:r>
        <w:rPr>
          <w:color w:val="3B383B"/>
          <w:spacing w:val="1"/>
          <w:sz w:val="18"/>
        </w:rPr>
        <w:t> </w:t>
      </w:r>
      <w:r>
        <w:rPr>
          <w:color w:val="3B383B"/>
          <w:sz w:val="17"/>
        </w:rPr>
        <w:t>&amp; </w:t>
      </w:r>
      <w:r>
        <w:rPr>
          <w:color w:val="3B383B"/>
          <w:sz w:val="18"/>
        </w:rPr>
        <w:t>Rasch do</w:t>
      </w:r>
      <w:r>
        <w:rPr>
          <w:color w:val="3B383B"/>
          <w:spacing w:val="1"/>
          <w:sz w:val="18"/>
        </w:rPr>
        <w:t> </w:t>
      </w:r>
      <w:r>
        <w:rPr>
          <w:color w:val="3B383B"/>
          <w:sz w:val="18"/>
        </w:rPr>
        <w:t>not</w:t>
      </w:r>
      <w:r>
        <w:rPr>
          <w:color w:val="3B383B"/>
          <w:spacing w:val="45"/>
          <w:sz w:val="18"/>
        </w:rPr>
        <w:t> </w:t>
      </w:r>
      <w:r>
        <w:rPr>
          <w:color w:val="3B383B"/>
          <w:sz w:val="18"/>
        </w:rPr>
        <w:t>discuss</w:t>
      </w:r>
      <w:r>
        <w:rPr>
          <w:color w:val="3B383B"/>
          <w:spacing w:val="1"/>
          <w:sz w:val="18"/>
        </w:rPr>
        <w:t> </w:t>
      </w:r>
      <w:r>
        <w:rPr>
          <w:color w:val="3B383B"/>
          <w:w w:val="110"/>
          <w:sz w:val="18"/>
        </w:rPr>
        <w:t>mindset, they note that </w:t>
      </w:r>
      <w:r>
        <w:rPr>
          <w:color w:val="595759"/>
          <w:w w:val="110"/>
          <w:sz w:val="18"/>
        </w:rPr>
        <w:t>"</w:t>
      </w:r>
      <w:r>
        <w:rPr>
          <w:color w:val="3B383B"/>
          <w:w w:val="110"/>
          <w:sz w:val="18"/>
        </w:rPr>
        <w:t>(o)thers</w:t>
      </w:r>
      <w:r>
        <w:rPr>
          <w:color w:val="595759"/>
          <w:w w:val="110"/>
          <w:sz w:val="18"/>
        </w:rPr>
        <w:t>' </w:t>
      </w:r>
      <w:r>
        <w:rPr>
          <w:color w:val="3B383B"/>
          <w:w w:val="110"/>
          <w:sz w:val="18"/>
        </w:rPr>
        <w:t>perceptive minds offer a storehouse of Information, and you</w:t>
      </w:r>
      <w:r>
        <w:rPr>
          <w:color w:val="3B383B"/>
          <w:spacing w:val="1"/>
          <w:w w:val="110"/>
          <w:sz w:val="18"/>
        </w:rPr>
        <w:t> </w:t>
      </w:r>
      <w:r>
        <w:rPr>
          <w:color w:val="3B383B"/>
          <w:w w:val="105"/>
          <w:sz w:val="18"/>
        </w:rPr>
        <w:t>can</w:t>
      </w:r>
      <w:r>
        <w:rPr>
          <w:color w:val="3B383B"/>
          <w:spacing w:val="22"/>
          <w:w w:val="105"/>
          <w:sz w:val="18"/>
        </w:rPr>
        <w:t> </w:t>
      </w:r>
      <w:r>
        <w:rPr>
          <w:color w:val="3B383B"/>
          <w:w w:val="105"/>
          <w:sz w:val="18"/>
        </w:rPr>
        <w:t>benefit</w:t>
      </w:r>
      <w:r>
        <w:rPr>
          <w:color w:val="3B383B"/>
          <w:spacing w:val="2"/>
          <w:w w:val="105"/>
          <w:sz w:val="18"/>
        </w:rPr>
        <w:t> </w:t>
      </w:r>
      <w:r>
        <w:rPr>
          <w:color w:val="3B383B"/>
          <w:w w:val="105"/>
          <w:sz w:val="18"/>
        </w:rPr>
        <w:t>from</w:t>
      </w:r>
      <w:r>
        <w:rPr>
          <w:color w:val="3B383B"/>
          <w:spacing w:val="1"/>
          <w:w w:val="105"/>
          <w:sz w:val="18"/>
        </w:rPr>
        <w:t> </w:t>
      </w:r>
      <w:r>
        <w:rPr>
          <w:color w:val="3B383B"/>
          <w:w w:val="105"/>
          <w:sz w:val="18"/>
        </w:rPr>
        <w:t>knowing</w:t>
      </w:r>
      <w:r>
        <w:rPr>
          <w:color w:val="3B383B"/>
          <w:spacing w:val="5"/>
          <w:w w:val="105"/>
          <w:sz w:val="18"/>
        </w:rPr>
        <w:t> </w:t>
      </w:r>
      <w:r>
        <w:rPr>
          <w:color w:val="3B383B"/>
          <w:w w:val="105"/>
          <w:sz w:val="18"/>
        </w:rPr>
        <w:t>what</w:t>
      </w:r>
      <w:r>
        <w:rPr>
          <w:color w:val="3B383B"/>
          <w:spacing w:val="3"/>
          <w:w w:val="105"/>
          <w:sz w:val="18"/>
        </w:rPr>
        <w:t> </w:t>
      </w:r>
      <w:r>
        <w:rPr>
          <w:color w:val="3B383B"/>
          <w:w w:val="105"/>
          <w:sz w:val="18"/>
        </w:rPr>
        <w:t>they</w:t>
      </w:r>
      <w:r>
        <w:rPr>
          <w:color w:val="3B383B"/>
          <w:spacing w:val="-12"/>
          <w:w w:val="105"/>
          <w:sz w:val="18"/>
        </w:rPr>
        <w:t> </w:t>
      </w:r>
      <w:r>
        <w:rPr>
          <w:color w:val="3B383B"/>
          <w:w w:val="105"/>
          <w:sz w:val="18"/>
        </w:rPr>
        <w:t>think</w:t>
      </w:r>
      <w:r>
        <w:rPr>
          <w:color w:val="3B383B"/>
          <w:spacing w:val="4"/>
          <w:w w:val="105"/>
          <w:sz w:val="18"/>
        </w:rPr>
        <w:t> </w:t>
      </w:r>
      <w:r>
        <w:rPr>
          <w:color w:val="3B383B"/>
          <w:w w:val="105"/>
          <w:sz w:val="16"/>
        </w:rPr>
        <w:t>Is</w:t>
      </w:r>
      <w:r>
        <w:rPr>
          <w:color w:val="3B383B"/>
          <w:spacing w:val="-10"/>
          <w:w w:val="105"/>
          <w:sz w:val="16"/>
        </w:rPr>
        <w:t> </w:t>
      </w:r>
      <w:r>
        <w:rPr>
          <w:color w:val="3B383B"/>
          <w:w w:val="105"/>
          <w:sz w:val="18"/>
        </w:rPr>
        <w:t>good,</w:t>
      </w:r>
      <w:r>
        <w:rPr>
          <w:color w:val="3B383B"/>
          <w:spacing w:val="-13"/>
          <w:w w:val="105"/>
          <w:sz w:val="18"/>
        </w:rPr>
        <w:t> </w:t>
      </w:r>
      <w:r>
        <w:rPr>
          <w:color w:val="3B383B"/>
          <w:w w:val="105"/>
          <w:sz w:val="18"/>
        </w:rPr>
        <w:t>or</w:t>
      </w:r>
      <w:r>
        <w:rPr>
          <w:color w:val="3B383B"/>
          <w:spacing w:val="18"/>
          <w:w w:val="105"/>
          <w:sz w:val="18"/>
        </w:rPr>
        <w:t> </w:t>
      </w:r>
      <w:r>
        <w:rPr>
          <w:color w:val="3B383B"/>
          <w:w w:val="105"/>
          <w:sz w:val="18"/>
        </w:rPr>
        <w:t>not</w:t>
      </w:r>
      <w:r>
        <w:rPr>
          <w:color w:val="3B383B"/>
          <w:spacing w:val="17"/>
          <w:w w:val="105"/>
          <w:sz w:val="18"/>
        </w:rPr>
        <w:t> </w:t>
      </w:r>
      <w:r>
        <w:rPr>
          <w:color w:val="3B383B"/>
          <w:w w:val="105"/>
          <w:sz w:val="16"/>
        </w:rPr>
        <w:t>so</w:t>
      </w:r>
      <w:r>
        <w:rPr>
          <w:color w:val="3B383B"/>
          <w:spacing w:val="18"/>
          <w:w w:val="105"/>
          <w:sz w:val="16"/>
        </w:rPr>
        <w:t> </w:t>
      </w:r>
      <w:r>
        <w:rPr>
          <w:color w:val="3B383B"/>
          <w:w w:val="105"/>
          <w:sz w:val="18"/>
        </w:rPr>
        <w:t>good</w:t>
      </w:r>
      <w:r>
        <w:rPr>
          <w:color w:val="595759"/>
          <w:w w:val="105"/>
          <w:sz w:val="18"/>
        </w:rPr>
        <w:t>,</w:t>
      </w:r>
      <w:r>
        <w:rPr>
          <w:color w:val="595759"/>
          <w:spacing w:val="6"/>
          <w:w w:val="105"/>
          <w:sz w:val="18"/>
        </w:rPr>
        <w:t> </w:t>
      </w:r>
      <w:r>
        <w:rPr>
          <w:color w:val="3B383B"/>
          <w:w w:val="105"/>
          <w:sz w:val="18"/>
        </w:rPr>
        <w:t>about</w:t>
      </w:r>
      <w:r>
        <w:rPr>
          <w:color w:val="3B383B"/>
          <w:spacing w:val="5"/>
          <w:w w:val="105"/>
          <w:sz w:val="18"/>
        </w:rPr>
        <w:t> </w:t>
      </w:r>
      <w:r>
        <w:rPr>
          <w:color w:val="3B383B"/>
          <w:w w:val="105"/>
          <w:sz w:val="18"/>
        </w:rPr>
        <w:t>you</w:t>
      </w:r>
      <w:r>
        <w:rPr>
          <w:color w:val="595759"/>
          <w:w w:val="105"/>
          <w:sz w:val="18"/>
        </w:rPr>
        <w:t>r</w:t>
      </w:r>
      <w:r>
        <w:rPr>
          <w:color w:val="595759"/>
          <w:spacing w:val="5"/>
          <w:w w:val="105"/>
          <w:sz w:val="18"/>
        </w:rPr>
        <w:t> </w:t>
      </w:r>
      <w:r>
        <w:rPr>
          <w:color w:val="3B383B"/>
          <w:w w:val="105"/>
          <w:sz w:val="18"/>
        </w:rPr>
        <w:t>work</w:t>
      </w:r>
      <w:r>
        <w:rPr>
          <w:color w:val="3B383B"/>
          <w:spacing w:val="15"/>
          <w:w w:val="105"/>
          <w:sz w:val="18"/>
        </w:rPr>
        <w:t> </w:t>
      </w:r>
      <w:r>
        <w:rPr>
          <w:color w:val="3B383B"/>
          <w:w w:val="105"/>
          <w:sz w:val="18"/>
        </w:rPr>
        <w:t>You</w:t>
      </w:r>
      <w:r>
        <w:rPr>
          <w:color w:val="3B383B"/>
          <w:spacing w:val="2"/>
          <w:w w:val="105"/>
          <w:sz w:val="18"/>
        </w:rPr>
        <w:t> </w:t>
      </w:r>
      <w:r>
        <w:rPr>
          <w:color w:val="3B383B"/>
          <w:w w:val="105"/>
          <w:sz w:val="16"/>
        </w:rPr>
        <w:t>will</w:t>
      </w:r>
    </w:p>
    <w:p>
      <w:pPr>
        <w:spacing w:line="211" w:lineRule="auto" w:before="8"/>
        <w:ind w:left="571" w:right="108" w:firstLine="9"/>
        <w:jc w:val="both"/>
        <w:rPr>
          <w:sz w:val="18"/>
        </w:rPr>
      </w:pPr>
      <w:r>
        <w:rPr>
          <w:color w:val="3B383B"/>
          <w:spacing w:val="-1"/>
          <w:w w:val="110"/>
          <w:sz w:val="18"/>
        </w:rPr>
        <w:t>be more willing and less threatened </w:t>
      </w:r>
      <w:r>
        <w:rPr>
          <w:color w:val="3B383B"/>
          <w:spacing w:val="-1"/>
          <w:w w:val="110"/>
          <w:sz w:val="17"/>
        </w:rPr>
        <w:t>to </w:t>
      </w:r>
      <w:r>
        <w:rPr>
          <w:color w:val="3B383B"/>
          <w:spacing w:val="-1"/>
          <w:w w:val="110"/>
          <w:sz w:val="18"/>
        </w:rPr>
        <w:t>hear tough but true words about </w:t>
      </w:r>
      <w:r>
        <w:rPr>
          <w:color w:val="3B383B"/>
          <w:w w:val="110"/>
          <w:sz w:val="18"/>
        </w:rPr>
        <w:t>your </w:t>
      </w:r>
      <w:r>
        <w:rPr>
          <w:color w:val="595759"/>
          <w:w w:val="110"/>
          <w:sz w:val="18"/>
        </w:rPr>
        <w:t>l</w:t>
      </w:r>
      <w:r>
        <w:rPr>
          <w:color w:val="3B383B"/>
          <w:w w:val="110"/>
          <w:sz w:val="18"/>
        </w:rPr>
        <w:t>egal </w:t>
      </w:r>
      <w:r>
        <w:rPr>
          <w:color w:val="3B383B"/>
          <w:w w:val="110"/>
          <w:sz w:val="17"/>
        </w:rPr>
        <w:t>writing </w:t>
      </w:r>
      <w:r>
        <w:rPr>
          <w:color w:val="3B383B"/>
          <w:w w:val="110"/>
          <w:sz w:val="18"/>
        </w:rPr>
        <w:t>If you</w:t>
      </w:r>
      <w:r>
        <w:rPr>
          <w:color w:val="3B383B"/>
          <w:spacing w:val="-47"/>
          <w:w w:val="110"/>
          <w:sz w:val="18"/>
        </w:rPr>
        <w:t> </w:t>
      </w:r>
      <w:r>
        <w:rPr>
          <w:color w:val="3B383B"/>
          <w:w w:val="105"/>
          <w:sz w:val="18"/>
        </w:rPr>
        <w:t>believe</w:t>
      </w:r>
      <w:r>
        <w:rPr>
          <w:color w:val="3B383B"/>
          <w:spacing w:val="-4"/>
          <w:w w:val="105"/>
          <w:sz w:val="18"/>
        </w:rPr>
        <w:t> </w:t>
      </w:r>
      <w:r>
        <w:rPr>
          <w:color w:val="3B383B"/>
          <w:w w:val="105"/>
          <w:sz w:val="18"/>
        </w:rPr>
        <w:t>those</w:t>
      </w:r>
      <w:r>
        <w:rPr>
          <w:color w:val="3B383B"/>
          <w:spacing w:val="-8"/>
          <w:w w:val="105"/>
          <w:sz w:val="18"/>
        </w:rPr>
        <w:t> </w:t>
      </w:r>
      <w:r>
        <w:rPr>
          <w:color w:val="3B383B"/>
          <w:w w:val="105"/>
          <w:sz w:val="18"/>
        </w:rPr>
        <w:t>words</w:t>
      </w:r>
      <w:r>
        <w:rPr>
          <w:color w:val="3B383B"/>
          <w:spacing w:val="-7"/>
          <w:w w:val="105"/>
          <w:sz w:val="18"/>
        </w:rPr>
        <w:t> </w:t>
      </w:r>
      <w:r>
        <w:rPr>
          <w:color w:val="3B383B"/>
          <w:w w:val="105"/>
          <w:sz w:val="16"/>
        </w:rPr>
        <w:t>will</w:t>
      </w:r>
      <w:r>
        <w:rPr>
          <w:color w:val="3B383B"/>
          <w:spacing w:val="16"/>
          <w:w w:val="105"/>
          <w:sz w:val="16"/>
        </w:rPr>
        <w:t> </w:t>
      </w:r>
      <w:r>
        <w:rPr>
          <w:color w:val="3B383B"/>
          <w:w w:val="105"/>
          <w:sz w:val="18"/>
        </w:rPr>
        <w:t>help</w:t>
      </w:r>
      <w:r>
        <w:rPr>
          <w:color w:val="3B383B"/>
          <w:spacing w:val="-9"/>
          <w:w w:val="105"/>
          <w:sz w:val="18"/>
        </w:rPr>
        <w:t> </w:t>
      </w:r>
      <w:r>
        <w:rPr>
          <w:color w:val="3B383B"/>
          <w:w w:val="105"/>
          <w:sz w:val="18"/>
        </w:rPr>
        <w:t>you</w:t>
      </w:r>
      <w:r>
        <w:rPr>
          <w:color w:val="3B383B"/>
          <w:spacing w:val="7"/>
          <w:w w:val="105"/>
          <w:sz w:val="18"/>
        </w:rPr>
        <w:t> </w:t>
      </w:r>
      <w:r>
        <w:rPr>
          <w:color w:val="3B383B"/>
          <w:w w:val="105"/>
          <w:sz w:val="18"/>
        </w:rPr>
        <w:t>write</w:t>
      </w:r>
      <w:r>
        <w:rPr>
          <w:color w:val="3B383B"/>
          <w:spacing w:val="-5"/>
          <w:w w:val="105"/>
          <w:sz w:val="18"/>
        </w:rPr>
        <w:t> </w:t>
      </w:r>
      <w:r>
        <w:rPr>
          <w:color w:val="3B383B"/>
          <w:w w:val="105"/>
          <w:sz w:val="18"/>
        </w:rPr>
        <w:t>better.</w:t>
      </w:r>
      <w:r>
        <w:rPr>
          <w:color w:val="595759"/>
          <w:w w:val="105"/>
          <w:sz w:val="18"/>
        </w:rPr>
        <w:t>"</w:t>
      </w:r>
      <w:r>
        <w:rPr>
          <w:color w:val="595759"/>
          <w:spacing w:val="2"/>
          <w:w w:val="105"/>
          <w:sz w:val="18"/>
        </w:rPr>
        <w:t> </w:t>
      </w:r>
      <w:r>
        <w:rPr>
          <w:i/>
          <w:color w:val="3B383B"/>
          <w:w w:val="105"/>
          <w:sz w:val="16"/>
        </w:rPr>
        <w:t>Id</w:t>
      </w:r>
      <w:r>
        <w:rPr>
          <w:i/>
          <w:color w:val="595759"/>
          <w:w w:val="105"/>
          <w:sz w:val="16"/>
        </w:rPr>
        <w:t>.</w:t>
      </w:r>
      <w:r>
        <w:rPr>
          <w:i/>
          <w:color w:val="595759"/>
          <w:spacing w:val="1"/>
          <w:w w:val="105"/>
          <w:sz w:val="16"/>
        </w:rPr>
        <w:t> </w:t>
      </w:r>
      <w:r>
        <w:rPr>
          <w:color w:val="3B383B"/>
          <w:w w:val="105"/>
          <w:sz w:val="18"/>
        </w:rPr>
        <w:t>at</w:t>
      </w:r>
      <w:r>
        <w:rPr>
          <w:color w:val="3B383B"/>
          <w:spacing w:val="-1"/>
          <w:w w:val="105"/>
          <w:sz w:val="18"/>
        </w:rPr>
        <w:t> </w:t>
      </w:r>
      <w:r>
        <w:rPr>
          <w:color w:val="3B383B"/>
          <w:w w:val="105"/>
          <w:sz w:val="18"/>
        </w:rPr>
        <w:t>237.</w:t>
      </w:r>
    </w:p>
    <w:p>
      <w:pPr>
        <w:spacing w:before="0"/>
        <w:ind w:left="932" w:right="0" w:firstLine="0"/>
        <w:jc w:val="both"/>
        <w:rPr>
          <w:sz w:val="18"/>
        </w:rPr>
      </w:pPr>
      <w:r>
        <w:rPr>
          <w:i/>
          <w:color w:val="3B383B"/>
          <w:w w:val="105"/>
          <w:sz w:val="17"/>
        </w:rPr>
        <w:t>u</w:t>
      </w:r>
      <w:r>
        <w:rPr>
          <w:i/>
          <w:color w:val="3B383B"/>
          <w:spacing w:val="13"/>
          <w:w w:val="105"/>
          <w:sz w:val="17"/>
        </w:rPr>
        <w:t> </w:t>
      </w:r>
      <w:r>
        <w:rPr>
          <w:color w:val="3B383B"/>
          <w:w w:val="105"/>
          <w:sz w:val="18"/>
        </w:rPr>
        <w:t>Anne</w:t>
      </w:r>
      <w:r>
        <w:rPr>
          <w:color w:val="3B383B"/>
          <w:spacing w:val="-1"/>
          <w:w w:val="105"/>
          <w:sz w:val="18"/>
        </w:rPr>
        <w:t> </w:t>
      </w:r>
      <w:r>
        <w:rPr>
          <w:color w:val="3B383B"/>
          <w:w w:val="105"/>
          <w:sz w:val="17"/>
        </w:rPr>
        <w:t>Lamott,</w:t>
      </w:r>
      <w:r>
        <w:rPr>
          <w:color w:val="3B383B"/>
          <w:spacing w:val="25"/>
          <w:w w:val="105"/>
          <w:sz w:val="17"/>
        </w:rPr>
        <w:t> </w:t>
      </w:r>
      <w:r>
        <w:rPr>
          <w:i/>
          <w:color w:val="3B383B"/>
          <w:w w:val="105"/>
          <w:sz w:val="17"/>
        </w:rPr>
        <w:t>Bird</w:t>
      </w:r>
      <w:r>
        <w:rPr>
          <w:i/>
          <w:color w:val="3B383B"/>
          <w:spacing w:val="13"/>
          <w:w w:val="105"/>
          <w:sz w:val="17"/>
        </w:rPr>
        <w:t> </w:t>
      </w:r>
      <w:r>
        <w:rPr>
          <w:rFonts w:ascii="Arial"/>
          <w:i/>
          <w:color w:val="3B383B"/>
          <w:w w:val="105"/>
          <w:sz w:val="17"/>
        </w:rPr>
        <w:t>by</w:t>
      </w:r>
      <w:r>
        <w:rPr>
          <w:rFonts w:ascii="Arial"/>
          <w:i/>
          <w:color w:val="3B383B"/>
          <w:spacing w:val="12"/>
          <w:w w:val="105"/>
          <w:sz w:val="17"/>
        </w:rPr>
        <w:t> </w:t>
      </w:r>
      <w:r>
        <w:rPr>
          <w:i/>
          <w:color w:val="3B383B"/>
          <w:w w:val="105"/>
          <w:sz w:val="17"/>
        </w:rPr>
        <w:t>Bird:</w:t>
      </w:r>
      <w:r>
        <w:rPr>
          <w:i/>
          <w:color w:val="3B383B"/>
          <w:spacing w:val="-25"/>
          <w:w w:val="105"/>
          <w:sz w:val="17"/>
        </w:rPr>
        <w:t> </w:t>
      </w:r>
      <w:r>
        <w:rPr>
          <w:rFonts w:ascii="Arial"/>
          <w:i/>
          <w:color w:val="3B383B"/>
          <w:w w:val="105"/>
          <w:sz w:val="15"/>
        </w:rPr>
        <w:t>Some</w:t>
      </w:r>
      <w:r>
        <w:rPr>
          <w:rFonts w:ascii="Arial"/>
          <w:i/>
          <w:color w:val="3B383B"/>
          <w:spacing w:val="-24"/>
          <w:w w:val="105"/>
          <w:sz w:val="15"/>
        </w:rPr>
        <w:t> </w:t>
      </w:r>
      <w:r>
        <w:rPr>
          <w:rFonts w:ascii="Arial"/>
          <w:i/>
          <w:color w:val="3B383B"/>
          <w:w w:val="105"/>
          <w:sz w:val="15"/>
        </w:rPr>
        <w:t>Irrstructfons</w:t>
      </w:r>
      <w:r>
        <w:rPr>
          <w:rFonts w:ascii="Arial"/>
          <w:i/>
          <w:color w:val="3B383B"/>
          <w:spacing w:val="5"/>
          <w:w w:val="105"/>
          <w:sz w:val="15"/>
        </w:rPr>
        <w:t> </w:t>
      </w:r>
      <w:r>
        <w:rPr>
          <w:rFonts w:ascii="Arial"/>
          <w:i/>
          <w:color w:val="3B383B"/>
          <w:w w:val="105"/>
          <w:sz w:val="15"/>
        </w:rPr>
        <w:t>on</w:t>
      </w:r>
      <w:r>
        <w:rPr>
          <w:rFonts w:ascii="Arial"/>
          <w:i/>
          <w:color w:val="3B383B"/>
          <w:spacing w:val="25"/>
          <w:w w:val="105"/>
          <w:sz w:val="15"/>
        </w:rPr>
        <w:t> </w:t>
      </w:r>
      <w:r>
        <w:rPr>
          <w:rFonts w:ascii="Arial"/>
          <w:i/>
          <w:color w:val="3B383B"/>
          <w:w w:val="105"/>
          <w:sz w:val="15"/>
        </w:rPr>
        <w:t>Writing</w:t>
      </w:r>
      <w:r>
        <w:rPr>
          <w:rFonts w:ascii="Arial"/>
          <w:i/>
          <w:color w:val="3B383B"/>
          <w:spacing w:val="-19"/>
          <w:w w:val="105"/>
          <w:sz w:val="15"/>
        </w:rPr>
        <w:t> </w:t>
      </w:r>
      <w:r>
        <w:rPr>
          <w:rFonts w:ascii="Arial"/>
          <w:i/>
          <w:color w:val="3B383B"/>
          <w:w w:val="105"/>
          <w:sz w:val="15"/>
        </w:rPr>
        <w:t>and</w:t>
      </w:r>
      <w:r>
        <w:rPr>
          <w:rFonts w:ascii="Arial"/>
          <w:i/>
          <w:color w:val="3B383B"/>
          <w:spacing w:val="-19"/>
          <w:w w:val="105"/>
          <w:sz w:val="15"/>
        </w:rPr>
        <w:t> </w:t>
      </w:r>
      <w:r>
        <w:rPr>
          <w:i/>
          <w:color w:val="3B383B"/>
          <w:w w:val="105"/>
          <w:sz w:val="17"/>
        </w:rPr>
        <w:t>Life</w:t>
      </w:r>
      <w:r>
        <w:rPr>
          <w:i/>
          <w:color w:val="3B383B"/>
          <w:spacing w:val="-9"/>
          <w:w w:val="105"/>
          <w:sz w:val="17"/>
        </w:rPr>
        <w:t> </w:t>
      </w:r>
      <w:r>
        <w:rPr>
          <w:color w:val="3B383B"/>
          <w:w w:val="105"/>
          <w:sz w:val="18"/>
        </w:rPr>
        <w:t>22</w:t>
      </w:r>
      <w:r>
        <w:rPr>
          <w:color w:val="3B383B"/>
          <w:spacing w:val="13"/>
          <w:w w:val="105"/>
          <w:sz w:val="18"/>
        </w:rPr>
        <w:t> </w:t>
      </w:r>
      <w:r>
        <w:rPr>
          <w:color w:val="3B383B"/>
          <w:w w:val="105"/>
          <w:sz w:val="18"/>
        </w:rPr>
        <w:t>(Anchor1995)</w:t>
      </w:r>
      <w:r>
        <w:rPr>
          <w:color w:val="595759"/>
          <w:w w:val="105"/>
          <w:sz w:val="18"/>
        </w:rPr>
        <w:t>.</w:t>
      </w:r>
    </w:p>
    <w:p>
      <w:pPr>
        <w:spacing w:after="0"/>
        <w:jc w:val="both"/>
        <w:rPr>
          <w:sz w:val="18"/>
        </w:rPr>
        <w:sectPr>
          <w:headerReference w:type="even" r:id="rId108"/>
          <w:headerReference w:type="default" r:id="rId109"/>
          <w:pgSz w:w="9460" w:h="13770"/>
          <w:pgMar w:header="466" w:footer="0" w:top="1040" w:bottom="0" w:left="1300" w:right="0"/>
          <w:pgNumType w:start="82"/>
        </w:sectPr>
      </w:pPr>
    </w:p>
    <w:p>
      <w:pPr>
        <w:pStyle w:val="BodyText"/>
        <w:spacing w:line="232" w:lineRule="auto" w:before="87"/>
        <w:ind w:left="110" w:right="243" w:firstLine="370"/>
        <w:jc w:val="right"/>
      </w:pPr>
      <w:r>
        <w:rPr>
          <w:color w:val="383638"/>
          <w:w w:val="115"/>
        </w:rPr>
        <w:t>Facing</w:t>
      </w:r>
      <w:r>
        <w:rPr>
          <w:color w:val="383638"/>
          <w:spacing w:val="-4"/>
          <w:w w:val="115"/>
        </w:rPr>
        <w:t> </w:t>
      </w:r>
      <w:r>
        <w:rPr>
          <w:color w:val="383638"/>
          <w:w w:val="115"/>
        </w:rPr>
        <w:t>so</w:t>
      </w:r>
      <w:r>
        <w:rPr>
          <w:color w:val="383638"/>
          <w:spacing w:val="22"/>
          <w:w w:val="115"/>
        </w:rPr>
        <w:t> </w:t>
      </w:r>
      <w:r>
        <w:rPr>
          <w:color w:val="383638"/>
          <w:w w:val="115"/>
        </w:rPr>
        <w:t>many</w:t>
      </w:r>
      <w:r>
        <w:rPr>
          <w:color w:val="383638"/>
          <w:spacing w:val="4"/>
          <w:w w:val="115"/>
        </w:rPr>
        <w:t> </w:t>
      </w:r>
      <w:r>
        <w:rPr>
          <w:color w:val="383638"/>
          <w:w w:val="115"/>
        </w:rPr>
        <w:t>decisions</w:t>
      </w:r>
      <w:r>
        <w:rPr>
          <w:color w:val="383638"/>
          <w:spacing w:val="9"/>
          <w:w w:val="115"/>
        </w:rPr>
        <w:t> </w:t>
      </w:r>
      <w:r>
        <w:rPr>
          <w:color w:val="383638"/>
          <w:w w:val="115"/>
        </w:rPr>
        <w:t>can</w:t>
      </w:r>
      <w:r>
        <w:rPr>
          <w:color w:val="383638"/>
          <w:spacing w:val="24"/>
          <w:w w:val="115"/>
        </w:rPr>
        <w:t> </w:t>
      </w:r>
      <w:r>
        <w:rPr>
          <w:color w:val="383638"/>
          <w:w w:val="115"/>
        </w:rPr>
        <w:t>be</w:t>
      </w:r>
      <w:r>
        <w:rPr>
          <w:color w:val="383638"/>
          <w:spacing w:val="17"/>
          <w:w w:val="115"/>
        </w:rPr>
        <w:t> </w:t>
      </w:r>
      <w:r>
        <w:rPr>
          <w:color w:val="383638"/>
          <w:w w:val="115"/>
        </w:rPr>
        <w:t>overwhelming,</w:t>
      </w:r>
      <w:r>
        <w:rPr>
          <w:color w:val="383638"/>
          <w:spacing w:val="18"/>
          <w:w w:val="115"/>
        </w:rPr>
        <w:t> </w:t>
      </w:r>
      <w:r>
        <w:rPr>
          <w:color w:val="383638"/>
          <w:w w:val="115"/>
        </w:rPr>
        <w:t>and</w:t>
      </w:r>
      <w:r>
        <w:rPr>
          <w:color w:val="383638"/>
          <w:spacing w:val="39"/>
          <w:w w:val="115"/>
        </w:rPr>
        <w:t> </w:t>
      </w:r>
      <w:r>
        <w:rPr>
          <w:color w:val="383638"/>
          <w:w w:val="115"/>
        </w:rPr>
        <w:t>many</w:t>
      </w:r>
      <w:r>
        <w:rPr>
          <w:color w:val="383638"/>
          <w:spacing w:val="8"/>
          <w:w w:val="115"/>
        </w:rPr>
        <w:t> </w:t>
      </w:r>
      <w:r>
        <w:rPr>
          <w:color w:val="383638"/>
          <w:w w:val="115"/>
        </w:rPr>
        <w:t>writers</w:t>
      </w:r>
      <w:r>
        <w:rPr>
          <w:color w:val="383638"/>
          <w:spacing w:val="-63"/>
          <w:w w:val="115"/>
        </w:rPr>
        <w:t> </w:t>
      </w:r>
      <w:r>
        <w:rPr>
          <w:color w:val="383638"/>
          <w:w w:val="115"/>
        </w:rPr>
        <w:t>choose</w:t>
      </w:r>
      <w:r>
        <w:rPr>
          <w:color w:val="383638"/>
          <w:spacing w:val="-1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34"/>
          <w:w w:val="115"/>
        </w:rPr>
        <w:t> </w:t>
      </w:r>
      <w:r>
        <w:rPr>
          <w:color w:val="383638"/>
          <w:w w:val="115"/>
        </w:rPr>
        <w:t>pleasure</w:t>
      </w:r>
      <w:r>
        <w:rPr>
          <w:color w:val="383638"/>
          <w:spacing w:val="6"/>
          <w:w w:val="115"/>
        </w:rPr>
        <w:t> </w:t>
      </w:r>
      <w:r>
        <w:rPr>
          <w:color w:val="383638"/>
          <w:w w:val="115"/>
        </w:rPr>
        <w:t>of</w:t>
      </w:r>
      <w:r>
        <w:rPr>
          <w:color w:val="383638"/>
          <w:spacing w:val="16"/>
          <w:w w:val="115"/>
        </w:rPr>
        <w:t> </w:t>
      </w:r>
      <w:r>
        <w:rPr>
          <w:color w:val="383638"/>
          <w:w w:val="115"/>
        </w:rPr>
        <w:t>procrastination</w:t>
      </w:r>
      <w:r>
        <w:rPr>
          <w:color w:val="383638"/>
          <w:spacing w:val="-4"/>
          <w:w w:val="115"/>
        </w:rPr>
        <w:t> </w:t>
      </w:r>
      <w:r>
        <w:rPr>
          <w:color w:val="383638"/>
          <w:w w:val="115"/>
        </w:rPr>
        <w:t>over</w:t>
      </w:r>
      <w:r>
        <w:rPr>
          <w:color w:val="383638"/>
          <w:spacing w:val="9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41"/>
          <w:w w:val="115"/>
        </w:rPr>
        <w:t> </w:t>
      </w:r>
      <w:r>
        <w:rPr>
          <w:color w:val="383638"/>
          <w:w w:val="115"/>
        </w:rPr>
        <w:t>pain</w:t>
      </w:r>
      <w:r>
        <w:rPr>
          <w:color w:val="383638"/>
          <w:spacing w:val="2"/>
          <w:w w:val="115"/>
        </w:rPr>
        <w:t> </w:t>
      </w:r>
      <w:r>
        <w:rPr>
          <w:color w:val="383638"/>
          <w:w w:val="115"/>
        </w:rPr>
        <w:t>of</w:t>
      </w:r>
      <w:r>
        <w:rPr>
          <w:color w:val="383638"/>
          <w:spacing w:val="17"/>
          <w:w w:val="115"/>
        </w:rPr>
        <w:t> </w:t>
      </w:r>
      <w:r>
        <w:rPr>
          <w:color w:val="383638"/>
          <w:w w:val="115"/>
        </w:rPr>
        <w:t>decision.</w:t>
      </w:r>
      <w:r>
        <w:rPr>
          <w:color w:val="383638"/>
          <w:spacing w:val="12"/>
          <w:w w:val="115"/>
        </w:rPr>
        <w:t> </w:t>
      </w:r>
      <w:r>
        <w:rPr>
          <w:color w:val="383638"/>
          <w:w w:val="115"/>
        </w:rPr>
        <w:t>Good</w:t>
      </w:r>
      <w:r>
        <w:rPr>
          <w:color w:val="383638"/>
          <w:spacing w:val="-63"/>
          <w:w w:val="115"/>
        </w:rPr>
        <w:t> </w:t>
      </w:r>
      <w:r>
        <w:rPr>
          <w:color w:val="383638"/>
          <w:w w:val="110"/>
        </w:rPr>
        <w:t>writing requires focused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attention,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our current culture,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distraction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and inattention seem to reap all of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rewards. We may start writing with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all good intentions, but when we reach a difficult decision, we may feel</w:t>
      </w:r>
      <w:r>
        <w:rPr>
          <w:color w:val="383638"/>
          <w:spacing w:val="-64"/>
          <w:w w:val="115"/>
        </w:rPr>
        <w:t> </w:t>
      </w:r>
      <w:r>
        <w:rPr>
          <w:color w:val="383638"/>
          <w:spacing w:val="-1"/>
          <w:w w:val="110"/>
        </w:rPr>
        <w:t>almost a compulsion to stop writing. As </w:t>
      </w:r>
      <w:r>
        <w:rPr>
          <w:color w:val="383638"/>
          <w:w w:val="110"/>
        </w:rPr>
        <w:t>Rasch and Rasch tell us, "[we] can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5"/>
        </w:rPr>
        <w:t>easily</w:t>
      </w:r>
      <w:r>
        <w:rPr>
          <w:color w:val="383638"/>
          <w:spacing w:val="14"/>
          <w:w w:val="115"/>
        </w:rPr>
        <w:t> </w:t>
      </w:r>
      <w:r>
        <w:rPr>
          <w:color w:val="383638"/>
          <w:w w:val="115"/>
        </w:rPr>
        <w:t>be</w:t>
      </w:r>
      <w:r>
        <w:rPr>
          <w:color w:val="383638"/>
          <w:spacing w:val="-2"/>
          <w:w w:val="115"/>
        </w:rPr>
        <w:t> </w:t>
      </w:r>
      <w:r>
        <w:rPr>
          <w:color w:val="383638"/>
          <w:w w:val="115"/>
        </w:rPr>
        <w:t>derailed</w:t>
      </w:r>
      <w:r>
        <w:rPr>
          <w:color w:val="383638"/>
          <w:spacing w:val="8"/>
          <w:w w:val="115"/>
        </w:rPr>
        <w:t> </w:t>
      </w:r>
      <w:r>
        <w:rPr>
          <w:color w:val="383638"/>
          <w:w w:val="115"/>
        </w:rPr>
        <w:t>from</w:t>
      </w:r>
      <w:r>
        <w:rPr>
          <w:color w:val="383638"/>
          <w:spacing w:val="10"/>
          <w:w w:val="115"/>
        </w:rPr>
        <w:t> </w:t>
      </w:r>
      <w:r>
        <w:rPr>
          <w:color w:val="383638"/>
          <w:w w:val="115"/>
        </w:rPr>
        <w:t>writing</w:t>
      </w:r>
      <w:r>
        <w:rPr>
          <w:color w:val="383638"/>
          <w:spacing w:val="6"/>
          <w:w w:val="115"/>
        </w:rPr>
        <w:t> </w:t>
      </w:r>
      <w:r>
        <w:rPr>
          <w:color w:val="383638"/>
          <w:w w:val="115"/>
        </w:rPr>
        <w:t>by</w:t>
      </w:r>
      <w:r>
        <w:rPr>
          <w:color w:val="383638"/>
          <w:spacing w:val="11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17"/>
          <w:w w:val="115"/>
        </w:rPr>
        <w:t> </w:t>
      </w:r>
      <w:r>
        <w:rPr>
          <w:color w:val="383638"/>
          <w:w w:val="115"/>
        </w:rPr>
        <w:t>compelling and</w:t>
      </w:r>
      <w:r>
        <w:rPr>
          <w:color w:val="383638"/>
          <w:spacing w:val="33"/>
          <w:w w:val="115"/>
        </w:rPr>
        <w:t> </w:t>
      </w:r>
      <w:r>
        <w:rPr>
          <w:color w:val="383638"/>
          <w:w w:val="115"/>
        </w:rPr>
        <w:t>ubiquitous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siren</w:t>
      </w:r>
      <w:r>
        <w:rPr>
          <w:color w:val="383638"/>
          <w:spacing w:val="-63"/>
          <w:w w:val="115"/>
        </w:rPr>
        <w:t> </w:t>
      </w:r>
      <w:r>
        <w:rPr>
          <w:color w:val="383638"/>
          <w:w w:val="110"/>
        </w:rPr>
        <w:t>songs of e-mail,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Internet,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parties, conversation, television,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hot  baths,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the refrigerator, or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compulsion to scrub tile grout with a toothbrush."</w:t>
      </w:r>
      <w:r>
        <w:rPr>
          <w:color w:val="383638"/>
          <w:w w:val="110"/>
          <w:vertAlign w:val="superscript"/>
        </w:rPr>
        <w:t>24</w:t>
      </w:r>
      <w:r>
        <w:rPr>
          <w:color w:val="383638"/>
          <w:spacing w:val="-61"/>
          <w:w w:val="110"/>
          <w:vertAlign w:val="baseline"/>
        </w:rPr>
        <w:t> </w:t>
      </w:r>
      <w:r>
        <w:rPr>
          <w:color w:val="383638"/>
          <w:spacing w:val="-1"/>
          <w:w w:val="115"/>
          <w:vertAlign w:val="baseline"/>
        </w:rPr>
        <w:t>Furthermore,</w:t>
      </w:r>
      <w:r>
        <w:rPr>
          <w:color w:val="383638"/>
          <w:spacing w:val="-2"/>
          <w:w w:val="115"/>
          <w:vertAlign w:val="baseline"/>
        </w:rPr>
        <w:t> </w:t>
      </w:r>
      <w:r>
        <w:rPr>
          <w:color w:val="383638"/>
          <w:spacing w:val="-1"/>
          <w:w w:val="115"/>
          <w:vertAlign w:val="baseline"/>
        </w:rPr>
        <w:t>many</w:t>
      </w:r>
      <w:r>
        <w:rPr>
          <w:color w:val="383638"/>
          <w:spacing w:val="-10"/>
          <w:w w:val="115"/>
          <w:vertAlign w:val="baseline"/>
        </w:rPr>
        <w:t> </w:t>
      </w:r>
      <w:r>
        <w:rPr>
          <w:color w:val="383638"/>
          <w:spacing w:val="-1"/>
          <w:w w:val="115"/>
          <w:vertAlign w:val="baseline"/>
        </w:rPr>
        <w:t>distractions</w:t>
      </w:r>
      <w:r>
        <w:rPr>
          <w:color w:val="383638"/>
          <w:spacing w:val="-12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are</w:t>
      </w:r>
      <w:r>
        <w:rPr>
          <w:color w:val="383638"/>
          <w:spacing w:val="-9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readily</w:t>
      </w:r>
      <w:r>
        <w:rPr>
          <w:color w:val="383638"/>
          <w:spacing w:val="-16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available,</w:t>
      </w:r>
      <w:r>
        <w:rPr>
          <w:color w:val="383638"/>
          <w:spacing w:val="-1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either</w:t>
      </w:r>
      <w:r>
        <w:rPr>
          <w:color w:val="383638"/>
          <w:spacing w:val="-10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on</w:t>
      </w:r>
      <w:r>
        <w:rPr>
          <w:color w:val="383638"/>
          <w:spacing w:val="4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our com­</w:t>
      </w:r>
      <w:r>
        <w:rPr>
          <w:color w:val="383638"/>
          <w:spacing w:val="-63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puter-which,</w:t>
      </w:r>
      <w:r>
        <w:rPr>
          <w:color w:val="383638"/>
          <w:spacing w:val="22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ironically,</w:t>
      </w:r>
      <w:r>
        <w:rPr>
          <w:color w:val="383638"/>
          <w:spacing w:val="26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we</w:t>
      </w:r>
      <w:r>
        <w:rPr>
          <w:color w:val="383638"/>
          <w:spacing w:val="29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must</w:t>
      </w:r>
      <w:r>
        <w:rPr>
          <w:color w:val="383638"/>
          <w:spacing w:val="21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use</w:t>
      </w:r>
      <w:r>
        <w:rPr>
          <w:color w:val="383638"/>
          <w:spacing w:val="-7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in</w:t>
      </w:r>
      <w:r>
        <w:rPr>
          <w:color w:val="383638"/>
          <w:spacing w:val="25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order</w:t>
      </w:r>
      <w:r>
        <w:rPr>
          <w:color w:val="383638"/>
          <w:spacing w:val="24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to</w:t>
      </w:r>
      <w:r>
        <w:rPr>
          <w:color w:val="383638"/>
          <w:spacing w:val="26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complete</w:t>
      </w:r>
      <w:r>
        <w:rPr>
          <w:color w:val="383638"/>
          <w:spacing w:val="22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the</w:t>
      </w:r>
      <w:r>
        <w:rPr>
          <w:color w:val="383638"/>
          <w:spacing w:val="52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writing</w:t>
      </w:r>
      <w:r>
        <w:rPr>
          <w:color w:val="383638"/>
          <w:spacing w:val="1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project-or on a smartphone that is probably in a nearby pocket or purse.</w:t>
      </w:r>
      <w:r>
        <w:rPr>
          <w:color w:val="383638"/>
          <w:spacing w:val="-64"/>
          <w:w w:val="115"/>
          <w:vertAlign w:val="baseline"/>
        </w:rPr>
        <w:t> </w:t>
      </w:r>
      <w:r>
        <w:rPr>
          <w:color w:val="383638"/>
          <w:w w:val="110"/>
          <w:vertAlign w:val="baseline"/>
        </w:rPr>
        <w:t>It is true that we will feel pain if  we  put  off  our  writing decisions  for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5"/>
          <w:vertAlign w:val="baseline"/>
        </w:rPr>
        <w:t>too</w:t>
      </w:r>
      <w:r>
        <w:rPr>
          <w:color w:val="383638"/>
          <w:spacing w:val="-5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long-we</w:t>
      </w:r>
      <w:r>
        <w:rPr>
          <w:color w:val="383638"/>
          <w:spacing w:val="6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will</w:t>
      </w:r>
      <w:r>
        <w:rPr>
          <w:color w:val="383638"/>
          <w:spacing w:val="-6"/>
          <w:w w:val="115"/>
          <w:vertAlign w:val="baseline"/>
        </w:rPr>
        <w:t> </w:t>
      </w:r>
      <w:r>
        <w:rPr>
          <w:color w:val="383638"/>
          <w:w w:val="115"/>
          <w:sz w:val="22"/>
          <w:vertAlign w:val="baseline"/>
        </w:rPr>
        <w:t>fail</w:t>
      </w:r>
      <w:r>
        <w:rPr>
          <w:color w:val="383638"/>
          <w:spacing w:val="-1"/>
          <w:w w:val="115"/>
          <w:sz w:val="22"/>
          <w:vertAlign w:val="baseline"/>
        </w:rPr>
        <w:t> </w:t>
      </w:r>
      <w:r>
        <w:rPr>
          <w:color w:val="383638"/>
          <w:w w:val="115"/>
          <w:vertAlign w:val="baseline"/>
        </w:rPr>
        <w:t>the</w:t>
      </w:r>
      <w:r>
        <w:rPr>
          <w:color w:val="383638"/>
          <w:spacing w:val="8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course,</w:t>
      </w:r>
      <w:r>
        <w:rPr>
          <w:color w:val="383638"/>
          <w:spacing w:val="2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lose</w:t>
      </w:r>
      <w:r>
        <w:rPr>
          <w:color w:val="383638"/>
          <w:spacing w:val="-4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the</w:t>
      </w:r>
      <w:r>
        <w:rPr>
          <w:color w:val="383638"/>
          <w:spacing w:val="19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case,</w:t>
      </w:r>
      <w:r>
        <w:rPr>
          <w:color w:val="383638"/>
          <w:spacing w:val="-3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or</w:t>
      </w:r>
      <w:r>
        <w:rPr>
          <w:color w:val="383638"/>
          <w:spacing w:val="13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damage</w:t>
      </w:r>
      <w:r>
        <w:rPr>
          <w:color w:val="383638"/>
          <w:spacing w:val="-5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our</w:t>
      </w:r>
      <w:r>
        <w:rPr>
          <w:color w:val="383638"/>
          <w:spacing w:val="22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academic</w:t>
      </w:r>
      <w:r>
        <w:rPr>
          <w:color w:val="383638"/>
          <w:spacing w:val="-63"/>
          <w:w w:val="115"/>
          <w:vertAlign w:val="baseline"/>
        </w:rPr>
        <w:t> </w:t>
      </w:r>
      <w:r>
        <w:rPr>
          <w:color w:val="383638"/>
          <w:w w:val="110"/>
          <w:vertAlign w:val="baseline"/>
        </w:rPr>
        <w:t>or professional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reputation. These "pains," however, are in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the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future, and</w:t>
      </w:r>
      <w:r>
        <w:rPr>
          <w:color w:val="383638"/>
          <w:spacing w:val="-61"/>
          <w:w w:val="110"/>
          <w:vertAlign w:val="baseline"/>
        </w:rPr>
        <w:t> </w:t>
      </w:r>
      <w:r>
        <w:rPr>
          <w:color w:val="383638"/>
          <w:spacing w:val="-1"/>
          <w:w w:val="111"/>
          <w:vertAlign w:val="baseline"/>
        </w:rPr>
        <w:t>the</w:t>
      </w:r>
      <w:r>
        <w:rPr>
          <w:color w:val="383638"/>
          <w:w w:val="111"/>
          <w:vertAlign w:val="baseline"/>
        </w:rPr>
        <w:t>y</w:t>
      </w:r>
      <w:r>
        <w:rPr>
          <w:color w:val="383638"/>
          <w:spacing w:val="-22"/>
          <w:vertAlign w:val="baseline"/>
        </w:rPr>
        <w:t> </w:t>
      </w:r>
      <w:r>
        <w:rPr>
          <w:color w:val="383638"/>
          <w:spacing w:val="-1"/>
          <w:w w:val="111"/>
          <w:vertAlign w:val="baseline"/>
        </w:rPr>
        <w:t>ar</w:t>
      </w:r>
      <w:r>
        <w:rPr>
          <w:color w:val="383638"/>
          <w:w w:val="111"/>
          <w:vertAlign w:val="baseline"/>
        </w:rPr>
        <w:t>e</w:t>
      </w:r>
      <w:r>
        <w:rPr>
          <w:color w:val="383638"/>
          <w:spacing w:val="-4"/>
          <w:vertAlign w:val="baseline"/>
        </w:rPr>
        <w:t> </w:t>
      </w:r>
      <w:r>
        <w:rPr>
          <w:color w:val="383638"/>
          <w:spacing w:val="-1"/>
          <w:w w:val="112"/>
          <w:vertAlign w:val="baseline"/>
        </w:rPr>
        <w:t>abstract</w:t>
      </w:r>
      <w:r>
        <w:rPr>
          <w:color w:val="383638"/>
          <w:w w:val="112"/>
          <w:vertAlign w:val="baseline"/>
        </w:rPr>
        <w:t>,</w:t>
      </w:r>
      <w:r>
        <w:rPr>
          <w:color w:val="383638"/>
          <w:spacing w:val="9"/>
          <w:vertAlign w:val="baseline"/>
        </w:rPr>
        <w:t> </w:t>
      </w:r>
      <w:r>
        <w:rPr>
          <w:color w:val="383638"/>
          <w:w w:val="116"/>
          <w:vertAlign w:val="baseline"/>
        </w:rPr>
        <w:t>potential</w:t>
      </w:r>
      <w:r>
        <w:rPr>
          <w:color w:val="383638"/>
          <w:spacing w:val="7"/>
          <w:vertAlign w:val="baseline"/>
        </w:rPr>
        <w:t> </w:t>
      </w:r>
      <w:r>
        <w:rPr>
          <w:color w:val="383638"/>
          <w:w w:val="114"/>
          <w:vertAlign w:val="baseline"/>
        </w:rPr>
        <w:t>pains</w:t>
      </w:r>
      <w:r>
        <w:rPr>
          <w:color w:val="383638"/>
          <w:spacing w:val="1"/>
          <w:vertAlign w:val="baseline"/>
        </w:rPr>
        <w:t> </w:t>
      </w:r>
      <w:r>
        <w:rPr>
          <w:color w:val="383638"/>
          <w:w w:val="116"/>
          <w:vertAlign w:val="baseline"/>
        </w:rPr>
        <w:t>rather</w:t>
      </w:r>
      <w:r>
        <w:rPr>
          <w:color w:val="383638"/>
          <w:spacing w:val="1"/>
          <w:vertAlign w:val="baseline"/>
        </w:rPr>
        <w:t> </w:t>
      </w:r>
      <w:r>
        <w:rPr>
          <w:color w:val="383638"/>
          <w:spacing w:val="-1"/>
          <w:w w:val="123"/>
          <w:vertAlign w:val="baseline"/>
        </w:rPr>
        <w:t>tha</w:t>
      </w:r>
      <w:r>
        <w:rPr>
          <w:color w:val="383638"/>
          <w:w w:val="123"/>
          <w:vertAlign w:val="baseline"/>
        </w:rPr>
        <w:t>n</w:t>
      </w:r>
      <w:r>
        <w:rPr>
          <w:color w:val="383638"/>
          <w:spacing w:val="-3"/>
          <w:vertAlign w:val="baseline"/>
        </w:rPr>
        <w:t> </w:t>
      </w:r>
      <w:r>
        <w:rPr>
          <w:color w:val="383638"/>
          <w:spacing w:val="-1"/>
          <w:w w:val="113"/>
          <w:vertAlign w:val="baseline"/>
        </w:rPr>
        <w:t>concrete</w:t>
      </w:r>
      <w:r>
        <w:rPr>
          <w:color w:val="383638"/>
          <w:w w:val="113"/>
          <w:vertAlign w:val="baseline"/>
        </w:rPr>
        <w:t>,</w:t>
      </w:r>
      <w:r>
        <w:rPr>
          <w:color w:val="383638"/>
          <w:spacing w:val="8"/>
          <w:vertAlign w:val="baseline"/>
        </w:rPr>
        <w:t> </w:t>
      </w:r>
      <w:r>
        <w:rPr>
          <w:color w:val="383638"/>
          <w:spacing w:val="-1"/>
          <w:w w:val="113"/>
          <w:vertAlign w:val="baseline"/>
        </w:rPr>
        <w:t>immediat</w:t>
      </w:r>
      <w:r>
        <w:rPr>
          <w:color w:val="383638"/>
          <w:w w:val="113"/>
          <w:vertAlign w:val="baseline"/>
        </w:rPr>
        <w:t>e</w:t>
      </w:r>
      <w:r>
        <w:rPr>
          <w:color w:val="383638"/>
          <w:spacing w:val="7"/>
          <w:vertAlign w:val="baseline"/>
        </w:rPr>
        <w:t> </w:t>
      </w:r>
      <w:r>
        <w:rPr>
          <w:color w:val="383638"/>
          <w:w w:val="108"/>
          <w:vertAlign w:val="baseline"/>
        </w:rPr>
        <w:t>pains.</w:t>
      </w:r>
      <w:r>
        <w:rPr>
          <w:rFonts w:ascii="Arial" w:hAnsi="Arial"/>
          <w:color w:val="383638"/>
          <w:spacing w:val="-1"/>
          <w:w w:val="108"/>
          <w:position w:val="8"/>
          <w:sz w:val="11"/>
          <w:vertAlign w:val="baseline"/>
        </w:rPr>
        <w:t>25 </w:t>
      </w:r>
      <w:r>
        <w:rPr>
          <w:color w:val="383638"/>
          <w:w w:val="110"/>
          <w:vertAlign w:val="baseline"/>
        </w:rPr>
        <w:t>Most</w:t>
      </w:r>
      <w:r>
        <w:rPr>
          <w:color w:val="383638"/>
          <w:spacing w:val="3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of</w:t>
      </w:r>
      <w:r>
        <w:rPr>
          <w:color w:val="383638"/>
          <w:spacing w:val="9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us</w:t>
      </w:r>
      <w:r>
        <w:rPr>
          <w:color w:val="383638"/>
          <w:spacing w:val="19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are</w:t>
      </w:r>
      <w:r>
        <w:rPr>
          <w:color w:val="383638"/>
          <w:spacing w:val="22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much</w:t>
      </w:r>
      <w:r>
        <w:rPr>
          <w:color w:val="383638"/>
          <w:spacing w:val="19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more</w:t>
      </w:r>
      <w:r>
        <w:rPr>
          <w:color w:val="383638"/>
          <w:spacing w:val="-7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likely</w:t>
      </w:r>
      <w:r>
        <w:rPr>
          <w:color w:val="383638"/>
          <w:spacing w:val="7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to</w:t>
      </w:r>
      <w:r>
        <w:rPr>
          <w:color w:val="383638"/>
          <w:spacing w:val="28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react</w:t>
      </w:r>
      <w:r>
        <w:rPr>
          <w:color w:val="383638"/>
          <w:spacing w:val="9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to</w:t>
      </w:r>
      <w:r>
        <w:rPr>
          <w:color w:val="383638"/>
          <w:spacing w:val="18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immediate,</w:t>
      </w:r>
      <w:r>
        <w:rPr>
          <w:color w:val="383638"/>
          <w:spacing w:val="1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definite,</w:t>
      </w:r>
      <w:r>
        <w:rPr>
          <w:color w:val="383638"/>
          <w:spacing w:val="6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concrete</w:t>
      </w:r>
    </w:p>
    <w:p>
      <w:pPr>
        <w:pStyle w:val="BodyText"/>
        <w:spacing w:line="263" w:lineRule="exact" w:before="6"/>
        <w:ind w:left="136"/>
        <w:jc w:val="both"/>
        <w:rPr>
          <w:rFonts w:ascii="Arial"/>
        </w:rPr>
      </w:pPr>
      <w:r>
        <w:rPr>
          <w:color w:val="383638"/>
          <w:w w:val="110"/>
        </w:rPr>
        <w:t>realities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than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future,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abstract,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possible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realities.</w:t>
      </w:r>
      <w:r>
        <w:rPr>
          <w:rFonts w:ascii="Arial"/>
          <w:color w:val="383638"/>
          <w:w w:val="110"/>
          <w:vertAlign w:val="superscript"/>
        </w:rPr>
        <w:t>26</w:t>
      </w:r>
    </w:p>
    <w:p>
      <w:pPr>
        <w:pStyle w:val="BodyText"/>
        <w:spacing w:line="235" w:lineRule="auto" w:before="2"/>
        <w:ind w:left="129" w:right="215" w:firstLine="361"/>
        <w:jc w:val="both"/>
      </w:pPr>
      <w:r>
        <w:rPr>
          <w:color w:val="383638"/>
          <w:w w:val="110"/>
        </w:rPr>
        <w:t>Fighting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pain-based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procrastination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requires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finding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methods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imposing self-discipline. You may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succeed by drafting a careful schedule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and then sticking to it. (Take care, however, that youdo not resort to refin­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ing the schedule as a new means of  procrastination.) Checking off items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on the schedule may provide enough satisfaction that youstop procrasti­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nating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give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yourself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44"/>
          <w:w w:val="110"/>
        </w:rPr>
        <w:t> </w:t>
      </w:r>
      <w:r>
        <w:rPr>
          <w:color w:val="383638"/>
          <w:w w:val="110"/>
        </w:rPr>
        <w:t>pleasure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checking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off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more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items.</w:t>
      </w:r>
    </w:p>
    <w:p>
      <w:pPr>
        <w:pStyle w:val="BodyText"/>
        <w:spacing w:line="245" w:lineRule="exact"/>
        <w:ind w:left="473"/>
        <w:jc w:val="both"/>
      </w:pPr>
      <w:r>
        <w:rPr>
          <w:rFonts w:ascii="Arial"/>
          <w:color w:val="383638"/>
          <w:w w:val="110"/>
        </w:rPr>
        <w:t>If</w:t>
      </w:r>
      <w:r>
        <w:rPr>
          <w:rFonts w:ascii="Arial"/>
          <w:color w:val="383638"/>
          <w:spacing w:val="34"/>
          <w:w w:val="110"/>
        </w:rPr>
        <w:t> </w:t>
      </w:r>
      <w:r>
        <w:rPr>
          <w:color w:val="383638"/>
          <w:w w:val="110"/>
        </w:rPr>
        <w:t>making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schedule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does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not</w:t>
      </w:r>
      <w:r>
        <w:rPr>
          <w:color w:val="383638"/>
          <w:spacing w:val="26"/>
          <w:w w:val="110"/>
        </w:rPr>
        <w:t> </w:t>
      </w:r>
      <w:r>
        <w:rPr>
          <w:color w:val="383638"/>
          <w:w w:val="110"/>
        </w:rPr>
        <w:t>work,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try</w:t>
      </w:r>
      <w:r>
        <w:rPr>
          <w:color w:val="383638"/>
          <w:spacing w:val="46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determine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whether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are</w:t>
      </w:r>
    </w:p>
    <w:p>
      <w:pPr>
        <w:pStyle w:val="BodyText"/>
        <w:spacing w:line="235" w:lineRule="auto" w:before="2"/>
        <w:ind w:left="140" w:right="165" w:firstLine="4"/>
        <w:jc w:val="both"/>
      </w:pPr>
      <w:r>
        <w:rPr>
          <w:color w:val="383638"/>
          <w:w w:val="115"/>
        </w:rPr>
        <w:t>more motivated by rewards or punishments, or by some combination of</w:t>
      </w:r>
      <w:r>
        <w:rPr>
          <w:color w:val="383638"/>
          <w:spacing w:val="1"/>
          <w:w w:val="115"/>
        </w:rPr>
        <w:t> </w:t>
      </w:r>
      <w:r>
        <w:rPr>
          <w:color w:val="383638"/>
          <w:spacing w:val="-1"/>
          <w:w w:val="115"/>
        </w:rPr>
        <w:t>the two. </w:t>
      </w:r>
      <w:r>
        <w:rPr>
          <w:color w:val="383638"/>
          <w:w w:val="115"/>
        </w:rPr>
        <w:t>You may succeed </w:t>
      </w:r>
      <w:r>
        <w:rPr>
          <w:color w:val="383638"/>
          <w:w w:val="115"/>
          <w:sz w:val="20"/>
        </w:rPr>
        <w:t>if </w:t>
      </w:r>
      <w:r>
        <w:rPr>
          <w:color w:val="383638"/>
          <w:w w:val="115"/>
        </w:rPr>
        <w:t>you find a way to reward performance and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reduce</w:t>
      </w:r>
      <w:r>
        <w:rPr>
          <w:color w:val="383638"/>
          <w:spacing w:val="-14"/>
          <w:w w:val="115"/>
        </w:rPr>
        <w:t> </w:t>
      </w:r>
      <w:r>
        <w:rPr>
          <w:color w:val="383638"/>
          <w:w w:val="115"/>
        </w:rPr>
        <w:t>distractions.</w:t>
      </w:r>
      <w:r>
        <w:rPr>
          <w:color w:val="383638"/>
          <w:spacing w:val="-16"/>
          <w:w w:val="115"/>
        </w:rPr>
        <w:t> </w:t>
      </w:r>
      <w:r>
        <w:rPr>
          <w:color w:val="383638"/>
          <w:w w:val="115"/>
        </w:rPr>
        <w:t>It</w:t>
      </w:r>
      <w:r>
        <w:rPr>
          <w:color w:val="383638"/>
          <w:spacing w:val="-2"/>
          <w:w w:val="115"/>
        </w:rPr>
        <w:t> </w:t>
      </w:r>
      <w:r>
        <w:rPr>
          <w:color w:val="383638"/>
          <w:w w:val="115"/>
        </w:rPr>
        <w:t>might</w:t>
      </w:r>
      <w:r>
        <w:rPr>
          <w:color w:val="383638"/>
          <w:spacing w:val="-18"/>
          <w:w w:val="115"/>
        </w:rPr>
        <w:t> </w:t>
      </w:r>
      <w:r>
        <w:rPr>
          <w:color w:val="383638"/>
          <w:w w:val="115"/>
        </w:rPr>
        <w:t>bea</w:t>
      </w:r>
      <w:r>
        <w:rPr>
          <w:color w:val="383638"/>
          <w:spacing w:val="-16"/>
          <w:w w:val="115"/>
        </w:rPr>
        <w:t> </w:t>
      </w:r>
      <w:r>
        <w:rPr>
          <w:color w:val="383638"/>
          <w:w w:val="115"/>
        </w:rPr>
        <w:t>good</w:t>
      </w:r>
      <w:r>
        <w:rPr>
          <w:color w:val="383638"/>
          <w:spacing w:val="-10"/>
          <w:w w:val="115"/>
        </w:rPr>
        <w:t> </w:t>
      </w:r>
      <w:r>
        <w:rPr>
          <w:color w:val="383638"/>
          <w:w w:val="115"/>
        </w:rPr>
        <w:t>idea</w:t>
      </w:r>
      <w:r>
        <w:rPr>
          <w:color w:val="383638"/>
          <w:spacing w:val="-21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-4"/>
          <w:w w:val="115"/>
        </w:rPr>
        <w:t> </w:t>
      </w:r>
      <w:r>
        <w:rPr>
          <w:color w:val="383638"/>
          <w:w w:val="115"/>
        </w:rPr>
        <w:t>givea</w:t>
      </w:r>
      <w:r>
        <w:rPr>
          <w:color w:val="383638"/>
          <w:spacing w:val="-12"/>
          <w:w w:val="115"/>
        </w:rPr>
        <w:t> </w:t>
      </w:r>
      <w:r>
        <w:rPr>
          <w:color w:val="383638"/>
          <w:w w:val="115"/>
        </w:rPr>
        <w:t>friend</w:t>
      </w:r>
      <w:r>
        <w:rPr>
          <w:color w:val="383638"/>
          <w:spacing w:val="-22"/>
          <w:w w:val="115"/>
        </w:rPr>
        <w:t> </w:t>
      </w:r>
      <w:r>
        <w:rPr>
          <w:color w:val="383638"/>
          <w:w w:val="115"/>
        </w:rPr>
        <w:t>your</w:t>
      </w:r>
      <w:r>
        <w:rPr>
          <w:color w:val="383638"/>
          <w:spacing w:val="-12"/>
          <w:w w:val="115"/>
        </w:rPr>
        <w:t> </w:t>
      </w:r>
      <w:r>
        <w:rPr>
          <w:color w:val="383638"/>
          <w:w w:val="120"/>
        </w:rPr>
        <w:t>phone-or</w:t>
      </w:r>
      <w:r>
        <w:rPr>
          <w:color w:val="383638"/>
          <w:spacing w:val="-66"/>
          <w:w w:val="120"/>
        </w:rPr>
        <w:t> </w:t>
      </w:r>
      <w:r>
        <w:rPr>
          <w:color w:val="383638"/>
          <w:w w:val="115"/>
        </w:rPr>
        <w:t>your Facebook password-with instructions not to give it back until you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have completed a certain number of pages. Certain apps can shut off elec­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tronic distractions for a set time period. In this way you are motivated 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go through the pain of writing in order to reap the reward of reuniting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with</w:t>
      </w:r>
      <w:r>
        <w:rPr>
          <w:color w:val="383638"/>
          <w:spacing w:val="-4"/>
          <w:w w:val="115"/>
        </w:rPr>
        <w:t> </w:t>
      </w:r>
      <w:r>
        <w:rPr>
          <w:color w:val="383638"/>
          <w:w w:val="115"/>
        </w:rPr>
        <w:t>your</w:t>
      </w:r>
      <w:r>
        <w:rPr>
          <w:color w:val="383638"/>
          <w:spacing w:val="-7"/>
          <w:w w:val="115"/>
        </w:rPr>
        <w:t> </w:t>
      </w:r>
      <w:r>
        <w:rPr>
          <w:color w:val="383638"/>
          <w:w w:val="115"/>
        </w:rPr>
        <w:t>favorite</w:t>
      </w:r>
      <w:r>
        <w:rPr>
          <w:color w:val="383638"/>
          <w:spacing w:val="-12"/>
          <w:w w:val="115"/>
        </w:rPr>
        <w:t> </w:t>
      </w:r>
      <w:r>
        <w:rPr>
          <w:color w:val="383638"/>
          <w:w w:val="115"/>
        </w:rPr>
        <w:t>distractions</w:t>
      </w:r>
      <w:r>
        <w:rPr>
          <w:color w:val="5B5B5D"/>
          <w:w w:val="115"/>
        </w:rPr>
        <w:t>.</w:t>
      </w:r>
    </w:p>
    <w:p>
      <w:pPr>
        <w:pStyle w:val="BodyText"/>
        <w:spacing w:line="232" w:lineRule="auto"/>
        <w:ind w:left="148" w:right="116" w:firstLine="343"/>
        <w:jc w:val="both"/>
      </w:pPr>
      <w:r>
        <w:rPr>
          <w:rFonts w:ascii="Arial" w:hAnsi="Arial"/>
          <w:color w:val="383638"/>
          <w:w w:val="110"/>
        </w:rPr>
        <w:t>If </w:t>
      </w:r>
      <w:r>
        <w:rPr>
          <w:color w:val="383638"/>
          <w:w w:val="110"/>
        </w:rPr>
        <w:t>devising rewards does not work, try to find ways to impose an alter­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nate "pain" that is immediate, and that is worse than the pain of writing</w:t>
      </w:r>
      <w:r>
        <w:rPr>
          <w:color w:val="5B5B5D"/>
          <w:w w:val="115"/>
        </w:rPr>
        <w:t>.</w:t>
      </w:r>
      <w:r>
        <w:rPr>
          <w:color w:val="5B5B5D"/>
          <w:spacing w:val="1"/>
          <w:w w:val="115"/>
        </w:rPr>
        <w:t> </w:t>
      </w:r>
      <w:r>
        <w:rPr>
          <w:color w:val="383638"/>
          <w:w w:val="110"/>
        </w:rPr>
        <w:t>Ideally, you should use this method as a way to force yourself to create an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early draft; for most lawyers,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pain that </w:t>
      </w:r>
      <w:r>
        <w:rPr>
          <w:color w:val="383638"/>
          <w:w w:val="110"/>
          <w:sz w:val="22"/>
        </w:rPr>
        <w:t>will </w:t>
      </w:r>
      <w:r>
        <w:rPr>
          <w:color w:val="383638"/>
          <w:w w:val="110"/>
        </w:rPr>
        <w:t>result if you  fail to finish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5"/>
        </w:rPr>
        <w:t>any</w:t>
      </w:r>
      <w:r>
        <w:rPr>
          <w:color w:val="383638"/>
          <w:spacing w:val="-29"/>
          <w:w w:val="115"/>
        </w:rPr>
        <w:t> </w:t>
      </w:r>
      <w:r>
        <w:rPr>
          <w:color w:val="383638"/>
          <w:spacing w:val="-1"/>
          <w:w w:val="115"/>
        </w:rPr>
        <w:t>draft</w:t>
      </w:r>
      <w:r>
        <w:rPr>
          <w:color w:val="383638"/>
          <w:spacing w:val="-19"/>
          <w:w w:val="115"/>
        </w:rPr>
        <w:t> </w:t>
      </w:r>
      <w:r>
        <w:rPr>
          <w:color w:val="383638"/>
          <w:spacing w:val="-1"/>
          <w:w w:val="115"/>
        </w:rPr>
        <w:t>at</w:t>
      </w:r>
      <w:r>
        <w:rPr>
          <w:color w:val="383638"/>
          <w:spacing w:val="5"/>
          <w:w w:val="115"/>
        </w:rPr>
        <w:t> </w:t>
      </w:r>
      <w:r>
        <w:rPr>
          <w:color w:val="383638"/>
          <w:spacing w:val="-1"/>
          <w:w w:val="115"/>
        </w:rPr>
        <w:t>all</w:t>
      </w:r>
      <w:r>
        <w:rPr>
          <w:color w:val="383638"/>
          <w:spacing w:val="-11"/>
          <w:w w:val="115"/>
        </w:rPr>
        <w:t> </w:t>
      </w:r>
      <w:r>
        <w:rPr>
          <w:color w:val="383638"/>
          <w:spacing w:val="-1"/>
          <w:w w:val="115"/>
        </w:rPr>
        <w:t>should</w:t>
      </w:r>
      <w:r>
        <w:rPr>
          <w:color w:val="383638"/>
          <w:spacing w:val="5"/>
          <w:w w:val="115"/>
        </w:rPr>
        <w:t> </w:t>
      </w:r>
      <w:r>
        <w:rPr>
          <w:color w:val="383638"/>
          <w:spacing w:val="-1"/>
          <w:w w:val="115"/>
        </w:rPr>
        <w:t>be</w:t>
      </w:r>
      <w:r>
        <w:rPr>
          <w:color w:val="383638"/>
          <w:spacing w:val="-22"/>
          <w:w w:val="115"/>
        </w:rPr>
        <w:t> </w:t>
      </w:r>
      <w:r>
        <w:rPr>
          <w:color w:val="383638"/>
          <w:spacing w:val="-1"/>
          <w:w w:val="115"/>
        </w:rPr>
        <w:t>enough</w:t>
      </w:r>
      <w:r>
        <w:rPr>
          <w:color w:val="383638"/>
          <w:spacing w:val="14"/>
          <w:w w:val="115"/>
        </w:rPr>
        <w:t> </w:t>
      </w:r>
      <w:r>
        <w:rPr>
          <w:color w:val="383638"/>
          <w:spacing w:val="-1"/>
          <w:w w:val="115"/>
        </w:rPr>
        <w:t>to</w:t>
      </w:r>
      <w:r>
        <w:rPr>
          <w:color w:val="383638"/>
          <w:spacing w:val="-4"/>
          <w:w w:val="115"/>
        </w:rPr>
        <w:t> </w:t>
      </w:r>
      <w:r>
        <w:rPr>
          <w:color w:val="383638"/>
          <w:spacing w:val="-1"/>
          <w:w w:val="115"/>
        </w:rPr>
        <w:t>force</w:t>
      </w:r>
      <w:r>
        <w:rPr>
          <w:color w:val="383638"/>
          <w:spacing w:val="-6"/>
          <w:w w:val="115"/>
        </w:rPr>
        <w:t> </w:t>
      </w:r>
      <w:r>
        <w:rPr>
          <w:color w:val="383638"/>
          <w:spacing w:val="-1"/>
          <w:w w:val="115"/>
        </w:rPr>
        <w:t>you</w:t>
      </w:r>
      <w:r>
        <w:rPr>
          <w:color w:val="383638"/>
          <w:spacing w:val="10"/>
          <w:w w:val="115"/>
        </w:rPr>
        <w:t> </w:t>
      </w:r>
      <w:r>
        <w:rPr>
          <w:color w:val="383638"/>
          <w:spacing w:val="-1"/>
          <w:w w:val="115"/>
        </w:rPr>
        <w:t>to create</w:t>
      </w:r>
      <w:r>
        <w:rPr>
          <w:color w:val="383638"/>
          <w:spacing w:val="-6"/>
          <w:w w:val="115"/>
        </w:rPr>
        <w:t> </w:t>
      </w:r>
      <w:r>
        <w:rPr>
          <w:color w:val="383638"/>
          <w:w w:val="115"/>
        </w:rPr>
        <w:t>some</w:t>
      </w:r>
      <w:r>
        <w:rPr>
          <w:color w:val="383638"/>
          <w:spacing w:val="-20"/>
          <w:w w:val="115"/>
        </w:rPr>
        <w:t> </w:t>
      </w:r>
      <w:r>
        <w:rPr>
          <w:color w:val="383638"/>
          <w:w w:val="115"/>
        </w:rPr>
        <w:t>sort</w:t>
      </w:r>
      <w:r>
        <w:rPr>
          <w:color w:val="383638"/>
          <w:spacing w:val="-2"/>
          <w:w w:val="115"/>
        </w:rPr>
        <w:t> </w:t>
      </w:r>
      <w:r>
        <w:rPr>
          <w:color w:val="383638"/>
          <w:w w:val="115"/>
        </w:rPr>
        <w:t>of work</w:t>
      </w:r>
      <w:r>
        <w:rPr>
          <w:color w:val="383638"/>
          <w:spacing w:val="-63"/>
          <w:w w:val="115"/>
        </w:rPr>
        <w:t> </w:t>
      </w:r>
      <w:r>
        <w:rPr>
          <w:color w:val="383638"/>
          <w:spacing w:val="-1"/>
          <w:w w:val="115"/>
        </w:rPr>
        <w:t>product by the</w:t>
      </w:r>
      <w:r>
        <w:rPr>
          <w:color w:val="383638"/>
          <w:w w:val="115"/>
        </w:rPr>
        <w:t> </w:t>
      </w:r>
      <w:r>
        <w:rPr>
          <w:i/>
          <w:color w:val="383638"/>
          <w:w w:val="115"/>
          <w:sz w:val="21"/>
        </w:rPr>
        <w:t>final </w:t>
      </w:r>
      <w:r>
        <w:rPr>
          <w:color w:val="383638"/>
          <w:w w:val="115"/>
        </w:rPr>
        <w:t>deadline</w:t>
      </w:r>
      <w:r>
        <w:rPr>
          <w:color w:val="5B5B5D"/>
          <w:w w:val="115"/>
        </w:rPr>
        <w:t>. </w:t>
      </w:r>
      <w:r>
        <w:rPr>
          <w:color w:val="383638"/>
          <w:w w:val="115"/>
        </w:rPr>
        <w:t>But your goal here is to write a draft early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enough</w:t>
      </w:r>
      <w:r>
        <w:rPr>
          <w:color w:val="383638"/>
          <w:spacing w:val="9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16"/>
          <w:w w:val="115"/>
        </w:rPr>
        <w:t> </w:t>
      </w:r>
      <w:r>
        <w:rPr>
          <w:color w:val="383638"/>
          <w:w w:val="115"/>
        </w:rPr>
        <w:t>allow</w:t>
      </w:r>
      <w:r>
        <w:rPr>
          <w:color w:val="383638"/>
          <w:spacing w:val="8"/>
          <w:w w:val="115"/>
        </w:rPr>
        <w:t> </w:t>
      </w:r>
      <w:r>
        <w:rPr>
          <w:color w:val="383638"/>
          <w:w w:val="115"/>
        </w:rPr>
        <w:t>time</w:t>
      </w:r>
      <w:r>
        <w:rPr>
          <w:color w:val="383638"/>
          <w:spacing w:val="4"/>
          <w:w w:val="115"/>
        </w:rPr>
        <w:t> </w:t>
      </w:r>
      <w:r>
        <w:rPr>
          <w:color w:val="383638"/>
          <w:w w:val="115"/>
        </w:rPr>
        <w:t>for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revision.</w:t>
      </w:r>
      <w:r>
        <w:rPr>
          <w:color w:val="383638"/>
          <w:spacing w:val="7"/>
          <w:w w:val="115"/>
        </w:rPr>
        <w:t> </w:t>
      </w:r>
      <w:r>
        <w:rPr>
          <w:color w:val="383638"/>
          <w:w w:val="115"/>
        </w:rPr>
        <w:t>Even</w:t>
      </w:r>
      <w:r>
        <w:rPr>
          <w:color w:val="383638"/>
          <w:spacing w:val="13"/>
          <w:w w:val="115"/>
        </w:rPr>
        <w:t> </w:t>
      </w:r>
      <w:r>
        <w:rPr>
          <w:color w:val="383638"/>
          <w:w w:val="115"/>
        </w:rPr>
        <w:t>if</w:t>
      </w:r>
      <w:r>
        <w:rPr>
          <w:color w:val="383638"/>
          <w:spacing w:val="16"/>
          <w:w w:val="115"/>
        </w:rPr>
        <w:t> </w:t>
      </w:r>
      <w:r>
        <w:rPr>
          <w:color w:val="383638"/>
          <w:w w:val="115"/>
        </w:rPr>
        <w:t>your</w:t>
      </w:r>
      <w:r>
        <w:rPr>
          <w:color w:val="383638"/>
          <w:spacing w:val="9"/>
          <w:w w:val="115"/>
        </w:rPr>
        <w:t> </w:t>
      </w:r>
      <w:r>
        <w:rPr>
          <w:color w:val="383638"/>
          <w:w w:val="115"/>
        </w:rPr>
        <w:t>teachers</w:t>
      </w:r>
      <w:r>
        <w:rPr>
          <w:color w:val="383638"/>
          <w:spacing w:val="8"/>
          <w:w w:val="115"/>
        </w:rPr>
        <w:t> </w:t>
      </w:r>
      <w:r>
        <w:rPr>
          <w:color w:val="383638"/>
          <w:w w:val="115"/>
        </w:rPr>
        <w:t>require</w:t>
      </w:r>
      <w:r>
        <w:rPr>
          <w:color w:val="383638"/>
          <w:spacing w:val="-2"/>
          <w:w w:val="115"/>
        </w:rPr>
        <w:t> </w:t>
      </w:r>
      <w:r>
        <w:rPr>
          <w:color w:val="383638"/>
          <w:w w:val="115"/>
        </w:rPr>
        <w:t>interim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0"/>
        </w:rPr>
      </w:pPr>
    </w:p>
    <w:p>
      <w:pPr>
        <w:spacing w:line="210" w:lineRule="exact" w:before="0"/>
        <w:ind w:left="511" w:right="0" w:firstLine="0"/>
        <w:jc w:val="both"/>
        <w:rPr>
          <w:sz w:val="19"/>
        </w:rPr>
      </w:pPr>
      <w:r>
        <w:rPr>
          <w:rFonts w:ascii="Arial"/>
          <w:color w:val="383638"/>
          <w:w w:val="105"/>
          <w:position w:val="5"/>
          <w:sz w:val="10"/>
        </w:rPr>
        <w:t>24</w:t>
      </w:r>
      <w:r>
        <w:rPr>
          <w:color w:val="383638"/>
          <w:w w:val="105"/>
          <w:sz w:val="18"/>
        </w:rPr>
        <w:t>Rasch</w:t>
      </w:r>
      <w:r>
        <w:rPr>
          <w:color w:val="383638"/>
          <w:spacing w:val="32"/>
          <w:w w:val="105"/>
          <w:sz w:val="18"/>
        </w:rPr>
        <w:t> </w:t>
      </w:r>
      <w:r>
        <w:rPr>
          <w:color w:val="383638"/>
          <w:w w:val="105"/>
          <w:sz w:val="16"/>
        </w:rPr>
        <w:t>&amp;</w:t>
      </w:r>
      <w:r>
        <w:rPr>
          <w:color w:val="383638"/>
          <w:spacing w:val="25"/>
          <w:w w:val="105"/>
          <w:sz w:val="16"/>
        </w:rPr>
        <w:t> </w:t>
      </w:r>
      <w:r>
        <w:rPr>
          <w:color w:val="383638"/>
          <w:w w:val="105"/>
          <w:sz w:val="18"/>
        </w:rPr>
        <w:t>Rasch,</w:t>
      </w:r>
      <w:r>
        <w:rPr>
          <w:color w:val="383638"/>
          <w:spacing w:val="-13"/>
          <w:w w:val="105"/>
          <w:sz w:val="18"/>
        </w:rPr>
        <w:t> </w:t>
      </w:r>
      <w:r>
        <w:rPr>
          <w:rFonts w:ascii="Arial"/>
          <w:i/>
          <w:color w:val="383638"/>
          <w:w w:val="105"/>
          <w:sz w:val="16"/>
        </w:rPr>
        <w:t>supra</w:t>
      </w:r>
      <w:r>
        <w:rPr>
          <w:rFonts w:ascii="Arial"/>
          <w:i/>
          <w:color w:val="383638"/>
          <w:spacing w:val="8"/>
          <w:w w:val="105"/>
          <w:sz w:val="16"/>
        </w:rPr>
        <w:t> </w:t>
      </w:r>
      <w:r>
        <w:rPr>
          <w:color w:val="383638"/>
          <w:w w:val="105"/>
          <w:sz w:val="19"/>
        </w:rPr>
        <w:t>note</w:t>
      </w:r>
      <w:r>
        <w:rPr>
          <w:color w:val="383638"/>
          <w:spacing w:val="-10"/>
          <w:w w:val="105"/>
          <w:sz w:val="19"/>
        </w:rPr>
        <w:t> </w:t>
      </w:r>
      <w:r>
        <w:rPr>
          <w:color w:val="383638"/>
          <w:w w:val="105"/>
          <w:sz w:val="18"/>
        </w:rPr>
        <w:t>18,</w:t>
      </w:r>
      <w:r>
        <w:rPr>
          <w:color w:val="383638"/>
          <w:spacing w:val="-1"/>
          <w:w w:val="105"/>
          <w:sz w:val="18"/>
        </w:rPr>
        <w:t> </w:t>
      </w:r>
      <w:r>
        <w:rPr>
          <w:color w:val="383638"/>
          <w:w w:val="105"/>
          <w:sz w:val="19"/>
        </w:rPr>
        <w:t>at</w:t>
      </w:r>
      <w:r>
        <w:rPr>
          <w:color w:val="383638"/>
          <w:spacing w:val="7"/>
          <w:w w:val="105"/>
          <w:sz w:val="19"/>
        </w:rPr>
        <w:t> </w:t>
      </w:r>
      <w:r>
        <w:rPr>
          <w:color w:val="383638"/>
          <w:w w:val="105"/>
          <w:sz w:val="19"/>
        </w:rPr>
        <w:t>200.</w:t>
      </w:r>
    </w:p>
    <w:p>
      <w:pPr>
        <w:spacing w:line="199" w:lineRule="exact" w:before="0"/>
        <w:ind w:left="521" w:right="0" w:firstLine="0"/>
        <w:jc w:val="both"/>
        <w:rPr>
          <w:sz w:val="18"/>
        </w:rPr>
      </w:pPr>
      <w:r>
        <w:rPr>
          <w:rFonts w:ascii="Arial"/>
          <w:color w:val="383638"/>
          <w:w w:val="110"/>
          <w:sz w:val="10"/>
        </w:rPr>
        <w:t>ZJ</w:t>
      </w:r>
      <w:r>
        <w:rPr>
          <w:rFonts w:ascii="Arial"/>
          <w:color w:val="383638"/>
          <w:spacing w:val="-19"/>
          <w:w w:val="110"/>
          <w:sz w:val="10"/>
        </w:rPr>
        <w:t> </w:t>
      </w:r>
      <w:r>
        <w:rPr>
          <w:i/>
          <w:color w:val="383638"/>
          <w:w w:val="110"/>
          <w:sz w:val="16"/>
        </w:rPr>
        <w:t>Id.</w:t>
      </w:r>
      <w:r>
        <w:rPr>
          <w:i/>
          <w:color w:val="383638"/>
          <w:spacing w:val="-1"/>
          <w:w w:val="110"/>
          <w:sz w:val="16"/>
        </w:rPr>
        <w:t> </w:t>
      </w:r>
      <w:r>
        <w:rPr>
          <w:color w:val="383638"/>
          <w:w w:val="110"/>
          <w:sz w:val="18"/>
        </w:rPr>
        <w:t>at</w:t>
      </w:r>
      <w:r>
        <w:rPr>
          <w:color w:val="383638"/>
          <w:spacing w:val="7"/>
          <w:w w:val="110"/>
          <w:sz w:val="18"/>
        </w:rPr>
        <w:t> </w:t>
      </w:r>
      <w:r>
        <w:rPr>
          <w:color w:val="383638"/>
          <w:w w:val="110"/>
          <w:sz w:val="18"/>
        </w:rPr>
        <w:t>230.</w:t>
      </w:r>
    </w:p>
    <w:p>
      <w:pPr>
        <w:spacing w:before="13"/>
        <w:ind w:left="517" w:right="0" w:firstLine="0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color w:val="383638"/>
          <w:sz w:val="16"/>
          <w:vertAlign w:val="superscript"/>
        </w:rPr>
        <w:t>26</w:t>
      </w:r>
      <w:r>
        <w:rPr>
          <w:rFonts w:ascii="Arial" w:hAnsi="Arial"/>
          <w:i/>
          <w:color w:val="383638"/>
          <w:sz w:val="16"/>
          <w:vertAlign w:val="baseline"/>
        </w:rPr>
        <w:t>£.g.,</w:t>
      </w:r>
      <w:r>
        <w:rPr>
          <w:rFonts w:ascii="Arial" w:hAnsi="Arial"/>
          <w:i/>
          <w:color w:val="383638"/>
          <w:spacing w:val="12"/>
          <w:sz w:val="16"/>
          <w:vertAlign w:val="baseline"/>
        </w:rPr>
        <w:t> </w:t>
      </w:r>
      <w:r>
        <w:rPr>
          <w:rFonts w:ascii="Arial" w:hAnsi="Arial"/>
          <w:i/>
          <w:color w:val="383638"/>
          <w:sz w:val="16"/>
          <w:vertAlign w:val="baseline"/>
        </w:rPr>
        <w:t>Id.</w:t>
      </w:r>
    </w:p>
    <w:p>
      <w:pPr>
        <w:spacing w:after="0"/>
        <w:jc w:val="both"/>
        <w:rPr>
          <w:rFonts w:ascii="Arial" w:hAnsi="Arial"/>
          <w:sz w:val="16"/>
        </w:rPr>
        <w:sectPr>
          <w:pgSz w:w="9670" w:h="13730"/>
          <w:pgMar w:header="486" w:footer="0" w:top="1100" w:bottom="280" w:left="460" w:right="1260"/>
        </w:sectPr>
      </w:pPr>
    </w:p>
    <w:p>
      <w:pPr>
        <w:tabs>
          <w:tab w:pos="2625" w:val="left" w:leader="none"/>
        </w:tabs>
        <w:spacing w:before="66"/>
        <w:ind w:left="1850" w:right="0" w:firstLine="0"/>
        <w:jc w:val="left"/>
        <w:rPr>
          <w:sz w:val="18"/>
        </w:rPr>
      </w:pPr>
      <w:r>
        <w:rPr>
          <w:color w:val="363436"/>
          <w:sz w:val="18"/>
        </w:rPr>
        <w:t>84</w:t>
        <w:tab/>
        <w:t>Chapter</w:t>
      </w:r>
      <w:r>
        <w:rPr>
          <w:color w:val="363436"/>
          <w:spacing w:val="-3"/>
          <w:sz w:val="18"/>
        </w:rPr>
        <w:t> </w:t>
      </w:r>
      <w:r>
        <w:rPr>
          <w:color w:val="363436"/>
          <w:sz w:val="18"/>
        </w:rPr>
        <w:t>Four</w:t>
      </w:r>
      <w:r>
        <w:rPr>
          <w:color w:val="363436"/>
          <w:spacing w:val="77"/>
          <w:sz w:val="18"/>
        </w:rPr>
        <w:t> </w:t>
      </w:r>
      <w:r>
        <w:rPr>
          <w:color w:val="363436"/>
          <w:sz w:val="18"/>
        </w:rPr>
        <w:t>Facing</w:t>
      </w:r>
      <w:r>
        <w:rPr>
          <w:color w:val="363436"/>
          <w:spacing w:val="14"/>
          <w:sz w:val="18"/>
        </w:rPr>
        <w:t> </w:t>
      </w:r>
      <w:r>
        <w:rPr>
          <w:color w:val="363436"/>
          <w:sz w:val="18"/>
        </w:rPr>
        <w:t>the</w:t>
      </w:r>
      <w:r>
        <w:rPr>
          <w:color w:val="363436"/>
          <w:spacing w:val="27"/>
          <w:sz w:val="18"/>
        </w:rPr>
        <w:t> </w:t>
      </w:r>
      <w:r>
        <w:rPr>
          <w:color w:val="363436"/>
          <w:sz w:val="18"/>
        </w:rPr>
        <w:t>Bfank</w:t>
      </w:r>
      <w:r>
        <w:rPr>
          <w:color w:val="363436"/>
          <w:spacing w:val="6"/>
          <w:sz w:val="18"/>
        </w:rPr>
        <w:t> </w:t>
      </w:r>
      <w:r>
        <w:rPr>
          <w:color w:val="363436"/>
          <w:sz w:val="18"/>
        </w:rPr>
        <w:t>Page</w:t>
      </w:r>
    </w:p>
    <w:p>
      <w:pPr>
        <w:pStyle w:val="BodyText"/>
        <w:rPr>
          <w:sz w:val="20"/>
        </w:rPr>
      </w:pPr>
    </w:p>
    <w:p>
      <w:pPr>
        <w:pStyle w:val="BodyText"/>
        <w:spacing w:line="254" w:lineRule="auto" w:before="220"/>
        <w:ind w:left="2612" w:hanging="7"/>
      </w:pPr>
      <w:r>
        <w:rPr>
          <w:color w:val="363436"/>
          <w:w w:val="105"/>
        </w:rPr>
        <w:t>drafts, you will do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better if you allow time for writing and revision before</w:t>
      </w:r>
      <w:r>
        <w:rPr>
          <w:color w:val="363436"/>
          <w:spacing w:val="-58"/>
          <w:w w:val="105"/>
        </w:rPr>
        <w:t> </w:t>
      </w:r>
      <w:r>
        <w:rPr>
          <w:color w:val="363436"/>
          <w:w w:val="110"/>
        </w:rPr>
        <w:t>your</w:t>
      </w:r>
      <w:r>
        <w:rPr>
          <w:color w:val="363436"/>
          <w:spacing w:val="-20"/>
          <w:w w:val="110"/>
        </w:rPr>
        <w:t> </w:t>
      </w:r>
      <w:r>
        <w:rPr>
          <w:color w:val="363436"/>
          <w:w w:val="110"/>
        </w:rPr>
        <w:t>interim due</w:t>
      </w:r>
      <w:r>
        <w:rPr>
          <w:color w:val="363436"/>
          <w:spacing w:val="-26"/>
          <w:w w:val="110"/>
        </w:rPr>
        <w:t> </w:t>
      </w:r>
      <w:r>
        <w:rPr>
          <w:color w:val="363436"/>
          <w:w w:val="110"/>
        </w:rPr>
        <w:t>date.</w:t>
      </w:r>
    </w:p>
    <w:p>
      <w:pPr>
        <w:pStyle w:val="BodyText"/>
        <w:spacing w:line="207" w:lineRule="exact"/>
        <w:ind w:left="2964" w:right="-15"/>
      </w:pPr>
      <w:r>
        <w:rPr>
          <w:color w:val="363436"/>
          <w:w w:val="105"/>
        </w:rPr>
        <w:t>I</w:t>
      </w:r>
      <w:r>
        <w:rPr>
          <w:color w:val="363436"/>
          <w:spacing w:val="24"/>
          <w:w w:val="105"/>
        </w:rPr>
        <w:t> </w:t>
      </w:r>
      <w:r>
        <w:rPr>
          <w:color w:val="363436"/>
          <w:w w:val="105"/>
        </w:rPr>
        <w:t>have</w:t>
      </w:r>
      <w:r>
        <w:rPr>
          <w:color w:val="363436"/>
          <w:spacing w:val="14"/>
          <w:w w:val="105"/>
        </w:rPr>
        <w:t> </w:t>
      </w:r>
      <w:r>
        <w:rPr>
          <w:color w:val="363436"/>
          <w:w w:val="105"/>
        </w:rPr>
        <w:t>used</w:t>
      </w:r>
      <w:r>
        <w:rPr>
          <w:color w:val="363436"/>
          <w:spacing w:val="39"/>
          <w:w w:val="105"/>
        </w:rPr>
        <w:t> </w:t>
      </w:r>
      <w:r>
        <w:rPr>
          <w:color w:val="363436"/>
          <w:w w:val="105"/>
        </w:rPr>
        <w:t>(and</w:t>
      </w:r>
      <w:r>
        <w:rPr>
          <w:color w:val="363436"/>
          <w:spacing w:val="30"/>
          <w:w w:val="105"/>
        </w:rPr>
        <w:t> </w:t>
      </w:r>
      <w:r>
        <w:rPr>
          <w:color w:val="363436"/>
          <w:w w:val="105"/>
        </w:rPr>
        <w:t>recommend)</w:t>
      </w:r>
      <w:r>
        <w:rPr>
          <w:color w:val="363436"/>
          <w:spacing w:val="31"/>
          <w:w w:val="105"/>
        </w:rPr>
        <w:t> </w:t>
      </w:r>
      <w:r>
        <w:rPr>
          <w:color w:val="363436"/>
          <w:w w:val="105"/>
        </w:rPr>
        <w:t>a</w:t>
      </w:r>
      <w:r>
        <w:rPr>
          <w:color w:val="363436"/>
          <w:spacing w:val="35"/>
          <w:w w:val="105"/>
        </w:rPr>
        <w:t> </w:t>
      </w:r>
      <w:r>
        <w:rPr>
          <w:color w:val="363436"/>
          <w:w w:val="105"/>
        </w:rPr>
        <w:t>method</w:t>
      </w:r>
      <w:r>
        <w:rPr>
          <w:color w:val="363436"/>
          <w:spacing w:val="36"/>
          <w:w w:val="105"/>
        </w:rPr>
        <w:t> </w:t>
      </w:r>
      <w:r>
        <w:rPr>
          <w:color w:val="363436"/>
          <w:w w:val="105"/>
        </w:rPr>
        <w:t>advised</w:t>
      </w:r>
      <w:r>
        <w:rPr>
          <w:color w:val="363436"/>
          <w:spacing w:val="30"/>
          <w:w w:val="105"/>
        </w:rPr>
        <w:t> </w:t>
      </w:r>
      <w:r>
        <w:rPr>
          <w:color w:val="363436"/>
          <w:w w:val="105"/>
        </w:rPr>
        <w:t>by</w:t>
      </w:r>
      <w:r>
        <w:rPr>
          <w:color w:val="363436"/>
          <w:spacing w:val="48"/>
          <w:w w:val="105"/>
        </w:rPr>
        <w:t> </w:t>
      </w:r>
      <w:r>
        <w:rPr>
          <w:color w:val="363436"/>
          <w:w w:val="105"/>
        </w:rPr>
        <w:t>Richard</w:t>
      </w:r>
      <w:r>
        <w:rPr>
          <w:color w:val="363436"/>
          <w:spacing w:val="31"/>
          <w:w w:val="105"/>
        </w:rPr>
        <w:t> </w:t>
      </w:r>
      <w:r>
        <w:rPr>
          <w:color w:val="363436"/>
          <w:w w:val="105"/>
        </w:rPr>
        <w:t>Thaler,</w:t>
      </w:r>
    </w:p>
    <w:p>
      <w:pPr>
        <w:pStyle w:val="BodyText"/>
        <w:spacing w:line="232" w:lineRule="auto"/>
        <w:ind w:left="2431" w:right="-25" w:firstLine="163"/>
      </w:pPr>
      <w:r>
        <w:rPr>
          <w:color w:val="363436"/>
          <w:w w:val="105"/>
        </w:rPr>
        <w:t>one</w:t>
      </w:r>
      <w:r>
        <w:rPr>
          <w:color w:val="363436"/>
          <w:spacing w:val="41"/>
          <w:w w:val="105"/>
        </w:rPr>
        <w:t> </w:t>
      </w:r>
      <w:r>
        <w:rPr>
          <w:color w:val="363436"/>
          <w:w w:val="105"/>
        </w:rPr>
        <w:t>of</w:t>
      </w:r>
      <w:r>
        <w:rPr>
          <w:color w:val="363436"/>
          <w:spacing w:val="22"/>
          <w:w w:val="105"/>
        </w:rPr>
        <w:t> </w:t>
      </w:r>
      <w:r>
        <w:rPr>
          <w:color w:val="363436"/>
          <w:w w:val="105"/>
        </w:rPr>
        <w:t>the</w:t>
      </w:r>
      <w:r>
        <w:rPr>
          <w:color w:val="363436"/>
          <w:spacing w:val="32"/>
          <w:w w:val="105"/>
        </w:rPr>
        <w:t> </w:t>
      </w:r>
      <w:r>
        <w:rPr>
          <w:color w:val="363436"/>
          <w:w w:val="105"/>
        </w:rPr>
        <w:t>authors</w:t>
      </w:r>
      <w:r>
        <w:rPr>
          <w:color w:val="363436"/>
          <w:spacing w:val="15"/>
          <w:w w:val="105"/>
        </w:rPr>
        <w:t> </w:t>
      </w:r>
      <w:r>
        <w:rPr>
          <w:color w:val="363436"/>
          <w:w w:val="105"/>
        </w:rPr>
        <w:t>of</w:t>
      </w:r>
      <w:r>
        <w:rPr>
          <w:color w:val="363436"/>
          <w:spacing w:val="31"/>
          <w:w w:val="105"/>
        </w:rPr>
        <w:t> </w:t>
      </w:r>
      <w:r>
        <w:rPr>
          <w:color w:val="363436"/>
          <w:w w:val="105"/>
        </w:rPr>
        <w:t>the</w:t>
      </w:r>
      <w:r>
        <w:rPr>
          <w:color w:val="363436"/>
          <w:spacing w:val="51"/>
          <w:w w:val="105"/>
        </w:rPr>
        <w:t> </w:t>
      </w:r>
      <w:r>
        <w:rPr>
          <w:color w:val="363436"/>
          <w:w w:val="105"/>
        </w:rPr>
        <w:t>book</w:t>
      </w:r>
      <w:r>
        <w:rPr>
          <w:color w:val="363436"/>
          <w:spacing w:val="8"/>
          <w:w w:val="105"/>
        </w:rPr>
        <w:t> </w:t>
      </w:r>
      <w:r>
        <w:rPr>
          <w:rFonts w:ascii="Arial" w:hAnsi="Arial"/>
          <w:i/>
          <w:color w:val="363436"/>
          <w:w w:val="105"/>
          <w:sz w:val="22"/>
        </w:rPr>
        <w:t>Nudge,</w:t>
      </w:r>
      <w:r>
        <w:rPr>
          <w:rFonts w:ascii="Arial" w:hAnsi="Arial"/>
          <w:i/>
          <w:color w:val="363436"/>
          <w:spacing w:val="4"/>
          <w:w w:val="105"/>
          <w:sz w:val="22"/>
        </w:rPr>
        <w:t> </w:t>
      </w:r>
      <w:r>
        <w:rPr>
          <w:color w:val="363436"/>
          <w:w w:val="105"/>
        </w:rPr>
        <w:t>which</w:t>
      </w:r>
      <w:r>
        <w:rPr>
          <w:color w:val="363436"/>
          <w:spacing w:val="15"/>
          <w:w w:val="105"/>
        </w:rPr>
        <w:t> </w:t>
      </w:r>
      <w:r>
        <w:rPr>
          <w:color w:val="363436"/>
          <w:w w:val="105"/>
        </w:rPr>
        <w:t>addresses</w:t>
      </w:r>
      <w:r>
        <w:rPr>
          <w:color w:val="363436"/>
          <w:spacing w:val="40"/>
          <w:w w:val="105"/>
        </w:rPr>
        <w:t> </w:t>
      </w:r>
      <w:r>
        <w:rPr>
          <w:color w:val="363436"/>
          <w:w w:val="105"/>
        </w:rPr>
        <w:t>behavioral</w:t>
      </w:r>
      <w:r>
        <w:rPr>
          <w:color w:val="363436"/>
          <w:spacing w:val="33"/>
          <w:w w:val="105"/>
        </w:rPr>
        <w:t> </w:t>
      </w:r>
      <w:r>
        <w:rPr>
          <w:color w:val="363436"/>
          <w:w w:val="105"/>
        </w:rPr>
        <w:t>eco­</w:t>
      </w:r>
      <w:r>
        <w:rPr>
          <w:color w:val="363436"/>
          <w:spacing w:val="-57"/>
          <w:w w:val="105"/>
        </w:rPr>
        <w:t> </w:t>
      </w:r>
      <w:r>
        <w:rPr>
          <w:color w:val="363436"/>
          <w:w w:val="105"/>
        </w:rPr>
        <w:t>nomics and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human decision  making. To  motivate a  new faculty  member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at Thaler's school, Thaler asked the  faculty member to give Thaler a series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of $100 </w:t>
      </w:r>
      <w:r>
        <w:rPr>
          <w:color w:val="494849"/>
          <w:w w:val="105"/>
        </w:rPr>
        <w:t>checks, </w:t>
      </w:r>
      <w:r>
        <w:rPr>
          <w:color w:val="363436"/>
          <w:w w:val="105"/>
        </w:rPr>
        <w:t>dated for a series of self-imposed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deadlines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for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a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writing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project. </w:t>
      </w:r>
      <w:r>
        <w:rPr>
          <w:color w:val="363436"/>
          <w:w w:val="105"/>
          <w:sz w:val="22"/>
        </w:rPr>
        <w:t>If </w:t>
      </w:r>
      <w:r>
        <w:rPr>
          <w:color w:val="363436"/>
          <w:w w:val="105"/>
        </w:rPr>
        <w:t>the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professor did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not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meet any  deadline, Thaler would deposit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10"/>
        </w:rPr>
        <w:t>that check. Thaler promised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that he would use any deposited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money to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05"/>
        </w:rPr>
        <w:t>host a party to which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the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faculty member would  not  be invited. The fac­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10"/>
          <w:sz w:val="21"/>
        </w:rPr>
        <w:t>ulty </w:t>
      </w:r>
      <w:r>
        <w:rPr>
          <w:color w:val="363436"/>
          <w:w w:val="110"/>
        </w:rPr>
        <w:t>member met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all of the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deadlines.</w:t>
      </w:r>
      <w:r>
        <w:rPr>
          <w:color w:val="363436"/>
          <w:w w:val="110"/>
          <w:vertAlign w:val="superscript"/>
        </w:rPr>
        <w:t>27</w:t>
      </w:r>
      <w:r>
        <w:rPr>
          <w:color w:val="363436"/>
          <w:w w:val="110"/>
          <w:vertAlign w:val="baseline"/>
        </w:rPr>
        <w:t> Another version of this method</w:t>
      </w:r>
      <w:r>
        <w:rPr>
          <w:color w:val="363436"/>
          <w:spacing w:val="1"/>
          <w:w w:val="110"/>
          <w:vertAlign w:val="baseline"/>
        </w:rPr>
        <w:t> </w:t>
      </w:r>
      <w:r>
        <w:rPr>
          <w:color w:val="363436"/>
          <w:w w:val="110"/>
          <w:vertAlign w:val="baseline"/>
        </w:rPr>
        <w:t>can </w:t>
      </w:r>
      <w:r>
        <w:rPr>
          <w:color w:val="363436"/>
          <w:w w:val="110"/>
          <w:sz w:val="21"/>
          <w:vertAlign w:val="baseline"/>
        </w:rPr>
        <w:t>be </w:t>
      </w:r>
      <w:r>
        <w:rPr>
          <w:color w:val="363436"/>
          <w:w w:val="110"/>
          <w:vertAlign w:val="baseline"/>
        </w:rPr>
        <w:t>found on</w:t>
      </w:r>
      <w:r>
        <w:rPr>
          <w:color w:val="363436"/>
          <w:spacing w:val="1"/>
          <w:w w:val="110"/>
          <w:vertAlign w:val="baseline"/>
        </w:rPr>
        <w:t> </w:t>
      </w:r>
      <w:r>
        <w:rPr>
          <w:color w:val="363436"/>
          <w:w w:val="110"/>
          <w:vertAlign w:val="baseline"/>
        </w:rPr>
        <w:t>the</w:t>
      </w:r>
      <w:r>
        <w:rPr>
          <w:color w:val="363436"/>
          <w:spacing w:val="1"/>
          <w:w w:val="110"/>
          <w:vertAlign w:val="baseline"/>
        </w:rPr>
        <w:t> </w:t>
      </w:r>
      <w:r>
        <w:rPr>
          <w:color w:val="363436"/>
          <w:w w:val="110"/>
          <w:vertAlign w:val="baseline"/>
        </w:rPr>
        <w:t>Web site Stickk.com, which was founded by other</w:t>
      </w:r>
      <w:r>
        <w:rPr>
          <w:color w:val="363436"/>
          <w:spacing w:val="1"/>
          <w:w w:val="110"/>
          <w:vertAlign w:val="baseline"/>
        </w:rPr>
        <w:t> </w:t>
      </w:r>
      <w:r>
        <w:rPr>
          <w:color w:val="363436"/>
          <w:w w:val="105"/>
          <w:vertAlign w:val="baseline"/>
        </w:rPr>
        <w:t>behavioral economists.</w:t>
      </w:r>
      <w:r>
        <w:rPr>
          <w:rFonts w:ascii="Arial" w:hAnsi="Arial"/>
          <w:color w:val="363436"/>
          <w:w w:val="105"/>
          <w:position w:val="9"/>
          <w:sz w:val="12"/>
          <w:vertAlign w:val="baseline"/>
        </w:rPr>
        <w:t>28</w:t>
      </w:r>
      <w:r>
        <w:rPr>
          <w:rFonts w:ascii="Arial" w:hAnsi="Arial"/>
          <w:color w:val="363436"/>
          <w:spacing w:val="1"/>
          <w:w w:val="105"/>
          <w:position w:val="9"/>
          <w:sz w:val="12"/>
          <w:vertAlign w:val="baseline"/>
        </w:rPr>
        <w:t> </w:t>
      </w:r>
      <w:r>
        <w:rPr>
          <w:color w:val="363436"/>
          <w:w w:val="105"/>
          <w:vertAlign w:val="baseline"/>
        </w:rPr>
        <w:t>I tried  this method on  my </w:t>
      </w:r>
      <w:r>
        <w:rPr>
          <w:color w:val="494849"/>
          <w:w w:val="105"/>
          <w:vertAlign w:val="baseline"/>
        </w:rPr>
        <w:t>own  </w:t>
      </w:r>
      <w:r>
        <w:rPr>
          <w:color w:val="363436"/>
          <w:w w:val="105"/>
          <w:vertAlign w:val="baseline"/>
        </w:rPr>
        <w:t>by giving a friend</w:t>
      </w:r>
      <w:r>
        <w:rPr>
          <w:color w:val="363436"/>
          <w:spacing w:val="1"/>
          <w:w w:val="105"/>
          <w:vertAlign w:val="baseline"/>
        </w:rPr>
        <w:t> </w:t>
      </w:r>
      <w:r>
        <w:rPr>
          <w:color w:val="363436"/>
          <w:w w:val="105"/>
          <w:vertAlign w:val="baseline"/>
        </w:rPr>
        <w:t>a</w:t>
      </w:r>
      <w:r>
        <w:rPr>
          <w:color w:val="363436"/>
          <w:spacing w:val="7"/>
          <w:w w:val="105"/>
          <w:vertAlign w:val="baseline"/>
        </w:rPr>
        <w:t> </w:t>
      </w:r>
      <w:r>
        <w:rPr>
          <w:color w:val="363436"/>
          <w:w w:val="105"/>
          <w:vertAlign w:val="baseline"/>
        </w:rPr>
        <w:t>check</w:t>
      </w:r>
      <w:r>
        <w:rPr>
          <w:color w:val="363436"/>
          <w:spacing w:val="24"/>
          <w:w w:val="105"/>
          <w:vertAlign w:val="baseline"/>
        </w:rPr>
        <w:t> </w:t>
      </w:r>
      <w:r>
        <w:rPr>
          <w:color w:val="363436"/>
          <w:w w:val="105"/>
          <w:vertAlign w:val="baseline"/>
        </w:rPr>
        <w:t>written</w:t>
      </w:r>
      <w:r>
        <w:rPr>
          <w:color w:val="363436"/>
          <w:spacing w:val="25"/>
          <w:w w:val="105"/>
          <w:vertAlign w:val="baseline"/>
        </w:rPr>
        <w:t> </w:t>
      </w:r>
      <w:r>
        <w:rPr>
          <w:color w:val="363436"/>
          <w:w w:val="105"/>
          <w:vertAlign w:val="baseline"/>
        </w:rPr>
        <w:t>out </w:t>
      </w:r>
      <w:r>
        <w:rPr>
          <w:color w:val="363436"/>
          <w:spacing w:val="3"/>
          <w:w w:val="105"/>
          <w:vertAlign w:val="baseline"/>
        </w:rPr>
        <w:t> </w:t>
      </w:r>
      <w:r>
        <w:rPr>
          <w:color w:val="363436"/>
          <w:w w:val="105"/>
          <w:vertAlign w:val="baseline"/>
        </w:rPr>
        <w:t>to</w:t>
      </w:r>
      <w:r>
        <w:rPr>
          <w:color w:val="363436"/>
          <w:spacing w:val="38"/>
          <w:w w:val="105"/>
          <w:vertAlign w:val="baseline"/>
        </w:rPr>
        <w:t> </w:t>
      </w:r>
      <w:r>
        <w:rPr>
          <w:color w:val="363436"/>
          <w:w w:val="105"/>
          <w:vertAlign w:val="baseline"/>
        </w:rPr>
        <w:t>a</w:t>
      </w:r>
      <w:r>
        <w:rPr>
          <w:color w:val="363436"/>
          <w:spacing w:val="49"/>
          <w:w w:val="105"/>
          <w:vertAlign w:val="baseline"/>
        </w:rPr>
        <w:t> </w:t>
      </w:r>
      <w:r>
        <w:rPr>
          <w:color w:val="363436"/>
          <w:w w:val="105"/>
          <w:vertAlign w:val="baseline"/>
        </w:rPr>
        <w:t>nonprofit</w:t>
      </w:r>
      <w:r>
        <w:rPr>
          <w:color w:val="363436"/>
          <w:spacing w:val="38"/>
          <w:w w:val="105"/>
          <w:vertAlign w:val="baseline"/>
        </w:rPr>
        <w:t> </w:t>
      </w:r>
      <w:r>
        <w:rPr>
          <w:color w:val="363436"/>
          <w:w w:val="105"/>
          <w:vertAlign w:val="baseline"/>
        </w:rPr>
        <w:t>organization</w:t>
      </w:r>
      <w:r>
        <w:rPr>
          <w:color w:val="363436"/>
          <w:spacing w:val="51"/>
          <w:w w:val="105"/>
          <w:vertAlign w:val="baseline"/>
        </w:rPr>
        <w:t> </w:t>
      </w:r>
      <w:r>
        <w:rPr>
          <w:color w:val="363436"/>
          <w:w w:val="105"/>
          <w:vertAlign w:val="baseline"/>
        </w:rPr>
        <w:t>whose</w:t>
      </w:r>
      <w:r>
        <w:rPr>
          <w:color w:val="363436"/>
          <w:spacing w:val="19"/>
          <w:w w:val="105"/>
          <w:vertAlign w:val="baseline"/>
        </w:rPr>
        <w:t> </w:t>
      </w:r>
      <w:r>
        <w:rPr>
          <w:color w:val="363436"/>
          <w:w w:val="105"/>
          <w:vertAlign w:val="baseline"/>
        </w:rPr>
        <w:t>goals</w:t>
      </w:r>
      <w:r>
        <w:rPr>
          <w:color w:val="363436"/>
          <w:spacing w:val="30"/>
          <w:w w:val="105"/>
          <w:vertAlign w:val="baseline"/>
        </w:rPr>
        <w:t> </w:t>
      </w:r>
      <w:r>
        <w:rPr>
          <w:color w:val="363436"/>
          <w:w w:val="105"/>
          <w:vertAlign w:val="baseline"/>
        </w:rPr>
        <w:t>I</w:t>
      </w:r>
      <w:r>
        <w:rPr>
          <w:color w:val="363436"/>
          <w:spacing w:val="26"/>
          <w:w w:val="105"/>
          <w:vertAlign w:val="baseline"/>
        </w:rPr>
        <w:t> </w:t>
      </w:r>
      <w:r>
        <w:rPr>
          <w:color w:val="363436"/>
          <w:w w:val="105"/>
          <w:vertAlign w:val="baseline"/>
        </w:rPr>
        <w:t>despise.</w:t>
      </w:r>
      <w:r>
        <w:rPr>
          <w:color w:val="363436"/>
          <w:spacing w:val="19"/>
          <w:w w:val="105"/>
          <w:vertAlign w:val="baseline"/>
        </w:rPr>
        <w:t> </w:t>
      </w:r>
      <w:r>
        <w:rPr>
          <w:color w:val="363436"/>
          <w:w w:val="105"/>
          <w:vertAlign w:val="baseline"/>
        </w:rPr>
        <w:t>If</w:t>
      </w:r>
      <w:r>
        <w:rPr>
          <w:color w:val="363436"/>
          <w:spacing w:val="1"/>
          <w:w w:val="105"/>
          <w:vertAlign w:val="baseline"/>
        </w:rPr>
        <w:t> </w:t>
      </w:r>
      <w:r>
        <w:rPr>
          <w:color w:val="363436"/>
          <w:w w:val="105"/>
          <w:vertAlign w:val="baseline"/>
        </w:rPr>
        <w:t>I dJd not</w:t>
      </w:r>
      <w:r>
        <w:rPr>
          <w:color w:val="363436"/>
          <w:spacing w:val="1"/>
          <w:w w:val="105"/>
          <w:vertAlign w:val="baseline"/>
        </w:rPr>
        <w:t> </w:t>
      </w:r>
      <w:r>
        <w:rPr>
          <w:color w:val="363436"/>
          <w:w w:val="105"/>
          <w:vertAlign w:val="baseline"/>
        </w:rPr>
        <w:t>meet my deadline, he was allowed</w:t>
      </w:r>
      <w:r>
        <w:rPr>
          <w:color w:val="363436"/>
          <w:spacing w:val="1"/>
          <w:w w:val="105"/>
          <w:vertAlign w:val="baseline"/>
        </w:rPr>
        <w:t> </w:t>
      </w:r>
      <w:r>
        <w:rPr>
          <w:color w:val="363436"/>
          <w:w w:val="105"/>
          <w:vertAlign w:val="baseline"/>
        </w:rPr>
        <w:t>to</w:t>
      </w:r>
      <w:r>
        <w:rPr>
          <w:color w:val="363436"/>
          <w:spacing w:val="1"/>
          <w:w w:val="105"/>
          <w:vertAlign w:val="baseline"/>
        </w:rPr>
        <w:t> </w:t>
      </w:r>
      <w:r>
        <w:rPr>
          <w:color w:val="363436"/>
          <w:w w:val="105"/>
          <w:vertAlign w:val="baseline"/>
        </w:rPr>
        <w:t>mail the</w:t>
      </w:r>
      <w:r>
        <w:rPr>
          <w:color w:val="363436"/>
          <w:spacing w:val="1"/>
          <w:w w:val="105"/>
          <w:vertAlign w:val="baseline"/>
        </w:rPr>
        <w:t> </w:t>
      </w:r>
      <w:r>
        <w:rPr>
          <w:color w:val="363436"/>
          <w:w w:val="105"/>
          <w:vertAlign w:val="baseline"/>
        </w:rPr>
        <w:t>check, and</w:t>
      </w:r>
      <w:r>
        <w:rPr>
          <w:color w:val="363436"/>
          <w:spacing w:val="1"/>
          <w:w w:val="105"/>
          <w:vertAlign w:val="baseline"/>
        </w:rPr>
        <w:t> </w:t>
      </w:r>
      <w:r>
        <w:rPr>
          <w:color w:val="363436"/>
          <w:w w:val="105"/>
          <w:vertAlign w:val="baseline"/>
        </w:rPr>
        <w:t>I was</w:t>
      </w:r>
      <w:r>
        <w:rPr>
          <w:color w:val="363436"/>
          <w:spacing w:val="1"/>
          <w:w w:val="105"/>
          <w:vertAlign w:val="baseline"/>
        </w:rPr>
        <w:t> </w:t>
      </w:r>
      <w:r>
        <w:rPr>
          <w:color w:val="363436"/>
          <w:w w:val="105"/>
          <w:vertAlign w:val="baseline"/>
        </w:rPr>
        <w:t>confident that</w:t>
      </w:r>
      <w:r>
        <w:rPr>
          <w:color w:val="363436"/>
          <w:spacing w:val="1"/>
          <w:w w:val="105"/>
          <w:vertAlign w:val="baseline"/>
        </w:rPr>
        <w:t> </w:t>
      </w:r>
      <w:r>
        <w:rPr>
          <w:color w:val="363436"/>
          <w:w w:val="105"/>
          <w:vertAlign w:val="baseline"/>
        </w:rPr>
        <w:t>he would do so.</w:t>
      </w:r>
      <w:r>
        <w:rPr>
          <w:color w:val="363436"/>
          <w:spacing w:val="1"/>
          <w:w w:val="105"/>
          <w:vertAlign w:val="baseline"/>
        </w:rPr>
        <w:t> </w:t>
      </w:r>
      <w:r>
        <w:rPr>
          <w:color w:val="363436"/>
          <w:w w:val="105"/>
          <w:vertAlign w:val="baseline"/>
        </w:rPr>
        <w:t>By writing the</w:t>
      </w:r>
      <w:r>
        <w:rPr>
          <w:color w:val="363436"/>
          <w:spacing w:val="1"/>
          <w:w w:val="105"/>
          <w:vertAlign w:val="baseline"/>
        </w:rPr>
        <w:t> </w:t>
      </w:r>
      <w:r>
        <w:rPr>
          <w:color w:val="363436"/>
          <w:w w:val="105"/>
          <w:vertAlign w:val="baseline"/>
        </w:rPr>
        <w:t>check, I created</w:t>
      </w:r>
      <w:r>
        <w:rPr>
          <w:color w:val="363436"/>
          <w:spacing w:val="1"/>
          <w:w w:val="105"/>
          <w:vertAlign w:val="baseline"/>
        </w:rPr>
        <w:t> </w:t>
      </w:r>
      <w:r>
        <w:rPr>
          <w:color w:val="363436"/>
          <w:w w:val="105"/>
          <w:vertAlign w:val="baseline"/>
        </w:rPr>
        <w:t>the</w:t>
      </w:r>
      <w:r>
        <w:rPr>
          <w:color w:val="363436"/>
          <w:spacing w:val="1"/>
          <w:w w:val="105"/>
          <w:vertAlign w:val="baseline"/>
        </w:rPr>
        <w:t> </w:t>
      </w:r>
      <w:r>
        <w:rPr>
          <w:color w:val="363436"/>
          <w:w w:val="105"/>
          <w:vertAlign w:val="baseline"/>
        </w:rPr>
        <w:t>possi­</w:t>
      </w:r>
      <w:r>
        <w:rPr>
          <w:color w:val="363436"/>
          <w:spacing w:val="1"/>
          <w:w w:val="105"/>
          <w:vertAlign w:val="baseline"/>
        </w:rPr>
        <w:t> </w:t>
      </w:r>
      <w:r>
        <w:rPr>
          <w:color w:val="363436"/>
          <w:w w:val="110"/>
          <w:sz w:val="21"/>
          <w:vertAlign w:val="baseline"/>
        </w:rPr>
        <w:t>bility</w:t>
      </w:r>
      <w:r>
        <w:rPr>
          <w:color w:val="363436"/>
          <w:w w:val="110"/>
          <w:vertAlign w:val="baseline"/>
        </w:rPr>
        <w:t>of present "pain" that was worse than the pain of writing. I did</w:t>
      </w:r>
      <w:r>
        <w:rPr>
          <w:color w:val="363436"/>
          <w:spacing w:val="1"/>
          <w:w w:val="110"/>
          <w:vertAlign w:val="baseline"/>
        </w:rPr>
        <w:t> </w:t>
      </w:r>
      <w:r>
        <w:rPr>
          <w:color w:val="363436"/>
          <w:w w:val="110"/>
          <w:vertAlign w:val="baseline"/>
        </w:rPr>
        <w:t>not</w:t>
      </w:r>
      <w:r>
        <w:rPr>
          <w:color w:val="363436"/>
          <w:spacing w:val="1"/>
          <w:w w:val="110"/>
          <w:vertAlign w:val="baseline"/>
        </w:rPr>
        <w:t> </w:t>
      </w:r>
      <w:r>
        <w:rPr>
          <w:color w:val="363436"/>
          <w:w w:val="110"/>
          <w:vertAlign w:val="baseline"/>
        </w:rPr>
        <w:t>want to give that organization money; perhaps worse, I did</w:t>
      </w:r>
      <w:r>
        <w:rPr>
          <w:color w:val="363436"/>
          <w:spacing w:val="1"/>
          <w:w w:val="110"/>
          <w:vertAlign w:val="baseline"/>
        </w:rPr>
        <w:t> </w:t>
      </w:r>
      <w:r>
        <w:rPr>
          <w:color w:val="363436"/>
          <w:w w:val="110"/>
          <w:vertAlign w:val="baseline"/>
        </w:rPr>
        <w:t>not</w:t>
      </w:r>
      <w:r>
        <w:rPr>
          <w:color w:val="363436"/>
          <w:spacing w:val="1"/>
          <w:w w:val="110"/>
          <w:vertAlign w:val="baseline"/>
        </w:rPr>
        <w:t> </w:t>
      </w:r>
      <w:r>
        <w:rPr>
          <w:color w:val="363436"/>
          <w:w w:val="110"/>
          <w:vertAlign w:val="baseline"/>
        </w:rPr>
        <w:t>want to</w:t>
      </w:r>
      <w:r>
        <w:rPr>
          <w:color w:val="363436"/>
          <w:spacing w:val="1"/>
          <w:w w:val="110"/>
          <w:vertAlign w:val="baseline"/>
        </w:rPr>
        <w:t> </w:t>
      </w:r>
      <w:r>
        <w:rPr>
          <w:color w:val="363436"/>
          <w:w w:val="110"/>
          <w:vertAlign w:val="baseline"/>
        </w:rPr>
        <w:t>get on that organization's mailing list. Having that concrete, present pain</w:t>
      </w:r>
      <w:r>
        <w:rPr>
          <w:color w:val="363436"/>
          <w:spacing w:val="-61"/>
          <w:w w:val="110"/>
          <w:vertAlign w:val="baseline"/>
        </w:rPr>
        <w:t> </w:t>
      </w:r>
      <w:r>
        <w:rPr>
          <w:color w:val="363436"/>
          <w:w w:val="110"/>
          <w:vertAlign w:val="baseline"/>
        </w:rPr>
        <w:t>before me helped</w:t>
      </w:r>
      <w:r>
        <w:rPr>
          <w:color w:val="363436"/>
          <w:spacing w:val="1"/>
          <w:w w:val="110"/>
          <w:vertAlign w:val="baseline"/>
        </w:rPr>
        <w:t> </w:t>
      </w:r>
      <w:r>
        <w:rPr>
          <w:color w:val="363436"/>
          <w:w w:val="110"/>
          <w:vertAlign w:val="baseline"/>
        </w:rPr>
        <w:t>focus my attention</w:t>
      </w:r>
      <w:r>
        <w:rPr>
          <w:color w:val="363436"/>
          <w:spacing w:val="1"/>
          <w:w w:val="110"/>
          <w:vertAlign w:val="baseline"/>
        </w:rPr>
        <w:t> </w:t>
      </w:r>
      <w:r>
        <w:rPr>
          <w:color w:val="363436"/>
          <w:w w:val="110"/>
          <w:vertAlign w:val="baseline"/>
        </w:rPr>
        <w:t>in a</w:t>
      </w:r>
      <w:r>
        <w:rPr>
          <w:color w:val="363436"/>
          <w:spacing w:val="1"/>
          <w:w w:val="110"/>
          <w:vertAlign w:val="baseline"/>
        </w:rPr>
        <w:t> </w:t>
      </w:r>
      <w:r>
        <w:rPr>
          <w:color w:val="363436"/>
          <w:w w:val="110"/>
          <w:vertAlign w:val="baseline"/>
        </w:rPr>
        <w:t>way that promising myself a</w:t>
      </w:r>
      <w:r>
        <w:rPr>
          <w:color w:val="363436"/>
          <w:spacing w:val="1"/>
          <w:w w:val="110"/>
          <w:vertAlign w:val="baseline"/>
        </w:rPr>
        <w:t> </w:t>
      </w:r>
      <w:r>
        <w:rPr>
          <w:color w:val="363436"/>
          <w:w w:val="110"/>
          <w:vertAlign w:val="baseline"/>
        </w:rPr>
        <w:t>cookie</w:t>
      </w:r>
      <w:r>
        <w:rPr>
          <w:color w:val="363436"/>
          <w:spacing w:val="8"/>
          <w:w w:val="110"/>
          <w:vertAlign w:val="baseline"/>
        </w:rPr>
        <w:t> </w:t>
      </w:r>
      <w:r>
        <w:rPr>
          <w:color w:val="363436"/>
          <w:w w:val="110"/>
          <w:vertAlign w:val="baseline"/>
        </w:rPr>
        <w:t>just</w:t>
      </w:r>
      <w:r>
        <w:rPr>
          <w:color w:val="363436"/>
          <w:spacing w:val="-6"/>
          <w:w w:val="110"/>
          <w:vertAlign w:val="baseline"/>
        </w:rPr>
        <w:t> </w:t>
      </w:r>
      <w:r>
        <w:rPr>
          <w:color w:val="363436"/>
          <w:w w:val="110"/>
          <w:vertAlign w:val="baseline"/>
        </w:rPr>
        <w:t>didn't</w:t>
      </w:r>
      <w:r>
        <w:rPr>
          <w:color w:val="363436"/>
          <w:spacing w:val="-23"/>
          <w:w w:val="110"/>
          <w:vertAlign w:val="baseline"/>
        </w:rPr>
        <w:t> </w:t>
      </w:r>
      <w:r>
        <w:rPr>
          <w:color w:val="363436"/>
          <w:w w:val="110"/>
          <w:vertAlign w:val="baseline"/>
        </w:rPr>
        <w:t>achieve.</w:t>
      </w:r>
    </w:p>
    <w:p>
      <w:pPr>
        <w:pStyle w:val="BodyText"/>
        <w:spacing w:line="232" w:lineRule="auto" w:before="5"/>
        <w:ind w:left="2389" w:right="24" w:firstLine="385"/>
        <w:jc w:val="both"/>
      </w:pPr>
      <w:r>
        <w:rPr>
          <w:color w:val="363436"/>
          <w:w w:val="105"/>
        </w:rPr>
        <w:t>You may not want to write a check, but if procrastination hinders your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progress, set up some sort of consequence for not creating an  early draft.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10"/>
        </w:rPr>
        <w:t>For example, instead of giving your phone to a friend to avoid distrac­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tions,</w:t>
      </w:r>
      <w:r>
        <w:rPr>
          <w:color w:val="363436"/>
          <w:spacing w:val="-28"/>
          <w:w w:val="110"/>
        </w:rPr>
        <w:t> </w:t>
      </w:r>
      <w:r>
        <w:rPr>
          <w:color w:val="363436"/>
          <w:w w:val="110"/>
        </w:rPr>
        <w:t>you</w:t>
      </w:r>
      <w:r>
        <w:rPr>
          <w:color w:val="363436"/>
          <w:spacing w:val="-9"/>
          <w:w w:val="110"/>
        </w:rPr>
        <w:t> </w:t>
      </w:r>
      <w:r>
        <w:rPr>
          <w:color w:val="363436"/>
          <w:w w:val="110"/>
        </w:rPr>
        <w:t>may</w:t>
      </w:r>
      <w:r>
        <w:rPr>
          <w:color w:val="363436"/>
          <w:spacing w:val="-18"/>
          <w:w w:val="110"/>
        </w:rPr>
        <w:t> </w:t>
      </w:r>
      <w:r>
        <w:rPr>
          <w:color w:val="363436"/>
          <w:w w:val="110"/>
        </w:rPr>
        <w:t>want</w:t>
      </w:r>
      <w:r>
        <w:rPr>
          <w:color w:val="363436"/>
          <w:spacing w:val="-14"/>
          <w:w w:val="110"/>
        </w:rPr>
        <w:t> </w:t>
      </w:r>
      <w:r>
        <w:rPr>
          <w:color w:val="363436"/>
          <w:w w:val="110"/>
        </w:rPr>
        <w:t>to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give</w:t>
      </w:r>
      <w:r>
        <w:rPr>
          <w:color w:val="363436"/>
          <w:spacing w:val="-14"/>
          <w:w w:val="110"/>
        </w:rPr>
        <w:t> </w:t>
      </w:r>
      <w:r>
        <w:rPr>
          <w:color w:val="363436"/>
          <w:w w:val="110"/>
        </w:rPr>
        <w:t>your</w:t>
      </w:r>
      <w:r>
        <w:rPr>
          <w:color w:val="363436"/>
          <w:spacing w:val="-10"/>
          <w:w w:val="110"/>
        </w:rPr>
        <w:t> </w:t>
      </w:r>
      <w:r>
        <w:rPr>
          <w:color w:val="363436"/>
          <w:w w:val="110"/>
        </w:rPr>
        <w:t>friend</w:t>
      </w:r>
      <w:r>
        <w:rPr>
          <w:color w:val="363436"/>
          <w:spacing w:val="-6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7"/>
          <w:w w:val="110"/>
        </w:rPr>
        <w:t> </w:t>
      </w:r>
      <w:r>
        <w:rPr>
          <w:color w:val="363436"/>
          <w:w w:val="110"/>
        </w:rPr>
        <w:t>right</w:t>
      </w:r>
      <w:r>
        <w:rPr>
          <w:color w:val="363436"/>
          <w:spacing w:val="-6"/>
          <w:w w:val="110"/>
        </w:rPr>
        <w:t> </w:t>
      </w:r>
      <w:r>
        <w:rPr>
          <w:color w:val="363436"/>
          <w:w w:val="110"/>
        </w:rPr>
        <w:t>to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take</w:t>
      </w:r>
      <w:r>
        <w:rPr>
          <w:color w:val="363436"/>
          <w:spacing w:val="-12"/>
          <w:w w:val="110"/>
        </w:rPr>
        <w:t> </w:t>
      </w:r>
      <w:r>
        <w:rPr>
          <w:color w:val="363436"/>
          <w:w w:val="110"/>
        </w:rPr>
        <w:t>your</w:t>
      </w:r>
      <w:r>
        <w:rPr>
          <w:color w:val="363436"/>
          <w:spacing w:val="-13"/>
          <w:w w:val="110"/>
        </w:rPr>
        <w:t> </w:t>
      </w:r>
      <w:r>
        <w:rPr>
          <w:color w:val="363436"/>
          <w:w w:val="110"/>
        </w:rPr>
        <w:t>phone</w:t>
      </w:r>
      <w:r>
        <w:rPr>
          <w:color w:val="363436"/>
          <w:spacing w:val="-20"/>
          <w:w w:val="110"/>
        </w:rPr>
        <w:t> </w:t>
      </w:r>
      <w:r>
        <w:rPr>
          <w:color w:val="363436"/>
          <w:w w:val="110"/>
        </w:rPr>
        <w:t>over­</w:t>
      </w:r>
      <w:r>
        <w:rPr>
          <w:color w:val="363436"/>
          <w:spacing w:val="-61"/>
          <w:w w:val="110"/>
        </w:rPr>
        <w:t> </w:t>
      </w:r>
      <w:r>
        <w:rPr>
          <w:color w:val="363436"/>
          <w:w w:val="105"/>
        </w:rPr>
        <w:t>night </w:t>
      </w:r>
      <w:r>
        <w:rPr>
          <w:color w:val="494849"/>
          <w:w w:val="105"/>
        </w:rPr>
        <w:t>(or </w:t>
      </w:r>
      <w:r>
        <w:rPr>
          <w:color w:val="363436"/>
          <w:w w:val="105"/>
        </w:rPr>
        <w:t>longer) </w:t>
      </w:r>
      <w:r>
        <w:rPr>
          <w:color w:val="363436"/>
          <w:w w:val="105"/>
          <w:sz w:val="20"/>
        </w:rPr>
        <w:t>if </w:t>
      </w:r>
      <w:r>
        <w:rPr>
          <w:color w:val="363436"/>
          <w:w w:val="105"/>
        </w:rPr>
        <w:t>you fail to meet an interim deadline. Most of us are so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10"/>
        </w:rPr>
        <w:t>emotionally attached to our phones that the prospect of losing access to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phone</w:t>
      </w:r>
      <w:r>
        <w:rPr>
          <w:color w:val="363436"/>
          <w:spacing w:val="-17"/>
          <w:w w:val="110"/>
        </w:rPr>
        <w:t> </w:t>
      </w:r>
      <w:r>
        <w:rPr>
          <w:color w:val="363436"/>
          <w:w w:val="110"/>
        </w:rPr>
        <w:t>might</w:t>
      </w:r>
      <w:r>
        <w:rPr>
          <w:color w:val="363436"/>
          <w:spacing w:val="-8"/>
          <w:w w:val="110"/>
        </w:rPr>
        <w:t> </w:t>
      </w:r>
      <w:r>
        <w:rPr>
          <w:color w:val="363436"/>
          <w:w w:val="110"/>
        </w:rPr>
        <w:t>be</w:t>
      </w:r>
      <w:r>
        <w:rPr>
          <w:color w:val="363436"/>
          <w:spacing w:val="-18"/>
          <w:w w:val="110"/>
        </w:rPr>
        <w:t> </w:t>
      </w:r>
      <w:r>
        <w:rPr>
          <w:color w:val="363436"/>
          <w:w w:val="110"/>
        </w:rPr>
        <w:t>more</w:t>
      </w:r>
      <w:r>
        <w:rPr>
          <w:color w:val="363436"/>
          <w:spacing w:val="-18"/>
          <w:w w:val="110"/>
        </w:rPr>
        <w:t> </w:t>
      </w:r>
      <w:r>
        <w:rPr>
          <w:color w:val="363436"/>
          <w:w w:val="110"/>
        </w:rPr>
        <w:t>painful</w:t>
      </w:r>
      <w:r>
        <w:rPr>
          <w:color w:val="363436"/>
          <w:spacing w:val="-24"/>
          <w:w w:val="110"/>
        </w:rPr>
        <w:t> </w:t>
      </w:r>
      <w:r>
        <w:rPr>
          <w:color w:val="363436"/>
          <w:w w:val="110"/>
        </w:rPr>
        <w:t>than</w:t>
      </w:r>
      <w:r>
        <w:rPr>
          <w:color w:val="363436"/>
          <w:spacing w:val="-9"/>
          <w:w w:val="110"/>
        </w:rPr>
        <w:t> </w:t>
      </w:r>
      <w:r>
        <w:rPr>
          <w:color w:val="363436"/>
          <w:w w:val="110"/>
        </w:rPr>
        <w:t>losing</w:t>
      </w:r>
      <w:r>
        <w:rPr>
          <w:color w:val="363436"/>
          <w:spacing w:val="-16"/>
          <w:w w:val="110"/>
        </w:rPr>
        <w:t> </w:t>
      </w:r>
      <w:r>
        <w:rPr>
          <w:color w:val="363436"/>
          <w:w w:val="110"/>
        </w:rPr>
        <w:t>money,</w:t>
      </w:r>
      <w:r>
        <w:rPr>
          <w:color w:val="363436"/>
          <w:spacing w:val="-14"/>
          <w:w w:val="110"/>
        </w:rPr>
        <w:t> </w:t>
      </w:r>
      <w:r>
        <w:rPr>
          <w:color w:val="363436"/>
          <w:w w:val="110"/>
        </w:rPr>
        <w:t>and</w:t>
      </w:r>
      <w:r>
        <w:rPr>
          <w:color w:val="363436"/>
          <w:spacing w:val="21"/>
          <w:w w:val="110"/>
        </w:rPr>
        <w:t> </w:t>
      </w:r>
      <w:r>
        <w:rPr>
          <w:color w:val="363436"/>
          <w:w w:val="110"/>
        </w:rPr>
        <w:t>it</w:t>
      </w:r>
      <w:r>
        <w:rPr>
          <w:color w:val="363436"/>
          <w:spacing w:val="2"/>
          <w:w w:val="110"/>
        </w:rPr>
        <w:t> </w:t>
      </w:r>
      <w:r>
        <w:rPr>
          <w:color w:val="363436"/>
          <w:w w:val="110"/>
        </w:rPr>
        <w:t>might</w:t>
      </w:r>
      <w:r>
        <w:rPr>
          <w:color w:val="363436"/>
          <w:spacing w:val="-2"/>
          <w:w w:val="110"/>
        </w:rPr>
        <w:t> </w:t>
      </w:r>
      <w:r>
        <w:rPr>
          <w:color w:val="363436"/>
          <w:w w:val="110"/>
        </w:rPr>
        <w:t>provide</w:t>
      </w:r>
      <w:r>
        <w:rPr>
          <w:color w:val="363436"/>
          <w:spacing w:val="-61"/>
          <w:w w:val="110"/>
        </w:rPr>
        <w:t> </w:t>
      </w:r>
      <w:r>
        <w:rPr>
          <w:color w:val="363436"/>
          <w:w w:val="110"/>
        </w:rPr>
        <w:t>just</w:t>
      </w:r>
      <w:r>
        <w:rPr>
          <w:color w:val="363436"/>
          <w:spacing w:val="-10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33"/>
          <w:w w:val="110"/>
        </w:rPr>
        <w:t> </w:t>
      </w:r>
      <w:r>
        <w:rPr>
          <w:color w:val="363436"/>
          <w:w w:val="110"/>
        </w:rPr>
        <w:t>motivation</w:t>
      </w:r>
      <w:r>
        <w:rPr>
          <w:color w:val="363436"/>
          <w:spacing w:val="13"/>
          <w:w w:val="110"/>
        </w:rPr>
        <w:t> </w:t>
      </w:r>
      <w:r>
        <w:rPr>
          <w:color w:val="363436"/>
          <w:w w:val="110"/>
        </w:rPr>
        <w:t>you</w:t>
      </w:r>
      <w:r>
        <w:rPr>
          <w:color w:val="363436"/>
          <w:spacing w:val="-2"/>
          <w:w w:val="110"/>
        </w:rPr>
        <w:t> </w:t>
      </w:r>
      <w:r>
        <w:rPr>
          <w:color w:val="363436"/>
          <w:w w:val="110"/>
        </w:rPr>
        <w:t>need to</w:t>
      </w:r>
      <w:r>
        <w:rPr>
          <w:color w:val="363436"/>
          <w:spacing w:val="-9"/>
          <w:w w:val="110"/>
        </w:rPr>
        <w:t> </w:t>
      </w:r>
      <w:r>
        <w:rPr>
          <w:color w:val="363436"/>
          <w:w w:val="110"/>
        </w:rPr>
        <w:t>crank</w:t>
      </w:r>
      <w:r>
        <w:rPr>
          <w:color w:val="363436"/>
          <w:spacing w:val="-2"/>
          <w:w w:val="110"/>
        </w:rPr>
        <w:t> </w:t>
      </w:r>
      <w:r>
        <w:rPr>
          <w:color w:val="363436"/>
          <w:w w:val="110"/>
        </w:rPr>
        <w:t>out</w:t>
      </w:r>
      <w:r>
        <w:rPr>
          <w:color w:val="363436"/>
          <w:spacing w:val="6"/>
          <w:w w:val="110"/>
        </w:rPr>
        <w:t> </w:t>
      </w:r>
      <w:r>
        <w:rPr>
          <w:color w:val="363436"/>
          <w:w w:val="110"/>
        </w:rPr>
        <w:t>an</w:t>
      </w:r>
      <w:r>
        <w:rPr>
          <w:color w:val="363436"/>
          <w:spacing w:val="6"/>
          <w:w w:val="110"/>
        </w:rPr>
        <w:t> </w:t>
      </w:r>
      <w:r>
        <w:rPr>
          <w:color w:val="363436"/>
          <w:w w:val="110"/>
        </w:rPr>
        <w:t>interim</w:t>
      </w:r>
      <w:r>
        <w:rPr>
          <w:color w:val="363436"/>
          <w:spacing w:val="-11"/>
          <w:w w:val="110"/>
        </w:rPr>
        <w:t> </w:t>
      </w:r>
      <w:r>
        <w:rPr>
          <w:color w:val="363436"/>
          <w:w w:val="110"/>
        </w:rPr>
        <w:t>draft.</w:t>
      </w:r>
    </w:p>
    <w:p>
      <w:pPr>
        <w:pStyle w:val="BodyText"/>
        <w:spacing w:line="232" w:lineRule="auto" w:before="9"/>
        <w:ind w:left="2313" w:right="44" w:firstLine="402"/>
        <w:jc w:val="both"/>
      </w:pPr>
      <w:r>
        <w:rPr>
          <w:color w:val="363436"/>
          <w:w w:val="110"/>
        </w:rPr>
        <w:t>Perhaps you are one of the lucky few who eat your Brussels sprouts</w:t>
      </w:r>
      <w:r>
        <w:rPr>
          <w:color w:val="363436"/>
          <w:spacing w:val="1"/>
          <w:w w:val="110"/>
        </w:rPr>
        <w:t> </w:t>
      </w:r>
      <w:r>
        <w:rPr>
          <w:color w:val="363436"/>
          <w:spacing w:val="-1"/>
          <w:w w:val="110"/>
        </w:rPr>
        <w:t>first, and who never have </w:t>
      </w:r>
      <w:r>
        <w:rPr>
          <w:color w:val="363436"/>
          <w:w w:val="110"/>
        </w:rPr>
        <w:t>trouble with procrastination. If so, reading this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section might  have made you grateful  that youdon't  have this problem.</w:t>
      </w:r>
      <w:r>
        <w:rPr>
          <w:color w:val="363436"/>
          <w:spacing w:val="1"/>
          <w:w w:val="110"/>
        </w:rPr>
        <w:t> </w:t>
      </w:r>
      <w:r>
        <w:rPr>
          <w:rFonts w:ascii="Arial"/>
          <w:i/>
          <w:color w:val="363436"/>
          <w:w w:val="110"/>
          <w:sz w:val="22"/>
        </w:rPr>
        <w:t>It </w:t>
      </w:r>
      <w:r>
        <w:rPr>
          <w:color w:val="363436"/>
          <w:w w:val="110"/>
        </w:rPr>
        <w:t>you are a procrastinator, realize that </w:t>
      </w:r>
      <w:r>
        <w:rPr>
          <w:color w:val="494849"/>
          <w:w w:val="110"/>
        </w:rPr>
        <w:t>you </w:t>
      </w:r>
      <w:r>
        <w:rPr>
          <w:color w:val="363436"/>
          <w:w w:val="110"/>
        </w:rPr>
        <w:t>are not alone, and that just as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you</w:t>
      </w:r>
      <w:r>
        <w:rPr>
          <w:color w:val="363436"/>
          <w:spacing w:val="-17"/>
          <w:w w:val="110"/>
        </w:rPr>
        <w:t> </w:t>
      </w:r>
      <w:r>
        <w:rPr>
          <w:color w:val="363436"/>
          <w:w w:val="110"/>
        </w:rPr>
        <w:t>can</w:t>
      </w:r>
      <w:r>
        <w:rPr>
          <w:color w:val="363436"/>
          <w:spacing w:val="-8"/>
          <w:w w:val="110"/>
        </w:rPr>
        <w:t> </w:t>
      </w:r>
      <w:r>
        <w:rPr>
          <w:color w:val="363436"/>
          <w:w w:val="110"/>
        </w:rPr>
        <w:t>learn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to</w:t>
      </w:r>
      <w:r>
        <w:rPr>
          <w:color w:val="363436"/>
          <w:spacing w:val="6"/>
          <w:w w:val="110"/>
        </w:rPr>
        <w:t> </w:t>
      </w:r>
      <w:r>
        <w:rPr>
          <w:color w:val="363436"/>
          <w:w w:val="110"/>
        </w:rPr>
        <w:t>write,</w:t>
      </w:r>
      <w:r>
        <w:rPr>
          <w:color w:val="363436"/>
          <w:spacing w:val="-11"/>
          <w:w w:val="110"/>
        </w:rPr>
        <w:t> </w:t>
      </w:r>
      <w:r>
        <w:rPr>
          <w:color w:val="363436"/>
          <w:w w:val="110"/>
        </w:rPr>
        <w:t>you</w:t>
      </w:r>
      <w:r>
        <w:rPr>
          <w:color w:val="363436"/>
          <w:spacing w:val="-8"/>
          <w:w w:val="110"/>
        </w:rPr>
        <w:t> </w:t>
      </w:r>
      <w:r>
        <w:rPr>
          <w:color w:val="363436"/>
          <w:w w:val="110"/>
        </w:rPr>
        <w:t>can</w:t>
      </w:r>
      <w:r>
        <w:rPr>
          <w:color w:val="363436"/>
          <w:spacing w:val="12"/>
          <w:w w:val="110"/>
        </w:rPr>
        <w:t> </w:t>
      </w:r>
      <w:r>
        <w:rPr>
          <w:color w:val="363436"/>
          <w:w w:val="110"/>
        </w:rPr>
        <w:t>learn</w:t>
      </w:r>
      <w:r>
        <w:rPr>
          <w:color w:val="363436"/>
          <w:spacing w:val="-20"/>
          <w:w w:val="110"/>
        </w:rPr>
        <w:t> </w:t>
      </w:r>
      <w:r>
        <w:rPr>
          <w:color w:val="363436"/>
          <w:w w:val="110"/>
        </w:rPr>
        <w:t>to</w:t>
      </w:r>
      <w:r>
        <w:rPr>
          <w:color w:val="363436"/>
          <w:spacing w:val="3"/>
          <w:w w:val="110"/>
        </w:rPr>
        <w:t> </w:t>
      </w:r>
      <w:r>
        <w:rPr>
          <w:color w:val="363436"/>
          <w:w w:val="110"/>
        </w:rPr>
        <w:t>defeat</w:t>
      </w:r>
      <w:r>
        <w:rPr>
          <w:color w:val="363436"/>
          <w:spacing w:val="-5"/>
          <w:w w:val="110"/>
        </w:rPr>
        <w:t> </w:t>
      </w:r>
      <w:r>
        <w:rPr>
          <w:color w:val="363436"/>
          <w:w w:val="110"/>
        </w:rPr>
        <w:t>procrastination.</w:t>
      </w:r>
    </w:p>
    <w:p>
      <w:pPr>
        <w:spacing w:before="90"/>
        <w:ind w:left="41" w:right="0" w:firstLine="0"/>
        <w:jc w:val="left"/>
        <w:rPr>
          <w:sz w:val="29"/>
        </w:rPr>
      </w:pPr>
      <w:r>
        <w:rPr>
          <w:rFonts w:ascii="Arial"/>
          <w:color w:val="B3B5B6"/>
          <w:spacing w:val="14"/>
          <w:w w:val="110"/>
          <w:sz w:val="28"/>
        </w:rPr>
        <w:t>.</w:t>
      </w:r>
      <w:r>
        <w:rPr>
          <w:color w:val="B3B5B6"/>
          <w:spacing w:val="14"/>
          <w:w w:val="110"/>
          <w:sz w:val="29"/>
        </w:rPr>
        <w:t>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spacing w:line="206" w:lineRule="exact" w:before="93"/>
        <w:ind w:left="2552" w:right="0" w:firstLine="0"/>
        <w:jc w:val="left"/>
        <w:rPr>
          <w:i/>
          <w:sz w:val="17"/>
        </w:rPr>
      </w:pPr>
      <w:r>
        <w:rPr>
          <w:color w:val="494849"/>
          <w:w w:val="105"/>
          <w:sz w:val="11"/>
        </w:rPr>
        <w:t>2</w:t>
      </w:r>
      <w:r>
        <w:rPr>
          <w:color w:val="494849"/>
          <w:w w:val="105"/>
          <w:position w:val="4"/>
          <w:sz w:val="11"/>
        </w:rPr>
        <w:t>1</w:t>
      </w:r>
      <w:r>
        <w:rPr>
          <w:color w:val="494849"/>
          <w:w w:val="105"/>
          <w:sz w:val="18"/>
        </w:rPr>
        <w:t>eass</w:t>
      </w:r>
      <w:r>
        <w:rPr>
          <w:color w:val="494849"/>
          <w:spacing w:val="21"/>
          <w:w w:val="105"/>
          <w:sz w:val="18"/>
        </w:rPr>
        <w:t> </w:t>
      </w:r>
      <w:r>
        <w:rPr>
          <w:color w:val="363436"/>
          <w:w w:val="105"/>
          <w:sz w:val="19"/>
        </w:rPr>
        <w:t>R.</w:t>
      </w:r>
      <w:r>
        <w:rPr>
          <w:color w:val="363436"/>
          <w:w w:val="105"/>
          <w:sz w:val="18"/>
        </w:rPr>
        <w:t>Sunsteln</w:t>
      </w:r>
      <w:r>
        <w:rPr>
          <w:color w:val="363436"/>
          <w:spacing w:val="21"/>
          <w:w w:val="105"/>
          <w:sz w:val="18"/>
        </w:rPr>
        <w:t> </w:t>
      </w:r>
      <w:r>
        <w:rPr>
          <w:color w:val="363436"/>
          <w:w w:val="105"/>
          <w:sz w:val="17"/>
        </w:rPr>
        <w:t>&amp;</w:t>
      </w:r>
      <w:r>
        <w:rPr>
          <w:color w:val="363436"/>
          <w:spacing w:val="15"/>
          <w:w w:val="105"/>
          <w:sz w:val="17"/>
        </w:rPr>
        <w:t> </w:t>
      </w:r>
      <w:r>
        <w:rPr>
          <w:color w:val="363436"/>
          <w:w w:val="105"/>
          <w:sz w:val="18"/>
        </w:rPr>
        <w:t>RJchard</w:t>
      </w:r>
      <w:r>
        <w:rPr>
          <w:color w:val="363436"/>
          <w:spacing w:val="-1"/>
          <w:w w:val="105"/>
          <w:sz w:val="18"/>
        </w:rPr>
        <w:t> </w:t>
      </w:r>
      <w:r>
        <w:rPr>
          <w:color w:val="363436"/>
          <w:w w:val="105"/>
          <w:sz w:val="19"/>
        </w:rPr>
        <w:t>J.</w:t>
      </w:r>
      <w:r>
        <w:rPr>
          <w:color w:val="363436"/>
          <w:spacing w:val="-2"/>
          <w:w w:val="105"/>
          <w:sz w:val="19"/>
        </w:rPr>
        <w:t> </w:t>
      </w:r>
      <w:r>
        <w:rPr>
          <w:color w:val="363436"/>
          <w:w w:val="105"/>
          <w:sz w:val="18"/>
        </w:rPr>
        <w:t>Thaler,</w:t>
      </w:r>
      <w:r>
        <w:rPr>
          <w:color w:val="363436"/>
          <w:spacing w:val="19"/>
          <w:w w:val="105"/>
          <w:sz w:val="18"/>
        </w:rPr>
        <w:t> </w:t>
      </w:r>
      <w:r>
        <w:rPr>
          <w:i/>
          <w:color w:val="363436"/>
          <w:w w:val="105"/>
          <w:sz w:val="17"/>
        </w:rPr>
        <w:t>Nudge:</w:t>
      </w:r>
      <w:r>
        <w:rPr>
          <w:i/>
          <w:color w:val="363436"/>
          <w:spacing w:val="-3"/>
          <w:w w:val="105"/>
          <w:sz w:val="17"/>
        </w:rPr>
        <w:t> </w:t>
      </w:r>
      <w:r>
        <w:rPr>
          <w:i/>
          <w:color w:val="363436"/>
          <w:w w:val="105"/>
          <w:sz w:val="17"/>
        </w:rPr>
        <w:t>Improving</w:t>
      </w:r>
      <w:r>
        <w:rPr>
          <w:i/>
          <w:color w:val="363436"/>
          <w:spacing w:val="20"/>
          <w:w w:val="105"/>
          <w:sz w:val="17"/>
        </w:rPr>
        <w:t> </w:t>
      </w:r>
      <w:r>
        <w:rPr>
          <w:i/>
          <w:color w:val="363436"/>
          <w:w w:val="105"/>
          <w:sz w:val="17"/>
        </w:rPr>
        <w:t>Decisions</w:t>
      </w:r>
      <w:r>
        <w:rPr>
          <w:i/>
          <w:color w:val="363436"/>
          <w:spacing w:val="23"/>
          <w:w w:val="105"/>
          <w:sz w:val="17"/>
        </w:rPr>
        <w:t> </w:t>
      </w:r>
      <w:r>
        <w:rPr>
          <w:i/>
          <w:color w:val="363436"/>
          <w:w w:val="105"/>
          <w:sz w:val="17"/>
        </w:rPr>
        <w:t>About</w:t>
      </w:r>
      <w:r>
        <w:rPr>
          <w:i/>
          <w:color w:val="363436"/>
          <w:spacing w:val="4"/>
          <w:w w:val="105"/>
          <w:sz w:val="17"/>
        </w:rPr>
        <w:t> </w:t>
      </w:r>
      <w:r>
        <w:rPr>
          <w:i/>
          <w:color w:val="363436"/>
          <w:w w:val="105"/>
          <w:sz w:val="17"/>
        </w:rPr>
        <w:t>Health,</w:t>
      </w:r>
      <w:r>
        <w:rPr>
          <w:i/>
          <w:color w:val="363436"/>
          <w:spacing w:val="-1"/>
          <w:w w:val="105"/>
          <w:sz w:val="17"/>
        </w:rPr>
        <w:t> </w:t>
      </w:r>
      <w:r>
        <w:rPr>
          <w:i/>
          <w:color w:val="363436"/>
          <w:w w:val="105"/>
          <w:sz w:val="17"/>
        </w:rPr>
        <w:t>Wealth,</w:t>
      </w:r>
      <w:r>
        <w:rPr>
          <w:i/>
          <w:color w:val="363436"/>
          <w:spacing w:val="-9"/>
          <w:w w:val="105"/>
          <w:sz w:val="17"/>
        </w:rPr>
        <w:t> </w:t>
      </w:r>
      <w:r>
        <w:rPr>
          <w:i/>
          <w:color w:val="363436"/>
          <w:w w:val="105"/>
          <w:sz w:val="17"/>
        </w:rPr>
        <w:t>and</w:t>
      </w:r>
    </w:p>
    <w:p>
      <w:pPr>
        <w:spacing w:line="207" w:lineRule="exact" w:before="0"/>
        <w:ind w:left="2174" w:right="0" w:firstLine="0"/>
        <w:jc w:val="left"/>
        <w:rPr>
          <w:sz w:val="17"/>
        </w:rPr>
      </w:pPr>
      <w:r>
        <w:rPr>
          <w:i/>
          <w:color w:val="363436"/>
          <w:sz w:val="20"/>
        </w:rPr>
        <w:t>Happiness</w:t>
      </w:r>
      <w:r>
        <w:rPr>
          <w:i/>
          <w:color w:val="363436"/>
          <w:spacing w:val="1"/>
          <w:sz w:val="20"/>
        </w:rPr>
        <w:t> </w:t>
      </w:r>
      <w:r>
        <w:rPr>
          <w:color w:val="363436"/>
          <w:sz w:val="17"/>
        </w:rPr>
        <w:t>46</w:t>
      </w:r>
      <w:r>
        <w:rPr>
          <w:color w:val="363436"/>
          <w:spacing w:val="12"/>
          <w:sz w:val="17"/>
        </w:rPr>
        <w:t> </w:t>
      </w:r>
      <w:r>
        <w:rPr>
          <w:color w:val="363436"/>
          <w:sz w:val="17"/>
        </w:rPr>
        <w:t>(Yale</w:t>
      </w:r>
      <w:r>
        <w:rPr>
          <w:color w:val="363436"/>
          <w:spacing w:val="-1"/>
          <w:sz w:val="17"/>
        </w:rPr>
        <w:t> </w:t>
      </w:r>
      <w:r>
        <w:rPr>
          <w:color w:val="363436"/>
          <w:sz w:val="17"/>
        </w:rPr>
        <w:t>UnJv.</w:t>
      </w:r>
      <w:r>
        <w:rPr>
          <w:color w:val="363436"/>
          <w:spacing w:val="3"/>
          <w:sz w:val="17"/>
        </w:rPr>
        <w:t> </w:t>
      </w:r>
      <w:r>
        <w:rPr>
          <w:color w:val="363436"/>
          <w:sz w:val="17"/>
        </w:rPr>
        <w:t>Press,</w:t>
      </w:r>
      <w:r>
        <w:rPr>
          <w:color w:val="363436"/>
          <w:spacing w:val="-8"/>
          <w:sz w:val="17"/>
        </w:rPr>
        <w:t> </w:t>
      </w:r>
      <w:r>
        <w:rPr>
          <w:color w:val="363436"/>
          <w:sz w:val="17"/>
        </w:rPr>
        <w:t>2008).</w:t>
      </w:r>
    </w:p>
    <w:p>
      <w:pPr>
        <w:spacing w:line="198" w:lineRule="exact" w:before="0"/>
        <w:ind w:left="2526" w:right="0" w:firstLine="0"/>
        <w:jc w:val="left"/>
        <w:rPr>
          <w:sz w:val="18"/>
        </w:rPr>
      </w:pPr>
      <w:r>
        <w:rPr>
          <w:rFonts w:ascii="Arial"/>
          <w:i/>
          <w:color w:val="363436"/>
          <w:sz w:val="17"/>
        </w:rPr>
        <w:t>:,See</w:t>
      </w:r>
      <w:r>
        <w:rPr>
          <w:rFonts w:ascii="Arial"/>
          <w:i/>
          <w:color w:val="363436"/>
          <w:spacing w:val="-16"/>
          <w:sz w:val="17"/>
        </w:rPr>
        <w:t> </w:t>
      </w:r>
      <w:r>
        <w:rPr>
          <w:rFonts w:ascii="Arial"/>
          <w:i/>
          <w:color w:val="363436"/>
          <w:sz w:val="18"/>
        </w:rPr>
        <w:t>Jd.</w:t>
      </w:r>
      <w:r>
        <w:rPr>
          <w:rFonts w:ascii="Arial"/>
          <w:i/>
          <w:color w:val="363436"/>
          <w:spacing w:val="-25"/>
          <w:sz w:val="18"/>
        </w:rPr>
        <w:t> </w:t>
      </w:r>
      <w:r>
        <w:rPr>
          <w:color w:val="363436"/>
          <w:sz w:val="18"/>
        </w:rPr>
        <w:t>at</w:t>
      </w:r>
      <w:r>
        <w:rPr>
          <w:color w:val="363436"/>
          <w:spacing w:val="11"/>
          <w:sz w:val="18"/>
        </w:rPr>
        <w:t> </w:t>
      </w:r>
      <w:r>
        <w:rPr>
          <w:color w:val="363436"/>
          <w:sz w:val="18"/>
        </w:rPr>
        <w:t>232</w:t>
      </w:r>
      <w:r>
        <w:rPr>
          <w:color w:val="363436"/>
          <w:spacing w:val="67"/>
          <w:sz w:val="18"/>
        </w:rPr>
        <w:t> </w:t>
      </w:r>
      <w:r>
        <w:rPr>
          <w:color w:val="363436"/>
          <w:sz w:val="18"/>
        </w:rPr>
        <w:t>(d1.scusslng</w:t>
      </w:r>
      <w:r>
        <w:rPr>
          <w:color w:val="363436"/>
          <w:spacing w:val="12"/>
          <w:sz w:val="18"/>
        </w:rPr>
        <w:t> </w:t>
      </w:r>
      <w:r>
        <w:rPr>
          <w:color w:val="363436"/>
          <w:sz w:val="18"/>
        </w:rPr>
        <w:t>the</w:t>
      </w:r>
      <w:r>
        <w:rPr>
          <w:color w:val="363436"/>
          <w:spacing w:val="67"/>
          <w:sz w:val="18"/>
        </w:rPr>
        <w:t> </w:t>
      </w:r>
      <w:r>
        <w:rPr>
          <w:color w:val="494849"/>
          <w:sz w:val="18"/>
        </w:rPr>
        <w:t>use</w:t>
      </w:r>
      <w:r>
        <w:rPr>
          <w:color w:val="494849"/>
          <w:spacing w:val="-10"/>
          <w:sz w:val="18"/>
        </w:rPr>
        <w:t> </w:t>
      </w:r>
      <w:r>
        <w:rPr>
          <w:color w:val="363436"/>
          <w:sz w:val="18"/>
        </w:rPr>
        <w:t>of</w:t>
      </w:r>
      <w:r>
        <w:rPr>
          <w:color w:val="363436"/>
          <w:spacing w:val="4"/>
          <w:sz w:val="18"/>
        </w:rPr>
        <w:t> </w:t>
      </w:r>
      <w:r>
        <w:rPr>
          <w:color w:val="494849"/>
          <w:sz w:val="18"/>
        </w:rPr>
        <w:t>"commitment</w:t>
      </w:r>
      <w:r>
        <w:rPr>
          <w:color w:val="494849"/>
          <w:spacing w:val="-2"/>
          <w:sz w:val="18"/>
        </w:rPr>
        <w:t> </w:t>
      </w:r>
      <w:r>
        <w:rPr>
          <w:color w:val="363436"/>
          <w:sz w:val="18"/>
        </w:rPr>
        <w:t>contract$"</w:t>
      </w:r>
      <w:r>
        <w:rPr>
          <w:color w:val="363436"/>
          <w:spacing w:val="-1"/>
          <w:sz w:val="18"/>
        </w:rPr>
        <w:t> </w:t>
      </w:r>
      <w:r>
        <w:rPr>
          <w:color w:val="363436"/>
          <w:sz w:val="18"/>
        </w:rPr>
        <w:t>on</w:t>
      </w:r>
      <w:r>
        <w:rPr>
          <w:color w:val="363436"/>
          <w:spacing w:val="19"/>
          <w:sz w:val="18"/>
        </w:rPr>
        <w:t> </w:t>
      </w:r>
      <w:r>
        <w:rPr>
          <w:color w:val="363436"/>
          <w:sz w:val="18"/>
        </w:rPr>
        <w:t>Stickk.com).</w:t>
      </w:r>
    </w:p>
    <w:p>
      <w:pPr>
        <w:spacing w:after="0" w:line="198" w:lineRule="exact"/>
        <w:jc w:val="left"/>
        <w:rPr>
          <w:sz w:val="18"/>
        </w:rPr>
        <w:sectPr>
          <w:headerReference w:type="even" r:id="rId110"/>
          <w:pgSz w:w="9800" w:h="13780"/>
          <w:pgMar w:header="0" w:footer="0" w:top="480" w:bottom="0" w:left="0" w:right="0"/>
        </w:sectPr>
      </w:pPr>
    </w:p>
    <w:p>
      <w:pPr>
        <w:pStyle w:val="Heading6"/>
        <w:spacing w:before="91"/>
        <w:ind w:left="693"/>
        <w:rPr>
          <w:rFonts w:ascii="Courier New"/>
        </w:rPr>
      </w:pPr>
      <w:r>
        <w:rPr>
          <w:rFonts w:ascii="Courier New"/>
          <w:color w:val="3A383A"/>
          <w:w w:val="90"/>
        </w:rPr>
        <w:t>4.4</w:t>
      </w:r>
    </w:p>
    <w:p>
      <w:pPr>
        <w:spacing w:before="9"/>
        <w:ind w:left="726" w:right="0" w:firstLine="0"/>
        <w:jc w:val="left"/>
        <w:rPr>
          <w:b/>
          <w:sz w:val="28"/>
        </w:rPr>
      </w:pPr>
      <w:r>
        <w:rPr>
          <w:b/>
          <w:color w:val="3A383A"/>
          <w:sz w:val="28"/>
        </w:rPr>
        <w:t>SUMMARY</w:t>
      </w:r>
    </w:p>
    <w:p>
      <w:pPr>
        <w:pStyle w:val="BodyText"/>
        <w:spacing w:line="232" w:lineRule="auto" w:before="242"/>
        <w:ind w:left="106" w:right="106" w:firstLine="593"/>
        <w:jc w:val="both"/>
      </w:pPr>
      <w:r>
        <w:rPr>
          <w:color w:val="3A383A"/>
          <w:w w:val="110"/>
        </w:rPr>
        <w:t>You will be able to draft your argument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much  more effectively if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you take the time to create a working outline for the argument. Use legal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rules and their phrases-that-pay, policy-based rules, and other assertions to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0"/>
        </w:rPr>
        <w:t>help you recognize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points that you want to make in your argument.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While drafting the argument, be ready to recognize and record any private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memo questions that youhave about your research, your organization, or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other aspects of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your argument. </w:t>
      </w:r>
      <w:r>
        <w:rPr>
          <w:color w:val="3A383A"/>
          <w:w w:val="110"/>
          <w:sz w:val="22"/>
        </w:rPr>
        <w:t>If</w:t>
      </w:r>
      <w:r>
        <w:rPr>
          <w:color w:val="3A383A"/>
          <w:spacing w:val="1"/>
          <w:w w:val="110"/>
          <w:sz w:val="22"/>
        </w:rPr>
        <w:t> </w:t>
      </w:r>
      <w:r>
        <w:rPr>
          <w:color w:val="3A383A"/>
          <w:w w:val="110"/>
        </w:rPr>
        <w:t>procrastination is an  issue for  you, try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0"/>
        </w:rPr>
        <w:t>to identify its specific causes, and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identify techniques that will best help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you</w:t>
      </w:r>
      <w:r>
        <w:rPr>
          <w:color w:val="3A383A"/>
          <w:spacing w:val="-2"/>
          <w:w w:val="110"/>
        </w:rPr>
        <w:t> </w:t>
      </w:r>
      <w:r>
        <w:rPr>
          <w:color w:val="3A383A"/>
          <w:w w:val="110"/>
        </w:rPr>
        <w:t>to</w:t>
      </w:r>
      <w:r>
        <w:rPr>
          <w:color w:val="3A383A"/>
          <w:spacing w:val="8"/>
          <w:w w:val="110"/>
        </w:rPr>
        <w:t> </w:t>
      </w:r>
      <w:r>
        <w:rPr>
          <w:color w:val="3A383A"/>
          <w:w w:val="110"/>
        </w:rPr>
        <w:t>finish</w:t>
      </w:r>
      <w:r>
        <w:rPr>
          <w:color w:val="3A383A"/>
          <w:spacing w:val="-7"/>
          <w:w w:val="110"/>
        </w:rPr>
        <w:t> </w:t>
      </w:r>
      <w:r>
        <w:rPr>
          <w:color w:val="3A383A"/>
          <w:w w:val="110"/>
        </w:rPr>
        <w:t>a</w:t>
      </w:r>
      <w:r>
        <w:rPr>
          <w:color w:val="3A383A"/>
          <w:spacing w:val="6"/>
          <w:w w:val="110"/>
        </w:rPr>
        <w:t> </w:t>
      </w:r>
      <w:r>
        <w:rPr>
          <w:color w:val="3A383A"/>
          <w:w w:val="110"/>
        </w:rPr>
        <w:t>draft.</w:t>
      </w:r>
    </w:p>
    <w:p>
      <w:pPr>
        <w:spacing w:after="0" w:line="232" w:lineRule="auto"/>
        <w:jc w:val="both"/>
        <w:sectPr>
          <w:headerReference w:type="default" r:id="rId111"/>
          <w:pgSz w:w="9610" w:h="13740"/>
          <w:pgMar w:header="428" w:footer="0" w:top="1020" w:bottom="280" w:left="560" w:right="1240"/>
          <w:pgNumType w:start="85"/>
        </w:sectPr>
      </w:pPr>
    </w:p>
    <w:p>
      <w:pPr>
        <w:pStyle w:val="BodyText"/>
        <w:spacing w:before="8"/>
        <w:rPr>
          <w:sz w:val="70"/>
        </w:rPr>
      </w:pPr>
    </w:p>
    <w:p>
      <w:pPr>
        <w:spacing w:before="0"/>
        <w:ind w:left="107" w:right="0" w:firstLine="0"/>
        <w:jc w:val="left"/>
        <w:rPr>
          <w:i/>
          <w:sz w:val="60"/>
        </w:rPr>
      </w:pPr>
      <w:r>
        <w:rPr/>
        <w:pict>
          <v:shape style="position:absolute;margin-left:29.27948pt;margin-top:25.369972pt;width:9.7pt;height:35pt;mso-position-horizontal-relative:page;mso-position-vertical-relative:paragraph;z-index:-21603840" type="#_x0000_t202" id="docshape166" filled="false" stroked="false">
            <v:textbox inset="0,0,0,0">
              <w:txbxContent>
                <w:p>
                  <w:pPr>
                    <w:spacing w:line="699" w:lineRule="exact" w:before="0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383638"/>
                      <w:w w:val="110"/>
                      <w:sz w:val="6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color w:val="383638"/>
          <w:w w:val="110"/>
          <w:sz w:val="60"/>
        </w:rPr>
        <w:t>i</w:t>
      </w:r>
    </w:p>
    <w:p>
      <w:pPr>
        <w:spacing w:line="143" w:lineRule="exact" w:before="366"/>
        <w:ind w:left="182" w:right="0" w:firstLine="0"/>
        <w:jc w:val="left"/>
        <w:rPr>
          <w:sz w:val="16"/>
        </w:rPr>
      </w:pPr>
      <w:r>
        <w:rPr>
          <w:color w:val="383638"/>
          <w:sz w:val="16"/>
        </w:rPr>
        <w:t>Ill</w:t>
      </w:r>
    </w:p>
    <w:p>
      <w:pPr>
        <w:spacing w:line="361" w:lineRule="exact" w:before="0"/>
        <w:ind w:left="125" w:right="0" w:firstLine="0"/>
        <w:jc w:val="left"/>
        <w:rPr>
          <w:sz w:val="35"/>
        </w:rPr>
      </w:pPr>
      <w:r>
        <w:rPr>
          <w:color w:val="383638"/>
          <w:w w:val="91"/>
          <w:sz w:val="35"/>
        </w:rPr>
        <w:t>0</w:t>
      </w:r>
    </w:p>
    <w:p>
      <w:pPr>
        <w:spacing w:before="80"/>
        <w:ind w:left="0" w:right="108" w:firstLine="0"/>
        <w:jc w:val="right"/>
        <w:rPr>
          <w:rFonts w:ascii="Courier New"/>
          <w:b/>
          <w:sz w:val="20"/>
        </w:rPr>
      </w:pPr>
      <w:r>
        <w:rPr/>
        <w:br w:type="column"/>
      </w:r>
      <w:r>
        <w:rPr>
          <w:rFonts w:ascii="Courier New"/>
          <w:b/>
          <w:color w:val="383638"/>
          <w:w w:val="110"/>
          <w:sz w:val="20"/>
        </w:rPr>
        <w:t>87</w:t>
      </w:r>
    </w:p>
    <w:p>
      <w:pPr>
        <w:pStyle w:val="BodyText"/>
        <w:rPr>
          <w:rFonts w:ascii="Courier New"/>
          <w:b/>
          <w:sz w:val="22"/>
        </w:rPr>
      </w:pPr>
    </w:p>
    <w:p>
      <w:pPr>
        <w:pStyle w:val="BodyText"/>
        <w:rPr>
          <w:rFonts w:ascii="Courier New"/>
          <w:b/>
          <w:sz w:val="22"/>
        </w:rPr>
      </w:pPr>
    </w:p>
    <w:p>
      <w:pPr>
        <w:pStyle w:val="BodyText"/>
        <w:rPr>
          <w:rFonts w:ascii="Courier New"/>
          <w:b/>
          <w:sz w:val="22"/>
        </w:rPr>
      </w:pPr>
    </w:p>
    <w:p>
      <w:pPr>
        <w:pStyle w:val="BodyText"/>
        <w:rPr>
          <w:rFonts w:ascii="Courier New"/>
          <w:b/>
          <w:sz w:val="22"/>
        </w:rPr>
      </w:pPr>
    </w:p>
    <w:p>
      <w:pPr>
        <w:spacing w:before="178"/>
        <w:ind w:left="107" w:right="0" w:firstLine="0"/>
        <w:jc w:val="left"/>
        <w:rPr>
          <w:rFonts w:ascii="Arial"/>
          <w:b/>
          <w:sz w:val="42"/>
        </w:rPr>
      </w:pPr>
      <w:r>
        <w:rPr>
          <w:rFonts w:ascii="Arial"/>
          <w:b/>
          <w:color w:val="383638"/>
          <w:sz w:val="40"/>
        </w:rPr>
        <w:t>O</w:t>
      </w:r>
      <w:r>
        <w:rPr>
          <w:rFonts w:ascii="Arial"/>
          <w:b/>
          <w:color w:val="5B5B5D"/>
          <w:sz w:val="40"/>
        </w:rPr>
        <w:t>NE</w:t>
      </w:r>
      <w:r>
        <w:rPr>
          <w:rFonts w:ascii="Arial"/>
          <w:b/>
          <w:color w:val="5B5B5D"/>
          <w:spacing w:val="-11"/>
          <w:sz w:val="40"/>
        </w:rPr>
        <w:t> </w:t>
      </w:r>
      <w:r>
        <w:rPr>
          <w:rFonts w:ascii="Arial"/>
          <w:b/>
          <w:color w:val="4B494B"/>
          <w:sz w:val="40"/>
        </w:rPr>
        <w:t>PIECE</w:t>
      </w:r>
      <w:r>
        <w:rPr>
          <w:rFonts w:ascii="Arial"/>
          <w:b/>
          <w:color w:val="4B494B"/>
          <w:spacing w:val="59"/>
          <w:sz w:val="40"/>
        </w:rPr>
        <w:t> </w:t>
      </w:r>
      <w:r>
        <w:rPr>
          <w:b/>
          <w:color w:val="383638"/>
          <w:sz w:val="43"/>
        </w:rPr>
        <w:t>AT</w:t>
      </w:r>
      <w:r>
        <w:rPr>
          <w:b/>
          <w:color w:val="383638"/>
          <w:spacing w:val="39"/>
          <w:sz w:val="43"/>
        </w:rPr>
        <w:t> </w:t>
      </w:r>
      <w:r>
        <w:rPr>
          <w:b/>
          <w:color w:val="383638"/>
          <w:sz w:val="43"/>
        </w:rPr>
        <w:t>A</w:t>
      </w:r>
      <w:r>
        <w:rPr>
          <w:b/>
          <w:color w:val="383638"/>
          <w:spacing w:val="21"/>
          <w:sz w:val="43"/>
        </w:rPr>
        <w:t> </w:t>
      </w:r>
      <w:r>
        <w:rPr>
          <w:rFonts w:ascii="Arial"/>
          <w:b/>
          <w:color w:val="383638"/>
          <w:sz w:val="42"/>
        </w:rPr>
        <w:t>TIME:</w:t>
      </w:r>
    </w:p>
    <w:p>
      <w:pPr>
        <w:pStyle w:val="Heading4"/>
        <w:spacing w:before="43"/>
      </w:pPr>
      <w:r>
        <w:rPr>
          <w:color w:val="4B494B"/>
          <w:w w:val="105"/>
        </w:rPr>
        <w:t>DRAFTING</w:t>
      </w:r>
      <w:r>
        <w:rPr>
          <w:color w:val="4B494B"/>
          <w:spacing w:val="55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15"/>
          <w:w w:val="105"/>
        </w:rPr>
        <w:t> </w:t>
      </w:r>
      <w:r>
        <w:rPr>
          <w:color w:val="383638"/>
          <w:w w:val="105"/>
        </w:rPr>
        <w:t>A</w:t>
      </w:r>
      <w:r>
        <w:rPr>
          <w:color w:val="5B5B5D"/>
          <w:w w:val="105"/>
        </w:rPr>
        <w:t>R</w:t>
      </w:r>
      <w:r>
        <w:rPr>
          <w:color w:val="383638"/>
          <w:w w:val="105"/>
        </w:rPr>
        <w:t>GUMENT</w:t>
      </w:r>
    </w:p>
    <w:p>
      <w:pPr>
        <w:pStyle w:val="BodyText"/>
        <w:spacing w:before="4"/>
        <w:rPr>
          <w:rFonts w:ascii="Arial"/>
          <w:b/>
          <w:sz w:val="58"/>
        </w:rPr>
      </w:pPr>
    </w:p>
    <w:p>
      <w:pPr>
        <w:pStyle w:val="ListParagraph"/>
        <w:numPr>
          <w:ilvl w:val="1"/>
          <w:numId w:val="40"/>
        </w:numPr>
        <w:tabs>
          <w:tab w:pos="662" w:val="left" w:leader="none"/>
          <w:tab w:pos="664" w:val="left" w:leader="none"/>
        </w:tabs>
        <w:spacing w:line="240" w:lineRule="auto" w:before="0" w:after="0"/>
        <w:ind w:left="663" w:right="0" w:hanging="510"/>
        <w:jc w:val="left"/>
        <w:rPr>
          <w:sz w:val="20"/>
        </w:rPr>
      </w:pPr>
      <w:r>
        <w:rPr>
          <w:color w:val="383638"/>
          <w:w w:val="110"/>
          <w:sz w:val="20"/>
        </w:rPr>
        <w:t>Using</w:t>
      </w:r>
      <w:r>
        <w:rPr>
          <w:color w:val="383638"/>
          <w:spacing w:val="-3"/>
          <w:w w:val="110"/>
          <w:sz w:val="20"/>
        </w:rPr>
        <w:t> </w:t>
      </w:r>
      <w:r>
        <w:rPr>
          <w:color w:val="383638"/>
          <w:w w:val="110"/>
          <w:sz w:val="20"/>
        </w:rPr>
        <w:t>an</w:t>
      </w:r>
      <w:r>
        <w:rPr>
          <w:color w:val="383638"/>
          <w:spacing w:val="42"/>
          <w:w w:val="110"/>
          <w:sz w:val="20"/>
        </w:rPr>
        <w:t> </w:t>
      </w:r>
      <w:r>
        <w:rPr>
          <w:color w:val="383638"/>
          <w:w w:val="110"/>
          <w:sz w:val="20"/>
        </w:rPr>
        <w:t>Analytical</w:t>
      </w:r>
      <w:r>
        <w:rPr>
          <w:color w:val="383638"/>
          <w:spacing w:val="22"/>
          <w:w w:val="110"/>
          <w:sz w:val="20"/>
        </w:rPr>
        <w:t> </w:t>
      </w:r>
      <w:r>
        <w:rPr>
          <w:color w:val="383638"/>
          <w:w w:val="110"/>
          <w:sz w:val="20"/>
        </w:rPr>
        <w:t>Formula</w:t>
      </w:r>
    </w:p>
    <w:p>
      <w:pPr>
        <w:pStyle w:val="ListParagraph"/>
        <w:numPr>
          <w:ilvl w:val="2"/>
          <w:numId w:val="40"/>
        </w:numPr>
        <w:tabs>
          <w:tab w:pos="1337" w:val="left" w:leader="none"/>
        </w:tabs>
        <w:spacing w:line="240" w:lineRule="auto" w:before="0" w:after="0"/>
        <w:ind w:left="1336" w:right="0" w:hanging="682"/>
        <w:jc w:val="left"/>
        <w:rPr>
          <w:rFonts w:ascii="Arial"/>
          <w:b/>
          <w:color w:val="383638"/>
          <w:sz w:val="20"/>
        </w:rPr>
      </w:pPr>
      <w:r>
        <w:rPr>
          <w:color w:val="383638"/>
          <w:w w:val="105"/>
          <w:sz w:val="20"/>
        </w:rPr>
        <w:t>State</w:t>
      </w:r>
      <w:r>
        <w:rPr>
          <w:color w:val="383638"/>
          <w:spacing w:val="7"/>
          <w:w w:val="105"/>
          <w:sz w:val="20"/>
        </w:rPr>
        <w:t> </w:t>
      </w:r>
      <w:r>
        <w:rPr>
          <w:color w:val="383638"/>
          <w:w w:val="105"/>
          <w:sz w:val="20"/>
        </w:rPr>
        <w:t>Your</w:t>
      </w:r>
      <w:r>
        <w:rPr>
          <w:color w:val="383638"/>
          <w:spacing w:val="16"/>
          <w:w w:val="105"/>
          <w:sz w:val="20"/>
        </w:rPr>
        <w:t> </w:t>
      </w:r>
      <w:r>
        <w:rPr>
          <w:color w:val="383638"/>
          <w:w w:val="105"/>
          <w:sz w:val="20"/>
        </w:rPr>
        <w:t>Issue</w:t>
      </w:r>
      <w:r>
        <w:rPr>
          <w:color w:val="383638"/>
          <w:spacing w:val="-7"/>
          <w:w w:val="105"/>
          <w:sz w:val="20"/>
        </w:rPr>
        <w:t> </w:t>
      </w:r>
      <w:r>
        <w:rPr>
          <w:color w:val="383638"/>
          <w:w w:val="105"/>
          <w:sz w:val="20"/>
        </w:rPr>
        <w:t>as</w:t>
      </w:r>
      <w:r>
        <w:rPr>
          <w:color w:val="383638"/>
          <w:spacing w:val="13"/>
          <w:w w:val="105"/>
          <w:sz w:val="20"/>
        </w:rPr>
        <w:t> </w:t>
      </w:r>
      <w:r>
        <w:rPr>
          <w:color w:val="383638"/>
          <w:w w:val="105"/>
          <w:sz w:val="20"/>
        </w:rPr>
        <w:t>a</w:t>
      </w:r>
      <w:r>
        <w:rPr>
          <w:color w:val="383638"/>
          <w:spacing w:val="9"/>
          <w:w w:val="105"/>
          <w:sz w:val="20"/>
        </w:rPr>
        <w:t> </w:t>
      </w:r>
      <w:r>
        <w:rPr>
          <w:color w:val="383638"/>
          <w:w w:val="105"/>
          <w:sz w:val="20"/>
        </w:rPr>
        <w:t>Conclusion</w:t>
      </w:r>
    </w:p>
    <w:p>
      <w:pPr>
        <w:pStyle w:val="ListParagraph"/>
        <w:numPr>
          <w:ilvl w:val="2"/>
          <w:numId w:val="40"/>
        </w:numPr>
        <w:tabs>
          <w:tab w:pos="1355" w:val="left" w:leader="none"/>
        </w:tabs>
        <w:spacing w:line="240" w:lineRule="auto" w:before="10" w:after="0"/>
        <w:ind w:left="1355" w:right="0" w:hanging="700"/>
        <w:jc w:val="left"/>
        <w:rPr>
          <w:rFonts w:ascii="Arial"/>
          <w:b/>
          <w:color w:val="383638"/>
          <w:sz w:val="20"/>
        </w:rPr>
      </w:pPr>
      <w:r>
        <w:rPr>
          <w:color w:val="383638"/>
          <w:w w:val="105"/>
          <w:sz w:val="20"/>
        </w:rPr>
        <w:t>Provide</w:t>
      </w:r>
      <w:r>
        <w:rPr>
          <w:color w:val="383638"/>
          <w:spacing w:val="1"/>
          <w:w w:val="105"/>
          <w:sz w:val="20"/>
        </w:rPr>
        <w:t> </w:t>
      </w:r>
      <w:r>
        <w:rPr>
          <w:color w:val="383638"/>
          <w:w w:val="105"/>
          <w:sz w:val="20"/>
        </w:rPr>
        <w:t>the</w:t>
      </w:r>
      <w:r>
        <w:rPr>
          <w:color w:val="383638"/>
          <w:spacing w:val="36"/>
          <w:w w:val="105"/>
          <w:sz w:val="20"/>
        </w:rPr>
        <w:t> </w:t>
      </w:r>
      <w:r>
        <w:rPr>
          <w:color w:val="383638"/>
          <w:w w:val="105"/>
          <w:sz w:val="20"/>
        </w:rPr>
        <w:t>Rule</w:t>
      </w:r>
    </w:p>
    <w:p>
      <w:pPr>
        <w:pStyle w:val="ListParagraph"/>
        <w:numPr>
          <w:ilvl w:val="3"/>
          <w:numId w:val="40"/>
        </w:numPr>
        <w:tabs>
          <w:tab w:pos="1684" w:val="left" w:leader="none"/>
        </w:tabs>
        <w:spacing w:line="252" w:lineRule="exact" w:before="11" w:after="0"/>
        <w:ind w:left="1683" w:right="0" w:hanging="336"/>
        <w:jc w:val="left"/>
        <w:rPr>
          <w:b/>
          <w:color w:val="383638"/>
          <w:sz w:val="22"/>
        </w:rPr>
      </w:pPr>
      <w:r>
        <w:rPr>
          <w:color w:val="383638"/>
          <w:w w:val="105"/>
          <w:sz w:val="20"/>
        </w:rPr>
        <w:t>Stating</w:t>
      </w:r>
      <w:r>
        <w:rPr>
          <w:color w:val="383638"/>
          <w:spacing w:val="7"/>
          <w:w w:val="105"/>
          <w:sz w:val="20"/>
        </w:rPr>
        <w:t> </w:t>
      </w:r>
      <w:r>
        <w:rPr>
          <w:color w:val="383638"/>
          <w:w w:val="105"/>
          <w:sz w:val="20"/>
        </w:rPr>
        <w:t>Established</w:t>
      </w:r>
      <w:r>
        <w:rPr>
          <w:color w:val="383638"/>
          <w:spacing w:val="33"/>
          <w:w w:val="105"/>
          <w:sz w:val="20"/>
        </w:rPr>
        <w:t> </w:t>
      </w:r>
      <w:r>
        <w:rPr>
          <w:color w:val="383638"/>
          <w:w w:val="105"/>
          <w:sz w:val="20"/>
        </w:rPr>
        <w:t>Rules</w:t>
      </w:r>
    </w:p>
    <w:p>
      <w:pPr>
        <w:pStyle w:val="ListParagraph"/>
        <w:numPr>
          <w:ilvl w:val="3"/>
          <w:numId w:val="40"/>
        </w:numPr>
        <w:tabs>
          <w:tab w:pos="1689" w:val="left" w:leader="none"/>
        </w:tabs>
        <w:spacing w:line="250" w:lineRule="exact" w:before="0" w:after="0"/>
        <w:ind w:left="1688" w:right="0" w:hanging="326"/>
        <w:jc w:val="left"/>
        <w:rPr>
          <w:b/>
          <w:color w:val="262323"/>
          <w:sz w:val="22"/>
        </w:rPr>
      </w:pPr>
      <w:r>
        <w:rPr>
          <w:color w:val="383638"/>
          <w:spacing w:val="-1"/>
          <w:w w:val="110"/>
          <w:sz w:val="20"/>
        </w:rPr>
        <w:t>Choosing</w:t>
      </w:r>
      <w:r>
        <w:rPr>
          <w:color w:val="383638"/>
          <w:spacing w:val="-10"/>
          <w:w w:val="110"/>
          <w:sz w:val="20"/>
        </w:rPr>
        <w:t> </w:t>
      </w:r>
      <w:r>
        <w:rPr>
          <w:color w:val="383638"/>
          <w:spacing w:val="-1"/>
          <w:w w:val="110"/>
          <w:sz w:val="20"/>
        </w:rPr>
        <w:t>Among</w:t>
      </w:r>
      <w:r>
        <w:rPr>
          <w:color w:val="383638"/>
          <w:spacing w:val="-12"/>
          <w:w w:val="110"/>
          <w:sz w:val="20"/>
        </w:rPr>
        <w:t> </w:t>
      </w:r>
      <w:r>
        <w:rPr>
          <w:color w:val="383638"/>
          <w:spacing w:val="-1"/>
          <w:w w:val="110"/>
          <w:sz w:val="20"/>
        </w:rPr>
        <w:t>Two</w:t>
      </w:r>
      <w:r>
        <w:rPr>
          <w:color w:val="383638"/>
          <w:spacing w:val="-16"/>
          <w:w w:val="110"/>
          <w:sz w:val="20"/>
        </w:rPr>
        <w:t> </w:t>
      </w:r>
      <w:r>
        <w:rPr>
          <w:color w:val="383638"/>
          <w:spacing w:val="-1"/>
          <w:w w:val="110"/>
          <w:sz w:val="20"/>
        </w:rPr>
        <w:t>or</w:t>
      </w:r>
      <w:r>
        <w:rPr>
          <w:color w:val="383638"/>
          <w:spacing w:val="12"/>
          <w:w w:val="110"/>
          <w:sz w:val="20"/>
        </w:rPr>
        <w:t> </w:t>
      </w:r>
      <w:r>
        <w:rPr>
          <w:color w:val="383638"/>
          <w:spacing w:val="-1"/>
          <w:w w:val="110"/>
          <w:sz w:val="20"/>
        </w:rPr>
        <w:t>More</w:t>
      </w:r>
      <w:r>
        <w:rPr>
          <w:color w:val="383638"/>
          <w:spacing w:val="-7"/>
          <w:w w:val="110"/>
          <w:sz w:val="20"/>
        </w:rPr>
        <w:t> </w:t>
      </w:r>
      <w:r>
        <w:rPr>
          <w:color w:val="383638"/>
          <w:spacing w:val="-1"/>
          <w:w w:val="110"/>
          <w:sz w:val="20"/>
        </w:rPr>
        <w:t>Rules</w:t>
      </w:r>
    </w:p>
    <w:p>
      <w:pPr>
        <w:pStyle w:val="ListParagraph"/>
        <w:numPr>
          <w:ilvl w:val="3"/>
          <w:numId w:val="40"/>
        </w:numPr>
        <w:tabs>
          <w:tab w:pos="1704" w:val="left" w:leader="none"/>
        </w:tabs>
        <w:spacing w:line="261" w:lineRule="auto" w:before="0" w:after="0"/>
        <w:ind w:left="1710" w:right="1842" w:hanging="362"/>
        <w:jc w:val="left"/>
        <w:rPr>
          <w:b/>
          <w:color w:val="383638"/>
          <w:sz w:val="23"/>
        </w:rPr>
      </w:pPr>
      <w:r>
        <w:rPr>
          <w:color w:val="383638"/>
          <w:spacing w:val="-1"/>
          <w:w w:val="110"/>
          <w:sz w:val="20"/>
        </w:rPr>
        <w:t>Using</w:t>
      </w:r>
      <w:r>
        <w:rPr>
          <w:color w:val="383638"/>
          <w:spacing w:val="-13"/>
          <w:w w:val="110"/>
          <w:sz w:val="20"/>
        </w:rPr>
        <w:t> </w:t>
      </w:r>
      <w:r>
        <w:rPr>
          <w:color w:val="383638"/>
          <w:spacing w:val="-1"/>
          <w:w w:val="110"/>
          <w:sz w:val="20"/>
        </w:rPr>
        <w:t>Inductive</w:t>
      </w:r>
      <w:r>
        <w:rPr>
          <w:color w:val="383638"/>
          <w:spacing w:val="-2"/>
          <w:w w:val="110"/>
          <w:sz w:val="20"/>
        </w:rPr>
        <w:t> </w:t>
      </w:r>
      <w:r>
        <w:rPr>
          <w:color w:val="383638"/>
          <w:spacing w:val="-1"/>
          <w:w w:val="110"/>
          <w:sz w:val="20"/>
        </w:rPr>
        <w:t>Reasoning</w:t>
      </w:r>
      <w:r>
        <w:rPr>
          <w:color w:val="383638"/>
          <w:spacing w:val="1"/>
          <w:w w:val="110"/>
          <w:sz w:val="20"/>
        </w:rPr>
        <w:t> </w:t>
      </w:r>
      <w:r>
        <w:rPr>
          <w:color w:val="383638"/>
          <w:spacing w:val="-1"/>
          <w:w w:val="110"/>
          <w:sz w:val="20"/>
        </w:rPr>
        <w:t>to</w:t>
      </w:r>
      <w:r>
        <w:rPr>
          <w:color w:val="383638"/>
          <w:spacing w:val="11"/>
          <w:w w:val="110"/>
          <w:sz w:val="20"/>
        </w:rPr>
        <w:t> </w:t>
      </w:r>
      <w:r>
        <w:rPr>
          <w:color w:val="383638"/>
          <w:w w:val="110"/>
          <w:sz w:val="20"/>
        </w:rPr>
        <w:t>Find</w:t>
      </w:r>
      <w:r>
        <w:rPr>
          <w:color w:val="383638"/>
          <w:spacing w:val="-12"/>
          <w:w w:val="110"/>
          <w:sz w:val="20"/>
        </w:rPr>
        <w:t> </w:t>
      </w:r>
      <w:r>
        <w:rPr>
          <w:color w:val="383638"/>
          <w:w w:val="110"/>
          <w:sz w:val="20"/>
        </w:rPr>
        <w:t>and</w:t>
      </w:r>
      <w:r>
        <w:rPr>
          <w:color w:val="383638"/>
          <w:spacing w:val="14"/>
          <w:w w:val="110"/>
          <w:sz w:val="20"/>
        </w:rPr>
        <w:t> </w:t>
      </w:r>
      <w:r>
        <w:rPr>
          <w:color w:val="383638"/>
          <w:w w:val="110"/>
          <w:sz w:val="20"/>
        </w:rPr>
        <w:t>Articulate</w:t>
      </w:r>
      <w:r>
        <w:rPr>
          <w:color w:val="383638"/>
          <w:spacing w:val="-52"/>
          <w:w w:val="110"/>
          <w:sz w:val="20"/>
        </w:rPr>
        <w:t> </w:t>
      </w:r>
      <w:r>
        <w:rPr>
          <w:color w:val="383638"/>
          <w:w w:val="110"/>
          <w:sz w:val="20"/>
        </w:rPr>
        <w:t>Legal</w:t>
      </w:r>
      <w:r>
        <w:rPr>
          <w:color w:val="383638"/>
          <w:spacing w:val="2"/>
          <w:w w:val="110"/>
          <w:sz w:val="20"/>
        </w:rPr>
        <w:t> </w:t>
      </w:r>
      <w:r>
        <w:rPr>
          <w:color w:val="383638"/>
          <w:w w:val="110"/>
          <w:sz w:val="20"/>
        </w:rPr>
        <w:t>Rules</w:t>
      </w:r>
    </w:p>
    <w:p>
      <w:pPr>
        <w:pStyle w:val="ListParagraph"/>
        <w:numPr>
          <w:ilvl w:val="2"/>
          <w:numId w:val="40"/>
        </w:numPr>
        <w:tabs>
          <w:tab w:pos="1373" w:val="left" w:leader="none"/>
          <w:tab w:pos="1374" w:val="left" w:leader="none"/>
        </w:tabs>
        <w:spacing w:line="216" w:lineRule="exact" w:before="0" w:after="0"/>
        <w:ind w:left="1373" w:right="0" w:hanging="709"/>
        <w:jc w:val="left"/>
        <w:rPr>
          <w:rFonts w:ascii="Arial"/>
          <w:b/>
          <w:color w:val="383638"/>
          <w:sz w:val="20"/>
        </w:rPr>
      </w:pPr>
      <w:r>
        <w:rPr>
          <w:color w:val="383638"/>
          <w:w w:val="105"/>
          <w:sz w:val="20"/>
        </w:rPr>
        <w:t>Explain</w:t>
      </w:r>
      <w:r>
        <w:rPr>
          <w:color w:val="383638"/>
          <w:spacing w:val="7"/>
          <w:w w:val="105"/>
          <w:sz w:val="20"/>
        </w:rPr>
        <w:t> </w:t>
      </w:r>
      <w:r>
        <w:rPr>
          <w:color w:val="383638"/>
          <w:w w:val="105"/>
          <w:sz w:val="20"/>
        </w:rPr>
        <w:t>the</w:t>
      </w:r>
      <w:r>
        <w:rPr>
          <w:color w:val="383638"/>
          <w:spacing w:val="35"/>
          <w:w w:val="105"/>
          <w:sz w:val="20"/>
        </w:rPr>
        <w:t> </w:t>
      </w:r>
      <w:r>
        <w:rPr>
          <w:color w:val="383638"/>
          <w:w w:val="105"/>
          <w:sz w:val="20"/>
        </w:rPr>
        <w:t>Rule</w:t>
      </w:r>
    </w:p>
    <w:p>
      <w:pPr>
        <w:pStyle w:val="ListParagraph"/>
        <w:numPr>
          <w:ilvl w:val="3"/>
          <w:numId w:val="40"/>
        </w:numPr>
        <w:tabs>
          <w:tab w:pos="1712" w:val="left" w:leader="none"/>
        </w:tabs>
        <w:spacing w:line="261" w:lineRule="exact" w:before="0" w:after="0"/>
        <w:ind w:left="1711" w:right="0" w:hanging="355"/>
        <w:jc w:val="left"/>
        <w:rPr>
          <w:b/>
          <w:color w:val="383638"/>
          <w:sz w:val="23"/>
        </w:rPr>
      </w:pPr>
      <w:r>
        <w:rPr>
          <w:color w:val="383638"/>
          <w:w w:val="105"/>
          <w:sz w:val="20"/>
        </w:rPr>
        <w:t>Deciding</w:t>
      </w:r>
      <w:r>
        <w:rPr>
          <w:color w:val="383638"/>
          <w:spacing w:val="24"/>
          <w:w w:val="105"/>
          <w:sz w:val="20"/>
        </w:rPr>
        <w:t> </w:t>
      </w:r>
      <w:r>
        <w:rPr>
          <w:color w:val="383638"/>
          <w:w w:val="105"/>
          <w:sz w:val="20"/>
        </w:rPr>
        <w:t>How</w:t>
      </w:r>
      <w:r>
        <w:rPr>
          <w:color w:val="383638"/>
          <w:spacing w:val="16"/>
          <w:w w:val="105"/>
          <w:sz w:val="20"/>
        </w:rPr>
        <w:t> </w:t>
      </w:r>
      <w:r>
        <w:rPr>
          <w:color w:val="383638"/>
          <w:w w:val="105"/>
          <w:sz w:val="20"/>
        </w:rPr>
        <w:t>Much</w:t>
      </w:r>
      <w:r>
        <w:rPr>
          <w:color w:val="383638"/>
          <w:spacing w:val="21"/>
          <w:w w:val="105"/>
          <w:sz w:val="20"/>
        </w:rPr>
        <w:t> </w:t>
      </w:r>
      <w:r>
        <w:rPr>
          <w:color w:val="383638"/>
          <w:w w:val="105"/>
          <w:sz w:val="20"/>
        </w:rPr>
        <w:t>Rule</w:t>
      </w:r>
      <w:r>
        <w:rPr>
          <w:color w:val="383638"/>
          <w:spacing w:val="8"/>
          <w:w w:val="105"/>
          <w:sz w:val="20"/>
        </w:rPr>
        <w:t> </w:t>
      </w:r>
      <w:r>
        <w:rPr>
          <w:color w:val="383638"/>
          <w:w w:val="105"/>
          <w:sz w:val="20"/>
        </w:rPr>
        <w:t>Explanation</w:t>
      </w:r>
      <w:r>
        <w:rPr>
          <w:color w:val="383638"/>
          <w:spacing w:val="45"/>
          <w:w w:val="105"/>
          <w:sz w:val="20"/>
        </w:rPr>
        <w:t> </w:t>
      </w:r>
      <w:r>
        <w:rPr>
          <w:color w:val="383638"/>
          <w:w w:val="105"/>
          <w:sz w:val="20"/>
        </w:rPr>
        <w:t>Is</w:t>
      </w:r>
      <w:r>
        <w:rPr>
          <w:color w:val="383638"/>
          <w:spacing w:val="-3"/>
          <w:w w:val="105"/>
          <w:sz w:val="20"/>
        </w:rPr>
        <w:t> </w:t>
      </w:r>
      <w:r>
        <w:rPr>
          <w:color w:val="383638"/>
          <w:w w:val="105"/>
          <w:sz w:val="20"/>
        </w:rPr>
        <w:t>Needed</w:t>
      </w:r>
    </w:p>
    <w:p>
      <w:pPr>
        <w:pStyle w:val="ListParagraph"/>
        <w:numPr>
          <w:ilvl w:val="3"/>
          <w:numId w:val="40"/>
        </w:numPr>
        <w:tabs>
          <w:tab w:pos="1703" w:val="left" w:leader="none"/>
        </w:tabs>
        <w:spacing w:line="240" w:lineRule="auto" w:before="4" w:after="0"/>
        <w:ind w:left="1702" w:right="0" w:hanging="331"/>
        <w:jc w:val="left"/>
        <w:rPr>
          <w:b/>
          <w:color w:val="383638"/>
          <w:sz w:val="22"/>
        </w:rPr>
      </w:pPr>
      <w:r>
        <w:rPr>
          <w:color w:val="383638"/>
          <w:w w:val="110"/>
          <w:sz w:val="20"/>
        </w:rPr>
        <w:t>Writing</w:t>
      </w:r>
      <w:r>
        <w:rPr>
          <w:color w:val="383638"/>
          <w:spacing w:val="17"/>
          <w:w w:val="110"/>
          <w:sz w:val="20"/>
        </w:rPr>
        <w:t> </w:t>
      </w:r>
      <w:r>
        <w:rPr>
          <w:color w:val="383638"/>
          <w:w w:val="110"/>
          <w:sz w:val="20"/>
        </w:rPr>
        <w:t>the</w:t>
      </w:r>
      <w:r>
        <w:rPr>
          <w:color w:val="383638"/>
          <w:spacing w:val="6"/>
          <w:w w:val="110"/>
          <w:sz w:val="20"/>
        </w:rPr>
        <w:t> </w:t>
      </w:r>
      <w:r>
        <w:rPr>
          <w:color w:val="4B494B"/>
          <w:w w:val="110"/>
          <w:sz w:val="20"/>
        </w:rPr>
        <w:t>"Rule</w:t>
      </w:r>
      <w:r>
        <w:rPr>
          <w:color w:val="4B494B"/>
          <w:spacing w:val="-24"/>
          <w:w w:val="110"/>
          <w:sz w:val="20"/>
        </w:rPr>
        <w:t> </w:t>
      </w:r>
      <w:r>
        <w:rPr>
          <w:color w:val="383638"/>
          <w:w w:val="110"/>
          <w:sz w:val="20"/>
        </w:rPr>
        <w:t>Summary"</w:t>
      </w:r>
    </w:p>
    <w:p>
      <w:pPr>
        <w:pStyle w:val="ListParagraph"/>
        <w:numPr>
          <w:ilvl w:val="2"/>
          <w:numId w:val="40"/>
        </w:numPr>
        <w:tabs>
          <w:tab w:pos="710" w:val="left" w:leader="none"/>
          <w:tab w:pos="711" w:val="left" w:leader="none"/>
        </w:tabs>
        <w:spacing w:line="240" w:lineRule="auto" w:before="5" w:after="0"/>
        <w:ind w:left="1375" w:right="4146" w:hanging="1376"/>
        <w:jc w:val="right"/>
        <w:rPr>
          <w:rFonts w:ascii="Arial"/>
          <w:b/>
          <w:color w:val="383638"/>
          <w:sz w:val="20"/>
        </w:rPr>
      </w:pPr>
      <w:r>
        <w:rPr>
          <w:color w:val="383638"/>
          <w:spacing w:val="-1"/>
          <w:w w:val="105"/>
          <w:sz w:val="20"/>
        </w:rPr>
        <w:t>Apply</w:t>
      </w:r>
      <w:r>
        <w:rPr>
          <w:color w:val="383638"/>
          <w:spacing w:val="3"/>
          <w:w w:val="105"/>
          <w:sz w:val="20"/>
        </w:rPr>
        <w:t> </w:t>
      </w:r>
      <w:r>
        <w:rPr>
          <w:color w:val="383638"/>
          <w:w w:val="105"/>
          <w:sz w:val="20"/>
        </w:rPr>
        <w:t>the</w:t>
      </w:r>
      <w:r>
        <w:rPr>
          <w:color w:val="383638"/>
          <w:spacing w:val="33"/>
          <w:w w:val="105"/>
          <w:sz w:val="20"/>
        </w:rPr>
        <w:t> </w:t>
      </w:r>
      <w:r>
        <w:rPr>
          <w:color w:val="383638"/>
          <w:w w:val="105"/>
          <w:sz w:val="20"/>
        </w:rPr>
        <w:t>Rule</w:t>
      </w:r>
      <w:r>
        <w:rPr>
          <w:color w:val="383638"/>
          <w:spacing w:val="-15"/>
          <w:w w:val="105"/>
          <w:sz w:val="20"/>
        </w:rPr>
        <w:t> </w:t>
      </w:r>
      <w:r>
        <w:rPr>
          <w:color w:val="383638"/>
          <w:w w:val="105"/>
          <w:sz w:val="20"/>
        </w:rPr>
        <w:t>to</w:t>
      </w:r>
      <w:r>
        <w:rPr>
          <w:color w:val="383638"/>
          <w:spacing w:val="25"/>
          <w:w w:val="105"/>
          <w:sz w:val="20"/>
        </w:rPr>
        <w:t> </w:t>
      </w:r>
      <w:r>
        <w:rPr>
          <w:color w:val="383638"/>
          <w:w w:val="105"/>
          <w:sz w:val="20"/>
        </w:rPr>
        <w:t>the</w:t>
      </w:r>
      <w:r>
        <w:rPr>
          <w:color w:val="383638"/>
          <w:spacing w:val="47"/>
          <w:w w:val="105"/>
          <w:sz w:val="20"/>
        </w:rPr>
        <w:t> </w:t>
      </w:r>
      <w:r>
        <w:rPr>
          <w:color w:val="383638"/>
          <w:w w:val="105"/>
          <w:sz w:val="20"/>
        </w:rPr>
        <w:t>Facts</w:t>
      </w:r>
    </w:p>
    <w:p>
      <w:pPr>
        <w:pStyle w:val="ListParagraph"/>
        <w:numPr>
          <w:ilvl w:val="3"/>
          <w:numId w:val="40"/>
        </w:numPr>
        <w:tabs>
          <w:tab w:pos="346" w:val="left" w:leader="none"/>
        </w:tabs>
        <w:spacing w:line="240" w:lineRule="auto" w:before="2" w:after="0"/>
        <w:ind w:left="1713" w:right="4153" w:hanging="1714"/>
        <w:jc w:val="right"/>
        <w:rPr>
          <w:b/>
          <w:color w:val="383638"/>
          <w:sz w:val="22"/>
        </w:rPr>
      </w:pPr>
      <w:r>
        <w:rPr>
          <w:color w:val="383638"/>
          <w:w w:val="105"/>
          <w:sz w:val="20"/>
        </w:rPr>
        <w:t>Apply</w:t>
      </w:r>
      <w:r>
        <w:rPr>
          <w:color w:val="383638"/>
          <w:spacing w:val="1"/>
          <w:w w:val="105"/>
          <w:sz w:val="20"/>
        </w:rPr>
        <w:t> </w:t>
      </w:r>
      <w:r>
        <w:rPr>
          <w:color w:val="383638"/>
          <w:w w:val="105"/>
          <w:sz w:val="20"/>
        </w:rPr>
        <w:t>Rules,</w:t>
      </w:r>
      <w:r>
        <w:rPr>
          <w:color w:val="383638"/>
          <w:spacing w:val="9"/>
          <w:w w:val="105"/>
          <w:sz w:val="20"/>
        </w:rPr>
        <w:t> </w:t>
      </w:r>
      <w:r>
        <w:rPr>
          <w:color w:val="383638"/>
          <w:w w:val="105"/>
          <w:sz w:val="20"/>
        </w:rPr>
        <w:t>Not</w:t>
      </w:r>
      <w:r>
        <w:rPr>
          <w:color w:val="383638"/>
          <w:spacing w:val="21"/>
          <w:w w:val="105"/>
          <w:sz w:val="20"/>
        </w:rPr>
        <w:t> </w:t>
      </w:r>
      <w:r>
        <w:rPr>
          <w:color w:val="383638"/>
          <w:w w:val="105"/>
          <w:sz w:val="20"/>
        </w:rPr>
        <w:t>Cases</w:t>
      </w:r>
    </w:p>
    <w:p>
      <w:pPr>
        <w:pStyle w:val="ListParagraph"/>
        <w:numPr>
          <w:ilvl w:val="3"/>
          <w:numId w:val="40"/>
        </w:numPr>
        <w:tabs>
          <w:tab w:pos="1721" w:val="left" w:leader="none"/>
        </w:tabs>
        <w:spacing w:line="254" w:lineRule="auto" w:before="17" w:after="0"/>
        <w:ind w:left="1712" w:right="1333" w:hanging="330"/>
        <w:jc w:val="left"/>
        <w:rPr>
          <w:b/>
          <w:color w:val="383638"/>
          <w:sz w:val="22"/>
        </w:rPr>
      </w:pPr>
      <w:r>
        <w:rPr>
          <w:color w:val="383638"/>
          <w:spacing w:val="-1"/>
          <w:w w:val="110"/>
          <w:sz w:val="20"/>
        </w:rPr>
        <w:t>Explicitly Connecting the Rule </w:t>
      </w:r>
      <w:r>
        <w:rPr>
          <w:color w:val="4B494B"/>
          <w:spacing w:val="-1"/>
          <w:w w:val="110"/>
          <w:sz w:val="20"/>
        </w:rPr>
        <w:t>Application </w:t>
      </w:r>
      <w:r>
        <w:rPr>
          <w:color w:val="383638"/>
          <w:spacing w:val="-1"/>
          <w:w w:val="110"/>
          <w:sz w:val="20"/>
        </w:rPr>
        <w:t>to </w:t>
      </w:r>
      <w:r>
        <w:rPr>
          <w:color w:val="383638"/>
          <w:w w:val="110"/>
          <w:sz w:val="20"/>
        </w:rPr>
        <w:t>the</w:t>
      </w:r>
      <w:r>
        <w:rPr>
          <w:color w:val="383638"/>
          <w:spacing w:val="1"/>
          <w:w w:val="110"/>
          <w:sz w:val="20"/>
        </w:rPr>
        <w:t> </w:t>
      </w:r>
      <w:r>
        <w:rPr>
          <w:color w:val="383638"/>
          <w:w w:val="110"/>
          <w:sz w:val="20"/>
        </w:rPr>
        <w:t>Rule</w:t>
      </w:r>
      <w:r>
        <w:rPr>
          <w:color w:val="383638"/>
          <w:spacing w:val="-52"/>
          <w:w w:val="110"/>
          <w:sz w:val="20"/>
        </w:rPr>
        <w:t> </w:t>
      </w:r>
      <w:r>
        <w:rPr>
          <w:color w:val="383638"/>
          <w:w w:val="110"/>
          <w:sz w:val="20"/>
        </w:rPr>
        <w:t>Summary</w:t>
      </w:r>
    </w:p>
    <w:p>
      <w:pPr>
        <w:pStyle w:val="ListParagraph"/>
        <w:numPr>
          <w:ilvl w:val="3"/>
          <w:numId w:val="40"/>
        </w:numPr>
        <w:tabs>
          <w:tab w:pos="1731" w:val="left" w:leader="none"/>
        </w:tabs>
        <w:spacing w:line="251" w:lineRule="exact" w:before="0" w:after="0"/>
        <w:ind w:left="1730" w:right="0" w:hanging="353"/>
        <w:jc w:val="left"/>
        <w:rPr>
          <w:b/>
          <w:color w:val="383638"/>
          <w:sz w:val="22"/>
        </w:rPr>
      </w:pPr>
      <w:r>
        <w:rPr>
          <w:color w:val="383638"/>
          <w:w w:val="105"/>
          <w:sz w:val="20"/>
        </w:rPr>
        <w:t>Facts</w:t>
      </w:r>
      <w:r>
        <w:rPr>
          <w:color w:val="383638"/>
          <w:spacing w:val="-5"/>
          <w:w w:val="105"/>
          <w:sz w:val="20"/>
        </w:rPr>
        <w:t> </w:t>
      </w:r>
      <w:r>
        <w:rPr>
          <w:color w:val="383638"/>
          <w:w w:val="105"/>
          <w:sz w:val="20"/>
        </w:rPr>
        <w:t>Are</w:t>
      </w:r>
      <w:r>
        <w:rPr>
          <w:color w:val="383638"/>
          <w:spacing w:val="15"/>
          <w:w w:val="105"/>
          <w:sz w:val="20"/>
        </w:rPr>
        <w:t> </w:t>
      </w:r>
      <w:r>
        <w:rPr>
          <w:color w:val="383638"/>
          <w:w w:val="105"/>
          <w:sz w:val="20"/>
        </w:rPr>
        <w:t>Relevant</w:t>
      </w:r>
      <w:r>
        <w:rPr>
          <w:color w:val="383638"/>
          <w:spacing w:val="24"/>
          <w:w w:val="105"/>
          <w:sz w:val="20"/>
        </w:rPr>
        <w:t> </w:t>
      </w:r>
      <w:r>
        <w:rPr>
          <w:color w:val="4B494B"/>
          <w:w w:val="105"/>
          <w:sz w:val="20"/>
        </w:rPr>
        <w:t>to</w:t>
      </w:r>
      <w:r>
        <w:rPr>
          <w:color w:val="4B494B"/>
          <w:spacing w:val="18"/>
          <w:w w:val="105"/>
          <w:sz w:val="20"/>
        </w:rPr>
        <w:t> </w:t>
      </w:r>
      <w:r>
        <w:rPr>
          <w:color w:val="383638"/>
          <w:w w:val="105"/>
          <w:sz w:val="20"/>
        </w:rPr>
        <w:t>Questions</w:t>
      </w:r>
      <w:r>
        <w:rPr>
          <w:color w:val="383638"/>
          <w:spacing w:val="8"/>
          <w:w w:val="105"/>
          <w:sz w:val="20"/>
        </w:rPr>
        <w:t> </w:t>
      </w:r>
      <w:r>
        <w:rPr>
          <w:color w:val="383638"/>
          <w:w w:val="105"/>
          <w:sz w:val="20"/>
        </w:rPr>
        <w:t>of</w:t>
      </w:r>
      <w:r>
        <w:rPr>
          <w:color w:val="383638"/>
          <w:spacing w:val="20"/>
          <w:w w:val="105"/>
          <w:sz w:val="20"/>
        </w:rPr>
        <w:t> </w:t>
      </w:r>
      <w:r>
        <w:rPr>
          <w:color w:val="383638"/>
          <w:w w:val="105"/>
          <w:sz w:val="20"/>
        </w:rPr>
        <w:t>Law</w:t>
      </w:r>
    </w:p>
    <w:p>
      <w:pPr>
        <w:pStyle w:val="ListParagraph"/>
        <w:numPr>
          <w:ilvl w:val="3"/>
          <w:numId w:val="40"/>
        </w:numPr>
        <w:tabs>
          <w:tab w:pos="1713" w:val="left" w:leader="none"/>
        </w:tabs>
        <w:spacing w:line="240" w:lineRule="auto" w:before="24" w:after="0"/>
        <w:ind w:left="1712" w:right="0" w:hanging="335"/>
        <w:jc w:val="left"/>
        <w:rPr>
          <w:rFonts w:ascii="Arial"/>
          <w:b/>
          <w:color w:val="383638"/>
          <w:sz w:val="20"/>
        </w:rPr>
      </w:pPr>
      <w:r>
        <w:rPr>
          <w:color w:val="383638"/>
          <w:spacing w:val="-1"/>
          <w:w w:val="110"/>
          <w:sz w:val="20"/>
        </w:rPr>
        <w:t>Sometimes</w:t>
      </w:r>
      <w:r>
        <w:rPr>
          <w:color w:val="383638"/>
          <w:spacing w:val="-13"/>
          <w:w w:val="110"/>
          <w:sz w:val="20"/>
        </w:rPr>
        <w:t> </w:t>
      </w:r>
      <w:r>
        <w:rPr>
          <w:color w:val="383638"/>
          <w:w w:val="110"/>
          <w:sz w:val="20"/>
        </w:rPr>
        <w:t>Statutory</w:t>
      </w:r>
      <w:r>
        <w:rPr>
          <w:color w:val="383638"/>
          <w:spacing w:val="-8"/>
          <w:w w:val="110"/>
          <w:sz w:val="20"/>
        </w:rPr>
        <w:t> </w:t>
      </w:r>
      <w:r>
        <w:rPr>
          <w:color w:val="383638"/>
          <w:w w:val="110"/>
          <w:sz w:val="20"/>
        </w:rPr>
        <w:t>Language</w:t>
      </w:r>
      <w:r>
        <w:rPr>
          <w:color w:val="383638"/>
          <w:spacing w:val="-1"/>
          <w:w w:val="110"/>
          <w:sz w:val="20"/>
        </w:rPr>
        <w:t> </w:t>
      </w:r>
      <w:r>
        <w:rPr>
          <w:color w:val="383638"/>
          <w:w w:val="110"/>
          <w:sz w:val="20"/>
        </w:rPr>
        <w:t>Is</w:t>
      </w:r>
      <w:r>
        <w:rPr>
          <w:color w:val="383638"/>
          <w:spacing w:val="-12"/>
          <w:w w:val="110"/>
          <w:sz w:val="20"/>
        </w:rPr>
        <w:t> </w:t>
      </w:r>
      <w:r>
        <w:rPr>
          <w:color w:val="383638"/>
          <w:w w:val="110"/>
          <w:sz w:val="20"/>
        </w:rPr>
        <w:t>a</w:t>
      </w:r>
      <w:r>
        <w:rPr>
          <w:color w:val="383638"/>
          <w:spacing w:val="7"/>
          <w:w w:val="110"/>
          <w:sz w:val="20"/>
        </w:rPr>
        <w:t> </w:t>
      </w:r>
      <w:r>
        <w:rPr>
          <w:color w:val="383638"/>
          <w:w w:val="110"/>
          <w:sz w:val="20"/>
        </w:rPr>
        <w:t>Fact</w:t>
      </w:r>
    </w:p>
    <w:p>
      <w:pPr>
        <w:spacing w:before="10"/>
        <w:ind w:left="684" w:right="0" w:firstLine="0"/>
        <w:jc w:val="left"/>
        <w:rPr>
          <w:sz w:val="20"/>
        </w:rPr>
      </w:pPr>
      <w:r>
        <w:rPr>
          <w:rFonts w:ascii="Arial"/>
          <w:b/>
          <w:color w:val="383638"/>
          <w:w w:val="110"/>
          <w:sz w:val="20"/>
        </w:rPr>
        <w:t>5.1</w:t>
      </w:r>
      <w:r>
        <w:rPr>
          <w:rFonts w:ascii="Arial"/>
          <w:b/>
          <w:color w:val="5B5B5D"/>
          <w:w w:val="110"/>
          <w:sz w:val="20"/>
        </w:rPr>
        <w:t>.</w:t>
      </w:r>
      <w:r>
        <w:rPr>
          <w:rFonts w:ascii="Arial"/>
          <w:b/>
          <w:color w:val="262323"/>
          <w:w w:val="110"/>
          <w:sz w:val="20"/>
        </w:rPr>
        <w:t>S </w:t>
      </w:r>
      <w:r>
        <w:rPr>
          <w:rFonts w:ascii="Arial"/>
          <w:b/>
          <w:color w:val="262323"/>
          <w:spacing w:val="23"/>
          <w:w w:val="110"/>
          <w:sz w:val="20"/>
        </w:rPr>
        <w:t> </w:t>
      </w:r>
      <w:r>
        <w:rPr>
          <w:color w:val="383638"/>
          <w:w w:val="110"/>
          <w:sz w:val="20"/>
        </w:rPr>
        <w:t>Make</w:t>
      </w:r>
      <w:r>
        <w:rPr>
          <w:color w:val="383638"/>
          <w:spacing w:val="-5"/>
          <w:w w:val="110"/>
          <w:sz w:val="20"/>
        </w:rPr>
        <w:t> </w:t>
      </w:r>
      <w:r>
        <w:rPr>
          <w:color w:val="383638"/>
          <w:w w:val="110"/>
          <w:sz w:val="20"/>
        </w:rPr>
        <w:t>the</w:t>
      </w:r>
      <w:r>
        <w:rPr>
          <w:color w:val="383638"/>
          <w:spacing w:val="25"/>
          <w:w w:val="110"/>
          <w:sz w:val="20"/>
        </w:rPr>
        <w:t> </w:t>
      </w:r>
      <w:r>
        <w:rPr>
          <w:color w:val="383638"/>
          <w:w w:val="110"/>
          <w:sz w:val="20"/>
        </w:rPr>
        <w:t>Connection</w:t>
      </w:r>
    </w:p>
    <w:p>
      <w:pPr>
        <w:pStyle w:val="ListParagraph"/>
        <w:numPr>
          <w:ilvl w:val="1"/>
          <w:numId w:val="40"/>
        </w:numPr>
        <w:tabs>
          <w:tab w:pos="691" w:val="left" w:leader="none"/>
        </w:tabs>
        <w:spacing w:line="240" w:lineRule="auto" w:before="0" w:after="0"/>
        <w:ind w:left="690" w:right="0" w:hanging="508"/>
        <w:jc w:val="left"/>
        <w:rPr>
          <w:sz w:val="20"/>
        </w:rPr>
      </w:pPr>
      <w:r>
        <w:rPr>
          <w:color w:val="383638"/>
          <w:spacing w:val="-1"/>
          <w:w w:val="115"/>
          <w:sz w:val="20"/>
        </w:rPr>
        <w:t>When</w:t>
      </w:r>
      <w:r>
        <w:rPr>
          <w:color w:val="383638"/>
          <w:spacing w:val="-13"/>
          <w:w w:val="115"/>
          <w:sz w:val="20"/>
        </w:rPr>
        <w:t> </w:t>
      </w:r>
      <w:r>
        <w:rPr>
          <w:color w:val="383638"/>
          <w:spacing w:val="-1"/>
          <w:w w:val="115"/>
          <w:sz w:val="20"/>
        </w:rPr>
        <w:t>Not</w:t>
      </w:r>
      <w:r>
        <w:rPr>
          <w:color w:val="383638"/>
          <w:spacing w:val="-8"/>
          <w:w w:val="115"/>
          <w:sz w:val="20"/>
        </w:rPr>
        <w:t> </w:t>
      </w:r>
      <w:r>
        <w:rPr>
          <w:color w:val="383638"/>
          <w:spacing w:val="-1"/>
          <w:w w:val="115"/>
          <w:sz w:val="20"/>
        </w:rPr>
        <w:t>to Provide</w:t>
      </w:r>
      <w:r>
        <w:rPr>
          <w:color w:val="383638"/>
          <w:spacing w:val="-11"/>
          <w:w w:val="115"/>
          <w:sz w:val="20"/>
        </w:rPr>
        <w:t> </w:t>
      </w:r>
      <w:r>
        <w:rPr>
          <w:color w:val="383638"/>
          <w:spacing w:val="-1"/>
          <w:w w:val="115"/>
          <w:sz w:val="20"/>
        </w:rPr>
        <w:t>a</w:t>
      </w:r>
      <w:r>
        <w:rPr>
          <w:color w:val="383638"/>
          <w:w w:val="115"/>
          <w:sz w:val="20"/>
        </w:rPr>
        <w:t> </w:t>
      </w:r>
      <w:r>
        <w:rPr>
          <w:color w:val="383638"/>
          <w:spacing w:val="-1"/>
          <w:w w:val="115"/>
          <w:sz w:val="20"/>
        </w:rPr>
        <w:t>CREXAC</w:t>
      </w:r>
      <w:r>
        <w:rPr>
          <w:color w:val="383638"/>
          <w:spacing w:val="-4"/>
          <w:w w:val="115"/>
          <w:sz w:val="20"/>
        </w:rPr>
        <w:t> </w:t>
      </w:r>
      <w:r>
        <w:rPr>
          <w:color w:val="383638"/>
          <w:spacing w:val="-1"/>
          <w:w w:val="115"/>
          <w:sz w:val="20"/>
        </w:rPr>
        <w:t>Analysis</w:t>
      </w:r>
    </w:p>
    <w:p>
      <w:pPr>
        <w:pStyle w:val="ListParagraph"/>
        <w:numPr>
          <w:ilvl w:val="2"/>
          <w:numId w:val="41"/>
        </w:numPr>
        <w:tabs>
          <w:tab w:pos="1391" w:val="left" w:leader="none"/>
          <w:tab w:pos="1392" w:val="left" w:leader="none"/>
        </w:tabs>
        <w:spacing w:line="227" w:lineRule="exact" w:before="20" w:after="0"/>
        <w:ind w:left="1391" w:right="0" w:hanging="706"/>
        <w:jc w:val="left"/>
        <w:rPr>
          <w:rFonts w:ascii="Arial"/>
          <w:b/>
          <w:color w:val="383638"/>
          <w:sz w:val="20"/>
        </w:rPr>
      </w:pPr>
      <w:r>
        <w:rPr>
          <w:color w:val="383638"/>
          <w:w w:val="110"/>
          <w:sz w:val="20"/>
        </w:rPr>
        <w:t>Ignore</w:t>
      </w:r>
      <w:r>
        <w:rPr>
          <w:color w:val="383638"/>
          <w:spacing w:val="-10"/>
          <w:w w:val="110"/>
          <w:sz w:val="20"/>
        </w:rPr>
        <w:t> </w:t>
      </w:r>
      <w:r>
        <w:rPr>
          <w:color w:val="383638"/>
          <w:w w:val="110"/>
          <w:sz w:val="20"/>
        </w:rPr>
        <w:t>Issues</w:t>
      </w:r>
    </w:p>
    <w:p>
      <w:pPr>
        <w:pStyle w:val="ListParagraph"/>
        <w:numPr>
          <w:ilvl w:val="2"/>
          <w:numId w:val="41"/>
        </w:numPr>
        <w:tabs>
          <w:tab w:pos="1382" w:val="left" w:leader="none"/>
        </w:tabs>
        <w:spacing w:line="237" w:lineRule="exact" w:before="0" w:after="0"/>
        <w:ind w:left="1381" w:right="0" w:hanging="700"/>
        <w:jc w:val="left"/>
        <w:rPr>
          <w:b/>
          <w:color w:val="383638"/>
          <w:sz w:val="21"/>
        </w:rPr>
      </w:pPr>
      <w:r>
        <w:rPr>
          <w:color w:val="383638"/>
          <w:w w:val="105"/>
          <w:sz w:val="20"/>
        </w:rPr>
        <w:t>Tell</w:t>
      </w:r>
      <w:r>
        <w:rPr>
          <w:color w:val="383638"/>
          <w:spacing w:val="-4"/>
          <w:w w:val="105"/>
          <w:sz w:val="20"/>
        </w:rPr>
        <w:t> </w:t>
      </w:r>
      <w:r>
        <w:rPr>
          <w:color w:val="383638"/>
          <w:w w:val="105"/>
          <w:sz w:val="20"/>
        </w:rPr>
        <w:t>Issues</w:t>
      </w:r>
    </w:p>
    <w:p>
      <w:pPr>
        <w:pStyle w:val="ListParagraph"/>
        <w:numPr>
          <w:ilvl w:val="2"/>
          <w:numId w:val="41"/>
        </w:numPr>
        <w:tabs>
          <w:tab w:pos="1390" w:val="left" w:leader="none"/>
        </w:tabs>
        <w:spacing w:line="236" w:lineRule="exact" w:before="0" w:after="0"/>
        <w:ind w:left="1389" w:right="0" w:hanging="699"/>
        <w:jc w:val="left"/>
        <w:rPr>
          <w:b/>
          <w:color w:val="383638"/>
          <w:sz w:val="21"/>
        </w:rPr>
      </w:pPr>
      <w:r>
        <w:rPr>
          <w:color w:val="383638"/>
          <w:w w:val="105"/>
          <w:sz w:val="20"/>
        </w:rPr>
        <w:t>Clarify</w:t>
      </w:r>
      <w:r>
        <w:rPr>
          <w:color w:val="383638"/>
          <w:spacing w:val="1"/>
          <w:w w:val="105"/>
          <w:sz w:val="20"/>
        </w:rPr>
        <w:t> </w:t>
      </w:r>
      <w:r>
        <w:rPr>
          <w:color w:val="383638"/>
          <w:w w:val="105"/>
          <w:sz w:val="20"/>
        </w:rPr>
        <w:t>or</w:t>
      </w:r>
      <w:r>
        <w:rPr>
          <w:color w:val="383638"/>
          <w:spacing w:val="9"/>
          <w:w w:val="105"/>
          <w:sz w:val="20"/>
        </w:rPr>
        <w:t> </w:t>
      </w:r>
      <w:r>
        <w:rPr>
          <w:color w:val="4B494B"/>
          <w:w w:val="105"/>
          <w:sz w:val="20"/>
        </w:rPr>
        <w:t>CRAC</w:t>
      </w:r>
      <w:r>
        <w:rPr>
          <w:color w:val="4B494B"/>
          <w:spacing w:val="-3"/>
          <w:w w:val="105"/>
          <w:sz w:val="20"/>
        </w:rPr>
        <w:t> </w:t>
      </w:r>
      <w:r>
        <w:rPr>
          <w:color w:val="383638"/>
          <w:w w:val="105"/>
          <w:sz w:val="20"/>
        </w:rPr>
        <w:t>Issues</w:t>
      </w:r>
    </w:p>
    <w:p>
      <w:pPr>
        <w:pStyle w:val="ListParagraph"/>
        <w:numPr>
          <w:ilvl w:val="2"/>
          <w:numId w:val="42"/>
        </w:numPr>
        <w:tabs>
          <w:tab w:pos="1404" w:val="left" w:leader="none"/>
        </w:tabs>
        <w:spacing w:line="236" w:lineRule="exact" w:before="0" w:after="0"/>
        <w:ind w:left="1403" w:right="0" w:hanging="709"/>
        <w:jc w:val="left"/>
        <w:rPr>
          <w:sz w:val="20"/>
        </w:rPr>
      </w:pPr>
      <w:r>
        <w:rPr>
          <w:color w:val="383638"/>
          <w:w w:val="105"/>
          <w:sz w:val="20"/>
        </w:rPr>
        <w:t>Prove</w:t>
      </w:r>
      <w:r>
        <w:rPr>
          <w:color w:val="383638"/>
          <w:spacing w:val="-12"/>
          <w:w w:val="105"/>
          <w:sz w:val="20"/>
        </w:rPr>
        <w:t> </w:t>
      </w:r>
      <w:r>
        <w:rPr>
          <w:color w:val="383638"/>
          <w:w w:val="105"/>
          <w:sz w:val="20"/>
        </w:rPr>
        <w:t>or</w:t>
      </w:r>
      <w:r>
        <w:rPr>
          <w:color w:val="383638"/>
          <w:spacing w:val="3"/>
          <w:w w:val="105"/>
          <w:sz w:val="20"/>
        </w:rPr>
        <w:t> </w:t>
      </w:r>
      <w:r>
        <w:rPr>
          <w:color w:val="383638"/>
          <w:w w:val="105"/>
          <w:sz w:val="20"/>
        </w:rPr>
        <w:t>CREXAC</w:t>
      </w:r>
      <w:r>
        <w:rPr>
          <w:color w:val="383638"/>
          <w:spacing w:val="-3"/>
          <w:w w:val="105"/>
          <w:sz w:val="20"/>
        </w:rPr>
        <w:t> </w:t>
      </w:r>
      <w:r>
        <w:rPr>
          <w:color w:val="383638"/>
          <w:w w:val="105"/>
          <w:sz w:val="20"/>
        </w:rPr>
        <w:t>Issues</w:t>
      </w:r>
    </w:p>
    <w:p>
      <w:pPr>
        <w:pStyle w:val="ListParagraph"/>
        <w:numPr>
          <w:ilvl w:val="1"/>
          <w:numId w:val="40"/>
        </w:numPr>
        <w:tabs>
          <w:tab w:pos="708" w:val="left" w:leader="none"/>
          <w:tab w:pos="709" w:val="left" w:leader="none"/>
        </w:tabs>
        <w:spacing w:line="240" w:lineRule="auto" w:before="8" w:after="0"/>
        <w:ind w:left="709" w:right="0" w:hanging="517"/>
        <w:jc w:val="left"/>
        <w:rPr>
          <w:sz w:val="20"/>
        </w:rPr>
      </w:pPr>
      <w:r>
        <w:rPr>
          <w:color w:val="383638"/>
          <w:w w:val="115"/>
          <w:sz w:val="20"/>
        </w:rPr>
        <w:t>Dealing</w:t>
      </w:r>
      <w:r>
        <w:rPr>
          <w:color w:val="383638"/>
          <w:spacing w:val="4"/>
          <w:w w:val="115"/>
          <w:sz w:val="20"/>
        </w:rPr>
        <w:t> </w:t>
      </w:r>
      <w:r>
        <w:rPr>
          <w:color w:val="383638"/>
          <w:w w:val="115"/>
          <w:sz w:val="20"/>
        </w:rPr>
        <w:t>with</w:t>
      </w:r>
      <w:r>
        <w:rPr>
          <w:color w:val="383638"/>
          <w:spacing w:val="17"/>
          <w:w w:val="115"/>
          <w:sz w:val="20"/>
        </w:rPr>
        <w:t> </w:t>
      </w:r>
      <w:r>
        <w:rPr>
          <w:color w:val="383638"/>
          <w:w w:val="115"/>
          <w:sz w:val="20"/>
        </w:rPr>
        <w:t>Your</w:t>
      </w:r>
      <w:r>
        <w:rPr>
          <w:color w:val="383638"/>
          <w:spacing w:val="1"/>
          <w:w w:val="115"/>
          <w:sz w:val="20"/>
        </w:rPr>
        <w:t> </w:t>
      </w:r>
      <w:r>
        <w:rPr>
          <w:color w:val="383638"/>
          <w:w w:val="115"/>
          <w:sz w:val="20"/>
        </w:rPr>
        <w:t>Opponent's</w:t>
      </w:r>
      <w:r>
        <w:rPr>
          <w:color w:val="383638"/>
          <w:spacing w:val="10"/>
          <w:w w:val="115"/>
          <w:sz w:val="20"/>
        </w:rPr>
        <w:t> </w:t>
      </w:r>
      <w:r>
        <w:rPr>
          <w:color w:val="383638"/>
          <w:w w:val="115"/>
          <w:sz w:val="20"/>
        </w:rPr>
        <w:t>Arguments</w:t>
      </w:r>
    </w:p>
    <w:p>
      <w:pPr>
        <w:pStyle w:val="ListParagraph"/>
        <w:numPr>
          <w:ilvl w:val="1"/>
          <w:numId w:val="40"/>
        </w:numPr>
        <w:tabs>
          <w:tab w:pos="691" w:val="left" w:leader="none"/>
        </w:tabs>
        <w:spacing w:line="240" w:lineRule="auto" w:before="58" w:after="0"/>
        <w:ind w:left="690" w:right="0" w:hanging="489"/>
        <w:jc w:val="left"/>
        <w:rPr>
          <w:sz w:val="20"/>
        </w:rPr>
      </w:pPr>
      <w:r>
        <w:rPr>
          <w:color w:val="383638"/>
          <w:w w:val="120"/>
          <w:sz w:val="20"/>
        </w:rPr>
        <w:t>Summary</w:t>
      </w:r>
    </w:p>
    <w:p>
      <w:pPr>
        <w:spacing w:after="0" w:line="240" w:lineRule="auto"/>
        <w:jc w:val="left"/>
        <w:rPr>
          <w:sz w:val="20"/>
        </w:rPr>
        <w:sectPr>
          <w:headerReference w:type="even" r:id="rId112"/>
          <w:pgSz w:w="9610" w:h="13740"/>
          <w:pgMar w:header="0" w:footer="0" w:top="380" w:bottom="280" w:left="440" w:right="740"/>
          <w:cols w:num="2" w:equalWidth="0">
            <w:col w:w="353" w:space="133"/>
            <w:col w:w="79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90"/>
        <w:ind w:left="663" w:right="0" w:firstLine="0"/>
        <w:jc w:val="left"/>
        <w:rPr>
          <w:rFonts w:ascii="Arial"/>
          <w:b/>
          <w:sz w:val="33"/>
        </w:rPr>
      </w:pPr>
      <w:r>
        <w:rPr>
          <w:rFonts w:ascii="Arial"/>
          <w:b/>
          <w:color w:val="383638"/>
          <w:w w:val="110"/>
          <w:sz w:val="33"/>
        </w:rPr>
        <w:t>5</w:t>
      </w:r>
      <w:r>
        <w:rPr>
          <w:rFonts w:ascii="Arial"/>
          <w:b/>
          <w:color w:val="5B5B5D"/>
          <w:w w:val="110"/>
          <w:sz w:val="33"/>
        </w:rPr>
        <w:t>.</w:t>
      </w:r>
      <w:r>
        <w:rPr>
          <w:rFonts w:ascii="Arial"/>
          <w:b/>
          <w:color w:val="262323"/>
          <w:w w:val="110"/>
          <w:sz w:val="33"/>
        </w:rPr>
        <w:t>1</w:t>
      </w:r>
    </w:p>
    <w:p>
      <w:pPr>
        <w:spacing w:before="34"/>
        <w:ind w:left="668" w:right="0" w:firstLine="0"/>
        <w:jc w:val="left"/>
        <w:rPr>
          <w:b/>
          <w:sz w:val="28"/>
        </w:rPr>
      </w:pPr>
      <w:r>
        <w:rPr>
          <w:rFonts w:ascii="Arial"/>
          <w:b/>
          <w:color w:val="383638"/>
          <w:spacing w:val="-1"/>
          <w:w w:val="105"/>
          <w:sz w:val="26"/>
        </w:rPr>
        <w:t>USING</w:t>
      </w:r>
      <w:r>
        <w:rPr>
          <w:rFonts w:ascii="Arial"/>
          <w:b/>
          <w:color w:val="383638"/>
          <w:spacing w:val="-16"/>
          <w:w w:val="105"/>
          <w:sz w:val="26"/>
        </w:rPr>
        <w:t> </w:t>
      </w:r>
      <w:r>
        <w:rPr>
          <w:rFonts w:ascii="Arial"/>
          <w:b/>
          <w:color w:val="383638"/>
          <w:spacing w:val="-1"/>
          <w:w w:val="105"/>
          <w:sz w:val="26"/>
        </w:rPr>
        <w:t>AN</w:t>
      </w:r>
      <w:r>
        <w:rPr>
          <w:rFonts w:ascii="Arial"/>
          <w:b/>
          <w:color w:val="383638"/>
          <w:spacing w:val="-8"/>
          <w:w w:val="105"/>
          <w:sz w:val="26"/>
        </w:rPr>
        <w:t> </w:t>
      </w:r>
      <w:r>
        <w:rPr>
          <w:rFonts w:ascii="Arial"/>
          <w:b/>
          <w:color w:val="383638"/>
          <w:spacing w:val="-1"/>
          <w:w w:val="105"/>
          <w:sz w:val="26"/>
        </w:rPr>
        <w:t>ANALYTICAL</w:t>
      </w:r>
      <w:r>
        <w:rPr>
          <w:rFonts w:ascii="Arial"/>
          <w:b/>
          <w:color w:val="383638"/>
          <w:spacing w:val="-3"/>
          <w:w w:val="105"/>
          <w:sz w:val="26"/>
        </w:rPr>
        <w:t> </w:t>
      </w:r>
      <w:r>
        <w:rPr>
          <w:b/>
          <w:color w:val="383638"/>
          <w:w w:val="105"/>
          <w:sz w:val="28"/>
        </w:rPr>
        <w:t>FORMULA</w:t>
      </w:r>
    </w:p>
    <w:p>
      <w:pPr>
        <w:pStyle w:val="BodyText"/>
        <w:spacing w:line="230" w:lineRule="auto" w:before="254"/>
        <w:ind w:left="100" w:right="613" w:firstLine="580"/>
        <w:jc w:val="both"/>
      </w:pPr>
      <w:r>
        <w:rPr>
          <w:color w:val="383638"/>
          <w:w w:val="115"/>
        </w:rPr>
        <w:t>Two kinds of formulas can help you draft your argument. The first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formula is the formula of assertions and arguments that you create to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answer the  questions that your case presents. Chapter  Four was meant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6"/>
          <w:w w:val="115"/>
        </w:rPr>
        <w:t> </w:t>
      </w:r>
      <w:r>
        <w:rPr>
          <w:color w:val="383638"/>
          <w:w w:val="115"/>
        </w:rPr>
        <w:t>help</w:t>
      </w:r>
      <w:r>
        <w:rPr>
          <w:color w:val="383638"/>
          <w:spacing w:val="-3"/>
          <w:w w:val="115"/>
        </w:rPr>
        <w:t> </w:t>
      </w:r>
      <w:r>
        <w:rPr>
          <w:color w:val="383638"/>
          <w:w w:val="115"/>
        </w:rPr>
        <w:t>you</w:t>
      </w:r>
      <w:r>
        <w:rPr>
          <w:color w:val="383638"/>
          <w:spacing w:val="8"/>
          <w:w w:val="115"/>
        </w:rPr>
        <w:t> </w:t>
      </w:r>
      <w:r>
        <w:rPr>
          <w:color w:val="383638"/>
          <w:w w:val="115"/>
        </w:rPr>
        <w:t>craft</w:t>
      </w:r>
      <w:r>
        <w:rPr>
          <w:color w:val="383638"/>
          <w:spacing w:val="24"/>
          <w:w w:val="115"/>
        </w:rPr>
        <w:t> </w:t>
      </w:r>
      <w:r>
        <w:rPr>
          <w:color w:val="383638"/>
          <w:w w:val="115"/>
        </w:rPr>
        <w:t>that</w:t>
      </w:r>
      <w:r>
        <w:rPr>
          <w:color w:val="383638"/>
          <w:spacing w:val="16"/>
          <w:w w:val="115"/>
        </w:rPr>
        <w:t> </w:t>
      </w:r>
      <w:r>
        <w:rPr>
          <w:color w:val="383638"/>
          <w:w w:val="115"/>
        </w:rPr>
        <w:t>formula,</w:t>
      </w:r>
      <w:r>
        <w:rPr>
          <w:color w:val="383638"/>
          <w:spacing w:val="30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32"/>
          <w:w w:val="115"/>
        </w:rPr>
        <w:t> </w:t>
      </w:r>
      <w:r>
        <w:rPr>
          <w:color w:val="383638"/>
          <w:w w:val="115"/>
        </w:rPr>
        <w:t>decide</w:t>
      </w:r>
      <w:r>
        <w:rPr>
          <w:color w:val="383638"/>
          <w:spacing w:val="22"/>
          <w:w w:val="115"/>
        </w:rPr>
        <w:t> </w:t>
      </w:r>
      <w:r>
        <w:rPr>
          <w:color w:val="383638"/>
          <w:w w:val="115"/>
        </w:rPr>
        <w:t>how</w:t>
      </w:r>
      <w:r>
        <w:rPr>
          <w:color w:val="383638"/>
          <w:spacing w:val="27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26"/>
          <w:w w:val="115"/>
        </w:rPr>
        <w:t> </w:t>
      </w:r>
      <w:r>
        <w:rPr>
          <w:color w:val="383638"/>
          <w:w w:val="115"/>
        </w:rPr>
        <w:t>structure</w:t>
      </w:r>
      <w:r>
        <w:rPr>
          <w:color w:val="383638"/>
          <w:spacing w:val="16"/>
          <w:w w:val="115"/>
        </w:rPr>
        <w:t> </w:t>
      </w:r>
      <w:r>
        <w:rPr>
          <w:color w:val="383638"/>
          <w:w w:val="115"/>
        </w:rPr>
        <w:t>your</w:t>
      </w:r>
      <w:r>
        <w:rPr>
          <w:color w:val="383638"/>
          <w:spacing w:val="12"/>
          <w:w w:val="115"/>
        </w:rPr>
        <w:t> </w:t>
      </w:r>
      <w:r>
        <w:rPr>
          <w:color w:val="383638"/>
          <w:w w:val="115"/>
        </w:rPr>
        <w:t>analysis</w:t>
      </w:r>
    </w:p>
    <w:p>
      <w:pPr>
        <w:spacing w:after="0" w:line="230" w:lineRule="auto"/>
        <w:jc w:val="both"/>
        <w:sectPr>
          <w:type w:val="continuous"/>
          <w:pgSz w:w="9610" w:h="13740"/>
          <w:pgMar w:header="0" w:footer="0" w:top="340" w:bottom="280" w:left="440" w:right="740"/>
        </w:sectPr>
      </w:pPr>
    </w:p>
    <w:p>
      <w:pPr>
        <w:pStyle w:val="BodyText"/>
        <w:spacing w:line="230" w:lineRule="auto" w:before="89"/>
        <w:ind w:left="964" w:right="-44" w:firstLine="28"/>
      </w:pPr>
      <w:r>
        <w:rPr>
          <w:color w:val="3B3A3B"/>
          <w:w w:val="95"/>
        </w:rPr>
        <w:t>of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the issues and assertions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relevant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to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your argument.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That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formula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unique to this set of facts and issues in this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jurisdiction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at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this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time; </w:t>
      </w:r>
      <w:r>
        <w:rPr>
          <w:color w:val="3B3A3B"/>
          <w:w w:val="95"/>
          <w:sz w:val="24"/>
        </w:rPr>
        <w:t>yo</w:t>
      </w:r>
      <w:r>
        <w:rPr>
          <w:color w:val="3B3A3B"/>
          <w:spacing w:val="1"/>
          <w:w w:val="95"/>
          <w:sz w:val="24"/>
        </w:rPr>
        <w:t> </w:t>
      </w:r>
      <w:r>
        <w:rPr>
          <w:color w:val="3B3A3B"/>
          <w:w w:val="95"/>
        </w:rPr>
        <w:t>might be able to reuse certain elements in the formula,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but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it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is</w:t>
      </w:r>
      <w:r>
        <w:rPr>
          <w:color w:val="3B3A3B"/>
          <w:spacing w:val="51"/>
        </w:rPr>
        <w:t> </w:t>
      </w:r>
      <w:r>
        <w:rPr>
          <w:color w:val="3B3A3B"/>
          <w:w w:val="95"/>
        </w:rPr>
        <w:t>doubtf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you would </w:t>
      </w:r>
      <w:r>
        <w:rPr>
          <w:rFonts w:ascii="Arial"/>
          <w:i/>
          <w:color w:val="3B3A3B"/>
          <w:w w:val="95"/>
          <w:sz w:val="20"/>
        </w:rPr>
        <w:t>ever </w:t>
      </w:r>
      <w:r>
        <w:rPr>
          <w:color w:val="3B3A3B"/>
          <w:w w:val="95"/>
        </w:rPr>
        <w:t>write another brief </w:t>
      </w:r>
      <w:r>
        <w:rPr>
          <w:rFonts w:ascii="Arial"/>
          <w:color w:val="3B3A3B"/>
          <w:w w:val="95"/>
          <w:sz w:val="21"/>
        </w:rPr>
        <w:t>with </w:t>
      </w:r>
      <w:r>
        <w:rPr>
          <w:color w:val="3B3A3B"/>
          <w:w w:val="95"/>
        </w:rPr>
        <w:t>that identical set of assertions an</w:t>
      </w:r>
      <w:r>
        <w:rPr>
          <w:color w:val="3B3A3B"/>
          <w:spacing w:val="1"/>
          <w:w w:val="95"/>
        </w:rPr>
        <w:t> </w:t>
      </w:r>
      <w:r>
        <w:rPr>
          <w:color w:val="3B3A3B"/>
        </w:rPr>
        <w:t>arguments.</w:t>
      </w:r>
      <w:r>
        <w:rPr>
          <w:color w:val="3B3A3B"/>
          <w:spacing w:val="-12"/>
        </w:rPr>
        <w:t> </w:t>
      </w:r>
      <w:r>
        <w:rPr>
          <w:color w:val="3B3A3B"/>
          <w:sz w:val="22"/>
        </w:rPr>
        <w:t>It</w:t>
      </w:r>
      <w:r>
        <w:rPr>
          <w:color w:val="3B3A3B"/>
          <w:spacing w:val="-24"/>
          <w:sz w:val="22"/>
        </w:rPr>
        <w:t> </w:t>
      </w:r>
      <w:r>
        <w:rPr>
          <w:color w:val="3B3A3B"/>
        </w:rPr>
        <w:t>is</w:t>
      </w:r>
      <w:r>
        <w:rPr>
          <w:color w:val="3B3A3B"/>
          <w:spacing w:val="-34"/>
        </w:rPr>
        <w:t> </w:t>
      </w:r>
      <w:r>
        <w:rPr>
          <w:color w:val="3B3A3B"/>
        </w:rPr>
        <w:t>for</w:t>
      </w:r>
      <w:r>
        <w:rPr>
          <w:color w:val="3B3A3B"/>
          <w:spacing w:val="-32"/>
        </w:rPr>
        <w:t> </w:t>
      </w:r>
      <w:r>
        <w:rPr>
          <w:color w:val="3B3A3B"/>
        </w:rPr>
        <w:t>one-time-use</w:t>
      </w:r>
      <w:r>
        <w:rPr>
          <w:color w:val="3B3A3B"/>
          <w:spacing w:val="-9"/>
        </w:rPr>
        <w:t> </w:t>
      </w:r>
      <w:r>
        <w:rPr>
          <w:color w:val="3B3A3B"/>
        </w:rPr>
        <w:t>only.</w:t>
      </w:r>
    </w:p>
    <w:p>
      <w:pPr>
        <w:pStyle w:val="BodyText"/>
        <w:spacing w:line="218" w:lineRule="auto" w:before="1"/>
        <w:ind w:left="937" w:right="-44" w:firstLine="326"/>
        <w:jc w:val="both"/>
        <w:rPr>
          <w:sz w:val="21"/>
        </w:rPr>
      </w:pPr>
      <w:r>
        <w:rPr>
          <w:color w:val="3B3A3B"/>
        </w:rPr>
        <w:t>The second kind of formula that can help you draft your argumen</w:t>
      </w:r>
      <w:r>
        <w:rPr>
          <w:color w:val="3B3A3B"/>
          <w:spacing w:val="1"/>
        </w:rPr>
        <w:t> </w:t>
      </w:r>
      <w:r>
        <w:rPr>
          <w:color w:val="3B3A3B"/>
          <w:w w:val="95"/>
          <w:position w:val="2"/>
        </w:rPr>
        <w:t>is far from unique: </w:t>
      </w:r>
      <w:r>
        <w:rPr>
          <w:color w:val="4D4D4F"/>
          <w:w w:val="95"/>
          <w:position w:val="2"/>
          <w:sz w:val="22"/>
        </w:rPr>
        <w:t>It </w:t>
      </w:r>
      <w:r>
        <w:rPr>
          <w:color w:val="3B3A3B"/>
          <w:w w:val="95"/>
          <w:position w:val="2"/>
        </w:rPr>
        <w:t>can be recycled forever, for as many times as </w:t>
      </w:r>
      <w:r>
        <w:rPr>
          <w:rFonts w:ascii="Arial"/>
          <w:color w:val="3B3A3B"/>
          <w:w w:val="95"/>
          <w:position w:val="2"/>
          <w:sz w:val="20"/>
        </w:rPr>
        <w:t>y</w:t>
      </w:r>
      <w:r>
        <w:rPr>
          <w:rFonts w:ascii="Arial"/>
          <w:color w:val="3B3A3B"/>
          <w:w w:val="95"/>
          <w:sz w:val="16"/>
        </w:rPr>
        <w:t>0</w:t>
      </w:r>
      <w:r>
        <w:rPr>
          <w:rFonts w:ascii="Arial"/>
          <w:color w:val="3B3A3B"/>
          <w:spacing w:val="1"/>
          <w:w w:val="95"/>
          <w:sz w:val="16"/>
        </w:rPr>
        <w:t> </w:t>
      </w:r>
      <w:r>
        <w:rPr>
          <w:color w:val="3B3A3B"/>
          <w:w w:val="95"/>
        </w:rPr>
        <w:t>need</w:t>
      </w:r>
      <w:r>
        <w:rPr>
          <w:color w:val="3B3A3B"/>
          <w:spacing w:val="-8"/>
          <w:w w:val="95"/>
        </w:rPr>
        <w:t> </w:t>
      </w:r>
      <w:r>
        <w:rPr>
          <w:color w:val="3B3A3B"/>
          <w:w w:val="95"/>
        </w:rPr>
        <w:t>it.</w:t>
      </w:r>
      <w:r>
        <w:rPr>
          <w:color w:val="3B3A3B"/>
          <w:spacing w:val="-30"/>
          <w:w w:val="95"/>
        </w:rPr>
        <w:t> </w:t>
      </w:r>
      <w:r>
        <w:rPr>
          <w:color w:val="3B3A3B"/>
          <w:w w:val="95"/>
        </w:rPr>
        <w:t>Similar</w:t>
      </w:r>
      <w:r>
        <w:rPr>
          <w:color w:val="3B3A3B"/>
          <w:spacing w:val="2"/>
          <w:w w:val="95"/>
        </w:rPr>
        <w:t> </w:t>
      </w:r>
      <w:r>
        <w:rPr>
          <w:color w:val="3B3A3B"/>
          <w:w w:val="95"/>
        </w:rPr>
        <w:t>formulas</w:t>
      </w:r>
      <w:r>
        <w:rPr>
          <w:color w:val="3B3A3B"/>
          <w:spacing w:val="-1"/>
          <w:w w:val="95"/>
        </w:rPr>
        <w:t> </w:t>
      </w:r>
      <w:r>
        <w:rPr>
          <w:i/>
          <w:color w:val="3B3A3B"/>
          <w:w w:val="95"/>
          <w:sz w:val="26"/>
        </w:rPr>
        <w:t>go</w:t>
      </w:r>
      <w:r>
        <w:rPr>
          <w:i/>
          <w:color w:val="3B3A3B"/>
          <w:spacing w:val="-10"/>
          <w:w w:val="95"/>
          <w:sz w:val="26"/>
        </w:rPr>
        <w:t> </w:t>
      </w:r>
      <w:r>
        <w:rPr>
          <w:color w:val="3B3A3B"/>
          <w:w w:val="95"/>
        </w:rPr>
        <w:t>by</w:t>
      </w:r>
      <w:r>
        <w:rPr>
          <w:color w:val="3B3A3B"/>
          <w:spacing w:val="-19"/>
          <w:w w:val="95"/>
        </w:rPr>
        <w:t> </w:t>
      </w:r>
      <w:r>
        <w:rPr>
          <w:color w:val="3B3A3B"/>
          <w:w w:val="95"/>
        </w:rPr>
        <w:t>their</w:t>
      </w:r>
      <w:r>
        <w:rPr>
          <w:color w:val="3B3A3B"/>
          <w:spacing w:val="-3"/>
          <w:w w:val="95"/>
        </w:rPr>
        <w:t> </w:t>
      </w:r>
      <w:r>
        <w:rPr>
          <w:color w:val="3B3A3B"/>
          <w:w w:val="95"/>
        </w:rPr>
        <w:t>various</w:t>
      </w:r>
      <w:r>
        <w:rPr>
          <w:color w:val="3B3A3B"/>
          <w:spacing w:val="14"/>
          <w:w w:val="95"/>
        </w:rPr>
        <w:t> </w:t>
      </w:r>
      <w:r>
        <w:rPr>
          <w:color w:val="3B3A3B"/>
          <w:w w:val="95"/>
        </w:rPr>
        <w:t>acronyms,</w:t>
      </w:r>
      <w:r>
        <w:rPr>
          <w:color w:val="3B3A3B"/>
          <w:spacing w:val="14"/>
          <w:w w:val="95"/>
        </w:rPr>
        <w:t> </w:t>
      </w:r>
      <w:r>
        <w:rPr>
          <w:color w:val="3B3A3B"/>
          <w:w w:val="95"/>
        </w:rPr>
        <w:t>including</w:t>
      </w:r>
      <w:r>
        <w:rPr>
          <w:color w:val="3B3A3B"/>
          <w:spacing w:val="10"/>
          <w:w w:val="95"/>
        </w:rPr>
        <w:t> </w:t>
      </w:r>
      <w:r>
        <w:rPr>
          <w:color w:val="3B3A3B"/>
          <w:w w:val="95"/>
          <w:sz w:val="21"/>
        </w:rPr>
        <w:t>CREA</w:t>
      </w:r>
    </w:p>
    <w:p>
      <w:pPr>
        <w:pStyle w:val="BodyText"/>
        <w:spacing w:line="230" w:lineRule="auto" w:before="2"/>
        <w:ind w:left="856" w:right="-44" w:firstLine="80"/>
      </w:pPr>
      <w:r>
        <w:rPr>
          <w:color w:val="3B3A3B"/>
          <w:w w:val="90"/>
        </w:rPr>
        <w:t>IREAC,</w:t>
      </w:r>
      <w:r>
        <w:rPr>
          <w:color w:val="3B3A3B"/>
          <w:spacing w:val="21"/>
          <w:w w:val="90"/>
        </w:rPr>
        <w:t> </w:t>
      </w:r>
      <w:r>
        <w:rPr>
          <w:color w:val="3B3A3B"/>
          <w:w w:val="90"/>
        </w:rPr>
        <w:t>and</w:t>
      </w:r>
      <w:r>
        <w:rPr>
          <w:color w:val="3B3A3B"/>
          <w:spacing w:val="18"/>
          <w:w w:val="90"/>
        </w:rPr>
        <w:t> </w:t>
      </w:r>
      <w:r>
        <w:rPr>
          <w:color w:val="3B3A3B"/>
          <w:w w:val="90"/>
        </w:rPr>
        <w:t>CRuPAC.</w:t>
      </w:r>
      <w:r>
        <w:rPr>
          <w:color w:val="3B3A3B"/>
          <w:spacing w:val="27"/>
          <w:w w:val="90"/>
        </w:rPr>
        <w:t> </w:t>
      </w:r>
      <w:r>
        <w:rPr>
          <w:i/>
          <w:color w:val="3B3A3B"/>
          <w:w w:val="90"/>
          <w:sz w:val="22"/>
        </w:rPr>
        <w:t>As</w:t>
      </w:r>
      <w:r>
        <w:rPr>
          <w:i/>
          <w:color w:val="3B3A3B"/>
          <w:spacing w:val="8"/>
          <w:w w:val="90"/>
          <w:sz w:val="22"/>
        </w:rPr>
        <w:t> </w:t>
      </w:r>
      <w:r>
        <w:rPr>
          <w:color w:val="3B3A3B"/>
          <w:w w:val="90"/>
        </w:rPr>
        <w:t>will</w:t>
      </w:r>
      <w:r>
        <w:rPr>
          <w:color w:val="3B3A3B"/>
          <w:spacing w:val="35"/>
          <w:w w:val="90"/>
        </w:rPr>
        <w:t> </w:t>
      </w:r>
      <w:r>
        <w:rPr>
          <w:color w:val="3B3A3B"/>
          <w:w w:val="90"/>
        </w:rPr>
        <w:t>be</w:t>
      </w:r>
      <w:r>
        <w:rPr>
          <w:color w:val="3B3A3B"/>
          <w:spacing w:val="-1"/>
          <w:w w:val="90"/>
        </w:rPr>
        <w:t> </w:t>
      </w:r>
      <w:r>
        <w:rPr>
          <w:color w:val="3B3A3B"/>
          <w:w w:val="90"/>
        </w:rPr>
        <w:t>explained</w:t>
      </w:r>
      <w:r>
        <w:rPr>
          <w:color w:val="3B3A3B"/>
          <w:spacing w:val="35"/>
          <w:w w:val="90"/>
        </w:rPr>
        <w:t> </w:t>
      </w:r>
      <w:r>
        <w:rPr>
          <w:color w:val="3B3A3B"/>
          <w:w w:val="90"/>
        </w:rPr>
        <w:t>here,</w:t>
      </w:r>
      <w:r>
        <w:rPr>
          <w:color w:val="3B3A3B"/>
          <w:spacing w:val="22"/>
          <w:w w:val="90"/>
        </w:rPr>
        <w:t> </w:t>
      </w:r>
      <w:r>
        <w:rPr>
          <w:color w:val="3B3A3B"/>
          <w:w w:val="90"/>
        </w:rPr>
        <w:t>in</w:t>
      </w:r>
      <w:r>
        <w:rPr>
          <w:color w:val="3B3A3B"/>
          <w:spacing w:val="2"/>
          <w:w w:val="90"/>
        </w:rPr>
        <w:t> </w:t>
      </w:r>
      <w:r>
        <w:rPr>
          <w:color w:val="3B3A3B"/>
          <w:w w:val="90"/>
        </w:rPr>
        <w:t>this</w:t>
      </w:r>
      <w:r>
        <w:rPr>
          <w:color w:val="3B3A3B"/>
          <w:spacing w:val="19"/>
          <w:w w:val="90"/>
        </w:rPr>
        <w:t> </w:t>
      </w:r>
      <w:r>
        <w:rPr>
          <w:color w:val="3B3A3B"/>
          <w:w w:val="90"/>
        </w:rPr>
        <w:t>book,</w:t>
      </w:r>
      <w:r>
        <w:rPr>
          <w:color w:val="3B3A3B"/>
          <w:spacing w:val="29"/>
          <w:w w:val="90"/>
        </w:rPr>
        <w:t> </w:t>
      </w:r>
      <w:r>
        <w:rPr>
          <w:color w:val="3B3A3B"/>
          <w:w w:val="90"/>
        </w:rPr>
        <w:t>it</w:t>
      </w:r>
      <w:r>
        <w:rPr>
          <w:color w:val="3B3A3B"/>
          <w:spacing w:val="6"/>
          <w:w w:val="90"/>
        </w:rPr>
        <w:t> </w:t>
      </w:r>
      <w:r>
        <w:rPr>
          <w:color w:val="3B3A3B"/>
          <w:w w:val="90"/>
        </w:rPr>
        <w:t>is</w:t>
      </w:r>
      <w:r>
        <w:rPr>
          <w:color w:val="3B3A3B"/>
          <w:spacing w:val="16"/>
          <w:w w:val="90"/>
        </w:rPr>
        <w:t> </w:t>
      </w:r>
      <w:r>
        <w:rPr>
          <w:color w:val="3B3A3B"/>
          <w:w w:val="90"/>
        </w:rPr>
        <w:t>callee</w:t>
      </w:r>
      <w:r>
        <w:rPr>
          <w:color w:val="3B3A3B"/>
          <w:spacing w:val="-49"/>
          <w:w w:val="90"/>
        </w:rPr>
        <w:t> </w:t>
      </w:r>
      <w:r>
        <w:rPr>
          <w:color w:val="3B3A3B"/>
          <w:w w:val="95"/>
        </w:rPr>
        <w:t>CREXAC, and it can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be used whenever you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use a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"unit of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discourse" </w:t>
      </w:r>
      <w:r>
        <w:rPr>
          <w:rFonts w:ascii="Arial"/>
          <w:color w:val="3B3A3B"/>
          <w:w w:val="95"/>
          <w:sz w:val="20"/>
        </w:rPr>
        <w:t>t</w:t>
      </w:r>
      <w:r>
        <w:rPr>
          <w:rFonts w:ascii="Arial"/>
          <w:color w:val="3B3A3B"/>
          <w:spacing w:val="1"/>
          <w:w w:val="95"/>
          <w:sz w:val="20"/>
        </w:rPr>
        <w:t> </w:t>
      </w:r>
      <w:r>
        <w:rPr>
          <w:color w:val="3B3A3B"/>
          <w:w w:val="95"/>
        </w:rPr>
        <w:t>analyze a legal point. As George Gopen has noted, a "unit of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discourse" i</w:t>
      </w:r>
      <w:r>
        <w:rPr>
          <w:color w:val="3B3A3B"/>
          <w:spacing w:val="1"/>
          <w:w w:val="95"/>
        </w:rPr>
        <w:t> </w:t>
      </w:r>
      <w:r>
        <w:rPr>
          <w:color w:val="4D4D4F"/>
        </w:rPr>
        <w:t>"anything</w:t>
      </w:r>
      <w:r>
        <w:rPr>
          <w:color w:val="4D4D4F"/>
          <w:spacing w:val="-23"/>
        </w:rPr>
        <w:t> </w:t>
      </w:r>
      <w:r>
        <w:rPr>
          <w:color w:val="4D4D4F"/>
        </w:rPr>
        <w:t>in</w:t>
      </w:r>
      <w:r>
        <w:rPr>
          <w:color w:val="4D4D4F"/>
          <w:spacing w:val="-25"/>
        </w:rPr>
        <w:t> </w:t>
      </w:r>
      <w:r>
        <w:rPr>
          <w:color w:val="3B3A3B"/>
        </w:rPr>
        <w:t>prose</w:t>
      </w:r>
      <w:r>
        <w:rPr>
          <w:color w:val="3B3A3B"/>
          <w:spacing w:val="-20"/>
        </w:rPr>
        <w:t> </w:t>
      </w:r>
      <w:r>
        <w:rPr>
          <w:color w:val="3B3A3B"/>
        </w:rPr>
        <w:t>that</w:t>
      </w:r>
      <w:r>
        <w:rPr>
          <w:color w:val="3B3A3B"/>
          <w:spacing w:val="-13"/>
        </w:rPr>
        <w:t> </w:t>
      </w:r>
      <w:r>
        <w:rPr>
          <w:color w:val="3B3A3B"/>
        </w:rPr>
        <w:t>has</w:t>
      </w:r>
      <w:r>
        <w:rPr>
          <w:color w:val="3B3A3B"/>
          <w:spacing w:val="-29"/>
        </w:rPr>
        <w:t> </w:t>
      </w:r>
      <w:r>
        <w:rPr>
          <w:color w:val="3B3A3B"/>
        </w:rPr>
        <w:t>a</w:t>
      </w:r>
      <w:r>
        <w:rPr>
          <w:color w:val="3B3A3B"/>
          <w:spacing w:val="-2"/>
        </w:rPr>
        <w:t> </w:t>
      </w:r>
      <w:r>
        <w:rPr>
          <w:color w:val="3B3A3B"/>
        </w:rPr>
        <w:t>beginning</w:t>
      </w:r>
      <w:r>
        <w:rPr>
          <w:color w:val="3B3A3B"/>
          <w:spacing w:val="-26"/>
        </w:rPr>
        <w:t> </w:t>
      </w:r>
      <w:r>
        <w:rPr>
          <w:color w:val="3B3A3B"/>
        </w:rPr>
        <w:t>and</w:t>
      </w:r>
      <w:r>
        <w:rPr>
          <w:color w:val="3B3A3B"/>
          <w:spacing w:val="-9"/>
        </w:rPr>
        <w:t> </w:t>
      </w:r>
      <w:r>
        <w:rPr>
          <w:color w:val="3B3A3B"/>
        </w:rPr>
        <w:t>an</w:t>
      </w:r>
      <w:r>
        <w:rPr>
          <w:color w:val="3B3A3B"/>
          <w:spacing w:val="-16"/>
        </w:rPr>
        <w:t> </w:t>
      </w:r>
      <w:r>
        <w:rPr>
          <w:color w:val="3B3A3B"/>
        </w:rPr>
        <w:t>end:</w:t>
      </w:r>
      <w:r>
        <w:rPr>
          <w:color w:val="3B3A3B"/>
          <w:spacing w:val="-19"/>
        </w:rPr>
        <w:t> </w:t>
      </w:r>
      <w:r>
        <w:rPr>
          <w:color w:val="3B3A3B"/>
        </w:rPr>
        <w:t>a</w:t>
      </w:r>
      <w:r>
        <w:rPr>
          <w:color w:val="3B3A3B"/>
          <w:spacing w:val="5"/>
        </w:rPr>
        <w:t> </w:t>
      </w:r>
      <w:r>
        <w:rPr>
          <w:color w:val="3B3A3B"/>
        </w:rPr>
        <w:t>phrase,</w:t>
      </w:r>
      <w:r>
        <w:rPr>
          <w:color w:val="3B3A3B"/>
          <w:spacing w:val="-8"/>
        </w:rPr>
        <w:t> </w:t>
      </w:r>
      <w:r>
        <w:rPr>
          <w:color w:val="3B3A3B"/>
        </w:rPr>
        <w:t>clause,</w:t>
      </w:r>
      <w:r>
        <w:rPr>
          <w:color w:val="3B3A3B"/>
          <w:spacing w:val="-3"/>
        </w:rPr>
        <w:t> </w:t>
      </w:r>
      <w:r>
        <w:rPr>
          <w:color w:val="3B3A3B"/>
        </w:rPr>
        <w:t>sen</w:t>
      </w:r>
      <w:r>
        <w:rPr>
          <w:color w:val="3B3A3B"/>
          <w:spacing w:val="1"/>
        </w:rPr>
        <w:t> </w:t>
      </w:r>
      <w:r>
        <w:rPr>
          <w:color w:val="3B3A3B"/>
          <w:w w:val="95"/>
        </w:rPr>
        <w:t>tence, paragraph,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section, </w:t>
      </w:r>
      <w:r>
        <w:rPr>
          <w:color w:val="4D4D4F"/>
          <w:w w:val="95"/>
        </w:rPr>
        <w:t>[or] </w:t>
      </w:r>
      <w:r>
        <w:rPr>
          <w:color w:val="3B3A3B"/>
          <w:w w:val="95"/>
        </w:rPr>
        <w:t>subsection."</w:t>
      </w:r>
      <w:r>
        <w:rPr>
          <w:color w:val="3B3A3B"/>
          <w:w w:val="95"/>
          <w:vertAlign w:val="superscript"/>
        </w:rPr>
        <w:t>1</w:t>
      </w:r>
      <w:r>
        <w:rPr>
          <w:color w:val="3B3A3B"/>
          <w:w w:val="95"/>
          <w:vertAlign w:val="baseline"/>
        </w:rPr>
        <w:t> In analytical</w:t>
      </w:r>
      <w:r>
        <w:rPr>
          <w:color w:val="3B3A3B"/>
          <w:spacing w:val="1"/>
          <w:w w:val="95"/>
          <w:vertAlign w:val="baseline"/>
        </w:rPr>
        <w:t> </w:t>
      </w:r>
      <w:r>
        <w:rPr>
          <w:color w:val="3B3A3B"/>
          <w:w w:val="95"/>
          <w:vertAlign w:val="baseline"/>
        </w:rPr>
        <w:t>writing,</w:t>
      </w:r>
      <w:r>
        <w:rPr>
          <w:color w:val="3B3A3B"/>
          <w:spacing w:val="1"/>
          <w:w w:val="95"/>
          <w:vertAlign w:val="baseline"/>
        </w:rPr>
        <w:t> </w:t>
      </w:r>
      <w:r>
        <w:rPr>
          <w:color w:val="3B3A3B"/>
          <w:w w:val="95"/>
          <w:vertAlign w:val="baseline"/>
        </w:rPr>
        <w:t>then,</w:t>
      </w:r>
      <w:r>
        <w:rPr>
          <w:color w:val="3B3A3B"/>
          <w:spacing w:val="1"/>
          <w:w w:val="95"/>
          <w:vertAlign w:val="baseline"/>
        </w:rPr>
        <w:t> </w:t>
      </w:r>
      <w:r>
        <w:rPr>
          <w:rFonts w:ascii="Arial"/>
          <w:i/>
          <w:color w:val="3B3A3B"/>
          <w:w w:val="95"/>
          <w:sz w:val="21"/>
          <w:vertAlign w:val="baseline"/>
        </w:rPr>
        <w:t>"CREXAC</w:t>
      </w:r>
      <w:r>
        <w:rPr>
          <w:rFonts w:ascii="Arial"/>
          <w:i/>
          <w:color w:val="3B3A3B"/>
          <w:spacing w:val="2"/>
          <w:w w:val="95"/>
          <w:sz w:val="21"/>
          <w:vertAlign w:val="baseline"/>
        </w:rPr>
        <w:t> </w:t>
      </w:r>
      <w:r>
        <w:rPr>
          <w:color w:val="3B3A3B"/>
          <w:w w:val="95"/>
          <w:vertAlign w:val="baseline"/>
        </w:rPr>
        <w:t>unit</w:t>
      </w:r>
      <w:r>
        <w:rPr>
          <w:color w:val="3B3A3B"/>
          <w:spacing w:val="-28"/>
          <w:w w:val="95"/>
          <w:vertAlign w:val="baseline"/>
        </w:rPr>
        <w:t> </w:t>
      </w:r>
      <w:r>
        <w:rPr>
          <w:color w:val="3B3A3B"/>
          <w:w w:val="95"/>
          <w:vertAlign w:val="baseline"/>
        </w:rPr>
        <w:t>of</w:t>
      </w:r>
      <w:r>
        <w:rPr>
          <w:color w:val="3B3A3B"/>
          <w:spacing w:val="-7"/>
          <w:w w:val="95"/>
          <w:vertAlign w:val="baseline"/>
        </w:rPr>
        <w:t> </w:t>
      </w:r>
      <w:r>
        <w:rPr>
          <w:color w:val="3B3A3B"/>
          <w:w w:val="95"/>
          <w:vertAlign w:val="baseline"/>
        </w:rPr>
        <w:t>discourse"</w:t>
      </w:r>
      <w:r>
        <w:rPr>
          <w:color w:val="3B3A3B"/>
          <w:spacing w:val="-12"/>
          <w:w w:val="95"/>
          <w:vertAlign w:val="baseline"/>
        </w:rPr>
        <w:t> </w:t>
      </w:r>
      <w:r>
        <w:rPr>
          <w:color w:val="3B3A3B"/>
          <w:w w:val="95"/>
          <w:vertAlign w:val="baseline"/>
        </w:rPr>
        <w:t>refers</w:t>
      </w:r>
      <w:r>
        <w:rPr>
          <w:color w:val="3B3A3B"/>
          <w:spacing w:val="-18"/>
          <w:w w:val="95"/>
          <w:vertAlign w:val="baseline"/>
        </w:rPr>
        <w:t> </w:t>
      </w:r>
      <w:r>
        <w:rPr>
          <w:color w:val="3B3A3B"/>
          <w:w w:val="95"/>
          <w:vertAlign w:val="baseline"/>
        </w:rPr>
        <w:t>to</w:t>
      </w:r>
      <w:r>
        <w:rPr>
          <w:color w:val="3B3A3B"/>
          <w:spacing w:val="7"/>
          <w:w w:val="95"/>
          <w:vertAlign w:val="baseline"/>
        </w:rPr>
        <w:t> </w:t>
      </w:r>
      <w:r>
        <w:rPr>
          <w:color w:val="3B3A3B"/>
          <w:w w:val="95"/>
          <w:vertAlign w:val="baseline"/>
        </w:rPr>
        <w:t>a</w:t>
      </w:r>
      <w:r>
        <w:rPr>
          <w:color w:val="3B3A3B"/>
          <w:spacing w:val="-16"/>
          <w:w w:val="95"/>
          <w:vertAlign w:val="baseline"/>
        </w:rPr>
        <w:t> </w:t>
      </w:r>
      <w:r>
        <w:rPr>
          <w:color w:val="3B3A3B"/>
          <w:w w:val="95"/>
          <w:vertAlign w:val="baseline"/>
        </w:rPr>
        <w:t>section</w:t>
      </w:r>
      <w:r>
        <w:rPr>
          <w:color w:val="3B3A3B"/>
          <w:spacing w:val="-4"/>
          <w:w w:val="95"/>
          <w:vertAlign w:val="baseline"/>
        </w:rPr>
        <w:t> </w:t>
      </w:r>
      <w:r>
        <w:rPr>
          <w:color w:val="3B3A3B"/>
          <w:w w:val="95"/>
          <w:vertAlign w:val="baseline"/>
        </w:rPr>
        <w:t>or</w:t>
      </w:r>
      <w:r>
        <w:rPr>
          <w:color w:val="3B3A3B"/>
          <w:spacing w:val="-19"/>
          <w:w w:val="95"/>
          <w:vertAlign w:val="baseline"/>
        </w:rPr>
        <w:t> </w:t>
      </w:r>
      <w:r>
        <w:rPr>
          <w:rFonts w:ascii="Arial"/>
          <w:i/>
          <w:color w:val="3B3A3B"/>
          <w:w w:val="95"/>
          <w:sz w:val="21"/>
          <w:vertAlign w:val="baseline"/>
        </w:rPr>
        <w:t>subsection</w:t>
      </w:r>
      <w:r>
        <w:rPr>
          <w:rFonts w:ascii="Arial"/>
          <w:i/>
          <w:color w:val="3B3A3B"/>
          <w:spacing w:val="9"/>
          <w:w w:val="95"/>
          <w:sz w:val="21"/>
          <w:vertAlign w:val="baseline"/>
        </w:rPr>
        <w:t> </w:t>
      </w:r>
      <w:r>
        <w:rPr>
          <w:color w:val="3B3A3B"/>
          <w:w w:val="95"/>
          <w:vertAlign w:val="baseline"/>
        </w:rPr>
        <w:t>in</w:t>
      </w:r>
      <w:r>
        <w:rPr>
          <w:color w:val="3B3A3B"/>
          <w:spacing w:val="39"/>
          <w:w w:val="95"/>
          <w:vertAlign w:val="baseline"/>
        </w:rPr>
        <w:t> </w:t>
      </w:r>
      <w:r>
        <w:rPr>
          <w:color w:val="3B3A3B"/>
          <w:w w:val="95"/>
          <w:vertAlign w:val="baseline"/>
        </w:rPr>
        <w:t>which</w:t>
      </w:r>
      <w:r>
        <w:rPr>
          <w:color w:val="3B3A3B"/>
          <w:spacing w:val="4"/>
          <w:w w:val="95"/>
          <w:vertAlign w:val="baseline"/>
        </w:rPr>
        <w:t> </w:t>
      </w:r>
      <w:r>
        <w:rPr>
          <w:color w:val="3B3A3B"/>
          <w:w w:val="95"/>
          <w:vertAlign w:val="baseline"/>
        </w:rPr>
        <w:t>you</w:t>
      </w:r>
      <w:r>
        <w:rPr>
          <w:color w:val="3B3A3B"/>
          <w:spacing w:val="-52"/>
          <w:w w:val="95"/>
          <w:vertAlign w:val="baseline"/>
        </w:rPr>
        <w:t> </w:t>
      </w:r>
      <w:r>
        <w:rPr>
          <w:color w:val="3B3A3B"/>
          <w:w w:val="95"/>
          <w:vertAlign w:val="baseline"/>
        </w:rPr>
        <w:t>use</w:t>
      </w:r>
      <w:r>
        <w:rPr>
          <w:color w:val="3B3A3B"/>
          <w:spacing w:val="-28"/>
          <w:w w:val="95"/>
          <w:vertAlign w:val="baseline"/>
        </w:rPr>
        <w:t> </w:t>
      </w:r>
      <w:r>
        <w:rPr>
          <w:rFonts w:ascii="Arial"/>
          <w:i/>
          <w:color w:val="3B3A3B"/>
          <w:w w:val="95"/>
          <w:sz w:val="20"/>
          <w:vertAlign w:val="baseline"/>
        </w:rPr>
        <w:t>legal</w:t>
      </w:r>
      <w:r>
        <w:rPr>
          <w:rFonts w:ascii="Arial"/>
          <w:i/>
          <w:color w:val="3B3A3B"/>
          <w:spacing w:val="-1"/>
          <w:w w:val="95"/>
          <w:sz w:val="20"/>
          <w:vertAlign w:val="baseline"/>
        </w:rPr>
        <w:t> </w:t>
      </w:r>
      <w:r>
        <w:rPr>
          <w:color w:val="3B3A3B"/>
          <w:w w:val="95"/>
          <w:vertAlign w:val="baseline"/>
        </w:rPr>
        <w:t>analysis</w:t>
      </w:r>
      <w:r>
        <w:rPr>
          <w:color w:val="3B3A3B"/>
          <w:spacing w:val="5"/>
          <w:w w:val="95"/>
          <w:vertAlign w:val="baseline"/>
        </w:rPr>
        <w:t> </w:t>
      </w:r>
      <w:r>
        <w:rPr>
          <w:color w:val="3B3A3B"/>
          <w:w w:val="95"/>
          <w:vertAlign w:val="baseline"/>
        </w:rPr>
        <w:t>to</w:t>
      </w:r>
      <w:r>
        <w:rPr>
          <w:color w:val="3B3A3B"/>
          <w:spacing w:val="-16"/>
          <w:w w:val="95"/>
          <w:vertAlign w:val="baseline"/>
        </w:rPr>
        <w:t> </w:t>
      </w:r>
      <w:r>
        <w:rPr>
          <w:color w:val="3B3A3B"/>
          <w:w w:val="95"/>
          <w:vertAlign w:val="baseline"/>
        </w:rPr>
        <w:t>prove</w:t>
      </w:r>
      <w:r>
        <w:rPr>
          <w:color w:val="3B3A3B"/>
          <w:spacing w:val="-13"/>
          <w:w w:val="95"/>
          <w:vertAlign w:val="baseline"/>
        </w:rPr>
        <w:t> </w:t>
      </w:r>
      <w:r>
        <w:rPr>
          <w:color w:val="3B3A3B"/>
          <w:w w:val="95"/>
          <w:vertAlign w:val="baseline"/>
        </w:rPr>
        <w:t>the</w:t>
      </w:r>
      <w:r>
        <w:rPr>
          <w:color w:val="3B3A3B"/>
          <w:spacing w:val="-15"/>
          <w:w w:val="95"/>
          <w:vertAlign w:val="baseline"/>
        </w:rPr>
        <w:t> </w:t>
      </w:r>
      <w:r>
        <w:rPr>
          <w:color w:val="3B3A3B"/>
          <w:w w:val="95"/>
          <w:vertAlign w:val="baseline"/>
        </w:rPr>
        <w:t>truth</w:t>
      </w:r>
      <w:r>
        <w:rPr>
          <w:color w:val="3B3A3B"/>
          <w:spacing w:val="-3"/>
          <w:w w:val="95"/>
          <w:vertAlign w:val="baseline"/>
        </w:rPr>
        <w:t> </w:t>
      </w:r>
      <w:r>
        <w:rPr>
          <w:color w:val="3B3A3B"/>
          <w:w w:val="95"/>
          <w:vertAlign w:val="baseline"/>
        </w:rPr>
        <w:t>or</w:t>
      </w:r>
      <w:r>
        <w:rPr>
          <w:color w:val="3B3A3B"/>
          <w:spacing w:val="2"/>
          <w:w w:val="95"/>
          <w:vertAlign w:val="baseline"/>
        </w:rPr>
        <w:t> </w:t>
      </w:r>
      <w:r>
        <w:rPr>
          <w:color w:val="3B3A3B"/>
          <w:w w:val="95"/>
          <w:vertAlign w:val="baseline"/>
        </w:rPr>
        <w:t>validity</w:t>
      </w:r>
      <w:r>
        <w:rPr>
          <w:color w:val="3B3A3B"/>
          <w:spacing w:val="2"/>
          <w:w w:val="95"/>
          <w:vertAlign w:val="baseline"/>
        </w:rPr>
        <w:t> </w:t>
      </w:r>
      <w:r>
        <w:rPr>
          <w:color w:val="3B3A3B"/>
          <w:w w:val="95"/>
          <w:vertAlign w:val="baseline"/>
        </w:rPr>
        <w:t>of</w:t>
      </w:r>
      <w:r>
        <w:rPr>
          <w:color w:val="3B3A3B"/>
          <w:spacing w:val="9"/>
          <w:w w:val="95"/>
          <w:vertAlign w:val="baseline"/>
        </w:rPr>
        <w:t> </w:t>
      </w:r>
      <w:r>
        <w:rPr>
          <w:color w:val="3B3A3B"/>
          <w:w w:val="95"/>
          <w:vertAlign w:val="baseline"/>
        </w:rPr>
        <w:t>a</w:t>
      </w:r>
      <w:r>
        <w:rPr>
          <w:color w:val="3B3A3B"/>
          <w:spacing w:val="20"/>
          <w:w w:val="95"/>
          <w:vertAlign w:val="baseline"/>
        </w:rPr>
        <w:t> </w:t>
      </w:r>
      <w:r>
        <w:rPr>
          <w:color w:val="3B3A3B"/>
          <w:w w:val="95"/>
          <w:vertAlign w:val="baseline"/>
        </w:rPr>
        <w:t>legal</w:t>
      </w:r>
      <w:r>
        <w:rPr>
          <w:color w:val="3B3A3B"/>
          <w:spacing w:val="2"/>
          <w:w w:val="95"/>
          <w:vertAlign w:val="baseline"/>
        </w:rPr>
        <w:t> </w:t>
      </w:r>
      <w:r>
        <w:rPr>
          <w:color w:val="3B3A3B"/>
          <w:w w:val="95"/>
          <w:vertAlign w:val="baseline"/>
        </w:rPr>
        <w:t>assertion</w:t>
      </w:r>
      <w:r>
        <w:rPr>
          <w:color w:val="5D5D60"/>
          <w:w w:val="95"/>
          <w:vertAlign w:val="baseline"/>
        </w:rPr>
        <w:t>.</w:t>
      </w:r>
    </w:p>
    <w:p>
      <w:pPr>
        <w:pStyle w:val="BodyText"/>
        <w:tabs>
          <w:tab w:pos="7197" w:val="left" w:leader="none"/>
        </w:tabs>
        <w:spacing w:line="232" w:lineRule="auto" w:before="12"/>
        <w:ind w:left="771" w:firstLine="335"/>
      </w:pPr>
      <w:r>
        <w:rPr>
          <w:rFonts w:ascii="Arial"/>
          <w:i/>
          <w:color w:val="3B3A3B"/>
          <w:w w:val="95"/>
          <w:sz w:val="21"/>
        </w:rPr>
        <w:t>CREXAC</w:t>
      </w:r>
      <w:r>
        <w:rPr>
          <w:rFonts w:ascii="Arial"/>
          <w:i/>
          <w:color w:val="3B3A3B"/>
          <w:spacing w:val="43"/>
          <w:w w:val="95"/>
          <w:sz w:val="21"/>
        </w:rPr>
        <w:t> </w:t>
      </w:r>
      <w:r>
        <w:rPr>
          <w:color w:val="3B3A3B"/>
          <w:w w:val="95"/>
        </w:rPr>
        <w:t>is</w:t>
      </w:r>
      <w:r>
        <w:rPr>
          <w:color w:val="3B3A3B"/>
          <w:spacing w:val="5"/>
          <w:w w:val="95"/>
        </w:rPr>
        <w:t> </w:t>
      </w:r>
      <w:r>
        <w:rPr>
          <w:color w:val="3B3A3B"/>
          <w:w w:val="95"/>
        </w:rPr>
        <w:t>adapted</w:t>
      </w:r>
      <w:r>
        <w:rPr>
          <w:color w:val="3B3A3B"/>
          <w:spacing w:val="37"/>
          <w:w w:val="95"/>
        </w:rPr>
        <w:t> </w:t>
      </w:r>
      <w:r>
        <w:rPr>
          <w:color w:val="3B3A3B"/>
          <w:w w:val="95"/>
        </w:rPr>
        <w:t>from</w:t>
      </w:r>
      <w:r>
        <w:rPr>
          <w:color w:val="3B3A3B"/>
          <w:spacing w:val="42"/>
          <w:w w:val="95"/>
        </w:rPr>
        <w:t> </w:t>
      </w:r>
      <w:r>
        <w:rPr>
          <w:color w:val="3B3A3B"/>
          <w:w w:val="95"/>
        </w:rPr>
        <w:t>a</w:t>
      </w:r>
      <w:r>
        <w:rPr>
          <w:color w:val="3B3A3B"/>
          <w:spacing w:val="39"/>
          <w:w w:val="95"/>
        </w:rPr>
        <w:t> </w:t>
      </w:r>
      <w:r>
        <w:rPr>
          <w:color w:val="3B3A3B"/>
          <w:w w:val="95"/>
        </w:rPr>
        <w:t>syllogistic</w:t>
      </w:r>
      <w:r>
        <w:rPr>
          <w:color w:val="3B3A3B"/>
          <w:spacing w:val="36"/>
          <w:w w:val="95"/>
        </w:rPr>
        <w:t> </w:t>
      </w:r>
      <w:r>
        <w:rPr>
          <w:color w:val="3B3A3B"/>
          <w:w w:val="95"/>
        </w:rPr>
        <w:t>formula</w:t>
      </w:r>
      <w:r>
        <w:rPr>
          <w:color w:val="3B3A3B"/>
          <w:spacing w:val="8"/>
          <w:w w:val="95"/>
        </w:rPr>
        <w:t> </w:t>
      </w:r>
      <w:r>
        <w:rPr>
          <w:color w:val="3B3A3B"/>
          <w:w w:val="95"/>
        </w:rPr>
        <w:t>that</w:t>
      </w:r>
      <w:r>
        <w:rPr>
          <w:color w:val="3B3A3B"/>
          <w:spacing w:val="43"/>
          <w:w w:val="95"/>
        </w:rPr>
        <w:t> </w:t>
      </w:r>
      <w:r>
        <w:rPr>
          <w:color w:val="3B3A3B"/>
          <w:w w:val="95"/>
        </w:rPr>
        <w:t>many</w:t>
      </w:r>
      <w:r>
        <w:rPr>
          <w:color w:val="3B3A3B"/>
          <w:spacing w:val="51"/>
          <w:w w:val="95"/>
        </w:rPr>
        <w:t> </w:t>
      </w:r>
      <w:r>
        <w:rPr>
          <w:color w:val="3B3A3B"/>
          <w:w w:val="95"/>
        </w:rPr>
        <w:t>first-year</w:t>
      </w:r>
      <w:r>
        <w:rPr>
          <w:color w:val="3B3A3B"/>
          <w:spacing w:val="-52"/>
          <w:w w:val="95"/>
        </w:rPr>
        <w:t> </w:t>
      </w:r>
      <w:r>
        <w:rPr>
          <w:color w:val="3B3A3B"/>
        </w:rPr>
        <w:t>Jaw</w:t>
      </w:r>
      <w:r>
        <w:rPr>
          <w:color w:val="3B3A3B"/>
          <w:spacing w:val="-7"/>
        </w:rPr>
        <w:t> </w:t>
      </w:r>
      <w:r>
        <w:rPr>
          <w:color w:val="3B3A3B"/>
        </w:rPr>
        <w:t>students</w:t>
      </w:r>
      <w:r>
        <w:rPr>
          <w:color w:val="3B3A3B"/>
          <w:spacing w:val="-4"/>
        </w:rPr>
        <w:t> </w:t>
      </w:r>
      <w:r>
        <w:rPr>
          <w:color w:val="3B3A3B"/>
        </w:rPr>
        <w:t>learn</w:t>
      </w:r>
      <w:r>
        <w:rPr>
          <w:color w:val="3B3A3B"/>
          <w:spacing w:val="3"/>
        </w:rPr>
        <w:t> </w:t>
      </w:r>
      <w:r>
        <w:rPr>
          <w:color w:val="3B3A3B"/>
        </w:rPr>
        <w:t>as</w:t>
      </w:r>
      <w:r>
        <w:rPr>
          <w:color w:val="3B3A3B"/>
          <w:spacing w:val="-7"/>
        </w:rPr>
        <w:t> </w:t>
      </w:r>
      <w:r>
        <w:rPr>
          <w:color w:val="3B3A3B"/>
        </w:rPr>
        <w:t>a</w:t>
      </w:r>
      <w:r>
        <w:rPr>
          <w:color w:val="3B3A3B"/>
          <w:spacing w:val="14"/>
        </w:rPr>
        <w:t> </w:t>
      </w:r>
      <w:r>
        <w:rPr>
          <w:color w:val="3B3A3B"/>
        </w:rPr>
        <w:t>method</w:t>
      </w:r>
      <w:r>
        <w:rPr>
          <w:color w:val="3B3A3B"/>
          <w:spacing w:val="11"/>
        </w:rPr>
        <w:t> </w:t>
      </w:r>
      <w:r>
        <w:rPr>
          <w:color w:val="3B3A3B"/>
        </w:rPr>
        <w:t>of</w:t>
      </w:r>
      <w:r>
        <w:rPr>
          <w:color w:val="3B3A3B"/>
          <w:spacing w:val="12"/>
        </w:rPr>
        <w:t> </w:t>
      </w:r>
      <w:r>
        <w:rPr>
          <w:color w:val="3B3A3B"/>
        </w:rPr>
        <w:t>organizing</w:t>
      </w:r>
      <w:r>
        <w:rPr>
          <w:color w:val="3B3A3B"/>
          <w:spacing w:val="17"/>
        </w:rPr>
        <w:t> </w:t>
      </w:r>
      <w:r>
        <w:rPr>
          <w:color w:val="3B3A3B"/>
        </w:rPr>
        <w:t>legal</w:t>
      </w:r>
      <w:r>
        <w:rPr>
          <w:color w:val="3B3A3B"/>
          <w:spacing w:val="15"/>
        </w:rPr>
        <w:t> </w:t>
      </w:r>
      <w:r>
        <w:rPr>
          <w:color w:val="3B3A3B"/>
        </w:rPr>
        <w:t>analysis.</w:t>
      </w:r>
      <w:r>
        <w:rPr>
          <w:color w:val="3B3A3B"/>
          <w:spacing w:val="22"/>
        </w:rPr>
        <w:t> </w:t>
      </w:r>
      <w:r>
        <w:rPr>
          <w:color w:val="3B3A3B"/>
        </w:rPr>
        <w:t>The</w:t>
      </w:r>
      <w:r>
        <w:rPr>
          <w:color w:val="3B3A3B"/>
          <w:spacing w:val="43"/>
        </w:rPr>
        <w:t> </w:t>
      </w:r>
      <w:r>
        <w:rPr>
          <w:color w:val="3B3A3B"/>
        </w:rPr>
        <w:t>acro</w:t>
      </w:r>
      <w:r>
        <w:rPr>
          <w:color w:val="3B3A3B"/>
          <w:spacing w:val="1"/>
        </w:rPr>
        <w:t> </w:t>
      </w:r>
      <w:r>
        <w:rPr>
          <w:color w:val="3B3A3B"/>
          <w:w w:val="95"/>
        </w:rPr>
        <w:t>nym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for</w:t>
      </w:r>
      <w:r>
        <w:rPr>
          <w:color w:val="3B3A3B"/>
          <w:spacing w:val="9"/>
          <w:w w:val="95"/>
        </w:rPr>
        <w:t> </w:t>
      </w:r>
      <w:r>
        <w:rPr>
          <w:color w:val="3B3A3B"/>
          <w:w w:val="95"/>
        </w:rPr>
        <w:t>that</w:t>
      </w:r>
      <w:r>
        <w:rPr>
          <w:color w:val="3B3A3B"/>
          <w:spacing w:val="14"/>
          <w:w w:val="95"/>
        </w:rPr>
        <w:t> </w:t>
      </w:r>
      <w:r>
        <w:rPr>
          <w:color w:val="3B3A3B"/>
          <w:w w:val="95"/>
        </w:rPr>
        <w:t>formula</w:t>
      </w:r>
      <w:r>
        <w:rPr>
          <w:color w:val="3B3A3B"/>
          <w:spacing w:val="23"/>
          <w:w w:val="95"/>
        </w:rPr>
        <w:t> </w:t>
      </w:r>
      <w:r>
        <w:rPr>
          <w:color w:val="3B3A3B"/>
          <w:w w:val="95"/>
        </w:rPr>
        <w:t>is</w:t>
      </w:r>
      <w:r>
        <w:rPr>
          <w:color w:val="3B3A3B"/>
          <w:spacing w:val="-8"/>
          <w:w w:val="95"/>
        </w:rPr>
        <w:t> </w:t>
      </w:r>
      <w:r>
        <w:rPr>
          <w:color w:val="4D4D4F"/>
          <w:w w:val="95"/>
        </w:rPr>
        <w:t>"IRAC," </w:t>
      </w:r>
      <w:r>
        <w:rPr>
          <w:color w:val="3B3A3B"/>
          <w:w w:val="95"/>
        </w:rPr>
        <w:t>and</w:t>
      </w:r>
      <w:r>
        <w:rPr>
          <w:color w:val="3B3A3B"/>
          <w:spacing w:val="14"/>
          <w:w w:val="95"/>
        </w:rPr>
        <w:t> </w:t>
      </w:r>
      <w:r>
        <w:rPr>
          <w:color w:val="3B3A3B"/>
          <w:w w:val="95"/>
          <w:sz w:val="21"/>
        </w:rPr>
        <w:t>it</w:t>
      </w:r>
      <w:r>
        <w:rPr>
          <w:color w:val="3B3A3B"/>
          <w:spacing w:val="44"/>
          <w:w w:val="95"/>
          <w:sz w:val="21"/>
        </w:rPr>
        <w:t> </w:t>
      </w:r>
      <w:r>
        <w:rPr>
          <w:color w:val="3B3A3B"/>
          <w:w w:val="95"/>
        </w:rPr>
        <w:t>stands</w:t>
      </w:r>
      <w:r>
        <w:rPr>
          <w:color w:val="3B3A3B"/>
          <w:spacing w:val="5"/>
          <w:w w:val="95"/>
        </w:rPr>
        <w:t> </w:t>
      </w:r>
      <w:r>
        <w:rPr>
          <w:color w:val="3B3A3B"/>
          <w:w w:val="95"/>
        </w:rPr>
        <w:t>for</w:t>
      </w:r>
      <w:r>
        <w:rPr>
          <w:color w:val="3B3A3B"/>
          <w:spacing w:val="14"/>
          <w:w w:val="95"/>
        </w:rPr>
        <w:t> </w:t>
      </w:r>
      <w:r>
        <w:rPr>
          <w:color w:val="3B3A3B"/>
          <w:w w:val="95"/>
        </w:rPr>
        <w:t>Issue-Rule-Application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Conclusion. !RAC and similar formulas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can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be helpful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because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they can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serve as heuristics that guide writers to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answer vital questions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about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their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arguments.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Your outline has identified</w:t>
      </w:r>
      <w:r>
        <w:rPr>
          <w:color w:val="3B3A3B"/>
          <w:spacing w:val="1"/>
          <w:w w:val="95"/>
        </w:rPr>
        <w:t> </w:t>
      </w:r>
      <w:r>
        <w:rPr>
          <w:color w:val="4D4D4F"/>
          <w:w w:val="95"/>
        </w:rPr>
        <w:t>the </w:t>
      </w:r>
      <w:r>
        <w:rPr>
          <w:color w:val="3B3A3B"/>
          <w:w w:val="95"/>
        </w:rPr>
        <w:t>issues that you think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the coun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5"/>
        </w:rPr>
        <w:t>needs to address. For each of those issues, you must answer four questions</w:t>
      </w:r>
      <w:r>
        <w:rPr>
          <w:color w:val="3B3A3B"/>
          <w:spacing w:val="1"/>
          <w:w w:val="95"/>
        </w:rPr>
        <w:t> </w:t>
      </w:r>
      <w:r>
        <w:rPr>
          <w:color w:val="3B3A3B"/>
          <w:w w:val="90"/>
        </w:rPr>
        <w:t>questions</w:t>
      </w:r>
      <w:r>
        <w:rPr>
          <w:color w:val="3B3A3B"/>
          <w:spacing w:val="1"/>
          <w:w w:val="90"/>
        </w:rPr>
        <w:t> </w:t>
      </w:r>
      <w:r>
        <w:rPr>
          <w:color w:val="3B3A3B"/>
          <w:w w:val="90"/>
        </w:rPr>
        <w:t>that</w:t>
      </w:r>
      <w:r>
        <w:rPr>
          <w:color w:val="3B3A3B"/>
          <w:spacing w:val="4"/>
          <w:w w:val="90"/>
        </w:rPr>
        <w:t> </w:t>
      </w:r>
      <w:r>
        <w:rPr>
          <w:color w:val="3B3A3B"/>
          <w:w w:val="90"/>
        </w:rPr>
        <w:t>IRAC</w:t>
      </w:r>
      <w:r>
        <w:rPr>
          <w:color w:val="3B3A3B"/>
          <w:spacing w:val="-13"/>
          <w:w w:val="90"/>
        </w:rPr>
        <w:t> </w:t>
      </w:r>
      <w:r>
        <w:rPr>
          <w:color w:val="3B3A3B"/>
          <w:w w:val="90"/>
        </w:rPr>
        <w:t>alone</w:t>
      </w:r>
      <w:r>
        <w:rPr>
          <w:color w:val="3B3A3B"/>
          <w:spacing w:val="8"/>
          <w:w w:val="90"/>
        </w:rPr>
        <w:t> </w:t>
      </w:r>
      <w:r>
        <w:rPr>
          <w:color w:val="3B3A3B"/>
          <w:w w:val="90"/>
        </w:rPr>
        <w:t>won't</w:t>
      </w:r>
      <w:r>
        <w:rPr>
          <w:color w:val="3B3A3B"/>
          <w:spacing w:val="-7"/>
          <w:w w:val="90"/>
        </w:rPr>
        <w:t> </w:t>
      </w:r>
      <w:r>
        <w:rPr>
          <w:color w:val="3B3A3B"/>
          <w:w w:val="90"/>
        </w:rPr>
        <w:t>answer:</w:t>
        <w:tab/>
      </w:r>
      <w:r>
        <w:rPr>
          <w:color w:val="3B3A3B"/>
        </w:rPr>
        <w:t>'</w:t>
      </w:r>
    </w:p>
    <w:p>
      <w:pPr>
        <w:pStyle w:val="ListParagraph"/>
        <w:numPr>
          <w:ilvl w:val="0"/>
          <w:numId w:val="43"/>
        </w:numPr>
        <w:tabs>
          <w:tab w:pos="1268" w:val="left" w:leader="none"/>
        </w:tabs>
        <w:spacing w:line="262" w:lineRule="exact" w:before="117" w:after="0"/>
        <w:ind w:left="1267" w:right="0" w:hanging="215"/>
        <w:jc w:val="left"/>
        <w:rPr>
          <w:color w:val="3B3A3B"/>
          <w:sz w:val="21"/>
        </w:rPr>
      </w:pPr>
      <w:r>
        <w:rPr>
          <w:color w:val="3B3A3B"/>
          <w:w w:val="90"/>
          <w:sz w:val="23"/>
        </w:rPr>
        <w:t>What</w:t>
      </w:r>
      <w:r>
        <w:rPr>
          <w:color w:val="3B3A3B"/>
          <w:spacing w:val="14"/>
          <w:w w:val="90"/>
          <w:sz w:val="23"/>
        </w:rPr>
        <w:t> </w:t>
      </w:r>
      <w:r>
        <w:rPr>
          <w:color w:val="3B3A3B"/>
          <w:w w:val="90"/>
          <w:sz w:val="23"/>
        </w:rPr>
        <w:t>rule</w:t>
      </w:r>
      <w:r>
        <w:rPr>
          <w:color w:val="3B3A3B"/>
          <w:spacing w:val="-16"/>
          <w:w w:val="90"/>
          <w:sz w:val="23"/>
        </w:rPr>
        <w:t> </w:t>
      </w:r>
      <w:r>
        <w:rPr>
          <w:color w:val="3B3A3B"/>
          <w:w w:val="90"/>
          <w:sz w:val="23"/>
        </w:rPr>
        <w:t>governs</w:t>
      </w:r>
      <w:r>
        <w:rPr>
          <w:color w:val="3B3A3B"/>
          <w:spacing w:val="9"/>
          <w:w w:val="90"/>
          <w:sz w:val="23"/>
        </w:rPr>
        <w:t> </w:t>
      </w:r>
      <w:r>
        <w:rPr>
          <w:color w:val="3B3A3B"/>
          <w:w w:val="90"/>
          <w:sz w:val="23"/>
        </w:rPr>
        <w:t>this</w:t>
      </w:r>
      <w:r>
        <w:rPr>
          <w:color w:val="3B3A3B"/>
          <w:spacing w:val="-19"/>
          <w:w w:val="90"/>
          <w:sz w:val="23"/>
        </w:rPr>
        <w:t> </w:t>
      </w:r>
      <w:r>
        <w:rPr>
          <w:color w:val="3B3A3B"/>
          <w:w w:val="90"/>
          <w:sz w:val="23"/>
        </w:rPr>
        <w:t>issue?</w:t>
      </w:r>
    </w:p>
    <w:p>
      <w:pPr>
        <w:pStyle w:val="ListParagraph"/>
        <w:numPr>
          <w:ilvl w:val="0"/>
          <w:numId w:val="43"/>
        </w:numPr>
        <w:tabs>
          <w:tab w:pos="1268" w:val="left" w:leader="none"/>
        </w:tabs>
        <w:spacing w:line="255" w:lineRule="exact" w:before="0" w:after="0"/>
        <w:ind w:left="1267" w:right="0" w:hanging="224"/>
        <w:jc w:val="left"/>
        <w:rPr>
          <w:color w:val="3B3A3B"/>
          <w:sz w:val="23"/>
        </w:rPr>
      </w:pPr>
      <w:r>
        <w:rPr>
          <w:color w:val="3B3A3B"/>
          <w:w w:val="90"/>
          <w:sz w:val="23"/>
        </w:rPr>
        <w:t>What</w:t>
      </w:r>
      <w:r>
        <w:rPr>
          <w:color w:val="3B3A3B"/>
          <w:spacing w:val="2"/>
          <w:w w:val="90"/>
          <w:sz w:val="23"/>
        </w:rPr>
        <w:t> </w:t>
      </w:r>
      <w:r>
        <w:rPr>
          <w:color w:val="3B3A3B"/>
          <w:w w:val="90"/>
          <w:sz w:val="23"/>
        </w:rPr>
        <w:t>does</w:t>
      </w:r>
      <w:r>
        <w:rPr>
          <w:color w:val="3B3A3B"/>
          <w:spacing w:val="11"/>
          <w:w w:val="90"/>
          <w:sz w:val="23"/>
        </w:rPr>
        <w:t> </w:t>
      </w:r>
      <w:r>
        <w:rPr>
          <w:color w:val="3B3A3B"/>
          <w:w w:val="90"/>
          <w:sz w:val="23"/>
        </w:rPr>
        <w:t>this</w:t>
      </w:r>
      <w:r>
        <w:rPr>
          <w:color w:val="3B3A3B"/>
          <w:spacing w:val="-9"/>
          <w:w w:val="90"/>
          <w:sz w:val="23"/>
        </w:rPr>
        <w:t> </w:t>
      </w:r>
      <w:r>
        <w:rPr>
          <w:color w:val="3B3A3B"/>
          <w:w w:val="90"/>
          <w:sz w:val="23"/>
        </w:rPr>
        <w:t>rule</w:t>
      </w:r>
      <w:r>
        <w:rPr>
          <w:color w:val="3B3A3B"/>
          <w:spacing w:val="-3"/>
          <w:w w:val="90"/>
          <w:sz w:val="23"/>
        </w:rPr>
        <w:t> </w:t>
      </w:r>
      <w:r>
        <w:rPr>
          <w:color w:val="3B3A3B"/>
          <w:w w:val="90"/>
          <w:sz w:val="23"/>
        </w:rPr>
        <w:t>mean?</w:t>
      </w:r>
    </w:p>
    <w:p>
      <w:pPr>
        <w:pStyle w:val="ListParagraph"/>
        <w:numPr>
          <w:ilvl w:val="0"/>
          <w:numId w:val="43"/>
        </w:numPr>
        <w:tabs>
          <w:tab w:pos="1258" w:val="left" w:leader="none"/>
        </w:tabs>
        <w:spacing w:line="257" w:lineRule="exact" w:before="0" w:after="0"/>
        <w:ind w:left="1257" w:right="0" w:hanging="228"/>
        <w:jc w:val="left"/>
        <w:rPr>
          <w:color w:val="3B3A3B"/>
          <w:sz w:val="23"/>
        </w:rPr>
      </w:pPr>
      <w:r>
        <w:rPr>
          <w:color w:val="3B3A3B"/>
          <w:w w:val="95"/>
          <w:sz w:val="23"/>
        </w:rPr>
        <w:t>How</w:t>
      </w:r>
      <w:r>
        <w:rPr>
          <w:color w:val="3B3A3B"/>
          <w:spacing w:val="-10"/>
          <w:w w:val="95"/>
          <w:sz w:val="23"/>
        </w:rPr>
        <w:t> </w:t>
      </w:r>
      <w:r>
        <w:rPr>
          <w:color w:val="3B3A3B"/>
          <w:w w:val="95"/>
          <w:sz w:val="23"/>
        </w:rPr>
        <w:t>should</w:t>
      </w:r>
      <w:r>
        <w:rPr>
          <w:color w:val="3B3A3B"/>
          <w:spacing w:val="10"/>
          <w:w w:val="95"/>
          <w:sz w:val="23"/>
        </w:rPr>
        <w:t> </w:t>
      </w:r>
      <w:r>
        <w:rPr>
          <w:color w:val="3B3A3B"/>
          <w:w w:val="95"/>
          <w:sz w:val="23"/>
        </w:rPr>
        <w:t>this</w:t>
      </w:r>
      <w:r>
        <w:rPr>
          <w:color w:val="3B3A3B"/>
          <w:spacing w:val="-11"/>
          <w:w w:val="95"/>
          <w:sz w:val="23"/>
        </w:rPr>
        <w:t> </w:t>
      </w:r>
      <w:r>
        <w:rPr>
          <w:color w:val="3B3A3B"/>
          <w:w w:val="95"/>
          <w:sz w:val="23"/>
        </w:rPr>
        <w:t>rule</w:t>
      </w:r>
      <w:r>
        <w:rPr>
          <w:color w:val="3B3A3B"/>
          <w:spacing w:val="10"/>
          <w:w w:val="95"/>
          <w:sz w:val="23"/>
        </w:rPr>
        <w:t> </w:t>
      </w:r>
      <w:r>
        <w:rPr>
          <w:color w:val="3B3A3B"/>
          <w:w w:val="95"/>
          <w:sz w:val="23"/>
        </w:rPr>
        <w:t>be</w:t>
      </w:r>
      <w:r>
        <w:rPr>
          <w:color w:val="3B3A3B"/>
          <w:spacing w:val="-16"/>
          <w:w w:val="95"/>
          <w:sz w:val="23"/>
        </w:rPr>
        <w:t> </w:t>
      </w:r>
      <w:r>
        <w:rPr>
          <w:color w:val="3B3A3B"/>
          <w:w w:val="95"/>
          <w:sz w:val="23"/>
        </w:rPr>
        <w:t>applied</w:t>
      </w:r>
      <w:r>
        <w:rPr>
          <w:color w:val="3B3A3B"/>
          <w:spacing w:val="11"/>
          <w:w w:val="95"/>
          <w:sz w:val="23"/>
        </w:rPr>
        <w:t> </w:t>
      </w:r>
      <w:r>
        <w:rPr>
          <w:color w:val="3B3A3B"/>
          <w:w w:val="95"/>
          <w:sz w:val="23"/>
        </w:rPr>
        <w:t>(or</w:t>
      </w:r>
      <w:r>
        <w:rPr>
          <w:color w:val="3B3A3B"/>
          <w:spacing w:val="4"/>
          <w:w w:val="95"/>
          <w:sz w:val="23"/>
        </w:rPr>
        <w:t> </w:t>
      </w:r>
      <w:r>
        <w:rPr>
          <w:color w:val="3B3A3B"/>
          <w:w w:val="95"/>
          <w:sz w:val="23"/>
        </w:rPr>
        <w:t>not</w:t>
      </w:r>
      <w:r>
        <w:rPr>
          <w:color w:val="3B3A3B"/>
          <w:spacing w:val="6"/>
          <w:w w:val="95"/>
          <w:sz w:val="23"/>
        </w:rPr>
        <w:t> </w:t>
      </w:r>
      <w:r>
        <w:rPr>
          <w:color w:val="3B3A3B"/>
          <w:w w:val="95"/>
          <w:sz w:val="23"/>
        </w:rPr>
        <w:t>applied)</w:t>
      </w:r>
      <w:r>
        <w:rPr>
          <w:color w:val="3B3A3B"/>
          <w:spacing w:val="23"/>
          <w:w w:val="95"/>
          <w:sz w:val="23"/>
        </w:rPr>
        <w:t> </w:t>
      </w:r>
      <w:r>
        <w:rPr>
          <w:color w:val="3B3A3B"/>
          <w:w w:val="95"/>
          <w:sz w:val="23"/>
        </w:rPr>
        <w:t>in</w:t>
      </w:r>
      <w:r>
        <w:rPr>
          <w:color w:val="3B3A3B"/>
          <w:spacing w:val="86"/>
          <w:sz w:val="23"/>
        </w:rPr>
        <w:t> </w:t>
      </w:r>
      <w:r>
        <w:rPr>
          <w:color w:val="3B3A3B"/>
          <w:w w:val="95"/>
          <w:sz w:val="23"/>
        </w:rPr>
        <w:t>this</w:t>
      </w:r>
      <w:r>
        <w:rPr>
          <w:color w:val="3B3A3B"/>
          <w:spacing w:val="21"/>
          <w:w w:val="95"/>
          <w:sz w:val="23"/>
        </w:rPr>
        <w:t> </w:t>
      </w:r>
      <w:r>
        <w:rPr>
          <w:color w:val="3B3A3B"/>
          <w:w w:val="95"/>
          <w:sz w:val="23"/>
        </w:rPr>
        <w:t>case?</w:t>
      </w:r>
    </w:p>
    <w:p>
      <w:pPr>
        <w:pStyle w:val="ListParagraph"/>
        <w:numPr>
          <w:ilvl w:val="0"/>
          <w:numId w:val="43"/>
        </w:numPr>
        <w:tabs>
          <w:tab w:pos="1249" w:val="left" w:leader="none"/>
        </w:tabs>
        <w:spacing w:line="228" w:lineRule="auto" w:before="16" w:after="0"/>
        <w:ind w:left="1239" w:right="50" w:hanging="204"/>
        <w:jc w:val="left"/>
        <w:rPr>
          <w:color w:val="3B3A3B"/>
          <w:sz w:val="23"/>
        </w:rPr>
      </w:pPr>
      <w:r>
        <w:rPr>
          <w:color w:val="3B3A3B"/>
          <w:sz w:val="23"/>
        </w:rPr>
        <w:t>What</w:t>
      </w:r>
      <w:r>
        <w:rPr>
          <w:color w:val="3B3A3B"/>
          <w:spacing w:val="2"/>
          <w:sz w:val="23"/>
        </w:rPr>
        <w:t> </w:t>
      </w:r>
      <w:r>
        <w:rPr>
          <w:color w:val="3B3A3B"/>
          <w:sz w:val="23"/>
        </w:rPr>
        <w:t>impact does</w:t>
      </w:r>
      <w:r>
        <w:rPr>
          <w:color w:val="3B3A3B"/>
          <w:spacing w:val="8"/>
          <w:sz w:val="23"/>
        </w:rPr>
        <w:t> </w:t>
      </w:r>
      <w:r>
        <w:rPr>
          <w:color w:val="3B3A3B"/>
          <w:sz w:val="23"/>
        </w:rPr>
        <w:t>that</w:t>
      </w:r>
      <w:r>
        <w:rPr>
          <w:color w:val="3B3A3B"/>
          <w:spacing w:val="6"/>
          <w:sz w:val="23"/>
        </w:rPr>
        <w:t> </w:t>
      </w:r>
      <w:r>
        <w:rPr>
          <w:color w:val="3B3A3B"/>
          <w:sz w:val="23"/>
        </w:rPr>
        <w:t>appllcation</w:t>
      </w:r>
      <w:r>
        <w:rPr>
          <w:color w:val="3B3A3B"/>
          <w:spacing w:val="3"/>
          <w:sz w:val="23"/>
        </w:rPr>
        <w:t> </w:t>
      </w:r>
      <w:r>
        <w:rPr>
          <w:color w:val="3B3A3B"/>
          <w:sz w:val="23"/>
        </w:rPr>
        <w:t>hav</w:t>
      </w:r>
      <w:r>
        <w:rPr>
          <w:color w:val="3B3A3B"/>
          <w:spacing w:val="19"/>
          <w:sz w:val="23"/>
        </w:rPr>
        <w:t> </w:t>
      </w:r>
      <w:r>
        <w:rPr>
          <w:color w:val="3B3A3B"/>
          <w:sz w:val="23"/>
        </w:rPr>
        <w:t>on</w:t>
      </w:r>
      <w:r>
        <w:rPr>
          <w:color w:val="3B3A3B"/>
          <w:spacing w:val="-22"/>
          <w:sz w:val="23"/>
        </w:rPr>
        <w:t> </w:t>
      </w:r>
      <w:r>
        <w:rPr>
          <w:color w:val="3B3A3B"/>
          <w:sz w:val="23"/>
        </w:rPr>
        <w:t>the</w:t>
      </w:r>
      <w:r>
        <w:rPr>
          <w:color w:val="3B3A3B"/>
          <w:spacing w:val="-22"/>
          <w:sz w:val="23"/>
        </w:rPr>
        <w:t> </w:t>
      </w:r>
      <w:r>
        <w:rPr>
          <w:color w:val="3B3A3B"/>
          <w:sz w:val="23"/>
        </w:rPr>
        <w:t>court's</w:t>
      </w:r>
      <w:r>
        <w:rPr>
          <w:color w:val="3B3A3B"/>
          <w:spacing w:val="30"/>
          <w:sz w:val="23"/>
        </w:rPr>
        <w:t> </w:t>
      </w:r>
      <w:r>
        <w:rPr>
          <w:color w:val="3B3A3B"/>
          <w:sz w:val="23"/>
        </w:rPr>
        <w:t>decision</w:t>
      </w:r>
      <w:r>
        <w:rPr>
          <w:color w:val="3B3A3B"/>
          <w:spacing w:val="34"/>
          <w:sz w:val="23"/>
        </w:rPr>
        <w:t> </w:t>
      </w:r>
      <w:r>
        <w:rPr>
          <w:color w:val="3B3A3B"/>
          <w:sz w:val="23"/>
        </w:rPr>
        <w:t>in</w:t>
      </w:r>
      <w:r>
        <w:rPr>
          <w:color w:val="3B3A3B"/>
          <w:spacing w:val="-55"/>
          <w:sz w:val="23"/>
        </w:rPr>
        <w:t> </w:t>
      </w:r>
      <w:r>
        <w:rPr>
          <w:color w:val="3B3A3B"/>
          <w:w w:val="105"/>
          <w:sz w:val="23"/>
        </w:rPr>
        <w:t>this</w:t>
      </w:r>
      <w:r>
        <w:rPr>
          <w:color w:val="3B3A3B"/>
          <w:spacing w:val="-34"/>
          <w:w w:val="105"/>
          <w:sz w:val="23"/>
        </w:rPr>
        <w:t> </w:t>
      </w:r>
      <w:r>
        <w:rPr>
          <w:color w:val="3B3A3B"/>
          <w:w w:val="105"/>
          <w:sz w:val="23"/>
        </w:rPr>
        <w:t>case?</w:t>
      </w:r>
    </w:p>
    <w:p>
      <w:pPr>
        <w:pStyle w:val="BodyText"/>
        <w:spacing w:line="244" w:lineRule="auto" w:before="113"/>
        <w:ind w:left="690" w:right="68" w:firstLine="27"/>
      </w:pPr>
      <w:r>
        <w:rPr>
          <w:color w:val="3B3A3B"/>
          <w:w w:val="95"/>
        </w:rPr>
        <w:t>We can illustrate how we need to adapt </w:t>
      </w:r>
      <w:r>
        <w:rPr>
          <w:color w:val="3B3A3B"/>
          <w:w w:val="95"/>
          <w:sz w:val="22"/>
        </w:rPr>
        <w:t>IRAC </w:t>
      </w:r>
      <w:r>
        <w:rPr>
          <w:color w:val="3B3A3B"/>
          <w:w w:val="95"/>
        </w:rPr>
        <w:t>by beginning with a familiar</w:t>
      </w:r>
      <w:r>
        <w:rPr>
          <w:color w:val="3B3A3B"/>
          <w:spacing w:val="-52"/>
          <w:w w:val="95"/>
        </w:rPr>
        <w:t> </w:t>
      </w:r>
      <w:r>
        <w:rPr>
          <w:color w:val="3B3A3B"/>
        </w:rPr>
        <w:t>syllogism:</w:t>
      </w:r>
    </w:p>
    <w:p>
      <w:pPr>
        <w:pStyle w:val="BodyText"/>
        <w:spacing w:before="9"/>
        <w:rPr>
          <w:sz w:val="13"/>
        </w:rPr>
      </w:pPr>
    </w:p>
    <w:p>
      <w:pPr>
        <w:tabs>
          <w:tab w:pos="2103" w:val="left" w:leader="none"/>
        </w:tabs>
        <w:spacing w:before="91"/>
        <w:ind w:left="970" w:right="0" w:firstLine="0"/>
        <w:jc w:val="left"/>
        <w:rPr>
          <w:sz w:val="23"/>
        </w:rPr>
      </w:pPr>
      <w:r>
        <w:rPr>
          <w:rFonts w:ascii="Arial"/>
          <w:i/>
          <w:color w:val="3B3A3B"/>
          <w:w w:val="95"/>
          <w:sz w:val="20"/>
        </w:rPr>
        <w:t>Issue:</w:t>
        <w:tab/>
      </w:r>
      <w:r>
        <w:rPr>
          <w:color w:val="3B3A3B"/>
          <w:w w:val="90"/>
          <w:sz w:val="23"/>
        </w:rPr>
        <w:t>lsSocrates</w:t>
      </w:r>
      <w:r>
        <w:rPr>
          <w:color w:val="3B3A3B"/>
          <w:spacing w:val="12"/>
          <w:w w:val="90"/>
          <w:sz w:val="23"/>
        </w:rPr>
        <w:t> </w:t>
      </w:r>
      <w:r>
        <w:rPr>
          <w:color w:val="3B3A3B"/>
          <w:w w:val="90"/>
          <w:sz w:val="23"/>
        </w:rPr>
        <w:t>mortal?</w:t>
      </w:r>
    </w:p>
    <w:p>
      <w:pPr>
        <w:tabs>
          <w:tab w:pos="2095" w:val="left" w:leader="none"/>
        </w:tabs>
        <w:spacing w:before="5"/>
        <w:ind w:left="962" w:right="0" w:firstLine="0"/>
        <w:jc w:val="left"/>
        <w:rPr>
          <w:sz w:val="23"/>
        </w:rPr>
      </w:pPr>
      <w:r>
        <w:rPr>
          <w:rFonts w:ascii="Arial"/>
          <w:i/>
          <w:color w:val="3B3A3B"/>
          <w:sz w:val="20"/>
        </w:rPr>
        <w:t>Rule:</w:t>
        <w:tab/>
      </w:r>
      <w:r>
        <w:rPr>
          <w:rFonts w:ascii="Arial"/>
          <w:i/>
          <w:color w:val="3B3A3B"/>
          <w:w w:val="95"/>
          <w:sz w:val="20"/>
        </w:rPr>
        <w:t>All</w:t>
      </w:r>
      <w:r>
        <w:rPr>
          <w:rFonts w:ascii="Arial"/>
          <w:i/>
          <w:color w:val="3B3A3B"/>
          <w:spacing w:val="7"/>
          <w:w w:val="95"/>
          <w:sz w:val="20"/>
        </w:rPr>
        <w:t> </w:t>
      </w:r>
      <w:r>
        <w:rPr>
          <w:color w:val="3B3A3B"/>
          <w:w w:val="95"/>
          <w:sz w:val="23"/>
        </w:rPr>
        <w:t>human</w:t>
      </w:r>
      <w:r>
        <w:rPr>
          <w:color w:val="3B3A3B"/>
          <w:spacing w:val="13"/>
          <w:w w:val="95"/>
          <w:sz w:val="23"/>
        </w:rPr>
        <w:t> </w:t>
      </w:r>
      <w:r>
        <w:rPr>
          <w:color w:val="3B3A3B"/>
          <w:w w:val="95"/>
          <w:sz w:val="23"/>
        </w:rPr>
        <w:t>beings</w:t>
      </w:r>
      <w:r>
        <w:rPr>
          <w:color w:val="3B3A3B"/>
          <w:spacing w:val="-1"/>
          <w:w w:val="95"/>
          <w:sz w:val="23"/>
        </w:rPr>
        <w:t> </w:t>
      </w:r>
      <w:r>
        <w:rPr>
          <w:color w:val="3B3A3B"/>
          <w:w w:val="95"/>
          <w:sz w:val="23"/>
        </w:rPr>
        <w:t>are</w:t>
      </w:r>
      <w:r>
        <w:rPr>
          <w:color w:val="3B3A3B"/>
          <w:spacing w:val="-2"/>
          <w:w w:val="95"/>
          <w:sz w:val="23"/>
        </w:rPr>
        <w:t> </w:t>
      </w:r>
      <w:r>
        <w:rPr>
          <w:color w:val="3B3A3B"/>
          <w:w w:val="95"/>
          <w:sz w:val="23"/>
        </w:rPr>
        <w:t>mortal.</w:t>
      </w:r>
    </w:p>
    <w:p>
      <w:pPr>
        <w:spacing w:before="6"/>
        <w:ind w:left="966" w:right="0" w:firstLine="0"/>
        <w:jc w:val="left"/>
        <w:rPr>
          <w:sz w:val="23"/>
        </w:rPr>
      </w:pPr>
      <w:r>
        <w:rPr>
          <w:rFonts w:ascii="Arial"/>
          <w:i/>
          <w:color w:val="3B3A3B"/>
          <w:w w:val="90"/>
          <w:sz w:val="20"/>
        </w:rPr>
        <w:t>Application:</w:t>
      </w:r>
      <w:r>
        <w:rPr>
          <w:rFonts w:ascii="Arial"/>
          <w:i/>
          <w:color w:val="3B3A3B"/>
          <w:spacing w:val="49"/>
          <w:sz w:val="20"/>
        </w:rPr>
        <w:t> </w:t>
      </w:r>
      <w:r>
        <w:rPr>
          <w:rFonts w:ascii="Arial"/>
          <w:i/>
          <w:color w:val="3B3A3B"/>
          <w:spacing w:val="49"/>
          <w:sz w:val="20"/>
        </w:rPr>
        <w:t> </w:t>
      </w:r>
      <w:r>
        <w:rPr>
          <w:color w:val="3B3A3B"/>
          <w:w w:val="90"/>
          <w:sz w:val="23"/>
        </w:rPr>
        <w:t>Socrates</w:t>
      </w:r>
      <w:r>
        <w:rPr>
          <w:color w:val="3B3A3B"/>
          <w:spacing w:val="-10"/>
          <w:w w:val="90"/>
          <w:sz w:val="23"/>
        </w:rPr>
        <w:t> </w:t>
      </w:r>
      <w:r>
        <w:rPr>
          <w:color w:val="3B3A3B"/>
          <w:w w:val="90"/>
          <w:sz w:val="23"/>
        </w:rPr>
        <w:t>is</w:t>
      </w:r>
      <w:r>
        <w:rPr>
          <w:color w:val="3B3A3B"/>
          <w:spacing w:val="-25"/>
          <w:w w:val="90"/>
          <w:sz w:val="23"/>
        </w:rPr>
        <w:t> </w:t>
      </w:r>
      <w:r>
        <w:rPr>
          <w:color w:val="3B3A3B"/>
          <w:w w:val="90"/>
          <w:sz w:val="23"/>
        </w:rPr>
        <w:t>a</w:t>
      </w:r>
      <w:r>
        <w:rPr>
          <w:color w:val="3B3A3B"/>
          <w:spacing w:val="7"/>
          <w:w w:val="90"/>
          <w:sz w:val="23"/>
        </w:rPr>
        <w:t> </w:t>
      </w:r>
      <w:r>
        <w:rPr>
          <w:color w:val="3B3A3B"/>
          <w:w w:val="90"/>
          <w:sz w:val="23"/>
        </w:rPr>
        <w:t>man.</w:t>
      </w:r>
    </w:p>
    <w:p>
      <w:pPr>
        <w:tabs>
          <w:tab w:pos="2057" w:val="left" w:leader="none"/>
        </w:tabs>
        <w:spacing w:before="5"/>
        <w:ind w:left="944" w:right="0" w:firstLine="0"/>
        <w:jc w:val="left"/>
        <w:rPr>
          <w:sz w:val="23"/>
        </w:rPr>
      </w:pPr>
      <w:r>
        <w:rPr>
          <w:rFonts w:ascii="Arial"/>
          <w:i/>
          <w:color w:val="3B3A3B"/>
          <w:w w:val="90"/>
          <w:sz w:val="20"/>
        </w:rPr>
        <w:t>Conclusion:</w:t>
        <w:tab/>
      </w:r>
      <w:r>
        <w:rPr>
          <w:color w:val="3B3A3B"/>
          <w:w w:val="90"/>
          <w:sz w:val="23"/>
        </w:rPr>
        <w:t>Socrates</w:t>
      </w:r>
      <w:r>
        <w:rPr>
          <w:color w:val="3B3A3B"/>
          <w:spacing w:val="9"/>
          <w:w w:val="90"/>
          <w:sz w:val="23"/>
        </w:rPr>
        <w:t> </w:t>
      </w:r>
      <w:r>
        <w:rPr>
          <w:color w:val="3B3A3B"/>
          <w:w w:val="90"/>
          <w:sz w:val="23"/>
        </w:rPr>
        <w:t>is</w:t>
      </w:r>
      <w:r>
        <w:rPr>
          <w:color w:val="3B3A3B"/>
          <w:spacing w:val="-6"/>
          <w:w w:val="90"/>
          <w:sz w:val="23"/>
        </w:rPr>
        <w:t> </w:t>
      </w:r>
      <w:r>
        <w:rPr>
          <w:color w:val="3B3A3B"/>
          <w:w w:val="90"/>
          <w:sz w:val="23"/>
        </w:rPr>
        <w:t>mortal.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0" w:lineRule="auto"/>
        <w:ind w:left="603" w:firstLine="19"/>
        <w:rPr>
          <w:rFonts w:ascii="Arial"/>
        </w:rPr>
      </w:pPr>
      <w:r>
        <w:rPr>
          <w:color w:val="3B3A3B"/>
        </w:rPr>
        <w:t>You</w:t>
      </w:r>
      <w:r>
        <w:rPr>
          <w:color w:val="3B3A3B"/>
          <w:spacing w:val="18"/>
        </w:rPr>
        <w:t> </w:t>
      </w:r>
      <w:r>
        <w:rPr>
          <w:color w:val="3B3A3B"/>
        </w:rPr>
        <w:t>may</w:t>
      </w:r>
      <w:r>
        <w:rPr>
          <w:color w:val="3B3A3B"/>
          <w:spacing w:val="9"/>
        </w:rPr>
        <w:t> </w:t>
      </w:r>
      <w:r>
        <w:rPr>
          <w:color w:val="3B3A3B"/>
        </w:rPr>
        <w:t>notice a</w:t>
      </w:r>
      <w:r>
        <w:rPr>
          <w:color w:val="3B3A3B"/>
          <w:spacing w:val="25"/>
        </w:rPr>
        <w:t> </w:t>
      </w:r>
      <w:r>
        <w:rPr>
          <w:color w:val="3B3A3B"/>
        </w:rPr>
        <w:t>problem</w:t>
      </w:r>
      <w:r>
        <w:rPr>
          <w:color w:val="3B3A3B"/>
          <w:spacing w:val="11"/>
        </w:rPr>
        <w:t> </w:t>
      </w:r>
      <w:r>
        <w:rPr>
          <w:color w:val="3B3A3B"/>
        </w:rPr>
        <w:t>in</w:t>
      </w:r>
      <w:r>
        <w:rPr>
          <w:color w:val="3B3A3B"/>
          <w:spacing w:val="21"/>
        </w:rPr>
        <w:t> </w:t>
      </w:r>
      <w:r>
        <w:rPr>
          <w:color w:val="3B3A3B"/>
        </w:rPr>
        <w:t>this syllogism.</w:t>
      </w:r>
      <w:r>
        <w:rPr>
          <w:color w:val="3B3A3B"/>
          <w:spacing w:val="24"/>
        </w:rPr>
        <w:t> </w:t>
      </w:r>
      <w:r>
        <w:rPr>
          <w:color w:val="3B3A3B"/>
        </w:rPr>
        <w:t>The</w:t>
      </w:r>
      <w:r>
        <w:rPr>
          <w:color w:val="3B3A3B"/>
          <w:spacing w:val="19"/>
        </w:rPr>
        <w:t> </w:t>
      </w:r>
      <w:r>
        <w:rPr>
          <w:color w:val="3B3A3B"/>
        </w:rPr>
        <w:t>rule</w:t>
      </w:r>
      <w:r>
        <w:rPr>
          <w:color w:val="3B3A3B"/>
          <w:spacing w:val="13"/>
        </w:rPr>
        <w:t> </w:t>
      </w:r>
      <w:r>
        <w:rPr>
          <w:color w:val="3B3A3B"/>
        </w:rPr>
        <w:t>application</w:t>
      </w:r>
      <w:r>
        <w:rPr>
          <w:color w:val="3B3A3B"/>
          <w:spacing w:val="36"/>
        </w:rPr>
        <w:t> </w:t>
      </w:r>
      <w:r>
        <w:rPr>
          <w:color w:val="3B3A3B"/>
        </w:rPr>
        <w:t>(th</w:t>
      </w:r>
      <w:r>
        <w:rPr>
          <w:color w:val="3B3A3B"/>
          <w:spacing w:val="1"/>
        </w:rPr>
        <w:t> </w:t>
      </w:r>
      <w:r>
        <w:rPr>
          <w:color w:val="3B3A3B"/>
        </w:rPr>
        <w:t>minor</w:t>
      </w:r>
      <w:r>
        <w:rPr>
          <w:color w:val="3B3A3B"/>
          <w:spacing w:val="10"/>
        </w:rPr>
        <w:t> </w:t>
      </w:r>
      <w:r>
        <w:rPr>
          <w:color w:val="3B3A3B"/>
        </w:rPr>
        <w:t>premise)</w:t>
      </w:r>
      <w:r>
        <w:rPr>
          <w:color w:val="3B3A3B"/>
          <w:spacing w:val="11"/>
        </w:rPr>
        <w:t> </w:t>
      </w:r>
      <w:r>
        <w:rPr>
          <w:color w:val="3B3A3B"/>
        </w:rPr>
        <w:t>must</w:t>
      </w:r>
      <w:r>
        <w:rPr>
          <w:color w:val="3B3A3B"/>
          <w:spacing w:val="7"/>
        </w:rPr>
        <w:t> </w:t>
      </w:r>
      <w:r>
        <w:rPr>
          <w:color w:val="3B3A3B"/>
        </w:rPr>
        <w:t>be</w:t>
      </w:r>
      <w:r>
        <w:rPr>
          <w:color w:val="3B3A3B"/>
          <w:spacing w:val="-11"/>
        </w:rPr>
        <w:t> </w:t>
      </w:r>
      <w:r>
        <w:rPr>
          <w:color w:val="3B3A3B"/>
        </w:rPr>
        <w:t>connected</w:t>
      </w:r>
      <w:r>
        <w:rPr>
          <w:color w:val="3B3A3B"/>
          <w:spacing w:val="29"/>
        </w:rPr>
        <w:t> </w:t>
      </w:r>
      <w:r>
        <w:rPr>
          <w:color w:val="3B3A3B"/>
        </w:rPr>
        <w:t>to the</w:t>
      </w:r>
      <w:r>
        <w:rPr>
          <w:color w:val="3B3A3B"/>
          <w:spacing w:val="5"/>
        </w:rPr>
        <w:t> </w:t>
      </w:r>
      <w:r>
        <w:rPr>
          <w:color w:val="3B3A3B"/>
        </w:rPr>
        <w:t>rule</w:t>
      </w:r>
      <w:r>
        <w:rPr>
          <w:color w:val="3B3A3B"/>
          <w:spacing w:val="8"/>
        </w:rPr>
        <w:t> </w:t>
      </w:r>
      <w:r>
        <w:rPr>
          <w:color w:val="3B3A3B"/>
        </w:rPr>
        <w:t>(the</w:t>
      </w:r>
      <w:r>
        <w:rPr>
          <w:color w:val="3B3A3B"/>
          <w:spacing w:val="20"/>
        </w:rPr>
        <w:t> </w:t>
      </w:r>
      <w:r>
        <w:rPr>
          <w:color w:val="3B3A3B"/>
        </w:rPr>
        <w:t>major</w:t>
      </w:r>
      <w:r>
        <w:rPr>
          <w:color w:val="3B3A3B"/>
          <w:spacing w:val="29"/>
        </w:rPr>
        <w:t> </w:t>
      </w:r>
      <w:r>
        <w:rPr>
          <w:color w:val="3B3A3B"/>
        </w:rPr>
        <w:t>premise)</w:t>
      </w:r>
      <w:r>
        <w:rPr>
          <w:color w:val="3B3A3B"/>
          <w:spacing w:val="14"/>
        </w:rPr>
        <w:t> </w:t>
      </w:r>
      <w:r>
        <w:rPr>
          <w:color w:val="3B3A3B"/>
        </w:rPr>
        <w:t>bu:</w:t>
      </w:r>
      <w:r>
        <w:rPr>
          <w:color w:val="3B3A3B"/>
          <w:spacing w:val="-55"/>
        </w:rPr>
        <w:t> </w:t>
      </w:r>
      <w:r>
        <w:rPr>
          <w:color w:val="3B3A3B"/>
        </w:rPr>
        <w:t>that</w:t>
      </w:r>
      <w:r>
        <w:rPr>
          <w:color w:val="3B3A3B"/>
          <w:spacing w:val="2"/>
        </w:rPr>
        <w:t> </w:t>
      </w:r>
      <w:r>
        <w:rPr>
          <w:color w:val="3B3A3B"/>
        </w:rPr>
        <w:t>connection</w:t>
      </w:r>
      <w:r>
        <w:rPr>
          <w:color w:val="3B3A3B"/>
          <w:spacing w:val="13"/>
        </w:rPr>
        <w:t> </w:t>
      </w:r>
      <w:r>
        <w:rPr>
          <w:color w:val="3B3A3B"/>
        </w:rPr>
        <w:t>is</w:t>
      </w:r>
      <w:r>
        <w:rPr>
          <w:color w:val="3B3A3B"/>
          <w:spacing w:val="-14"/>
        </w:rPr>
        <w:t> </w:t>
      </w:r>
      <w:r>
        <w:rPr>
          <w:color w:val="3B3A3B"/>
        </w:rPr>
        <w:t>not</w:t>
      </w:r>
      <w:r>
        <w:rPr>
          <w:color w:val="3B3A3B"/>
          <w:spacing w:val="-9"/>
        </w:rPr>
        <w:t> </w:t>
      </w:r>
      <w:r>
        <w:rPr>
          <w:color w:val="3B3A3B"/>
        </w:rPr>
        <w:t>obvious</w:t>
      </w:r>
      <w:r>
        <w:rPr>
          <w:color w:val="3B3A3B"/>
          <w:spacing w:val="-8"/>
        </w:rPr>
        <w:t> </w:t>
      </w:r>
      <w:r>
        <w:rPr>
          <w:color w:val="3B3A3B"/>
        </w:rPr>
        <w:t>in</w:t>
      </w:r>
      <w:r>
        <w:rPr>
          <w:color w:val="3B3A3B"/>
          <w:spacing w:val="14"/>
        </w:rPr>
        <w:t> </w:t>
      </w:r>
      <w:r>
        <w:rPr>
          <w:color w:val="3B3A3B"/>
        </w:rPr>
        <w:t>this</w:t>
      </w:r>
      <w:r>
        <w:rPr>
          <w:color w:val="3B3A3B"/>
          <w:spacing w:val="-8"/>
        </w:rPr>
        <w:t> </w:t>
      </w:r>
      <w:r>
        <w:rPr>
          <w:color w:val="3B3A3B"/>
        </w:rPr>
        <w:t>example.</w:t>
      </w:r>
      <w:r>
        <w:rPr>
          <w:color w:val="3B3A3B"/>
          <w:spacing w:val="-3"/>
        </w:rPr>
        <w:t> </w:t>
      </w:r>
      <w:r>
        <w:rPr>
          <w:color w:val="3B3A3B"/>
        </w:rPr>
        <w:t>So</w:t>
      </w:r>
      <w:r>
        <w:rPr>
          <w:color w:val="3B3A3B"/>
          <w:spacing w:val="11"/>
        </w:rPr>
        <w:t> </w:t>
      </w:r>
      <w:r>
        <w:rPr>
          <w:color w:val="3B3A3B"/>
        </w:rPr>
        <w:t>we</w:t>
      </w:r>
      <w:r>
        <w:rPr>
          <w:color w:val="3B3A3B"/>
          <w:spacing w:val="10"/>
        </w:rPr>
        <w:t> </w:t>
      </w:r>
      <w:r>
        <w:rPr>
          <w:color w:val="3B3A3B"/>
        </w:rPr>
        <w:t>move</w:t>
      </w:r>
      <w:r>
        <w:rPr>
          <w:color w:val="3B3A3B"/>
          <w:spacing w:val="27"/>
        </w:rPr>
        <w:t> </w:t>
      </w:r>
      <w:r>
        <w:rPr>
          <w:color w:val="3B3A3B"/>
        </w:rPr>
        <w:t>beyond</w:t>
      </w:r>
      <w:r>
        <w:rPr>
          <w:color w:val="3B3A3B"/>
          <w:spacing w:val="29"/>
        </w:rPr>
        <w:t> </w:t>
      </w:r>
      <w:r>
        <w:rPr>
          <w:rFonts w:ascii="Arial"/>
          <w:color w:val="3B3A3B"/>
        </w:rPr>
        <w:t>th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3"/>
        <w:rPr>
          <w:rFonts w:ascii="Arial"/>
        </w:rPr>
      </w:pPr>
    </w:p>
    <w:p>
      <w:pPr>
        <w:tabs>
          <w:tab w:pos="7001" w:val="left" w:leader="none"/>
        </w:tabs>
        <w:spacing w:line="172" w:lineRule="auto" w:before="1"/>
        <w:ind w:left="542" w:right="180" w:firstLine="335"/>
        <w:jc w:val="left"/>
        <w:rPr>
          <w:rFonts w:ascii="Arial"/>
          <w:i/>
          <w:sz w:val="24"/>
        </w:rPr>
      </w:pPr>
      <w:r>
        <w:rPr>
          <w:color w:val="3B3A3B"/>
          <w:w w:val="90"/>
          <w:sz w:val="19"/>
        </w:rPr>
        <w:t>'George </w:t>
      </w:r>
      <w:r>
        <w:rPr>
          <w:color w:val="3B3A3B"/>
          <w:w w:val="90"/>
          <w:sz w:val="17"/>
        </w:rPr>
        <w:t>D</w:t>
      </w:r>
      <w:r>
        <w:rPr>
          <w:color w:val="5D5D60"/>
          <w:w w:val="90"/>
          <w:sz w:val="17"/>
        </w:rPr>
        <w:t>. </w:t>
      </w:r>
      <w:r>
        <w:rPr>
          <w:color w:val="3B3A3B"/>
          <w:w w:val="90"/>
          <w:sz w:val="19"/>
        </w:rPr>
        <w:t>Gopen, </w:t>
      </w:r>
      <w:r>
        <w:rPr>
          <w:i/>
          <w:color w:val="3B3A3B"/>
          <w:w w:val="90"/>
          <w:sz w:val="19"/>
        </w:rPr>
        <w:t>ut</w:t>
      </w:r>
      <w:r>
        <w:rPr>
          <w:i/>
          <w:color w:val="3B3A3B"/>
          <w:spacing w:val="1"/>
          <w:w w:val="90"/>
          <w:sz w:val="19"/>
        </w:rPr>
        <w:t> </w:t>
      </w:r>
      <w:r>
        <w:rPr>
          <w:i/>
          <w:color w:val="3B3A3B"/>
          <w:w w:val="90"/>
          <w:sz w:val="17"/>
        </w:rPr>
        <w:t>the</w:t>
      </w:r>
      <w:r>
        <w:rPr>
          <w:i/>
          <w:color w:val="3B3A3B"/>
          <w:spacing w:val="1"/>
          <w:w w:val="90"/>
          <w:sz w:val="17"/>
        </w:rPr>
        <w:t> </w:t>
      </w:r>
      <w:r>
        <w:rPr>
          <w:i/>
          <w:color w:val="3B3A3B"/>
          <w:w w:val="90"/>
          <w:sz w:val="18"/>
        </w:rPr>
        <w:t>Buytr In the Ordinary Course</w:t>
      </w:r>
      <w:r>
        <w:rPr>
          <w:i/>
          <w:color w:val="3B3A3B"/>
          <w:spacing w:val="1"/>
          <w:w w:val="90"/>
          <w:sz w:val="18"/>
        </w:rPr>
        <w:t> </w:t>
      </w:r>
      <w:r>
        <w:rPr>
          <w:i/>
          <w:color w:val="3B3A3B"/>
          <w:w w:val="90"/>
          <w:sz w:val="18"/>
        </w:rPr>
        <w:t>of</w:t>
      </w:r>
      <w:r>
        <w:rPr>
          <w:i/>
          <w:color w:val="3B3A3B"/>
          <w:spacing w:val="1"/>
          <w:w w:val="90"/>
          <w:sz w:val="18"/>
        </w:rPr>
        <w:t> </w:t>
      </w:r>
      <w:r>
        <w:rPr>
          <w:i/>
          <w:color w:val="3B3A3B"/>
          <w:w w:val="90"/>
          <w:sz w:val="18"/>
        </w:rPr>
        <w:t>Business</w:t>
      </w:r>
      <w:r>
        <w:rPr>
          <w:i/>
          <w:color w:val="3B3A3B"/>
          <w:spacing w:val="1"/>
          <w:w w:val="90"/>
          <w:sz w:val="18"/>
        </w:rPr>
        <w:t> </w:t>
      </w:r>
      <w:r>
        <w:rPr>
          <w:i/>
          <w:color w:val="3B3A3B"/>
          <w:w w:val="90"/>
          <w:sz w:val="18"/>
        </w:rPr>
        <w:t>Beware:</w:t>
      </w:r>
      <w:r>
        <w:rPr>
          <w:i/>
          <w:color w:val="3B3A3B"/>
          <w:spacing w:val="1"/>
          <w:w w:val="90"/>
          <w:sz w:val="18"/>
        </w:rPr>
        <w:t> </w:t>
      </w:r>
      <w:r>
        <w:rPr>
          <w:i/>
          <w:color w:val="3B3A3B"/>
          <w:w w:val="90"/>
          <w:sz w:val="18"/>
        </w:rPr>
        <w:t>SuggesNons</w:t>
      </w:r>
      <w:r>
        <w:rPr>
          <w:i/>
          <w:color w:val="3B3A3B"/>
          <w:spacing w:val="1"/>
          <w:w w:val="90"/>
          <w:sz w:val="18"/>
        </w:rPr>
        <w:t> </w:t>
      </w:r>
      <w:r>
        <w:rPr>
          <w:i/>
          <w:color w:val="3B3A3B"/>
          <w:w w:val="90"/>
          <w:sz w:val="18"/>
        </w:rPr>
        <w:t>ReVfsing th</w:t>
      </w:r>
      <w:r>
        <w:rPr>
          <w:i/>
          <w:color w:val="5D5D60"/>
          <w:w w:val="90"/>
          <w:sz w:val="18"/>
        </w:rPr>
        <w:t>e</w:t>
      </w:r>
      <w:r>
        <w:rPr>
          <w:i/>
          <w:color w:val="3B3A3B"/>
          <w:w w:val="90"/>
          <w:sz w:val="18"/>
        </w:rPr>
        <w:t>Prose</w:t>
      </w:r>
      <w:r>
        <w:rPr>
          <w:i/>
          <w:color w:val="4D4D4F"/>
          <w:w w:val="90"/>
          <w:sz w:val="18"/>
        </w:rPr>
        <w:t>of</w:t>
      </w:r>
      <w:r>
        <w:rPr>
          <w:i/>
          <w:color w:val="4D4D4F"/>
          <w:spacing w:val="-12"/>
          <w:w w:val="90"/>
          <w:sz w:val="18"/>
        </w:rPr>
        <w:t> </w:t>
      </w:r>
      <w:r>
        <w:rPr>
          <w:i/>
          <w:color w:val="4D4D4F"/>
          <w:w w:val="90"/>
          <w:sz w:val="17"/>
        </w:rPr>
        <w:t>the</w:t>
      </w:r>
      <w:r>
        <w:rPr>
          <w:i/>
          <w:color w:val="3B3A3B"/>
          <w:w w:val="90"/>
          <w:sz w:val="18"/>
        </w:rPr>
        <w:t>Uniform</w:t>
      </w:r>
      <w:r>
        <w:rPr>
          <w:i/>
          <w:color w:val="3B3A3B"/>
          <w:spacing w:val="-5"/>
          <w:w w:val="90"/>
          <w:sz w:val="18"/>
        </w:rPr>
        <w:t> </w:t>
      </w:r>
      <w:r>
        <w:rPr>
          <w:i/>
          <w:color w:val="4D4D4F"/>
          <w:w w:val="90"/>
          <w:sz w:val="18"/>
        </w:rPr>
        <w:t>Commercial Code,</w:t>
      </w:r>
      <w:r>
        <w:rPr>
          <w:i/>
          <w:color w:val="4D4D4F"/>
          <w:spacing w:val="-10"/>
          <w:w w:val="90"/>
          <w:sz w:val="18"/>
        </w:rPr>
        <w:t> </w:t>
      </w:r>
      <w:r>
        <w:rPr>
          <w:i/>
          <w:color w:val="3B3A3B"/>
          <w:w w:val="90"/>
          <w:sz w:val="18"/>
        </w:rPr>
        <w:t>54</w:t>
      </w:r>
      <w:r>
        <w:rPr>
          <w:i/>
          <w:color w:val="3B3A3B"/>
          <w:spacing w:val="10"/>
          <w:w w:val="90"/>
          <w:sz w:val="18"/>
        </w:rPr>
        <w:t> </w:t>
      </w:r>
      <w:r>
        <w:rPr>
          <w:rFonts w:ascii="Arial"/>
          <w:color w:val="3B3A3B"/>
          <w:w w:val="90"/>
          <w:sz w:val="16"/>
        </w:rPr>
        <w:t>U</w:t>
      </w:r>
      <w:r>
        <w:rPr>
          <w:rFonts w:ascii="Arial"/>
          <w:color w:val="5D5D60"/>
          <w:w w:val="90"/>
          <w:sz w:val="16"/>
        </w:rPr>
        <w:t>.</w:t>
      </w:r>
      <w:r>
        <w:rPr>
          <w:rFonts w:ascii="Arial"/>
          <w:color w:val="5D5D60"/>
          <w:spacing w:val="-5"/>
          <w:w w:val="90"/>
          <w:sz w:val="16"/>
        </w:rPr>
        <w:t> </w:t>
      </w:r>
      <w:r>
        <w:rPr>
          <w:rFonts w:ascii="Arial"/>
          <w:color w:val="3B3A3B"/>
          <w:w w:val="90"/>
          <w:sz w:val="16"/>
        </w:rPr>
        <w:t>Chi.</w:t>
      </w:r>
      <w:r>
        <w:rPr>
          <w:rFonts w:ascii="Arial"/>
          <w:color w:val="3B3A3B"/>
          <w:spacing w:val="-17"/>
          <w:w w:val="90"/>
          <w:sz w:val="16"/>
        </w:rPr>
        <w:t> </w:t>
      </w:r>
      <w:r>
        <w:rPr>
          <w:rFonts w:ascii="Arial"/>
          <w:color w:val="3B3A3B"/>
          <w:w w:val="90"/>
          <w:sz w:val="16"/>
        </w:rPr>
        <w:t>L.</w:t>
      </w:r>
      <w:r>
        <w:rPr>
          <w:rFonts w:ascii="Arial"/>
          <w:color w:val="3B3A3B"/>
          <w:spacing w:val="-7"/>
          <w:w w:val="90"/>
          <w:sz w:val="16"/>
        </w:rPr>
        <w:t> </w:t>
      </w:r>
      <w:r>
        <w:rPr>
          <w:rFonts w:ascii="Arial"/>
          <w:color w:val="3B3A3B"/>
          <w:w w:val="90"/>
          <w:sz w:val="16"/>
        </w:rPr>
        <w:t>Rev.</w:t>
      </w:r>
      <w:r>
        <w:rPr>
          <w:rFonts w:ascii="Arial"/>
          <w:color w:val="3B3A3B"/>
          <w:spacing w:val="9"/>
          <w:w w:val="90"/>
          <w:sz w:val="16"/>
        </w:rPr>
        <w:t> </w:t>
      </w:r>
      <w:r>
        <w:rPr>
          <w:rFonts w:ascii="Arial"/>
          <w:color w:val="3B3A3B"/>
          <w:w w:val="90"/>
          <w:sz w:val="16"/>
        </w:rPr>
        <w:t>1178,</w:t>
      </w:r>
      <w:r>
        <w:rPr>
          <w:rFonts w:ascii="Arial"/>
          <w:color w:val="3B3A3B"/>
          <w:spacing w:val="19"/>
          <w:w w:val="90"/>
          <w:sz w:val="16"/>
        </w:rPr>
        <w:t> </w:t>
      </w:r>
      <w:r>
        <w:rPr>
          <w:rFonts w:ascii="Arial"/>
          <w:color w:val="3B3A3B"/>
          <w:w w:val="90"/>
          <w:sz w:val="16"/>
        </w:rPr>
        <w:t>1185</w:t>
      </w:r>
      <w:r>
        <w:rPr>
          <w:rFonts w:ascii="Arial"/>
          <w:color w:val="3B3A3B"/>
          <w:spacing w:val="7"/>
          <w:w w:val="90"/>
          <w:sz w:val="16"/>
        </w:rPr>
        <w:t> </w:t>
      </w:r>
      <w:r>
        <w:rPr>
          <w:rFonts w:ascii="Arial"/>
          <w:color w:val="3B3A3B"/>
          <w:w w:val="90"/>
          <w:sz w:val="16"/>
        </w:rPr>
        <w:t>(1987).</w:t>
        <w:tab/>
      </w:r>
      <w:r>
        <w:rPr>
          <w:rFonts w:ascii="Arial"/>
          <w:i/>
          <w:color w:val="3B3A3B"/>
          <w:spacing w:val="-3"/>
          <w:w w:val="75"/>
          <w:sz w:val="24"/>
        </w:rPr>
        <w:t>fr.</w:t>
      </w:r>
    </w:p>
    <w:p>
      <w:pPr>
        <w:spacing w:after="0" w:line="172" w:lineRule="auto"/>
        <w:jc w:val="left"/>
        <w:rPr>
          <w:rFonts w:ascii="Arial"/>
          <w:sz w:val="24"/>
        </w:rPr>
        <w:sectPr>
          <w:headerReference w:type="default" r:id="rId113"/>
          <w:headerReference w:type="even" r:id="rId114"/>
          <w:pgSz w:w="8500" w:h="13800"/>
          <w:pgMar w:header="532" w:footer="0" w:top="1100" w:bottom="0" w:left="1160" w:right="0"/>
        </w:sectPr>
      </w:pPr>
    </w:p>
    <w:p>
      <w:pPr>
        <w:pStyle w:val="BodyText"/>
        <w:spacing w:line="235" w:lineRule="auto" w:before="85"/>
        <w:ind w:left="126"/>
      </w:pPr>
      <w:r>
        <w:rPr>
          <w:color w:val="363436"/>
          <w:w w:val="105"/>
        </w:rPr>
        <w:t>syllogism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to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create a formula that asks the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writer to explain what the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rule</w:t>
      </w:r>
      <w:r>
        <w:rPr>
          <w:color w:val="363436"/>
          <w:spacing w:val="-58"/>
          <w:w w:val="105"/>
        </w:rPr>
        <w:t> </w:t>
      </w:r>
      <w:r>
        <w:rPr>
          <w:color w:val="363436"/>
          <w:w w:val="110"/>
        </w:rPr>
        <w:t>means</w:t>
      </w:r>
      <w:r>
        <w:rPr>
          <w:color w:val="363436"/>
          <w:spacing w:val="-8"/>
          <w:w w:val="110"/>
        </w:rPr>
        <w:t> </w:t>
      </w:r>
      <w:r>
        <w:rPr>
          <w:color w:val="363436"/>
          <w:w w:val="110"/>
          <w:sz w:val="21"/>
        </w:rPr>
        <w:t>in</w:t>
      </w:r>
      <w:r>
        <w:rPr>
          <w:color w:val="363436"/>
          <w:spacing w:val="42"/>
          <w:w w:val="110"/>
          <w:sz w:val="21"/>
        </w:rPr>
        <w:t> </w:t>
      </w:r>
      <w:r>
        <w:rPr>
          <w:color w:val="363436"/>
          <w:w w:val="110"/>
        </w:rPr>
        <w:t>this</w:t>
      </w:r>
      <w:r>
        <w:rPr>
          <w:color w:val="363436"/>
          <w:spacing w:val="-25"/>
          <w:w w:val="110"/>
        </w:rPr>
        <w:t> </w:t>
      </w:r>
      <w:r>
        <w:rPr>
          <w:color w:val="363436"/>
          <w:w w:val="110"/>
        </w:rPr>
        <w:t>context:</w:t>
      </w:r>
    </w:p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pgSz w:w="9340" w:h="13760"/>
          <w:pgMar w:header="457" w:footer="0" w:top="1080" w:bottom="280" w:left="440" w:right="1160"/>
        </w:sectPr>
      </w:pPr>
    </w:p>
    <w:p>
      <w:pPr>
        <w:spacing w:line="242" w:lineRule="auto" w:before="92"/>
        <w:ind w:left="471" w:right="656" w:firstLine="2"/>
        <w:jc w:val="left"/>
        <w:rPr>
          <w:i/>
          <w:sz w:val="24"/>
        </w:rPr>
      </w:pPr>
      <w:r>
        <w:rPr>
          <w:i/>
          <w:color w:val="363436"/>
          <w:w w:val="90"/>
          <w:sz w:val="24"/>
        </w:rPr>
        <w:t>Issue:</w:t>
      </w:r>
      <w:r>
        <w:rPr>
          <w:i/>
          <w:color w:val="363436"/>
          <w:spacing w:val="-51"/>
          <w:w w:val="90"/>
          <w:sz w:val="24"/>
        </w:rPr>
        <w:t> </w:t>
      </w:r>
      <w:r>
        <w:rPr>
          <w:i/>
          <w:color w:val="363436"/>
          <w:spacing w:val="-1"/>
          <w:sz w:val="24"/>
        </w:rPr>
        <w:t>Rule:</w:t>
      </w:r>
    </w:p>
    <w:p>
      <w:pPr>
        <w:spacing w:line="235" w:lineRule="auto" w:before="0"/>
        <w:ind w:left="469" w:right="0" w:firstLine="2"/>
        <w:jc w:val="both"/>
        <w:rPr>
          <w:i/>
          <w:sz w:val="24"/>
        </w:rPr>
      </w:pPr>
      <w:r>
        <w:rPr>
          <w:i/>
          <w:color w:val="363436"/>
          <w:w w:val="95"/>
          <w:sz w:val="24"/>
        </w:rPr>
        <w:t>Explanation:</w:t>
      </w:r>
      <w:r>
        <w:rPr>
          <w:i/>
          <w:color w:val="363436"/>
          <w:spacing w:val="-55"/>
          <w:w w:val="95"/>
          <w:sz w:val="24"/>
        </w:rPr>
        <w:t> </w:t>
      </w:r>
      <w:r>
        <w:rPr>
          <w:i/>
          <w:color w:val="363436"/>
          <w:w w:val="95"/>
          <w:sz w:val="24"/>
        </w:rPr>
        <w:t>Application:</w:t>
      </w:r>
      <w:r>
        <w:rPr>
          <w:i/>
          <w:color w:val="363436"/>
          <w:spacing w:val="-55"/>
          <w:w w:val="95"/>
          <w:sz w:val="24"/>
        </w:rPr>
        <w:t> </w:t>
      </w:r>
      <w:r>
        <w:rPr>
          <w:i/>
          <w:color w:val="363436"/>
          <w:spacing w:val="-1"/>
          <w:sz w:val="24"/>
        </w:rPr>
        <w:t>Conclusion:</w:t>
      </w:r>
    </w:p>
    <w:p>
      <w:pPr>
        <w:pStyle w:val="BodyText"/>
        <w:spacing w:before="91"/>
        <w:ind w:left="211"/>
      </w:pPr>
      <w:r>
        <w:rPr/>
        <w:br w:type="column"/>
      </w:r>
      <w:r>
        <w:rPr>
          <w:color w:val="363436"/>
          <w:w w:val="105"/>
        </w:rPr>
        <w:t>Is</w:t>
      </w:r>
      <w:r>
        <w:rPr>
          <w:color w:val="363436"/>
          <w:spacing w:val="-2"/>
          <w:w w:val="105"/>
        </w:rPr>
        <w:t> </w:t>
      </w:r>
      <w:r>
        <w:rPr>
          <w:color w:val="363436"/>
          <w:w w:val="105"/>
        </w:rPr>
        <w:t>Socrates</w:t>
      </w:r>
      <w:r>
        <w:rPr>
          <w:color w:val="363436"/>
          <w:spacing w:val="3"/>
          <w:w w:val="105"/>
        </w:rPr>
        <w:t> </w:t>
      </w:r>
      <w:r>
        <w:rPr>
          <w:color w:val="363436"/>
          <w:w w:val="105"/>
        </w:rPr>
        <w:t>mortal?</w:t>
      </w:r>
    </w:p>
    <w:p>
      <w:pPr>
        <w:pStyle w:val="BodyText"/>
        <w:spacing w:before="5"/>
        <w:ind w:left="215"/>
      </w:pPr>
      <w:r>
        <w:rPr>
          <w:color w:val="363436"/>
          <w:w w:val="105"/>
        </w:rPr>
        <w:t>All</w:t>
      </w:r>
      <w:r>
        <w:rPr>
          <w:color w:val="363436"/>
          <w:spacing w:val="2"/>
          <w:w w:val="105"/>
        </w:rPr>
        <w:t> </w:t>
      </w:r>
      <w:r>
        <w:rPr>
          <w:color w:val="363436"/>
          <w:w w:val="105"/>
        </w:rPr>
        <w:t>human</w:t>
      </w:r>
      <w:r>
        <w:rPr>
          <w:color w:val="363436"/>
          <w:spacing w:val="32"/>
          <w:w w:val="105"/>
        </w:rPr>
        <w:t> </w:t>
      </w:r>
      <w:r>
        <w:rPr>
          <w:color w:val="363436"/>
          <w:w w:val="105"/>
        </w:rPr>
        <w:t>beings</w:t>
      </w:r>
      <w:r>
        <w:rPr>
          <w:color w:val="363436"/>
          <w:spacing w:val="-8"/>
          <w:w w:val="105"/>
        </w:rPr>
        <w:t> </w:t>
      </w:r>
      <w:r>
        <w:rPr>
          <w:color w:val="363436"/>
          <w:w w:val="105"/>
        </w:rPr>
        <w:t>are</w:t>
      </w:r>
      <w:r>
        <w:rPr>
          <w:color w:val="363436"/>
          <w:spacing w:val="33"/>
          <w:w w:val="105"/>
        </w:rPr>
        <w:t> </w:t>
      </w:r>
      <w:r>
        <w:rPr>
          <w:color w:val="363436"/>
          <w:w w:val="105"/>
        </w:rPr>
        <w:t>mortal.</w:t>
      </w:r>
    </w:p>
    <w:p>
      <w:pPr>
        <w:pStyle w:val="BodyText"/>
        <w:spacing w:line="244" w:lineRule="auto" w:before="15"/>
        <w:ind w:left="202" w:right="1429" w:firstLine="10"/>
      </w:pPr>
      <w:r>
        <w:rPr>
          <w:color w:val="363436"/>
          <w:spacing w:val="-1"/>
          <w:w w:val="110"/>
        </w:rPr>
        <w:t>Men</w:t>
      </w:r>
      <w:r>
        <w:rPr>
          <w:color w:val="363436"/>
          <w:spacing w:val="-19"/>
          <w:w w:val="110"/>
        </w:rPr>
        <w:t> </w:t>
      </w:r>
      <w:r>
        <w:rPr>
          <w:color w:val="363436"/>
          <w:spacing w:val="-1"/>
          <w:w w:val="110"/>
        </w:rPr>
        <w:t>and</w:t>
      </w:r>
      <w:r>
        <w:rPr>
          <w:color w:val="363436"/>
          <w:spacing w:val="24"/>
          <w:w w:val="110"/>
        </w:rPr>
        <w:t> </w:t>
      </w:r>
      <w:r>
        <w:rPr>
          <w:color w:val="363436"/>
          <w:spacing w:val="-1"/>
          <w:w w:val="110"/>
        </w:rPr>
        <w:t>women are</w:t>
      </w:r>
      <w:r>
        <w:rPr>
          <w:color w:val="363436"/>
          <w:spacing w:val="-10"/>
          <w:w w:val="110"/>
        </w:rPr>
        <w:t> </w:t>
      </w:r>
      <w:r>
        <w:rPr>
          <w:color w:val="363436"/>
          <w:w w:val="110"/>
        </w:rPr>
        <w:t>human</w:t>
      </w:r>
      <w:r>
        <w:rPr>
          <w:color w:val="363436"/>
          <w:spacing w:val="4"/>
          <w:w w:val="110"/>
        </w:rPr>
        <w:t> </w:t>
      </w:r>
      <w:r>
        <w:rPr>
          <w:color w:val="363436"/>
          <w:w w:val="110"/>
        </w:rPr>
        <w:t>beings.</w:t>
      </w:r>
      <w:r>
        <w:rPr>
          <w:color w:val="363436"/>
          <w:spacing w:val="-61"/>
          <w:w w:val="110"/>
        </w:rPr>
        <w:t> </w:t>
      </w:r>
      <w:r>
        <w:rPr>
          <w:color w:val="363436"/>
          <w:w w:val="105"/>
        </w:rPr>
        <w:t>Socrates</w:t>
      </w:r>
      <w:r>
        <w:rPr>
          <w:color w:val="363436"/>
          <w:spacing w:val="-14"/>
          <w:w w:val="105"/>
        </w:rPr>
        <w:t> </w:t>
      </w:r>
      <w:r>
        <w:rPr>
          <w:color w:val="363436"/>
          <w:w w:val="105"/>
        </w:rPr>
        <w:t>is</w:t>
      </w:r>
      <w:r>
        <w:rPr>
          <w:color w:val="363436"/>
          <w:spacing w:val="-12"/>
          <w:w w:val="105"/>
        </w:rPr>
        <w:t> </w:t>
      </w:r>
      <w:r>
        <w:rPr>
          <w:color w:val="363436"/>
          <w:w w:val="105"/>
        </w:rPr>
        <w:t>a</w:t>
      </w:r>
      <w:r>
        <w:rPr>
          <w:color w:val="363436"/>
          <w:spacing w:val="12"/>
          <w:w w:val="105"/>
        </w:rPr>
        <w:t> </w:t>
      </w:r>
      <w:r>
        <w:rPr>
          <w:color w:val="363436"/>
          <w:w w:val="105"/>
        </w:rPr>
        <w:t>man.</w:t>
      </w:r>
    </w:p>
    <w:p>
      <w:pPr>
        <w:pStyle w:val="BodyText"/>
        <w:spacing w:line="264" w:lineRule="exact"/>
        <w:ind w:left="202"/>
      </w:pPr>
      <w:r>
        <w:rPr>
          <w:color w:val="363436"/>
          <w:w w:val="105"/>
        </w:rPr>
        <w:t>Socrates</w:t>
      </w:r>
      <w:r>
        <w:rPr>
          <w:color w:val="363436"/>
          <w:spacing w:val="-5"/>
          <w:w w:val="105"/>
        </w:rPr>
        <w:t> </w:t>
      </w:r>
      <w:r>
        <w:rPr>
          <w:color w:val="363436"/>
          <w:w w:val="105"/>
        </w:rPr>
        <w:t>is</w:t>
      </w:r>
      <w:r>
        <w:rPr>
          <w:color w:val="363436"/>
          <w:spacing w:val="17"/>
          <w:w w:val="105"/>
        </w:rPr>
        <w:t> </w:t>
      </w:r>
      <w:r>
        <w:rPr>
          <w:color w:val="363436"/>
          <w:w w:val="105"/>
        </w:rPr>
        <w:t>mortal.</w:t>
      </w:r>
    </w:p>
    <w:p>
      <w:pPr>
        <w:spacing w:after="0" w:line="264" w:lineRule="exact"/>
        <w:sectPr>
          <w:type w:val="continuous"/>
          <w:pgSz w:w="9340" w:h="13760"/>
          <w:pgMar w:header="532" w:footer="0" w:top="340" w:bottom="280" w:left="440" w:right="1160"/>
          <w:cols w:num="2" w:equalWidth="0">
            <w:col w:w="1665" w:space="40"/>
            <w:col w:w="6035"/>
          </w:cols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32" w:lineRule="auto" w:before="98"/>
        <w:ind w:left="127" w:right="262" w:hanging="15"/>
        <w:jc w:val="both"/>
      </w:pPr>
      <w:r>
        <w:rPr>
          <w:color w:val="363436"/>
          <w:w w:val="105"/>
        </w:rPr>
        <w:t>The rule explanation makes </w:t>
      </w:r>
      <w:r>
        <w:rPr>
          <w:color w:val="363436"/>
          <w:w w:val="105"/>
          <w:sz w:val="21"/>
        </w:rPr>
        <w:t>it </w:t>
      </w:r>
      <w:r>
        <w:rPr>
          <w:color w:val="363436"/>
          <w:w w:val="105"/>
        </w:rPr>
        <w:t>easier to show the reader how the rule about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mortality connects to the facts about Socrates. Admittedly,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rule explana­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10"/>
        </w:rPr>
        <w:t>tion gets more complicated when we get beyond the question of simple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mortality. Nevertheless, the formula remains the same, with two minor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adaptations for advocacy writing. Instead of beginning the argument by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05"/>
        </w:rPr>
        <w:t>stating the legal issue as a question, we state it as an assertion, or a conclu­</w:t>
      </w:r>
      <w:r>
        <w:rPr>
          <w:color w:val="363436"/>
          <w:spacing w:val="1"/>
          <w:w w:val="105"/>
        </w:rPr>
        <w:t> </w:t>
      </w:r>
      <w:r>
        <w:rPr>
          <w:color w:val="363436"/>
          <w:spacing w:val="-1"/>
          <w:w w:val="110"/>
        </w:rPr>
        <w:t>sion.</w:t>
      </w:r>
      <w:r>
        <w:rPr>
          <w:color w:val="363436"/>
          <w:spacing w:val="-31"/>
          <w:w w:val="110"/>
        </w:rPr>
        <w:t> </w:t>
      </w:r>
      <w:r>
        <w:rPr>
          <w:color w:val="363436"/>
          <w:w w:val="110"/>
        </w:rPr>
        <w:t>We</w:t>
      </w:r>
      <w:r>
        <w:rPr>
          <w:color w:val="363436"/>
          <w:spacing w:val="-26"/>
          <w:w w:val="110"/>
        </w:rPr>
        <w:t> </w:t>
      </w:r>
      <w:r>
        <w:rPr>
          <w:color w:val="363436"/>
          <w:w w:val="110"/>
        </w:rPr>
        <w:t>change</w:t>
      </w:r>
      <w:r>
        <w:rPr>
          <w:color w:val="363436"/>
          <w:spacing w:val="-11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-8"/>
          <w:w w:val="110"/>
        </w:rPr>
        <w:t> </w:t>
      </w:r>
      <w:r>
        <w:rPr>
          <w:color w:val="363436"/>
          <w:w w:val="110"/>
        </w:rPr>
        <w:t>second</w:t>
      </w:r>
      <w:r>
        <w:rPr>
          <w:color w:val="363436"/>
          <w:spacing w:val="-18"/>
          <w:w w:val="110"/>
        </w:rPr>
        <w:t> </w:t>
      </w:r>
      <w:r>
        <w:rPr>
          <w:color w:val="363436"/>
          <w:w w:val="110"/>
        </w:rPr>
        <w:t>"conclusion"</w:t>
      </w:r>
      <w:r>
        <w:rPr>
          <w:color w:val="363436"/>
          <w:spacing w:val="-1"/>
          <w:w w:val="110"/>
        </w:rPr>
        <w:t> </w:t>
      </w:r>
      <w:r>
        <w:rPr>
          <w:color w:val="363436"/>
          <w:w w:val="110"/>
        </w:rPr>
        <w:t>to</w:t>
      </w:r>
      <w:r>
        <w:rPr>
          <w:color w:val="363436"/>
          <w:spacing w:val="-6"/>
          <w:w w:val="110"/>
        </w:rPr>
        <w:t> </w:t>
      </w:r>
      <w:r>
        <w:rPr>
          <w:color w:val="363436"/>
          <w:w w:val="110"/>
        </w:rPr>
        <w:t>"Connection-Conclusion"</w:t>
      </w:r>
      <w:r>
        <w:rPr>
          <w:color w:val="363436"/>
          <w:spacing w:val="-14"/>
          <w:w w:val="110"/>
        </w:rPr>
        <w:t> </w:t>
      </w:r>
      <w:r>
        <w:rPr>
          <w:color w:val="363436"/>
          <w:w w:val="110"/>
        </w:rPr>
        <w:t>to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distinguish it from the first conclusion, and to remind us that, at the end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05"/>
        </w:rPr>
        <w:t>of the formula (and thus at the end of each CREXAC unit of discourse), we</w:t>
      </w:r>
      <w:r>
        <w:rPr>
          <w:color w:val="363436"/>
          <w:spacing w:val="1"/>
          <w:w w:val="105"/>
        </w:rPr>
        <w:t> </w:t>
      </w:r>
      <w:r>
        <w:rPr>
          <w:color w:val="363436"/>
          <w:spacing w:val="-1"/>
          <w:w w:val="110"/>
        </w:rPr>
        <w:t>should connect our analysis </w:t>
      </w:r>
      <w:r>
        <w:rPr>
          <w:color w:val="363436"/>
          <w:w w:val="110"/>
        </w:rPr>
        <w:t>to the point we are making in that section of</w:t>
      </w:r>
      <w:r>
        <w:rPr>
          <w:color w:val="363436"/>
          <w:spacing w:val="-61"/>
          <w:w w:val="110"/>
        </w:rPr>
        <w:t> </w:t>
      </w:r>
      <w:r>
        <w:rPr>
          <w:color w:val="363436"/>
          <w:w w:val="105"/>
        </w:rPr>
        <w:t>the argument, and sometimes to the overall thesis. Therefore, our formula</w:t>
      </w:r>
      <w:r>
        <w:rPr>
          <w:color w:val="363436"/>
          <w:spacing w:val="1"/>
          <w:w w:val="105"/>
        </w:rPr>
        <w:t> </w:t>
      </w:r>
      <w:r>
        <w:rPr>
          <w:color w:val="363436"/>
        </w:rPr>
        <w:t>changes</w:t>
      </w:r>
      <w:r>
        <w:rPr>
          <w:color w:val="363436"/>
          <w:spacing w:val="-2"/>
        </w:rPr>
        <w:t> </w:t>
      </w:r>
      <w:r>
        <w:rPr>
          <w:color w:val="363436"/>
        </w:rPr>
        <w:t>from</w:t>
      </w:r>
      <w:r>
        <w:rPr>
          <w:color w:val="363436"/>
          <w:spacing w:val="4"/>
        </w:rPr>
        <w:t> </w:t>
      </w:r>
      <w:r>
        <w:rPr>
          <w:color w:val="363436"/>
        </w:rPr>
        <w:t>IRAC</w:t>
      </w:r>
      <w:r>
        <w:rPr>
          <w:color w:val="363436"/>
          <w:spacing w:val="-8"/>
        </w:rPr>
        <w:t> </w:t>
      </w:r>
      <w:r>
        <w:rPr>
          <w:color w:val="363436"/>
        </w:rPr>
        <w:t>to</w:t>
      </w:r>
      <w:r>
        <w:rPr>
          <w:color w:val="363436"/>
          <w:spacing w:val="37"/>
        </w:rPr>
        <w:t> </w:t>
      </w:r>
      <w:r>
        <w:rPr>
          <w:color w:val="363436"/>
        </w:rPr>
        <w:t>CREXAC,</w:t>
      </w:r>
      <w:r>
        <w:rPr>
          <w:color w:val="363436"/>
          <w:spacing w:val="5"/>
        </w:rPr>
        <w:t> </w:t>
      </w:r>
      <w:r>
        <w:rPr>
          <w:color w:val="363436"/>
        </w:rPr>
        <w:t>and</w:t>
      </w:r>
      <w:r>
        <w:rPr>
          <w:color w:val="363436"/>
          <w:spacing w:val="15"/>
        </w:rPr>
        <w:t> </w:t>
      </w:r>
      <w:r>
        <w:rPr>
          <w:color w:val="363436"/>
        </w:rPr>
        <w:t>it</w:t>
      </w:r>
      <w:r>
        <w:rPr>
          <w:color w:val="363436"/>
          <w:spacing w:val="31"/>
        </w:rPr>
        <w:t> </w:t>
      </w:r>
      <w:r>
        <w:rPr>
          <w:color w:val="363436"/>
        </w:rPr>
        <w:t>now</w:t>
      </w:r>
      <w:r>
        <w:rPr>
          <w:color w:val="363436"/>
          <w:spacing w:val="1"/>
        </w:rPr>
        <w:t> </w:t>
      </w:r>
      <w:r>
        <w:rPr>
          <w:color w:val="363436"/>
        </w:rPr>
        <w:t>looks</w:t>
      </w:r>
      <w:r>
        <w:rPr>
          <w:color w:val="363436"/>
          <w:spacing w:val="-2"/>
        </w:rPr>
        <w:t> </w:t>
      </w:r>
      <w:r>
        <w:rPr>
          <w:color w:val="363436"/>
        </w:rPr>
        <w:t>like</w:t>
      </w:r>
      <w:r>
        <w:rPr>
          <w:color w:val="363436"/>
          <w:spacing w:val="-20"/>
        </w:rPr>
        <w:t> </w:t>
      </w:r>
      <w:r>
        <w:rPr>
          <w:color w:val="363436"/>
        </w:rPr>
        <w:t>this:</w:t>
      </w:r>
    </w:p>
    <w:p>
      <w:pPr>
        <w:pStyle w:val="BodyText"/>
        <w:spacing w:before="9"/>
        <w:rPr>
          <w:sz w:val="24"/>
        </w:rPr>
      </w:pPr>
    </w:p>
    <w:p>
      <w:pPr>
        <w:tabs>
          <w:tab w:pos="2919" w:val="left" w:leader="none"/>
        </w:tabs>
        <w:spacing w:line="273" w:lineRule="exact" w:before="0"/>
        <w:ind w:left="488" w:right="0" w:firstLine="0"/>
        <w:jc w:val="left"/>
        <w:rPr>
          <w:sz w:val="23"/>
        </w:rPr>
      </w:pPr>
      <w:r>
        <w:rPr>
          <w:i/>
          <w:color w:val="363436"/>
          <w:w w:val="95"/>
          <w:sz w:val="24"/>
        </w:rPr>
        <w:t>Conclu.sion:</w:t>
        <w:tab/>
      </w:r>
      <w:r>
        <w:rPr>
          <w:color w:val="363436"/>
          <w:w w:val="105"/>
          <w:sz w:val="23"/>
        </w:rPr>
        <w:t>Socrates</w:t>
      </w:r>
      <w:r>
        <w:rPr>
          <w:color w:val="363436"/>
          <w:spacing w:val="1"/>
          <w:w w:val="105"/>
          <w:sz w:val="23"/>
        </w:rPr>
        <w:t> </w:t>
      </w:r>
      <w:r>
        <w:rPr>
          <w:color w:val="363436"/>
          <w:w w:val="105"/>
          <w:sz w:val="23"/>
        </w:rPr>
        <w:t>is</w:t>
      </w:r>
      <w:r>
        <w:rPr>
          <w:color w:val="363436"/>
          <w:spacing w:val="15"/>
          <w:w w:val="105"/>
          <w:sz w:val="23"/>
        </w:rPr>
        <w:t> </w:t>
      </w:r>
      <w:r>
        <w:rPr>
          <w:color w:val="363436"/>
          <w:w w:val="105"/>
          <w:sz w:val="23"/>
        </w:rPr>
        <w:t>mortal.</w:t>
      </w:r>
    </w:p>
    <w:p>
      <w:pPr>
        <w:pStyle w:val="BodyText"/>
        <w:tabs>
          <w:tab w:pos="2932" w:val="left" w:leader="none"/>
        </w:tabs>
        <w:spacing w:line="270" w:lineRule="exact"/>
        <w:ind w:left="500"/>
      </w:pPr>
      <w:r>
        <w:rPr>
          <w:i/>
          <w:color w:val="363436"/>
          <w:w w:val="105"/>
          <w:sz w:val="24"/>
        </w:rPr>
        <w:t>Rule:</w:t>
        <w:tab/>
      </w:r>
      <w:r>
        <w:rPr>
          <w:color w:val="363436"/>
          <w:w w:val="105"/>
        </w:rPr>
        <w:t>All</w:t>
      </w:r>
      <w:r>
        <w:rPr>
          <w:color w:val="363436"/>
          <w:spacing w:val="17"/>
          <w:w w:val="105"/>
        </w:rPr>
        <w:t> </w:t>
      </w:r>
      <w:r>
        <w:rPr>
          <w:color w:val="363436"/>
          <w:w w:val="105"/>
        </w:rPr>
        <w:t>human</w:t>
      </w:r>
      <w:r>
        <w:rPr>
          <w:color w:val="363436"/>
          <w:spacing w:val="20"/>
          <w:w w:val="105"/>
        </w:rPr>
        <w:t> </w:t>
      </w:r>
      <w:r>
        <w:rPr>
          <w:color w:val="363436"/>
          <w:w w:val="105"/>
        </w:rPr>
        <w:t>beings</w:t>
      </w:r>
      <w:r>
        <w:rPr>
          <w:color w:val="363436"/>
          <w:spacing w:val="11"/>
          <w:w w:val="105"/>
        </w:rPr>
        <w:t> </w:t>
      </w:r>
      <w:r>
        <w:rPr>
          <w:color w:val="363436"/>
          <w:w w:val="105"/>
        </w:rPr>
        <w:t>are</w:t>
      </w:r>
      <w:r>
        <w:rPr>
          <w:color w:val="363436"/>
          <w:spacing w:val="18"/>
          <w:w w:val="105"/>
        </w:rPr>
        <w:t> </w:t>
      </w:r>
      <w:r>
        <w:rPr>
          <w:color w:val="363436"/>
          <w:w w:val="105"/>
        </w:rPr>
        <w:t>mortal.</w:t>
      </w:r>
    </w:p>
    <w:p>
      <w:pPr>
        <w:tabs>
          <w:tab w:pos="2940" w:val="left" w:leader="none"/>
        </w:tabs>
        <w:spacing w:line="273" w:lineRule="exact" w:before="0"/>
        <w:ind w:left="500" w:right="0" w:firstLine="0"/>
        <w:jc w:val="left"/>
        <w:rPr>
          <w:sz w:val="23"/>
        </w:rPr>
      </w:pPr>
      <w:r>
        <w:rPr>
          <w:i/>
          <w:color w:val="363436"/>
          <w:sz w:val="24"/>
        </w:rPr>
        <w:t>Explanation:</w:t>
        <w:tab/>
      </w:r>
      <w:r>
        <w:rPr>
          <w:color w:val="363436"/>
          <w:w w:val="105"/>
          <w:sz w:val="23"/>
        </w:rPr>
        <w:t>Men</w:t>
      </w:r>
      <w:r>
        <w:rPr>
          <w:color w:val="363436"/>
          <w:spacing w:val="23"/>
          <w:w w:val="105"/>
          <w:sz w:val="23"/>
        </w:rPr>
        <w:t> </w:t>
      </w:r>
      <w:r>
        <w:rPr>
          <w:color w:val="363436"/>
          <w:w w:val="105"/>
          <w:sz w:val="23"/>
        </w:rPr>
        <w:t>and</w:t>
      </w:r>
      <w:r>
        <w:rPr>
          <w:color w:val="363436"/>
          <w:spacing w:val="49"/>
          <w:w w:val="105"/>
          <w:sz w:val="23"/>
        </w:rPr>
        <w:t> </w:t>
      </w:r>
      <w:r>
        <w:rPr>
          <w:color w:val="363436"/>
          <w:w w:val="105"/>
          <w:sz w:val="23"/>
        </w:rPr>
        <w:t>women</w:t>
      </w:r>
      <w:r>
        <w:rPr>
          <w:color w:val="363436"/>
          <w:spacing w:val="1"/>
          <w:w w:val="105"/>
          <w:sz w:val="23"/>
        </w:rPr>
        <w:t> </w:t>
      </w:r>
      <w:r>
        <w:rPr>
          <w:color w:val="363436"/>
          <w:w w:val="105"/>
          <w:sz w:val="23"/>
        </w:rPr>
        <w:t>are</w:t>
      </w:r>
      <w:r>
        <w:rPr>
          <w:color w:val="363436"/>
          <w:spacing w:val="14"/>
          <w:w w:val="105"/>
          <w:sz w:val="23"/>
        </w:rPr>
        <w:t> </w:t>
      </w:r>
      <w:r>
        <w:rPr>
          <w:color w:val="363436"/>
          <w:w w:val="105"/>
          <w:sz w:val="23"/>
        </w:rPr>
        <w:t>human</w:t>
      </w:r>
      <w:r>
        <w:rPr>
          <w:color w:val="363436"/>
          <w:spacing w:val="27"/>
          <w:w w:val="105"/>
          <w:sz w:val="23"/>
        </w:rPr>
        <w:t> </w:t>
      </w:r>
      <w:r>
        <w:rPr>
          <w:color w:val="363436"/>
          <w:w w:val="105"/>
          <w:sz w:val="23"/>
        </w:rPr>
        <w:t>beings.</w:t>
      </w:r>
    </w:p>
    <w:p>
      <w:pPr>
        <w:tabs>
          <w:tab w:pos="2929" w:val="left" w:leader="none"/>
        </w:tabs>
        <w:spacing w:line="273" w:lineRule="exact" w:before="3"/>
        <w:ind w:left="506" w:right="0" w:firstLine="0"/>
        <w:jc w:val="left"/>
        <w:rPr>
          <w:sz w:val="23"/>
        </w:rPr>
      </w:pPr>
      <w:r>
        <w:rPr>
          <w:i/>
          <w:color w:val="363436"/>
          <w:sz w:val="24"/>
        </w:rPr>
        <w:t>Application</w:t>
      </w:r>
      <w:r>
        <w:rPr>
          <w:i/>
          <w:color w:val="525054"/>
          <w:sz w:val="24"/>
        </w:rPr>
        <w:t>:</w:t>
        <w:tab/>
      </w:r>
      <w:r>
        <w:rPr>
          <w:color w:val="363436"/>
          <w:w w:val="105"/>
          <w:sz w:val="23"/>
        </w:rPr>
        <w:t>Socrates</w:t>
      </w:r>
      <w:r>
        <w:rPr>
          <w:color w:val="363436"/>
          <w:spacing w:val="8"/>
          <w:w w:val="105"/>
          <w:sz w:val="23"/>
        </w:rPr>
        <w:t> </w:t>
      </w:r>
      <w:r>
        <w:rPr>
          <w:color w:val="363436"/>
          <w:w w:val="105"/>
          <w:sz w:val="23"/>
        </w:rPr>
        <w:t>is</w:t>
      </w:r>
      <w:r>
        <w:rPr>
          <w:color w:val="363436"/>
          <w:spacing w:val="2"/>
          <w:w w:val="105"/>
          <w:sz w:val="23"/>
        </w:rPr>
        <w:t> </w:t>
      </w:r>
      <w:r>
        <w:rPr>
          <w:color w:val="363436"/>
          <w:w w:val="105"/>
          <w:sz w:val="23"/>
        </w:rPr>
        <w:t>a</w:t>
      </w:r>
      <w:r>
        <w:rPr>
          <w:color w:val="363436"/>
          <w:spacing w:val="31"/>
          <w:w w:val="105"/>
          <w:sz w:val="23"/>
        </w:rPr>
        <w:t> </w:t>
      </w:r>
      <w:r>
        <w:rPr>
          <w:color w:val="363436"/>
          <w:w w:val="105"/>
          <w:sz w:val="23"/>
        </w:rPr>
        <w:t>man.</w:t>
      </w:r>
    </w:p>
    <w:p>
      <w:pPr>
        <w:spacing w:line="273" w:lineRule="exact" w:before="0"/>
        <w:ind w:left="488" w:right="0" w:firstLine="0"/>
        <w:jc w:val="left"/>
        <w:rPr>
          <w:sz w:val="23"/>
        </w:rPr>
      </w:pPr>
      <w:r>
        <w:rPr>
          <w:i/>
          <w:color w:val="363436"/>
          <w:sz w:val="24"/>
        </w:rPr>
        <w:t>Connection-Conclusion:</w:t>
      </w:r>
      <w:r>
        <w:rPr>
          <w:i/>
          <w:color w:val="363436"/>
          <w:spacing w:val="116"/>
          <w:sz w:val="24"/>
        </w:rPr>
        <w:t> </w:t>
      </w:r>
      <w:r>
        <w:rPr>
          <w:color w:val="363436"/>
          <w:sz w:val="23"/>
        </w:rPr>
        <w:t>Socrates</w:t>
      </w:r>
      <w:r>
        <w:rPr>
          <w:color w:val="363436"/>
          <w:spacing w:val="9"/>
          <w:sz w:val="23"/>
        </w:rPr>
        <w:t> </w:t>
      </w:r>
      <w:r>
        <w:rPr>
          <w:color w:val="363436"/>
          <w:sz w:val="23"/>
        </w:rPr>
        <w:t>is mortal.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35" w:lineRule="auto"/>
        <w:ind w:left="150" w:right="201" w:hanging="10"/>
        <w:jc w:val="both"/>
      </w:pPr>
      <w:r>
        <w:rPr>
          <w:color w:val="363436"/>
          <w:w w:val="110"/>
        </w:rPr>
        <w:t>Thus, for each point you need to prove in your argument, you should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05"/>
        </w:rPr>
        <w:t>wrlte a CREXAC unit of discourse, or "a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CREXAC." As will be discussed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in Section 5</w:t>
      </w:r>
      <w:r>
        <w:rPr>
          <w:color w:val="525054"/>
          <w:w w:val="105"/>
        </w:rPr>
        <w:t>.</w:t>
      </w:r>
      <w:r>
        <w:rPr>
          <w:color w:val="363436"/>
          <w:w w:val="105"/>
        </w:rPr>
        <w:t>2 below, you will provide less detailed analysis (or sometimes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10"/>
        </w:rPr>
        <w:t>none at all) for points that are essential but that do not need to be proved</w:t>
      </w:r>
      <w:r>
        <w:rPr>
          <w:color w:val="363436"/>
          <w:spacing w:val="-61"/>
          <w:w w:val="110"/>
        </w:rPr>
        <w:t> </w:t>
      </w:r>
      <w:r>
        <w:rPr>
          <w:color w:val="363436"/>
          <w:w w:val="110"/>
        </w:rPr>
        <w:t>in</w:t>
      </w:r>
      <w:r>
        <w:rPr>
          <w:color w:val="363436"/>
          <w:spacing w:val="-3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6"/>
          <w:w w:val="110"/>
        </w:rPr>
        <w:t> </w:t>
      </w:r>
      <w:r>
        <w:rPr>
          <w:color w:val="363436"/>
          <w:w w:val="110"/>
        </w:rPr>
        <w:t>same</w:t>
      </w:r>
      <w:r>
        <w:rPr>
          <w:color w:val="363436"/>
          <w:spacing w:val="-23"/>
          <w:w w:val="110"/>
        </w:rPr>
        <w:t> </w:t>
      </w:r>
      <w:r>
        <w:rPr>
          <w:color w:val="363436"/>
          <w:w w:val="110"/>
        </w:rPr>
        <w:t>depth.</w:t>
      </w:r>
    </w:p>
    <w:p>
      <w:pPr>
        <w:pStyle w:val="BodyText"/>
        <w:spacing w:line="242" w:lineRule="exact"/>
        <w:ind w:left="500"/>
        <w:jc w:val="both"/>
      </w:pPr>
      <w:r>
        <w:rPr>
          <w:color w:val="363436"/>
          <w:w w:val="110"/>
        </w:rPr>
        <w:t>Some</w:t>
      </w:r>
      <w:r>
        <w:rPr>
          <w:color w:val="363436"/>
          <w:spacing w:val="-6"/>
          <w:w w:val="110"/>
        </w:rPr>
        <w:t> </w:t>
      </w:r>
      <w:r>
        <w:rPr>
          <w:color w:val="363436"/>
          <w:w w:val="110"/>
        </w:rPr>
        <w:t>writers</w:t>
      </w:r>
      <w:r>
        <w:rPr>
          <w:color w:val="363436"/>
          <w:spacing w:val="8"/>
          <w:w w:val="110"/>
        </w:rPr>
        <w:t> </w:t>
      </w:r>
      <w:r>
        <w:rPr>
          <w:color w:val="363436"/>
          <w:w w:val="110"/>
        </w:rPr>
        <w:t>have</w:t>
      </w:r>
      <w:r>
        <w:rPr>
          <w:color w:val="363436"/>
          <w:spacing w:val="-2"/>
          <w:w w:val="110"/>
        </w:rPr>
        <w:t> </w:t>
      </w:r>
      <w:r>
        <w:rPr>
          <w:color w:val="363436"/>
          <w:w w:val="110"/>
        </w:rPr>
        <w:t>a</w:t>
      </w:r>
      <w:r>
        <w:rPr>
          <w:color w:val="363436"/>
          <w:spacing w:val="18"/>
          <w:w w:val="110"/>
        </w:rPr>
        <w:t> </w:t>
      </w:r>
      <w:r>
        <w:rPr>
          <w:color w:val="363436"/>
          <w:w w:val="110"/>
        </w:rPr>
        <w:t>hard</w:t>
      </w:r>
      <w:r>
        <w:rPr>
          <w:color w:val="363436"/>
          <w:spacing w:val="11"/>
          <w:w w:val="110"/>
        </w:rPr>
        <w:t> </w:t>
      </w:r>
      <w:r>
        <w:rPr>
          <w:color w:val="363436"/>
          <w:w w:val="110"/>
        </w:rPr>
        <w:t>time</w:t>
      </w:r>
      <w:r>
        <w:rPr>
          <w:color w:val="363436"/>
          <w:spacing w:val="6"/>
          <w:w w:val="110"/>
        </w:rPr>
        <w:t> </w:t>
      </w:r>
      <w:r>
        <w:rPr>
          <w:color w:val="363436"/>
          <w:w w:val="110"/>
        </w:rPr>
        <w:t>understanding</w:t>
      </w:r>
      <w:r>
        <w:rPr>
          <w:color w:val="363436"/>
          <w:spacing w:val="8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14"/>
          <w:w w:val="110"/>
        </w:rPr>
        <w:t> </w:t>
      </w:r>
      <w:r>
        <w:rPr>
          <w:color w:val="363436"/>
          <w:w w:val="110"/>
        </w:rPr>
        <w:t>CREXAC</w:t>
      </w:r>
      <w:r>
        <w:rPr>
          <w:color w:val="363436"/>
          <w:spacing w:val="10"/>
          <w:w w:val="110"/>
        </w:rPr>
        <w:t> </w:t>
      </w:r>
      <w:r>
        <w:rPr>
          <w:color w:val="363436"/>
          <w:w w:val="110"/>
        </w:rPr>
        <w:t>formula.</w:t>
      </w:r>
    </w:p>
    <w:p>
      <w:pPr>
        <w:pStyle w:val="BodyText"/>
        <w:spacing w:line="232" w:lineRule="auto" w:before="4"/>
        <w:ind w:left="159" w:right="111" w:hanging="9"/>
        <w:jc w:val="both"/>
      </w:pPr>
      <w:r>
        <w:rPr>
          <w:color w:val="363436"/>
          <w:w w:val="105"/>
        </w:rPr>
        <w:t>They may try to make the whole argument section one long CREXAC, or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10"/>
        </w:rPr>
        <w:t>they can't decide which elements are worthy of a CREXAC analysis and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which elements are not. At this stage of the writing process, let your out­</w:t>
      </w:r>
      <w:r>
        <w:rPr>
          <w:color w:val="363436"/>
          <w:spacing w:val="1"/>
          <w:w w:val="110"/>
        </w:rPr>
        <w:t> </w:t>
      </w:r>
      <w:r>
        <w:rPr>
          <w:color w:val="363436"/>
          <w:spacing w:val="-1"/>
          <w:w w:val="110"/>
        </w:rPr>
        <w:t>line</w:t>
      </w:r>
      <w:r>
        <w:rPr>
          <w:color w:val="363436"/>
          <w:spacing w:val="-34"/>
          <w:w w:val="110"/>
        </w:rPr>
        <w:t> </w:t>
      </w:r>
      <w:r>
        <w:rPr>
          <w:color w:val="363436"/>
          <w:spacing w:val="-1"/>
          <w:w w:val="110"/>
        </w:rPr>
        <w:t>dictate</w:t>
      </w:r>
      <w:r>
        <w:rPr>
          <w:color w:val="363436"/>
          <w:spacing w:val="-26"/>
          <w:w w:val="110"/>
        </w:rPr>
        <w:t> </w:t>
      </w:r>
      <w:r>
        <w:rPr>
          <w:color w:val="363436"/>
          <w:spacing w:val="-1"/>
          <w:w w:val="110"/>
        </w:rPr>
        <w:t>your</w:t>
      </w:r>
      <w:r>
        <w:rPr>
          <w:color w:val="363436"/>
          <w:spacing w:val="-16"/>
          <w:w w:val="110"/>
        </w:rPr>
        <w:t> </w:t>
      </w:r>
      <w:r>
        <w:rPr>
          <w:color w:val="363436"/>
          <w:spacing w:val="-1"/>
          <w:w w:val="110"/>
        </w:rPr>
        <w:t>structure.</w:t>
      </w:r>
      <w:r>
        <w:rPr>
          <w:color w:val="363436"/>
          <w:spacing w:val="-4"/>
          <w:w w:val="110"/>
        </w:rPr>
        <w:t> </w:t>
      </w:r>
      <w:r>
        <w:rPr>
          <w:color w:val="363436"/>
          <w:spacing w:val="-1"/>
          <w:w w:val="110"/>
        </w:rPr>
        <w:t>Presume</w:t>
      </w:r>
      <w:r>
        <w:rPr>
          <w:color w:val="363436"/>
          <w:spacing w:val="-8"/>
          <w:w w:val="110"/>
        </w:rPr>
        <w:t> </w:t>
      </w:r>
      <w:r>
        <w:rPr>
          <w:color w:val="363436"/>
          <w:spacing w:val="-1"/>
          <w:w w:val="110"/>
        </w:rPr>
        <w:t>that</w:t>
      </w:r>
      <w:r>
        <w:rPr>
          <w:color w:val="363436"/>
          <w:spacing w:val="-8"/>
          <w:w w:val="110"/>
        </w:rPr>
        <w:t> </w:t>
      </w:r>
      <w:r>
        <w:rPr>
          <w:color w:val="363436"/>
          <w:w w:val="110"/>
        </w:rPr>
        <w:t>you</w:t>
      </w:r>
      <w:r>
        <w:rPr>
          <w:color w:val="363436"/>
          <w:spacing w:val="-11"/>
          <w:w w:val="110"/>
        </w:rPr>
        <w:t> </w:t>
      </w:r>
      <w:r>
        <w:rPr>
          <w:color w:val="363436"/>
          <w:w w:val="110"/>
        </w:rPr>
        <w:t>need</w:t>
      </w:r>
      <w:r>
        <w:rPr>
          <w:color w:val="363436"/>
          <w:spacing w:val="-10"/>
          <w:w w:val="110"/>
        </w:rPr>
        <w:t> </w:t>
      </w:r>
      <w:r>
        <w:rPr>
          <w:color w:val="363436"/>
          <w:w w:val="110"/>
        </w:rPr>
        <w:t>to</w:t>
      </w:r>
      <w:r>
        <w:rPr>
          <w:color w:val="363436"/>
          <w:spacing w:val="3"/>
          <w:w w:val="110"/>
        </w:rPr>
        <w:t> </w:t>
      </w:r>
      <w:r>
        <w:rPr>
          <w:color w:val="363436"/>
          <w:w w:val="110"/>
        </w:rPr>
        <w:t>write</w:t>
      </w:r>
      <w:r>
        <w:rPr>
          <w:color w:val="363436"/>
          <w:spacing w:val="-24"/>
          <w:w w:val="110"/>
        </w:rPr>
        <w:t> </w:t>
      </w:r>
      <w:r>
        <w:rPr>
          <w:color w:val="363436"/>
          <w:w w:val="110"/>
        </w:rPr>
        <w:t>a</w:t>
      </w:r>
      <w:r>
        <w:rPr>
          <w:color w:val="363436"/>
          <w:spacing w:val="-10"/>
          <w:w w:val="110"/>
        </w:rPr>
        <w:t> </w:t>
      </w:r>
      <w:r>
        <w:rPr>
          <w:color w:val="363436"/>
          <w:w w:val="110"/>
        </w:rPr>
        <w:t>CREXAC</w:t>
      </w:r>
      <w:r>
        <w:rPr>
          <w:color w:val="363436"/>
          <w:spacing w:val="-9"/>
          <w:w w:val="110"/>
        </w:rPr>
        <w:t> </w:t>
      </w:r>
      <w:r>
        <w:rPr>
          <w:color w:val="363436"/>
          <w:w w:val="110"/>
        </w:rPr>
        <w:t>unit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of discourse for each point in your outline. Writing up the analysis will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teach you about the point, and you may discover that some points are not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05"/>
        </w:rPr>
        <w:t>controversial (and so do not need a CREXAC analysis), while other points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10"/>
        </w:rPr>
        <w:t>are more complex than you realized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(and thus may need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to  be divided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05"/>
        </w:rPr>
        <w:t>into two or more CREXACs). See Illustrat</w:t>
      </w:r>
      <w:r>
        <w:rPr>
          <w:color w:val="525054"/>
          <w:w w:val="105"/>
        </w:rPr>
        <w:t>i</w:t>
      </w:r>
      <w:r>
        <w:rPr>
          <w:color w:val="363436"/>
          <w:w w:val="105"/>
        </w:rPr>
        <w:t>on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5.1  for a  guideline you can</w:t>
      </w:r>
      <w:r>
        <w:rPr>
          <w:color w:val="363436"/>
          <w:spacing w:val="1"/>
          <w:w w:val="105"/>
        </w:rPr>
        <w:t> </w:t>
      </w:r>
      <w:r>
        <w:rPr>
          <w:color w:val="363436"/>
          <w:spacing w:val="-1"/>
          <w:w w:val="110"/>
        </w:rPr>
        <w:t>use</w:t>
      </w:r>
      <w:r>
        <w:rPr>
          <w:color w:val="363436"/>
          <w:spacing w:val="-10"/>
          <w:w w:val="110"/>
        </w:rPr>
        <w:t> </w:t>
      </w:r>
      <w:r>
        <w:rPr>
          <w:color w:val="363436"/>
          <w:spacing w:val="-1"/>
          <w:w w:val="110"/>
        </w:rPr>
        <w:t>to</w:t>
      </w:r>
      <w:r>
        <w:rPr>
          <w:color w:val="363436"/>
          <w:spacing w:val="10"/>
          <w:w w:val="110"/>
        </w:rPr>
        <w:t> </w:t>
      </w:r>
      <w:r>
        <w:rPr>
          <w:color w:val="363436"/>
          <w:spacing w:val="-1"/>
          <w:w w:val="110"/>
        </w:rPr>
        <w:t>identify</w:t>
      </w:r>
      <w:r>
        <w:rPr>
          <w:color w:val="363436"/>
          <w:spacing w:val="-7"/>
          <w:w w:val="110"/>
        </w:rPr>
        <w:t> </w:t>
      </w:r>
      <w:r>
        <w:rPr>
          <w:color w:val="363436"/>
          <w:spacing w:val="-1"/>
          <w:w w:val="110"/>
        </w:rPr>
        <w:t>where you</w:t>
      </w:r>
      <w:r>
        <w:rPr>
          <w:color w:val="363436"/>
          <w:spacing w:val="2"/>
          <w:w w:val="110"/>
        </w:rPr>
        <w:t> </w:t>
      </w:r>
      <w:r>
        <w:rPr>
          <w:color w:val="363436"/>
          <w:spacing w:val="-1"/>
          <w:w w:val="110"/>
        </w:rPr>
        <w:t>need</w:t>
      </w:r>
      <w:r>
        <w:rPr>
          <w:color w:val="363436"/>
          <w:spacing w:val="2"/>
          <w:w w:val="110"/>
        </w:rPr>
        <w:t> </w:t>
      </w:r>
      <w:r>
        <w:rPr>
          <w:color w:val="363436"/>
          <w:spacing w:val="-1"/>
          <w:w w:val="110"/>
        </w:rPr>
        <w:t>to</w:t>
      </w:r>
      <w:r>
        <w:rPr>
          <w:color w:val="363436"/>
          <w:spacing w:val="8"/>
          <w:w w:val="110"/>
        </w:rPr>
        <w:t> </w:t>
      </w:r>
      <w:r>
        <w:rPr>
          <w:color w:val="363436"/>
          <w:spacing w:val="-1"/>
          <w:w w:val="110"/>
        </w:rPr>
        <w:t>supply</w:t>
      </w:r>
      <w:r>
        <w:rPr>
          <w:color w:val="363436"/>
          <w:spacing w:val="-4"/>
          <w:w w:val="110"/>
        </w:rPr>
        <w:t> </w:t>
      </w:r>
      <w:r>
        <w:rPr>
          <w:color w:val="363436"/>
          <w:spacing w:val="-1"/>
          <w:w w:val="110"/>
        </w:rPr>
        <w:t>a</w:t>
      </w:r>
      <w:r>
        <w:rPr>
          <w:color w:val="363436"/>
          <w:spacing w:val="-4"/>
          <w:w w:val="110"/>
        </w:rPr>
        <w:t> </w:t>
      </w:r>
      <w:r>
        <w:rPr>
          <w:color w:val="363436"/>
          <w:spacing w:val="-1"/>
          <w:w w:val="110"/>
        </w:rPr>
        <w:t>CREXAC</w:t>
      </w:r>
      <w:r>
        <w:rPr>
          <w:color w:val="363436"/>
          <w:spacing w:val="-16"/>
          <w:w w:val="110"/>
        </w:rPr>
        <w:t> </w:t>
      </w:r>
      <w:r>
        <w:rPr>
          <w:color w:val="363436"/>
          <w:spacing w:val="-1"/>
          <w:w w:val="110"/>
        </w:rPr>
        <w:t>analysts</w:t>
      </w:r>
      <w:r>
        <w:rPr>
          <w:color w:val="363436"/>
          <w:spacing w:val="-8"/>
          <w:w w:val="110"/>
        </w:rPr>
        <w:t> </w:t>
      </w:r>
      <w:r>
        <w:rPr>
          <w:color w:val="363436"/>
          <w:w w:val="110"/>
        </w:rPr>
        <w:t>within</w:t>
      </w:r>
      <w:r>
        <w:rPr>
          <w:color w:val="363436"/>
          <w:spacing w:val="-8"/>
          <w:w w:val="110"/>
        </w:rPr>
        <w:t> </w:t>
      </w:r>
      <w:r>
        <w:rPr>
          <w:color w:val="363436"/>
          <w:w w:val="110"/>
        </w:rPr>
        <w:t>your</w:t>
      </w:r>
    </w:p>
    <w:p>
      <w:pPr>
        <w:spacing w:after="0" w:line="232" w:lineRule="auto"/>
        <w:jc w:val="both"/>
        <w:sectPr>
          <w:type w:val="continuous"/>
          <w:pgSz w:w="9340" w:h="13760"/>
          <w:pgMar w:header="532" w:footer="0" w:top="340" w:bottom="280" w:left="440" w:right="1160"/>
        </w:sectPr>
      </w:pPr>
    </w:p>
    <w:p>
      <w:pPr>
        <w:pStyle w:val="BodyText"/>
        <w:spacing w:before="81"/>
        <w:ind w:left="1168" w:right="-29"/>
        <w:rPr>
          <w:sz w:val="22"/>
        </w:rPr>
      </w:pPr>
      <w:r>
        <w:rPr>
          <w:color w:val="3B3A3B"/>
          <w:w w:val="105"/>
        </w:rPr>
        <w:t>argument.</w:t>
      </w:r>
      <w:r>
        <w:rPr>
          <w:color w:val="3B3A3B"/>
          <w:spacing w:val="11"/>
          <w:w w:val="105"/>
        </w:rPr>
        <w:t> </w:t>
      </w:r>
      <w:r>
        <w:rPr>
          <w:color w:val="3B3A3B"/>
          <w:w w:val="105"/>
        </w:rPr>
        <w:t>Each</w:t>
      </w:r>
      <w:r>
        <w:rPr>
          <w:color w:val="3B3A3B"/>
          <w:spacing w:val="6"/>
          <w:w w:val="105"/>
        </w:rPr>
        <w:t> </w:t>
      </w:r>
      <w:r>
        <w:rPr>
          <w:color w:val="3B3A3B"/>
          <w:w w:val="105"/>
        </w:rPr>
        <w:t>element</w:t>
      </w:r>
      <w:r>
        <w:rPr>
          <w:color w:val="3B3A3B"/>
          <w:spacing w:val="6"/>
          <w:w w:val="105"/>
        </w:rPr>
        <w:t> </w:t>
      </w:r>
      <w:r>
        <w:rPr>
          <w:color w:val="3B3A3B"/>
          <w:w w:val="105"/>
        </w:rPr>
        <w:t>of</w:t>
      </w:r>
      <w:r>
        <w:rPr>
          <w:color w:val="3B3A3B"/>
          <w:spacing w:val="14"/>
          <w:w w:val="105"/>
        </w:rPr>
        <w:t> </w:t>
      </w:r>
      <w:r>
        <w:rPr>
          <w:color w:val="3B3A3B"/>
          <w:w w:val="105"/>
        </w:rPr>
        <w:t>the</w:t>
      </w:r>
      <w:r>
        <w:rPr>
          <w:color w:val="3B3A3B"/>
          <w:spacing w:val="34"/>
          <w:w w:val="105"/>
        </w:rPr>
        <w:t> </w:t>
      </w:r>
      <w:r>
        <w:rPr>
          <w:color w:val="3B3A3B"/>
          <w:w w:val="105"/>
        </w:rPr>
        <w:t>CREXAC</w:t>
      </w:r>
      <w:r>
        <w:rPr>
          <w:color w:val="3B3A3B"/>
          <w:spacing w:val="5"/>
          <w:w w:val="105"/>
        </w:rPr>
        <w:t> </w:t>
      </w:r>
      <w:r>
        <w:rPr>
          <w:color w:val="3B3A3B"/>
          <w:w w:val="105"/>
        </w:rPr>
        <w:t>formula</w:t>
      </w:r>
      <w:r>
        <w:rPr>
          <w:color w:val="3B3A3B"/>
          <w:spacing w:val="15"/>
          <w:w w:val="105"/>
        </w:rPr>
        <w:t> </w:t>
      </w:r>
      <w:r>
        <w:rPr>
          <w:color w:val="3B3A3B"/>
          <w:w w:val="105"/>
        </w:rPr>
        <w:t>is</w:t>
      </w:r>
      <w:r>
        <w:rPr>
          <w:color w:val="3B3A3B"/>
          <w:spacing w:val="-17"/>
          <w:w w:val="105"/>
        </w:rPr>
        <w:t> </w:t>
      </w:r>
      <w:r>
        <w:rPr>
          <w:color w:val="3B3A3B"/>
          <w:w w:val="105"/>
        </w:rPr>
        <w:t>explained</w:t>
      </w:r>
      <w:r>
        <w:rPr>
          <w:color w:val="3B3A3B"/>
          <w:spacing w:val="21"/>
          <w:w w:val="105"/>
        </w:rPr>
        <w:t> </w:t>
      </w:r>
      <w:r>
        <w:rPr>
          <w:color w:val="3B3A3B"/>
          <w:w w:val="105"/>
        </w:rPr>
        <w:t>more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  <w:sz w:val="22"/>
        </w:rPr>
        <w:t>fully</w:t>
      </w:r>
    </w:p>
    <w:p>
      <w:pPr>
        <w:pStyle w:val="BodyText"/>
        <w:spacing w:before="24"/>
        <w:ind w:left="1177"/>
      </w:pPr>
      <w:r>
        <w:rPr>
          <w:color w:val="3B3A3B"/>
        </w:rPr>
        <w:t>below.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spacing w:before="92"/>
        <w:ind w:left="3700" w:right="0" w:firstLine="0"/>
        <w:jc w:val="left"/>
        <w:rPr>
          <w:sz w:val="20"/>
        </w:rPr>
      </w:pPr>
      <w:r>
        <w:rPr>
          <w:color w:val="3B3A3B"/>
          <w:spacing w:val="-1"/>
          <w:w w:val="110"/>
          <w:sz w:val="20"/>
        </w:rPr>
        <w:t>Sample</w:t>
      </w:r>
      <w:r>
        <w:rPr>
          <w:color w:val="3B3A3B"/>
          <w:spacing w:val="-26"/>
          <w:w w:val="110"/>
          <w:sz w:val="20"/>
        </w:rPr>
        <w:t> </w:t>
      </w:r>
      <w:r>
        <w:rPr>
          <w:color w:val="3B3A3B"/>
          <w:spacing w:val="-1"/>
          <w:w w:val="110"/>
          <w:sz w:val="20"/>
        </w:rPr>
        <w:t>Argument</w:t>
      </w:r>
      <w:r>
        <w:rPr>
          <w:color w:val="3B3A3B"/>
          <w:spacing w:val="-11"/>
          <w:w w:val="110"/>
          <w:sz w:val="20"/>
        </w:rPr>
        <w:t> </w:t>
      </w:r>
      <w:r>
        <w:rPr>
          <w:color w:val="3B3A3B"/>
          <w:w w:val="110"/>
          <w:sz w:val="20"/>
        </w:rPr>
        <w:t>Structure</w:t>
      </w:r>
    </w:p>
    <w:p>
      <w:pPr>
        <w:pStyle w:val="ListParagraph"/>
        <w:numPr>
          <w:ilvl w:val="1"/>
          <w:numId w:val="43"/>
        </w:numPr>
        <w:tabs>
          <w:tab w:pos="2097" w:val="left" w:leader="none"/>
          <w:tab w:pos="2098" w:val="left" w:leader="none"/>
        </w:tabs>
        <w:spacing w:line="271" w:lineRule="auto" w:before="145" w:after="0"/>
        <w:ind w:left="2088" w:right="2016" w:hanging="357"/>
        <w:jc w:val="left"/>
        <w:rPr>
          <w:sz w:val="17"/>
        </w:rPr>
      </w:pPr>
      <w:r>
        <w:rPr>
          <w:color w:val="3B3A3B"/>
          <w:w w:val="105"/>
          <w:sz w:val="17"/>
        </w:rPr>
        <w:t>This court should reverse because first major assertion</w:t>
      </w:r>
      <w:r>
        <w:rPr>
          <w:color w:val="3B3A3B"/>
          <w:spacing w:val="1"/>
          <w:w w:val="105"/>
          <w:sz w:val="17"/>
        </w:rPr>
        <w:t> </w:t>
      </w:r>
      <w:r>
        <w:rPr>
          <w:color w:val="3B3A3B"/>
          <w:w w:val="105"/>
          <w:sz w:val="17"/>
        </w:rPr>
        <w:t>[introductory</w:t>
      </w:r>
      <w:r>
        <w:rPr>
          <w:color w:val="3B3A3B"/>
          <w:spacing w:val="16"/>
          <w:w w:val="105"/>
          <w:sz w:val="17"/>
        </w:rPr>
        <w:t> </w:t>
      </w:r>
      <w:r>
        <w:rPr>
          <w:color w:val="3B3A3B"/>
          <w:w w:val="105"/>
          <w:sz w:val="17"/>
        </w:rPr>
        <w:t>material</w:t>
      </w:r>
      <w:r>
        <w:rPr>
          <w:color w:val="3B3A3B"/>
          <w:spacing w:val="4"/>
          <w:w w:val="105"/>
          <w:sz w:val="17"/>
        </w:rPr>
        <w:t> </w:t>
      </w:r>
      <w:r>
        <w:rPr>
          <w:color w:val="3B3A3B"/>
          <w:w w:val="105"/>
          <w:sz w:val="17"/>
        </w:rPr>
        <w:t>and</w:t>
      </w:r>
      <w:r>
        <w:rPr>
          <w:color w:val="3B3A3B"/>
          <w:spacing w:val="6"/>
          <w:w w:val="105"/>
          <w:sz w:val="17"/>
        </w:rPr>
        <w:t> </w:t>
      </w:r>
      <w:r>
        <w:rPr>
          <w:color w:val="3B3A3B"/>
          <w:w w:val="105"/>
          <w:sz w:val="17"/>
        </w:rPr>
        <w:t>roadmap</w:t>
      </w:r>
      <w:r>
        <w:rPr>
          <w:color w:val="3B3A3B"/>
          <w:spacing w:val="2"/>
          <w:w w:val="105"/>
          <w:sz w:val="17"/>
        </w:rPr>
        <w:t> </w:t>
      </w:r>
      <w:r>
        <w:rPr>
          <w:color w:val="3B3A3B"/>
          <w:w w:val="105"/>
          <w:sz w:val="17"/>
        </w:rPr>
        <w:t>to</w:t>
      </w:r>
      <w:r>
        <w:rPr>
          <w:color w:val="3B3A3B"/>
          <w:spacing w:val="-8"/>
          <w:w w:val="105"/>
          <w:sz w:val="17"/>
        </w:rPr>
        <w:t> </w:t>
      </w:r>
      <w:r>
        <w:rPr>
          <w:color w:val="3B3A3B"/>
          <w:w w:val="105"/>
          <w:sz w:val="17"/>
        </w:rPr>
        <w:t>Sections I.A</w:t>
      </w:r>
      <w:r>
        <w:rPr>
          <w:color w:val="3B3A3B"/>
          <w:spacing w:val="-15"/>
          <w:w w:val="105"/>
          <w:sz w:val="17"/>
        </w:rPr>
        <w:t> </w:t>
      </w:r>
      <w:r>
        <w:rPr>
          <w:color w:val="3B3A3B"/>
          <w:w w:val="105"/>
          <w:sz w:val="16"/>
        </w:rPr>
        <w:t>&amp;</w:t>
      </w:r>
      <w:r>
        <w:rPr>
          <w:color w:val="3B3A3B"/>
          <w:spacing w:val="35"/>
          <w:w w:val="105"/>
          <w:sz w:val="16"/>
        </w:rPr>
        <w:t> </w:t>
      </w:r>
      <w:r>
        <w:rPr>
          <w:color w:val="3B3A3B"/>
          <w:w w:val="105"/>
          <w:sz w:val="17"/>
        </w:rPr>
        <w:t>I.BJ.</w:t>
      </w:r>
    </w:p>
    <w:p>
      <w:pPr>
        <w:pStyle w:val="ListParagraph"/>
        <w:numPr>
          <w:ilvl w:val="2"/>
          <w:numId w:val="43"/>
        </w:numPr>
        <w:tabs>
          <w:tab w:pos="2465" w:val="left" w:leader="none"/>
          <w:tab w:pos="2466" w:val="left" w:leader="none"/>
        </w:tabs>
        <w:spacing w:line="187" w:lineRule="exact" w:before="0" w:after="0"/>
        <w:ind w:left="2465" w:right="0" w:hanging="375"/>
        <w:jc w:val="left"/>
        <w:rPr>
          <w:rFonts w:ascii="Arial"/>
          <w:b/>
          <w:sz w:val="14"/>
        </w:rPr>
      </w:pPr>
      <w:r>
        <w:rPr>
          <w:color w:val="3B3A3B"/>
          <w:w w:val="105"/>
          <w:sz w:val="17"/>
        </w:rPr>
        <w:t>First</w:t>
      </w:r>
      <w:r>
        <w:rPr>
          <w:color w:val="3B3A3B"/>
          <w:spacing w:val="11"/>
          <w:w w:val="105"/>
          <w:sz w:val="17"/>
        </w:rPr>
        <w:t> </w:t>
      </w:r>
      <w:r>
        <w:rPr>
          <w:color w:val="3B3A3B"/>
          <w:w w:val="105"/>
          <w:sz w:val="17"/>
        </w:rPr>
        <w:t>major</w:t>
      </w:r>
      <w:r>
        <w:rPr>
          <w:color w:val="3B3A3B"/>
          <w:spacing w:val="-12"/>
          <w:w w:val="105"/>
          <w:sz w:val="17"/>
        </w:rPr>
        <w:t> </w:t>
      </w:r>
      <w:r>
        <w:rPr>
          <w:color w:val="3B3A3B"/>
          <w:w w:val="105"/>
          <w:sz w:val="17"/>
        </w:rPr>
        <w:t>assertion</w:t>
      </w:r>
      <w:r>
        <w:rPr>
          <w:color w:val="3B3A3B"/>
          <w:spacing w:val="12"/>
          <w:w w:val="105"/>
          <w:sz w:val="17"/>
        </w:rPr>
        <w:t> </w:t>
      </w:r>
      <w:r>
        <w:rPr>
          <w:color w:val="3B3A3B"/>
          <w:w w:val="105"/>
          <w:sz w:val="17"/>
        </w:rPr>
        <w:t>is</w:t>
      </w:r>
      <w:r>
        <w:rPr>
          <w:color w:val="3B3A3B"/>
          <w:spacing w:val="6"/>
          <w:w w:val="105"/>
          <w:sz w:val="17"/>
        </w:rPr>
        <w:t> </w:t>
      </w:r>
      <w:r>
        <w:rPr>
          <w:color w:val="3B3A3B"/>
          <w:w w:val="105"/>
          <w:sz w:val="17"/>
        </w:rPr>
        <w:t>tru</w:t>
      </w:r>
      <w:r>
        <w:rPr>
          <w:color w:val="5D5D5E"/>
          <w:w w:val="105"/>
          <w:sz w:val="17"/>
        </w:rPr>
        <w:t>e</w:t>
      </w:r>
      <w:r>
        <w:rPr>
          <w:color w:val="5D5D5E"/>
          <w:spacing w:val="21"/>
          <w:w w:val="105"/>
          <w:sz w:val="17"/>
        </w:rPr>
        <w:t> </w:t>
      </w:r>
      <w:r>
        <w:rPr>
          <w:color w:val="3B3A3B"/>
          <w:w w:val="105"/>
          <w:sz w:val="17"/>
        </w:rPr>
        <w:t>because</w:t>
      </w:r>
      <w:r>
        <w:rPr>
          <w:color w:val="3B3A3B"/>
          <w:spacing w:val="7"/>
          <w:w w:val="105"/>
          <w:sz w:val="17"/>
        </w:rPr>
        <w:t> </w:t>
      </w:r>
      <w:r>
        <w:rPr>
          <w:color w:val="3B3A3B"/>
          <w:w w:val="105"/>
          <w:sz w:val="17"/>
        </w:rPr>
        <w:t>first reason</w:t>
      </w:r>
      <w:r>
        <w:rPr>
          <w:color w:val="3B3A3B"/>
          <w:spacing w:val="8"/>
          <w:w w:val="105"/>
          <w:sz w:val="17"/>
        </w:rPr>
        <w:t> </w:t>
      </w:r>
      <w:r>
        <w:rPr>
          <w:color w:val="3B3A3B"/>
          <w:w w:val="105"/>
          <w:sz w:val="17"/>
        </w:rPr>
        <w:t>is</w:t>
      </w:r>
      <w:r>
        <w:rPr>
          <w:color w:val="3B3A3B"/>
          <w:spacing w:val="-4"/>
          <w:w w:val="105"/>
          <w:sz w:val="17"/>
        </w:rPr>
        <w:t> </w:t>
      </w:r>
      <w:r>
        <w:rPr>
          <w:rFonts w:ascii="Arial"/>
          <w:b/>
          <w:color w:val="3B3A3B"/>
          <w:w w:val="105"/>
          <w:sz w:val="14"/>
        </w:rPr>
        <w:t>true</w:t>
      </w:r>
    </w:p>
    <w:p>
      <w:pPr>
        <w:spacing w:line="194" w:lineRule="exact" w:before="26"/>
        <w:ind w:left="2452" w:right="0" w:firstLine="0"/>
        <w:jc w:val="left"/>
        <w:rPr>
          <w:sz w:val="17"/>
        </w:rPr>
      </w:pPr>
      <w:r>
        <w:rPr>
          <w:color w:val="3B3A3B"/>
          <w:w w:val="105"/>
          <w:sz w:val="17"/>
        </w:rPr>
        <w:t>(CREXAC</w:t>
      </w:r>
      <w:r>
        <w:rPr>
          <w:color w:val="3B3A3B"/>
          <w:spacing w:val="8"/>
          <w:w w:val="105"/>
          <w:sz w:val="17"/>
        </w:rPr>
        <w:t> </w:t>
      </w:r>
      <w:r>
        <w:rPr>
          <w:color w:val="3B3A3B"/>
          <w:w w:val="105"/>
          <w:sz w:val="17"/>
        </w:rPr>
        <w:t>analysis</w:t>
      </w:r>
      <w:r>
        <w:rPr>
          <w:color w:val="3B3A3B"/>
          <w:spacing w:val="-9"/>
          <w:w w:val="105"/>
          <w:sz w:val="17"/>
        </w:rPr>
        <w:t> </w:t>
      </w:r>
      <w:r>
        <w:rPr>
          <w:color w:val="3B3A3B"/>
          <w:w w:val="105"/>
          <w:sz w:val="17"/>
        </w:rPr>
        <w:t>of</w:t>
      </w:r>
      <w:r>
        <w:rPr>
          <w:color w:val="3B3A3B"/>
          <w:spacing w:val="9"/>
          <w:w w:val="105"/>
          <w:sz w:val="17"/>
        </w:rPr>
        <w:t> </w:t>
      </w:r>
      <w:r>
        <w:rPr>
          <w:color w:val="3B3A3B"/>
          <w:w w:val="105"/>
          <w:sz w:val="17"/>
        </w:rPr>
        <w:t>AJ.</w:t>
      </w:r>
    </w:p>
    <w:p>
      <w:pPr>
        <w:pStyle w:val="ListParagraph"/>
        <w:numPr>
          <w:ilvl w:val="2"/>
          <w:numId w:val="43"/>
        </w:numPr>
        <w:tabs>
          <w:tab w:pos="2446" w:val="left" w:leader="none"/>
          <w:tab w:pos="2447" w:val="left" w:leader="none"/>
        </w:tabs>
        <w:spacing w:line="268" w:lineRule="auto" w:before="0" w:after="0"/>
        <w:ind w:left="2425" w:right="1588" w:hanging="365"/>
        <w:jc w:val="left"/>
        <w:rPr>
          <w:sz w:val="17"/>
        </w:rPr>
      </w:pPr>
      <w:r>
        <w:rPr>
          <w:color w:val="3B3A3B"/>
          <w:w w:val="105"/>
          <w:sz w:val="17"/>
        </w:rPr>
        <w:t>First major assertion is true </w:t>
      </w:r>
      <w:r>
        <w:rPr>
          <w:b/>
          <w:color w:val="3B3A3B"/>
          <w:w w:val="105"/>
          <w:sz w:val="18"/>
        </w:rPr>
        <w:t>because </w:t>
      </w:r>
      <w:r>
        <w:rPr>
          <w:color w:val="3B3A3B"/>
          <w:w w:val="105"/>
          <w:sz w:val="17"/>
        </w:rPr>
        <w:t>second reason is true</w:t>
      </w:r>
      <w:r>
        <w:rPr>
          <w:color w:val="3B3A3B"/>
          <w:spacing w:val="1"/>
          <w:w w:val="105"/>
          <w:sz w:val="17"/>
        </w:rPr>
        <w:t> </w:t>
      </w:r>
      <w:r>
        <w:rPr>
          <w:color w:val="3B3A3B"/>
          <w:w w:val="105"/>
          <w:sz w:val="17"/>
        </w:rPr>
        <w:t>[introductory</w:t>
      </w:r>
      <w:r>
        <w:rPr>
          <w:color w:val="3B3A3B"/>
          <w:spacing w:val="15"/>
          <w:w w:val="105"/>
          <w:sz w:val="17"/>
        </w:rPr>
        <w:t> </w:t>
      </w:r>
      <w:r>
        <w:rPr>
          <w:color w:val="3B3A3B"/>
          <w:w w:val="105"/>
          <w:sz w:val="17"/>
        </w:rPr>
        <w:t>material</w:t>
      </w:r>
      <w:r>
        <w:rPr>
          <w:color w:val="3B3A3B"/>
          <w:spacing w:val="8"/>
          <w:w w:val="105"/>
          <w:sz w:val="17"/>
        </w:rPr>
        <w:t> </w:t>
      </w:r>
      <w:r>
        <w:rPr>
          <w:color w:val="3B3A3B"/>
          <w:w w:val="105"/>
          <w:sz w:val="17"/>
        </w:rPr>
        <w:t>&amp;</w:t>
      </w:r>
      <w:r>
        <w:rPr>
          <w:color w:val="3B3A3B"/>
          <w:spacing w:val="17"/>
          <w:w w:val="105"/>
          <w:sz w:val="17"/>
        </w:rPr>
        <w:t> </w:t>
      </w:r>
      <w:r>
        <w:rPr>
          <w:color w:val="3B3A3B"/>
          <w:w w:val="105"/>
          <w:sz w:val="17"/>
        </w:rPr>
        <w:t>roadmap</w:t>
      </w:r>
      <w:r>
        <w:rPr>
          <w:color w:val="3B3A3B"/>
          <w:spacing w:val="10"/>
          <w:w w:val="105"/>
          <w:sz w:val="17"/>
        </w:rPr>
        <w:t> </w:t>
      </w:r>
      <w:r>
        <w:rPr>
          <w:color w:val="3B3A3B"/>
          <w:w w:val="105"/>
          <w:sz w:val="17"/>
        </w:rPr>
        <w:t>to</w:t>
      </w:r>
      <w:r>
        <w:rPr>
          <w:color w:val="3B3A3B"/>
          <w:spacing w:val="1"/>
          <w:w w:val="105"/>
          <w:sz w:val="17"/>
        </w:rPr>
        <w:t> </w:t>
      </w:r>
      <w:r>
        <w:rPr>
          <w:color w:val="3B3A3B"/>
          <w:w w:val="105"/>
          <w:sz w:val="17"/>
        </w:rPr>
        <w:t>sections</w:t>
      </w:r>
      <w:r>
        <w:rPr>
          <w:color w:val="3B3A3B"/>
          <w:spacing w:val="-2"/>
          <w:w w:val="105"/>
          <w:sz w:val="17"/>
        </w:rPr>
        <w:t> </w:t>
      </w:r>
      <w:r>
        <w:rPr>
          <w:color w:val="3B3A3B"/>
          <w:w w:val="105"/>
          <w:sz w:val="17"/>
        </w:rPr>
        <w:t>1.8.1&amp;</w:t>
      </w:r>
      <w:r>
        <w:rPr>
          <w:color w:val="3B3A3B"/>
          <w:spacing w:val="12"/>
          <w:w w:val="105"/>
          <w:sz w:val="17"/>
        </w:rPr>
        <w:t> </w:t>
      </w:r>
      <w:r>
        <w:rPr>
          <w:color w:val="3B3A3B"/>
          <w:w w:val="105"/>
          <w:sz w:val="17"/>
        </w:rPr>
        <w:t>1.8</w:t>
      </w:r>
      <w:r>
        <w:rPr>
          <w:color w:val="5D5D5E"/>
          <w:w w:val="105"/>
          <w:sz w:val="17"/>
        </w:rPr>
        <w:t>.</w:t>
      </w:r>
      <w:r>
        <w:rPr>
          <w:color w:val="3B3A3B"/>
          <w:w w:val="105"/>
          <w:sz w:val="17"/>
        </w:rPr>
        <w:t>2).</w:t>
      </w:r>
    </w:p>
    <w:p>
      <w:pPr>
        <w:tabs>
          <w:tab w:pos="2805" w:val="left" w:leader="none"/>
        </w:tabs>
        <w:spacing w:line="190" w:lineRule="exact" w:before="0"/>
        <w:ind w:left="2445" w:right="0" w:firstLine="0"/>
        <w:jc w:val="left"/>
        <w:rPr>
          <w:sz w:val="17"/>
        </w:rPr>
      </w:pPr>
      <w:r>
        <w:rPr>
          <w:color w:val="3B3A3B"/>
          <w:w w:val="110"/>
          <w:sz w:val="18"/>
        </w:rPr>
        <w:t>J.</w:t>
        <w:tab/>
      </w:r>
      <w:r>
        <w:rPr>
          <w:color w:val="3B3A3B"/>
          <w:w w:val="105"/>
          <w:sz w:val="17"/>
        </w:rPr>
        <w:t>Second</w:t>
      </w:r>
      <w:r>
        <w:rPr>
          <w:color w:val="3B3A3B"/>
          <w:spacing w:val="18"/>
          <w:w w:val="105"/>
          <w:sz w:val="17"/>
        </w:rPr>
        <w:t> </w:t>
      </w:r>
      <w:r>
        <w:rPr>
          <w:color w:val="3B3A3B"/>
          <w:w w:val="105"/>
          <w:sz w:val="17"/>
        </w:rPr>
        <w:t>reason</w:t>
      </w:r>
      <w:r>
        <w:rPr>
          <w:color w:val="3B3A3B"/>
          <w:spacing w:val="1"/>
          <w:w w:val="105"/>
          <w:sz w:val="17"/>
        </w:rPr>
        <w:t> </w:t>
      </w:r>
      <w:r>
        <w:rPr>
          <w:color w:val="3B3A3B"/>
          <w:w w:val="105"/>
          <w:sz w:val="17"/>
        </w:rPr>
        <w:t>is</w:t>
      </w:r>
      <w:r>
        <w:rPr>
          <w:color w:val="3B3A3B"/>
          <w:spacing w:val="9"/>
          <w:w w:val="105"/>
          <w:sz w:val="17"/>
        </w:rPr>
        <w:t> </w:t>
      </w:r>
      <w:r>
        <w:rPr>
          <w:color w:val="3B3A3B"/>
          <w:w w:val="105"/>
          <w:sz w:val="17"/>
        </w:rPr>
        <w:t>true</w:t>
      </w:r>
      <w:r>
        <w:rPr>
          <w:color w:val="3B3A3B"/>
          <w:spacing w:val="1"/>
          <w:w w:val="105"/>
          <w:sz w:val="17"/>
        </w:rPr>
        <w:t> </w:t>
      </w:r>
      <w:r>
        <w:rPr>
          <w:color w:val="3B3A3B"/>
          <w:w w:val="105"/>
          <w:sz w:val="17"/>
        </w:rPr>
        <w:t>because</w:t>
      </w:r>
      <w:r>
        <w:rPr>
          <w:color w:val="3B3A3B"/>
          <w:spacing w:val="10"/>
          <w:w w:val="105"/>
          <w:sz w:val="17"/>
        </w:rPr>
        <w:t> </w:t>
      </w:r>
      <w:r>
        <w:rPr>
          <w:color w:val="3B3A3B"/>
          <w:w w:val="105"/>
          <w:sz w:val="17"/>
        </w:rPr>
        <w:t>first</w:t>
      </w:r>
      <w:r>
        <w:rPr>
          <w:color w:val="3B3A3B"/>
          <w:spacing w:val="-15"/>
          <w:w w:val="105"/>
          <w:sz w:val="17"/>
        </w:rPr>
        <w:t> </w:t>
      </w:r>
      <w:r>
        <w:rPr>
          <w:color w:val="3B3A3B"/>
          <w:w w:val="105"/>
          <w:sz w:val="17"/>
        </w:rPr>
        <w:t>subreason</w:t>
      </w:r>
      <w:r>
        <w:rPr>
          <w:color w:val="3B3A3B"/>
          <w:spacing w:val="23"/>
          <w:w w:val="105"/>
          <w:sz w:val="17"/>
        </w:rPr>
        <w:t> </w:t>
      </w:r>
      <w:r>
        <w:rPr>
          <w:color w:val="3B3A3B"/>
          <w:w w:val="105"/>
          <w:sz w:val="17"/>
        </w:rPr>
        <w:t>is</w:t>
      </w:r>
      <w:r>
        <w:rPr>
          <w:color w:val="3B3A3B"/>
          <w:spacing w:val="11"/>
          <w:w w:val="105"/>
          <w:sz w:val="17"/>
        </w:rPr>
        <w:t> </w:t>
      </w:r>
      <w:r>
        <w:rPr>
          <w:color w:val="3B3A3B"/>
          <w:w w:val="105"/>
          <w:sz w:val="17"/>
        </w:rPr>
        <w:t>true</w:t>
      </w:r>
    </w:p>
    <w:p>
      <w:pPr>
        <w:spacing w:before="32"/>
        <w:ind w:left="2413" w:right="0" w:firstLine="0"/>
        <w:jc w:val="left"/>
        <w:rPr>
          <w:sz w:val="17"/>
        </w:rPr>
      </w:pPr>
      <w:r>
        <w:rPr>
          <w:color w:val="3B3A3B"/>
          <w:w w:val="105"/>
          <w:sz w:val="17"/>
        </w:rPr>
        <w:t>(CREXAC</w:t>
      </w:r>
      <w:r>
        <w:rPr>
          <w:color w:val="3B3A3B"/>
          <w:spacing w:val="18"/>
          <w:w w:val="105"/>
          <w:sz w:val="17"/>
        </w:rPr>
        <w:t> </w:t>
      </w:r>
      <w:r>
        <w:rPr>
          <w:color w:val="3B3A3B"/>
          <w:w w:val="105"/>
          <w:sz w:val="17"/>
        </w:rPr>
        <w:t>analysis</w:t>
      </w:r>
      <w:r>
        <w:rPr>
          <w:color w:val="3B3A3B"/>
          <w:spacing w:val="11"/>
          <w:w w:val="105"/>
          <w:sz w:val="17"/>
        </w:rPr>
        <w:t> </w:t>
      </w:r>
      <w:r>
        <w:rPr>
          <w:color w:val="3B3A3B"/>
          <w:w w:val="105"/>
          <w:sz w:val="17"/>
        </w:rPr>
        <w:t>of</w:t>
      </w:r>
      <w:r>
        <w:rPr>
          <w:color w:val="3B3A3B"/>
          <w:spacing w:val="28"/>
          <w:w w:val="105"/>
          <w:sz w:val="17"/>
        </w:rPr>
        <w:t> </w:t>
      </w:r>
      <w:r>
        <w:rPr>
          <w:color w:val="3B3A3B"/>
          <w:w w:val="105"/>
          <w:sz w:val="17"/>
        </w:rPr>
        <w:t>J.B.I).</w:t>
      </w:r>
    </w:p>
    <w:p>
      <w:pPr>
        <w:tabs>
          <w:tab w:pos="2795" w:val="left" w:leader="none"/>
        </w:tabs>
        <w:spacing w:line="271" w:lineRule="auto" w:before="17"/>
        <w:ind w:left="2394" w:right="1558" w:firstLine="3"/>
        <w:jc w:val="left"/>
        <w:rPr>
          <w:sz w:val="17"/>
        </w:rPr>
      </w:pPr>
      <w:r>
        <w:rPr>
          <w:color w:val="3B3A3B"/>
          <w:w w:val="110"/>
          <w:sz w:val="17"/>
        </w:rPr>
        <w:t>2.</w:t>
        <w:tab/>
      </w:r>
      <w:r>
        <w:rPr>
          <w:color w:val="3B3A3B"/>
          <w:w w:val="105"/>
          <w:sz w:val="17"/>
        </w:rPr>
        <w:t>Second</w:t>
      </w:r>
      <w:r>
        <w:rPr>
          <w:color w:val="3B3A3B"/>
          <w:spacing w:val="11"/>
          <w:w w:val="105"/>
          <w:sz w:val="17"/>
        </w:rPr>
        <w:t> </w:t>
      </w:r>
      <w:r>
        <w:rPr>
          <w:color w:val="3B3A3B"/>
          <w:w w:val="105"/>
          <w:sz w:val="17"/>
        </w:rPr>
        <w:t>reason</w:t>
      </w:r>
      <w:r>
        <w:rPr>
          <w:color w:val="3B3A3B"/>
          <w:spacing w:val="5"/>
          <w:w w:val="105"/>
          <w:sz w:val="17"/>
        </w:rPr>
        <w:t> </w:t>
      </w:r>
      <w:r>
        <w:rPr>
          <w:color w:val="3B3A3B"/>
          <w:w w:val="105"/>
          <w:sz w:val="17"/>
        </w:rPr>
        <w:t>is</w:t>
      </w:r>
      <w:r>
        <w:rPr>
          <w:color w:val="3B3A3B"/>
          <w:spacing w:val="25"/>
          <w:w w:val="105"/>
          <w:sz w:val="17"/>
        </w:rPr>
        <w:t> </w:t>
      </w:r>
      <w:r>
        <w:rPr>
          <w:color w:val="3B3A3B"/>
          <w:w w:val="105"/>
          <w:sz w:val="17"/>
        </w:rPr>
        <w:t>true</w:t>
      </w:r>
      <w:r>
        <w:rPr>
          <w:color w:val="3B3A3B"/>
          <w:spacing w:val="4"/>
          <w:w w:val="105"/>
          <w:sz w:val="17"/>
        </w:rPr>
        <w:t> </w:t>
      </w:r>
      <w:r>
        <w:rPr>
          <w:color w:val="3B3A3B"/>
          <w:w w:val="105"/>
          <w:sz w:val="17"/>
        </w:rPr>
        <w:t>because</w:t>
      </w:r>
      <w:r>
        <w:rPr>
          <w:color w:val="3B3A3B"/>
          <w:spacing w:val="-1"/>
          <w:w w:val="105"/>
          <w:sz w:val="17"/>
        </w:rPr>
        <w:t> </w:t>
      </w:r>
      <w:r>
        <w:rPr>
          <w:color w:val="3B3A3B"/>
          <w:w w:val="105"/>
          <w:sz w:val="17"/>
        </w:rPr>
        <w:t>second</w:t>
      </w:r>
      <w:r>
        <w:rPr>
          <w:color w:val="3B3A3B"/>
          <w:spacing w:val="2"/>
          <w:w w:val="105"/>
          <w:sz w:val="17"/>
        </w:rPr>
        <w:t> </w:t>
      </w:r>
      <w:r>
        <w:rPr>
          <w:color w:val="3B3A3B"/>
          <w:w w:val="105"/>
          <w:sz w:val="17"/>
        </w:rPr>
        <w:t>subreason</w:t>
      </w:r>
      <w:r>
        <w:rPr>
          <w:color w:val="3B3A3B"/>
          <w:spacing w:val="11"/>
          <w:w w:val="105"/>
          <w:sz w:val="17"/>
        </w:rPr>
        <w:t> </w:t>
      </w:r>
      <w:r>
        <w:rPr>
          <w:color w:val="3B3A3B"/>
          <w:w w:val="105"/>
          <w:sz w:val="17"/>
        </w:rPr>
        <w:t>is</w:t>
      </w:r>
      <w:r>
        <w:rPr>
          <w:color w:val="3B3A3B"/>
          <w:spacing w:val="13"/>
          <w:w w:val="105"/>
          <w:sz w:val="17"/>
        </w:rPr>
        <w:t> </w:t>
      </w:r>
      <w:r>
        <w:rPr>
          <w:color w:val="3B3A3B"/>
          <w:w w:val="105"/>
          <w:sz w:val="17"/>
        </w:rPr>
        <w:t>true</w:t>
      </w:r>
      <w:r>
        <w:rPr>
          <w:color w:val="3B3A3B"/>
          <w:spacing w:val="-42"/>
          <w:w w:val="105"/>
          <w:sz w:val="17"/>
        </w:rPr>
        <w:t> </w:t>
      </w:r>
      <w:r>
        <w:rPr>
          <w:color w:val="3B3A3B"/>
          <w:w w:val="110"/>
          <w:sz w:val="17"/>
        </w:rPr>
        <w:t>(CREXAC</w:t>
      </w:r>
      <w:r>
        <w:rPr>
          <w:color w:val="3B3A3B"/>
          <w:spacing w:val="-20"/>
          <w:w w:val="110"/>
          <w:sz w:val="17"/>
        </w:rPr>
        <w:t> </w:t>
      </w:r>
      <w:r>
        <w:rPr>
          <w:color w:val="3B3A3B"/>
          <w:w w:val="110"/>
          <w:sz w:val="17"/>
        </w:rPr>
        <w:t>analysis</w:t>
      </w:r>
      <w:r>
        <w:rPr>
          <w:color w:val="3B3A3B"/>
          <w:spacing w:val="-9"/>
          <w:w w:val="110"/>
          <w:sz w:val="17"/>
        </w:rPr>
        <w:t> </w:t>
      </w:r>
      <w:r>
        <w:rPr>
          <w:color w:val="3B3A3B"/>
          <w:w w:val="110"/>
          <w:sz w:val="17"/>
        </w:rPr>
        <w:t>of</w:t>
      </w:r>
      <w:r>
        <w:rPr>
          <w:color w:val="3B3A3B"/>
          <w:spacing w:val="3"/>
          <w:w w:val="110"/>
          <w:sz w:val="17"/>
        </w:rPr>
        <w:t> </w:t>
      </w:r>
      <w:r>
        <w:rPr>
          <w:color w:val="3B3A3B"/>
          <w:w w:val="110"/>
          <w:sz w:val="17"/>
        </w:rPr>
        <w:t>J.8</w:t>
      </w:r>
      <w:r>
        <w:rPr>
          <w:color w:val="5D5D5E"/>
          <w:w w:val="110"/>
          <w:sz w:val="17"/>
        </w:rPr>
        <w:t>.</w:t>
      </w:r>
      <w:r>
        <w:rPr>
          <w:color w:val="3B3A3B"/>
          <w:w w:val="110"/>
          <w:sz w:val="17"/>
        </w:rPr>
        <w:t>2).</w:t>
      </w:r>
    </w:p>
    <w:p>
      <w:pPr>
        <w:tabs>
          <w:tab w:pos="2011" w:val="left" w:leader="none"/>
        </w:tabs>
        <w:spacing w:line="271" w:lineRule="auto" w:before="0"/>
        <w:ind w:left="1991" w:right="2196" w:hanging="378"/>
        <w:jc w:val="left"/>
        <w:rPr>
          <w:sz w:val="17"/>
        </w:rPr>
      </w:pPr>
      <w:r>
        <w:rPr>
          <w:rFonts w:ascii="Arial"/>
          <w:i/>
          <w:color w:val="3B3A3B"/>
          <w:w w:val="105"/>
          <w:sz w:val="17"/>
        </w:rPr>
        <w:t>11.</w:t>
        <w:tab/>
        <w:tab/>
      </w:r>
      <w:r>
        <w:rPr>
          <w:color w:val="3B3A3B"/>
          <w:w w:val="105"/>
          <w:sz w:val="17"/>
        </w:rPr>
        <w:t>Even if</w:t>
      </w:r>
      <w:r>
        <w:rPr>
          <w:color w:val="3B3A3B"/>
          <w:spacing w:val="1"/>
          <w:w w:val="105"/>
          <w:sz w:val="17"/>
        </w:rPr>
        <w:t> </w:t>
      </w:r>
      <w:r>
        <w:rPr>
          <w:color w:val="3B3A3B"/>
          <w:w w:val="105"/>
          <w:sz w:val="17"/>
        </w:rPr>
        <w:t>first assertion is not true, backup assertion is</w:t>
      </w:r>
      <w:r>
        <w:rPr>
          <w:color w:val="3B3A3B"/>
          <w:spacing w:val="1"/>
          <w:w w:val="105"/>
          <w:sz w:val="17"/>
        </w:rPr>
        <w:t> </w:t>
      </w:r>
      <w:r>
        <w:rPr>
          <w:color w:val="3B3A3B"/>
          <w:w w:val="105"/>
          <w:sz w:val="17"/>
        </w:rPr>
        <w:t>true</w:t>
      </w:r>
      <w:r>
        <w:rPr>
          <w:color w:val="3B3A3B"/>
          <w:spacing w:val="-42"/>
          <w:w w:val="105"/>
          <w:sz w:val="17"/>
        </w:rPr>
        <w:t> </w:t>
      </w:r>
      <w:r>
        <w:rPr>
          <w:color w:val="3B3A3B"/>
          <w:w w:val="105"/>
          <w:sz w:val="17"/>
        </w:rPr>
        <w:t>[CREXAC</w:t>
      </w:r>
      <w:r>
        <w:rPr>
          <w:color w:val="3B3A3B"/>
          <w:spacing w:val="-4"/>
          <w:w w:val="105"/>
          <w:sz w:val="17"/>
        </w:rPr>
        <w:t> </w:t>
      </w:r>
      <w:r>
        <w:rPr>
          <w:color w:val="3B3A3B"/>
          <w:w w:val="105"/>
          <w:sz w:val="17"/>
        </w:rPr>
        <w:t>analysis</w:t>
      </w:r>
      <w:r>
        <w:rPr>
          <w:color w:val="3B3A3B"/>
          <w:spacing w:val="-17"/>
          <w:w w:val="105"/>
          <w:sz w:val="17"/>
        </w:rPr>
        <w:t> </w:t>
      </w:r>
      <w:r>
        <w:rPr>
          <w:color w:val="3B3A3B"/>
          <w:w w:val="105"/>
          <w:sz w:val="17"/>
        </w:rPr>
        <w:t>of</w:t>
      </w:r>
      <w:r>
        <w:rPr>
          <w:color w:val="3B3A3B"/>
          <w:spacing w:val="12"/>
          <w:w w:val="105"/>
          <w:sz w:val="17"/>
        </w:rPr>
        <w:t> </w:t>
      </w:r>
      <w:r>
        <w:rPr>
          <w:color w:val="3B3A3B"/>
          <w:w w:val="105"/>
          <w:sz w:val="17"/>
        </w:rPr>
        <w:t>II].</w:t>
      </w:r>
    </w:p>
    <w:p>
      <w:pPr>
        <w:spacing w:line="271" w:lineRule="auto" w:before="0"/>
        <w:ind w:left="1979" w:right="2196" w:hanging="355"/>
        <w:jc w:val="left"/>
        <w:rPr>
          <w:sz w:val="17"/>
        </w:rPr>
      </w:pPr>
      <w:r>
        <w:rPr>
          <w:color w:val="3B3A3B"/>
          <w:w w:val="105"/>
          <w:sz w:val="17"/>
        </w:rPr>
        <w:t>III.</w:t>
      </w:r>
      <w:r>
        <w:rPr>
          <w:color w:val="3B3A3B"/>
          <w:spacing w:val="4"/>
          <w:w w:val="105"/>
          <w:sz w:val="17"/>
        </w:rPr>
        <w:t> </w:t>
      </w:r>
      <w:r>
        <w:rPr>
          <w:color w:val="3B3A3B"/>
          <w:w w:val="105"/>
          <w:sz w:val="17"/>
        </w:rPr>
        <w:t>This</w:t>
      </w:r>
      <w:r>
        <w:rPr>
          <w:color w:val="3B3A3B"/>
          <w:spacing w:val="-4"/>
          <w:w w:val="105"/>
          <w:sz w:val="17"/>
        </w:rPr>
        <w:t> </w:t>
      </w:r>
      <w:r>
        <w:rPr>
          <w:color w:val="3B3A3B"/>
          <w:w w:val="105"/>
          <w:sz w:val="17"/>
        </w:rPr>
        <w:t>court</w:t>
      </w:r>
      <w:r>
        <w:rPr>
          <w:color w:val="3B3A3B"/>
          <w:spacing w:val="-12"/>
          <w:w w:val="105"/>
          <w:sz w:val="17"/>
        </w:rPr>
        <w:t> </w:t>
      </w:r>
      <w:r>
        <w:rPr>
          <w:color w:val="3B3A3B"/>
          <w:w w:val="105"/>
          <w:sz w:val="17"/>
        </w:rPr>
        <w:t>should</w:t>
      </w:r>
      <w:r>
        <w:rPr>
          <w:color w:val="3B3A3B"/>
          <w:spacing w:val="15"/>
          <w:w w:val="105"/>
          <w:sz w:val="17"/>
        </w:rPr>
        <w:t> </w:t>
      </w:r>
      <w:r>
        <w:rPr>
          <w:color w:val="3B3A3B"/>
          <w:w w:val="105"/>
          <w:sz w:val="17"/>
        </w:rPr>
        <w:t>reverse</w:t>
      </w:r>
      <w:r>
        <w:rPr>
          <w:color w:val="3B3A3B"/>
          <w:spacing w:val="24"/>
          <w:w w:val="105"/>
          <w:sz w:val="17"/>
        </w:rPr>
        <w:t> </w:t>
      </w:r>
      <w:r>
        <w:rPr>
          <w:color w:val="3B3A3B"/>
          <w:w w:val="105"/>
          <w:sz w:val="17"/>
        </w:rPr>
        <w:t>because policy</w:t>
      </w:r>
      <w:r>
        <w:rPr>
          <w:color w:val="3B3A3B"/>
          <w:spacing w:val="12"/>
          <w:w w:val="105"/>
          <w:sz w:val="17"/>
        </w:rPr>
        <w:t> </w:t>
      </w:r>
      <w:r>
        <w:rPr>
          <w:color w:val="3B3A3B"/>
          <w:w w:val="105"/>
          <w:sz w:val="17"/>
        </w:rPr>
        <w:t>reason</w:t>
      </w:r>
      <w:r>
        <w:rPr>
          <w:color w:val="3B3A3B"/>
          <w:spacing w:val="7"/>
          <w:w w:val="105"/>
          <w:sz w:val="17"/>
        </w:rPr>
        <w:t> </w:t>
      </w:r>
      <w:r>
        <w:rPr>
          <w:color w:val="3B3A3B"/>
          <w:w w:val="105"/>
          <w:sz w:val="17"/>
        </w:rPr>
        <w:t>is</w:t>
      </w:r>
      <w:r>
        <w:rPr>
          <w:color w:val="3B3A3B"/>
          <w:spacing w:val="15"/>
          <w:w w:val="105"/>
          <w:sz w:val="17"/>
        </w:rPr>
        <w:t> </w:t>
      </w:r>
      <w:r>
        <w:rPr>
          <w:color w:val="3B3A3B"/>
          <w:w w:val="105"/>
          <w:sz w:val="17"/>
        </w:rPr>
        <w:t>true</w:t>
      </w:r>
      <w:r>
        <w:rPr>
          <w:color w:val="3B3A3B"/>
          <w:spacing w:val="-42"/>
          <w:w w:val="105"/>
          <w:sz w:val="17"/>
        </w:rPr>
        <w:t> </w:t>
      </w:r>
      <w:r>
        <w:rPr>
          <w:color w:val="3B3A3B"/>
          <w:w w:val="110"/>
          <w:sz w:val="17"/>
        </w:rPr>
        <w:t>(CREXAC</w:t>
      </w:r>
      <w:r>
        <w:rPr>
          <w:color w:val="3B3A3B"/>
          <w:spacing w:val="-13"/>
          <w:w w:val="110"/>
          <w:sz w:val="17"/>
        </w:rPr>
        <w:t> </w:t>
      </w:r>
      <w:r>
        <w:rPr>
          <w:color w:val="3B3A3B"/>
          <w:w w:val="110"/>
          <w:sz w:val="17"/>
        </w:rPr>
        <w:t>analysis</w:t>
      </w:r>
      <w:r>
        <w:rPr>
          <w:color w:val="3B3A3B"/>
          <w:spacing w:val="-10"/>
          <w:w w:val="110"/>
          <w:sz w:val="17"/>
        </w:rPr>
        <w:t> </w:t>
      </w:r>
      <w:r>
        <w:rPr>
          <w:color w:val="3B3A3B"/>
          <w:w w:val="110"/>
          <w:sz w:val="17"/>
        </w:rPr>
        <w:t>of</w:t>
      </w:r>
      <w:r>
        <w:rPr>
          <w:color w:val="3B3A3B"/>
          <w:spacing w:val="-1"/>
          <w:w w:val="110"/>
          <w:sz w:val="17"/>
        </w:rPr>
        <w:t> </w:t>
      </w:r>
      <w:r>
        <w:rPr>
          <w:color w:val="3B3A3B"/>
          <w:w w:val="110"/>
          <w:sz w:val="17"/>
        </w:rPr>
        <w:t>Ill].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6"/>
        </w:rPr>
      </w:pPr>
    </w:p>
    <w:p>
      <w:pPr>
        <w:spacing w:before="1"/>
        <w:ind w:left="1348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3B3A3B"/>
          <w:w w:val="105"/>
          <w:sz w:val="26"/>
        </w:rPr>
        <w:t>5.1.1</w:t>
      </w:r>
    </w:p>
    <w:p>
      <w:pPr>
        <w:spacing w:before="38"/>
        <w:ind w:left="1347" w:right="0" w:firstLine="0"/>
        <w:jc w:val="both"/>
        <w:rPr>
          <w:b/>
          <w:sz w:val="24"/>
        </w:rPr>
      </w:pPr>
      <w:r>
        <w:rPr>
          <w:b/>
          <w:color w:val="3B3A3B"/>
          <w:spacing w:val="-1"/>
          <w:w w:val="90"/>
          <w:sz w:val="24"/>
        </w:rPr>
        <w:t>STATE</w:t>
      </w:r>
      <w:r>
        <w:rPr>
          <w:b/>
          <w:color w:val="3B3A3B"/>
          <w:spacing w:val="8"/>
          <w:w w:val="90"/>
          <w:sz w:val="24"/>
        </w:rPr>
        <w:t> </w:t>
      </w:r>
      <w:r>
        <w:rPr>
          <w:b/>
          <w:color w:val="3B3A3B"/>
          <w:spacing w:val="-1"/>
          <w:w w:val="90"/>
          <w:sz w:val="24"/>
        </w:rPr>
        <w:t>YOUR</w:t>
      </w:r>
      <w:r>
        <w:rPr>
          <w:b/>
          <w:color w:val="3B3A3B"/>
          <w:spacing w:val="24"/>
          <w:w w:val="90"/>
          <w:sz w:val="24"/>
        </w:rPr>
        <w:t> </w:t>
      </w:r>
      <w:r>
        <w:rPr>
          <w:b/>
          <w:color w:val="3B3A3B"/>
          <w:w w:val="90"/>
          <w:sz w:val="24"/>
        </w:rPr>
        <w:t>ISSUE</w:t>
      </w:r>
      <w:r>
        <w:rPr>
          <w:b/>
          <w:color w:val="3B3A3B"/>
          <w:spacing w:val="-3"/>
          <w:w w:val="90"/>
          <w:sz w:val="24"/>
        </w:rPr>
        <w:t> </w:t>
      </w:r>
      <w:r>
        <w:rPr>
          <w:b/>
          <w:color w:val="3B3A3B"/>
          <w:w w:val="90"/>
          <w:sz w:val="24"/>
        </w:rPr>
        <w:t>AS</w:t>
      </w:r>
      <w:r>
        <w:rPr>
          <w:b/>
          <w:color w:val="3B3A3B"/>
          <w:spacing w:val="-9"/>
          <w:w w:val="90"/>
          <w:sz w:val="24"/>
        </w:rPr>
        <w:t> </w:t>
      </w:r>
      <w:r>
        <w:rPr>
          <w:b/>
          <w:color w:val="3B3A3B"/>
          <w:w w:val="90"/>
          <w:sz w:val="24"/>
        </w:rPr>
        <w:t>A</w:t>
      </w:r>
      <w:r>
        <w:rPr>
          <w:b/>
          <w:color w:val="3B3A3B"/>
          <w:spacing w:val="-1"/>
          <w:w w:val="90"/>
          <w:sz w:val="24"/>
        </w:rPr>
        <w:t> </w:t>
      </w:r>
      <w:r>
        <w:rPr>
          <w:b/>
          <w:color w:val="3B3A3B"/>
          <w:w w:val="90"/>
          <w:sz w:val="24"/>
        </w:rPr>
        <w:t>CONCLUSION</w:t>
      </w:r>
    </w:p>
    <w:p>
      <w:pPr>
        <w:pStyle w:val="BodyText"/>
        <w:spacing w:line="232" w:lineRule="auto" w:before="174"/>
        <w:ind w:left="985" w:right="55" w:firstLine="358"/>
        <w:jc w:val="both"/>
      </w:pPr>
      <w:r>
        <w:rPr>
          <w:color w:val="3B3A3B"/>
          <w:w w:val="105"/>
        </w:rPr>
        <w:t>In the first "conclusion" element of the formula, the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writer articulates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10"/>
        </w:rPr>
        <w:t>the specific issue that is being addressed, or articulates the problem (or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05"/>
        </w:rPr>
        <w:t>part or subpart of the problem) that is being "solved" in this section of the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document.</w:t>
      </w:r>
      <w:r>
        <w:rPr>
          <w:color w:val="3B3A3B"/>
          <w:spacing w:val="12"/>
          <w:w w:val="105"/>
        </w:rPr>
        <w:t> </w:t>
      </w:r>
      <w:r>
        <w:rPr>
          <w:color w:val="3B3A3B"/>
          <w:w w:val="105"/>
        </w:rPr>
        <w:t>The</w:t>
      </w:r>
      <w:r>
        <w:rPr>
          <w:color w:val="3B3A3B"/>
          <w:spacing w:val="11"/>
          <w:w w:val="105"/>
        </w:rPr>
        <w:t> </w:t>
      </w:r>
      <w:r>
        <w:rPr>
          <w:color w:val="3B3A3B"/>
          <w:w w:val="105"/>
        </w:rPr>
        <w:t>writer</w:t>
      </w:r>
      <w:r>
        <w:rPr>
          <w:color w:val="3B3A3B"/>
          <w:spacing w:val="21"/>
          <w:w w:val="105"/>
        </w:rPr>
        <w:t> </w:t>
      </w:r>
      <w:r>
        <w:rPr>
          <w:color w:val="3B3A3B"/>
          <w:w w:val="105"/>
        </w:rPr>
        <w:t>could</w:t>
      </w:r>
      <w:r>
        <w:rPr>
          <w:color w:val="3B3A3B"/>
          <w:spacing w:val="31"/>
          <w:w w:val="105"/>
        </w:rPr>
        <w:t> </w:t>
      </w:r>
      <w:r>
        <w:rPr>
          <w:color w:val="3B3A3B"/>
          <w:w w:val="105"/>
        </w:rPr>
        <w:t>articulate</w:t>
      </w:r>
      <w:r>
        <w:rPr>
          <w:color w:val="3B3A3B"/>
          <w:spacing w:val="17"/>
          <w:w w:val="105"/>
        </w:rPr>
        <w:t> </w:t>
      </w:r>
      <w:r>
        <w:rPr>
          <w:color w:val="3B3A3B"/>
          <w:w w:val="105"/>
        </w:rPr>
        <w:t>an</w:t>
      </w:r>
      <w:r>
        <w:rPr>
          <w:color w:val="3B3A3B"/>
          <w:spacing w:val="50"/>
          <w:w w:val="105"/>
        </w:rPr>
        <w:t> </w:t>
      </w:r>
      <w:r>
        <w:rPr>
          <w:color w:val="3B3A3B"/>
          <w:w w:val="105"/>
        </w:rPr>
        <w:t>issue</w:t>
      </w:r>
      <w:r>
        <w:rPr>
          <w:color w:val="3B3A3B"/>
          <w:spacing w:val="-7"/>
          <w:w w:val="105"/>
        </w:rPr>
        <w:t> </w:t>
      </w:r>
      <w:r>
        <w:rPr>
          <w:color w:val="3B3A3B"/>
          <w:w w:val="105"/>
        </w:rPr>
        <w:t>from</w:t>
      </w:r>
      <w:r>
        <w:rPr>
          <w:color w:val="3B3A3B"/>
          <w:spacing w:val="12"/>
          <w:w w:val="105"/>
        </w:rPr>
        <w:t> </w:t>
      </w:r>
      <w:r>
        <w:rPr>
          <w:rFonts w:ascii="Arial"/>
          <w:i/>
          <w:color w:val="3B3A3B"/>
          <w:w w:val="105"/>
          <w:sz w:val="21"/>
        </w:rPr>
        <w:t>Miller</w:t>
      </w:r>
      <w:r>
        <w:rPr>
          <w:rFonts w:ascii="Arial"/>
          <w:i/>
          <w:color w:val="3B3A3B"/>
          <w:spacing w:val="22"/>
          <w:w w:val="105"/>
          <w:sz w:val="21"/>
        </w:rPr>
        <w:t> </w:t>
      </w:r>
      <w:r>
        <w:rPr>
          <w:rFonts w:ascii="Arial"/>
          <w:i/>
          <w:color w:val="3B3A3B"/>
          <w:w w:val="105"/>
          <w:sz w:val="21"/>
        </w:rPr>
        <w:t>v.</w:t>
      </w:r>
      <w:r>
        <w:rPr>
          <w:rFonts w:ascii="Arial"/>
          <w:i/>
          <w:color w:val="3B3A3B"/>
          <w:spacing w:val="-6"/>
          <w:w w:val="105"/>
          <w:sz w:val="21"/>
        </w:rPr>
        <w:t> </w:t>
      </w:r>
      <w:r>
        <w:rPr>
          <w:rFonts w:ascii="Arial"/>
          <w:i/>
          <w:color w:val="3B3A3B"/>
          <w:w w:val="105"/>
          <w:sz w:val="21"/>
        </w:rPr>
        <w:t>Albright,</w:t>
      </w:r>
      <w:r>
        <w:rPr>
          <w:rFonts w:ascii="Arial"/>
          <w:i/>
          <w:color w:val="3B3A3B"/>
          <w:spacing w:val="12"/>
          <w:w w:val="105"/>
          <w:sz w:val="21"/>
        </w:rPr>
        <w:t> </w:t>
      </w:r>
      <w:r>
        <w:rPr>
          <w:color w:val="3B3A3B"/>
          <w:w w:val="105"/>
        </w:rPr>
        <w:t>523</w:t>
      </w:r>
    </w:p>
    <w:p>
      <w:pPr>
        <w:pStyle w:val="BodyText"/>
        <w:spacing w:line="253" w:lineRule="exact"/>
        <w:ind w:left="992"/>
        <w:jc w:val="both"/>
      </w:pPr>
      <w:r>
        <w:rPr>
          <w:color w:val="3B3A3B"/>
          <w:w w:val="105"/>
        </w:rPr>
        <w:t>U.S.</w:t>
      </w:r>
      <w:r>
        <w:rPr>
          <w:color w:val="3B3A3B"/>
          <w:spacing w:val="-9"/>
          <w:w w:val="105"/>
        </w:rPr>
        <w:t> </w:t>
      </w:r>
      <w:r>
        <w:rPr>
          <w:color w:val="3B3A3B"/>
          <w:w w:val="105"/>
        </w:rPr>
        <w:t>420</w:t>
      </w:r>
      <w:r>
        <w:rPr>
          <w:color w:val="3B3A3B"/>
          <w:spacing w:val="-12"/>
          <w:w w:val="105"/>
        </w:rPr>
        <w:t> </w:t>
      </w:r>
      <w:r>
        <w:rPr>
          <w:color w:val="3B3A3B"/>
          <w:w w:val="105"/>
        </w:rPr>
        <w:t>(1998),</w:t>
      </w:r>
      <w:r>
        <w:rPr>
          <w:color w:val="3B3A3B"/>
          <w:spacing w:val="8"/>
          <w:w w:val="105"/>
        </w:rPr>
        <w:t> </w:t>
      </w:r>
      <w:r>
        <w:rPr>
          <w:color w:val="3B3A3B"/>
          <w:w w:val="105"/>
        </w:rPr>
        <w:t>for</w:t>
      </w:r>
      <w:r>
        <w:rPr>
          <w:color w:val="3B3A3B"/>
          <w:spacing w:val="-9"/>
          <w:w w:val="105"/>
        </w:rPr>
        <w:t> </w:t>
      </w:r>
      <w:r>
        <w:rPr>
          <w:color w:val="3B3A3B"/>
          <w:w w:val="105"/>
        </w:rPr>
        <w:t>example,</w:t>
      </w:r>
      <w:r>
        <w:rPr>
          <w:color w:val="3B3A3B"/>
          <w:spacing w:val="22"/>
          <w:w w:val="105"/>
        </w:rPr>
        <w:t> </w:t>
      </w:r>
      <w:r>
        <w:rPr>
          <w:color w:val="3B3A3B"/>
          <w:w w:val="105"/>
        </w:rPr>
        <w:t>by</w:t>
      </w:r>
      <w:r>
        <w:rPr>
          <w:color w:val="3B3A3B"/>
          <w:spacing w:val="-7"/>
          <w:w w:val="105"/>
        </w:rPr>
        <w:t> </w:t>
      </w:r>
      <w:r>
        <w:rPr>
          <w:color w:val="3B3A3B"/>
          <w:w w:val="105"/>
        </w:rPr>
        <w:t>stating</w:t>
      </w:r>
      <w:r>
        <w:rPr>
          <w:color w:val="3B3A3B"/>
          <w:spacing w:val="-10"/>
          <w:w w:val="105"/>
        </w:rPr>
        <w:t> </w:t>
      </w:r>
      <w:r>
        <w:rPr>
          <w:color w:val="3B3A3B"/>
          <w:w w:val="105"/>
        </w:rPr>
        <w:t>affirmatively</w:t>
      </w:r>
      <w:r>
        <w:rPr>
          <w:color w:val="3B3A3B"/>
          <w:spacing w:val="20"/>
          <w:w w:val="105"/>
        </w:rPr>
        <w:t> </w:t>
      </w:r>
      <w:r>
        <w:rPr>
          <w:color w:val="3B3A3B"/>
          <w:w w:val="105"/>
        </w:rPr>
        <w:t>what</w:t>
      </w:r>
      <w:r>
        <w:rPr>
          <w:color w:val="3B3A3B"/>
          <w:spacing w:val="11"/>
          <w:w w:val="105"/>
        </w:rPr>
        <w:t> </w:t>
      </w:r>
      <w:r>
        <w:rPr>
          <w:color w:val="3B3A3B"/>
          <w:w w:val="105"/>
        </w:rPr>
        <w:t>the</w:t>
      </w:r>
      <w:r>
        <w:rPr>
          <w:color w:val="3B3A3B"/>
          <w:spacing w:val="32"/>
          <w:w w:val="105"/>
        </w:rPr>
        <w:t> </w:t>
      </w:r>
      <w:r>
        <w:rPr>
          <w:color w:val="3B3A3B"/>
          <w:w w:val="105"/>
        </w:rPr>
        <w:t>issue</w:t>
      </w:r>
      <w:r>
        <w:rPr>
          <w:color w:val="3B3A3B"/>
          <w:spacing w:val="-3"/>
          <w:w w:val="105"/>
        </w:rPr>
        <w:t> </w:t>
      </w:r>
      <w:r>
        <w:rPr>
          <w:color w:val="3B3A3B"/>
          <w:w w:val="105"/>
        </w:rPr>
        <w:t>is:</w:t>
      </w:r>
    </w:p>
    <w:p>
      <w:pPr>
        <w:spacing w:line="240" w:lineRule="auto" w:before="130"/>
        <w:ind w:left="1292" w:right="439" w:firstLine="23"/>
        <w:jc w:val="both"/>
        <w:rPr>
          <w:b/>
          <w:sz w:val="21"/>
        </w:rPr>
      </w:pPr>
      <w:r>
        <w:rPr>
          <w:b/>
          <w:color w:val="3B3A3B"/>
          <w:w w:val="110"/>
          <w:sz w:val="21"/>
        </w:rPr>
        <w:t>Under the intermediate scrutiny test, the first issue that must be</w:t>
      </w:r>
      <w:r>
        <w:rPr>
          <w:b/>
          <w:color w:val="3B3A3B"/>
          <w:spacing w:val="1"/>
          <w:w w:val="110"/>
          <w:sz w:val="21"/>
        </w:rPr>
        <w:t> </w:t>
      </w:r>
      <w:r>
        <w:rPr>
          <w:color w:val="3B3A3B"/>
          <w:w w:val="115"/>
          <w:sz w:val="20"/>
        </w:rPr>
        <w:t>decided is whether 8 U</w:t>
      </w:r>
      <w:r>
        <w:rPr>
          <w:color w:val="5D5D5E"/>
          <w:w w:val="115"/>
          <w:sz w:val="20"/>
        </w:rPr>
        <w:t>.</w:t>
      </w:r>
      <w:r>
        <w:rPr>
          <w:color w:val="3B3A3B"/>
          <w:w w:val="115"/>
          <w:sz w:val="20"/>
        </w:rPr>
        <w:t>S.C. §1409(a) </w:t>
      </w:r>
      <w:r>
        <w:rPr>
          <w:rFonts w:ascii="Arial" w:hAnsi="Arial"/>
          <w:color w:val="3B3A3B"/>
          <w:w w:val="115"/>
          <w:sz w:val="19"/>
        </w:rPr>
        <w:t>is </w:t>
      </w:r>
      <w:r>
        <w:rPr>
          <w:color w:val="3B3A3B"/>
          <w:w w:val="115"/>
          <w:sz w:val="20"/>
        </w:rPr>
        <w:t>"substantially related" to the</w:t>
      </w:r>
      <w:r>
        <w:rPr>
          <w:color w:val="3B3A3B"/>
          <w:spacing w:val="1"/>
          <w:w w:val="115"/>
          <w:sz w:val="20"/>
        </w:rPr>
        <w:t> </w:t>
      </w:r>
      <w:r>
        <w:rPr>
          <w:b/>
          <w:color w:val="3B3A3B"/>
          <w:w w:val="110"/>
          <w:sz w:val="21"/>
        </w:rPr>
        <w:t>achievement</w:t>
      </w:r>
      <w:r>
        <w:rPr>
          <w:b/>
          <w:color w:val="3B3A3B"/>
          <w:spacing w:val="1"/>
          <w:w w:val="110"/>
          <w:sz w:val="21"/>
        </w:rPr>
        <w:t> </w:t>
      </w:r>
      <w:r>
        <w:rPr>
          <w:b/>
          <w:color w:val="3B3A3B"/>
          <w:w w:val="110"/>
          <w:sz w:val="21"/>
        </w:rPr>
        <w:t>of</w:t>
      </w:r>
      <w:r>
        <w:rPr>
          <w:b/>
          <w:color w:val="3B3A3B"/>
          <w:spacing w:val="6"/>
          <w:w w:val="110"/>
          <w:sz w:val="21"/>
        </w:rPr>
        <w:t> </w:t>
      </w:r>
      <w:r>
        <w:rPr>
          <w:b/>
          <w:color w:val="3B3A3B"/>
          <w:w w:val="110"/>
          <w:sz w:val="21"/>
        </w:rPr>
        <w:t>the government</w:t>
      </w:r>
      <w:r>
        <w:rPr>
          <w:b/>
          <w:color w:val="5D5D5E"/>
          <w:w w:val="110"/>
          <w:sz w:val="21"/>
        </w:rPr>
        <w:t>'</w:t>
      </w:r>
      <w:r>
        <w:rPr>
          <w:b/>
          <w:color w:val="3B3A3B"/>
          <w:w w:val="110"/>
          <w:sz w:val="21"/>
        </w:rPr>
        <w:t>s</w:t>
      </w:r>
      <w:r>
        <w:rPr>
          <w:b/>
          <w:color w:val="3B3A3B"/>
          <w:spacing w:val="-14"/>
          <w:w w:val="110"/>
          <w:sz w:val="21"/>
        </w:rPr>
        <w:t> </w:t>
      </w:r>
      <w:r>
        <w:rPr>
          <w:b/>
          <w:color w:val="3B3A3B"/>
          <w:w w:val="110"/>
          <w:sz w:val="21"/>
        </w:rPr>
        <w:t>objective.</w:t>
      </w:r>
    </w:p>
    <w:p>
      <w:pPr>
        <w:pStyle w:val="BodyText"/>
        <w:spacing w:line="228" w:lineRule="auto" w:before="155"/>
        <w:ind w:left="870" w:right="104" w:firstLine="53"/>
        <w:jc w:val="both"/>
      </w:pPr>
      <w:r>
        <w:rPr>
          <w:color w:val="3B3A3B"/>
          <w:w w:val="105"/>
        </w:rPr>
        <w:t>Although this method effectively tells the court the issue (and is preferable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to neglecting to articulate the issue at all), it is not the best choice in a brief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to a court because it is not argumentative.Generally, in persuasive writing,</w:t>
      </w:r>
      <w:r>
        <w:rPr>
          <w:color w:val="3B3A3B"/>
          <w:spacing w:val="1"/>
          <w:w w:val="105"/>
        </w:rPr>
        <w:t> </w:t>
      </w:r>
      <w:r>
        <w:rPr>
          <w:color w:val="3B3A3B"/>
          <w:spacing w:val="-1"/>
          <w:w w:val="110"/>
        </w:rPr>
        <w:t>you</w:t>
      </w:r>
      <w:r>
        <w:rPr>
          <w:color w:val="3B3A3B"/>
          <w:spacing w:val="-11"/>
          <w:w w:val="110"/>
        </w:rPr>
        <w:t> </w:t>
      </w:r>
      <w:r>
        <w:rPr>
          <w:color w:val="3B3A3B"/>
          <w:spacing w:val="-1"/>
          <w:w w:val="110"/>
        </w:rPr>
        <w:t>should</w:t>
      </w:r>
      <w:r>
        <w:rPr>
          <w:color w:val="3B3A3B"/>
          <w:spacing w:val="-6"/>
          <w:w w:val="110"/>
        </w:rPr>
        <w:t> </w:t>
      </w:r>
      <w:r>
        <w:rPr>
          <w:color w:val="3B3A3B"/>
          <w:spacing w:val="-1"/>
          <w:w w:val="110"/>
        </w:rPr>
        <w:t>make</w:t>
      </w:r>
      <w:r>
        <w:rPr>
          <w:color w:val="3B3A3B"/>
          <w:spacing w:val="-14"/>
          <w:w w:val="110"/>
        </w:rPr>
        <w:t> </w:t>
      </w:r>
      <w:r>
        <w:rPr>
          <w:color w:val="3B3A3B"/>
          <w:w w:val="110"/>
        </w:rPr>
        <w:t>your</w:t>
      </w:r>
      <w:r>
        <w:rPr>
          <w:color w:val="3B3A3B"/>
          <w:spacing w:val="-22"/>
          <w:w w:val="110"/>
        </w:rPr>
        <w:t> </w:t>
      </w:r>
      <w:r>
        <w:rPr>
          <w:color w:val="3B3A3B"/>
          <w:w w:val="110"/>
        </w:rPr>
        <w:t>arguments</w:t>
      </w:r>
      <w:r>
        <w:rPr>
          <w:color w:val="3B3A3B"/>
          <w:spacing w:val="-11"/>
          <w:w w:val="110"/>
        </w:rPr>
        <w:t> </w:t>
      </w:r>
      <w:r>
        <w:rPr>
          <w:color w:val="3B3A3B"/>
          <w:w w:val="110"/>
        </w:rPr>
        <w:t>as</w:t>
      </w:r>
      <w:r>
        <w:rPr>
          <w:color w:val="3B3A3B"/>
          <w:spacing w:val="-20"/>
          <w:w w:val="110"/>
        </w:rPr>
        <w:t> </w:t>
      </w:r>
      <w:r>
        <w:rPr>
          <w:color w:val="3B3A3B"/>
          <w:w w:val="110"/>
        </w:rPr>
        <w:t>if</w:t>
      </w:r>
      <w:r>
        <w:rPr>
          <w:color w:val="3B3A3B"/>
          <w:spacing w:val="-3"/>
          <w:w w:val="110"/>
        </w:rPr>
        <w:t> </w:t>
      </w:r>
      <w:r>
        <w:rPr>
          <w:color w:val="3B3A3B"/>
          <w:w w:val="110"/>
        </w:rPr>
        <w:t>they</w:t>
      </w:r>
      <w:r>
        <w:rPr>
          <w:color w:val="3B3A3B"/>
          <w:spacing w:val="-26"/>
          <w:w w:val="110"/>
        </w:rPr>
        <w:t> </w:t>
      </w:r>
      <w:r>
        <w:rPr>
          <w:color w:val="3B3A3B"/>
          <w:w w:val="110"/>
        </w:rPr>
        <w:t>are</w:t>
      </w:r>
      <w:r>
        <w:rPr>
          <w:color w:val="3B3A3B"/>
          <w:spacing w:val="-29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-2"/>
          <w:w w:val="110"/>
        </w:rPr>
        <w:t> </w:t>
      </w:r>
      <w:r>
        <w:rPr>
          <w:color w:val="3B3A3B"/>
          <w:w w:val="110"/>
        </w:rPr>
        <w:t>only</w:t>
      </w:r>
      <w:r>
        <w:rPr>
          <w:color w:val="3B3A3B"/>
          <w:spacing w:val="-23"/>
          <w:w w:val="110"/>
        </w:rPr>
        <w:t> </w:t>
      </w:r>
      <w:r>
        <w:rPr>
          <w:color w:val="3B3A3B"/>
          <w:w w:val="110"/>
        </w:rPr>
        <w:t>reasonable</w:t>
      </w:r>
      <w:r>
        <w:rPr>
          <w:color w:val="3B3A3B"/>
          <w:spacing w:val="-3"/>
          <w:w w:val="110"/>
        </w:rPr>
        <w:t> </w:t>
      </w:r>
      <w:r>
        <w:rPr>
          <w:color w:val="3B3A3B"/>
          <w:w w:val="110"/>
        </w:rPr>
        <w:t>resolu­</w:t>
      </w:r>
      <w:r>
        <w:rPr>
          <w:color w:val="3B3A3B"/>
          <w:spacing w:val="-60"/>
          <w:w w:val="110"/>
        </w:rPr>
        <w:t> </w:t>
      </w:r>
      <w:r>
        <w:rPr>
          <w:color w:val="3B3A3B"/>
          <w:w w:val="105"/>
        </w:rPr>
        <w:t>tion to the issues before the court. Therefore, it is often best to state your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10"/>
        </w:rPr>
        <w:t>issues</w:t>
      </w:r>
      <w:r>
        <w:rPr>
          <w:color w:val="3B3A3B"/>
          <w:spacing w:val="-23"/>
          <w:w w:val="110"/>
        </w:rPr>
        <w:t> </w:t>
      </w:r>
      <w:r>
        <w:rPr>
          <w:color w:val="3B3A3B"/>
          <w:w w:val="110"/>
        </w:rPr>
        <w:t>as</w:t>
      </w:r>
      <w:r>
        <w:rPr>
          <w:color w:val="3B3A3B"/>
          <w:spacing w:val="-7"/>
          <w:w w:val="110"/>
        </w:rPr>
        <w:t> </w:t>
      </w:r>
      <w:r>
        <w:rPr>
          <w:color w:val="3B3A3B"/>
          <w:w w:val="110"/>
        </w:rPr>
        <w:t>conclusions:</w:t>
      </w:r>
    </w:p>
    <w:p>
      <w:pPr>
        <w:spacing w:line="206" w:lineRule="auto" w:before="110"/>
        <w:ind w:left="1208" w:right="484" w:firstLine="18"/>
        <w:jc w:val="both"/>
        <w:rPr>
          <w:sz w:val="20"/>
        </w:rPr>
      </w:pPr>
      <w:r>
        <w:rPr>
          <w:rFonts w:ascii="Arial" w:hAnsi="Arial"/>
          <w:b/>
          <w:color w:val="3B3A3B"/>
          <w:w w:val="120"/>
          <w:sz w:val="19"/>
        </w:rPr>
        <w:t>8</w:t>
      </w:r>
      <w:r>
        <w:rPr>
          <w:rFonts w:ascii="Arial" w:hAnsi="Arial"/>
          <w:b/>
          <w:color w:val="3B3A3B"/>
          <w:spacing w:val="1"/>
          <w:w w:val="120"/>
          <w:sz w:val="19"/>
        </w:rPr>
        <w:t> </w:t>
      </w:r>
      <w:r>
        <w:rPr>
          <w:color w:val="3B3A3B"/>
          <w:w w:val="120"/>
          <w:sz w:val="28"/>
        </w:rPr>
        <w:t>u.s.C. </w:t>
      </w:r>
      <w:r>
        <w:rPr>
          <w:color w:val="3B3A3B"/>
          <w:w w:val="120"/>
          <w:sz w:val="20"/>
        </w:rPr>
        <w:t>§1409(a) is not</w:t>
      </w:r>
      <w:r>
        <w:rPr>
          <w:color w:val="3B3A3B"/>
          <w:spacing w:val="1"/>
          <w:w w:val="120"/>
          <w:sz w:val="20"/>
        </w:rPr>
        <w:t> </w:t>
      </w:r>
      <w:r>
        <w:rPr>
          <w:color w:val="3B3A3B"/>
          <w:w w:val="120"/>
          <w:sz w:val="20"/>
        </w:rPr>
        <w:t>"substantially related" to</w:t>
      </w:r>
      <w:r>
        <w:rPr>
          <w:color w:val="3B3A3B"/>
          <w:spacing w:val="1"/>
          <w:w w:val="120"/>
          <w:sz w:val="20"/>
        </w:rPr>
        <w:t> </w:t>
      </w:r>
      <w:r>
        <w:rPr>
          <w:color w:val="3B3A3B"/>
          <w:w w:val="120"/>
          <w:sz w:val="20"/>
        </w:rPr>
        <w:t>the  achieve­</w:t>
      </w:r>
      <w:r>
        <w:rPr>
          <w:color w:val="3B3A3B"/>
          <w:spacing w:val="1"/>
          <w:w w:val="120"/>
          <w:sz w:val="20"/>
        </w:rPr>
        <w:t> </w:t>
      </w:r>
      <w:r>
        <w:rPr>
          <w:color w:val="3B3A3B"/>
          <w:w w:val="120"/>
          <w:sz w:val="20"/>
        </w:rPr>
        <w:t>ment </w:t>
      </w:r>
      <w:r>
        <w:rPr>
          <w:i/>
          <w:color w:val="3B3A3B"/>
          <w:w w:val="120"/>
          <w:sz w:val="25"/>
        </w:rPr>
        <w:t>ot </w:t>
      </w:r>
      <w:r>
        <w:rPr>
          <w:color w:val="3B3A3B"/>
          <w:w w:val="120"/>
          <w:sz w:val="20"/>
        </w:rPr>
        <w:t>the government's objective because it</w:t>
      </w:r>
      <w:r>
        <w:rPr>
          <w:color w:val="3B3A3B"/>
          <w:spacing w:val="1"/>
          <w:w w:val="120"/>
          <w:sz w:val="20"/>
        </w:rPr>
        <w:t> </w:t>
      </w:r>
      <w:r>
        <w:rPr>
          <w:color w:val="3B3A3B"/>
          <w:w w:val="120"/>
          <w:sz w:val="20"/>
        </w:rPr>
        <w:t>is unconstitutionally</w:t>
      </w:r>
      <w:r>
        <w:rPr>
          <w:color w:val="3B3A3B"/>
          <w:spacing w:val="1"/>
          <w:w w:val="120"/>
          <w:sz w:val="20"/>
        </w:rPr>
        <w:t> </w:t>
      </w:r>
      <w:r>
        <w:rPr>
          <w:color w:val="3B3A3B"/>
          <w:w w:val="120"/>
          <w:sz w:val="20"/>
        </w:rPr>
        <w:t>overinclusive.</w:t>
      </w:r>
    </w:p>
    <w:p>
      <w:pPr>
        <w:pStyle w:val="BodyText"/>
        <w:spacing w:line="235" w:lineRule="auto" w:before="150"/>
        <w:ind w:left="792" w:right="142" w:firstLine="11"/>
        <w:jc w:val="both"/>
      </w:pPr>
      <w:r>
        <w:rPr>
          <w:color w:val="3B3A3B"/>
          <w:w w:val="105"/>
          <w:sz w:val="24"/>
        </w:rPr>
        <w:t>If </w:t>
      </w:r>
      <w:r>
        <w:rPr>
          <w:color w:val="3B3A3B"/>
          <w:w w:val="105"/>
        </w:rPr>
        <w:t>your issue is more complicated,  the conclusion  may  be longer than  just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10"/>
        </w:rPr>
        <w:t>a</w:t>
      </w:r>
      <w:r>
        <w:rPr>
          <w:color w:val="3B3A3B"/>
          <w:spacing w:val="36"/>
          <w:w w:val="110"/>
        </w:rPr>
        <w:t> </w:t>
      </w:r>
      <w:r>
        <w:rPr>
          <w:color w:val="3B3A3B"/>
          <w:w w:val="110"/>
        </w:rPr>
        <w:t>simple</w:t>
      </w:r>
      <w:r>
        <w:rPr>
          <w:color w:val="3B3A3B"/>
          <w:spacing w:val="18"/>
          <w:w w:val="110"/>
        </w:rPr>
        <w:t> </w:t>
      </w:r>
      <w:r>
        <w:rPr>
          <w:color w:val="3B3A3B"/>
          <w:w w:val="110"/>
        </w:rPr>
        <w:t>sentence.</w:t>
      </w:r>
      <w:r>
        <w:rPr>
          <w:color w:val="3B3A3B"/>
          <w:spacing w:val="11"/>
          <w:w w:val="110"/>
        </w:rPr>
        <w:t> </w:t>
      </w:r>
      <w:r>
        <w:rPr>
          <w:color w:val="3B3A3B"/>
          <w:w w:val="110"/>
        </w:rPr>
        <w:t>You</w:t>
      </w:r>
      <w:r>
        <w:rPr>
          <w:color w:val="3B3A3B"/>
          <w:spacing w:val="24"/>
          <w:w w:val="110"/>
        </w:rPr>
        <w:t> </w:t>
      </w:r>
      <w:r>
        <w:rPr>
          <w:color w:val="3B3A3B"/>
          <w:w w:val="110"/>
        </w:rPr>
        <w:t>may</w:t>
      </w:r>
      <w:r>
        <w:rPr>
          <w:color w:val="3B3A3B"/>
          <w:spacing w:val="16"/>
          <w:w w:val="110"/>
        </w:rPr>
        <w:t> </w:t>
      </w:r>
      <w:r>
        <w:rPr>
          <w:color w:val="3B3A3B"/>
          <w:w w:val="110"/>
        </w:rPr>
        <w:t>need</w:t>
      </w:r>
      <w:r>
        <w:rPr>
          <w:color w:val="3B3A3B"/>
          <w:spacing w:val="34"/>
          <w:w w:val="110"/>
        </w:rPr>
        <w:t> </w:t>
      </w:r>
      <w:r>
        <w:rPr>
          <w:color w:val="3B3A3B"/>
          <w:w w:val="110"/>
        </w:rPr>
        <w:t>to</w:t>
      </w:r>
      <w:r>
        <w:rPr>
          <w:color w:val="3B3A3B"/>
          <w:spacing w:val="23"/>
          <w:w w:val="110"/>
        </w:rPr>
        <w:t> </w:t>
      </w:r>
      <w:r>
        <w:rPr>
          <w:color w:val="3B3A3B"/>
          <w:w w:val="110"/>
        </w:rPr>
        <w:t>provide</w:t>
      </w:r>
      <w:r>
        <w:rPr>
          <w:color w:val="3B3A3B"/>
          <w:spacing w:val="9"/>
          <w:w w:val="110"/>
        </w:rPr>
        <w:t> </w:t>
      </w:r>
      <w:r>
        <w:rPr>
          <w:color w:val="3B3A3B"/>
          <w:w w:val="110"/>
        </w:rPr>
        <w:t>legal</w:t>
      </w:r>
      <w:r>
        <w:rPr>
          <w:color w:val="3B3A3B"/>
          <w:spacing w:val="16"/>
          <w:w w:val="110"/>
        </w:rPr>
        <w:t> </w:t>
      </w:r>
      <w:r>
        <w:rPr>
          <w:color w:val="3B3A3B"/>
          <w:w w:val="110"/>
        </w:rPr>
        <w:t>or</w:t>
      </w:r>
      <w:r>
        <w:rPr>
          <w:color w:val="3B3A3B"/>
          <w:spacing w:val="39"/>
          <w:w w:val="110"/>
        </w:rPr>
        <w:t> </w:t>
      </w:r>
      <w:r>
        <w:rPr>
          <w:color w:val="3B3A3B"/>
          <w:w w:val="110"/>
        </w:rPr>
        <w:t>factual</w:t>
      </w:r>
      <w:r>
        <w:rPr>
          <w:color w:val="3B3A3B"/>
          <w:spacing w:val="29"/>
          <w:w w:val="110"/>
        </w:rPr>
        <w:t> </w:t>
      </w:r>
      <w:r>
        <w:rPr>
          <w:color w:val="3B3A3B"/>
          <w:w w:val="110"/>
        </w:rPr>
        <w:t>context</w:t>
      </w:r>
      <w:r>
        <w:rPr>
          <w:color w:val="3B3A3B"/>
          <w:spacing w:val="22"/>
          <w:w w:val="110"/>
        </w:rPr>
        <w:t> </w:t>
      </w:r>
      <w:r>
        <w:rPr>
          <w:color w:val="3B3A3B"/>
          <w:w w:val="110"/>
        </w:rPr>
        <w:t>to</w:t>
      </w:r>
    </w:p>
    <w:p>
      <w:pPr>
        <w:spacing w:after="0" w:line="235" w:lineRule="auto"/>
        <w:jc w:val="both"/>
        <w:sectPr>
          <w:headerReference w:type="even" r:id="rId115"/>
          <w:headerReference w:type="default" r:id="rId116"/>
          <w:pgSz w:w="9720" w:h="13790"/>
          <w:pgMar w:header="415" w:footer="0" w:top="1020" w:bottom="0" w:left="1340" w:right="0"/>
          <w:pgNumType w:start="90"/>
        </w:sectPr>
      </w:pPr>
    </w:p>
    <w:p>
      <w:pPr>
        <w:pStyle w:val="BodyText"/>
        <w:spacing w:line="230" w:lineRule="auto" w:before="89"/>
        <w:ind w:left="119" w:right="162" w:firstLine="6"/>
        <w:jc w:val="both"/>
      </w:pPr>
      <w:r>
        <w:rPr>
          <w:color w:val="383638"/>
          <w:w w:val="110"/>
        </w:rPr>
        <w:t>help the reader to understand how the conclusion fits into your argument.</w:t>
      </w:r>
      <w:r>
        <w:rPr>
          <w:color w:val="383638"/>
          <w:spacing w:val="1"/>
          <w:w w:val="110"/>
        </w:rPr>
        <w:t> </w:t>
      </w:r>
      <w:r>
        <w:rPr>
          <w:color w:val="383638"/>
        </w:rPr>
        <w:t>In </w:t>
      </w:r>
      <w:r>
        <w:rPr>
          <w:i/>
          <w:color w:val="383638"/>
          <w:sz w:val="24"/>
        </w:rPr>
        <w:t>Minnesota v.Carter, </w:t>
      </w:r>
      <w:r>
        <w:rPr>
          <w:color w:val="383638"/>
        </w:rPr>
        <w:t>525</w:t>
      </w:r>
      <w:r>
        <w:rPr>
          <w:color w:val="383638"/>
          <w:spacing w:val="57"/>
        </w:rPr>
        <w:t> </w:t>
      </w:r>
      <w:r>
        <w:rPr>
          <w:color w:val="383638"/>
        </w:rPr>
        <w:t>U.S. 83</w:t>
      </w:r>
      <w:r>
        <w:rPr>
          <w:color w:val="383638"/>
          <w:spacing w:val="58"/>
        </w:rPr>
        <w:t> </w:t>
      </w:r>
      <w:r>
        <w:rPr>
          <w:color w:val="383638"/>
        </w:rPr>
        <w:t>(1998), for example, the</w:t>
      </w:r>
      <w:r>
        <w:rPr>
          <w:color w:val="383638"/>
          <w:spacing w:val="57"/>
        </w:rPr>
        <w:t> </w:t>
      </w:r>
      <w:r>
        <w:rPr>
          <w:color w:val="383638"/>
        </w:rPr>
        <w:t>Court was asked</w:t>
      </w:r>
      <w:r>
        <w:rPr>
          <w:color w:val="383638"/>
          <w:spacing w:val="1"/>
        </w:rPr>
        <w:t> </w:t>
      </w:r>
      <w:r>
        <w:rPr>
          <w:color w:val="383638"/>
          <w:w w:val="110"/>
        </w:rPr>
        <w:t>to determine whether an officer violated the Fourth Amendment when 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observed criminal activity through the window of a basement apartment.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 the example below, the writer provides factual context before using a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conclusory</w:t>
      </w:r>
      <w:r>
        <w:rPr>
          <w:color w:val="383638"/>
          <w:spacing w:val="-8"/>
          <w:w w:val="115"/>
        </w:rPr>
        <w:t> </w:t>
      </w:r>
      <w:r>
        <w:rPr>
          <w:color w:val="383638"/>
          <w:w w:val="115"/>
        </w:rPr>
        <w:t>statement</w:t>
      </w:r>
      <w:r>
        <w:rPr>
          <w:color w:val="383638"/>
          <w:spacing w:val="2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-11"/>
          <w:w w:val="115"/>
        </w:rPr>
        <w:t> </w:t>
      </w:r>
      <w:r>
        <w:rPr>
          <w:color w:val="383638"/>
          <w:w w:val="115"/>
        </w:rPr>
        <w:t>articulate</w:t>
      </w:r>
      <w:r>
        <w:rPr>
          <w:color w:val="383638"/>
          <w:spacing w:val="-1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12"/>
          <w:w w:val="115"/>
        </w:rPr>
        <w:t> </w:t>
      </w:r>
      <w:r>
        <w:rPr>
          <w:color w:val="383638"/>
          <w:w w:val="115"/>
        </w:rPr>
        <w:t>issue:</w:t>
      </w:r>
    </w:p>
    <w:p>
      <w:pPr>
        <w:spacing w:line="237" w:lineRule="auto" w:before="135"/>
        <w:ind w:left="470" w:right="508" w:firstLine="9"/>
        <w:jc w:val="both"/>
        <w:rPr>
          <w:b/>
          <w:sz w:val="21"/>
        </w:rPr>
      </w:pPr>
      <w:r>
        <w:rPr>
          <w:b/>
          <w:color w:val="383638"/>
          <w:w w:val="110"/>
          <w:sz w:val="21"/>
        </w:rPr>
        <w:t>Because Thielen was located outside the curtilage of the apartment,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he</w:t>
      </w:r>
      <w:r>
        <w:rPr>
          <w:b/>
          <w:color w:val="383638"/>
          <w:spacing w:val="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was</w:t>
      </w:r>
      <w:r>
        <w:rPr>
          <w:b/>
          <w:color w:val="383638"/>
          <w:spacing w:val="-1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free</w:t>
      </w:r>
      <w:r>
        <w:rPr>
          <w:b/>
          <w:color w:val="383638"/>
          <w:spacing w:val="-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to</w:t>
      </w:r>
      <w:r>
        <w:rPr>
          <w:b/>
          <w:color w:val="383638"/>
          <w:spacing w:val="-7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observe</w:t>
      </w:r>
      <w:r>
        <w:rPr>
          <w:b/>
          <w:color w:val="383638"/>
          <w:spacing w:val="-1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any</w:t>
      </w:r>
      <w:r>
        <w:rPr>
          <w:b/>
          <w:color w:val="383638"/>
          <w:spacing w:val="1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scene</w:t>
      </w:r>
      <w:r>
        <w:rPr>
          <w:b/>
          <w:color w:val="383638"/>
          <w:spacing w:val="-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in</w:t>
      </w:r>
      <w:r>
        <w:rPr>
          <w:b/>
          <w:color w:val="383638"/>
          <w:spacing w:val="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plain</w:t>
      </w:r>
      <w:r>
        <w:rPr>
          <w:b/>
          <w:color w:val="383638"/>
          <w:spacing w:val="-1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view.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Respondents'</w:t>
      </w:r>
      <w:r>
        <w:rPr>
          <w:b/>
          <w:color w:val="383638"/>
          <w:spacing w:val="-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activities</w:t>
      </w:r>
      <w:r>
        <w:rPr>
          <w:b/>
          <w:color w:val="383638"/>
          <w:spacing w:val="-5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within the apartment were in plain view from Thielen's lawful van</w:t>
      </w:r>
      <w:r>
        <w:rPr>
          <w:b/>
          <w:color w:val="59595B"/>
          <w:w w:val="110"/>
          <w:sz w:val="21"/>
        </w:rPr>
        <w:t>­</w:t>
      </w:r>
      <w:r>
        <w:rPr>
          <w:b/>
          <w:color w:val="59595B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tage point. Thus, Thielen's observation violated no reasonable expec­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tation</w:t>
      </w:r>
      <w:r>
        <w:rPr>
          <w:b/>
          <w:color w:val="383638"/>
          <w:spacing w:val="-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of</w:t>
      </w:r>
      <w:r>
        <w:rPr>
          <w:b/>
          <w:color w:val="383638"/>
          <w:spacing w:val="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privacy</w:t>
      </w:r>
      <w:r>
        <w:rPr>
          <w:b/>
          <w:color w:val="383638"/>
          <w:spacing w:val="-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and</w:t>
      </w:r>
      <w:r>
        <w:rPr>
          <w:b/>
          <w:color w:val="383638"/>
          <w:spacing w:val="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did</w:t>
      </w:r>
      <w:r>
        <w:rPr>
          <w:b/>
          <w:color w:val="383638"/>
          <w:spacing w:val="10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not</w:t>
      </w:r>
      <w:r>
        <w:rPr>
          <w:b/>
          <w:color w:val="383638"/>
          <w:spacing w:val="20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constitute</w:t>
      </w:r>
      <w:r>
        <w:rPr>
          <w:b/>
          <w:color w:val="383638"/>
          <w:spacing w:val="-10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</w:t>
      </w:r>
      <w:r>
        <w:rPr>
          <w:b/>
          <w:color w:val="383638"/>
          <w:spacing w:val="-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Fourth</w:t>
      </w:r>
      <w:r>
        <w:rPr>
          <w:b/>
          <w:color w:val="383638"/>
          <w:spacing w:val="-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Amendment</w:t>
      </w:r>
      <w:r>
        <w:rPr>
          <w:b/>
          <w:color w:val="383638"/>
          <w:spacing w:val="-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search.</w:t>
      </w:r>
    </w:p>
    <w:p>
      <w:pPr>
        <w:pStyle w:val="BodyText"/>
        <w:spacing w:line="232" w:lineRule="auto" w:before="148"/>
        <w:ind w:left="119" w:right="114" w:hanging="7"/>
        <w:jc w:val="both"/>
      </w:pPr>
      <w:r>
        <w:rPr>
          <w:rFonts w:ascii="Arial" w:hAnsi="Arial"/>
          <w:color w:val="383638"/>
          <w:w w:val="110"/>
          <w:sz w:val="20"/>
        </w:rPr>
        <w:t>By </w:t>
      </w:r>
      <w:r>
        <w:rPr>
          <w:color w:val="383638"/>
          <w:w w:val="110"/>
        </w:rPr>
        <w:t>stating your issue as a conclusion, you begin to focus your reader not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only on the issue that you will be addressing in that section of the argu­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ment,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but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also</w:t>
      </w:r>
      <w:r>
        <w:rPr>
          <w:color w:val="383638"/>
          <w:spacing w:val="-22"/>
          <w:w w:val="110"/>
        </w:rPr>
        <w:t> </w:t>
      </w:r>
      <w:r>
        <w:rPr>
          <w:color w:val="383638"/>
          <w:w w:val="110"/>
        </w:rPr>
        <w:t>on</w:t>
      </w:r>
      <w:r>
        <w:rPr>
          <w:color w:val="383638"/>
          <w:spacing w:val="3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result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analysis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58"/>
          <w:w w:val="110"/>
        </w:rPr>
        <w:t> </w:t>
      </w:r>
      <w:r>
        <w:rPr>
          <w:color w:val="383638"/>
          <w:w w:val="110"/>
        </w:rPr>
        <w:t>issue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will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reveal.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23"/>
        <w:ind w:left="3007" w:right="1086" w:hanging="1946"/>
        <w:jc w:val="both"/>
        <w:rPr>
          <w:rFonts w:ascii="Arial"/>
          <w:b/>
          <w:sz w:val="20"/>
        </w:rPr>
      </w:pPr>
      <w:r>
        <w:rPr>
          <w:rFonts w:ascii="Arial"/>
          <w:b/>
          <w:color w:val="383638"/>
          <w:w w:val="115"/>
          <w:sz w:val="20"/>
        </w:rPr>
        <w:t>WIii My Writing BeBoring If I Use the Same Formula</w:t>
      </w:r>
      <w:r>
        <w:rPr>
          <w:rFonts w:ascii="Arial"/>
          <w:b/>
          <w:color w:val="383638"/>
          <w:spacing w:val="-61"/>
          <w:w w:val="115"/>
          <w:sz w:val="20"/>
        </w:rPr>
        <w:t> </w:t>
      </w:r>
      <w:r>
        <w:rPr>
          <w:rFonts w:ascii="Arial"/>
          <w:b/>
          <w:color w:val="383638"/>
          <w:w w:val="115"/>
          <w:sz w:val="20"/>
        </w:rPr>
        <w:t>In</w:t>
      </w:r>
      <w:r>
        <w:rPr>
          <w:rFonts w:ascii="Arial"/>
          <w:b/>
          <w:color w:val="383638"/>
          <w:spacing w:val="10"/>
          <w:w w:val="115"/>
          <w:sz w:val="20"/>
        </w:rPr>
        <w:t> </w:t>
      </w:r>
      <w:r>
        <w:rPr>
          <w:rFonts w:ascii="Arial"/>
          <w:b/>
          <w:color w:val="383638"/>
          <w:w w:val="115"/>
          <w:sz w:val="20"/>
        </w:rPr>
        <w:t>Each</w:t>
      </w:r>
      <w:r>
        <w:rPr>
          <w:rFonts w:ascii="Arial"/>
          <w:b/>
          <w:color w:val="383638"/>
          <w:spacing w:val="-13"/>
          <w:w w:val="115"/>
          <w:sz w:val="20"/>
        </w:rPr>
        <w:t> </w:t>
      </w:r>
      <w:r>
        <w:rPr>
          <w:rFonts w:ascii="Arial"/>
          <w:b/>
          <w:color w:val="383638"/>
          <w:w w:val="115"/>
          <w:sz w:val="20"/>
        </w:rPr>
        <w:t>Section?</w:t>
      </w:r>
    </w:p>
    <w:p>
      <w:pPr>
        <w:spacing w:line="240" w:lineRule="auto" w:before="109"/>
        <w:ind w:left="365" w:right="333" w:hanging="2"/>
        <w:jc w:val="both"/>
        <w:rPr>
          <w:rFonts w:ascii="Arial" w:hAnsi="Arial"/>
          <w:sz w:val="19"/>
        </w:rPr>
      </w:pPr>
      <w:r>
        <w:rPr>
          <w:rFonts w:ascii="Arial" w:hAnsi="Arial"/>
          <w:color w:val="383638"/>
          <w:w w:val="105"/>
          <w:sz w:val="19"/>
        </w:rPr>
        <w:t>The CREXAC formula does not</w:t>
      </w:r>
      <w:r>
        <w:rPr>
          <w:rFonts w:ascii="Arial" w:hAnsi="Arial"/>
          <w:color w:val="383638"/>
          <w:spacing w:val="1"/>
          <w:w w:val="105"/>
          <w:sz w:val="19"/>
        </w:rPr>
        <w:t> </w:t>
      </w:r>
      <w:r>
        <w:rPr>
          <w:rFonts w:ascii="Arial" w:hAnsi="Arial"/>
          <w:color w:val="383638"/>
          <w:w w:val="105"/>
          <w:sz w:val="19"/>
        </w:rPr>
        <w:t>provide one rubric that governs the whole argu­</w:t>
      </w:r>
      <w:r>
        <w:rPr>
          <w:rFonts w:ascii="Arial" w:hAnsi="Arial"/>
          <w:color w:val="383638"/>
          <w:spacing w:val="1"/>
          <w:w w:val="105"/>
          <w:sz w:val="19"/>
        </w:rPr>
        <w:t> </w:t>
      </w:r>
      <w:r>
        <w:rPr>
          <w:rFonts w:ascii="Arial" w:hAnsi="Arial"/>
          <w:color w:val="383638"/>
          <w:w w:val="105"/>
          <w:sz w:val="19"/>
        </w:rPr>
        <w:t>ment section. CREXAC provides a rubric that can be used over and over again,</w:t>
      </w:r>
      <w:r>
        <w:rPr>
          <w:rFonts w:ascii="Arial" w:hAnsi="Arial"/>
          <w:color w:val="383638"/>
          <w:spacing w:val="1"/>
          <w:w w:val="105"/>
          <w:sz w:val="19"/>
        </w:rPr>
        <w:t> </w:t>
      </w:r>
      <w:r>
        <w:rPr>
          <w:rFonts w:ascii="Arial" w:hAnsi="Arial"/>
          <w:color w:val="383638"/>
          <w:w w:val="110"/>
          <w:sz w:val="19"/>
        </w:rPr>
        <w:t>any time a writer has some point to explain or prove. The argument section</w:t>
      </w:r>
      <w:r>
        <w:rPr>
          <w:rFonts w:ascii="Arial" w:hAnsi="Arial"/>
          <w:color w:val="383638"/>
          <w:spacing w:val="1"/>
          <w:w w:val="110"/>
          <w:sz w:val="19"/>
        </w:rPr>
        <w:t> </w:t>
      </w:r>
      <w:r>
        <w:rPr>
          <w:rFonts w:ascii="Arial" w:hAnsi="Arial"/>
          <w:color w:val="383638"/>
          <w:w w:val="105"/>
          <w:sz w:val="19"/>
        </w:rPr>
        <w:t>itself will be organized according to the unique issues and</w:t>
      </w:r>
      <w:r>
        <w:rPr>
          <w:rFonts w:ascii="Arial" w:hAnsi="Arial"/>
          <w:color w:val="383638"/>
          <w:spacing w:val="1"/>
          <w:w w:val="105"/>
          <w:sz w:val="19"/>
        </w:rPr>
        <w:t> </w:t>
      </w:r>
      <w:r>
        <w:rPr>
          <w:rFonts w:ascii="Arial" w:hAnsi="Arial"/>
          <w:color w:val="383638"/>
          <w:w w:val="105"/>
          <w:sz w:val="19"/>
        </w:rPr>
        <w:t>sub-issues that the</w:t>
      </w:r>
      <w:r>
        <w:rPr>
          <w:rFonts w:ascii="Arial" w:hAnsi="Arial"/>
          <w:color w:val="383638"/>
          <w:spacing w:val="1"/>
          <w:w w:val="105"/>
          <w:sz w:val="19"/>
        </w:rPr>
        <w:t> </w:t>
      </w:r>
      <w:r>
        <w:rPr>
          <w:rFonts w:ascii="Arial" w:hAnsi="Arial"/>
          <w:color w:val="383638"/>
          <w:sz w:val="19"/>
        </w:rPr>
        <w:t>case presents. CREXAC can</w:t>
      </w:r>
      <w:r>
        <w:rPr>
          <w:rFonts w:ascii="Arial" w:hAnsi="Arial"/>
          <w:color w:val="383638"/>
          <w:spacing w:val="1"/>
          <w:sz w:val="19"/>
        </w:rPr>
        <w:t> </w:t>
      </w:r>
      <w:r>
        <w:rPr>
          <w:rFonts w:ascii="Arial" w:hAnsi="Arial"/>
          <w:color w:val="383638"/>
          <w:sz w:val="19"/>
        </w:rPr>
        <w:t>be used, however, as a formula for your analysis of</w:t>
      </w:r>
      <w:r>
        <w:rPr>
          <w:rFonts w:ascii="Arial" w:hAnsi="Arial"/>
          <w:color w:val="383638"/>
          <w:spacing w:val="1"/>
          <w:sz w:val="19"/>
        </w:rPr>
        <w:t> </w:t>
      </w:r>
      <w:r>
        <w:rPr>
          <w:rFonts w:ascii="Arial" w:hAnsi="Arial"/>
          <w:color w:val="383638"/>
          <w:w w:val="105"/>
          <w:sz w:val="19"/>
        </w:rPr>
        <w:t>each significant issue and</w:t>
      </w:r>
      <w:r>
        <w:rPr>
          <w:rFonts w:ascii="Arial" w:hAnsi="Arial"/>
          <w:color w:val="383638"/>
          <w:spacing w:val="1"/>
          <w:w w:val="105"/>
          <w:sz w:val="19"/>
        </w:rPr>
        <w:t> </w:t>
      </w:r>
      <w:r>
        <w:rPr>
          <w:rFonts w:ascii="Arial" w:hAnsi="Arial"/>
          <w:color w:val="383638"/>
          <w:w w:val="105"/>
          <w:sz w:val="19"/>
        </w:rPr>
        <w:t>sub-issue within that argument. Some writers worry</w:t>
      </w:r>
      <w:r>
        <w:rPr>
          <w:rFonts w:ascii="Arial" w:hAnsi="Arial"/>
          <w:color w:val="383638"/>
          <w:spacing w:val="1"/>
          <w:w w:val="105"/>
          <w:sz w:val="19"/>
        </w:rPr>
        <w:t> </w:t>
      </w:r>
      <w:r>
        <w:rPr>
          <w:rFonts w:ascii="Arial" w:hAnsi="Arial"/>
          <w:color w:val="383638"/>
          <w:w w:val="110"/>
          <w:sz w:val="19"/>
        </w:rPr>
        <w:t>that their writing will be boring or overpredictable if they follow a formula like</w:t>
      </w:r>
      <w:r>
        <w:rPr>
          <w:rFonts w:ascii="Arial" w:hAnsi="Arial"/>
          <w:color w:val="383638"/>
          <w:spacing w:val="1"/>
          <w:w w:val="110"/>
          <w:sz w:val="19"/>
        </w:rPr>
        <w:t> </w:t>
      </w:r>
      <w:r>
        <w:rPr>
          <w:rFonts w:ascii="Arial" w:hAnsi="Arial"/>
          <w:color w:val="383638"/>
          <w:w w:val="105"/>
          <w:sz w:val="19"/>
        </w:rPr>
        <w:t>CREXAC in each section of a document. This worry is unfounded for a couple of</w:t>
      </w:r>
      <w:r>
        <w:rPr>
          <w:rFonts w:ascii="Arial" w:hAnsi="Arial"/>
          <w:color w:val="383638"/>
          <w:spacing w:val="-53"/>
          <w:w w:val="105"/>
          <w:sz w:val="19"/>
        </w:rPr>
        <w:t> </w:t>
      </w:r>
      <w:r>
        <w:rPr>
          <w:rFonts w:ascii="Arial" w:hAnsi="Arial"/>
          <w:color w:val="383638"/>
          <w:w w:val="110"/>
          <w:sz w:val="19"/>
        </w:rPr>
        <w:t>reasons.</w:t>
      </w:r>
    </w:p>
    <w:p>
      <w:pPr>
        <w:spacing w:line="235" w:lineRule="auto" w:before="90"/>
        <w:ind w:left="374" w:right="293" w:hanging="3"/>
        <w:jc w:val="both"/>
        <w:rPr>
          <w:rFonts w:ascii="Arial"/>
          <w:sz w:val="19"/>
        </w:rPr>
      </w:pPr>
      <w:r>
        <w:rPr>
          <w:rFonts w:ascii="Arial"/>
          <w:color w:val="383638"/>
          <w:w w:val="105"/>
          <w:sz w:val="19"/>
        </w:rPr>
        <w:t>First, CREXAC does not tell you </w:t>
      </w:r>
      <w:r>
        <w:rPr>
          <w:i/>
          <w:color w:val="383638"/>
          <w:w w:val="105"/>
          <w:sz w:val="20"/>
        </w:rPr>
        <w:t>what to soy. </w:t>
      </w:r>
      <w:r>
        <w:rPr>
          <w:rFonts w:ascii="Arial"/>
          <w:color w:val="383638"/>
          <w:w w:val="105"/>
          <w:sz w:val="19"/>
        </w:rPr>
        <w:t>Instead, it recommends a particular</w:t>
      </w:r>
      <w:r>
        <w:rPr>
          <w:rFonts w:ascii="Arial"/>
          <w:color w:val="383638"/>
          <w:spacing w:val="1"/>
          <w:w w:val="105"/>
          <w:sz w:val="19"/>
        </w:rPr>
        <w:t> </w:t>
      </w:r>
      <w:r>
        <w:rPr>
          <w:i/>
          <w:color w:val="383638"/>
          <w:w w:val="105"/>
          <w:sz w:val="20"/>
        </w:rPr>
        <w:t>organization </w:t>
      </w:r>
      <w:r>
        <w:rPr>
          <w:rFonts w:ascii="Arial"/>
          <w:color w:val="383638"/>
          <w:w w:val="105"/>
          <w:sz w:val="19"/>
        </w:rPr>
        <w:t>for the information that readers traditionally need when analyzing</w:t>
      </w:r>
      <w:r>
        <w:rPr>
          <w:rFonts w:ascii="Arial"/>
          <w:color w:val="383638"/>
          <w:spacing w:val="1"/>
          <w:w w:val="105"/>
          <w:sz w:val="19"/>
        </w:rPr>
        <w:t> </w:t>
      </w:r>
      <w:r>
        <w:rPr>
          <w:rFonts w:ascii="Arial"/>
          <w:color w:val="383638"/>
          <w:w w:val="110"/>
          <w:sz w:val="19"/>
        </w:rPr>
        <w:t>legal issues. Most legal readers want to know the rule first, then understand</w:t>
      </w:r>
      <w:r>
        <w:rPr>
          <w:rFonts w:ascii="Arial"/>
          <w:color w:val="383638"/>
          <w:spacing w:val="1"/>
          <w:w w:val="110"/>
          <w:sz w:val="19"/>
        </w:rPr>
        <w:t> </w:t>
      </w:r>
      <w:r>
        <w:rPr>
          <w:rFonts w:ascii="Arial"/>
          <w:color w:val="383638"/>
          <w:w w:val="105"/>
          <w:sz w:val="19"/>
        </w:rPr>
        <w:t>the rule's meaning, and then see how  it  applies to  the  facts</w:t>
      </w:r>
      <w:r>
        <w:rPr>
          <w:rFonts w:ascii="Arial"/>
          <w:color w:val="59595B"/>
          <w:w w:val="105"/>
          <w:sz w:val="19"/>
        </w:rPr>
        <w:t>. </w:t>
      </w:r>
      <w:r>
        <w:rPr>
          <w:rFonts w:ascii="Arial"/>
          <w:color w:val="383638"/>
          <w:w w:val="105"/>
          <w:sz w:val="19"/>
        </w:rPr>
        <w:t>Most judges want</w:t>
      </w:r>
      <w:r>
        <w:rPr>
          <w:rFonts w:ascii="Arial"/>
          <w:color w:val="383638"/>
          <w:spacing w:val="1"/>
          <w:w w:val="105"/>
          <w:sz w:val="19"/>
        </w:rPr>
        <w:t> </w:t>
      </w:r>
      <w:r>
        <w:rPr>
          <w:rFonts w:ascii="Arial"/>
          <w:color w:val="383638"/>
          <w:w w:val="110"/>
          <w:sz w:val="19"/>
        </w:rPr>
        <w:t>a simple organization; they don't want to have to struggle to find a rule that a</w:t>
      </w:r>
      <w:r>
        <w:rPr>
          <w:rFonts w:ascii="Arial"/>
          <w:color w:val="383638"/>
          <w:spacing w:val="1"/>
          <w:w w:val="110"/>
          <w:sz w:val="19"/>
        </w:rPr>
        <w:t> </w:t>
      </w:r>
      <w:r>
        <w:rPr>
          <w:rFonts w:ascii="Arial"/>
          <w:color w:val="383638"/>
          <w:spacing w:val="-1"/>
          <w:w w:val="105"/>
          <w:sz w:val="19"/>
        </w:rPr>
        <w:t>writer</w:t>
      </w:r>
      <w:r>
        <w:rPr>
          <w:rFonts w:ascii="Arial"/>
          <w:color w:val="383638"/>
          <w:spacing w:val="6"/>
          <w:w w:val="105"/>
          <w:sz w:val="19"/>
        </w:rPr>
        <w:t> </w:t>
      </w:r>
      <w:r>
        <w:rPr>
          <w:rFonts w:ascii="Arial"/>
          <w:color w:val="383638"/>
          <w:spacing w:val="-1"/>
          <w:w w:val="105"/>
          <w:sz w:val="19"/>
        </w:rPr>
        <w:t>"creatively"</w:t>
      </w:r>
      <w:r>
        <w:rPr>
          <w:rFonts w:ascii="Arial"/>
          <w:color w:val="383638"/>
          <w:spacing w:val="3"/>
          <w:w w:val="105"/>
          <w:sz w:val="19"/>
        </w:rPr>
        <w:t> </w:t>
      </w:r>
      <w:r>
        <w:rPr>
          <w:rFonts w:ascii="Arial"/>
          <w:color w:val="383638"/>
          <w:spacing w:val="-1"/>
          <w:w w:val="105"/>
          <w:sz w:val="19"/>
        </w:rPr>
        <w:t>saved for</w:t>
      </w:r>
      <w:r>
        <w:rPr>
          <w:rFonts w:ascii="Arial"/>
          <w:color w:val="383638"/>
          <w:spacing w:val="29"/>
          <w:w w:val="105"/>
          <w:sz w:val="19"/>
        </w:rPr>
        <w:t> </w:t>
      </w:r>
      <w:r>
        <w:rPr>
          <w:rFonts w:ascii="Arial"/>
          <w:color w:val="383638"/>
          <w:spacing w:val="-1"/>
          <w:w w:val="105"/>
          <w:sz w:val="19"/>
        </w:rPr>
        <w:t>the</w:t>
      </w:r>
      <w:r>
        <w:rPr>
          <w:rFonts w:ascii="Arial"/>
          <w:color w:val="383638"/>
          <w:spacing w:val="12"/>
          <w:w w:val="105"/>
          <w:sz w:val="19"/>
        </w:rPr>
        <w:t> </w:t>
      </w:r>
      <w:r>
        <w:rPr>
          <w:rFonts w:ascii="Arial"/>
          <w:color w:val="383638"/>
          <w:spacing w:val="-1"/>
          <w:w w:val="105"/>
          <w:sz w:val="19"/>
        </w:rPr>
        <w:t>end</w:t>
      </w:r>
      <w:r>
        <w:rPr>
          <w:rFonts w:ascii="Arial"/>
          <w:color w:val="383638"/>
          <w:spacing w:val="31"/>
          <w:w w:val="105"/>
          <w:sz w:val="19"/>
        </w:rPr>
        <w:t> </w:t>
      </w:r>
      <w:r>
        <w:rPr>
          <w:rFonts w:ascii="Arial"/>
          <w:color w:val="383638"/>
          <w:spacing w:val="-1"/>
          <w:w w:val="105"/>
          <w:sz w:val="19"/>
        </w:rPr>
        <w:t>of</w:t>
      </w:r>
      <w:r>
        <w:rPr>
          <w:rFonts w:ascii="Arial"/>
          <w:color w:val="383638"/>
          <w:spacing w:val="20"/>
          <w:w w:val="105"/>
          <w:sz w:val="19"/>
        </w:rPr>
        <w:t> </w:t>
      </w:r>
      <w:r>
        <w:rPr>
          <w:rFonts w:ascii="Arial"/>
          <w:color w:val="383638"/>
          <w:spacing w:val="-1"/>
          <w:w w:val="105"/>
          <w:sz w:val="19"/>
        </w:rPr>
        <w:t>his</w:t>
      </w:r>
      <w:r>
        <w:rPr>
          <w:rFonts w:ascii="Arial"/>
          <w:color w:val="383638"/>
          <w:spacing w:val="-19"/>
          <w:w w:val="105"/>
          <w:sz w:val="19"/>
        </w:rPr>
        <w:t> </w:t>
      </w:r>
      <w:r>
        <w:rPr>
          <w:rFonts w:ascii="Arial"/>
          <w:color w:val="383638"/>
          <w:spacing w:val="-1"/>
          <w:w w:val="105"/>
          <w:sz w:val="19"/>
        </w:rPr>
        <w:t>or</w:t>
      </w:r>
      <w:r>
        <w:rPr>
          <w:rFonts w:ascii="Arial"/>
          <w:color w:val="383638"/>
          <w:spacing w:val="2"/>
          <w:w w:val="105"/>
          <w:sz w:val="19"/>
        </w:rPr>
        <w:t> </w:t>
      </w:r>
      <w:r>
        <w:rPr>
          <w:rFonts w:ascii="Arial"/>
          <w:color w:val="383638"/>
          <w:w w:val="105"/>
          <w:sz w:val="19"/>
        </w:rPr>
        <w:t>her</w:t>
      </w:r>
      <w:r>
        <w:rPr>
          <w:rFonts w:ascii="Arial"/>
          <w:color w:val="383638"/>
          <w:spacing w:val="-15"/>
          <w:w w:val="105"/>
          <w:sz w:val="19"/>
        </w:rPr>
        <w:t> </w:t>
      </w:r>
      <w:r>
        <w:rPr>
          <w:rFonts w:ascii="Arial"/>
          <w:color w:val="383638"/>
          <w:w w:val="105"/>
          <w:sz w:val="19"/>
        </w:rPr>
        <w:t>analysis</w:t>
      </w:r>
      <w:r>
        <w:rPr>
          <w:rFonts w:ascii="Arial"/>
          <w:color w:val="383638"/>
          <w:spacing w:val="-9"/>
          <w:w w:val="105"/>
          <w:sz w:val="19"/>
        </w:rPr>
        <w:t> </w:t>
      </w:r>
      <w:r>
        <w:rPr>
          <w:rFonts w:ascii="Arial"/>
          <w:color w:val="383638"/>
          <w:w w:val="105"/>
          <w:sz w:val="19"/>
        </w:rPr>
        <w:t>of</w:t>
      </w:r>
      <w:r>
        <w:rPr>
          <w:rFonts w:ascii="Arial"/>
          <w:color w:val="383638"/>
          <w:spacing w:val="15"/>
          <w:w w:val="105"/>
          <w:sz w:val="19"/>
        </w:rPr>
        <w:t> </w:t>
      </w:r>
      <w:r>
        <w:rPr>
          <w:rFonts w:ascii="Arial"/>
          <w:color w:val="383638"/>
          <w:w w:val="105"/>
          <w:sz w:val="19"/>
        </w:rPr>
        <w:t>a</w:t>
      </w:r>
      <w:r>
        <w:rPr>
          <w:rFonts w:ascii="Arial"/>
          <w:color w:val="383638"/>
          <w:spacing w:val="-5"/>
          <w:w w:val="105"/>
          <w:sz w:val="19"/>
        </w:rPr>
        <w:t> </w:t>
      </w:r>
      <w:r>
        <w:rPr>
          <w:rFonts w:ascii="Arial"/>
          <w:color w:val="383638"/>
          <w:w w:val="105"/>
          <w:sz w:val="19"/>
        </w:rPr>
        <w:t>legal</w:t>
      </w:r>
      <w:r>
        <w:rPr>
          <w:rFonts w:ascii="Arial"/>
          <w:color w:val="383638"/>
          <w:spacing w:val="-18"/>
          <w:w w:val="105"/>
          <w:sz w:val="19"/>
        </w:rPr>
        <w:t> </w:t>
      </w:r>
      <w:r>
        <w:rPr>
          <w:rFonts w:ascii="Arial"/>
          <w:color w:val="383638"/>
          <w:w w:val="105"/>
          <w:sz w:val="19"/>
        </w:rPr>
        <w:t>issue.</w:t>
      </w:r>
    </w:p>
    <w:p>
      <w:pPr>
        <w:spacing w:line="237" w:lineRule="auto" w:before="105"/>
        <w:ind w:left="380" w:right="244" w:hanging="8"/>
        <w:jc w:val="both"/>
        <w:rPr>
          <w:rFonts w:ascii="Arial" w:hAnsi="Arial"/>
          <w:sz w:val="19"/>
        </w:rPr>
      </w:pPr>
      <w:r>
        <w:rPr>
          <w:rFonts w:ascii="Arial" w:hAnsi="Arial"/>
          <w:color w:val="383638"/>
          <w:w w:val="105"/>
          <w:sz w:val="19"/>
        </w:rPr>
        <w:t>The second reason not</w:t>
      </w:r>
      <w:r>
        <w:rPr>
          <w:rFonts w:ascii="Arial" w:hAnsi="Arial"/>
          <w:color w:val="383638"/>
          <w:spacing w:val="1"/>
          <w:w w:val="105"/>
          <w:sz w:val="19"/>
        </w:rPr>
        <w:t> </w:t>
      </w:r>
      <w:r>
        <w:rPr>
          <w:rFonts w:ascii="Arial" w:hAnsi="Arial"/>
          <w:color w:val="383638"/>
          <w:w w:val="105"/>
          <w:sz w:val="19"/>
        </w:rPr>
        <w:t>to worry is related to the first. CREXAC is only an orga­</w:t>
      </w:r>
      <w:r>
        <w:rPr>
          <w:rFonts w:ascii="Arial" w:hAnsi="Arial"/>
          <w:color w:val="383638"/>
          <w:spacing w:val="1"/>
          <w:w w:val="105"/>
          <w:sz w:val="19"/>
        </w:rPr>
        <w:t> </w:t>
      </w:r>
      <w:r>
        <w:rPr>
          <w:rFonts w:ascii="Arial" w:hAnsi="Arial"/>
          <w:color w:val="383638"/>
          <w:w w:val="110"/>
          <w:sz w:val="19"/>
        </w:rPr>
        <w:t>nizational structure. With no extra effort on your part, each section of your</w:t>
      </w:r>
      <w:r>
        <w:rPr>
          <w:rFonts w:ascii="Arial" w:hAnsi="Arial"/>
          <w:color w:val="383638"/>
          <w:spacing w:val="1"/>
          <w:w w:val="110"/>
          <w:sz w:val="19"/>
        </w:rPr>
        <w:t> </w:t>
      </w:r>
      <w:r>
        <w:rPr>
          <w:rFonts w:ascii="Arial" w:hAnsi="Arial"/>
          <w:color w:val="383638"/>
          <w:w w:val="110"/>
          <w:sz w:val="19"/>
        </w:rPr>
        <w:t>argument will vary from the section before according to the </w:t>
      </w:r>
      <w:r>
        <w:rPr>
          <w:i/>
          <w:color w:val="383638"/>
          <w:w w:val="110"/>
          <w:sz w:val="20"/>
        </w:rPr>
        <w:t>substance </w:t>
      </w:r>
      <w:r>
        <w:rPr>
          <w:rFonts w:ascii="Arial" w:hAnsi="Arial"/>
          <w:color w:val="383638"/>
          <w:w w:val="110"/>
          <w:sz w:val="19"/>
        </w:rPr>
        <w:t>of the</w:t>
      </w:r>
      <w:r>
        <w:rPr>
          <w:rFonts w:ascii="Arial" w:hAnsi="Arial"/>
          <w:color w:val="383638"/>
          <w:spacing w:val="1"/>
          <w:w w:val="110"/>
          <w:sz w:val="19"/>
        </w:rPr>
        <w:t> </w:t>
      </w:r>
      <w:r>
        <w:rPr>
          <w:rFonts w:ascii="Arial" w:hAnsi="Arial"/>
          <w:color w:val="383638"/>
          <w:spacing w:val="-1"/>
          <w:w w:val="105"/>
          <w:sz w:val="19"/>
        </w:rPr>
        <w:t>argument itself </w:t>
      </w:r>
      <w:r>
        <w:rPr>
          <w:rFonts w:ascii="Arial" w:hAnsi="Arial"/>
          <w:color w:val="383638"/>
          <w:w w:val="105"/>
          <w:sz w:val="19"/>
        </w:rPr>
        <w:t>and the particular demands of the issue. Every issue needs a rule,</w:t>
      </w:r>
      <w:r>
        <w:rPr>
          <w:rFonts w:ascii="Arial" w:hAnsi="Arial"/>
          <w:color w:val="383638"/>
          <w:spacing w:val="-53"/>
          <w:w w:val="105"/>
          <w:sz w:val="19"/>
        </w:rPr>
        <w:t> </w:t>
      </w:r>
      <w:r>
        <w:rPr>
          <w:rFonts w:ascii="Arial" w:hAnsi="Arial"/>
          <w:color w:val="383638"/>
          <w:spacing w:val="-1"/>
          <w:w w:val="110"/>
          <w:sz w:val="19"/>
        </w:rPr>
        <w:t>but sometimes the </w:t>
      </w:r>
      <w:r>
        <w:rPr>
          <w:rFonts w:ascii="Arial" w:hAnsi="Arial"/>
          <w:color w:val="383638"/>
          <w:w w:val="110"/>
          <w:sz w:val="19"/>
        </w:rPr>
        <w:t>rule is a simple quote from a statute, while at other times it</w:t>
      </w:r>
      <w:r>
        <w:rPr>
          <w:rFonts w:ascii="Arial" w:hAnsi="Arial"/>
          <w:color w:val="383638"/>
          <w:spacing w:val="1"/>
          <w:w w:val="110"/>
          <w:sz w:val="19"/>
        </w:rPr>
        <w:t> </w:t>
      </w:r>
      <w:r>
        <w:rPr>
          <w:rFonts w:ascii="Arial" w:hAnsi="Arial"/>
          <w:color w:val="383638"/>
          <w:w w:val="110"/>
          <w:sz w:val="19"/>
        </w:rPr>
        <w:t>is a common law rule, and at other times it is a cluster of rules that end on the</w:t>
      </w:r>
      <w:r>
        <w:rPr>
          <w:rFonts w:ascii="Arial" w:hAnsi="Arial"/>
          <w:color w:val="383638"/>
          <w:spacing w:val="-56"/>
          <w:w w:val="110"/>
          <w:sz w:val="19"/>
        </w:rPr>
        <w:t> </w:t>
      </w:r>
      <w:r>
        <w:rPr>
          <w:rFonts w:ascii="Arial" w:hAnsi="Arial"/>
          <w:color w:val="383638"/>
          <w:w w:val="105"/>
          <w:sz w:val="19"/>
        </w:rPr>
        <w:t>particular rule that governs the narrow legal issue that is the focus of that section</w:t>
      </w:r>
      <w:r>
        <w:rPr>
          <w:rFonts w:ascii="Arial" w:hAnsi="Arial"/>
          <w:color w:val="383638"/>
          <w:spacing w:val="1"/>
          <w:w w:val="105"/>
          <w:sz w:val="19"/>
        </w:rPr>
        <w:t> </w:t>
      </w:r>
      <w:r>
        <w:rPr>
          <w:rFonts w:ascii="Arial" w:hAnsi="Arial"/>
          <w:color w:val="383638"/>
          <w:w w:val="105"/>
          <w:sz w:val="19"/>
        </w:rPr>
        <w:t>of the document</w:t>
      </w:r>
      <w:r>
        <w:rPr>
          <w:rFonts w:ascii="Arial" w:hAnsi="Arial"/>
          <w:color w:val="59595B"/>
          <w:w w:val="105"/>
          <w:sz w:val="19"/>
        </w:rPr>
        <w:t>. </w:t>
      </w:r>
      <w:r>
        <w:rPr>
          <w:rFonts w:ascii="Arial" w:hAnsi="Arial"/>
          <w:color w:val="383638"/>
          <w:w w:val="105"/>
          <w:sz w:val="19"/>
        </w:rPr>
        <w:t>Similarly, the explanation of the rule and application of the rule</w:t>
      </w:r>
      <w:r>
        <w:rPr>
          <w:rFonts w:ascii="Arial" w:hAnsi="Arial"/>
          <w:color w:val="383638"/>
          <w:spacing w:val="1"/>
          <w:w w:val="105"/>
          <w:sz w:val="19"/>
        </w:rPr>
        <w:t> </w:t>
      </w:r>
      <w:r>
        <w:rPr>
          <w:rFonts w:ascii="Arial" w:hAnsi="Arial"/>
          <w:color w:val="383638"/>
          <w:w w:val="105"/>
          <w:sz w:val="19"/>
        </w:rPr>
        <w:t>to</w:t>
      </w:r>
      <w:r>
        <w:rPr>
          <w:rFonts w:ascii="Arial" w:hAnsi="Arial"/>
          <w:color w:val="383638"/>
          <w:spacing w:val="-8"/>
          <w:w w:val="105"/>
          <w:sz w:val="19"/>
        </w:rPr>
        <w:t> </w:t>
      </w:r>
      <w:r>
        <w:rPr>
          <w:rFonts w:ascii="Arial" w:hAnsi="Arial"/>
          <w:color w:val="383638"/>
          <w:w w:val="105"/>
          <w:sz w:val="19"/>
        </w:rPr>
        <w:t>the</w:t>
      </w:r>
      <w:r>
        <w:rPr>
          <w:rFonts w:ascii="Arial" w:hAnsi="Arial"/>
          <w:color w:val="383638"/>
          <w:spacing w:val="-21"/>
          <w:w w:val="105"/>
          <w:sz w:val="19"/>
        </w:rPr>
        <w:t> </w:t>
      </w:r>
      <w:r>
        <w:rPr>
          <w:rFonts w:ascii="Arial" w:hAnsi="Arial"/>
          <w:color w:val="383638"/>
          <w:w w:val="105"/>
          <w:sz w:val="19"/>
        </w:rPr>
        <w:t>facts</w:t>
      </w:r>
      <w:r>
        <w:rPr>
          <w:rFonts w:ascii="Arial" w:hAnsi="Arial"/>
          <w:color w:val="383638"/>
          <w:spacing w:val="-6"/>
          <w:w w:val="105"/>
          <w:sz w:val="19"/>
        </w:rPr>
        <w:t> </w:t>
      </w:r>
      <w:r>
        <w:rPr>
          <w:rFonts w:ascii="Arial" w:hAnsi="Arial"/>
          <w:color w:val="383638"/>
          <w:w w:val="105"/>
          <w:sz w:val="19"/>
        </w:rPr>
        <w:t>will</w:t>
      </w:r>
      <w:r>
        <w:rPr>
          <w:rFonts w:ascii="Arial" w:hAnsi="Arial"/>
          <w:color w:val="383638"/>
          <w:spacing w:val="-25"/>
          <w:w w:val="105"/>
          <w:sz w:val="19"/>
        </w:rPr>
        <w:t> </w:t>
      </w:r>
      <w:r>
        <w:rPr>
          <w:rFonts w:ascii="Arial" w:hAnsi="Arial"/>
          <w:color w:val="383638"/>
          <w:w w:val="105"/>
          <w:sz w:val="19"/>
        </w:rPr>
        <w:t>also</w:t>
      </w:r>
      <w:r>
        <w:rPr>
          <w:rFonts w:ascii="Arial" w:hAnsi="Arial"/>
          <w:color w:val="383638"/>
          <w:spacing w:val="-11"/>
          <w:w w:val="105"/>
          <w:sz w:val="19"/>
        </w:rPr>
        <w:t> </w:t>
      </w:r>
      <w:r>
        <w:rPr>
          <w:rFonts w:ascii="Arial" w:hAnsi="Arial"/>
          <w:color w:val="383638"/>
          <w:w w:val="105"/>
          <w:sz w:val="19"/>
        </w:rPr>
        <w:t>vary</w:t>
      </w:r>
      <w:r>
        <w:rPr>
          <w:rFonts w:ascii="Arial" w:hAnsi="Arial"/>
          <w:color w:val="383638"/>
          <w:spacing w:val="-3"/>
          <w:w w:val="105"/>
          <w:sz w:val="19"/>
        </w:rPr>
        <w:t> </w:t>
      </w:r>
      <w:r>
        <w:rPr>
          <w:rFonts w:ascii="Arial" w:hAnsi="Arial"/>
          <w:color w:val="383638"/>
          <w:w w:val="105"/>
          <w:sz w:val="19"/>
        </w:rPr>
        <w:t>from</w:t>
      </w:r>
      <w:r>
        <w:rPr>
          <w:rFonts w:ascii="Arial" w:hAnsi="Arial"/>
          <w:color w:val="383638"/>
          <w:spacing w:val="-17"/>
          <w:w w:val="105"/>
          <w:sz w:val="19"/>
        </w:rPr>
        <w:t> </w:t>
      </w:r>
      <w:r>
        <w:rPr>
          <w:rFonts w:ascii="Arial" w:hAnsi="Arial"/>
          <w:color w:val="383638"/>
          <w:w w:val="105"/>
          <w:sz w:val="19"/>
        </w:rPr>
        <w:t>issue to</w:t>
      </w:r>
      <w:r>
        <w:rPr>
          <w:rFonts w:ascii="Arial" w:hAnsi="Arial"/>
          <w:color w:val="383638"/>
          <w:spacing w:val="30"/>
          <w:w w:val="105"/>
          <w:sz w:val="19"/>
        </w:rPr>
        <w:t> </w:t>
      </w:r>
      <w:r>
        <w:rPr>
          <w:rFonts w:ascii="Arial" w:hAnsi="Arial"/>
          <w:color w:val="383638"/>
          <w:w w:val="105"/>
          <w:sz w:val="19"/>
        </w:rPr>
        <w:t>issue.</w:t>
      </w:r>
    </w:p>
    <w:p>
      <w:pPr>
        <w:spacing w:line="237" w:lineRule="auto" w:before="94"/>
        <w:ind w:left="394" w:right="232" w:hanging="3"/>
        <w:jc w:val="both"/>
        <w:rPr>
          <w:rFonts w:ascii="Arial" w:hAnsi="Arial"/>
          <w:sz w:val="19"/>
        </w:rPr>
      </w:pPr>
      <w:r>
        <w:rPr>
          <w:rFonts w:ascii="Arial" w:hAnsi="Arial"/>
          <w:color w:val="383638"/>
          <w:spacing w:val="-1"/>
          <w:w w:val="105"/>
          <w:sz w:val="19"/>
        </w:rPr>
        <w:t>Even if CREXAC is not the most perfect organization </w:t>
      </w:r>
      <w:r>
        <w:rPr>
          <w:rFonts w:ascii="Arial" w:hAnsi="Arial"/>
          <w:color w:val="383638"/>
          <w:w w:val="105"/>
          <w:sz w:val="19"/>
        </w:rPr>
        <w:t>for the analysis of a particu­</w:t>
      </w:r>
      <w:r>
        <w:rPr>
          <w:rFonts w:ascii="Arial" w:hAnsi="Arial"/>
          <w:color w:val="383638"/>
          <w:spacing w:val="1"/>
          <w:w w:val="105"/>
          <w:sz w:val="19"/>
        </w:rPr>
        <w:t> </w:t>
      </w:r>
      <w:r>
        <w:rPr>
          <w:rFonts w:ascii="Arial" w:hAnsi="Arial"/>
          <w:color w:val="383638"/>
          <w:w w:val="105"/>
          <w:sz w:val="19"/>
        </w:rPr>
        <w:t>lar legal issue or sub-issue, it will probably still be an effective organization. Thus,</w:t>
      </w:r>
      <w:r>
        <w:rPr>
          <w:rFonts w:ascii="Arial" w:hAnsi="Arial"/>
          <w:color w:val="383638"/>
          <w:spacing w:val="-53"/>
          <w:w w:val="105"/>
          <w:sz w:val="19"/>
        </w:rPr>
        <w:t> </w:t>
      </w:r>
      <w:r>
        <w:rPr>
          <w:rFonts w:ascii="Arial" w:hAnsi="Arial"/>
          <w:color w:val="383638"/>
          <w:w w:val="105"/>
          <w:sz w:val="19"/>
        </w:rPr>
        <w:t>it</w:t>
      </w:r>
      <w:r>
        <w:rPr>
          <w:rFonts w:ascii="Arial" w:hAnsi="Arial"/>
          <w:color w:val="383638"/>
          <w:spacing w:val="32"/>
          <w:w w:val="105"/>
          <w:sz w:val="19"/>
        </w:rPr>
        <w:t> </w:t>
      </w:r>
      <w:r>
        <w:rPr>
          <w:rFonts w:ascii="Arial" w:hAnsi="Arial"/>
          <w:color w:val="383638"/>
          <w:w w:val="105"/>
          <w:sz w:val="19"/>
        </w:rPr>
        <w:t>is</w:t>
      </w:r>
      <w:r>
        <w:rPr>
          <w:rFonts w:ascii="Arial" w:hAnsi="Arial"/>
          <w:color w:val="383638"/>
          <w:spacing w:val="-1"/>
          <w:w w:val="105"/>
          <w:sz w:val="19"/>
        </w:rPr>
        <w:t> </w:t>
      </w:r>
      <w:r>
        <w:rPr>
          <w:rFonts w:ascii="Arial" w:hAnsi="Arial"/>
          <w:color w:val="383638"/>
          <w:w w:val="105"/>
          <w:sz w:val="19"/>
        </w:rPr>
        <w:t>probably</w:t>
      </w:r>
      <w:r>
        <w:rPr>
          <w:rFonts w:ascii="Arial" w:hAnsi="Arial"/>
          <w:color w:val="383638"/>
          <w:spacing w:val="3"/>
          <w:w w:val="105"/>
          <w:sz w:val="19"/>
        </w:rPr>
        <w:t> </w:t>
      </w:r>
      <w:r>
        <w:rPr>
          <w:rFonts w:ascii="Arial" w:hAnsi="Arial"/>
          <w:color w:val="383638"/>
          <w:w w:val="105"/>
          <w:sz w:val="19"/>
        </w:rPr>
        <w:t>most</w:t>
      </w:r>
      <w:r>
        <w:rPr>
          <w:rFonts w:ascii="Arial" w:hAnsi="Arial"/>
          <w:color w:val="383638"/>
          <w:spacing w:val="8"/>
          <w:w w:val="105"/>
          <w:sz w:val="19"/>
        </w:rPr>
        <w:t> </w:t>
      </w:r>
      <w:r>
        <w:rPr>
          <w:rFonts w:ascii="Arial" w:hAnsi="Arial"/>
          <w:color w:val="383638"/>
          <w:w w:val="105"/>
          <w:sz w:val="19"/>
        </w:rPr>
        <w:t>practical</w:t>
      </w:r>
      <w:r>
        <w:rPr>
          <w:rFonts w:ascii="Arial" w:hAnsi="Arial"/>
          <w:color w:val="383638"/>
          <w:spacing w:val="14"/>
          <w:w w:val="105"/>
          <w:sz w:val="19"/>
        </w:rPr>
        <w:t> </w:t>
      </w:r>
      <w:r>
        <w:rPr>
          <w:rFonts w:ascii="Arial" w:hAnsi="Arial"/>
          <w:color w:val="383638"/>
          <w:w w:val="105"/>
          <w:sz w:val="19"/>
        </w:rPr>
        <w:t>for</w:t>
      </w:r>
      <w:r>
        <w:rPr>
          <w:rFonts w:ascii="Arial" w:hAnsi="Arial"/>
          <w:color w:val="383638"/>
          <w:spacing w:val="35"/>
          <w:w w:val="105"/>
          <w:sz w:val="19"/>
        </w:rPr>
        <w:t> </w:t>
      </w:r>
      <w:r>
        <w:rPr>
          <w:rFonts w:ascii="Arial" w:hAnsi="Arial"/>
          <w:color w:val="383638"/>
          <w:w w:val="105"/>
          <w:sz w:val="19"/>
        </w:rPr>
        <w:t>an</w:t>
      </w:r>
      <w:r>
        <w:rPr>
          <w:rFonts w:ascii="Arial" w:hAnsi="Arial"/>
          <w:color w:val="383638"/>
          <w:spacing w:val="11"/>
          <w:w w:val="105"/>
          <w:sz w:val="19"/>
        </w:rPr>
        <w:t> </w:t>
      </w:r>
      <w:r>
        <w:rPr>
          <w:rFonts w:ascii="Arial" w:hAnsi="Arial"/>
          <w:color w:val="383638"/>
          <w:w w:val="105"/>
          <w:sz w:val="19"/>
        </w:rPr>
        <w:t>attorney</w:t>
      </w:r>
      <w:r>
        <w:rPr>
          <w:rFonts w:ascii="Arial" w:hAnsi="Arial"/>
          <w:color w:val="383638"/>
          <w:spacing w:val="27"/>
          <w:w w:val="105"/>
          <w:sz w:val="19"/>
        </w:rPr>
        <w:t> </w:t>
      </w:r>
      <w:r>
        <w:rPr>
          <w:rFonts w:ascii="Arial" w:hAnsi="Arial"/>
          <w:color w:val="383638"/>
          <w:w w:val="105"/>
          <w:sz w:val="19"/>
        </w:rPr>
        <w:t>to</w:t>
      </w:r>
      <w:r>
        <w:rPr>
          <w:rFonts w:ascii="Arial" w:hAnsi="Arial"/>
          <w:color w:val="383638"/>
          <w:spacing w:val="35"/>
          <w:w w:val="105"/>
          <w:sz w:val="19"/>
        </w:rPr>
        <w:t> </w:t>
      </w:r>
      <w:r>
        <w:rPr>
          <w:rFonts w:ascii="Arial" w:hAnsi="Arial"/>
          <w:color w:val="383638"/>
          <w:w w:val="105"/>
          <w:sz w:val="19"/>
        </w:rPr>
        <w:t>assume</w:t>
      </w:r>
      <w:r>
        <w:rPr>
          <w:rFonts w:ascii="Arial" w:hAnsi="Arial"/>
          <w:color w:val="383638"/>
          <w:spacing w:val="9"/>
          <w:w w:val="105"/>
          <w:sz w:val="19"/>
        </w:rPr>
        <w:t> </w:t>
      </w:r>
      <w:r>
        <w:rPr>
          <w:rFonts w:ascii="Arial" w:hAnsi="Arial"/>
          <w:color w:val="383638"/>
          <w:w w:val="105"/>
          <w:sz w:val="19"/>
        </w:rPr>
        <w:t>a</w:t>
      </w:r>
      <w:r>
        <w:rPr>
          <w:rFonts w:ascii="Arial" w:hAnsi="Arial"/>
          <w:color w:val="383638"/>
          <w:spacing w:val="14"/>
          <w:w w:val="105"/>
          <w:sz w:val="19"/>
        </w:rPr>
        <w:t> </w:t>
      </w:r>
      <w:r>
        <w:rPr>
          <w:rFonts w:ascii="Arial" w:hAnsi="Arial"/>
          <w:color w:val="383638"/>
          <w:w w:val="105"/>
          <w:sz w:val="19"/>
        </w:rPr>
        <w:t>CREXAC</w:t>
      </w:r>
      <w:r>
        <w:rPr>
          <w:rFonts w:ascii="Arial" w:hAnsi="Arial"/>
          <w:color w:val="383638"/>
          <w:spacing w:val="23"/>
          <w:w w:val="105"/>
          <w:sz w:val="19"/>
        </w:rPr>
        <w:t> </w:t>
      </w:r>
      <w:r>
        <w:rPr>
          <w:rFonts w:ascii="Arial" w:hAnsi="Arial"/>
          <w:color w:val="383638"/>
          <w:w w:val="105"/>
          <w:sz w:val="19"/>
        </w:rPr>
        <w:t>organization</w:t>
      </w:r>
    </w:p>
    <w:p>
      <w:pPr>
        <w:spacing w:after="0" w:line="237" w:lineRule="auto"/>
        <w:jc w:val="both"/>
        <w:rPr>
          <w:rFonts w:ascii="Arial" w:hAnsi="Arial"/>
          <w:sz w:val="19"/>
        </w:rPr>
        <w:sectPr>
          <w:pgSz w:w="9650" w:h="13750"/>
          <w:pgMar w:header="444" w:footer="0" w:top="1000" w:bottom="280" w:left="500" w:right="1320"/>
        </w:sectPr>
      </w:pPr>
    </w:p>
    <w:p>
      <w:pPr>
        <w:spacing w:line="254" w:lineRule="auto" w:before="82"/>
        <w:ind w:left="1386" w:right="247" w:firstLine="10"/>
        <w:jc w:val="both"/>
        <w:rPr>
          <w:sz w:val="19"/>
        </w:rPr>
      </w:pPr>
      <w:r>
        <w:rPr>
          <w:color w:val="3A3838"/>
          <w:w w:val="110"/>
          <w:sz w:val="19"/>
        </w:rPr>
        <w:t>rather than to spend precious time trying to determine what is the</w:t>
      </w:r>
      <w:r>
        <w:rPr>
          <w:color w:val="3A3838"/>
          <w:spacing w:val="1"/>
          <w:w w:val="110"/>
          <w:sz w:val="19"/>
        </w:rPr>
        <w:t> </w:t>
      </w:r>
      <w:r>
        <w:rPr>
          <w:color w:val="3A3838"/>
          <w:w w:val="110"/>
          <w:sz w:val="19"/>
        </w:rPr>
        <w:t>"best" struc­</w:t>
      </w:r>
      <w:r>
        <w:rPr>
          <w:color w:val="3A3838"/>
          <w:spacing w:val="1"/>
          <w:w w:val="110"/>
          <w:sz w:val="19"/>
        </w:rPr>
        <w:t> </w:t>
      </w:r>
      <w:r>
        <w:rPr>
          <w:color w:val="3A3838"/>
          <w:w w:val="115"/>
          <w:sz w:val="19"/>
        </w:rPr>
        <w:t>ture</w:t>
      </w:r>
      <w:r>
        <w:rPr>
          <w:color w:val="3A3838"/>
          <w:spacing w:val="-26"/>
          <w:w w:val="115"/>
          <w:sz w:val="19"/>
        </w:rPr>
        <w:t> </w:t>
      </w:r>
      <w:r>
        <w:rPr>
          <w:color w:val="3A3838"/>
          <w:w w:val="115"/>
          <w:sz w:val="19"/>
        </w:rPr>
        <w:t>for</w:t>
      </w:r>
      <w:r>
        <w:rPr>
          <w:color w:val="3A3838"/>
          <w:spacing w:val="-29"/>
          <w:w w:val="115"/>
          <w:sz w:val="19"/>
        </w:rPr>
        <w:t> </w:t>
      </w:r>
      <w:r>
        <w:rPr>
          <w:color w:val="3A3838"/>
          <w:w w:val="115"/>
          <w:sz w:val="19"/>
        </w:rPr>
        <w:t>analyzing</w:t>
      </w:r>
      <w:r>
        <w:rPr>
          <w:color w:val="3A3838"/>
          <w:spacing w:val="4"/>
          <w:w w:val="115"/>
          <w:sz w:val="19"/>
        </w:rPr>
        <w:t> </w:t>
      </w:r>
      <w:r>
        <w:rPr>
          <w:color w:val="3A3838"/>
          <w:w w:val="115"/>
          <w:sz w:val="19"/>
        </w:rPr>
        <w:t>a</w:t>
      </w:r>
      <w:r>
        <w:rPr>
          <w:color w:val="3A3838"/>
          <w:spacing w:val="-1"/>
          <w:w w:val="115"/>
          <w:sz w:val="19"/>
        </w:rPr>
        <w:t> </w:t>
      </w:r>
      <w:r>
        <w:rPr>
          <w:color w:val="3A3838"/>
          <w:w w:val="115"/>
          <w:sz w:val="19"/>
        </w:rPr>
        <w:t>legal</w:t>
      </w:r>
      <w:r>
        <w:rPr>
          <w:color w:val="3A3838"/>
          <w:spacing w:val="-2"/>
          <w:w w:val="115"/>
          <w:sz w:val="19"/>
        </w:rPr>
        <w:t> </w:t>
      </w:r>
      <w:r>
        <w:rPr>
          <w:color w:val="3A3838"/>
          <w:w w:val="115"/>
          <w:sz w:val="19"/>
        </w:rPr>
        <w:t>issue.</w:t>
      </w:r>
    </w:p>
    <w:p>
      <w:pPr>
        <w:spacing w:line="242" w:lineRule="auto" w:before="67"/>
        <w:ind w:left="1343" w:right="269" w:firstLine="32"/>
        <w:jc w:val="both"/>
        <w:rPr>
          <w:sz w:val="19"/>
        </w:rPr>
      </w:pPr>
      <w:r>
        <w:rPr>
          <w:color w:val="3A3838"/>
          <w:w w:val="110"/>
          <w:sz w:val="19"/>
        </w:rPr>
        <w:t>Whatever organizational method you use, the elements of CREXAC provide a</w:t>
      </w:r>
      <w:r>
        <w:rPr>
          <w:color w:val="3A3838"/>
          <w:spacing w:val="1"/>
          <w:w w:val="110"/>
          <w:sz w:val="19"/>
        </w:rPr>
        <w:t> </w:t>
      </w:r>
      <w:r>
        <w:rPr>
          <w:color w:val="3A3838"/>
          <w:spacing w:val="-1"/>
          <w:w w:val="110"/>
          <w:sz w:val="19"/>
        </w:rPr>
        <w:t>good </w:t>
      </w:r>
      <w:r>
        <w:rPr>
          <w:color w:val="3A3838"/>
          <w:w w:val="110"/>
          <w:sz w:val="19"/>
        </w:rPr>
        <w:t>checklist. In every section of the argument, the reader will always need to</w:t>
      </w:r>
      <w:r>
        <w:rPr>
          <w:color w:val="3A3838"/>
          <w:spacing w:val="1"/>
          <w:w w:val="110"/>
          <w:sz w:val="19"/>
        </w:rPr>
        <w:t> </w:t>
      </w:r>
      <w:r>
        <w:rPr>
          <w:color w:val="3A3838"/>
          <w:w w:val="110"/>
          <w:sz w:val="19"/>
        </w:rPr>
        <w:t>know the issue you're addressing, the rule that governs the issue, what the rule</w:t>
      </w:r>
      <w:r>
        <w:rPr>
          <w:color w:val="3A3838"/>
          <w:spacing w:val="1"/>
          <w:w w:val="110"/>
          <w:sz w:val="19"/>
        </w:rPr>
        <w:t> </w:t>
      </w:r>
      <w:r>
        <w:rPr>
          <w:color w:val="3A3838"/>
          <w:w w:val="110"/>
          <w:sz w:val="19"/>
        </w:rPr>
        <w:t>means, how it applies in this case, and</w:t>
      </w:r>
      <w:r>
        <w:rPr>
          <w:color w:val="3A3838"/>
          <w:spacing w:val="1"/>
          <w:w w:val="110"/>
          <w:sz w:val="19"/>
        </w:rPr>
        <w:t> </w:t>
      </w:r>
      <w:r>
        <w:rPr>
          <w:color w:val="3A3838"/>
          <w:w w:val="110"/>
          <w:sz w:val="19"/>
        </w:rPr>
        <w:t>how that application connects to your</w:t>
      </w:r>
      <w:r>
        <w:rPr>
          <w:color w:val="3A3838"/>
          <w:spacing w:val="1"/>
          <w:w w:val="110"/>
          <w:sz w:val="19"/>
        </w:rPr>
        <w:t> </w:t>
      </w:r>
      <w:r>
        <w:rPr>
          <w:color w:val="3A3838"/>
          <w:w w:val="110"/>
          <w:sz w:val="19"/>
        </w:rPr>
        <w:t>argument.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spacing w:before="0"/>
        <w:ind w:left="1386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3A3838"/>
          <w:w w:val="105"/>
          <w:sz w:val="27"/>
        </w:rPr>
        <w:t>5.1.2</w:t>
      </w:r>
    </w:p>
    <w:p>
      <w:pPr>
        <w:spacing w:before="35"/>
        <w:ind w:left="1372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3A3838"/>
          <w:w w:val="95"/>
          <w:sz w:val="22"/>
        </w:rPr>
        <w:t>PROVIDE</w:t>
      </w:r>
      <w:r>
        <w:rPr>
          <w:rFonts w:ascii="Arial"/>
          <w:b/>
          <w:color w:val="3A3838"/>
          <w:spacing w:val="4"/>
          <w:w w:val="95"/>
          <w:sz w:val="22"/>
        </w:rPr>
        <w:t> </w:t>
      </w:r>
      <w:r>
        <w:rPr>
          <w:rFonts w:ascii="Arial"/>
          <w:b/>
          <w:color w:val="3A3838"/>
          <w:w w:val="95"/>
          <w:sz w:val="22"/>
        </w:rPr>
        <w:t>THE</w:t>
      </w:r>
      <w:r>
        <w:rPr>
          <w:rFonts w:ascii="Arial"/>
          <w:b/>
          <w:color w:val="3A3838"/>
          <w:spacing w:val="-8"/>
          <w:w w:val="95"/>
          <w:sz w:val="22"/>
        </w:rPr>
        <w:t> </w:t>
      </w:r>
      <w:r>
        <w:rPr>
          <w:rFonts w:ascii="Arial"/>
          <w:b/>
          <w:color w:val="3A3838"/>
          <w:w w:val="95"/>
          <w:sz w:val="23"/>
        </w:rPr>
        <w:t>RULE</w:t>
      </w:r>
    </w:p>
    <w:p>
      <w:pPr>
        <w:pStyle w:val="BodyText"/>
        <w:spacing w:line="232" w:lineRule="auto" w:before="157"/>
        <w:ind w:left="991" w:right="80" w:firstLine="357"/>
        <w:jc w:val="both"/>
      </w:pPr>
      <w:r>
        <w:rPr>
          <w:color w:val="3A3838"/>
          <w:w w:val="105"/>
        </w:rPr>
        <w:t>After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you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have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focused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reader's attention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on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issue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being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addressed, you should articulate the rule that governs the issue. First, let's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define our terms. A rule essentially says that "if a certain condition exists,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then</w:t>
      </w:r>
      <w:r>
        <w:rPr>
          <w:color w:val="3A3838"/>
          <w:spacing w:val="-24"/>
          <w:w w:val="105"/>
        </w:rPr>
        <w:t> </w:t>
      </w:r>
      <w:r>
        <w:rPr>
          <w:color w:val="3A3838"/>
          <w:w w:val="105"/>
        </w:rPr>
        <w:t>a</w:t>
      </w:r>
      <w:r>
        <w:rPr>
          <w:color w:val="3A3838"/>
          <w:spacing w:val="-9"/>
          <w:w w:val="105"/>
        </w:rPr>
        <w:t> </w:t>
      </w:r>
      <w:r>
        <w:rPr>
          <w:color w:val="3A3838"/>
          <w:w w:val="105"/>
        </w:rPr>
        <w:t>certain</w:t>
      </w:r>
      <w:r>
        <w:rPr>
          <w:color w:val="3A3838"/>
          <w:spacing w:val="-9"/>
          <w:w w:val="105"/>
        </w:rPr>
        <w:t> </w:t>
      </w:r>
      <w:r>
        <w:rPr>
          <w:color w:val="3A3838"/>
          <w:w w:val="105"/>
        </w:rPr>
        <w:t>legal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status</w:t>
      </w:r>
      <w:r>
        <w:rPr>
          <w:color w:val="3A3838"/>
          <w:spacing w:val="-1"/>
          <w:w w:val="105"/>
        </w:rPr>
        <w:t> </w:t>
      </w:r>
      <w:r>
        <w:rPr>
          <w:color w:val="3A3838"/>
          <w:w w:val="105"/>
        </w:rPr>
        <w:t>results."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For</w:t>
      </w:r>
      <w:r>
        <w:rPr>
          <w:color w:val="3A3838"/>
          <w:spacing w:val="-12"/>
          <w:w w:val="105"/>
        </w:rPr>
        <w:t> </w:t>
      </w:r>
      <w:r>
        <w:rPr>
          <w:color w:val="3A3838"/>
          <w:w w:val="105"/>
        </w:rPr>
        <w:t>example:</w:t>
      </w:r>
    </w:p>
    <w:p>
      <w:pPr>
        <w:spacing w:line="241" w:lineRule="exact" w:before="132"/>
        <w:ind w:left="1325" w:right="0" w:firstLine="0"/>
        <w:jc w:val="both"/>
        <w:rPr>
          <w:sz w:val="21"/>
        </w:rPr>
      </w:pPr>
      <w:r>
        <w:rPr>
          <w:color w:val="3A3838"/>
          <w:w w:val="115"/>
          <w:sz w:val="21"/>
        </w:rPr>
        <w:t>If</w:t>
      </w:r>
      <w:r>
        <w:rPr>
          <w:color w:val="3A3838"/>
          <w:spacing w:val="30"/>
          <w:w w:val="115"/>
          <w:sz w:val="21"/>
        </w:rPr>
        <w:t> </w:t>
      </w:r>
      <w:r>
        <w:rPr>
          <w:color w:val="3A3838"/>
          <w:w w:val="115"/>
          <w:sz w:val="21"/>
        </w:rPr>
        <w:t>you</w:t>
      </w:r>
      <w:r>
        <w:rPr>
          <w:color w:val="3A3838"/>
          <w:spacing w:val="12"/>
          <w:w w:val="115"/>
          <w:sz w:val="21"/>
        </w:rPr>
        <w:t> </w:t>
      </w:r>
      <w:r>
        <w:rPr>
          <w:b/>
          <w:color w:val="3A3838"/>
          <w:w w:val="115"/>
          <w:sz w:val="20"/>
        </w:rPr>
        <w:t>are</w:t>
      </w:r>
      <w:r>
        <w:rPr>
          <w:b/>
          <w:color w:val="3A3838"/>
          <w:spacing w:val="26"/>
          <w:w w:val="115"/>
          <w:sz w:val="20"/>
        </w:rPr>
        <w:t> </w:t>
      </w:r>
      <w:r>
        <w:rPr>
          <w:b/>
          <w:color w:val="3A3838"/>
          <w:w w:val="115"/>
          <w:sz w:val="20"/>
        </w:rPr>
        <w:t>a</w:t>
      </w:r>
      <w:r>
        <w:rPr>
          <w:b/>
          <w:color w:val="3A3838"/>
          <w:spacing w:val="44"/>
          <w:w w:val="115"/>
          <w:sz w:val="20"/>
        </w:rPr>
        <w:t> </w:t>
      </w:r>
      <w:r>
        <w:rPr>
          <w:color w:val="3A3838"/>
          <w:w w:val="115"/>
          <w:sz w:val="21"/>
        </w:rPr>
        <w:t>human</w:t>
      </w:r>
      <w:r>
        <w:rPr>
          <w:color w:val="3A3838"/>
          <w:spacing w:val="39"/>
          <w:w w:val="115"/>
          <w:sz w:val="21"/>
        </w:rPr>
        <w:t> </w:t>
      </w:r>
      <w:r>
        <w:rPr>
          <w:color w:val="3A3838"/>
          <w:w w:val="115"/>
          <w:sz w:val="21"/>
        </w:rPr>
        <w:t>being</w:t>
      </w:r>
      <w:r>
        <w:rPr>
          <w:color w:val="3A3838"/>
          <w:spacing w:val="12"/>
          <w:w w:val="115"/>
          <w:sz w:val="21"/>
        </w:rPr>
        <w:t> </w:t>
      </w:r>
      <w:r>
        <w:rPr>
          <w:color w:val="3A3838"/>
          <w:w w:val="115"/>
          <w:sz w:val="21"/>
        </w:rPr>
        <w:t>[certain</w:t>
      </w:r>
      <w:r>
        <w:rPr>
          <w:color w:val="3A3838"/>
          <w:spacing w:val="28"/>
          <w:w w:val="115"/>
          <w:sz w:val="21"/>
        </w:rPr>
        <w:t> </w:t>
      </w:r>
      <w:r>
        <w:rPr>
          <w:color w:val="3A3838"/>
          <w:w w:val="115"/>
          <w:sz w:val="21"/>
        </w:rPr>
        <w:t>condition],</w:t>
      </w:r>
      <w:r>
        <w:rPr>
          <w:color w:val="3A3838"/>
          <w:spacing w:val="37"/>
          <w:w w:val="115"/>
          <w:sz w:val="21"/>
        </w:rPr>
        <w:t> </w:t>
      </w:r>
      <w:r>
        <w:rPr>
          <w:color w:val="3A3838"/>
          <w:w w:val="115"/>
          <w:sz w:val="21"/>
        </w:rPr>
        <w:t>then</w:t>
      </w:r>
      <w:r>
        <w:rPr>
          <w:color w:val="3A3838"/>
          <w:spacing w:val="31"/>
          <w:w w:val="115"/>
          <w:sz w:val="21"/>
        </w:rPr>
        <w:t> </w:t>
      </w:r>
      <w:r>
        <w:rPr>
          <w:color w:val="3A3838"/>
          <w:w w:val="115"/>
          <w:sz w:val="21"/>
        </w:rPr>
        <w:t>you</w:t>
      </w:r>
      <w:r>
        <w:rPr>
          <w:color w:val="3A3838"/>
          <w:spacing w:val="-11"/>
          <w:w w:val="115"/>
          <w:sz w:val="21"/>
        </w:rPr>
        <w:t> </w:t>
      </w:r>
      <w:r>
        <w:rPr>
          <w:color w:val="3A3838"/>
          <w:w w:val="115"/>
          <w:sz w:val="21"/>
        </w:rPr>
        <w:t>are</w:t>
      </w:r>
      <w:r>
        <w:rPr>
          <w:color w:val="3A3838"/>
          <w:spacing w:val="20"/>
          <w:w w:val="115"/>
          <w:sz w:val="21"/>
        </w:rPr>
        <w:t> </w:t>
      </w:r>
      <w:r>
        <w:rPr>
          <w:color w:val="3A3838"/>
          <w:w w:val="115"/>
          <w:sz w:val="21"/>
        </w:rPr>
        <w:t>mortal</w:t>
      </w:r>
    </w:p>
    <w:p>
      <w:pPr>
        <w:spacing w:line="241" w:lineRule="exact" w:before="0"/>
        <w:ind w:left="1309" w:right="0" w:firstLine="0"/>
        <w:jc w:val="both"/>
        <w:rPr>
          <w:b/>
          <w:sz w:val="21"/>
        </w:rPr>
      </w:pPr>
      <w:r>
        <w:rPr>
          <w:b/>
          <w:color w:val="3A3838"/>
          <w:w w:val="105"/>
          <w:sz w:val="20"/>
        </w:rPr>
        <w:t>[legal</w:t>
      </w:r>
      <w:r>
        <w:rPr>
          <w:b/>
          <w:color w:val="3A3838"/>
          <w:spacing w:val="-8"/>
          <w:w w:val="105"/>
          <w:sz w:val="20"/>
        </w:rPr>
        <w:t> </w:t>
      </w:r>
      <w:r>
        <w:rPr>
          <w:b/>
          <w:color w:val="3A3838"/>
          <w:w w:val="105"/>
          <w:sz w:val="21"/>
        </w:rPr>
        <w:t>status].</w:t>
      </w:r>
    </w:p>
    <w:p>
      <w:pPr>
        <w:spacing w:before="143"/>
        <w:ind w:left="1307" w:right="247" w:hanging="2"/>
        <w:jc w:val="left"/>
        <w:rPr>
          <w:b/>
          <w:sz w:val="20"/>
        </w:rPr>
      </w:pPr>
      <w:r>
        <w:rPr>
          <w:color w:val="3A3838"/>
          <w:w w:val="110"/>
          <w:sz w:val="19"/>
        </w:rPr>
        <w:t>If</w:t>
      </w:r>
      <w:r>
        <w:rPr>
          <w:color w:val="3A3838"/>
          <w:spacing w:val="1"/>
          <w:w w:val="110"/>
          <w:sz w:val="19"/>
        </w:rPr>
        <w:t> </w:t>
      </w:r>
      <w:r>
        <w:rPr>
          <w:b/>
          <w:color w:val="3A3838"/>
          <w:w w:val="110"/>
          <w:sz w:val="20"/>
        </w:rPr>
        <w:t>you</w:t>
      </w:r>
      <w:r>
        <w:rPr>
          <w:b/>
          <w:color w:val="3A3838"/>
          <w:spacing w:val="1"/>
          <w:w w:val="110"/>
          <w:sz w:val="20"/>
        </w:rPr>
        <w:t> </w:t>
      </w:r>
      <w:r>
        <w:rPr>
          <w:b/>
          <w:color w:val="3A3838"/>
          <w:w w:val="110"/>
          <w:sz w:val="20"/>
        </w:rPr>
        <w:t>have a duty, breach </w:t>
      </w:r>
      <w:r>
        <w:rPr>
          <w:rFonts w:ascii="Arial" w:hAnsi="Arial"/>
          <w:b/>
          <w:color w:val="3A3838"/>
          <w:w w:val="110"/>
          <w:sz w:val="20"/>
        </w:rPr>
        <w:t>a </w:t>
      </w:r>
      <w:r>
        <w:rPr>
          <w:b/>
          <w:color w:val="3A3838"/>
          <w:w w:val="110"/>
          <w:sz w:val="20"/>
        </w:rPr>
        <w:t>duty, and</w:t>
      </w:r>
      <w:r>
        <w:rPr>
          <w:b/>
          <w:color w:val="3A3838"/>
          <w:spacing w:val="1"/>
          <w:w w:val="110"/>
          <w:sz w:val="20"/>
        </w:rPr>
        <w:t> </w:t>
      </w:r>
      <w:r>
        <w:rPr>
          <w:b/>
          <w:color w:val="3A3838"/>
          <w:w w:val="110"/>
          <w:sz w:val="20"/>
        </w:rPr>
        <w:t>cause compensable harm [cer­</w:t>
      </w:r>
      <w:r>
        <w:rPr>
          <w:b/>
          <w:color w:val="3A3838"/>
          <w:spacing w:val="-52"/>
          <w:w w:val="110"/>
          <w:sz w:val="20"/>
        </w:rPr>
        <w:t> </w:t>
      </w:r>
      <w:r>
        <w:rPr>
          <w:b/>
          <w:color w:val="3A3838"/>
          <w:w w:val="115"/>
          <w:sz w:val="20"/>
        </w:rPr>
        <w:t>tain</w:t>
      </w:r>
      <w:r>
        <w:rPr>
          <w:b/>
          <w:color w:val="3A3838"/>
          <w:spacing w:val="-16"/>
          <w:w w:val="115"/>
          <w:sz w:val="20"/>
        </w:rPr>
        <w:t> </w:t>
      </w:r>
      <w:r>
        <w:rPr>
          <w:b/>
          <w:color w:val="3A3838"/>
          <w:w w:val="115"/>
          <w:sz w:val="20"/>
        </w:rPr>
        <w:t>condition],</w:t>
      </w:r>
      <w:r>
        <w:rPr>
          <w:b/>
          <w:color w:val="3A3838"/>
          <w:spacing w:val="1"/>
          <w:w w:val="115"/>
          <w:sz w:val="20"/>
        </w:rPr>
        <w:t> </w:t>
      </w:r>
      <w:r>
        <w:rPr>
          <w:b/>
          <w:color w:val="3A3838"/>
          <w:w w:val="115"/>
          <w:sz w:val="20"/>
        </w:rPr>
        <w:t>then</w:t>
      </w:r>
      <w:r>
        <w:rPr>
          <w:b/>
          <w:color w:val="3A3838"/>
          <w:spacing w:val="-1"/>
          <w:w w:val="115"/>
          <w:sz w:val="20"/>
        </w:rPr>
        <w:t> </w:t>
      </w:r>
      <w:r>
        <w:rPr>
          <w:b/>
          <w:color w:val="3A3838"/>
          <w:w w:val="115"/>
          <w:sz w:val="20"/>
        </w:rPr>
        <w:t>youareliable</w:t>
      </w:r>
      <w:r>
        <w:rPr>
          <w:b/>
          <w:color w:val="3A3838"/>
          <w:spacing w:val="-17"/>
          <w:w w:val="115"/>
          <w:sz w:val="20"/>
        </w:rPr>
        <w:t> </w:t>
      </w:r>
      <w:r>
        <w:rPr>
          <w:color w:val="3A3838"/>
          <w:w w:val="115"/>
          <w:sz w:val="20"/>
        </w:rPr>
        <w:t>in</w:t>
      </w:r>
      <w:r>
        <w:rPr>
          <w:color w:val="3A3838"/>
          <w:spacing w:val="17"/>
          <w:w w:val="115"/>
          <w:sz w:val="20"/>
        </w:rPr>
        <w:t> </w:t>
      </w:r>
      <w:r>
        <w:rPr>
          <w:b/>
          <w:color w:val="3A3838"/>
          <w:w w:val="115"/>
          <w:sz w:val="20"/>
        </w:rPr>
        <w:t>negligence</w:t>
      </w:r>
      <w:r>
        <w:rPr>
          <w:b/>
          <w:color w:val="3A3838"/>
          <w:spacing w:val="-6"/>
          <w:w w:val="115"/>
          <w:sz w:val="20"/>
        </w:rPr>
        <w:t> </w:t>
      </w:r>
      <w:r>
        <w:rPr>
          <w:b/>
          <w:color w:val="3A3838"/>
          <w:w w:val="115"/>
          <w:sz w:val="20"/>
        </w:rPr>
        <w:t>[legal</w:t>
      </w:r>
      <w:r>
        <w:rPr>
          <w:b/>
          <w:color w:val="3A3838"/>
          <w:spacing w:val="-11"/>
          <w:w w:val="115"/>
          <w:sz w:val="20"/>
        </w:rPr>
        <w:t> </w:t>
      </w:r>
      <w:r>
        <w:rPr>
          <w:b/>
          <w:color w:val="3A3838"/>
          <w:w w:val="115"/>
          <w:sz w:val="20"/>
        </w:rPr>
        <w:t>status].</w:t>
      </w:r>
    </w:p>
    <w:p>
      <w:pPr>
        <w:pStyle w:val="BodyText"/>
        <w:spacing w:line="230" w:lineRule="auto" w:before="156"/>
        <w:ind w:left="928" w:right="130" w:firstLine="22"/>
        <w:jc w:val="both"/>
      </w:pPr>
      <w:r>
        <w:rPr>
          <w:color w:val="3A3838"/>
          <w:w w:val="105"/>
        </w:rPr>
        <w:t>Most rules in a brief will not be stated in "if-then" terminology. However,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using the if-then structure can help you to test the rules that you include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-2"/>
          <w:w w:val="110"/>
        </w:rPr>
        <w:t> </w:t>
      </w:r>
      <w:r>
        <w:rPr>
          <w:color w:val="3A3838"/>
          <w:w w:val="110"/>
        </w:rPr>
        <w:t>your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brief.</w:t>
      </w:r>
    </w:p>
    <w:p>
      <w:pPr>
        <w:pStyle w:val="BodyText"/>
        <w:spacing w:line="232" w:lineRule="auto" w:before="7"/>
        <w:ind w:left="885" w:right="128" w:firstLine="382"/>
        <w:jc w:val="both"/>
      </w:pPr>
      <w:r>
        <w:rPr>
          <w:color w:val="3A3838"/>
          <w:w w:val="105"/>
          <w:sz w:val="22"/>
        </w:rPr>
        <w:t>If</w:t>
      </w:r>
      <w:r>
        <w:rPr>
          <w:color w:val="3A3838"/>
          <w:spacing w:val="1"/>
          <w:w w:val="105"/>
          <w:sz w:val="22"/>
        </w:rPr>
        <w:t> </w:t>
      </w:r>
      <w:r>
        <w:rPr>
          <w:color w:val="3A3838"/>
          <w:w w:val="105"/>
        </w:rPr>
        <w:t>your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rule comes from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a statute or a well-established common  law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test, stating the rule may be simple. Stating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rule can be more compli­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cated, however, </w:t>
      </w:r>
      <w:r>
        <w:rPr>
          <w:rFonts w:ascii="Arial" w:hAnsi="Arial"/>
          <w:i/>
          <w:color w:val="3A3838"/>
          <w:w w:val="105"/>
          <w:sz w:val="22"/>
        </w:rPr>
        <w:t>if</w:t>
      </w:r>
      <w:r>
        <w:rPr>
          <w:rFonts w:ascii="Arial" w:hAnsi="Arial"/>
          <w:i/>
          <w:color w:val="3A3838"/>
          <w:spacing w:val="1"/>
          <w:w w:val="105"/>
          <w:sz w:val="22"/>
        </w:rPr>
        <w:t> </w:t>
      </w:r>
      <w:r>
        <w:rPr>
          <w:color w:val="3A3838"/>
          <w:w w:val="105"/>
        </w:rPr>
        <w:t>there is controversy about which rule applies, or if you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must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use</w:t>
      </w:r>
      <w:r>
        <w:rPr>
          <w:color w:val="3A3838"/>
          <w:spacing w:val="-18"/>
          <w:w w:val="105"/>
        </w:rPr>
        <w:t> </w:t>
      </w:r>
      <w:r>
        <w:rPr>
          <w:color w:val="3A3838"/>
          <w:w w:val="105"/>
        </w:rPr>
        <w:t>inductive reasoning</w:t>
      </w:r>
      <w:r>
        <w:rPr>
          <w:color w:val="3A3838"/>
          <w:spacing w:val="6"/>
          <w:w w:val="105"/>
        </w:rPr>
        <w:t> </w:t>
      </w:r>
      <w:r>
        <w:rPr>
          <w:color w:val="3A3838"/>
          <w:w w:val="105"/>
        </w:rPr>
        <w:t>to</w:t>
      </w:r>
      <w:r>
        <w:rPr>
          <w:color w:val="3A3838"/>
          <w:spacing w:val="3"/>
          <w:w w:val="105"/>
        </w:rPr>
        <w:t> </w:t>
      </w:r>
      <w:r>
        <w:rPr>
          <w:color w:val="3A3838"/>
          <w:w w:val="105"/>
        </w:rPr>
        <w:t>"find"</w:t>
      </w:r>
      <w:r>
        <w:rPr>
          <w:color w:val="3A3838"/>
          <w:spacing w:val="-7"/>
          <w:w w:val="105"/>
        </w:rPr>
        <w:t> </w:t>
      </w:r>
      <w:r>
        <w:rPr>
          <w:color w:val="3A3838"/>
          <w:w w:val="105"/>
        </w:rPr>
        <w:t>your</w:t>
      </w:r>
      <w:r>
        <w:rPr>
          <w:color w:val="3A3838"/>
          <w:spacing w:val="11"/>
          <w:w w:val="105"/>
        </w:rPr>
        <w:t> </w:t>
      </w:r>
      <w:r>
        <w:rPr>
          <w:color w:val="3A3838"/>
          <w:w w:val="105"/>
        </w:rPr>
        <w:t>rule.</w:t>
      </w: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3"/>
          <w:numId w:val="42"/>
        </w:numPr>
        <w:tabs>
          <w:tab w:pos="1590" w:val="left" w:leader="none"/>
        </w:tabs>
        <w:spacing w:line="240" w:lineRule="auto" w:before="0" w:after="0"/>
        <w:ind w:left="1589" w:right="0" w:hanging="385"/>
        <w:jc w:val="both"/>
        <w:rPr>
          <w:b/>
          <w:color w:val="3A3838"/>
          <w:sz w:val="21"/>
        </w:rPr>
      </w:pPr>
      <w:r>
        <w:rPr>
          <w:b/>
          <w:color w:val="3A3838"/>
          <w:w w:val="120"/>
          <w:sz w:val="21"/>
        </w:rPr>
        <w:t>Stating</w:t>
      </w:r>
      <w:r>
        <w:rPr>
          <w:b/>
          <w:color w:val="3A3838"/>
          <w:spacing w:val="-13"/>
          <w:w w:val="120"/>
          <w:sz w:val="21"/>
        </w:rPr>
        <w:t> </w:t>
      </w:r>
      <w:r>
        <w:rPr>
          <w:b/>
          <w:color w:val="3A3838"/>
          <w:w w:val="120"/>
          <w:sz w:val="20"/>
        </w:rPr>
        <w:t>E.stablished</w:t>
      </w:r>
      <w:r>
        <w:rPr>
          <w:b/>
          <w:color w:val="3A3838"/>
          <w:spacing w:val="7"/>
          <w:w w:val="120"/>
          <w:sz w:val="20"/>
        </w:rPr>
        <w:t> </w:t>
      </w:r>
      <w:r>
        <w:rPr>
          <w:b/>
          <w:color w:val="3A3838"/>
          <w:w w:val="120"/>
          <w:sz w:val="21"/>
        </w:rPr>
        <w:t>Rules</w:t>
      </w:r>
    </w:p>
    <w:p>
      <w:pPr>
        <w:pStyle w:val="BodyText"/>
        <w:spacing w:line="228" w:lineRule="auto" w:before="30"/>
        <w:ind w:left="803" w:right="158" w:firstLine="377"/>
        <w:jc w:val="both"/>
      </w:pPr>
      <w:r>
        <w:rPr>
          <w:rFonts w:ascii="Arial" w:hAnsi="Arial"/>
          <w:i/>
          <w:color w:val="3A3838"/>
          <w:w w:val="105"/>
          <w:sz w:val="21"/>
        </w:rPr>
        <w:t>You </w:t>
      </w:r>
      <w:r>
        <w:rPr>
          <w:color w:val="3A3838"/>
          <w:w w:val="105"/>
        </w:rPr>
        <w:t>may state the  rule in a variety of  ways. </w:t>
      </w:r>
      <w:r>
        <w:rPr>
          <w:color w:val="3A3838"/>
          <w:w w:val="105"/>
          <w:sz w:val="22"/>
        </w:rPr>
        <w:t>If  </w:t>
      </w:r>
      <w:r>
        <w:rPr>
          <w:color w:val="3A3838"/>
          <w:w w:val="105"/>
        </w:rPr>
        <w:t>the  rule is derived from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a statute or other enacted law, you may simply quote the pertinent lan­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guage,</w:t>
      </w:r>
      <w:r>
        <w:rPr>
          <w:color w:val="3A3838"/>
          <w:spacing w:val="-7"/>
          <w:w w:val="110"/>
        </w:rPr>
        <w:t> </w:t>
      </w:r>
      <w:r>
        <w:rPr>
          <w:color w:val="3A3838"/>
          <w:w w:val="110"/>
        </w:rPr>
        <w:t>as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29"/>
          <w:w w:val="110"/>
        </w:rPr>
        <w:t> </w:t>
      </w:r>
      <w:r>
        <w:rPr>
          <w:color w:val="3A3838"/>
          <w:w w:val="110"/>
        </w:rPr>
        <w:t>this</w:t>
      </w:r>
      <w:r>
        <w:rPr>
          <w:color w:val="3A3838"/>
          <w:spacing w:val="-16"/>
          <w:w w:val="110"/>
        </w:rPr>
        <w:t> </w:t>
      </w:r>
      <w:r>
        <w:rPr>
          <w:color w:val="3A3838"/>
          <w:w w:val="110"/>
        </w:rPr>
        <w:t>example:</w:t>
      </w:r>
    </w:p>
    <w:p>
      <w:pPr>
        <w:spacing w:line="247" w:lineRule="auto" w:before="140"/>
        <w:ind w:left="1135" w:right="524" w:firstLine="26"/>
        <w:jc w:val="both"/>
        <w:rPr>
          <w:b/>
          <w:sz w:val="20"/>
        </w:rPr>
      </w:pPr>
      <w:r>
        <w:rPr>
          <w:b/>
          <w:color w:val="3A3838"/>
          <w:w w:val="110"/>
          <w:sz w:val="20"/>
        </w:rPr>
        <w:t>26 U.S.C. §5861(d) provides that "[i]t shall be unlawful for any person</w:t>
      </w:r>
      <w:r>
        <w:rPr>
          <w:b/>
          <w:color w:val="3A3838"/>
          <w:spacing w:val="1"/>
          <w:w w:val="110"/>
          <w:sz w:val="20"/>
        </w:rPr>
        <w:t> </w:t>
      </w:r>
      <w:r>
        <w:rPr>
          <w:b/>
          <w:color w:val="3A3838"/>
          <w:w w:val="110"/>
          <w:sz w:val="20"/>
        </w:rPr>
        <w:t>to receive or possess a firearm which is not registered to him</w:t>
      </w:r>
      <w:r>
        <w:rPr>
          <w:b/>
          <w:color w:val="3A3838"/>
          <w:spacing w:val="1"/>
          <w:w w:val="110"/>
          <w:sz w:val="20"/>
        </w:rPr>
        <w:t> </w:t>
      </w:r>
      <w:r>
        <w:rPr>
          <w:b/>
          <w:color w:val="3A3838"/>
          <w:w w:val="110"/>
          <w:sz w:val="20"/>
        </w:rPr>
        <w:t>in the</w:t>
      </w:r>
      <w:r>
        <w:rPr>
          <w:b/>
          <w:color w:val="3A3838"/>
          <w:spacing w:val="1"/>
          <w:w w:val="110"/>
          <w:sz w:val="20"/>
        </w:rPr>
        <w:t> </w:t>
      </w:r>
      <w:r>
        <w:rPr>
          <w:b/>
          <w:color w:val="3A3838"/>
          <w:w w:val="110"/>
          <w:sz w:val="20"/>
        </w:rPr>
        <w:t>National</w:t>
      </w:r>
      <w:r>
        <w:rPr>
          <w:b/>
          <w:color w:val="3A3838"/>
          <w:spacing w:val="9"/>
          <w:w w:val="110"/>
          <w:sz w:val="20"/>
        </w:rPr>
        <w:t> </w:t>
      </w:r>
      <w:r>
        <w:rPr>
          <w:b/>
          <w:color w:val="3A3838"/>
          <w:w w:val="110"/>
          <w:sz w:val="20"/>
        </w:rPr>
        <w:t>Firearms</w:t>
      </w:r>
      <w:r>
        <w:rPr>
          <w:b/>
          <w:color w:val="3A3838"/>
          <w:spacing w:val="4"/>
          <w:w w:val="110"/>
          <w:sz w:val="20"/>
        </w:rPr>
        <w:t> </w:t>
      </w:r>
      <w:r>
        <w:rPr>
          <w:b/>
          <w:color w:val="3A3838"/>
          <w:w w:val="110"/>
          <w:sz w:val="20"/>
        </w:rPr>
        <w:t>Registration</w:t>
      </w:r>
      <w:r>
        <w:rPr>
          <w:b/>
          <w:color w:val="3A3838"/>
          <w:spacing w:val="-1"/>
          <w:w w:val="110"/>
          <w:sz w:val="20"/>
        </w:rPr>
        <w:t> </w:t>
      </w:r>
      <w:r>
        <w:rPr>
          <w:b/>
          <w:color w:val="3A3838"/>
          <w:w w:val="110"/>
          <w:sz w:val="20"/>
        </w:rPr>
        <w:t>Transfer</w:t>
      </w:r>
      <w:r>
        <w:rPr>
          <w:b/>
          <w:color w:val="3A3838"/>
          <w:spacing w:val="-12"/>
          <w:w w:val="110"/>
          <w:sz w:val="20"/>
        </w:rPr>
        <w:t> </w:t>
      </w:r>
      <w:r>
        <w:rPr>
          <w:b/>
          <w:color w:val="3A3838"/>
          <w:w w:val="110"/>
          <w:sz w:val="20"/>
        </w:rPr>
        <w:t>Record."</w:t>
      </w:r>
    </w:p>
    <w:p>
      <w:pPr>
        <w:pStyle w:val="BodyText"/>
        <w:spacing w:line="235" w:lineRule="auto" w:before="142"/>
        <w:ind w:left="706" w:right="192" w:firstLine="21"/>
        <w:jc w:val="both"/>
      </w:pPr>
      <w:r>
        <w:rPr>
          <w:color w:val="3A3838"/>
          <w:w w:val="110"/>
        </w:rPr>
        <w:t>Similarly, if the rule is a welJ-accepted common law rule derived from a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weJl-.known authority, you may simply articulate the rule in its familiar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language:</w:t>
      </w:r>
    </w:p>
    <w:p>
      <w:pPr>
        <w:spacing w:line="237" w:lineRule="auto" w:before="106"/>
        <w:ind w:left="1047" w:right="553" w:firstLine="21"/>
        <w:jc w:val="both"/>
        <w:rPr>
          <w:b/>
          <w:sz w:val="20"/>
        </w:rPr>
      </w:pPr>
      <w:r>
        <w:rPr>
          <w:b/>
          <w:color w:val="3A3838"/>
          <w:w w:val="115"/>
          <w:sz w:val="20"/>
        </w:rPr>
        <w:t>While</w:t>
      </w:r>
      <w:r>
        <w:rPr>
          <w:b/>
          <w:color w:val="3A3838"/>
          <w:spacing w:val="-20"/>
          <w:w w:val="115"/>
          <w:sz w:val="20"/>
        </w:rPr>
        <w:t> </w:t>
      </w:r>
      <w:r>
        <w:rPr>
          <w:b/>
          <w:color w:val="3A3838"/>
          <w:w w:val="115"/>
          <w:sz w:val="20"/>
        </w:rPr>
        <w:t>a</w:t>
      </w:r>
      <w:r>
        <w:rPr>
          <w:b/>
          <w:color w:val="3A3838"/>
          <w:spacing w:val="11"/>
          <w:w w:val="115"/>
          <w:sz w:val="20"/>
        </w:rPr>
        <w:t> </w:t>
      </w:r>
      <w:r>
        <w:rPr>
          <w:b/>
          <w:color w:val="3A3838"/>
          <w:w w:val="115"/>
          <w:sz w:val="20"/>
        </w:rPr>
        <w:t>person's</w:t>
      </w:r>
      <w:r>
        <w:rPr>
          <w:b/>
          <w:color w:val="3A3838"/>
          <w:spacing w:val="1"/>
          <w:w w:val="115"/>
          <w:sz w:val="20"/>
        </w:rPr>
        <w:t> </w:t>
      </w:r>
      <w:r>
        <w:rPr>
          <w:b/>
          <w:color w:val="3A3838"/>
          <w:w w:val="115"/>
          <w:sz w:val="20"/>
        </w:rPr>
        <w:t>home</w:t>
      </w:r>
      <w:r>
        <w:rPr>
          <w:b/>
          <w:color w:val="3A3838"/>
          <w:spacing w:val="-22"/>
          <w:w w:val="115"/>
          <w:sz w:val="20"/>
        </w:rPr>
        <w:t> </w:t>
      </w:r>
      <w:r>
        <w:rPr>
          <w:i/>
          <w:color w:val="3A3838"/>
          <w:w w:val="115"/>
          <w:sz w:val="22"/>
        </w:rPr>
        <w:t>is,</w:t>
      </w:r>
      <w:r>
        <w:rPr>
          <w:i/>
          <w:color w:val="3A3838"/>
          <w:spacing w:val="-31"/>
          <w:w w:val="115"/>
          <w:sz w:val="22"/>
        </w:rPr>
        <w:t> </w:t>
      </w:r>
      <w:r>
        <w:rPr>
          <w:b/>
          <w:color w:val="3A3838"/>
          <w:w w:val="115"/>
          <w:sz w:val="20"/>
        </w:rPr>
        <w:t>formost</w:t>
      </w:r>
      <w:r>
        <w:rPr>
          <w:b/>
          <w:color w:val="3A3838"/>
          <w:spacing w:val="-15"/>
          <w:w w:val="115"/>
          <w:sz w:val="20"/>
        </w:rPr>
        <w:t> </w:t>
      </w:r>
      <w:r>
        <w:rPr>
          <w:b/>
          <w:color w:val="3A3838"/>
          <w:w w:val="115"/>
          <w:sz w:val="20"/>
        </w:rPr>
        <w:t>purposes,</w:t>
      </w:r>
      <w:r>
        <w:rPr>
          <w:b/>
          <w:color w:val="3A3838"/>
          <w:spacing w:val="-6"/>
          <w:w w:val="115"/>
          <w:sz w:val="20"/>
        </w:rPr>
        <w:t> </w:t>
      </w:r>
      <w:r>
        <w:rPr>
          <w:b/>
          <w:color w:val="3A3838"/>
          <w:w w:val="115"/>
          <w:sz w:val="20"/>
        </w:rPr>
        <w:t>a</w:t>
      </w:r>
      <w:r>
        <w:rPr>
          <w:b/>
          <w:color w:val="3A3838"/>
          <w:spacing w:val="9"/>
          <w:w w:val="115"/>
          <w:sz w:val="20"/>
        </w:rPr>
        <w:t> </w:t>
      </w:r>
      <w:r>
        <w:rPr>
          <w:b/>
          <w:color w:val="3A3838"/>
          <w:w w:val="115"/>
          <w:sz w:val="20"/>
        </w:rPr>
        <w:t>place</w:t>
      </w:r>
      <w:r>
        <w:rPr>
          <w:b/>
          <w:color w:val="3A3838"/>
          <w:spacing w:val="-15"/>
          <w:w w:val="115"/>
          <w:sz w:val="20"/>
        </w:rPr>
        <w:t> </w:t>
      </w:r>
      <w:r>
        <w:rPr>
          <w:b/>
          <w:color w:val="3A3838"/>
          <w:w w:val="115"/>
          <w:sz w:val="20"/>
        </w:rPr>
        <w:t>where</w:t>
      </w:r>
      <w:r>
        <w:rPr>
          <w:b/>
          <w:color w:val="3A3838"/>
          <w:spacing w:val="-15"/>
          <w:w w:val="115"/>
          <w:sz w:val="20"/>
        </w:rPr>
        <w:t> </w:t>
      </w:r>
      <w:r>
        <w:rPr>
          <w:b/>
          <w:color w:val="3A3838"/>
          <w:w w:val="115"/>
          <w:sz w:val="20"/>
        </w:rPr>
        <w:t>he</w:t>
      </w:r>
      <w:r>
        <w:rPr>
          <w:b/>
          <w:color w:val="3A3838"/>
          <w:spacing w:val="7"/>
          <w:w w:val="115"/>
          <w:sz w:val="20"/>
        </w:rPr>
        <w:t> </w:t>
      </w:r>
      <w:r>
        <w:rPr>
          <w:b/>
          <w:color w:val="3A3838"/>
          <w:w w:val="115"/>
          <w:sz w:val="20"/>
        </w:rPr>
        <w:t>expects</w:t>
      </w:r>
      <w:r>
        <w:rPr>
          <w:b/>
          <w:color w:val="3A3838"/>
          <w:spacing w:val="-55"/>
          <w:w w:val="115"/>
          <w:sz w:val="20"/>
        </w:rPr>
        <w:t> </w:t>
      </w:r>
      <w:r>
        <w:rPr>
          <w:b/>
          <w:color w:val="3A3838"/>
          <w:w w:val="115"/>
          <w:sz w:val="20"/>
        </w:rPr>
        <w:t>privacy,</w:t>
      </w:r>
      <w:r>
        <w:rPr>
          <w:b/>
          <w:color w:val="3A3838"/>
          <w:spacing w:val="-10"/>
          <w:w w:val="115"/>
          <w:sz w:val="20"/>
        </w:rPr>
        <w:t> </w:t>
      </w:r>
      <w:r>
        <w:rPr>
          <w:b/>
          <w:color w:val="3A3838"/>
          <w:w w:val="115"/>
          <w:sz w:val="20"/>
        </w:rPr>
        <w:t>activities</w:t>
      </w:r>
      <w:r>
        <w:rPr>
          <w:b/>
          <w:color w:val="3A3838"/>
          <w:spacing w:val="-6"/>
          <w:w w:val="115"/>
          <w:sz w:val="20"/>
        </w:rPr>
        <w:t> </w:t>
      </w:r>
      <w:r>
        <w:rPr>
          <w:b/>
          <w:color w:val="3A3838"/>
          <w:w w:val="115"/>
          <w:sz w:val="20"/>
        </w:rPr>
        <w:t>that</w:t>
      </w:r>
      <w:r>
        <w:rPr>
          <w:b/>
          <w:color w:val="3A3838"/>
          <w:spacing w:val="-19"/>
          <w:w w:val="115"/>
          <w:sz w:val="20"/>
        </w:rPr>
        <w:t> </w:t>
      </w:r>
      <w:r>
        <w:rPr>
          <w:b/>
          <w:color w:val="3A3838"/>
          <w:w w:val="115"/>
          <w:sz w:val="20"/>
        </w:rPr>
        <w:t>are</w:t>
      </w:r>
      <w:r>
        <w:rPr>
          <w:b/>
          <w:color w:val="3A3838"/>
          <w:spacing w:val="-21"/>
          <w:w w:val="115"/>
          <w:sz w:val="20"/>
        </w:rPr>
        <w:t> </w:t>
      </w:r>
      <w:r>
        <w:rPr>
          <w:b/>
          <w:color w:val="3A3838"/>
          <w:w w:val="115"/>
          <w:sz w:val="20"/>
        </w:rPr>
        <w:t>exposed</w:t>
      </w:r>
      <w:r>
        <w:rPr>
          <w:b/>
          <w:color w:val="3A3838"/>
          <w:spacing w:val="-13"/>
          <w:w w:val="115"/>
          <w:sz w:val="20"/>
        </w:rPr>
        <w:t> </w:t>
      </w:r>
      <w:r>
        <w:rPr>
          <w:b/>
          <w:color w:val="3A3838"/>
          <w:w w:val="115"/>
          <w:sz w:val="20"/>
        </w:rPr>
        <w:t>"to</w:t>
      </w:r>
      <w:r>
        <w:rPr>
          <w:b/>
          <w:color w:val="3A3838"/>
          <w:spacing w:val="-22"/>
          <w:w w:val="115"/>
          <w:sz w:val="20"/>
        </w:rPr>
        <w:t> </w:t>
      </w:r>
      <w:r>
        <w:rPr>
          <w:b/>
          <w:color w:val="3A3838"/>
          <w:w w:val="115"/>
          <w:sz w:val="20"/>
        </w:rPr>
        <w:t>the</w:t>
      </w:r>
      <w:r>
        <w:rPr>
          <w:b/>
          <w:color w:val="3A3838"/>
          <w:spacing w:val="-13"/>
          <w:w w:val="115"/>
          <w:sz w:val="20"/>
        </w:rPr>
        <w:t> </w:t>
      </w:r>
      <w:r>
        <w:rPr>
          <w:b/>
          <w:color w:val="3A3838"/>
          <w:w w:val="115"/>
          <w:sz w:val="20"/>
        </w:rPr>
        <w:t>'plain</w:t>
      </w:r>
      <w:r>
        <w:rPr>
          <w:b/>
          <w:color w:val="3A3838"/>
          <w:spacing w:val="-17"/>
          <w:w w:val="115"/>
          <w:sz w:val="20"/>
        </w:rPr>
        <w:t> </w:t>
      </w:r>
      <w:r>
        <w:rPr>
          <w:b/>
          <w:color w:val="3A3838"/>
          <w:w w:val="115"/>
          <w:sz w:val="20"/>
        </w:rPr>
        <w:t>view'</w:t>
      </w:r>
      <w:r>
        <w:rPr>
          <w:b/>
          <w:color w:val="3A3838"/>
          <w:spacing w:val="-33"/>
          <w:w w:val="115"/>
          <w:sz w:val="20"/>
        </w:rPr>
        <w:t> </w:t>
      </w:r>
      <w:r>
        <w:rPr>
          <w:b/>
          <w:color w:val="3A3838"/>
          <w:w w:val="115"/>
          <w:sz w:val="20"/>
        </w:rPr>
        <w:t>of</w:t>
      </w:r>
      <w:r>
        <w:rPr>
          <w:b/>
          <w:color w:val="3A3838"/>
          <w:spacing w:val="6"/>
          <w:w w:val="115"/>
          <w:sz w:val="20"/>
        </w:rPr>
        <w:t> </w:t>
      </w:r>
      <w:r>
        <w:rPr>
          <w:b/>
          <w:color w:val="3A3838"/>
          <w:w w:val="115"/>
          <w:sz w:val="20"/>
        </w:rPr>
        <w:t>outsiders</w:t>
      </w:r>
      <w:r>
        <w:rPr>
          <w:b/>
          <w:color w:val="3A3838"/>
          <w:spacing w:val="-7"/>
          <w:w w:val="115"/>
          <w:sz w:val="20"/>
        </w:rPr>
        <w:t> </w:t>
      </w:r>
      <w:r>
        <w:rPr>
          <w:b/>
          <w:color w:val="3A3838"/>
          <w:w w:val="115"/>
          <w:sz w:val="20"/>
        </w:rPr>
        <w:t>are</w:t>
      </w:r>
    </w:p>
    <w:p>
      <w:pPr>
        <w:spacing w:after="0" w:line="237" w:lineRule="auto"/>
        <w:jc w:val="both"/>
        <w:rPr>
          <w:sz w:val="20"/>
        </w:rPr>
        <w:sectPr>
          <w:pgSz w:w="9720" w:h="13790"/>
          <w:pgMar w:header="415" w:footer="0" w:top="1200" w:bottom="0" w:left="1340" w:right="0"/>
        </w:sectPr>
      </w:pPr>
    </w:p>
    <w:p>
      <w:pPr>
        <w:spacing w:line="226" w:lineRule="exact" w:before="81"/>
        <w:ind w:left="466" w:right="0" w:firstLine="0"/>
        <w:jc w:val="both"/>
        <w:rPr>
          <w:sz w:val="21"/>
        </w:rPr>
      </w:pPr>
      <w:r>
        <w:rPr>
          <w:color w:val="3A3838"/>
          <w:w w:val="104"/>
          <w:sz w:val="21"/>
        </w:rPr>
        <w:t>not</w:t>
      </w:r>
      <w:r>
        <w:rPr>
          <w:color w:val="3A3838"/>
          <w:sz w:val="21"/>
        </w:rPr>
        <w:t> </w:t>
      </w:r>
      <w:r>
        <w:rPr>
          <w:color w:val="3A3838"/>
          <w:spacing w:val="2"/>
          <w:sz w:val="21"/>
        </w:rPr>
        <w:t> </w:t>
      </w:r>
      <w:r>
        <w:rPr>
          <w:color w:val="3A3838"/>
          <w:w w:val="117"/>
          <w:sz w:val="21"/>
        </w:rPr>
        <w:t>protected"</w:t>
      </w:r>
      <w:r>
        <w:rPr>
          <w:color w:val="3A3838"/>
          <w:spacing w:val="15"/>
          <w:sz w:val="21"/>
        </w:rPr>
        <w:t> </w:t>
      </w:r>
      <w:r>
        <w:rPr>
          <w:color w:val="3A3838"/>
          <w:w w:val="107"/>
          <w:position w:val="4"/>
          <w:sz w:val="10"/>
        </w:rPr>
        <w:t>1</w:t>
      </w:r>
      <w:r>
        <w:rPr>
          <w:color w:val="3A3838"/>
          <w:w w:val="107"/>
          <w:sz w:val="21"/>
        </w:rPr>
        <w:t>1nder</w:t>
      </w:r>
      <w:r>
        <w:rPr>
          <w:color w:val="3A3838"/>
          <w:sz w:val="21"/>
        </w:rPr>
        <w:t> </w:t>
      </w:r>
      <w:r>
        <w:rPr>
          <w:color w:val="3A3838"/>
          <w:spacing w:val="-12"/>
          <w:sz w:val="21"/>
        </w:rPr>
        <w:t> </w:t>
      </w:r>
      <w:r>
        <w:rPr>
          <w:color w:val="3A3838"/>
          <w:spacing w:val="-1"/>
          <w:w w:val="107"/>
          <w:sz w:val="21"/>
        </w:rPr>
        <w:t>th</w:t>
      </w:r>
      <w:r>
        <w:rPr>
          <w:color w:val="3A3838"/>
          <w:w w:val="107"/>
          <w:sz w:val="21"/>
        </w:rPr>
        <w:t>e</w:t>
      </w:r>
      <w:r>
        <w:rPr>
          <w:color w:val="3A3838"/>
          <w:sz w:val="21"/>
        </w:rPr>
        <w:t> </w:t>
      </w:r>
      <w:r>
        <w:rPr>
          <w:color w:val="3A3838"/>
          <w:spacing w:val="23"/>
          <w:sz w:val="21"/>
        </w:rPr>
        <w:t> </w:t>
      </w:r>
      <w:r>
        <w:rPr>
          <w:color w:val="3A3838"/>
          <w:spacing w:val="-1"/>
          <w:w w:val="117"/>
          <w:sz w:val="21"/>
        </w:rPr>
        <w:t>Fourt</w:t>
      </w:r>
      <w:r>
        <w:rPr>
          <w:color w:val="3A3838"/>
          <w:w w:val="117"/>
          <w:sz w:val="21"/>
        </w:rPr>
        <w:t>h</w:t>
      </w:r>
      <w:r>
        <w:rPr>
          <w:color w:val="3A3838"/>
          <w:spacing w:val="24"/>
          <w:sz w:val="21"/>
        </w:rPr>
        <w:t> </w:t>
      </w:r>
      <w:r>
        <w:rPr>
          <w:color w:val="3A3838"/>
          <w:spacing w:val="-1"/>
          <w:w w:val="118"/>
          <w:sz w:val="21"/>
        </w:rPr>
        <w:t>Amendment</w:t>
      </w:r>
      <w:r>
        <w:rPr>
          <w:color w:val="3A3838"/>
          <w:w w:val="118"/>
          <w:sz w:val="21"/>
        </w:rPr>
        <w:t>.</w:t>
      </w:r>
      <w:r>
        <w:rPr>
          <w:color w:val="3A3838"/>
          <w:sz w:val="21"/>
        </w:rPr>
        <w:t> </w:t>
      </w:r>
      <w:r>
        <w:rPr>
          <w:color w:val="3A3838"/>
          <w:spacing w:val="-21"/>
          <w:sz w:val="21"/>
        </w:rPr>
        <w:t> </w:t>
      </w:r>
      <w:r>
        <w:rPr>
          <w:color w:val="3A3838"/>
          <w:spacing w:val="-1"/>
          <w:w w:val="109"/>
          <w:sz w:val="21"/>
          <w:u w:val="thick" w:color="3A3838"/>
        </w:rPr>
        <w:t>Kat</w:t>
      </w:r>
      <w:r>
        <w:rPr>
          <w:color w:val="3A3838"/>
          <w:w w:val="109"/>
          <w:sz w:val="21"/>
          <w:u w:val="thick" w:color="3A3838"/>
        </w:rPr>
        <w:t>z</w:t>
      </w:r>
      <w:r>
        <w:rPr>
          <w:color w:val="3A3838"/>
          <w:spacing w:val="12"/>
          <w:sz w:val="21"/>
          <w:u w:val="thick" w:color="3A3838"/>
        </w:rPr>
        <w:t> </w:t>
      </w:r>
      <w:r>
        <w:rPr>
          <w:color w:val="3A3838"/>
          <w:w w:val="109"/>
          <w:sz w:val="21"/>
          <w:u w:val="thick" w:color="3A3838"/>
        </w:rPr>
        <w:t>v.</w:t>
      </w:r>
      <w:r>
        <w:rPr>
          <w:color w:val="3A3838"/>
          <w:sz w:val="21"/>
          <w:u w:val="thick" w:color="3A3838"/>
        </w:rPr>
        <w:t> </w:t>
      </w:r>
      <w:r>
        <w:rPr>
          <w:color w:val="3A3838"/>
          <w:spacing w:val="-20"/>
          <w:sz w:val="21"/>
          <w:u w:val="thick" w:color="3A3838"/>
        </w:rPr>
        <w:t> </w:t>
      </w:r>
      <w:r>
        <w:rPr>
          <w:color w:val="3A3838"/>
          <w:spacing w:val="-1"/>
          <w:w w:val="118"/>
          <w:sz w:val="21"/>
          <w:u w:val="thick" w:color="3A3838"/>
        </w:rPr>
        <w:t>Unite</w:t>
      </w:r>
      <w:r>
        <w:rPr>
          <w:color w:val="3A3838"/>
          <w:w w:val="118"/>
          <w:sz w:val="21"/>
          <w:u w:val="thick" w:color="3A3838"/>
        </w:rPr>
        <w:t>d</w:t>
      </w:r>
      <w:r>
        <w:rPr>
          <w:color w:val="3A3838"/>
          <w:sz w:val="21"/>
          <w:u w:val="thick" w:color="3A3838"/>
        </w:rPr>
        <w:t> </w:t>
      </w:r>
      <w:r>
        <w:rPr>
          <w:color w:val="3A3838"/>
          <w:spacing w:val="-20"/>
          <w:sz w:val="21"/>
          <w:u w:val="thick" w:color="3A3838"/>
        </w:rPr>
        <w:t> </w:t>
      </w:r>
      <w:r>
        <w:rPr>
          <w:color w:val="3A3838"/>
          <w:spacing w:val="-1"/>
          <w:w w:val="116"/>
          <w:sz w:val="21"/>
          <w:u w:val="thick" w:color="3A3838"/>
        </w:rPr>
        <w:t>States</w:t>
      </w:r>
      <w:r>
        <w:rPr>
          <w:color w:val="3A3838"/>
          <w:spacing w:val="-1"/>
          <w:w w:val="116"/>
          <w:sz w:val="21"/>
        </w:rPr>
        <w:t>,</w:t>
      </w:r>
    </w:p>
    <w:p>
      <w:pPr>
        <w:spacing w:line="249" w:lineRule="exact" w:before="0"/>
        <w:ind w:left="464" w:right="0" w:firstLine="0"/>
        <w:jc w:val="both"/>
        <w:rPr>
          <w:b/>
          <w:sz w:val="20"/>
        </w:rPr>
      </w:pPr>
      <w:r>
        <w:rPr>
          <w:b/>
          <w:color w:val="3A3838"/>
          <w:w w:val="110"/>
          <w:sz w:val="20"/>
        </w:rPr>
        <w:t>389</w:t>
      </w:r>
      <w:r>
        <w:rPr>
          <w:b/>
          <w:color w:val="3A3838"/>
          <w:spacing w:val="-2"/>
          <w:w w:val="110"/>
          <w:sz w:val="20"/>
        </w:rPr>
        <w:t> </w:t>
      </w:r>
      <w:r>
        <w:rPr>
          <w:b/>
          <w:color w:val="3A3838"/>
          <w:w w:val="110"/>
          <w:sz w:val="20"/>
        </w:rPr>
        <w:t>U.S.</w:t>
      </w:r>
      <w:r>
        <w:rPr>
          <w:b/>
          <w:color w:val="3A3838"/>
          <w:spacing w:val="5"/>
          <w:w w:val="110"/>
          <w:sz w:val="20"/>
        </w:rPr>
        <w:t> </w:t>
      </w:r>
      <w:r>
        <w:rPr>
          <w:b/>
          <w:color w:val="3A3838"/>
          <w:w w:val="110"/>
          <w:sz w:val="20"/>
        </w:rPr>
        <w:t>347,</w:t>
      </w:r>
      <w:r>
        <w:rPr>
          <w:b/>
          <w:color w:val="3A3838"/>
          <w:spacing w:val="19"/>
          <w:w w:val="110"/>
          <w:sz w:val="20"/>
        </w:rPr>
        <w:t> </w:t>
      </w:r>
      <w:r>
        <w:rPr>
          <w:b/>
          <w:color w:val="3A3838"/>
          <w:w w:val="110"/>
          <w:sz w:val="20"/>
        </w:rPr>
        <w:t>361</w:t>
      </w:r>
      <w:r>
        <w:rPr>
          <w:b/>
          <w:color w:val="3A3838"/>
          <w:spacing w:val="14"/>
          <w:w w:val="110"/>
          <w:sz w:val="20"/>
        </w:rPr>
        <w:t> </w:t>
      </w:r>
      <w:r>
        <w:rPr>
          <w:b/>
          <w:color w:val="3A3838"/>
          <w:w w:val="110"/>
          <w:sz w:val="20"/>
        </w:rPr>
        <w:t>(1967)</w:t>
      </w:r>
      <w:r>
        <w:rPr>
          <w:b/>
          <w:color w:val="3A3838"/>
          <w:spacing w:val="14"/>
          <w:w w:val="110"/>
          <w:sz w:val="20"/>
        </w:rPr>
        <w:t> </w:t>
      </w:r>
      <w:r>
        <w:rPr>
          <w:b/>
          <w:color w:val="3A3838"/>
          <w:w w:val="110"/>
          <w:sz w:val="20"/>
        </w:rPr>
        <w:t>(Harlan,</w:t>
      </w:r>
      <w:r>
        <w:rPr>
          <w:b/>
          <w:color w:val="3A3838"/>
          <w:spacing w:val="-7"/>
          <w:w w:val="110"/>
          <w:sz w:val="20"/>
        </w:rPr>
        <w:t> </w:t>
      </w:r>
      <w:r>
        <w:rPr>
          <w:rFonts w:ascii="Arial"/>
          <w:b/>
          <w:color w:val="3A3838"/>
          <w:w w:val="110"/>
          <w:sz w:val="23"/>
        </w:rPr>
        <w:t>J.,</w:t>
      </w:r>
      <w:r>
        <w:rPr>
          <w:rFonts w:ascii="Arial"/>
          <w:b/>
          <w:color w:val="3A3838"/>
          <w:spacing w:val="-23"/>
          <w:w w:val="110"/>
          <w:sz w:val="23"/>
        </w:rPr>
        <w:t> </w:t>
      </w:r>
      <w:r>
        <w:rPr>
          <w:b/>
          <w:color w:val="3A3838"/>
          <w:w w:val="110"/>
          <w:sz w:val="20"/>
        </w:rPr>
        <w:t>concurring).</w:t>
      </w:r>
    </w:p>
    <w:p>
      <w:pPr>
        <w:pStyle w:val="BodyText"/>
        <w:spacing w:line="232" w:lineRule="auto" w:before="129"/>
        <w:ind w:left="109" w:right="250" w:firstLine="352"/>
        <w:jc w:val="both"/>
      </w:pPr>
      <w:r>
        <w:rPr>
          <w:color w:val="3A3838"/>
          <w:w w:val="110"/>
          <w:sz w:val="24"/>
        </w:rPr>
        <w:t>If </w:t>
      </w:r>
      <w:r>
        <w:rPr>
          <w:color w:val="3A3838"/>
          <w:w w:val="110"/>
        </w:rPr>
        <w:t>your case is more complex, stating one rule may not give the reader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enough context. </w:t>
      </w:r>
      <w:r>
        <w:rPr>
          <w:color w:val="49494B"/>
          <w:w w:val="115"/>
        </w:rPr>
        <w:t>Some </w:t>
      </w:r>
      <w:r>
        <w:rPr>
          <w:color w:val="3A3838"/>
          <w:w w:val="115"/>
        </w:rPr>
        <w:t>writers articulate the rule that governs a narrow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situation by providing a "rule cluster" that </w:t>
      </w:r>
      <w:r>
        <w:rPr>
          <w:color w:val="49494B"/>
          <w:w w:val="115"/>
        </w:rPr>
        <w:t>starts </w:t>
      </w:r>
      <w:r>
        <w:rPr>
          <w:color w:val="3A3838"/>
          <w:w w:val="115"/>
        </w:rPr>
        <w:t>with a well-accepted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general rule and moves to the more narrow rule that is the focus of that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0"/>
        </w:rPr>
        <w:t>section</w:t>
      </w:r>
      <w:r>
        <w:rPr>
          <w:color w:val="3A3838"/>
          <w:spacing w:val="-24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-9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21"/>
          <w:w w:val="110"/>
        </w:rPr>
        <w:t> </w:t>
      </w:r>
      <w:r>
        <w:rPr>
          <w:color w:val="3A3838"/>
          <w:w w:val="110"/>
        </w:rPr>
        <w:t>argument.</w:t>
      </w:r>
      <w:r>
        <w:rPr>
          <w:rFonts w:ascii="Arial" w:hAnsi="Arial"/>
          <w:color w:val="3A3838"/>
          <w:w w:val="110"/>
          <w:vertAlign w:val="superscript"/>
        </w:rPr>
        <w:t>2</w:t>
      </w:r>
      <w:r>
        <w:rPr>
          <w:rFonts w:ascii="Arial" w:hAnsi="Arial"/>
          <w:color w:val="3A3838"/>
          <w:spacing w:val="-23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The</w:t>
      </w:r>
      <w:r>
        <w:rPr>
          <w:color w:val="3A3838"/>
          <w:spacing w:val="-13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following</w:t>
      </w:r>
      <w:r>
        <w:rPr>
          <w:color w:val="3A3838"/>
          <w:spacing w:val="-1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example</w:t>
      </w:r>
      <w:r>
        <w:rPr>
          <w:color w:val="3A3838"/>
          <w:spacing w:val="-11"/>
          <w:w w:val="110"/>
          <w:vertAlign w:val="baseline"/>
        </w:rPr>
        <w:t> </w:t>
      </w:r>
      <w:r>
        <w:rPr>
          <w:color w:val="49494B"/>
          <w:w w:val="110"/>
          <w:vertAlign w:val="baseline"/>
        </w:rPr>
        <w:t>is</w:t>
      </w:r>
      <w:r>
        <w:rPr>
          <w:color w:val="49494B"/>
          <w:spacing w:val="-25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from</w:t>
      </w:r>
      <w:r>
        <w:rPr>
          <w:color w:val="3A3838"/>
          <w:spacing w:val="-10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the</w:t>
      </w:r>
      <w:r>
        <w:rPr>
          <w:color w:val="3A3838"/>
          <w:spacing w:val="10"/>
          <w:w w:val="110"/>
          <w:vertAlign w:val="baseline"/>
        </w:rPr>
        <w:t> </w:t>
      </w:r>
      <w:r>
        <w:rPr>
          <w:color w:val="49494B"/>
          <w:w w:val="110"/>
          <w:vertAlign w:val="baseline"/>
        </w:rPr>
        <w:t>argument</w:t>
      </w:r>
      <w:r>
        <w:rPr>
          <w:color w:val="49494B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sec­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05"/>
          <w:vertAlign w:val="baseline"/>
        </w:rPr>
        <w:t>tion of </w:t>
      </w:r>
      <w:r>
        <w:rPr>
          <w:i/>
          <w:color w:val="3A3838"/>
          <w:w w:val="105"/>
          <w:sz w:val="24"/>
          <w:vertAlign w:val="baseline"/>
        </w:rPr>
        <w:t>Minnesota v. Carter, </w:t>
      </w:r>
      <w:r>
        <w:rPr>
          <w:color w:val="3A3838"/>
          <w:w w:val="105"/>
          <w:vertAlign w:val="baseline"/>
        </w:rPr>
        <w:t>a Fourth Amendment case. This section of the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w w:val="110"/>
          <w:vertAlign w:val="baseline"/>
        </w:rPr>
        <w:t>argument is focused on the narrow issue of whether the alleged intrusion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by </w:t>
      </w:r>
      <w:r>
        <w:rPr>
          <w:color w:val="49494B"/>
          <w:w w:val="110"/>
          <w:vertAlign w:val="baseline"/>
        </w:rPr>
        <w:t>the </w:t>
      </w:r>
      <w:r>
        <w:rPr>
          <w:color w:val="3A3838"/>
          <w:w w:val="110"/>
          <w:vertAlign w:val="baseline"/>
        </w:rPr>
        <w:t>government agents constituted a "search." Notice how the writer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5"/>
          <w:vertAlign w:val="baseline"/>
        </w:rPr>
        <w:t>moves the reader from the general </w:t>
      </w:r>
      <w:r>
        <w:rPr>
          <w:color w:val="3A3838"/>
          <w:w w:val="120"/>
          <w:vertAlign w:val="baseline"/>
        </w:rPr>
        <w:t>rule-the </w:t>
      </w:r>
      <w:r>
        <w:rPr>
          <w:color w:val="3A3838"/>
          <w:w w:val="115"/>
          <w:vertAlign w:val="baseline"/>
        </w:rPr>
        <w:t>Fourth Amendment-to the</w:t>
      </w:r>
      <w:r>
        <w:rPr>
          <w:color w:val="3A3838"/>
          <w:spacing w:val="1"/>
          <w:w w:val="115"/>
          <w:vertAlign w:val="baseline"/>
        </w:rPr>
        <w:t> </w:t>
      </w:r>
      <w:r>
        <w:rPr>
          <w:color w:val="3A3838"/>
          <w:w w:val="115"/>
          <w:vertAlign w:val="baseline"/>
        </w:rPr>
        <w:t>narrow rule at issue, which will be the focus </w:t>
      </w:r>
      <w:r>
        <w:rPr>
          <w:color w:val="49494B"/>
          <w:w w:val="115"/>
          <w:vertAlign w:val="baseline"/>
        </w:rPr>
        <w:t>of </w:t>
      </w:r>
      <w:r>
        <w:rPr>
          <w:color w:val="3A3838"/>
          <w:w w:val="115"/>
          <w:vertAlign w:val="baseline"/>
        </w:rPr>
        <w:t>this </w:t>
      </w:r>
      <w:r>
        <w:rPr>
          <w:color w:val="49494B"/>
          <w:w w:val="115"/>
          <w:vertAlign w:val="baseline"/>
        </w:rPr>
        <w:t>section </w:t>
      </w:r>
      <w:r>
        <w:rPr>
          <w:color w:val="3A3838"/>
          <w:w w:val="115"/>
          <w:vertAlign w:val="baseline"/>
        </w:rPr>
        <w:t>of the argu­</w:t>
      </w:r>
      <w:r>
        <w:rPr>
          <w:color w:val="3A3838"/>
          <w:spacing w:val="-64"/>
          <w:w w:val="115"/>
          <w:vertAlign w:val="baseline"/>
        </w:rPr>
        <w:t> </w:t>
      </w:r>
      <w:r>
        <w:rPr>
          <w:color w:val="3A3838"/>
          <w:w w:val="110"/>
          <w:vertAlign w:val="baseline"/>
        </w:rPr>
        <w:t>ment</w:t>
      </w:r>
      <w:r>
        <w:rPr>
          <w:color w:val="3A3838"/>
          <w:spacing w:val="-15"/>
          <w:w w:val="110"/>
          <w:vertAlign w:val="baseline"/>
        </w:rPr>
        <w:t> </w:t>
      </w:r>
      <w:r>
        <w:rPr>
          <w:color w:val="49494B"/>
          <w:w w:val="110"/>
          <w:vertAlign w:val="baseline"/>
        </w:rPr>
        <w:t>(which,</w:t>
      </w:r>
      <w:r>
        <w:rPr>
          <w:color w:val="49494B"/>
          <w:spacing w:val="5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by</w:t>
      </w:r>
      <w:r>
        <w:rPr>
          <w:color w:val="3A3838"/>
          <w:spacing w:val="-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the</w:t>
      </w:r>
      <w:r>
        <w:rPr>
          <w:color w:val="3A3838"/>
          <w:spacing w:val="25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way,</w:t>
      </w:r>
      <w:r>
        <w:rPr>
          <w:color w:val="3A3838"/>
          <w:spacing w:val="-1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will</w:t>
      </w:r>
      <w:r>
        <w:rPr>
          <w:color w:val="3A3838"/>
          <w:spacing w:val="-2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include two</w:t>
      </w:r>
      <w:r>
        <w:rPr>
          <w:color w:val="3A3838"/>
          <w:spacing w:val="-18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subsections):</w:t>
      </w:r>
    </w:p>
    <w:p>
      <w:pPr>
        <w:spacing w:line="237" w:lineRule="auto" w:before="153"/>
        <w:ind w:left="459" w:right="594" w:hanging="9"/>
        <w:jc w:val="both"/>
        <w:rPr>
          <w:sz w:val="21"/>
        </w:rPr>
      </w:pPr>
      <w:r>
        <w:rPr/>
        <w:pict>
          <v:shape style="position:absolute;margin-left:43.207611pt;margin-top:120.229736pt;width:15.9pt;height:20.55pt;mso-position-horizontal-relative:page;mso-position-vertical-relative:paragraph;z-index:-21603328" type="#_x0000_t202" id="docshape178" filled="false" stroked="false">
            <v:textbox inset="0,0,0,0">
              <w:txbxContent>
                <w:p>
                  <w:pPr>
                    <w:spacing w:line="411" w:lineRule="exact" w:before="0"/>
                    <w:ind w:left="0" w:right="0" w:firstLine="0"/>
                    <w:jc w:val="left"/>
                    <w:rPr>
                      <w:sz w:val="37"/>
                    </w:rPr>
                  </w:pPr>
                  <w:r>
                    <w:rPr>
                      <w:color w:val="3A3838"/>
                      <w:w w:val="110"/>
                      <w:sz w:val="37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b/>
          <w:color w:val="3A3838"/>
          <w:w w:val="120"/>
          <w:sz w:val="20"/>
        </w:rPr>
        <w:t>The Fourth Amendment to the United States Constitution guaran­</w:t>
      </w:r>
      <w:r>
        <w:rPr>
          <w:b/>
          <w:color w:val="3A3838"/>
          <w:spacing w:val="1"/>
          <w:w w:val="120"/>
          <w:sz w:val="20"/>
        </w:rPr>
        <w:t> </w:t>
      </w:r>
      <w:r>
        <w:rPr>
          <w:color w:val="3A3838"/>
          <w:w w:val="120"/>
          <w:sz w:val="21"/>
        </w:rPr>
        <w:t>tees "[t]he right of the people to be secure in </w:t>
      </w:r>
      <w:r>
        <w:rPr>
          <w:b/>
          <w:color w:val="3A3838"/>
          <w:w w:val="120"/>
          <w:sz w:val="20"/>
        </w:rPr>
        <w:t>their </w:t>
      </w:r>
      <w:r>
        <w:rPr>
          <w:color w:val="3A3838"/>
          <w:w w:val="120"/>
          <w:sz w:val="21"/>
        </w:rPr>
        <w:t>persons, houses,</w:t>
      </w:r>
      <w:r>
        <w:rPr>
          <w:color w:val="3A3838"/>
          <w:spacing w:val="1"/>
          <w:w w:val="120"/>
          <w:sz w:val="21"/>
        </w:rPr>
        <w:t> </w:t>
      </w:r>
      <w:r>
        <w:rPr>
          <w:color w:val="3A3838"/>
          <w:w w:val="115"/>
          <w:sz w:val="21"/>
        </w:rPr>
        <w:t>papers, and effects, against unreasonable searches and seizures." </w:t>
      </w:r>
      <w:r>
        <w:rPr>
          <w:color w:val="3A3838"/>
          <w:w w:val="115"/>
          <w:sz w:val="20"/>
        </w:rPr>
        <w:t>U.S.</w:t>
      </w:r>
      <w:r>
        <w:rPr>
          <w:color w:val="3A3838"/>
          <w:spacing w:val="1"/>
          <w:w w:val="115"/>
          <w:sz w:val="20"/>
        </w:rPr>
        <w:t> </w:t>
      </w:r>
      <w:r>
        <w:rPr>
          <w:color w:val="3A3838"/>
          <w:w w:val="120"/>
          <w:sz w:val="21"/>
        </w:rPr>
        <w:t>Const. amend. IV. A search occurs only when governmental agents</w:t>
      </w:r>
      <w:r>
        <w:rPr>
          <w:color w:val="3A3838"/>
          <w:spacing w:val="1"/>
          <w:w w:val="120"/>
          <w:sz w:val="21"/>
        </w:rPr>
        <w:t> </w:t>
      </w:r>
      <w:r>
        <w:rPr>
          <w:color w:val="3A3838"/>
          <w:w w:val="120"/>
          <w:sz w:val="21"/>
        </w:rPr>
        <w:t>intrude upon an area in which a person has a reasonable </w:t>
      </w:r>
      <w:r>
        <w:rPr>
          <w:color w:val="49494B"/>
          <w:w w:val="120"/>
          <w:sz w:val="21"/>
        </w:rPr>
        <w:t>expecta­</w:t>
      </w:r>
      <w:r>
        <w:rPr>
          <w:color w:val="49494B"/>
          <w:spacing w:val="1"/>
          <w:w w:val="120"/>
          <w:sz w:val="21"/>
        </w:rPr>
        <w:t> </w:t>
      </w:r>
      <w:r>
        <w:rPr>
          <w:color w:val="3A3838"/>
          <w:spacing w:val="-1"/>
          <w:w w:val="120"/>
          <w:sz w:val="21"/>
        </w:rPr>
        <w:t>tion of privacy. </w:t>
      </w:r>
      <w:r>
        <w:rPr>
          <w:color w:val="49494B"/>
          <w:spacing w:val="-1"/>
          <w:w w:val="120"/>
          <w:sz w:val="21"/>
          <w:u w:val="thick" w:color="3A3838"/>
        </w:rPr>
        <w:t>California </w:t>
      </w:r>
      <w:r>
        <w:rPr>
          <w:color w:val="3A3838"/>
          <w:spacing w:val="-1"/>
          <w:w w:val="120"/>
          <w:sz w:val="19"/>
          <w:u w:val="thick" w:color="3A3838"/>
        </w:rPr>
        <w:t>v. </w:t>
      </w:r>
      <w:r>
        <w:rPr>
          <w:color w:val="3A3838"/>
          <w:spacing w:val="-1"/>
          <w:w w:val="120"/>
          <w:sz w:val="21"/>
          <w:u w:val="thick" w:color="3A3838"/>
        </w:rPr>
        <w:t>Ciraolo.</w:t>
      </w:r>
      <w:r>
        <w:rPr>
          <w:color w:val="3A3838"/>
          <w:spacing w:val="-1"/>
          <w:w w:val="120"/>
          <w:sz w:val="21"/>
        </w:rPr>
        <w:t> </w:t>
      </w:r>
      <w:r>
        <w:rPr>
          <w:color w:val="3A3838"/>
          <w:w w:val="120"/>
          <w:sz w:val="20"/>
        </w:rPr>
        <w:t>476 U.S. 207, 212 (1986). </w:t>
      </w:r>
      <w:r>
        <w:rPr>
          <w:color w:val="3A3838"/>
          <w:w w:val="120"/>
          <w:sz w:val="21"/>
        </w:rPr>
        <w:t>This</w:t>
      </w:r>
      <w:r>
        <w:rPr>
          <w:color w:val="3A3838"/>
          <w:spacing w:val="1"/>
          <w:w w:val="120"/>
          <w:sz w:val="21"/>
        </w:rPr>
        <w:t> </w:t>
      </w:r>
      <w:r>
        <w:rPr>
          <w:color w:val="3A3838"/>
          <w:w w:val="120"/>
          <w:sz w:val="21"/>
        </w:rPr>
        <w:t>Court</w:t>
      </w:r>
      <w:r>
        <w:rPr>
          <w:color w:val="3A3838"/>
          <w:spacing w:val="-15"/>
          <w:w w:val="120"/>
          <w:sz w:val="21"/>
        </w:rPr>
        <w:t> </w:t>
      </w:r>
      <w:r>
        <w:rPr>
          <w:color w:val="3A3838"/>
          <w:w w:val="120"/>
          <w:sz w:val="21"/>
        </w:rPr>
        <w:t>will</w:t>
      </w:r>
      <w:r>
        <w:rPr>
          <w:color w:val="3A3838"/>
          <w:spacing w:val="-22"/>
          <w:w w:val="120"/>
          <w:sz w:val="21"/>
        </w:rPr>
        <w:t> </w:t>
      </w:r>
      <w:r>
        <w:rPr>
          <w:color w:val="3A3838"/>
          <w:w w:val="120"/>
          <w:sz w:val="21"/>
        </w:rPr>
        <w:t>find</w:t>
      </w:r>
      <w:r>
        <w:rPr>
          <w:color w:val="3A3838"/>
          <w:spacing w:val="-1"/>
          <w:w w:val="120"/>
          <w:sz w:val="21"/>
        </w:rPr>
        <w:t> </w:t>
      </w:r>
      <w:r>
        <w:rPr>
          <w:color w:val="3A3838"/>
          <w:w w:val="120"/>
          <w:sz w:val="21"/>
        </w:rPr>
        <w:t>that</w:t>
      </w:r>
      <w:r>
        <w:rPr>
          <w:color w:val="3A3838"/>
          <w:spacing w:val="-15"/>
          <w:w w:val="120"/>
          <w:sz w:val="21"/>
        </w:rPr>
        <w:t> </w:t>
      </w:r>
      <w:r>
        <w:rPr>
          <w:color w:val="3A3838"/>
          <w:w w:val="120"/>
          <w:sz w:val="21"/>
        </w:rPr>
        <w:t>a</w:t>
      </w:r>
      <w:r>
        <w:rPr>
          <w:color w:val="3A3838"/>
          <w:spacing w:val="-6"/>
          <w:w w:val="120"/>
          <w:sz w:val="21"/>
        </w:rPr>
        <w:t> </w:t>
      </w:r>
      <w:r>
        <w:rPr>
          <w:color w:val="49494B"/>
          <w:w w:val="120"/>
          <w:sz w:val="21"/>
        </w:rPr>
        <w:t>Fourth</w:t>
      </w:r>
      <w:r>
        <w:rPr>
          <w:color w:val="49494B"/>
          <w:spacing w:val="-5"/>
          <w:w w:val="120"/>
          <w:sz w:val="21"/>
        </w:rPr>
        <w:t> </w:t>
      </w:r>
      <w:r>
        <w:rPr>
          <w:color w:val="3A3838"/>
          <w:w w:val="120"/>
          <w:sz w:val="21"/>
        </w:rPr>
        <w:t>Amendment</w:t>
      </w:r>
      <w:r>
        <w:rPr>
          <w:color w:val="3A3838"/>
          <w:spacing w:val="-9"/>
          <w:w w:val="120"/>
          <w:sz w:val="21"/>
        </w:rPr>
        <w:t> </w:t>
      </w:r>
      <w:r>
        <w:rPr>
          <w:color w:val="49494B"/>
          <w:w w:val="120"/>
          <w:sz w:val="21"/>
        </w:rPr>
        <w:t>search</w:t>
      </w:r>
      <w:r>
        <w:rPr>
          <w:color w:val="49494B"/>
          <w:spacing w:val="-6"/>
          <w:w w:val="120"/>
          <w:sz w:val="21"/>
        </w:rPr>
        <w:t> </w:t>
      </w:r>
      <w:r>
        <w:rPr>
          <w:color w:val="3A3838"/>
          <w:w w:val="120"/>
          <w:sz w:val="21"/>
        </w:rPr>
        <w:t>occurred</w:t>
      </w:r>
      <w:r>
        <w:rPr>
          <w:color w:val="3A3838"/>
          <w:spacing w:val="-6"/>
          <w:w w:val="120"/>
          <w:sz w:val="21"/>
        </w:rPr>
        <w:t> </w:t>
      </w:r>
      <w:r>
        <w:rPr>
          <w:color w:val="3A3838"/>
          <w:w w:val="120"/>
          <w:sz w:val="21"/>
        </w:rPr>
        <w:t>only</w:t>
      </w:r>
      <w:r>
        <w:rPr>
          <w:color w:val="3A3838"/>
          <w:spacing w:val="-17"/>
          <w:w w:val="120"/>
          <w:sz w:val="21"/>
        </w:rPr>
        <w:t> </w:t>
      </w:r>
      <w:r>
        <w:rPr>
          <w:color w:val="3A3838"/>
          <w:w w:val="120"/>
          <w:sz w:val="20"/>
        </w:rPr>
        <w:t>if</w:t>
      </w:r>
      <w:r>
        <w:rPr>
          <w:color w:val="3A3838"/>
          <w:spacing w:val="-17"/>
          <w:w w:val="120"/>
          <w:sz w:val="20"/>
        </w:rPr>
        <w:t> </w:t>
      </w:r>
      <w:r>
        <w:rPr>
          <w:color w:val="3A3838"/>
          <w:w w:val="120"/>
          <w:sz w:val="21"/>
        </w:rPr>
        <w:t>two</w:t>
      </w:r>
      <w:r>
        <w:rPr>
          <w:color w:val="3A3838"/>
          <w:spacing w:val="-61"/>
          <w:w w:val="120"/>
          <w:sz w:val="21"/>
        </w:rPr>
        <w:t> </w:t>
      </w:r>
      <w:r>
        <w:rPr>
          <w:color w:val="3A3838"/>
          <w:w w:val="120"/>
          <w:sz w:val="21"/>
        </w:rPr>
        <w:t>factors exist: </w:t>
      </w:r>
      <w:r>
        <w:rPr>
          <w:rFonts w:ascii="Arial" w:hAnsi="Arial"/>
          <w:color w:val="3A3838"/>
          <w:w w:val="120"/>
          <w:sz w:val="18"/>
        </w:rPr>
        <w:t>(1) </w:t>
      </w:r>
      <w:r>
        <w:rPr>
          <w:color w:val="3A3838"/>
          <w:w w:val="120"/>
          <w:sz w:val="21"/>
        </w:rPr>
        <w:t>the location from which the observation occurred</w:t>
      </w:r>
      <w:r>
        <w:rPr>
          <w:color w:val="3A3838"/>
          <w:spacing w:val="1"/>
          <w:w w:val="120"/>
          <w:sz w:val="21"/>
        </w:rPr>
        <w:t> </w:t>
      </w:r>
      <w:r>
        <w:rPr>
          <w:color w:val="3A3838"/>
          <w:w w:val="115"/>
          <w:sz w:val="21"/>
        </w:rPr>
        <w:t>was within a complainant's zone of privacy, and</w:t>
      </w:r>
      <w:r>
        <w:rPr>
          <w:color w:val="3A3838"/>
          <w:spacing w:val="1"/>
          <w:w w:val="115"/>
          <w:sz w:val="21"/>
        </w:rPr>
        <w:t> </w:t>
      </w:r>
      <w:r>
        <w:rPr>
          <w:color w:val="3A3838"/>
          <w:w w:val="115"/>
          <w:sz w:val="20"/>
        </w:rPr>
        <w:t>(2) </w:t>
      </w:r>
      <w:r>
        <w:rPr>
          <w:color w:val="3A3838"/>
          <w:w w:val="115"/>
          <w:sz w:val="21"/>
        </w:rPr>
        <w:t>the</w:t>
      </w:r>
      <w:r>
        <w:rPr>
          <w:color w:val="3A3838"/>
          <w:spacing w:val="1"/>
          <w:w w:val="115"/>
          <w:sz w:val="21"/>
        </w:rPr>
        <w:t> </w:t>
      </w:r>
      <w:r>
        <w:rPr>
          <w:color w:val="3A3838"/>
          <w:w w:val="115"/>
          <w:sz w:val="21"/>
        </w:rPr>
        <w:t>government</w:t>
      </w:r>
      <w:r>
        <w:rPr>
          <w:color w:val="3A3838"/>
          <w:spacing w:val="1"/>
          <w:w w:val="115"/>
          <w:sz w:val="21"/>
        </w:rPr>
        <w:t> </w:t>
      </w:r>
      <w:r>
        <w:rPr>
          <w:color w:val="3A3838"/>
          <w:w w:val="120"/>
          <w:sz w:val="21"/>
        </w:rPr>
        <w:t>agents</w:t>
      </w:r>
      <w:r>
        <w:rPr>
          <w:color w:val="3A3838"/>
          <w:spacing w:val="2"/>
          <w:w w:val="120"/>
          <w:sz w:val="21"/>
        </w:rPr>
        <w:t> </w:t>
      </w:r>
      <w:r>
        <w:rPr>
          <w:color w:val="3A3838"/>
          <w:w w:val="120"/>
          <w:sz w:val="21"/>
        </w:rPr>
        <w:t>used</w:t>
      </w:r>
      <w:r>
        <w:rPr>
          <w:color w:val="3A3838"/>
          <w:spacing w:val="2"/>
          <w:w w:val="120"/>
          <w:sz w:val="21"/>
        </w:rPr>
        <w:t> </w:t>
      </w:r>
      <w:r>
        <w:rPr>
          <w:color w:val="3A3838"/>
          <w:w w:val="120"/>
          <w:sz w:val="21"/>
        </w:rPr>
        <w:t>extraordinary</w:t>
      </w:r>
      <w:r>
        <w:rPr>
          <w:color w:val="3A3838"/>
          <w:spacing w:val="21"/>
          <w:w w:val="120"/>
          <w:sz w:val="21"/>
        </w:rPr>
        <w:t> </w:t>
      </w:r>
      <w:r>
        <w:rPr>
          <w:color w:val="3A3838"/>
          <w:w w:val="120"/>
          <w:sz w:val="21"/>
        </w:rPr>
        <w:t>measures</w:t>
      </w:r>
      <w:r>
        <w:rPr>
          <w:color w:val="3A3838"/>
          <w:spacing w:val="16"/>
          <w:w w:val="120"/>
          <w:sz w:val="21"/>
        </w:rPr>
        <w:t> </w:t>
      </w:r>
      <w:r>
        <w:rPr>
          <w:color w:val="49494B"/>
          <w:w w:val="120"/>
          <w:sz w:val="21"/>
        </w:rPr>
        <w:t>to</w:t>
      </w:r>
      <w:r>
        <w:rPr>
          <w:color w:val="49494B"/>
          <w:spacing w:val="15"/>
          <w:w w:val="120"/>
          <w:sz w:val="21"/>
        </w:rPr>
        <w:t> </w:t>
      </w:r>
      <w:r>
        <w:rPr>
          <w:color w:val="3A3838"/>
          <w:w w:val="120"/>
          <w:sz w:val="21"/>
        </w:rPr>
        <w:t>accomplish</w:t>
      </w:r>
      <w:r>
        <w:rPr>
          <w:color w:val="3A3838"/>
          <w:spacing w:val="20"/>
          <w:w w:val="120"/>
          <w:sz w:val="21"/>
        </w:rPr>
        <w:t> </w:t>
      </w:r>
      <w:r>
        <w:rPr>
          <w:color w:val="3A3838"/>
          <w:w w:val="120"/>
          <w:sz w:val="21"/>
        </w:rPr>
        <w:t>the</w:t>
      </w:r>
      <w:r>
        <w:rPr>
          <w:color w:val="3A3838"/>
          <w:spacing w:val="24"/>
          <w:w w:val="120"/>
          <w:sz w:val="21"/>
        </w:rPr>
        <w:t> </w:t>
      </w:r>
      <w:r>
        <w:rPr>
          <w:color w:val="3A3838"/>
          <w:w w:val="120"/>
          <w:sz w:val="21"/>
        </w:rPr>
        <w:t>observation.</w:t>
      </w:r>
    </w:p>
    <w:p>
      <w:pPr>
        <w:spacing w:before="7"/>
        <w:ind w:left="818" w:right="0" w:firstLine="0"/>
        <w:jc w:val="both"/>
        <w:rPr>
          <w:sz w:val="20"/>
        </w:rPr>
      </w:pPr>
      <w:r>
        <w:rPr>
          <w:color w:val="3A3838"/>
          <w:w w:val="115"/>
          <w:sz w:val="19"/>
        </w:rPr>
        <w:t>ig.</w:t>
      </w:r>
      <w:r>
        <w:rPr>
          <w:color w:val="3A3838"/>
          <w:spacing w:val="43"/>
          <w:w w:val="115"/>
          <w:sz w:val="19"/>
        </w:rPr>
        <w:t> </w:t>
      </w:r>
      <w:r>
        <w:rPr>
          <w:color w:val="3A3838"/>
          <w:w w:val="115"/>
          <w:sz w:val="21"/>
        </w:rPr>
        <w:t>at</w:t>
      </w:r>
      <w:r>
        <w:rPr>
          <w:color w:val="3A3838"/>
          <w:spacing w:val="32"/>
          <w:w w:val="115"/>
          <w:sz w:val="21"/>
        </w:rPr>
        <w:t> </w:t>
      </w:r>
      <w:r>
        <w:rPr>
          <w:color w:val="3A3838"/>
          <w:w w:val="115"/>
          <w:sz w:val="20"/>
        </w:rPr>
        <w:t>213.</w:t>
      </w:r>
    </w:p>
    <w:p>
      <w:pPr>
        <w:pStyle w:val="BodyText"/>
        <w:spacing w:line="235" w:lineRule="auto" w:before="139"/>
        <w:ind w:left="128" w:hanging="15"/>
      </w:pPr>
      <w:r>
        <w:rPr>
          <w:color w:val="3A3838"/>
          <w:w w:val="110"/>
        </w:rPr>
        <w:t>Thus, &lt;;ilthough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paragraph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lists three rules,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writer is </w:t>
      </w:r>
      <w:r>
        <w:rPr>
          <w:color w:val="49494B"/>
          <w:w w:val="110"/>
        </w:rPr>
        <w:t>focusing </w:t>
      </w:r>
      <w:r>
        <w:rPr>
          <w:color w:val="3A3838"/>
          <w:w w:val="110"/>
        </w:rPr>
        <w:t>the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reader's</w:t>
      </w:r>
      <w:r>
        <w:rPr>
          <w:color w:val="3A3838"/>
          <w:spacing w:val="-17"/>
          <w:w w:val="110"/>
        </w:rPr>
        <w:t> </w:t>
      </w:r>
      <w:r>
        <w:rPr>
          <w:color w:val="3A3838"/>
          <w:w w:val="110"/>
        </w:rPr>
        <w:t>attention only</w:t>
      </w:r>
      <w:r>
        <w:rPr>
          <w:color w:val="3A3838"/>
          <w:spacing w:val="-18"/>
          <w:w w:val="110"/>
        </w:rPr>
        <w:t> </w:t>
      </w:r>
      <w:r>
        <w:rPr>
          <w:color w:val="3A3838"/>
          <w:w w:val="110"/>
        </w:rPr>
        <w:t>on</w:t>
      </w:r>
      <w:r>
        <w:rPr>
          <w:color w:val="3A3838"/>
          <w:spacing w:val="13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last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rule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17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24"/>
          <w:w w:val="110"/>
        </w:rPr>
        <w:t> </w:t>
      </w:r>
      <w:r>
        <w:rPr>
          <w:color w:val="3A3838"/>
          <w:w w:val="110"/>
        </w:rPr>
        <w:t>list.</w:t>
      </w:r>
    </w:p>
    <w:p>
      <w:pPr>
        <w:pStyle w:val="BodyText"/>
        <w:spacing w:before="6"/>
        <w:rPr>
          <w:sz w:val="31"/>
        </w:rPr>
      </w:pPr>
    </w:p>
    <w:p>
      <w:pPr>
        <w:pStyle w:val="ListParagraph"/>
        <w:numPr>
          <w:ilvl w:val="3"/>
          <w:numId w:val="42"/>
        </w:numPr>
        <w:tabs>
          <w:tab w:pos="854" w:val="left" w:leader="none"/>
        </w:tabs>
        <w:spacing w:line="240" w:lineRule="auto" w:before="0" w:after="0"/>
        <w:ind w:left="853" w:right="0" w:hanging="382"/>
        <w:jc w:val="both"/>
        <w:rPr>
          <w:b/>
          <w:color w:val="3A3838"/>
          <w:sz w:val="22"/>
        </w:rPr>
      </w:pPr>
      <w:r>
        <w:rPr>
          <w:b/>
          <w:color w:val="3A3838"/>
          <w:w w:val="115"/>
          <w:sz w:val="22"/>
        </w:rPr>
        <w:t>Choosing</w:t>
      </w:r>
      <w:r>
        <w:rPr>
          <w:b/>
          <w:color w:val="3A3838"/>
          <w:spacing w:val="7"/>
          <w:w w:val="115"/>
          <w:sz w:val="22"/>
        </w:rPr>
        <w:t> </w:t>
      </w:r>
      <w:r>
        <w:rPr>
          <w:b/>
          <w:color w:val="49494B"/>
          <w:w w:val="115"/>
          <w:sz w:val="22"/>
        </w:rPr>
        <w:t>Among</w:t>
      </w:r>
      <w:r>
        <w:rPr>
          <w:b/>
          <w:color w:val="49494B"/>
          <w:spacing w:val="-21"/>
          <w:w w:val="115"/>
          <w:sz w:val="22"/>
        </w:rPr>
        <w:t> </w:t>
      </w:r>
      <w:r>
        <w:rPr>
          <w:b/>
          <w:color w:val="3A3838"/>
          <w:w w:val="115"/>
          <w:sz w:val="22"/>
        </w:rPr>
        <w:t>Two</w:t>
      </w:r>
      <w:r>
        <w:rPr>
          <w:b/>
          <w:color w:val="3A3838"/>
          <w:spacing w:val="-6"/>
          <w:w w:val="115"/>
          <w:sz w:val="22"/>
        </w:rPr>
        <w:t> </w:t>
      </w:r>
      <w:r>
        <w:rPr>
          <w:b/>
          <w:color w:val="3A3838"/>
          <w:w w:val="115"/>
          <w:sz w:val="22"/>
        </w:rPr>
        <w:t>or</w:t>
      </w:r>
      <w:r>
        <w:rPr>
          <w:b/>
          <w:color w:val="3A3838"/>
          <w:spacing w:val="-2"/>
          <w:w w:val="115"/>
          <w:sz w:val="22"/>
        </w:rPr>
        <w:t> </w:t>
      </w:r>
      <w:r>
        <w:rPr>
          <w:b/>
          <w:color w:val="49494B"/>
          <w:w w:val="115"/>
          <w:sz w:val="22"/>
        </w:rPr>
        <w:t>More</w:t>
      </w:r>
      <w:r>
        <w:rPr>
          <w:b/>
          <w:color w:val="49494B"/>
          <w:spacing w:val="7"/>
          <w:w w:val="115"/>
          <w:sz w:val="22"/>
        </w:rPr>
        <w:t> </w:t>
      </w:r>
      <w:r>
        <w:rPr>
          <w:b/>
          <w:color w:val="3A3838"/>
          <w:w w:val="115"/>
          <w:sz w:val="22"/>
        </w:rPr>
        <w:t>Rules</w:t>
      </w:r>
    </w:p>
    <w:p>
      <w:pPr>
        <w:pStyle w:val="BodyText"/>
        <w:spacing w:line="232" w:lineRule="auto" w:before="14"/>
        <w:ind w:left="122" w:right="163" w:firstLine="340"/>
        <w:jc w:val="both"/>
      </w:pPr>
      <w:r>
        <w:rPr>
          <w:color w:val="3A3838"/>
          <w:w w:val="110"/>
        </w:rPr>
        <w:t>Some issues are</w:t>
      </w:r>
      <w:r>
        <w:rPr>
          <w:color w:val="3A3838"/>
          <w:spacing w:val="1"/>
          <w:w w:val="110"/>
        </w:rPr>
        <w:t> </w:t>
      </w:r>
      <w:r>
        <w:rPr>
          <w:color w:val="49494B"/>
          <w:w w:val="110"/>
        </w:rPr>
        <w:t>governed</w:t>
      </w:r>
      <w:r>
        <w:rPr>
          <w:color w:val="49494B"/>
          <w:spacing w:val="1"/>
          <w:w w:val="110"/>
        </w:rPr>
        <w:t> </w:t>
      </w:r>
      <w:r>
        <w:rPr>
          <w:color w:val="3A3838"/>
          <w:w w:val="110"/>
        </w:rPr>
        <w:t>by well-established rules, and  the  court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needs to decide only how, or whether, a </w:t>
      </w:r>
      <w:r>
        <w:rPr>
          <w:color w:val="49494B"/>
          <w:w w:val="110"/>
        </w:rPr>
        <w:t>particular </w:t>
      </w:r>
      <w:r>
        <w:rPr>
          <w:color w:val="3A3838"/>
          <w:w w:val="110"/>
        </w:rPr>
        <w:t>rule </w:t>
      </w:r>
      <w:r>
        <w:rPr>
          <w:color w:val="49494B"/>
          <w:w w:val="110"/>
        </w:rPr>
        <w:t>applies </w:t>
      </w:r>
      <w:r>
        <w:rPr>
          <w:color w:val="3A3838"/>
          <w:w w:val="110"/>
        </w:rPr>
        <w:t>to the </w:t>
      </w:r>
      <w:r>
        <w:rPr>
          <w:color w:val="49494B"/>
          <w:w w:val="110"/>
        </w:rPr>
        <w:t>facts</w:t>
      </w:r>
      <w:r>
        <w:rPr>
          <w:color w:val="49494B"/>
          <w:spacing w:val="1"/>
          <w:w w:val="110"/>
        </w:rPr>
        <w:t> </w:t>
      </w:r>
      <w:r>
        <w:rPr>
          <w:color w:val="3A3838"/>
          <w:w w:val="110"/>
        </w:rPr>
        <w:t>of the case. Sometimes, however, a major debate between you and your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opponent in the case is a debate as to which of two or more rules the court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should apply to the situation. </w:t>
      </w:r>
      <w:r>
        <w:rPr>
          <w:color w:val="262324"/>
          <w:w w:val="110"/>
        </w:rPr>
        <w:t>If </w:t>
      </w:r>
      <w:r>
        <w:rPr>
          <w:color w:val="3A3838"/>
          <w:w w:val="110"/>
        </w:rPr>
        <w:t>you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have to </w:t>
      </w:r>
      <w:r>
        <w:rPr>
          <w:color w:val="49494B"/>
          <w:w w:val="110"/>
        </w:rPr>
        <w:t>convince </w:t>
      </w:r>
      <w:r>
        <w:rPr>
          <w:color w:val="3A3838"/>
          <w:w w:val="110"/>
        </w:rPr>
        <w:t>the court to </w:t>
      </w:r>
      <w:r>
        <w:rPr>
          <w:color w:val="49494B"/>
          <w:w w:val="110"/>
        </w:rPr>
        <w:t>choose</w:t>
      </w:r>
      <w:r>
        <w:rPr>
          <w:color w:val="49494B"/>
          <w:spacing w:val="1"/>
          <w:w w:val="110"/>
        </w:rPr>
        <w:t> </w:t>
      </w:r>
      <w:r>
        <w:rPr>
          <w:color w:val="3A3838"/>
          <w:w w:val="110"/>
        </w:rPr>
        <w:t>the rule that you want, as opposed to </w:t>
      </w:r>
      <w:r>
        <w:rPr>
          <w:color w:val="49494B"/>
          <w:w w:val="110"/>
        </w:rPr>
        <w:t>the  </w:t>
      </w:r>
      <w:r>
        <w:rPr>
          <w:color w:val="3A3838"/>
          <w:w w:val="110"/>
        </w:rPr>
        <w:t>rule that </w:t>
      </w:r>
      <w:r>
        <w:rPr>
          <w:color w:val="49494B"/>
          <w:w w:val="110"/>
        </w:rPr>
        <w:t>your </w:t>
      </w:r>
      <w:r>
        <w:rPr>
          <w:color w:val="3A3838"/>
          <w:w w:val="110"/>
        </w:rPr>
        <w:t>opponent wants,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you must include a </w:t>
      </w:r>
      <w:r>
        <w:rPr>
          <w:color w:val="49494B"/>
          <w:w w:val="110"/>
        </w:rPr>
        <w:t>section</w:t>
      </w:r>
      <w:r>
        <w:rPr>
          <w:color w:val="49494B"/>
          <w:spacing w:val="1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your argument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devoted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to  proving  that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"your" rule is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best rule to </w:t>
      </w:r>
      <w:r>
        <w:rPr>
          <w:color w:val="49494B"/>
          <w:w w:val="110"/>
        </w:rPr>
        <w:t>apply</w:t>
      </w:r>
      <w:r>
        <w:rPr>
          <w:color w:val="262324"/>
          <w:w w:val="110"/>
        </w:rPr>
        <w:t>. </w:t>
      </w:r>
      <w:r>
        <w:rPr>
          <w:color w:val="3A3838"/>
          <w:w w:val="110"/>
        </w:rPr>
        <w:t>Of course, that </w:t>
      </w:r>
      <w:r>
        <w:rPr>
          <w:color w:val="49494B"/>
          <w:w w:val="110"/>
        </w:rPr>
        <w:t>"rule-choice" </w:t>
      </w:r>
      <w:r>
        <w:rPr>
          <w:color w:val="3A3838"/>
          <w:w w:val="110"/>
        </w:rPr>
        <w:t>argu­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ment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must</w:t>
      </w:r>
      <w:r>
        <w:rPr>
          <w:color w:val="3A3838"/>
          <w:spacing w:val="-3"/>
          <w:w w:val="110"/>
        </w:rPr>
        <w:t> </w:t>
      </w:r>
      <w:r>
        <w:rPr>
          <w:color w:val="3A3838"/>
          <w:w w:val="110"/>
        </w:rPr>
        <w:t>be</w:t>
      </w:r>
      <w:r>
        <w:rPr>
          <w:color w:val="3A3838"/>
          <w:spacing w:val="-13"/>
          <w:w w:val="110"/>
        </w:rPr>
        <w:t> </w:t>
      </w:r>
      <w:r>
        <w:rPr>
          <w:color w:val="3A3838"/>
          <w:w w:val="110"/>
        </w:rPr>
        <w:t>based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on</w:t>
      </w:r>
      <w:r>
        <w:rPr>
          <w:color w:val="3A3838"/>
          <w:spacing w:val="30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14"/>
          <w:w w:val="110"/>
        </w:rPr>
        <w:t> </w:t>
      </w:r>
      <w:r>
        <w:rPr>
          <w:color w:val="3A3838"/>
          <w:w w:val="110"/>
        </w:rPr>
        <w:t>rule,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as</w:t>
      </w:r>
      <w:r>
        <w:rPr>
          <w:color w:val="3A3838"/>
          <w:spacing w:val="-5"/>
          <w:w w:val="110"/>
        </w:rPr>
        <w:t> </w:t>
      </w:r>
      <w:r>
        <w:rPr>
          <w:color w:val="3A3838"/>
          <w:w w:val="110"/>
        </w:rPr>
        <w:t>well.</w:t>
      </w:r>
    </w:p>
    <w:p>
      <w:pPr>
        <w:pStyle w:val="BodyText"/>
        <w:spacing w:line="235" w:lineRule="auto"/>
        <w:ind w:left="132" w:right="148" w:firstLine="349"/>
        <w:jc w:val="both"/>
      </w:pPr>
      <w:r>
        <w:rPr>
          <w:color w:val="3A3838"/>
          <w:w w:val="115"/>
          <w:sz w:val="22"/>
        </w:rPr>
        <w:t>If </w:t>
      </w:r>
      <w:r>
        <w:rPr>
          <w:color w:val="3A3838"/>
          <w:w w:val="115"/>
        </w:rPr>
        <w:t>a court has chosen a particular rule </w:t>
      </w:r>
      <w:r>
        <w:rPr>
          <w:color w:val="49494B"/>
          <w:w w:val="115"/>
        </w:rPr>
        <w:t>to apply </w:t>
      </w:r>
      <w:r>
        <w:rPr>
          <w:color w:val="3A3838"/>
          <w:w w:val="115"/>
        </w:rPr>
        <w:t>to </w:t>
      </w:r>
      <w:r>
        <w:rPr>
          <w:color w:val="49494B"/>
          <w:w w:val="115"/>
        </w:rPr>
        <w:t>a </w:t>
      </w:r>
      <w:r>
        <w:rPr>
          <w:color w:val="3A3838"/>
          <w:w w:val="115"/>
        </w:rPr>
        <w:t>situation, </w:t>
      </w:r>
      <w:r>
        <w:rPr>
          <w:color w:val="3A3838"/>
          <w:w w:val="115"/>
          <w:sz w:val="22"/>
        </w:rPr>
        <w:t>it </w:t>
      </w:r>
      <w:r>
        <w:rPr>
          <w:color w:val="3A3838"/>
          <w:w w:val="115"/>
        </w:rPr>
        <w:t>has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done</w:t>
      </w:r>
      <w:r>
        <w:rPr>
          <w:color w:val="3A3838"/>
          <w:spacing w:val="-9"/>
          <w:w w:val="115"/>
        </w:rPr>
        <w:t> </w:t>
      </w:r>
      <w:r>
        <w:rPr>
          <w:color w:val="3A3838"/>
          <w:w w:val="115"/>
        </w:rPr>
        <w:t>so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because</w:t>
      </w:r>
      <w:r>
        <w:rPr>
          <w:color w:val="3A3838"/>
          <w:spacing w:val="3"/>
          <w:w w:val="115"/>
        </w:rPr>
        <w:t> </w:t>
      </w:r>
      <w:r>
        <w:rPr>
          <w:color w:val="3A3838"/>
          <w:w w:val="115"/>
        </w:rPr>
        <w:t>it</w:t>
      </w:r>
      <w:r>
        <w:rPr>
          <w:color w:val="3A3838"/>
          <w:spacing w:val="28"/>
          <w:w w:val="115"/>
        </w:rPr>
        <w:t> </w:t>
      </w:r>
      <w:r>
        <w:rPr>
          <w:color w:val="3A3838"/>
          <w:w w:val="115"/>
        </w:rPr>
        <w:t>has</w:t>
      </w:r>
      <w:r>
        <w:rPr>
          <w:color w:val="3A3838"/>
          <w:spacing w:val="17"/>
          <w:w w:val="115"/>
        </w:rPr>
        <w:t> </w:t>
      </w:r>
      <w:r>
        <w:rPr>
          <w:color w:val="3A3838"/>
          <w:w w:val="115"/>
        </w:rPr>
        <w:t>decided</w:t>
      </w:r>
      <w:r>
        <w:rPr>
          <w:color w:val="3A3838"/>
          <w:spacing w:val="17"/>
          <w:w w:val="115"/>
        </w:rPr>
        <w:t> </w:t>
      </w:r>
      <w:r>
        <w:rPr>
          <w:color w:val="49494B"/>
          <w:w w:val="115"/>
        </w:rPr>
        <w:t>that</w:t>
      </w:r>
      <w:r>
        <w:rPr>
          <w:color w:val="49494B"/>
          <w:spacing w:val="6"/>
          <w:w w:val="115"/>
        </w:rPr>
        <w:t> </w:t>
      </w:r>
      <w:r>
        <w:rPr>
          <w:color w:val="3A3838"/>
          <w:w w:val="115"/>
        </w:rPr>
        <w:t>the</w:t>
      </w:r>
      <w:r>
        <w:rPr>
          <w:color w:val="3A3838"/>
          <w:spacing w:val="-6"/>
          <w:w w:val="115"/>
        </w:rPr>
        <w:t> </w:t>
      </w:r>
      <w:r>
        <w:rPr>
          <w:color w:val="49494B"/>
          <w:w w:val="115"/>
        </w:rPr>
        <w:t>case</w:t>
      </w:r>
      <w:r>
        <w:rPr>
          <w:color w:val="49494B"/>
          <w:spacing w:val="1"/>
          <w:w w:val="115"/>
        </w:rPr>
        <w:t> </w:t>
      </w:r>
      <w:r>
        <w:rPr>
          <w:color w:val="3A3838"/>
          <w:w w:val="115"/>
        </w:rPr>
        <w:t>has</w:t>
      </w:r>
      <w:r>
        <w:rPr>
          <w:color w:val="3A3838"/>
          <w:spacing w:val="9"/>
          <w:w w:val="115"/>
        </w:rPr>
        <w:t> </w:t>
      </w:r>
      <w:r>
        <w:rPr>
          <w:color w:val="3A3838"/>
          <w:w w:val="115"/>
        </w:rPr>
        <w:t>certain</w:t>
      </w:r>
      <w:r>
        <w:rPr>
          <w:color w:val="3A3838"/>
          <w:spacing w:val="10"/>
          <w:w w:val="115"/>
        </w:rPr>
        <w:t> </w:t>
      </w:r>
      <w:r>
        <w:rPr>
          <w:color w:val="3A3838"/>
          <w:w w:val="115"/>
        </w:rPr>
        <w:t>factors</w:t>
      </w:r>
      <w:r>
        <w:rPr>
          <w:color w:val="3A3838"/>
          <w:spacing w:val="-6"/>
          <w:w w:val="115"/>
        </w:rPr>
        <w:t> </w:t>
      </w:r>
      <w:r>
        <w:rPr>
          <w:color w:val="3A3838"/>
          <w:w w:val="115"/>
        </w:rPr>
        <w:t>or</w:t>
      </w:r>
      <w:r>
        <w:rPr>
          <w:color w:val="3A3838"/>
          <w:spacing w:val="15"/>
          <w:w w:val="115"/>
        </w:rPr>
        <w:t> </w:t>
      </w:r>
      <w:r>
        <w:rPr>
          <w:color w:val="3A3838"/>
          <w:w w:val="115"/>
        </w:rPr>
        <w:t>raises</w:t>
      </w:r>
    </w:p>
    <w:p>
      <w:pPr>
        <w:pStyle w:val="BodyText"/>
        <w:rPr>
          <w:sz w:val="26"/>
        </w:rPr>
      </w:pPr>
    </w:p>
    <w:p>
      <w:pPr>
        <w:spacing w:line="223" w:lineRule="auto" w:before="166"/>
        <w:ind w:left="129" w:right="128" w:firstLine="354"/>
        <w:jc w:val="both"/>
        <w:rPr>
          <w:sz w:val="18"/>
        </w:rPr>
      </w:pPr>
      <w:r>
        <w:rPr>
          <w:rFonts w:ascii="Arial"/>
          <w:color w:val="49494B"/>
          <w:w w:val="110"/>
          <w:position w:val="5"/>
          <w:sz w:val="10"/>
        </w:rPr>
        <w:t>2</w:t>
      </w:r>
      <w:r>
        <w:rPr>
          <w:rFonts w:ascii="Arial"/>
          <w:color w:val="49494B"/>
          <w:w w:val="110"/>
          <w:sz w:val="17"/>
        </w:rPr>
        <w:t>A </w:t>
      </w:r>
      <w:r>
        <w:rPr>
          <w:color w:val="49494B"/>
          <w:w w:val="110"/>
          <w:sz w:val="18"/>
        </w:rPr>
        <w:t>rule cluster </w:t>
      </w:r>
      <w:r>
        <w:rPr>
          <w:color w:val="3A3838"/>
          <w:w w:val="110"/>
          <w:sz w:val="18"/>
        </w:rPr>
        <w:t>Is appropriate when, </w:t>
      </w:r>
      <w:r>
        <w:rPr>
          <w:color w:val="49494B"/>
          <w:w w:val="110"/>
          <w:sz w:val="18"/>
        </w:rPr>
        <w:t>as </w:t>
      </w:r>
      <w:r>
        <w:rPr>
          <w:color w:val="3A3838"/>
          <w:w w:val="110"/>
          <w:sz w:val="18"/>
        </w:rPr>
        <w:t>here, </w:t>
      </w:r>
      <w:r>
        <w:rPr>
          <w:rFonts w:ascii="Arial"/>
          <w:color w:val="49494B"/>
          <w:w w:val="110"/>
          <w:sz w:val="17"/>
        </w:rPr>
        <w:t>the </w:t>
      </w:r>
      <w:r>
        <w:rPr>
          <w:color w:val="49494B"/>
          <w:w w:val="110"/>
          <w:sz w:val="18"/>
        </w:rPr>
        <w:t>existence and </w:t>
      </w:r>
      <w:r>
        <w:rPr>
          <w:color w:val="3A3838"/>
          <w:w w:val="110"/>
          <w:sz w:val="18"/>
        </w:rPr>
        <w:t>applicability </w:t>
      </w:r>
      <w:r>
        <w:rPr>
          <w:rFonts w:ascii="Arial"/>
          <w:color w:val="49494B"/>
          <w:w w:val="110"/>
          <w:sz w:val="17"/>
        </w:rPr>
        <w:t>of </w:t>
      </w:r>
      <w:r>
        <w:rPr>
          <w:color w:val="3A3838"/>
          <w:w w:val="110"/>
          <w:sz w:val="18"/>
        </w:rPr>
        <w:t>these related</w:t>
      </w:r>
      <w:r>
        <w:rPr>
          <w:color w:val="3A3838"/>
          <w:spacing w:val="1"/>
          <w:w w:val="110"/>
          <w:sz w:val="18"/>
        </w:rPr>
        <w:t> </w:t>
      </w:r>
      <w:r>
        <w:rPr>
          <w:color w:val="3A3838"/>
          <w:w w:val="105"/>
          <w:sz w:val="18"/>
        </w:rPr>
        <w:t>rules </w:t>
      </w:r>
      <w:r>
        <w:rPr>
          <w:color w:val="3A3838"/>
          <w:w w:val="105"/>
          <w:sz w:val="17"/>
        </w:rPr>
        <w:t>is </w:t>
      </w:r>
      <w:r>
        <w:rPr>
          <w:color w:val="3A3838"/>
          <w:w w:val="105"/>
          <w:sz w:val="18"/>
        </w:rPr>
        <w:t>not</w:t>
      </w:r>
      <w:r>
        <w:rPr>
          <w:color w:val="3A3838"/>
          <w:spacing w:val="1"/>
          <w:w w:val="105"/>
          <w:sz w:val="18"/>
        </w:rPr>
        <w:t> </w:t>
      </w:r>
      <w:r>
        <w:rPr>
          <w:color w:val="3A3838"/>
          <w:w w:val="105"/>
          <w:sz w:val="18"/>
        </w:rPr>
        <w:t>controversial. </w:t>
      </w:r>
      <w:r>
        <w:rPr>
          <w:color w:val="49494B"/>
          <w:w w:val="105"/>
          <w:sz w:val="18"/>
        </w:rPr>
        <w:t>The </w:t>
      </w:r>
      <w:r>
        <w:rPr>
          <w:color w:val="3A3838"/>
          <w:w w:val="105"/>
          <w:sz w:val="18"/>
        </w:rPr>
        <w:t>discussion  In </w:t>
      </w:r>
      <w:r>
        <w:rPr>
          <w:color w:val="49494B"/>
          <w:w w:val="105"/>
          <w:sz w:val="18"/>
        </w:rPr>
        <w:t>Section 5.2 </w:t>
      </w:r>
      <w:r>
        <w:rPr>
          <w:color w:val="49494B"/>
          <w:w w:val="105"/>
          <w:sz w:val="17"/>
        </w:rPr>
        <w:t>of  "Tell'" </w:t>
      </w:r>
      <w:r>
        <w:rPr>
          <w:color w:val="49494B"/>
          <w:w w:val="105"/>
          <w:sz w:val="18"/>
        </w:rPr>
        <w:t>issues </w:t>
      </w:r>
      <w:r>
        <w:rPr>
          <w:color w:val="3A3838"/>
          <w:w w:val="105"/>
          <w:sz w:val="18"/>
        </w:rPr>
        <w:t>Is relevant  here, because</w:t>
      </w:r>
      <w:r>
        <w:rPr>
          <w:color w:val="3A3838"/>
          <w:spacing w:val="1"/>
          <w:w w:val="105"/>
          <w:sz w:val="18"/>
        </w:rPr>
        <w:t> </w:t>
      </w:r>
      <w:r>
        <w:rPr>
          <w:color w:val="49494B"/>
          <w:w w:val="110"/>
          <w:sz w:val="18"/>
        </w:rPr>
        <w:t>you</w:t>
      </w:r>
      <w:r>
        <w:rPr>
          <w:color w:val="49494B"/>
          <w:spacing w:val="-10"/>
          <w:w w:val="110"/>
          <w:sz w:val="18"/>
        </w:rPr>
        <w:t> </w:t>
      </w:r>
      <w:r>
        <w:rPr>
          <w:color w:val="3A3838"/>
          <w:w w:val="110"/>
          <w:sz w:val="18"/>
        </w:rPr>
        <w:t>are</w:t>
      </w:r>
      <w:r>
        <w:rPr>
          <w:color w:val="3A3838"/>
          <w:spacing w:val="-4"/>
          <w:w w:val="110"/>
          <w:sz w:val="18"/>
        </w:rPr>
        <w:t> </w:t>
      </w:r>
      <w:r>
        <w:rPr>
          <w:color w:val="3A3838"/>
          <w:w w:val="110"/>
          <w:sz w:val="18"/>
        </w:rPr>
        <w:t>telling</w:t>
      </w:r>
      <w:r>
        <w:rPr>
          <w:color w:val="3A3838"/>
          <w:spacing w:val="5"/>
          <w:w w:val="110"/>
          <w:sz w:val="18"/>
        </w:rPr>
        <w:t> </w:t>
      </w:r>
      <w:r>
        <w:rPr>
          <w:color w:val="49494B"/>
          <w:w w:val="110"/>
          <w:sz w:val="18"/>
        </w:rPr>
        <w:t>the</w:t>
      </w:r>
      <w:r>
        <w:rPr>
          <w:color w:val="49494B"/>
          <w:spacing w:val="36"/>
          <w:w w:val="110"/>
          <w:sz w:val="18"/>
        </w:rPr>
        <w:t> </w:t>
      </w:r>
      <w:r>
        <w:rPr>
          <w:color w:val="3A3838"/>
          <w:w w:val="110"/>
          <w:sz w:val="18"/>
        </w:rPr>
        <w:t>reader</w:t>
      </w:r>
      <w:r>
        <w:rPr>
          <w:color w:val="3A3838"/>
          <w:spacing w:val="11"/>
          <w:w w:val="110"/>
          <w:sz w:val="18"/>
        </w:rPr>
        <w:t> </w:t>
      </w:r>
      <w:r>
        <w:rPr>
          <w:color w:val="3A3838"/>
          <w:w w:val="110"/>
          <w:sz w:val="18"/>
        </w:rPr>
        <w:t>what</w:t>
      </w:r>
      <w:r>
        <w:rPr>
          <w:color w:val="3A3838"/>
          <w:spacing w:val="15"/>
          <w:w w:val="110"/>
          <w:sz w:val="18"/>
        </w:rPr>
        <w:t> </w:t>
      </w:r>
      <w:r>
        <w:rPr>
          <w:color w:val="3A3838"/>
          <w:w w:val="110"/>
          <w:sz w:val="18"/>
        </w:rPr>
        <w:t>the</w:t>
      </w:r>
      <w:r>
        <w:rPr>
          <w:color w:val="3A3838"/>
          <w:spacing w:val="12"/>
          <w:w w:val="110"/>
          <w:sz w:val="18"/>
        </w:rPr>
        <w:t> </w:t>
      </w:r>
      <w:r>
        <w:rPr>
          <w:color w:val="3A3838"/>
          <w:w w:val="110"/>
          <w:sz w:val="18"/>
        </w:rPr>
        <w:t>rule</w:t>
      </w:r>
      <w:r>
        <w:rPr>
          <w:color w:val="3A3838"/>
          <w:spacing w:val="-6"/>
          <w:w w:val="110"/>
          <w:sz w:val="18"/>
        </w:rPr>
        <w:t> </w:t>
      </w:r>
      <w:r>
        <w:rPr>
          <w:color w:val="49494B"/>
          <w:w w:val="110"/>
          <w:sz w:val="18"/>
        </w:rPr>
        <w:t>is</w:t>
      </w:r>
      <w:r>
        <w:rPr>
          <w:color w:val="49494B"/>
          <w:spacing w:val="-12"/>
          <w:w w:val="110"/>
          <w:sz w:val="18"/>
        </w:rPr>
        <w:t> </w:t>
      </w:r>
      <w:r>
        <w:rPr>
          <w:color w:val="3A3838"/>
          <w:w w:val="110"/>
          <w:sz w:val="18"/>
        </w:rPr>
        <w:t>and</w:t>
      </w:r>
      <w:r>
        <w:rPr>
          <w:color w:val="3A3838"/>
          <w:spacing w:val="29"/>
          <w:w w:val="110"/>
          <w:sz w:val="18"/>
        </w:rPr>
        <w:t> </w:t>
      </w:r>
      <w:r>
        <w:rPr>
          <w:color w:val="49494B"/>
          <w:w w:val="110"/>
          <w:sz w:val="18"/>
        </w:rPr>
        <w:t>that</w:t>
      </w:r>
      <w:r>
        <w:rPr>
          <w:color w:val="49494B"/>
          <w:spacing w:val="1"/>
          <w:w w:val="110"/>
          <w:sz w:val="18"/>
        </w:rPr>
        <w:t> </w:t>
      </w:r>
      <w:r>
        <w:rPr>
          <w:color w:val="3A3838"/>
          <w:w w:val="110"/>
          <w:sz w:val="16"/>
        </w:rPr>
        <w:t>it</w:t>
      </w:r>
      <w:r>
        <w:rPr>
          <w:color w:val="3A3838"/>
          <w:spacing w:val="27"/>
          <w:w w:val="110"/>
          <w:sz w:val="16"/>
        </w:rPr>
        <w:t> </w:t>
      </w:r>
      <w:r>
        <w:rPr>
          <w:color w:val="3A3838"/>
          <w:w w:val="110"/>
          <w:sz w:val="18"/>
        </w:rPr>
        <w:t>Is</w:t>
      </w:r>
      <w:r>
        <w:rPr>
          <w:color w:val="3A3838"/>
          <w:spacing w:val="5"/>
          <w:w w:val="110"/>
          <w:sz w:val="18"/>
        </w:rPr>
        <w:t> </w:t>
      </w:r>
      <w:r>
        <w:rPr>
          <w:color w:val="3A3838"/>
          <w:w w:val="110"/>
          <w:sz w:val="18"/>
        </w:rPr>
        <w:t>relevant</w:t>
      </w:r>
      <w:r>
        <w:rPr>
          <w:color w:val="3A3838"/>
          <w:spacing w:val="17"/>
          <w:w w:val="110"/>
          <w:sz w:val="18"/>
        </w:rPr>
        <w:t> </w:t>
      </w:r>
      <w:r>
        <w:rPr>
          <w:color w:val="49494B"/>
          <w:w w:val="110"/>
          <w:sz w:val="18"/>
        </w:rPr>
        <w:t>In</w:t>
      </w:r>
      <w:r>
        <w:rPr>
          <w:color w:val="49494B"/>
          <w:spacing w:val="16"/>
          <w:w w:val="110"/>
          <w:sz w:val="18"/>
        </w:rPr>
        <w:t> </w:t>
      </w:r>
      <w:r>
        <w:rPr>
          <w:color w:val="3A3838"/>
          <w:w w:val="110"/>
          <w:sz w:val="18"/>
        </w:rPr>
        <w:t>the</w:t>
      </w:r>
      <w:r>
        <w:rPr>
          <w:color w:val="3A3838"/>
          <w:spacing w:val="21"/>
          <w:w w:val="110"/>
          <w:sz w:val="18"/>
        </w:rPr>
        <w:t> </w:t>
      </w:r>
      <w:r>
        <w:rPr>
          <w:color w:val="3A3838"/>
          <w:w w:val="110"/>
          <w:sz w:val="18"/>
        </w:rPr>
        <w:t>given</w:t>
      </w:r>
      <w:r>
        <w:rPr>
          <w:color w:val="3A3838"/>
          <w:spacing w:val="-1"/>
          <w:w w:val="110"/>
          <w:sz w:val="18"/>
        </w:rPr>
        <w:t> </w:t>
      </w:r>
      <w:r>
        <w:rPr>
          <w:color w:val="3A3838"/>
          <w:w w:val="110"/>
          <w:sz w:val="18"/>
        </w:rPr>
        <w:t>case.</w:t>
      </w:r>
      <w:r>
        <w:rPr>
          <w:color w:val="3A3838"/>
          <w:spacing w:val="11"/>
          <w:w w:val="110"/>
          <w:sz w:val="18"/>
        </w:rPr>
        <w:t> </w:t>
      </w:r>
      <w:r>
        <w:rPr>
          <w:color w:val="49494B"/>
          <w:w w:val="110"/>
          <w:sz w:val="16"/>
        </w:rPr>
        <w:t>A</w:t>
      </w:r>
      <w:r>
        <w:rPr>
          <w:color w:val="49494B"/>
          <w:spacing w:val="16"/>
          <w:w w:val="110"/>
          <w:sz w:val="16"/>
        </w:rPr>
        <w:t> </w:t>
      </w:r>
      <w:r>
        <w:rPr>
          <w:color w:val="3A3838"/>
          <w:w w:val="110"/>
          <w:sz w:val="18"/>
        </w:rPr>
        <w:t>rule</w:t>
      </w:r>
      <w:r>
        <w:rPr>
          <w:color w:val="3A3838"/>
          <w:spacing w:val="-6"/>
          <w:w w:val="110"/>
          <w:sz w:val="18"/>
        </w:rPr>
        <w:t> </w:t>
      </w:r>
      <w:r>
        <w:rPr>
          <w:color w:val="49494B"/>
          <w:w w:val="110"/>
          <w:sz w:val="18"/>
        </w:rPr>
        <w:t>dust</w:t>
      </w:r>
    </w:p>
    <w:p>
      <w:pPr>
        <w:tabs>
          <w:tab w:pos="7651" w:val="left" w:leader="none"/>
        </w:tabs>
        <w:spacing w:line="209" w:lineRule="exact" w:before="0"/>
        <w:ind w:left="138" w:right="0" w:firstLine="0"/>
        <w:jc w:val="left"/>
        <w:rPr>
          <w:sz w:val="18"/>
        </w:rPr>
      </w:pPr>
      <w:r>
        <w:rPr>
          <w:color w:val="3A3838"/>
          <w:spacing w:val="-1"/>
          <w:w w:val="101"/>
          <w:sz w:val="18"/>
        </w:rPr>
        <w:t>ma</w:t>
      </w:r>
      <w:r>
        <w:rPr>
          <w:color w:val="3A3838"/>
          <w:w w:val="101"/>
          <w:sz w:val="18"/>
        </w:rPr>
        <w:t>y</w:t>
      </w:r>
      <w:r>
        <w:rPr>
          <w:color w:val="3A3838"/>
          <w:spacing w:val="-8"/>
          <w:sz w:val="18"/>
        </w:rPr>
        <w:t> </w:t>
      </w:r>
      <w:r>
        <w:rPr>
          <w:color w:val="3A3838"/>
          <w:spacing w:val="-1"/>
          <w:w w:val="105"/>
          <w:sz w:val="18"/>
        </w:rPr>
        <w:t>als</w:t>
      </w:r>
      <w:r>
        <w:rPr>
          <w:color w:val="3A3838"/>
          <w:w w:val="105"/>
          <w:sz w:val="18"/>
        </w:rPr>
        <w:t>o</w:t>
      </w:r>
      <w:r>
        <w:rPr>
          <w:color w:val="3A3838"/>
          <w:spacing w:val="-14"/>
          <w:sz w:val="18"/>
        </w:rPr>
        <w:t> </w:t>
      </w:r>
      <w:r>
        <w:rPr>
          <w:color w:val="3A3838"/>
          <w:w w:val="113"/>
          <w:sz w:val="18"/>
        </w:rPr>
        <w:t>function</w:t>
      </w:r>
      <w:r>
        <w:rPr>
          <w:color w:val="3A3838"/>
          <w:spacing w:val="-3"/>
          <w:sz w:val="18"/>
        </w:rPr>
        <w:t> </w:t>
      </w:r>
      <w:r>
        <w:rPr>
          <w:color w:val="49494B"/>
          <w:spacing w:val="-1"/>
          <w:w w:val="113"/>
          <w:sz w:val="18"/>
        </w:rPr>
        <w:t>a</w:t>
      </w:r>
      <w:r>
        <w:rPr>
          <w:color w:val="49494B"/>
          <w:w w:val="113"/>
          <w:sz w:val="18"/>
        </w:rPr>
        <w:t>s</w:t>
      </w:r>
      <w:r>
        <w:rPr>
          <w:color w:val="49494B"/>
          <w:spacing w:val="4"/>
          <w:sz w:val="18"/>
        </w:rPr>
        <w:t> </w:t>
      </w:r>
      <w:r>
        <w:rPr>
          <w:color w:val="3A3838"/>
          <w:w w:val="111"/>
          <w:sz w:val="18"/>
        </w:rPr>
        <w:t>part</w:t>
      </w:r>
      <w:r>
        <w:rPr>
          <w:color w:val="3A3838"/>
          <w:spacing w:val="2"/>
          <w:sz w:val="18"/>
        </w:rPr>
        <w:t> </w:t>
      </w:r>
      <w:r>
        <w:rPr>
          <w:color w:val="49494B"/>
          <w:w w:val="105"/>
          <w:sz w:val="18"/>
        </w:rPr>
        <w:t>of</w:t>
      </w:r>
      <w:r>
        <w:rPr>
          <w:color w:val="49494B"/>
          <w:spacing w:val="-1"/>
          <w:sz w:val="18"/>
        </w:rPr>
        <w:t> </w:t>
      </w:r>
      <w:r>
        <w:rPr>
          <w:color w:val="3A3838"/>
          <w:spacing w:val="-1"/>
          <w:w w:val="105"/>
          <w:sz w:val="18"/>
        </w:rPr>
        <w:t>a</w:t>
      </w:r>
      <w:r>
        <w:rPr>
          <w:color w:val="3A3838"/>
          <w:w w:val="105"/>
          <w:sz w:val="18"/>
        </w:rPr>
        <w:t>n</w:t>
      </w:r>
      <w:r>
        <w:rPr>
          <w:color w:val="3A3838"/>
          <w:sz w:val="18"/>
        </w:rPr>
        <w:t> </w:t>
      </w:r>
      <w:r>
        <w:rPr>
          <w:color w:val="3A3838"/>
          <w:spacing w:val="-19"/>
          <w:sz w:val="18"/>
        </w:rPr>
        <w:t> </w:t>
      </w:r>
      <w:r>
        <w:rPr>
          <w:color w:val="49494B"/>
          <w:spacing w:val="-1"/>
          <w:w w:val="113"/>
          <w:sz w:val="18"/>
        </w:rPr>
        <w:t>argumen</w:t>
      </w:r>
      <w:r>
        <w:rPr>
          <w:color w:val="49494B"/>
          <w:spacing w:val="9"/>
          <w:w w:val="113"/>
          <w:sz w:val="18"/>
        </w:rPr>
        <w:t>t</w:t>
      </w:r>
      <w:r>
        <w:rPr>
          <w:rFonts w:ascii="Arial" w:hAnsi="Arial"/>
          <w:color w:val="49494B"/>
          <w:spacing w:val="-2"/>
          <w:w w:val="125"/>
          <w:position w:val="4"/>
          <w:sz w:val="16"/>
        </w:rPr>
        <w:t>'</w:t>
      </w:r>
      <w:r>
        <w:rPr>
          <w:color w:val="49494B"/>
          <w:w w:val="113"/>
          <w:sz w:val="18"/>
        </w:rPr>
        <w:t>s</w:t>
      </w:r>
      <w:r>
        <w:rPr>
          <w:color w:val="49494B"/>
          <w:spacing w:val="2"/>
          <w:sz w:val="18"/>
        </w:rPr>
        <w:t> </w:t>
      </w:r>
      <w:r>
        <w:rPr>
          <w:rFonts w:ascii="Arial" w:hAnsi="Arial"/>
          <w:color w:val="49494B"/>
          <w:spacing w:val="-1"/>
          <w:w w:val="125"/>
          <w:position w:val="4"/>
          <w:sz w:val="16"/>
        </w:rPr>
        <w:t>"</w:t>
      </w:r>
      <w:r>
        <w:rPr>
          <w:rFonts w:ascii="Arial" w:hAnsi="Arial"/>
          <w:color w:val="49494B"/>
          <w:spacing w:val="-9"/>
          <w:w w:val="125"/>
          <w:position w:val="4"/>
          <w:sz w:val="16"/>
        </w:rPr>
        <w:t>b</w:t>
      </w:r>
      <w:r>
        <w:rPr>
          <w:color w:val="3A3838"/>
          <w:spacing w:val="-1"/>
          <w:w w:val="113"/>
          <w:sz w:val="18"/>
        </w:rPr>
        <w:t>a</w:t>
      </w:r>
      <w:r>
        <w:rPr>
          <w:color w:val="3A3838"/>
          <w:spacing w:val="-12"/>
          <w:w w:val="113"/>
          <w:sz w:val="18"/>
        </w:rPr>
        <w:t>c</w:t>
      </w:r>
      <w:r>
        <w:rPr>
          <w:rFonts w:ascii="Arial" w:hAnsi="Arial"/>
          <w:color w:val="3A3838"/>
          <w:spacing w:val="-3"/>
          <w:w w:val="125"/>
          <w:position w:val="4"/>
          <w:sz w:val="16"/>
        </w:rPr>
        <w:t>k</w:t>
      </w:r>
      <w:r>
        <w:rPr>
          <w:color w:val="49494B"/>
          <w:spacing w:val="-1"/>
          <w:w w:val="110"/>
          <w:sz w:val="18"/>
        </w:rPr>
        <w:t>story</w:t>
      </w:r>
      <w:r>
        <w:rPr>
          <w:color w:val="49494B"/>
          <w:spacing w:val="-12"/>
          <w:w w:val="110"/>
          <w:sz w:val="18"/>
        </w:rPr>
        <w:t>,</w:t>
      </w:r>
      <w:r>
        <w:rPr>
          <w:rFonts w:ascii="Arial" w:hAnsi="Arial"/>
          <w:color w:val="49494B"/>
          <w:w w:val="125"/>
          <w:position w:val="4"/>
          <w:sz w:val="16"/>
        </w:rPr>
        <w:t>"</w:t>
      </w:r>
      <w:r>
        <w:rPr>
          <w:rFonts w:ascii="Arial" w:hAnsi="Arial"/>
          <w:color w:val="49494B"/>
          <w:spacing w:val="10"/>
          <w:position w:val="4"/>
          <w:sz w:val="16"/>
        </w:rPr>
        <w:t> </w:t>
      </w:r>
      <w:r>
        <w:rPr>
          <w:color w:val="3A3838"/>
          <w:spacing w:val="-1"/>
          <w:w w:val="110"/>
          <w:sz w:val="18"/>
        </w:rPr>
        <w:t>a</w:t>
      </w:r>
      <w:r>
        <w:rPr>
          <w:color w:val="3A3838"/>
          <w:w w:val="110"/>
          <w:sz w:val="18"/>
        </w:rPr>
        <w:t>s</w:t>
      </w:r>
      <w:r>
        <w:rPr>
          <w:color w:val="3A3838"/>
          <w:spacing w:val="1"/>
          <w:sz w:val="18"/>
        </w:rPr>
        <w:t> </w:t>
      </w:r>
      <w:r>
        <w:rPr>
          <w:color w:val="3A3838"/>
          <w:w w:val="125"/>
          <w:position w:val="4"/>
          <w:sz w:val="18"/>
        </w:rPr>
        <w:t>d</w:t>
      </w:r>
      <w:r>
        <w:rPr>
          <w:color w:val="3A3838"/>
          <w:spacing w:val="-25"/>
          <w:w w:val="125"/>
          <w:position w:val="4"/>
          <w:sz w:val="18"/>
        </w:rPr>
        <w:t>i</w:t>
      </w:r>
      <w:r>
        <w:rPr>
          <w:color w:val="49494B"/>
          <w:spacing w:val="-1"/>
          <w:w w:val="106"/>
          <w:sz w:val="18"/>
        </w:rPr>
        <w:t>scuss</w:t>
      </w:r>
      <w:r>
        <w:rPr>
          <w:color w:val="49494B"/>
          <w:spacing w:val="-4"/>
          <w:w w:val="106"/>
          <w:sz w:val="18"/>
        </w:rPr>
        <w:t>e</w:t>
      </w:r>
      <w:r>
        <w:rPr>
          <w:rFonts w:ascii="Arial" w:hAnsi="Arial"/>
          <w:color w:val="49494B"/>
          <w:spacing w:val="-94"/>
          <w:w w:val="125"/>
          <w:position w:val="4"/>
          <w:sz w:val="16"/>
        </w:rPr>
        <w:t>d</w:t>
      </w:r>
      <w:r>
        <w:rPr>
          <w:rFonts w:ascii="Arial" w:hAnsi="Arial"/>
          <w:color w:val="49494B"/>
          <w:w w:val="125"/>
          <w:position w:val="4"/>
          <w:sz w:val="16"/>
        </w:rPr>
        <w:t>.</w:t>
      </w:r>
      <w:r>
        <w:rPr>
          <w:rFonts w:ascii="Arial" w:hAnsi="Arial"/>
          <w:color w:val="49494B"/>
          <w:position w:val="4"/>
          <w:sz w:val="16"/>
        </w:rPr>
        <w:t> </w:t>
      </w:r>
      <w:r>
        <w:rPr>
          <w:rFonts w:ascii="Arial" w:hAnsi="Arial"/>
          <w:color w:val="49494B"/>
          <w:spacing w:val="-6"/>
          <w:position w:val="4"/>
          <w:sz w:val="16"/>
        </w:rPr>
        <w:t> </w:t>
      </w:r>
      <w:r>
        <w:rPr>
          <w:color w:val="3A3838"/>
          <w:w w:val="106"/>
          <w:sz w:val="18"/>
        </w:rPr>
        <w:t>m</w:t>
      </w:r>
      <w:r>
        <w:rPr>
          <w:color w:val="3A3838"/>
          <w:spacing w:val="11"/>
          <w:sz w:val="18"/>
        </w:rPr>
        <w:t> </w:t>
      </w:r>
      <w:r>
        <w:rPr>
          <w:rFonts w:ascii="Arial" w:hAnsi="Arial"/>
          <w:color w:val="49494B"/>
          <w:spacing w:val="-1"/>
          <w:w w:val="125"/>
          <w:position w:val="4"/>
          <w:sz w:val="16"/>
        </w:rPr>
        <w:t>C</w:t>
      </w:r>
      <w:r>
        <w:rPr>
          <w:rFonts w:ascii="Arial" w:hAnsi="Arial"/>
          <w:color w:val="49494B"/>
          <w:spacing w:val="-14"/>
          <w:w w:val="125"/>
          <w:position w:val="4"/>
          <w:sz w:val="16"/>
        </w:rPr>
        <w:t>h</w:t>
      </w:r>
      <w:r>
        <w:rPr>
          <w:color w:val="49494B"/>
          <w:spacing w:val="-1"/>
          <w:w w:val="117"/>
          <w:sz w:val="18"/>
        </w:rPr>
        <w:t>apte</w:t>
      </w:r>
      <w:r>
        <w:rPr>
          <w:color w:val="49494B"/>
          <w:w w:val="117"/>
          <w:sz w:val="18"/>
        </w:rPr>
        <w:t>r</w:t>
      </w:r>
      <w:r>
        <w:rPr>
          <w:color w:val="49494B"/>
          <w:spacing w:val="-17"/>
          <w:sz w:val="18"/>
        </w:rPr>
        <w:t> </w:t>
      </w:r>
      <w:r>
        <w:rPr>
          <w:rFonts w:ascii="Arial" w:hAnsi="Arial"/>
          <w:color w:val="49494B"/>
          <w:spacing w:val="-17"/>
          <w:w w:val="125"/>
          <w:position w:val="4"/>
          <w:sz w:val="16"/>
        </w:rPr>
        <w:t>·</w:t>
      </w:r>
      <w:r>
        <w:rPr>
          <w:color w:val="49494B"/>
          <w:w w:val="122"/>
          <w:sz w:val="18"/>
        </w:rPr>
        <w:t>fen.</w:t>
      </w:r>
      <w:r>
        <w:rPr>
          <w:color w:val="49494B"/>
          <w:sz w:val="18"/>
        </w:rPr>
        <w:tab/>
      </w:r>
      <w:r>
        <w:rPr>
          <w:color w:val="49494B"/>
          <w:spacing w:val="-1"/>
          <w:w w:val="125"/>
          <w:position w:val="4"/>
          <w:sz w:val="18"/>
        </w:rPr>
        <w:t>er</w:t>
      </w:r>
    </w:p>
    <w:p>
      <w:pPr>
        <w:spacing w:after="0" w:line="209" w:lineRule="exact"/>
        <w:jc w:val="left"/>
        <w:rPr>
          <w:sz w:val="18"/>
        </w:rPr>
        <w:sectPr>
          <w:headerReference w:type="default" r:id="rId117"/>
          <w:headerReference w:type="even" r:id="rId118"/>
          <w:pgSz w:w="9610" w:h="13740"/>
          <w:pgMar w:header="399" w:footer="0" w:top="1000" w:bottom="280" w:left="400" w:right="1260"/>
          <w:pgNumType w:start="93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35" w:lineRule="auto" w:before="229"/>
        <w:ind w:left="2717" w:right="-44" w:firstLine="3"/>
        <w:jc w:val="both"/>
      </w:pPr>
      <w:r>
        <w:rPr>
          <w:color w:val="383638"/>
          <w:w w:val="105"/>
        </w:rPr>
        <w:t>certain issues that the chosen rule best addresses. You might think of th(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basic format for a rule-choice rule as follows: "If [factors or issues] exist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then</w:t>
      </w:r>
      <w:r>
        <w:rPr>
          <w:color w:val="383638"/>
          <w:spacing w:val="-5"/>
          <w:w w:val="105"/>
        </w:rPr>
        <w:t> </w:t>
      </w:r>
      <w:r>
        <w:rPr>
          <w:color w:val="383638"/>
          <w:w w:val="105"/>
        </w:rPr>
        <w:t>[application</w:t>
      </w:r>
      <w:r>
        <w:rPr>
          <w:color w:val="383638"/>
          <w:spacing w:val="6"/>
          <w:w w:val="105"/>
        </w:rPr>
        <w:t> </w:t>
      </w:r>
      <w:r>
        <w:rPr>
          <w:color w:val="383638"/>
          <w:w w:val="105"/>
        </w:rPr>
        <w:t>of</w:t>
      </w:r>
      <w:r>
        <w:rPr>
          <w:color w:val="383638"/>
          <w:spacing w:val="-1"/>
          <w:w w:val="105"/>
        </w:rPr>
        <w:t> </w:t>
      </w:r>
      <w:r>
        <w:rPr>
          <w:color w:val="383638"/>
          <w:w w:val="105"/>
        </w:rPr>
        <w:t>designated</w:t>
      </w:r>
      <w:r>
        <w:rPr>
          <w:color w:val="383638"/>
          <w:spacing w:val="19"/>
          <w:w w:val="105"/>
        </w:rPr>
        <w:t> </w:t>
      </w:r>
      <w:r>
        <w:rPr>
          <w:color w:val="383638"/>
          <w:w w:val="105"/>
        </w:rPr>
        <w:t>rule]</w:t>
      </w:r>
      <w:r>
        <w:rPr>
          <w:color w:val="383638"/>
          <w:spacing w:val="-7"/>
          <w:w w:val="105"/>
        </w:rPr>
        <w:t> </w:t>
      </w:r>
      <w:r>
        <w:rPr>
          <w:color w:val="383638"/>
          <w:w w:val="105"/>
        </w:rPr>
        <w:t>results."</w:t>
      </w:r>
    </w:p>
    <w:p>
      <w:pPr>
        <w:pStyle w:val="BodyText"/>
        <w:spacing w:line="232" w:lineRule="auto"/>
        <w:ind w:left="2547" w:right="-44" w:firstLine="504"/>
        <w:jc w:val="both"/>
      </w:pPr>
      <w:r>
        <w:rPr>
          <w:color w:val="383638"/>
          <w:w w:val="105"/>
        </w:rPr>
        <w:t>Sometimes, courts state the "rule-choice rule" explicitly. For example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everyone who has taken a constitutional law course knows that when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courts have to </w:t>
      </w:r>
      <w:r>
        <w:rPr>
          <w:rFonts w:ascii="Arial" w:hAnsi="Arial"/>
          <w:i/>
          <w:color w:val="383638"/>
          <w:spacing w:val="-1"/>
          <w:w w:val="110"/>
          <w:sz w:val="21"/>
        </w:rPr>
        <w:t>decide </w:t>
      </w:r>
      <w:r>
        <w:rPr>
          <w:color w:val="383638"/>
          <w:spacing w:val="-1"/>
          <w:w w:val="110"/>
        </w:rPr>
        <w:t>whether </w:t>
      </w:r>
      <w:r>
        <w:rPr>
          <w:color w:val="383638"/>
          <w:w w:val="110"/>
        </w:rPr>
        <w:t>a certain governmental action is constitu­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tional, they have at least three choices. They can apply the "strict scrutiny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test" (which they apply when certain fundamental rights are implicated or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the rights of a suspect class are affected); they can apply the  "intermediate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or heightened scrutiny test" (which they apply in a variety of situations,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including situations in which laws make gender-based distinctions); or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they</w:t>
      </w:r>
      <w:r>
        <w:rPr>
          <w:color w:val="383638"/>
          <w:spacing w:val="-35"/>
          <w:w w:val="110"/>
        </w:rPr>
        <w:t> </w:t>
      </w:r>
      <w:r>
        <w:rPr>
          <w:color w:val="383638"/>
          <w:spacing w:val="-1"/>
          <w:w w:val="110"/>
        </w:rPr>
        <w:t>can</w:t>
      </w:r>
      <w:r>
        <w:rPr>
          <w:color w:val="383638"/>
          <w:spacing w:val="-21"/>
          <w:w w:val="110"/>
        </w:rPr>
        <w:t> </w:t>
      </w:r>
      <w:r>
        <w:rPr>
          <w:color w:val="383638"/>
          <w:spacing w:val="-1"/>
          <w:w w:val="110"/>
        </w:rPr>
        <w:t>apply</w:t>
      </w:r>
      <w:r>
        <w:rPr>
          <w:color w:val="383638"/>
          <w:spacing w:val="-8"/>
          <w:w w:val="110"/>
        </w:rPr>
        <w:t> </w:t>
      </w:r>
      <w:r>
        <w:rPr>
          <w:color w:val="383638"/>
          <w:spacing w:val="-1"/>
          <w:w w:val="110"/>
        </w:rPr>
        <w:t>the</w:t>
      </w:r>
      <w:r>
        <w:rPr>
          <w:color w:val="383638"/>
          <w:spacing w:val="2"/>
          <w:w w:val="110"/>
        </w:rPr>
        <w:t> </w:t>
      </w:r>
      <w:r>
        <w:rPr>
          <w:color w:val="383638"/>
          <w:spacing w:val="-1"/>
          <w:w w:val="110"/>
        </w:rPr>
        <w:t>"rational</w:t>
      </w:r>
      <w:r>
        <w:rPr>
          <w:color w:val="383638"/>
          <w:spacing w:val="-7"/>
          <w:w w:val="110"/>
        </w:rPr>
        <w:t> </w:t>
      </w:r>
      <w:r>
        <w:rPr>
          <w:color w:val="383638"/>
          <w:spacing w:val="-1"/>
          <w:w w:val="110"/>
        </w:rPr>
        <w:t>basis</w:t>
      </w:r>
      <w:r>
        <w:rPr>
          <w:color w:val="383638"/>
          <w:spacing w:val="-17"/>
          <w:w w:val="110"/>
        </w:rPr>
        <w:t> </w:t>
      </w:r>
      <w:r>
        <w:rPr>
          <w:color w:val="383638"/>
          <w:spacing w:val="-1"/>
          <w:w w:val="110"/>
        </w:rPr>
        <w:t>test"</w:t>
      </w:r>
      <w:r>
        <w:rPr>
          <w:color w:val="383638"/>
          <w:spacing w:val="-31"/>
          <w:w w:val="110"/>
        </w:rPr>
        <w:t> </w:t>
      </w:r>
      <w:r>
        <w:rPr>
          <w:color w:val="383638"/>
          <w:spacing w:val="-1"/>
          <w:w w:val="110"/>
        </w:rPr>
        <w:t>(which</w:t>
      </w:r>
      <w:r>
        <w:rPr>
          <w:color w:val="383638"/>
          <w:spacing w:val="-17"/>
          <w:w w:val="110"/>
        </w:rPr>
        <w:t> </w:t>
      </w:r>
      <w:r>
        <w:rPr>
          <w:color w:val="383638"/>
          <w:spacing w:val="-1"/>
          <w:w w:val="110"/>
        </w:rPr>
        <w:t>they</w:t>
      </w:r>
      <w:r>
        <w:rPr>
          <w:color w:val="383638"/>
          <w:spacing w:val="-28"/>
          <w:w w:val="110"/>
        </w:rPr>
        <w:t> </w:t>
      </w:r>
      <w:r>
        <w:rPr>
          <w:color w:val="383638"/>
          <w:w w:val="110"/>
        </w:rPr>
        <w:t>apply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when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law</w:t>
      </w:r>
      <w:r>
        <w:rPr>
          <w:color w:val="383638"/>
          <w:spacing w:val="-29"/>
          <w:w w:val="110"/>
        </w:rPr>
        <w:t> </w:t>
      </w:r>
      <w:r>
        <w:rPr>
          <w:color w:val="383638"/>
          <w:w w:val="110"/>
        </w:rPr>
        <w:t>does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not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affect fundamental  rights or  make questionable distinctions). Thus,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if your case is about the constitutionality of a governmental action, 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and your opponent might disagree as to whether the court should apply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rational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basis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test</w:t>
      </w:r>
      <w:r>
        <w:rPr>
          <w:color w:val="383638"/>
          <w:spacing w:val="-26"/>
          <w:w w:val="110"/>
        </w:rPr>
        <w:t> </w:t>
      </w:r>
      <w:r>
        <w:rPr>
          <w:color w:val="383638"/>
          <w:w w:val="110"/>
        </w:rPr>
        <w:t>or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strict</w:t>
      </w:r>
      <w:r>
        <w:rPr>
          <w:color w:val="383638"/>
          <w:spacing w:val="-26"/>
          <w:w w:val="110"/>
        </w:rPr>
        <w:t> </w:t>
      </w:r>
      <w:r>
        <w:rPr>
          <w:color w:val="383638"/>
          <w:w w:val="110"/>
        </w:rPr>
        <w:t>scrutiny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test.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situation,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first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order of business </w:t>
      </w:r>
      <w:r>
        <w:rPr>
          <w:i/>
          <w:color w:val="383638"/>
          <w:w w:val="110"/>
          <w:sz w:val="22"/>
        </w:rPr>
        <w:t>is </w:t>
      </w:r>
      <w:r>
        <w:rPr>
          <w:color w:val="383638"/>
          <w:w w:val="110"/>
        </w:rPr>
        <w:t>to argue about which rule applies, using the "rule­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choice rule" that governs strict scrutiny and rational basis. For example,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if </w:t>
      </w:r>
      <w:r>
        <w:rPr>
          <w:i/>
          <w:color w:val="383638"/>
          <w:w w:val="110"/>
          <w:sz w:val="24"/>
        </w:rPr>
        <w:t>you </w:t>
      </w:r>
      <w:r>
        <w:rPr>
          <w:color w:val="383638"/>
          <w:w w:val="110"/>
        </w:rPr>
        <w:t>believed that strict scrutiny was appropriate, that section of your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argument</w:t>
      </w:r>
      <w:r>
        <w:rPr>
          <w:color w:val="383638"/>
          <w:spacing w:val="-9"/>
          <w:w w:val="110"/>
        </w:rPr>
        <w:t> </w:t>
      </w:r>
      <w:r>
        <w:rPr>
          <w:color w:val="383638"/>
          <w:spacing w:val="-1"/>
          <w:w w:val="110"/>
        </w:rPr>
        <w:t>could</w:t>
      </w:r>
      <w:r>
        <w:rPr>
          <w:color w:val="383638"/>
          <w:w w:val="110"/>
        </w:rPr>
        <w:t> be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based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on</w:t>
      </w:r>
      <w:r>
        <w:rPr>
          <w:color w:val="383638"/>
          <w:spacing w:val="29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following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"rule-choice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rule":</w:t>
      </w:r>
    </w:p>
    <w:p>
      <w:pPr>
        <w:spacing w:before="135"/>
        <w:ind w:left="2880" w:right="0" w:firstLine="8"/>
        <w:jc w:val="left"/>
        <w:rPr>
          <w:b/>
          <w:sz w:val="21"/>
        </w:rPr>
      </w:pPr>
      <w:r>
        <w:rPr>
          <w:color w:val="383638"/>
          <w:w w:val="110"/>
          <w:sz w:val="21"/>
        </w:rPr>
        <w:t>If</w:t>
      </w:r>
      <w:r>
        <w:rPr>
          <w:color w:val="383638"/>
          <w:spacing w:val="-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</w:t>
      </w:r>
      <w:r>
        <w:rPr>
          <w:b/>
          <w:color w:val="383638"/>
          <w:spacing w:val="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statute</w:t>
      </w:r>
      <w:r>
        <w:rPr>
          <w:b/>
          <w:color w:val="383638"/>
          <w:spacing w:val="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makes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distinctions</w:t>
      </w:r>
      <w:r>
        <w:rPr>
          <w:b/>
          <w:color w:val="383638"/>
          <w:spacing w:val="2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based</w:t>
      </w:r>
      <w:r>
        <w:rPr>
          <w:b/>
          <w:color w:val="383638"/>
          <w:spacing w:val="-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on</w:t>
      </w:r>
      <w:r>
        <w:rPr>
          <w:b/>
          <w:color w:val="383638"/>
          <w:spacing w:val="1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suspect</w:t>
      </w:r>
      <w:r>
        <w:rPr>
          <w:b/>
          <w:color w:val="383638"/>
          <w:spacing w:val="7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classifications,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then</w:t>
      </w:r>
      <w:r>
        <w:rPr>
          <w:b/>
          <w:color w:val="383638"/>
          <w:spacing w:val="-55"/>
          <w:w w:val="110"/>
          <w:sz w:val="21"/>
        </w:rPr>
        <w:t> </w:t>
      </w:r>
      <w:r>
        <w:rPr>
          <w:b/>
          <w:color w:val="383638"/>
          <w:spacing w:val="-1"/>
          <w:w w:val="110"/>
          <w:sz w:val="21"/>
        </w:rPr>
        <w:t>thestrict</w:t>
      </w:r>
      <w:r>
        <w:rPr>
          <w:b/>
          <w:color w:val="383638"/>
          <w:spacing w:val="-1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scrutiny</w:t>
      </w:r>
      <w:r>
        <w:rPr>
          <w:b/>
          <w:color w:val="383638"/>
          <w:spacing w:val="-1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test</w:t>
      </w:r>
      <w:r>
        <w:rPr>
          <w:b/>
          <w:color w:val="383638"/>
          <w:spacing w:val="-1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applies.</w:t>
      </w:r>
    </w:p>
    <w:p>
      <w:pPr>
        <w:pStyle w:val="BodyText"/>
        <w:spacing w:line="232" w:lineRule="auto" w:before="150"/>
        <w:ind w:left="2470" w:right="3" w:firstLine="405"/>
        <w:jc w:val="both"/>
      </w:pPr>
      <w:r>
        <w:rPr>
          <w:color w:val="383638"/>
          <w:w w:val="105"/>
        </w:rPr>
        <w:t>Of course, even if a rule-choice rule exists, you should use a CREXAC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unit of discourse to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prove how it applies only if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choice of rule is in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controversy. </w:t>
      </w:r>
      <w:r>
        <w:rPr>
          <w:color w:val="383638"/>
          <w:w w:val="110"/>
          <w:sz w:val="22"/>
        </w:rPr>
        <w:t>If </w:t>
      </w:r>
      <w:r>
        <w:rPr>
          <w:color w:val="383638"/>
          <w:w w:val="110"/>
        </w:rPr>
        <w:t>both sides agree that the strict scrutiny test applies, for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example, then the brief need not establish this fact through a CREXAC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analysis. The </w:t>
      </w:r>
      <w:r>
        <w:rPr>
          <w:color w:val="383638"/>
          <w:w w:val="110"/>
        </w:rPr>
        <w:t>writer can simply introduce the "strict scrutiny" section </w:t>
      </w:r>
      <w:r>
        <w:rPr>
          <w:rFonts w:ascii="Arial" w:hAnsi="Arial"/>
          <w:i/>
          <w:color w:val="383638"/>
          <w:w w:val="110"/>
          <w:sz w:val="22"/>
        </w:rPr>
        <w:t>by</w:t>
      </w:r>
      <w:r>
        <w:rPr>
          <w:rFonts w:ascii="Arial" w:hAnsi="Arial"/>
          <w:i/>
          <w:color w:val="383638"/>
          <w:spacing w:val="1"/>
          <w:w w:val="110"/>
          <w:sz w:val="22"/>
        </w:rPr>
        <w:t> </w:t>
      </w:r>
      <w:r>
        <w:rPr>
          <w:color w:val="383638"/>
          <w:spacing w:val="-1"/>
          <w:w w:val="110"/>
        </w:rPr>
        <w:t>telling </w:t>
      </w:r>
      <w:r>
        <w:rPr>
          <w:color w:val="383638"/>
          <w:w w:val="110"/>
        </w:rPr>
        <w:t>the reader the rule-choice rule and stating that it results in the use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of strict scrutiny before moving on to a CREXAC analysis of the strict scru­</w:t>
      </w:r>
      <w:r>
        <w:rPr>
          <w:color w:val="383638"/>
          <w:spacing w:val="-58"/>
          <w:w w:val="105"/>
        </w:rPr>
        <w:t> </w:t>
      </w:r>
      <w:r>
        <w:rPr>
          <w:color w:val="383638"/>
          <w:w w:val="110"/>
        </w:rPr>
        <w:t>tiny</w:t>
      </w:r>
      <w:r>
        <w:rPr>
          <w:color w:val="383638"/>
          <w:spacing w:val="-23"/>
          <w:w w:val="110"/>
        </w:rPr>
        <w:t> </w:t>
      </w:r>
      <w:r>
        <w:rPr>
          <w:color w:val="383638"/>
          <w:w w:val="110"/>
        </w:rPr>
        <w:t>test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itself.</w:t>
      </w:r>
    </w:p>
    <w:p>
      <w:pPr>
        <w:pStyle w:val="BodyText"/>
        <w:spacing w:line="235" w:lineRule="auto" w:before="7"/>
        <w:ind w:left="2432" w:right="35" w:firstLine="377"/>
        <w:jc w:val="both"/>
      </w:pPr>
      <w:r>
        <w:rPr>
          <w:color w:val="383638"/>
          <w:w w:val="110"/>
        </w:rPr>
        <w:t>Thus, if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choice of rule is not controversial, a typical argument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would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have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one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section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devoted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27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2"/>
          <w:w w:val="110"/>
        </w:rPr>
        <w:t> </w:t>
      </w:r>
      <w:r>
        <w:rPr>
          <w:color w:val="383638"/>
          <w:w w:val="110"/>
        </w:rPr>
        <w:t>rule,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focusing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on</w:t>
      </w:r>
      <w:r>
        <w:rPr>
          <w:color w:val="383638"/>
          <w:spacing w:val="57"/>
          <w:w w:val="110"/>
        </w:rPr>
        <w:t> </w:t>
      </w:r>
      <w:r>
        <w:rPr>
          <w:color w:val="383638"/>
          <w:w w:val="110"/>
        </w:rPr>
        <w:t>how</w:t>
      </w:r>
      <w:r>
        <w:rPr>
          <w:color w:val="383638"/>
          <w:spacing w:val="48"/>
          <w:w w:val="110"/>
        </w:rPr>
        <w:t> </w:t>
      </w:r>
      <w:r>
        <w:rPr>
          <w:color w:val="383638"/>
          <w:w w:val="110"/>
        </w:rPr>
        <w:t>it</w:t>
      </w:r>
      <w:r>
        <w:rPr>
          <w:color w:val="383638"/>
          <w:spacing w:val="32"/>
          <w:w w:val="110"/>
        </w:rPr>
        <w:t> </w:t>
      </w:r>
      <w:r>
        <w:rPr>
          <w:color w:val="383638"/>
          <w:w w:val="110"/>
        </w:rPr>
        <w:t>should</w:t>
      </w:r>
    </w:p>
    <w:p>
      <w:pPr>
        <w:pStyle w:val="BodyText"/>
        <w:spacing w:line="250" w:lineRule="exact"/>
        <w:ind w:left="2428" w:right="48" w:firstLine="3"/>
        <w:jc w:val="both"/>
      </w:pPr>
      <w:r>
        <w:rPr>
          <w:color w:val="383638"/>
          <w:w w:val="110"/>
        </w:rPr>
        <w:t>apply in the current case. If the choice of rule </w:t>
      </w:r>
      <w:r>
        <w:rPr>
          <w:i/>
          <w:color w:val="383638"/>
          <w:w w:val="110"/>
        </w:rPr>
        <w:t>is </w:t>
      </w:r>
      <w:r>
        <w:rPr>
          <w:color w:val="383638"/>
          <w:w w:val="110"/>
        </w:rPr>
        <w:t>controversial, however,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9"/>
          <w:w w:val="110"/>
        </w:rPr>
        <w:t> </w:t>
      </w:r>
      <w:r>
        <w:rPr>
          <w:color w:val="383638"/>
          <w:w w:val="110"/>
        </w:rPr>
        <w:t>writer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may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need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include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-21"/>
          <w:w w:val="110"/>
        </w:rPr>
        <w:t> </w:t>
      </w:r>
      <w:r>
        <w:rPr>
          <w:color w:val="383638"/>
          <w:w w:val="110"/>
        </w:rPr>
        <w:t>many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three</w:t>
      </w:r>
      <w:r>
        <w:rPr>
          <w:color w:val="383638"/>
          <w:spacing w:val="-24"/>
          <w:w w:val="110"/>
        </w:rPr>
        <w:t> </w:t>
      </w:r>
      <w:r>
        <w:rPr>
          <w:color w:val="383638"/>
          <w:w w:val="110"/>
        </w:rPr>
        <w:t>sections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1"/>
          <w:w w:val="110"/>
        </w:rPr>
        <w:t> </w:t>
      </w:r>
      <w:r>
        <w:rPr>
          <w:color w:val="383638"/>
          <w:w w:val="110"/>
        </w:rPr>
        <w:t>argument</w:t>
      </w:r>
    </w:p>
    <w:p>
      <w:pPr>
        <w:pStyle w:val="BodyText"/>
        <w:tabs>
          <w:tab w:pos="2418" w:val="left" w:leader="none"/>
        </w:tabs>
        <w:spacing w:line="252" w:lineRule="exact"/>
        <w:ind w:left="71"/>
      </w:pPr>
      <w:r>
        <w:rPr>
          <w:color w:val="AFB1B3"/>
          <w:w w:val="105"/>
          <w:position w:val="6"/>
          <w:sz w:val="21"/>
        </w:rPr>
        <w:t>.</w:t>
      </w:r>
      <w:r>
        <w:rPr>
          <w:color w:val="AFB1B3"/>
          <w:spacing w:val="-17"/>
          <w:w w:val="105"/>
          <w:position w:val="6"/>
          <w:sz w:val="21"/>
        </w:rPr>
        <w:t> </w:t>
      </w:r>
      <w:r>
        <w:rPr>
          <w:color w:val="AFB1B3"/>
          <w:w w:val="105"/>
          <w:position w:val="6"/>
          <w:sz w:val="31"/>
        </w:rPr>
        <w:t>,</w:t>
        <w:tab/>
      </w:r>
      <w:r>
        <w:rPr>
          <w:color w:val="383638"/>
          <w:w w:val="110"/>
        </w:rPr>
        <w:t>that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address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5"/>
          <w:w w:val="110"/>
        </w:rPr>
        <w:t> </w:t>
      </w:r>
      <w:r>
        <w:rPr>
          <w:color w:val="383638"/>
          <w:w w:val="110"/>
        </w:rPr>
        <w:t>rule-choice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issue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some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way.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example,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37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first</w:t>
      </w:r>
    </w:p>
    <w:p>
      <w:pPr>
        <w:pStyle w:val="BodyText"/>
        <w:spacing w:line="228" w:lineRule="auto" w:before="8"/>
        <w:ind w:left="2342" w:firstLine="57"/>
      </w:pPr>
      <w:r>
        <w:rPr>
          <w:color w:val="383638"/>
          <w:w w:val="110"/>
        </w:rPr>
        <w:t>section,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4"/>
          <w:w w:val="110"/>
        </w:rPr>
        <w:t> </w:t>
      </w:r>
      <w:r>
        <w:rPr>
          <w:color w:val="383638"/>
          <w:w w:val="110"/>
        </w:rPr>
        <w:t>writer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might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argue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rule-choice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rule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requires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preferred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rule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be</w:t>
      </w:r>
      <w:r>
        <w:rPr>
          <w:color w:val="383638"/>
          <w:spacing w:val="-29"/>
          <w:w w:val="110"/>
        </w:rPr>
        <w:t> </w:t>
      </w:r>
      <w:r>
        <w:rPr>
          <w:color w:val="383638"/>
          <w:w w:val="110"/>
        </w:rPr>
        <w:t>applied.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second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section,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writer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could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argue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his or her client wins when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preferred rule is applied. 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third sec­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tion, the writer could argue that hisor her client wins even if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nonpre­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ferred rule is applied. (Of course, if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result of applying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nonpreferred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rule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uncontroversial</w:t>
      </w:r>
      <w:r>
        <w:rPr>
          <w:color w:val="565456"/>
          <w:w w:val="110"/>
        </w:rPr>
        <w:t>,</w:t>
      </w:r>
      <w:r>
        <w:rPr>
          <w:color w:val="565456"/>
          <w:spacing w:val="9"/>
          <w:w w:val="110"/>
        </w:rPr>
        <w:t> </w:t>
      </w:r>
      <w:r>
        <w:rPr>
          <w:color w:val="383638"/>
          <w:w w:val="110"/>
        </w:rPr>
        <w:t>it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need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not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be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argued.)</w:t>
      </w:r>
    </w:p>
    <w:p>
      <w:pPr>
        <w:pStyle w:val="BodyText"/>
        <w:spacing w:line="232" w:lineRule="auto" w:before="20"/>
        <w:ind w:left="2292" w:right="74" w:firstLine="411"/>
        <w:jc w:val="both"/>
      </w:pPr>
      <w:r>
        <w:rPr>
          <w:color w:val="383638"/>
          <w:w w:val="110"/>
        </w:rPr>
        <w:t>If there are two or more competing rules and the courts have not yet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labeled the "rule-choice rule," your job is to find and articulate that rule.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-24"/>
          <w:w w:val="110"/>
        </w:rPr>
        <w:t> </w:t>
      </w:r>
      <w:r>
        <w:rPr>
          <w:color w:val="383638"/>
          <w:w w:val="110"/>
        </w:rPr>
        <w:t>can</w:t>
      </w:r>
      <w:r>
        <w:rPr>
          <w:color w:val="383638"/>
          <w:spacing w:val="51"/>
          <w:w w:val="110"/>
        </w:rPr>
        <w:t> </w:t>
      </w:r>
      <w:r>
        <w:rPr>
          <w:color w:val="383638"/>
          <w:w w:val="110"/>
        </w:rPr>
        <w:t>"find"</w:t>
      </w:r>
      <w:r>
        <w:rPr>
          <w:color w:val="383638"/>
          <w:spacing w:val="-27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rule</w:t>
      </w:r>
      <w:r>
        <w:rPr>
          <w:color w:val="383638"/>
          <w:spacing w:val="-36"/>
          <w:w w:val="110"/>
        </w:rPr>
        <w:t> </w:t>
      </w:r>
      <w:r>
        <w:rPr>
          <w:rFonts w:ascii="Arial"/>
          <w:color w:val="383638"/>
          <w:w w:val="110"/>
          <w:sz w:val="22"/>
        </w:rPr>
        <w:t>by</w:t>
      </w:r>
      <w:r>
        <w:rPr>
          <w:rFonts w:ascii="Arial"/>
          <w:color w:val="383638"/>
          <w:spacing w:val="-14"/>
          <w:w w:val="110"/>
          <w:sz w:val="22"/>
        </w:rPr>
        <w:t> </w:t>
      </w:r>
      <w:r>
        <w:rPr>
          <w:color w:val="383638"/>
          <w:w w:val="110"/>
        </w:rPr>
        <w:t>reasoning</w:t>
      </w:r>
      <w:r>
        <w:rPr>
          <w:color w:val="383638"/>
          <w:spacing w:val="-21"/>
          <w:w w:val="110"/>
        </w:rPr>
        <w:t> </w:t>
      </w:r>
      <w:r>
        <w:rPr>
          <w:color w:val="383638"/>
          <w:w w:val="110"/>
        </w:rPr>
        <w:t>inductively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from</w:t>
      </w:r>
      <w:r>
        <w:rPr>
          <w:color w:val="383638"/>
          <w:spacing w:val="-23"/>
          <w:w w:val="110"/>
        </w:rPr>
        <w:t> </w:t>
      </w:r>
      <w:r>
        <w:rPr>
          <w:color w:val="383638"/>
          <w:w w:val="110"/>
        </w:rPr>
        <w:t>one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or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morecases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in</w:t>
      </w:r>
    </w:p>
    <w:p>
      <w:pPr>
        <w:spacing w:after="0" w:line="232" w:lineRule="auto"/>
        <w:jc w:val="both"/>
        <w:sectPr>
          <w:pgSz w:w="9890" w:h="13770"/>
          <w:pgMar w:header="398" w:footer="0" w:top="6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35" w:lineRule="auto"/>
        <w:ind w:left="111" w:right="225" w:firstLine="7"/>
        <w:jc w:val="both"/>
      </w:pPr>
      <w:r>
        <w:rPr>
          <w:color w:val="3A383A"/>
          <w:w w:val="110"/>
        </w:rPr>
        <w:t>which a court has made the rule-choice decision. The section that follows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explains</w:t>
      </w:r>
      <w:r>
        <w:rPr>
          <w:color w:val="3A383A"/>
          <w:spacing w:val="-9"/>
          <w:w w:val="110"/>
        </w:rPr>
        <w:t> </w:t>
      </w:r>
      <w:r>
        <w:rPr>
          <w:color w:val="3A383A"/>
          <w:w w:val="110"/>
        </w:rPr>
        <w:t>how</w:t>
      </w:r>
      <w:r>
        <w:rPr>
          <w:color w:val="3A383A"/>
          <w:spacing w:val="22"/>
          <w:w w:val="110"/>
        </w:rPr>
        <w:t> </w:t>
      </w:r>
      <w:r>
        <w:rPr>
          <w:color w:val="3A383A"/>
          <w:w w:val="110"/>
        </w:rPr>
        <w:t>to</w:t>
      </w:r>
      <w:r>
        <w:rPr>
          <w:color w:val="3A383A"/>
          <w:spacing w:val="35"/>
          <w:w w:val="110"/>
        </w:rPr>
        <w:t> </w:t>
      </w:r>
      <w:r>
        <w:rPr>
          <w:color w:val="3A383A"/>
          <w:w w:val="110"/>
        </w:rPr>
        <w:t>use</w:t>
      </w:r>
      <w:r>
        <w:rPr>
          <w:color w:val="3A383A"/>
          <w:spacing w:val="-10"/>
          <w:w w:val="110"/>
        </w:rPr>
        <w:t> </w:t>
      </w:r>
      <w:r>
        <w:rPr>
          <w:color w:val="3A383A"/>
          <w:w w:val="110"/>
        </w:rPr>
        <w:t>inductive</w:t>
      </w:r>
      <w:r>
        <w:rPr>
          <w:color w:val="3A383A"/>
          <w:spacing w:val="10"/>
          <w:w w:val="110"/>
        </w:rPr>
        <w:t> </w:t>
      </w:r>
      <w:r>
        <w:rPr>
          <w:color w:val="3A383A"/>
          <w:w w:val="110"/>
        </w:rPr>
        <w:t>reasoning</w:t>
      </w:r>
      <w:r>
        <w:rPr>
          <w:color w:val="3A383A"/>
          <w:spacing w:val="5"/>
          <w:w w:val="110"/>
        </w:rPr>
        <w:t> </w:t>
      </w:r>
      <w:r>
        <w:rPr>
          <w:color w:val="3A383A"/>
          <w:w w:val="110"/>
        </w:rPr>
        <w:t>to</w:t>
      </w:r>
      <w:r>
        <w:rPr>
          <w:color w:val="3A383A"/>
          <w:spacing w:val="14"/>
          <w:w w:val="110"/>
        </w:rPr>
        <w:t> </w:t>
      </w:r>
      <w:r>
        <w:rPr>
          <w:color w:val="3A383A"/>
          <w:w w:val="110"/>
        </w:rPr>
        <w:t>find</w:t>
      </w:r>
      <w:r>
        <w:rPr>
          <w:color w:val="3A383A"/>
          <w:spacing w:val="-4"/>
          <w:w w:val="110"/>
        </w:rPr>
        <w:t> </w:t>
      </w:r>
      <w:r>
        <w:rPr>
          <w:color w:val="3A383A"/>
          <w:w w:val="110"/>
        </w:rPr>
        <w:t>and</w:t>
      </w:r>
      <w:r>
        <w:rPr>
          <w:color w:val="3A383A"/>
          <w:spacing w:val="23"/>
          <w:w w:val="110"/>
        </w:rPr>
        <w:t> </w:t>
      </w:r>
      <w:r>
        <w:rPr>
          <w:color w:val="3A383A"/>
          <w:w w:val="110"/>
        </w:rPr>
        <w:t>articulate</w:t>
      </w:r>
      <w:r>
        <w:rPr>
          <w:color w:val="3A383A"/>
          <w:spacing w:val="15"/>
          <w:w w:val="110"/>
        </w:rPr>
        <w:t> </w:t>
      </w:r>
      <w:r>
        <w:rPr>
          <w:color w:val="3A383A"/>
          <w:w w:val="110"/>
        </w:rPr>
        <w:t>legal</w:t>
      </w:r>
      <w:r>
        <w:rPr>
          <w:color w:val="3A383A"/>
          <w:spacing w:val="2"/>
          <w:w w:val="110"/>
        </w:rPr>
        <w:t> </w:t>
      </w:r>
      <w:r>
        <w:rPr>
          <w:color w:val="3A383A"/>
          <w:w w:val="110"/>
        </w:rPr>
        <w:t>rules.</w:t>
      </w:r>
    </w:p>
    <w:p>
      <w:pPr>
        <w:pStyle w:val="BodyText"/>
        <w:spacing w:before="3"/>
        <w:rPr>
          <w:sz w:val="36"/>
        </w:rPr>
      </w:pPr>
    </w:p>
    <w:p>
      <w:pPr>
        <w:pStyle w:val="ListParagraph"/>
        <w:numPr>
          <w:ilvl w:val="3"/>
          <w:numId w:val="42"/>
        </w:numPr>
        <w:tabs>
          <w:tab w:pos="829" w:val="left" w:leader="none"/>
        </w:tabs>
        <w:spacing w:line="232" w:lineRule="auto" w:before="0" w:after="0"/>
        <w:ind w:left="112" w:right="206" w:firstLine="356"/>
        <w:jc w:val="right"/>
        <w:rPr>
          <w:color w:val="3A383A"/>
          <w:sz w:val="21"/>
        </w:rPr>
      </w:pPr>
      <w:r>
        <w:rPr>
          <w:b/>
          <w:color w:val="3A383A"/>
          <w:w w:val="115"/>
          <w:sz w:val="21"/>
        </w:rPr>
        <w:t>Using Inductive</w:t>
      </w:r>
      <w:r>
        <w:rPr>
          <w:b/>
          <w:color w:val="3A383A"/>
          <w:spacing w:val="1"/>
          <w:w w:val="115"/>
          <w:sz w:val="21"/>
        </w:rPr>
        <w:t> </w:t>
      </w:r>
      <w:r>
        <w:rPr>
          <w:b/>
          <w:color w:val="3A383A"/>
          <w:w w:val="115"/>
          <w:sz w:val="21"/>
        </w:rPr>
        <w:t>Reasoning</w:t>
      </w:r>
      <w:r>
        <w:rPr>
          <w:b/>
          <w:color w:val="3A383A"/>
          <w:spacing w:val="1"/>
          <w:w w:val="115"/>
          <w:sz w:val="21"/>
        </w:rPr>
        <w:t> </w:t>
      </w:r>
      <w:r>
        <w:rPr>
          <w:b/>
          <w:color w:val="3A383A"/>
          <w:w w:val="115"/>
          <w:sz w:val="21"/>
        </w:rPr>
        <w:t>to  Find and  Articulate  Le</w:t>
      </w:r>
      <w:r>
        <w:rPr>
          <w:b/>
          <w:color w:val="5B595B"/>
          <w:w w:val="115"/>
          <w:sz w:val="21"/>
        </w:rPr>
        <w:t>g</w:t>
      </w:r>
      <w:r>
        <w:rPr>
          <w:b/>
          <w:color w:val="3A383A"/>
          <w:w w:val="115"/>
          <w:sz w:val="21"/>
        </w:rPr>
        <w:t>al</w:t>
      </w:r>
      <w:r>
        <w:rPr>
          <w:b/>
          <w:color w:val="3A383A"/>
          <w:spacing w:val="61"/>
          <w:w w:val="115"/>
          <w:sz w:val="21"/>
        </w:rPr>
        <w:t> </w:t>
      </w:r>
      <w:r>
        <w:rPr>
          <w:b/>
          <w:color w:val="3A383A"/>
          <w:w w:val="115"/>
          <w:sz w:val="21"/>
        </w:rPr>
        <w:t>Rules</w:t>
      </w:r>
      <w:r>
        <w:rPr>
          <w:b/>
          <w:color w:val="3A383A"/>
          <w:spacing w:val="-58"/>
          <w:w w:val="115"/>
          <w:sz w:val="21"/>
        </w:rPr>
        <w:t> </w:t>
      </w:r>
      <w:r>
        <w:rPr>
          <w:color w:val="3A383A"/>
          <w:w w:val="110"/>
          <w:sz w:val="23"/>
        </w:rPr>
        <w:t>As many a frustrated first-year law student can attest, courts sometimes</w:t>
      </w:r>
      <w:r>
        <w:rPr>
          <w:color w:val="3A383A"/>
          <w:spacing w:val="1"/>
          <w:w w:val="110"/>
          <w:sz w:val="23"/>
        </w:rPr>
        <w:t> </w:t>
      </w:r>
      <w:r>
        <w:rPr>
          <w:color w:val="3A383A"/>
          <w:w w:val="110"/>
          <w:sz w:val="23"/>
        </w:rPr>
        <w:t>decide cases without explicitly articulating the</w:t>
      </w:r>
      <w:r>
        <w:rPr>
          <w:color w:val="3A383A"/>
          <w:spacing w:val="1"/>
          <w:w w:val="110"/>
          <w:sz w:val="23"/>
        </w:rPr>
        <w:t> </w:t>
      </w:r>
      <w:r>
        <w:rPr>
          <w:color w:val="3A383A"/>
          <w:w w:val="110"/>
          <w:sz w:val="23"/>
        </w:rPr>
        <w:t>rule that they are applying.</w:t>
      </w:r>
      <w:r>
        <w:rPr>
          <w:color w:val="3A383A"/>
          <w:spacing w:val="-61"/>
          <w:w w:val="110"/>
          <w:sz w:val="23"/>
        </w:rPr>
        <w:t> </w:t>
      </w:r>
      <w:r>
        <w:rPr>
          <w:color w:val="3A383A"/>
          <w:w w:val="110"/>
          <w:sz w:val="23"/>
        </w:rPr>
        <w:t>Furthermore, sometimes the</w:t>
      </w:r>
      <w:r>
        <w:rPr>
          <w:color w:val="3A383A"/>
          <w:spacing w:val="1"/>
          <w:w w:val="110"/>
          <w:sz w:val="23"/>
        </w:rPr>
        <w:t> </w:t>
      </w:r>
      <w:r>
        <w:rPr>
          <w:color w:val="3A383A"/>
          <w:w w:val="110"/>
          <w:sz w:val="23"/>
        </w:rPr>
        <w:t>rule that they are applying can</w:t>
      </w:r>
      <w:r>
        <w:rPr>
          <w:color w:val="3A383A"/>
          <w:spacing w:val="1"/>
          <w:w w:val="110"/>
          <w:sz w:val="23"/>
        </w:rPr>
        <w:t> </w:t>
      </w:r>
      <w:r>
        <w:rPr>
          <w:color w:val="3A383A"/>
          <w:w w:val="110"/>
          <w:sz w:val="23"/>
        </w:rPr>
        <w:t>be accurately</w:t>
      </w:r>
      <w:r>
        <w:rPr>
          <w:color w:val="3A383A"/>
          <w:spacing w:val="1"/>
          <w:w w:val="110"/>
          <w:sz w:val="23"/>
        </w:rPr>
        <w:t> </w:t>
      </w:r>
      <w:r>
        <w:rPr>
          <w:color w:val="3A383A"/>
          <w:w w:val="110"/>
          <w:sz w:val="23"/>
        </w:rPr>
        <w:t>stated</w:t>
      </w:r>
      <w:r>
        <w:rPr>
          <w:color w:val="3A383A"/>
          <w:spacing w:val="13"/>
          <w:w w:val="110"/>
          <w:sz w:val="23"/>
        </w:rPr>
        <w:t> </w:t>
      </w:r>
      <w:r>
        <w:rPr>
          <w:color w:val="3A383A"/>
          <w:w w:val="110"/>
          <w:sz w:val="23"/>
        </w:rPr>
        <w:t>more</w:t>
      </w:r>
      <w:r>
        <w:rPr>
          <w:color w:val="3A383A"/>
          <w:spacing w:val="16"/>
          <w:w w:val="110"/>
          <w:sz w:val="23"/>
        </w:rPr>
        <w:t> </w:t>
      </w:r>
      <w:r>
        <w:rPr>
          <w:color w:val="3A383A"/>
          <w:w w:val="110"/>
          <w:sz w:val="23"/>
        </w:rPr>
        <w:t>narrowly</w:t>
      </w:r>
      <w:r>
        <w:rPr>
          <w:color w:val="3A383A"/>
          <w:spacing w:val="26"/>
          <w:w w:val="110"/>
          <w:sz w:val="23"/>
        </w:rPr>
        <w:t> </w:t>
      </w:r>
      <w:r>
        <w:rPr>
          <w:color w:val="3A383A"/>
          <w:w w:val="110"/>
          <w:sz w:val="23"/>
        </w:rPr>
        <w:t>or</w:t>
      </w:r>
      <w:r>
        <w:rPr>
          <w:color w:val="3A383A"/>
          <w:spacing w:val="25"/>
          <w:w w:val="110"/>
          <w:sz w:val="23"/>
        </w:rPr>
        <w:t> </w:t>
      </w:r>
      <w:r>
        <w:rPr>
          <w:color w:val="3A383A"/>
          <w:w w:val="110"/>
          <w:sz w:val="23"/>
        </w:rPr>
        <w:t>more</w:t>
      </w:r>
      <w:r>
        <w:rPr>
          <w:color w:val="3A383A"/>
          <w:spacing w:val="18"/>
          <w:w w:val="110"/>
          <w:sz w:val="23"/>
        </w:rPr>
        <w:t> </w:t>
      </w:r>
      <w:r>
        <w:rPr>
          <w:color w:val="3A383A"/>
          <w:w w:val="110"/>
          <w:sz w:val="23"/>
        </w:rPr>
        <w:t>broadly.</w:t>
      </w:r>
      <w:r>
        <w:rPr>
          <w:color w:val="3A383A"/>
          <w:spacing w:val="16"/>
          <w:w w:val="110"/>
          <w:sz w:val="23"/>
        </w:rPr>
        <w:t> </w:t>
      </w:r>
      <w:r>
        <w:rPr>
          <w:color w:val="3A383A"/>
          <w:w w:val="110"/>
          <w:sz w:val="23"/>
        </w:rPr>
        <w:t>If</w:t>
      </w:r>
      <w:r>
        <w:rPr>
          <w:color w:val="3A383A"/>
          <w:spacing w:val="29"/>
          <w:w w:val="110"/>
          <w:sz w:val="23"/>
        </w:rPr>
        <w:t> </w:t>
      </w:r>
      <w:r>
        <w:rPr>
          <w:color w:val="3A383A"/>
          <w:w w:val="110"/>
          <w:sz w:val="23"/>
        </w:rPr>
        <w:t>the</w:t>
      </w:r>
      <w:r>
        <w:rPr>
          <w:color w:val="3A383A"/>
          <w:spacing w:val="23"/>
          <w:w w:val="110"/>
          <w:sz w:val="23"/>
        </w:rPr>
        <w:t> </w:t>
      </w:r>
      <w:r>
        <w:rPr>
          <w:color w:val="3A383A"/>
          <w:w w:val="110"/>
          <w:sz w:val="23"/>
        </w:rPr>
        <w:t>cases</w:t>
      </w:r>
      <w:r>
        <w:rPr>
          <w:color w:val="3A383A"/>
          <w:spacing w:val="12"/>
          <w:w w:val="110"/>
          <w:sz w:val="23"/>
        </w:rPr>
        <w:t> </w:t>
      </w:r>
      <w:r>
        <w:rPr>
          <w:color w:val="3A383A"/>
          <w:w w:val="110"/>
          <w:sz w:val="23"/>
        </w:rPr>
        <w:t>that</w:t>
      </w:r>
      <w:r>
        <w:rPr>
          <w:color w:val="3A383A"/>
          <w:spacing w:val="5"/>
          <w:w w:val="110"/>
          <w:sz w:val="23"/>
        </w:rPr>
        <w:t> </w:t>
      </w:r>
      <w:r>
        <w:rPr>
          <w:color w:val="3A383A"/>
          <w:w w:val="110"/>
          <w:sz w:val="23"/>
        </w:rPr>
        <w:t>are</w:t>
      </w:r>
      <w:r>
        <w:rPr>
          <w:color w:val="3A383A"/>
          <w:spacing w:val="-25"/>
          <w:w w:val="110"/>
          <w:sz w:val="23"/>
        </w:rPr>
        <w:t> </w:t>
      </w:r>
      <w:r>
        <w:rPr>
          <w:color w:val="3A383A"/>
          <w:w w:val="110"/>
          <w:sz w:val="23"/>
        </w:rPr>
        <w:t>analogous</w:t>
      </w:r>
      <w:r>
        <w:rPr>
          <w:color w:val="3A383A"/>
          <w:spacing w:val="26"/>
          <w:w w:val="110"/>
          <w:sz w:val="23"/>
        </w:rPr>
        <w:t> </w:t>
      </w:r>
      <w:r>
        <w:rPr>
          <w:color w:val="3A383A"/>
          <w:w w:val="110"/>
          <w:sz w:val="23"/>
        </w:rPr>
        <w:t>to</w:t>
      </w:r>
      <w:r>
        <w:rPr>
          <w:color w:val="3A383A"/>
          <w:spacing w:val="1"/>
          <w:w w:val="110"/>
          <w:sz w:val="23"/>
        </w:rPr>
        <w:t> </w:t>
      </w:r>
      <w:r>
        <w:rPr>
          <w:color w:val="3A383A"/>
          <w:w w:val="110"/>
          <w:sz w:val="23"/>
        </w:rPr>
        <w:t>your case do</w:t>
      </w:r>
      <w:r>
        <w:rPr>
          <w:color w:val="3A383A"/>
          <w:spacing w:val="1"/>
          <w:w w:val="110"/>
          <w:sz w:val="23"/>
        </w:rPr>
        <w:t> </w:t>
      </w:r>
      <w:r>
        <w:rPr>
          <w:color w:val="3A383A"/>
          <w:w w:val="110"/>
          <w:sz w:val="23"/>
        </w:rPr>
        <w:t>not</w:t>
      </w:r>
      <w:r>
        <w:rPr>
          <w:color w:val="3A383A"/>
          <w:spacing w:val="1"/>
          <w:w w:val="110"/>
          <w:sz w:val="23"/>
        </w:rPr>
        <w:t> </w:t>
      </w:r>
      <w:r>
        <w:rPr>
          <w:color w:val="3A383A"/>
          <w:w w:val="110"/>
          <w:sz w:val="23"/>
        </w:rPr>
        <w:t>contain a clear rule, or</w:t>
      </w:r>
      <w:r>
        <w:rPr>
          <w:color w:val="3A383A"/>
          <w:spacing w:val="1"/>
          <w:w w:val="110"/>
          <w:sz w:val="23"/>
        </w:rPr>
        <w:t> </w:t>
      </w:r>
      <w:r>
        <w:rPr>
          <w:color w:val="3A383A"/>
          <w:w w:val="110"/>
          <w:sz w:val="23"/>
        </w:rPr>
        <w:t>if the</w:t>
      </w:r>
      <w:r>
        <w:rPr>
          <w:color w:val="3A383A"/>
          <w:spacing w:val="1"/>
          <w:w w:val="110"/>
          <w:sz w:val="23"/>
        </w:rPr>
        <w:t> </w:t>
      </w:r>
      <w:r>
        <w:rPr>
          <w:color w:val="3A383A"/>
          <w:w w:val="110"/>
          <w:sz w:val="23"/>
        </w:rPr>
        <w:t>applicable rule as it is cur­</w:t>
      </w:r>
      <w:r>
        <w:rPr>
          <w:color w:val="3A383A"/>
          <w:spacing w:val="-62"/>
          <w:w w:val="110"/>
          <w:sz w:val="23"/>
        </w:rPr>
        <w:t> </w:t>
      </w:r>
      <w:r>
        <w:rPr>
          <w:color w:val="3A383A"/>
          <w:w w:val="110"/>
          <w:sz w:val="23"/>
        </w:rPr>
        <w:t>rently envisioned</w:t>
      </w:r>
      <w:r>
        <w:rPr>
          <w:color w:val="3A383A"/>
          <w:spacing w:val="1"/>
          <w:w w:val="110"/>
          <w:sz w:val="23"/>
        </w:rPr>
        <w:t> </w:t>
      </w:r>
      <w:r>
        <w:rPr>
          <w:color w:val="3A383A"/>
          <w:w w:val="110"/>
          <w:sz w:val="23"/>
        </w:rPr>
        <w:t>would dictate a bad result for your client, you may have</w:t>
      </w:r>
      <w:r>
        <w:rPr>
          <w:color w:val="3A383A"/>
          <w:spacing w:val="-61"/>
          <w:w w:val="110"/>
          <w:sz w:val="23"/>
        </w:rPr>
        <w:t> </w:t>
      </w:r>
      <w:r>
        <w:rPr>
          <w:color w:val="3A383A"/>
          <w:w w:val="115"/>
          <w:sz w:val="23"/>
        </w:rPr>
        <w:t>to</w:t>
      </w:r>
      <w:r>
        <w:rPr>
          <w:color w:val="3A383A"/>
          <w:spacing w:val="-15"/>
          <w:w w:val="115"/>
          <w:sz w:val="23"/>
        </w:rPr>
        <w:t> </w:t>
      </w:r>
      <w:r>
        <w:rPr>
          <w:color w:val="3A383A"/>
          <w:w w:val="115"/>
          <w:sz w:val="23"/>
        </w:rPr>
        <w:t>"induce"</w:t>
      </w:r>
      <w:r>
        <w:rPr>
          <w:color w:val="3A383A"/>
          <w:spacing w:val="1"/>
          <w:w w:val="115"/>
          <w:sz w:val="23"/>
        </w:rPr>
        <w:t> </w:t>
      </w:r>
      <w:r>
        <w:rPr>
          <w:color w:val="3A383A"/>
          <w:w w:val="115"/>
          <w:sz w:val="23"/>
        </w:rPr>
        <w:t>a</w:t>
      </w:r>
      <w:r>
        <w:rPr>
          <w:color w:val="3A383A"/>
          <w:spacing w:val="16"/>
          <w:w w:val="115"/>
          <w:sz w:val="23"/>
        </w:rPr>
        <w:t> </w:t>
      </w:r>
      <w:r>
        <w:rPr>
          <w:color w:val="3A383A"/>
          <w:w w:val="115"/>
          <w:sz w:val="23"/>
        </w:rPr>
        <w:t>rule.</w:t>
      </w:r>
      <w:r>
        <w:rPr>
          <w:color w:val="3A383A"/>
          <w:spacing w:val="6"/>
          <w:w w:val="115"/>
          <w:sz w:val="23"/>
        </w:rPr>
        <w:t> </w:t>
      </w:r>
      <w:r>
        <w:rPr>
          <w:color w:val="3A383A"/>
          <w:w w:val="115"/>
          <w:sz w:val="23"/>
        </w:rPr>
        <w:t>Using inductive</w:t>
      </w:r>
      <w:r>
        <w:rPr>
          <w:color w:val="3A383A"/>
          <w:spacing w:val="18"/>
          <w:w w:val="115"/>
          <w:sz w:val="23"/>
        </w:rPr>
        <w:t> </w:t>
      </w:r>
      <w:r>
        <w:rPr>
          <w:color w:val="3A383A"/>
          <w:w w:val="115"/>
          <w:sz w:val="23"/>
        </w:rPr>
        <w:t>reasoning</w:t>
      </w:r>
      <w:r>
        <w:rPr>
          <w:color w:val="3A383A"/>
          <w:spacing w:val="10"/>
          <w:w w:val="115"/>
          <w:sz w:val="23"/>
        </w:rPr>
        <w:t> </w:t>
      </w:r>
      <w:r>
        <w:rPr>
          <w:color w:val="3A383A"/>
          <w:w w:val="115"/>
          <w:sz w:val="23"/>
        </w:rPr>
        <w:t>is</w:t>
      </w:r>
      <w:r>
        <w:rPr>
          <w:color w:val="3A383A"/>
          <w:spacing w:val="-1"/>
          <w:w w:val="115"/>
          <w:sz w:val="23"/>
        </w:rPr>
        <w:t> </w:t>
      </w:r>
      <w:r>
        <w:rPr>
          <w:color w:val="3A383A"/>
          <w:w w:val="115"/>
          <w:sz w:val="23"/>
        </w:rPr>
        <w:t>appropriate</w:t>
      </w:r>
      <w:r>
        <w:rPr>
          <w:color w:val="3A383A"/>
          <w:spacing w:val="15"/>
          <w:w w:val="115"/>
          <w:sz w:val="23"/>
        </w:rPr>
        <w:t> </w:t>
      </w:r>
      <w:r>
        <w:rPr>
          <w:color w:val="3A383A"/>
          <w:w w:val="115"/>
          <w:sz w:val="23"/>
        </w:rPr>
        <w:t>for</w:t>
      </w:r>
      <w:r>
        <w:rPr>
          <w:color w:val="3A383A"/>
          <w:spacing w:val="2"/>
          <w:w w:val="115"/>
          <w:sz w:val="23"/>
        </w:rPr>
        <w:t> </w:t>
      </w:r>
      <w:r>
        <w:rPr>
          <w:color w:val="3A383A"/>
          <w:w w:val="115"/>
          <w:sz w:val="23"/>
        </w:rPr>
        <w:t>finding</w:t>
      </w:r>
    </w:p>
    <w:p>
      <w:pPr>
        <w:pStyle w:val="BodyText"/>
        <w:spacing w:line="260" w:lineRule="exact"/>
        <w:ind w:left="127"/>
        <w:jc w:val="both"/>
      </w:pPr>
      <w:r>
        <w:rPr>
          <w:color w:val="3A383A"/>
          <w:w w:val="105"/>
        </w:rPr>
        <w:t>rules</w:t>
      </w:r>
      <w:r>
        <w:rPr>
          <w:color w:val="3A383A"/>
          <w:spacing w:val="-10"/>
          <w:w w:val="105"/>
        </w:rPr>
        <w:t> </w:t>
      </w:r>
      <w:r>
        <w:rPr>
          <w:color w:val="3A383A"/>
          <w:w w:val="105"/>
        </w:rPr>
        <w:t>of</w:t>
      </w:r>
      <w:r>
        <w:rPr>
          <w:color w:val="3A383A"/>
          <w:spacing w:val="37"/>
          <w:w w:val="105"/>
        </w:rPr>
        <w:t> </w:t>
      </w:r>
      <w:r>
        <w:rPr>
          <w:color w:val="3A383A"/>
          <w:w w:val="105"/>
        </w:rPr>
        <w:t>all</w:t>
      </w:r>
      <w:r>
        <w:rPr>
          <w:color w:val="3A383A"/>
          <w:spacing w:val="5"/>
          <w:w w:val="105"/>
        </w:rPr>
        <w:t> </w:t>
      </w:r>
      <w:r>
        <w:rPr>
          <w:color w:val="3A383A"/>
          <w:w w:val="105"/>
        </w:rPr>
        <w:t>types,</w:t>
      </w:r>
      <w:r>
        <w:rPr>
          <w:color w:val="3A383A"/>
          <w:spacing w:val="17"/>
          <w:w w:val="105"/>
        </w:rPr>
        <w:t> </w:t>
      </w:r>
      <w:r>
        <w:rPr>
          <w:color w:val="3A383A"/>
          <w:w w:val="105"/>
        </w:rPr>
        <w:t>not </w:t>
      </w:r>
      <w:r>
        <w:rPr>
          <w:color w:val="3A383A"/>
          <w:spacing w:val="24"/>
          <w:w w:val="105"/>
        </w:rPr>
        <w:t> </w:t>
      </w:r>
      <w:r>
        <w:rPr>
          <w:color w:val="3A383A"/>
          <w:w w:val="105"/>
        </w:rPr>
        <w:t>just</w:t>
      </w:r>
      <w:r>
        <w:rPr>
          <w:color w:val="3A383A"/>
          <w:spacing w:val="19"/>
          <w:w w:val="105"/>
        </w:rPr>
        <w:t> </w:t>
      </w:r>
      <w:r>
        <w:rPr>
          <w:color w:val="3A383A"/>
          <w:w w:val="105"/>
        </w:rPr>
        <w:t>rule-choice</w:t>
      </w:r>
      <w:r>
        <w:rPr>
          <w:color w:val="3A383A"/>
          <w:spacing w:val="18"/>
          <w:w w:val="105"/>
        </w:rPr>
        <w:t> </w:t>
      </w:r>
      <w:r>
        <w:rPr>
          <w:color w:val="3A383A"/>
          <w:w w:val="105"/>
        </w:rPr>
        <w:t>rules.</w:t>
      </w:r>
    </w:p>
    <w:p>
      <w:pPr>
        <w:pStyle w:val="BodyText"/>
        <w:ind w:left="118" w:right="192" w:firstLine="352"/>
        <w:jc w:val="both"/>
      </w:pPr>
      <w:r>
        <w:rPr>
          <w:color w:val="3A383A"/>
          <w:w w:val="115"/>
        </w:rPr>
        <w:t>It is not accurate to say that you are labeling a "new" rule when you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0"/>
        </w:rPr>
        <w:t>use inductive reasoning. The rule was there all along; inductive reasoning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simply lets you recognize it, label it, and present it more effectively to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court.</w:t>
      </w:r>
    </w:p>
    <w:p>
      <w:pPr>
        <w:pStyle w:val="BodyText"/>
        <w:spacing w:line="235" w:lineRule="exact"/>
        <w:ind w:left="473"/>
        <w:jc w:val="both"/>
      </w:pPr>
      <w:r>
        <w:rPr>
          <w:color w:val="3A383A"/>
          <w:w w:val="115"/>
        </w:rPr>
        <w:t>When</w:t>
      </w:r>
      <w:r>
        <w:rPr>
          <w:color w:val="3A383A"/>
          <w:spacing w:val="20"/>
          <w:w w:val="115"/>
        </w:rPr>
        <w:t> </w:t>
      </w:r>
      <w:r>
        <w:rPr>
          <w:color w:val="3A383A"/>
          <w:w w:val="115"/>
        </w:rPr>
        <w:t>you</w:t>
      </w:r>
      <w:r>
        <w:rPr>
          <w:color w:val="3A383A"/>
          <w:spacing w:val="19"/>
          <w:w w:val="115"/>
        </w:rPr>
        <w:t> </w:t>
      </w:r>
      <w:r>
        <w:rPr>
          <w:color w:val="3A383A"/>
          <w:w w:val="115"/>
        </w:rPr>
        <w:t>use</w:t>
      </w:r>
      <w:r>
        <w:rPr>
          <w:color w:val="3A383A"/>
          <w:spacing w:val="15"/>
          <w:w w:val="115"/>
        </w:rPr>
        <w:t> </w:t>
      </w:r>
      <w:r>
        <w:rPr>
          <w:color w:val="3A383A"/>
          <w:w w:val="115"/>
        </w:rPr>
        <w:t>inductive</w:t>
      </w:r>
      <w:r>
        <w:rPr>
          <w:color w:val="3A383A"/>
          <w:spacing w:val="33"/>
          <w:w w:val="115"/>
        </w:rPr>
        <w:t> </w:t>
      </w:r>
      <w:r>
        <w:rPr>
          <w:color w:val="3A383A"/>
          <w:w w:val="115"/>
        </w:rPr>
        <w:t>reasoning</w:t>
      </w:r>
      <w:r>
        <w:rPr>
          <w:color w:val="3A383A"/>
          <w:spacing w:val="19"/>
          <w:w w:val="115"/>
        </w:rPr>
        <w:t> </w:t>
      </w:r>
      <w:r>
        <w:rPr>
          <w:color w:val="3A383A"/>
          <w:w w:val="115"/>
        </w:rPr>
        <w:t>to</w:t>
      </w:r>
      <w:r>
        <w:rPr>
          <w:color w:val="3A383A"/>
          <w:spacing w:val="26"/>
          <w:w w:val="115"/>
        </w:rPr>
        <w:t> </w:t>
      </w:r>
      <w:r>
        <w:rPr>
          <w:color w:val="3A383A"/>
          <w:w w:val="115"/>
        </w:rPr>
        <w:t>find</w:t>
      </w:r>
      <w:r>
        <w:rPr>
          <w:color w:val="3A383A"/>
          <w:spacing w:val="21"/>
          <w:w w:val="115"/>
        </w:rPr>
        <w:t> </w:t>
      </w:r>
      <w:r>
        <w:rPr>
          <w:color w:val="3A383A"/>
          <w:w w:val="115"/>
        </w:rPr>
        <w:t>a</w:t>
      </w:r>
      <w:r>
        <w:rPr>
          <w:color w:val="3A383A"/>
          <w:spacing w:val="15"/>
          <w:w w:val="115"/>
        </w:rPr>
        <w:t> </w:t>
      </w:r>
      <w:r>
        <w:rPr>
          <w:color w:val="3A383A"/>
          <w:w w:val="115"/>
        </w:rPr>
        <w:t>rule,</w:t>
      </w:r>
      <w:r>
        <w:rPr>
          <w:color w:val="3A383A"/>
          <w:spacing w:val="16"/>
          <w:w w:val="115"/>
        </w:rPr>
        <w:t> </w:t>
      </w:r>
      <w:r>
        <w:rPr>
          <w:color w:val="3A383A"/>
          <w:w w:val="115"/>
        </w:rPr>
        <w:t>you</w:t>
      </w:r>
      <w:r>
        <w:rPr>
          <w:color w:val="3A383A"/>
          <w:spacing w:val="11"/>
          <w:w w:val="115"/>
        </w:rPr>
        <w:t> </w:t>
      </w:r>
      <w:r>
        <w:rPr>
          <w:color w:val="3A383A"/>
          <w:w w:val="115"/>
        </w:rPr>
        <w:t>are</w:t>
      </w:r>
      <w:r>
        <w:rPr>
          <w:color w:val="3A383A"/>
          <w:spacing w:val="18"/>
          <w:w w:val="115"/>
        </w:rPr>
        <w:t> </w:t>
      </w:r>
      <w:r>
        <w:rPr>
          <w:color w:val="3A383A"/>
          <w:w w:val="115"/>
        </w:rPr>
        <w:t>trying</w:t>
      </w:r>
      <w:r>
        <w:rPr>
          <w:color w:val="3A383A"/>
          <w:spacing w:val="16"/>
          <w:w w:val="115"/>
        </w:rPr>
        <w:t> </w:t>
      </w:r>
      <w:r>
        <w:rPr>
          <w:color w:val="3A383A"/>
          <w:w w:val="115"/>
        </w:rPr>
        <w:t>to</w:t>
      </w:r>
    </w:p>
    <w:p>
      <w:pPr>
        <w:pStyle w:val="BodyText"/>
        <w:spacing w:line="235" w:lineRule="auto"/>
        <w:ind w:left="131" w:right="174" w:firstLine="6"/>
        <w:jc w:val="both"/>
      </w:pPr>
      <w:r>
        <w:rPr>
          <w:color w:val="3A383A"/>
          <w:w w:val="110"/>
        </w:rPr>
        <w:t>read between the lines of court opinions</w:t>
      </w:r>
      <w:r>
        <w:rPr>
          <w:color w:val="5B595B"/>
          <w:w w:val="110"/>
        </w:rPr>
        <w:t>, </w:t>
      </w:r>
      <w:r>
        <w:rPr>
          <w:color w:val="3A383A"/>
          <w:w w:val="110"/>
        </w:rPr>
        <w:t>to notice patterns that always or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never predict certain results, or results that occur </w:t>
      </w:r>
      <w:r>
        <w:rPr>
          <w:rFonts w:ascii="Arial" w:hAnsi="Arial"/>
          <w:i/>
          <w:color w:val="3A383A"/>
          <w:w w:val="115"/>
          <w:sz w:val="21"/>
        </w:rPr>
        <w:t>only </w:t>
      </w:r>
      <w:r>
        <w:rPr>
          <w:color w:val="3A383A"/>
          <w:w w:val="115"/>
        </w:rPr>
        <w:t>when certain pat­</w:t>
      </w:r>
      <w:r>
        <w:rPr>
          <w:color w:val="3A383A"/>
          <w:spacing w:val="-64"/>
          <w:w w:val="115"/>
        </w:rPr>
        <w:t> </w:t>
      </w:r>
      <w:r>
        <w:rPr>
          <w:color w:val="3A383A"/>
          <w:w w:val="110"/>
        </w:rPr>
        <w:t>terns are present. Authors of law review articles might observe these pat</w:t>
      </w:r>
      <w:r>
        <w:rPr>
          <w:color w:val="5B595B"/>
          <w:w w:val="110"/>
        </w:rPr>
        <w:t>­</w:t>
      </w:r>
      <w:r>
        <w:rPr>
          <w:color w:val="5B595B"/>
          <w:spacing w:val="1"/>
          <w:w w:val="110"/>
        </w:rPr>
        <w:t> </w:t>
      </w:r>
      <w:r>
        <w:rPr>
          <w:color w:val="3A383A"/>
          <w:w w:val="110"/>
        </w:rPr>
        <w:t>terns in a vacuum, but you have a head start because you know the type of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pattern</w:t>
      </w:r>
      <w:r>
        <w:rPr>
          <w:color w:val="3A383A"/>
          <w:spacing w:val="-14"/>
          <w:w w:val="115"/>
        </w:rPr>
        <w:t> </w:t>
      </w:r>
      <w:r>
        <w:rPr>
          <w:color w:val="3A383A"/>
          <w:w w:val="115"/>
        </w:rPr>
        <w:t>you</w:t>
      </w:r>
      <w:r>
        <w:rPr>
          <w:color w:val="3A383A"/>
          <w:spacing w:val="-8"/>
          <w:w w:val="115"/>
        </w:rPr>
        <w:t> </w:t>
      </w:r>
      <w:r>
        <w:rPr>
          <w:color w:val="3A383A"/>
          <w:w w:val="115"/>
        </w:rPr>
        <w:t>are</w:t>
      </w:r>
      <w:r>
        <w:rPr>
          <w:color w:val="3A383A"/>
          <w:spacing w:val="-6"/>
          <w:w w:val="115"/>
        </w:rPr>
        <w:t> </w:t>
      </w:r>
      <w:r>
        <w:rPr>
          <w:color w:val="3A383A"/>
          <w:w w:val="115"/>
        </w:rPr>
        <w:t>looking</w:t>
      </w:r>
      <w:r>
        <w:rPr>
          <w:color w:val="3A383A"/>
          <w:spacing w:val="-12"/>
          <w:w w:val="115"/>
        </w:rPr>
        <w:t> </w:t>
      </w:r>
      <w:r>
        <w:rPr>
          <w:color w:val="3A383A"/>
          <w:w w:val="115"/>
        </w:rPr>
        <w:t>for.</w:t>
      </w:r>
      <w:r>
        <w:rPr>
          <w:color w:val="3A383A"/>
          <w:spacing w:val="-14"/>
          <w:w w:val="115"/>
        </w:rPr>
        <w:t> </w:t>
      </w:r>
      <w:r>
        <w:rPr>
          <w:color w:val="3A383A"/>
          <w:w w:val="115"/>
        </w:rPr>
        <w:t>In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an</w:t>
      </w:r>
      <w:r>
        <w:rPr>
          <w:color w:val="3A383A"/>
          <w:spacing w:val="3"/>
          <w:w w:val="115"/>
        </w:rPr>
        <w:t> </w:t>
      </w:r>
      <w:r>
        <w:rPr>
          <w:color w:val="3A383A"/>
          <w:w w:val="115"/>
        </w:rPr>
        <w:t>advocacy</w:t>
      </w:r>
      <w:r>
        <w:rPr>
          <w:color w:val="3A383A"/>
          <w:spacing w:val="-14"/>
          <w:w w:val="115"/>
        </w:rPr>
        <w:t> </w:t>
      </w:r>
      <w:r>
        <w:rPr>
          <w:color w:val="3A383A"/>
          <w:w w:val="115"/>
        </w:rPr>
        <w:t>document,</w:t>
      </w:r>
      <w:r>
        <w:rPr>
          <w:color w:val="3A383A"/>
          <w:spacing w:val="-10"/>
          <w:w w:val="115"/>
        </w:rPr>
        <w:t> </w:t>
      </w:r>
      <w:r>
        <w:rPr>
          <w:color w:val="3A383A"/>
          <w:w w:val="115"/>
        </w:rPr>
        <w:t>inductive</w:t>
      </w:r>
      <w:r>
        <w:rPr>
          <w:color w:val="3A383A"/>
          <w:spacing w:val="-4"/>
          <w:w w:val="115"/>
        </w:rPr>
        <w:t> </w:t>
      </w:r>
      <w:r>
        <w:rPr>
          <w:color w:val="3A383A"/>
          <w:w w:val="115"/>
        </w:rPr>
        <w:t>reason­</w:t>
      </w:r>
      <w:r>
        <w:rPr>
          <w:color w:val="3A383A"/>
          <w:spacing w:val="-64"/>
          <w:w w:val="115"/>
        </w:rPr>
        <w:t> </w:t>
      </w:r>
      <w:r>
        <w:rPr>
          <w:color w:val="3A383A"/>
          <w:w w:val="110"/>
        </w:rPr>
        <w:t>ing frequently begins when you distinguish your case from the cases that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apparently</w:t>
      </w:r>
      <w:r>
        <w:rPr>
          <w:color w:val="3A383A"/>
          <w:spacing w:val="-10"/>
          <w:w w:val="115"/>
        </w:rPr>
        <w:t> </w:t>
      </w:r>
      <w:r>
        <w:rPr>
          <w:color w:val="3A383A"/>
          <w:w w:val="115"/>
        </w:rPr>
        <w:t>apply.</w:t>
      </w:r>
    </w:p>
    <w:p>
      <w:pPr>
        <w:pStyle w:val="BodyText"/>
        <w:spacing w:line="232" w:lineRule="auto"/>
        <w:ind w:left="137" w:right="109" w:firstLine="354"/>
        <w:jc w:val="both"/>
      </w:pPr>
      <w:r>
        <w:rPr>
          <w:color w:val="3A383A"/>
          <w:spacing w:val="-1"/>
          <w:w w:val="110"/>
        </w:rPr>
        <w:t>For example, in the case </w:t>
      </w:r>
      <w:r>
        <w:rPr>
          <w:rFonts w:ascii="Arial" w:hAnsi="Arial"/>
          <w:i/>
          <w:color w:val="3A383A"/>
          <w:spacing w:val="-1"/>
          <w:w w:val="110"/>
          <w:sz w:val="21"/>
        </w:rPr>
        <w:t>Ohio </w:t>
      </w:r>
      <w:r>
        <w:rPr>
          <w:rFonts w:ascii="Arial" w:hAnsi="Arial"/>
          <w:i/>
          <w:color w:val="3A383A"/>
          <w:w w:val="110"/>
          <w:sz w:val="21"/>
        </w:rPr>
        <w:t>v.Robinette, </w:t>
      </w:r>
      <w:r>
        <w:rPr>
          <w:color w:val="3A383A"/>
          <w:w w:val="110"/>
          <w:sz w:val="22"/>
        </w:rPr>
        <w:t>519 </w:t>
      </w:r>
      <w:r>
        <w:rPr>
          <w:color w:val="3A383A"/>
          <w:w w:val="110"/>
        </w:rPr>
        <w:t>U.S. </w:t>
      </w:r>
      <w:r>
        <w:rPr>
          <w:color w:val="3A383A"/>
          <w:w w:val="110"/>
          <w:sz w:val="22"/>
        </w:rPr>
        <w:t>33 (1996), </w:t>
      </w:r>
      <w:r>
        <w:rPr>
          <w:color w:val="3A383A"/>
          <w:w w:val="110"/>
        </w:rPr>
        <w:t>the issue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was the  constitutionality of an  officer's request  to conduct a </w:t>
      </w:r>
      <w:r>
        <w:rPr>
          <w:rFonts w:ascii="Arial" w:hAnsi="Arial"/>
          <w:color w:val="3A383A"/>
          <w:w w:val="110"/>
          <w:sz w:val="21"/>
        </w:rPr>
        <w:t>drug </w:t>
      </w:r>
      <w:r>
        <w:rPr>
          <w:color w:val="3A383A"/>
          <w:w w:val="110"/>
        </w:rPr>
        <w:t>search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of</w:t>
      </w:r>
      <w:r>
        <w:rPr>
          <w:color w:val="3A383A"/>
          <w:spacing w:val="-18"/>
          <w:w w:val="115"/>
        </w:rPr>
        <w:t> </w:t>
      </w:r>
      <w:r>
        <w:rPr>
          <w:color w:val="3A383A"/>
          <w:w w:val="115"/>
          <w:sz w:val="26"/>
        </w:rPr>
        <w:t>a</w:t>
      </w:r>
      <w:r>
        <w:rPr>
          <w:color w:val="3A383A"/>
          <w:spacing w:val="-20"/>
          <w:w w:val="115"/>
          <w:sz w:val="26"/>
        </w:rPr>
        <w:t> </w:t>
      </w:r>
      <w:r>
        <w:rPr>
          <w:color w:val="3A383A"/>
          <w:w w:val="115"/>
        </w:rPr>
        <w:t>car</w:t>
      </w:r>
      <w:r>
        <w:rPr>
          <w:color w:val="3A383A"/>
          <w:spacing w:val="-12"/>
          <w:w w:val="115"/>
        </w:rPr>
        <w:t> </w:t>
      </w:r>
      <w:r>
        <w:rPr>
          <w:color w:val="3A383A"/>
          <w:w w:val="115"/>
        </w:rPr>
        <w:t>that</w:t>
      </w:r>
      <w:r>
        <w:rPr>
          <w:color w:val="3A383A"/>
          <w:spacing w:val="-1"/>
          <w:w w:val="115"/>
        </w:rPr>
        <w:t> </w:t>
      </w:r>
      <w:r>
        <w:rPr>
          <w:color w:val="3A383A"/>
          <w:w w:val="115"/>
        </w:rPr>
        <w:t>had</w:t>
      </w:r>
      <w:r>
        <w:rPr>
          <w:color w:val="3A383A"/>
          <w:spacing w:val="-14"/>
          <w:w w:val="115"/>
        </w:rPr>
        <w:t> </w:t>
      </w:r>
      <w:r>
        <w:rPr>
          <w:color w:val="3A383A"/>
          <w:w w:val="115"/>
        </w:rPr>
        <w:t>been</w:t>
      </w:r>
      <w:r>
        <w:rPr>
          <w:color w:val="3A383A"/>
          <w:spacing w:val="-1"/>
          <w:w w:val="115"/>
        </w:rPr>
        <w:t> </w:t>
      </w:r>
      <w:r>
        <w:rPr>
          <w:color w:val="3A383A"/>
          <w:w w:val="115"/>
        </w:rPr>
        <w:t>stopped</w:t>
      </w:r>
      <w:r>
        <w:rPr>
          <w:color w:val="3A383A"/>
          <w:spacing w:val="-6"/>
          <w:w w:val="115"/>
        </w:rPr>
        <w:t> </w:t>
      </w:r>
      <w:r>
        <w:rPr>
          <w:color w:val="3A383A"/>
          <w:w w:val="115"/>
        </w:rPr>
        <w:t>for</w:t>
      </w:r>
      <w:r>
        <w:rPr>
          <w:color w:val="3A383A"/>
          <w:spacing w:val="-16"/>
          <w:w w:val="115"/>
        </w:rPr>
        <w:t> </w:t>
      </w:r>
      <w:r>
        <w:rPr>
          <w:color w:val="3A383A"/>
          <w:w w:val="115"/>
        </w:rPr>
        <w:t>speeding.</w:t>
      </w:r>
      <w:r>
        <w:rPr>
          <w:color w:val="3A383A"/>
          <w:spacing w:val="-30"/>
          <w:w w:val="115"/>
        </w:rPr>
        <w:t> </w:t>
      </w:r>
      <w:r>
        <w:rPr>
          <w:color w:val="3A383A"/>
          <w:w w:val="115"/>
        </w:rPr>
        <w:t>The</w:t>
      </w:r>
      <w:r>
        <w:rPr>
          <w:color w:val="3A383A"/>
          <w:spacing w:val="-10"/>
          <w:w w:val="115"/>
        </w:rPr>
        <w:t> </w:t>
      </w:r>
      <w:r>
        <w:rPr>
          <w:color w:val="3A383A"/>
          <w:w w:val="115"/>
        </w:rPr>
        <w:t>government</w:t>
      </w:r>
      <w:r>
        <w:rPr>
          <w:color w:val="3A383A"/>
          <w:spacing w:val="-6"/>
          <w:w w:val="115"/>
        </w:rPr>
        <w:t> </w:t>
      </w:r>
      <w:r>
        <w:rPr>
          <w:color w:val="3A383A"/>
          <w:w w:val="115"/>
        </w:rPr>
        <w:t>argued</w:t>
      </w:r>
      <w:r>
        <w:rPr>
          <w:color w:val="3A383A"/>
          <w:spacing w:val="3"/>
          <w:w w:val="115"/>
        </w:rPr>
        <w:t> </w:t>
      </w:r>
      <w:r>
        <w:rPr>
          <w:color w:val="3A383A"/>
          <w:w w:val="115"/>
        </w:rPr>
        <w:t>that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0"/>
        </w:rPr>
        <w:t>the defendant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had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been free to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refuse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officer's request, and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so his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consent was voluntary and constitutional. Many of the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relevant cases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0"/>
        </w:rPr>
        <w:t>addressing consent searches involved officers stopping people in airports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and</w:t>
      </w:r>
      <w:r>
        <w:rPr>
          <w:color w:val="3A383A"/>
          <w:spacing w:val="-17"/>
          <w:w w:val="115"/>
        </w:rPr>
        <w:t> </w:t>
      </w:r>
      <w:r>
        <w:rPr>
          <w:color w:val="3A383A"/>
          <w:w w:val="115"/>
        </w:rPr>
        <w:t>asking</w:t>
      </w:r>
      <w:r>
        <w:rPr>
          <w:color w:val="3A383A"/>
          <w:spacing w:val="-9"/>
          <w:w w:val="115"/>
        </w:rPr>
        <w:t> </w:t>
      </w:r>
      <w:r>
        <w:rPr>
          <w:color w:val="3A383A"/>
          <w:w w:val="115"/>
        </w:rPr>
        <w:t>for</w:t>
      </w:r>
      <w:r>
        <w:rPr>
          <w:color w:val="3A383A"/>
          <w:spacing w:val="-1"/>
          <w:w w:val="115"/>
        </w:rPr>
        <w:t> </w:t>
      </w:r>
      <w:r>
        <w:rPr>
          <w:color w:val="3A383A"/>
          <w:w w:val="115"/>
        </w:rPr>
        <w:t>permission</w:t>
      </w:r>
      <w:r>
        <w:rPr>
          <w:color w:val="3A383A"/>
          <w:spacing w:val="12"/>
          <w:w w:val="115"/>
        </w:rPr>
        <w:t> </w:t>
      </w:r>
      <w:r>
        <w:rPr>
          <w:color w:val="3A383A"/>
          <w:w w:val="115"/>
        </w:rPr>
        <w:t>to</w:t>
      </w:r>
      <w:r>
        <w:rPr>
          <w:color w:val="3A383A"/>
          <w:spacing w:val="2"/>
          <w:w w:val="115"/>
        </w:rPr>
        <w:t> </w:t>
      </w:r>
      <w:r>
        <w:rPr>
          <w:color w:val="3A383A"/>
          <w:w w:val="115"/>
        </w:rPr>
        <w:t>search</w:t>
      </w:r>
      <w:r>
        <w:rPr>
          <w:color w:val="3A383A"/>
          <w:spacing w:val="-18"/>
          <w:w w:val="115"/>
        </w:rPr>
        <w:t> </w:t>
      </w:r>
      <w:r>
        <w:rPr>
          <w:color w:val="3A383A"/>
          <w:w w:val="115"/>
        </w:rPr>
        <w:t>for</w:t>
      </w:r>
      <w:r>
        <w:rPr>
          <w:color w:val="3A383A"/>
          <w:spacing w:val="-17"/>
          <w:w w:val="115"/>
        </w:rPr>
        <w:t> </w:t>
      </w:r>
      <w:r>
        <w:rPr>
          <w:color w:val="3A383A"/>
          <w:w w:val="115"/>
        </w:rPr>
        <w:t>contraband.</w:t>
      </w:r>
      <w:r>
        <w:rPr>
          <w:color w:val="3A383A"/>
          <w:spacing w:val="-2"/>
          <w:w w:val="115"/>
        </w:rPr>
        <w:t> </w:t>
      </w:r>
      <w:r>
        <w:rPr>
          <w:color w:val="3A383A"/>
          <w:w w:val="115"/>
        </w:rPr>
        <w:t>One</w:t>
      </w:r>
      <w:r>
        <w:rPr>
          <w:color w:val="3A383A"/>
          <w:spacing w:val="-34"/>
          <w:w w:val="115"/>
        </w:rPr>
        <w:t> </w:t>
      </w:r>
      <w:r>
        <w:rPr>
          <w:color w:val="3A383A"/>
          <w:w w:val="115"/>
        </w:rPr>
        <w:t>student,</w:t>
      </w:r>
      <w:r>
        <w:rPr>
          <w:color w:val="3A383A"/>
          <w:spacing w:val="-9"/>
          <w:w w:val="115"/>
        </w:rPr>
        <w:t> </w:t>
      </w:r>
      <w:r>
        <w:rPr>
          <w:color w:val="3A383A"/>
          <w:w w:val="115"/>
        </w:rPr>
        <w:t>writing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0"/>
          <w:sz w:val="24"/>
        </w:rPr>
        <w:t>a </w:t>
      </w:r>
      <w:r>
        <w:rPr>
          <w:color w:val="3A383A"/>
          <w:w w:val="110"/>
        </w:rPr>
        <w:t>brief on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behalf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of Robinette, noticed a distinguishing factor between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Robinette's case and the so-called airport cases, and she used that dis­</w:t>
      </w:r>
      <w:r>
        <w:rPr>
          <w:color w:val="3A383A"/>
          <w:spacing w:val="1"/>
          <w:w w:val="115"/>
        </w:rPr>
        <w:t> </w:t>
      </w:r>
      <w:r>
        <w:rPr>
          <w:color w:val="3A383A"/>
          <w:spacing w:val="-1"/>
          <w:w w:val="115"/>
        </w:rPr>
        <w:t>tinction </w:t>
      </w:r>
      <w:r>
        <w:rPr>
          <w:color w:val="3A383A"/>
          <w:w w:val="115"/>
        </w:rPr>
        <w:t>to help her to induce a more precise rule. The paragraphs below</w:t>
      </w:r>
      <w:r>
        <w:rPr>
          <w:color w:val="3A383A"/>
          <w:spacing w:val="-64"/>
          <w:w w:val="115"/>
        </w:rPr>
        <w:t> </w:t>
      </w:r>
      <w:r>
        <w:rPr>
          <w:color w:val="3A383A"/>
          <w:w w:val="115"/>
        </w:rPr>
        <w:t>show her thinking as she moves from noticing the distinguishing factor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(the way </w:t>
      </w:r>
      <w:r>
        <w:rPr>
          <w:color w:val="3A383A"/>
          <w:w w:val="115"/>
          <w:sz w:val="21"/>
        </w:rPr>
        <w:t>in</w:t>
      </w:r>
      <w:r>
        <w:rPr>
          <w:color w:val="3A383A"/>
          <w:spacing w:val="1"/>
          <w:w w:val="115"/>
          <w:sz w:val="21"/>
        </w:rPr>
        <w:t> </w:t>
      </w:r>
      <w:r>
        <w:rPr>
          <w:color w:val="3A383A"/>
          <w:w w:val="115"/>
        </w:rPr>
        <w:t>which the police-citizen encounter began) to articulating a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new</w:t>
      </w:r>
      <w:r>
        <w:rPr>
          <w:color w:val="3A383A"/>
          <w:spacing w:val="-6"/>
          <w:w w:val="115"/>
        </w:rPr>
        <w:t> </w:t>
      </w:r>
      <w:r>
        <w:rPr>
          <w:color w:val="3A383A"/>
          <w:w w:val="115"/>
        </w:rPr>
        <w:t>rule:</w:t>
      </w:r>
    </w:p>
    <w:p>
      <w:pPr>
        <w:spacing w:line="235" w:lineRule="auto" w:before="103"/>
        <w:ind w:left="493" w:right="438" w:firstLine="352"/>
        <w:jc w:val="both"/>
        <w:rPr>
          <w:sz w:val="21"/>
        </w:rPr>
      </w:pPr>
      <w:r>
        <w:rPr>
          <w:color w:val="3A383A"/>
          <w:w w:val="120"/>
          <w:sz w:val="21"/>
        </w:rPr>
        <w:t>There are two types of situations in which police request consent</w:t>
      </w:r>
      <w:r>
        <w:rPr>
          <w:color w:val="3A383A"/>
          <w:spacing w:val="1"/>
          <w:w w:val="120"/>
          <w:sz w:val="21"/>
        </w:rPr>
        <w:t> </w:t>
      </w:r>
      <w:r>
        <w:rPr>
          <w:color w:val="3A383A"/>
          <w:w w:val="120"/>
          <w:sz w:val="21"/>
        </w:rPr>
        <w:t>to search</w:t>
      </w:r>
      <w:r>
        <w:rPr>
          <w:color w:val="5B595B"/>
          <w:w w:val="120"/>
          <w:sz w:val="21"/>
        </w:rPr>
        <w:t>-</w:t>
      </w:r>
      <w:r>
        <w:rPr>
          <w:color w:val="3A383A"/>
          <w:w w:val="120"/>
          <w:sz w:val="21"/>
        </w:rPr>
        <w:t>those in which</w:t>
      </w:r>
      <w:r>
        <w:rPr>
          <w:color w:val="3A383A"/>
          <w:spacing w:val="1"/>
          <w:w w:val="120"/>
          <w:sz w:val="21"/>
        </w:rPr>
        <w:t> </w:t>
      </w:r>
      <w:r>
        <w:rPr>
          <w:color w:val="3A383A"/>
          <w:w w:val="120"/>
          <w:sz w:val="21"/>
        </w:rPr>
        <w:t>the</w:t>
      </w:r>
      <w:r>
        <w:rPr>
          <w:color w:val="3A383A"/>
          <w:spacing w:val="1"/>
          <w:w w:val="120"/>
          <w:sz w:val="21"/>
        </w:rPr>
        <w:t> </w:t>
      </w:r>
      <w:r>
        <w:rPr>
          <w:color w:val="3A383A"/>
          <w:w w:val="120"/>
          <w:sz w:val="21"/>
        </w:rPr>
        <w:t>police-citizen encounter begins con­</w:t>
      </w:r>
      <w:r>
        <w:rPr>
          <w:color w:val="3A383A"/>
          <w:spacing w:val="1"/>
          <w:w w:val="120"/>
          <w:sz w:val="21"/>
        </w:rPr>
        <w:t> </w:t>
      </w:r>
      <w:r>
        <w:rPr>
          <w:color w:val="3A383A"/>
          <w:w w:val="115"/>
          <w:sz w:val="21"/>
        </w:rPr>
        <w:t>sensually, and  those in which  the police-citizen encounter  begins by</w:t>
      </w:r>
      <w:r>
        <w:rPr>
          <w:color w:val="3A383A"/>
          <w:spacing w:val="1"/>
          <w:w w:val="115"/>
          <w:sz w:val="21"/>
        </w:rPr>
        <w:t> </w:t>
      </w:r>
      <w:r>
        <w:rPr>
          <w:color w:val="3A383A"/>
          <w:w w:val="120"/>
          <w:sz w:val="21"/>
        </w:rPr>
        <w:t>an assertion of legal authority. When police-citizen encounters begin</w:t>
      </w:r>
      <w:r>
        <w:rPr>
          <w:color w:val="3A383A"/>
          <w:spacing w:val="-60"/>
          <w:w w:val="120"/>
          <w:sz w:val="21"/>
        </w:rPr>
        <w:t> </w:t>
      </w:r>
      <w:r>
        <w:rPr>
          <w:color w:val="3A383A"/>
          <w:w w:val="120"/>
          <w:sz w:val="21"/>
        </w:rPr>
        <w:t>consensually, courts </w:t>
      </w:r>
      <w:r>
        <w:rPr>
          <w:color w:val="3A383A"/>
          <w:w w:val="120"/>
          <w:sz w:val="19"/>
        </w:rPr>
        <w:t>will </w:t>
      </w:r>
      <w:r>
        <w:rPr>
          <w:color w:val="3A383A"/>
          <w:w w:val="120"/>
          <w:sz w:val="21"/>
        </w:rPr>
        <w:t>find the consent request valid </w:t>
      </w:r>
      <w:r>
        <w:rPr>
          <w:color w:val="3A383A"/>
          <w:w w:val="120"/>
          <w:sz w:val="20"/>
        </w:rPr>
        <w:t>if </w:t>
      </w:r>
      <w:r>
        <w:rPr>
          <w:color w:val="3A383A"/>
          <w:w w:val="120"/>
          <w:sz w:val="21"/>
        </w:rPr>
        <w:t>there was</w:t>
      </w:r>
      <w:r>
        <w:rPr>
          <w:color w:val="3A383A"/>
          <w:spacing w:val="1"/>
          <w:w w:val="120"/>
          <w:sz w:val="21"/>
        </w:rPr>
        <w:t> </w:t>
      </w:r>
      <w:r>
        <w:rPr>
          <w:color w:val="3A383A"/>
          <w:w w:val="120"/>
          <w:sz w:val="21"/>
        </w:rPr>
        <w:t>nothing in the record to suggest "that the [citizen] had any objective</w:t>
      </w:r>
      <w:r>
        <w:rPr>
          <w:color w:val="3A383A"/>
          <w:spacing w:val="1"/>
          <w:w w:val="120"/>
          <w:sz w:val="21"/>
        </w:rPr>
        <w:t> </w:t>
      </w:r>
      <w:r>
        <w:rPr>
          <w:color w:val="3A383A"/>
          <w:w w:val="115"/>
          <w:sz w:val="21"/>
        </w:rPr>
        <w:t>reason</w:t>
      </w:r>
      <w:r>
        <w:rPr>
          <w:color w:val="3A383A"/>
          <w:spacing w:val="11"/>
          <w:w w:val="115"/>
          <w:sz w:val="21"/>
        </w:rPr>
        <w:t> </w:t>
      </w:r>
      <w:r>
        <w:rPr>
          <w:color w:val="3A383A"/>
          <w:w w:val="115"/>
          <w:sz w:val="21"/>
        </w:rPr>
        <w:t>to</w:t>
      </w:r>
      <w:r>
        <w:rPr>
          <w:color w:val="3A383A"/>
          <w:spacing w:val="33"/>
          <w:w w:val="115"/>
          <w:sz w:val="21"/>
        </w:rPr>
        <w:t> </w:t>
      </w:r>
      <w:r>
        <w:rPr>
          <w:color w:val="3A383A"/>
          <w:w w:val="115"/>
          <w:sz w:val="21"/>
        </w:rPr>
        <w:t>believe</w:t>
      </w:r>
      <w:r>
        <w:rPr>
          <w:color w:val="3A383A"/>
          <w:spacing w:val="7"/>
          <w:w w:val="115"/>
          <w:sz w:val="21"/>
        </w:rPr>
        <w:t> </w:t>
      </w:r>
      <w:r>
        <w:rPr>
          <w:color w:val="3A383A"/>
          <w:w w:val="115"/>
          <w:sz w:val="21"/>
        </w:rPr>
        <w:t>that</w:t>
      </w:r>
      <w:r>
        <w:rPr>
          <w:color w:val="3A383A"/>
          <w:spacing w:val="9"/>
          <w:w w:val="115"/>
          <w:sz w:val="21"/>
        </w:rPr>
        <w:t> </w:t>
      </w:r>
      <w:r>
        <w:rPr>
          <w:color w:val="3A383A"/>
          <w:w w:val="115"/>
          <w:sz w:val="21"/>
        </w:rPr>
        <w:t>she</w:t>
      </w:r>
      <w:r>
        <w:rPr>
          <w:color w:val="3A383A"/>
          <w:spacing w:val="-30"/>
          <w:w w:val="115"/>
          <w:sz w:val="21"/>
        </w:rPr>
        <w:t> </w:t>
      </w:r>
      <w:r>
        <w:rPr>
          <w:i/>
          <w:color w:val="3A383A"/>
          <w:w w:val="115"/>
          <w:sz w:val="21"/>
        </w:rPr>
        <w:t>was11ot</w:t>
      </w:r>
      <w:r>
        <w:rPr>
          <w:i/>
          <w:color w:val="3A383A"/>
          <w:spacing w:val="46"/>
          <w:w w:val="115"/>
          <w:sz w:val="21"/>
        </w:rPr>
        <w:t> </w:t>
      </w:r>
      <w:r>
        <w:rPr>
          <w:i/>
          <w:color w:val="3A383A"/>
          <w:w w:val="115"/>
          <w:sz w:val="21"/>
        </w:rPr>
        <w:t>free</w:t>
      </w:r>
      <w:r>
        <w:rPr>
          <w:i/>
          <w:color w:val="3A383A"/>
          <w:spacing w:val="6"/>
          <w:w w:val="115"/>
          <w:sz w:val="21"/>
        </w:rPr>
        <w:t> </w:t>
      </w:r>
      <w:r>
        <w:rPr>
          <w:color w:val="3A383A"/>
          <w:w w:val="115"/>
          <w:sz w:val="21"/>
        </w:rPr>
        <w:t>to</w:t>
      </w:r>
      <w:r>
        <w:rPr>
          <w:color w:val="3A383A"/>
          <w:spacing w:val="45"/>
          <w:w w:val="115"/>
          <w:sz w:val="21"/>
        </w:rPr>
        <w:t> </w:t>
      </w:r>
      <w:r>
        <w:rPr>
          <w:color w:val="3A383A"/>
          <w:w w:val="115"/>
          <w:sz w:val="21"/>
        </w:rPr>
        <w:t>end</w:t>
      </w:r>
      <w:r>
        <w:rPr>
          <w:color w:val="3A383A"/>
          <w:spacing w:val="32"/>
          <w:w w:val="115"/>
          <w:sz w:val="21"/>
        </w:rPr>
        <w:t> </w:t>
      </w:r>
      <w:r>
        <w:rPr>
          <w:color w:val="3A383A"/>
          <w:w w:val="115"/>
          <w:sz w:val="21"/>
        </w:rPr>
        <w:t>the</w:t>
      </w:r>
      <w:r>
        <w:rPr>
          <w:color w:val="3A383A"/>
          <w:spacing w:val="8"/>
          <w:w w:val="115"/>
          <w:sz w:val="21"/>
        </w:rPr>
        <w:t> </w:t>
      </w:r>
      <w:r>
        <w:rPr>
          <w:color w:val="3A383A"/>
          <w:w w:val="115"/>
          <w:sz w:val="21"/>
        </w:rPr>
        <w:t>conversation</w:t>
      </w:r>
      <w:r>
        <w:rPr>
          <w:color w:val="3A383A"/>
          <w:spacing w:val="11"/>
          <w:w w:val="115"/>
          <w:sz w:val="21"/>
        </w:rPr>
        <w:t> </w:t>
      </w:r>
      <w:r>
        <w:rPr>
          <w:color w:val="3A383A"/>
          <w:w w:val="115"/>
          <w:sz w:val="21"/>
        </w:rPr>
        <w:t>[with</w:t>
      </w:r>
    </w:p>
    <w:p>
      <w:pPr>
        <w:spacing w:after="0" w:line="235" w:lineRule="auto"/>
        <w:jc w:val="both"/>
        <w:rPr>
          <w:sz w:val="21"/>
        </w:rPr>
        <w:sectPr>
          <w:headerReference w:type="default" r:id="rId119"/>
          <w:headerReference w:type="even" r:id="rId120"/>
          <w:pgSz w:w="9540" w:h="13730"/>
          <w:pgMar w:header="415" w:footer="0" w:top="640" w:bottom="0" w:left="420" w:right="1220"/>
          <w:pgNumType w:start="95"/>
        </w:sectPr>
      </w:pPr>
    </w:p>
    <w:p>
      <w:pPr>
        <w:spacing w:line="235" w:lineRule="auto" w:before="87"/>
        <w:ind w:left="1545" w:right="273" w:firstLine="121"/>
        <w:jc w:val="left"/>
        <w:rPr>
          <w:sz w:val="21"/>
        </w:rPr>
      </w:pPr>
      <w:r>
        <w:rPr>
          <w:color w:val="383638"/>
          <w:w w:val="110"/>
          <w:sz w:val="21"/>
        </w:rPr>
        <w:t>the</w:t>
      </w:r>
      <w:r>
        <w:rPr>
          <w:color w:val="383638"/>
          <w:spacing w:val="15"/>
          <w:w w:val="110"/>
          <w:sz w:val="21"/>
        </w:rPr>
        <w:t> </w:t>
      </w:r>
      <w:r>
        <w:rPr>
          <w:color w:val="383638"/>
          <w:w w:val="110"/>
          <w:sz w:val="21"/>
        </w:rPr>
        <w:t>officers</w:t>
      </w:r>
      <w:r>
        <w:rPr>
          <w:rFonts w:ascii="Arial" w:hAnsi="Arial"/>
          <w:color w:val="383638"/>
          <w:w w:val="110"/>
          <w:sz w:val="24"/>
        </w:rPr>
        <w:t>J•••</w:t>
      </w:r>
      <w:r>
        <w:rPr>
          <w:color w:val="383638"/>
          <w:w w:val="110"/>
          <w:sz w:val="21"/>
        </w:rPr>
        <w:t>and</w:t>
      </w:r>
      <w:r>
        <w:rPr>
          <w:color w:val="383638"/>
          <w:spacing w:val="19"/>
          <w:w w:val="110"/>
          <w:sz w:val="21"/>
        </w:rPr>
        <w:t> </w:t>
      </w:r>
      <w:r>
        <w:rPr>
          <w:color w:val="383638"/>
          <w:w w:val="110"/>
          <w:sz w:val="21"/>
        </w:rPr>
        <w:t>proceed</w:t>
      </w:r>
      <w:r>
        <w:rPr>
          <w:color w:val="383638"/>
          <w:spacing w:val="-21"/>
          <w:w w:val="110"/>
          <w:sz w:val="21"/>
        </w:rPr>
        <w:t> </w:t>
      </w:r>
      <w:r>
        <w:rPr>
          <w:color w:val="383638"/>
          <w:w w:val="110"/>
          <w:sz w:val="21"/>
        </w:rPr>
        <w:t>on</w:t>
      </w:r>
      <w:r>
        <w:rPr>
          <w:color w:val="383638"/>
          <w:spacing w:val="9"/>
          <w:w w:val="110"/>
          <w:sz w:val="21"/>
        </w:rPr>
        <w:t> </w:t>
      </w:r>
      <w:r>
        <w:rPr>
          <w:color w:val="383638"/>
          <w:w w:val="110"/>
          <w:sz w:val="21"/>
        </w:rPr>
        <w:t>her</w:t>
      </w:r>
      <w:r>
        <w:rPr>
          <w:color w:val="383638"/>
          <w:spacing w:val="-3"/>
          <w:w w:val="110"/>
          <w:sz w:val="21"/>
        </w:rPr>
        <w:t> </w:t>
      </w:r>
      <w:r>
        <w:rPr>
          <w:color w:val="383638"/>
          <w:w w:val="110"/>
          <w:sz w:val="21"/>
        </w:rPr>
        <w:t>way,"</w:t>
      </w:r>
      <w:r>
        <w:rPr>
          <w:color w:val="383638"/>
          <w:spacing w:val="-17"/>
          <w:w w:val="110"/>
          <w:sz w:val="21"/>
        </w:rPr>
        <w:t> </w:t>
      </w:r>
      <w:r>
        <w:rPr>
          <w:color w:val="383638"/>
          <w:w w:val="110"/>
          <w:sz w:val="21"/>
          <w:u w:val="thick" w:color="383638"/>
        </w:rPr>
        <w:t>United</w:t>
      </w:r>
      <w:r>
        <w:rPr>
          <w:color w:val="383638"/>
          <w:spacing w:val="-26"/>
          <w:w w:val="110"/>
          <w:sz w:val="21"/>
          <w:u w:val="thick" w:color="383638"/>
        </w:rPr>
        <w:t> </w:t>
      </w:r>
      <w:r>
        <w:rPr>
          <w:color w:val="383638"/>
          <w:w w:val="110"/>
          <w:sz w:val="21"/>
          <w:u w:val="thick" w:color="383638"/>
        </w:rPr>
        <w:t>Statesv.</w:t>
      </w:r>
      <w:r>
        <w:rPr>
          <w:color w:val="383638"/>
          <w:spacing w:val="-19"/>
          <w:w w:val="110"/>
          <w:sz w:val="21"/>
          <w:u w:val="thick" w:color="383638"/>
        </w:rPr>
        <w:t> </w:t>
      </w:r>
      <w:r>
        <w:rPr>
          <w:color w:val="383638"/>
          <w:w w:val="110"/>
          <w:sz w:val="21"/>
          <w:u w:val="thick" w:color="383638"/>
        </w:rPr>
        <w:t>Mendenhall.</w:t>
      </w:r>
      <w:r>
        <w:rPr>
          <w:color w:val="383638"/>
          <w:spacing w:val="-55"/>
          <w:w w:val="110"/>
          <w:sz w:val="21"/>
        </w:rPr>
        <w:t> </w:t>
      </w:r>
      <w:r>
        <w:rPr>
          <w:color w:val="383638"/>
          <w:w w:val="110"/>
          <w:sz w:val="21"/>
        </w:rPr>
        <w:t>446</w:t>
      </w:r>
      <w:r>
        <w:rPr>
          <w:color w:val="383638"/>
          <w:spacing w:val="-13"/>
          <w:w w:val="110"/>
          <w:sz w:val="21"/>
        </w:rPr>
        <w:t> </w:t>
      </w:r>
      <w:r>
        <w:rPr>
          <w:color w:val="383638"/>
          <w:w w:val="110"/>
          <w:sz w:val="21"/>
        </w:rPr>
        <w:t>U.S.</w:t>
      </w:r>
      <w:r>
        <w:rPr>
          <w:color w:val="383638"/>
          <w:spacing w:val="-10"/>
          <w:w w:val="110"/>
          <w:sz w:val="21"/>
        </w:rPr>
        <w:t> </w:t>
      </w:r>
      <w:r>
        <w:rPr>
          <w:color w:val="383638"/>
          <w:w w:val="110"/>
          <w:sz w:val="21"/>
        </w:rPr>
        <w:t>544,</w:t>
      </w:r>
      <w:r>
        <w:rPr>
          <w:color w:val="383638"/>
          <w:spacing w:val="3"/>
          <w:w w:val="110"/>
          <w:sz w:val="21"/>
        </w:rPr>
        <w:t> </w:t>
      </w:r>
      <w:r>
        <w:rPr>
          <w:i/>
          <w:color w:val="383638"/>
          <w:w w:val="110"/>
          <w:sz w:val="21"/>
        </w:rPr>
        <w:t>555</w:t>
      </w:r>
      <w:r>
        <w:rPr>
          <w:i/>
          <w:color w:val="383638"/>
          <w:spacing w:val="10"/>
          <w:w w:val="110"/>
          <w:sz w:val="21"/>
        </w:rPr>
        <w:t> </w:t>
      </w:r>
      <w:r>
        <w:rPr>
          <w:color w:val="383638"/>
          <w:w w:val="110"/>
          <w:sz w:val="21"/>
        </w:rPr>
        <w:t>(1980)</w:t>
      </w:r>
      <w:r>
        <w:rPr>
          <w:color w:val="383638"/>
          <w:spacing w:val="12"/>
          <w:w w:val="110"/>
          <w:sz w:val="21"/>
        </w:rPr>
        <w:t> </w:t>
      </w:r>
      <w:r>
        <w:rPr>
          <w:color w:val="383638"/>
          <w:w w:val="110"/>
          <w:sz w:val="21"/>
        </w:rPr>
        <w:t>(emphasis</w:t>
      </w:r>
      <w:r>
        <w:rPr>
          <w:color w:val="383638"/>
          <w:spacing w:val="5"/>
          <w:w w:val="110"/>
          <w:sz w:val="21"/>
        </w:rPr>
        <w:t> </w:t>
      </w:r>
      <w:r>
        <w:rPr>
          <w:color w:val="383638"/>
          <w:w w:val="110"/>
          <w:sz w:val="21"/>
        </w:rPr>
        <w:t>added).</w:t>
      </w:r>
      <w:r>
        <w:rPr>
          <w:color w:val="383638"/>
          <w:spacing w:val="-7"/>
          <w:w w:val="110"/>
          <w:sz w:val="21"/>
        </w:rPr>
        <w:t> </w:t>
      </w:r>
      <w:r>
        <w:rPr>
          <w:color w:val="383638"/>
          <w:w w:val="110"/>
          <w:sz w:val="21"/>
        </w:rPr>
        <w:t>On</w:t>
      </w:r>
      <w:r>
        <w:rPr>
          <w:color w:val="383638"/>
          <w:spacing w:val="12"/>
          <w:w w:val="110"/>
          <w:sz w:val="21"/>
        </w:rPr>
        <w:t> </w:t>
      </w:r>
      <w:r>
        <w:rPr>
          <w:color w:val="383638"/>
          <w:w w:val="110"/>
          <w:sz w:val="21"/>
        </w:rPr>
        <w:t>the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other</w:t>
      </w:r>
      <w:r>
        <w:rPr>
          <w:color w:val="383638"/>
          <w:spacing w:val="6"/>
          <w:w w:val="110"/>
          <w:sz w:val="21"/>
        </w:rPr>
        <w:t> </w:t>
      </w:r>
      <w:r>
        <w:rPr>
          <w:color w:val="383638"/>
          <w:w w:val="110"/>
          <w:sz w:val="21"/>
        </w:rPr>
        <w:t>hand,</w:t>
      </w:r>
      <w:r>
        <w:rPr>
          <w:color w:val="383638"/>
          <w:spacing w:val="3"/>
          <w:w w:val="110"/>
          <w:sz w:val="21"/>
        </w:rPr>
        <w:t> </w:t>
      </w:r>
      <w:r>
        <w:rPr>
          <w:color w:val="383638"/>
          <w:w w:val="110"/>
          <w:sz w:val="21"/>
        </w:rPr>
        <w:t>when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police request consent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to search after a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police-citizen encounter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that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5"/>
          <w:sz w:val="21"/>
        </w:rPr>
        <w:t>began with an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assertion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of legal authority,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the Court should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use a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different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test, and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should  analyze when the defendant  would have</w:t>
      </w:r>
      <w:r>
        <w:rPr>
          <w:color w:val="383638"/>
          <w:spacing w:val="-58"/>
          <w:w w:val="115"/>
          <w:sz w:val="21"/>
        </w:rPr>
        <w:t> </w:t>
      </w:r>
      <w:r>
        <w:rPr>
          <w:color w:val="383638"/>
          <w:w w:val="110"/>
          <w:sz w:val="21"/>
        </w:rPr>
        <w:t>an objective reason to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believe that he or she </w:t>
      </w:r>
      <w:r>
        <w:rPr>
          <w:i/>
          <w:color w:val="383638"/>
          <w:w w:val="110"/>
          <w:sz w:val="21"/>
        </w:rPr>
        <w:t>became</w:t>
      </w:r>
      <w:r>
        <w:rPr>
          <w:i/>
          <w:color w:val="383638"/>
          <w:spacing w:val="1"/>
          <w:w w:val="110"/>
          <w:sz w:val="21"/>
        </w:rPr>
        <w:t> </w:t>
      </w:r>
      <w:r>
        <w:rPr>
          <w:i/>
          <w:color w:val="383638"/>
          <w:w w:val="110"/>
          <w:sz w:val="21"/>
        </w:rPr>
        <w:t>free </w:t>
      </w:r>
      <w:r>
        <w:rPr>
          <w:color w:val="383638"/>
          <w:w w:val="110"/>
          <w:sz w:val="21"/>
        </w:rPr>
        <w:t>to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end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the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spacing w:val="-1"/>
          <w:w w:val="115"/>
          <w:sz w:val="21"/>
        </w:rPr>
        <w:t>conversation </w:t>
      </w:r>
      <w:r>
        <w:rPr>
          <w:color w:val="383638"/>
          <w:w w:val="115"/>
          <w:sz w:val="21"/>
        </w:rPr>
        <w:t>and proceed on his or her way. Because Newsome and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0"/>
          <w:sz w:val="21"/>
        </w:rPr>
        <w:t>Robinette's encounter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began with an assertion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of legal authority, and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5"/>
          <w:sz w:val="21"/>
        </w:rPr>
        <w:t>because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there was no clear end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to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this assertion of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legal authority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despite</w:t>
      </w:r>
      <w:r>
        <w:rPr>
          <w:color w:val="383638"/>
          <w:spacing w:val="26"/>
          <w:w w:val="115"/>
          <w:sz w:val="21"/>
        </w:rPr>
        <w:t> </w:t>
      </w:r>
      <w:r>
        <w:rPr>
          <w:color w:val="383638"/>
          <w:w w:val="115"/>
          <w:sz w:val="21"/>
        </w:rPr>
        <w:t>Newsome's</w:t>
      </w:r>
      <w:r>
        <w:rPr>
          <w:color w:val="383638"/>
          <w:spacing w:val="20"/>
          <w:w w:val="115"/>
          <w:sz w:val="21"/>
        </w:rPr>
        <w:t> </w:t>
      </w:r>
      <w:r>
        <w:rPr>
          <w:color w:val="383638"/>
          <w:w w:val="115"/>
          <w:sz w:val="21"/>
        </w:rPr>
        <w:t>return</w:t>
      </w:r>
      <w:r>
        <w:rPr>
          <w:color w:val="383638"/>
          <w:spacing w:val="17"/>
          <w:w w:val="115"/>
          <w:sz w:val="21"/>
        </w:rPr>
        <w:t> </w:t>
      </w:r>
      <w:r>
        <w:rPr>
          <w:color w:val="383638"/>
          <w:w w:val="115"/>
          <w:sz w:val="21"/>
        </w:rPr>
        <w:t>of</w:t>
      </w:r>
      <w:r>
        <w:rPr>
          <w:color w:val="383638"/>
          <w:spacing w:val="12"/>
          <w:w w:val="115"/>
          <w:sz w:val="21"/>
        </w:rPr>
        <w:t> </w:t>
      </w:r>
      <w:r>
        <w:rPr>
          <w:color w:val="383638"/>
          <w:w w:val="115"/>
          <w:sz w:val="21"/>
        </w:rPr>
        <w:t>Robinette's</w:t>
      </w:r>
      <w:r>
        <w:rPr>
          <w:color w:val="383638"/>
          <w:spacing w:val="20"/>
          <w:w w:val="115"/>
          <w:sz w:val="21"/>
        </w:rPr>
        <w:t> </w:t>
      </w:r>
      <w:r>
        <w:rPr>
          <w:color w:val="383638"/>
          <w:w w:val="115"/>
          <w:sz w:val="21"/>
        </w:rPr>
        <w:t>license,</w:t>
      </w:r>
      <w:r>
        <w:rPr>
          <w:color w:val="383638"/>
          <w:spacing w:val="20"/>
          <w:w w:val="115"/>
          <w:sz w:val="21"/>
        </w:rPr>
        <w:t> </w:t>
      </w:r>
      <w:r>
        <w:rPr>
          <w:color w:val="383638"/>
          <w:w w:val="115"/>
          <w:sz w:val="21"/>
        </w:rPr>
        <w:t>this</w:t>
      </w:r>
      <w:r>
        <w:rPr>
          <w:color w:val="383638"/>
          <w:spacing w:val="5"/>
          <w:w w:val="115"/>
          <w:sz w:val="21"/>
        </w:rPr>
        <w:t> </w:t>
      </w:r>
      <w:r>
        <w:rPr>
          <w:color w:val="383638"/>
          <w:w w:val="115"/>
          <w:sz w:val="21"/>
        </w:rPr>
        <w:t>Court</w:t>
      </w:r>
      <w:r>
        <w:rPr>
          <w:color w:val="383638"/>
          <w:spacing w:val="15"/>
          <w:w w:val="115"/>
          <w:sz w:val="21"/>
        </w:rPr>
        <w:t> </w:t>
      </w:r>
      <w:r>
        <w:rPr>
          <w:color w:val="383638"/>
          <w:w w:val="115"/>
          <w:sz w:val="21"/>
        </w:rPr>
        <w:t>should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spacing w:val="-1"/>
          <w:w w:val="115"/>
          <w:sz w:val="21"/>
        </w:rPr>
        <w:t>apply</w:t>
      </w:r>
      <w:r>
        <w:rPr>
          <w:color w:val="383638"/>
          <w:spacing w:val="-6"/>
          <w:w w:val="115"/>
          <w:sz w:val="21"/>
        </w:rPr>
        <w:t> </w:t>
      </w:r>
      <w:r>
        <w:rPr>
          <w:color w:val="383638"/>
          <w:spacing w:val="-1"/>
          <w:w w:val="115"/>
          <w:sz w:val="21"/>
        </w:rPr>
        <w:t>the</w:t>
      </w:r>
      <w:r>
        <w:rPr>
          <w:color w:val="383638"/>
          <w:spacing w:val="10"/>
          <w:w w:val="115"/>
          <w:sz w:val="21"/>
        </w:rPr>
        <w:t> </w:t>
      </w:r>
      <w:r>
        <w:rPr>
          <w:color w:val="383638"/>
          <w:spacing w:val="-1"/>
          <w:w w:val="115"/>
          <w:sz w:val="21"/>
        </w:rPr>
        <w:t>totality</w:t>
      </w:r>
      <w:r>
        <w:rPr>
          <w:color w:val="383638"/>
          <w:spacing w:val="-18"/>
          <w:w w:val="115"/>
          <w:sz w:val="21"/>
        </w:rPr>
        <w:t> </w:t>
      </w:r>
      <w:r>
        <w:rPr>
          <w:color w:val="383638"/>
          <w:spacing w:val="-1"/>
          <w:w w:val="115"/>
          <w:sz w:val="21"/>
        </w:rPr>
        <w:t>of</w:t>
      </w:r>
      <w:r>
        <w:rPr>
          <w:color w:val="383638"/>
          <w:spacing w:val="-12"/>
          <w:w w:val="115"/>
          <w:sz w:val="21"/>
        </w:rPr>
        <w:t> </w:t>
      </w:r>
      <w:r>
        <w:rPr>
          <w:color w:val="383638"/>
          <w:spacing w:val="-1"/>
          <w:w w:val="115"/>
          <w:sz w:val="21"/>
        </w:rPr>
        <w:t>the</w:t>
      </w:r>
      <w:r>
        <w:rPr>
          <w:color w:val="383638"/>
          <w:spacing w:val="-3"/>
          <w:w w:val="115"/>
          <w:sz w:val="21"/>
        </w:rPr>
        <w:t> </w:t>
      </w:r>
      <w:r>
        <w:rPr>
          <w:color w:val="383638"/>
          <w:spacing w:val="-1"/>
          <w:w w:val="115"/>
          <w:sz w:val="21"/>
        </w:rPr>
        <w:t>circumstances</w:t>
      </w:r>
      <w:r>
        <w:rPr>
          <w:color w:val="383638"/>
          <w:spacing w:val="-5"/>
          <w:w w:val="115"/>
          <w:sz w:val="21"/>
        </w:rPr>
        <w:t> </w:t>
      </w:r>
      <w:r>
        <w:rPr>
          <w:color w:val="383638"/>
          <w:spacing w:val="-1"/>
          <w:w w:val="115"/>
          <w:sz w:val="21"/>
        </w:rPr>
        <w:t>test</w:t>
      </w:r>
      <w:r>
        <w:rPr>
          <w:color w:val="383638"/>
          <w:spacing w:val="-8"/>
          <w:w w:val="115"/>
          <w:sz w:val="21"/>
        </w:rPr>
        <w:t> </w:t>
      </w:r>
      <w:r>
        <w:rPr>
          <w:color w:val="383638"/>
          <w:spacing w:val="-1"/>
          <w:w w:val="115"/>
          <w:sz w:val="21"/>
        </w:rPr>
        <w:t>to</w:t>
      </w:r>
      <w:r>
        <w:rPr>
          <w:color w:val="383638"/>
          <w:spacing w:val="3"/>
          <w:w w:val="115"/>
          <w:sz w:val="21"/>
        </w:rPr>
        <w:t> </w:t>
      </w:r>
      <w:r>
        <w:rPr>
          <w:color w:val="383638"/>
          <w:w w:val="115"/>
          <w:sz w:val="21"/>
        </w:rPr>
        <w:t>this</w:t>
      </w:r>
      <w:r>
        <w:rPr>
          <w:color w:val="383638"/>
          <w:spacing w:val="-23"/>
          <w:w w:val="115"/>
          <w:sz w:val="21"/>
        </w:rPr>
        <w:t> </w:t>
      </w:r>
      <w:r>
        <w:rPr>
          <w:color w:val="383638"/>
          <w:w w:val="115"/>
          <w:sz w:val="21"/>
        </w:rPr>
        <w:t>case.</w:t>
      </w:r>
    </w:p>
    <w:p>
      <w:pPr>
        <w:spacing w:line="235" w:lineRule="auto" w:before="0"/>
        <w:ind w:left="1472" w:right="343" w:firstLine="401"/>
        <w:jc w:val="both"/>
        <w:rPr>
          <w:sz w:val="21"/>
        </w:rPr>
      </w:pPr>
      <w:r>
        <w:rPr>
          <w:color w:val="383638"/>
          <w:w w:val="115"/>
          <w:sz w:val="21"/>
        </w:rPr>
        <w:t>Courts</w:t>
      </w:r>
      <w:r>
        <w:rPr>
          <w:color w:val="383638"/>
          <w:spacing w:val="-23"/>
          <w:w w:val="115"/>
          <w:sz w:val="21"/>
        </w:rPr>
        <w:t> </w:t>
      </w:r>
      <w:r>
        <w:rPr>
          <w:color w:val="383638"/>
          <w:w w:val="115"/>
          <w:sz w:val="21"/>
        </w:rPr>
        <w:t>use</w:t>
      </w:r>
      <w:r>
        <w:rPr>
          <w:color w:val="383638"/>
          <w:spacing w:val="-23"/>
          <w:w w:val="115"/>
          <w:sz w:val="21"/>
        </w:rPr>
        <w:t> </w:t>
      </w:r>
      <w:r>
        <w:rPr>
          <w:color w:val="383638"/>
          <w:w w:val="115"/>
          <w:sz w:val="21"/>
        </w:rPr>
        <w:t>the</w:t>
      </w:r>
      <w:r>
        <w:rPr>
          <w:color w:val="383638"/>
          <w:spacing w:val="16"/>
          <w:w w:val="115"/>
          <w:sz w:val="21"/>
        </w:rPr>
        <w:t> </w:t>
      </w:r>
      <w:r>
        <w:rPr>
          <w:color w:val="383638"/>
          <w:w w:val="115"/>
          <w:sz w:val="21"/>
        </w:rPr>
        <w:t>totality</w:t>
      </w:r>
      <w:r>
        <w:rPr>
          <w:color w:val="383638"/>
          <w:spacing w:val="-18"/>
          <w:w w:val="115"/>
          <w:sz w:val="21"/>
        </w:rPr>
        <w:t> </w:t>
      </w:r>
      <w:r>
        <w:rPr>
          <w:color w:val="383638"/>
          <w:w w:val="115"/>
          <w:sz w:val="21"/>
        </w:rPr>
        <w:t>of</w:t>
      </w:r>
      <w:r>
        <w:rPr>
          <w:color w:val="383638"/>
          <w:spacing w:val="-21"/>
          <w:w w:val="115"/>
          <w:sz w:val="21"/>
        </w:rPr>
        <w:t> </w:t>
      </w:r>
      <w:r>
        <w:rPr>
          <w:color w:val="383638"/>
          <w:w w:val="115"/>
          <w:sz w:val="21"/>
        </w:rPr>
        <w:t>the</w:t>
      </w:r>
      <w:r>
        <w:rPr>
          <w:color w:val="383638"/>
          <w:spacing w:val="-2"/>
          <w:w w:val="115"/>
          <w:sz w:val="21"/>
        </w:rPr>
        <w:t> </w:t>
      </w:r>
      <w:r>
        <w:rPr>
          <w:color w:val="383638"/>
          <w:w w:val="115"/>
          <w:sz w:val="21"/>
        </w:rPr>
        <w:t>circumstances</w:t>
      </w:r>
      <w:r>
        <w:rPr>
          <w:color w:val="383638"/>
          <w:spacing w:val="-11"/>
          <w:w w:val="115"/>
          <w:sz w:val="21"/>
        </w:rPr>
        <w:t> </w:t>
      </w:r>
      <w:r>
        <w:rPr>
          <w:color w:val="383638"/>
          <w:w w:val="115"/>
          <w:sz w:val="21"/>
        </w:rPr>
        <w:t>test</w:t>
      </w:r>
      <w:r>
        <w:rPr>
          <w:color w:val="383638"/>
          <w:spacing w:val="-17"/>
          <w:w w:val="115"/>
          <w:sz w:val="21"/>
        </w:rPr>
        <w:t> </w:t>
      </w:r>
      <w:r>
        <w:rPr>
          <w:color w:val="383638"/>
          <w:w w:val="115"/>
          <w:sz w:val="21"/>
        </w:rPr>
        <w:t>to</w:t>
      </w:r>
      <w:r>
        <w:rPr>
          <w:color w:val="383638"/>
          <w:spacing w:val="-16"/>
          <w:w w:val="115"/>
          <w:sz w:val="21"/>
        </w:rPr>
        <w:t> </w:t>
      </w:r>
      <w:r>
        <w:rPr>
          <w:color w:val="383638"/>
          <w:w w:val="115"/>
          <w:sz w:val="21"/>
        </w:rPr>
        <w:t>ascertain</w:t>
      </w:r>
      <w:r>
        <w:rPr>
          <w:color w:val="383638"/>
          <w:spacing w:val="-1"/>
          <w:w w:val="115"/>
          <w:sz w:val="21"/>
        </w:rPr>
        <w:t> </w:t>
      </w:r>
      <w:r>
        <w:rPr>
          <w:color w:val="383638"/>
          <w:w w:val="115"/>
          <w:sz w:val="21"/>
        </w:rPr>
        <w:t>when</w:t>
      </w:r>
      <w:r>
        <w:rPr>
          <w:color w:val="383638"/>
          <w:spacing w:val="-58"/>
          <w:w w:val="115"/>
          <w:sz w:val="21"/>
        </w:rPr>
        <w:t> </w:t>
      </w:r>
      <w:r>
        <w:rPr>
          <w:color w:val="383638"/>
          <w:w w:val="110"/>
          <w:sz w:val="21"/>
        </w:rPr>
        <w:t>police behavior rises to the level of a detention.   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  <w:u w:val="thick" w:color="383638"/>
        </w:rPr>
        <w:t>Florida v. Bostick.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501 U.S. 429, 434 (1991) ("(tJhe encounter [between an officer and a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5"/>
          <w:sz w:val="21"/>
        </w:rPr>
        <w:t>citizen) will not trigger Fourth Amendment scrutiny unless it </w:t>
      </w:r>
      <w:r>
        <w:rPr>
          <w:i/>
          <w:color w:val="383638"/>
          <w:w w:val="115"/>
          <w:sz w:val="22"/>
        </w:rPr>
        <w:t>loses</w:t>
      </w:r>
      <w:r>
        <w:rPr>
          <w:i/>
          <w:color w:val="383638"/>
          <w:spacing w:val="1"/>
          <w:w w:val="115"/>
          <w:sz w:val="22"/>
        </w:rPr>
        <w:t> </w:t>
      </w:r>
      <w:r>
        <w:rPr>
          <w:i/>
          <w:color w:val="383638"/>
          <w:w w:val="110"/>
          <w:sz w:val="22"/>
        </w:rPr>
        <w:t>Its consensual nature") </w:t>
      </w:r>
      <w:r>
        <w:rPr>
          <w:color w:val="383638"/>
          <w:w w:val="110"/>
          <w:sz w:val="21"/>
        </w:rPr>
        <w:t>(emphasis added). Courts have failed to note,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spacing w:val="-1"/>
          <w:w w:val="115"/>
          <w:sz w:val="21"/>
        </w:rPr>
        <w:t>however,</w:t>
      </w:r>
      <w:r>
        <w:rPr>
          <w:color w:val="383638"/>
          <w:spacing w:val="-8"/>
          <w:w w:val="115"/>
          <w:sz w:val="21"/>
        </w:rPr>
        <w:t> </w:t>
      </w:r>
      <w:r>
        <w:rPr>
          <w:color w:val="383638"/>
          <w:spacing w:val="-1"/>
          <w:w w:val="115"/>
          <w:sz w:val="21"/>
        </w:rPr>
        <w:t>that</w:t>
      </w:r>
      <w:r>
        <w:rPr>
          <w:color w:val="383638"/>
          <w:spacing w:val="-27"/>
          <w:w w:val="115"/>
          <w:sz w:val="21"/>
        </w:rPr>
        <w:t> </w:t>
      </w:r>
      <w:r>
        <w:rPr>
          <w:color w:val="383638"/>
          <w:spacing w:val="-1"/>
          <w:w w:val="115"/>
          <w:sz w:val="21"/>
        </w:rPr>
        <w:t>when</w:t>
      </w:r>
      <w:r>
        <w:rPr>
          <w:color w:val="383638"/>
          <w:spacing w:val="-22"/>
          <w:w w:val="115"/>
          <w:sz w:val="21"/>
        </w:rPr>
        <w:t> </w:t>
      </w:r>
      <w:r>
        <w:rPr>
          <w:color w:val="383638"/>
          <w:w w:val="115"/>
          <w:sz w:val="21"/>
        </w:rPr>
        <w:t>a</w:t>
      </w:r>
      <w:r>
        <w:rPr>
          <w:color w:val="383638"/>
          <w:spacing w:val="9"/>
          <w:w w:val="115"/>
          <w:sz w:val="21"/>
        </w:rPr>
        <w:t> </w:t>
      </w:r>
      <w:r>
        <w:rPr>
          <w:color w:val="383638"/>
          <w:w w:val="115"/>
          <w:sz w:val="21"/>
        </w:rPr>
        <w:t>police-citizen</w:t>
      </w:r>
      <w:r>
        <w:rPr>
          <w:color w:val="383638"/>
          <w:spacing w:val="-33"/>
          <w:w w:val="115"/>
          <w:sz w:val="21"/>
        </w:rPr>
        <w:t> </w:t>
      </w:r>
      <w:r>
        <w:rPr>
          <w:color w:val="383638"/>
          <w:w w:val="115"/>
          <w:sz w:val="21"/>
        </w:rPr>
        <w:t>encounter</w:t>
      </w:r>
      <w:r>
        <w:rPr>
          <w:color w:val="383638"/>
          <w:spacing w:val="-11"/>
          <w:w w:val="115"/>
          <w:sz w:val="21"/>
        </w:rPr>
        <w:t> </w:t>
      </w:r>
      <w:r>
        <w:rPr>
          <w:color w:val="383638"/>
          <w:w w:val="115"/>
          <w:sz w:val="21"/>
        </w:rPr>
        <w:t>already</w:t>
      </w:r>
      <w:r>
        <w:rPr>
          <w:color w:val="383638"/>
          <w:spacing w:val="-20"/>
          <w:w w:val="115"/>
          <w:sz w:val="21"/>
        </w:rPr>
        <w:t> </w:t>
      </w:r>
      <w:r>
        <w:rPr>
          <w:color w:val="383638"/>
          <w:w w:val="115"/>
          <w:sz w:val="21"/>
        </w:rPr>
        <w:t>involves</w:t>
      </w:r>
      <w:r>
        <w:rPr>
          <w:color w:val="383638"/>
          <w:spacing w:val="-21"/>
          <w:w w:val="115"/>
          <w:sz w:val="21"/>
        </w:rPr>
        <w:t> </w:t>
      </w:r>
      <w:r>
        <w:rPr>
          <w:color w:val="383638"/>
          <w:w w:val="115"/>
          <w:sz w:val="21"/>
        </w:rPr>
        <w:t>legiti­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mate force over that citizen, an inquiry as to when the encounter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"rises"</w:t>
      </w:r>
      <w:r>
        <w:rPr>
          <w:color w:val="383638"/>
          <w:spacing w:val="-11"/>
          <w:w w:val="115"/>
          <w:sz w:val="21"/>
        </w:rPr>
        <w:t> </w:t>
      </w:r>
      <w:r>
        <w:rPr>
          <w:color w:val="383638"/>
          <w:w w:val="115"/>
          <w:sz w:val="21"/>
        </w:rPr>
        <w:t>to</w:t>
      </w:r>
      <w:r>
        <w:rPr>
          <w:color w:val="383638"/>
          <w:spacing w:val="12"/>
          <w:w w:val="115"/>
          <w:sz w:val="21"/>
        </w:rPr>
        <w:t> </w:t>
      </w:r>
      <w:r>
        <w:rPr>
          <w:color w:val="383638"/>
          <w:w w:val="115"/>
          <w:sz w:val="21"/>
        </w:rPr>
        <w:t>the</w:t>
      </w:r>
      <w:r>
        <w:rPr>
          <w:color w:val="383638"/>
          <w:spacing w:val="23"/>
          <w:w w:val="115"/>
          <w:sz w:val="21"/>
        </w:rPr>
        <w:t> </w:t>
      </w:r>
      <w:r>
        <w:rPr>
          <w:color w:val="383638"/>
          <w:w w:val="115"/>
          <w:sz w:val="21"/>
        </w:rPr>
        <w:t>level</w:t>
      </w:r>
      <w:r>
        <w:rPr>
          <w:color w:val="383638"/>
          <w:spacing w:val="-8"/>
          <w:w w:val="115"/>
          <w:sz w:val="21"/>
        </w:rPr>
        <w:t> </w:t>
      </w:r>
      <w:r>
        <w:rPr>
          <w:color w:val="383638"/>
          <w:w w:val="115"/>
          <w:sz w:val="21"/>
        </w:rPr>
        <w:t>of</w:t>
      </w:r>
      <w:r>
        <w:rPr>
          <w:color w:val="383638"/>
          <w:spacing w:val="-6"/>
          <w:w w:val="115"/>
          <w:sz w:val="21"/>
        </w:rPr>
        <w:t> </w:t>
      </w:r>
      <w:r>
        <w:rPr>
          <w:color w:val="383638"/>
          <w:w w:val="115"/>
          <w:sz w:val="21"/>
        </w:rPr>
        <w:t>a detention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is</w:t>
      </w:r>
      <w:r>
        <w:rPr>
          <w:color w:val="383638"/>
          <w:spacing w:val="-25"/>
          <w:w w:val="115"/>
          <w:sz w:val="21"/>
        </w:rPr>
        <w:t> </w:t>
      </w:r>
      <w:r>
        <w:rPr>
          <w:color w:val="383638"/>
          <w:w w:val="125"/>
          <w:sz w:val="21"/>
        </w:rPr>
        <w:t>inapposite....</w:t>
      </w:r>
    </w:p>
    <w:p>
      <w:pPr>
        <w:spacing w:line="237" w:lineRule="auto" w:before="0"/>
        <w:ind w:left="1449" w:right="351" w:firstLine="359"/>
        <w:jc w:val="both"/>
        <w:rPr>
          <w:sz w:val="21"/>
        </w:rPr>
      </w:pPr>
      <w:r>
        <w:rPr>
          <w:color w:val="59595B"/>
          <w:w w:val="130"/>
          <w:sz w:val="21"/>
        </w:rPr>
        <w:t>.</w:t>
      </w:r>
      <w:r>
        <w:rPr>
          <w:color w:val="383638"/>
          <w:w w:val="130"/>
          <w:sz w:val="21"/>
        </w:rPr>
        <w:t>..Thus, </w:t>
      </w:r>
      <w:r>
        <w:rPr>
          <w:color w:val="383638"/>
          <w:w w:val="115"/>
          <w:sz w:val="21"/>
        </w:rPr>
        <w:t>when a police-citizen encounter begins with the police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officer's assertion of legal authority over the citizen, a subsequent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request to search is part of a "consensual encounter" only if the citi­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zen has objective knowledge either (a) that the legal detention has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ended,</w:t>
      </w:r>
      <w:r>
        <w:rPr>
          <w:color w:val="383638"/>
          <w:spacing w:val="-8"/>
          <w:w w:val="115"/>
          <w:sz w:val="21"/>
        </w:rPr>
        <w:t> </w:t>
      </w:r>
      <w:r>
        <w:rPr>
          <w:color w:val="383638"/>
          <w:w w:val="115"/>
          <w:sz w:val="21"/>
        </w:rPr>
        <w:t>or</w:t>
      </w:r>
      <w:r>
        <w:rPr>
          <w:color w:val="383638"/>
          <w:spacing w:val="17"/>
          <w:w w:val="115"/>
          <w:sz w:val="21"/>
        </w:rPr>
        <w:t> </w:t>
      </w:r>
      <w:r>
        <w:rPr>
          <w:color w:val="383638"/>
          <w:w w:val="115"/>
          <w:sz w:val="19"/>
        </w:rPr>
        <w:t>(b)</w:t>
      </w:r>
      <w:r>
        <w:rPr>
          <w:color w:val="383638"/>
          <w:spacing w:val="15"/>
          <w:w w:val="115"/>
          <w:sz w:val="19"/>
        </w:rPr>
        <w:t> </w:t>
      </w:r>
      <w:r>
        <w:rPr>
          <w:color w:val="383638"/>
          <w:w w:val="115"/>
          <w:sz w:val="21"/>
        </w:rPr>
        <w:t>that</w:t>
      </w:r>
      <w:r>
        <w:rPr>
          <w:color w:val="383638"/>
          <w:spacing w:val="-2"/>
          <w:w w:val="115"/>
          <w:sz w:val="21"/>
        </w:rPr>
        <w:t> </w:t>
      </w:r>
      <w:r>
        <w:rPr>
          <w:color w:val="383638"/>
          <w:w w:val="115"/>
          <w:sz w:val="21"/>
        </w:rPr>
        <w:t>heor</w:t>
      </w:r>
      <w:r>
        <w:rPr>
          <w:color w:val="383638"/>
          <w:spacing w:val="-24"/>
          <w:w w:val="115"/>
          <w:sz w:val="21"/>
        </w:rPr>
        <w:t> </w:t>
      </w:r>
      <w:r>
        <w:rPr>
          <w:color w:val="383638"/>
          <w:w w:val="115"/>
          <w:sz w:val="21"/>
        </w:rPr>
        <w:t>she</w:t>
      </w:r>
      <w:r>
        <w:rPr>
          <w:color w:val="383638"/>
          <w:spacing w:val="-35"/>
          <w:w w:val="115"/>
          <w:sz w:val="21"/>
        </w:rPr>
        <w:t> </w:t>
      </w:r>
      <w:r>
        <w:rPr>
          <w:color w:val="383638"/>
          <w:w w:val="115"/>
          <w:sz w:val="21"/>
        </w:rPr>
        <w:t>is</w:t>
      </w:r>
      <w:r>
        <w:rPr>
          <w:color w:val="383638"/>
          <w:spacing w:val="-37"/>
          <w:w w:val="115"/>
          <w:sz w:val="21"/>
        </w:rPr>
        <w:t> </w:t>
      </w:r>
      <w:r>
        <w:rPr>
          <w:color w:val="383638"/>
          <w:w w:val="115"/>
          <w:sz w:val="21"/>
        </w:rPr>
        <w:t>free</w:t>
      </w:r>
      <w:r>
        <w:rPr>
          <w:color w:val="383638"/>
          <w:spacing w:val="-12"/>
          <w:w w:val="115"/>
          <w:sz w:val="21"/>
        </w:rPr>
        <w:t> </w:t>
      </w:r>
      <w:r>
        <w:rPr>
          <w:color w:val="383638"/>
          <w:w w:val="115"/>
          <w:sz w:val="21"/>
        </w:rPr>
        <w:t>to</w:t>
      </w:r>
      <w:r>
        <w:rPr>
          <w:color w:val="383638"/>
          <w:spacing w:val="9"/>
          <w:w w:val="115"/>
          <w:sz w:val="21"/>
        </w:rPr>
        <w:t> </w:t>
      </w:r>
      <w:r>
        <w:rPr>
          <w:color w:val="383638"/>
          <w:w w:val="115"/>
          <w:sz w:val="21"/>
        </w:rPr>
        <w:t>refuse</w:t>
      </w:r>
      <w:r>
        <w:rPr>
          <w:color w:val="383638"/>
          <w:spacing w:val="-12"/>
          <w:w w:val="115"/>
          <w:sz w:val="21"/>
        </w:rPr>
        <w:t> </w:t>
      </w:r>
      <w:r>
        <w:rPr>
          <w:color w:val="383638"/>
          <w:w w:val="115"/>
          <w:sz w:val="21"/>
        </w:rPr>
        <w:t>consent</w:t>
      </w:r>
      <w:r>
        <w:rPr>
          <w:color w:val="383638"/>
          <w:spacing w:val="4"/>
          <w:w w:val="115"/>
          <w:sz w:val="21"/>
        </w:rPr>
        <w:t> </w:t>
      </w:r>
      <w:r>
        <w:rPr>
          <w:color w:val="383638"/>
          <w:w w:val="115"/>
          <w:sz w:val="21"/>
        </w:rPr>
        <w:t>to</w:t>
      </w:r>
      <w:r>
        <w:rPr>
          <w:color w:val="383638"/>
          <w:spacing w:val="-3"/>
          <w:w w:val="115"/>
          <w:sz w:val="21"/>
        </w:rPr>
        <w:t> </w:t>
      </w:r>
      <w:r>
        <w:rPr>
          <w:color w:val="383638"/>
          <w:w w:val="115"/>
          <w:sz w:val="21"/>
        </w:rPr>
        <w:t>search.</w:t>
      </w:r>
    </w:p>
    <w:p>
      <w:pPr>
        <w:pStyle w:val="BodyText"/>
        <w:spacing w:line="232" w:lineRule="auto" w:before="134"/>
        <w:ind w:left="966" w:right="16" w:firstLine="483"/>
        <w:jc w:val="both"/>
      </w:pPr>
      <w:r>
        <w:rPr>
          <w:color w:val="383638"/>
          <w:w w:val="105"/>
        </w:rPr>
        <w:t>Note that </w:t>
      </w:r>
      <w:r>
        <w:rPr>
          <w:i/>
          <w:color w:val="383638"/>
          <w:w w:val="105"/>
          <w:sz w:val="22"/>
        </w:rPr>
        <w:t>this </w:t>
      </w:r>
      <w:r>
        <w:rPr>
          <w:color w:val="383638"/>
          <w:w w:val="105"/>
        </w:rPr>
        <w:t>analysis is not focused on the reader;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writer is using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the process of writing to figure out, or induce, the underlying legal rule.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This is an example of the "cognitive" stage of legal writing. When moving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from the cognitive stage to the "social perspective" </w:t>
      </w:r>
      <w:r>
        <w:rPr>
          <w:color w:val="383638"/>
          <w:w w:val="120"/>
        </w:rPr>
        <w:t>stage-the </w:t>
      </w:r>
      <w:r>
        <w:rPr>
          <w:color w:val="383638"/>
          <w:w w:val="110"/>
        </w:rPr>
        <w:t>stage 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which you take your readers' needs into account-be sure to revise your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writing with the readers' needs in mind. Regarding the example above</w:t>
      </w:r>
      <w:r>
        <w:rPr>
          <w:color w:val="59595B"/>
          <w:w w:val="105"/>
        </w:rPr>
        <w:t>, </w:t>
      </w:r>
      <w:r>
        <w:rPr>
          <w:color w:val="383638"/>
          <w:w w:val="105"/>
        </w:rPr>
        <w:t>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writer should  remember that legal readers expect to  hear about the rule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as soon as they learn about the legal issue. The writer discovered her rule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only after reviewing several cases and considering </w:t>
      </w:r>
      <w:r>
        <w:rPr>
          <w:color w:val="383638"/>
          <w:w w:val="110"/>
        </w:rPr>
        <w:t>carefully how to draw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lines </w:t>
      </w:r>
      <w:r>
        <w:rPr>
          <w:color w:val="383638"/>
          <w:w w:val="110"/>
        </w:rPr>
        <w:t>between those cases and her case</w:t>
      </w:r>
      <w:r>
        <w:rPr>
          <w:color w:val="59595B"/>
          <w:w w:val="110"/>
        </w:rPr>
        <w:t>. </w:t>
      </w:r>
      <w:r>
        <w:rPr>
          <w:color w:val="383638"/>
          <w:w w:val="110"/>
        </w:rPr>
        <w:t>When presenting this argument to</w:t>
      </w:r>
      <w:r>
        <w:rPr>
          <w:color w:val="383638"/>
          <w:spacing w:val="-61"/>
          <w:w w:val="110"/>
        </w:rPr>
        <w:t> </w:t>
      </w:r>
      <w:r>
        <w:rPr>
          <w:color w:val="383638"/>
          <w:spacing w:val="-1"/>
          <w:w w:val="110"/>
        </w:rPr>
        <w:t>the reader, however</w:t>
      </w:r>
      <w:r>
        <w:rPr>
          <w:color w:val="59595B"/>
          <w:spacing w:val="-1"/>
          <w:w w:val="110"/>
        </w:rPr>
        <w:t>, </w:t>
      </w:r>
      <w:r>
        <w:rPr>
          <w:color w:val="383638"/>
          <w:w w:val="110"/>
        </w:rPr>
        <w:t>she should place the newly induced rule early In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argument:</w:t>
      </w:r>
    </w:p>
    <w:p>
      <w:pPr>
        <w:spacing w:line="235" w:lineRule="auto" w:before="147"/>
        <w:ind w:left="1237" w:right="431" w:firstLine="457"/>
        <w:jc w:val="both"/>
        <w:rPr>
          <w:sz w:val="21"/>
        </w:rPr>
      </w:pPr>
      <w:r>
        <w:rPr/>
        <w:pict>
          <v:shape style="position:absolute;margin-left:401.142487pt;margin-top:94.859985pt;width:16.95pt;height:20.6pt;mso-position-horizontal-relative:page;mso-position-vertical-relative:paragraph;z-index:-21602816" type="#_x0000_t202" id="docshape183" filled="false" stroked="false">
            <v:textbox inset="0,0,0,0">
              <w:txbxContent>
                <w:p>
                  <w:pPr>
                    <w:spacing w:line="411" w:lineRule="exact" w:before="0"/>
                    <w:ind w:left="0" w:right="0" w:firstLine="0"/>
                    <w:jc w:val="left"/>
                    <w:rPr>
                      <w:sz w:val="37"/>
                    </w:rPr>
                  </w:pPr>
                  <w:r>
                    <w:rPr>
                      <w:color w:val="383638"/>
                      <w:w w:val="117"/>
                      <w:sz w:val="37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color w:val="383638"/>
          <w:w w:val="115"/>
          <w:sz w:val="21"/>
        </w:rPr>
        <w:t>Because the encounter between Robinette and Officer Newsome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20"/>
          <w:sz w:val="21"/>
        </w:rPr>
        <w:t>began with an assertion of police authority-and because Robinette</w:t>
      </w:r>
      <w:r>
        <w:rPr>
          <w:color w:val="383638"/>
          <w:spacing w:val="1"/>
          <w:w w:val="120"/>
          <w:sz w:val="21"/>
        </w:rPr>
        <w:t> </w:t>
      </w:r>
      <w:r>
        <w:rPr>
          <w:color w:val="383638"/>
          <w:w w:val="120"/>
          <w:sz w:val="21"/>
        </w:rPr>
        <w:t>never knew that the assertion of police authority  had ended-cases</w:t>
      </w:r>
      <w:r>
        <w:rPr>
          <w:color w:val="383638"/>
          <w:spacing w:val="1"/>
          <w:w w:val="120"/>
          <w:sz w:val="21"/>
        </w:rPr>
        <w:t> </w:t>
      </w:r>
      <w:r>
        <w:rPr>
          <w:color w:val="383638"/>
          <w:w w:val="120"/>
          <w:sz w:val="21"/>
        </w:rPr>
        <w:t>in which this court analyzes "consensual encounters" are inappo­</w:t>
      </w:r>
      <w:r>
        <w:rPr>
          <w:color w:val="383638"/>
          <w:spacing w:val="1"/>
          <w:w w:val="120"/>
          <w:sz w:val="21"/>
        </w:rPr>
        <w:t> </w:t>
      </w:r>
      <w:r>
        <w:rPr>
          <w:color w:val="383638"/>
          <w:w w:val="115"/>
          <w:sz w:val="21"/>
        </w:rPr>
        <w:t>site</w:t>
      </w:r>
      <w:r>
        <w:rPr>
          <w:color w:val="59595B"/>
          <w:w w:val="115"/>
          <w:sz w:val="21"/>
        </w:rPr>
        <w:t>. </w:t>
      </w:r>
      <w:r>
        <w:rPr>
          <w:color w:val="383638"/>
          <w:w w:val="115"/>
          <w:sz w:val="21"/>
        </w:rPr>
        <w:t>When a police-citizen encounter begins with the police officer's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20"/>
          <w:sz w:val="21"/>
        </w:rPr>
        <w:t>assertion  of legal authority over the  citizen, a subsequent request</w:t>
      </w:r>
      <w:r>
        <w:rPr>
          <w:color w:val="383638"/>
          <w:spacing w:val="1"/>
          <w:w w:val="120"/>
          <w:sz w:val="21"/>
        </w:rPr>
        <w:t> </w:t>
      </w:r>
      <w:r>
        <w:rPr>
          <w:color w:val="383638"/>
          <w:w w:val="120"/>
          <w:sz w:val="21"/>
        </w:rPr>
        <w:t>to search is part of a "consensual encounter'' only if the citizen has</w:t>
      </w:r>
      <w:r>
        <w:rPr>
          <w:color w:val="383638"/>
          <w:spacing w:val="1"/>
          <w:w w:val="120"/>
          <w:sz w:val="21"/>
        </w:rPr>
        <w:t> </w:t>
      </w:r>
      <w:r>
        <w:rPr>
          <w:color w:val="383638"/>
          <w:w w:val="120"/>
          <w:sz w:val="21"/>
        </w:rPr>
        <w:t>objective</w:t>
      </w:r>
      <w:r>
        <w:rPr>
          <w:color w:val="383638"/>
          <w:spacing w:val="32"/>
          <w:w w:val="120"/>
          <w:sz w:val="21"/>
        </w:rPr>
        <w:t> </w:t>
      </w:r>
      <w:r>
        <w:rPr>
          <w:color w:val="383638"/>
          <w:w w:val="120"/>
          <w:sz w:val="21"/>
        </w:rPr>
        <w:t>knowledge</w:t>
      </w:r>
      <w:r>
        <w:rPr>
          <w:color w:val="383638"/>
          <w:spacing w:val="26"/>
          <w:w w:val="120"/>
          <w:sz w:val="21"/>
        </w:rPr>
        <w:t> </w:t>
      </w:r>
      <w:r>
        <w:rPr>
          <w:color w:val="383638"/>
          <w:w w:val="120"/>
          <w:sz w:val="21"/>
        </w:rPr>
        <w:t>either</w:t>
      </w:r>
      <w:r>
        <w:rPr>
          <w:color w:val="383638"/>
          <w:spacing w:val="17"/>
          <w:w w:val="120"/>
          <w:sz w:val="21"/>
        </w:rPr>
        <w:t> </w:t>
      </w:r>
      <w:r>
        <w:rPr>
          <w:color w:val="383638"/>
          <w:w w:val="120"/>
          <w:sz w:val="21"/>
        </w:rPr>
        <w:t>(a)</w:t>
      </w:r>
      <w:r>
        <w:rPr>
          <w:color w:val="383638"/>
          <w:spacing w:val="-4"/>
          <w:w w:val="120"/>
          <w:sz w:val="21"/>
        </w:rPr>
        <w:t> </w:t>
      </w:r>
      <w:r>
        <w:rPr>
          <w:color w:val="383638"/>
          <w:w w:val="120"/>
          <w:sz w:val="21"/>
        </w:rPr>
        <w:t>that</w:t>
      </w:r>
      <w:r>
        <w:rPr>
          <w:color w:val="383638"/>
          <w:spacing w:val="28"/>
          <w:w w:val="120"/>
          <w:sz w:val="21"/>
        </w:rPr>
        <w:t> </w:t>
      </w:r>
      <w:r>
        <w:rPr>
          <w:color w:val="383638"/>
          <w:w w:val="120"/>
          <w:sz w:val="21"/>
        </w:rPr>
        <w:t>the</w:t>
      </w:r>
      <w:r>
        <w:rPr>
          <w:color w:val="383638"/>
          <w:spacing w:val="1"/>
          <w:w w:val="120"/>
          <w:sz w:val="21"/>
        </w:rPr>
        <w:t> </w:t>
      </w:r>
      <w:r>
        <w:rPr>
          <w:color w:val="383638"/>
          <w:w w:val="120"/>
          <w:sz w:val="21"/>
        </w:rPr>
        <w:t>legal</w:t>
      </w:r>
      <w:r>
        <w:rPr>
          <w:color w:val="383638"/>
          <w:spacing w:val="20"/>
          <w:w w:val="120"/>
          <w:sz w:val="21"/>
        </w:rPr>
        <w:t> </w:t>
      </w:r>
      <w:r>
        <w:rPr>
          <w:color w:val="383638"/>
          <w:w w:val="120"/>
          <w:sz w:val="21"/>
        </w:rPr>
        <w:t>detention</w:t>
      </w:r>
      <w:r>
        <w:rPr>
          <w:color w:val="383638"/>
          <w:spacing w:val="44"/>
          <w:w w:val="120"/>
          <w:sz w:val="21"/>
        </w:rPr>
        <w:t> </w:t>
      </w:r>
      <w:r>
        <w:rPr>
          <w:color w:val="383638"/>
          <w:w w:val="120"/>
          <w:sz w:val="21"/>
        </w:rPr>
        <w:t>has</w:t>
      </w:r>
      <w:r>
        <w:rPr>
          <w:color w:val="383638"/>
          <w:spacing w:val="15"/>
          <w:w w:val="120"/>
          <w:sz w:val="21"/>
        </w:rPr>
        <w:t> </w:t>
      </w:r>
      <w:r>
        <w:rPr>
          <w:color w:val="383638"/>
          <w:w w:val="120"/>
          <w:sz w:val="21"/>
        </w:rPr>
        <w:t>ended,</w:t>
      </w:r>
    </w:p>
    <w:p>
      <w:pPr>
        <w:tabs>
          <w:tab w:pos="7052" w:val="left" w:leader="none"/>
        </w:tabs>
        <w:spacing w:line="241" w:lineRule="exact" w:before="0"/>
        <w:ind w:left="1217" w:right="0" w:firstLine="0"/>
        <w:jc w:val="left"/>
        <w:rPr>
          <w:rFonts w:ascii="Arial"/>
          <w:sz w:val="25"/>
        </w:rPr>
      </w:pPr>
      <w:r>
        <w:rPr>
          <w:color w:val="383638"/>
          <w:w w:val="120"/>
          <w:sz w:val="21"/>
        </w:rPr>
        <w:t>or</w:t>
      </w:r>
      <w:r>
        <w:rPr>
          <w:color w:val="383638"/>
          <w:spacing w:val="16"/>
          <w:w w:val="120"/>
          <w:sz w:val="21"/>
        </w:rPr>
        <w:t> </w:t>
      </w:r>
      <w:r>
        <w:rPr>
          <w:color w:val="383638"/>
          <w:w w:val="120"/>
          <w:sz w:val="19"/>
        </w:rPr>
        <w:t>(b)</w:t>
      </w:r>
      <w:r>
        <w:rPr>
          <w:color w:val="383638"/>
          <w:spacing w:val="19"/>
          <w:w w:val="120"/>
          <w:sz w:val="19"/>
        </w:rPr>
        <w:t> </w:t>
      </w:r>
      <w:r>
        <w:rPr>
          <w:color w:val="383638"/>
          <w:w w:val="120"/>
          <w:sz w:val="21"/>
        </w:rPr>
        <w:t>that</w:t>
      </w:r>
      <w:r>
        <w:rPr>
          <w:color w:val="383638"/>
          <w:spacing w:val="14"/>
          <w:w w:val="120"/>
          <w:sz w:val="21"/>
        </w:rPr>
        <w:t> </w:t>
      </w:r>
      <w:r>
        <w:rPr>
          <w:color w:val="383638"/>
          <w:w w:val="120"/>
          <w:sz w:val="21"/>
        </w:rPr>
        <w:t>he</w:t>
      </w:r>
      <w:r>
        <w:rPr>
          <w:color w:val="383638"/>
          <w:spacing w:val="-23"/>
          <w:w w:val="120"/>
          <w:sz w:val="21"/>
        </w:rPr>
        <w:t> </w:t>
      </w:r>
      <w:r>
        <w:rPr>
          <w:color w:val="383638"/>
          <w:w w:val="120"/>
          <w:sz w:val="21"/>
        </w:rPr>
        <w:t>or</w:t>
      </w:r>
      <w:r>
        <w:rPr>
          <w:color w:val="383638"/>
          <w:spacing w:val="-28"/>
          <w:w w:val="120"/>
          <w:sz w:val="21"/>
        </w:rPr>
        <w:t> </w:t>
      </w:r>
      <w:r>
        <w:rPr>
          <w:color w:val="383638"/>
          <w:w w:val="120"/>
          <w:sz w:val="21"/>
        </w:rPr>
        <w:t>she</w:t>
      </w:r>
      <w:r>
        <w:rPr>
          <w:color w:val="383638"/>
          <w:spacing w:val="-35"/>
          <w:w w:val="120"/>
          <w:sz w:val="21"/>
        </w:rPr>
        <w:t> </w:t>
      </w:r>
      <w:r>
        <w:rPr>
          <w:color w:val="383638"/>
          <w:w w:val="120"/>
          <w:sz w:val="21"/>
        </w:rPr>
        <w:t>is</w:t>
      </w:r>
      <w:r>
        <w:rPr>
          <w:color w:val="383638"/>
          <w:spacing w:val="-29"/>
          <w:w w:val="120"/>
          <w:sz w:val="21"/>
        </w:rPr>
        <w:t> </w:t>
      </w:r>
      <w:r>
        <w:rPr>
          <w:color w:val="383638"/>
          <w:w w:val="120"/>
          <w:sz w:val="21"/>
        </w:rPr>
        <w:t>free</w:t>
      </w:r>
      <w:r>
        <w:rPr>
          <w:color w:val="383638"/>
          <w:spacing w:val="-17"/>
          <w:w w:val="120"/>
          <w:sz w:val="21"/>
        </w:rPr>
        <w:t> </w:t>
      </w:r>
      <w:r>
        <w:rPr>
          <w:color w:val="383638"/>
          <w:w w:val="120"/>
          <w:sz w:val="21"/>
        </w:rPr>
        <w:t>to</w:t>
      </w:r>
      <w:r>
        <w:rPr>
          <w:color w:val="383638"/>
          <w:spacing w:val="9"/>
          <w:w w:val="120"/>
          <w:sz w:val="21"/>
        </w:rPr>
        <w:t> </w:t>
      </w:r>
      <w:r>
        <w:rPr>
          <w:color w:val="383638"/>
          <w:w w:val="120"/>
          <w:sz w:val="21"/>
        </w:rPr>
        <w:t>r</w:t>
      </w:r>
      <w:r>
        <w:rPr>
          <w:color w:val="59595B"/>
          <w:w w:val="120"/>
          <w:sz w:val="21"/>
        </w:rPr>
        <w:t>e</w:t>
      </w:r>
      <w:r>
        <w:rPr>
          <w:color w:val="383638"/>
          <w:w w:val="120"/>
          <w:sz w:val="21"/>
        </w:rPr>
        <w:t>fuse</w:t>
      </w:r>
      <w:r>
        <w:rPr>
          <w:color w:val="383638"/>
          <w:spacing w:val="8"/>
          <w:w w:val="120"/>
          <w:sz w:val="21"/>
        </w:rPr>
        <w:t> </w:t>
      </w:r>
      <w:r>
        <w:rPr>
          <w:color w:val="383638"/>
          <w:w w:val="120"/>
          <w:sz w:val="21"/>
        </w:rPr>
        <w:t>consent</w:t>
      </w:r>
      <w:r>
        <w:rPr>
          <w:color w:val="383638"/>
          <w:spacing w:val="-4"/>
          <w:w w:val="120"/>
          <w:sz w:val="21"/>
        </w:rPr>
        <w:t> </w:t>
      </w:r>
      <w:r>
        <w:rPr>
          <w:color w:val="383638"/>
          <w:w w:val="120"/>
          <w:sz w:val="21"/>
        </w:rPr>
        <w:t>to search.</w:t>
        <w:tab/>
      </w:r>
      <w:r>
        <w:rPr>
          <w:color w:val="383638"/>
          <w:sz w:val="23"/>
          <w:u w:val="thick" w:color="383638"/>
        </w:rPr>
        <w:t>florida</w:t>
      </w:r>
      <w:r>
        <w:rPr>
          <w:color w:val="383638"/>
          <w:spacing w:val="-3"/>
          <w:sz w:val="23"/>
          <w:u w:val="thick" w:color="383638"/>
        </w:rPr>
        <w:t> </w:t>
      </w:r>
      <w:r>
        <w:rPr>
          <w:rFonts w:ascii="Arial"/>
          <w:color w:val="383638"/>
          <w:w w:val="95"/>
          <w:sz w:val="25"/>
          <w:u w:val="thick" w:color="383638"/>
        </w:rPr>
        <w:t>v...</w:t>
      </w:r>
      <w:r>
        <w:rPr>
          <w:rFonts w:ascii="Arial"/>
          <w:color w:val="383638"/>
          <w:w w:val="95"/>
          <w:sz w:val="25"/>
        </w:rPr>
        <w:t>.</w:t>
      </w:r>
    </w:p>
    <w:p>
      <w:pPr>
        <w:spacing w:after="0" w:line="241" w:lineRule="exact"/>
        <w:jc w:val="left"/>
        <w:rPr>
          <w:rFonts w:ascii="Arial"/>
          <w:sz w:val="25"/>
        </w:rPr>
        <w:sectPr>
          <w:pgSz w:w="9830" w:h="13800"/>
          <w:pgMar w:header="443" w:footer="0" w:top="960" w:bottom="0" w:left="1360" w:right="0"/>
        </w:sectPr>
      </w:pPr>
    </w:p>
    <w:p>
      <w:pPr>
        <w:pStyle w:val="BodyText"/>
        <w:spacing w:before="5"/>
        <w:rPr>
          <w:rFonts w:ascii="Arial"/>
          <w:sz w:val="28"/>
        </w:rPr>
      </w:pPr>
    </w:p>
    <w:p>
      <w:pPr>
        <w:spacing w:line="335" w:lineRule="exact" w:before="88"/>
        <w:ind w:left="465" w:right="0" w:firstLine="0"/>
        <w:jc w:val="left"/>
        <w:rPr>
          <w:sz w:val="20"/>
        </w:rPr>
      </w:pPr>
      <w:r>
        <w:rPr>
          <w:color w:val="3B383A"/>
          <w:w w:val="115"/>
          <w:sz w:val="20"/>
          <w:u w:val="thick" w:color="3B383A"/>
        </w:rPr>
        <w:t>Bostick,</w:t>
      </w:r>
      <w:r>
        <w:rPr>
          <w:color w:val="3B383A"/>
          <w:spacing w:val="31"/>
          <w:w w:val="115"/>
          <w:sz w:val="20"/>
        </w:rPr>
        <w:t> </w:t>
      </w:r>
      <w:r>
        <w:rPr>
          <w:color w:val="3B383A"/>
          <w:w w:val="115"/>
          <w:sz w:val="20"/>
        </w:rPr>
        <w:t>501  </w:t>
      </w:r>
      <w:r>
        <w:rPr>
          <w:color w:val="3B383A"/>
          <w:w w:val="115"/>
          <w:sz w:val="30"/>
        </w:rPr>
        <w:t>u.s.</w:t>
      </w:r>
      <w:r>
        <w:rPr>
          <w:color w:val="3B383A"/>
          <w:spacing w:val="-26"/>
          <w:w w:val="115"/>
          <w:sz w:val="30"/>
        </w:rPr>
        <w:t> </w:t>
      </w:r>
      <w:r>
        <w:rPr>
          <w:color w:val="3B383A"/>
          <w:w w:val="115"/>
          <w:sz w:val="19"/>
        </w:rPr>
        <w:t>429,</w:t>
      </w:r>
      <w:r>
        <w:rPr>
          <w:color w:val="3B383A"/>
          <w:spacing w:val="23"/>
          <w:w w:val="115"/>
          <w:sz w:val="19"/>
        </w:rPr>
        <w:t> </w:t>
      </w:r>
      <w:r>
        <w:rPr>
          <w:color w:val="3B383A"/>
          <w:w w:val="115"/>
          <w:sz w:val="19"/>
        </w:rPr>
        <w:t>434</w:t>
      </w:r>
      <w:r>
        <w:rPr>
          <w:color w:val="3B383A"/>
          <w:spacing w:val="21"/>
          <w:w w:val="115"/>
          <w:sz w:val="19"/>
        </w:rPr>
        <w:t> </w:t>
      </w:r>
      <w:r>
        <w:rPr>
          <w:color w:val="3B383A"/>
          <w:w w:val="115"/>
          <w:sz w:val="20"/>
        </w:rPr>
        <w:t>(1991);</w:t>
      </w:r>
      <w:r>
        <w:rPr>
          <w:color w:val="3B383A"/>
          <w:spacing w:val="24"/>
          <w:w w:val="115"/>
          <w:sz w:val="20"/>
        </w:rPr>
        <w:t> </w:t>
      </w:r>
      <w:r>
        <w:rPr>
          <w:color w:val="3B383A"/>
          <w:w w:val="115"/>
          <w:sz w:val="23"/>
          <w:u w:val="thick" w:color="3B383A"/>
        </w:rPr>
        <w:t>United</w:t>
      </w:r>
      <w:r>
        <w:rPr>
          <w:color w:val="3B383A"/>
          <w:spacing w:val="31"/>
          <w:w w:val="115"/>
          <w:sz w:val="23"/>
          <w:u w:val="thick" w:color="3B383A"/>
        </w:rPr>
        <w:t> </w:t>
      </w:r>
      <w:r>
        <w:rPr>
          <w:color w:val="3B383A"/>
          <w:w w:val="115"/>
          <w:sz w:val="20"/>
          <w:u w:val="thick" w:color="3B383A"/>
        </w:rPr>
        <w:t>States</w:t>
      </w:r>
      <w:r>
        <w:rPr>
          <w:color w:val="3B383A"/>
          <w:spacing w:val="30"/>
          <w:w w:val="115"/>
          <w:sz w:val="20"/>
          <w:u w:val="thick" w:color="3B383A"/>
        </w:rPr>
        <w:t> </w:t>
      </w:r>
      <w:r>
        <w:rPr>
          <w:color w:val="3B383A"/>
          <w:w w:val="115"/>
          <w:sz w:val="23"/>
          <w:u w:val="thick" w:color="3B383A"/>
        </w:rPr>
        <w:t>v.</w:t>
      </w:r>
      <w:r>
        <w:rPr>
          <w:color w:val="3B383A"/>
          <w:spacing w:val="9"/>
          <w:w w:val="115"/>
          <w:sz w:val="23"/>
          <w:u w:val="thick" w:color="3B383A"/>
        </w:rPr>
        <w:t> </w:t>
      </w:r>
      <w:r>
        <w:rPr>
          <w:color w:val="3B383A"/>
          <w:w w:val="115"/>
          <w:sz w:val="20"/>
          <w:u w:val="thick" w:color="3B383A"/>
        </w:rPr>
        <w:t>Mendenhall.</w:t>
      </w:r>
      <w:r>
        <w:rPr>
          <w:color w:val="3B383A"/>
          <w:spacing w:val="45"/>
          <w:w w:val="115"/>
          <w:sz w:val="20"/>
        </w:rPr>
        <w:t> </w:t>
      </w:r>
      <w:r>
        <w:rPr>
          <w:color w:val="3B383A"/>
          <w:w w:val="115"/>
          <w:sz w:val="20"/>
        </w:rPr>
        <w:t>446</w:t>
      </w:r>
    </w:p>
    <w:p>
      <w:pPr>
        <w:spacing w:line="231" w:lineRule="exact" w:before="0"/>
        <w:ind w:left="464" w:right="0" w:firstLine="0"/>
        <w:jc w:val="left"/>
        <w:rPr>
          <w:b/>
          <w:sz w:val="21"/>
        </w:rPr>
      </w:pPr>
      <w:r>
        <w:rPr>
          <w:b/>
          <w:color w:val="3B383A"/>
          <w:w w:val="110"/>
          <w:sz w:val="21"/>
        </w:rPr>
        <w:t>U.S.</w:t>
      </w:r>
      <w:r>
        <w:rPr>
          <w:b/>
          <w:color w:val="3B383A"/>
          <w:spacing w:val="-8"/>
          <w:w w:val="110"/>
          <w:sz w:val="21"/>
        </w:rPr>
        <w:t> </w:t>
      </w:r>
      <w:r>
        <w:rPr>
          <w:b/>
          <w:color w:val="3B383A"/>
          <w:w w:val="110"/>
          <w:sz w:val="21"/>
        </w:rPr>
        <w:t>544,</w:t>
      </w:r>
      <w:r>
        <w:rPr>
          <w:b/>
          <w:color w:val="3B383A"/>
          <w:spacing w:val="2"/>
          <w:w w:val="110"/>
          <w:sz w:val="21"/>
        </w:rPr>
        <w:t> </w:t>
      </w:r>
      <w:r>
        <w:rPr>
          <w:b/>
          <w:color w:val="3B383A"/>
          <w:w w:val="110"/>
          <w:sz w:val="21"/>
        </w:rPr>
        <w:t>555</w:t>
      </w:r>
      <w:r>
        <w:rPr>
          <w:b/>
          <w:color w:val="3B383A"/>
          <w:spacing w:val="2"/>
          <w:w w:val="110"/>
          <w:sz w:val="21"/>
        </w:rPr>
        <w:t> </w:t>
      </w:r>
      <w:r>
        <w:rPr>
          <w:b/>
          <w:color w:val="3B383A"/>
          <w:w w:val="110"/>
          <w:sz w:val="21"/>
        </w:rPr>
        <w:t>(1980).</w:t>
      </w:r>
    </w:p>
    <w:p>
      <w:pPr>
        <w:pStyle w:val="BodyText"/>
        <w:spacing w:before="135"/>
        <w:ind w:left="103" w:right="271" w:firstLine="361"/>
        <w:jc w:val="both"/>
      </w:pPr>
      <w:r>
        <w:rPr>
          <w:color w:val="3B383A"/>
          <w:w w:val="110"/>
        </w:rPr>
        <w:t>However you find your rule, be sure to state it explicitly early within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the appropriate section of the argument. In this way, you satisfy the read­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er's expectations and allow him or her to understand your analysis more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easily.</w:t>
      </w:r>
    </w:p>
    <w:p>
      <w:pPr>
        <w:pStyle w:val="BodyText"/>
        <w:spacing w:before="9"/>
        <w:rPr>
          <w:sz w:val="32"/>
        </w:rPr>
      </w:pPr>
    </w:p>
    <w:p>
      <w:pPr>
        <w:spacing w:before="0"/>
        <w:ind w:left="437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B383A"/>
          <w:w w:val="105"/>
          <w:sz w:val="28"/>
        </w:rPr>
        <w:t>5.1.3</w:t>
      </w:r>
    </w:p>
    <w:p>
      <w:pPr>
        <w:spacing w:before="33"/>
        <w:ind w:left="442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3B383A"/>
          <w:w w:val="95"/>
          <w:sz w:val="23"/>
        </w:rPr>
        <w:t>EXPLAIN</w:t>
      </w:r>
      <w:r>
        <w:rPr>
          <w:rFonts w:ascii="Arial"/>
          <w:b/>
          <w:color w:val="3B383A"/>
          <w:spacing w:val="14"/>
          <w:w w:val="95"/>
          <w:sz w:val="23"/>
        </w:rPr>
        <w:t> </w:t>
      </w:r>
      <w:r>
        <w:rPr>
          <w:rFonts w:ascii="Arial"/>
          <w:b/>
          <w:color w:val="3B383A"/>
          <w:w w:val="95"/>
          <w:sz w:val="23"/>
        </w:rPr>
        <w:t>THE</w:t>
      </w:r>
      <w:r>
        <w:rPr>
          <w:rFonts w:ascii="Arial"/>
          <w:b/>
          <w:color w:val="3B383A"/>
          <w:spacing w:val="5"/>
          <w:w w:val="95"/>
          <w:sz w:val="23"/>
        </w:rPr>
        <w:t> </w:t>
      </w:r>
      <w:r>
        <w:rPr>
          <w:rFonts w:ascii="Arial"/>
          <w:b/>
          <w:color w:val="3B383A"/>
          <w:w w:val="95"/>
          <w:sz w:val="23"/>
        </w:rPr>
        <w:t>RULE</w:t>
      </w:r>
    </w:p>
    <w:p>
      <w:pPr>
        <w:pStyle w:val="BodyText"/>
        <w:spacing w:line="235" w:lineRule="auto" w:before="155"/>
        <w:ind w:left="104" w:right="238" w:firstLine="362"/>
        <w:jc w:val="both"/>
      </w:pPr>
      <w:r>
        <w:rPr>
          <w:color w:val="3B383A"/>
          <w:w w:val="110"/>
        </w:rPr>
        <w:t>After you have articulated the rule, you must provide your reader with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any needed explanation of the rule. Before you explain the rule, however,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you must decide which part of the rule you are focusing on in the particu­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lar subsection of your argument. Usually, controversies about whether or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how a rule applies will focus on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certain words or phrases that are at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heart of the controversy regarding that rule. As noted in Chapter Four, you</w:t>
      </w:r>
      <w:r>
        <w:rPr>
          <w:color w:val="3B383A"/>
          <w:spacing w:val="-61"/>
          <w:w w:val="110"/>
        </w:rPr>
        <w:t> </w:t>
      </w:r>
      <w:r>
        <w:rPr>
          <w:color w:val="3B383A"/>
          <w:w w:val="110"/>
        </w:rPr>
        <w:t>can refer</w:t>
      </w:r>
      <w:r>
        <w:rPr>
          <w:color w:val="3B383A"/>
          <w:spacing w:val="-13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10"/>
          <w:w w:val="110"/>
        </w:rPr>
        <w:t> </w:t>
      </w:r>
      <w:r>
        <w:rPr>
          <w:color w:val="3B383A"/>
          <w:w w:val="110"/>
        </w:rPr>
        <w:t>each</w:t>
      </w:r>
      <w:r>
        <w:rPr>
          <w:color w:val="3B383A"/>
          <w:spacing w:val="-6"/>
          <w:w w:val="110"/>
        </w:rPr>
        <w:t> </w:t>
      </w:r>
      <w:r>
        <w:rPr>
          <w:color w:val="3B383A"/>
          <w:w w:val="110"/>
        </w:rPr>
        <w:t>controversial</w:t>
      </w:r>
      <w:r>
        <w:rPr>
          <w:color w:val="3B383A"/>
          <w:spacing w:val="11"/>
          <w:w w:val="110"/>
        </w:rPr>
        <w:t> </w:t>
      </w:r>
      <w:r>
        <w:rPr>
          <w:color w:val="3B383A"/>
          <w:w w:val="110"/>
        </w:rPr>
        <w:t>word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or</w:t>
      </w:r>
      <w:r>
        <w:rPr>
          <w:color w:val="3B383A"/>
          <w:spacing w:val="9"/>
          <w:w w:val="110"/>
        </w:rPr>
        <w:t> </w:t>
      </w:r>
      <w:r>
        <w:rPr>
          <w:color w:val="3B383A"/>
          <w:w w:val="110"/>
        </w:rPr>
        <w:t>phrase</w:t>
      </w:r>
      <w:r>
        <w:rPr>
          <w:color w:val="3B383A"/>
          <w:spacing w:val="-28"/>
          <w:w w:val="110"/>
        </w:rPr>
        <w:t> </w:t>
      </w:r>
      <w:r>
        <w:rPr>
          <w:color w:val="3B383A"/>
          <w:w w:val="110"/>
        </w:rPr>
        <w:t>as</w:t>
      </w:r>
      <w:r>
        <w:rPr>
          <w:color w:val="3B383A"/>
          <w:spacing w:val="-17"/>
          <w:w w:val="110"/>
        </w:rPr>
        <w:t> </w:t>
      </w:r>
      <w:r>
        <w:rPr>
          <w:color w:val="3B383A"/>
          <w:w w:val="110"/>
        </w:rPr>
        <w:t>a</w:t>
      </w:r>
      <w:r>
        <w:rPr>
          <w:color w:val="3B383A"/>
          <w:spacing w:val="-8"/>
          <w:w w:val="110"/>
        </w:rPr>
        <w:t> </w:t>
      </w:r>
      <w:r>
        <w:rPr>
          <w:color w:val="3B383A"/>
          <w:w w:val="110"/>
        </w:rPr>
        <w:t>"key</w:t>
      </w:r>
      <w:r>
        <w:rPr>
          <w:color w:val="3B383A"/>
          <w:spacing w:val="-10"/>
          <w:w w:val="110"/>
        </w:rPr>
        <w:t> </w:t>
      </w:r>
      <w:r>
        <w:rPr>
          <w:color w:val="3B383A"/>
          <w:w w:val="110"/>
        </w:rPr>
        <w:t>term"</w:t>
      </w:r>
      <w:r>
        <w:rPr>
          <w:color w:val="3B383A"/>
          <w:spacing w:val="-30"/>
          <w:w w:val="110"/>
        </w:rPr>
        <w:t> </w:t>
      </w:r>
      <w:r>
        <w:rPr>
          <w:color w:val="3B383A"/>
          <w:w w:val="110"/>
        </w:rPr>
        <w:t>or</w:t>
      </w:r>
      <w:r>
        <w:rPr>
          <w:color w:val="3B383A"/>
          <w:spacing w:val="-12"/>
          <w:w w:val="110"/>
        </w:rPr>
        <w:t> </w:t>
      </w:r>
      <w:r>
        <w:rPr>
          <w:color w:val="3B383A"/>
          <w:w w:val="110"/>
        </w:rPr>
        <w:t>a</w:t>
      </w:r>
      <w:r>
        <w:rPr>
          <w:color w:val="3B383A"/>
          <w:spacing w:val="-12"/>
          <w:w w:val="110"/>
        </w:rPr>
        <w:t> </w:t>
      </w:r>
      <w:r>
        <w:rPr>
          <w:color w:val="3B383A"/>
          <w:w w:val="110"/>
        </w:rPr>
        <w:t>"phrase­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that-pays." By focusing on one phrase-that-pays within each subsection of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the document, you ensure that you are focusing on one  issue or sub-issue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5"/>
        </w:rPr>
        <w:t>at a time. Thus, after you have articulated your rule, scrutinize that rule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0"/>
        </w:rPr>
        <w:t>and decide what words or phrases constitute the phrase-that-pays for that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5"/>
        </w:rPr>
        <w:t>section</w:t>
      </w:r>
      <w:r>
        <w:rPr>
          <w:color w:val="3B383A"/>
          <w:spacing w:val="-19"/>
          <w:w w:val="115"/>
        </w:rPr>
        <w:t> </w:t>
      </w:r>
      <w:r>
        <w:rPr>
          <w:color w:val="3B383A"/>
          <w:w w:val="115"/>
        </w:rPr>
        <w:t>of</w:t>
      </w:r>
      <w:r>
        <w:rPr>
          <w:color w:val="3B383A"/>
          <w:spacing w:val="7"/>
          <w:w w:val="115"/>
        </w:rPr>
        <w:t> </w:t>
      </w:r>
      <w:r>
        <w:rPr>
          <w:color w:val="3B383A"/>
          <w:w w:val="115"/>
        </w:rPr>
        <w:t>the</w:t>
      </w:r>
      <w:r>
        <w:rPr>
          <w:color w:val="3B383A"/>
          <w:spacing w:val="35"/>
          <w:w w:val="115"/>
        </w:rPr>
        <w:t> </w:t>
      </w:r>
      <w:r>
        <w:rPr>
          <w:color w:val="3B383A"/>
          <w:w w:val="115"/>
        </w:rPr>
        <w:t>document</w:t>
      </w:r>
      <w:r>
        <w:rPr>
          <w:color w:val="5B5B5D"/>
          <w:w w:val="115"/>
        </w:rPr>
        <w:t>.</w:t>
      </w:r>
    </w:p>
    <w:p>
      <w:pPr>
        <w:pStyle w:val="BodyText"/>
        <w:spacing w:line="237" w:lineRule="auto"/>
        <w:ind w:left="113" w:right="212" w:firstLine="359"/>
        <w:jc w:val="both"/>
      </w:pPr>
      <w:r>
        <w:rPr>
          <w:color w:val="3B383A"/>
          <w:w w:val="115"/>
        </w:rPr>
        <w:t>Identifying a phrase-that-pays for each section of your document is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0"/>
        </w:rPr>
        <w:t>important because it helps you to focus your writing: Once you have iden­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tified the phrase-that-pays, you can test the analysis in each section of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formula to make sure that it relates somehow to that phrase-that-pays. In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5"/>
        </w:rPr>
        <w:t>the explanation section, for example, you should define the phrase-that­</w:t>
      </w:r>
      <w:r>
        <w:rPr>
          <w:color w:val="3B383A"/>
          <w:spacing w:val="-64"/>
          <w:w w:val="115"/>
        </w:rPr>
        <w:t> </w:t>
      </w:r>
      <w:r>
        <w:rPr>
          <w:color w:val="3B383A"/>
          <w:w w:val="115"/>
        </w:rPr>
        <w:t>pays, explain its meaning, or show how it has been interpreted in earlier</w:t>
      </w:r>
      <w:r>
        <w:rPr>
          <w:color w:val="3B383A"/>
          <w:spacing w:val="-64"/>
          <w:w w:val="115"/>
        </w:rPr>
        <w:t> </w:t>
      </w:r>
      <w:r>
        <w:rPr>
          <w:color w:val="3B383A"/>
          <w:w w:val="115"/>
        </w:rPr>
        <w:t>cases.</w:t>
      </w:r>
    </w:p>
    <w:p>
      <w:pPr>
        <w:pStyle w:val="BodyText"/>
        <w:spacing w:line="232" w:lineRule="auto"/>
        <w:ind w:left="116" w:right="174" w:firstLine="360"/>
        <w:jc w:val="both"/>
      </w:pPr>
      <w:r>
        <w:rPr>
          <w:color w:val="3B383A"/>
          <w:w w:val="115"/>
        </w:rPr>
        <w:t>After you have identified the phrase-that-pays, you should use the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"rule explanation" to explain the phrase-that-pays in appropriate detail.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0"/>
        </w:rPr>
        <w:t>Doing so helps the reader to understand how the rule works. In persuasive</w:t>
      </w:r>
      <w:r>
        <w:rPr>
          <w:color w:val="3B383A"/>
          <w:spacing w:val="1"/>
          <w:w w:val="110"/>
        </w:rPr>
        <w:t> </w:t>
      </w:r>
      <w:r>
        <w:rPr>
          <w:color w:val="3B383A"/>
          <w:spacing w:val="-1"/>
          <w:w w:val="115"/>
        </w:rPr>
        <w:t>documents like briefs, it </w:t>
      </w:r>
      <w:r>
        <w:rPr>
          <w:color w:val="3B383A"/>
          <w:w w:val="115"/>
        </w:rPr>
        <w:t>is usually useful to end the rule explanation by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0"/>
        </w:rPr>
        <w:t>providing a "rule summary." The rule summary nails down exactly what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you want the reader to take from the rule explanation, and it prepares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5"/>
        </w:rPr>
        <w:t>reader</w:t>
      </w:r>
      <w:r>
        <w:rPr>
          <w:color w:val="3B383A"/>
          <w:spacing w:val="-5"/>
          <w:w w:val="115"/>
        </w:rPr>
        <w:t> </w:t>
      </w:r>
      <w:r>
        <w:rPr>
          <w:color w:val="3B383A"/>
          <w:w w:val="115"/>
        </w:rPr>
        <w:t>for</w:t>
      </w:r>
      <w:r>
        <w:rPr>
          <w:color w:val="3B383A"/>
          <w:spacing w:val="-5"/>
          <w:w w:val="115"/>
        </w:rPr>
        <w:t> </w:t>
      </w:r>
      <w:r>
        <w:rPr>
          <w:color w:val="3B383A"/>
          <w:w w:val="115"/>
        </w:rPr>
        <w:t>the</w:t>
      </w:r>
      <w:r>
        <w:rPr>
          <w:color w:val="3B383A"/>
          <w:spacing w:val="42"/>
          <w:w w:val="115"/>
        </w:rPr>
        <w:t> </w:t>
      </w:r>
      <w:r>
        <w:rPr>
          <w:color w:val="3B383A"/>
          <w:w w:val="115"/>
        </w:rPr>
        <w:t>rule</w:t>
      </w:r>
      <w:r>
        <w:rPr>
          <w:color w:val="3B383A"/>
          <w:spacing w:val="-10"/>
          <w:w w:val="115"/>
        </w:rPr>
        <w:t> </w:t>
      </w:r>
      <w:r>
        <w:rPr>
          <w:color w:val="3B383A"/>
          <w:w w:val="115"/>
        </w:rPr>
        <w:t>application.</w:t>
      </w: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0"/>
          <w:numId w:val="44"/>
        </w:numPr>
        <w:tabs>
          <w:tab w:pos="862" w:val="left" w:leader="none"/>
        </w:tabs>
        <w:spacing w:line="240" w:lineRule="auto" w:before="0" w:after="0"/>
        <w:ind w:left="861" w:right="0" w:hanging="403"/>
        <w:jc w:val="both"/>
        <w:rPr>
          <w:b/>
          <w:color w:val="3B383A"/>
          <w:sz w:val="22"/>
        </w:rPr>
      </w:pPr>
      <w:r>
        <w:rPr>
          <w:b/>
          <w:color w:val="3B383A"/>
          <w:w w:val="115"/>
          <w:sz w:val="22"/>
        </w:rPr>
        <w:t>Deciding</w:t>
      </w:r>
      <w:r>
        <w:rPr>
          <w:b/>
          <w:color w:val="3B383A"/>
          <w:spacing w:val="2"/>
          <w:w w:val="115"/>
          <w:sz w:val="22"/>
        </w:rPr>
        <w:t> </w:t>
      </w:r>
      <w:r>
        <w:rPr>
          <w:b/>
          <w:color w:val="3B383A"/>
          <w:w w:val="115"/>
          <w:sz w:val="22"/>
        </w:rPr>
        <w:t>How</w:t>
      </w:r>
      <w:r>
        <w:rPr>
          <w:b/>
          <w:color w:val="3B383A"/>
          <w:spacing w:val="17"/>
          <w:w w:val="115"/>
          <w:sz w:val="22"/>
        </w:rPr>
        <w:t> </w:t>
      </w:r>
      <w:r>
        <w:rPr>
          <w:b/>
          <w:color w:val="3B383A"/>
          <w:w w:val="115"/>
          <w:sz w:val="22"/>
        </w:rPr>
        <w:t>Much</w:t>
      </w:r>
      <w:r>
        <w:rPr>
          <w:b/>
          <w:color w:val="3B383A"/>
          <w:spacing w:val="3"/>
          <w:w w:val="115"/>
          <w:sz w:val="22"/>
        </w:rPr>
        <w:t> </w:t>
      </w:r>
      <w:r>
        <w:rPr>
          <w:b/>
          <w:color w:val="3B383A"/>
          <w:w w:val="115"/>
          <w:sz w:val="22"/>
        </w:rPr>
        <w:t>Rule</w:t>
      </w:r>
      <w:r>
        <w:rPr>
          <w:b/>
          <w:color w:val="3B383A"/>
          <w:spacing w:val="11"/>
          <w:w w:val="115"/>
          <w:sz w:val="22"/>
        </w:rPr>
        <w:t> </w:t>
      </w:r>
      <w:r>
        <w:rPr>
          <w:b/>
          <w:color w:val="3B383A"/>
          <w:w w:val="115"/>
          <w:sz w:val="22"/>
        </w:rPr>
        <w:t>Explanation</w:t>
      </w:r>
      <w:r>
        <w:rPr>
          <w:b/>
          <w:color w:val="3B383A"/>
          <w:spacing w:val="41"/>
          <w:w w:val="115"/>
          <w:sz w:val="22"/>
        </w:rPr>
        <w:t> </w:t>
      </w:r>
      <w:r>
        <w:rPr>
          <w:b/>
          <w:color w:val="3B383A"/>
          <w:w w:val="115"/>
          <w:sz w:val="21"/>
        </w:rPr>
        <w:t>Is</w:t>
      </w:r>
      <w:r>
        <w:rPr>
          <w:b/>
          <w:color w:val="3B383A"/>
          <w:spacing w:val="4"/>
          <w:w w:val="115"/>
          <w:sz w:val="21"/>
        </w:rPr>
        <w:t> </w:t>
      </w:r>
      <w:r>
        <w:rPr>
          <w:b/>
          <w:color w:val="3B383A"/>
          <w:w w:val="115"/>
          <w:sz w:val="22"/>
        </w:rPr>
        <w:t>Needed</w:t>
      </w:r>
    </w:p>
    <w:p>
      <w:pPr>
        <w:pStyle w:val="BodyText"/>
        <w:spacing w:line="235" w:lineRule="auto" w:before="21"/>
        <w:ind w:left="132" w:right="125" w:firstLine="342"/>
        <w:jc w:val="both"/>
      </w:pPr>
      <w:r>
        <w:rPr>
          <w:color w:val="3B383A"/>
          <w:spacing w:val="-1"/>
          <w:w w:val="115"/>
        </w:rPr>
        <w:t>When deciding how much </w:t>
      </w:r>
      <w:r>
        <w:rPr>
          <w:color w:val="3B383A"/>
          <w:w w:val="115"/>
        </w:rPr>
        <w:t>explanation to provide for the phrase-that­</w:t>
      </w:r>
      <w:r>
        <w:rPr>
          <w:color w:val="3B383A"/>
          <w:spacing w:val="-64"/>
          <w:w w:val="115"/>
        </w:rPr>
        <w:t> </w:t>
      </w:r>
      <w:r>
        <w:rPr>
          <w:color w:val="3B383A"/>
          <w:w w:val="115"/>
        </w:rPr>
        <w:t>pays</w:t>
      </w:r>
      <w:r>
        <w:rPr>
          <w:color w:val="3B383A"/>
          <w:spacing w:val="-9"/>
          <w:w w:val="115"/>
        </w:rPr>
        <w:t> </w:t>
      </w:r>
      <w:r>
        <w:rPr>
          <w:color w:val="3B383A"/>
          <w:w w:val="115"/>
        </w:rPr>
        <w:t>in</w:t>
      </w:r>
      <w:r>
        <w:rPr>
          <w:color w:val="3B383A"/>
          <w:spacing w:val="3"/>
          <w:w w:val="115"/>
        </w:rPr>
        <w:t> </w:t>
      </w:r>
      <w:r>
        <w:rPr>
          <w:color w:val="3B383A"/>
          <w:w w:val="115"/>
        </w:rPr>
        <w:t>any</w:t>
      </w:r>
      <w:r>
        <w:rPr>
          <w:color w:val="3B383A"/>
          <w:spacing w:val="48"/>
          <w:w w:val="115"/>
        </w:rPr>
        <w:t> </w:t>
      </w:r>
      <w:r>
        <w:rPr>
          <w:color w:val="3B383A"/>
          <w:w w:val="115"/>
        </w:rPr>
        <w:t>particular</w:t>
      </w:r>
      <w:r>
        <w:rPr>
          <w:color w:val="3B383A"/>
          <w:spacing w:val="2"/>
          <w:w w:val="115"/>
        </w:rPr>
        <w:t> </w:t>
      </w:r>
      <w:r>
        <w:rPr>
          <w:color w:val="3B383A"/>
          <w:w w:val="115"/>
        </w:rPr>
        <w:t>section</w:t>
      </w:r>
      <w:r>
        <w:rPr>
          <w:color w:val="3B383A"/>
          <w:spacing w:val="4"/>
          <w:w w:val="115"/>
        </w:rPr>
        <w:t> </w:t>
      </w:r>
      <w:r>
        <w:rPr>
          <w:color w:val="3B383A"/>
          <w:w w:val="115"/>
        </w:rPr>
        <w:t>of</w:t>
      </w:r>
      <w:r>
        <w:rPr>
          <w:color w:val="3B383A"/>
          <w:spacing w:val="3"/>
          <w:w w:val="115"/>
        </w:rPr>
        <w:t> </w:t>
      </w:r>
      <w:r>
        <w:rPr>
          <w:color w:val="3B383A"/>
          <w:w w:val="115"/>
        </w:rPr>
        <w:t>your</w:t>
      </w:r>
      <w:r>
        <w:rPr>
          <w:color w:val="3B383A"/>
          <w:spacing w:val="-10"/>
          <w:w w:val="115"/>
        </w:rPr>
        <w:t> </w:t>
      </w:r>
      <w:r>
        <w:rPr>
          <w:color w:val="3B383A"/>
          <w:w w:val="115"/>
        </w:rPr>
        <w:t>argument,</w:t>
      </w:r>
      <w:r>
        <w:rPr>
          <w:color w:val="3B383A"/>
          <w:spacing w:val="-10"/>
          <w:w w:val="115"/>
        </w:rPr>
        <w:t> </w:t>
      </w:r>
      <w:r>
        <w:rPr>
          <w:color w:val="3B383A"/>
          <w:w w:val="115"/>
        </w:rPr>
        <w:t>consider</w:t>
      </w:r>
      <w:r>
        <w:rPr>
          <w:color w:val="3B383A"/>
          <w:spacing w:val="-2"/>
          <w:w w:val="115"/>
        </w:rPr>
        <w:t> </w:t>
      </w:r>
      <w:r>
        <w:rPr>
          <w:color w:val="3B383A"/>
          <w:w w:val="115"/>
        </w:rPr>
        <w:t>two questions:</w:t>
      </w:r>
    </w:p>
    <w:p>
      <w:pPr>
        <w:pStyle w:val="BodyText"/>
        <w:spacing w:line="230" w:lineRule="auto"/>
        <w:ind w:left="123" w:right="109" w:firstLine="8"/>
        <w:jc w:val="both"/>
      </w:pPr>
      <w:r>
        <w:rPr>
          <w:color w:val="3B383A"/>
          <w:w w:val="110"/>
        </w:rPr>
        <w:t>(1) How ambiguous is the language of the phrase-that-pays? (2) How con­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5"/>
        </w:rPr>
        <w:t>troversial is the application of the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phrase-that-pays to the facts of this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0"/>
        </w:rPr>
        <w:t>case?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more ambiguous and controversial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phrase-that-pays is,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more</w:t>
      </w:r>
      <w:r>
        <w:rPr>
          <w:color w:val="3B383A"/>
          <w:spacing w:val="-11"/>
          <w:w w:val="110"/>
        </w:rPr>
        <w:t> </w:t>
      </w:r>
      <w:r>
        <w:rPr>
          <w:color w:val="3B383A"/>
          <w:w w:val="110"/>
        </w:rPr>
        <w:t>detailed</w:t>
      </w:r>
      <w:r>
        <w:rPr>
          <w:color w:val="3B383A"/>
          <w:spacing w:val="11"/>
          <w:w w:val="110"/>
        </w:rPr>
        <w:t> </w:t>
      </w:r>
      <w:r>
        <w:rPr>
          <w:color w:val="3B383A"/>
          <w:w w:val="110"/>
        </w:rPr>
        <w:t>your</w:t>
      </w:r>
      <w:r>
        <w:rPr>
          <w:color w:val="3B383A"/>
          <w:spacing w:val="-3"/>
          <w:w w:val="110"/>
        </w:rPr>
        <w:t> </w:t>
      </w:r>
      <w:r>
        <w:rPr>
          <w:color w:val="3B383A"/>
          <w:w w:val="110"/>
        </w:rPr>
        <w:t>explanation</w:t>
      </w:r>
      <w:r>
        <w:rPr>
          <w:color w:val="3B383A"/>
          <w:spacing w:val="19"/>
          <w:w w:val="110"/>
        </w:rPr>
        <w:t> </w:t>
      </w:r>
      <w:r>
        <w:rPr>
          <w:color w:val="3B383A"/>
          <w:w w:val="110"/>
        </w:rPr>
        <w:t>should</w:t>
      </w:r>
      <w:r>
        <w:rPr>
          <w:color w:val="3B383A"/>
          <w:spacing w:val="8"/>
          <w:w w:val="110"/>
        </w:rPr>
        <w:t> </w:t>
      </w:r>
      <w:r>
        <w:rPr>
          <w:color w:val="3B383A"/>
          <w:w w:val="110"/>
        </w:rPr>
        <w:t>be.</w:t>
      </w:r>
    </w:p>
    <w:p>
      <w:pPr>
        <w:spacing w:after="0" w:line="230" w:lineRule="auto"/>
        <w:jc w:val="both"/>
        <w:sectPr>
          <w:headerReference w:type="default" r:id="rId121"/>
          <w:headerReference w:type="even" r:id="rId122"/>
          <w:pgSz w:w="9610" w:h="13760"/>
          <w:pgMar w:header="428" w:footer="0" w:top="640" w:bottom="280" w:left="360" w:right="1300"/>
          <w:pgNumType w:start="97"/>
        </w:sectPr>
      </w:pPr>
    </w:p>
    <w:p>
      <w:pPr>
        <w:pStyle w:val="BodyText"/>
        <w:spacing w:line="235" w:lineRule="auto" w:before="85"/>
        <w:ind w:left="1396" w:right="-58" w:firstLine="423"/>
      </w:pPr>
      <w:r>
        <w:rPr>
          <w:color w:val="3B3A3B"/>
          <w:w w:val="105"/>
        </w:rPr>
        <w:t>Presumably,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all of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the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is</w:t>
      </w:r>
      <w:r>
        <w:rPr>
          <w:color w:val="565456"/>
          <w:w w:val="105"/>
        </w:rPr>
        <w:t>s</w:t>
      </w:r>
      <w:r>
        <w:rPr>
          <w:color w:val="3B3A3B"/>
          <w:w w:val="105"/>
        </w:rPr>
        <w:t>ues analyzed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in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a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brief  </w:t>
      </w:r>
      <w:r>
        <w:rPr>
          <w:color w:val="3B3A3B"/>
          <w:w w:val="105"/>
          <w:sz w:val="22"/>
        </w:rPr>
        <w:t>will  </w:t>
      </w:r>
      <w:r>
        <w:rPr>
          <w:color w:val="3B3A3B"/>
          <w:w w:val="105"/>
        </w:rPr>
        <w:t>be controver</w:t>
      </w:r>
      <w:r>
        <w:rPr>
          <w:color w:val="3B3A3B"/>
          <w:spacing w:val="-58"/>
          <w:w w:val="105"/>
        </w:rPr>
        <w:t> </w:t>
      </w:r>
      <w:r>
        <w:rPr>
          <w:color w:val="3B3A3B"/>
          <w:w w:val="105"/>
        </w:rPr>
        <w:t>sial; if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they were not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controversial, they would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not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need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to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be analyzed</w:t>
      </w:r>
      <w:r>
        <w:rPr>
          <w:color w:val="3B3A3B"/>
          <w:spacing w:val="-58"/>
          <w:w w:val="105"/>
        </w:rPr>
        <w:t> </w:t>
      </w:r>
      <w:r>
        <w:rPr>
          <w:color w:val="3B3A3B"/>
          <w:w w:val="105"/>
        </w:rPr>
        <w:t>When a phrase-that-pays is ambiguous, controversial, or both, you shou)c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"explain" its meaning,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usually by illustrating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how it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has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been  applied ir</w:t>
      </w:r>
      <w:r>
        <w:rPr>
          <w:color w:val="3B3A3B"/>
          <w:spacing w:val="-58"/>
          <w:w w:val="105"/>
        </w:rPr>
        <w:t> </w:t>
      </w:r>
      <w:r>
        <w:rPr>
          <w:color w:val="3B3A3B"/>
          <w:w w:val="105"/>
        </w:rPr>
        <w:t>one or more authority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cases. In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the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example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below, the  writer is arguin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that</w:t>
      </w:r>
      <w:r>
        <w:rPr>
          <w:color w:val="3B3A3B"/>
          <w:spacing w:val="-9"/>
          <w:w w:val="105"/>
        </w:rPr>
        <w:t> </w:t>
      </w:r>
      <w:r>
        <w:rPr>
          <w:color w:val="3B3A3B"/>
          <w:w w:val="105"/>
        </w:rPr>
        <w:t>an</w:t>
      </w:r>
      <w:r>
        <w:rPr>
          <w:color w:val="3B3A3B"/>
          <w:spacing w:val="-3"/>
          <w:w w:val="105"/>
        </w:rPr>
        <w:t> </w:t>
      </w:r>
      <w:r>
        <w:rPr>
          <w:color w:val="3B3A3B"/>
          <w:w w:val="105"/>
        </w:rPr>
        <w:t>officer's</w:t>
      </w:r>
      <w:r>
        <w:rPr>
          <w:color w:val="3B3A3B"/>
          <w:spacing w:val="23"/>
          <w:w w:val="105"/>
        </w:rPr>
        <w:t> </w:t>
      </w:r>
      <w:r>
        <w:rPr>
          <w:color w:val="3B3A3B"/>
          <w:w w:val="105"/>
        </w:rPr>
        <w:t>behavior</w:t>
      </w:r>
      <w:r>
        <w:rPr>
          <w:color w:val="3B3A3B"/>
          <w:spacing w:val="16"/>
          <w:w w:val="105"/>
        </w:rPr>
        <w:t> </w:t>
      </w:r>
      <w:r>
        <w:rPr>
          <w:color w:val="3B3A3B"/>
          <w:w w:val="105"/>
        </w:rPr>
        <w:t>did</w:t>
      </w:r>
      <w:r>
        <w:rPr>
          <w:color w:val="3B3A3B"/>
          <w:spacing w:val="30"/>
          <w:w w:val="105"/>
        </w:rPr>
        <w:t> </w:t>
      </w:r>
      <w:r>
        <w:rPr>
          <w:color w:val="3B3A3B"/>
          <w:w w:val="105"/>
        </w:rPr>
        <w:t>not</w:t>
      </w:r>
      <w:r>
        <w:rPr>
          <w:color w:val="3B3A3B"/>
          <w:spacing w:val="23"/>
          <w:w w:val="105"/>
        </w:rPr>
        <w:t> </w:t>
      </w:r>
      <w:r>
        <w:rPr>
          <w:color w:val="3B3A3B"/>
          <w:w w:val="105"/>
        </w:rPr>
        <w:t>violate</w:t>
      </w:r>
      <w:r>
        <w:rPr>
          <w:color w:val="3B3A3B"/>
          <w:spacing w:val="19"/>
          <w:w w:val="105"/>
        </w:rPr>
        <w:t> </w:t>
      </w:r>
      <w:r>
        <w:rPr>
          <w:color w:val="3B3A3B"/>
          <w:w w:val="105"/>
        </w:rPr>
        <w:t>the</w:t>
      </w:r>
      <w:r>
        <w:rPr>
          <w:color w:val="3B3A3B"/>
          <w:spacing w:val="26"/>
          <w:w w:val="105"/>
        </w:rPr>
        <w:t> </w:t>
      </w:r>
      <w:r>
        <w:rPr>
          <w:color w:val="3B3A3B"/>
          <w:w w:val="105"/>
        </w:rPr>
        <w:t>Fourth</w:t>
      </w:r>
      <w:r>
        <w:rPr>
          <w:color w:val="3B3A3B"/>
          <w:spacing w:val="26"/>
          <w:w w:val="105"/>
        </w:rPr>
        <w:t> </w:t>
      </w:r>
      <w:r>
        <w:rPr>
          <w:color w:val="3B3A3B"/>
          <w:w w:val="105"/>
        </w:rPr>
        <w:t>Amendment</w:t>
      </w:r>
      <w:r>
        <w:rPr>
          <w:color w:val="3B3A3B"/>
          <w:spacing w:val="36"/>
          <w:w w:val="105"/>
        </w:rPr>
        <w:t> </w:t>
      </w:r>
      <w:r>
        <w:rPr>
          <w:color w:val="3B3A3B"/>
          <w:w w:val="105"/>
        </w:rPr>
        <w:t>becaus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the observed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activities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were in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plain  view. The writer explains  the  rulE</w:t>
      </w:r>
      <w:r>
        <w:rPr>
          <w:color w:val="3B3A3B"/>
          <w:spacing w:val="-58"/>
          <w:w w:val="105"/>
        </w:rPr>
        <w:t> </w:t>
      </w:r>
      <w:r>
        <w:rPr>
          <w:color w:val="3B3A3B"/>
          <w:w w:val="105"/>
        </w:rPr>
        <w:t>by showing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how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the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concept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of  "plain  view"</w:t>
      </w:r>
      <w:r>
        <w:rPr>
          <w:color w:val="565456"/>
          <w:w w:val="105"/>
        </w:rPr>
        <w:t>-</w:t>
      </w:r>
      <w:r>
        <w:rPr>
          <w:color w:val="3B3A3B"/>
          <w:w w:val="105"/>
        </w:rPr>
        <w:t>the  phrase-that-pays-ha</w:t>
      </w:r>
      <w:r>
        <w:rPr>
          <w:color w:val="3B3A3B"/>
          <w:spacing w:val="1"/>
          <w:w w:val="105"/>
        </w:rPr>
        <w:t> </w:t>
      </w:r>
      <w:r>
        <w:rPr>
          <w:color w:val="3B3A3B"/>
          <w:spacing w:val="-1"/>
          <w:w w:val="105"/>
        </w:rPr>
        <w:t>been interpreted </w:t>
      </w:r>
      <w:r>
        <w:rPr>
          <w:color w:val="3B3A3B"/>
          <w:w w:val="105"/>
        </w:rPr>
        <w:t>in other cases. Notice how the writer has used the phrase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that-pays</w:t>
      </w:r>
      <w:r>
        <w:rPr>
          <w:color w:val="3B3A3B"/>
          <w:spacing w:val="24"/>
          <w:w w:val="105"/>
        </w:rPr>
        <w:t> </w:t>
      </w:r>
      <w:r>
        <w:rPr>
          <w:color w:val="3B3A3B"/>
          <w:w w:val="105"/>
        </w:rPr>
        <w:t>(in</w:t>
      </w:r>
      <w:r>
        <w:rPr>
          <w:color w:val="3B3A3B"/>
          <w:spacing w:val="39"/>
          <w:w w:val="105"/>
        </w:rPr>
        <w:t> </w:t>
      </w:r>
      <w:r>
        <w:rPr>
          <w:color w:val="3B3A3B"/>
          <w:w w:val="105"/>
        </w:rPr>
        <w:t>small</w:t>
      </w:r>
      <w:r>
        <w:rPr>
          <w:color w:val="3B3A3B"/>
          <w:spacing w:val="27"/>
          <w:w w:val="105"/>
        </w:rPr>
        <w:t> </w:t>
      </w:r>
      <w:r>
        <w:rPr>
          <w:color w:val="3B3A3B"/>
          <w:w w:val="105"/>
        </w:rPr>
        <w:t>capital</w:t>
      </w:r>
      <w:r>
        <w:rPr>
          <w:color w:val="3B3A3B"/>
          <w:spacing w:val="31"/>
          <w:w w:val="105"/>
        </w:rPr>
        <w:t> </w:t>
      </w:r>
      <w:r>
        <w:rPr>
          <w:color w:val="3B3A3B"/>
          <w:w w:val="105"/>
        </w:rPr>
        <w:t>letters</w:t>
      </w:r>
      <w:r>
        <w:rPr>
          <w:color w:val="3B3A3B"/>
          <w:spacing w:val="19"/>
          <w:w w:val="105"/>
        </w:rPr>
        <w:t> </w:t>
      </w:r>
      <w:r>
        <w:rPr>
          <w:color w:val="3B3A3B"/>
          <w:w w:val="105"/>
        </w:rPr>
        <w:t>in</w:t>
      </w:r>
      <w:r>
        <w:rPr>
          <w:color w:val="3B3A3B"/>
          <w:spacing w:val="3"/>
          <w:w w:val="105"/>
        </w:rPr>
        <w:t> </w:t>
      </w:r>
      <w:r>
        <w:rPr>
          <w:color w:val="3B3A3B"/>
          <w:w w:val="105"/>
        </w:rPr>
        <w:t>this</w:t>
      </w:r>
      <w:r>
        <w:rPr>
          <w:color w:val="3B3A3B"/>
          <w:spacing w:val="13"/>
          <w:w w:val="105"/>
        </w:rPr>
        <w:t> </w:t>
      </w:r>
      <w:r>
        <w:rPr>
          <w:color w:val="3B3A3B"/>
          <w:w w:val="105"/>
        </w:rPr>
        <w:t>example)</w:t>
      </w:r>
      <w:r>
        <w:rPr>
          <w:color w:val="3B3A3B"/>
          <w:spacing w:val="32"/>
          <w:w w:val="105"/>
        </w:rPr>
        <w:t> </w:t>
      </w:r>
      <w:r>
        <w:rPr>
          <w:color w:val="3B3A3B"/>
          <w:w w:val="105"/>
        </w:rPr>
        <w:t>in</w:t>
      </w:r>
      <w:r>
        <w:rPr>
          <w:color w:val="3B3A3B"/>
          <w:spacing w:val="49"/>
          <w:w w:val="105"/>
        </w:rPr>
        <w:t> </w:t>
      </w:r>
      <w:r>
        <w:rPr>
          <w:color w:val="3B3A3B"/>
          <w:w w:val="105"/>
        </w:rPr>
        <w:t>each</w:t>
      </w:r>
      <w:r>
        <w:rPr>
          <w:color w:val="3B3A3B"/>
          <w:spacing w:val="44"/>
          <w:w w:val="105"/>
        </w:rPr>
        <w:t> </w:t>
      </w:r>
      <w:r>
        <w:rPr>
          <w:color w:val="3B3A3B"/>
          <w:w w:val="105"/>
        </w:rPr>
        <w:t>paragraph</w:t>
      </w:r>
      <w:r>
        <w:rPr>
          <w:color w:val="3B3A3B"/>
          <w:spacing w:val="27"/>
          <w:w w:val="105"/>
        </w:rPr>
        <w:t> </w:t>
      </w:r>
      <w:r>
        <w:rPr>
          <w:color w:val="3B3A3B"/>
          <w:w w:val="105"/>
        </w:rPr>
        <w:t>tc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help the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reader understand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how the paragraph connects to the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analysis o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the</w:t>
      </w:r>
      <w:r>
        <w:rPr>
          <w:color w:val="3B3A3B"/>
          <w:spacing w:val="-21"/>
          <w:w w:val="105"/>
        </w:rPr>
        <w:t> </w:t>
      </w:r>
      <w:r>
        <w:rPr>
          <w:color w:val="3B3A3B"/>
          <w:w w:val="105"/>
        </w:rPr>
        <w:t>legal</w:t>
      </w:r>
      <w:r>
        <w:rPr>
          <w:color w:val="3B3A3B"/>
          <w:spacing w:val="6"/>
          <w:w w:val="105"/>
        </w:rPr>
        <w:t> </w:t>
      </w:r>
      <w:r>
        <w:rPr>
          <w:color w:val="3B3A3B"/>
          <w:w w:val="105"/>
        </w:rPr>
        <w:t>issue:</w:t>
      </w:r>
    </w:p>
    <w:p>
      <w:pPr>
        <w:spacing w:before="103"/>
        <w:ind w:left="1691" w:right="-58" w:firstLine="11"/>
        <w:jc w:val="left"/>
        <w:rPr>
          <w:sz w:val="21"/>
        </w:rPr>
      </w:pPr>
      <w:r>
        <w:rPr>
          <w:color w:val="3B3A3B"/>
          <w:w w:val="115"/>
          <w:sz w:val="21"/>
        </w:rPr>
        <w:t>2.</w:t>
      </w:r>
      <w:r>
        <w:rPr>
          <w:color w:val="3B3A3B"/>
          <w:spacing w:val="34"/>
          <w:w w:val="115"/>
          <w:sz w:val="21"/>
        </w:rPr>
        <w:t> </w:t>
      </w:r>
      <w:r>
        <w:rPr>
          <w:color w:val="3B3A3B"/>
          <w:w w:val="115"/>
          <w:sz w:val="21"/>
        </w:rPr>
        <w:t>No</w:t>
      </w:r>
      <w:r>
        <w:rPr>
          <w:color w:val="3B3A3B"/>
          <w:spacing w:val="25"/>
          <w:w w:val="115"/>
          <w:sz w:val="21"/>
        </w:rPr>
        <w:t> </w:t>
      </w:r>
      <w:r>
        <w:rPr>
          <w:color w:val="3B3A3B"/>
          <w:w w:val="115"/>
          <w:sz w:val="21"/>
        </w:rPr>
        <w:t>fourth</w:t>
      </w:r>
      <w:r>
        <w:rPr>
          <w:color w:val="3B3A3B"/>
          <w:spacing w:val="39"/>
          <w:w w:val="115"/>
          <w:sz w:val="21"/>
        </w:rPr>
        <w:t> </w:t>
      </w:r>
      <w:r>
        <w:rPr>
          <w:color w:val="3B3A3B"/>
          <w:w w:val="115"/>
          <w:sz w:val="21"/>
        </w:rPr>
        <w:t>Amendment</w:t>
      </w:r>
      <w:r>
        <w:rPr>
          <w:color w:val="3B3A3B"/>
          <w:spacing w:val="34"/>
          <w:w w:val="115"/>
          <w:sz w:val="21"/>
        </w:rPr>
        <w:t> </w:t>
      </w:r>
      <w:r>
        <w:rPr>
          <w:color w:val="3B3A3B"/>
          <w:w w:val="115"/>
          <w:sz w:val="21"/>
        </w:rPr>
        <w:t>search</w:t>
      </w:r>
      <w:r>
        <w:rPr>
          <w:color w:val="3B3A3B"/>
          <w:spacing w:val="37"/>
          <w:w w:val="115"/>
          <w:sz w:val="21"/>
        </w:rPr>
        <w:t> </w:t>
      </w:r>
      <w:r>
        <w:rPr>
          <w:color w:val="3B3A3B"/>
          <w:w w:val="115"/>
          <w:sz w:val="21"/>
        </w:rPr>
        <w:t>occurred</w:t>
      </w:r>
      <w:r>
        <w:rPr>
          <w:color w:val="3B3A3B"/>
          <w:spacing w:val="49"/>
          <w:w w:val="115"/>
          <w:sz w:val="21"/>
        </w:rPr>
        <w:t> </w:t>
      </w:r>
      <w:r>
        <w:rPr>
          <w:color w:val="3B3A3B"/>
          <w:w w:val="115"/>
          <w:sz w:val="21"/>
        </w:rPr>
        <w:t>because</w:t>
      </w:r>
      <w:r>
        <w:rPr>
          <w:color w:val="3B3A3B"/>
          <w:spacing w:val="28"/>
          <w:w w:val="115"/>
          <w:sz w:val="21"/>
        </w:rPr>
        <w:t> </w:t>
      </w:r>
      <w:r>
        <w:rPr>
          <w:color w:val="3B3A3B"/>
          <w:w w:val="115"/>
          <w:sz w:val="21"/>
        </w:rPr>
        <w:t>the</w:t>
      </w:r>
      <w:r>
        <w:rPr>
          <w:color w:val="3B3A3B"/>
          <w:spacing w:val="54"/>
          <w:w w:val="115"/>
          <w:sz w:val="21"/>
        </w:rPr>
        <w:t> </w:t>
      </w:r>
      <w:r>
        <w:rPr>
          <w:color w:val="3B3A3B"/>
          <w:w w:val="115"/>
          <w:sz w:val="21"/>
        </w:rPr>
        <w:t>apartment</w:t>
      </w:r>
      <w:r>
        <w:rPr>
          <w:color w:val="3B3A3B"/>
          <w:spacing w:val="-57"/>
          <w:w w:val="115"/>
          <w:sz w:val="21"/>
        </w:rPr>
        <w:t> </w:t>
      </w:r>
      <w:r>
        <w:rPr>
          <w:color w:val="3B3A3B"/>
          <w:w w:val="110"/>
          <w:sz w:val="21"/>
        </w:rPr>
        <w:t>interior</w:t>
      </w:r>
      <w:r>
        <w:rPr>
          <w:color w:val="3B3A3B"/>
          <w:spacing w:val="17"/>
          <w:w w:val="110"/>
          <w:sz w:val="21"/>
        </w:rPr>
        <w:t> </w:t>
      </w:r>
      <w:r>
        <w:rPr>
          <w:color w:val="3B3A3B"/>
          <w:w w:val="110"/>
          <w:sz w:val="21"/>
        </w:rPr>
        <w:t>was in</w:t>
      </w:r>
      <w:r>
        <w:rPr>
          <w:color w:val="3B3A3B"/>
          <w:spacing w:val="31"/>
          <w:w w:val="110"/>
          <w:sz w:val="21"/>
        </w:rPr>
        <w:t> </w:t>
      </w:r>
      <w:r>
        <w:rPr>
          <w:color w:val="3B3A3B"/>
          <w:w w:val="110"/>
          <w:sz w:val="17"/>
        </w:rPr>
        <w:t>PLAIN</w:t>
      </w:r>
      <w:r>
        <w:rPr>
          <w:color w:val="3B3A3B"/>
          <w:spacing w:val="19"/>
          <w:w w:val="110"/>
          <w:sz w:val="17"/>
        </w:rPr>
        <w:t> </w:t>
      </w:r>
      <w:r>
        <w:rPr>
          <w:color w:val="3B3A3B"/>
          <w:w w:val="110"/>
          <w:sz w:val="17"/>
        </w:rPr>
        <w:t>VIEW</w:t>
      </w:r>
      <w:r>
        <w:rPr>
          <w:color w:val="3B3A3B"/>
          <w:spacing w:val="11"/>
          <w:w w:val="110"/>
          <w:sz w:val="17"/>
        </w:rPr>
        <w:t> </w:t>
      </w:r>
      <w:r>
        <w:rPr>
          <w:color w:val="3B3A3B"/>
          <w:w w:val="110"/>
          <w:sz w:val="21"/>
        </w:rPr>
        <w:t>from</w:t>
      </w:r>
      <w:r>
        <w:rPr>
          <w:color w:val="3B3A3B"/>
          <w:spacing w:val="14"/>
          <w:w w:val="110"/>
          <w:sz w:val="21"/>
        </w:rPr>
        <w:t> </w:t>
      </w:r>
      <w:r>
        <w:rPr>
          <w:color w:val="3B3A3B"/>
          <w:w w:val="110"/>
          <w:sz w:val="21"/>
        </w:rPr>
        <w:t>the</w:t>
      </w:r>
      <w:r>
        <w:rPr>
          <w:color w:val="3B3A3B"/>
          <w:spacing w:val="6"/>
          <w:w w:val="110"/>
          <w:sz w:val="21"/>
        </w:rPr>
        <w:t> </w:t>
      </w:r>
      <w:r>
        <w:rPr>
          <w:color w:val="3B3A3B"/>
          <w:w w:val="110"/>
          <w:sz w:val="21"/>
        </w:rPr>
        <w:t>officer's</w:t>
      </w:r>
      <w:r>
        <w:rPr>
          <w:color w:val="3B3A3B"/>
          <w:spacing w:val="-6"/>
          <w:w w:val="110"/>
          <w:sz w:val="21"/>
        </w:rPr>
        <w:t> </w:t>
      </w:r>
      <w:r>
        <w:rPr>
          <w:color w:val="3B3A3B"/>
          <w:w w:val="110"/>
          <w:sz w:val="21"/>
        </w:rPr>
        <w:t>lawful</w:t>
      </w:r>
      <w:r>
        <w:rPr>
          <w:color w:val="3B3A3B"/>
          <w:spacing w:val="17"/>
          <w:w w:val="110"/>
          <w:sz w:val="21"/>
        </w:rPr>
        <w:t> </w:t>
      </w:r>
      <w:r>
        <w:rPr>
          <w:color w:val="3B3A3B"/>
          <w:w w:val="110"/>
          <w:sz w:val="21"/>
        </w:rPr>
        <w:t>vantage</w:t>
      </w:r>
      <w:r>
        <w:rPr>
          <w:color w:val="3B3A3B"/>
          <w:spacing w:val="16"/>
          <w:w w:val="110"/>
          <w:sz w:val="21"/>
        </w:rPr>
        <w:t> </w:t>
      </w:r>
      <w:r>
        <w:rPr>
          <w:color w:val="3B3A3B"/>
          <w:w w:val="110"/>
          <w:sz w:val="21"/>
        </w:rPr>
        <w:t>point.</w:t>
      </w:r>
    </w:p>
    <w:p>
      <w:pPr>
        <w:spacing w:line="237" w:lineRule="auto" w:before="0"/>
        <w:ind w:left="1651" w:right="274" w:firstLine="370"/>
        <w:jc w:val="both"/>
        <w:rPr>
          <w:sz w:val="21"/>
        </w:rPr>
      </w:pPr>
      <w:r>
        <w:rPr>
          <w:color w:val="3B3A3B"/>
          <w:w w:val="115"/>
          <w:sz w:val="21"/>
        </w:rPr>
        <w:t>Because Thielen was located outside the curtilage of the apart­</w:t>
      </w:r>
      <w:r>
        <w:rPr>
          <w:color w:val="3B3A3B"/>
          <w:spacing w:val="1"/>
          <w:w w:val="115"/>
          <w:sz w:val="21"/>
        </w:rPr>
        <w:t> </w:t>
      </w:r>
      <w:r>
        <w:rPr>
          <w:color w:val="3B3A3B"/>
          <w:w w:val="115"/>
          <w:sz w:val="21"/>
        </w:rPr>
        <w:t>ment, he was free to observe any scene in </w:t>
      </w:r>
      <w:r>
        <w:rPr>
          <w:color w:val="3B3A3B"/>
          <w:w w:val="115"/>
          <w:sz w:val="17"/>
        </w:rPr>
        <w:t>PLAIN VIEW. </w:t>
      </w:r>
      <w:r>
        <w:rPr>
          <w:color w:val="3B3A3B"/>
          <w:w w:val="115"/>
          <w:sz w:val="21"/>
        </w:rPr>
        <w:t>Respondents'</w:t>
      </w:r>
      <w:r>
        <w:rPr>
          <w:color w:val="3B3A3B"/>
          <w:spacing w:val="-58"/>
          <w:w w:val="115"/>
          <w:sz w:val="21"/>
        </w:rPr>
        <w:t> </w:t>
      </w:r>
      <w:r>
        <w:rPr>
          <w:color w:val="3B3A3B"/>
          <w:w w:val="110"/>
          <w:sz w:val="21"/>
        </w:rPr>
        <w:t>activities within the apartment were in </w:t>
      </w:r>
      <w:r>
        <w:rPr>
          <w:color w:val="3B3A3B"/>
          <w:w w:val="110"/>
          <w:sz w:val="17"/>
        </w:rPr>
        <w:t>PLAIN VIEW </w:t>
      </w:r>
      <w:r>
        <w:rPr>
          <w:color w:val="3B3A3B"/>
          <w:w w:val="110"/>
          <w:sz w:val="21"/>
        </w:rPr>
        <w:t>from Thielen's law­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ful vantage point</w:t>
      </w:r>
      <w:r>
        <w:rPr>
          <w:color w:val="565456"/>
          <w:w w:val="110"/>
          <w:sz w:val="21"/>
        </w:rPr>
        <w:t>. </w:t>
      </w:r>
      <w:r>
        <w:rPr>
          <w:color w:val="3B3A3B"/>
          <w:w w:val="110"/>
          <w:sz w:val="21"/>
        </w:rPr>
        <w:t>Thus, Thielen's observation violated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no reasonable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5"/>
          <w:sz w:val="21"/>
        </w:rPr>
        <w:t>expectation</w:t>
      </w:r>
      <w:r>
        <w:rPr>
          <w:color w:val="3B3A3B"/>
          <w:spacing w:val="13"/>
          <w:w w:val="115"/>
          <w:sz w:val="21"/>
        </w:rPr>
        <w:t> </w:t>
      </w:r>
      <w:r>
        <w:rPr>
          <w:color w:val="3B3A3B"/>
          <w:w w:val="115"/>
          <w:sz w:val="21"/>
        </w:rPr>
        <w:t>of</w:t>
      </w:r>
      <w:r>
        <w:rPr>
          <w:color w:val="3B3A3B"/>
          <w:spacing w:val="27"/>
          <w:w w:val="115"/>
          <w:sz w:val="21"/>
        </w:rPr>
        <w:t> </w:t>
      </w:r>
      <w:r>
        <w:rPr>
          <w:color w:val="3B3A3B"/>
          <w:w w:val="115"/>
          <w:sz w:val="21"/>
        </w:rPr>
        <w:t>privacy</w:t>
      </w:r>
      <w:r>
        <w:rPr>
          <w:color w:val="3B3A3B"/>
          <w:spacing w:val="5"/>
          <w:w w:val="115"/>
          <w:sz w:val="21"/>
        </w:rPr>
        <w:t> </w:t>
      </w:r>
      <w:r>
        <w:rPr>
          <w:color w:val="3B3A3B"/>
          <w:w w:val="115"/>
          <w:sz w:val="21"/>
        </w:rPr>
        <w:t>and</w:t>
      </w:r>
      <w:r>
        <w:rPr>
          <w:color w:val="3B3A3B"/>
          <w:spacing w:val="37"/>
          <w:w w:val="115"/>
          <w:sz w:val="21"/>
        </w:rPr>
        <w:t> </w:t>
      </w:r>
      <w:r>
        <w:rPr>
          <w:color w:val="3B3A3B"/>
          <w:w w:val="115"/>
          <w:sz w:val="21"/>
        </w:rPr>
        <w:t>did</w:t>
      </w:r>
      <w:r>
        <w:rPr>
          <w:color w:val="3B3A3B"/>
          <w:spacing w:val="25"/>
          <w:w w:val="115"/>
          <w:sz w:val="21"/>
        </w:rPr>
        <w:t> </w:t>
      </w:r>
      <w:r>
        <w:rPr>
          <w:color w:val="3B3A3B"/>
          <w:w w:val="115"/>
          <w:sz w:val="21"/>
        </w:rPr>
        <w:t>not</w:t>
      </w:r>
      <w:r>
        <w:rPr>
          <w:color w:val="3B3A3B"/>
          <w:spacing w:val="23"/>
          <w:w w:val="115"/>
          <w:sz w:val="21"/>
        </w:rPr>
        <w:t> </w:t>
      </w:r>
      <w:r>
        <w:rPr>
          <w:color w:val="3B3A3B"/>
          <w:w w:val="115"/>
          <w:sz w:val="21"/>
        </w:rPr>
        <w:t>constitute a</w:t>
      </w:r>
      <w:r>
        <w:rPr>
          <w:color w:val="3B3A3B"/>
          <w:spacing w:val="10"/>
          <w:w w:val="115"/>
          <w:sz w:val="21"/>
        </w:rPr>
        <w:t> </w:t>
      </w:r>
      <w:r>
        <w:rPr>
          <w:color w:val="3B3A3B"/>
          <w:w w:val="115"/>
          <w:sz w:val="21"/>
        </w:rPr>
        <w:t>Fourth</w:t>
      </w:r>
      <w:r>
        <w:rPr>
          <w:color w:val="3B3A3B"/>
          <w:spacing w:val="8"/>
          <w:w w:val="115"/>
          <w:sz w:val="21"/>
        </w:rPr>
        <w:t> </w:t>
      </w:r>
      <w:r>
        <w:rPr>
          <w:color w:val="3B3A3B"/>
          <w:w w:val="115"/>
          <w:sz w:val="21"/>
        </w:rPr>
        <w:t>Amendment</w:t>
      </w:r>
    </w:p>
    <w:p>
      <w:pPr>
        <w:spacing w:after="0" w:line="237" w:lineRule="auto"/>
        <w:jc w:val="both"/>
        <w:rPr>
          <w:sz w:val="21"/>
        </w:rPr>
        <w:sectPr>
          <w:pgSz w:w="9360" w:h="13790"/>
          <w:pgMar w:header="453" w:footer="0" w:top="1020" w:bottom="0" w:left="800" w:right="0"/>
        </w:sectPr>
      </w:pPr>
    </w:p>
    <w:p>
      <w:pPr>
        <w:spacing w:before="25"/>
        <w:ind w:left="763" w:right="0" w:firstLine="0"/>
        <w:jc w:val="left"/>
        <w:rPr>
          <w:sz w:val="14"/>
        </w:rPr>
      </w:pPr>
      <w:r>
        <w:rPr>
          <w:color w:val="3B3A3B"/>
          <w:spacing w:val="-6"/>
          <w:w w:val="135"/>
          <w:sz w:val="14"/>
        </w:rPr>
        <w:t>t</w:t>
      </w:r>
      <w:r>
        <w:rPr>
          <w:rFonts w:ascii="Arial"/>
          <w:color w:val="BFC1C3"/>
          <w:spacing w:val="-6"/>
          <w:w w:val="135"/>
          <w:sz w:val="20"/>
        </w:rPr>
        <w:t>I</w:t>
      </w:r>
      <w:r>
        <w:rPr>
          <w:color w:val="565456"/>
          <w:spacing w:val="-6"/>
          <w:w w:val="135"/>
          <w:sz w:val="14"/>
        </w:rPr>
        <w:t>e</w:t>
      </w:r>
      <w:r>
        <w:rPr>
          <w:color w:val="3B3A3B"/>
          <w:spacing w:val="-6"/>
          <w:w w:val="135"/>
          <w:sz w:val="14"/>
        </w:rPr>
        <w:t>men</w:t>
      </w:r>
      <w:r>
        <w:rPr>
          <w:color w:val="565456"/>
          <w:spacing w:val="-6"/>
          <w:w w:val="135"/>
          <w:sz w:val="14"/>
        </w:rPr>
        <w:t>t</w:t>
      </w:r>
    </w:p>
    <w:p>
      <w:pPr>
        <w:spacing w:before="1"/>
        <w:ind w:left="752" w:right="0" w:firstLine="0"/>
        <w:jc w:val="left"/>
        <w:rPr>
          <w:sz w:val="14"/>
        </w:rPr>
      </w:pPr>
      <w:r>
        <w:rPr>
          <w:color w:val="BFC1C3"/>
          <w:sz w:val="14"/>
        </w:rPr>
        <w:t>.</w:t>
      </w:r>
      <w:r>
        <w:rPr>
          <w:color w:val="6B6B6D"/>
          <w:sz w:val="14"/>
        </w:rPr>
        <w:t>l:</w:t>
      </w:r>
      <w:r>
        <w:rPr>
          <w:color w:val="3B3A3B"/>
          <w:sz w:val="14"/>
        </w:rPr>
        <w:t>lusion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18"/>
        </w:rPr>
      </w:pPr>
    </w:p>
    <w:p>
      <w:pPr>
        <w:pStyle w:val="ListParagraph"/>
        <w:numPr>
          <w:ilvl w:val="0"/>
          <w:numId w:val="45"/>
        </w:numPr>
        <w:tabs>
          <w:tab w:pos="337" w:val="left" w:leader="none"/>
        </w:tabs>
        <w:spacing w:line="268" w:lineRule="auto" w:before="0" w:after="0"/>
        <w:ind w:left="313" w:right="36" w:hanging="192"/>
        <w:jc w:val="left"/>
        <w:rPr>
          <w:sz w:val="14"/>
        </w:rPr>
      </w:pPr>
      <w:r>
        <w:rPr>
          <w:b/>
          <w:color w:val="3B3A3B"/>
          <w:spacing w:val="-1"/>
          <w:w w:val="110"/>
          <w:sz w:val="14"/>
        </w:rPr>
        <w:t>Not</w:t>
      </w:r>
      <w:r>
        <w:rPr>
          <w:b/>
          <w:color w:val="565456"/>
          <w:spacing w:val="-1"/>
          <w:w w:val="110"/>
          <w:sz w:val="14"/>
        </w:rPr>
        <w:t>e </w:t>
      </w:r>
      <w:r>
        <w:rPr>
          <w:color w:val="3B3A3B"/>
          <w:w w:val="110"/>
          <w:sz w:val="14"/>
        </w:rPr>
        <w:t>stat</w:t>
      </w:r>
      <w:r>
        <w:rPr>
          <w:color w:val="565456"/>
          <w:w w:val="110"/>
          <w:sz w:val="14"/>
        </w:rPr>
        <w:t>e</w:t>
      </w:r>
      <w:r>
        <w:rPr>
          <w:color w:val="3B3A3B"/>
          <w:w w:val="110"/>
          <w:sz w:val="14"/>
        </w:rPr>
        <w:t>ment</w:t>
      </w:r>
      <w:r>
        <w:rPr>
          <w:color w:val="3B3A3B"/>
          <w:spacing w:val="-36"/>
          <w:w w:val="110"/>
          <w:sz w:val="14"/>
        </w:rPr>
        <w:t> </w:t>
      </w:r>
      <w:r>
        <w:rPr>
          <w:color w:val="3B3A3B"/>
          <w:w w:val="110"/>
          <w:sz w:val="14"/>
        </w:rPr>
        <w:t>of</w:t>
      </w:r>
      <w:r>
        <w:rPr>
          <w:color w:val="3B3A3B"/>
          <w:spacing w:val="10"/>
          <w:w w:val="110"/>
          <w:sz w:val="14"/>
        </w:rPr>
        <w:t> </w:t>
      </w:r>
      <w:r>
        <w:rPr>
          <w:color w:val="3B3A3B"/>
          <w:w w:val="110"/>
          <w:sz w:val="14"/>
        </w:rPr>
        <w:t>rule</w:t>
      </w:r>
      <w:r>
        <w:rPr>
          <w:color w:val="3B3A3B"/>
          <w:spacing w:val="-11"/>
          <w:w w:val="110"/>
          <w:sz w:val="14"/>
        </w:rPr>
        <w:t> </w:t>
      </w:r>
      <w:r>
        <w:rPr>
          <w:color w:val="3B3A3B"/>
          <w:w w:val="110"/>
          <w:sz w:val="14"/>
        </w:rPr>
        <w:t>h</w:t>
      </w:r>
      <w:r>
        <w:rPr>
          <w:color w:val="565456"/>
          <w:w w:val="110"/>
          <w:sz w:val="14"/>
        </w:rPr>
        <w:t>e</w:t>
      </w:r>
      <w:r>
        <w:rPr>
          <w:color w:val="3B3A3B"/>
          <w:w w:val="110"/>
          <w:sz w:val="14"/>
        </w:rPr>
        <w:t>re</w:t>
      </w:r>
      <w:r>
        <w:rPr>
          <w:color w:val="565456"/>
          <w:w w:val="110"/>
          <w:sz w:val="14"/>
        </w:rPr>
        <w:t>.</w:t>
      </w:r>
    </w:p>
    <w:p>
      <w:pPr>
        <w:pStyle w:val="ListParagraph"/>
        <w:numPr>
          <w:ilvl w:val="0"/>
          <w:numId w:val="45"/>
        </w:numPr>
        <w:tabs>
          <w:tab w:pos="313" w:val="left" w:leader="none"/>
        </w:tabs>
        <w:spacing w:line="237" w:lineRule="auto" w:before="23" w:after="0"/>
        <w:ind w:left="284" w:right="254" w:hanging="184"/>
        <w:jc w:val="left"/>
        <w:rPr>
          <w:sz w:val="17"/>
        </w:rPr>
      </w:pPr>
      <w:r>
        <w:rPr>
          <w:rFonts w:ascii="Arial"/>
          <w:i/>
          <w:color w:val="3B3A3B"/>
          <w:w w:val="105"/>
          <w:sz w:val="14"/>
        </w:rPr>
        <w:t>Note</w:t>
      </w:r>
      <w:r>
        <w:rPr>
          <w:rFonts w:ascii="Arial"/>
          <w:i/>
          <w:color w:val="3B3A3B"/>
          <w:spacing w:val="3"/>
          <w:w w:val="105"/>
          <w:sz w:val="14"/>
        </w:rPr>
        <w:t> </w:t>
      </w:r>
      <w:r>
        <w:rPr>
          <w:color w:val="3B3A3B"/>
          <w:w w:val="105"/>
          <w:sz w:val="14"/>
        </w:rPr>
        <w:t>that</w:t>
      </w:r>
      <w:r>
        <w:rPr>
          <w:color w:val="3B3A3B"/>
          <w:spacing w:val="1"/>
          <w:w w:val="105"/>
          <w:sz w:val="14"/>
        </w:rPr>
        <w:t> </w:t>
      </w:r>
      <w:r>
        <w:rPr>
          <w:color w:val="3B3A3B"/>
          <w:w w:val="105"/>
          <w:sz w:val="17"/>
        </w:rPr>
        <w:t>the </w:t>
      </w:r>
      <w:r>
        <w:rPr>
          <w:color w:val="565456"/>
          <w:w w:val="105"/>
          <w:sz w:val="14"/>
        </w:rPr>
        <w:t>r</w:t>
      </w:r>
      <w:r>
        <w:rPr>
          <w:color w:val="3B3A3B"/>
          <w:w w:val="105"/>
          <w:sz w:val="14"/>
        </w:rPr>
        <w:t>ule</w:t>
      </w:r>
      <w:r>
        <w:rPr>
          <w:color w:val="3B3A3B"/>
          <w:spacing w:val="1"/>
          <w:w w:val="105"/>
          <w:sz w:val="14"/>
        </w:rPr>
        <w:t> </w:t>
      </w:r>
      <w:r>
        <w:rPr>
          <w:color w:val="3B3A3B"/>
          <w:w w:val="105"/>
          <w:sz w:val="14"/>
        </w:rPr>
        <w:t>exp</w:t>
      </w:r>
      <w:r>
        <w:rPr>
          <w:color w:val="565456"/>
          <w:w w:val="105"/>
          <w:sz w:val="14"/>
        </w:rPr>
        <w:t>l</w:t>
      </w:r>
      <w:r>
        <w:rPr>
          <w:color w:val="3B3A3B"/>
          <w:w w:val="105"/>
          <w:sz w:val="14"/>
        </w:rPr>
        <w:t>anation</w:t>
      </w:r>
      <w:r>
        <w:rPr>
          <w:color w:val="3B3A3B"/>
          <w:spacing w:val="1"/>
          <w:w w:val="105"/>
          <w:sz w:val="14"/>
        </w:rPr>
        <w:t> </w:t>
      </w:r>
      <w:r>
        <w:rPr>
          <w:color w:val="3B3A3B"/>
          <w:spacing w:val="-1"/>
          <w:w w:val="105"/>
          <w:sz w:val="14"/>
        </w:rPr>
        <w:t>beg</w:t>
      </w:r>
      <w:r>
        <w:rPr>
          <w:color w:val="565456"/>
          <w:spacing w:val="-1"/>
          <w:w w:val="105"/>
          <w:sz w:val="14"/>
        </w:rPr>
        <w:t>i</w:t>
      </w:r>
      <w:r>
        <w:rPr>
          <w:color w:val="3B3A3B"/>
          <w:spacing w:val="-1"/>
          <w:w w:val="105"/>
          <w:sz w:val="14"/>
        </w:rPr>
        <w:t>ns</w:t>
      </w:r>
      <w:r>
        <w:rPr>
          <w:color w:val="3B3A3B"/>
          <w:spacing w:val="-6"/>
          <w:w w:val="105"/>
          <w:sz w:val="14"/>
        </w:rPr>
        <w:t> </w:t>
      </w:r>
      <w:r>
        <w:rPr>
          <w:color w:val="3B3A3B"/>
          <w:w w:val="105"/>
          <w:sz w:val="17"/>
        </w:rPr>
        <w:t>here</w:t>
      </w:r>
      <w:r>
        <w:rPr>
          <w:color w:val="6B6B6D"/>
          <w:w w:val="105"/>
          <w:sz w:val="17"/>
        </w:rPr>
        <w:t>.</w:t>
      </w:r>
    </w:p>
    <w:p>
      <w:pPr>
        <w:spacing w:line="232" w:lineRule="exact" w:before="7"/>
        <w:ind w:left="297" w:right="0" w:firstLine="0"/>
        <w:jc w:val="both"/>
        <w:rPr>
          <w:sz w:val="16"/>
        </w:rPr>
      </w:pPr>
      <w:r>
        <w:rPr/>
        <w:br w:type="column"/>
      </w:r>
      <w:r>
        <w:rPr>
          <w:color w:val="3B3A3B"/>
          <w:w w:val="110"/>
          <w:sz w:val="21"/>
        </w:rPr>
        <w:t>search.</w:t>
      </w:r>
      <w:r>
        <w:rPr>
          <w:color w:val="3B3A3B"/>
          <w:spacing w:val="13"/>
          <w:w w:val="110"/>
          <w:sz w:val="21"/>
        </w:rPr>
        <w:t> </w:t>
      </w:r>
      <w:r>
        <w:rPr>
          <w:color w:val="3B3A3B"/>
          <w:w w:val="110"/>
          <w:sz w:val="16"/>
        </w:rPr>
        <w:t>1</w:t>
      </w:r>
    </w:p>
    <w:p>
      <w:pPr>
        <w:spacing w:line="240" w:lineRule="auto" w:before="0"/>
        <w:ind w:left="291" w:right="292" w:firstLine="338"/>
        <w:jc w:val="both"/>
        <w:rPr>
          <w:sz w:val="21"/>
        </w:rPr>
      </w:pPr>
      <w:r>
        <w:rPr>
          <w:color w:val="3B3A3B"/>
          <w:w w:val="115"/>
          <w:sz w:val="21"/>
        </w:rPr>
        <w:t>The Fourth Amendment protection of the home "has never been</w:t>
      </w:r>
      <w:r>
        <w:rPr>
          <w:color w:val="3B3A3B"/>
          <w:spacing w:val="1"/>
          <w:w w:val="115"/>
          <w:sz w:val="21"/>
        </w:rPr>
        <w:t> </w:t>
      </w:r>
      <w:r>
        <w:rPr>
          <w:color w:val="3B3A3B"/>
          <w:w w:val="110"/>
          <w:sz w:val="21"/>
        </w:rPr>
        <w:t>extended to require law enforcement officers to shield their eyes when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5"/>
          <w:sz w:val="21"/>
        </w:rPr>
        <w:t>passing by a home on public thoroughfares." </w:t>
      </w:r>
      <w:r>
        <w:rPr>
          <w:color w:val="3B3A3B"/>
          <w:w w:val="115"/>
          <w:sz w:val="21"/>
          <w:u w:val="thick" w:color="565456"/>
        </w:rPr>
        <w:t>California v. Ciraolo</w:t>
      </w:r>
      <w:r>
        <w:rPr>
          <w:color w:val="565456"/>
          <w:w w:val="115"/>
          <w:sz w:val="21"/>
        </w:rPr>
        <w:t>.</w:t>
      </w:r>
      <w:r>
        <w:rPr>
          <w:color w:val="565456"/>
          <w:spacing w:val="1"/>
          <w:w w:val="115"/>
          <w:sz w:val="21"/>
        </w:rPr>
        <w:t> </w:t>
      </w:r>
      <w:r>
        <w:rPr>
          <w:color w:val="3B3A3B"/>
          <w:w w:val="110"/>
          <w:sz w:val="21"/>
        </w:rPr>
        <w:t>476 U.S. 207,213 (1985). While a person's home is</w:t>
      </w:r>
      <w:r>
        <w:rPr>
          <w:color w:val="565456"/>
          <w:w w:val="110"/>
          <w:sz w:val="21"/>
        </w:rPr>
        <w:t>, </w:t>
      </w:r>
      <w:r>
        <w:rPr>
          <w:color w:val="3B3A3B"/>
          <w:w w:val="110"/>
          <w:sz w:val="21"/>
        </w:rPr>
        <w:t>for most purposes,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5"/>
          <w:sz w:val="21"/>
        </w:rPr>
        <w:t>a place where he expects privacy, activities "that he exposes to the</w:t>
      </w:r>
      <w:r>
        <w:rPr>
          <w:color w:val="3B3A3B"/>
          <w:spacing w:val="1"/>
          <w:w w:val="115"/>
          <w:sz w:val="21"/>
        </w:rPr>
        <w:t> </w:t>
      </w:r>
      <w:r>
        <w:rPr>
          <w:color w:val="3B3A3B"/>
          <w:w w:val="110"/>
          <w:sz w:val="17"/>
        </w:rPr>
        <w:t>'PLAIN</w:t>
      </w:r>
      <w:r>
        <w:rPr>
          <w:color w:val="3B3A3B"/>
          <w:spacing w:val="19"/>
          <w:w w:val="110"/>
          <w:sz w:val="17"/>
        </w:rPr>
        <w:t> </w:t>
      </w:r>
      <w:r>
        <w:rPr>
          <w:color w:val="3B3A3B"/>
          <w:w w:val="110"/>
          <w:sz w:val="17"/>
        </w:rPr>
        <w:t>VIEW'</w:t>
      </w:r>
      <w:r>
        <w:rPr>
          <w:color w:val="3B3A3B"/>
          <w:spacing w:val="-1"/>
          <w:w w:val="110"/>
          <w:sz w:val="17"/>
        </w:rPr>
        <w:t> </w:t>
      </w:r>
      <w:r>
        <w:rPr>
          <w:color w:val="3B3A3B"/>
          <w:w w:val="110"/>
          <w:sz w:val="21"/>
        </w:rPr>
        <w:t>of outsiders</w:t>
      </w:r>
      <w:r>
        <w:rPr>
          <w:color w:val="3B3A3B"/>
          <w:spacing w:val="-13"/>
          <w:w w:val="110"/>
          <w:sz w:val="21"/>
        </w:rPr>
        <w:t> </w:t>
      </w:r>
      <w:r>
        <w:rPr>
          <w:color w:val="3B3A3B"/>
          <w:w w:val="110"/>
          <w:sz w:val="21"/>
        </w:rPr>
        <w:t>are</w:t>
      </w:r>
      <w:r>
        <w:rPr>
          <w:color w:val="3B3A3B"/>
          <w:spacing w:val="13"/>
          <w:w w:val="110"/>
          <w:sz w:val="21"/>
        </w:rPr>
        <w:t> </w:t>
      </w:r>
      <w:r>
        <w:rPr>
          <w:color w:val="3B3A3B"/>
          <w:w w:val="110"/>
          <w:sz w:val="21"/>
        </w:rPr>
        <w:t>not</w:t>
      </w:r>
      <w:r>
        <w:rPr>
          <w:color w:val="3B3A3B"/>
          <w:spacing w:val="27"/>
          <w:w w:val="110"/>
          <w:sz w:val="21"/>
        </w:rPr>
        <w:t> </w:t>
      </w:r>
      <w:r>
        <w:rPr>
          <w:color w:val="3B3A3B"/>
          <w:w w:val="110"/>
          <w:sz w:val="21"/>
        </w:rPr>
        <w:t>protected</w:t>
      </w:r>
      <w:r>
        <w:rPr>
          <w:color w:val="565456"/>
          <w:w w:val="110"/>
          <w:sz w:val="21"/>
        </w:rPr>
        <w:t>.</w:t>
      </w:r>
      <w:r>
        <w:rPr>
          <w:color w:val="3B3A3B"/>
          <w:w w:val="110"/>
          <w:sz w:val="21"/>
        </w:rPr>
        <w:t>"</w:t>
      </w:r>
      <w:r>
        <w:rPr>
          <w:color w:val="3B3A3B"/>
          <w:spacing w:val="21"/>
          <w:w w:val="110"/>
          <w:sz w:val="21"/>
        </w:rPr>
        <w:t> </w:t>
      </w:r>
      <w:r>
        <w:rPr>
          <w:color w:val="3B3A3B"/>
          <w:w w:val="110"/>
          <w:sz w:val="21"/>
          <w:u w:val="thick" w:color="3B3A3B"/>
        </w:rPr>
        <w:t>Katz</w:t>
      </w:r>
      <w:r>
        <w:rPr>
          <w:color w:val="3B3A3B"/>
          <w:spacing w:val="4"/>
          <w:w w:val="110"/>
          <w:sz w:val="21"/>
          <w:u w:val="thick" w:color="3B3A3B"/>
        </w:rPr>
        <w:t> </w:t>
      </w:r>
      <w:r>
        <w:rPr>
          <w:color w:val="3B3A3B"/>
          <w:w w:val="110"/>
          <w:sz w:val="21"/>
          <w:u w:val="thick" w:color="3B3A3B"/>
        </w:rPr>
        <w:t>v.</w:t>
      </w:r>
      <w:r>
        <w:rPr>
          <w:color w:val="3B3A3B"/>
          <w:spacing w:val="-3"/>
          <w:w w:val="110"/>
          <w:sz w:val="21"/>
          <w:u w:val="thick" w:color="3B3A3B"/>
        </w:rPr>
        <w:t> </w:t>
      </w:r>
      <w:r>
        <w:rPr>
          <w:color w:val="3B3A3B"/>
          <w:w w:val="110"/>
          <w:sz w:val="21"/>
          <w:u w:val="thick" w:color="3B3A3B"/>
        </w:rPr>
        <w:t>United</w:t>
      </w:r>
      <w:r>
        <w:rPr>
          <w:color w:val="3B3A3B"/>
          <w:spacing w:val="7"/>
          <w:w w:val="110"/>
          <w:sz w:val="21"/>
          <w:u w:val="thick" w:color="3B3A3B"/>
        </w:rPr>
        <w:t> </w:t>
      </w:r>
      <w:r>
        <w:rPr>
          <w:color w:val="3B3A3B"/>
          <w:w w:val="110"/>
          <w:sz w:val="21"/>
          <w:u w:val="thick" w:color="3B3A3B"/>
        </w:rPr>
        <w:t>States</w:t>
      </w:r>
      <w:r>
        <w:rPr>
          <w:color w:val="3B3A3B"/>
          <w:w w:val="110"/>
          <w:sz w:val="21"/>
        </w:rPr>
        <w:t>.</w:t>
      </w:r>
      <w:r>
        <w:rPr>
          <w:color w:val="3B3A3B"/>
          <w:spacing w:val="-13"/>
          <w:w w:val="110"/>
          <w:sz w:val="21"/>
        </w:rPr>
        <w:t> </w:t>
      </w:r>
      <w:r>
        <w:rPr>
          <w:color w:val="3B3A3B"/>
          <w:w w:val="110"/>
          <w:sz w:val="21"/>
        </w:rPr>
        <w:t>389</w:t>
      </w:r>
    </w:p>
    <w:p>
      <w:pPr>
        <w:spacing w:line="232" w:lineRule="exact" w:before="0"/>
        <w:ind w:left="306" w:right="0" w:firstLine="0"/>
        <w:jc w:val="both"/>
        <w:rPr>
          <w:rFonts w:ascii="Arial"/>
          <w:b/>
          <w:sz w:val="15"/>
        </w:rPr>
      </w:pPr>
      <w:r>
        <w:rPr>
          <w:color w:val="3B3A3B"/>
          <w:w w:val="105"/>
          <w:sz w:val="21"/>
        </w:rPr>
        <w:t>U.S.</w:t>
      </w:r>
      <w:r>
        <w:rPr>
          <w:color w:val="3B3A3B"/>
          <w:spacing w:val="-4"/>
          <w:w w:val="105"/>
          <w:sz w:val="21"/>
        </w:rPr>
        <w:t> </w:t>
      </w:r>
      <w:r>
        <w:rPr>
          <w:color w:val="3B3A3B"/>
          <w:w w:val="105"/>
          <w:sz w:val="21"/>
        </w:rPr>
        <w:t>347,</w:t>
      </w:r>
      <w:r>
        <w:rPr>
          <w:color w:val="3B3A3B"/>
          <w:spacing w:val="10"/>
          <w:w w:val="105"/>
          <w:sz w:val="21"/>
        </w:rPr>
        <w:t> </w:t>
      </w:r>
      <w:r>
        <w:rPr>
          <w:color w:val="3B3A3B"/>
          <w:w w:val="105"/>
          <w:sz w:val="21"/>
        </w:rPr>
        <w:t>361</w:t>
      </w:r>
      <w:r>
        <w:rPr>
          <w:color w:val="3B3A3B"/>
          <w:spacing w:val="20"/>
          <w:w w:val="105"/>
          <w:sz w:val="21"/>
        </w:rPr>
        <w:t> </w:t>
      </w:r>
      <w:r>
        <w:rPr>
          <w:color w:val="3B3A3B"/>
          <w:w w:val="105"/>
          <w:sz w:val="21"/>
        </w:rPr>
        <w:t>(1967)</w:t>
      </w:r>
      <w:r>
        <w:rPr>
          <w:color w:val="3B3A3B"/>
          <w:spacing w:val="14"/>
          <w:w w:val="105"/>
          <w:sz w:val="21"/>
        </w:rPr>
        <w:t> </w:t>
      </w:r>
      <w:r>
        <w:rPr>
          <w:color w:val="3B3A3B"/>
          <w:w w:val="105"/>
          <w:sz w:val="21"/>
        </w:rPr>
        <w:t>(Harlan</w:t>
      </w:r>
      <w:r>
        <w:rPr>
          <w:color w:val="565456"/>
          <w:w w:val="105"/>
          <w:sz w:val="21"/>
        </w:rPr>
        <w:t>,</w:t>
      </w:r>
      <w:r>
        <w:rPr>
          <w:color w:val="565456"/>
          <w:spacing w:val="-7"/>
          <w:w w:val="105"/>
          <w:sz w:val="21"/>
        </w:rPr>
        <w:t> </w:t>
      </w:r>
      <w:r>
        <w:rPr>
          <w:color w:val="3B3A3B"/>
          <w:w w:val="105"/>
          <w:sz w:val="25"/>
        </w:rPr>
        <w:t>J.</w:t>
      </w:r>
      <w:r>
        <w:rPr>
          <w:color w:val="565456"/>
          <w:w w:val="105"/>
          <w:sz w:val="25"/>
        </w:rPr>
        <w:t>,</w:t>
      </w:r>
      <w:r>
        <w:rPr>
          <w:color w:val="565456"/>
          <w:spacing w:val="-10"/>
          <w:w w:val="105"/>
          <w:sz w:val="25"/>
        </w:rPr>
        <w:t> </w:t>
      </w:r>
      <w:r>
        <w:rPr>
          <w:color w:val="3B3A3B"/>
          <w:w w:val="105"/>
          <w:sz w:val="21"/>
        </w:rPr>
        <w:t>concurring).</w:t>
      </w:r>
      <w:r>
        <w:rPr>
          <w:color w:val="3B3A3B"/>
          <w:spacing w:val="20"/>
          <w:w w:val="105"/>
          <w:sz w:val="21"/>
        </w:rPr>
        <w:t> </w:t>
      </w:r>
      <w:r>
        <w:rPr>
          <w:rFonts w:ascii="Arial"/>
          <w:b/>
          <w:color w:val="3B3A3B"/>
          <w:w w:val="105"/>
          <w:sz w:val="15"/>
        </w:rPr>
        <w:t>2</w:t>
      </w:r>
    </w:p>
    <w:p>
      <w:pPr>
        <w:spacing w:line="235" w:lineRule="auto" w:before="0"/>
        <w:ind w:left="228" w:right="307" w:firstLine="450"/>
        <w:jc w:val="both"/>
        <w:rPr>
          <w:sz w:val="21"/>
        </w:rPr>
      </w:pPr>
      <w:r>
        <w:rPr>
          <w:rFonts w:ascii="Arial" w:hAnsi="Arial"/>
          <w:b/>
          <w:color w:val="3B3A3B"/>
          <w:w w:val="115"/>
          <w:sz w:val="14"/>
        </w:rPr>
        <w:t>3</w:t>
      </w:r>
      <w:r>
        <w:rPr>
          <w:rFonts w:ascii="Arial" w:hAnsi="Arial"/>
          <w:b/>
          <w:color w:val="3B3A3B"/>
          <w:spacing w:val="1"/>
          <w:w w:val="115"/>
          <w:sz w:val="14"/>
        </w:rPr>
        <w:t> </w:t>
      </w:r>
      <w:r>
        <w:rPr>
          <w:color w:val="3B3A3B"/>
          <w:w w:val="115"/>
          <w:sz w:val="21"/>
        </w:rPr>
        <w:t>Illegal activities in </w:t>
      </w:r>
      <w:r>
        <w:rPr>
          <w:color w:val="3B3A3B"/>
          <w:w w:val="115"/>
          <w:sz w:val="17"/>
        </w:rPr>
        <w:t>PLAIN VIEW </w:t>
      </w:r>
      <w:r>
        <w:rPr>
          <w:color w:val="3B3A3B"/>
          <w:w w:val="115"/>
          <w:sz w:val="21"/>
        </w:rPr>
        <w:t>from outside the curtilage are</w:t>
      </w:r>
      <w:r>
        <w:rPr>
          <w:color w:val="3B3A3B"/>
          <w:spacing w:val="1"/>
          <w:w w:val="115"/>
          <w:sz w:val="21"/>
        </w:rPr>
        <w:t> </w:t>
      </w:r>
      <w:r>
        <w:rPr>
          <w:color w:val="3B3A3B"/>
          <w:w w:val="110"/>
          <w:sz w:val="21"/>
        </w:rPr>
        <w:t>not protected even if the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police observation is specifically directed at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identifying illegal activity. </w:t>
      </w:r>
      <w:r>
        <w:rPr>
          <w:color w:val="3B3A3B"/>
          <w:w w:val="110"/>
          <w:sz w:val="21"/>
          <w:u w:val="thick" w:color="3B3A3B"/>
        </w:rPr>
        <w:t>United States v. Dunn,</w:t>
      </w:r>
      <w:r>
        <w:rPr>
          <w:color w:val="3B3A3B"/>
          <w:w w:val="110"/>
          <w:sz w:val="21"/>
        </w:rPr>
        <w:t> 480 U.S. 294 (1987)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5"/>
          <w:sz w:val="21"/>
        </w:rPr>
        <w:t>(holding that an officer's obs</w:t>
      </w:r>
      <w:r>
        <w:rPr>
          <w:color w:val="565456"/>
          <w:w w:val="115"/>
          <w:sz w:val="21"/>
        </w:rPr>
        <w:t>e</w:t>
      </w:r>
      <w:r>
        <w:rPr>
          <w:color w:val="3B3A3B"/>
          <w:w w:val="115"/>
          <w:sz w:val="21"/>
        </w:rPr>
        <w:t>rvation into a barn was not a Fourth</w:t>
      </w:r>
      <w:r>
        <w:rPr>
          <w:color w:val="3B3A3B"/>
          <w:spacing w:val="1"/>
          <w:w w:val="115"/>
          <w:sz w:val="21"/>
        </w:rPr>
        <w:t> </w:t>
      </w:r>
      <w:r>
        <w:rPr>
          <w:color w:val="3B3A3B"/>
          <w:w w:val="115"/>
          <w:sz w:val="21"/>
        </w:rPr>
        <w:t>Amendment search</w:t>
      </w:r>
      <w:r>
        <w:rPr>
          <w:color w:val="565456"/>
          <w:w w:val="115"/>
          <w:sz w:val="21"/>
        </w:rPr>
        <w:t>, </w:t>
      </w:r>
      <w:r>
        <w:rPr>
          <w:color w:val="3B3A3B"/>
          <w:w w:val="115"/>
          <w:sz w:val="21"/>
        </w:rPr>
        <w:t>and stressing </w:t>
      </w:r>
      <w:r>
        <w:rPr>
          <w:color w:val="3B3A3B"/>
          <w:w w:val="115"/>
          <w:sz w:val="18"/>
        </w:rPr>
        <w:t>it </w:t>
      </w:r>
      <w:r>
        <w:rPr>
          <w:color w:val="3B3A3B"/>
          <w:w w:val="115"/>
          <w:sz w:val="21"/>
        </w:rPr>
        <w:t>was irrelevant that the observa</w:t>
      </w:r>
      <w:r>
        <w:rPr>
          <w:color w:val="565456"/>
          <w:w w:val="115"/>
          <w:sz w:val="21"/>
        </w:rPr>
        <w:t>­</w:t>
      </w:r>
      <w:r>
        <w:rPr>
          <w:color w:val="565456"/>
          <w:spacing w:val="1"/>
          <w:w w:val="115"/>
          <w:sz w:val="21"/>
        </w:rPr>
        <w:t> </w:t>
      </w:r>
      <w:r>
        <w:rPr>
          <w:color w:val="3B3A3B"/>
          <w:w w:val="110"/>
          <w:sz w:val="21"/>
        </w:rPr>
        <w:t>tion was motivated  by a law enforcement purpose); </w:t>
      </w:r>
      <w:r>
        <w:rPr>
          <w:color w:val="3B3A3B"/>
          <w:w w:val="110"/>
          <w:sz w:val="21"/>
          <w:u w:val="thick" w:color="3B3A3B"/>
        </w:rPr>
        <w:t>Ciraolo,</w:t>
      </w:r>
      <w:r>
        <w:rPr>
          <w:color w:val="3B3A3B"/>
          <w:w w:val="110"/>
          <w:sz w:val="21"/>
        </w:rPr>
        <w:t> 476  U.S.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5"/>
          <w:sz w:val="21"/>
        </w:rPr>
        <w:t>at 212, 213</w:t>
      </w:r>
      <w:r>
        <w:rPr>
          <w:color w:val="565456"/>
          <w:w w:val="115"/>
          <w:sz w:val="21"/>
        </w:rPr>
        <w:t>. </w:t>
      </w:r>
      <w:r>
        <w:rPr>
          <w:color w:val="3B3A3B"/>
          <w:w w:val="115"/>
          <w:sz w:val="21"/>
        </w:rPr>
        <w:t>In </w:t>
      </w:r>
      <w:r>
        <w:rPr>
          <w:color w:val="3B3A3B"/>
          <w:w w:val="115"/>
          <w:sz w:val="21"/>
          <w:u w:val="thick" w:color="3B3A3B"/>
        </w:rPr>
        <w:t>Ciraolo,</w:t>
      </w:r>
      <w:r>
        <w:rPr>
          <w:color w:val="3B3A3B"/>
          <w:w w:val="115"/>
          <w:sz w:val="21"/>
        </w:rPr>
        <w:t> the defendant was growing marijuana in a</w:t>
      </w:r>
      <w:r>
        <w:rPr>
          <w:color w:val="3B3A3B"/>
          <w:spacing w:val="1"/>
          <w:w w:val="115"/>
          <w:sz w:val="21"/>
        </w:rPr>
        <w:t> </w:t>
      </w:r>
      <w:r>
        <w:rPr>
          <w:color w:val="3B3A3B"/>
          <w:w w:val="115"/>
          <w:sz w:val="21"/>
        </w:rPr>
        <w:t>15-by-25 foot plot in his backyard. He surrounded the yard with a</w:t>
      </w:r>
      <w:r>
        <w:rPr>
          <w:color w:val="3B3A3B"/>
          <w:spacing w:val="1"/>
          <w:w w:val="115"/>
          <w:sz w:val="21"/>
        </w:rPr>
        <w:t> </w:t>
      </w:r>
      <w:r>
        <w:rPr>
          <w:color w:val="3B3A3B"/>
          <w:w w:val="110"/>
          <w:sz w:val="21"/>
        </w:rPr>
        <w:t>6-foot outer fence and a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IO-foot inner fence. </w:t>
      </w:r>
      <w:r>
        <w:rPr>
          <w:color w:val="3B3A3B"/>
          <w:w w:val="110"/>
          <w:sz w:val="21"/>
          <w:u w:val="thick" w:color="3B3A3B"/>
        </w:rPr>
        <w:t>Id.</w:t>
      </w:r>
      <w:r>
        <w:rPr>
          <w:color w:val="3B3A3B"/>
          <w:w w:val="110"/>
          <w:sz w:val="21"/>
        </w:rPr>
        <w:t> at 209. Officers flew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5"/>
          <w:sz w:val="21"/>
        </w:rPr>
        <w:t>over the defendant</w:t>
      </w:r>
      <w:r>
        <w:rPr>
          <w:color w:val="565456"/>
          <w:w w:val="115"/>
          <w:sz w:val="21"/>
        </w:rPr>
        <w:t>'</w:t>
      </w:r>
      <w:r>
        <w:rPr>
          <w:color w:val="3B3A3B"/>
          <w:w w:val="115"/>
          <w:sz w:val="21"/>
        </w:rPr>
        <w:t>s house in a private airplane and readily id</w:t>
      </w:r>
      <w:r>
        <w:rPr>
          <w:color w:val="565456"/>
          <w:w w:val="115"/>
          <w:sz w:val="21"/>
        </w:rPr>
        <w:t>e</w:t>
      </w:r>
      <w:r>
        <w:rPr>
          <w:color w:val="3B3A3B"/>
          <w:w w:val="115"/>
          <w:sz w:val="21"/>
        </w:rPr>
        <w:t>ntified</w:t>
      </w:r>
      <w:r>
        <w:rPr>
          <w:color w:val="3B3A3B"/>
          <w:spacing w:val="-58"/>
          <w:w w:val="115"/>
          <w:sz w:val="21"/>
        </w:rPr>
        <w:t> </w:t>
      </w:r>
      <w:r>
        <w:rPr>
          <w:color w:val="3B3A3B"/>
          <w:w w:val="115"/>
          <w:sz w:val="21"/>
        </w:rPr>
        <w:t>the</w:t>
      </w:r>
      <w:r>
        <w:rPr>
          <w:color w:val="3B3A3B"/>
          <w:spacing w:val="22"/>
          <w:w w:val="115"/>
          <w:sz w:val="21"/>
        </w:rPr>
        <w:t> </w:t>
      </w:r>
      <w:r>
        <w:rPr>
          <w:color w:val="3B3A3B"/>
          <w:w w:val="115"/>
          <w:sz w:val="21"/>
        </w:rPr>
        <w:t>illegal</w:t>
      </w:r>
      <w:r>
        <w:rPr>
          <w:color w:val="3B3A3B"/>
          <w:spacing w:val="38"/>
          <w:w w:val="115"/>
          <w:sz w:val="21"/>
        </w:rPr>
        <w:t> </w:t>
      </w:r>
      <w:r>
        <w:rPr>
          <w:color w:val="3B3A3B"/>
          <w:w w:val="115"/>
          <w:sz w:val="21"/>
        </w:rPr>
        <w:t>plants</w:t>
      </w:r>
      <w:r>
        <w:rPr>
          <w:color w:val="3B3A3B"/>
          <w:spacing w:val="24"/>
          <w:w w:val="115"/>
          <w:sz w:val="21"/>
        </w:rPr>
        <w:t> </w:t>
      </w:r>
      <w:r>
        <w:rPr>
          <w:color w:val="3B3A3B"/>
          <w:w w:val="115"/>
          <w:sz w:val="21"/>
        </w:rPr>
        <w:t>using</w:t>
      </w:r>
      <w:r>
        <w:rPr>
          <w:color w:val="3B3A3B"/>
          <w:spacing w:val="18"/>
          <w:w w:val="115"/>
          <w:sz w:val="21"/>
        </w:rPr>
        <w:t> </w:t>
      </w:r>
      <w:r>
        <w:rPr>
          <w:color w:val="3B3A3B"/>
          <w:w w:val="115"/>
          <w:sz w:val="21"/>
        </w:rPr>
        <w:t>only</w:t>
      </w:r>
      <w:r>
        <w:rPr>
          <w:color w:val="3B3A3B"/>
          <w:spacing w:val="25"/>
          <w:w w:val="115"/>
          <w:sz w:val="21"/>
        </w:rPr>
        <w:t> </w:t>
      </w:r>
      <w:r>
        <w:rPr>
          <w:color w:val="3B3A3B"/>
          <w:w w:val="115"/>
          <w:sz w:val="21"/>
        </w:rPr>
        <w:t>the</w:t>
      </w:r>
      <w:r>
        <w:rPr>
          <w:color w:val="3B3A3B"/>
          <w:spacing w:val="25"/>
          <w:w w:val="115"/>
          <w:sz w:val="21"/>
        </w:rPr>
        <w:t> </w:t>
      </w:r>
      <w:r>
        <w:rPr>
          <w:color w:val="3B3A3B"/>
          <w:w w:val="115"/>
          <w:sz w:val="21"/>
        </w:rPr>
        <w:t>naked</w:t>
      </w:r>
      <w:r>
        <w:rPr>
          <w:color w:val="3B3A3B"/>
          <w:spacing w:val="25"/>
          <w:w w:val="115"/>
          <w:sz w:val="21"/>
        </w:rPr>
        <w:t> </w:t>
      </w:r>
      <w:r>
        <w:rPr>
          <w:color w:val="3B3A3B"/>
          <w:w w:val="115"/>
          <w:sz w:val="21"/>
        </w:rPr>
        <w:t>eye.</w:t>
      </w:r>
      <w:r>
        <w:rPr>
          <w:color w:val="3B3A3B"/>
          <w:spacing w:val="2"/>
          <w:w w:val="115"/>
          <w:sz w:val="21"/>
        </w:rPr>
        <w:t> </w:t>
      </w:r>
      <w:r>
        <w:rPr>
          <w:color w:val="3B3A3B"/>
          <w:w w:val="115"/>
          <w:sz w:val="22"/>
        </w:rPr>
        <w:t>Id.</w:t>
      </w:r>
      <w:r>
        <w:rPr>
          <w:color w:val="3B3A3B"/>
          <w:spacing w:val="-9"/>
          <w:w w:val="115"/>
          <w:sz w:val="22"/>
        </w:rPr>
        <w:t> </w:t>
      </w:r>
      <w:r>
        <w:rPr>
          <w:color w:val="3B3A3B"/>
          <w:w w:val="115"/>
          <w:sz w:val="21"/>
        </w:rPr>
        <w:t>The</w:t>
      </w:r>
      <w:r>
        <w:rPr>
          <w:color w:val="3B3A3B"/>
          <w:spacing w:val="32"/>
          <w:w w:val="115"/>
          <w:sz w:val="21"/>
        </w:rPr>
        <w:t> </w:t>
      </w:r>
      <w:r>
        <w:rPr>
          <w:color w:val="3B3A3B"/>
          <w:w w:val="115"/>
          <w:sz w:val="21"/>
        </w:rPr>
        <w:t>government</w:t>
      </w:r>
      <w:r>
        <w:rPr>
          <w:color w:val="3B3A3B"/>
          <w:spacing w:val="50"/>
          <w:w w:val="115"/>
          <w:sz w:val="21"/>
        </w:rPr>
        <w:t> </w:t>
      </w:r>
      <w:r>
        <w:rPr>
          <w:color w:val="3B3A3B"/>
          <w:w w:val="115"/>
          <w:sz w:val="21"/>
        </w:rPr>
        <w:t>in</w:t>
      </w:r>
    </w:p>
    <w:p>
      <w:pPr>
        <w:spacing w:line="232" w:lineRule="auto" w:before="0"/>
        <w:ind w:left="184" w:right="342" w:hanging="193"/>
        <w:jc w:val="both"/>
        <w:rPr>
          <w:sz w:val="21"/>
        </w:rPr>
      </w:pPr>
      <w:r>
        <w:rPr>
          <w:color w:val="3B3A3B"/>
          <w:w w:val="100"/>
          <w:sz w:val="21"/>
          <w:u w:val="thick" w:color="3B3A3B"/>
        </w:rPr>
        <w:t> </w:t>
      </w:r>
      <w:r>
        <w:rPr>
          <w:color w:val="3B3A3B"/>
          <w:spacing w:val="-17"/>
          <w:sz w:val="21"/>
          <w:u w:val="thick" w:color="3B3A3B"/>
        </w:rPr>
        <w:t> </w:t>
      </w:r>
      <w:r>
        <w:rPr>
          <w:color w:val="3B3A3B"/>
          <w:w w:val="150"/>
          <w:sz w:val="21"/>
          <w:u w:val="thick" w:color="3B3A3B"/>
        </w:rPr>
        <w:t>iraolo</w:t>
      </w:r>
      <w:r>
        <w:rPr>
          <w:color w:val="3B3A3B"/>
          <w:spacing w:val="6"/>
          <w:w w:val="150"/>
          <w:sz w:val="21"/>
        </w:rPr>
        <w:t> </w:t>
      </w:r>
      <w:r>
        <w:rPr>
          <w:color w:val="3B3A3B"/>
          <w:w w:val="110"/>
          <w:sz w:val="21"/>
        </w:rPr>
        <w:t>argued</w:t>
      </w:r>
      <w:r>
        <w:rPr>
          <w:color w:val="3B3A3B"/>
          <w:spacing w:val="35"/>
          <w:w w:val="110"/>
          <w:sz w:val="21"/>
        </w:rPr>
        <w:t> </w:t>
      </w:r>
      <w:r>
        <w:rPr>
          <w:color w:val="3B3A3B"/>
          <w:w w:val="110"/>
          <w:sz w:val="21"/>
        </w:rPr>
        <w:t>that</w:t>
      </w:r>
      <w:r>
        <w:rPr>
          <w:color w:val="3B3A3B"/>
          <w:spacing w:val="24"/>
          <w:w w:val="110"/>
          <w:sz w:val="21"/>
        </w:rPr>
        <w:t> </w:t>
      </w:r>
      <w:r>
        <w:rPr>
          <w:color w:val="3B3A3B"/>
          <w:w w:val="110"/>
          <w:sz w:val="21"/>
        </w:rPr>
        <w:t>the</w:t>
      </w:r>
      <w:r>
        <w:rPr>
          <w:color w:val="3B3A3B"/>
          <w:spacing w:val="-13"/>
          <w:w w:val="110"/>
          <w:sz w:val="21"/>
        </w:rPr>
        <w:t> </w:t>
      </w:r>
      <w:r>
        <w:rPr>
          <w:color w:val="3B3A3B"/>
          <w:w w:val="110"/>
          <w:sz w:val="21"/>
        </w:rPr>
        <w:t>observation</w:t>
      </w:r>
      <w:r>
        <w:rPr>
          <w:color w:val="3B3A3B"/>
          <w:spacing w:val="41"/>
          <w:w w:val="110"/>
          <w:sz w:val="21"/>
        </w:rPr>
        <w:t> </w:t>
      </w:r>
      <w:r>
        <w:rPr>
          <w:color w:val="3B3A3B"/>
          <w:w w:val="110"/>
          <w:sz w:val="21"/>
        </w:rPr>
        <w:t>was</w:t>
      </w:r>
      <w:r>
        <w:rPr>
          <w:color w:val="3B3A3B"/>
          <w:spacing w:val="-16"/>
          <w:w w:val="110"/>
          <w:sz w:val="21"/>
        </w:rPr>
        <w:t> </w:t>
      </w:r>
      <w:r>
        <w:rPr>
          <w:color w:val="3B3A3B"/>
          <w:w w:val="110"/>
          <w:sz w:val="21"/>
        </w:rPr>
        <w:t>analogous</w:t>
      </w:r>
      <w:r>
        <w:rPr>
          <w:color w:val="3B3A3B"/>
          <w:spacing w:val="28"/>
          <w:w w:val="110"/>
          <w:sz w:val="21"/>
        </w:rPr>
        <w:t> </w:t>
      </w:r>
      <w:r>
        <w:rPr>
          <w:color w:val="3B3A3B"/>
          <w:w w:val="110"/>
          <w:sz w:val="21"/>
        </w:rPr>
        <w:t>to</w:t>
      </w:r>
      <w:r>
        <w:rPr>
          <w:color w:val="3B3A3B"/>
          <w:spacing w:val="39"/>
          <w:w w:val="110"/>
          <w:sz w:val="21"/>
        </w:rPr>
        <w:t> </w:t>
      </w:r>
      <w:r>
        <w:rPr>
          <w:color w:val="3B3A3B"/>
          <w:w w:val="110"/>
          <w:sz w:val="21"/>
        </w:rPr>
        <w:t>looking</w:t>
      </w:r>
      <w:r>
        <w:rPr>
          <w:color w:val="3B3A3B"/>
          <w:spacing w:val="29"/>
          <w:w w:val="110"/>
          <w:sz w:val="21"/>
        </w:rPr>
        <w:t> </w:t>
      </w:r>
      <w:r>
        <w:rPr>
          <w:color w:val="3B3A3B"/>
          <w:w w:val="110"/>
          <w:sz w:val="21"/>
        </w:rPr>
        <w:t>through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a knothole or an opening in a fence: </w:t>
      </w:r>
      <w:r>
        <w:rPr>
          <w:rFonts w:ascii="Arial" w:hAnsi="Arial"/>
          <w:color w:val="3B3A3B"/>
          <w:w w:val="110"/>
          <w:sz w:val="19"/>
        </w:rPr>
        <w:t>"If</w:t>
      </w:r>
      <w:r>
        <w:rPr>
          <w:rFonts w:ascii="Arial" w:hAnsi="Arial"/>
          <w:color w:val="3B3A3B"/>
          <w:spacing w:val="1"/>
          <w:w w:val="110"/>
          <w:sz w:val="19"/>
        </w:rPr>
        <w:t> </w:t>
      </w:r>
      <w:r>
        <w:rPr>
          <w:color w:val="3B3A3B"/>
          <w:w w:val="110"/>
          <w:sz w:val="21"/>
        </w:rPr>
        <w:t>there is an opening, the police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may look." </w:t>
      </w:r>
      <w:r>
        <w:rPr>
          <w:color w:val="3B3A3B"/>
          <w:w w:val="110"/>
          <w:sz w:val="18"/>
        </w:rPr>
        <w:t>I.d,</w:t>
      </w:r>
      <w:r>
        <w:rPr>
          <w:color w:val="565456"/>
          <w:w w:val="110"/>
          <w:sz w:val="18"/>
        </w:rPr>
        <w:t>. </w:t>
      </w:r>
      <w:r>
        <w:rPr>
          <w:b/>
          <w:color w:val="3B3A3B"/>
          <w:w w:val="110"/>
          <w:sz w:val="19"/>
        </w:rPr>
        <w:t>at  </w:t>
      </w:r>
      <w:r>
        <w:rPr>
          <w:color w:val="3B3A3B"/>
          <w:w w:val="110"/>
          <w:sz w:val="21"/>
        </w:rPr>
        <w:t>220</w:t>
      </w:r>
      <w:r>
        <w:rPr>
          <w:color w:val="565456"/>
          <w:w w:val="110"/>
          <w:sz w:val="21"/>
        </w:rPr>
        <w:t>. </w:t>
      </w:r>
      <w:r>
        <w:rPr>
          <w:color w:val="3B3A3B"/>
          <w:w w:val="110"/>
          <w:sz w:val="21"/>
        </w:rPr>
        <w:t>This Court agreed with the government</w:t>
      </w:r>
      <w:r>
        <w:rPr>
          <w:color w:val="565456"/>
          <w:w w:val="110"/>
          <w:sz w:val="21"/>
        </w:rPr>
        <w:t>, </w:t>
      </w:r>
      <w:r>
        <w:rPr>
          <w:color w:val="3B3A3B"/>
          <w:w w:val="110"/>
          <w:sz w:val="21"/>
        </w:rPr>
        <w:t>hold­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ing that th</w:t>
      </w:r>
      <w:r>
        <w:rPr>
          <w:color w:val="565456"/>
          <w:w w:val="110"/>
          <w:sz w:val="21"/>
        </w:rPr>
        <w:t>e </w:t>
      </w:r>
      <w:r>
        <w:rPr>
          <w:color w:val="3B3A3B"/>
          <w:w w:val="110"/>
          <w:sz w:val="21"/>
        </w:rPr>
        <w:t>observation was not a Fourth Amendment search. </w:t>
      </w:r>
      <w:r>
        <w:rPr>
          <w:color w:val="3B3A3B"/>
          <w:w w:val="110"/>
          <w:sz w:val="19"/>
        </w:rPr>
        <w:t>Jg. </w:t>
      </w:r>
      <w:r>
        <w:rPr>
          <w:color w:val="3B3A3B"/>
          <w:w w:val="110"/>
          <w:sz w:val="21"/>
        </w:rPr>
        <w:t>The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airspace </w:t>
      </w:r>
      <w:r>
        <w:rPr>
          <w:color w:val="3B3A3B"/>
          <w:spacing w:val="7"/>
          <w:w w:val="110"/>
          <w:sz w:val="21"/>
        </w:rPr>
        <w:t> </w:t>
      </w:r>
      <w:r>
        <w:rPr>
          <w:color w:val="3B3A3B"/>
          <w:w w:val="110"/>
          <w:sz w:val="21"/>
        </w:rPr>
        <w:t>was</w:t>
      </w:r>
      <w:r>
        <w:rPr>
          <w:color w:val="3B3A3B"/>
          <w:spacing w:val="24"/>
          <w:w w:val="110"/>
          <w:sz w:val="21"/>
        </w:rPr>
        <w:t> </w:t>
      </w:r>
      <w:r>
        <w:rPr>
          <w:color w:val="3B3A3B"/>
          <w:w w:val="110"/>
          <w:sz w:val="21"/>
        </w:rPr>
        <w:t>outside</w:t>
      </w:r>
      <w:r>
        <w:rPr>
          <w:color w:val="3B3A3B"/>
          <w:spacing w:val="33"/>
          <w:w w:val="110"/>
          <w:sz w:val="21"/>
        </w:rPr>
        <w:t> </w:t>
      </w:r>
      <w:r>
        <w:rPr>
          <w:color w:val="3B3A3B"/>
          <w:w w:val="110"/>
          <w:sz w:val="21"/>
        </w:rPr>
        <w:t>the </w:t>
      </w:r>
      <w:r>
        <w:rPr>
          <w:color w:val="3B3A3B"/>
          <w:spacing w:val="3"/>
          <w:w w:val="110"/>
          <w:sz w:val="21"/>
        </w:rPr>
        <w:t> </w:t>
      </w:r>
      <w:r>
        <w:rPr>
          <w:color w:val="3B3A3B"/>
          <w:w w:val="110"/>
          <w:sz w:val="21"/>
        </w:rPr>
        <w:t>curtilage</w:t>
      </w:r>
      <w:r>
        <w:rPr>
          <w:color w:val="3B3A3B"/>
          <w:spacing w:val="33"/>
          <w:w w:val="110"/>
          <w:sz w:val="21"/>
        </w:rPr>
        <w:t> </w:t>
      </w:r>
      <w:r>
        <w:rPr>
          <w:color w:val="3B3A3B"/>
          <w:w w:val="110"/>
          <w:sz w:val="21"/>
        </w:rPr>
        <w:t>of  the </w:t>
      </w:r>
      <w:r>
        <w:rPr>
          <w:color w:val="3B3A3B"/>
          <w:spacing w:val="4"/>
          <w:w w:val="110"/>
          <w:sz w:val="21"/>
        </w:rPr>
        <w:t> </w:t>
      </w:r>
      <w:r>
        <w:rPr>
          <w:color w:val="3B3A3B"/>
          <w:w w:val="110"/>
          <w:sz w:val="21"/>
        </w:rPr>
        <w:t>apartment,</w:t>
      </w:r>
      <w:r>
        <w:rPr>
          <w:color w:val="3B3A3B"/>
          <w:spacing w:val="54"/>
          <w:w w:val="110"/>
          <w:sz w:val="21"/>
        </w:rPr>
        <w:t> </w:t>
      </w:r>
      <w:r>
        <w:rPr>
          <w:color w:val="3B3A3B"/>
          <w:w w:val="110"/>
          <w:sz w:val="21"/>
        </w:rPr>
        <w:t>and </w:t>
      </w:r>
      <w:r>
        <w:rPr>
          <w:color w:val="3B3A3B"/>
          <w:spacing w:val="34"/>
          <w:w w:val="110"/>
          <w:sz w:val="21"/>
        </w:rPr>
        <w:t> </w:t>
      </w:r>
      <w:r>
        <w:rPr>
          <w:color w:val="3B3A3B"/>
          <w:w w:val="110"/>
          <w:sz w:val="21"/>
        </w:rPr>
        <w:t>the </w:t>
      </w:r>
      <w:r>
        <w:rPr>
          <w:color w:val="3B3A3B"/>
          <w:spacing w:val="28"/>
          <w:w w:val="110"/>
          <w:sz w:val="21"/>
        </w:rPr>
        <w:t> </w:t>
      </w:r>
      <w:r>
        <w:rPr>
          <w:color w:val="3B3A3B"/>
          <w:w w:val="110"/>
          <w:sz w:val="21"/>
        </w:rPr>
        <w:t>Court</w:t>
      </w:r>
    </w:p>
    <w:p>
      <w:pPr>
        <w:spacing w:after="0" w:line="232" w:lineRule="auto"/>
        <w:jc w:val="both"/>
        <w:rPr>
          <w:sz w:val="21"/>
        </w:rPr>
        <w:sectPr>
          <w:type w:val="continuous"/>
          <w:pgSz w:w="9360" w:h="13790"/>
          <w:pgMar w:header="428" w:footer="0" w:top="340" w:bottom="280" w:left="800" w:right="0"/>
          <w:cols w:num="2" w:equalWidth="0">
            <w:col w:w="1312" w:space="40"/>
            <w:col w:w="7208"/>
          </w:cols>
        </w:sectPr>
      </w:pPr>
    </w:p>
    <w:p>
      <w:pPr>
        <w:pStyle w:val="BodyText"/>
        <w:spacing w:before="2"/>
        <w:rPr>
          <w:sz w:val="24"/>
        </w:rPr>
      </w:pPr>
    </w:p>
    <w:p>
      <w:pPr>
        <w:spacing w:line="232" w:lineRule="auto" w:before="98"/>
        <w:ind w:left="1132" w:right="-58" w:firstLine="232"/>
        <w:jc w:val="left"/>
        <w:rPr>
          <w:sz w:val="17"/>
        </w:rPr>
      </w:pPr>
      <w:r>
        <w:rPr>
          <w:i/>
          <w:color w:val="565456"/>
          <w:w w:val="140"/>
          <w:sz w:val="18"/>
        </w:rPr>
        <w:t>,</w:t>
      </w:r>
      <w:r>
        <w:rPr>
          <w:i/>
          <w:color w:val="3B3A3B"/>
          <w:w w:val="140"/>
          <w:sz w:val="18"/>
        </w:rPr>
        <w:t>See </w:t>
      </w:r>
      <w:r>
        <w:rPr>
          <w:color w:val="3B3A3B"/>
          <w:w w:val="110"/>
          <w:sz w:val="17"/>
        </w:rPr>
        <w:t>dis</w:t>
      </w:r>
      <w:r>
        <w:rPr>
          <w:color w:val="565456"/>
          <w:w w:val="110"/>
          <w:sz w:val="17"/>
        </w:rPr>
        <w:t>c</w:t>
      </w:r>
      <w:r>
        <w:rPr>
          <w:color w:val="3B3A3B"/>
          <w:w w:val="110"/>
          <w:sz w:val="17"/>
        </w:rPr>
        <w:t>ussion</w:t>
      </w:r>
      <w:r>
        <w:rPr>
          <w:color w:val="3B3A3B"/>
          <w:spacing w:val="1"/>
          <w:w w:val="110"/>
          <w:sz w:val="17"/>
        </w:rPr>
        <w:t> </w:t>
      </w:r>
      <w:r>
        <w:rPr>
          <w:color w:val="3B3A3B"/>
          <w:w w:val="110"/>
          <w:sz w:val="17"/>
        </w:rPr>
        <w:t>below </w:t>
      </w:r>
      <w:r>
        <w:rPr>
          <w:color w:val="3B3A3B"/>
          <w:sz w:val="17"/>
        </w:rPr>
        <w:t>an</w:t>
      </w:r>
      <w:r>
        <w:rPr>
          <w:color w:val="565456"/>
          <w:sz w:val="17"/>
        </w:rPr>
        <w:t>_</w:t>
      </w:r>
      <w:r>
        <w:rPr>
          <w:color w:val="3B3A3B"/>
          <w:sz w:val="17"/>
        </w:rPr>
        <w:t>d</w:t>
      </w:r>
      <w:r>
        <w:rPr>
          <w:color w:val="3B3A3B"/>
          <w:spacing w:val="1"/>
          <w:sz w:val="17"/>
        </w:rPr>
        <w:t> </w:t>
      </w:r>
      <w:r>
        <w:rPr>
          <w:color w:val="3B3A3B"/>
          <w:sz w:val="17"/>
        </w:rPr>
        <w:t>in</w:t>
      </w:r>
      <w:r>
        <w:rPr>
          <w:color w:val="3B3A3B"/>
          <w:spacing w:val="1"/>
          <w:sz w:val="17"/>
        </w:rPr>
        <w:t> </w:t>
      </w:r>
      <w:r>
        <w:rPr>
          <w:color w:val="3B3A3B"/>
          <w:w w:val="110"/>
          <w:sz w:val="17"/>
        </w:rPr>
        <w:t>Chapt</w:t>
      </w:r>
      <w:r>
        <w:rPr>
          <w:color w:val="565456"/>
          <w:w w:val="110"/>
          <w:sz w:val="17"/>
        </w:rPr>
        <w:t>e</w:t>
      </w:r>
      <w:r>
        <w:rPr>
          <w:color w:val="3B3A3B"/>
          <w:w w:val="110"/>
          <w:sz w:val="17"/>
        </w:rPr>
        <w:t>r</w:t>
      </w:r>
      <w:r>
        <w:rPr>
          <w:color w:val="3B3A3B"/>
          <w:spacing w:val="1"/>
          <w:w w:val="110"/>
          <w:sz w:val="17"/>
        </w:rPr>
        <w:t> </w:t>
      </w:r>
      <w:r>
        <w:rPr>
          <w:color w:val="3B3A3B"/>
          <w:w w:val="110"/>
          <w:sz w:val="17"/>
        </w:rPr>
        <w:t>Ten</w:t>
      </w:r>
      <w:r>
        <w:rPr>
          <w:color w:val="3B3A3B"/>
          <w:spacing w:val="1"/>
          <w:w w:val="110"/>
          <w:sz w:val="17"/>
        </w:rPr>
        <w:t> </w:t>
      </w:r>
      <w:r>
        <w:rPr>
          <w:color w:val="3B3A3B"/>
          <w:w w:val="110"/>
          <w:sz w:val="17"/>
        </w:rPr>
        <w:t>(</w:t>
      </w:r>
      <w:r>
        <w:rPr>
          <w:color w:val="565456"/>
          <w:w w:val="110"/>
          <w:sz w:val="17"/>
        </w:rPr>
        <w:t>rega</w:t>
      </w:r>
      <w:r>
        <w:rPr>
          <w:color w:val="3B3A3B"/>
          <w:w w:val="110"/>
          <w:sz w:val="17"/>
        </w:rPr>
        <w:t>rding</w:t>
      </w:r>
      <w:r>
        <w:rPr>
          <w:color w:val="3B3A3B"/>
          <w:spacing w:val="1"/>
          <w:w w:val="110"/>
          <w:sz w:val="17"/>
        </w:rPr>
        <w:t> </w:t>
      </w:r>
      <w:r>
        <w:rPr>
          <w:color w:val="3B3A3B"/>
          <w:w w:val="110"/>
          <w:sz w:val="17"/>
        </w:rPr>
        <w:t>l</w:t>
      </w:r>
      <w:r>
        <w:rPr>
          <w:color w:val="565456"/>
          <w:w w:val="110"/>
          <w:sz w:val="17"/>
        </w:rPr>
        <w:t>e</w:t>
      </w:r>
      <w:r>
        <w:rPr>
          <w:color w:val="3B3A3B"/>
          <w:w w:val="110"/>
          <w:sz w:val="17"/>
        </w:rPr>
        <w:t>gal</w:t>
      </w:r>
      <w:r>
        <w:rPr>
          <w:color w:val="3B3A3B"/>
          <w:spacing w:val="1"/>
          <w:w w:val="110"/>
          <w:sz w:val="17"/>
        </w:rPr>
        <w:t> </w:t>
      </w:r>
      <w:r>
        <w:rPr>
          <w:color w:val="3B3A3B"/>
          <w:w w:val="110"/>
          <w:sz w:val="17"/>
        </w:rPr>
        <w:t>backstory and</w:t>
      </w:r>
      <w:r>
        <w:rPr>
          <w:color w:val="3B3A3B"/>
          <w:spacing w:val="1"/>
          <w:w w:val="110"/>
          <w:sz w:val="17"/>
        </w:rPr>
        <w:t> </w:t>
      </w:r>
      <w:r>
        <w:rPr>
          <w:color w:val="3B3A3B"/>
          <w:w w:val="110"/>
          <w:sz w:val="17"/>
        </w:rPr>
        <w:t>roadmaps) for</w:t>
      </w:r>
      <w:r>
        <w:rPr>
          <w:color w:val="3B3A3B"/>
          <w:spacing w:val="-44"/>
          <w:w w:val="110"/>
          <w:sz w:val="17"/>
        </w:rPr>
        <w:t> </w:t>
      </w:r>
      <w:r>
        <w:rPr>
          <w:color w:val="3B3A3B"/>
          <w:w w:val="110"/>
          <w:sz w:val="17"/>
        </w:rPr>
        <w:t>examples</w:t>
      </w:r>
      <w:r>
        <w:rPr>
          <w:color w:val="3B3A3B"/>
          <w:spacing w:val="-16"/>
          <w:w w:val="110"/>
          <w:sz w:val="17"/>
        </w:rPr>
        <w:t> </w:t>
      </w:r>
      <w:r>
        <w:rPr>
          <w:color w:val="3B3A3B"/>
          <w:w w:val="110"/>
          <w:sz w:val="17"/>
        </w:rPr>
        <w:t>of</w:t>
      </w:r>
      <w:r>
        <w:rPr>
          <w:color w:val="3B3A3B"/>
          <w:spacing w:val="31"/>
          <w:w w:val="110"/>
          <w:sz w:val="17"/>
        </w:rPr>
        <w:t> </w:t>
      </w:r>
      <w:r>
        <w:rPr>
          <w:color w:val="3B3A3B"/>
          <w:w w:val="110"/>
          <w:sz w:val="17"/>
        </w:rPr>
        <w:t>how</w:t>
      </w:r>
      <w:r>
        <w:rPr>
          <w:color w:val="3B3A3B"/>
          <w:spacing w:val="33"/>
          <w:w w:val="110"/>
          <w:sz w:val="17"/>
        </w:rPr>
        <w:t> </w:t>
      </w:r>
      <w:r>
        <w:rPr>
          <w:color w:val="3B3A3B"/>
          <w:w w:val="110"/>
          <w:sz w:val="17"/>
        </w:rPr>
        <w:t>to</w:t>
      </w:r>
      <w:r>
        <w:rPr>
          <w:color w:val="3B3A3B"/>
          <w:spacing w:val="9"/>
          <w:w w:val="110"/>
          <w:sz w:val="17"/>
        </w:rPr>
        <w:t> </w:t>
      </w:r>
      <w:r>
        <w:rPr>
          <w:color w:val="3B3A3B"/>
          <w:sz w:val="17"/>
        </w:rPr>
        <w:t>d&lt;&gt;al</w:t>
      </w:r>
      <w:r>
        <w:rPr>
          <w:color w:val="3B3A3B"/>
          <w:spacing w:val="39"/>
          <w:sz w:val="17"/>
        </w:rPr>
        <w:t> </w:t>
      </w:r>
      <w:r>
        <w:rPr>
          <w:color w:val="3B3A3B"/>
          <w:w w:val="110"/>
          <w:sz w:val="17"/>
        </w:rPr>
        <w:t>with</w:t>
      </w:r>
      <w:r>
        <w:rPr>
          <w:color w:val="3B3A3B"/>
          <w:spacing w:val="13"/>
          <w:w w:val="110"/>
          <w:sz w:val="17"/>
        </w:rPr>
        <w:t> </w:t>
      </w:r>
      <w:r>
        <w:rPr>
          <w:color w:val="3B3A3B"/>
          <w:w w:val="110"/>
          <w:sz w:val="17"/>
        </w:rPr>
        <w:t>i</w:t>
      </w:r>
      <w:r>
        <w:rPr>
          <w:color w:val="565456"/>
          <w:w w:val="110"/>
          <w:sz w:val="17"/>
        </w:rPr>
        <w:t>ss</w:t>
      </w:r>
      <w:r>
        <w:rPr>
          <w:color w:val="3B3A3B"/>
          <w:w w:val="110"/>
          <w:sz w:val="17"/>
        </w:rPr>
        <w:t>ue</w:t>
      </w:r>
      <w:r>
        <w:rPr>
          <w:color w:val="565456"/>
          <w:w w:val="110"/>
          <w:sz w:val="17"/>
        </w:rPr>
        <w:t>s</w:t>
      </w:r>
      <w:r>
        <w:rPr>
          <w:color w:val="565456"/>
          <w:spacing w:val="28"/>
          <w:w w:val="110"/>
          <w:sz w:val="17"/>
        </w:rPr>
        <w:t> </w:t>
      </w:r>
      <w:r>
        <w:rPr>
          <w:color w:val="3B3A3B"/>
          <w:w w:val="110"/>
          <w:sz w:val="17"/>
        </w:rPr>
        <w:t>that</w:t>
      </w:r>
      <w:r>
        <w:rPr>
          <w:color w:val="3B3A3B"/>
          <w:spacing w:val="2"/>
          <w:w w:val="110"/>
          <w:sz w:val="17"/>
        </w:rPr>
        <w:t> </w:t>
      </w:r>
      <w:r>
        <w:rPr>
          <w:color w:val="3B3A3B"/>
          <w:w w:val="110"/>
          <w:sz w:val="17"/>
        </w:rPr>
        <w:t>are</w:t>
      </w:r>
      <w:r>
        <w:rPr>
          <w:color w:val="3B3A3B"/>
          <w:spacing w:val="-1"/>
          <w:w w:val="110"/>
          <w:sz w:val="17"/>
        </w:rPr>
        <w:t> </w:t>
      </w:r>
      <w:r>
        <w:rPr>
          <w:color w:val="3B3A3B"/>
          <w:w w:val="110"/>
          <w:sz w:val="17"/>
        </w:rPr>
        <w:t>not</w:t>
      </w:r>
      <w:r>
        <w:rPr>
          <w:color w:val="3B3A3B"/>
          <w:spacing w:val="9"/>
          <w:w w:val="110"/>
          <w:sz w:val="17"/>
        </w:rPr>
        <w:t> </w:t>
      </w:r>
      <w:r>
        <w:rPr>
          <w:color w:val="3B3A3B"/>
          <w:w w:val="110"/>
          <w:sz w:val="17"/>
        </w:rPr>
        <w:t>controversial,</w:t>
      </w:r>
      <w:r>
        <w:rPr>
          <w:color w:val="3B3A3B"/>
          <w:spacing w:val="18"/>
          <w:w w:val="110"/>
          <w:sz w:val="17"/>
        </w:rPr>
        <w:t> </w:t>
      </w:r>
      <w:r>
        <w:rPr>
          <w:color w:val="3B3A3B"/>
          <w:w w:val="110"/>
          <w:sz w:val="17"/>
        </w:rPr>
        <w:t>but</w:t>
      </w:r>
      <w:r>
        <w:rPr>
          <w:color w:val="3B3A3B"/>
          <w:spacing w:val="23"/>
          <w:w w:val="110"/>
          <w:sz w:val="17"/>
        </w:rPr>
        <w:t> </w:t>
      </w:r>
      <w:r>
        <w:rPr>
          <w:color w:val="3B3A3B"/>
          <w:w w:val="110"/>
          <w:sz w:val="17"/>
        </w:rPr>
        <w:t>that</w:t>
      </w:r>
      <w:r>
        <w:rPr>
          <w:color w:val="3B3A3B"/>
          <w:spacing w:val="7"/>
          <w:w w:val="110"/>
          <w:sz w:val="17"/>
        </w:rPr>
        <w:t> </w:t>
      </w:r>
      <w:r>
        <w:rPr>
          <w:color w:val="3B3A3B"/>
          <w:w w:val="110"/>
          <w:sz w:val="17"/>
        </w:rPr>
        <w:t>must</w:t>
      </w:r>
      <w:r>
        <w:rPr>
          <w:color w:val="3B3A3B"/>
          <w:spacing w:val="21"/>
          <w:w w:val="110"/>
          <w:sz w:val="17"/>
        </w:rPr>
        <w:t> </w:t>
      </w:r>
      <w:r>
        <w:rPr>
          <w:color w:val="3B3A3B"/>
          <w:w w:val="110"/>
          <w:sz w:val="17"/>
        </w:rPr>
        <w:t>beinclude</w:t>
      </w:r>
      <w:r>
        <w:rPr>
          <w:color w:val="565456"/>
          <w:w w:val="110"/>
          <w:sz w:val="17"/>
        </w:rPr>
        <w:t>d</w:t>
      </w:r>
      <w:r>
        <w:rPr>
          <w:color w:val="565456"/>
          <w:spacing w:val="4"/>
          <w:w w:val="110"/>
          <w:sz w:val="17"/>
        </w:rPr>
        <w:t> </w:t>
      </w:r>
      <w:r>
        <w:rPr>
          <w:color w:val="3B3A3B"/>
          <w:w w:val="110"/>
          <w:sz w:val="17"/>
        </w:rPr>
        <w:t>In</w:t>
      </w:r>
      <w:r>
        <w:rPr>
          <w:color w:val="3B3A3B"/>
          <w:spacing w:val="-23"/>
          <w:w w:val="110"/>
          <w:sz w:val="17"/>
        </w:rPr>
        <w:t> </w:t>
      </w:r>
      <w:r>
        <w:rPr>
          <w:color w:val="3B3A3B"/>
          <w:w w:val="110"/>
          <w:sz w:val="17"/>
        </w:rPr>
        <w:t>the</w:t>
      </w:r>
    </w:p>
    <w:p>
      <w:pPr>
        <w:spacing w:before="9"/>
        <w:ind w:left="1030" w:right="0" w:firstLine="0"/>
        <w:jc w:val="left"/>
        <w:rPr>
          <w:sz w:val="17"/>
        </w:rPr>
      </w:pPr>
      <w:r>
        <w:rPr>
          <w:color w:val="3B3A3B"/>
          <w:spacing w:val="-1"/>
          <w:w w:val="115"/>
          <w:sz w:val="17"/>
        </w:rPr>
        <w:t>analy</w:t>
      </w:r>
      <w:r>
        <w:rPr>
          <w:color w:val="565456"/>
          <w:spacing w:val="-1"/>
          <w:w w:val="115"/>
          <w:sz w:val="17"/>
        </w:rPr>
        <w:t>s</w:t>
      </w:r>
      <w:r>
        <w:rPr>
          <w:color w:val="3B3A3B"/>
          <w:spacing w:val="-1"/>
          <w:w w:val="115"/>
          <w:sz w:val="17"/>
        </w:rPr>
        <w:t>is</w:t>
      </w:r>
      <w:r>
        <w:rPr>
          <w:color w:val="3B3A3B"/>
          <w:spacing w:val="-4"/>
          <w:w w:val="115"/>
          <w:sz w:val="17"/>
        </w:rPr>
        <w:t> </w:t>
      </w:r>
      <w:r>
        <w:rPr>
          <w:color w:val="3B3A3B"/>
          <w:spacing w:val="-1"/>
          <w:w w:val="115"/>
          <w:sz w:val="17"/>
        </w:rPr>
        <w:t>in</w:t>
      </w:r>
      <w:r>
        <w:rPr>
          <w:color w:val="3B3A3B"/>
          <w:spacing w:val="-11"/>
          <w:w w:val="115"/>
          <w:sz w:val="17"/>
        </w:rPr>
        <w:t> </w:t>
      </w:r>
      <w:r>
        <w:rPr>
          <w:color w:val="3B3A3B"/>
          <w:spacing w:val="-1"/>
          <w:w w:val="115"/>
          <w:sz w:val="17"/>
        </w:rPr>
        <w:t>some</w:t>
      </w:r>
      <w:r>
        <w:rPr>
          <w:color w:val="3B3A3B"/>
          <w:spacing w:val="-11"/>
          <w:w w:val="115"/>
          <w:sz w:val="17"/>
        </w:rPr>
        <w:t> </w:t>
      </w:r>
      <w:r>
        <w:rPr>
          <w:color w:val="3B3A3B"/>
          <w:spacing w:val="-1"/>
          <w:w w:val="115"/>
          <w:sz w:val="17"/>
        </w:rPr>
        <w:t>way</w:t>
      </w:r>
      <w:r>
        <w:rPr>
          <w:color w:val="3B3A3B"/>
          <w:spacing w:val="-23"/>
          <w:w w:val="115"/>
          <w:sz w:val="17"/>
        </w:rPr>
        <w:t> </w:t>
      </w:r>
      <w:r>
        <w:rPr>
          <w:color w:val="3B3A3B"/>
          <w:w w:val="115"/>
          <w:sz w:val="17"/>
        </w:rPr>
        <w:t>be</w:t>
      </w:r>
      <w:r>
        <w:rPr>
          <w:color w:val="565456"/>
          <w:w w:val="115"/>
          <w:sz w:val="17"/>
        </w:rPr>
        <w:t>c</w:t>
      </w:r>
      <w:r>
        <w:rPr>
          <w:color w:val="3B3A3B"/>
          <w:w w:val="115"/>
          <w:sz w:val="17"/>
        </w:rPr>
        <w:t>ause</w:t>
      </w:r>
      <w:r>
        <w:rPr>
          <w:color w:val="3B3A3B"/>
          <w:spacing w:val="1"/>
          <w:w w:val="115"/>
          <w:sz w:val="17"/>
        </w:rPr>
        <w:t> </w:t>
      </w:r>
      <w:r>
        <w:rPr>
          <w:color w:val="3B3A3B"/>
          <w:w w:val="115"/>
          <w:sz w:val="17"/>
        </w:rPr>
        <w:t>th</w:t>
      </w:r>
      <w:r>
        <w:rPr>
          <w:color w:val="565456"/>
          <w:w w:val="115"/>
          <w:sz w:val="17"/>
        </w:rPr>
        <w:t>e</w:t>
      </w:r>
      <w:r>
        <w:rPr>
          <w:color w:val="3B3A3B"/>
          <w:w w:val="115"/>
          <w:sz w:val="17"/>
        </w:rPr>
        <w:t>y</w:t>
      </w:r>
      <w:r>
        <w:rPr>
          <w:color w:val="3B3A3B"/>
          <w:spacing w:val="-3"/>
          <w:w w:val="115"/>
          <w:sz w:val="17"/>
        </w:rPr>
        <w:t> </w:t>
      </w:r>
      <w:r>
        <w:rPr>
          <w:color w:val="3B3A3B"/>
          <w:w w:val="115"/>
          <w:sz w:val="17"/>
        </w:rPr>
        <w:t>are</w:t>
      </w:r>
      <w:r>
        <w:rPr>
          <w:color w:val="3B3A3B"/>
          <w:spacing w:val="-11"/>
          <w:w w:val="115"/>
          <w:sz w:val="17"/>
        </w:rPr>
        <w:t> </w:t>
      </w:r>
      <w:r>
        <w:rPr>
          <w:color w:val="3B3A3B"/>
          <w:w w:val="115"/>
          <w:sz w:val="17"/>
        </w:rPr>
        <w:t>necessary</w:t>
      </w:r>
      <w:r>
        <w:rPr>
          <w:color w:val="3B3A3B"/>
          <w:spacing w:val="-13"/>
          <w:w w:val="115"/>
          <w:sz w:val="17"/>
        </w:rPr>
        <w:t> </w:t>
      </w:r>
      <w:r>
        <w:rPr>
          <w:color w:val="3B3A3B"/>
          <w:w w:val="115"/>
          <w:sz w:val="17"/>
        </w:rPr>
        <w:t>elements</w:t>
      </w:r>
      <w:r>
        <w:rPr>
          <w:color w:val="3B3A3B"/>
          <w:spacing w:val="-20"/>
          <w:w w:val="115"/>
          <w:sz w:val="17"/>
        </w:rPr>
        <w:t> </w:t>
      </w:r>
      <w:r>
        <w:rPr>
          <w:color w:val="3B3A3B"/>
          <w:w w:val="115"/>
          <w:sz w:val="17"/>
        </w:rPr>
        <w:t>of</w:t>
      </w:r>
      <w:r>
        <w:rPr>
          <w:color w:val="3B3A3B"/>
          <w:spacing w:val="-7"/>
          <w:w w:val="115"/>
          <w:sz w:val="17"/>
        </w:rPr>
        <w:t> </w:t>
      </w:r>
      <w:r>
        <w:rPr>
          <w:color w:val="3B3A3B"/>
          <w:w w:val="115"/>
          <w:sz w:val="17"/>
        </w:rPr>
        <w:t>a</w:t>
      </w:r>
      <w:r>
        <w:rPr>
          <w:color w:val="3B3A3B"/>
          <w:spacing w:val="-3"/>
          <w:w w:val="115"/>
          <w:sz w:val="17"/>
        </w:rPr>
        <w:t> </w:t>
      </w:r>
      <w:r>
        <w:rPr>
          <w:color w:val="565456"/>
          <w:w w:val="115"/>
          <w:sz w:val="17"/>
        </w:rPr>
        <w:t>s</w:t>
      </w:r>
      <w:r>
        <w:rPr>
          <w:color w:val="3B3A3B"/>
          <w:w w:val="115"/>
          <w:sz w:val="17"/>
        </w:rPr>
        <w:t>t</w:t>
      </w:r>
      <w:r>
        <w:rPr>
          <w:color w:val="565456"/>
          <w:w w:val="115"/>
          <w:sz w:val="17"/>
        </w:rPr>
        <w:t>a</w:t>
      </w:r>
      <w:r>
        <w:rPr>
          <w:color w:val="3B3A3B"/>
          <w:w w:val="115"/>
          <w:sz w:val="17"/>
        </w:rPr>
        <w:t>tute</w:t>
      </w:r>
      <w:r>
        <w:rPr>
          <w:color w:val="6B6B6D"/>
          <w:w w:val="115"/>
          <w:sz w:val="17"/>
        </w:rPr>
        <w:t>,</w:t>
      </w:r>
      <w:r>
        <w:rPr>
          <w:color w:val="6B6B6D"/>
          <w:spacing w:val="4"/>
          <w:w w:val="115"/>
          <w:sz w:val="17"/>
        </w:rPr>
        <w:t> </w:t>
      </w:r>
      <w:r>
        <w:rPr>
          <w:color w:val="3B3A3B"/>
          <w:w w:val="115"/>
          <w:sz w:val="17"/>
        </w:rPr>
        <w:t>test</w:t>
      </w:r>
      <w:r>
        <w:rPr>
          <w:color w:val="565456"/>
          <w:w w:val="115"/>
          <w:sz w:val="17"/>
        </w:rPr>
        <w:t>, o</w:t>
      </w:r>
      <w:r>
        <w:rPr>
          <w:color w:val="3B3A3B"/>
          <w:w w:val="115"/>
          <w:sz w:val="17"/>
        </w:rPr>
        <w:t>r</w:t>
      </w:r>
      <w:r>
        <w:rPr>
          <w:color w:val="3B3A3B"/>
          <w:spacing w:val="-5"/>
          <w:w w:val="115"/>
          <w:sz w:val="17"/>
        </w:rPr>
        <w:t> </w:t>
      </w:r>
      <w:r>
        <w:rPr>
          <w:color w:val="3B3A3B"/>
          <w:w w:val="115"/>
          <w:sz w:val="17"/>
        </w:rPr>
        <w:t>other</w:t>
      </w:r>
      <w:r>
        <w:rPr>
          <w:color w:val="3B3A3B"/>
          <w:spacing w:val="-2"/>
          <w:w w:val="115"/>
          <w:sz w:val="17"/>
        </w:rPr>
        <w:t> </w:t>
      </w:r>
      <w:r>
        <w:rPr>
          <w:color w:val="3B3A3B"/>
          <w:w w:val="115"/>
          <w:sz w:val="17"/>
        </w:rPr>
        <w:t>l</w:t>
      </w:r>
      <w:r>
        <w:rPr>
          <w:color w:val="565456"/>
          <w:w w:val="115"/>
          <w:sz w:val="17"/>
        </w:rPr>
        <w:t>e</w:t>
      </w:r>
      <w:r>
        <w:rPr>
          <w:color w:val="3B3A3B"/>
          <w:w w:val="115"/>
          <w:sz w:val="17"/>
        </w:rPr>
        <w:t>gal rul</w:t>
      </w:r>
      <w:r>
        <w:rPr>
          <w:color w:val="565456"/>
          <w:w w:val="115"/>
          <w:sz w:val="17"/>
        </w:rPr>
        <w:t>e.</w:t>
      </w:r>
    </w:p>
    <w:p>
      <w:pPr>
        <w:spacing w:after="0"/>
        <w:jc w:val="left"/>
        <w:rPr>
          <w:sz w:val="17"/>
        </w:rPr>
        <w:sectPr>
          <w:type w:val="continuous"/>
          <w:pgSz w:w="9360" w:h="13790"/>
          <w:pgMar w:header="428" w:footer="0" w:top="340" w:bottom="280" w:left="8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line="225" w:lineRule="auto" w:before="0"/>
        <w:ind w:left="481" w:right="681" w:hanging="4"/>
        <w:jc w:val="both"/>
        <w:rPr>
          <w:b/>
          <w:sz w:val="21"/>
        </w:rPr>
      </w:pPr>
      <w:r>
        <w:rPr>
          <w:b/>
          <w:color w:val="3B383A"/>
          <w:w w:val="105"/>
          <w:sz w:val="21"/>
        </w:rPr>
        <w:t>reasoned that the scene would have been in </w:t>
      </w:r>
      <w:r>
        <w:rPr>
          <w:b/>
          <w:color w:val="3B383A"/>
          <w:sz w:val="21"/>
        </w:rPr>
        <w:t>PLAIN VIEW to</w:t>
      </w:r>
      <w:r>
        <w:rPr>
          <w:b/>
          <w:color w:val="3B383A"/>
          <w:spacing w:val="1"/>
          <w:sz w:val="21"/>
        </w:rPr>
        <w:t> </w:t>
      </w:r>
      <w:r>
        <w:rPr>
          <w:b/>
          <w:color w:val="3B383A"/>
          <w:sz w:val="21"/>
        </w:rPr>
        <w:t>any</w:t>
      </w:r>
      <w:r>
        <w:rPr>
          <w:b/>
          <w:color w:val="3B383A"/>
          <w:spacing w:val="1"/>
          <w:sz w:val="21"/>
        </w:rPr>
        <w:t> </w:t>
      </w:r>
      <w:r>
        <w:rPr>
          <w:b/>
          <w:color w:val="3B383A"/>
          <w:w w:val="105"/>
          <w:sz w:val="21"/>
        </w:rPr>
        <w:t>mem­</w:t>
      </w:r>
      <w:r>
        <w:rPr>
          <w:b/>
          <w:color w:val="3B383A"/>
          <w:spacing w:val="1"/>
          <w:w w:val="105"/>
          <w:sz w:val="21"/>
        </w:rPr>
        <w:t> </w:t>
      </w:r>
      <w:r>
        <w:rPr>
          <w:b/>
          <w:color w:val="3B383A"/>
          <w:w w:val="110"/>
          <w:sz w:val="21"/>
        </w:rPr>
        <w:t>ber of the public flying in the same airspace. Thus, </w:t>
      </w:r>
      <w:r>
        <w:rPr>
          <w:b/>
          <w:color w:val="2B282A"/>
          <w:w w:val="110"/>
          <w:sz w:val="21"/>
        </w:rPr>
        <w:t>the </w:t>
      </w:r>
      <w:r>
        <w:rPr>
          <w:b/>
          <w:color w:val="3B383A"/>
          <w:w w:val="110"/>
          <w:sz w:val="21"/>
        </w:rPr>
        <w:t>officers had</w:t>
      </w:r>
      <w:r>
        <w:rPr>
          <w:b/>
          <w:color w:val="3B383A"/>
          <w:spacing w:val="1"/>
          <w:w w:val="110"/>
          <w:sz w:val="21"/>
        </w:rPr>
        <w:t> </w:t>
      </w:r>
      <w:r>
        <w:rPr>
          <w:b/>
          <w:color w:val="3B383A"/>
          <w:w w:val="105"/>
          <w:sz w:val="21"/>
        </w:rPr>
        <w:t>violated</w:t>
      </w:r>
      <w:r>
        <w:rPr>
          <w:b/>
          <w:color w:val="3B383A"/>
          <w:spacing w:val="10"/>
          <w:w w:val="105"/>
          <w:sz w:val="21"/>
        </w:rPr>
        <w:t> </w:t>
      </w:r>
      <w:r>
        <w:rPr>
          <w:b/>
          <w:color w:val="3B383A"/>
          <w:w w:val="105"/>
          <w:sz w:val="21"/>
        </w:rPr>
        <w:t>no</w:t>
      </w:r>
      <w:r>
        <w:rPr>
          <w:b/>
          <w:color w:val="3B383A"/>
          <w:spacing w:val="16"/>
          <w:w w:val="105"/>
          <w:sz w:val="21"/>
        </w:rPr>
        <w:t> </w:t>
      </w:r>
      <w:r>
        <w:rPr>
          <w:b/>
          <w:color w:val="3B383A"/>
          <w:w w:val="105"/>
          <w:sz w:val="21"/>
        </w:rPr>
        <w:t>reasonable</w:t>
      </w:r>
      <w:r>
        <w:rPr>
          <w:b/>
          <w:color w:val="3B383A"/>
          <w:spacing w:val="-2"/>
          <w:w w:val="105"/>
          <w:sz w:val="21"/>
        </w:rPr>
        <w:t> </w:t>
      </w:r>
      <w:r>
        <w:rPr>
          <w:b/>
          <w:color w:val="3B383A"/>
          <w:w w:val="105"/>
          <w:sz w:val="21"/>
        </w:rPr>
        <w:t>expectation</w:t>
      </w:r>
      <w:r>
        <w:rPr>
          <w:b/>
          <w:color w:val="3B383A"/>
          <w:spacing w:val="10"/>
          <w:w w:val="105"/>
          <w:sz w:val="21"/>
        </w:rPr>
        <w:t> </w:t>
      </w:r>
      <w:r>
        <w:rPr>
          <w:b/>
          <w:color w:val="3B383A"/>
          <w:w w:val="105"/>
          <w:sz w:val="21"/>
        </w:rPr>
        <w:t>of</w:t>
      </w:r>
      <w:r>
        <w:rPr>
          <w:b/>
          <w:color w:val="3B383A"/>
          <w:spacing w:val="14"/>
          <w:w w:val="105"/>
          <w:sz w:val="21"/>
        </w:rPr>
        <w:t> </w:t>
      </w:r>
      <w:r>
        <w:rPr>
          <w:b/>
          <w:color w:val="3B383A"/>
          <w:w w:val="105"/>
          <w:sz w:val="21"/>
        </w:rPr>
        <w:t>privacy.</w:t>
      </w:r>
      <w:r>
        <w:rPr>
          <w:b/>
          <w:color w:val="3B383A"/>
          <w:spacing w:val="7"/>
          <w:w w:val="105"/>
          <w:sz w:val="21"/>
        </w:rPr>
        <w:t> </w:t>
      </w:r>
      <w:r>
        <w:rPr>
          <w:rFonts w:ascii="Arial" w:hAnsi="Arial"/>
          <w:b/>
          <w:color w:val="3B383A"/>
          <w:sz w:val="24"/>
        </w:rPr>
        <w:t>W..</w:t>
      </w:r>
      <w:r>
        <w:rPr>
          <w:rFonts w:ascii="Arial" w:hAnsi="Arial"/>
          <w:b/>
          <w:color w:val="3B383A"/>
          <w:spacing w:val="-12"/>
          <w:sz w:val="24"/>
        </w:rPr>
        <w:t> </w:t>
      </w:r>
      <w:r>
        <w:rPr>
          <w:b/>
          <w:color w:val="3B383A"/>
          <w:sz w:val="21"/>
        </w:rPr>
        <w:t>at</w:t>
      </w:r>
      <w:r>
        <w:rPr>
          <w:b/>
          <w:color w:val="3B383A"/>
          <w:spacing w:val="22"/>
          <w:sz w:val="21"/>
        </w:rPr>
        <w:t> </w:t>
      </w:r>
      <w:r>
        <w:rPr>
          <w:b/>
          <w:color w:val="3B383A"/>
          <w:w w:val="105"/>
          <w:sz w:val="21"/>
        </w:rPr>
        <w:t>213-14.</w:t>
      </w:r>
    </w:p>
    <w:p>
      <w:pPr>
        <w:pStyle w:val="BodyText"/>
        <w:spacing w:line="232" w:lineRule="auto" w:before="139"/>
        <w:ind w:left="131" w:right="290" w:firstLine="348"/>
        <w:jc w:val="both"/>
      </w:pPr>
      <w:r>
        <w:rPr>
          <w:color w:val="3B383A"/>
          <w:w w:val="115"/>
        </w:rPr>
        <w:t>The length of your explanation </w:t>
      </w:r>
      <w:r>
        <w:rPr>
          <w:color w:val="3B383A"/>
          <w:w w:val="115"/>
          <w:sz w:val="22"/>
        </w:rPr>
        <w:t>will </w:t>
      </w:r>
      <w:r>
        <w:rPr>
          <w:color w:val="3B383A"/>
          <w:w w:val="115"/>
        </w:rPr>
        <w:t>vary depending on how abstract</w:t>
      </w:r>
      <w:r>
        <w:rPr>
          <w:color w:val="3B383A"/>
          <w:spacing w:val="-64"/>
          <w:w w:val="115"/>
        </w:rPr>
        <w:t> </w:t>
      </w:r>
      <w:r>
        <w:rPr>
          <w:color w:val="3B383A"/>
          <w:w w:val="115"/>
        </w:rPr>
        <w:t>and/or controversial </w:t>
      </w:r>
      <w:r>
        <w:rPr>
          <w:color w:val="2B282A"/>
          <w:w w:val="115"/>
        </w:rPr>
        <w:t>the </w:t>
      </w:r>
      <w:r>
        <w:rPr>
          <w:color w:val="3B383A"/>
          <w:w w:val="115"/>
        </w:rPr>
        <w:t>rule is. Probably the best way to fully illustrate</w:t>
      </w:r>
      <w:r>
        <w:rPr>
          <w:color w:val="3B383A"/>
          <w:spacing w:val="-64"/>
          <w:w w:val="115"/>
        </w:rPr>
        <w:t> </w:t>
      </w:r>
      <w:r>
        <w:rPr>
          <w:color w:val="3B383A"/>
          <w:spacing w:val="-1"/>
          <w:w w:val="115"/>
        </w:rPr>
        <w:t>the</w:t>
      </w:r>
      <w:r>
        <w:rPr>
          <w:color w:val="3B383A"/>
          <w:spacing w:val="-14"/>
          <w:w w:val="115"/>
        </w:rPr>
        <w:t> </w:t>
      </w:r>
      <w:r>
        <w:rPr>
          <w:color w:val="3B383A"/>
          <w:spacing w:val="-1"/>
          <w:w w:val="115"/>
        </w:rPr>
        <w:t>meaning</w:t>
      </w:r>
      <w:r>
        <w:rPr>
          <w:color w:val="3B383A"/>
          <w:spacing w:val="-16"/>
          <w:w w:val="115"/>
        </w:rPr>
        <w:t> </w:t>
      </w:r>
      <w:r>
        <w:rPr>
          <w:color w:val="3B383A"/>
          <w:spacing w:val="-1"/>
          <w:w w:val="115"/>
        </w:rPr>
        <w:t>of</w:t>
      </w:r>
      <w:r>
        <w:rPr>
          <w:color w:val="3B383A"/>
          <w:spacing w:val="-7"/>
          <w:w w:val="115"/>
        </w:rPr>
        <w:t> </w:t>
      </w:r>
      <w:r>
        <w:rPr>
          <w:color w:val="3B383A"/>
          <w:w w:val="115"/>
        </w:rPr>
        <w:t>a</w:t>
      </w:r>
      <w:r>
        <w:rPr>
          <w:color w:val="3B383A"/>
          <w:spacing w:val="4"/>
          <w:w w:val="115"/>
        </w:rPr>
        <w:t> </w:t>
      </w:r>
      <w:r>
        <w:rPr>
          <w:color w:val="3B383A"/>
          <w:w w:val="115"/>
        </w:rPr>
        <w:t>rule</w:t>
      </w:r>
      <w:r>
        <w:rPr>
          <w:color w:val="3B383A"/>
          <w:spacing w:val="-13"/>
          <w:w w:val="115"/>
        </w:rPr>
        <w:t> </w:t>
      </w:r>
      <w:r>
        <w:rPr>
          <w:color w:val="3B383A"/>
          <w:w w:val="115"/>
        </w:rPr>
        <w:t>is</w:t>
      </w:r>
      <w:r>
        <w:rPr>
          <w:color w:val="3B383A"/>
          <w:spacing w:val="-13"/>
          <w:w w:val="115"/>
        </w:rPr>
        <w:t> </w:t>
      </w:r>
      <w:r>
        <w:rPr>
          <w:color w:val="3B383A"/>
          <w:w w:val="115"/>
        </w:rPr>
        <w:t>to</w:t>
      </w:r>
      <w:r>
        <w:rPr>
          <w:color w:val="3B383A"/>
          <w:spacing w:val="10"/>
          <w:w w:val="115"/>
        </w:rPr>
        <w:t> </w:t>
      </w:r>
      <w:r>
        <w:rPr>
          <w:color w:val="3B383A"/>
          <w:w w:val="115"/>
        </w:rPr>
        <w:t>use</w:t>
      </w:r>
      <w:r>
        <w:rPr>
          <w:color w:val="3B383A"/>
          <w:spacing w:val="-16"/>
          <w:w w:val="115"/>
        </w:rPr>
        <w:t> </w:t>
      </w:r>
      <w:r>
        <w:rPr>
          <w:color w:val="3B383A"/>
          <w:w w:val="115"/>
        </w:rPr>
        <w:t>at</w:t>
      </w:r>
      <w:r>
        <w:rPr>
          <w:color w:val="3B383A"/>
          <w:spacing w:val="13"/>
          <w:w w:val="115"/>
        </w:rPr>
        <w:t> </w:t>
      </w:r>
      <w:r>
        <w:rPr>
          <w:color w:val="3B383A"/>
          <w:w w:val="115"/>
        </w:rPr>
        <w:t>least</w:t>
      </w:r>
      <w:r>
        <w:rPr>
          <w:color w:val="3B383A"/>
          <w:spacing w:val="-7"/>
          <w:w w:val="115"/>
        </w:rPr>
        <w:t> </w:t>
      </w:r>
      <w:r>
        <w:rPr>
          <w:color w:val="3B383A"/>
          <w:w w:val="115"/>
        </w:rPr>
        <w:t>one</w:t>
      </w:r>
      <w:r>
        <w:rPr>
          <w:color w:val="3B383A"/>
          <w:spacing w:val="11"/>
          <w:w w:val="115"/>
        </w:rPr>
        <w:t> </w:t>
      </w:r>
      <w:r>
        <w:rPr>
          <w:color w:val="3B383A"/>
          <w:w w:val="115"/>
        </w:rPr>
        <w:t>authority</w:t>
      </w:r>
      <w:r>
        <w:rPr>
          <w:color w:val="3B383A"/>
          <w:spacing w:val="-3"/>
          <w:w w:val="115"/>
        </w:rPr>
        <w:t> </w:t>
      </w:r>
      <w:r>
        <w:rPr>
          <w:color w:val="2B282A"/>
          <w:w w:val="115"/>
        </w:rPr>
        <w:t>that</w:t>
      </w:r>
      <w:r>
        <w:rPr>
          <w:color w:val="2B282A"/>
          <w:spacing w:val="-8"/>
          <w:w w:val="115"/>
        </w:rPr>
        <w:t> </w:t>
      </w:r>
      <w:r>
        <w:rPr>
          <w:color w:val="3B383A"/>
          <w:w w:val="115"/>
        </w:rPr>
        <w:t>illustrates</w:t>
      </w:r>
      <w:r>
        <w:rPr>
          <w:color w:val="3B383A"/>
          <w:spacing w:val="-4"/>
          <w:w w:val="115"/>
        </w:rPr>
        <w:t> </w:t>
      </w:r>
      <w:r>
        <w:rPr>
          <w:color w:val="3B383A"/>
          <w:w w:val="115"/>
        </w:rPr>
        <w:t>what</w:t>
      </w:r>
      <w:r>
        <w:rPr>
          <w:color w:val="3B383A"/>
          <w:spacing w:val="-64"/>
          <w:w w:val="115"/>
        </w:rPr>
        <w:t> </w:t>
      </w:r>
      <w:r>
        <w:rPr>
          <w:color w:val="3B383A"/>
          <w:w w:val="110"/>
        </w:rPr>
        <w:t>the rule does mean in the context of acts that are</w:t>
      </w:r>
      <w:r>
        <w:rPr>
          <w:color w:val="4D4B4D"/>
          <w:w w:val="110"/>
        </w:rPr>
        <w:t>similar </w:t>
      </w:r>
      <w:r>
        <w:rPr>
          <w:color w:val="3B383A"/>
          <w:w w:val="110"/>
        </w:rPr>
        <w:t>(or nearly similar)</w:t>
      </w:r>
      <w:r>
        <w:rPr>
          <w:color w:val="3B383A"/>
          <w:spacing w:val="1"/>
          <w:w w:val="110"/>
        </w:rPr>
        <w:t> </w:t>
      </w:r>
      <w:r>
        <w:rPr>
          <w:color w:val="2B282A"/>
          <w:w w:val="110"/>
        </w:rPr>
        <w:t>to </w:t>
      </w:r>
      <w:r>
        <w:rPr>
          <w:color w:val="3B383A"/>
          <w:w w:val="110"/>
        </w:rPr>
        <w:t>the facts at bar, and at least one authority that illustrates what the rule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does </w:t>
      </w:r>
      <w:r>
        <w:rPr>
          <w:i/>
          <w:color w:val="3B383A"/>
          <w:w w:val="110"/>
          <w:sz w:val="24"/>
        </w:rPr>
        <w:t>not </w:t>
      </w:r>
      <w:r>
        <w:rPr>
          <w:color w:val="3B383A"/>
          <w:w w:val="110"/>
        </w:rPr>
        <w:t>mean </w:t>
      </w:r>
      <w:r>
        <w:rPr>
          <w:color w:val="2B282A"/>
          <w:w w:val="110"/>
        </w:rPr>
        <w:t>in </w:t>
      </w:r>
      <w:r>
        <w:rPr>
          <w:color w:val="3B383A"/>
          <w:w w:val="110"/>
        </w:rPr>
        <w:t>the context of facts that are similar to  the  facts at bar.</w:t>
      </w:r>
      <w:r>
        <w:rPr>
          <w:color w:val="3B383A"/>
          <w:w w:val="110"/>
          <w:vertAlign w:val="superscript"/>
        </w:rPr>
        <w:t>4</w:t>
      </w:r>
      <w:r>
        <w:rPr>
          <w:color w:val="3B383A"/>
          <w:spacing w:val="1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In the previous example, if the writer had found a case in which the court</w:t>
      </w:r>
      <w:r>
        <w:rPr>
          <w:color w:val="3B383A"/>
          <w:spacing w:val="1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had held that certain activities in a home were </w:t>
      </w:r>
      <w:r>
        <w:rPr>
          <w:i/>
          <w:color w:val="3B383A"/>
          <w:w w:val="110"/>
          <w:sz w:val="24"/>
          <w:vertAlign w:val="baseline"/>
        </w:rPr>
        <w:t>not within </w:t>
      </w:r>
      <w:r>
        <w:rPr>
          <w:color w:val="3B383A"/>
          <w:w w:val="110"/>
          <w:vertAlign w:val="baseline"/>
        </w:rPr>
        <w:t>plain view, the</w:t>
      </w:r>
      <w:r>
        <w:rPr>
          <w:color w:val="3B383A"/>
          <w:spacing w:val="1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reader would havea fuller understanding of why this case must fall within</w:t>
      </w:r>
      <w:r>
        <w:rPr>
          <w:color w:val="3B383A"/>
          <w:spacing w:val="1"/>
          <w:w w:val="110"/>
          <w:vertAlign w:val="baseline"/>
        </w:rPr>
        <w:t> </w:t>
      </w:r>
      <w:r>
        <w:rPr>
          <w:color w:val="3B383A"/>
          <w:w w:val="115"/>
          <w:vertAlign w:val="baseline"/>
        </w:rPr>
        <w:t>the</w:t>
      </w:r>
      <w:r>
        <w:rPr>
          <w:color w:val="3B383A"/>
          <w:spacing w:val="-23"/>
          <w:w w:val="115"/>
          <w:vertAlign w:val="baseline"/>
        </w:rPr>
        <w:t> </w:t>
      </w:r>
      <w:r>
        <w:rPr>
          <w:color w:val="3B383A"/>
          <w:w w:val="115"/>
          <w:vertAlign w:val="baseline"/>
        </w:rPr>
        <w:t>definition.</w:t>
      </w:r>
    </w:p>
    <w:p>
      <w:pPr>
        <w:pStyle w:val="BodyText"/>
        <w:spacing w:line="235" w:lineRule="auto"/>
        <w:ind w:left="141" w:right="277" w:firstLine="348"/>
        <w:jc w:val="both"/>
      </w:pPr>
      <w:r>
        <w:rPr>
          <w:color w:val="3B383A"/>
          <w:w w:val="115"/>
        </w:rPr>
        <w:t>Illustrating what the phrase-that-pays means and does not mean sets</w:t>
      </w:r>
      <w:r>
        <w:rPr>
          <w:color w:val="3B383A"/>
          <w:spacing w:val="-64"/>
          <w:w w:val="115"/>
        </w:rPr>
        <w:t> </w:t>
      </w:r>
      <w:r>
        <w:rPr>
          <w:color w:val="2B282A"/>
          <w:w w:val="110"/>
        </w:rPr>
        <w:t>the </w:t>
      </w:r>
      <w:r>
        <w:rPr>
          <w:color w:val="3B383A"/>
          <w:w w:val="110"/>
        </w:rPr>
        <w:t>boundaries of the phrase-that-pays, and gives the application of </w:t>
      </w:r>
      <w:r>
        <w:rPr>
          <w:color w:val="2B282A"/>
          <w:w w:val="110"/>
        </w:rPr>
        <w:t>law </w:t>
      </w:r>
      <w:r>
        <w:rPr>
          <w:color w:val="3B383A"/>
          <w:w w:val="110"/>
        </w:rPr>
        <w:t>to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facts</w:t>
      </w:r>
      <w:r>
        <w:rPr>
          <w:color w:val="3B383A"/>
          <w:spacing w:val="-14"/>
          <w:w w:val="110"/>
        </w:rPr>
        <w:t> </w:t>
      </w:r>
      <w:r>
        <w:rPr>
          <w:color w:val="3B383A"/>
          <w:w w:val="110"/>
        </w:rPr>
        <w:t>more</w:t>
      </w:r>
      <w:r>
        <w:rPr>
          <w:color w:val="3B383A"/>
          <w:spacing w:val="-13"/>
          <w:w w:val="110"/>
        </w:rPr>
        <w:t> </w:t>
      </w:r>
      <w:r>
        <w:rPr>
          <w:color w:val="3B383A"/>
          <w:w w:val="110"/>
        </w:rPr>
        <w:t>validity.</w:t>
      </w:r>
      <w:r>
        <w:rPr>
          <w:color w:val="3B383A"/>
          <w:spacing w:val="-14"/>
          <w:w w:val="110"/>
        </w:rPr>
        <w:t> </w:t>
      </w:r>
      <w:r>
        <w:rPr>
          <w:color w:val="3B383A"/>
          <w:w w:val="110"/>
        </w:rPr>
        <w:t>Chapter</w:t>
      </w:r>
      <w:r>
        <w:rPr>
          <w:color w:val="3B383A"/>
          <w:spacing w:val="-35"/>
          <w:w w:val="110"/>
        </w:rPr>
        <w:t> </w:t>
      </w:r>
      <w:r>
        <w:rPr>
          <w:color w:val="3B383A"/>
          <w:w w:val="110"/>
        </w:rPr>
        <w:t>Six</w:t>
      </w:r>
      <w:r>
        <w:rPr>
          <w:color w:val="3B383A"/>
          <w:spacing w:val="-16"/>
          <w:w w:val="110"/>
        </w:rPr>
        <w:t> </w:t>
      </w:r>
      <w:r>
        <w:rPr>
          <w:color w:val="3B383A"/>
          <w:w w:val="110"/>
        </w:rPr>
        <w:t>includes</w:t>
      </w:r>
      <w:r>
        <w:rPr>
          <w:color w:val="3B383A"/>
          <w:spacing w:val="-22"/>
          <w:w w:val="110"/>
        </w:rPr>
        <w:t> </w:t>
      </w:r>
      <w:r>
        <w:rPr>
          <w:color w:val="3B383A"/>
          <w:w w:val="110"/>
        </w:rPr>
        <w:t>a</w:t>
      </w:r>
      <w:r>
        <w:rPr>
          <w:color w:val="3B383A"/>
          <w:spacing w:val="-13"/>
          <w:w w:val="110"/>
        </w:rPr>
        <w:t> </w:t>
      </w:r>
      <w:r>
        <w:rPr>
          <w:color w:val="3B383A"/>
          <w:w w:val="110"/>
        </w:rPr>
        <w:t>discussion</w:t>
      </w:r>
      <w:r>
        <w:rPr>
          <w:color w:val="3B383A"/>
          <w:spacing w:val="-10"/>
          <w:w w:val="110"/>
        </w:rPr>
        <w:t> </w:t>
      </w:r>
      <w:r>
        <w:rPr>
          <w:color w:val="3B383A"/>
          <w:w w:val="110"/>
        </w:rPr>
        <w:t>of</w:t>
      </w:r>
      <w:r>
        <w:rPr>
          <w:color w:val="3B383A"/>
          <w:spacing w:val="8"/>
          <w:w w:val="110"/>
        </w:rPr>
        <w:t> </w:t>
      </w:r>
      <w:r>
        <w:rPr>
          <w:color w:val="3B383A"/>
          <w:w w:val="110"/>
        </w:rPr>
        <w:t>how</w:t>
      </w:r>
      <w:r>
        <w:rPr>
          <w:color w:val="3B383A"/>
          <w:spacing w:val="9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8"/>
          <w:w w:val="110"/>
        </w:rPr>
        <w:t> </w:t>
      </w:r>
      <w:r>
        <w:rPr>
          <w:color w:val="3B383A"/>
          <w:w w:val="110"/>
        </w:rPr>
        <w:t>use</w:t>
      </w:r>
      <w:r>
        <w:rPr>
          <w:color w:val="3B383A"/>
          <w:spacing w:val="-8"/>
          <w:w w:val="110"/>
        </w:rPr>
        <w:t> </w:t>
      </w:r>
      <w:r>
        <w:rPr>
          <w:color w:val="3B383A"/>
          <w:w w:val="110"/>
        </w:rPr>
        <w:t>author­</w:t>
      </w:r>
      <w:r>
        <w:rPr>
          <w:color w:val="3B383A"/>
          <w:spacing w:val="-61"/>
          <w:w w:val="110"/>
        </w:rPr>
        <w:t> </w:t>
      </w:r>
      <w:r>
        <w:rPr>
          <w:color w:val="3B383A"/>
          <w:w w:val="110"/>
        </w:rPr>
        <w:t>ity</w:t>
      </w:r>
      <w:r>
        <w:rPr>
          <w:color w:val="3B383A"/>
          <w:spacing w:val="-22"/>
          <w:w w:val="110"/>
        </w:rPr>
        <w:t> </w:t>
      </w:r>
      <w:r>
        <w:rPr>
          <w:color w:val="3B383A"/>
          <w:w w:val="110"/>
        </w:rPr>
        <w:t>cases</w:t>
      </w:r>
      <w:r>
        <w:rPr>
          <w:color w:val="3B383A"/>
          <w:spacing w:val="-16"/>
          <w:w w:val="110"/>
        </w:rPr>
        <w:t> </w:t>
      </w:r>
      <w:r>
        <w:rPr>
          <w:color w:val="3B383A"/>
          <w:w w:val="110"/>
        </w:rPr>
        <w:t>effectively</w:t>
      </w:r>
      <w:r>
        <w:rPr>
          <w:color w:val="3B383A"/>
          <w:spacing w:val="3"/>
          <w:w w:val="110"/>
        </w:rPr>
        <w:t> </w:t>
      </w:r>
      <w:r>
        <w:rPr>
          <w:color w:val="3B383A"/>
          <w:w w:val="110"/>
        </w:rPr>
        <w:t>in</w:t>
      </w:r>
      <w:r>
        <w:rPr>
          <w:color w:val="3B383A"/>
          <w:spacing w:val="20"/>
          <w:w w:val="110"/>
        </w:rPr>
        <w:t> </w:t>
      </w:r>
      <w:r>
        <w:rPr>
          <w:color w:val="3B383A"/>
          <w:w w:val="110"/>
        </w:rPr>
        <w:t>your</w:t>
      </w:r>
      <w:r>
        <w:rPr>
          <w:color w:val="3B383A"/>
          <w:spacing w:val="-4"/>
          <w:w w:val="110"/>
        </w:rPr>
        <w:t> </w:t>
      </w:r>
      <w:r>
        <w:rPr>
          <w:color w:val="3B383A"/>
          <w:w w:val="110"/>
        </w:rPr>
        <w:t>explanation</w:t>
      </w:r>
      <w:r>
        <w:rPr>
          <w:color w:val="3B383A"/>
          <w:spacing w:val="17"/>
          <w:w w:val="110"/>
        </w:rPr>
        <w:t> </w:t>
      </w:r>
      <w:r>
        <w:rPr>
          <w:color w:val="3B383A"/>
          <w:w w:val="110"/>
        </w:rPr>
        <w:t>section.</w:t>
      </w: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0"/>
          <w:numId w:val="44"/>
        </w:numPr>
        <w:tabs>
          <w:tab w:pos="899" w:val="left" w:leader="none"/>
        </w:tabs>
        <w:spacing w:line="240" w:lineRule="auto" w:before="1" w:after="0"/>
        <w:ind w:left="898" w:right="0" w:hanging="398"/>
        <w:jc w:val="both"/>
        <w:rPr>
          <w:b/>
          <w:color w:val="2B282A"/>
          <w:sz w:val="21"/>
        </w:rPr>
      </w:pPr>
      <w:r>
        <w:rPr>
          <w:b/>
          <w:color w:val="4D4B4D"/>
          <w:spacing w:val="-1"/>
          <w:w w:val="120"/>
          <w:sz w:val="21"/>
        </w:rPr>
        <w:t>Writ</w:t>
      </w:r>
      <w:r>
        <w:rPr>
          <w:b/>
          <w:color w:val="6E6E72"/>
          <w:spacing w:val="-1"/>
          <w:w w:val="120"/>
          <w:sz w:val="21"/>
        </w:rPr>
        <w:t>in</w:t>
      </w:r>
      <w:r>
        <w:rPr>
          <w:b/>
          <w:color w:val="4D4B4D"/>
          <w:spacing w:val="-1"/>
          <w:w w:val="120"/>
          <w:sz w:val="21"/>
        </w:rPr>
        <w:t>g</w:t>
      </w:r>
      <w:r>
        <w:rPr>
          <w:b/>
          <w:color w:val="4D4B4D"/>
          <w:spacing w:val="32"/>
          <w:w w:val="120"/>
          <w:sz w:val="21"/>
        </w:rPr>
        <w:t> </w:t>
      </w:r>
      <w:r>
        <w:rPr>
          <w:b/>
          <w:color w:val="5E5E60"/>
          <w:w w:val="120"/>
          <w:sz w:val="21"/>
        </w:rPr>
        <w:t>the</w:t>
      </w:r>
      <w:r>
        <w:rPr>
          <w:b/>
          <w:color w:val="5E5E60"/>
          <w:spacing w:val="28"/>
          <w:w w:val="120"/>
          <w:sz w:val="21"/>
        </w:rPr>
        <w:t> </w:t>
      </w:r>
      <w:r>
        <w:rPr>
          <w:b/>
          <w:color w:val="3B383A"/>
          <w:w w:val="120"/>
          <w:sz w:val="21"/>
        </w:rPr>
        <w:t>"Rule</w:t>
      </w:r>
      <w:r>
        <w:rPr>
          <w:b/>
          <w:color w:val="3B383A"/>
          <w:spacing w:val="-23"/>
          <w:w w:val="120"/>
          <w:sz w:val="21"/>
        </w:rPr>
        <w:t> </w:t>
      </w:r>
      <w:r>
        <w:rPr>
          <w:b/>
          <w:color w:val="4D4B4D"/>
          <w:w w:val="120"/>
          <w:sz w:val="21"/>
        </w:rPr>
        <w:t>Summary"</w:t>
      </w:r>
    </w:p>
    <w:p>
      <w:pPr>
        <w:pStyle w:val="BodyText"/>
        <w:spacing w:line="232" w:lineRule="auto" w:before="16"/>
        <w:ind w:left="147" w:right="232" w:firstLine="346"/>
        <w:jc w:val="both"/>
      </w:pPr>
      <w:r>
        <w:rPr>
          <w:color w:val="3B383A"/>
          <w:w w:val="110"/>
        </w:rPr>
        <w:t>After you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have shown the </w:t>
      </w:r>
      <w:r>
        <w:rPr>
          <w:color w:val="2B282A"/>
          <w:w w:val="110"/>
        </w:rPr>
        <w:t>reader </w:t>
      </w:r>
      <w:r>
        <w:rPr>
          <w:color w:val="3B383A"/>
          <w:w w:val="110"/>
        </w:rPr>
        <w:t>how courts have applied the phrase­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that-pays in the past (or explained the rule in some other way), your reader</w:t>
      </w:r>
      <w:r>
        <w:rPr>
          <w:color w:val="3B383A"/>
          <w:spacing w:val="-61"/>
          <w:w w:val="110"/>
        </w:rPr>
        <w:t> </w:t>
      </w:r>
      <w:r>
        <w:rPr>
          <w:color w:val="3B383A"/>
          <w:w w:val="110"/>
        </w:rPr>
        <w:t>should have a good idea about how the rule operates. Because a brief is a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persuasive document, however, you may want to be sure that the reader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understands the rule the same way </w:t>
      </w:r>
      <w:r>
        <w:rPr>
          <w:color w:val="4D4B4D"/>
          <w:w w:val="110"/>
        </w:rPr>
        <w:t>you </w:t>
      </w:r>
      <w:r>
        <w:rPr>
          <w:color w:val="3B383A"/>
          <w:w w:val="110"/>
        </w:rPr>
        <w:t>do. Thus, it is almost always effec­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tive to end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your rule explanation with a brief </w:t>
      </w:r>
      <w:r>
        <w:rPr>
          <w:color w:val="4D4B4D"/>
          <w:w w:val="110"/>
        </w:rPr>
        <w:t>"rule </w:t>
      </w:r>
      <w:r>
        <w:rPr>
          <w:color w:val="3B383A"/>
          <w:w w:val="110"/>
        </w:rPr>
        <w:t>summary" that drives</w:t>
      </w:r>
      <w:r>
        <w:rPr>
          <w:color w:val="3B383A"/>
          <w:spacing w:val="1"/>
          <w:w w:val="110"/>
        </w:rPr>
        <w:t> </w:t>
      </w:r>
      <w:r>
        <w:rPr>
          <w:color w:val="2B282A"/>
          <w:w w:val="110"/>
        </w:rPr>
        <w:t>home </w:t>
      </w:r>
      <w:r>
        <w:rPr>
          <w:color w:val="3B383A"/>
          <w:w w:val="110"/>
        </w:rPr>
        <w:t>what you were trying to teach the reader with the rule explanation.</w:t>
      </w:r>
      <w:r>
        <w:rPr>
          <w:rFonts w:ascii="Arial" w:hAnsi="Arial"/>
          <w:color w:val="3B383A"/>
          <w:w w:val="110"/>
          <w:vertAlign w:val="superscript"/>
        </w:rPr>
        <w:t>5</w:t>
      </w:r>
      <w:r>
        <w:rPr>
          <w:rFonts w:ascii="Arial" w:hAnsi="Arial"/>
          <w:color w:val="3B383A"/>
          <w:spacing w:val="1"/>
          <w:w w:val="110"/>
          <w:vertAlign w:val="baseline"/>
        </w:rPr>
        <w:t> </w:t>
      </w:r>
      <w:r>
        <w:rPr>
          <w:color w:val="2B282A"/>
          <w:w w:val="110"/>
          <w:vertAlign w:val="baseline"/>
        </w:rPr>
        <w:t>In </w:t>
      </w:r>
      <w:r>
        <w:rPr>
          <w:color w:val="3B383A"/>
          <w:w w:val="110"/>
          <w:vertAlign w:val="baseline"/>
        </w:rPr>
        <w:t>the rule summary, you should </w:t>
      </w:r>
      <w:r>
        <w:rPr>
          <w:i/>
          <w:color w:val="3B383A"/>
          <w:w w:val="110"/>
          <w:sz w:val="24"/>
          <w:vertAlign w:val="baseline"/>
        </w:rPr>
        <w:t>not </w:t>
      </w:r>
      <w:r>
        <w:rPr>
          <w:color w:val="3B383A"/>
          <w:w w:val="110"/>
          <w:vertAlign w:val="baseline"/>
        </w:rPr>
        <w:t>merely restate the rule as you articu­</w:t>
      </w:r>
      <w:r>
        <w:rPr>
          <w:color w:val="3B383A"/>
          <w:spacing w:val="1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lated </w:t>
      </w:r>
      <w:r>
        <w:rPr>
          <w:color w:val="2B282A"/>
          <w:w w:val="110"/>
          <w:vertAlign w:val="baseline"/>
        </w:rPr>
        <w:t>it in</w:t>
      </w:r>
      <w:r>
        <w:rPr>
          <w:color w:val="2B282A"/>
          <w:spacing w:val="1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the</w:t>
      </w:r>
      <w:r>
        <w:rPr>
          <w:color w:val="3B383A"/>
          <w:spacing w:val="1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beginning of the</w:t>
      </w:r>
      <w:r>
        <w:rPr>
          <w:color w:val="3B383A"/>
          <w:spacing w:val="1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argument. The following, for instance,</w:t>
      </w:r>
      <w:r>
        <w:rPr>
          <w:color w:val="3B383A"/>
          <w:spacing w:val="1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would</w:t>
      </w:r>
      <w:r>
        <w:rPr>
          <w:color w:val="3B383A"/>
          <w:spacing w:val="10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be</w:t>
      </w:r>
      <w:r>
        <w:rPr>
          <w:color w:val="3B383A"/>
          <w:spacing w:val="3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an</w:t>
      </w:r>
      <w:r>
        <w:rPr>
          <w:color w:val="3B383A"/>
          <w:spacing w:val="33"/>
          <w:w w:val="110"/>
          <w:vertAlign w:val="baseline"/>
        </w:rPr>
        <w:t> </w:t>
      </w:r>
      <w:r>
        <w:rPr>
          <w:color w:val="2B282A"/>
          <w:w w:val="110"/>
          <w:vertAlign w:val="baseline"/>
        </w:rPr>
        <w:t>ineffe</w:t>
      </w:r>
      <w:r>
        <w:rPr>
          <w:color w:val="4D4B4D"/>
          <w:w w:val="110"/>
          <w:vertAlign w:val="baseline"/>
        </w:rPr>
        <w:t>ctive</w:t>
      </w:r>
      <w:r>
        <w:rPr>
          <w:color w:val="4D4B4D"/>
          <w:spacing w:val="20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rule</w:t>
      </w:r>
      <w:r>
        <w:rPr>
          <w:color w:val="3B383A"/>
          <w:spacing w:val="-17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summary</w:t>
      </w:r>
      <w:r>
        <w:rPr>
          <w:color w:val="3B383A"/>
          <w:spacing w:val="11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for</w:t>
      </w:r>
      <w:r>
        <w:rPr>
          <w:color w:val="3B383A"/>
          <w:spacing w:val="-16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the</w:t>
      </w:r>
      <w:r>
        <w:rPr>
          <w:color w:val="3B383A"/>
          <w:spacing w:val="15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example</w:t>
      </w:r>
      <w:r>
        <w:rPr>
          <w:color w:val="3B383A"/>
          <w:spacing w:val="1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above:</w:t>
      </w:r>
    </w:p>
    <w:p>
      <w:pPr>
        <w:spacing w:before="56"/>
        <w:ind w:left="119" w:right="0" w:firstLine="0"/>
        <w:jc w:val="left"/>
        <w:rPr>
          <w:sz w:val="16"/>
        </w:rPr>
      </w:pPr>
      <w:r>
        <w:rPr>
          <w:rFonts w:ascii="Arial"/>
          <w:color w:val="3B383A"/>
          <w:w w:val="95"/>
          <w:sz w:val="32"/>
          <w:u w:val="thick" w:color="3B383A"/>
        </w:rPr>
        <w:t>-V</w:t>
      </w:r>
      <w:r>
        <w:rPr>
          <w:rFonts w:ascii="Arial"/>
          <w:color w:val="3B383A"/>
          <w:spacing w:val="-41"/>
          <w:w w:val="95"/>
          <w:sz w:val="32"/>
          <w:u w:val="thick" w:color="3B383A"/>
        </w:rPr>
        <w:t> </w:t>
      </w:r>
      <w:r>
        <w:rPr>
          <w:color w:val="3B383A"/>
          <w:w w:val="95"/>
          <w:sz w:val="16"/>
          <w:u w:val="thick" w:color="3B383A"/>
        </w:rPr>
        <w:t>BAD</w:t>
      </w:r>
      <w:r>
        <w:rPr>
          <w:color w:val="3B383A"/>
          <w:spacing w:val="-2"/>
          <w:w w:val="95"/>
          <w:sz w:val="16"/>
          <w:u w:val="thick" w:color="3B383A"/>
        </w:rPr>
        <w:t> </w:t>
      </w:r>
      <w:r>
        <w:rPr>
          <w:color w:val="3B383A"/>
          <w:w w:val="95"/>
          <w:sz w:val="16"/>
          <w:u w:val="thick" w:color="3B383A"/>
        </w:rPr>
        <w:t>EXAMPLE</w:t>
      </w:r>
      <w:r>
        <w:rPr>
          <w:color w:val="3B383A"/>
          <w:spacing w:val="4"/>
          <w:w w:val="95"/>
          <w:sz w:val="16"/>
          <w:u w:val="thick" w:color="3B383A"/>
        </w:rPr>
        <w:t> </w:t>
      </w:r>
      <w:r>
        <w:rPr>
          <w:color w:val="3B383A"/>
          <w:w w:val="95"/>
          <w:sz w:val="16"/>
          <w:u w:val="thick" w:color="3B383A"/>
        </w:rPr>
        <w:t>Of</w:t>
      </w:r>
      <w:r>
        <w:rPr>
          <w:color w:val="3B383A"/>
          <w:spacing w:val="25"/>
          <w:w w:val="95"/>
          <w:sz w:val="16"/>
          <w:u w:val="thick" w:color="3B383A"/>
        </w:rPr>
        <w:t> </w:t>
      </w:r>
      <w:r>
        <w:rPr>
          <w:color w:val="3B383A"/>
          <w:w w:val="95"/>
          <w:sz w:val="16"/>
          <w:u w:val="thick" w:color="3B383A"/>
        </w:rPr>
        <w:t>RULE</w:t>
      </w:r>
      <w:r>
        <w:rPr>
          <w:color w:val="3B383A"/>
          <w:spacing w:val="11"/>
          <w:w w:val="95"/>
          <w:sz w:val="16"/>
          <w:u w:val="thick" w:color="3B383A"/>
        </w:rPr>
        <w:t> </w:t>
      </w:r>
      <w:r>
        <w:rPr>
          <w:color w:val="3B383A"/>
          <w:w w:val="95"/>
          <w:sz w:val="16"/>
          <w:u w:val="thick" w:color="3B383A"/>
        </w:rPr>
        <w:t>SUMMARY</w:t>
      </w:r>
    </w:p>
    <w:p>
      <w:pPr>
        <w:spacing w:before="54"/>
        <w:ind w:left="501" w:right="596" w:hanging="14"/>
        <w:jc w:val="both"/>
        <w:rPr>
          <w:b/>
          <w:sz w:val="21"/>
        </w:rPr>
      </w:pPr>
      <w:r>
        <w:rPr>
          <w:b/>
          <w:color w:val="3B383A"/>
          <w:w w:val="110"/>
          <w:sz w:val="21"/>
        </w:rPr>
        <w:t>Thus, while a person's home isa place where he expects privacy, activ­</w:t>
      </w:r>
      <w:r>
        <w:rPr>
          <w:b/>
          <w:color w:val="3B383A"/>
          <w:spacing w:val="-55"/>
          <w:w w:val="110"/>
          <w:sz w:val="21"/>
        </w:rPr>
        <w:t> </w:t>
      </w:r>
      <w:r>
        <w:rPr>
          <w:b/>
          <w:color w:val="3B383A"/>
          <w:w w:val="110"/>
          <w:sz w:val="21"/>
        </w:rPr>
        <w:t>ities</w:t>
      </w:r>
      <w:r>
        <w:rPr>
          <w:b/>
          <w:color w:val="3B383A"/>
          <w:spacing w:val="-18"/>
          <w:w w:val="110"/>
          <w:sz w:val="21"/>
        </w:rPr>
        <w:t> </w:t>
      </w:r>
      <w:r>
        <w:rPr>
          <w:b/>
          <w:color w:val="3B383A"/>
          <w:w w:val="110"/>
          <w:sz w:val="21"/>
        </w:rPr>
        <w:t>exposed</w:t>
      </w:r>
      <w:r>
        <w:rPr>
          <w:b/>
          <w:color w:val="3B383A"/>
          <w:spacing w:val="8"/>
          <w:w w:val="110"/>
          <w:sz w:val="21"/>
        </w:rPr>
        <w:t> </w:t>
      </w:r>
      <w:r>
        <w:rPr>
          <w:b/>
          <w:color w:val="3B383A"/>
          <w:w w:val="110"/>
          <w:sz w:val="21"/>
        </w:rPr>
        <w:t>to</w:t>
      </w:r>
      <w:r>
        <w:rPr>
          <w:b/>
          <w:color w:val="3B383A"/>
          <w:spacing w:val="19"/>
          <w:w w:val="110"/>
          <w:sz w:val="21"/>
        </w:rPr>
        <w:t> </w:t>
      </w:r>
      <w:r>
        <w:rPr>
          <w:b/>
          <w:color w:val="3B383A"/>
          <w:w w:val="110"/>
          <w:sz w:val="21"/>
        </w:rPr>
        <w:t>the</w:t>
      </w:r>
      <w:r>
        <w:rPr>
          <w:b/>
          <w:color w:val="3B383A"/>
          <w:spacing w:val="16"/>
          <w:w w:val="110"/>
          <w:sz w:val="21"/>
        </w:rPr>
        <w:t> </w:t>
      </w:r>
      <w:r>
        <w:rPr>
          <w:b/>
          <w:color w:val="3B383A"/>
          <w:w w:val="110"/>
          <w:sz w:val="21"/>
        </w:rPr>
        <w:t>plain</w:t>
      </w:r>
      <w:r>
        <w:rPr>
          <w:b/>
          <w:color w:val="3B383A"/>
          <w:spacing w:val="4"/>
          <w:w w:val="110"/>
          <w:sz w:val="21"/>
        </w:rPr>
        <w:t> </w:t>
      </w:r>
      <w:r>
        <w:rPr>
          <w:b/>
          <w:color w:val="3B383A"/>
          <w:w w:val="110"/>
          <w:sz w:val="21"/>
        </w:rPr>
        <w:t>view</w:t>
      </w:r>
      <w:r>
        <w:rPr>
          <w:b/>
          <w:color w:val="3B383A"/>
          <w:spacing w:val="-11"/>
          <w:w w:val="110"/>
          <w:sz w:val="21"/>
        </w:rPr>
        <w:t> </w:t>
      </w:r>
      <w:r>
        <w:rPr>
          <w:b/>
          <w:color w:val="3B383A"/>
          <w:w w:val="110"/>
          <w:sz w:val="21"/>
        </w:rPr>
        <w:t>of</w:t>
      </w:r>
      <w:r>
        <w:rPr>
          <w:b/>
          <w:color w:val="3B383A"/>
          <w:spacing w:val="9"/>
          <w:w w:val="110"/>
          <w:sz w:val="21"/>
        </w:rPr>
        <w:t> </w:t>
      </w:r>
      <w:r>
        <w:rPr>
          <w:b/>
          <w:color w:val="3B383A"/>
          <w:w w:val="110"/>
          <w:sz w:val="21"/>
        </w:rPr>
        <w:t>outsiders</w:t>
      </w:r>
      <w:r>
        <w:rPr>
          <w:b/>
          <w:color w:val="3B383A"/>
          <w:spacing w:val="4"/>
          <w:w w:val="110"/>
          <w:sz w:val="21"/>
        </w:rPr>
        <w:t> </w:t>
      </w:r>
      <w:r>
        <w:rPr>
          <w:b/>
          <w:color w:val="3B383A"/>
          <w:w w:val="110"/>
          <w:sz w:val="21"/>
        </w:rPr>
        <w:t>are</w:t>
      </w:r>
      <w:r>
        <w:rPr>
          <w:b/>
          <w:color w:val="3B383A"/>
          <w:spacing w:val="-7"/>
          <w:w w:val="110"/>
          <w:sz w:val="21"/>
        </w:rPr>
        <w:t> </w:t>
      </w:r>
      <w:r>
        <w:rPr>
          <w:b/>
          <w:color w:val="3B383A"/>
          <w:w w:val="110"/>
          <w:sz w:val="21"/>
        </w:rPr>
        <w:t>not</w:t>
      </w:r>
      <w:r>
        <w:rPr>
          <w:b/>
          <w:color w:val="3B383A"/>
          <w:spacing w:val="36"/>
          <w:w w:val="110"/>
          <w:sz w:val="21"/>
        </w:rPr>
        <w:t> </w:t>
      </w:r>
      <w:r>
        <w:rPr>
          <w:b/>
          <w:color w:val="3B383A"/>
          <w:w w:val="110"/>
          <w:sz w:val="21"/>
        </w:rPr>
        <w:t>protected.</w:t>
      </w:r>
    </w:p>
    <w:p>
      <w:pPr>
        <w:pStyle w:val="BodyText"/>
        <w:spacing w:line="230" w:lineRule="auto" w:before="152"/>
        <w:ind w:left="149" w:right="157" w:firstLine="348"/>
        <w:jc w:val="both"/>
      </w:pPr>
      <w:r>
        <w:rPr>
          <w:color w:val="3B383A"/>
          <w:w w:val="110"/>
        </w:rPr>
        <w:t>This rule summary merely restates the original rule. </w:t>
      </w:r>
      <w:r>
        <w:rPr>
          <w:color w:val="2B282A"/>
          <w:w w:val="110"/>
        </w:rPr>
        <w:t>Instead</w:t>
      </w:r>
      <w:r>
        <w:rPr>
          <w:color w:val="4D4B4D"/>
          <w:w w:val="110"/>
        </w:rPr>
        <w:t>, </w:t>
      </w:r>
      <w:r>
        <w:rPr>
          <w:color w:val="3B383A"/>
          <w:w w:val="110"/>
        </w:rPr>
        <w:t>you should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consider the facet of the rule that you were trying to expose or </w:t>
      </w:r>
      <w:r>
        <w:rPr>
          <w:color w:val="2B282A"/>
          <w:w w:val="110"/>
        </w:rPr>
        <w:t>t</w:t>
      </w:r>
      <w:r>
        <w:rPr>
          <w:color w:val="4D4B4D"/>
          <w:w w:val="110"/>
        </w:rPr>
        <w:t>o </w:t>
      </w:r>
      <w:r>
        <w:rPr>
          <w:color w:val="3B383A"/>
          <w:w w:val="110"/>
        </w:rPr>
        <w:t>empha­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size, and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make that aspect of the rule the focus of the rule summary. In </w:t>
      </w:r>
      <w:r>
        <w:rPr>
          <w:color w:val="2B282A"/>
          <w:w w:val="110"/>
        </w:rPr>
        <w:t>the</w:t>
      </w:r>
      <w:r>
        <w:rPr>
          <w:color w:val="2B282A"/>
          <w:spacing w:val="1"/>
          <w:w w:val="110"/>
        </w:rPr>
        <w:t> </w:t>
      </w:r>
      <w:r>
        <w:rPr>
          <w:color w:val="3B383A"/>
          <w:w w:val="115"/>
        </w:rPr>
        <w:t>example above, for instance, the writer was trying </w:t>
      </w:r>
      <w:r>
        <w:rPr>
          <w:color w:val="2B282A"/>
          <w:w w:val="115"/>
        </w:rPr>
        <w:t>to </w:t>
      </w:r>
      <w:r>
        <w:rPr>
          <w:color w:val="3B383A"/>
          <w:w w:val="115"/>
        </w:rPr>
        <w:t>emphasize that any</w:t>
      </w:r>
      <w:r>
        <w:rPr>
          <w:color w:val="3B383A"/>
          <w:spacing w:val="-64"/>
          <w:w w:val="115"/>
        </w:rPr>
        <w:t> </w:t>
      </w:r>
      <w:r>
        <w:rPr>
          <w:color w:val="3B383A"/>
          <w:w w:val="115"/>
        </w:rPr>
        <w:t>vantage point outside  the  house-even  oneas unusual  as an  airplane-is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0"/>
        </w:rPr>
        <w:t>a</w:t>
      </w:r>
      <w:r>
        <w:rPr>
          <w:color w:val="3B383A"/>
          <w:spacing w:val="-20"/>
          <w:w w:val="110"/>
        </w:rPr>
        <w:t> </w:t>
      </w:r>
      <w:r>
        <w:rPr>
          <w:color w:val="2B282A"/>
          <w:w w:val="110"/>
        </w:rPr>
        <w:t>legal</w:t>
      </w:r>
      <w:r>
        <w:rPr>
          <w:color w:val="2B282A"/>
          <w:spacing w:val="20"/>
          <w:w w:val="110"/>
        </w:rPr>
        <w:t> </w:t>
      </w:r>
      <w:r>
        <w:rPr>
          <w:color w:val="3B383A"/>
          <w:w w:val="110"/>
        </w:rPr>
        <w:t>vantage</w:t>
      </w:r>
      <w:r>
        <w:rPr>
          <w:color w:val="3B383A"/>
          <w:spacing w:val="42"/>
          <w:w w:val="110"/>
        </w:rPr>
        <w:t> </w:t>
      </w:r>
      <w:r>
        <w:rPr>
          <w:color w:val="3B383A"/>
          <w:w w:val="110"/>
        </w:rPr>
        <w:t>point</w:t>
      </w:r>
      <w:r>
        <w:rPr>
          <w:color w:val="3B383A"/>
          <w:spacing w:val="35"/>
          <w:w w:val="110"/>
        </w:rPr>
        <w:t> </w:t>
      </w:r>
      <w:r>
        <w:rPr>
          <w:color w:val="3B383A"/>
          <w:w w:val="110"/>
        </w:rPr>
        <w:t>for</w:t>
      </w:r>
      <w:r>
        <w:rPr>
          <w:color w:val="3B383A"/>
          <w:spacing w:val="23"/>
          <w:w w:val="110"/>
        </w:rPr>
        <w:t> </w:t>
      </w:r>
      <w:r>
        <w:rPr>
          <w:color w:val="3B383A"/>
          <w:w w:val="110"/>
        </w:rPr>
        <w:t>purposes</w:t>
      </w:r>
      <w:r>
        <w:rPr>
          <w:color w:val="3B383A"/>
          <w:spacing w:val="17"/>
          <w:w w:val="110"/>
        </w:rPr>
        <w:t> </w:t>
      </w:r>
      <w:r>
        <w:rPr>
          <w:color w:val="3B383A"/>
          <w:w w:val="110"/>
        </w:rPr>
        <w:t>of</w:t>
      </w:r>
      <w:r>
        <w:rPr>
          <w:color w:val="3B383A"/>
          <w:spacing w:val="50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23"/>
          <w:w w:val="110"/>
        </w:rPr>
        <w:t> </w:t>
      </w:r>
      <w:r>
        <w:rPr>
          <w:color w:val="3B383A"/>
          <w:w w:val="110"/>
        </w:rPr>
        <w:t>plain</w:t>
      </w:r>
      <w:r>
        <w:rPr>
          <w:color w:val="3B383A"/>
          <w:spacing w:val="25"/>
          <w:w w:val="110"/>
        </w:rPr>
        <w:t> </w:t>
      </w:r>
      <w:r>
        <w:rPr>
          <w:color w:val="3B383A"/>
          <w:w w:val="110"/>
        </w:rPr>
        <w:t>view</w:t>
      </w:r>
      <w:r>
        <w:rPr>
          <w:color w:val="3B383A"/>
          <w:spacing w:val="16"/>
          <w:w w:val="110"/>
        </w:rPr>
        <w:t> </w:t>
      </w:r>
      <w:r>
        <w:rPr>
          <w:color w:val="3B383A"/>
          <w:w w:val="110"/>
        </w:rPr>
        <w:t>doctrine.</w:t>
      </w:r>
      <w:r>
        <w:rPr>
          <w:color w:val="3B383A"/>
          <w:spacing w:val="11"/>
          <w:w w:val="110"/>
        </w:rPr>
        <w:t> </w:t>
      </w:r>
      <w:r>
        <w:rPr>
          <w:color w:val="3B383A"/>
          <w:w w:val="110"/>
        </w:rPr>
        <w:t>She</w:t>
      </w:r>
      <w:r>
        <w:rPr>
          <w:color w:val="3B383A"/>
          <w:spacing w:val="25"/>
          <w:w w:val="110"/>
        </w:rPr>
        <w:t> </w:t>
      </w:r>
      <w:r>
        <w:rPr>
          <w:color w:val="3B383A"/>
          <w:w w:val="110"/>
        </w:rPr>
        <w:t>might,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46"/>
        </w:numPr>
        <w:tabs>
          <w:tab w:pos="564" w:val="left" w:leader="none"/>
        </w:tabs>
        <w:spacing w:line="240" w:lineRule="auto" w:before="181" w:after="0"/>
        <w:ind w:left="563" w:right="0" w:hanging="58"/>
        <w:jc w:val="both"/>
        <w:rPr>
          <w:sz w:val="18"/>
        </w:rPr>
      </w:pPr>
      <w:r>
        <w:rPr>
          <w:rFonts w:ascii="Arial" w:hAnsi="Arial"/>
          <w:i/>
          <w:color w:val="4D4B4D"/>
          <w:sz w:val="16"/>
        </w:rPr>
        <w:t>see</w:t>
      </w:r>
      <w:r>
        <w:rPr>
          <w:rFonts w:ascii="Arial" w:hAnsi="Arial"/>
          <w:i/>
          <w:color w:val="4D4B4D"/>
          <w:spacing w:val="5"/>
          <w:sz w:val="16"/>
        </w:rPr>
        <w:t> </w:t>
      </w:r>
      <w:r>
        <w:rPr>
          <w:rFonts w:ascii="Arial" w:hAnsi="Arial"/>
          <w:i/>
          <w:color w:val="3B383A"/>
          <w:sz w:val="16"/>
        </w:rPr>
        <w:t>also,</w:t>
      </w:r>
      <w:r>
        <w:rPr>
          <w:rFonts w:ascii="Arial" w:hAnsi="Arial"/>
          <w:i/>
          <w:color w:val="3B383A"/>
          <w:spacing w:val="1"/>
          <w:sz w:val="16"/>
        </w:rPr>
        <w:t> </w:t>
      </w:r>
      <w:r>
        <w:rPr>
          <w:rFonts w:ascii="Arial" w:hAnsi="Arial"/>
          <w:i/>
          <w:color w:val="3B383A"/>
          <w:sz w:val="16"/>
        </w:rPr>
        <w:t>e.g.,</w:t>
      </w:r>
      <w:r>
        <w:rPr>
          <w:rFonts w:ascii="Arial" w:hAnsi="Arial"/>
          <w:i/>
          <w:color w:val="3B383A"/>
          <w:spacing w:val="20"/>
          <w:sz w:val="16"/>
        </w:rPr>
        <w:t> </w:t>
      </w:r>
      <w:r>
        <w:rPr>
          <w:color w:val="3B383A"/>
          <w:sz w:val="18"/>
        </w:rPr>
        <w:t>Laurel</w:t>
      </w:r>
      <w:r>
        <w:rPr>
          <w:color w:val="3B383A"/>
          <w:spacing w:val="37"/>
          <w:sz w:val="18"/>
        </w:rPr>
        <w:t> </w:t>
      </w:r>
      <w:r>
        <w:rPr>
          <w:color w:val="4D4B4D"/>
          <w:sz w:val="18"/>
        </w:rPr>
        <w:t>Currie</w:t>
      </w:r>
      <w:r>
        <w:rPr>
          <w:color w:val="4D4B4D"/>
          <w:spacing w:val="20"/>
          <w:sz w:val="18"/>
        </w:rPr>
        <w:t> </w:t>
      </w:r>
      <w:r>
        <w:rPr>
          <w:color w:val="3B383A"/>
          <w:sz w:val="18"/>
        </w:rPr>
        <w:t>Oates</w:t>
      </w:r>
      <w:r>
        <w:rPr>
          <w:color w:val="3B383A"/>
          <w:spacing w:val="18"/>
          <w:sz w:val="18"/>
        </w:rPr>
        <w:t> </w:t>
      </w:r>
      <w:r>
        <w:rPr>
          <w:color w:val="3B383A"/>
          <w:sz w:val="17"/>
        </w:rPr>
        <w:t>&amp;</w:t>
      </w:r>
      <w:r>
        <w:rPr>
          <w:color w:val="3B383A"/>
          <w:spacing w:val="30"/>
          <w:sz w:val="17"/>
        </w:rPr>
        <w:t> </w:t>
      </w:r>
      <w:r>
        <w:rPr>
          <w:color w:val="3B383A"/>
          <w:sz w:val="18"/>
        </w:rPr>
        <w:t>Anne</w:t>
      </w:r>
      <w:r>
        <w:rPr>
          <w:color w:val="3B383A"/>
          <w:spacing w:val="36"/>
          <w:sz w:val="18"/>
        </w:rPr>
        <w:t> </w:t>
      </w:r>
      <w:r>
        <w:rPr>
          <w:color w:val="3B383A"/>
          <w:sz w:val="18"/>
        </w:rPr>
        <w:t>M.</w:t>
      </w:r>
      <w:r>
        <w:rPr>
          <w:color w:val="3B383A"/>
          <w:spacing w:val="35"/>
          <w:sz w:val="18"/>
        </w:rPr>
        <w:t> </w:t>
      </w:r>
      <w:r>
        <w:rPr>
          <w:color w:val="3B383A"/>
          <w:sz w:val="18"/>
        </w:rPr>
        <w:t>Enqulst,</w:t>
      </w:r>
      <w:r>
        <w:rPr>
          <w:color w:val="3B383A"/>
          <w:spacing w:val="11"/>
          <w:sz w:val="18"/>
        </w:rPr>
        <w:t> </w:t>
      </w:r>
      <w:r>
        <w:rPr>
          <w:rFonts w:ascii="Arial" w:hAnsi="Arial"/>
          <w:i/>
          <w:color w:val="3B383A"/>
          <w:sz w:val="17"/>
        </w:rPr>
        <w:t>Tl,e</w:t>
      </w:r>
      <w:r>
        <w:rPr>
          <w:rFonts w:ascii="Arial" w:hAnsi="Arial"/>
          <w:i/>
          <w:color w:val="3B383A"/>
          <w:spacing w:val="13"/>
          <w:sz w:val="17"/>
        </w:rPr>
        <w:t> </w:t>
      </w:r>
      <w:r>
        <w:rPr>
          <w:rFonts w:ascii="Arial" w:hAnsi="Arial"/>
          <w:i/>
          <w:color w:val="4D4B4D"/>
          <w:sz w:val="16"/>
        </w:rPr>
        <w:t>Legal</w:t>
      </w:r>
      <w:r>
        <w:rPr>
          <w:rFonts w:ascii="Arial" w:hAnsi="Arial"/>
          <w:i/>
          <w:color w:val="4D4B4D"/>
          <w:spacing w:val="32"/>
          <w:sz w:val="16"/>
        </w:rPr>
        <w:t> </w:t>
      </w:r>
      <w:r>
        <w:rPr>
          <w:rFonts w:ascii="Arial" w:hAnsi="Arial"/>
          <w:i/>
          <w:color w:val="3B383A"/>
          <w:sz w:val="16"/>
        </w:rPr>
        <w:t>Writi11g</w:t>
      </w:r>
      <w:r>
        <w:rPr>
          <w:rFonts w:ascii="Arial" w:hAnsi="Arial"/>
          <w:i/>
          <w:color w:val="3B383A"/>
          <w:spacing w:val="22"/>
          <w:sz w:val="16"/>
        </w:rPr>
        <w:t> </w:t>
      </w:r>
      <w:r>
        <w:rPr>
          <w:rFonts w:ascii="Arial" w:hAnsi="Arial"/>
          <w:i/>
          <w:color w:val="3B383A"/>
          <w:sz w:val="16"/>
        </w:rPr>
        <w:t>Ha11&lt;1book</w:t>
      </w:r>
      <w:r>
        <w:rPr>
          <w:rFonts w:ascii="Arial" w:hAnsi="Arial"/>
          <w:i/>
          <w:color w:val="3B383A"/>
          <w:spacing w:val="33"/>
          <w:sz w:val="16"/>
        </w:rPr>
        <w:t> </w:t>
      </w:r>
      <w:r>
        <w:rPr>
          <w:color w:val="3B383A"/>
          <w:sz w:val="18"/>
        </w:rPr>
        <w:t>§12.8.4</w:t>
      </w:r>
    </w:p>
    <w:p>
      <w:pPr>
        <w:spacing w:line="195" w:lineRule="exact" w:before="5"/>
        <w:ind w:left="161" w:right="0" w:firstLine="0"/>
        <w:jc w:val="left"/>
        <w:rPr>
          <w:sz w:val="18"/>
        </w:rPr>
      </w:pPr>
      <w:r>
        <w:rPr>
          <w:color w:val="3B383A"/>
          <w:w w:val="105"/>
          <w:sz w:val="17"/>
        </w:rPr>
        <w:t>(5th</w:t>
      </w:r>
      <w:r>
        <w:rPr>
          <w:color w:val="3B383A"/>
          <w:spacing w:val="-12"/>
          <w:w w:val="105"/>
          <w:sz w:val="17"/>
        </w:rPr>
        <w:t> </w:t>
      </w:r>
      <w:r>
        <w:rPr>
          <w:color w:val="3B383A"/>
          <w:w w:val="105"/>
          <w:sz w:val="17"/>
        </w:rPr>
        <w:t>ed.,</w:t>
      </w:r>
      <w:r>
        <w:rPr>
          <w:color w:val="3B383A"/>
          <w:spacing w:val="8"/>
          <w:w w:val="105"/>
          <w:sz w:val="17"/>
        </w:rPr>
        <w:t> </w:t>
      </w:r>
      <w:r>
        <w:rPr>
          <w:color w:val="3B383A"/>
          <w:w w:val="105"/>
          <w:sz w:val="18"/>
        </w:rPr>
        <w:t>Aspen</w:t>
      </w:r>
      <w:r>
        <w:rPr>
          <w:color w:val="3B383A"/>
          <w:spacing w:val="33"/>
          <w:w w:val="105"/>
          <w:sz w:val="18"/>
        </w:rPr>
        <w:t> </w:t>
      </w:r>
      <w:r>
        <w:rPr>
          <w:color w:val="3B383A"/>
          <w:w w:val="105"/>
          <w:sz w:val="18"/>
        </w:rPr>
        <w:t>2010).</w:t>
      </w:r>
    </w:p>
    <w:p>
      <w:pPr>
        <w:spacing w:line="232" w:lineRule="auto" w:before="0"/>
        <w:ind w:left="161" w:right="116" w:firstLine="346"/>
        <w:jc w:val="both"/>
        <w:rPr>
          <w:sz w:val="18"/>
        </w:rPr>
      </w:pPr>
      <w:r>
        <w:rPr>
          <w:color w:val="3B383A"/>
          <w:w w:val="110"/>
          <w:sz w:val="18"/>
        </w:rPr>
        <w:t>'I</w:t>
      </w:r>
      <w:r>
        <w:rPr>
          <w:color w:val="3B383A"/>
          <w:spacing w:val="1"/>
          <w:w w:val="110"/>
          <w:sz w:val="18"/>
        </w:rPr>
        <w:t> </w:t>
      </w:r>
      <w:r>
        <w:rPr>
          <w:color w:val="3B383A"/>
          <w:w w:val="110"/>
          <w:sz w:val="18"/>
        </w:rPr>
        <w:t>am grateful to </w:t>
      </w:r>
      <w:r>
        <w:rPr>
          <w:color w:val="3B383A"/>
          <w:w w:val="110"/>
          <w:sz w:val="19"/>
        </w:rPr>
        <w:t>my </w:t>
      </w:r>
      <w:r>
        <w:rPr>
          <w:color w:val="3B383A"/>
          <w:w w:val="110"/>
          <w:sz w:val="18"/>
        </w:rPr>
        <w:t>colleague, Monte </w:t>
      </w:r>
      <w:r>
        <w:rPr>
          <w:color w:val="4D4B4D"/>
          <w:w w:val="110"/>
          <w:sz w:val="18"/>
        </w:rPr>
        <w:t>Smith, </w:t>
      </w:r>
      <w:r>
        <w:rPr>
          <w:color w:val="3B383A"/>
          <w:w w:val="110"/>
          <w:sz w:val="18"/>
        </w:rPr>
        <w:t>who developed </w:t>
      </w:r>
      <w:r>
        <w:rPr>
          <w:color w:val="4D4B4D"/>
          <w:w w:val="110"/>
          <w:sz w:val="18"/>
        </w:rPr>
        <w:t>and </w:t>
      </w:r>
      <w:r>
        <w:rPr>
          <w:color w:val="3B383A"/>
          <w:w w:val="110"/>
          <w:sz w:val="18"/>
        </w:rPr>
        <w:t>Introduced </w:t>
      </w:r>
      <w:r>
        <w:rPr>
          <w:color w:val="4D4B4D"/>
          <w:w w:val="110"/>
          <w:sz w:val="18"/>
        </w:rPr>
        <w:t>me </w:t>
      </w:r>
      <w:r>
        <w:rPr>
          <w:color w:val="2B282A"/>
          <w:w w:val="110"/>
          <w:sz w:val="18"/>
        </w:rPr>
        <w:t>to </w:t>
      </w:r>
      <w:r>
        <w:rPr>
          <w:color w:val="3B383A"/>
          <w:w w:val="110"/>
          <w:sz w:val="18"/>
        </w:rPr>
        <w:t>this</w:t>
      </w:r>
      <w:r>
        <w:rPr>
          <w:color w:val="3B383A"/>
          <w:spacing w:val="1"/>
          <w:w w:val="110"/>
          <w:sz w:val="18"/>
        </w:rPr>
        <w:t> </w:t>
      </w:r>
      <w:r>
        <w:rPr>
          <w:color w:val="3B383A"/>
          <w:w w:val="110"/>
          <w:sz w:val="18"/>
        </w:rPr>
        <w:t>concept.</w:t>
      </w:r>
    </w:p>
    <w:p>
      <w:pPr>
        <w:spacing w:after="0" w:line="232" w:lineRule="auto"/>
        <w:jc w:val="both"/>
        <w:rPr>
          <w:sz w:val="18"/>
        </w:rPr>
        <w:sectPr>
          <w:pgSz w:w="9620" w:h="13750"/>
          <w:pgMar w:header="428" w:footer="0" w:top="700" w:bottom="280" w:left="420" w:right="1200"/>
        </w:sectPr>
      </w:pPr>
    </w:p>
    <w:p>
      <w:pPr>
        <w:pStyle w:val="BodyText"/>
        <w:spacing w:line="235" w:lineRule="auto" w:before="85"/>
        <w:ind w:left="820" w:firstLine="18"/>
      </w:pPr>
      <w:r>
        <w:rPr>
          <w:color w:val="383636"/>
          <w:w w:val="105"/>
        </w:rPr>
        <w:t>therefore, write a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rule summary that focuses on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vantage point of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-58"/>
          <w:w w:val="105"/>
        </w:rPr>
        <w:t> </w:t>
      </w:r>
      <w:r>
        <w:rPr>
          <w:color w:val="383636"/>
          <w:w w:val="105"/>
        </w:rPr>
        <w:t>viewer</w:t>
      </w:r>
      <w:r>
        <w:rPr>
          <w:color w:val="383636"/>
          <w:spacing w:val="6"/>
          <w:w w:val="105"/>
        </w:rPr>
        <w:t> </w:t>
      </w:r>
      <w:r>
        <w:rPr>
          <w:color w:val="383636"/>
          <w:w w:val="105"/>
        </w:rPr>
        <w:t>rather</w:t>
      </w:r>
      <w:r>
        <w:rPr>
          <w:color w:val="383636"/>
          <w:spacing w:val="8"/>
          <w:w w:val="105"/>
        </w:rPr>
        <w:t> </w:t>
      </w:r>
      <w:r>
        <w:rPr>
          <w:color w:val="383636"/>
          <w:w w:val="105"/>
        </w:rPr>
        <w:t>than</w:t>
      </w:r>
      <w:r>
        <w:rPr>
          <w:color w:val="383636"/>
          <w:spacing w:val="-8"/>
          <w:w w:val="105"/>
        </w:rPr>
        <w:t> </w:t>
      </w:r>
      <w:r>
        <w:rPr>
          <w:color w:val="383636"/>
          <w:w w:val="105"/>
        </w:rPr>
        <w:t>on</w:t>
      </w:r>
      <w:r>
        <w:rPr>
          <w:color w:val="383636"/>
          <w:spacing w:val="28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-12"/>
          <w:w w:val="105"/>
        </w:rPr>
        <w:t> </w:t>
      </w:r>
      <w:r>
        <w:rPr>
          <w:color w:val="383636"/>
          <w:w w:val="105"/>
        </w:rPr>
        <w:t>bald</w:t>
      </w:r>
      <w:r>
        <w:rPr>
          <w:color w:val="383636"/>
          <w:spacing w:val="-6"/>
          <w:w w:val="105"/>
        </w:rPr>
        <w:t> </w:t>
      </w:r>
      <w:r>
        <w:rPr>
          <w:color w:val="383636"/>
          <w:w w:val="105"/>
        </w:rPr>
        <w:t>statement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of</w:t>
      </w:r>
      <w:r>
        <w:rPr>
          <w:color w:val="383636"/>
          <w:spacing w:val="14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54"/>
          <w:w w:val="105"/>
        </w:rPr>
        <w:t> </w:t>
      </w:r>
      <w:r>
        <w:rPr>
          <w:color w:val="383636"/>
          <w:w w:val="105"/>
        </w:rPr>
        <w:t>plain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view</w:t>
      </w:r>
      <w:r>
        <w:rPr>
          <w:color w:val="383636"/>
          <w:spacing w:val="-4"/>
          <w:w w:val="105"/>
        </w:rPr>
        <w:t> </w:t>
      </w:r>
      <w:r>
        <w:rPr>
          <w:color w:val="383636"/>
          <w:w w:val="105"/>
        </w:rPr>
        <w:t>doctrine:</w:t>
      </w:r>
    </w:p>
    <w:p>
      <w:pPr>
        <w:pStyle w:val="BodyText"/>
        <w:spacing w:before="8"/>
        <w:rPr>
          <w:sz w:val="10"/>
        </w:rPr>
      </w:pPr>
    </w:p>
    <w:p>
      <w:pPr>
        <w:spacing w:before="94"/>
        <w:ind w:left="804" w:right="0" w:firstLine="0"/>
        <w:jc w:val="left"/>
        <w:rPr>
          <w:sz w:val="16"/>
        </w:rPr>
      </w:pPr>
      <w:r>
        <w:rPr>
          <w:color w:val="383636"/>
          <w:w w:val="90"/>
          <w:sz w:val="16"/>
          <w:u w:val="thick" w:color="383636"/>
        </w:rPr>
        <w:t>_/\</w:t>
      </w:r>
      <w:r>
        <w:rPr>
          <w:color w:val="383636"/>
          <w:spacing w:val="43"/>
          <w:sz w:val="16"/>
          <w:u w:val="thick" w:color="383636"/>
        </w:rPr>
        <w:t> </w:t>
      </w:r>
      <w:r>
        <w:rPr>
          <w:color w:val="383636"/>
          <w:spacing w:val="44"/>
          <w:sz w:val="16"/>
          <w:u w:val="thick" w:color="383636"/>
        </w:rPr>
        <w:t> </w:t>
      </w:r>
      <w:r>
        <w:rPr>
          <w:color w:val="383636"/>
          <w:w w:val="90"/>
          <w:sz w:val="16"/>
          <w:u w:val="thick" w:color="383636"/>
        </w:rPr>
        <w:t>GOOD</w:t>
      </w:r>
      <w:r>
        <w:rPr>
          <w:color w:val="383636"/>
          <w:spacing w:val="11"/>
          <w:w w:val="90"/>
          <w:sz w:val="16"/>
          <w:u w:val="thick" w:color="383636"/>
        </w:rPr>
        <w:t> </w:t>
      </w:r>
      <w:r>
        <w:rPr>
          <w:color w:val="383636"/>
          <w:w w:val="90"/>
          <w:sz w:val="16"/>
          <w:u w:val="thick" w:color="383636"/>
        </w:rPr>
        <w:t>EXAMPLE</w:t>
      </w:r>
      <w:r>
        <w:rPr>
          <w:color w:val="383636"/>
          <w:spacing w:val="8"/>
          <w:w w:val="90"/>
          <w:sz w:val="16"/>
          <w:u w:val="thick" w:color="383636"/>
        </w:rPr>
        <w:t> </w:t>
      </w:r>
      <w:r>
        <w:rPr>
          <w:color w:val="383636"/>
          <w:w w:val="90"/>
          <w:sz w:val="16"/>
          <w:u w:val="thick" w:color="383636"/>
        </w:rPr>
        <w:t>OF</w:t>
      </w:r>
      <w:r>
        <w:rPr>
          <w:color w:val="383636"/>
          <w:spacing w:val="4"/>
          <w:w w:val="90"/>
          <w:sz w:val="16"/>
          <w:u w:val="thick" w:color="383636"/>
        </w:rPr>
        <w:t> </w:t>
      </w:r>
      <w:r>
        <w:rPr>
          <w:color w:val="383636"/>
          <w:w w:val="90"/>
          <w:sz w:val="16"/>
          <w:u w:val="thick" w:color="383636"/>
        </w:rPr>
        <w:t>RULE</w:t>
      </w:r>
      <w:r>
        <w:rPr>
          <w:color w:val="383636"/>
          <w:spacing w:val="-2"/>
          <w:w w:val="90"/>
          <w:sz w:val="16"/>
          <w:u w:val="thick" w:color="383636"/>
        </w:rPr>
        <w:t> </w:t>
      </w:r>
      <w:r>
        <w:rPr>
          <w:color w:val="383636"/>
          <w:w w:val="90"/>
          <w:sz w:val="16"/>
          <w:u w:val="thick" w:color="383636"/>
        </w:rPr>
        <w:t>SUMMARY</w:t>
      </w:r>
    </w:p>
    <w:p>
      <w:pPr>
        <w:spacing w:line="216" w:lineRule="auto" w:before="87"/>
        <w:ind w:left="1138" w:right="338" w:firstLine="19"/>
        <w:jc w:val="both"/>
        <w:rPr>
          <w:sz w:val="23"/>
        </w:rPr>
      </w:pPr>
      <w:r>
        <w:rPr>
          <w:b/>
          <w:color w:val="383636"/>
          <w:w w:val="105"/>
          <w:sz w:val="21"/>
        </w:rPr>
        <w:t>Accordingly, the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vantage point of the viewer is crucial to the plain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color w:val="383636"/>
          <w:w w:val="105"/>
          <w:sz w:val="23"/>
        </w:rPr>
        <w:t>view determination: </w:t>
      </w:r>
      <w:r>
        <w:rPr>
          <w:color w:val="383636"/>
          <w:w w:val="105"/>
          <w:sz w:val="20"/>
        </w:rPr>
        <w:t>If </w:t>
      </w:r>
      <w:r>
        <w:rPr>
          <w:i/>
          <w:color w:val="383636"/>
          <w:w w:val="105"/>
          <w:sz w:val="20"/>
        </w:rPr>
        <w:t>the</w:t>
      </w:r>
      <w:r>
        <w:rPr>
          <w:i/>
          <w:color w:val="383636"/>
          <w:spacing w:val="1"/>
          <w:w w:val="105"/>
          <w:sz w:val="20"/>
        </w:rPr>
        <w:t> </w:t>
      </w:r>
      <w:r>
        <w:rPr>
          <w:color w:val="383636"/>
          <w:w w:val="105"/>
          <w:sz w:val="23"/>
        </w:rPr>
        <w:t>viewer sees the activities from a lawful</w:t>
      </w:r>
      <w:r>
        <w:rPr>
          <w:color w:val="383636"/>
          <w:spacing w:val="1"/>
          <w:w w:val="105"/>
          <w:sz w:val="23"/>
        </w:rPr>
        <w:t> </w:t>
      </w:r>
      <w:r>
        <w:rPr>
          <w:color w:val="383636"/>
          <w:sz w:val="23"/>
        </w:rPr>
        <w:t>vantage</w:t>
      </w:r>
      <w:r>
        <w:rPr>
          <w:color w:val="383636"/>
          <w:spacing w:val="4"/>
          <w:sz w:val="23"/>
        </w:rPr>
        <w:t> </w:t>
      </w:r>
      <w:r>
        <w:rPr>
          <w:color w:val="383636"/>
          <w:sz w:val="23"/>
        </w:rPr>
        <w:t>point,</w:t>
      </w:r>
      <w:r>
        <w:rPr>
          <w:color w:val="383636"/>
          <w:spacing w:val="16"/>
          <w:sz w:val="23"/>
        </w:rPr>
        <w:t> </w:t>
      </w:r>
      <w:r>
        <w:rPr>
          <w:color w:val="383636"/>
          <w:sz w:val="23"/>
        </w:rPr>
        <w:t>the</w:t>
      </w:r>
      <w:r>
        <w:rPr>
          <w:color w:val="383636"/>
          <w:spacing w:val="39"/>
          <w:sz w:val="23"/>
        </w:rPr>
        <w:t> </w:t>
      </w:r>
      <w:r>
        <w:rPr>
          <w:color w:val="383636"/>
          <w:sz w:val="23"/>
        </w:rPr>
        <w:t>viewer</w:t>
      </w:r>
      <w:r>
        <w:rPr>
          <w:color w:val="383636"/>
          <w:spacing w:val="7"/>
          <w:sz w:val="23"/>
        </w:rPr>
        <w:t> </w:t>
      </w:r>
      <w:r>
        <w:rPr>
          <w:color w:val="383636"/>
          <w:sz w:val="23"/>
        </w:rPr>
        <w:t>is</w:t>
      </w:r>
      <w:r>
        <w:rPr>
          <w:color w:val="383636"/>
          <w:spacing w:val="-4"/>
          <w:sz w:val="23"/>
        </w:rPr>
        <w:t> </w:t>
      </w:r>
      <w:r>
        <w:rPr>
          <w:color w:val="383636"/>
          <w:sz w:val="23"/>
        </w:rPr>
        <w:t>not</w:t>
      </w:r>
      <w:r>
        <w:rPr>
          <w:color w:val="383636"/>
          <w:spacing w:val="15"/>
          <w:sz w:val="23"/>
        </w:rPr>
        <w:t> </w:t>
      </w:r>
      <w:r>
        <w:rPr>
          <w:color w:val="383636"/>
          <w:sz w:val="23"/>
        </w:rPr>
        <w:t>violating</w:t>
      </w:r>
      <w:r>
        <w:rPr>
          <w:color w:val="383636"/>
          <w:spacing w:val="22"/>
          <w:sz w:val="23"/>
        </w:rPr>
        <w:t> </w:t>
      </w:r>
      <w:r>
        <w:rPr>
          <w:color w:val="383636"/>
          <w:sz w:val="23"/>
        </w:rPr>
        <w:t>Fourth</w:t>
      </w:r>
      <w:r>
        <w:rPr>
          <w:color w:val="383636"/>
          <w:spacing w:val="17"/>
          <w:sz w:val="23"/>
        </w:rPr>
        <w:t> </w:t>
      </w:r>
      <w:r>
        <w:rPr>
          <w:color w:val="383636"/>
          <w:sz w:val="23"/>
        </w:rPr>
        <w:t>Amendment</w:t>
      </w:r>
      <w:r>
        <w:rPr>
          <w:color w:val="383636"/>
          <w:spacing w:val="31"/>
          <w:sz w:val="23"/>
        </w:rPr>
        <w:t> </w:t>
      </w:r>
      <w:r>
        <w:rPr>
          <w:color w:val="383636"/>
          <w:sz w:val="23"/>
        </w:rPr>
        <w:t>rights.</w:t>
      </w:r>
    </w:p>
    <w:p>
      <w:pPr>
        <w:pStyle w:val="BodyText"/>
        <w:spacing w:line="232" w:lineRule="auto" w:before="141"/>
        <w:ind w:left="736" w:right="-15" w:firstLine="377"/>
        <w:jc w:val="both"/>
      </w:pPr>
      <w:r>
        <w:rPr>
          <w:color w:val="383636"/>
          <w:w w:val="105"/>
        </w:rPr>
        <w:t>The good example above is essentially a generic rule summary, appro-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priate for a writer using an educational writing style for the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brief. Some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writers might want to make the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rule summary more argumentative, and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focusexplicitly on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what they want the court to find, or on the burden that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one</w:t>
      </w:r>
      <w:r>
        <w:rPr>
          <w:color w:val="383636"/>
          <w:spacing w:val="-36"/>
          <w:w w:val="105"/>
        </w:rPr>
        <w:t> </w:t>
      </w:r>
      <w:r>
        <w:rPr>
          <w:color w:val="383636"/>
          <w:w w:val="105"/>
        </w:rPr>
        <w:t>side</w:t>
      </w:r>
      <w:r>
        <w:rPr>
          <w:color w:val="383636"/>
          <w:spacing w:val="-30"/>
          <w:w w:val="105"/>
        </w:rPr>
        <w:t> </w:t>
      </w:r>
      <w:r>
        <w:rPr>
          <w:color w:val="383636"/>
          <w:w w:val="105"/>
        </w:rPr>
        <w:t>or</w:t>
      </w:r>
      <w:r>
        <w:rPr>
          <w:color w:val="383636"/>
          <w:spacing w:val="11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25"/>
          <w:w w:val="105"/>
        </w:rPr>
        <w:t> </w:t>
      </w:r>
      <w:r>
        <w:rPr>
          <w:color w:val="383636"/>
          <w:w w:val="105"/>
        </w:rPr>
        <w:t>other</w:t>
      </w:r>
      <w:r>
        <w:rPr>
          <w:color w:val="383636"/>
          <w:spacing w:val="-6"/>
          <w:w w:val="105"/>
        </w:rPr>
        <w:t> </w:t>
      </w:r>
      <w:r>
        <w:rPr>
          <w:color w:val="383636"/>
          <w:w w:val="105"/>
        </w:rPr>
        <w:t>must</w:t>
      </w:r>
      <w:r>
        <w:rPr>
          <w:color w:val="383636"/>
          <w:spacing w:val="-8"/>
          <w:w w:val="105"/>
        </w:rPr>
        <w:t> </w:t>
      </w:r>
      <w:r>
        <w:rPr>
          <w:color w:val="383636"/>
          <w:w w:val="105"/>
        </w:rPr>
        <w:t>carry</w:t>
      </w:r>
      <w:r>
        <w:rPr>
          <w:color w:val="383636"/>
          <w:spacing w:val="-10"/>
          <w:w w:val="105"/>
        </w:rPr>
        <w:t> </w:t>
      </w:r>
      <w:r>
        <w:rPr>
          <w:color w:val="383636"/>
          <w:w w:val="105"/>
        </w:rPr>
        <w:t>in</w:t>
      </w:r>
      <w:r>
        <w:rPr>
          <w:color w:val="383636"/>
          <w:spacing w:val="23"/>
          <w:w w:val="105"/>
        </w:rPr>
        <w:t> </w:t>
      </w:r>
      <w:r>
        <w:rPr>
          <w:color w:val="383636"/>
          <w:w w:val="105"/>
        </w:rPr>
        <w:t>this</w:t>
      </w:r>
      <w:r>
        <w:rPr>
          <w:color w:val="383636"/>
          <w:spacing w:val="-21"/>
          <w:w w:val="105"/>
        </w:rPr>
        <w:t> </w:t>
      </w:r>
      <w:r>
        <w:rPr>
          <w:color w:val="383636"/>
          <w:w w:val="105"/>
        </w:rPr>
        <w:t>case:</w:t>
      </w:r>
    </w:p>
    <w:p>
      <w:pPr>
        <w:pStyle w:val="BodyText"/>
        <w:spacing w:before="2"/>
        <w:rPr>
          <w:sz w:val="10"/>
        </w:rPr>
      </w:pPr>
    </w:p>
    <w:p>
      <w:pPr>
        <w:spacing w:before="94"/>
        <w:ind w:left="717" w:right="0" w:firstLine="0"/>
        <w:jc w:val="left"/>
        <w:rPr>
          <w:sz w:val="16"/>
        </w:rPr>
      </w:pPr>
      <w:r>
        <w:rPr>
          <w:color w:val="383636"/>
          <w:w w:val="90"/>
          <w:sz w:val="16"/>
          <w:u w:val="thick" w:color="383636"/>
        </w:rPr>
        <w:t>_/\</w:t>
      </w:r>
      <w:r>
        <w:rPr>
          <w:color w:val="383636"/>
          <w:spacing w:val="42"/>
          <w:sz w:val="16"/>
          <w:u w:val="thick" w:color="383636"/>
        </w:rPr>
        <w:t> </w:t>
      </w:r>
      <w:r>
        <w:rPr>
          <w:color w:val="383636"/>
          <w:spacing w:val="44"/>
          <w:sz w:val="16"/>
          <w:u w:val="thick" w:color="383636"/>
        </w:rPr>
        <w:t> </w:t>
      </w:r>
      <w:r>
        <w:rPr>
          <w:color w:val="383636"/>
          <w:w w:val="90"/>
          <w:sz w:val="16"/>
          <w:u w:val="thick" w:color="383636"/>
        </w:rPr>
        <w:t>GOOD</w:t>
      </w:r>
      <w:r>
        <w:rPr>
          <w:color w:val="383636"/>
          <w:spacing w:val="-1"/>
          <w:w w:val="90"/>
          <w:sz w:val="16"/>
          <w:u w:val="thick" w:color="383636"/>
        </w:rPr>
        <w:t> </w:t>
      </w:r>
      <w:r>
        <w:rPr>
          <w:color w:val="383636"/>
          <w:w w:val="90"/>
          <w:sz w:val="16"/>
          <w:u w:val="thick" w:color="383636"/>
        </w:rPr>
        <w:t>EXAMPLES</w:t>
      </w:r>
      <w:r>
        <w:rPr>
          <w:color w:val="383636"/>
          <w:spacing w:val="21"/>
          <w:w w:val="90"/>
          <w:sz w:val="16"/>
          <w:u w:val="thick" w:color="383636"/>
        </w:rPr>
        <w:t> </w:t>
      </w:r>
      <w:r>
        <w:rPr>
          <w:color w:val="383636"/>
          <w:w w:val="90"/>
          <w:sz w:val="16"/>
          <w:u w:val="thick" w:color="383636"/>
        </w:rPr>
        <w:t>OF</w:t>
      </w:r>
      <w:r>
        <w:rPr>
          <w:color w:val="383636"/>
          <w:spacing w:val="5"/>
          <w:w w:val="90"/>
          <w:sz w:val="16"/>
          <w:u w:val="thick" w:color="383636"/>
        </w:rPr>
        <w:t> </w:t>
      </w:r>
      <w:r>
        <w:rPr>
          <w:color w:val="383636"/>
          <w:w w:val="90"/>
          <w:sz w:val="16"/>
          <w:u w:val="thick" w:color="383636"/>
        </w:rPr>
        <w:t>RULE</w:t>
      </w:r>
      <w:r>
        <w:rPr>
          <w:color w:val="383636"/>
          <w:spacing w:val="2"/>
          <w:w w:val="90"/>
          <w:sz w:val="16"/>
          <w:u w:val="thick" w:color="383636"/>
        </w:rPr>
        <w:t> </w:t>
      </w:r>
      <w:r>
        <w:rPr>
          <w:color w:val="383636"/>
          <w:w w:val="90"/>
          <w:sz w:val="16"/>
          <w:u w:val="thick" w:color="383636"/>
        </w:rPr>
        <w:t>SUMMARY</w:t>
      </w:r>
    </w:p>
    <w:p>
      <w:pPr>
        <w:pStyle w:val="BodyText"/>
        <w:spacing w:line="218" w:lineRule="auto" w:before="78"/>
        <w:ind w:left="1013" w:right="385" w:firstLine="13"/>
        <w:jc w:val="both"/>
      </w:pPr>
      <w:r>
        <w:rPr>
          <w:color w:val="383636"/>
          <w:w w:val="105"/>
        </w:rPr>
        <w:t>Thus, the only way that this Court can find that petitioner violated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the plain view doctrine </w:t>
      </w:r>
      <w:r>
        <w:rPr>
          <w:rFonts w:ascii="Arial"/>
          <w:color w:val="383636"/>
          <w:w w:val="110"/>
          <w:sz w:val="19"/>
        </w:rPr>
        <w:t>is </w:t>
      </w:r>
      <w:r>
        <w:rPr>
          <w:color w:val="383636"/>
          <w:w w:val="110"/>
        </w:rPr>
        <w:t>if </w:t>
      </w:r>
      <w:r>
        <w:rPr>
          <w:color w:val="383636"/>
          <w:w w:val="110"/>
          <w:sz w:val="19"/>
        </w:rPr>
        <w:t>it </w:t>
      </w:r>
      <w:r>
        <w:rPr>
          <w:color w:val="383636"/>
          <w:w w:val="110"/>
        </w:rPr>
        <w:t>finds that a public area outside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window</w:t>
      </w:r>
      <w:r>
        <w:rPr>
          <w:color w:val="383636"/>
          <w:spacing w:val="-13"/>
          <w:w w:val="105"/>
        </w:rPr>
        <w:t> </w:t>
      </w:r>
      <w:r>
        <w:rPr>
          <w:color w:val="383636"/>
          <w:w w:val="105"/>
        </w:rPr>
        <w:t>of</w:t>
      </w:r>
      <w:r>
        <w:rPr>
          <w:color w:val="383636"/>
          <w:spacing w:val="-7"/>
          <w:w w:val="105"/>
        </w:rPr>
        <w:t> </w:t>
      </w:r>
      <w:r>
        <w:rPr>
          <w:color w:val="383636"/>
          <w:w w:val="105"/>
        </w:rPr>
        <w:t>a</w:t>
      </w:r>
      <w:r>
        <w:rPr>
          <w:color w:val="383636"/>
          <w:spacing w:val="-1"/>
          <w:w w:val="105"/>
        </w:rPr>
        <w:t> </w:t>
      </w:r>
      <w:r>
        <w:rPr>
          <w:color w:val="383636"/>
          <w:w w:val="105"/>
        </w:rPr>
        <w:t>garden</w:t>
      </w:r>
      <w:r>
        <w:rPr>
          <w:color w:val="383636"/>
          <w:spacing w:val="-13"/>
          <w:w w:val="105"/>
        </w:rPr>
        <w:t> </w:t>
      </w:r>
      <w:r>
        <w:rPr>
          <w:color w:val="383636"/>
          <w:w w:val="105"/>
        </w:rPr>
        <w:t>apartment</w:t>
      </w:r>
      <w:r>
        <w:rPr>
          <w:color w:val="383636"/>
          <w:spacing w:val="-8"/>
          <w:w w:val="105"/>
        </w:rPr>
        <w:t> </w:t>
      </w:r>
      <w:r>
        <w:rPr>
          <w:color w:val="383636"/>
          <w:w w:val="105"/>
        </w:rPr>
        <w:t>is</w:t>
      </w:r>
      <w:r>
        <w:rPr>
          <w:color w:val="383636"/>
          <w:spacing w:val="-12"/>
          <w:w w:val="105"/>
        </w:rPr>
        <w:t> </w:t>
      </w:r>
      <w:r>
        <w:rPr>
          <w:color w:val="383636"/>
          <w:w w:val="105"/>
        </w:rPr>
        <w:t>partof</w:t>
      </w:r>
      <w:r>
        <w:rPr>
          <w:color w:val="383636"/>
          <w:spacing w:val="-1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-11"/>
          <w:w w:val="105"/>
        </w:rPr>
        <w:t> </w:t>
      </w:r>
      <w:r>
        <w:rPr>
          <w:color w:val="383636"/>
          <w:w w:val="105"/>
        </w:rPr>
        <w:t>curtilage</w:t>
      </w:r>
      <w:r>
        <w:rPr>
          <w:color w:val="383636"/>
          <w:spacing w:val="-16"/>
          <w:w w:val="105"/>
        </w:rPr>
        <w:t> </w:t>
      </w:r>
      <w:r>
        <w:rPr>
          <w:color w:val="383636"/>
          <w:w w:val="105"/>
        </w:rPr>
        <w:t>of</w:t>
      </w:r>
      <w:r>
        <w:rPr>
          <w:color w:val="383636"/>
          <w:spacing w:val="-1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21"/>
          <w:w w:val="105"/>
        </w:rPr>
        <w:t> </w:t>
      </w:r>
      <w:r>
        <w:rPr>
          <w:color w:val="383636"/>
          <w:w w:val="105"/>
        </w:rPr>
        <w:t>building</w:t>
      </w:r>
      <w:r>
        <w:rPr>
          <w:color w:val="4F4F50"/>
          <w:w w:val="105"/>
        </w:rPr>
        <w:t>.</w:t>
      </w:r>
    </w:p>
    <w:p>
      <w:pPr>
        <w:spacing w:line="228" w:lineRule="auto" w:before="126"/>
        <w:ind w:left="978" w:right="380" w:firstLine="10"/>
        <w:jc w:val="both"/>
        <w:rPr>
          <w:b/>
          <w:sz w:val="21"/>
        </w:rPr>
      </w:pPr>
      <w:r>
        <w:rPr>
          <w:color w:val="383636"/>
          <w:w w:val="105"/>
          <w:sz w:val="23"/>
        </w:rPr>
        <w:t>Thus, the only way that respondents can establish that petitioner </w:t>
      </w:r>
      <w:r>
        <w:rPr>
          <w:color w:val="383636"/>
          <w:w w:val="105"/>
          <w:sz w:val="21"/>
        </w:rPr>
        <w:t>vio­</w:t>
      </w:r>
      <w:r>
        <w:rPr>
          <w:color w:val="383636"/>
          <w:spacing w:val="-53"/>
          <w:w w:val="105"/>
          <w:sz w:val="21"/>
        </w:rPr>
        <w:t> </w:t>
      </w:r>
      <w:r>
        <w:rPr>
          <w:color w:val="383636"/>
          <w:w w:val="105"/>
          <w:sz w:val="23"/>
        </w:rPr>
        <w:t>lated the plain view doctrine is </w:t>
      </w:r>
      <w:r>
        <w:rPr>
          <w:color w:val="383636"/>
          <w:w w:val="105"/>
          <w:sz w:val="20"/>
        </w:rPr>
        <w:t>if </w:t>
      </w:r>
      <w:r>
        <w:rPr>
          <w:color w:val="383636"/>
          <w:w w:val="105"/>
          <w:sz w:val="23"/>
        </w:rPr>
        <w:t>they can show that Officer Thielen</w:t>
      </w:r>
      <w:r>
        <w:rPr>
          <w:color w:val="383636"/>
          <w:spacing w:val="1"/>
          <w:w w:val="105"/>
          <w:sz w:val="23"/>
        </w:rPr>
        <w:t> </w:t>
      </w:r>
      <w:r>
        <w:rPr>
          <w:b/>
          <w:color w:val="383636"/>
          <w:w w:val="105"/>
          <w:sz w:val="20"/>
        </w:rPr>
        <w:t>observed</w:t>
      </w:r>
      <w:r>
        <w:rPr>
          <w:b/>
          <w:color w:val="383636"/>
          <w:spacing w:val="1"/>
          <w:w w:val="105"/>
          <w:sz w:val="20"/>
        </w:rPr>
        <w:t> </w:t>
      </w:r>
      <w:r>
        <w:rPr>
          <w:b/>
          <w:color w:val="383636"/>
          <w:w w:val="105"/>
          <w:sz w:val="21"/>
        </w:rPr>
        <w:t>respondents'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activities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b/>
          <w:color w:val="383636"/>
          <w:w w:val="105"/>
          <w:sz w:val="20"/>
        </w:rPr>
        <w:t>from</w:t>
      </w:r>
      <w:r>
        <w:rPr>
          <w:b/>
          <w:color w:val="383636"/>
          <w:spacing w:val="1"/>
          <w:w w:val="105"/>
          <w:sz w:val="20"/>
        </w:rPr>
        <w:t> </w:t>
      </w:r>
      <w:r>
        <w:rPr>
          <w:b/>
          <w:color w:val="383636"/>
          <w:w w:val="105"/>
          <w:sz w:val="21"/>
        </w:rPr>
        <w:t>an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unlawful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vantage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point.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Respondents</w:t>
      </w:r>
      <w:r>
        <w:rPr>
          <w:b/>
          <w:color w:val="383636"/>
          <w:spacing w:val="-3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cannot</w:t>
      </w:r>
      <w:r>
        <w:rPr>
          <w:b/>
          <w:color w:val="383636"/>
          <w:spacing w:val="-4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meet</w:t>
      </w:r>
      <w:r>
        <w:rPr>
          <w:b/>
          <w:color w:val="383636"/>
          <w:spacing w:val="-14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this</w:t>
      </w:r>
      <w:r>
        <w:rPr>
          <w:b/>
          <w:color w:val="383636"/>
          <w:spacing w:val="-6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burden.</w:t>
      </w:r>
    </w:p>
    <w:p>
      <w:pPr>
        <w:pStyle w:val="BodyText"/>
        <w:spacing w:line="228" w:lineRule="auto" w:before="156"/>
        <w:ind w:left="610" w:right="45" w:firstLine="358"/>
        <w:jc w:val="both"/>
      </w:pPr>
      <w:r>
        <w:rPr>
          <w:color w:val="383636"/>
          <w:spacing w:val="-1"/>
          <w:w w:val="110"/>
        </w:rPr>
        <w:t>The rule summary helps </w:t>
      </w:r>
      <w:r>
        <w:rPr>
          <w:color w:val="383636"/>
          <w:w w:val="110"/>
        </w:rPr>
        <w:t>the writer to lay a strong foundation for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rule application. The writer can use the phrase-that-pays, and perhaps cru­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  <w:sz w:val="21"/>
        </w:rPr>
        <w:t>cial </w:t>
      </w:r>
      <w:r>
        <w:rPr>
          <w:color w:val="383636"/>
          <w:w w:val="105"/>
        </w:rPr>
        <w:t>facts, to create an expectation in the reader that the writer has an </w:t>
      </w:r>
      <w:r>
        <w:rPr>
          <w:i/>
          <w:color w:val="383636"/>
          <w:w w:val="105"/>
          <w:sz w:val="25"/>
        </w:rPr>
        <w:t>easy</w:t>
      </w:r>
      <w:r>
        <w:rPr>
          <w:i/>
          <w:color w:val="383636"/>
          <w:spacing w:val="1"/>
          <w:w w:val="105"/>
          <w:sz w:val="25"/>
        </w:rPr>
        <w:t> </w:t>
      </w:r>
      <w:r>
        <w:rPr>
          <w:color w:val="383636"/>
          <w:spacing w:val="-1"/>
          <w:w w:val="110"/>
        </w:rPr>
        <w:t>task,</w:t>
      </w:r>
      <w:r>
        <w:rPr>
          <w:color w:val="383636"/>
          <w:spacing w:val="-18"/>
          <w:w w:val="110"/>
        </w:rPr>
        <w:t> </w:t>
      </w:r>
      <w:r>
        <w:rPr>
          <w:color w:val="383636"/>
          <w:spacing w:val="-1"/>
          <w:w w:val="110"/>
        </w:rPr>
        <w:t>or</w:t>
      </w:r>
      <w:r>
        <w:rPr>
          <w:color w:val="383636"/>
          <w:spacing w:val="5"/>
          <w:w w:val="110"/>
        </w:rPr>
        <w:t> </w:t>
      </w:r>
      <w:r>
        <w:rPr>
          <w:color w:val="383636"/>
          <w:spacing w:val="-1"/>
          <w:w w:val="110"/>
        </w:rPr>
        <w:t>that</w:t>
      </w:r>
      <w:r>
        <w:rPr>
          <w:color w:val="383636"/>
          <w:spacing w:val="-10"/>
          <w:w w:val="110"/>
        </w:rPr>
        <w:t> </w:t>
      </w:r>
      <w:r>
        <w:rPr>
          <w:color w:val="383636"/>
          <w:spacing w:val="-1"/>
          <w:w w:val="110"/>
        </w:rPr>
        <w:t>the</w:t>
      </w:r>
      <w:r>
        <w:rPr>
          <w:color w:val="383636"/>
          <w:spacing w:val="-5"/>
          <w:w w:val="110"/>
        </w:rPr>
        <w:t> </w:t>
      </w:r>
      <w:r>
        <w:rPr>
          <w:color w:val="383636"/>
          <w:spacing w:val="-1"/>
          <w:w w:val="110"/>
        </w:rPr>
        <w:t>writer</w:t>
      </w:r>
      <w:r>
        <w:rPr>
          <w:color w:val="4F4F50"/>
          <w:spacing w:val="-1"/>
          <w:w w:val="110"/>
        </w:rPr>
        <w:t>'</w:t>
      </w:r>
      <w:r>
        <w:rPr>
          <w:color w:val="383636"/>
          <w:spacing w:val="-1"/>
          <w:w w:val="110"/>
        </w:rPr>
        <w:t>s</w:t>
      </w:r>
      <w:r>
        <w:rPr>
          <w:color w:val="383636"/>
          <w:spacing w:val="-15"/>
          <w:w w:val="110"/>
        </w:rPr>
        <w:t> </w:t>
      </w:r>
      <w:r>
        <w:rPr>
          <w:color w:val="383636"/>
          <w:spacing w:val="-1"/>
          <w:w w:val="110"/>
        </w:rPr>
        <w:t>opponent</w:t>
      </w:r>
      <w:r>
        <w:rPr>
          <w:color w:val="383636"/>
          <w:spacing w:val="-14"/>
          <w:w w:val="110"/>
        </w:rPr>
        <w:t> </w:t>
      </w:r>
      <w:r>
        <w:rPr>
          <w:color w:val="383636"/>
          <w:w w:val="110"/>
        </w:rPr>
        <w:t>has</w:t>
      </w:r>
      <w:r>
        <w:rPr>
          <w:color w:val="383636"/>
          <w:spacing w:val="-19"/>
          <w:w w:val="110"/>
        </w:rPr>
        <w:t> </w:t>
      </w:r>
      <w:r>
        <w:rPr>
          <w:color w:val="383636"/>
          <w:w w:val="110"/>
        </w:rPr>
        <w:t>a</w:t>
      </w:r>
      <w:r>
        <w:rPr>
          <w:color w:val="383636"/>
          <w:spacing w:val="-18"/>
          <w:w w:val="110"/>
        </w:rPr>
        <w:t> </w:t>
      </w:r>
      <w:r>
        <w:rPr>
          <w:color w:val="383636"/>
          <w:w w:val="110"/>
        </w:rPr>
        <w:t>difficult</w:t>
      </w:r>
      <w:r>
        <w:rPr>
          <w:color w:val="383636"/>
          <w:spacing w:val="-5"/>
          <w:w w:val="110"/>
        </w:rPr>
        <w:t> </w:t>
      </w:r>
      <w:r>
        <w:rPr>
          <w:color w:val="383636"/>
          <w:w w:val="110"/>
        </w:rPr>
        <w:t>task.</w:t>
      </w:r>
      <w:r>
        <w:rPr>
          <w:color w:val="383636"/>
          <w:spacing w:val="-30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8"/>
          <w:w w:val="110"/>
        </w:rPr>
        <w:t> </w:t>
      </w:r>
      <w:r>
        <w:rPr>
          <w:color w:val="383636"/>
          <w:w w:val="110"/>
        </w:rPr>
        <w:t>writer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can</w:t>
      </w:r>
      <w:r>
        <w:rPr>
          <w:color w:val="383636"/>
          <w:spacing w:val="24"/>
          <w:w w:val="110"/>
        </w:rPr>
        <w:t> </w:t>
      </w:r>
      <w:r>
        <w:rPr>
          <w:color w:val="383636"/>
          <w:w w:val="110"/>
        </w:rPr>
        <w:t>then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fulfill</w:t>
      </w:r>
      <w:r>
        <w:rPr>
          <w:color w:val="383636"/>
          <w:spacing w:val="-10"/>
          <w:w w:val="105"/>
        </w:rPr>
        <w:t> </w:t>
      </w:r>
      <w:r>
        <w:rPr>
          <w:color w:val="383636"/>
          <w:w w:val="105"/>
        </w:rPr>
        <w:t>that</w:t>
      </w:r>
      <w:r>
        <w:rPr>
          <w:color w:val="383636"/>
          <w:spacing w:val="-13"/>
          <w:w w:val="105"/>
        </w:rPr>
        <w:t> </w:t>
      </w:r>
      <w:r>
        <w:rPr>
          <w:color w:val="383636"/>
          <w:w w:val="105"/>
        </w:rPr>
        <w:t>expectation</w:t>
      </w:r>
      <w:r>
        <w:rPr>
          <w:color w:val="383636"/>
          <w:spacing w:val="10"/>
          <w:w w:val="105"/>
        </w:rPr>
        <w:t> </w:t>
      </w:r>
      <w:r>
        <w:rPr>
          <w:color w:val="383636"/>
          <w:w w:val="105"/>
        </w:rPr>
        <w:t>in</w:t>
      </w:r>
      <w:r>
        <w:rPr>
          <w:color w:val="383636"/>
          <w:spacing w:val="10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31"/>
          <w:w w:val="105"/>
        </w:rPr>
        <w:t> </w:t>
      </w:r>
      <w:r>
        <w:rPr>
          <w:color w:val="383636"/>
          <w:w w:val="105"/>
        </w:rPr>
        <w:t>rule</w:t>
      </w:r>
      <w:r>
        <w:rPr>
          <w:color w:val="383636"/>
          <w:spacing w:val="-19"/>
          <w:w w:val="105"/>
        </w:rPr>
        <w:t> </w:t>
      </w:r>
      <w:r>
        <w:rPr>
          <w:color w:val="383636"/>
          <w:w w:val="105"/>
        </w:rPr>
        <w:t>application.</w:t>
      </w:r>
    </w:p>
    <w:p>
      <w:pPr>
        <w:pStyle w:val="BodyText"/>
        <w:spacing w:line="232" w:lineRule="auto" w:before="8"/>
        <w:ind w:left="550" w:right="73" w:firstLine="395"/>
        <w:jc w:val="both"/>
      </w:pPr>
      <w:r>
        <w:rPr>
          <w:color w:val="383636"/>
          <w:w w:val="110"/>
        </w:rPr>
        <w:t>A rule summary may not be needed if your rule explanation is rela­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tively short and  straightforward. I advise, however, that you routinely draft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a rule summary. If you decide that it appears overly repetitive, you can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delete it. If, however, your rule explanation has advanced a more nuanced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understanding of the rule, a rule summary can help the rule explanation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have</w:t>
      </w:r>
      <w:r>
        <w:rPr>
          <w:color w:val="383636"/>
          <w:spacing w:val="-21"/>
          <w:w w:val="110"/>
        </w:rPr>
        <w:t> </w:t>
      </w:r>
      <w:r>
        <w:rPr>
          <w:color w:val="383636"/>
          <w:w w:val="110"/>
        </w:rPr>
        <w:t>a</w:t>
      </w:r>
      <w:r>
        <w:rPr>
          <w:color w:val="383636"/>
          <w:spacing w:val="-10"/>
          <w:w w:val="110"/>
        </w:rPr>
        <w:t> </w:t>
      </w:r>
      <w:r>
        <w:rPr>
          <w:color w:val="383636"/>
          <w:w w:val="110"/>
        </w:rPr>
        <w:t>greater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impact.</w:t>
      </w:r>
    </w:p>
    <w:p>
      <w:pPr>
        <w:pStyle w:val="BodyText"/>
        <w:rPr>
          <w:sz w:val="33"/>
        </w:rPr>
      </w:pPr>
    </w:p>
    <w:p>
      <w:pPr>
        <w:spacing w:before="1"/>
        <w:ind w:left="886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83636"/>
          <w:w w:val="105"/>
          <w:sz w:val="28"/>
        </w:rPr>
        <w:t>5.1.4</w:t>
      </w:r>
    </w:p>
    <w:p>
      <w:pPr>
        <w:spacing w:before="33"/>
        <w:ind w:left="870" w:right="0" w:firstLine="0"/>
        <w:jc w:val="left"/>
        <w:rPr>
          <w:rFonts w:ascii="Arial"/>
          <w:sz w:val="23"/>
        </w:rPr>
      </w:pPr>
      <w:r>
        <w:rPr>
          <w:rFonts w:ascii="Arial"/>
          <w:color w:val="383636"/>
          <w:sz w:val="21"/>
        </w:rPr>
        <w:t>APPLY</w:t>
      </w:r>
      <w:r>
        <w:rPr>
          <w:rFonts w:ascii="Arial"/>
          <w:color w:val="383636"/>
          <w:spacing w:val="8"/>
          <w:sz w:val="21"/>
        </w:rPr>
        <w:t> </w:t>
      </w:r>
      <w:r>
        <w:rPr>
          <w:rFonts w:ascii="Arial"/>
          <w:color w:val="383636"/>
          <w:sz w:val="21"/>
        </w:rPr>
        <w:t>THE</w:t>
      </w:r>
      <w:r>
        <w:rPr>
          <w:rFonts w:ascii="Arial"/>
          <w:color w:val="383636"/>
          <w:spacing w:val="2"/>
          <w:sz w:val="21"/>
        </w:rPr>
        <w:t> </w:t>
      </w:r>
      <w:r>
        <w:rPr>
          <w:rFonts w:ascii="Arial"/>
          <w:color w:val="383636"/>
          <w:sz w:val="21"/>
        </w:rPr>
        <w:t>RULE</w:t>
      </w:r>
      <w:r>
        <w:rPr>
          <w:rFonts w:ascii="Arial"/>
          <w:color w:val="383636"/>
          <w:spacing w:val="-7"/>
          <w:sz w:val="21"/>
        </w:rPr>
        <w:t> </w:t>
      </w:r>
      <w:r>
        <w:rPr>
          <w:rFonts w:ascii="Arial"/>
          <w:color w:val="383636"/>
          <w:sz w:val="21"/>
        </w:rPr>
        <w:t>TO</w:t>
      </w:r>
      <w:r>
        <w:rPr>
          <w:rFonts w:ascii="Arial"/>
          <w:color w:val="383636"/>
          <w:spacing w:val="29"/>
          <w:sz w:val="21"/>
        </w:rPr>
        <w:t> </w:t>
      </w:r>
      <w:r>
        <w:rPr>
          <w:rFonts w:ascii="Arial"/>
          <w:color w:val="383636"/>
          <w:sz w:val="21"/>
        </w:rPr>
        <w:t>THE</w:t>
      </w:r>
      <w:r>
        <w:rPr>
          <w:rFonts w:ascii="Arial"/>
          <w:color w:val="383636"/>
          <w:spacing w:val="-1"/>
          <w:sz w:val="21"/>
        </w:rPr>
        <w:t> </w:t>
      </w:r>
      <w:r>
        <w:rPr>
          <w:rFonts w:ascii="Arial"/>
          <w:color w:val="383636"/>
          <w:sz w:val="23"/>
        </w:rPr>
        <w:t>FACTS</w:t>
      </w:r>
    </w:p>
    <w:p>
      <w:pPr>
        <w:pStyle w:val="BodyText"/>
        <w:spacing w:line="230" w:lineRule="auto" w:before="159"/>
        <w:ind w:left="409" w:right="134" w:firstLine="440"/>
        <w:jc w:val="both"/>
      </w:pPr>
      <w:r>
        <w:rPr>
          <w:color w:val="383636"/>
          <w:w w:val="105"/>
        </w:rPr>
        <w:t>After you have articulated the rule and  explained it as needed, it</w:t>
      </w:r>
      <w:r>
        <w:rPr>
          <w:color w:val="4F4F50"/>
          <w:w w:val="105"/>
        </w:rPr>
        <w:t>'</w:t>
      </w:r>
      <w:r>
        <w:rPr>
          <w:color w:val="383636"/>
          <w:w w:val="105"/>
        </w:rPr>
        <w:t>s time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to apply the  rule to the facts (some legal writers say "applying the facts to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the rule,, to mean the same thing)</w:t>
      </w:r>
      <w:r>
        <w:rPr>
          <w:color w:val="4F4F50"/>
          <w:w w:val="110"/>
        </w:rPr>
        <w:t>. </w:t>
      </w:r>
      <w:r>
        <w:rPr>
          <w:color w:val="383636"/>
          <w:w w:val="110"/>
        </w:rPr>
        <w:t>In this step of your analysis, you are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trying to show the reader how the phrase-that</w:t>
      </w:r>
      <w:r>
        <w:rPr>
          <w:color w:val="4F4F50"/>
          <w:w w:val="110"/>
        </w:rPr>
        <w:t>-</w:t>
      </w:r>
      <w:r>
        <w:rPr>
          <w:color w:val="383636"/>
          <w:w w:val="110"/>
        </w:rPr>
        <w:t>pays intersects with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facts. How do the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required elements or factors exist (or not exist) in your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case? You should ne er substitute synonyms for the phrase-that-pays In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any</w:t>
      </w:r>
      <w:r>
        <w:rPr>
          <w:color w:val="383636"/>
          <w:spacing w:val="24"/>
          <w:w w:val="110"/>
        </w:rPr>
        <w:t> </w:t>
      </w:r>
      <w:r>
        <w:rPr>
          <w:color w:val="383636"/>
          <w:w w:val="110"/>
        </w:rPr>
        <w:t>section</w:t>
      </w:r>
      <w:r>
        <w:rPr>
          <w:color w:val="4F4F50"/>
          <w:w w:val="110"/>
        </w:rPr>
        <w:t>,</w:t>
      </w:r>
      <w:r>
        <w:rPr>
          <w:color w:val="4F4F50"/>
          <w:spacing w:val="14"/>
          <w:w w:val="110"/>
        </w:rPr>
        <w:t> </w:t>
      </w:r>
      <w:r>
        <w:rPr>
          <w:color w:val="383636"/>
          <w:w w:val="110"/>
        </w:rPr>
        <w:t>but</w:t>
      </w:r>
      <w:r>
        <w:rPr>
          <w:color w:val="383636"/>
          <w:spacing w:val="12"/>
          <w:w w:val="110"/>
        </w:rPr>
        <w:t> </w:t>
      </w:r>
      <w:r>
        <w:rPr>
          <w:color w:val="383636"/>
          <w:w w:val="110"/>
        </w:rPr>
        <w:t>particularly</w:t>
      </w:r>
      <w:r>
        <w:rPr>
          <w:color w:val="383636"/>
          <w:spacing w:val="-2"/>
          <w:w w:val="110"/>
        </w:rPr>
        <w:t> </w:t>
      </w:r>
      <w:r>
        <w:rPr>
          <w:color w:val="383636"/>
          <w:w w:val="110"/>
        </w:rPr>
        <w:t>not</w:t>
      </w:r>
      <w:r>
        <w:rPr>
          <w:color w:val="383636"/>
          <w:spacing w:val="16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6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0"/>
          <w:w w:val="110"/>
        </w:rPr>
        <w:t> </w:t>
      </w:r>
      <w:r>
        <w:rPr>
          <w:color w:val="383636"/>
          <w:w w:val="110"/>
        </w:rPr>
        <w:t>application</w:t>
      </w:r>
      <w:r>
        <w:rPr>
          <w:color w:val="383636"/>
          <w:spacing w:val="2"/>
          <w:w w:val="110"/>
        </w:rPr>
        <w:t> </w:t>
      </w:r>
      <w:r>
        <w:rPr>
          <w:color w:val="383636"/>
          <w:w w:val="110"/>
        </w:rPr>
        <w:t>section.</w:t>
      </w:r>
    </w:p>
    <w:p>
      <w:pPr>
        <w:spacing w:after="0" w:line="230" w:lineRule="auto"/>
        <w:jc w:val="both"/>
        <w:sectPr>
          <w:headerReference w:type="even" r:id="rId123"/>
          <w:headerReference w:type="default" r:id="rId124"/>
          <w:pgSz w:w="9270" w:h="13770"/>
          <w:pgMar w:header="472" w:footer="0" w:top="1040" w:bottom="0" w:left="1280" w:right="0"/>
          <w:pgNumType w:start="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35" w:lineRule="auto"/>
        <w:ind w:left="246" w:right="321" w:firstLine="364"/>
        <w:jc w:val="both"/>
      </w:pPr>
      <w:r>
        <w:rPr>
          <w:color w:val="3B3A3B"/>
          <w:spacing w:val="-1"/>
          <w:w w:val="115"/>
        </w:rPr>
        <w:t>Brief</w:t>
      </w:r>
      <w:r>
        <w:rPr>
          <w:color w:val="3B3A3B"/>
          <w:spacing w:val="-7"/>
          <w:w w:val="115"/>
        </w:rPr>
        <w:t> </w:t>
      </w:r>
      <w:r>
        <w:rPr>
          <w:color w:val="3B3A3B"/>
          <w:spacing w:val="-1"/>
          <w:w w:val="115"/>
        </w:rPr>
        <w:t>writers</w:t>
      </w:r>
      <w:r>
        <w:rPr>
          <w:color w:val="3B3A3B"/>
          <w:spacing w:val="-15"/>
          <w:w w:val="115"/>
        </w:rPr>
        <w:t> </w:t>
      </w:r>
      <w:r>
        <w:rPr>
          <w:color w:val="3B3A3B"/>
          <w:w w:val="115"/>
        </w:rPr>
        <w:t>face</w:t>
      </w:r>
      <w:r>
        <w:rPr>
          <w:color w:val="3B3A3B"/>
          <w:spacing w:val="-13"/>
          <w:w w:val="115"/>
        </w:rPr>
        <w:t> </w:t>
      </w:r>
      <w:r>
        <w:rPr>
          <w:color w:val="3B3A3B"/>
          <w:w w:val="115"/>
        </w:rPr>
        <w:t>a</w:t>
      </w:r>
      <w:r>
        <w:rPr>
          <w:color w:val="3B3A3B"/>
          <w:spacing w:val="-4"/>
          <w:w w:val="115"/>
        </w:rPr>
        <w:t> </w:t>
      </w:r>
      <w:r>
        <w:rPr>
          <w:color w:val="3B3A3B"/>
          <w:w w:val="115"/>
        </w:rPr>
        <w:t>few</w:t>
      </w:r>
      <w:r>
        <w:rPr>
          <w:color w:val="3B3A3B"/>
          <w:spacing w:val="-16"/>
          <w:w w:val="115"/>
        </w:rPr>
        <w:t> </w:t>
      </w:r>
      <w:r>
        <w:rPr>
          <w:color w:val="3B3A3B"/>
          <w:w w:val="115"/>
        </w:rPr>
        <w:t>challenges</w:t>
      </w:r>
      <w:r>
        <w:rPr>
          <w:color w:val="3B3A3B"/>
          <w:spacing w:val="-9"/>
          <w:w w:val="115"/>
        </w:rPr>
        <w:t> </w:t>
      </w:r>
      <w:r>
        <w:rPr>
          <w:color w:val="3B3A3B"/>
          <w:w w:val="115"/>
        </w:rPr>
        <w:t>when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5"/>
        </w:rPr>
        <w:t>applying</w:t>
      </w:r>
      <w:r>
        <w:rPr>
          <w:color w:val="3B3A3B"/>
          <w:spacing w:val="-10"/>
          <w:w w:val="115"/>
        </w:rPr>
        <w:t> </w:t>
      </w:r>
      <w:r>
        <w:rPr>
          <w:color w:val="3B3A3B"/>
          <w:w w:val="115"/>
        </w:rPr>
        <w:t>law</w:t>
      </w:r>
      <w:r>
        <w:rPr>
          <w:color w:val="3B3A3B"/>
          <w:spacing w:val="-10"/>
          <w:w w:val="115"/>
        </w:rPr>
        <w:t> </w:t>
      </w:r>
      <w:r>
        <w:rPr>
          <w:color w:val="3B3A3B"/>
          <w:w w:val="115"/>
        </w:rPr>
        <w:t>to</w:t>
      </w:r>
      <w:r>
        <w:rPr>
          <w:color w:val="3B3A3B"/>
          <w:spacing w:val="2"/>
          <w:w w:val="115"/>
        </w:rPr>
        <w:t> </w:t>
      </w:r>
      <w:r>
        <w:rPr>
          <w:color w:val="3B3A3B"/>
          <w:w w:val="115"/>
        </w:rPr>
        <w:t>facts.</w:t>
      </w:r>
      <w:r>
        <w:rPr>
          <w:color w:val="3B3A3B"/>
          <w:spacing w:val="-2"/>
          <w:w w:val="115"/>
        </w:rPr>
        <w:t> </w:t>
      </w:r>
      <w:r>
        <w:rPr>
          <w:color w:val="3B3A3B"/>
          <w:w w:val="115"/>
        </w:rPr>
        <w:t>First,</w:t>
      </w:r>
      <w:r>
        <w:rPr>
          <w:color w:val="3B3A3B"/>
          <w:spacing w:val="-64"/>
          <w:w w:val="115"/>
        </w:rPr>
        <w:t> </w:t>
      </w:r>
      <w:r>
        <w:rPr>
          <w:color w:val="3B3A3B"/>
          <w:w w:val="110"/>
        </w:rPr>
        <w:t>some brief writers mistakenly substitute analogies for application of law to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10"/>
        </w:rPr>
        <w:t>facts. Second, some do not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exploit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foundation  that they have laid  in</w:t>
      </w:r>
      <w:r>
        <w:rPr>
          <w:color w:val="3B3A3B"/>
          <w:spacing w:val="1"/>
          <w:w w:val="110"/>
        </w:rPr>
        <w:t> </w:t>
      </w:r>
      <w:r>
        <w:rPr>
          <w:color w:val="3B3A3B"/>
          <w:spacing w:val="-1"/>
          <w:w w:val="115"/>
        </w:rPr>
        <w:t>the</w:t>
      </w:r>
      <w:r>
        <w:rPr>
          <w:color w:val="3B3A3B"/>
          <w:spacing w:val="3"/>
          <w:w w:val="115"/>
        </w:rPr>
        <w:t> </w:t>
      </w:r>
      <w:r>
        <w:rPr>
          <w:color w:val="3B3A3B"/>
          <w:w w:val="115"/>
        </w:rPr>
        <w:t>rule</w:t>
      </w:r>
      <w:r>
        <w:rPr>
          <w:color w:val="3B3A3B"/>
          <w:spacing w:val="-10"/>
          <w:w w:val="115"/>
        </w:rPr>
        <w:t> </w:t>
      </w:r>
      <w:r>
        <w:rPr>
          <w:color w:val="3B3A3B"/>
          <w:w w:val="115"/>
        </w:rPr>
        <w:t>summary</w:t>
      </w:r>
      <w:r>
        <w:rPr>
          <w:color w:val="5D5D60"/>
          <w:w w:val="115"/>
        </w:rPr>
        <w:t>.</w:t>
      </w:r>
      <w:r>
        <w:rPr>
          <w:color w:val="5D5D60"/>
          <w:spacing w:val="-15"/>
          <w:w w:val="115"/>
        </w:rPr>
        <w:t> </w:t>
      </w:r>
      <w:r>
        <w:rPr>
          <w:color w:val="3B3A3B"/>
          <w:w w:val="115"/>
        </w:rPr>
        <w:t>Third,</w:t>
      </w:r>
      <w:r>
        <w:rPr>
          <w:color w:val="3B3A3B"/>
          <w:spacing w:val="-8"/>
          <w:w w:val="115"/>
        </w:rPr>
        <w:t> </w:t>
      </w:r>
      <w:r>
        <w:rPr>
          <w:color w:val="3B3A3B"/>
          <w:w w:val="115"/>
        </w:rPr>
        <w:t>for</w:t>
      </w:r>
      <w:r>
        <w:rPr>
          <w:color w:val="3B3A3B"/>
          <w:spacing w:val="-13"/>
          <w:w w:val="115"/>
        </w:rPr>
        <w:t> </w:t>
      </w:r>
      <w:r>
        <w:rPr>
          <w:color w:val="3B3A3B"/>
          <w:w w:val="115"/>
        </w:rPr>
        <w:t>issues</w:t>
      </w:r>
      <w:r>
        <w:rPr>
          <w:color w:val="3B3A3B"/>
          <w:spacing w:val="-10"/>
          <w:w w:val="115"/>
        </w:rPr>
        <w:t> </w:t>
      </w:r>
      <w:r>
        <w:rPr>
          <w:color w:val="3B3A3B"/>
          <w:w w:val="115"/>
        </w:rPr>
        <w:t>that</w:t>
      </w:r>
      <w:r>
        <w:rPr>
          <w:color w:val="3B3A3B"/>
          <w:spacing w:val="-18"/>
          <w:w w:val="115"/>
        </w:rPr>
        <w:t> </w:t>
      </w:r>
      <w:r>
        <w:rPr>
          <w:color w:val="3B3A3B"/>
          <w:w w:val="115"/>
        </w:rPr>
        <w:t>are</w:t>
      </w:r>
      <w:r>
        <w:rPr>
          <w:color w:val="3B3A3B"/>
          <w:spacing w:val="-37"/>
          <w:w w:val="115"/>
        </w:rPr>
        <w:t> </w:t>
      </w:r>
      <w:r>
        <w:rPr>
          <w:color w:val="3B3A3B"/>
          <w:w w:val="115"/>
        </w:rPr>
        <w:t>"pure"</w:t>
      </w:r>
      <w:r>
        <w:rPr>
          <w:color w:val="3B3A3B"/>
          <w:spacing w:val="-17"/>
          <w:w w:val="115"/>
        </w:rPr>
        <w:t> </w:t>
      </w:r>
      <w:r>
        <w:rPr>
          <w:color w:val="3B3A3B"/>
          <w:w w:val="115"/>
        </w:rPr>
        <w:t>questions</w:t>
      </w:r>
      <w:r>
        <w:rPr>
          <w:color w:val="3B3A3B"/>
          <w:spacing w:val="-19"/>
          <w:w w:val="115"/>
        </w:rPr>
        <w:t> </w:t>
      </w:r>
      <w:r>
        <w:rPr>
          <w:color w:val="3B3A3B"/>
          <w:w w:val="115"/>
        </w:rPr>
        <w:t>of</w:t>
      </w:r>
      <w:r>
        <w:rPr>
          <w:color w:val="3B3A3B"/>
          <w:spacing w:val="13"/>
          <w:w w:val="115"/>
        </w:rPr>
        <w:t> </w:t>
      </w:r>
      <w:r>
        <w:rPr>
          <w:color w:val="3B3A3B"/>
          <w:w w:val="125"/>
        </w:rPr>
        <w:t>law-and</w:t>
      </w:r>
      <w:r>
        <w:rPr>
          <w:color w:val="3B3A3B"/>
          <w:spacing w:val="-70"/>
          <w:w w:val="125"/>
        </w:rPr>
        <w:t> </w:t>
      </w:r>
      <w:r>
        <w:rPr>
          <w:color w:val="3B3A3B"/>
          <w:spacing w:val="-1"/>
          <w:w w:val="115"/>
        </w:rPr>
        <w:t>courts</w:t>
      </w:r>
      <w:r>
        <w:rPr>
          <w:color w:val="3B3A3B"/>
          <w:spacing w:val="-26"/>
          <w:w w:val="115"/>
        </w:rPr>
        <w:t> </w:t>
      </w:r>
      <w:r>
        <w:rPr>
          <w:color w:val="3B3A3B"/>
          <w:spacing w:val="-1"/>
          <w:w w:val="115"/>
        </w:rPr>
        <w:t>of</w:t>
      </w:r>
      <w:r>
        <w:rPr>
          <w:color w:val="3B3A3B"/>
          <w:spacing w:val="-16"/>
          <w:w w:val="115"/>
        </w:rPr>
        <w:t> </w:t>
      </w:r>
      <w:r>
        <w:rPr>
          <w:color w:val="3B3A3B"/>
          <w:spacing w:val="-1"/>
          <w:w w:val="115"/>
        </w:rPr>
        <w:t>last</w:t>
      </w:r>
      <w:r>
        <w:rPr>
          <w:color w:val="3B3A3B"/>
          <w:spacing w:val="-5"/>
          <w:w w:val="115"/>
        </w:rPr>
        <w:t> </w:t>
      </w:r>
      <w:r>
        <w:rPr>
          <w:color w:val="3B3A3B"/>
          <w:spacing w:val="-1"/>
          <w:w w:val="115"/>
        </w:rPr>
        <w:t>resort</w:t>
      </w:r>
      <w:r>
        <w:rPr>
          <w:color w:val="3B3A3B"/>
          <w:spacing w:val="-14"/>
          <w:w w:val="115"/>
        </w:rPr>
        <w:t> </w:t>
      </w:r>
      <w:r>
        <w:rPr>
          <w:color w:val="3B3A3B"/>
          <w:spacing w:val="-1"/>
          <w:w w:val="115"/>
        </w:rPr>
        <w:t>often</w:t>
      </w:r>
      <w:r>
        <w:rPr>
          <w:color w:val="3B3A3B"/>
          <w:spacing w:val="-19"/>
          <w:w w:val="115"/>
        </w:rPr>
        <w:t> </w:t>
      </w:r>
      <w:r>
        <w:rPr>
          <w:color w:val="3B3A3B"/>
          <w:spacing w:val="-1"/>
          <w:w w:val="115"/>
        </w:rPr>
        <w:t>analyze</w:t>
      </w:r>
      <w:r>
        <w:rPr>
          <w:color w:val="3B3A3B"/>
          <w:spacing w:val="-23"/>
          <w:w w:val="115"/>
        </w:rPr>
        <w:t> </w:t>
      </w:r>
      <w:r>
        <w:rPr>
          <w:color w:val="3B3A3B"/>
          <w:w w:val="115"/>
        </w:rPr>
        <w:t>questions</w:t>
      </w:r>
      <w:r>
        <w:rPr>
          <w:color w:val="3B3A3B"/>
          <w:spacing w:val="-10"/>
          <w:w w:val="115"/>
        </w:rPr>
        <w:t> </w:t>
      </w:r>
      <w:r>
        <w:rPr>
          <w:color w:val="3B3A3B"/>
          <w:w w:val="115"/>
        </w:rPr>
        <w:t>of</w:t>
      </w:r>
      <w:r>
        <w:rPr>
          <w:color w:val="3B3A3B"/>
          <w:spacing w:val="3"/>
          <w:w w:val="115"/>
        </w:rPr>
        <w:t> </w:t>
      </w:r>
      <w:r>
        <w:rPr>
          <w:color w:val="3B3A3B"/>
          <w:w w:val="120"/>
        </w:rPr>
        <w:t>law-the</w:t>
      </w:r>
      <w:r>
        <w:rPr>
          <w:color w:val="3B3A3B"/>
          <w:spacing w:val="-29"/>
          <w:w w:val="120"/>
        </w:rPr>
        <w:t> </w:t>
      </w:r>
      <w:r>
        <w:rPr>
          <w:color w:val="3B3A3B"/>
          <w:w w:val="115"/>
        </w:rPr>
        <w:t>facts</w:t>
      </w:r>
      <w:r>
        <w:rPr>
          <w:color w:val="3B3A3B"/>
          <w:spacing w:val="-22"/>
          <w:w w:val="115"/>
        </w:rPr>
        <w:t> </w:t>
      </w:r>
      <w:r>
        <w:rPr>
          <w:color w:val="3B3A3B"/>
          <w:w w:val="115"/>
        </w:rPr>
        <w:t>may</w:t>
      </w:r>
      <w:r>
        <w:rPr>
          <w:color w:val="3B3A3B"/>
          <w:spacing w:val="-14"/>
          <w:w w:val="115"/>
        </w:rPr>
        <w:t> </w:t>
      </w:r>
      <w:r>
        <w:rPr>
          <w:color w:val="3B3A3B"/>
          <w:w w:val="115"/>
        </w:rPr>
        <w:t>seem</w:t>
      </w:r>
      <w:r>
        <w:rPr>
          <w:color w:val="3B3A3B"/>
          <w:spacing w:val="-5"/>
          <w:w w:val="115"/>
        </w:rPr>
        <w:t> </w:t>
      </w:r>
      <w:r>
        <w:rPr>
          <w:color w:val="3B3A3B"/>
          <w:w w:val="115"/>
        </w:rPr>
        <w:t>to</w:t>
      </w:r>
      <w:r>
        <w:rPr>
          <w:color w:val="3B3A3B"/>
          <w:spacing w:val="-64"/>
          <w:w w:val="115"/>
        </w:rPr>
        <w:t> </w:t>
      </w:r>
      <w:r>
        <w:rPr>
          <w:color w:val="3B3A3B"/>
          <w:w w:val="110"/>
        </w:rPr>
        <w:t>be irrelevant. Finally, when analyzing statutory interpretation issues,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writers may believe that they don't have any real "facts." This section will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address</w:t>
      </w:r>
      <w:r>
        <w:rPr>
          <w:color w:val="3B3A3B"/>
          <w:spacing w:val="-17"/>
          <w:w w:val="110"/>
        </w:rPr>
        <w:t> </w:t>
      </w:r>
      <w:r>
        <w:rPr>
          <w:color w:val="3B3A3B"/>
          <w:w w:val="110"/>
        </w:rPr>
        <w:t>each</w:t>
      </w:r>
      <w:r>
        <w:rPr>
          <w:color w:val="3B3A3B"/>
          <w:spacing w:val="-10"/>
          <w:w w:val="110"/>
        </w:rPr>
        <w:t> </w:t>
      </w:r>
      <w:r>
        <w:rPr>
          <w:color w:val="3B3A3B"/>
          <w:w w:val="110"/>
        </w:rPr>
        <w:t>of</w:t>
      </w:r>
      <w:r>
        <w:rPr>
          <w:color w:val="3B3A3B"/>
          <w:spacing w:val="12"/>
          <w:w w:val="110"/>
        </w:rPr>
        <w:t> </w:t>
      </w:r>
      <w:r>
        <w:rPr>
          <w:color w:val="3B3A3B"/>
          <w:w w:val="110"/>
        </w:rPr>
        <w:t>these</w:t>
      </w:r>
      <w:r>
        <w:rPr>
          <w:color w:val="3B3A3B"/>
          <w:spacing w:val="-12"/>
          <w:w w:val="110"/>
        </w:rPr>
        <w:t> </w:t>
      </w:r>
      <w:r>
        <w:rPr>
          <w:color w:val="3B3A3B"/>
          <w:w w:val="110"/>
        </w:rPr>
        <w:t>challenges</w:t>
      </w:r>
      <w:r>
        <w:rPr>
          <w:color w:val="3B3A3B"/>
          <w:spacing w:val="-4"/>
          <w:w w:val="110"/>
        </w:rPr>
        <w:t> </w:t>
      </w:r>
      <w:r>
        <w:rPr>
          <w:color w:val="3B3A3B"/>
          <w:w w:val="110"/>
        </w:rPr>
        <w:t>in</w:t>
      </w:r>
      <w:r>
        <w:rPr>
          <w:color w:val="3B3A3B"/>
          <w:spacing w:val="21"/>
          <w:w w:val="110"/>
        </w:rPr>
        <w:t> </w:t>
      </w:r>
      <w:r>
        <w:rPr>
          <w:color w:val="3B3A3B"/>
          <w:w w:val="110"/>
        </w:rPr>
        <w:t>turn.</w:t>
      </w:r>
    </w:p>
    <w:p>
      <w:pPr>
        <w:pStyle w:val="BodyText"/>
        <w:spacing w:before="10"/>
        <w:rPr>
          <w:sz w:val="32"/>
        </w:rPr>
      </w:pPr>
    </w:p>
    <w:p>
      <w:pPr>
        <w:pStyle w:val="ListParagraph"/>
        <w:numPr>
          <w:ilvl w:val="1"/>
          <w:numId w:val="44"/>
        </w:numPr>
        <w:tabs>
          <w:tab w:pos="1018" w:val="left" w:leader="none"/>
        </w:tabs>
        <w:spacing w:line="252" w:lineRule="exact" w:before="0" w:after="0"/>
        <w:ind w:left="1017" w:right="0" w:hanging="394"/>
        <w:jc w:val="both"/>
        <w:rPr>
          <w:b/>
          <w:color w:val="3B3A3B"/>
          <w:sz w:val="21"/>
        </w:rPr>
      </w:pPr>
      <w:r>
        <w:rPr>
          <w:b/>
          <w:color w:val="3B3A3B"/>
          <w:w w:val="115"/>
          <w:sz w:val="22"/>
        </w:rPr>
        <w:t>A</w:t>
      </w:r>
      <w:r>
        <w:rPr>
          <w:b/>
          <w:color w:val="5D5D60"/>
          <w:w w:val="115"/>
          <w:sz w:val="22"/>
        </w:rPr>
        <w:t>pp</w:t>
      </w:r>
      <w:r>
        <w:rPr>
          <w:b/>
          <w:color w:val="3B3A3B"/>
          <w:w w:val="115"/>
          <w:sz w:val="22"/>
        </w:rPr>
        <w:t>ly</w:t>
      </w:r>
      <w:r>
        <w:rPr>
          <w:b/>
          <w:color w:val="3B3A3B"/>
          <w:spacing w:val="17"/>
          <w:w w:val="115"/>
          <w:sz w:val="22"/>
        </w:rPr>
        <w:t> </w:t>
      </w:r>
      <w:r>
        <w:rPr>
          <w:b/>
          <w:color w:val="3B3A3B"/>
          <w:w w:val="115"/>
          <w:sz w:val="21"/>
        </w:rPr>
        <w:t>Rules,</w:t>
      </w:r>
      <w:r>
        <w:rPr>
          <w:b/>
          <w:color w:val="3B3A3B"/>
          <w:spacing w:val="-12"/>
          <w:w w:val="115"/>
          <w:sz w:val="21"/>
        </w:rPr>
        <w:t> </w:t>
      </w:r>
      <w:r>
        <w:rPr>
          <w:b/>
          <w:color w:val="3B3A3B"/>
          <w:w w:val="115"/>
          <w:sz w:val="21"/>
        </w:rPr>
        <w:t>Not</w:t>
      </w:r>
      <w:r>
        <w:rPr>
          <w:b/>
          <w:color w:val="3B3A3B"/>
          <w:spacing w:val="3"/>
          <w:w w:val="115"/>
          <w:sz w:val="21"/>
        </w:rPr>
        <w:t> </w:t>
      </w:r>
      <w:r>
        <w:rPr>
          <w:b/>
          <w:i/>
          <w:color w:val="3B3A3B"/>
          <w:w w:val="115"/>
          <w:sz w:val="22"/>
        </w:rPr>
        <w:t>Cases</w:t>
      </w:r>
    </w:p>
    <w:p>
      <w:pPr>
        <w:pStyle w:val="BodyText"/>
        <w:spacing w:line="235" w:lineRule="auto" w:before="4"/>
        <w:ind w:left="256" w:right="308" w:firstLine="354"/>
        <w:jc w:val="both"/>
      </w:pPr>
      <w:r>
        <w:rPr>
          <w:color w:val="3B3A3B"/>
          <w:w w:val="110"/>
        </w:rPr>
        <w:t>Begin the application section of your analysis by stating affirmatively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5"/>
        </w:rPr>
        <w:t>how the rule does or does not apply to the facts. Essentially, you begin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5"/>
        </w:rPr>
        <w:t>your application by saying "Phrase-that</w:t>
      </w:r>
      <w:r>
        <w:rPr>
          <w:color w:val="5D5D60"/>
          <w:w w:val="115"/>
        </w:rPr>
        <w:t>-</w:t>
      </w:r>
      <w:r>
        <w:rPr>
          <w:color w:val="3B3A3B"/>
          <w:w w:val="115"/>
        </w:rPr>
        <w:t>pays equals (or does not equal)</w:t>
      </w:r>
      <w:r>
        <w:rPr>
          <w:color w:val="3B3A3B"/>
          <w:spacing w:val="-64"/>
          <w:w w:val="115"/>
        </w:rPr>
        <w:t> </w:t>
      </w:r>
      <w:r>
        <w:rPr>
          <w:color w:val="3B3A3B"/>
          <w:w w:val="110"/>
        </w:rPr>
        <w:t>our case facts</w:t>
      </w:r>
      <w:r>
        <w:rPr>
          <w:color w:val="5D5D60"/>
          <w:w w:val="110"/>
        </w:rPr>
        <w:t>.</w:t>
      </w:r>
      <w:r>
        <w:rPr>
          <w:color w:val="3B3A3B"/>
          <w:w w:val="110"/>
        </w:rPr>
        <w:t>" </w:t>
      </w:r>
      <w:r>
        <w:rPr>
          <w:rFonts w:ascii="Arial"/>
          <w:color w:val="3B3A3B"/>
          <w:w w:val="110"/>
          <w:sz w:val="22"/>
        </w:rPr>
        <w:t>If </w:t>
      </w:r>
      <w:r>
        <w:rPr>
          <w:color w:val="3B3A3B"/>
          <w:w w:val="110"/>
        </w:rPr>
        <w:t>your case is not controversial, a short passage might be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5"/>
        </w:rPr>
        <w:t>enough:</w:t>
      </w:r>
    </w:p>
    <w:p>
      <w:pPr>
        <w:spacing w:before="124"/>
        <w:ind w:left="606" w:right="674" w:firstLine="13"/>
        <w:jc w:val="both"/>
        <w:rPr>
          <w:b/>
          <w:sz w:val="21"/>
        </w:rPr>
      </w:pPr>
      <w:r>
        <w:rPr>
          <w:b/>
          <w:color w:val="3B3A3B"/>
          <w:w w:val="105"/>
          <w:sz w:val="21"/>
        </w:rPr>
        <w:t>In this case, Mr. Burglar was "committing a trespass or other criminal</w:t>
      </w:r>
      <w:r>
        <w:rPr>
          <w:b/>
          <w:color w:val="3B3A3B"/>
          <w:spacing w:val="1"/>
          <w:w w:val="105"/>
          <w:sz w:val="21"/>
        </w:rPr>
        <w:t> </w:t>
      </w:r>
      <w:r>
        <w:rPr>
          <w:b/>
          <w:color w:val="3B3A3B"/>
          <w:w w:val="110"/>
          <w:sz w:val="21"/>
        </w:rPr>
        <w:t>offense" when he was bitten. Mr. Burglar was convicted of the crime</w:t>
      </w:r>
      <w:r>
        <w:rPr>
          <w:b/>
          <w:color w:val="3B3A3B"/>
          <w:spacing w:val="1"/>
          <w:w w:val="110"/>
          <w:sz w:val="21"/>
        </w:rPr>
        <w:t> </w:t>
      </w:r>
      <w:r>
        <w:rPr>
          <w:b/>
          <w:color w:val="3B3A3B"/>
          <w:w w:val="110"/>
          <w:sz w:val="21"/>
        </w:rPr>
        <w:t>of burglary in connection with the events of January 8. Burglary is</w:t>
      </w:r>
      <w:r>
        <w:rPr>
          <w:b/>
          <w:color w:val="3B3A3B"/>
          <w:spacing w:val="1"/>
          <w:w w:val="110"/>
          <w:sz w:val="21"/>
        </w:rPr>
        <w:t> </w:t>
      </w:r>
      <w:r>
        <w:rPr>
          <w:b/>
          <w:color w:val="3B3A3B"/>
          <w:w w:val="110"/>
          <w:sz w:val="21"/>
        </w:rPr>
        <w:t>considered</w:t>
      </w:r>
      <w:r>
        <w:rPr>
          <w:b/>
          <w:color w:val="3B3A3B"/>
          <w:spacing w:val="4"/>
          <w:w w:val="110"/>
          <w:sz w:val="21"/>
        </w:rPr>
        <w:t> </w:t>
      </w:r>
      <w:r>
        <w:rPr>
          <w:b/>
          <w:color w:val="3B3A3B"/>
          <w:w w:val="110"/>
          <w:sz w:val="21"/>
        </w:rPr>
        <w:t>a</w:t>
      </w:r>
      <w:r>
        <w:rPr>
          <w:b/>
          <w:color w:val="3B3A3B"/>
          <w:spacing w:val="-5"/>
          <w:w w:val="110"/>
          <w:sz w:val="21"/>
        </w:rPr>
        <w:t> </w:t>
      </w:r>
      <w:r>
        <w:rPr>
          <w:b/>
          <w:color w:val="3B3A3B"/>
          <w:w w:val="110"/>
          <w:sz w:val="21"/>
        </w:rPr>
        <w:t>"criminal</w:t>
      </w:r>
      <w:r>
        <w:rPr>
          <w:b/>
          <w:color w:val="3B3A3B"/>
          <w:spacing w:val="1"/>
          <w:w w:val="110"/>
          <w:sz w:val="21"/>
        </w:rPr>
        <w:t> </w:t>
      </w:r>
      <w:r>
        <w:rPr>
          <w:b/>
          <w:color w:val="3B3A3B"/>
          <w:w w:val="110"/>
          <w:sz w:val="21"/>
        </w:rPr>
        <w:t>offense"</w:t>
      </w:r>
      <w:r>
        <w:rPr>
          <w:b/>
          <w:color w:val="3B3A3B"/>
          <w:spacing w:val="-15"/>
          <w:w w:val="110"/>
          <w:sz w:val="21"/>
        </w:rPr>
        <w:t> </w:t>
      </w:r>
      <w:r>
        <w:rPr>
          <w:b/>
          <w:color w:val="3B3A3B"/>
          <w:w w:val="110"/>
          <w:sz w:val="21"/>
        </w:rPr>
        <w:t>under</w:t>
      </w:r>
      <w:r>
        <w:rPr>
          <w:b/>
          <w:color w:val="3B3A3B"/>
          <w:spacing w:val="-10"/>
          <w:w w:val="110"/>
          <w:sz w:val="21"/>
        </w:rPr>
        <w:t> </w:t>
      </w:r>
      <w:r>
        <w:rPr>
          <w:b/>
          <w:color w:val="3B3A3B"/>
          <w:w w:val="110"/>
          <w:sz w:val="21"/>
        </w:rPr>
        <w:t>Ohio</w:t>
      </w:r>
      <w:r>
        <w:rPr>
          <w:b/>
          <w:color w:val="3B3A3B"/>
          <w:spacing w:val="-3"/>
          <w:w w:val="110"/>
          <w:sz w:val="21"/>
        </w:rPr>
        <w:t> </w:t>
      </w:r>
      <w:r>
        <w:rPr>
          <w:b/>
          <w:color w:val="3B3A3B"/>
          <w:w w:val="110"/>
          <w:sz w:val="21"/>
        </w:rPr>
        <w:t>Revised</w:t>
      </w:r>
      <w:r>
        <w:rPr>
          <w:b/>
          <w:color w:val="3B3A3B"/>
          <w:spacing w:val="6"/>
          <w:w w:val="110"/>
          <w:sz w:val="21"/>
        </w:rPr>
        <w:t> </w:t>
      </w:r>
      <w:r>
        <w:rPr>
          <w:b/>
          <w:color w:val="3B3A3B"/>
          <w:w w:val="110"/>
          <w:sz w:val="21"/>
        </w:rPr>
        <w:t>Code</w:t>
      </w:r>
      <w:r>
        <w:rPr>
          <w:b/>
          <w:color w:val="3B3A3B"/>
          <w:spacing w:val="-3"/>
          <w:w w:val="110"/>
          <w:sz w:val="21"/>
        </w:rPr>
        <w:t> </w:t>
      </w:r>
      <w:r>
        <w:rPr>
          <w:b/>
          <w:color w:val="3B3A3B"/>
          <w:w w:val="110"/>
          <w:sz w:val="21"/>
        </w:rPr>
        <w:t>§111.1111.</w:t>
      </w:r>
    </w:p>
    <w:p>
      <w:pPr>
        <w:pStyle w:val="BodyText"/>
        <w:spacing w:line="232" w:lineRule="auto" w:before="140"/>
        <w:ind w:left="258" w:right="231" w:hanging="9"/>
      </w:pPr>
      <w:r>
        <w:rPr>
          <w:color w:val="3B3A3B"/>
          <w:w w:val="110"/>
        </w:rPr>
        <w:t>This</w:t>
      </w:r>
      <w:r>
        <w:rPr>
          <w:color w:val="3B3A3B"/>
          <w:spacing w:val="-25"/>
          <w:w w:val="110"/>
        </w:rPr>
        <w:t> </w:t>
      </w:r>
      <w:r>
        <w:rPr>
          <w:color w:val="3B3A3B"/>
          <w:w w:val="110"/>
        </w:rPr>
        <w:t>writer</w:t>
      </w:r>
      <w:r>
        <w:rPr>
          <w:color w:val="3B3A3B"/>
          <w:spacing w:val="-9"/>
          <w:w w:val="110"/>
        </w:rPr>
        <w:t> </w:t>
      </w:r>
      <w:r>
        <w:rPr>
          <w:color w:val="3B3A3B"/>
          <w:w w:val="110"/>
        </w:rPr>
        <w:t>showed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36"/>
          <w:w w:val="110"/>
        </w:rPr>
        <w:t> </w:t>
      </w:r>
      <w:r>
        <w:rPr>
          <w:color w:val="3B3A3B"/>
          <w:w w:val="110"/>
        </w:rPr>
        <w:t>reader</w:t>
      </w:r>
      <w:r>
        <w:rPr>
          <w:color w:val="3B3A3B"/>
          <w:spacing w:val="3"/>
          <w:w w:val="110"/>
        </w:rPr>
        <w:t> </w:t>
      </w:r>
      <w:r>
        <w:rPr>
          <w:color w:val="3B3A3B"/>
          <w:w w:val="110"/>
        </w:rPr>
        <w:t>how</w:t>
      </w:r>
      <w:r>
        <w:rPr>
          <w:color w:val="3B3A3B"/>
          <w:spacing w:val="17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42"/>
          <w:w w:val="110"/>
        </w:rPr>
        <w:t> </w:t>
      </w:r>
      <w:r>
        <w:rPr>
          <w:color w:val="3B3A3B"/>
          <w:w w:val="110"/>
        </w:rPr>
        <w:t>rule</w:t>
      </w:r>
      <w:r>
        <w:rPr>
          <w:color w:val="3B3A3B"/>
          <w:spacing w:val="-18"/>
          <w:w w:val="110"/>
        </w:rPr>
        <w:t> </w:t>
      </w:r>
      <w:r>
        <w:rPr>
          <w:color w:val="3B3A3B"/>
          <w:w w:val="110"/>
        </w:rPr>
        <w:t>and</w:t>
      </w:r>
      <w:r>
        <w:rPr>
          <w:color w:val="3B3A3B"/>
          <w:spacing w:val="23"/>
          <w:w w:val="110"/>
        </w:rPr>
        <w:t> </w:t>
      </w:r>
      <w:r>
        <w:rPr>
          <w:color w:val="3B3A3B"/>
          <w:w w:val="110"/>
        </w:rPr>
        <w:t>its</w:t>
      </w:r>
      <w:r>
        <w:rPr>
          <w:color w:val="3B3A3B"/>
          <w:spacing w:val="-18"/>
          <w:w w:val="110"/>
        </w:rPr>
        <w:t> </w:t>
      </w:r>
      <w:r>
        <w:rPr>
          <w:color w:val="3B3A3B"/>
          <w:w w:val="110"/>
        </w:rPr>
        <w:t>explanation</w:t>
      </w:r>
      <w:r>
        <w:rPr>
          <w:color w:val="3B3A3B"/>
          <w:spacing w:val="20"/>
          <w:w w:val="110"/>
        </w:rPr>
        <w:t> </w:t>
      </w:r>
      <w:r>
        <w:rPr>
          <w:color w:val="3B3A3B"/>
          <w:w w:val="110"/>
        </w:rPr>
        <w:t>intersec'</w:t>
      </w:r>
      <w:r>
        <w:rPr>
          <w:color w:val="3B3A3B"/>
          <w:spacing w:val="-60"/>
          <w:w w:val="110"/>
        </w:rPr>
        <w:t> </w:t>
      </w:r>
      <w:r>
        <w:rPr>
          <w:color w:val="3B3A3B"/>
          <w:w w:val="115"/>
        </w:rPr>
        <w:t>with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5"/>
        </w:rPr>
        <w:t>the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5"/>
        </w:rPr>
        <w:t>client's facts by explaining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5"/>
        </w:rPr>
        <w:t>that burglary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5"/>
        </w:rPr>
        <w:t>"equals" a "crimi</w:t>
      </w:r>
      <w:r>
        <w:rPr>
          <w:color w:val="3B3A3B"/>
          <w:spacing w:val="-64"/>
          <w:w w:val="115"/>
        </w:rPr>
        <w:t> </w:t>
      </w:r>
      <w:r>
        <w:rPr>
          <w:color w:val="3B3A3B"/>
          <w:w w:val="110"/>
        </w:rPr>
        <w:t>offense"</w:t>
      </w:r>
      <w:r>
        <w:rPr>
          <w:color w:val="3B3A3B"/>
          <w:spacing w:val="2"/>
          <w:w w:val="110"/>
        </w:rPr>
        <w:t> </w:t>
      </w:r>
      <w:r>
        <w:rPr>
          <w:color w:val="3B3A3B"/>
          <w:w w:val="110"/>
        </w:rPr>
        <w:t>under</w:t>
      </w:r>
      <w:r>
        <w:rPr>
          <w:color w:val="3B3A3B"/>
          <w:spacing w:val="-1"/>
          <w:w w:val="110"/>
        </w:rPr>
        <w:t> </w:t>
      </w:r>
      <w:r>
        <w:rPr>
          <w:color w:val="3B3A3B"/>
          <w:w w:val="110"/>
        </w:rPr>
        <w:t>Ohio</w:t>
      </w:r>
      <w:r>
        <w:rPr>
          <w:color w:val="3B3A3B"/>
          <w:spacing w:val="-1"/>
          <w:w w:val="110"/>
        </w:rPr>
        <w:t> </w:t>
      </w:r>
      <w:r>
        <w:rPr>
          <w:color w:val="3B3A3B"/>
          <w:w w:val="110"/>
        </w:rPr>
        <w:t>Revised</w:t>
      </w:r>
      <w:r>
        <w:rPr>
          <w:color w:val="3B3A3B"/>
          <w:spacing w:val="8"/>
          <w:w w:val="110"/>
        </w:rPr>
        <w:t> </w:t>
      </w:r>
      <w:r>
        <w:rPr>
          <w:color w:val="3B3A3B"/>
          <w:w w:val="110"/>
        </w:rPr>
        <w:t>Code</w:t>
      </w:r>
      <w:r>
        <w:rPr>
          <w:color w:val="3B3A3B"/>
          <w:spacing w:val="-10"/>
          <w:w w:val="110"/>
        </w:rPr>
        <w:t> </w:t>
      </w:r>
      <w:r>
        <w:rPr>
          <w:rFonts w:ascii="Arial" w:hAnsi="Arial"/>
          <w:color w:val="3B3A3B"/>
          <w:w w:val="110"/>
          <w:sz w:val="19"/>
        </w:rPr>
        <w:t>§</w:t>
      </w:r>
      <w:r>
        <w:rPr>
          <w:color w:val="3B3A3B"/>
          <w:w w:val="110"/>
        </w:rPr>
        <w:t>111.1111.</w:t>
      </w:r>
    </w:p>
    <w:p>
      <w:pPr>
        <w:pStyle w:val="BodyText"/>
        <w:spacing w:line="260" w:lineRule="exact" w:before="1"/>
        <w:ind w:left="255" w:right="231" w:firstLine="364"/>
      </w:pPr>
      <w:r>
        <w:rPr>
          <w:color w:val="3B3A3B"/>
          <w:w w:val="110"/>
        </w:rPr>
        <w:t>Do </w:t>
      </w:r>
      <w:r>
        <w:rPr>
          <w:i/>
          <w:color w:val="3B3A3B"/>
          <w:w w:val="110"/>
          <w:sz w:val="25"/>
        </w:rPr>
        <w:t>not</w:t>
      </w:r>
      <w:r>
        <w:rPr>
          <w:i/>
          <w:color w:val="3B3A3B"/>
          <w:spacing w:val="1"/>
          <w:w w:val="110"/>
          <w:sz w:val="25"/>
        </w:rPr>
        <w:t> </w:t>
      </w:r>
      <w:r>
        <w:rPr>
          <w:color w:val="3B3A3B"/>
          <w:w w:val="110"/>
        </w:rPr>
        <w:t>begin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application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by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drawing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analogies;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analogies  m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support</w:t>
      </w:r>
      <w:r>
        <w:rPr>
          <w:color w:val="3B3A3B"/>
          <w:spacing w:val="39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37"/>
          <w:w w:val="110"/>
        </w:rPr>
        <w:t> </w:t>
      </w:r>
      <w:r>
        <w:rPr>
          <w:color w:val="3B3A3B"/>
          <w:w w:val="110"/>
        </w:rPr>
        <w:t>application</w:t>
      </w:r>
      <w:r>
        <w:rPr>
          <w:color w:val="3B3A3B"/>
          <w:spacing w:val="23"/>
          <w:w w:val="110"/>
        </w:rPr>
        <w:t> </w:t>
      </w:r>
      <w:r>
        <w:rPr>
          <w:color w:val="3B3A3B"/>
          <w:w w:val="110"/>
        </w:rPr>
        <w:t>of</w:t>
      </w:r>
      <w:r>
        <w:rPr>
          <w:color w:val="3B3A3B"/>
          <w:spacing w:val="52"/>
          <w:w w:val="110"/>
        </w:rPr>
        <w:t> </w:t>
      </w:r>
      <w:r>
        <w:rPr>
          <w:color w:val="3B3A3B"/>
          <w:w w:val="110"/>
        </w:rPr>
        <w:t>law</w:t>
      </w:r>
      <w:r>
        <w:rPr>
          <w:color w:val="3B3A3B"/>
          <w:spacing w:val="28"/>
          <w:w w:val="110"/>
        </w:rPr>
        <w:t> </w:t>
      </w:r>
      <w:r>
        <w:rPr>
          <w:color w:val="3B3A3B"/>
          <w:w w:val="110"/>
        </w:rPr>
        <w:t>to</w:t>
      </w:r>
      <w:r>
        <w:rPr>
          <w:color w:val="3B3A3B"/>
          <w:spacing w:val="51"/>
          <w:w w:val="110"/>
        </w:rPr>
        <w:t> </w:t>
      </w:r>
      <w:r>
        <w:rPr>
          <w:color w:val="3B3A3B"/>
          <w:w w:val="110"/>
        </w:rPr>
        <w:t>facts,</w:t>
      </w:r>
      <w:r>
        <w:rPr>
          <w:color w:val="3B3A3B"/>
          <w:spacing w:val="23"/>
          <w:w w:val="110"/>
        </w:rPr>
        <w:t> </w:t>
      </w:r>
      <w:r>
        <w:rPr>
          <w:color w:val="3B3A3B"/>
          <w:w w:val="110"/>
        </w:rPr>
        <w:t>but</w:t>
      </w:r>
      <w:r>
        <w:rPr>
          <w:color w:val="3B3A3B"/>
          <w:spacing w:val="2"/>
          <w:w w:val="110"/>
        </w:rPr>
        <w:t> </w:t>
      </w:r>
      <w:r>
        <w:rPr>
          <w:color w:val="3B3A3B"/>
          <w:w w:val="110"/>
        </w:rPr>
        <w:t>they</w:t>
      </w:r>
      <w:r>
        <w:rPr>
          <w:color w:val="3B3A3B"/>
          <w:spacing w:val="13"/>
          <w:w w:val="110"/>
        </w:rPr>
        <w:t> </w:t>
      </w:r>
      <w:r>
        <w:rPr>
          <w:color w:val="3B3A3B"/>
          <w:w w:val="110"/>
        </w:rPr>
        <w:t>do</w:t>
      </w:r>
      <w:r>
        <w:rPr>
          <w:color w:val="3B3A3B"/>
          <w:spacing w:val="30"/>
          <w:w w:val="110"/>
        </w:rPr>
        <w:t> </w:t>
      </w:r>
      <w:r>
        <w:rPr>
          <w:color w:val="3B3A3B"/>
          <w:w w:val="110"/>
        </w:rPr>
        <w:t>not</w:t>
      </w:r>
      <w:r>
        <w:rPr>
          <w:color w:val="3B3A3B"/>
          <w:spacing w:val="36"/>
          <w:w w:val="110"/>
        </w:rPr>
        <w:t> </w:t>
      </w:r>
      <w:r>
        <w:rPr>
          <w:color w:val="3B3A3B"/>
          <w:w w:val="110"/>
        </w:rPr>
        <w:t>substitute</w:t>
      </w:r>
      <w:r>
        <w:rPr>
          <w:color w:val="3B3A3B"/>
          <w:spacing w:val="10"/>
          <w:w w:val="110"/>
        </w:rPr>
        <w:t> </w:t>
      </w:r>
      <w:r>
        <w:rPr>
          <w:color w:val="3B3A3B"/>
          <w:w w:val="110"/>
        </w:rPr>
        <w:t>for</w:t>
      </w:r>
      <w:r>
        <w:rPr>
          <w:color w:val="3B3A3B"/>
          <w:spacing w:val="19"/>
          <w:w w:val="110"/>
        </w:rPr>
        <w:t> </w:t>
      </w:r>
      <w:r>
        <w:rPr>
          <w:color w:val="3B3A3B"/>
          <w:w w:val="110"/>
        </w:rPr>
        <w:t>it.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Thus,</w:t>
      </w:r>
      <w:r>
        <w:rPr>
          <w:color w:val="3B3A3B"/>
          <w:spacing w:val="21"/>
          <w:w w:val="110"/>
        </w:rPr>
        <w:t> </w:t>
      </w:r>
      <w:r>
        <w:rPr>
          <w:color w:val="3B3A3B"/>
          <w:w w:val="110"/>
        </w:rPr>
        <w:t>this</w:t>
      </w:r>
      <w:r>
        <w:rPr>
          <w:color w:val="3B3A3B"/>
          <w:spacing w:val="4"/>
          <w:w w:val="110"/>
        </w:rPr>
        <w:t> </w:t>
      </w:r>
      <w:r>
        <w:rPr>
          <w:color w:val="3B3A3B"/>
          <w:w w:val="110"/>
        </w:rPr>
        <w:t>sentence</w:t>
      </w:r>
      <w:r>
        <w:rPr>
          <w:color w:val="3B3A3B"/>
          <w:spacing w:val="20"/>
          <w:w w:val="110"/>
        </w:rPr>
        <w:t> </w:t>
      </w:r>
      <w:r>
        <w:rPr>
          <w:color w:val="3B3A3B"/>
          <w:w w:val="110"/>
        </w:rPr>
        <w:t>would</w:t>
      </w:r>
      <w:r>
        <w:rPr>
          <w:color w:val="3B3A3B"/>
          <w:spacing w:val="43"/>
          <w:w w:val="110"/>
        </w:rPr>
        <w:t> </w:t>
      </w:r>
      <w:r>
        <w:rPr>
          <w:color w:val="3B3A3B"/>
          <w:w w:val="110"/>
        </w:rPr>
        <w:t>usually</w:t>
      </w:r>
      <w:r>
        <w:rPr>
          <w:color w:val="3B3A3B"/>
          <w:spacing w:val="39"/>
          <w:w w:val="110"/>
        </w:rPr>
        <w:t> </w:t>
      </w:r>
      <w:r>
        <w:rPr>
          <w:color w:val="3B3A3B"/>
          <w:w w:val="110"/>
        </w:rPr>
        <w:t>not</w:t>
      </w:r>
      <w:r>
        <w:rPr>
          <w:color w:val="3B3A3B"/>
          <w:spacing w:val="62"/>
          <w:w w:val="110"/>
        </w:rPr>
        <w:t> </w:t>
      </w:r>
      <w:r>
        <w:rPr>
          <w:color w:val="3B3A3B"/>
          <w:w w:val="110"/>
        </w:rPr>
        <w:t>be</w:t>
      </w:r>
      <w:r>
        <w:rPr>
          <w:color w:val="3B3A3B"/>
          <w:spacing w:val="17"/>
          <w:w w:val="110"/>
        </w:rPr>
        <w:t> </w:t>
      </w:r>
      <w:r>
        <w:rPr>
          <w:color w:val="3B3A3B"/>
          <w:w w:val="110"/>
        </w:rPr>
        <w:t>an</w:t>
      </w:r>
      <w:r>
        <w:rPr>
          <w:color w:val="3B3A3B"/>
          <w:spacing w:val="47"/>
          <w:w w:val="110"/>
        </w:rPr>
        <w:t> </w:t>
      </w:r>
      <w:r>
        <w:rPr>
          <w:color w:val="3B3A3B"/>
          <w:w w:val="110"/>
        </w:rPr>
        <w:t>effective</w:t>
      </w:r>
      <w:r>
        <w:rPr>
          <w:color w:val="3B3A3B"/>
          <w:spacing w:val="34"/>
          <w:w w:val="110"/>
        </w:rPr>
        <w:t> </w:t>
      </w:r>
      <w:r>
        <w:rPr>
          <w:color w:val="3B3A3B"/>
          <w:w w:val="110"/>
        </w:rPr>
        <w:t>way</w:t>
      </w:r>
      <w:r>
        <w:rPr>
          <w:color w:val="3B3A3B"/>
          <w:spacing w:val="30"/>
          <w:w w:val="110"/>
        </w:rPr>
        <w:t> </w:t>
      </w:r>
      <w:r>
        <w:rPr>
          <w:color w:val="3B3A3B"/>
          <w:w w:val="110"/>
        </w:rPr>
        <w:t>to</w:t>
      </w:r>
      <w:r>
        <w:rPr>
          <w:color w:val="3B3A3B"/>
          <w:spacing w:val="42"/>
          <w:w w:val="110"/>
        </w:rPr>
        <w:t> </w:t>
      </w:r>
      <w:r>
        <w:rPr>
          <w:color w:val="3B3A3B"/>
          <w:w w:val="110"/>
        </w:rPr>
        <w:t>begin</w:t>
      </w:r>
      <w:r>
        <w:rPr>
          <w:color w:val="3B3A3B"/>
          <w:spacing w:val="35"/>
          <w:w w:val="110"/>
        </w:rPr>
        <w:t> </w:t>
      </w:r>
      <w:r>
        <w:rPr>
          <w:color w:val="3B3A3B"/>
          <w:w w:val="110"/>
        </w:rPr>
        <w:t>rule</w:t>
      </w:r>
    </w:p>
    <w:p>
      <w:pPr>
        <w:pStyle w:val="BodyText"/>
        <w:spacing w:before="3"/>
        <w:ind w:left="258"/>
      </w:pPr>
      <w:r>
        <w:rPr>
          <w:color w:val="3B3A3B"/>
          <w:w w:val="110"/>
        </w:rPr>
        <w:t>application:</w:t>
      </w:r>
    </w:p>
    <w:p>
      <w:pPr>
        <w:pStyle w:val="BodyText"/>
        <w:spacing w:before="8"/>
        <w:rPr>
          <w:sz w:val="9"/>
        </w:rPr>
      </w:pPr>
    </w:p>
    <w:p>
      <w:pPr>
        <w:tabs>
          <w:tab w:pos="490" w:val="left" w:leader="none"/>
        </w:tabs>
        <w:spacing w:before="94"/>
        <w:ind w:left="110" w:right="0" w:firstLine="0"/>
        <w:jc w:val="left"/>
        <w:rPr>
          <w:sz w:val="15"/>
        </w:rPr>
      </w:pPr>
      <w:r>
        <w:rPr>
          <w:color w:val="3B3A3B"/>
          <w:w w:val="100"/>
          <w:sz w:val="15"/>
          <w:u w:val="thick" w:color="3B3A3B"/>
        </w:rPr>
        <w:t> </w:t>
      </w:r>
      <w:r>
        <w:rPr>
          <w:color w:val="3B3A3B"/>
          <w:sz w:val="15"/>
          <w:u w:val="thick" w:color="3B3A3B"/>
        </w:rPr>
        <w:tab/>
      </w:r>
      <w:r>
        <w:rPr>
          <w:color w:val="3B3A3B"/>
          <w:sz w:val="15"/>
        </w:rPr>
        <w:t>   </w:t>
      </w:r>
      <w:r>
        <w:rPr>
          <w:color w:val="3B3A3B"/>
          <w:spacing w:val="18"/>
          <w:sz w:val="15"/>
        </w:rPr>
        <w:t> </w:t>
      </w:r>
      <w:r>
        <w:rPr>
          <w:color w:val="3B3A3B"/>
          <w:sz w:val="15"/>
          <w:u w:val="thick" w:color="3B3A3B"/>
        </w:rPr>
        <w:t>INEFFE</w:t>
      </w:r>
      <w:r>
        <w:rPr>
          <w:color w:val="5D5D60"/>
          <w:sz w:val="15"/>
          <w:u w:val="thick" w:color="3B3A3B"/>
        </w:rPr>
        <w:t>CT</w:t>
      </w:r>
      <w:r>
        <w:rPr>
          <w:color w:val="3B3A3B"/>
          <w:sz w:val="15"/>
          <w:u w:val="thick" w:color="3B3A3B"/>
        </w:rPr>
        <w:t>IVE</w:t>
      </w:r>
      <w:r>
        <w:rPr>
          <w:color w:val="3B3A3B"/>
          <w:spacing w:val="4"/>
          <w:sz w:val="15"/>
          <w:u w:val="thick" w:color="3B3A3B"/>
        </w:rPr>
        <w:t> </w:t>
      </w:r>
      <w:r>
        <w:rPr>
          <w:color w:val="3B3A3B"/>
          <w:sz w:val="15"/>
          <w:u w:val="thick" w:color="3B3A3B"/>
        </w:rPr>
        <w:t>BEGINNING</w:t>
      </w:r>
      <w:r>
        <w:rPr>
          <w:color w:val="3B3A3B"/>
          <w:spacing w:val="39"/>
          <w:sz w:val="15"/>
          <w:u w:val="thick" w:color="3B3A3B"/>
        </w:rPr>
        <w:t> </w:t>
      </w:r>
      <w:r>
        <w:rPr>
          <w:color w:val="3B3A3B"/>
          <w:sz w:val="15"/>
          <w:u w:val="thick" w:color="3B3A3B"/>
        </w:rPr>
        <w:t>TO</w:t>
      </w:r>
      <w:r>
        <w:rPr>
          <w:color w:val="3B3A3B"/>
          <w:spacing w:val="57"/>
          <w:sz w:val="15"/>
          <w:u w:val="thick" w:color="3B3A3B"/>
        </w:rPr>
        <w:t> </w:t>
      </w:r>
      <w:r>
        <w:rPr>
          <w:color w:val="3B3A3B"/>
          <w:sz w:val="15"/>
          <w:u w:val="thick" w:color="3B3A3B"/>
        </w:rPr>
        <w:t>RULE</w:t>
      </w:r>
      <w:r>
        <w:rPr>
          <w:color w:val="3B3A3B"/>
          <w:spacing w:val="26"/>
          <w:sz w:val="15"/>
          <w:u w:val="thick" w:color="3B3A3B"/>
        </w:rPr>
        <w:t> </w:t>
      </w:r>
      <w:r>
        <w:rPr>
          <w:color w:val="3B3A3B"/>
          <w:sz w:val="15"/>
          <w:u w:val="thick" w:color="3B3A3B"/>
        </w:rPr>
        <w:t>APPLICATION</w:t>
      </w:r>
      <w:r>
        <w:rPr>
          <w:color w:val="3B3A3B"/>
          <w:spacing w:val="34"/>
          <w:sz w:val="15"/>
          <w:u w:val="thick" w:color="3B3A3B"/>
        </w:rPr>
        <w:t> </w:t>
      </w:r>
      <w:r>
        <w:rPr>
          <w:color w:val="3B3A3B"/>
          <w:sz w:val="15"/>
          <w:u w:val="thick" w:color="3B3A3B"/>
        </w:rPr>
        <w:t>SECTION</w:t>
      </w:r>
    </w:p>
    <w:p>
      <w:pPr>
        <w:spacing w:line="262" w:lineRule="exact" w:before="61"/>
        <w:ind w:left="629" w:right="0" w:firstLine="0"/>
        <w:jc w:val="left"/>
        <w:rPr>
          <w:sz w:val="21"/>
        </w:rPr>
      </w:pPr>
      <w:r>
        <w:rPr>
          <w:color w:val="3B3A3B"/>
          <w:w w:val="115"/>
          <w:sz w:val="21"/>
        </w:rPr>
        <w:t>Like</w:t>
      </w:r>
      <w:r>
        <w:rPr>
          <w:color w:val="3B3A3B"/>
          <w:spacing w:val="18"/>
          <w:w w:val="115"/>
          <w:sz w:val="21"/>
        </w:rPr>
        <w:t> </w:t>
      </w:r>
      <w:r>
        <w:rPr>
          <w:color w:val="3B3A3B"/>
          <w:w w:val="115"/>
          <w:sz w:val="21"/>
        </w:rPr>
        <w:t>the</w:t>
      </w:r>
      <w:r>
        <w:rPr>
          <w:color w:val="3B3A3B"/>
          <w:spacing w:val="9"/>
          <w:w w:val="115"/>
          <w:sz w:val="21"/>
        </w:rPr>
        <w:t> </w:t>
      </w:r>
      <w:r>
        <w:rPr>
          <w:color w:val="3B3A3B"/>
          <w:w w:val="115"/>
          <w:sz w:val="21"/>
        </w:rPr>
        <w:t>police</w:t>
      </w:r>
      <w:r>
        <w:rPr>
          <w:color w:val="3B3A3B"/>
          <w:spacing w:val="16"/>
          <w:w w:val="115"/>
          <w:sz w:val="21"/>
        </w:rPr>
        <w:t> </w:t>
      </w:r>
      <w:r>
        <w:rPr>
          <w:color w:val="3B3A3B"/>
          <w:w w:val="115"/>
          <w:sz w:val="21"/>
        </w:rPr>
        <w:t>officers</w:t>
      </w:r>
      <w:r>
        <w:rPr>
          <w:color w:val="3B3A3B"/>
          <w:spacing w:val="13"/>
          <w:w w:val="115"/>
          <w:sz w:val="21"/>
        </w:rPr>
        <w:t> </w:t>
      </w:r>
      <w:r>
        <w:rPr>
          <w:color w:val="3B3A3B"/>
          <w:w w:val="115"/>
          <w:sz w:val="21"/>
        </w:rPr>
        <w:t>in</w:t>
      </w:r>
      <w:r>
        <w:rPr>
          <w:color w:val="3B3A3B"/>
          <w:spacing w:val="49"/>
          <w:w w:val="115"/>
          <w:sz w:val="21"/>
        </w:rPr>
        <w:t> </w:t>
      </w:r>
      <w:r>
        <w:rPr>
          <w:color w:val="3B3A3B"/>
          <w:w w:val="115"/>
          <w:sz w:val="23"/>
        </w:rPr>
        <w:t>lhmn,</w:t>
      </w:r>
      <w:r>
        <w:rPr>
          <w:color w:val="3B3A3B"/>
          <w:spacing w:val="22"/>
          <w:w w:val="115"/>
          <w:sz w:val="23"/>
        </w:rPr>
        <w:t> </w:t>
      </w:r>
      <w:r>
        <w:rPr>
          <w:color w:val="3B3A3B"/>
          <w:w w:val="115"/>
          <w:sz w:val="21"/>
        </w:rPr>
        <w:t>Officer</w:t>
      </w:r>
      <w:r>
        <w:rPr>
          <w:color w:val="3B3A3B"/>
          <w:spacing w:val="16"/>
          <w:w w:val="115"/>
          <w:sz w:val="21"/>
        </w:rPr>
        <w:t> </w:t>
      </w:r>
      <w:r>
        <w:rPr>
          <w:color w:val="3B3A3B"/>
          <w:w w:val="115"/>
          <w:sz w:val="21"/>
        </w:rPr>
        <w:t>Thielen</w:t>
      </w:r>
      <w:r>
        <w:rPr>
          <w:color w:val="3B3A3B"/>
          <w:spacing w:val="38"/>
          <w:w w:val="115"/>
          <w:sz w:val="21"/>
        </w:rPr>
        <w:t> </w:t>
      </w:r>
      <w:r>
        <w:rPr>
          <w:color w:val="3B3A3B"/>
          <w:w w:val="115"/>
          <w:sz w:val="21"/>
        </w:rPr>
        <w:t>viewed</w:t>
      </w:r>
      <w:r>
        <w:rPr>
          <w:color w:val="3B3A3B"/>
          <w:spacing w:val="43"/>
          <w:w w:val="115"/>
          <w:sz w:val="21"/>
        </w:rPr>
        <w:t> </w:t>
      </w:r>
      <w:r>
        <w:rPr>
          <w:color w:val="3B3A3B"/>
          <w:w w:val="115"/>
          <w:sz w:val="21"/>
        </w:rPr>
        <w:t>the </w:t>
      </w:r>
      <w:r>
        <w:rPr>
          <w:color w:val="3B3A3B"/>
          <w:spacing w:val="8"/>
          <w:w w:val="115"/>
          <w:sz w:val="21"/>
        </w:rPr>
        <w:t> </w:t>
      </w:r>
      <w:r>
        <w:rPr>
          <w:color w:val="3B3A3B"/>
          <w:w w:val="115"/>
          <w:sz w:val="21"/>
        </w:rPr>
        <w:t>illegal</w:t>
      </w:r>
    </w:p>
    <w:p>
      <w:pPr>
        <w:spacing w:line="239" w:lineRule="exact" w:before="0"/>
        <w:ind w:left="614" w:right="0" w:firstLine="0"/>
        <w:jc w:val="left"/>
        <w:rPr>
          <w:b/>
          <w:sz w:val="21"/>
        </w:rPr>
      </w:pPr>
      <w:r>
        <w:rPr>
          <w:b/>
          <w:color w:val="3B3A3B"/>
          <w:w w:val="110"/>
          <w:sz w:val="21"/>
        </w:rPr>
        <w:t>activities</w:t>
      </w:r>
      <w:r>
        <w:rPr>
          <w:b/>
          <w:color w:val="3B3A3B"/>
          <w:spacing w:val="12"/>
          <w:w w:val="110"/>
          <w:sz w:val="21"/>
        </w:rPr>
        <w:t> </w:t>
      </w:r>
      <w:r>
        <w:rPr>
          <w:b/>
          <w:color w:val="3B3A3B"/>
          <w:w w:val="110"/>
          <w:sz w:val="21"/>
        </w:rPr>
        <w:t>from</w:t>
      </w:r>
      <w:r>
        <w:rPr>
          <w:b/>
          <w:color w:val="3B3A3B"/>
          <w:spacing w:val="-9"/>
          <w:w w:val="110"/>
          <w:sz w:val="21"/>
        </w:rPr>
        <w:t> </w:t>
      </w:r>
      <w:r>
        <w:rPr>
          <w:b/>
          <w:color w:val="3B3A3B"/>
          <w:w w:val="110"/>
          <w:sz w:val="21"/>
        </w:rPr>
        <w:t>a</w:t>
      </w:r>
      <w:r>
        <w:rPr>
          <w:b/>
          <w:color w:val="3B3A3B"/>
          <w:spacing w:val="30"/>
          <w:w w:val="110"/>
          <w:sz w:val="21"/>
        </w:rPr>
        <w:t> </w:t>
      </w:r>
      <w:r>
        <w:rPr>
          <w:b/>
          <w:color w:val="3B3A3B"/>
          <w:w w:val="110"/>
          <w:sz w:val="21"/>
        </w:rPr>
        <w:t>legal</w:t>
      </w:r>
      <w:r>
        <w:rPr>
          <w:b/>
          <w:color w:val="3B3A3B"/>
          <w:spacing w:val="19"/>
          <w:w w:val="110"/>
          <w:sz w:val="21"/>
        </w:rPr>
        <w:t> </w:t>
      </w:r>
      <w:r>
        <w:rPr>
          <w:b/>
          <w:color w:val="3B3A3B"/>
          <w:w w:val="110"/>
          <w:sz w:val="21"/>
        </w:rPr>
        <w:t>vantage</w:t>
      </w:r>
      <w:r>
        <w:rPr>
          <w:b/>
          <w:color w:val="3B3A3B"/>
          <w:spacing w:val="20"/>
          <w:w w:val="110"/>
          <w:sz w:val="21"/>
        </w:rPr>
        <w:t> </w:t>
      </w:r>
      <w:r>
        <w:rPr>
          <w:b/>
          <w:color w:val="3B3A3B"/>
          <w:w w:val="110"/>
          <w:sz w:val="21"/>
        </w:rPr>
        <w:t>point.</w:t>
      </w:r>
    </w:p>
    <w:p>
      <w:pPr>
        <w:pStyle w:val="BodyText"/>
        <w:spacing w:line="232" w:lineRule="auto" w:before="141"/>
        <w:ind w:left="265" w:right="212" w:firstLine="362"/>
        <w:jc w:val="both"/>
      </w:pPr>
      <w:r>
        <w:rPr>
          <w:color w:val="3B3A3B"/>
          <w:w w:val="115"/>
        </w:rPr>
        <w:t>Instead, begin with a direct statement that connects the phrase-that­</w:t>
      </w:r>
      <w:r>
        <w:rPr>
          <w:color w:val="3B3A3B"/>
          <w:spacing w:val="1"/>
          <w:w w:val="115"/>
        </w:rPr>
        <w:t> </w:t>
      </w:r>
      <w:r>
        <w:rPr>
          <w:color w:val="3B3A3B"/>
          <w:spacing w:val="-1"/>
          <w:w w:val="115"/>
        </w:rPr>
        <w:t>pays to the client's case. </w:t>
      </w:r>
      <w:r>
        <w:rPr>
          <w:rFonts w:ascii="Arial" w:hAnsi="Arial"/>
          <w:color w:val="3B3A3B"/>
          <w:spacing w:val="-1"/>
          <w:w w:val="115"/>
          <w:sz w:val="22"/>
        </w:rPr>
        <w:t>If </w:t>
      </w:r>
      <w:r>
        <w:rPr>
          <w:color w:val="3B3A3B"/>
          <w:spacing w:val="-1"/>
          <w:w w:val="115"/>
        </w:rPr>
        <w:t>the issue is at all controversial, </w:t>
      </w:r>
      <w:r>
        <w:rPr>
          <w:color w:val="3B3A3B"/>
          <w:w w:val="115"/>
        </w:rPr>
        <w:t>you should be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0"/>
        </w:rPr>
        <w:t>sure to provide details about the record facts</w:t>
      </w:r>
      <w:r>
        <w:rPr>
          <w:rFonts w:ascii="Arial" w:hAnsi="Arial"/>
          <w:color w:val="3B3A3B"/>
          <w:w w:val="110"/>
          <w:vertAlign w:val="superscript"/>
        </w:rPr>
        <w:t>6</w:t>
      </w:r>
      <w:r>
        <w:rPr>
          <w:rFonts w:ascii="Arial" w:hAnsi="Arial"/>
          <w:color w:val="3B3A3B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that support your assertion</w:t>
      </w:r>
      <w:r>
        <w:rPr>
          <w:color w:val="3B3A3B"/>
          <w:spacing w:val="1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about how the law applies to the facts, as in this example (the phrase-that­</w:t>
      </w:r>
      <w:r>
        <w:rPr>
          <w:color w:val="3B3A3B"/>
          <w:spacing w:val="1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pays,</w:t>
      </w:r>
      <w:r>
        <w:rPr>
          <w:color w:val="3B3A3B"/>
          <w:spacing w:val="-6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"plain</w:t>
      </w:r>
      <w:r>
        <w:rPr>
          <w:color w:val="3B3A3B"/>
          <w:spacing w:val="10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view,"</w:t>
      </w:r>
      <w:r>
        <w:rPr>
          <w:color w:val="3B3A3B"/>
          <w:spacing w:val="2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is</w:t>
      </w:r>
      <w:r>
        <w:rPr>
          <w:color w:val="3B3A3B"/>
          <w:spacing w:val="-6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in</w:t>
      </w:r>
      <w:r>
        <w:rPr>
          <w:color w:val="3B3A3B"/>
          <w:spacing w:val="20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small</w:t>
      </w:r>
      <w:r>
        <w:rPr>
          <w:color w:val="3B3A3B"/>
          <w:spacing w:val="-3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capital</w:t>
      </w:r>
      <w:r>
        <w:rPr>
          <w:color w:val="3B3A3B"/>
          <w:spacing w:val="16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letters</w:t>
      </w:r>
      <w:r>
        <w:rPr>
          <w:color w:val="3B3A3B"/>
          <w:spacing w:val="-1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for</w:t>
      </w:r>
      <w:r>
        <w:rPr>
          <w:color w:val="3B3A3B"/>
          <w:spacing w:val="-17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emphasis):</w:t>
      </w:r>
    </w:p>
    <w:p>
      <w:pPr>
        <w:pStyle w:val="BodyText"/>
        <w:spacing w:before="11"/>
        <w:rPr>
          <w:sz w:val="10"/>
        </w:rPr>
      </w:pPr>
    </w:p>
    <w:p>
      <w:pPr>
        <w:spacing w:before="94"/>
        <w:ind w:left="294" w:right="0" w:firstLine="0"/>
        <w:jc w:val="left"/>
        <w:rPr>
          <w:sz w:val="15"/>
        </w:rPr>
      </w:pPr>
      <w:r>
        <w:rPr>
          <w:color w:val="3B3A3B"/>
          <w:w w:val="105"/>
          <w:sz w:val="15"/>
          <w:u w:val="thick" w:color="3B3A3B"/>
        </w:rPr>
        <w:t>../',,</w:t>
      </w:r>
      <w:r>
        <w:rPr>
          <w:color w:val="3B3A3B"/>
          <w:spacing w:val="-3"/>
          <w:w w:val="105"/>
          <w:sz w:val="15"/>
          <w:u w:val="thick" w:color="3B3A3B"/>
        </w:rPr>
        <w:t> </w:t>
      </w:r>
      <w:r>
        <w:rPr>
          <w:color w:val="3B3A3B"/>
          <w:w w:val="105"/>
          <w:sz w:val="15"/>
          <w:u w:val="thick" w:color="3B3A3B"/>
        </w:rPr>
        <w:t>MORE</w:t>
      </w:r>
      <w:r>
        <w:rPr>
          <w:color w:val="3B3A3B"/>
          <w:spacing w:val="-6"/>
          <w:w w:val="105"/>
          <w:sz w:val="15"/>
          <w:u w:val="thick" w:color="3B3A3B"/>
        </w:rPr>
        <w:t> </w:t>
      </w:r>
      <w:r>
        <w:rPr>
          <w:color w:val="3B3A3B"/>
          <w:w w:val="105"/>
          <w:sz w:val="15"/>
          <w:u w:val="thick" w:color="3B3A3B"/>
        </w:rPr>
        <w:t>EFFECTIVE</w:t>
      </w:r>
      <w:r>
        <w:rPr>
          <w:color w:val="3B3A3B"/>
          <w:spacing w:val="23"/>
          <w:w w:val="105"/>
          <w:sz w:val="15"/>
          <w:u w:val="thick" w:color="3B3A3B"/>
        </w:rPr>
        <w:t> </w:t>
      </w:r>
      <w:r>
        <w:rPr>
          <w:color w:val="3B3A3B"/>
          <w:w w:val="105"/>
          <w:sz w:val="15"/>
          <w:u w:val="thick" w:color="3B3A3B"/>
        </w:rPr>
        <w:t>BEGINNING</w:t>
      </w:r>
      <w:r>
        <w:rPr>
          <w:color w:val="3B3A3B"/>
          <w:spacing w:val="17"/>
          <w:w w:val="105"/>
          <w:sz w:val="15"/>
          <w:u w:val="thick" w:color="3B3A3B"/>
        </w:rPr>
        <w:t> </w:t>
      </w:r>
      <w:r>
        <w:rPr>
          <w:color w:val="3B3A3B"/>
          <w:w w:val="105"/>
          <w:sz w:val="15"/>
          <w:u w:val="thick" w:color="3B3A3B"/>
        </w:rPr>
        <w:t>TO</w:t>
      </w:r>
      <w:r>
        <w:rPr>
          <w:color w:val="3B3A3B"/>
          <w:spacing w:val="38"/>
          <w:w w:val="105"/>
          <w:sz w:val="15"/>
          <w:u w:val="thick" w:color="3B3A3B"/>
        </w:rPr>
        <w:t> </w:t>
      </w:r>
      <w:r>
        <w:rPr>
          <w:color w:val="3B3A3B"/>
          <w:w w:val="105"/>
          <w:sz w:val="15"/>
          <w:u w:val="thick" w:color="3B3A3B"/>
        </w:rPr>
        <w:t>RULE</w:t>
      </w:r>
      <w:r>
        <w:rPr>
          <w:color w:val="3B3A3B"/>
          <w:spacing w:val="-4"/>
          <w:w w:val="105"/>
          <w:sz w:val="15"/>
          <w:u w:val="thick" w:color="3B3A3B"/>
        </w:rPr>
        <w:t> </w:t>
      </w:r>
      <w:r>
        <w:rPr>
          <w:color w:val="3B3A3B"/>
          <w:w w:val="105"/>
          <w:sz w:val="15"/>
          <w:u w:val="thick" w:color="3B3A3B"/>
        </w:rPr>
        <w:t>APPLICATION</w:t>
      </w:r>
    </w:p>
    <w:p>
      <w:pPr>
        <w:spacing w:line="235" w:lineRule="auto" w:before="74"/>
        <w:ind w:left="635" w:right="552" w:firstLine="3"/>
        <w:jc w:val="both"/>
        <w:rPr>
          <w:b/>
          <w:sz w:val="21"/>
        </w:rPr>
      </w:pPr>
      <w:r>
        <w:rPr>
          <w:b/>
          <w:color w:val="3B3A3B"/>
          <w:w w:val="105"/>
          <w:sz w:val="21"/>
        </w:rPr>
        <w:t>In the  case at  bar,  Officer Thielen  merely  observed  a  scene that  was</w:t>
      </w:r>
      <w:r>
        <w:rPr>
          <w:b/>
          <w:color w:val="3B3A3B"/>
          <w:spacing w:val="1"/>
          <w:w w:val="105"/>
          <w:sz w:val="21"/>
        </w:rPr>
        <w:t> </w:t>
      </w:r>
      <w:r>
        <w:rPr>
          <w:b/>
          <w:color w:val="3B3A3B"/>
          <w:w w:val="105"/>
          <w:sz w:val="21"/>
        </w:rPr>
        <w:t>in</w:t>
      </w:r>
      <w:r>
        <w:rPr>
          <w:b/>
          <w:color w:val="3B3A3B"/>
          <w:spacing w:val="1"/>
          <w:w w:val="105"/>
          <w:sz w:val="21"/>
        </w:rPr>
        <w:t> </w:t>
      </w:r>
      <w:r>
        <w:rPr>
          <w:b/>
          <w:color w:val="3B3A3B"/>
          <w:w w:val="105"/>
          <w:sz w:val="21"/>
        </w:rPr>
        <w:t>PLAIN</w:t>
      </w:r>
      <w:r>
        <w:rPr>
          <w:b/>
          <w:color w:val="3B3A3B"/>
          <w:spacing w:val="1"/>
          <w:w w:val="105"/>
          <w:sz w:val="21"/>
        </w:rPr>
        <w:t> </w:t>
      </w:r>
      <w:r>
        <w:rPr>
          <w:b/>
          <w:color w:val="3B3A3B"/>
          <w:w w:val="105"/>
          <w:sz w:val="21"/>
        </w:rPr>
        <w:t>VIEW</w:t>
      </w:r>
      <w:r>
        <w:rPr>
          <w:b/>
          <w:color w:val="3B3A3B"/>
          <w:spacing w:val="1"/>
          <w:w w:val="105"/>
          <w:sz w:val="21"/>
        </w:rPr>
        <w:t> </w:t>
      </w:r>
      <w:r>
        <w:rPr>
          <w:b/>
          <w:color w:val="3B3A3B"/>
          <w:w w:val="105"/>
          <w:sz w:val="21"/>
        </w:rPr>
        <w:t>from</w:t>
      </w:r>
      <w:r>
        <w:rPr>
          <w:b/>
          <w:color w:val="3B3A3B"/>
          <w:spacing w:val="1"/>
          <w:w w:val="105"/>
          <w:sz w:val="21"/>
        </w:rPr>
        <w:t> </w:t>
      </w:r>
      <w:r>
        <w:rPr>
          <w:b/>
          <w:color w:val="3B3A3B"/>
          <w:w w:val="105"/>
          <w:sz w:val="21"/>
        </w:rPr>
        <w:t>his</w:t>
      </w:r>
      <w:r>
        <w:rPr>
          <w:b/>
          <w:color w:val="3B3A3B"/>
          <w:spacing w:val="1"/>
          <w:w w:val="105"/>
          <w:sz w:val="21"/>
        </w:rPr>
        <w:t> </w:t>
      </w:r>
      <w:r>
        <w:rPr>
          <w:b/>
          <w:color w:val="3B3A3B"/>
          <w:w w:val="105"/>
          <w:sz w:val="21"/>
        </w:rPr>
        <w:t>lawful</w:t>
      </w:r>
      <w:r>
        <w:rPr>
          <w:b/>
          <w:color w:val="3B3A3B"/>
          <w:spacing w:val="1"/>
          <w:w w:val="105"/>
          <w:sz w:val="21"/>
        </w:rPr>
        <w:t> </w:t>
      </w:r>
      <w:r>
        <w:rPr>
          <w:b/>
          <w:color w:val="3B3A3B"/>
          <w:w w:val="105"/>
          <w:sz w:val="21"/>
        </w:rPr>
        <w:t>vantage</w:t>
      </w:r>
      <w:r>
        <w:rPr>
          <w:b/>
          <w:color w:val="3B3A3B"/>
          <w:spacing w:val="1"/>
          <w:w w:val="105"/>
          <w:sz w:val="21"/>
        </w:rPr>
        <w:t> </w:t>
      </w:r>
      <w:r>
        <w:rPr>
          <w:b/>
          <w:color w:val="3B3A3B"/>
          <w:w w:val="105"/>
          <w:sz w:val="21"/>
        </w:rPr>
        <w:t>point</w:t>
      </w:r>
      <w:r>
        <w:rPr>
          <w:b/>
          <w:color w:val="5D5D60"/>
          <w:w w:val="105"/>
          <w:sz w:val="21"/>
        </w:rPr>
        <w:t>. </w:t>
      </w:r>
      <w:r>
        <w:rPr>
          <w:b/>
          <w:color w:val="3B3A3B"/>
          <w:w w:val="105"/>
          <w:sz w:val="21"/>
        </w:rPr>
        <w:t>The area  in  which</w:t>
      </w:r>
      <w:r>
        <w:rPr>
          <w:b/>
          <w:color w:val="3B3A3B"/>
          <w:spacing w:val="1"/>
          <w:w w:val="105"/>
          <w:sz w:val="21"/>
        </w:rPr>
        <w:t> </w:t>
      </w:r>
      <w:r>
        <w:rPr>
          <w:b/>
          <w:color w:val="3B3A3B"/>
          <w:w w:val="105"/>
          <w:sz w:val="21"/>
        </w:rPr>
        <w:t>Officer</w:t>
      </w:r>
      <w:r>
        <w:rPr>
          <w:b/>
          <w:color w:val="3B3A3B"/>
          <w:spacing w:val="15"/>
          <w:w w:val="105"/>
          <w:sz w:val="21"/>
        </w:rPr>
        <w:t> </w:t>
      </w:r>
      <w:r>
        <w:rPr>
          <w:b/>
          <w:color w:val="3B3A3B"/>
          <w:w w:val="105"/>
          <w:sz w:val="21"/>
        </w:rPr>
        <w:t>Thielen</w:t>
      </w:r>
      <w:r>
        <w:rPr>
          <w:b/>
          <w:color w:val="3B3A3B"/>
          <w:spacing w:val="42"/>
          <w:w w:val="105"/>
          <w:sz w:val="21"/>
        </w:rPr>
        <w:t> </w:t>
      </w:r>
      <w:r>
        <w:rPr>
          <w:b/>
          <w:color w:val="3B3A3B"/>
          <w:w w:val="105"/>
          <w:sz w:val="21"/>
        </w:rPr>
        <w:t>stood</w:t>
      </w:r>
      <w:r>
        <w:rPr>
          <w:b/>
          <w:color w:val="3B3A3B"/>
          <w:spacing w:val="36"/>
          <w:w w:val="105"/>
          <w:sz w:val="21"/>
        </w:rPr>
        <w:t> </w:t>
      </w:r>
      <w:r>
        <w:rPr>
          <w:b/>
          <w:color w:val="3B3A3B"/>
          <w:w w:val="105"/>
          <w:sz w:val="21"/>
        </w:rPr>
        <w:t>was</w:t>
      </w:r>
      <w:r>
        <w:rPr>
          <w:b/>
          <w:color w:val="3B3A3B"/>
          <w:spacing w:val="17"/>
          <w:w w:val="105"/>
          <w:sz w:val="21"/>
        </w:rPr>
        <w:t> </w:t>
      </w:r>
      <w:r>
        <w:rPr>
          <w:b/>
          <w:color w:val="3B3A3B"/>
          <w:w w:val="105"/>
          <w:sz w:val="21"/>
        </w:rPr>
        <w:t>outside</w:t>
      </w:r>
      <w:r>
        <w:rPr>
          <w:b/>
          <w:color w:val="3B3A3B"/>
          <w:spacing w:val="40"/>
          <w:w w:val="105"/>
          <w:sz w:val="21"/>
        </w:rPr>
        <w:t> </w:t>
      </w:r>
      <w:r>
        <w:rPr>
          <w:b/>
          <w:color w:val="3B3A3B"/>
          <w:w w:val="105"/>
          <w:sz w:val="21"/>
        </w:rPr>
        <w:t>the</w:t>
      </w:r>
      <w:r>
        <w:rPr>
          <w:b/>
          <w:color w:val="3B3A3B"/>
          <w:spacing w:val="28"/>
          <w:w w:val="105"/>
          <w:sz w:val="21"/>
        </w:rPr>
        <w:t> </w:t>
      </w:r>
      <w:r>
        <w:rPr>
          <w:b/>
          <w:color w:val="3B3A3B"/>
          <w:w w:val="105"/>
          <w:sz w:val="21"/>
        </w:rPr>
        <w:t>curtilage</w:t>
      </w:r>
      <w:r>
        <w:rPr>
          <w:b/>
          <w:color w:val="3B3A3B"/>
          <w:spacing w:val="31"/>
          <w:w w:val="105"/>
          <w:sz w:val="21"/>
        </w:rPr>
        <w:t> </w:t>
      </w:r>
      <w:r>
        <w:rPr>
          <w:b/>
          <w:color w:val="3B3A3B"/>
          <w:w w:val="105"/>
          <w:sz w:val="21"/>
        </w:rPr>
        <w:t>of</w:t>
      </w:r>
      <w:r>
        <w:rPr>
          <w:b/>
          <w:color w:val="3B3A3B"/>
          <w:spacing w:val="25"/>
          <w:w w:val="105"/>
          <w:sz w:val="21"/>
        </w:rPr>
        <w:t> </w:t>
      </w:r>
      <w:r>
        <w:rPr>
          <w:b/>
          <w:color w:val="3B3A3B"/>
          <w:w w:val="105"/>
          <w:sz w:val="21"/>
        </w:rPr>
        <w:t>the</w:t>
      </w:r>
      <w:r>
        <w:rPr>
          <w:b/>
          <w:color w:val="3B3A3B"/>
          <w:spacing w:val="51"/>
          <w:w w:val="105"/>
          <w:sz w:val="21"/>
        </w:rPr>
        <w:t> </w:t>
      </w:r>
      <w:r>
        <w:rPr>
          <w:b/>
          <w:color w:val="3B3A3B"/>
          <w:w w:val="105"/>
          <w:sz w:val="21"/>
        </w:rPr>
        <w:t>apartment.</w:t>
      </w:r>
    </w:p>
    <w:p>
      <w:pPr>
        <w:pStyle w:val="BodyText"/>
        <w:spacing w:before="8"/>
        <w:rPr>
          <w:b/>
          <w:sz w:val="32"/>
        </w:rPr>
      </w:pPr>
    </w:p>
    <w:p>
      <w:pPr>
        <w:spacing w:line="223" w:lineRule="auto" w:before="0"/>
        <w:ind w:left="284" w:right="0" w:firstLine="348"/>
        <w:jc w:val="left"/>
        <w:rPr>
          <w:sz w:val="18"/>
        </w:rPr>
      </w:pPr>
      <w:r>
        <w:rPr>
          <w:color w:val="3B3A3B"/>
          <w:spacing w:val="-1"/>
          <w:w w:val="113"/>
          <w:sz w:val="18"/>
        </w:rPr>
        <w:t>•n</w:t>
      </w:r>
      <w:r>
        <w:rPr>
          <w:color w:val="3B3A3B"/>
          <w:w w:val="113"/>
          <w:sz w:val="18"/>
        </w:rPr>
        <w:t>e</w:t>
      </w:r>
      <w:r>
        <w:rPr>
          <w:color w:val="3B3A3B"/>
          <w:spacing w:val="-10"/>
          <w:sz w:val="18"/>
        </w:rPr>
        <w:t> </w:t>
      </w:r>
      <w:r>
        <w:rPr>
          <w:color w:val="3B3A3B"/>
          <w:spacing w:val="-1"/>
          <w:w w:val="112"/>
          <w:sz w:val="18"/>
        </w:rPr>
        <w:t>sur</w:t>
      </w:r>
      <w:r>
        <w:rPr>
          <w:color w:val="3B3A3B"/>
          <w:w w:val="112"/>
          <w:sz w:val="18"/>
        </w:rPr>
        <w:t>e</w:t>
      </w:r>
      <w:r>
        <w:rPr>
          <w:color w:val="3B3A3B"/>
          <w:spacing w:val="-19"/>
          <w:sz w:val="18"/>
        </w:rPr>
        <w:t> </w:t>
      </w:r>
      <w:r>
        <w:rPr>
          <w:color w:val="3B3A3B"/>
          <w:spacing w:val="-1"/>
          <w:w w:val="112"/>
          <w:sz w:val="18"/>
        </w:rPr>
        <w:t>t</w:t>
      </w:r>
      <w:r>
        <w:rPr>
          <w:color w:val="3B3A3B"/>
          <w:w w:val="112"/>
          <w:sz w:val="18"/>
        </w:rPr>
        <w:t>o</w:t>
      </w:r>
      <w:r>
        <w:rPr>
          <w:color w:val="3B3A3B"/>
          <w:spacing w:val="-5"/>
          <w:sz w:val="18"/>
        </w:rPr>
        <w:t> </w:t>
      </w:r>
      <w:r>
        <w:rPr>
          <w:color w:val="3B3A3B"/>
          <w:spacing w:val="-1"/>
          <w:w w:val="114"/>
          <w:sz w:val="18"/>
        </w:rPr>
        <w:t>cit</w:t>
      </w:r>
      <w:r>
        <w:rPr>
          <w:color w:val="3B3A3B"/>
          <w:w w:val="114"/>
          <w:sz w:val="18"/>
        </w:rPr>
        <w:t>e</w:t>
      </w:r>
      <w:r>
        <w:rPr>
          <w:color w:val="3B3A3B"/>
          <w:spacing w:val="-10"/>
          <w:sz w:val="18"/>
        </w:rPr>
        <w:t> </w:t>
      </w:r>
      <w:r>
        <w:rPr>
          <w:color w:val="3B3A3B"/>
          <w:spacing w:val="-1"/>
          <w:w w:val="114"/>
          <w:sz w:val="18"/>
        </w:rPr>
        <w:t>t</w:t>
      </w:r>
      <w:r>
        <w:rPr>
          <w:color w:val="3B3A3B"/>
          <w:w w:val="114"/>
          <w:sz w:val="18"/>
        </w:rPr>
        <w:t>o</w:t>
      </w:r>
      <w:r>
        <w:rPr>
          <w:color w:val="3B3A3B"/>
          <w:spacing w:val="-3"/>
          <w:sz w:val="18"/>
        </w:rPr>
        <w:t> </w:t>
      </w:r>
      <w:r>
        <w:rPr>
          <w:color w:val="3B3A3B"/>
          <w:spacing w:val="-1"/>
          <w:w w:val="114"/>
          <w:sz w:val="18"/>
        </w:rPr>
        <w:t>th</w:t>
      </w:r>
      <w:r>
        <w:rPr>
          <w:color w:val="3B3A3B"/>
          <w:w w:val="114"/>
          <w:sz w:val="18"/>
        </w:rPr>
        <w:t>e</w:t>
      </w:r>
      <w:r>
        <w:rPr>
          <w:color w:val="3B3A3B"/>
          <w:spacing w:val="12"/>
          <w:sz w:val="18"/>
        </w:rPr>
        <w:t> </w:t>
      </w:r>
      <w:r>
        <w:rPr>
          <w:color w:val="3B3A3B"/>
          <w:w w:val="109"/>
          <w:sz w:val="18"/>
        </w:rPr>
        <w:t>record</w:t>
      </w:r>
      <w:r>
        <w:rPr>
          <w:color w:val="3B3A3B"/>
          <w:spacing w:val="-16"/>
          <w:sz w:val="18"/>
        </w:rPr>
        <w:t> </w:t>
      </w:r>
      <w:r>
        <w:rPr>
          <w:color w:val="3B3A3B"/>
          <w:spacing w:val="-1"/>
          <w:w w:val="109"/>
          <w:sz w:val="18"/>
        </w:rPr>
        <w:t>s</w:t>
      </w:r>
      <w:r>
        <w:rPr>
          <w:color w:val="3B3A3B"/>
          <w:w w:val="109"/>
          <w:sz w:val="18"/>
        </w:rPr>
        <w:t>o</w:t>
      </w:r>
      <w:r>
        <w:rPr>
          <w:color w:val="3B3A3B"/>
          <w:spacing w:val="-1"/>
          <w:sz w:val="18"/>
        </w:rPr>
        <w:t> </w:t>
      </w:r>
      <w:r>
        <w:rPr>
          <w:color w:val="3B3A3B"/>
          <w:spacing w:val="-1"/>
          <w:w w:val="123"/>
          <w:sz w:val="18"/>
        </w:rPr>
        <w:t>tha</w:t>
      </w:r>
      <w:r>
        <w:rPr>
          <w:color w:val="3B3A3B"/>
          <w:w w:val="123"/>
          <w:sz w:val="18"/>
        </w:rPr>
        <w:t>t</w:t>
      </w:r>
      <w:r>
        <w:rPr>
          <w:color w:val="3B3A3B"/>
          <w:spacing w:val="-12"/>
          <w:sz w:val="18"/>
        </w:rPr>
        <w:t> </w:t>
      </w:r>
      <w:r>
        <w:rPr>
          <w:color w:val="3B3A3B"/>
          <w:spacing w:val="-1"/>
          <w:w w:val="123"/>
          <w:sz w:val="18"/>
        </w:rPr>
        <w:t>th</w:t>
      </w:r>
      <w:r>
        <w:rPr>
          <w:color w:val="3B3A3B"/>
          <w:w w:val="123"/>
          <w:sz w:val="18"/>
        </w:rPr>
        <w:t>e</w:t>
      </w:r>
      <w:r>
        <w:rPr>
          <w:color w:val="3B3A3B"/>
          <w:spacing w:val="-22"/>
          <w:sz w:val="18"/>
        </w:rPr>
        <w:t> </w:t>
      </w:r>
      <w:r>
        <w:rPr>
          <w:color w:val="3B3A3B"/>
          <w:spacing w:val="-1"/>
          <w:w w:val="114"/>
          <w:sz w:val="18"/>
        </w:rPr>
        <w:t>cour</w:t>
      </w:r>
      <w:r>
        <w:rPr>
          <w:color w:val="3B3A3B"/>
          <w:w w:val="114"/>
          <w:sz w:val="18"/>
        </w:rPr>
        <w:t>t</w:t>
      </w:r>
      <w:r>
        <w:rPr>
          <w:color w:val="3B3A3B"/>
          <w:spacing w:val="-15"/>
          <w:sz w:val="18"/>
        </w:rPr>
        <w:t> </w:t>
      </w:r>
      <w:r>
        <w:rPr>
          <w:color w:val="3B3A3B"/>
          <w:spacing w:val="-1"/>
          <w:w w:val="114"/>
          <w:sz w:val="18"/>
        </w:rPr>
        <w:t>ca</w:t>
      </w:r>
      <w:r>
        <w:rPr>
          <w:color w:val="3B3A3B"/>
          <w:w w:val="114"/>
          <w:sz w:val="18"/>
        </w:rPr>
        <w:t>n</w:t>
      </w:r>
      <w:r>
        <w:rPr>
          <w:color w:val="3B3A3B"/>
          <w:spacing w:val="1"/>
          <w:sz w:val="18"/>
        </w:rPr>
        <w:t> </w:t>
      </w:r>
      <w:r>
        <w:rPr>
          <w:color w:val="3B3A3B"/>
          <w:w w:val="106"/>
          <w:sz w:val="18"/>
        </w:rPr>
        <w:t>verify</w:t>
      </w:r>
      <w:r>
        <w:rPr>
          <w:color w:val="3B3A3B"/>
          <w:spacing w:val="-16"/>
          <w:sz w:val="18"/>
        </w:rPr>
        <w:t> </w:t>
      </w:r>
      <w:r>
        <w:rPr>
          <w:color w:val="3B3A3B"/>
          <w:spacing w:val="-1"/>
          <w:w w:val="111"/>
          <w:sz w:val="18"/>
        </w:rPr>
        <w:t>eac</w:t>
      </w:r>
      <w:r>
        <w:rPr>
          <w:color w:val="3B3A3B"/>
          <w:w w:val="111"/>
          <w:sz w:val="18"/>
        </w:rPr>
        <w:t>h</w:t>
      </w:r>
      <w:r>
        <w:rPr>
          <w:color w:val="3B3A3B"/>
          <w:spacing w:val="-2"/>
          <w:sz w:val="18"/>
        </w:rPr>
        <w:t> </w:t>
      </w:r>
      <w:r>
        <w:rPr>
          <w:color w:val="3B3A3B"/>
          <w:w w:val="108"/>
          <w:sz w:val="18"/>
        </w:rPr>
        <w:t>referenced</w:t>
      </w:r>
      <w:r>
        <w:rPr>
          <w:color w:val="3B3A3B"/>
          <w:spacing w:val="12"/>
          <w:sz w:val="18"/>
        </w:rPr>
        <w:t> </w:t>
      </w:r>
      <w:r>
        <w:rPr>
          <w:color w:val="3B3A3B"/>
          <w:w w:val="115"/>
          <w:sz w:val="18"/>
        </w:rPr>
        <w:t>fact.</w:t>
      </w:r>
      <w:r>
        <w:rPr>
          <w:color w:val="3B3A3B"/>
          <w:spacing w:val="-20"/>
          <w:sz w:val="18"/>
        </w:rPr>
        <w:t> </w:t>
      </w:r>
      <w:r>
        <w:rPr>
          <w:color w:val="3B3A3B"/>
          <w:spacing w:val="-1"/>
          <w:w w:val="106"/>
          <w:sz w:val="18"/>
        </w:rPr>
        <w:t>Rule</w:t>
      </w:r>
      <w:r>
        <w:rPr>
          <w:color w:val="3B3A3B"/>
          <w:spacing w:val="-75"/>
          <w:w w:val="106"/>
          <w:sz w:val="18"/>
        </w:rPr>
        <w:t>s</w:t>
      </w:r>
      <w:r>
        <w:rPr>
          <w:color w:val="5D5D60"/>
          <w:spacing w:val="-1"/>
          <w:w w:val="139"/>
          <w:sz w:val="18"/>
        </w:rPr>
        <w:t>a</w:t>
      </w:r>
      <w:r>
        <w:rPr>
          <w:color w:val="3B3A3B"/>
          <w:w w:val="139"/>
          <w:sz w:val="18"/>
        </w:rPr>
        <w:t>bout</w:t>
      </w:r>
      <w:r>
        <w:rPr>
          <w:color w:val="3B3A3B"/>
          <w:spacing w:val="-5"/>
          <w:sz w:val="18"/>
        </w:rPr>
        <w:t> </w:t>
      </w:r>
      <w:r>
        <w:rPr>
          <w:color w:val="3B3A3B"/>
          <w:spacing w:val="-1"/>
          <w:w w:val="139"/>
          <w:sz w:val="18"/>
        </w:rPr>
        <w:t>and </w:t>
      </w:r>
      <w:r>
        <w:rPr>
          <w:color w:val="3B3A3B"/>
          <w:spacing w:val="-1"/>
          <w:w w:val="110"/>
          <w:sz w:val="18"/>
        </w:rPr>
        <w:t>methods</w:t>
      </w:r>
      <w:r>
        <w:rPr>
          <w:color w:val="3B3A3B"/>
          <w:spacing w:val="-3"/>
          <w:w w:val="110"/>
          <w:sz w:val="18"/>
        </w:rPr>
        <w:t> </w:t>
      </w:r>
      <w:r>
        <w:rPr>
          <w:color w:val="3B3A3B"/>
          <w:spacing w:val="-1"/>
          <w:w w:val="110"/>
          <w:sz w:val="18"/>
        </w:rPr>
        <w:t>for</w:t>
      </w:r>
      <w:r>
        <w:rPr>
          <w:color w:val="3B3A3B"/>
          <w:spacing w:val="-16"/>
          <w:w w:val="110"/>
          <w:sz w:val="18"/>
        </w:rPr>
        <w:t> </w:t>
      </w:r>
      <w:r>
        <w:rPr>
          <w:color w:val="3B3A3B"/>
          <w:spacing w:val="-1"/>
          <w:w w:val="110"/>
          <w:sz w:val="18"/>
        </w:rPr>
        <w:t>citing</w:t>
      </w:r>
      <w:r>
        <w:rPr>
          <w:color w:val="3B3A3B"/>
          <w:spacing w:val="-11"/>
          <w:w w:val="110"/>
          <w:sz w:val="18"/>
        </w:rPr>
        <w:t> </w:t>
      </w:r>
      <w:r>
        <w:rPr>
          <w:color w:val="3B3A3B"/>
          <w:spacing w:val="-1"/>
          <w:w w:val="110"/>
          <w:sz w:val="15"/>
        </w:rPr>
        <w:t>to</w:t>
      </w:r>
      <w:r>
        <w:rPr>
          <w:color w:val="3B3A3B"/>
          <w:spacing w:val="35"/>
          <w:w w:val="110"/>
          <w:sz w:val="15"/>
        </w:rPr>
        <w:t> </w:t>
      </w:r>
      <w:r>
        <w:rPr>
          <w:color w:val="3B3A3B"/>
          <w:spacing w:val="-1"/>
          <w:w w:val="110"/>
          <w:sz w:val="18"/>
        </w:rPr>
        <w:t>the</w:t>
      </w:r>
      <w:r>
        <w:rPr>
          <w:color w:val="3B3A3B"/>
          <w:spacing w:val="-2"/>
          <w:w w:val="110"/>
          <w:sz w:val="18"/>
        </w:rPr>
        <w:t> </w:t>
      </w:r>
      <w:r>
        <w:rPr>
          <w:color w:val="3B3A3B"/>
          <w:w w:val="110"/>
          <w:sz w:val="18"/>
        </w:rPr>
        <w:t>case</w:t>
      </w:r>
      <w:r>
        <w:rPr>
          <w:color w:val="3B3A3B"/>
          <w:spacing w:val="-4"/>
          <w:w w:val="110"/>
          <w:sz w:val="18"/>
        </w:rPr>
        <w:t> </w:t>
      </w:r>
      <w:r>
        <w:rPr>
          <w:color w:val="5D5D60"/>
          <w:w w:val="110"/>
          <w:sz w:val="18"/>
        </w:rPr>
        <w:t>r</w:t>
      </w:r>
      <w:r>
        <w:rPr>
          <w:color w:val="3B3A3B"/>
          <w:w w:val="110"/>
          <w:sz w:val="18"/>
        </w:rPr>
        <w:t>ecord</w:t>
      </w:r>
      <w:r>
        <w:rPr>
          <w:color w:val="3B3A3B"/>
          <w:spacing w:val="9"/>
          <w:w w:val="110"/>
          <w:sz w:val="18"/>
        </w:rPr>
        <w:t> </w:t>
      </w:r>
      <w:r>
        <w:rPr>
          <w:color w:val="3B3A3B"/>
          <w:w w:val="110"/>
          <w:sz w:val="18"/>
        </w:rPr>
        <w:t>arc</w:t>
      </w:r>
      <w:r>
        <w:rPr>
          <w:color w:val="3B3A3B"/>
          <w:spacing w:val="-1"/>
          <w:w w:val="110"/>
          <w:sz w:val="18"/>
        </w:rPr>
        <w:t> </w:t>
      </w:r>
      <w:r>
        <w:rPr>
          <w:color w:val="3B3A3B"/>
          <w:w w:val="110"/>
          <w:sz w:val="18"/>
        </w:rPr>
        <w:t>discussed</w:t>
      </w:r>
      <w:r>
        <w:rPr>
          <w:color w:val="3B3A3B"/>
          <w:spacing w:val="10"/>
          <w:w w:val="110"/>
          <w:sz w:val="18"/>
        </w:rPr>
        <w:t> </w:t>
      </w:r>
      <w:r>
        <w:rPr>
          <w:color w:val="3B3A3B"/>
          <w:w w:val="110"/>
          <w:sz w:val="18"/>
        </w:rPr>
        <w:t>In</w:t>
      </w:r>
      <w:r>
        <w:rPr>
          <w:color w:val="3B3A3B"/>
          <w:spacing w:val="-1"/>
          <w:w w:val="110"/>
          <w:sz w:val="18"/>
        </w:rPr>
        <w:t> </w:t>
      </w:r>
      <w:r>
        <w:rPr>
          <w:color w:val="3B3A3B"/>
          <w:w w:val="110"/>
          <w:sz w:val="18"/>
        </w:rPr>
        <w:t>Chapter</w:t>
      </w:r>
      <w:r>
        <w:rPr>
          <w:color w:val="3B3A3B"/>
          <w:spacing w:val="3"/>
          <w:w w:val="110"/>
          <w:sz w:val="18"/>
        </w:rPr>
        <w:t> </w:t>
      </w:r>
      <w:r>
        <w:rPr>
          <w:color w:val="3B3A3B"/>
          <w:w w:val="110"/>
          <w:sz w:val="18"/>
        </w:rPr>
        <w:t>Nine</w:t>
      </w:r>
      <w:r>
        <w:rPr>
          <w:color w:val="5D5D60"/>
          <w:w w:val="110"/>
          <w:sz w:val="18"/>
        </w:rPr>
        <w:t>.</w:t>
      </w:r>
    </w:p>
    <w:p>
      <w:pPr>
        <w:spacing w:after="0" w:line="223" w:lineRule="auto"/>
        <w:jc w:val="left"/>
        <w:rPr>
          <w:sz w:val="18"/>
        </w:rPr>
        <w:sectPr>
          <w:pgSz w:w="9470" w:h="13730"/>
          <w:pgMar w:header="453" w:footer="0" w:top="660" w:bottom="280" w:left="360" w:right="960"/>
        </w:sectPr>
      </w:pPr>
    </w:p>
    <w:p>
      <w:pPr>
        <w:tabs>
          <w:tab w:pos="5847" w:val="left" w:leader="none"/>
        </w:tabs>
        <w:spacing w:line="247" w:lineRule="auto" w:before="82"/>
        <w:ind w:left="2029" w:right="409" w:firstLine="44"/>
        <w:jc w:val="both"/>
        <w:rPr>
          <w:b/>
          <w:sz w:val="20"/>
        </w:rPr>
      </w:pPr>
      <w:r>
        <w:rPr>
          <w:b/>
          <w:color w:val="3D3B3B"/>
          <w:w w:val="105"/>
          <w:sz w:val="20"/>
        </w:rPr>
        <w:t>While standing outside the curtilage,</w:t>
      </w:r>
      <w:r>
        <w:rPr>
          <w:b/>
          <w:color w:val="3D3B3B"/>
          <w:spacing w:val="1"/>
          <w:w w:val="105"/>
          <w:sz w:val="20"/>
        </w:rPr>
        <w:t> </w:t>
      </w:r>
      <w:r>
        <w:rPr>
          <w:b/>
          <w:color w:val="3D3B3B"/>
          <w:w w:val="105"/>
          <w:sz w:val="20"/>
        </w:rPr>
        <w:t>the officer PLAINLY</w:t>
      </w:r>
      <w:r>
        <w:rPr>
          <w:b/>
          <w:color w:val="3D3B3B"/>
          <w:spacing w:val="1"/>
          <w:w w:val="105"/>
          <w:sz w:val="20"/>
        </w:rPr>
        <w:t> </w:t>
      </w:r>
      <w:r>
        <w:rPr>
          <w:b/>
          <w:color w:val="3D3B3B"/>
          <w:w w:val="105"/>
          <w:sz w:val="20"/>
        </w:rPr>
        <w:t>VIEWED</w:t>
      </w:r>
      <w:r>
        <w:rPr>
          <w:b/>
          <w:color w:val="3D3B3B"/>
          <w:spacing w:val="1"/>
          <w:w w:val="105"/>
          <w:sz w:val="20"/>
        </w:rPr>
        <w:t> </w:t>
      </w:r>
      <w:r>
        <w:rPr>
          <w:b/>
          <w:color w:val="3D3B3B"/>
          <w:w w:val="105"/>
          <w:sz w:val="20"/>
        </w:rPr>
        <w:t>Respondents'  </w:t>
      </w:r>
      <w:r>
        <w:rPr>
          <w:b/>
          <w:color w:val="3D3B3B"/>
          <w:spacing w:val="12"/>
          <w:w w:val="105"/>
          <w:sz w:val="20"/>
        </w:rPr>
        <w:t> </w:t>
      </w:r>
      <w:r>
        <w:rPr>
          <w:b/>
          <w:color w:val="3D3B3B"/>
          <w:w w:val="105"/>
          <w:sz w:val="20"/>
        </w:rPr>
        <w:t>unlawful  </w:t>
      </w:r>
      <w:r>
        <w:rPr>
          <w:b/>
          <w:color w:val="3D3B3B"/>
          <w:spacing w:val="19"/>
          <w:w w:val="105"/>
          <w:sz w:val="20"/>
        </w:rPr>
        <w:t> </w:t>
      </w:r>
      <w:r>
        <w:rPr>
          <w:b/>
          <w:color w:val="3D3B3B"/>
          <w:w w:val="105"/>
          <w:sz w:val="20"/>
        </w:rPr>
        <w:t>activities.</w:t>
        <w:tab/>
        <w:t>Record</w:t>
      </w:r>
      <w:r>
        <w:rPr>
          <w:b/>
          <w:color w:val="3D3B3B"/>
          <w:spacing w:val="1"/>
          <w:w w:val="105"/>
          <w:sz w:val="20"/>
        </w:rPr>
        <w:t> </w:t>
      </w:r>
      <w:r>
        <w:rPr>
          <w:b/>
          <w:color w:val="3D3B3B"/>
          <w:w w:val="105"/>
          <w:sz w:val="20"/>
        </w:rPr>
        <w:t>E-2.</w:t>
      </w:r>
      <w:r>
        <w:rPr>
          <w:b/>
          <w:color w:val="3D3B3B"/>
          <w:spacing w:val="1"/>
          <w:w w:val="105"/>
          <w:sz w:val="20"/>
        </w:rPr>
        <w:t> </w:t>
      </w:r>
      <w:r>
        <w:rPr>
          <w:b/>
          <w:color w:val="3D3B3B"/>
          <w:w w:val="105"/>
          <w:sz w:val="20"/>
        </w:rPr>
        <w:t>While</w:t>
      </w:r>
      <w:r>
        <w:rPr>
          <w:b/>
          <w:color w:val="3D3B3B"/>
          <w:spacing w:val="1"/>
          <w:w w:val="105"/>
          <w:sz w:val="20"/>
        </w:rPr>
        <w:t> </w:t>
      </w:r>
      <w:r>
        <w:rPr>
          <w:b/>
          <w:color w:val="3D3B3B"/>
          <w:w w:val="105"/>
          <w:sz w:val="20"/>
        </w:rPr>
        <w:t>Officer</w:t>
      </w:r>
      <w:r>
        <w:rPr>
          <w:b/>
          <w:color w:val="3D3B3B"/>
          <w:spacing w:val="1"/>
          <w:w w:val="105"/>
          <w:sz w:val="20"/>
        </w:rPr>
        <w:t> </w:t>
      </w:r>
      <w:r>
        <w:rPr>
          <w:b/>
          <w:color w:val="3D3B3B"/>
          <w:w w:val="105"/>
          <w:sz w:val="20"/>
        </w:rPr>
        <w:t>Thielen did go</w:t>
      </w:r>
      <w:r>
        <w:rPr>
          <w:b/>
          <w:color w:val="3D3B3B"/>
          <w:spacing w:val="1"/>
          <w:w w:val="105"/>
          <w:sz w:val="20"/>
        </w:rPr>
        <w:t> </w:t>
      </w:r>
      <w:r>
        <w:rPr>
          <w:b/>
          <w:color w:val="3D3B3B"/>
          <w:w w:val="105"/>
          <w:sz w:val="20"/>
        </w:rPr>
        <w:t>to the common area outside the apartment</w:t>
      </w:r>
      <w:r>
        <w:rPr>
          <w:b/>
          <w:color w:val="3D3B3B"/>
          <w:spacing w:val="1"/>
          <w:w w:val="105"/>
          <w:sz w:val="20"/>
        </w:rPr>
        <w:t> </w:t>
      </w:r>
      <w:r>
        <w:rPr>
          <w:b/>
          <w:color w:val="3D3B3B"/>
          <w:w w:val="105"/>
          <w:sz w:val="20"/>
        </w:rPr>
        <w:t>window in</w:t>
      </w:r>
      <w:r>
        <w:rPr>
          <w:b/>
          <w:color w:val="3D3B3B"/>
          <w:spacing w:val="1"/>
          <w:w w:val="105"/>
          <w:sz w:val="20"/>
        </w:rPr>
        <w:t> </w:t>
      </w:r>
      <w:r>
        <w:rPr>
          <w:b/>
          <w:color w:val="3D3B3B"/>
          <w:w w:val="105"/>
          <w:sz w:val="20"/>
        </w:rPr>
        <w:t>response to the report from the </w:t>
      </w:r>
      <w:r>
        <w:rPr>
          <w:b/>
          <w:color w:val="3D3B3B"/>
          <w:w w:val="130"/>
          <w:sz w:val="20"/>
        </w:rPr>
        <w:t>informant, </w:t>
      </w:r>
      <w:r>
        <w:rPr>
          <w:b/>
          <w:color w:val="3D3B3B"/>
          <w:w w:val="105"/>
          <w:sz w:val="20"/>
        </w:rPr>
        <w:t>Record G-11, his</w:t>
      </w:r>
      <w:r>
        <w:rPr>
          <w:b/>
          <w:color w:val="3D3B3B"/>
          <w:spacing w:val="1"/>
          <w:w w:val="105"/>
          <w:sz w:val="20"/>
        </w:rPr>
        <w:t> </w:t>
      </w:r>
      <w:r>
        <w:rPr>
          <w:b/>
          <w:color w:val="3D3B3B"/>
          <w:w w:val="105"/>
          <w:sz w:val="20"/>
        </w:rPr>
        <w:t>moti­</w:t>
      </w:r>
      <w:r>
        <w:rPr>
          <w:b/>
          <w:color w:val="3D3B3B"/>
          <w:spacing w:val="1"/>
          <w:w w:val="105"/>
          <w:sz w:val="20"/>
        </w:rPr>
        <w:t> </w:t>
      </w:r>
      <w:r>
        <w:rPr>
          <w:b/>
          <w:color w:val="3D3B3B"/>
          <w:w w:val="105"/>
          <w:sz w:val="20"/>
        </w:rPr>
        <w:t>vation is irrelevant.  The illegal activity was in  PLAIN  </w:t>
      </w:r>
      <w:r>
        <w:rPr>
          <w:rFonts w:ascii="Arial" w:hAnsi="Arial"/>
          <w:b/>
          <w:color w:val="3D3B3B"/>
          <w:w w:val="105"/>
          <w:sz w:val="17"/>
        </w:rPr>
        <w:t>VIEW </w:t>
      </w:r>
      <w:r>
        <w:rPr>
          <w:b/>
          <w:color w:val="3D3B3B"/>
          <w:w w:val="105"/>
          <w:sz w:val="20"/>
        </w:rPr>
        <w:t>regardless</w:t>
      </w:r>
      <w:r>
        <w:rPr>
          <w:b/>
          <w:color w:val="3D3B3B"/>
          <w:spacing w:val="1"/>
          <w:w w:val="105"/>
          <w:sz w:val="20"/>
        </w:rPr>
        <w:t> </w:t>
      </w:r>
      <w:r>
        <w:rPr>
          <w:b/>
          <w:color w:val="3D3B3B"/>
          <w:w w:val="105"/>
          <w:sz w:val="20"/>
        </w:rPr>
        <w:t>of</w:t>
      </w:r>
      <w:r>
        <w:rPr>
          <w:b/>
          <w:color w:val="3D3B3B"/>
          <w:spacing w:val="7"/>
          <w:w w:val="105"/>
          <w:sz w:val="20"/>
        </w:rPr>
        <w:t> </w:t>
      </w:r>
      <w:r>
        <w:rPr>
          <w:b/>
          <w:color w:val="3D3B3B"/>
          <w:w w:val="105"/>
          <w:sz w:val="20"/>
        </w:rPr>
        <w:t>Officer</w:t>
      </w:r>
      <w:r>
        <w:rPr>
          <w:b/>
          <w:color w:val="3D3B3B"/>
          <w:spacing w:val="-9"/>
          <w:w w:val="105"/>
          <w:sz w:val="20"/>
        </w:rPr>
        <w:t> </w:t>
      </w:r>
      <w:r>
        <w:rPr>
          <w:b/>
          <w:color w:val="3D3B3B"/>
          <w:w w:val="105"/>
          <w:sz w:val="20"/>
        </w:rPr>
        <w:t>Thielen's</w:t>
      </w:r>
      <w:r>
        <w:rPr>
          <w:b/>
          <w:color w:val="3D3B3B"/>
          <w:spacing w:val="3"/>
          <w:w w:val="105"/>
          <w:sz w:val="20"/>
        </w:rPr>
        <w:t> </w:t>
      </w:r>
      <w:r>
        <w:rPr>
          <w:b/>
          <w:color w:val="3D3B3B"/>
          <w:w w:val="105"/>
          <w:sz w:val="20"/>
        </w:rPr>
        <w:t>motivation.</w:t>
      </w:r>
    </w:p>
    <w:p>
      <w:pPr>
        <w:pStyle w:val="BodyText"/>
        <w:spacing w:line="235" w:lineRule="auto" w:before="134"/>
        <w:ind w:left="1655" w:right="96" w:firstLine="368"/>
        <w:jc w:val="both"/>
      </w:pPr>
      <w:r>
        <w:rPr>
          <w:color w:val="3D3B3B"/>
          <w:w w:val="105"/>
        </w:rPr>
        <w:t>You may expand your application section</w:t>
      </w:r>
      <w:r>
        <w:rPr>
          <w:color w:val="575759"/>
          <w:w w:val="105"/>
        </w:rPr>
        <w:t>, </w:t>
      </w:r>
      <w:r>
        <w:rPr>
          <w:color w:val="3D3B3B"/>
          <w:w w:val="105"/>
        </w:rPr>
        <w:t>if needed</w:t>
      </w:r>
      <w:r>
        <w:rPr>
          <w:color w:val="575759"/>
          <w:w w:val="105"/>
        </w:rPr>
        <w:t>, </w:t>
      </w:r>
      <w:r>
        <w:rPr>
          <w:color w:val="3D3B3B"/>
          <w:w w:val="105"/>
        </w:rPr>
        <w:t>by drawing anal­</w:t>
      </w:r>
      <w:r>
        <w:rPr>
          <w:color w:val="3D3B3B"/>
          <w:spacing w:val="1"/>
          <w:w w:val="105"/>
        </w:rPr>
        <w:t> </w:t>
      </w:r>
      <w:r>
        <w:rPr>
          <w:color w:val="3D3B3B"/>
          <w:w w:val="105"/>
        </w:rPr>
        <w:t>ogies between your client</w:t>
      </w:r>
      <w:r>
        <w:rPr>
          <w:color w:val="575759"/>
          <w:w w:val="105"/>
        </w:rPr>
        <w:t>'</w:t>
      </w:r>
      <w:r>
        <w:rPr>
          <w:color w:val="3D3B3B"/>
          <w:w w:val="105"/>
        </w:rPr>
        <w:t>s case and the cases that you cited for authority</w:t>
      </w:r>
      <w:r>
        <w:rPr>
          <w:color w:val="3D3B3B"/>
          <w:spacing w:val="1"/>
          <w:w w:val="105"/>
        </w:rPr>
        <w:t> </w:t>
      </w:r>
      <w:r>
        <w:rPr>
          <w:rFonts w:ascii="Arial" w:hAnsi="Arial"/>
          <w:b/>
          <w:color w:val="3D3B3B"/>
          <w:w w:val="105"/>
          <w:sz w:val="20"/>
        </w:rPr>
        <w:t>in</w:t>
      </w:r>
      <w:r>
        <w:rPr>
          <w:rFonts w:ascii="Arial" w:hAnsi="Arial"/>
          <w:b/>
          <w:color w:val="3D3B3B"/>
          <w:spacing w:val="-4"/>
          <w:w w:val="105"/>
          <w:sz w:val="20"/>
        </w:rPr>
        <w:t> </w:t>
      </w:r>
      <w:r>
        <w:rPr>
          <w:color w:val="3D3B3B"/>
          <w:w w:val="105"/>
        </w:rPr>
        <w:t>your</w:t>
      </w:r>
      <w:r>
        <w:rPr>
          <w:color w:val="3D3B3B"/>
          <w:spacing w:val="-21"/>
          <w:w w:val="105"/>
        </w:rPr>
        <w:t> </w:t>
      </w:r>
      <w:r>
        <w:rPr>
          <w:color w:val="3D3B3B"/>
          <w:w w:val="105"/>
        </w:rPr>
        <w:t>explanation</w:t>
      </w:r>
      <w:r>
        <w:rPr>
          <w:color w:val="3D3B3B"/>
          <w:spacing w:val="22"/>
          <w:w w:val="105"/>
        </w:rPr>
        <w:t> </w:t>
      </w:r>
      <w:r>
        <w:rPr>
          <w:color w:val="3D3B3B"/>
          <w:w w:val="105"/>
        </w:rPr>
        <w:t>section:</w:t>
      </w:r>
    </w:p>
    <w:p>
      <w:pPr>
        <w:spacing w:before="113"/>
        <w:ind w:left="1645" w:right="0" w:firstLine="0"/>
        <w:jc w:val="both"/>
        <w:rPr>
          <w:sz w:val="15"/>
        </w:rPr>
      </w:pPr>
      <w:r>
        <w:rPr>
          <w:rFonts w:ascii="Arial"/>
          <w:color w:val="575759"/>
          <w:w w:val="90"/>
          <w:sz w:val="24"/>
          <w:u w:val="thick" w:color="575759"/>
        </w:rPr>
        <w:t>_,A</w:t>
      </w:r>
      <w:r>
        <w:rPr>
          <w:rFonts w:ascii="Arial"/>
          <w:color w:val="575759"/>
          <w:w w:val="90"/>
          <w:sz w:val="24"/>
        </w:rPr>
        <w:t>,</w:t>
      </w:r>
      <w:r>
        <w:rPr>
          <w:rFonts w:ascii="Arial"/>
          <w:color w:val="575759"/>
          <w:spacing w:val="-4"/>
          <w:w w:val="90"/>
          <w:sz w:val="24"/>
        </w:rPr>
        <w:t> </w:t>
      </w:r>
      <w:r>
        <w:rPr>
          <w:color w:val="3D3B3B"/>
          <w:w w:val="90"/>
          <w:sz w:val="15"/>
          <w:u w:val="thick" w:color="3D3B3B"/>
        </w:rPr>
        <w:t>EFFECTI</w:t>
      </w:r>
      <w:r>
        <w:rPr>
          <w:color w:val="575759"/>
          <w:w w:val="90"/>
          <w:sz w:val="15"/>
          <w:u w:val="thick" w:color="3D3B3B"/>
        </w:rPr>
        <w:t>VE</w:t>
      </w:r>
      <w:r>
        <w:rPr>
          <w:color w:val="575759"/>
          <w:spacing w:val="-7"/>
          <w:w w:val="90"/>
          <w:sz w:val="15"/>
          <w:u w:val="thick" w:color="3D3B3B"/>
        </w:rPr>
        <w:t> </w:t>
      </w:r>
      <w:r>
        <w:rPr>
          <w:color w:val="3D3B3B"/>
          <w:w w:val="90"/>
          <w:sz w:val="15"/>
          <w:u w:val="thick" w:color="3D3B3B"/>
        </w:rPr>
        <w:t>CONTINUATION</w:t>
      </w:r>
      <w:r>
        <w:rPr>
          <w:color w:val="3D3B3B"/>
          <w:spacing w:val="23"/>
          <w:w w:val="90"/>
          <w:sz w:val="15"/>
          <w:u w:val="thick" w:color="3D3B3B"/>
        </w:rPr>
        <w:t> </w:t>
      </w:r>
      <w:r>
        <w:rPr>
          <w:color w:val="3D3B3B"/>
          <w:w w:val="90"/>
          <w:sz w:val="15"/>
          <w:u w:val="thick" w:color="3D3B3B"/>
        </w:rPr>
        <w:t>OF</w:t>
      </w:r>
      <w:r>
        <w:rPr>
          <w:color w:val="3D3B3B"/>
          <w:spacing w:val="32"/>
          <w:sz w:val="15"/>
          <w:u w:val="thick" w:color="3D3B3B"/>
        </w:rPr>
        <w:t> </w:t>
      </w:r>
      <w:r>
        <w:rPr>
          <w:color w:val="3D3B3B"/>
          <w:w w:val="90"/>
          <w:sz w:val="15"/>
          <w:u w:val="thick" w:color="3D3B3B"/>
        </w:rPr>
        <w:t>RULE</w:t>
      </w:r>
      <w:r>
        <w:rPr>
          <w:color w:val="3D3B3B"/>
          <w:spacing w:val="25"/>
          <w:w w:val="90"/>
          <w:sz w:val="15"/>
          <w:u w:val="thick" w:color="3D3B3B"/>
        </w:rPr>
        <w:t> </w:t>
      </w:r>
      <w:r>
        <w:rPr>
          <w:color w:val="3D3B3B"/>
          <w:w w:val="90"/>
          <w:sz w:val="15"/>
          <w:u w:val="thick" w:color="3D3B3B"/>
        </w:rPr>
        <w:t>APPLICATION</w:t>
      </w:r>
    </w:p>
    <w:p>
      <w:pPr>
        <w:spacing w:line="247" w:lineRule="auto" w:before="70"/>
        <w:ind w:left="1931" w:right="464" w:firstLine="43"/>
        <w:jc w:val="both"/>
        <w:rPr>
          <w:sz w:val="21"/>
        </w:rPr>
      </w:pPr>
      <w:r>
        <w:rPr>
          <w:color w:val="3D3B3B"/>
          <w:w w:val="110"/>
          <w:sz w:val="21"/>
        </w:rPr>
        <w:t>Like the officers in </w:t>
      </w:r>
      <w:r>
        <w:rPr>
          <w:color w:val="3D3B3B"/>
          <w:w w:val="110"/>
          <w:sz w:val="21"/>
          <w:u w:val="thick" w:color="3D3B3B"/>
        </w:rPr>
        <w:t>Ciraolo,</w:t>
      </w:r>
      <w:r>
        <w:rPr>
          <w:color w:val="3D3B3B"/>
          <w:w w:val="110"/>
          <w:sz w:val="21"/>
        </w:rPr>
        <w:t> who did not need to shield their eyes from</w:t>
      </w:r>
      <w:r>
        <w:rPr>
          <w:color w:val="3D3B3B"/>
          <w:spacing w:val="-55"/>
          <w:w w:val="110"/>
          <w:sz w:val="21"/>
        </w:rPr>
        <w:t> </w:t>
      </w:r>
      <w:r>
        <w:rPr>
          <w:b/>
          <w:color w:val="3D3B3B"/>
          <w:w w:val="110"/>
          <w:sz w:val="20"/>
        </w:rPr>
        <w:t>what could be seen while traveling in public airways, Officer Thielen</w:t>
      </w:r>
      <w:r>
        <w:rPr>
          <w:b/>
          <w:color w:val="3D3B3B"/>
          <w:spacing w:val="1"/>
          <w:w w:val="110"/>
          <w:sz w:val="20"/>
        </w:rPr>
        <w:t> </w:t>
      </w:r>
      <w:r>
        <w:rPr>
          <w:b/>
          <w:color w:val="3D3B3B"/>
          <w:w w:val="115"/>
          <w:sz w:val="20"/>
        </w:rPr>
        <w:t>did not need to refrain from viewing what could be seen from the</w:t>
      </w:r>
      <w:r>
        <w:rPr>
          <w:b/>
          <w:color w:val="3D3B3B"/>
          <w:spacing w:val="1"/>
          <w:w w:val="115"/>
          <w:sz w:val="20"/>
        </w:rPr>
        <w:t> </w:t>
      </w:r>
      <w:r>
        <w:rPr>
          <w:color w:val="3D3B3B"/>
          <w:w w:val="110"/>
          <w:sz w:val="21"/>
        </w:rPr>
        <w:t>public</w:t>
      </w:r>
      <w:r>
        <w:rPr>
          <w:color w:val="3D3B3B"/>
          <w:spacing w:val="-24"/>
          <w:w w:val="110"/>
          <w:sz w:val="21"/>
        </w:rPr>
        <w:t> </w:t>
      </w:r>
      <w:r>
        <w:rPr>
          <w:color w:val="3D3B3B"/>
          <w:w w:val="110"/>
          <w:sz w:val="21"/>
        </w:rPr>
        <w:t>area</w:t>
      </w:r>
      <w:r>
        <w:rPr>
          <w:color w:val="3D3B3B"/>
          <w:spacing w:val="-9"/>
          <w:w w:val="110"/>
          <w:sz w:val="21"/>
        </w:rPr>
        <w:t> </w:t>
      </w:r>
      <w:r>
        <w:rPr>
          <w:color w:val="3D3B3B"/>
          <w:w w:val="110"/>
          <w:sz w:val="21"/>
        </w:rPr>
        <w:t>outside</w:t>
      </w:r>
      <w:r>
        <w:rPr>
          <w:color w:val="3D3B3B"/>
          <w:spacing w:val="-11"/>
          <w:w w:val="110"/>
          <w:sz w:val="21"/>
        </w:rPr>
        <w:t> </w:t>
      </w:r>
      <w:r>
        <w:rPr>
          <w:color w:val="3D3B3B"/>
          <w:w w:val="110"/>
          <w:sz w:val="21"/>
        </w:rPr>
        <w:t>Thompson</w:t>
      </w:r>
      <w:r>
        <w:rPr>
          <w:color w:val="575759"/>
          <w:w w:val="110"/>
          <w:sz w:val="21"/>
        </w:rPr>
        <w:t>'</w:t>
      </w:r>
      <w:r>
        <w:rPr>
          <w:color w:val="3D3B3B"/>
          <w:w w:val="110"/>
          <w:sz w:val="21"/>
        </w:rPr>
        <w:t>s</w:t>
      </w:r>
      <w:r>
        <w:rPr>
          <w:color w:val="3D3B3B"/>
          <w:spacing w:val="7"/>
          <w:w w:val="110"/>
          <w:sz w:val="21"/>
        </w:rPr>
        <w:t> </w:t>
      </w:r>
      <w:r>
        <w:rPr>
          <w:color w:val="3D3B3B"/>
          <w:w w:val="110"/>
          <w:sz w:val="21"/>
        </w:rPr>
        <w:t>window.</w:t>
      </w:r>
    </w:p>
    <w:p>
      <w:pPr>
        <w:pStyle w:val="BodyText"/>
        <w:spacing w:line="235" w:lineRule="auto" w:before="132"/>
        <w:ind w:left="1546" w:right="120" w:firstLine="42"/>
        <w:jc w:val="both"/>
      </w:pPr>
      <w:r>
        <w:rPr>
          <w:color w:val="3D3B3B"/>
          <w:w w:val="110"/>
        </w:rPr>
        <w:t>Drawing analogies or distinctions is not always necessary; sometimes</w:t>
      </w:r>
      <w:r>
        <w:rPr>
          <w:color w:val="3D3B3B"/>
          <w:spacing w:val="1"/>
          <w:w w:val="110"/>
        </w:rPr>
        <w:t> </w:t>
      </w:r>
      <w:r>
        <w:rPr>
          <w:color w:val="3D3B3B"/>
          <w:spacing w:val="-1"/>
          <w:w w:val="110"/>
        </w:rPr>
        <w:t>the application of the rule to the facts </w:t>
      </w:r>
      <w:r>
        <w:rPr>
          <w:color w:val="3D3B3B"/>
          <w:w w:val="110"/>
        </w:rPr>
        <w:t>alone will be sufficient to make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your point. When appropriate, however, analogizing and distinguishing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relevant authorities can help to cement the reader's understanding of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how a ru</w:t>
      </w:r>
      <w:r>
        <w:rPr>
          <w:color w:val="575759"/>
          <w:w w:val="110"/>
        </w:rPr>
        <w:t>l</w:t>
      </w:r>
      <w:r>
        <w:rPr>
          <w:color w:val="3D3B3B"/>
          <w:w w:val="110"/>
        </w:rPr>
        <w:t>e operates and of how it does or does not apply to your client</w:t>
      </w:r>
      <w:r>
        <w:rPr>
          <w:color w:val="575759"/>
          <w:w w:val="110"/>
        </w:rPr>
        <w:t>'</w:t>
      </w:r>
      <w:r>
        <w:rPr>
          <w:color w:val="3D3B3B"/>
          <w:w w:val="110"/>
        </w:rPr>
        <w:t>s</w:t>
      </w:r>
      <w:r>
        <w:rPr>
          <w:color w:val="3D3B3B"/>
          <w:spacing w:val="-61"/>
          <w:w w:val="110"/>
        </w:rPr>
        <w:t> </w:t>
      </w:r>
      <w:r>
        <w:rPr>
          <w:color w:val="3D3B3B"/>
          <w:w w:val="110"/>
        </w:rPr>
        <w:t>case.</w:t>
      </w:r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1"/>
          <w:numId w:val="44"/>
        </w:numPr>
        <w:tabs>
          <w:tab w:pos="2265" w:val="left" w:leader="none"/>
        </w:tabs>
        <w:spacing w:line="259" w:lineRule="auto" w:before="0" w:after="0"/>
        <w:ind w:left="2238" w:right="1216" w:hanging="360"/>
        <w:jc w:val="both"/>
        <w:rPr>
          <w:b/>
          <w:color w:val="3D3B3B"/>
          <w:sz w:val="21"/>
        </w:rPr>
      </w:pPr>
      <w:r>
        <w:rPr>
          <w:b/>
          <w:color w:val="3D3B3B"/>
          <w:spacing w:val="-1"/>
          <w:w w:val="115"/>
          <w:sz w:val="21"/>
        </w:rPr>
        <w:t>ExpJicitly </w:t>
      </w:r>
      <w:r>
        <w:rPr>
          <w:b/>
          <w:color w:val="3D3B3B"/>
          <w:w w:val="115"/>
          <w:sz w:val="21"/>
        </w:rPr>
        <w:t>Connect the Rule AppJication to the Rule</w:t>
      </w:r>
      <w:r>
        <w:rPr>
          <w:b/>
          <w:color w:val="3D3B3B"/>
          <w:spacing w:val="1"/>
          <w:w w:val="115"/>
          <w:sz w:val="21"/>
        </w:rPr>
        <w:t> </w:t>
      </w:r>
      <w:r>
        <w:rPr>
          <w:b/>
          <w:color w:val="3D3B3B"/>
          <w:w w:val="115"/>
          <w:sz w:val="21"/>
        </w:rPr>
        <w:t>Summary</w:t>
      </w:r>
    </w:p>
    <w:p>
      <w:pPr>
        <w:pStyle w:val="BodyText"/>
        <w:spacing w:line="242" w:lineRule="exact"/>
        <w:ind w:left="1861"/>
        <w:jc w:val="both"/>
      </w:pPr>
      <w:r>
        <w:rPr>
          <w:color w:val="3D3B3B"/>
          <w:w w:val="105"/>
        </w:rPr>
        <w:t>As</w:t>
      </w:r>
      <w:r>
        <w:rPr>
          <w:color w:val="3D3B3B"/>
          <w:spacing w:val="-6"/>
          <w:w w:val="105"/>
        </w:rPr>
        <w:t> </w:t>
      </w:r>
      <w:r>
        <w:rPr>
          <w:color w:val="3D3B3B"/>
          <w:w w:val="105"/>
        </w:rPr>
        <w:t>noted</w:t>
      </w:r>
      <w:r>
        <w:rPr>
          <w:color w:val="3D3B3B"/>
          <w:spacing w:val="15"/>
          <w:w w:val="105"/>
        </w:rPr>
        <w:t> </w:t>
      </w:r>
      <w:r>
        <w:rPr>
          <w:color w:val="3D3B3B"/>
          <w:w w:val="105"/>
        </w:rPr>
        <w:t>above,</w:t>
      </w:r>
      <w:r>
        <w:rPr>
          <w:color w:val="3D3B3B"/>
          <w:spacing w:val="21"/>
          <w:w w:val="105"/>
        </w:rPr>
        <w:t> </w:t>
      </w:r>
      <w:r>
        <w:rPr>
          <w:color w:val="3D3B3B"/>
          <w:w w:val="105"/>
        </w:rPr>
        <w:t>the</w:t>
      </w:r>
      <w:r>
        <w:rPr>
          <w:color w:val="3D3B3B"/>
          <w:spacing w:val="48"/>
          <w:w w:val="105"/>
        </w:rPr>
        <w:t> </w:t>
      </w:r>
      <w:r>
        <w:rPr>
          <w:color w:val="3D3B3B"/>
          <w:w w:val="105"/>
        </w:rPr>
        <w:t>rule</w:t>
      </w:r>
      <w:r>
        <w:rPr>
          <w:color w:val="3D3B3B"/>
          <w:spacing w:val="-16"/>
          <w:w w:val="105"/>
        </w:rPr>
        <w:t> </w:t>
      </w:r>
      <w:r>
        <w:rPr>
          <w:color w:val="3D3B3B"/>
          <w:w w:val="105"/>
        </w:rPr>
        <w:t>summary should</w:t>
      </w:r>
      <w:r>
        <w:rPr>
          <w:color w:val="3D3B3B"/>
          <w:spacing w:val="12"/>
          <w:w w:val="105"/>
        </w:rPr>
        <w:t> </w:t>
      </w:r>
      <w:r>
        <w:rPr>
          <w:color w:val="3D3B3B"/>
          <w:w w:val="105"/>
        </w:rPr>
        <w:t>lay</w:t>
      </w:r>
      <w:r>
        <w:rPr>
          <w:color w:val="3D3B3B"/>
          <w:spacing w:val="-4"/>
          <w:w w:val="105"/>
        </w:rPr>
        <w:t> </w:t>
      </w:r>
      <w:r>
        <w:rPr>
          <w:color w:val="3D3B3B"/>
          <w:w w:val="105"/>
        </w:rPr>
        <w:t>a</w:t>
      </w:r>
      <w:r>
        <w:rPr>
          <w:color w:val="3D3B3B"/>
          <w:spacing w:val="7"/>
          <w:w w:val="105"/>
        </w:rPr>
        <w:t> </w:t>
      </w:r>
      <w:r>
        <w:rPr>
          <w:color w:val="3D3B3B"/>
          <w:w w:val="105"/>
        </w:rPr>
        <w:t>foundation</w:t>
      </w:r>
      <w:r>
        <w:rPr>
          <w:color w:val="3D3B3B"/>
          <w:spacing w:val="20"/>
          <w:w w:val="105"/>
        </w:rPr>
        <w:t> </w:t>
      </w:r>
      <w:r>
        <w:rPr>
          <w:color w:val="3D3B3B"/>
          <w:w w:val="105"/>
        </w:rPr>
        <w:t>for</w:t>
      </w:r>
      <w:r>
        <w:rPr>
          <w:color w:val="3D3B3B"/>
          <w:spacing w:val="13"/>
          <w:w w:val="105"/>
        </w:rPr>
        <w:t> </w:t>
      </w:r>
      <w:r>
        <w:rPr>
          <w:color w:val="3D3B3B"/>
          <w:w w:val="105"/>
        </w:rPr>
        <w:t>the</w:t>
      </w:r>
      <w:r>
        <w:rPr>
          <w:color w:val="3D3B3B"/>
          <w:spacing w:val="37"/>
          <w:w w:val="105"/>
        </w:rPr>
        <w:t> </w:t>
      </w:r>
      <w:r>
        <w:rPr>
          <w:color w:val="3D3B3B"/>
          <w:w w:val="105"/>
        </w:rPr>
        <w:t>rule</w:t>
      </w:r>
    </w:p>
    <w:p>
      <w:pPr>
        <w:pStyle w:val="BodyText"/>
        <w:spacing w:line="235" w:lineRule="auto" w:before="2"/>
        <w:ind w:left="1479" w:right="151" w:firstLine="38"/>
        <w:jc w:val="both"/>
      </w:pPr>
      <w:r>
        <w:rPr>
          <w:color w:val="3D3B3B"/>
          <w:w w:val="110"/>
        </w:rPr>
        <w:t>application by telling the reader what the rule means and why you will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succeed-or your opponent will </w:t>
      </w:r>
      <w:r>
        <w:rPr>
          <w:color w:val="3D3B3B"/>
          <w:w w:val="120"/>
        </w:rPr>
        <w:t>fail-in </w:t>
      </w:r>
      <w:r>
        <w:rPr>
          <w:color w:val="3D3B3B"/>
          <w:w w:val="110"/>
        </w:rPr>
        <w:t>justifying a particular result. The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05"/>
        </w:rPr>
        <w:t>best way to exploit the rule summary is to echo language from that sum­</w:t>
      </w:r>
      <w:r>
        <w:rPr>
          <w:color w:val="3D3B3B"/>
          <w:spacing w:val="1"/>
          <w:w w:val="105"/>
        </w:rPr>
        <w:t> </w:t>
      </w:r>
      <w:r>
        <w:rPr>
          <w:color w:val="3D3B3B"/>
          <w:w w:val="110"/>
        </w:rPr>
        <w:t>mary at the very beginning of the rule application. Thus, the following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05"/>
        </w:rPr>
        <w:t>combination</w:t>
      </w:r>
      <w:r>
        <w:rPr>
          <w:color w:val="3D3B3B"/>
          <w:spacing w:val="27"/>
          <w:w w:val="105"/>
        </w:rPr>
        <w:t> </w:t>
      </w:r>
      <w:r>
        <w:rPr>
          <w:color w:val="3D3B3B"/>
          <w:w w:val="105"/>
        </w:rPr>
        <w:t>of</w:t>
      </w:r>
      <w:r>
        <w:rPr>
          <w:color w:val="3D3B3B"/>
          <w:spacing w:val="13"/>
          <w:w w:val="105"/>
        </w:rPr>
        <w:t> </w:t>
      </w:r>
      <w:r>
        <w:rPr>
          <w:color w:val="3D3B3B"/>
          <w:w w:val="105"/>
        </w:rPr>
        <w:t>rule</w:t>
      </w:r>
      <w:r>
        <w:rPr>
          <w:color w:val="3D3B3B"/>
          <w:spacing w:val="-10"/>
          <w:w w:val="105"/>
        </w:rPr>
        <w:t> </w:t>
      </w:r>
      <w:r>
        <w:rPr>
          <w:color w:val="3D3B3B"/>
          <w:w w:val="105"/>
        </w:rPr>
        <w:t>summary</w:t>
      </w:r>
      <w:r>
        <w:rPr>
          <w:color w:val="3D3B3B"/>
          <w:spacing w:val="-3"/>
          <w:w w:val="105"/>
        </w:rPr>
        <w:t> </w:t>
      </w:r>
      <w:r>
        <w:rPr>
          <w:color w:val="3D3B3B"/>
          <w:w w:val="105"/>
        </w:rPr>
        <w:t>and</w:t>
      </w:r>
      <w:r>
        <w:rPr>
          <w:color w:val="3D3B3B"/>
          <w:spacing w:val="35"/>
          <w:w w:val="105"/>
        </w:rPr>
        <w:t> </w:t>
      </w:r>
      <w:r>
        <w:rPr>
          <w:color w:val="3D3B3B"/>
          <w:w w:val="105"/>
        </w:rPr>
        <w:t>rule</w:t>
      </w:r>
      <w:r>
        <w:rPr>
          <w:color w:val="3D3B3B"/>
          <w:spacing w:val="-16"/>
          <w:w w:val="105"/>
        </w:rPr>
        <w:t> </w:t>
      </w:r>
      <w:r>
        <w:rPr>
          <w:color w:val="3D3B3B"/>
          <w:w w:val="105"/>
        </w:rPr>
        <w:t>application</w:t>
      </w:r>
      <w:r>
        <w:rPr>
          <w:color w:val="3D3B3B"/>
          <w:spacing w:val="30"/>
          <w:w w:val="105"/>
        </w:rPr>
        <w:t> </w:t>
      </w:r>
      <w:r>
        <w:rPr>
          <w:color w:val="3D3B3B"/>
          <w:w w:val="105"/>
        </w:rPr>
        <w:t>is</w:t>
      </w:r>
      <w:r>
        <w:rPr>
          <w:color w:val="3D3B3B"/>
          <w:spacing w:val="-4"/>
          <w:w w:val="105"/>
        </w:rPr>
        <w:t> </w:t>
      </w:r>
      <w:r>
        <w:rPr>
          <w:color w:val="3D3B3B"/>
          <w:w w:val="105"/>
        </w:rPr>
        <w:t>not</w:t>
      </w:r>
      <w:r>
        <w:rPr>
          <w:color w:val="3D3B3B"/>
          <w:spacing w:val="36"/>
          <w:w w:val="105"/>
        </w:rPr>
        <w:t> </w:t>
      </w:r>
      <w:r>
        <w:rPr>
          <w:color w:val="3D3B3B"/>
          <w:w w:val="105"/>
        </w:rPr>
        <w:t>effective:</w:t>
      </w:r>
    </w:p>
    <w:p>
      <w:pPr>
        <w:pStyle w:val="BodyText"/>
        <w:spacing w:before="2"/>
        <w:rPr>
          <w:sz w:val="9"/>
        </w:rPr>
      </w:pPr>
    </w:p>
    <w:p>
      <w:pPr>
        <w:tabs>
          <w:tab w:pos="1652" w:val="left" w:leader="none"/>
        </w:tabs>
        <w:spacing w:before="94"/>
        <w:ind w:left="1272" w:right="0" w:firstLine="0"/>
        <w:jc w:val="left"/>
        <w:rPr>
          <w:sz w:val="15"/>
        </w:rPr>
      </w:pPr>
      <w:r>
        <w:rPr>
          <w:color w:val="3D3B3B"/>
          <w:w w:val="100"/>
          <w:sz w:val="15"/>
          <w:u w:val="thick" w:color="3D3B3B"/>
        </w:rPr>
        <w:t> </w:t>
      </w:r>
      <w:r>
        <w:rPr>
          <w:color w:val="3D3B3B"/>
          <w:sz w:val="15"/>
          <w:u w:val="thick" w:color="3D3B3B"/>
        </w:rPr>
        <w:tab/>
      </w:r>
      <w:r>
        <w:rPr>
          <w:color w:val="3D3B3B"/>
          <w:sz w:val="15"/>
        </w:rPr>
        <w:t>    </w:t>
      </w:r>
      <w:r>
        <w:rPr>
          <w:color w:val="3D3B3B"/>
          <w:spacing w:val="-10"/>
          <w:sz w:val="15"/>
        </w:rPr>
        <w:t> </w:t>
      </w:r>
      <w:r>
        <w:rPr>
          <w:color w:val="3D3B3B"/>
          <w:w w:val="95"/>
          <w:sz w:val="15"/>
          <w:u w:val="thick" w:color="3D3B3B"/>
        </w:rPr>
        <w:t>I</w:t>
      </w:r>
      <w:r>
        <w:rPr>
          <w:color w:val="575759"/>
          <w:w w:val="95"/>
          <w:sz w:val="15"/>
          <w:u w:val="thick" w:color="3D3B3B"/>
        </w:rPr>
        <w:t>N</w:t>
      </w:r>
      <w:r>
        <w:rPr>
          <w:color w:val="3D3B3B"/>
          <w:w w:val="95"/>
          <w:sz w:val="15"/>
          <w:u w:val="thick" w:color="3D3B3B"/>
        </w:rPr>
        <w:t>EFFECTIVE</w:t>
      </w:r>
      <w:r>
        <w:rPr>
          <w:color w:val="3D3B3B"/>
          <w:spacing w:val="4"/>
          <w:w w:val="95"/>
          <w:sz w:val="15"/>
          <w:u w:val="thick" w:color="3D3B3B"/>
        </w:rPr>
        <w:t> </w:t>
      </w:r>
      <w:r>
        <w:rPr>
          <w:color w:val="3D3B3B"/>
          <w:w w:val="95"/>
          <w:sz w:val="15"/>
          <w:u w:val="thick" w:color="3D3B3B"/>
        </w:rPr>
        <w:t>T</w:t>
      </w:r>
      <w:r>
        <w:rPr>
          <w:color w:val="575759"/>
          <w:w w:val="95"/>
          <w:sz w:val="15"/>
          <w:u w:val="thick" w:color="3D3B3B"/>
        </w:rPr>
        <w:t>RA</w:t>
      </w:r>
      <w:r>
        <w:rPr>
          <w:color w:val="3D3B3B"/>
          <w:w w:val="95"/>
          <w:sz w:val="15"/>
          <w:u w:val="thick" w:color="3D3B3B"/>
        </w:rPr>
        <w:t>N</w:t>
      </w:r>
      <w:r>
        <w:rPr>
          <w:color w:val="575759"/>
          <w:w w:val="95"/>
          <w:sz w:val="15"/>
          <w:u w:val="thick" w:color="3D3B3B"/>
        </w:rPr>
        <w:t>S</w:t>
      </w:r>
      <w:r>
        <w:rPr>
          <w:color w:val="3D3B3B"/>
          <w:w w:val="95"/>
          <w:sz w:val="15"/>
          <w:u w:val="thick" w:color="3D3B3B"/>
        </w:rPr>
        <w:t>ITION</w:t>
      </w:r>
      <w:r>
        <w:rPr>
          <w:color w:val="3D3B3B"/>
          <w:spacing w:val="38"/>
          <w:sz w:val="15"/>
          <w:u w:val="thick" w:color="3D3B3B"/>
        </w:rPr>
        <w:t> </w:t>
      </w:r>
      <w:r>
        <w:rPr>
          <w:color w:val="3D3B3B"/>
          <w:w w:val="95"/>
          <w:sz w:val="15"/>
          <w:u w:val="thick" w:color="3D3B3B"/>
        </w:rPr>
        <w:t>FROM</w:t>
      </w:r>
      <w:r>
        <w:rPr>
          <w:color w:val="3D3B3B"/>
          <w:spacing w:val="35"/>
          <w:w w:val="95"/>
          <w:sz w:val="15"/>
          <w:u w:val="thick" w:color="3D3B3B"/>
        </w:rPr>
        <w:t> </w:t>
      </w:r>
      <w:r>
        <w:rPr>
          <w:color w:val="3D3B3B"/>
          <w:w w:val="95"/>
          <w:sz w:val="15"/>
          <w:u w:val="thick" w:color="3D3B3B"/>
        </w:rPr>
        <w:t>RULE</w:t>
      </w:r>
      <w:r>
        <w:rPr>
          <w:color w:val="3D3B3B"/>
          <w:spacing w:val="18"/>
          <w:w w:val="95"/>
          <w:sz w:val="15"/>
          <w:u w:val="thick" w:color="3D3B3B"/>
        </w:rPr>
        <w:t> </w:t>
      </w:r>
      <w:r>
        <w:rPr>
          <w:color w:val="3D3B3B"/>
          <w:w w:val="95"/>
          <w:sz w:val="15"/>
          <w:u w:val="thick" w:color="3D3B3B"/>
        </w:rPr>
        <w:t>SUMMARY</w:t>
      </w:r>
      <w:r>
        <w:rPr>
          <w:color w:val="3D3B3B"/>
          <w:spacing w:val="30"/>
          <w:w w:val="95"/>
          <w:sz w:val="15"/>
          <w:u w:val="thick" w:color="3D3B3B"/>
        </w:rPr>
        <w:t> </w:t>
      </w:r>
      <w:r>
        <w:rPr>
          <w:color w:val="575759"/>
          <w:w w:val="95"/>
          <w:sz w:val="15"/>
          <w:u w:val="thick" w:color="3D3B3B"/>
        </w:rPr>
        <w:t>T</w:t>
      </w:r>
      <w:r>
        <w:rPr>
          <w:color w:val="3D3B3B"/>
          <w:w w:val="95"/>
          <w:sz w:val="15"/>
          <w:u w:val="thick" w:color="3D3B3B"/>
        </w:rPr>
        <w:t>O</w:t>
      </w:r>
      <w:r>
        <w:rPr>
          <w:color w:val="3D3B3B"/>
          <w:spacing w:val="39"/>
          <w:sz w:val="15"/>
          <w:u w:val="thick" w:color="3D3B3B"/>
        </w:rPr>
        <w:t> </w:t>
      </w:r>
      <w:r>
        <w:rPr>
          <w:color w:val="3D3B3B"/>
          <w:w w:val="95"/>
          <w:sz w:val="15"/>
          <w:u w:val="thick" w:color="3D3B3B"/>
        </w:rPr>
        <w:t>RULE</w:t>
      </w:r>
      <w:r>
        <w:rPr>
          <w:color w:val="3D3B3B"/>
          <w:spacing w:val="5"/>
          <w:w w:val="95"/>
          <w:sz w:val="15"/>
          <w:u w:val="thick" w:color="3D3B3B"/>
        </w:rPr>
        <w:t> </w:t>
      </w:r>
      <w:r>
        <w:rPr>
          <w:color w:val="3D3B3B"/>
          <w:w w:val="95"/>
          <w:sz w:val="15"/>
          <w:u w:val="thick" w:color="3D3B3B"/>
        </w:rPr>
        <w:t>APPLICA</w:t>
      </w:r>
      <w:r>
        <w:rPr>
          <w:color w:val="575759"/>
          <w:w w:val="95"/>
          <w:sz w:val="15"/>
          <w:u w:val="thick" w:color="3D3B3B"/>
        </w:rPr>
        <w:t>TIO</w:t>
      </w:r>
      <w:r>
        <w:rPr>
          <w:color w:val="3D3B3B"/>
          <w:w w:val="95"/>
          <w:sz w:val="15"/>
          <w:u w:val="thick" w:color="3D3B3B"/>
        </w:rPr>
        <w:t>N</w:t>
      </w:r>
    </w:p>
    <w:p>
      <w:pPr>
        <w:spacing w:line="230" w:lineRule="auto" w:before="107"/>
        <w:ind w:left="1779" w:right="530" w:firstLine="19"/>
        <w:jc w:val="both"/>
        <w:rPr>
          <w:sz w:val="21"/>
        </w:rPr>
      </w:pPr>
      <w:r>
        <w:rPr>
          <w:color w:val="3D3B3B"/>
          <w:w w:val="115"/>
          <w:sz w:val="21"/>
        </w:rPr>
        <w:t>Thus,</w:t>
      </w:r>
      <w:r>
        <w:rPr>
          <w:color w:val="3D3B3B"/>
          <w:spacing w:val="1"/>
          <w:w w:val="115"/>
          <w:sz w:val="21"/>
        </w:rPr>
        <w:t> </w:t>
      </w:r>
      <w:r>
        <w:rPr>
          <w:color w:val="3D3B3B"/>
          <w:w w:val="115"/>
          <w:sz w:val="21"/>
        </w:rPr>
        <w:t>the</w:t>
      </w:r>
      <w:r>
        <w:rPr>
          <w:color w:val="3D3B3B"/>
          <w:spacing w:val="1"/>
          <w:w w:val="115"/>
          <w:sz w:val="21"/>
        </w:rPr>
        <w:t> </w:t>
      </w:r>
      <w:r>
        <w:rPr>
          <w:color w:val="3D3B3B"/>
          <w:w w:val="115"/>
          <w:sz w:val="21"/>
        </w:rPr>
        <w:t>only  way that  respondents can  establish  that  petition­</w:t>
      </w:r>
      <w:r>
        <w:rPr>
          <w:color w:val="3D3B3B"/>
          <w:spacing w:val="1"/>
          <w:w w:val="115"/>
          <w:sz w:val="21"/>
        </w:rPr>
        <w:t> </w:t>
      </w:r>
      <w:r>
        <w:rPr>
          <w:color w:val="3D3B3B"/>
          <w:w w:val="115"/>
          <w:sz w:val="21"/>
        </w:rPr>
        <w:t>ers violated the plain view doctrine is </w:t>
      </w:r>
      <w:r>
        <w:rPr>
          <w:color w:val="3D3B3B"/>
          <w:w w:val="115"/>
          <w:sz w:val="20"/>
        </w:rPr>
        <w:t>if </w:t>
      </w:r>
      <w:r>
        <w:rPr>
          <w:color w:val="3D3B3B"/>
          <w:w w:val="115"/>
          <w:sz w:val="21"/>
        </w:rPr>
        <w:t>they can show that Officer</w:t>
      </w:r>
      <w:r>
        <w:rPr>
          <w:color w:val="3D3B3B"/>
          <w:spacing w:val="1"/>
          <w:w w:val="115"/>
          <w:sz w:val="21"/>
        </w:rPr>
        <w:t> </w:t>
      </w:r>
      <w:r>
        <w:rPr>
          <w:color w:val="3D3B3B"/>
          <w:w w:val="115"/>
          <w:sz w:val="21"/>
        </w:rPr>
        <w:t>Thielen</w:t>
      </w:r>
      <w:r>
        <w:rPr>
          <w:color w:val="3D3B3B"/>
          <w:spacing w:val="28"/>
          <w:w w:val="115"/>
          <w:sz w:val="21"/>
        </w:rPr>
        <w:t> </w:t>
      </w:r>
      <w:r>
        <w:rPr>
          <w:color w:val="3D3B3B"/>
          <w:w w:val="115"/>
          <w:sz w:val="21"/>
        </w:rPr>
        <w:t>observed</w:t>
      </w:r>
      <w:r>
        <w:rPr>
          <w:color w:val="3D3B3B"/>
          <w:spacing w:val="35"/>
          <w:w w:val="115"/>
          <w:sz w:val="21"/>
        </w:rPr>
        <w:t> </w:t>
      </w:r>
      <w:r>
        <w:rPr>
          <w:color w:val="3D3B3B"/>
          <w:w w:val="115"/>
          <w:sz w:val="21"/>
        </w:rPr>
        <w:t>respondents'</w:t>
      </w:r>
      <w:r>
        <w:rPr>
          <w:color w:val="3D3B3B"/>
          <w:spacing w:val="30"/>
          <w:w w:val="115"/>
          <w:sz w:val="21"/>
        </w:rPr>
        <w:t> </w:t>
      </w:r>
      <w:r>
        <w:rPr>
          <w:color w:val="3D3B3B"/>
          <w:w w:val="115"/>
          <w:sz w:val="21"/>
        </w:rPr>
        <w:t>activities</w:t>
      </w:r>
      <w:r>
        <w:rPr>
          <w:color w:val="3D3B3B"/>
          <w:spacing w:val="22"/>
          <w:w w:val="115"/>
          <w:sz w:val="21"/>
        </w:rPr>
        <w:t> </w:t>
      </w:r>
      <w:r>
        <w:rPr>
          <w:color w:val="3D3B3B"/>
          <w:w w:val="115"/>
          <w:sz w:val="21"/>
        </w:rPr>
        <w:t>from</w:t>
      </w:r>
      <w:r>
        <w:rPr>
          <w:color w:val="3D3B3B"/>
          <w:spacing w:val="24"/>
          <w:w w:val="115"/>
          <w:sz w:val="21"/>
        </w:rPr>
        <w:t> </w:t>
      </w:r>
      <w:r>
        <w:rPr>
          <w:color w:val="3D3B3B"/>
          <w:w w:val="115"/>
          <w:sz w:val="21"/>
        </w:rPr>
        <w:t>an</w:t>
      </w:r>
      <w:r>
        <w:rPr>
          <w:color w:val="3D3B3B"/>
          <w:spacing w:val="55"/>
          <w:w w:val="115"/>
          <w:sz w:val="21"/>
        </w:rPr>
        <w:t> </w:t>
      </w:r>
      <w:r>
        <w:rPr>
          <w:color w:val="3D3B3B"/>
          <w:w w:val="115"/>
          <w:sz w:val="21"/>
        </w:rPr>
        <w:t>unlawful</w:t>
      </w:r>
      <w:r>
        <w:rPr>
          <w:color w:val="3D3B3B"/>
          <w:spacing w:val="49"/>
          <w:w w:val="115"/>
          <w:sz w:val="21"/>
        </w:rPr>
        <w:t> </w:t>
      </w:r>
      <w:r>
        <w:rPr>
          <w:color w:val="3D3B3B"/>
          <w:w w:val="115"/>
          <w:sz w:val="21"/>
        </w:rPr>
        <w:t>vantage</w:t>
      </w:r>
    </w:p>
    <w:p>
      <w:pPr>
        <w:pStyle w:val="ListParagraph"/>
        <w:numPr>
          <w:ilvl w:val="0"/>
          <w:numId w:val="47"/>
        </w:numPr>
        <w:tabs>
          <w:tab w:pos="384" w:val="left" w:leader="none"/>
          <w:tab w:pos="1786" w:val="left" w:leader="none"/>
        </w:tabs>
        <w:spacing w:line="202" w:lineRule="exact" w:before="24" w:after="0"/>
        <w:ind w:left="370" w:right="2711" w:hanging="197"/>
        <w:jc w:val="both"/>
        <w:rPr>
          <w:b/>
          <w:color w:val="3D3B3B"/>
          <w:sz w:val="17"/>
        </w:rPr>
      </w:pPr>
      <w:r>
        <w:rPr>
          <w:color w:val="3D3B3B"/>
          <w:w w:val="110"/>
          <w:sz w:val="16"/>
        </w:rPr>
        <w:t>The</w:t>
      </w:r>
      <w:r>
        <w:rPr>
          <w:color w:val="3D3B3B"/>
          <w:spacing w:val="-20"/>
          <w:w w:val="110"/>
          <w:sz w:val="16"/>
        </w:rPr>
        <w:t> </w:t>
      </w:r>
      <w:r>
        <w:rPr>
          <w:color w:val="3D3B3B"/>
          <w:w w:val="110"/>
          <w:sz w:val="16"/>
        </w:rPr>
        <w:t>rule</w:t>
        <w:tab/>
      </w:r>
      <w:r>
        <w:rPr>
          <w:color w:val="3D3B3B"/>
          <w:w w:val="115"/>
          <w:sz w:val="21"/>
        </w:rPr>
        <w:t>point.</w:t>
      </w:r>
      <w:r>
        <w:rPr>
          <w:color w:val="3D3B3B"/>
          <w:spacing w:val="-3"/>
          <w:w w:val="115"/>
          <w:sz w:val="21"/>
        </w:rPr>
        <w:t> </w:t>
      </w:r>
      <w:r>
        <w:rPr>
          <w:color w:val="3D3B3B"/>
          <w:w w:val="115"/>
          <w:sz w:val="21"/>
        </w:rPr>
        <w:t>Respondents</w:t>
      </w:r>
      <w:r>
        <w:rPr>
          <w:color w:val="3D3B3B"/>
          <w:spacing w:val="-13"/>
          <w:w w:val="115"/>
          <w:sz w:val="21"/>
        </w:rPr>
        <w:t> </w:t>
      </w:r>
      <w:r>
        <w:rPr>
          <w:color w:val="3D3B3B"/>
          <w:w w:val="115"/>
          <w:sz w:val="21"/>
        </w:rPr>
        <w:t>cannot</w:t>
      </w:r>
      <w:r>
        <w:rPr>
          <w:color w:val="3D3B3B"/>
          <w:spacing w:val="4"/>
          <w:w w:val="115"/>
          <w:sz w:val="21"/>
        </w:rPr>
        <w:t> </w:t>
      </w:r>
      <w:r>
        <w:rPr>
          <w:color w:val="3D3B3B"/>
          <w:w w:val="115"/>
          <w:sz w:val="21"/>
        </w:rPr>
        <w:t>meet</w:t>
      </w:r>
      <w:r>
        <w:rPr>
          <w:color w:val="3D3B3B"/>
          <w:spacing w:val="-2"/>
          <w:w w:val="115"/>
          <w:sz w:val="21"/>
        </w:rPr>
        <w:t> </w:t>
      </w:r>
      <w:r>
        <w:rPr>
          <w:color w:val="3D3B3B"/>
          <w:w w:val="115"/>
          <w:sz w:val="21"/>
        </w:rPr>
        <w:t>this burd</w:t>
      </w:r>
      <w:r>
        <w:rPr>
          <w:color w:val="575759"/>
          <w:w w:val="115"/>
          <w:sz w:val="21"/>
        </w:rPr>
        <w:t>e</w:t>
      </w:r>
      <w:r>
        <w:rPr>
          <w:color w:val="3D3B3B"/>
          <w:w w:val="115"/>
          <w:sz w:val="21"/>
        </w:rPr>
        <w:t>n.</w:t>
      </w:r>
      <w:r>
        <w:rPr>
          <w:color w:val="3D3B3B"/>
          <w:spacing w:val="41"/>
          <w:w w:val="115"/>
          <w:sz w:val="21"/>
        </w:rPr>
        <w:t> </w:t>
      </w:r>
      <w:r>
        <w:rPr>
          <w:color w:val="3D3B3B"/>
          <w:w w:val="115"/>
          <w:sz w:val="16"/>
        </w:rPr>
        <w:t>1</w:t>
      </w:r>
      <w:r>
        <w:rPr>
          <w:color w:val="3D3B3B"/>
          <w:spacing w:val="-43"/>
          <w:w w:val="115"/>
          <w:sz w:val="16"/>
        </w:rPr>
        <w:t> </w:t>
      </w:r>
      <w:r>
        <w:rPr>
          <w:color w:val="3D3B3B"/>
          <w:w w:val="115"/>
          <w:sz w:val="16"/>
        </w:rPr>
        <w:t>summary</w:t>
      </w:r>
      <w:r>
        <w:rPr>
          <w:color w:val="3D3B3B"/>
          <w:spacing w:val="-18"/>
          <w:w w:val="115"/>
          <w:sz w:val="16"/>
        </w:rPr>
        <w:t> </w:t>
      </w:r>
      <w:r>
        <w:rPr>
          <w:rFonts w:ascii="Arial"/>
          <w:i/>
          <w:color w:val="3D3B3B"/>
          <w:w w:val="115"/>
          <w:sz w:val="14"/>
        </w:rPr>
        <w:t>ends</w:t>
      </w:r>
    </w:p>
    <w:p>
      <w:pPr>
        <w:tabs>
          <w:tab w:pos="1457" w:val="left" w:leader="none"/>
        </w:tabs>
        <w:spacing w:line="178" w:lineRule="exact" w:before="0"/>
        <w:ind w:left="0" w:right="546" w:firstLine="0"/>
        <w:jc w:val="right"/>
        <w:rPr>
          <w:sz w:val="21"/>
        </w:rPr>
      </w:pPr>
      <w:r>
        <w:rPr>
          <w:rFonts w:ascii="Arial"/>
          <w:i/>
          <w:color w:val="3D3B3B"/>
          <w:w w:val="115"/>
          <w:sz w:val="14"/>
        </w:rPr>
        <w:t>here.</w:t>
        <w:tab/>
      </w:r>
      <w:r>
        <w:rPr>
          <w:rFonts w:ascii="Arial"/>
          <w:b/>
          <w:color w:val="3D3B3B"/>
          <w:w w:val="115"/>
          <w:sz w:val="15"/>
        </w:rPr>
        <w:t>2</w:t>
      </w:r>
      <w:r>
        <w:rPr>
          <w:rFonts w:ascii="Arial"/>
          <w:b/>
          <w:color w:val="3D3B3B"/>
          <w:spacing w:val="-6"/>
          <w:w w:val="115"/>
          <w:sz w:val="15"/>
        </w:rPr>
        <w:t> </w:t>
      </w:r>
      <w:r>
        <w:rPr>
          <w:color w:val="3D3B3B"/>
          <w:w w:val="115"/>
          <w:sz w:val="21"/>
        </w:rPr>
        <w:t>When</w:t>
      </w:r>
      <w:r>
        <w:rPr>
          <w:color w:val="3D3B3B"/>
          <w:spacing w:val="12"/>
          <w:w w:val="115"/>
          <w:sz w:val="21"/>
        </w:rPr>
        <w:t> </w:t>
      </w:r>
      <w:r>
        <w:rPr>
          <w:color w:val="3D3B3B"/>
          <w:w w:val="115"/>
          <w:sz w:val="21"/>
        </w:rPr>
        <w:t>Officer</w:t>
      </w:r>
      <w:r>
        <w:rPr>
          <w:color w:val="3D3B3B"/>
          <w:spacing w:val="-3"/>
          <w:w w:val="115"/>
          <w:sz w:val="21"/>
        </w:rPr>
        <w:t> </w:t>
      </w:r>
      <w:r>
        <w:rPr>
          <w:color w:val="3D3B3B"/>
          <w:w w:val="115"/>
          <w:sz w:val="21"/>
        </w:rPr>
        <w:t>Thielen</w:t>
      </w:r>
      <w:r>
        <w:rPr>
          <w:color w:val="3D3B3B"/>
          <w:spacing w:val="3"/>
          <w:w w:val="115"/>
          <w:sz w:val="21"/>
        </w:rPr>
        <w:t> </w:t>
      </w:r>
      <w:r>
        <w:rPr>
          <w:color w:val="3D3B3B"/>
          <w:w w:val="115"/>
          <w:sz w:val="21"/>
        </w:rPr>
        <w:t>arrived</w:t>
      </w:r>
      <w:r>
        <w:rPr>
          <w:color w:val="3D3B3B"/>
          <w:spacing w:val="18"/>
          <w:w w:val="115"/>
          <w:sz w:val="21"/>
        </w:rPr>
        <w:t> </w:t>
      </w:r>
      <w:r>
        <w:rPr>
          <w:color w:val="3D3B3B"/>
          <w:w w:val="115"/>
          <w:sz w:val="21"/>
        </w:rPr>
        <w:t>at</w:t>
      </w:r>
      <w:r>
        <w:rPr>
          <w:color w:val="3D3B3B"/>
          <w:spacing w:val="28"/>
          <w:w w:val="115"/>
          <w:sz w:val="21"/>
        </w:rPr>
        <w:t> </w:t>
      </w:r>
      <w:r>
        <w:rPr>
          <w:color w:val="3D3B3B"/>
          <w:w w:val="115"/>
          <w:sz w:val="21"/>
        </w:rPr>
        <w:t>the</w:t>
      </w:r>
      <w:r>
        <w:rPr>
          <w:color w:val="3D3B3B"/>
          <w:spacing w:val="13"/>
          <w:w w:val="115"/>
          <w:sz w:val="21"/>
        </w:rPr>
        <w:t> </w:t>
      </w:r>
      <w:r>
        <w:rPr>
          <w:color w:val="3D3B3B"/>
          <w:w w:val="115"/>
          <w:sz w:val="21"/>
        </w:rPr>
        <w:t>scene,</w:t>
      </w:r>
      <w:r>
        <w:rPr>
          <w:color w:val="3D3B3B"/>
          <w:spacing w:val="15"/>
          <w:w w:val="115"/>
          <w:sz w:val="21"/>
        </w:rPr>
        <w:t> </w:t>
      </w:r>
      <w:r>
        <w:rPr>
          <w:color w:val="3D3B3B"/>
          <w:w w:val="115"/>
          <w:sz w:val="21"/>
        </w:rPr>
        <w:t>he</w:t>
      </w:r>
      <w:r>
        <w:rPr>
          <w:color w:val="3D3B3B"/>
          <w:spacing w:val="18"/>
          <w:w w:val="115"/>
          <w:sz w:val="21"/>
        </w:rPr>
        <w:t> </w:t>
      </w:r>
      <w:r>
        <w:rPr>
          <w:color w:val="3D3B3B"/>
          <w:w w:val="115"/>
          <w:sz w:val="21"/>
        </w:rPr>
        <w:t>was</w:t>
      </w:r>
      <w:r>
        <w:rPr>
          <w:color w:val="3D3B3B"/>
          <w:spacing w:val="-4"/>
          <w:w w:val="115"/>
          <w:sz w:val="21"/>
        </w:rPr>
        <w:t> </w:t>
      </w:r>
      <w:r>
        <w:rPr>
          <w:color w:val="3D3B3B"/>
          <w:w w:val="115"/>
          <w:sz w:val="21"/>
        </w:rPr>
        <w:t>approached</w:t>
      </w:r>
      <w:r>
        <w:rPr>
          <w:color w:val="3D3B3B"/>
          <w:spacing w:val="30"/>
          <w:w w:val="115"/>
          <w:sz w:val="21"/>
        </w:rPr>
        <w:t> </w:t>
      </w:r>
      <w:r>
        <w:rPr>
          <w:color w:val="3D3B3B"/>
          <w:w w:val="115"/>
          <w:sz w:val="21"/>
        </w:rPr>
        <w:t>by</w:t>
      </w:r>
    </w:p>
    <w:p>
      <w:pPr>
        <w:pStyle w:val="ListParagraph"/>
        <w:numPr>
          <w:ilvl w:val="0"/>
          <w:numId w:val="47"/>
        </w:numPr>
        <w:tabs>
          <w:tab w:pos="183" w:val="left" w:leader="none"/>
          <w:tab w:pos="1641" w:val="left" w:leader="none"/>
        </w:tabs>
        <w:spacing w:line="236" w:lineRule="exact" w:before="0" w:after="0"/>
        <w:ind w:left="290" w:right="568" w:hanging="291"/>
        <w:jc w:val="right"/>
        <w:rPr>
          <w:rFonts w:ascii="Arial"/>
          <w:b/>
          <w:i/>
          <w:color w:val="3D3B3B"/>
          <w:sz w:val="16"/>
        </w:rPr>
      </w:pPr>
      <w:r>
        <w:rPr>
          <w:rFonts w:ascii="Arial"/>
          <w:i/>
          <w:color w:val="3D3B3B"/>
          <w:w w:val="115"/>
          <w:sz w:val="14"/>
        </w:rPr>
        <w:t>Th</w:t>
      </w:r>
      <w:r>
        <w:rPr>
          <w:rFonts w:ascii="Arial"/>
          <w:i/>
          <w:color w:val="575759"/>
          <w:w w:val="115"/>
          <w:sz w:val="14"/>
        </w:rPr>
        <w:t>e</w:t>
      </w:r>
      <w:r>
        <w:rPr>
          <w:rFonts w:ascii="Arial"/>
          <w:i/>
          <w:color w:val="575759"/>
          <w:spacing w:val="14"/>
          <w:w w:val="115"/>
          <w:sz w:val="14"/>
        </w:rPr>
        <w:t> </w:t>
      </w:r>
      <w:r>
        <w:rPr>
          <w:color w:val="3D3B3B"/>
          <w:w w:val="115"/>
          <w:sz w:val="16"/>
        </w:rPr>
        <w:t>rule</w:t>
        <w:tab/>
      </w:r>
      <w:r>
        <w:rPr>
          <w:color w:val="3D3B3B"/>
          <w:w w:val="115"/>
          <w:sz w:val="21"/>
        </w:rPr>
        <w:t>a</w:t>
      </w:r>
      <w:r>
        <w:rPr>
          <w:color w:val="3D3B3B"/>
          <w:spacing w:val="43"/>
          <w:w w:val="115"/>
          <w:sz w:val="21"/>
        </w:rPr>
        <w:t> </w:t>
      </w:r>
      <w:r>
        <w:rPr>
          <w:color w:val="3D3B3B"/>
          <w:w w:val="115"/>
          <w:sz w:val="21"/>
        </w:rPr>
        <w:t>neighbor of</w:t>
      </w:r>
      <w:r>
        <w:rPr>
          <w:color w:val="3D3B3B"/>
          <w:spacing w:val="24"/>
          <w:w w:val="115"/>
          <w:sz w:val="21"/>
        </w:rPr>
        <w:t> </w:t>
      </w:r>
      <w:r>
        <w:rPr>
          <w:color w:val="3D3B3B"/>
          <w:w w:val="115"/>
          <w:sz w:val="21"/>
        </w:rPr>
        <w:t>the</w:t>
      </w:r>
      <w:r>
        <w:rPr>
          <w:color w:val="3D3B3B"/>
          <w:spacing w:val="30"/>
          <w:w w:val="115"/>
          <w:sz w:val="21"/>
        </w:rPr>
        <w:t> </w:t>
      </w:r>
      <w:r>
        <w:rPr>
          <w:color w:val="3D3B3B"/>
          <w:w w:val="115"/>
          <w:sz w:val="21"/>
        </w:rPr>
        <w:t>respondents,</w:t>
      </w:r>
      <w:r>
        <w:rPr>
          <w:color w:val="3D3B3B"/>
          <w:spacing w:val="17"/>
          <w:w w:val="115"/>
          <w:sz w:val="21"/>
        </w:rPr>
        <w:t> </w:t>
      </w:r>
      <w:r>
        <w:rPr>
          <w:color w:val="3D3B3B"/>
          <w:w w:val="115"/>
          <w:sz w:val="21"/>
        </w:rPr>
        <w:t>who</w:t>
      </w:r>
      <w:r>
        <w:rPr>
          <w:color w:val="3D3B3B"/>
          <w:spacing w:val="22"/>
          <w:w w:val="115"/>
          <w:sz w:val="21"/>
        </w:rPr>
        <w:t> </w:t>
      </w:r>
      <w:r>
        <w:rPr>
          <w:color w:val="3D3B3B"/>
          <w:w w:val="115"/>
          <w:sz w:val="21"/>
        </w:rPr>
        <w:t>told</w:t>
      </w:r>
      <w:r>
        <w:rPr>
          <w:color w:val="3D3B3B"/>
          <w:spacing w:val="16"/>
          <w:w w:val="115"/>
          <w:sz w:val="21"/>
        </w:rPr>
        <w:t> </w:t>
      </w:r>
      <w:r>
        <w:rPr>
          <w:color w:val="3D3B3B"/>
          <w:w w:val="115"/>
          <w:sz w:val="21"/>
        </w:rPr>
        <w:t>him</w:t>
      </w:r>
      <w:r>
        <w:rPr>
          <w:color w:val="3D3B3B"/>
          <w:spacing w:val="24"/>
          <w:w w:val="115"/>
          <w:sz w:val="21"/>
        </w:rPr>
        <w:t> </w:t>
      </w:r>
      <w:r>
        <w:rPr>
          <w:color w:val="3D3B3B"/>
          <w:w w:val="115"/>
          <w:sz w:val="21"/>
        </w:rPr>
        <w:t>what</w:t>
      </w:r>
      <w:r>
        <w:rPr>
          <w:color w:val="3D3B3B"/>
          <w:spacing w:val="17"/>
          <w:w w:val="115"/>
          <w:sz w:val="21"/>
        </w:rPr>
        <w:t> </w:t>
      </w:r>
      <w:r>
        <w:rPr>
          <w:color w:val="3D3B3B"/>
          <w:w w:val="115"/>
          <w:sz w:val="21"/>
        </w:rPr>
        <w:t>he</w:t>
      </w:r>
      <w:r>
        <w:rPr>
          <w:color w:val="3D3B3B"/>
          <w:spacing w:val="16"/>
          <w:w w:val="115"/>
          <w:sz w:val="21"/>
        </w:rPr>
        <w:t> </w:t>
      </w:r>
      <w:r>
        <w:rPr>
          <w:color w:val="3D3B3B"/>
          <w:w w:val="115"/>
          <w:sz w:val="21"/>
        </w:rPr>
        <w:t>had</w:t>
      </w:r>
      <w:r>
        <w:rPr>
          <w:color w:val="3D3B3B"/>
          <w:spacing w:val="20"/>
          <w:w w:val="115"/>
          <w:sz w:val="21"/>
        </w:rPr>
        <w:t> </w:t>
      </w:r>
      <w:r>
        <w:rPr>
          <w:color w:val="3D3B3B"/>
          <w:w w:val="115"/>
          <w:sz w:val="21"/>
        </w:rPr>
        <w:t>observed</w:t>
      </w:r>
    </w:p>
    <w:p>
      <w:pPr>
        <w:tabs>
          <w:tab w:pos="1753" w:val="left" w:leader="none"/>
        </w:tabs>
        <w:spacing w:line="224" w:lineRule="exact" w:before="0"/>
        <w:ind w:left="314" w:right="0" w:firstLine="0"/>
        <w:jc w:val="left"/>
        <w:rPr>
          <w:sz w:val="20"/>
        </w:rPr>
      </w:pPr>
      <w:r>
        <w:rPr>
          <w:color w:val="3D3B3B"/>
          <w:spacing w:val="-1"/>
          <w:w w:val="120"/>
          <w:sz w:val="16"/>
        </w:rPr>
        <w:t>application</w:t>
        <w:tab/>
      </w:r>
      <w:r>
        <w:rPr>
          <w:b/>
          <w:color w:val="3D3B3B"/>
          <w:spacing w:val="-1"/>
          <w:w w:val="120"/>
          <w:sz w:val="20"/>
        </w:rPr>
        <w:t>through</w:t>
      </w:r>
      <w:r>
        <w:rPr>
          <w:b/>
          <w:color w:val="3D3B3B"/>
          <w:spacing w:val="-11"/>
          <w:w w:val="120"/>
          <w:sz w:val="20"/>
        </w:rPr>
        <w:t> </w:t>
      </w:r>
      <w:r>
        <w:rPr>
          <w:b/>
          <w:color w:val="3D3B3B"/>
          <w:spacing w:val="-1"/>
          <w:w w:val="120"/>
          <w:sz w:val="20"/>
        </w:rPr>
        <w:t>respondents'</w:t>
      </w:r>
      <w:r>
        <w:rPr>
          <w:b/>
          <w:color w:val="3D3B3B"/>
          <w:spacing w:val="-8"/>
          <w:w w:val="120"/>
          <w:sz w:val="20"/>
        </w:rPr>
        <w:t> </w:t>
      </w:r>
      <w:r>
        <w:rPr>
          <w:b/>
          <w:color w:val="3D3B3B"/>
          <w:spacing w:val="-1"/>
          <w:w w:val="125"/>
          <w:sz w:val="20"/>
        </w:rPr>
        <w:t>window</w:t>
      </w:r>
      <w:r>
        <w:rPr>
          <w:b/>
          <w:color w:val="575759"/>
          <w:spacing w:val="-1"/>
          <w:w w:val="125"/>
          <w:sz w:val="20"/>
        </w:rPr>
        <w:t>.</w:t>
      </w:r>
      <w:r>
        <w:rPr>
          <w:color w:val="3D3B3B"/>
          <w:spacing w:val="-1"/>
          <w:w w:val="125"/>
          <w:sz w:val="20"/>
        </w:rPr>
        <w:t>...</w:t>
      </w:r>
    </w:p>
    <w:p>
      <w:pPr>
        <w:spacing w:line="156" w:lineRule="exact" w:before="0"/>
        <w:ind w:left="291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3D3B3B"/>
          <w:w w:val="105"/>
          <w:sz w:val="14"/>
        </w:rPr>
        <w:t>begins</w:t>
      </w:r>
      <w:r>
        <w:rPr>
          <w:rFonts w:ascii="Arial"/>
          <w:b/>
          <w:color w:val="3D3B3B"/>
          <w:spacing w:val="-11"/>
          <w:w w:val="105"/>
          <w:sz w:val="14"/>
        </w:rPr>
        <w:t> </w:t>
      </w:r>
      <w:r>
        <w:rPr>
          <w:rFonts w:ascii="Arial"/>
          <w:b/>
          <w:color w:val="3D3B3B"/>
          <w:w w:val="105"/>
          <w:sz w:val="14"/>
        </w:rPr>
        <w:t>here</w:t>
      </w:r>
      <w:r>
        <w:rPr>
          <w:rFonts w:ascii="Arial"/>
          <w:b/>
          <w:color w:val="575759"/>
          <w:w w:val="105"/>
          <w:sz w:val="14"/>
        </w:rPr>
        <w:t>.</w:t>
      </w:r>
    </w:p>
    <w:p>
      <w:pPr>
        <w:pStyle w:val="BodyText"/>
        <w:spacing w:line="230" w:lineRule="auto"/>
        <w:ind w:left="1323" w:right="209" w:firstLine="21"/>
        <w:jc w:val="both"/>
      </w:pPr>
      <w:r>
        <w:rPr>
          <w:color w:val="3D3B3B"/>
          <w:w w:val="110"/>
        </w:rPr>
        <w:t>This transition is ineffective because it does not echo concepts from the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05"/>
        </w:rPr>
        <w:t>rule summary. The only language it echoes is Officer Thielen's name, and</w:t>
      </w:r>
      <w:r>
        <w:rPr>
          <w:color w:val="3D3B3B"/>
          <w:spacing w:val="1"/>
          <w:w w:val="105"/>
        </w:rPr>
        <w:t> </w:t>
      </w:r>
      <w:r>
        <w:rPr>
          <w:rFonts w:ascii="Arial"/>
          <w:i/>
          <w:color w:val="3D3B3B"/>
          <w:w w:val="110"/>
          <w:sz w:val="20"/>
        </w:rPr>
        <w:t>that </w:t>
      </w:r>
      <w:r>
        <w:rPr>
          <w:color w:val="3D3B3B"/>
          <w:w w:val="110"/>
        </w:rPr>
        <w:t>is insufficient to make the connection explicit. This example does a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better</w:t>
      </w:r>
      <w:r>
        <w:rPr>
          <w:color w:val="3D3B3B"/>
          <w:spacing w:val="26"/>
          <w:w w:val="110"/>
        </w:rPr>
        <w:t> </w:t>
      </w:r>
      <w:r>
        <w:rPr>
          <w:color w:val="3D3B3B"/>
          <w:w w:val="110"/>
        </w:rPr>
        <w:t>job</w:t>
      </w:r>
      <w:r>
        <w:rPr>
          <w:color w:val="3D3B3B"/>
          <w:spacing w:val="-16"/>
          <w:w w:val="110"/>
        </w:rPr>
        <w:t> </w:t>
      </w:r>
      <w:r>
        <w:rPr>
          <w:color w:val="3D3B3B"/>
          <w:w w:val="110"/>
        </w:rPr>
        <w:t>of</w:t>
      </w:r>
      <w:r>
        <w:rPr>
          <w:color w:val="3D3B3B"/>
          <w:spacing w:val="13"/>
          <w:w w:val="110"/>
        </w:rPr>
        <w:t> </w:t>
      </w:r>
      <w:r>
        <w:rPr>
          <w:color w:val="3D3B3B"/>
          <w:w w:val="110"/>
        </w:rPr>
        <w:t>making</w:t>
      </w:r>
      <w:r>
        <w:rPr>
          <w:color w:val="3D3B3B"/>
          <w:spacing w:val="1"/>
          <w:w w:val="110"/>
        </w:rPr>
        <w:t> </w:t>
      </w:r>
      <w:r>
        <w:rPr>
          <w:color w:val="3D3B3B"/>
          <w:w w:val="110"/>
        </w:rPr>
        <w:t>the connection:</w:t>
      </w:r>
    </w:p>
    <w:p>
      <w:pPr>
        <w:spacing w:after="0" w:line="230" w:lineRule="auto"/>
        <w:jc w:val="both"/>
        <w:sectPr>
          <w:headerReference w:type="even" r:id="rId125"/>
          <w:headerReference w:type="default" r:id="rId126"/>
          <w:pgSz w:w="9470" w:h="13770"/>
          <w:pgMar w:header="520" w:footer="0" w:top="1020" w:bottom="0" w:left="480" w:right="0"/>
          <w:pgNumType w:start="102"/>
        </w:sectPr>
      </w:pPr>
    </w:p>
    <w:p>
      <w:pPr>
        <w:spacing w:before="79"/>
        <w:ind w:left="101" w:right="0" w:firstLine="0"/>
        <w:jc w:val="left"/>
        <w:rPr>
          <w:sz w:val="15"/>
        </w:rPr>
      </w:pPr>
      <w:r>
        <w:rPr>
          <w:color w:val="3B3A3B"/>
          <w:w w:val="95"/>
          <w:sz w:val="26"/>
          <w:u w:val="thick" w:color="3B3A3B"/>
        </w:rPr>
        <w:t>_,0,</w:t>
      </w:r>
      <w:r>
        <w:rPr>
          <w:color w:val="3B3A3B"/>
          <w:spacing w:val="-6"/>
          <w:w w:val="95"/>
          <w:sz w:val="26"/>
          <w:u w:val="thick" w:color="3B3A3B"/>
        </w:rPr>
        <w:t> </w:t>
      </w:r>
      <w:r>
        <w:rPr>
          <w:color w:val="3B3A3B"/>
          <w:w w:val="95"/>
          <w:sz w:val="15"/>
          <w:u w:val="thick" w:color="3B3A3B"/>
        </w:rPr>
        <w:t>MORE</w:t>
      </w:r>
      <w:r>
        <w:rPr>
          <w:color w:val="3B3A3B"/>
          <w:spacing w:val="21"/>
          <w:w w:val="95"/>
          <w:sz w:val="15"/>
          <w:u w:val="thick" w:color="3B3A3B"/>
        </w:rPr>
        <w:t> </w:t>
      </w:r>
      <w:r>
        <w:rPr>
          <w:color w:val="3B3A3B"/>
          <w:w w:val="95"/>
          <w:sz w:val="15"/>
          <w:u w:val="thick" w:color="3B3A3B"/>
        </w:rPr>
        <w:t>EFFECTIVE</w:t>
      </w:r>
      <w:r>
        <w:rPr>
          <w:color w:val="3B3A3B"/>
          <w:spacing w:val="29"/>
          <w:w w:val="95"/>
          <w:sz w:val="15"/>
          <w:u w:val="thick" w:color="3B3A3B"/>
        </w:rPr>
        <w:t> </w:t>
      </w:r>
      <w:r>
        <w:rPr>
          <w:color w:val="3B3A3B"/>
          <w:w w:val="95"/>
          <w:sz w:val="15"/>
          <w:u w:val="thick" w:color="3B3A3B"/>
        </w:rPr>
        <w:t>TRANSITION</w:t>
      </w:r>
      <w:r>
        <w:rPr>
          <w:color w:val="3B3A3B"/>
          <w:spacing w:val="21"/>
          <w:w w:val="95"/>
          <w:sz w:val="15"/>
          <w:u w:val="thick" w:color="3B3A3B"/>
        </w:rPr>
        <w:t> </w:t>
      </w:r>
      <w:r>
        <w:rPr>
          <w:color w:val="3B3A3B"/>
          <w:w w:val="95"/>
          <w:sz w:val="15"/>
          <w:u w:val="thick" w:color="3B3A3B"/>
        </w:rPr>
        <w:t>FROM</w:t>
      </w:r>
      <w:r>
        <w:rPr>
          <w:color w:val="3B3A3B"/>
          <w:spacing w:val="35"/>
          <w:w w:val="95"/>
          <w:sz w:val="15"/>
          <w:u w:val="thick" w:color="3B3A3B"/>
        </w:rPr>
        <w:t> </w:t>
      </w:r>
      <w:r>
        <w:rPr>
          <w:color w:val="3B3A3B"/>
          <w:w w:val="95"/>
          <w:sz w:val="15"/>
          <w:u w:val="thick" w:color="3B3A3B"/>
        </w:rPr>
        <w:t>RU</w:t>
      </w:r>
      <w:r>
        <w:rPr>
          <w:color w:val="626466"/>
          <w:w w:val="95"/>
          <w:sz w:val="15"/>
          <w:u w:val="thick" w:color="3B3A3B"/>
        </w:rPr>
        <w:t>L</w:t>
      </w:r>
      <w:r>
        <w:rPr>
          <w:color w:val="3B3A3B"/>
          <w:w w:val="95"/>
          <w:sz w:val="15"/>
          <w:u w:val="thick" w:color="3B3A3B"/>
        </w:rPr>
        <w:t>E</w:t>
      </w:r>
      <w:r>
        <w:rPr>
          <w:color w:val="3B3A3B"/>
          <w:spacing w:val="13"/>
          <w:w w:val="95"/>
          <w:sz w:val="15"/>
          <w:u w:val="thick" w:color="3B3A3B"/>
        </w:rPr>
        <w:t> </w:t>
      </w:r>
      <w:r>
        <w:rPr>
          <w:color w:val="3B3A3B"/>
          <w:w w:val="95"/>
          <w:sz w:val="15"/>
          <w:u w:val="thick" w:color="3B3A3B"/>
        </w:rPr>
        <w:t>SUMMARY</w:t>
      </w:r>
      <w:r>
        <w:rPr>
          <w:color w:val="3B3A3B"/>
          <w:spacing w:val="34"/>
          <w:w w:val="95"/>
          <w:sz w:val="15"/>
          <w:u w:val="thick" w:color="3B3A3B"/>
        </w:rPr>
        <w:t> </w:t>
      </w:r>
      <w:r>
        <w:rPr>
          <w:color w:val="3B3A3B"/>
          <w:w w:val="95"/>
          <w:sz w:val="15"/>
          <w:u w:val="thick" w:color="3B3A3B"/>
        </w:rPr>
        <w:t>TO</w:t>
      </w:r>
      <w:r>
        <w:rPr>
          <w:color w:val="3B3A3B"/>
          <w:spacing w:val="55"/>
          <w:sz w:val="15"/>
          <w:u w:val="thick" w:color="3B3A3B"/>
        </w:rPr>
        <w:t> </w:t>
      </w:r>
      <w:r>
        <w:rPr>
          <w:color w:val="3B3A3B"/>
          <w:w w:val="95"/>
          <w:sz w:val="15"/>
          <w:u w:val="thick" w:color="3B3A3B"/>
        </w:rPr>
        <w:t>RULE</w:t>
      </w:r>
      <w:r>
        <w:rPr>
          <w:color w:val="3B3A3B"/>
          <w:spacing w:val="33"/>
          <w:w w:val="95"/>
          <w:sz w:val="15"/>
          <w:u w:val="thick" w:color="3B3A3B"/>
        </w:rPr>
        <w:t> </w:t>
      </w:r>
      <w:r>
        <w:rPr>
          <w:color w:val="3B3A3B"/>
          <w:w w:val="95"/>
          <w:sz w:val="15"/>
          <w:u w:val="thick" w:color="3B3A3B"/>
        </w:rPr>
        <w:t>APPLICATION</w:t>
      </w:r>
    </w:p>
    <w:p>
      <w:pPr>
        <w:pStyle w:val="BodyText"/>
        <w:rPr>
          <w:sz w:val="12"/>
        </w:rPr>
      </w:pPr>
    </w:p>
    <w:p>
      <w:pPr>
        <w:spacing w:after="0"/>
        <w:rPr>
          <w:sz w:val="12"/>
        </w:rPr>
        <w:sectPr>
          <w:pgSz w:w="9550" w:h="13730"/>
          <w:pgMar w:header="434" w:footer="0" w:top="1020" w:bottom="280" w:left="460" w:right="120"/>
        </w:sectPr>
      </w:pPr>
    </w:p>
    <w:p>
      <w:pPr>
        <w:spacing w:line="235" w:lineRule="auto" w:before="96"/>
        <w:ind w:left="469" w:right="394" w:hanging="10"/>
        <w:jc w:val="both"/>
        <w:rPr>
          <w:sz w:val="16"/>
        </w:rPr>
      </w:pPr>
      <w:r>
        <w:rPr>
          <w:color w:val="3B3A3B"/>
          <w:w w:val="120"/>
          <w:sz w:val="21"/>
        </w:rPr>
        <w:t>Thus, the  only way that respondents can  establish  that  petition­</w:t>
      </w:r>
      <w:r>
        <w:rPr>
          <w:color w:val="3B3A3B"/>
          <w:spacing w:val="1"/>
          <w:w w:val="120"/>
          <w:sz w:val="21"/>
        </w:rPr>
        <w:t> </w:t>
      </w:r>
      <w:r>
        <w:rPr>
          <w:color w:val="3B3A3B"/>
          <w:w w:val="115"/>
          <w:sz w:val="21"/>
        </w:rPr>
        <w:t>ers violated the</w:t>
      </w:r>
      <w:r>
        <w:rPr>
          <w:color w:val="3B3A3B"/>
          <w:spacing w:val="1"/>
          <w:w w:val="115"/>
          <w:sz w:val="21"/>
        </w:rPr>
        <w:t> </w:t>
      </w:r>
      <w:r>
        <w:rPr>
          <w:color w:val="3B3A3B"/>
          <w:w w:val="115"/>
          <w:sz w:val="21"/>
        </w:rPr>
        <w:t>plain view doctrine is if they can show that Officer</w:t>
      </w:r>
      <w:r>
        <w:rPr>
          <w:color w:val="3B3A3B"/>
          <w:spacing w:val="1"/>
          <w:w w:val="115"/>
          <w:sz w:val="21"/>
        </w:rPr>
        <w:t> </w:t>
      </w:r>
      <w:r>
        <w:rPr>
          <w:color w:val="3B3A3B"/>
          <w:w w:val="120"/>
          <w:sz w:val="21"/>
        </w:rPr>
        <w:t>Thielen observed respondents' activities from an unlawful vantage</w:t>
      </w:r>
      <w:r>
        <w:rPr>
          <w:color w:val="3B3A3B"/>
          <w:spacing w:val="1"/>
          <w:w w:val="120"/>
          <w:sz w:val="21"/>
        </w:rPr>
        <w:t> </w:t>
      </w:r>
      <w:r>
        <w:rPr>
          <w:color w:val="3B3A3B"/>
          <w:spacing w:val="-1"/>
          <w:w w:val="120"/>
          <w:sz w:val="21"/>
        </w:rPr>
        <w:t>point.</w:t>
      </w:r>
      <w:r>
        <w:rPr>
          <w:color w:val="3B3A3B"/>
          <w:spacing w:val="-20"/>
          <w:w w:val="120"/>
          <w:sz w:val="21"/>
        </w:rPr>
        <w:t> </w:t>
      </w:r>
      <w:r>
        <w:rPr>
          <w:color w:val="3B3A3B"/>
          <w:spacing w:val="-1"/>
          <w:w w:val="120"/>
          <w:sz w:val="21"/>
        </w:rPr>
        <w:t>Respondents</w:t>
      </w:r>
      <w:r>
        <w:rPr>
          <w:color w:val="3B3A3B"/>
          <w:spacing w:val="-12"/>
          <w:w w:val="120"/>
          <w:sz w:val="21"/>
        </w:rPr>
        <w:t> </w:t>
      </w:r>
      <w:r>
        <w:rPr>
          <w:color w:val="3B3A3B"/>
          <w:spacing w:val="-1"/>
          <w:w w:val="120"/>
          <w:sz w:val="21"/>
        </w:rPr>
        <w:t>cannot</w:t>
      </w:r>
      <w:r>
        <w:rPr>
          <w:color w:val="3B3A3B"/>
          <w:spacing w:val="2"/>
          <w:w w:val="120"/>
          <w:sz w:val="21"/>
        </w:rPr>
        <w:t> </w:t>
      </w:r>
      <w:r>
        <w:rPr>
          <w:color w:val="3B3A3B"/>
          <w:w w:val="120"/>
          <w:sz w:val="21"/>
        </w:rPr>
        <w:t>meet</w:t>
      </w:r>
      <w:r>
        <w:rPr>
          <w:color w:val="3B3A3B"/>
          <w:spacing w:val="-10"/>
          <w:w w:val="120"/>
          <w:sz w:val="21"/>
        </w:rPr>
        <w:t> </w:t>
      </w:r>
      <w:r>
        <w:rPr>
          <w:color w:val="3B3A3B"/>
          <w:w w:val="120"/>
          <w:sz w:val="21"/>
        </w:rPr>
        <w:t>this</w:t>
      </w:r>
      <w:r>
        <w:rPr>
          <w:color w:val="3B3A3B"/>
          <w:spacing w:val="-11"/>
          <w:w w:val="120"/>
          <w:sz w:val="21"/>
        </w:rPr>
        <w:t> </w:t>
      </w:r>
      <w:r>
        <w:rPr>
          <w:color w:val="3B3A3B"/>
          <w:w w:val="120"/>
          <w:sz w:val="21"/>
        </w:rPr>
        <w:t>burden.</w:t>
      </w:r>
      <w:r>
        <w:rPr>
          <w:color w:val="3B3A3B"/>
          <w:spacing w:val="30"/>
          <w:w w:val="120"/>
          <w:sz w:val="21"/>
        </w:rPr>
        <w:t> </w:t>
      </w:r>
      <w:r>
        <w:rPr>
          <w:color w:val="3B3A3B"/>
          <w:w w:val="120"/>
          <w:sz w:val="16"/>
        </w:rPr>
        <w:t>1</w:t>
      </w:r>
    </w:p>
    <w:p>
      <w:pPr>
        <w:spacing w:before="138"/>
        <w:ind w:left="469" w:right="343" w:firstLine="49"/>
        <w:jc w:val="both"/>
        <w:rPr>
          <w:sz w:val="21"/>
        </w:rPr>
      </w:pPr>
      <w:r>
        <w:rPr>
          <w:rFonts w:ascii="Arial"/>
          <w:color w:val="3B3A3B"/>
          <w:w w:val="115"/>
          <w:sz w:val="16"/>
        </w:rPr>
        <w:t>2 </w:t>
      </w:r>
      <w:r>
        <w:rPr>
          <w:color w:val="3B3A3B"/>
          <w:w w:val="115"/>
          <w:sz w:val="21"/>
        </w:rPr>
        <w:t>In the case at bar, Officer Thielen merely observed a scene that was</w:t>
      </w:r>
      <w:r>
        <w:rPr>
          <w:color w:val="3B3A3B"/>
          <w:spacing w:val="1"/>
          <w:w w:val="115"/>
          <w:sz w:val="21"/>
        </w:rPr>
        <w:t> </w:t>
      </w:r>
      <w:r>
        <w:rPr>
          <w:color w:val="3B3A3B"/>
          <w:w w:val="115"/>
          <w:sz w:val="21"/>
        </w:rPr>
        <w:t>in plain view from his lawful vantage point.Thearea in which Officer</w:t>
      </w:r>
      <w:r>
        <w:rPr>
          <w:color w:val="3B3A3B"/>
          <w:spacing w:val="1"/>
          <w:w w:val="115"/>
          <w:sz w:val="21"/>
        </w:rPr>
        <w:t> </w:t>
      </w:r>
      <w:r>
        <w:rPr>
          <w:color w:val="3B3A3B"/>
          <w:w w:val="120"/>
          <w:sz w:val="21"/>
        </w:rPr>
        <w:t>Thielen</w:t>
      </w:r>
      <w:r>
        <w:rPr>
          <w:color w:val="3B3A3B"/>
          <w:spacing w:val="3"/>
          <w:w w:val="120"/>
          <w:sz w:val="21"/>
        </w:rPr>
        <w:t> </w:t>
      </w:r>
      <w:r>
        <w:rPr>
          <w:color w:val="3B3A3B"/>
          <w:w w:val="120"/>
          <w:sz w:val="21"/>
        </w:rPr>
        <w:t>stood</w:t>
      </w:r>
      <w:r>
        <w:rPr>
          <w:color w:val="3B3A3B"/>
          <w:spacing w:val="7"/>
          <w:w w:val="120"/>
          <w:sz w:val="21"/>
        </w:rPr>
        <w:t> </w:t>
      </w:r>
      <w:r>
        <w:rPr>
          <w:color w:val="3B3A3B"/>
          <w:w w:val="120"/>
          <w:sz w:val="21"/>
        </w:rPr>
        <w:t>was</w:t>
      </w:r>
      <w:r>
        <w:rPr>
          <w:color w:val="3B3A3B"/>
          <w:spacing w:val="-14"/>
          <w:w w:val="120"/>
          <w:sz w:val="21"/>
        </w:rPr>
        <w:t> </w:t>
      </w:r>
      <w:r>
        <w:rPr>
          <w:color w:val="3B3A3B"/>
          <w:w w:val="120"/>
          <w:sz w:val="21"/>
        </w:rPr>
        <w:t>outside</w:t>
      </w:r>
      <w:r>
        <w:rPr>
          <w:color w:val="3B3A3B"/>
          <w:spacing w:val="5"/>
          <w:w w:val="120"/>
          <w:sz w:val="21"/>
        </w:rPr>
        <w:t> </w:t>
      </w:r>
      <w:r>
        <w:rPr>
          <w:color w:val="3B3A3B"/>
          <w:w w:val="120"/>
          <w:sz w:val="21"/>
        </w:rPr>
        <w:t>the</w:t>
      </w:r>
      <w:r>
        <w:rPr>
          <w:color w:val="3B3A3B"/>
          <w:spacing w:val="9"/>
          <w:w w:val="120"/>
          <w:sz w:val="21"/>
        </w:rPr>
        <w:t> </w:t>
      </w:r>
      <w:r>
        <w:rPr>
          <w:color w:val="3B3A3B"/>
          <w:w w:val="120"/>
          <w:sz w:val="21"/>
        </w:rPr>
        <w:t>curtilage</w:t>
      </w:r>
      <w:r>
        <w:rPr>
          <w:color w:val="3B3A3B"/>
          <w:spacing w:val="-9"/>
          <w:w w:val="120"/>
          <w:sz w:val="21"/>
        </w:rPr>
        <w:t> </w:t>
      </w:r>
      <w:r>
        <w:rPr>
          <w:color w:val="3B3A3B"/>
          <w:w w:val="120"/>
          <w:sz w:val="21"/>
        </w:rPr>
        <w:t>of</w:t>
      </w:r>
      <w:r>
        <w:rPr>
          <w:color w:val="3B3A3B"/>
          <w:spacing w:val="1"/>
          <w:w w:val="120"/>
          <w:sz w:val="21"/>
        </w:rPr>
        <w:t> </w:t>
      </w:r>
      <w:r>
        <w:rPr>
          <w:color w:val="3B3A3B"/>
          <w:w w:val="120"/>
          <w:sz w:val="21"/>
        </w:rPr>
        <w:t>the</w:t>
      </w:r>
      <w:r>
        <w:rPr>
          <w:color w:val="3B3A3B"/>
          <w:spacing w:val="9"/>
          <w:w w:val="120"/>
          <w:sz w:val="21"/>
        </w:rPr>
        <w:t> </w:t>
      </w:r>
      <w:r>
        <w:rPr>
          <w:color w:val="3B3A3B"/>
          <w:w w:val="120"/>
          <w:sz w:val="21"/>
        </w:rPr>
        <w:t>apartment....</w:t>
      </w:r>
    </w:p>
    <w:p>
      <w:pPr>
        <w:pStyle w:val="BodyText"/>
        <w:spacing w:line="235" w:lineRule="auto" w:before="147"/>
        <w:ind w:left="129" w:hanging="9"/>
        <w:jc w:val="both"/>
      </w:pPr>
      <w:r>
        <w:rPr>
          <w:color w:val="3B3A3B"/>
          <w:w w:val="110"/>
        </w:rPr>
        <w:t>This example is more effective because </w:t>
      </w:r>
      <w:r>
        <w:rPr>
          <w:color w:val="3B3A3B"/>
          <w:w w:val="110"/>
          <w:sz w:val="21"/>
        </w:rPr>
        <w:t>it </w:t>
      </w:r>
      <w:r>
        <w:rPr>
          <w:color w:val="3B3A3B"/>
          <w:w w:val="110"/>
        </w:rPr>
        <w:t>uses the phrase-that-pays, "plain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05"/>
        </w:rPr>
        <w:t>view," and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the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term </w:t>
      </w:r>
      <w:r>
        <w:rPr>
          <w:i/>
          <w:color w:val="3B3A3B"/>
          <w:w w:val="105"/>
        </w:rPr>
        <w:t>lawful vantage point, </w:t>
      </w:r>
      <w:r>
        <w:rPr>
          <w:color w:val="3B3A3B"/>
          <w:w w:val="105"/>
        </w:rPr>
        <w:t>which is a crucial concept in the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15"/>
        </w:rPr>
        <w:t>rule summary. By using these concepts in both the rule summary and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0"/>
        </w:rPr>
        <w:t>the first sentence of the rule application, the writer makes it easier for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reader to make the connection between the rule explanation and the rule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5"/>
        </w:rPr>
        <w:t>application.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line="252" w:lineRule="auto" w:before="126"/>
        <w:ind w:left="146" w:right="99" w:hanging="168"/>
        <w:jc w:val="left"/>
        <w:rPr>
          <w:b/>
          <w:sz w:val="14"/>
        </w:rPr>
      </w:pPr>
      <w:r>
        <w:rPr>
          <w:b/>
          <w:color w:val="3B3A3B"/>
          <w:w w:val="105"/>
          <w:sz w:val="17"/>
        </w:rPr>
        <w:t>1</w:t>
      </w:r>
      <w:r>
        <w:rPr>
          <w:b/>
          <w:color w:val="3B3A3B"/>
          <w:spacing w:val="1"/>
          <w:w w:val="105"/>
          <w:sz w:val="17"/>
        </w:rPr>
        <w:t> </w:t>
      </w:r>
      <w:r>
        <w:rPr>
          <w:rFonts w:ascii="Arial"/>
          <w:color w:val="3B3A3B"/>
          <w:w w:val="105"/>
          <w:sz w:val="14"/>
        </w:rPr>
        <w:t>The rule</w:t>
      </w:r>
      <w:r>
        <w:rPr>
          <w:rFonts w:ascii="Arial"/>
          <w:color w:val="3B3A3B"/>
          <w:spacing w:val="1"/>
          <w:w w:val="105"/>
          <w:sz w:val="14"/>
        </w:rPr>
        <w:t> </w:t>
      </w:r>
      <w:r>
        <w:rPr>
          <w:color w:val="3B3A3B"/>
          <w:w w:val="110"/>
          <w:sz w:val="15"/>
        </w:rPr>
        <w:t>summary ends</w:t>
      </w:r>
      <w:r>
        <w:rPr>
          <w:color w:val="3B3A3B"/>
          <w:spacing w:val="-39"/>
          <w:w w:val="110"/>
          <w:sz w:val="15"/>
        </w:rPr>
        <w:t> </w:t>
      </w:r>
      <w:r>
        <w:rPr>
          <w:b/>
          <w:color w:val="3B3A3B"/>
          <w:w w:val="110"/>
          <w:sz w:val="14"/>
        </w:rPr>
        <w:t>here</w:t>
      </w:r>
      <w:r>
        <w:rPr>
          <w:b/>
          <w:color w:val="727275"/>
          <w:w w:val="110"/>
          <w:sz w:val="14"/>
        </w:rPr>
        <w:t>.</w:t>
      </w:r>
    </w:p>
    <w:p>
      <w:pPr>
        <w:spacing w:line="244" w:lineRule="auto" w:before="23"/>
        <w:ind w:left="157" w:right="99" w:hanging="172"/>
        <w:jc w:val="left"/>
        <w:rPr>
          <w:b/>
          <w:sz w:val="14"/>
        </w:rPr>
      </w:pPr>
      <w:r>
        <w:rPr>
          <w:b/>
          <w:color w:val="3B3A3B"/>
          <w:w w:val="105"/>
          <w:sz w:val="17"/>
        </w:rPr>
        <w:t>l</w:t>
      </w:r>
      <w:r>
        <w:rPr>
          <w:b/>
          <w:color w:val="3B3A3B"/>
          <w:spacing w:val="1"/>
          <w:w w:val="105"/>
          <w:sz w:val="17"/>
        </w:rPr>
        <w:t> </w:t>
      </w:r>
      <w:r>
        <w:rPr>
          <w:rFonts w:ascii="Arial"/>
          <w:color w:val="3B3A3B"/>
          <w:w w:val="105"/>
          <w:sz w:val="14"/>
        </w:rPr>
        <w:t>The rule</w:t>
      </w:r>
      <w:r>
        <w:rPr>
          <w:rFonts w:ascii="Arial"/>
          <w:color w:val="3B3A3B"/>
          <w:spacing w:val="1"/>
          <w:w w:val="105"/>
          <w:sz w:val="14"/>
        </w:rPr>
        <w:t> </w:t>
      </w:r>
      <w:r>
        <w:rPr>
          <w:color w:val="3B3A3B"/>
          <w:w w:val="110"/>
          <w:sz w:val="15"/>
        </w:rPr>
        <w:t>appl</w:t>
      </w:r>
      <w:r>
        <w:rPr>
          <w:color w:val="626466"/>
          <w:w w:val="110"/>
          <w:sz w:val="15"/>
        </w:rPr>
        <w:t>i</w:t>
      </w:r>
      <w:r>
        <w:rPr>
          <w:color w:val="3B3A3B"/>
          <w:w w:val="110"/>
          <w:sz w:val="15"/>
        </w:rPr>
        <w:t>cation</w:t>
      </w:r>
      <w:r>
        <w:rPr>
          <w:color w:val="3B3A3B"/>
          <w:spacing w:val="1"/>
          <w:w w:val="110"/>
          <w:sz w:val="15"/>
        </w:rPr>
        <w:t> </w:t>
      </w:r>
      <w:r>
        <w:rPr>
          <w:color w:val="3B3A3B"/>
          <w:w w:val="105"/>
          <w:sz w:val="15"/>
        </w:rPr>
        <w:t>beg</w:t>
      </w:r>
      <w:r>
        <w:rPr>
          <w:color w:val="626466"/>
          <w:w w:val="105"/>
          <w:sz w:val="15"/>
        </w:rPr>
        <w:t>i</w:t>
      </w:r>
      <w:r>
        <w:rPr>
          <w:color w:val="3B3A3B"/>
          <w:w w:val="105"/>
          <w:sz w:val="15"/>
        </w:rPr>
        <w:t>ns</w:t>
      </w:r>
      <w:r>
        <w:rPr>
          <w:color w:val="3B3A3B"/>
          <w:spacing w:val="7"/>
          <w:w w:val="105"/>
          <w:sz w:val="15"/>
        </w:rPr>
        <w:t> </w:t>
      </w:r>
      <w:r>
        <w:rPr>
          <w:b/>
          <w:color w:val="3B3A3B"/>
          <w:w w:val="105"/>
          <w:sz w:val="14"/>
        </w:rPr>
        <w:t>here</w:t>
      </w:r>
      <w:r>
        <w:rPr>
          <w:b/>
          <w:color w:val="626466"/>
          <w:w w:val="105"/>
          <w:sz w:val="14"/>
        </w:rPr>
        <w:t>.</w:t>
      </w:r>
    </w:p>
    <w:p>
      <w:pPr>
        <w:spacing w:after="0" w:line="244" w:lineRule="auto"/>
        <w:jc w:val="left"/>
        <w:rPr>
          <w:sz w:val="14"/>
        </w:rPr>
        <w:sectPr>
          <w:type w:val="continuous"/>
          <w:pgSz w:w="9550" w:h="13730"/>
          <w:pgMar w:header="520" w:footer="0" w:top="340" w:bottom="280" w:left="460" w:right="120"/>
          <w:cols w:num="2" w:equalWidth="0">
            <w:col w:w="7707" w:space="40"/>
            <w:col w:w="1223"/>
          </w:cols>
        </w:sectPr>
      </w:pPr>
    </w:p>
    <w:p>
      <w:pPr>
        <w:pStyle w:val="BodyText"/>
        <w:spacing w:before="3"/>
        <w:rPr>
          <w:b/>
          <w:sz w:val="22"/>
        </w:rPr>
      </w:pPr>
    </w:p>
    <w:p>
      <w:pPr>
        <w:pStyle w:val="ListParagraph"/>
        <w:numPr>
          <w:ilvl w:val="1"/>
          <w:numId w:val="44"/>
        </w:numPr>
        <w:tabs>
          <w:tab w:pos="836" w:val="left" w:leader="none"/>
        </w:tabs>
        <w:spacing w:line="240" w:lineRule="auto" w:before="92" w:after="0"/>
        <w:ind w:left="835" w:right="0" w:hanging="379"/>
        <w:jc w:val="both"/>
        <w:rPr>
          <w:b/>
          <w:color w:val="3B3A3B"/>
          <w:sz w:val="21"/>
        </w:rPr>
      </w:pPr>
      <w:r>
        <w:rPr>
          <w:b/>
          <w:color w:val="3B3A3B"/>
          <w:w w:val="120"/>
          <w:sz w:val="21"/>
        </w:rPr>
        <w:t>fact</w:t>
      </w:r>
      <w:r>
        <w:rPr>
          <w:b/>
          <w:color w:val="626466"/>
          <w:w w:val="120"/>
          <w:sz w:val="21"/>
        </w:rPr>
        <w:t>s</w:t>
      </w:r>
      <w:r>
        <w:rPr>
          <w:b/>
          <w:color w:val="626466"/>
          <w:spacing w:val="32"/>
          <w:w w:val="120"/>
          <w:sz w:val="21"/>
        </w:rPr>
        <w:t> </w:t>
      </w:r>
      <w:r>
        <w:rPr>
          <w:b/>
          <w:color w:val="3B3A3B"/>
          <w:w w:val="120"/>
          <w:sz w:val="21"/>
        </w:rPr>
        <w:t>Are</w:t>
      </w:r>
      <w:r>
        <w:rPr>
          <w:b/>
          <w:color w:val="3B3A3B"/>
          <w:spacing w:val="-33"/>
          <w:w w:val="120"/>
          <w:sz w:val="21"/>
        </w:rPr>
        <w:t> </w:t>
      </w:r>
      <w:r>
        <w:rPr>
          <w:b/>
          <w:color w:val="3B3A3B"/>
          <w:w w:val="120"/>
          <w:sz w:val="21"/>
        </w:rPr>
        <w:t>Relevant</w:t>
      </w:r>
      <w:r>
        <w:rPr>
          <w:b/>
          <w:color w:val="3B3A3B"/>
          <w:spacing w:val="36"/>
          <w:w w:val="120"/>
          <w:sz w:val="21"/>
        </w:rPr>
        <w:t> </w:t>
      </w:r>
      <w:r>
        <w:rPr>
          <w:b/>
          <w:color w:val="3B3A3B"/>
          <w:w w:val="120"/>
          <w:sz w:val="21"/>
        </w:rPr>
        <w:t>to</w:t>
      </w:r>
      <w:r>
        <w:rPr>
          <w:b/>
          <w:color w:val="3B3A3B"/>
          <w:spacing w:val="22"/>
          <w:w w:val="120"/>
          <w:sz w:val="21"/>
        </w:rPr>
        <w:t> </w:t>
      </w:r>
      <w:r>
        <w:rPr>
          <w:b/>
          <w:color w:val="3B3A3B"/>
          <w:w w:val="120"/>
          <w:sz w:val="21"/>
        </w:rPr>
        <w:t>Questions of</w:t>
      </w:r>
      <w:r>
        <w:rPr>
          <w:b/>
          <w:color w:val="3B3A3B"/>
          <w:spacing w:val="36"/>
          <w:w w:val="120"/>
          <w:sz w:val="21"/>
        </w:rPr>
        <w:t> </w:t>
      </w:r>
      <w:r>
        <w:rPr>
          <w:rFonts w:ascii="Arial"/>
          <w:b/>
          <w:color w:val="3B3A3B"/>
          <w:w w:val="120"/>
          <w:sz w:val="19"/>
        </w:rPr>
        <w:t>Law</w:t>
      </w:r>
    </w:p>
    <w:p>
      <w:pPr>
        <w:pStyle w:val="BodyText"/>
        <w:spacing w:line="235" w:lineRule="auto" w:before="33"/>
        <w:ind w:left="126" w:right="1226" w:firstLine="356"/>
        <w:jc w:val="both"/>
      </w:pPr>
      <w:r>
        <w:rPr>
          <w:color w:val="3B3A3B"/>
          <w:w w:val="110"/>
        </w:rPr>
        <w:t>A legal question, or question of law, is a question about what the law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should mean or how it should be interpreted. Should the law regulate all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dog owners or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only owners of dangerous dogs? Should  the  law govern­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ing "employers" include supervisors within the meaning of "employer"?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Questions of fact, in contrast, ask whether the law should apply to a par­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ticular situation. Is a dog "dangerous" if it bites any person who tries to pet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05"/>
        </w:rPr>
        <w:t>it? Is a person a "supervisor" if she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is in  charge of drawing up work sched­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10"/>
        </w:rPr>
        <w:t>ules for all of the people in her section, but does not have the authority to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hire</w:t>
      </w:r>
      <w:r>
        <w:rPr>
          <w:color w:val="3B3A3B"/>
          <w:spacing w:val="-15"/>
          <w:w w:val="110"/>
        </w:rPr>
        <w:t> </w:t>
      </w:r>
      <w:r>
        <w:rPr>
          <w:color w:val="3B3A3B"/>
          <w:w w:val="110"/>
        </w:rPr>
        <w:t>and</w:t>
      </w:r>
      <w:r>
        <w:rPr>
          <w:color w:val="3B3A3B"/>
          <w:spacing w:val="19"/>
          <w:w w:val="110"/>
        </w:rPr>
        <w:t> </w:t>
      </w:r>
      <w:r>
        <w:rPr>
          <w:color w:val="3B3A3B"/>
          <w:w w:val="110"/>
        </w:rPr>
        <w:t>fire?</w:t>
      </w:r>
    </w:p>
    <w:p>
      <w:pPr>
        <w:pStyle w:val="BodyText"/>
        <w:spacing w:line="235" w:lineRule="auto"/>
        <w:ind w:left="139" w:right="1191" w:firstLine="360"/>
        <w:jc w:val="both"/>
      </w:pPr>
      <w:r>
        <w:rPr>
          <w:color w:val="3B3A3B"/>
          <w:w w:val="110"/>
        </w:rPr>
        <w:t>Even legal questions,  however, are decided in a factual context. There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is the hypothetical factual context of noting what will happen to certain</w:t>
      </w:r>
      <w:r>
        <w:rPr>
          <w:color w:val="3B3A3B"/>
          <w:spacing w:val="1"/>
          <w:w w:val="110"/>
        </w:rPr>
        <w:t> </w:t>
      </w:r>
      <w:r>
        <w:rPr>
          <w:color w:val="3B3A3B"/>
          <w:spacing w:val="-1"/>
          <w:w w:val="110"/>
        </w:rPr>
        <w:t>categories of people and things if the</w:t>
      </w:r>
      <w:r>
        <w:rPr>
          <w:color w:val="3B3A3B"/>
          <w:w w:val="110"/>
        </w:rPr>
        <w:t> case is decided one way or another,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and there is the concrete factual context of noting what will happen to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parties in this particular case. Your application may focus on the broader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5"/>
        </w:rPr>
        <w:t>legal question, but you may also want to include references to your case</w:t>
      </w:r>
      <w:r>
        <w:rPr>
          <w:color w:val="3B3A3B"/>
          <w:spacing w:val="-64"/>
          <w:w w:val="115"/>
        </w:rPr>
        <w:t> </w:t>
      </w:r>
      <w:r>
        <w:rPr>
          <w:color w:val="3B3A3B"/>
          <w:w w:val="110"/>
        </w:rPr>
        <w:t>facts</w:t>
      </w:r>
      <w:r>
        <w:rPr>
          <w:color w:val="3B3A3B"/>
          <w:spacing w:val="-14"/>
          <w:w w:val="110"/>
        </w:rPr>
        <w:t> </w:t>
      </w:r>
      <w:r>
        <w:rPr>
          <w:color w:val="3B3A3B"/>
          <w:w w:val="110"/>
        </w:rPr>
        <w:t>as</w:t>
      </w:r>
      <w:r>
        <w:rPr>
          <w:color w:val="3B3A3B"/>
          <w:spacing w:val="3"/>
          <w:w w:val="110"/>
        </w:rPr>
        <w:t> </w:t>
      </w:r>
      <w:r>
        <w:rPr>
          <w:color w:val="3B3A3B"/>
          <w:w w:val="110"/>
        </w:rPr>
        <w:t>a</w:t>
      </w:r>
      <w:r>
        <w:rPr>
          <w:color w:val="3B3A3B"/>
          <w:spacing w:val="8"/>
          <w:w w:val="110"/>
        </w:rPr>
        <w:t> </w:t>
      </w:r>
      <w:r>
        <w:rPr>
          <w:color w:val="3B3A3B"/>
          <w:w w:val="110"/>
        </w:rPr>
        <w:t>concrete</w:t>
      </w:r>
      <w:r>
        <w:rPr>
          <w:color w:val="3B3A3B"/>
          <w:spacing w:val="-4"/>
          <w:w w:val="110"/>
        </w:rPr>
        <w:t> </w:t>
      </w:r>
      <w:r>
        <w:rPr>
          <w:color w:val="3B3A3B"/>
          <w:w w:val="110"/>
        </w:rPr>
        <w:t>"for</w:t>
      </w:r>
      <w:r>
        <w:rPr>
          <w:color w:val="3B3A3B"/>
          <w:spacing w:val="-2"/>
          <w:w w:val="110"/>
        </w:rPr>
        <w:t> </w:t>
      </w:r>
      <w:r>
        <w:rPr>
          <w:color w:val="3B3A3B"/>
          <w:w w:val="110"/>
        </w:rPr>
        <w:t>instance"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that</w:t>
      </w:r>
      <w:r>
        <w:rPr>
          <w:color w:val="3B3A3B"/>
          <w:spacing w:val="3"/>
          <w:w w:val="110"/>
        </w:rPr>
        <w:t> </w:t>
      </w:r>
      <w:r>
        <w:rPr>
          <w:color w:val="3B3A3B"/>
          <w:w w:val="110"/>
        </w:rPr>
        <w:t>shows</w:t>
      </w:r>
      <w:r>
        <w:rPr>
          <w:color w:val="3B3A3B"/>
          <w:spacing w:val="-10"/>
          <w:w w:val="110"/>
        </w:rPr>
        <w:t> </w:t>
      </w:r>
      <w:r>
        <w:rPr>
          <w:color w:val="3B3A3B"/>
          <w:w w:val="110"/>
        </w:rPr>
        <w:t>a</w:t>
      </w:r>
      <w:r>
        <w:rPr>
          <w:color w:val="3B3A3B"/>
          <w:spacing w:val="15"/>
          <w:w w:val="110"/>
        </w:rPr>
        <w:t> </w:t>
      </w:r>
      <w:r>
        <w:rPr>
          <w:color w:val="3B3A3B"/>
          <w:w w:val="110"/>
        </w:rPr>
        <w:t>real-life</w:t>
      </w:r>
      <w:r>
        <w:rPr>
          <w:color w:val="3B3A3B"/>
          <w:spacing w:val="3"/>
          <w:w w:val="110"/>
        </w:rPr>
        <w:t> </w:t>
      </w:r>
      <w:r>
        <w:rPr>
          <w:color w:val="3B3A3B"/>
          <w:w w:val="110"/>
        </w:rPr>
        <w:t>result.</w:t>
      </w:r>
    </w:p>
    <w:p>
      <w:pPr>
        <w:pStyle w:val="BodyText"/>
        <w:spacing w:line="232" w:lineRule="auto"/>
        <w:ind w:left="139" w:right="1114" w:firstLine="368"/>
        <w:jc w:val="both"/>
      </w:pPr>
      <w:r>
        <w:rPr>
          <w:color w:val="3B3A3B"/>
          <w:w w:val="115"/>
        </w:rPr>
        <w:t>In </w:t>
      </w:r>
      <w:r>
        <w:rPr>
          <w:i/>
          <w:color w:val="3B3A3B"/>
          <w:w w:val="115"/>
          <w:sz w:val="22"/>
        </w:rPr>
        <w:t>Miller v. Albrigllt, </w:t>
      </w:r>
      <w:r>
        <w:rPr>
          <w:color w:val="3B3A3B"/>
          <w:w w:val="115"/>
        </w:rPr>
        <w:t>for example, a student writing for Ms. Miller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0"/>
        </w:rPr>
        <w:t>argued that 8 U.S.C. §1409 used an unconstitutionally overinclusive gen­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der stereotype  to deny foreign-born  children of citizen fathers rights that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5"/>
        </w:rPr>
        <w:t>are awarded automatically  to foreign-born children of citizen mothers.</w:t>
      </w:r>
      <w:r>
        <w:rPr>
          <w:color w:val="3B3A3B"/>
          <w:spacing w:val="1"/>
          <w:w w:val="115"/>
        </w:rPr>
        <w:t> </w:t>
      </w:r>
      <w:r>
        <w:rPr>
          <w:color w:val="3B3A3B"/>
          <w:spacing w:val="-1"/>
          <w:w w:val="115"/>
        </w:rPr>
        <w:t>In </w:t>
      </w:r>
      <w:r>
        <w:rPr>
          <w:color w:val="3B3A3B"/>
          <w:w w:val="115"/>
        </w:rPr>
        <w:t>one section, the student argued that the gender-based distinction was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5"/>
        </w:rPr>
        <w:t>not "substantially related" to the government's objective of conditioning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5"/>
        </w:rPr>
        <w:t>citizenship on close family ties. When he applied the law to the facts, he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0"/>
        </w:rPr>
        <w:t>spoke both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generally about  the statute and specifically about  Ms. Miller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5"/>
        </w:rPr>
        <w:t>and</w:t>
      </w:r>
      <w:r>
        <w:rPr>
          <w:color w:val="3B3A3B"/>
          <w:spacing w:val="7"/>
          <w:w w:val="115"/>
        </w:rPr>
        <w:t> </w:t>
      </w:r>
      <w:r>
        <w:rPr>
          <w:color w:val="3B3A3B"/>
          <w:w w:val="115"/>
        </w:rPr>
        <w:t>her</w:t>
      </w:r>
      <w:r>
        <w:rPr>
          <w:color w:val="3B3A3B"/>
          <w:spacing w:val="-3"/>
          <w:w w:val="115"/>
        </w:rPr>
        <w:t> </w:t>
      </w:r>
      <w:r>
        <w:rPr>
          <w:color w:val="3B3A3B"/>
          <w:w w:val="115"/>
        </w:rPr>
        <w:t>father:</w:t>
      </w:r>
    </w:p>
    <w:p>
      <w:pPr>
        <w:spacing w:after="0" w:line="232" w:lineRule="auto"/>
        <w:jc w:val="both"/>
        <w:sectPr>
          <w:type w:val="continuous"/>
          <w:pgSz w:w="9550" w:h="13730"/>
          <w:pgMar w:header="520" w:footer="0" w:top="340" w:bottom="280" w:left="460" w:right="120"/>
        </w:sectPr>
      </w:pPr>
    </w:p>
    <w:p>
      <w:pPr>
        <w:spacing w:before="85"/>
        <w:ind w:left="1495" w:right="0" w:firstLine="0"/>
        <w:jc w:val="left"/>
        <w:rPr>
          <w:rFonts w:ascii="Arial"/>
          <w:sz w:val="14"/>
        </w:rPr>
      </w:pPr>
      <w:r>
        <w:rPr>
          <w:rFonts w:ascii="Arial"/>
          <w:color w:val="3A3638"/>
          <w:w w:val="110"/>
          <w:sz w:val="14"/>
          <w:u w:val="thick" w:color="3A3638"/>
        </w:rPr>
        <w:t>../\</w:t>
      </w:r>
      <w:r>
        <w:rPr>
          <w:rFonts w:ascii="Arial"/>
          <w:color w:val="3A3638"/>
          <w:spacing w:val="-4"/>
          <w:w w:val="110"/>
          <w:sz w:val="14"/>
        </w:rPr>
        <w:t> </w:t>
      </w:r>
      <w:r>
        <w:rPr>
          <w:rFonts w:ascii="Arial"/>
          <w:color w:val="494849"/>
          <w:w w:val="110"/>
          <w:sz w:val="14"/>
          <w:u w:val="thick" w:color="3A3638"/>
        </w:rPr>
        <w:t>GOOD</w:t>
      </w:r>
      <w:r>
        <w:rPr>
          <w:rFonts w:ascii="Arial"/>
          <w:color w:val="494849"/>
          <w:spacing w:val="-12"/>
          <w:w w:val="110"/>
          <w:sz w:val="14"/>
          <w:u w:val="thick" w:color="3A3638"/>
        </w:rPr>
        <w:t> </w:t>
      </w:r>
      <w:r>
        <w:rPr>
          <w:rFonts w:ascii="Arial"/>
          <w:color w:val="494849"/>
          <w:w w:val="110"/>
          <w:sz w:val="14"/>
          <w:u w:val="thick" w:color="3A3638"/>
        </w:rPr>
        <w:t>EXAMP</w:t>
      </w:r>
      <w:r>
        <w:rPr>
          <w:rFonts w:ascii="Arial"/>
          <w:color w:val="2A2828"/>
          <w:w w:val="110"/>
          <w:sz w:val="14"/>
          <w:u w:val="thick" w:color="3A3638"/>
        </w:rPr>
        <w:t>LE</w:t>
      </w:r>
      <w:r>
        <w:rPr>
          <w:rFonts w:ascii="Arial"/>
          <w:color w:val="2A2828"/>
          <w:spacing w:val="-15"/>
          <w:w w:val="110"/>
          <w:sz w:val="14"/>
          <w:u w:val="thick" w:color="3A3638"/>
        </w:rPr>
        <w:t> </w:t>
      </w:r>
      <w:r>
        <w:rPr>
          <w:rFonts w:ascii="Arial"/>
          <w:color w:val="3A3638"/>
          <w:w w:val="110"/>
          <w:sz w:val="14"/>
          <w:u w:val="thick" w:color="3A3638"/>
        </w:rPr>
        <w:t>OF</w:t>
      </w:r>
      <w:r>
        <w:rPr>
          <w:rFonts w:ascii="Arial"/>
          <w:color w:val="3A3638"/>
          <w:spacing w:val="-17"/>
          <w:w w:val="110"/>
          <w:sz w:val="14"/>
          <w:u w:val="thick" w:color="3A3638"/>
        </w:rPr>
        <w:t> </w:t>
      </w:r>
      <w:r>
        <w:rPr>
          <w:rFonts w:ascii="Arial"/>
          <w:color w:val="3A3638"/>
          <w:w w:val="110"/>
          <w:sz w:val="14"/>
          <w:u w:val="thick" w:color="3A3638"/>
        </w:rPr>
        <w:t>RULE</w:t>
      </w:r>
      <w:r>
        <w:rPr>
          <w:rFonts w:ascii="Arial"/>
          <w:color w:val="3A3638"/>
          <w:spacing w:val="-13"/>
          <w:w w:val="110"/>
          <w:sz w:val="14"/>
          <w:u w:val="thick" w:color="3A3638"/>
        </w:rPr>
        <w:t> </w:t>
      </w:r>
      <w:r>
        <w:rPr>
          <w:rFonts w:ascii="Arial"/>
          <w:color w:val="3A3638"/>
          <w:w w:val="110"/>
          <w:sz w:val="14"/>
          <w:u w:val="thick" w:color="3A3638"/>
        </w:rPr>
        <w:t>APPLICATION</w:t>
      </w:r>
    </w:p>
    <w:p>
      <w:pPr>
        <w:pStyle w:val="BodyText"/>
        <w:spacing w:before="8"/>
        <w:rPr>
          <w:rFonts w:ascii="Arial"/>
          <w:sz w:val="11"/>
        </w:rPr>
      </w:pPr>
    </w:p>
    <w:p>
      <w:pPr>
        <w:spacing w:after="0"/>
        <w:rPr>
          <w:rFonts w:ascii="Arial"/>
          <w:sz w:val="11"/>
        </w:rPr>
        <w:sectPr>
          <w:headerReference w:type="even" r:id="rId127"/>
          <w:headerReference w:type="default" r:id="rId128"/>
          <w:pgSz w:w="9270" w:h="13770"/>
          <w:pgMar w:header="501" w:footer="0" w:top="1100" w:bottom="0" w:left="700" w:right="0"/>
        </w:sect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"/>
        <w:rPr>
          <w:rFonts w:ascii="Arial"/>
          <w:sz w:val="22"/>
        </w:rPr>
      </w:pPr>
    </w:p>
    <w:p>
      <w:pPr>
        <w:spacing w:line="249" w:lineRule="auto" w:before="0"/>
        <w:ind w:left="465" w:right="0" w:hanging="203"/>
        <w:jc w:val="left"/>
        <w:rPr>
          <w:sz w:val="15"/>
        </w:rPr>
      </w:pPr>
      <w:r>
        <w:rPr>
          <w:b/>
          <w:color w:val="3A3638"/>
          <w:sz w:val="17"/>
        </w:rPr>
        <w:t>1</w:t>
      </w:r>
      <w:r>
        <w:rPr>
          <w:b/>
          <w:color w:val="3A3638"/>
          <w:spacing w:val="1"/>
          <w:sz w:val="17"/>
        </w:rPr>
        <w:t> </w:t>
      </w:r>
      <w:r>
        <w:rPr>
          <w:color w:val="3A3638"/>
          <w:sz w:val="15"/>
        </w:rPr>
        <w:t>This </w:t>
      </w:r>
      <w:r>
        <w:rPr>
          <w:color w:val="494849"/>
          <w:sz w:val="15"/>
        </w:rPr>
        <w:t>paragraph</w:t>
      </w:r>
      <w:r>
        <w:rPr>
          <w:color w:val="494849"/>
          <w:spacing w:val="-35"/>
          <w:sz w:val="15"/>
        </w:rPr>
        <w:t> </w:t>
      </w:r>
      <w:r>
        <w:rPr>
          <w:rFonts w:ascii="Arial"/>
          <w:color w:val="494849"/>
          <w:sz w:val="14"/>
        </w:rPr>
        <w:t>speaks</w:t>
      </w:r>
      <w:r>
        <w:rPr>
          <w:rFonts w:ascii="Arial"/>
          <w:color w:val="494849"/>
          <w:spacing w:val="1"/>
          <w:sz w:val="14"/>
        </w:rPr>
        <w:t> </w:t>
      </w:r>
      <w:r>
        <w:rPr>
          <w:color w:val="494849"/>
          <w:w w:val="95"/>
          <w:sz w:val="15"/>
        </w:rPr>
        <w:t>generally</w:t>
      </w:r>
      <w:r>
        <w:rPr>
          <w:color w:val="494849"/>
          <w:spacing w:val="1"/>
          <w:w w:val="95"/>
          <w:sz w:val="15"/>
        </w:rPr>
        <w:t> </w:t>
      </w:r>
      <w:r>
        <w:rPr>
          <w:color w:val="3A3638"/>
          <w:w w:val="95"/>
          <w:sz w:val="15"/>
        </w:rPr>
        <w:t>about</w:t>
      </w:r>
      <w:r>
        <w:rPr>
          <w:color w:val="3A3638"/>
          <w:spacing w:val="-34"/>
          <w:w w:val="95"/>
          <w:sz w:val="15"/>
        </w:rPr>
        <w:t> </w:t>
      </w:r>
      <w:r>
        <w:rPr>
          <w:color w:val="494849"/>
          <w:sz w:val="15"/>
        </w:rPr>
        <w:t>the</w:t>
      </w:r>
      <w:r>
        <w:rPr>
          <w:color w:val="494849"/>
          <w:spacing w:val="9"/>
          <w:sz w:val="15"/>
        </w:rPr>
        <w:t> </w:t>
      </w:r>
      <w:r>
        <w:rPr>
          <w:color w:val="494849"/>
          <w:sz w:val="15"/>
        </w:rPr>
        <w:t>statute.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0"/>
        <w:ind w:left="701" w:right="0" w:hanging="108"/>
        <w:jc w:val="left"/>
        <w:rPr>
          <w:sz w:val="15"/>
        </w:rPr>
      </w:pPr>
      <w:r>
        <w:rPr>
          <w:color w:val="A8AAAC"/>
          <w:w w:val="95"/>
          <w:sz w:val="15"/>
        </w:rPr>
        <w:t>·</w:t>
      </w:r>
      <w:r>
        <w:rPr>
          <w:color w:val="494849"/>
          <w:w w:val="95"/>
          <w:sz w:val="15"/>
        </w:rPr>
        <w:t>,</w:t>
      </w:r>
      <w:r>
        <w:rPr>
          <w:color w:val="494849"/>
          <w:spacing w:val="-2"/>
          <w:w w:val="95"/>
          <w:sz w:val="15"/>
        </w:rPr>
        <w:t> </w:t>
      </w:r>
      <w:r>
        <w:rPr>
          <w:color w:val="3A3638"/>
          <w:w w:val="95"/>
          <w:sz w:val="15"/>
        </w:rPr>
        <w:t>paragraph</w:t>
      </w:r>
    </w:p>
    <w:p>
      <w:pPr>
        <w:pStyle w:val="BodyText"/>
        <w:spacing w:before="10"/>
        <w:rPr>
          <w:sz w:val="16"/>
        </w:rPr>
      </w:pPr>
    </w:p>
    <w:p>
      <w:pPr>
        <w:spacing w:before="0"/>
        <w:ind w:left="675" w:right="0" w:firstLine="26"/>
        <w:jc w:val="left"/>
        <w:rPr>
          <w:sz w:val="15"/>
        </w:rPr>
      </w:pPr>
      <w:r>
        <w:rPr>
          <w:color w:val="5B5B5D"/>
          <w:w w:val="90"/>
          <w:sz w:val="15"/>
        </w:rPr>
        <w:t>'F.lly</w:t>
      </w:r>
      <w:r>
        <w:rPr>
          <w:color w:val="3A3638"/>
          <w:w w:val="90"/>
          <w:sz w:val="15"/>
        </w:rPr>
        <w:t>about</w:t>
      </w:r>
      <w:r>
        <w:rPr>
          <w:color w:val="3A3638"/>
          <w:spacing w:val="-31"/>
          <w:w w:val="90"/>
          <w:sz w:val="15"/>
        </w:rPr>
        <w:t> </w:t>
      </w:r>
      <w:r>
        <w:rPr>
          <w:color w:val="BFBFC3"/>
          <w:sz w:val="15"/>
        </w:rPr>
        <w:t>j</w:t>
      </w:r>
      <w:r>
        <w:rPr>
          <w:color w:val="494849"/>
          <w:sz w:val="15"/>
        </w:rPr>
        <w:t>;tute</w:t>
      </w:r>
      <w:r>
        <w:rPr>
          <w:color w:val="696B6D"/>
          <w:sz w:val="15"/>
        </w:rPr>
        <w:t>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259" w:lineRule="auto" w:before="0"/>
        <w:ind w:left="256" w:right="124" w:hanging="154"/>
        <w:jc w:val="left"/>
        <w:rPr>
          <w:sz w:val="15"/>
        </w:rPr>
      </w:pPr>
      <w:r>
        <w:rPr>
          <w:rFonts w:ascii="Arial"/>
          <w:b/>
          <w:color w:val="3A3638"/>
          <w:sz w:val="16"/>
        </w:rPr>
        <w:t>3</w:t>
      </w:r>
      <w:r>
        <w:rPr>
          <w:rFonts w:ascii="Arial"/>
          <w:b/>
          <w:color w:val="3A3638"/>
          <w:spacing w:val="1"/>
          <w:sz w:val="16"/>
        </w:rPr>
        <w:t> </w:t>
      </w:r>
      <w:r>
        <w:rPr>
          <w:color w:val="3A3638"/>
          <w:sz w:val="15"/>
        </w:rPr>
        <w:t>This paragraph</w:t>
      </w:r>
      <w:r>
        <w:rPr>
          <w:color w:val="3A3638"/>
          <w:spacing w:val="-35"/>
          <w:sz w:val="15"/>
        </w:rPr>
        <w:t> </w:t>
      </w:r>
      <w:r>
        <w:rPr>
          <w:rFonts w:ascii="Arial"/>
          <w:color w:val="494849"/>
          <w:w w:val="110"/>
          <w:sz w:val="14"/>
        </w:rPr>
        <w:t>speaks</w:t>
      </w:r>
      <w:r>
        <w:rPr>
          <w:rFonts w:ascii="Arial"/>
          <w:color w:val="494849"/>
          <w:spacing w:val="1"/>
          <w:w w:val="110"/>
          <w:sz w:val="14"/>
        </w:rPr>
        <w:t> </w:t>
      </w:r>
      <w:r>
        <w:rPr>
          <w:color w:val="3A3638"/>
          <w:w w:val="110"/>
          <w:sz w:val="15"/>
        </w:rPr>
        <w:t>specif</w:t>
      </w:r>
      <w:r>
        <w:rPr>
          <w:color w:val="696B6D"/>
          <w:w w:val="110"/>
          <w:sz w:val="15"/>
        </w:rPr>
        <w:t>ic</w:t>
      </w:r>
      <w:r>
        <w:rPr>
          <w:color w:val="494849"/>
          <w:w w:val="110"/>
          <w:sz w:val="15"/>
        </w:rPr>
        <w:t>ally</w:t>
      </w:r>
      <w:r>
        <w:rPr>
          <w:color w:val="494849"/>
          <w:spacing w:val="1"/>
          <w:w w:val="110"/>
          <w:sz w:val="15"/>
        </w:rPr>
        <w:t> </w:t>
      </w:r>
      <w:r>
        <w:rPr>
          <w:rFonts w:ascii="Arial"/>
          <w:color w:val="3A3638"/>
          <w:w w:val="110"/>
          <w:sz w:val="13"/>
        </w:rPr>
        <w:t>about the</w:t>
      </w:r>
      <w:r>
        <w:rPr>
          <w:rFonts w:ascii="Arial"/>
          <w:color w:val="3A3638"/>
          <w:spacing w:val="1"/>
          <w:w w:val="110"/>
          <w:sz w:val="13"/>
        </w:rPr>
        <w:t> </w:t>
      </w:r>
      <w:r>
        <w:rPr>
          <w:color w:val="3A3638"/>
          <w:w w:val="105"/>
          <w:sz w:val="15"/>
        </w:rPr>
        <w:t>impact </w:t>
      </w:r>
      <w:r>
        <w:rPr>
          <w:rFonts w:ascii="Arial"/>
          <w:color w:val="494849"/>
          <w:w w:val="105"/>
          <w:sz w:val="15"/>
        </w:rPr>
        <w:t>of </w:t>
      </w:r>
      <w:r>
        <w:rPr>
          <w:color w:val="3A3638"/>
          <w:w w:val="105"/>
          <w:sz w:val="14"/>
        </w:rPr>
        <w:t>the</w:t>
      </w:r>
      <w:r>
        <w:rPr>
          <w:color w:val="3A3638"/>
          <w:spacing w:val="1"/>
          <w:w w:val="105"/>
          <w:sz w:val="14"/>
        </w:rPr>
        <w:t> </w:t>
      </w:r>
      <w:r>
        <w:rPr>
          <w:color w:val="5B5B5D"/>
          <w:w w:val="110"/>
          <w:sz w:val="15"/>
        </w:rPr>
        <w:t>statu</w:t>
      </w:r>
      <w:r>
        <w:rPr>
          <w:color w:val="3A3638"/>
          <w:w w:val="110"/>
          <w:sz w:val="15"/>
        </w:rPr>
        <w:t>te</w:t>
      </w:r>
      <w:r>
        <w:rPr>
          <w:color w:val="3A3638"/>
          <w:spacing w:val="-5"/>
          <w:w w:val="110"/>
          <w:sz w:val="15"/>
        </w:rPr>
        <w:t> </w:t>
      </w:r>
      <w:r>
        <w:rPr>
          <w:color w:val="3A3638"/>
          <w:w w:val="110"/>
          <w:sz w:val="15"/>
        </w:rPr>
        <w:t>on</w:t>
      </w:r>
      <w:r>
        <w:rPr>
          <w:color w:val="3A3638"/>
          <w:spacing w:val="-1"/>
          <w:w w:val="110"/>
          <w:sz w:val="15"/>
        </w:rPr>
        <w:t> </w:t>
      </w:r>
      <w:r>
        <w:rPr>
          <w:color w:val="494849"/>
          <w:w w:val="110"/>
          <w:sz w:val="15"/>
        </w:rPr>
        <w:t>the</w:t>
      </w:r>
    </w:p>
    <w:p>
      <w:pPr>
        <w:spacing w:line="158" w:lineRule="exact" w:before="0"/>
        <w:ind w:left="239" w:right="0" w:firstLine="0"/>
        <w:jc w:val="left"/>
        <w:rPr>
          <w:sz w:val="15"/>
        </w:rPr>
      </w:pPr>
      <w:r>
        <w:rPr>
          <w:color w:val="3A3638"/>
          <w:w w:val="115"/>
          <w:sz w:val="15"/>
        </w:rPr>
        <w:t>client</w:t>
      </w:r>
      <w:r>
        <w:rPr>
          <w:color w:val="3A3638"/>
          <w:spacing w:val="-21"/>
          <w:w w:val="115"/>
          <w:sz w:val="15"/>
        </w:rPr>
        <w:t> </w:t>
      </w:r>
      <w:r>
        <w:rPr>
          <w:color w:val="3A3638"/>
          <w:w w:val="115"/>
          <w:sz w:val="15"/>
        </w:rPr>
        <w:t>and</w:t>
      </w:r>
      <w:r>
        <w:rPr>
          <w:color w:val="494849"/>
          <w:w w:val="115"/>
          <w:sz w:val="15"/>
        </w:rPr>
        <w:t>on</w:t>
      </w:r>
    </w:p>
    <w:p>
      <w:pPr>
        <w:spacing w:before="29"/>
        <w:ind w:left="226" w:right="0" w:firstLine="0"/>
        <w:jc w:val="left"/>
        <w:rPr>
          <w:rFonts w:ascii="Arial"/>
          <w:sz w:val="14"/>
        </w:rPr>
      </w:pPr>
      <w:r>
        <w:rPr>
          <w:rFonts w:ascii="Arial"/>
          <w:color w:val="494849"/>
          <w:w w:val="110"/>
          <w:sz w:val="14"/>
        </w:rPr>
        <w:t>people</w:t>
      </w:r>
      <w:r>
        <w:rPr>
          <w:rFonts w:ascii="Arial"/>
          <w:color w:val="494849"/>
          <w:spacing w:val="-11"/>
          <w:w w:val="110"/>
          <w:sz w:val="14"/>
        </w:rPr>
        <w:t> </w:t>
      </w:r>
      <w:r>
        <w:rPr>
          <w:i/>
          <w:color w:val="494849"/>
          <w:w w:val="110"/>
          <w:sz w:val="13"/>
        </w:rPr>
        <w:t>like</w:t>
      </w:r>
      <w:r>
        <w:rPr>
          <w:i/>
          <w:color w:val="494849"/>
          <w:spacing w:val="3"/>
          <w:w w:val="110"/>
          <w:sz w:val="13"/>
        </w:rPr>
        <w:t> </w:t>
      </w:r>
      <w:r>
        <w:rPr>
          <w:rFonts w:ascii="Arial"/>
          <w:color w:val="3A3638"/>
          <w:w w:val="110"/>
          <w:sz w:val="14"/>
        </w:rPr>
        <w:t>the</w:t>
      </w:r>
    </w:p>
    <w:p>
      <w:pPr>
        <w:pStyle w:val="ListParagraph"/>
        <w:numPr>
          <w:ilvl w:val="0"/>
          <w:numId w:val="44"/>
        </w:numPr>
        <w:tabs>
          <w:tab w:pos="324" w:val="left" w:leader="none"/>
        </w:tabs>
        <w:spacing w:line="240" w:lineRule="auto" w:before="4" w:after="0"/>
        <w:ind w:left="323" w:right="0" w:hanging="104"/>
        <w:jc w:val="left"/>
        <w:rPr>
          <w:color w:val="3A3638"/>
          <w:sz w:val="13"/>
        </w:rPr>
      </w:pPr>
      <w:r>
        <w:rPr>
          <w:color w:val="3A3638"/>
          <w:sz w:val="15"/>
        </w:rPr>
        <w:t>Jient</w:t>
      </w:r>
      <w:r>
        <w:rPr>
          <w:color w:val="696B6D"/>
          <w:sz w:val="15"/>
        </w:rPr>
        <w:t>.</w:t>
      </w:r>
    </w:p>
    <w:p>
      <w:pPr>
        <w:spacing w:line="249" w:lineRule="auto" w:before="93"/>
        <w:ind w:left="334" w:right="238" w:firstLine="437"/>
        <w:jc w:val="both"/>
        <w:rPr>
          <w:sz w:val="20"/>
        </w:rPr>
      </w:pPr>
      <w:r>
        <w:rPr/>
        <w:br w:type="column"/>
      </w:r>
      <w:r>
        <w:rPr>
          <w:color w:val="3A3638"/>
          <w:w w:val="115"/>
          <w:sz w:val="20"/>
        </w:rPr>
        <w:t>The </w:t>
      </w:r>
      <w:r>
        <w:rPr>
          <w:color w:val="494849"/>
          <w:w w:val="115"/>
          <w:sz w:val="20"/>
        </w:rPr>
        <w:t>gender </w:t>
      </w:r>
      <w:r>
        <w:rPr>
          <w:color w:val="3A3638"/>
          <w:w w:val="115"/>
          <w:sz w:val="20"/>
        </w:rPr>
        <w:t>discrimination in </w:t>
      </w:r>
      <w:r>
        <w:rPr>
          <w:color w:val="494849"/>
          <w:w w:val="115"/>
          <w:sz w:val="20"/>
        </w:rPr>
        <w:t>§1409(a) </w:t>
      </w:r>
      <w:r>
        <w:rPr>
          <w:color w:val="3A3638"/>
          <w:w w:val="115"/>
          <w:sz w:val="20"/>
        </w:rPr>
        <w:t>is not substantially related</w:t>
      </w:r>
      <w:r>
        <w:rPr>
          <w:color w:val="3A3638"/>
          <w:spacing w:val="1"/>
          <w:w w:val="115"/>
          <w:sz w:val="20"/>
        </w:rPr>
        <w:t> </w:t>
      </w:r>
      <w:r>
        <w:rPr>
          <w:color w:val="3A3638"/>
          <w:w w:val="120"/>
          <w:sz w:val="20"/>
        </w:rPr>
        <w:t>to the government's legitimate goal of </w:t>
      </w:r>
      <w:r>
        <w:rPr>
          <w:color w:val="494849"/>
          <w:w w:val="120"/>
          <w:sz w:val="20"/>
        </w:rPr>
        <w:t>conditioning </w:t>
      </w:r>
      <w:r>
        <w:rPr>
          <w:color w:val="3A3638"/>
          <w:w w:val="120"/>
          <w:sz w:val="20"/>
        </w:rPr>
        <w:t>citizenship on</w:t>
      </w:r>
      <w:r>
        <w:rPr>
          <w:color w:val="3A3638"/>
          <w:spacing w:val="1"/>
          <w:w w:val="120"/>
          <w:sz w:val="20"/>
        </w:rPr>
        <w:t> </w:t>
      </w:r>
      <w:r>
        <w:rPr>
          <w:color w:val="3A3638"/>
          <w:spacing w:val="-1"/>
          <w:w w:val="120"/>
          <w:sz w:val="20"/>
        </w:rPr>
        <w:t>close </w:t>
      </w:r>
      <w:r>
        <w:rPr>
          <w:color w:val="3A3638"/>
          <w:w w:val="120"/>
          <w:sz w:val="20"/>
        </w:rPr>
        <w:t>family ties. Of course, §1409(a) will </w:t>
      </w:r>
      <w:r>
        <w:rPr>
          <w:color w:val="494849"/>
          <w:w w:val="120"/>
          <w:sz w:val="20"/>
        </w:rPr>
        <w:t>certain</w:t>
      </w:r>
      <w:r>
        <w:rPr>
          <w:color w:val="2A2828"/>
          <w:w w:val="120"/>
          <w:sz w:val="20"/>
        </w:rPr>
        <w:t>ly </w:t>
      </w:r>
      <w:r>
        <w:rPr>
          <w:color w:val="3A3638"/>
          <w:w w:val="120"/>
          <w:sz w:val="20"/>
        </w:rPr>
        <w:t>prevent citizen­</w:t>
      </w:r>
      <w:r>
        <w:rPr>
          <w:color w:val="3A3638"/>
          <w:spacing w:val="1"/>
          <w:w w:val="120"/>
          <w:sz w:val="20"/>
        </w:rPr>
        <w:t> </w:t>
      </w:r>
      <w:r>
        <w:rPr>
          <w:color w:val="494849"/>
          <w:spacing w:val="-1"/>
          <w:w w:val="120"/>
          <w:sz w:val="20"/>
        </w:rPr>
        <w:t>ship </w:t>
      </w:r>
      <w:r>
        <w:rPr>
          <w:color w:val="3A3638"/>
          <w:spacing w:val="-1"/>
          <w:w w:val="120"/>
          <w:sz w:val="20"/>
        </w:rPr>
        <w:t>from flowing to some children </w:t>
      </w:r>
      <w:r>
        <w:rPr>
          <w:color w:val="3A3638"/>
          <w:w w:val="120"/>
          <w:sz w:val="20"/>
        </w:rPr>
        <w:t>who do not deserve it. The fatal</w:t>
      </w:r>
      <w:r>
        <w:rPr>
          <w:color w:val="3A3638"/>
          <w:spacing w:val="1"/>
          <w:w w:val="120"/>
          <w:sz w:val="20"/>
        </w:rPr>
        <w:t> </w:t>
      </w:r>
      <w:r>
        <w:rPr>
          <w:color w:val="3A3638"/>
          <w:spacing w:val="-1"/>
          <w:w w:val="120"/>
          <w:sz w:val="20"/>
        </w:rPr>
        <w:t>flaw in §I409(a), though, is that </w:t>
      </w:r>
      <w:r>
        <w:rPr>
          <w:color w:val="494849"/>
          <w:spacing w:val="-1"/>
          <w:w w:val="120"/>
          <w:sz w:val="20"/>
        </w:rPr>
        <w:t>it </w:t>
      </w:r>
      <w:r>
        <w:rPr>
          <w:color w:val="3A3638"/>
          <w:spacing w:val="-1"/>
          <w:w w:val="120"/>
          <w:sz w:val="20"/>
        </w:rPr>
        <w:t>is overinclusive. </w:t>
      </w:r>
      <w:r>
        <w:rPr>
          <w:color w:val="3A3638"/>
          <w:w w:val="120"/>
          <w:sz w:val="20"/>
        </w:rPr>
        <w:t>Section 1409(a)'s</w:t>
      </w:r>
      <w:r>
        <w:rPr>
          <w:color w:val="3A3638"/>
          <w:spacing w:val="-57"/>
          <w:w w:val="120"/>
          <w:sz w:val="20"/>
        </w:rPr>
        <w:t> </w:t>
      </w:r>
      <w:r>
        <w:rPr>
          <w:color w:val="3A3638"/>
          <w:w w:val="120"/>
          <w:sz w:val="20"/>
        </w:rPr>
        <w:t>various hurdles exclude from citizenship those </w:t>
      </w:r>
      <w:r>
        <w:rPr>
          <w:color w:val="494849"/>
          <w:w w:val="120"/>
          <w:sz w:val="20"/>
        </w:rPr>
        <w:t>children-like </w:t>
      </w:r>
      <w:r>
        <w:rPr>
          <w:color w:val="3A3638"/>
          <w:w w:val="120"/>
          <w:sz w:val="20"/>
        </w:rPr>
        <w:t>Ms.</w:t>
      </w:r>
      <w:r>
        <w:rPr>
          <w:color w:val="3A3638"/>
          <w:spacing w:val="1"/>
          <w:w w:val="120"/>
          <w:sz w:val="20"/>
        </w:rPr>
        <w:t> </w:t>
      </w:r>
      <w:r>
        <w:rPr>
          <w:color w:val="3A3638"/>
          <w:w w:val="120"/>
          <w:sz w:val="20"/>
        </w:rPr>
        <w:t>Miller-who are deserving of citizenship under the standards of the</w:t>
      </w:r>
      <w:r>
        <w:rPr>
          <w:color w:val="3A3638"/>
          <w:spacing w:val="1"/>
          <w:w w:val="120"/>
          <w:sz w:val="20"/>
        </w:rPr>
        <w:t> </w:t>
      </w:r>
      <w:r>
        <w:rPr>
          <w:color w:val="494849"/>
          <w:w w:val="120"/>
          <w:sz w:val="20"/>
        </w:rPr>
        <w:t>statute </w:t>
      </w:r>
      <w:r>
        <w:rPr>
          <w:color w:val="3A3638"/>
          <w:w w:val="120"/>
          <w:sz w:val="20"/>
        </w:rPr>
        <w:t>due to their close family ties with their United States citizen</w:t>
      </w:r>
      <w:r>
        <w:rPr>
          <w:color w:val="3A3638"/>
          <w:spacing w:val="1"/>
          <w:w w:val="120"/>
          <w:sz w:val="20"/>
        </w:rPr>
        <w:t> </w:t>
      </w:r>
      <w:r>
        <w:rPr>
          <w:color w:val="3A3638"/>
          <w:w w:val="120"/>
          <w:sz w:val="20"/>
        </w:rPr>
        <w:t>parents.</w:t>
      </w:r>
    </w:p>
    <w:p>
      <w:pPr>
        <w:pStyle w:val="ListParagraph"/>
        <w:numPr>
          <w:ilvl w:val="0"/>
          <w:numId w:val="48"/>
        </w:numPr>
        <w:tabs>
          <w:tab w:pos="869" w:val="left" w:leader="none"/>
        </w:tabs>
        <w:spacing w:line="215" w:lineRule="exact" w:before="0" w:after="0"/>
        <w:ind w:left="868" w:right="0" w:hanging="177"/>
        <w:jc w:val="both"/>
        <w:rPr>
          <w:color w:val="2A2828"/>
          <w:sz w:val="16"/>
        </w:rPr>
      </w:pPr>
      <w:r>
        <w:rPr>
          <w:color w:val="3A3638"/>
          <w:w w:val="120"/>
          <w:sz w:val="20"/>
        </w:rPr>
        <w:t>The</w:t>
      </w:r>
      <w:r>
        <w:rPr>
          <w:color w:val="3A3638"/>
          <w:spacing w:val="3"/>
          <w:w w:val="120"/>
          <w:sz w:val="20"/>
        </w:rPr>
        <w:t> </w:t>
      </w:r>
      <w:r>
        <w:rPr>
          <w:color w:val="3A3638"/>
          <w:w w:val="120"/>
          <w:sz w:val="20"/>
        </w:rPr>
        <w:t>degree</w:t>
      </w:r>
      <w:r>
        <w:rPr>
          <w:color w:val="3A3638"/>
          <w:spacing w:val="2"/>
          <w:w w:val="120"/>
          <w:sz w:val="20"/>
        </w:rPr>
        <w:t> </w:t>
      </w:r>
      <w:r>
        <w:rPr>
          <w:color w:val="2A2828"/>
          <w:w w:val="120"/>
          <w:sz w:val="20"/>
        </w:rPr>
        <w:t>to</w:t>
      </w:r>
      <w:r>
        <w:rPr>
          <w:color w:val="2A2828"/>
          <w:spacing w:val="10"/>
          <w:w w:val="120"/>
          <w:sz w:val="20"/>
        </w:rPr>
        <w:t> </w:t>
      </w:r>
      <w:r>
        <w:rPr>
          <w:color w:val="3A3638"/>
          <w:w w:val="120"/>
          <w:sz w:val="20"/>
        </w:rPr>
        <w:t>which</w:t>
      </w:r>
      <w:r>
        <w:rPr>
          <w:color w:val="3A3638"/>
          <w:spacing w:val="2"/>
          <w:w w:val="120"/>
          <w:sz w:val="20"/>
        </w:rPr>
        <w:t> </w:t>
      </w:r>
      <w:r>
        <w:rPr>
          <w:color w:val="3A3638"/>
          <w:w w:val="120"/>
          <w:sz w:val="20"/>
        </w:rPr>
        <w:t>§1409(a)</w:t>
      </w:r>
      <w:r>
        <w:rPr>
          <w:color w:val="3A3638"/>
          <w:spacing w:val="12"/>
          <w:w w:val="120"/>
          <w:sz w:val="20"/>
        </w:rPr>
        <w:t> </w:t>
      </w:r>
      <w:r>
        <w:rPr>
          <w:color w:val="3A3638"/>
          <w:w w:val="120"/>
          <w:sz w:val="20"/>
        </w:rPr>
        <w:t>is</w:t>
      </w:r>
      <w:r>
        <w:rPr>
          <w:color w:val="3A3638"/>
          <w:spacing w:val="-14"/>
          <w:w w:val="120"/>
          <w:sz w:val="20"/>
        </w:rPr>
        <w:t> </w:t>
      </w:r>
      <w:r>
        <w:rPr>
          <w:color w:val="3A3638"/>
          <w:w w:val="120"/>
          <w:sz w:val="20"/>
        </w:rPr>
        <w:t>overinclusive</w:t>
      </w:r>
      <w:r>
        <w:rPr>
          <w:color w:val="3A3638"/>
          <w:spacing w:val="10"/>
          <w:w w:val="120"/>
          <w:sz w:val="20"/>
        </w:rPr>
        <w:t> </w:t>
      </w:r>
      <w:r>
        <w:rPr>
          <w:color w:val="3A3638"/>
          <w:w w:val="120"/>
          <w:sz w:val="20"/>
        </w:rPr>
        <w:t>is</w:t>
      </w:r>
      <w:r>
        <w:rPr>
          <w:color w:val="3A3638"/>
          <w:spacing w:val="-10"/>
          <w:w w:val="120"/>
          <w:sz w:val="20"/>
        </w:rPr>
        <w:t> </w:t>
      </w:r>
      <w:r>
        <w:rPr>
          <w:color w:val="3A3638"/>
          <w:w w:val="120"/>
          <w:sz w:val="20"/>
        </w:rPr>
        <w:t>a</w:t>
      </w:r>
      <w:r>
        <w:rPr>
          <w:color w:val="3A3638"/>
          <w:spacing w:val="20"/>
          <w:w w:val="120"/>
          <w:sz w:val="20"/>
        </w:rPr>
        <w:t> </w:t>
      </w:r>
      <w:r>
        <w:rPr>
          <w:color w:val="3A3638"/>
          <w:w w:val="120"/>
          <w:sz w:val="20"/>
        </w:rPr>
        <w:t>function</w:t>
      </w:r>
      <w:r>
        <w:rPr>
          <w:color w:val="3A3638"/>
          <w:spacing w:val="2"/>
          <w:w w:val="120"/>
          <w:sz w:val="20"/>
        </w:rPr>
        <w:t> </w:t>
      </w:r>
      <w:r>
        <w:rPr>
          <w:color w:val="3A3638"/>
          <w:w w:val="120"/>
          <w:sz w:val="20"/>
        </w:rPr>
        <w:t>of</w:t>
      </w:r>
    </w:p>
    <w:p>
      <w:pPr>
        <w:spacing w:line="252" w:lineRule="auto" w:before="10"/>
        <w:ind w:left="246" w:right="273" w:firstLine="67"/>
        <w:jc w:val="both"/>
        <w:rPr>
          <w:sz w:val="20"/>
        </w:rPr>
      </w:pPr>
      <w:r>
        <w:rPr>
          <w:color w:val="3A3638"/>
          <w:w w:val="115"/>
          <w:sz w:val="20"/>
        </w:rPr>
        <w:t>thedegree to which the assumptions underlying </w:t>
      </w:r>
      <w:r>
        <w:rPr>
          <w:color w:val="494849"/>
          <w:w w:val="115"/>
          <w:sz w:val="20"/>
        </w:rPr>
        <w:t>§1409(a) are </w:t>
      </w:r>
      <w:r>
        <w:rPr>
          <w:color w:val="3A3638"/>
          <w:w w:val="115"/>
          <w:sz w:val="20"/>
        </w:rPr>
        <w:t>invalid.</w:t>
      </w:r>
      <w:r>
        <w:rPr>
          <w:color w:val="3A3638"/>
          <w:spacing w:val="1"/>
          <w:w w:val="115"/>
          <w:sz w:val="20"/>
        </w:rPr>
        <w:t> </w:t>
      </w:r>
      <w:r>
        <w:rPr>
          <w:color w:val="3A3638"/>
          <w:w w:val="120"/>
          <w:sz w:val="20"/>
        </w:rPr>
        <w:t>Thus,  because the  assumptions underlying §1409(a)-that  paternity</w:t>
      </w:r>
      <w:r>
        <w:rPr>
          <w:color w:val="3A3638"/>
          <w:spacing w:val="1"/>
          <w:w w:val="120"/>
          <w:sz w:val="20"/>
        </w:rPr>
        <w:t> </w:t>
      </w:r>
      <w:r>
        <w:rPr>
          <w:color w:val="3A3638"/>
          <w:spacing w:val="-1"/>
          <w:w w:val="120"/>
          <w:sz w:val="20"/>
        </w:rPr>
        <w:t>is hard </w:t>
      </w:r>
      <w:r>
        <w:rPr>
          <w:color w:val="3A3638"/>
          <w:w w:val="120"/>
          <w:sz w:val="20"/>
        </w:rPr>
        <w:t>to establish reliably and that women and men are destined to</w:t>
      </w:r>
      <w:r>
        <w:rPr>
          <w:color w:val="3A3638"/>
          <w:spacing w:val="1"/>
          <w:w w:val="120"/>
          <w:sz w:val="20"/>
        </w:rPr>
        <w:t> </w:t>
      </w:r>
      <w:r>
        <w:rPr>
          <w:color w:val="3A3638"/>
          <w:w w:val="120"/>
          <w:sz w:val="20"/>
        </w:rPr>
        <w:t>occupy different roles</w:t>
      </w:r>
      <w:r>
        <w:rPr>
          <w:color w:val="5B5B5D"/>
          <w:w w:val="120"/>
          <w:sz w:val="20"/>
        </w:rPr>
        <w:t>-</w:t>
      </w:r>
      <w:r>
        <w:rPr>
          <w:color w:val="3A3638"/>
          <w:w w:val="120"/>
          <w:sz w:val="20"/>
        </w:rPr>
        <w:t>are substantially incorrect, the</w:t>
      </w:r>
      <w:r>
        <w:rPr>
          <w:color w:val="3A3638"/>
          <w:spacing w:val="1"/>
          <w:w w:val="120"/>
          <w:sz w:val="20"/>
        </w:rPr>
        <w:t> </w:t>
      </w:r>
      <w:r>
        <w:rPr>
          <w:color w:val="3A3638"/>
          <w:w w:val="120"/>
          <w:sz w:val="20"/>
        </w:rPr>
        <w:t>use of these</w:t>
      </w:r>
      <w:r>
        <w:rPr>
          <w:color w:val="3A3638"/>
          <w:spacing w:val="1"/>
          <w:w w:val="120"/>
          <w:sz w:val="20"/>
        </w:rPr>
        <w:t> </w:t>
      </w:r>
      <w:r>
        <w:rPr>
          <w:color w:val="3A3638"/>
          <w:w w:val="120"/>
          <w:sz w:val="20"/>
        </w:rPr>
        <w:t>irrebuttable </w:t>
      </w:r>
      <w:r>
        <w:rPr>
          <w:color w:val="494849"/>
          <w:w w:val="120"/>
          <w:sz w:val="20"/>
        </w:rPr>
        <w:t>ste</w:t>
      </w:r>
      <w:r>
        <w:rPr>
          <w:color w:val="2A2828"/>
          <w:w w:val="120"/>
          <w:sz w:val="20"/>
        </w:rPr>
        <w:t>reotypes </w:t>
      </w:r>
      <w:r>
        <w:rPr>
          <w:color w:val="3A3638"/>
          <w:w w:val="120"/>
          <w:sz w:val="20"/>
        </w:rPr>
        <w:t>is not substantially related to</w:t>
      </w:r>
      <w:r>
        <w:rPr>
          <w:color w:val="3A3638"/>
          <w:spacing w:val="1"/>
          <w:w w:val="120"/>
          <w:sz w:val="20"/>
        </w:rPr>
        <w:t> </w:t>
      </w:r>
      <w:r>
        <w:rPr>
          <w:color w:val="3A3638"/>
          <w:w w:val="120"/>
          <w:sz w:val="20"/>
        </w:rPr>
        <w:t>the</w:t>
      </w:r>
      <w:r>
        <w:rPr>
          <w:color w:val="3A3638"/>
          <w:spacing w:val="1"/>
          <w:w w:val="120"/>
          <w:sz w:val="20"/>
        </w:rPr>
        <w:t> </w:t>
      </w:r>
      <w:r>
        <w:rPr>
          <w:color w:val="3A3638"/>
          <w:w w:val="120"/>
          <w:sz w:val="20"/>
        </w:rPr>
        <w:t>govern­</w:t>
      </w:r>
      <w:r>
        <w:rPr>
          <w:color w:val="3A3638"/>
          <w:spacing w:val="1"/>
          <w:w w:val="120"/>
          <w:sz w:val="20"/>
        </w:rPr>
        <w:t> </w:t>
      </w:r>
      <w:r>
        <w:rPr>
          <w:color w:val="3A3638"/>
          <w:w w:val="120"/>
          <w:sz w:val="20"/>
        </w:rPr>
        <w:t>ment's</w:t>
      </w:r>
      <w:r>
        <w:rPr>
          <w:color w:val="3A3638"/>
          <w:spacing w:val="-19"/>
          <w:w w:val="120"/>
          <w:sz w:val="20"/>
        </w:rPr>
        <w:t> </w:t>
      </w:r>
      <w:r>
        <w:rPr>
          <w:color w:val="3A3638"/>
          <w:w w:val="120"/>
          <w:sz w:val="20"/>
        </w:rPr>
        <w:t>objective.</w:t>
      </w:r>
    </w:p>
    <w:p>
      <w:pPr>
        <w:pStyle w:val="ListParagraph"/>
        <w:numPr>
          <w:ilvl w:val="0"/>
          <w:numId w:val="48"/>
        </w:numPr>
        <w:tabs>
          <w:tab w:pos="782" w:val="left" w:leader="none"/>
        </w:tabs>
        <w:spacing w:line="206" w:lineRule="exact" w:before="0" w:after="0"/>
        <w:ind w:left="781" w:right="0" w:hanging="163"/>
        <w:jc w:val="both"/>
        <w:rPr>
          <w:rFonts w:ascii="Arial" w:hAnsi="Arial"/>
          <w:color w:val="3A3638"/>
          <w:sz w:val="15"/>
        </w:rPr>
      </w:pPr>
      <w:r>
        <w:rPr>
          <w:color w:val="494849"/>
          <w:spacing w:val="-1"/>
          <w:w w:val="120"/>
          <w:sz w:val="20"/>
        </w:rPr>
        <w:t>The</w:t>
      </w:r>
      <w:r>
        <w:rPr>
          <w:color w:val="494849"/>
          <w:spacing w:val="-17"/>
          <w:w w:val="120"/>
          <w:sz w:val="20"/>
        </w:rPr>
        <w:t> </w:t>
      </w:r>
      <w:r>
        <w:rPr>
          <w:color w:val="3A3638"/>
          <w:spacing w:val="-1"/>
          <w:w w:val="120"/>
          <w:sz w:val="20"/>
        </w:rPr>
        <w:t>gender</w:t>
      </w:r>
      <w:r>
        <w:rPr>
          <w:color w:val="3A3638"/>
          <w:spacing w:val="-27"/>
          <w:w w:val="120"/>
          <w:sz w:val="20"/>
        </w:rPr>
        <w:t> </w:t>
      </w:r>
      <w:r>
        <w:rPr>
          <w:color w:val="494849"/>
          <w:spacing w:val="-1"/>
          <w:w w:val="120"/>
          <w:sz w:val="20"/>
        </w:rPr>
        <w:t>ste</w:t>
      </w:r>
      <w:r>
        <w:rPr>
          <w:color w:val="2A2828"/>
          <w:spacing w:val="-1"/>
          <w:w w:val="120"/>
          <w:sz w:val="20"/>
        </w:rPr>
        <w:t>reotypes</w:t>
      </w:r>
      <w:r>
        <w:rPr>
          <w:color w:val="2A2828"/>
          <w:spacing w:val="9"/>
          <w:w w:val="120"/>
          <w:sz w:val="20"/>
        </w:rPr>
        <w:t> </w:t>
      </w:r>
      <w:r>
        <w:rPr>
          <w:color w:val="3A3638"/>
          <w:w w:val="120"/>
          <w:sz w:val="20"/>
        </w:rPr>
        <w:t>underlying</w:t>
      </w:r>
      <w:r>
        <w:rPr>
          <w:color w:val="3A3638"/>
          <w:spacing w:val="-20"/>
          <w:w w:val="120"/>
          <w:sz w:val="20"/>
        </w:rPr>
        <w:t> </w:t>
      </w:r>
      <w:r>
        <w:rPr>
          <w:color w:val="3A3638"/>
          <w:w w:val="120"/>
          <w:sz w:val="20"/>
        </w:rPr>
        <w:t>§1409(a)</w:t>
      </w:r>
      <w:r>
        <w:rPr>
          <w:color w:val="3A3638"/>
          <w:spacing w:val="-3"/>
          <w:w w:val="120"/>
          <w:sz w:val="20"/>
        </w:rPr>
        <w:t> </w:t>
      </w:r>
      <w:r>
        <w:rPr>
          <w:color w:val="3A3638"/>
          <w:w w:val="120"/>
          <w:sz w:val="20"/>
        </w:rPr>
        <w:t>are</w:t>
      </w:r>
      <w:r>
        <w:rPr>
          <w:color w:val="3A3638"/>
          <w:spacing w:val="16"/>
          <w:w w:val="120"/>
          <w:sz w:val="20"/>
        </w:rPr>
        <w:t> </w:t>
      </w:r>
      <w:r>
        <w:rPr>
          <w:color w:val="3A3638"/>
          <w:w w:val="120"/>
          <w:sz w:val="20"/>
        </w:rPr>
        <w:t>the</w:t>
      </w:r>
      <w:r>
        <w:rPr>
          <w:color w:val="3A3638"/>
          <w:spacing w:val="41"/>
          <w:w w:val="120"/>
          <w:sz w:val="20"/>
        </w:rPr>
        <w:t> </w:t>
      </w:r>
      <w:r>
        <w:rPr>
          <w:color w:val="3A3638"/>
          <w:w w:val="120"/>
          <w:sz w:val="20"/>
        </w:rPr>
        <w:t>very</w:t>
      </w:r>
      <w:r>
        <w:rPr>
          <w:color w:val="3A3638"/>
          <w:spacing w:val="-17"/>
          <w:w w:val="120"/>
          <w:sz w:val="20"/>
        </w:rPr>
        <w:t> </w:t>
      </w:r>
      <w:r>
        <w:rPr>
          <w:color w:val="3A3638"/>
          <w:w w:val="120"/>
          <w:sz w:val="20"/>
        </w:rPr>
        <w:t>sort</w:t>
      </w:r>
      <w:r>
        <w:rPr>
          <w:color w:val="3A3638"/>
          <w:spacing w:val="-15"/>
          <w:w w:val="120"/>
          <w:sz w:val="20"/>
        </w:rPr>
        <w:t> </w:t>
      </w:r>
      <w:r>
        <w:rPr>
          <w:color w:val="3A3638"/>
          <w:w w:val="120"/>
          <w:sz w:val="20"/>
        </w:rPr>
        <w:t>of</w:t>
      </w:r>
    </w:p>
    <w:p>
      <w:pPr>
        <w:spacing w:line="252" w:lineRule="auto" w:before="11"/>
        <w:ind w:left="199" w:right="283" w:firstLine="12"/>
        <w:jc w:val="both"/>
        <w:rPr>
          <w:sz w:val="20"/>
        </w:rPr>
      </w:pPr>
      <w:r>
        <w:rPr>
          <w:color w:val="3A3638"/>
          <w:w w:val="120"/>
          <w:sz w:val="20"/>
        </w:rPr>
        <w:t>archaic generalizations that modern equal protection</w:t>
      </w:r>
      <w:r>
        <w:rPr>
          <w:color w:val="3A3638"/>
          <w:spacing w:val="1"/>
          <w:w w:val="120"/>
          <w:sz w:val="20"/>
        </w:rPr>
        <w:t> </w:t>
      </w:r>
      <w:r>
        <w:rPr>
          <w:color w:val="3A3638"/>
          <w:w w:val="120"/>
          <w:sz w:val="20"/>
        </w:rPr>
        <w:t>jurisprudence</w:t>
      </w:r>
      <w:r>
        <w:rPr>
          <w:color w:val="3A3638"/>
          <w:spacing w:val="1"/>
          <w:w w:val="120"/>
          <w:sz w:val="20"/>
        </w:rPr>
        <w:t> </w:t>
      </w:r>
      <w:r>
        <w:rPr>
          <w:color w:val="3A3638"/>
          <w:spacing w:val="-1"/>
          <w:w w:val="120"/>
          <w:sz w:val="20"/>
        </w:rPr>
        <w:t>seeks to </w:t>
      </w:r>
      <w:r>
        <w:rPr>
          <w:color w:val="494849"/>
          <w:spacing w:val="-1"/>
          <w:w w:val="120"/>
          <w:sz w:val="20"/>
        </w:rPr>
        <w:t>eradicate. </w:t>
      </w:r>
      <w:r>
        <w:rPr>
          <w:color w:val="3A3638"/>
          <w:spacing w:val="-1"/>
          <w:w w:val="120"/>
          <w:sz w:val="20"/>
        </w:rPr>
        <w:t>This court </w:t>
      </w:r>
      <w:r>
        <w:rPr>
          <w:color w:val="3A3638"/>
          <w:w w:val="120"/>
          <w:sz w:val="20"/>
        </w:rPr>
        <w:t>has repeatedly </w:t>
      </w:r>
      <w:r>
        <w:rPr>
          <w:color w:val="2A2828"/>
          <w:w w:val="120"/>
          <w:sz w:val="20"/>
        </w:rPr>
        <w:t>recogniz</w:t>
      </w:r>
      <w:r>
        <w:rPr>
          <w:color w:val="494849"/>
          <w:w w:val="120"/>
          <w:sz w:val="20"/>
        </w:rPr>
        <w:t>ed </w:t>
      </w:r>
      <w:r>
        <w:rPr>
          <w:color w:val="3A3638"/>
          <w:w w:val="120"/>
          <w:sz w:val="20"/>
        </w:rPr>
        <w:t>that the gov­</w:t>
      </w:r>
      <w:r>
        <w:rPr>
          <w:color w:val="3A3638"/>
          <w:spacing w:val="1"/>
          <w:w w:val="120"/>
          <w:sz w:val="20"/>
        </w:rPr>
        <w:t> </w:t>
      </w:r>
      <w:r>
        <w:rPr>
          <w:color w:val="3A3638"/>
          <w:w w:val="120"/>
          <w:sz w:val="20"/>
        </w:rPr>
        <w:t>ernment</w:t>
      </w:r>
      <w:r>
        <w:rPr>
          <w:color w:val="3A3638"/>
          <w:spacing w:val="-3"/>
          <w:w w:val="120"/>
          <w:sz w:val="20"/>
        </w:rPr>
        <w:t> </w:t>
      </w:r>
      <w:r>
        <w:rPr>
          <w:color w:val="494849"/>
          <w:w w:val="120"/>
          <w:sz w:val="20"/>
        </w:rPr>
        <w:t>"must</w:t>
      </w:r>
      <w:r>
        <w:rPr>
          <w:color w:val="494849"/>
          <w:spacing w:val="-7"/>
          <w:w w:val="120"/>
          <w:sz w:val="20"/>
        </w:rPr>
        <w:t> </w:t>
      </w:r>
      <w:r>
        <w:rPr>
          <w:color w:val="3A3638"/>
          <w:w w:val="120"/>
          <w:sz w:val="20"/>
        </w:rPr>
        <w:t>not</w:t>
      </w:r>
      <w:r>
        <w:rPr>
          <w:color w:val="3A3638"/>
          <w:spacing w:val="-8"/>
          <w:w w:val="120"/>
          <w:sz w:val="20"/>
        </w:rPr>
        <w:t> </w:t>
      </w:r>
      <w:r>
        <w:rPr>
          <w:color w:val="3A3638"/>
          <w:w w:val="120"/>
          <w:sz w:val="20"/>
        </w:rPr>
        <w:t>rely</w:t>
      </w:r>
      <w:r>
        <w:rPr>
          <w:color w:val="3A3638"/>
          <w:spacing w:val="-30"/>
          <w:w w:val="120"/>
          <w:sz w:val="20"/>
        </w:rPr>
        <w:t> </w:t>
      </w:r>
      <w:r>
        <w:rPr>
          <w:color w:val="3A3638"/>
          <w:w w:val="120"/>
          <w:sz w:val="20"/>
        </w:rPr>
        <w:t>on</w:t>
      </w:r>
      <w:r>
        <w:rPr>
          <w:color w:val="3A3638"/>
          <w:spacing w:val="3"/>
          <w:w w:val="120"/>
          <w:sz w:val="20"/>
        </w:rPr>
        <w:t> </w:t>
      </w:r>
      <w:r>
        <w:rPr>
          <w:color w:val="3A3638"/>
          <w:w w:val="120"/>
          <w:sz w:val="20"/>
        </w:rPr>
        <w:t>overbroad</w:t>
      </w:r>
      <w:r>
        <w:rPr>
          <w:color w:val="3A3638"/>
          <w:spacing w:val="14"/>
          <w:w w:val="120"/>
          <w:sz w:val="20"/>
        </w:rPr>
        <w:t> </w:t>
      </w:r>
      <w:r>
        <w:rPr>
          <w:color w:val="3A3638"/>
          <w:w w:val="120"/>
          <w:sz w:val="20"/>
        </w:rPr>
        <w:t>generalizations</w:t>
      </w:r>
      <w:r>
        <w:rPr>
          <w:color w:val="3A3638"/>
          <w:spacing w:val="-33"/>
          <w:w w:val="120"/>
          <w:sz w:val="20"/>
        </w:rPr>
        <w:t> </w:t>
      </w:r>
      <w:r>
        <w:rPr>
          <w:color w:val="3A3638"/>
          <w:w w:val="120"/>
          <w:sz w:val="20"/>
        </w:rPr>
        <w:t>about</w:t>
      </w:r>
      <w:r>
        <w:rPr>
          <w:color w:val="3A3638"/>
          <w:spacing w:val="8"/>
          <w:w w:val="120"/>
          <w:sz w:val="20"/>
        </w:rPr>
        <w:t> </w:t>
      </w:r>
      <w:r>
        <w:rPr>
          <w:color w:val="2A2828"/>
          <w:w w:val="120"/>
          <w:sz w:val="20"/>
        </w:rPr>
        <w:t>the</w:t>
      </w:r>
      <w:r>
        <w:rPr>
          <w:color w:val="2A2828"/>
          <w:spacing w:val="-5"/>
          <w:w w:val="120"/>
          <w:sz w:val="20"/>
        </w:rPr>
        <w:t> </w:t>
      </w:r>
      <w:r>
        <w:rPr>
          <w:color w:val="3A3638"/>
          <w:w w:val="120"/>
          <w:sz w:val="20"/>
        </w:rPr>
        <w:t>differ-</w:t>
      </w:r>
      <w:r>
        <w:rPr>
          <w:color w:val="3A3638"/>
          <w:spacing w:val="-57"/>
          <w:w w:val="120"/>
          <w:sz w:val="20"/>
        </w:rPr>
        <w:t> </w:t>
      </w:r>
      <w:r>
        <w:rPr>
          <w:color w:val="3A3638"/>
          <w:w w:val="115"/>
          <w:sz w:val="20"/>
        </w:rPr>
        <w:t>ent talents, capacities, or preferences of males </w:t>
      </w:r>
      <w:r>
        <w:rPr>
          <w:color w:val="494849"/>
          <w:w w:val="115"/>
          <w:sz w:val="20"/>
        </w:rPr>
        <w:t>and</w:t>
      </w:r>
      <w:r>
        <w:rPr>
          <w:color w:val="494849"/>
          <w:spacing w:val="1"/>
          <w:w w:val="115"/>
          <w:sz w:val="20"/>
        </w:rPr>
        <w:t> </w:t>
      </w:r>
      <w:r>
        <w:rPr>
          <w:color w:val="3A3638"/>
          <w:w w:val="115"/>
          <w:sz w:val="20"/>
        </w:rPr>
        <w:t>females." </w:t>
      </w:r>
      <w:r>
        <w:rPr>
          <w:color w:val="3A3638"/>
          <w:w w:val="115"/>
          <w:sz w:val="20"/>
          <w:u w:val="thick" w:color="3A3638"/>
        </w:rPr>
        <w:t>Virginia.</w:t>
      </w:r>
      <w:r>
        <w:rPr>
          <w:color w:val="3A3638"/>
          <w:spacing w:val="1"/>
          <w:w w:val="115"/>
          <w:sz w:val="20"/>
        </w:rPr>
        <w:t> </w:t>
      </w:r>
      <w:r>
        <w:rPr>
          <w:color w:val="3A3638"/>
          <w:w w:val="115"/>
          <w:sz w:val="20"/>
        </w:rPr>
        <w:t>518</w:t>
      </w:r>
      <w:r>
        <w:rPr>
          <w:color w:val="3A3638"/>
          <w:spacing w:val="-18"/>
          <w:w w:val="115"/>
          <w:sz w:val="20"/>
        </w:rPr>
        <w:t> </w:t>
      </w:r>
      <w:r>
        <w:rPr>
          <w:color w:val="3A3638"/>
          <w:w w:val="115"/>
          <w:sz w:val="20"/>
        </w:rPr>
        <w:t>U.S.</w:t>
      </w:r>
      <w:r>
        <w:rPr>
          <w:color w:val="3A3638"/>
          <w:spacing w:val="4"/>
          <w:w w:val="115"/>
          <w:sz w:val="20"/>
        </w:rPr>
        <w:t> </w:t>
      </w:r>
      <w:r>
        <w:rPr>
          <w:color w:val="3A3638"/>
          <w:w w:val="115"/>
          <w:sz w:val="20"/>
        </w:rPr>
        <w:t>at </w:t>
      </w:r>
      <w:r>
        <w:rPr>
          <w:color w:val="3A3638"/>
          <w:spacing w:val="10"/>
          <w:w w:val="115"/>
          <w:sz w:val="20"/>
        </w:rPr>
        <w:t> </w:t>
      </w:r>
      <w:r>
        <w:rPr>
          <w:color w:val="3A3638"/>
          <w:w w:val="115"/>
          <w:sz w:val="20"/>
        </w:rPr>
        <w:t>533 </w:t>
      </w:r>
      <w:r>
        <w:rPr>
          <w:color w:val="3A3638"/>
          <w:spacing w:val="9"/>
          <w:w w:val="115"/>
          <w:sz w:val="20"/>
        </w:rPr>
        <w:t> </w:t>
      </w:r>
      <w:r>
        <w:rPr>
          <w:color w:val="3A3638"/>
          <w:w w:val="115"/>
          <w:sz w:val="20"/>
        </w:rPr>
        <w:t>(citations</w:t>
      </w:r>
      <w:r>
        <w:rPr>
          <w:color w:val="3A3638"/>
          <w:spacing w:val="1"/>
          <w:w w:val="115"/>
          <w:sz w:val="20"/>
        </w:rPr>
        <w:t> </w:t>
      </w:r>
      <w:r>
        <w:rPr>
          <w:color w:val="3A3638"/>
          <w:w w:val="115"/>
          <w:sz w:val="20"/>
        </w:rPr>
        <w:t>omitted);</w:t>
      </w:r>
      <w:r>
        <w:rPr>
          <w:color w:val="3A3638"/>
          <w:spacing w:val="-8"/>
          <w:w w:val="115"/>
          <w:sz w:val="20"/>
        </w:rPr>
        <w:t> </w:t>
      </w:r>
      <w:r>
        <w:rPr>
          <w:color w:val="3A3638"/>
          <w:w w:val="115"/>
          <w:sz w:val="20"/>
          <w:u w:val="thick" w:color="494849"/>
        </w:rPr>
        <w:t>see</w:t>
      </w:r>
      <w:r>
        <w:rPr>
          <w:color w:val="3A3638"/>
          <w:spacing w:val="-6"/>
          <w:w w:val="115"/>
          <w:sz w:val="20"/>
          <w:u w:val="thick" w:color="494849"/>
        </w:rPr>
        <w:t> </w:t>
      </w:r>
      <w:r>
        <w:rPr>
          <w:color w:val="3A3638"/>
          <w:w w:val="115"/>
          <w:sz w:val="20"/>
          <w:u w:val="thick" w:color="494849"/>
        </w:rPr>
        <w:t>al</w:t>
      </w:r>
      <w:r>
        <w:rPr>
          <w:color w:val="5B5B5D"/>
          <w:w w:val="115"/>
          <w:sz w:val="20"/>
          <w:u w:val="thick" w:color="494849"/>
        </w:rPr>
        <w:t>so</w:t>
      </w:r>
      <w:r>
        <w:rPr>
          <w:color w:val="5B5B5D"/>
          <w:spacing w:val="39"/>
          <w:w w:val="115"/>
          <w:sz w:val="20"/>
          <w:u w:val="thick" w:color="494849"/>
        </w:rPr>
        <w:t> </w:t>
      </w:r>
      <w:r>
        <w:rPr>
          <w:color w:val="3A3638"/>
          <w:w w:val="115"/>
          <w:sz w:val="20"/>
          <w:u w:val="thick" w:color="494849"/>
        </w:rPr>
        <w:t>Califano</w:t>
      </w:r>
      <w:r>
        <w:rPr>
          <w:color w:val="3A3638"/>
          <w:spacing w:val="21"/>
          <w:w w:val="115"/>
          <w:sz w:val="20"/>
          <w:u w:val="thick" w:color="494849"/>
        </w:rPr>
        <w:t> </w:t>
      </w:r>
      <w:r>
        <w:rPr>
          <w:color w:val="3A3638"/>
          <w:w w:val="115"/>
          <w:sz w:val="20"/>
          <w:u w:val="thick" w:color="494849"/>
        </w:rPr>
        <w:t>v.</w:t>
      </w:r>
      <w:r>
        <w:rPr>
          <w:color w:val="3A3638"/>
          <w:spacing w:val="-10"/>
          <w:w w:val="115"/>
          <w:sz w:val="20"/>
          <w:u w:val="thick" w:color="494849"/>
        </w:rPr>
        <w:t> </w:t>
      </w:r>
      <w:r>
        <w:rPr>
          <w:color w:val="494849"/>
          <w:w w:val="115"/>
          <w:sz w:val="20"/>
          <w:u w:val="thick" w:color="494849"/>
        </w:rPr>
        <w:t>Go</w:t>
      </w:r>
      <w:r>
        <w:rPr>
          <w:color w:val="2A2828"/>
          <w:w w:val="115"/>
          <w:sz w:val="20"/>
          <w:u w:val="thick" w:color="494849"/>
        </w:rPr>
        <w:t>ldfarb</w:t>
      </w:r>
      <w:r>
        <w:rPr>
          <w:color w:val="494849"/>
          <w:w w:val="115"/>
          <w:sz w:val="20"/>
          <w:u w:val="thick" w:color="494849"/>
        </w:rPr>
        <w:t>,</w:t>
      </w:r>
      <w:r>
        <w:rPr>
          <w:color w:val="494849"/>
          <w:spacing w:val="26"/>
          <w:w w:val="115"/>
          <w:sz w:val="20"/>
        </w:rPr>
        <w:t> </w:t>
      </w:r>
      <w:r>
        <w:rPr>
          <w:color w:val="3A3638"/>
          <w:w w:val="115"/>
          <w:sz w:val="20"/>
        </w:rPr>
        <w:t>430</w:t>
      </w:r>
    </w:p>
    <w:p>
      <w:pPr>
        <w:spacing w:line="216" w:lineRule="exact" w:before="0"/>
        <w:ind w:left="208" w:right="0" w:firstLine="0"/>
        <w:jc w:val="both"/>
        <w:rPr>
          <w:sz w:val="20"/>
        </w:rPr>
      </w:pPr>
      <w:r>
        <w:rPr>
          <w:color w:val="3A3638"/>
          <w:w w:val="115"/>
          <w:sz w:val="20"/>
        </w:rPr>
        <w:t>U.S.</w:t>
      </w:r>
      <w:r>
        <w:rPr>
          <w:color w:val="3A3638"/>
          <w:spacing w:val="-11"/>
          <w:w w:val="115"/>
          <w:sz w:val="20"/>
        </w:rPr>
        <w:t> </w:t>
      </w:r>
      <w:r>
        <w:rPr>
          <w:color w:val="3A3638"/>
          <w:w w:val="115"/>
          <w:sz w:val="20"/>
        </w:rPr>
        <w:t>188,</w:t>
      </w:r>
      <w:r>
        <w:rPr>
          <w:color w:val="3A3638"/>
          <w:spacing w:val="-11"/>
          <w:w w:val="115"/>
          <w:sz w:val="20"/>
        </w:rPr>
        <w:t> </w:t>
      </w:r>
      <w:r>
        <w:rPr>
          <w:color w:val="3A3638"/>
          <w:w w:val="115"/>
          <w:sz w:val="20"/>
        </w:rPr>
        <w:t>223-24</w:t>
      </w:r>
      <w:r>
        <w:rPr>
          <w:color w:val="3A3638"/>
          <w:spacing w:val="-6"/>
          <w:w w:val="115"/>
          <w:sz w:val="20"/>
        </w:rPr>
        <w:t> </w:t>
      </w:r>
      <w:r>
        <w:rPr>
          <w:color w:val="3A3638"/>
          <w:w w:val="115"/>
          <w:sz w:val="20"/>
        </w:rPr>
        <w:t>(1977).</w:t>
      </w:r>
      <w:r>
        <w:rPr>
          <w:color w:val="3A3638"/>
          <w:spacing w:val="7"/>
          <w:w w:val="115"/>
          <w:sz w:val="20"/>
        </w:rPr>
        <w:t> </w:t>
      </w:r>
      <w:r>
        <w:rPr>
          <w:color w:val="3A3638"/>
          <w:w w:val="115"/>
          <w:sz w:val="19"/>
        </w:rPr>
        <w:t>If</w:t>
      </w:r>
      <w:r>
        <w:rPr>
          <w:color w:val="3A3638"/>
          <w:spacing w:val="12"/>
          <w:w w:val="115"/>
          <w:sz w:val="19"/>
        </w:rPr>
        <w:t> </w:t>
      </w:r>
      <w:r>
        <w:rPr>
          <w:color w:val="3A3638"/>
          <w:w w:val="115"/>
          <w:sz w:val="20"/>
        </w:rPr>
        <w:t>we</w:t>
      </w:r>
      <w:r>
        <w:rPr>
          <w:color w:val="3A3638"/>
          <w:spacing w:val="-12"/>
          <w:w w:val="115"/>
          <w:sz w:val="20"/>
        </w:rPr>
        <w:t> </w:t>
      </w:r>
      <w:r>
        <w:rPr>
          <w:color w:val="494849"/>
          <w:w w:val="115"/>
          <w:sz w:val="20"/>
        </w:rPr>
        <w:t>as</w:t>
      </w:r>
      <w:r>
        <w:rPr>
          <w:color w:val="494849"/>
          <w:spacing w:val="9"/>
          <w:w w:val="115"/>
          <w:sz w:val="20"/>
        </w:rPr>
        <w:t> </w:t>
      </w:r>
      <w:r>
        <w:rPr>
          <w:color w:val="3A3638"/>
          <w:w w:val="115"/>
          <w:sz w:val="20"/>
        </w:rPr>
        <w:t>a</w:t>
      </w:r>
      <w:r>
        <w:rPr>
          <w:color w:val="3A3638"/>
          <w:spacing w:val="7"/>
          <w:w w:val="115"/>
          <w:sz w:val="20"/>
        </w:rPr>
        <w:t> </w:t>
      </w:r>
      <w:r>
        <w:rPr>
          <w:color w:val="3A3638"/>
          <w:w w:val="115"/>
          <w:sz w:val="20"/>
        </w:rPr>
        <w:t>society</w:t>
      </w:r>
      <w:r>
        <w:rPr>
          <w:color w:val="3A3638"/>
          <w:spacing w:val="3"/>
          <w:w w:val="115"/>
          <w:sz w:val="20"/>
        </w:rPr>
        <w:t> </w:t>
      </w:r>
      <w:r>
        <w:rPr>
          <w:color w:val="3A3638"/>
          <w:w w:val="115"/>
          <w:sz w:val="20"/>
        </w:rPr>
        <w:t>have</w:t>
      </w:r>
      <w:r>
        <w:rPr>
          <w:color w:val="3A3638"/>
          <w:spacing w:val="-15"/>
          <w:w w:val="115"/>
          <w:sz w:val="20"/>
        </w:rPr>
        <w:t> </w:t>
      </w:r>
      <w:r>
        <w:rPr>
          <w:color w:val="3A3638"/>
          <w:w w:val="115"/>
          <w:sz w:val="20"/>
        </w:rPr>
        <w:t>learned</w:t>
      </w:r>
      <w:r>
        <w:rPr>
          <w:color w:val="3A3638"/>
          <w:spacing w:val="-3"/>
          <w:w w:val="115"/>
          <w:sz w:val="20"/>
        </w:rPr>
        <w:t> </w:t>
      </w:r>
      <w:r>
        <w:rPr>
          <w:color w:val="3A3638"/>
          <w:w w:val="115"/>
          <w:sz w:val="20"/>
        </w:rPr>
        <w:t>anything</w:t>
      </w:r>
      <w:r>
        <w:rPr>
          <w:color w:val="3A3638"/>
          <w:spacing w:val="-2"/>
          <w:w w:val="115"/>
          <w:sz w:val="20"/>
        </w:rPr>
        <w:t> </w:t>
      </w:r>
      <w:r>
        <w:rPr>
          <w:color w:val="3A3638"/>
          <w:w w:val="115"/>
          <w:sz w:val="20"/>
        </w:rPr>
        <w:t>about</w:t>
      </w:r>
    </w:p>
    <w:p>
      <w:pPr>
        <w:spacing w:line="247" w:lineRule="auto" w:before="11"/>
        <w:ind w:left="183" w:right="315" w:firstLine="10"/>
        <w:jc w:val="both"/>
        <w:rPr>
          <w:sz w:val="20"/>
        </w:rPr>
      </w:pPr>
      <w:r>
        <w:rPr>
          <w:color w:val="3A3638"/>
          <w:w w:val="115"/>
          <w:sz w:val="20"/>
        </w:rPr>
        <w:t>gender in the</w:t>
      </w:r>
      <w:r>
        <w:rPr>
          <w:color w:val="3A3638"/>
          <w:spacing w:val="1"/>
          <w:w w:val="115"/>
          <w:sz w:val="20"/>
        </w:rPr>
        <w:t> </w:t>
      </w:r>
      <w:r>
        <w:rPr>
          <w:color w:val="3A3638"/>
          <w:w w:val="115"/>
          <w:sz w:val="20"/>
        </w:rPr>
        <w:t>twenty years since </w:t>
      </w:r>
      <w:r>
        <w:rPr>
          <w:color w:val="3A3638"/>
          <w:w w:val="115"/>
          <w:sz w:val="20"/>
          <w:u w:val="thick" w:color="3A3638"/>
        </w:rPr>
        <w:t>Fiallo</w:t>
      </w:r>
      <w:r>
        <w:rPr>
          <w:color w:val="3A3638"/>
          <w:w w:val="115"/>
          <w:sz w:val="20"/>
        </w:rPr>
        <w:t> was decided, it </w:t>
      </w:r>
      <w:r>
        <w:rPr>
          <w:color w:val="2A2828"/>
          <w:w w:val="115"/>
          <w:sz w:val="20"/>
        </w:rPr>
        <w:t>is </w:t>
      </w:r>
      <w:r>
        <w:rPr>
          <w:color w:val="3A3638"/>
          <w:w w:val="115"/>
          <w:sz w:val="20"/>
        </w:rPr>
        <w:t>that women</w:t>
      </w:r>
      <w:r>
        <w:rPr>
          <w:color w:val="3A3638"/>
          <w:spacing w:val="1"/>
          <w:w w:val="115"/>
          <w:sz w:val="20"/>
        </w:rPr>
        <w:t> </w:t>
      </w:r>
      <w:r>
        <w:rPr>
          <w:color w:val="3A3638"/>
          <w:w w:val="115"/>
          <w:sz w:val="20"/>
        </w:rPr>
        <w:t>and men may </w:t>
      </w:r>
      <w:r>
        <w:rPr>
          <w:color w:val="2A2828"/>
          <w:w w:val="115"/>
          <w:sz w:val="20"/>
        </w:rPr>
        <w:t>not </w:t>
      </w:r>
      <w:r>
        <w:rPr>
          <w:color w:val="3A3638"/>
          <w:w w:val="115"/>
          <w:sz w:val="20"/>
        </w:rPr>
        <w:t>be conclusively pigeon-holed </w:t>
      </w:r>
      <w:r>
        <w:rPr>
          <w:color w:val="494849"/>
          <w:w w:val="115"/>
          <w:sz w:val="20"/>
        </w:rPr>
        <w:t>sole</w:t>
      </w:r>
      <w:r>
        <w:rPr>
          <w:color w:val="2A2828"/>
          <w:w w:val="115"/>
          <w:sz w:val="20"/>
        </w:rPr>
        <w:t>l</w:t>
      </w:r>
      <w:r>
        <w:rPr>
          <w:color w:val="494849"/>
          <w:w w:val="115"/>
          <w:sz w:val="20"/>
        </w:rPr>
        <w:t>y </w:t>
      </w:r>
      <w:r>
        <w:rPr>
          <w:color w:val="3A3638"/>
          <w:w w:val="115"/>
          <w:sz w:val="20"/>
        </w:rPr>
        <w:t>on</w:t>
      </w:r>
      <w:r>
        <w:rPr>
          <w:color w:val="3A3638"/>
          <w:spacing w:val="1"/>
          <w:w w:val="115"/>
          <w:sz w:val="20"/>
        </w:rPr>
        <w:t> </w:t>
      </w:r>
      <w:r>
        <w:rPr>
          <w:color w:val="3A3638"/>
          <w:w w:val="115"/>
          <w:sz w:val="20"/>
        </w:rPr>
        <w:t>the</w:t>
      </w:r>
      <w:r>
        <w:rPr>
          <w:color w:val="3A3638"/>
          <w:spacing w:val="1"/>
          <w:w w:val="115"/>
          <w:sz w:val="20"/>
        </w:rPr>
        <w:t> </w:t>
      </w:r>
      <w:r>
        <w:rPr>
          <w:color w:val="3A3638"/>
          <w:w w:val="115"/>
          <w:sz w:val="20"/>
        </w:rPr>
        <w:t>basis of</w:t>
      </w:r>
      <w:r>
        <w:rPr>
          <w:color w:val="3A3638"/>
          <w:spacing w:val="1"/>
          <w:w w:val="115"/>
          <w:sz w:val="20"/>
        </w:rPr>
        <w:t> </w:t>
      </w:r>
      <w:r>
        <w:rPr>
          <w:color w:val="3A3638"/>
          <w:w w:val="115"/>
          <w:sz w:val="20"/>
        </w:rPr>
        <w:t>their</w:t>
      </w:r>
      <w:r>
        <w:rPr>
          <w:color w:val="3A3638"/>
          <w:spacing w:val="-18"/>
          <w:w w:val="115"/>
          <w:sz w:val="20"/>
        </w:rPr>
        <w:t> </w:t>
      </w:r>
      <w:r>
        <w:rPr>
          <w:color w:val="3A3638"/>
          <w:w w:val="115"/>
          <w:sz w:val="20"/>
        </w:rPr>
        <w:t>gender.</w:t>
      </w:r>
    </w:p>
    <w:p>
      <w:pPr>
        <w:spacing w:line="247" w:lineRule="auto" w:before="0"/>
        <w:ind w:left="103" w:right="242" w:firstLine="461"/>
        <w:jc w:val="left"/>
        <w:rPr>
          <w:sz w:val="20"/>
        </w:rPr>
      </w:pPr>
      <w:r>
        <w:rPr>
          <w:color w:val="2A2828"/>
          <w:w w:val="125"/>
          <w:sz w:val="20"/>
        </w:rPr>
        <w:t>,</w:t>
      </w:r>
      <w:r>
        <w:rPr>
          <w:color w:val="2A2828"/>
          <w:spacing w:val="1"/>
          <w:w w:val="125"/>
          <w:sz w:val="20"/>
        </w:rPr>
        <w:t> </w:t>
      </w:r>
      <w:r>
        <w:rPr>
          <w:color w:val="494849"/>
          <w:w w:val="125"/>
          <w:sz w:val="20"/>
        </w:rPr>
        <w:t>The </w:t>
      </w:r>
      <w:r>
        <w:rPr>
          <w:color w:val="3A3638"/>
          <w:w w:val="125"/>
          <w:sz w:val="20"/>
        </w:rPr>
        <w:t>facts of </w:t>
      </w:r>
      <w:r>
        <w:rPr>
          <w:i/>
          <w:color w:val="3A3638"/>
          <w:w w:val="125"/>
          <w:sz w:val="21"/>
        </w:rPr>
        <w:t>this </w:t>
      </w:r>
      <w:r>
        <w:rPr>
          <w:color w:val="3A3638"/>
          <w:w w:val="125"/>
          <w:sz w:val="20"/>
        </w:rPr>
        <w:t>case support this rather obvious </w:t>
      </w:r>
      <w:r>
        <w:rPr>
          <w:color w:val="494849"/>
          <w:w w:val="125"/>
          <w:sz w:val="20"/>
        </w:rPr>
        <w:t>conclusion.</w:t>
      </w:r>
      <w:r>
        <w:rPr>
          <w:color w:val="494849"/>
          <w:spacing w:val="1"/>
          <w:w w:val="125"/>
          <w:sz w:val="20"/>
        </w:rPr>
        <w:t> </w:t>
      </w:r>
      <w:r>
        <w:rPr>
          <w:color w:val="3A3638"/>
          <w:w w:val="125"/>
          <w:sz w:val="20"/>
        </w:rPr>
        <w:t>Ms. Miller is twenty-seven</w:t>
      </w:r>
      <w:r>
        <w:rPr>
          <w:color w:val="3A3638"/>
          <w:spacing w:val="1"/>
          <w:w w:val="125"/>
          <w:sz w:val="20"/>
        </w:rPr>
        <w:t> </w:t>
      </w:r>
      <w:r>
        <w:rPr>
          <w:color w:val="3A3638"/>
          <w:w w:val="125"/>
          <w:sz w:val="20"/>
        </w:rPr>
        <w:t>years old. Although </w:t>
      </w:r>
      <w:r>
        <w:rPr>
          <w:color w:val="494849"/>
          <w:w w:val="125"/>
          <w:sz w:val="20"/>
        </w:rPr>
        <w:t>she </w:t>
      </w:r>
      <w:r>
        <w:rPr>
          <w:color w:val="3A3638"/>
          <w:w w:val="125"/>
          <w:sz w:val="20"/>
        </w:rPr>
        <w:t>is not a minor,</w:t>
      </w:r>
      <w:r>
        <w:rPr>
          <w:color w:val="3A3638"/>
          <w:spacing w:val="1"/>
          <w:w w:val="125"/>
          <w:sz w:val="20"/>
        </w:rPr>
        <w:t> </w:t>
      </w:r>
      <w:r>
        <w:rPr>
          <w:color w:val="3A3638"/>
          <w:w w:val="120"/>
          <w:sz w:val="20"/>
        </w:rPr>
        <w:t>and although she</w:t>
      </w:r>
      <w:r>
        <w:rPr>
          <w:color w:val="3A3638"/>
          <w:spacing w:val="1"/>
          <w:w w:val="120"/>
          <w:sz w:val="20"/>
        </w:rPr>
        <w:t> </w:t>
      </w:r>
      <w:r>
        <w:rPr>
          <w:color w:val="3A3638"/>
          <w:w w:val="120"/>
          <w:sz w:val="20"/>
        </w:rPr>
        <w:t>neither needs nor</w:t>
      </w:r>
      <w:r>
        <w:rPr>
          <w:color w:val="3A3638"/>
          <w:spacing w:val="1"/>
          <w:w w:val="120"/>
          <w:sz w:val="20"/>
        </w:rPr>
        <w:t> </w:t>
      </w:r>
      <w:r>
        <w:rPr>
          <w:color w:val="3A3638"/>
          <w:w w:val="120"/>
          <w:sz w:val="20"/>
        </w:rPr>
        <w:t>receives</w:t>
      </w:r>
      <w:r>
        <w:rPr>
          <w:color w:val="3A3638"/>
          <w:spacing w:val="1"/>
          <w:w w:val="120"/>
          <w:sz w:val="20"/>
        </w:rPr>
        <w:t> </w:t>
      </w:r>
      <w:r>
        <w:rPr>
          <w:color w:val="3A3638"/>
          <w:w w:val="120"/>
          <w:sz w:val="20"/>
        </w:rPr>
        <w:t>the</w:t>
      </w:r>
      <w:r>
        <w:rPr>
          <w:color w:val="3A3638"/>
          <w:spacing w:val="1"/>
          <w:w w:val="120"/>
          <w:sz w:val="20"/>
        </w:rPr>
        <w:t> </w:t>
      </w:r>
      <w:r>
        <w:rPr>
          <w:color w:val="3A3638"/>
          <w:w w:val="120"/>
          <w:sz w:val="20"/>
        </w:rPr>
        <w:t>financial </w:t>
      </w:r>
      <w:r>
        <w:rPr>
          <w:color w:val="494849"/>
          <w:w w:val="120"/>
          <w:sz w:val="20"/>
        </w:rPr>
        <w:t>support </w:t>
      </w:r>
      <w:r>
        <w:rPr>
          <w:color w:val="3A3638"/>
          <w:w w:val="120"/>
          <w:sz w:val="20"/>
        </w:rPr>
        <w:t>of</w:t>
      </w:r>
      <w:r>
        <w:rPr>
          <w:color w:val="3A3638"/>
          <w:spacing w:val="1"/>
          <w:w w:val="120"/>
          <w:sz w:val="20"/>
        </w:rPr>
        <w:t> </w:t>
      </w:r>
      <w:r>
        <w:rPr>
          <w:color w:val="3A3638"/>
          <w:spacing w:val="-1"/>
          <w:w w:val="120"/>
          <w:sz w:val="20"/>
        </w:rPr>
        <w:t>herfather, she and </w:t>
      </w:r>
      <w:r>
        <w:rPr>
          <w:color w:val="3A3638"/>
          <w:w w:val="120"/>
          <w:sz w:val="20"/>
        </w:rPr>
        <w:t>Mr. Miller have a close family relationship. By the</w:t>
      </w:r>
      <w:r>
        <w:rPr>
          <w:color w:val="3A3638"/>
          <w:spacing w:val="1"/>
          <w:w w:val="120"/>
          <w:sz w:val="20"/>
        </w:rPr>
        <w:t> </w:t>
      </w:r>
      <w:r>
        <w:rPr>
          <w:color w:val="3A3638"/>
          <w:spacing w:val="-1"/>
          <w:w w:val="125"/>
          <w:sz w:val="20"/>
        </w:rPr>
        <w:t>terms</w:t>
      </w:r>
      <w:r>
        <w:rPr>
          <w:color w:val="3A3638"/>
          <w:spacing w:val="-21"/>
          <w:w w:val="125"/>
          <w:sz w:val="20"/>
        </w:rPr>
        <w:t> </w:t>
      </w:r>
      <w:r>
        <w:rPr>
          <w:color w:val="3A3638"/>
          <w:spacing w:val="-1"/>
          <w:w w:val="125"/>
          <w:sz w:val="20"/>
        </w:rPr>
        <w:t>of</w:t>
      </w:r>
      <w:r>
        <w:rPr>
          <w:color w:val="3A3638"/>
          <w:spacing w:val="-3"/>
          <w:w w:val="125"/>
          <w:sz w:val="20"/>
        </w:rPr>
        <w:t> </w:t>
      </w:r>
      <w:r>
        <w:rPr>
          <w:color w:val="3A3638"/>
          <w:spacing w:val="-1"/>
          <w:w w:val="125"/>
          <w:sz w:val="20"/>
        </w:rPr>
        <w:t>the</w:t>
      </w:r>
      <w:r>
        <w:rPr>
          <w:color w:val="3A3638"/>
          <w:spacing w:val="18"/>
          <w:w w:val="125"/>
          <w:sz w:val="20"/>
        </w:rPr>
        <w:t> </w:t>
      </w:r>
      <w:r>
        <w:rPr>
          <w:color w:val="494849"/>
          <w:spacing w:val="-1"/>
          <w:w w:val="125"/>
          <w:sz w:val="20"/>
        </w:rPr>
        <w:t>stereotype</w:t>
      </w:r>
      <w:r>
        <w:rPr>
          <w:color w:val="494849"/>
          <w:spacing w:val="9"/>
          <w:w w:val="125"/>
          <w:sz w:val="20"/>
        </w:rPr>
        <w:t> </w:t>
      </w:r>
      <w:r>
        <w:rPr>
          <w:color w:val="3A3638"/>
          <w:spacing w:val="-1"/>
          <w:w w:val="125"/>
          <w:sz w:val="20"/>
        </w:rPr>
        <w:t>underlying</w:t>
      </w:r>
      <w:r>
        <w:rPr>
          <w:color w:val="3A3638"/>
          <w:spacing w:val="-22"/>
          <w:w w:val="125"/>
          <w:sz w:val="20"/>
        </w:rPr>
        <w:t> </w:t>
      </w:r>
      <w:r>
        <w:rPr>
          <w:color w:val="3A3638"/>
          <w:w w:val="125"/>
          <w:sz w:val="20"/>
        </w:rPr>
        <w:t>§1409(a),</w:t>
      </w:r>
      <w:r>
        <w:rPr>
          <w:color w:val="3A3638"/>
          <w:spacing w:val="-4"/>
          <w:w w:val="125"/>
          <w:sz w:val="20"/>
        </w:rPr>
        <w:t> </w:t>
      </w:r>
      <w:r>
        <w:rPr>
          <w:color w:val="3A3638"/>
          <w:w w:val="125"/>
          <w:sz w:val="20"/>
        </w:rPr>
        <w:t>all</w:t>
      </w:r>
      <w:r>
        <w:rPr>
          <w:color w:val="3A3638"/>
          <w:spacing w:val="23"/>
          <w:w w:val="125"/>
          <w:sz w:val="20"/>
        </w:rPr>
        <w:t> </w:t>
      </w:r>
      <w:r>
        <w:rPr>
          <w:color w:val="3A3638"/>
          <w:w w:val="125"/>
          <w:sz w:val="20"/>
        </w:rPr>
        <w:t>men-including</w:t>
      </w:r>
      <w:r>
        <w:rPr>
          <w:color w:val="3A3638"/>
          <w:spacing w:val="5"/>
          <w:w w:val="125"/>
          <w:sz w:val="20"/>
        </w:rPr>
        <w:t> </w:t>
      </w:r>
      <w:r>
        <w:rPr>
          <w:color w:val="3A3638"/>
          <w:w w:val="125"/>
          <w:sz w:val="20"/>
        </w:rPr>
        <w:t>Mr.</w:t>
      </w:r>
      <w:r>
        <w:rPr>
          <w:color w:val="3A3638"/>
          <w:spacing w:val="1"/>
          <w:w w:val="125"/>
          <w:sz w:val="20"/>
        </w:rPr>
        <w:t> </w:t>
      </w:r>
      <w:r>
        <w:rPr>
          <w:color w:val="3A3638"/>
          <w:spacing w:val="-1"/>
          <w:w w:val="125"/>
          <w:sz w:val="20"/>
        </w:rPr>
        <w:t>Miller-irrebuttably </w:t>
      </w:r>
      <w:r>
        <w:rPr>
          <w:color w:val="3A3638"/>
          <w:w w:val="125"/>
          <w:sz w:val="20"/>
        </w:rPr>
        <w:t>do not form close family </w:t>
      </w:r>
      <w:r>
        <w:rPr>
          <w:color w:val="2A2828"/>
          <w:w w:val="125"/>
          <w:sz w:val="20"/>
        </w:rPr>
        <w:t>relationships </w:t>
      </w:r>
      <w:r>
        <w:rPr>
          <w:color w:val="3A3638"/>
          <w:w w:val="125"/>
          <w:sz w:val="20"/>
        </w:rPr>
        <w:t>with their</w:t>
      </w:r>
      <w:r>
        <w:rPr>
          <w:color w:val="3A3638"/>
          <w:spacing w:val="-60"/>
          <w:w w:val="125"/>
          <w:sz w:val="20"/>
        </w:rPr>
        <w:t> </w:t>
      </w:r>
      <w:r>
        <w:rPr>
          <w:color w:val="494849"/>
          <w:w w:val="120"/>
          <w:sz w:val="20"/>
        </w:rPr>
        <w:t>adu</w:t>
      </w:r>
      <w:r>
        <w:rPr>
          <w:color w:val="2A2828"/>
          <w:w w:val="120"/>
          <w:sz w:val="20"/>
        </w:rPr>
        <w:t>lt </w:t>
      </w:r>
      <w:r>
        <w:rPr>
          <w:color w:val="494849"/>
          <w:w w:val="120"/>
          <w:sz w:val="20"/>
        </w:rPr>
        <w:t>"illeg</w:t>
      </w:r>
      <w:r>
        <w:rPr>
          <w:color w:val="2A2828"/>
          <w:w w:val="120"/>
          <w:sz w:val="20"/>
        </w:rPr>
        <w:t>itimat</w:t>
      </w:r>
      <w:r>
        <w:rPr>
          <w:color w:val="494849"/>
          <w:w w:val="120"/>
          <w:sz w:val="20"/>
        </w:rPr>
        <w:t>e" </w:t>
      </w:r>
      <w:r>
        <w:rPr>
          <w:color w:val="3A3638"/>
          <w:w w:val="120"/>
          <w:sz w:val="20"/>
        </w:rPr>
        <w:t>children. Touphold the</w:t>
      </w:r>
      <w:r>
        <w:rPr>
          <w:color w:val="3A3638"/>
          <w:spacing w:val="1"/>
          <w:w w:val="120"/>
          <w:sz w:val="20"/>
        </w:rPr>
        <w:t> </w:t>
      </w:r>
      <w:r>
        <w:rPr>
          <w:color w:val="3A3638"/>
          <w:w w:val="120"/>
          <w:sz w:val="20"/>
        </w:rPr>
        <w:t>rationality of this irrebut-</w:t>
      </w:r>
      <w:r>
        <w:rPr>
          <w:color w:val="3A3638"/>
          <w:spacing w:val="1"/>
          <w:w w:val="120"/>
          <w:sz w:val="20"/>
        </w:rPr>
        <w:t> </w:t>
      </w:r>
      <w:r>
        <w:rPr>
          <w:color w:val="2A2828"/>
          <w:w w:val="120"/>
          <w:sz w:val="20"/>
        </w:rPr>
        <w:t>table </w:t>
      </w:r>
      <w:r>
        <w:rPr>
          <w:color w:val="3A3638"/>
          <w:w w:val="120"/>
          <w:sz w:val="20"/>
        </w:rPr>
        <w:t>stereotype is to deny the existence of Mr. Miller and those other</w:t>
      </w:r>
      <w:r>
        <w:rPr>
          <w:color w:val="3A3638"/>
          <w:spacing w:val="1"/>
          <w:w w:val="120"/>
          <w:sz w:val="20"/>
        </w:rPr>
        <w:t> </w:t>
      </w:r>
      <w:r>
        <w:rPr>
          <w:color w:val="3A3638"/>
          <w:w w:val="120"/>
          <w:sz w:val="20"/>
        </w:rPr>
        <w:t>menwho,</w:t>
      </w:r>
      <w:r>
        <w:rPr>
          <w:color w:val="3A3638"/>
          <w:spacing w:val="-7"/>
          <w:w w:val="120"/>
          <w:sz w:val="20"/>
        </w:rPr>
        <w:t> </w:t>
      </w:r>
      <w:r>
        <w:rPr>
          <w:color w:val="3A3638"/>
          <w:w w:val="120"/>
          <w:sz w:val="20"/>
        </w:rPr>
        <w:t>for</w:t>
      </w:r>
      <w:r>
        <w:rPr>
          <w:color w:val="3A3638"/>
          <w:spacing w:val="1"/>
          <w:w w:val="120"/>
          <w:sz w:val="20"/>
        </w:rPr>
        <w:t> </w:t>
      </w:r>
      <w:r>
        <w:rPr>
          <w:color w:val="3A3638"/>
          <w:w w:val="120"/>
          <w:sz w:val="20"/>
        </w:rPr>
        <w:t>whatever</w:t>
      </w:r>
      <w:r>
        <w:rPr>
          <w:color w:val="3A3638"/>
          <w:spacing w:val="-9"/>
          <w:w w:val="120"/>
          <w:sz w:val="20"/>
        </w:rPr>
        <w:t> </w:t>
      </w:r>
      <w:r>
        <w:rPr>
          <w:color w:val="3A3638"/>
          <w:w w:val="120"/>
          <w:sz w:val="20"/>
        </w:rPr>
        <w:t>reason,</w:t>
      </w:r>
      <w:r>
        <w:rPr>
          <w:color w:val="3A3638"/>
          <w:spacing w:val="-1"/>
          <w:w w:val="120"/>
          <w:sz w:val="20"/>
        </w:rPr>
        <w:t> </w:t>
      </w:r>
      <w:r>
        <w:rPr>
          <w:color w:val="3A3638"/>
          <w:w w:val="120"/>
          <w:sz w:val="20"/>
        </w:rPr>
        <w:t>form</w:t>
      </w:r>
      <w:r>
        <w:rPr>
          <w:color w:val="3A3638"/>
          <w:spacing w:val="15"/>
          <w:w w:val="120"/>
          <w:sz w:val="20"/>
        </w:rPr>
        <w:t> </w:t>
      </w:r>
      <w:r>
        <w:rPr>
          <w:color w:val="3A3638"/>
          <w:w w:val="120"/>
          <w:sz w:val="20"/>
        </w:rPr>
        <w:t>relationships</w:t>
      </w:r>
      <w:r>
        <w:rPr>
          <w:color w:val="3A3638"/>
          <w:spacing w:val="15"/>
          <w:w w:val="120"/>
          <w:sz w:val="20"/>
        </w:rPr>
        <w:t> </w:t>
      </w:r>
      <w:r>
        <w:rPr>
          <w:color w:val="3A3638"/>
          <w:w w:val="120"/>
          <w:sz w:val="20"/>
        </w:rPr>
        <w:t>with</w:t>
      </w:r>
      <w:r>
        <w:rPr>
          <w:color w:val="3A3638"/>
          <w:spacing w:val="1"/>
          <w:w w:val="120"/>
          <w:sz w:val="20"/>
        </w:rPr>
        <w:t> </w:t>
      </w:r>
      <w:r>
        <w:rPr>
          <w:color w:val="3A3638"/>
          <w:w w:val="120"/>
          <w:sz w:val="20"/>
        </w:rPr>
        <w:t>their</w:t>
      </w:r>
      <w:r>
        <w:rPr>
          <w:color w:val="3A3638"/>
          <w:spacing w:val="-10"/>
          <w:w w:val="120"/>
          <w:sz w:val="20"/>
        </w:rPr>
        <w:t> </w:t>
      </w:r>
      <w:r>
        <w:rPr>
          <w:color w:val="3A3638"/>
          <w:w w:val="120"/>
          <w:sz w:val="20"/>
        </w:rPr>
        <w:t>children</w:t>
      </w:r>
      <w:r>
        <w:rPr>
          <w:color w:val="3A3638"/>
          <w:spacing w:val="1"/>
          <w:w w:val="120"/>
          <w:sz w:val="20"/>
        </w:rPr>
        <w:t> </w:t>
      </w:r>
      <w:r>
        <w:rPr>
          <w:color w:val="3A3638"/>
          <w:w w:val="120"/>
          <w:sz w:val="20"/>
        </w:rPr>
        <w:t>later in life. To uphold the validity of this irrebuttable </w:t>
      </w:r>
      <w:r>
        <w:rPr>
          <w:color w:val="494849"/>
          <w:w w:val="120"/>
          <w:sz w:val="20"/>
        </w:rPr>
        <w:t>stereotype </w:t>
      </w:r>
      <w:r>
        <w:rPr>
          <w:color w:val="3A3638"/>
          <w:w w:val="120"/>
          <w:sz w:val="20"/>
        </w:rPr>
        <w:t>is to</w:t>
      </w:r>
      <w:r>
        <w:rPr>
          <w:color w:val="3A3638"/>
          <w:spacing w:val="1"/>
          <w:w w:val="120"/>
          <w:sz w:val="20"/>
        </w:rPr>
        <w:t> </w:t>
      </w:r>
      <w:r>
        <w:rPr>
          <w:color w:val="3A3638"/>
          <w:w w:val="120"/>
          <w:sz w:val="20"/>
        </w:rPr>
        <w:t>deny reality. This Court </w:t>
      </w:r>
      <w:r>
        <w:rPr>
          <w:color w:val="494849"/>
          <w:w w:val="120"/>
          <w:sz w:val="20"/>
        </w:rPr>
        <w:t>shou</w:t>
      </w:r>
      <w:r>
        <w:rPr>
          <w:color w:val="2A2828"/>
          <w:w w:val="120"/>
          <w:sz w:val="20"/>
        </w:rPr>
        <w:t>ld</w:t>
      </w:r>
      <w:r>
        <w:rPr>
          <w:color w:val="2A2828"/>
          <w:spacing w:val="1"/>
          <w:w w:val="120"/>
          <w:sz w:val="20"/>
        </w:rPr>
        <w:t> </w:t>
      </w:r>
      <w:r>
        <w:rPr>
          <w:color w:val="3A3638"/>
          <w:w w:val="120"/>
          <w:sz w:val="20"/>
        </w:rPr>
        <w:t>reject the validity of this irrebuttable</w:t>
      </w:r>
      <w:r>
        <w:rPr>
          <w:color w:val="3A3638"/>
          <w:spacing w:val="1"/>
          <w:w w:val="120"/>
          <w:sz w:val="20"/>
        </w:rPr>
        <w:t> </w:t>
      </w:r>
      <w:r>
        <w:rPr>
          <w:color w:val="3A3638"/>
          <w:w w:val="120"/>
          <w:sz w:val="20"/>
        </w:rPr>
        <w:t>stereotype</w:t>
      </w:r>
      <w:r>
        <w:rPr>
          <w:color w:val="3A3638"/>
          <w:spacing w:val="2"/>
          <w:w w:val="120"/>
          <w:sz w:val="20"/>
        </w:rPr>
        <w:t> </w:t>
      </w:r>
      <w:r>
        <w:rPr>
          <w:color w:val="3A3638"/>
          <w:w w:val="120"/>
          <w:sz w:val="20"/>
        </w:rPr>
        <w:t>and</w:t>
      </w:r>
      <w:r>
        <w:rPr>
          <w:color w:val="3A3638"/>
          <w:spacing w:val="41"/>
          <w:w w:val="120"/>
          <w:sz w:val="20"/>
        </w:rPr>
        <w:t> </w:t>
      </w:r>
      <w:r>
        <w:rPr>
          <w:color w:val="3A3638"/>
          <w:w w:val="120"/>
          <w:sz w:val="20"/>
        </w:rPr>
        <w:t>acknowledge</w:t>
      </w:r>
      <w:r>
        <w:rPr>
          <w:color w:val="3A3638"/>
          <w:spacing w:val="17"/>
          <w:w w:val="120"/>
          <w:sz w:val="20"/>
        </w:rPr>
        <w:t> </w:t>
      </w:r>
      <w:r>
        <w:rPr>
          <w:color w:val="3A3638"/>
          <w:w w:val="120"/>
          <w:sz w:val="20"/>
        </w:rPr>
        <w:t>that</w:t>
      </w:r>
      <w:r>
        <w:rPr>
          <w:color w:val="3A3638"/>
          <w:spacing w:val="13"/>
          <w:w w:val="120"/>
          <w:sz w:val="20"/>
        </w:rPr>
        <w:t> </w:t>
      </w:r>
      <w:r>
        <w:rPr>
          <w:color w:val="3A3638"/>
          <w:w w:val="120"/>
          <w:sz w:val="20"/>
        </w:rPr>
        <w:t>there</w:t>
      </w:r>
      <w:r>
        <w:rPr>
          <w:color w:val="3A3638"/>
          <w:spacing w:val="3"/>
          <w:w w:val="120"/>
          <w:sz w:val="20"/>
        </w:rPr>
        <w:t> </w:t>
      </w:r>
      <w:r>
        <w:rPr>
          <w:color w:val="3A3638"/>
          <w:w w:val="120"/>
          <w:sz w:val="20"/>
        </w:rPr>
        <w:t>is</w:t>
      </w:r>
      <w:r>
        <w:rPr>
          <w:color w:val="3A3638"/>
          <w:spacing w:val="-2"/>
          <w:w w:val="120"/>
          <w:sz w:val="20"/>
        </w:rPr>
        <w:t> </w:t>
      </w:r>
      <w:r>
        <w:rPr>
          <w:color w:val="3A3638"/>
          <w:w w:val="120"/>
          <w:sz w:val="20"/>
        </w:rPr>
        <w:t>no</w:t>
      </w:r>
      <w:r>
        <w:rPr>
          <w:color w:val="3A3638"/>
          <w:spacing w:val="8"/>
          <w:w w:val="120"/>
          <w:sz w:val="20"/>
        </w:rPr>
        <w:t> </w:t>
      </w:r>
      <w:r>
        <w:rPr>
          <w:color w:val="3A3638"/>
          <w:w w:val="120"/>
          <w:sz w:val="20"/>
        </w:rPr>
        <w:t>substantial</w:t>
      </w:r>
      <w:r>
        <w:rPr>
          <w:color w:val="3A3638"/>
          <w:spacing w:val="43"/>
          <w:w w:val="120"/>
          <w:sz w:val="20"/>
        </w:rPr>
        <w:t> </w:t>
      </w:r>
      <w:r>
        <w:rPr>
          <w:color w:val="3A3638"/>
          <w:w w:val="120"/>
          <w:sz w:val="20"/>
        </w:rPr>
        <w:t>relationship</w:t>
      </w:r>
    </w:p>
    <w:p>
      <w:pPr>
        <w:spacing w:line="220" w:lineRule="auto" w:before="12"/>
        <w:ind w:left="97" w:right="242" w:firstLine="16"/>
        <w:jc w:val="left"/>
        <w:rPr>
          <w:sz w:val="20"/>
        </w:rPr>
      </w:pPr>
      <w:r>
        <w:rPr>
          <w:color w:val="3A3638"/>
          <w:w w:val="115"/>
          <w:sz w:val="20"/>
        </w:rPr>
        <w:t>between</w:t>
      </w:r>
      <w:r>
        <w:rPr>
          <w:color w:val="3A3638"/>
          <w:spacing w:val="16"/>
          <w:w w:val="115"/>
          <w:sz w:val="20"/>
        </w:rPr>
        <w:t> </w:t>
      </w:r>
      <w:r>
        <w:rPr>
          <w:color w:val="3A3638"/>
          <w:w w:val="115"/>
          <w:sz w:val="20"/>
        </w:rPr>
        <w:t>the</w:t>
      </w:r>
      <w:r>
        <w:rPr>
          <w:color w:val="3A3638"/>
          <w:spacing w:val="3"/>
          <w:w w:val="115"/>
          <w:sz w:val="20"/>
        </w:rPr>
        <w:t> </w:t>
      </w:r>
      <w:r>
        <w:rPr>
          <w:color w:val="3A3638"/>
          <w:w w:val="115"/>
          <w:sz w:val="20"/>
        </w:rPr>
        <w:t>use</w:t>
      </w:r>
      <w:r>
        <w:rPr>
          <w:color w:val="3A3638"/>
          <w:spacing w:val="-9"/>
          <w:w w:val="115"/>
          <w:sz w:val="20"/>
        </w:rPr>
        <w:t> </w:t>
      </w:r>
      <w:r>
        <w:rPr>
          <w:color w:val="3A3638"/>
          <w:w w:val="115"/>
          <w:sz w:val="20"/>
        </w:rPr>
        <w:t>of</w:t>
      </w:r>
      <w:r>
        <w:rPr>
          <w:color w:val="3A3638"/>
          <w:spacing w:val="19"/>
          <w:w w:val="115"/>
          <w:sz w:val="20"/>
        </w:rPr>
        <w:t> </w:t>
      </w:r>
      <w:r>
        <w:rPr>
          <w:color w:val="3A3638"/>
          <w:w w:val="115"/>
          <w:sz w:val="20"/>
        </w:rPr>
        <w:t>the</w:t>
      </w:r>
      <w:r>
        <w:rPr>
          <w:color w:val="3A3638"/>
          <w:spacing w:val="23"/>
          <w:w w:val="115"/>
          <w:sz w:val="20"/>
        </w:rPr>
        <w:t> </w:t>
      </w:r>
      <w:r>
        <w:rPr>
          <w:color w:val="3A3638"/>
          <w:w w:val="115"/>
          <w:sz w:val="20"/>
        </w:rPr>
        <w:t>stereotype</w:t>
      </w:r>
      <w:r>
        <w:rPr>
          <w:color w:val="3A3638"/>
          <w:spacing w:val="3"/>
          <w:w w:val="115"/>
          <w:sz w:val="20"/>
        </w:rPr>
        <w:t> </w:t>
      </w:r>
      <w:r>
        <w:rPr>
          <w:color w:val="3A3638"/>
          <w:w w:val="115"/>
          <w:sz w:val="20"/>
        </w:rPr>
        <w:t>and</w:t>
      </w:r>
      <w:r>
        <w:rPr>
          <w:color w:val="3A3638"/>
          <w:spacing w:val="43"/>
          <w:w w:val="115"/>
          <w:sz w:val="20"/>
        </w:rPr>
        <w:t> </w:t>
      </w:r>
      <w:r>
        <w:rPr>
          <w:color w:val="494849"/>
          <w:w w:val="115"/>
          <w:sz w:val="20"/>
        </w:rPr>
        <w:t>the</w:t>
      </w:r>
      <w:r>
        <w:rPr>
          <w:color w:val="494849"/>
          <w:spacing w:val="25"/>
          <w:w w:val="115"/>
          <w:sz w:val="20"/>
        </w:rPr>
        <w:t> </w:t>
      </w:r>
      <w:r>
        <w:rPr>
          <w:color w:val="3A3638"/>
          <w:w w:val="115"/>
          <w:sz w:val="20"/>
        </w:rPr>
        <w:t>government's</w:t>
      </w:r>
      <w:r>
        <w:rPr>
          <w:color w:val="3A3638"/>
          <w:spacing w:val="5"/>
          <w:w w:val="115"/>
          <w:sz w:val="20"/>
        </w:rPr>
        <w:t> </w:t>
      </w:r>
      <w:r>
        <w:rPr>
          <w:color w:val="3A3638"/>
          <w:w w:val="115"/>
          <w:sz w:val="20"/>
        </w:rPr>
        <w:t>goal</w:t>
      </w:r>
      <w:r>
        <w:rPr>
          <w:color w:val="3A3638"/>
          <w:spacing w:val="-9"/>
          <w:w w:val="115"/>
          <w:sz w:val="20"/>
        </w:rPr>
        <w:t> </w:t>
      </w:r>
      <w:r>
        <w:rPr>
          <w:color w:val="494849"/>
          <w:w w:val="115"/>
          <w:sz w:val="20"/>
        </w:rPr>
        <w:t>of</w:t>
      </w:r>
      <w:r>
        <w:rPr>
          <w:color w:val="494849"/>
          <w:spacing w:val="24"/>
          <w:w w:val="115"/>
          <w:sz w:val="20"/>
        </w:rPr>
        <w:t> </w:t>
      </w:r>
      <w:r>
        <w:rPr>
          <w:color w:val="3A3638"/>
          <w:w w:val="115"/>
          <w:sz w:val="20"/>
        </w:rPr>
        <w:t>foster­</w:t>
      </w:r>
      <w:r>
        <w:rPr>
          <w:color w:val="3A3638"/>
          <w:spacing w:val="-55"/>
          <w:w w:val="115"/>
          <w:sz w:val="20"/>
        </w:rPr>
        <w:t> </w:t>
      </w:r>
      <w:r>
        <w:rPr>
          <w:color w:val="3A3638"/>
          <w:w w:val="120"/>
          <w:sz w:val="20"/>
        </w:rPr>
        <w:t>ing</w:t>
      </w:r>
      <w:r>
        <w:rPr>
          <w:color w:val="3A3638"/>
          <w:spacing w:val="-10"/>
          <w:w w:val="120"/>
          <w:sz w:val="20"/>
        </w:rPr>
        <w:t> </w:t>
      </w:r>
      <w:r>
        <w:rPr>
          <w:color w:val="3A3638"/>
          <w:w w:val="120"/>
          <w:sz w:val="20"/>
        </w:rPr>
        <w:t>close</w:t>
      </w:r>
      <w:r>
        <w:rPr>
          <w:color w:val="3A3638"/>
          <w:spacing w:val="-19"/>
          <w:w w:val="120"/>
          <w:sz w:val="20"/>
        </w:rPr>
        <w:t> </w:t>
      </w:r>
      <w:r>
        <w:rPr>
          <w:color w:val="3A3638"/>
          <w:w w:val="120"/>
          <w:sz w:val="20"/>
        </w:rPr>
        <w:t>family</w:t>
      </w:r>
      <w:r>
        <w:rPr>
          <w:color w:val="3A3638"/>
          <w:spacing w:val="-5"/>
          <w:w w:val="120"/>
          <w:sz w:val="20"/>
        </w:rPr>
        <w:t> </w:t>
      </w:r>
      <w:r>
        <w:rPr>
          <w:color w:val="3A3638"/>
          <w:w w:val="120"/>
          <w:sz w:val="20"/>
        </w:rPr>
        <w:t>relationships.</w:t>
      </w:r>
    </w:p>
    <w:p>
      <w:pPr>
        <w:pStyle w:val="BodyText"/>
        <w:spacing w:before="160"/>
        <w:ind w:left="87"/>
      </w:pPr>
      <w:r>
        <w:rPr>
          <w:color w:val="3A3638"/>
          <w:w w:val="105"/>
        </w:rPr>
        <w:t>Note</w:t>
      </w:r>
      <w:r>
        <w:rPr>
          <w:color w:val="3A3638"/>
          <w:spacing w:val="16"/>
          <w:w w:val="105"/>
        </w:rPr>
        <w:t> </w:t>
      </w:r>
      <w:r>
        <w:rPr>
          <w:color w:val="3A3638"/>
          <w:w w:val="105"/>
        </w:rPr>
        <w:t>how</w:t>
      </w:r>
      <w:r>
        <w:rPr>
          <w:color w:val="3A3638"/>
          <w:spacing w:val="36"/>
          <w:w w:val="105"/>
        </w:rPr>
        <w:t> </w:t>
      </w:r>
      <w:r>
        <w:rPr>
          <w:color w:val="3A3638"/>
          <w:w w:val="105"/>
        </w:rPr>
        <w:t>the</w:t>
      </w:r>
      <w:r>
        <w:rPr>
          <w:color w:val="3A3638"/>
          <w:spacing w:val="48"/>
          <w:w w:val="105"/>
        </w:rPr>
        <w:t> </w:t>
      </w:r>
      <w:r>
        <w:rPr>
          <w:color w:val="494849"/>
          <w:w w:val="105"/>
        </w:rPr>
        <w:t>writer</w:t>
      </w:r>
      <w:r>
        <w:rPr>
          <w:color w:val="494849"/>
          <w:spacing w:val="31"/>
          <w:w w:val="105"/>
        </w:rPr>
        <w:t> </w:t>
      </w:r>
      <w:r>
        <w:rPr>
          <w:color w:val="3A3638"/>
          <w:w w:val="105"/>
        </w:rPr>
        <w:t>refers</w:t>
      </w:r>
      <w:r>
        <w:rPr>
          <w:color w:val="3A3638"/>
          <w:spacing w:val="13"/>
          <w:w w:val="105"/>
        </w:rPr>
        <w:t> </w:t>
      </w:r>
      <w:r>
        <w:rPr>
          <w:color w:val="3A3638"/>
          <w:w w:val="105"/>
        </w:rPr>
        <w:t>to</w:t>
      </w:r>
      <w:r>
        <w:rPr>
          <w:color w:val="3A3638"/>
          <w:spacing w:val="37"/>
          <w:w w:val="105"/>
        </w:rPr>
        <w:t> </w:t>
      </w:r>
      <w:r>
        <w:rPr>
          <w:color w:val="3A3638"/>
          <w:w w:val="105"/>
        </w:rPr>
        <w:t>his</w:t>
      </w:r>
      <w:r>
        <w:rPr>
          <w:color w:val="3A3638"/>
          <w:spacing w:val="24"/>
          <w:w w:val="105"/>
        </w:rPr>
        <w:t> </w:t>
      </w:r>
      <w:r>
        <w:rPr>
          <w:color w:val="3A3638"/>
          <w:w w:val="105"/>
        </w:rPr>
        <w:t>client,</w:t>
      </w:r>
      <w:r>
        <w:rPr>
          <w:color w:val="3A3638"/>
          <w:spacing w:val="19"/>
          <w:w w:val="105"/>
        </w:rPr>
        <w:t> </w:t>
      </w:r>
      <w:r>
        <w:rPr>
          <w:color w:val="3A3638"/>
          <w:w w:val="105"/>
        </w:rPr>
        <w:t>Ms.</w:t>
      </w:r>
      <w:r>
        <w:rPr>
          <w:color w:val="3A3638"/>
          <w:spacing w:val="12"/>
          <w:w w:val="105"/>
        </w:rPr>
        <w:t> </w:t>
      </w:r>
      <w:r>
        <w:rPr>
          <w:color w:val="3A3638"/>
          <w:w w:val="105"/>
        </w:rPr>
        <w:t>Miller,</w:t>
      </w:r>
      <w:r>
        <w:rPr>
          <w:color w:val="3A3638"/>
          <w:spacing w:val="28"/>
          <w:w w:val="105"/>
        </w:rPr>
        <w:t> </w:t>
      </w:r>
      <w:r>
        <w:rPr>
          <w:color w:val="3A3638"/>
          <w:w w:val="105"/>
        </w:rPr>
        <w:t>in</w:t>
      </w:r>
      <w:r>
        <w:rPr>
          <w:color w:val="3A3638"/>
          <w:spacing w:val="47"/>
          <w:w w:val="105"/>
        </w:rPr>
        <w:t> </w:t>
      </w:r>
      <w:r>
        <w:rPr>
          <w:color w:val="3A3638"/>
          <w:w w:val="105"/>
        </w:rPr>
        <w:t>the</w:t>
      </w:r>
      <w:r>
        <w:rPr>
          <w:color w:val="3A3638"/>
          <w:spacing w:val="16"/>
          <w:w w:val="105"/>
        </w:rPr>
        <w:t> </w:t>
      </w:r>
      <w:r>
        <w:rPr>
          <w:color w:val="3A3638"/>
          <w:w w:val="105"/>
        </w:rPr>
        <w:t>first</w:t>
      </w:r>
      <w:r>
        <w:rPr>
          <w:color w:val="3A3638"/>
          <w:spacing w:val="30"/>
          <w:w w:val="105"/>
        </w:rPr>
        <w:t> </w:t>
      </w:r>
      <w:r>
        <w:rPr>
          <w:color w:val="3A3638"/>
          <w:w w:val="105"/>
        </w:rPr>
        <w:t>para­</w:t>
      </w:r>
    </w:p>
    <w:p>
      <w:pPr>
        <w:spacing w:after="0"/>
        <w:sectPr>
          <w:type w:val="continuous"/>
          <w:pgSz w:w="9270" w:h="13770"/>
          <w:pgMar w:header="472" w:footer="0" w:top="340" w:bottom="280" w:left="700" w:right="0"/>
          <w:cols w:num="2" w:equalWidth="0">
            <w:col w:w="1385" w:space="40"/>
            <w:col w:w="7145"/>
          </w:cols>
        </w:sectPr>
      </w:pPr>
    </w:p>
    <w:p>
      <w:pPr>
        <w:pStyle w:val="BodyText"/>
        <w:spacing w:line="230" w:lineRule="auto" w:before="4"/>
        <w:ind w:left="1062" w:right="51" w:firstLine="52"/>
        <w:jc w:val="both"/>
      </w:pPr>
      <w:r>
        <w:rPr>
          <w:color w:val="3A3638"/>
          <w:w w:val="105"/>
        </w:rPr>
        <w:t>graph, and</w:t>
      </w:r>
      <w:r>
        <w:rPr>
          <w:color w:val="3A3638"/>
          <w:spacing w:val="1"/>
          <w:w w:val="105"/>
        </w:rPr>
        <w:t> </w:t>
      </w:r>
      <w:r>
        <w:rPr>
          <w:color w:val="3A3638"/>
          <w:w w:val="105"/>
        </w:rPr>
        <w:t>how the last paragraph uses concrete details from</w:t>
      </w:r>
      <w:r>
        <w:rPr>
          <w:color w:val="3A3638"/>
          <w:spacing w:val="1"/>
          <w:w w:val="105"/>
        </w:rPr>
        <w:t> </w:t>
      </w:r>
      <w:r>
        <w:rPr>
          <w:color w:val="3A3638"/>
          <w:w w:val="105"/>
        </w:rPr>
        <w:t>the case to</w:t>
      </w:r>
      <w:r>
        <w:rPr>
          <w:color w:val="3A3638"/>
          <w:spacing w:val="1"/>
          <w:w w:val="105"/>
        </w:rPr>
        <w:t> </w:t>
      </w:r>
      <w:r>
        <w:rPr>
          <w:color w:val="494849"/>
          <w:w w:val="110"/>
        </w:rPr>
        <w:t>show </w:t>
      </w:r>
      <w:r>
        <w:rPr>
          <w:color w:val="3A3638"/>
          <w:w w:val="110"/>
        </w:rPr>
        <w:t>the </w:t>
      </w:r>
      <w:r>
        <w:rPr>
          <w:color w:val="494849"/>
          <w:w w:val="110"/>
        </w:rPr>
        <w:t>cou</w:t>
      </w:r>
      <w:r>
        <w:rPr>
          <w:color w:val="2A2828"/>
          <w:w w:val="110"/>
        </w:rPr>
        <w:t>rt </w:t>
      </w:r>
      <w:r>
        <w:rPr>
          <w:color w:val="3A3638"/>
          <w:w w:val="110"/>
        </w:rPr>
        <w:t>the impact its </w:t>
      </w:r>
      <w:r>
        <w:rPr>
          <w:color w:val="494849"/>
          <w:w w:val="110"/>
        </w:rPr>
        <w:t>decision </w:t>
      </w:r>
      <w:r>
        <w:rPr>
          <w:color w:val="3A3638"/>
          <w:w w:val="110"/>
        </w:rPr>
        <w:t>will have in a </w:t>
      </w:r>
      <w:r>
        <w:rPr>
          <w:color w:val="494849"/>
          <w:w w:val="110"/>
        </w:rPr>
        <w:t>specific case. </w:t>
      </w:r>
      <w:r>
        <w:rPr>
          <w:color w:val="3A3638"/>
          <w:w w:val="110"/>
        </w:rPr>
        <w:t>Not</w:t>
      </w:r>
      <w:r>
        <w:rPr>
          <w:color w:val="3A3638"/>
          <w:spacing w:val="1"/>
          <w:w w:val="110"/>
        </w:rPr>
        <w:t> </w:t>
      </w:r>
      <w:r>
        <w:rPr>
          <w:color w:val="3A3638"/>
          <w:w w:val="110"/>
        </w:rPr>
        <w:t>every legal issue will need </w:t>
      </w:r>
      <w:r>
        <w:rPr>
          <w:color w:val="5B5B5D"/>
          <w:w w:val="110"/>
        </w:rPr>
        <w:t>s</w:t>
      </w:r>
      <w:r>
        <w:rPr>
          <w:color w:val="3A3638"/>
          <w:w w:val="110"/>
        </w:rPr>
        <w:t>uch a lengthy application </w:t>
      </w:r>
      <w:r>
        <w:rPr>
          <w:color w:val="494849"/>
          <w:w w:val="110"/>
        </w:rPr>
        <w:t>section </w:t>
      </w:r>
      <w:r>
        <w:rPr>
          <w:color w:val="3A3638"/>
          <w:w w:val="110"/>
        </w:rPr>
        <w:t>or </w:t>
      </w:r>
      <w:r>
        <w:rPr>
          <w:color w:val="494849"/>
          <w:w w:val="110"/>
        </w:rPr>
        <w:t>such </w:t>
      </w:r>
      <w:r>
        <w:rPr>
          <w:color w:val="3A3638"/>
          <w:w w:val="110"/>
        </w:rPr>
        <w:t>a</w:t>
      </w:r>
      <w:r>
        <w:rPr>
          <w:color w:val="3A3638"/>
          <w:spacing w:val="1"/>
          <w:w w:val="110"/>
        </w:rPr>
        <w:t> </w:t>
      </w:r>
      <w:r>
        <w:rPr>
          <w:color w:val="3A3638"/>
          <w:w w:val="105"/>
        </w:rPr>
        <w:t>detailed description of </w:t>
      </w:r>
      <w:r>
        <w:rPr>
          <w:color w:val="494849"/>
          <w:w w:val="105"/>
        </w:rPr>
        <w:t>the  </w:t>
      </w:r>
      <w:r>
        <w:rPr>
          <w:color w:val="3A3638"/>
          <w:w w:val="105"/>
        </w:rPr>
        <w:t>client's </w:t>
      </w:r>
      <w:r>
        <w:rPr>
          <w:color w:val="494849"/>
          <w:w w:val="105"/>
        </w:rPr>
        <w:t>facts. </w:t>
      </w:r>
      <w:r>
        <w:rPr>
          <w:color w:val="3A3638"/>
          <w:w w:val="105"/>
        </w:rPr>
        <w:t>A good writer, however  </w:t>
      </w:r>
      <w:r>
        <w:rPr>
          <w:color w:val="3A3638"/>
          <w:w w:val="105"/>
          <w:sz w:val="22"/>
        </w:rPr>
        <w:t>will </w:t>
      </w:r>
      <w:r>
        <w:rPr>
          <w:color w:val="3A3638"/>
          <w:w w:val="105"/>
        </w:rPr>
        <w:t>look</w:t>
      </w:r>
      <w:r>
        <w:rPr>
          <w:color w:val="3A3638"/>
          <w:spacing w:val="1"/>
          <w:w w:val="105"/>
        </w:rPr>
        <w:t> </w:t>
      </w:r>
      <w:r>
        <w:rPr>
          <w:rFonts w:ascii="Arial"/>
          <w:color w:val="3A3638"/>
          <w:spacing w:val="-1"/>
          <w:w w:val="110"/>
          <w:sz w:val="22"/>
        </w:rPr>
        <w:t>for</w:t>
      </w:r>
      <w:r>
        <w:rPr>
          <w:rFonts w:ascii="Arial"/>
          <w:color w:val="3A3638"/>
          <w:spacing w:val="36"/>
          <w:w w:val="110"/>
          <w:sz w:val="22"/>
        </w:rPr>
        <w:t> </w:t>
      </w:r>
      <w:r>
        <w:rPr>
          <w:color w:val="3A3638"/>
          <w:spacing w:val="-1"/>
          <w:w w:val="110"/>
        </w:rPr>
        <w:t>opportunities</w:t>
      </w:r>
      <w:r>
        <w:rPr>
          <w:color w:val="3A3638"/>
          <w:spacing w:val="5"/>
          <w:w w:val="110"/>
        </w:rPr>
        <w:t> </w:t>
      </w:r>
      <w:r>
        <w:rPr>
          <w:color w:val="3A3638"/>
          <w:spacing w:val="-1"/>
          <w:w w:val="110"/>
        </w:rPr>
        <w:t>to</w:t>
      </w:r>
      <w:r>
        <w:rPr>
          <w:color w:val="3A3638"/>
          <w:spacing w:val="11"/>
          <w:w w:val="110"/>
        </w:rPr>
        <w:t> </w:t>
      </w:r>
      <w:r>
        <w:rPr>
          <w:color w:val="3A3638"/>
          <w:w w:val="110"/>
        </w:rPr>
        <w:t>use</w:t>
      </w:r>
      <w:r>
        <w:rPr>
          <w:color w:val="3A3638"/>
          <w:spacing w:val="-25"/>
          <w:w w:val="110"/>
        </w:rPr>
        <w:t> </w:t>
      </w:r>
      <w:r>
        <w:rPr>
          <w:color w:val="3A3638"/>
          <w:w w:val="110"/>
        </w:rPr>
        <w:t>client</w:t>
      </w:r>
      <w:r>
        <w:rPr>
          <w:color w:val="3A3638"/>
          <w:spacing w:val="-15"/>
          <w:w w:val="110"/>
        </w:rPr>
        <w:t> </w:t>
      </w:r>
      <w:r>
        <w:rPr>
          <w:color w:val="3A3638"/>
          <w:w w:val="110"/>
        </w:rPr>
        <w:t>facts</w:t>
      </w:r>
      <w:r>
        <w:rPr>
          <w:color w:val="3A3638"/>
          <w:spacing w:val="-18"/>
          <w:w w:val="110"/>
        </w:rPr>
        <w:t> </w:t>
      </w:r>
      <w:r>
        <w:rPr>
          <w:color w:val="3A3638"/>
          <w:w w:val="110"/>
        </w:rPr>
        <w:t>to</w:t>
      </w:r>
      <w:r>
        <w:rPr>
          <w:color w:val="3A3638"/>
          <w:spacing w:val="6"/>
          <w:w w:val="110"/>
        </w:rPr>
        <w:t> </w:t>
      </w:r>
      <w:r>
        <w:rPr>
          <w:color w:val="3A3638"/>
          <w:w w:val="110"/>
        </w:rPr>
        <w:t>make</w:t>
      </w:r>
      <w:r>
        <w:rPr>
          <w:color w:val="3A3638"/>
          <w:spacing w:val="-20"/>
          <w:w w:val="110"/>
        </w:rPr>
        <w:t> </w:t>
      </w:r>
      <w:r>
        <w:rPr>
          <w:color w:val="3A3638"/>
          <w:w w:val="110"/>
        </w:rPr>
        <w:t>abstract</w:t>
      </w:r>
      <w:r>
        <w:rPr>
          <w:color w:val="3A3638"/>
          <w:spacing w:val="2"/>
          <w:w w:val="110"/>
        </w:rPr>
        <w:t> </w:t>
      </w:r>
      <w:r>
        <w:rPr>
          <w:color w:val="3A3638"/>
          <w:w w:val="110"/>
        </w:rPr>
        <w:t>legal</w:t>
      </w:r>
      <w:r>
        <w:rPr>
          <w:color w:val="3A3638"/>
          <w:spacing w:val="8"/>
          <w:w w:val="110"/>
        </w:rPr>
        <w:t> </w:t>
      </w:r>
      <w:r>
        <w:rPr>
          <w:color w:val="3A3638"/>
          <w:w w:val="110"/>
        </w:rPr>
        <w:t>princi</w:t>
      </w:r>
      <w:r>
        <w:rPr>
          <w:color w:val="3A3638"/>
          <w:spacing w:val="5"/>
          <w:w w:val="110"/>
        </w:rPr>
        <w:t> </w:t>
      </w:r>
      <w:r>
        <w:rPr>
          <w:color w:val="3A3638"/>
          <w:w w:val="110"/>
        </w:rPr>
        <w:t>les</w:t>
      </w:r>
      <w:r>
        <w:rPr>
          <w:color w:val="3A3638"/>
          <w:spacing w:val="-10"/>
          <w:w w:val="110"/>
        </w:rPr>
        <w:t> </w:t>
      </w:r>
      <w:r>
        <w:rPr>
          <w:color w:val="3A3638"/>
          <w:w w:val="110"/>
        </w:rPr>
        <w:t>vivid.</w:t>
      </w:r>
    </w:p>
    <w:p>
      <w:pPr>
        <w:spacing w:after="0" w:line="230" w:lineRule="auto"/>
        <w:jc w:val="both"/>
        <w:sectPr>
          <w:type w:val="continuous"/>
          <w:pgSz w:w="9270" w:h="13770"/>
          <w:pgMar w:header="472" w:footer="0" w:top="340" w:bottom="28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44"/>
        </w:numPr>
        <w:tabs>
          <w:tab w:pos="877" w:val="left" w:leader="none"/>
        </w:tabs>
        <w:spacing w:line="237" w:lineRule="exact" w:before="0" w:after="0"/>
        <w:ind w:left="876" w:right="0" w:hanging="394"/>
        <w:jc w:val="both"/>
        <w:rPr>
          <w:b/>
          <w:color w:val="383638"/>
          <w:sz w:val="21"/>
        </w:rPr>
      </w:pPr>
      <w:r>
        <w:rPr>
          <w:b/>
          <w:color w:val="383638"/>
          <w:w w:val="120"/>
          <w:sz w:val="21"/>
        </w:rPr>
        <w:t>Sometimes</w:t>
      </w:r>
      <w:r>
        <w:rPr>
          <w:b/>
          <w:color w:val="383638"/>
          <w:spacing w:val="-8"/>
          <w:w w:val="120"/>
          <w:sz w:val="21"/>
        </w:rPr>
        <w:t> </w:t>
      </w:r>
      <w:r>
        <w:rPr>
          <w:b/>
          <w:color w:val="383638"/>
          <w:w w:val="120"/>
          <w:sz w:val="21"/>
        </w:rPr>
        <w:t>Statutory</w:t>
      </w:r>
      <w:r>
        <w:rPr>
          <w:b/>
          <w:color w:val="383638"/>
          <w:spacing w:val="4"/>
          <w:w w:val="120"/>
          <w:sz w:val="21"/>
        </w:rPr>
        <w:t> </w:t>
      </w:r>
      <w:r>
        <w:rPr>
          <w:b/>
          <w:color w:val="383638"/>
          <w:w w:val="120"/>
          <w:sz w:val="21"/>
        </w:rPr>
        <w:t>Language</w:t>
      </w:r>
      <w:r>
        <w:rPr>
          <w:b/>
          <w:color w:val="383638"/>
          <w:spacing w:val="8"/>
          <w:w w:val="120"/>
          <w:sz w:val="21"/>
        </w:rPr>
        <w:t> </w:t>
      </w:r>
      <w:r>
        <w:rPr>
          <w:color w:val="383638"/>
          <w:w w:val="120"/>
          <w:sz w:val="21"/>
        </w:rPr>
        <w:t>Is</w:t>
      </w:r>
      <w:r>
        <w:rPr>
          <w:color w:val="383638"/>
          <w:spacing w:val="-14"/>
          <w:w w:val="120"/>
          <w:sz w:val="21"/>
        </w:rPr>
        <w:t> </w:t>
      </w:r>
      <w:r>
        <w:rPr>
          <w:b/>
          <w:color w:val="383638"/>
          <w:w w:val="120"/>
          <w:sz w:val="21"/>
        </w:rPr>
        <w:t>a</w:t>
      </w:r>
      <w:r>
        <w:rPr>
          <w:b/>
          <w:color w:val="383638"/>
          <w:spacing w:val="30"/>
          <w:w w:val="120"/>
          <w:sz w:val="21"/>
        </w:rPr>
        <w:t> </w:t>
      </w:r>
      <w:r>
        <w:rPr>
          <w:b/>
          <w:color w:val="383638"/>
          <w:w w:val="120"/>
          <w:sz w:val="21"/>
        </w:rPr>
        <w:t>Fact</w:t>
      </w:r>
    </w:p>
    <w:p>
      <w:pPr>
        <w:pStyle w:val="BodyText"/>
        <w:spacing w:line="232" w:lineRule="auto" w:before="2"/>
        <w:ind w:left="104" w:right="290" w:firstLine="366"/>
        <w:jc w:val="both"/>
      </w:pPr>
      <w:r>
        <w:rPr>
          <w:color w:val="383638"/>
          <w:w w:val="115"/>
        </w:rPr>
        <w:t>Another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challenge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that  many student  writers face  when  writing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the application section is the problem of "no facts." If you are analyz­</w:t>
      </w:r>
      <w:r>
        <w:rPr>
          <w:color w:val="383638"/>
          <w:spacing w:val="1"/>
          <w:w w:val="115"/>
        </w:rPr>
        <w:t> </w:t>
      </w:r>
      <w:r>
        <w:rPr>
          <w:color w:val="383638"/>
          <w:spacing w:val="-1"/>
          <w:w w:val="115"/>
        </w:rPr>
        <w:t>ing a statutory </w:t>
      </w:r>
      <w:r>
        <w:rPr>
          <w:color w:val="383638"/>
          <w:w w:val="115"/>
        </w:rPr>
        <w:t>interpretation issue, it may seem to you that there are no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facts-there is only the statute itself. Many students think of the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term</w:t>
      </w:r>
      <w:r>
        <w:rPr>
          <w:color w:val="383638"/>
          <w:spacing w:val="1"/>
          <w:w w:val="115"/>
        </w:rPr>
        <w:t> </w:t>
      </w:r>
      <w:r>
        <w:rPr>
          <w:i/>
          <w:color w:val="383638"/>
          <w:w w:val="110"/>
          <w:sz w:val="24"/>
        </w:rPr>
        <w:t>facts </w:t>
      </w:r>
      <w:r>
        <w:rPr>
          <w:color w:val="383638"/>
          <w:w w:val="110"/>
        </w:rPr>
        <w:t>as referring only to tangible events, like a car accident, or a murder,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or even an interrogation. For a statutory interpretation issue, however,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word </w:t>
      </w:r>
      <w:r>
        <w:rPr>
          <w:i/>
          <w:color w:val="383638"/>
          <w:w w:val="110"/>
          <w:sz w:val="24"/>
        </w:rPr>
        <w:t>facts </w:t>
      </w:r>
      <w:r>
        <w:rPr>
          <w:color w:val="383638"/>
          <w:w w:val="115"/>
        </w:rPr>
        <w:t>refers less often to events and more often to realities like the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0"/>
        </w:rPr>
        <w:t>statutory language at issue, other relevant statutory language, or the stat­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ute's legislative history. One guideline: </w:t>
      </w:r>
      <w:r>
        <w:rPr>
          <w:color w:val="383638"/>
          <w:w w:val="110"/>
          <w:sz w:val="22"/>
        </w:rPr>
        <w:t>If </w:t>
      </w:r>
      <w:r>
        <w:rPr>
          <w:color w:val="383638"/>
          <w:w w:val="110"/>
        </w:rPr>
        <w:t>a rule speaks </w:t>
      </w:r>
      <w:r>
        <w:rPr>
          <w:color w:val="383638"/>
          <w:w w:val="110"/>
          <w:sz w:val="21"/>
        </w:rPr>
        <w:t>in </w:t>
      </w:r>
      <w:r>
        <w:rPr>
          <w:color w:val="383638"/>
          <w:w w:val="110"/>
        </w:rPr>
        <w:t>terms of human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or corporate behavior, it is likely that it applies to human or corporate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events, and that's where you should look for the relevant facts. In contrast,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if a rule speaks in terms of legislative behavior, it is likely that it applies to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5"/>
        </w:rPr>
        <w:t>legislative events-such as the language of  a statute-and that is where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should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look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relevant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facts.</w:t>
      </w:r>
    </w:p>
    <w:p>
      <w:pPr>
        <w:pStyle w:val="BodyText"/>
        <w:spacing w:line="235" w:lineRule="auto"/>
        <w:ind w:left="113" w:right="252" w:firstLine="374"/>
        <w:jc w:val="both"/>
      </w:pPr>
      <w:r>
        <w:rPr>
          <w:color w:val="383638"/>
          <w:w w:val="110"/>
        </w:rPr>
        <w:t>For example, a student writer who is arguing that Title VII's use of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word "employer" does not allow individual liability for supervisors could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have</w:t>
      </w:r>
      <w:r>
        <w:rPr>
          <w:color w:val="383638"/>
          <w:spacing w:val="-23"/>
          <w:w w:val="110"/>
        </w:rPr>
        <w:t> </w:t>
      </w:r>
      <w:r>
        <w:rPr>
          <w:color w:val="383638"/>
          <w:w w:val="110"/>
        </w:rPr>
        <w:t>several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CREXAC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unitsof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discourse</w:t>
      </w:r>
      <w:r>
        <w:rPr>
          <w:color w:val="383638"/>
          <w:spacing w:val="-29"/>
          <w:w w:val="110"/>
        </w:rPr>
        <w:t> </w:t>
      </w:r>
      <w:r>
        <w:rPr>
          <w:color w:val="383638"/>
          <w:w w:val="110"/>
        </w:rPr>
        <w:t>focused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on</w:t>
      </w:r>
      <w:r>
        <w:rPr>
          <w:color w:val="383638"/>
          <w:spacing w:val="27"/>
          <w:w w:val="110"/>
        </w:rPr>
        <w:t> </w:t>
      </w:r>
      <w:r>
        <w:rPr>
          <w:color w:val="383638"/>
          <w:w w:val="110"/>
        </w:rPr>
        <w:t>rules</w:t>
      </w:r>
      <w:r>
        <w:rPr>
          <w:color w:val="383638"/>
          <w:spacing w:val="-23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statutory</w:t>
      </w:r>
      <w:r>
        <w:rPr>
          <w:color w:val="383638"/>
          <w:spacing w:val="-21"/>
          <w:w w:val="110"/>
        </w:rPr>
        <w:t> </w:t>
      </w:r>
      <w:r>
        <w:rPr>
          <w:color w:val="383638"/>
          <w:w w:val="110"/>
        </w:rPr>
        <w:t>inter­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pretation. One section might be focused on the rule that words in a stat­</w:t>
      </w:r>
      <w:r>
        <w:rPr>
          <w:color w:val="383638"/>
          <w:spacing w:val="-64"/>
          <w:w w:val="115"/>
        </w:rPr>
        <w:t> </w:t>
      </w:r>
      <w:r>
        <w:rPr>
          <w:color w:val="383638"/>
          <w:spacing w:val="-1"/>
          <w:w w:val="115"/>
        </w:rPr>
        <w:t>ute should be read consistently </w:t>
      </w:r>
      <w:r>
        <w:rPr>
          <w:color w:val="383638"/>
          <w:w w:val="115"/>
        </w:rPr>
        <w:t>throughout the whole statute. She would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5"/>
        </w:rPr>
        <w:t>explain that rule by showing how other relevant courts had read terms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consistently in statutes. In the application section, it would be meaning­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0"/>
        </w:rPr>
        <w:t>less to talk about the "events" of alleged sexual harassment at the center of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lawsuit. Rather, she must focus on how the term at issue, "employer,"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was used in the statute as a whole, and how that usedemands a particular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interpretation</w:t>
      </w:r>
      <w:r>
        <w:rPr>
          <w:color w:val="383638"/>
          <w:spacing w:val="-13"/>
          <w:w w:val="115"/>
        </w:rPr>
        <w:t> </w:t>
      </w:r>
      <w:r>
        <w:rPr>
          <w:color w:val="383638"/>
          <w:w w:val="115"/>
        </w:rPr>
        <w:t>in</w:t>
      </w:r>
      <w:r>
        <w:rPr>
          <w:color w:val="383638"/>
          <w:spacing w:val="-1"/>
          <w:w w:val="115"/>
        </w:rPr>
        <w:t> </w:t>
      </w:r>
      <w:r>
        <w:rPr>
          <w:color w:val="383638"/>
          <w:w w:val="115"/>
        </w:rPr>
        <w:t>this</w:t>
      </w:r>
      <w:r>
        <w:rPr>
          <w:color w:val="383638"/>
          <w:spacing w:val="-19"/>
          <w:w w:val="115"/>
        </w:rPr>
        <w:t> </w:t>
      </w:r>
      <w:r>
        <w:rPr>
          <w:color w:val="383638"/>
          <w:w w:val="115"/>
        </w:rPr>
        <w:t>case:</w:t>
      </w:r>
    </w:p>
    <w:p>
      <w:pPr>
        <w:pStyle w:val="BodyText"/>
        <w:spacing w:before="5"/>
        <w:rPr>
          <w:sz w:val="9"/>
        </w:rPr>
      </w:pPr>
    </w:p>
    <w:p>
      <w:pPr>
        <w:tabs>
          <w:tab w:pos="514" w:val="left" w:leader="none"/>
        </w:tabs>
        <w:spacing w:before="94"/>
        <w:ind w:left="135" w:right="0" w:firstLine="0"/>
        <w:jc w:val="left"/>
        <w:rPr>
          <w:sz w:val="16"/>
        </w:rPr>
      </w:pPr>
      <w:r>
        <w:rPr>
          <w:color w:val="383638"/>
          <w:sz w:val="16"/>
          <w:u w:val="thick" w:color="383638"/>
        </w:rPr>
        <w:t>_/\</w:t>
        <w:tab/>
      </w:r>
      <w:r>
        <w:rPr>
          <w:color w:val="383638"/>
          <w:w w:val="95"/>
          <w:sz w:val="16"/>
          <w:u w:val="thick" w:color="383638"/>
        </w:rPr>
        <w:t>GOOD</w:t>
      </w:r>
      <w:r>
        <w:rPr>
          <w:color w:val="383638"/>
          <w:spacing w:val="13"/>
          <w:w w:val="95"/>
          <w:sz w:val="16"/>
          <w:u w:val="thick" w:color="383638"/>
        </w:rPr>
        <w:t> </w:t>
      </w:r>
      <w:r>
        <w:rPr>
          <w:color w:val="383638"/>
          <w:w w:val="95"/>
          <w:sz w:val="16"/>
          <w:u w:val="thick" w:color="383638"/>
        </w:rPr>
        <w:t>EXAMPLE</w:t>
      </w:r>
      <w:r>
        <w:rPr>
          <w:color w:val="383638"/>
          <w:spacing w:val="7"/>
          <w:w w:val="95"/>
          <w:sz w:val="16"/>
          <w:u w:val="thick" w:color="383638"/>
        </w:rPr>
        <w:t> </w:t>
      </w:r>
      <w:r>
        <w:rPr>
          <w:color w:val="383638"/>
          <w:w w:val="95"/>
          <w:sz w:val="16"/>
          <w:u w:val="thick" w:color="383638"/>
        </w:rPr>
        <w:t>OF</w:t>
      </w:r>
      <w:r>
        <w:rPr>
          <w:color w:val="383638"/>
          <w:spacing w:val="10"/>
          <w:w w:val="95"/>
          <w:sz w:val="16"/>
          <w:u w:val="thick" w:color="383638"/>
        </w:rPr>
        <w:t> </w:t>
      </w:r>
      <w:r>
        <w:rPr>
          <w:color w:val="383638"/>
          <w:w w:val="95"/>
          <w:sz w:val="16"/>
          <w:u w:val="thick" w:color="383638"/>
        </w:rPr>
        <w:t>RULE</w:t>
      </w:r>
      <w:r>
        <w:rPr>
          <w:color w:val="383638"/>
          <w:spacing w:val="13"/>
          <w:w w:val="95"/>
          <w:sz w:val="16"/>
          <w:u w:val="thick" w:color="383638"/>
        </w:rPr>
        <w:t> </w:t>
      </w:r>
      <w:r>
        <w:rPr>
          <w:color w:val="383638"/>
          <w:w w:val="95"/>
          <w:sz w:val="16"/>
          <w:u w:val="thick" w:color="383638"/>
        </w:rPr>
        <w:t>APPLICATION</w:t>
      </w:r>
    </w:p>
    <w:p>
      <w:pPr>
        <w:spacing w:line="237" w:lineRule="auto" w:before="79"/>
        <w:ind w:left="483" w:right="576" w:hanging="9"/>
        <w:jc w:val="both"/>
        <w:rPr>
          <w:b/>
          <w:sz w:val="21"/>
        </w:rPr>
      </w:pPr>
      <w:r>
        <w:rPr>
          <w:b/>
          <w:color w:val="383638"/>
          <w:w w:val="110"/>
          <w:sz w:val="21"/>
        </w:rPr>
        <w:t>The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use of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word "employer" in other sections of Title VII dem­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onstrates that Congress did  not  intend that individual supervisors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like Kirkby could </w:t>
      </w:r>
      <w:r>
        <w:rPr>
          <w:rFonts w:ascii="Arial" w:hAnsi="Arial"/>
          <w:b/>
          <w:color w:val="383638"/>
          <w:w w:val="110"/>
          <w:sz w:val="19"/>
        </w:rPr>
        <w:t>be </w:t>
      </w:r>
      <w:r>
        <w:rPr>
          <w:b/>
          <w:color w:val="383638"/>
          <w:w w:val="110"/>
          <w:sz w:val="21"/>
        </w:rPr>
        <w:t>held liable. In §2000e-8(c), the act provides that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"every employer is responsible for the execution, retention and pres­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ervation of certain employment records." Section 2000e-10 states that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"every employer shall post and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keep posted in conspicuous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places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pertinent provisions of the subchapter." Interpretation of §2000e(b)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spacing w:val="-1"/>
          <w:w w:val="110"/>
          <w:sz w:val="21"/>
        </w:rPr>
        <w:t>requires</w:t>
      </w:r>
      <w:r>
        <w:rPr>
          <w:b/>
          <w:color w:val="383638"/>
          <w:spacing w:val="-10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</w:t>
      </w:r>
      <w:r>
        <w:rPr>
          <w:b/>
          <w:color w:val="383638"/>
          <w:spacing w:val="1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court</w:t>
      </w:r>
      <w:r>
        <w:rPr>
          <w:b/>
          <w:color w:val="383638"/>
          <w:spacing w:val="2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to read</w:t>
      </w:r>
      <w:r>
        <w:rPr>
          <w:b/>
          <w:color w:val="383638"/>
          <w:spacing w:val="-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</w:t>
      </w:r>
      <w:r>
        <w:rPr>
          <w:b/>
          <w:color w:val="383638"/>
          <w:spacing w:val="30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word</w:t>
      </w:r>
      <w:r>
        <w:rPr>
          <w:b/>
          <w:color w:val="383638"/>
          <w:spacing w:val="-1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"employer"</w:t>
      </w:r>
      <w:r>
        <w:rPr>
          <w:b/>
          <w:color w:val="383638"/>
          <w:spacing w:val="-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consistently</w:t>
      </w:r>
      <w:r>
        <w:rPr>
          <w:b/>
          <w:color w:val="383638"/>
          <w:spacing w:val="1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through­</w:t>
      </w:r>
    </w:p>
    <w:p>
      <w:pPr>
        <w:spacing w:line="234" w:lineRule="exact" w:before="0"/>
        <w:ind w:left="494" w:right="0" w:firstLine="0"/>
        <w:jc w:val="both"/>
        <w:rPr>
          <w:sz w:val="20"/>
        </w:rPr>
      </w:pPr>
      <w:r>
        <w:rPr>
          <w:color w:val="383638"/>
          <w:sz w:val="20"/>
        </w:rPr>
        <w:t>out</w:t>
      </w:r>
      <w:r>
        <w:rPr>
          <w:color w:val="383638"/>
          <w:spacing w:val="72"/>
          <w:sz w:val="20"/>
        </w:rPr>
        <w:t> </w:t>
      </w:r>
      <w:r>
        <w:rPr>
          <w:color w:val="383638"/>
          <w:sz w:val="20"/>
        </w:rPr>
        <w:t>the</w:t>
      </w:r>
      <w:r>
        <w:rPr>
          <w:color w:val="383638"/>
          <w:spacing w:val="76"/>
          <w:sz w:val="20"/>
        </w:rPr>
        <w:t> </w:t>
      </w:r>
      <w:r>
        <w:rPr>
          <w:color w:val="383638"/>
          <w:w w:val="120"/>
          <w:sz w:val="20"/>
        </w:rPr>
        <w:t>act.</w:t>
      </w:r>
      <w:r>
        <w:rPr>
          <w:color w:val="383638"/>
          <w:spacing w:val="-22"/>
          <w:w w:val="120"/>
          <w:sz w:val="20"/>
        </w:rPr>
        <w:t> </w:t>
      </w:r>
      <w:r>
        <w:rPr>
          <w:color w:val="383638"/>
          <w:sz w:val="24"/>
        </w:rPr>
        <w:t>SJ:.e</w:t>
      </w:r>
      <w:r>
        <w:rPr>
          <w:color w:val="383638"/>
          <w:spacing w:val="25"/>
          <w:sz w:val="24"/>
        </w:rPr>
        <w:t> </w:t>
      </w:r>
      <w:r>
        <w:rPr>
          <w:color w:val="383638"/>
          <w:sz w:val="25"/>
          <w:u w:val="thick" w:color="383638"/>
        </w:rPr>
        <w:t>Holloway.</w:t>
      </w:r>
      <w:r>
        <w:rPr>
          <w:color w:val="383638"/>
          <w:spacing w:val="29"/>
          <w:sz w:val="25"/>
        </w:rPr>
        <w:t> </w:t>
      </w:r>
      <w:r>
        <w:rPr>
          <w:color w:val="383638"/>
          <w:sz w:val="20"/>
        </w:rPr>
        <w:t>526  </w:t>
      </w:r>
      <w:r>
        <w:rPr>
          <w:color w:val="383638"/>
          <w:spacing w:val="21"/>
          <w:sz w:val="20"/>
        </w:rPr>
        <w:t> </w:t>
      </w:r>
      <w:r>
        <w:rPr>
          <w:color w:val="383638"/>
          <w:sz w:val="20"/>
        </w:rPr>
        <w:t>U.S.</w:t>
      </w:r>
      <w:r>
        <w:rPr>
          <w:color w:val="383638"/>
          <w:spacing w:val="16"/>
          <w:sz w:val="20"/>
        </w:rPr>
        <w:t> </w:t>
      </w:r>
      <w:r>
        <w:rPr>
          <w:color w:val="383638"/>
          <w:sz w:val="20"/>
        </w:rPr>
        <w:t>at</w:t>
      </w:r>
      <w:r>
        <w:rPr>
          <w:color w:val="383638"/>
          <w:spacing w:val="68"/>
          <w:sz w:val="20"/>
        </w:rPr>
        <w:t> </w:t>
      </w:r>
      <w:r>
        <w:rPr>
          <w:color w:val="383638"/>
          <w:sz w:val="20"/>
        </w:rPr>
        <w:t>9.</w:t>
      </w:r>
      <w:r>
        <w:rPr>
          <w:color w:val="383638"/>
          <w:spacing w:val="55"/>
          <w:sz w:val="20"/>
        </w:rPr>
        <w:t> </w:t>
      </w:r>
      <w:r>
        <w:rPr>
          <w:color w:val="383638"/>
          <w:sz w:val="19"/>
        </w:rPr>
        <w:t>It</w:t>
      </w:r>
      <w:r>
        <w:rPr>
          <w:color w:val="383638"/>
          <w:spacing w:val="63"/>
          <w:sz w:val="19"/>
        </w:rPr>
        <w:t> </w:t>
      </w:r>
      <w:r>
        <w:rPr>
          <w:color w:val="383638"/>
          <w:sz w:val="20"/>
        </w:rPr>
        <w:t>is</w:t>
      </w:r>
      <w:r>
        <w:rPr>
          <w:color w:val="383638"/>
          <w:spacing w:val="46"/>
          <w:sz w:val="20"/>
        </w:rPr>
        <w:t> </w:t>
      </w:r>
      <w:r>
        <w:rPr>
          <w:color w:val="383638"/>
          <w:w w:val="120"/>
          <w:sz w:val="20"/>
        </w:rPr>
        <w:t>unlikely</w:t>
      </w:r>
      <w:r>
        <w:rPr>
          <w:color w:val="383638"/>
          <w:spacing w:val="36"/>
          <w:w w:val="120"/>
          <w:sz w:val="20"/>
        </w:rPr>
        <w:t> </w:t>
      </w:r>
      <w:r>
        <w:rPr>
          <w:color w:val="383638"/>
          <w:w w:val="120"/>
          <w:sz w:val="20"/>
        </w:rPr>
        <w:t>that</w:t>
      </w:r>
      <w:r>
        <w:rPr>
          <w:color w:val="383638"/>
          <w:spacing w:val="11"/>
          <w:w w:val="120"/>
          <w:sz w:val="20"/>
        </w:rPr>
        <w:t> </w:t>
      </w:r>
      <w:r>
        <w:rPr>
          <w:color w:val="383638"/>
          <w:w w:val="120"/>
          <w:sz w:val="20"/>
        </w:rPr>
        <w:t>Congress</w:t>
      </w:r>
    </w:p>
    <w:p>
      <w:pPr>
        <w:spacing w:line="235" w:lineRule="auto" w:before="0"/>
        <w:ind w:left="492" w:right="547" w:firstLine="4"/>
        <w:jc w:val="both"/>
        <w:rPr>
          <w:b/>
          <w:sz w:val="21"/>
        </w:rPr>
      </w:pPr>
      <w:r>
        <w:rPr>
          <w:b/>
          <w:color w:val="383638"/>
          <w:w w:val="115"/>
          <w:sz w:val="21"/>
        </w:rPr>
        <w:t>intended to</w:t>
      </w:r>
      <w:r>
        <w:rPr>
          <w:b/>
          <w:color w:val="383638"/>
          <w:spacing w:val="1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impose such administrative duties on</w:t>
      </w:r>
      <w:r>
        <w:rPr>
          <w:b/>
          <w:color w:val="383638"/>
          <w:spacing w:val="1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individuals in</w:t>
      </w:r>
      <w:r>
        <w:rPr>
          <w:b/>
          <w:color w:val="383638"/>
          <w:spacing w:val="1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supervisory positions. It is far more reasonable to conclude that the</w:t>
      </w:r>
      <w:r>
        <w:rPr>
          <w:b/>
          <w:color w:val="383638"/>
          <w:spacing w:val="-58"/>
          <w:w w:val="115"/>
          <w:sz w:val="21"/>
        </w:rPr>
        <w:t> </w:t>
      </w:r>
      <w:r>
        <w:rPr>
          <w:b/>
          <w:color w:val="383638"/>
          <w:w w:val="110"/>
          <w:sz w:val="21"/>
        </w:rPr>
        <w:t>word "employer" as used in §§2000e(b), 2000e-8(c), and 2000e-10 was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5"/>
          <w:sz w:val="21"/>
        </w:rPr>
        <w:t>intended</w:t>
      </w:r>
      <w:r>
        <w:rPr>
          <w:b/>
          <w:color w:val="383638"/>
          <w:spacing w:val="-5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to</w:t>
      </w:r>
      <w:r>
        <w:rPr>
          <w:b/>
          <w:color w:val="383638"/>
          <w:spacing w:val="-3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apply</w:t>
      </w:r>
      <w:r>
        <w:rPr>
          <w:b/>
          <w:color w:val="383638"/>
          <w:spacing w:val="-8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to</w:t>
      </w:r>
      <w:r>
        <w:rPr>
          <w:b/>
          <w:color w:val="383638"/>
          <w:spacing w:val="-8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employer-entities</w:t>
      </w:r>
      <w:r>
        <w:rPr>
          <w:b/>
          <w:color w:val="383638"/>
          <w:spacing w:val="-36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only.</w:t>
      </w:r>
    </w:p>
    <w:p>
      <w:pPr>
        <w:pStyle w:val="BodyText"/>
        <w:spacing w:line="232" w:lineRule="auto" w:before="140"/>
        <w:ind w:left="133" w:right="105" w:firstLine="361"/>
        <w:jc w:val="both"/>
      </w:pPr>
      <w:r>
        <w:rPr>
          <w:color w:val="383638"/>
          <w:w w:val="115"/>
        </w:rPr>
        <w:t>This does not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mean that event-based facts are always irrelevant to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statutory interpretation questions. As they can with other legal questions,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05"/>
        </w:rPr>
        <w:t>event-based facts may provide he_lpful_ illustrat_ions of how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legal poli­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cies at issue play out in concrete s1tuat1ons. Writers should be aware, how­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ever,</w:t>
      </w:r>
      <w:r>
        <w:rPr>
          <w:color w:val="383638"/>
          <w:spacing w:val="20"/>
          <w:w w:val="115"/>
        </w:rPr>
        <w:t> </w:t>
      </w:r>
      <w:r>
        <w:rPr>
          <w:color w:val="383638"/>
          <w:w w:val="115"/>
        </w:rPr>
        <w:t>that</w:t>
      </w:r>
      <w:r>
        <w:rPr>
          <w:color w:val="383638"/>
          <w:spacing w:val="21"/>
          <w:w w:val="115"/>
        </w:rPr>
        <w:t> </w:t>
      </w:r>
      <w:r>
        <w:rPr>
          <w:color w:val="383638"/>
          <w:w w:val="115"/>
        </w:rPr>
        <w:t>with</w:t>
      </w:r>
      <w:r>
        <w:rPr>
          <w:color w:val="383638"/>
          <w:spacing w:val="19"/>
          <w:w w:val="115"/>
        </w:rPr>
        <w:t> </w:t>
      </w:r>
      <w:r>
        <w:rPr>
          <w:color w:val="383638"/>
          <w:w w:val="115"/>
        </w:rPr>
        <w:t>statutory</w:t>
      </w:r>
      <w:r>
        <w:rPr>
          <w:color w:val="383638"/>
          <w:spacing w:val="17"/>
          <w:w w:val="115"/>
        </w:rPr>
        <w:t> </w:t>
      </w:r>
      <w:r>
        <w:rPr>
          <w:color w:val="383638"/>
          <w:w w:val="115"/>
        </w:rPr>
        <w:t>interpretation</w:t>
      </w:r>
      <w:r>
        <w:rPr>
          <w:color w:val="383638"/>
          <w:spacing w:val="9"/>
          <w:w w:val="115"/>
        </w:rPr>
        <w:t> </w:t>
      </w:r>
      <w:r>
        <w:rPr>
          <w:color w:val="383638"/>
          <w:w w:val="115"/>
        </w:rPr>
        <w:t>questions,</w:t>
      </w:r>
      <w:r>
        <w:rPr>
          <w:color w:val="383638"/>
          <w:spacing w:val="42"/>
          <w:w w:val="115"/>
        </w:rPr>
        <w:t> </w:t>
      </w:r>
      <w:r>
        <w:rPr>
          <w:color w:val="383638"/>
          <w:w w:val="115"/>
        </w:rPr>
        <w:t>they</w:t>
      </w:r>
      <w:r>
        <w:rPr>
          <w:color w:val="383638"/>
          <w:spacing w:val="19"/>
          <w:w w:val="115"/>
        </w:rPr>
        <w:t> </w:t>
      </w:r>
      <w:r>
        <w:rPr>
          <w:color w:val="383638"/>
          <w:w w:val="115"/>
        </w:rPr>
        <w:t>must</w:t>
      </w:r>
      <w:r>
        <w:rPr>
          <w:color w:val="383638"/>
          <w:spacing w:val="31"/>
          <w:w w:val="115"/>
        </w:rPr>
        <w:t> </w:t>
      </w:r>
      <w:r>
        <w:rPr>
          <w:color w:val="383638"/>
          <w:w w:val="115"/>
        </w:rPr>
        <w:t>think</w:t>
      </w:r>
      <w:r>
        <w:rPr>
          <w:color w:val="383638"/>
          <w:spacing w:val="6"/>
          <w:w w:val="115"/>
        </w:rPr>
        <w:t> </w:t>
      </w:r>
      <w:r>
        <w:rPr>
          <w:color w:val="383638"/>
          <w:w w:val="115"/>
        </w:rPr>
        <w:t>about</w:t>
      </w:r>
    </w:p>
    <w:p>
      <w:pPr>
        <w:spacing w:after="0" w:line="232" w:lineRule="auto"/>
        <w:jc w:val="both"/>
        <w:sectPr>
          <w:pgSz w:w="9610" w:h="13730"/>
          <w:pgMar w:header="472" w:footer="0" w:top="700" w:bottom="280" w:left="560" w:right="1060"/>
        </w:sectPr>
      </w:pPr>
    </w:p>
    <w:p>
      <w:pPr>
        <w:pStyle w:val="BodyText"/>
        <w:spacing w:line="235" w:lineRule="auto" w:before="85"/>
        <w:ind w:left="1074" w:firstLine="15"/>
      </w:pPr>
      <w:r>
        <w:rPr>
          <w:color w:val="383638"/>
          <w:w w:val="105"/>
        </w:rPr>
        <w:t>the</w:t>
      </w:r>
      <w:r>
        <w:rPr>
          <w:color w:val="383638"/>
          <w:spacing w:val="51"/>
          <w:w w:val="105"/>
        </w:rPr>
        <w:t> </w:t>
      </w:r>
      <w:r>
        <w:rPr>
          <w:color w:val="383638"/>
          <w:w w:val="105"/>
        </w:rPr>
        <w:t>concept</w:t>
      </w:r>
      <w:r>
        <w:rPr>
          <w:color w:val="383638"/>
          <w:spacing w:val="8"/>
          <w:w w:val="105"/>
        </w:rPr>
        <w:t> </w:t>
      </w:r>
      <w:r>
        <w:rPr>
          <w:color w:val="383638"/>
          <w:w w:val="105"/>
        </w:rPr>
        <w:t>of</w:t>
      </w:r>
      <w:r>
        <w:rPr>
          <w:color w:val="383638"/>
          <w:spacing w:val="-5"/>
          <w:w w:val="105"/>
        </w:rPr>
        <w:t> </w:t>
      </w:r>
      <w:r>
        <w:rPr>
          <w:color w:val="383638"/>
          <w:w w:val="105"/>
        </w:rPr>
        <w:t>"facts"</w:t>
      </w:r>
      <w:r>
        <w:rPr>
          <w:color w:val="383638"/>
          <w:spacing w:val="-29"/>
          <w:w w:val="105"/>
        </w:rPr>
        <w:t> </w:t>
      </w:r>
      <w:r>
        <w:rPr>
          <w:color w:val="383638"/>
          <w:w w:val="105"/>
        </w:rPr>
        <w:t>more</w:t>
      </w:r>
      <w:r>
        <w:rPr>
          <w:color w:val="383638"/>
          <w:spacing w:val="-17"/>
          <w:w w:val="105"/>
        </w:rPr>
        <w:t> </w:t>
      </w:r>
      <w:r>
        <w:rPr>
          <w:color w:val="383638"/>
          <w:w w:val="105"/>
        </w:rPr>
        <w:t>broadly:</w:t>
      </w:r>
      <w:r>
        <w:rPr>
          <w:color w:val="383638"/>
          <w:spacing w:val="-19"/>
          <w:w w:val="105"/>
        </w:rPr>
        <w:t> </w:t>
      </w:r>
      <w:r>
        <w:rPr>
          <w:color w:val="383638"/>
          <w:w w:val="105"/>
        </w:rPr>
        <w:t>They</w:t>
      </w:r>
      <w:r>
        <w:rPr>
          <w:color w:val="383638"/>
          <w:spacing w:val="-21"/>
          <w:w w:val="105"/>
        </w:rPr>
        <w:t> </w:t>
      </w:r>
      <w:r>
        <w:rPr>
          <w:color w:val="383638"/>
          <w:w w:val="105"/>
        </w:rPr>
        <w:t>are</w:t>
      </w:r>
      <w:r>
        <w:rPr>
          <w:color w:val="383638"/>
          <w:spacing w:val="-30"/>
          <w:w w:val="105"/>
        </w:rPr>
        <w:t> </w:t>
      </w:r>
      <w:r>
        <w:rPr>
          <w:color w:val="383638"/>
          <w:w w:val="105"/>
        </w:rPr>
        <w:t>applying</w:t>
      </w:r>
      <w:r>
        <w:rPr>
          <w:color w:val="383638"/>
          <w:spacing w:val="-7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21"/>
          <w:w w:val="105"/>
        </w:rPr>
        <w:t> </w:t>
      </w:r>
      <w:r>
        <w:rPr>
          <w:color w:val="383638"/>
          <w:w w:val="105"/>
        </w:rPr>
        <w:t>rule</w:t>
      </w:r>
      <w:r>
        <w:rPr>
          <w:color w:val="383638"/>
          <w:spacing w:val="-16"/>
          <w:w w:val="105"/>
        </w:rPr>
        <w:t> </w:t>
      </w:r>
      <w:r>
        <w:rPr>
          <w:color w:val="383638"/>
          <w:w w:val="105"/>
        </w:rPr>
        <w:t>of</w:t>
      </w:r>
      <w:r>
        <w:rPr>
          <w:color w:val="383638"/>
          <w:spacing w:val="3"/>
          <w:w w:val="105"/>
        </w:rPr>
        <w:t> </w:t>
      </w:r>
      <w:r>
        <w:rPr>
          <w:color w:val="383638"/>
          <w:w w:val="105"/>
        </w:rPr>
        <w:t>a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canon</w:t>
      </w:r>
      <w:r>
        <w:rPr>
          <w:color w:val="383638"/>
          <w:spacing w:val="-57"/>
          <w:w w:val="105"/>
        </w:rPr>
        <w:t> </w:t>
      </w:r>
      <w:r>
        <w:rPr>
          <w:color w:val="383638"/>
          <w:w w:val="105"/>
        </w:rPr>
        <w:t>of</w:t>
      </w:r>
      <w:r>
        <w:rPr>
          <w:color w:val="383638"/>
          <w:spacing w:val="-6"/>
          <w:w w:val="105"/>
        </w:rPr>
        <w:t> </w:t>
      </w:r>
      <w:r>
        <w:rPr>
          <w:color w:val="383638"/>
          <w:w w:val="105"/>
        </w:rPr>
        <w:t>interpretation</w:t>
      </w:r>
      <w:r>
        <w:rPr>
          <w:color w:val="383638"/>
          <w:spacing w:val="12"/>
          <w:w w:val="105"/>
        </w:rPr>
        <w:t> </w:t>
      </w:r>
      <w:r>
        <w:rPr>
          <w:color w:val="383638"/>
          <w:w w:val="105"/>
        </w:rPr>
        <w:t>to</w:t>
      </w:r>
      <w:r>
        <w:rPr>
          <w:color w:val="383638"/>
          <w:spacing w:val="9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-4"/>
          <w:w w:val="105"/>
        </w:rPr>
        <w:t> </w:t>
      </w:r>
      <w:r>
        <w:rPr>
          <w:color w:val="383638"/>
          <w:w w:val="105"/>
        </w:rPr>
        <w:t>fact</w:t>
      </w:r>
      <w:r>
        <w:rPr>
          <w:color w:val="383638"/>
          <w:spacing w:val="-24"/>
          <w:w w:val="105"/>
        </w:rPr>
        <w:t> </w:t>
      </w:r>
      <w:r>
        <w:rPr>
          <w:color w:val="383638"/>
          <w:w w:val="105"/>
        </w:rPr>
        <w:t>of</w:t>
      </w:r>
      <w:r>
        <w:rPr>
          <w:color w:val="383638"/>
          <w:spacing w:val="8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8"/>
          <w:w w:val="105"/>
        </w:rPr>
        <w:t> </w:t>
      </w:r>
      <w:r>
        <w:rPr>
          <w:color w:val="383638"/>
          <w:w w:val="105"/>
        </w:rPr>
        <w:t>existing</w:t>
      </w:r>
      <w:r>
        <w:rPr>
          <w:color w:val="383638"/>
          <w:spacing w:val="-8"/>
          <w:w w:val="105"/>
        </w:rPr>
        <w:t> </w:t>
      </w:r>
      <w:r>
        <w:rPr>
          <w:color w:val="383638"/>
          <w:w w:val="105"/>
        </w:rPr>
        <w:t>statutory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language</w:t>
      </w:r>
      <w:r>
        <w:rPr>
          <w:color w:val="5B5B5D"/>
          <w:w w:val="105"/>
        </w:rPr>
        <w:t>.</w:t>
      </w:r>
    </w:p>
    <w:p>
      <w:pPr>
        <w:pStyle w:val="BodyText"/>
        <w:spacing w:before="6"/>
        <w:rPr>
          <w:sz w:val="37"/>
        </w:rPr>
      </w:pPr>
    </w:p>
    <w:p>
      <w:pPr>
        <w:spacing w:before="0"/>
        <w:ind w:left="1413" w:right="0" w:firstLine="0"/>
        <w:jc w:val="left"/>
        <w:rPr>
          <w:rFonts w:ascii="Arial"/>
          <w:b/>
          <w:i/>
          <w:sz w:val="26"/>
        </w:rPr>
      </w:pPr>
      <w:r>
        <w:rPr>
          <w:rFonts w:ascii="Arial"/>
          <w:b/>
          <w:i/>
          <w:color w:val="2A2628"/>
          <w:w w:val="110"/>
          <w:sz w:val="26"/>
        </w:rPr>
        <w:t>5.1.5</w:t>
      </w:r>
    </w:p>
    <w:p>
      <w:pPr>
        <w:spacing w:before="29"/>
        <w:ind w:left="1424" w:right="0" w:firstLine="0"/>
        <w:jc w:val="both"/>
        <w:rPr>
          <w:b/>
          <w:sz w:val="24"/>
        </w:rPr>
      </w:pPr>
      <w:r>
        <w:rPr>
          <w:b/>
          <w:color w:val="383638"/>
          <w:spacing w:val="-1"/>
          <w:w w:val="90"/>
          <w:sz w:val="24"/>
        </w:rPr>
        <w:t>MAKE</w:t>
      </w:r>
      <w:r>
        <w:rPr>
          <w:b/>
          <w:color w:val="383638"/>
          <w:spacing w:val="-7"/>
          <w:w w:val="90"/>
          <w:sz w:val="24"/>
        </w:rPr>
        <w:t> </w:t>
      </w:r>
      <w:r>
        <w:rPr>
          <w:rFonts w:ascii="Arial"/>
          <w:color w:val="383638"/>
          <w:spacing w:val="-1"/>
          <w:w w:val="90"/>
          <w:sz w:val="22"/>
        </w:rPr>
        <w:t>THE</w:t>
      </w:r>
      <w:r>
        <w:rPr>
          <w:rFonts w:ascii="Arial"/>
          <w:color w:val="383638"/>
          <w:spacing w:val="-10"/>
          <w:w w:val="90"/>
          <w:sz w:val="22"/>
        </w:rPr>
        <w:t> </w:t>
      </w:r>
      <w:r>
        <w:rPr>
          <w:b/>
          <w:color w:val="383638"/>
          <w:w w:val="90"/>
          <w:sz w:val="24"/>
        </w:rPr>
        <w:t>CONNECTION</w:t>
      </w:r>
    </w:p>
    <w:p>
      <w:pPr>
        <w:pStyle w:val="BodyText"/>
        <w:spacing w:line="232" w:lineRule="auto" w:before="107"/>
        <w:ind w:left="1025" w:right="14" w:firstLine="364"/>
        <w:jc w:val="both"/>
      </w:pPr>
      <w:r>
        <w:rPr>
          <w:color w:val="383638"/>
          <w:w w:val="105"/>
        </w:rPr>
        <w:t>After you have applied the rule </w:t>
      </w:r>
      <w:r>
        <w:rPr>
          <w:i/>
          <w:color w:val="383638"/>
          <w:w w:val="105"/>
          <w:sz w:val="24"/>
        </w:rPr>
        <w:t>to </w:t>
      </w:r>
      <w:r>
        <w:rPr>
          <w:color w:val="383638"/>
          <w:w w:val="105"/>
        </w:rPr>
        <w:t>the facts, you should connect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application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to  your argument  by articulating a connection-conclusion.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You may not need to begin a new paragraph if the application has been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brief</w:t>
      </w:r>
      <w:r>
        <w:rPr>
          <w:color w:val="383638"/>
          <w:spacing w:val="-2"/>
          <w:w w:val="105"/>
        </w:rPr>
        <w:t> </w:t>
      </w:r>
      <w:r>
        <w:rPr>
          <w:color w:val="383638"/>
          <w:w w:val="105"/>
        </w:rPr>
        <w:t>and</w:t>
      </w:r>
      <w:r>
        <w:rPr>
          <w:color w:val="383638"/>
          <w:spacing w:val="10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15"/>
          <w:w w:val="105"/>
        </w:rPr>
        <w:t> </w:t>
      </w:r>
      <w:r>
        <w:rPr>
          <w:color w:val="383638"/>
          <w:w w:val="105"/>
        </w:rPr>
        <w:t>connection-conclusion</w:t>
      </w:r>
      <w:r>
        <w:rPr>
          <w:color w:val="383638"/>
          <w:spacing w:val="-6"/>
          <w:w w:val="105"/>
        </w:rPr>
        <w:t> </w:t>
      </w:r>
      <w:r>
        <w:rPr>
          <w:color w:val="383638"/>
          <w:w w:val="105"/>
        </w:rPr>
        <w:t>is</w:t>
      </w:r>
      <w:r>
        <w:rPr>
          <w:color w:val="383638"/>
          <w:spacing w:val="-16"/>
          <w:w w:val="105"/>
        </w:rPr>
        <w:t> </w:t>
      </w:r>
      <w:r>
        <w:rPr>
          <w:color w:val="383638"/>
          <w:w w:val="105"/>
        </w:rPr>
        <w:t>straightforward.</w:t>
      </w:r>
      <w:r>
        <w:rPr>
          <w:color w:val="383638"/>
          <w:spacing w:val="-9"/>
          <w:w w:val="105"/>
        </w:rPr>
        <w:t> </w:t>
      </w:r>
      <w:r>
        <w:rPr>
          <w:color w:val="383638"/>
          <w:w w:val="105"/>
        </w:rPr>
        <w:t>For</w:t>
      </w:r>
      <w:r>
        <w:rPr>
          <w:color w:val="383638"/>
          <w:spacing w:val="-9"/>
          <w:w w:val="105"/>
        </w:rPr>
        <w:t> </w:t>
      </w:r>
      <w:r>
        <w:rPr>
          <w:color w:val="383638"/>
          <w:w w:val="105"/>
        </w:rPr>
        <w:t>example,</w:t>
      </w:r>
    </w:p>
    <w:p>
      <w:pPr>
        <w:spacing w:line="232" w:lineRule="auto" w:before="146"/>
        <w:ind w:left="1307" w:right="387" w:firstLine="27"/>
        <w:jc w:val="both"/>
        <w:rPr>
          <w:b/>
          <w:sz w:val="21"/>
        </w:rPr>
      </w:pPr>
      <w:r>
        <w:rPr>
          <w:b/>
          <w:color w:val="383638"/>
          <w:w w:val="105"/>
          <w:sz w:val="21"/>
        </w:rPr>
        <w:t>Therefore, </w:t>
      </w:r>
      <w:r>
        <w:rPr>
          <w:b/>
          <w:color w:val="2A2628"/>
          <w:w w:val="105"/>
          <w:sz w:val="21"/>
        </w:rPr>
        <w:t>because </w:t>
      </w:r>
      <w:r>
        <w:rPr>
          <w:b/>
          <w:color w:val="383638"/>
          <w:w w:val="105"/>
          <w:sz w:val="21"/>
        </w:rPr>
        <w:t>Mr. Burglar was committing a burglary when he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i/>
          <w:color w:val="383638"/>
          <w:w w:val="105"/>
          <w:sz w:val="22"/>
        </w:rPr>
        <w:t>was </w:t>
      </w:r>
      <w:r>
        <w:rPr>
          <w:b/>
          <w:color w:val="2A2628"/>
          <w:w w:val="105"/>
          <w:sz w:val="21"/>
        </w:rPr>
        <w:t>bitten, </w:t>
      </w:r>
      <w:r>
        <w:rPr>
          <w:b/>
          <w:color w:val="383638"/>
          <w:w w:val="105"/>
          <w:sz w:val="21"/>
        </w:rPr>
        <w:t>Ms. Restrepo cannot </w:t>
      </w:r>
      <w:r>
        <w:rPr>
          <w:rFonts w:ascii="Arial" w:hAnsi="Arial"/>
          <w:b/>
          <w:color w:val="383638"/>
          <w:w w:val="105"/>
          <w:sz w:val="18"/>
        </w:rPr>
        <w:t>be </w:t>
      </w:r>
      <w:r>
        <w:rPr>
          <w:b/>
          <w:color w:val="383638"/>
          <w:w w:val="105"/>
          <w:sz w:val="21"/>
        </w:rPr>
        <w:t>held liable for Burglar's injuries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sz w:val="21"/>
        </w:rPr>
        <w:t>under</w:t>
      </w:r>
      <w:r>
        <w:rPr>
          <w:b/>
          <w:color w:val="383638"/>
          <w:spacing w:val="-13"/>
          <w:sz w:val="21"/>
        </w:rPr>
        <w:t> </w:t>
      </w:r>
      <w:r>
        <w:rPr>
          <w:b/>
          <w:color w:val="383638"/>
          <w:sz w:val="21"/>
        </w:rPr>
        <w:t>Ohio</w:t>
      </w:r>
      <w:r>
        <w:rPr>
          <w:b/>
          <w:color w:val="383638"/>
          <w:spacing w:val="-8"/>
          <w:sz w:val="21"/>
        </w:rPr>
        <w:t> </w:t>
      </w:r>
      <w:r>
        <w:rPr>
          <w:b/>
          <w:color w:val="383638"/>
          <w:sz w:val="21"/>
        </w:rPr>
        <w:t>Revised</w:t>
      </w:r>
      <w:r>
        <w:rPr>
          <w:b/>
          <w:color w:val="383638"/>
          <w:spacing w:val="9"/>
          <w:sz w:val="21"/>
        </w:rPr>
        <w:t> </w:t>
      </w:r>
      <w:r>
        <w:rPr>
          <w:b/>
          <w:color w:val="383638"/>
          <w:sz w:val="21"/>
        </w:rPr>
        <w:t>Code</w:t>
      </w:r>
      <w:r>
        <w:rPr>
          <w:b/>
          <w:color w:val="383638"/>
          <w:spacing w:val="-7"/>
          <w:sz w:val="21"/>
        </w:rPr>
        <w:t> </w:t>
      </w:r>
      <w:r>
        <w:rPr>
          <w:rFonts w:ascii="Arial" w:hAnsi="Arial"/>
          <w:color w:val="383638"/>
          <w:sz w:val="18"/>
        </w:rPr>
        <w:t>§</w:t>
      </w:r>
      <w:r>
        <w:rPr>
          <w:b/>
          <w:color w:val="383638"/>
          <w:sz w:val="21"/>
        </w:rPr>
        <w:t>111.1111.</w:t>
      </w:r>
    </w:p>
    <w:p>
      <w:pPr>
        <w:pStyle w:val="BodyText"/>
        <w:spacing w:line="235" w:lineRule="auto" w:before="133"/>
        <w:ind w:left="900" w:right="71" w:firstLine="51"/>
        <w:jc w:val="both"/>
      </w:pPr>
      <w:r>
        <w:rPr>
          <w:color w:val="383638"/>
          <w:spacing w:val="-1"/>
          <w:w w:val="110"/>
        </w:rPr>
        <w:t>Stating a connection-conclusion explicitly at </w:t>
      </w:r>
      <w:r>
        <w:rPr>
          <w:color w:val="383638"/>
          <w:w w:val="110"/>
        </w:rPr>
        <w:t>the end of your CREXAC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analysis is an important part of the formula. Even though you stated a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conclusion  at  the  beginning of your analysis, the  connection-conclusion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at the end of the analysis serves a different purpose. It makes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reader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aware of your conclusion</w:t>
      </w:r>
      <w:r>
        <w:rPr>
          <w:color w:val="5B5B5D"/>
          <w:w w:val="105"/>
        </w:rPr>
        <w:t>, </w:t>
      </w:r>
      <w:r>
        <w:rPr>
          <w:color w:val="383638"/>
          <w:w w:val="105"/>
        </w:rPr>
        <w:t>yes, but it also tells the reader that your analysis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of this part of the discussion is finished and that you will soon be moving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on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-29"/>
          <w:w w:val="110"/>
        </w:rPr>
        <w:t> </w:t>
      </w:r>
      <w:r>
        <w:rPr>
          <w:color w:val="383638"/>
          <w:w w:val="110"/>
        </w:rPr>
        <w:t>another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point.</w:t>
      </w:r>
    </w:p>
    <w:p>
      <w:pPr>
        <w:pStyle w:val="BodyText"/>
        <w:spacing w:line="235" w:lineRule="auto"/>
        <w:ind w:left="842" w:right="93" w:firstLine="390"/>
        <w:jc w:val="both"/>
      </w:pPr>
      <w:r>
        <w:rPr>
          <w:color w:val="383638"/>
          <w:w w:val="105"/>
        </w:rPr>
        <w:t>Furthennore, as its name implies, the connection-conclusion shows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reader how this part of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analysis fits into, or connects with, the argu­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ment as a whole. If a section of your argument is about a dispositive point,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the connection-conclusionshould make the connection between that point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and the ultimate result you seek. At the very least, you should connect your</w:t>
      </w:r>
      <w:r>
        <w:rPr>
          <w:color w:val="383638"/>
          <w:spacing w:val="-58"/>
          <w:w w:val="105"/>
        </w:rPr>
        <w:t> </w:t>
      </w:r>
      <w:r>
        <w:rPr>
          <w:color w:val="383638"/>
          <w:w w:val="105"/>
        </w:rPr>
        <w:t>analysis of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phrase-that-pays (in small capital </w:t>
      </w:r>
      <w:r>
        <w:rPr>
          <w:color w:val="2A2628"/>
          <w:w w:val="105"/>
        </w:rPr>
        <w:t>letters </w:t>
      </w:r>
      <w:r>
        <w:rPr>
          <w:color w:val="383638"/>
          <w:w w:val="105"/>
        </w:rPr>
        <w:t>in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following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example)</w:t>
      </w:r>
      <w:r>
        <w:rPr>
          <w:color w:val="383638"/>
          <w:spacing w:val="-4"/>
          <w:w w:val="105"/>
        </w:rPr>
        <w:t> </w:t>
      </w:r>
      <w:r>
        <w:rPr>
          <w:color w:val="383638"/>
          <w:w w:val="105"/>
        </w:rPr>
        <w:t>to</w:t>
      </w:r>
      <w:r>
        <w:rPr>
          <w:color w:val="383638"/>
          <w:spacing w:val="17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46"/>
          <w:w w:val="105"/>
        </w:rPr>
        <w:t> </w:t>
      </w:r>
      <w:r>
        <w:rPr>
          <w:color w:val="383638"/>
          <w:w w:val="105"/>
        </w:rPr>
        <w:t>point</w:t>
      </w:r>
      <w:r>
        <w:rPr>
          <w:color w:val="383638"/>
          <w:spacing w:val="12"/>
          <w:w w:val="105"/>
        </w:rPr>
        <w:t> </w:t>
      </w:r>
      <w:r>
        <w:rPr>
          <w:color w:val="383638"/>
          <w:w w:val="105"/>
        </w:rPr>
        <w:t>that</w:t>
      </w:r>
      <w:r>
        <w:rPr>
          <w:color w:val="383638"/>
          <w:spacing w:val="-5"/>
          <w:w w:val="105"/>
        </w:rPr>
        <w:t> </w:t>
      </w:r>
      <w:r>
        <w:rPr>
          <w:color w:val="383638"/>
          <w:w w:val="105"/>
        </w:rPr>
        <w:t>was</w:t>
      </w:r>
      <w:r>
        <w:rPr>
          <w:color w:val="383638"/>
          <w:spacing w:val="-20"/>
          <w:w w:val="105"/>
        </w:rPr>
        <w:t> </w:t>
      </w:r>
      <w:r>
        <w:rPr>
          <w:color w:val="383638"/>
          <w:w w:val="105"/>
        </w:rPr>
        <w:t>at</w:t>
      </w:r>
      <w:r>
        <w:rPr>
          <w:color w:val="383638"/>
          <w:spacing w:val="14"/>
          <w:w w:val="105"/>
        </w:rPr>
        <w:t> </w:t>
      </w:r>
      <w:r>
        <w:rPr>
          <w:color w:val="383638"/>
          <w:w w:val="105"/>
        </w:rPr>
        <w:t>issue</w:t>
      </w:r>
      <w:r>
        <w:rPr>
          <w:color w:val="383638"/>
          <w:spacing w:val="-2"/>
          <w:w w:val="105"/>
        </w:rPr>
        <w:t> </w:t>
      </w:r>
      <w:r>
        <w:rPr>
          <w:color w:val="383638"/>
          <w:w w:val="105"/>
        </w:rPr>
        <w:t>in</w:t>
      </w:r>
      <w:r>
        <w:rPr>
          <w:color w:val="383638"/>
          <w:spacing w:val="24"/>
          <w:w w:val="105"/>
        </w:rPr>
        <w:t> </w:t>
      </w:r>
      <w:r>
        <w:rPr>
          <w:color w:val="383638"/>
          <w:w w:val="105"/>
        </w:rPr>
        <w:t>that</w:t>
      </w:r>
      <w:r>
        <w:rPr>
          <w:color w:val="383638"/>
          <w:spacing w:val="-15"/>
          <w:w w:val="105"/>
        </w:rPr>
        <w:t> </w:t>
      </w:r>
      <w:r>
        <w:rPr>
          <w:color w:val="383638"/>
          <w:w w:val="105"/>
        </w:rPr>
        <w:t>section</w:t>
      </w:r>
      <w:r>
        <w:rPr>
          <w:color w:val="383638"/>
          <w:spacing w:val="5"/>
          <w:w w:val="105"/>
        </w:rPr>
        <w:t> </w:t>
      </w:r>
      <w:r>
        <w:rPr>
          <w:color w:val="383638"/>
          <w:w w:val="105"/>
        </w:rPr>
        <w:t>of</w:t>
      </w:r>
      <w:r>
        <w:rPr>
          <w:color w:val="383638"/>
          <w:spacing w:val="18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18"/>
          <w:w w:val="105"/>
        </w:rPr>
        <w:t> </w:t>
      </w:r>
      <w:r>
        <w:rPr>
          <w:color w:val="383638"/>
          <w:w w:val="105"/>
        </w:rPr>
        <w:t>argument:</w:t>
      </w:r>
    </w:p>
    <w:p>
      <w:pPr>
        <w:spacing w:line="237" w:lineRule="auto" w:before="118"/>
        <w:ind w:left="1131" w:right="455" w:firstLine="45"/>
        <w:jc w:val="both"/>
        <w:rPr>
          <w:b/>
          <w:sz w:val="21"/>
        </w:rPr>
      </w:pPr>
      <w:r>
        <w:rPr>
          <w:b/>
          <w:color w:val="383638"/>
          <w:w w:val="105"/>
          <w:sz w:val="21"/>
        </w:rPr>
        <w:t>Activities that Respondents exposed to the </w:t>
      </w:r>
      <w:r>
        <w:rPr>
          <w:b/>
          <w:color w:val="383638"/>
          <w:w w:val="105"/>
          <w:sz w:val="18"/>
        </w:rPr>
        <w:t>PLAJN </w:t>
      </w:r>
      <w:r>
        <w:rPr>
          <w:b/>
          <w:color w:val="383638"/>
          <w:w w:val="105"/>
          <w:sz w:val="21"/>
        </w:rPr>
        <w:t>VIEW of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outsiders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were not protected </w:t>
      </w:r>
      <w:r>
        <w:rPr>
          <w:rFonts w:ascii="Arial"/>
          <w:b/>
          <w:color w:val="383638"/>
          <w:w w:val="105"/>
          <w:sz w:val="19"/>
        </w:rPr>
        <w:t>by </w:t>
      </w:r>
      <w:r>
        <w:rPr>
          <w:b/>
          <w:color w:val="383638"/>
          <w:w w:val="105"/>
          <w:sz w:val="21"/>
        </w:rPr>
        <w:t>the Fourth Amendment. Because Respondents'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2A2628"/>
          <w:w w:val="105"/>
          <w:sz w:val="21"/>
        </w:rPr>
        <w:t>actjvities </w:t>
      </w:r>
      <w:r>
        <w:rPr>
          <w:b/>
          <w:color w:val="383638"/>
          <w:w w:val="105"/>
          <w:sz w:val="21"/>
        </w:rPr>
        <w:t>within </w:t>
      </w:r>
      <w:r>
        <w:rPr>
          <w:b/>
          <w:color w:val="2A2628"/>
          <w:w w:val="105"/>
          <w:sz w:val="21"/>
        </w:rPr>
        <w:t>the </w:t>
      </w:r>
      <w:r>
        <w:rPr>
          <w:b/>
          <w:color w:val="383638"/>
          <w:w w:val="105"/>
          <w:sz w:val="21"/>
        </w:rPr>
        <w:t>apartment were in </w:t>
      </w:r>
      <w:r>
        <w:rPr>
          <w:b/>
          <w:color w:val="383638"/>
          <w:w w:val="105"/>
          <w:sz w:val="18"/>
        </w:rPr>
        <w:t>PLAIN </w:t>
      </w:r>
      <w:r>
        <w:rPr>
          <w:b/>
          <w:color w:val="383638"/>
          <w:w w:val="105"/>
          <w:sz w:val="21"/>
        </w:rPr>
        <w:t>VIEW from Thielen's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lawful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vantage point, Thielen's observation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violated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no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reasonable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expectation of</w:t>
      </w:r>
      <w:r>
        <w:rPr>
          <w:b/>
          <w:color w:val="383638"/>
          <w:spacing w:val="1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privacy.</w:t>
      </w:r>
    </w:p>
    <w:p>
      <w:pPr>
        <w:pStyle w:val="BodyText"/>
        <w:spacing w:line="228" w:lineRule="auto" w:before="144"/>
        <w:ind w:left="742" w:right="148" w:firstLine="14"/>
        <w:jc w:val="both"/>
      </w:pPr>
      <w:r>
        <w:rPr>
          <w:color w:val="383638"/>
          <w:spacing w:val="-1"/>
          <w:w w:val="110"/>
        </w:rPr>
        <w:t>This connection-conclusion </w:t>
      </w:r>
      <w:r>
        <w:rPr>
          <w:color w:val="383638"/>
          <w:w w:val="110"/>
        </w:rPr>
        <w:t>connects the writer's point about the phrase.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5B5B5D"/>
          <w:w w:val="110"/>
        </w:rPr>
        <w:t>-</w:t>
      </w:r>
      <w:r>
        <w:rPr>
          <w:color w:val="383638"/>
          <w:w w:val="110"/>
        </w:rPr>
        <w:t>pays-"plain  view"</w:t>
      </w:r>
      <w:r>
        <w:rPr>
          <w:color w:val="2A2628"/>
          <w:w w:val="110"/>
        </w:rPr>
        <w:t>-to    </w:t>
      </w:r>
      <w:r>
        <w:rPr>
          <w:color w:val="383638"/>
          <w:w w:val="110"/>
        </w:rPr>
        <w:t>the  point of the section, which is whether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respondents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had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1"/>
          <w:w w:val="110"/>
        </w:rPr>
        <w:t> </w:t>
      </w:r>
      <w:r>
        <w:rPr>
          <w:color w:val="2A2628"/>
          <w:w w:val="110"/>
        </w:rPr>
        <w:t>reasonable</w:t>
      </w:r>
      <w:r>
        <w:rPr>
          <w:color w:val="2A2628"/>
          <w:spacing w:val="-2"/>
          <w:w w:val="110"/>
        </w:rPr>
        <w:t> </w:t>
      </w:r>
      <w:r>
        <w:rPr>
          <w:color w:val="383638"/>
          <w:w w:val="110"/>
        </w:rPr>
        <w:t>expectation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privacy.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86"/>
        <w:ind w:left="1174" w:right="0" w:firstLine="0"/>
        <w:jc w:val="left"/>
        <w:rPr>
          <w:b/>
          <w:i/>
          <w:sz w:val="35"/>
        </w:rPr>
      </w:pPr>
      <w:r>
        <w:rPr>
          <w:b/>
          <w:i/>
          <w:color w:val="383638"/>
          <w:w w:val="135"/>
          <w:sz w:val="35"/>
        </w:rPr>
        <w:t>5.2</w:t>
      </w:r>
    </w:p>
    <w:p>
      <w:pPr>
        <w:spacing w:before="68"/>
        <w:ind w:left="1291" w:right="0" w:firstLine="0"/>
        <w:jc w:val="left"/>
        <w:rPr>
          <w:rFonts w:ascii="Arial"/>
          <w:sz w:val="26"/>
        </w:rPr>
      </w:pPr>
      <w:r>
        <w:rPr>
          <w:rFonts w:ascii="Arial"/>
          <w:color w:val="383638"/>
          <w:w w:val="105"/>
          <w:sz w:val="26"/>
        </w:rPr>
        <w:t>WHEN</w:t>
      </w:r>
      <w:r>
        <w:rPr>
          <w:rFonts w:ascii="Arial"/>
          <w:color w:val="383638"/>
          <w:spacing w:val="23"/>
          <w:w w:val="105"/>
          <w:sz w:val="26"/>
        </w:rPr>
        <w:t> </w:t>
      </w:r>
      <w:r>
        <w:rPr>
          <w:color w:val="383638"/>
          <w:w w:val="105"/>
          <w:sz w:val="27"/>
        </w:rPr>
        <w:t>NOT</w:t>
      </w:r>
      <w:r>
        <w:rPr>
          <w:color w:val="383638"/>
          <w:spacing w:val="-5"/>
          <w:w w:val="105"/>
          <w:sz w:val="27"/>
        </w:rPr>
        <w:t> </w:t>
      </w:r>
      <w:r>
        <w:rPr>
          <w:color w:val="2A2628"/>
          <w:w w:val="105"/>
          <w:sz w:val="27"/>
        </w:rPr>
        <w:t>TO</w:t>
      </w:r>
      <w:r>
        <w:rPr>
          <w:color w:val="2A2628"/>
          <w:spacing w:val="3"/>
          <w:w w:val="105"/>
          <w:sz w:val="27"/>
        </w:rPr>
        <w:t> </w:t>
      </w:r>
      <w:r>
        <w:rPr>
          <w:rFonts w:ascii="Arial"/>
          <w:color w:val="2A2628"/>
          <w:w w:val="105"/>
          <w:sz w:val="26"/>
        </w:rPr>
        <w:t>PROVIDE</w:t>
      </w:r>
      <w:r>
        <w:rPr>
          <w:rFonts w:ascii="Arial"/>
          <w:color w:val="2A2628"/>
          <w:spacing w:val="16"/>
          <w:w w:val="105"/>
          <w:sz w:val="26"/>
        </w:rPr>
        <w:t> </w:t>
      </w:r>
      <w:r>
        <w:rPr>
          <w:color w:val="2A2628"/>
          <w:w w:val="105"/>
          <w:sz w:val="27"/>
        </w:rPr>
        <w:t>A</w:t>
      </w:r>
      <w:r>
        <w:rPr>
          <w:color w:val="2A2628"/>
          <w:spacing w:val="2"/>
          <w:w w:val="105"/>
          <w:sz w:val="27"/>
        </w:rPr>
        <w:t> </w:t>
      </w:r>
      <w:r>
        <w:rPr>
          <w:rFonts w:ascii="Arial"/>
          <w:color w:val="2A2628"/>
          <w:w w:val="105"/>
          <w:sz w:val="26"/>
        </w:rPr>
        <w:t>CREXAC</w:t>
      </w:r>
      <w:r>
        <w:rPr>
          <w:rFonts w:ascii="Arial"/>
          <w:color w:val="2A2628"/>
          <w:spacing w:val="16"/>
          <w:w w:val="105"/>
          <w:sz w:val="26"/>
        </w:rPr>
        <w:t> </w:t>
      </w:r>
      <w:r>
        <w:rPr>
          <w:rFonts w:ascii="Arial"/>
          <w:color w:val="383638"/>
          <w:w w:val="105"/>
          <w:sz w:val="26"/>
        </w:rPr>
        <w:t>ANALYSIS</w:t>
      </w:r>
    </w:p>
    <w:p>
      <w:pPr>
        <w:pStyle w:val="BodyText"/>
        <w:spacing w:line="201" w:lineRule="auto" w:before="243"/>
        <w:ind w:left="636" w:firstLine="320"/>
      </w:pPr>
      <w:r>
        <w:rPr>
          <w:rFonts w:ascii="Arial"/>
          <w:b/>
          <w:i/>
          <w:color w:val="383638"/>
          <w:spacing w:val="-1"/>
          <w:w w:val="110"/>
          <w:sz w:val="29"/>
        </w:rPr>
        <w:t>1</w:t>
      </w:r>
      <w:r>
        <w:rPr>
          <w:rFonts w:ascii="Arial"/>
          <w:b/>
          <w:i/>
          <w:color w:val="383638"/>
          <w:spacing w:val="-14"/>
          <w:w w:val="110"/>
          <w:sz w:val="29"/>
        </w:rPr>
        <w:t> </w:t>
      </w:r>
      <w:r>
        <w:rPr>
          <w:color w:val="383638"/>
          <w:spacing w:val="-1"/>
          <w:w w:val="110"/>
          <w:position w:val="2"/>
        </w:rPr>
        <w:t>The</w:t>
      </w:r>
      <w:r>
        <w:rPr>
          <w:color w:val="383638"/>
          <w:spacing w:val="14"/>
          <w:w w:val="110"/>
          <w:position w:val="2"/>
        </w:rPr>
        <w:t> </w:t>
      </w:r>
      <w:r>
        <w:rPr>
          <w:color w:val="383638"/>
          <w:spacing w:val="-1"/>
          <w:w w:val="110"/>
          <w:position w:val="2"/>
        </w:rPr>
        <w:t>first</w:t>
      </w:r>
      <w:r>
        <w:rPr>
          <w:color w:val="383638"/>
          <w:spacing w:val="4"/>
          <w:w w:val="110"/>
          <w:position w:val="2"/>
        </w:rPr>
        <w:t> </w:t>
      </w:r>
      <w:r>
        <w:rPr>
          <w:color w:val="383638"/>
          <w:spacing w:val="-1"/>
          <w:w w:val="110"/>
          <w:position w:val="2"/>
        </w:rPr>
        <w:t>p</w:t>
      </w:r>
      <w:r>
        <w:rPr>
          <w:color w:val="383638"/>
          <w:spacing w:val="11"/>
          <w:w w:val="110"/>
          <w:position w:val="2"/>
        </w:rPr>
        <w:t> </w:t>
      </w:r>
      <w:r>
        <w:rPr>
          <w:color w:val="383638"/>
          <w:spacing w:val="-1"/>
          <w:w w:val="110"/>
          <w:position w:val="2"/>
        </w:rPr>
        <w:t>rt</w:t>
      </w:r>
      <w:r>
        <w:rPr>
          <w:color w:val="383638"/>
          <w:spacing w:val="-5"/>
          <w:w w:val="110"/>
          <w:position w:val="2"/>
        </w:rPr>
        <w:t> </w:t>
      </w:r>
      <w:r>
        <w:rPr>
          <w:color w:val="383638"/>
          <w:spacing w:val="-1"/>
          <w:w w:val="110"/>
          <w:position w:val="2"/>
        </w:rPr>
        <w:t>of</w:t>
      </w:r>
      <w:r>
        <w:rPr>
          <w:color w:val="383638"/>
          <w:spacing w:val="20"/>
          <w:w w:val="110"/>
          <w:position w:val="2"/>
        </w:rPr>
        <w:t> </w:t>
      </w:r>
      <w:r>
        <w:rPr>
          <w:color w:val="383638"/>
          <w:spacing w:val="-1"/>
          <w:w w:val="110"/>
          <w:position w:val="2"/>
        </w:rPr>
        <w:t>this</w:t>
      </w:r>
      <w:r>
        <w:rPr>
          <w:color w:val="383638"/>
          <w:spacing w:val="-16"/>
          <w:w w:val="110"/>
          <w:position w:val="2"/>
        </w:rPr>
        <w:t> </w:t>
      </w:r>
      <w:r>
        <w:rPr>
          <w:color w:val="383638"/>
          <w:spacing w:val="-1"/>
          <w:w w:val="110"/>
          <w:position w:val="2"/>
        </w:rPr>
        <w:t>c?apter</w:t>
      </w:r>
      <w:r>
        <w:rPr>
          <w:color w:val="383638"/>
          <w:spacing w:val="-8"/>
          <w:w w:val="110"/>
          <w:position w:val="2"/>
        </w:rPr>
        <w:t> </w:t>
      </w:r>
      <w:r>
        <w:rPr>
          <w:color w:val="383638"/>
          <w:spacing w:val="-1"/>
          <w:w w:val="110"/>
          <w:position w:val="2"/>
        </w:rPr>
        <w:t>addressed</w:t>
      </w:r>
      <w:r>
        <w:rPr>
          <w:color w:val="383638"/>
          <w:spacing w:val="9"/>
          <w:w w:val="110"/>
          <w:position w:val="2"/>
        </w:rPr>
        <w:t> </w:t>
      </w:r>
      <w:r>
        <w:rPr>
          <w:color w:val="383638"/>
          <w:w w:val="110"/>
          <w:position w:val="2"/>
        </w:rPr>
        <w:t>how</w:t>
      </w:r>
      <w:r>
        <w:rPr>
          <w:color w:val="383638"/>
          <w:spacing w:val="24"/>
          <w:w w:val="110"/>
          <w:position w:val="2"/>
        </w:rPr>
        <w:t> </w:t>
      </w:r>
      <w:r>
        <w:rPr>
          <w:color w:val="383638"/>
          <w:w w:val="110"/>
          <w:position w:val="2"/>
        </w:rPr>
        <w:t>to</w:t>
      </w:r>
      <w:r>
        <w:rPr>
          <w:color w:val="383638"/>
          <w:spacing w:val="15"/>
          <w:w w:val="110"/>
          <w:position w:val="2"/>
        </w:rPr>
        <w:t> </w:t>
      </w:r>
      <w:r>
        <w:rPr>
          <w:color w:val="383638"/>
          <w:w w:val="110"/>
          <w:position w:val="2"/>
        </w:rPr>
        <w:t>complete</w:t>
      </w:r>
      <w:r>
        <w:rPr>
          <w:color w:val="383638"/>
          <w:spacing w:val="-7"/>
          <w:w w:val="110"/>
          <w:position w:val="2"/>
        </w:rPr>
        <w:t> </w:t>
      </w:r>
      <w:r>
        <w:rPr>
          <w:color w:val="383638"/>
          <w:w w:val="110"/>
          <w:position w:val="2"/>
        </w:rPr>
        <w:t>a</w:t>
      </w:r>
      <w:r>
        <w:rPr>
          <w:color w:val="383638"/>
          <w:spacing w:val="11"/>
          <w:w w:val="110"/>
          <w:position w:val="2"/>
        </w:rPr>
        <w:t> </w:t>
      </w:r>
      <w:r>
        <w:rPr>
          <w:color w:val="383638"/>
          <w:w w:val="110"/>
          <w:position w:val="2"/>
        </w:rPr>
        <w:t>relatively</w:t>
      </w:r>
      <w:r>
        <w:rPr>
          <w:color w:val="383638"/>
          <w:spacing w:val="-60"/>
          <w:w w:val="110"/>
          <w:position w:val="2"/>
        </w:rPr>
        <w:t> </w:t>
      </w:r>
      <w:r>
        <w:rPr>
          <w:color w:val="383638"/>
          <w:w w:val="105"/>
        </w:rPr>
        <w:t>thorough</w:t>
      </w:r>
      <w:r>
        <w:rPr>
          <w:color w:val="383638"/>
          <w:spacing w:val="-9"/>
          <w:w w:val="105"/>
        </w:rPr>
        <w:t> </w:t>
      </w:r>
      <w:r>
        <w:rPr>
          <w:color w:val="383638"/>
          <w:w w:val="105"/>
        </w:rPr>
        <w:t>analys1s</w:t>
      </w:r>
      <w:r>
        <w:rPr>
          <w:color w:val="383638"/>
          <w:spacing w:val="-25"/>
          <w:w w:val="105"/>
        </w:rPr>
        <w:t> </w:t>
      </w:r>
      <w:r>
        <w:rPr>
          <w:color w:val="383638"/>
          <w:w w:val="105"/>
        </w:rPr>
        <w:t>of</w:t>
      </w:r>
      <w:r>
        <w:rPr>
          <w:color w:val="383638"/>
          <w:spacing w:val="-5"/>
          <w:w w:val="105"/>
        </w:rPr>
        <w:t> </w:t>
      </w:r>
      <w:r>
        <w:rPr>
          <w:color w:val="383638"/>
          <w:w w:val="105"/>
        </w:rPr>
        <w:t>a</w:t>
      </w:r>
      <w:r>
        <w:rPr>
          <w:color w:val="383638"/>
          <w:spacing w:val="-3"/>
          <w:w w:val="105"/>
        </w:rPr>
        <w:t> </w:t>
      </w:r>
      <w:r>
        <w:rPr>
          <w:color w:val="2A2628"/>
          <w:w w:val="105"/>
        </w:rPr>
        <w:t>legal</w:t>
      </w:r>
      <w:r>
        <w:rPr>
          <w:color w:val="2A2628"/>
          <w:spacing w:val="-11"/>
          <w:w w:val="105"/>
        </w:rPr>
        <w:t> </w:t>
      </w:r>
      <w:r>
        <w:rPr>
          <w:color w:val="383638"/>
          <w:w w:val="105"/>
        </w:rPr>
        <w:t>issue.</w:t>
      </w:r>
      <w:r>
        <w:rPr>
          <w:color w:val="383638"/>
          <w:spacing w:val="-9"/>
          <w:w w:val="105"/>
        </w:rPr>
        <w:t> </w:t>
      </w:r>
      <w:r>
        <w:rPr>
          <w:color w:val="383638"/>
          <w:w w:val="105"/>
        </w:rPr>
        <w:t>But</w:t>
      </w:r>
      <w:r>
        <w:rPr>
          <w:color w:val="383638"/>
          <w:spacing w:val="-11"/>
          <w:w w:val="105"/>
        </w:rPr>
        <w:t> </w:t>
      </w:r>
      <w:r>
        <w:rPr>
          <w:color w:val="383638"/>
          <w:w w:val="105"/>
        </w:rPr>
        <w:t>not</w:t>
      </w:r>
      <w:r>
        <w:rPr>
          <w:color w:val="383638"/>
          <w:spacing w:val="42"/>
          <w:w w:val="105"/>
        </w:rPr>
        <w:t> </w:t>
      </w:r>
      <w:r>
        <w:rPr>
          <w:color w:val="383638"/>
          <w:w w:val="105"/>
        </w:rPr>
        <w:t>every</w:t>
      </w:r>
      <w:r>
        <w:rPr>
          <w:color w:val="383638"/>
          <w:spacing w:val="-19"/>
          <w:w w:val="105"/>
        </w:rPr>
        <w:t> </w:t>
      </w:r>
      <w:r>
        <w:rPr>
          <w:color w:val="383638"/>
          <w:w w:val="105"/>
        </w:rPr>
        <w:t>issue</w:t>
      </w:r>
      <w:r>
        <w:rPr>
          <w:color w:val="383638"/>
          <w:spacing w:val="-19"/>
          <w:w w:val="105"/>
        </w:rPr>
        <w:t> </w:t>
      </w:r>
      <w:r>
        <w:rPr>
          <w:color w:val="383638"/>
          <w:w w:val="105"/>
        </w:rPr>
        <w:t>needsa</w:t>
      </w:r>
      <w:r>
        <w:rPr>
          <w:color w:val="383638"/>
          <w:spacing w:val="2"/>
          <w:w w:val="105"/>
        </w:rPr>
        <w:t> </w:t>
      </w:r>
      <w:r>
        <w:rPr>
          <w:color w:val="383638"/>
          <w:w w:val="105"/>
        </w:rPr>
        <w:t>CREXAC</w:t>
      </w:r>
      <w:r>
        <w:rPr>
          <w:color w:val="383638"/>
          <w:spacing w:val="-10"/>
          <w:w w:val="105"/>
        </w:rPr>
        <w:t> </w:t>
      </w:r>
      <w:r>
        <w:rPr>
          <w:color w:val="383638"/>
          <w:w w:val="105"/>
        </w:rPr>
        <w:t>unit</w:t>
      </w:r>
    </w:p>
    <w:p>
      <w:pPr>
        <w:spacing w:after="0" w:line="201" w:lineRule="auto"/>
        <w:sectPr>
          <w:headerReference w:type="even" r:id="rId129"/>
          <w:headerReference w:type="default" r:id="rId130"/>
          <w:pgSz w:w="9580" w:h="13770"/>
          <w:pgMar w:header="463" w:footer="0" w:top="1000" w:bottom="0" w:left="13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35" w:lineRule="auto"/>
        <w:ind w:left="109" w:right="306"/>
      </w:pPr>
      <w:r>
        <w:rPr>
          <w:color w:val="3B383A"/>
          <w:w w:val="105"/>
        </w:rPr>
        <w:t>of discourse. If an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issue does not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need the full treatment of a CREXAC, you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must</w:t>
      </w:r>
      <w:r>
        <w:rPr>
          <w:color w:val="3B383A"/>
          <w:spacing w:val="-12"/>
          <w:w w:val="110"/>
        </w:rPr>
        <w:t> </w:t>
      </w:r>
      <w:r>
        <w:rPr>
          <w:color w:val="3B383A"/>
          <w:w w:val="110"/>
        </w:rPr>
        <w:t>decide</w:t>
      </w:r>
      <w:r>
        <w:rPr>
          <w:color w:val="3B383A"/>
          <w:spacing w:val="-4"/>
          <w:w w:val="110"/>
        </w:rPr>
        <w:t> </w:t>
      </w:r>
      <w:r>
        <w:rPr>
          <w:color w:val="3B383A"/>
          <w:w w:val="110"/>
        </w:rPr>
        <w:t>how</w:t>
      </w:r>
      <w:r>
        <w:rPr>
          <w:color w:val="3B383A"/>
          <w:spacing w:val="15"/>
          <w:w w:val="110"/>
        </w:rPr>
        <w:t> </w:t>
      </w:r>
      <w:r>
        <w:rPr>
          <w:color w:val="3B383A"/>
          <w:w w:val="110"/>
        </w:rPr>
        <w:t>much</w:t>
      </w:r>
      <w:r>
        <w:rPr>
          <w:color w:val="3B383A"/>
          <w:spacing w:val="8"/>
          <w:w w:val="110"/>
        </w:rPr>
        <w:t> </w:t>
      </w:r>
      <w:r>
        <w:rPr>
          <w:color w:val="3B383A"/>
          <w:w w:val="110"/>
        </w:rPr>
        <w:t>space,</w:t>
      </w:r>
      <w:r>
        <w:rPr>
          <w:color w:val="3B383A"/>
          <w:spacing w:val="7"/>
          <w:w w:val="110"/>
        </w:rPr>
        <w:t> </w:t>
      </w:r>
      <w:r>
        <w:rPr>
          <w:color w:val="3B383A"/>
          <w:w w:val="110"/>
        </w:rPr>
        <w:t>if</w:t>
      </w:r>
      <w:r>
        <w:rPr>
          <w:color w:val="3B383A"/>
          <w:spacing w:val="18"/>
          <w:w w:val="110"/>
        </w:rPr>
        <w:t> </w:t>
      </w:r>
      <w:r>
        <w:rPr>
          <w:color w:val="3B383A"/>
          <w:w w:val="110"/>
        </w:rPr>
        <w:t>any, to</w:t>
      </w:r>
      <w:r>
        <w:rPr>
          <w:color w:val="3B383A"/>
          <w:spacing w:val="15"/>
          <w:w w:val="110"/>
        </w:rPr>
        <w:t> </w:t>
      </w:r>
      <w:r>
        <w:rPr>
          <w:color w:val="3B383A"/>
          <w:w w:val="110"/>
        </w:rPr>
        <w:t>devote</w:t>
      </w:r>
      <w:r>
        <w:rPr>
          <w:color w:val="3B383A"/>
          <w:spacing w:val="-1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14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18"/>
          <w:w w:val="110"/>
        </w:rPr>
        <w:t> </w:t>
      </w:r>
      <w:r>
        <w:rPr>
          <w:color w:val="3B383A"/>
          <w:w w:val="110"/>
        </w:rPr>
        <w:t>issue.</w:t>
      </w:r>
      <w:r>
        <w:rPr>
          <w:color w:val="3B383A"/>
          <w:spacing w:val="-3"/>
          <w:w w:val="110"/>
        </w:rPr>
        <w:t> </w:t>
      </w:r>
      <w:r>
        <w:rPr>
          <w:color w:val="3B383A"/>
          <w:w w:val="110"/>
        </w:rPr>
        <w:t>As</w:t>
      </w:r>
      <w:r>
        <w:rPr>
          <w:color w:val="3B383A"/>
          <w:spacing w:val="-18"/>
          <w:w w:val="110"/>
        </w:rPr>
        <w:t> </w:t>
      </w:r>
      <w:r>
        <w:rPr>
          <w:color w:val="3B383A"/>
          <w:w w:val="110"/>
        </w:rPr>
        <w:t>with</w:t>
      </w:r>
      <w:r>
        <w:rPr>
          <w:color w:val="3B383A"/>
          <w:spacing w:val="11"/>
          <w:w w:val="110"/>
        </w:rPr>
        <w:t> </w:t>
      </w:r>
      <w:r>
        <w:rPr>
          <w:color w:val="3B383A"/>
          <w:w w:val="110"/>
        </w:rPr>
        <w:t>most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legal questions,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appropriate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answer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is "it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depends." Some issues that</w:t>
      </w:r>
      <w:r>
        <w:rPr>
          <w:color w:val="3B383A"/>
          <w:spacing w:val="-61"/>
          <w:w w:val="110"/>
        </w:rPr>
        <w:t> </w:t>
      </w:r>
      <w:r>
        <w:rPr>
          <w:color w:val="3B383A"/>
          <w:w w:val="110"/>
        </w:rPr>
        <w:t>would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be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controversial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in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one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case will be obvious in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another, and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-61"/>
          <w:w w:val="110"/>
        </w:rPr>
        <w:t> </w:t>
      </w:r>
      <w:r>
        <w:rPr>
          <w:color w:val="3B383A"/>
          <w:w w:val="110"/>
        </w:rPr>
        <w:t>depth</w:t>
      </w:r>
      <w:r>
        <w:rPr>
          <w:color w:val="3B383A"/>
          <w:spacing w:val="41"/>
          <w:w w:val="110"/>
        </w:rPr>
        <w:t> </w:t>
      </w:r>
      <w:r>
        <w:rPr>
          <w:color w:val="3B383A"/>
          <w:w w:val="110"/>
        </w:rPr>
        <w:t>of</w:t>
      </w:r>
      <w:r>
        <w:rPr>
          <w:color w:val="3B383A"/>
          <w:spacing w:val="51"/>
          <w:w w:val="110"/>
        </w:rPr>
        <w:t> </w:t>
      </w:r>
      <w:r>
        <w:rPr>
          <w:color w:val="3B383A"/>
          <w:w w:val="110"/>
        </w:rPr>
        <w:t>your</w:t>
      </w:r>
      <w:r>
        <w:rPr>
          <w:color w:val="3B383A"/>
          <w:spacing w:val="33"/>
          <w:w w:val="110"/>
        </w:rPr>
        <w:t> </w:t>
      </w:r>
      <w:r>
        <w:rPr>
          <w:color w:val="3B383A"/>
          <w:w w:val="110"/>
        </w:rPr>
        <w:t>analysis</w:t>
      </w:r>
      <w:r>
        <w:rPr>
          <w:color w:val="3B383A"/>
          <w:spacing w:val="44"/>
          <w:w w:val="110"/>
        </w:rPr>
        <w:t> </w:t>
      </w:r>
      <w:r>
        <w:rPr>
          <w:color w:val="3B383A"/>
          <w:w w:val="110"/>
        </w:rPr>
        <w:t>must</w:t>
      </w:r>
      <w:r>
        <w:rPr>
          <w:color w:val="3B383A"/>
          <w:spacing w:val="35"/>
          <w:w w:val="110"/>
        </w:rPr>
        <w:t> </w:t>
      </w:r>
      <w:r>
        <w:rPr>
          <w:color w:val="3B383A"/>
          <w:w w:val="110"/>
        </w:rPr>
        <w:t>change</w:t>
      </w:r>
      <w:r>
        <w:rPr>
          <w:color w:val="3B383A"/>
          <w:spacing w:val="36"/>
          <w:w w:val="110"/>
        </w:rPr>
        <w:t> </w:t>
      </w:r>
      <w:r>
        <w:rPr>
          <w:color w:val="3B383A"/>
          <w:w w:val="110"/>
        </w:rPr>
        <w:t>accordingly.</w:t>
      </w:r>
      <w:r>
        <w:rPr>
          <w:color w:val="3B383A"/>
          <w:spacing w:val="51"/>
          <w:w w:val="110"/>
        </w:rPr>
        <w:t> </w:t>
      </w:r>
      <w:r>
        <w:rPr>
          <w:color w:val="3B383A"/>
          <w:w w:val="110"/>
        </w:rPr>
        <w:t>Illustration</w:t>
      </w:r>
      <w:r>
        <w:rPr>
          <w:color w:val="3B383A"/>
          <w:spacing w:val="60"/>
          <w:w w:val="110"/>
        </w:rPr>
        <w:t> </w:t>
      </w:r>
      <w:r>
        <w:rPr>
          <w:color w:val="3B383A"/>
          <w:w w:val="110"/>
        </w:rPr>
        <w:t>5.2</w:t>
      </w:r>
      <w:r>
        <w:rPr>
          <w:color w:val="3B383A"/>
          <w:spacing w:val="26"/>
          <w:w w:val="110"/>
        </w:rPr>
        <w:t> </w:t>
      </w:r>
      <w:r>
        <w:rPr>
          <w:color w:val="3B383A"/>
          <w:w w:val="110"/>
        </w:rPr>
        <w:t>shows</w:t>
      </w:r>
      <w:r>
        <w:rPr>
          <w:color w:val="3B383A"/>
          <w:spacing w:val="-60"/>
          <w:w w:val="110"/>
        </w:rPr>
        <w:t> </w:t>
      </w:r>
      <w:r>
        <w:rPr>
          <w:color w:val="3B383A"/>
          <w:w w:val="110"/>
        </w:rPr>
        <w:t>four labels you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can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use to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describe how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much discussion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include for</w:t>
      </w:r>
      <w:r>
        <w:rPr>
          <w:color w:val="3B383A"/>
          <w:spacing w:val="-61"/>
          <w:w w:val="110"/>
        </w:rPr>
        <w:t> </w:t>
      </w:r>
      <w:r>
        <w:rPr>
          <w:color w:val="3B383A"/>
          <w:w w:val="105"/>
        </w:rPr>
        <w:t>each</w:t>
      </w:r>
      <w:r>
        <w:rPr>
          <w:color w:val="3B383A"/>
          <w:spacing w:val="-15"/>
          <w:w w:val="105"/>
        </w:rPr>
        <w:t> </w:t>
      </w:r>
      <w:r>
        <w:rPr>
          <w:color w:val="3B383A"/>
          <w:w w:val="105"/>
        </w:rPr>
        <w:t>issue</w:t>
      </w:r>
      <w:r>
        <w:rPr>
          <w:color w:val="3B383A"/>
          <w:spacing w:val="-12"/>
          <w:w w:val="105"/>
        </w:rPr>
        <w:t> </w:t>
      </w:r>
      <w:r>
        <w:rPr>
          <w:color w:val="3B383A"/>
          <w:w w:val="105"/>
        </w:rPr>
        <w:t>or</w:t>
      </w:r>
      <w:r>
        <w:rPr>
          <w:color w:val="3B383A"/>
          <w:spacing w:val="-3"/>
          <w:w w:val="105"/>
        </w:rPr>
        <w:t> </w:t>
      </w:r>
      <w:r>
        <w:rPr>
          <w:color w:val="3B383A"/>
          <w:w w:val="105"/>
        </w:rPr>
        <w:t>sub-issue:</w:t>
      </w:r>
      <w:r>
        <w:rPr>
          <w:color w:val="3B383A"/>
          <w:spacing w:val="-3"/>
          <w:w w:val="105"/>
        </w:rPr>
        <w:t> </w:t>
      </w:r>
      <w:r>
        <w:rPr>
          <w:color w:val="3B383A"/>
          <w:w w:val="105"/>
        </w:rPr>
        <w:t>Ignore,</w:t>
      </w:r>
      <w:r>
        <w:rPr>
          <w:color w:val="3B383A"/>
          <w:spacing w:val="-12"/>
          <w:w w:val="105"/>
        </w:rPr>
        <w:t> </w:t>
      </w:r>
      <w:r>
        <w:rPr>
          <w:color w:val="3B383A"/>
          <w:w w:val="105"/>
        </w:rPr>
        <w:t>Tell,</w:t>
      </w:r>
      <w:r>
        <w:rPr>
          <w:color w:val="3B383A"/>
          <w:spacing w:val="-7"/>
          <w:w w:val="105"/>
        </w:rPr>
        <w:t> </w:t>
      </w:r>
      <w:r>
        <w:rPr>
          <w:color w:val="3B383A"/>
          <w:w w:val="105"/>
        </w:rPr>
        <w:t>Clarify</w:t>
      </w:r>
      <w:r>
        <w:rPr>
          <w:color w:val="3B383A"/>
          <w:spacing w:val="6"/>
          <w:w w:val="105"/>
        </w:rPr>
        <w:t> </w:t>
      </w:r>
      <w:r>
        <w:rPr>
          <w:color w:val="3B383A"/>
          <w:w w:val="105"/>
        </w:rPr>
        <w:t>(CRAC),</w:t>
      </w:r>
      <w:r>
        <w:rPr>
          <w:color w:val="3B383A"/>
          <w:spacing w:val="-5"/>
          <w:w w:val="105"/>
        </w:rPr>
        <w:t> </w:t>
      </w:r>
      <w:r>
        <w:rPr>
          <w:color w:val="3B383A"/>
          <w:w w:val="105"/>
        </w:rPr>
        <w:t>or</w:t>
      </w:r>
      <w:r>
        <w:rPr>
          <w:color w:val="3B383A"/>
          <w:spacing w:val="40"/>
          <w:w w:val="105"/>
        </w:rPr>
        <w:t> </w:t>
      </w:r>
      <w:r>
        <w:rPr>
          <w:color w:val="3B383A"/>
          <w:w w:val="105"/>
        </w:rPr>
        <w:t>Prove</w:t>
      </w:r>
      <w:r>
        <w:rPr>
          <w:color w:val="3B383A"/>
          <w:spacing w:val="-7"/>
          <w:w w:val="105"/>
        </w:rPr>
        <w:t> </w:t>
      </w:r>
      <w:r>
        <w:rPr>
          <w:color w:val="3B383A"/>
          <w:w w:val="105"/>
        </w:rPr>
        <w:t>(CREXAC):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92"/>
        <w:ind w:left="943" w:right="845" w:firstLine="0"/>
        <w:jc w:val="center"/>
        <w:rPr>
          <w:b/>
          <w:sz w:val="19"/>
        </w:rPr>
      </w:pPr>
      <w:r>
        <w:rPr>
          <w:b/>
          <w:color w:val="3B383A"/>
          <w:w w:val="110"/>
          <w:sz w:val="19"/>
        </w:rPr>
        <w:t>Continuum</w:t>
      </w:r>
      <w:r>
        <w:rPr>
          <w:b/>
          <w:color w:val="3B383A"/>
          <w:spacing w:val="17"/>
          <w:w w:val="110"/>
          <w:sz w:val="19"/>
        </w:rPr>
        <w:t> </w:t>
      </w:r>
      <w:r>
        <w:rPr>
          <w:b/>
          <w:color w:val="3B383A"/>
          <w:w w:val="110"/>
          <w:sz w:val="19"/>
        </w:rPr>
        <w:t>re:</w:t>
      </w:r>
      <w:r>
        <w:rPr>
          <w:b/>
          <w:color w:val="3B383A"/>
          <w:spacing w:val="13"/>
          <w:w w:val="110"/>
          <w:sz w:val="19"/>
        </w:rPr>
        <w:t> </w:t>
      </w:r>
      <w:r>
        <w:rPr>
          <w:b/>
          <w:color w:val="3B383A"/>
          <w:w w:val="110"/>
          <w:sz w:val="19"/>
        </w:rPr>
        <w:t>how</w:t>
      </w:r>
      <w:r>
        <w:rPr>
          <w:b/>
          <w:color w:val="3B383A"/>
          <w:spacing w:val="22"/>
          <w:w w:val="110"/>
          <w:sz w:val="19"/>
        </w:rPr>
        <w:t> </w:t>
      </w:r>
      <w:r>
        <w:rPr>
          <w:b/>
          <w:color w:val="3B383A"/>
          <w:w w:val="110"/>
          <w:sz w:val="19"/>
        </w:rPr>
        <w:t>much</w:t>
      </w:r>
      <w:r>
        <w:rPr>
          <w:b/>
          <w:color w:val="3B383A"/>
          <w:spacing w:val="11"/>
          <w:w w:val="110"/>
          <w:sz w:val="19"/>
        </w:rPr>
        <w:t> </w:t>
      </w:r>
      <w:r>
        <w:rPr>
          <w:b/>
          <w:color w:val="3B383A"/>
          <w:w w:val="110"/>
          <w:sz w:val="19"/>
        </w:rPr>
        <w:t>to</w:t>
      </w:r>
      <w:r>
        <w:rPr>
          <w:b/>
          <w:color w:val="3B383A"/>
          <w:spacing w:val="5"/>
          <w:w w:val="110"/>
          <w:sz w:val="19"/>
        </w:rPr>
        <w:t> </w:t>
      </w:r>
      <w:r>
        <w:rPr>
          <w:b/>
          <w:color w:val="3B383A"/>
          <w:w w:val="110"/>
          <w:sz w:val="19"/>
        </w:rPr>
        <w:t>discuss</w:t>
      </w:r>
      <w:r>
        <w:rPr>
          <w:b/>
          <w:color w:val="3B383A"/>
          <w:spacing w:val="-13"/>
          <w:w w:val="110"/>
          <w:sz w:val="19"/>
        </w:rPr>
        <w:t> </w:t>
      </w:r>
      <w:r>
        <w:rPr>
          <w:b/>
          <w:color w:val="3B383A"/>
          <w:w w:val="110"/>
          <w:sz w:val="19"/>
        </w:rPr>
        <w:t>issues</w:t>
      </w:r>
      <w:r>
        <w:rPr>
          <w:b/>
          <w:color w:val="3B383A"/>
          <w:spacing w:val="1"/>
          <w:w w:val="110"/>
          <w:sz w:val="19"/>
        </w:rPr>
        <w:t> </w:t>
      </w:r>
      <w:r>
        <w:rPr>
          <w:b/>
          <w:color w:val="3B383A"/>
          <w:w w:val="110"/>
          <w:sz w:val="19"/>
        </w:rPr>
        <w:t>that</w:t>
      </w:r>
      <w:r>
        <w:rPr>
          <w:b/>
          <w:color w:val="3B383A"/>
          <w:spacing w:val="3"/>
          <w:w w:val="110"/>
          <w:sz w:val="19"/>
        </w:rPr>
        <w:t> </w:t>
      </w:r>
      <w:r>
        <w:rPr>
          <w:b/>
          <w:color w:val="3B383A"/>
          <w:w w:val="110"/>
          <w:sz w:val="19"/>
        </w:rPr>
        <w:t>the</w:t>
      </w:r>
      <w:r>
        <w:rPr>
          <w:b/>
          <w:color w:val="3B383A"/>
          <w:spacing w:val="-14"/>
          <w:w w:val="110"/>
          <w:sz w:val="19"/>
        </w:rPr>
        <w:t> </w:t>
      </w:r>
      <w:r>
        <w:rPr>
          <w:b/>
          <w:color w:val="3B383A"/>
          <w:w w:val="110"/>
          <w:sz w:val="19"/>
        </w:rPr>
        <w:t>case</w:t>
      </w:r>
      <w:r>
        <w:rPr>
          <w:b/>
          <w:color w:val="3B383A"/>
          <w:spacing w:val="-7"/>
          <w:w w:val="110"/>
          <w:sz w:val="19"/>
        </w:rPr>
        <w:t> </w:t>
      </w:r>
      <w:r>
        <w:rPr>
          <w:b/>
          <w:color w:val="3B383A"/>
          <w:w w:val="110"/>
          <w:sz w:val="19"/>
        </w:rPr>
        <w:t>may</w:t>
      </w:r>
      <w:r>
        <w:rPr>
          <w:b/>
          <w:color w:val="3B383A"/>
          <w:spacing w:val="-17"/>
          <w:w w:val="110"/>
          <w:sz w:val="19"/>
        </w:rPr>
        <w:t> </w:t>
      </w:r>
      <w:r>
        <w:rPr>
          <w:b/>
          <w:color w:val="3B383A"/>
          <w:w w:val="110"/>
          <w:sz w:val="19"/>
        </w:rPr>
        <w:t>present: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9570" w:h="13730"/>
          <w:pgMar w:header="428" w:footer="0" w:top="660" w:bottom="280" w:left="480" w:right="1080"/>
        </w:sectPr>
      </w:pPr>
    </w:p>
    <w:p>
      <w:pPr>
        <w:pStyle w:val="BodyText"/>
        <w:rPr>
          <w:b/>
          <w:sz w:val="10"/>
        </w:rPr>
      </w:pPr>
    </w:p>
    <w:p>
      <w:pPr>
        <w:pStyle w:val="BodyText"/>
        <w:spacing w:before="2"/>
        <w:rPr>
          <w:b/>
          <w:sz w:val="9"/>
        </w:rPr>
      </w:pPr>
    </w:p>
    <w:p>
      <w:pPr>
        <w:spacing w:line="86" w:lineRule="exact" w:before="1"/>
        <w:ind w:left="247" w:right="0" w:firstLine="0"/>
        <w:jc w:val="left"/>
        <w:rPr>
          <w:sz w:val="9"/>
        </w:rPr>
      </w:pPr>
      <w:r>
        <w:rPr>
          <w:color w:val="707072"/>
          <w:sz w:val="9"/>
        </w:rPr>
        <w:t>,;,</w:t>
      </w:r>
    </w:p>
    <w:p>
      <w:pPr>
        <w:spacing w:line="120" w:lineRule="exact" w:before="0"/>
        <w:ind w:left="252" w:right="0" w:firstLine="0"/>
        <w:jc w:val="left"/>
        <w:rPr>
          <w:sz w:val="12"/>
        </w:rPr>
      </w:pPr>
      <w:r>
        <w:rPr>
          <w:color w:val="3B383A"/>
          <w:sz w:val="12"/>
        </w:rPr>
        <w:t>::,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5"/>
        </w:rPr>
      </w:pPr>
    </w:p>
    <w:p>
      <w:pPr>
        <w:spacing w:line="252" w:lineRule="auto" w:before="0"/>
        <w:ind w:left="247" w:right="35" w:firstLine="2"/>
        <w:jc w:val="left"/>
        <w:rPr>
          <w:sz w:val="16"/>
        </w:rPr>
      </w:pPr>
      <w:r>
        <w:rPr>
          <w:color w:val="3B383A"/>
          <w:w w:val="105"/>
          <w:sz w:val="15"/>
        </w:rPr>
        <w:t>Do</w:t>
      </w:r>
      <w:r>
        <w:rPr>
          <w:color w:val="3B383A"/>
          <w:spacing w:val="7"/>
          <w:w w:val="105"/>
          <w:sz w:val="15"/>
        </w:rPr>
        <w:t> </w:t>
      </w:r>
      <w:r>
        <w:rPr>
          <w:color w:val="3B383A"/>
          <w:w w:val="105"/>
          <w:sz w:val="16"/>
        </w:rPr>
        <w:t>not</w:t>
      </w:r>
      <w:r>
        <w:rPr>
          <w:color w:val="3B383A"/>
          <w:spacing w:val="4"/>
          <w:w w:val="105"/>
          <w:sz w:val="16"/>
        </w:rPr>
        <w:t> </w:t>
      </w:r>
      <w:r>
        <w:rPr>
          <w:color w:val="3B383A"/>
          <w:w w:val="105"/>
          <w:sz w:val="16"/>
        </w:rPr>
        <w:t>address</w:t>
      </w:r>
      <w:r>
        <w:rPr>
          <w:color w:val="3B383A"/>
          <w:spacing w:val="3"/>
          <w:w w:val="105"/>
          <w:sz w:val="16"/>
        </w:rPr>
        <w:t> </w:t>
      </w:r>
      <w:r>
        <w:rPr>
          <w:color w:val="3B383A"/>
          <w:w w:val="105"/>
          <w:sz w:val="16"/>
        </w:rPr>
        <w:t>the</w:t>
      </w:r>
      <w:r>
        <w:rPr>
          <w:color w:val="3B383A"/>
          <w:spacing w:val="-39"/>
          <w:w w:val="105"/>
          <w:sz w:val="16"/>
        </w:rPr>
        <w:t> </w:t>
      </w:r>
      <w:r>
        <w:rPr>
          <w:color w:val="3B383A"/>
          <w:w w:val="110"/>
          <w:sz w:val="16"/>
        </w:rPr>
        <w:t>issue.</w:t>
      </w:r>
    </w:p>
    <w:p>
      <w:pPr>
        <w:pStyle w:val="BodyText"/>
        <w:rPr>
          <w:sz w:val="24"/>
        </w:rPr>
      </w:pPr>
    </w:p>
    <w:p>
      <w:pPr>
        <w:spacing w:before="1"/>
        <w:ind w:left="605" w:right="0" w:firstLine="0"/>
        <w:jc w:val="left"/>
        <w:rPr>
          <w:rFonts w:ascii="Courier New"/>
          <w:b/>
          <w:sz w:val="17"/>
        </w:rPr>
      </w:pPr>
      <w:r>
        <w:rPr>
          <w:rFonts w:ascii="Courier New"/>
          <w:b/>
          <w:color w:val="3B383A"/>
          <w:w w:val="90"/>
          <w:sz w:val="17"/>
        </w:rPr>
        <w:t>Ignore</w:t>
      </w:r>
    </w:p>
    <w:p>
      <w:pPr>
        <w:spacing w:line="240" w:lineRule="auto" w:before="0"/>
        <w:rPr>
          <w:rFonts w:ascii="Courier New"/>
          <w:b/>
          <w:sz w:val="18"/>
        </w:rPr>
      </w:pPr>
      <w:r>
        <w:rPr/>
        <w:br w:type="column"/>
      </w:r>
      <w:r>
        <w:rPr>
          <w:rFonts w:ascii="Courier New"/>
          <w:b/>
          <w:sz w:val="18"/>
        </w:rPr>
      </w:r>
    </w:p>
    <w:p>
      <w:pPr>
        <w:pStyle w:val="BodyText"/>
        <w:rPr>
          <w:rFonts w:ascii="Courier New"/>
          <w:b/>
          <w:sz w:val="18"/>
        </w:rPr>
      </w:pPr>
    </w:p>
    <w:p>
      <w:pPr>
        <w:spacing w:line="252" w:lineRule="auto" w:before="133"/>
        <w:ind w:left="252" w:right="4263" w:hanging="5"/>
        <w:jc w:val="left"/>
        <w:rPr>
          <w:sz w:val="16"/>
        </w:rPr>
      </w:pPr>
      <w:r>
        <w:rPr>
          <w:color w:val="3B383A"/>
          <w:w w:val="105"/>
          <w:sz w:val="16"/>
        </w:rPr>
        <w:t>State</w:t>
      </w:r>
      <w:r>
        <w:rPr>
          <w:color w:val="3B383A"/>
          <w:spacing w:val="4"/>
          <w:w w:val="105"/>
          <w:sz w:val="16"/>
        </w:rPr>
        <w:t> </w:t>
      </w:r>
      <w:r>
        <w:rPr>
          <w:color w:val="3B383A"/>
          <w:w w:val="105"/>
          <w:sz w:val="16"/>
        </w:rPr>
        <w:t>the</w:t>
      </w:r>
      <w:r>
        <w:rPr>
          <w:color w:val="3B383A"/>
          <w:spacing w:val="1"/>
          <w:w w:val="105"/>
          <w:sz w:val="16"/>
        </w:rPr>
        <w:t> </w:t>
      </w:r>
      <w:r>
        <w:rPr>
          <w:color w:val="3B383A"/>
          <w:w w:val="105"/>
          <w:sz w:val="16"/>
        </w:rPr>
        <w:t>result</w:t>
      </w:r>
      <w:r>
        <w:rPr>
          <w:color w:val="3B383A"/>
          <w:spacing w:val="-3"/>
          <w:w w:val="105"/>
          <w:sz w:val="16"/>
        </w:rPr>
        <w:t> </w:t>
      </w:r>
      <w:r>
        <w:rPr>
          <w:color w:val="3B383A"/>
          <w:w w:val="105"/>
          <w:sz w:val="16"/>
        </w:rPr>
        <w:t>of</w:t>
      </w:r>
      <w:r>
        <w:rPr>
          <w:color w:val="3B383A"/>
          <w:spacing w:val="-39"/>
          <w:w w:val="105"/>
          <w:sz w:val="16"/>
        </w:rPr>
        <w:t> </w:t>
      </w:r>
      <w:r>
        <w:rPr>
          <w:color w:val="3B383A"/>
          <w:w w:val="105"/>
          <w:sz w:val="16"/>
        </w:rPr>
        <w:t>rule application</w:t>
      </w:r>
      <w:r>
        <w:rPr>
          <w:color w:val="3B383A"/>
          <w:spacing w:val="1"/>
          <w:w w:val="105"/>
          <w:sz w:val="16"/>
        </w:rPr>
        <w:t> </w:t>
      </w:r>
      <w:r>
        <w:rPr>
          <w:color w:val="3B383A"/>
          <w:w w:val="105"/>
          <w:sz w:val="16"/>
        </w:rPr>
        <w:t>and</w:t>
      </w:r>
      <w:r>
        <w:rPr>
          <w:color w:val="3B383A"/>
          <w:spacing w:val="13"/>
          <w:w w:val="105"/>
          <w:sz w:val="16"/>
        </w:rPr>
        <w:t> </w:t>
      </w:r>
      <w:r>
        <w:rPr>
          <w:color w:val="3B383A"/>
          <w:w w:val="105"/>
          <w:sz w:val="16"/>
        </w:rPr>
        <w:t>follow</w:t>
      </w:r>
      <w:r>
        <w:rPr>
          <w:color w:val="3B383A"/>
          <w:spacing w:val="-5"/>
          <w:w w:val="105"/>
          <w:sz w:val="16"/>
        </w:rPr>
        <w:t> </w:t>
      </w:r>
      <w:r>
        <w:rPr>
          <w:color w:val="3B383A"/>
          <w:w w:val="105"/>
          <w:sz w:val="16"/>
        </w:rPr>
        <w:t>with</w:t>
      </w:r>
      <w:r>
        <w:rPr>
          <w:color w:val="3B383A"/>
          <w:spacing w:val="-3"/>
          <w:w w:val="105"/>
          <w:sz w:val="16"/>
        </w:rPr>
        <w:t> </w:t>
      </w:r>
      <w:r>
        <w:rPr>
          <w:color w:val="3B383A"/>
          <w:w w:val="105"/>
          <w:sz w:val="16"/>
        </w:rPr>
        <w:t>a</w:t>
      </w:r>
    </w:p>
    <w:p>
      <w:pPr>
        <w:spacing w:line="173" w:lineRule="exact" w:before="0"/>
        <w:ind w:left="252" w:right="0" w:firstLine="0"/>
        <w:jc w:val="left"/>
        <w:rPr>
          <w:sz w:val="16"/>
        </w:rPr>
      </w:pPr>
      <w:r>
        <w:rPr/>
        <w:pict>
          <v:shape style="position:absolute;margin-left:228.749634pt;margin-top:-67.969704pt;width:173.8pt;height:111.95pt;mso-position-horizontal-relative:page;mso-position-vertical-relative:paragraph;z-index:15736832" type="#_x0000_t202" id="docshape20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39"/>
                    <w:gridCol w:w="96"/>
                    <w:gridCol w:w="1716"/>
                  </w:tblGrid>
                  <w:tr>
                    <w:trPr>
                      <w:trHeight w:val="210" w:hRule="atLeast"/>
                    </w:trPr>
                    <w:tc>
                      <w:tcPr>
                        <w:tcW w:w="1735" w:type="dxa"/>
                        <w:gridSpan w:val="2"/>
                        <w:vMerge w:val="restart"/>
                        <w:tcBorders>
                          <w:top w:val="nil"/>
                          <w:left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1" w:lineRule="exact" w:before="19"/>
                          <w:ind w:left="148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3B383A"/>
                            <w:w w:val="115"/>
                            <w:sz w:val="16"/>
                          </w:rPr>
                          <w:t>UseaCREXAC</w:t>
                        </w:r>
                      </w:p>
                    </w:tc>
                  </w:tr>
                  <w:tr>
                    <w:trPr>
                      <w:trHeight w:val="125" w:hRule="atLeast"/>
                    </w:trPr>
                    <w:tc>
                      <w:tcPr>
                        <w:tcW w:w="1735" w:type="dxa"/>
                        <w:gridSpan w:val="2"/>
                        <w:vMerge/>
                        <w:tcBorders>
                          <w:top w:val="nil"/>
                          <w:left w:val="nil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05" w:lineRule="exact" w:before="1"/>
                          <w:ind w:left="149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3B383A"/>
                            <w:w w:val="105"/>
                            <w:sz w:val="16"/>
                          </w:rPr>
                          <w:t>unit</w:t>
                        </w:r>
                        <w:r>
                          <w:rPr>
                            <w:rFonts w:ascii="Times New Roman"/>
                            <w:color w:val="3B383A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83A"/>
                            <w:w w:val="105"/>
                            <w:sz w:val="16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3B383A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83A"/>
                            <w:w w:val="105"/>
                            <w:sz w:val="16"/>
                          </w:rPr>
                          <w:t>discourse to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1639" w:type="dxa"/>
                        <w:tcBorders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6" w:lineRule="exact" w:before="38"/>
                          <w:ind w:left="138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3B383A"/>
                            <w:w w:val="110"/>
                            <w:sz w:val="16"/>
                          </w:rPr>
                          <w:t>Use</w:t>
                        </w:r>
                        <w:r>
                          <w:rPr>
                            <w:rFonts w:ascii="Times New Roman"/>
                            <w:color w:val="3B383A"/>
                            <w:spacing w:val="-1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83A"/>
                            <w:w w:val="110"/>
                            <w:sz w:val="16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3B383A"/>
                            <w:spacing w:val="-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83A"/>
                            <w:w w:val="110"/>
                            <w:sz w:val="16"/>
                          </w:rPr>
                          <w:t>"CRAC"</w:t>
                        </w:r>
                      </w:p>
                    </w:tc>
                    <w:tc>
                      <w:tcPr>
                        <w:tcW w:w="96" w:type="dxa"/>
                        <w:vMerge w:val="restart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67" w:lineRule="exact" w:before="48"/>
                          <w:ind w:left="159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3B383A"/>
                            <w:w w:val="105"/>
                            <w:sz w:val="16"/>
                          </w:rPr>
                          <w:t>provide</w:t>
                        </w:r>
                        <w:r>
                          <w:rPr>
                            <w:rFonts w:ascii="Times New Roman"/>
                            <w:color w:val="3B383A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83A"/>
                            <w:w w:val="105"/>
                            <w:sz w:val="16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3B383A"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83A"/>
                            <w:w w:val="105"/>
                            <w:sz w:val="16"/>
                          </w:rPr>
                          <w:t>Ruic,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1639" w:type="dxa"/>
                        <w:tcBorders>
                          <w:top w:val="nil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140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3B383A"/>
                            <w:w w:val="105"/>
                            <w:sz w:val="16"/>
                          </w:rPr>
                          <w:t>paragraph or</w:t>
                        </w:r>
                        <w:r>
                          <w:rPr>
                            <w:rFonts w:ascii="Times New Roman"/>
                            <w:color w:val="3B383A"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83A"/>
                            <w:w w:val="105"/>
                            <w:sz w:val="15"/>
                          </w:rPr>
                          <w:t>two</w:t>
                        </w:r>
                      </w:p>
                    </w:tc>
                    <w:tc>
                      <w:tcPr>
                        <w:tcW w:w="96" w:type="dxa"/>
                        <w:vMerge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67" w:lineRule="exact" w:before="6"/>
                          <w:ind w:left="156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3B383A"/>
                            <w:sz w:val="16"/>
                          </w:rPr>
                          <w:t>E11planation,</w:t>
                        </w:r>
                        <w:r>
                          <w:rPr>
                            <w:rFonts w:ascii="Times New Roman"/>
                            <w:color w:val="3B383A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83A"/>
                            <w:sz w:val="16"/>
                          </w:rPr>
                          <w:t>and</w:t>
                        </w:r>
                      </w:p>
                    </w:tc>
                  </w:tr>
                  <w:tr>
                    <w:trPr>
                      <w:trHeight w:val="187" w:hRule="atLeast"/>
                    </w:trPr>
                    <w:tc>
                      <w:tcPr>
                        <w:tcW w:w="1639" w:type="dxa"/>
                        <w:tcBorders>
                          <w:top w:val="nil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68" w:lineRule="exact"/>
                          <w:ind w:left="137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3B383A"/>
                            <w:w w:val="110"/>
                            <w:sz w:val="16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3B383A"/>
                            <w:spacing w:val="-7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83A"/>
                            <w:w w:val="110"/>
                            <w:sz w:val="16"/>
                          </w:rPr>
                          <w:t>state</w:t>
                        </w:r>
                        <w:r>
                          <w:rPr>
                            <w:rFonts w:ascii="Times New Roman"/>
                            <w:color w:val="3B383A"/>
                            <w:spacing w:val="-6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83A"/>
                            <w:w w:val="110"/>
                            <w:sz w:val="16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3B383A"/>
                            <w:spacing w:val="-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83A"/>
                            <w:w w:val="110"/>
                            <w:sz w:val="16"/>
                          </w:rPr>
                          <w:t>rule</w:t>
                        </w:r>
                        <w:r>
                          <w:rPr>
                            <w:rFonts w:ascii="Times New Roman"/>
                            <w:color w:val="3B383A"/>
                            <w:spacing w:val="-2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83A"/>
                            <w:w w:val="110"/>
                            <w:sz w:val="16"/>
                          </w:rPr>
                          <w:t>and</w:t>
                        </w:r>
                      </w:p>
                    </w:tc>
                    <w:tc>
                      <w:tcPr>
                        <w:tcW w:w="96" w:type="dxa"/>
                        <w:vMerge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62" w:lineRule="exact" w:before="6"/>
                          <w:ind w:left="157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3B383A"/>
                            <w:w w:val="110"/>
                            <w:sz w:val="16"/>
                          </w:rPr>
                          <w:t>App</w:t>
                        </w:r>
                        <w:r>
                          <w:rPr>
                            <w:rFonts w:ascii="Times New Roman"/>
                            <w:color w:val="545454"/>
                            <w:w w:val="110"/>
                            <w:sz w:val="16"/>
                          </w:rPr>
                          <w:t>li</w:t>
                        </w:r>
                        <w:r>
                          <w:rPr>
                            <w:rFonts w:ascii="Times New Roman"/>
                            <w:color w:val="3B383A"/>
                            <w:w w:val="110"/>
                            <w:sz w:val="16"/>
                          </w:rPr>
                          <w:t>cation</w:t>
                        </w:r>
                        <w:r>
                          <w:rPr>
                            <w:rFonts w:ascii="Times New Roman"/>
                            <w:color w:val="3B383A"/>
                            <w:spacing w:val="-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83A"/>
                            <w:w w:val="110"/>
                            <w:sz w:val="16"/>
                          </w:rPr>
                          <w:t>oflaw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1639" w:type="dxa"/>
                        <w:tcBorders>
                          <w:top w:val="nil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133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3B383A"/>
                            <w:w w:val="110"/>
                            <w:sz w:val="16"/>
                          </w:rPr>
                          <w:t>apply</w:t>
                        </w:r>
                        <w:r>
                          <w:rPr>
                            <w:rFonts w:ascii="Times New Roman"/>
                            <w:color w:val="3B383A"/>
                            <w:spacing w:val="-15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83A"/>
                            <w:w w:val="110"/>
                            <w:sz w:val="16"/>
                          </w:rPr>
                          <w:t>it</w:t>
                        </w:r>
                        <w:r>
                          <w:rPr>
                            <w:rFonts w:ascii="Times New Roman"/>
                            <w:color w:val="3B383A"/>
                            <w:spacing w:val="-17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3B383A"/>
                            <w:w w:val="110"/>
                            <w:sz w:val="12"/>
                          </w:rPr>
                          <w:t>10</w:t>
                        </w:r>
                        <w:r>
                          <w:rPr>
                            <w:color w:val="3B383A"/>
                            <w:spacing w:val="-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83A"/>
                            <w:w w:val="110"/>
                            <w:sz w:val="16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3B383A"/>
                            <w:spacing w:val="-6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83A"/>
                            <w:w w:val="110"/>
                            <w:sz w:val="16"/>
                          </w:rPr>
                          <w:t>facts,</w:t>
                        </w:r>
                      </w:p>
                    </w:tc>
                    <w:tc>
                      <w:tcPr>
                        <w:tcW w:w="96" w:type="dxa"/>
                        <w:vMerge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62" w:lineRule="exact" w:before="10"/>
                          <w:ind w:left="157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3B383A"/>
                            <w:w w:val="105"/>
                            <w:sz w:val="16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3B383A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83A"/>
                            <w:w w:val="105"/>
                            <w:sz w:val="16"/>
                          </w:rPr>
                          <w:t>fa</w:t>
                        </w:r>
                        <w:r>
                          <w:rPr>
                            <w:rFonts w:ascii="Times New Roman"/>
                            <w:color w:val="545454"/>
                            <w:w w:val="105"/>
                            <w:sz w:val="16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3B383A"/>
                            <w:w w:val="105"/>
                            <w:sz w:val="16"/>
                          </w:rPr>
                          <w:t>ts</w:t>
                        </w:r>
                        <w:r>
                          <w:rPr>
                            <w:rFonts w:ascii="Times New Roman"/>
                            <w:color w:val="3B383A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83A"/>
                            <w:w w:val="105"/>
                            <w:sz w:val="16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3B383A"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83A"/>
                            <w:w w:val="105"/>
                            <w:sz w:val="16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3B383A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83A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545454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3B383A"/>
                            <w:w w:val="105"/>
                            <w:sz w:val="16"/>
                          </w:rPr>
                          <w:t>sue</w:t>
                        </w:r>
                        <w:r>
                          <w:rPr>
                            <w:rFonts w:ascii="Times New Roman"/>
                            <w:color w:val="545454"/>
                            <w:w w:val="105"/>
                            <w:sz w:val="16"/>
                          </w:rPr>
                          <w:t>,</w:t>
                        </w:r>
                      </w:p>
                    </w:tc>
                  </w:tr>
                  <w:tr>
                    <w:trPr>
                      <w:trHeight w:val="187" w:hRule="atLeast"/>
                    </w:trPr>
                    <w:tc>
                      <w:tcPr>
                        <w:tcW w:w="1639" w:type="dxa"/>
                        <w:tcBorders>
                          <w:top w:val="nil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68" w:lineRule="exact"/>
                          <w:ind w:left="139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3B383A"/>
                            <w:w w:val="105"/>
                            <w:sz w:val="16"/>
                          </w:rPr>
                          <w:t>using</w:t>
                        </w:r>
                        <w:r>
                          <w:rPr>
                            <w:rFonts w:ascii="Times New Roman"/>
                            <w:color w:val="3B383A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83A"/>
                            <w:w w:val="105"/>
                            <w:sz w:val="16"/>
                          </w:rPr>
                          <w:t>citations</w:t>
                        </w:r>
                        <w:r>
                          <w:rPr>
                            <w:rFonts w:ascii="Times New Roman"/>
                            <w:color w:val="3B383A"/>
                            <w:spacing w:val="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83A"/>
                            <w:w w:val="105"/>
                            <w:sz w:val="16"/>
                          </w:rPr>
                          <w:t>to</w:t>
                        </w:r>
                      </w:p>
                    </w:tc>
                    <w:tc>
                      <w:tcPr>
                        <w:tcW w:w="96" w:type="dxa"/>
                        <w:vMerge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67" w:lineRule="exact" w:before="1"/>
                          <w:ind w:left="164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3B383A"/>
                            <w:w w:val="105"/>
                            <w:sz w:val="16"/>
                          </w:rPr>
                          <w:t>including</w:t>
                        </w:r>
                        <w:r>
                          <w:rPr>
                            <w:rFonts w:ascii="Times New Roman" w:hAnsi="Times New Roman"/>
                            <w:color w:val="3B383A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B383A"/>
                            <w:w w:val="105"/>
                            <w:sz w:val="16"/>
                          </w:rPr>
                          <w:t>sub­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1639" w:type="dxa"/>
                        <w:tcBorders>
                          <w:top w:val="nil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68" w:lineRule="exact"/>
                          <w:ind w:left="143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3B383A"/>
                            <w:spacing w:val="-1"/>
                            <w:w w:val="110"/>
                            <w:sz w:val="16"/>
                          </w:rPr>
                          <w:t>cases</w:t>
                        </w:r>
                        <w:r>
                          <w:rPr>
                            <w:rFonts w:ascii="Times New Roman"/>
                            <w:color w:val="3B383A"/>
                            <w:spacing w:val="-2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83A"/>
                            <w:w w:val="110"/>
                            <w:sz w:val="16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3B383A"/>
                            <w:spacing w:val="-1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83A"/>
                            <w:w w:val="110"/>
                            <w:sz w:val="16"/>
                          </w:rPr>
                          <w:t>statutes</w:t>
                        </w:r>
                      </w:p>
                    </w:tc>
                    <w:tc>
                      <w:tcPr>
                        <w:tcW w:w="96" w:type="dxa"/>
                        <w:vMerge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62" w:lineRule="exact" w:before="6"/>
                          <w:ind w:left="161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3B383A"/>
                            <w:w w:val="105"/>
                            <w:sz w:val="16"/>
                          </w:rPr>
                          <w:t>sections</w:t>
                        </w:r>
                        <w:r>
                          <w:rPr>
                            <w:rFonts w:ascii="Times New Roman"/>
                            <w:color w:val="3B383A"/>
                            <w:spacing w:val="-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83A"/>
                            <w:w w:val="105"/>
                            <w:sz w:val="16"/>
                          </w:rPr>
                          <w:t>if</w:t>
                        </w:r>
                        <w:r>
                          <w:rPr>
                            <w:rFonts w:ascii="Times New Roman"/>
                            <w:color w:val="3B383A"/>
                            <w:spacing w:val="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83A"/>
                            <w:w w:val="105"/>
                            <w:sz w:val="16"/>
                          </w:rPr>
                          <w:t>they</w:t>
                        </w:r>
                        <w:r>
                          <w:rPr>
                            <w:rFonts w:ascii="Times New Roman"/>
                            <w:color w:val="3B383A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B383A"/>
                            <w:w w:val="105"/>
                            <w:sz w:val="14"/>
                          </w:rPr>
                          <w:t>are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1639" w:type="dxa"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43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3B383A"/>
                            <w:w w:val="105"/>
                            <w:sz w:val="17"/>
                          </w:rPr>
                          <w:t>as</w:t>
                        </w:r>
                        <w:r>
                          <w:rPr>
                            <w:rFonts w:ascii="Times New Roman"/>
                            <w:color w:val="3B383A"/>
                            <w:spacing w:val="-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83A"/>
                            <w:w w:val="105"/>
                            <w:sz w:val="16"/>
                          </w:rPr>
                          <w:t>appropriate.</w:t>
                        </w:r>
                      </w:p>
                    </w:tc>
                    <w:tc>
                      <w:tcPr>
                        <w:tcW w:w="96" w:type="dxa"/>
                        <w:vMerge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10"/>
                          <w:ind w:left="167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3B383A"/>
                            <w:w w:val="110"/>
                            <w:sz w:val="16"/>
                          </w:rPr>
                          <w:t>needed.</w:t>
                        </w:r>
                      </w:p>
                    </w:tc>
                  </w:tr>
                  <w:tr>
                    <w:trPr>
                      <w:trHeight w:val="447" w:hRule="atLeast"/>
                    </w:trPr>
                    <w:tc>
                      <w:tcPr>
                        <w:tcW w:w="1639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566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B383A"/>
                            <w:w w:val="110"/>
                            <w:sz w:val="16"/>
                          </w:rPr>
                          <w:t>Clarify</w:t>
                        </w:r>
                      </w:p>
                    </w:tc>
                    <w:tc>
                      <w:tcPr>
                        <w:tcW w:w="96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622" w:right="548"/>
                          <w:jc w:val="center"/>
                          <w:rPr>
                            <w:rFonts w:ascii="Courier New"/>
                            <w:b/>
                            <w:sz w:val="17"/>
                          </w:rPr>
                        </w:pPr>
                        <w:r>
                          <w:rPr>
                            <w:rFonts w:ascii="Courier New"/>
                            <w:b/>
                            <w:color w:val="3B383A"/>
                            <w:w w:val="95"/>
                            <w:sz w:val="17"/>
                          </w:rPr>
                          <w:t>Prove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B383A"/>
          <w:w w:val="110"/>
          <w:sz w:val="16"/>
        </w:rPr>
        <w:t>cite</w:t>
      </w:r>
      <w:r>
        <w:rPr>
          <w:color w:val="3B383A"/>
          <w:spacing w:val="-19"/>
          <w:w w:val="110"/>
          <w:sz w:val="16"/>
        </w:rPr>
        <w:t> </w:t>
      </w:r>
      <w:r>
        <w:rPr>
          <w:color w:val="3B383A"/>
          <w:w w:val="110"/>
          <w:sz w:val="16"/>
        </w:rPr>
        <w:t>(or</w:t>
      </w:r>
      <w:r>
        <w:rPr>
          <w:color w:val="3B383A"/>
          <w:spacing w:val="-12"/>
          <w:w w:val="110"/>
          <w:sz w:val="16"/>
        </w:rPr>
        <w:t> </w:t>
      </w:r>
      <w:r>
        <w:rPr>
          <w:rFonts w:ascii="Arial" w:hAnsi="Arial"/>
          <w:color w:val="3B383A"/>
          <w:w w:val="110"/>
          <w:sz w:val="15"/>
        </w:rPr>
        <w:t>a</w:t>
      </w:r>
      <w:r>
        <w:rPr>
          <w:color w:val="3B383A"/>
          <w:w w:val="110"/>
          <w:sz w:val="16"/>
        </w:rPr>
        <w:t>·•see"</w:t>
      </w:r>
      <w:r>
        <w:rPr>
          <w:color w:val="3B383A"/>
          <w:spacing w:val="-20"/>
          <w:w w:val="110"/>
          <w:sz w:val="16"/>
        </w:rPr>
        <w:t> </w:t>
      </w:r>
      <w:r>
        <w:rPr>
          <w:color w:val="3B383A"/>
          <w:w w:val="110"/>
          <w:sz w:val="16"/>
        </w:rPr>
        <w:t>cite)</w:t>
      </w:r>
    </w:p>
    <w:p>
      <w:pPr>
        <w:spacing w:before="9"/>
        <w:ind w:left="262" w:right="0" w:firstLine="0"/>
        <w:jc w:val="left"/>
        <w:rPr>
          <w:sz w:val="16"/>
        </w:rPr>
      </w:pPr>
      <w:r>
        <w:rPr>
          <w:color w:val="3B383A"/>
          <w:w w:val="105"/>
          <w:sz w:val="16"/>
        </w:rPr>
        <w:t>if</w:t>
      </w:r>
      <w:r>
        <w:rPr>
          <w:color w:val="3B383A"/>
          <w:spacing w:val="-3"/>
          <w:w w:val="105"/>
          <w:sz w:val="16"/>
        </w:rPr>
        <w:t> </w:t>
      </w:r>
      <w:r>
        <w:rPr>
          <w:color w:val="3B383A"/>
          <w:w w:val="105"/>
          <w:sz w:val="16"/>
        </w:rPr>
        <w:t>appropriate.</w:t>
      </w:r>
    </w:p>
    <w:p>
      <w:pPr>
        <w:pStyle w:val="BodyText"/>
        <w:spacing w:before="10"/>
        <w:rPr>
          <w:sz w:val="24"/>
        </w:rPr>
      </w:pPr>
    </w:p>
    <w:p>
      <w:pPr>
        <w:spacing w:before="1"/>
        <w:ind w:left="775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3B383A"/>
          <w:w w:val="110"/>
          <w:sz w:val="15"/>
        </w:rPr>
        <w:t>T</w:t>
      </w:r>
      <w:r>
        <w:rPr>
          <w:rFonts w:ascii="Arial"/>
          <w:b/>
          <w:color w:val="545454"/>
          <w:w w:val="110"/>
          <w:sz w:val="15"/>
        </w:rPr>
        <w:t>e</w:t>
      </w:r>
      <w:r>
        <w:rPr>
          <w:rFonts w:ascii="Arial"/>
          <w:b/>
          <w:color w:val="3B383A"/>
          <w:w w:val="110"/>
          <w:sz w:val="15"/>
        </w:rPr>
        <w:t>ll</w:t>
      </w:r>
    </w:p>
    <w:p>
      <w:pPr>
        <w:spacing w:after="0"/>
        <w:jc w:val="left"/>
        <w:rPr>
          <w:rFonts w:ascii="Arial"/>
          <w:sz w:val="15"/>
        </w:rPr>
        <w:sectPr>
          <w:type w:val="continuous"/>
          <w:pgSz w:w="9570" w:h="13730"/>
          <w:pgMar w:header="463" w:footer="0" w:top="340" w:bottom="280" w:left="480" w:right="1080"/>
          <w:cols w:num="3" w:equalWidth="0">
            <w:col w:w="387" w:space="153"/>
            <w:col w:w="1558" w:space="124"/>
            <w:col w:w="5788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6"/>
        </w:rPr>
      </w:pPr>
    </w:p>
    <w:p>
      <w:pPr>
        <w:spacing w:before="92"/>
        <w:ind w:left="491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B383A"/>
          <w:w w:val="105"/>
          <w:sz w:val="28"/>
        </w:rPr>
        <w:t>5</w:t>
      </w:r>
      <w:r>
        <w:rPr>
          <w:rFonts w:ascii="Arial"/>
          <w:b/>
          <w:color w:val="545454"/>
          <w:w w:val="105"/>
          <w:sz w:val="28"/>
        </w:rPr>
        <w:t>.</w:t>
      </w:r>
      <w:r>
        <w:rPr>
          <w:rFonts w:ascii="Arial"/>
          <w:b/>
          <w:color w:val="3B383A"/>
          <w:w w:val="105"/>
          <w:sz w:val="28"/>
        </w:rPr>
        <w:t>2.1</w:t>
      </w:r>
    </w:p>
    <w:p>
      <w:pPr>
        <w:spacing w:before="35"/>
        <w:ind w:left="497" w:right="0" w:firstLine="0"/>
        <w:jc w:val="both"/>
        <w:rPr>
          <w:sz w:val="24"/>
        </w:rPr>
      </w:pPr>
      <w:r>
        <w:rPr>
          <w:color w:val="3B383A"/>
          <w:w w:val="95"/>
          <w:sz w:val="24"/>
        </w:rPr>
        <w:t>IGNO</w:t>
      </w:r>
      <w:r>
        <w:rPr>
          <w:color w:val="545454"/>
          <w:w w:val="95"/>
          <w:sz w:val="24"/>
        </w:rPr>
        <w:t>R</w:t>
      </w:r>
      <w:r>
        <w:rPr>
          <w:color w:val="3B383A"/>
          <w:w w:val="95"/>
          <w:sz w:val="24"/>
        </w:rPr>
        <w:t>E</w:t>
      </w:r>
      <w:r>
        <w:rPr>
          <w:color w:val="3B383A"/>
          <w:spacing w:val="18"/>
          <w:w w:val="95"/>
          <w:sz w:val="24"/>
        </w:rPr>
        <w:t> </w:t>
      </w:r>
      <w:r>
        <w:rPr>
          <w:color w:val="3B383A"/>
          <w:w w:val="95"/>
          <w:sz w:val="24"/>
        </w:rPr>
        <w:t>IS</w:t>
      </w:r>
      <w:r>
        <w:rPr>
          <w:color w:val="545454"/>
          <w:w w:val="95"/>
          <w:sz w:val="24"/>
        </w:rPr>
        <w:t>S</w:t>
      </w:r>
      <w:r>
        <w:rPr>
          <w:color w:val="3B383A"/>
          <w:w w:val="95"/>
          <w:sz w:val="24"/>
        </w:rPr>
        <w:t>UES</w:t>
      </w:r>
    </w:p>
    <w:p>
      <w:pPr>
        <w:pStyle w:val="BodyText"/>
        <w:spacing w:line="235" w:lineRule="auto" w:before="104"/>
        <w:ind w:left="138" w:right="191" w:firstLine="350"/>
        <w:jc w:val="both"/>
      </w:pPr>
      <w:r>
        <w:rPr>
          <w:color w:val="3B383A"/>
          <w:w w:val="110"/>
        </w:rPr>
        <w:t>Some issues are obviously </w:t>
      </w:r>
      <w:r>
        <w:rPr>
          <w:i/>
          <w:color w:val="3B383A"/>
          <w:w w:val="110"/>
          <w:sz w:val="24"/>
        </w:rPr>
        <w:t>not </w:t>
      </w:r>
      <w:r>
        <w:rPr>
          <w:color w:val="3B383A"/>
          <w:w w:val="110"/>
        </w:rPr>
        <w:t>relevant to the analysis. Others are rel­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evant to the analysis, but are so obviously not controversial that the reader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does not need you to spend even one sentence discussing the issue. These</w:t>
      </w:r>
      <w:r>
        <w:rPr>
          <w:color w:val="3B383A"/>
          <w:spacing w:val="1"/>
          <w:w w:val="110"/>
        </w:rPr>
        <w:t> </w:t>
      </w:r>
      <w:r>
        <w:rPr>
          <w:color w:val="3B383A"/>
          <w:spacing w:val="-1"/>
          <w:w w:val="110"/>
        </w:rPr>
        <w:t>are</w:t>
      </w:r>
      <w:r>
        <w:rPr>
          <w:color w:val="3B383A"/>
          <w:spacing w:val="-11"/>
          <w:w w:val="110"/>
        </w:rPr>
        <w:t> </w:t>
      </w:r>
      <w:r>
        <w:rPr>
          <w:i/>
          <w:color w:val="3B383A"/>
          <w:spacing w:val="-1"/>
          <w:w w:val="105"/>
          <w:sz w:val="25"/>
        </w:rPr>
        <w:t>Ignore</w:t>
      </w:r>
      <w:r>
        <w:rPr>
          <w:i/>
          <w:color w:val="3B383A"/>
          <w:spacing w:val="-10"/>
          <w:w w:val="105"/>
          <w:sz w:val="25"/>
        </w:rPr>
        <w:t> </w:t>
      </w:r>
      <w:r>
        <w:rPr>
          <w:i/>
          <w:color w:val="3B383A"/>
          <w:spacing w:val="-1"/>
          <w:w w:val="105"/>
          <w:sz w:val="25"/>
        </w:rPr>
        <w:t>issues,</w:t>
      </w:r>
      <w:r>
        <w:rPr>
          <w:i/>
          <w:color w:val="3B383A"/>
          <w:spacing w:val="-6"/>
          <w:w w:val="105"/>
          <w:sz w:val="25"/>
        </w:rPr>
        <w:t> </w:t>
      </w:r>
      <w:r>
        <w:rPr>
          <w:color w:val="3B383A"/>
          <w:spacing w:val="-1"/>
          <w:w w:val="110"/>
        </w:rPr>
        <w:t>that</w:t>
      </w:r>
      <w:r>
        <w:rPr>
          <w:color w:val="3B383A"/>
          <w:spacing w:val="5"/>
          <w:w w:val="110"/>
        </w:rPr>
        <w:t> </w:t>
      </w:r>
      <w:r>
        <w:rPr>
          <w:color w:val="3B383A"/>
          <w:spacing w:val="-1"/>
          <w:w w:val="110"/>
        </w:rPr>
        <w:t>i</w:t>
      </w:r>
      <w:r>
        <w:rPr>
          <w:color w:val="545454"/>
          <w:spacing w:val="-1"/>
          <w:w w:val="110"/>
        </w:rPr>
        <w:t>s</w:t>
      </w:r>
      <w:r>
        <w:rPr>
          <w:color w:val="3B383A"/>
          <w:spacing w:val="-1"/>
          <w:w w:val="110"/>
        </w:rPr>
        <w:t>,</w:t>
      </w:r>
      <w:r>
        <w:rPr>
          <w:color w:val="3B383A"/>
          <w:spacing w:val="4"/>
          <w:w w:val="110"/>
        </w:rPr>
        <w:t> </w:t>
      </w:r>
      <w:r>
        <w:rPr>
          <w:color w:val="3B383A"/>
          <w:spacing w:val="-1"/>
          <w:w w:val="110"/>
        </w:rPr>
        <w:t>they</w:t>
      </w:r>
      <w:r>
        <w:rPr>
          <w:color w:val="3B383A"/>
          <w:spacing w:val="-6"/>
          <w:w w:val="110"/>
        </w:rPr>
        <w:t> </w:t>
      </w:r>
      <w:r>
        <w:rPr>
          <w:color w:val="3B383A"/>
          <w:spacing w:val="-1"/>
          <w:w w:val="110"/>
        </w:rPr>
        <w:t>are</w:t>
      </w:r>
      <w:r>
        <w:rPr>
          <w:color w:val="3B383A"/>
          <w:spacing w:val="-25"/>
          <w:w w:val="110"/>
        </w:rPr>
        <w:t> </w:t>
      </w:r>
      <w:r>
        <w:rPr>
          <w:color w:val="3B383A"/>
          <w:spacing w:val="-1"/>
          <w:w w:val="110"/>
        </w:rPr>
        <w:t>issues</w:t>
      </w:r>
      <w:r>
        <w:rPr>
          <w:color w:val="3B383A"/>
          <w:spacing w:val="-3"/>
          <w:w w:val="110"/>
        </w:rPr>
        <w:t> </w:t>
      </w:r>
      <w:r>
        <w:rPr>
          <w:color w:val="3B383A"/>
          <w:w w:val="110"/>
        </w:rPr>
        <w:t>that you</w:t>
      </w:r>
      <w:r>
        <w:rPr>
          <w:color w:val="3B383A"/>
          <w:spacing w:val="-37"/>
          <w:w w:val="110"/>
        </w:rPr>
        <w:t> </w:t>
      </w:r>
      <w:r>
        <w:rPr>
          <w:color w:val="3B383A"/>
          <w:w w:val="110"/>
        </w:rPr>
        <w:t>can</w:t>
      </w:r>
      <w:r>
        <w:rPr>
          <w:color w:val="3B383A"/>
          <w:spacing w:val="-22"/>
          <w:w w:val="110"/>
        </w:rPr>
        <w:t> </w:t>
      </w:r>
      <w:r>
        <w:rPr>
          <w:i/>
          <w:color w:val="3B383A"/>
          <w:w w:val="105"/>
          <w:sz w:val="25"/>
        </w:rPr>
        <w:t>ignore</w:t>
      </w:r>
      <w:r>
        <w:rPr>
          <w:i/>
          <w:color w:val="3B383A"/>
          <w:spacing w:val="-3"/>
          <w:w w:val="105"/>
          <w:sz w:val="25"/>
        </w:rPr>
        <w:t> </w:t>
      </w:r>
      <w:r>
        <w:rPr>
          <w:color w:val="3B383A"/>
          <w:w w:val="110"/>
        </w:rPr>
        <w:t>in</w:t>
      </w:r>
      <w:r>
        <w:rPr>
          <w:color w:val="3B383A"/>
          <w:spacing w:val="51"/>
          <w:w w:val="110"/>
        </w:rPr>
        <w:t> </w:t>
      </w:r>
      <w:r>
        <w:rPr>
          <w:color w:val="3B383A"/>
          <w:w w:val="110"/>
        </w:rPr>
        <w:t>your</w:t>
      </w:r>
      <w:r>
        <w:rPr>
          <w:color w:val="3B383A"/>
          <w:spacing w:val="-6"/>
          <w:w w:val="110"/>
        </w:rPr>
        <w:t> </w:t>
      </w:r>
      <w:r>
        <w:rPr>
          <w:color w:val="3B383A"/>
          <w:w w:val="110"/>
        </w:rPr>
        <w:t>written</w:t>
      </w:r>
      <w:r>
        <w:rPr>
          <w:color w:val="3B383A"/>
          <w:spacing w:val="-60"/>
          <w:w w:val="110"/>
        </w:rPr>
        <w:t> </w:t>
      </w:r>
      <w:r>
        <w:rPr>
          <w:color w:val="3B383A"/>
          <w:w w:val="110"/>
        </w:rPr>
        <w:t>legal</w:t>
      </w:r>
      <w:r>
        <w:rPr>
          <w:color w:val="3B383A"/>
          <w:spacing w:val="-12"/>
          <w:w w:val="110"/>
        </w:rPr>
        <w:t> </w:t>
      </w:r>
      <w:r>
        <w:rPr>
          <w:color w:val="3B383A"/>
          <w:w w:val="110"/>
        </w:rPr>
        <w:t>analysis</w:t>
      </w:r>
      <w:r>
        <w:rPr>
          <w:color w:val="545454"/>
          <w:w w:val="110"/>
        </w:rPr>
        <w:t>.</w:t>
      </w:r>
    </w:p>
    <w:p>
      <w:pPr>
        <w:pStyle w:val="BodyText"/>
        <w:spacing w:line="230" w:lineRule="exact"/>
        <w:ind w:left="519"/>
        <w:jc w:val="both"/>
      </w:pPr>
      <w:r>
        <w:rPr>
          <w:color w:val="3B383A"/>
          <w:w w:val="115"/>
        </w:rPr>
        <w:t>For</w:t>
      </w:r>
      <w:r>
        <w:rPr>
          <w:color w:val="3B383A"/>
          <w:spacing w:val="-37"/>
          <w:w w:val="115"/>
        </w:rPr>
        <w:t> </w:t>
      </w:r>
      <w:r>
        <w:rPr>
          <w:color w:val="3B383A"/>
          <w:w w:val="115"/>
        </w:rPr>
        <w:t>example,</w:t>
      </w:r>
      <w:r>
        <w:rPr>
          <w:color w:val="3B383A"/>
          <w:spacing w:val="-12"/>
          <w:w w:val="115"/>
        </w:rPr>
        <w:t> </w:t>
      </w:r>
      <w:r>
        <w:rPr>
          <w:color w:val="3B383A"/>
          <w:w w:val="115"/>
        </w:rPr>
        <w:t>suppose</w:t>
      </w:r>
      <w:r>
        <w:rPr>
          <w:color w:val="3B383A"/>
          <w:spacing w:val="-12"/>
          <w:w w:val="115"/>
        </w:rPr>
        <w:t> </w:t>
      </w:r>
      <w:r>
        <w:rPr>
          <w:color w:val="3B383A"/>
          <w:w w:val="115"/>
        </w:rPr>
        <w:t>that</w:t>
      </w:r>
      <w:r>
        <w:rPr>
          <w:color w:val="3B383A"/>
          <w:spacing w:val="-10"/>
          <w:w w:val="115"/>
        </w:rPr>
        <w:t> </w:t>
      </w:r>
      <w:r>
        <w:rPr>
          <w:color w:val="3B383A"/>
          <w:w w:val="115"/>
        </w:rPr>
        <w:t>the</w:t>
      </w:r>
      <w:r>
        <w:rPr>
          <w:color w:val="3B383A"/>
          <w:spacing w:val="-37"/>
          <w:w w:val="115"/>
        </w:rPr>
        <w:t> </w:t>
      </w:r>
      <w:r>
        <w:rPr>
          <w:color w:val="3B383A"/>
          <w:w w:val="115"/>
        </w:rPr>
        <w:t>statute</w:t>
      </w:r>
      <w:r>
        <w:rPr>
          <w:color w:val="3B383A"/>
          <w:spacing w:val="-23"/>
          <w:w w:val="115"/>
        </w:rPr>
        <w:t> </w:t>
      </w:r>
      <w:r>
        <w:rPr>
          <w:color w:val="3B383A"/>
          <w:w w:val="115"/>
        </w:rPr>
        <w:t>forbidding</w:t>
      </w:r>
      <w:r>
        <w:rPr>
          <w:color w:val="3B383A"/>
          <w:spacing w:val="-6"/>
          <w:w w:val="115"/>
        </w:rPr>
        <w:t> </w:t>
      </w:r>
      <w:r>
        <w:rPr>
          <w:color w:val="3B383A"/>
          <w:w w:val="115"/>
        </w:rPr>
        <w:t>drunk</w:t>
      </w:r>
      <w:r>
        <w:rPr>
          <w:color w:val="3B383A"/>
          <w:spacing w:val="-8"/>
          <w:w w:val="115"/>
        </w:rPr>
        <w:t> </w:t>
      </w:r>
      <w:r>
        <w:rPr>
          <w:color w:val="3B383A"/>
          <w:w w:val="115"/>
        </w:rPr>
        <w:t>driving</w:t>
      </w:r>
      <w:r>
        <w:rPr>
          <w:color w:val="3B383A"/>
          <w:spacing w:val="-17"/>
          <w:w w:val="115"/>
        </w:rPr>
        <w:t> </w:t>
      </w:r>
      <w:r>
        <w:rPr>
          <w:color w:val="3B383A"/>
          <w:w w:val="115"/>
        </w:rPr>
        <w:t>in</w:t>
      </w:r>
      <w:r>
        <w:rPr>
          <w:color w:val="3B383A"/>
          <w:spacing w:val="-4"/>
          <w:w w:val="115"/>
        </w:rPr>
        <w:t> </w:t>
      </w:r>
      <w:r>
        <w:rPr>
          <w:color w:val="3B383A"/>
          <w:w w:val="115"/>
        </w:rPr>
        <w:t>your</w:t>
      </w:r>
    </w:p>
    <w:p>
      <w:pPr>
        <w:pStyle w:val="BodyText"/>
        <w:spacing w:before="14"/>
        <w:ind w:left="154"/>
        <w:jc w:val="both"/>
      </w:pPr>
      <w:r>
        <w:rPr>
          <w:color w:val="3B383A"/>
          <w:w w:val="110"/>
        </w:rPr>
        <w:t>state</w:t>
      </w:r>
      <w:r>
        <w:rPr>
          <w:color w:val="3B383A"/>
          <w:spacing w:val="3"/>
          <w:w w:val="110"/>
        </w:rPr>
        <w:t> </w:t>
      </w:r>
      <w:r>
        <w:rPr>
          <w:color w:val="3B383A"/>
          <w:w w:val="110"/>
        </w:rPr>
        <w:t>contains</w:t>
      </w:r>
      <w:r>
        <w:rPr>
          <w:color w:val="3B383A"/>
          <w:spacing w:val="14"/>
          <w:w w:val="110"/>
        </w:rPr>
        <w:t> </w:t>
      </w:r>
      <w:r>
        <w:rPr>
          <w:color w:val="3B383A"/>
          <w:w w:val="110"/>
        </w:rPr>
        <w:t>this</w:t>
      </w:r>
      <w:r>
        <w:rPr>
          <w:color w:val="3B383A"/>
          <w:spacing w:val="15"/>
          <w:w w:val="110"/>
        </w:rPr>
        <w:t> </w:t>
      </w:r>
      <w:r>
        <w:rPr>
          <w:color w:val="3B383A"/>
          <w:w w:val="110"/>
        </w:rPr>
        <w:t>language:</w:t>
      </w:r>
    </w:p>
    <w:p>
      <w:pPr>
        <w:spacing w:line="235" w:lineRule="auto" w:before="115"/>
        <w:ind w:left="520" w:right="517" w:firstLine="0"/>
        <w:jc w:val="both"/>
        <w:rPr>
          <w:sz w:val="21"/>
        </w:rPr>
      </w:pPr>
      <w:r>
        <w:rPr>
          <w:color w:val="3B383A"/>
          <w:w w:val="110"/>
          <w:sz w:val="21"/>
        </w:rPr>
        <w:t>Any person who operates any vehicle, streetcar, or trackless trolley within</w:t>
      </w:r>
      <w:r>
        <w:rPr>
          <w:color w:val="3B383A"/>
          <w:spacing w:val="1"/>
          <w:w w:val="110"/>
          <w:sz w:val="21"/>
        </w:rPr>
        <w:t> </w:t>
      </w:r>
      <w:r>
        <w:rPr>
          <w:color w:val="3B383A"/>
          <w:w w:val="110"/>
          <w:sz w:val="21"/>
        </w:rPr>
        <w:t>this state, may not, while operating the vehicle, streetcar, or trackless trol­</w:t>
      </w:r>
      <w:r>
        <w:rPr>
          <w:color w:val="3B383A"/>
          <w:spacing w:val="1"/>
          <w:w w:val="110"/>
          <w:sz w:val="21"/>
        </w:rPr>
        <w:t> </w:t>
      </w:r>
      <w:r>
        <w:rPr>
          <w:color w:val="3B383A"/>
          <w:w w:val="115"/>
          <w:sz w:val="21"/>
        </w:rPr>
        <w:t>ley,</w:t>
      </w:r>
      <w:r>
        <w:rPr>
          <w:color w:val="3B383A"/>
          <w:spacing w:val="-14"/>
          <w:w w:val="115"/>
          <w:sz w:val="21"/>
        </w:rPr>
        <w:t> </w:t>
      </w:r>
      <w:r>
        <w:rPr>
          <w:color w:val="3B383A"/>
          <w:w w:val="115"/>
          <w:sz w:val="21"/>
        </w:rPr>
        <w:t>be</w:t>
      </w:r>
      <w:r>
        <w:rPr>
          <w:color w:val="3B383A"/>
          <w:spacing w:val="18"/>
          <w:w w:val="115"/>
          <w:sz w:val="21"/>
        </w:rPr>
        <w:t> </w:t>
      </w:r>
      <w:r>
        <w:rPr>
          <w:color w:val="3B383A"/>
          <w:w w:val="115"/>
          <w:sz w:val="21"/>
        </w:rPr>
        <w:t>under</w:t>
      </w:r>
      <w:r>
        <w:rPr>
          <w:color w:val="3B383A"/>
          <w:spacing w:val="-1"/>
          <w:w w:val="115"/>
          <w:sz w:val="21"/>
        </w:rPr>
        <w:t> </w:t>
      </w:r>
      <w:r>
        <w:rPr>
          <w:color w:val="3B383A"/>
          <w:w w:val="115"/>
          <w:sz w:val="21"/>
        </w:rPr>
        <w:t>the</w:t>
      </w:r>
      <w:r>
        <w:rPr>
          <w:color w:val="3B383A"/>
          <w:spacing w:val="9"/>
          <w:w w:val="115"/>
          <w:sz w:val="21"/>
        </w:rPr>
        <w:t> </w:t>
      </w:r>
      <w:r>
        <w:rPr>
          <w:color w:val="3B383A"/>
          <w:w w:val="115"/>
          <w:sz w:val="21"/>
        </w:rPr>
        <w:t>Influence</w:t>
      </w:r>
      <w:r>
        <w:rPr>
          <w:color w:val="3B383A"/>
          <w:spacing w:val="-7"/>
          <w:w w:val="115"/>
          <w:sz w:val="21"/>
        </w:rPr>
        <w:t> </w:t>
      </w:r>
      <w:r>
        <w:rPr>
          <w:color w:val="3B383A"/>
          <w:w w:val="115"/>
          <w:sz w:val="21"/>
        </w:rPr>
        <w:t>of</w:t>
      </w:r>
      <w:r>
        <w:rPr>
          <w:color w:val="3B383A"/>
          <w:spacing w:val="-11"/>
          <w:w w:val="115"/>
          <w:sz w:val="21"/>
        </w:rPr>
        <w:t> </w:t>
      </w:r>
      <w:r>
        <w:rPr>
          <w:color w:val="3B383A"/>
          <w:w w:val="115"/>
          <w:sz w:val="21"/>
        </w:rPr>
        <w:t>alcohol,</w:t>
      </w:r>
      <w:r>
        <w:rPr>
          <w:color w:val="3B383A"/>
          <w:spacing w:val="-9"/>
          <w:w w:val="115"/>
          <w:sz w:val="21"/>
        </w:rPr>
        <w:t> </w:t>
      </w:r>
      <w:r>
        <w:rPr>
          <w:color w:val="3B383A"/>
          <w:w w:val="115"/>
          <w:sz w:val="21"/>
        </w:rPr>
        <w:t>a</w:t>
      </w:r>
      <w:r>
        <w:rPr>
          <w:color w:val="3B383A"/>
          <w:spacing w:val="-11"/>
          <w:w w:val="115"/>
          <w:sz w:val="21"/>
        </w:rPr>
        <w:t> </w:t>
      </w:r>
      <w:r>
        <w:rPr>
          <w:color w:val="3B383A"/>
          <w:w w:val="115"/>
          <w:sz w:val="21"/>
        </w:rPr>
        <w:t>drug</w:t>
      </w:r>
      <w:r>
        <w:rPr>
          <w:color w:val="3B383A"/>
          <w:spacing w:val="-15"/>
          <w:w w:val="115"/>
          <w:sz w:val="21"/>
        </w:rPr>
        <w:t> </w:t>
      </w:r>
      <w:r>
        <w:rPr>
          <w:color w:val="3B383A"/>
          <w:w w:val="115"/>
          <w:sz w:val="21"/>
        </w:rPr>
        <w:t>of</w:t>
      </w:r>
      <w:r>
        <w:rPr>
          <w:color w:val="3B383A"/>
          <w:spacing w:val="-2"/>
          <w:w w:val="115"/>
          <w:sz w:val="21"/>
        </w:rPr>
        <w:t> </w:t>
      </w:r>
      <w:r>
        <w:rPr>
          <w:color w:val="3B383A"/>
          <w:w w:val="115"/>
          <w:sz w:val="21"/>
        </w:rPr>
        <w:t>abuse,</w:t>
      </w:r>
      <w:r>
        <w:rPr>
          <w:color w:val="3B383A"/>
          <w:spacing w:val="-8"/>
          <w:w w:val="115"/>
          <w:sz w:val="21"/>
        </w:rPr>
        <w:t> </w:t>
      </w:r>
      <w:r>
        <w:rPr>
          <w:color w:val="3B383A"/>
          <w:w w:val="115"/>
          <w:sz w:val="21"/>
        </w:rPr>
        <w:t>or</w:t>
      </w:r>
      <w:r>
        <w:rPr>
          <w:color w:val="3B383A"/>
          <w:spacing w:val="3"/>
          <w:w w:val="115"/>
          <w:sz w:val="21"/>
        </w:rPr>
        <w:t> </w:t>
      </w:r>
      <w:r>
        <w:rPr>
          <w:color w:val="3B383A"/>
          <w:w w:val="115"/>
          <w:sz w:val="21"/>
        </w:rPr>
        <w:t>a</w:t>
      </w:r>
      <w:r>
        <w:rPr>
          <w:color w:val="3B383A"/>
          <w:spacing w:val="-9"/>
          <w:w w:val="115"/>
          <w:sz w:val="21"/>
        </w:rPr>
        <w:t> </w:t>
      </w:r>
      <w:r>
        <w:rPr>
          <w:color w:val="3B383A"/>
          <w:w w:val="115"/>
          <w:sz w:val="21"/>
        </w:rPr>
        <w:t>combination</w:t>
      </w:r>
      <w:r>
        <w:rPr>
          <w:color w:val="3B383A"/>
          <w:spacing w:val="-58"/>
          <w:w w:val="115"/>
          <w:sz w:val="21"/>
        </w:rPr>
        <w:t> </w:t>
      </w:r>
      <w:r>
        <w:rPr>
          <w:color w:val="3B383A"/>
          <w:w w:val="110"/>
          <w:sz w:val="21"/>
        </w:rPr>
        <w:t>of</w:t>
      </w:r>
      <w:r>
        <w:rPr>
          <w:color w:val="3B383A"/>
          <w:spacing w:val="4"/>
          <w:w w:val="110"/>
          <w:sz w:val="21"/>
        </w:rPr>
        <w:t> </w:t>
      </w:r>
      <w:r>
        <w:rPr>
          <w:color w:val="3B383A"/>
          <w:w w:val="110"/>
          <w:sz w:val="21"/>
        </w:rPr>
        <w:t>them,</w:t>
      </w:r>
      <w:r>
        <w:rPr>
          <w:color w:val="3B383A"/>
          <w:spacing w:val="-8"/>
          <w:w w:val="110"/>
          <w:sz w:val="21"/>
        </w:rPr>
        <w:t> </w:t>
      </w:r>
      <w:r>
        <w:rPr>
          <w:color w:val="3B383A"/>
          <w:w w:val="110"/>
          <w:sz w:val="21"/>
        </w:rPr>
        <w:t>as</w:t>
      </w:r>
      <w:r>
        <w:rPr>
          <w:color w:val="3B383A"/>
          <w:spacing w:val="-25"/>
          <w:w w:val="110"/>
          <w:sz w:val="21"/>
        </w:rPr>
        <w:t> </w:t>
      </w:r>
      <w:r>
        <w:rPr>
          <w:color w:val="3B383A"/>
          <w:w w:val="110"/>
          <w:sz w:val="21"/>
        </w:rPr>
        <w:t>specified</w:t>
      </w:r>
      <w:r>
        <w:rPr>
          <w:color w:val="3B383A"/>
          <w:spacing w:val="8"/>
          <w:w w:val="110"/>
          <w:sz w:val="21"/>
        </w:rPr>
        <w:t> </w:t>
      </w:r>
      <w:r>
        <w:rPr>
          <w:color w:val="3B383A"/>
          <w:w w:val="110"/>
          <w:sz w:val="21"/>
        </w:rPr>
        <w:t>in</w:t>
      </w:r>
      <w:r>
        <w:rPr>
          <w:color w:val="3B383A"/>
          <w:spacing w:val="10"/>
          <w:w w:val="110"/>
          <w:sz w:val="21"/>
        </w:rPr>
        <w:t> </w:t>
      </w:r>
      <w:r>
        <w:rPr>
          <w:color w:val="3B383A"/>
          <w:w w:val="110"/>
          <w:sz w:val="21"/>
        </w:rPr>
        <w:t>section</w:t>
      </w:r>
      <w:r>
        <w:rPr>
          <w:color w:val="3B383A"/>
          <w:spacing w:val="19"/>
          <w:w w:val="110"/>
          <w:sz w:val="21"/>
        </w:rPr>
        <w:t> </w:t>
      </w:r>
      <w:r>
        <w:rPr>
          <w:color w:val="3B383A"/>
          <w:w w:val="110"/>
          <w:sz w:val="21"/>
        </w:rPr>
        <w:t>B</w:t>
      </w:r>
      <w:r>
        <w:rPr>
          <w:color w:val="3B383A"/>
          <w:spacing w:val="-26"/>
          <w:w w:val="110"/>
          <w:sz w:val="21"/>
        </w:rPr>
        <w:t> </w:t>
      </w:r>
      <w:r>
        <w:rPr>
          <w:color w:val="3B383A"/>
          <w:w w:val="110"/>
          <w:sz w:val="21"/>
        </w:rPr>
        <w:t>of</w:t>
      </w:r>
      <w:r>
        <w:rPr>
          <w:color w:val="3B383A"/>
          <w:spacing w:val="7"/>
          <w:w w:val="110"/>
          <w:sz w:val="21"/>
        </w:rPr>
        <w:t> </w:t>
      </w:r>
      <w:r>
        <w:rPr>
          <w:color w:val="3B383A"/>
          <w:w w:val="110"/>
          <w:sz w:val="21"/>
        </w:rPr>
        <w:t>this</w:t>
      </w:r>
      <w:r>
        <w:rPr>
          <w:color w:val="3B383A"/>
          <w:spacing w:val="-12"/>
          <w:w w:val="110"/>
          <w:sz w:val="21"/>
        </w:rPr>
        <w:t> </w:t>
      </w:r>
      <w:r>
        <w:rPr>
          <w:color w:val="3B383A"/>
          <w:w w:val="110"/>
          <w:sz w:val="21"/>
        </w:rPr>
        <w:t>statute.</w:t>
      </w:r>
    </w:p>
    <w:p>
      <w:pPr>
        <w:pStyle w:val="BodyText"/>
        <w:spacing w:line="228" w:lineRule="auto" w:before="149"/>
        <w:ind w:left="166" w:right="115" w:firstLine="4"/>
        <w:jc w:val="both"/>
      </w:pPr>
      <w:r>
        <w:rPr>
          <w:color w:val="3B383A"/>
          <w:w w:val="115"/>
        </w:rPr>
        <w:t>Let us presume that you work for the state prosecutor, and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you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have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brought</w:t>
      </w:r>
      <w:r>
        <w:rPr>
          <w:color w:val="3B383A"/>
          <w:spacing w:val="-9"/>
          <w:w w:val="115"/>
        </w:rPr>
        <w:t> </w:t>
      </w:r>
      <w:r>
        <w:rPr>
          <w:color w:val="3B383A"/>
          <w:w w:val="115"/>
        </w:rPr>
        <w:t>charges</w:t>
      </w:r>
      <w:r>
        <w:rPr>
          <w:color w:val="3B383A"/>
          <w:spacing w:val="-5"/>
          <w:w w:val="115"/>
        </w:rPr>
        <w:t> </w:t>
      </w:r>
      <w:r>
        <w:rPr>
          <w:color w:val="3B383A"/>
          <w:w w:val="115"/>
        </w:rPr>
        <w:t>against</w:t>
      </w:r>
      <w:r>
        <w:rPr>
          <w:color w:val="3B383A"/>
          <w:spacing w:val="3"/>
          <w:w w:val="115"/>
        </w:rPr>
        <w:t> </w:t>
      </w:r>
      <w:r>
        <w:rPr>
          <w:color w:val="3B383A"/>
          <w:w w:val="115"/>
        </w:rPr>
        <w:t>a</w:t>
      </w:r>
      <w:r>
        <w:rPr>
          <w:color w:val="3B383A"/>
          <w:spacing w:val="-5"/>
          <w:w w:val="115"/>
        </w:rPr>
        <w:t> </w:t>
      </w:r>
      <w:r>
        <w:rPr>
          <w:color w:val="3B383A"/>
          <w:w w:val="115"/>
        </w:rPr>
        <w:t>defendant</w:t>
      </w:r>
      <w:r>
        <w:rPr>
          <w:color w:val="3B383A"/>
          <w:spacing w:val="8"/>
          <w:w w:val="115"/>
        </w:rPr>
        <w:t> </w:t>
      </w:r>
      <w:r>
        <w:rPr>
          <w:color w:val="3B383A"/>
          <w:w w:val="115"/>
        </w:rPr>
        <w:t>who</w:t>
      </w:r>
      <w:r>
        <w:rPr>
          <w:color w:val="3B383A"/>
          <w:spacing w:val="-12"/>
          <w:w w:val="115"/>
        </w:rPr>
        <w:t> </w:t>
      </w:r>
      <w:r>
        <w:rPr>
          <w:color w:val="3B383A"/>
          <w:w w:val="115"/>
        </w:rPr>
        <w:t>wasarrested</w:t>
      </w:r>
      <w:r>
        <w:rPr>
          <w:color w:val="3B383A"/>
          <w:spacing w:val="7"/>
          <w:w w:val="115"/>
        </w:rPr>
        <w:t> </w:t>
      </w:r>
      <w:r>
        <w:rPr>
          <w:color w:val="3B383A"/>
          <w:w w:val="115"/>
        </w:rPr>
        <w:t>while</w:t>
      </w:r>
      <w:r>
        <w:rPr>
          <w:color w:val="3B383A"/>
          <w:spacing w:val="-2"/>
          <w:w w:val="115"/>
        </w:rPr>
        <w:t> </w:t>
      </w:r>
      <w:r>
        <w:rPr>
          <w:color w:val="3B383A"/>
          <w:w w:val="115"/>
        </w:rPr>
        <w:t>sitting</w:t>
      </w:r>
      <w:r>
        <w:rPr>
          <w:color w:val="3B383A"/>
          <w:spacing w:val="-8"/>
          <w:w w:val="115"/>
        </w:rPr>
        <w:t> </w:t>
      </w:r>
      <w:r>
        <w:rPr>
          <w:color w:val="3B383A"/>
          <w:w w:val="115"/>
        </w:rPr>
        <w:t>in</w:t>
      </w:r>
      <w:r>
        <w:rPr>
          <w:color w:val="3B383A"/>
          <w:spacing w:val="17"/>
          <w:w w:val="115"/>
        </w:rPr>
        <w:t> </w:t>
      </w:r>
      <w:r>
        <w:rPr>
          <w:color w:val="3B383A"/>
          <w:w w:val="115"/>
        </w:rPr>
        <w:t>the</w:t>
      </w:r>
    </w:p>
    <w:p>
      <w:pPr>
        <w:spacing w:after="0" w:line="228" w:lineRule="auto"/>
        <w:jc w:val="both"/>
        <w:sectPr>
          <w:type w:val="continuous"/>
          <w:pgSz w:w="9570" w:h="13730"/>
          <w:pgMar w:header="463" w:footer="0" w:top="340" w:bottom="280" w:left="480" w:right="1080"/>
        </w:sectPr>
      </w:pPr>
    </w:p>
    <w:p>
      <w:pPr>
        <w:pStyle w:val="BodyText"/>
        <w:spacing w:line="230" w:lineRule="auto" w:before="89"/>
        <w:ind w:left="704" w:right="24" w:firstLine="23"/>
        <w:jc w:val="both"/>
      </w:pPr>
      <w:r>
        <w:rPr>
          <w:color w:val="3B3A3B"/>
          <w:w w:val="105"/>
        </w:rPr>
        <w:t>driver's seat of her car, a Chevy Impala, parked on the side of a highway.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She admitted that she drank four beers earlier that evening, and sobriety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tests showed an illegal level of alcohol in her blood. In order to establish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that she violated the statute, you would have to prove the following ele­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ments</w:t>
      </w:r>
      <w:r>
        <w:rPr>
          <w:color w:val="3B3A3B"/>
          <w:spacing w:val="-8"/>
          <w:w w:val="105"/>
        </w:rPr>
        <w:t> </w:t>
      </w:r>
      <w:r>
        <w:rPr>
          <w:color w:val="3B3A3B"/>
          <w:w w:val="105"/>
        </w:rPr>
        <w:t>(words</w:t>
      </w:r>
      <w:r>
        <w:rPr>
          <w:color w:val="3B3A3B"/>
          <w:spacing w:val="-9"/>
          <w:w w:val="105"/>
        </w:rPr>
        <w:t> </w:t>
      </w:r>
      <w:r>
        <w:rPr>
          <w:color w:val="3B3A3B"/>
          <w:w w:val="105"/>
        </w:rPr>
        <w:t>signaling</w:t>
      </w:r>
      <w:r>
        <w:rPr>
          <w:color w:val="3B3A3B"/>
          <w:spacing w:val="-12"/>
          <w:w w:val="105"/>
        </w:rPr>
        <w:t> </w:t>
      </w:r>
      <w:r>
        <w:rPr>
          <w:color w:val="3B3A3B"/>
          <w:w w:val="105"/>
        </w:rPr>
        <w:t>elements</w:t>
      </w:r>
      <w:r>
        <w:rPr>
          <w:color w:val="3B3A3B"/>
          <w:spacing w:val="-11"/>
          <w:w w:val="105"/>
        </w:rPr>
        <w:t> </w:t>
      </w:r>
      <w:r>
        <w:rPr>
          <w:color w:val="3B3A3B"/>
          <w:w w:val="105"/>
        </w:rPr>
        <w:t>are</w:t>
      </w:r>
      <w:r>
        <w:rPr>
          <w:color w:val="3B3A3B"/>
          <w:spacing w:val="-6"/>
          <w:w w:val="105"/>
        </w:rPr>
        <w:t> </w:t>
      </w:r>
      <w:r>
        <w:rPr>
          <w:color w:val="3B3A3B"/>
          <w:w w:val="105"/>
        </w:rPr>
        <w:t>underlined):</w:t>
      </w:r>
    </w:p>
    <w:p>
      <w:pPr>
        <w:spacing w:line="253" w:lineRule="exact" w:before="128"/>
        <w:ind w:left="1050" w:right="0" w:firstLine="0"/>
        <w:jc w:val="both"/>
        <w:rPr>
          <w:sz w:val="22"/>
        </w:rPr>
      </w:pPr>
      <w:r>
        <w:rPr>
          <w:color w:val="3B3A3B"/>
          <w:w w:val="105"/>
          <w:sz w:val="22"/>
        </w:rPr>
        <w:t>Defendant</w:t>
      </w:r>
      <w:r>
        <w:rPr>
          <w:color w:val="3B3A3B"/>
          <w:spacing w:val="35"/>
          <w:w w:val="105"/>
          <w:sz w:val="22"/>
        </w:rPr>
        <w:t> </w:t>
      </w:r>
      <w:r>
        <w:rPr>
          <w:color w:val="3B3A3B"/>
          <w:w w:val="105"/>
          <w:sz w:val="23"/>
        </w:rPr>
        <w:t>is</w:t>
      </w:r>
      <w:r>
        <w:rPr>
          <w:color w:val="3B3A3B"/>
          <w:spacing w:val="-9"/>
          <w:w w:val="105"/>
          <w:sz w:val="23"/>
        </w:rPr>
        <w:t> </w:t>
      </w:r>
      <w:r>
        <w:rPr>
          <w:color w:val="3B3A3B"/>
          <w:w w:val="105"/>
          <w:sz w:val="22"/>
        </w:rPr>
        <w:t>a</w:t>
      </w:r>
      <w:r>
        <w:rPr>
          <w:color w:val="3B3A3B"/>
          <w:spacing w:val="48"/>
          <w:w w:val="105"/>
          <w:sz w:val="22"/>
        </w:rPr>
        <w:t> </w:t>
      </w:r>
      <w:r>
        <w:rPr>
          <w:color w:val="3B3A3B"/>
          <w:w w:val="105"/>
          <w:sz w:val="22"/>
          <w:u w:val="thick" w:color="3B3A3B"/>
        </w:rPr>
        <w:t>person</w:t>
      </w:r>
      <w:r>
        <w:rPr>
          <w:color w:val="3B3A3B"/>
          <w:spacing w:val="34"/>
          <w:w w:val="105"/>
          <w:sz w:val="22"/>
        </w:rPr>
        <w:t> </w:t>
      </w:r>
      <w:r>
        <w:rPr>
          <w:color w:val="3B3A3B"/>
          <w:w w:val="105"/>
          <w:sz w:val="22"/>
        </w:rPr>
        <w:t>who</w:t>
      </w:r>
      <w:r>
        <w:rPr>
          <w:color w:val="3B3A3B"/>
          <w:spacing w:val="16"/>
          <w:w w:val="105"/>
          <w:sz w:val="22"/>
        </w:rPr>
        <w:t> </w:t>
      </w:r>
      <w:r>
        <w:rPr>
          <w:color w:val="3B3A3B"/>
          <w:w w:val="105"/>
          <w:sz w:val="22"/>
        </w:rPr>
        <w:t>was</w:t>
      </w:r>
      <w:r>
        <w:rPr>
          <w:color w:val="3B3A3B"/>
          <w:spacing w:val="-3"/>
          <w:w w:val="105"/>
          <w:sz w:val="22"/>
        </w:rPr>
        <w:t> </w:t>
      </w:r>
      <w:r>
        <w:rPr>
          <w:color w:val="3B3A3B"/>
          <w:w w:val="105"/>
          <w:sz w:val="22"/>
          <w:u w:val="thick" w:color="3B3A3B"/>
        </w:rPr>
        <w:t>operating</w:t>
      </w:r>
      <w:r>
        <w:rPr>
          <w:color w:val="3B3A3B"/>
          <w:spacing w:val="16"/>
          <w:w w:val="105"/>
          <w:sz w:val="22"/>
        </w:rPr>
        <w:t> </w:t>
      </w:r>
      <w:r>
        <w:rPr>
          <w:color w:val="3B3A3B"/>
          <w:w w:val="105"/>
          <w:sz w:val="22"/>
        </w:rPr>
        <w:t>a</w:t>
      </w:r>
      <w:r>
        <w:rPr>
          <w:color w:val="3B3A3B"/>
          <w:spacing w:val="26"/>
          <w:w w:val="105"/>
          <w:sz w:val="22"/>
        </w:rPr>
        <w:t> </w:t>
      </w:r>
      <w:r>
        <w:rPr>
          <w:color w:val="3B3A3B"/>
          <w:w w:val="105"/>
          <w:sz w:val="22"/>
          <w:u w:val="thick" w:color="3B3A3B"/>
        </w:rPr>
        <w:t>vehicle</w:t>
      </w:r>
      <w:r>
        <w:rPr>
          <w:color w:val="3B3A3B"/>
          <w:spacing w:val="24"/>
          <w:w w:val="105"/>
          <w:sz w:val="22"/>
        </w:rPr>
        <w:t> </w:t>
      </w:r>
      <w:r>
        <w:rPr>
          <w:color w:val="3B3A3B"/>
          <w:w w:val="105"/>
          <w:sz w:val="22"/>
        </w:rPr>
        <w:t>while</w:t>
      </w:r>
      <w:r>
        <w:rPr>
          <w:color w:val="3B3A3B"/>
          <w:spacing w:val="33"/>
          <w:w w:val="105"/>
          <w:sz w:val="22"/>
        </w:rPr>
        <w:t> </w:t>
      </w:r>
      <w:r>
        <w:rPr>
          <w:color w:val="3B3A3B"/>
          <w:w w:val="105"/>
          <w:sz w:val="22"/>
          <w:u w:val="thick" w:color="3B3A3B"/>
        </w:rPr>
        <w:t>under</w:t>
      </w:r>
      <w:r>
        <w:rPr>
          <w:color w:val="3B3A3B"/>
          <w:spacing w:val="29"/>
          <w:w w:val="105"/>
          <w:sz w:val="22"/>
          <w:u w:val="thick" w:color="3B3A3B"/>
        </w:rPr>
        <w:t> </w:t>
      </w:r>
      <w:r>
        <w:rPr>
          <w:color w:val="3B3A3B"/>
          <w:w w:val="105"/>
          <w:sz w:val="22"/>
          <w:u w:val="thick" w:color="3B3A3B"/>
        </w:rPr>
        <w:t>the</w:t>
      </w:r>
    </w:p>
    <w:p>
      <w:pPr>
        <w:spacing w:line="276" w:lineRule="exact" w:before="0"/>
        <w:ind w:left="1036" w:right="0" w:firstLine="0"/>
        <w:jc w:val="both"/>
        <w:rPr>
          <w:sz w:val="22"/>
        </w:rPr>
      </w:pPr>
      <w:r>
        <w:rPr>
          <w:color w:val="3B3A3B"/>
          <w:w w:val="95"/>
          <w:sz w:val="25"/>
          <w:u w:val="thick" w:color="3B3A3B"/>
        </w:rPr>
        <w:t>influence</w:t>
      </w:r>
      <w:r>
        <w:rPr>
          <w:color w:val="3B3A3B"/>
          <w:spacing w:val="5"/>
          <w:w w:val="95"/>
          <w:sz w:val="25"/>
          <w:u w:val="thick" w:color="3B3A3B"/>
        </w:rPr>
        <w:t> </w:t>
      </w:r>
      <w:r>
        <w:rPr>
          <w:color w:val="3B3A3B"/>
          <w:w w:val="95"/>
          <w:sz w:val="22"/>
          <w:u w:val="thick" w:color="3B3A3B"/>
        </w:rPr>
        <w:t>of</w:t>
      </w:r>
      <w:r>
        <w:rPr>
          <w:color w:val="3B3A3B"/>
          <w:spacing w:val="11"/>
          <w:w w:val="95"/>
          <w:sz w:val="22"/>
          <w:u w:val="thick" w:color="3B3A3B"/>
        </w:rPr>
        <w:t> </w:t>
      </w:r>
      <w:r>
        <w:rPr>
          <w:color w:val="3B3A3B"/>
          <w:w w:val="95"/>
          <w:sz w:val="22"/>
          <w:u w:val="thick" w:color="3B3A3B"/>
        </w:rPr>
        <w:t>alcohol</w:t>
      </w:r>
      <w:r>
        <w:rPr>
          <w:color w:val="3B3A3B"/>
          <w:w w:val="95"/>
          <w:sz w:val="22"/>
        </w:rPr>
        <w:t>.</w:t>
      </w:r>
    </w:p>
    <w:p>
      <w:pPr>
        <w:pStyle w:val="BodyText"/>
        <w:spacing w:line="225" w:lineRule="auto" w:before="110"/>
        <w:ind w:left="599" w:right="53" w:firstLine="82"/>
        <w:jc w:val="both"/>
      </w:pPr>
      <w:r>
        <w:rPr>
          <w:color w:val="3B3A3B"/>
          <w:w w:val="110"/>
        </w:rPr>
        <w:t>In your written analysis, you would not spend any time explaining that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10"/>
        </w:rPr>
        <w:t>the defendant, </w:t>
      </w:r>
      <w:r>
        <w:rPr>
          <w:b/>
          <w:color w:val="3B3A3B"/>
          <w:w w:val="110"/>
          <w:sz w:val="25"/>
        </w:rPr>
        <w:t>as a </w:t>
      </w:r>
      <w:r>
        <w:rPr>
          <w:color w:val="3B3A3B"/>
          <w:w w:val="110"/>
        </w:rPr>
        <w:t>human being, is a "person" under the statute. You</w:t>
      </w:r>
      <w:r>
        <w:rPr>
          <w:color w:val="3B3A3B"/>
          <w:spacing w:val="1"/>
          <w:w w:val="110"/>
        </w:rPr>
        <w:t> </w:t>
      </w:r>
      <w:r>
        <w:rPr>
          <w:color w:val="3B3A3B"/>
          <w:spacing w:val="-1"/>
          <w:w w:val="105"/>
        </w:rPr>
        <w:t>could ignore this issue. </w:t>
      </w:r>
      <w:r>
        <w:rPr>
          <w:color w:val="3B3A3B"/>
          <w:w w:val="105"/>
        </w:rPr>
        <w:t>Likewise, in  this case, you would not expend even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  <w:sz w:val="24"/>
        </w:rPr>
        <w:t>a </w:t>
      </w:r>
      <w:r>
        <w:rPr>
          <w:color w:val="3B3A3B"/>
          <w:w w:val="105"/>
        </w:rPr>
        <w:t>sentence </w:t>
      </w:r>
      <w:r>
        <w:rPr>
          <w:i/>
          <w:color w:val="3B3A3B"/>
          <w:w w:val="105"/>
          <w:sz w:val="24"/>
        </w:rPr>
        <w:t>to </w:t>
      </w:r>
      <w:r>
        <w:rPr>
          <w:color w:val="3B3A3B"/>
          <w:w w:val="105"/>
        </w:rPr>
        <w:t>say "a Chevy Impala, an automobile, is a 'vehicle' under the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10"/>
        </w:rPr>
        <w:t>statute.</w:t>
      </w:r>
      <w:r>
        <w:rPr>
          <w:color w:val="59595B"/>
          <w:w w:val="110"/>
        </w:rPr>
        <w:t>" </w:t>
      </w:r>
      <w:r>
        <w:rPr>
          <w:color w:val="3B3A3B"/>
          <w:w w:val="110"/>
          <w:sz w:val="21"/>
        </w:rPr>
        <w:t>In </w:t>
      </w:r>
      <w:r>
        <w:rPr>
          <w:color w:val="3B3A3B"/>
          <w:w w:val="110"/>
        </w:rPr>
        <w:t>another case, however, whether the person was operating a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05"/>
        </w:rPr>
        <w:t>"vehicle" might well be at </w:t>
      </w:r>
      <w:r>
        <w:rPr>
          <w:i/>
          <w:color w:val="3B3A3B"/>
          <w:w w:val="105"/>
          <w:sz w:val="26"/>
        </w:rPr>
        <w:t>issue. </w:t>
      </w:r>
      <w:r>
        <w:rPr>
          <w:color w:val="3B3A3B"/>
          <w:w w:val="105"/>
        </w:rPr>
        <w:t>In </w:t>
      </w:r>
      <w:r>
        <w:rPr>
          <w:color w:val="3B3A3B"/>
          <w:w w:val="105"/>
          <w:sz w:val="22"/>
        </w:rPr>
        <w:t>2009, </w:t>
      </w:r>
      <w:r>
        <w:rPr>
          <w:color w:val="3B3A3B"/>
          <w:w w:val="105"/>
        </w:rPr>
        <w:t>an Ohio man was arrested for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10"/>
        </w:rPr>
        <w:t>operating a motorized barstool while intoxicated. In that situation,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05"/>
        </w:rPr>
        <w:t>state</w:t>
      </w:r>
      <w:r>
        <w:rPr>
          <w:color w:val="3B3A3B"/>
          <w:spacing w:val="-19"/>
          <w:w w:val="105"/>
        </w:rPr>
        <w:t> </w:t>
      </w:r>
      <w:r>
        <w:rPr>
          <w:color w:val="3B3A3B"/>
          <w:w w:val="105"/>
        </w:rPr>
        <w:t>should</w:t>
      </w:r>
      <w:r>
        <w:rPr>
          <w:color w:val="3B3A3B"/>
          <w:spacing w:val="20"/>
          <w:w w:val="105"/>
        </w:rPr>
        <w:t> </w:t>
      </w:r>
      <w:r>
        <w:rPr>
          <w:color w:val="3B3A3B"/>
          <w:w w:val="105"/>
        </w:rPr>
        <w:t>not</w:t>
      </w:r>
      <w:r>
        <w:rPr>
          <w:color w:val="3B3A3B"/>
          <w:spacing w:val="39"/>
          <w:w w:val="105"/>
        </w:rPr>
        <w:t> </w:t>
      </w:r>
      <w:r>
        <w:rPr>
          <w:color w:val="3B3A3B"/>
          <w:w w:val="105"/>
        </w:rPr>
        <w:t>treat</w:t>
      </w:r>
      <w:r>
        <w:rPr>
          <w:color w:val="3B3A3B"/>
          <w:spacing w:val="9"/>
          <w:w w:val="105"/>
        </w:rPr>
        <w:t> </w:t>
      </w:r>
      <w:r>
        <w:rPr>
          <w:color w:val="3B3A3B"/>
          <w:w w:val="105"/>
        </w:rPr>
        <w:t>the</w:t>
      </w:r>
      <w:r>
        <w:rPr>
          <w:color w:val="3B3A3B"/>
          <w:spacing w:val="14"/>
          <w:w w:val="105"/>
        </w:rPr>
        <w:t> </w:t>
      </w:r>
      <w:r>
        <w:rPr>
          <w:color w:val="3B3A3B"/>
          <w:w w:val="105"/>
        </w:rPr>
        <w:t>"vehicle"</w:t>
      </w:r>
      <w:r>
        <w:rPr>
          <w:color w:val="3B3A3B"/>
          <w:spacing w:val="-10"/>
          <w:w w:val="105"/>
        </w:rPr>
        <w:t> </w:t>
      </w:r>
      <w:r>
        <w:rPr>
          <w:color w:val="3B3A3B"/>
          <w:w w:val="105"/>
        </w:rPr>
        <w:t>element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as</w:t>
      </w:r>
      <w:r>
        <w:rPr>
          <w:color w:val="3B3A3B"/>
          <w:spacing w:val="-10"/>
          <w:w w:val="105"/>
        </w:rPr>
        <w:t> </w:t>
      </w:r>
      <w:r>
        <w:rPr>
          <w:color w:val="3B3A3B"/>
          <w:w w:val="105"/>
        </w:rPr>
        <w:t>an</w:t>
      </w:r>
      <w:r>
        <w:rPr>
          <w:color w:val="3B3A3B"/>
          <w:spacing w:val="12"/>
          <w:w w:val="105"/>
        </w:rPr>
        <w:t> </w:t>
      </w:r>
      <w:r>
        <w:rPr>
          <w:color w:val="3B3A3B"/>
          <w:w w:val="105"/>
        </w:rPr>
        <w:t>Ignore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issue.</w:t>
      </w:r>
    </w:p>
    <w:p>
      <w:pPr>
        <w:pStyle w:val="BodyText"/>
        <w:spacing w:line="232" w:lineRule="auto" w:before="11"/>
        <w:ind w:left="542" w:right="89" w:firstLine="369"/>
        <w:jc w:val="both"/>
      </w:pPr>
      <w:r>
        <w:rPr>
          <w:color w:val="3B3A3B"/>
          <w:w w:val="110"/>
        </w:rPr>
        <w:t>Thus, if an element is so obviously met that there could be no doubt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05"/>
        </w:rPr>
        <w:t>in your reader's </w:t>
      </w:r>
      <w:r>
        <w:rPr>
          <w:rFonts w:ascii="Arial" w:hAnsi="Arial"/>
          <w:i/>
          <w:color w:val="3B3A3B"/>
          <w:w w:val="105"/>
          <w:sz w:val="21"/>
        </w:rPr>
        <w:t>mind </w:t>
      </w:r>
      <w:r>
        <w:rPr>
          <w:color w:val="3B3A3B"/>
          <w:w w:val="105"/>
        </w:rPr>
        <w:t>that it is satisfied in  this case, you should ignore it.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Do</w:t>
      </w:r>
      <w:r>
        <w:rPr>
          <w:color w:val="3B3A3B"/>
          <w:spacing w:val="-32"/>
          <w:w w:val="105"/>
        </w:rPr>
        <w:t> </w:t>
      </w:r>
      <w:r>
        <w:rPr>
          <w:color w:val="3B3A3B"/>
          <w:w w:val="105"/>
        </w:rPr>
        <w:t>not,</w:t>
      </w:r>
      <w:r>
        <w:rPr>
          <w:color w:val="3B3A3B"/>
          <w:spacing w:val="-27"/>
          <w:w w:val="105"/>
        </w:rPr>
        <w:t> </w:t>
      </w:r>
      <w:r>
        <w:rPr>
          <w:color w:val="3B3A3B"/>
          <w:w w:val="105"/>
        </w:rPr>
        <w:t>however,</w:t>
      </w:r>
      <w:r>
        <w:rPr>
          <w:color w:val="3B3A3B"/>
          <w:spacing w:val="-11"/>
          <w:w w:val="105"/>
        </w:rPr>
        <w:t> </w:t>
      </w:r>
      <w:r>
        <w:rPr>
          <w:color w:val="3B3A3B"/>
          <w:w w:val="105"/>
        </w:rPr>
        <w:t>Jet</w:t>
      </w:r>
      <w:r>
        <w:rPr>
          <w:color w:val="3B3A3B"/>
          <w:spacing w:val="-1"/>
          <w:w w:val="105"/>
        </w:rPr>
        <w:t> </w:t>
      </w:r>
      <w:r>
        <w:rPr>
          <w:color w:val="3B3A3B"/>
          <w:w w:val="105"/>
        </w:rPr>
        <w:t>yourself</w:t>
      </w:r>
      <w:r>
        <w:rPr>
          <w:color w:val="3B3A3B"/>
          <w:spacing w:val="27"/>
          <w:w w:val="105"/>
        </w:rPr>
        <w:t> </w:t>
      </w:r>
      <w:r>
        <w:rPr>
          <w:color w:val="3B3A3B"/>
          <w:w w:val="105"/>
        </w:rPr>
        <w:t>be</w:t>
      </w:r>
      <w:r>
        <w:rPr>
          <w:color w:val="3B3A3B"/>
          <w:spacing w:val="-6"/>
          <w:w w:val="105"/>
        </w:rPr>
        <w:t> </w:t>
      </w:r>
      <w:r>
        <w:rPr>
          <w:color w:val="3B3A3B"/>
          <w:w w:val="105"/>
        </w:rPr>
        <w:t>lulled</w:t>
      </w:r>
      <w:r>
        <w:rPr>
          <w:color w:val="3B3A3B"/>
          <w:spacing w:val="-5"/>
          <w:w w:val="105"/>
        </w:rPr>
        <w:t> </w:t>
      </w:r>
      <w:r>
        <w:rPr>
          <w:color w:val="3B3A3B"/>
          <w:w w:val="105"/>
        </w:rPr>
        <w:t>into</w:t>
      </w:r>
      <w:r>
        <w:rPr>
          <w:color w:val="3B3A3B"/>
          <w:spacing w:val="-18"/>
          <w:w w:val="105"/>
        </w:rPr>
        <w:t> </w:t>
      </w:r>
      <w:r>
        <w:rPr>
          <w:color w:val="3B3A3B"/>
          <w:w w:val="105"/>
        </w:rPr>
        <w:t>a</w:t>
      </w:r>
      <w:r>
        <w:rPr>
          <w:color w:val="3B3A3B"/>
          <w:spacing w:val="-24"/>
          <w:w w:val="105"/>
        </w:rPr>
        <w:t> </w:t>
      </w:r>
      <w:r>
        <w:rPr>
          <w:color w:val="3B3A3B"/>
          <w:w w:val="105"/>
        </w:rPr>
        <w:t>false</w:t>
      </w:r>
      <w:r>
        <w:rPr>
          <w:color w:val="3B3A3B"/>
          <w:spacing w:val="-7"/>
          <w:w w:val="105"/>
        </w:rPr>
        <w:t> </w:t>
      </w:r>
      <w:r>
        <w:rPr>
          <w:color w:val="3B3A3B"/>
          <w:w w:val="105"/>
        </w:rPr>
        <w:t>belief</w:t>
      </w:r>
      <w:r>
        <w:rPr>
          <w:color w:val="3B3A3B"/>
          <w:spacing w:val="17"/>
          <w:w w:val="105"/>
        </w:rPr>
        <w:t> </w:t>
      </w:r>
      <w:r>
        <w:rPr>
          <w:color w:val="3B3A3B"/>
          <w:w w:val="105"/>
        </w:rPr>
        <w:t>that</w:t>
      </w:r>
      <w:r>
        <w:rPr>
          <w:color w:val="3B3A3B"/>
          <w:spacing w:val="-6"/>
          <w:w w:val="105"/>
        </w:rPr>
        <w:t> </w:t>
      </w:r>
      <w:r>
        <w:rPr>
          <w:color w:val="3B3A3B"/>
          <w:w w:val="105"/>
        </w:rPr>
        <w:t>an</w:t>
      </w:r>
      <w:r>
        <w:rPr>
          <w:color w:val="3B3A3B"/>
          <w:spacing w:val="-2"/>
          <w:w w:val="105"/>
        </w:rPr>
        <w:t> </w:t>
      </w:r>
      <w:r>
        <w:rPr>
          <w:color w:val="3B3A3B"/>
          <w:w w:val="105"/>
        </w:rPr>
        <w:t>issue</w:t>
      </w:r>
      <w:r>
        <w:rPr>
          <w:color w:val="3B3A3B"/>
          <w:spacing w:val="-29"/>
          <w:w w:val="105"/>
        </w:rPr>
        <w:t> </w:t>
      </w:r>
      <w:r>
        <w:rPr>
          <w:i/>
          <w:color w:val="3B3A3B"/>
          <w:w w:val="105"/>
          <w:sz w:val="22"/>
        </w:rPr>
        <w:t>is</w:t>
      </w:r>
      <w:r>
        <w:rPr>
          <w:i/>
          <w:color w:val="3B3A3B"/>
          <w:spacing w:val="10"/>
          <w:w w:val="105"/>
          <w:sz w:val="22"/>
        </w:rPr>
        <w:t> </w:t>
      </w:r>
      <w:r>
        <w:rPr>
          <w:color w:val="3B3A3B"/>
          <w:w w:val="105"/>
        </w:rPr>
        <w:t>not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controversial. For example,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you  might  believe that "operating" a  vehicle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is the same as driving and  presume  that someone sitting in  a  parked  car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is not legally operating the car</w:t>
      </w:r>
      <w:r>
        <w:rPr>
          <w:color w:val="59595B"/>
          <w:w w:val="105"/>
        </w:rPr>
        <w:t>. </w:t>
      </w:r>
      <w:r>
        <w:rPr>
          <w:color w:val="3B3A3B"/>
          <w:w w:val="105"/>
        </w:rPr>
        <w:t>Research</w:t>
      </w:r>
      <w:r>
        <w:rPr>
          <w:color w:val="59595B"/>
          <w:w w:val="105"/>
        </w:rPr>
        <w:t>, </w:t>
      </w:r>
      <w:r>
        <w:rPr>
          <w:color w:val="3B3A3B"/>
          <w:w w:val="105"/>
        </w:rPr>
        <w:t>however, might well reveal that</w:t>
      </w:r>
      <w:r>
        <w:rPr>
          <w:color w:val="3B3A3B"/>
          <w:spacing w:val="1"/>
          <w:w w:val="105"/>
        </w:rPr>
        <w:t> </w:t>
      </w:r>
      <w:r>
        <w:rPr>
          <w:color w:val="59595B"/>
          <w:w w:val="110"/>
        </w:rPr>
        <w:t>"</w:t>
      </w:r>
      <w:r>
        <w:rPr>
          <w:color w:val="3B3A3B"/>
          <w:w w:val="110"/>
        </w:rPr>
        <w:t>operation" includes sitting behind the driver's seat in a car whose gear-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10"/>
          <w:sz w:val="21"/>
        </w:rPr>
        <w:t>shift</w:t>
      </w:r>
      <w:r>
        <w:rPr>
          <w:color w:val="3B3A3B"/>
          <w:spacing w:val="-10"/>
          <w:w w:val="110"/>
          <w:sz w:val="21"/>
        </w:rPr>
        <w:t> </w:t>
      </w:r>
      <w:r>
        <w:rPr>
          <w:color w:val="3B3A3B"/>
          <w:w w:val="110"/>
          <w:sz w:val="21"/>
        </w:rPr>
        <w:t>is</w:t>
      </w:r>
      <w:r>
        <w:rPr>
          <w:color w:val="3B3A3B"/>
          <w:spacing w:val="-9"/>
          <w:w w:val="110"/>
          <w:sz w:val="21"/>
        </w:rPr>
        <w:t> </w:t>
      </w:r>
      <w:r>
        <w:rPr>
          <w:color w:val="3B3A3B"/>
          <w:w w:val="110"/>
        </w:rPr>
        <w:t>in</w:t>
      </w:r>
      <w:r>
        <w:rPr>
          <w:color w:val="3B3A3B"/>
          <w:spacing w:val="-1"/>
          <w:w w:val="110"/>
        </w:rPr>
        <w:t> </w:t>
      </w:r>
      <w:r>
        <w:rPr>
          <w:color w:val="3B3A3B"/>
          <w:w w:val="110"/>
        </w:rPr>
        <w:t>park.'</w:t>
      </w:r>
      <w:r>
        <w:rPr>
          <w:color w:val="3B3A3B"/>
          <w:spacing w:val="10"/>
          <w:w w:val="110"/>
        </w:rPr>
        <w:t> </w:t>
      </w:r>
      <w:r>
        <w:rPr>
          <w:color w:val="59595B"/>
          <w:w w:val="110"/>
        </w:rPr>
        <w:t>·</w:t>
      </w:r>
    </w:p>
    <w:p>
      <w:pPr>
        <w:pStyle w:val="BodyText"/>
        <w:spacing w:before="2"/>
        <w:rPr>
          <w:sz w:val="36"/>
        </w:rPr>
      </w:pPr>
    </w:p>
    <w:p>
      <w:pPr>
        <w:spacing w:before="0"/>
        <w:ind w:left="868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3B3A3B"/>
          <w:w w:val="105"/>
          <w:sz w:val="27"/>
        </w:rPr>
        <w:t>5.2.2</w:t>
      </w:r>
    </w:p>
    <w:p>
      <w:pPr>
        <w:spacing w:before="45"/>
        <w:ind w:left="856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3B3A3B"/>
          <w:w w:val="90"/>
          <w:sz w:val="22"/>
        </w:rPr>
        <w:t>TELL</w:t>
      </w:r>
      <w:r>
        <w:rPr>
          <w:rFonts w:ascii="Arial"/>
          <w:b/>
          <w:color w:val="3B3A3B"/>
          <w:spacing w:val="-8"/>
          <w:w w:val="90"/>
          <w:sz w:val="22"/>
        </w:rPr>
        <w:t> </w:t>
      </w:r>
      <w:r>
        <w:rPr>
          <w:rFonts w:ascii="Arial"/>
          <w:b/>
          <w:color w:val="3B3A3B"/>
          <w:w w:val="90"/>
          <w:sz w:val="22"/>
        </w:rPr>
        <w:t>ISSUES</w:t>
      </w:r>
    </w:p>
    <w:p>
      <w:pPr>
        <w:pStyle w:val="BodyText"/>
        <w:spacing w:line="223" w:lineRule="auto" w:before="149"/>
        <w:ind w:left="444" w:right="124" w:firstLine="395"/>
        <w:jc w:val="both"/>
      </w:pPr>
      <w:r>
        <w:rPr>
          <w:b/>
          <w:color w:val="3B3A3B"/>
          <w:sz w:val="22"/>
        </w:rPr>
        <w:t>As its </w:t>
      </w:r>
      <w:r>
        <w:rPr>
          <w:color w:val="3B3A3B"/>
        </w:rPr>
        <w:t>name implies, a writer includes a </w:t>
      </w:r>
      <w:r>
        <w:rPr>
          <w:i/>
          <w:color w:val="3B3A3B"/>
          <w:sz w:val="24"/>
        </w:rPr>
        <w:t>Tell issue </w:t>
      </w:r>
      <w:r>
        <w:rPr>
          <w:color w:val="3B3A3B"/>
        </w:rPr>
        <w:t>in legal analysis by </w:t>
      </w:r>
      <w:r>
        <w:rPr>
          <w:i/>
          <w:color w:val="3B3A3B"/>
          <w:sz w:val="24"/>
        </w:rPr>
        <w:t>tell­</w:t>
      </w:r>
      <w:r>
        <w:rPr>
          <w:i/>
          <w:color w:val="3B3A3B"/>
          <w:spacing w:val="1"/>
          <w:sz w:val="24"/>
        </w:rPr>
        <w:t> </w:t>
      </w:r>
      <w:r>
        <w:rPr>
          <w:i/>
          <w:color w:val="3B3A3B"/>
          <w:w w:val="105"/>
          <w:sz w:val="24"/>
        </w:rPr>
        <w:t>ing </w:t>
      </w:r>
      <w:r>
        <w:rPr>
          <w:color w:val="3B3A3B"/>
          <w:w w:val="105"/>
        </w:rPr>
        <w:t>the outcome of application of law to facts and then citing to authority.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There are two kinds of Tell issues. The first kind is an </w:t>
      </w:r>
      <w:r>
        <w:rPr>
          <w:i/>
          <w:color w:val="3B3A3B"/>
          <w:w w:val="105"/>
          <w:sz w:val="26"/>
        </w:rPr>
        <w:t>issue </w:t>
      </w:r>
      <w:r>
        <w:rPr>
          <w:color w:val="3B3A3B"/>
          <w:w w:val="105"/>
        </w:rPr>
        <w:t>that is relevant</w:t>
      </w:r>
      <w:r>
        <w:rPr>
          <w:color w:val="3B3A3B"/>
          <w:spacing w:val="-58"/>
          <w:w w:val="105"/>
        </w:rPr>
        <w:t> </w:t>
      </w:r>
      <w:r>
        <w:rPr>
          <w:color w:val="3B3A3B"/>
          <w:w w:val="105"/>
        </w:rPr>
        <w:t>but is not controversial. The second kind of Tell issue is an issue that could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have been controversial, but that has been removed from controversy </w:t>
      </w:r>
      <w:r>
        <w:rPr>
          <w:rFonts w:ascii="Arial" w:hAnsi="Arial"/>
          <w:color w:val="3B3A3B"/>
          <w:w w:val="105"/>
          <w:sz w:val="20"/>
        </w:rPr>
        <w:t>by</w:t>
      </w:r>
      <w:r>
        <w:rPr>
          <w:rFonts w:ascii="Arial" w:hAnsi="Arial"/>
          <w:color w:val="3B3A3B"/>
          <w:spacing w:val="1"/>
          <w:w w:val="105"/>
          <w:sz w:val="20"/>
        </w:rPr>
        <w:t> </w:t>
      </w:r>
      <w:r>
        <w:rPr>
          <w:color w:val="3B3A3B"/>
          <w:w w:val="105"/>
        </w:rPr>
        <w:t>some</w:t>
      </w:r>
      <w:r>
        <w:rPr>
          <w:color w:val="3B3A3B"/>
          <w:spacing w:val="-19"/>
          <w:w w:val="105"/>
        </w:rPr>
        <w:t> </w:t>
      </w:r>
      <w:r>
        <w:rPr>
          <w:color w:val="3B3A3B"/>
          <w:w w:val="105"/>
        </w:rPr>
        <w:t>outside</w:t>
      </w:r>
      <w:r>
        <w:rPr>
          <w:color w:val="3B3A3B"/>
          <w:spacing w:val="-9"/>
          <w:w w:val="105"/>
        </w:rPr>
        <w:t> </w:t>
      </w:r>
      <w:r>
        <w:rPr>
          <w:color w:val="3B3A3B"/>
          <w:w w:val="105"/>
        </w:rPr>
        <w:t>means,</w:t>
      </w:r>
      <w:r>
        <w:rPr>
          <w:color w:val="3B3A3B"/>
          <w:spacing w:val="-12"/>
          <w:w w:val="105"/>
        </w:rPr>
        <w:t> </w:t>
      </w:r>
      <w:r>
        <w:rPr>
          <w:color w:val="3B3A3B"/>
          <w:w w:val="105"/>
        </w:rPr>
        <w:t>su</w:t>
      </w:r>
      <w:r>
        <w:rPr>
          <w:color w:val="59595B"/>
          <w:w w:val="105"/>
        </w:rPr>
        <w:t>c</w:t>
      </w:r>
      <w:r>
        <w:rPr>
          <w:color w:val="3B3A3B"/>
          <w:w w:val="105"/>
        </w:rPr>
        <w:t>h</w:t>
      </w:r>
      <w:r>
        <w:rPr>
          <w:color w:val="3B3A3B"/>
          <w:spacing w:val="14"/>
          <w:w w:val="105"/>
        </w:rPr>
        <w:t> </w:t>
      </w:r>
      <w:r>
        <w:rPr>
          <w:color w:val="3B3A3B"/>
          <w:w w:val="105"/>
        </w:rPr>
        <w:t>as</w:t>
      </w:r>
      <w:r>
        <w:rPr>
          <w:color w:val="3B3A3B"/>
          <w:spacing w:val="-2"/>
          <w:w w:val="105"/>
        </w:rPr>
        <w:t> </w:t>
      </w:r>
      <w:r>
        <w:rPr>
          <w:color w:val="3B3A3B"/>
          <w:w w:val="105"/>
        </w:rPr>
        <w:t>a</w:t>
      </w:r>
      <w:r>
        <w:rPr>
          <w:color w:val="3B3A3B"/>
          <w:spacing w:val="16"/>
          <w:w w:val="105"/>
        </w:rPr>
        <w:t> </w:t>
      </w:r>
      <w:r>
        <w:rPr>
          <w:color w:val="3B3A3B"/>
          <w:w w:val="105"/>
        </w:rPr>
        <w:t>party's</w:t>
      </w:r>
      <w:r>
        <w:rPr>
          <w:color w:val="3B3A3B"/>
          <w:spacing w:val="-7"/>
          <w:w w:val="105"/>
        </w:rPr>
        <w:t> </w:t>
      </w:r>
      <w:r>
        <w:rPr>
          <w:color w:val="3B3A3B"/>
          <w:w w:val="105"/>
        </w:rPr>
        <w:t>concession.</w:t>
      </w:r>
    </w:p>
    <w:p>
      <w:pPr>
        <w:pStyle w:val="BodyText"/>
        <w:spacing w:line="228" w:lineRule="auto" w:before="7"/>
        <w:ind w:left="370" w:right="140" w:firstLine="428"/>
        <w:jc w:val="both"/>
      </w:pPr>
      <w:r>
        <w:rPr>
          <w:color w:val="3B3A3B"/>
          <w:w w:val="105"/>
        </w:rPr>
        <w:t>For example</w:t>
      </w:r>
      <w:r>
        <w:rPr>
          <w:color w:val="59595B"/>
          <w:w w:val="105"/>
        </w:rPr>
        <w:t>, </w:t>
      </w:r>
      <w:r>
        <w:rPr>
          <w:color w:val="3B3A3B"/>
          <w:w w:val="105"/>
        </w:rPr>
        <w:t>suppose that your client, Sam Bell, is a young man who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was injured while intoxicated  after "hell night" activities at  his  fraternity.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10"/>
        </w:rPr>
        <w:t>A hometown friend, Marvin Kobacker, had taken him from a supervised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"drunk room" at the fraternity and later left him alone in an off-campus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05"/>
        </w:rPr>
        <w:t>apartment, where he fell and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injured himself. You are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wondering whether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10"/>
        </w:rPr>
        <w:t>Mr.</w:t>
      </w:r>
      <w:r>
        <w:rPr>
          <w:color w:val="3B3A3B"/>
          <w:spacing w:val="-12"/>
          <w:w w:val="110"/>
        </w:rPr>
        <w:t> </w:t>
      </w:r>
      <w:r>
        <w:rPr>
          <w:color w:val="3B3A3B"/>
          <w:w w:val="110"/>
        </w:rPr>
        <w:t>Kobacker</w:t>
      </w:r>
      <w:r>
        <w:rPr>
          <w:color w:val="3B3A3B"/>
          <w:spacing w:val="6"/>
          <w:w w:val="110"/>
        </w:rPr>
        <w:t> </w:t>
      </w:r>
      <w:r>
        <w:rPr>
          <w:color w:val="3B3A3B"/>
          <w:w w:val="110"/>
        </w:rPr>
        <w:t>is</w:t>
      </w:r>
      <w:r>
        <w:rPr>
          <w:color w:val="3B3A3B"/>
          <w:spacing w:val="-1"/>
          <w:w w:val="110"/>
        </w:rPr>
        <w:t> </w:t>
      </w:r>
      <w:r>
        <w:rPr>
          <w:color w:val="3B3A3B"/>
          <w:w w:val="110"/>
        </w:rPr>
        <w:t>liable</w:t>
      </w:r>
      <w:r>
        <w:rPr>
          <w:color w:val="3B3A3B"/>
          <w:spacing w:val="-8"/>
          <w:w w:val="110"/>
        </w:rPr>
        <w:t> </w:t>
      </w:r>
      <w:r>
        <w:rPr>
          <w:color w:val="3B3A3B"/>
          <w:w w:val="110"/>
        </w:rPr>
        <w:t>to</w:t>
      </w:r>
      <w:r>
        <w:rPr>
          <w:color w:val="3B3A3B"/>
          <w:spacing w:val="-2"/>
          <w:w w:val="110"/>
        </w:rPr>
        <w:t> </w:t>
      </w:r>
      <w:r>
        <w:rPr>
          <w:color w:val="3B3A3B"/>
          <w:w w:val="110"/>
        </w:rPr>
        <w:t>Mr.</w:t>
      </w:r>
      <w:r>
        <w:rPr>
          <w:color w:val="3B3A3B"/>
          <w:spacing w:val="-12"/>
          <w:w w:val="110"/>
        </w:rPr>
        <w:t> </w:t>
      </w:r>
      <w:r>
        <w:rPr>
          <w:color w:val="3B3A3B"/>
          <w:w w:val="110"/>
        </w:rPr>
        <w:t>Bell.</w:t>
      </w:r>
    </w:p>
    <w:p>
      <w:pPr>
        <w:pStyle w:val="BodyText"/>
        <w:spacing w:line="235" w:lineRule="auto" w:before="17"/>
        <w:ind w:left="332" w:right="179" w:firstLine="392"/>
        <w:jc w:val="both"/>
      </w:pPr>
      <w:r>
        <w:rPr>
          <w:color w:val="3B3A3B"/>
          <w:w w:val="105"/>
        </w:rPr>
        <w:t>A common law rule in your jurisdiction provides that"a person assumes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a</w:t>
      </w:r>
      <w:r>
        <w:rPr>
          <w:color w:val="3B3A3B"/>
          <w:spacing w:val="20"/>
          <w:w w:val="105"/>
        </w:rPr>
        <w:t> </w:t>
      </w:r>
      <w:r>
        <w:rPr>
          <w:color w:val="3B3A3B"/>
          <w:w w:val="105"/>
        </w:rPr>
        <w:t>duty</w:t>
      </w:r>
      <w:r>
        <w:rPr>
          <w:color w:val="3B3A3B"/>
          <w:spacing w:val="12"/>
          <w:w w:val="105"/>
        </w:rPr>
        <w:t> </w:t>
      </w:r>
      <w:r>
        <w:rPr>
          <w:color w:val="3B3A3B"/>
          <w:w w:val="105"/>
        </w:rPr>
        <w:t>of</w:t>
      </w:r>
      <w:r>
        <w:rPr>
          <w:color w:val="3B3A3B"/>
          <w:spacing w:val="26"/>
          <w:w w:val="105"/>
        </w:rPr>
        <w:t> </w:t>
      </w:r>
      <w:r>
        <w:rPr>
          <w:color w:val="3B3A3B"/>
          <w:w w:val="105"/>
        </w:rPr>
        <w:t>care</w:t>
      </w:r>
      <w:r>
        <w:rPr>
          <w:color w:val="3B3A3B"/>
          <w:spacing w:val="8"/>
          <w:w w:val="105"/>
        </w:rPr>
        <w:t> </w:t>
      </w:r>
      <w:r>
        <w:rPr>
          <w:color w:val="3B3A3B"/>
          <w:w w:val="105"/>
          <w:sz w:val="20"/>
        </w:rPr>
        <w:t>if</w:t>
      </w:r>
      <w:r>
        <w:rPr>
          <w:color w:val="3B3A3B"/>
          <w:spacing w:val="49"/>
          <w:w w:val="105"/>
          <w:sz w:val="20"/>
        </w:rPr>
        <w:t> </w:t>
      </w:r>
      <w:r>
        <w:rPr>
          <w:color w:val="3B3A3B"/>
          <w:w w:val="105"/>
        </w:rPr>
        <w:t>he</w:t>
      </w:r>
      <w:r>
        <w:rPr>
          <w:color w:val="3B3A3B"/>
          <w:spacing w:val="19"/>
          <w:w w:val="105"/>
        </w:rPr>
        <w:t> </w:t>
      </w:r>
      <w:r>
        <w:rPr>
          <w:color w:val="3B3A3B"/>
          <w:w w:val="105"/>
        </w:rPr>
        <w:t>or</w:t>
      </w:r>
      <w:r>
        <w:rPr>
          <w:color w:val="3B3A3B"/>
          <w:spacing w:val="22"/>
          <w:w w:val="105"/>
        </w:rPr>
        <w:t> </w:t>
      </w:r>
      <w:r>
        <w:rPr>
          <w:color w:val="3B3A3B"/>
          <w:w w:val="105"/>
        </w:rPr>
        <w:t>she</w:t>
      </w:r>
      <w:r>
        <w:rPr>
          <w:color w:val="3B3A3B"/>
          <w:spacing w:val="34"/>
          <w:w w:val="105"/>
        </w:rPr>
        <w:t> </w:t>
      </w:r>
      <w:r>
        <w:rPr>
          <w:color w:val="3B3A3B"/>
          <w:w w:val="105"/>
        </w:rPr>
        <w:t>takes</w:t>
      </w:r>
      <w:r>
        <w:rPr>
          <w:color w:val="3B3A3B"/>
          <w:spacing w:val="7"/>
          <w:w w:val="105"/>
        </w:rPr>
        <w:t> </w:t>
      </w:r>
      <w:r>
        <w:rPr>
          <w:color w:val="3B3A3B"/>
          <w:w w:val="105"/>
        </w:rPr>
        <w:t>charge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of</w:t>
      </w:r>
      <w:r>
        <w:rPr>
          <w:color w:val="3B3A3B"/>
          <w:spacing w:val="15"/>
          <w:w w:val="105"/>
        </w:rPr>
        <w:t> </w:t>
      </w:r>
      <w:r>
        <w:rPr>
          <w:color w:val="3B3A3B"/>
          <w:w w:val="105"/>
        </w:rPr>
        <w:t>a</w:t>
      </w:r>
      <w:r>
        <w:rPr>
          <w:color w:val="3B3A3B"/>
          <w:spacing w:val="34"/>
          <w:w w:val="105"/>
        </w:rPr>
        <w:t> </w:t>
      </w:r>
      <w:r>
        <w:rPr>
          <w:color w:val="3B3A3B"/>
          <w:w w:val="105"/>
        </w:rPr>
        <w:t>person</w:t>
      </w:r>
      <w:r>
        <w:rPr>
          <w:color w:val="3B3A3B"/>
          <w:spacing w:val="37"/>
          <w:w w:val="105"/>
        </w:rPr>
        <w:t> </w:t>
      </w:r>
      <w:r>
        <w:rPr>
          <w:color w:val="3B3A3B"/>
          <w:w w:val="105"/>
        </w:rPr>
        <w:t>who</w:t>
      </w:r>
      <w:r>
        <w:rPr>
          <w:color w:val="3B3A3B"/>
          <w:spacing w:val="33"/>
          <w:w w:val="105"/>
        </w:rPr>
        <w:t> </w:t>
      </w:r>
      <w:r>
        <w:rPr>
          <w:color w:val="3B3A3B"/>
          <w:w w:val="105"/>
        </w:rPr>
        <w:t>is</w:t>
      </w:r>
      <w:r>
        <w:rPr>
          <w:color w:val="3B3A3B"/>
          <w:spacing w:val="31"/>
          <w:w w:val="105"/>
        </w:rPr>
        <w:t> </w:t>
      </w:r>
      <w:r>
        <w:rPr>
          <w:color w:val="3B3A3B"/>
          <w:w w:val="105"/>
        </w:rPr>
        <w:t>helpless."</w:t>
      </w:r>
      <w:r>
        <w:rPr>
          <w:color w:val="3B3A3B"/>
          <w:spacing w:val="22"/>
          <w:w w:val="105"/>
        </w:rPr>
        <w:t> </w:t>
      </w:r>
      <w:r>
        <w:rPr>
          <w:color w:val="3B3A3B"/>
          <w:w w:val="105"/>
        </w:rPr>
        <w:t>You</w:t>
      </w:r>
    </w:p>
    <w:p>
      <w:pPr>
        <w:pStyle w:val="BodyText"/>
        <w:spacing w:before="8"/>
        <w:rPr>
          <w:sz w:val="35"/>
        </w:rPr>
      </w:pPr>
    </w:p>
    <w:p>
      <w:pPr>
        <w:spacing w:before="0"/>
        <w:ind w:left="680" w:right="0" w:firstLine="0"/>
        <w:jc w:val="both"/>
        <w:rPr>
          <w:sz w:val="17"/>
        </w:rPr>
      </w:pPr>
      <w:r>
        <w:rPr>
          <w:i/>
          <w:color w:val="59595B"/>
          <w:sz w:val="11"/>
        </w:rPr>
        <w:t>1</w:t>
      </w:r>
      <w:r>
        <w:rPr>
          <w:i/>
          <w:color w:val="59595B"/>
          <w:spacing w:val="-3"/>
          <w:sz w:val="11"/>
        </w:rPr>
        <w:t> </w:t>
      </w:r>
      <w:r>
        <w:rPr>
          <w:i/>
          <w:color w:val="3B3A3B"/>
          <w:sz w:val="19"/>
        </w:rPr>
        <w:t>Se</w:t>
      </w:r>
      <w:r>
        <w:rPr>
          <w:i/>
          <w:color w:val="59595B"/>
          <w:sz w:val="19"/>
        </w:rPr>
        <w:t>e,</w:t>
      </w:r>
      <w:r>
        <w:rPr>
          <w:i/>
          <w:color w:val="59595B"/>
          <w:spacing w:val="11"/>
          <w:sz w:val="19"/>
        </w:rPr>
        <w:t> </w:t>
      </w:r>
      <w:r>
        <w:rPr>
          <w:i/>
          <w:color w:val="3B3A3B"/>
          <w:sz w:val="19"/>
        </w:rPr>
        <w:t>e</w:t>
      </w:r>
      <w:r>
        <w:rPr>
          <w:i/>
          <w:color w:val="59595B"/>
          <w:sz w:val="19"/>
        </w:rPr>
        <w:t>.</w:t>
      </w:r>
      <w:r>
        <w:rPr>
          <w:i/>
          <w:color w:val="3B3A3B"/>
          <w:sz w:val="19"/>
        </w:rPr>
        <w:t>g.,</w:t>
      </w:r>
      <w:r>
        <w:rPr>
          <w:i/>
          <w:color w:val="3B3A3B"/>
          <w:spacing w:val="16"/>
          <w:sz w:val="19"/>
        </w:rPr>
        <w:t> </w:t>
      </w:r>
      <w:r>
        <w:rPr>
          <w:i/>
          <w:color w:val="3B3A3B"/>
          <w:sz w:val="19"/>
        </w:rPr>
        <w:t>State</w:t>
      </w:r>
      <w:r>
        <w:rPr>
          <w:i/>
          <w:color w:val="3B3A3B"/>
          <w:spacing w:val="-6"/>
          <w:sz w:val="19"/>
        </w:rPr>
        <w:t> </w:t>
      </w:r>
      <w:r>
        <w:rPr>
          <w:i/>
          <w:color w:val="3B3A3B"/>
          <w:sz w:val="19"/>
        </w:rPr>
        <w:t>v</w:t>
      </w:r>
      <w:r>
        <w:rPr>
          <w:i/>
          <w:color w:val="59595B"/>
          <w:sz w:val="19"/>
        </w:rPr>
        <w:t>.</w:t>
      </w:r>
      <w:r>
        <w:rPr>
          <w:i/>
          <w:color w:val="59595B"/>
          <w:spacing w:val="-10"/>
          <w:sz w:val="19"/>
        </w:rPr>
        <w:t> </w:t>
      </w:r>
      <w:r>
        <w:rPr>
          <w:rFonts w:ascii="Arial"/>
          <w:i/>
          <w:color w:val="3B3A3B"/>
          <w:sz w:val="16"/>
        </w:rPr>
        <w:t>Cyr,</w:t>
      </w:r>
      <w:r>
        <w:rPr>
          <w:rFonts w:ascii="Arial"/>
          <w:i/>
          <w:color w:val="3B3A3B"/>
          <w:spacing w:val="-14"/>
          <w:sz w:val="16"/>
        </w:rPr>
        <w:t> </w:t>
      </w:r>
      <w:r>
        <w:rPr>
          <w:color w:val="3B3A3B"/>
          <w:sz w:val="17"/>
        </w:rPr>
        <w:t>967</w:t>
      </w:r>
      <w:r>
        <w:rPr>
          <w:color w:val="3B3A3B"/>
          <w:spacing w:val="11"/>
          <w:sz w:val="17"/>
        </w:rPr>
        <w:t> </w:t>
      </w:r>
      <w:r>
        <w:rPr>
          <w:color w:val="3B3A3B"/>
          <w:sz w:val="17"/>
        </w:rPr>
        <w:t>A</w:t>
      </w:r>
      <w:r>
        <w:rPr>
          <w:color w:val="59595B"/>
          <w:sz w:val="17"/>
        </w:rPr>
        <w:t>.</w:t>
      </w:r>
      <w:r>
        <w:rPr>
          <w:color w:val="3B3A3B"/>
          <w:sz w:val="17"/>
        </w:rPr>
        <w:t>Zd</w:t>
      </w:r>
      <w:r>
        <w:rPr>
          <w:color w:val="3B3A3B"/>
          <w:spacing w:val="12"/>
          <w:sz w:val="17"/>
        </w:rPr>
        <w:t> </w:t>
      </w:r>
      <w:r>
        <w:rPr>
          <w:color w:val="3B3A3B"/>
          <w:sz w:val="17"/>
        </w:rPr>
        <w:t>32,</w:t>
      </w:r>
      <w:r>
        <w:rPr>
          <w:color w:val="3B3A3B"/>
          <w:spacing w:val="28"/>
          <w:sz w:val="17"/>
        </w:rPr>
        <w:t> </w:t>
      </w:r>
      <w:r>
        <w:rPr>
          <w:color w:val="3B3A3B"/>
          <w:sz w:val="17"/>
        </w:rPr>
        <w:t>40</w:t>
      </w:r>
      <w:r>
        <w:rPr>
          <w:color w:val="3B3A3B"/>
          <w:spacing w:val="23"/>
          <w:sz w:val="17"/>
        </w:rPr>
        <w:t> </w:t>
      </w:r>
      <w:r>
        <w:rPr>
          <w:color w:val="3B3A3B"/>
          <w:sz w:val="17"/>
        </w:rPr>
        <w:t>(Conn.</w:t>
      </w:r>
      <w:r>
        <w:rPr>
          <w:color w:val="3B3A3B"/>
          <w:spacing w:val="-12"/>
          <w:sz w:val="17"/>
        </w:rPr>
        <w:t> </w:t>
      </w:r>
      <w:r>
        <w:rPr>
          <w:color w:val="3B3A3B"/>
          <w:sz w:val="17"/>
        </w:rPr>
        <w:t>2009)</w:t>
      </w:r>
      <w:r>
        <w:rPr>
          <w:color w:val="59595B"/>
          <w:sz w:val="17"/>
        </w:rPr>
        <w:t>.</w:t>
      </w:r>
    </w:p>
    <w:p>
      <w:pPr>
        <w:spacing w:after="0"/>
        <w:jc w:val="both"/>
        <w:rPr>
          <w:sz w:val="17"/>
        </w:rPr>
        <w:sectPr>
          <w:headerReference w:type="even" r:id="rId131"/>
          <w:headerReference w:type="default" r:id="rId132"/>
          <w:pgSz w:w="9210" w:h="13770"/>
          <w:pgMar w:header="463" w:footer="0" w:top="1020" w:bottom="0" w:left="1280" w:right="0"/>
        </w:sect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32" w:lineRule="auto" w:before="98"/>
        <w:ind w:left="107" w:right="298" w:firstLine="4"/>
        <w:jc w:val="both"/>
      </w:pPr>
      <w:r>
        <w:rPr>
          <w:color w:val="3B3A3B"/>
          <w:w w:val="110"/>
        </w:rPr>
        <w:t>look at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the  rule and  realize that two phrases-that-pay are "take charge"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and "helpless." Upon doing the research, you discover that there are sev­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eral factors to analyze when determining whether someone "took charge"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of another person. Likewise, there are several ways to  prove that a per­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son is "helpless." At first blush, it might seem that you need to complete</w:t>
      </w:r>
      <w:r>
        <w:rPr>
          <w:color w:val="3B3A3B"/>
          <w:spacing w:val="1"/>
          <w:w w:val="110"/>
        </w:rPr>
        <w:t> </w:t>
      </w:r>
      <w:r>
        <w:rPr>
          <w:color w:val="3B3A3B"/>
          <w:spacing w:val="-1"/>
          <w:w w:val="110"/>
        </w:rPr>
        <w:t>two separate CREXAC units of discourse. </w:t>
      </w:r>
      <w:r>
        <w:rPr>
          <w:color w:val="3B3A3B"/>
          <w:w w:val="110"/>
        </w:rPr>
        <w:t>One case from the highest court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10"/>
        </w:rPr>
        <w:t>in your jurisdiction, however, states unequivocally that a person who is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intoxicated</w:t>
      </w:r>
      <w:r>
        <w:rPr>
          <w:color w:val="3B3A3B"/>
          <w:spacing w:val="18"/>
          <w:w w:val="110"/>
        </w:rPr>
        <w:t> </w:t>
      </w:r>
      <w:r>
        <w:rPr>
          <w:color w:val="3B3A3B"/>
          <w:w w:val="110"/>
        </w:rPr>
        <w:t>is</w:t>
      </w:r>
      <w:r>
        <w:rPr>
          <w:color w:val="3B3A3B"/>
          <w:spacing w:val="-22"/>
          <w:w w:val="110"/>
        </w:rPr>
        <w:t> </w:t>
      </w:r>
      <w:r>
        <w:rPr>
          <w:color w:val="3B3A3B"/>
          <w:w w:val="110"/>
        </w:rPr>
        <w:t>"helpless"</w:t>
      </w:r>
      <w:r>
        <w:rPr>
          <w:color w:val="3B3A3B"/>
          <w:spacing w:val="6"/>
          <w:w w:val="110"/>
        </w:rPr>
        <w:t> </w:t>
      </w:r>
      <w:r>
        <w:rPr>
          <w:color w:val="3B3A3B"/>
          <w:w w:val="110"/>
        </w:rPr>
        <w:t>under</w:t>
      </w:r>
      <w:r>
        <w:rPr>
          <w:color w:val="3B3A3B"/>
          <w:spacing w:val="4"/>
          <w:w w:val="110"/>
        </w:rPr>
        <w:t> </w:t>
      </w:r>
      <w:r>
        <w:rPr>
          <w:color w:val="3B3A3B"/>
          <w:w w:val="110"/>
        </w:rPr>
        <w:t>this</w:t>
      </w:r>
      <w:r>
        <w:rPr>
          <w:color w:val="3B3A3B"/>
          <w:spacing w:val="-23"/>
          <w:w w:val="110"/>
        </w:rPr>
        <w:t> </w:t>
      </w:r>
      <w:r>
        <w:rPr>
          <w:color w:val="3B3A3B"/>
          <w:w w:val="110"/>
        </w:rPr>
        <w:t>standard.</w:t>
      </w:r>
      <w:r>
        <w:rPr>
          <w:color w:val="3B3A3B"/>
          <w:spacing w:val="-11"/>
          <w:w w:val="110"/>
        </w:rPr>
        <w:t> </w:t>
      </w:r>
      <w:r>
        <w:rPr>
          <w:color w:val="3B3A3B"/>
          <w:w w:val="110"/>
        </w:rPr>
        <w:t>In</w:t>
      </w:r>
      <w:r>
        <w:rPr>
          <w:color w:val="3B3A3B"/>
          <w:spacing w:val="3"/>
          <w:w w:val="110"/>
        </w:rPr>
        <w:t> </w:t>
      </w:r>
      <w:r>
        <w:rPr>
          <w:color w:val="3B3A3B"/>
          <w:w w:val="110"/>
        </w:rPr>
        <w:t>this</w:t>
      </w:r>
      <w:r>
        <w:rPr>
          <w:color w:val="3B3A3B"/>
          <w:spacing w:val="-34"/>
          <w:w w:val="110"/>
        </w:rPr>
        <w:t> </w:t>
      </w:r>
      <w:r>
        <w:rPr>
          <w:color w:val="3B3A3B"/>
          <w:w w:val="110"/>
        </w:rPr>
        <w:t>situation,</w:t>
      </w:r>
      <w:r>
        <w:rPr>
          <w:color w:val="3B3A3B"/>
          <w:spacing w:val="-16"/>
          <w:w w:val="110"/>
        </w:rPr>
        <w:t> </w:t>
      </w:r>
      <w:r>
        <w:rPr>
          <w:color w:val="3B3A3B"/>
          <w:w w:val="110"/>
        </w:rPr>
        <w:t>Mr.</w:t>
      </w:r>
      <w:r>
        <w:rPr>
          <w:color w:val="3B3A3B"/>
          <w:spacing w:val="-13"/>
          <w:w w:val="110"/>
        </w:rPr>
        <w:t> </w:t>
      </w:r>
      <w:r>
        <w:rPr>
          <w:color w:val="3B3A3B"/>
          <w:w w:val="110"/>
        </w:rPr>
        <w:t>Bell</w:t>
      </w:r>
      <w:r>
        <w:rPr>
          <w:color w:val="3B3A3B"/>
          <w:spacing w:val="-6"/>
          <w:w w:val="110"/>
        </w:rPr>
        <w:t> </w:t>
      </w:r>
      <w:r>
        <w:rPr>
          <w:color w:val="3B3A3B"/>
          <w:w w:val="110"/>
        </w:rPr>
        <w:t>was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unequivocally intoxicated. Thus, this required element is without contro­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05"/>
        </w:rPr>
        <w:t>versy in</w:t>
      </w:r>
      <w:r>
        <w:rPr>
          <w:color w:val="3B3A3B"/>
          <w:spacing w:val="36"/>
          <w:w w:val="105"/>
        </w:rPr>
        <w:t> </w:t>
      </w:r>
      <w:r>
        <w:rPr>
          <w:color w:val="3B3A3B"/>
          <w:w w:val="105"/>
        </w:rPr>
        <w:t>your</w:t>
      </w:r>
      <w:r>
        <w:rPr>
          <w:color w:val="3B3A3B"/>
          <w:spacing w:val="4"/>
          <w:w w:val="105"/>
        </w:rPr>
        <w:t> </w:t>
      </w:r>
      <w:r>
        <w:rPr>
          <w:color w:val="3B3A3B"/>
          <w:w w:val="105"/>
        </w:rPr>
        <w:t>case,</w:t>
      </w:r>
      <w:r>
        <w:rPr>
          <w:color w:val="3B3A3B"/>
          <w:spacing w:val="-5"/>
          <w:w w:val="105"/>
        </w:rPr>
        <w:t> </w:t>
      </w:r>
      <w:r>
        <w:rPr>
          <w:color w:val="3B3A3B"/>
          <w:w w:val="105"/>
        </w:rPr>
        <w:t>and</w:t>
      </w:r>
      <w:r>
        <w:rPr>
          <w:color w:val="3B3A3B"/>
          <w:spacing w:val="41"/>
          <w:w w:val="105"/>
        </w:rPr>
        <w:t> </w:t>
      </w:r>
      <w:r>
        <w:rPr>
          <w:color w:val="3B3A3B"/>
          <w:w w:val="105"/>
        </w:rPr>
        <w:t>you</w:t>
      </w:r>
      <w:r>
        <w:rPr>
          <w:color w:val="3B3A3B"/>
          <w:spacing w:val="7"/>
          <w:w w:val="105"/>
        </w:rPr>
        <w:t> </w:t>
      </w:r>
      <w:r>
        <w:rPr>
          <w:color w:val="3B3A3B"/>
          <w:w w:val="105"/>
        </w:rPr>
        <w:t>can</w:t>
      </w:r>
      <w:r>
        <w:rPr>
          <w:color w:val="3B3A3B"/>
          <w:spacing w:val="31"/>
          <w:w w:val="105"/>
        </w:rPr>
        <w:t> </w:t>
      </w:r>
      <w:r>
        <w:rPr>
          <w:color w:val="3B3A3B"/>
          <w:w w:val="105"/>
        </w:rPr>
        <w:t>treat</w:t>
      </w:r>
      <w:r>
        <w:rPr>
          <w:color w:val="3B3A3B"/>
          <w:spacing w:val="12"/>
          <w:w w:val="105"/>
        </w:rPr>
        <w:t> </w:t>
      </w:r>
      <w:r>
        <w:rPr>
          <w:color w:val="3B3A3B"/>
          <w:w w:val="105"/>
        </w:rPr>
        <w:t>it</w:t>
      </w:r>
      <w:r>
        <w:rPr>
          <w:color w:val="3B3A3B"/>
          <w:spacing w:val="4"/>
          <w:w w:val="105"/>
        </w:rPr>
        <w:t> </w:t>
      </w:r>
      <w:r>
        <w:rPr>
          <w:color w:val="3B3A3B"/>
          <w:w w:val="105"/>
        </w:rPr>
        <w:t>as</w:t>
      </w:r>
      <w:r>
        <w:rPr>
          <w:color w:val="3B3A3B"/>
          <w:spacing w:val="-23"/>
          <w:w w:val="105"/>
        </w:rPr>
        <w:t> </w:t>
      </w:r>
      <w:r>
        <w:rPr>
          <w:color w:val="3B3A3B"/>
          <w:w w:val="105"/>
        </w:rPr>
        <w:t>a</w:t>
      </w:r>
      <w:r>
        <w:rPr>
          <w:color w:val="3B3A3B"/>
          <w:spacing w:val="-2"/>
          <w:w w:val="105"/>
        </w:rPr>
        <w:t> </w:t>
      </w:r>
      <w:r>
        <w:rPr>
          <w:color w:val="3B3A3B"/>
          <w:w w:val="105"/>
        </w:rPr>
        <w:t>Tell</w:t>
      </w:r>
      <w:r>
        <w:rPr>
          <w:color w:val="3B3A3B"/>
          <w:spacing w:val="5"/>
          <w:w w:val="105"/>
        </w:rPr>
        <w:t> </w:t>
      </w:r>
      <w:r>
        <w:rPr>
          <w:color w:val="3B3A3B"/>
          <w:w w:val="105"/>
        </w:rPr>
        <w:t>issue:</w:t>
      </w:r>
    </w:p>
    <w:p>
      <w:pPr>
        <w:spacing w:line="213" w:lineRule="auto" w:before="174"/>
        <w:ind w:left="448" w:right="652" w:firstLine="13"/>
        <w:jc w:val="both"/>
        <w:rPr>
          <w:b/>
          <w:sz w:val="21"/>
        </w:rPr>
      </w:pPr>
      <w:r>
        <w:rPr>
          <w:b/>
          <w:color w:val="3B3A3B"/>
          <w:w w:val="105"/>
          <w:sz w:val="21"/>
        </w:rPr>
        <w:t>In Vanita, a  person assumes a duty of  care if he or she "takes charge"</w:t>
      </w:r>
      <w:r>
        <w:rPr>
          <w:b/>
          <w:color w:val="3B3A3B"/>
          <w:spacing w:val="1"/>
          <w:w w:val="105"/>
          <w:sz w:val="21"/>
        </w:rPr>
        <w:t> </w:t>
      </w:r>
      <w:r>
        <w:rPr>
          <w:b/>
          <w:color w:val="3B3A3B"/>
          <w:w w:val="110"/>
          <w:sz w:val="21"/>
        </w:rPr>
        <w:t>of a person who is "helpless." </w:t>
      </w:r>
      <w:r>
        <w:rPr>
          <w:b/>
          <w:color w:val="3B3A3B"/>
          <w:w w:val="110"/>
          <w:sz w:val="25"/>
          <w:u w:val="thick" w:color="3B3A3B"/>
        </w:rPr>
        <w:t>lenkins</w:t>
      </w:r>
      <w:r>
        <w:rPr>
          <w:b/>
          <w:color w:val="3B3A3B"/>
          <w:w w:val="110"/>
          <w:sz w:val="25"/>
        </w:rPr>
        <w:t> </w:t>
      </w:r>
      <w:r>
        <w:rPr>
          <w:b/>
          <w:color w:val="3B3A3B"/>
          <w:w w:val="110"/>
          <w:sz w:val="21"/>
          <w:u w:val="thick" w:color="3B3A3B"/>
        </w:rPr>
        <w:t>v. </w:t>
      </w:r>
      <w:r>
        <w:rPr>
          <w:rFonts w:ascii="Arial"/>
          <w:color w:val="3B3A3B"/>
          <w:w w:val="110"/>
          <w:sz w:val="21"/>
          <w:u w:val="thick" w:color="3B3A3B"/>
        </w:rPr>
        <w:t>Diamond</w:t>
      </w:r>
      <w:r>
        <w:rPr>
          <w:rFonts w:ascii="Arial"/>
          <w:color w:val="3B3A3B"/>
          <w:w w:val="110"/>
          <w:sz w:val="21"/>
        </w:rPr>
        <w:t>. </w:t>
      </w:r>
      <w:r>
        <w:rPr>
          <w:b/>
          <w:color w:val="3B3A3B"/>
          <w:w w:val="110"/>
          <w:sz w:val="21"/>
        </w:rPr>
        <w:t>101 N.E.2d 104,</w:t>
      </w:r>
      <w:r>
        <w:rPr>
          <w:b/>
          <w:color w:val="3B3A3B"/>
          <w:spacing w:val="1"/>
          <w:w w:val="110"/>
          <w:sz w:val="21"/>
        </w:rPr>
        <w:t> </w:t>
      </w:r>
      <w:r>
        <w:rPr>
          <w:b/>
          <w:color w:val="3B3A3B"/>
          <w:w w:val="110"/>
          <w:sz w:val="21"/>
        </w:rPr>
        <w:t>109</w:t>
      </w:r>
      <w:r>
        <w:rPr>
          <w:b/>
          <w:color w:val="3B3A3B"/>
          <w:spacing w:val="12"/>
          <w:w w:val="110"/>
          <w:sz w:val="21"/>
        </w:rPr>
        <w:t> </w:t>
      </w:r>
      <w:r>
        <w:rPr>
          <w:b/>
          <w:color w:val="3B3A3B"/>
          <w:w w:val="110"/>
          <w:sz w:val="21"/>
        </w:rPr>
        <w:t>(Van.</w:t>
      </w:r>
      <w:r>
        <w:rPr>
          <w:b/>
          <w:color w:val="3B3A3B"/>
          <w:spacing w:val="22"/>
          <w:w w:val="110"/>
          <w:sz w:val="21"/>
        </w:rPr>
        <w:t> </w:t>
      </w:r>
      <w:r>
        <w:rPr>
          <w:color w:val="3B3A3B"/>
          <w:w w:val="110"/>
          <w:sz w:val="19"/>
        </w:rPr>
        <w:t>2007).</w:t>
      </w:r>
      <w:r>
        <w:rPr>
          <w:color w:val="3B3A3B"/>
          <w:spacing w:val="18"/>
          <w:w w:val="110"/>
          <w:sz w:val="19"/>
        </w:rPr>
        <w:t> </w:t>
      </w:r>
      <w:r>
        <w:rPr>
          <w:b/>
          <w:color w:val="3B3A3B"/>
          <w:w w:val="110"/>
          <w:sz w:val="21"/>
        </w:rPr>
        <w:t>An</w:t>
      </w:r>
      <w:r>
        <w:rPr>
          <w:b/>
          <w:color w:val="3B3A3B"/>
          <w:spacing w:val="20"/>
          <w:w w:val="110"/>
          <w:sz w:val="21"/>
        </w:rPr>
        <w:t> </w:t>
      </w:r>
      <w:r>
        <w:rPr>
          <w:b/>
          <w:color w:val="3B3A3B"/>
          <w:w w:val="110"/>
          <w:sz w:val="21"/>
        </w:rPr>
        <w:t>intoxicated</w:t>
      </w:r>
      <w:r>
        <w:rPr>
          <w:b/>
          <w:color w:val="3B3A3B"/>
          <w:spacing w:val="40"/>
          <w:w w:val="110"/>
          <w:sz w:val="21"/>
        </w:rPr>
        <w:t> </w:t>
      </w:r>
      <w:r>
        <w:rPr>
          <w:b/>
          <w:color w:val="3B3A3B"/>
          <w:w w:val="110"/>
          <w:sz w:val="21"/>
        </w:rPr>
        <w:t>person</w:t>
      </w:r>
      <w:r>
        <w:rPr>
          <w:b/>
          <w:color w:val="3B3A3B"/>
          <w:spacing w:val="34"/>
          <w:w w:val="110"/>
          <w:sz w:val="21"/>
        </w:rPr>
        <w:t> </w:t>
      </w:r>
      <w:r>
        <w:rPr>
          <w:b/>
          <w:color w:val="3B3A3B"/>
          <w:w w:val="110"/>
          <w:sz w:val="21"/>
        </w:rPr>
        <w:t>is</w:t>
      </w:r>
      <w:r>
        <w:rPr>
          <w:b/>
          <w:color w:val="3B3A3B"/>
          <w:spacing w:val="8"/>
          <w:w w:val="110"/>
          <w:sz w:val="21"/>
        </w:rPr>
        <w:t> </w:t>
      </w:r>
      <w:r>
        <w:rPr>
          <w:b/>
          <w:color w:val="3B3A3B"/>
          <w:w w:val="110"/>
          <w:sz w:val="21"/>
        </w:rPr>
        <w:t>considered</w:t>
      </w:r>
      <w:r>
        <w:rPr>
          <w:b/>
          <w:color w:val="3B3A3B"/>
          <w:spacing w:val="26"/>
          <w:w w:val="110"/>
          <w:sz w:val="21"/>
        </w:rPr>
        <w:t> </w:t>
      </w:r>
      <w:r>
        <w:rPr>
          <w:b/>
          <w:color w:val="3B3A3B"/>
          <w:w w:val="110"/>
          <w:sz w:val="21"/>
        </w:rPr>
        <w:t>helpless.</w:t>
      </w:r>
      <w:r>
        <w:rPr>
          <w:b/>
          <w:color w:val="3B3A3B"/>
          <w:spacing w:val="30"/>
          <w:w w:val="110"/>
          <w:sz w:val="21"/>
        </w:rPr>
        <w:t> </w:t>
      </w:r>
      <w:r>
        <w:rPr>
          <w:b/>
          <w:color w:val="3B3A3B"/>
          <w:w w:val="110"/>
          <w:sz w:val="21"/>
          <w:u w:val="thick" w:color="3B3A3B"/>
        </w:rPr>
        <w:t>Id</w:t>
      </w:r>
      <w:r>
        <w:rPr>
          <w:b/>
          <w:color w:val="3B3A3B"/>
          <w:w w:val="110"/>
          <w:sz w:val="21"/>
        </w:rPr>
        <w:t>.</w:t>
      </w:r>
      <w:r>
        <w:rPr>
          <w:b/>
          <w:color w:val="3B3A3B"/>
          <w:spacing w:val="-1"/>
          <w:w w:val="110"/>
          <w:sz w:val="21"/>
        </w:rPr>
        <w:t> </w:t>
      </w:r>
      <w:r>
        <w:rPr>
          <w:b/>
          <w:color w:val="3B3A3B"/>
          <w:w w:val="110"/>
          <w:sz w:val="21"/>
        </w:rPr>
        <w:t>at</w:t>
      </w:r>
    </w:p>
    <w:p>
      <w:pPr>
        <w:spacing w:before="34"/>
        <w:ind w:left="452" w:right="0" w:firstLine="0"/>
        <w:jc w:val="left"/>
        <w:rPr>
          <w:b/>
          <w:sz w:val="19"/>
        </w:rPr>
      </w:pPr>
      <w:r>
        <w:rPr>
          <w:b/>
          <w:color w:val="3B3A3B"/>
          <w:w w:val="125"/>
          <w:sz w:val="19"/>
        </w:rPr>
        <w:t>111.</w:t>
      </w:r>
    </w:p>
    <w:p>
      <w:pPr>
        <w:pStyle w:val="BodyText"/>
        <w:spacing w:line="232" w:lineRule="auto" w:before="145"/>
        <w:ind w:left="109" w:right="220" w:firstLine="339"/>
        <w:jc w:val="both"/>
      </w:pPr>
      <w:r>
        <w:rPr>
          <w:color w:val="3B3A3B"/>
          <w:w w:val="110"/>
        </w:rPr>
        <w:t>The second kind of Tell issue is one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that has been removed from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5"/>
        </w:rPr>
        <w:t>controversy in some way. In a First Amendment challenge to a statute,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5"/>
        </w:rPr>
        <w:t>for example, a court will use strict scrutiny to analyze a content-based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0"/>
        </w:rPr>
        <w:t>restriction, while it will use a lower level of scrutiny to analyze a content­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5"/>
        </w:rPr>
        <w:t>neutral restriction</w:t>
      </w:r>
      <w:r>
        <w:rPr>
          <w:color w:val="5B5B5D"/>
          <w:w w:val="115"/>
        </w:rPr>
        <w:t>. </w:t>
      </w:r>
      <w:r>
        <w:rPr>
          <w:color w:val="3B3A3B"/>
          <w:w w:val="115"/>
        </w:rPr>
        <w:t>If you and your opponent disagree as to whether the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0"/>
        </w:rPr>
        <w:t>restriction at issue is a content-based restriction, you would probably need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to use a CREXAC unit of discourse to argue that the statute does or does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5"/>
        </w:rPr>
        <w:t>not impose a content-based restriction. However, if your opponent has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0"/>
        </w:rPr>
        <w:t>conceded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issue</w:t>
      </w:r>
      <w:r>
        <w:rPr>
          <w:color w:val="5B5B5D"/>
          <w:w w:val="110"/>
        </w:rPr>
        <w:t>-</w:t>
      </w:r>
      <w:r>
        <w:rPr>
          <w:color w:val="3B3A3B"/>
          <w:w w:val="110"/>
        </w:rPr>
        <w:t>perhaps in a brief or in an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oral argument to a lower</w:t>
      </w:r>
      <w:r>
        <w:rPr>
          <w:color w:val="3B3A3B"/>
          <w:spacing w:val="1"/>
          <w:w w:val="110"/>
        </w:rPr>
        <w:t> </w:t>
      </w:r>
      <w:r>
        <w:rPr>
          <w:color w:val="3B3A3B"/>
          <w:spacing w:val="-1"/>
          <w:w w:val="115"/>
        </w:rPr>
        <w:t>court-you</w:t>
      </w:r>
      <w:r>
        <w:rPr>
          <w:color w:val="3B3A3B"/>
          <w:spacing w:val="13"/>
          <w:w w:val="115"/>
        </w:rPr>
        <w:t> </w:t>
      </w:r>
      <w:r>
        <w:rPr>
          <w:color w:val="3B3A3B"/>
          <w:spacing w:val="-1"/>
          <w:w w:val="115"/>
        </w:rPr>
        <w:t>maytreat</w:t>
      </w:r>
      <w:r>
        <w:rPr>
          <w:color w:val="3B3A3B"/>
          <w:spacing w:val="-5"/>
          <w:w w:val="115"/>
        </w:rPr>
        <w:t> </w:t>
      </w:r>
      <w:r>
        <w:rPr>
          <w:color w:val="3B3A3B"/>
          <w:w w:val="115"/>
        </w:rPr>
        <w:t>the</w:t>
      </w:r>
      <w:r>
        <w:rPr>
          <w:color w:val="3B3A3B"/>
          <w:spacing w:val="10"/>
          <w:w w:val="115"/>
        </w:rPr>
        <w:t> </w:t>
      </w:r>
      <w:r>
        <w:rPr>
          <w:color w:val="3B3A3B"/>
          <w:w w:val="115"/>
        </w:rPr>
        <w:t>issue</w:t>
      </w:r>
      <w:r>
        <w:rPr>
          <w:color w:val="3B3A3B"/>
          <w:spacing w:val="-9"/>
          <w:w w:val="115"/>
        </w:rPr>
        <w:t> </w:t>
      </w:r>
      <w:r>
        <w:rPr>
          <w:color w:val="3B3A3B"/>
          <w:w w:val="115"/>
        </w:rPr>
        <w:t>as</w:t>
      </w:r>
      <w:r>
        <w:rPr>
          <w:color w:val="3B3A3B"/>
          <w:spacing w:val="-9"/>
          <w:w w:val="115"/>
        </w:rPr>
        <w:t> </w:t>
      </w:r>
      <w:r>
        <w:rPr>
          <w:color w:val="3B3A3B"/>
          <w:w w:val="115"/>
        </w:rPr>
        <w:t>a</w:t>
      </w:r>
      <w:r>
        <w:rPr>
          <w:color w:val="3B3A3B"/>
          <w:spacing w:val="-16"/>
          <w:w w:val="115"/>
        </w:rPr>
        <w:t> </w:t>
      </w:r>
      <w:r>
        <w:rPr>
          <w:color w:val="3B3A3B"/>
          <w:w w:val="115"/>
        </w:rPr>
        <w:t>Tell</w:t>
      </w:r>
      <w:r>
        <w:rPr>
          <w:color w:val="3B3A3B"/>
          <w:spacing w:val="5"/>
          <w:w w:val="115"/>
        </w:rPr>
        <w:t> </w:t>
      </w:r>
      <w:r>
        <w:rPr>
          <w:color w:val="3B3A3B"/>
          <w:w w:val="115"/>
        </w:rPr>
        <w:t>issue,</w:t>
      </w:r>
      <w:r>
        <w:rPr>
          <w:color w:val="3B3A3B"/>
          <w:spacing w:val="-13"/>
          <w:w w:val="115"/>
        </w:rPr>
        <w:t> </w:t>
      </w:r>
      <w:r>
        <w:rPr>
          <w:color w:val="3B3A3B"/>
          <w:w w:val="115"/>
        </w:rPr>
        <w:t>citing</w:t>
      </w:r>
      <w:r>
        <w:rPr>
          <w:color w:val="3B3A3B"/>
          <w:spacing w:val="-2"/>
          <w:w w:val="115"/>
        </w:rPr>
        <w:t> </w:t>
      </w:r>
      <w:r>
        <w:rPr>
          <w:color w:val="3B3A3B"/>
          <w:w w:val="115"/>
        </w:rPr>
        <w:t>authority if</w:t>
      </w:r>
      <w:r>
        <w:rPr>
          <w:color w:val="3B3A3B"/>
          <w:spacing w:val="16"/>
          <w:w w:val="115"/>
        </w:rPr>
        <w:t> </w:t>
      </w:r>
      <w:r>
        <w:rPr>
          <w:color w:val="3B3A3B"/>
          <w:w w:val="115"/>
        </w:rPr>
        <w:t>possible</w:t>
      </w:r>
      <w:r>
        <w:rPr>
          <w:color w:val="5B5B5D"/>
          <w:w w:val="115"/>
        </w:rPr>
        <w:t>:</w:t>
      </w:r>
    </w:p>
    <w:p>
      <w:pPr>
        <w:spacing w:line="220" w:lineRule="auto" w:before="168"/>
        <w:ind w:left="449" w:right="596" w:firstLine="14"/>
        <w:jc w:val="both"/>
        <w:rPr>
          <w:sz w:val="21"/>
        </w:rPr>
      </w:pPr>
      <w:r>
        <w:rPr>
          <w:b/>
          <w:color w:val="3B3A3B"/>
          <w:w w:val="110"/>
          <w:sz w:val="21"/>
        </w:rPr>
        <w:t>As the</w:t>
      </w:r>
      <w:r>
        <w:rPr>
          <w:b/>
          <w:color w:val="3B3A3B"/>
          <w:spacing w:val="1"/>
          <w:w w:val="110"/>
          <w:sz w:val="21"/>
        </w:rPr>
        <w:t> </w:t>
      </w:r>
      <w:r>
        <w:rPr>
          <w:b/>
          <w:color w:val="3B3A3B"/>
          <w:w w:val="110"/>
          <w:sz w:val="21"/>
        </w:rPr>
        <w:t>petitioner concedes,</w:t>
      </w:r>
      <w:r>
        <w:rPr>
          <w:b/>
          <w:color w:val="3B3A3B"/>
          <w:spacing w:val="1"/>
          <w:w w:val="110"/>
          <w:sz w:val="21"/>
        </w:rPr>
        <w:t> </w:t>
      </w:r>
      <w:r>
        <w:rPr>
          <w:b/>
          <w:color w:val="3B3A3B"/>
          <w:w w:val="110"/>
          <w:sz w:val="21"/>
        </w:rPr>
        <w:t>the statute at issue criminalizes speech</w:t>
      </w:r>
      <w:r>
        <w:rPr>
          <w:b/>
          <w:color w:val="3B3A3B"/>
          <w:spacing w:val="1"/>
          <w:w w:val="110"/>
          <w:sz w:val="21"/>
        </w:rPr>
        <w:t> </w:t>
      </w:r>
      <w:r>
        <w:rPr>
          <w:b/>
          <w:color w:val="3B3A3B"/>
          <w:w w:val="110"/>
          <w:sz w:val="21"/>
        </w:rPr>
        <w:t>based on</w:t>
      </w:r>
      <w:r>
        <w:rPr>
          <w:b/>
          <w:color w:val="3B3A3B"/>
          <w:spacing w:val="1"/>
          <w:w w:val="110"/>
          <w:sz w:val="21"/>
        </w:rPr>
        <w:t> </w:t>
      </w:r>
      <w:r>
        <w:rPr>
          <w:b/>
          <w:color w:val="3B3A3B"/>
          <w:w w:val="110"/>
          <w:sz w:val="21"/>
        </w:rPr>
        <w:t>its content. Pet'r Br. At 16. Accordingly, this court should</w:t>
      </w:r>
      <w:r>
        <w:rPr>
          <w:b/>
          <w:color w:val="3B3A3B"/>
          <w:spacing w:val="1"/>
          <w:w w:val="110"/>
          <w:sz w:val="21"/>
        </w:rPr>
        <w:t> </w:t>
      </w:r>
      <w:r>
        <w:rPr>
          <w:b/>
          <w:color w:val="3B3A3B"/>
          <w:w w:val="105"/>
          <w:sz w:val="21"/>
        </w:rPr>
        <w:t>apply the strict scrutiny test when analyzing its validity. </w:t>
      </w:r>
      <w:r>
        <w:rPr>
          <w:b/>
          <w:color w:val="3B3A3B"/>
          <w:w w:val="105"/>
          <w:sz w:val="25"/>
          <w:u w:val="thick" w:color="3B3A3B"/>
        </w:rPr>
        <w:t>Cornelius</w:t>
      </w:r>
      <w:r>
        <w:rPr>
          <w:b/>
          <w:color w:val="3B3A3B"/>
          <w:w w:val="105"/>
          <w:sz w:val="25"/>
        </w:rPr>
        <w:t> </w:t>
      </w:r>
      <w:r>
        <w:rPr>
          <w:b/>
          <w:color w:val="3B3A3B"/>
          <w:w w:val="105"/>
          <w:sz w:val="21"/>
          <w:u w:val="thick" w:color="3B3A3B"/>
        </w:rPr>
        <w:t>v,</w:t>
      </w:r>
      <w:r>
        <w:rPr>
          <w:b/>
          <w:color w:val="3B3A3B"/>
          <w:spacing w:val="1"/>
          <w:w w:val="105"/>
          <w:sz w:val="21"/>
        </w:rPr>
        <w:t> </w:t>
      </w:r>
      <w:r>
        <w:rPr>
          <w:rFonts w:ascii="Arial"/>
          <w:color w:val="3B3A3B"/>
          <w:w w:val="110"/>
          <w:sz w:val="21"/>
          <w:u w:val="thick" w:color="3B3A3B"/>
        </w:rPr>
        <w:t>NAACP</w:t>
      </w:r>
      <w:r>
        <w:rPr>
          <w:rFonts w:ascii="Arial"/>
          <w:color w:val="3B3A3B"/>
          <w:spacing w:val="-17"/>
          <w:w w:val="110"/>
          <w:sz w:val="21"/>
          <w:u w:val="thick" w:color="3B3A3B"/>
        </w:rPr>
        <w:t> </w:t>
      </w:r>
      <w:r>
        <w:rPr>
          <w:rFonts w:ascii="Arial"/>
          <w:color w:val="3B3A3B"/>
          <w:w w:val="110"/>
          <w:sz w:val="21"/>
          <w:u w:val="thick" w:color="3B3A3B"/>
        </w:rPr>
        <w:t>Legal</w:t>
      </w:r>
      <w:r>
        <w:rPr>
          <w:rFonts w:ascii="Arial"/>
          <w:color w:val="3B3A3B"/>
          <w:spacing w:val="7"/>
          <w:w w:val="110"/>
          <w:sz w:val="21"/>
          <w:u w:val="thick" w:color="3B3A3B"/>
        </w:rPr>
        <w:t> </w:t>
      </w:r>
      <w:r>
        <w:rPr>
          <w:color w:val="3B3A3B"/>
          <w:w w:val="110"/>
          <w:sz w:val="21"/>
          <w:u w:val="thick" w:color="3B3A3B"/>
        </w:rPr>
        <w:t>Defense</w:t>
      </w:r>
      <w:r>
        <w:rPr>
          <w:color w:val="3B3A3B"/>
          <w:spacing w:val="6"/>
          <w:w w:val="110"/>
          <w:sz w:val="21"/>
          <w:u w:val="thick" w:color="3B3A3B"/>
        </w:rPr>
        <w:t> </w:t>
      </w:r>
      <w:r>
        <w:rPr>
          <w:color w:val="3B3A3B"/>
          <w:w w:val="110"/>
          <w:sz w:val="23"/>
          <w:u w:val="thick" w:color="3B3A3B"/>
        </w:rPr>
        <w:t>&amp;</w:t>
      </w:r>
      <w:r>
        <w:rPr>
          <w:color w:val="3B3A3B"/>
          <w:spacing w:val="-17"/>
          <w:w w:val="110"/>
          <w:sz w:val="23"/>
          <w:u w:val="thick" w:color="3B3A3B"/>
        </w:rPr>
        <w:t> </w:t>
      </w:r>
      <w:r>
        <w:rPr>
          <w:rFonts w:ascii="Arial"/>
          <w:color w:val="3B3A3B"/>
          <w:w w:val="110"/>
          <w:sz w:val="21"/>
          <w:u w:val="thick" w:color="3B3A3B"/>
        </w:rPr>
        <w:t>Ed</w:t>
      </w:r>
      <w:r>
        <w:rPr>
          <w:rFonts w:ascii="Arial"/>
          <w:color w:val="5B5B5D"/>
          <w:w w:val="110"/>
          <w:sz w:val="21"/>
          <w:u w:val="thick" w:color="3B3A3B"/>
        </w:rPr>
        <w:t>,</w:t>
      </w:r>
      <w:r>
        <w:rPr>
          <w:rFonts w:ascii="Arial"/>
          <w:color w:val="5B5B5D"/>
          <w:spacing w:val="-20"/>
          <w:w w:val="110"/>
          <w:sz w:val="21"/>
          <w:u w:val="thick" w:color="3B3A3B"/>
        </w:rPr>
        <w:t> </w:t>
      </w:r>
      <w:r>
        <w:rPr>
          <w:rFonts w:ascii="Arial"/>
          <w:color w:val="3B3A3B"/>
          <w:w w:val="110"/>
          <w:sz w:val="21"/>
          <w:u w:val="thick" w:color="3B3A3B"/>
        </w:rPr>
        <w:t>Fund.</w:t>
      </w:r>
      <w:r>
        <w:rPr>
          <w:rFonts w:ascii="Arial"/>
          <w:color w:val="3B3A3B"/>
          <w:spacing w:val="-8"/>
          <w:w w:val="110"/>
          <w:sz w:val="21"/>
          <w:u w:val="thick" w:color="3B3A3B"/>
        </w:rPr>
        <w:t> </w:t>
      </w:r>
      <w:r>
        <w:rPr>
          <w:color w:val="3B3A3B"/>
          <w:w w:val="110"/>
          <w:sz w:val="20"/>
          <w:u w:val="thick" w:color="3B3A3B"/>
        </w:rPr>
        <w:t>Inc.,</w:t>
      </w:r>
      <w:r>
        <w:rPr>
          <w:color w:val="3B3A3B"/>
          <w:spacing w:val="-18"/>
          <w:w w:val="110"/>
          <w:sz w:val="20"/>
        </w:rPr>
        <w:t> </w:t>
      </w:r>
      <w:r>
        <w:rPr>
          <w:color w:val="3B3A3B"/>
          <w:w w:val="110"/>
          <w:sz w:val="20"/>
        </w:rPr>
        <w:t>473</w:t>
      </w:r>
      <w:r>
        <w:rPr>
          <w:color w:val="3B3A3B"/>
          <w:spacing w:val="4"/>
          <w:w w:val="110"/>
          <w:sz w:val="20"/>
        </w:rPr>
        <w:t> </w:t>
      </w:r>
      <w:r>
        <w:rPr>
          <w:color w:val="3B3A3B"/>
          <w:w w:val="110"/>
          <w:sz w:val="21"/>
        </w:rPr>
        <w:t>U.S.</w:t>
      </w:r>
      <w:r>
        <w:rPr>
          <w:color w:val="3B3A3B"/>
          <w:spacing w:val="-4"/>
          <w:w w:val="110"/>
          <w:sz w:val="21"/>
        </w:rPr>
        <w:t> </w:t>
      </w:r>
      <w:r>
        <w:rPr>
          <w:color w:val="3B3A3B"/>
          <w:w w:val="110"/>
          <w:sz w:val="21"/>
        </w:rPr>
        <w:t>788,</w:t>
      </w:r>
      <w:r>
        <w:rPr>
          <w:color w:val="3B3A3B"/>
          <w:spacing w:val="-13"/>
          <w:w w:val="110"/>
          <w:sz w:val="21"/>
        </w:rPr>
        <w:t> </w:t>
      </w:r>
      <w:r>
        <w:rPr>
          <w:rFonts w:ascii="Arial"/>
          <w:color w:val="3B3A3B"/>
          <w:w w:val="110"/>
          <w:sz w:val="21"/>
        </w:rPr>
        <w:t>800</w:t>
      </w:r>
      <w:r>
        <w:rPr>
          <w:rFonts w:ascii="Arial"/>
          <w:color w:val="3B3A3B"/>
          <w:spacing w:val="-29"/>
          <w:w w:val="110"/>
          <w:sz w:val="21"/>
        </w:rPr>
        <w:t> </w:t>
      </w:r>
      <w:r>
        <w:rPr>
          <w:color w:val="3B3A3B"/>
          <w:w w:val="110"/>
          <w:sz w:val="21"/>
        </w:rPr>
        <w:t>(1985).</w:t>
      </w:r>
    </w:p>
    <w:p>
      <w:pPr>
        <w:pStyle w:val="BodyText"/>
        <w:spacing w:line="235" w:lineRule="auto" w:before="126"/>
        <w:ind w:left="119" w:right="175" w:firstLine="339"/>
        <w:jc w:val="both"/>
      </w:pPr>
      <w:r>
        <w:rPr>
          <w:color w:val="3B3A3B"/>
          <w:w w:val="110"/>
        </w:rPr>
        <w:t>Tell issues can arise in different contexts, but they are most commonly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found in two places in the brief: As is discussed in Chapter Ten, they can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5"/>
        </w:rPr>
        <w:t>arise in introductory material; when you are providing context for your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0"/>
        </w:rPr>
        <w:t>argument as a whole, you may need to address one or more Tell issues to</w:t>
      </w:r>
      <w:r>
        <w:rPr>
          <w:color w:val="3B3A3B"/>
          <w:spacing w:val="1"/>
          <w:w w:val="110"/>
        </w:rPr>
        <w:t> </w:t>
      </w:r>
      <w:r>
        <w:rPr>
          <w:color w:val="3B3A3B"/>
          <w:spacing w:val="-1"/>
          <w:w w:val="115"/>
        </w:rPr>
        <w:t>provide context and clear </w:t>
      </w:r>
      <w:r>
        <w:rPr>
          <w:color w:val="3B3A3B"/>
          <w:w w:val="115"/>
        </w:rPr>
        <w:t>away the uncontroversial points</w:t>
      </w:r>
      <w:r>
        <w:rPr>
          <w:color w:val="5B5B5D"/>
          <w:w w:val="115"/>
        </w:rPr>
        <w:t>. </w:t>
      </w:r>
      <w:r>
        <w:rPr>
          <w:color w:val="3B3A3B"/>
          <w:w w:val="115"/>
        </w:rPr>
        <w:t>Second, they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0"/>
        </w:rPr>
        <w:t>can arise when you are articulating the  rule, either as part of a rule cluster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or</w:t>
      </w:r>
      <w:r>
        <w:rPr>
          <w:color w:val="3B3A3B"/>
          <w:spacing w:val="-15"/>
          <w:w w:val="110"/>
        </w:rPr>
        <w:t> </w:t>
      </w:r>
      <w:r>
        <w:rPr>
          <w:color w:val="3B3A3B"/>
          <w:w w:val="110"/>
        </w:rPr>
        <w:t>as</w:t>
      </w:r>
      <w:r>
        <w:rPr>
          <w:color w:val="3B3A3B"/>
          <w:spacing w:val="-17"/>
          <w:w w:val="110"/>
        </w:rPr>
        <w:t> </w:t>
      </w:r>
      <w:r>
        <w:rPr>
          <w:color w:val="3B3A3B"/>
          <w:w w:val="110"/>
        </w:rPr>
        <w:t>an</w:t>
      </w:r>
      <w:r>
        <w:rPr>
          <w:color w:val="3B3A3B"/>
          <w:spacing w:val="35"/>
          <w:w w:val="110"/>
        </w:rPr>
        <w:t> </w:t>
      </w:r>
      <w:r>
        <w:rPr>
          <w:color w:val="3B3A3B"/>
          <w:w w:val="110"/>
        </w:rPr>
        <w:t>uncontroversial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but</w:t>
      </w:r>
      <w:r>
        <w:rPr>
          <w:color w:val="3B3A3B"/>
          <w:spacing w:val="8"/>
          <w:w w:val="110"/>
        </w:rPr>
        <w:t> </w:t>
      </w:r>
      <w:r>
        <w:rPr>
          <w:color w:val="3B3A3B"/>
          <w:w w:val="110"/>
        </w:rPr>
        <w:t>significant</w:t>
      </w:r>
      <w:r>
        <w:rPr>
          <w:color w:val="3B3A3B"/>
          <w:spacing w:val="20"/>
          <w:w w:val="110"/>
        </w:rPr>
        <w:t> </w:t>
      </w:r>
      <w:r>
        <w:rPr>
          <w:color w:val="3B3A3B"/>
          <w:w w:val="110"/>
        </w:rPr>
        <w:t>facet</w:t>
      </w:r>
      <w:r>
        <w:rPr>
          <w:color w:val="3B3A3B"/>
          <w:spacing w:val="8"/>
          <w:w w:val="110"/>
        </w:rPr>
        <w:t> </w:t>
      </w:r>
      <w:r>
        <w:rPr>
          <w:color w:val="3B3A3B"/>
          <w:w w:val="110"/>
        </w:rPr>
        <w:t>of</w:t>
      </w:r>
      <w:r>
        <w:rPr>
          <w:color w:val="3B3A3B"/>
          <w:spacing w:val="22"/>
          <w:w w:val="110"/>
        </w:rPr>
        <w:t> </w:t>
      </w:r>
      <w:r>
        <w:rPr>
          <w:color w:val="3B3A3B"/>
          <w:w w:val="110"/>
        </w:rPr>
        <w:t>a</w:t>
      </w:r>
      <w:r>
        <w:rPr>
          <w:color w:val="3B3A3B"/>
          <w:spacing w:val="9"/>
          <w:w w:val="110"/>
        </w:rPr>
        <w:t> </w:t>
      </w:r>
      <w:r>
        <w:rPr>
          <w:color w:val="3B3A3B"/>
          <w:w w:val="110"/>
        </w:rPr>
        <w:t>governing</w:t>
      </w:r>
      <w:r>
        <w:rPr>
          <w:color w:val="3B3A3B"/>
          <w:spacing w:val="8"/>
          <w:w w:val="110"/>
        </w:rPr>
        <w:t> </w:t>
      </w:r>
      <w:r>
        <w:rPr>
          <w:color w:val="3B3A3B"/>
          <w:w w:val="110"/>
        </w:rPr>
        <w:t>rule</w:t>
      </w:r>
      <w:r>
        <w:rPr>
          <w:color w:val="5B5B5D"/>
          <w:w w:val="110"/>
        </w:rPr>
        <w:t>.</w:t>
      </w:r>
    </w:p>
    <w:p>
      <w:pPr>
        <w:pStyle w:val="BodyText"/>
        <w:spacing w:before="7"/>
        <w:rPr>
          <w:sz w:val="33"/>
        </w:rPr>
      </w:pPr>
    </w:p>
    <w:p>
      <w:pPr>
        <w:spacing w:before="0"/>
        <w:ind w:left="462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B3A3B"/>
          <w:w w:val="105"/>
          <w:sz w:val="28"/>
        </w:rPr>
        <w:t>5.2.3</w:t>
      </w:r>
    </w:p>
    <w:p>
      <w:pPr>
        <w:spacing w:before="25"/>
        <w:ind w:left="464" w:right="0" w:firstLine="0"/>
        <w:jc w:val="left"/>
        <w:rPr>
          <w:b/>
          <w:sz w:val="24"/>
        </w:rPr>
      </w:pPr>
      <w:r>
        <w:rPr>
          <w:rFonts w:ascii="Arial"/>
          <w:b/>
          <w:color w:val="3B3A3B"/>
          <w:sz w:val="22"/>
        </w:rPr>
        <w:t>CLARIFY</w:t>
      </w:r>
      <w:r>
        <w:rPr>
          <w:rFonts w:ascii="Arial"/>
          <w:b/>
          <w:color w:val="3B3A3B"/>
          <w:spacing w:val="11"/>
          <w:sz w:val="22"/>
        </w:rPr>
        <w:t> </w:t>
      </w:r>
      <w:r>
        <w:rPr>
          <w:rFonts w:ascii="Arial"/>
          <w:b/>
          <w:color w:val="3B3A3B"/>
          <w:sz w:val="22"/>
        </w:rPr>
        <w:t>OR</w:t>
      </w:r>
      <w:r>
        <w:rPr>
          <w:rFonts w:ascii="Arial"/>
          <w:b/>
          <w:color w:val="3B3A3B"/>
          <w:spacing w:val="1"/>
          <w:sz w:val="22"/>
        </w:rPr>
        <w:t> </w:t>
      </w:r>
      <w:r>
        <w:rPr>
          <w:rFonts w:ascii="Arial"/>
          <w:b/>
          <w:color w:val="3B3A3B"/>
          <w:sz w:val="22"/>
        </w:rPr>
        <w:t>CRAC</w:t>
      </w:r>
      <w:r>
        <w:rPr>
          <w:rFonts w:ascii="Arial"/>
          <w:b/>
          <w:color w:val="3B3A3B"/>
          <w:spacing w:val="18"/>
          <w:sz w:val="22"/>
        </w:rPr>
        <w:t> </w:t>
      </w:r>
      <w:r>
        <w:rPr>
          <w:b/>
          <w:color w:val="3B3A3B"/>
          <w:sz w:val="24"/>
        </w:rPr>
        <w:t>ISSUES</w:t>
      </w:r>
    </w:p>
    <w:p>
      <w:pPr>
        <w:pStyle w:val="BodyText"/>
        <w:spacing w:line="230" w:lineRule="auto" w:before="146"/>
        <w:ind w:left="129" w:right="111" w:firstLine="353"/>
        <w:jc w:val="both"/>
      </w:pPr>
      <w:r>
        <w:rPr>
          <w:color w:val="3B3A3B"/>
          <w:w w:val="110"/>
        </w:rPr>
        <w:t>A </w:t>
      </w:r>
      <w:r>
        <w:rPr>
          <w:i/>
          <w:color w:val="3B3A3B"/>
          <w:w w:val="110"/>
          <w:sz w:val="22"/>
        </w:rPr>
        <w:t>Clarify issue </w:t>
      </w:r>
      <w:r>
        <w:rPr>
          <w:color w:val="3B3A3B"/>
          <w:w w:val="110"/>
        </w:rPr>
        <w:t>is similar to a Tell issue, but it is an issue that is a shade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more complex. The  term </w:t>
      </w:r>
      <w:r>
        <w:rPr>
          <w:i/>
          <w:color w:val="3B3A3B"/>
          <w:w w:val="110"/>
          <w:sz w:val="22"/>
        </w:rPr>
        <w:t>Clarify </w:t>
      </w:r>
      <w:r>
        <w:rPr>
          <w:color w:val="3B3A3B"/>
          <w:w w:val="110"/>
        </w:rPr>
        <w:t>signals that the issue needs a bit more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detail in order for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reader to understand either why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issue is not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controversial</w:t>
      </w:r>
      <w:r>
        <w:rPr>
          <w:color w:val="3B3A3B"/>
          <w:spacing w:val="18"/>
          <w:w w:val="110"/>
        </w:rPr>
        <w:t> </w:t>
      </w:r>
      <w:r>
        <w:rPr>
          <w:color w:val="3B3A3B"/>
          <w:w w:val="110"/>
        </w:rPr>
        <w:t>or</w:t>
      </w:r>
      <w:r>
        <w:rPr>
          <w:color w:val="3B3A3B"/>
          <w:spacing w:val="17"/>
          <w:w w:val="110"/>
        </w:rPr>
        <w:t> </w:t>
      </w:r>
      <w:r>
        <w:rPr>
          <w:color w:val="3B3A3B"/>
          <w:w w:val="110"/>
        </w:rPr>
        <w:t>why</w:t>
      </w:r>
      <w:r>
        <w:rPr>
          <w:color w:val="3B3A3B"/>
          <w:spacing w:val="42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37"/>
          <w:w w:val="110"/>
        </w:rPr>
        <w:t> </w:t>
      </w:r>
      <w:r>
        <w:rPr>
          <w:color w:val="3B3A3B"/>
          <w:w w:val="110"/>
        </w:rPr>
        <w:t>issue</w:t>
      </w:r>
      <w:r>
        <w:rPr>
          <w:color w:val="3B3A3B"/>
          <w:spacing w:val="-3"/>
          <w:w w:val="110"/>
        </w:rPr>
        <w:t> </w:t>
      </w:r>
      <w:r>
        <w:rPr>
          <w:color w:val="3B3A3B"/>
          <w:w w:val="110"/>
        </w:rPr>
        <w:t>is</w:t>
      </w:r>
      <w:r>
        <w:rPr>
          <w:color w:val="3B3A3B"/>
          <w:spacing w:val="4"/>
          <w:w w:val="110"/>
        </w:rPr>
        <w:t> </w:t>
      </w:r>
      <w:r>
        <w:rPr>
          <w:color w:val="3B3A3B"/>
          <w:w w:val="110"/>
        </w:rPr>
        <w:t>not</w:t>
      </w:r>
      <w:r>
        <w:rPr>
          <w:color w:val="3B3A3B"/>
          <w:spacing w:val="46"/>
          <w:w w:val="110"/>
        </w:rPr>
        <w:t> </w:t>
      </w:r>
      <w:r>
        <w:rPr>
          <w:color w:val="3B3A3B"/>
          <w:w w:val="110"/>
        </w:rPr>
        <w:t>relevant.</w:t>
      </w:r>
    </w:p>
    <w:p>
      <w:pPr>
        <w:spacing w:after="0" w:line="230" w:lineRule="auto"/>
        <w:jc w:val="both"/>
        <w:sectPr>
          <w:pgSz w:w="9620" w:h="13730"/>
          <w:pgMar w:header="428" w:footer="0" w:top="820" w:bottom="280" w:left="460" w:right="1200"/>
        </w:sectPr>
      </w:pPr>
    </w:p>
    <w:p>
      <w:pPr>
        <w:pStyle w:val="BodyText"/>
        <w:spacing w:line="232" w:lineRule="auto" w:before="87"/>
        <w:ind w:left="717" w:right="70" w:firstLine="409"/>
        <w:jc w:val="both"/>
        <w:rPr>
          <w:i/>
          <w:sz w:val="22"/>
        </w:rPr>
      </w:pPr>
      <w:r>
        <w:rPr>
          <w:color w:val="383636"/>
          <w:spacing w:val="-1"/>
          <w:w w:val="110"/>
        </w:rPr>
        <w:t>For example, presume that your client, Old Testament </w:t>
      </w:r>
      <w:r>
        <w:rPr>
          <w:color w:val="383636"/>
          <w:w w:val="110"/>
        </w:rPr>
        <w:t>Publishers, is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an employer with eight full-time employees. A plaintiff has filed a suit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under both state and federal age discrimination statutes. The federal stat­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ute applies only to employers with "twenty or more employees for each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05"/>
        </w:rPr>
        <w:t>working day </w:t>
      </w:r>
      <w:r>
        <w:rPr>
          <w:color w:val="383636"/>
          <w:w w:val="105"/>
          <w:sz w:val="21"/>
        </w:rPr>
        <w:t>in </w:t>
      </w:r>
      <w:r>
        <w:rPr>
          <w:color w:val="383636"/>
          <w:w w:val="105"/>
        </w:rPr>
        <w:t>each of twenty or more calendar weeks in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current or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preceding calendar year." In a memorandum in support of a motion to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dismiss, you could conceivably treat the applicability of the federal statute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as</w:t>
      </w:r>
      <w:r>
        <w:rPr>
          <w:color w:val="383636"/>
          <w:spacing w:val="-32"/>
          <w:w w:val="110"/>
        </w:rPr>
        <w:t> </w:t>
      </w:r>
      <w:r>
        <w:rPr>
          <w:color w:val="383636"/>
          <w:w w:val="110"/>
          <w:sz w:val="24"/>
        </w:rPr>
        <w:t>a</w:t>
      </w:r>
      <w:r>
        <w:rPr>
          <w:color w:val="383636"/>
          <w:spacing w:val="-25"/>
          <w:w w:val="110"/>
          <w:sz w:val="24"/>
        </w:rPr>
        <w:t> </w:t>
      </w:r>
      <w:r>
        <w:rPr>
          <w:color w:val="383636"/>
          <w:w w:val="110"/>
        </w:rPr>
        <w:t>Tell</w:t>
      </w:r>
      <w:r>
        <w:rPr>
          <w:color w:val="383636"/>
          <w:spacing w:val="-24"/>
          <w:w w:val="110"/>
        </w:rPr>
        <w:t> </w:t>
      </w:r>
      <w:r>
        <w:rPr>
          <w:i/>
          <w:color w:val="383636"/>
          <w:w w:val="110"/>
          <w:sz w:val="22"/>
        </w:rPr>
        <w:t>issue:</w:t>
      </w:r>
    </w:p>
    <w:p>
      <w:pPr>
        <w:spacing w:line="230" w:lineRule="auto" w:before="133"/>
        <w:ind w:left="1036" w:right="193" w:firstLine="13"/>
        <w:jc w:val="left"/>
        <w:rPr>
          <w:sz w:val="21"/>
        </w:rPr>
      </w:pPr>
      <w:r>
        <w:rPr>
          <w:color w:val="383636"/>
          <w:w w:val="110"/>
          <w:sz w:val="21"/>
        </w:rPr>
        <w:t>Because</w:t>
      </w:r>
      <w:r>
        <w:rPr>
          <w:color w:val="383636"/>
          <w:spacing w:val="-10"/>
          <w:w w:val="110"/>
          <w:sz w:val="21"/>
        </w:rPr>
        <w:t> </w:t>
      </w:r>
      <w:r>
        <w:rPr>
          <w:color w:val="383636"/>
          <w:w w:val="110"/>
          <w:sz w:val="21"/>
        </w:rPr>
        <w:t>Old</w:t>
      </w:r>
      <w:r>
        <w:rPr>
          <w:color w:val="383636"/>
          <w:spacing w:val="3"/>
          <w:w w:val="110"/>
          <w:sz w:val="21"/>
        </w:rPr>
        <w:t> </w:t>
      </w:r>
      <w:r>
        <w:rPr>
          <w:color w:val="383636"/>
          <w:w w:val="110"/>
          <w:sz w:val="21"/>
        </w:rPr>
        <w:t>Testament</w:t>
      </w:r>
      <w:r>
        <w:rPr>
          <w:color w:val="383636"/>
          <w:spacing w:val="5"/>
          <w:w w:val="110"/>
          <w:sz w:val="21"/>
        </w:rPr>
        <w:t> </w:t>
      </w:r>
      <w:r>
        <w:rPr>
          <w:color w:val="383636"/>
          <w:w w:val="110"/>
          <w:sz w:val="21"/>
        </w:rPr>
        <w:t>Publishers</w:t>
      </w:r>
      <w:r>
        <w:rPr>
          <w:color w:val="383636"/>
          <w:spacing w:val="13"/>
          <w:w w:val="110"/>
          <w:sz w:val="21"/>
        </w:rPr>
        <w:t> </w:t>
      </w:r>
      <w:r>
        <w:rPr>
          <w:color w:val="383636"/>
          <w:w w:val="110"/>
          <w:sz w:val="21"/>
        </w:rPr>
        <w:t>has</w:t>
      </w:r>
      <w:r>
        <w:rPr>
          <w:color w:val="383636"/>
          <w:spacing w:val="3"/>
          <w:w w:val="110"/>
          <w:sz w:val="21"/>
        </w:rPr>
        <w:t> </w:t>
      </w:r>
      <w:r>
        <w:rPr>
          <w:color w:val="383636"/>
          <w:w w:val="110"/>
          <w:sz w:val="21"/>
        </w:rPr>
        <w:t>only</w:t>
      </w:r>
      <w:r>
        <w:rPr>
          <w:color w:val="383636"/>
          <w:spacing w:val="-11"/>
          <w:w w:val="110"/>
          <w:sz w:val="21"/>
        </w:rPr>
        <w:t> </w:t>
      </w:r>
      <w:r>
        <w:rPr>
          <w:color w:val="383636"/>
          <w:w w:val="110"/>
          <w:sz w:val="21"/>
        </w:rPr>
        <w:t>eight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employees,</w:t>
      </w:r>
      <w:r>
        <w:rPr>
          <w:color w:val="383636"/>
          <w:spacing w:val="21"/>
          <w:w w:val="110"/>
          <w:sz w:val="21"/>
        </w:rPr>
        <w:t> </w:t>
      </w:r>
      <w:r>
        <w:rPr>
          <w:color w:val="383636"/>
          <w:w w:val="110"/>
          <w:sz w:val="21"/>
        </w:rPr>
        <w:t>the</w:t>
      </w:r>
      <w:r>
        <w:rPr>
          <w:color w:val="383636"/>
          <w:spacing w:val="41"/>
          <w:w w:val="110"/>
          <w:sz w:val="21"/>
        </w:rPr>
        <w:t> </w:t>
      </w:r>
      <w:r>
        <w:rPr>
          <w:color w:val="383636"/>
          <w:w w:val="110"/>
          <w:sz w:val="21"/>
        </w:rPr>
        <w:t>fed­</w:t>
      </w:r>
      <w:r>
        <w:rPr>
          <w:color w:val="383636"/>
          <w:spacing w:val="-55"/>
          <w:w w:val="110"/>
          <w:sz w:val="21"/>
        </w:rPr>
        <w:t> </w:t>
      </w:r>
      <w:r>
        <w:rPr>
          <w:color w:val="383636"/>
          <w:w w:val="110"/>
          <w:sz w:val="21"/>
        </w:rPr>
        <w:t>eral</w:t>
      </w:r>
      <w:r>
        <w:rPr>
          <w:color w:val="383636"/>
          <w:spacing w:val="-17"/>
          <w:w w:val="110"/>
          <w:sz w:val="21"/>
        </w:rPr>
        <w:t> </w:t>
      </w:r>
      <w:r>
        <w:rPr>
          <w:color w:val="383636"/>
          <w:w w:val="110"/>
          <w:sz w:val="21"/>
        </w:rPr>
        <w:t>Age</w:t>
      </w:r>
      <w:r>
        <w:rPr>
          <w:color w:val="383636"/>
          <w:spacing w:val="-20"/>
          <w:w w:val="110"/>
          <w:sz w:val="21"/>
        </w:rPr>
        <w:t> </w:t>
      </w:r>
      <w:r>
        <w:rPr>
          <w:color w:val="383636"/>
          <w:w w:val="110"/>
          <w:sz w:val="21"/>
        </w:rPr>
        <w:t>Discrimination</w:t>
      </w:r>
      <w:r>
        <w:rPr>
          <w:color w:val="383636"/>
          <w:spacing w:val="-14"/>
          <w:w w:val="110"/>
          <w:sz w:val="21"/>
        </w:rPr>
        <w:t> </w:t>
      </w:r>
      <w:r>
        <w:rPr>
          <w:color w:val="383636"/>
          <w:w w:val="110"/>
          <w:sz w:val="21"/>
        </w:rPr>
        <w:t>in</w:t>
      </w:r>
      <w:r>
        <w:rPr>
          <w:color w:val="383636"/>
          <w:spacing w:val="14"/>
          <w:w w:val="110"/>
          <w:sz w:val="21"/>
        </w:rPr>
        <w:t> </w:t>
      </w:r>
      <w:r>
        <w:rPr>
          <w:color w:val="383636"/>
          <w:w w:val="110"/>
          <w:sz w:val="21"/>
        </w:rPr>
        <w:t>Employment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Act</w:t>
      </w:r>
      <w:r>
        <w:rPr>
          <w:color w:val="383636"/>
          <w:spacing w:val="-6"/>
          <w:w w:val="110"/>
          <w:sz w:val="21"/>
        </w:rPr>
        <w:t> </w:t>
      </w:r>
      <w:r>
        <w:rPr>
          <w:color w:val="383636"/>
          <w:w w:val="110"/>
          <w:sz w:val="21"/>
        </w:rPr>
        <w:t>does</w:t>
      </w:r>
      <w:r>
        <w:rPr>
          <w:color w:val="383636"/>
          <w:spacing w:val="3"/>
          <w:w w:val="110"/>
          <w:sz w:val="21"/>
        </w:rPr>
        <w:t> </w:t>
      </w:r>
      <w:r>
        <w:rPr>
          <w:color w:val="383636"/>
          <w:w w:val="110"/>
          <w:sz w:val="21"/>
        </w:rPr>
        <w:t>not</w:t>
      </w:r>
      <w:r>
        <w:rPr>
          <w:color w:val="383636"/>
          <w:spacing w:val="5"/>
          <w:w w:val="110"/>
          <w:sz w:val="21"/>
        </w:rPr>
        <w:t> </w:t>
      </w:r>
      <w:r>
        <w:rPr>
          <w:color w:val="383636"/>
          <w:w w:val="110"/>
          <w:sz w:val="21"/>
        </w:rPr>
        <w:t>apply</w:t>
      </w:r>
      <w:r>
        <w:rPr>
          <w:color w:val="565657"/>
          <w:w w:val="110"/>
          <w:sz w:val="21"/>
        </w:rPr>
        <w:t>.</w:t>
      </w:r>
      <w:r>
        <w:rPr>
          <w:color w:val="565657"/>
          <w:spacing w:val="8"/>
          <w:w w:val="110"/>
          <w:sz w:val="21"/>
        </w:rPr>
        <w:t> </w:t>
      </w:r>
      <w:r>
        <w:rPr>
          <w:color w:val="383636"/>
          <w:w w:val="110"/>
          <w:sz w:val="21"/>
        </w:rPr>
        <w:t>29</w:t>
      </w:r>
      <w:r>
        <w:rPr>
          <w:color w:val="383636"/>
          <w:spacing w:val="-2"/>
          <w:w w:val="110"/>
          <w:sz w:val="21"/>
        </w:rPr>
        <w:t> </w:t>
      </w:r>
      <w:r>
        <w:rPr>
          <w:color w:val="383636"/>
          <w:w w:val="110"/>
          <w:sz w:val="21"/>
        </w:rPr>
        <w:t>U.S</w:t>
      </w:r>
      <w:r>
        <w:rPr>
          <w:color w:val="565657"/>
          <w:w w:val="110"/>
          <w:sz w:val="21"/>
        </w:rPr>
        <w:t>.</w:t>
      </w:r>
      <w:r>
        <w:rPr>
          <w:color w:val="383636"/>
          <w:w w:val="110"/>
          <w:sz w:val="21"/>
        </w:rPr>
        <w:t>C.</w:t>
      </w:r>
    </w:p>
    <w:p>
      <w:pPr>
        <w:spacing w:before="1"/>
        <w:ind w:left="1018" w:right="0" w:firstLine="0"/>
        <w:jc w:val="left"/>
        <w:rPr>
          <w:sz w:val="21"/>
        </w:rPr>
      </w:pPr>
      <w:r>
        <w:rPr>
          <w:color w:val="383636"/>
          <w:w w:val="110"/>
          <w:sz w:val="21"/>
        </w:rPr>
        <w:t>§630(b)</w:t>
      </w:r>
      <w:r>
        <w:rPr>
          <w:color w:val="383636"/>
          <w:spacing w:val="21"/>
          <w:w w:val="110"/>
          <w:sz w:val="21"/>
        </w:rPr>
        <w:t> </w:t>
      </w:r>
      <w:r>
        <w:rPr>
          <w:color w:val="383636"/>
          <w:w w:val="110"/>
          <w:sz w:val="21"/>
        </w:rPr>
        <w:t>(defining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"employer</w:t>
      </w:r>
      <w:r>
        <w:rPr>
          <w:color w:val="565657"/>
          <w:w w:val="110"/>
          <w:sz w:val="21"/>
        </w:rPr>
        <w:t>"</w:t>
      </w:r>
      <w:r>
        <w:rPr>
          <w:color w:val="565657"/>
          <w:spacing w:val="18"/>
          <w:w w:val="110"/>
          <w:sz w:val="21"/>
        </w:rPr>
        <w:t> </w:t>
      </w:r>
      <w:r>
        <w:rPr>
          <w:color w:val="383636"/>
          <w:w w:val="110"/>
          <w:sz w:val="21"/>
        </w:rPr>
        <w:t>as</w:t>
      </w:r>
      <w:r>
        <w:rPr>
          <w:color w:val="383636"/>
          <w:spacing w:val="9"/>
          <w:w w:val="110"/>
          <w:sz w:val="21"/>
        </w:rPr>
        <w:t> </w:t>
      </w:r>
      <w:r>
        <w:rPr>
          <w:color w:val="383636"/>
          <w:w w:val="110"/>
          <w:sz w:val="21"/>
        </w:rPr>
        <w:t>having</w:t>
      </w:r>
      <w:r>
        <w:rPr>
          <w:color w:val="383636"/>
          <w:spacing w:val="-17"/>
          <w:w w:val="110"/>
          <w:sz w:val="21"/>
        </w:rPr>
        <w:t> </w:t>
      </w:r>
      <w:r>
        <w:rPr>
          <w:color w:val="383636"/>
          <w:w w:val="110"/>
          <w:sz w:val="21"/>
        </w:rPr>
        <w:t>"twenty</w:t>
      </w:r>
      <w:r>
        <w:rPr>
          <w:color w:val="383636"/>
          <w:spacing w:val="-10"/>
          <w:w w:val="110"/>
          <w:sz w:val="21"/>
        </w:rPr>
        <w:t> </w:t>
      </w:r>
      <w:r>
        <w:rPr>
          <w:color w:val="383636"/>
          <w:w w:val="110"/>
          <w:sz w:val="21"/>
        </w:rPr>
        <w:t>or</w:t>
      </w:r>
      <w:r>
        <w:rPr>
          <w:color w:val="383636"/>
          <w:spacing w:val="9"/>
          <w:w w:val="110"/>
          <w:sz w:val="21"/>
        </w:rPr>
        <w:t> </w:t>
      </w:r>
      <w:r>
        <w:rPr>
          <w:color w:val="383636"/>
          <w:w w:val="110"/>
          <w:sz w:val="21"/>
        </w:rPr>
        <w:t>more"</w:t>
      </w:r>
      <w:r>
        <w:rPr>
          <w:color w:val="383636"/>
          <w:spacing w:val="-18"/>
          <w:w w:val="110"/>
          <w:sz w:val="21"/>
        </w:rPr>
        <w:t> </w:t>
      </w:r>
      <w:r>
        <w:rPr>
          <w:color w:val="383636"/>
          <w:w w:val="110"/>
          <w:sz w:val="21"/>
        </w:rPr>
        <w:t>employees).</w:t>
      </w:r>
    </w:p>
    <w:p>
      <w:pPr>
        <w:pStyle w:val="BodyText"/>
        <w:spacing w:line="232" w:lineRule="auto" w:before="151"/>
        <w:ind w:left="621" w:right="121" w:firstLine="57"/>
        <w:jc w:val="both"/>
      </w:pPr>
      <w:r>
        <w:rPr>
          <w:color w:val="383636"/>
          <w:w w:val="110"/>
        </w:rPr>
        <w:t>On the other hand, </w:t>
      </w:r>
      <w:r>
        <w:rPr>
          <w:rFonts w:ascii="Arial" w:hAnsi="Arial"/>
          <w:color w:val="383636"/>
          <w:w w:val="110"/>
          <w:sz w:val="22"/>
        </w:rPr>
        <w:t>i.f </w:t>
      </w:r>
      <w:r>
        <w:rPr>
          <w:color w:val="383636"/>
          <w:w w:val="110"/>
        </w:rPr>
        <w:t>your </w:t>
      </w:r>
      <w:r>
        <w:rPr>
          <w:i/>
          <w:color w:val="383636"/>
          <w:w w:val="110"/>
          <w:sz w:val="22"/>
        </w:rPr>
        <w:t>client </w:t>
      </w:r>
      <w:r>
        <w:rPr>
          <w:color w:val="383636"/>
          <w:w w:val="110"/>
        </w:rPr>
        <w:t>were an ice cream parlor in a tourist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town, </w:t>
      </w:r>
      <w:r>
        <w:rPr>
          <w:color w:val="383636"/>
          <w:w w:val="110"/>
          <w:sz w:val="21"/>
        </w:rPr>
        <w:t>its </w:t>
      </w:r>
      <w:r>
        <w:rPr>
          <w:color w:val="383636"/>
          <w:w w:val="110"/>
        </w:rPr>
        <w:t>employee count might take a little more time to make clear,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because </w:t>
      </w:r>
      <w:r>
        <w:rPr>
          <w:i/>
          <w:color w:val="383636"/>
          <w:w w:val="105"/>
          <w:sz w:val="22"/>
        </w:rPr>
        <w:t>its </w:t>
      </w:r>
      <w:r>
        <w:rPr>
          <w:color w:val="383636"/>
          <w:w w:val="105"/>
        </w:rPr>
        <w:t>employee count is not stable throughout the year. In that situ­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ation, the applicability of the statute would be a little more complicated,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and</w:t>
      </w:r>
      <w:r>
        <w:rPr>
          <w:color w:val="383636"/>
          <w:spacing w:val="2"/>
          <w:w w:val="105"/>
        </w:rPr>
        <w:t> </w:t>
      </w:r>
      <w:r>
        <w:rPr>
          <w:color w:val="383636"/>
          <w:w w:val="105"/>
        </w:rPr>
        <w:t>you</w:t>
      </w:r>
      <w:r>
        <w:rPr>
          <w:color w:val="383636"/>
          <w:spacing w:val="-8"/>
          <w:w w:val="105"/>
        </w:rPr>
        <w:t> </w:t>
      </w:r>
      <w:r>
        <w:rPr>
          <w:color w:val="383636"/>
          <w:w w:val="105"/>
        </w:rPr>
        <w:t>should</w:t>
      </w:r>
      <w:r>
        <w:rPr>
          <w:color w:val="383636"/>
          <w:spacing w:val="17"/>
          <w:w w:val="105"/>
        </w:rPr>
        <w:t> </w:t>
      </w:r>
      <w:r>
        <w:rPr>
          <w:color w:val="383636"/>
          <w:w w:val="105"/>
        </w:rPr>
        <w:t>treat</w:t>
      </w:r>
      <w:r>
        <w:rPr>
          <w:color w:val="383636"/>
          <w:spacing w:val="6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8"/>
          <w:w w:val="105"/>
        </w:rPr>
        <w:t> </w:t>
      </w:r>
      <w:r>
        <w:rPr>
          <w:color w:val="383636"/>
          <w:w w:val="105"/>
        </w:rPr>
        <w:t>issue</w:t>
      </w:r>
      <w:r>
        <w:rPr>
          <w:color w:val="383636"/>
          <w:spacing w:val="-10"/>
          <w:w w:val="105"/>
        </w:rPr>
        <w:t> </w:t>
      </w:r>
      <w:r>
        <w:rPr>
          <w:color w:val="383636"/>
          <w:w w:val="105"/>
        </w:rPr>
        <w:t>as</w:t>
      </w:r>
      <w:r>
        <w:rPr>
          <w:color w:val="383636"/>
          <w:spacing w:val="-7"/>
          <w:w w:val="105"/>
        </w:rPr>
        <w:t> </w:t>
      </w:r>
      <w:r>
        <w:rPr>
          <w:color w:val="383636"/>
          <w:w w:val="105"/>
        </w:rPr>
        <w:t>a</w:t>
      </w:r>
      <w:r>
        <w:rPr>
          <w:color w:val="383636"/>
          <w:spacing w:val="2"/>
          <w:w w:val="105"/>
        </w:rPr>
        <w:t> </w:t>
      </w:r>
      <w:r>
        <w:rPr>
          <w:color w:val="383636"/>
          <w:w w:val="105"/>
        </w:rPr>
        <w:t>Clarify</w:t>
      </w:r>
      <w:r>
        <w:rPr>
          <w:color w:val="383636"/>
          <w:spacing w:val="-5"/>
          <w:w w:val="105"/>
        </w:rPr>
        <w:t> </w:t>
      </w:r>
      <w:r>
        <w:rPr>
          <w:color w:val="383636"/>
          <w:w w:val="105"/>
        </w:rPr>
        <w:t>issue:</w:t>
      </w:r>
    </w:p>
    <w:p>
      <w:pPr>
        <w:spacing w:line="237" w:lineRule="auto" w:before="137"/>
        <w:ind w:left="892" w:right="463" w:firstLine="42"/>
        <w:jc w:val="both"/>
        <w:rPr>
          <w:sz w:val="21"/>
        </w:rPr>
      </w:pPr>
      <w:r>
        <w:rPr>
          <w:color w:val="383636"/>
          <w:spacing w:val="-1"/>
          <w:w w:val="115"/>
          <w:sz w:val="21"/>
        </w:rPr>
        <w:t>Mr.</w:t>
      </w:r>
      <w:r>
        <w:rPr>
          <w:color w:val="383636"/>
          <w:spacing w:val="-15"/>
          <w:w w:val="115"/>
          <w:sz w:val="21"/>
        </w:rPr>
        <w:t> </w:t>
      </w:r>
      <w:r>
        <w:rPr>
          <w:color w:val="383636"/>
          <w:spacing w:val="-1"/>
          <w:w w:val="115"/>
          <w:sz w:val="21"/>
        </w:rPr>
        <w:t>Zawierucha</w:t>
      </w:r>
      <w:r>
        <w:rPr>
          <w:color w:val="383636"/>
          <w:spacing w:val="-2"/>
          <w:w w:val="115"/>
          <w:sz w:val="21"/>
        </w:rPr>
        <w:t> </w:t>
      </w:r>
      <w:r>
        <w:rPr>
          <w:color w:val="383636"/>
          <w:spacing w:val="-1"/>
          <w:w w:val="115"/>
          <w:sz w:val="21"/>
        </w:rPr>
        <w:t>cannot</w:t>
      </w:r>
      <w:r>
        <w:rPr>
          <w:color w:val="383636"/>
          <w:spacing w:val="9"/>
          <w:w w:val="115"/>
          <w:sz w:val="21"/>
        </w:rPr>
        <w:t> </w:t>
      </w:r>
      <w:r>
        <w:rPr>
          <w:color w:val="383636"/>
          <w:w w:val="115"/>
          <w:sz w:val="21"/>
        </w:rPr>
        <w:t>bring</w:t>
      </w:r>
      <w:r>
        <w:rPr>
          <w:color w:val="383636"/>
          <w:spacing w:val="-16"/>
          <w:w w:val="115"/>
          <w:sz w:val="21"/>
        </w:rPr>
        <w:t> </w:t>
      </w:r>
      <w:r>
        <w:rPr>
          <w:color w:val="383636"/>
          <w:w w:val="115"/>
          <w:sz w:val="21"/>
        </w:rPr>
        <w:t>a</w:t>
      </w:r>
      <w:r>
        <w:rPr>
          <w:color w:val="383636"/>
          <w:spacing w:val="3"/>
          <w:w w:val="115"/>
          <w:sz w:val="21"/>
        </w:rPr>
        <w:t> </w:t>
      </w:r>
      <w:r>
        <w:rPr>
          <w:color w:val="383636"/>
          <w:w w:val="115"/>
          <w:sz w:val="21"/>
        </w:rPr>
        <w:t>cause</w:t>
      </w:r>
      <w:r>
        <w:rPr>
          <w:color w:val="383636"/>
          <w:spacing w:val="-20"/>
          <w:w w:val="115"/>
          <w:sz w:val="21"/>
        </w:rPr>
        <w:t> </w:t>
      </w:r>
      <w:r>
        <w:rPr>
          <w:color w:val="383636"/>
          <w:w w:val="115"/>
          <w:sz w:val="21"/>
        </w:rPr>
        <w:t>of</w:t>
      </w:r>
      <w:r>
        <w:rPr>
          <w:color w:val="383636"/>
          <w:spacing w:val="-3"/>
          <w:w w:val="115"/>
          <w:sz w:val="21"/>
        </w:rPr>
        <w:t> </w:t>
      </w:r>
      <w:r>
        <w:rPr>
          <w:color w:val="383636"/>
          <w:w w:val="115"/>
          <w:sz w:val="21"/>
        </w:rPr>
        <w:t>action</w:t>
      </w:r>
      <w:r>
        <w:rPr>
          <w:color w:val="383636"/>
          <w:spacing w:val="4"/>
          <w:w w:val="115"/>
          <w:sz w:val="21"/>
        </w:rPr>
        <w:t> </w:t>
      </w:r>
      <w:r>
        <w:rPr>
          <w:color w:val="383636"/>
          <w:w w:val="115"/>
          <w:sz w:val="21"/>
        </w:rPr>
        <w:t>under</w:t>
      </w:r>
      <w:r>
        <w:rPr>
          <w:color w:val="383636"/>
          <w:spacing w:val="-3"/>
          <w:w w:val="115"/>
          <w:sz w:val="21"/>
        </w:rPr>
        <w:t> </w:t>
      </w:r>
      <w:r>
        <w:rPr>
          <w:color w:val="383636"/>
          <w:w w:val="115"/>
          <w:sz w:val="21"/>
        </w:rPr>
        <w:t>the</w:t>
      </w:r>
      <w:r>
        <w:rPr>
          <w:color w:val="383636"/>
          <w:spacing w:val="7"/>
          <w:w w:val="115"/>
          <w:sz w:val="21"/>
        </w:rPr>
        <w:t> </w:t>
      </w:r>
      <w:r>
        <w:rPr>
          <w:color w:val="383636"/>
          <w:w w:val="115"/>
          <w:sz w:val="21"/>
        </w:rPr>
        <w:t>federal</w:t>
      </w:r>
      <w:r>
        <w:rPr>
          <w:color w:val="383636"/>
          <w:spacing w:val="-3"/>
          <w:w w:val="115"/>
          <w:sz w:val="21"/>
        </w:rPr>
        <w:t> </w:t>
      </w:r>
      <w:r>
        <w:rPr>
          <w:color w:val="383636"/>
          <w:w w:val="115"/>
          <w:sz w:val="21"/>
        </w:rPr>
        <w:t>Age</w:t>
      </w:r>
      <w:r>
        <w:rPr>
          <w:color w:val="383636"/>
          <w:spacing w:val="-58"/>
          <w:w w:val="115"/>
          <w:sz w:val="21"/>
        </w:rPr>
        <w:t> </w:t>
      </w:r>
      <w:r>
        <w:rPr>
          <w:color w:val="383636"/>
          <w:w w:val="110"/>
          <w:sz w:val="21"/>
        </w:rPr>
        <w:t>Discrimination in  Employment Act. The Act applies only to employ­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5"/>
          <w:sz w:val="21"/>
        </w:rPr>
        <w:t>ers with "twenty or more employees for each working day in each of</w:t>
      </w:r>
      <w:r>
        <w:rPr>
          <w:color w:val="383636"/>
          <w:spacing w:val="-58"/>
          <w:w w:val="115"/>
          <w:sz w:val="21"/>
        </w:rPr>
        <w:t> </w:t>
      </w:r>
      <w:r>
        <w:rPr>
          <w:color w:val="383636"/>
          <w:w w:val="115"/>
          <w:sz w:val="21"/>
        </w:rPr>
        <w:t>twenty or more calendar weeks in the current or preceding calendar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year." 29 U.S.C. §630(b). Admittedly, Ice Cream Dreams sometimes</w:t>
      </w:r>
      <w:r>
        <w:rPr>
          <w:color w:val="383636"/>
          <w:spacing w:val="-58"/>
          <w:w w:val="115"/>
          <w:sz w:val="21"/>
        </w:rPr>
        <w:t> </w:t>
      </w:r>
      <w:r>
        <w:rPr>
          <w:color w:val="383636"/>
          <w:w w:val="115"/>
          <w:sz w:val="21"/>
        </w:rPr>
        <w:t>employs more than twenty people</w:t>
      </w:r>
      <w:r>
        <w:rPr>
          <w:color w:val="565657"/>
          <w:w w:val="115"/>
          <w:sz w:val="21"/>
        </w:rPr>
        <w:t>. </w:t>
      </w:r>
      <w:r>
        <w:rPr>
          <w:color w:val="383636"/>
          <w:w w:val="115"/>
          <w:sz w:val="21"/>
        </w:rPr>
        <w:t>During thi</w:t>
      </w:r>
      <w:r>
        <w:rPr>
          <w:color w:val="565657"/>
          <w:w w:val="115"/>
          <w:sz w:val="21"/>
        </w:rPr>
        <w:t>s </w:t>
      </w:r>
      <w:r>
        <w:rPr>
          <w:color w:val="383636"/>
          <w:w w:val="115"/>
          <w:sz w:val="21"/>
        </w:rPr>
        <w:t>calendar year, it has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employed twenty or more people during ten calendar weeks. For the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preceding year, it employed twenty or more people during twelve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calendar weeks. Because it has never employed more than twenty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employees for "twenty or more calendar weeks" in a calendar year,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however, Mr. Zawierucha will </w:t>
      </w:r>
      <w:r>
        <w:rPr>
          <w:rFonts w:ascii="Arial" w:hAnsi="Arial"/>
          <w:color w:val="383636"/>
          <w:w w:val="115"/>
          <w:sz w:val="19"/>
        </w:rPr>
        <w:t>be </w:t>
      </w:r>
      <w:r>
        <w:rPr>
          <w:color w:val="383636"/>
          <w:w w:val="115"/>
          <w:sz w:val="21"/>
        </w:rPr>
        <w:t>unable to bring a cause of action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wing</w:t>
      </w:r>
      <w:r>
        <w:rPr>
          <w:rFonts w:ascii="Arial" w:hAnsi="Arial"/>
          <w:i/>
          <w:color w:val="383636"/>
          <w:w w:val="115"/>
          <w:sz w:val="19"/>
        </w:rPr>
        <w:t>this </w:t>
      </w:r>
      <w:r>
        <w:rPr>
          <w:color w:val="383636"/>
          <w:w w:val="115"/>
          <w:sz w:val="21"/>
        </w:rPr>
        <w:t>statute, and this court</w:t>
      </w:r>
      <w:r>
        <w:rPr>
          <w:color w:val="9C9CA0"/>
          <w:w w:val="115"/>
          <w:sz w:val="21"/>
        </w:rPr>
        <w:t>·</w:t>
      </w:r>
      <w:r>
        <w:rPr>
          <w:color w:val="383636"/>
          <w:w w:val="115"/>
          <w:sz w:val="21"/>
        </w:rPr>
        <w:t>should accordingly dismiss Count IV</w:t>
      </w:r>
      <w:r>
        <w:rPr>
          <w:color w:val="383636"/>
          <w:spacing w:val="-58"/>
          <w:w w:val="115"/>
          <w:sz w:val="21"/>
        </w:rPr>
        <w:t> </w:t>
      </w:r>
      <w:r>
        <w:rPr>
          <w:color w:val="383636"/>
          <w:w w:val="115"/>
          <w:sz w:val="21"/>
        </w:rPr>
        <w:t>of</w:t>
      </w:r>
      <w:r>
        <w:rPr>
          <w:color w:val="383636"/>
          <w:spacing w:val="-7"/>
          <w:w w:val="115"/>
          <w:sz w:val="21"/>
        </w:rPr>
        <w:t> </w:t>
      </w:r>
      <w:r>
        <w:rPr>
          <w:color w:val="383636"/>
          <w:w w:val="115"/>
          <w:sz w:val="21"/>
        </w:rPr>
        <w:t>his</w:t>
      </w:r>
      <w:r>
        <w:rPr>
          <w:color w:val="383636"/>
          <w:spacing w:val="-10"/>
          <w:w w:val="115"/>
          <w:sz w:val="21"/>
        </w:rPr>
        <w:t> </w:t>
      </w:r>
      <w:r>
        <w:rPr>
          <w:color w:val="383636"/>
          <w:w w:val="115"/>
          <w:sz w:val="21"/>
        </w:rPr>
        <w:t>complaint.</w:t>
      </w:r>
    </w:p>
    <w:p>
      <w:pPr>
        <w:pStyle w:val="BodyText"/>
        <w:spacing w:line="232" w:lineRule="auto" w:before="143"/>
        <w:ind w:left="514" w:right="162" w:firstLine="25"/>
        <w:jc w:val="both"/>
      </w:pPr>
      <w:r>
        <w:rPr>
          <w:color w:val="383636"/>
          <w:w w:val="110"/>
        </w:rPr>
        <w:t>You might think of a Clarify issue as a CRAC issue, since it requires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you to state a Conclusion, state the Rule, Apply the rule, and provide a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Connection-conclusion.</w:t>
      </w:r>
    </w:p>
    <w:p>
      <w:pPr>
        <w:pStyle w:val="BodyText"/>
        <w:spacing w:line="230" w:lineRule="auto" w:before="3"/>
        <w:ind w:left="377" w:right="174" w:firstLine="487"/>
        <w:jc w:val="both"/>
      </w:pPr>
      <w:r>
        <w:rPr>
          <w:color w:val="383636"/>
          <w:w w:val="105"/>
        </w:rPr>
        <w:t>It is difficult to give an exact formula for distinguishing between Tell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issues and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Clarify issues. You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may  presume that "more is always  better,"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but that is not always true. You will needlessly annoy some readers by giv­</w:t>
      </w:r>
      <w:r>
        <w:rPr>
          <w:color w:val="383636"/>
          <w:spacing w:val="1"/>
          <w:w w:val="105"/>
        </w:rPr>
        <w:t> </w:t>
      </w:r>
      <w:r>
        <w:rPr>
          <w:color w:val="383636"/>
          <w:spacing w:val="-1"/>
          <w:w w:val="110"/>
        </w:rPr>
        <w:t>ing a paragraph </w:t>
      </w:r>
      <w:r>
        <w:rPr>
          <w:color w:val="383636"/>
          <w:w w:val="110"/>
        </w:rPr>
        <w:t>of analysis where a sentence plus citation will suffice. As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you gain more experience in written legal analysis (and experience with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various readers), you will develop your own sense of judgment as to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appropriate depth for your analysis. In the meantime, there are a few fac­</w:t>
      </w:r>
      <w:r>
        <w:rPr>
          <w:color w:val="383636"/>
          <w:spacing w:val="1"/>
          <w:w w:val="110"/>
        </w:rPr>
        <w:t> </w:t>
      </w:r>
      <w:r>
        <w:rPr>
          <w:color w:val="383636"/>
          <w:spacing w:val="-1"/>
          <w:w w:val="115"/>
        </w:rPr>
        <w:t>tors you can consider. For example, is the language in the </w:t>
      </w:r>
      <w:r>
        <w:rPr>
          <w:color w:val="383636"/>
          <w:w w:val="115"/>
        </w:rPr>
        <w:t>rule abstract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or highly technical? The harder the rule is to understand on its own,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more</w:t>
      </w:r>
      <w:r>
        <w:rPr>
          <w:color w:val="383636"/>
          <w:spacing w:val="-16"/>
          <w:w w:val="115"/>
        </w:rPr>
        <w:t> </w:t>
      </w:r>
      <w:r>
        <w:rPr>
          <w:color w:val="383636"/>
          <w:w w:val="115"/>
        </w:rPr>
        <w:t>likely</w:t>
      </w:r>
      <w:r>
        <w:rPr>
          <w:color w:val="383636"/>
          <w:spacing w:val="-11"/>
          <w:w w:val="115"/>
        </w:rPr>
        <w:t> </w:t>
      </w:r>
      <w:r>
        <w:rPr>
          <w:color w:val="383636"/>
          <w:w w:val="115"/>
        </w:rPr>
        <w:t>it</w:t>
      </w:r>
      <w:r>
        <w:rPr>
          <w:color w:val="383636"/>
          <w:spacing w:val="13"/>
          <w:w w:val="115"/>
        </w:rPr>
        <w:t> </w:t>
      </w:r>
      <w:r>
        <w:rPr>
          <w:color w:val="383636"/>
          <w:w w:val="115"/>
        </w:rPr>
        <w:t>is</w:t>
      </w:r>
      <w:r>
        <w:rPr>
          <w:color w:val="383636"/>
          <w:spacing w:val="-5"/>
          <w:w w:val="115"/>
        </w:rPr>
        <w:t> </w:t>
      </w:r>
      <w:r>
        <w:rPr>
          <w:color w:val="383636"/>
          <w:w w:val="115"/>
        </w:rPr>
        <w:t>that</w:t>
      </w:r>
      <w:r>
        <w:rPr>
          <w:color w:val="383636"/>
          <w:spacing w:val="-7"/>
          <w:w w:val="115"/>
        </w:rPr>
        <w:t> </w:t>
      </w:r>
      <w:r>
        <w:rPr>
          <w:color w:val="383636"/>
          <w:w w:val="115"/>
        </w:rPr>
        <w:t>your reader</w:t>
      </w:r>
      <w:r>
        <w:rPr>
          <w:color w:val="383636"/>
          <w:spacing w:val="-4"/>
          <w:w w:val="115"/>
        </w:rPr>
        <w:t> </w:t>
      </w:r>
      <w:r>
        <w:rPr>
          <w:color w:val="383636"/>
          <w:w w:val="115"/>
        </w:rPr>
        <w:t>will</w:t>
      </w:r>
      <w:r>
        <w:rPr>
          <w:color w:val="383636"/>
          <w:spacing w:val="-5"/>
          <w:w w:val="115"/>
        </w:rPr>
        <w:t> </w:t>
      </w:r>
      <w:r>
        <w:rPr>
          <w:color w:val="383636"/>
          <w:w w:val="115"/>
        </w:rPr>
        <w:t>benefit</w:t>
      </w:r>
      <w:r>
        <w:rPr>
          <w:color w:val="383636"/>
          <w:spacing w:val="-11"/>
          <w:w w:val="115"/>
        </w:rPr>
        <w:t> </w:t>
      </w:r>
      <w:r>
        <w:rPr>
          <w:color w:val="383636"/>
          <w:w w:val="115"/>
        </w:rPr>
        <w:t>from</w:t>
      </w:r>
      <w:r>
        <w:rPr>
          <w:color w:val="383636"/>
          <w:spacing w:val="-14"/>
          <w:w w:val="115"/>
        </w:rPr>
        <w:t> </w:t>
      </w:r>
      <w:r>
        <w:rPr>
          <w:color w:val="383636"/>
          <w:w w:val="115"/>
        </w:rPr>
        <w:t>a</w:t>
      </w:r>
      <w:r>
        <w:rPr>
          <w:color w:val="383636"/>
          <w:spacing w:val="-2"/>
          <w:w w:val="115"/>
        </w:rPr>
        <w:t> </w:t>
      </w:r>
      <w:r>
        <w:rPr>
          <w:color w:val="383636"/>
          <w:w w:val="115"/>
        </w:rPr>
        <w:t>Clarify</w:t>
      </w:r>
      <w:r>
        <w:rPr>
          <w:color w:val="383636"/>
          <w:spacing w:val="-10"/>
          <w:w w:val="115"/>
        </w:rPr>
        <w:t> </w:t>
      </w:r>
      <w:r>
        <w:rPr>
          <w:color w:val="383636"/>
          <w:w w:val="115"/>
        </w:rPr>
        <w:t>analysis.</w:t>
      </w:r>
      <w:r>
        <w:rPr>
          <w:color w:val="383636"/>
          <w:spacing w:val="-5"/>
          <w:w w:val="115"/>
        </w:rPr>
        <w:t> </w:t>
      </w:r>
      <w:r>
        <w:rPr>
          <w:color w:val="383636"/>
          <w:w w:val="115"/>
        </w:rPr>
        <w:t>Is</w:t>
      </w:r>
      <w:r>
        <w:rPr>
          <w:color w:val="383636"/>
          <w:spacing w:val="-64"/>
          <w:w w:val="115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connection between the law and the facts complex enough that you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want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to</w:t>
      </w:r>
      <w:r>
        <w:rPr>
          <w:color w:val="383636"/>
          <w:spacing w:val="-3"/>
          <w:w w:val="115"/>
        </w:rPr>
        <w:t> </w:t>
      </w:r>
      <w:r>
        <w:rPr>
          <w:color w:val="383636"/>
          <w:w w:val="115"/>
        </w:rPr>
        <w:t>take</w:t>
      </w:r>
      <w:r>
        <w:rPr>
          <w:color w:val="383636"/>
          <w:spacing w:val="-11"/>
          <w:w w:val="115"/>
        </w:rPr>
        <w:t> </w:t>
      </w:r>
      <w:r>
        <w:rPr>
          <w:color w:val="383636"/>
          <w:w w:val="115"/>
        </w:rPr>
        <w:t>the</w:t>
      </w:r>
      <w:r>
        <w:rPr>
          <w:color w:val="383636"/>
          <w:spacing w:val="18"/>
          <w:w w:val="115"/>
        </w:rPr>
        <w:t> </w:t>
      </w:r>
      <w:r>
        <w:rPr>
          <w:color w:val="383636"/>
          <w:w w:val="115"/>
        </w:rPr>
        <w:t>reader</w:t>
      </w:r>
      <w:r>
        <w:rPr>
          <w:color w:val="383636"/>
          <w:spacing w:val="-2"/>
          <w:w w:val="115"/>
        </w:rPr>
        <w:t> </w:t>
      </w:r>
      <w:r>
        <w:rPr>
          <w:color w:val="383636"/>
          <w:w w:val="115"/>
        </w:rPr>
        <w:t>by</w:t>
      </w:r>
      <w:r>
        <w:rPr>
          <w:color w:val="383636"/>
          <w:spacing w:val="-12"/>
          <w:w w:val="115"/>
        </w:rPr>
        <w:t> </w:t>
      </w:r>
      <w:r>
        <w:rPr>
          <w:color w:val="383636"/>
          <w:w w:val="115"/>
        </w:rPr>
        <w:t>the</w:t>
      </w:r>
      <w:r>
        <w:rPr>
          <w:color w:val="383636"/>
          <w:spacing w:val="18"/>
          <w:w w:val="115"/>
        </w:rPr>
        <w:t> </w:t>
      </w:r>
      <w:r>
        <w:rPr>
          <w:color w:val="383636"/>
          <w:w w:val="115"/>
        </w:rPr>
        <w:t>hand</w:t>
      </w:r>
      <w:r>
        <w:rPr>
          <w:color w:val="383636"/>
          <w:spacing w:val="2"/>
          <w:w w:val="115"/>
        </w:rPr>
        <w:t> </w:t>
      </w:r>
      <w:r>
        <w:rPr>
          <w:color w:val="383636"/>
          <w:w w:val="115"/>
        </w:rPr>
        <w:t>to make</w:t>
      </w:r>
      <w:r>
        <w:rPr>
          <w:color w:val="383636"/>
          <w:spacing w:val="-14"/>
          <w:w w:val="115"/>
        </w:rPr>
        <w:t> </w:t>
      </w:r>
      <w:r>
        <w:rPr>
          <w:color w:val="383636"/>
          <w:w w:val="115"/>
        </w:rPr>
        <w:t>sure</w:t>
      </w:r>
      <w:r>
        <w:rPr>
          <w:color w:val="383636"/>
          <w:spacing w:val="-8"/>
          <w:w w:val="115"/>
        </w:rPr>
        <w:t> </w:t>
      </w:r>
      <w:r>
        <w:rPr>
          <w:color w:val="383636"/>
          <w:w w:val="115"/>
        </w:rPr>
        <w:t>that</w:t>
      </w:r>
      <w:r>
        <w:rPr>
          <w:color w:val="383636"/>
          <w:spacing w:val="-9"/>
          <w:w w:val="115"/>
        </w:rPr>
        <w:t> </w:t>
      </w:r>
      <w:r>
        <w:rPr>
          <w:color w:val="383636"/>
          <w:w w:val="115"/>
        </w:rPr>
        <w:t>the</w:t>
      </w:r>
      <w:r>
        <w:rPr>
          <w:color w:val="383636"/>
          <w:spacing w:val="-7"/>
          <w:w w:val="115"/>
        </w:rPr>
        <w:t> </w:t>
      </w:r>
      <w:r>
        <w:rPr>
          <w:color w:val="383636"/>
          <w:w w:val="115"/>
        </w:rPr>
        <w:t>connection</w:t>
      </w:r>
      <w:r>
        <w:rPr>
          <w:color w:val="383636"/>
          <w:spacing w:val="6"/>
          <w:w w:val="115"/>
        </w:rPr>
        <w:t> </w:t>
      </w:r>
      <w:r>
        <w:rPr>
          <w:color w:val="383636"/>
          <w:w w:val="115"/>
        </w:rPr>
        <w:t>is</w:t>
      </w:r>
    </w:p>
    <w:p>
      <w:pPr>
        <w:spacing w:after="0" w:line="230" w:lineRule="auto"/>
        <w:jc w:val="both"/>
        <w:sectPr>
          <w:headerReference w:type="even" r:id="rId133"/>
          <w:headerReference w:type="default" r:id="rId134"/>
          <w:pgSz w:w="9340" w:h="13800"/>
          <w:pgMar w:header="617" w:footer="0" w:top="960" w:bottom="0" w:left="1300" w:right="0"/>
        </w:sectPr>
      </w:pPr>
    </w:p>
    <w:p>
      <w:pPr>
        <w:pStyle w:val="BodyText"/>
        <w:spacing w:line="235" w:lineRule="auto" w:before="85"/>
        <w:ind w:left="117" w:right="227" w:hanging="7"/>
        <w:jc w:val="both"/>
      </w:pPr>
      <w:r>
        <w:rPr>
          <w:color w:val="3A383A"/>
          <w:w w:val="105"/>
        </w:rPr>
        <w:t>evident? Are you writing about an area  of  law  with which  the  court  may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be unfamiliar? If so,  it  may   be  worth the extra sentence or two to clarify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the</w:t>
      </w:r>
      <w:r>
        <w:rPr>
          <w:color w:val="3A383A"/>
          <w:spacing w:val="-12"/>
          <w:w w:val="105"/>
        </w:rPr>
        <w:t> </w:t>
      </w:r>
      <w:r>
        <w:rPr>
          <w:color w:val="3A383A"/>
          <w:w w:val="105"/>
        </w:rPr>
        <w:t>outcome</w:t>
      </w:r>
      <w:r>
        <w:rPr>
          <w:color w:val="3A383A"/>
          <w:spacing w:val="-11"/>
          <w:w w:val="105"/>
        </w:rPr>
        <w:t> </w:t>
      </w:r>
      <w:r>
        <w:rPr>
          <w:color w:val="3A383A"/>
          <w:w w:val="105"/>
        </w:rPr>
        <w:t>of</w:t>
      </w:r>
      <w:r>
        <w:rPr>
          <w:color w:val="3A383A"/>
          <w:spacing w:val="13"/>
          <w:w w:val="105"/>
        </w:rPr>
        <w:t> </w:t>
      </w:r>
      <w:r>
        <w:rPr>
          <w:color w:val="3A383A"/>
          <w:w w:val="105"/>
        </w:rPr>
        <w:t>the</w:t>
      </w:r>
      <w:r>
        <w:rPr>
          <w:color w:val="3A383A"/>
          <w:spacing w:val="45"/>
          <w:w w:val="105"/>
        </w:rPr>
        <w:t> </w:t>
      </w:r>
      <w:r>
        <w:rPr>
          <w:color w:val="3A383A"/>
          <w:w w:val="105"/>
        </w:rPr>
        <w:t>issue.</w:t>
      </w:r>
    </w:p>
    <w:p>
      <w:pPr>
        <w:pStyle w:val="BodyText"/>
        <w:spacing w:before="7"/>
        <w:rPr>
          <w:sz w:val="32"/>
        </w:rPr>
      </w:pPr>
    </w:p>
    <w:p>
      <w:pPr>
        <w:spacing w:before="1"/>
        <w:ind w:left="0" w:right="6768" w:firstLine="0"/>
        <w:jc w:val="right"/>
        <w:rPr>
          <w:sz w:val="30"/>
        </w:rPr>
      </w:pPr>
      <w:r>
        <w:rPr>
          <w:color w:val="3A383A"/>
          <w:w w:val="110"/>
          <w:sz w:val="30"/>
        </w:rPr>
        <w:t>5.2.4</w:t>
      </w:r>
    </w:p>
    <w:p>
      <w:pPr>
        <w:spacing w:before="27"/>
        <w:ind w:left="440" w:right="0" w:firstLine="0"/>
        <w:jc w:val="both"/>
        <w:rPr>
          <w:rFonts w:ascii="Arial"/>
          <w:sz w:val="22"/>
        </w:rPr>
      </w:pPr>
      <w:r>
        <w:rPr>
          <w:rFonts w:ascii="Arial"/>
          <w:color w:val="4D4D4F"/>
          <w:sz w:val="22"/>
        </w:rPr>
        <w:t>PROVE </w:t>
      </w:r>
      <w:r>
        <w:rPr>
          <w:rFonts w:ascii="Arial"/>
          <w:color w:val="67696B"/>
          <w:sz w:val="22"/>
        </w:rPr>
        <w:t>OR</w:t>
      </w:r>
      <w:r>
        <w:rPr>
          <w:rFonts w:ascii="Arial"/>
          <w:color w:val="67696B"/>
          <w:spacing w:val="8"/>
          <w:sz w:val="22"/>
        </w:rPr>
        <w:t> </w:t>
      </w:r>
      <w:r>
        <w:rPr>
          <w:rFonts w:ascii="Arial"/>
          <w:color w:val="4D4D4F"/>
          <w:sz w:val="23"/>
        </w:rPr>
        <w:t>C</w:t>
      </w:r>
      <w:r>
        <w:rPr>
          <w:rFonts w:ascii="Arial"/>
          <w:color w:val="797C7E"/>
          <w:sz w:val="23"/>
        </w:rPr>
        <w:t>REXA</w:t>
      </w:r>
      <w:r>
        <w:rPr>
          <w:rFonts w:ascii="Arial"/>
          <w:color w:val="4D4D4F"/>
          <w:sz w:val="23"/>
        </w:rPr>
        <w:t>C</w:t>
      </w:r>
      <w:r>
        <w:rPr>
          <w:rFonts w:ascii="Arial"/>
          <w:color w:val="4D4D4F"/>
          <w:spacing w:val="13"/>
          <w:sz w:val="23"/>
        </w:rPr>
        <w:t> </w:t>
      </w:r>
      <w:r>
        <w:rPr>
          <w:rFonts w:ascii="Arial"/>
          <w:color w:val="4D4D4F"/>
          <w:sz w:val="22"/>
        </w:rPr>
        <w:t>ISS</w:t>
      </w:r>
      <w:r>
        <w:rPr>
          <w:rFonts w:ascii="Arial"/>
          <w:color w:val="67696B"/>
          <w:sz w:val="22"/>
        </w:rPr>
        <w:t>U</w:t>
      </w:r>
      <w:r>
        <w:rPr>
          <w:rFonts w:ascii="Arial"/>
          <w:color w:val="4D4D4F"/>
          <w:sz w:val="22"/>
        </w:rPr>
        <w:t>ES</w:t>
      </w:r>
    </w:p>
    <w:p>
      <w:pPr>
        <w:pStyle w:val="BodyText"/>
        <w:spacing w:line="230" w:lineRule="auto" w:before="159"/>
        <w:ind w:left="108" w:right="233" w:firstLine="342"/>
        <w:jc w:val="both"/>
      </w:pPr>
      <w:r>
        <w:rPr>
          <w:color w:val="3A383A"/>
          <w:w w:val="110"/>
        </w:rPr>
        <w:t>Now we have come full circle. I use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word </w:t>
      </w:r>
      <w:r>
        <w:rPr>
          <w:rFonts w:ascii="Arial"/>
          <w:i/>
          <w:color w:val="3A383A"/>
          <w:w w:val="110"/>
          <w:sz w:val="20"/>
        </w:rPr>
        <w:t>Prove </w:t>
      </w:r>
      <w:r>
        <w:rPr>
          <w:color w:val="3A383A"/>
          <w:w w:val="110"/>
        </w:rPr>
        <w:t>to describe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kind of analysis provided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in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 CREXAC unity of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discourse-the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most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in-depth</w:t>
      </w:r>
      <w:r>
        <w:rPr>
          <w:color w:val="3A383A"/>
          <w:spacing w:val="38"/>
          <w:w w:val="110"/>
        </w:rPr>
        <w:t> </w:t>
      </w:r>
      <w:r>
        <w:rPr>
          <w:color w:val="3A383A"/>
          <w:w w:val="110"/>
        </w:rPr>
        <w:t>type</w:t>
      </w:r>
      <w:r>
        <w:rPr>
          <w:color w:val="3A383A"/>
          <w:spacing w:val="12"/>
          <w:w w:val="110"/>
        </w:rPr>
        <w:t> </w:t>
      </w:r>
      <w:r>
        <w:rPr>
          <w:color w:val="3A383A"/>
          <w:w w:val="110"/>
        </w:rPr>
        <w:t>of</w:t>
      </w:r>
      <w:r>
        <w:rPr>
          <w:color w:val="3A383A"/>
          <w:spacing w:val="35"/>
          <w:w w:val="110"/>
        </w:rPr>
        <w:t> </w:t>
      </w:r>
      <w:r>
        <w:rPr>
          <w:color w:val="3A383A"/>
          <w:w w:val="110"/>
        </w:rPr>
        <w:t>legal</w:t>
      </w:r>
      <w:r>
        <w:rPr>
          <w:color w:val="3A383A"/>
          <w:spacing w:val="23"/>
          <w:w w:val="110"/>
        </w:rPr>
        <w:t> </w:t>
      </w:r>
      <w:r>
        <w:rPr>
          <w:color w:val="3A383A"/>
          <w:w w:val="110"/>
        </w:rPr>
        <w:t>analysis.</w:t>
      </w:r>
      <w:r>
        <w:rPr>
          <w:rFonts w:ascii="Arial"/>
          <w:color w:val="3A383A"/>
          <w:w w:val="110"/>
          <w:position w:val="10"/>
          <w:sz w:val="12"/>
        </w:rPr>
        <w:t>8</w:t>
      </w:r>
      <w:r>
        <w:rPr>
          <w:rFonts w:ascii="Arial"/>
          <w:color w:val="3A383A"/>
          <w:spacing w:val="20"/>
          <w:w w:val="110"/>
          <w:position w:val="10"/>
          <w:sz w:val="12"/>
        </w:rPr>
        <w:t> </w:t>
      </w:r>
      <w:r>
        <w:rPr>
          <w:color w:val="3A383A"/>
          <w:w w:val="110"/>
        </w:rPr>
        <w:t>An</w:t>
      </w:r>
      <w:r>
        <w:rPr>
          <w:color w:val="3A383A"/>
          <w:spacing w:val="24"/>
          <w:w w:val="110"/>
        </w:rPr>
        <w:t> </w:t>
      </w:r>
      <w:r>
        <w:rPr>
          <w:color w:val="3A383A"/>
          <w:w w:val="110"/>
        </w:rPr>
        <w:t>issue</w:t>
      </w:r>
      <w:r>
        <w:rPr>
          <w:color w:val="3A383A"/>
          <w:spacing w:val="21"/>
          <w:w w:val="110"/>
        </w:rPr>
        <w:t> </w:t>
      </w:r>
      <w:r>
        <w:rPr>
          <w:color w:val="3A383A"/>
          <w:w w:val="110"/>
        </w:rPr>
        <w:t>is</w:t>
      </w:r>
      <w:r>
        <w:rPr>
          <w:color w:val="3A383A"/>
          <w:spacing w:val="9"/>
          <w:w w:val="110"/>
        </w:rPr>
        <w:t> </w:t>
      </w:r>
      <w:r>
        <w:rPr>
          <w:color w:val="3A383A"/>
          <w:w w:val="110"/>
        </w:rPr>
        <w:t>a</w:t>
      </w:r>
      <w:r>
        <w:rPr>
          <w:color w:val="3A383A"/>
          <w:spacing w:val="18"/>
          <w:w w:val="110"/>
        </w:rPr>
        <w:t> </w:t>
      </w:r>
      <w:r>
        <w:rPr>
          <w:rFonts w:ascii="Arial"/>
          <w:i/>
          <w:color w:val="3A383A"/>
          <w:w w:val="110"/>
          <w:sz w:val="20"/>
        </w:rPr>
        <w:t>Prove</w:t>
      </w:r>
      <w:r>
        <w:rPr>
          <w:rFonts w:ascii="Arial"/>
          <w:i/>
          <w:color w:val="3A383A"/>
          <w:spacing w:val="8"/>
          <w:w w:val="110"/>
          <w:sz w:val="20"/>
        </w:rPr>
        <w:t> </w:t>
      </w:r>
      <w:r>
        <w:rPr>
          <w:color w:val="3A383A"/>
          <w:w w:val="110"/>
        </w:rPr>
        <w:t>or</w:t>
      </w:r>
      <w:r>
        <w:rPr>
          <w:color w:val="3A383A"/>
          <w:spacing w:val="35"/>
          <w:w w:val="110"/>
        </w:rPr>
        <w:t> </w:t>
      </w:r>
      <w:r>
        <w:rPr>
          <w:rFonts w:ascii="Arial"/>
          <w:i/>
          <w:color w:val="3A383A"/>
          <w:w w:val="110"/>
          <w:sz w:val="20"/>
        </w:rPr>
        <w:t>CREXAC</w:t>
      </w:r>
      <w:r>
        <w:rPr>
          <w:rFonts w:ascii="Arial"/>
          <w:i/>
          <w:color w:val="3A383A"/>
          <w:spacing w:val="31"/>
          <w:w w:val="110"/>
          <w:sz w:val="20"/>
        </w:rPr>
        <w:t> </w:t>
      </w:r>
      <w:r>
        <w:rPr>
          <w:rFonts w:ascii="Arial"/>
          <w:i/>
          <w:color w:val="3A383A"/>
          <w:w w:val="110"/>
          <w:sz w:val="20"/>
        </w:rPr>
        <w:t>issue</w:t>
      </w:r>
      <w:r>
        <w:rPr>
          <w:rFonts w:ascii="Arial"/>
          <w:i/>
          <w:color w:val="3A383A"/>
          <w:spacing w:val="18"/>
          <w:w w:val="110"/>
          <w:sz w:val="20"/>
        </w:rPr>
        <w:t> </w:t>
      </w:r>
      <w:r>
        <w:rPr>
          <w:color w:val="3A383A"/>
          <w:w w:val="110"/>
        </w:rPr>
        <w:t>if</w:t>
      </w:r>
    </w:p>
    <w:p>
      <w:pPr>
        <w:pStyle w:val="ListParagraph"/>
        <w:numPr>
          <w:ilvl w:val="0"/>
          <w:numId w:val="49"/>
        </w:numPr>
        <w:tabs>
          <w:tab w:pos="417" w:val="left" w:leader="none"/>
        </w:tabs>
        <w:spacing w:line="228" w:lineRule="auto" w:before="11" w:after="0"/>
        <w:ind w:left="103" w:right="214" w:firstLine="7"/>
        <w:jc w:val="both"/>
        <w:rPr>
          <w:sz w:val="23"/>
        </w:rPr>
      </w:pPr>
      <w:r>
        <w:rPr>
          <w:color w:val="3A383A"/>
          <w:spacing w:val="-1"/>
          <w:w w:val="110"/>
          <w:sz w:val="23"/>
        </w:rPr>
        <w:t>the issue </w:t>
      </w:r>
      <w:r>
        <w:rPr>
          <w:color w:val="3A383A"/>
          <w:w w:val="110"/>
          <w:sz w:val="23"/>
        </w:rPr>
        <w:t>concerns a required element of the analysis, and (2) the issue</w:t>
      </w:r>
      <w:r>
        <w:rPr>
          <w:color w:val="3A383A"/>
          <w:spacing w:val="1"/>
          <w:w w:val="110"/>
          <w:sz w:val="23"/>
        </w:rPr>
        <w:t> </w:t>
      </w:r>
      <w:r>
        <w:rPr>
          <w:color w:val="3A383A"/>
          <w:w w:val="110"/>
          <w:sz w:val="23"/>
        </w:rPr>
        <w:t>is</w:t>
      </w:r>
      <w:r>
        <w:rPr>
          <w:color w:val="3A383A"/>
          <w:spacing w:val="-21"/>
          <w:w w:val="110"/>
          <w:sz w:val="23"/>
        </w:rPr>
        <w:t> </w:t>
      </w:r>
      <w:r>
        <w:rPr>
          <w:color w:val="3A383A"/>
          <w:w w:val="110"/>
          <w:sz w:val="23"/>
        </w:rPr>
        <w:t>controversial.</w:t>
      </w:r>
    </w:p>
    <w:p>
      <w:pPr>
        <w:pStyle w:val="BodyText"/>
        <w:spacing w:line="232" w:lineRule="auto" w:before="13"/>
        <w:ind w:left="101" w:right="171" w:firstLine="344"/>
        <w:jc w:val="both"/>
      </w:pPr>
      <w:r>
        <w:rPr>
          <w:color w:val="3A383A"/>
          <w:w w:val="115"/>
        </w:rPr>
        <w:t>After you have analyzed the kinds of issues that your case presents,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you should take another look at yoµr working outline. Decide whether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0"/>
        </w:rPr>
        <w:t>each issue listed is an Ignore, Tell, Clarify, or Prove issue, and mark each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as appropriate. Consider whether you have omitted any issues that should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be in your outline. You can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leave an Ignore issue out of your outline, but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you should list Tell issues, perhaps parenthetically, to make sure that you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include</w:t>
      </w:r>
      <w:r>
        <w:rPr>
          <w:color w:val="3A383A"/>
          <w:spacing w:val="-6"/>
          <w:w w:val="115"/>
        </w:rPr>
        <w:t> </w:t>
      </w:r>
      <w:r>
        <w:rPr>
          <w:color w:val="3A383A"/>
          <w:w w:val="115"/>
        </w:rPr>
        <w:t>them</w:t>
      </w:r>
      <w:r>
        <w:rPr>
          <w:color w:val="3A383A"/>
          <w:spacing w:val="-1"/>
          <w:w w:val="115"/>
        </w:rPr>
        <w:t> </w:t>
      </w:r>
      <w:r>
        <w:rPr>
          <w:color w:val="3A383A"/>
          <w:w w:val="115"/>
        </w:rPr>
        <w:t>in</w:t>
      </w:r>
      <w:r>
        <w:rPr>
          <w:color w:val="3A383A"/>
          <w:spacing w:val="2"/>
          <w:w w:val="115"/>
        </w:rPr>
        <w:t> </w:t>
      </w:r>
      <w:r>
        <w:rPr>
          <w:color w:val="3A383A"/>
          <w:w w:val="115"/>
        </w:rPr>
        <w:t>your</w:t>
      </w:r>
      <w:r>
        <w:rPr>
          <w:color w:val="3A383A"/>
          <w:spacing w:val="-9"/>
          <w:w w:val="115"/>
        </w:rPr>
        <w:t> </w:t>
      </w:r>
      <w:r>
        <w:rPr>
          <w:color w:val="3A383A"/>
          <w:w w:val="115"/>
        </w:rPr>
        <w:t>analysis.</w:t>
      </w:r>
    </w:p>
    <w:p>
      <w:pPr>
        <w:pStyle w:val="BodyText"/>
        <w:rPr>
          <w:sz w:val="26"/>
        </w:rPr>
      </w:pPr>
    </w:p>
    <w:p>
      <w:pPr>
        <w:spacing w:before="224"/>
        <w:ind w:left="0" w:right="6735" w:firstLine="0"/>
        <w:jc w:val="right"/>
        <w:rPr>
          <w:sz w:val="35"/>
        </w:rPr>
      </w:pPr>
      <w:r>
        <w:rPr>
          <w:color w:val="4D4D4F"/>
          <w:w w:val="110"/>
          <w:sz w:val="35"/>
        </w:rPr>
        <w:t>5.</w:t>
      </w:r>
      <w:r>
        <w:rPr>
          <w:color w:val="67696B"/>
          <w:w w:val="110"/>
          <w:sz w:val="35"/>
        </w:rPr>
        <w:t>3</w:t>
      </w:r>
    </w:p>
    <w:p>
      <w:pPr>
        <w:spacing w:before="65"/>
        <w:ind w:left="659" w:right="0" w:firstLine="0"/>
        <w:jc w:val="left"/>
        <w:rPr>
          <w:rFonts w:ascii="Arial"/>
          <w:sz w:val="26"/>
        </w:rPr>
      </w:pPr>
      <w:r>
        <w:rPr>
          <w:rFonts w:ascii="Arial"/>
          <w:color w:val="67696B"/>
          <w:w w:val="105"/>
          <w:sz w:val="26"/>
        </w:rPr>
        <w:t>DEA</w:t>
      </w:r>
      <w:r>
        <w:rPr>
          <w:rFonts w:ascii="Arial"/>
          <w:color w:val="8E9093"/>
          <w:w w:val="105"/>
          <w:sz w:val="26"/>
        </w:rPr>
        <w:t>LING</w:t>
      </w:r>
      <w:r>
        <w:rPr>
          <w:rFonts w:ascii="Arial"/>
          <w:color w:val="8E9093"/>
          <w:spacing w:val="73"/>
          <w:w w:val="105"/>
          <w:sz w:val="26"/>
        </w:rPr>
        <w:t> </w:t>
      </w:r>
      <w:r>
        <w:rPr>
          <w:rFonts w:ascii="Arial"/>
          <w:color w:val="797C7E"/>
          <w:w w:val="105"/>
          <w:sz w:val="26"/>
        </w:rPr>
        <w:t>WITH</w:t>
      </w:r>
      <w:r>
        <w:rPr>
          <w:rFonts w:ascii="Arial"/>
          <w:color w:val="797C7E"/>
          <w:spacing w:val="62"/>
          <w:w w:val="105"/>
          <w:sz w:val="26"/>
        </w:rPr>
        <w:t> </w:t>
      </w:r>
      <w:r>
        <w:rPr>
          <w:rFonts w:ascii="Arial"/>
          <w:color w:val="797C7E"/>
          <w:w w:val="105"/>
          <w:sz w:val="26"/>
        </w:rPr>
        <w:t>YOUR</w:t>
      </w:r>
      <w:r>
        <w:rPr>
          <w:rFonts w:ascii="Arial"/>
          <w:color w:val="797C7E"/>
          <w:spacing w:val="66"/>
          <w:w w:val="105"/>
          <w:sz w:val="26"/>
        </w:rPr>
        <w:t> </w:t>
      </w:r>
      <w:r>
        <w:rPr>
          <w:rFonts w:ascii="Arial"/>
          <w:color w:val="797C7E"/>
          <w:w w:val="105"/>
          <w:sz w:val="26"/>
        </w:rPr>
        <w:t>OPPONENT</w:t>
      </w:r>
      <w:r>
        <w:rPr>
          <w:rFonts w:ascii="Arial"/>
          <w:color w:val="3A383A"/>
          <w:w w:val="105"/>
          <w:sz w:val="26"/>
        </w:rPr>
        <w:t>'S</w:t>
      </w:r>
      <w:r>
        <w:rPr>
          <w:rFonts w:ascii="Arial"/>
          <w:color w:val="3A383A"/>
          <w:spacing w:val="2"/>
          <w:w w:val="105"/>
          <w:sz w:val="26"/>
        </w:rPr>
        <w:t> </w:t>
      </w:r>
      <w:r>
        <w:rPr>
          <w:rFonts w:ascii="Arial"/>
          <w:color w:val="67696B"/>
          <w:w w:val="105"/>
          <w:sz w:val="26"/>
        </w:rPr>
        <w:t>ARGUMENT</w:t>
      </w:r>
      <w:r>
        <w:rPr>
          <w:rFonts w:ascii="Arial"/>
          <w:color w:val="4D4D4F"/>
          <w:w w:val="105"/>
          <w:sz w:val="26"/>
        </w:rPr>
        <w:t>S</w:t>
      </w:r>
    </w:p>
    <w:p>
      <w:pPr>
        <w:pStyle w:val="BodyText"/>
        <w:spacing w:before="2"/>
        <w:rPr>
          <w:rFonts w:ascii="Arial"/>
        </w:rPr>
      </w:pPr>
    </w:p>
    <w:p>
      <w:pPr>
        <w:pStyle w:val="BodyText"/>
        <w:spacing w:line="232" w:lineRule="auto"/>
        <w:ind w:left="101" w:right="152" w:firstLine="566"/>
        <w:jc w:val="both"/>
      </w:pPr>
      <w:r>
        <w:rPr>
          <w:color w:val="3A383A"/>
          <w:w w:val="110"/>
        </w:rPr>
        <w:t>A common dilemma for brief writers is whether and how to address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their opponent's arguments. Some advocates believe that acknowledging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the existence of an opponent's argument in any way is a sign of weakness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that should be avoided. These writers may hope that their opponents will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present only a weak case or that the court </w:t>
      </w:r>
      <w:r>
        <w:rPr>
          <w:color w:val="3A383A"/>
          <w:w w:val="110"/>
          <w:sz w:val="22"/>
        </w:rPr>
        <w:t>will </w:t>
      </w:r>
      <w:r>
        <w:rPr>
          <w:color w:val="3A383A"/>
          <w:w w:val="110"/>
        </w:rPr>
        <w:t>not notice the gap. Judge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Hamilton of the  Fourth Circuit notes that the best briefs "[address] head­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on </w:t>
      </w:r>
      <w:r>
        <w:rPr>
          <w:color w:val="4D4D4F"/>
          <w:w w:val="110"/>
        </w:rPr>
        <w:t>the </w:t>
      </w:r>
      <w:r>
        <w:rPr>
          <w:color w:val="3A383A"/>
          <w:w w:val="110"/>
        </w:rPr>
        <w:t>opponent's  best  responsive  argument,  best  supporting  case  law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or statutory authority, and, if at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issue,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opponent's listing of contrary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evidence."</w:t>
      </w:r>
      <w:r>
        <w:rPr>
          <w:rFonts w:ascii="Arial" w:hAnsi="Arial"/>
          <w:color w:val="3A383A"/>
          <w:w w:val="110"/>
          <w:position w:val="10"/>
          <w:sz w:val="12"/>
        </w:rPr>
        <w:t>9</w:t>
      </w:r>
      <w:r>
        <w:rPr>
          <w:rFonts w:ascii="Arial" w:hAnsi="Arial"/>
          <w:color w:val="3A383A"/>
          <w:spacing w:val="1"/>
          <w:w w:val="110"/>
          <w:position w:val="10"/>
          <w:sz w:val="12"/>
        </w:rPr>
        <w:t> </w:t>
      </w:r>
      <w:r>
        <w:rPr>
          <w:color w:val="3A383A"/>
          <w:w w:val="110"/>
          <w:sz w:val="22"/>
        </w:rPr>
        <w:t>If </w:t>
      </w:r>
      <w:r>
        <w:rPr>
          <w:color w:val="3A383A"/>
          <w:w w:val="110"/>
        </w:rPr>
        <w:t>these authorities are missing,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judge may draw negative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conclusions,</w:t>
      </w:r>
      <w:r>
        <w:rPr>
          <w:color w:val="3A383A"/>
          <w:spacing w:val="2"/>
          <w:w w:val="110"/>
        </w:rPr>
        <w:t> </w:t>
      </w:r>
      <w:r>
        <w:rPr>
          <w:color w:val="3A383A"/>
          <w:w w:val="110"/>
        </w:rPr>
        <w:t>as</w:t>
      </w:r>
      <w:r>
        <w:rPr>
          <w:color w:val="3A383A"/>
          <w:spacing w:val="-13"/>
          <w:w w:val="110"/>
        </w:rPr>
        <w:t> </w:t>
      </w:r>
      <w:r>
        <w:rPr>
          <w:color w:val="3A383A"/>
          <w:w w:val="110"/>
        </w:rPr>
        <w:t>Judge</w:t>
      </w:r>
      <w:r>
        <w:rPr>
          <w:color w:val="3A383A"/>
          <w:spacing w:val="-8"/>
          <w:w w:val="110"/>
        </w:rPr>
        <w:t> </w:t>
      </w:r>
      <w:r>
        <w:rPr>
          <w:color w:val="3A383A"/>
          <w:w w:val="110"/>
        </w:rPr>
        <w:t>Parker</w:t>
      </w:r>
      <w:r>
        <w:rPr>
          <w:color w:val="3A383A"/>
          <w:spacing w:val="-14"/>
          <w:w w:val="110"/>
        </w:rPr>
        <w:t> </w:t>
      </w:r>
      <w:r>
        <w:rPr>
          <w:color w:val="3A383A"/>
          <w:w w:val="110"/>
        </w:rPr>
        <w:t>of</w:t>
      </w:r>
      <w:r>
        <w:rPr>
          <w:color w:val="3A383A"/>
          <w:spacing w:val="10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19"/>
          <w:w w:val="110"/>
        </w:rPr>
        <w:t> </w:t>
      </w:r>
      <w:r>
        <w:rPr>
          <w:color w:val="3A383A"/>
          <w:w w:val="110"/>
        </w:rPr>
        <w:t>Second</w:t>
      </w:r>
      <w:r>
        <w:rPr>
          <w:color w:val="3A383A"/>
          <w:spacing w:val="5"/>
          <w:w w:val="110"/>
        </w:rPr>
        <w:t> </w:t>
      </w:r>
      <w:r>
        <w:rPr>
          <w:color w:val="3A383A"/>
          <w:w w:val="110"/>
        </w:rPr>
        <w:t>Circuit</w:t>
      </w:r>
      <w:r>
        <w:rPr>
          <w:color w:val="3A383A"/>
          <w:spacing w:val="4"/>
          <w:w w:val="110"/>
        </w:rPr>
        <w:t> </w:t>
      </w:r>
      <w:r>
        <w:rPr>
          <w:color w:val="3A383A"/>
          <w:w w:val="110"/>
        </w:rPr>
        <w:t>observes:</w:t>
      </w:r>
    </w:p>
    <w:p>
      <w:pPr>
        <w:spacing w:line="232" w:lineRule="auto" w:before="149"/>
        <w:ind w:left="440" w:right="503" w:firstLine="11"/>
        <w:jc w:val="both"/>
        <w:rPr>
          <w:sz w:val="21"/>
        </w:rPr>
      </w:pPr>
      <w:r>
        <w:rPr>
          <w:color w:val="3A383A"/>
          <w:w w:val="115"/>
          <w:sz w:val="21"/>
        </w:rPr>
        <w:t>I would </w:t>
      </w:r>
      <w:r>
        <w:rPr>
          <w:color w:val="4D4D4F"/>
          <w:w w:val="115"/>
          <w:sz w:val="21"/>
        </w:rPr>
        <w:t>also </w:t>
      </w:r>
      <w:r>
        <w:rPr>
          <w:color w:val="3A383A"/>
          <w:w w:val="115"/>
          <w:sz w:val="21"/>
        </w:rPr>
        <w:t>like to recommend that all advocates distinguish contrary</w:t>
      </w:r>
      <w:r>
        <w:rPr>
          <w:color w:val="3A383A"/>
          <w:spacing w:val="1"/>
          <w:w w:val="115"/>
          <w:sz w:val="21"/>
        </w:rPr>
        <w:t> </w:t>
      </w:r>
      <w:r>
        <w:rPr>
          <w:color w:val="3A383A"/>
          <w:w w:val="115"/>
          <w:sz w:val="21"/>
        </w:rPr>
        <w:t>authority, even in their opening brief. If there is bad precedent out there</w:t>
      </w:r>
      <w:r>
        <w:rPr>
          <w:color w:val="3A383A"/>
          <w:spacing w:val="-58"/>
          <w:w w:val="115"/>
          <w:sz w:val="21"/>
        </w:rPr>
        <w:t> </w:t>
      </w:r>
      <w:r>
        <w:rPr>
          <w:color w:val="3A383A"/>
          <w:w w:val="115"/>
          <w:sz w:val="21"/>
        </w:rPr>
        <w:t>for your case, you </w:t>
      </w:r>
      <w:r>
        <w:rPr>
          <w:color w:val="4D4D4F"/>
          <w:w w:val="115"/>
          <w:sz w:val="21"/>
        </w:rPr>
        <w:t>can </w:t>
      </w:r>
      <w:r>
        <w:rPr>
          <w:color w:val="3A383A"/>
          <w:w w:val="115"/>
          <w:sz w:val="21"/>
        </w:rPr>
        <w:t>assume your adversary will cite it to us, or we</w:t>
      </w:r>
      <w:r>
        <w:rPr>
          <w:color w:val="3A383A"/>
          <w:spacing w:val="1"/>
          <w:w w:val="115"/>
          <w:sz w:val="21"/>
        </w:rPr>
        <w:t> </w:t>
      </w:r>
      <w:r>
        <w:rPr>
          <w:color w:val="3A383A"/>
          <w:w w:val="115"/>
          <w:sz w:val="21"/>
        </w:rPr>
        <w:t>will</w:t>
      </w:r>
      <w:r>
        <w:rPr>
          <w:color w:val="3A383A"/>
          <w:spacing w:val="13"/>
          <w:w w:val="115"/>
          <w:sz w:val="21"/>
        </w:rPr>
        <w:t> </w:t>
      </w:r>
      <w:r>
        <w:rPr>
          <w:color w:val="3A383A"/>
          <w:w w:val="115"/>
          <w:sz w:val="21"/>
        </w:rPr>
        <w:t>independently</w:t>
      </w:r>
      <w:r>
        <w:rPr>
          <w:color w:val="3A383A"/>
          <w:spacing w:val="32"/>
          <w:w w:val="115"/>
          <w:sz w:val="21"/>
        </w:rPr>
        <w:t> </w:t>
      </w:r>
      <w:r>
        <w:rPr>
          <w:color w:val="3A383A"/>
          <w:w w:val="115"/>
          <w:sz w:val="21"/>
        </w:rPr>
        <w:t>find</w:t>
      </w:r>
      <w:r>
        <w:rPr>
          <w:color w:val="3A383A"/>
          <w:spacing w:val="27"/>
          <w:w w:val="115"/>
          <w:sz w:val="21"/>
        </w:rPr>
        <w:t> </w:t>
      </w:r>
      <w:r>
        <w:rPr>
          <w:color w:val="3A383A"/>
          <w:w w:val="115"/>
          <w:sz w:val="20"/>
        </w:rPr>
        <w:t>it.</w:t>
      </w:r>
      <w:r>
        <w:rPr>
          <w:color w:val="3A383A"/>
          <w:spacing w:val="35"/>
          <w:w w:val="115"/>
          <w:sz w:val="20"/>
        </w:rPr>
        <w:t> </w:t>
      </w:r>
      <w:r>
        <w:rPr>
          <w:color w:val="3A383A"/>
          <w:w w:val="115"/>
          <w:sz w:val="21"/>
        </w:rPr>
        <w:t>If</w:t>
      </w:r>
      <w:r>
        <w:rPr>
          <w:color w:val="3A383A"/>
          <w:spacing w:val="30"/>
          <w:w w:val="115"/>
          <w:sz w:val="21"/>
        </w:rPr>
        <w:t> </w:t>
      </w:r>
      <w:r>
        <w:rPr>
          <w:color w:val="3A383A"/>
          <w:w w:val="115"/>
          <w:sz w:val="21"/>
        </w:rPr>
        <w:t>the</w:t>
      </w:r>
      <w:r>
        <w:rPr>
          <w:color w:val="3A383A"/>
          <w:spacing w:val="19"/>
          <w:w w:val="115"/>
          <w:sz w:val="21"/>
        </w:rPr>
        <w:t> </w:t>
      </w:r>
      <w:r>
        <w:rPr>
          <w:color w:val="3A383A"/>
          <w:w w:val="115"/>
          <w:sz w:val="21"/>
        </w:rPr>
        <w:t>first</w:t>
      </w:r>
      <w:r>
        <w:rPr>
          <w:color w:val="3A383A"/>
          <w:spacing w:val="23"/>
          <w:w w:val="115"/>
          <w:sz w:val="21"/>
        </w:rPr>
        <w:t> </w:t>
      </w:r>
      <w:r>
        <w:rPr>
          <w:color w:val="3A383A"/>
          <w:w w:val="115"/>
          <w:sz w:val="21"/>
        </w:rPr>
        <w:t>time</w:t>
      </w:r>
      <w:r>
        <w:rPr>
          <w:color w:val="3A383A"/>
          <w:spacing w:val="14"/>
          <w:w w:val="115"/>
          <w:sz w:val="21"/>
        </w:rPr>
        <w:t> </w:t>
      </w:r>
      <w:r>
        <w:rPr>
          <w:color w:val="3A383A"/>
          <w:w w:val="115"/>
          <w:sz w:val="21"/>
        </w:rPr>
        <w:t>I</w:t>
      </w:r>
      <w:r>
        <w:rPr>
          <w:color w:val="3A383A"/>
          <w:spacing w:val="-1"/>
          <w:w w:val="115"/>
          <w:sz w:val="21"/>
        </w:rPr>
        <w:t> </w:t>
      </w:r>
      <w:r>
        <w:rPr>
          <w:color w:val="3A383A"/>
          <w:w w:val="115"/>
          <w:sz w:val="21"/>
        </w:rPr>
        <w:t>see</w:t>
      </w:r>
      <w:r>
        <w:rPr>
          <w:color w:val="3A383A"/>
          <w:spacing w:val="-7"/>
          <w:w w:val="115"/>
          <w:sz w:val="21"/>
        </w:rPr>
        <w:t> </w:t>
      </w:r>
      <w:r>
        <w:rPr>
          <w:color w:val="3A383A"/>
          <w:w w:val="115"/>
          <w:sz w:val="21"/>
        </w:rPr>
        <w:t>an</w:t>
      </w:r>
      <w:r>
        <w:rPr>
          <w:color w:val="3A383A"/>
          <w:spacing w:val="23"/>
          <w:w w:val="115"/>
          <w:sz w:val="21"/>
        </w:rPr>
        <w:t> </w:t>
      </w:r>
      <w:r>
        <w:rPr>
          <w:color w:val="4D4D4F"/>
          <w:w w:val="115"/>
          <w:sz w:val="21"/>
        </w:rPr>
        <w:t>adverse </w:t>
      </w:r>
      <w:r>
        <w:rPr>
          <w:color w:val="3A383A"/>
          <w:w w:val="115"/>
          <w:sz w:val="21"/>
        </w:rPr>
        <w:t>case</w:t>
      </w:r>
      <w:r>
        <w:rPr>
          <w:color w:val="3A383A"/>
          <w:spacing w:val="12"/>
          <w:w w:val="115"/>
          <w:sz w:val="21"/>
        </w:rPr>
        <w:t> </w:t>
      </w:r>
      <w:r>
        <w:rPr>
          <w:color w:val="3A383A"/>
          <w:w w:val="115"/>
          <w:sz w:val="21"/>
        </w:rPr>
        <w:t>is</w:t>
      </w:r>
      <w:r>
        <w:rPr>
          <w:color w:val="3A383A"/>
          <w:spacing w:val="23"/>
          <w:w w:val="115"/>
          <w:sz w:val="21"/>
        </w:rPr>
        <w:t> </w:t>
      </w:r>
      <w:r>
        <w:rPr>
          <w:color w:val="3A383A"/>
          <w:w w:val="115"/>
          <w:sz w:val="21"/>
        </w:rPr>
        <w:t>In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8"/>
        </w:rPr>
      </w:pPr>
    </w:p>
    <w:p>
      <w:pPr>
        <w:spacing w:line="223" w:lineRule="auto" w:before="0"/>
        <w:ind w:left="103" w:right="111" w:firstLine="337"/>
        <w:jc w:val="both"/>
        <w:rPr>
          <w:sz w:val="18"/>
        </w:rPr>
      </w:pPr>
      <w:r>
        <w:rPr>
          <w:color w:val="3A383A"/>
          <w:w w:val="105"/>
          <w:sz w:val="17"/>
        </w:rPr>
        <w:t>'In  </w:t>
      </w:r>
      <w:r>
        <w:rPr>
          <w:color w:val="3A383A"/>
          <w:w w:val="105"/>
          <w:sz w:val="18"/>
        </w:rPr>
        <w:t>their </w:t>
      </w:r>
      <w:r>
        <w:rPr>
          <w:color w:val="3A383A"/>
          <w:w w:val="105"/>
          <w:sz w:val="17"/>
        </w:rPr>
        <w:t>text, </w:t>
      </w:r>
      <w:r>
        <w:rPr>
          <w:color w:val="3A383A"/>
          <w:w w:val="105"/>
          <w:sz w:val="18"/>
        </w:rPr>
        <w:t>Professors Neumann and Ttsclone use the  term </w:t>
      </w:r>
      <w:r>
        <w:rPr>
          <w:i/>
          <w:color w:val="3A383A"/>
          <w:w w:val="105"/>
          <w:sz w:val="18"/>
        </w:rPr>
        <w:t>mle proofin </w:t>
      </w:r>
      <w:r>
        <w:rPr>
          <w:color w:val="3A383A"/>
          <w:w w:val="105"/>
          <w:sz w:val="18"/>
        </w:rPr>
        <w:t>much the </w:t>
      </w:r>
      <w:r>
        <w:rPr>
          <w:color w:val="4D4D4F"/>
          <w:w w:val="105"/>
          <w:sz w:val="18"/>
        </w:rPr>
        <w:t>same </w:t>
      </w:r>
      <w:r>
        <w:rPr>
          <w:color w:val="3A383A"/>
          <w:w w:val="105"/>
          <w:sz w:val="18"/>
        </w:rPr>
        <w:t>way</w:t>
      </w:r>
      <w:r>
        <w:rPr>
          <w:color w:val="3A383A"/>
          <w:spacing w:val="1"/>
          <w:w w:val="105"/>
          <w:sz w:val="18"/>
        </w:rPr>
        <w:t> </w:t>
      </w:r>
      <w:r>
        <w:rPr>
          <w:color w:val="3A383A"/>
          <w:w w:val="105"/>
          <w:sz w:val="17"/>
        </w:rPr>
        <w:t>that this </w:t>
      </w:r>
      <w:r>
        <w:rPr>
          <w:color w:val="3A383A"/>
          <w:w w:val="105"/>
          <w:sz w:val="18"/>
        </w:rPr>
        <w:t>text uses the</w:t>
      </w:r>
      <w:r>
        <w:rPr>
          <w:color w:val="3A383A"/>
          <w:spacing w:val="1"/>
          <w:w w:val="105"/>
          <w:sz w:val="18"/>
        </w:rPr>
        <w:t> </w:t>
      </w:r>
      <w:r>
        <w:rPr>
          <w:rFonts w:ascii="Arial"/>
          <w:color w:val="3A383A"/>
          <w:w w:val="105"/>
          <w:sz w:val="16"/>
        </w:rPr>
        <w:t>term </w:t>
      </w:r>
      <w:r>
        <w:rPr>
          <w:rFonts w:ascii="Arial"/>
          <w:i/>
          <w:color w:val="3A383A"/>
          <w:w w:val="105"/>
          <w:sz w:val="15"/>
        </w:rPr>
        <w:t>rule </w:t>
      </w:r>
      <w:r>
        <w:rPr>
          <w:rFonts w:ascii="Arial"/>
          <w:i/>
          <w:color w:val="4D4D4F"/>
          <w:w w:val="105"/>
          <w:sz w:val="15"/>
        </w:rPr>
        <w:t>explrmat-1011. </w:t>
      </w:r>
      <w:r>
        <w:rPr>
          <w:color w:val="3A383A"/>
          <w:w w:val="105"/>
          <w:sz w:val="17"/>
        </w:rPr>
        <w:t>Richard </w:t>
      </w:r>
      <w:r>
        <w:rPr>
          <w:rFonts w:ascii="Arial"/>
          <w:color w:val="3A383A"/>
          <w:w w:val="105"/>
          <w:sz w:val="16"/>
        </w:rPr>
        <w:t>K. </w:t>
      </w:r>
      <w:r>
        <w:rPr>
          <w:color w:val="3A383A"/>
          <w:w w:val="105"/>
          <w:sz w:val="18"/>
        </w:rPr>
        <w:t>Neumann, </w:t>
      </w:r>
      <w:r>
        <w:rPr>
          <w:rFonts w:ascii="Arial"/>
          <w:color w:val="3A383A"/>
          <w:w w:val="105"/>
          <w:sz w:val="16"/>
        </w:rPr>
        <w:t>Jr. </w:t>
      </w:r>
      <w:r>
        <w:rPr>
          <w:color w:val="3A383A"/>
          <w:w w:val="105"/>
          <w:sz w:val="16"/>
        </w:rPr>
        <w:t>&amp;</w:t>
      </w:r>
      <w:r>
        <w:rPr>
          <w:color w:val="3A383A"/>
          <w:spacing w:val="1"/>
          <w:w w:val="105"/>
          <w:sz w:val="16"/>
        </w:rPr>
        <w:t> </w:t>
      </w:r>
      <w:r>
        <w:rPr>
          <w:color w:val="3A383A"/>
          <w:w w:val="105"/>
          <w:sz w:val="18"/>
        </w:rPr>
        <w:t>Kristen </w:t>
      </w:r>
      <w:r>
        <w:rPr>
          <w:rFonts w:ascii="Arial"/>
          <w:color w:val="3A383A"/>
          <w:w w:val="105"/>
          <w:sz w:val="16"/>
        </w:rPr>
        <w:t>Konrad </w:t>
      </w:r>
      <w:r>
        <w:rPr>
          <w:color w:val="3A383A"/>
          <w:w w:val="105"/>
          <w:sz w:val="18"/>
        </w:rPr>
        <w:t>Tlsclone,</w:t>
      </w:r>
      <w:r>
        <w:rPr>
          <w:color w:val="3A383A"/>
          <w:spacing w:val="1"/>
          <w:w w:val="105"/>
          <w:sz w:val="18"/>
        </w:rPr>
        <w:t> </w:t>
      </w:r>
      <w:r>
        <w:rPr>
          <w:rFonts w:ascii="Arial"/>
          <w:i/>
          <w:color w:val="4D4D4F"/>
          <w:w w:val="105"/>
          <w:sz w:val="15"/>
        </w:rPr>
        <w:t>Legal</w:t>
      </w:r>
      <w:r>
        <w:rPr>
          <w:rFonts w:ascii="Arial"/>
          <w:i/>
          <w:color w:val="4D4D4F"/>
          <w:spacing w:val="-17"/>
          <w:w w:val="105"/>
          <w:sz w:val="15"/>
        </w:rPr>
        <w:t> </w:t>
      </w:r>
      <w:r>
        <w:rPr>
          <w:rFonts w:ascii="Arial"/>
          <w:i/>
          <w:color w:val="3A383A"/>
          <w:sz w:val="15"/>
        </w:rPr>
        <w:t>Reaso11i11g</w:t>
      </w:r>
      <w:r>
        <w:rPr>
          <w:rFonts w:ascii="Arial"/>
          <w:i/>
          <w:color w:val="3A383A"/>
          <w:spacing w:val="11"/>
          <w:sz w:val="15"/>
        </w:rPr>
        <w:t> </w:t>
      </w:r>
      <w:r>
        <w:rPr>
          <w:rFonts w:ascii="Arial"/>
          <w:i/>
          <w:color w:val="3A383A"/>
          <w:w w:val="105"/>
          <w:sz w:val="15"/>
        </w:rPr>
        <w:t>am/</w:t>
      </w:r>
      <w:r>
        <w:rPr>
          <w:rFonts w:ascii="Arial"/>
          <w:i/>
          <w:color w:val="3A383A"/>
          <w:spacing w:val="16"/>
          <w:w w:val="105"/>
          <w:sz w:val="15"/>
        </w:rPr>
        <w:t> </w:t>
      </w:r>
      <w:r>
        <w:rPr>
          <w:rFonts w:ascii="Arial"/>
          <w:i/>
          <w:color w:val="4D4D4F"/>
          <w:w w:val="105"/>
          <w:sz w:val="15"/>
        </w:rPr>
        <w:t>Legal</w:t>
      </w:r>
      <w:r>
        <w:rPr>
          <w:rFonts w:ascii="Arial"/>
          <w:i/>
          <w:color w:val="4D4D4F"/>
          <w:spacing w:val="-1"/>
          <w:w w:val="105"/>
          <w:sz w:val="15"/>
        </w:rPr>
        <w:t> </w:t>
      </w:r>
      <w:r>
        <w:rPr>
          <w:rFonts w:ascii="Arial"/>
          <w:i/>
          <w:color w:val="3A383A"/>
          <w:w w:val="105"/>
          <w:sz w:val="15"/>
        </w:rPr>
        <w:t>Writing</w:t>
      </w:r>
      <w:r>
        <w:rPr>
          <w:rFonts w:ascii="Arial"/>
          <w:i/>
          <w:color w:val="3A383A"/>
          <w:spacing w:val="-3"/>
          <w:w w:val="105"/>
          <w:sz w:val="15"/>
        </w:rPr>
        <w:t> </w:t>
      </w:r>
      <w:r>
        <w:rPr>
          <w:color w:val="3A383A"/>
          <w:w w:val="105"/>
          <w:sz w:val="18"/>
        </w:rPr>
        <w:t>ch</w:t>
      </w:r>
      <w:r>
        <w:rPr>
          <w:color w:val="67696B"/>
          <w:w w:val="105"/>
          <w:sz w:val="18"/>
        </w:rPr>
        <w:t>.</w:t>
      </w:r>
      <w:r>
        <w:rPr>
          <w:color w:val="67696B"/>
          <w:spacing w:val="-5"/>
          <w:w w:val="105"/>
          <w:sz w:val="18"/>
        </w:rPr>
        <w:t> </w:t>
      </w:r>
      <w:r>
        <w:rPr>
          <w:color w:val="3A383A"/>
          <w:w w:val="105"/>
          <w:sz w:val="17"/>
        </w:rPr>
        <w:t>12</w:t>
      </w:r>
      <w:r>
        <w:rPr>
          <w:color w:val="3A383A"/>
          <w:spacing w:val="10"/>
          <w:w w:val="105"/>
          <w:sz w:val="17"/>
        </w:rPr>
        <w:t> </w:t>
      </w:r>
      <w:r>
        <w:rPr>
          <w:color w:val="3A383A"/>
          <w:w w:val="105"/>
          <w:sz w:val="17"/>
        </w:rPr>
        <w:t>(7th</w:t>
      </w:r>
      <w:r>
        <w:rPr>
          <w:color w:val="3A383A"/>
          <w:spacing w:val="-10"/>
          <w:w w:val="105"/>
          <w:sz w:val="17"/>
        </w:rPr>
        <w:t> </w:t>
      </w:r>
      <w:r>
        <w:rPr>
          <w:color w:val="3A383A"/>
          <w:w w:val="105"/>
          <w:sz w:val="18"/>
        </w:rPr>
        <w:t>ed.,</w:t>
      </w:r>
      <w:r>
        <w:rPr>
          <w:color w:val="3A383A"/>
          <w:spacing w:val="3"/>
          <w:w w:val="105"/>
          <w:sz w:val="18"/>
        </w:rPr>
        <w:t> </w:t>
      </w:r>
      <w:r>
        <w:rPr>
          <w:color w:val="3A383A"/>
          <w:w w:val="105"/>
          <w:sz w:val="18"/>
        </w:rPr>
        <w:t>Aspen</w:t>
      </w:r>
      <w:r>
        <w:rPr>
          <w:color w:val="3A383A"/>
          <w:spacing w:val="6"/>
          <w:w w:val="105"/>
          <w:sz w:val="18"/>
        </w:rPr>
        <w:t> </w:t>
      </w:r>
      <w:r>
        <w:rPr>
          <w:color w:val="3A383A"/>
          <w:w w:val="105"/>
          <w:sz w:val="18"/>
        </w:rPr>
        <w:t>2013).</w:t>
      </w:r>
    </w:p>
    <w:p>
      <w:pPr>
        <w:pStyle w:val="ListParagraph"/>
        <w:numPr>
          <w:ilvl w:val="1"/>
          <w:numId w:val="49"/>
        </w:numPr>
        <w:tabs>
          <w:tab w:pos="519" w:val="left" w:leader="none"/>
        </w:tabs>
        <w:spacing w:line="240" w:lineRule="auto" w:before="7" w:after="0"/>
        <w:ind w:left="518" w:right="0" w:hanging="81"/>
        <w:jc w:val="both"/>
        <w:rPr>
          <w:sz w:val="17"/>
        </w:rPr>
      </w:pPr>
      <w:r>
        <w:rPr>
          <w:color w:val="4D4D4F"/>
          <w:w w:val="110"/>
          <w:sz w:val="17"/>
        </w:rPr>
        <w:t>Clyde</w:t>
      </w:r>
      <w:r>
        <w:rPr>
          <w:color w:val="4D4D4F"/>
          <w:spacing w:val="10"/>
          <w:w w:val="110"/>
          <w:sz w:val="17"/>
        </w:rPr>
        <w:t> </w:t>
      </w:r>
      <w:r>
        <w:rPr>
          <w:color w:val="3A383A"/>
          <w:w w:val="110"/>
          <w:sz w:val="17"/>
        </w:rPr>
        <w:t>H. Hamilton,</w:t>
      </w:r>
      <w:r>
        <w:rPr>
          <w:color w:val="3A383A"/>
          <w:spacing w:val="6"/>
          <w:w w:val="110"/>
          <w:sz w:val="17"/>
        </w:rPr>
        <w:t> </w:t>
      </w:r>
      <w:r>
        <w:rPr>
          <w:rFonts w:ascii="Arial" w:hAnsi="Arial"/>
          <w:i/>
          <w:color w:val="3A383A"/>
          <w:w w:val="110"/>
          <w:sz w:val="15"/>
        </w:rPr>
        <w:t>Effective</w:t>
      </w:r>
      <w:r>
        <w:rPr>
          <w:rFonts w:ascii="Arial" w:hAnsi="Arial"/>
          <w:i/>
          <w:color w:val="3A383A"/>
          <w:spacing w:val="-11"/>
          <w:w w:val="110"/>
          <w:sz w:val="15"/>
        </w:rPr>
        <w:t> </w:t>
      </w:r>
      <w:r>
        <w:rPr>
          <w:rFonts w:ascii="Arial" w:hAnsi="Arial"/>
          <w:i/>
          <w:color w:val="3A383A"/>
          <w:w w:val="110"/>
          <w:sz w:val="15"/>
        </w:rPr>
        <w:t>Appellate</w:t>
      </w:r>
      <w:r>
        <w:rPr>
          <w:rFonts w:ascii="Arial" w:hAnsi="Arial"/>
          <w:i/>
          <w:color w:val="3A383A"/>
          <w:spacing w:val="-4"/>
          <w:w w:val="110"/>
          <w:sz w:val="15"/>
        </w:rPr>
        <w:t> </w:t>
      </w:r>
      <w:r>
        <w:rPr>
          <w:rFonts w:ascii="Arial" w:hAnsi="Arial"/>
          <w:i/>
          <w:color w:val="3A383A"/>
          <w:w w:val="110"/>
          <w:sz w:val="15"/>
        </w:rPr>
        <w:t>Brief</w:t>
      </w:r>
      <w:r>
        <w:rPr>
          <w:rFonts w:ascii="Arial" w:hAnsi="Arial"/>
          <w:i/>
          <w:color w:val="3A383A"/>
          <w:spacing w:val="-12"/>
          <w:w w:val="110"/>
          <w:sz w:val="15"/>
        </w:rPr>
        <w:t> </w:t>
      </w:r>
      <w:r>
        <w:rPr>
          <w:rFonts w:ascii="Arial" w:hAnsi="Arial"/>
          <w:i/>
          <w:color w:val="3A383A"/>
          <w:w w:val="110"/>
          <w:sz w:val="15"/>
        </w:rPr>
        <w:t>Writl11g,</w:t>
      </w:r>
      <w:r>
        <w:rPr>
          <w:rFonts w:ascii="Arial" w:hAnsi="Arial"/>
          <w:i/>
          <w:color w:val="3A383A"/>
          <w:spacing w:val="-11"/>
          <w:w w:val="110"/>
          <w:sz w:val="15"/>
        </w:rPr>
        <w:t> </w:t>
      </w:r>
      <w:r>
        <w:rPr>
          <w:color w:val="3A383A"/>
          <w:w w:val="110"/>
          <w:sz w:val="17"/>
        </w:rPr>
        <w:t>SO</w:t>
      </w:r>
      <w:r>
        <w:rPr>
          <w:color w:val="3A383A"/>
          <w:spacing w:val="-17"/>
          <w:w w:val="110"/>
          <w:sz w:val="17"/>
        </w:rPr>
        <w:t> </w:t>
      </w:r>
      <w:r>
        <w:rPr>
          <w:color w:val="4D4D4F"/>
          <w:w w:val="110"/>
          <w:sz w:val="17"/>
        </w:rPr>
        <w:t>S.C.</w:t>
      </w:r>
      <w:r>
        <w:rPr>
          <w:color w:val="4D4D4F"/>
          <w:spacing w:val="-4"/>
          <w:w w:val="110"/>
          <w:sz w:val="17"/>
        </w:rPr>
        <w:t> </w:t>
      </w:r>
      <w:r>
        <w:rPr>
          <w:color w:val="3A383A"/>
          <w:w w:val="110"/>
          <w:sz w:val="17"/>
        </w:rPr>
        <w:t>L.</w:t>
      </w:r>
      <w:r>
        <w:rPr>
          <w:color w:val="3A383A"/>
          <w:spacing w:val="-4"/>
          <w:w w:val="110"/>
          <w:sz w:val="17"/>
        </w:rPr>
        <w:t> </w:t>
      </w:r>
      <w:r>
        <w:rPr>
          <w:color w:val="3A383A"/>
          <w:w w:val="110"/>
          <w:sz w:val="17"/>
        </w:rPr>
        <w:t>Rev.</w:t>
      </w:r>
      <w:r>
        <w:rPr>
          <w:color w:val="3A383A"/>
          <w:spacing w:val="4"/>
          <w:w w:val="110"/>
          <w:sz w:val="17"/>
        </w:rPr>
        <w:t> </w:t>
      </w:r>
      <w:r>
        <w:rPr>
          <w:color w:val="3A383A"/>
          <w:w w:val="110"/>
          <w:sz w:val="17"/>
        </w:rPr>
        <w:t>S81,</w:t>
      </w:r>
      <w:r>
        <w:rPr>
          <w:color w:val="3A383A"/>
          <w:spacing w:val="-6"/>
          <w:w w:val="110"/>
          <w:sz w:val="17"/>
        </w:rPr>
        <w:t> </w:t>
      </w:r>
      <w:r>
        <w:rPr>
          <w:color w:val="3A383A"/>
          <w:w w:val="110"/>
          <w:sz w:val="17"/>
        </w:rPr>
        <w:t>582</w:t>
      </w:r>
      <w:r>
        <w:rPr>
          <w:color w:val="3A383A"/>
          <w:spacing w:val="19"/>
          <w:w w:val="110"/>
          <w:sz w:val="17"/>
        </w:rPr>
        <w:t> </w:t>
      </w:r>
      <w:r>
        <w:rPr>
          <w:color w:val="3A383A"/>
          <w:w w:val="110"/>
          <w:sz w:val="17"/>
        </w:rPr>
        <w:t>(1999).</w:t>
      </w:r>
    </w:p>
    <w:p>
      <w:pPr>
        <w:spacing w:after="0" w:line="240" w:lineRule="auto"/>
        <w:jc w:val="both"/>
        <w:rPr>
          <w:sz w:val="17"/>
        </w:rPr>
        <w:sectPr>
          <w:pgSz w:w="9550" w:h="13760"/>
          <w:pgMar w:header="395" w:footer="0" w:top="1200" w:bottom="280" w:left="420" w:right="1260"/>
        </w:sectPr>
      </w:pPr>
    </w:p>
    <w:p>
      <w:pPr>
        <w:spacing w:line="240" w:lineRule="auto" w:before="81"/>
        <w:ind w:left="1394" w:right="316" w:firstLine="46"/>
        <w:jc w:val="both"/>
        <w:rPr>
          <w:sz w:val="21"/>
        </w:rPr>
      </w:pPr>
      <w:r>
        <w:rPr>
          <w:color w:val="3D3D3D"/>
          <w:sz w:val="21"/>
        </w:rPr>
        <w:t>the answer</w:t>
      </w:r>
      <w:r>
        <w:rPr>
          <w:color w:val="545456"/>
          <w:sz w:val="21"/>
        </w:rPr>
        <w:t>i</w:t>
      </w:r>
      <w:r>
        <w:rPr>
          <w:color w:val="3D3D3D"/>
          <w:sz w:val="21"/>
        </w:rPr>
        <w:t>ng brief, then </w:t>
      </w:r>
      <w:r>
        <w:rPr>
          <w:rFonts w:ascii="Arial"/>
          <w:i/>
          <w:color w:val="3D3D3D"/>
          <w:sz w:val="20"/>
        </w:rPr>
        <w:t>my </w:t>
      </w:r>
      <w:r>
        <w:rPr>
          <w:color w:val="545456"/>
          <w:sz w:val="21"/>
        </w:rPr>
        <w:t>i</w:t>
      </w:r>
      <w:r>
        <w:rPr>
          <w:color w:val="3D3D3D"/>
          <w:sz w:val="21"/>
        </w:rPr>
        <w:t>nitial reaction is that the appellant does</w:t>
      </w:r>
      <w:r>
        <w:rPr>
          <w:color w:val="3D3D3D"/>
          <w:spacing w:val="-50"/>
          <w:sz w:val="21"/>
        </w:rPr>
        <w:t> </w:t>
      </w:r>
      <w:r>
        <w:rPr>
          <w:color w:val="3D3D3D"/>
          <w:spacing w:val="-1"/>
          <w:sz w:val="21"/>
        </w:rPr>
        <w:t>not</w:t>
      </w:r>
      <w:r>
        <w:rPr>
          <w:color w:val="3D3D3D"/>
          <w:spacing w:val="50"/>
          <w:sz w:val="21"/>
        </w:rPr>
        <w:t> </w:t>
      </w:r>
      <w:r>
        <w:rPr>
          <w:color w:val="3D3D3D"/>
          <w:spacing w:val="-1"/>
          <w:sz w:val="21"/>
        </w:rPr>
        <w:t>have </w:t>
      </w:r>
      <w:r>
        <w:rPr>
          <w:color w:val="3D3D3D"/>
          <w:spacing w:val="-1"/>
          <w:sz w:val="22"/>
        </w:rPr>
        <w:t>a good </w:t>
      </w:r>
      <w:r>
        <w:rPr>
          <w:color w:val="3D3D3D"/>
          <w:spacing w:val="-1"/>
          <w:sz w:val="21"/>
        </w:rPr>
        <w:t>explanation a</w:t>
      </w:r>
      <w:r>
        <w:rPr>
          <w:color w:val="545456"/>
          <w:spacing w:val="-1"/>
          <w:sz w:val="21"/>
        </w:rPr>
        <w:t>s </w:t>
      </w:r>
      <w:r>
        <w:rPr>
          <w:color w:val="3D3D3D"/>
          <w:spacing w:val="-1"/>
          <w:sz w:val="21"/>
        </w:rPr>
        <w:t>to why that case </w:t>
      </w:r>
      <w:r>
        <w:rPr>
          <w:color w:val="3D3D3D"/>
          <w:sz w:val="21"/>
        </w:rPr>
        <w:t>is inapposite.</w:t>
      </w:r>
      <w:r>
        <w:rPr>
          <w:color w:val="3D3D3D"/>
          <w:spacing w:val="53"/>
          <w:sz w:val="21"/>
        </w:rPr>
        <w:t> </w:t>
      </w:r>
      <w:r>
        <w:rPr>
          <w:color w:val="3D3D3D"/>
          <w:sz w:val="21"/>
        </w:rPr>
        <w:t>While</w:t>
      </w:r>
      <w:r>
        <w:rPr>
          <w:color w:val="3D3D3D"/>
          <w:spacing w:val="1"/>
          <w:sz w:val="21"/>
        </w:rPr>
        <w:t> </w:t>
      </w:r>
      <w:r>
        <w:rPr>
          <w:color w:val="3D3D3D"/>
          <w:spacing w:val="-1"/>
          <w:sz w:val="21"/>
        </w:rPr>
        <w:t>a response in the reply brief may dispel </w:t>
      </w:r>
      <w:r>
        <w:rPr>
          <w:color w:val="3D3D3D"/>
          <w:sz w:val="21"/>
        </w:rPr>
        <w:t>this initial impression, it may</w:t>
      </w:r>
      <w:r>
        <w:rPr>
          <w:color w:val="3D3D3D"/>
          <w:spacing w:val="1"/>
          <w:sz w:val="21"/>
        </w:rPr>
        <w:t> </w:t>
      </w:r>
      <w:r>
        <w:rPr>
          <w:color w:val="3D3D3D"/>
          <w:sz w:val="21"/>
        </w:rPr>
        <w:t>not.Th</w:t>
      </w:r>
      <w:r>
        <w:rPr>
          <w:color w:val="545456"/>
          <w:sz w:val="21"/>
        </w:rPr>
        <w:t>e</w:t>
      </w:r>
      <w:r>
        <w:rPr>
          <w:color w:val="3D3D3D"/>
          <w:sz w:val="21"/>
        </w:rPr>
        <w:t>refore, by </w:t>
      </w:r>
      <w:r>
        <w:rPr>
          <w:color w:val="3D3D3D"/>
          <w:sz w:val="19"/>
        </w:rPr>
        <w:t>failing </w:t>
      </w:r>
      <w:r>
        <w:rPr>
          <w:color w:val="3D3D3D"/>
          <w:sz w:val="21"/>
        </w:rPr>
        <w:t>to ment</w:t>
      </w:r>
      <w:r>
        <w:rPr>
          <w:color w:val="545456"/>
          <w:sz w:val="21"/>
        </w:rPr>
        <w:t>i</w:t>
      </w:r>
      <w:r>
        <w:rPr>
          <w:color w:val="3D3D3D"/>
          <w:sz w:val="21"/>
        </w:rPr>
        <w:t>on contrary precedent in the opening</w:t>
      </w:r>
      <w:r>
        <w:rPr>
          <w:color w:val="3D3D3D"/>
          <w:spacing w:val="-50"/>
          <w:sz w:val="21"/>
        </w:rPr>
        <w:t> </w:t>
      </w:r>
      <w:r>
        <w:rPr>
          <w:color w:val="3D3D3D"/>
          <w:w w:val="95"/>
          <w:sz w:val="21"/>
        </w:rPr>
        <w:t>bri</w:t>
      </w:r>
      <w:r>
        <w:rPr>
          <w:color w:val="545456"/>
          <w:w w:val="95"/>
          <w:sz w:val="21"/>
        </w:rPr>
        <w:t>e</w:t>
      </w:r>
      <w:r>
        <w:rPr>
          <w:color w:val="3D3D3D"/>
          <w:w w:val="95"/>
          <w:sz w:val="21"/>
        </w:rPr>
        <w:t>f</w:t>
      </w:r>
      <w:r>
        <w:rPr>
          <w:color w:val="545456"/>
          <w:w w:val="95"/>
          <w:sz w:val="21"/>
        </w:rPr>
        <w:t>, </w:t>
      </w:r>
      <w:r>
        <w:rPr>
          <w:color w:val="3D3D3D"/>
          <w:w w:val="95"/>
          <w:sz w:val="21"/>
        </w:rPr>
        <w:t>the advocate makes </w:t>
      </w:r>
      <w:r>
        <w:rPr>
          <w:color w:val="545456"/>
          <w:w w:val="95"/>
          <w:sz w:val="21"/>
        </w:rPr>
        <w:t>t</w:t>
      </w:r>
      <w:r>
        <w:rPr>
          <w:color w:val="3D3D3D"/>
          <w:w w:val="95"/>
          <w:sz w:val="21"/>
        </w:rPr>
        <w:t>ha</w:t>
      </w:r>
      <w:r>
        <w:rPr>
          <w:color w:val="545456"/>
          <w:w w:val="95"/>
          <w:sz w:val="21"/>
        </w:rPr>
        <w:t>t </w:t>
      </w:r>
      <w:r>
        <w:rPr>
          <w:color w:val="3D3D3D"/>
          <w:w w:val="95"/>
          <w:sz w:val="21"/>
        </w:rPr>
        <w:t>precedent more weighty than </w:t>
      </w:r>
      <w:r>
        <w:rPr>
          <w:color w:val="3D3D3D"/>
          <w:w w:val="95"/>
          <w:sz w:val="18"/>
        </w:rPr>
        <w:t>it</w:t>
      </w:r>
      <w:r>
        <w:rPr>
          <w:color w:val="3D3D3D"/>
          <w:spacing w:val="1"/>
          <w:w w:val="95"/>
          <w:sz w:val="18"/>
        </w:rPr>
        <w:t> </w:t>
      </w:r>
      <w:r>
        <w:rPr>
          <w:color w:val="3D3D3D"/>
          <w:w w:val="95"/>
          <w:sz w:val="21"/>
        </w:rPr>
        <w:t>perhaps</w:t>
      </w:r>
      <w:r>
        <w:rPr>
          <w:color w:val="3D3D3D"/>
          <w:spacing w:val="1"/>
          <w:w w:val="95"/>
          <w:sz w:val="21"/>
        </w:rPr>
        <w:t> </w:t>
      </w:r>
      <w:r>
        <w:rPr>
          <w:color w:val="3D3D3D"/>
          <w:sz w:val="21"/>
        </w:rPr>
        <w:t>should</w:t>
      </w:r>
      <w:r>
        <w:rPr>
          <w:color w:val="3D3D3D"/>
          <w:spacing w:val="-2"/>
          <w:sz w:val="21"/>
        </w:rPr>
        <w:t> </w:t>
      </w:r>
      <w:r>
        <w:rPr>
          <w:color w:val="3D3D3D"/>
          <w:sz w:val="21"/>
        </w:rPr>
        <w:t>be.</w:t>
      </w:r>
      <w:r>
        <w:rPr>
          <w:color w:val="545456"/>
          <w:sz w:val="21"/>
          <w:vertAlign w:val="superscript"/>
        </w:rPr>
        <w:t>1</w:t>
      </w:r>
      <w:r>
        <w:rPr>
          <w:color w:val="3D3D3D"/>
          <w:sz w:val="21"/>
          <w:vertAlign w:val="superscript"/>
        </w:rPr>
        <w:t>0</w:t>
      </w:r>
    </w:p>
    <w:p>
      <w:pPr>
        <w:pStyle w:val="BodyText"/>
        <w:spacing w:line="235" w:lineRule="auto" w:before="115"/>
        <w:ind w:left="1049" w:right="44" w:firstLine="42"/>
        <w:jc w:val="both"/>
      </w:pPr>
      <w:r>
        <w:rPr>
          <w:color w:val="3D3D3D"/>
          <w:w w:val="90"/>
        </w:rPr>
        <w:t>Professor Kathryn Stanchi has analyzed thegrowing body of social science</w:t>
      </w:r>
      <w:r>
        <w:rPr>
          <w:color w:val="3D3D3D"/>
          <w:spacing w:val="1"/>
          <w:w w:val="90"/>
        </w:rPr>
        <w:t> </w:t>
      </w:r>
      <w:r>
        <w:rPr>
          <w:color w:val="3D3D3D"/>
          <w:w w:val="95"/>
        </w:rPr>
        <w:t>research that has investigated the impact of including negative informa.</w:t>
      </w:r>
      <w:r>
        <w:rPr>
          <w:color w:val="3D3D3D"/>
          <w:spacing w:val="1"/>
          <w:w w:val="95"/>
        </w:rPr>
        <w:t> </w:t>
      </w:r>
      <w:r>
        <w:rPr>
          <w:color w:val="3D3D3D"/>
          <w:w w:val="95"/>
        </w:rPr>
        <w:t>tion in various rhetorical situations.</w:t>
      </w:r>
      <w:r>
        <w:rPr>
          <w:color w:val="3D3D3D"/>
          <w:w w:val="95"/>
          <w:vertAlign w:val="superscript"/>
        </w:rPr>
        <w:t>11</w:t>
      </w:r>
      <w:r>
        <w:rPr>
          <w:color w:val="3D3D3D"/>
          <w:w w:val="95"/>
          <w:vertAlign w:val="baseline"/>
        </w:rPr>
        <w:t> Professor Stanchi concludes that,</w:t>
      </w:r>
      <w:r>
        <w:rPr>
          <w:color w:val="3D3D3D"/>
          <w:spacing w:val="1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beyond following the ethical requirement to address directly contradic</w:t>
      </w:r>
      <w:r>
        <w:rPr>
          <w:color w:val="545456"/>
          <w:w w:val="95"/>
          <w:vertAlign w:val="baseline"/>
        </w:rPr>
        <w:t>•</w:t>
      </w:r>
      <w:r>
        <w:rPr>
          <w:color w:val="545456"/>
          <w:spacing w:val="1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tory au</w:t>
      </w:r>
      <w:r>
        <w:rPr>
          <w:color w:val="545456"/>
          <w:w w:val="95"/>
          <w:vertAlign w:val="baseline"/>
        </w:rPr>
        <w:t>t</w:t>
      </w:r>
      <w:r>
        <w:rPr>
          <w:color w:val="3D3D3D"/>
          <w:w w:val="95"/>
          <w:vertAlign w:val="baseline"/>
        </w:rPr>
        <w:t>hority,</w:t>
      </w:r>
      <w:r>
        <w:rPr>
          <w:color w:val="545456"/>
          <w:w w:val="95"/>
          <w:vertAlign w:val="superscript"/>
        </w:rPr>
        <w:t>12</w:t>
      </w:r>
      <w:r>
        <w:rPr>
          <w:color w:val="545456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attorneys must be very careful when</w:t>
      </w:r>
      <w:r>
        <w:rPr>
          <w:color w:val="3D3D3D"/>
          <w:spacing w:val="51"/>
          <w:vertAlign w:val="baseline"/>
        </w:rPr>
        <w:t> </w:t>
      </w:r>
      <w:r>
        <w:rPr>
          <w:color w:val="3D3D3D"/>
          <w:w w:val="95"/>
          <w:vertAlign w:val="baseline"/>
        </w:rPr>
        <w:t>deciding whether</w:t>
      </w:r>
      <w:r>
        <w:rPr>
          <w:color w:val="3D3D3D"/>
          <w:spacing w:val="1"/>
          <w:w w:val="95"/>
          <w:vertAlign w:val="baseline"/>
        </w:rPr>
        <w:t> </w:t>
      </w:r>
      <w:r>
        <w:rPr>
          <w:color w:val="3D3D3D"/>
          <w:w w:val="90"/>
          <w:vertAlign w:val="baseline"/>
        </w:rPr>
        <w:t>and</w:t>
      </w:r>
      <w:r>
        <w:rPr>
          <w:color w:val="3D3D3D"/>
          <w:spacing w:val="-8"/>
          <w:w w:val="90"/>
          <w:vertAlign w:val="baseline"/>
        </w:rPr>
        <w:t> </w:t>
      </w:r>
      <w:r>
        <w:rPr>
          <w:color w:val="3D3D3D"/>
          <w:w w:val="90"/>
          <w:vertAlign w:val="baseline"/>
        </w:rPr>
        <w:t>how</w:t>
      </w:r>
      <w:r>
        <w:rPr>
          <w:color w:val="3D3D3D"/>
          <w:spacing w:val="-18"/>
          <w:w w:val="90"/>
          <w:vertAlign w:val="baseline"/>
        </w:rPr>
        <w:t> </w:t>
      </w:r>
      <w:r>
        <w:rPr>
          <w:color w:val="3D3D3D"/>
          <w:w w:val="90"/>
          <w:vertAlign w:val="baseline"/>
        </w:rPr>
        <w:t>to</w:t>
      </w:r>
      <w:r>
        <w:rPr>
          <w:color w:val="3D3D3D"/>
          <w:spacing w:val="-16"/>
          <w:w w:val="90"/>
          <w:vertAlign w:val="baseline"/>
        </w:rPr>
        <w:t> </w:t>
      </w:r>
      <w:r>
        <w:rPr>
          <w:color w:val="3D3D3D"/>
          <w:w w:val="90"/>
          <w:vertAlign w:val="baseline"/>
        </w:rPr>
        <w:t>bring</w:t>
      </w:r>
      <w:r>
        <w:rPr>
          <w:color w:val="3D3D3D"/>
          <w:spacing w:val="-9"/>
          <w:w w:val="90"/>
          <w:vertAlign w:val="baseline"/>
        </w:rPr>
        <w:t> </w:t>
      </w:r>
      <w:r>
        <w:rPr>
          <w:color w:val="3D3D3D"/>
          <w:w w:val="90"/>
          <w:vertAlign w:val="baseline"/>
        </w:rPr>
        <w:t>up</w:t>
      </w:r>
      <w:r>
        <w:rPr>
          <w:color w:val="3D3D3D"/>
          <w:spacing w:val="-16"/>
          <w:w w:val="90"/>
          <w:vertAlign w:val="baseline"/>
        </w:rPr>
        <w:t> </w:t>
      </w:r>
      <w:r>
        <w:rPr>
          <w:color w:val="3D3D3D"/>
          <w:w w:val="90"/>
          <w:vertAlign w:val="baseline"/>
        </w:rPr>
        <w:t>negat</w:t>
      </w:r>
      <w:r>
        <w:rPr>
          <w:color w:val="545456"/>
          <w:w w:val="90"/>
          <w:vertAlign w:val="baseline"/>
        </w:rPr>
        <w:t>i</w:t>
      </w:r>
      <w:r>
        <w:rPr>
          <w:color w:val="3D3D3D"/>
          <w:w w:val="90"/>
          <w:vertAlign w:val="baseline"/>
        </w:rPr>
        <w:t>ve</w:t>
      </w:r>
      <w:r>
        <w:rPr>
          <w:color w:val="3D3D3D"/>
          <w:spacing w:val="-14"/>
          <w:w w:val="90"/>
          <w:vertAlign w:val="baseline"/>
        </w:rPr>
        <w:t> </w:t>
      </w:r>
      <w:r>
        <w:rPr>
          <w:color w:val="3D3D3D"/>
          <w:w w:val="90"/>
          <w:vertAlign w:val="baseline"/>
        </w:rPr>
        <w:t>arguments.</w:t>
      </w:r>
    </w:p>
    <w:p>
      <w:pPr>
        <w:pStyle w:val="BodyText"/>
        <w:spacing w:line="232" w:lineRule="auto"/>
        <w:ind w:left="962" w:right="57" w:firstLine="382"/>
        <w:jc w:val="right"/>
      </w:pPr>
      <w:r>
        <w:rPr>
          <w:color w:val="3D3D3D"/>
          <w:w w:val="95"/>
        </w:rPr>
        <w:t>Address</w:t>
      </w:r>
      <w:r>
        <w:rPr>
          <w:color w:val="545456"/>
          <w:w w:val="95"/>
        </w:rPr>
        <w:t>i</w:t>
      </w:r>
      <w:r>
        <w:rPr>
          <w:color w:val="3D3D3D"/>
          <w:w w:val="95"/>
        </w:rPr>
        <w:t>ng negative </w:t>
      </w:r>
      <w:r>
        <w:rPr>
          <w:color w:val="545456"/>
          <w:w w:val="95"/>
        </w:rPr>
        <w:t>a</w:t>
      </w:r>
      <w:r>
        <w:rPr>
          <w:color w:val="3D3D3D"/>
          <w:w w:val="95"/>
        </w:rPr>
        <w:t>uthorities is a partof addressing</w:t>
      </w:r>
      <w:r>
        <w:rPr>
          <w:color w:val="3D3D3D"/>
          <w:spacing w:val="1"/>
          <w:w w:val="95"/>
        </w:rPr>
        <w:t> </w:t>
      </w:r>
      <w:r>
        <w:rPr>
          <w:color w:val="3D3D3D"/>
          <w:w w:val="95"/>
        </w:rPr>
        <w:t>your opponent's</w:t>
      </w:r>
      <w:r>
        <w:rPr>
          <w:color w:val="3D3D3D"/>
          <w:spacing w:val="-52"/>
          <w:w w:val="95"/>
        </w:rPr>
        <w:t> </w:t>
      </w:r>
      <w:r>
        <w:rPr>
          <w:color w:val="3D3D3D"/>
          <w:w w:val="95"/>
        </w:rPr>
        <w:t>arguments,</w:t>
      </w:r>
      <w:r>
        <w:rPr>
          <w:color w:val="3D3D3D"/>
          <w:spacing w:val="1"/>
          <w:w w:val="95"/>
        </w:rPr>
        <w:t> </w:t>
      </w:r>
      <w:r>
        <w:rPr>
          <w:color w:val="3D3D3D"/>
          <w:w w:val="95"/>
        </w:rPr>
        <w:t>butit is not theonly part. After you have crafted your working</w:t>
      </w:r>
      <w:r>
        <w:rPr>
          <w:color w:val="3D3D3D"/>
          <w:spacing w:val="1"/>
          <w:w w:val="95"/>
        </w:rPr>
        <w:t> </w:t>
      </w:r>
      <w:r>
        <w:rPr>
          <w:color w:val="3D3D3D"/>
          <w:w w:val="95"/>
        </w:rPr>
        <w:t>outline, make a list of what you consider </w:t>
      </w:r>
      <w:r>
        <w:rPr>
          <w:i/>
          <w:color w:val="3D3D3D"/>
          <w:w w:val="95"/>
        </w:rPr>
        <w:t>to </w:t>
      </w:r>
      <w:r>
        <w:rPr>
          <w:color w:val="3D3D3D"/>
          <w:w w:val="95"/>
        </w:rPr>
        <w:t>be your opponent's most likely</w:t>
      </w:r>
      <w:r>
        <w:rPr>
          <w:color w:val="3D3D3D"/>
          <w:spacing w:val="1"/>
          <w:w w:val="95"/>
        </w:rPr>
        <w:t> </w:t>
      </w:r>
      <w:r>
        <w:rPr>
          <w:color w:val="3D3D3D"/>
          <w:w w:val="95"/>
        </w:rPr>
        <w:t>arguments.</w:t>
      </w:r>
      <w:r>
        <w:rPr>
          <w:color w:val="3D3D3D"/>
          <w:w w:val="95"/>
          <w:vertAlign w:val="superscript"/>
        </w:rPr>
        <w:t>13</w:t>
      </w:r>
      <w:r>
        <w:rPr>
          <w:color w:val="3D3D3D"/>
          <w:w w:val="95"/>
          <w:vertAlign w:val="baseline"/>
        </w:rPr>
        <w:t> For ea</w:t>
      </w:r>
      <w:r>
        <w:rPr>
          <w:color w:val="545456"/>
          <w:w w:val="95"/>
          <w:vertAlign w:val="baseline"/>
        </w:rPr>
        <w:t>c</w:t>
      </w:r>
      <w:r>
        <w:rPr>
          <w:color w:val="3D3D3D"/>
          <w:w w:val="95"/>
          <w:vertAlign w:val="baseline"/>
        </w:rPr>
        <w:t>h argument</w:t>
      </w:r>
      <w:r>
        <w:rPr>
          <w:color w:val="545456"/>
          <w:w w:val="95"/>
          <w:vertAlign w:val="baseline"/>
        </w:rPr>
        <w:t>, </w:t>
      </w:r>
      <w:r>
        <w:rPr>
          <w:color w:val="3D3D3D"/>
          <w:w w:val="95"/>
          <w:vertAlign w:val="baseline"/>
        </w:rPr>
        <w:t>you may need to</w:t>
      </w:r>
      <w:r>
        <w:rPr>
          <w:color w:val="3D3D3D"/>
          <w:spacing w:val="1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make three</w:t>
      </w:r>
      <w:r>
        <w:rPr>
          <w:color w:val="3D3D3D"/>
          <w:spacing w:val="1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determina­</w:t>
      </w:r>
      <w:r>
        <w:rPr>
          <w:color w:val="3D3D3D"/>
          <w:spacing w:val="1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tions. First</w:t>
      </w:r>
      <w:r>
        <w:rPr>
          <w:color w:val="545456"/>
          <w:w w:val="95"/>
          <w:vertAlign w:val="baseline"/>
        </w:rPr>
        <w:t>, </w:t>
      </w:r>
      <w:r>
        <w:rPr>
          <w:color w:val="3D3D3D"/>
          <w:w w:val="95"/>
          <w:vertAlign w:val="baseline"/>
        </w:rPr>
        <w:t>you should </w:t>
      </w:r>
      <w:r>
        <w:rPr>
          <w:color w:val="545456"/>
          <w:w w:val="95"/>
          <w:vertAlign w:val="baseline"/>
        </w:rPr>
        <w:t>i</w:t>
      </w:r>
      <w:r>
        <w:rPr>
          <w:color w:val="3D3D3D"/>
          <w:w w:val="95"/>
          <w:vertAlign w:val="baseline"/>
        </w:rPr>
        <w:t>dentify the precise area of</w:t>
      </w:r>
      <w:r>
        <w:rPr>
          <w:color w:val="3D3D3D"/>
          <w:spacing w:val="1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disagreement. Second,</w:t>
      </w:r>
      <w:r>
        <w:rPr>
          <w:color w:val="3D3D3D"/>
          <w:spacing w:val="1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determine</w:t>
      </w:r>
      <w:r>
        <w:rPr>
          <w:color w:val="3D3D3D"/>
          <w:spacing w:val="1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whether</w:t>
      </w:r>
      <w:r>
        <w:rPr>
          <w:color w:val="3D3D3D"/>
          <w:spacing w:val="1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your argument</w:t>
      </w:r>
      <w:r>
        <w:rPr>
          <w:color w:val="3D3D3D"/>
          <w:spacing w:val="1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as currently</w:t>
      </w:r>
      <w:r>
        <w:rPr>
          <w:color w:val="3D3D3D"/>
          <w:spacing w:val="1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constructed</w:t>
      </w:r>
      <w:r>
        <w:rPr>
          <w:color w:val="3D3D3D"/>
          <w:spacing w:val="1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contains any</w:t>
      </w:r>
      <w:r>
        <w:rPr>
          <w:color w:val="3D3D3D"/>
          <w:spacing w:val="-52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material that contradicts</w:t>
      </w:r>
      <w:r>
        <w:rPr>
          <w:color w:val="3D3D3D"/>
          <w:spacing w:val="1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the particular argument.</w:t>
      </w:r>
      <w:r>
        <w:rPr>
          <w:color w:val="3D3D3D"/>
          <w:spacing w:val="1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If it</w:t>
      </w:r>
      <w:r>
        <w:rPr>
          <w:color w:val="3D3D3D"/>
          <w:spacing w:val="1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does not, your third</w:t>
      </w:r>
      <w:r>
        <w:rPr>
          <w:color w:val="3D3D3D"/>
          <w:spacing w:val="-52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step is todetermine whether and how to</w:t>
      </w:r>
      <w:r>
        <w:rPr>
          <w:color w:val="3D3D3D"/>
          <w:spacing w:val="1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introduce contradictory</w:t>
      </w:r>
      <w:r>
        <w:rPr>
          <w:color w:val="3D3D3D"/>
          <w:spacing w:val="1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material.</w:t>
      </w:r>
      <w:r>
        <w:rPr>
          <w:color w:val="3D3D3D"/>
          <w:spacing w:val="1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F</w:t>
      </w:r>
      <w:r>
        <w:rPr>
          <w:color w:val="545456"/>
          <w:w w:val="95"/>
          <w:vertAlign w:val="baseline"/>
        </w:rPr>
        <w:t>i</w:t>
      </w:r>
      <w:r>
        <w:rPr>
          <w:color w:val="3D3D3D"/>
          <w:w w:val="95"/>
          <w:vertAlign w:val="baseline"/>
        </w:rPr>
        <w:t>rst, determine the exact locus of</w:t>
      </w:r>
      <w:r>
        <w:rPr>
          <w:color w:val="3D3D3D"/>
          <w:spacing w:val="1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the disagreement. The</w:t>
      </w:r>
      <w:r>
        <w:rPr>
          <w:color w:val="3D3D3D"/>
          <w:spacing w:val="1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heart of</w:t>
      </w:r>
      <w:r>
        <w:rPr>
          <w:color w:val="3D3D3D"/>
          <w:spacing w:val="1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the</w:t>
      </w:r>
      <w:r>
        <w:rPr>
          <w:color w:val="3D3D3D"/>
          <w:spacing w:val="1"/>
          <w:w w:val="95"/>
          <w:vertAlign w:val="baseline"/>
        </w:rPr>
        <w:t> </w:t>
      </w:r>
      <w:r>
        <w:rPr>
          <w:color w:val="3D3D3D"/>
          <w:vertAlign w:val="baseline"/>
        </w:rPr>
        <w:t>familiar</w:t>
      </w:r>
      <w:r>
        <w:rPr>
          <w:color w:val="3D3D3D"/>
          <w:spacing w:val="1"/>
          <w:vertAlign w:val="baseline"/>
        </w:rPr>
        <w:t> </w:t>
      </w:r>
      <w:r>
        <w:rPr>
          <w:color w:val="3D3D3D"/>
          <w:vertAlign w:val="baseline"/>
        </w:rPr>
        <w:t>CREXAC</w:t>
      </w:r>
      <w:r>
        <w:rPr>
          <w:color w:val="3D3D3D"/>
          <w:spacing w:val="1"/>
          <w:vertAlign w:val="baseline"/>
        </w:rPr>
        <w:t> </w:t>
      </w:r>
      <w:r>
        <w:rPr>
          <w:color w:val="3D3D3D"/>
          <w:vertAlign w:val="baseline"/>
        </w:rPr>
        <w:t>formula-Rule</w:t>
      </w:r>
      <w:r>
        <w:rPr>
          <w:color w:val="545456"/>
          <w:vertAlign w:val="baseline"/>
        </w:rPr>
        <w:t>,</w:t>
      </w:r>
      <w:r>
        <w:rPr>
          <w:color w:val="545456"/>
          <w:spacing w:val="1"/>
          <w:vertAlign w:val="baseline"/>
        </w:rPr>
        <w:t> </w:t>
      </w:r>
      <w:r>
        <w:rPr>
          <w:color w:val="3D3D3D"/>
          <w:vertAlign w:val="baseline"/>
        </w:rPr>
        <w:t>Explanation,</w:t>
      </w:r>
      <w:r>
        <w:rPr>
          <w:color w:val="3D3D3D"/>
          <w:spacing w:val="1"/>
          <w:vertAlign w:val="baseline"/>
        </w:rPr>
        <w:t> </w:t>
      </w:r>
      <w:r>
        <w:rPr>
          <w:color w:val="3D3D3D"/>
          <w:vertAlign w:val="baseline"/>
        </w:rPr>
        <w:t>and</w:t>
      </w:r>
      <w:r>
        <w:rPr>
          <w:color w:val="3D3D3D"/>
          <w:spacing w:val="1"/>
          <w:vertAlign w:val="baseline"/>
        </w:rPr>
        <w:t> </w:t>
      </w:r>
      <w:r>
        <w:rPr>
          <w:color w:val="3D3D3D"/>
          <w:vertAlign w:val="baseline"/>
        </w:rPr>
        <w:t>Application-can</w:t>
      </w:r>
      <w:r>
        <w:rPr>
          <w:color w:val="3D3D3D"/>
          <w:spacing w:val="1"/>
          <w:vertAlign w:val="baseline"/>
        </w:rPr>
        <w:t> </w:t>
      </w:r>
      <w:r>
        <w:rPr>
          <w:color w:val="3D3D3D"/>
          <w:w w:val="95"/>
          <w:vertAlign w:val="baseline"/>
        </w:rPr>
        <w:t>help you to do so. Perhaps you and your opponent disagree</w:t>
      </w:r>
      <w:r>
        <w:rPr>
          <w:color w:val="3D3D3D"/>
          <w:spacing w:val="1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as</w:t>
      </w:r>
      <w:r>
        <w:rPr>
          <w:color w:val="3D3D3D"/>
          <w:spacing w:val="1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to</w:t>
      </w:r>
      <w:r>
        <w:rPr>
          <w:color w:val="3D3D3D"/>
          <w:spacing w:val="1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the</w:t>
      </w:r>
      <w:r>
        <w:rPr>
          <w:color w:val="3D3D3D"/>
          <w:spacing w:val="1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par.</w:t>
      </w:r>
      <w:r>
        <w:rPr>
          <w:color w:val="3D3D3D"/>
          <w:spacing w:val="-52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ticu</w:t>
      </w:r>
      <w:r>
        <w:rPr>
          <w:color w:val="545456"/>
          <w:w w:val="95"/>
          <w:vertAlign w:val="baseline"/>
        </w:rPr>
        <w:t>l</w:t>
      </w:r>
      <w:r>
        <w:rPr>
          <w:color w:val="3D3D3D"/>
          <w:w w:val="95"/>
          <w:vertAlign w:val="baseline"/>
        </w:rPr>
        <w:t>ar rule that</w:t>
      </w:r>
      <w:r>
        <w:rPr>
          <w:color w:val="3D3D3D"/>
          <w:spacing w:val="1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must be applied.</w:t>
      </w:r>
      <w:r>
        <w:rPr>
          <w:color w:val="3D3D3D"/>
          <w:spacing w:val="1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In</w:t>
      </w:r>
      <w:r>
        <w:rPr>
          <w:color w:val="3D3D3D"/>
          <w:spacing w:val="1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that circumstance,</w:t>
      </w:r>
      <w:r>
        <w:rPr>
          <w:color w:val="3D3D3D"/>
          <w:spacing w:val="1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you</w:t>
      </w:r>
      <w:r>
        <w:rPr>
          <w:color w:val="3D3D3D"/>
          <w:spacing w:val="1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may</w:t>
      </w:r>
      <w:r>
        <w:rPr>
          <w:color w:val="3D3D3D"/>
          <w:spacing w:val="51"/>
          <w:vertAlign w:val="baseline"/>
        </w:rPr>
        <w:t> </w:t>
      </w:r>
      <w:r>
        <w:rPr>
          <w:color w:val="3D3D3D"/>
          <w:w w:val="95"/>
          <w:vertAlign w:val="baseline"/>
        </w:rPr>
        <w:t>have to</w:t>
      </w:r>
      <w:r>
        <w:rPr>
          <w:color w:val="3D3D3D"/>
          <w:spacing w:val="-52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add</w:t>
      </w:r>
      <w:r>
        <w:rPr>
          <w:color w:val="3D3D3D"/>
          <w:spacing w:val="-5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one</w:t>
      </w:r>
      <w:r>
        <w:rPr>
          <w:color w:val="3D3D3D"/>
          <w:spacing w:val="-14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or</w:t>
      </w:r>
      <w:r>
        <w:rPr>
          <w:color w:val="3D3D3D"/>
          <w:spacing w:val="3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more</w:t>
      </w:r>
      <w:r>
        <w:rPr>
          <w:color w:val="3D3D3D"/>
          <w:spacing w:val="-12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sections</w:t>
      </w:r>
      <w:r>
        <w:rPr>
          <w:color w:val="3D3D3D"/>
          <w:spacing w:val="18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to</w:t>
      </w:r>
      <w:r>
        <w:rPr>
          <w:color w:val="3D3D3D"/>
          <w:spacing w:val="-24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your</w:t>
      </w:r>
      <w:r>
        <w:rPr>
          <w:color w:val="3D3D3D"/>
          <w:spacing w:val="10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argument,</w:t>
      </w:r>
      <w:r>
        <w:rPr>
          <w:color w:val="3D3D3D"/>
          <w:spacing w:val="30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using</w:t>
      </w:r>
      <w:r>
        <w:rPr>
          <w:color w:val="3D3D3D"/>
          <w:spacing w:val="-6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a</w:t>
      </w:r>
      <w:r>
        <w:rPr>
          <w:color w:val="3D3D3D"/>
          <w:spacing w:val="14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"rule</w:t>
      </w:r>
      <w:r>
        <w:rPr>
          <w:color w:val="3D3D3D"/>
          <w:spacing w:val="10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choice"</w:t>
      </w:r>
      <w:r>
        <w:rPr>
          <w:color w:val="3D3D3D"/>
          <w:spacing w:val="20"/>
          <w:w w:val="95"/>
          <w:vertAlign w:val="baseline"/>
        </w:rPr>
        <w:t> </w:t>
      </w:r>
      <w:r>
        <w:rPr>
          <w:color w:val="3D3D3D"/>
          <w:w w:val="95"/>
          <w:vertAlign w:val="baseline"/>
        </w:rPr>
        <w:t>analysis</w:t>
      </w:r>
    </w:p>
    <w:p>
      <w:pPr>
        <w:pStyle w:val="BodyText"/>
        <w:spacing w:line="262" w:lineRule="exact" w:before="9"/>
        <w:ind w:left="942"/>
        <w:jc w:val="both"/>
      </w:pPr>
      <w:r>
        <w:rPr>
          <w:color w:val="3D3D3D"/>
          <w:w w:val="90"/>
        </w:rPr>
        <w:t>as</w:t>
      </w:r>
      <w:r>
        <w:rPr>
          <w:color w:val="3D3D3D"/>
          <w:spacing w:val="-24"/>
          <w:w w:val="90"/>
        </w:rPr>
        <w:t> </w:t>
      </w:r>
      <w:r>
        <w:rPr>
          <w:color w:val="3D3D3D"/>
          <w:w w:val="90"/>
        </w:rPr>
        <w:t>described</w:t>
      </w:r>
      <w:r>
        <w:rPr>
          <w:color w:val="3D3D3D"/>
          <w:spacing w:val="12"/>
          <w:w w:val="90"/>
        </w:rPr>
        <w:t> </w:t>
      </w:r>
      <w:r>
        <w:rPr>
          <w:color w:val="3D3D3D"/>
          <w:w w:val="90"/>
        </w:rPr>
        <w:t>in</w:t>
      </w:r>
      <w:r>
        <w:rPr>
          <w:color w:val="3D3D3D"/>
          <w:spacing w:val="-22"/>
          <w:w w:val="90"/>
        </w:rPr>
        <w:t> </w:t>
      </w:r>
      <w:r>
        <w:rPr>
          <w:color w:val="3D3D3D"/>
          <w:w w:val="90"/>
        </w:rPr>
        <w:t>Section</w:t>
      </w:r>
      <w:r>
        <w:rPr>
          <w:color w:val="3D3D3D"/>
          <w:spacing w:val="7"/>
          <w:w w:val="90"/>
        </w:rPr>
        <w:t> </w:t>
      </w:r>
      <w:r>
        <w:rPr>
          <w:color w:val="3D3D3D"/>
          <w:w w:val="90"/>
        </w:rPr>
        <w:t>5.l.2(b)</w:t>
      </w:r>
      <w:r>
        <w:rPr>
          <w:color w:val="545456"/>
          <w:w w:val="90"/>
        </w:rPr>
        <w:t>.</w:t>
      </w:r>
    </w:p>
    <w:p>
      <w:pPr>
        <w:pStyle w:val="BodyText"/>
        <w:spacing w:line="235" w:lineRule="auto" w:before="2"/>
        <w:ind w:left="942" w:right="80" w:firstLine="313"/>
        <w:jc w:val="both"/>
      </w:pPr>
      <w:r>
        <w:rPr>
          <w:color w:val="3D3D3D"/>
          <w:w w:val="95"/>
        </w:rPr>
        <w:t>For another issue, you may agree as to which rule should</w:t>
      </w:r>
      <w:r>
        <w:rPr>
          <w:color w:val="3D3D3D"/>
          <w:spacing w:val="51"/>
        </w:rPr>
        <w:t> </w:t>
      </w:r>
      <w:r>
        <w:rPr>
          <w:color w:val="3D3D3D"/>
          <w:w w:val="95"/>
        </w:rPr>
        <w:t>be applied</w:t>
      </w:r>
      <w:r>
        <w:rPr>
          <w:color w:val="3D3D3D"/>
          <w:spacing w:val="1"/>
          <w:w w:val="95"/>
        </w:rPr>
        <w:t> </w:t>
      </w:r>
      <w:r>
        <w:rPr>
          <w:color w:val="3D3D3D"/>
          <w:w w:val="95"/>
        </w:rPr>
        <w:t>but</w:t>
      </w:r>
      <w:r>
        <w:rPr>
          <w:color w:val="3D3D3D"/>
          <w:spacing w:val="21"/>
          <w:w w:val="95"/>
        </w:rPr>
        <w:t> </w:t>
      </w:r>
      <w:r>
        <w:rPr>
          <w:color w:val="3D3D3D"/>
          <w:w w:val="95"/>
        </w:rPr>
        <w:t>d</w:t>
      </w:r>
      <w:r>
        <w:rPr>
          <w:color w:val="545456"/>
          <w:w w:val="95"/>
        </w:rPr>
        <w:t>i</w:t>
      </w:r>
      <w:r>
        <w:rPr>
          <w:color w:val="3D3D3D"/>
          <w:w w:val="95"/>
        </w:rPr>
        <w:t>sagree</w:t>
      </w:r>
      <w:r>
        <w:rPr>
          <w:color w:val="3D3D3D"/>
          <w:spacing w:val="-2"/>
          <w:w w:val="95"/>
        </w:rPr>
        <w:t> </w:t>
      </w:r>
      <w:r>
        <w:rPr>
          <w:color w:val="3D3D3D"/>
          <w:w w:val="95"/>
        </w:rPr>
        <w:t>as</w:t>
      </w:r>
      <w:r>
        <w:rPr>
          <w:color w:val="3D3D3D"/>
          <w:spacing w:val="27"/>
          <w:w w:val="95"/>
        </w:rPr>
        <w:t> </w:t>
      </w:r>
      <w:r>
        <w:rPr>
          <w:color w:val="545456"/>
          <w:w w:val="95"/>
        </w:rPr>
        <w:t>t</w:t>
      </w:r>
      <w:r>
        <w:rPr>
          <w:color w:val="3D3D3D"/>
          <w:w w:val="95"/>
        </w:rPr>
        <w:t>o</w:t>
      </w:r>
      <w:r>
        <w:rPr>
          <w:color w:val="3D3D3D"/>
          <w:spacing w:val="25"/>
          <w:w w:val="95"/>
        </w:rPr>
        <w:t> </w:t>
      </w:r>
      <w:r>
        <w:rPr>
          <w:color w:val="3D3D3D"/>
          <w:w w:val="95"/>
        </w:rPr>
        <w:t>what</w:t>
      </w:r>
      <w:r>
        <w:rPr>
          <w:color w:val="3D3D3D"/>
          <w:spacing w:val="30"/>
          <w:w w:val="95"/>
        </w:rPr>
        <w:t> </w:t>
      </w:r>
      <w:r>
        <w:rPr>
          <w:color w:val="3D3D3D"/>
          <w:w w:val="95"/>
        </w:rPr>
        <w:t>tha</w:t>
      </w:r>
      <w:r>
        <w:rPr>
          <w:color w:val="545456"/>
          <w:w w:val="95"/>
        </w:rPr>
        <w:t>t</w:t>
      </w:r>
      <w:r>
        <w:rPr>
          <w:color w:val="545456"/>
          <w:spacing w:val="50"/>
          <w:w w:val="95"/>
        </w:rPr>
        <w:t> </w:t>
      </w:r>
      <w:r>
        <w:rPr>
          <w:color w:val="3D3D3D"/>
          <w:w w:val="95"/>
        </w:rPr>
        <w:t>rule</w:t>
      </w:r>
      <w:r>
        <w:rPr>
          <w:color w:val="3D3D3D"/>
          <w:spacing w:val="32"/>
          <w:w w:val="95"/>
        </w:rPr>
        <w:t> </w:t>
      </w:r>
      <w:r>
        <w:rPr>
          <w:color w:val="3D3D3D"/>
          <w:w w:val="95"/>
        </w:rPr>
        <w:t>means,</w:t>
      </w:r>
      <w:r>
        <w:rPr>
          <w:color w:val="3D3D3D"/>
          <w:spacing w:val="52"/>
          <w:w w:val="95"/>
        </w:rPr>
        <w:t> </w:t>
      </w:r>
      <w:r>
        <w:rPr>
          <w:color w:val="3D3D3D"/>
          <w:w w:val="95"/>
        </w:rPr>
        <w:t>perhaps</w:t>
      </w:r>
      <w:r>
        <w:rPr>
          <w:color w:val="3D3D3D"/>
          <w:spacing w:val="54"/>
          <w:w w:val="95"/>
        </w:rPr>
        <w:t> </w:t>
      </w:r>
      <w:r>
        <w:rPr>
          <w:color w:val="3D3D3D"/>
          <w:w w:val="95"/>
        </w:rPr>
        <w:t>because</w:t>
      </w:r>
      <w:r>
        <w:rPr>
          <w:color w:val="3D3D3D"/>
          <w:spacing w:val="14"/>
          <w:w w:val="95"/>
        </w:rPr>
        <w:t> </w:t>
      </w:r>
      <w:r>
        <w:rPr>
          <w:color w:val="3D3D3D"/>
          <w:w w:val="95"/>
        </w:rPr>
        <w:t>you</w:t>
      </w:r>
      <w:r>
        <w:rPr>
          <w:color w:val="3D3D3D"/>
          <w:spacing w:val="47"/>
          <w:w w:val="95"/>
        </w:rPr>
        <w:t> </w:t>
      </w:r>
      <w:r>
        <w:rPr>
          <w:color w:val="3D3D3D"/>
          <w:w w:val="95"/>
        </w:rPr>
        <w:t>disagree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</w:pPr>
    </w:p>
    <w:p>
      <w:pPr>
        <w:spacing w:line="205" w:lineRule="exact" w:before="1"/>
        <w:ind w:left="1227" w:right="0" w:firstLine="0"/>
        <w:jc w:val="both"/>
        <w:rPr>
          <w:sz w:val="18"/>
        </w:rPr>
      </w:pPr>
      <w:r>
        <w:rPr>
          <w:color w:val="3D3D3D"/>
          <w:w w:val="85"/>
          <w:position w:val="6"/>
          <w:sz w:val="11"/>
        </w:rPr>
        <w:t>1</w:t>
      </w:r>
      <w:r>
        <w:rPr>
          <w:color w:val="3D3D3D"/>
          <w:w w:val="85"/>
          <w:sz w:val="18"/>
        </w:rPr>
        <w:t>°Fr</w:t>
      </w:r>
      <w:r>
        <w:rPr>
          <w:color w:val="545456"/>
          <w:w w:val="85"/>
          <w:sz w:val="18"/>
        </w:rPr>
        <w:t>ed</w:t>
      </w:r>
      <w:r>
        <w:rPr>
          <w:color w:val="3D3D3D"/>
          <w:w w:val="85"/>
          <w:sz w:val="18"/>
        </w:rPr>
        <w:t>I</w:t>
      </w:r>
      <w:r>
        <w:rPr>
          <w:color w:val="545456"/>
          <w:w w:val="85"/>
          <w:sz w:val="18"/>
        </w:rPr>
        <w:t>.</w:t>
      </w:r>
      <w:r>
        <w:rPr>
          <w:color w:val="545456"/>
          <w:spacing w:val="-10"/>
          <w:w w:val="85"/>
          <w:sz w:val="18"/>
        </w:rPr>
        <w:t> </w:t>
      </w:r>
      <w:r>
        <w:rPr>
          <w:color w:val="3D3D3D"/>
          <w:w w:val="85"/>
          <w:sz w:val="18"/>
        </w:rPr>
        <w:t>Parker</w:t>
      </w:r>
      <w:r>
        <w:rPr>
          <w:color w:val="545456"/>
          <w:w w:val="85"/>
          <w:sz w:val="18"/>
        </w:rPr>
        <w:t>,</w:t>
      </w:r>
      <w:r>
        <w:rPr>
          <w:color w:val="545456"/>
          <w:spacing w:val="-13"/>
          <w:w w:val="85"/>
          <w:sz w:val="18"/>
        </w:rPr>
        <w:t> </w:t>
      </w:r>
      <w:r>
        <w:rPr>
          <w:i/>
          <w:color w:val="3D3D3D"/>
          <w:w w:val="85"/>
          <w:sz w:val="18"/>
        </w:rPr>
        <w:t>Foreword:</w:t>
      </w:r>
      <w:r>
        <w:rPr>
          <w:i/>
          <w:color w:val="3D3D3D"/>
          <w:spacing w:val="-5"/>
          <w:w w:val="85"/>
          <w:sz w:val="18"/>
        </w:rPr>
        <w:t> </w:t>
      </w:r>
      <w:r>
        <w:rPr>
          <w:i/>
          <w:color w:val="3D3D3D"/>
          <w:w w:val="85"/>
          <w:sz w:val="18"/>
        </w:rPr>
        <w:t>Appellatt</w:t>
      </w:r>
      <w:r>
        <w:rPr>
          <w:i/>
          <w:color w:val="3D3D3D"/>
          <w:spacing w:val="7"/>
          <w:w w:val="85"/>
          <w:sz w:val="18"/>
        </w:rPr>
        <w:t> </w:t>
      </w:r>
      <w:r>
        <w:rPr>
          <w:i/>
          <w:color w:val="3D3D3D"/>
          <w:w w:val="85"/>
          <w:sz w:val="18"/>
        </w:rPr>
        <w:t>Advocacy</w:t>
      </w:r>
      <w:r>
        <w:rPr>
          <w:i/>
          <w:color w:val="3D3D3D"/>
          <w:spacing w:val="2"/>
          <w:w w:val="85"/>
          <w:sz w:val="18"/>
        </w:rPr>
        <w:t> </w:t>
      </w:r>
      <w:r>
        <w:rPr>
          <w:i/>
          <w:color w:val="3D3D3D"/>
          <w:w w:val="85"/>
          <w:sz w:val="18"/>
        </w:rPr>
        <w:t>and</w:t>
      </w:r>
      <w:r>
        <w:rPr>
          <w:i/>
          <w:color w:val="3D3D3D"/>
          <w:spacing w:val="-7"/>
          <w:w w:val="85"/>
          <w:sz w:val="18"/>
        </w:rPr>
        <w:t> </w:t>
      </w:r>
      <w:r>
        <w:rPr>
          <w:i/>
          <w:color w:val="3D3D3D"/>
          <w:w w:val="85"/>
          <w:sz w:val="18"/>
        </w:rPr>
        <w:t>Practice</w:t>
      </w:r>
      <w:r>
        <w:rPr>
          <w:i/>
          <w:color w:val="3D3D3D"/>
          <w:spacing w:val="-12"/>
          <w:w w:val="85"/>
          <w:sz w:val="18"/>
        </w:rPr>
        <w:t> </w:t>
      </w:r>
      <w:r>
        <w:rPr>
          <w:i/>
          <w:color w:val="3D3D3D"/>
          <w:w w:val="85"/>
          <w:sz w:val="18"/>
        </w:rPr>
        <w:t>in</w:t>
      </w:r>
      <w:r>
        <w:rPr>
          <w:i/>
          <w:color w:val="3D3D3D"/>
          <w:spacing w:val="-14"/>
          <w:w w:val="85"/>
          <w:sz w:val="18"/>
        </w:rPr>
        <w:t> </w:t>
      </w:r>
      <w:r>
        <w:rPr>
          <w:i/>
          <w:color w:val="3D3D3D"/>
          <w:w w:val="85"/>
          <w:sz w:val="18"/>
        </w:rPr>
        <w:t>theSecond</w:t>
      </w:r>
      <w:r>
        <w:rPr>
          <w:i/>
          <w:color w:val="3D3D3D"/>
          <w:spacing w:val="5"/>
          <w:w w:val="85"/>
          <w:sz w:val="18"/>
        </w:rPr>
        <w:t> </w:t>
      </w:r>
      <w:r>
        <w:rPr>
          <w:i/>
          <w:color w:val="3D3D3D"/>
          <w:w w:val="85"/>
          <w:sz w:val="18"/>
        </w:rPr>
        <w:t>Circuit,</w:t>
      </w:r>
      <w:r>
        <w:rPr>
          <w:i/>
          <w:color w:val="3D3D3D"/>
          <w:spacing w:val="-7"/>
          <w:w w:val="85"/>
          <w:sz w:val="18"/>
        </w:rPr>
        <w:t> </w:t>
      </w:r>
      <w:r>
        <w:rPr>
          <w:color w:val="3D3D3D"/>
          <w:w w:val="85"/>
          <w:sz w:val="18"/>
        </w:rPr>
        <w:t>64</w:t>
      </w:r>
      <w:r>
        <w:rPr>
          <w:color w:val="3D3D3D"/>
          <w:spacing w:val="49"/>
          <w:sz w:val="18"/>
        </w:rPr>
        <w:t> </w:t>
      </w:r>
      <w:r>
        <w:rPr>
          <w:color w:val="3D3D3D"/>
          <w:w w:val="85"/>
          <w:sz w:val="18"/>
        </w:rPr>
        <w:t>Brook.</w:t>
      </w:r>
      <w:r>
        <w:rPr>
          <w:color w:val="3D3D3D"/>
          <w:spacing w:val="22"/>
          <w:w w:val="85"/>
          <w:sz w:val="18"/>
        </w:rPr>
        <w:t> </w:t>
      </w:r>
      <w:r>
        <w:rPr>
          <w:color w:val="3D3D3D"/>
          <w:w w:val="85"/>
          <w:sz w:val="18"/>
        </w:rPr>
        <w:t>L.</w:t>
      </w:r>
      <w:r>
        <w:rPr>
          <w:color w:val="3D3D3D"/>
          <w:spacing w:val="-1"/>
          <w:w w:val="85"/>
          <w:sz w:val="18"/>
        </w:rPr>
        <w:t> </w:t>
      </w:r>
      <w:r>
        <w:rPr>
          <w:color w:val="3D3D3D"/>
          <w:w w:val="85"/>
          <w:sz w:val="18"/>
        </w:rPr>
        <w:t>Rev.</w:t>
      </w:r>
    </w:p>
    <w:p>
      <w:pPr>
        <w:spacing w:line="197" w:lineRule="exact" w:before="0"/>
        <w:ind w:left="897" w:right="0" w:firstLine="0"/>
        <w:jc w:val="both"/>
        <w:rPr>
          <w:sz w:val="18"/>
        </w:rPr>
      </w:pPr>
      <w:r>
        <w:rPr>
          <w:i/>
          <w:color w:val="3D3D3D"/>
          <w:w w:val="90"/>
          <w:sz w:val="16"/>
        </w:rPr>
        <w:t>457</w:t>
      </w:r>
      <w:r>
        <w:rPr>
          <w:i/>
          <w:color w:val="545456"/>
          <w:w w:val="90"/>
          <w:sz w:val="16"/>
        </w:rPr>
        <w:t>,</w:t>
      </w:r>
      <w:r>
        <w:rPr>
          <w:i/>
          <w:color w:val="545456"/>
          <w:spacing w:val="5"/>
          <w:w w:val="90"/>
          <w:sz w:val="16"/>
        </w:rPr>
        <w:t> </w:t>
      </w:r>
      <w:r>
        <w:rPr>
          <w:color w:val="3D3D3D"/>
          <w:w w:val="90"/>
          <w:sz w:val="18"/>
        </w:rPr>
        <w:t>463</w:t>
      </w:r>
      <w:r>
        <w:rPr>
          <w:color w:val="545456"/>
          <w:w w:val="90"/>
          <w:sz w:val="18"/>
        </w:rPr>
        <w:t>-</w:t>
      </w:r>
      <w:r>
        <w:rPr>
          <w:color w:val="3D3D3D"/>
          <w:w w:val="90"/>
          <w:sz w:val="18"/>
        </w:rPr>
        <w:t>64</w:t>
      </w:r>
      <w:r>
        <w:rPr>
          <w:color w:val="3D3D3D"/>
          <w:spacing w:val="-17"/>
          <w:w w:val="90"/>
          <w:sz w:val="18"/>
        </w:rPr>
        <w:t> </w:t>
      </w:r>
      <w:r>
        <w:rPr>
          <w:color w:val="545456"/>
          <w:w w:val="90"/>
          <w:sz w:val="18"/>
        </w:rPr>
        <w:t>(</w:t>
      </w:r>
      <w:r>
        <w:rPr>
          <w:color w:val="3D3D3D"/>
          <w:w w:val="90"/>
          <w:sz w:val="18"/>
        </w:rPr>
        <w:t>1998)</w:t>
      </w:r>
      <w:r>
        <w:rPr>
          <w:color w:val="545456"/>
          <w:w w:val="90"/>
          <w:sz w:val="18"/>
        </w:rPr>
        <w:t>.</w:t>
      </w:r>
    </w:p>
    <w:p>
      <w:pPr>
        <w:spacing w:line="223" w:lineRule="auto" w:before="4"/>
        <w:ind w:left="874" w:right="84" w:firstLine="343"/>
        <w:jc w:val="both"/>
        <w:rPr>
          <w:sz w:val="18"/>
        </w:rPr>
      </w:pPr>
      <w:r>
        <w:rPr>
          <w:color w:val="545456"/>
          <w:spacing w:val="-1"/>
          <w:w w:val="90"/>
          <w:position w:val="6"/>
          <w:sz w:val="11"/>
        </w:rPr>
        <w:t>11 </w:t>
      </w:r>
      <w:r>
        <w:rPr>
          <w:color w:val="3D3D3D"/>
          <w:spacing w:val="-1"/>
          <w:w w:val="90"/>
          <w:sz w:val="18"/>
        </w:rPr>
        <w:t>Kat</w:t>
      </w:r>
      <w:r>
        <w:rPr>
          <w:color w:val="545456"/>
          <w:spacing w:val="-1"/>
          <w:w w:val="90"/>
          <w:sz w:val="18"/>
        </w:rPr>
        <w:t>h</w:t>
      </w:r>
      <w:r>
        <w:rPr>
          <w:color w:val="3D3D3D"/>
          <w:spacing w:val="-1"/>
          <w:w w:val="90"/>
          <w:sz w:val="18"/>
        </w:rPr>
        <w:t>ryn </w:t>
      </w:r>
      <w:r>
        <w:rPr>
          <w:color w:val="3D3D3D"/>
          <w:w w:val="90"/>
          <w:sz w:val="18"/>
        </w:rPr>
        <w:t>M. Sta</w:t>
      </w:r>
      <w:r>
        <w:rPr>
          <w:color w:val="545456"/>
          <w:w w:val="90"/>
          <w:sz w:val="18"/>
        </w:rPr>
        <w:t>n</w:t>
      </w:r>
      <w:r>
        <w:rPr>
          <w:color w:val="3D3D3D"/>
          <w:w w:val="90"/>
          <w:sz w:val="18"/>
        </w:rPr>
        <w:t>ch!, </w:t>
      </w:r>
      <w:r>
        <w:rPr>
          <w:i/>
          <w:color w:val="3D3D3D"/>
          <w:w w:val="90"/>
          <w:sz w:val="18"/>
        </w:rPr>
        <w:t>Playing </w:t>
      </w:r>
      <w:r>
        <w:rPr>
          <w:rFonts w:ascii="Arial"/>
          <w:i/>
          <w:color w:val="3D3D3D"/>
          <w:w w:val="90"/>
          <w:sz w:val="16"/>
        </w:rPr>
        <w:t>w</w:t>
      </w:r>
      <w:r>
        <w:rPr>
          <w:rFonts w:ascii="Arial"/>
          <w:i/>
          <w:color w:val="545456"/>
          <w:w w:val="90"/>
          <w:sz w:val="16"/>
        </w:rPr>
        <w:t>i</w:t>
      </w:r>
      <w:r>
        <w:rPr>
          <w:rFonts w:ascii="Arial"/>
          <w:i/>
          <w:color w:val="3D3D3D"/>
          <w:w w:val="90"/>
          <w:sz w:val="16"/>
        </w:rPr>
        <w:t>th </w:t>
      </w:r>
      <w:r>
        <w:rPr>
          <w:i/>
          <w:color w:val="3D3D3D"/>
          <w:w w:val="90"/>
          <w:sz w:val="18"/>
        </w:rPr>
        <w:t>Fire: The Sdence of C</w:t>
      </w:r>
      <w:r>
        <w:rPr>
          <w:i/>
          <w:color w:val="545456"/>
          <w:w w:val="90"/>
          <w:sz w:val="18"/>
        </w:rPr>
        <w:t>o</w:t>
      </w:r>
      <w:r>
        <w:rPr>
          <w:i/>
          <w:color w:val="3D3D3D"/>
          <w:w w:val="90"/>
          <w:sz w:val="18"/>
        </w:rPr>
        <w:t>nfronting Adverse Material In Legal</w:t>
      </w:r>
      <w:r>
        <w:rPr>
          <w:i/>
          <w:color w:val="3D3D3D"/>
          <w:spacing w:val="1"/>
          <w:w w:val="90"/>
          <w:sz w:val="18"/>
        </w:rPr>
        <w:t> </w:t>
      </w:r>
      <w:r>
        <w:rPr>
          <w:i/>
          <w:color w:val="3D3D3D"/>
          <w:spacing w:val="-1"/>
          <w:w w:val="95"/>
          <w:sz w:val="18"/>
        </w:rPr>
        <w:t>Advocacy</w:t>
      </w:r>
      <w:r>
        <w:rPr>
          <w:i/>
          <w:color w:val="545456"/>
          <w:spacing w:val="-1"/>
          <w:w w:val="95"/>
          <w:sz w:val="18"/>
        </w:rPr>
        <w:t>,</w:t>
      </w:r>
      <w:r>
        <w:rPr>
          <w:i/>
          <w:color w:val="545456"/>
          <w:spacing w:val="-18"/>
          <w:w w:val="95"/>
          <w:sz w:val="18"/>
        </w:rPr>
        <w:t> </w:t>
      </w:r>
      <w:r>
        <w:rPr>
          <w:color w:val="3D3D3D"/>
          <w:spacing w:val="-1"/>
          <w:w w:val="95"/>
          <w:sz w:val="18"/>
        </w:rPr>
        <w:t>60</w:t>
      </w:r>
      <w:r>
        <w:rPr>
          <w:color w:val="3D3D3D"/>
          <w:spacing w:val="-21"/>
          <w:w w:val="95"/>
          <w:sz w:val="18"/>
        </w:rPr>
        <w:t> </w:t>
      </w:r>
      <w:r>
        <w:rPr>
          <w:color w:val="3D3D3D"/>
          <w:spacing w:val="-1"/>
          <w:w w:val="95"/>
          <w:sz w:val="18"/>
        </w:rPr>
        <w:t>Rutgers</w:t>
      </w:r>
      <w:r>
        <w:rPr>
          <w:color w:val="3D3D3D"/>
          <w:spacing w:val="-13"/>
          <w:w w:val="95"/>
          <w:sz w:val="18"/>
        </w:rPr>
        <w:t> </w:t>
      </w:r>
      <w:r>
        <w:rPr>
          <w:color w:val="3D3D3D"/>
          <w:spacing w:val="-1"/>
          <w:w w:val="95"/>
          <w:sz w:val="18"/>
        </w:rPr>
        <w:t>L</w:t>
      </w:r>
      <w:r>
        <w:rPr>
          <w:color w:val="545456"/>
          <w:spacing w:val="-1"/>
          <w:w w:val="95"/>
          <w:sz w:val="18"/>
        </w:rPr>
        <w:t>.</w:t>
      </w:r>
      <w:r>
        <w:rPr>
          <w:color w:val="545456"/>
          <w:spacing w:val="-14"/>
          <w:w w:val="95"/>
          <w:sz w:val="18"/>
        </w:rPr>
        <w:t> </w:t>
      </w:r>
      <w:r>
        <w:rPr>
          <w:color w:val="3D3D3D"/>
          <w:spacing w:val="-1"/>
          <w:w w:val="95"/>
          <w:sz w:val="18"/>
        </w:rPr>
        <w:t>Rev.</w:t>
      </w:r>
      <w:r>
        <w:rPr>
          <w:color w:val="3D3D3D"/>
          <w:spacing w:val="-13"/>
          <w:w w:val="95"/>
          <w:sz w:val="18"/>
        </w:rPr>
        <w:t> </w:t>
      </w:r>
      <w:r>
        <w:rPr>
          <w:color w:val="3D3D3D"/>
          <w:spacing w:val="-1"/>
          <w:w w:val="95"/>
          <w:sz w:val="18"/>
        </w:rPr>
        <w:t>381</w:t>
      </w:r>
      <w:r>
        <w:rPr>
          <w:color w:val="3D3D3D"/>
          <w:spacing w:val="-19"/>
          <w:w w:val="95"/>
          <w:sz w:val="18"/>
        </w:rPr>
        <w:t> </w:t>
      </w:r>
      <w:r>
        <w:rPr>
          <w:color w:val="545456"/>
          <w:spacing w:val="-1"/>
          <w:w w:val="95"/>
          <w:sz w:val="18"/>
        </w:rPr>
        <w:t>(</w:t>
      </w:r>
      <w:r>
        <w:rPr>
          <w:color w:val="3D3D3D"/>
          <w:spacing w:val="-1"/>
          <w:w w:val="95"/>
          <w:sz w:val="18"/>
        </w:rPr>
        <w:t>2008).</w:t>
      </w:r>
      <w:r>
        <w:rPr>
          <w:color w:val="3D3D3D"/>
          <w:spacing w:val="-24"/>
          <w:w w:val="95"/>
          <w:sz w:val="18"/>
        </w:rPr>
        <w:t> </w:t>
      </w:r>
      <w:r>
        <w:rPr>
          <w:color w:val="3D3D3D"/>
          <w:w w:val="95"/>
          <w:sz w:val="18"/>
        </w:rPr>
        <w:t>The</w:t>
      </w:r>
      <w:r>
        <w:rPr>
          <w:color w:val="3D3D3D"/>
          <w:spacing w:val="-9"/>
          <w:w w:val="95"/>
          <w:sz w:val="18"/>
        </w:rPr>
        <w:t> </w:t>
      </w:r>
      <w:r>
        <w:rPr>
          <w:color w:val="3D3D3D"/>
          <w:w w:val="95"/>
          <w:sz w:val="18"/>
        </w:rPr>
        <w:t>articl</w:t>
      </w:r>
      <w:r>
        <w:rPr>
          <w:color w:val="545456"/>
          <w:w w:val="95"/>
          <w:sz w:val="18"/>
        </w:rPr>
        <w:t>e,</w:t>
      </w:r>
      <w:r>
        <w:rPr>
          <w:color w:val="545456"/>
          <w:spacing w:val="-1"/>
          <w:w w:val="95"/>
          <w:sz w:val="18"/>
        </w:rPr>
        <w:t> </w:t>
      </w:r>
      <w:r>
        <w:rPr>
          <w:color w:val="3D3D3D"/>
          <w:w w:val="95"/>
          <w:sz w:val="18"/>
        </w:rPr>
        <w:t>which</w:t>
      </w:r>
      <w:r>
        <w:rPr>
          <w:color w:val="3D3D3D"/>
          <w:spacing w:val="8"/>
          <w:w w:val="95"/>
          <w:sz w:val="18"/>
        </w:rPr>
        <w:t> </w:t>
      </w:r>
      <w:r>
        <w:rPr>
          <w:color w:val="3D3D3D"/>
          <w:w w:val="95"/>
          <w:sz w:val="18"/>
        </w:rPr>
        <w:t>Is</w:t>
      </w:r>
      <w:r>
        <w:rPr>
          <w:color w:val="3D3D3D"/>
          <w:spacing w:val="-19"/>
          <w:w w:val="95"/>
          <w:sz w:val="18"/>
        </w:rPr>
        <w:t> </w:t>
      </w:r>
      <w:r>
        <w:rPr>
          <w:color w:val="3D3D3D"/>
          <w:w w:val="95"/>
          <w:sz w:val="18"/>
        </w:rPr>
        <w:t>well</w:t>
      </w:r>
      <w:r>
        <w:rPr>
          <w:color w:val="3D3D3D"/>
          <w:spacing w:val="-4"/>
          <w:w w:val="95"/>
          <w:sz w:val="18"/>
        </w:rPr>
        <w:t> </w:t>
      </w:r>
      <w:r>
        <w:rPr>
          <w:color w:val="3D3D3D"/>
          <w:w w:val="95"/>
          <w:sz w:val="18"/>
        </w:rPr>
        <w:t>worth</w:t>
      </w:r>
      <w:r>
        <w:rPr>
          <w:color w:val="3D3D3D"/>
          <w:spacing w:val="13"/>
          <w:w w:val="95"/>
          <w:sz w:val="18"/>
        </w:rPr>
        <w:t> </w:t>
      </w:r>
      <w:r>
        <w:rPr>
          <w:color w:val="3D3D3D"/>
          <w:w w:val="95"/>
          <w:sz w:val="18"/>
        </w:rPr>
        <w:t>reading,</w:t>
      </w:r>
      <w:r>
        <w:rPr>
          <w:color w:val="3D3D3D"/>
          <w:spacing w:val="14"/>
          <w:w w:val="95"/>
          <w:sz w:val="18"/>
        </w:rPr>
        <w:t> </w:t>
      </w:r>
      <w:r>
        <w:rPr>
          <w:color w:val="3D3D3D"/>
          <w:w w:val="95"/>
          <w:sz w:val="18"/>
        </w:rPr>
        <w:t>notes</w:t>
      </w:r>
      <w:r>
        <w:rPr>
          <w:color w:val="3D3D3D"/>
          <w:spacing w:val="4"/>
          <w:w w:val="95"/>
          <w:sz w:val="18"/>
        </w:rPr>
        <w:t> </w:t>
      </w:r>
      <w:r>
        <w:rPr>
          <w:color w:val="3D3D3D"/>
          <w:w w:val="95"/>
          <w:sz w:val="18"/>
        </w:rPr>
        <w:t>that</w:t>
      </w:r>
      <w:r>
        <w:rPr>
          <w:color w:val="3D3D3D"/>
          <w:spacing w:val="-12"/>
          <w:w w:val="95"/>
          <w:sz w:val="18"/>
        </w:rPr>
        <w:t> </w:t>
      </w:r>
      <w:r>
        <w:rPr>
          <w:color w:val="3D3D3D"/>
          <w:w w:val="95"/>
          <w:sz w:val="18"/>
        </w:rPr>
        <w:t>"the</w:t>
      </w:r>
      <w:r>
        <w:rPr>
          <w:color w:val="3D3D3D"/>
          <w:spacing w:val="1"/>
          <w:w w:val="95"/>
          <w:sz w:val="18"/>
        </w:rPr>
        <w:t> </w:t>
      </w:r>
      <w:r>
        <w:rPr>
          <w:color w:val="3D3D3D"/>
          <w:w w:val="95"/>
          <w:sz w:val="18"/>
        </w:rPr>
        <w:t>decision to volunte</w:t>
      </w:r>
      <w:r>
        <w:rPr>
          <w:color w:val="545456"/>
          <w:w w:val="95"/>
          <w:sz w:val="18"/>
        </w:rPr>
        <w:t>e</w:t>
      </w:r>
      <w:r>
        <w:rPr>
          <w:color w:val="3D3D3D"/>
          <w:w w:val="95"/>
          <w:sz w:val="18"/>
        </w:rPr>
        <w:t>r n</w:t>
      </w:r>
      <w:r>
        <w:rPr>
          <w:color w:val="545456"/>
          <w:w w:val="95"/>
          <w:sz w:val="18"/>
        </w:rPr>
        <w:t>e</w:t>
      </w:r>
      <w:r>
        <w:rPr>
          <w:color w:val="3D3D3D"/>
          <w:w w:val="95"/>
          <w:sz w:val="18"/>
        </w:rPr>
        <w:t>gative information depends on a comp</w:t>
      </w:r>
      <w:r>
        <w:rPr>
          <w:color w:val="545456"/>
          <w:w w:val="95"/>
          <w:sz w:val="18"/>
        </w:rPr>
        <w:t>li</w:t>
      </w:r>
      <w:r>
        <w:rPr>
          <w:color w:val="3D3D3D"/>
          <w:w w:val="95"/>
          <w:sz w:val="18"/>
        </w:rPr>
        <w:t>cated algorithm" that measures</w:t>
      </w:r>
      <w:r>
        <w:rPr>
          <w:color w:val="3D3D3D"/>
          <w:spacing w:val="1"/>
          <w:w w:val="95"/>
          <w:sz w:val="18"/>
        </w:rPr>
        <w:t> </w:t>
      </w:r>
      <w:r>
        <w:rPr>
          <w:color w:val="3D3D3D"/>
          <w:sz w:val="18"/>
        </w:rPr>
        <w:t>seve</w:t>
      </w:r>
      <w:r>
        <w:rPr>
          <w:color w:val="545456"/>
          <w:sz w:val="18"/>
        </w:rPr>
        <w:t>r</w:t>
      </w:r>
      <w:r>
        <w:rPr>
          <w:color w:val="3D3D3D"/>
          <w:sz w:val="18"/>
        </w:rPr>
        <w:t>a</w:t>
      </w:r>
      <w:r>
        <w:rPr>
          <w:color w:val="545456"/>
          <w:sz w:val="18"/>
        </w:rPr>
        <w:t>l</w:t>
      </w:r>
      <w:r>
        <w:rPr>
          <w:color w:val="545456"/>
          <w:spacing w:val="-26"/>
          <w:sz w:val="18"/>
        </w:rPr>
        <w:t> </w:t>
      </w:r>
      <w:r>
        <w:rPr>
          <w:color w:val="3D3D3D"/>
          <w:sz w:val="18"/>
        </w:rPr>
        <w:t>overlapping</w:t>
      </w:r>
      <w:r>
        <w:rPr>
          <w:color w:val="3D3D3D"/>
          <w:spacing w:val="-8"/>
          <w:sz w:val="18"/>
        </w:rPr>
        <w:t> </w:t>
      </w:r>
      <w:r>
        <w:rPr>
          <w:color w:val="3D3D3D"/>
          <w:sz w:val="18"/>
        </w:rPr>
        <w:t>fact</w:t>
      </w:r>
      <w:r>
        <w:rPr>
          <w:color w:val="545456"/>
          <w:sz w:val="18"/>
        </w:rPr>
        <w:t>o</w:t>
      </w:r>
      <w:r>
        <w:rPr>
          <w:color w:val="3D3D3D"/>
          <w:sz w:val="18"/>
        </w:rPr>
        <w:t>rs</w:t>
      </w:r>
      <w:r>
        <w:rPr>
          <w:color w:val="545456"/>
          <w:sz w:val="18"/>
        </w:rPr>
        <w:t>.</w:t>
      </w:r>
      <w:r>
        <w:rPr>
          <w:color w:val="545456"/>
          <w:spacing w:val="-19"/>
          <w:sz w:val="18"/>
        </w:rPr>
        <w:t> </w:t>
      </w:r>
      <w:r>
        <w:rPr>
          <w:i/>
          <w:color w:val="3D3D3D"/>
          <w:sz w:val="17"/>
        </w:rPr>
        <w:t>Id</w:t>
      </w:r>
      <w:r>
        <w:rPr>
          <w:i/>
          <w:color w:val="727475"/>
          <w:sz w:val="17"/>
        </w:rPr>
        <w:t>.</w:t>
      </w:r>
      <w:r>
        <w:rPr>
          <w:i/>
          <w:color w:val="727475"/>
          <w:spacing w:val="-15"/>
          <w:sz w:val="17"/>
        </w:rPr>
        <w:t> </w:t>
      </w:r>
      <w:r>
        <w:rPr>
          <w:color w:val="3D3D3D"/>
          <w:sz w:val="18"/>
        </w:rPr>
        <w:t>a</w:t>
      </w:r>
      <w:r>
        <w:rPr>
          <w:color w:val="545456"/>
          <w:sz w:val="18"/>
        </w:rPr>
        <w:t>t</w:t>
      </w:r>
      <w:r>
        <w:rPr>
          <w:color w:val="545456"/>
          <w:spacing w:val="-13"/>
          <w:sz w:val="18"/>
        </w:rPr>
        <w:t> </w:t>
      </w:r>
      <w:r>
        <w:rPr>
          <w:color w:val="3D3D3D"/>
          <w:sz w:val="18"/>
        </w:rPr>
        <w:t>433</w:t>
      </w:r>
      <w:r>
        <w:rPr>
          <w:color w:val="545456"/>
          <w:sz w:val="18"/>
        </w:rPr>
        <w:t>.</w:t>
      </w:r>
    </w:p>
    <w:p>
      <w:pPr>
        <w:spacing w:line="228" w:lineRule="auto" w:before="7"/>
        <w:ind w:left="831" w:right="92" w:firstLine="368"/>
        <w:jc w:val="left"/>
        <w:rPr>
          <w:sz w:val="18"/>
        </w:rPr>
      </w:pPr>
      <w:r>
        <w:rPr>
          <w:color w:val="3D3D3D"/>
          <w:w w:val="90"/>
          <w:position w:val="6"/>
          <w:sz w:val="10"/>
        </w:rPr>
        <w:t>1</w:t>
      </w:r>
      <w:r>
        <w:rPr>
          <w:color w:val="3D3D3D"/>
          <w:w w:val="90"/>
          <w:sz w:val="18"/>
        </w:rPr>
        <w:t>iRule 3</w:t>
      </w:r>
      <w:r>
        <w:rPr>
          <w:color w:val="545456"/>
          <w:w w:val="90"/>
          <w:sz w:val="18"/>
        </w:rPr>
        <w:t>.</w:t>
      </w:r>
      <w:r>
        <w:rPr>
          <w:color w:val="3D3D3D"/>
          <w:w w:val="90"/>
          <w:sz w:val="18"/>
        </w:rPr>
        <w:t>3</w:t>
      </w:r>
      <w:r>
        <w:rPr>
          <w:color w:val="545456"/>
          <w:w w:val="90"/>
          <w:sz w:val="18"/>
        </w:rPr>
        <w:t>(</w:t>
      </w:r>
      <w:r>
        <w:rPr>
          <w:color w:val="3D3D3D"/>
          <w:w w:val="90"/>
          <w:sz w:val="18"/>
        </w:rPr>
        <w:t>a</w:t>
      </w:r>
      <w:r>
        <w:rPr>
          <w:color w:val="545456"/>
          <w:w w:val="90"/>
          <w:sz w:val="18"/>
        </w:rPr>
        <w:t>)(</w:t>
      </w:r>
      <w:r>
        <w:rPr>
          <w:color w:val="3D3D3D"/>
          <w:w w:val="90"/>
          <w:sz w:val="18"/>
        </w:rPr>
        <w:t>2</w:t>
      </w:r>
      <w:r>
        <w:rPr>
          <w:color w:val="545456"/>
          <w:w w:val="90"/>
          <w:sz w:val="18"/>
        </w:rPr>
        <w:t>) </w:t>
      </w:r>
      <w:r>
        <w:rPr>
          <w:color w:val="3D3D3D"/>
          <w:w w:val="90"/>
          <w:sz w:val="18"/>
        </w:rPr>
        <w:t>of</w:t>
      </w:r>
      <w:r>
        <w:rPr>
          <w:color w:val="3D3D3D"/>
          <w:spacing w:val="1"/>
          <w:w w:val="90"/>
          <w:sz w:val="18"/>
        </w:rPr>
        <w:t> </w:t>
      </w:r>
      <w:r>
        <w:rPr>
          <w:color w:val="3D3D3D"/>
          <w:w w:val="90"/>
          <w:sz w:val="18"/>
        </w:rPr>
        <w:t>th</w:t>
      </w:r>
      <w:r>
        <w:rPr>
          <w:color w:val="545456"/>
          <w:w w:val="90"/>
          <w:sz w:val="18"/>
        </w:rPr>
        <w:t>e </w:t>
      </w:r>
      <w:r>
        <w:rPr>
          <w:color w:val="3D3D3D"/>
          <w:w w:val="90"/>
          <w:sz w:val="18"/>
        </w:rPr>
        <w:t>ABA Model</w:t>
      </w:r>
      <w:r>
        <w:rPr>
          <w:color w:val="3D3D3D"/>
          <w:spacing w:val="1"/>
          <w:w w:val="90"/>
          <w:sz w:val="18"/>
        </w:rPr>
        <w:t> </w:t>
      </w:r>
      <w:r>
        <w:rPr>
          <w:color w:val="3D3D3D"/>
          <w:w w:val="90"/>
          <w:sz w:val="18"/>
        </w:rPr>
        <w:t>Rules of</w:t>
      </w:r>
      <w:r>
        <w:rPr>
          <w:color w:val="3D3D3D"/>
          <w:spacing w:val="1"/>
          <w:w w:val="90"/>
          <w:sz w:val="18"/>
        </w:rPr>
        <w:t> </w:t>
      </w:r>
      <w:r>
        <w:rPr>
          <w:color w:val="3D3D3D"/>
          <w:w w:val="90"/>
          <w:sz w:val="18"/>
        </w:rPr>
        <w:t>Professional</w:t>
      </w:r>
      <w:r>
        <w:rPr>
          <w:color w:val="3D3D3D"/>
          <w:spacing w:val="1"/>
          <w:w w:val="90"/>
          <w:sz w:val="18"/>
        </w:rPr>
        <w:t> </w:t>
      </w:r>
      <w:r>
        <w:rPr>
          <w:color w:val="3D3D3D"/>
          <w:w w:val="90"/>
          <w:sz w:val="18"/>
        </w:rPr>
        <w:t>Conduct</w:t>
      </w:r>
      <w:r>
        <w:rPr>
          <w:color w:val="3D3D3D"/>
          <w:spacing w:val="1"/>
          <w:w w:val="90"/>
          <w:sz w:val="18"/>
        </w:rPr>
        <w:t> </w:t>
      </w:r>
      <w:r>
        <w:rPr>
          <w:color w:val="3D3D3D"/>
          <w:w w:val="90"/>
          <w:sz w:val="18"/>
        </w:rPr>
        <w:t>provides</w:t>
      </w:r>
      <w:r>
        <w:rPr>
          <w:color w:val="3D3D3D"/>
          <w:spacing w:val="1"/>
          <w:w w:val="90"/>
          <w:sz w:val="18"/>
        </w:rPr>
        <w:t> </w:t>
      </w:r>
      <w:r>
        <w:rPr>
          <w:color w:val="3D3D3D"/>
          <w:w w:val="90"/>
          <w:sz w:val="18"/>
        </w:rPr>
        <w:t>that</w:t>
      </w:r>
      <w:r>
        <w:rPr>
          <w:color w:val="3D3D3D"/>
          <w:spacing w:val="1"/>
          <w:w w:val="90"/>
          <w:sz w:val="18"/>
        </w:rPr>
        <w:t> </w:t>
      </w:r>
      <w:r>
        <w:rPr>
          <w:color w:val="3D3D3D"/>
          <w:w w:val="90"/>
          <w:sz w:val="18"/>
        </w:rPr>
        <w:t>an</w:t>
      </w:r>
      <w:r>
        <w:rPr>
          <w:color w:val="3D3D3D"/>
          <w:spacing w:val="36"/>
          <w:sz w:val="18"/>
        </w:rPr>
        <w:t> </w:t>
      </w:r>
      <w:r>
        <w:rPr>
          <w:color w:val="3D3D3D"/>
          <w:w w:val="90"/>
          <w:sz w:val="18"/>
        </w:rPr>
        <w:t>advocate</w:t>
      </w:r>
      <w:r>
        <w:rPr>
          <w:color w:val="3D3D3D"/>
          <w:spacing w:val="-38"/>
          <w:w w:val="90"/>
          <w:sz w:val="18"/>
        </w:rPr>
        <w:t> </w:t>
      </w:r>
      <w:r>
        <w:rPr>
          <w:color w:val="3D3D3D"/>
          <w:w w:val="95"/>
          <w:sz w:val="18"/>
        </w:rPr>
        <w:t>may not</w:t>
      </w:r>
      <w:r>
        <w:rPr>
          <w:color w:val="545456"/>
          <w:w w:val="95"/>
          <w:sz w:val="18"/>
        </w:rPr>
        <w:t>"</w:t>
      </w:r>
      <w:r>
        <w:rPr>
          <w:color w:val="3D3D3D"/>
          <w:w w:val="95"/>
          <w:sz w:val="18"/>
        </w:rPr>
        <w:t>fa</w:t>
      </w:r>
      <w:r>
        <w:rPr>
          <w:color w:val="545456"/>
          <w:w w:val="95"/>
          <w:sz w:val="18"/>
        </w:rPr>
        <w:t>ll </w:t>
      </w:r>
      <w:r>
        <w:rPr>
          <w:color w:val="3D3D3D"/>
          <w:w w:val="95"/>
          <w:sz w:val="18"/>
        </w:rPr>
        <w:t>t</w:t>
      </w:r>
      <w:r>
        <w:rPr>
          <w:color w:val="545456"/>
          <w:w w:val="95"/>
          <w:sz w:val="18"/>
        </w:rPr>
        <w:t>o d</w:t>
      </w:r>
      <w:r>
        <w:rPr>
          <w:color w:val="3D3D3D"/>
          <w:w w:val="95"/>
          <w:sz w:val="18"/>
        </w:rPr>
        <w:t>iscl</w:t>
      </w:r>
      <w:r>
        <w:rPr>
          <w:color w:val="545456"/>
          <w:w w:val="95"/>
          <w:sz w:val="18"/>
        </w:rPr>
        <w:t>o</w:t>
      </w:r>
      <w:r>
        <w:rPr>
          <w:color w:val="3D3D3D"/>
          <w:w w:val="95"/>
          <w:sz w:val="18"/>
        </w:rPr>
        <w:t>se</w:t>
      </w:r>
      <w:r>
        <w:rPr>
          <w:color w:val="545456"/>
          <w:w w:val="95"/>
          <w:sz w:val="18"/>
        </w:rPr>
        <w:t>• </w:t>
      </w:r>
      <w:r>
        <w:rPr>
          <w:color w:val="3D3D3D"/>
          <w:w w:val="95"/>
          <w:sz w:val="18"/>
        </w:rPr>
        <w:t>lega</w:t>
      </w:r>
      <w:r>
        <w:rPr>
          <w:color w:val="545456"/>
          <w:w w:val="95"/>
          <w:sz w:val="18"/>
        </w:rPr>
        <w:t>l </w:t>
      </w:r>
      <w:r>
        <w:rPr>
          <w:color w:val="3D3D3D"/>
          <w:w w:val="95"/>
          <w:sz w:val="18"/>
        </w:rPr>
        <w:t>auth</w:t>
      </w:r>
      <w:r>
        <w:rPr>
          <w:color w:val="545456"/>
          <w:w w:val="95"/>
          <w:sz w:val="18"/>
        </w:rPr>
        <w:t>o</w:t>
      </w:r>
      <w:r>
        <w:rPr>
          <w:color w:val="3D3D3D"/>
          <w:w w:val="95"/>
          <w:sz w:val="18"/>
        </w:rPr>
        <w:t>rity In the</w:t>
      </w:r>
      <w:r>
        <w:rPr>
          <w:color w:val="545456"/>
          <w:w w:val="95"/>
          <w:sz w:val="18"/>
        </w:rPr>
        <w:t>"</w:t>
      </w:r>
      <w:r>
        <w:rPr>
          <w:color w:val="3D3D3D"/>
          <w:w w:val="95"/>
          <w:sz w:val="18"/>
        </w:rPr>
        <w:t>controlli</w:t>
      </w:r>
      <w:r>
        <w:rPr>
          <w:color w:val="545456"/>
          <w:w w:val="95"/>
          <w:sz w:val="18"/>
        </w:rPr>
        <w:t>n</w:t>
      </w:r>
      <w:r>
        <w:rPr>
          <w:color w:val="3D3D3D"/>
          <w:w w:val="95"/>
          <w:sz w:val="18"/>
        </w:rPr>
        <w:t>g</w:t>
      </w:r>
      <w:r>
        <w:rPr>
          <w:color w:val="3D3D3D"/>
          <w:spacing w:val="1"/>
          <w:w w:val="95"/>
          <w:sz w:val="18"/>
        </w:rPr>
        <w:t> </w:t>
      </w:r>
      <w:r>
        <w:rPr>
          <w:color w:val="3D3D3D"/>
          <w:w w:val="95"/>
          <w:sz w:val="18"/>
        </w:rPr>
        <w:t>jurisdiction</w:t>
      </w:r>
      <w:r>
        <w:rPr>
          <w:color w:val="545456"/>
          <w:w w:val="95"/>
          <w:sz w:val="18"/>
        </w:rPr>
        <w:t>"</w:t>
      </w:r>
      <w:r>
        <w:rPr>
          <w:color w:val="545456"/>
          <w:spacing w:val="1"/>
          <w:w w:val="95"/>
          <w:sz w:val="18"/>
        </w:rPr>
        <w:t> </w:t>
      </w:r>
      <w:r>
        <w:rPr>
          <w:color w:val="545456"/>
          <w:w w:val="95"/>
          <w:sz w:val="18"/>
        </w:rPr>
        <w:t>t</w:t>
      </w:r>
      <w:r>
        <w:rPr>
          <w:color w:val="3D3D3D"/>
          <w:w w:val="95"/>
          <w:sz w:val="18"/>
        </w:rPr>
        <w:t>hat</w:t>
      </w:r>
      <w:r>
        <w:rPr>
          <w:color w:val="3D3D3D"/>
          <w:spacing w:val="1"/>
          <w:w w:val="95"/>
          <w:sz w:val="18"/>
        </w:rPr>
        <w:t> </w:t>
      </w:r>
      <w:r>
        <w:rPr>
          <w:color w:val="3D3D3D"/>
          <w:w w:val="95"/>
          <w:sz w:val="18"/>
        </w:rPr>
        <w:t>the</w:t>
      </w:r>
      <w:r>
        <w:rPr>
          <w:color w:val="3D3D3D"/>
          <w:spacing w:val="1"/>
          <w:w w:val="95"/>
          <w:sz w:val="18"/>
        </w:rPr>
        <w:t> </w:t>
      </w:r>
      <w:r>
        <w:rPr>
          <w:color w:val="3D3D3D"/>
          <w:w w:val="95"/>
          <w:sz w:val="18"/>
        </w:rPr>
        <w:t>lawyer knows</w:t>
      </w:r>
      <w:r>
        <w:rPr>
          <w:color w:val="3D3D3D"/>
          <w:spacing w:val="1"/>
          <w:w w:val="95"/>
          <w:sz w:val="18"/>
        </w:rPr>
        <w:t> </w:t>
      </w:r>
      <w:r>
        <w:rPr>
          <w:color w:val="3D3D3D"/>
          <w:w w:val="95"/>
          <w:sz w:val="18"/>
        </w:rPr>
        <w:t>Is</w:t>
      </w:r>
      <w:r>
        <w:rPr>
          <w:color w:val="545456"/>
          <w:w w:val="95"/>
          <w:sz w:val="18"/>
        </w:rPr>
        <w:t>"</w:t>
      </w:r>
      <w:r>
        <w:rPr>
          <w:color w:val="3D3D3D"/>
          <w:w w:val="95"/>
          <w:sz w:val="18"/>
        </w:rPr>
        <w:t>directlyadverse</w:t>
      </w:r>
      <w:r>
        <w:rPr>
          <w:color w:val="545456"/>
          <w:w w:val="95"/>
          <w:sz w:val="18"/>
        </w:rPr>
        <w:t>" </w:t>
      </w:r>
      <w:r>
        <w:rPr>
          <w:color w:val="3D3D3D"/>
          <w:w w:val="95"/>
          <w:sz w:val="18"/>
        </w:rPr>
        <w:t>to the clie</w:t>
      </w:r>
      <w:r>
        <w:rPr>
          <w:color w:val="545456"/>
          <w:w w:val="95"/>
          <w:sz w:val="18"/>
        </w:rPr>
        <w:t>n</w:t>
      </w:r>
      <w:r>
        <w:rPr>
          <w:color w:val="3D3D3D"/>
          <w:w w:val="95"/>
          <w:sz w:val="18"/>
        </w:rPr>
        <w:t>t's position, unless opposing counsel has disclosed It. </w:t>
      </w:r>
      <w:hyperlink r:id="rId137">
        <w:r>
          <w:rPr>
            <w:color w:val="3D3D3D"/>
            <w:w w:val="95"/>
            <w:sz w:val="18"/>
          </w:rPr>
          <w:t>http://www.</w:t>
        </w:r>
      </w:hyperlink>
      <w:r>
        <w:rPr>
          <w:color w:val="3D3D3D"/>
          <w:spacing w:val="1"/>
          <w:w w:val="95"/>
          <w:sz w:val="18"/>
        </w:rPr>
        <w:t> </w:t>
      </w:r>
      <w:r>
        <w:rPr>
          <w:color w:val="3D3D3D"/>
          <w:w w:val="95"/>
          <w:sz w:val="18"/>
        </w:rPr>
        <w:t>amerlcanbar</w:t>
      </w:r>
      <w:r>
        <w:rPr>
          <w:color w:val="545456"/>
          <w:w w:val="95"/>
          <w:sz w:val="18"/>
        </w:rPr>
        <w:t>.</w:t>
      </w:r>
      <w:r>
        <w:rPr>
          <w:color w:val="3D3D3D"/>
          <w:w w:val="95"/>
          <w:sz w:val="18"/>
        </w:rPr>
        <w:t>org/groups/professlona</w:t>
      </w:r>
      <w:r>
        <w:rPr>
          <w:color w:val="545456"/>
          <w:w w:val="95"/>
          <w:sz w:val="18"/>
        </w:rPr>
        <w:t>l_</w:t>
      </w:r>
      <w:r>
        <w:rPr>
          <w:color w:val="3D3D3D"/>
          <w:w w:val="95"/>
          <w:sz w:val="18"/>
        </w:rPr>
        <w:t>responslbillty/p</w:t>
      </w:r>
      <w:r>
        <w:rPr>
          <w:color w:val="545456"/>
          <w:w w:val="95"/>
          <w:sz w:val="18"/>
        </w:rPr>
        <w:t>u</w:t>
      </w:r>
      <w:r>
        <w:rPr>
          <w:color w:val="3D3D3D"/>
          <w:w w:val="95"/>
          <w:sz w:val="18"/>
        </w:rPr>
        <w:t>bllcations/model_rul</w:t>
      </w:r>
      <w:r>
        <w:rPr>
          <w:color w:val="545456"/>
          <w:w w:val="95"/>
          <w:sz w:val="18"/>
        </w:rPr>
        <w:t>e</w:t>
      </w:r>
      <w:r>
        <w:rPr>
          <w:color w:val="3D3D3D"/>
          <w:w w:val="95"/>
          <w:sz w:val="18"/>
        </w:rPr>
        <w:t>s_of_professlonal</w:t>
      </w:r>
      <w:r>
        <w:rPr>
          <w:color w:val="3D3D3D"/>
          <w:spacing w:val="1"/>
          <w:w w:val="95"/>
          <w:sz w:val="18"/>
        </w:rPr>
        <w:t> </w:t>
      </w:r>
      <w:r>
        <w:rPr>
          <w:color w:val="3D3D3D"/>
          <w:w w:val="95"/>
          <w:sz w:val="18"/>
        </w:rPr>
        <w:t>conduct</w:t>
      </w:r>
      <w:r>
        <w:rPr>
          <w:color w:val="545456"/>
          <w:w w:val="95"/>
          <w:sz w:val="18"/>
        </w:rPr>
        <w:t>/</w:t>
      </w:r>
      <w:r>
        <w:rPr>
          <w:color w:val="3D3D3D"/>
          <w:w w:val="95"/>
          <w:sz w:val="18"/>
        </w:rPr>
        <w:t>ru</w:t>
      </w:r>
      <w:r>
        <w:rPr>
          <w:color w:val="545456"/>
          <w:w w:val="95"/>
          <w:sz w:val="18"/>
        </w:rPr>
        <w:t>l</w:t>
      </w:r>
      <w:r>
        <w:rPr>
          <w:color w:val="3D3D3D"/>
          <w:w w:val="95"/>
          <w:sz w:val="18"/>
        </w:rPr>
        <w:t>e_3_3</w:t>
      </w:r>
      <w:r>
        <w:rPr>
          <w:color w:val="545456"/>
          <w:w w:val="95"/>
          <w:sz w:val="18"/>
        </w:rPr>
        <w:t>_</w:t>
      </w:r>
      <w:r>
        <w:rPr>
          <w:color w:val="3D3D3D"/>
          <w:w w:val="95"/>
          <w:sz w:val="18"/>
        </w:rPr>
        <w:t>candor_</w:t>
      </w:r>
      <w:r>
        <w:rPr>
          <w:color w:val="545456"/>
          <w:w w:val="95"/>
          <w:sz w:val="18"/>
        </w:rPr>
        <w:t>t</w:t>
      </w:r>
      <w:r>
        <w:rPr>
          <w:color w:val="3D3D3D"/>
          <w:w w:val="95"/>
          <w:sz w:val="18"/>
        </w:rPr>
        <w:t>oward_the_tribunal.htm</w:t>
      </w:r>
      <w:r>
        <w:rPr>
          <w:color w:val="545456"/>
          <w:w w:val="95"/>
          <w:sz w:val="18"/>
        </w:rPr>
        <w:t>l </w:t>
      </w:r>
      <w:r>
        <w:rPr>
          <w:color w:val="3D3D3D"/>
          <w:w w:val="95"/>
          <w:sz w:val="18"/>
        </w:rPr>
        <w:t>(last accessed</w:t>
      </w:r>
      <w:r>
        <w:rPr>
          <w:color w:val="3D3D3D"/>
          <w:spacing w:val="1"/>
          <w:w w:val="95"/>
          <w:sz w:val="18"/>
        </w:rPr>
        <w:t> </w:t>
      </w:r>
      <w:r>
        <w:rPr>
          <w:color w:val="3D3D3D"/>
          <w:w w:val="95"/>
          <w:sz w:val="18"/>
        </w:rPr>
        <w:t>April 13, </w:t>
      </w:r>
      <w:r>
        <w:rPr>
          <w:color w:val="3D3D3D"/>
          <w:w w:val="95"/>
          <w:sz w:val="17"/>
        </w:rPr>
        <w:t>2014). </w:t>
      </w:r>
      <w:r>
        <w:rPr>
          <w:color w:val="3D3D3D"/>
          <w:w w:val="95"/>
          <w:sz w:val="18"/>
        </w:rPr>
        <w:t>The</w:t>
      </w:r>
      <w:r>
        <w:rPr>
          <w:color w:val="3D3D3D"/>
          <w:spacing w:val="1"/>
          <w:w w:val="95"/>
          <w:sz w:val="18"/>
        </w:rPr>
        <w:t> </w:t>
      </w:r>
      <w:r>
        <w:rPr>
          <w:color w:val="3D3D3D"/>
          <w:w w:val="95"/>
          <w:sz w:val="18"/>
        </w:rPr>
        <w:t>Amertc</w:t>
      </w:r>
      <w:r>
        <w:rPr>
          <w:color w:val="3D3D3D"/>
          <w:spacing w:val="1"/>
          <w:w w:val="95"/>
          <w:sz w:val="18"/>
        </w:rPr>
        <w:t> </w:t>
      </w:r>
      <w:r>
        <w:rPr>
          <w:b/>
          <w:color w:val="3D3D3D"/>
          <w:w w:val="95"/>
          <w:sz w:val="17"/>
        </w:rPr>
        <w:t>Bar </w:t>
      </w:r>
      <w:r>
        <w:rPr>
          <w:color w:val="3D3D3D"/>
          <w:w w:val="95"/>
          <w:sz w:val="18"/>
        </w:rPr>
        <w:t>Associa</w:t>
      </w:r>
      <w:r>
        <w:rPr>
          <w:color w:val="545456"/>
          <w:w w:val="95"/>
          <w:sz w:val="18"/>
        </w:rPr>
        <w:t>ti</w:t>
      </w:r>
      <w:r>
        <w:rPr>
          <w:color w:val="3D3D3D"/>
          <w:w w:val="95"/>
          <w:sz w:val="18"/>
        </w:rPr>
        <w:t>on no</w:t>
      </w:r>
      <w:r>
        <w:rPr>
          <w:color w:val="545456"/>
          <w:w w:val="95"/>
          <w:sz w:val="18"/>
        </w:rPr>
        <w:t>t</w:t>
      </w:r>
      <w:r>
        <w:rPr>
          <w:color w:val="3D3D3D"/>
          <w:w w:val="95"/>
          <w:sz w:val="18"/>
        </w:rPr>
        <w:t>es </w:t>
      </w:r>
      <w:r>
        <w:rPr>
          <w:color w:val="545456"/>
          <w:w w:val="95"/>
          <w:sz w:val="18"/>
        </w:rPr>
        <w:t>t</w:t>
      </w:r>
      <w:r>
        <w:rPr>
          <w:color w:val="3D3D3D"/>
          <w:w w:val="95"/>
          <w:sz w:val="18"/>
        </w:rPr>
        <w:t>ha</w:t>
      </w:r>
      <w:r>
        <w:rPr>
          <w:color w:val="545456"/>
          <w:w w:val="95"/>
          <w:sz w:val="18"/>
        </w:rPr>
        <w:t>t </w:t>
      </w:r>
      <w:r>
        <w:rPr>
          <w:color w:val="3D3D3D"/>
          <w:w w:val="95"/>
          <w:sz w:val="18"/>
        </w:rPr>
        <w:t>these ru</w:t>
      </w:r>
      <w:r>
        <w:rPr>
          <w:color w:val="545456"/>
          <w:w w:val="95"/>
          <w:sz w:val="18"/>
        </w:rPr>
        <w:t>l</w:t>
      </w:r>
      <w:r>
        <w:rPr>
          <w:color w:val="3D3D3D"/>
          <w:w w:val="95"/>
          <w:sz w:val="18"/>
        </w:rPr>
        <w:t>es "s</w:t>
      </w:r>
      <w:r>
        <w:rPr>
          <w:color w:val="545456"/>
          <w:w w:val="95"/>
          <w:sz w:val="18"/>
        </w:rPr>
        <w:t>e</w:t>
      </w:r>
      <w:r>
        <w:rPr>
          <w:color w:val="3D3D3D"/>
          <w:w w:val="95"/>
          <w:sz w:val="18"/>
        </w:rPr>
        <w:t>rve as m</w:t>
      </w:r>
      <w:r>
        <w:rPr>
          <w:color w:val="545456"/>
          <w:w w:val="95"/>
          <w:sz w:val="18"/>
        </w:rPr>
        <w:t>o</w:t>
      </w:r>
      <w:r>
        <w:rPr>
          <w:color w:val="3D3D3D"/>
          <w:w w:val="95"/>
          <w:sz w:val="18"/>
        </w:rPr>
        <w:t>dels for the ethics rules of most state</w:t>
      </w:r>
      <w:r>
        <w:rPr>
          <w:color w:val="545456"/>
          <w:w w:val="95"/>
          <w:sz w:val="18"/>
        </w:rPr>
        <w:t>s</w:t>
      </w:r>
      <w:r>
        <w:rPr>
          <w:color w:val="3D3D3D"/>
          <w:w w:val="95"/>
          <w:sz w:val="18"/>
        </w:rPr>
        <w:t>." http://</w:t>
      </w:r>
      <w:r>
        <w:rPr>
          <w:color w:val="3D3D3D"/>
          <w:spacing w:val="1"/>
          <w:w w:val="95"/>
          <w:sz w:val="18"/>
        </w:rPr>
        <w:t> </w:t>
      </w:r>
      <w:hyperlink r:id="rId138">
        <w:r>
          <w:rPr>
            <w:color w:val="3D3D3D"/>
            <w:spacing w:val="-1"/>
            <w:sz w:val="18"/>
          </w:rPr>
          <w:t>www.amertcanbar.org/groups/professlonal_responsiblllty/publkations/mod</w:t>
        </w:r>
        <w:r>
          <w:rPr>
            <w:color w:val="545456"/>
            <w:spacing w:val="-1"/>
            <w:sz w:val="18"/>
          </w:rPr>
          <w:t>e</w:t>
        </w:r>
        <w:r>
          <w:rPr>
            <w:color w:val="3D3D3D"/>
            <w:spacing w:val="-1"/>
            <w:sz w:val="18"/>
          </w:rPr>
          <w:t>l</w:t>
        </w:r>
      </w:hyperlink>
      <w:r>
        <w:rPr>
          <w:color w:val="3D3D3D"/>
          <w:spacing w:val="10"/>
          <w:sz w:val="18"/>
        </w:rPr>
        <w:t> </w:t>
      </w:r>
      <w:r>
        <w:rPr>
          <w:color w:val="3D3D3D"/>
          <w:sz w:val="18"/>
        </w:rPr>
        <w:t>rules</w:t>
      </w:r>
      <w:r>
        <w:rPr>
          <w:color w:val="3D3D3D"/>
          <w:spacing w:val="6"/>
          <w:sz w:val="18"/>
        </w:rPr>
        <w:t> </w:t>
      </w:r>
      <w:r>
        <w:rPr>
          <w:color w:val="3D3D3D"/>
          <w:sz w:val="18"/>
        </w:rPr>
        <w:t>of</w:t>
      </w:r>
      <w:r>
        <w:rPr>
          <w:color w:val="3D3D3D"/>
          <w:spacing w:val="12"/>
          <w:sz w:val="18"/>
        </w:rPr>
        <w:t> </w:t>
      </w:r>
      <w:r>
        <w:rPr>
          <w:color w:val="3D3D3D"/>
          <w:sz w:val="18"/>
        </w:rPr>
        <w:t>profes-</w:t>
      </w:r>
    </w:p>
    <w:p>
      <w:pPr>
        <w:tabs>
          <w:tab w:pos="6028" w:val="left" w:leader="none"/>
          <w:tab w:pos="6511" w:val="left" w:leader="none"/>
          <w:tab w:pos="6771" w:val="left" w:leader="none"/>
        </w:tabs>
        <w:spacing w:line="180" w:lineRule="exact" w:before="0"/>
        <w:ind w:left="720" w:right="0" w:firstLine="0"/>
        <w:jc w:val="left"/>
        <w:rPr>
          <w:sz w:val="18"/>
        </w:rPr>
      </w:pPr>
      <w:r>
        <w:rPr>
          <w:color w:val="3D3D3D"/>
          <w:w w:val="90"/>
          <w:sz w:val="18"/>
        </w:rPr>
        <w:t>slonal_conduct</w:t>
      </w:r>
      <w:r>
        <w:rPr>
          <w:color w:val="545456"/>
          <w:w w:val="90"/>
          <w:sz w:val="18"/>
        </w:rPr>
        <w:t>.</w:t>
      </w:r>
      <w:r>
        <w:rPr>
          <w:color w:val="3D3D3D"/>
          <w:w w:val="90"/>
          <w:sz w:val="18"/>
        </w:rPr>
        <w:t>htm</w:t>
      </w:r>
      <w:r>
        <w:rPr>
          <w:color w:val="545456"/>
          <w:w w:val="90"/>
          <w:sz w:val="18"/>
        </w:rPr>
        <w:t>l</w:t>
      </w:r>
      <w:r>
        <w:rPr>
          <w:color w:val="545456"/>
          <w:spacing w:val="-9"/>
          <w:w w:val="90"/>
          <w:sz w:val="18"/>
        </w:rPr>
        <w:t> </w:t>
      </w:r>
      <w:r>
        <w:rPr>
          <w:color w:val="3D3D3D"/>
          <w:w w:val="90"/>
          <w:sz w:val="18"/>
        </w:rPr>
        <w:t>(las</w:t>
      </w:r>
      <w:r>
        <w:rPr>
          <w:color w:val="545456"/>
          <w:w w:val="90"/>
          <w:sz w:val="18"/>
        </w:rPr>
        <w:t>t</w:t>
      </w:r>
      <w:r>
        <w:rPr>
          <w:color w:val="545456"/>
          <w:spacing w:val="-6"/>
          <w:w w:val="90"/>
          <w:sz w:val="18"/>
        </w:rPr>
        <w:t> </w:t>
      </w:r>
      <w:r>
        <w:rPr>
          <w:color w:val="3D3D3D"/>
          <w:w w:val="90"/>
          <w:sz w:val="18"/>
        </w:rPr>
        <w:t>acc</w:t>
      </w:r>
      <w:r>
        <w:rPr>
          <w:color w:val="545456"/>
          <w:w w:val="90"/>
          <w:sz w:val="18"/>
        </w:rPr>
        <w:t>e</w:t>
      </w:r>
      <w:r>
        <w:rPr>
          <w:color w:val="3D3D3D"/>
          <w:w w:val="90"/>
          <w:sz w:val="18"/>
        </w:rPr>
        <w:t>ssedApril</w:t>
      </w:r>
      <w:r>
        <w:rPr>
          <w:color w:val="3D3D3D"/>
          <w:spacing w:val="11"/>
          <w:w w:val="90"/>
          <w:sz w:val="18"/>
        </w:rPr>
        <w:t> </w:t>
      </w:r>
      <w:r>
        <w:rPr>
          <w:color w:val="3D3D3D"/>
          <w:w w:val="90"/>
          <w:sz w:val="18"/>
        </w:rPr>
        <w:t>13</w:t>
      </w:r>
      <w:r>
        <w:rPr>
          <w:color w:val="545456"/>
          <w:w w:val="90"/>
          <w:sz w:val="18"/>
        </w:rPr>
        <w:t>,</w:t>
      </w:r>
      <w:r>
        <w:rPr>
          <w:color w:val="545456"/>
          <w:spacing w:val="22"/>
          <w:w w:val="90"/>
          <w:sz w:val="18"/>
        </w:rPr>
        <w:t> </w:t>
      </w:r>
      <w:r>
        <w:rPr>
          <w:color w:val="3D3D3D"/>
          <w:w w:val="90"/>
          <w:sz w:val="18"/>
        </w:rPr>
        <w:t>2014)</w:t>
      </w:r>
      <w:r>
        <w:rPr>
          <w:color w:val="545456"/>
          <w:w w:val="90"/>
          <w:sz w:val="18"/>
        </w:rPr>
        <w:t>.</w:t>
        <w:tab/>
      </w:r>
      <w:r>
        <w:rPr>
          <w:color w:val="3D3D3D"/>
          <w:sz w:val="18"/>
        </w:rPr>
        <w:t>-</w:t>
        <w:tab/>
        <w:t>-</w:t>
        <w:tab/>
        <w:t>-</w:t>
      </w:r>
    </w:p>
    <w:p>
      <w:pPr>
        <w:spacing w:line="235" w:lineRule="auto" w:before="8"/>
        <w:ind w:left="800" w:right="108" w:firstLine="363"/>
        <w:jc w:val="right"/>
        <w:rPr>
          <w:sz w:val="18"/>
        </w:rPr>
      </w:pPr>
      <w:r>
        <w:rPr>
          <w:color w:val="545456"/>
          <w:w w:val="95"/>
          <w:sz w:val="18"/>
        </w:rPr>
        <w:t>u</w:t>
      </w:r>
      <w:r>
        <w:rPr>
          <w:color w:val="3D3D3D"/>
          <w:w w:val="95"/>
          <w:sz w:val="18"/>
        </w:rPr>
        <w:t>professor Stanchl</w:t>
      </w:r>
      <w:r>
        <w:rPr>
          <w:color w:val="3D3D3D"/>
          <w:spacing w:val="1"/>
          <w:w w:val="95"/>
          <w:sz w:val="18"/>
        </w:rPr>
        <w:t> </w:t>
      </w:r>
      <w:r>
        <w:rPr>
          <w:color w:val="3D3D3D"/>
          <w:w w:val="95"/>
          <w:sz w:val="18"/>
        </w:rPr>
        <w:t>warns against bringing</w:t>
      </w:r>
      <w:r>
        <w:rPr>
          <w:color w:val="3D3D3D"/>
          <w:spacing w:val="40"/>
          <w:sz w:val="18"/>
        </w:rPr>
        <w:t> </w:t>
      </w:r>
      <w:r>
        <w:rPr>
          <w:color w:val="3D3D3D"/>
          <w:w w:val="95"/>
          <w:sz w:val="18"/>
        </w:rPr>
        <w:t>up</w:t>
      </w:r>
      <w:r>
        <w:rPr>
          <w:color w:val="3D3D3D"/>
          <w:spacing w:val="41"/>
          <w:sz w:val="18"/>
        </w:rPr>
        <w:t> </w:t>
      </w:r>
      <w:r>
        <w:rPr>
          <w:color w:val="3D3D3D"/>
          <w:w w:val="95"/>
          <w:sz w:val="18"/>
        </w:rPr>
        <w:t>alive arguments pre</w:t>
      </w:r>
      <w:r>
        <w:rPr>
          <w:color w:val="545456"/>
          <w:w w:val="95"/>
          <w:sz w:val="18"/>
        </w:rPr>
        <w:t>-</w:t>
      </w:r>
      <w:r>
        <w:rPr>
          <w:color w:val="3D3D3D"/>
          <w:w w:val="95"/>
          <w:sz w:val="18"/>
        </w:rPr>
        <w:t>emptively</w:t>
      </w:r>
      <w:r>
        <w:rPr>
          <w:color w:val="3D3D3D"/>
          <w:spacing w:val="41"/>
          <w:sz w:val="18"/>
        </w:rPr>
        <w:t> </w:t>
      </w:r>
      <w:r>
        <w:rPr>
          <w:color w:val="3D3D3D"/>
          <w:w w:val="95"/>
          <w:sz w:val="18"/>
        </w:rPr>
        <w:t>unless you</w:t>
      </w:r>
      <w:r>
        <w:rPr>
          <w:color w:val="3D3D3D"/>
          <w:spacing w:val="-40"/>
          <w:w w:val="95"/>
          <w:sz w:val="18"/>
        </w:rPr>
        <w:t> </w:t>
      </w:r>
      <w:r>
        <w:rPr>
          <w:color w:val="3D3D3D"/>
          <w:spacing w:val="-1"/>
          <w:sz w:val="18"/>
        </w:rPr>
        <w:t>are</w:t>
      </w:r>
      <w:r>
        <w:rPr>
          <w:color w:val="3D3D3D"/>
          <w:spacing w:val="-25"/>
          <w:sz w:val="18"/>
        </w:rPr>
        <w:t> </w:t>
      </w:r>
      <w:r>
        <w:rPr>
          <w:color w:val="3D3D3D"/>
          <w:spacing w:val="-1"/>
          <w:sz w:val="18"/>
        </w:rPr>
        <w:t>fairly</w:t>
      </w:r>
      <w:r>
        <w:rPr>
          <w:color w:val="3D3D3D"/>
          <w:spacing w:val="-25"/>
          <w:sz w:val="18"/>
        </w:rPr>
        <w:t> </w:t>
      </w:r>
      <w:r>
        <w:rPr>
          <w:color w:val="3D3D3D"/>
          <w:spacing w:val="-1"/>
          <w:sz w:val="18"/>
        </w:rPr>
        <w:t>certain that</w:t>
      </w:r>
      <w:r>
        <w:rPr>
          <w:color w:val="3D3D3D"/>
          <w:spacing w:val="-11"/>
          <w:sz w:val="18"/>
        </w:rPr>
        <w:t> </w:t>
      </w:r>
      <w:r>
        <w:rPr>
          <w:color w:val="3D3D3D"/>
          <w:sz w:val="18"/>
        </w:rPr>
        <w:t>youropponent</w:t>
      </w:r>
      <w:r>
        <w:rPr>
          <w:color w:val="3D3D3D"/>
          <w:spacing w:val="-5"/>
          <w:sz w:val="18"/>
        </w:rPr>
        <w:t> </w:t>
      </w:r>
      <w:r>
        <w:rPr>
          <w:color w:val="3D3D3D"/>
          <w:sz w:val="18"/>
        </w:rPr>
        <w:t>will</w:t>
      </w:r>
      <w:r>
        <w:rPr>
          <w:color w:val="3D3D3D"/>
          <w:spacing w:val="-12"/>
          <w:sz w:val="18"/>
        </w:rPr>
        <w:t> </w:t>
      </w:r>
      <w:r>
        <w:rPr>
          <w:color w:val="3D3D3D"/>
          <w:sz w:val="18"/>
        </w:rPr>
        <w:t>act</w:t>
      </w:r>
      <w:r>
        <w:rPr>
          <w:color w:val="545456"/>
          <w:sz w:val="18"/>
        </w:rPr>
        <w:t>u</w:t>
      </w:r>
      <w:r>
        <w:rPr>
          <w:color w:val="3D3D3D"/>
          <w:sz w:val="18"/>
        </w:rPr>
        <w:t>ally</w:t>
      </w:r>
      <w:r>
        <w:rPr>
          <w:color w:val="3D3D3D"/>
          <w:spacing w:val="-8"/>
          <w:sz w:val="18"/>
        </w:rPr>
        <w:t> </w:t>
      </w:r>
      <w:r>
        <w:rPr>
          <w:color w:val="3D3D3D"/>
          <w:sz w:val="18"/>
        </w:rPr>
        <w:t>bnn</w:t>
      </w:r>
      <w:r>
        <w:rPr>
          <w:color w:val="545456"/>
          <w:sz w:val="18"/>
        </w:rPr>
        <w:t>g</w:t>
      </w:r>
      <w:r>
        <w:rPr>
          <w:color w:val="545456"/>
          <w:spacing w:val="-10"/>
          <w:sz w:val="18"/>
        </w:rPr>
        <w:t> </w:t>
      </w:r>
      <w:r>
        <w:rPr>
          <w:color w:val="3D3D3D"/>
          <w:sz w:val="18"/>
        </w:rPr>
        <w:t>them</w:t>
      </w:r>
      <w:r>
        <w:rPr>
          <w:color w:val="3D3D3D"/>
          <w:spacing w:val="11"/>
          <w:sz w:val="18"/>
        </w:rPr>
        <w:t> </w:t>
      </w:r>
      <w:r>
        <w:rPr>
          <w:color w:val="3D3D3D"/>
          <w:sz w:val="18"/>
        </w:rPr>
        <w:t>up</w:t>
      </w:r>
      <w:r>
        <w:rPr>
          <w:color w:val="545456"/>
          <w:sz w:val="18"/>
        </w:rPr>
        <w:t>.</w:t>
      </w:r>
      <w:r>
        <w:rPr>
          <w:color w:val="545456"/>
          <w:spacing w:val="-24"/>
          <w:sz w:val="18"/>
        </w:rPr>
        <w:t> </w:t>
      </w:r>
      <w:r>
        <w:rPr>
          <w:color w:val="3D3D3D"/>
          <w:sz w:val="18"/>
        </w:rPr>
        <w:t>Stanch!,</w:t>
      </w:r>
      <w:r>
        <w:rPr>
          <w:color w:val="3D3D3D"/>
          <w:spacing w:val="-5"/>
          <w:sz w:val="18"/>
        </w:rPr>
        <w:t> </w:t>
      </w:r>
      <w:r>
        <w:rPr>
          <w:i/>
          <w:color w:val="3D3D3D"/>
          <w:sz w:val="18"/>
        </w:rPr>
        <w:t>supra</w:t>
      </w:r>
      <w:r>
        <w:rPr>
          <w:i/>
          <w:color w:val="3D3D3D"/>
          <w:spacing w:val="-3"/>
          <w:sz w:val="18"/>
        </w:rPr>
        <w:t> </w:t>
      </w:r>
      <w:r>
        <w:rPr>
          <w:color w:val="3D3D3D"/>
          <w:sz w:val="18"/>
        </w:rPr>
        <w:t>note</w:t>
      </w:r>
      <w:r>
        <w:rPr>
          <w:color w:val="3D3D3D"/>
          <w:spacing w:val="-15"/>
          <w:sz w:val="18"/>
        </w:rPr>
        <w:t> </w:t>
      </w:r>
      <w:r>
        <w:rPr>
          <w:color w:val="3D3D3D"/>
          <w:position w:val="-4"/>
          <w:sz w:val="16"/>
        </w:rPr>
        <w:t>111</w:t>
      </w:r>
      <w:r>
        <w:rPr>
          <w:color w:val="3D3D3D"/>
          <w:sz w:val="18"/>
        </w:rPr>
        <w:t>at</w:t>
      </w:r>
      <w:r>
        <w:rPr>
          <w:color w:val="3D3D3D"/>
          <w:spacing w:val="3"/>
          <w:sz w:val="18"/>
        </w:rPr>
        <w:t> </w:t>
      </w:r>
      <w:r>
        <w:rPr>
          <w:color w:val="3D3D3D"/>
          <w:position w:val="-4"/>
          <w:sz w:val="18"/>
        </w:rPr>
        <w:t>427</w:t>
      </w:r>
      <w:r>
        <w:rPr>
          <w:color w:val="545456"/>
          <w:sz w:val="18"/>
        </w:rPr>
        <w:t>,</w:t>
      </w:r>
    </w:p>
    <w:p>
      <w:pPr>
        <w:spacing w:line="127" w:lineRule="auto" w:before="0"/>
        <w:ind w:left="0" w:right="103" w:firstLine="0"/>
        <w:jc w:val="right"/>
        <w:rPr>
          <w:sz w:val="19"/>
        </w:rPr>
      </w:pPr>
      <w:r>
        <w:rPr>
          <w:rFonts w:ascii="Arial"/>
          <w:i/>
          <w:color w:val="3D3D3D"/>
          <w:w w:val="95"/>
          <w:position w:val="-4"/>
          <w:sz w:val="17"/>
        </w:rPr>
        <w:t>428</w:t>
      </w:r>
      <w:r>
        <w:rPr>
          <w:rFonts w:ascii="Arial"/>
          <w:i/>
          <w:color w:val="545456"/>
          <w:w w:val="95"/>
          <w:sz w:val="17"/>
        </w:rPr>
        <w:t>.</w:t>
      </w:r>
      <w:r>
        <w:rPr>
          <w:rFonts w:ascii="Arial"/>
          <w:i/>
          <w:color w:val="545456"/>
          <w:spacing w:val="-27"/>
          <w:w w:val="95"/>
          <w:sz w:val="17"/>
        </w:rPr>
        <w:t> </w:t>
      </w:r>
      <w:r>
        <w:rPr>
          <w:rFonts w:ascii="Arial"/>
          <w:i/>
          <w:color w:val="3D3D3D"/>
          <w:w w:val="95"/>
          <w:sz w:val="17"/>
        </w:rPr>
        <w:t>Of</w:t>
      </w:r>
      <w:r>
        <w:rPr>
          <w:rFonts w:ascii="Arial"/>
          <w:i/>
          <w:color w:val="3D3D3D"/>
          <w:spacing w:val="3"/>
          <w:w w:val="95"/>
          <w:sz w:val="17"/>
        </w:rPr>
        <w:t> </w:t>
      </w:r>
      <w:r>
        <w:rPr>
          <w:color w:val="3D3D3D"/>
          <w:w w:val="95"/>
          <w:sz w:val="18"/>
        </w:rPr>
        <w:t>course</w:t>
      </w:r>
      <w:r>
        <w:rPr>
          <w:color w:val="545456"/>
          <w:w w:val="95"/>
          <w:sz w:val="18"/>
        </w:rPr>
        <w:t>,</w:t>
      </w:r>
      <w:r>
        <w:rPr>
          <w:color w:val="545456"/>
          <w:spacing w:val="4"/>
          <w:w w:val="95"/>
          <w:sz w:val="18"/>
        </w:rPr>
        <w:t> </w:t>
      </w:r>
      <w:r>
        <w:rPr>
          <w:color w:val="3D3D3D"/>
          <w:w w:val="95"/>
          <w:sz w:val="18"/>
        </w:rPr>
        <w:t>If</w:t>
      </w:r>
      <w:r>
        <w:rPr>
          <w:color w:val="3D3D3D"/>
          <w:spacing w:val="2"/>
          <w:w w:val="95"/>
          <w:sz w:val="18"/>
        </w:rPr>
        <w:t> </w:t>
      </w:r>
      <w:r>
        <w:rPr>
          <w:color w:val="3D3D3D"/>
          <w:w w:val="95"/>
          <w:sz w:val="18"/>
        </w:rPr>
        <w:t>you</w:t>
      </w:r>
      <w:r>
        <w:rPr>
          <w:color w:val="3D3D3D"/>
          <w:spacing w:val="-9"/>
          <w:w w:val="95"/>
          <w:sz w:val="18"/>
        </w:rPr>
        <w:t> </w:t>
      </w:r>
      <w:r>
        <w:rPr>
          <w:color w:val="3D3D3D"/>
          <w:w w:val="95"/>
          <w:sz w:val="18"/>
        </w:rPr>
        <w:t>are</w:t>
      </w:r>
      <w:r>
        <w:rPr>
          <w:color w:val="3D3D3D"/>
          <w:spacing w:val="-16"/>
          <w:w w:val="95"/>
          <w:sz w:val="18"/>
        </w:rPr>
        <w:t> </w:t>
      </w:r>
      <w:r>
        <w:rPr>
          <w:color w:val="3D3D3D"/>
          <w:w w:val="95"/>
          <w:sz w:val="18"/>
        </w:rPr>
        <w:t>a</w:t>
      </w:r>
      <w:r>
        <w:rPr>
          <w:color w:val="3D3D3D"/>
          <w:spacing w:val="-9"/>
          <w:w w:val="95"/>
          <w:sz w:val="18"/>
        </w:rPr>
        <w:t> </w:t>
      </w:r>
      <w:r>
        <w:rPr>
          <w:color w:val="545456"/>
          <w:w w:val="95"/>
          <w:sz w:val="18"/>
        </w:rPr>
        <w:t>r</w:t>
      </w:r>
      <w:r>
        <w:rPr>
          <w:color w:val="3D3D3D"/>
          <w:w w:val="95"/>
          <w:sz w:val="18"/>
        </w:rPr>
        <w:t>es</w:t>
      </w:r>
      <w:r>
        <w:rPr>
          <w:color w:val="545456"/>
          <w:w w:val="95"/>
          <w:sz w:val="18"/>
        </w:rPr>
        <w:t>p</w:t>
      </w:r>
      <w:r>
        <w:rPr>
          <w:color w:val="3D3D3D"/>
          <w:w w:val="95"/>
          <w:sz w:val="18"/>
        </w:rPr>
        <w:t>onde</w:t>
      </w:r>
      <w:r>
        <w:rPr>
          <w:color w:val="545456"/>
          <w:w w:val="95"/>
          <w:sz w:val="18"/>
        </w:rPr>
        <w:t>nt,</w:t>
      </w:r>
      <w:r>
        <w:rPr>
          <w:color w:val="545456"/>
          <w:spacing w:val="-11"/>
          <w:w w:val="95"/>
          <w:sz w:val="18"/>
        </w:rPr>
        <w:t> </w:t>
      </w:r>
      <w:r>
        <w:rPr>
          <w:color w:val="3D3D3D"/>
          <w:w w:val="95"/>
          <w:sz w:val="18"/>
        </w:rPr>
        <w:t>an</w:t>
      </w:r>
      <w:r>
        <w:rPr>
          <w:color w:val="3D3D3D"/>
          <w:spacing w:val="-1"/>
          <w:w w:val="95"/>
          <w:sz w:val="18"/>
        </w:rPr>
        <w:t> </w:t>
      </w:r>
      <w:r>
        <w:rPr>
          <w:color w:val="3D3D3D"/>
          <w:w w:val="95"/>
          <w:sz w:val="18"/>
        </w:rPr>
        <w:t>appe</w:t>
      </w:r>
      <w:r>
        <w:rPr>
          <w:color w:val="545456"/>
          <w:w w:val="95"/>
          <w:sz w:val="18"/>
        </w:rPr>
        <w:t>ll</w:t>
      </w:r>
      <w:r>
        <w:rPr>
          <w:color w:val="3D3D3D"/>
          <w:w w:val="95"/>
          <w:sz w:val="18"/>
        </w:rPr>
        <w:t>ee,</w:t>
      </w:r>
      <w:r>
        <w:rPr>
          <w:color w:val="3D3D3D"/>
          <w:spacing w:val="-11"/>
          <w:w w:val="95"/>
          <w:sz w:val="18"/>
        </w:rPr>
        <w:t> </w:t>
      </w:r>
      <w:r>
        <w:rPr>
          <w:color w:val="3D3D3D"/>
          <w:w w:val="95"/>
          <w:sz w:val="18"/>
        </w:rPr>
        <w:t>or</w:t>
      </w:r>
      <w:r>
        <w:rPr>
          <w:color w:val="3D3D3D"/>
          <w:spacing w:val="-11"/>
          <w:w w:val="95"/>
          <w:sz w:val="18"/>
        </w:rPr>
        <w:t> </w:t>
      </w:r>
      <w:r>
        <w:rPr>
          <w:color w:val="3D3D3D"/>
          <w:w w:val="95"/>
          <w:sz w:val="18"/>
        </w:rPr>
        <w:t>a</w:t>
      </w:r>
      <w:r>
        <w:rPr>
          <w:color w:val="3D3D3D"/>
          <w:spacing w:val="5"/>
          <w:w w:val="95"/>
          <w:sz w:val="18"/>
        </w:rPr>
        <w:t> </w:t>
      </w:r>
      <w:r>
        <w:rPr>
          <w:color w:val="3D3D3D"/>
          <w:w w:val="95"/>
          <w:sz w:val="18"/>
        </w:rPr>
        <w:t>p</w:t>
      </w:r>
      <w:r>
        <w:rPr>
          <w:color w:val="545456"/>
          <w:w w:val="95"/>
          <w:sz w:val="18"/>
        </w:rPr>
        <w:t>a</w:t>
      </w:r>
      <w:r>
        <w:rPr>
          <w:color w:val="3D3D3D"/>
          <w:w w:val="95"/>
          <w:sz w:val="18"/>
        </w:rPr>
        <w:t>rty</w:t>
      </w:r>
      <w:r>
        <w:rPr>
          <w:color w:val="3D3D3D"/>
          <w:spacing w:val="-6"/>
          <w:w w:val="95"/>
          <w:sz w:val="18"/>
        </w:rPr>
        <w:t> </w:t>
      </w:r>
      <w:r>
        <w:rPr>
          <w:color w:val="3D3D3D"/>
          <w:w w:val="95"/>
          <w:sz w:val="18"/>
        </w:rPr>
        <w:t>opposing</w:t>
      </w:r>
      <w:r>
        <w:rPr>
          <w:color w:val="3D3D3D"/>
          <w:spacing w:val="16"/>
          <w:w w:val="95"/>
          <w:sz w:val="18"/>
        </w:rPr>
        <w:t> </w:t>
      </w:r>
      <w:r>
        <w:rPr>
          <w:color w:val="3D3D3D"/>
          <w:w w:val="95"/>
          <w:sz w:val="18"/>
        </w:rPr>
        <w:t>the</w:t>
      </w:r>
      <w:r>
        <w:rPr>
          <w:color w:val="3D3D3D"/>
          <w:spacing w:val="37"/>
          <w:w w:val="95"/>
          <w:sz w:val="18"/>
        </w:rPr>
        <w:t> </w:t>
      </w:r>
      <w:r>
        <w:rPr>
          <w:color w:val="3D3D3D"/>
          <w:w w:val="95"/>
          <w:sz w:val="18"/>
        </w:rPr>
        <w:t>moUon,</w:t>
      </w:r>
      <w:r>
        <w:rPr>
          <w:color w:val="3D3D3D"/>
          <w:spacing w:val="27"/>
          <w:w w:val="95"/>
          <w:sz w:val="18"/>
        </w:rPr>
        <w:t> </w:t>
      </w:r>
      <w:r>
        <w:rPr>
          <w:color w:val="3D3D3D"/>
          <w:w w:val="95"/>
          <w:sz w:val="18"/>
        </w:rPr>
        <w:t>you</w:t>
      </w:r>
      <w:r>
        <w:rPr>
          <w:color w:val="3D3D3D"/>
          <w:spacing w:val="26"/>
          <w:w w:val="95"/>
          <w:sz w:val="18"/>
        </w:rPr>
        <w:t> </w:t>
      </w:r>
      <w:r>
        <w:rPr>
          <w:color w:val="3D3D3D"/>
          <w:w w:val="95"/>
          <w:sz w:val="18"/>
        </w:rPr>
        <w:t>may</w:t>
      </w:r>
      <w:r>
        <w:rPr>
          <w:color w:val="3D3D3D"/>
          <w:spacing w:val="-4"/>
          <w:w w:val="95"/>
          <w:sz w:val="18"/>
        </w:rPr>
        <w:t> </w:t>
      </w:r>
      <w:r>
        <w:rPr>
          <w:color w:val="3D3D3D"/>
          <w:w w:val="95"/>
          <w:sz w:val="19"/>
        </w:rPr>
        <w:t>be</w:t>
      </w:r>
    </w:p>
    <w:p>
      <w:pPr>
        <w:spacing w:line="211" w:lineRule="auto" w:before="0"/>
        <w:ind w:left="776" w:right="92" w:hanging="94"/>
        <w:jc w:val="left"/>
        <w:rPr>
          <w:sz w:val="18"/>
        </w:rPr>
      </w:pPr>
      <w:r>
        <w:rPr>
          <w:color w:val="3D3D3D"/>
          <w:w w:val="105"/>
          <w:sz w:val="18"/>
        </w:rPr>
        <w:t>abl</w:t>
      </w:r>
      <w:r>
        <w:rPr>
          <w:color w:val="545456"/>
          <w:w w:val="105"/>
          <w:sz w:val="18"/>
        </w:rPr>
        <w:t>e </w:t>
      </w:r>
      <w:r>
        <w:rPr>
          <w:color w:val="3D3D3D"/>
          <w:sz w:val="18"/>
        </w:rPr>
        <w:t>toconsult</w:t>
      </w:r>
      <w:r>
        <w:rPr>
          <w:color w:val="3D3D3D"/>
          <w:spacing w:val="-7"/>
          <w:sz w:val="18"/>
        </w:rPr>
        <w:t> </w:t>
      </w:r>
      <w:r>
        <w:rPr>
          <w:color w:val="3D3D3D"/>
          <w:sz w:val="18"/>
        </w:rPr>
        <w:t>an</w:t>
      </w:r>
      <w:r>
        <w:rPr>
          <w:color w:val="3D3D3D"/>
          <w:spacing w:val="-19"/>
          <w:sz w:val="18"/>
        </w:rPr>
        <w:t> </w:t>
      </w:r>
      <w:r>
        <w:rPr>
          <w:color w:val="3D3D3D"/>
          <w:sz w:val="18"/>
        </w:rPr>
        <w:t>actua</w:t>
      </w:r>
      <w:r>
        <w:rPr>
          <w:color w:val="545456"/>
          <w:sz w:val="18"/>
        </w:rPr>
        <w:t>l</w:t>
      </w:r>
      <w:r>
        <w:rPr>
          <w:color w:val="545456"/>
          <w:spacing w:val="-4"/>
          <w:sz w:val="18"/>
        </w:rPr>
        <w:t> </w:t>
      </w:r>
      <w:r>
        <w:rPr>
          <w:color w:val="3D3D3D"/>
          <w:sz w:val="18"/>
        </w:rPr>
        <w:t>brief</w:t>
      </w:r>
      <w:r>
        <w:rPr>
          <w:color w:val="3D3D3D"/>
          <w:spacing w:val="7"/>
          <w:sz w:val="18"/>
        </w:rPr>
        <w:t> </w:t>
      </w:r>
      <w:r>
        <w:rPr>
          <w:color w:val="3D3D3D"/>
          <w:sz w:val="18"/>
        </w:rPr>
        <w:t>to</w:t>
      </w:r>
      <w:r>
        <w:rPr>
          <w:color w:val="3D3D3D"/>
          <w:spacing w:val="-24"/>
          <w:sz w:val="18"/>
        </w:rPr>
        <w:t> </w:t>
      </w:r>
      <w:r>
        <w:rPr>
          <w:color w:val="3D3D3D"/>
          <w:sz w:val="18"/>
        </w:rPr>
        <w:t>determine</w:t>
      </w:r>
      <w:r>
        <w:rPr>
          <w:color w:val="3D3D3D"/>
          <w:spacing w:val="-7"/>
          <w:sz w:val="18"/>
        </w:rPr>
        <w:t> </w:t>
      </w:r>
      <w:r>
        <w:rPr>
          <w:color w:val="3D3D3D"/>
          <w:sz w:val="18"/>
        </w:rPr>
        <w:t>what</w:t>
      </w:r>
      <w:r>
        <w:rPr>
          <w:color w:val="3D3D3D"/>
          <w:spacing w:val="3"/>
          <w:sz w:val="18"/>
        </w:rPr>
        <w:t> </w:t>
      </w:r>
      <w:r>
        <w:rPr>
          <w:color w:val="3D3D3D"/>
          <w:sz w:val="18"/>
        </w:rPr>
        <w:t>those</w:t>
      </w:r>
      <w:r>
        <w:rPr>
          <w:color w:val="3D3D3D"/>
          <w:spacing w:val="-18"/>
          <w:sz w:val="18"/>
        </w:rPr>
        <w:t> </w:t>
      </w:r>
      <w:r>
        <w:rPr>
          <w:color w:val="3D3D3D"/>
          <w:sz w:val="18"/>
        </w:rPr>
        <w:t>arguments</w:t>
      </w:r>
      <w:r>
        <w:rPr>
          <w:color w:val="3D3D3D"/>
          <w:spacing w:val="-9"/>
          <w:sz w:val="18"/>
        </w:rPr>
        <w:t> </w:t>
      </w:r>
      <w:r>
        <w:rPr>
          <w:color w:val="3D3D3D"/>
          <w:sz w:val="18"/>
        </w:rPr>
        <w:t>are</w:t>
      </w:r>
      <w:r>
        <w:rPr>
          <w:color w:val="545456"/>
          <w:sz w:val="18"/>
        </w:rPr>
        <w:t>.</w:t>
      </w:r>
      <w:r>
        <w:rPr>
          <w:color w:val="545456"/>
          <w:spacing w:val="-1"/>
          <w:sz w:val="18"/>
        </w:rPr>
        <w:t> </w:t>
      </w:r>
      <w:r>
        <w:rPr>
          <w:color w:val="3D3D3D"/>
          <w:sz w:val="18"/>
        </w:rPr>
        <w:t>Admittedly,</w:t>
      </w:r>
      <w:r>
        <w:rPr>
          <w:color w:val="3D3D3D"/>
          <w:spacing w:val="18"/>
          <w:sz w:val="18"/>
        </w:rPr>
        <w:t> </w:t>
      </w:r>
      <w:r>
        <w:rPr>
          <w:color w:val="3D3D3D"/>
          <w:sz w:val="18"/>
        </w:rPr>
        <w:t>this</w:t>
      </w:r>
      <w:r>
        <w:rPr>
          <w:color w:val="3D3D3D"/>
          <w:spacing w:val="-24"/>
          <w:sz w:val="18"/>
        </w:rPr>
        <w:t> </w:t>
      </w:r>
      <w:r>
        <w:rPr>
          <w:color w:val="3D3D3D"/>
          <w:sz w:val="18"/>
        </w:rPr>
        <w:t>option</w:t>
      </w:r>
      <w:r>
        <w:rPr>
          <w:color w:val="3D3D3D"/>
          <w:spacing w:val="-5"/>
          <w:sz w:val="18"/>
        </w:rPr>
        <w:t> </w:t>
      </w:r>
      <w:r>
        <w:rPr>
          <w:color w:val="3D3D3D"/>
          <w:sz w:val="18"/>
        </w:rPr>
        <w:t>ls</w:t>
      </w:r>
      <w:r>
        <w:rPr>
          <w:color w:val="3D3D3D"/>
          <w:spacing w:val="1"/>
          <w:sz w:val="18"/>
        </w:rPr>
        <w:t> </w:t>
      </w:r>
      <w:r>
        <w:rPr>
          <w:color w:val="3D3D3D"/>
          <w:sz w:val="18"/>
        </w:rPr>
        <w:t>not</w:t>
      </w:r>
      <w:r>
        <w:rPr>
          <w:color w:val="3D3D3D"/>
          <w:spacing w:val="14"/>
          <w:sz w:val="18"/>
        </w:rPr>
        <w:t> </w:t>
      </w:r>
      <w:r>
        <w:rPr>
          <w:color w:val="3D3D3D"/>
          <w:sz w:val="18"/>
        </w:rPr>
        <w:t>alwaysavallable</w:t>
      </w:r>
      <w:r>
        <w:rPr>
          <w:color w:val="3D3D3D"/>
          <w:spacing w:val="-12"/>
          <w:sz w:val="18"/>
        </w:rPr>
        <w:t> </w:t>
      </w:r>
      <w:r>
        <w:rPr>
          <w:color w:val="3D3D3D"/>
          <w:sz w:val="18"/>
        </w:rPr>
        <w:t>Ina</w:t>
      </w:r>
      <w:r>
        <w:rPr>
          <w:color w:val="3D3D3D"/>
          <w:spacing w:val="-10"/>
          <w:sz w:val="18"/>
        </w:rPr>
        <w:t> </w:t>
      </w:r>
      <w:r>
        <w:rPr>
          <w:color w:val="3D3D3D"/>
          <w:sz w:val="18"/>
        </w:rPr>
        <w:t>law</w:t>
      </w:r>
      <w:r>
        <w:rPr>
          <w:color w:val="3D3D3D"/>
          <w:spacing w:val="-21"/>
          <w:sz w:val="18"/>
        </w:rPr>
        <w:t> </w:t>
      </w:r>
      <w:r>
        <w:rPr>
          <w:color w:val="3D3D3D"/>
          <w:sz w:val="18"/>
        </w:rPr>
        <w:t>school</w:t>
      </w:r>
      <w:r>
        <w:rPr>
          <w:color w:val="3D3D3D"/>
          <w:spacing w:val="-9"/>
          <w:sz w:val="18"/>
        </w:rPr>
        <w:t> </w:t>
      </w:r>
      <w:r>
        <w:rPr>
          <w:color w:val="3D3D3D"/>
          <w:sz w:val="18"/>
        </w:rPr>
        <w:t>setting.</w:t>
      </w:r>
    </w:p>
    <w:p>
      <w:pPr>
        <w:spacing w:after="0" w:line="211" w:lineRule="auto"/>
        <w:jc w:val="left"/>
        <w:rPr>
          <w:sz w:val="18"/>
        </w:rPr>
        <w:sectPr>
          <w:headerReference w:type="even" r:id="rId135"/>
          <w:headerReference w:type="default" r:id="rId136"/>
          <w:pgSz w:w="8800" w:h="13810"/>
          <w:pgMar w:header="540" w:footer="0" w:top="940" w:bottom="0" w:left="12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35" w:lineRule="auto"/>
        <w:ind w:left="309" w:right="269" w:firstLine="3"/>
        <w:jc w:val="both"/>
      </w:pPr>
      <w:r>
        <w:rPr>
          <w:color w:val="3A383A"/>
          <w:w w:val="105"/>
        </w:rPr>
        <w:t>about which authorities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best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illustrate  how  that rule should operate.  In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that circumstance, the explanation section of a particular unit of discourse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argument may be longer because you may need to address not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only the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significance of cases that you believe best illustrate how the rule operates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but also cases that your opponent might proffer. You should take care to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address what the authorities do </w:t>
      </w:r>
      <w:r>
        <w:rPr>
          <w:i/>
          <w:color w:val="3A383A"/>
          <w:w w:val="105"/>
        </w:rPr>
        <w:t>not </w:t>
      </w:r>
      <w:r>
        <w:rPr>
          <w:color w:val="3A383A"/>
          <w:w w:val="105"/>
        </w:rPr>
        <w:t>mean or do </w:t>
      </w:r>
      <w:r>
        <w:rPr>
          <w:i/>
          <w:color w:val="3A383A"/>
          <w:w w:val="105"/>
        </w:rPr>
        <w:t>not </w:t>
      </w:r>
      <w:r>
        <w:rPr>
          <w:color w:val="3A383A"/>
          <w:w w:val="105"/>
        </w:rPr>
        <w:t>say, and to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justify your</w:t>
      </w:r>
      <w:r>
        <w:rPr>
          <w:color w:val="3A383A"/>
          <w:spacing w:val="-58"/>
          <w:w w:val="105"/>
        </w:rPr>
        <w:t> </w:t>
      </w:r>
      <w:r>
        <w:rPr>
          <w:color w:val="3A383A"/>
          <w:w w:val="105"/>
        </w:rPr>
        <w:t>decisions. You should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not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make your opponent's arguments, as </w:t>
      </w:r>
      <w:r>
        <w:rPr>
          <w:color w:val="3A383A"/>
          <w:w w:val="105"/>
          <w:sz w:val="21"/>
        </w:rPr>
        <w:t>in</w:t>
      </w:r>
      <w:r>
        <w:rPr>
          <w:color w:val="3A383A"/>
          <w:spacing w:val="1"/>
          <w:w w:val="105"/>
          <w:sz w:val="21"/>
        </w:rPr>
        <w:t> </w:t>
      </w:r>
      <w:r>
        <w:rPr>
          <w:color w:val="3A383A"/>
          <w:w w:val="105"/>
        </w:rPr>
        <w:t>this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example:</w:t>
      </w:r>
    </w:p>
    <w:p>
      <w:pPr>
        <w:pStyle w:val="BodyText"/>
        <w:spacing w:before="5"/>
        <w:rPr>
          <w:sz w:val="9"/>
        </w:rPr>
      </w:pPr>
    </w:p>
    <w:p>
      <w:pPr>
        <w:tabs>
          <w:tab w:pos="468" w:val="left" w:leader="none"/>
          <w:tab w:pos="684" w:val="left" w:leader="none"/>
        </w:tabs>
        <w:spacing w:before="94"/>
        <w:ind w:left="115" w:right="0" w:firstLine="0"/>
        <w:jc w:val="left"/>
        <w:rPr>
          <w:sz w:val="16"/>
        </w:rPr>
      </w:pPr>
      <w:r>
        <w:rPr>
          <w:color w:val="3A383A"/>
          <w:w w:val="100"/>
          <w:sz w:val="16"/>
          <w:u w:val="thick" w:color="3A383A"/>
        </w:rPr>
        <w:t> </w:t>
      </w:r>
      <w:r>
        <w:rPr>
          <w:color w:val="3A383A"/>
          <w:sz w:val="16"/>
          <w:u w:val="thick" w:color="3A383A"/>
        </w:rPr>
        <w:tab/>
      </w:r>
      <w:r>
        <w:rPr>
          <w:color w:val="3A383A"/>
          <w:sz w:val="16"/>
        </w:rPr>
        <w:tab/>
      </w:r>
      <w:r>
        <w:rPr>
          <w:color w:val="3A383A"/>
          <w:w w:val="90"/>
          <w:sz w:val="16"/>
          <w:u w:val="thick" w:color="6B6D6E"/>
        </w:rPr>
        <w:t>B</w:t>
      </w:r>
      <w:r>
        <w:rPr>
          <w:color w:val="6B6D6E"/>
          <w:w w:val="90"/>
          <w:sz w:val="16"/>
          <w:u w:val="thick" w:color="6B6D6E"/>
        </w:rPr>
        <w:t>A</w:t>
      </w:r>
      <w:r>
        <w:rPr>
          <w:color w:val="3A383A"/>
          <w:w w:val="90"/>
          <w:sz w:val="16"/>
          <w:u w:val="thick" w:color="6B6D6E"/>
        </w:rPr>
        <w:t>D</w:t>
      </w:r>
      <w:r>
        <w:rPr>
          <w:color w:val="3A383A"/>
          <w:spacing w:val="9"/>
          <w:w w:val="90"/>
          <w:sz w:val="16"/>
          <w:u w:val="thick" w:color="6B6D6E"/>
        </w:rPr>
        <w:t> </w:t>
      </w:r>
      <w:r>
        <w:rPr>
          <w:color w:val="4F4F50"/>
          <w:w w:val="90"/>
          <w:sz w:val="16"/>
          <w:u w:val="thick" w:color="6B6D6E"/>
        </w:rPr>
        <w:t>E</w:t>
      </w:r>
      <w:r>
        <w:rPr>
          <w:color w:val="6B6D6E"/>
          <w:w w:val="90"/>
          <w:sz w:val="16"/>
          <w:u w:val="thick" w:color="6B6D6E"/>
        </w:rPr>
        <w:t>XAMP</w:t>
      </w:r>
      <w:r>
        <w:rPr>
          <w:color w:val="3A383A"/>
          <w:w w:val="90"/>
          <w:sz w:val="16"/>
          <w:u w:val="thick" w:color="6B6D6E"/>
        </w:rPr>
        <w:t>L</w:t>
      </w:r>
      <w:r>
        <w:rPr>
          <w:color w:val="6B6D6E"/>
          <w:w w:val="90"/>
          <w:sz w:val="16"/>
          <w:u w:val="thick" w:color="6B6D6E"/>
        </w:rPr>
        <w:t>E</w:t>
      </w:r>
    </w:p>
    <w:p>
      <w:pPr>
        <w:spacing w:line="242" w:lineRule="exact" w:before="77"/>
        <w:ind w:left="640" w:right="0" w:firstLine="0"/>
        <w:jc w:val="left"/>
        <w:rPr>
          <w:b/>
          <w:sz w:val="21"/>
        </w:rPr>
      </w:pPr>
      <w:r>
        <w:rPr>
          <w:b/>
          <w:color w:val="3A383A"/>
          <w:w w:val="105"/>
          <w:sz w:val="21"/>
        </w:rPr>
        <w:t>The</w:t>
      </w:r>
      <w:r>
        <w:rPr>
          <w:b/>
          <w:color w:val="3A383A"/>
          <w:spacing w:val="52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Respondent</w:t>
      </w:r>
      <w:r>
        <w:rPr>
          <w:b/>
          <w:color w:val="3A383A"/>
          <w:spacing w:val="17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may </w:t>
      </w:r>
      <w:r>
        <w:rPr>
          <w:b/>
          <w:color w:val="3A383A"/>
          <w:spacing w:val="18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argue</w:t>
      </w:r>
      <w:r>
        <w:rPr>
          <w:b/>
          <w:color w:val="3A383A"/>
          <w:spacing w:val="45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that </w:t>
      </w:r>
      <w:r>
        <w:rPr>
          <w:b/>
          <w:color w:val="3A383A"/>
          <w:spacing w:val="2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the</w:t>
      </w:r>
      <w:r>
        <w:rPr>
          <w:b/>
          <w:color w:val="3A383A"/>
          <w:spacing w:val="38"/>
          <w:w w:val="105"/>
          <w:sz w:val="21"/>
        </w:rPr>
        <w:t> </w:t>
      </w:r>
      <w:r>
        <w:rPr>
          <w:rFonts w:ascii="Arial"/>
          <w:color w:val="3A383A"/>
          <w:w w:val="105"/>
          <w:sz w:val="22"/>
          <w:u w:val="thick" w:color="3A383A"/>
        </w:rPr>
        <w:t>McGuffin</w:t>
      </w:r>
      <w:r>
        <w:rPr>
          <w:rFonts w:ascii="Arial"/>
          <w:color w:val="3A383A"/>
          <w:spacing w:val="42"/>
          <w:w w:val="105"/>
          <w:sz w:val="22"/>
        </w:rPr>
        <w:t> </w:t>
      </w:r>
      <w:r>
        <w:rPr>
          <w:b/>
          <w:color w:val="3A383A"/>
          <w:w w:val="105"/>
          <w:sz w:val="21"/>
        </w:rPr>
        <w:t>case</w:t>
      </w:r>
      <w:r>
        <w:rPr>
          <w:b/>
          <w:color w:val="3A383A"/>
          <w:spacing w:val="47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applies </w:t>
      </w:r>
      <w:r>
        <w:rPr>
          <w:b/>
          <w:color w:val="3A383A"/>
          <w:spacing w:val="7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here.</w:t>
      </w:r>
    </w:p>
    <w:p>
      <w:pPr>
        <w:spacing w:line="242" w:lineRule="exact" w:before="0"/>
        <w:ind w:left="654" w:right="0" w:firstLine="0"/>
        <w:jc w:val="left"/>
        <w:rPr>
          <w:sz w:val="21"/>
        </w:rPr>
      </w:pPr>
      <w:r>
        <w:rPr>
          <w:color w:val="3A383A"/>
          <w:spacing w:val="-1"/>
          <w:w w:val="115"/>
          <w:sz w:val="21"/>
        </w:rPr>
        <w:t>Respondent</w:t>
      </w:r>
      <w:r>
        <w:rPr>
          <w:color w:val="3A383A"/>
          <w:spacing w:val="4"/>
          <w:w w:val="115"/>
          <w:sz w:val="21"/>
        </w:rPr>
        <w:t> </w:t>
      </w:r>
      <w:r>
        <w:rPr>
          <w:color w:val="3A383A"/>
          <w:spacing w:val="-1"/>
          <w:w w:val="115"/>
          <w:sz w:val="21"/>
        </w:rPr>
        <w:t>may</w:t>
      </w:r>
      <w:r>
        <w:rPr>
          <w:color w:val="3A383A"/>
          <w:w w:val="115"/>
          <w:sz w:val="21"/>
        </w:rPr>
        <w:t> </w:t>
      </w:r>
      <w:r>
        <w:rPr>
          <w:color w:val="3A383A"/>
          <w:spacing w:val="-1"/>
          <w:w w:val="115"/>
          <w:sz w:val="21"/>
        </w:rPr>
        <w:t>argue</w:t>
      </w:r>
      <w:r>
        <w:rPr>
          <w:color w:val="3A383A"/>
          <w:spacing w:val="-15"/>
          <w:w w:val="115"/>
          <w:sz w:val="21"/>
        </w:rPr>
        <w:t> </w:t>
      </w:r>
      <w:r>
        <w:rPr>
          <w:color w:val="3A383A"/>
          <w:spacing w:val="-1"/>
          <w:w w:val="115"/>
          <w:sz w:val="21"/>
        </w:rPr>
        <w:t>that</w:t>
      </w:r>
      <w:r>
        <w:rPr>
          <w:color w:val="3A383A"/>
          <w:spacing w:val="-23"/>
          <w:w w:val="115"/>
          <w:sz w:val="21"/>
        </w:rPr>
        <w:t> </w:t>
      </w:r>
      <w:r>
        <w:rPr>
          <w:rFonts w:ascii="Arial"/>
          <w:color w:val="3A383A"/>
          <w:spacing w:val="-1"/>
          <w:w w:val="115"/>
          <w:sz w:val="22"/>
          <w:u w:val="thick" w:color="3A383A"/>
        </w:rPr>
        <w:t>McGuffin</w:t>
      </w:r>
      <w:r>
        <w:rPr>
          <w:rFonts w:ascii="Arial"/>
          <w:color w:val="3A383A"/>
          <w:spacing w:val="-28"/>
          <w:w w:val="115"/>
          <w:sz w:val="22"/>
        </w:rPr>
        <w:t> </w:t>
      </w:r>
      <w:r>
        <w:rPr>
          <w:color w:val="3A383A"/>
          <w:w w:val="115"/>
          <w:sz w:val="21"/>
        </w:rPr>
        <w:t>stands</w:t>
      </w:r>
      <w:r>
        <w:rPr>
          <w:color w:val="3A383A"/>
          <w:spacing w:val="-28"/>
          <w:w w:val="115"/>
          <w:sz w:val="21"/>
        </w:rPr>
        <w:t> </w:t>
      </w:r>
      <w:r>
        <w:rPr>
          <w:color w:val="3A383A"/>
          <w:w w:val="115"/>
          <w:sz w:val="21"/>
        </w:rPr>
        <w:t>for</w:t>
      </w:r>
      <w:r>
        <w:rPr>
          <w:color w:val="3A383A"/>
          <w:spacing w:val="-12"/>
          <w:w w:val="115"/>
          <w:sz w:val="21"/>
        </w:rPr>
        <w:t> </w:t>
      </w:r>
      <w:r>
        <w:rPr>
          <w:color w:val="3A383A"/>
          <w:w w:val="115"/>
          <w:sz w:val="21"/>
        </w:rPr>
        <w:t>proposition</w:t>
      </w:r>
      <w:r>
        <w:rPr>
          <w:color w:val="3A383A"/>
          <w:spacing w:val="-2"/>
          <w:w w:val="115"/>
          <w:sz w:val="21"/>
        </w:rPr>
        <w:t> </w:t>
      </w:r>
      <w:r>
        <w:rPr>
          <w:color w:val="3A383A"/>
          <w:w w:val="115"/>
          <w:sz w:val="21"/>
        </w:rPr>
        <w:t>that</w:t>
      </w:r>
      <w:r>
        <w:rPr>
          <w:color w:val="3A383A"/>
          <w:spacing w:val="-22"/>
          <w:w w:val="115"/>
          <w:sz w:val="21"/>
        </w:rPr>
        <w:t> </w:t>
      </w:r>
      <w:r>
        <w:rPr>
          <w:color w:val="3A383A"/>
          <w:w w:val="115"/>
          <w:sz w:val="21"/>
        </w:rPr>
        <w:t>...</w:t>
      </w:r>
    </w:p>
    <w:p>
      <w:pPr>
        <w:pStyle w:val="BodyText"/>
        <w:spacing w:line="232" w:lineRule="auto" w:before="150"/>
        <w:ind w:left="318" w:right="260" w:firstLine="333"/>
        <w:jc w:val="both"/>
      </w:pPr>
      <w:r>
        <w:rPr>
          <w:color w:val="3A383A"/>
          <w:w w:val="105"/>
        </w:rPr>
        <w:t>Instead of spending valuable time on the opponent's actual argument,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10"/>
        </w:rPr>
        <w:t>make your position as to that argument evident from the beginning. </w:t>
      </w:r>
      <w:r>
        <w:rPr>
          <w:color w:val="3A383A"/>
          <w:w w:val="110"/>
          <w:sz w:val="22"/>
        </w:rPr>
        <w:t>If</w:t>
      </w:r>
      <w:r>
        <w:rPr>
          <w:color w:val="3A383A"/>
          <w:spacing w:val="1"/>
          <w:w w:val="110"/>
          <w:sz w:val="22"/>
        </w:rPr>
        <w:t> </w:t>
      </w:r>
      <w:r>
        <w:rPr>
          <w:color w:val="3A383A"/>
          <w:w w:val="105"/>
        </w:rPr>
        <w:t>you are writing a responsive brief or are otherwise certain that your oppo­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nent will be making a certain point or bringing up a certain authority, you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may</w:t>
      </w:r>
      <w:r>
        <w:rPr>
          <w:color w:val="3A383A"/>
          <w:spacing w:val="2"/>
          <w:w w:val="105"/>
        </w:rPr>
        <w:t> </w:t>
      </w:r>
      <w:r>
        <w:rPr>
          <w:color w:val="3A383A"/>
          <w:w w:val="105"/>
        </w:rPr>
        <w:t>wish</w:t>
      </w:r>
      <w:r>
        <w:rPr>
          <w:color w:val="3A383A"/>
          <w:spacing w:val="22"/>
          <w:w w:val="105"/>
        </w:rPr>
        <w:t> </w:t>
      </w:r>
      <w:r>
        <w:rPr>
          <w:color w:val="3A383A"/>
          <w:w w:val="105"/>
        </w:rPr>
        <w:t>to</w:t>
      </w:r>
      <w:r>
        <w:rPr>
          <w:color w:val="3A383A"/>
          <w:spacing w:val="34"/>
          <w:w w:val="105"/>
        </w:rPr>
        <w:t> </w:t>
      </w:r>
      <w:r>
        <w:rPr>
          <w:color w:val="3A383A"/>
          <w:w w:val="105"/>
        </w:rPr>
        <w:t>tie</w:t>
      </w:r>
      <w:r>
        <w:rPr>
          <w:color w:val="3A383A"/>
          <w:spacing w:val="27"/>
          <w:w w:val="105"/>
        </w:rPr>
        <w:t> </w:t>
      </w:r>
      <w:r>
        <w:rPr>
          <w:color w:val="3A383A"/>
          <w:w w:val="105"/>
        </w:rPr>
        <w:t>the</w:t>
      </w:r>
      <w:r>
        <w:rPr>
          <w:color w:val="3A383A"/>
          <w:spacing w:val="37"/>
          <w:w w:val="105"/>
        </w:rPr>
        <w:t> </w:t>
      </w:r>
      <w:r>
        <w:rPr>
          <w:color w:val="3A383A"/>
          <w:w w:val="105"/>
        </w:rPr>
        <w:t>authority</w:t>
      </w:r>
      <w:r>
        <w:rPr>
          <w:color w:val="3A383A"/>
          <w:spacing w:val="9"/>
          <w:w w:val="105"/>
        </w:rPr>
        <w:t> </w:t>
      </w:r>
      <w:r>
        <w:rPr>
          <w:color w:val="3A383A"/>
          <w:w w:val="105"/>
        </w:rPr>
        <w:t>to</w:t>
      </w:r>
      <w:r>
        <w:rPr>
          <w:color w:val="3A383A"/>
          <w:spacing w:val="5"/>
          <w:w w:val="105"/>
        </w:rPr>
        <w:t> </w:t>
      </w:r>
      <w:r>
        <w:rPr>
          <w:color w:val="3A383A"/>
          <w:w w:val="105"/>
        </w:rPr>
        <w:t>your</w:t>
      </w:r>
      <w:r>
        <w:rPr>
          <w:color w:val="3A383A"/>
          <w:spacing w:val="-4"/>
          <w:w w:val="105"/>
        </w:rPr>
        <w:t> </w:t>
      </w:r>
      <w:r>
        <w:rPr>
          <w:color w:val="3A383A"/>
          <w:w w:val="105"/>
        </w:rPr>
        <w:t>opponent, as</w:t>
      </w:r>
      <w:r>
        <w:rPr>
          <w:color w:val="3A383A"/>
          <w:spacing w:val="-20"/>
          <w:w w:val="105"/>
        </w:rPr>
        <w:t> </w:t>
      </w:r>
      <w:r>
        <w:rPr>
          <w:color w:val="3A383A"/>
          <w:w w:val="105"/>
        </w:rPr>
        <w:t>in</w:t>
      </w:r>
      <w:r>
        <w:rPr>
          <w:color w:val="3A383A"/>
          <w:spacing w:val="23"/>
          <w:w w:val="105"/>
        </w:rPr>
        <w:t> </w:t>
      </w:r>
      <w:r>
        <w:rPr>
          <w:color w:val="3A383A"/>
          <w:w w:val="105"/>
        </w:rPr>
        <w:t>this</w:t>
      </w:r>
      <w:r>
        <w:rPr>
          <w:color w:val="3A383A"/>
          <w:spacing w:val="-17"/>
          <w:w w:val="105"/>
        </w:rPr>
        <w:t> </w:t>
      </w:r>
      <w:r>
        <w:rPr>
          <w:color w:val="3A383A"/>
          <w:w w:val="105"/>
        </w:rPr>
        <w:t>example:</w:t>
      </w:r>
    </w:p>
    <w:p>
      <w:pPr>
        <w:pStyle w:val="BodyText"/>
        <w:spacing w:before="4"/>
        <w:rPr>
          <w:sz w:val="9"/>
        </w:rPr>
      </w:pPr>
    </w:p>
    <w:p>
      <w:pPr>
        <w:spacing w:before="94"/>
        <w:ind w:left="293" w:right="0" w:firstLine="0"/>
        <w:jc w:val="both"/>
        <w:rPr>
          <w:sz w:val="16"/>
        </w:rPr>
      </w:pPr>
      <w:r>
        <w:rPr>
          <w:color w:val="3A383A"/>
          <w:sz w:val="16"/>
          <w:u w:val="thick" w:color="3A383A"/>
        </w:rPr>
        <w:t>_/\  </w:t>
      </w:r>
      <w:r>
        <w:rPr>
          <w:color w:val="3A383A"/>
          <w:sz w:val="16"/>
        </w:rPr>
        <w:t> </w:t>
      </w:r>
      <w:r>
        <w:rPr>
          <w:color w:val="3A383A"/>
          <w:spacing w:val="6"/>
          <w:sz w:val="16"/>
        </w:rPr>
        <w:t> </w:t>
      </w:r>
      <w:r>
        <w:rPr>
          <w:color w:val="4F4F50"/>
          <w:sz w:val="16"/>
          <w:u w:val="thick" w:color="6B6D6E"/>
        </w:rPr>
        <w:t>G</w:t>
      </w:r>
      <w:r>
        <w:rPr>
          <w:color w:val="6B6D6E"/>
          <w:sz w:val="16"/>
          <w:u w:val="thick" w:color="6B6D6E"/>
        </w:rPr>
        <w:t>OOD</w:t>
      </w:r>
      <w:r>
        <w:rPr>
          <w:color w:val="6B6D6E"/>
          <w:spacing w:val="-3"/>
          <w:sz w:val="16"/>
          <w:u w:val="thick" w:color="6B6D6E"/>
        </w:rPr>
        <w:t> </w:t>
      </w:r>
      <w:r>
        <w:rPr>
          <w:color w:val="6B6D6E"/>
          <w:sz w:val="16"/>
          <w:u w:val="thick" w:color="6B6D6E"/>
        </w:rPr>
        <w:t>E</w:t>
      </w:r>
      <w:r>
        <w:rPr>
          <w:color w:val="838587"/>
          <w:sz w:val="16"/>
          <w:u w:val="thick" w:color="6B6D6E"/>
        </w:rPr>
        <w:t>XAMP</w:t>
      </w:r>
      <w:r>
        <w:rPr>
          <w:color w:val="6B6D6E"/>
          <w:sz w:val="16"/>
          <w:u w:val="thick" w:color="6B6D6E"/>
        </w:rPr>
        <w:t>LE</w:t>
      </w:r>
    </w:p>
    <w:p>
      <w:pPr>
        <w:spacing w:line="220" w:lineRule="auto" w:before="103"/>
        <w:ind w:left="638" w:right="482" w:firstLine="20"/>
        <w:jc w:val="left"/>
        <w:rPr>
          <w:sz w:val="21"/>
        </w:rPr>
      </w:pPr>
      <w:r>
        <w:rPr>
          <w:rFonts w:ascii="Arial" w:hAnsi="Arial"/>
          <w:color w:val="3A383A"/>
          <w:w w:val="110"/>
          <w:sz w:val="20"/>
        </w:rPr>
        <w:t>Any </w:t>
      </w:r>
      <w:r>
        <w:rPr>
          <w:color w:val="3A383A"/>
          <w:w w:val="110"/>
          <w:sz w:val="21"/>
        </w:rPr>
        <w:t>argument</w:t>
      </w:r>
      <w:r>
        <w:rPr>
          <w:color w:val="3A383A"/>
          <w:spacing w:val="1"/>
          <w:w w:val="110"/>
          <w:sz w:val="21"/>
        </w:rPr>
        <w:t> </w:t>
      </w:r>
      <w:r>
        <w:rPr>
          <w:rFonts w:ascii="Arial" w:hAnsi="Arial"/>
          <w:color w:val="3A383A"/>
          <w:w w:val="110"/>
          <w:sz w:val="20"/>
        </w:rPr>
        <w:t>by</w:t>
      </w:r>
      <w:r>
        <w:rPr>
          <w:rFonts w:ascii="Arial" w:hAnsi="Arial"/>
          <w:color w:val="3A383A"/>
          <w:spacing w:val="1"/>
          <w:w w:val="110"/>
          <w:sz w:val="20"/>
        </w:rPr>
        <w:t> </w:t>
      </w:r>
      <w:r>
        <w:rPr>
          <w:color w:val="3A383A"/>
          <w:w w:val="110"/>
          <w:sz w:val="21"/>
        </w:rPr>
        <w:t>Respondent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that </w:t>
      </w:r>
      <w:r>
        <w:rPr>
          <w:rFonts w:ascii="Arial" w:hAnsi="Arial"/>
          <w:color w:val="3A383A"/>
          <w:w w:val="110"/>
          <w:sz w:val="22"/>
          <w:u w:val="thick" w:color="3A383A"/>
        </w:rPr>
        <w:t>McGuffin</w:t>
      </w:r>
      <w:r>
        <w:rPr>
          <w:rFonts w:ascii="Arial" w:hAnsi="Arial"/>
          <w:color w:val="3A383A"/>
          <w:w w:val="110"/>
          <w:sz w:val="22"/>
        </w:rPr>
        <w:t> </w:t>
      </w:r>
      <w:r>
        <w:rPr>
          <w:color w:val="3A383A"/>
          <w:w w:val="110"/>
          <w:sz w:val="21"/>
        </w:rPr>
        <w:t>applies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here is inappo­</w:t>
      </w:r>
      <w:r>
        <w:rPr>
          <w:color w:val="3A383A"/>
          <w:spacing w:val="-55"/>
          <w:w w:val="110"/>
          <w:sz w:val="21"/>
        </w:rPr>
        <w:t> </w:t>
      </w:r>
      <w:r>
        <w:rPr>
          <w:color w:val="3A383A"/>
          <w:w w:val="110"/>
          <w:sz w:val="21"/>
        </w:rPr>
        <w:t>site.</w:t>
      </w:r>
      <w:r>
        <w:rPr>
          <w:color w:val="3A383A"/>
          <w:spacing w:val="-31"/>
          <w:w w:val="110"/>
          <w:sz w:val="21"/>
        </w:rPr>
        <w:t> </w:t>
      </w:r>
      <w:r>
        <w:rPr>
          <w:color w:val="3A383A"/>
          <w:w w:val="110"/>
          <w:sz w:val="21"/>
        </w:rPr>
        <w:t>The</w:t>
      </w:r>
      <w:r>
        <w:rPr>
          <w:color w:val="3A383A"/>
          <w:spacing w:val="-20"/>
          <w:w w:val="110"/>
          <w:sz w:val="21"/>
        </w:rPr>
        <w:t> </w:t>
      </w:r>
      <w:r>
        <w:rPr>
          <w:color w:val="3A383A"/>
          <w:w w:val="110"/>
          <w:sz w:val="22"/>
          <w:u w:val="thick" w:color="3A383A"/>
        </w:rPr>
        <w:t>McGuffin</w:t>
      </w:r>
      <w:r>
        <w:rPr>
          <w:color w:val="3A383A"/>
          <w:spacing w:val="-6"/>
          <w:w w:val="110"/>
          <w:sz w:val="22"/>
        </w:rPr>
        <w:t> </w:t>
      </w:r>
      <w:r>
        <w:rPr>
          <w:color w:val="3A383A"/>
          <w:w w:val="110"/>
          <w:sz w:val="21"/>
        </w:rPr>
        <w:t>court</w:t>
      </w:r>
      <w:r>
        <w:rPr>
          <w:color w:val="3A383A"/>
          <w:spacing w:val="-10"/>
          <w:w w:val="110"/>
          <w:sz w:val="21"/>
        </w:rPr>
        <w:t> </w:t>
      </w:r>
      <w:r>
        <w:rPr>
          <w:color w:val="3A383A"/>
          <w:w w:val="110"/>
          <w:sz w:val="21"/>
        </w:rPr>
        <w:t>never</w:t>
      </w:r>
      <w:r>
        <w:rPr>
          <w:color w:val="3A383A"/>
          <w:spacing w:val="-13"/>
          <w:w w:val="110"/>
          <w:sz w:val="21"/>
        </w:rPr>
        <w:t> </w:t>
      </w:r>
      <w:r>
        <w:rPr>
          <w:color w:val="3A383A"/>
          <w:w w:val="110"/>
          <w:sz w:val="21"/>
        </w:rPr>
        <w:t>addressed</w:t>
      </w:r>
      <w:r>
        <w:rPr>
          <w:color w:val="3A383A"/>
          <w:spacing w:val="8"/>
          <w:w w:val="110"/>
          <w:sz w:val="21"/>
        </w:rPr>
        <w:t> </w:t>
      </w:r>
      <w:r>
        <w:rPr>
          <w:color w:val="3A383A"/>
          <w:w w:val="110"/>
          <w:sz w:val="21"/>
        </w:rPr>
        <w:t>...</w:t>
      </w:r>
    </w:p>
    <w:p>
      <w:pPr>
        <w:pStyle w:val="BodyText"/>
        <w:spacing w:line="235" w:lineRule="auto" w:before="140"/>
        <w:ind w:left="313" w:right="238"/>
        <w:jc w:val="both"/>
      </w:pPr>
      <w:r>
        <w:rPr>
          <w:color w:val="3A383A"/>
          <w:w w:val="105"/>
        </w:rPr>
        <w:t>This type of argument has risks, particularly if you are writing the opening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10"/>
        </w:rPr>
        <w:t>brief.</w:t>
      </w:r>
      <w:r>
        <w:rPr>
          <w:rFonts w:ascii="Arial"/>
          <w:color w:val="3A383A"/>
          <w:w w:val="110"/>
          <w:vertAlign w:val="superscript"/>
        </w:rPr>
        <w:t>14</w:t>
      </w:r>
      <w:r>
        <w:rPr>
          <w:rFonts w:ascii="Arial"/>
          <w:color w:val="3A383A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In the alternative, you can simply attack the negative authority.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05"/>
          <w:vertAlign w:val="baseline"/>
        </w:rPr>
        <w:t>This type of argument is a method of portraying yourself as an educator.</w:t>
      </w:r>
      <w:r>
        <w:rPr>
          <w:color w:val="3A383A"/>
          <w:w w:val="105"/>
          <w:vertAlign w:val="superscript"/>
        </w:rPr>
        <w:t>15</w:t>
      </w:r>
      <w:r>
        <w:rPr>
          <w:color w:val="3A383A"/>
          <w:spacing w:val="1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For the</w:t>
      </w:r>
      <w:r>
        <w:rPr>
          <w:color w:val="3A383A"/>
          <w:spacing w:val="1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court's benefit, you are describing the cases that are relevant and</w:t>
      </w:r>
      <w:r>
        <w:rPr>
          <w:color w:val="3A383A"/>
          <w:spacing w:val="1"/>
          <w:w w:val="105"/>
          <w:vertAlign w:val="baseline"/>
        </w:rPr>
        <w:t> </w:t>
      </w:r>
      <w:r>
        <w:rPr>
          <w:color w:val="3A383A"/>
          <w:w w:val="110"/>
          <w:vertAlign w:val="baseline"/>
        </w:rPr>
        <w:t>those</w:t>
      </w:r>
      <w:r>
        <w:rPr>
          <w:color w:val="3A383A"/>
          <w:spacing w:val="-16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that</w:t>
      </w:r>
      <w:r>
        <w:rPr>
          <w:color w:val="3A383A"/>
          <w:spacing w:val="-4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are</w:t>
      </w:r>
      <w:r>
        <w:rPr>
          <w:color w:val="3A383A"/>
          <w:spacing w:val="-22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not</w:t>
      </w:r>
      <w:r>
        <w:rPr>
          <w:color w:val="3A383A"/>
          <w:spacing w:val="3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relevant:</w:t>
      </w:r>
    </w:p>
    <w:p>
      <w:pPr>
        <w:pStyle w:val="BodyText"/>
        <w:spacing w:before="2"/>
        <w:rPr>
          <w:sz w:val="9"/>
        </w:rPr>
      </w:pPr>
    </w:p>
    <w:p>
      <w:pPr>
        <w:spacing w:before="93"/>
        <w:ind w:left="312" w:right="0" w:firstLine="0"/>
        <w:jc w:val="both"/>
        <w:rPr>
          <w:sz w:val="16"/>
        </w:rPr>
      </w:pPr>
      <w:r>
        <w:rPr>
          <w:color w:val="4F4F50"/>
          <w:sz w:val="16"/>
          <w:u w:val="thick" w:color="4F4F50"/>
        </w:rPr>
        <w:t>_/\ </w:t>
      </w:r>
      <w:r>
        <w:rPr>
          <w:color w:val="4F4F50"/>
          <w:sz w:val="16"/>
        </w:rPr>
        <w:t> </w:t>
      </w:r>
      <w:r>
        <w:rPr>
          <w:color w:val="4F4F50"/>
          <w:spacing w:val="22"/>
          <w:sz w:val="16"/>
        </w:rPr>
        <w:t> </w:t>
      </w:r>
      <w:r>
        <w:rPr>
          <w:color w:val="4F4F50"/>
          <w:sz w:val="16"/>
          <w:u w:val="thick" w:color="4F4F50"/>
        </w:rPr>
        <w:t>G</w:t>
      </w:r>
      <w:r>
        <w:rPr>
          <w:color w:val="6B6D6E"/>
          <w:sz w:val="16"/>
          <w:u w:val="thick" w:color="4F4F50"/>
        </w:rPr>
        <w:t>O</w:t>
      </w:r>
      <w:r>
        <w:rPr>
          <w:color w:val="4F4F50"/>
          <w:sz w:val="16"/>
          <w:u w:val="thick" w:color="4F4F50"/>
        </w:rPr>
        <w:t>OD</w:t>
      </w:r>
      <w:r>
        <w:rPr>
          <w:color w:val="4F4F50"/>
          <w:spacing w:val="-4"/>
          <w:sz w:val="16"/>
          <w:u w:val="thick" w:color="4F4F50"/>
        </w:rPr>
        <w:t> </w:t>
      </w:r>
      <w:r>
        <w:rPr>
          <w:color w:val="4F4F50"/>
          <w:sz w:val="16"/>
          <w:u w:val="thick" w:color="4F4F50"/>
        </w:rPr>
        <w:t>E</w:t>
      </w:r>
      <w:r>
        <w:rPr>
          <w:color w:val="6B6D6E"/>
          <w:sz w:val="16"/>
          <w:u w:val="thick" w:color="4F4F50"/>
        </w:rPr>
        <w:t>XA</w:t>
      </w:r>
      <w:r>
        <w:rPr>
          <w:color w:val="838587"/>
          <w:sz w:val="16"/>
          <w:u w:val="thick" w:color="4F4F50"/>
        </w:rPr>
        <w:t>M</w:t>
      </w:r>
      <w:r>
        <w:rPr>
          <w:color w:val="6B6D6E"/>
          <w:sz w:val="16"/>
          <w:u w:val="thick" w:color="4F4F50"/>
        </w:rPr>
        <w:t>PL</w:t>
      </w:r>
      <w:r>
        <w:rPr>
          <w:color w:val="4F4F50"/>
          <w:sz w:val="16"/>
          <w:u w:val="thick" w:color="4F4F50"/>
        </w:rPr>
        <w:t>E</w:t>
      </w:r>
    </w:p>
    <w:p>
      <w:pPr>
        <w:spacing w:before="88"/>
        <w:ind w:left="663" w:right="0" w:firstLine="0"/>
        <w:jc w:val="both"/>
        <w:rPr>
          <w:sz w:val="21"/>
        </w:rPr>
      </w:pPr>
      <w:r>
        <w:rPr>
          <w:b/>
          <w:color w:val="3A383A"/>
          <w:spacing w:val="-1"/>
          <w:w w:val="110"/>
          <w:sz w:val="21"/>
          <w:u w:val="thick" w:color="3A383A"/>
        </w:rPr>
        <w:t>McGuffin</w:t>
      </w:r>
      <w:r>
        <w:rPr>
          <w:b/>
          <w:color w:val="3A383A"/>
          <w:spacing w:val="4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does</w:t>
      </w:r>
      <w:r>
        <w:rPr>
          <w:b/>
          <w:color w:val="3A383A"/>
          <w:spacing w:val="-10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not</w:t>
      </w:r>
      <w:r>
        <w:rPr>
          <w:b/>
          <w:color w:val="3A383A"/>
          <w:spacing w:val="-8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apply</w:t>
      </w:r>
      <w:r>
        <w:rPr>
          <w:b/>
          <w:color w:val="3A383A"/>
          <w:spacing w:val="-13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here</w:t>
      </w:r>
      <w:r>
        <w:rPr>
          <w:b/>
          <w:color w:val="3A383A"/>
          <w:spacing w:val="-7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for</w:t>
      </w:r>
      <w:r>
        <w:rPr>
          <w:b/>
          <w:color w:val="3A383A"/>
          <w:spacing w:val="-23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two</w:t>
      </w:r>
      <w:r>
        <w:rPr>
          <w:b/>
          <w:color w:val="3A383A"/>
          <w:spacing w:val="2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reasons.</w:t>
      </w:r>
      <w:r>
        <w:rPr>
          <w:b/>
          <w:color w:val="3A383A"/>
          <w:spacing w:val="2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First</w:t>
      </w:r>
      <w:r>
        <w:rPr>
          <w:b/>
          <w:color w:val="4F4F50"/>
          <w:w w:val="110"/>
          <w:sz w:val="21"/>
        </w:rPr>
        <w:t>.</w:t>
      </w:r>
      <w:r>
        <w:rPr>
          <w:color w:val="4F4F50"/>
          <w:w w:val="110"/>
          <w:sz w:val="21"/>
        </w:rPr>
        <w:t>...</w:t>
      </w:r>
    </w:p>
    <w:p>
      <w:pPr>
        <w:pStyle w:val="BodyText"/>
        <w:spacing w:line="235" w:lineRule="auto" w:before="139"/>
        <w:ind w:left="322" w:right="224" w:firstLine="13"/>
        <w:jc w:val="both"/>
      </w:pPr>
      <w:r>
        <w:rPr>
          <w:color w:val="3A383A"/>
          <w:w w:val="110"/>
        </w:rPr>
        <w:t>Depending on the amount of detail needed, you may want to devote a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05"/>
        </w:rPr>
        <w:t>paragraph or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even a point-heading section</w:t>
      </w:r>
      <w:r>
        <w:rPr>
          <w:color w:val="3A383A"/>
          <w:w w:val="105"/>
          <w:vertAlign w:val="superscript"/>
        </w:rPr>
        <w:t>16</w:t>
      </w:r>
      <w:r>
        <w:rPr>
          <w:color w:val="3A383A"/>
          <w:w w:val="105"/>
          <w:vertAlign w:val="baseline"/>
        </w:rPr>
        <w:t> to  the  principle that a case or</w:t>
      </w:r>
      <w:r>
        <w:rPr>
          <w:color w:val="3A383A"/>
          <w:spacing w:val="-58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a</w:t>
      </w:r>
      <w:r>
        <w:rPr>
          <w:color w:val="3A383A"/>
          <w:spacing w:val="-19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series</w:t>
      </w:r>
      <w:r>
        <w:rPr>
          <w:color w:val="3A383A"/>
          <w:spacing w:val="-10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of</w:t>
      </w:r>
      <w:r>
        <w:rPr>
          <w:color w:val="3A383A"/>
          <w:spacing w:val="8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cases</w:t>
      </w:r>
      <w:r>
        <w:rPr>
          <w:color w:val="3A383A"/>
          <w:spacing w:val="-11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is</w:t>
      </w:r>
      <w:r>
        <w:rPr>
          <w:color w:val="3A383A"/>
          <w:spacing w:val="6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inapposite.</w:t>
      </w:r>
    </w:p>
    <w:p>
      <w:pPr>
        <w:pStyle w:val="BodyText"/>
        <w:spacing w:line="228" w:lineRule="auto" w:before="9"/>
        <w:ind w:left="328" w:right="192" w:firstLine="345"/>
        <w:jc w:val="both"/>
      </w:pPr>
      <w:r>
        <w:rPr>
          <w:color w:val="3A383A"/>
          <w:w w:val="105"/>
        </w:rPr>
        <w:t>Finally, as to some issues, you and your opponent may agree as to what</w:t>
      </w:r>
      <w:r>
        <w:rPr>
          <w:color w:val="3A383A"/>
          <w:spacing w:val="-58"/>
          <w:w w:val="105"/>
        </w:rPr>
        <w:t> </w:t>
      </w:r>
      <w:r>
        <w:rPr>
          <w:color w:val="3A383A"/>
          <w:w w:val="105"/>
        </w:rPr>
        <w:t>the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rule is</w:t>
      </w:r>
      <w:r>
        <w:rPr>
          <w:color w:val="3A383A"/>
          <w:spacing w:val="6"/>
          <w:w w:val="105"/>
        </w:rPr>
        <w:t> </w:t>
      </w:r>
      <w:r>
        <w:rPr>
          <w:color w:val="3A383A"/>
          <w:w w:val="105"/>
        </w:rPr>
        <w:t>and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to</w:t>
      </w:r>
      <w:r>
        <w:rPr>
          <w:color w:val="3A383A"/>
          <w:spacing w:val="33"/>
          <w:w w:val="105"/>
        </w:rPr>
        <w:t> </w:t>
      </w:r>
      <w:r>
        <w:rPr>
          <w:color w:val="3A383A"/>
          <w:w w:val="105"/>
        </w:rPr>
        <w:t>what</w:t>
      </w:r>
      <w:r>
        <w:rPr>
          <w:color w:val="3A383A"/>
          <w:spacing w:val="15"/>
          <w:w w:val="105"/>
        </w:rPr>
        <w:t> </w:t>
      </w:r>
      <w:r>
        <w:rPr>
          <w:color w:val="3A383A"/>
          <w:w w:val="105"/>
        </w:rPr>
        <w:t>it</w:t>
      </w:r>
      <w:r>
        <w:rPr>
          <w:color w:val="3A383A"/>
          <w:spacing w:val="23"/>
          <w:w w:val="105"/>
        </w:rPr>
        <w:t> </w:t>
      </w:r>
      <w:r>
        <w:rPr>
          <w:color w:val="3A383A"/>
          <w:w w:val="105"/>
        </w:rPr>
        <w:t>means,</w:t>
      </w:r>
      <w:r>
        <w:rPr>
          <w:color w:val="3A383A"/>
          <w:spacing w:val="23"/>
          <w:w w:val="105"/>
        </w:rPr>
        <w:t> </w:t>
      </w:r>
      <w:r>
        <w:rPr>
          <w:color w:val="3A383A"/>
          <w:w w:val="105"/>
        </w:rPr>
        <w:t>but</w:t>
      </w:r>
      <w:r>
        <w:rPr>
          <w:color w:val="3A383A"/>
          <w:spacing w:val="19"/>
          <w:w w:val="105"/>
        </w:rPr>
        <w:t> </w:t>
      </w:r>
      <w:r>
        <w:rPr>
          <w:color w:val="3A383A"/>
          <w:w w:val="105"/>
        </w:rPr>
        <w:t>disagree</w:t>
      </w:r>
      <w:r>
        <w:rPr>
          <w:color w:val="3A383A"/>
          <w:spacing w:val="-7"/>
          <w:w w:val="105"/>
        </w:rPr>
        <w:t> </w:t>
      </w:r>
      <w:r>
        <w:rPr>
          <w:color w:val="3A383A"/>
          <w:w w:val="105"/>
        </w:rPr>
        <w:t>as</w:t>
      </w:r>
      <w:r>
        <w:rPr>
          <w:color w:val="3A383A"/>
          <w:spacing w:val="12"/>
          <w:w w:val="105"/>
        </w:rPr>
        <w:t> </w:t>
      </w:r>
      <w:r>
        <w:rPr>
          <w:color w:val="3A383A"/>
          <w:w w:val="105"/>
        </w:rPr>
        <w:t>to</w:t>
      </w:r>
      <w:r>
        <w:rPr>
          <w:color w:val="3A383A"/>
          <w:spacing w:val="36"/>
          <w:w w:val="105"/>
        </w:rPr>
        <w:t> </w:t>
      </w:r>
      <w:r>
        <w:rPr>
          <w:color w:val="3A383A"/>
          <w:w w:val="105"/>
        </w:rPr>
        <w:t>how</w:t>
      </w:r>
      <w:r>
        <w:rPr>
          <w:color w:val="3A383A"/>
          <w:spacing w:val="7"/>
          <w:w w:val="105"/>
        </w:rPr>
        <w:t> </w:t>
      </w:r>
      <w:r>
        <w:rPr>
          <w:color w:val="3A383A"/>
          <w:w w:val="105"/>
        </w:rPr>
        <w:t>it</w:t>
      </w:r>
      <w:r>
        <w:rPr>
          <w:color w:val="3A383A"/>
          <w:spacing w:val="19"/>
          <w:w w:val="105"/>
        </w:rPr>
        <w:t> </w:t>
      </w:r>
      <w:r>
        <w:rPr>
          <w:color w:val="3A383A"/>
          <w:w w:val="105"/>
        </w:rPr>
        <w:t>applies.</w:t>
      </w:r>
      <w:r>
        <w:rPr>
          <w:color w:val="3A383A"/>
          <w:spacing w:val="11"/>
          <w:w w:val="105"/>
        </w:rPr>
        <w:t> </w:t>
      </w:r>
      <w:r>
        <w:rPr>
          <w:color w:val="3A383A"/>
          <w:w w:val="105"/>
        </w:rPr>
        <w:t>In</w:t>
      </w:r>
      <w:r>
        <w:rPr>
          <w:color w:val="3A383A"/>
          <w:spacing w:val="36"/>
          <w:w w:val="105"/>
        </w:rPr>
        <w:t> </w:t>
      </w:r>
      <w:r>
        <w:rPr>
          <w:color w:val="3A383A"/>
          <w:w w:val="105"/>
        </w:rPr>
        <w:t>that</w:t>
      </w:r>
    </w:p>
    <w:p>
      <w:pPr>
        <w:pStyle w:val="BodyText"/>
        <w:rPr>
          <w:sz w:val="26"/>
        </w:rPr>
      </w:pPr>
    </w:p>
    <w:p>
      <w:pPr>
        <w:spacing w:line="235" w:lineRule="auto" w:before="152"/>
        <w:ind w:left="338" w:right="164" w:firstLine="325"/>
        <w:jc w:val="both"/>
        <w:rPr>
          <w:sz w:val="18"/>
        </w:rPr>
      </w:pPr>
      <w:r>
        <w:rPr>
          <w:rFonts w:ascii="Arial" w:hAnsi="Arial"/>
          <w:color w:val="3A383A"/>
          <w:w w:val="105"/>
          <w:sz w:val="16"/>
        </w:rPr>
        <w:t>,.</w:t>
      </w:r>
      <w:r>
        <w:rPr>
          <w:rFonts w:ascii="Arial" w:hAnsi="Arial"/>
          <w:i/>
          <w:color w:val="3A383A"/>
          <w:w w:val="105"/>
          <w:sz w:val="16"/>
        </w:rPr>
        <w:t>Seegenerally</w:t>
      </w:r>
      <w:r>
        <w:rPr>
          <w:rFonts w:ascii="Arial" w:hAnsi="Arial"/>
          <w:i/>
          <w:color w:val="3A383A"/>
          <w:spacing w:val="-17"/>
          <w:w w:val="105"/>
          <w:sz w:val="16"/>
        </w:rPr>
        <w:t> </w:t>
      </w:r>
      <w:r>
        <w:rPr>
          <w:color w:val="3A383A"/>
          <w:w w:val="105"/>
          <w:sz w:val="18"/>
        </w:rPr>
        <w:t>Stanch!, </w:t>
      </w:r>
      <w:r>
        <w:rPr>
          <w:rFonts w:ascii="Arial" w:hAnsi="Arial"/>
          <w:i/>
          <w:color w:val="4F4F50"/>
          <w:w w:val="105"/>
          <w:sz w:val="16"/>
        </w:rPr>
        <w:t>supra</w:t>
      </w:r>
      <w:r>
        <w:rPr>
          <w:rFonts w:ascii="Arial" w:hAnsi="Arial"/>
          <w:i/>
          <w:color w:val="4F4F50"/>
          <w:spacing w:val="-4"/>
          <w:w w:val="105"/>
          <w:sz w:val="16"/>
        </w:rPr>
        <w:t> </w:t>
      </w:r>
      <w:r>
        <w:rPr>
          <w:color w:val="3A383A"/>
          <w:w w:val="105"/>
          <w:sz w:val="18"/>
        </w:rPr>
        <w:t>note</w:t>
      </w:r>
      <w:r>
        <w:rPr>
          <w:color w:val="3A383A"/>
          <w:spacing w:val="-18"/>
          <w:w w:val="105"/>
          <w:sz w:val="18"/>
        </w:rPr>
        <w:t> </w:t>
      </w:r>
      <w:r>
        <w:rPr>
          <w:color w:val="3A383A"/>
          <w:w w:val="105"/>
          <w:sz w:val="18"/>
        </w:rPr>
        <w:t>11,at</w:t>
      </w:r>
      <w:r>
        <w:rPr>
          <w:color w:val="3A383A"/>
          <w:spacing w:val="2"/>
          <w:w w:val="105"/>
          <w:sz w:val="18"/>
        </w:rPr>
        <w:t> </w:t>
      </w:r>
      <w:r>
        <w:rPr>
          <w:color w:val="3A383A"/>
          <w:w w:val="105"/>
          <w:sz w:val="18"/>
        </w:rPr>
        <w:t>424-27</w:t>
      </w:r>
      <w:r>
        <w:rPr>
          <w:color w:val="3A383A"/>
          <w:spacing w:val="-13"/>
          <w:w w:val="105"/>
          <w:sz w:val="18"/>
        </w:rPr>
        <w:t> </w:t>
      </w:r>
      <w:r>
        <w:rPr>
          <w:color w:val="4F4F50"/>
          <w:w w:val="105"/>
          <w:sz w:val="18"/>
        </w:rPr>
        <w:t>(discussing</w:t>
      </w:r>
      <w:r>
        <w:rPr>
          <w:color w:val="4F4F50"/>
          <w:spacing w:val="-20"/>
          <w:w w:val="105"/>
          <w:sz w:val="18"/>
        </w:rPr>
        <w:t> </w:t>
      </w:r>
      <w:r>
        <w:rPr>
          <w:color w:val="4F4F50"/>
          <w:w w:val="105"/>
          <w:sz w:val="18"/>
        </w:rPr>
        <w:t>when</w:t>
      </w:r>
      <w:r>
        <w:rPr>
          <w:color w:val="4F4F50"/>
          <w:spacing w:val="-7"/>
          <w:w w:val="105"/>
          <w:sz w:val="18"/>
        </w:rPr>
        <w:t> </w:t>
      </w:r>
      <w:r>
        <w:rPr>
          <w:color w:val="3A383A"/>
          <w:w w:val="105"/>
          <w:sz w:val="18"/>
        </w:rPr>
        <w:t>and how</w:t>
      </w:r>
      <w:r>
        <w:rPr>
          <w:color w:val="3A383A"/>
          <w:spacing w:val="-13"/>
          <w:w w:val="105"/>
          <w:sz w:val="18"/>
        </w:rPr>
        <w:t> </w:t>
      </w:r>
      <w:r>
        <w:rPr>
          <w:color w:val="3A383A"/>
          <w:w w:val="105"/>
          <w:sz w:val="18"/>
        </w:rPr>
        <w:t>to</w:t>
      </w:r>
      <w:r>
        <w:rPr>
          <w:color w:val="3A383A"/>
          <w:spacing w:val="-2"/>
          <w:w w:val="105"/>
          <w:sz w:val="18"/>
        </w:rPr>
        <w:t> </w:t>
      </w:r>
      <w:r>
        <w:rPr>
          <w:color w:val="3A383A"/>
          <w:w w:val="105"/>
          <w:sz w:val="18"/>
        </w:rPr>
        <w:t>volunteer</w:t>
      </w:r>
      <w:r>
        <w:rPr>
          <w:color w:val="3A383A"/>
          <w:spacing w:val="6"/>
          <w:w w:val="105"/>
          <w:sz w:val="18"/>
        </w:rPr>
        <w:t> </w:t>
      </w:r>
      <w:r>
        <w:rPr>
          <w:color w:val="3A383A"/>
          <w:w w:val="105"/>
          <w:sz w:val="18"/>
        </w:rPr>
        <w:t>nega­</w:t>
      </w:r>
      <w:r>
        <w:rPr>
          <w:color w:val="3A383A"/>
          <w:spacing w:val="-45"/>
          <w:w w:val="105"/>
          <w:sz w:val="18"/>
        </w:rPr>
        <w:t> </w:t>
      </w:r>
      <w:r>
        <w:rPr>
          <w:color w:val="3A383A"/>
          <w:w w:val="110"/>
          <w:sz w:val="18"/>
        </w:rPr>
        <w:t>tive</w:t>
      </w:r>
      <w:r>
        <w:rPr>
          <w:color w:val="3A383A"/>
          <w:spacing w:val="-18"/>
          <w:w w:val="110"/>
          <w:sz w:val="18"/>
        </w:rPr>
        <w:t> </w:t>
      </w:r>
      <w:r>
        <w:rPr>
          <w:color w:val="3A383A"/>
          <w:w w:val="110"/>
          <w:sz w:val="18"/>
        </w:rPr>
        <w:t>information).</w:t>
      </w:r>
    </w:p>
    <w:p>
      <w:pPr>
        <w:spacing w:line="181" w:lineRule="exact" w:before="0"/>
        <w:ind w:left="674" w:right="0" w:firstLine="0"/>
        <w:jc w:val="both"/>
        <w:rPr>
          <w:sz w:val="18"/>
        </w:rPr>
      </w:pPr>
      <w:r>
        <w:rPr>
          <w:color w:val="4F4F50"/>
          <w:w w:val="110"/>
          <w:position w:val="5"/>
          <w:sz w:val="11"/>
        </w:rPr>
        <w:t>1</w:t>
      </w:r>
      <w:r>
        <w:rPr>
          <w:color w:val="4F4F50"/>
          <w:w w:val="110"/>
          <w:sz w:val="18"/>
        </w:rPr>
        <w:t>scommentators</w:t>
      </w:r>
      <w:r>
        <w:rPr>
          <w:color w:val="4F4F50"/>
          <w:spacing w:val="12"/>
          <w:w w:val="110"/>
          <w:sz w:val="18"/>
        </w:rPr>
        <w:t> </w:t>
      </w:r>
      <w:r>
        <w:rPr>
          <w:color w:val="3A383A"/>
          <w:w w:val="110"/>
          <w:sz w:val="18"/>
        </w:rPr>
        <w:t>have</w:t>
      </w:r>
      <w:r>
        <w:rPr>
          <w:color w:val="3A383A"/>
          <w:spacing w:val="14"/>
          <w:w w:val="110"/>
          <w:sz w:val="18"/>
        </w:rPr>
        <w:t> </w:t>
      </w:r>
      <w:r>
        <w:rPr>
          <w:color w:val="3A383A"/>
          <w:w w:val="110"/>
          <w:sz w:val="18"/>
        </w:rPr>
        <w:t>referred</w:t>
      </w:r>
      <w:r>
        <w:rPr>
          <w:color w:val="3A383A"/>
          <w:spacing w:val="13"/>
          <w:w w:val="110"/>
          <w:sz w:val="18"/>
        </w:rPr>
        <w:t> </w:t>
      </w:r>
      <w:r>
        <w:rPr>
          <w:color w:val="3A383A"/>
          <w:w w:val="110"/>
          <w:sz w:val="18"/>
        </w:rPr>
        <w:t>to</w:t>
      </w:r>
      <w:r>
        <w:rPr>
          <w:color w:val="3A383A"/>
          <w:spacing w:val="22"/>
          <w:w w:val="110"/>
          <w:sz w:val="18"/>
        </w:rPr>
        <w:t> </w:t>
      </w:r>
      <w:r>
        <w:rPr>
          <w:color w:val="3A383A"/>
          <w:w w:val="110"/>
          <w:sz w:val="18"/>
        </w:rPr>
        <w:t>this</w:t>
      </w:r>
      <w:r>
        <w:rPr>
          <w:color w:val="3A383A"/>
          <w:spacing w:val="-9"/>
          <w:w w:val="110"/>
          <w:sz w:val="18"/>
        </w:rPr>
        <w:t> </w:t>
      </w:r>
      <w:r>
        <w:rPr>
          <w:color w:val="3A383A"/>
          <w:w w:val="110"/>
          <w:sz w:val="18"/>
        </w:rPr>
        <w:t>educational</w:t>
      </w:r>
      <w:r>
        <w:rPr>
          <w:color w:val="3A383A"/>
          <w:spacing w:val="11"/>
          <w:w w:val="110"/>
          <w:sz w:val="18"/>
        </w:rPr>
        <w:t> </w:t>
      </w:r>
      <w:r>
        <w:rPr>
          <w:color w:val="4F4F50"/>
          <w:w w:val="110"/>
          <w:sz w:val="18"/>
        </w:rPr>
        <w:t>style</w:t>
      </w:r>
      <w:r>
        <w:rPr>
          <w:color w:val="4F4F50"/>
          <w:spacing w:val="-7"/>
          <w:w w:val="110"/>
          <w:sz w:val="18"/>
        </w:rPr>
        <w:t> </w:t>
      </w:r>
      <w:r>
        <w:rPr>
          <w:color w:val="3A383A"/>
          <w:w w:val="110"/>
          <w:sz w:val="18"/>
        </w:rPr>
        <w:t>as</w:t>
      </w:r>
      <w:r>
        <w:rPr>
          <w:color w:val="3A383A"/>
          <w:spacing w:val="4"/>
          <w:w w:val="110"/>
          <w:sz w:val="18"/>
        </w:rPr>
        <w:t> </w:t>
      </w:r>
      <w:r>
        <w:rPr>
          <w:color w:val="3A383A"/>
          <w:w w:val="110"/>
          <w:sz w:val="18"/>
        </w:rPr>
        <w:t>the</w:t>
      </w:r>
      <w:r>
        <w:rPr>
          <w:color w:val="3A383A"/>
          <w:spacing w:val="11"/>
          <w:w w:val="110"/>
          <w:sz w:val="18"/>
        </w:rPr>
        <w:t> </w:t>
      </w:r>
      <w:r>
        <w:rPr>
          <w:color w:val="3A383A"/>
          <w:w w:val="110"/>
          <w:sz w:val="18"/>
        </w:rPr>
        <w:t>"scholarly"</w:t>
      </w:r>
      <w:r>
        <w:rPr>
          <w:color w:val="3A383A"/>
          <w:spacing w:val="-1"/>
          <w:w w:val="110"/>
          <w:sz w:val="18"/>
        </w:rPr>
        <w:t> </w:t>
      </w:r>
      <w:r>
        <w:rPr>
          <w:color w:val="3A383A"/>
          <w:w w:val="110"/>
          <w:sz w:val="18"/>
        </w:rPr>
        <w:t>style. Stanch!</w:t>
      </w:r>
    </w:p>
    <w:p>
      <w:pPr>
        <w:spacing w:line="235" w:lineRule="auto" w:before="1"/>
        <w:ind w:left="328" w:right="151" w:firstLine="4"/>
        <w:jc w:val="both"/>
        <w:rPr>
          <w:sz w:val="18"/>
        </w:rPr>
      </w:pPr>
      <w:r>
        <w:rPr>
          <w:rFonts w:ascii="Arial"/>
          <w:i/>
          <w:color w:val="3A383A"/>
          <w:w w:val="95"/>
          <w:sz w:val="16"/>
        </w:rPr>
        <w:t>supra </w:t>
      </w:r>
      <w:r>
        <w:rPr>
          <w:color w:val="3A383A"/>
          <w:w w:val="95"/>
          <w:sz w:val="18"/>
        </w:rPr>
        <w:t>note </w:t>
      </w:r>
      <w:r>
        <w:rPr>
          <w:rFonts w:ascii="Arial"/>
          <w:b/>
          <w:color w:val="3A383A"/>
          <w:w w:val="95"/>
          <w:sz w:val="16"/>
        </w:rPr>
        <w:t>11, </w:t>
      </w:r>
      <w:r>
        <w:rPr>
          <w:color w:val="3A383A"/>
          <w:w w:val="95"/>
          <w:sz w:val="18"/>
        </w:rPr>
        <w:t>at</w:t>
      </w:r>
      <w:r>
        <w:rPr>
          <w:color w:val="3A383A"/>
          <w:spacing w:val="40"/>
          <w:sz w:val="18"/>
        </w:rPr>
        <w:t> </w:t>
      </w:r>
      <w:r>
        <w:rPr>
          <w:color w:val="3A383A"/>
          <w:w w:val="95"/>
          <w:sz w:val="18"/>
        </w:rPr>
        <w:t>391</w:t>
      </w:r>
      <w:r>
        <w:rPr>
          <w:color w:val="3A383A"/>
          <w:spacing w:val="41"/>
          <w:sz w:val="18"/>
        </w:rPr>
        <w:t> </w:t>
      </w:r>
      <w:r>
        <w:rPr>
          <w:color w:val="3A383A"/>
          <w:w w:val="95"/>
          <w:sz w:val="18"/>
        </w:rPr>
        <w:t>(citing James F. </w:t>
      </w:r>
      <w:r>
        <w:rPr>
          <w:color w:val="4F4F50"/>
          <w:w w:val="95"/>
          <w:sz w:val="18"/>
        </w:rPr>
        <w:t>Stratman, </w:t>
      </w:r>
      <w:r>
        <w:rPr>
          <w:rFonts w:ascii="Arial"/>
          <w:i/>
          <w:color w:val="3A383A"/>
          <w:w w:val="95"/>
          <w:sz w:val="16"/>
        </w:rPr>
        <w:t>lnvestigaN11g Persuasive Processes in</w:t>
      </w:r>
      <w:r>
        <w:rPr>
          <w:rFonts w:ascii="Arial"/>
          <w:i/>
          <w:color w:val="3A383A"/>
          <w:spacing w:val="82"/>
          <w:sz w:val="16"/>
        </w:rPr>
        <w:t> </w:t>
      </w:r>
      <w:r>
        <w:rPr>
          <w:rFonts w:ascii="Arial"/>
          <w:i/>
          <w:color w:val="3A383A"/>
          <w:w w:val="95"/>
          <w:sz w:val="16"/>
        </w:rPr>
        <w:t>Legal Discours;</w:t>
      </w:r>
      <w:r>
        <w:rPr>
          <w:rFonts w:ascii="Arial"/>
          <w:i/>
          <w:color w:val="3A383A"/>
          <w:spacing w:val="1"/>
          <w:w w:val="95"/>
          <w:sz w:val="16"/>
        </w:rPr>
        <w:t> </w:t>
      </w:r>
      <w:r>
        <w:rPr>
          <w:rFonts w:ascii="Arial"/>
          <w:i/>
          <w:color w:val="3A383A"/>
          <w:w w:val="95"/>
          <w:sz w:val="16"/>
        </w:rPr>
        <w:t>In</w:t>
      </w:r>
      <w:r>
        <w:rPr>
          <w:rFonts w:ascii="Arial"/>
          <w:i/>
          <w:color w:val="3A383A"/>
          <w:spacing w:val="2"/>
          <w:w w:val="95"/>
          <w:sz w:val="16"/>
        </w:rPr>
        <w:t> </w:t>
      </w:r>
      <w:r>
        <w:rPr>
          <w:rFonts w:ascii="Arial"/>
          <w:i/>
          <w:color w:val="3A383A"/>
          <w:w w:val="95"/>
          <w:sz w:val="16"/>
        </w:rPr>
        <w:t>Real</w:t>
      </w:r>
      <w:r>
        <w:rPr>
          <w:rFonts w:ascii="Arial"/>
          <w:i/>
          <w:color w:val="3A383A"/>
          <w:spacing w:val="-6"/>
          <w:w w:val="95"/>
          <w:sz w:val="16"/>
        </w:rPr>
        <w:t> </w:t>
      </w:r>
      <w:r>
        <w:rPr>
          <w:rFonts w:ascii="Arial"/>
          <w:i/>
          <w:color w:val="3A383A"/>
          <w:w w:val="95"/>
          <w:sz w:val="16"/>
        </w:rPr>
        <w:t>Time:</w:t>
      </w:r>
      <w:r>
        <w:rPr>
          <w:rFonts w:ascii="Arial"/>
          <w:i/>
          <w:color w:val="3A383A"/>
          <w:spacing w:val="4"/>
          <w:w w:val="95"/>
          <w:sz w:val="16"/>
        </w:rPr>
        <w:t> </w:t>
      </w:r>
      <w:r>
        <w:rPr>
          <w:rFonts w:ascii="Arial"/>
          <w:i/>
          <w:color w:val="3A383A"/>
          <w:w w:val="95"/>
          <w:sz w:val="16"/>
        </w:rPr>
        <w:t>Cog11iNve</w:t>
      </w:r>
      <w:r>
        <w:rPr>
          <w:rFonts w:ascii="Arial"/>
          <w:i/>
          <w:color w:val="3A383A"/>
          <w:spacing w:val="28"/>
          <w:w w:val="95"/>
          <w:sz w:val="16"/>
        </w:rPr>
        <w:t> </w:t>
      </w:r>
      <w:r>
        <w:rPr>
          <w:rFonts w:ascii="Arial"/>
          <w:i/>
          <w:color w:val="3A383A"/>
          <w:w w:val="95"/>
          <w:sz w:val="16"/>
        </w:rPr>
        <w:t>Biases</w:t>
      </w:r>
      <w:r>
        <w:rPr>
          <w:rFonts w:ascii="Arial"/>
          <w:i/>
          <w:color w:val="3A383A"/>
          <w:spacing w:val="21"/>
          <w:w w:val="95"/>
          <w:sz w:val="16"/>
        </w:rPr>
        <w:t> </w:t>
      </w:r>
      <w:r>
        <w:rPr>
          <w:rFonts w:ascii="Arial"/>
          <w:i/>
          <w:color w:val="3A383A"/>
          <w:w w:val="95"/>
          <w:sz w:val="16"/>
        </w:rPr>
        <w:t>and</w:t>
      </w:r>
      <w:r>
        <w:rPr>
          <w:rFonts w:ascii="Arial"/>
          <w:i/>
          <w:color w:val="3A383A"/>
          <w:spacing w:val="-5"/>
          <w:w w:val="95"/>
          <w:sz w:val="16"/>
        </w:rPr>
        <w:t> </w:t>
      </w:r>
      <w:r>
        <w:rPr>
          <w:rFonts w:ascii="Arial"/>
          <w:i/>
          <w:color w:val="3A383A"/>
          <w:w w:val="95"/>
          <w:sz w:val="16"/>
        </w:rPr>
        <w:t>Rhetorical</w:t>
      </w:r>
      <w:r>
        <w:rPr>
          <w:rFonts w:ascii="Arial"/>
          <w:i/>
          <w:color w:val="3A383A"/>
          <w:spacing w:val="19"/>
          <w:w w:val="95"/>
          <w:sz w:val="16"/>
        </w:rPr>
        <w:t> </w:t>
      </w:r>
      <w:r>
        <w:rPr>
          <w:rFonts w:ascii="Arial"/>
          <w:i/>
          <w:color w:val="3A383A"/>
          <w:w w:val="95"/>
          <w:sz w:val="16"/>
        </w:rPr>
        <w:t>Strategy</w:t>
      </w:r>
      <w:r>
        <w:rPr>
          <w:rFonts w:ascii="Arial"/>
          <w:i/>
          <w:color w:val="3A383A"/>
          <w:spacing w:val="20"/>
          <w:w w:val="95"/>
          <w:sz w:val="16"/>
        </w:rPr>
        <w:t> </w:t>
      </w:r>
      <w:r>
        <w:rPr>
          <w:rFonts w:ascii="Arial"/>
          <w:i/>
          <w:color w:val="3A383A"/>
          <w:w w:val="95"/>
          <w:sz w:val="16"/>
        </w:rPr>
        <w:t>In</w:t>
      </w:r>
      <w:r>
        <w:rPr>
          <w:rFonts w:ascii="Arial"/>
          <w:i/>
          <w:color w:val="3A383A"/>
          <w:spacing w:val="39"/>
          <w:w w:val="95"/>
          <w:sz w:val="16"/>
        </w:rPr>
        <w:t> </w:t>
      </w:r>
      <w:r>
        <w:rPr>
          <w:rFonts w:ascii="Arial"/>
          <w:i/>
          <w:color w:val="3A383A"/>
          <w:w w:val="95"/>
          <w:sz w:val="16"/>
        </w:rPr>
        <w:t>Appeal</w:t>
      </w:r>
      <w:r>
        <w:rPr>
          <w:rFonts w:ascii="Arial"/>
          <w:i/>
          <w:color w:val="3A383A"/>
          <w:spacing w:val="17"/>
          <w:w w:val="95"/>
          <w:sz w:val="16"/>
        </w:rPr>
        <w:t> </w:t>
      </w:r>
      <w:r>
        <w:rPr>
          <w:color w:val="3A383A"/>
          <w:w w:val="95"/>
          <w:sz w:val="18"/>
        </w:rPr>
        <w:t>Court</w:t>
      </w:r>
      <w:r>
        <w:rPr>
          <w:color w:val="3A383A"/>
          <w:spacing w:val="5"/>
          <w:w w:val="95"/>
          <w:sz w:val="18"/>
        </w:rPr>
        <w:t> </w:t>
      </w:r>
      <w:r>
        <w:rPr>
          <w:rFonts w:ascii="Arial"/>
          <w:i/>
          <w:color w:val="3A383A"/>
          <w:w w:val="95"/>
          <w:sz w:val="16"/>
        </w:rPr>
        <w:t>Briefs,</w:t>
      </w:r>
      <w:r>
        <w:rPr>
          <w:rFonts w:ascii="Arial"/>
          <w:i/>
          <w:color w:val="3A383A"/>
          <w:spacing w:val="1"/>
          <w:w w:val="95"/>
          <w:sz w:val="16"/>
        </w:rPr>
        <w:t> </w:t>
      </w:r>
      <w:r>
        <w:rPr>
          <w:color w:val="3A383A"/>
          <w:w w:val="95"/>
          <w:sz w:val="18"/>
        </w:rPr>
        <w:t>17</w:t>
      </w:r>
      <w:r>
        <w:rPr>
          <w:color w:val="3A383A"/>
          <w:spacing w:val="29"/>
          <w:w w:val="95"/>
          <w:sz w:val="18"/>
        </w:rPr>
        <w:t> </w:t>
      </w:r>
      <w:r>
        <w:rPr>
          <w:color w:val="3A383A"/>
          <w:w w:val="95"/>
          <w:sz w:val="18"/>
        </w:rPr>
        <w:t>Discourse</w:t>
      </w:r>
      <w:r>
        <w:rPr>
          <w:color w:val="3A383A"/>
          <w:spacing w:val="21"/>
          <w:w w:val="95"/>
          <w:sz w:val="18"/>
        </w:rPr>
        <w:t> </w:t>
      </w:r>
      <w:r>
        <w:rPr>
          <w:color w:val="3A383A"/>
          <w:w w:val="95"/>
          <w:sz w:val="18"/>
        </w:rPr>
        <w:t>Processes</w:t>
      </w:r>
      <w:r>
        <w:rPr>
          <w:color w:val="3A383A"/>
          <w:spacing w:val="1"/>
          <w:w w:val="95"/>
          <w:sz w:val="18"/>
        </w:rPr>
        <w:t> </w:t>
      </w:r>
      <w:r>
        <w:rPr>
          <w:color w:val="3A383A"/>
          <w:sz w:val="18"/>
        </w:rPr>
        <w:t>1,</w:t>
      </w:r>
      <w:r>
        <w:rPr>
          <w:color w:val="3A383A"/>
          <w:spacing w:val="-8"/>
          <w:sz w:val="18"/>
        </w:rPr>
        <w:t> </w:t>
      </w:r>
      <w:r>
        <w:rPr>
          <w:color w:val="3A383A"/>
          <w:sz w:val="18"/>
        </w:rPr>
        <w:t>8-10</w:t>
      </w:r>
      <w:r>
        <w:rPr>
          <w:color w:val="3A383A"/>
          <w:spacing w:val="-23"/>
          <w:sz w:val="18"/>
        </w:rPr>
        <w:t> </w:t>
      </w:r>
      <w:r>
        <w:rPr>
          <w:color w:val="3A383A"/>
          <w:sz w:val="18"/>
        </w:rPr>
        <w:t>(1994)).</w:t>
      </w:r>
    </w:p>
    <w:p>
      <w:pPr>
        <w:spacing w:line="175" w:lineRule="exact" w:before="0"/>
        <w:ind w:left="675" w:right="0" w:firstLine="0"/>
        <w:jc w:val="both"/>
        <w:rPr>
          <w:sz w:val="18"/>
        </w:rPr>
      </w:pPr>
      <w:r>
        <w:rPr>
          <w:color w:val="4F4F50"/>
          <w:w w:val="105"/>
          <w:position w:val="6"/>
          <w:sz w:val="10"/>
        </w:rPr>
        <w:t>16</w:t>
      </w:r>
      <w:r>
        <w:rPr>
          <w:color w:val="4F4F50"/>
          <w:w w:val="105"/>
          <w:sz w:val="18"/>
        </w:rPr>
        <w:t>Jn </w:t>
      </w:r>
      <w:r>
        <w:rPr>
          <w:color w:val="4F4F50"/>
          <w:spacing w:val="13"/>
          <w:w w:val="105"/>
          <w:sz w:val="18"/>
        </w:rPr>
        <w:t> </w:t>
      </w:r>
      <w:r>
        <w:rPr>
          <w:color w:val="4F4F50"/>
          <w:w w:val="105"/>
          <w:sz w:val="18"/>
        </w:rPr>
        <w:t>this</w:t>
      </w:r>
      <w:r>
        <w:rPr>
          <w:color w:val="4F4F50"/>
          <w:spacing w:val="23"/>
          <w:w w:val="105"/>
          <w:sz w:val="18"/>
        </w:rPr>
        <w:t> </w:t>
      </w:r>
      <w:r>
        <w:rPr>
          <w:color w:val="3A383A"/>
          <w:w w:val="105"/>
          <w:sz w:val="18"/>
        </w:rPr>
        <w:t>situation, </w:t>
      </w:r>
      <w:r>
        <w:rPr>
          <w:color w:val="3A383A"/>
          <w:spacing w:val="9"/>
          <w:w w:val="105"/>
          <w:sz w:val="18"/>
        </w:rPr>
        <w:t> </w:t>
      </w:r>
      <w:r>
        <w:rPr>
          <w:color w:val="3A383A"/>
          <w:w w:val="105"/>
          <w:sz w:val="18"/>
        </w:rPr>
        <w:t>you</w:t>
      </w:r>
      <w:r>
        <w:rPr>
          <w:color w:val="3A383A"/>
          <w:spacing w:val="47"/>
          <w:w w:val="105"/>
          <w:sz w:val="18"/>
        </w:rPr>
        <w:t> </w:t>
      </w:r>
      <w:r>
        <w:rPr>
          <w:color w:val="3A383A"/>
          <w:w w:val="105"/>
          <w:sz w:val="18"/>
        </w:rPr>
        <w:t>may</w:t>
      </w:r>
      <w:r>
        <w:rPr>
          <w:color w:val="3A383A"/>
          <w:spacing w:val="42"/>
          <w:w w:val="105"/>
          <w:sz w:val="18"/>
        </w:rPr>
        <w:t> </w:t>
      </w:r>
      <w:r>
        <w:rPr>
          <w:color w:val="3A383A"/>
          <w:w w:val="105"/>
          <w:sz w:val="18"/>
        </w:rPr>
        <w:t>want</w:t>
      </w:r>
      <w:r>
        <w:rPr>
          <w:color w:val="3A383A"/>
          <w:spacing w:val="38"/>
          <w:w w:val="105"/>
          <w:sz w:val="18"/>
        </w:rPr>
        <w:t> </w:t>
      </w:r>
      <w:r>
        <w:rPr>
          <w:color w:val="3A383A"/>
          <w:w w:val="105"/>
          <w:sz w:val="18"/>
        </w:rPr>
        <w:t>to </w:t>
      </w:r>
      <w:r>
        <w:rPr>
          <w:color w:val="3A383A"/>
          <w:spacing w:val="4"/>
          <w:w w:val="105"/>
          <w:sz w:val="18"/>
        </w:rPr>
        <w:t> </w:t>
      </w:r>
      <w:r>
        <w:rPr>
          <w:color w:val="3A383A"/>
          <w:w w:val="105"/>
          <w:sz w:val="18"/>
        </w:rPr>
        <w:t>mentally</w:t>
      </w:r>
      <w:r>
        <w:rPr>
          <w:color w:val="3A383A"/>
          <w:spacing w:val="35"/>
          <w:w w:val="105"/>
          <w:sz w:val="18"/>
        </w:rPr>
        <w:t> </w:t>
      </w:r>
      <w:r>
        <w:rPr>
          <w:color w:val="3A383A"/>
          <w:w w:val="105"/>
          <w:sz w:val="18"/>
        </w:rPr>
        <w:t>substitute</w:t>
      </w:r>
      <w:r>
        <w:rPr>
          <w:color w:val="3A383A"/>
          <w:spacing w:val="42"/>
          <w:w w:val="105"/>
          <w:sz w:val="18"/>
        </w:rPr>
        <w:t> </w:t>
      </w:r>
      <w:r>
        <w:rPr>
          <w:color w:val="3A383A"/>
          <w:w w:val="105"/>
          <w:sz w:val="18"/>
        </w:rPr>
        <w:t>the</w:t>
      </w:r>
      <w:r>
        <w:rPr>
          <w:color w:val="3A383A"/>
          <w:spacing w:val="39"/>
          <w:w w:val="105"/>
          <w:sz w:val="18"/>
        </w:rPr>
        <w:t> </w:t>
      </w:r>
      <w:r>
        <w:rPr>
          <w:color w:val="3A383A"/>
          <w:w w:val="105"/>
          <w:sz w:val="18"/>
        </w:rPr>
        <w:t>word</w:t>
      </w:r>
      <w:r>
        <w:rPr>
          <w:color w:val="3A383A"/>
          <w:spacing w:val="31"/>
          <w:w w:val="105"/>
          <w:sz w:val="18"/>
        </w:rPr>
        <w:t> </w:t>
      </w:r>
      <w:r>
        <w:rPr>
          <w:color w:val="3A383A"/>
          <w:w w:val="105"/>
          <w:sz w:val="18"/>
        </w:rPr>
        <w:t>"EVidence"</w:t>
      </w:r>
      <w:r>
        <w:rPr>
          <w:color w:val="3A383A"/>
          <w:spacing w:val="45"/>
          <w:w w:val="105"/>
          <w:sz w:val="18"/>
        </w:rPr>
        <w:t> </w:t>
      </w:r>
      <w:r>
        <w:rPr>
          <w:color w:val="3A383A"/>
          <w:w w:val="105"/>
          <w:sz w:val="18"/>
        </w:rPr>
        <w:t>for </w:t>
      </w:r>
      <w:r>
        <w:rPr>
          <w:color w:val="3A383A"/>
          <w:spacing w:val="15"/>
          <w:w w:val="105"/>
          <w:sz w:val="18"/>
        </w:rPr>
        <w:t> </w:t>
      </w:r>
      <w:r>
        <w:rPr>
          <w:color w:val="3A383A"/>
          <w:w w:val="105"/>
          <w:sz w:val="18"/>
        </w:rPr>
        <w:t>the</w:t>
      </w:r>
    </w:p>
    <w:p>
      <w:pPr>
        <w:spacing w:line="235" w:lineRule="auto" w:before="0"/>
        <w:ind w:left="339" w:right="131" w:hanging="2"/>
        <w:jc w:val="both"/>
        <w:rPr>
          <w:sz w:val="18"/>
        </w:rPr>
      </w:pPr>
      <w:r>
        <w:rPr>
          <w:color w:val="3A383A"/>
          <w:spacing w:val="-1"/>
          <w:w w:val="105"/>
          <w:sz w:val="18"/>
        </w:rPr>
        <w:t>"Explanation" part of CREXAC. Your assertion that a certain line </w:t>
      </w:r>
      <w:r>
        <w:rPr>
          <w:color w:val="4F4F50"/>
          <w:spacing w:val="-1"/>
          <w:w w:val="105"/>
          <w:sz w:val="18"/>
        </w:rPr>
        <w:t>of </w:t>
      </w:r>
      <w:r>
        <w:rPr>
          <w:color w:val="3A383A"/>
          <w:spacing w:val="-1"/>
          <w:w w:val="105"/>
          <w:sz w:val="18"/>
        </w:rPr>
        <w:t>cases Is lnapposlte </w:t>
      </w:r>
      <w:r>
        <w:rPr>
          <w:color w:val="3A383A"/>
          <w:w w:val="105"/>
          <w:sz w:val="18"/>
        </w:rPr>
        <w:t>would be</w:t>
      </w:r>
      <w:r>
        <w:rPr>
          <w:color w:val="3A383A"/>
          <w:spacing w:val="1"/>
          <w:w w:val="105"/>
          <w:sz w:val="18"/>
        </w:rPr>
        <w:t> </w:t>
      </w:r>
      <w:r>
        <w:rPr>
          <w:color w:val="3A383A"/>
          <w:w w:val="105"/>
          <w:sz w:val="18"/>
        </w:rPr>
        <w:t>your </w:t>
      </w:r>
      <w:r>
        <w:rPr>
          <w:color w:val="4F4F50"/>
          <w:w w:val="105"/>
          <w:sz w:val="18"/>
        </w:rPr>
        <w:t>"rule," </w:t>
      </w:r>
      <w:r>
        <w:rPr>
          <w:color w:val="3A383A"/>
          <w:w w:val="105"/>
          <w:sz w:val="18"/>
        </w:rPr>
        <w:t>and in the place of the </w:t>
      </w:r>
      <w:r>
        <w:rPr>
          <w:color w:val="4F4F50"/>
          <w:w w:val="105"/>
          <w:sz w:val="18"/>
        </w:rPr>
        <w:t>"Explanation," </w:t>
      </w:r>
      <w:r>
        <w:rPr>
          <w:color w:val="3A383A"/>
          <w:w w:val="105"/>
          <w:sz w:val="18"/>
        </w:rPr>
        <w:t>you would provide evidence for the truth of</w:t>
      </w:r>
      <w:r>
        <w:rPr>
          <w:color w:val="3A383A"/>
          <w:spacing w:val="1"/>
          <w:w w:val="105"/>
          <w:sz w:val="18"/>
        </w:rPr>
        <w:t> </w:t>
      </w:r>
      <w:r>
        <w:rPr>
          <w:color w:val="3A383A"/>
          <w:w w:val="105"/>
          <w:sz w:val="18"/>
        </w:rPr>
        <w:t>that assertion </w:t>
      </w:r>
      <w:r>
        <w:rPr>
          <w:rFonts w:ascii="Arial"/>
          <w:color w:val="4F4F50"/>
          <w:w w:val="105"/>
          <w:sz w:val="17"/>
        </w:rPr>
        <w:t>by </w:t>
      </w:r>
      <w:r>
        <w:rPr>
          <w:color w:val="3A383A"/>
          <w:w w:val="105"/>
          <w:sz w:val="18"/>
        </w:rPr>
        <w:t>discussing the cases and describing how they do not provide the support that</w:t>
      </w:r>
      <w:r>
        <w:rPr>
          <w:color w:val="3A383A"/>
          <w:spacing w:val="1"/>
          <w:w w:val="105"/>
          <w:sz w:val="18"/>
        </w:rPr>
        <w:t> </w:t>
      </w:r>
      <w:r>
        <w:rPr>
          <w:color w:val="3A383A"/>
          <w:w w:val="110"/>
          <w:sz w:val="18"/>
        </w:rPr>
        <w:t>your</w:t>
      </w:r>
      <w:r>
        <w:rPr>
          <w:color w:val="3A383A"/>
          <w:spacing w:val="-21"/>
          <w:w w:val="110"/>
          <w:sz w:val="18"/>
        </w:rPr>
        <w:t> </w:t>
      </w:r>
      <w:r>
        <w:rPr>
          <w:color w:val="3A383A"/>
          <w:w w:val="110"/>
          <w:sz w:val="18"/>
        </w:rPr>
        <w:t>opponent</w:t>
      </w:r>
      <w:r>
        <w:rPr>
          <w:color w:val="3A383A"/>
          <w:spacing w:val="1"/>
          <w:w w:val="110"/>
          <w:sz w:val="18"/>
        </w:rPr>
        <w:t> </w:t>
      </w:r>
      <w:r>
        <w:rPr>
          <w:color w:val="3A383A"/>
          <w:w w:val="110"/>
          <w:sz w:val="18"/>
        </w:rPr>
        <w:t>might</w:t>
      </w:r>
      <w:r>
        <w:rPr>
          <w:color w:val="3A383A"/>
          <w:spacing w:val="-13"/>
          <w:w w:val="110"/>
          <w:sz w:val="18"/>
        </w:rPr>
        <w:t> </w:t>
      </w:r>
      <w:r>
        <w:rPr>
          <w:color w:val="3A383A"/>
          <w:w w:val="110"/>
          <w:sz w:val="18"/>
        </w:rPr>
        <w:t>suggest.</w:t>
      </w:r>
    </w:p>
    <w:p>
      <w:pPr>
        <w:spacing w:after="0" w:line="235" w:lineRule="auto"/>
        <w:jc w:val="both"/>
        <w:rPr>
          <w:sz w:val="18"/>
        </w:rPr>
        <w:sectPr>
          <w:pgSz w:w="9320" w:h="13770"/>
          <w:pgMar w:header="369" w:footer="0" w:top="740" w:bottom="280" w:left="200" w:right="1280"/>
        </w:sectPr>
      </w:pPr>
    </w:p>
    <w:p>
      <w:pPr>
        <w:pStyle w:val="BodyText"/>
        <w:spacing w:line="230" w:lineRule="auto" w:before="89"/>
        <w:ind w:left="707" w:right="-44" w:firstLine="9"/>
        <w:jc w:val="both"/>
      </w:pPr>
      <w:r>
        <w:rPr>
          <w:color w:val="383638"/>
          <w:w w:val="105"/>
        </w:rPr>
        <w:t>situation, your rule application section would need to be longer because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you would need to provide more </w:t>
      </w:r>
      <w:r>
        <w:rPr>
          <w:i/>
          <w:color w:val="383638"/>
          <w:w w:val="110"/>
          <w:sz w:val="22"/>
        </w:rPr>
        <w:t>detail </w:t>
      </w:r>
      <w:r>
        <w:rPr>
          <w:color w:val="383638"/>
          <w:w w:val="110"/>
        </w:rPr>
        <w:t>as to the significance of certain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facts that promote your point of view and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the insignificance of facts that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opponent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might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use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promote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his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or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her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argument</w:t>
      </w:r>
      <w:r>
        <w:rPr>
          <w:color w:val="525254"/>
          <w:w w:val="110"/>
        </w:rPr>
        <w:t>.</w:t>
      </w:r>
    </w:p>
    <w:p>
      <w:pPr>
        <w:pStyle w:val="BodyText"/>
        <w:spacing w:line="232" w:lineRule="auto" w:before="3"/>
        <w:ind w:left="622" w:right="-29" w:firstLine="440"/>
        <w:jc w:val="both"/>
      </w:pPr>
      <w:r>
        <w:rPr>
          <w:color w:val="383638"/>
          <w:w w:val="105"/>
        </w:rPr>
        <w:t>Your second step is to determine if your opponent is making or may</w:t>
      </w:r>
      <w:r>
        <w:rPr>
          <w:color w:val="383638"/>
          <w:spacing w:val="1"/>
          <w:w w:val="105"/>
        </w:rPr>
        <w:t> </w:t>
      </w:r>
      <w:r>
        <w:rPr>
          <w:color w:val="383638"/>
          <w:spacing w:val="-1"/>
          <w:w w:val="110"/>
        </w:rPr>
        <w:t>make an argument that you cannot address within </w:t>
      </w:r>
      <w:r>
        <w:rPr>
          <w:color w:val="383638"/>
          <w:w w:val="110"/>
        </w:rPr>
        <w:t>the confines of your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argument </w:t>
      </w:r>
      <w:r>
        <w:rPr>
          <w:i/>
          <w:color w:val="383638"/>
          <w:w w:val="105"/>
          <w:sz w:val="24"/>
        </w:rPr>
        <w:t>as </w:t>
      </w:r>
      <w:r>
        <w:rPr>
          <w:rFonts w:ascii="Arial" w:hAnsi="Arial"/>
          <w:i/>
          <w:color w:val="383638"/>
          <w:w w:val="105"/>
          <w:sz w:val="19"/>
        </w:rPr>
        <w:t>it</w:t>
      </w:r>
      <w:r>
        <w:rPr>
          <w:rFonts w:ascii="Arial" w:hAnsi="Arial"/>
          <w:i/>
          <w:color w:val="383638"/>
          <w:spacing w:val="1"/>
          <w:w w:val="105"/>
          <w:sz w:val="19"/>
        </w:rPr>
        <w:t> </w:t>
      </w:r>
      <w:r>
        <w:rPr>
          <w:color w:val="383638"/>
          <w:w w:val="105"/>
        </w:rPr>
        <w:t>is currently structured. Look at each of the opponent argu.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ments on your list and determine whether your argument contains contra­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dictory analysis. Sometimes the analysis may be indirectly contradictory: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Two rules are mutually exclusive, and your argument does the best pos­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sible job of explaining why and how a particular rule applies in your case.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At other times, your argument may directly contradict your opponent;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instead of just saying that rule A applies, you will argue that rule B does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notapply</w:t>
      </w:r>
      <w:r>
        <w:rPr>
          <w:color w:val="525254"/>
          <w:w w:val="105"/>
        </w:rPr>
        <w:t>, </w:t>
      </w:r>
      <w:r>
        <w:rPr>
          <w:color w:val="383638"/>
          <w:w w:val="105"/>
        </w:rPr>
        <w:t>or argue that even if it does apply, it does not result in a finding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opponent</w:t>
      </w:r>
      <w:r>
        <w:rPr>
          <w:color w:val="525254"/>
          <w:w w:val="110"/>
        </w:rPr>
        <w:t>.</w:t>
      </w:r>
    </w:p>
    <w:p>
      <w:pPr>
        <w:pStyle w:val="BodyText"/>
        <w:spacing w:line="235" w:lineRule="auto"/>
        <w:ind w:left="564" w:right="34" w:firstLine="381"/>
        <w:jc w:val="both"/>
      </w:pPr>
      <w:r>
        <w:rPr>
          <w:color w:val="383638"/>
          <w:w w:val="105"/>
        </w:rPr>
        <w:t>You may, however, identify opponent arguments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that you have not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addressed directly or indirectly, and you must decide whether to do so. If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you have no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effective response to an issue, it may be better to  leave </w:t>
      </w:r>
      <w:r>
        <w:rPr>
          <w:color w:val="383638"/>
          <w:w w:val="105"/>
          <w:sz w:val="22"/>
        </w:rPr>
        <w:t>it </w:t>
      </w:r>
      <w:r>
        <w:rPr>
          <w:color w:val="383638"/>
          <w:w w:val="105"/>
        </w:rPr>
        <w:t>out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of your argument</w:t>
      </w:r>
      <w:r>
        <w:rPr>
          <w:color w:val="383638"/>
          <w:w w:val="105"/>
          <w:vertAlign w:val="superscript"/>
        </w:rPr>
        <w:t>17</w:t>
      </w:r>
      <w:r>
        <w:rPr>
          <w:color w:val="383638"/>
          <w:w w:val="105"/>
          <w:vertAlign w:val="baseline"/>
        </w:rPr>
        <w:t> and focus on making your strong arguments as effec­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tively as possible</w:t>
      </w:r>
      <w:r>
        <w:rPr>
          <w:color w:val="525254"/>
          <w:w w:val="105"/>
          <w:vertAlign w:val="baseline"/>
        </w:rPr>
        <w:t>. </w:t>
      </w:r>
      <w:r>
        <w:rPr>
          <w:color w:val="383638"/>
          <w:w w:val="105"/>
          <w:vertAlign w:val="baseline"/>
        </w:rPr>
        <w:t>For other issues, you may decide to make a direct attack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on</w:t>
      </w:r>
      <w:r>
        <w:rPr>
          <w:color w:val="383638"/>
          <w:spacing w:val="-1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your</w:t>
      </w:r>
      <w:r>
        <w:rPr>
          <w:color w:val="383638"/>
          <w:spacing w:val="-18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opponent's</w:t>
      </w:r>
      <w:r>
        <w:rPr>
          <w:color w:val="383638"/>
          <w:spacing w:val="6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point</w:t>
      </w:r>
      <w:r>
        <w:rPr>
          <w:color w:val="383638"/>
          <w:spacing w:val="-8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of</w:t>
      </w:r>
      <w:r>
        <w:rPr>
          <w:color w:val="383638"/>
          <w:spacing w:val="15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view.</w:t>
      </w:r>
    </w:p>
    <w:p>
      <w:pPr>
        <w:pStyle w:val="BodyText"/>
        <w:spacing w:line="232" w:lineRule="auto"/>
        <w:ind w:left="484" w:right="73" w:firstLine="400"/>
        <w:jc w:val="both"/>
      </w:pPr>
      <w:r>
        <w:rPr>
          <w:color w:val="383638"/>
          <w:w w:val="105"/>
        </w:rPr>
        <w:t>This kind of argument may be less likely to be rule based. Instead, you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may be making a direct assertion that your opponent's argument misin­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terprets the  law or  the  facts. Instead of </w:t>
      </w:r>
      <w:r>
        <w:rPr>
          <w:rFonts w:ascii="Arial" w:hAnsi="Arial"/>
          <w:i/>
          <w:color w:val="383638"/>
          <w:w w:val="105"/>
          <w:sz w:val="21"/>
        </w:rPr>
        <w:t>explaining </w:t>
      </w:r>
      <w:r>
        <w:rPr>
          <w:color w:val="383638"/>
          <w:w w:val="105"/>
        </w:rPr>
        <w:t>the  meaning of a rule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by illustrating how it has been applied in the past, you will, in a way, be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providing </w:t>
      </w:r>
      <w:r>
        <w:rPr>
          <w:i/>
          <w:color w:val="383638"/>
          <w:w w:val="110"/>
          <w:sz w:val="24"/>
        </w:rPr>
        <w:t>evidence </w:t>
      </w:r>
      <w:r>
        <w:rPr>
          <w:color w:val="383638"/>
          <w:w w:val="110"/>
        </w:rPr>
        <w:t>for the truth of your assertion about your opponent's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argument. For example, you may be arguing that a particular interpreta­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05"/>
        </w:rPr>
        <w:t>tion of a statute is wrong. The evidence to support that assertion could be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legislative (e.g.</w:t>
      </w:r>
      <w:r>
        <w:rPr>
          <w:color w:val="525254"/>
          <w:w w:val="105"/>
        </w:rPr>
        <w:t>, </w:t>
      </w:r>
      <w:r>
        <w:rPr>
          <w:color w:val="383638"/>
          <w:w w:val="105"/>
        </w:rPr>
        <w:t>discussing legislative history or statutory language), judi­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cial (describing on-point cases from appropriate jurisdictions), or empiri­</w:t>
      </w:r>
      <w:r>
        <w:rPr>
          <w:color w:val="383638"/>
          <w:spacing w:val="1"/>
          <w:w w:val="105"/>
        </w:rPr>
        <w:t> </w:t>
      </w:r>
      <w:r>
        <w:rPr>
          <w:rFonts w:ascii="Arial" w:hAnsi="Arial"/>
          <w:i/>
          <w:color w:val="383638"/>
          <w:w w:val="105"/>
          <w:sz w:val="21"/>
        </w:rPr>
        <w:t>cal</w:t>
      </w:r>
      <w:r>
        <w:rPr>
          <w:rFonts w:ascii="Arial" w:hAnsi="Arial"/>
          <w:i/>
          <w:color w:val="383638"/>
          <w:spacing w:val="8"/>
          <w:w w:val="105"/>
          <w:sz w:val="21"/>
        </w:rPr>
        <w:t> </w:t>
      </w:r>
      <w:r>
        <w:rPr>
          <w:color w:val="383638"/>
          <w:w w:val="105"/>
        </w:rPr>
        <w:t>(citing</w:t>
      </w:r>
      <w:r>
        <w:rPr>
          <w:color w:val="383638"/>
          <w:spacing w:val="-15"/>
          <w:w w:val="105"/>
        </w:rPr>
        <w:t> </w:t>
      </w:r>
      <w:r>
        <w:rPr>
          <w:color w:val="383638"/>
          <w:w w:val="105"/>
        </w:rPr>
        <w:t>studies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that</w:t>
      </w:r>
      <w:r>
        <w:rPr>
          <w:color w:val="383638"/>
          <w:spacing w:val="-10"/>
          <w:w w:val="105"/>
        </w:rPr>
        <w:t> </w:t>
      </w:r>
      <w:r>
        <w:rPr>
          <w:color w:val="383638"/>
          <w:w w:val="105"/>
        </w:rPr>
        <w:t>support</w:t>
      </w:r>
      <w:r>
        <w:rPr>
          <w:color w:val="383638"/>
          <w:spacing w:val="17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9"/>
          <w:w w:val="105"/>
        </w:rPr>
        <w:t> </w:t>
      </w:r>
      <w:r>
        <w:rPr>
          <w:color w:val="383638"/>
          <w:w w:val="105"/>
        </w:rPr>
        <w:t>thesis</w:t>
      </w:r>
      <w:r>
        <w:rPr>
          <w:color w:val="383638"/>
          <w:spacing w:val="10"/>
          <w:w w:val="105"/>
        </w:rPr>
        <w:t> </w:t>
      </w:r>
      <w:r>
        <w:rPr>
          <w:color w:val="383638"/>
          <w:w w:val="105"/>
        </w:rPr>
        <w:t>behind</w:t>
      </w:r>
      <w:r>
        <w:rPr>
          <w:color w:val="383638"/>
          <w:spacing w:val="25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6"/>
          <w:w w:val="105"/>
        </w:rPr>
        <w:t> </w:t>
      </w:r>
      <w:r>
        <w:rPr>
          <w:color w:val="383638"/>
          <w:w w:val="105"/>
        </w:rPr>
        <w:t>assertion).</w:t>
      </w:r>
    </w:p>
    <w:p>
      <w:pPr>
        <w:pStyle w:val="BodyText"/>
        <w:spacing w:line="232" w:lineRule="auto"/>
        <w:ind w:left="362" w:right="122" w:firstLine="464"/>
        <w:jc w:val="both"/>
      </w:pPr>
      <w:r>
        <w:rPr>
          <w:color w:val="383638"/>
          <w:w w:val="110"/>
        </w:rPr>
        <w:t>Thus, depending on your assertion, your "evidence" may come from</w:t>
      </w:r>
      <w:r>
        <w:rPr>
          <w:color w:val="383638"/>
          <w:spacing w:val="-61"/>
          <w:w w:val="110"/>
        </w:rPr>
        <w:t> </w:t>
      </w:r>
      <w:r>
        <w:rPr>
          <w:color w:val="383638"/>
          <w:spacing w:val="-1"/>
          <w:w w:val="110"/>
        </w:rPr>
        <w:t>the record, from extra-legal sources, or, as in most CREXAC arguments,</w:t>
      </w:r>
      <w:r>
        <w:rPr>
          <w:color w:val="383638"/>
          <w:w w:val="110"/>
        </w:rPr>
        <w:t> </w:t>
      </w:r>
      <w:r>
        <w:rPr>
          <w:color w:val="383638"/>
          <w:w w:val="105"/>
        </w:rPr>
        <w:t>from</w:t>
      </w:r>
      <w:r>
        <w:rPr>
          <w:color w:val="383638"/>
          <w:spacing w:val="6"/>
          <w:w w:val="105"/>
        </w:rPr>
        <w:t> </w:t>
      </w:r>
      <w:r>
        <w:rPr>
          <w:color w:val="383638"/>
          <w:w w:val="105"/>
        </w:rPr>
        <w:t>relevant</w:t>
      </w:r>
      <w:r>
        <w:rPr>
          <w:color w:val="383638"/>
          <w:spacing w:val="10"/>
          <w:w w:val="105"/>
        </w:rPr>
        <w:t> </w:t>
      </w:r>
      <w:r>
        <w:rPr>
          <w:color w:val="383638"/>
          <w:w w:val="105"/>
        </w:rPr>
        <w:t>authorities</w:t>
      </w:r>
      <w:r>
        <w:rPr>
          <w:color w:val="383638"/>
          <w:spacing w:val="21"/>
          <w:w w:val="105"/>
        </w:rPr>
        <w:t> </w:t>
      </w:r>
      <w:r>
        <w:rPr>
          <w:color w:val="383638"/>
          <w:w w:val="105"/>
        </w:rPr>
        <w:t>that</w:t>
      </w:r>
      <w:r>
        <w:rPr>
          <w:color w:val="383638"/>
          <w:spacing w:val="19"/>
          <w:w w:val="105"/>
        </w:rPr>
        <w:t> </w:t>
      </w:r>
      <w:r>
        <w:rPr>
          <w:color w:val="383638"/>
          <w:w w:val="105"/>
        </w:rPr>
        <w:t>have</w:t>
      </w:r>
      <w:r>
        <w:rPr>
          <w:color w:val="383638"/>
          <w:spacing w:val="8"/>
          <w:w w:val="105"/>
        </w:rPr>
        <w:t> </w:t>
      </w:r>
      <w:r>
        <w:rPr>
          <w:color w:val="383638"/>
          <w:w w:val="105"/>
        </w:rPr>
        <w:t>applied</w:t>
      </w:r>
      <w:r>
        <w:rPr>
          <w:color w:val="383638"/>
          <w:spacing w:val="23"/>
          <w:w w:val="105"/>
        </w:rPr>
        <w:t> </w:t>
      </w:r>
      <w:r>
        <w:rPr>
          <w:color w:val="383638"/>
          <w:w w:val="105"/>
        </w:rPr>
        <w:t>a</w:t>
      </w:r>
      <w:r>
        <w:rPr>
          <w:color w:val="383638"/>
          <w:spacing w:val="20"/>
          <w:w w:val="105"/>
        </w:rPr>
        <w:t> </w:t>
      </w:r>
      <w:r>
        <w:rPr>
          <w:color w:val="383638"/>
          <w:w w:val="105"/>
        </w:rPr>
        <w:t>particular</w:t>
      </w:r>
      <w:r>
        <w:rPr>
          <w:color w:val="383638"/>
          <w:spacing w:val="21"/>
          <w:w w:val="105"/>
        </w:rPr>
        <w:t> </w:t>
      </w:r>
      <w:r>
        <w:rPr>
          <w:color w:val="383638"/>
          <w:w w:val="105"/>
        </w:rPr>
        <w:t>rule.</w:t>
      </w:r>
      <w:r>
        <w:rPr>
          <w:color w:val="383638"/>
          <w:spacing w:val="19"/>
          <w:w w:val="105"/>
        </w:rPr>
        <w:t> </w:t>
      </w:r>
      <w:r>
        <w:rPr>
          <w:color w:val="383638"/>
          <w:w w:val="105"/>
        </w:rPr>
        <w:t>For</w:t>
      </w:r>
      <w:r>
        <w:rPr>
          <w:color w:val="383638"/>
          <w:spacing w:val="13"/>
          <w:w w:val="105"/>
        </w:rPr>
        <w:t> </w:t>
      </w:r>
      <w:r>
        <w:rPr>
          <w:color w:val="383638"/>
          <w:w w:val="105"/>
        </w:rPr>
        <w:t>example,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if you are arguing that a court misinterpreted a rule or a line of cases,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your evidence for that assertion would likely consist of a correct analysis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of those cases, perhaps showing how other courts had applied that rule</w:t>
      </w:r>
      <w:r>
        <w:rPr>
          <w:color w:val="525254"/>
          <w:w w:val="110"/>
        </w:rPr>
        <w:t>.</w:t>
      </w:r>
      <w:r>
        <w:rPr>
          <w:color w:val="525254"/>
          <w:spacing w:val="1"/>
          <w:w w:val="110"/>
        </w:rPr>
        <w:t> </w:t>
      </w:r>
      <w:r>
        <w:rPr>
          <w:color w:val="383638"/>
          <w:w w:val="105"/>
        </w:rPr>
        <w:t>When making arguments of this type, choose your words carefully</w:t>
      </w:r>
      <w:r>
        <w:rPr>
          <w:color w:val="525254"/>
          <w:w w:val="105"/>
        </w:rPr>
        <w:t>. </w:t>
      </w:r>
      <w:r>
        <w:rPr>
          <w:color w:val="383638"/>
          <w:w w:val="105"/>
        </w:rPr>
        <w:t>If you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are petitioner, it may be tempting to attack the lower court for its hold­</w:t>
      </w:r>
      <w:r>
        <w:rPr>
          <w:color w:val="383638"/>
          <w:spacing w:val="1"/>
          <w:w w:val="110"/>
        </w:rPr>
        <w:t> </w:t>
      </w:r>
      <w:r>
        <w:rPr>
          <w:rFonts w:ascii="Arial" w:hAnsi="Arial"/>
          <w:i/>
          <w:color w:val="383638"/>
          <w:w w:val="105"/>
          <w:sz w:val="22"/>
        </w:rPr>
        <w:t>ing. </w:t>
      </w:r>
      <w:r>
        <w:rPr>
          <w:color w:val="383638"/>
          <w:w w:val="105"/>
        </w:rPr>
        <w:t>It might be more tactful and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more fruitful, however, to  characterize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your attack as an  attack on the assertion behind the holding rather than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on</w:t>
      </w:r>
      <w:r>
        <w:rPr>
          <w:color w:val="383638"/>
          <w:spacing w:val="45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7"/>
          <w:w w:val="110"/>
        </w:rPr>
        <w:t> </w:t>
      </w:r>
      <w:r>
        <w:rPr>
          <w:color w:val="383638"/>
          <w:w w:val="110"/>
        </w:rPr>
        <w:t>court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made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2"/>
          <w:w w:val="110"/>
        </w:rPr>
        <w:t> </w:t>
      </w:r>
      <w:r>
        <w:rPr>
          <w:color w:val="383638"/>
          <w:w w:val="110"/>
        </w:rPr>
        <w:t>holding.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Thus,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instead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saying,</w:t>
      </w:r>
      <w:r>
        <w:rPr>
          <w:color w:val="383638"/>
          <w:spacing w:val="19"/>
          <w:w w:val="110"/>
        </w:rPr>
        <w:t> </w:t>
      </w:r>
      <w:r>
        <w:rPr>
          <w:b/>
          <w:color w:val="383638"/>
          <w:w w:val="110"/>
        </w:rPr>
        <w:t>e.g.,</w:t>
      </w:r>
      <w:r>
        <w:rPr>
          <w:b/>
          <w:color w:val="383638"/>
          <w:spacing w:val="15"/>
          <w:w w:val="110"/>
        </w:rPr>
        <w:t> </w:t>
      </w:r>
      <w:r>
        <w:rPr>
          <w:color w:val="383638"/>
          <w:w w:val="110"/>
        </w:rPr>
        <w:t>"The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0"/>
        <w:ind w:left="715" w:right="0" w:firstLine="0"/>
        <w:jc w:val="left"/>
        <w:rPr>
          <w:sz w:val="18"/>
        </w:rPr>
      </w:pPr>
      <w:r>
        <w:rPr>
          <w:color w:val="383638"/>
          <w:w w:val="105"/>
          <w:sz w:val="18"/>
        </w:rPr>
        <w:t>"Stanch!</w:t>
      </w:r>
      <w:r>
        <w:rPr>
          <w:color w:val="525254"/>
          <w:w w:val="105"/>
          <w:sz w:val="18"/>
        </w:rPr>
        <w:t>,</w:t>
      </w:r>
      <w:r>
        <w:rPr>
          <w:color w:val="525254"/>
          <w:spacing w:val="19"/>
          <w:w w:val="105"/>
          <w:sz w:val="18"/>
        </w:rPr>
        <w:t> </w:t>
      </w:r>
      <w:r>
        <w:rPr>
          <w:i/>
          <w:color w:val="383638"/>
          <w:w w:val="105"/>
          <w:sz w:val="19"/>
        </w:rPr>
        <w:t>supra</w:t>
      </w:r>
      <w:r>
        <w:rPr>
          <w:i/>
          <w:color w:val="383638"/>
          <w:spacing w:val="6"/>
          <w:w w:val="105"/>
          <w:sz w:val="19"/>
        </w:rPr>
        <w:t> </w:t>
      </w:r>
      <w:r>
        <w:rPr>
          <w:color w:val="383638"/>
          <w:w w:val="105"/>
          <w:sz w:val="18"/>
        </w:rPr>
        <w:t>note</w:t>
      </w:r>
      <w:r>
        <w:rPr>
          <w:color w:val="383638"/>
          <w:spacing w:val="-14"/>
          <w:w w:val="105"/>
          <w:sz w:val="18"/>
        </w:rPr>
        <w:t> </w:t>
      </w:r>
      <w:r>
        <w:rPr>
          <w:color w:val="383638"/>
          <w:w w:val="105"/>
          <w:sz w:val="18"/>
        </w:rPr>
        <w:t>11,at</w:t>
      </w:r>
      <w:r>
        <w:rPr>
          <w:color w:val="383638"/>
          <w:spacing w:val="4"/>
          <w:w w:val="105"/>
          <w:sz w:val="18"/>
        </w:rPr>
        <w:t> </w:t>
      </w:r>
      <w:r>
        <w:rPr>
          <w:color w:val="383638"/>
          <w:w w:val="105"/>
          <w:sz w:val="18"/>
        </w:rPr>
        <w:t>383</w:t>
      </w:r>
      <w:r>
        <w:rPr>
          <w:color w:val="626264"/>
          <w:w w:val="105"/>
          <w:sz w:val="18"/>
        </w:rPr>
        <w:t>.</w:t>
      </w:r>
    </w:p>
    <w:p>
      <w:pPr>
        <w:spacing w:after="0"/>
        <w:jc w:val="left"/>
        <w:rPr>
          <w:sz w:val="18"/>
        </w:rPr>
        <w:sectPr>
          <w:headerReference w:type="even" r:id="rId139"/>
          <w:pgSz w:w="9140" w:h="13750"/>
          <w:pgMar w:header="540" w:footer="0" w:top="1020" w:bottom="0" w:left="1260" w:right="0"/>
        </w:sectPr>
      </w:pPr>
    </w:p>
    <w:p>
      <w:pPr>
        <w:tabs>
          <w:tab w:pos="8372" w:val="right" w:leader="none"/>
        </w:tabs>
        <w:spacing w:before="75"/>
        <w:ind w:left="6509" w:right="0" w:firstLine="0"/>
        <w:jc w:val="left"/>
        <w:rPr>
          <w:rFonts w:ascii="Arial"/>
          <w:b/>
          <w:sz w:val="18"/>
        </w:rPr>
      </w:pPr>
      <w:r>
        <w:rPr>
          <w:color w:val="3B383B"/>
          <w:w w:val="105"/>
          <w:sz w:val="19"/>
        </w:rPr>
        <w:t>5.4 </w:t>
      </w:r>
      <w:r>
        <w:rPr>
          <w:color w:val="3B383B"/>
          <w:spacing w:val="3"/>
          <w:w w:val="105"/>
          <w:sz w:val="19"/>
        </w:rPr>
        <w:t> </w:t>
      </w:r>
      <w:r>
        <w:rPr>
          <w:color w:val="3B383B"/>
          <w:w w:val="105"/>
          <w:sz w:val="19"/>
        </w:rPr>
        <w:t>Summary</w:t>
        <w:tab/>
      </w:r>
      <w:r>
        <w:rPr>
          <w:rFonts w:ascii="Arial"/>
          <w:b/>
          <w:color w:val="3B383B"/>
          <w:w w:val="105"/>
          <w:sz w:val="18"/>
        </w:rPr>
        <w:t>115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pStyle w:val="BodyText"/>
        <w:spacing w:line="235" w:lineRule="auto" w:before="1"/>
        <w:ind w:left="119" w:right="822" w:firstLine="3"/>
        <w:jc w:val="both"/>
      </w:pPr>
      <w:r>
        <w:rPr>
          <w:color w:val="3B383B"/>
          <w:w w:val="115"/>
        </w:rPr>
        <w:t>Eighteenth Circuit erred when it found that the Mousse Statute applied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0"/>
        </w:rPr>
        <w:t>here," it might be better to say, e.g</w:t>
      </w:r>
      <w:r>
        <w:rPr>
          <w:color w:val="575759"/>
          <w:w w:val="110"/>
        </w:rPr>
        <w:t>.</w:t>
      </w:r>
      <w:r>
        <w:rPr>
          <w:color w:val="3B383B"/>
          <w:w w:val="110"/>
        </w:rPr>
        <w:t>, "Arguments that the Mousse Statute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5"/>
        </w:rPr>
        <w:t>applies</w:t>
      </w:r>
      <w:r>
        <w:rPr>
          <w:color w:val="3B383B"/>
          <w:spacing w:val="-24"/>
          <w:w w:val="115"/>
        </w:rPr>
        <w:t> </w:t>
      </w:r>
      <w:r>
        <w:rPr>
          <w:color w:val="3B383B"/>
          <w:w w:val="115"/>
        </w:rPr>
        <w:t>are</w:t>
      </w:r>
      <w:r>
        <w:rPr>
          <w:color w:val="3B383B"/>
          <w:spacing w:val="7"/>
          <w:w w:val="115"/>
        </w:rPr>
        <w:t> </w:t>
      </w:r>
      <w:r>
        <w:rPr>
          <w:color w:val="3B383B"/>
          <w:w w:val="115"/>
        </w:rPr>
        <w:t>inappropriate."</w:t>
      </w:r>
    </w:p>
    <w:p>
      <w:pPr>
        <w:pStyle w:val="BodyText"/>
        <w:spacing w:line="235" w:lineRule="auto" w:before="2"/>
        <w:ind w:left="119" w:right="800" w:firstLine="340"/>
        <w:jc w:val="both"/>
      </w:pPr>
      <w:r>
        <w:rPr>
          <w:color w:val="3B383B"/>
          <w:w w:val="110"/>
        </w:rPr>
        <w:t>I close this section with two warnings about dealing with your oppo­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5"/>
        </w:rPr>
        <w:t>nent's arguments. First, addressing negative authorities almost never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20"/>
        </w:rPr>
        <w:t>means that you should begin your argument by addressing negative</w:t>
      </w:r>
      <w:r>
        <w:rPr>
          <w:color w:val="3B383B"/>
          <w:spacing w:val="1"/>
          <w:w w:val="120"/>
        </w:rPr>
        <w:t> </w:t>
      </w:r>
      <w:r>
        <w:rPr>
          <w:color w:val="3B383B"/>
          <w:w w:val="110"/>
        </w:rPr>
        <w:t>authorities. Professor Stanchi's research shows that "it is clear that begin­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5"/>
        </w:rPr>
        <w:t>ning with refutation decreases persuasive value."</w:t>
      </w:r>
      <w:r>
        <w:rPr>
          <w:rFonts w:ascii="Arial" w:hAnsi="Arial"/>
          <w:color w:val="3B383B"/>
          <w:w w:val="115"/>
          <w:position w:val="9"/>
          <w:sz w:val="12"/>
        </w:rPr>
        <w:t>18</w:t>
      </w:r>
      <w:r>
        <w:rPr>
          <w:rFonts w:ascii="Arial" w:hAnsi="Arial"/>
          <w:color w:val="3B383B"/>
          <w:spacing w:val="1"/>
          <w:w w:val="115"/>
          <w:position w:val="9"/>
          <w:sz w:val="12"/>
        </w:rPr>
        <w:t> </w:t>
      </w:r>
      <w:r>
        <w:rPr>
          <w:color w:val="3B383B"/>
          <w:w w:val="115"/>
        </w:rPr>
        <w:t>Second, addressing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0"/>
        </w:rPr>
        <w:t>negative arguments or authorities does not require you to attack opposing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counsel or the courts below.</w:t>
      </w:r>
      <w:r>
        <w:rPr>
          <w:color w:val="3B383B"/>
          <w:w w:val="110"/>
          <w:vertAlign w:val="superscript"/>
        </w:rPr>
        <w:t>1</w:t>
      </w:r>
      <w:r>
        <w:rPr>
          <w:color w:val="575759"/>
          <w:w w:val="110"/>
          <w:vertAlign w:val="superscript"/>
        </w:rPr>
        <w:t>9</w:t>
      </w:r>
      <w:r>
        <w:rPr>
          <w:color w:val="575759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Instead of questioning the integrity or intel­</w:t>
      </w:r>
      <w:r>
        <w:rPr>
          <w:color w:val="3B383B"/>
          <w:spacing w:val="1"/>
          <w:w w:val="110"/>
          <w:vertAlign w:val="baseline"/>
        </w:rPr>
        <w:t> </w:t>
      </w:r>
      <w:r>
        <w:rPr>
          <w:color w:val="3B383B"/>
          <w:w w:val="110"/>
          <w:vertAlign w:val="baseline"/>
        </w:rPr>
        <w:t>ligence of opposing counsel, notea possibly tenuous connection and then</w:t>
      </w:r>
      <w:r>
        <w:rPr>
          <w:color w:val="3B383B"/>
          <w:spacing w:val="1"/>
          <w:w w:val="110"/>
          <w:vertAlign w:val="baseline"/>
        </w:rPr>
        <w:t> </w:t>
      </w:r>
      <w:r>
        <w:rPr>
          <w:color w:val="3B383B"/>
          <w:w w:val="115"/>
          <w:vertAlign w:val="baseline"/>
        </w:rPr>
        <w:t>refute it-e.g., "Although this statute, admittedly, governs some types of</w:t>
      </w:r>
      <w:r>
        <w:rPr>
          <w:color w:val="3B383B"/>
          <w:spacing w:val="-64"/>
          <w:w w:val="115"/>
          <w:vertAlign w:val="baseline"/>
        </w:rPr>
        <w:t> </w:t>
      </w:r>
      <w:r>
        <w:rPr>
          <w:color w:val="3B383B"/>
          <w:w w:val="115"/>
          <w:vertAlign w:val="baseline"/>
        </w:rPr>
        <w:t>employment</w:t>
      </w:r>
      <w:r>
        <w:rPr>
          <w:color w:val="3B383B"/>
          <w:spacing w:val="32"/>
          <w:w w:val="115"/>
          <w:vertAlign w:val="baseline"/>
        </w:rPr>
        <w:t> </w:t>
      </w:r>
      <w:r>
        <w:rPr>
          <w:color w:val="3B383B"/>
          <w:w w:val="115"/>
          <w:vertAlign w:val="baseline"/>
        </w:rPr>
        <w:t>relationships,</w:t>
      </w:r>
      <w:r>
        <w:rPr>
          <w:color w:val="3B383B"/>
          <w:spacing w:val="14"/>
          <w:w w:val="115"/>
          <w:vertAlign w:val="baseline"/>
        </w:rPr>
        <w:t> </w:t>
      </w:r>
      <w:r>
        <w:rPr>
          <w:color w:val="3B383B"/>
          <w:w w:val="115"/>
          <w:vertAlign w:val="baseline"/>
        </w:rPr>
        <w:t>it</w:t>
      </w:r>
      <w:r>
        <w:rPr>
          <w:color w:val="3B383B"/>
          <w:spacing w:val="28"/>
          <w:w w:val="115"/>
          <w:vertAlign w:val="baseline"/>
        </w:rPr>
        <w:t> </w:t>
      </w:r>
      <w:r>
        <w:rPr>
          <w:color w:val="3B383B"/>
          <w:w w:val="115"/>
          <w:vertAlign w:val="baseline"/>
        </w:rPr>
        <w:t>is</w:t>
      </w:r>
      <w:r>
        <w:rPr>
          <w:color w:val="3B383B"/>
          <w:spacing w:val="3"/>
          <w:w w:val="115"/>
          <w:vertAlign w:val="baseline"/>
        </w:rPr>
        <w:t> </w:t>
      </w:r>
      <w:r>
        <w:rPr>
          <w:color w:val="3B383B"/>
          <w:w w:val="115"/>
          <w:vertAlign w:val="baseline"/>
        </w:rPr>
        <w:t>inapposite</w:t>
      </w:r>
      <w:r>
        <w:rPr>
          <w:color w:val="3B383B"/>
          <w:spacing w:val="32"/>
          <w:w w:val="115"/>
          <w:vertAlign w:val="baseline"/>
        </w:rPr>
        <w:t> </w:t>
      </w:r>
      <w:r>
        <w:rPr>
          <w:color w:val="3B383B"/>
          <w:w w:val="115"/>
          <w:vertAlign w:val="baseline"/>
        </w:rPr>
        <w:t>here.</w:t>
      </w:r>
      <w:r>
        <w:rPr>
          <w:color w:val="3B383B"/>
          <w:spacing w:val="-11"/>
          <w:w w:val="115"/>
          <w:vertAlign w:val="baseline"/>
        </w:rPr>
        <w:t> </w:t>
      </w:r>
      <w:r>
        <w:rPr>
          <w:color w:val="3B383B"/>
          <w:w w:val="115"/>
          <w:vertAlign w:val="baseline"/>
        </w:rPr>
        <w:t>The</w:t>
      </w:r>
      <w:r>
        <w:rPr>
          <w:color w:val="3B383B"/>
          <w:spacing w:val="11"/>
          <w:w w:val="115"/>
          <w:vertAlign w:val="baseline"/>
        </w:rPr>
        <w:t> </w:t>
      </w:r>
      <w:r>
        <w:rPr>
          <w:color w:val="3B383B"/>
          <w:w w:val="115"/>
          <w:vertAlign w:val="baseline"/>
        </w:rPr>
        <w:t>statute's</w:t>
      </w:r>
      <w:r>
        <w:rPr>
          <w:color w:val="3B383B"/>
          <w:spacing w:val="7"/>
          <w:w w:val="115"/>
          <w:vertAlign w:val="baseline"/>
        </w:rPr>
        <w:t> </w:t>
      </w:r>
      <w:r>
        <w:rPr>
          <w:color w:val="3B383B"/>
          <w:w w:val="115"/>
          <w:vertAlign w:val="baseline"/>
        </w:rPr>
        <w:t>language</w:t>
      </w:r>
    </w:p>
    <w:p>
      <w:pPr>
        <w:pStyle w:val="BodyText"/>
        <w:spacing w:line="235" w:lineRule="auto"/>
        <w:ind w:left="126" w:right="822" w:hanging="6"/>
        <w:jc w:val="both"/>
      </w:pPr>
      <w:r>
        <w:rPr>
          <w:color w:val="3B383B"/>
          <w:w w:val="110"/>
        </w:rPr>
        <w:t>...</w:t>
      </w:r>
      <w:r>
        <w:rPr>
          <w:color w:val="575759"/>
          <w:w w:val="110"/>
        </w:rPr>
        <w:t>.</w:t>
      </w:r>
      <w:r>
        <w:rPr>
          <w:color w:val="3B383B"/>
          <w:w w:val="110"/>
        </w:rPr>
        <w:t>"You increase your credibility when you accord appropriate respect to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5"/>
        </w:rPr>
        <w:t>your</w:t>
      </w:r>
      <w:r>
        <w:rPr>
          <w:color w:val="3B383B"/>
          <w:spacing w:val="-28"/>
          <w:w w:val="115"/>
        </w:rPr>
        <w:t> </w:t>
      </w:r>
      <w:r>
        <w:rPr>
          <w:color w:val="3B383B"/>
          <w:w w:val="115"/>
        </w:rPr>
        <w:t>opponents</w:t>
      </w:r>
      <w:r>
        <w:rPr>
          <w:color w:val="3B383B"/>
          <w:spacing w:val="-13"/>
          <w:w w:val="115"/>
        </w:rPr>
        <w:t> </w:t>
      </w:r>
      <w:r>
        <w:rPr>
          <w:color w:val="3B383B"/>
          <w:w w:val="115"/>
        </w:rPr>
        <w:t>and</w:t>
      </w:r>
      <w:r>
        <w:rPr>
          <w:color w:val="3B383B"/>
          <w:spacing w:val="16"/>
          <w:w w:val="115"/>
        </w:rPr>
        <w:t> </w:t>
      </w:r>
      <w:r>
        <w:rPr>
          <w:color w:val="3B383B"/>
          <w:w w:val="115"/>
        </w:rPr>
        <w:t>the</w:t>
      </w:r>
      <w:r>
        <w:rPr>
          <w:color w:val="3B383B"/>
          <w:spacing w:val="31"/>
          <w:w w:val="115"/>
        </w:rPr>
        <w:t> </w:t>
      </w:r>
      <w:r>
        <w:rPr>
          <w:color w:val="3B383B"/>
          <w:w w:val="115"/>
        </w:rPr>
        <w:t>judiciary.</w:t>
      </w:r>
    </w:p>
    <w:p>
      <w:pPr>
        <w:pStyle w:val="BodyText"/>
        <w:rPr>
          <w:sz w:val="26"/>
        </w:rPr>
      </w:pPr>
    </w:p>
    <w:p>
      <w:pPr>
        <w:spacing w:before="228"/>
        <w:ind w:left="710" w:right="0" w:firstLine="0"/>
        <w:jc w:val="left"/>
        <w:rPr>
          <w:rFonts w:ascii="Arial"/>
          <w:b/>
          <w:sz w:val="33"/>
        </w:rPr>
      </w:pPr>
      <w:r>
        <w:rPr>
          <w:rFonts w:ascii="Arial"/>
          <w:b/>
          <w:color w:val="3B383B"/>
          <w:w w:val="105"/>
          <w:sz w:val="33"/>
        </w:rPr>
        <w:t>5</w:t>
      </w:r>
      <w:r>
        <w:rPr>
          <w:rFonts w:ascii="Arial"/>
          <w:b/>
          <w:color w:val="575759"/>
          <w:w w:val="105"/>
          <w:sz w:val="33"/>
        </w:rPr>
        <w:t>.4</w:t>
      </w:r>
    </w:p>
    <w:p>
      <w:pPr>
        <w:spacing w:before="45"/>
        <w:ind w:left="720" w:right="0" w:firstLine="0"/>
        <w:jc w:val="left"/>
        <w:rPr>
          <w:b/>
          <w:sz w:val="28"/>
        </w:rPr>
      </w:pPr>
      <w:r>
        <w:rPr>
          <w:b/>
          <w:color w:val="3B383B"/>
          <w:sz w:val="28"/>
        </w:rPr>
        <w:t>S</w:t>
      </w:r>
      <w:r>
        <w:rPr>
          <w:b/>
          <w:color w:val="67676B"/>
          <w:sz w:val="28"/>
        </w:rPr>
        <w:t>UMMARY</w:t>
      </w:r>
    </w:p>
    <w:p>
      <w:pPr>
        <w:pStyle w:val="BodyText"/>
        <w:spacing w:line="235" w:lineRule="auto" w:before="249"/>
        <w:ind w:left="126" w:right="737" w:firstLine="585"/>
        <w:jc w:val="both"/>
      </w:pPr>
      <w:r>
        <w:rPr>
          <w:color w:val="3B383B"/>
          <w:w w:val="110"/>
        </w:rPr>
        <w:t>By using the CREXAC formula to analyze every controversial ele­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ment in your argument, you give 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court the information it needs to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understand 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validity of each element of your argument. An important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part of your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job as an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advocate is to identify which issues need a full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05"/>
        </w:rPr>
        <w:t>CREXAC analysis and which issues should be addressed more succinctly or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10"/>
        </w:rPr>
        <w:t>summarily</w:t>
      </w:r>
      <w:r>
        <w:rPr>
          <w:color w:val="231F1F"/>
          <w:w w:val="110"/>
        </w:rPr>
        <w:t>. </w:t>
      </w:r>
      <w:r>
        <w:rPr>
          <w:color w:val="3B383B"/>
          <w:w w:val="110"/>
        </w:rPr>
        <w:t>Furthermore, you must be sure </w:t>
      </w:r>
      <w:r>
        <w:rPr>
          <w:color w:val="3B383B"/>
          <w:w w:val="120"/>
        </w:rPr>
        <w:t>that, </w:t>
      </w:r>
      <w:r>
        <w:rPr>
          <w:color w:val="3B383B"/>
          <w:w w:val="110"/>
        </w:rPr>
        <w:t>whenever possible, your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argument addresses your opponent's best points. Your goal is to write a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brief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that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20"/>
        </w:rPr>
        <w:t>addresses-in</w:t>
      </w:r>
      <w:r>
        <w:rPr>
          <w:color w:val="3B383B"/>
          <w:spacing w:val="1"/>
          <w:w w:val="120"/>
        </w:rPr>
        <w:t> </w:t>
      </w:r>
      <w:r>
        <w:rPr>
          <w:color w:val="3B383B"/>
          <w:w w:val="110"/>
        </w:rPr>
        <w:t>appropriate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20"/>
        </w:rPr>
        <w:t>depth-both</w:t>
      </w:r>
      <w:r>
        <w:rPr>
          <w:color w:val="3B383B"/>
          <w:spacing w:val="1"/>
          <w:w w:val="120"/>
        </w:rPr>
        <w:t> </w:t>
      </w:r>
      <w:r>
        <w:rPr>
          <w:color w:val="3B383B"/>
          <w:w w:val="110"/>
        </w:rPr>
        <w:t>the strengths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of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your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arguments and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weaknesses of your opponent's arguments. The more</w:t>
      </w:r>
      <w:r>
        <w:rPr>
          <w:color w:val="3B383B"/>
          <w:spacing w:val="1"/>
          <w:w w:val="110"/>
        </w:rPr>
        <w:t> </w:t>
      </w:r>
      <w:r>
        <w:rPr>
          <w:color w:val="3B383B"/>
          <w:spacing w:val="-1"/>
          <w:w w:val="110"/>
        </w:rPr>
        <w:t>effectively you </w:t>
      </w:r>
      <w:r>
        <w:rPr>
          <w:color w:val="3B383B"/>
          <w:w w:val="110"/>
        </w:rPr>
        <w:t>do so, the more you increase the chances that the court will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understand</w:t>
      </w:r>
      <w:r>
        <w:rPr>
          <w:color w:val="3B383B"/>
          <w:spacing w:val="20"/>
          <w:w w:val="110"/>
        </w:rPr>
        <w:t> </w:t>
      </w:r>
      <w:r>
        <w:rPr>
          <w:color w:val="3B383B"/>
          <w:w w:val="110"/>
        </w:rPr>
        <w:t>why</w:t>
      </w:r>
      <w:r>
        <w:rPr>
          <w:color w:val="3B383B"/>
          <w:spacing w:val="22"/>
          <w:w w:val="110"/>
        </w:rPr>
        <w:t> </w:t>
      </w:r>
      <w:r>
        <w:rPr>
          <w:color w:val="3B383B"/>
          <w:w w:val="110"/>
        </w:rPr>
        <w:t>the</w:t>
      </w:r>
      <w:r>
        <w:rPr>
          <w:color w:val="3B383B"/>
          <w:spacing w:val="47"/>
          <w:w w:val="110"/>
        </w:rPr>
        <w:t> </w:t>
      </w:r>
      <w:r>
        <w:rPr>
          <w:color w:val="3B383B"/>
          <w:w w:val="110"/>
        </w:rPr>
        <w:t>law</w:t>
      </w:r>
      <w:r>
        <w:rPr>
          <w:color w:val="3B383B"/>
          <w:spacing w:val="4"/>
          <w:w w:val="110"/>
        </w:rPr>
        <w:t> </w:t>
      </w:r>
      <w:r>
        <w:rPr>
          <w:color w:val="3B383B"/>
          <w:w w:val="110"/>
        </w:rPr>
        <w:t>demands</w:t>
      </w:r>
      <w:r>
        <w:rPr>
          <w:color w:val="3B383B"/>
          <w:spacing w:val="7"/>
          <w:w w:val="110"/>
        </w:rPr>
        <w:t> </w:t>
      </w:r>
      <w:r>
        <w:rPr>
          <w:color w:val="3B383B"/>
          <w:w w:val="110"/>
        </w:rPr>
        <w:t>the</w:t>
      </w:r>
      <w:r>
        <w:rPr>
          <w:color w:val="3B383B"/>
          <w:spacing w:val="17"/>
          <w:w w:val="110"/>
        </w:rPr>
        <w:t> </w:t>
      </w:r>
      <w:r>
        <w:rPr>
          <w:color w:val="3B383B"/>
          <w:w w:val="110"/>
        </w:rPr>
        <w:t>result</w:t>
      </w:r>
      <w:r>
        <w:rPr>
          <w:color w:val="3B383B"/>
          <w:spacing w:val="5"/>
          <w:w w:val="110"/>
        </w:rPr>
        <w:t> </w:t>
      </w:r>
      <w:r>
        <w:rPr>
          <w:color w:val="3B383B"/>
          <w:w w:val="120"/>
        </w:rPr>
        <w:t>that</w:t>
      </w:r>
      <w:r>
        <w:rPr>
          <w:color w:val="3B383B"/>
          <w:spacing w:val="-11"/>
          <w:w w:val="120"/>
        </w:rPr>
        <w:t> </w:t>
      </w:r>
      <w:r>
        <w:rPr>
          <w:color w:val="3B383B"/>
          <w:w w:val="110"/>
        </w:rPr>
        <w:t>youseek.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spacing w:line="185" w:lineRule="exact" w:before="0"/>
        <w:ind w:left="500" w:right="0" w:firstLine="0"/>
        <w:jc w:val="left"/>
        <w:rPr>
          <w:sz w:val="17"/>
        </w:rPr>
      </w:pPr>
      <w:r>
        <w:rPr>
          <w:color w:val="3B383B"/>
          <w:w w:val="110"/>
          <w:position w:val="5"/>
          <w:sz w:val="11"/>
        </w:rPr>
        <w:t>18</w:t>
      </w:r>
      <w:r>
        <w:rPr>
          <w:rFonts w:ascii="Arial"/>
          <w:i/>
          <w:color w:val="3B383B"/>
          <w:w w:val="110"/>
          <w:sz w:val="16"/>
        </w:rPr>
        <w:t>Id</w:t>
      </w:r>
      <w:r>
        <w:rPr>
          <w:rFonts w:ascii="Arial"/>
          <w:i/>
          <w:color w:val="575759"/>
          <w:w w:val="110"/>
          <w:sz w:val="16"/>
        </w:rPr>
        <w:t>.</w:t>
      </w:r>
      <w:r>
        <w:rPr>
          <w:rFonts w:ascii="Arial"/>
          <w:i/>
          <w:color w:val="575759"/>
          <w:spacing w:val="-6"/>
          <w:w w:val="110"/>
          <w:sz w:val="16"/>
        </w:rPr>
        <w:t> </w:t>
      </w:r>
      <w:r>
        <w:rPr>
          <w:color w:val="3B383B"/>
          <w:w w:val="110"/>
          <w:sz w:val="17"/>
        </w:rPr>
        <w:t>at</w:t>
      </w:r>
      <w:r>
        <w:rPr>
          <w:color w:val="3B383B"/>
          <w:spacing w:val="31"/>
          <w:w w:val="110"/>
          <w:sz w:val="17"/>
        </w:rPr>
        <w:t> </w:t>
      </w:r>
      <w:r>
        <w:rPr>
          <w:color w:val="3B383B"/>
          <w:w w:val="110"/>
          <w:sz w:val="17"/>
        </w:rPr>
        <w:t>397.</w:t>
      </w:r>
    </w:p>
    <w:p>
      <w:pPr>
        <w:spacing w:line="196" w:lineRule="exact" w:before="0"/>
        <w:ind w:left="498" w:right="0" w:firstLine="0"/>
        <w:jc w:val="left"/>
        <w:rPr>
          <w:sz w:val="17"/>
        </w:rPr>
      </w:pPr>
      <w:r>
        <w:rPr>
          <w:rFonts w:ascii="Arial"/>
          <w:i/>
          <w:color w:val="3B383B"/>
          <w:w w:val="115"/>
          <w:position w:val="4"/>
          <w:sz w:val="10"/>
        </w:rPr>
        <w:t>1</w:t>
      </w:r>
      <w:r>
        <w:rPr>
          <w:rFonts w:ascii="Arial"/>
          <w:i/>
          <w:color w:val="575759"/>
          <w:w w:val="115"/>
          <w:position w:val="4"/>
          <w:sz w:val="10"/>
        </w:rPr>
        <w:t>9</w:t>
      </w:r>
      <w:r>
        <w:rPr>
          <w:i/>
          <w:color w:val="3B383B"/>
          <w:w w:val="115"/>
          <w:sz w:val="17"/>
        </w:rPr>
        <w:t>/d.</w:t>
      </w:r>
      <w:r>
        <w:rPr>
          <w:i/>
          <w:color w:val="3B383B"/>
          <w:spacing w:val="-3"/>
          <w:w w:val="115"/>
          <w:sz w:val="17"/>
        </w:rPr>
        <w:t> </w:t>
      </w:r>
      <w:r>
        <w:rPr>
          <w:color w:val="3B383B"/>
          <w:w w:val="115"/>
          <w:sz w:val="17"/>
        </w:rPr>
        <w:t>at</w:t>
      </w:r>
      <w:r>
        <w:rPr>
          <w:color w:val="3B383B"/>
          <w:spacing w:val="20"/>
          <w:w w:val="115"/>
          <w:sz w:val="17"/>
        </w:rPr>
        <w:t> </w:t>
      </w:r>
      <w:r>
        <w:rPr>
          <w:color w:val="3B383B"/>
          <w:w w:val="115"/>
          <w:sz w:val="18"/>
        </w:rPr>
        <w:t>410</w:t>
      </w:r>
      <w:r>
        <w:rPr>
          <w:color w:val="3B383B"/>
          <w:spacing w:val="-20"/>
          <w:w w:val="115"/>
          <w:sz w:val="18"/>
        </w:rPr>
        <w:t> </w:t>
      </w:r>
      <w:r>
        <w:rPr>
          <w:color w:val="3B383B"/>
          <w:w w:val="115"/>
          <w:sz w:val="17"/>
        </w:rPr>
        <w:t>(citing</w:t>
      </w:r>
      <w:r>
        <w:rPr>
          <w:color w:val="3B383B"/>
          <w:spacing w:val="-23"/>
          <w:w w:val="115"/>
          <w:sz w:val="17"/>
        </w:rPr>
        <w:t> </w:t>
      </w:r>
      <w:r>
        <w:rPr>
          <w:color w:val="3B383B"/>
          <w:w w:val="115"/>
          <w:sz w:val="17"/>
        </w:rPr>
        <w:t>Stratman, at</w:t>
      </w:r>
      <w:r>
        <w:rPr>
          <w:color w:val="3B383B"/>
          <w:spacing w:val="18"/>
          <w:w w:val="115"/>
          <w:sz w:val="17"/>
        </w:rPr>
        <w:t> </w:t>
      </w:r>
      <w:r>
        <w:rPr>
          <w:color w:val="3B383B"/>
          <w:w w:val="115"/>
          <w:sz w:val="17"/>
        </w:rPr>
        <w:t>44).</w:t>
      </w:r>
    </w:p>
    <w:p>
      <w:pPr>
        <w:spacing w:after="0" w:line="196" w:lineRule="exact"/>
        <w:jc w:val="left"/>
        <w:rPr>
          <w:sz w:val="17"/>
        </w:rPr>
        <w:sectPr>
          <w:headerReference w:type="default" r:id="rId140"/>
          <w:pgSz w:w="9610" w:h="13710"/>
          <w:pgMar w:header="0" w:footer="0" w:top="380" w:bottom="280" w:left="460" w:right="6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headerReference w:type="even" r:id="rId141"/>
          <w:headerReference w:type="default" r:id="rId142"/>
          <w:pgSz w:w="9610" w:h="13770"/>
          <w:pgMar w:header="396" w:footer="0" w:top="760" w:bottom="280" w:left="440" w:right="1240"/>
        </w:sectPr>
      </w:pPr>
    </w:p>
    <w:p>
      <w:pPr>
        <w:spacing w:before="96"/>
        <w:ind w:left="140" w:right="0" w:firstLine="0"/>
        <w:jc w:val="left"/>
        <w:rPr>
          <w:rFonts w:ascii="Arial"/>
          <w:b/>
          <w:sz w:val="15"/>
        </w:rPr>
      </w:pPr>
      <w:r>
        <w:rPr/>
        <w:pict>
          <v:shape style="position:absolute;margin-left:29.740841pt;margin-top:2.765445pt;width:9.2pt;height:32.25pt;mso-position-horizontal-relative:page;mso-position-vertical-relative:paragraph;z-index:-21601792" type="#_x0000_t202" id="docshape222" filled="false" stroked="false">
            <v:textbox inset="0,0,0,0">
              <w:txbxContent>
                <w:p>
                  <w:pPr>
                    <w:spacing w:line="644" w:lineRule="exact" w:before="0"/>
                    <w:ind w:left="0" w:right="0" w:firstLine="0"/>
                    <w:jc w:val="left"/>
                    <w:rPr>
                      <w:sz w:val="58"/>
                    </w:rPr>
                  </w:pPr>
                  <w:r>
                    <w:rPr>
                      <w:color w:val="3B383A"/>
                      <w:w w:val="60"/>
                      <w:sz w:val="58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color w:val="3B383A"/>
          <w:spacing w:val="-12"/>
          <w:w w:val="85"/>
          <w:position w:val="-13"/>
          <w:sz w:val="25"/>
        </w:rPr>
        <w:t>;</w:t>
      </w:r>
      <w:r>
        <w:rPr>
          <w:rFonts w:ascii="Arial"/>
          <w:b/>
          <w:color w:val="3B383A"/>
          <w:spacing w:val="-12"/>
          <w:w w:val="85"/>
          <w:sz w:val="15"/>
        </w:rPr>
        <w:t>l</w:t>
      </w:r>
      <w:r>
        <w:rPr>
          <w:color w:val="3B383A"/>
          <w:spacing w:val="-12"/>
          <w:w w:val="85"/>
          <w:position w:val="-13"/>
          <w:sz w:val="25"/>
        </w:rPr>
        <w:t>;</w:t>
      </w:r>
      <w:r>
        <w:rPr>
          <w:rFonts w:ascii="Arial"/>
          <w:b/>
          <w:color w:val="3B383A"/>
          <w:spacing w:val="-12"/>
          <w:w w:val="85"/>
          <w:sz w:val="15"/>
        </w:rPr>
        <w:t>lC</w:t>
      </w:r>
    </w:p>
    <w:p>
      <w:pPr>
        <w:spacing w:line="575" w:lineRule="exact" w:before="18"/>
        <w:ind w:left="152" w:right="0" w:firstLine="0"/>
        <w:jc w:val="left"/>
        <w:rPr>
          <w:sz w:val="42"/>
        </w:rPr>
      </w:pPr>
      <w:r>
        <w:rPr>
          <w:color w:val="3B383A"/>
          <w:spacing w:val="-21"/>
          <w:w w:val="80"/>
          <w:position w:val="10"/>
          <w:sz w:val="48"/>
        </w:rPr>
        <w:t>i</w:t>
      </w:r>
      <w:r>
        <w:rPr>
          <w:color w:val="3B383A"/>
          <w:spacing w:val="-21"/>
          <w:w w:val="80"/>
          <w:sz w:val="42"/>
        </w:rPr>
        <w:t>.,</w:t>
      </w:r>
    </w:p>
    <w:p>
      <w:pPr>
        <w:pStyle w:val="Heading2"/>
      </w:pPr>
      <w:r>
        <w:rPr>
          <w:color w:val="3B383A"/>
          <w:w w:val="72"/>
        </w:rPr>
        <w:t>o</w:t>
      </w:r>
    </w:p>
    <w:p>
      <w:pPr>
        <w:spacing w:line="240" w:lineRule="auto" w:before="7"/>
        <w:rPr>
          <w:rFonts w:ascii="Arial"/>
          <w:sz w:val="42"/>
        </w:rPr>
      </w:pPr>
      <w:r>
        <w:rPr/>
        <w:br w:type="column"/>
      </w:r>
      <w:r>
        <w:rPr>
          <w:rFonts w:ascii="Arial"/>
          <w:sz w:val="42"/>
        </w:rPr>
      </w:r>
    </w:p>
    <w:p>
      <w:pPr>
        <w:spacing w:line="242" w:lineRule="auto" w:before="0"/>
        <w:ind w:left="140" w:right="293" w:firstLine="18"/>
        <w:jc w:val="left"/>
        <w:rPr>
          <w:rFonts w:ascii="Arial"/>
          <w:sz w:val="39"/>
        </w:rPr>
      </w:pPr>
      <w:r>
        <w:rPr>
          <w:color w:val="939599"/>
          <w:sz w:val="44"/>
        </w:rPr>
        <w:t>PRACTICE</w:t>
      </w:r>
      <w:r>
        <w:rPr>
          <w:color w:val="939599"/>
          <w:spacing w:val="1"/>
          <w:sz w:val="44"/>
        </w:rPr>
        <w:t> </w:t>
      </w:r>
      <w:r>
        <w:rPr>
          <w:color w:val="939599"/>
          <w:sz w:val="44"/>
        </w:rPr>
        <w:t>PO NTERS</w:t>
      </w:r>
      <w:r>
        <w:rPr>
          <w:color w:val="757779"/>
          <w:sz w:val="44"/>
        </w:rPr>
        <w:t>: </w:t>
      </w:r>
      <w:r>
        <w:rPr>
          <w:color w:val="939599"/>
          <w:sz w:val="44"/>
        </w:rPr>
        <w:t>USING</w:t>
      </w:r>
      <w:r>
        <w:rPr>
          <w:color w:val="939599"/>
          <w:spacing w:val="1"/>
          <w:sz w:val="44"/>
        </w:rPr>
        <w:t> </w:t>
      </w:r>
      <w:r>
        <w:rPr>
          <w:color w:val="939599"/>
          <w:sz w:val="44"/>
        </w:rPr>
        <w:t>CASE</w:t>
      </w:r>
      <w:r>
        <w:rPr>
          <w:color w:val="939599"/>
          <w:spacing w:val="69"/>
          <w:sz w:val="44"/>
        </w:rPr>
        <w:t> </w:t>
      </w:r>
      <w:r>
        <w:rPr>
          <w:rFonts w:ascii="Arial"/>
          <w:color w:val="939599"/>
          <w:sz w:val="39"/>
        </w:rPr>
        <w:t>AUTHORITY</w:t>
      </w:r>
      <w:r>
        <w:rPr>
          <w:rFonts w:ascii="Arial"/>
          <w:color w:val="939599"/>
          <w:spacing w:val="10"/>
          <w:sz w:val="39"/>
        </w:rPr>
        <w:t> </w:t>
      </w:r>
      <w:r>
        <w:rPr>
          <w:rFonts w:ascii="Arial"/>
          <w:color w:val="939599"/>
          <w:sz w:val="39"/>
        </w:rPr>
        <w:t>EFFECTIVELY</w:t>
      </w:r>
    </w:p>
    <w:p>
      <w:pPr>
        <w:pStyle w:val="BodyText"/>
        <w:spacing w:before="9"/>
        <w:rPr>
          <w:rFonts w:ascii="Arial"/>
          <w:sz w:val="57"/>
        </w:rPr>
      </w:pPr>
    </w:p>
    <w:p>
      <w:pPr>
        <w:pStyle w:val="ListParagraph"/>
        <w:numPr>
          <w:ilvl w:val="1"/>
          <w:numId w:val="50"/>
        </w:numPr>
        <w:tabs>
          <w:tab w:pos="664" w:val="left" w:leader="none"/>
          <w:tab w:pos="665" w:val="left" w:leader="none"/>
        </w:tabs>
        <w:spacing w:line="227" w:lineRule="exact" w:before="0" w:after="0"/>
        <w:ind w:left="664" w:right="0" w:hanging="508"/>
        <w:jc w:val="left"/>
        <w:rPr>
          <w:rFonts w:ascii="Arial"/>
          <w:b/>
          <w:color w:val="3B383A"/>
          <w:sz w:val="20"/>
        </w:rPr>
      </w:pPr>
      <w:r>
        <w:rPr>
          <w:color w:val="3B383A"/>
          <w:spacing w:val="-1"/>
          <w:w w:val="115"/>
          <w:sz w:val="20"/>
        </w:rPr>
        <w:t>Providing</w:t>
      </w:r>
      <w:r>
        <w:rPr>
          <w:color w:val="3B383A"/>
          <w:spacing w:val="-7"/>
          <w:w w:val="115"/>
          <w:sz w:val="20"/>
        </w:rPr>
        <w:t> </w:t>
      </w:r>
      <w:r>
        <w:rPr>
          <w:color w:val="3B383A"/>
          <w:w w:val="115"/>
          <w:sz w:val="20"/>
        </w:rPr>
        <w:t>Appropriate</w:t>
      </w:r>
      <w:r>
        <w:rPr>
          <w:color w:val="3B383A"/>
          <w:spacing w:val="-1"/>
          <w:w w:val="115"/>
          <w:sz w:val="20"/>
        </w:rPr>
        <w:t> </w:t>
      </w:r>
      <w:r>
        <w:rPr>
          <w:color w:val="3B383A"/>
          <w:w w:val="115"/>
          <w:sz w:val="20"/>
        </w:rPr>
        <w:t>D</w:t>
      </w:r>
      <w:r>
        <w:rPr>
          <w:color w:val="545254"/>
          <w:w w:val="115"/>
          <w:sz w:val="20"/>
        </w:rPr>
        <w:t>e</w:t>
      </w:r>
      <w:r>
        <w:rPr>
          <w:color w:val="3B383A"/>
          <w:w w:val="115"/>
          <w:sz w:val="20"/>
        </w:rPr>
        <w:t>tail</w:t>
      </w:r>
      <w:r>
        <w:rPr>
          <w:color w:val="3B383A"/>
          <w:spacing w:val="7"/>
          <w:w w:val="115"/>
          <w:sz w:val="20"/>
        </w:rPr>
        <w:t> </w:t>
      </w:r>
      <w:r>
        <w:rPr>
          <w:color w:val="3B383A"/>
          <w:w w:val="115"/>
          <w:sz w:val="20"/>
        </w:rPr>
        <w:t>in</w:t>
      </w:r>
      <w:r>
        <w:rPr>
          <w:color w:val="3B383A"/>
          <w:spacing w:val="8"/>
          <w:w w:val="115"/>
          <w:sz w:val="20"/>
        </w:rPr>
        <w:t> </w:t>
      </w:r>
      <w:r>
        <w:rPr>
          <w:color w:val="3B383A"/>
          <w:w w:val="115"/>
          <w:sz w:val="20"/>
        </w:rPr>
        <w:t>Case</w:t>
      </w:r>
      <w:r>
        <w:rPr>
          <w:color w:val="3B383A"/>
          <w:spacing w:val="-13"/>
          <w:w w:val="115"/>
          <w:sz w:val="20"/>
        </w:rPr>
        <w:t> </w:t>
      </w:r>
      <w:r>
        <w:rPr>
          <w:color w:val="3B383A"/>
          <w:w w:val="115"/>
          <w:sz w:val="20"/>
        </w:rPr>
        <w:t>Descriptions</w:t>
      </w:r>
    </w:p>
    <w:p>
      <w:pPr>
        <w:pStyle w:val="ListParagraph"/>
        <w:numPr>
          <w:ilvl w:val="2"/>
          <w:numId w:val="50"/>
        </w:numPr>
        <w:tabs>
          <w:tab w:pos="1358" w:val="left" w:leader="none"/>
          <w:tab w:pos="1359" w:val="left" w:leader="none"/>
        </w:tabs>
        <w:spacing w:line="249" w:lineRule="exact" w:before="0" w:after="0"/>
        <w:ind w:left="1358" w:right="0" w:hanging="710"/>
        <w:jc w:val="left"/>
        <w:rPr>
          <w:b/>
          <w:color w:val="3B383A"/>
          <w:sz w:val="22"/>
        </w:rPr>
      </w:pPr>
      <w:r>
        <w:rPr>
          <w:color w:val="3B383A"/>
          <w:w w:val="105"/>
          <w:sz w:val="20"/>
        </w:rPr>
        <w:t>Making Case</w:t>
      </w:r>
      <w:r>
        <w:rPr>
          <w:color w:val="3B383A"/>
          <w:spacing w:val="5"/>
          <w:w w:val="105"/>
          <w:sz w:val="20"/>
        </w:rPr>
        <w:t> </w:t>
      </w:r>
      <w:r>
        <w:rPr>
          <w:color w:val="3B383A"/>
          <w:w w:val="105"/>
          <w:sz w:val="20"/>
        </w:rPr>
        <w:t>Descriptions</w:t>
      </w:r>
      <w:r>
        <w:rPr>
          <w:color w:val="3B383A"/>
          <w:spacing w:val="9"/>
          <w:w w:val="105"/>
          <w:sz w:val="20"/>
        </w:rPr>
        <w:t> </w:t>
      </w:r>
      <w:r>
        <w:rPr>
          <w:color w:val="3B383A"/>
          <w:w w:val="105"/>
          <w:sz w:val="20"/>
        </w:rPr>
        <w:t>as</w:t>
      </w:r>
      <w:r>
        <w:rPr>
          <w:color w:val="3B383A"/>
          <w:spacing w:val="5"/>
          <w:w w:val="105"/>
          <w:sz w:val="20"/>
        </w:rPr>
        <w:t> </w:t>
      </w:r>
      <w:r>
        <w:rPr>
          <w:color w:val="3B383A"/>
          <w:w w:val="105"/>
          <w:sz w:val="20"/>
        </w:rPr>
        <w:t>Succinct</w:t>
      </w:r>
      <w:r>
        <w:rPr>
          <w:color w:val="3B383A"/>
          <w:spacing w:val="19"/>
          <w:w w:val="105"/>
          <w:sz w:val="20"/>
        </w:rPr>
        <w:t> </w:t>
      </w:r>
      <w:r>
        <w:rPr>
          <w:color w:val="3B383A"/>
          <w:w w:val="105"/>
          <w:sz w:val="20"/>
        </w:rPr>
        <w:t>as</w:t>
      </w:r>
      <w:r>
        <w:rPr>
          <w:color w:val="3B383A"/>
          <w:spacing w:val="15"/>
          <w:w w:val="105"/>
          <w:sz w:val="20"/>
        </w:rPr>
        <w:t> </w:t>
      </w:r>
      <w:r>
        <w:rPr>
          <w:color w:val="3B383A"/>
          <w:w w:val="105"/>
          <w:sz w:val="20"/>
        </w:rPr>
        <w:t>Possible</w:t>
      </w:r>
    </w:p>
    <w:p>
      <w:pPr>
        <w:pStyle w:val="ListParagraph"/>
        <w:numPr>
          <w:ilvl w:val="3"/>
          <w:numId w:val="50"/>
        </w:numPr>
        <w:tabs>
          <w:tab w:pos="1696" w:val="left" w:leader="none"/>
        </w:tabs>
        <w:spacing w:line="240" w:lineRule="auto" w:before="7" w:after="0"/>
        <w:ind w:left="1695" w:right="0" w:hanging="355"/>
        <w:jc w:val="left"/>
        <w:rPr>
          <w:b/>
          <w:color w:val="3B383A"/>
          <w:sz w:val="22"/>
        </w:rPr>
      </w:pPr>
      <w:r>
        <w:rPr>
          <w:color w:val="3B383A"/>
          <w:w w:val="105"/>
          <w:sz w:val="20"/>
        </w:rPr>
        <w:t>Focus</w:t>
      </w:r>
    </w:p>
    <w:p>
      <w:pPr>
        <w:pStyle w:val="ListParagraph"/>
        <w:numPr>
          <w:ilvl w:val="3"/>
          <w:numId w:val="50"/>
        </w:numPr>
        <w:tabs>
          <w:tab w:pos="1698" w:val="left" w:leader="none"/>
        </w:tabs>
        <w:spacing w:line="247" w:lineRule="exact" w:before="7" w:after="0"/>
        <w:ind w:left="1697" w:right="0" w:hanging="342"/>
        <w:jc w:val="left"/>
        <w:rPr>
          <w:b/>
          <w:color w:val="2A2628"/>
          <w:sz w:val="22"/>
        </w:rPr>
      </w:pPr>
      <w:r>
        <w:rPr>
          <w:color w:val="3B383A"/>
          <w:w w:val="105"/>
          <w:sz w:val="20"/>
        </w:rPr>
        <w:t>Using</w:t>
      </w:r>
      <w:r>
        <w:rPr>
          <w:color w:val="3B383A"/>
          <w:spacing w:val="-4"/>
          <w:w w:val="105"/>
          <w:sz w:val="20"/>
        </w:rPr>
        <w:t> </w:t>
      </w:r>
      <w:r>
        <w:rPr>
          <w:color w:val="3B383A"/>
          <w:w w:val="105"/>
          <w:sz w:val="20"/>
        </w:rPr>
        <w:t>Language</w:t>
      </w:r>
      <w:r>
        <w:rPr>
          <w:color w:val="3B383A"/>
          <w:spacing w:val="11"/>
          <w:w w:val="105"/>
          <w:sz w:val="20"/>
        </w:rPr>
        <w:t> </w:t>
      </w:r>
      <w:r>
        <w:rPr>
          <w:color w:val="3B383A"/>
          <w:w w:val="105"/>
          <w:sz w:val="20"/>
        </w:rPr>
        <w:t>Effectively</w:t>
      </w:r>
    </w:p>
    <w:p>
      <w:pPr>
        <w:pStyle w:val="ListParagraph"/>
        <w:numPr>
          <w:ilvl w:val="3"/>
          <w:numId w:val="50"/>
        </w:numPr>
        <w:tabs>
          <w:tab w:pos="1697" w:val="left" w:leader="none"/>
        </w:tabs>
        <w:spacing w:line="258" w:lineRule="exact" w:before="0" w:after="0"/>
        <w:ind w:left="1696" w:right="0" w:hanging="345"/>
        <w:jc w:val="left"/>
        <w:rPr>
          <w:b/>
          <w:color w:val="3B383A"/>
          <w:sz w:val="23"/>
        </w:rPr>
      </w:pPr>
      <w:r>
        <w:rPr>
          <w:color w:val="3B383A"/>
          <w:w w:val="105"/>
          <w:sz w:val="20"/>
        </w:rPr>
        <w:t>Verb</w:t>
      </w:r>
      <w:r>
        <w:rPr>
          <w:color w:val="3B383A"/>
          <w:spacing w:val="-18"/>
          <w:w w:val="105"/>
          <w:sz w:val="20"/>
        </w:rPr>
        <w:t> </w:t>
      </w:r>
      <w:r>
        <w:rPr>
          <w:color w:val="3B383A"/>
          <w:w w:val="105"/>
          <w:sz w:val="20"/>
        </w:rPr>
        <w:t>Tense</w:t>
      </w:r>
      <w:r>
        <w:rPr>
          <w:color w:val="3B383A"/>
          <w:spacing w:val="12"/>
          <w:w w:val="105"/>
          <w:sz w:val="20"/>
        </w:rPr>
        <w:t> </w:t>
      </w:r>
      <w:r>
        <w:rPr>
          <w:color w:val="3B383A"/>
          <w:w w:val="105"/>
          <w:sz w:val="20"/>
        </w:rPr>
        <w:t>in</w:t>
      </w:r>
      <w:r>
        <w:rPr>
          <w:color w:val="3B383A"/>
          <w:spacing w:val="18"/>
          <w:w w:val="105"/>
          <w:sz w:val="20"/>
        </w:rPr>
        <w:t> </w:t>
      </w:r>
      <w:r>
        <w:rPr>
          <w:color w:val="3B383A"/>
          <w:w w:val="105"/>
          <w:sz w:val="20"/>
        </w:rPr>
        <w:t>Case</w:t>
      </w:r>
      <w:r>
        <w:rPr>
          <w:color w:val="3B383A"/>
          <w:spacing w:val="10"/>
          <w:w w:val="105"/>
          <w:sz w:val="20"/>
        </w:rPr>
        <w:t> </w:t>
      </w:r>
      <w:r>
        <w:rPr>
          <w:color w:val="3B383A"/>
          <w:w w:val="105"/>
          <w:sz w:val="20"/>
        </w:rPr>
        <w:t>Descriptions</w:t>
      </w:r>
    </w:p>
    <w:p>
      <w:pPr>
        <w:pStyle w:val="ListParagraph"/>
        <w:numPr>
          <w:ilvl w:val="2"/>
          <w:numId w:val="50"/>
        </w:numPr>
        <w:tabs>
          <w:tab w:pos="1358" w:val="left" w:leader="none"/>
          <w:tab w:pos="1359" w:val="left" w:leader="none"/>
        </w:tabs>
        <w:spacing w:line="240" w:lineRule="auto" w:before="4" w:after="0"/>
        <w:ind w:left="1358" w:right="0" w:hanging="700"/>
        <w:jc w:val="left"/>
        <w:rPr>
          <w:rFonts w:ascii="Arial"/>
          <w:b/>
          <w:color w:val="3B383A"/>
          <w:sz w:val="20"/>
        </w:rPr>
      </w:pPr>
      <w:r>
        <w:rPr>
          <w:color w:val="3B383A"/>
          <w:w w:val="105"/>
          <w:sz w:val="20"/>
        </w:rPr>
        <w:t>Writing</w:t>
      </w:r>
      <w:r>
        <w:rPr>
          <w:color w:val="3B383A"/>
          <w:spacing w:val="3"/>
          <w:w w:val="105"/>
          <w:sz w:val="20"/>
        </w:rPr>
        <w:t> </w:t>
      </w:r>
      <w:r>
        <w:rPr>
          <w:color w:val="3B383A"/>
          <w:w w:val="105"/>
          <w:sz w:val="20"/>
        </w:rPr>
        <w:t>and </w:t>
      </w:r>
      <w:r>
        <w:rPr>
          <w:color w:val="3B383A"/>
          <w:spacing w:val="17"/>
          <w:w w:val="105"/>
          <w:sz w:val="20"/>
        </w:rPr>
        <w:t> </w:t>
      </w:r>
      <w:r>
        <w:rPr>
          <w:color w:val="3B383A"/>
          <w:w w:val="105"/>
          <w:sz w:val="20"/>
        </w:rPr>
        <w:t>Using</w:t>
      </w:r>
      <w:r>
        <w:rPr>
          <w:color w:val="3B383A"/>
          <w:spacing w:val="10"/>
          <w:w w:val="105"/>
          <w:sz w:val="20"/>
        </w:rPr>
        <w:t> </w:t>
      </w:r>
      <w:r>
        <w:rPr>
          <w:color w:val="3B383A"/>
          <w:w w:val="105"/>
          <w:sz w:val="20"/>
        </w:rPr>
        <w:t>Effective</w:t>
      </w:r>
      <w:r>
        <w:rPr>
          <w:color w:val="3B383A"/>
          <w:spacing w:val="20"/>
          <w:w w:val="105"/>
          <w:sz w:val="20"/>
        </w:rPr>
        <w:t> </w:t>
      </w:r>
      <w:r>
        <w:rPr>
          <w:color w:val="3B383A"/>
          <w:w w:val="105"/>
          <w:sz w:val="20"/>
        </w:rPr>
        <w:t>Parenthetical</w:t>
      </w:r>
      <w:r>
        <w:rPr>
          <w:color w:val="3B383A"/>
          <w:spacing w:val="40"/>
          <w:w w:val="105"/>
          <w:sz w:val="20"/>
        </w:rPr>
        <w:t> </w:t>
      </w:r>
      <w:r>
        <w:rPr>
          <w:color w:val="3B383A"/>
          <w:w w:val="105"/>
          <w:sz w:val="20"/>
        </w:rPr>
        <w:t>Descriptions</w:t>
      </w:r>
    </w:p>
    <w:p>
      <w:pPr>
        <w:pStyle w:val="ListParagraph"/>
        <w:numPr>
          <w:ilvl w:val="2"/>
          <w:numId w:val="50"/>
        </w:numPr>
        <w:tabs>
          <w:tab w:pos="1359" w:val="left" w:leader="none"/>
          <w:tab w:pos="1360" w:val="left" w:leader="none"/>
        </w:tabs>
        <w:spacing w:line="240" w:lineRule="auto" w:before="9" w:after="0"/>
        <w:ind w:left="1359" w:right="0" w:hanging="701"/>
        <w:jc w:val="left"/>
        <w:rPr>
          <w:rFonts w:ascii="Arial"/>
          <w:b/>
          <w:color w:val="3B383A"/>
          <w:sz w:val="20"/>
        </w:rPr>
      </w:pPr>
      <w:r>
        <w:rPr>
          <w:color w:val="3B383A"/>
          <w:w w:val="105"/>
          <w:sz w:val="20"/>
        </w:rPr>
        <w:t>Accuracy</w:t>
      </w:r>
      <w:r>
        <w:rPr>
          <w:color w:val="3B383A"/>
          <w:spacing w:val="17"/>
          <w:w w:val="105"/>
          <w:sz w:val="20"/>
        </w:rPr>
        <w:t> </w:t>
      </w:r>
      <w:r>
        <w:rPr>
          <w:color w:val="3B383A"/>
          <w:w w:val="105"/>
          <w:sz w:val="20"/>
        </w:rPr>
        <w:t>in</w:t>
      </w:r>
      <w:r>
        <w:rPr>
          <w:color w:val="3B383A"/>
          <w:spacing w:val="31"/>
          <w:w w:val="105"/>
          <w:sz w:val="20"/>
        </w:rPr>
        <w:t> </w:t>
      </w:r>
      <w:r>
        <w:rPr>
          <w:color w:val="3B383A"/>
          <w:w w:val="105"/>
          <w:sz w:val="20"/>
        </w:rPr>
        <w:t>Case</w:t>
      </w:r>
      <w:r>
        <w:rPr>
          <w:color w:val="3B383A"/>
          <w:spacing w:val="3"/>
          <w:w w:val="105"/>
          <w:sz w:val="20"/>
        </w:rPr>
        <w:t> </w:t>
      </w:r>
      <w:r>
        <w:rPr>
          <w:color w:val="3B383A"/>
          <w:w w:val="105"/>
          <w:sz w:val="20"/>
        </w:rPr>
        <w:t>Descrip</w:t>
      </w:r>
      <w:r>
        <w:rPr>
          <w:color w:val="545254"/>
          <w:w w:val="105"/>
          <w:sz w:val="20"/>
        </w:rPr>
        <w:t>t</w:t>
      </w:r>
      <w:r>
        <w:rPr>
          <w:color w:val="3B383A"/>
          <w:w w:val="105"/>
          <w:sz w:val="20"/>
        </w:rPr>
        <w:t>ions</w:t>
      </w:r>
    </w:p>
    <w:p>
      <w:pPr>
        <w:pStyle w:val="ListParagraph"/>
        <w:numPr>
          <w:ilvl w:val="1"/>
          <w:numId w:val="50"/>
        </w:numPr>
        <w:tabs>
          <w:tab w:pos="676" w:val="left" w:leader="none"/>
        </w:tabs>
        <w:spacing w:line="240" w:lineRule="auto" w:before="1" w:after="0"/>
        <w:ind w:left="675" w:right="0" w:hanging="509"/>
        <w:jc w:val="left"/>
        <w:rPr>
          <w:rFonts w:ascii="Arial"/>
          <w:b/>
          <w:color w:val="3B383A"/>
          <w:sz w:val="21"/>
        </w:rPr>
      </w:pPr>
      <w:r>
        <w:rPr>
          <w:color w:val="3B383A"/>
          <w:spacing w:val="-1"/>
          <w:w w:val="115"/>
          <w:sz w:val="20"/>
        </w:rPr>
        <w:t>Using</w:t>
      </w:r>
      <w:r>
        <w:rPr>
          <w:color w:val="3B383A"/>
          <w:spacing w:val="-23"/>
          <w:w w:val="115"/>
          <w:sz w:val="20"/>
        </w:rPr>
        <w:t> </w:t>
      </w:r>
      <w:r>
        <w:rPr>
          <w:color w:val="3B383A"/>
          <w:spacing w:val="-1"/>
          <w:w w:val="115"/>
          <w:sz w:val="20"/>
        </w:rPr>
        <w:t>Quotations Effectively</w:t>
      </w:r>
      <w:r>
        <w:rPr>
          <w:color w:val="3B383A"/>
          <w:spacing w:val="1"/>
          <w:w w:val="115"/>
          <w:sz w:val="20"/>
        </w:rPr>
        <w:t> </w:t>
      </w:r>
      <w:r>
        <w:rPr>
          <w:color w:val="3B383A"/>
          <w:w w:val="115"/>
          <w:sz w:val="20"/>
        </w:rPr>
        <w:t>in</w:t>
      </w:r>
      <w:r>
        <w:rPr>
          <w:color w:val="3B383A"/>
          <w:spacing w:val="22"/>
          <w:w w:val="115"/>
          <w:sz w:val="20"/>
        </w:rPr>
        <w:t> </w:t>
      </w:r>
      <w:r>
        <w:rPr>
          <w:color w:val="3B383A"/>
          <w:w w:val="115"/>
          <w:sz w:val="20"/>
        </w:rPr>
        <w:t>Case</w:t>
      </w:r>
      <w:r>
        <w:rPr>
          <w:color w:val="3B383A"/>
          <w:spacing w:val="-4"/>
          <w:w w:val="115"/>
          <w:sz w:val="20"/>
        </w:rPr>
        <w:t> </w:t>
      </w:r>
      <w:r>
        <w:rPr>
          <w:color w:val="3B383A"/>
          <w:w w:val="115"/>
          <w:sz w:val="20"/>
        </w:rPr>
        <w:t>Descriptions</w:t>
      </w:r>
    </w:p>
    <w:p>
      <w:pPr>
        <w:pStyle w:val="ListParagraph"/>
        <w:numPr>
          <w:ilvl w:val="2"/>
          <w:numId w:val="50"/>
        </w:numPr>
        <w:tabs>
          <w:tab w:pos="1373" w:val="left" w:leader="none"/>
          <w:tab w:pos="1374" w:val="left" w:leader="none"/>
        </w:tabs>
        <w:spacing w:line="240" w:lineRule="auto" w:before="9" w:after="0"/>
        <w:ind w:left="1373" w:right="0" w:hanging="706"/>
        <w:jc w:val="left"/>
        <w:rPr>
          <w:rFonts w:ascii="Arial"/>
          <w:b/>
          <w:color w:val="3B383A"/>
          <w:sz w:val="20"/>
        </w:rPr>
      </w:pPr>
      <w:r>
        <w:rPr>
          <w:color w:val="3B383A"/>
          <w:w w:val="110"/>
          <w:sz w:val="20"/>
        </w:rPr>
        <w:t>Not</w:t>
      </w:r>
      <w:r>
        <w:rPr>
          <w:color w:val="3B383A"/>
          <w:spacing w:val="5"/>
          <w:w w:val="110"/>
          <w:sz w:val="20"/>
        </w:rPr>
        <w:t> </w:t>
      </w:r>
      <w:r>
        <w:rPr>
          <w:color w:val="3B383A"/>
          <w:w w:val="110"/>
          <w:sz w:val="20"/>
        </w:rPr>
        <w:t>Enough</w:t>
      </w:r>
      <w:r>
        <w:rPr>
          <w:color w:val="3B383A"/>
          <w:spacing w:val="6"/>
          <w:w w:val="110"/>
          <w:sz w:val="20"/>
        </w:rPr>
        <w:t> </w:t>
      </w:r>
      <w:r>
        <w:rPr>
          <w:color w:val="3B383A"/>
          <w:w w:val="110"/>
          <w:sz w:val="20"/>
        </w:rPr>
        <w:t>Context</w:t>
      </w:r>
    </w:p>
    <w:p>
      <w:pPr>
        <w:pStyle w:val="ListParagraph"/>
        <w:numPr>
          <w:ilvl w:val="2"/>
          <w:numId w:val="50"/>
        </w:numPr>
        <w:tabs>
          <w:tab w:pos="1356" w:val="left" w:leader="none"/>
        </w:tabs>
        <w:spacing w:line="240" w:lineRule="auto" w:before="0" w:after="0"/>
        <w:ind w:left="1355" w:right="0" w:hanging="688"/>
        <w:jc w:val="left"/>
        <w:rPr>
          <w:rFonts w:ascii="Arial"/>
          <w:b/>
          <w:color w:val="3B383A"/>
          <w:sz w:val="20"/>
        </w:rPr>
      </w:pPr>
      <w:r>
        <w:rPr>
          <w:color w:val="3B383A"/>
          <w:spacing w:val="-1"/>
          <w:w w:val="110"/>
          <w:sz w:val="20"/>
        </w:rPr>
        <w:t>Too</w:t>
      </w:r>
      <w:r>
        <w:rPr>
          <w:color w:val="3B383A"/>
          <w:spacing w:val="-13"/>
          <w:w w:val="110"/>
          <w:sz w:val="20"/>
        </w:rPr>
        <w:t> </w:t>
      </w:r>
      <w:r>
        <w:rPr>
          <w:color w:val="3B383A"/>
          <w:spacing w:val="-1"/>
          <w:w w:val="110"/>
          <w:sz w:val="20"/>
        </w:rPr>
        <w:t>Much</w:t>
      </w:r>
      <w:r>
        <w:rPr>
          <w:color w:val="3B383A"/>
          <w:spacing w:val="-15"/>
          <w:w w:val="110"/>
          <w:sz w:val="20"/>
        </w:rPr>
        <w:t> </w:t>
      </w:r>
      <w:r>
        <w:rPr>
          <w:color w:val="3B383A"/>
          <w:w w:val="110"/>
          <w:sz w:val="20"/>
        </w:rPr>
        <w:t>Quoted</w:t>
      </w:r>
      <w:r>
        <w:rPr>
          <w:color w:val="3B383A"/>
          <w:spacing w:val="13"/>
          <w:w w:val="110"/>
          <w:sz w:val="20"/>
        </w:rPr>
        <w:t> </w:t>
      </w:r>
      <w:r>
        <w:rPr>
          <w:color w:val="3B383A"/>
          <w:w w:val="110"/>
          <w:sz w:val="20"/>
        </w:rPr>
        <w:t>Language</w:t>
      </w:r>
    </w:p>
    <w:p>
      <w:pPr>
        <w:pStyle w:val="ListParagraph"/>
        <w:numPr>
          <w:ilvl w:val="1"/>
          <w:numId w:val="50"/>
        </w:numPr>
        <w:tabs>
          <w:tab w:pos="686" w:val="left" w:leader="none"/>
        </w:tabs>
        <w:spacing w:line="249" w:lineRule="auto" w:before="0" w:after="0"/>
        <w:ind w:left="683" w:right="2187" w:hanging="507"/>
        <w:jc w:val="left"/>
        <w:rPr>
          <w:rFonts w:ascii="Arial"/>
          <w:b/>
          <w:color w:val="3B383A"/>
          <w:sz w:val="21"/>
        </w:rPr>
      </w:pPr>
      <w:r>
        <w:rPr>
          <w:color w:val="3B383A"/>
          <w:spacing w:val="-1"/>
          <w:w w:val="115"/>
          <w:sz w:val="20"/>
        </w:rPr>
        <w:t>Using</w:t>
      </w:r>
      <w:r>
        <w:rPr>
          <w:color w:val="3B383A"/>
          <w:spacing w:val="-9"/>
          <w:w w:val="115"/>
          <w:sz w:val="20"/>
        </w:rPr>
        <w:t> </w:t>
      </w:r>
      <w:r>
        <w:rPr>
          <w:color w:val="3B383A"/>
          <w:spacing w:val="-1"/>
          <w:w w:val="115"/>
          <w:sz w:val="20"/>
        </w:rPr>
        <w:t>Language</w:t>
      </w:r>
      <w:r>
        <w:rPr>
          <w:color w:val="3B383A"/>
          <w:spacing w:val="-14"/>
          <w:w w:val="115"/>
          <w:sz w:val="20"/>
        </w:rPr>
        <w:t> </w:t>
      </w:r>
      <w:r>
        <w:rPr>
          <w:color w:val="3B383A"/>
          <w:spacing w:val="-1"/>
          <w:w w:val="115"/>
          <w:sz w:val="20"/>
        </w:rPr>
        <w:t>Precisely</w:t>
      </w:r>
      <w:r>
        <w:rPr>
          <w:color w:val="3B383A"/>
          <w:spacing w:val="-8"/>
          <w:w w:val="115"/>
          <w:sz w:val="20"/>
        </w:rPr>
        <w:t> </w:t>
      </w:r>
      <w:r>
        <w:rPr>
          <w:color w:val="3B383A"/>
          <w:spacing w:val="-1"/>
          <w:w w:val="115"/>
          <w:sz w:val="20"/>
        </w:rPr>
        <w:t>When</w:t>
      </w:r>
      <w:r>
        <w:rPr>
          <w:color w:val="3B383A"/>
          <w:spacing w:val="-4"/>
          <w:w w:val="115"/>
          <w:sz w:val="20"/>
        </w:rPr>
        <w:t> </w:t>
      </w:r>
      <w:r>
        <w:rPr>
          <w:color w:val="3B383A"/>
          <w:spacing w:val="-1"/>
          <w:w w:val="115"/>
          <w:sz w:val="20"/>
        </w:rPr>
        <w:t>Analogizing</w:t>
      </w:r>
      <w:r>
        <w:rPr>
          <w:color w:val="3B383A"/>
          <w:spacing w:val="-8"/>
          <w:w w:val="115"/>
          <w:sz w:val="20"/>
        </w:rPr>
        <w:t> </w:t>
      </w:r>
      <w:r>
        <w:rPr>
          <w:color w:val="3B383A"/>
          <w:w w:val="115"/>
          <w:sz w:val="20"/>
        </w:rPr>
        <w:t>and</w:t>
      </w:r>
      <w:r>
        <w:rPr>
          <w:color w:val="3B383A"/>
          <w:spacing w:val="-55"/>
          <w:w w:val="115"/>
          <w:sz w:val="20"/>
        </w:rPr>
        <w:t> </w:t>
      </w:r>
      <w:r>
        <w:rPr>
          <w:color w:val="3B383A"/>
          <w:w w:val="115"/>
          <w:sz w:val="20"/>
        </w:rPr>
        <w:t>Distinguishing</w:t>
      </w:r>
      <w:r>
        <w:rPr>
          <w:color w:val="3B383A"/>
          <w:spacing w:val="-21"/>
          <w:w w:val="115"/>
          <w:sz w:val="20"/>
        </w:rPr>
        <w:t> </w:t>
      </w:r>
      <w:r>
        <w:rPr>
          <w:color w:val="3B383A"/>
          <w:w w:val="115"/>
          <w:sz w:val="20"/>
        </w:rPr>
        <w:t>Cases</w:t>
      </w:r>
    </w:p>
    <w:p>
      <w:pPr>
        <w:pStyle w:val="ListParagraph"/>
        <w:numPr>
          <w:ilvl w:val="1"/>
          <w:numId w:val="50"/>
        </w:numPr>
        <w:tabs>
          <w:tab w:pos="684" w:val="left" w:leader="none"/>
        </w:tabs>
        <w:spacing w:line="232" w:lineRule="exact" w:before="0" w:after="0"/>
        <w:ind w:left="683" w:right="0" w:hanging="508"/>
        <w:jc w:val="left"/>
        <w:rPr>
          <w:rFonts w:ascii="Arial"/>
          <w:b/>
          <w:color w:val="2A2628"/>
          <w:sz w:val="21"/>
        </w:rPr>
      </w:pPr>
      <w:r>
        <w:rPr>
          <w:color w:val="3B383A"/>
          <w:spacing w:val="-1"/>
          <w:w w:val="120"/>
          <w:sz w:val="20"/>
        </w:rPr>
        <w:t>Dealing</w:t>
      </w:r>
      <w:r>
        <w:rPr>
          <w:color w:val="3B383A"/>
          <w:spacing w:val="-18"/>
          <w:w w:val="120"/>
          <w:sz w:val="20"/>
        </w:rPr>
        <w:t> </w:t>
      </w:r>
      <w:r>
        <w:rPr>
          <w:color w:val="3B383A"/>
          <w:spacing w:val="-1"/>
          <w:w w:val="120"/>
          <w:sz w:val="20"/>
        </w:rPr>
        <w:t>with</w:t>
      </w:r>
      <w:r>
        <w:rPr>
          <w:color w:val="3B383A"/>
          <w:spacing w:val="7"/>
          <w:w w:val="120"/>
          <w:sz w:val="20"/>
        </w:rPr>
        <w:t> </w:t>
      </w:r>
      <w:r>
        <w:rPr>
          <w:color w:val="3B383A"/>
          <w:spacing w:val="-1"/>
          <w:w w:val="120"/>
          <w:sz w:val="20"/>
        </w:rPr>
        <w:t>Nonprecedential,</w:t>
      </w:r>
      <w:r>
        <w:rPr>
          <w:color w:val="3B383A"/>
          <w:spacing w:val="-17"/>
          <w:w w:val="120"/>
          <w:sz w:val="20"/>
        </w:rPr>
        <w:t> </w:t>
      </w:r>
      <w:r>
        <w:rPr>
          <w:color w:val="3B383A"/>
          <w:spacing w:val="-1"/>
          <w:w w:val="120"/>
          <w:sz w:val="20"/>
        </w:rPr>
        <w:t>or</w:t>
      </w:r>
      <w:r>
        <w:rPr>
          <w:color w:val="3B383A"/>
          <w:spacing w:val="-3"/>
          <w:w w:val="120"/>
          <w:sz w:val="20"/>
        </w:rPr>
        <w:t> </w:t>
      </w:r>
      <w:r>
        <w:rPr>
          <w:color w:val="3B383A"/>
          <w:spacing w:val="-1"/>
          <w:w w:val="120"/>
          <w:sz w:val="20"/>
        </w:rPr>
        <w:t>"Unpublished,"</w:t>
      </w:r>
      <w:r>
        <w:rPr>
          <w:color w:val="3B383A"/>
          <w:spacing w:val="-22"/>
          <w:w w:val="120"/>
          <w:sz w:val="20"/>
        </w:rPr>
        <w:t> </w:t>
      </w:r>
      <w:r>
        <w:rPr>
          <w:color w:val="3B383A"/>
          <w:spacing w:val="-1"/>
          <w:w w:val="120"/>
          <w:sz w:val="20"/>
        </w:rPr>
        <w:t>Opinions</w:t>
      </w:r>
    </w:p>
    <w:p>
      <w:pPr>
        <w:pStyle w:val="ListParagraph"/>
        <w:numPr>
          <w:ilvl w:val="1"/>
          <w:numId w:val="50"/>
        </w:numPr>
        <w:tabs>
          <w:tab w:pos="686" w:val="left" w:leader="none"/>
        </w:tabs>
        <w:spacing w:line="230" w:lineRule="exact" w:before="0" w:after="0"/>
        <w:ind w:left="685" w:right="0" w:hanging="509"/>
        <w:jc w:val="left"/>
        <w:rPr>
          <w:rFonts w:ascii="Arial"/>
          <w:b/>
          <w:color w:val="3B383A"/>
          <w:sz w:val="20"/>
        </w:rPr>
      </w:pPr>
      <w:r>
        <w:rPr>
          <w:color w:val="3B383A"/>
          <w:w w:val="110"/>
          <w:sz w:val="20"/>
        </w:rPr>
        <w:t>Using</w:t>
      </w:r>
      <w:r>
        <w:rPr>
          <w:color w:val="3B383A"/>
          <w:spacing w:val="6"/>
          <w:w w:val="110"/>
          <w:sz w:val="20"/>
        </w:rPr>
        <w:t> </w:t>
      </w:r>
      <w:r>
        <w:rPr>
          <w:color w:val="3B383A"/>
          <w:w w:val="110"/>
          <w:sz w:val="20"/>
        </w:rPr>
        <w:t>Citations</w:t>
      </w:r>
      <w:r>
        <w:rPr>
          <w:color w:val="3B383A"/>
          <w:spacing w:val="30"/>
          <w:w w:val="110"/>
          <w:sz w:val="20"/>
        </w:rPr>
        <w:t> </w:t>
      </w:r>
      <w:r>
        <w:rPr>
          <w:color w:val="3B383A"/>
          <w:w w:val="110"/>
          <w:sz w:val="20"/>
        </w:rPr>
        <w:t>Effectively</w:t>
      </w:r>
    </w:p>
    <w:p>
      <w:pPr>
        <w:pStyle w:val="ListParagraph"/>
        <w:numPr>
          <w:ilvl w:val="2"/>
          <w:numId w:val="50"/>
        </w:numPr>
        <w:tabs>
          <w:tab w:pos="1387" w:val="left" w:leader="none"/>
          <w:tab w:pos="1388" w:val="left" w:leader="none"/>
        </w:tabs>
        <w:spacing w:line="242" w:lineRule="exact" w:before="2" w:after="0"/>
        <w:ind w:left="1387" w:right="0" w:hanging="710"/>
        <w:jc w:val="left"/>
        <w:rPr>
          <w:b/>
          <w:color w:val="3B383A"/>
          <w:sz w:val="22"/>
        </w:rPr>
      </w:pPr>
      <w:r>
        <w:rPr>
          <w:color w:val="3B383A"/>
          <w:spacing w:val="-1"/>
          <w:w w:val="115"/>
          <w:sz w:val="20"/>
        </w:rPr>
        <w:t>When</w:t>
      </w:r>
      <w:r>
        <w:rPr>
          <w:color w:val="3B383A"/>
          <w:spacing w:val="-7"/>
          <w:w w:val="115"/>
          <w:sz w:val="20"/>
        </w:rPr>
        <w:t> </w:t>
      </w:r>
      <w:r>
        <w:rPr>
          <w:rFonts w:ascii="Arial"/>
          <w:color w:val="3B383A"/>
          <w:spacing w:val="-1"/>
          <w:w w:val="115"/>
          <w:sz w:val="21"/>
        </w:rPr>
        <w:t>to</w:t>
      </w:r>
      <w:r>
        <w:rPr>
          <w:rFonts w:ascii="Arial"/>
          <w:color w:val="3B383A"/>
          <w:spacing w:val="-31"/>
          <w:w w:val="115"/>
          <w:sz w:val="21"/>
        </w:rPr>
        <w:t> </w:t>
      </w:r>
      <w:r>
        <w:rPr>
          <w:color w:val="3B383A"/>
          <w:spacing w:val="-1"/>
          <w:w w:val="115"/>
          <w:sz w:val="20"/>
        </w:rPr>
        <w:t>Cite</w:t>
      </w:r>
    </w:p>
    <w:p>
      <w:pPr>
        <w:pStyle w:val="ListParagraph"/>
        <w:numPr>
          <w:ilvl w:val="2"/>
          <w:numId w:val="50"/>
        </w:numPr>
        <w:tabs>
          <w:tab w:pos="1386" w:val="left" w:leader="none"/>
          <w:tab w:pos="1387" w:val="left" w:leader="none"/>
        </w:tabs>
        <w:spacing w:line="236" w:lineRule="exact" w:before="0" w:after="0"/>
        <w:ind w:left="1387" w:right="0" w:hanging="709"/>
        <w:jc w:val="left"/>
        <w:rPr>
          <w:b/>
          <w:color w:val="3B383A"/>
          <w:sz w:val="22"/>
        </w:rPr>
      </w:pPr>
      <w:r>
        <w:rPr>
          <w:color w:val="3B383A"/>
          <w:spacing w:val="-1"/>
          <w:w w:val="110"/>
          <w:sz w:val="20"/>
        </w:rPr>
        <w:t>Distinguishing</w:t>
      </w:r>
      <w:r>
        <w:rPr>
          <w:color w:val="3B383A"/>
          <w:spacing w:val="-23"/>
          <w:w w:val="110"/>
          <w:sz w:val="20"/>
        </w:rPr>
        <w:t> </w:t>
      </w:r>
      <w:r>
        <w:rPr>
          <w:color w:val="3B383A"/>
          <w:spacing w:val="-1"/>
          <w:w w:val="110"/>
          <w:sz w:val="20"/>
        </w:rPr>
        <w:t>Between</w:t>
      </w:r>
      <w:r>
        <w:rPr>
          <w:color w:val="3B383A"/>
          <w:spacing w:val="14"/>
          <w:w w:val="110"/>
          <w:sz w:val="20"/>
        </w:rPr>
        <w:t> </w:t>
      </w:r>
      <w:r>
        <w:rPr>
          <w:color w:val="3B383A"/>
          <w:spacing w:val="-1"/>
          <w:w w:val="110"/>
          <w:sz w:val="20"/>
        </w:rPr>
        <w:t>Authorities</w:t>
      </w:r>
      <w:r>
        <w:rPr>
          <w:color w:val="3B383A"/>
          <w:spacing w:val="-12"/>
          <w:w w:val="110"/>
          <w:sz w:val="20"/>
        </w:rPr>
        <w:t> </w:t>
      </w:r>
      <w:r>
        <w:rPr>
          <w:color w:val="3B383A"/>
          <w:w w:val="110"/>
          <w:sz w:val="20"/>
        </w:rPr>
        <w:t>and</w:t>
      </w:r>
      <w:r>
        <w:rPr>
          <w:color w:val="3B383A"/>
          <w:spacing w:val="26"/>
          <w:w w:val="110"/>
          <w:sz w:val="20"/>
        </w:rPr>
        <w:t> </w:t>
      </w:r>
      <w:r>
        <w:rPr>
          <w:color w:val="3B383A"/>
          <w:w w:val="110"/>
          <w:sz w:val="20"/>
        </w:rPr>
        <w:t>Sources</w:t>
      </w:r>
    </w:p>
    <w:p>
      <w:pPr>
        <w:pStyle w:val="ListParagraph"/>
        <w:numPr>
          <w:ilvl w:val="2"/>
          <w:numId w:val="50"/>
        </w:numPr>
        <w:tabs>
          <w:tab w:pos="1387" w:val="left" w:leader="none"/>
          <w:tab w:pos="1388" w:val="left" w:leader="none"/>
        </w:tabs>
        <w:spacing w:line="241" w:lineRule="exact" w:before="0" w:after="0"/>
        <w:ind w:left="1387" w:right="0" w:hanging="710"/>
        <w:jc w:val="left"/>
        <w:rPr>
          <w:b/>
          <w:color w:val="3B383A"/>
          <w:sz w:val="22"/>
        </w:rPr>
      </w:pPr>
      <w:r>
        <w:rPr>
          <w:color w:val="3B383A"/>
          <w:w w:val="115"/>
          <w:sz w:val="20"/>
        </w:rPr>
        <w:t>Where</w:t>
      </w:r>
      <w:r>
        <w:rPr>
          <w:color w:val="3B383A"/>
          <w:spacing w:val="-12"/>
          <w:w w:val="115"/>
          <w:sz w:val="20"/>
        </w:rPr>
        <w:t> </w:t>
      </w:r>
      <w:r>
        <w:rPr>
          <w:color w:val="3B383A"/>
          <w:w w:val="115"/>
          <w:sz w:val="20"/>
        </w:rPr>
        <w:t>to</w:t>
      </w:r>
      <w:r>
        <w:rPr>
          <w:color w:val="3B383A"/>
          <w:spacing w:val="-13"/>
          <w:w w:val="115"/>
          <w:sz w:val="20"/>
        </w:rPr>
        <w:t> </w:t>
      </w:r>
      <w:r>
        <w:rPr>
          <w:color w:val="3B383A"/>
          <w:w w:val="115"/>
          <w:sz w:val="20"/>
        </w:rPr>
        <w:t>Cite</w:t>
      </w:r>
    </w:p>
    <w:p>
      <w:pPr>
        <w:pStyle w:val="ListParagraph"/>
        <w:numPr>
          <w:ilvl w:val="2"/>
          <w:numId w:val="50"/>
        </w:numPr>
        <w:tabs>
          <w:tab w:pos="1398" w:val="left" w:leader="none"/>
          <w:tab w:pos="1399" w:val="left" w:leader="none"/>
        </w:tabs>
        <w:spacing w:line="247" w:lineRule="auto" w:before="0" w:after="0"/>
        <w:ind w:left="1382" w:right="1327" w:hanging="705"/>
        <w:jc w:val="left"/>
        <w:rPr>
          <w:b/>
          <w:color w:val="3B383A"/>
          <w:sz w:val="22"/>
        </w:rPr>
      </w:pPr>
      <w:r>
        <w:rPr>
          <w:color w:val="3B383A"/>
          <w:w w:val="105"/>
          <w:sz w:val="20"/>
        </w:rPr>
        <w:t>Using</w:t>
      </w:r>
      <w:r>
        <w:rPr>
          <w:color w:val="3B383A"/>
          <w:spacing w:val="1"/>
          <w:w w:val="105"/>
          <w:sz w:val="20"/>
        </w:rPr>
        <w:t> </w:t>
      </w:r>
      <w:r>
        <w:rPr>
          <w:color w:val="3B383A"/>
          <w:w w:val="105"/>
          <w:sz w:val="20"/>
        </w:rPr>
        <w:t>Effective S</w:t>
      </w:r>
      <w:r>
        <w:rPr>
          <w:color w:val="545254"/>
          <w:w w:val="105"/>
          <w:sz w:val="20"/>
        </w:rPr>
        <w:t>e</w:t>
      </w:r>
      <w:r>
        <w:rPr>
          <w:color w:val="3B383A"/>
          <w:w w:val="105"/>
          <w:sz w:val="20"/>
        </w:rPr>
        <w:t>ntence Structures</w:t>
      </w:r>
      <w:r>
        <w:rPr>
          <w:color w:val="3B383A"/>
          <w:spacing w:val="1"/>
          <w:w w:val="105"/>
          <w:sz w:val="20"/>
        </w:rPr>
        <w:t> </w:t>
      </w:r>
      <w:r>
        <w:rPr>
          <w:color w:val="3B383A"/>
          <w:w w:val="105"/>
          <w:sz w:val="20"/>
        </w:rPr>
        <w:t>to</w:t>
      </w:r>
      <w:r>
        <w:rPr>
          <w:color w:val="3B383A"/>
          <w:spacing w:val="1"/>
          <w:w w:val="105"/>
          <w:sz w:val="20"/>
        </w:rPr>
        <w:t> </w:t>
      </w:r>
      <w:r>
        <w:rPr>
          <w:color w:val="3B383A"/>
          <w:w w:val="105"/>
          <w:sz w:val="20"/>
        </w:rPr>
        <w:t>Accommodate</w:t>
      </w:r>
      <w:r>
        <w:rPr>
          <w:color w:val="3B383A"/>
          <w:spacing w:val="-50"/>
          <w:w w:val="105"/>
          <w:sz w:val="20"/>
        </w:rPr>
        <w:t> </w:t>
      </w:r>
      <w:r>
        <w:rPr>
          <w:color w:val="3B383A"/>
          <w:w w:val="110"/>
          <w:sz w:val="20"/>
        </w:rPr>
        <w:t>Citation</w:t>
      </w:r>
      <w:r>
        <w:rPr>
          <w:color w:val="3B383A"/>
          <w:spacing w:val="9"/>
          <w:w w:val="110"/>
          <w:sz w:val="20"/>
        </w:rPr>
        <w:t> </w:t>
      </w:r>
      <w:r>
        <w:rPr>
          <w:color w:val="3B383A"/>
          <w:w w:val="110"/>
          <w:sz w:val="20"/>
        </w:rPr>
        <w:t>Form</w:t>
      </w:r>
    </w:p>
    <w:p>
      <w:pPr>
        <w:pStyle w:val="ListParagraph"/>
        <w:numPr>
          <w:ilvl w:val="2"/>
          <w:numId w:val="50"/>
        </w:numPr>
        <w:tabs>
          <w:tab w:pos="1398" w:val="left" w:leader="none"/>
          <w:tab w:pos="1399" w:val="left" w:leader="none"/>
        </w:tabs>
        <w:spacing w:line="227" w:lineRule="exact" w:before="0" w:after="0"/>
        <w:ind w:left="1398" w:right="0" w:hanging="711"/>
        <w:jc w:val="left"/>
        <w:rPr>
          <w:b/>
          <w:color w:val="3B383A"/>
          <w:sz w:val="22"/>
        </w:rPr>
      </w:pPr>
      <w:r>
        <w:rPr>
          <w:color w:val="3B383A"/>
          <w:w w:val="110"/>
          <w:sz w:val="20"/>
        </w:rPr>
        <w:t>Avoiding</w:t>
      </w:r>
      <w:r>
        <w:rPr>
          <w:color w:val="3B383A"/>
          <w:spacing w:val="-18"/>
          <w:w w:val="110"/>
          <w:sz w:val="20"/>
        </w:rPr>
        <w:t> </w:t>
      </w:r>
      <w:r>
        <w:rPr>
          <w:color w:val="3B383A"/>
          <w:w w:val="110"/>
          <w:sz w:val="20"/>
        </w:rPr>
        <w:t>String</w:t>
      </w:r>
      <w:r>
        <w:rPr>
          <w:color w:val="3B383A"/>
          <w:spacing w:val="-9"/>
          <w:w w:val="110"/>
          <w:sz w:val="20"/>
        </w:rPr>
        <w:t> </w:t>
      </w:r>
      <w:r>
        <w:rPr>
          <w:color w:val="3B383A"/>
          <w:w w:val="110"/>
          <w:sz w:val="20"/>
        </w:rPr>
        <w:t>Citations</w:t>
      </w:r>
    </w:p>
    <w:p>
      <w:pPr>
        <w:pStyle w:val="ListParagraph"/>
        <w:numPr>
          <w:ilvl w:val="2"/>
          <w:numId w:val="50"/>
        </w:numPr>
        <w:tabs>
          <w:tab w:pos="1393" w:val="left" w:leader="none"/>
        </w:tabs>
        <w:spacing w:line="227" w:lineRule="exact" w:before="0" w:after="0"/>
        <w:ind w:left="1392" w:right="0" w:hanging="706"/>
        <w:jc w:val="left"/>
        <w:rPr>
          <w:rFonts w:ascii="Arial"/>
          <w:b/>
          <w:color w:val="3B383A"/>
          <w:sz w:val="20"/>
        </w:rPr>
      </w:pPr>
      <w:r>
        <w:rPr>
          <w:color w:val="3B383A"/>
          <w:w w:val="110"/>
          <w:sz w:val="20"/>
        </w:rPr>
        <w:t>Cases</w:t>
      </w:r>
      <w:r>
        <w:rPr>
          <w:color w:val="3B383A"/>
          <w:spacing w:val="-19"/>
          <w:w w:val="110"/>
          <w:sz w:val="20"/>
        </w:rPr>
        <w:t> </w:t>
      </w:r>
      <w:r>
        <w:rPr>
          <w:color w:val="3B383A"/>
          <w:w w:val="110"/>
          <w:sz w:val="20"/>
        </w:rPr>
        <w:t>That</w:t>
      </w:r>
      <w:r>
        <w:rPr>
          <w:color w:val="3B383A"/>
          <w:spacing w:val="2"/>
          <w:w w:val="110"/>
          <w:sz w:val="20"/>
        </w:rPr>
        <w:t> </w:t>
      </w:r>
      <w:r>
        <w:rPr>
          <w:color w:val="3B383A"/>
          <w:w w:val="110"/>
          <w:sz w:val="20"/>
        </w:rPr>
        <w:t>Cite</w:t>
      </w:r>
      <w:r>
        <w:rPr>
          <w:color w:val="3B383A"/>
          <w:spacing w:val="-7"/>
          <w:w w:val="110"/>
          <w:sz w:val="20"/>
        </w:rPr>
        <w:t> </w:t>
      </w:r>
      <w:r>
        <w:rPr>
          <w:color w:val="3B383A"/>
          <w:w w:val="110"/>
          <w:sz w:val="20"/>
        </w:rPr>
        <w:t>Other</w:t>
      </w:r>
      <w:r>
        <w:rPr>
          <w:color w:val="3B383A"/>
          <w:spacing w:val="1"/>
          <w:w w:val="110"/>
          <w:sz w:val="20"/>
        </w:rPr>
        <w:t> </w:t>
      </w:r>
      <w:r>
        <w:rPr>
          <w:color w:val="3B383A"/>
          <w:w w:val="110"/>
          <w:sz w:val="20"/>
        </w:rPr>
        <w:t>Cases</w:t>
      </w:r>
    </w:p>
    <w:p>
      <w:pPr>
        <w:pStyle w:val="ListParagraph"/>
        <w:numPr>
          <w:ilvl w:val="2"/>
          <w:numId w:val="50"/>
        </w:numPr>
        <w:tabs>
          <w:tab w:pos="1404" w:val="left" w:leader="none"/>
          <w:tab w:pos="1405" w:val="left" w:leader="none"/>
        </w:tabs>
        <w:spacing w:line="249" w:lineRule="exact" w:before="0" w:after="0"/>
        <w:ind w:left="1404" w:right="0" w:hanging="717"/>
        <w:jc w:val="left"/>
        <w:rPr>
          <w:b/>
          <w:color w:val="3B383A"/>
          <w:sz w:val="22"/>
        </w:rPr>
      </w:pPr>
      <w:r>
        <w:rPr>
          <w:color w:val="2A2628"/>
          <w:spacing w:val="-1"/>
          <w:w w:val="115"/>
          <w:sz w:val="20"/>
        </w:rPr>
        <w:t>Importance</w:t>
      </w:r>
      <w:r>
        <w:rPr>
          <w:color w:val="2A2628"/>
          <w:spacing w:val="-14"/>
          <w:w w:val="115"/>
          <w:sz w:val="20"/>
        </w:rPr>
        <w:t> </w:t>
      </w:r>
      <w:r>
        <w:rPr>
          <w:color w:val="3B383A"/>
          <w:w w:val="115"/>
          <w:sz w:val="20"/>
        </w:rPr>
        <w:t>of Pinpoint</w:t>
      </w:r>
      <w:r>
        <w:rPr>
          <w:color w:val="3B383A"/>
          <w:spacing w:val="-12"/>
          <w:w w:val="115"/>
          <w:sz w:val="20"/>
        </w:rPr>
        <w:t> </w:t>
      </w:r>
      <w:r>
        <w:rPr>
          <w:color w:val="3B383A"/>
          <w:w w:val="115"/>
          <w:sz w:val="20"/>
        </w:rPr>
        <w:t>Citations</w:t>
      </w:r>
    </w:p>
    <w:p>
      <w:pPr>
        <w:pStyle w:val="ListParagraph"/>
        <w:numPr>
          <w:ilvl w:val="1"/>
          <w:numId w:val="50"/>
        </w:numPr>
        <w:tabs>
          <w:tab w:pos="694" w:val="left" w:leader="none"/>
        </w:tabs>
        <w:spacing w:line="240" w:lineRule="auto" w:before="53" w:after="0"/>
        <w:ind w:left="693" w:right="0" w:hanging="499"/>
        <w:jc w:val="left"/>
        <w:rPr>
          <w:rFonts w:ascii="Arial"/>
          <w:b/>
          <w:color w:val="2A2628"/>
          <w:sz w:val="21"/>
        </w:rPr>
      </w:pPr>
      <w:r>
        <w:rPr>
          <w:color w:val="3B383A"/>
          <w:w w:val="115"/>
          <w:sz w:val="20"/>
        </w:rPr>
        <w:t>Summary</w:t>
      </w:r>
    </w:p>
    <w:p>
      <w:pPr>
        <w:spacing w:after="0" w:line="240" w:lineRule="auto"/>
        <w:jc w:val="left"/>
        <w:rPr>
          <w:rFonts w:ascii="Arial"/>
          <w:sz w:val="21"/>
        </w:rPr>
        <w:sectPr>
          <w:type w:val="continuous"/>
          <w:pgSz w:w="9610" w:h="13770"/>
          <w:pgMar w:header="578" w:footer="0" w:top="340" w:bottom="280" w:left="440" w:right="1240"/>
          <w:cols w:num="2" w:equalWidth="0">
            <w:col w:w="380" w:space="113"/>
            <w:col w:w="7437"/>
          </w:cols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35" w:lineRule="auto" w:before="95"/>
        <w:ind w:left="116" w:right="154" w:firstLine="572"/>
        <w:jc w:val="both"/>
      </w:pPr>
      <w:r>
        <w:rPr>
          <w:color w:val="3B383A"/>
          <w:w w:val="115"/>
        </w:rPr>
        <w:t>One of your brief's most important jobs is showing the court that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the law that supports your argument </w:t>
      </w:r>
      <w:r>
        <w:rPr>
          <w:color w:val="2A2628"/>
          <w:w w:val="115"/>
        </w:rPr>
        <w:t>is </w:t>
      </w:r>
      <w:r>
        <w:rPr>
          <w:color w:val="3B383A"/>
          <w:w w:val="115"/>
        </w:rPr>
        <w:t>valid and that the </w:t>
      </w:r>
      <w:r>
        <w:rPr>
          <w:color w:val="2A2628"/>
          <w:w w:val="115"/>
        </w:rPr>
        <w:t>law </w:t>
      </w:r>
      <w:r>
        <w:rPr>
          <w:color w:val="3B383A"/>
          <w:w w:val="115"/>
        </w:rPr>
        <w:t>that sup­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ports</w:t>
      </w:r>
      <w:r>
        <w:rPr>
          <w:color w:val="3B383A"/>
          <w:spacing w:val="-19"/>
          <w:w w:val="115"/>
        </w:rPr>
        <w:t> </w:t>
      </w:r>
      <w:r>
        <w:rPr>
          <w:color w:val="3B383A"/>
          <w:w w:val="115"/>
        </w:rPr>
        <w:t>your</w:t>
      </w:r>
      <w:r>
        <w:rPr>
          <w:color w:val="3B383A"/>
          <w:spacing w:val="-17"/>
          <w:w w:val="115"/>
        </w:rPr>
        <w:t> </w:t>
      </w:r>
      <w:r>
        <w:rPr>
          <w:color w:val="3B383A"/>
          <w:w w:val="115"/>
        </w:rPr>
        <w:t>opponent's</w:t>
      </w:r>
      <w:r>
        <w:rPr>
          <w:color w:val="3B383A"/>
          <w:spacing w:val="-21"/>
          <w:w w:val="115"/>
        </w:rPr>
        <w:t> </w:t>
      </w:r>
      <w:r>
        <w:rPr>
          <w:color w:val="3B383A"/>
          <w:w w:val="115"/>
        </w:rPr>
        <w:t>argument</w:t>
      </w:r>
      <w:r>
        <w:rPr>
          <w:color w:val="3B383A"/>
          <w:spacing w:val="4"/>
          <w:w w:val="115"/>
        </w:rPr>
        <w:t> </w:t>
      </w:r>
      <w:r>
        <w:rPr>
          <w:color w:val="3B383A"/>
          <w:w w:val="115"/>
        </w:rPr>
        <w:t>is</w:t>
      </w:r>
      <w:r>
        <w:rPr>
          <w:color w:val="3B383A"/>
          <w:spacing w:val="-32"/>
          <w:w w:val="115"/>
        </w:rPr>
        <w:t> </w:t>
      </w:r>
      <w:r>
        <w:rPr>
          <w:color w:val="3B383A"/>
          <w:w w:val="115"/>
        </w:rPr>
        <w:t>either</w:t>
      </w:r>
      <w:r>
        <w:rPr>
          <w:color w:val="3B383A"/>
          <w:spacing w:val="-4"/>
          <w:w w:val="115"/>
        </w:rPr>
        <w:t> </w:t>
      </w:r>
      <w:r>
        <w:rPr>
          <w:color w:val="3B383A"/>
          <w:w w:val="115"/>
        </w:rPr>
        <w:t>invalid</w:t>
      </w:r>
      <w:r>
        <w:rPr>
          <w:color w:val="3B383A"/>
          <w:spacing w:val="-10"/>
          <w:w w:val="115"/>
        </w:rPr>
        <w:t> </w:t>
      </w:r>
      <w:r>
        <w:rPr>
          <w:color w:val="3B383A"/>
          <w:w w:val="115"/>
        </w:rPr>
        <w:t>or</w:t>
      </w:r>
      <w:r>
        <w:rPr>
          <w:color w:val="3B383A"/>
          <w:spacing w:val="3"/>
          <w:w w:val="115"/>
        </w:rPr>
        <w:t> </w:t>
      </w:r>
      <w:r>
        <w:rPr>
          <w:color w:val="3B383A"/>
          <w:w w:val="115"/>
        </w:rPr>
        <w:t>not</w:t>
      </w:r>
      <w:r>
        <w:rPr>
          <w:color w:val="3B383A"/>
          <w:spacing w:val="18"/>
          <w:w w:val="115"/>
        </w:rPr>
        <w:t> </w:t>
      </w:r>
      <w:r>
        <w:rPr>
          <w:color w:val="3B383A"/>
          <w:w w:val="115"/>
        </w:rPr>
        <w:t>on</w:t>
      </w:r>
      <w:r>
        <w:rPr>
          <w:color w:val="3B383A"/>
          <w:spacing w:val="19"/>
          <w:w w:val="115"/>
        </w:rPr>
        <w:t> </w:t>
      </w:r>
      <w:r>
        <w:rPr>
          <w:color w:val="3B383A"/>
          <w:w w:val="115"/>
        </w:rPr>
        <w:t>point.</w:t>
      </w:r>
      <w:r>
        <w:rPr>
          <w:color w:val="3B383A"/>
          <w:spacing w:val="-34"/>
          <w:w w:val="115"/>
        </w:rPr>
        <w:t> </w:t>
      </w:r>
      <w:r>
        <w:rPr>
          <w:color w:val="3B383A"/>
          <w:w w:val="115"/>
        </w:rPr>
        <w:t>The</w:t>
      </w:r>
      <w:r>
        <w:rPr>
          <w:color w:val="3B383A"/>
          <w:spacing w:val="-21"/>
          <w:w w:val="115"/>
        </w:rPr>
        <w:t> </w:t>
      </w:r>
      <w:r>
        <w:rPr>
          <w:color w:val="3B383A"/>
          <w:w w:val="115"/>
        </w:rPr>
        <w:t>pre­</w:t>
      </w:r>
      <w:r>
        <w:rPr>
          <w:color w:val="3B383A"/>
          <w:spacing w:val="-63"/>
          <w:w w:val="115"/>
        </w:rPr>
        <w:t> </w:t>
      </w:r>
      <w:r>
        <w:rPr>
          <w:color w:val="3B383A"/>
          <w:w w:val="110"/>
        </w:rPr>
        <w:t>vious chapter addressed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how to discuss your opponent's arguments. This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5"/>
        </w:rPr>
        <w:t>chapter addresses how to include case authority-the authority used most</w:t>
      </w:r>
      <w:r>
        <w:rPr>
          <w:color w:val="3B383A"/>
          <w:spacing w:val="-64"/>
          <w:w w:val="115"/>
        </w:rPr>
        <w:t> </w:t>
      </w:r>
      <w:r>
        <w:rPr>
          <w:color w:val="3B383A"/>
          <w:w w:val="115"/>
        </w:rPr>
        <w:t>frequently</w:t>
      </w:r>
      <w:r>
        <w:rPr>
          <w:color w:val="3B383A"/>
          <w:spacing w:val="-1"/>
          <w:w w:val="115"/>
        </w:rPr>
        <w:t> </w:t>
      </w:r>
      <w:r>
        <w:rPr>
          <w:color w:val="3B383A"/>
          <w:w w:val="115"/>
        </w:rPr>
        <w:t>in</w:t>
      </w:r>
      <w:r>
        <w:rPr>
          <w:color w:val="3B383A"/>
          <w:spacing w:val="30"/>
          <w:w w:val="115"/>
        </w:rPr>
        <w:t> </w:t>
      </w:r>
      <w:r>
        <w:rPr>
          <w:color w:val="3B383A"/>
          <w:w w:val="115"/>
        </w:rPr>
        <w:t>briefs-in</w:t>
      </w:r>
      <w:r>
        <w:rPr>
          <w:color w:val="3B383A"/>
          <w:spacing w:val="3"/>
          <w:w w:val="115"/>
        </w:rPr>
        <w:t> </w:t>
      </w:r>
      <w:r>
        <w:rPr>
          <w:color w:val="3B383A"/>
          <w:w w:val="115"/>
        </w:rPr>
        <w:t>the</w:t>
      </w:r>
      <w:r>
        <w:rPr>
          <w:color w:val="3B383A"/>
          <w:spacing w:val="-33"/>
          <w:w w:val="115"/>
        </w:rPr>
        <w:t> </w:t>
      </w:r>
      <w:r>
        <w:rPr>
          <w:color w:val="3B383A"/>
          <w:w w:val="115"/>
        </w:rPr>
        <w:t>most</w:t>
      </w:r>
      <w:r>
        <w:rPr>
          <w:color w:val="3B383A"/>
          <w:spacing w:val="-5"/>
          <w:w w:val="115"/>
        </w:rPr>
        <w:t> </w:t>
      </w:r>
      <w:r>
        <w:rPr>
          <w:color w:val="3B383A"/>
          <w:w w:val="115"/>
        </w:rPr>
        <w:t>effective</w:t>
      </w:r>
      <w:r>
        <w:rPr>
          <w:color w:val="3B383A"/>
          <w:spacing w:val="-11"/>
          <w:w w:val="115"/>
        </w:rPr>
        <w:t> </w:t>
      </w:r>
      <w:r>
        <w:rPr>
          <w:color w:val="3B383A"/>
          <w:w w:val="115"/>
        </w:rPr>
        <w:t>way</w:t>
      </w:r>
      <w:r>
        <w:rPr>
          <w:color w:val="3B383A"/>
          <w:spacing w:val="5"/>
          <w:w w:val="115"/>
        </w:rPr>
        <w:t> </w:t>
      </w:r>
      <w:r>
        <w:rPr>
          <w:color w:val="3B383A"/>
          <w:w w:val="115"/>
        </w:rPr>
        <w:t>possible.</w:t>
      </w:r>
    </w:p>
    <w:p>
      <w:pPr>
        <w:pStyle w:val="BodyText"/>
        <w:spacing w:line="243" w:lineRule="exact"/>
        <w:ind w:left="468"/>
        <w:jc w:val="both"/>
      </w:pPr>
      <w:r>
        <w:rPr>
          <w:color w:val="3B383A"/>
          <w:w w:val="115"/>
        </w:rPr>
        <w:t>To</w:t>
      </w:r>
      <w:r>
        <w:rPr>
          <w:color w:val="3B383A"/>
          <w:spacing w:val="2"/>
          <w:w w:val="115"/>
        </w:rPr>
        <w:t> </w:t>
      </w:r>
      <w:r>
        <w:rPr>
          <w:color w:val="3B383A"/>
          <w:w w:val="115"/>
        </w:rPr>
        <w:t>use</w:t>
      </w:r>
      <w:r>
        <w:rPr>
          <w:color w:val="3B383A"/>
          <w:spacing w:val="-11"/>
          <w:w w:val="115"/>
        </w:rPr>
        <w:t> </w:t>
      </w:r>
      <w:r>
        <w:rPr>
          <w:color w:val="3B383A"/>
          <w:w w:val="115"/>
        </w:rPr>
        <w:t>authorities</w:t>
      </w:r>
      <w:r>
        <w:rPr>
          <w:color w:val="3B383A"/>
          <w:spacing w:val="18"/>
          <w:w w:val="115"/>
        </w:rPr>
        <w:t> </w:t>
      </w:r>
      <w:r>
        <w:rPr>
          <w:color w:val="3B383A"/>
          <w:w w:val="115"/>
        </w:rPr>
        <w:t>most</w:t>
      </w:r>
      <w:r>
        <w:rPr>
          <w:color w:val="3B383A"/>
          <w:spacing w:val="8"/>
          <w:w w:val="115"/>
        </w:rPr>
        <w:t> </w:t>
      </w:r>
      <w:r>
        <w:rPr>
          <w:color w:val="3B383A"/>
          <w:w w:val="115"/>
        </w:rPr>
        <w:t>effectively,</w:t>
      </w:r>
      <w:r>
        <w:rPr>
          <w:color w:val="3B383A"/>
          <w:spacing w:val="21"/>
          <w:w w:val="115"/>
        </w:rPr>
        <w:t> </w:t>
      </w:r>
      <w:r>
        <w:rPr>
          <w:color w:val="3B383A"/>
          <w:w w:val="115"/>
        </w:rPr>
        <w:t>you</w:t>
      </w:r>
      <w:r>
        <w:rPr>
          <w:color w:val="3B383A"/>
          <w:spacing w:val="44"/>
          <w:w w:val="115"/>
        </w:rPr>
        <w:t> </w:t>
      </w:r>
      <w:r>
        <w:rPr>
          <w:color w:val="3B383A"/>
          <w:w w:val="115"/>
        </w:rPr>
        <w:t>must</w:t>
      </w:r>
      <w:r>
        <w:rPr>
          <w:color w:val="3B383A"/>
          <w:spacing w:val="21"/>
          <w:w w:val="115"/>
        </w:rPr>
        <w:t> </w:t>
      </w:r>
      <w:r>
        <w:rPr>
          <w:color w:val="3B383A"/>
          <w:w w:val="115"/>
        </w:rPr>
        <w:t>keep</w:t>
      </w:r>
      <w:r>
        <w:rPr>
          <w:color w:val="3B383A"/>
          <w:spacing w:val="-2"/>
          <w:w w:val="115"/>
        </w:rPr>
        <w:t> </w:t>
      </w:r>
      <w:r>
        <w:rPr>
          <w:color w:val="3B383A"/>
          <w:w w:val="115"/>
        </w:rPr>
        <w:t>both</w:t>
      </w:r>
      <w:r>
        <w:rPr>
          <w:color w:val="3B383A"/>
          <w:spacing w:val="9"/>
          <w:w w:val="115"/>
        </w:rPr>
        <w:t> </w:t>
      </w:r>
      <w:r>
        <w:rPr>
          <w:color w:val="3B383A"/>
          <w:w w:val="115"/>
        </w:rPr>
        <w:t>your</w:t>
      </w:r>
      <w:r>
        <w:rPr>
          <w:color w:val="3B383A"/>
          <w:spacing w:val="13"/>
          <w:w w:val="115"/>
        </w:rPr>
        <w:t> </w:t>
      </w:r>
      <w:r>
        <w:rPr>
          <w:color w:val="3B383A"/>
          <w:w w:val="115"/>
        </w:rPr>
        <w:t>reader</w:t>
      </w:r>
    </w:p>
    <w:p>
      <w:pPr>
        <w:pStyle w:val="BodyText"/>
        <w:spacing w:line="232" w:lineRule="auto" w:before="4"/>
        <w:ind w:left="127" w:right="102" w:firstLine="3"/>
        <w:jc w:val="both"/>
      </w:pPr>
      <w:r>
        <w:rPr>
          <w:color w:val="3B383A"/>
          <w:w w:val="115"/>
        </w:rPr>
        <w:t>and your user in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mind</w:t>
      </w:r>
      <w:r>
        <w:rPr>
          <w:color w:val="545254"/>
          <w:w w:val="115"/>
        </w:rPr>
        <w:t>: </w:t>
      </w:r>
      <w:r>
        <w:rPr>
          <w:color w:val="3B383A"/>
          <w:w w:val="115"/>
        </w:rPr>
        <w:t>The brief should include enough </w:t>
      </w:r>
      <w:r>
        <w:rPr>
          <w:color w:val="2A2628"/>
          <w:w w:val="115"/>
        </w:rPr>
        <w:t>information</w:t>
      </w:r>
      <w:r>
        <w:rPr>
          <w:color w:val="2A2628"/>
          <w:spacing w:val="1"/>
          <w:w w:val="115"/>
        </w:rPr>
        <w:t> </w:t>
      </w:r>
      <w:r>
        <w:rPr>
          <w:color w:val="3B383A"/>
          <w:w w:val="115"/>
        </w:rPr>
        <w:t>about the case authorities cited so that any reader can understand their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significance. </w:t>
      </w:r>
      <w:r>
        <w:rPr>
          <w:color w:val="2A2628"/>
          <w:w w:val="115"/>
        </w:rPr>
        <w:t>In </w:t>
      </w:r>
      <w:r>
        <w:rPr>
          <w:color w:val="3B383A"/>
          <w:w w:val="115"/>
        </w:rPr>
        <w:t>addition, it must include citations in a way </w:t>
      </w:r>
      <w:r>
        <w:rPr>
          <w:color w:val="2A2628"/>
          <w:w w:val="115"/>
        </w:rPr>
        <w:t>that </w:t>
      </w:r>
      <w:r>
        <w:rPr>
          <w:color w:val="3B383A"/>
          <w:w w:val="115"/>
        </w:rPr>
        <w:t>allows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them to be found easily by the user</w:t>
      </w:r>
      <w:r>
        <w:rPr>
          <w:color w:val="545254"/>
          <w:w w:val="115"/>
        </w:rPr>
        <w:t>, </w:t>
      </w:r>
      <w:r>
        <w:rPr>
          <w:color w:val="3B383A"/>
          <w:w w:val="115"/>
        </w:rPr>
        <w:t>who may be trying </w:t>
      </w:r>
      <w:r>
        <w:rPr>
          <w:color w:val="2A2628"/>
          <w:w w:val="115"/>
        </w:rPr>
        <w:t>to </w:t>
      </w:r>
      <w:r>
        <w:rPr>
          <w:color w:val="3B383A"/>
          <w:w w:val="115"/>
        </w:rPr>
        <w:t>find the rele</w:t>
      </w:r>
      <w:r>
        <w:rPr>
          <w:color w:val="545254"/>
          <w:w w:val="115"/>
        </w:rPr>
        <w:t>­</w:t>
      </w:r>
      <w:r>
        <w:rPr>
          <w:color w:val="545254"/>
          <w:spacing w:val="1"/>
          <w:w w:val="115"/>
        </w:rPr>
        <w:t> </w:t>
      </w:r>
      <w:r>
        <w:rPr>
          <w:color w:val="3B383A"/>
          <w:w w:val="115"/>
        </w:rPr>
        <w:t>vant</w:t>
      </w:r>
      <w:r>
        <w:rPr>
          <w:color w:val="3B383A"/>
          <w:spacing w:val="-14"/>
          <w:w w:val="115"/>
        </w:rPr>
        <w:t> </w:t>
      </w:r>
      <w:r>
        <w:rPr>
          <w:color w:val="3B383A"/>
          <w:w w:val="115"/>
        </w:rPr>
        <w:t>authorities</w:t>
      </w:r>
      <w:r>
        <w:rPr>
          <w:color w:val="3B383A"/>
          <w:spacing w:val="-28"/>
          <w:w w:val="115"/>
        </w:rPr>
        <w:t> </w:t>
      </w:r>
      <w:r>
        <w:rPr>
          <w:color w:val="3B383A"/>
          <w:w w:val="115"/>
        </w:rPr>
        <w:t>so</w:t>
      </w:r>
      <w:r>
        <w:rPr>
          <w:color w:val="3B383A"/>
          <w:spacing w:val="4"/>
          <w:w w:val="115"/>
        </w:rPr>
        <w:t> </w:t>
      </w:r>
      <w:r>
        <w:rPr>
          <w:color w:val="3B383A"/>
          <w:w w:val="115"/>
        </w:rPr>
        <w:t>that</w:t>
      </w:r>
      <w:r>
        <w:rPr>
          <w:color w:val="3B383A"/>
          <w:spacing w:val="4"/>
          <w:w w:val="115"/>
        </w:rPr>
        <w:t> </w:t>
      </w:r>
      <w:r>
        <w:rPr>
          <w:color w:val="3B383A"/>
          <w:w w:val="115"/>
        </w:rPr>
        <w:t>heor</w:t>
      </w:r>
      <w:r>
        <w:rPr>
          <w:color w:val="3B383A"/>
          <w:spacing w:val="-24"/>
          <w:w w:val="115"/>
        </w:rPr>
        <w:t> </w:t>
      </w:r>
      <w:r>
        <w:rPr>
          <w:color w:val="3B383A"/>
          <w:w w:val="115"/>
        </w:rPr>
        <w:t>she</w:t>
      </w:r>
      <w:r>
        <w:rPr>
          <w:color w:val="3B383A"/>
          <w:spacing w:val="-38"/>
          <w:w w:val="115"/>
        </w:rPr>
        <w:t> </w:t>
      </w:r>
      <w:r>
        <w:rPr>
          <w:color w:val="3B383A"/>
          <w:w w:val="115"/>
        </w:rPr>
        <w:t>can</w:t>
      </w:r>
      <w:r>
        <w:rPr>
          <w:color w:val="3B383A"/>
          <w:spacing w:val="-29"/>
          <w:w w:val="115"/>
        </w:rPr>
        <w:t> </w:t>
      </w:r>
      <w:r>
        <w:rPr>
          <w:color w:val="3B383A"/>
          <w:w w:val="115"/>
        </w:rPr>
        <w:t>review</w:t>
      </w:r>
      <w:r>
        <w:rPr>
          <w:color w:val="3B383A"/>
          <w:spacing w:val="-8"/>
          <w:w w:val="115"/>
        </w:rPr>
        <w:t> </w:t>
      </w:r>
      <w:r>
        <w:rPr>
          <w:color w:val="3B383A"/>
          <w:w w:val="115"/>
        </w:rPr>
        <w:t>them</w:t>
      </w:r>
      <w:r>
        <w:rPr>
          <w:color w:val="3B383A"/>
          <w:spacing w:val="-4"/>
          <w:w w:val="115"/>
        </w:rPr>
        <w:t> </w:t>
      </w:r>
      <w:r>
        <w:rPr>
          <w:color w:val="3B383A"/>
          <w:w w:val="115"/>
        </w:rPr>
        <w:t>and</w:t>
      </w:r>
      <w:r>
        <w:rPr>
          <w:color w:val="3B383A"/>
          <w:spacing w:val="-11"/>
          <w:w w:val="115"/>
        </w:rPr>
        <w:t> </w:t>
      </w:r>
      <w:r>
        <w:rPr>
          <w:color w:val="3B383A"/>
          <w:w w:val="115"/>
        </w:rPr>
        <w:t>assess</w:t>
      </w:r>
      <w:r>
        <w:rPr>
          <w:color w:val="3B383A"/>
          <w:spacing w:val="-15"/>
          <w:w w:val="115"/>
        </w:rPr>
        <w:t> </w:t>
      </w:r>
      <w:r>
        <w:rPr>
          <w:color w:val="2A2628"/>
          <w:w w:val="115"/>
        </w:rPr>
        <w:t>their</w:t>
      </w:r>
      <w:r>
        <w:rPr>
          <w:color w:val="2A2628"/>
          <w:spacing w:val="-13"/>
          <w:w w:val="115"/>
        </w:rPr>
        <w:t> </w:t>
      </w:r>
      <w:r>
        <w:rPr>
          <w:color w:val="3B383A"/>
          <w:w w:val="115"/>
        </w:rPr>
        <w:t>validity.</w:t>
      </w:r>
    </w:p>
    <w:p>
      <w:pPr>
        <w:spacing w:after="0" w:line="232" w:lineRule="auto"/>
        <w:jc w:val="both"/>
        <w:sectPr>
          <w:type w:val="continuous"/>
          <w:pgSz w:w="9610" w:h="13770"/>
          <w:pgMar w:header="578" w:footer="0" w:top="340" w:bottom="280" w:left="440" w:right="1240"/>
        </w:sectPr>
      </w:pPr>
    </w:p>
    <w:p>
      <w:pPr>
        <w:pStyle w:val="BodyText"/>
        <w:spacing w:line="232" w:lineRule="auto" w:before="87"/>
        <w:ind w:left="784" w:right="70" w:firstLine="415"/>
        <w:jc w:val="both"/>
      </w:pPr>
      <w:r>
        <w:rPr>
          <w:color w:val="383638"/>
          <w:w w:val="105"/>
        </w:rPr>
        <w:t>The practical brief writer should assume, however, that none of hisor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her readers will read anything other than the brief itself before deciding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05"/>
        </w:rPr>
        <w:t>the case</w:t>
      </w:r>
      <w:r>
        <w:rPr>
          <w:color w:val="525252"/>
          <w:w w:val="105"/>
        </w:rPr>
        <w:t>. </w:t>
      </w:r>
      <w:r>
        <w:rPr>
          <w:color w:val="383638"/>
          <w:w w:val="105"/>
        </w:rPr>
        <w:t>Admittedly, at least the  judge who writes the opinion, or his or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her law clerk, will probably look up each cited case and review it to test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whether it adequately supports your argument</w:t>
      </w:r>
      <w:r>
        <w:rPr>
          <w:color w:val="525252"/>
          <w:w w:val="105"/>
        </w:rPr>
        <w:t>. </w:t>
      </w:r>
      <w:r>
        <w:rPr>
          <w:color w:val="383638"/>
          <w:w w:val="105"/>
        </w:rPr>
        <w:t>Some readers may conduct</w:t>
      </w:r>
      <w:r>
        <w:rPr>
          <w:color w:val="383638"/>
          <w:spacing w:val="1"/>
          <w:w w:val="105"/>
        </w:rPr>
        <w:t> </w:t>
      </w:r>
      <w:r>
        <w:rPr>
          <w:color w:val="383638"/>
          <w:spacing w:val="-1"/>
          <w:w w:val="110"/>
        </w:rPr>
        <w:t>additional research to </w:t>
      </w:r>
      <w:r>
        <w:rPr>
          <w:color w:val="383638"/>
          <w:w w:val="110"/>
        </w:rPr>
        <w:t>further test the validity of the parties' arguments</w:t>
      </w:r>
      <w:r>
        <w:rPr>
          <w:color w:val="525252"/>
          <w:w w:val="110"/>
        </w:rPr>
        <w:t>.</w:t>
      </w:r>
      <w:r>
        <w:rPr>
          <w:color w:val="525252"/>
          <w:spacing w:val="1"/>
          <w:w w:val="110"/>
        </w:rPr>
        <w:t> </w:t>
      </w:r>
      <w:r>
        <w:rPr>
          <w:color w:val="383638"/>
          <w:spacing w:val="-1"/>
          <w:w w:val="105"/>
        </w:rPr>
        <w:t>Because </w:t>
      </w:r>
      <w:r>
        <w:rPr>
          <w:color w:val="383638"/>
          <w:w w:val="105"/>
        </w:rPr>
        <w:t>the audience for an appellate brief includes all of the judges who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wiJI be voting, however, and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because not every judge will have time to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consult outside authorities, your brief should include enough  information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to </w:t>
      </w:r>
      <w:r>
        <w:rPr>
          <w:rFonts w:ascii="Arial"/>
          <w:color w:val="383638"/>
          <w:w w:val="105"/>
          <w:sz w:val="19"/>
        </w:rPr>
        <w:t>be </w:t>
      </w:r>
      <w:r>
        <w:rPr>
          <w:color w:val="383638"/>
          <w:w w:val="105"/>
        </w:rPr>
        <w:t>useful to those who want to go beyond it</w:t>
      </w:r>
      <w:r>
        <w:rPr>
          <w:color w:val="525252"/>
          <w:w w:val="105"/>
        </w:rPr>
        <w:t>, </w:t>
      </w:r>
      <w:r>
        <w:rPr>
          <w:color w:val="383638"/>
          <w:w w:val="105"/>
        </w:rPr>
        <w:t>but to be understandable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and</w:t>
      </w:r>
      <w:r>
        <w:rPr>
          <w:color w:val="383638"/>
          <w:spacing w:val="-11"/>
          <w:w w:val="105"/>
        </w:rPr>
        <w:t> </w:t>
      </w:r>
      <w:r>
        <w:rPr>
          <w:color w:val="383638"/>
          <w:w w:val="105"/>
        </w:rPr>
        <w:t>credible</w:t>
      </w:r>
      <w:r>
        <w:rPr>
          <w:color w:val="383638"/>
          <w:spacing w:val="-4"/>
          <w:w w:val="105"/>
        </w:rPr>
        <w:t> </w:t>
      </w:r>
      <w:r>
        <w:rPr>
          <w:color w:val="383638"/>
          <w:w w:val="105"/>
        </w:rPr>
        <w:t>to</w:t>
      </w:r>
      <w:r>
        <w:rPr>
          <w:color w:val="383638"/>
          <w:spacing w:val="19"/>
          <w:w w:val="105"/>
        </w:rPr>
        <w:t> </w:t>
      </w:r>
      <w:r>
        <w:rPr>
          <w:color w:val="383638"/>
          <w:w w:val="105"/>
        </w:rPr>
        <w:t>those</w:t>
      </w:r>
      <w:r>
        <w:rPr>
          <w:color w:val="383638"/>
          <w:spacing w:val="-11"/>
          <w:w w:val="105"/>
        </w:rPr>
        <w:t> </w:t>
      </w:r>
      <w:r>
        <w:rPr>
          <w:color w:val="383638"/>
          <w:w w:val="105"/>
        </w:rPr>
        <w:t>who</w:t>
      </w:r>
      <w:r>
        <w:rPr>
          <w:color w:val="383638"/>
          <w:spacing w:val="-5"/>
          <w:w w:val="105"/>
        </w:rPr>
        <w:t> </w:t>
      </w:r>
      <w:r>
        <w:rPr>
          <w:color w:val="383638"/>
          <w:w w:val="105"/>
        </w:rPr>
        <w:t>do</w:t>
      </w:r>
      <w:r>
        <w:rPr>
          <w:color w:val="383638"/>
          <w:spacing w:val="8"/>
          <w:w w:val="105"/>
        </w:rPr>
        <w:t> </w:t>
      </w:r>
      <w:r>
        <w:rPr>
          <w:color w:val="383638"/>
          <w:w w:val="105"/>
        </w:rPr>
        <w:t>not.</w:t>
      </w:r>
    </w:p>
    <w:p>
      <w:pPr>
        <w:pStyle w:val="BodyText"/>
        <w:spacing w:line="232" w:lineRule="auto"/>
        <w:ind w:left="737" w:right="120" w:firstLine="380"/>
        <w:jc w:val="both"/>
      </w:pPr>
      <w:r>
        <w:rPr>
          <w:color w:val="383638"/>
          <w:w w:val="110"/>
        </w:rPr>
        <w:t>With these concerns in mind</w:t>
      </w:r>
      <w:r>
        <w:rPr>
          <w:color w:val="525252"/>
          <w:w w:val="110"/>
        </w:rPr>
        <w:t>, </w:t>
      </w:r>
      <w:r>
        <w:rPr>
          <w:color w:val="383638"/>
          <w:w w:val="110"/>
        </w:rPr>
        <w:t>brief writers need to pay attention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several different aspects of using case authority: </w:t>
      </w:r>
      <w:r>
        <w:rPr>
          <w:rFonts w:ascii="Arial"/>
          <w:color w:val="383638"/>
          <w:w w:val="110"/>
          <w:sz w:val="19"/>
        </w:rPr>
        <w:t>(1) </w:t>
      </w:r>
      <w:r>
        <w:rPr>
          <w:color w:val="383638"/>
          <w:w w:val="110"/>
        </w:rPr>
        <w:t>they must provide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reader with an appropriate amount of information about the cases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they do cite; (2) they must </w:t>
      </w:r>
      <w:r>
        <w:rPr>
          <w:color w:val="383638"/>
          <w:w w:val="110"/>
        </w:rPr>
        <w:t>use quotations effectively; (3) they must use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language</w:t>
      </w:r>
      <w:r>
        <w:rPr>
          <w:color w:val="383638"/>
          <w:spacing w:val="9"/>
          <w:w w:val="110"/>
        </w:rPr>
        <w:t> </w:t>
      </w:r>
      <w:r>
        <w:rPr>
          <w:color w:val="383638"/>
          <w:spacing w:val="-1"/>
          <w:w w:val="110"/>
        </w:rPr>
        <w:t>precisely</w:t>
      </w:r>
      <w:r>
        <w:rPr>
          <w:color w:val="383638"/>
          <w:spacing w:val="12"/>
          <w:w w:val="110"/>
        </w:rPr>
        <w:t> </w:t>
      </w:r>
      <w:r>
        <w:rPr>
          <w:color w:val="383638"/>
          <w:spacing w:val="-1"/>
          <w:w w:val="110"/>
        </w:rPr>
        <w:t>when</w:t>
      </w:r>
      <w:r>
        <w:rPr>
          <w:color w:val="383638"/>
          <w:spacing w:val="21"/>
          <w:w w:val="110"/>
        </w:rPr>
        <w:t> </w:t>
      </w:r>
      <w:r>
        <w:rPr>
          <w:color w:val="383638"/>
          <w:spacing w:val="-1"/>
          <w:w w:val="110"/>
        </w:rPr>
        <w:t>they</w:t>
      </w:r>
      <w:r>
        <w:rPr>
          <w:color w:val="383638"/>
          <w:spacing w:val="-2"/>
          <w:w w:val="110"/>
        </w:rPr>
        <w:t> </w:t>
      </w:r>
      <w:r>
        <w:rPr>
          <w:color w:val="383638"/>
          <w:spacing w:val="-1"/>
          <w:w w:val="110"/>
        </w:rPr>
        <w:t>are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analogizing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28"/>
          <w:w w:val="110"/>
        </w:rPr>
        <w:t> </w:t>
      </w:r>
      <w:r>
        <w:rPr>
          <w:color w:val="383638"/>
          <w:w w:val="110"/>
        </w:rPr>
        <w:t>distinguishing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cases</w:t>
      </w:r>
      <w:r>
        <w:rPr>
          <w:color w:val="525252"/>
          <w:w w:val="110"/>
        </w:rPr>
        <w:t>;</w:t>
      </w:r>
    </w:p>
    <w:p>
      <w:pPr>
        <w:pStyle w:val="BodyText"/>
        <w:spacing w:line="235" w:lineRule="auto"/>
        <w:ind w:left="723" w:right="138" w:firstLine="2"/>
        <w:jc w:val="both"/>
      </w:pPr>
      <w:r>
        <w:rPr>
          <w:color w:val="383638"/>
          <w:w w:val="105"/>
        </w:rPr>
        <w:t>(4) they must use unpublished decisions properly</w:t>
      </w:r>
      <w:r>
        <w:rPr>
          <w:color w:val="525252"/>
          <w:w w:val="105"/>
        </w:rPr>
        <w:t>; </w:t>
      </w:r>
      <w:r>
        <w:rPr>
          <w:color w:val="383638"/>
          <w:w w:val="105"/>
        </w:rPr>
        <w:t>and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(5) they must use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citations in a way that makes it easy for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judge or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judge's clerk to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verify</w:t>
      </w:r>
      <w:r>
        <w:rPr>
          <w:color w:val="383638"/>
          <w:spacing w:val="-14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43"/>
          <w:w w:val="105"/>
        </w:rPr>
        <w:t> </w:t>
      </w:r>
      <w:r>
        <w:rPr>
          <w:color w:val="383638"/>
          <w:w w:val="105"/>
        </w:rPr>
        <w:t>validity</w:t>
      </w:r>
      <w:r>
        <w:rPr>
          <w:color w:val="383638"/>
          <w:spacing w:val="-10"/>
          <w:w w:val="105"/>
        </w:rPr>
        <w:t> </w:t>
      </w:r>
      <w:r>
        <w:rPr>
          <w:color w:val="383638"/>
          <w:w w:val="105"/>
        </w:rPr>
        <w:t>of</w:t>
      </w:r>
      <w:r>
        <w:rPr>
          <w:color w:val="383638"/>
          <w:spacing w:val="16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48"/>
          <w:w w:val="105"/>
        </w:rPr>
        <w:t> </w:t>
      </w:r>
      <w:r>
        <w:rPr>
          <w:color w:val="383638"/>
          <w:w w:val="105"/>
        </w:rPr>
        <w:t>rules</w:t>
      </w:r>
      <w:r>
        <w:rPr>
          <w:color w:val="383638"/>
          <w:spacing w:val="-9"/>
          <w:w w:val="105"/>
        </w:rPr>
        <w:t> </w:t>
      </w:r>
      <w:r>
        <w:rPr>
          <w:color w:val="383638"/>
          <w:w w:val="105"/>
        </w:rPr>
        <w:t>and</w:t>
      </w:r>
      <w:r>
        <w:rPr>
          <w:color w:val="383638"/>
          <w:spacing w:val="16"/>
          <w:w w:val="105"/>
        </w:rPr>
        <w:t> </w:t>
      </w:r>
      <w:r>
        <w:rPr>
          <w:color w:val="383638"/>
          <w:w w:val="105"/>
        </w:rPr>
        <w:t>authorities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in</w:t>
      </w:r>
      <w:r>
        <w:rPr>
          <w:color w:val="383638"/>
          <w:spacing w:val="8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9"/>
          <w:w w:val="105"/>
        </w:rPr>
        <w:t> </w:t>
      </w:r>
      <w:r>
        <w:rPr>
          <w:color w:val="383638"/>
          <w:w w:val="105"/>
        </w:rPr>
        <w:t>argument.</w:t>
      </w:r>
    </w:p>
    <w:p>
      <w:pPr>
        <w:pStyle w:val="BodyText"/>
        <w:rPr>
          <w:sz w:val="26"/>
        </w:rPr>
      </w:pPr>
    </w:p>
    <w:p>
      <w:pPr>
        <w:spacing w:before="219"/>
        <w:ind w:left="1221" w:right="0" w:firstLine="0"/>
        <w:jc w:val="left"/>
        <w:rPr>
          <w:sz w:val="34"/>
        </w:rPr>
      </w:pPr>
      <w:r>
        <w:rPr>
          <w:color w:val="525252"/>
          <w:w w:val="115"/>
          <w:sz w:val="34"/>
        </w:rPr>
        <w:t>6</w:t>
      </w:r>
      <w:r>
        <w:rPr>
          <w:color w:val="383638"/>
          <w:w w:val="115"/>
          <w:sz w:val="34"/>
        </w:rPr>
        <w:t>.</w:t>
      </w:r>
      <w:r>
        <w:rPr>
          <w:color w:val="525252"/>
          <w:w w:val="115"/>
          <w:sz w:val="34"/>
        </w:rPr>
        <w:t>1</w:t>
      </w:r>
    </w:p>
    <w:p>
      <w:pPr>
        <w:spacing w:line="316" w:lineRule="auto" w:before="58"/>
        <w:ind w:left="1216" w:right="0" w:firstLine="8"/>
        <w:jc w:val="left"/>
        <w:rPr>
          <w:rFonts w:ascii="Arial"/>
          <w:sz w:val="25"/>
        </w:rPr>
      </w:pPr>
      <w:r>
        <w:rPr>
          <w:rFonts w:ascii="Arial"/>
          <w:color w:val="626264"/>
          <w:sz w:val="26"/>
        </w:rPr>
        <w:t>PROV</w:t>
      </w:r>
      <w:r>
        <w:rPr>
          <w:rFonts w:ascii="Arial"/>
          <w:color w:val="383638"/>
          <w:sz w:val="26"/>
        </w:rPr>
        <w:t>I</w:t>
      </w:r>
      <w:r>
        <w:rPr>
          <w:rFonts w:ascii="Arial"/>
          <w:color w:val="626264"/>
          <w:sz w:val="26"/>
        </w:rPr>
        <w:t>DIN</w:t>
      </w:r>
      <w:r>
        <w:rPr>
          <w:rFonts w:ascii="Arial"/>
          <w:color w:val="383638"/>
          <w:sz w:val="26"/>
        </w:rPr>
        <w:t>G</w:t>
      </w:r>
      <w:r>
        <w:rPr>
          <w:rFonts w:ascii="Arial"/>
          <w:color w:val="383638"/>
          <w:spacing w:val="29"/>
          <w:sz w:val="26"/>
        </w:rPr>
        <w:t> </w:t>
      </w:r>
      <w:r>
        <w:rPr>
          <w:rFonts w:ascii="Arial"/>
          <w:color w:val="525252"/>
          <w:sz w:val="25"/>
        </w:rPr>
        <w:t>APPROPRIATE</w:t>
      </w:r>
      <w:r>
        <w:rPr>
          <w:rFonts w:ascii="Arial"/>
          <w:color w:val="525252"/>
          <w:spacing w:val="48"/>
          <w:sz w:val="25"/>
        </w:rPr>
        <w:t> </w:t>
      </w:r>
      <w:r>
        <w:rPr>
          <w:rFonts w:ascii="Arial"/>
          <w:color w:val="797B7C"/>
          <w:sz w:val="25"/>
        </w:rPr>
        <w:t>DETAI</w:t>
      </w:r>
      <w:r>
        <w:rPr>
          <w:rFonts w:ascii="Arial"/>
          <w:color w:val="525252"/>
          <w:sz w:val="25"/>
        </w:rPr>
        <w:t>L</w:t>
      </w:r>
      <w:r>
        <w:rPr>
          <w:rFonts w:ascii="Arial"/>
          <w:color w:val="525252"/>
          <w:spacing w:val="7"/>
          <w:sz w:val="25"/>
        </w:rPr>
        <w:t> </w:t>
      </w:r>
      <w:r>
        <w:rPr>
          <w:rFonts w:ascii="Arial"/>
          <w:color w:val="626264"/>
          <w:sz w:val="26"/>
        </w:rPr>
        <w:t>IN</w:t>
      </w:r>
      <w:r>
        <w:rPr>
          <w:rFonts w:ascii="Arial"/>
          <w:color w:val="626264"/>
          <w:spacing w:val="69"/>
          <w:sz w:val="26"/>
        </w:rPr>
        <w:t> </w:t>
      </w:r>
      <w:r>
        <w:rPr>
          <w:rFonts w:ascii="Arial"/>
          <w:color w:val="626264"/>
          <w:sz w:val="25"/>
        </w:rPr>
        <w:t>CASE</w:t>
      </w:r>
      <w:r>
        <w:rPr>
          <w:rFonts w:ascii="Arial"/>
          <w:color w:val="626264"/>
          <w:spacing w:val="-66"/>
          <w:sz w:val="25"/>
        </w:rPr>
        <w:t> </w:t>
      </w:r>
      <w:r>
        <w:rPr>
          <w:rFonts w:ascii="Arial"/>
          <w:color w:val="626264"/>
          <w:w w:val="105"/>
          <w:sz w:val="25"/>
        </w:rPr>
        <w:t>DESCRIPTION</w:t>
      </w:r>
      <w:r>
        <w:rPr>
          <w:rFonts w:ascii="Arial"/>
          <w:color w:val="383638"/>
          <w:w w:val="105"/>
          <w:sz w:val="25"/>
        </w:rPr>
        <w:t>S</w:t>
      </w:r>
    </w:p>
    <w:p>
      <w:pPr>
        <w:pStyle w:val="BodyText"/>
        <w:spacing w:line="232" w:lineRule="auto" w:before="186"/>
        <w:ind w:left="553" w:right="174" w:firstLine="671"/>
        <w:jc w:val="both"/>
      </w:pPr>
      <w:r>
        <w:rPr>
          <w:color w:val="383638"/>
          <w:w w:val="110"/>
        </w:rPr>
        <w:t>Analyzing authority cases is an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essential  part of effective  writ•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ten advocacy</w:t>
      </w:r>
      <w:r>
        <w:rPr>
          <w:color w:val="525252"/>
          <w:w w:val="110"/>
        </w:rPr>
        <w:t>. </w:t>
      </w:r>
      <w:r>
        <w:rPr>
          <w:color w:val="383638"/>
          <w:w w:val="110"/>
        </w:rPr>
        <w:t>Many legal writers neglect this important task, presuming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wrongly that citations alone provide adequate support for the assertions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in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the brief</w:t>
      </w:r>
      <w:r>
        <w:rPr>
          <w:color w:val="525252"/>
          <w:w w:val="105"/>
        </w:rPr>
        <w:t>. </w:t>
      </w:r>
      <w:r>
        <w:rPr>
          <w:color w:val="383638"/>
          <w:w w:val="105"/>
        </w:rPr>
        <w:t>They seem to have the  mistaken impression that  judges have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all of the needed law at their mental fingertips and that the brief writer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needs only to allude to some of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relevant authorities, drop in some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favorite quotations, or provide a string cite of the cases that might have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some bearing on the case at bar-certainly the judge and  the  clerks can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fill in the rest. Most readers, however, need more information than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citation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can give.</w:t>
      </w:r>
    </w:p>
    <w:p>
      <w:pPr>
        <w:pStyle w:val="BodyText"/>
        <w:spacing w:line="230" w:lineRule="auto" w:before="9"/>
        <w:ind w:left="454" w:right="223" w:firstLine="457"/>
        <w:jc w:val="both"/>
      </w:pPr>
      <w:r>
        <w:rPr>
          <w:color w:val="383638"/>
          <w:w w:val="105"/>
        </w:rPr>
        <w:t>I gladly agree with the premise that judges are extremely intelligent and</w:t>
      </w:r>
      <w:r>
        <w:rPr>
          <w:color w:val="383638"/>
          <w:spacing w:val="-58"/>
          <w:w w:val="105"/>
        </w:rPr>
        <w:t> </w:t>
      </w:r>
      <w:r>
        <w:rPr>
          <w:color w:val="383638"/>
          <w:w w:val="105"/>
        </w:rPr>
        <w:t>very knowledgeable about  the law. However,  there is a difference  between</w:t>
      </w:r>
      <w:r>
        <w:rPr>
          <w:color w:val="383638"/>
          <w:spacing w:val="-58"/>
          <w:w w:val="105"/>
        </w:rPr>
        <w:t> </w:t>
      </w:r>
      <w:r>
        <w:rPr>
          <w:color w:val="383638"/>
          <w:w w:val="105"/>
        </w:rPr>
        <w:t>a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judge's general knowledge and the specific knowledge that is needed to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decide a case intelligently</w:t>
      </w:r>
      <w:r>
        <w:rPr>
          <w:color w:val="525252"/>
          <w:w w:val="105"/>
        </w:rPr>
        <w:t>. </w:t>
      </w:r>
      <w:r>
        <w:rPr>
          <w:color w:val="383638"/>
          <w:w w:val="105"/>
        </w:rPr>
        <w:t>Most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judges know and understand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general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rules that appJy to commonly encountered legal issues. This means that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 do not need to discuss the  British practice of writs of assistance 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the colonies when arguing a Fourth Amendment case or cite to </w:t>
      </w:r>
      <w:r>
        <w:rPr>
          <w:rFonts w:ascii="Arial"/>
          <w:i/>
          <w:color w:val="383638"/>
          <w:w w:val="105"/>
          <w:sz w:val="21"/>
        </w:rPr>
        <w:t>Marbury v.</w:t>
      </w:r>
      <w:r>
        <w:rPr>
          <w:rFonts w:ascii="Arial"/>
          <w:i/>
          <w:color w:val="383638"/>
          <w:spacing w:val="1"/>
          <w:w w:val="105"/>
          <w:sz w:val="21"/>
        </w:rPr>
        <w:t> </w:t>
      </w:r>
      <w:r>
        <w:rPr>
          <w:i/>
          <w:color w:val="383638"/>
          <w:spacing w:val="-1"/>
          <w:w w:val="110"/>
          <w:sz w:val="24"/>
        </w:rPr>
        <w:t>Madison</w:t>
      </w:r>
      <w:r>
        <w:rPr>
          <w:i/>
          <w:color w:val="383638"/>
          <w:spacing w:val="5"/>
          <w:w w:val="110"/>
          <w:sz w:val="24"/>
        </w:rPr>
        <w:t> </w:t>
      </w:r>
      <w:r>
        <w:rPr>
          <w:color w:val="383638"/>
          <w:spacing w:val="-1"/>
          <w:w w:val="110"/>
        </w:rPr>
        <w:t>if</w:t>
      </w:r>
      <w:r>
        <w:rPr>
          <w:color w:val="383638"/>
          <w:spacing w:val="9"/>
          <w:w w:val="110"/>
        </w:rPr>
        <w:t> </w:t>
      </w:r>
      <w:r>
        <w:rPr>
          <w:color w:val="383638"/>
          <w:spacing w:val="-1"/>
          <w:w w:val="110"/>
        </w:rPr>
        <w:t>you</w:t>
      </w:r>
      <w:r>
        <w:rPr>
          <w:color w:val="383638"/>
          <w:spacing w:val="44"/>
          <w:w w:val="110"/>
        </w:rPr>
        <w:t> </w:t>
      </w:r>
      <w:r>
        <w:rPr>
          <w:color w:val="383638"/>
          <w:spacing w:val="-1"/>
          <w:w w:val="110"/>
        </w:rPr>
        <w:t>are</w:t>
      </w:r>
      <w:r>
        <w:rPr>
          <w:color w:val="383638"/>
          <w:spacing w:val="37"/>
          <w:w w:val="110"/>
        </w:rPr>
        <w:t> </w:t>
      </w:r>
      <w:r>
        <w:rPr>
          <w:color w:val="383638"/>
          <w:spacing w:val="-1"/>
          <w:w w:val="110"/>
        </w:rPr>
        <w:t>asking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court to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declare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statute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unconstitutional.</w:t>
      </w:r>
    </w:p>
    <w:p>
      <w:pPr>
        <w:spacing w:after="0" w:line="230" w:lineRule="auto"/>
        <w:jc w:val="both"/>
        <w:sectPr>
          <w:pgSz w:w="9430" w:h="13800"/>
          <w:pgMar w:header="578" w:footer="0" w:top="980" w:bottom="0" w:left="1300" w:right="0"/>
        </w:sectPr>
      </w:pPr>
    </w:p>
    <w:p>
      <w:pPr>
        <w:pStyle w:val="BodyText"/>
        <w:spacing w:line="232" w:lineRule="auto" w:before="87"/>
        <w:ind w:left="124" w:right="289" w:firstLine="3"/>
        <w:jc w:val="both"/>
      </w:pPr>
      <w:r>
        <w:rPr>
          <w:color w:val="383638"/>
          <w:w w:val="110"/>
        </w:rPr>
        <w:t>Having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general knowledge to understand what rules mean and how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they apply does </w:t>
      </w:r>
      <w:r>
        <w:rPr>
          <w:i/>
          <w:color w:val="383638"/>
          <w:w w:val="110"/>
        </w:rPr>
        <w:t>not </w:t>
      </w:r>
      <w:r>
        <w:rPr>
          <w:color w:val="383638"/>
          <w:w w:val="110"/>
        </w:rPr>
        <w:t>suggest, however, that all judges know the particular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details of every case that youcite, or why and how each is relevant to your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legal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argument.</w:t>
      </w:r>
    </w:p>
    <w:p>
      <w:pPr>
        <w:pStyle w:val="BodyText"/>
        <w:spacing w:line="232" w:lineRule="auto" w:before="4"/>
        <w:ind w:left="116" w:right="255" w:firstLine="349"/>
        <w:jc w:val="both"/>
        <w:rPr>
          <w:sz w:val="12"/>
        </w:rPr>
      </w:pPr>
      <w:r>
        <w:rPr>
          <w:color w:val="383638"/>
          <w:w w:val="115"/>
        </w:rPr>
        <w:t>When you cite a case in a brief, it will most likely be for one of two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5"/>
        </w:rPr>
        <w:t>reasons. You may be using the case to provide "rule authority"; that is,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you are citing the case to provide authority for the existence of a rule</w:t>
      </w:r>
      <w:r>
        <w:rPr>
          <w:color w:val="525254"/>
          <w:w w:val="115"/>
        </w:rPr>
        <w:t>.</w:t>
      </w:r>
      <w:r>
        <w:rPr>
          <w:color w:val="525254"/>
          <w:spacing w:val="1"/>
          <w:w w:val="115"/>
        </w:rPr>
        <w:t> </w:t>
      </w:r>
      <w:r>
        <w:rPr>
          <w:color w:val="383638"/>
          <w:w w:val="110"/>
        </w:rPr>
        <w:t>More likely, however, you are citing the case as "illustrative authority";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that is, you believe that the case effectively illustrates how the rule has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been or should be applied. While the depth of your case description may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vary depending on whether it is being used as a rule authority or an illus­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trative authority, you should almost always provide some description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for each case you cite. As a former deputy solicitor general has noted,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"(e]very case that is worth citing ... 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is worth discussing sufficiently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show why it is particularly on point or sheds analogous light on the ques­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tion</w:t>
      </w:r>
      <w:r>
        <w:rPr>
          <w:color w:val="383638"/>
          <w:spacing w:val="-10"/>
          <w:w w:val="115"/>
        </w:rPr>
        <w:t> </w:t>
      </w:r>
      <w:r>
        <w:rPr>
          <w:color w:val="383638"/>
          <w:w w:val="115"/>
        </w:rPr>
        <w:t>at</w:t>
      </w:r>
      <w:r>
        <w:rPr>
          <w:color w:val="383638"/>
          <w:spacing w:val="14"/>
          <w:w w:val="115"/>
        </w:rPr>
        <w:t> </w:t>
      </w:r>
      <w:r>
        <w:rPr>
          <w:color w:val="383638"/>
          <w:w w:val="115"/>
        </w:rPr>
        <w:t>hand</w:t>
      </w:r>
      <w:r>
        <w:rPr>
          <w:color w:val="626264"/>
          <w:w w:val="115"/>
        </w:rPr>
        <w:t>.</w:t>
      </w:r>
      <w:r>
        <w:rPr>
          <w:color w:val="383638"/>
          <w:w w:val="115"/>
        </w:rPr>
        <w:t>"</w:t>
      </w:r>
      <w:r>
        <w:rPr>
          <w:color w:val="383638"/>
          <w:w w:val="115"/>
          <w:position w:val="11"/>
          <w:sz w:val="12"/>
        </w:rPr>
        <w:t>1</w:t>
      </w:r>
    </w:p>
    <w:p>
      <w:pPr>
        <w:pStyle w:val="BodyText"/>
        <w:spacing w:line="235" w:lineRule="auto" w:before="3"/>
        <w:ind w:left="122" w:right="241" w:firstLine="329"/>
        <w:jc w:val="both"/>
      </w:pPr>
      <w:r>
        <w:rPr>
          <w:color w:val="383638"/>
          <w:spacing w:val="-1"/>
          <w:w w:val="115"/>
        </w:rPr>
        <w:t>The question remains, what is "sufficient" </w:t>
      </w:r>
      <w:r>
        <w:rPr>
          <w:color w:val="383638"/>
          <w:w w:val="115"/>
        </w:rPr>
        <w:t>discussion? In most situa­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0"/>
        </w:rPr>
        <w:t>tions, </w:t>
      </w:r>
      <w:r>
        <w:rPr>
          <w:color w:val="383638"/>
          <w:w w:val="110"/>
          <w:sz w:val="22"/>
        </w:rPr>
        <w:t>if </w:t>
      </w:r>
      <w:r>
        <w:rPr>
          <w:color w:val="383638"/>
          <w:w w:val="110"/>
        </w:rPr>
        <w:t>you are citing a case, the reader should be able to glean four ele­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ments from your case description. Notice that I saythat the reader should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be able to </w:t>
      </w:r>
      <w:r>
        <w:rPr>
          <w:i/>
          <w:color w:val="383638"/>
          <w:w w:val="110"/>
        </w:rPr>
        <w:t>glean </w:t>
      </w:r>
      <w:r>
        <w:rPr>
          <w:color w:val="383638"/>
          <w:w w:val="110"/>
        </w:rPr>
        <w:t>these four elements</w:t>
      </w:r>
      <w:r>
        <w:rPr>
          <w:color w:val="525254"/>
          <w:w w:val="110"/>
        </w:rPr>
        <w:t>. </w:t>
      </w:r>
      <w:r>
        <w:rPr>
          <w:color w:val="383638"/>
          <w:w w:val="110"/>
        </w:rPr>
        <w:t>I am not  saying that youmust devote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a</w:t>
      </w:r>
      <w:r>
        <w:rPr>
          <w:color w:val="383638"/>
          <w:spacing w:val="-41"/>
          <w:w w:val="115"/>
        </w:rPr>
        <w:t> </w:t>
      </w:r>
      <w:r>
        <w:rPr>
          <w:color w:val="383638"/>
          <w:w w:val="115"/>
        </w:rPr>
        <w:t>sentence</w:t>
      </w:r>
      <w:r>
        <w:rPr>
          <w:color w:val="383638"/>
          <w:spacing w:val="-8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2"/>
          <w:w w:val="115"/>
        </w:rPr>
        <w:t> </w:t>
      </w:r>
      <w:r>
        <w:rPr>
          <w:color w:val="383638"/>
          <w:w w:val="115"/>
        </w:rPr>
        <w:t>each</w:t>
      </w:r>
      <w:r>
        <w:rPr>
          <w:color w:val="383638"/>
          <w:spacing w:val="-14"/>
          <w:w w:val="115"/>
        </w:rPr>
        <w:t> </w:t>
      </w:r>
      <w:r>
        <w:rPr>
          <w:color w:val="383638"/>
          <w:w w:val="115"/>
        </w:rPr>
        <w:t>of</w:t>
      </w:r>
      <w:r>
        <w:rPr>
          <w:color w:val="383638"/>
          <w:spacing w:val="10"/>
          <w:w w:val="115"/>
        </w:rPr>
        <w:t> </w:t>
      </w:r>
      <w:r>
        <w:rPr>
          <w:color w:val="383638"/>
          <w:w w:val="115"/>
        </w:rPr>
        <w:t>these</w:t>
      </w:r>
      <w:r>
        <w:rPr>
          <w:color w:val="383638"/>
          <w:spacing w:val="-16"/>
          <w:w w:val="115"/>
        </w:rPr>
        <w:t> </w:t>
      </w:r>
      <w:r>
        <w:rPr>
          <w:color w:val="383638"/>
          <w:w w:val="115"/>
        </w:rPr>
        <w:t>elements</w:t>
      </w:r>
      <w:r>
        <w:rPr>
          <w:color w:val="383638"/>
          <w:spacing w:val="-23"/>
          <w:w w:val="115"/>
        </w:rPr>
        <w:t> </w:t>
      </w:r>
      <w:r>
        <w:rPr>
          <w:color w:val="383638"/>
          <w:w w:val="115"/>
        </w:rPr>
        <w:t>or</w:t>
      </w:r>
      <w:r>
        <w:rPr>
          <w:color w:val="383638"/>
          <w:spacing w:val="-1"/>
          <w:w w:val="115"/>
        </w:rPr>
        <w:t> </w:t>
      </w:r>
      <w:r>
        <w:rPr>
          <w:color w:val="383638"/>
          <w:w w:val="115"/>
        </w:rPr>
        <w:t>even</w:t>
      </w:r>
      <w:r>
        <w:rPr>
          <w:color w:val="383638"/>
          <w:spacing w:val="-3"/>
          <w:w w:val="115"/>
        </w:rPr>
        <w:t> </w:t>
      </w:r>
      <w:r>
        <w:rPr>
          <w:color w:val="383638"/>
          <w:w w:val="115"/>
        </w:rPr>
        <w:t>that</w:t>
      </w:r>
      <w:r>
        <w:rPr>
          <w:color w:val="383638"/>
          <w:spacing w:val="-11"/>
          <w:w w:val="115"/>
        </w:rPr>
        <w:t> </w:t>
      </w:r>
      <w:r>
        <w:rPr>
          <w:color w:val="383638"/>
          <w:w w:val="115"/>
        </w:rPr>
        <w:t>you</w:t>
      </w:r>
      <w:r>
        <w:rPr>
          <w:color w:val="383638"/>
          <w:spacing w:val="-35"/>
          <w:w w:val="115"/>
        </w:rPr>
        <w:t> </w:t>
      </w:r>
      <w:r>
        <w:rPr>
          <w:color w:val="383638"/>
          <w:w w:val="115"/>
        </w:rPr>
        <w:t>must</w:t>
      </w:r>
      <w:r>
        <w:rPr>
          <w:color w:val="383638"/>
          <w:spacing w:val="-22"/>
          <w:w w:val="115"/>
        </w:rPr>
        <w:t> </w:t>
      </w:r>
      <w:r>
        <w:rPr>
          <w:color w:val="383638"/>
          <w:w w:val="115"/>
        </w:rPr>
        <w:t>state</w:t>
      </w:r>
      <w:r>
        <w:rPr>
          <w:color w:val="383638"/>
          <w:spacing w:val="-32"/>
          <w:w w:val="115"/>
        </w:rPr>
        <w:t> </w:t>
      </w:r>
      <w:r>
        <w:rPr>
          <w:color w:val="383638"/>
          <w:w w:val="115"/>
        </w:rPr>
        <w:t>each</w:t>
      </w:r>
      <w:r>
        <w:rPr>
          <w:color w:val="383638"/>
          <w:spacing w:val="-12"/>
          <w:w w:val="115"/>
        </w:rPr>
        <w:t> </w:t>
      </w:r>
      <w:r>
        <w:rPr>
          <w:color w:val="383638"/>
          <w:w w:val="115"/>
        </w:rPr>
        <w:t>one</w:t>
      </w:r>
      <w:r>
        <w:rPr>
          <w:color w:val="383638"/>
          <w:spacing w:val="-63"/>
          <w:w w:val="115"/>
        </w:rPr>
        <w:t> </w:t>
      </w:r>
      <w:r>
        <w:rPr>
          <w:color w:val="383638"/>
          <w:w w:val="110"/>
        </w:rPr>
        <w:t>directly.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decisions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which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elements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state</w:t>
      </w:r>
      <w:r>
        <w:rPr>
          <w:color w:val="383638"/>
          <w:spacing w:val="-34"/>
          <w:w w:val="110"/>
        </w:rPr>
        <w:t> </w:t>
      </w:r>
      <w:r>
        <w:rPr>
          <w:color w:val="383638"/>
          <w:w w:val="110"/>
        </w:rPr>
        <w:t>directly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which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leave unstated will depend, as do most decisions, on the context in which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31"/>
          <w:w w:val="110"/>
        </w:rPr>
        <w:t> </w:t>
      </w:r>
      <w:r>
        <w:rPr>
          <w:color w:val="383638"/>
          <w:w w:val="110"/>
        </w:rPr>
        <w:t>case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descriptions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appear.</w:t>
      </w:r>
    </w:p>
    <w:p>
      <w:pPr>
        <w:pStyle w:val="BodyText"/>
        <w:spacing w:line="255" w:lineRule="exact"/>
        <w:ind w:left="466"/>
        <w:jc w:val="both"/>
      </w:pPr>
      <w:r>
        <w:rPr>
          <w:color w:val="383638"/>
          <w:w w:val="110"/>
        </w:rPr>
        <w:t>With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warning,</w:t>
      </w:r>
      <w:r>
        <w:rPr>
          <w:color w:val="383638"/>
          <w:spacing w:val="40"/>
          <w:w w:val="110"/>
        </w:rPr>
        <w:t> </w:t>
      </w:r>
      <w:r>
        <w:rPr>
          <w:color w:val="383638"/>
          <w:w w:val="110"/>
        </w:rPr>
        <w:t>here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are</w:t>
      </w:r>
      <w:r>
        <w:rPr>
          <w:color w:val="383638"/>
          <w:spacing w:val="26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elements:</w:t>
      </w:r>
    </w:p>
    <w:p>
      <w:pPr>
        <w:pStyle w:val="ListParagraph"/>
        <w:numPr>
          <w:ilvl w:val="0"/>
          <w:numId w:val="51"/>
        </w:numPr>
        <w:tabs>
          <w:tab w:pos="789" w:val="left" w:leader="none"/>
        </w:tabs>
        <w:spacing w:line="235" w:lineRule="auto" w:before="2" w:after="0"/>
        <w:ind w:left="129" w:right="212" w:firstLine="337"/>
        <w:jc w:val="both"/>
        <w:rPr>
          <w:rFonts w:ascii="Arial" w:hAnsi="Arial"/>
          <w:color w:val="383638"/>
          <w:sz w:val="20"/>
        </w:rPr>
      </w:pPr>
      <w:r>
        <w:rPr>
          <w:b/>
          <w:color w:val="383638"/>
          <w:w w:val="110"/>
          <w:sz w:val="23"/>
        </w:rPr>
        <w:t>The issue. </w:t>
      </w:r>
      <w:r>
        <w:rPr>
          <w:color w:val="383638"/>
          <w:w w:val="110"/>
          <w:sz w:val="23"/>
        </w:rPr>
        <w:t>Be sure that the reader can identify which of the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case's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spacing w:val="-1"/>
          <w:w w:val="110"/>
          <w:sz w:val="23"/>
        </w:rPr>
        <w:t>many </w:t>
      </w:r>
      <w:r>
        <w:rPr>
          <w:color w:val="383638"/>
          <w:w w:val="110"/>
          <w:sz w:val="23"/>
        </w:rPr>
        <w:t>issues and sub-issues you are using the case to illustrate. You should</w:t>
      </w:r>
      <w:r>
        <w:rPr>
          <w:color w:val="383638"/>
          <w:spacing w:val="-61"/>
          <w:w w:val="110"/>
          <w:sz w:val="23"/>
        </w:rPr>
        <w:t> </w:t>
      </w:r>
      <w:r>
        <w:rPr>
          <w:color w:val="383638"/>
          <w:w w:val="115"/>
          <w:sz w:val="23"/>
        </w:rPr>
        <w:t>also provide the  legal context in which the court analyzed that issue, </w:t>
      </w:r>
      <w:r>
        <w:rPr>
          <w:i/>
          <w:color w:val="383638"/>
          <w:w w:val="115"/>
          <w:sz w:val="23"/>
        </w:rPr>
        <w:t>if</w:t>
      </w:r>
      <w:r>
        <w:rPr>
          <w:i/>
          <w:color w:val="383638"/>
          <w:spacing w:val="1"/>
          <w:w w:val="115"/>
          <w:sz w:val="23"/>
        </w:rPr>
        <w:t> </w:t>
      </w:r>
      <w:r>
        <w:rPr>
          <w:i/>
          <w:color w:val="383638"/>
          <w:sz w:val="23"/>
        </w:rPr>
        <w:t>it is different</w:t>
      </w:r>
      <w:r>
        <w:rPr>
          <w:i/>
          <w:color w:val="383638"/>
          <w:spacing w:val="57"/>
          <w:sz w:val="23"/>
        </w:rPr>
        <w:t> </w:t>
      </w:r>
      <w:r>
        <w:rPr>
          <w:i/>
          <w:color w:val="383638"/>
          <w:sz w:val="23"/>
        </w:rPr>
        <w:t>from the</w:t>
      </w:r>
      <w:r>
        <w:rPr>
          <w:i/>
          <w:color w:val="383638"/>
          <w:spacing w:val="58"/>
          <w:sz w:val="23"/>
        </w:rPr>
        <w:t> </w:t>
      </w:r>
      <w:r>
        <w:rPr>
          <w:i/>
          <w:color w:val="383638"/>
          <w:sz w:val="23"/>
        </w:rPr>
        <w:t>context of the</w:t>
      </w:r>
      <w:r>
        <w:rPr>
          <w:i/>
          <w:color w:val="383638"/>
          <w:spacing w:val="57"/>
          <w:sz w:val="23"/>
        </w:rPr>
        <w:t> </w:t>
      </w:r>
      <w:r>
        <w:rPr>
          <w:i/>
          <w:color w:val="383638"/>
          <w:sz w:val="23"/>
        </w:rPr>
        <w:t>case at</w:t>
      </w:r>
      <w:r>
        <w:rPr>
          <w:i/>
          <w:color w:val="383638"/>
          <w:spacing w:val="58"/>
          <w:sz w:val="23"/>
        </w:rPr>
        <w:t> </w:t>
      </w:r>
      <w:r>
        <w:rPr>
          <w:i/>
          <w:color w:val="383638"/>
          <w:sz w:val="23"/>
        </w:rPr>
        <w:t>bar or the cases</w:t>
      </w:r>
      <w:r>
        <w:rPr>
          <w:i/>
          <w:color w:val="383638"/>
          <w:spacing w:val="57"/>
          <w:sz w:val="23"/>
        </w:rPr>
        <w:t> </w:t>
      </w:r>
      <w:r>
        <w:rPr>
          <w:i/>
          <w:color w:val="383638"/>
          <w:sz w:val="23"/>
        </w:rPr>
        <w:t>under discussion</w:t>
      </w:r>
      <w:r>
        <w:rPr>
          <w:i/>
          <w:color w:val="383638"/>
          <w:spacing w:val="1"/>
          <w:sz w:val="23"/>
        </w:rPr>
        <w:t> </w:t>
      </w:r>
      <w:r>
        <w:rPr>
          <w:i/>
          <w:color w:val="383638"/>
          <w:w w:val="105"/>
          <w:sz w:val="23"/>
        </w:rPr>
        <w:t>in that section of  your argument. </w:t>
      </w:r>
      <w:r>
        <w:rPr>
          <w:color w:val="383638"/>
          <w:w w:val="105"/>
          <w:sz w:val="22"/>
        </w:rPr>
        <w:t>If </w:t>
      </w:r>
      <w:r>
        <w:rPr>
          <w:color w:val="383638"/>
          <w:w w:val="105"/>
          <w:sz w:val="23"/>
        </w:rPr>
        <w:t>you  will be analogizing or distinguish­</w:t>
      </w:r>
      <w:r>
        <w:rPr>
          <w:color w:val="383638"/>
          <w:spacing w:val="1"/>
          <w:w w:val="105"/>
          <w:sz w:val="23"/>
        </w:rPr>
        <w:t> </w:t>
      </w:r>
      <w:r>
        <w:rPr>
          <w:color w:val="383638"/>
          <w:w w:val="115"/>
          <w:sz w:val="23"/>
        </w:rPr>
        <w:t>ing the case based on some particular facet of the legal issue, be sure to</w:t>
      </w:r>
      <w:r>
        <w:rPr>
          <w:color w:val="383638"/>
          <w:spacing w:val="-64"/>
          <w:w w:val="115"/>
          <w:sz w:val="23"/>
        </w:rPr>
        <w:t> </w:t>
      </w:r>
      <w:r>
        <w:rPr>
          <w:color w:val="383638"/>
          <w:w w:val="115"/>
          <w:sz w:val="23"/>
        </w:rPr>
        <w:t>provide sufficient detail so that the reader can understand that facet of</w:t>
      </w:r>
      <w:r>
        <w:rPr>
          <w:color w:val="383638"/>
          <w:spacing w:val="1"/>
          <w:w w:val="115"/>
          <w:sz w:val="23"/>
        </w:rPr>
        <w:t> </w:t>
      </w:r>
      <w:r>
        <w:rPr>
          <w:color w:val="383638"/>
          <w:w w:val="115"/>
          <w:sz w:val="23"/>
        </w:rPr>
        <w:t>the</w:t>
      </w:r>
      <w:r>
        <w:rPr>
          <w:color w:val="383638"/>
          <w:spacing w:val="-23"/>
          <w:w w:val="115"/>
          <w:sz w:val="23"/>
        </w:rPr>
        <w:t> </w:t>
      </w:r>
      <w:r>
        <w:rPr>
          <w:color w:val="383638"/>
          <w:w w:val="115"/>
          <w:sz w:val="23"/>
        </w:rPr>
        <w:t>issue.</w:t>
      </w:r>
    </w:p>
    <w:p>
      <w:pPr>
        <w:pStyle w:val="ListParagraph"/>
        <w:numPr>
          <w:ilvl w:val="0"/>
          <w:numId w:val="51"/>
        </w:numPr>
        <w:tabs>
          <w:tab w:pos="781" w:val="left" w:leader="none"/>
        </w:tabs>
        <w:spacing w:line="235" w:lineRule="auto" w:before="0" w:after="0"/>
        <w:ind w:left="134" w:right="190" w:firstLine="334"/>
        <w:jc w:val="both"/>
        <w:rPr>
          <w:color w:val="383638"/>
          <w:sz w:val="23"/>
        </w:rPr>
      </w:pPr>
      <w:r>
        <w:rPr>
          <w:color w:val="383638"/>
          <w:w w:val="110"/>
          <w:sz w:val="23"/>
        </w:rPr>
        <w:t>The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disposition. Make clear how the court disposed of that narrow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issue</w:t>
      </w:r>
      <w:r>
        <w:rPr>
          <w:color w:val="383638"/>
          <w:spacing w:val="-10"/>
          <w:w w:val="110"/>
          <w:sz w:val="23"/>
        </w:rPr>
        <w:t> </w:t>
      </w:r>
      <w:r>
        <w:rPr>
          <w:color w:val="383638"/>
          <w:w w:val="110"/>
          <w:sz w:val="23"/>
        </w:rPr>
        <w:t>and,</w:t>
      </w:r>
      <w:r>
        <w:rPr>
          <w:color w:val="383638"/>
          <w:spacing w:val="-10"/>
          <w:w w:val="110"/>
          <w:sz w:val="23"/>
        </w:rPr>
        <w:t> </w:t>
      </w:r>
      <w:r>
        <w:rPr>
          <w:color w:val="383638"/>
          <w:w w:val="110"/>
          <w:sz w:val="23"/>
        </w:rPr>
        <w:t>if</w:t>
      </w:r>
      <w:r>
        <w:rPr>
          <w:color w:val="383638"/>
          <w:spacing w:val="11"/>
          <w:w w:val="110"/>
          <w:sz w:val="23"/>
        </w:rPr>
        <w:t> </w:t>
      </w:r>
      <w:r>
        <w:rPr>
          <w:color w:val="383638"/>
          <w:w w:val="110"/>
          <w:sz w:val="23"/>
        </w:rPr>
        <w:t>relevant,</w:t>
      </w:r>
      <w:r>
        <w:rPr>
          <w:color w:val="383638"/>
          <w:spacing w:val="14"/>
          <w:w w:val="110"/>
          <w:sz w:val="23"/>
        </w:rPr>
        <w:t> </w:t>
      </w:r>
      <w:r>
        <w:rPr>
          <w:color w:val="383638"/>
          <w:w w:val="110"/>
          <w:sz w:val="23"/>
        </w:rPr>
        <w:t>how</w:t>
      </w:r>
      <w:r>
        <w:rPr>
          <w:color w:val="383638"/>
          <w:spacing w:val="7"/>
          <w:w w:val="110"/>
          <w:sz w:val="23"/>
        </w:rPr>
        <w:t> </w:t>
      </w:r>
      <w:r>
        <w:rPr>
          <w:color w:val="383638"/>
          <w:w w:val="110"/>
          <w:sz w:val="23"/>
        </w:rPr>
        <w:t>it</w:t>
      </w:r>
      <w:r>
        <w:rPr>
          <w:color w:val="383638"/>
          <w:spacing w:val="6"/>
          <w:w w:val="110"/>
          <w:sz w:val="23"/>
        </w:rPr>
        <w:t> </w:t>
      </w:r>
      <w:r>
        <w:rPr>
          <w:color w:val="383638"/>
          <w:w w:val="110"/>
          <w:sz w:val="23"/>
        </w:rPr>
        <w:t>disposed</w:t>
      </w:r>
      <w:r>
        <w:rPr>
          <w:color w:val="383638"/>
          <w:spacing w:val="5"/>
          <w:w w:val="110"/>
          <w:sz w:val="23"/>
        </w:rPr>
        <w:t> </w:t>
      </w:r>
      <w:r>
        <w:rPr>
          <w:color w:val="383638"/>
          <w:w w:val="110"/>
          <w:sz w:val="23"/>
        </w:rPr>
        <w:t>of</w:t>
      </w:r>
      <w:r>
        <w:rPr>
          <w:color w:val="383638"/>
          <w:spacing w:val="14"/>
          <w:w w:val="110"/>
          <w:sz w:val="23"/>
        </w:rPr>
        <w:t> </w:t>
      </w:r>
      <w:r>
        <w:rPr>
          <w:color w:val="383638"/>
          <w:w w:val="110"/>
          <w:sz w:val="23"/>
        </w:rPr>
        <w:t>the</w:t>
      </w:r>
      <w:r>
        <w:rPr>
          <w:color w:val="383638"/>
          <w:spacing w:val="29"/>
          <w:w w:val="110"/>
          <w:sz w:val="23"/>
        </w:rPr>
        <w:t> </w:t>
      </w:r>
      <w:r>
        <w:rPr>
          <w:color w:val="383638"/>
          <w:w w:val="110"/>
          <w:sz w:val="23"/>
        </w:rPr>
        <w:t>entire</w:t>
      </w:r>
      <w:r>
        <w:rPr>
          <w:color w:val="383638"/>
          <w:spacing w:val="-22"/>
          <w:w w:val="110"/>
          <w:sz w:val="23"/>
        </w:rPr>
        <w:t> </w:t>
      </w:r>
      <w:r>
        <w:rPr>
          <w:color w:val="383638"/>
          <w:w w:val="110"/>
          <w:sz w:val="23"/>
        </w:rPr>
        <w:t>case.</w:t>
      </w:r>
    </w:p>
    <w:p>
      <w:pPr>
        <w:pStyle w:val="ListParagraph"/>
        <w:numPr>
          <w:ilvl w:val="0"/>
          <w:numId w:val="51"/>
        </w:numPr>
        <w:tabs>
          <w:tab w:pos="810" w:val="left" w:leader="none"/>
        </w:tabs>
        <w:spacing w:line="235" w:lineRule="auto" w:before="0" w:after="0"/>
        <w:ind w:left="132" w:right="159" w:firstLine="336"/>
        <w:jc w:val="both"/>
        <w:rPr>
          <w:color w:val="383638"/>
          <w:sz w:val="23"/>
        </w:rPr>
      </w:pPr>
      <w:r>
        <w:rPr>
          <w:color w:val="383638"/>
          <w:w w:val="115"/>
          <w:sz w:val="23"/>
        </w:rPr>
        <w:t>The facts</w:t>
      </w:r>
      <w:r>
        <w:rPr>
          <w:color w:val="525254"/>
          <w:w w:val="115"/>
          <w:sz w:val="23"/>
        </w:rPr>
        <w:t>. </w:t>
      </w:r>
      <w:r>
        <w:rPr>
          <w:color w:val="383638"/>
          <w:w w:val="115"/>
          <w:sz w:val="23"/>
        </w:rPr>
        <w:t>Include enough of the legally significant facts for the</w:t>
      </w:r>
      <w:r>
        <w:rPr>
          <w:color w:val="383638"/>
          <w:spacing w:val="1"/>
          <w:w w:val="115"/>
          <w:sz w:val="23"/>
        </w:rPr>
        <w:t> </w:t>
      </w:r>
      <w:r>
        <w:rPr>
          <w:color w:val="383638"/>
          <w:w w:val="115"/>
          <w:sz w:val="23"/>
        </w:rPr>
        <w:t>reader to understand how the court applied the law to reach its holding</w:t>
      </w:r>
      <w:r>
        <w:rPr>
          <w:color w:val="383638"/>
          <w:spacing w:val="1"/>
          <w:w w:val="115"/>
          <w:sz w:val="23"/>
        </w:rPr>
        <w:t> </w:t>
      </w:r>
      <w:r>
        <w:rPr>
          <w:color w:val="383638"/>
          <w:w w:val="110"/>
          <w:sz w:val="23"/>
        </w:rPr>
        <w:t>on the issue and  how the case is analogous to the case at bar. </w:t>
      </w:r>
      <w:r>
        <w:rPr>
          <w:color w:val="383638"/>
          <w:w w:val="110"/>
          <w:sz w:val="22"/>
        </w:rPr>
        <w:t>If </w:t>
      </w:r>
      <w:r>
        <w:rPr>
          <w:color w:val="383638"/>
          <w:w w:val="110"/>
          <w:sz w:val="23"/>
        </w:rPr>
        <w:t>you  wish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to draw an analogy to these facts or to distinguish your case based on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its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5"/>
          <w:sz w:val="23"/>
        </w:rPr>
        <w:t>facts,</w:t>
      </w:r>
      <w:r>
        <w:rPr>
          <w:color w:val="383638"/>
          <w:spacing w:val="-2"/>
          <w:w w:val="115"/>
          <w:sz w:val="23"/>
        </w:rPr>
        <w:t> </w:t>
      </w:r>
      <w:r>
        <w:rPr>
          <w:color w:val="383638"/>
          <w:w w:val="115"/>
          <w:sz w:val="23"/>
        </w:rPr>
        <w:t>provide</w:t>
      </w:r>
      <w:r>
        <w:rPr>
          <w:color w:val="383638"/>
          <w:spacing w:val="-8"/>
          <w:w w:val="115"/>
          <w:sz w:val="23"/>
        </w:rPr>
        <w:t> </w:t>
      </w:r>
      <w:r>
        <w:rPr>
          <w:color w:val="383638"/>
          <w:w w:val="115"/>
          <w:sz w:val="23"/>
        </w:rPr>
        <w:t>more</w:t>
      </w:r>
      <w:r>
        <w:rPr>
          <w:color w:val="383638"/>
          <w:spacing w:val="-16"/>
          <w:w w:val="115"/>
          <w:sz w:val="23"/>
        </w:rPr>
        <w:t> </w:t>
      </w:r>
      <w:r>
        <w:rPr>
          <w:color w:val="383638"/>
          <w:w w:val="115"/>
          <w:sz w:val="23"/>
        </w:rPr>
        <w:t>detail.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2"/>
        </w:rPr>
      </w:pPr>
    </w:p>
    <w:p>
      <w:pPr>
        <w:spacing w:line="225" w:lineRule="auto" w:before="0"/>
        <w:ind w:left="135" w:right="102" w:firstLine="340"/>
        <w:jc w:val="both"/>
        <w:rPr>
          <w:rFonts w:ascii="Arial"/>
          <w:sz w:val="16"/>
        </w:rPr>
      </w:pPr>
      <w:r>
        <w:rPr>
          <w:color w:val="383638"/>
          <w:w w:val="105"/>
          <w:sz w:val="16"/>
          <w:vertAlign w:val="superscript"/>
        </w:rPr>
        <w:t>1</w:t>
      </w:r>
      <w:r>
        <w:rPr>
          <w:rFonts w:ascii="Arial"/>
          <w:color w:val="383638"/>
          <w:w w:val="105"/>
          <w:sz w:val="16"/>
          <w:vertAlign w:val="baseline"/>
        </w:rPr>
        <w:t>James vanR</w:t>
      </w:r>
      <w:r>
        <w:rPr>
          <w:rFonts w:ascii="Arial"/>
          <w:color w:val="626264"/>
          <w:w w:val="105"/>
          <w:sz w:val="16"/>
          <w:vertAlign w:val="baseline"/>
        </w:rPr>
        <w:t>. </w:t>
      </w:r>
      <w:r>
        <w:rPr>
          <w:rFonts w:ascii="Arial"/>
          <w:color w:val="383638"/>
          <w:w w:val="105"/>
          <w:sz w:val="16"/>
          <w:vertAlign w:val="baseline"/>
        </w:rPr>
        <w:t>Springer, </w:t>
      </w:r>
      <w:r>
        <w:rPr>
          <w:i/>
          <w:color w:val="383638"/>
          <w:w w:val="105"/>
          <w:sz w:val="17"/>
          <w:vertAlign w:val="baseline"/>
        </w:rPr>
        <w:t>Symposium on Supreme Co11rt Advocacy: Some SuggesHons on</w:t>
      </w:r>
      <w:r>
        <w:rPr>
          <w:i/>
          <w:color w:val="383638"/>
          <w:spacing w:val="1"/>
          <w:w w:val="105"/>
          <w:sz w:val="17"/>
          <w:vertAlign w:val="baseline"/>
        </w:rPr>
        <w:t> </w:t>
      </w:r>
      <w:r>
        <w:rPr>
          <w:i/>
          <w:color w:val="383638"/>
          <w:w w:val="105"/>
          <w:sz w:val="17"/>
          <w:vertAlign w:val="baseline"/>
        </w:rPr>
        <w:t>Preparing</w:t>
      </w:r>
      <w:r>
        <w:rPr>
          <w:i/>
          <w:color w:val="383638"/>
          <w:spacing w:val="1"/>
          <w:w w:val="105"/>
          <w:sz w:val="17"/>
          <w:vertAlign w:val="baseline"/>
        </w:rPr>
        <w:t> </w:t>
      </w:r>
      <w:r>
        <w:rPr>
          <w:b/>
          <w:i/>
          <w:color w:val="383638"/>
          <w:w w:val="105"/>
          <w:sz w:val="17"/>
          <w:vertAlign w:val="baseline"/>
        </w:rPr>
        <w:t>Bri</w:t>
      </w:r>
      <w:r>
        <w:rPr>
          <w:b/>
          <w:i/>
          <w:color w:val="525254"/>
          <w:w w:val="105"/>
          <w:sz w:val="17"/>
          <w:vertAlign w:val="baseline"/>
        </w:rPr>
        <w:t>e</w:t>
      </w:r>
      <w:r>
        <w:rPr>
          <w:b/>
          <w:i/>
          <w:color w:val="383638"/>
          <w:w w:val="105"/>
          <w:sz w:val="17"/>
          <w:vertAlign w:val="baseline"/>
        </w:rPr>
        <w:t>fs </w:t>
      </w:r>
      <w:r>
        <w:rPr>
          <w:i/>
          <w:color w:val="383638"/>
          <w:w w:val="105"/>
          <w:sz w:val="17"/>
          <w:vertAlign w:val="baseline"/>
        </w:rPr>
        <w:t>on th</w:t>
      </w:r>
      <w:r>
        <w:rPr>
          <w:i/>
          <w:color w:val="525254"/>
          <w:w w:val="105"/>
          <w:sz w:val="17"/>
          <w:vertAlign w:val="baseline"/>
        </w:rPr>
        <w:t>e </w:t>
      </w:r>
      <w:r>
        <w:rPr>
          <w:i/>
          <w:color w:val="383638"/>
          <w:w w:val="105"/>
          <w:sz w:val="17"/>
          <w:vertAlign w:val="baseline"/>
        </w:rPr>
        <w:t>M</w:t>
      </w:r>
      <w:r>
        <w:rPr>
          <w:i/>
          <w:color w:val="525254"/>
          <w:w w:val="105"/>
          <w:sz w:val="17"/>
          <w:vertAlign w:val="baseline"/>
        </w:rPr>
        <w:t>e</w:t>
      </w:r>
      <w:r>
        <w:rPr>
          <w:i/>
          <w:color w:val="383638"/>
          <w:w w:val="105"/>
          <w:sz w:val="17"/>
          <w:vertAlign w:val="baseline"/>
        </w:rPr>
        <w:t>rits in th</w:t>
      </w:r>
      <w:r>
        <w:rPr>
          <w:i/>
          <w:color w:val="525254"/>
          <w:w w:val="105"/>
          <w:sz w:val="17"/>
          <w:vertAlign w:val="baseline"/>
        </w:rPr>
        <w:t>e </w:t>
      </w:r>
      <w:r>
        <w:rPr>
          <w:i/>
          <w:color w:val="383638"/>
          <w:w w:val="105"/>
          <w:sz w:val="17"/>
          <w:vertAlign w:val="baseline"/>
        </w:rPr>
        <w:t>Supreme </w:t>
      </w:r>
      <w:r>
        <w:rPr>
          <w:i/>
          <w:color w:val="525254"/>
          <w:w w:val="105"/>
          <w:sz w:val="17"/>
          <w:vertAlign w:val="baseline"/>
        </w:rPr>
        <w:t>C</w:t>
      </w:r>
      <w:r>
        <w:rPr>
          <w:i/>
          <w:color w:val="383638"/>
          <w:w w:val="105"/>
          <w:sz w:val="17"/>
          <w:vertAlign w:val="baseline"/>
        </w:rPr>
        <w:t>ourt of the Unit</w:t>
      </w:r>
      <w:r>
        <w:rPr>
          <w:i/>
          <w:color w:val="525254"/>
          <w:w w:val="105"/>
          <w:sz w:val="17"/>
          <w:vertAlign w:val="baseline"/>
        </w:rPr>
        <w:t>e</w:t>
      </w:r>
      <w:r>
        <w:rPr>
          <w:i/>
          <w:color w:val="383638"/>
          <w:w w:val="105"/>
          <w:sz w:val="17"/>
          <w:vertAlign w:val="baseline"/>
        </w:rPr>
        <w:t>d States,</w:t>
      </w:r>
      <w:r>
        <w:rPr>
          <w:rFonts w:ascii="Arial"/>
          <w:color w:val="383638"/>
          <w:w w:val="105"/>
          <w:sz w:val="16"/>
          <w:vertAlign w:val="baseline"/>
        </w:rPr>
        <w:t>33 </w:t>
      </w:r>
      <w:r>
        <w:rPr>
          <w:color w:val="383638"/>
          <w:w w:val="105"/>
          <w:sz w:val="18"/>
          <w:vertAlign w:val="baseline"/>
        </w:rPr>
        <w:t>Cath</w:t>
      </w:r>
      <w:r>
        <w:rPr>
          <w:color w:val="626264"/>
          <w:w w:val="105"/>
          <w:sz w:val="18"/>
          <w:vertAlign w:val="baseline"/>
        </w:rPr>
        <w:t>. </w:t>
      </w:r>
      <w:r>
        <w:rPr>
          <w:rFonts w:ascii="Arial"/>
          <w:color w:val="383638"/>
          <w:w w:val="105"/>
          <w:sz w:val="16"/>
          <w:vertAlign w:val="baseline"/>
        </w:rPr>
        <w:t>U</w:t>
      </w:r>
      <w:r>
        <w:rPr>
          <w:rFonts w:ascii="Arial"/>
          <w:color w:val="525254"/>
          <w:w w:val="105"/>
          <w:sz w:val="16"/>
          <w:vertAlign w:val="baseline"/>
        </w:rPr>
        <w:t>. </w:t>
      </w:r>
      <w:r>
        <w:rPr>
          <w:color w:val="383638"/>
          <w:w w:val="105"/>
          <w:sz w:val="17"/>
          <w:vertAlign w:val="baseline"/>
        </w:rPr>
        <w:t>L. </w:t>
      </w:r>
      <w:r>
        <w:rPr>
          <w:rFonts w:ascii="Arial"/>
          <w:color w:val="383638"/>
          <w:w w:val="105"/>
          <w:sz w:val="16"/>
          <w:vertAlign w:val="baseline"/>
        </w:rPr>
        <w:t>Rev</w:t>
      </w:r>
      <w:r>
        <w:rPr>
          <w:rFonts w:ascii="Arial"/>
          <w:color w:val="626264"/>
          <w:w w:val="105"/>
          <w:sz w:val="16"/>
          <w:vertAlign w:val="baseline"/>
        </w:rPr>
        <w:t>. </w:t>
      </w:r>
      <w:r>
        <w:rPr>
          <w:rFonts w:ascii="Arial"/>
          <w:color w:val="383638"/>
          <w:w w:val="105"/>
          <w:sz w:val="16"/>
          <w:vertAlign w:val="baseline"/>
        </w:rPr>
        <w:t>593, 601 ( 1984</w:t>
      </w:r>
      <w:r>
        <w:rPr>
          <w:rFonts w:ascii="Arial"/>
          <w:color w:val="525254"/>
          <w:w w:val="105"/>
          <w:sz w:val="16"/>
          <w:vertAlign w:val="baseline"/>
        </w:rPr>
        <w:t>)</w:t>
      </w:r>
      <w:r>
        <w:rPr>
          <w:rFonts w:ascii="Arial"/>
          <w:color w:val="383638"/>
          <w:w w:val="105"/>
          <w:sz w:val="16"/>
          <w:vertAlign w:val="baseline"/>
        </w:rPr>
        <w:t>. (The</w:t>
      </w:r>
      <w:r>
        <w:rPr>
          <w:rFonts w:ascii="Arial"/>
          <w:color w:val="383638"/>
          <w:spacing w:val="-44"/>
          <w:w w:val="105"/>
          <w:sz w:val="16"/>
          <w:vertAlign w:val="baseline"/>
        </w:rPr>
        <w:t> </w:t>
      </w:r>
      <w:r>
        <w:rPr>
          <w:color w:val="383638"/>
          <w:w w:val="110"/>
          <w:sz w:val="18"/>
          <w:vertAlign w:val="baseline"/>
        </w:rPr>
        <w:t>author</w:t>
      </w:r>
      <w:r>
        <w:rPr>
          <w:color w:val="383638"/>
          <w:spacing w:val="-12"/>
          <w:w w:val="110"/>
          <w:sz w:val="18"/>
          <w:vertAlign w:val="baseline"/>
        </w:rPr>
        <w:t> </w:t>
      </w:r>
      <w:r>
        <w:rPr>
          <w:color w:val="383638"/>
          <w:w w:val="110"/>
          <w:sz w:val="18"/>
          <w:vertAlign w:val="baseline"/>
        </w:rPr>
        <w:t>was</w:t>
      </w:r>
      <w:r>
        <w:rPr>
          <w:color w:val="383638"/>
          <w:spacing w:val="-18"/>
          <w:w w:val="110"/>
          <w:sz w:val="18"/>
          <w:vertAlign w:val="baseline"/>
        </w:rPr>
        <w:t> </w:t>
      </w:r>
      <w:r>
        <w:rPr>
          <w:color w:val="383638"/>
          <w:w w:val="110"/>
          <w:sz w:val="18"/>
          <w:vertAlign w:val="baseline"/>
        </w:rPr>
        <w:t>a</w:t>
      </w:r>
      <w:r>
        <w:rPr>
          <w:color w:val="383638"/>
          <w:spacing w:val="-7"/>
          <w:w w:val="110"/>
          <w:sz w:val="18"/>
          <w:vertAlign w:val="baseline"/>
        </w:rPr>
        <w:t> </w:t>
      </w:r>
      <w:r>
        <w:rPr>
          <w:rFonts w:ascii="Arial"/>
          <w:color w:val="383638"/>
          <w:w w:val="110"/>
          <w:sz w:val="16"/>
          <w:vertAlign w:val="baseline"/>
        </w:rPr>
        <w:t>deputy</w:t>
      </w:r>
      <w:r>
        <w:rPr>
          <w:rFonts w:ascii="Arial"/>
          <w:color w:val="383638"/>
          <w:spacing w:val="-13"/>
          <w:w w:val="110"/>
          <w:sz w:val="16"/>
          <w:vertAlign w:val="baseline"/>
        </w:rPr>
        <w:t> </w:t>
      </w:r>
      <w:r>
        <w:rPr>
          <w:color w:val="383638"/>
          <w:w w:val="110"/>
          <w:sz w:val="18"/>
          <w:vertAlign w:val="baseline"/>
        </w:rPr>
        <w:t>solicitor</w:t>
      </w:r>
      <w:r>
        <w:rPr>
          <w:color w:val="383638"/>
          <w:spacing w:val="-14"/>
          <w:w w:val="110"/>
          <w:sz w:val="18"/>
          <w:vertAlign w:val="baseline"/>
        </w:rPr>
        <w:t> </w:t>
      </w:r>
      <w:r>
        <w:rPr>
          <w:color w:val="383638"/>
          <w:w w:val="110"/>
          <w:sz w:val="18"/>
          <w:vertAlign w:val="baseline"/>
        </w:rPr>
        <w:t>general</w:t>
      </w:r>
      <w:r>
        <w:rPr>
          <w:color w:val="383638"/>
          <w:spacing w:val="-9"/>
          <w:w w:val="110"/>
          <w:sz w:val="18"/>
          <w:vertAlign w:val="baseline"/>
        </w:rPr>
        <w:t> </w:t>
      </w:r>
      <w:r>
        <w:rPr>
          <w:rFonts w:ascii="Arial"/>
          <w:color w:val="383638"/>
          <w:w w:val="110"/>
          <w:sz w:val="16"/>
          <w:vertAlign w:val="baseline"/>
        </w:rPr>
        <w:t>of</w:t>
      </w:r>
      <w:r>
        <w:rPr>
          <w:rFonts w:ascii="Arial"/>
          <w:color w:val="383638"/>
          <w:spacing w:val="29"/>
          <w:w w:val="110"/>
          <w:sz w:val="16"/>
          <w:vertAlign w:val="baseline"/>
        </w:rPr>
        <w:t> </w:t>
      </w:r>
      <w:r>
        <w:rPr>
          <w:color w:val="383638"/>
          <w:w w:val="110"/>
          <w:sz w:val="18"/>
          <w:vertAlign w:val="baseline"/>
        </w:rPr>
        <w:t>the</w:t>
      </w:r>
      <w:r>
        <w:rPr>
          <w:color w:val="383638"/>
          <w:spacing w:val="14"/>
          <w:w w:val="110"/>
          <w:sz w:val="18"/>
          <w:vertAlign w:val="baseline"/>
        </w:rPr>
        <w:t> </w:t>
      </w:r>
      <w:r>
        <w:rPr>
          <w:color w:val="383638"/>
          <w:w w:val="110"/>
          <w:sz w:val="18"/>
          <w:vertAlign w:val="baseline"/>
        </w:rPr>
        <w:t>United</w:t>
      </w:r>
      <w:r>
        <w:rPr>
          <w:color w:val="383638"/>
          <w:spacing w:val="-12"/>
          <w:w w:val="110"/>
          <w:sz w:val="18"/>
          <w:vertAlign w:val="baseline"/>
        </w:rPr>
        <w:t> </w:t>
      </w:r>
      <w:r>
        <w:rPr>
          <w:color w:val="383638"/>
          <w:w w:val="110"/>
          <w:sz w:val="18"/>
          <w:vertAlign w:val="baseline"/>
        </w:rPr>
        <w:t>States</w:t>
      </w:r>
      <w:r>
        <w:rPr>
          <w:color w:val="383638"/>
          <w:spacing w:val="-18"/>
          <w:w w:val="110"/>
          <w:sz w:val="18"/>
          <w:vertAlign w:val="baseline"/>
        </w:rPr>
        <w:t> </w:t>
      </w:r>
      <w:r>
        <w:rPr>
          <w:color w:val="383638"/>
          <w:w w:val="110"/>
          <w:sz w:val="18"/>
          <w:vertAlign w:val="baseline"/>
        </w:rPr>
        <w:t>from</w:t>
      </w:r>
      <w:r>
        <w:rPr>
          <w:color w:val="383638"/>
          <w:spacing w:val="-3"/>
          <w:w w:val="110"/>
          <w:sz w:val="18"/>
          <w:vertAlign w:val="baseline"/>
        </w:rPr>
        <w:t> </w:t>
      </w:r>
      <w:r>
        <w:rPr>
          <w:rFonts w:ascii="Arial"/>
          <w:color w:val="383638"/>
          <w:w w:val="110"/>
          <w:sz w:val="16"/>
          <w:vertAlign w:val="baseline"/>
        </w:rPr>
        <w:t>1968</w:t>
      </w:r>
      <w:r>
        <w:rPr>
          <w:rFonts w:ascii="Arial"/>
          <w:color w:val="383638"/>
          <w:spacing w:val="-7"/>
          <w:w w:val="110"/>
          <w:sz w:val="16"/>
          <w:vertAlign w:val="baseline"/>
        </w:rPr>
        <w:t> </w:t>
      </w:r>
      <w:r>
        <w:rPr>
          <w:rFonts w:ascii="Arial"/>
          <w:color w:val="383638"/>
          <w:w w:val="110"/>
          <w:sz w:val="16"/>
          <w:vertAlign w:val="baseline"/>
        </w:rPr>
        <w:t>to</w:t>
      </w:r>
      <w:r>
        <w:rPr>
          <w:rFonts w:ascii="Arial"/>
          <w:color w:val="383638"/>
          <w:spacing w:val="6"/>
          <w:w w:val="110"/>
          <w:sz w:val="16"/>
          <w:vertAlign w:val="baseline"/>
        </w:rPr>
        <w:t> </w:t>
      </w:r>
      <w:r>
        <w:rPr>
          <w:rFonts w:ascii="Arial"/>
          <w:color w:val="383638"/>
          <w:w w:val="110"/>
          <w:sz w:val="16"/>
          <w:vertAlign w:val="baseline"/>
        </w:rPr>
        <w:t>1971.)</w:t>
      </w:r>
    </w:p>
    <w:p>
      <w:pPr>
        <w:spacing w:after="0" w:line="225" w:lineRule="auto"/>
        <w:jc w:val="both"/>
        <w:rPr>
          <w:rFonts w:ascii="Arial"/>
          <w:sz w:val="16"/>
        </w:rPr>
        <w:sectPr>
          <w:headerReference w:type="default" r:id="rId143"/>
          <w:headerReference w:type="even" r:id="rId144"/>
          <w:pgSz w:w="9600" w:h="13760"/>
          <w:pgMar w:header="533" w:footer="0" w:top="1120" w:bottom="280" w:left="360" w:right="1300"/>
          <w:pgNumType w:start="119"/>
        </w:sectPr>
      </w:pPr>
    </w:p>
    <w:p>
      <w:pPr>
        <w:pStyle w:val="ListParagraph"/>
        <w:numPr>
          <w:ilvl w:val="0"/>
          <w:numId w:val="51"/>
        </w:numPr>
        <w:tabs>
          <w:tab w:pos="1539" w:val="left" w:leader="none"/>
        </w:tabs>
        <w:spacing w:line="235" w:lineRule="auto" w:before="85" w:after="0"/>
        <w:ind w:left="810" w:right="-44" w:firstLine="387"/>
        <w:jc w:val="both"/>
        <w:rPr>
          <w:color w:val="4B4B4D"/>
          <w:sz w:val="23"/>
        </w:rPr>
      </w:pPr>
      <w:r>
        <w:rPr>
          <w:color w:val="3A3838"/>
          <w:w w:val="110"/>
          <w:sz w:val="23"/>
        </w:rPr>
        <w:t>The </w:t>
      </w:r>
      <w:r>
        <w:rPr>
          <w:b/>
          <w:color w:val="3A3838"/>
          <w:w w:val="110"/>
          <w:sz w:val="23"/>
        </w:rPr>
        <w:t>reasoning. </w:t>
      </w:r>
      <w:r>
        <w:rPr>
          <w:color w:val="3A3838"/>
          <w:w w:val="110"/>
          <w:sz w:val="23"/>
        </w:rPr>
        <w:t>Include </w:t>
      </w:r>
      <w:r>
        <w:rPr>
          <w:color w:val="4B4B4D"/>
          <w:w w:val="110"/>
          <w:sz w:val="23"/>
        </w:rPr>
        <w:t>enough </w:t>
      </w:r>
      <w:r>
        <w:rPr>
          <w:color w:val="3A3838"/>
          <w:w w:val="110"/>
          <w:sz w:val="23"/>
        </w:rPr>
        <w:t>information to give the reader a</w:t>
      </w:r>
      <w:r>
        <w:rPr>
          <w:color w:val="3A3838"/>
          <w:spacing w:val="-61"/>
          <w:w w:val="110"/>
          <w:sz w:val="23"/>
        </w:rPr>
        <w:t> </w:t>
      </w:r>
      <w:r>
        <w:rPr>
          <w:color w:val="3A3838"/>
          <w:w w:val="105"/>
          <w:sz w:val="23"/>
        </w:rPr>
        <w:t>basic understanding of why the court decided the issue before it in the way</w:t>
      </w:r>
      <w:r>
        <w:rPr>
          <w:color w:val="3A3838"/>
          <w:spacing w:val="-58"/>
          <w:w w:val="105"/>
          <w:sz w:val="23"/>
        </w:rPr>
        <w:t> </w:t>
      </w:r>
      <w:r>
        <w:rPr>
          <w:color w:val="3A3838"/>
          <w:w w:val="105"/>
          <w:sz w:val="23"/>
        </w:rPr>
        <w:t>that it did. </w:t>
      </w:r>
      <w:r>
        <w:rPr>
          <w:color w:val="3A3838"/>
          <w:w w:val="105"/>
          <w:sz w:val="22"/>
        </w:rPr>
        <w:t>If </w:t>
      </w:r>
      <w:r>
        <w:rPr>
          <w:color w:val="3A3838"/>
          <w:w w:val="105"/>
          <w:sz w:val="23"/>
        </w:rPr>
        <w:t>either the case or the reasoning behind the court's decision is</w:t>
      </w:r>
      <w:r>
        <w:rPr>
          <w:color w:val="3A3838"/>
          <w:spacing w:val="1"/>
          <w:w w:val="105"/>
          <w:sz w:val="23"/>
        </w:rPr>
        <w:t> </w:t>
      </w:r>
      <w:r>
        <w:rPr>
          <w:color w:val="3A3838"/>
          <w:w w:val="110"/>
          <w:sz w:val="23"/>
        </w:rPr>
        <w:t>significant,</w:t>
      </w:r>
      <w:r>
        <w:rPr>
          <w:color w:val="3A3838"/>
          <w:spacing w:val="1"/>
          <w:w w:val="110"/>
          <w:sz w:val="23"/>
        </w:rPr>
        <w:t> </w:t>
      </w:r>
      <w:r>
        <w:rPr>
          <w:color w:val="3A3838"/>
          <w:w w:val="110"/>
          <w:sz w:val="23"/>
        </w:rPr>
        <w:t>provide</w:t>
      </w:r>
      <w:r>
        <w:rPr>
          <w:color w:val="3A3838"/>
          <w:spacing w:val="-9"/>
          <w:w w:val="110"/>
          <w:sz w:val="23"/>
        </w:rPr>
        <w:t> </w:t>
      </w:r>
      <w:r>
        <w:rPr>
          <w:color w:val="3A3838"/>
          <w:w w:val="110"/>
          <w:sz w:val="23"/>
        </w:rPr>
        <w:t>more</w:t>
      </w:r>
      <w:r>
        <w:rPr>
          <w:color w:val="3A3838"/>
          <w:spacing w:val="-32"/>
          <w:w w:val="110"/>
          <w:sz w:val="23"/>
        </w:rPr>
        <w:t> </w:t>
      </w:r>
      <w:r>
        <w:rPr>
          <w:color w:val="3A3838"/>
          <w:w w:val="110"/>
          <w:sz w:val="23"/>
        </w:rPr>
        <w:t>detail.</w:t>
      </w:r>
    </w:p>
    <w:p>
      <w:pPr>
        <w:pStyle w:val="BodyText"/>
        <w:spacing w:line="242" w:lineRule="exact"/>
        <w:ind w:left="1165"/>
        <w:jc w:val="both"/>
      </w:pPr>
      <w:r>
        <w:rPr>
          <w:color w:val="3A3838"/>
          <w:w w:val="105"/>
        </w:rPr>
        <w:t>When</w:t>
      </w:r>
      <w:r>
        <w:rPr>
          <w:color w:val="3A3838"/>
          <w:spacing w:val="36"/>
          <w:w w:val="105"/>
        </w:rPr>
        <w:t> </w:t>
      </w:r>
      <w:r>
        <w:rPr>
          <w:color w:val="3A3838"/>
          <w:w w:val="105"/>
        </w:rPr>
        <w:t>writing</w:t>
      </w:r>
      <w:r>
        <w:rPr>
          <w:color w:val="3A3838"/>
          <w:spacing w:val="7"/>
          <w:w w:val="105"/>
        </w:rPr>
        <w:t> </w:t>
      </w:r>
      <w:r>
        <w:rPr>
          <w:color w:val="3A3838"/>
          <w:w w:val="105"/>
        </w:rPr>
        <w:t>a</w:t>
      </w:r>
      <w:r>
        <w:rPr>
          <w:color w:val="3A3838"/>
          <w:spacing w:val="27"/>
          <w:w w:val="105"/>
        </w:rPr>
        <w:t> </w:t>
      </w:r>
      <w:r>
        <w:rPr>
          <w:color w:val="3A3838"/>
          <w:w w:val="105"/>
        </w:rPr>
        <w:t>case</w:t>
      </w:r>
      <w:r>
        <w:rPr>
          <w:color w:val="3A3838"/>
          <w:spacing w:val="12"/>
          <w:w w:val="105"/>
        </w:rPr>
        <w:t> </w:t>
      </w:r>
      <w:r>
        <w:rPr>
          <w:color w:val="3A3838"/>
          <w:w w:val="105"/>
        </w:rPr>
        <w:t>description,</w:t>
      </w:r>
      <w:r>
        <w:rPr>
          <w:color w:val="3A3838"/>
          <w:spacing w:val="36"/>
          <w:w w:val="105"/>
        </w:rPr>
        <w:t> </w:t>
      </w:r>
      <w:r>
        <w:rPr>
          <w:color w:val="3A3838"/>
          <w:w w:val="105"/>
        </w:rPr>
        <w:t>you</w:t>
      </w:r>
      <w:r>
        <w:rPr>
          <w:color w:val="3A3838"/>
          <w:spacing w:val="13"/>
          <w:w w:val="105"/>
        </w:rPr>
        <w:t> </w:t>
      </w:r>
      <w:r>
        <w:rPr>
          <w:color w:val="3A3838"/>
          <w:w w:val="105"/>
        </w:rPr>
        <w:t>should</w:t>
      </w:r>
      <w:r>
        <w:rPr>
          <w:color w:val="3A3838"/>
          <w:spacing w:val="44"/>
          <w:w w:val="105"/>
        </w:rPr>
        <w:t> </w:t>
      </w:r>
      <w:r>
        <w:rPr>
          <w:color w:val="3A3838"/>
          <w:w w:val="105"/>
        </w:rPr>
        <w:t>presume</w:t>
      </w:r>
      <w:r>
        <w:rPr>
          <w:color w:val="3A3838"/>
          <w:spacing w:val="36"/>
          <w:w w:val="105"/>
        </w:rPr>
        <w:t> </w:t>
      </w:r>
      <w:r>
        <w:rPr>
          <w:color w:val="3A3838"/>
          <w:w w:val="105"/>
        </w:rPr>
        <w:t>that</w:t>
      </w:r>
      <w:r>
        <w:rPr>
          <w:color w:val="3A3838"/>
          <w:spacing w:val="28"/>
          <w:w w:val="105"/>
        </w:rPr>
        <w:t> </w:t>
      </w:r>
      <w:r>
        <w:rPr>
          <w:color w:val="3A3838"/>
          <w:w w:val="105"/>
        </w:rPr>
        <w:t>you</w:t>
      </w:r>
      <w:r>
        <w:rPr>
          <w:color w:val="3A3838"/>
          <w:spacing w:val="45"/>
          <w:w w:val="105"/>
        </w:rPr>
        <w:t> </w:t>
      </w:r>
      <w:r>
        <w:rPr>
          <w:color w:val="3A3838"/>
          <w:w w:val="105"/>
        </w:rPr>
        <w:t>need</w:t>
      </w:r>
    </w:p>
    <w:p>
      <w:pPr>
        <w:pStyle w:val="BodyText"/>
        <w:spacing w:line="232" w:lineRule="auto" w:before="4"/>
        <w:ind w:left="688" w:right="-15" w:firstLine="121"/>
        <w:jc w:val="both"/>
      </w:pPr>
      <w:r>
        <w:rPr>
          <w:color w:val="3A3838"/>
          <w:w w:val="110"/>
        </w:rPr>
        <w:t>to</w:t>
      </w:r>
      <w:r>
        <w:rPr>
          <w:color w:val="3A3838"/>
          <w:spacing w:val="2"/>
          <w:w w:val="110"/>
        </w:rPr>
        <w:t> </w:t>
      </w:r>
      <w:r>
        <w:rPr>
          <w:color w:val="3A3838"/>
          <w:w w:val="110"/>
        </w:rPr>
        <w:t>include</w:t>
      </w:r>
      <w:r>
        <w:rPr>
          <w:color w:val="3A3838"/>
          <w:spacing w:val="-14"/>
          <w:w w:val="110"/>
        </w:rPr>
        <w:t> </w:t>
      </w:r>
      <w:r>
        <w:rPr>
          <w:color w:val="3A3838"/>
          <w:w w:val="110"/>
        </w:rPr>
        <w:t>alJ</w:t>
      </w:r>
      <w:r>
        <w:rPr>
          <w:color w:val="3A3838"/>
          <w:spacing w:val="-3"/>
          <w:w w:val="110"/>
        </w:rPr>
        <w:t> </w:t>
      </w:r>
      <w:r>
        <w:rPr>
          <w:color w:val="3A3838"/>
          <w:w w:val="110"/>
        </w:rPr>
        <w:t>four</w:t>
      </w:r>
      <w:r>
        <w:rPr>
          <w:color w:val="3A3838"/>
          <w:spacing w:val="-14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5"/>
          <w:w w:val="110"/>
        </w:rPr>
        <w:t> </w:t>
      </w:r>
      <w:r>
        <w:rPr>
          <w:color w:val="3A3838"/>
          <w:w w:val="110"/>
        </w:rPr>
        <w:t>these</w:t>
      </w:r>
      <w:r>
        <w:rPr>
          <w:color w:val="3A3838"/>
          <w:spacing w:val="-11"/>
          <w:w w:val="110"/>
        </w:rPr>
        <w:t> </w:t>
      </w:r>
      <w:r>
        <w:rPr>
          <w:color w:val="3A3838"/>
          <w:w w:val="110"/>
        </w:rPr>
        <w:t>elements</w:t>
      </w:r>
      <w:r>
        <w:rPr>
          <w:color w:val="606062"/>
          <w:w w:val="110"/>
        </w:rPr>
        <w:t>.</w:t>
      </w:r>
      <w:r>
        <w:rPr>
          <w:color w:val="606062"/>
          <w:spacing w:val="-6"/>
          <w:w w:val="110"/>
        </w:rPr>
        <w:t> </w:t>
      </w:r>
      <w:r>
        <w:rPr>
          <w:color w:val="3A3838"/>
          <w:w w:val="110"/>
        </w:rPr>
        <w:t>Admittedly,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on</w:t>
      </w:r>
      <w:r>
        <w:rPr>
          <w:color w:val="3A3838"/>
          <w:spacing w:val="15"/>
          <w:w w:val="110"/>
        </w:rPr>
        <w:t> </w:t>
      </w:r>
      <w:r>
        <w:rPr>
          <w:color w:val="3A3838"/>
          <w:w w:val="110"/>
        </w:rPr>
        <w:t>some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occasions,</w:t>
      </w:r>
      <w:r>
        <w:rPr>
          <w:color w:val="3A3838"/>
          <w:spacing w:val="-4"/>
          <w:w w:val="110"/>
        </w:rPr>
        <w:t> </w:t>
      </w:r>
      <w:r>
        <w:rPr>
          <w:b/>
          <w:color w:val="3A3838"/>
          <w:w w:val="110"/>
          <w:sz w:val="21"/>
        </w:rPr>
        <w:t>it</w:t>
      </w:r>
      <w:r>
        <w:rPr>
          <w:b/>
          <w:color w:val="3A3838"/>
          <w:spacing w:val="-55"/>
          <w:w w:val="110"/>
          <w:sz w:val="21"/>
        </w:rPr>
        <w:t> </w:t>
      </w:r>
      <w:r>
        <w:rPr>
          <w:color w:val="3A3838"/>
          <w:w w:val="105"/>
        </w:rPr>
        <w:t>may beappropriate to  include </w:t>
      </w:r>
      <w:r>
        <w:rPr>
          <w:rFonts w:ascii="Arial" w:hAnsi="Arial"/>
          <w:i/>
          <w:color w:val="3A3838"/>
          <w:w w:val="105"/>
          <w:sz w:val="22"/>
        </w:rPr>
        <w:t>only </w:t>
      </w:r>
      <w:r>
        <w:rPr>
          <w:color w:val="3A3838"/>
          <w:w w:val="105"/>
        </w:rPr>
        <w:t>three rather than four of  the  elements.</w:t>
      </w:r>
      <w:r>
        <w:rPr>
          <w:color w:val="3A3838"/>
          <w:spacing w:val="1"/>
          <w:w w:val="105"/>
        </w:rPr>
        <w:t> </w:t>
      </w:r>
      <w:r>
        <w:rPr>
          <w:i/>
          <w:color w:val="3A3838"/>
          <w:w w:val="105"/>
          <w:sz w:val="20"/>
        </w:rPr>
        <w:t>At </w:t>
      </w:r>
      <w:r>
        <w:rPr>
          <w:color w:val="3A3838"/>
          <w:w w:val="105"/>
        </w:rPr>
        <w:t>times, the facts may be omitted in a section devoted to an issue of law,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particularly in a situation in which the writer cites two or more cases With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similar fact situations. Likewise, when an argument turns on a question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of </w:t>
      </w:r>
      <w:r>
        <w:rPr>
          <w:color w:val="3A3838"/>
          <w:w w:val="105"/>
          <w:sz w:val="21"/>
        </w:rPr>
        <w:t>fact, </w:t>
      </w:r>
      <w:r>
        <w:rPr>
          <w:color w:val="3A3838"/>
          <w:w w:val="105"/>
        </w:rPr>
        <w:t>it may be permissible to omit a court's reasoning. When in doubt,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however, include all four elements. Note that including these four ele­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ments in a case description is not all that the effective brief writer must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do. To ensure that the brief is effective, you must be sure that your case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description is as succinct as possible; you must use verb tenses accurately;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you must choose when to use parenthetical case descriptions instead of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textual ones, and to do so effectively and appropriately; and you must be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certain</w:t>
      </w:r>
      <w:r>
        <w:rPr>
          <w:color w:val="3A3838"/>
          <w:spacing w:val="10"/>
          <w:w w:val="105"/>
        </w:rPr>
        <w:t> </w:t>
      </w:r>
      <w:r>
        <w:rPr>
          <w:color w:val="3A3838"/>
          <w:w w:val="105"/>
        </w:rPr>
        <w:t>that</w:t>
      </w:r>
      <w:r>
        <w:rPr>
          <w:color w:val="3A3838"/>
          <w:spacing w:val="-7"/>
          <w:w w:val="105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-7"/>
          <w:w w:val="105"/>
        </w:rPr>
        <w:t> </w:t>
      </w:r>
      <w:r>
        <w:rPr>
          <w:color w:val="3A3838"/>
          <w:w w:val="105"/>
        </w:rPr>
        <w:t>case</w:t>
      </w:r>
      <w:r>
        <w:rPr>
          <w:color w:val="3A3838"/>
          <w:spacing w:val="-7"/>
          <w:w w:val="105"/>
        </w:rPr>
        <w:t> </w:t>
      </w:r>
      <w:r>
        <w:rPr>
          <w:color w:val="3A3838"/>
          <w:w w:val="105"/>
        </w:rPr>
        <w:t>description</w:t>
      </w:r>
      <w:r>
        <w:rPr>
          <w:color w:val="3A3838"/>
          <w:spacing w:val="9"/>
          <w:w w:val="105"/>
        </w:rPr>
        <w:t> </w:t>
      </w:r>
      <w:r>
        <w:rPr>
          <w:color w:val="3A3838"/>
          <w:w w:val="105"/>
        </w:rPr>
        <w:t>is</w:t>
      </w:r>
      <w:r>
        <w:rPr>
          <w:color w:val="3A3838"/>
          <w:spacing w:val="-16"/>
          <w:w w:val="105"/>
        </w:rPr>
        <w:t> </w:t>
      </w:r>
      <w:r>
        <w:rPr>
          <w:color w:val="3A3838"/>
          <w:w w:val="105"/>
        </w:rPr>
        <w:t>accurate.</w:t>
      </w:r>
    </w:p>
    <w:p>
      <w:pPr>
        <w:pStyle w:val="BodyText"/>
        <w:rPr>
          <w:sz w:val="20"/>
        </w:rPr>
      </w:pPr>
    </w:p>
    <w:p>
      <w:pPr>
        <w:spacing w:before="223"/>
        <w:ind w:left="1003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3A3838"/>
          <w:w w:val="110"/>
          <w:sz w:val="26"/>
        </w:rPr>
        <w:t>6.1.1</w:t>
      </w:r>
    </w:p>
    <w:p>
      <w:pPr>
        <w:spacing w:before="29"/>
        <w:ind w:left="1019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color w:val="4B4B4D"/>
          <w:sz w:val="21"/>
        </w:rPr>
        <w:t>MAKING</w:t>
      </w:r>
      <w:r>
        <w:rPr>
          <w:rFonts w:ascii="Arial"/>
          <w:b/>
          <w:color w:val="4B4B4D"/>
          <w:spacing w:val="29"/>
          <w:sz w:val="21"/>
        </w:rPr>
        <w:t> </w:t>
      </w:r>
      <w:r>
        <w:rPr>
          <w:b/>
          <w:color w:val="3A3838"/>
          <w:sz w:val="23"/>
        </w:rPr>
        <w:t>CASE</w:t>
      </w:r>
      <w:r>
        <w:rPr>
          <w:b/>
          <w:color w:val="3A3838"/>
          <w:spacing w:val="35"/>
          <w:sz w:val="23"/>
        </w:rPr>
        <w:t> </w:t>
      </w:r>
      <w:r>
        <w:rPr>
          <w:rFonts w:ascii="Arial"/>
          <w:b/>
          <w:color w:val="3A3838"/>
          <w:sz w:val="21"/>
        </w:rPr>
        <w:t>DESCRIPTIONS</w:t>
      </w:r>
      <w:r>
        <w:rPr>
          <w:rFonts w:ascii="Arial"/>
          <w:b/>
          <w:color w:val="3A3838"/>
          <w:spacing w:val="36"/>
          <w:sz w:val="21"/>
        </w:rPr>
        <w:t> </w:t>
      </w:r>
      <w:r>
        <w:rPr>
          <w:b/>
          <w:color w:val="3A3838"/>
          <w:sz w:val="23"/>
        </w:rPr>
        <w:t>AS</w:t>
      </w:r>
      <w:r>
        <w:rPr>
          <w:b/>
          <w:color w:val="3A3838"/>
          <w:spacing w:val="22"/>
          <w:sz w:val="23"/>
        </w:rPr>
        <w:t> </w:t>
      </w:r>
      <w:r>
        <w:rPr>
          <w:rFonts w:ascii="Arial"/>
          <w:b/>
          <w:color w:val="4B4B4D"/>
          <w:sz w:val="21"/>
        </w:rPr>
        <w:t>SUCCINCT</w:t>
      </w:r>
      <w:r>
        <w:rPr>
          <w:rFonts w:ascii="Arial"/>
          <w:b/>
          <w:color w:val="4B4B4D"/>
          <w:spacing w:val="25"/>
          <w:sz w:val="21"/>
        </w:rPr>
        <w:t> </w:t>
      </w:r>
      <w:r>
        <w:rPr>
          <w:b/>
          <w:color w:val="4B4B4D"/>
          <w:sz w:val="23"/>
        </w:rPr>
        <w:t>AS</w:t>
      </w:r>
      <w:r>
        <w:rPr>
          <w:b/>
          <w:color w:val="4B4B4D"/>
          <w:spacing w:val="23"/>
          <w:sz w:val="23"/>
        </w:rPr>
        <w:t> </w:t>
      </w:r>
      <w:r>
        <w:rPr>
          <w:rFonts w:ascii="Arial"/>
          <w:b/>
          <w:color w:val="606062"/>
          <w:sz w:val="21"/>
        </w:rPr>
        <w:t>PO</w:t>
      </w:r>
      <w:r>
        <w:rPr>
          <w:rFonts w:ascii="Arial"/>
          <w:b/>
          <w:color w:val="7E8082"/>
          <w:sz w:val="21"/>
        </w:rPr>
        <w:t>SSIBL</w:t>
      </w:r>
      <w:r>
        <w:rPr>
          <w:rFonts w:ascii="Arial"/>
          <w:b/>
          <w:color w:val="606062"/>
          <w:sz w:val="21"/>
        </w:rPr>
        <w:t>E</w:t>
      </w:r>
    </w:p>
    <w:p>
      <w:pPr>
        <w:pStyle w:val="BodyText"/>
        <w:spacing w:line="235" w:lineRule="auto" w:before="125"/>
        <w:ind w:left="631" w:right="59" w:firstLine="377"/>
        <w:jc w:val="both"/>
      </w:pPr>
      <w:r>
        <w:rPr>
          <w:color w:val="3A3838"/>
          <w:w w:val="105"/>
        </w:rPr>
        <w:t>Including the issue, the holding, the facts, and the reasoning in a case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description may seem to require a long description. Actually, all four of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these elements can often be conveyed in a parenthetical description, and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they can certainly be conveyed  in  a textual description of two </w:t>
      </w:r>
      <w:r>
        <w:rPr>
          <w:color w:val="4B4B4D"/>
          <w:w w:val="105"/>
        </w:rPr>
        <w:t>sentences.</w:t>
      </w:r>
      <w:r>
        <w:rPr>
          <w:color w:val="4B4B4D"/>
          <w:spacing w:val="1"/>
          <w:w w:val="105"/>
        </w:rPr>
        <w:t> </w:t>
      </w:r>
      <w:r>
        <w:rPr>
          <w:color w:val="3A3838"/>
          <w:w w:val="105"/>
        </w:rPr>
        <w:t>Of course, if the relevant aspect of the case is complex or particularly sig­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nificant, or if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argument is controversial, your case description will be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lengthier.</w:t>
      </w:r>
    </w:p>
    <w:p>
      <w:pPr>
        <w:pStyle w:val="BodyText"/>
        <w:spacing w:line="232" w:lineRule="auto"/>
        <w:ind w:left="578" w:right="86" w:firstLine="390"/>
        <w:jc w:val="both"/>
      </w:pPr>
      <w:r>
        <w:rPr>
          <w:color w:val="3A3838"/>
          <w:w w:val="105"/>
        </w:rPr>
        <w:t>There are two keys to succinct case descriptions. The first key is focus.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You must understand the focus of the argument you are </w:t>
      </w:r>
      <w:r>
        <w:rPr>
          <w:color w:val="4B4B4D"/>
          <w:w w:val="105"/>
        </w:rPr>
        <w:t>currently </w:t>
      </w:r>
      <w:r>
        <w:rPr>
          <w:color w:val="3A3838"/>
          <w:w w:val="105"/>
        </w:rPr>
        <w:t>making</w:t>
      </w:r>
      <w:r>
        <w:rPr>
          <w:color w:val="3A3838"/>
          <w:spacing w:val="1"/>
          <w:w w:val="105"/>
        </w:rPr>
        <w:t> </w:t>
      </w:r>
      <w:r>
        <w:rPr>
          <w:color w:val="3A3838"/>
          <w:spacing w:val="-1"/>
          <w:w w:val="110"/>
        </w:rPr>
        <w:t>and make sure that the case description has that </w:t>
      </w:r>
      <w:r>
        <w:rPr>
          <w:color w:val="3A3838"/>
          <w:w w:val="110"/>
        </w:rPr>
        <w:t>same focus. The second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key is efficient use of language. Too many case descriptions begin with a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wasted sentence that does little more than announce that the case exists.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0"/>
        </w:rPr>
        <w:t>Use your subjects and verbs </w:t>
      </w:r>
      <w:r>
        <w:rPr>
          <w:color w:val="3A3838"/>
          <w:w w:val="110"/>
        </w:rPr>
        <w:t>with care to convey the most information in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9"/>
          <w:w w:val="110"/>
        </w:rPr>
        <w:t> </w:t>
      </w:r>
      <w:r>
        <w:rPr>
          <w:color w:val="3A3838"/>
          <w:w w:val="110"/>
        </w:rPr>
        <w:t>fewest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words.</w:t>
      </w:r>
    </w:p>
    <w:p>
      <w:pPr>
        <w:pStyle w:val="BodyText"/>
        <w:spacing w:before="3"/>
        <w:rPr>
          <w:sz w:val="33"/>
        </w:rPr>
      </w:pPr>
    </w:p>
    <w:p>
      <w:pPr>
        <w:pStyle w:val="ListParagraph"/>
        <w:numPr>
          <w:ilvl w:val="0"/>
          <w:numId w:val="52"/>
        </w:numPr>
        <w:tabs>
          <w:tab w:pos="1299" w:val="left" w:leader="none"/>
        </w:tabs>
        <w:spacing w:line="242" w:lineRule="exact" w:before="0" w:after="0"/>
        <w:ind w:left="1298" w:right="0" w:hanging="391"/>
        <w:jc w:val="both"/>
        <w:rPr>
          <w:b/>
          <w:color w:val="606062"/>
          <w:sz w:val="22"/>
        </w:rPr>
      </w:pPr>
      <w:r>
        <w:rPr>
          <w:b/>
          <w:color w:val="4B4B4D"/>
          <w:w w:val="110"/>
          <w:sz w:val="22"/>
        </w:rPr>
        <w:t>Focus</w:t>
      </w:r>
    </w:p>
    <w:p>
      <w:pPr>
        <w:pStyle w:val="BodyText"/>
        <w:spacing w:line="230" w:lineRule="auto"/>
        <w:ind w:left="484" w:right="133" w:firstLine="407"/>
        <w:jc w:val="both"/>
      </w:pPr>
      <w:r>
        <w:rPr>
          <w:color w:val="3A3838"/>
          <w:w w:val="105"/>
        </w:rPr>
        <w:t>The case descripti? s  elow_ are fro_m a discussion about the illegality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of gender-based class1ficat1ons m a bnef written in support of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peti­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tioner's argument  in </w:t>
      </w:r>
      <w:r>
        <w:rPr>
          <w:rFonts w:ascii="Arial" w:hAnsi="Arial"/>
          <w:i/>
          <w:color w:val="3A3838"/>
          <w:w w:val="105"/>
          <w:sz w:val="21"/>
        </w:rPr>
        <w:t>Miller v. Albright, </w:t>
      </w:r>
      <w:r>
        <w:rPr>
          <w:color w:val="3A3838"/>
          <w:w w:val="105"/>
        </w:rPr>
        <w:t>523  U.S. 420 (I 998). Notice how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they efficiently include each of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necessary case description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elements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(signaled</w:t>
      </w:r>
      <w:r>
        <w:rPr>
          <w:color w:val="3A3838"/>
          <w:spacing w:val="14"/>
          <w:w w:val="105"/>
        </w:rPr>
        <w:t> </w:t>
      </w:r>
      <w:r>
        <w:rPr>
          <w:color w:val="3A3838"/>
          <w:w w:val="105"/>
        </w:rPr>
        <w:t>by</w:t>
      </w:r>
      <w:r>
        <w:rPr>
          <w:color w:val="3A3838"/>
          <w:spacing w:val="-10"/>
          <w:w w:val="105"/>
        </w:rPr>
        <w:t> </w:t>
      </w:r>
      <w:r>
        <w:rPr>
          <w:color w:val="3A3838"/>
          <w:w w:val="105"/>
        </w:rPr>
        <w:t>a</w:t>
      </w:r>
      <w:r>
        <w:rPr>
          <w:color w:val="3A3838"/>
          <w:spacing w:val="13"/>
          <w:w w:val="105"/>
        </w:rPr>
        <w:t> </w:t>
      </w:r>
      <w:r>
        <w:rPr>
          <w:color w:val="3A3838"/>
          <w:w w:val="105"/>
        </w:rPr>
        <w:t>number</w:t>
      </w:r>
      <w:r>
        <w:rPr>
          <w:color w:val="3A3838"/>
          <w:spacing w:val="2"/>
          <w:w w:val="105"/>
        </w:rPr>
        <w:t> </w:t>
      </w:r>
      <w:r>
        <w:rPr>
          <w:color w:val="3A3838"/>
          <w:w w:val="105"/>
        </w:rPr>
        <w:t>after</w:t>
      </w:r>
      <w:r>
        <w:rPr>
          <w:color w:val="3A3838"/>
          <w:spacing w:val="-18"/>
          <w:w w:val="105"/>
        </w:rPr>
        <w:t> </w:t>
      </w:r>
      <w:r>
        <w:rPr>
          <w:color w:val="3A3838"/>
          <w:w w:val="105"/>
        </w:rPr>
        <w:t>each</w:t>
      </w:r>
      <w:r>
        <w:rPr>
          <w:color w:val="3A3838"/>
          <w:spacing w:val="9"/>
          <w:w w:val="105"/>
        </w:rPr>
        <w:t> </w:t>
      </w:r>
      <w:r>
        <w:rPr>
          <w:color w:val="3A3838"/>
          <w:w w:val="105"/>
        </w:rPr>
        <w:t>of</w:t>
      </w:r>
      <w:r>
        <w:rPr>
          <w:color w:val="3A3838"/>
          <w:spacing w:val="17"/>
          <w:w w:val="105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33"/>
          <w:w w:val="105"/>
        </w:rPr>
        <w:t> </w:t>
      </w:r>
      <w:r>
        <w:rPr>
          <w:color w:val="3A3838"/>
          <w:w w:val="105"/>
        </w:rPr>
        <w:t>elements</w:t>
      </w:r>
      <w:r>
        <w:rPr>
          <w:color w:val="3A3838"/>
          <w:spacing w:val="2"/>
          <w:w w:val="105"/>
        </w:rPr>
        <w:t> </w:t>
      </w:r>
      <w:r>
        <w:rPr>
          <w:color w:val="3A3838"/>
          <w:w w:val="105"/>
        </w:rPr>
        <w:t>appears):</w:t>
      </w:r>
    </w:p>
    <w:p>
      <w:pPr>
        <w:spacing w:after="0" w:line="230" w:lineRule="auto"/>
        <w:jc w:val="both"/>
        <w:sectPr>
          <w:pgSz w:w="9290" w:h="13750"/>
          <w:pgMar w:header="425" w:footer="0" w:top="1000" w:bottom="0" w:left="1280" w:right="0"/>
        </w:sectPr>
      </w:pPr>
    </w:p>
    <w:p>
      <w:pPr>
        <w:spacing w:before="86"/>
        <w:ind w:left="117" w:right="0" w:firstLine="0"/>
        <w:jc w:val="both"/>
        <w:rPr>
          <w:rFonts w:ascii="Arial"/>
          <w:sz w:val="14"/>
        </w:rPr>
      </w:pPr>
      <w:r>
        <w:rPr>
          <w:rFonts w:ascii="Arial"/>
          <w:color w:val="4D4D4D"/>
          <w:w w:val="105"/>
          <w:sz w:val="14"/>
          <w:u w:val="thick" w:color="4D4D4D"/>
        </w:rPr>
        <w:t>./\   </w:t>
      </w:r>
      <w:r>
        <w:rPr>
          <w:rFonts w:ascii="Arial"/>
          <w:color w:val="4D4D4D"/>
          <w:w w:val="105"/>
          <w:sz w:val="14"/>
        </w:rPr>
        <w:t> </w:t>
      </w:r>
      <w:r>
        <w:rPr>
          <w:rFonts w:ascii="Arial"/>
          <w:color w:val="4D4D4D"/>
          <w:spacing w:val="21"/>
          <w:w w:val="105"/>
          <w:sz w:val="14"/>
        </w:rPr>
        <w:t> </w:t>
      </w:r>
      <w:r>
        <w:rPr>
          <w:rFonts w:ascii="Arial"/>
          <w:color w:val="363434"/>
          <w:w w:val="105"/>
          <w:sz w:val="14"/>
          <w:u w:val="thick" w:color="363434"/>
        </w:rPr>
        <w:t>G</w:t>
      </w:r>
      <w:r>
        <w:rPr>
          <w:rFonts w:ascii="Arial"/>
          <w:color w:val="4D4D4D"/>
          <w:w w:val="105"/>
          <w:sz w:val="14"/>
          <w:u w:val="thick" w:color="363434"/>
        </w:rPr>
        <w:t>OO</w:t>
      </w:r>
      <w:r>
        <w:rPr>
          <w:rFonts w:ascii="Arial"/>
          <w:color w:val="363434"/>
          <w:w w:val="105"/>
          <w:sz w:val="14"/>
          <w:u w:val="thick" w:color="363434"/>
        </w:rPr>
        <w:t>D</w:t>
      </w:r>
      <w:r>
        <w:rPr>
          <w:rFonts w:ascii="Arial"/>
          <w:color w:val="363434"/>
          <w:spacing w:val="18"/>
          <w:w w:val="105"/>
          <w:sz w:val="14"/>
          <w:u w:val="thick" w:color="363434"/>
        </w:rPr>
        <w:t> </w:t>
      </w:r>
      <w:r>
        <w:rPr>
          <w:rFonts w:ascii="Arial"/>
          <w:color w:val="363434"/>
          <w:w w:val="105"/>
          <w:sz w:val="14"/>
          <w:u w:val="thick" w:color="363434"/>
        </w:rPr>
        <w:t>EX</w:t>
      </w:r>
      <w:r>
        <w:rPr>
          <w:rFonts w:ascii="Arial"/>
          <w:color w:val="4D4D4D"/>
          <w:w w:val="105"/>
          <w:sz w:val="14"/>
          <w:u w:val="thick" w:color="363434"/>
        </w:rPr>
        <w:t>AM</w:t>
      </w:r>
      <w:r>
        <w:rPr>
          <w:rFonts w:ascii="Arial"/>
          <w:color w:val="363434"/>
          <w:w w:val="105"/>
          <w:sz w:val="14"/>
          <w:u w:val="thick" w:color="363434"/>
        </w:rPr>
        <w:t>PLE</w:t>
      </w:r>
    </w:p>
    <w:p>
      <w:pPr>
        <w:tabs>
          <w:tab w:pos="7689" w:val="left" w:leader="none"/>
          <w:tab w:pos="7721" w:val="left" w:leader="none"/>
        </w:tabs>
        <w:spacing w:line="230" w:lineRule="auto" w:before="109"/>
        <w:ind w:left="499" w:right="170" w:firstLine="16"/>
        <w:jc w:val="left"/>
        <w:rPr>
          <w:sz w:val="16"/>
        </w:rPr>
      </w:pPr>
      <w:r>
        <w:rPr>
          <w:rFonts w:ascii="Arial"/>
          <w:color w:val="363434"/>
          <w:w w:val="115"/>
          <w:sz w:val="19"/>
        </w:rPr>
        <w:t>As</w:t>
      </w:r>
      <w:r>
        <w:rPr>
          <w:rFonts w:ascii="Arial"/>
          <w:color w:val="363434"/>
          <w:spacing w:val="6"/>
          <w:w w:val="115"/>
          <w:sz w:val="19"/>
        </w:rPr>
        <w:t> </w:t>
      </w:r>
      <w:r>
        <w:rPr>
          <w:color w:val="363434"/>
          <w:w w:val="115"/>
          <w:sz w:val="21"/>
        </w:rPr>
        <w:t>noted</w:t>
      </w:r>
      <w:r>
        <w:rPr>
          <w:color w:val="363434"/>
          <w:spacing w:val="31"/>
          <w:w w:val="115"/>
          <w:sz w:val="21"/>
        </w:rPr>
        <w:t> </w:t>
      </w:r>
      <w:r>
        <w:rPr>
          <w:color w:val="363434"/>
          <w:w w:val="115"/>
          <w:sz w:val="21"/>
        </w:rPr>
        <w:t>previously,</w:t>
      </w:r>
      <w:r>
        <w:rPr>
          <w:color w:val="363434"/>
          <w:spacing w:val="23"/>
          <w:w w:val="115"/>
          <w:sz w:val="21"/>
        </w:rPr>
        <w:t> </w:t>
      </w:r>
      <w:r>
        <w:rPr>
          <w:color w:val="363434"/>
          <w:w w:val="115"/>
          <w:sz w:val="21"/>
        </w:rPr>
        <w:t>the</w:t>
      </w:r>
      <w:r>
        <w:rPr>
          <w:color w:val="363434"/>
          <w:spacing w:val="55"/>
          <w:w w:val="115"/>
          <w:sz w:val="21"/>
        </w:rPr>
        <w:t> </w:t>
      </w:r>
      <w:r>
        <w:rPr>
          <w:color w:val="363434"/>
          <w:w w:val="115"/>
          <w:sz w:val="21"/>
          <w:u w:val="thick" w:color="363434"/>
        </w:rPr>
        <w:t>Viripnia</w:t>
      </w:r>
      <w:r>
        <w:rPr>
          <w:color w:val="363434"/>
          <w:spacing w:val="16"/>
          <w:w w:val="115"/>
          <w:sz w:val="21"/>
        </w:rPr>
        <w:t> </w:t>
      </w:r>
      <w:r>
        <w:rPr>
          <w:color w:val="363434"/>
          <w:w w:val="115"/>
          <w:sz w:val="21"/>
        </w:rPr>
        <w:t>Court</w:t>
      </w:r>
      <w:r>
        <w:rPr>
          <w:color w:val="363434"/>
          <w:spacing w:val="15"/>
          <w:w w:val="115"/>
          <w:sz w:val="21"/>
        </w:rPr>
        <w:t> </w:t>
      </w:r>
      <w:r>
        <w:rPr>
          <w:color w:val="363434"/>
          <w:w w:val="115"/>
          <w:sz w:val="21"/>
        </w:rPr>
        <w:t>discredited </w:t>
      </w:r>
      <w:r>
        <w:rPr>
          <w:color w:val="363434"/>
          <w:spacing w:val="14"/>
          <w:w w:val="115"/>
          <w:sz w:val="21"/>
        </w:rPr>
        <w:t> </w:t>
      </w:r>
      <w:r>
        <w:rPr>
          <w:rFonts w:ascii="Arial"/>
          <w:b/>
          <w:color w:val="363434"/>
          <w:w w:val="115"/>
          <w:sz w:val="17"/>
        </w:rPr>
        <w:t>2 </w:t>
      </w:r>
      <w:r>
        <w:rPr>
          <w:rFonts w:ascii="Arial"/>
          <w:b/>
          <w:color w:val="363434"/>
          <w:spacing w:val="7"/>
          <w:w w:val="115"/>
          <w:sz w:val="17"/>
        </w:rPr>
        <w:t> </w:t>
      </w:r>
      <w:r>
        <w:rPr>
          <w:color w:val="363434"/>
          <w:w w:val="115"/>
          <w:sz w:val="21"/>
        </w:rPr>
        <w:t>governmental</w:t>
        <w:tab/>
        <w:tab/>
      </w:r>
      <w:r>
        <w:rPr>
          <w:rFonts w:ascii="Arial"/>
          <w:b/>
          <w:color w:val="363434"/>
          <w:w w:val="115"/>
          <w:sz w:val="17"/>
        </w:rPr>
        <w:t>1</w:t>
      </w:r>
      <w:r>
        <w:rPr>
          <w:rFonts w:ascii="Arial"/>
          <w:b/>
          <w:color w:val="363434"/>
          <w:spacing w:val="8"/>
          <w:w w:val="115"/>
          <w:sz w:val="17"/>
        </w:rPr>
        <w:t> </w:t>
      </w:r>
      <w:r>
        <w:rPr>
          <w:color w:val="363434"/>
          <w:w w:val="115"/>
          <w:sz w:val="16"/>
        </w:rPr>
        <w:t>Issue</w:t>
      </w:r>
      <w:r>
        <w:rPr>
          <w:color w:val="363434"/>
          <w:spacing w:val="1"/>
          <w:w w:val="115"/>
          <w:sz w:val="16"/>
        </w:rPr>
        <w:t> </w:t>
      </w:r>
      <w:r>
        <w:rPr>
          <w:color w:val="363434"/>
          <w:w w:val="115"/>
          <w:sz w:val="21"/>
        </w:rPr>
        <w:t>justifications</w:t>
      </w:r>
      <w:r>
        <w:rPr>
          <w:color w:val="363434"/>
          <w:spacing w:val="10"/>
          <w:w w:val="115"/>
          <w:sz w:val="21"/>
        </w:rPr>
        <w:t> </w:t>
      </w:r>
      <w:r>
        <w:rPr>
          <w:rFonts w:ascii="Arial"/>
          <w:color w:val="363434"/>
          <w:w w:val="115"/>
          <w:sz w:val="14"/>
        </w:rPr>
        <w:t>for  </w:t>
      </w:r>
      <w:r>
        <w:rPr>
          <w:rFonts w:ascii="Arial"/>
          <w:color w:val="363434"/>
          <w:spacing w:val="38"/>
          <w:w w:val="115"/>
          <w:sz w:val="14"/>
        </w:rPr>
        <w:t> </w:t>
      </w:r>
      <w:r>
        <w:rPr>
          <w:color w:val="363434"/>
          <w:w w:val="115"/>
          <w:sz w:val="21"/>
        </w:rPr>
        <w:t>gender-based</w:t>
      </w:r>
      <w:r>
        <w:rPr>
          <w:color w:val="363434"/>
          <w:spacing w:val="23"/>
          <w:w w:val="115"/>
          <w:sz w:val="21"/>
        </w:rPr>
        <w:t> </w:t>
      </w:r>
      <w:r>
        <w:rPr>
          <w:color w:val="363434"/>
          <w:w w:val="115"/>
          <w:sz w:val="21"/>
        </w:rPr>
        <w:t>classifications</w:t>
      </w:r>
      <w:r>
        <w:rPr>
          <w:color w:val="363434"/>
          <w:spacing w:val="29"/>
          <w:w w:val="115"/>
          <w:sz w:val="21"/>
        </w:rPr>
        <w:t> </w:t>
      </w:r>
      <w:r>
        <w:rPr>
          <w:b/>
          <w:color w:val="363434"/>
          <w:w w:val="115"/>
          <w:sz w:val="17"/>
        </w:rPr>
        <w:t>1 </w:t>
      </w:r>
      <w:r>
        <w:rPr>
          <w:b/>
          <w:color w:val="363434"/>
          <w:spacing w:val="17"/>
          <w:w w:val="115"/>
          <w:sz w:val="17"/>
        </w:rPr>
        <w:t> </w:t>
      </w:r>
      <w:r>
        <w:rPr>
          <w:color w:val="363434"/>
          <w:w w:val="115"/>
          <w:sz w:val="21"/>
        </w:rPr>
        <w:t>as</w:t>
      </w:r>
      <w:r>
        <w:rPr>
          <w:color w:val="363434"/>
          <w:spacing w:val="11"/>
          <w:w w:val="115"/>
          <w:sz w:val="21"/>
        </w:rPr>
        <w:t> </w:t>
      </w:r>
      <w:r>
        <w:rPr>
          <w:color w:val="363434"/>
          <w:w w:val="115"/>
          <w:sz w:val="21"/>
        </w:rPr>
        <w:t>to</w:t>
      </w:r>
      <w:r>
        <w:rPr>
          <w:color w:val="363434"/>
          <w:spacing w:val="13"/>
          <w:w w:val="115"/>
          <w:sz w:val="21"/>
        </w:rPr>
        <w:t> </w:t>
      </w:r>
      <w:r>
        <w:rPr>
          <w:color w:val="363434"/>
          <w:w w:val="115"/>
          <w:sz w:val="21"/>
        </w:rPr>
        <w:t>state-supported</w:t>
        <w:tab/>
      </w:r>
      <w:r>
        <w:rPr>
          <w:b/>
          <w:color w:val="363434"/>
          <w:w w:val="110"/>
          <w:sz w:val="17"/>
        </w:rPr>
        <w:t>2</w:t>
      </w:r>
      <w:r>
        <w:rPr>
          <w:b/>
          <w:color w:val="363434"/>
          <w:spacing w:val="8"/>
          <w:w w:val="110"/>
          <w:sz w:val="17"/>
        </w:rPr>
        <w:t> </w:t>
      </w:r>
      <w:r>
        <w:rPr>
          <w:rFonts w:ascii="Arial"/>
          <w:color w:val="363434"/>
          <w:w w:val="110"/>
          <w:sz w:val="14"/>
        </w:rPr>
        <w:t>Dispo5ition</w:t>
      </w:r>
      <w:r>
        <w:rPr>
          <w:rFonts w:ascii="Arial"/>
          <w:color w:val="363434"/>
          <w:spacing w:val="-40"/>
          <w:w w:val="110"/>
          <w:sz w:val="14"/>
        </w:rPr>
        <w:t> </w:t>
      </w:r>
      <w:r>
        <w:rPr>
          <w:color w:val="363434"/>
          <w:w w:val="115"/>
          <w:sz w:val="21"/>
        </w:rPr>
        <w:t>military</w:t>
      </w:r>
      <w:r>
        <w:rPr>
          <w:color w:val="363434"/>
          <w:spacing w:val="-21"/>
          <w:w w:val="115"/>
          <w:sz w:val="21"/>
        </w:rPr>
        <w:t> </w:t>
      </w:r>
      <w:r>
        <w:rPr>
          <w:color w:val="363434"/>
          <w:w w:val="115"/>
          <w:sz w:val="21"/>
        </w:rPr>
        <w:t>schools</w:t>
      </w:r>
      <w:r>
        <w:rPr>
          <w:color w:val="363434"/>
          <w:spacing w:val="36"/>
          <w:w w:val="115"/>
          <w:sz w:val="21"/>
        </w:rPr>
        <w:t> </w:t>
      </w:r>
      <w:r>
        <w:rPr>
          <w:rFonts w:ascii="Arial"/>
          <w:b/>
          <w:color w:val="363434"/>
          <w:w w:val="115"/>
          <w:sz w:val="20"/>
        </w:rPr>
        <w:t>s</w:t>
      </w:r>
      <w:r>
        <w:rPr>
          <w:rFonts w:ascii="Arial"/>
          <w:b/>
          <w:color w:val="363434"/>
          <w:spacing w:val="19"/>
          <w:w w:val="115"/>
          <w:sz w:val="20"/>
        </w:rPr>
        <w:t> </w:t>
      </w:r>
      <w:r>
        <w:rPr>
          <w:color w:val="363434"/>
          <w:w w:val="115"/>
          <w:sz w:val="21"/>
        </w:rPr>
        <w:t>because</w:t>
      </w:r>
      <w:r>
        <w:rPr>
          <w:color w:val="363434"/>
          <w:spacing w:val="-18"/>
          <w:w w:val="115"/>
          <w:sz w:val="21"/>
        </w:rPr>
        <w:t> </w:t>
      </w:r>
      <w:r>
        <w:rPr>
          <w:color w:val="363434"/>
          <w:w w:val="115"/>
          <w:sz w:val="21"/>
        </w:rPr>
        <w:t>the</w:t>
      </w:r>
      <w:r>
        <w:rPr>
          <w:color w:val="363434"/>
          <w:spacing w:val="43"/>
          <w:w w:val="115"/>
          <w:sz w:val="21"/>
        </w:rPr>
        <w:t> </w:t>
      </w:r>
      <w:r>
        <w:rPr>
          <w:color w:val="363434"/>
          <w:w w:val="115"/>
          <w:sz w:val="21"/>
        </w:rPr>
        <w:t>justifications</w:t>
      </w:r>
      <w:r>
        <w:rPr>
          <w:color w:val="363434"/>
          <w:spacing w:val="-27"/>
          <w:w w:val="115"/>
          <w:sz w:val="21"/>
        </w:rPr>
        <w:t> </w:t>
      </w:r>
      <w:r>
        <w:rPr>
          <w:color w:val="363434"/>
          <w:w w:val="115"/>
          <w:sz w:val="21"/>
        </w:rPr>
        <w:t>were</w:t>
      </w:r>
      <w:r>
        <w:rPr>
          <w:color w:val="363434"/>
          <w:spacing w:val="-9"/>
          <w:w w:val="115"/>
          <w:sz w:val="21"/>
        </w:rPr>
        <w:t> </w:t>
      </w:r>
      <w:r>
        <w:rPr>
          <w:color w:val="363434"/>
          <w:w w:val="115"/>
          <w:sz w:val="21"/>
        </w:rPr>
        <w:t>based</w:t>
      </w:r>
      <w:r>
        <w:rPr>
          <w:color w:val="363434"/>
          <w:spacing w:val="-16"/>
          <w:w w:val="115"/>
          <w:sz w:val="21"/>
        </w:rPr>
        <w:t> </w:t>
      </w:r>
      <w:r>
        <w:rPr>
          <w:color w:val="363434"/>
          <w:w w:val="115"/>
          <w:sz w:val="21"/>
        </w:rPr>
        <w:t>on</w:t>
      </w:r>
      <w:r>
        <w:rPr>
          <w:color w:val="363434"/>
          <w:spacing w:val="22"/>
          <w:w w:val="115"/>
          <w:sz w:val="21"/>
        </w:rPr>
        <w:t> </w:t>
      </w:r>
      <w:r>
        <w:rPr>
          <w:color w:val="363434"/>
          <w:w w:val="115"/>
          <w:sz w:val="21"/>
        </w:rPr>
        <w:t>overbroad</w:t>
        <w:tab/>
      </w:r>
      <w:r>
        <w:rPr>
          <w:b/>
          <w:color w:val="363434"/>
          <w:w w:val="115"/>
          <w:sz w:val="18"/>
        </w:rPr>
        <w:t>J</w:t>
      </w:r>
      <w:r>
        <w:rPr>
          <w:b/>
          <w:color w:val="363434"/>
          <w:spacing w:val="8"/>
          <w:w w:val="115"/>
          <w:sz w:val="18"/>
        </w:rPr>
        <w:t> </w:t>
      </w:r>
      <w:r>
        <w:rPr>
          <w:rFonts w:ascii="Arial"/>
          <w:color w:val="363434"/>
          <w:w w:val="115"/>
          <w:sz w:val="14"/>
        </w:rPr>
        <w:t>Facts</w:t>
      </w:r>
      <w:r>
        <w:rPr>
          <w:rFonts w:ascii="Arial"/>
          <w:color w:val="363434"/>
          <w:spacing w:val="1"/>
          <w:w w:val="115"/>
          <w:sz w:val="14"/>
        </w:rPr>
        <w:t> </w:t>
      </w:r>
      <w:r>
        <w:rPr>
          <w:color w:val="363434"/>
          <w:w w:val="115"/>
          <w:sz w:val="21"/>
        </w:rPr>
        <w:t>generalizations</w:t>
      </w:r>
      <w:r>
        <w:rPr>
          <w:color w:val="363434"/>
          <w:spacing w:val="-21"/>
          <w:w w:val="115"/>
          <w:sz w:val="21"/>
        </w:rPr>
        <w:t> </w:t>
      </w:r>
      <w:r>
        <w:rPr>
          <w:color w:val="363434"/>
          <w:w w:val="115"/>
          <w:sz w:val="21"/>
        </w:rPr>
        <w:t>about</w:t>
      </w:r>
      <w:r>
        <w:rPr>
          <w:color w:val="363434"/>
          <w:spacing w:val="4"/>
          <w:w w:val="115"/>
          <w:sz w:val="21"/>
        </w:rPr>
        <w:t> </w:t>
      </w:r>
      <w:r>
        <w:rPr>
          <w:color w:val="363434"/>
          <w:w w:val="115"/>
          <w:sz w:val="21"/>
        </w:rPr>
        <w:t>the</w:t>
      </w:r>
      <w:r>
        <w:rPr>
          <w:color w:val="363434"/>
          <w:spacing w:val="9"/>
          <w:w w:val="115"/>
          <w:sz w:val="21"/>
        </w:rPr>
        <w:t> </w:t>
      </w:r>
      <w:r>
        <w:rPr>
          <w:color w:val="363434"/>
          <w:w w:val="115"/>
          <w:sz w:val="21"/>
        </w:rPr>
        <w:t>different</w:t>
      </w:r>
      <w:r>
        <w:rPr>
          <w:color w:val="363434"/>
          <w:spacing w:val="-12"/>
          <w:w w:val="115"/>
          <w:sz w:val="21"/>
        </w:rPr>
        <w:t> </w:t>
      </w:r>
      <w:r>
        <w:rPr>
          <w:color w:val="363434"/>
          <w:w w:val="115"/>
          <w:sz w:val="21"/>
        </w:rPr>
        <w:t>capabilities</w:t>
      </w:r>
      <w:r>
        <w:rPr>
          <w:color w:val="363434"/>
          <w:spacing w:val="13"/>
          <w:w w:val="115"/>
          <w:sz w:val="21"/>
        </w:rPr>
        <w:t> </w:t>
      </w:r>
      <w:r>
        <w:rPr>
          <w:color w:val="363434"/>
          <w:w w:val="115"/>
          <w:sz w:val="21"/>
        </w:rPr>
        <w:t>of</w:t>
      </w:r>
      <w:r>
        <w:rPr>
          <w:color w:val="363434"/>
          <w:spacing w:val="11"/>
          <w:w w:val="115"/>
          <w:sz w:val="21"/>
        </w:rPr>
        <w:t> </w:t>
      </w:r>
      <w:r>
        <w:rPr>
          <w:color w:val="363434"/>
          <w:w w:val="115"/>
          <w:sz w:val="21"/>
        </w:rPr>
        <w:t>men</w:t>
      </w:r>
      <w:r>
        <w:rPr>
          <w:color w:val="363434"/>
          <w:spacing w:val="26"/>
          <w:w w:val="115"/>
          <w:sz w:val="21"/>
        </w:rPr>
        <w:t> </w:t>
      </w:r>
      <w:r>
        <w:rPr>
          <w:color w:val="363434"/>
          <w:w w:val="115"/>
          <w:sz w:val="21"/>
        </w:rPr>
        <w:t>and</w:t>
      </w:r>
      <w:r>
        <w:rPr>
          <w:color w:val="363434"/>
          <w:spacing w:val="40"/>
          <w:w w:val="115"/>
          <w:sz w:val="21"/>
        </w:rPr>
        <w:t> </w:t>
      </w:r>
      <w:r>
        <w:rPr>
          <w:color w:val="363434"/>
          <w:w w:val="115"/>
          <w:sz w:val="21"/>
        </w:rPr>
        <w:t>women.</w:t>
      </w:r>
      <w:r>
        <w:rPr>
          <w:color w:val="363434"/>
          <w:spacing w:val="55"/>
          <w:w w:val="115"/>
          <w:sz w:val="21"/>
        </w:rPr>
        <w:t> </w:t>
      </w:r>
      <w:r>
        <w:rPr>
          <w:b/>
          <w:color w:val="363434"/>
          <w:w w:val="115"/>
          <w:sz w:val="17"/>
        </w:rPr>
        <w:t>4</w:t>
        <w:tab/>
        <w:tab/>
      </w:r>
      <w:r>
        <w:rPr>
          <w:b/>
          <w:color w:val="363434"/>
          <w:w w:val="105"/>
          <w:sz w:val="17"/>
        </w:rPr>
        <w:t>4</w:t>
      </w:r>
      <w:r>
        <w:rPr>
          <w:b/>
          <w:color w:val="363434"/>
          <w:spacing w:val="21"/>
          <w:w w:val="105"/>
          <w:sz w:val="17"/>
        </w:rPr>
        <w:t> </w:t>
      </w:r>
      <w:r>
        <w:rPr>
          <w:color w:val="363434"/>
          <w:w w:val="105"/>
          <w:sz w:val="16"/>
        </w:rPr>
        <w:t>Reasoning</w:t>
      </w:r>
    </w:p>
    <w:p>
      <w:pPr>
        <w:spacing w:line="235" w:lineRule="auto" w:before="3"/>
        <w:ind w:left="499" w:right="1476" w:firstLine="6"/>
        <w:jc w:val="both"/>
        <w:rPr>
          <w:sz w:val="21"/>
        </w:rPr>
      </w:pPr>
      <w:r>
        <w:rPr>
          <w:color w:val="363434"/>
          <w:w w:val="115"/>
          <w:sz w:val="21"/>
        </w:rPr>
        <w:t>518 </w:t>
      </w:r>
      <w:r>
        <w:rPr>
          <w:color w:val="363434"/>
          <w:w w:val="115"/>
          <w:sz w:val="19"/>
        </w:rPr>
        <w:t>U.S</w:t>
      </w:r>
      <w:r>
        <w:rPr>
          <w:color w:val="4D4D4D"/>
          <w:w w:val="115"/>
          <w:sz w:val="19"/>
        </w:rPr>
        <w:t>. </w:t>
      </w:r>
      <w:r>
        <w:rPr>
          <w:color w:val="363434"/>
          <w:w w:val="115"/>
          <w:sz w:val="21"/>
        </w:rPr>
        <w:t>at 533</w:t>
      </w:r>
      <w:r>
        <w:rPr>
          <w:color w:val="4D4D4D"/>
          <w:w w:val="115"/>
          <w:sz w:val="21"/>
        </w:rPr>
        <w:t>. </w:t>
      </w:r>
      <w:r>
        <w:rPr>
          <w:color w:val="363434"/>
          <w:w w:val="115"/>
          <w:sz w:val="21"/>
        </w:rPr>
        <w:t>The </w:t>
      </w:r>
      <w:r>
        <w:rPr>
          <w:rFonts w:ascii="Arial"/>
          <w:color w:val="363434"/>
          <w:w w:val="115"/>
          <w:sz w:val="22"/>
        </w:rPr>
        <w:t>LE.JL </w:t>
      </w:r>
      <w:r>
        <w:rPr>
          <w:color w:val="363434"/>
          <w:w w:val="115"/>
          <w:sz w:val="21"/>
        </w:rPr>
        <w:t>Court also categorically rejected</w:t>
      </w:r>
      <w:r>
        <w:rPr>
          <w:color w:val="363434"/>
          <w:spacing w:val="1"/>
          <w:w w:val="115"/>
          <w:sz w:val="21"/>
        </w:rPr>
        <w:t> </w:t>
      </w:r>
      <w:r>
        <w:rPr>
          <w:rFonts w:ascii="Arial"/>
          <w:b/>
          <w:color w:val="363434"/>
          <w:w w:val="115"/>
          <w:sz w:val="16"/>
        </w:rPr>
        <w:t>2</w:t>
      </w:r>
      <w:r>
        <w:rPr>
          <w:rFonts w:ascii="Arial"/>
          <w:b/>
          <w:color w:val="363434"/>
          <w:spacing w:val="1"/>
          <w:w w:val="115"/>
          <w:sz w:val="16"/>
        </w:rPr>
        <w:t> </w:t>
      </w:r>
      <w:r>
        <w:rPr>
          <w:color w:val="363434"/>
          <w:w w:val="115"/>
          <w:sz w:val="21"/>
        </w:rPr>
        <w:t>such</w:t>
      </w:r>
      <w:r>
        <w:rPr>
          <w:color w:val="363434"/>
          <w:spacing w:val="1"/>
          <w:w w:val="115"/>
          <w:sz w:val="21"/>
        </w:rPr>
        <w:t> </w:t>
      </w:r>
      <w:r>
        <w:rPr>
          <w:color w:val="363434"/>
          <w:w w:val="120"/>
          <w:sz w:val="21"/>
        </w:rPr>
        <w:t>broad assumptions about men and women</w:t>
      </w:r>
      <w:r>
        <w:rPr>
          <w:color w:val="4D4D4D"/>
          <w:w w:val="120"/>
          <w:sz w:val="21"/>
        </w:rPr>
        <w:t>'</w:t>
      </w:r>
      <w:r>
        <w:rPr>
          <w:color w:val="363434"/>
          <w:w w:val="120"/>
          <w:sz w:val="21"/>
        </w:rPr>
        <w:t>s relative capabilities </w:t>
      </w:r>
      <w:r>
        <w:rPr>
          <w:rFonts w:ascii="Arial"/>
          <w:b/>
          <w:color w:val="363434"/>
          <w:w w:val="120"/>
          <w:sz w:val="16"/>
        </w:rPr>
        <w:t>4</w:t>
      </w:r>
      <w:r>
        <w:rPr>
          <w:rFonts w:ascii="Arial"/>
          <w:b/>
          <w:color w:val="363434"/>
          <w:spacing w:val="1"/>
          <w:w w:val="120"/>
          <w:sz w:val="16"/>
        </w:rPr>
        <w:t> </w:t>
      </w:r>
      <w:r>
        <w:rPr>
          <w:color w:val="363434"/>
          <w:w w:val="115"/>
          <w:sz w:val="21"/>
        </w:rPr>
        <w:t>when it struck down</w:t>
      </w:r>
      <w:r>
        <w:rPr>
          <w:color w:val="363434"/>
          <w:spacing w:val="1"/>
          <w:w w:val="115"/>
          <w:sz w:val="21"/>
        </w:rPr>
        <w:t> </w:t>
      </w:r>
      <w:r>
        <w:rPr>
          <w:rFonts w:ascii="Arial"/>
          <w:b/>
          <w:color w:val="363434"/>
          <w:w w:val="115"/>
          <w:sz w:val="17"/>
        </w:rPr>
        <w:t>2</w:t>
      </w:r>
      <w:r>
        <w:rPr>
          <w:rFonts w:ascii="Arial"/>
          <w:b/>
          <w:color w:val="363434"/>
          <w:spacing w:val="1"/>
          <w:w w:val="115"/>
          <w:sz w:val="17"/>
        </w:rPr>
        <w:t> </w:t>
      </w:r>
      <w:r>
        <w:rPr>
          <w:b/>
          <w:color w:val="363434"/>
          <w:w w:val="115"/>
          <w:sz w:val="21"/>
        </w:rPr>
        <w:t>a </w:t>
      </w:r>
      <w:r>
        <w:rPr>
          <w:color w:val="363434"/>
          <w:w w:val="115"/>
          <w:sz w:val="21"/>
        </w:rPr>
        <w:t>state's useof gender-based peremptory chal-</w:t>
      </w:r>
      <w:r>
        <w:rPr>
          <w:color w:val="363434"/>
          <w:spacing w:val="1"/>
          <w:w w:val="115"/>
          <w:sz w:val="21"/>
        </w:rPr>
        <w:t> </w:t>
      </w:r>
      <w:r>
        <w:rPr>
          <w:color w:val="363434"/>
          <w:w w:val="115"/>
          <w:sz w:val="21"/>
        </w:rPr>
        <w:t>lenges</w:t>
      </w:r>
      <w:r>
        <w:rPr>
          <w:color w:val="363434"/>
          <w:spacing w:val="-24"/>
          <w:w w:val="115"/>
          <w:sz w:val="21"/>
        </w:rPr>
        <w:t> </w:t>
      </w:r>
      <w:r>
        <w:rPr>
          <w:color w:val="363434"/>
          <w:w w:val="115"/>
          <w:sz w:val="21"/>
        </w:rPr>
        <w:t>to</w:t>
      </w:r>
      <w:r>
        <w:rPr>
          <w:color w:val="363434"/>
          <w:spacing w:val="7"/>
          <w:w w:val="115"/>
          <w:sz w:val="21"/>
        </w:rPr>
        <w:t> </w:t>
      </w:r>
      <w:r>
        <w:rPr>
          <w:color w:val="363434"/>
          <w:w w:val="115"/>
          <w:sz w:val="21"/>
        </w:rPr>
        <w:t>exclude</w:t>
      </w:r>
      <w:r>
        <w:rPr>
          <w:color w:val="363434"/>
          <w:spacing w:val="-13"/>
          <w:w w:val="115"/>
          <w:sz w:val="21"/>
        </w:rPr>
        <w:t> </w:t>
      </w:r>
      <w:r>
        <w:rPr>
          <w:color w:val="363434"/>
          <w:w w:val="115"/>
          <w:sz w:val="21"/>
        </w:rPr>
        <w:t>all</w:t>
      </w:r>
      <w:r>
        <w:rPr>
          <w:color w:val="363434"/>
          <w:spacing w:val="5"/>
          <w:w w:val="115"/>
          <w:sz w:val="21"/>
        </w:rPr>
        <w:t> </w:t>
      </w:r>
      <w:r>
        <w:rPr>
          <w:color w:val="363434"/>
          <w:w w:val="115"/>
          <w:sz w:val="21"/>
        </w:rPr>
        <w:t>men</w:t>
      </w:r>
      <w:r>
        <w:rPr>
          <w:color w:val="363434"/>
          <w:spacing w:val="12"/>
          <w:w w:val="115"/>
          <w:sz w:val="21"/>
        </w:rPr>
        <w:t> </w:t>
      </w:r>
      <w:r>
        <w:rPr>
          <w:rFonts w:ascii="Arial"/>
          <w:color w:val="363434"/>
          <w:w w:val="115"/>
          <w:sz w:val="20"/>
        </w:rPr>
        <w:t>from</w:t>
      </w:r>
      <w:r>
        <w:rPr>
          <w:rFonts w:ascii="Arial"/>
          <w:color w:val="363434"/>
          <w:spacing w:val="-31"/>
          <w:w w:val="115"/>
          <w:sz w:val="20"/>
        </w:rPr>
        <w:t> </w:t>
      </w:r>
      <w:r>
        <w:rPr>
          <w:color w:val="363434"/>
          <w:w w:val="115"/>
          <w:sz w:val="21"/>
        </w:rPr>
        <w:t>a</w:t>
      </w:r>
      <w:r>
        <w:rPr>
          <w:color w:val="363434"/>
          <w:spacing w:val="20"/>
          <w:w w:val="115"/>
          <w:sz w:val="21"/>
        </w:rPr>
        <w:t> </w:t>
      </w:r>
      <w:r>
        <w:rPr>
          <w:color w:val="363434"/>
          <w:w w:val="115"/>
          <w:sz w:val="21"/>
        </w:rPr>
        <w:t>jury.</w:t>
      </w:r>
      <w:r>
        <w:rPr>
          <w:color w:val="363434"/>
          <w:spacing w:val="21"/>
          <w:w w:val="115"/>
          <w:sz w:val="21"/>
        </w:rPr>
        <w:t> </w:t>
      </w:r>
      <w:r>
        <w:rPr>
          <w:color w:val="363434"/>
          <w:w w:val="115"/>
          <w:sz w:val="16"/>
        </w:rPr>
        <w:t>1</w:t>
      </w:r>
      <w:r>
        <w:rPr>
          <w:color w:val="363434"/>
          <w:spacing w:val="23"/>
          <w:w w:val="115"/>
          <w:sz w:val="16"/>
        </w:rPr>
        <w:t> </w:t>
      </w:r>
      <w:r>
        <w:rPr>
          <w:color w:val="363434"/>
          <w:w w:val="115"/>
          <w:sz w:val="20"/>
        </w:rPr>
        <w:t>&amp;</w:t>
      </w:r>
      <w:r>
        <w:rPr>
          <w:color w:val="363434"/>
          <w:spacing w:val="41"/>
          <w:w w:val="115"/>
          <w:sz w:val="20"/>
        </w:rPr>
        <w:t> </w:t>
      </w:r>
      <w:r>
        <w:rPr>
          <w:b/>
          <w:color w:val="363434"/>
          <w:w w:val="115"/>
          <w:sz w:val="17"/>
        </w:rPr>
        <w:t>J</w:t>
      </w:r>
      <w:r>
        <w:rPr>
          <w:b/>
          <w:color w:val="363434"/>
          <w:spacing w:val="10"/>
          <w:w w:val="115"/>
          <w:sz w:val="17"/>
        </w:rPr>
        <w:t> </w:t>
      </w:r>
      <w:r>
        <w:rPr>
          <w:color w:val="363434"/>
          <w:w w:val="115"/>
          <w:sz w:val="21"/>
        </w:rPr>
        <w:t>511</w:t>
      </w:r>
      <w:r>
        <w:rPr>
          <w:color w:val="363434"/>
          <w:spacing w:val="6"/>
          <w:w w:val="115"/>
          <w:sz w:val="21"/>
        </w:rPr>
        <w:t> </w:t>
      </w:r>
      <w:r>
        <w:rPr>
          <w:color w:val="363434"/>
          <w:w w:val="115"/>
          <w:sz w:val="20"/>
        </w:rPr>
        <w:t>U.S.</w:t>
      </w:r>
      <w:r>
        <w:rPr>
          <w:color w:val="363434"/>
          <w:spacing w:val="-18"/>
          <w:w w:val="115"/>
          <w:sz w:val="20"/>
        </w:rPr>
        <w:t> </w:t>
      </w:r>
      <w:r>
        <w:rPr>
          <w:color w:val="363434"/>
          <w:w w:val="115"/>
          <w:sz w:val="21"/>
        </w:rPr>
        <w:t>at</w:t>
      </w:r>
      <w:r>
        <w:rPr>
          <w:color w:val="363434"/>
          <w:spacing w:val="24"/>
          <w:w w:val="115"/>
          <w:sz w:val="21"/>
        </w:rPr>
        <w:t> </w:t>
      </w:r>
      <w:r>
        <w:rPr>
          <w:color w:val="363434"/>
          <w:w w:val="115"/>
          <w:sz w:val="21"/>
        </w:rPr>
        <w:t>138-40</w:t>
      </w:r>
      <w:r>
        <w:rPr>
          <w:color w:val="4D4D4D"/>
          <w:w w:val="115"/>
          <w:sz w:val="21"/>
        </w:rPr>
        <w:t>.</w:t>
      </w:r>
    </w:p>
    <w:p>
      <w:pPr>
        <w:pStyle w:val="BodyText"/>
        <w:spacing w:line="232" w:lineRule="auto" w:before="153"/>
        <w:ind w:left="150" w:right="1068"/>
        <w:jc w:val="both"/>
      </w:pPr>
      <w:r>
        <w:rPr>
          <w:color w:val="363434"/>
          <w:w w:val="110"/>
        </w:rPr>
        <w:t>One method you can use to test the focus of your case descriptions is to</w:t>
      </w:r>
      <w:r>
        <w:rPr>
          <w:color w:val="363434"/>
          <w:spacing w:val="1"/>
          <w:w w:val="110"/>
        </w:rPr>
        <w:t> </w:t>
      </w:r>
      <w:r>
        <w:rPr>
          <w:color w:val="363434"/>
          <w:w w:val="115"/>
        </w:rPr>
        <w:t>look for the phrase-that-pays for that section of the document</w:t>
      </w:r>
      <w:r>
        <w:rPr>
          <w:color w:val="4D4D4D"/>
          <w:w w:val="115"/>
        </w:rPr>
        <w:t>. </w:t>
      </w:r>
      <w:r>
        <w:rPr>
          <w:color w:val="363434"/>
          <w:w w:val="115"/>
        </w:rPr>
        <w:t>If your</w:t>
      </w:r>
      <w:r>
        <w:rPr>
          <w:color w:val="363434"/>
          <w:spacing w:val="1"/>
          <w:w w:val="115"/>
        </w:rPr>
        <w:t> </w:t>
      </w:r>
      <w:r>
        <w:rPr>
          <w:color w:val="363434"/>
          <w:w w:val="110"/>
        </w:rPr>
        <w:t>ca</w:t>
      </w:r>
      <w:r>
        <w:rPr>
          <w:color w:val="4D4D4D"/>
          <w:w w:val="110"/>
        </w:rPr>
        <w:t>s</w:t>
      </w:r>
      <w:r>
        <w:rPr>
          <w:color w:val="363434"/>
          <w:w w:val="110"/>
        </w:rPr>
        <w:t>e description includes the phrase-that-pays, chances are good that you</w:t>
      </w:r>
      <w:r>
        <w:rPr>
          <w:color w:val="363434"/>
          <w:spacing w:val="1"/>
          <w:w w:val="110"/>
        </w:rPr>
        <w:t> </w:t>
      </w:r>
      <w:r>
        <w:rPr>
          <w:color w:val="363434"/>
          <w:w w:val="110"/>
        </w:rPr>
        <w:t>have at least focused the description on the right legal issue. For example,</w:t>
      </w:r>
      <w:r>
        <w:rPr>
          <w:color w:val="363434"/>
          <w:spacing w:val="1"/>
          <w:w w:val="110"/>
        </w:rPr>
        <w:t> </w:t>
      </w:r>
      <w:r>
        <w:rPr>
          <w:color w:val="363434"/>
          <w:spacing w:val="-1"/>
          <w:w w:val="115"/>
        </w:rPr>
        <w:t>in </w:t>
      </w:r>
      <w:r>
        <w:rPr>
          <w:color w:val="363434"/>
          <w:w w:val="115"/>
        </w:rPr>
        <w:t>the previous example, the phrase-that-pays "gender-based classifica­</w:t>
      </w:r>
      <w:r>
        <w:rPr>
          <w:color w:val="363434"/>
          <w:spacing w:val="1"/>
          <w:w w:val="115"/>
        </w:rPr>
        <w:t> </w:t>
      </w:r>
      <w:r>
        <w:rPr>
          <w:color w:val="363434"/>
          <w:w w:val="110"/>
        </w:rPr>
        <w:t>tions</w:t>
      </w:r>
      <w:r>
        <w:rPr>
          <w:color w:val="4D4D4D"/>
          <w:w w:val="110"/>
        </w:rPr>
        <w:t>" </w:t>
      </w:r>
      <w:r>
        <w:rPr>
          <w:color w:val="363434"/>
          <w:w w:val="110"/>
        </w:rPr>
        <w:t>appears in both case descriptions. In the following example, from</w:t>
      </w:r>
      <w:r>
        <w:rPr>
          <w:color w:val="363434"/>
          <w:spacing w:val="1"/>
          <w:w w:val="110"/>
        </w:rPr>
        <w:t> </w:t>
      </w:r>
      <w:r>
        <w:rPr>
          <w:color w:val="363434"/>
          <w:w w:val="110"/>
        </w:rPr>
        <w:t>the "plain view" argument discussed in Chapter Five, the</w:t>
      </w:r>
      <w:r>
        <w:rPr>
          <w:color w:val="363434"/>
          <w:spacing w:val="1"/>
          <w:w w:val="110"/>
        </w:rPr>
        <w:t> </w:t>
      </w:r>
      <w:r>
        <w:rPr>
          <w:color w:val="363434"/>
          <w:w w:val="110"/>
        </w:rPr>
        <w:t>brief writer dis­</w:t>
      </w:r>
      <w:r>
        <w:rPr>
          <w:color w:val="363434"/>
          <w:spacing w:val="1"/>
          <w:w w:val="110"/>
        </w:rPr>
        <w:t> </w:t>
      </w:r>
      <w:r>
        <w:rPr>
          <w:color w:val="363434"/>
          <w:w w:val="115"/>
        </w:rPr>
        <w:t>cusses cases in whi</w:t>
      </w:r>
      <w:r>
        <w:rPr>
          <w:color w:val="4D4D4D"/>
          <w:w w:val="115"/>
        </w:rPr>
        <w:t>c</w:t>
      </w:r>
      <w:r>
        <w:rPr>
          <w:color w:val="363434"/>
          <w:w w:val="115"/>
        </w:rPr>
        <w:t>h the Court allowed or disallowed certain searches</w:t>
      </w:r>
      <w:r>
        <w:rPr>
          <w:color w:val="363434"/>
          <w:spacing w:val="1"/>
          <w:w w:val="115"/>
        </w:rPr>
        <w:t> </w:t>
      </w:r>
      <w:r>
        <w:rPr>
          <w:color w:val="363434"/>
          <w:w w:val="115"/>
        </w:rPr>
        <w:t>based on whether the officers were looking at things that were in "plain</w:t>
      </w:r>
      <w:r>
        <w:rPr>
          <w:color w:val="363434"/>
          <w:spacing w:val="-64"/>
          <w:w w:val="115"/>
        </w:rPr>
        <w:t> </w:t>
      </w:r>
      <w:r>
        <w:rPr>
          <w:color w:val="363434"/>
          <w:w w:val="115"/>
        </w:rPr>
        <w:t>view." Note how the brief writer took care to connect the phrase-that­</w:t>
      </w:r>
      <w:r>
        <w:rPr>
          <w:color w:val="363434"/>
          <w:spacing w:val="1"/>
          <w:w w:val="115"/>
        </w:rPr>
        <w:t> </w:t>
      </w:r>
      <w:r>
        <w:rPr>
          <w:color w:val="363434"/>
          <w:w w:val="110"/>
        </w:rPr>
        <w:t>pays, "plain view</w:t>
      </w:r>
      <w:r>
        <w:rPr>
          <w:color w:val="4D4D4D"/>
          <w:w w:val="110"/>
        </w:rPr>
        <w:t>,</w:t>
      </w:r>
      <w:r>
        <w:rPr>
          <w:color w:val="363434"/>
          <w:w w:val="110"/>
        </w:rPr>
        <w:t>" to each of the</w:t>
      </w:r>
      <w:r>
        <w:rPr>
          <w:color w:val="363434"/>
          <w:spacing w:val="1"/>
          <w:w w:val="110"/>
        </w:rPr>
        <w:t> </w:t>
      </w:r>
      <w:r>
        <w:rPr>
          <w:color w:val="363434"/>
          <w:w w:val="110"/>
        </w:rPr>
        <w:t>two case de</w:t>
      </w:r>
      <w:r>
        <w:rPr>
          <w:color w:val="4D4D4D"/>
          <w:w w:val="110"/>
        </w:rPr>
        <w:t>s</w:t>
      </w:r>
      <w:r>
        <w:rPr>
          <w:color w:val="363434"/>
          <w:w w:val="110"/>
        </w:rPr>
        <w:t>criptions (the phrase-that­</w:t>
      </w:r>
      <w:r>
        <w:rPr>
          <w:color w:val="363434"/>
          <w:spacing w:val="1"/>
          <w:w w:val="110"/>
        </w:rPr>
        <w:t> </w:t>
      </w:r>
      <w:r>
        <w:rPr>
          <w:color w:val="363434"/>
          <w:w w:val="115"/>
        </w:rPr>
        <w:t>pays</w:t>
      </w:r>
      <w:r>
        <w:rPr>
          <w:color w:val="363434"/>
          <w:spacing w:val="-17"/>
          <w:w w:val="115"/>
        </w:rPr>
        <w:t> </w:t>
      </w:r>
      <w:r>
        <w:rPr>
          <w:color w:val="363434"/>
          <w:w w:val="115"/>
        </w:rPr>
        <w:t>is</w:t>
      </w:r>
      <w:r>
        <w:rPr>
          <w:color w:val="363434"/>
          <w:spacing w:val="-24"/>
          <w:w w:val="115"/>
        </w:rPr>
        <w:t> </w:t>
      </w:r>
      <w:r>
        <w:rPr>
          <w:color w:val="363434"/>
          <w:w w:val="115"/>
        </w:rPr>
        <w:t>in</w:t>
      </w:r>
      <w:r>
        <w:rPr>
          <w:color w:val="363434"/>
          <w:spacing w:val="2"/>
          <w:w w:val="115"/>
        </w:rPr>
        <w:t> </w:t>
      </w:r>
      <w:r>
        <w:rPr>
          <w:color w:val="4D4D4D"/>
          <w:w w:val="115"/>
        </w:rPr>
        <w:t>s</w:t>
      </w:r>
      <w:r>
        <w:rPr>
          <w:color w:val="363434"/>
          <w:w w:val="115"/>
        </w:rPr>
        <w:t>mall</w:t>
      </w:r>
      <w:r>
        <w:rPr>
          <w:color w:val="363434"/>
          <w:spacing w:val="-9"/>
          <w:w w:val="115"/>
        </w:rPr>
        <w:t> </w:t>
      </w:r>
      <w:r>
        <w:rPr>
          <w:color w:val="363434"/>
          <w:w w:val="115"/>
        </w:rPr>
        <w:t>capital letters)</w:t>
      </w:r>
      <w:r>
        <w:rPr>
          <w:color w:val="4D4D4D"/>
          <w:w w:val="115"/>
        </w:rPr>
        <w:t>:</w:t>
      </w:r>
    </w:p>
    <w:p>
      <w:pPr>
        <w:pStyle w:val="BodyText"/>
        <w:spacing w:before="3"/>
        <w:rPr>
          <w:sz w:val="11"/>
        </w:rPr>
      </w:pPr>
    </w:p>
    <w:p>
      <w:pPr>
        <w:spacing w:before="95"/>
        <w:ind w:left="131" w:right="0" w:firstLine="0"/>
        <w:jc w:val="both"/>
        <w:rPr>
          <w:sz w:val="13"/>
        </w:rPr>
      </w:pPr>
      <w:r>
        <w:rPr>
          <w:color w:val="4D4D4D"/>
          <w:w w:val="115"/>
          <w:sz w:val="13"/>
          <w:u w:val="thick" w:color="4D4D4D"/>
        </w:rPr>
        <w:t>_/\   </w:t>
      </w:r>
      <w:r>
        <w:rPr>
          <w:color w:val="4D4D4D"/>
          <w:spacing w:val="21"/>
          <w:w w:val="115"/>
          <w:sz w:val="13"/>
        </w:rPr>
        <w:t> </w:t>
      </w:r>
      <w:r>
        <w:rPr>
          <w:color w:val="4D4D4D"/>
          <w:w w:val="115"/>
          <w:sz w:val="13"/>
          <w:u w:val="thick" w:color="67696B"/>
        </w:rPr>
        <w:t>GO</w:t>
      </w:r>
      <w:r>
        <w:rPr>
          <w:color w:val="67696B"/>
          <w:w w:val="115"/>
          <w:sz w:val="13"/>
          <w:u w:val="thick" w:color="67696B"/>
        </w:rPr>
        <w:t>O</w:t>
      </w:r>
      <w:r>
        <w:rPr>
          <w:color w:val="4D4D4D"/>
          <w:w w:val="115"/>
          <w:sz w:val="13"/>
          <w:u w:val="thick" w:color="67696B"/>
        </w:rPr>
        <w:t>D </w:t>
      </w:r>
      <w:r>
        <w:rPr>
          <w:color w:val="4D4D4D"/>
          <w:spacing w:val="7"/>
          <w:w w:val="115"/>
          <w:sz w:val="13"/>
          <w:u w:val="thick" w:color="67696B"/>
        </w:rPr>
        <w:t> </w:t>
      </w:r>
      <w:r>
        <w:rPr>
          <w:color w:val="67696B"/>
          <w:w w:val="115"/>
          <w:sz w:val="13"/>
          <w:u w:val="thick" w:color="67696B"/>
        </w:rPr>
        <w:t>EXAMPLE</w:t>
      </w:r>
    </w:p>
    <w:p>
      <w:pPr>
        <w:spacing w:line="230" w:lineRule="auto" w:before="111"/>
        <w:ind w:left="506" w:right="1421" w:firstLine="360"/>
        <w:jc w:val="both"/>
        <w:rPr>
          <w:sz w:val="21"/>
        </w:rPr>
      </w:pPr>
      <w:r>
        <w:rPr>
          <w:color w:val="363434"/>
          <w:w w:val="115"/>
          <w:sz w:val="21"/>
        </w:rPr>
        <w:t>Illegal activities in </w:t>
      </w:r>
      <w:r>
        <w:rPr>
          <w:color w:val="363434"/>
          <w:w w:val="115"/>
          <w:sz w:val="18"/>
        </w:rPr>
        <w:t>PLAIN VIEW </w:t>
      </w:r>
      <w:r>
        <w:rPr>
          <w:color w:val="363434"/>
          <w:w w:val="115"/>
          <w:sz w:val="21"/>
        </w:rPr>
        <w:t>from outside the curtllage </w:t>
      </w:r>
      <w:r>
        <w:rPr>
          <w:rFonts w:ascii="Arial"/>
          <w:color w:val="363434"/>
          <w:w w:val="115"/>
          <w:sz w:val="20"/>
        </w:rPr>
        <w:t>are </w:t>
      </w:r>
      <w:r>
        <w:rPr>
          <w:color w:val="363434"/>
          <w:w w:val="115"/>
          <w:sz w:val="21"/>
        </w:rPr>
        <w:t>not</w:t>
      </w:r>
      <w:r>
        <w:rPr>
          <w:color w:val="363434"/>
          <w:spacing w:val="1"/>
          <w:w w:val="115"/>
          <w:sz w:val="21"/>
        </w:rPr>
        <w:t> </w:t>
      </w:r>
      <w:r>
        <w:rPr>
          <w:color w:val="363434"/>
          <w:w w:val="115"/>
          <w:sz w:val="21"/>
        </w:rPr>
        <w:t>protected</w:t>
      </w:r>
      <w:r>
        <w:rPr>
          <w:color w:val="363434"/>
          <w:spacing w:val="1"/>
          <w:w w:val="115"/>
          <w:sz w:val="21"/>
        </w:rPr>
        <w:t> </w:t>
      </w:r>
      <w:r>
        <w:rPr>
          <w:color w:val="363434"/>
          <w:w w:val="115"/>
          <w:sz w:val="21"/>
        </w:rPr>
        <w:t>even if</w:t>
      </w:r>
      <w:r>
        <w:rPr>
          <w:color w:val="363434"/>
          <w:spacing w:val="1"/>
          <w:w w:val="115"/>
          <w:sz w:val="21"/>
        </w:rPr>
        <w:t> </w:t>
      </w:r>
      <w:r>
        <w:rPr>
          <w:color w:val="363434"/>
          <w:w w:val="115"/>
          <w:sz w:val="21"/>
        </w:rPr>
        <w:t>the</w:t>
      </w:r>
      <w:r>
        <w:rPr>
          <w:color w:val="363434"/>
          <w:spacing w:val="1"/>
          <w:w w:val="115"/>
          <w:sz w:val="21"/>
        </w:rPr>
        <w:t> </w:t>
      </w:r>
      <w:r>
        <w:rPr>
          <w:color w:val="363434"/>
          <w:w w:val="115"/>
          <w:sz w:val="21"/>
        </w:rPr>
        <w:t>police observation</w:t>
      </w:r>
      <w:r>
        <w:rPr>
          <w:color w:val="363434"/>
          <w:spacing w:val="1"/>
          <w:w w:val="115"/>
          <w:sz w:val="21"/>
        </w:rPr>
        <w:t> </w:t>
      </w:r>
      <w:r>
        <w:rPr>
          <w:color w:val="363434"/>
          <w:w w:val="115"/>
          <w:sz w:val="21"/>
        </w:rPr>
        <w:t>is specifically directed</w:t>
      </w:r>
      <w:r>
        <w:rPr>
          <w:color w:val="363434"/>
          <w:spacing w:val="1"/>
          <w:w w:val="115"/>
          <w:sz w:val="21"/>
        </w:rPr>
        <w:t> </w:t>
      </w:r>
      <w:r>
        <w:rPr>
          <w:color w:val="363434"/>
          <w:w w:val="115"/>
          <w:sz w:val="21"/>
        </w:rPr>
        <w:t>at</w:t>
      </w:r>
      <w:r>
        <w:rPr>
          <w:color w:val="363434"/>
          <w:spacing w:val="1"/>
          <w:w w:val="115"/>
          <w:sz w:val="21"/>
        </w:rPr>
        <w:t> </w:t>
      </w:r>
      <w:r>
        <w:rPr>
          <w:color w:val="363434"/>
          <w:w w:val="110"/>
          <w:sz w:val="21"/>
        </w:rPr>
        <w:t>identifying</w:t>
      </w:r>
      <w:r>
        <w:rPr>
          <w:color w:val="363434"/>
          <w:spacing w:val="1"/>
          <w:w w:val="110"/>
          <w:sz w:val="21"/>
        </w:rPr>
        <w:t> </w:t>
      </w:r>
      <w:r>
        <w:rPr>
          <w:color w:val="363434"/>
          <w:w w:val="110"/>
          <w:sz w:val="21"/>
        </w:rPr>
        <w:t>illeg</w:t>
      </w:r>
      <w:r>
        <w:rPr>
          <w:color w:val="4D4D4D"/>
          <w:w w:val="110"/>
          <w:sz w:val="21"/>
        </w:rPr>
        <w:t>a</w:t>
      </w:r>
      <w:r>
        <w:rPr>
          <w:color w:val="363434"/>
          <w:w w:val="110"/>
          <w:sz w:val="21"/>
        </w:rPr>
        <w:t>l</w:t>
      </w:r>
      <w:r>
        <w:rPr>
          <w:color w:val="363434"/>
          <w:spacing w:val="6"/>
          <w:w w:val="110"/>
          <w:sz w:val="21"/>
        </w:rPr>
        <w:t> </w:t>
      </w:r>
      <w:r>
        <w:rPr>
          <w:color w:val="363434"/>
          <w:w w:val="110"/>
          <w:sz w:val="21"/>
        </w:rPr>
        <w:t>activity</w:t>
      </w:r>
      <w:r>
        <w:rPr>
          <w:color w:val="4D4D4D"/>
          <w:w w:val="110"/>
          <w:sz w:val="21"/>
        </w:rPr>
        <w:t>.</w:t>
      </w:r>
      <w:r>
        <w:rPr>
          <w:color w:val="4D4D4D"/>
          <w:spacing w:val="8"/>
          <w:w w:val="110"/>
          <w:sz w:val="21"/>
        </w:rPr>
        <w:t> </w:t>
      </w:r>
      <w:r>
        <w:rPr>
          <w:color w:val="363434"/>
          <w:w w:val="110"/>
          <w:sz w:val="24"/>
          <w:u w:val="thick" w:color="363434"/>
        </w:rPr>
        <w:t>United</w:t>
      </w:r>
      <w:r>
        <w:rPr>
          <w:color w:val="363434"/>
          <w:spacing w:val="-19"/>
          <w:w w:val="110"/>
          <w:sz w:val="24"/>
          <w:u w:val="thick" w:color="363434"/>
        </w:rPr>
        <w:t> </w:t>
      </w:r>
      <w:r>
        <w:rPr>
          <w:color w:val="363434"/>
          <w:w w:val="110"/>
          <w:sz w:val="24"/>
          <w:u w:val="thick" w:color="363434"/>
        </w:rPr>
        <w:t>States</w:t>
      </w:r>
      <w:r>
        <w:rPr>
          <w:color w:val="363434"/>
          <w:spacing w:val="-18"/>
          <w:w w:val="110"/>
          <w:sz w:val="24"/>
          <w:u w:val="thick" w:color="363434"/>
        </w:rPr>
        <w:t> </w:t>
      </w:r>
      <w:r>
        <w:rPr>
          <w:rFonts w:ascii="Arial"/>
          <w:color w:val="363434"/>
          <w:w w:val="110"/>
          <w:sz w:val="24"/>
          <w:u w:val="thick" w:color="363434"/>
        </w:rPr>
        <w:t>v.</w:t>
      </w:r>
      <w:r>
        <w:rPr>
          <w:rFonts w:ascii="Arial"/>
          <w:color w:val="363434"/>
          <w:spacing w:val="-27"/>
          <w:w w:val="110"/>
          <w:sz w:val="24"/>
          <w:u w:val="thick" w:color="363434"/>
        </w:rPr>
        <w:t> </w:t>
      </w:r>
      <w:r>
        <w:rPr>
          <w:color w:val="363434"/>
          <w:w w:val="110"/>
          <w:sz w:val="24"/>
          <w:u w:val="thick" w:color="363434"/>
        </w:rPr>
        <w:t>Dunn,</w:t>
      </w:r>
      <w:r>
        <w:rPr>
          <w:color w:val="363434"/>
          <w:spacing w:val="-10"/>
          <w:w w:val="110"/>
          <w:sz w:val="24"/>
        </w:rPr>
        <w:t> </w:t>
      </w:r>
      <w:r>
        <w:rPr>
          <w:color w:val="363434"/>
          <w:w w:val="110"/>
          <w:sz w:val="21"/>
        </w:rPr>
        <w:t>480</w:t>
      </w:r>
      <w:r>
        <w:rPr>
          <w:color w:val="363434"/>
          <w:spacing w:val="38"/>
          <w:w w:val="110"/>
          <w:sz w:val="21"/>
        </w:rPr>
        <w:t> </w:t>
      </w:r>
      <w:r>
        <w:rPr>
          <w:color w:val="363434"/>
          <w:w w:val="110"/>
          <w:sz w:val="19"/>
        </w:rPr>
        <w:t>U</w:t>
      </w:r>
      <w:r>
        <w:rPr>
          <w:color w:val="4D4D4D"/>
          <w:w w:val="110"/>
          <w:sz w:val="19"/>
        </w:rPr>
        <w:t>.</w:t>
      </w:r>
      <w:r>
        <w:rPr>
          <w:color w:val="363434"/>
          <w:w w:val="110"/>
          <w:sz w:val="19"/>
        </w:rPr>
        <w:t>S.</w:t>
      </w:r>
      <w:r>
        <w:rPr>
          <w:color w:val="363434"/>
          <w:spacing w:val="5"/>
          <w:w w:val="110"/>
          <w:sz w:val="19"/>
        </w:rPr>
        <w:t> </w:t>
      </w:r>
      <w:r>
        <w:rPr>
          <w:color w:val="363434"/>
          <w:w w:val="110"/>
          <w:sz w:val="21"/>
        </w:rPr>
        <w:t>294</w:t>
      </w:r>
      <w:r>
        <w:rPr>
          <w:color w:val="363434"/>
          <w:spacing w:val="8"/>
          <w:w w:val="110"/>
          <w:sz w:val="21"/>
        </w:rPr>
        <w:t> </w:t>
      </w:r>
      <w:r>
        <w:rPr>
          <w:color w:val="363434"/>
          <w:w w:val="110"/>
          <w:sz w:val="21"/>
        </w:rPr>
        <w:t>(1987)</w:t>
      </w:r>
    </w:p>
    <w:p>
      <w:pPr>
        <w:tabs>
          <w:tab w:pos="7792" w:val="left" w:leader="none"/>
        </w:tabs>
        <w:spacing w:line="221" w:lineRule="exact" w:before="0"/>
        <w:ind w:left="507" w:right="0" w:firstLine="0"/>
        <w:jc w:val="left"/>
        <w:rPr>
          <w:sz w:val="16"/>
        </w:rPr>
      </w:pPr>
      <w:r>
        <w:rPr>
          <w:color w:val="363434"/>
          <w:w w:val="120"/>
          <w:sz w:val="21"/>
        </w:rPr>
        <w:t>(finding that</w:t>
      </w:r>
      <w:r>
        <w:rPr>
          <w:color w:val="363434"/>
          <w:spacing w:val="-4"/>
          <w:w w:val="120"/>
          <w:sz w:val="21"/>
        </w:rPr>
        <w:t> </w:t>
      </w:r>
      <w:r>
        <w:rPr>
          <w:color w:val="363434"/>
          <w:w w:val="120"/>
          <w:sz w:val="21"/>
        </w:rPr>
        <w:t>an officer's</w:t>
      </w:r>
      <w:r>
        <w:rPr>
          <w:color w:val="363434"/>
          <w:spacing w:val="-4"/>
          <w:w w:val="120"/>
          <w:sz w:val="21"/>
        </w:rPr>
        <w:t> </w:t>
      </w:r>
      <w:r>
        <w:rPr>
          <w:color w:val="363434"/>
          <w:w w:val="120"/>
          <w:sz w:val="18"/>
        </w:rPr>
        <w:t>PLAIN</w:t>
      </w:r>
      <w:r>
        <w:rPr>
          <w:color w:val="363434"/>
          <w:spacing w:val="11"/>
          <w:w w:val="120"/>
          <w:sz w:val="18"/>
        </w:rPr>
        <w:t> </w:t>
      </w:r>
      <w:r>
        <w:rPr>
          <w:color w:val="363434"/>
          <w:w w:val="120"/>
          <w:sz w:val="18"/>
        </w:rPr>
        <w:t>VIEW</w:t>
      </w:r>
      <w:r>
        <w:rPr>
          <w:color w:val="363434"/>
          <w:spacing w:val="8"/>
          <w:w w:val="120"/>
          <w:sz w:val="18"/>
        </w:rPr>
        <w:t> </w:t>
      </w:r>
      <w:r>
        <w:rPr>
          <w:color w:val="363434"/>
          <w:w w:val="120"/>
          <w:sz w:val="21"/>
        </w:rPr>
        <w:t>observation</w:t>
      </w:r>
      <w:r>
        <w:rPr>
          <w:color w:val="363434"/>
          <w:spacing w:val="4"/>
          <w:w w:val="120"/>
          <w:sz w:val="21"/>
        </w:rPr>
        <w:t> </w:t>
      </w:r>
      <w:r>
        <w:rPr>
          <w:color w:val="363434"/>
          <w:w w:val="120"/>
          <w:sz w:val="21"/>
        </w:rPr>
        <w:t>into</w:t>
      </w:r>
      <w:r>
        <w:rPr>
          <w:color w:val="363434"/>
          <w:spacing w:val="-13"/>
          <w:w w:val="120"/>
          <w:sz w:val="21"/>
        </w:rPr>
        <w:t> </w:t>
      </w:r>
      <w:r>
        <w:rPr>
          <w:color w:val="363434"/>
          <w:w w:val="120"/>
          <w:sz w:val="21"/>
        </w:rPr>
        <w:t>a</w:t>
      </w:r>
      <w:r>
        <w:rPr>
          <w:color w:val="363434"/>
          <w:spacing w:val="-3"/>
          <w:w w:val="120"/>
          <w:sz w:val="21"/>
        </w:rPr>
        <w:t> </w:t>
      </w:r>
      <w:r>
        <w:rPr>
          <w:color w:val="363434"/>
          <w:w w:val="120"/>
          <w:sz w:val="21"/>
        </w:rPr>
        <w:t>barn</w:t>
      </w:r>
      <w:r>
        <w:rPr>
          <w:color w:val="363434"/>
          <w:spacing w:val="45"/>
          <w:w w:val="120"/>
          <w:sz w:val="21"/>
        </w:rPr>
        <w:t> </w:t>
      </w:r>
      <w:r>
        <w:rPr>
          <w:rFonts w:ascii="Arial"/>
          <w:b/>
          <w:color w:val="363434"/>
          <w:w w:val="120"/>
          <w:sz w:val="20"/>
        </w:rPr>
        <w:t>s</w:t>
      </w:r>
      <w:r>
        <w:rPr>
          <w:rFonts w:ascii="Arial"/>
          <w:b/>
          <w:color w:val="363434"/>
          <w:spacing w:val="20"/>
          <w:w w:val="120"/>
          <w:sz w:val="20"/>
        </w:rPr>
        <w:t> </w:t>
      </w:r>
      <w:r>
        <w:rPr>
          <w:color w:val="363434"/>
          <w:w w:val="120"/>
          <w:sz w:val="21"/>
        </w:rPr>
        <w:t>was</w:t>
        <w:tab/>
      </w:r>
      <w:r>
        <w:rPr>
          <w:b/>
          <w:color w:val="363434"/>
          <w:w w:val="120"/>
          <w:sz w:val="15"/>
        </w:rPr>
        <w:t>1</w:t>
      </w:r>
      <w:r>
        <w:rPr>
          <w:b/>
          <w:color w:val="363434"/>
          <w:spacing w:val="19"/>
          <w:w w:val="120"/>
          <w:sz w:val="15"/>
        </w:rPr>
        <w:t> </w:t>
      </w:r>
      <w:r>
        <w:rPr>
          <w:color w:val="363434"/>
          <w:w w:val="120"/>
          <w:sz w:val="16"/>
        </w:rPr>
        <w:t>1uue</w:t>
      </w:r>
    </w:p>
    <w:p>
      <w:pPr>
        <w:tabs>
          <w:tab w:pos="7797" w:val="left" w:leader="none"/>
        </w:tabs>
        <w:spacing w:line="225" w:lineRule="auto" w:before="7"/>
        <w:ind w:left="511" w:right="113" w:firstLine="3"/>
        <w:jc w:val="left"/>
        <w:rPr>
          <w:sz w:val="21"/>
        </w:rPr>
      </w:pPr>
      <w:r>
        <w:rPr>
          <w:color w:val="363434"/>
          <w:w w:val="115"/>
          <w:sz w:val="21"/>
        </w:rPr>
        <w:t>not a</w:t>
      </w:r>
      <w:r>
        <w:rPr>
          <w:color w:val="363434"/>
          <w:spacing w:val="29"/>
          <w:w w:val="115"/>
          <w:sz w:val="21"/>
        </w:rPr>
        <w:t> </w:t>
      </w:r>
      <w:r>
        <w:rPr>
          <w:color w:val="363434"/>
          <w:w w:val="115"/>
          <w:sz w:val="21"/>
        </w:rPr>
        <w:t>Fourth</w:t>
      </w:r>
      <w:r>
        <w:rPr>
          <w:color w:val="363434"/>
          <w:spacing w:val="-3"/>
          <w:w w:val="115"/>
          <w:sz w:val="21"/>
        </w:rPr>
        <w:t> </w:t>
      </w:r>
      <w:r>
        <w:rPr>
          <w:color w:val="363434"/>
          <w:w w:val="115"/>
          <w:sz w:val="21"/>
        </w:rPr>
        <w:t>Amendment</w:t>
      </w:r>
      <w:r>
        <w:rPr>
          <w:color w:val="363434"/>
          <w:spacing w:val="16"/>
          <w:w w:val="115"/>
          <w:sz w:val="21"/>
        </w:rPr>
        <w:t> </w:t>
      </w:r>
      <w:r>
        <w:rPr>
          <w:color w:val="363434"/>
          <w:w w:val="115"/>
          <w:sz w:val="21"/>
        </w:rPr>
        <w:t>search</w:t>
      </w:r>
      <w:r>
        <w:rPr>
          <w:color w:val="363434"/>
          <w:spacing w:val="48"/>
          <w:w w:val="115"/>
          <w:sz w:val="21"/>
        </w:rPr>
        <w:t> </w:t>
      </w:r>
      <w:r>
        <w:rPr>
          <w:b/>
          <w:color w:val="363434"/>
          <w:w w:val="115"/>
          <w:sz w:val="18"/>
        </w:rPr>
        <w:t>1 </w:t>
      </w:r>
      <w:r>
        <w:rPr>
          <w:b/>
          <w:color w:val="363434"/>
          <w:spacing w:val="5"/>
          <w:w w:val="115"/>
          <w:sz w:val="18"/>
        </w:rPr>
        <w:t> </w:t>
      </w:r>
      <w:r>
        <w:rPr>
          <w:color w:val="363434"/>
          <w:w w:val="115"/>
          <w:sz w:val="20"/>
        </w:rPr>
        <w:t>&amp;</w:t>
      </w:r>
      <w:r>
        <w:rPr>
          <w:color w:val="363434"/>
          <w:spacing w:val="36"/>
          <w:w w:val="115"/>
          <w:sz w:val="20"/>
        </w:rPr>
        <w:t> </w:t>
      </w:r>
      <w:r>
        <w:rPr>
          <w:b/>
          <w:color w:val="363434"/>
          <w:w w:val="115"/>
          <w:sz w:val="18"/>
        </w:rPr>
        <w:t>2</w:t>
      </w:r>
      <w:r>
        <w:rPr>
          <w:b/>
          <w:color w:val="363434"/>
          <w:spacing w:val="44"/>
          <w:w w:val="115"/>
          <w:sz w:val="18"/>
        </w:rPr>
        <w:t> </w:t>
      </w:r>
      <w:r>
        <w:rPr>
          <w:color w:val="363434"/>
          <w:w w:val="115"/>
          <w:sz w:val="18"/>
        </w:rPr>
        <w:t>,</w:t>
      </w:r>
      <w:r>
        <w:rPr>
          <w:color w:val="363434"/>
          <w:spacing w:val="24"/>
          <w:w w:val="115"/>
          <w:sz w:val="18"/>
        </w:rPr>
        <w:t> </w:t>
      </w:r>
      <w:r>
        <w:rPr>
          <w:color w:val="363434"/>
          <w:w w:val="115"/>
          <w:sz w:val="21"/>
        </w:rPr>
        <w:t>even</w:t>
      </w:r>
      <w:r>
        <w:rPr>
          <w:color w:val="363434"/>
          <w:spacing w:val="4"/>
          <w:w w:val="115"/>
          <w:sz w:val="21"/>
        </w:rPr>
        <w:t> </w:t>
      </w:r>
      <w:r>
        <w:rPr>
          <w:color w:val="363434"/>
          <w:w w:val="115"/>
          <w:sz w:val="21"/>
        </w:rPr>
        <w:t>though</w:t>
      </w:r>
      <w:r>
        <w:rPr>
          <w:color w:val="363434"/>
          <w:spacing w:val="7"/>
          <w:w w:val="115"/>
          <w:sz w:val="21"/>
        </w:rPr>
        <w:t> </w:t>
      </w:r>
      <w:r>
        <w:rPr>
          <w:color w:val="363434"/>
          <w:w w:val="115"/>
          <w:sz w:val="21"/>
        </w:rPr>
        <w:t>the</w:t>
      </w:r>
      <w:r>
        <w:rPr>
          <w:color w:val="363434"/>
          <w:spacing w:val="-10"/>
          <w:w w:val="115"/>
          <w:sz w:val="21"/>
        </w:rPr>
        <w:t> </w:t>
      </w:r>
      <w:r>
        <w:rPr>
          <w:color w:val="363434"/>
          <w:w w:val="115"/>
          <w:sz w:val="21"/>
        </w:rPr>
        <w:t>observation</w:t>
        <w:tab/>
      </w:r>
      <w:r>
        <w:rPr>
          <w:color w:val="363434"/>
          <w:w w:val="105"/>
          <w:sz w:val="15"/>
        </w:rPr>
        <w:t>2</w:t>
      </w:r>
      <w:r>
        <w:rPr>
          <w:color w:val="363434"/>
          <w:spacing w:val="1"/>
          <w:w w:val="105"/>
          <w:sz w:val="15"/>
        </w:rPr>
        <w:t> </w:t>
      </w:r>
      <w:r>
        <w:rPr>
          <w:color w:val="363434"/>
          <w:w w:val="105"/>
          <w:sz w:val="15"/>
        </w:rPr>
        <w:t>D</w:t>
      </w:r>
      <w:r>
        <w:rPr>
          <w:color w:val="4D4D4D"/>
          <w:w w:val="105"/>
          <w:sz w:val="15"/>
        </w:rPr>
        <w:t>i</w:t>
      </w:r>
      <w:r>
        <w:rPr>
          <w:color w:val="363434"/>
          <w:w w:val="105"/>
          <w:sz w:val="15"/>
        </w:rPr>
        <w:t>sposition</w:t>
      </w:r>
      <w:r>
        <w:rPr>
          <w:color w:val="363434"/>
          <w:spacing w:val="-37"/>
          <w:w w:val="105"/>
          <w:sz w:val="15"/>
        </w:rPr>
        <w:t> </w:t>
      </w:r>
      <w:r>
        <w:rPr>
          <w:color w:val="363434"/>
          <w:w w:val="115"/>
          <w:sz w:val="21"/>
        </w:rPr>
        <w:t>was</w:t>
      </w:r>
      <w:r>
        <w:rPr>
          <w:color w:val="363434"/>
          <w:spacing w:val="-6"/>
          <w:w w:val="115"/>
          <w:sz w:val="21"/>
        </w:rPr>
        <w:t> </w:t>
      </w:r>
      <w:r>
        <w:rPr>
          <w:color w:val="363434"/>
          <w:w w:val="115"/>
          <w:sz w:val="21"/>
        </w:rPr>
        <w:t>motivated</w:t>
      </w:r>
      <w:r>
        <w:rPr>
          <w:color w:val="363434"/>
          <w:spacing w:val="21"/>
          <w:w w:val="115"/>
          <w:sz w:val="21"/>
        </w:rPr>
        <w:t> </w:t>
      </w:r>
      <w:r>
        <w:rPr>
          <w:color w:val="363434"/>
          <w:w w:val="115"/>
          <w:sz w:val="21"/>
        </w:rPr>
        <w:t>by</w:t>
      </w:r>
      <w:r>
        <w:rPr>
          <w:color w:val="363434"/>
          <w:spacing w:val="-17"/>
          <w:w w:val="115"/>
          <w:sz w:val="21"/>
        </w:rPr>
        <w:t> </w:t>
      </w:r>
      <w:r>
        <w:rPr>
          <w:color w:val="363434"/>
          <w:w w:val="115"/>
          <w:sz w:val="21"/>
        </w:rPr>
        <w:t>a</w:t>
      </w:r>
      <w:r>
        <w:rPr>
          <w:color w:val="363434"/>
          <w:spacing w:val="16"/>
          <w:w w:val="115"/>
          <w:sz w:val="21"/>
        </w:rPr>
        <w:t> </w:t>
      </w:r>
      <w:r>
        <w:rPr>
          <w:color w:val="363434"/>
          <w:w w:val="115"/>
          <w:sz w:val="21"/>
        </w:rPr>
        <w:t>law</w:t>
      </w:r>
      <w:r>
        <w:rPr>
          <w:color w:val="363434"/>
          <w:spacing w:val="-5"/>
          <w:w w:val="115"/>
          <w:sz w:val="21"/>
        </w:rPr>
        <w:t> </w:t>
      </w:r>
      <w:r>
        <w:rPr>
          <w:color w:val="363434"/>
          <w:w w:val="115"/>
          <w:sz w:val="21"/>
        </w:rPr>
        <w:t>enforcement</w:t>
      </w:r>
      <w:r>
        <w:rPr>
          <w:color w:val="363434"/>
          <w:spacing w:val="20"/>
          <w:w w:val="115"/>
          <w:sz w:val="21"/>
        </w:rPr>
        <w:t> </w:t>
      </w:r>
      <w:r>
        <w:rPr>
          <w:color w:val="363434"/>
          <w:w w:val="115"/>
          <w:sz w:val="21"/>
        </w:rPr>
        <w:t>purpose</w:t>
      </w:r>
      <w:r>
        <w:rPr>
          <w:color w:val="363434"/>
          <w:spacing w:val="45"/>
          <w:w w:val="115"/>
          <w:sz w:val="21"/>
        </w:rPr>
        <w:t> </w:t>
      </w:r>
      <w:r>
        <w:rPr>
          <w:b/>
          <w:color w:val="363434"/>
          <w:w w:val="115"/>
          <w:sz w:val="18"/>
        </w:rPr>
        <w:t>J</w:t>
      </w:r>
      <w:r>
        <w:rPr>
          <w:b/>
          <w:color w:val="363434"/>
          <w:spacing w:val="-16"/>
          <w:w w:val="115"/>
          <w:sz w:val="18"/>
        </w:rPr>
        <w:t> </w:t>
      </w:r>
      <w:r>
        <w:rPr>
          <w:color w:val="363434"/>
          <w:w w:val="115"/>
          <w:sz w:val="18"/>
        </w:rPr>
        <w:t>);</w:t>
      </w:r>
      <w:r>
        <w:rPr>
          <w:color w:val="363434"/>
          <w:spacing w:val="5"/>
          <w:w w:val="115"/>
          <w:sz w:val="18"/>
        </w:rPr>
        <w:t> </w:t>
      </w:r>
      <w:r>
        <w:rPr>
          <w:color w:val="363434"/>
          <w:w w:val="115"/>
          <w:sz w:val="23"/>
          <w:u w:val="thick" w:color="363434"/>
        </w:rPr>
        <w:t>Ciraolo.</w:t>
      </w:r>
      <w:r>
        <w:rPr>
          <w:color w:val="363434"/>
          <w:spacing w:val="-9"/>
          <w:w w:val="115"/>
          <w:sz w:val="23"/>
        </w:rPr>
        <w:t> </w:t>
      </w:r>
      <w:r>
        <w:rPr>
          <w:color w:val="363434"/>
          <w:w w:val="115"/>
          <w:sz w:val="21"/>
        </w:rPr>
        <w:t>476</w:t>
      </w:r>
      <w:r>
        <w:rPr>
          <w:color w:val="363434"/>
          <w:spacing w:val="27"/>
          <w:w w:val="115"/>
          <w:sz w:val="21"/>
        </w:rPr>
        <w:t> </w:t>
      </w:r>
      <w:r>
        <w:rPr>
          <w:color w:val="363434"/>
          <w:w w:val="115"/>
          <w:sz w:val="19"/>
        </w:rPr>
        <w:t>U.S.</w:t>
      </w:r>
      <w:r>
        <w:rPr>
          <w:color w:val="363434"/>
          <w:spacing w:val="-2"/>
          <w:w w:val="115"/>
          <w:sz w:val="19"/>
        </w:rPr>
        <w:t> </w:t>
      </w:r>
      <w:r>
        <w:rPr>
          <w:color w:val="363434"/>
          <w:w w:val="115"/>
          <w:sz w:val="21"/>
        </w:rPr>
        <w:t>at</w:t>
        <w:tab/>
      </w:r>
      <w:r>
        <w:rPr>
          <w:b/>
          <w:color w:val="363434"/>
          <w:w w:val="120"/>
          <w:sz w:val="17"/>
        </w:rPr>
        <w:t>J</w:t>
      </w:r>
      <w:r>
        <w:rPr>
          <w:b/>
          <w:color w:val="363434"/>
          <w:spacing w:val="13"/>
          <w:w w:val="120"/>
          <w:sz w:val="17"/>
        </w:rPr>
        <w:t> </w:t>
      </w:r>
      <w:r>
        <w:rPr>
          <w:rFonts w:ascii="Arial"/>
          <w:color w:val="363434"/>
          <w:w w:val="120"/>
          <w:sz w:val="14"/>
        </w:rPr>
        <w:t>Facts</w:t>
      </w:r>
      <w:r>
        <w:rPr>
          <w:rFonts w:ascii="Arial"/>
          <w:color w:val="363434"/>
          <w:spacing w:val="1"/>
          <w:w w:val="120"/>
          <w:sz w:val="14"/>
        </w:rPr>
        <w:t> </w:t>
      </w:r>
      <w:r>
        <w:rPr>
          <w:color w:val="363434"/>
          <w:w w:val="115"/>
          <w:sz w:val="21"/>
        </w:rPr>
        <w:t>212,213.</w:t>
      </w:r>
      <w:r>
        <w:rPr>
          <w:color w:val="363434"/>
          <w:spacing w:val="-9"/>
          <w:w w:val="115"/>
          <w:sz w:val="21"/>
        </w:rPr>
        <w:t> </w:t>
      </w:r>
      <w:r>
        <w:rPr>
          <w:color w:val="363434"/>
          <w:w w:val="115"/>
          <w:sz w:val="21"/>
        </w:rPr>
        <w:t>In</w:t>
      </w:r>
      <w:r>
        <w:rPr>
          <w:color w:val="363434"/>
          <w:spacing w:val="3"/>
          <w:w w:val="115"/>
          <w:sz w:val="21"/>
        </w:rPr>
        <w:t> </w:t>
      </w:r>
      <w:r>
        <w:rPr>
          <w:color w:val="363434"/>
          <w:w w:val="115"/>
          <w:sz w:val="23"/>
          <w:u w:val="thick" w:color="363434"/>
        </w:rPr>
        <w:t>C</w:t>
      </w:r>
      <w:r>
        <w:rPr>
          <w:color w:val="4D4D4D"/>
          <w:w w:val="115"/>
          <w:sz w:val="23"/>
          <w:u w:val="thick" w:color="363434"/>
        </w:rPr>
        <w:t>i</w:t>
      </w:r>
      <w:r>
        <w:rPr>
          <w:color w:val="363434"/>
          <w:w w:val="115"/>
          <w:sz w:val="23"/>
          <w:u w:val="thick" w:color="363434"/>
        </w:rPr>
        <w:t>raolo</w:t>
      </w:r>
      <w:r>
        <w:rPr>
          <w:color w:val="363434"/>
          <w:w w:val="115"/>
          <w:sz w:val="23"/>
        </w:rPr>
        <w:t>,</w:t>
      </w:r>
      <w:r>
        <w:rPr>
          <w:color w:val="363434"/>
          <w:spacing w:val="-7"/>
          <w:w w:val="115"/>
          <w:sz w:val="23"/>
        </w:rPr>
        <w:t> </w:t>
      </w:r>
      <w:r>
        <w:rPr>
          <w:color w:val="363434"/>
          <w:w w:val="115"/>
          <w:sz w:val="21"/>
        </w:rPr>
        <w:t>the</w:t>
      </w:r>
      <w:r>
        <w:rPr>
          <w:color w:val="363434"/>
          <w:spacing w:val="47"/>
          <w:w w:val="115"/>
          <w:sz w:val="21"/>
        </w:rPr>
        <w:t> </w:t>
      </w:r>
      <w:r>
        <w:rPr>
          <w:color w:val="363434"/>
          <w:w w:val="115"/>
          <w:sz w:val="21"/>
        </w:rPr>
        <w:t>defendant</w:t>
      </w:r>
      <w:r>
        <w:rPr>
          <w:color w:val="363434"/>
          <w:spacing w:val="5"/>
          <w:w w:val="115"/>
          <w:sz w:val="21"/>
        </w:rPr>
        <w:t> </w:t>
      </w:r>
      <w:r>
        <w:rPr>
          <w:color w:val="363434"/>
          <w:w w:val="115"/>
          <w:sz w:val="21"/>
        </w:rPr>
        <w:t>wasgrowing</w:t>
      </w:r>
      <w:r>
        <w:rPr>
          <w:color w:val="363434"/>
          <w:spacing w:val="-9"/>
          <w:w w:val="115"/>
          <w:sz w:val="21"/>
        </w:rPr>
        <w:t> </w:t>
      </w:r>
      <w:r>
        <w:rPr>
          <w:color w:val="363434"/>
          <w:w w:val="115"/>
          <w:sz w:val="21"/>
        </w:rPr>
        <w:t>marijuana</w:t>
      </w:r>
      <w:r>
        <w:rPr>
          <w:color w:val="363434"/>
          <w:spacing w:val="10"/>
          <w:w w:val="115"/>
          <w:sz w:val="21"/>
        </w:rPr>
        <w:t> </w:t>
      </w:r>
      <w:r>
        <w:rPr>
          <w:color w:val="363434"/>
          <w:w w:val="115"/>
          <w:sz w:val="21"/>
        </w:rPr>
        <w:t>in</w:t>
      </w:r>
      <w:r>
        <w:rPr>
          <w:color w:val="363434"/>
          <w:spacing w:val="3"/>
          <w:w w:val="115"/>
          <w:sz w:val="21"/>
        </w:rPr>
        <w:t> </w:t>
      </w:r>
      <w:r>
        <w:rPr>
          <w:color w:val="363434"/>
          <w:w w:val="115"/>
          <w:sz w:val="21"/>
        </w:rPr>
        <w:t>a</w:t>
      </w:r>
      <w:r>
        <w:rPr>
          <w:color w:val="363434"/>
          <w:spacing w:val="-8"/>
          <w:w w:val="115"/>
          <w:sz w:val="21"/>
        </w:rPr>
        <w:t> </w:t>
      </w:r>
      <w:r>
        <w:rPr>
          <w:color w:val="363434"/>
          <w:w w:val="115"/>
          <w:sz w:val="21"/>
        </w:rPr>
        <w:t>15-by</w:t>
      </w:r>
      <w:r>
        <w:rPr>
          <w:color w:val="4D4D4D"/>
          <w:w w:val="115"/>
          <w:sz w:val="21"/>
        </w:rPr>
        <w:t>-</w:t>
        <w:tab/>
      </w:r>
      <w:r>
        <w:rPr>
          <w:rFonts w:ascii="Arial"/>
          <w:b/>
          <w:color w:val="363434"/>
          <w:w w:val="105"/>
          <w:sz w:val="17"/>
        </w:rPr>
        <w:t>4</w:t>
      </w:r>
      <w:r>
        <w:rPr>
          <w:rFonts w:ascii="Arial"/>
          <w:b/>
          <w:color w:val="363434"/>
          <w:spacing w:val="8"/>
          <w:w w:val="105"/>
          <w:sz w:val="17"/>
        </w:rPr>
        <w:t> </w:t>
      </w:r>
      <w:r>
        <w:rPr>
          <w:color w:val="363434"/>
          <w:w w:val="105"/>
          <w:sz w:val="16"/>
        </w:rPr>
        <w:t>Reasoning</w:t>
      </w:r>
      <w:r>
        <w:rPr>
          <w:color w:val="363434"/>
          <w:spacing w:val="-39"/>
          <w:w w:val="105"/>
          <w:sz w:val="16"/>
        </w:rPr>
        <w:t> </w:t>
      </w:r>
      <w:r>
        <w:rPr>
          <w:color w:val="363434"/>
          <w:w w:val="120"/>
          <w:sz w:val="21"/>
        </w:rPr>
        <w:t>25</w:t>
      </w:r>
      <w:r>
        <w:rPr>
          <w:color w:val="363434"/>
          <w:spacing w:val="35"/>
          <w:w w:val="120"/>
          <w:sz w:val="21"/>
        </w:rPr>
        <w:t> </w:t>
      </w:r>
      <w:r>
        <w:rPr>
          <w:color w:val="363434"/>
          <w:w w:val="120"/>
          <w:sz w:val="21"/>
        </w:rPr>
        <w:t>foot</w:t>
      </w:r>
      <w:r>
        <w:rPr>
          <w:color w:val="363434"/>
          <w:spacing w:val="20"/>
          <w:w w:val="120"/>
          <w:sz w:val="21"/>
        </w:rPr>
        <w:t> </w:t>
      </w:r>
      <w:r>
        <w:rPr>
          <w:color w:val="363434"/>
          <w:w w:val="120"/>
          <w:sz w:val="21"/>
        </w:rPr>
        <w:t>plot</w:t>
      </w:r>
      <w:r>
        <w:rPr>
          <w:color w:val="363434"/>
          <w:spacing w:val="16"/>
          <w:w w:val="120"/>
          <w:sz w:val="21"/>
        </w:rPr>
        <w:t> </w:t>
      </w:r>
      <w:r>
        <w:rPr>
          <w:color w:val="363434"/>
          <w:w w:val="120"/>
          <w:sz w:val="21"/>
        </w:rPr>
        <w:t>In</w:t>
      </w:r>
      <w:r>
        <w:rPr>
          <w:color w:val="363434"/>
          <w:spacing w:val="11"/>
          <w:w w:val="120"/>
          <w:sz w:val="21"/>
        </w:rPr>
        <w:t> </w:t>
      </w:r>
      <w:r>
        <w:rPr>
          <w:color w:val="363434"/>
          <w:w w:val="120"/>
          <w:sz w:val="21"/>
        </w:rPr>
        <w:t>his backyard</w:t>
      </w:r>
      <w:r>
        <w:rPr>
          <w:color w:val="4D4D4D"/>
          <w:w w:val="120"/>
          <w:sz w:val="21"/>
        </w:rPr>
        <w:t>.</w:t>
      </w:r>
      <w:r>
        <w:rPr>
          <w:color w:val="4D4D4D"/>
          <w:spacing w:val="26"/>
          <w:w w:val="120"/>
          <w:sz w:val="21"/>
        </w:rPr>
        <w:t> </w:t>
      </w:r>
      <w:r>
        <w:rPr>
          <w:color w:val="363434"/>
          <w:w w:val="120"/>
          <w:sz w:val="21"/>
        </w:rPr>
        <w:t>He</w:t>
      </w:r>
      <w:r>
        <w:rPr>
          <w:color w:val="363434"/>
          <w:spacing w:val="-15"/>
          <w:w w:val="120"/>
          <w:sz w:val="21"/>
        </w:rPr>
        <w:t> </w:t>
      </w:r>
      <w:r>
        <w:rPr>
          <w:color w:val="363434"/>
          <w:w w:val="120"/>
          <w:sz w:val="21"/>
        </w:rPr>
        <w:t>surrounded</w:t>
      </w:r>
      <w:r>
        <w:rPr>
          <w:color w:val="363434"/>
          <w:spacing w:val="31"/>
          <w:w w:val="120"/>
          <w:sz w:val="21"/>
        </w:rPr>
        <w:t> </w:t>
      </w:r>
      <w:r>
        <w:rPr>
          <w:color w:val="363434"/>
          <w:w w:val="120"/>
          <w:sz w:val="21"/>
        </w:rPr>
        <w:t>the</w:t>
      </w:r>
      <w:r>
        <w:rPr>
          <w:color w:val="363434"/>
          <w:spacing w:val="29"/>
          <w:w w:val="120"/>
          <w:sz w:val="21"/>
        </w:rPr>
        <w:t> </w:t>
      </w:r>
      <w:r>
        <w:rPr>
          <w:color w:val="363434"/>
          <w:w w:val="120"/>
          <w:sz w:val="21"/>
        </w:rPr>
        <w:t>yard</w:t>
      </w:r>
      <w:r>
        <w:rPr>
          <w:color w:val="363434"/>
          <w:spacing w:val="19"/>
          <w:w w:val="120"/>
          <w:sz w:val="21"/>
        </w:rPr>
        <w:t> </w:t>
      </w:r>
      <w:r>
        <w:rPr>
          <w:color w:val="363434"/>
          <w:w w:val="120"/>
          <w:sz w:val="21"/>
        </w:rPr>
        <w:t>with</w:t>
      </w:r>
      <w:r>
        <w:rPr>
          <w:color w:val="363434"/>
          <w:spacing w:val="2"/>
          <w:w w:val="120"/>
          <w:sz w:val="21"/>
        </w:rPr>
        <w:t> </w:t>
      </w:r>
      <w:r>
        <w:rPr>
          <w:color w:val="363434"/>
          <w:w w:val="120"/>
          <w:sz w:val="21"/>
        </w:rPr>
        <w:t>a</w:t>
      </w:r>
      <w:r>
        <w:rPr>
          <w:color w:val="363434"/>
          <w:spacing w:val="20"/>
          <w:w w:val="120"/>
          <w:sz w:val="21"/>
        </w:rPr>
        <w:t> </w:t>
      </w:r>
      <w:r>
        <w:rPr>
          <w:color w:val="363434"/>
          <w:w w:val="120"/>
          <w:sz w:val="21"/>
        </w:rPr>
        <w:t>6-foot</w:t>
      </w:r>
    </w:p>
    <w:p>
      <w:pPr>
        <w:spacing w:line="223" w:lineRule="auto" w:before="0"/>
        <w:ind w:left="503" w:right="1398" w:hanging="6"/>
        <w:jc w:val="both"/>
        <w:rPr>
          <w:rFonts w:ascii="Arial"/>
          <w:b/>
          <w:sz w:val="23"/>
        </w:rPr>
      </w:pPr>
      <w:r>
        <w:rPr>
          <w:color w:val="363434"/>
          <w:w w:val="115"/>
          <w:sz w:val="21"/>
        </w:rPr>
        <w:t>outer fence and a 10</w:t>
      </w:r>
      <w:r>
        <w:rPr>
          <w:color w:val="4D4D4D"/>
          <w:w w:val="115"/>
          <w:sz w:val="21"/>
        </w:rPr>
        <w:t>-</w:t>
      </w:r>
      <w:r>
        <w:rPr>
          <w:color w:val="363434"/>
          <w:w w:val="115"/>
          <w:sz w:val="21"/>
        </w:rPr>
        <w:t>foot inner fence. </w:t>
      </w:r>
      <w:r>
        <w:rPr>
          <w:color w:val="363434"/>
          <w:w w:val="115"/>
          <w:sz w:val="18"/>
        </w:rPr>
        <w:t>I</w:t>
      </w:r>
      <w:r>
        <w:rPr>
          <w:color w:val="363434"/>
          <w:spacing w:val="1"/>
          <w:w w:val="115"/>
          <w:sz w:val="18"/>
        </w:rPr>
        <w:t> </w:t>
      </w:r>
      <w:r>
        <w:rPr>
          <w:rFonts w:ascii="Arial"/>
          <w:color w:val="363434"/>
          <w:w w:val="115"/>
          <w:sz w:val="23"/>
        </w:rPr>
        <w:t>ld. </w:t>
      </w:r>
      <w:r>
        <w:rPr>
          <w:color w:val="363434"/>
          <w:w w:val="115"/>
          <w:sz w:val="21"/>
        </w:rPr>
        <w:t>at 209. Officers flew over</w:t>
      </w:r>
      <w:r>
        <w:rPr>
          <w:color w:val="363434"/>
          <w:spacing w:val="1"/>
          <w:w w:val="115"/>
          <w:sz w:val="21"/>
        </w:rPr>
        <w:t> </w:t>
      </w:r>
      <w:r>
        <w:rPr>
          <w:color w:val="363434"/>
          <w:w w:val="120"/>
          <w:sz w:val="21"/>
        </w:rPr>
        <w:t>the defendant's house in a private airplane and readily identified the</w:t>
      </w:r>
      <w:r>
        <w:rPr>
          <w:color w:val="363434"/>
          <w:spacing w:val="1"/>
          <w:w w:val="120"/>
          <w:sz w:val="21"/>
        </w:rPr>
        <w:t> </w:t>
      </w:r>
      <w:r>
        <w:rPr>
          <w:color w:val="363434"/>
          <w:w w:val="120"/>
          <w:sz w:val="21"/>
        </w:rPr>
        <w:t>illegal plants</w:t>
      </w:r>
      <w:r>
        <w:rPr>
          <w:color w:val="363434"/>
          <w:spacing w:val="-13"/>
          <w:w w:val="120"/>
          <w:sz w:val="21"/>
        </w:rPr>
        <w:t> </w:t>
      </w:r>
      <w:r>
        <w:rPr>
          <w:color w:val="363434"/>
          <w:w w:val="120"/>
          <w:sz w:val="21"/>
        </w:rPr>
        <w:t>using</w:t>
      </w:r>
      <w:r>
        <w:rPr>
          <w:color w:val="363434"/>
          <w:spacing w:val="-20"/>
          <w:w w:val="120"/>
          <w:sz w:val="21"/>
        </w:rPr>
        <w:t> </w:t>
      </w:r>
      <w:r>
        <w:rPr>
          <w:color w:val="363434"/>
          <w:w w:val="120"/>
          <w:sz w:val="21"/>
        </w:rPr>
        <w:t>only</w:t>
      </w:r>
      <w:r>
        <w:rPr>
          <w:color w:val="363434"/>
          <w:spacing w:val="-12"/>
          <w:w w:val="120"/>
          <w:sz w:val="21"/>
        </w:rPr>
        <w:t> </w:t>
      </w:r>
      <w:r>
        <w:rPr>
          <w:color w:val="363434"/>
          <w:w w:val="120"/>
          <w:sz w:val="21"/>
        </w:rPr>
        <w:t>the</w:t>
      </w:r>
      <w:r>
        <w:rPr>
          <w:color w:val="363434"/>
          <w:spacing w:val="4"/>
          <w:w w:val="120"/>
          <w:sz w:val="21"/>
        </w:rPr>
        <w:t> </w:t>
      </w:r>
      <w:r>
        <w:rPr>
          <w:color w:val="363434"/>
          <w:w w:val="120"/>
          <w:sz w:val="21"/>
        </w:rPr>
        <w:t>naked</w:t>
      </w:r>
      <w:r>
        <w:rPr>
          <w:color w:val="363434"/>
          <w:spacing w:val="-5"/>
          <w:w w:val="120"/>
          <w:sz w:val="21"/>
        </w:rPr>
        <w:t> </w:t>
      </w:r>
      <w:r>
        <w:rPr>
          <w:color w:val="363434"/>
          <w:w w:val="120"/>
          <w:sz w:val="21"/>
        </w:rPr>
        <w:t>eye.</w:t>
      </w:r>
      <w:r>
        <w:rPr>
          <w:color w:val="363434"/>
          <w:spacing w:val="14"/>
          <w:w w:val="120"/>
          <w:sz w:val="21"/>
        </w:rPr>
        <w:t> </w:t>
      </w:r>
      <w:r>
        <w:rPr>
          <w:rFonts w:ascii="Arial"/>
          <w:b/>
          <w:color w:val="363434"/>
          <w:w w:val="120"/>
          <w:sz w:val="21"/>
        </w:rPr>
        <w:t>s</w:t>
      </w:r>
      <w:r>
        <w:rPr>
          <w:rFonts w:ascii="Arial"/>
          <w:b/>
          <w:color w:val="363434"/>
          <w:spacing w:val="-11"/>
          <w:w w:val="120"/>
          <w:sz w:val="21"/>
        </w:rPr>
        <w:t> </w:t>
      </w:r>
      <w:r>
        <w:rPr>
          <w:rFonts w:ascii="Arial"/>
          <w:b/>
          <w:color w:val="363434"/>
          <w:w w:val="120"/>
          <w:sz w:val="23"/>
        </w:rPr>
        <w:t>ld.</w:t>
      </w:r>
    </w:p>
    <w:p>
      <w:pPr>
        <w:spacing w:line="230" w:lineRule="auto" w:before="0"/>
        <w:ind w:left="499" w:right="1338" w:firstLine="356"/>
        <w:jc w:val="left"/>
        <w:rPr>
          <w:sz w:val="21"/>
        </w:rPr>
      </w:pPr>
      <w:r>
        <w:rPr>
          <w:color w:val="363434"/>
          <w:w w:val="120"/>
          <w:sz w:val="21"/>
        </w:rPr>
        <w:t>The</w:t>
      </w:r>
      <w:r>
        <w:rPr>
          <w:color w:val="363434"/>
          <w:spacing w:val="-34"/>
          <w:w w:val="120"/>
          <w:sz w:val="21"/>
        </w:rPr>
        <w:t> </w:t>
      </w:r>
      <w:r>
        <w:rPr>
          <w:color w:val="363434"/>
          <w:w w:val="120"/>
          <w:sz w:val="21"/>
        </w:rPr>
        <w:t>government</w:t>
      </w:r>
      <w:r>
        <w:rPr>
          <w:color w:val="363434"/>
          <w:spacing w:val="-4"/>
          <w:w w:val="120"/>
          <w:sz w:val="21"/>
        </w:rPr>
        <w:t> </w:t>
      </w:r>
      <w:r>
        <w:rPr>
          <w:color w:val="363434"/>
          <w:w w:val="120"/>
          <w:sz w:val="21"/>
        </w:rPr>
        <w:t>in</w:t>
      </w:r>
      <w:r>
        <w:rPr>
          <w:color w:val="363434"/>
          <w:spacing w:val="-7"/>
          <w:w w:val="120"/>
          <w:sz w:val="21"/>
        </w:rPr>
        <w:t> </w:t>
      </w:r>
      <w:r>
        <w:rPr>
          <w:color w:val="363434"/>
          <w:w w:val="120"/>
          <w:sz w:val="23"/>
          <w:u w:val="thick" w:color="363434"/>
        </w:rPr>
        <w:t>Ciraolo</w:t>
      </w:r>
      <w:r>
        <w:rPr>
          <w:color w:val="363434"/>
          <w:spacing w:val="-38"/>
          <w:w w:val="120"/>
          <w:sz w:val="23"/>
        </w:rPr>
        <w:t> </w:t>
      </w:r>
      <w:r>
        <w:rPr>
          <w:color w:val="363434"/>
          <w:w w:val="120"/>
          <w:sz w:val="21"/>
        </w:rPr>
        <w:t>argued</w:t>
      </w:r>
      <w:r>
        <w:rPr>
          <w:color w:val="363434"/>
          <w:spacing w:val="-8"/>
          <w:w w:val="120"/>
          <w:sz w:val="21"/>
        </w:rPr>
        <w:t> </w:t>
      </w:r>
      <w:r>
        <w:rPr>
          <w:color w:val="363434"/>
          <w:w w:val="120"/>
          <w:sz w:val="21"/>
        </w:rPr>
        <w:t>that</w:t>
      </w:r>
      <w:r>
        <w:rPr>
          <w:color w:val="363434"/>
          <w:spacing w:val="-28"/>
          <w:w w:val="120"/>
          <w:sz w:val="21"/>
        </w:rPr>
        <w:t> </w:t>
      </w:r>
      <w:r>
        <w:rPr>
          <w:color w:val="363434"/>
          <w:w w:val="120"/>
          <w:sz w:val="21"/>
        </w:rPr>
        <w:t>theobservation</w:t>
      </w:r>
      <w:r>
        <w:rPr>
          <w:color w:val="363434"/>
          <w:spacing w:val="-9"/>
          <w:w w:val="120"/>
          <w:sz w:val="21"/>
        </w:rPr>
        <w:t> </w:t>
      </w:r>
      <w:r>
        <w:rPr>
          <w:color w:val="363434"/>
          <w:w w:val="120"/>
          <w:sz w:val="21"/>
        </w:rPr>
        <w:t>was</w:t>
      </w:r>
      <w:r>
        <w:rPr>
          <w:color w:val="363434"/>
          <w:spacing w:val="-36"/>
          <w:w w:val="120"/>
          <w:sz w:val="21"/>
        </w:rPr>
        <w:t> </w:t>
      </w:r>
      <w:r>
        <w:rPr>
          <w:color w:val="363434"/>
          <w:w w:val="120"/>
          <w:sz w:val="21"/>
        </w:rPr>
        <w:t>analo­</w:t>
      </w:r>
      <w:r>
        <w:rPr>
          <w:color w:val="363434"/>
          <w:spacing w:val="1"/>
          <w:w w:val="120"/>
          <w:sz w:val="21"/>
        </w:rPr>
        <w:t> </w:t>
      </w:r>
      <w:r>
        <w:rPr>
          <w:color w:val="363434"/>
          <w:w w:val="120"/>
          <w:sz w:val="21"/>
        </w:rPr>
        <w:t>gous to looking through a knotholeor an opening in a fence</w:t>
      </w:r>
      <w:r>
        <w:rPr>
          <w:color w:val="4D4D4D"/>
          <w:w w:val="120"/>
          <w:sz w:val="21"/>
        </w:rPr>
        <w:t>: </w:t>
      </w:r>
      <w:r>
        <w:rPr>
          <w:rFonts w:ascii="Arial" w:hAnsi="Arial"/>
          <w:color w:val="363434"/>
          <w:w w:val="120"/>
          <w:sz w:val="19"/>
        </w:rPr>
        <w:t>"If</w:t>
      </w:r>
      <w:r>
        <w:rPr>
          <w:rFonts w:ascii="Arial" w:hAnsi="Arial"/>
          <w:color w:val="363434"/>
          <w:spacing w:val="1"/>
          <w:w w:val="120"/>
          <w:sz w:val="19"/>
        </w:rPr>
        <w:t> </w:t>
      </w:r>
      <w:r>
        <w:rPr>
          <w:color w:val="363434"/>
          <w:w w:val="120"/>
          <w:sz w:val="21"/>
        </w:rPr>
        <w:t>there</w:t>
      </w:r>
      <w:r>
        <w:rPr>
          <w:color w:val="363434"/>
          <w:spacing w:val="-60"/>
          <w:w w:val="120"/>
          <w:sz w:val="21"/>
        </w:rPr>
        <w:t> </w:t>
      </w:r>
      <w:r>
        <w:rPr>
          <w:color w:val="363434"/>
          <w:w w:val="115"/>
          <w:sz w:val="21"/>
        </w:rPr>
        <w:t>lsan opening, the police may look." </w:t>
      </w:r>
      <w:r>
        <w:rPr>
          <w:color w:val="363434"/>
          <w:w w:val="110"/>
          <w:sz w:val="22"/>
        </w:rPr>
        <w:t>Id.. </w:t>
      </w:r>
      <w:r>
        <w:rPr>
          <w:color w:val="363434"/>
          <w:w w:val="110"/>
          <w:sz w:val="21"/>
        </w:rPr>
        <w:t>at</w:t>
      </w:r>
      <w:r>
        <w:rPr>
          <w:color w:val="363434"/>
          <w:spacing w:val="1"/>
          <w:w w:val="110"/>
          <w:sz w:val="21"/>
        </w:rPr>
        <w:t> </w:t>
      </w:r>
      <w:r>
        <w:rPr>
          <w:color w:val="363434"/>
          <w:w w:val="115"/>
          <w:sz w:val="20"/>
        </w:rPr>
        <w:t>220. </w:t>
      </w:r>
      <w:r>
        <w:rPr>
          <w:color w:val="363434"/>
          <w:w w:val="115"/>
          <w:sz w:val="21"/>
        </w:rPr>
        <w:t>Thi</w:t>
      </w:r>
      <w:r>
        <w:rPr>
          <w:color w:val="4D4D4D"/>
          <w:w w:val="115"/>
          <w:sz w:val="21"/>
        </w:rPr>
        <w:t>s </w:t>
      </w:r>
      <w:r>
        <w:rPr>
          <w:color w:val="363434"/>
          <w:w w:val="115"/>
          <w:sz w:val="21"/>
        </w:rPr>
        <w:t>Court agreed w</w:t>
      </w:r>
      <w:r>
        <w:rPr>
          <w:color w:val="4D4D4D"/>
          <w:w w:val="115"/>
          <w:sz w:val="21"/>
        </w:rPr>
        <w:t>i</w:t>
      </w:r>
      <w:r>
        <w:rPr>
          <w:color w:val="363434"/>
          <w:w w:val="115"/>
          <w:sz w:val="21"/>
        </w:rPr>
        <w:t>th</w:t>
      </w:r>
      <w:r>
        <w:rPr>
          <w:color w:val="363434"/>
          <w:spacing w:val="1"/>
          <w:w w:val="115"/>
          <w:sz w:val="21"/>
        </w:rPr>
        <w:t> </w:t>
      </w:r>
      <w:r>
        <w:rPr>
          <w:color w:val="363434"/>
          <w:w w:val="120"/>
          <w:sz w:val="21"/>
        </w:rPr>
        <w:t>the</w:t>
      </w:r>
      <w:r>
        <w:rPr>
          <w:color w:val="363434"/>
          <w:spacing w:val="1"/>
          <w:w w:val="120"/>
          <w:sz w:val="21"/>
        </w:rPr>
        <w:t> </w:t>
      </w:r>
      <w:r>
        <w:rPr>
          <w:color w:val="363434"/>
          <w:w w:val="120"/>
          <w:sz w:val="21"/>
        </w:rPr>
        <w:t>government</w:t>
      </w:r>
      <w:r>
        <w:rPr>
          <w:color w:val="4D4D4D"/>
          <w:w w:val="120"/>
          <w:sz w:val="21"/>
        </w:rPr>
        <w:t>,</w:t>
      </w:r>
      <w:r>
        <w:rPr>
          <w:color w:val="4D4D4D"/>
          <w:spacing w:val="1"/>
          <w:w w:val="120"/>
          <w:sz w:val="21"/>
        </w:rPr>
        <w:t> </w:t>
      </w:r>
      <w:r>
        <w:rPr>
          <w:color w:val="363434"/>
          <w:w w:val="120"/>
          <w:sz w:val="21"/>
        </w:rPr>
        <w:t>holding that  the officers  violated  no  exp</w:t>
      </w:r>
      <w:r>
        <w:rPr>
          <w:color w:val="4D4D4D"/>
          <w:w w:val="120"/>
          <w:sz w:val="21"/>
        </w:rPr>
        <w:t>e</w:t>
      </w:r>
      <w:r>
        <w:rPr>
          <w:color w:val="363434"/>
          <w:w w:val="120"/>
          <w:sz w:val="21"/>
        </w:rPr>
        <w:t>ctation</w:t>
      </w:r>
      <w:r>
        <w:rPr>
          <w:color w:val="363434"/>
          <w:spacing w:val="-60"/>
          <w:w w:val="120"/>
          <w:sz w:val="21"/>
        </w:rPr>
        <w:t> </w:t>
      </w:r>
      <w:r>
        <w:rPr>
          <w:color w:val="363434"/>
          <w:w w:val="120"/>
          <w:sz w:val="21"/>
        </w:rPr>
        <w:t>of</w:t>
      </w:r>
      <w:r>
        <w:rPr>
          <w:color w:val="363434"/>
          <w:spacing w:val="1"/>
          <w:w w:val="120"/>
          <w:sz w:val="21"/>
        </w:rPr>
        <w:t> </w:t>
      </w:r>
      <w:r>
        <w:rPr>
          <w:color w:val="363434"/>
          <w:w w:val="120"/>
          <w:sz w:val="21"/>
        </w:rPr>
        <w:t>privacy and</w:t>
      </w:r>
      <w:r>
        <w:rPr>
          <w:color w:val="363434"/>
          <w:spacing w:val="1"/>
          <w:w w:val="120"/>
          <w:sz w:val="21"/>
        </w:rPr>
        <w:t> </w:t>
      </w:r>
      <w:r>
        <w:rPr>
          <w:color w:val="363434"/>
          <w:w w:val="120"/>
          <w:sz w:val="21"/>
        </w:rPr>
        <w:t>that the observation</w:t>
      </w:r>
      <w:r>
        <w:rPr>
          <w:color w:val="363434"/>
          <w:spacing w:val="1"/>
          <w:w w:val="120"/>
          <w:sz w:val="21"/>
        </w:rPr>
        <w:t> </w:t>
      </w:r>
      <w:r>
        <w:rPr>
          <w:color w:val="363434"/>
          <w:w w:val="120"/>
          <w:sz w:val="21"/>
        </w:rPr>
        <w:t>was not</w:t>
      </w:r>
      <w:r>
        <w:rPr>
          <w:color w:val="363434"/>
          <w:spacing w:val="1"/>
          <w:w w:val="120"/>
          <w:sz w:val="21"/>
        </w:rPr>
        <w:t> </w:t>
      </w:r>
      <w:r>
        <w:rPr>
          <w:color w:val="363434"/>
          <w:w w:val="120"/>
          <w:sz w:val="21"/>
        </w:rPr>
        <w:t>a</w:t>
      </w:r>
      <w:r>
        <w:rPr>
          <w:color w:val="363434"/>
          <w:spacing w:val="1"/>
          <w:w w:val="120"/>
          <w:sz w:val="21"/>
        </w:rPr>
        <w:t> </w:t>
      </w:r>
      <w:r>
        <w:rPr>
          <w:color w:val="363434"/>
          <w:w w:val="120"/>
          <w:sz w:val="21"/>
        </w:rPr>
        <w:t>Fourth Amendment</w:t>
      </w:r>
      <w:r>
        <w:rPr>
          <w:color w:val="363434"/>
          <w:spacing w:val="1"/>
          <w:w w:val="120"/>
          <w:sz w:val="21"/>
        </w:rPr>
        <w:t> </w:t>
      </w:r>
      <w:r>
        <w:rPr>
          <w:color w:val="363434"/>
          <w:w w:val="115"/>
          <w:sz w:val="21"/>
        </w:rPr>
        <w:t>search. </w:t>
      </w:r>
      <w:r>
        <w:rPr>
          <w:b/>
          <w:color w:val="363434"/>
          <w:w w:val="115"/>
          <w:sz w:val="17"/>
        </w:rPr>
        <w:t>1</w:t>
      </w:r>
      <w:r>
        <w:rPr>
          <w:b/>
          <w:color w:val="363434"/>
          <w:spacing w:val="1"/>
          <w:w w:val="115"/>
          <w:sz w:val="17"/>
        </w:rPr>
        <w:t> </w:t>
      </w:r>
      <w:r>
        <w:rPr>
          <w:color w:val="363434"/>
          <w:w w:val="115"/>
          <w:sz w:val="19"/>
        </w:rPr>
        <w:t>&amp;</w:t>
      </w:r>
      <w:r>
        <w:rPr>
          <w:color w:val="363434"/>
          <w:spacing w:val="1"/>
          <w:w w:val="115"/>
          <w:sz w:val="19"/>
        </w:rPr>
        <w:t> </w:t>
      </w:r>
      <w:r>
        <w:rPr>
          <w:rFonts w:ascii="Arial" w:hAnsi="Arial"/>
          <w:color w:val="363434"/>
          <w:w w:val="115"/>
          <w:sz w:val="16"/>
        </w:rPr>
        <w:t>2</w:t>
      </w:r>
      <w:r>
        <w:rPr>
          <w:rFonts w:ascii="Arial" w:hAnsi="Arial"/>
          <w:color w:val="363434"/>
          <w:spacing w:val="1"/>
          <w:w w:val="115"/>
          <w:sz w:val="16"/>
        </w:rPr>
        <w:t> </w:t>
      </w:r>
      <w:r>
        <w:rPr>
          <w:color w:val="363434"/>
          <w:w w:val="110"/>
          <w:sz w:val="22"/>
        </w:rPr>
        <w:t>l.d.. </w:t>
      </w:r>
      <w:r>
        <w:rPr>
          <w:color w:val="363434"/>
          <w:w w:val="110"/>
          <w:sz w:val="21"/>
        </w:rPr>
        <w:t>at</w:t>
      </w:r>
      <w:r>
        <w:rPr>
          <w:color w:val="363434"/>
          <w:spacing w:val="1"/>
          <w:w w:val="110"/>
          <w:sz w:val="21"/>
        </w:rPr>
        <w:t> </w:t>
      </w:r>
      <w:r>
        <w:rPr>
          <w:color w:val="363434"/>
          <w:w w:val="115"/>
          <w:sz w:val="21"/>
        </w:rPr>
        <w:t>215. The airspace was outside the curtilage of the</w:t>
      </w:r>
      <w:r>
        <w:rPr>
          <w:color w:val="363434"/>
          <w:spacing w:val="-58"/>
          <w:w w:val="115"/>
          <w:sz w:val="21"/>
        </w:rPr>
        <w:t> </w:t>
      </w:r>
      <w:r>
        <w:rPr>
          <w:color w:val="363434"/>
          <w:w w:val="120"/>
          <w:sz w:val="21"/>
        </w:rPr>
        <w:t>apartment, and the Court reasoned that the scene would have been ln</w:t>
      </w:r>
      <w:r>
        <w:rPr>
          <w:color w:val="363434"/>
          <w:spacing w:val="-60"/>
          <w:w w:val="120"/>
          <w:sz w:val="21"/>
        </w:rPr>
        <w:t> </w:t>
      </w:r>
      <w:r>
        <w:rPr>
          <w:color w:val="363434"/>
          <w:w w:val="115"/>
          <w:sz w:val="17"/>
        </w:rPr>
        <w:t>PLAIN </w:t>
      </w:r>
      <w:r>
        <w:rPr>
          <w:color w:val="363434"/>
          <w:w w:val="115"/>
          <w:sz w:val="18"/>
        </w:rPr>
        <w:t>VIEW </w:t>
      </w:r>
      <w:r>
        <w:rPr>
          <w:color w:val="363434"/>
          <w:w w:val="115"/>
          <w:sz w:val="21"/>
        </w:rPr>
        <w:t>to any  member of the  public flying in  the same ai</w:t>
      </w:r>
      <w:r>
        <w:rPr>
          <w:w w:val="115"/>
          <w:sz w:val="21"/>
        </w:rPr>
        <w:t>.</w:t>
      </w:r>
      <w:r>
        <w:rPr>
          <w:color w:val="363434"/>
          <w:w w:val="115"/>
          <w:sz w:val="21"/>
        </w:rPr>
        <w:t>rspace.</w:t>
      </w:r>
      <w:r>
        <w:rPr>
          <w:color w:val="363434"/>
          <w:spacing w:val="-58"/>
          <w:w w:val="115"/>
          <w:sz w:val="21"/>
        </w:rPr>
        <w:t> </w:t>
      </w:r>
      <w:r>
        <w:rPr>
          <w:rFonts w:ascii="Arial" w:hAnsi="Arial"/>
          <w:b/>
          <w:color w:val="363434"/>
          <w:w w:val="120"/>
          <w:sz w:val="16"/>
        </w:rPr>
        <w:t>4</w:t>
      </w:r>
      <w:r>
        <w:rPr>
          <w:rFonts w:ascii="Arial" w:hAnsi="Arial"/>
          <w:b/>
          <w:color w:val="363434"/>
          <w:spacing w:val="42"/>
          <w:w w:val="120"/>
          <w:sz w:val="16"/>
        </w:rPr>
        <w:t> </w:t>
      </w:r>
      <w:r>
        <w:rPr>
          <w:color w:val="363434"/>
          <w:w w:val="110"/>
          <w:sz w:val="24"/>
        </w:rPr>
        <w:t>lit-</w:t>
      </w:r>
      <w:r>
        <w:rPr>
          <w:color w:val="363434"/>
          <w:spacing w:val="-21"/>
          <w:w w:val="110"/>
          <w:sz w:val="24"/>
        </w:rPr>
        <w:t> </w:t>
      </w:r>
      <w:r>
        <w:rPr>
          <w:color w:val="363434"/>
          <w:w w:val="110"/>
          <w:sz w:val="21"/>
        </w:rPr>
        <w:t>at</w:t>
      </w:r>
      <w:r>
        <w:rPr>
          <w:color w:val="363434"/>
          <w:spacing w:val="47"/>
          <w:w w:val="110"/>
          <w:sz w:val="21"/>
        </w:rPr>
        <w:t> </w:t>
      </w:r>
      <w:r>
        <w:rPr>
          <w:color w:val="363434"/>
          <w:w w:val="120"/>
          <w:sz w:val="21"/>
        </w:rPr>
        <w:t>213-14.</w:t>
      </w:r>
    </w:p>
    <w:p>
      <w:pPr>
        <w:pStyle w:val="BodyText"/>
        <w:spacing w:line="235" w:lineRule="auto" w:before="100"/>
        <w:ind w:left="176" w:right="925" w:hanging="4"/>
        <w:jc w:val="both"/>
      </w:pPr>
      <w:r>
        <w:rPr>
          <w:color w:val="363434"/>
          <w:w w:val="115"/>
        </w:rPr>
        <w:t>If the</w:t>
      </w:r>
      <w:r>
        <w:rPr>
          <w:color w:val="363434"/>
          <w:spacing w:val="1"/>
          <w:w w:val="115"/>
        </w:rPr>
        <w:t> </w:t>
      </w:r>
      <w:r>
        <w:rPr>
          <w:color w:val="363434"/>
          <w:w w:val="115"/>
        </w:rPr>
        <w:t>court has not been thoughtful enough to use the phrase-that-pays</w:t>
      </w:r>
      <w:r>
        <w:rPr>
          <w:color w:val="363434"/>
          <w:spacing w:val="1"/>
          <w:w w:val="115"/>
        </w:rPr>
        <w:t> </w:t>
      </w:r>
      <w:r>
        <w:rPr>
          <w:color w:val="363434"/>
          <w:w w:val="115"/>
        </w:rPr>
        <w:t>that you have identified for that section of the argument, you can make</w:t>
      </w:r>
      <w:r>
        <w:rPr>
          <w:color w:val="363434"/>
          <w:spacing w:val="1"/>
          <w:w w:val="115"/>
        </w:rPr>
        <w:t> </w:t>
      </w:r>
      <w:r>
        <w:rPr>
          <w:color w:val="363434"/>
          <w:w w:val="115"/>
        </w:rPr>
        <w:t>the</w:t>
      </w:r>
      <w:r>
        <w:rPr>
          <w:color w:val="363434"/>
          <w:spacing w:val="-8"/>
          <w:w w:val="115"/>
        </w:rPr>
        <w:t> </w:t>
      </w:r>
      <w:r>
        <w:rPr>
          <w:color w:val="363434"/>
          <w:w w:val="115"/>
        </w:rPr>
        <w:t>conne</w:t>
      </w:r>
      <w:r>
        <w:rPr>
          <w:color w:val="4D4D4D"/>
          <w:w w:val="115"/>
        </w:rPr>
        <w:t>c</w:t>
      </w:r>
      <w:r>
        <w:rPr>
          <w:color w:val="363434"/>
          <w:w w:val="115"/>
        </w:rPr>
        <w:t>tion</w:t>
      </w:r>
      <w:r>
        <w:rPr>
          <w:color w:val="363434"/>
          <w:spacing w:val="52"/>
          <w:w w:val="115"/>
        </w:rPr>
        <w:t> </w:t>
      </w:r>
      <w:r>
        <w:rPr>
          <w:color w:val="363434"/>
          <w:w w:val="115"/>
        </w:rPr>
        <w:t>your</w:t>
      </w:r>
      <w:r>
        <w:rPr>
          <w:color w:val="4D4D4D"/>
          <w:w w:val="115"/>
        </w:rPr>
        <w:t>s</w:t>
      </w:r>
      <w:r>
        <w:rPr>
          <w:color w:val="363434"/>
          <w:w w:val="115"/>
        </w:rPr>
        <w:t>elf,</w:t>
      </w:r>
      <w:r>
        <w:rPr>
          <w:color w:val="363434"/>
          <w:spacing w:val="16"/>
          <w:w w:val="115"/>
        </w:rPr>
        <w:t> </w:t>
      </w:r>
      <w:r>
        <w:rPr>
          <w:color w:val="363434"/>
          <w:w w:val="115"/>
        </w:rPr>
        <w:t>as</w:t>
      </w:r>
      <w:r>
        <w:rPr>
          <w:color w:val="363434"/>
          <w:spacing w:val="25"/>
          <w:w w:val="115"/>
        </w:rPr>
        <w:t> </w:t>
      </w:r>
      <w:r>
        <w:rPr>
          <w:color w:val="363434"/>
          <w:w w:val="115"/>
        </w:rPr>
        <w:t>long</w:t>
      </w:r>
      <w:r>
        <w:rPr>
          <w:color w:val="363434"/>
          <w:spacing w:val="7"/>
          <w:w w:val="115"/>
        </w:rPr>
        <w:t> </w:t>
      </w:r>
      <w:r>
        <w:rPr>
          <w:color w:val="363434"/>
          <w:w w:val="115"/>
        </w:rPr>
        <w:t>as</w:t>
      </w:r>
      <w:r>
        <w:rPr>
          <w:color w:val="363434"/>
          <w:spacing w:val="6"/>
          <w:w w:val="115"/>
        </w:rPr>
        <w:t> </w:t>
      </w:r>
      <w:r>
        <w:rPr>
          <w:color w:val="363434"/>
          <w:w w:val="115"/>
        </w:rPr>
        <w:t>you</w:t>
      </w:r>
      <w:r>
        <w:rPr>
          <w:color w:val="363434"/>
          <w:spacing w:val="1"/>
          <w:w w:val="115"/>
        </w:rPr>
        <w:t> </w:t>
      </w:r>
      <w:r>
        <w:rPr>
          <w:color w:val="363434"/>
          <w:w w:val="115"/>
        </w:rPr>
        <w:t>do</w:t>
      </w:r>
      <w:r>
        <w:rPr>
          <w:color w:val="363434"/>
          <w:spacing w:val="29"/>
          <w:w w:val="115"/>
        </w:rPr>
        <w:t> </w:t>
      </w:r>
      <w:r>
        <w:rPr>
          <w:color w:val="363434"/>
          <w:w w:val="115"/>
          <w:sz w:val="21"/>
        </w:rPr>
        <w:t>it</w:t>
      </w:r>
      <w:r>
        <w:rPr>
          <w:color w:val="363434"/>
          <w:spacing w:val="38"/>
          <w:w w:val="115"/>
          <w:sz w:val="21"/>
        </w:rPr>
        <w:t> </w:t>
      </w:r>
      <w:r>
        <w:rPr>
          <w:color w:val="363434"/>
          <w:w w:val="115"/>
        </w:rPr>
        <w:t>honestly</w:t>
      </w:r>
      <w:r>
        <w:rPr>
          <w:color w:val="4D4D4D"/>
          <w:w w:val="115"/>
        </w:rPr>
        <w:t>.</w:t>
      </w:r>
      <w:r>
        <w:rPr>
          <w:color w:val="4D4D4D"/>
          <w:spacing w:val="11"/>
          <w:w w:val="115"/>
        </w:rPr>
        <w:t> </w:t>
      </w:r>
      <w:r>
        <w:rPr>
          <w:color w:val="363434"/>
          <w:w w:val="115"/>
          <w:sz w:val="22"/>
        </w:rPr>
        <w:t>If</w:t>
      </w:r>
      <w:r>
        <w:rPr>
          <w:color w:val="363434"/>
          <w:spacing w:val="40"/>
          <w:w w:val="115"/>
          <w:sz w:val="22"/>
        </w:rPr>
        <w:t> </w:t>
      </w:r>
      <w:r>
        <w:rPr>
          <w:color w:val="363434"/>
          <w:w w:val="115"/>
        </w:rPr>
        <w:t>you</w:t>
      </w:r>
      <w:r>
        <w:rPr>
          <w:color w:val="363434"/>
          <w:spacing w:val="49"/>
          <w:w w:val="115"/>
        </w:rPr>
        <w:t> </w:t>
      </w:r>
      <w:r>
        <w:rPr>
          <w:color w:val="363434"/>
          <w:w w:val="115"/>
        </w:rPr>
        <w:t>do</w:t>
      </w:r>
      <w:r>
        <w:rPr>
          <w:color w:val="363434"/>
          <w:spacing w:val="65"/>
          <w:w w:val="115"/>
        </w:rPr>
        <w:t> </w:t>
      </w:r>
      <w:r>
        <w:rPr>
          <w:color w:val="363434"/>
          <w:w w:val="115"/>
        </w:rPr>
        <w:t>make</w:t>
      </w:r>
    </w:p>
    <w:p>
      <w:pPr>
        <w:spacing w:after="0" w:line="235" w:lineRule="auto"/>
        <w:jc w:val="both"/>
        <w:sectPr>
          <w:headerReference w:type="default" r:id="rId145"/>
          <w:headerReference w:type="even" r:id="rId146"/>
          <w:pgSz w:w="9610" w:h="13710"/>
          <w:pgMar w:header="486" w:footer="0" w:top="1120" w:bottom="280" w:left="400" w:right="400"/>
          <w:pgNumType w:start="121"/>
        </w:sectPr>
      </w:pPr>
    </w:p>
    <w:p>
      <w:pPr>
        <w:pStyle w:val="BodyText"/>
        <w:spacing w:line="230" w:lineRule="auto" w:before="89"/>
        <w:ind w:left="929" w:right="-58" w:firstLine="25"/>
        <w:jc w:val="both"/>
      </w:pPr>
      <w:r>
        <w:rPr>
          <w:color w:val="3B383A"/>
        </w:rPr>
        <w:t>the</w:t>
      </w:r>
      <w:r>
        <w:rPr>
          <w:color w:val="3B383A"/>
          <w:spacing w:val="1"/>
        </w:rPr>
        <w:t> </w:t>
      </w:r>
      <w:r>
        <w:rPr>
          <w:color w:val="3B383A"/>
        </w:rPr>
        <w:t>connection yourself, be sure to justify the connection in the</w:t>
      </w:r>
      <w:r>
        <w:rPr>
          <w:color w:val="3B383A"/>
          <w:spacing w:val="1"/>
        </w:rPr>
        <w:t> </w:t>
      </w:r>
      <w:r>
        <w:rPr>
          <w:color w:val="3B383A"/>
        </w:rPr>
        <w:t>way you</w:t>
      </w:r>
      <w:r>
        <w:rPr>
          <w:color w:val="3B383A"/>
          <w:spacing w:val="1"/>
        </w:rPr>
        <w:t> </w:t>
      </w:r>
      <w:r>
        <w:rPr>
          <w:color w:val="3B383A"/>
          <w:w w:val="105"/>
        </w:rPr>
        <w:t>describe the case, or with language that you quote. The word </w:t>
      </w:r>
      <w:r>
        <w:rPr>
          <w:i/>
          <w:color w:val="3B383A"/>
          <w:w w:val="105"/>
          <w:sz w:val="24"/>
        </w:rPr>
        <w:t>apparent!&gt;</w:t>
      </w:r>
      <w:r>
        <w:rPr>
          <w:i/>
          <w:color w:val="3B383A"/>
          <w:spacing w:val="1"/>
          <w:w w:val="105"/>
          <w:sz w:val="24"/>
        </w:rPr>
        <w:t> </w:t>
      </w:r>
      <w:r>
        <w:rPr>
          <w:color w:val="3B383A"/>
          <w:w w:val="105"/>
        </w:rPr>
        <w:t>is often helpful when describing a connection that is implicit rather than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explicit,</w:t>
      </w:r>
      <w:r>
        <w:rPr>
          <w:color w:val="3B383A"/>
          <w:spacing w:val="-3"/>
          <w:w w:val="105"/>
        </w:rPr>
        <w:t> </w:t>
      </w:r>
      <w:r>
        <w:rPr>
          <w:color w:val="3B383A"/>
          <w:w w:val="105"/>
        </w:rPr>
        <w:t>as</w:t>
      </w:r>
      <w:r>
        <w:rPr>
          <w:color w:val="3B383A"/>
          <w:spacing w:val="-25"/>
          <w:w w:val="105"/>
        </w:rPr>
        <w:t> </w:t>
      </w:r>
      <w:r>
        <w:rPr>
          <w:color w:val="3B383A"/>
          <w:w w:val="105"/>
        </w:rPr>
        <w:t>in</w:t>
      </w:r>
      <w:r>
        <w:rPr>
          <w:color w:val="3B383A"/>
          <w:spacing w:val="13"/>
          <w:w w:val="105"/>
        </w:rPr>
        <w:t> </w:t>
      </w:r>
      <w:r>
        <w:rPr>
          <w:color w:val="3B383A"/>
          <w:w w:val="105"/>
        </w:rPr>
        <w:t>this</w:t>
      </w:r>
      <w:r>
        <w:rPr>
          <w:color w:val="3B383A"/>
          <w:spacing w:val="-10"/>
          <w:w w:val="105"/>
        </w:rPr>
        <w:t> </w:t>
      </w:r>
      <w:r>
        <w:rPr>
          <w:color w:val="3B383A"/>
          <w:w w:val="105"/>
        </w:rPr>
        <w:t>description</w:t>
      </w:r>
      <w:r>
        <w:rPr>
          <w:color w:val="3B383A"/>
          <w:spacing w:val="12"/>
          <w:w w:val="105"/>
        </w:rPr>
        <w:t> </w:t>
      </w:r>
      <w:r>
        <w:rPr>
          <w:color w:val="3B383A"/>
          <w:w w:val="105"/>
        </w:rPr>
        <w:t>of a</w:t>
      </w:r>
      <w:r>
        <w:rPr>
          <w:color w:val="3B383A"/>
          <w:spacing w:val="-3"/>
          <w:w w:val="105"/>
        </w:rPr>
        <w:t> </w:t>
      </w:r>
      <w:r>
        <w:rPr>
          <w:color w:val="3B383A"/>
          <w:w w:val="105"/>
        </w:rPr>
        <w:t>court's</w:t>
      </w:r>
      <w:r>
        <w:rPr>
          <w:color w:val="3B383A"/>
          <w:spacing w:val="-2"/>
          <w:w w:val="105"/>
        </w:rPr>
        <w:t> </w:t>
      </w:r>
      <w:r>
        <w:rPr>
          <w:color w:val="3B383A"/>
          <w:w w:val="105"/>
        </w:rPr>
        <w:t>reasoning</w:t>
      </w:r>
      <w:r>
        <w:rPr>
          <w:color w:val="3B383A"/>
          <w:spacing w:val="-4"/>
          <w:w w:val="105"/>
        </w:rPr>
        <w:t> </w:t>
      </w:r>
      <w:r>
        <w:rPr>
          <w:color w:val="3B383A"/>
          <w:w w:val="105"/>
        </w:rPr>
        <w:t>in</w:t>
      </w:r>
      <w:r>
        <w:rPr>
          <w:color w:val="3B383A"/>
          <w:spacing w:val="13"/>
          <w:w w:val="105"/>
        </w:rPr>
        <w:t> </w:t>
      </w:r>
      <w:r>
        <w:rPr>
          <w:color w:val="3B383A"/>
          <w:w w:val="105"/>
        </w:rPr>
        <w:t>a</w:t>
      </w:r>
      <w:r>
        <w:rPr>
          <w:color w:val="3B383A"/>
          <w:spacing w:val="17"/>
          <w:w w:val="105"/>
        </w:rPr>
        <w:t> </w:t>
      </w:r>
      <w:r>
        <w:rPr>
          <w:color w:val="3B383A"/>
          <w:w w:val="105"/>
        </w:rPr>
        <w:t>fictional</w:t>
      </w:r>
      <w:r>
        <w:rPr>
          <w:color w:val="3B383A"/>
          <w:spacing w:val="10"/>
          <w:w w:val="105"/>
        </w:rPr>
        <w:t> </w:t>
      </w:r>
      <w:r>
        <w:rPr>
          <w:color w:val="3B383A"/>
          <w:w w:val="105"/>
        </w:rPr>
        <w:t>case:</w:t>
      </w:r>
    </w:p>
    <w:p>
      <w:pPr>
        <w:pStyle w:val="BodyText"/>
        <w:spacing w:before="4"/>
        <w:rPr>
          <w:sz w:val="10"/>
        </w:rPr>
      </w:pPr>
    </w:p>
    <w:p>
      <w:pPr>
        <w:tabs>
          <w:tab w:pos="1267" w:val="left" w:leader="none"/>
        </w:tabs>
        <w:spacing w:before="95"/>
        <w:ind w:left="892" w:right="0" w:firstLine="0"/>
        <w:jc w:val="left"/>
        <w:rPr>
          <w:rFonts w:ascii="Arial"/>
          <w:sz w:val="15"/>
        </w:rPr>
      </w:pPr>
      <w:r>
        <w:rPr>
          <w:rFonts w:ascii="Arial"/>
          <w:color w:val="3B383A"/>
          <w:sz w:val="15"/>
          <w:u w:val="thick" w:color="3B383A"/>
        </w:rPr>
        <w:t>_/\</w:t>
        <w:tab/>
      </w:r>
      <w:r>
        <w:rPr>
          <w:rFonts w:ascii="Arial"/>
          <w:color w:val="3B383A"/>
          <w:spacing w:val="-1"/>
          <w:w w:val="95"/>
          <w:sz w:val="15"/>
          <w:u w:val="thick" w:color="3B383A"/>
        </w:rPr>
        <w:t>GOOD</w:t>
      </w:r>
      <w:r>
        <w:rPr>
          <w:rFonts w:ascii="Arial"/>
          <w:color w:val="3B383A"/>
          <w:spacing w:val="-11"/>
          <w:w w:val="95"/>
          <w:sz w:val="15"/>
          <w:u w:val="thick" w:color="3B383A"/>
        </w:rPr>
        <w:t> </w:t>
      </w:r>
      <w:r>
        <w:rPr>
          <w:rFonts w:ascii="Arial"/>
          <w:color w:val="3B383A"/>
          <w:spacing w:val="-1"/>
          <w:w w:val="95"/>
          <w:sz w:val="15"/>
          <w:u w:val="thick" w:color="3B383A"/>
        </w:rPr>
        <w:t>EXAMPLE</w:t>
      </w:r>
    </w:p>
    <w:p>
      <w:pPr>
        <w:spacing w:line="232" w:lineRule="auto" w:before="77"/>
        <w:ind w:left="1209" w:right="303" w:firstLine="40"/>
        <w:jc w:val="both"/>
        <w:rPr>
          <w:sz w:val="20"/>
        </w:rPr>
      </w:pPr>
      <w:r>
        <w:rPr>
          <w:color w:val="3B383A"/>
          <w:w w:val="110"/>
          <w:sz w:val="21"/>
        </w:rPr>
        <w:t>The court apparently</w:t>
      </w:r>
      <w:r>
        <w:rPr>
          <w:color w:val="3B383A"/>
          <w:spacing w:val="1"/>
          <w:w w:val="110"/>
          <w:sz w:val="21"/>
        </w:rPr>
        <w:t> </w:t>
      </w:r>
      <w:r>
        <w:rPr>
          <w:color w:val="3B383A"/>
          <w:w w:val="110"/>
          <w:sz w:val="21"/>
        </w:rPr>
        <w:t>believed  that the search was  justified </w:t>
      </w:r>
      <w:r>
        <w:rPr>
          <w:rFonts w:ascii="Arial"/>
          <w:color w:val="3B383A"/>
          <w:w w:val="110"/>
          <w:sz w:val="19"/>
        </w:rPr>
        <w:t>by  </w:t>
      </w:r>
      <w:r>
        <w:rPr>
          <w:color w:val="3B383A"/>
          <w:w w:val="110"/>
          <w:sz w:val="21"/>
        </w:rPr>
        <w:t>the</w:t>
      </w:r>
      <w:r>
        <w:rPr>
          <w:color w:val="3B383A"/>
          <w:spacing w:val="1"/>
          <w:w w:val="110"/>
          <w:sz w:val="21"/>
        </w:rPr>
        <w:t> </w:t>
      </w:r>
      <w:r>
        <w:rPr>
          <w:color w:val="3B383A"/>
          <w:w w:val="110"/>
          <w:sz w:val="20"/>
        </w:rPr>
        <w:t>fact </w:t>
      </w:r>
      <w:r>
        <w:rPr>
          <w:color w:val="3B383A"/>
          <w:w w:val="110"/>
          <w:sz w:val="21"/>
        </w:rPr>
        <w:t>that the defendant was smoking marijuana in </w:t>
      </w:r>
      <w:r>
        <w:rPr>
          <w:color w:val="3B383A"/>
          <w:w w:val="110"/>
          <w:sz w:val="18"/>
        </w:rPr>
        <w:t>PLArN VIEW </w:t>
      </w:r>
      <w:r>
        <w:rPr>
          <w:color w:val="3B383A"/>
          <w:w w:val="110"/>
          <w:sz w:val="21"/>
        </w:rPr>
        <w:t>of the</w:t>
      </w:r>
      <w:r>
        <w:rPr>
          <w:color w:val="3B383A"/>
          <w:spacing w:val="1"/>
          <w:w w:val="110"/>
          <w:sz w:val="21"/>
        </w:rPr>
        <w:t> </w:t>
      </w:r>
      <w:r>
        <w:rPr>
          <w:color w:val="3B383A"/>
          <w:w w:val="110"/>
          <w:sz w:val="21"/>
        </w:rPr>
        <w:t>arresting officer, because it noted that "police officers need not</w:t>
      </w:r>
      <w:r>
        <w:rPr>
          <w:color w:val="3B383A"/>
          <w:spacing w:val="1"/>
          <w:w w:val="110"/>
          <w:sz w:val="21"/>
        </w:rPr>
        <w:t> </w:t>
      </w:r>
      <w:r>
        <w:rPr>
          <w:color w:val="3B383A"/>
          <w:w w:val="110"/>
          <w:sz w:val="20"/>
        </w:rPr>
        <w:t>tum</w:t>
      </w:r>
      <w:r>
        <w:rPr>
          <w:color w:val="3B383A"/>
          <w:spacing w:val="1"/>
          <w:w w:val="110"/>
          <w:sz w:val="20"/>
        </w:rPr>
        <w:t> </w:t>
      </w:r>
      <w:r>
        <w:rPr>
          <w:color w:val="3B383A"/>
          <w:w w:val="110"/>
          <w:sz w:val="21"/>
        </w:rPr>
        <w:t>away when they encounter illegal behavior right under their noses."</w:t>
      </w:r>
      <w:r>
        <w:rPr>
          <w:color w:val="3B383A"/>
          <w:spacing w:val="1"/>
          <w:w w:val="110"/>
          <w:sz w:val="21"/>
        </w:rPr>
        <w:t> </w:t>
      </w:r>
      <w:r>
        <w:rPr>
          <w:color w:val="3B383A"/>
          <w:sz w:val="24"/>
          <w:u w:val="thick" w:color="3B383A"/>
        </w:rPr>
        <w:t>Ohjo</w:t>
      </w:r>
      <w:r>
        <w:rPr>
          <w:color w:val="3B383A"/>
          <w:spacing w:val="-14"/>
          <w:sz w:val="24"/>
          <w:u w:val="thick" w:color="3B383A"/>
        </w:rPr>
        <w:t> </w:t>
      </w:r>
      <w:r>
        <w:rPr>
          <w:color w:val="3B383A"/>
          <w:sz w:val="20"/>
          <w:u w:val="thick" w:color="3B383A"/>
        </w:rPr>
        <w:t>v.</w:t>
      </w:r>
      <w:r>
        <w:rPr>
          <w:color w:val="3B383A"/>
          <w:spacing w:val="-5"/>
          <w:sz w:val="20"/>
          <w:u w:val="thick" w:color="3B383A"/>
        </w:rPr>
        <w:t> </w:t>
      </w:r>
      <w:r>
        <w:rPr>
          <w:color w:val="3B383A"/>
          <w:sz w:val="24"/>
          <w:u w:val="thick" w:color="3B383A"/>
        </w:rPr>
        <w:t>McGuffin.</w:t>
      </w:r>
      <w:r>
        <w:rPr>
          <w:color w:val="3B383A"/>
          <w:spacing w:val="12"/>
          <w:sz w:val="24"/>
        </w:rPr>
        <w:t> </w:t>
      </w:r>
      <w:r>
        <w:rPr>
          <w:color w:val="3B383A"/>
          <w:sz w:val="20"/>
        </w:rPr>
        <w:t>101</w:t>
      </w:r>
      <w:r>
        <w:rPr>
          <w:color w:val="3B383A"/>
          <w:spacing w:val="34"/>
          <w:sz w:val="20"/>
        </w:rPr>
        <w:t> </w:t>
      </w:r>
      <w:r>
        <w:rPr>
          <w:color w:val="3B383A"/>
          <w:sz w:val="20"/>
        </w:rPr>
        <w:t>U.S.</w:t>
      </w:r>
      <w:r>
        <w:rPr>
          <w:color w:val="3B383A"/>
          <w:spacing w:val="-13"/>
          <w:sz w:val="20"/>
        </w:rPr>
        <w:t> </w:t>
      </w:r>
      <w:r>
        <w:rPr>
          <w:color w:val="3B383A"/>
          <w:sz w:val="20"/>
        </w:rPr>
        <w:t>101,</w:t>
      </w:r>
      <w:r>
        <w:rPr>
          <w:color w:val="3B383A"/>
          <w:spacing w:val="-5"/>
          <w:sz w:val="20"/>
        </w:rPr>
        <w:t> </w:t>
      </w:r>
      <w:r>
        <w:rPr>
          <w:color w:val="3B383A"/>
          <w:sz w:val="20"/>
        </w:rPr>
        <w:t>103</w:t>
      </w:r>
      <w:r>
        <w:rPr>
          <w:color w:val="3B383A"/>
          <w:spacing w:val="-17"/>
          <w:sz w:val="20"/>
        </w:rPr>
        <w:t> </w:t>
      </w:r>
      <w:r>
        <w:rPr>
          <w:color w:val="3B383A"/>
          <w:sz w:val="20"/>
        </w:rPr>
        <w:t>(2013).</w:t>
      </w:r>
    </w:p>
    <w:p>
      <w:pPr>
        <w:pStyle w:val="BodyText"/>
        <w:spacing w:line="232" w:lineRule="auto" w:before="126"/>
        <w:ind w:left="775" w:right="-29" w:firstLine="91"/>
        <w:jc w:val="both"/>
      </w:pPr>
      <w:r>
        <w:rPr>
          <w:color w:val="3B383A"/>
          <w:w w:val="110"/>
        </w:rPr>
        <w:t>When trying to decide how much detail to give the reader, first assess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how you are using the case. </w:t>
      </w:r>
      <w:r>
        <w:rPr>
          <w:color w:val="3B383A"/>
          <w:w w:val="110"/>
          <w:sz w:val="22"/>
        </w:rPr>
        <w:t>If </w:t>
      </w:r>
      <w:r>
        <w:rPr>
          <w:color w:val="3B383A"/>
          <w:w w:val="110"/>
        </w:rPr>
        <w:t>you are using the case as rule authority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and plan to discuss it in depth in your explanation section, you may give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only a "naked cite</w:t>
      </w:r>
      <w:r>
        <w:rPr>
          <w:color w:val="565657"/>
          <w:w w:val="105"/>
        </w:rPr>
        <w:t>.</w:t>
      </w:r>
      <w:r>
        <w:rPr>
          <w:color w:val="3B383A"/>
          <w:w w:val="105"/>
        </w:rPr>
        <w:t>" On the other hand, you may be using a case as rule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authority only because it is from a court of mandatory jurisdiction or it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is well known as the source of a particular rule, rather than because of its</w:t>
      </w:r>
      <w:r>
        <w:rPr>
          <w:color w:val="3B383A"/>
          <w:spacing w:val="1"/>
          <w:w w:val="105"/>
        </w:rPr>
        <w:t> </w:t>
      </w:r>
      <w:r>
        <w:rPr>
          <w:color w:val="3B383A"/>
          <w:spacing w:val="-1"/>
          <w:w w:val="110"/>
        </w:rPr>
        <w:t>relevance to your </w:t>
      </w:r>
      <w:r>
        <w:rPr>
          <w:color w:val="3B383A"/>
          <w:w w:val="110"/>
        </w:rPr>
        <w:t>client's case. (Presumably, you plan to use other cases</w:t>
      </w:r>
      <w:r>
        <w:rPr>
          <w:color w:val="3B383A"/>
          <w:spacing w:val="-61"/>
          <w:w w:val="110"/>
        </w:rPr>
        <w:t> </w:t>
      </w:r>
      <w:r>
        <w:rPr>
          <w:color w:val="3B383A"/>
          <w:w w:val="110"/>
        </w:rPr>
        <w:t>to illustrate the rule.) If that is the situation</w:t>
      </w:r>
      <w:r>
        <w:rPr>
          <w:color w:val="565657"/>
          <w:w w:val="110"/>
        </w:rPr>
        <w:t>, </w:t>
      </w:r>
      <w:r>
        <w:rPr>
          <w:color w:val="3B383A"/>
          <w:w w:val="110"/>
        </w:rPr>
        <w:t>you should provide a par­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enthetical description, as shown above with the writer's use of the</w:t>
      </w:r>
      <w:r>
        <w:rPr>
          <w:color w:val="3B383A"/>
          <w:spacing w:val="1"/>
          <w:w w:val="105"/>
        </w:rPr>
        <w:t> </w:t>
      </w:r>
      <w:r>
        <w:rPr>
          <w:i/>
          <w:color w:val="3B383A"/>
          <w:w w:val="105"/>
          <w:sz w:val="24"/>
        </w:rPr>
        <w:t>Dunn</w:t>
      </w:r>
      <w:r>
        <w:rPr>
          <w:i/>
          <w:color w:val="3B383A"/>
          <w:spacing w:val="1"/>
          <w:w w:val="105"/>
          <w:sz w:val="24"/>
        </w:rPr>
        <w:t> </w:t>
      </w:r>
      <w:r>
        <w:rPr>
          <w:color w:val="3B383A"/>
          <w:w w:val="110"/>
        </w:rPr>
        <w:t>case.</w:t>
      </w:r>
    </w:p>
    <w:p>
      <w:pPr>
        <w:pStyle w:val="BodyText"/>
        <w:spacing w:line="232" w:lineRule="auto"/>
        <w:ind w:left="727" w:right="9" w:firstLine="372"/>
        <w:jc w:val="both"/>
      </w:pPr>
      <w:r>
        <w:rPr>
          <w:color w:val="3B383A"/>
          <w:w w:val="105"/>
        </w:rPr>
        <w:t>A last word about focus: in your casebook courses, you may have been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trained to write case briefs that identify the main point of the case, or the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point that the case "stands for" in the development of a legal rule. In advo.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cacy, in contrast, your case descriptions must focus on the </w:t>
      </w:r>
      <w:r>
        <w:rPr>
          <w:i/>
          <w:color w:val="3B383A"/>
          <w:w w:val="105"/>
          <w:sz w:val="24"/>
        </w:rPr>
        <w:t>relevant </w:t>
      </w:r>
      <w:r>
        <w:rPr>
          <w:color w:val="3B383A"/>
          <w:w w:val="105"/>
        </w:rPr>
        <w:t>issue,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disposition,</w:t>
      </w:r>
      <w:r>
        <w:rPr>
          <w:color w:val="3B383A"/>
          <w:spacing w:val="3"/>
          <w:w w:val="105"/>
        </w:rPr>
        <w:t> </w:t>
      </w:r>
      <w:r>
        <w:rPr>
          <w:color w:val="3B383A"/>
          <w:w w:val="105"/>
        </w:rPr>
        <w:t>etc.,</w:t>
      </w:r>
      <w:r>
        <w:rPr>
          <w:color w:val="3B383A"/>
          <w:spacing w:val="4"/>
          <w:w w:val="105"/>
        </w:rPr>
        <w:t> </w:t>
      </w:r>
      <w:r>
        <w:rPr>
          <w:color w:val="3B383A"/>
          <w:w w:val="105"/>
        </w:rPr>
        <w:t>even</w:t>
      </w:r>
      <w:r>
        <w:rPr>
          <w:color w:val="3B383A"/>
          <w:spacing w:val="22"/>
          <w:w w:val="105"/>
        </w:rPr>
        <w:t> </w:t>
      </w:r>
      <w:r>
        <w:rPr>
          <w:color w:val="3B383A"/>
          <w:w w:val="105"/>
        </w:rPr>
        <w:t>if</w:t>
      </w:r>
      <w:r>
        <w:rPr>
          <w:color w:val="3B383A"/>
          <w:spacing w:val="13"/>
          <w:w w:val="105"/>
        </w:rPr>
        <w:t> </w:t>
      </w:r>
      <w:r>
        <w:rPr>
          <w:color w:val="3B383A"/>
          <w:w w:val="105"/>
        </w:rPr>
        <w:t>it</w:t>
      </w:r>
      <w:r>
        <w:rPr>
          <w:color w:val="3B383A"/>
          <w:spacing w:val="40"/>
          <w:w w:val="105"/>
        </w:rPr>
        <w:t> </w:t>
      </w:r>
      <w:r>
        <w:rPr>
          <w:color w:val="3B383A"/>
          <w:w w:val="105"/>
        </w:rPr>
        <w:t>is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not</w:t>
      </w:r>
      <w:r>
        <w:rPr>
          <w:color w:val="3B383A"/>
          <w:spacing w:val="41"/>
          <w:w w:val="105"/>
        </w:rPr>
        <w:t> </w:t>
      </w:r>
      <w:r>
        <w:rPr>
          <w:color w:val="3B383A"/>
          <w:w w:val="105"/>
        </w:rPr>
        <w:t>the</w:t>
      </w:r>
      <w:r>
        <w:rPr>
          <w:color w:val="3B383A"/>
          <w:spacing w:val="25"/>
          <w:w w:val="105"/>
        </w:rPr>
        <w:t> </w:t>
      </w:r>
      <w:r>
        <w:rPr>
          <w:color w:val="3B383A"/>
          <w:w w:val="105"/>
        </w:rPr>
        <w:t>main</w:t>
      </w:r>
      <w:r>
        <w:rPr>
          <w:color w:val="3B383A"/>
          <w:spacing w:val="20"/>
          <w:w w:val="105"/>
        </w:rPr>
        <w:t> </w:t>
      </w:r>
      <w:r>
        <w:rPr>
          <w:color w:val="3B383A"/>
          <w:w w:val="105"/>
        </w:rPr>
        <w:t>point</w:t>
      </w:r>
      <w:r>
        <w:rPr>
          <w:color w:val="3B383A"/>
          <w:spacing w:val="23"/>
          <w:w w:val="105"/>
        </w:rPr>
        <w:t> </w:t>
      </w:r>
      <w:r>
        <w:rPr>
          <w:color w:val="3B383A"/>
          <w:w w:val="105"/>
        </w:rPr>
        <w:t>that</w:t>
      </w:r>
      <w:r>
        <w:rPr>
          <w:color w:val="3B383A"/>
          <w:spacing w:val="16"/>
          <w:w w:val="105"/>
        </w:rPr>
        <w:t> </w:t>
      </w:r>
      <w:r>
        <w:rPr>
          <w:color w:val="3B383A"/>
          <w:w w:val="105"/>
        </w:rPr>
        <w:t>the</w:t>
      </w:r>
      <w:r>
        <w:rPr>
          <w:color w:val="3B383A"/>
          <w:spacing w:val="18"/>
          <w:w w:val="105"/>
        </w:rPr>
        <w:t> </w:t>
      </w:r>
      <w:r>
        <w:rPr>
          <w:color w:val="3B383A"/>
          <w:w w:val="105"/>
        </w:rPr>
        <w:t>court</w:t>
      </w:r>
      <w:r>
        <w:rPr>
          <w:color w:val="3B383A"/>
          <w:spacing w:val="11"/>
          <w:w w:val="105"/>
        </w:rPr>
        <w:t> </w:t>
      </w:r>
      <w:r>
        <w:rPr>
          <w:color w:val="3B383A"/>
          <w:w w:val="105"/>
        </w:rPr>
        <w:t>addressed.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52"/>
        </w:numPr>
        <w:tabs>
          <w:tab w:pos="1435" w:val="left" w:leader="none"/>
        </w:tabs>
        <w:spacing w:line="240" w:lineRule="auto" w:before="92" w:after="0"/>
        <w:ind w:left="1434" w:right="0" w:hanging="386"/>
        <w:jc w:val="both"/>
        <w:rPr>
          <w:b/>
          <w:color w:val="3B383A"/>
          <w:sz w:val="22"/>
        </w:rPr>
      </w:pPr>
      <w:r>
        <w:rPr>
          <w:b/>
          <w:color w:val="3B383A"/>
          <w:w w:val="110"/>
          <w:sz w:val="22"/>
        </w:rPr>
        <w:t>Using</w:t>
      </w:r>
      <w:r>
        <w:rPr>
          <w:b/>
          <w:color w:val="3B383A"/>
          <w:spacing w:val="-5"/>
          <w:w w:val="110"/>
          <w:sz w:val="22"/>
        </w:rPr>
        <w:t> </w:t>
      </w:r>
      <w:r>
        <w:rPr>
          <w:b/>
          <w:color w:val="3B383A"/>
          <w:w w:val="110"/>
          <w:sz w:val="22"/>
        </w:rPr>
        <w:t>Language</w:t>
      </w:r>
      <w:r>
        <w:rPr>
          <w:b/>
          <w:color w:val="3B383A"/>
          <w:spacing w:val="17"/>
          <w:w w:val="110"/>
          <w:sz w:val="22"/>
        </w:rPr>
        <w:t> </w:t>
      </w:r>
      <w:r>
        <w:rPr>
          <w:b/>
          <w:color w:val="3B383A"/>
          <w:w w:val="110"/>
          <w:sz w:val="22"/>
        </w:rPr>
        <w:t>Effectively</w:t>
      </w:r>
    </w:p>
    <w:p>
      <w:pPr>
        <w:pStyle w:val="BodyText"/>
        <w:spacing w:line="230" w:lineRule="auto" w:before="26"/>
        <w:ind w:left="593" w:right="39" w:firstLine="436"/>
        <w:jc w:val="both"/>
      </w:pPr>
      <w:r>
        <w:rPr>
          <w:color w:val="3B383A"/>
          <w:w w:val="110"/>
        </w:rPr>
        <w:t>Even when using a textual case description or when you must give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reader more detail, do not make your case description needlessly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long. Provide only the information  that the reader needs about each of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the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four elements. The description of the </w:t>
      </w:r>
      <w:r>
        <w:rPr>
          <w:i/>
          <w:color w:val="3B383A"/>
          <w:w w:val="105"/>
          <w:sz w:val="24"/>
        </w:rPr>
        <w:t>Ciraolo </w:t>
      </w:r>
      <w:r>
        <w:rPr>
          <w:color w:val="3B383A"/>
          <w:w w:val="105"/>
        </w:rPr>
        <w:t>case above is somewhat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lengthy, but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its length is concentrated  in the facts and  the  reasoning.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The plain view issue is fact specific, and thus the details about cases in</w:t>
      </w:r>
      <w:r>
        <w:rPr>
          <w:color w:val="3B383A"/>
          <w:spacing w:val="1"/>
          <w:w w:val="110"/>
        </w:rPr>
        <w:t> </w:t>
      </w:r>
      <w:r>
        <w:rPr>
          <w:color w:val="3B383A"/>
          <w:spacing w:val="-1"/>
          <w:w w:val="110"/>
        </w:rPr>
        <w:t>which plain </w:t>
      </w:r>
      <w:r>
        <w:rPr>
          <w:color w:val="3B383A"/>
          <w:w w:val="110"/>
        </w:rPr>
        <w:t>view was or was not established were particularly important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in</w:t>
      </w:r>
      <w:r>
        <w:rPr>
          <w:color w:val="3B383A"/>
          <w:spacing w:val="6"/>
          <w:w w:val="110"/>
        </w:rPr>
        <w:t> </w:t>
      </w:r>
      <w:r>
        <w:rPr>
          <w:color w:val="3B383A"/>
          <w:w w:val="110"/>
        </w:rPr>
        <w:t>that</w:t>
      </w:r>
      <w:r>
        <w:rPr>
          <w:color w:val="3B383A"/>
          <w:spacing w:val="-5"/>
          <w:w w:val="110"/>
        </w:rPr>
        <w:t> </w:t>
      </w:r>
      <w:r>
        <w:rPr>
          <w:color w:val="3B383A"/>
          <w:w w:val="110"/>
        </w:rPr>
        <w:t>case.</w:t>
      </w:r>
    </w:p>
    <w:p>
      <w:pPr>
        <w:pStyle w:val="BodyText"/>
        <w:spacing w:line="228" w:lineRule="auto" w:before="11"/>
        <w:ind w:left="483" w:right="64" w:firstLine="468"/>
        <w:jc w:val="both"/>
      </w:pPr>
      <w:r>
        <w:rPr>
          <w:color w:val="3B383A"/>
          <w:w w:val="110"/>
        </w:rPr>
        <w:t>In many case descriptions, writers run into trouble in the first sen­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tence. One way to avoid thi</w:t>
      </w:r>
      <w:r>
        <w:rPr>
          <w:color w:val="565657"/>
          <w:w w:val="105"/>
        </w:rPr>
        <w:t>s </w:t>
      </w:r>
      <w:r>
        <w:rPr>
          <w:color w:val="3B383A"/>
          <w:w w:val="105"/>
        </w:rPr>
        <w:t>trouble is to concentrate on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the subject-verb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combination. The first sentence you write about a case should tell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reader something that the court did or something about why the court did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what it did. </w:t>
      </w:r>
      <w:r>
        <w:rPr>
          <w:color w:val="3B383A"/>
          <w:w w:val="105"/>
          <w:sz w:val="22"/>
        </w:rPr>
        <w:t>It </w:t>
      </w:r>
      <w:r>
        <w:rPr>
          <w:color w:val="3B383A"/>
          <w:w w:val="105"/>
        </w:rPr>
        <w:t>should </w:t>
      </w:r>
      <w:r>
        <w:rPr>
          <w:i/>
          <w:color w:val="3B383A"/>
          <w:w w:val="105"/>
          <w:sz w:val="24"/>
        </w:rPr>
        <w:t>not </w:t>
      </w:r>
      <w:r>
        <w:rPr>
          <w:color w:val="3B383A"/>
          <w:w w:val="105"/>
        </w:rPr>
        <w:t>tell the reader what the case </w:t>
      </w:r>
      <w:r>
        <w:rPr>
          <w:i/>
          <w:color w:val="3B383A"/>
          <w:w w:val="105"/>
          <w:sz w:val="24"/>
        </w:rPr>
        <w:t>involved, regarded, </w:t>
      </w:r>
      <w:r>
        <w:rPr>
          <w:color w:val="3B383A"/>
          <w:w w:val="105"/>
        </w:rPr>
        <w:t>or</w:t>
      </w:r>
      <w:r>
        <w:rPr>
          <w:color w:val="3B383A"/>
          <w:spacing w:val="1"/>
          <w:w w:val="105"/>
        </w:rPr>
        <w:t> </w:t>
      </w:r>
      <w:r>
        <w:rPr>
          <w:i/>
          <w:color w:val="3B383A"/>
          <w:sz w:val="24"/>
        </w:rPr>
        <w:t>concerned, </w:t>
      </w:r>
      <w:r>
        <w:rPr>
          <w:color w:val="3B383A"/>
        </w:rPr>
        <w:t>or what the court </w:t>
      </w:r>
      <w:r>
        <w:rPr>
          <w:i/>
          <w:color w:val="3B383A"/>
          <w:sz w:val="24"/>
        </w:rPr>
        <w:t>addressed, considered, examined, </w:t>
      </w:r>
      <w:r>
        <w:rPr>
          <w:color w:val="3B383A"/>
        </w:rPr>
        <w:t>or </w:t>
      </w:r>
      <w:r>
        <w:rPr>
          <w:i/>
          <w:color w:val="3B383A"/>
          <w:sz w:val="24"/>
        </w:rPr>
        <w:t>dealt with</w:t>
      </w:r>
      <w:r>
        <w:rPr>
          <w:i/>
          <w:color w:val="69696B"/>
          <w:sz w:val="24"/>
        </w:rPr>
        <w:t>.</w:t>
      </w:r>
      <w:r>
        <w:rPr>
          <w:i/>
          <w:color w:val="69696B"/>
          <w:spacing w:val="1"/>
          <w:sz w:val="24"/>
        </w:rPr>
        <w:t> </w:t>
      </w:r>
      <w:r>
        <w:rPr>
          <w:color w:val="3B383A"/>
          <w:spacing w:val="-1"/>
          <w:w w:val="110"/>
        </w:rPr>
        <w:t>Notice how the </w:t>
      </w:r>
      <w:r>
        <w:rPr>
          <w:color w:val="3B383A"/>
          <w:w w:val="110"/>
        </w:rPr>
        <w:t>first sentence in the following case description wastes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reader's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(scarce)</w:t>
      </w:r>
      <w:r>
        <w:rPr>
          <w:color w:val="3B383A"/>
          <w:spacing w:val="5"/>
          <w:w w:val="110"/>
        </w:rPr>
        <w:t> </w:t>
      </w:r>
      <w:r>
        <w:rPr>
          <w:color w:val="3B383A"/>
          <w:w w:val="110"/>
        </w:rPr>
        <w:t>time</w:t>
      </w:r>
      <w:r>
        <w:rPr>
          <w:color w:val="3B383A"/>
          <w:spacing w:val="-15"/>
          <w:w w:val="110"/>
        </w:rPr>
        <w:t> </w:t>
      </w:r>
      <w:r>
        <w:rPr>
          <w:color w:val="3B383A"/>
          <w:w w:val="110"/>
        </w:rPr>
        <w:t>and</w:t>
      </w:r>
      <w:r>
        <w:rPr>
          <w:color w:val="3B383A"/>
          <w:spacing w:val="2"/>
          <w:w w:val="110"/>
        </w:rPr>
        <w:t> </w:t>
      </w:r>
      <w:r>
        <w:rPr>
          <w:color w:val="3B383A"/>
          <w:w w:val="110"/>
        </w:rPr>
        <w:t>energy:</w:t>
      </w:r>
    </w:p>
    <w:p>
      <w:pPr>
        <w:spacing w:after="0" w:line="228" w:lineRule="auto"/>
        <w:jc w:val="both"/>
        <w:sectPr>
          <w:pgSz w:w="9340" w:h="13760"/>
          <w:pgMar w:header="437" w:footer="0" w:top="1020" w:bottom="0" w:left="1300" w:right="0"/>
        </w:sectPr>
      </w:pPr>
    </w:p>
    <w:p>
      <w:pPr>
        <w:spacing w:before="80"/>
        <w:ind w:left="127" w:right="0" w:firstLine="0"/>
        <w:jc w:val="both"/>
        <w:rPr>
          <w:rFonts w:ascii="Arial"/>
          <w:sz w:val="14"/>
        </w:rPr>
      </w:pPr>
      <w:r>
        <w:rPr>
          <w:rFonts w:ascii="Arial"/>
          <w:color w:val="3B383A"/>
          <w:w w:val="105"/>
          <w:sz w:val="31"/>
          <w:u w:val="thick" w:color="3B383A"/>
        </w:rPr>
        <w:t>1/</w:t>
      </w:r>
      <w:r>
        <w:rPr>
          <w:rFonts w:ascii="Arial"/>
          <w:color w:val="3B383A"/>
          <w:spacing w:val="36"/>
          <w:w w:val="105"/>
          <w:sz w:val="31"/>
        </w:rPr>
        <w:t> </w:t>
      </w:r>
      <w:r>
        <w:rPr>
          <w:rFonts w:ascii="Arial"/>
          <w:color w:val="3B383A"/>
          <w:w w:val="105"/>
          <w:sz w:val="14"/>
          <w:u w:val="thick" w:color="4F4F50"/>
        </w:rPr>
        <w:t>BAD</w:t>
      </w:r>
      <w:r>
        <w:rPr>
          <w:rFonts w:ascii="Arial"/>
          <w:color w:val="3B383A"/>
          <w:spacing w:val="-1"/>
          <w:w w:val="105"/>
          <w:sz w:val="14"/>
          <w:u w:val="thick" w:color="4F4F50"/>
        </w:rPr>
        <w:t> </w:t>
      </w:r>
      <w:r>
        <w:rPr>
          <w:rFonts w:ascii="Arial"/>
          <w:color w:val="4F4F50"/>
          <w:w w:val="105"/>
          <w:sz w:val="14"/>
          <w:u w:val="thick" w:color="4F4F50"/>
        </w:rPr>
        <w:t>EXAMPLE</w:t>
      </w:r>
    </w:p>
    <w:p>
      <w:pPr>
        <w:spacing w:before="66"/>
        <w:ind w:left="518" w:right="1246" w:firstLine="14"/>
        <w:jc w:val="left"/>
        <w:rPr>
          <w:sz w:val="20"/>
        </w:rPr>
      </w:pPr>
      <w:r>
        <w:rPr>
          <w:color w:val="3B383A"/>
          <w:w w:val="115"/>
          <w:sz w:val="20"/>
        </w:rPr>
        <w:t>In</w:t>
      </w:r>
      <w:r>
        <w:rPr>
          <w:color w:val="3B383A"/>
          <w:spacing w:val="10"/>
          <w:w w:val="115"/>
          <w:sz w:val="20"/>
        </w:rPr>
        <w:t> </w:t>
      </w:r>
      <w:r>
        <w:rPr>
          <w:color w:val="3B383A"/>
          <w:w w:val="115"/>
          <w:sz w:val="20"/>
          <w:u w:val="thick" w:color="3B383A"/>
        </w:rPr>
        <w:t>1.E.B.</w:t>
      </w:r>
      <w:r>
        <w:rPr>
          <w:color w:val="3B383A"/>
          <w:spacing w:val="-5"/>
          <w:w w:val="115"/>
          <w:sz w:val="20"/>
          <w:u w:val="thick" w:color="3B383A"/>
        </w:rPr>
        <w:t> </w:t>
      </w:r>
      <w:r>
        <w:rPr>
          <w:color w:val="3B383A"/>
          <w:w w:val="115"/>
          <w:sz w:val="20"/>
          <w:u w:val="thick" w:color="3B383A"/>
        </w:rPr>
        <w:t>v.</w:t>
      </w:r>
      <w:r>
        <w:rPr>
          <w:color w:val="3B383A"/>
          <w:spacing w:val="-2"/>
          <w:w w:val="115"/>
          <w:sz w:val="20"/>
          <w:u w:val="thick" w:color="3B383A"/>
        </w:rPr>
        <w:t> </w:t>
      </w:r>
      <w:r>
        <w:rPr>
          <w:color w:val="3B383A"/>
          <w:w w:val="115"/>
          <w:sz w:val="20"/>
          <w:u w:val="thick" w:color="3B383A"/>
        </w:rPr>
        <w:t>T.B..</w:t>
      </w:r>
      <w:r>
        <w:rPr>
          <w:color w:val="3B383A"/>
          <w:spacing w:val="26"/>
          <w:w w:val="115"/>
          <w:sz w:val="20"/>
        </w:rPr>
        <w:t> </w:t>
      </w:r>
      <w:r>
        <w:rPr>
          <w:color w:val="3B383A"/>
          <w:w w:val="115"/>
          <w:sz w:val="20"/>
        </w:rPr>
        <w:t>511</w:t>
      </w:r>
      <w:r>
        <w:rPr>
          <w:color w:val="3B383A"/>
          <w:spacing w:val="45"/>
          <w:w w:val="115"/>
          <w:sz w:val="20"/>
        </w:rPr>
        <w:t> </w:t>
      </w:r>
      <w:r>
        <w:rPr>
          <w:color w:val="3B383A"/>
          <w:w w:val="115"/>
          <w:sz w:val="20"/>
        </w:rPr>
        <w:t>U.S.</w:t>
      </w:r>
      <w:r>
        <w:rPr>
          <w:color w:val="3B383A"/>
          <w:spacing w:val="-21"/>
          <w:w w:val="115"/>
          <w:sz w:val="20"/>
        </w:rPr>
        <w:t> </w:t>
      </w:r>
      <w:r>
        <w:rPr>
          <w:color w:val="3B383A"/>
          <w:w w:val="115"/>
          <w:sz w:val="20"/>
        </w:rPr>
        <w:t>127</w:t>
      </w:r>
      <w:r>
        <w:rPr>
          <w:color w:val="3B383A"/>
          <w:spacing w:val="43"/>
          <w:w w:val="115"/>
          <w:sz w:val="20"/>
        </w:rPr>
        <w:t> </w:t>
      </w:r>
      <w:r>
        <w:rPr>
          <w:color w:val="3B383A"/>
          <w:w w:val="115"/>
          <w:sz w:val="20"/>
        </w:rPr>
        <w:t>(1994),</w:t>
      </w:r>
      <w:r>
        <w:rPr>
          <w:color w:val="3B383A"/>
          <w:spacing w:val="9"/>
          <w:w w:val="115"/>
          <w:sz w:val="20"/>
        </w:rPr>
        <w:t> </w:t>
      </w:r>
      <w:r>
        <w:rPr>
          <w:color w:val="3B383A"/>
          <w:w w:val="115"/>
          <w:sz w:val="20"/>
        </w:rPr>
        <w:t>this</w:t>
      </w:r>
      <w:r>
        <w:rPr>
          <w:color w:val="3B383A"/>
          <w:spacing w:val="-19"/>
          <w:w w:val="115"/>
          <w:sz w:val="20"/>
        </w:rPr>
        <w:t> </w:t>
      </w:r>
      <w:r>
        <w:rPr>
          <w:color w:val="3B383A"/>
          <w:w w:val="115"/>
          <w:sz w:val="20"/>
        </w:rPr>
        <w:t>Court</w:t>
      </w:r>
      <w:r>
        <w:rPr>
          <w:color w:val="3B383A"/>
          <w:spacing w:val="6"/>
          <w:w w:val="115"/>
          <w:sz w:val="20"/>
        </w:rPr>
        <w:t> </w:t>
      </w:r>
      <w:r>
        <w:rPr>
          <w:color w:val="3B383A"/>
          <w:w w:val="115"/>
          <w:sz w:val="20"/>
        </w:rPr>
        <w:t>examined</w:t>
      </w:r>
      <w:r>
        <w:rPr>
          <w:color w:val="3B383A"/>
          <w:spacing w:val="28"/>
          <w:w w:val="115"/>
          <w:sz w:val="20"/>
        </w:rPr>
        <w:t> </w:t>
      </w:r>
      <w:r>
        <w:rPr>
          <w:color w:val="3B383A"/>
          <w:w w:val="115"/>
          <w:sz w:val="20"/>
        </w:rPr>
        <w:t>the</w:t>
      </w:r>
      <w:r>
        <w:rPr>
          <w:color w:val="3B383A"/>
          <w:spacing w:val="22"/>
          <w:w w:val="115"/>
          <w:sz w:val="20"/>
        </w:rPr>
        <w:t> </w:t>
      </w:r>
      <w:r>
        <w:rPr>
          <w:color w:val="3B383A"/>
          <w:w w:val="115"/>
          <w:sz w:val="20"/>
        </w:rPr>
        <w:t>issue</w:t>
      </w:r>
      <w:r>
        <w:rPr>
          <w:color w:val="3B383A"/>
          <w:spacing w:val="-2"/>
          <w:w w:val="115"/>
          <w:sz w:val="20"/>
        </w:rPr>
        <w:t> </w:t>
      </w:r>
      <w:r>
        <w:rPr>
          <w:color w:val="3B383A"/>
          <w:w w:val="115"/>
          <w:sz w:val="20"/>
        </w:rPr>
        <w:t>of</w:t>
      </w:r>
      <w:r>
        <w:rPr>
          <w:color w:val="3B383A"/>
          <w:spacing w:val="-55"/>
          <w:w w:val="115"/>
          <w:sz w:val="20"/>
        </w:rPr>
        <w:t> </w:t>
      </w:r>
      <w:r>
        <w:rPr>
          <w:color w:val="3B383A"/>
          <w:w w:val="120"/>
          <w:sz w:val="20"/>
        </w:rPr>
        <w:t>sex</w:t>
      </w:r>
      <w:r>
        <w:rPr>
          <w:color w:val="3B383A"/>
          <w:spacing w:val="-18"/>
          <w:w w:val="120"/>
          <w:sz w:val="20"/>
        </w:rPr>
        <w:t> </w:t>
      </w:r>
      <w:r>
        <w:rPr>
          <w:color w:val="3B383A"/>
          <w:w w:val="120"/>
          <w:sz w:val="20"/>
        </w:rPr>
        <w:t>discrimination</w:t>
      </w:r>
      <w:r>
        <w:rPr>
          <w:color w:val="3B383A"/>
          <w:spacing w:val="-16"/>
          <w:w w:val="120"/>
          <w:sz w:val="20"/>
        </w:rPr>
        <w:t> </w:t>
      </w:r>
      <w:r>
        <w:rPr>
          <w:color w:val="3B383A"/>
          <w:w w:val="120"/>
          <w:sz w:val="20"/>
        </w:rPr>
        <w:t>in</w:t>
      </w:r>
      <w:r>
        <w:rPr>
          <w:color w:val="3B383A"/>
          <w:spacing w:val="9"/>
          <w:w w:val="120"/>
          <w:sz w:val="20"/>
        </w:rPr>
        <w:t> </w:t>
      </w:r>
      <w:r>
        <w:rPr>
          <w:color w:val="3B383A"/>
          <w:w w:val="120"/>
          <w:sz w:val="20"/>
        </w:rPr>
        <w:t>the</w:t>
      </w:r>
      <w:r>
        <w:rPr>
          <w:color w:val="3B383A"/>
          <w:spacing w:val="2"/>
          <w:w w:val="120"/>
          <w:sz w:val="20"/>
        </w:rPr>
        <w:t> </w:t>
      </w:r>
      <w:r>
        <w:rPr>
          <w:color w:val="3B383A"/>
          <w:w w:val="120"/>
          <w:sz w:val="20"/>
        </w:rPr>
        <w:t>selection</w:t>
      </w:r>
      <w:r>
        <w:rPr>
          <w:color w:val="3B383A"/>
          <w:spacing w:val="-8"/>
          <w:w w:val="120"/>
          <w:sz w:val="20"/>
        </w:rPr>
        <w:t> </w:t>
      </w:r>
      <w:r>
        <w:rPr>
          <w:color w:val="3B383A"/>
          <w:w w:val="120"/>
          <w:sz w:val="20"/>
        </w:rPr>
        <w:t>of</w:t>
      </w:r>
      <w:r>
        <w:rPr>
          <w:color w:val="3B383A"/>
          <w:spacing w:val="29"/>
          <w:w w:val="120"/>
          <w:sz w:val="20"/>
        </w:rPr>
        <w:t> </w:t>
      </w:r>
      <w:r>
        <w:rPr>
          <w:color w:val="3B383A"/>
          <w:w w:val="120"/>
          <w:sz w:val="20"/>
        </w:rPr>
        <w:t>jurors.</w:t>
      </w:r>
    </w:p>
    <w:p>
      <w:pPr>
        <w:pStyle w:val="BodyText"/>
        <w:spacing w:line="232" w:lineRule="auto" w:before="154"/>
        <w:ind w:left="172" w:right="1045" w:hanging="9"/>
        <w:jc w:val="both"/>
      </w:pPr>
      <w:r>
        <w:rPr>
          <w:color w:val="3B383A"/>
          <w:w w:val="110"/>
        </w:rPr>
        <w:t>This description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tells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reader that the court examined an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issue, but</w:t>
      </w:r>
      <w:r>
        <w:rPr>
          <w:color w:val="3B383A"/>
          <w:spacing w:val="1"/>
          <w:w w:val="110"/>
        </w:rPr>
        <w:t> </w:t>
      </w:r>
      <w:r>
        <w:rPr>
          <w:color w:val="3B383A"/>
          <w:spacing w:val="-1"/>
          <w:w w:val="110"/>
        </w:rPr>
        <w:t>leaves the reader in suspense </w:t>
      </w:r>
      <w:r>
        <w:rPr>
          <w:color w:val="3B383A"/>
          <w:w w:val="110"/>
        </w:rPr>
        <w:t>as to what happened as a result of the exami­</w:t>
      </w:r>
      <w:r>
        <w:rPr>
          <w:color w:val="3B383A"/>
          <w:spacing w:val="-61"/>
          <w:w w:val="110"/>
        </w:rPr>
        <w:t> </w:t>
      </w:r>
      <w:r>
        <w:rPr>
          <w:color w:val="3B383A"/>
          <w:w w:val="110"/>
        </w:rPr>
        <w:t>nation. Suspense is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enemy of good legal writing. Instead of saying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only that the court </w:t>
      </w:r>
      <w:r>
        <w:rPr>
          <w:color w:val="4F4F50"/>
          <w:w w:val="110"/>
        </w:rPr>
        <w:t>"examined" </w:t>
      </w:r>
      <w:r>
        <w:rPr>
          <w:color w:val="3B383A"/>
          <w:w w:val="110"/>
        </w:rPr>
        <w:t>the issue, the writer should say something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about a court's ultimate ruling or, if relevant, a particular finding in the</w:t>
      </w:r>
      <w:r>
        <w:rPr>
          <w:color w:val="3B383A"/>
          <w:spacing w:val="1"/>
          <w:w w:val="110"/>
        </w:rPr>
        <w:t> </w:t>
      </w:r>
      <w:r>
        <w:rPr>
          <w:color w:val="3B383A"/>
        </w:rPr>
        <w:t>case. Verbs such as </w:t>
      </w:r>
      <w:r>
        <w:rPr>
          <w:rFonts w:ascii="Arial" w:hAnsi="Arial"/>
          <w:i/>
          <w:color w:val="3B383A"/>
          <w:sz w:val="21"/>
        </w:rPr>
        <w:t>held </w:t>
      </w:r>
      <w:r>
        <w:rPr>
          <w:color w:val="3B383A"/>
        </w:rPr>
        <w:t>and</w:t>
      </w:r>
      <w:r>
        <w:rPr>
          <w:color w:val="3B383A"/>
          <w:spacing w:val="1"/>
        </w:rPr>
        <w:t> </w:t>
      </w:r>
      <w:r>
        <w:rPr>
          <w:rFonts w:ascii="Arial" w:hAnsi="Arial"/>
          <w:i/>
          <w:color w:val="3B383A"/>
          <w:sz w:val="21"/>
        </w:rPr>
        <w:t>{01111d </w:t>
      </w:r>
      <w:r>
        <w:rPr>
          <w:color w:val="3B383A"/>
        </w:rPr>
        <w:t>are</w:t>
      </w:r>
      <w:r>
        <w:rPr>
          <w:color w:val="3B383A"/>
          <w:spacing w:val="1"/>
        </w:rPr>
        <w:t> </w:t>
      </w:r>
      <w:r>
        <w:rPr>
          <w:color w:val="3B383A"/>
        </w:rPr>
        <w:t>more likely to get your reader to the</w:t>
      </w:r>
      <w:r>
        <w:rPr>
          <w:color w:val="3B383A"/>
          <w:spacing w:val="1"/>
        </w:rPr>
        <w:t> </w:t>
      </w:r>
      <w:r>
        <w:rPr>
          <w:color w:val="3B383A"/>
          <w:w w:val="110"/>
        </w:rPr>
        <w:t>point</w:t>
      </w:r>
      <w:r>
        <w:rPr>
          <w:color w:val="3B383A"/>
          <w:spacing w:val="-4"/>
          <w:w w:val="110"/>
        </w:rPr>
        <w:t> </w:t>
      </w:r>
      <w:r>
        <w:rPr>
          <w:color w:val="3B383A"/>
          <w:w w:val="110"/>
        </w:rPr>
        <w:t>of the</w:t>
      </w:r>
      <w:r>
        <w:rPr>
          <w:color w:val="3B383A"/>
          <w:spacing w:val="29"/>
          <w:w w:val="110"/>
        </w:rPr>
        <w:t> </w:t>
      </w:r>
      <w:r>
        <w:rPr>
          <w:color w:val="3B383A"/>
          <w:w w:val="110"/>
        </w:rPr>
        <w:t>case:</w:t>
      </w:r>
    </w:p>
    <w:p>
      <w:pPr>
        <w:pStyle w:val="BodyText"/>
        <w:spacing w:before="6"/>
        <w:rPr>
          <w:sz w:val="10"/>
        </w:rPr>
      </w:pPr>
    </w:p>
    <w:p>
      <w:pPr>
        <w:spacing w:after="0"/>
        <w:rPr>
          <w:sz w:val="10"/>
        </w:rPr>
        <w:sectPr>
          <w:headerReference w:type="default" r:id="rId147"/>
          <w:headerReference w:type="even" r:id="rId148"/>
          <w:pgSz w:w="9530" w:h="13720"/>
          <w:pgMar w:header="443" w:footer="0" w:top="900" w:bottom="280" w:left="340" w:right="440"/>
          <w:pgNumType w:start="123"/>
        </w:sectPr>
      </w:pPr>
    </w:p>
    <w:p>
      <w:pPr>
        <w:spacing w:before="96"/>
        <w:ind w:left="115" w:right="0" w:firstLine="0"/>
        <w:jc w:val="both"/>
        <w:rPr>
          <w:rFonts w:ascii="Arial"/>
          <w:sz w:val="14"/>
        </w:rPr>
      </w:pPr>
      <w:r>
        <w:rPr>
          <w:rFonts w:ascii="Arial"/>
          <w:color w:val="3B383A"/>
          <w:w w:val="105"/>
          <w:sz w:val="14"/>
          <w:u w:val="thick" w:color="3B383A"/>
        </w:rPr>
        <w:t>_/\    </w:t>
      </w:r>
      <w:r>
        <w:rPr>
          <w:rFonts w:ascii="Arial"/>
          <w:color w:val="3B383A"/>
          <w:w w:val="105"/>
          <w:sz w:val="14"/>
        </w:rPr>
        <w:t> </w:t>
      </w:r>
      <w:r>
        <w:rPr>
          <w:rFonts w:ascii="Arial"/>
          <w:color w:val="3B383A"/>
          <w:spacing w:val="33"/>
          <w:w w:val="105"/>
          <w:sz w:val="14"/>
        </w:rPr>
        <w:t> </w:t>
      </w:r>
      <w:r>
        <w:rPr>
          <w:rFonts w:ascii="Arial"/>
          <w:color w:val="3B383A"/>
          <w:w w:val="105"/>
          <w:sz w:val="14"/>
          <w:u w:val="thick" w:color="3B383A"/>
        </w:rPr>
        <w:t>GOOD</w:t>
      </w:r>
      <w:r>
        <w:rPr>
          <w:rFonts w:ascii="Arial"/>
          <w:color w:val="3B383A"/>
          <w:spacing w:val="-7"/>
          <w:w w:val="105"/>
          <w:sz w:val="14"/>
          <w:u w:val="thick" w:color="3B383A"/>
        </w:rPr>
        <w:t> </w:t>
      </w:r>
      <w:r>
        <w:rPr>
          <w:rFonts w:ascii="Arial"/>
          <w:color w:val="3B383A"/>
          <w:w w:val="105"/>
          <w:sz w:val="14"/>
          <w:u w:val="thick" w:color="3B383A"/>
        </w:rPr>
        <w:t>EX</w:t>
      </w:r>
      <w:r>
        <w:rPr>
          <w:rFonts w:ascii="Arial"/>
          <w:color w:val="626466"/>
          <w:w w:val="105"/>
          <w:sz w:val="14"/>
          <w:u w:val="thick" w:color="3B383A"/>
        </w:rPr>
        <w:t>A</w:t>
      </w:r>
      <w:r>
        <w:rPr>
          <w:rFonts w:ascii="Arial"/>
          <w:color w:val="3B383A"/>
          <w:w w:val="105"/>
          <w:sz w:val="14"/>
          <w:u w:val="thick" w:color="3B383A"/>
        </w:rPr>
        <w:t>MPLE</w:t>
      </w:r>
    </w:p>
    <w:p>
      <w:pPr>
        <w:spacing w:line="237" w:lineRule="auto" w:before="113"/>
        <w:ind w:left="516" w:right="369" w:firstLine="6"/>
        <w:jc w:val="both"/>
        <w:rPr>
          <w:rFonts w:ascii="Arial" w:hAnsi="Arial"/>
          <w:b/>
          <w:sz w:val="19"/>
        </w:rPr>
      </w:pPr>
      <w:r>
        <w:rPr>
          <w:color w:val="3B383A"/>
          <w:w w:val="115"/>
          <w:sz w:val="20"/>
        </w:rPr>
        <w:t>In</w:t>
      </w:r>
      <w:r>
        <w:rPr>
          <w:color w:val="3B383A"/>
          <w:spacing w:val="1"/>
          <w:w w:val="115"/>
          <w:sz w:val="20"/>
        </w:rPr>
        <w:t> </w:t>
      </w:r>
      <w:r>
        <w:rPr>
          <w:color w:val="3B383A"/>
          <w:w w:val="115"/>
          <w:sz w:val="20"/>
        </w:rPr>
        <w:t>1994, this Court held</w:t>
      </w:r>
      <w:r>
        <w:rPr>
          <w:color w:val="3B383A"/>
          <w:spacing w:val="1"/>
          <w:w w:val="115"/>
          <w:sz w:val="20"/>
        </w:rPr>
        <w:t> </w:t>
      </w:r>
      <w:r>
        <w:rPr>
          <w:color w:val="3B383A"/>
          <w:w w:val="115"/>
          <w:sz w:val="20"/>
        </w:rPr>
        <w:t>that sex-based </w:t>
      </w:r>
      <w:r>
        <w:rPr>
          <w:color w:val="3B383A"/>
          <w:spacing w:val="1"/>
          <w:w w:val="115"/>
          <w:sz w:val="20"/>
        </w:rPr>
        <w:t> </w:t>
      </w:r>
      <w:r>
        <w:rPr>
          <w:color w:val="3B383A"/>
          <w:w w:val="115"/>
          <w:sz w:val="17"/>
        </w:rPr>
        <w:t>1 </w:t>
      </w:r>
      <w:r>
        <w:rPr>
          <w:color w:val="3B383A"/>
          <w:spacing w:val="1"/>
          <w:w w:val="115"/>
          <w:sz w:val="17"/>
        </w:rPr>
        <w:t> </w:t>
      </w:r>
      <w:r>
        <w:rPr>
          <w:color w:val="3B383A"/>
          <w:w w:val="115"/>
          <w:sz w:val="20"/>
        </w:rPr>
        <w:t>peremptory  challenges </w:t>
      </w:r>
      <w:r>
        <w:rPr>
          <w:color w:val="3B383A"/>
          <w:spacing w:val="1"/>
          <w:w w:val="115"/>
          <w:sz w:val="20"/>
        </w:rPr>
        <w:t> </w:t>
      </w:r>
      <w:r>
        <w:rPr>
          <w:rFonts w:ascii="Arial" w:hAnsi="Arial"/>
          <w:b/>
          <w:color w:val="3B383A"/>
          <w:w w:val="115"/>
          <w:sz w:val="15"/>
        </w:rPr>
        <w:t>3</w:t>
      </w:r>
      <w:r>
        <w:rPr>
          <w:rFonts w:ascii="Arial" w:hAnsi="Arial"/>
          <w:b/>
          <w:color w:val="3B383A"/>
          <w:spacing w:val="1"/>
          <w:w w:val="115"/>
          <w:sz w:val="15"/>
        </w:rPr>
        <w:t> </w:t>
      </w:r>
      <w:r>
        <w:rPr>
          <w:b/>
          <w:color w:val="3B383A"/>
          <w:w w:val="110"/>
          <w:sz w:val="21"/>
        </w:rPr>
        <w:t>violate </w:t>
      </w:r>
      <w:r>
        <w:rPr>
          <w:rFonts w:ascii="Arial" w:hAnsi="Arial"/>
          <w:b/>
          <w:color w:val="3B383A"/>
          <w:w w:val="110"/>
          <w:sz w:val="15"/>
        </w:rPr>
        <w:t>2</w:t>
      </w:r>
      <w:r>
        <w:rPr>
          <w:rFonts w:ascii="Arial" w:hAnsi="Arial"/>
          <w:b/>
          <w:color w:val="3B383A"/>
          <w:spacing w:val="1"/>
          <w:w w:val="110"/>
          <w:sz w:val="15"/>
        </w:rPr>
        <w:t> </w:t>
      </w:r>
      <w:r>
        <w:rPr>
          <w:b/>
          <w:color w:val="3B383A"/>
          <w:w w:val="110"/>
          <w:sz w:val="21"/>
        </w:rPr>
        <w:t>jurors' rights to equal protection. </w:t>
      </w:r>
      <w:r>
        <w:rPr>
          <w:rFonts w:ascii="Arial" w:hAnsi="Arial"/>
          <w:b/>
          <w:color w:val="3B383A"/>
          <w:w w:val="110"/>
          <w:sz w:val="15"/>
        </w:rPr>
        <w:t>1</w:t>
      </w:r>
      <w:r>
        <w:rPr>
          <w:rFonts w:ascii="Arial" w:hAnsi="Arial"/>
          <w:b/>
          <w:color w:val="3B383A"/>
          <w:spacing w:val="1"/>
          <w:w w:val="110"/>
          <w:sz w:val="15"/>
        </w:rPr>
        <w:t> </w:t>
      </w:r>
      <w:r>
        <w:rPr>
          <w:b/>
          <w:color w:val="3B383A"/>
          <w:w w:val="110"/>
          <w:sz w:val="21"/>
          <w:u w:val="thick" w:color="4F4F50"/>
        </w:rPr>
        <w:t>1.E.B. v. </w:t>
      </w:r>
      <w:r>
        <w:rPr>
          <w:rFonts w:ascii="Arial" w:hAnsi="Arial"/>
          <w:b/>
          <w:color w:val="3B383A"/>
          <w:w w:val="110"/>
          <w:sz w:val="22"/>
          <w:u w:val="thick" w:color="4F4F50"/>
        </w:rPr>
        <w:t>T.B</w:t>
      </w:r>
      <w:r>
        <w:rPr>
          <w:rFonts w:ascii="Arial" w:hAnsi="Arial"/>
          <w:b/>
          <w:color w:val="4F4F50"/>
          <w:w w:val="110"/>
          <w:sz w:val="22"/>
          <w:u w:val="thick" w:color="4F4F50"/>
        </w:rPr>
        <w:t>.•</w:t>
      </w:r>
      <w:r>
        <w:rPr>
          <w:rFonts w:ascii="Arial" w:hAnsi="Arial"/>
          <w:b/>
          <w:color w:val="4F4F50"/>
          <w:w w:val="110"/>
          <w:sz w:val="22"/>
        </w:rPr>
        <w:t> </w:t>
      </w:r>
      <w:r>
        <w:rPr>
          <w:b/>
          <w:color w:val="3B383A"/>
          <w:w w:val="110"/>
          <w:sz w:val="21"/>
        </w:rPr>
        <w:t>511</w:t>
      </w:r>
      <w:r>
        <w:rPr>
          <w:b/>
          <w:color w:val="3B383A"/>
          <w:spacing w:val="1"/>
          <w:w w:val="110"/>
          <w:sz w:val="21"/>
        </w:rPr>
        <w:t> </w:t>
      </w:r>
      <w:r>
        <w:rPr>
          <w:b/>
          <w:color w:val="3B383A"/>
          <w:w w:val="110"/>
          <w:sz w:val="21"/>
        </w:rPr>
        <w:t>U.S.</w:t>
      </w:r>
      <w:r>
        <w:rPr>
          <w:b/>
          <w:color w:val="3B383A"/>
          <w:spacing w:val="-55"/>
          <w:w w:val="110"/>
          <w:sz w:val="21"/>
        </w:rPr>
        <w:t> </w:t>
      </w:r>
      <w:r>
        <w:rPr>
          <w:rFonts w:ascii="Arial" w:hAnsi="Arial"/>
          <w:b/>
          <w:color w:val="3B383A"/>
          <w:w w:val="115"/>
          <w:sz w:val="19"/>
        </w:rPr>
        <w:t>127,</w:t>
      </w:r>
      <w:r>
        <w:rPr>
          <w:rFonts w:ascii="Arial" w:hAnsi="Arial"/>
          <w:b/>
          <w:color w:val="3B383A"/>
          <w:spacing w:val="-10"/>
          <w:w w:val="115"/>
          <w:sz w:val="19"/>
        </w:rPr>
        <w:t> </w:t>
      </w:r>
      <w:r>
        <w:rPr>
          <w:rFonts w:ascii="Arial" w:hAnsi="Arial"/>
          <w:b/>
          <w:color w:val="3B383A"/>
          <w:w w:val="115"/>
          <w:sz w:val="19"/>
        </w:rPr>
        <w:t>138-40</w:t>
      </w:r>
      <w:r>
        <w:rPr>
          <w:rFonts w:ascii="Arial" w:hAnsi="Arial"/>
          <w:b/>
          <w:color w:val="3B383A"/>
          <w:spacing w:val="-12"/>
          <w:w w:val="115"/>
          <w:sz w:val="19"/>
        </w:rPr>
        <w:t> </w:t>
      </w:r>
      <w:r>
        <w:rPr>
          <w:rFonts w:ascii="Arial" w:hAnsi="Arial"/>
          <w:b/>
          <w:color w:val="3B383A"/>
          <w:w w:val="115"/>
          <w:sz w:val="19"/>
        </w:rPr>
        <w:t>(1994).</w:t>
      </w:r>
    </w:p>
    <w:p>
      <w:pPr>
        <w:pStyle w:val="BodyText"/>
        <w:spacing w:line="262" w:lineRule="exact" w:before="152"/>
        <w:ind w:left="154"/>
        <w:jc w:val="both"/>
      </w:pPr>
      <w:r>
        <w:rPr>
          <w:color w:val="3B383A"/>
          <w:w w:val="110"/>
        </w:rPr>
        <w:t>The</w:t>
      </w:r>
      <w:r>
        <w:rPr>
          <w:color w:val="3B383A"/>
          <w:spacing w:val="-6"/>
          <w:w w:val="110"/>
        </w:rPr>
        <w:t> </w:t>
      </w:r>
      <w:r>
        <w:rPr>
          <w:color w:val="3B383A"/>
          <w:w w:val="110"/>
        </w:rPr>
        <w:t>bad</w:t>
      </w:r>
      <w:r>
        <w:rPr>
          <w:color w:val="3B383A"/>
          <w:spacing w:val="-4"/>
          <w:w w:val="110"/>
        </w:rPr>
        <w:t> </w:t>
      </w:r>
      <w:r>
        <w:rPr>
          <w:color w:val="3B383A"/>
          <w:w w:val="110"/>
        </w:rPr>
        <w:t>example</w:t>
      </w:r>
      <w:r>
        <w:rPr>
          <w:color w:val="3B383A"/>
          <w:spacing w:val="5"/>
          <w:w w:val="110"/>
        </w:rPr>
        <w:t> </w:t>
      </w:r>
      <w:r>
        <w:rPr>
          <w:color w:val="3B383A"/>
          <w:w w:val="110"/>
        </w:rPr>
        <w:t>told the</w:t>
      </w:r>
      <w:r>
        <w:rPr>
          <w:color w:val="3B383A"/>
          <w:spacing w:val="29"/>
          <w:w w:val="110"/>
        </w:rPr>
        <w:t> </w:t>
      </w:r>
      <w:r>
        <w:rPr>
          <w:color w:val="3B383A"/>
          <w:w w:val="110"/>
        </w:rPr>
        <w:t>reader only</w:t>
      </w:r>
      <w:r>
        <w:rPr>
          <w:color w:val="3B383A"/>
          <w:spacing w:val="9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14"/>
          <w:w w:val="110"/>
        </w:rPr>
        <w:t> </w:t>
      </w:r>
      <w:r>
        <w:rPr>
          <w:color w:val="3B383A"/>
          <w:w w:val="110"/>
        </w:rPr>
        <w:t>issue</w:t>
      </w:r>
      <w:r>
        <w:rPr>
          <w:color w:val="3B383A"/>
          <w:spacing w:val="5"/>
          <w:w w:val="110"/>
        </w:rPr>
        <w:t> </w:t>
      </w:r>
      <w:r>
        <w:rPr>
          <w:color w:val="3B383A"/>
          <w:w w:val="110"/>
        </w:rPr>
        <w:t>that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-3"/>
          <w:w w:val="110"/>
        </w:rPr>
        <w:t> </w:t>
      </w:r>
      <w:r>
        <w:rPr>
          <w:color w:val="3B383A"/>
          <w:w w:val="110"/>
        </w:rPr>
        <w:t>court</w:t>
      </w:r>
      <w:r>
        <w:rPr>
          <w:color w:val="3B383A"/>
          <w:spacing w:val="6"/>
          <w:w w:val="110"/>
        </w:rPr>
        <w:t> </w:t>
      </w:r>
      <w:r>
        <w:rPr>
          <w:color w:val="3B383A"/>
          <w:w w:val="110"/>
        </w:rPr>
        <w:t>addressed</w:t>
      </w:r>
      <w:r>
        <w:rPr>
          <w:color w:val="3B383A"/>
          <w:spacing w:val="21"/>
          <w:w w:val="110"/>
        </w:rPr>
        <w:t> </w:t>
      </w:r>
      <w:r>
        <w:rPr>
          <w:color w:val="3B383A"/>
          <w:w w:val="110"/>
        </w:rPr>
        <w:t>in</w:t>
      </w:r>
    </w:p>
    <w:p>
      <w:pPr>
        <w:pStyle w:val="BodyText"/>
        <w:spacing w:line="230" w:lineRule="auto" w:before="7"/>
        <w:ind w:left="163" w:firstLine="9"/>
        <w:jc w:val="both"/>
        <w:rPr>
          <w:rFonts w:ascii="Arial"/>
        </w:rPr>
      </w:pPr>
      <w:r>
        <w:rPr>
          <w:rFonts w:ascii="Arial"/>
          <w:i/>
          <w:color w:val="3B383A"/>
          <w:spacing w:val="-1"/>
          <w:w w:val="110"/>
          <w:sz w:val="21"/>
        </w:rPr>
        <w:t>/.E.B. </w:t>
      </w:r>
      <w:r>
        <w:rPr>
          <w:color w:val="3B383A"/>
          <w:w w:val="110"/>
        </w:rPr>
        <w:t>The good example, on the other hand, tells the reader the issue,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legally significant facts, and the disposition of the issue. The writer can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add</w:t>
      </w:r>
      <w:r>
        <w:rPr>
          <w:color w:val="3B383A"/>
          <w:spacing w:val="-14"/>
          <w:w w:val="110"/>
        </w:rPr>
        <w:t> </w:t>
      </w:r>
      <w:r>
        <w:rPr>
          <w:color w:val="3B383A"/>
          <w:w w:val="110"/>
        </w:rPr>
        <w:t>any</w:t>
      </w:r>
      <w:r>
        <w:rPr>
          <w:color w:val="3B383A"/>
          <w:spacing w:val="22"/>
          <w:w w:val="110"/>
        </w:rPr>
        <w:t> </w:t>
      </w:r>
      <w:r>
        <w:rPr>
          <w:color w:val="3B383A"/>
          <w:w w:val="110"/>
        </w:rPr>
        <w:t>needed</w:t>
      </w:r>
      <w:r>
        <w:rPr>
          <w:color w:val="3B383A"/>
          <w:spacing w:val="19"/>
          <w:w w:val="110"/>
        </w:rPr>
        <w:t> </w:t>
      </w:r>
      <w:r>
        <w:rPr>
          <w:color w:val="3B383A"/>
          <w:w w:val="110"/>
        </w:rPr>
        <w:t>reasoning</w:t>
      </w:r>
      <w:r>
        <w:rPr>
          <w:color w:val="3B383A"/>
          <w:spacing w:val="-2"/>
          <w:w w:val="110"/>
        </w:rPr>
        <w:t> </w:t>
      </w:r>
      <w:r>
        <w:rPr>
          <w:color w:val="3B383A"/>
          <w:w w:val="110"/>
        </w:rPr>
        <w:t>in</w:t>
      </w:r>
      <w:r>
        <w:rPr>
          <w:color w:val="3B383A"/>
          <w:spacing w:val="3"/>
          <w:w w:val="110"/>
        </w:rPr>
        <w:t> </w:t>
      </w:r>
      <w:r>
        <w:rPr>
          <w:color w:val="3B383A"/>
          <w:w w:val="110"/>
        </w:rPr>
        <w:t>a</w:t>
      </w:r>
      <w:r>
        <w:rPr>
          <w:color w:val="3B383A"/>
          <w:spacing w:val="2"/>
          <w:w w:val="110"/>
        </w:rPr>
        <w:t> </w:t>
      </w:r>
      <w:r>
        <w:rPr>
          <w:color w:val="3B383A"/>
          <w:w w:val="110"/>
        </w:rPr>
        <w:t>second</w:t>
      </w:r>
      <w:r>
        <w:rPr>
          <w:color w:val="3B383A"/>
          <w:spacing w:val="-6"/>
          <w:w w:val="110"/>
        </w:rPr>
        <w:t> </w:t>
      </w:r>
      <w:r>
        <w:rPr>
          <w:color w:val="3B383A"/>
          <w:w w:val="110"/>
        </w:rPr>
        <w:t>sentence.</w:t>
      </w:r>
      <w:r>
        <w:rPr>
          <w:rFonts w:ascii="Arial"/>
          <w:color w:val="3B383A"/>
          <w:w w:val="110"/>
          <w:vertAlign w:val="superscript"/>
        </w:rPr>
        <w:t>2</w:t>
      </w:r>
    </w:p>
    <w:p>
      <w:pPr>
        <w:spacing w:line="240" w:lineRule="auto" w:before="0"/>
        <w:rPr>
          <w:rFonts w:ascii="Arial"/>
          <w:sz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pStyle w:val="BodyText"/>
        <w:spacing w:before="11"/>
        <w:rPr>
          <w:rFonts w:ascii="Arial"/>
          <w:sz w:val="18"/>
        </w:rPr>
      </w:pPr>
    </w:p>
    <w:p>
      <w:pPr>
        <w:pStyle w:val="ListParagraph"/>
        <w:numPr>
          <w:ilvl w:val="0"/>
          <w:numId w:val="53"/>
        </w:numPr>
        <w:tabs>
          <w:tab w:pos="172" w:val="left" w:leader="none"/>
        </w:tabs>
        <w:spacing w:line="240" w:lineRule="auto" w:before="0" w:after="0"/>
        <w:ind w:left="171" w:right="0" w:hanging="191"/>
        <w:jc w:val="left"/>
        <w:rPr>
          <w:b/>
          <w:color w:val="4F4F50"/>
          <w:sz w:val="16"/>
        </w:rPr>
      </w:pPr>
      <w:r>
        <w:rPr>
          <w:color w:val="3B383A"/>
          <w:sz w:val="16"/>
        </w:rPr>
        <w:t>Issue</w:t>
      </w:r>
    </w:p>
    <w:p>
      <w:pPr>
        <w:pStyle w:val="ListParagraph"/>
        <w:numPr>
          <w:ilvl w:val="0"/>
          <w:numId w:val="53"/>
        </w:numPr>
        <w:tabs>
          <w:tab w:pos="166" w:val="left" w:leader="none"/>
        </w:tabs>
        <w:spacing w:line="240" w:lineRule="auto" w:before="46" w:after="0"/>
        <w:ind w:left="165" w:right="0" w:hanging="178"/>
        <w:jc w:val="left"/>
        <w:rPr>
          <w:rFonts w:ascii="Arial"/>
          <w:b/>
          <w:color w:val="3B383A"/>
          <w:sz w:val="15"/>
        </w:rPr>
      </w:pPr>
      <w:r>
        <w:rPr>
          <w:rFonts w:ascii="Arial"/>
          <w:color w:val="3B383A"/>
          <w:w w:val="110"/>
          <w:sz w:val="13"/>
        </w:rPr>
        <w:t>Disposition</w:t>
      </w:r>
    </w:p>
    <w:p>
      <w:pPr>
        <w:pStyle w:val="ListParagraph"/>
        <w:numPr>
          <w:ilvl w:val="0"/>
          <w:numId w:val="53"/>
        </w:numPr>
        <w:tabs>
          <w:tab w:pos="183" w:val="left" w:leader="none"/>
        </w:tabs>
        <w:spacing w:line="240" w:lineRule="auto" w:before="32" w:after="0"/>
        <w:ind w:left="182" w:right="0" w:hanging="187"/>
        <w:jc w:val="left"/>
        <w:rPr>
          <w:rFonts w:ascii="Arial"/>
          <w:b/>
          <w:color w:val="3B383A"/>
          <w:sz w:val="15"/>
        </w:rPr>
      </w:pPr>
      <w:r>
        <w:rPr>
          <w:color w:val="3B383A"/>
          <w:w w:val="95"/>
          <w:sz w:val="18"/>
        </w:rPr>
        <w:t>Facu</w:t>
      </w:r>
    </w:p>
    <w:p>
      <w:pPr>
        <w:spacing w:after="0" w:line="240" w:lineRule="auto"/>
        <w:jc w:val="left"/>
        <w:rPr>
          <w:rFonts w:ascii="Arial"/>
          <w:sz w:val="15"/>
        </w:rPr>
        <w:sectPr>
          <w:type w:val="continuous"/>
          <w:pgSz w:w="9530" w:h="13720"/>
          <w:pgMar w:header="357" w:footer="0" w:top="340" w:bottom="280" w:left="340" w:right="440"/>
          <w:cols w:num="2" w:equalWidth="0">
            <w:col w:w="7730" w:space="40"/>
            <w:col w:w="980"/>
          </w:cols>
        </w:sectPr>
      </w:pP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52"/>
        </w:numPr>
        <w:tabs>
          <w:tab w:pos="884" w:val="left" w:leader="none"/>
        </w:tabs>
        <w:spacing w:line="240" w:lineRule="auto" w:before="92" w:after="0"/>
        <w:ind w:left="883" w:right="0" w:hanging="374"/>
        <w:jc w:val="both"/>
        <w:rPr>
          <w:b/>
          <w:color w:val="3B383A"/>
          <w:sz w:val="21"/>
        </w:rPr>
      </w:pPr>
      <w:r>
        <w:rPr>
          <w:b/>
          <w:color w:val="3B383A"/>
          <w:w w:val="115"/>
          <w:sz w:val="21"/>
        </w:rPr>
        <w:t>Verb</w:t>
      </w:r>
      <w:r>
        <w:rPr>
          <w:b/>
          <w:color w:val="3B383A"/>
          <w:spacing w:val="-17"/>
          <w:w w:val="115"/>
          <w:sz w:val="21"/>
        </w:rPr>
        <w:t> </w:t>
      </w:r>
      <w:r>
        <w:rPr>
          <w:b/>
          <w:color w:val="626466"/>
          <w:w w:val="115"/>
          <w:sz w:val="21"/>
        </w:rPr>
        <w:t>T</w:t>
      </w:r>
      <w:r>
        <w:rPr>
          <w:b/>
          <w:color w:val="3B383A"/>
          <w:w w:val="115"/>
          <w:sz w:val="21"/>
        </w:rPr>
        <w:t>ense</w:t>
      </w:r>
      <w:r>
        <w:rPr>
          <w:b/>
          <w:color w:val="3B383A"/>
          <w:spacing w:val="43"/>
          <w:w w:val="115"/>
          <w:sz w:val="21"/>
        </w:rPr>
        <w:t> </w:t>
      </w:r>
      <w:r>
        <w:rPr>
          <w:b/>
          <w:color w:val="3B383A"/>
          <w:w w:val="115"/>
          <w:sz w:val="21"/>
        </w:rPr>
        <w:t>in</w:t>
      </w:r>
      <w:r>
        <w:rPr>
          <w:b/>
          <w:color w:val="3B383A"/>
          <w:spacing w:val="40"/>
          <w:w w:val="115"/>
          <w:sz w:val="21"/>
        </w:rPr>
        <w:t> </w:t>
      </w:r>
      <w:r>
        <w:rPr>
          <w:b/>
          <w:color w:val="4F4F50"/>
          <w:w w:val="115"/>
          <w:sz w:val="21"/>
        </w:rPr>
        <w:t>Case</w:t>
      </w:r>
      <w:r>
        <w:rPr>
          <w:b/>
          <w:color w:val="4F4F50"/>
          <w:spacing w:val="19"/>
          <w:w w:val="115"/>
          <w:sz w:val="21"/>
        </w:rPr>
        <w:t> </w:t>
      </w:r>
      <w:r>
        <w:rPr>
          <w:b/>
          <w:color w:val="4F4F50"/>
          <w:w w:val="115"/>
          <w:sz w:val="21"/>
        </w:rPr>
        <w:t>Descriptions</w:t>
      </w:r>
    </w:p>
    <w:p>
      <w:pPr>
        <w:pStyle w:val="BodyText"/>
        <w:spacing w:line="235" w:lineRule="auto" w:before="24"/>
        <w:ind w:left="163" w:right="993" w:firstLine="351"/>
        <w:jc w:val="both"/>
        <w:rPr>
          <w:rFonts w:ascii="Arial"/>
          <w:sz w:val="12"/>
        </w:rPr>
      </w:pPr>
      <w:r>
        <w:rPr>
          <w:color w:val="3B383A"/>
          <w:spacing w:val="-1"/>
          <w:w w:val="120"/>
        </w:rPr>
        <w:t>Many writers get </w:t>
      </w:r>
      <w:r>
        <w:rPr>
          <w:color w:val="3B383A"/>
          <w:w w:val="120"/>
        </w:rPr>
        <w:t>confused as to the appropriate verb tense when</w:t>
      </w:r>
      <w:r>
        <w:rPr>
          <w:color w:val="3B383A"/>
          <w:spacing w:val="1"/>
          <w:w w:val="120"/>
        </w:rPr>
        <w:t> </w:t>
      </w:r>
      <w:r>
        <w:rPr>
          <w:color w:val="3B383A"/>
          <w:w w:val="110"/>
        </w:rPr>
        <w:t>describing cases. This confusion results when courts mix legal rules that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20"/>
        </w:rPr>
        <w:t>are currently in force-properly stated in the present tense-with case</w:t>
      </w:r>
      <w:r>
        <w:rPr>
          <w:color w:val="3B383A"/>
          <w:spacing w:val="1"/>
          <w:w w:val="120"/>
        </w:rPr>
        <w:t> </w:t>
      </w:r>
      <w:r>
        <w:rPr>
          <w:color w:val="3B383A"/>
          <w:w w:val="115"/>
        </w:rPr>
        <w:t>facts, findings, and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holdings-properly stated in some form of the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past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20"/>
        </w:rPr>
        <w:t>tense.</w:t>
      </w:r>
      <w:r>
        <w:rPr>
          <w:rFonts w:ascii="Arial"/>
          <w:color w:val="3B383A"/>
          <w:w w:val="120"/>
          <w:position w:val="9"/>
          <w:sz w:val="12"/>
        </w:rPr>
        <w:t>3</w:t>
      </w:r>
    </w:p>
    <w:p>
      <w:pPr>
        <w:pStyle w:val="BodyText"/>
        <w:spacing w:line="232" w:lineRule="auto"/>
        <w:ind w:left="163" w:right="976" w:firstLine="361"/>
        <w:jc w:val="both"/>
      </w:pPr>
      <w:r>
        <w:rPr>
          <w:color w:val="3B383A"/>
          <w:w w:val="115"/>
        </w:rPr>
        <w:t>Within a case description, use an appropriate form of past tense to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0"/>
        </w:rPr>
        <w:t>describe events that happened before the case began as well as events that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5"/>
        </w:rPr>
        <w:t>happened in the case</w:t>
      </w:r>
      <w:r>
        <w:rPr>
          <w:color w:val="626466"/>
          <w:w w:val="115"/>
        </w:rPr>
        <w:t>. </w:t>
      </w:r>
      <w:r>
        <w:rPr>
          <w:color w:val="3B383A"/>
          <w:w w:val="115"/>
        </w:rPr>
        <w:t>The court's holdings as to specific parties should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0"/>
        </w:rPr>
        <w:t>also</w:t>
      </w:r>
      <w:r>
        <w:rPr>
          <w:color w:val="3B383A"/>
          <w:spacing w:val="-17"/>
          <w:w w:val="110"/>
        </w:rPr>
        <w:t> </w:t>
      </w:r>
      <w:r>
        <w:rPr>
          <w:color w:val="3B383A"/>
          <w:w w:val="110"/>
        </w:rPr>
        <w:t>be</w:t>
      </w:r>
      <w:r>
        <w:rPr>
          <w:color w:val="3B383A"/>
          <w:spacing w:val="-26"/>
          <w:w w:val="110"/>
        </w:rPr>
        <w:t> </w:t>
      </w:r>
      <w:r>
        <w:rPr>
          <w:color w:val="3B383A"/>
          <w:w w:val="110"/>
        </w:rPr>
        <w:t>described</w:t>
      </w:r>
      <w:r>
        <w:rPr>
          <w:color w:val="3B383A"/>
          <w:spacing w:val="21"/>
          <w:w w:val="110"/>
        </w:rPr>
        <w:t> </w:t>
      </w:r>
      <w:r>
        <w:rPr>
          <w:color w:val="3B383A"/>
          <w:w w:val="110"/>
        </w:rPr>
        <w:t>using</w:t>
      </w:r>
      <w:r>
        <w:rPr>
          <w:color w:val="3B383A"/>
          <w:spacing w:val="-5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36"/>
          <w:w w:val="110"/>
        </w:rPr>
        <w:t> </w:t>
      </w:r>
      <w:r>
        <w:rPr>
          <w:color w:val="3B383A"/>
          <w:w w:val="110"/>
        </w:rPr>
        <w:t>past</w:t>
      </w:r>
      <w:r>
        <w:rPr>
          <w:color w:val="3B383A"/>
          <w:spacing w:val="9"/>
          <w:w w:val="110"/>
        </w:rPr>
        <w:t> </w:t>
      </w:r>
      <w:r>
        <w:rPr>
          <w:color w:val="3B383A"/>
          <w:w w:val="110"/>
        </w:rPr>
        <w:t>tense:</w:t>
      </w:r>
    </w:p>
    <w:p>
      <w:pPr>
        <w:pStyle w:val="BodyText"/>
        <w:spacing w:before="2"/>
        <w:rPr>
          <w:sz w:val="10"/>
        </w:rPr>
      </w:pPr>
    </w:p>
    <w:p>
      <w:pPr>
        <w:spacing w:before="96"/>
        <w:ind w:left="134" w:right="0" w:firstLine="0"/>
        <w:jc w:val="left"/>
        <w:rPr>
          <w:rFonts w:ascii="Arial"/>
          <w:sz w:val="14"/>
        </w:rPr>
      </w:pPr>
      <w:r>
        <w:rPr>
          <w:rFonts w:ascii="Arial"/>
          <w:color w:val="3B383A"/>
          <w:w w:val="110"/>
          <w:sz w:val="14"/>
          <w:u w:val="thick" w:color="3B383A"/>
        </w:rPr>
        <w:t>_/\  </w:t>
      </w:r>
      <w:r>
        <w:rPr>
          <w:rFonts w:ascii="Arial"/>
          <w:color w:val="3B383A"/>
          <w:w w:val="110"/>
          <w:sz w:val="14"/>
        </w:rPr>
        <w:t> </w:t>
      </w:r>
      <w:r>
        <w:rPr>
          <w:rFonts w:ascii="Arial"/>
          <w:color w:val="3B383A"/>
          <w:spacing w:val="31"/>
          <w:w w:val="110"/>
          <w:sz w:val="14"/>
        </w:rPr>
        <w:t> </w:t>
      </w:r>
      <w:r>
        <w:rPr>
          <w:rFonts w:ascii="Arial"/>
          <w:color w:val="3B383A"/>
          <w:w w:val="105"/>
          <w:sz w:val="14"/>
          <w:u w:val="thick" w:color="3B383A"/>
        </w:rPr>
        <w:t>GOOD</w:t>
      </w:r>
      <w:r>
        <w:rPr>
          <w:rFonts w:ascii="Arial"/>
          <w:color w:val="3B383A"/>
          <w:spacing w:val="6"/>
          <w:w w:val="105"/>
          <w:sz w:val="14"/>
          <w:u w:val="thick" w:color="3B383A"/>
        </w:rPr>
        <w:t> </w:t>
      </w:r>
      <w:r>
        <w:rPr>
          <w:rFonts w:ascii="Arial"/>
          <w:color w:val="3B383A"/>
          <w:w w:val="105"/>
          <w:sz w:val="14"/>
          <w:u w:val="thick" w:color="3B383A"/>
        </w:rPr>
        <w:t>EXAMPLES</w:t>
      </w:r>
    </w:p>
    <w:p>
      <w:pPr>
        <w:pStyle w:val="BodyText"/>
        <w:spacing w:before="4"/>
        <w:rPr>
          <w:rFonts w:ascii="Arial"/>
          <w:sz w:val="21"/>
        </w:rPr>
      </w:pPr>
    </w:p>
    <w:p>
      <w:pPr>
        <w:spacing w:line="252" w:lineRule="auto" w:before="0"/>
        <w:ind w:left="502" w:right="1246" w:firstLine="0"/>
        <w:jc w:val="left"/>
        <w:rPr>
          <w:sz w:val="20"/>
        </w:rPr>
      </w:pPr>
      <w:r>
        <w:rPr>
          <w:color w:val="3B383A"/>
          <w:w w:val="125"/>
          <w:sz w:val="20"/>
        </w:rPr>
        <w:t>The</w:t>
      </w:r>
      <w:r>
        <w:rPr>
          <w:color w:val="3B383A"/>
          <w:spacing w:val="1"/>
          <w:w w:val="125"/>
          <w:sz w:val="20"/>
        </w:rPr>
        <w:t> </w:t>
      </w:r>
      <w:r>
        <w:rPr>
          <w:color w:val="3B383A"/>
          <w:w w:val="125"/>
          <w:sz w:val="20"/>
        </w:rPr>
        <w:t>plaintiff claimed that the defendant had assaulted him.</w:t>
      </w:r>
      <w:r>
        <w:rPr>
          <w:color w:val="3B383A"/>
          <w:spacing w:val="1"/>
          <w:w w:val="125"/>
          <w:sz w:val="20"/>
        </w:rPr>
        <w:t> </w:t>
      </w:r>
      <w:r>
        <w:rPr>
          <w:color w:val="3B383A"/>
          <w:w w:val="125"/>
          <w:sz w:val="20"/>
        </w:rPr>
        <w:t>Theadvertisement</w:t>
      </w:r>
      <w:r>
        <w:rPr>
          <w:color w:val="3B383A"/>
          <w:spacing w:val="2"/>
          <w:w w:val="125"/>
          <w:sz w:val="20"/>
        </w:rPr>
        <w:t> </w:t>
      </w:r>
      <w:r>
        <w:rPr>
          <w:color w:val="3B383A"/>
          <w:w w:val="125"/>
          <w:sz w:val="20"/>
        </w:rPr>
        <w:t>had</w:t>
      </w:r>
      <w:r>
        <w:rPr>
          <w:color w:val="3B383A"/>
          <w:spacing w:val="17"/>
          <w:w w:val="125"/>
          <w:sz w:val="20"/>
        </w:rPr>
        <w:t> </w:t>
      </w:r>
      <w:r>
        <w:rPr>
          <w:color w:val="3B383A"/>
          <w:w w:val="125"/>
          <w:sz w:val="20"/>
        </w:rPr>
        <w:t>not</w:t>
      </w:r>
      <w:r>
        <w:rPr>
          <w:color w:val="3B383A"/>
          <w:spacing w:val="-8"/>
          <w:w w:val="125"/>
          <w:sz w:val="20"/>
        </w:rPr>
        <w:t> </w:t>
      </w:r>
      <w:r>
        <w:rPr>
          <w:color w:val="3B383A"/>
          <w:w w:val="125"/>
          <w:sz w:val="20"/>
        </w:rPr>
        <w:t>specified</w:t>
      </w:r>
      <w:r>
        <w:rPr>
          <w:color w:val="3B383A"/>
          <w:spacing w:val="7"/>
          <w:w w:val="125"/>
          <w:sz w:val="20"/>
        </w:rPr>
        <w:t> </w:t>
      </w:r>
      <w:r>
        <w:rPr>
          <w:color w:val="3B383A"/>
          <w:w w:val="125"/>
          <w:sz w:val="20"/>
        </w:rPr>
        <w:t>the</w:t>
      </w:r>
      <w:r>
        <w:rPr>
          <w:color w:val="3B383A"/>
          <w:spacing w:val="17"/>
          <w:w w:val="125"/>
          <w:sz w:val="20"/>
        </w:rPr>
        <w:t> </w:t>
      </w:r>
      <w:r>
        <w:rPr>
          <w:color w:val="3B383A"/>
          <w:w w:val="125"/>
          <w:sz w:val="20"/>
        </w:rPr>
        <w:t>need</w:t>
      </w:r>
      <w:r>
        <w:rPr>
          <w:color w:val="3B383A"/>
          <w:spacing w:val="-2"/>
          <w:w w:val="125"/>
          <w:sz w:val="20"/>
        </w:rPr>
        <w:t> </w:t>
      </w:r>
      <w:r>
        <w:rPr>
          <w:color w:val="3B383A"/>
          <w:w w:val="125"/>
          <w:sz w:val="20"/>
        </w:rPr>
        <w:t>for</w:t>
      </w:r>
      <w:r>
        <w:rPr>
          <w:color w:val="3B383A"/>
          <w:spacing w:val="-16"/>
          <w:w w:val="125"/>
          <w:sz w:val="20"/>
        </w:rPr>
        <w:t> </w:t>
      </w:r>
      <w:r>
        <w:rPr>
          <w:color w:val="3B383A"/>
          <w:w w:val="125"/>
          <w:sz w:val="20"/>
        </w:rPr>
        <w:t>a</w:t>
      </w:r>
      <w:r>
        <w:rPr>
          <w:color w:val="3B383A"/>
          <w:spacing w:val="1"/>
          <w:w w:val="125"/>
          <w:sz w:val="20"/>
        </w:rPr>
        <w:t> </w:t>
      </w:r>
      <w:r>
        <w:rPr>
          <w:color w:val="3B383A"/>
          <w:w w:val="125"/>
          <w:sz w:val="20"/>
        </w:rPr>
        <w:t>college</w:t>
      </w:r>
      <w:r>
        <w:rPr>
          <w:color w:val="3B383A"/>
          <w:spacing w:val="-17"/>
          <w:w w:val="125"/>
          <w:sz w:val="20"/>
        </w:rPr>
        <w:t> </w:t>
      </w:r>
      <w:r>
        <w:rPr>
          <w:color w:val="3B383A"/>
          <w:w w:val="125"/>
          <w:sz w:val="20"/>
        </w:rPr>
        <w:t>education.</w:t>
      </w:r>
    </w:p>
    <w:p>
      <w:pPr>
        <w:spacing w:line="252" w:lineRule="auto" w:before="0"/>
        <w:ind w:left="718" w:right="1246" w:hanging="195"/>
        <w:jc w:val="left"/>
        <w:rPr>
          <w:sz w:val="20"/>
        </w:rPr>
      </w:pPr>
      <w:r>
        <w:rPr>
          <w:color w:val="3B383A"/>
          <w:w w:val="125"/>
          <w:sz w:val="20"/>
        </w:rPr>
        <w:t>Defendant had</w:t>
      </w:r>
      <w:r>
        <w:rPr>
          <w:color w:val="3B383A"/>
          <w:spacing w:val="1"/>
          <w:w w:val="125"/>
          <w:sz w:val="20"/>
        </w:rPr>
        <w:t> </w:t>
      </w:r>
      <w:r>
        <w:rPr>
          <w:color w:val="3B383A"/>
          <w:w w:val="125"/>
          <w:sz w:val="20"/>
        </w:rPr>
        <w:t>sought outside counsel</w:t>
      </w:r>
      <w:r>
        <w:rPr>
          <w:color w:val="3B383A"/>
          <w:spacing w:val="1"/>
          <w:w w:val="125"/>
          <w:sz w:val="20"/>
        </w:rPr>
        <w:t> </w:t>
      </w:r>
      <w:r>
        <w:rPr>
          <w:color w:val="3B383A"/>
          <w:w w:val="125"/>
          <w:sz w:val="20"/>
        </w:rPr>
        <w:t>before deciding to</w:t>
      </w:r>
      <w:r>
        <w:rPr>
          <w:color w:val="3B383A"/>
          <w:spacing w:val="1"/>
          <w:w w:val="125"/>
          <w:sz w:val="20"/>
        </w:rPr>
        <w:t> </w:t>
      </w:r>
      <w:r>
        <w:rPr>
          <w:color w:val="3B383A"/>
          <w:w w:val="125"/>
          <w:sz w:val="20"/>
        </w:rPr>
        <w:t>terminate</w:t>
      </w:r>
      <w:r>
        <w:rPr>
          <w:color w:val="3B383A"/>
          <w:spacing w:val="-60"/>
          <w:w w:val="125"/>
          <w:sz w:val="20"/>
        </w:rPr>
        <w:t> </w:t>
      </w:r>
      <w:r>
        <w:rPr>
          <w:color w:val="3B383A"/>
          <w:w w:val="125"/>
          <w:sz w:val="20"/>
        </w:rPr>
        <w:t>the</w:t>
      </w:r>
      <w:r>
        <w:rPr>
          <w:color w:val="3B383A"/>
          <w:spacing w:val="-3"/>
          <w:w w:val="125"/>
          <w:sz w:val="20"/>
        </w:rPr>
        <w:t> </w:t>
      </w:r>
      <w:r>
        <w:rPr>
          <w:color w:val="3B383A"/>
          <w:w w:val="125"/>
          <w:sz w:val="20"/>
        </w:rPr>
        <w:t>plaintiff.</w:t>
      </w:r>
    </w:p>
    <w:p>
      <w:pPr>
        <w:spacing w:line="209" w:lineRule="exact" w:before="0"/>
        <w:ind w:left="502" w:right="0" w:firstLine="0"/>
        <w:jc w:val="left"/>
        <w:rPr>
          <w:sz w:val="20"/>
        </w:rPr>
      </w:pPr>
      <w:r>
        <w:rPr>
          <w:color w:val="3B383A"/>
          <w:w w:val="120"/>
          <w:sz w:val="20"/>
        </w:rPr>
        <w:t>The</w:t>
      </w:r>
      <w:r>
        <w:rPr>
          <w:color w:val="3B383A"/>
          <w:spacing w:val="-15"/>
          <w:w w:val="120"/>
          <w:sz w:val="20"/>
        </w:rPr>
        <w:t> </w:t>
      </w:r>
      <w:r>
        <w:rPr>
          <w:color w:val="3B383A"/>
          <w:w w:val="120"/>
          <w:sz w:val="20"/>
        </w:rPr>
        <w:t>plaintiff</w:t>
      </w:r>
      <w:r>
        <w:rPr>
          <w:color w:val="3B383A"/>
          <w:spacing w:val="20"/>
          <w:w w:val="120"/>
          <w:sz w:val="20"/>
        </w:rPr>
        <w:t> </w:t>
      </w:r>
      <w:r>
        <w:rPr>
          <w:color w:val="3B383A"/>
          <w:w w:val="120"/>
          <w:sz w:val="20"/>
        </w:rPr>
        <w:t>alleged</w:t>
      </w:r>
      <w:r>
        <w:rPr>
          <w:color w:val="3B383A"/>
          <w:spacing w:val="13"/>
          <w:w w:val="120"/>
          <w:sz w:val="20"/>
        </w:rPr>
        <w:t> </w:t>
      </w:r>
      <w:r>
        <w:rPr>
          <w:color w:val="3B383A"/>
          <w:w w:val="120"/>
          <w:sz w:val="20"/>
        </w:rPr>
        <w:t>.. </w:t>
      </w:r>
      <w:r>
        <w:rPr>
          <w:color w:val="3B383A"/>
          <w:spacing w:val="19"/>
          <w:w w:val="120"/>
          <w:sz w:val="20"/>
        </w:rPr>
        <w:t> </w:t>
      </w:r>
      <w:r>
        <w:rPr>
          <w:color w:val="3B383A"/>
          <w:w w:val="120"/>
          <w:sz w:val="20"/>
        </w:rPr>
        <w:t>.</w:t>
      </w:r>
    </w:p>
    <w:p>
      <w:pPr>
        <w:spacing w:before="0"/>
        <w:ind w:left="502" w:right="0" w:firstLine="0"/>
        <w:jc w:val="left"/>
        <w:rPr>
          <w:sz w:val="20"/>
        </w:rPr>
      </w:pPr>
      <w:r>
        <w:rPr>
          <w:color w:val="3B383A"/>
          <w:w w:val="125"/>
          <w:sz w:val="20"/>
        </w:rPr>
        <w:t>The</w:t>
      </w:r>
      <w:r>
        <w:rPr>
          <w:color w:val="3B383A"/>
          <w:spacing w:val="-23"/>
          <w:w w:val="125"/>
          <w:sz w:val="20"/>
        </w:rPr>
        <w:t> </w:t>
      </w:r>
      <w:r>
        <w:rPr>
          <w:color w:val="3B383A"/>
          <w:w w:val="125"/>
          <w:sz w:val="20"/>
        </w:rPr>
        <w:t>defendant</w:t>
      </w:r>
      <w:r>
        <w:rPr>
          <w:color w:val="3B383A"/>
          <w:spacing w:val="4"/>
          <w:w w:val="125"/>
          <w:sz w:val="20"/>
        </w:rPr>
        <w:t> </w:t>
      </w:r>
      <w:r>
        <w:rPr>
          <w:color w:val="3B383A"/>
          <w:w w:val="125"/>
          <w:sz w:val="20"/>
        </w:rPr>
        <w:t>argued</w:t>
      </w:r>
      <w:r>
        <w:rPr>
          <w:color w:val="3B383A"/>
          <w:spacing w:val="2"/>
          <w:w w:val="125"/>
          <w:sz w:val="20"/>
        </w:rPr>
        <w:t> </w:t>
      </w:r>
      <w:r>
        <w:rPr>
          <w:color w:val="3B383A"/>
          <w:w w:val="125"/>
          <w:sz w:val="20"/>
        </w:rPr>
        <w:t>..</w:t>
      </w:r>
      <w:r>
        <w:rPr>
          <w:color w:val="3B383A"/>
          <w:spacing w:val="57"/>
          <w:w w:val="125"/>
          <w:sz w:val="20"/>
        </w:rPr>
        <w:t> </w:t>
      </w:r>
      <w:r>
        <w:rPr>
          <w:color w:val="3B383A"/>
          <w:w w:val="125"/>
          <w:sz w:val="20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4"/>
        </w:rPr>
      </w:pPr>
    </w:p>
    <w:p>
      <w:pPr>
        <w:spacing w:line="200" w:lineRule="exact" w:before="0"/>
        <w:ind w:left="515" w:right="0" w:firstLine="0"/>
        <w:jc w:val="left"/>
        <w:rPr>
          <w:sz w:val="18"/>
        </w:rPr>
      </w:pPr>
      <w:r>
        <w:rPr>
          <w:rFonts w:ascii="Arial"/>
          <w:color w:val="3B383A"/>
          <w:spacing w:val="-1"/>
          <w:w w:val="110"/>
          <w:position w:val="6"/>
          <w:sz w:val="11"/>
        </w:rPr>
        <w:t>2</w:t>
      </w:r>
      <w:r>
        <w:rPr>
          <w:color w:val="3B383A"/>
          <w:spacing w:val="-1"/>
          <w:w w:val="110"/>
          <w:sz w:val="18"/>
        </w:rPr>
        <w:t>For</w:t>
      </w:r>
      <w:r>
        <w:rPr>
          <w:color w:val="3B383A"/>
          <w:spacing w:val="-2"/>
          <w:w w:val="110"/>
          <w:sz w:val="18"/>
        </w:rPr>
        <w:t> </w:t>
      </w:r>
      <w:r>
        <w:rPr>
          <w:color w:val="3B383A"/>
          <w:spacing w:val="-1"/>
          <w:w w:val="110"/>
          <w:sz w:val="18"/>
        </w:rPr>
        <w:t>Information</w:t>
      </w:r>
      <w:r>
        <w:rPr>
          <w:color w:val="3B383A"/>
          <w:spacing w:val="6"/>
          <w:w w:val="110"/>
          <w:sz w:val="18"/>
        </w:rPr>
        <w:t> </w:t>
      </w:r>
      <w:r>
        <w:rPr>
          <w:color w:val="3B383A"/>
          <w:spacing w:val="-1"/>
          <w:w w:val="110"/>
          <w:sz w:val="18"/>
        </w:rPr>
        <w:t>on</w:t>
      </w:r>
      <w:r>
        <w:rPr>
          <w:color w:val="3B383A"/>
          <w:spacing w:val="17"/>
          <w:w w:val="110"/>
          <w:sz w:val="18"/>
        </w:rPr>
        <w:t> </w:t>
      </w:r>
      <w:r>
        <w:rPr>
          <w:color w:val="3B383A"/>
          <w:spacing w:val="-1"/>
          <w:w w:val="110"/>
          <w:sz w:val="18"/>
        </w:rPr>
        <w:t>avoiding</w:t>
      </w:r>
      <w:r>
        <w:rPr>
          <w:color w:val="3B383A"/>
          <w:spacing w:val="-9"/>
          <w:w w:val="110"/>
          <w:sz w:val="18"/>
        </w:rPr>
        <w:t> </w:t>
      </w:r>
      <w:r>
        <w:rPr>
          <w:color w:val="4F4F50"/>
          <w:w w:val="110"/>
          <w:sz w:val="18"/>
        </w:rPr>
        <w:t>wordiness</w:t>
      </w:r>
      <w:r>
        <w:rPr>
          <w:color w:val="4F4F50"/>
          <w:spacing w:val="-1"/>
          <w:w w:val="110"/>
          <w:sz w:val="18"/>
        </w:rPr>
        <w:t> </w:t>
      </w:r>
      <w:r>
        <w:rPr>
          <w:color w:val="3B383A"/>
          <w:w w:val="110"/>
          <w:sz w:val="18"/>
        </w:rPr>
        <w:t>generally,</w:t>
      </w:r>
      <w:r>
        <w:rPr>
          <w:color w:val="3B383A"/>
          <w:spacing w:val="-13"/>
          <w:w w:val="110"/>
          <w:sz w:val="18"/>
        </w:rPr>
        <w:t> </w:t>
      </w:r>
      <w:r>
        <w:rPr>
          <w:color w:val="3B383A"/>
          <w:w w:val="110"/>
          <w:sz w:val="18"/>
        </w:rPr>
        <w:t>see</w:t>
      </w:r>
      <w:r>
        <w:rPr>
          <w:color w:val="3B383A"/>
          <w:spacing w:val="4"/>
          <w:w w:val="110"/>
          <w:sz w:val="18"/>
        </w:rPr>
        <w:t> </w:t>
      </w:r>
      <w:r>
        <w:rPr>
          <w:color w:val="3B383A"/>
          <w:w w:val="110"/>
          <w:sz w:val="18"/>
        </w:rPr>
        <w:t>Anne</w:t>
      </w:r>
      <w:r>
        <w:rPr>
          <w:color w:val="3B383A"/>
          <w:spacing w:val="3"/>
          <w:w w:val="110"/>
          <w:sz w:val="18"/>
        </w:rPr>
        <w:t> </w:t>
      </w:r>
      <w:r>
        <w:rPr>
          <w:color w:val="3B383A"/>
          <w:w w:val="110"/>
          <w:sz w:val="18"/>
        </w:rPr>
        <w:t>Enquist</w:t>
      </w:r>
      <w:r>
        <w:rPr>
          <w:color w:val="3B383A"/>
          <w:spacing w:val="9"/>
          <w:w w:val="110"/>
          <w:sz w:val="18"/>
        </w:rPr>
        <w:t> </w:t>
      </w:r>
      <w:r>
        <w:rPr>
          <w:color w:val="3B383A"/>
          <w:w w:val="110"/>
          <w:sz w:val="16"/>
        </w:rPr>
        <w:t>&amp;</w:t>
      </w:r>
      <w:r>
        <w:rPr>
          <w:color w:val="3B383A"/>
          <w:spacing w:val="13"/>
          <w:w w:val="110"/>
          <w:sz w:val="16"/>
        </w:rPr>
        <w:t> </w:t>
      </w:r>
      <w:r>
        <w:rPr>
          <w:color w:val="3B383A"/>
          <w:w w:val="110"/>
          <w:sz w:val="18"/>
        </w:rPr>
        <w:t>Laurel</w:t>
      </w:r>
      <w:r>
        <w:rPr>
          <w:color w:val="3B383A"/>
          <w:spacing w:val="-6"/>
          <w:w w:val="110"/>
          <w:sz w:val="18"/>
        </w:rPr>
        <w:t> </w:t>
      </w:r>
      <w:r>
        <w:rPr>
          <w:color w:val="4F4F50"/>
          <w:w w:val="110"/>
          <w:sz w:val="18"/>
        </w:rPr>
        <w:t>Currie</w:t>
      </w:r>
      <w:r>
        <w:rPr>
          <w:color w:val="4F4F50"/>
          <w:spacing w:val="-9"/>
          <w:w w:val="110"/>
          <w:sz w:val="18"/>
        </w:rPr>
        <w:t> </w:t>
      </w:r>
      <w:r>
        <w:rPr>
          <w:color w:val="3B383A"/>
          <w:w w:val="110"/>
          <w:sz w:val="18"/>
        </w:rPr>
        <w:t>Oates</w:t>
      </w:r>
    </w:p>
    <w:p>
      <w:pPr>
        <w:tabs>
          <w:tab w:pos="7728" w:val="left" w:leader="none"/>
        </w:tabs>
        <w:spacing w:line="197" w:lineRule="exact" w:before="0"/>
        <w:ind w:left="165" w:right="0" w:firstLine="0"/>
        <w:jc w:val="left"/>
        <w:rPr>
          <w:sz w:val="17"/>
        </w:rPr>
      </w:pPr>
      <w:r>
        <w:rPr>
          <w:rFonts w:ascii="Arial" w:hAnsi="Arial"/>
          <w:i/>
          <w:color w:val="3B383A"/>
          <w:spacing w:val="-1"/>
          <w:sz w:val="16"/>
        </w:rPr>
        <w:t>Just</w:t>
      </w:r>
      <w:r>
        <w:rPr>
          <w:rFonts w:ascii="Arial" w:hAnsi="Arial"/>
          <w:i/>
          <w:color w:val="3B383A"/>
          <w:spacing w:val="-13"/>
          <w:sz w:val="16"/>
        </w:rPr>
        <w:t> </w:t>
      </w:r>
      <w:r>
        <w:rPr>
          <w:rFonts w:ascii="Arial" w:hAnsi="Arial"/>
          <w:i/>
          <w:color w:val="3B383A"/>
          <w:spacing w:val="-1"/>
          <w:sz w:val="16"/>
        </w:rPr>
        <w:t>Writing:</w:t>
      </w:r>
      <w:r>
        <w:rPr>
          <w:rFonts w:ascii="Arial" w:hAnsi="Arial"/>
          <w:i/>
          <w:color w:val="3B383A"/>
          <w:spacing w:val="-6"/>
          <w:sz w:val="16"/>
        </w:rPr>
        <w:t> </w:t>
      </w:r>
      <w:r>
        <w:rPr>
          <w:rFonts w:ascii="Arial" w:hAnsi="Arial"/>
          <w:i/>
          <w:color w:val="4F4F50"/>
          <w:spacing w:val="-1"/>
          <w:w w:val="95"/>
          <w:sz w:val="16"/>
        </w:rPr>
        <w:t>Gr1111111111r,</w:t>
      </w:r>
      <w:r>
        <w:rPr>
          <w:rFonts w:ascii="Arial" w:hAnsi="Arial"/>
          <w:i/>
          <w:color w:val="4F4F50"/>
          <w:spacing w:val="-14"/>
          <w:w w:val="95"/>
          <w:sz w:val="16"/>
        </w:rPr>
        <w:t> </w:t>
      </w:r>
      <w:r>
        <w:rPr>
          <w:color w:val="3B383A"/>
          <w:spacing w:val="-1"/>
          <w:sz w:val="14"/>
        </w:rPr>
        <w:t>1'1111c/1111/io11,</w:t>
      </w:r>
      <w:r>
        <w:rPr>
          <w:color w:val="3B383A"/>
          <w:spacing w:val="-13"/>
          <w:sz w:val="14"/>
        </w:rPr>
        <w:t> </w:t>
      </w:r>
      <w:r>
        <w:rPr>
          <w:rFonts w:ascii="Arial" w:hAnsi="Arial"/>
          <w:i/>
          <w:color w:val="3B383A"/>
          <w:spacing w:val="-1"/>
          <w:sz w:val="15"/>
        </w:rPr>
        <w:t>wrcl</w:t>
      </w:r>
      <w:r>
        <w:rPr>
          <w:rFonts w:ascii="Arial" w:hAnsi="Arial"/>
          <w:i/>
          <w:color w:val="3B383A"/>
          <w:spacing w:val="-24"/>
          <w:sz w:val="15"/>
        </w:rPr>
        <w:t> </w:t>
      </w:r>
      <w:r>
        <w:rPr>
          <w:rFonts w:ascii="Arial" w:hAnsi="Arial"/>
          <w:i/>
          <w:color w:val="4F4F50"/>
          <w:spacing w:val="-1"/>
          <w:sz w:val="16"/>
        </w:rPr>
        <w:t>Style</w:t>
      </w:r>
      <w:r>
        <w:rPr>
          <w:rFonts w:ascii="Arial" w:hAnsi="Arial"/>
          <w:i/>
          <w:color w:val="4F4F50"/>
          <w:spacing w:val="-10"/>
          <w:sz w:val="16"/>
        </w:rPr>
        <w:t> </w:t>
      </w:r>
      <w:r>
        <w:rPr>
          <w:rFonts w:ascii="Arial" w:hAnsi="Arial"/>
          <w:i/>
          <w:color w:val="4F4F50"/>
          <w:sz w:val="16"/>
        </w:rPr>
        <w:t>for</w:t>
      </w:r>
      <w:r>
        <w:rPr>
          <w:rFonts w:ascii="Arial" w:hAnsi="Arial"/>
          <w:i/>
          <w:color w:val="4F4F50"/>
          <w:spacing w:val="18"/>
          <w:sz w:val="16"/>
        </w:rPr>
        <w:t> </w:t>
      </w:r>
      <w:r>
        <w:rPr>
          <w:rFonts w:ascii="Arial" w:hAnsi="Arial"/>
          <w:i/>
          <w:color w:val="3B383A"/>
          <w:sz w:val="16"/>
        </w:rPr>
        <w:t>the</w:t>
      </w:r>
      <w:r>
        <w:rPr>
          <w:rFonts w:ascii="Arial" w:hAnsi="Arial"/>
          <w:i/>
          <w:color w:val="3B383A"/>
          <w:spacing w:val="-14"/>
          <w:sz w:val="16"/>
        </w:rPr>
        <w:t> </w:t>
      </w:r>
      <w:r>
        <w:rPr>
          <w:rFonts w:ascii="Arial" w:hAnsi="Arial"/>
          <w:i/>
          <w:color w:val="3B383A"/>
          <w:sz w:val="16"/>
        </w:rPr>
        <w:t>Le.'{al</w:t>
      </w:r>
      <w:r>
        <w:rPr>
          <w:rFonts w:ascii="Arial" w:hAnsi="Arial"/>
          <w:i/>
          <w:color w:val="3B383A"/>
          <w:spacing w:val="-3"/>
          <w:sz w:val="16"/>
        </w:rPr>
        <w:t> </w:t>
      </w:r>
      <w:r>
        <w:rPr>
          <w:rFonts w:ascii="Arial" w:hAnsi="Arial"/>
          <w:i/>
          <w:color w:val="3B383A"/>
          <w:sz w:val="16"/>
        </w:rPr>
        <w:t>Writer</w:t>
      </w:r>
      <w:r>
        <w:rPr>
          <w:rFonts w:ascii="Arial" w:hAnsi="Arial"/>
          <w:i/>
          <w:color w:val="3B383A"/>
          <w:spacing w:val="-16"/>
          <w:sz w:val="16"/>
        </w:rPr>
        <w:t> </w:t>
      </w:r>
      <w:r>
        <w:rPr>
          <w:color w:val="3B383A"/>
          <w:sz w:val="17"/>
        </w:rPr>
        <w:t>§6.2</w:t>
      </w:r>
      <w:r>
        <w:rPr>
          <w:color w:val="3B383A"/>
          <w:spacing w:val="-9"/>
          <w:sz w:val="17"/>
        </w:rPr>
        <w:t> </w:t>
      </w:r>
      <w:r>
        <w:rPr>
          <w:color w:val="4F4F50"/>
          <w:sz w:val="18"/>
        </w:rPr>
        <w:t>(4th</w:t>
      </w:r>
      <w:r>
        <w:rPr>
          <w:color w:val="4F4F50"/>
          <w:spacing w:val="-9"/>
          <w:sz w:val="18"/>
        </w:rPr>
        <w:t> </w:t>
      </w:r>
      <w:r>
        <w:rPr>
          <w:color w:val="3B383A"/>
          <w:sz w:val="17"/>
        </w:rPr>
        <w:t>ed.,</w:t>
      </w:r>
      <w:r>
        <w:rPr>
          <w:color w:val="3B383A"/>
          <w:spacing w:val="-4"/>
          <w:sz w:val="17"/>
        </w:rPr>
        <w:t> </w:t>
      </w:r>
      <w:r>
        <w:rPr>
          <w:color w:val="3B383A"/>
          <w:sz w:val="18"/>
        </w:rPr>
        <w:t>Aspen</w:t>
      </w:r>
      <w:r>
        <w:rPr>
          <w:color w:val="3B383A"/>
          <w:spacing w:val="9"/>
          <w:sz w:val="18"/>
        </w:rPr>
        <w:t> </w:t>
      </w:r>
      <w:r>
        <w:rPr>
          <w:color w:val="3B383A"/>
          <w:sz w:val="17"/>
        </w:rPr>
        <w:t>2013).</w:t>
        <w:tab/>
      </w:r>
      <w:r>
        <w:rPr>
          <w:color w:val="4F4F50"/>
          <w:sz w:val="17"/>
        </w:rPr>
        <w:t>'</w:t>
      </w:r>
    </w:p>
    <w:p>
      <w:pPr>
        <w:pStyle w:val="ListParagraph"/>
        <w:numPr>
          <w:ilvl w:val="0"/>
          <w:numId w:val="54"/>
        </w:numPr>
        <w:tabs>
          <w:tab w:pos="595" w:val="left" w:leader="none"/>
        </w:tabs>
        <w:spacing w:line="235" w:lineRule="auto" w:before="1" w:after="0"/>
        <w:ind w:left="174" w:right="889" w:firstLine="343"/>
        <w:jc w:val="both"/>
        <w:rPr>
          <w:sz w:val="17"/>
        </w:rPr>
      </w:pPr>
      <w:r>
        <w:rPr>
          <w:color w:val="3B383A"/>
          <w:w w:val="110"/>
          <w:sz w:val="18"/>
        </w:rPr>
        <w:t>A detailed </w:t>
      </w:r>
      <w:r>
        <w:rPr>
          <w:color w:val="4F4F50"/>
          <w:w w:val="110"/>
          <w:sz w:val="18"/>
        </w:rPr>
        <w:t>discussion of </w:t>
      </w:r>
      <w:r>
        <w:rPr>
          <w:color w:val="3B383A"/>
          <w:w w:val="110"/>
          <w:sz w:val="18"/>
        </w:rPr>
        <w:t>the sequcm·e of tenses is beyond the </w:t>
      </w:r>
      <w:r>
        <w:rPr>
          <w:color w:val="4F4F50"/>
          <w:w w:val="110"/>
          <w:sz w:val="18"/>
        </w:rPr>
        <w:t>scope </w:t>
      </w:r>
      <w:r>
        <w:rPr>
          <w:color w:val="3B383A"/>
          <w:w w:val="110"/>
          <w:sz w:val="18"/>
        </w:rPr>
        <w:t>or this book; for an</w:t>
      </w:r>
      <w:r>
        <w:rPr>
          <w:color w:val="3B383A"/>
          <w:spacing w:val="1"/>
          <w:w w:val="110"/>
          <w:sz w:val="18"/>
        </w:rPr>
        <w:t> </w:t>
      </w:r>
      <w:r>
        <w:rPr>
          <w:color w:val="3B383A"/>
          <w:spacing w:val="-1"/>
          <w:w w:val="110"/>
          <w:sz w:val="18"/>
        </w:rPr>
        <w:t>excellent</w:t>
      </w:r>
      <w:r>
        <w:rPr>
          <w:color w:val="3B383A"/>
          <w:spacing w:val="-7"/>
          <w:w w:val="110"/>
          <w:sz w:val="18"/>
        </w:rPr>
        <w:t> </w:t>
      </w:r>
      <w:r>
        <w:rPr>
          <w:color w:val="3B383A"/>
          <w:spacing w:val="-1"/>
          <w:w w:val="110"/>
          <w:sz w:val="18"/>
        </w:rPr>
        <w:t>explanation</w:t>
      </w:r>
      <w:r>
        <w:rPr>
          <w:color w:val="3B383A"/>
          <w:w w:val="110"/>
          <w:sz w:val="18"/>
        </w:rPr>
        <w:t> </w:t>
      </w:r>
      <w:r>
        <w:rPr>
          <w:color w:val="3B383A"/>
          <w:spacing w:val="-1"/>
          <w:w w:val="110"/>
          <w:sz w:val="18"/>
        </w:rPr>
        <w:t>of</w:t>
      </w:r>
      <w:r>
        <w:rPr>
          <w:color w:val="3B383A"/>
          <w:spacing w:val="9"/>
          <w:w w:val="110"/>
          <w:sz w:val="18"/>
        </w:rPr>
        <w:t> </w:t>
      </w:r>
      <w:r>
        <w:rPr>
          <w:color w:val="3B383A"/>
          <w:spacing w:val="-1"/>
          <w:w w:val="110"/>
          <w:sz w:val="18"/>
        </w:rPr>
        <w:t>how</w:t>
      </w:r>
      <w:r>
        <w:rPr>
          <w:color w:val="3B383A"/>
          <w:spacing w:val="9"/>
          <w:w w:val="110"/>
          <w:sz w:val="18"/>
        </w:rPr>
        <w:t> </w:t>
      </w:r>
      <w:r>
        <w:rPr>
          <w:color w:val="3B383A"/>
          <w:spacing w:val="-1"/>
          <w:w w:val="110"/>
          <w:sz w:val="18"/>
        </w:rPr>
        <w:t>verb</w:t>
      </w:r>
      <w:r>
        <w:rPr>
          <w:color w:val="3B383A"/>
          <w:spacing w:val="-15"/>
          <w:w w:val="110"/>
          <w:sz w:val="18"/>
        </w:rPr>
        <w:t> </w:t>
      </w:r>
      <w:r>
        <w:rPr>
          <w:color w:val="3B383A"/>
          <w:spacing w:val="-1"/>
          <w:w w:val="110"/>
          <w:sz w:val="18"/>
        </w:rPr>
        <w:t>tenses</w:t>
      </w:r>
      <w:r>
        <w:rPr>
          <w:color w:val="3B383A"/>
          <w:spacing w:val="-27"/>
          <w:w w:val="110"/>
          <w:sz w:val="18"/>
        </w:rPr>
        <w:t> </w:t>
      </w:r>
      <w:r>
        <w:rPr>
          <w:color w:val="3B383A"/>
          <w:spacing w:val="-1"/>
          <w:w w:val="110"/>
          <w:sz w:val="18"/>
        </w:rPr>
        <w:t>arc</w:t>
      </w:r>
      <w:r>
        <w:rPr>
          <w:color w:val="3B383A"/>
          <w:spacing w:val="-2"/>
          <w:w w:val="110"/>
          <w:sz w:val="18"/>
        </w:rPr>
        <w:t> </w:t>
      </w:r>
      <w:r>
        <w:rPr>
          <w:color w:val="3B383A"/>
          <w:spacing w:val="-1"/>
          <w:w w:val="110"/>
          <w:sz w:val="18"/>
        </w:rPr>
        <w:t>used</w:t>
      </w:r>
      <w:r>
        <w:rPr>
          <w:color w:val="3B383A"/>
          <w:spacing w:val="-11"/>
          <w:w w:val="110"/>
          <w:sz w:val="18"/>
        </w:rPr>
        <w:t> </w:t>
      </w:r>
      <w:r>
        <w:rPr>
          <w:color w:val="3B383A"/>
          <w:spacing w:val="-1"/>
          <w:w w:val="110"/>
          <w:sz w:val="18"/>
        </w:rPr>
        <w:t>in</w:t>
      </w:r>
      <w:r>
        <w:rPr>
          <w:color w:val="3B383A"/>
          <w:spacing w:val="8"/>
          <w:w w:val="110"/>
          <w:sz w:val="18"/>
        </w:rPr>
        <w:t> </w:t>
      </w:r>
      <w:r>
        <w:rPr>
          <w:color w:val="3B383A"/>
          <w:spacing w:val="-1"/>
          <w:w w:val="110"/>
          <w:sz w:val="18"/>
        </w:rPr>
        <w:t>legal</w:t>
      </w:r>
      <w:r>
        <w:rPr>
          <w:color w:val="3B383A"/>
          <w:spacing w:val="-8"/>
          <w:w w:val="110"/>
          <w:sz w:val="18"/>
        </w:rPr>
        <w:t> </w:t>
      </w:r>
      <w:r>
        <w:rPr>
          <w:color w:val="3B383A"/>
          <w:spacing w:val="-1"/>
          <w:w w:val="110"/>
          <w:sz w:val="18"/>
        </w:rPr>
        <w:t>writing.</w:t>
      </w:r>
      <w:r>
        <w:rPr>
          <w:color w:val="3B383A"/>
          <w:spacing w:val="-23"/>
          <w:w w:val="110"/>
          <w:sz w:val="18"/>
        </w:rPr>
        <w:t> </w:t>
      </w:r>
      <w:r>
        <w:rPr>
          <w:color w:val="3B383A"/>
          <w:spacing w:val="-1"/>
          <w:w w:val="110"/>
          <w:sz w:val="18"/>
        </w:rPr>
        <w:t>see</w:t>
      </w:r>
      <w:r>
        <w:rPr>
          <w:color w:val="3B383A"/>
          <w:spacing w:val="-11"/>
          <w:w w:val="110"/>
          <w:sz w:val="18"/>
        </w:rPr>
        <w:t> </w:t>
      </w:r>
      <w:r>
        <w:rPr>
          <w:color w:val="3B383A"/>
          <w:w w:val="110"/>
          <w:sz w:val="18"/>
        </w:rPr>
        <w:t>Enquist</w:t>
      </w:r>
      <w:r>
        <w:rPr>
          <w:color w:val="3B383A"/>
          <w:spacing w:val="1"/>
          <w:w w:val="110"/>
          <w:sz w:val="18"/>
        </w:rPr>
        <w:t> </w:t>
      </w:r>
      <w:r>
        <w:rPr>
          <w:color w:val="3B383A"/>
          <w:w w:val="110"/>
          <w:sz w:val="17"/>
        </w:rPr>
        <w:t>&amp;</w:t>
      </w:r>
      <w:r>
        <w:rPr>
          <w:color w:val="3B383A"/>
          <w:spacing w:val="-9"/>
          <w:w w:val="110"/>
          <w:sz w:val="17"/>
        </w:rPr>
        <w:t> </w:t>
      </w:r>
      <w:r>
        <w:rPr>
          <w:color w:val="3B383A"/>
          <w:w w:val="110"/>
          <w:sz w:val="18"/>
        </w:rPr>
        <w:t>Oates,</w:t>
      </w:r>
      <w:r>
        <w:rPr>
          <w:color w:val="3B383A"/>
          <w:spacing w:val="-30"/>
          <w:w w:val="110"/>
          <w:sz w:val="18"/>
        </w:rPr>
        <w:t> </w:t>
      </w:r>
      <w:r>
        <w:rPr>
          <w:rFonts w:ascii="Arial" w:hAnsi="Arial"/>
          <w:i/>
          <w:color w:val="4F4F50"/>
          <w:w w:val="110"/>
          <w:sz w:val="16"/>
        </w:rPr>
        <w:t>supm </w:t>
      </w:r>
      <w:r>
        <w:rPr>
          <w:color w:val="3B383A"/>
          <w:w w:val="110"/>
          <w:sz w:val="18"/>
        </w:rPr>
        <w:t>note</w:t>
      </w:r>
      <w:r>
        <w:rPr>
          <w:color w:val="3B383A"/>
          <w:spacing w:val="1"/>
          <w:w w:val="110"/>
          <w:sz w:val="18"/>
        </w:rPr>
        <w:t> </w:t>
      </w:r>
      <w:r>
        <w:rPr>
          <w:color w:val="3B383A"/>
          <w:w w:val="110"/>
          <w:sz w:val="18"/>
        </w:rPr>
        <w:t>2.at</w:t>
      </w:r>
      <w:r>
        <w:rPr>
          <w:color w:val="3B383A"/>
          <w:spacing w:val="-13"/>
          <w:w w:val="110"/>
          <w:sz w:val="18"/>
        </w:rPr>
        <w:t> </w:t>
      </w:r>
      <w:r>
        <w:rPr>
          <w:color w:val="3B383A"/>
          <w:w w:val="110"/>
          <w:sz w:val="17"/>
        </w:rPr>
        <w:t>§§8.3, 10.1.2.</w:t>
      </w:r>
    </w:p>
    <w:p>
      <w:pPr>
        <w:spacing w:after="0" w:line="235" w:lineRule="auto"/>
        <w:jc w:val="both"/>
        <w:rPr>
          <w:sz w:val="17"/>
        </w:rPr>
        <w:sectPr>
          <w:type w:val="continuous"/>
          <w:pgSz w:w="9530" w:h="13720"/>
          <w:pgMar w:header="357" w:footer="0" w:top="340" w:bottom="280" w:left="340" w:right="440"/>
        </w:sectPr>
      </w:pPr>
    </w:p>
    <w:p>
      <w:pPr>
        <w:spacing w:line="236" w:lineRule="exact" w:before="81"/>
        <w:ind w:left="1238" w:right="0" w:firstLine="0"/>
        <w:jc w:val="both"/>
        <w:rPr>
          <w:sz w:val="21"/>
        </w:rPr>
      </w:pPr>
      <w:r>
        <w:rPr>
          <w:b/>
          <w:color w:val="383638"/>
          <w:w w:val="105"/>
          <w:sz w:val="21"/>
        </w:rPr>
        <w:t>The</w:t>
      </w:r>
      <w:r>
        <w:rPr>
          <w:b/>
          <w:color w:val="383638"/>
          <w:spacing w:val="-9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court</w:t>
      </w:r>
      <w:r>
        <w:rPr>
          <w:b/>
          <w:color w:val="383638"/>
          <w:spacing w:val="-3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found</w:t>
      </w:r>
      <w:r>
        <w:rPr>
          <w:b/>
          <w:color w:val="383638"/>
          <w:spacing w:val="-11"/>
          <w:w w:val="105"/>
          <w:sz w:val="21"/>
        </w:rPr>
        <w:t> </w:t>
      </w:r>
      <w:r>
        <w:rPr>
          <w:color w:val="383638"/>
          <w:w w:val="105"/>
          <w:sz w:val="21"/>
        </w:rPr>
        <w:t>...</w:t>
      </w:r>
    </w:p>
    <w:p>
      <w:pPr>
        <w:spacing w:line="226" w:lineRule="exact" w:before="0"/>
        <w:ind w:left="1238" w:right="0" w:firstLine="0"/>
        <w:jc w:val="both"/>
        <w:rPr>
          <w:sz w:val="21"/>
        </w:rPr>
      </w:pPr>
      <w:r>
        <w:rPr>
          <w:b/>
          <w:color w:val="383638"/>
          <w:spacing w:val="-1"/>
          <w:w w:val="110"/>
          <w:sz w:val="21"/>
        </w:rPr>
        <w:t>The</w:t>
      </w:r>
      <w:r>
        <w:rPr>
          <w:b/>
          <w:color w:val="383638"/>
          <w:spacing w:val="-15"/>
          <w:w w:val="110"/>
          <w:sz w:val="21"/>
        </w:rPr>
        <w:t> </w:t>
      </w:r>
      <w:r>
        <w:rPr>
          <w:b/>
          <w:color w:val="383638"/>
          <w:spacing w:val="-1"/>
          <w:w w:val="110"/>
          <w:sz w:val="21"/>
        </w:rPr>
        <w:t>court</w:t>
      </w:r>
      <w:r>
        <w:rPr>
          <w:b/>
          <w:color w:val="383638"/>
          <w:spacing w:val="-12"/>
          <w:w w:val="110"/>
          <w:sz w:val="21"/>
        </w:rPr>
        <w:t> </w:t>
      </w:r>
      <w:r>
        <w:rPr>
          <w:b/>
          <w:color w:val="383638"/>
          <w:spacing w:val="-1"/>
          <w:w w:val="110"/>
          <w:sz w:val="21"/>
        </w:rPr>
        <w:t>reasoned</w:t>
      </w:r>
      <w:r>
        <w:rPr>
          <w:b/>
          <w:color w:val="383638"/>
          <w:spacing w:val="-2"/>
          <w:w w:val="110"/>
          <w:sz w:val="21"/>
        </w:rPr>
        <w:t> </w:t>
      </w:r>
      <w:r>
        <w:rPr>
          <w:color w:val="383638"/>
          <w:w w:val="110"/>
          <w:sz w:val="21"/>
        </w:rPr>
        <w:t>..</w:t>
      </w:r>
      <w:r>
        <w:rPr>
          <w:color w:val="5D5D5E"/>
          <w:w w:val="110"/>
          <w:sz w:val="21"/>
        </w:rPr>
        <w:t>.</w:t>
      </w:r>
    </w:p>
    <w:p>
      <w:pPr>
        <w:spacing w:line="232" w:lineRule="auto" w:before="0"/>
        <w:ind w:left="1417" w:right="313" w:hanging="190"/>
        <w:jc w:val="both"/>
        <w:rPr>
          <w:b/>
          <w:sz w:val="21"/>
        </w:rPr>
      </w:pPr>
      <w:r>
        <w:rPr>
          <w:b/>
          <w:color w:val="383638"/>
          <w:w w:val="105"/>
          <w:sz w:val="21"/>
        </w:rPr>
        <w:t>The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court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held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that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Officer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Thielen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had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violated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the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Fourth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Amendment when he observed the defendants through a gap </w:t>
      </w:r>
      <w:r>
        <w:rPr>
          <w:color w:val="383638"/>
          <w:w w:val="105"/>
          <w:sz w:val="20"/>
        </w:rPr>
        <w:t>in </w:t>
      </w:r>
      <w:r>
        <w:rPr>
          <w:color w:val="383638"/>
          <w:w w:val="105"/>
          <w:sz w:val="24"/>
        </w:rPr>
        <w:t>a</w:t>
      </w:r>
      <w:r>
        <w:rPr>
          <w:color w:val="383638"/>
          <w:spacing w:val="1"/>
          <w:w w:val="105"/>
          <w:sz w:val="24"/>
        </w:rPr>
        <w:t> </w:t>
      </w:r>
      <w:r>
        <w:rPr>
          <w:b/>
          <w:color w:val="383638"/>
          <w:w w:val="105"/>
          <w:sz w:val="21"/>
        </w:rPr>
        <w:t>window</w:t>
      </w:r>
      <w:r>
        <w:rPr>
          <w:b/>
          <w:color w:val="383638"/>
          <w:spacing w:val="-8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blind.</w:t>
      </w:r>
    </w:p>
    <w:p>
      <w:pPr>
        <w:pStyle w:val="BodyText"/>
        <w:spacing w:before="112"/>
        <w:ind w:left="857" w:right="-15" w:firstLine="8"/>
        <w:jc w:val="both"/>
      </w:pPr>
      <w:r>
        <w:rPr>
          <w:color w:val="383638"/>
          <w:w w:val="105"/>
        </w:rPr>
        <w:t>When you are stating a general rule that the </w:t>
      </w:r>
      <w:r>
        <w:rPr>
          <w:color w:val="4D4B4D"/>
          <w:w w:val="105"/>
        </w:rPr>
        <w:t>court </w:t>
      </w:r>
      <w:r>
        <w:rPr>
          <w:color w:val="383638"/>
          <w:w w:val="105"/>
        </w:rPr>
        <w:t>articulated,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however,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use the past tense only to describe the court's action, and use the present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tense</w:t>
      </w:r>
      <w:r>
        <w:rPr>
          <w:color w:val="383638"/>
          <w:spacing w:val="-24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rule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itself:</w:t>
      </w:r>
    </w:p>
    <w:p>
      <w:pPr>
        <w:pStyle w:val="BodyText"/>
        <w:spacing w:before="9"/>
        <w:rPr>
          <w:sz w:val="9"/>
        </w:rPr>
      </w:pPr>
    </w:p>
    <w:p>
      <w:pPr>
        <w:spacing w:before="94"/>
        <w:ind w:left="822" w:right="0" w:firstLine="0"/>
        <w:jc w:val="both"/>
        <w:rPr>
          <w:sz w:val="16"/>
        </w:rPr>
      </w:pPr>
      <w:r>
        <w:rPr>
          <w:color w:val="5D5D5E"/>
          <w:w w:val="90"/>
          <w:sz w:val="16"/>
          <w:u w:val="thick" w:color="5D5D5E"/>
        </w:rPr>
        <w:t>_/\</w:t>
      </w:r>
      <w:r>
        <w:rPr>
          <w:color w:val="5D5D5E"/>
          <w:spacing w:val="36"/>
          <w:sz w:val="16"/>
          <w:u w:val="thick" w:color="5D5D5E"/>
        </w:rPr>
        <w:t> </w:t>
      </w:r>
      <w:r>
        <w:rPr>
          <w:color w:val="5D5D5E"/>
          <w:spacing w:val="38"/>
          <w:sz w:val="16"/>
        </w:rPr>
        <w:t> </w:t>
      </w:r>
      <w:r>
        <w:rPr>
          <w:color w:val="4D4B4D"/>
          <w:w w:val="90"/>
          <w:sz w:val="16"/>
          <w:u w:val="thick" w:color="4D4B4D"/>
        </w:rPr>
        <w:t>GOOD</w:t>
      </w:r>
      <w:r>
        <w:rPr>
          <w:color w:val="4D4B4D"/>
          <w:spacing w:val="1"/>
          <w:w w:val="90"/>
          <w:sz w:val="16"/>
          <w:u w:val="thick" w:color="4D4B4D"/>
        </w:rPr>
        <w:t> </w:t>
      </w:r>
      <w:r>
        <w:rPr>
          <w:color w:val="4D4B4D"/>
          <w:w w:val="90"/>
          <w:sz w:val="16"/>
          <w:u w:val="thick" w:color="4D4B4D"/>
        </w:rPr>
        <w:t>EXAMPLE</w:t>
      </w:r>
    </w:p>
    <w:p>
      <w:pPr>
        <w:spacing w:line="235" w:lineRule="auto" w:before="62"/>
        <w:ind w:left="1154" w:right="332" w:firstLine="15"/>
        <w:jc w:val="both"/>
        <w:rPr>
          <w:b/>
          <w:sz w:val="21"/>
        </w:rPr>
      </w:pPr>
      <w:r>
        <w:rPr>
          <w:b/>
          <w:color w:val="383638"/>
          <w:w w:val="110"/>
          <w:sz w:val="21"/>
        </w:rPr>
        <w:t>The Court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held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that police officers do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not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violate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Fourth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05"/>
          <w:sz w:val="21"/>
        </w:rPr>
        <w:t>Amendment when they are able to observe criminal activity from a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lawful</w:t>
      </w:r>
      <w:r>
        <w:rPr>
          <w:b/>
          <w:color w:val="383638"/>
          <w:spacing w:val="7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vantage</w:t>
      </w:r>
      <w:r>
        <w:rPr>
          <w:b/>
          <w:color w:val="383638"/>
          <w:spacing w:val="-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point</w:t>
      </w:r>
      <w:r>
        <w:rPr>
          <w:b/>
          <w:color w:val="383638"/>
          <w:spacing w:val="-1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without</w:t>
      </w:r>
      <w:r>
        <w:rPr>
          <w:b/>
          <w:color w:val="383638"/>
          <w:spacing w:val="6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the</w:t>
      </w:r>
      <w:r>
        <w:rPr>
          <w:b/>
          <w:color w:val="383638"/>
          <w:spacing w:val="-10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aid</w:t>
      </w:r>
      <w:r>
        <w:rPr>
          <w:b/>
          <w:color w:val="383638"/>
          <w:spacing w:val="-14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of</w:t>
      </w:r>
      <w:r>
        <w:rPr>
          <w:b/>
          <w:color w:val="383638"/>
          <w:spacing w:val="6"/>
          <w:w w:val="105"/>
          <w:sz w:val="21"/>
        </w:rPr>
        <w:t> </w:t>
      </w:r>
      <w:r>
        <w:rPr>
          <w:b/>
          <w:color w:val="4D4B4D"/>
          <w:w w:val="105"/>
          <w:sz w:val="21"/>
        </w:rPr>
        <w:t>special</w:t>
      </w:r>
      <w:r>
        <w:rPr>
          <w:b/>
          <w:color w:val="4D4B4D"/>
          <w:spacing w:val="-2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equipment.</w:t>
      </w:r>
    </w:p>
    <w:p>
      <w:pPr>
        <w:pStyle w:val="BodyText"/>
        <w:spacing w:line="235" w:lineRule="auto" w:before="148"/>
        <w:ind w:left="800" w:right="-15" w:firstLine="4"/>
        <w:jc w:val="both"/>
      </w:pPr>
      <w:r>
        <w:rPr>
          <w:color w:val="383638"/>
          <w:w w:val="105"/>
        </w:rPr>
        <w:t>The correct verb tense may not  make or break your argument, but using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the wrong verb tense distracts the reader at best. At worst, it confuses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reader</w:t>
      </w:r>
      <w:r>
        <w:rPr>
          <w:color w:val="383638"/>
          <w:spacing w:val="-19"/>
          <w:w w:val="105"/>
        </w:rPr>
        <w:t> </w:t>
      </w:r>
      <w:r>
        <w:rPr>
          <w:color w:val="383638"/>
          <w:w w:val="105"/>
        </w:rPr>
        <w:t>and</w:t>
      </w:r>
      <w:r>
        <w:rPr>
          <w:color w:val="383638"/>
          <w:spacing w:val="-4"/>
          <w:w w:val="105"/>
        </w:rPr>
        <w:t> </w:t>
      </w:r>
      <w:r>
        <w:rPr>
          <w:color w:val="383638"/>
          <w:w w:val="105"/>
        </w:rPr>
        <w:t>slows</w:t>
      </w:r>
      <w:r>
        <w:rPr>
          <w:color w:val="383638"/>
          <w:spacing w:val="-20"/>
          <w:w w:val="105"/>
        </w:rPr>
        <w:t> </w:t>
      </w:r>
      <w:r>
        <w:rPr>
          <w:color w:val="383638"/>
          <w:w w:val="105"/>
        </w:rPr>
        <w:t>down</w:t>
      </w:r>
      <w:r>
        <w:rPr>
          <w:color w:val="383638"/>
          <w:spacing w:val="15"/>
          <w:w w:val="105"/>
        </w:rPr>
        <w:t> </w:t>
      </w:r>
      <w:r>
        <w:rPr>
          <w:color w:val="383638"/>
          <w:w w:val="105"/>
        </w:rPr>
        <w:t>his</w:t>
      </w:r>
      <w:r>
        <w:rPr>
          <w:color w:val="383638"/>
          <w:spacing w:val="-12"/>
          <w:w w:val="105"/>
        </w:rPr>
        <w:t> </w:t>
      </w:r>
      <w:r>
        <w:rPr>
          <w:color w:val="383638"/>
          <w:w w:val="105"/>
        </w:rPr>
        <w:t>or</w:t>
      </w:r>
      <w:r>
        <w:rPr>
          <w:color w:val="383638"/>
          <w:spacing w:val="9"/>
          <w:w w:val="105"/>
        </w:rPr>
        <w:t> </w:t>
      </w:r>
      <w:r>
        <w:rPr>
          <w:color w:val="383638"/>
          <w:w w:val="105"/>
        </w:rPr>
        <w:t>her</w:t>
      </w:r>
      <w:r>
        <w:rPr>
          <w:color w:val="383638"/>
          <w:spacing w:val="-1"/>
          <w:w w:val="105"/>
        </w:rPr>
        <w:t> </w:t>
      </w:r>
      <w:r>
        <w:rPr>
          <w:color w:val="383638"/>
          <w:w w:val="105"/>
        </w:rPr>
        <w:t>comprehension.</w:t>
      </w:r>
    </w:p>
    <w:p>
      <w:pPr>
        <w:pStyle w:val="BodyText"/>
        <w:spacing w:before="7"/>
        <w:rPr>
          <w:sz w:val="28"/>
        </w:rPr>
      </w:pPr>
    </w:p>
    <w:p>
      <w:pPr>
        <w:spacing w:before="93"/>
        <w:ind w:left="108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4D4B4D"/>
          <w:w w:val="105"/>
          <w:sz w:val="26"/>
        </w:rPr>
        <w:t>6.1.2</w:t>
      </w:r>
    </w:p>
    <w:p>
      <w:pPr>
        <w:spacing w:before="29"/>
        <w:ind w:left="1079" w:right="0" w:firstLine="0"/>
        <w:jc w:val="left"/>
        <w:rPr>
          <w:rFonts w:ascii="Arial"/>
          <w:sz w:val="21"/>
        </w:rPr>
      </w:pPr>
      <w:r>
        <w:rPr>
          <w:rFonts w:ascii="Arial"/>
          <w:color w:val="4D4B4D"/>
          <w:sz w:val="21"/>
        </w:rPr>
        <w:t>WRITING</w:t>
      </w:r>
      <w:r>
        <w:rPr>
          <w:rFonts w:ascii="Arial"/>
          <w:color w:val="4D4B4D"/>
          <w:spacing w:val="24"/>
          <w:sz w:val="21"/>
        </w:rPr>
        <w:t> </w:t>
      </w:r>
      <w:r>
        <w:rPr>
          <w:rFonts w:ascii="Arial"/>
          <w:color w:val="4D4B4D"/>
          <w:sz w:val="21"/>
        </w:rPr>
        <w:t>AND</w:t>
      </w:r>
      <w:r>
        <w:rPr>
          <w:rFonts w:ascii="Arial"/>
          <w:color w:val="4D4B4D"/>
          <w:spacing w:val="42"/>
          <w:sz w:val="21"/>
        </w:rPr>
        <w:t> </w:t>
      </w:r>
      <w:r>
        <w:rPr>
          <w:color w:val="383638"/>
          <w:sz w:val="24"/>
        </w:rPr>
        <w:t>USING</w:t>
      </w:r>
      <w:r>
        <w:rPr>
          <w:color w:val="383638"/>
          <w:spacing w:val="28"/>
          <w:sz w:val="24"/>
        </w:rPr>
        <w:t> </w:t>
      </w:r>
      <w:r>
        <w:rPr>
          <w:rFonts w:ascii="Arial"/>
          <w:color w:val="4D4B4D"/>
          <w:sz w:val="21"/>
        </w:rPr>
        <w:t>EFFECTIVE</w:t>
      </w:r>
      <w:r>
        <w:rPr>
          <w:rFonts w:ascii="Arial"/>
          <w:color w:val="4D4B4D"/>
          <w:spacing w:val="12"/>
          <w:sz w:val="21"/>
        </w:rPr>
        <w:t> </w:t>
      </w:r>
      <w:r>
        <w:rPr>
          <w:rFonts w:ascii="Arial"/>
          <w:color w:val="5D5D5E"/>
          <w:sz w:val="21"/>
        </w:rPr>
        <w:t>PARENTHET</w:t>
      </w:r>
      <w:r>
        <w:rPr>
          <w:rFonts w:ascii="Arial"/>
          <w:color w:val="383638"/>
          <w:sz w:val="21"/>
        </w:rPr>
        <w:t>IC</w:t>
      </w:r>
      <w:r>
        <w:rPr>
          <w:rFonts w:ascii="Arial"/>
          <w:color w:val="5D5D5E"/>
          <w:sz w:val="21"/>
        </w:rPr>
        <w:t>AL</w:t>
      </w:r>
    </w:p>
    <w:p>
      <w:pPr>
        <w:spacing w:before="51"/>
        <w:ind w:left="1087" w:right="0" w:firstLine="0"/>
        <w:jc w:val="left"/>
        <w:rPr>
          <w:sz w:val="24"/>
        </w:rPr>
      </w:pPr>
      <w:r>
        <w:rPr>
          <w:color w:val="4D4B4D"/>
          <w:sz w:val="24"/>
        </w:rPr>
        <w:t>DESCR</w:t>
      </w:r>
      <w:r>
        <w:rPr>
          <w:color w:val="6E6E70"/>
          <w:sz w:val="24"/>
        </w:rPr>
        <w:t>I</w:t>
      </w:r>
      <w:r>
        <w:rPr>
          <w:color w:val="4D4B4D"/>
          <w:sz w:val="24"/>
        </w:rPr>
        <w:t>PTIONS</w:t>
      </w:r>
    </w:p>
    <w:p>
      <w:pPr>
        <w:pStyle w:val="BodyText"/>
        <w:spacing w:line="232" w:lineRule="auto" w:before="135"/>
        <w:ind w:left="688" w:right="15" w:firstLine="390"/>
        <w:jc w:val="both"/>
      </w:pPr>
      <w:r>
        <w:rPr>
          <w:color w:val="383638"/>
          <w:w w:val="110"/>
        </w:rPr>
        <w:t>Parenthetical case descriptions are a useful alternative to in-text, or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textual, case descriptions. "Parentheticals" can save both space and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reader's time, but the writer must be careful to remember the principles of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focus and completeness. Incomplete parentheticals tend to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be ineffective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because they give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reader only a snippet of information. Often, unfor­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tunately, the snippet does not contain enough information to make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case useful to the </w:t>
      </w:r>
      <w:r>
        <w:rPr>
          <w:color w:val="4D4B4D"/>
          <w:w w:val="105"/>
        </w:rPr>
        <w:t>reader, </w:t>
      </w:r>
      <w:r>
        <w:rPr>
          <w:color w:val="383638"/>
          <w:w w:val="105"/>
        </w:rPr>
        <w:t>who must decide whether the cited case provides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authority</w:t>
      </w:r>
      <w:r>
        <w:rPr>
          <w:color w:val="383638"/>
          <w:spacing w:val="3"/>
          <w:w w:val="105"/>
        </w:rPr>
        <w:t> </w:t>
      </w:r>
      <w:r>
        <w:rPr>
          <w:color w:val="383638"/>
          <w:w w:val="105"/>
        </w:rPr>
        <w:t>for</w:t>
      </w:r>
      <w:r>
        <w:rPr>
          <w:color w:val="383638"/>
          <w:spacing w:val="-14"/>
          <w:w w:val="105"/>
        </w:rPr>
        <w:t> </w:t>
      </w:r>
      <w:r>
        <w:rPr>
          <w:color w:val="383638"/>
          <w:w w:val="105"/>
        </w:rPr>
        <w:t>a</w:t>
      </w:r>
      <w:r>
        <w:rPr>
          <w:color w:val="383638"/>
          <w:spacing w:val="3"/>
          <w:w w:val="105"/>
        </w:rPr>
        <w:t> </w:t>
      </w:r>
      <w:r>
        <w:rPr>
          <w:color w:val="383638"/>
          <w:w w:val="105"/>
        </w:rPr>
        <w:t>ruling</w:t>
      </w:r>
      <w:r>
        <w:rPr>
          <w:color w:val="383638"/>
          <w:spacing w:val="-2"/>
          <w:w w:val="105"/>
        </w:rPr>
        <w:t> </w:t>
      </w:r>
      <w:r>
        <w:rPr>
          <w:color w:val="383638"/>
          <w:w w:val="105"/>
        </w:rPr>
        <w:t>in</w:t>
      </w:r>
      <w:r>
        <w:rPr>
          <w:color w:val="383638"/>
          <w:spacing w:val="6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8"/>
          <w:w w:val="105"/>
        </w:rPr>
        <w:t> </w:t>
      </w:r>
      <w:r>
        <w:rPr>
          <w:color w:val="4D4B4D"/>
          <w:w w:val="105"/>
        </w:rPr>
        <w:t>case</w:t>
      </w:r>
      <w:r>
        <w:rPr>
          <w:color w:val="4D4B4D"/>
          <w:spacing w:val="-10"/>
          <w:w w:val="105"/>
        </w:rPr>
        <w:t> </w:t>
      </w:r>
      <w:r>
        <w:rPr>
          <w:color w:val="383638"/>
          <w:w w:val="105"/>
        </w:rPr>
        <w:t>at</w:t>
      </w:r>
      <w:r>
        <w:rPr>
          <w:color w:val="383638"/>
          <w:spacing w:val="27"/>
          <w:w w:val="105"/>
        </w:rPr>
        <w:t> </w:t>
      </w:r>
      <w:r>
        <w:rPr>
          <w:color w:val="383638"/>
          <w:w w:val="105"/>
        </w:rPr>
        <w:t>bar:</w:t>
      </w:r>
    </w:p>
    <w:p>
      <w:pPr>
        <w:spacing w:before="99"/>
        <w:ind w:left="638" w:right="0" w:firstLine="0"/>
        <w:jc w:val="both"/>
        <w:rPr>
          <w:rFonts w:ascii="Arial"/>
          <w:sz w:val="14"/>
        </w:rPr>
      </w:pPr>
      <w:r>
        <w:rPr>
          <w:rFonts w:ascii="Arial"/>
          <w:color w:val="383638"/>
          <w:sz w:val="30"/>
          <w:u w:val="thick" w:color="383638"/>
        </w:rPr>
        <w:t>-V</w:t>
      </w:r>
      <w:r>
        <w:rPr>
          <w:rFonts w:ascii="Arial"/>
          <w:color w:val="383638"/>
          <w:spacing w:val="-8"/>
          <w:sz w:val="30"/>
          <w:u w:val="thick" w:color="383638"/>
        </w:rPr>
        <w:t> </w:t>
      </w:r>
      <w:r>
        <w:rPr>
          <w:rFonts w:ascii="Arial"/>
          <w:color w:val="4D4B4D"/>
          <w:sz w:val="14"/>
          <w:u w:val="thick" w:color="383638"/>
        </w:rPr>
        <w:t>B</w:t>
      </w:r>
      <w:r>
        <w:rPr>
          <w:rFonts w:ascii="Arial"/>
          <w:color w:val="6E6E70"/>
          <w:sz w:val="14"/>
          <w:u w:val="thick" w:color="383638"/>
        </w:rPr>
        <w:t>A</w:t>
      </w:r>
      <w:r>
        <w:rPr>
          <w:rFonts w:ascii="Arial"/>
          <w:color w:val="4D4B4D"/>
          <w:sz w:val="14"/>
          <w:u w:val="thick" w:color="383638"/>
        </w:rPr>
        <w:t>D</w:t>
      </w:r>
      <w:r>
        <w:rPr>
          <w:rFonts w:ascii="Arial"/>
          <w:color w:val="4D4B4D"/>
          <w:spacing w:val="16"/>
          <w:sz w:val="14"/>
          <w:u w:val="thick" w:color="383638"/>
        </w:rPr>
        <w:t> </w:t>
      </w:r>
      <w:r>
        <w:rPr>
          <w:rFonts w:ascii="Arial"/>
          <w:color w:val="383638"/>
          <w:sz w:val="14"/>
          <w:u w:val="thick" w:color="383638"/>
        </w:rPr>
        <w:t>EXAMPLE</w:t>
      </w:r>
    </w:p>
    <w:p>
      <w:pPr>
        <w:spacing w:line="242" w:lineRule="exact" w:before="29"/>
        <w:ind w:left="1010" w:right="0" w:firstLine="0"/>
        <w:jc w:val="left"/>
        <w:rPr>
          <w:sz w:val="21"/>
        </w:rPr>
      </w:pPr>
      <w:r>
        <w:rPr>
          <w:color w:val="383638"/>
          <w:w w:val="105"/>
          <w:sz w:val="22"/>
          <w:u w:val="thick" w:color="383638"/>
        </w:rPr>
        <w:t>See</w:t>
      </w:r>
      <w:r>
        <w:rPr>
          <w:color w:val="383638"/>
          <w:spacing w:val="14"/>
          <w:w w:val="105"/>
          <w:sz w:val="22"/>
          <w:u w:val="thick" w:color="383638"/>
        </w:rPr>
        <w:t> </w:t>
      </w:r>
      <w:r>
        <w:rPr>
          <w:color w:val="383638"/>
          <w:w w:val="105"/>
          <w:sz w:val="22"/>
          <w:u w:val="thick" w:color="383638"/>
        </w:rPr>
        <w:t>generally</w:t>
      </w:r>
      <w:r>
        <w:rPr>
          <w:color w:val="383638"/>
          <w:spacing w:val="41"/>
          <w:w w:val="105"/>
          <w:sz w:val="22"/>
          <w:u w:val="thick" w:color="383638"/>
        </w:rPr>
        <w:t> </w:t>
      </w:r>
      <w:r>
        <w:rPr>
          <w:color w:val="383638"/>
          <w:w w:val="105"/>
          <w:sz w:val="22"/>
          <w:u w:val="thick" w:color="383638"/>
        </w:rPr>
        <w:t>Virginia,</w:t>
      </w:r>
      <w:r>
        <w:rPr>
          <w:color w:val="383638"/>
          <w:spacing w:val="41"/>
          <w:w w:val="105"/>
          <w:sz w:val="22"/>
        </w:rPr>
        <w:t> </w:t>
      </w:r>
      <w:r>
        <w:rPr>
          <w:color w:val="383638"/>
          <w:w w:val="105"/>
          <w:sz w:val="21"/>
        </w:rPr>
        <w:t>518 </w:t>
      </w:r>
      <w:r>
        <w:rPr>
          <w:color w:val="383638"/>
          <w:spacing w:val="17"/>
          <w:w w:val="105"/>
          <w:sz w:val="21"/>
        </w:rPr>
        <w:t> </w:t>
      </w:r>
      <w:r>
        <w:rPr>
          <w:color w:val="383638"/>
          <w:w w:val="105"/>
          <w:sz w:val="21"/>
        </w:rPr>
        <w:t>U.S.</w:t>
      </w:r>
      <w:r>
        <w:rPr>
          <w:color w:val="383638"/>
          <w:spacing w:val="6"/>
          <w:w w:val="105"/>
          <w:sz w:val="21"/>
        </w:rPr>
        <w:t> </w:t>
      </w:r>
      <w:r>
        <w:rPr>
          <w:color w:val="383638"/>
          <w:w w:val="105"/>
          <w:sz w:val="22"/>
        </w:rPr>
        <w:t>at </w:t>
      </w:r>
      <w:r>
        <w:rPr>
          <w:color w:val="383638"/>
          <w:spacing w:val="14"/>
          <w:w w:val="105"/>
          <w:sz w:val="22"/>
        </w:rPr>
        <w:t> </w:t>
      </w:r>
      <w:r>
        <w:rPr>
          <w:color w:val="383638"/>
          <w:w w:val="105"/>
          <w:sz w:val="21"/>
        </w:rPr>
        <w:t>533 </w:t>
      </w:r>
      <w:r>
        <w:rPr>
          <w:color w:val="383638"/>
          <w:spacing w:val="30"/>
          <w:w w:val="105"/>
          <w:sz w:val="21"/>
        </w:rPr>
        <w:t> </w:t>
      </w:r>
      <w:r>
        <w:rPr>
          <w:color w:val="383638"/>
          <w:w w:val="105"/>
          <w:sz w:val="21"/>
        </w:rPr>
        <w:t>(plaintiff</w:t>
      </w:r>
      <w:r>
        <w:rPr>
          <w:color w:val="383638"/>
          <w:spacing w:val="51"/>
          <w:w w:val="105"/>
          <w:sz w:val="21"/>
        </w:rPr>
        <w:t> </w:t>
      </w:r>
      <w:r>
        <w:rPr>
          <w:color w:val="383638"/>
          <w:w w:val="105"/>
          <w:sz w:val="21"/>
        </w:rPr>
        <w:t>challenged </w:t>
      </w:r>
      <w:r>
        <w:rPr>
          <w:color w:val="383638"/>
          <w:spacing w:val="8"/>
          <w:w w:val="105"/>
          <w:sz w:val="21"/>
        </w:rPr>
        <w:t> </w:t>
      </w:r>
      <w:r>
        <w:rPr>
          <w:color w:val="383638"/>
          <w:w w:val="105"/>
          <w:sz w:val="21"/>
        </w:rPr>
        <w:t>gender­</w:t>
      </w:r>
    </w:p>
    <w:p>
      <w:pPr>
        <w:spacing w:line="236" w:lineRule="exact" w:before="0"/>
        <w:ind w:left="1019" w:right="0" w:firstLine="0"/>
        <w:jc w:val="left"/>
        <w:rPr>
          <w:b/>
          <w:sz w:val="21"/>
        </w:rPr>
      </w:pPr>
      <w:r>
        <w:rPr>
          <w:b/>
          <w:color w:val="383638"/>
          <w:w w:val="105"/>
          <w:sz w:val="21"/>
        </w:rPr>
        <w:t>based</w:t>
      </w:r>
      <w:r>
        <w:rPr>
          <w:b/>
          <w:color w:val="383638"/>
          <w:spacing w:val="-9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classifications</w:t>
      </w:r>
      <w:r>
        <w:rPr>
          <w:b/>
          <w:color w:val="383638"/>
          <w:spacing w:val="-12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in</w:t>
      </w:r>
      <w:r>
        <w:rPr>
          <w:b/>
          <w:color w:val="383638"/>
          <w:spacing w:val="9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state-run</w:t>
      </w:r>
      <w:r>
        <w:rPr>
          <w:b/>
          <w:color w:val="383638"/>
          <w:spacing w:val="14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military</w:t>
      </w:r>
      <w:r>
        <w:rPr>
          <w:b/>
          <w:color w:val="383638"/>
          <w:spacing w:val="-3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schools);</w:t>
      </w:r>
      <w:r>
        <w:rPr>
          <w:b/>
          <w:color w:val="383638"/>
          <w:spacing w:val="17"/>
          <w:w w:val="105"/>
          <w:sz w:val="21"/>
        </w:rPr>
        <w:t> </w:t>
      </w:r>
      <w:r>
        <w:rPr>
          <w:b/>
          <w:color w:val="383638"/>
          <w:w w:val="105"/>
          <w:sz w:val="21"/>
          <w:u w:val="thick" w:color="383638"/>
        </w:rPr>
        <w:t>J.E.B.</w:t>
      </w:r>
      <w:r>
        <w:rPr>
          <w:b/>
          <w:color w:val="383638"/>
          <w:spacing w:val="-2"/>
          <w:w w:val="105"/>
          <w:sz w:val="21"/>
          <w:u w:val="thick" w:color="383638"/>
        </w:rPr>
        <w:t> </w:t>
      </w:r>
      <w:r>
        <w:rPr>
          <w:b/>
          <w:color w:val="383638"/>
          <w:w w:val="105"/>
          <w:sz w:val="21"/>
          <w:u w:val="thick" w:color="383638"/>
        </w:rPr>
        <w:t>v</w:t>
      </w:r>
      <w:r>
        <w:rPr>
          <w:b/>
          <w:color w:val="5D5D5E"/>
          <w:w w:val="105"/>
          <w:sz w:val="21"/>
          <w:u w:val="thick" w:color="383638"/>
        </w:rPr>
        <w:t>.</w:t>
      </w:r>
      <w:r>
        <w:rPr>
          <w:b/>
          <w:color w:val="5D5D5E"/>
          <w:spacing w:val="9"/>
          <w:w w:val="105"/>
          <w:sz w:val="21"/>
          <w:u w:val="thick" w:color="383638"/>
        </w:rPr>
        <w:t> </w:t>
      </w:r>
      <w:r>
        <w:rPr>
          <w:rFonts w:ascii="Arial"/>
          <w:b/>
          <w:color w:val="4D4B4D"/>
          <w:w w:val="105"/>
          <w:sz w:val="22"/>
          <w:u w:val="thick" w:color="383638"/>
        </w:rPr>
        <w:t>T.B</w:t>
      </w:r>
      <w:r>
        <w:rPr>
          <w:rFonts w:ascii="Arial"/>
          <w:b/>
          <w:color w:val="383638"/>
          <w:w w:val="105"/>
          <w:sz w:val="22"/>
          <w:u w:val="thick" w:color="383638"/>
        </w:rPr>
        <w:t>..</w:t>
      </w:r>
      <w:r>
        <w:rPr>
          <w:rFonts w:ascii="Arial"/>
          <w:b/>
          <w:color w:val="383638"/>
          <w:spacing w:val="21"/>
          <w:w w:val="105"/>
          <w:sz w:val="22"/>
        </w:rPr>
        <w:t> </w:t>
      </w:r>
      <w:r>
        <w:rPr>
          <w:b/>
          <w:color w:val="383638"/>
          <w:w w:val="105"/>
          <w:sz w:val="21"/>
        </w:rPr>
        <w:t>511</w:t>
      </w:r>
    </w:p>
    <w:p>
      <w:pPr>
        <w:spacing w:line="236" w:lineRule="exact" w:before="0"/>
        <w:ind w:left="1019" w:right="0" w:firstLine="0"/>
        <w:jc w:val="left"/>
        <w:rPr>
          <w:b/>
          <w:sz w:val="21"/>
        </w:rPr>
      </w:pPr>
      <w:r>
        <w:rPr>
          <w:b/>
          <w:color w:val="383638"/>
          <w:w w:val="105"/>
          <w:sz w:val="21"/>
        </w:rPr>
        <w:t>U</w:t>
      </w:r>
      <w:r>
        <w:rPr>
          <w:b/>
          <w:color w:val="5D5D5E"/>
          <w:w w:val="105"/>
          <w:sz w:val="21"/>
        </w:rPr>
        <w:t>.</w:t>
      </w:r>
      <w:r>
        <w:rPr>
          <w:b/>
          <w:color w:val="383638"/>
          <w:w w:val="105"/>
          <w:sz w:val="21"/>
        </w:rPr>
        <w:t>S.at</w:t>
      </w:r>
      <w:r>
        <w:rPr>
          <w:b/>
          <w:color w:val="383638"/>
          <w:spacing w:val="14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138-40</w:t>
      </w:r>
      <w:r>
        <w:rPr>
          <w:b/>
          <w:color w:val="383638"/>
          <w:spacing w:val="-29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(male</w:t>
      </w:r>
      <w:r>
        <w:rPr>
          <w:b/>
          <w:color w:val="383638"/>
          <w:spacing w:val="-8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jurorquestioned</w:t>
      </w:r>
      <w:r>
        <w:rPr>
          <w:b/>
          <w:color w:val="383638"/>
          <w:spacing w:val="-20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sex-based</w:t>
      </w:r>
      <w:r>
        <w:rPr>
          <w:b/>
          <w:color w:val="383638"/>
          <w:spacing w:val="-7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peremptory</w:t>
      </w:r>
      <w:r>
        <w:rPr>
          <w:b/>
          <w:color w:val="383638"/>
          <w:spacing w:val="-3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challenge).</w:t>
      </w:r>
    </w:p>
    <w:p>
      <w:pPr>
        <w:pStyle w:val="BodyText"/>
        <w:spacing w:line="230" w:lineRule="auto" w:before="144"/>
        <w:ind w:left="544" w:right="36" w:firstLine="86"/>
        <w:jc w:val="both"/>
        <w:rPr>
          <w:rFonts w:ascii="Arial" w:hAnsi="Arial"/>
          <w:b/>
          <w:sz w:val="21"/>
        </w:rPr>
      </w:pPr>
      <w:r>
        <w:rPr>
          <w:color w:val="383638"/>
          <w:w w:val="110"/>
        </w:rPr>
        <w:t>These parentheticals tell the reader something about the issue (gender­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based classifications) and  the facts (the classifications occurred in a mili­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tary school and  in  peremptory challenges to  jury selection),  but  they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do not tell the reader how the court resolved the issue or why the court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resolved it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way it did. This type of snippet parenthetical may be </w:t>
      </w:r>
      <w:r>
        <w:rPr>
          <w:color w:val="4D4B4D"/>
          <w:w w:val="105"/>
        </w:rPr>
        <w:t>effec­</w:t>
      </w:r>
      <w:r>
        <w:rPr>
          <w:color w:val="4D4B4D"/>
          <w:spacing w:val="1"/>
          <w:w w:val="105"/>
        </w:rPr>
        <w:t> </w:t>
      </w:r>
      <w:r>
        <w:rPr>
          <w:color w:val="383638"/>
          <w:w w:val="110"/>
        </w:rPr>
        <w:t>tive, but only </w:t>
      </w:r>
      <w:r>
        <w:rPr>
          <w:color w:val="383638"/>
          <w:w w:val="110"/>
          <w:sz w:val="22"/>
        </w:rPr>
        <w:t>if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surrounding text-usually the text before the cita.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tion-supplies sufficient context. For a parenthetical to be effective either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parenthetical alone </w:t>
      </w:r>
      <w:r>
        <w:rPr>
          <w:i/>
          <w:color w:val="383638"/>
          <w:w w:val="110"/>
          <w:sz w:val="24"/>
        </w:rPr>
        <w:t>or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parenthetical and the preceding t xt </w:t>
      </w:r>
      <w:r>
        <w:rPr>
          <w:color w:val="383638"/>
          <w:w w:val="110"/>
          <w:sz w:val="24"/>
        </w:rPr>
        <w:t>will</w:t>
      </w:r>
      <w:r>
        <w:rPr>
          <w:color w:val="383638"/>
          <w:spacing w:val="1"/>
          <w:w w:val="110"/>
          <w:sz w:val="24"/>
        </w:rPr>
        <w:t> </w:t>
      </w:r>
      <w:r>
        <w:rPr>
          <w:color w:val="383638"/>
          <w:w w:val="110"/>
        </w:rPr>
        <w:t>give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7"/>
          <w:w w:val="110"/>
        </w:rPr>
        <w:t> </w:t>
      </w:r>
      <w:r>
        <w:rPr>
          <w:color w:val="383638"/>
          <w:w w:val="110"/>
        </w:rPr>
        <w:t>reader</w:t>
      </w:r>
      <w:r>
        <w:rPr>
          <w:color w:val="383638"/>
          <w:spacing w:val="29"/>
          <w:w w:val="110"/>
        </w:rPr>
        <w:t> </w:t>
      </w:r>
      <w:r>
        <w:rPr>
          <w:color w:val="383638"/>
          <w:w w:val="110"/>
        </w:rPr>
        <w:t>information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about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at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least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three,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45"/>
          <w:w w:val="110"/>
        </w:rPr>
        <w:t> </w:t>
      </w:r>
      <w:r>
        <w:rPr>
          <w:color w:val="383638"/>
          <w:w w:val="110"/>
        </w:rPr>
        <w:t>preferably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four,</w:t>
      </w:r>
      <w:r>
        <w:rPr>
          <w:color w:val="383638"/>
          <w:spacing w:val="-3"/>
          <w:w w:val="110"/>
        </w:rPr>
        <w:t> </w:t>
      </w:r>
      <w:r>
        <w:rPr>
          <w:rFonts w:ascii="Arial" w:hAnsi="Arial"/>
          <w:b/>
          <w:color w:val="383638"/>
          <w:w w:val="110"/>
          <w:sz w:val="21"/>
        </w:rPr>
        <w:t>of</w:t>
      </w:r>
    </w:p>
    <w:p>
      <w:pPr>
        <w:spacing w:after="0" w:line="230" w:lineRule="auto"/>
        <w:jc w:val="both"/>
        <w:rPr>
          <w:rFonts w:ascii="Arial" w:hAnsi="Arial"/>
          <w:sz w:val="21"/>
        </w:rPr>
        <w:sectPr>
          <w:pgSz w:w="9310" w:h="13820"/>
          <w:pgMar w:header="357" w:footer="0" w:top="940" w:bottom="0" w:left="1280" w:right="0"/>
        </w:sectPr>
      </w:pPr>
    </w:p>
    <w:p>
      <w:pPr>
        <w:pStyle w:val="BodyText"/>
        <w:spacing w:line="235" w:lineRule="auto" w:before="85"/>
        <w:ind w:left="120" w:right="16" w:firstLine="9"/>
        <w:jc w:val="both"/>
      </w:pPr>
      <w:r>
        <w:rPr>
          <w:color w:val="3B3B3B"/>
          <w:w w:val="115"/>
        </w:rPr>
        <w:t>the required elements: the issue, the disposition, the facts, and the rea­</w:t>
      </w:r>
      <w:r>
        <w:rPr>
          <w:color w:val="3B3B3B"/>
          <w:spacing w:val="1"/>
          <w:w w:val="115"/>
        </w:rPr>
        <w:t> </w:t>
      </w:r>
      <w:r>
        <w:rPr>
          <w:color w:val="3B3B3B"/>
          <w:w w:val="110"/>
        </w:rPr>
        <w:t>soning. In the first example below, the text before the citations provides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the disposition, the issue, and the reasoning; the parentheticals, therefore,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need include only the legally significant facts. In the second example, in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5"/>
        </w:rPr>
        <w:t>contrast, which has no introductory text, the parenthetical includes all</w:t>
      </w:r>
      <w:r>
        <w:rPr>
          <w:color w:val="3B3B3B"/>
          <w:spacing w:val="1"/>
          <w:w w:val="115"/>
        </w:rPr>
        <w:t> </w:t>
      </w:r>
      <w:r>
        <w:rPr>
          <w:color w:val="3B3B3B"/>
          <w:w w:val="115"/>
        </w:rPr>
        <w:t>four</w:t>
      </w:r>
      <w:r>
        <w:rPr>
          <w:color w:val="3B3B3B"/>
          <w:spacing w:val="-21"/>
          <w:w w:val="115"/>
        </w:rPr>
        <w:t> </w:t>
      </w:r>
      <w:r>
        <w:rPr>
          <w:color w:val="3B3B3B"/>
          <w:w w:val="115"/>
        </w:rPr>
        <w:t>elements:</w:t>
      </w:r>
    </w:p>
    <w:p>
      <w:pPr>
        <w:spacing w:before="97"/>
        <w:ind w:left="113" w:right="0" w:firstLine="0"/>
        <w:jc w:val="both"/>
        <w:rPr>
          <w:sz w:val="15"/>
        </w:rPr>
      </w:pPr>
      <w:r>
        <w:rPr>
          <w:i/>
          <w:color w:val="606062"/>
          <w:w w:val="90"/>
          <w:sz w:val="25"/>
          <w:u w:val="thick" w:color="606062"/>
        </w:rPr>
        <w:t>...f:.</w:t>
      </w:r>
      <w:r>
        <w:rPr>
          <w:i/>
          <w:color w:val="606062"/>
          <w:w w:val="90"/>
          <w:sz w:val="25"/>
        </w:rPr>
        <w:t>.</w:t>
      </w:r>
      <w:r>
        <w:rPr>
          <w:i/>
          <w:color w:val="606062"/>
          <w:spacing w:val="-10"/>
          <w:w w:val="90"/>
          <w:sz w:val="25"/>
        </w:rPr>
        <w:t> </w:t>
      </w:r>
      <w:r>
        <w:rPr>
          <w:color w:val="3B3B3B"/>
          <w:w w:val="90"/>
          <w:sz w:val="15"/>
          <w:u w:val="thick" w:color="3B3B3B"/>
        </w:rPr>
        <w:t>GOOD</w:t>
      </w:r>
      <w:r>
        <w:rPr>
          <w:color w:val="3B3B3B"/>
          <w:spacing w:val="9"/>
          <w:w w:val="90"/>
          <w:sz w:val="15"/>
          <w:u w:val="thick" w:color="3B3B3B"/>
        </w:rPr>
        <w:t> </w:t>
      </w:r>
      <w:r>
        <w:rPr>
          <w:color w:val="3B3B3B"/>
          <w:w w:val="90"/>
          <w:sz w:val="15"/>
          <w:u w:val="thick" w:color="3B3B3B"/>
        </w:rPr>
        <w:t>EXAMP</w:t>
      </w:r>
      <w:r>
        <w:rPr>
          <w:color w:val="606062"/>
          <w:w w:val="90"/>
          <w:sz w:val="15"/>
          <w:u w:val="thick" w:color="3B3B3B"/>
        </w:rPr>
        <w:t>L</w:t>
      </w:r>
      <w:r>
        <w:rPr>
          <w:color w:val="3B3B3B"/>
          <w:w w:val="90"/>
          <w:sz w:val="15"/>
          <w:u w:val="thick" w:color="3B3B3B"/>
        </w:rPr>
        <w:t>ES</w:t>
      </w:r>
    </w:p>
    <w:p>
      <w:pPr>
        <w:spacing w:line="230" w:lineRule="auto" w:before="85"/>
        <w:ind w:left="470" w:right="349" w:firstLine="0"/>
        <w:jc w:val="both"/>
        <w:rPr>
          <w:sz w:val="22"/>
        </w:rPr>
      </w:pPr>
      <w:r>
        <w:rPr>
          <w:color w:val="3B3B3B"/>
          <w:w w:val="115"/>
          <w:sz w:val="21"/>
        </w:rPr>
        <w:t>Courts have justified striking down </w:t>
      </w:r>
      <w:r>
        <w:rPr>
          <w:rFonts w:ascii="Arial" w:hAnsi="Arial"/>
          <w:color w:val="3B3B3B"/>
          <w:w w:val="115"/>
          <w:sz w:val="15"/>
        </w:rPr>
        <w:t>2</w:t>
      </w:r>
      <w:r>
        <w:rPr>
          <w:rFonts w:ascii="Arial" w:hAnsi="Arial"/>
          <w:color w:val="3B3B3B"/>
          <w:spacing w:val="1"/>
          <w:w w:val="115"/>
          <w:sz w:val="15"/>
        </w:rPr>
        <w:t> </w:t>
      </w:r>
      <w:r>
        <w:rPr>
          <w:color w:val="3B3B3B"/>
          <w:w w:val="115"/>
          <w:sz w:val="21"/>
        </w:rPr>
        <w:t>a variety of gender-based classi­</w:t>
      </w:r>
      <w:r>
        <w:rPr>
          <w:color w:val="3B3B3B"/>
          <w:spacing w:val="1"/>
          <w:w w:val="115"/>
          <w:sz w:val="21"/>
        </w:rPr>
        <w:t> </w:t>
      </w:r>
      <w:r>
        <w:rPr>
          <w:color w:val="3B3B3B"/>
          <w:w w:val="115"/>
          <w:sz w:val="21"/>
        </w:rPr>
        <w:t>fications</w:t>
      </w:r>
      <w:r>
        <w:rPr>
          <w:color w:val="3B3B3B"/>
          <w:spacing w:val="1"/>
          <w:w w:val="115"/>
          <w:sz w:val="21"/>
        </w:rPr>
        <w:t> </w:t>
      </w:r>
      <w:r>
        <w:rPr>
          <w:b/>
          <w:color w:val="3B3B3B"/>
          <w:w w:val="115"/>
          <w:sz w:val="17"/>
        </w:rPr>
        <w:t>1</w:t>
      </w:r>
      <w:r>
        <w:rPr>
          <w:b/>
          <w:color w:val="3B3B3B"/>
          <w:spacing w:val="1"/>
          <w:w w:val="115"/>
          <w:sz w:val="17"/>
        </w:rPr>
        <w:t> </w:t>
      </w:r>
      <w:r>
        <w:rPr>
          <w:color w:val="3B3B3B"/>
          <w:w w:val="115"/>
          <w:sz w:val="21"/>
        </w:rPr>
        <w:t>when those classifications were based on "overbroad gen­</w:t>
      </w:r>
      <w:r>
        <w:rPr>
          <w:color w:val="3B3B3B"/>
          <w:spacing w:val="1"/>
          <w:w w:val="115"/>
          <w:sz w:val="21"/>
        </w:rPr>
        <w:t> </w:t>
      </w:r>
      <w:r>
        <w:rPr>
          <w:color w:val="3B3B3B"/>
          <w:w w:val="115"/>
          <w:sz w:val="21"/>
        </w:rPr>
        <w:t>eralizations</w:t>
      </w:r>
      <w:r>
        <w:rPr>
          <w:color w:val="3B3B3B"/>
          <w:spacing w:val="-10"/>
          <w:w w:val="115"/>
          <w:sz w:val="21"/>
        </w:rPr>
        <w:t> </w:t>
      </w:r>
      <w:r>
        <w:rPr>
          <w:color w:val="3B3B3B"/>
          <w:w w:val="115"/>
          <w:sz w:val="21"/>
        </w:rPr>
        <w:t>about</w:t>
      </w:r>
      <w:r>
        <w:rPr>
          <w:color w:val="3B3B3B"/>
          <w:spacing w:val="-4"/>
          <w:w w:val="115"/>
          <w:sz w:val="21"/>
        </w:rPr>
        <w:t> </w:t>
      </w:r>
      <w:r>
        <w:rPr>
          <w:color w:val="3B3B3B"/>
          <w:w w:val="115"/>
          <w:sz w:val="21"/>
        </w:rPr>
        <w:t>the</w:t>
      </w:r>
      <w:r>
        <w:rPr>
          <w:color w:val="3B3B3B"/>
          <w:spacing w:val="6"/>
          <w:w w:val="115"/>
          <w:sz w:val="21"/>
        </w:rPr>
        <w:t> </w:t>
      </w:r>
      <w:r>
        <w:rPr>
          <w:color w:val="3B3B3B"/>
          <w:w w:val="115"/>
          <w:sz w:val="21"/>
        </w:rPr>
        <w:t>different</w:t>
      </w:r>
      <w:r>
        <w:rPr>
          <w:color w:val="3B3B3B"/>
          <w:spacing w:val="-7"/>
          <w:w w:val="115"/>
          <w:sz w:val="21"/>
        </w:rPr>
        <w:t> </w:t>
      </w:r>
      <w:r>
        <w:rPr>
          <w:color w:val="3B3B3B"/>
          <w:w w:val="115"/>
          <w:sz w:val="21"/>
        </w:rPr>
        <w:t>capabilities</w:t>
      </w:r>
      <w:r>
        <w:rPr>
          <w:color w:val="3B3B3B"/>
          <w:spacing w:val="-17"/>
          <w:w w:val="115"/>
          <w:sz w:val="21"/>
        </w:rPr>
        <w:t> </w:t>
      </w:r>
      <w:r>
        <w:rPr>
          <w:color w:val="3B3B3B"/>
          <w:w w:val="115"/>
          <w:sz w:val="21"/>
        </w:rPr>
        <w:t>of</w:t>
      </w:r>
      <w:r>
        <w:rPr>
          <w:color w:val="3B3B3B"/>
          <w:spacing w:val="17"/>
          <w:w w:val="115"/>
          <w:sz w:val="21"/>
        </w:rPr>
        <w:t> </w:t>
      </w:r>
      <w:r>
        <w:rPr>
          <w:color w:val="3B3B3B"/>
          <w:w w:val="115"/>
          <w:sz w:val="21"/>
        </w:rPr>
        <w:t>men</w:t>
      </w:r>
      <w:r>
        <w:rPr>
          <w:color w:val="3B3B3B"/>
          <w:spacing w:val="1"/>
          <w:w w:val="115"/>
          <w:sz w:val="21"/>
        </w:rPr>
        <w:t> </w:t>
      </w:r>
      <w:r>
        <w:rPr>
          <w:color w:val="3B3B3B"/>
          <w:w w:val="115"/>
          <w:sz w:val="21"/>
        </w:rPr>
        <w:t>and</w:t>
      </w:r>
      <w:r>
        <w:rPr>
          <w:color w:val="3B3B3B"/>
          <w:spacing w:val="38"/>
          <w:w w:val="115"/>
          <w:sz w:val="21"/>
        </w:rPr>
        <w:t> </w:t>
      </w:r>
      <w:r>
        <w:rPr>
          <w:color w:val="3B3B3B"/>
          <w:w w:val="115"/>
          <w:sz w:val="21"/>
        </w:rPr>
        <w:t>women."</w:t>
      </w:r>
      <w:r>
        <w:rPr>
          <w:color w:val="3B3B3B"/>
          <w:spacing w:val="54"/>
          <w:w w:val="115"/>
          <w:sz w:val="21"/>
        </w:rPr>
        <w:t> </w:t>
      </w:r>
      <w:r>
        <w:rPr>
          <w:rFonts w:ascii="Arial" w:hAnsi="Arial"/>
          <w:b/>
          <w:color w:val="3B3B3B"/>
          <w:w w:val="115"/>
          <w:sz w:val="15"/>
        </w:rPr>
        <w:t>4</w:t>
      </w:r>
      <w:r>
        <w:rPr>
          <w:rFonts w:ascii="Arial" w:hAnsi="Arial"/>
          <w:b/>
          <w:color w:val="3B3B3B"/>
          <w:spacing w:val="4"/>
          <w:w w:val="115"/>
          <w:sz w:val="15"/>
        </w:rPr>
        <w:t> </w:t>
      </w:r>
      <w:r>
        <w:rPr>
          <w:color w:val="3B3B3B"/>
          <w:w w:val="115"/>
          <w:sz w:val="22"/>
        </w:rPr>
        <w:t>lli.</w:t>
      </w:r>
    </w:p>
    <w:p>
      <w:pPr>
        <w:spacing w:line="240" w:lineRule="auto" w:before="0"/>
        <w:ind w:left="484" w:right="362" w:firstLine="416"/>
        <w:jc w:val="both"/>
        <w:rPr>
          <w:rFonts w:ascii="Arial"/>
          <w:b/>
          <w:sz w:val="15"/>
        </w:rPr>
      </w:pPr>
      <w:r>
        <w:rPr>
          <w:color w:val="3B3B3B"/>
          <w:w w:val="105"/>
          <w:sz w:val="21"/>
          <w:u w:val="thick" w:color="3B3B3B"/>
        </w:rPr>
        <w:t>Virginia,</w:t>
      </w:r>
      <w:r>
        <w:rPr>
          <w:color w:val="3B3B3B"/>
          <w:w w:val="105"/>
          <w:sz w:val="21"/>
        </w:rPr>
        <w:t> 518</w:t>
      </w:r>
      <w:r>
        <w:rPr>
          <w:color w:val="3B3B3B"/>
          <w:spacing w:val="1"/>
          <w:w w:val="105"/>
          <w:sz w:val="21"/>
        </w:rPr>
        <w:t> </w:t>
      </w:r>
      <w:r>
        <w:rPr>
          <w:color w:val="3B3B3B"/>
          <w:w w:val="105"/>
          <w:sz w:val="21"/>
        </w:rPr>
        <w:t>U.S. at</w:t>
      </w:r>
      <w:r>
        <w:rPr>
          <w:color w:val="3B3B3B"/>
          <w:spacing w:val="1"/>
          <w:w w:val="105"/>
          <w:sz w:val="21"/>
        </w:rPr>
        <w:t> </w:t>
      </w:r>
      <w:r>
        <w:rPr>
          <w:color w:val="3B3B3B"/>
          <w:w w:val="105"/>
          <w:sz w:val="21"/>
        </w:rPr>
        <w:t>533</w:t>
      </w:r>
      <w:r>
        <w:rPr>
          <w:color w:val="3B3B3B"/>
          <w:spacing w:val="1"/>
          <w:w w:val="105"/>
          <w:sz w:val="21"/>
        </w:rPr>
        <w:t> </w:t>
      </w:r>
      <w:r>
        <w:rPr>
          <w:color w:val="3B3B3B"/>
          <w:w w:val="105"/>
          <w:sz w:val="21"/>
        </w:rPr>
        <w:t>(single-sex state-run military schools)  </w:t>
      </w:r>
      <w:r>
        <w:rPr>
          <w:b/>
          <w:color w:val="3B3B3B"/>
          <w:w w:val="105"/>
          <w:sz w:val="19"/>
        </w:rPr>
        <w:t>3;</w:t>
      </w:r>
      <w:r>
        <w:rPr>
          <w:b/>
          <w:color w:val="3B3B3B"/>
          <w:spacing w:val="1"/>
          <w:w w:val="105"/>
          <w:sz w:val="19"/>
        </w:rPr>
        <w:t> </w:t>
      </w:r>
      <w:r>
        <w:rPr>
          <w:b/>
          <w:color w:val="3B3B3B"/>
          <w:w w:val="105"/>
          <w:sz w:val="21"/>
          <w:u w:val="thick" w:color="3B3B3B"/>
        </w:rPr>
        <w:t>J.E.B. </w:t>
      </w:r>
      <w:r>
        <w:rPr>
          <w:b/>
          <w:color w:val="3B3B3B"/>
          <w:w w:val="105"/>
          <w:sz w:val="19"/>
          <w:u w:val="thick" w:color="3B3B3B"/>
        </w:rPr>
        <w:t>v. </w:t>
      </w:r>
      <w:r>
        <w:rPr>
          <w:b/>
          <w:color w:val="3B3B3B"/>
          <w:w w:val="105"/>
          <w:sz w:val="21"/>
          <w:u w:val="thick" w:color="3B3B3B"/>
        </w:rPr>
        <w:t>T.B..</w:t>
      </w:r>
      <w:r>
        <w:rPr>
          <w:b/>
          <w:color w:val="3B3B3B"/>
          <w:w w:val="105"/>
          <w:sz w:val="21"/>
        </w:rPr>
        <w:t> 511  U.S. at 138-40 (gender-based peremptory challenges</w:t>
      </w:r>
      <w:r>
        <w:rPr>
          <w:b/>
          <w:color w:val="3B3B3B"/>
          <w:spacing w:val="1"/>
          <w:w w:val="105"/>
          <w:sz w:val="21"/>
        </w:rPr>
        <w:t> </w:t>
      </w:r>
      <w:r>
        <w:rPr>
          <w:b/>
          <w:color w:val="3B3B3B"/>
          <w:w w:val="105"/>
          <w:sz w:val="21"/>
        </w:rPr>
        <w:t>in</w:t>
      </w:r>
      <w:r>
        <w:rPr>
          <w:b/>
          <w:color w:val="3B3B3B"/>
          <w:spacing w:val="10"/>
          <w:w w:val="105"/>
          <w:sz w:val="21"/>
        </w:rPr>
        <w:t> </w:t>
      </w:r>
      <w:r>
        <w:rPr>
          <w:rFonts w:ascii="Arial"/>
          <w:b/>
          <w:color w:val="3B3B3B"/>
          <w:w w:val="105"/>
          <w:sz w:val="19"/>
        </w:rPr>
        <w:t>jury</w:t>
      </w:r>
      <w:r>
        <w:rPr>
          <w:rFonts w:ascii="Arial"/>
          <w:b/>
          <w:color w:val="3B3B3B"/>
          <w:spacing w:val="-10"/>
          <w:w w:val="105"/>
          <w:sz w:val="19"/>
        </w:rPr>
        <w:t> </w:t>
      </w:r>
      <w:r>
        <w:rPr>
          <w:b/>
          <w:color w:val="3B3B3B"/>
          <w:w w:val="105"/>
          <w:sz w:val="21"/>
        </w:rPr>
        <w:t>selection).</w:t>
      </w:r>
      <w:r>
        <w:rPr>
          <w:b/>
          <w:color w:val="3B3B3B"/>
          <w:spacing w:val="10"/>
          <w:w w:val="105"/>
          <w:sz w:val="21"/>
        </w:rPr>
        <w:t> </w:t>
      </w:r>
      <w:r>
        <w:rPr>
          <w:rFonts w:ascii="Arial"/>
          <w:b/>
          <w:color w:val="3B3B3B"/>
          <w:w w:val="105"/>
          <w:sz w:val="15"/>
        </w:rPr>
        <w:t>3</w:t>
      </w:r>
    </w:p>
    <w:p>
      <w:pPr>
        <w:spacing w:line="232" w:lineRule="auto" w:before="119"/>
        <w:ind w:left="480" w:right="349" w:firstLine="2"/>
        <w:jc w:val="both"/>
        <w:rPr>
          <w:sz w:val="16"/>
        </w:rPr>
      </w:pPr>
      <w:r>
        <w:rPr>
          <w:color w:val="3B3B3B"/>
          <w:w w:val="110"/>
          <w:sz w:val="23"/>
          <w:u w:val="thick" w:color="3B3B3B"/>
        </w:rPr>
        <w:t>I.E.B. </w:t>
      </w:r>
      <w:r>
        <w:rPr>
          <w:b/>
          <w:color w:val="3B3B3B"/>
          <w:w w:val="110"/>
          <w:sz w:val="20"/>
          <w:u w:val="thick" w:color="3B3B3B"/>
        </w:rPr>
        <w:t>v. </w:t>
      </w:r>
      <w:r>
        <w:rPr>
          <w:b/>
          <w:color w:val="3B3B3B"/>
          <w:w w:val="110"/>
          <w:sz w:val="21"/>
          <w:u w:val="thick" w:color="3B3B3B"/>
        </w:rPr>
        <w:t>J.B.,</w:t>
      </w:r>
      <w:r>
        <w:rPr>
          <w:b/>
          <w:color w:val="3B3B3B"/>
          <w:w w:val="110"/>
          <w:sz w:val="21"/>
        </w:rPr>
        <w:t> S11 U.S. 127, 138-40 (1994) ("categorically" rejecting</w:t>
      </w:r>
      <w:r>
        <w:rPr>
          <w:b/>
          <w:color w:val="3B3B3B"/>
          <w:spacing w:val="1"/>
          <w:w w:val="110"/>
          <w:sz w:val="21"/>
        </w:rPr>
        <w:t> </w:t>
      </w:r>
      <w:r>
        <w:rPr>
          <w:b/>
          <w:color w:val="3B3B3B"/>
          <w:w w:val="110"/>
          <w:sz w:val="21"/>
        </w:rPr>
        <w:t>broad assumptions about capabilities of men and women</w:t>
      </w:r>
      <w:r>
        <w:rPr>
          <w:b/>
          <w:color w:val="3B3B3B"/>
          <w:spacing w:val="1"/>
          <w:w w:val="110"/>
          <w:sz w:val="21"/>
        </w:rPr>
        <w:t> </w:t>
      </w:r>
      <w:r>
        <w:rPr>
          <w:rFonts w:ascii="Arial"/>
          <w:b/>
          <w:color w:val="3B3B3B"/>
          <w:w w:val="110"/>
          <w:sz w:val="15"/>
        </w:rPr>
        <w:t>4</w:t>
      </w:r>
      <w:r>
        <w:rPr>
          <w:rFonts w:ascii="Arial"/>
          <w:b/>
          <w:color w:val="3B3B3B"/>
          <w:spacing w:val="1"/>
          <w:w w:val="110"/>
          <w:sz w:val="15"/>
        </w:rPr>
        <w:t> </w:t>
      </w:r>
      <w:r>
        <w:rPr>
          <w:b/>
          <w:color w:val="3B3B3B"/>
          <w:w w:val="110"/>
          <w:sz w:val="21"/>
        </w:rPr>
        <w:t>to strike</w:t>
      </w:r>
      <w:r>
        <w:rPr>
          <w:b/>
          <w:color w:val="3B3B3B"/>
          <w:spacing w:val="1"/>
          <w:w w:val="110"/>
          <w:sz w:val="21"/>
        </w:rPr>
        <w:t> </w:t>
      </w:r>
      <w:r>
        <w:rPr>
          <w:b/>
          <w:color w:val="3B3B3B"/>
          <w:w w:val="110"/>
          <w:sz w:val="21"/>
        </w:rPr>
        <w:t>down</w:t>
      </w:r>
      <w:r>
        <w:rPr>
          <w:b/>
          <w:color w:val="3B3B3B"/>
          <w:spacing w:val="45"/>
          <w:w w:val="110"/>
          <w:sz w:val="21"/>
        </w:rPr>
        <w:t> </w:t>
      </w:r>
      <w:r>
        <w:rPr>
          <w:b/>
          <w:color w:val="3B3B3B"/>
          <w:w w:val="110"/>
          <w:sz w:val="16"/>
        </w:rPr>
        <w:t>2</w:t>
      </w:r>
      <w:r>
        <w:rPr>
          <w:b/>
          <w:color w:val="3B3B3B"/>
          <w:spacing w:val="12"/>
          <w:w w:val="110"/>
          <w:sz w:val="16"/>
        </w:rPr>
        <w:t> </w:t>
      </w:r>
      <w:r>
        <w:rPr>
          <w:b/>
          <w:color w:val="3B3B3B"/>
          <w:w w:val="110"/>
          <w:sz w:val="21"/>
        </w:rPr>
        <w:t>sex-based</w:t>
      </w:r>
      <w:r>
        <w:rPr>
          <w:b/>
          <w:color w:val="3B3B3B"/>
          <w:spacing w:val="46"/>
          <w:w w:val="110"/>
          <w:sz w:val="21"/>
        </w:rPr>
        <w:t> </w:t>
      </w:r>
      <w:r>
        <w:rPr>
          <w:b/>
          <w:color w:val="3B3B3B"/>
          <w:w w:val="110"/>
          <w:sz w:val="16"/>
        </w:rPr>
        <w:t>1</w:t>
      </w:r>
      <w:r>
        <w:rPr>
          <w:b/>
          <w:color w:val="3B3B3B"/>
          <w:spacing w:val="34"/>
          <w:w w:val="110"/>
          <w:sz w:val="16"/>
        </w:rPr>
        <w:t> </w:t>
      </w:r>
      <w:r>
        <w:rPr>
          <w:b/>
          <w:color w:val="3B3B3B"/>
          <w:w w:val="110"/>
          <w:sz w:val="21"/>
        </w:rPr>
        <w:t>peremptory</w:t>
      </w:r>
      <w:r>
        <w:rPr>
          <w:b/>
          <w:color w:val="3B3B3B"/>
          <w:spacing w:val="1"/>
          <w:w w:val="110"/>
          <w:sz w:val="21"/>
        </w:rPr>
        <w:t> </w:t>
      </w:r>
      <w:r>
        <w:rPr>
          <w:b/>
          <w:color w:val="3B3B3B"/>
          <w:w w:val="110"/>
          <w:sz w:val="21"/>
        </w:rPr>
        <w:t>challenges</w:t>
      </w:r>
      <w:r>
        <w:rPr>
          <w:b/>
          <w:color w:val="3B3B3B"/>
          <w:spacing w:val="42"/>
          <w:w w:val="110"/>
          <w:sz w:val="21"/>
        </w:rPr>
        <w:t> </w:t>
      </w:r>
      <w:r>
        <w:rPr>
          <w:b/>
          <w:color w:val="3B3B3B"/>
          <w:w w:val="110"/>
          <w:sz w:val="16"/>
        </w:rPr>
        <w:t>3</w:t>
      </w:r>
      <w:r>
        <w:rPr>
          <w:b/>
          <w:color w:val="3B3B3B"/>
          <w:spacing w:val="18"/>
          <w:w w:val="110"/>
          <w:sz w:val="16"/>
        </w:rPr>
        <w:t> </w:t>
      </w:r>
      <w:r>
        <w:rPr>
          <w:color w:val="3B3B3B"/>
          <w:w w:val="110"/>
          <w:sz w:val="16"/>
        </w:rPr>
        <w:t>).</w:t>
      </w:r>
    </w:p>
    <w:p>
      <w:pPr>
        <w:pStyle w:val="BodyText"/>
        <w:spacing w:before="135"/>
        <w:ind w:left="139"/>
        <w:jc w:val="both"/>
      </w:pPr>
      <w:r>
        <w:rPr>
          <w:color w:val="3B3B3B"/>
          <w:w w:val="110"/>
        </w:rPr>
        <w:t>As</w:t>
      </w:r>
      <w:r>
        <w:rPr>
          <w:color w:val="3B3B3B"/>
          <w:spacing w:val="6"/>
          <w:w w:val="110"/>
        </w:rPr>
        <w:t> </w:t>
      </w:r>
      <w:r>
        <w:rPr>
          <w:color w:val="3B3B3B"/>
          <w:w w:val="110"/>
        </w:rPr>
        <w:t>with</w:t>
      </w:r>
      <w:r>
        <w:rPr>
          <w:color w:val="3B3B3B"/>
          <w:spacing w:val="24"/>
          <w:w w:val="110"/>
        </w:rPr>
        <w:t> </w:t>
      </w:r>
      <w:r>
        <w:rPr>
          <w:color w:val="3B3B3B"/>
          <w:w w:val="110"/>
        </w:rPr>
        <w:t>textual</w:t>
      </w:r>
      <w:r>
        <w:rPr>
          <w:color w:val="3B3B3B"/>
          <w:spacing w:val="20"/>
          <w:w w:val="110"/>
        </w:rPr>
        <w:t> </w:t>
      </w:r>
      <w:r>
        <w:rPr>
          <w:color w:val="3B3B3B"/>
          <w:w w:val="110"/>
        </w:rPr>
        <w:t>descriptions,</w:t>
      </w:r>
      <w:r>
        <w:rPr>
          <w:color w:val="3B3B3B"/>
          <w:spacing w:val="33"/>
          <w:w w:val="110"/>
        </w:rPr>
        <w:t> </w:t>
      </w:r>
      <w:r>
        <w:rPr>
          <w:color w:val="3B3B3B"/>
          <w:w w:val="110"/>
        </w:rPr>
        <w:t>using</w:t>
      </w:r>
      <w:r>
        <w:rPr>
          <w:color w:val="3B3B3B"/>
          <w:spacing w:val="17"/>
          <w:w w:val="110"/>
        </w:rPr>
        <w:t> </w:t>
      </w:r>
      <w:r>
        <w:rPr>
          <w:color w:val="3B3B3B"/>
          <w:w w:val="110"/>
        </w:rPr>
        <w:t>language</w:t>
      </w:r>
      <w:r>
        <w:rPr>
          <w:color w:val="3B3B3B"/>
          <w:spacing w:val="21"/>
          <w:w w:val="110"/>
        </w:rPr>
        <w:t> </w:t>
      </w:r>
      <w:r>
        <w:rPr>
          <w:color w:val="3B3B3B"/>
          <w:w w:val="110"/>
        </w:rPr>
        <w:t>effectively</w:t>
      </w:r>
      <w:r>
        <w:rPr>
          <w:color w:val="3B3B3B"/>
          <w:spacing w:val="16"/>
          <w:w w:val="110"/>
        </w:rPr>
        <w:t> </w:t>
      </w:r>
      <w:r>
        <w:rPr>
          <w:color w:val="3B3B3B"/>
          <w:w w:val="110"/>
        </w:rPr>
        <w:t>and</w:t>
      </w:r>
      <w:r>
        <w:rPr>
          <w:color w:val="3B3B3B"/>
          <w:spacing w:val="60"/>
          <w:w w:val="110"/>
        </w:rPr>
        <w:t> </w:t>
      </w:r>
      <w:r>
        <w:rPr>
          <w:color w:val="3B3B3B"/>
          <w:w w:val="110"/>
        </w:rPr>
        <w:t>focusing</w:t>
      </w:r>
      <w:r>
        <w:rPr>
          <w:color w:val="3B3B3B"/>
          <w:spacing w:val="3"/>
          <w:w w:val="110"/>
        </w:rPr>
        <w:t> </w:t>
      </w:r>
      <w:r>
        <w:rPr>
          <w:color w:val="3B3B3B"/>
          <w:w w:val="110"/>
        </w:rPr>
        <w:t>on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14"/>
        </w:rPr>
      </w:pPr>
    </w:p>
    <w:p>
      <w:pPr>
        <w:pStyle w:val="ListParagraph"/>
        <w:numPr>
          <w:ilvl w:val="0"/>
          <w:numId w:val="55"/>
        </w:numPr>
        <w:tabs>
          <w:tab w:pos="169" w:val="left" w:leader="none"/>
        </w:tabs>
        <w:spacing w:line="240" w:lineRule="auto" w:before="0" w:after="0"/>
        <w:ind w:left="168" w:right="0" w:hanging="177"/>
        <w:jc w:val="left"/>
        <w:rPr>
          <w:rFonts w:ascii="Arial"/>
          <w:sz w:val="14"/>
        </w:rPr>
      </w:pPr>
      <w:r>
        <w:rPr>
          <w:rFonts w:ascii="Arial"/>
          <w:color w:val="3B3B3B"/>
          <w:w w:val="105"/>
          <w:sz w:val="14"/>
        </w:rPr>
        <w:t>Dispos</w:t>
      </w:r>
      <w:r>
        <w:rPr>
          <w:rFonts w:ascii="Arial"/>
          <w:color w:val="606062"/>
          <w:w w:val="105"/>
          <w:sz w:val="14"/>
        </w:rPr>
        <w:t>i</w:t>
      </w:r>
      <w:r>
        <w:rPr>
          <w:rFonts w:ascii="Arial"/>
          <w:color w:val="3B3B3B"/>
          <w:w w:val="105"/>
          <w:sz w:val="14"/>
        </w:rPr>
        <w:t>tion</w:t>
      </w:r>
    </w:p>
    <w:p>
      <w:pPr>
        <w:pStyle w:val="ListParagraph"/>
        <w:numPr>
          <w:ilvl w:val="0"/>
          <w:numId w:val="55"/>
        </w:numPr>
        <w:tabs>
          <w:tab w:pos="174" w:val="left" w:leader="none"/>
        </w:tabs>
        <w:spacing w:line="240" w:lineRule="auto" w:before="49" w:after="0"/>
        <w:ind w:left="173" w:right="0" w:hanging="184"/>
        <w:jc w:val="left"/>
        <w:rPr>
          <w:sz w:val="15"/>
        </w:rPr>
      </w:pPr>
      <w:r>
        <w:rPr>
          <w:color w:val="3B3B3B"/>
          <w:w w:val="120"/>
          <w:sz w:val="15"/>
        </w:rPr>
        <w:t>facts</w:t>
      </w:r>
    </w:p>
    <w:p>
      <w:pPr>
        <w:pStyle w:val="ListParagraph"/>
        <w:numPr>
          <w:ilvl w:val="0"/>
          <w:numId w:val="55"/>
        </w:numPr>
        <w:tabs>
          <w:tab w:pos="178" w:val="left" w:leader="none"/>
        </w:tabs>
        <w:spacing w:line="240" w:lineRule="auto" w:before="29" w:after="0"/>
        <w:ind w:left="177" w:right="0" w:hanging="185"/>
        <w:jc w:val="left"/>
        <w:rPr>
          <w:rFonts w:ascii="Arial"/>
          <w:sz w:val="14"/>
        </w:rPr>
      </w:pPr>
      <w:r>
        <w:rPr>
          <w:rFonts w:ascii="Arial"/>
          <w:color w:val="3B3B3B"/>
          <w:sz w:val="14"/>
        </w:rPr>
        <w:t>Reasoning</w:t>
      </w:r>
    </w:p>
    <w:p>
      <w:pPr>
        <w:spacing w:after="0" w:line="240" w:lineRule="auto"/>
        <w:jc w:val="left"/>
        <w:rPr>
          <w:rFonts w:ascii="Arial"/>
          <w:sz w:val="14"/>
        </w:rPr>
        <w:sectPr>
          <w:headerReference w:type="default" r:id="rId149"/>
          <w:headerReference w:type="even" r:id="rId150"/>
          <w:pgSz w:w="9620" w:h="13770"/>
          <w:pgMar w:header="533" w:footer="0" w:top="1120" w:bottom="280" w:left="360" w:right="540"/>
          <w:cols w:num="2" w:equalWidth="0">
            <w:col w:w="7674" w:space="40"/>
            <w:col w:w="1006"/>
          </w:cols>
        </w:sectPr>
      </w:pPr>
    </w:p>
    <w:p>
      <w:pPr>
        <w:pStyle w:val="BodyText"/>
        <w:spacing w:line="244" w:lineRule="auto"/>
        <w:ind w:left="141" w:right="845" w:hanging="3"/>
      </w:pPr>
      <w:r>
        <w:rPr>
          <w:color w:val="3B3B3B"/>
          <w:w w:val="110"/>
        </w:rPr>
        <w:t>the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phrase-that-pays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can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help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to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make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parenthetical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descriptions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more</w:t>
      </w:r>
      <w:r>
        <w:rPr>
          <w:color w:val="3B3B3B"/>
          <w:spacing w:val="-61"/>
          <w:w w:val="110"/>
        </w:rPr>
        <w:t> </w:t>
      </w:r>
      <w:r>
        <w:rPr>
          <w:color w:val="3B3B3B"/>
          <w:w w:val="110"/>
        </w:rPr>
        <w:t>useful.</w:t>
      </w:r>
    </w:p>
    <w:p>
      <w:pPr>
        <w:pStyle w:val="BodyText"/>
        <w:spacing w:line="243" w:lineRule="exact"/>
        <w:ind w:left="494"/>
      </w:pPr>
      <w:r>
        <w:rPr>
          <w:color w:val="3B3B3B"/>
          <w:w w:val="110"/>
        </w:rPr>
        <w:t>Knowing</w:t>
      </w:r>
      <w:r>
        <w:rPr>
          <w:color w:val="3B3B3B"/>
          <w:spacing w:val="9"/>
          <w:w w:val="110"/>
        </w:rPr>
        <w:t> </w:t>
      </w:r>
      <w:r>
        <w:rPr>
          <w:color w:val="3B3B3B"/>
          <w:w w:val="110"/>
        </w:rPr>
        <w:t>how </w:t>
      </w:r>
      <w:r>
        <w:rPr>
          <w:color w:val="3B3B3B"/>
          <w:spacing w:val="21"/>
          <w:w w:val="110"/>
        </w:rPr>
        <w:t> </w:t>
      </w:r>
      <w:r>
        <w:rPr>
          <w:color w:val="3B3B3B"/>
          <w:w w:val="110"/>
        </w:rPr>
        <w:t>to </w:t>
      </w:r>
      <w:r>
        <w:rPr>
          <w:color w:val="3B3B3B"/>
          <w:spacing w:val="34"/>
          <w:w w:val="110"/>
        </w:rPr>
        <w:t> </w:t>
      </w:r>
      <w:r>
        <w:rPr>
          <w:color w:val="3B3B3B"/>
          <w:w w:val="110"/>
        </w:rPr>
        <w:t>write</w:t>
      </w:r>
      <w:r>
        <w:rPr>
          <w:color w:val="3B3B3B"/>
          <w:spacing w:val="56"/>
          <w:w w:val="110"/>
        </w:rPr>
        <w:t> </w:t>
      </w:r>
      <w:r>
        <w:rPr>
          <w:color w:val="3B3B3B"/>
          <w:w w:val="110"/>
        </w:rPr>
        <w:t>effective </w:t>
      </w:r>
      <w:r>
        <w:rPr>
          <w:color w:val="3B3B3B"/>
          <w:spacing w:val="16"/>
          <w:w w:val="110"/>
        </w:rPr>
        <w:t> </w:t>
      </w:r>
      <w:r>
        <w:rPr>
          <w:color w:val="3B3B3B"/>
          <w:w w:val="110"/>
        </w:rPr>
        <w:t>parenthetical </w:t>
      </w:r>
      <w:r>
        <w:rPr>
          <w:color w:val="3B3B3B"/>
          <w:spacing w:val="21"/>
          <w:w w:val="110"/>
        </w:rPr>
        <w:t> </w:t>
      </w:r>
      <w:r>
        <w:rPr>
          <w:color w:val="3B3B3B"/>
          <w:w w:val="110"/>
        </w:rPr>
        <w:t>case</w:t>
      </w:r>
      <w:r>
        <w:rPr>
          <w:color w:val="3B3B3B"/>
          <w:spacing w:val="48"/>
          <w:w w:val="110"/>
        </w:rPr>
        <w:t> </w:t>
      </w:r>
      <w:r>
        <w:rPr>
          <w:color w:val="3B3B3B"/>
          <w:w w:val="110"/>
        </w:rPr>
        <w:t>descriptions </w:t>
      </w:r>
      <w:r>
        <w:rPr>
          <w:color w:val="3B3B3B"/>
          <w:spacing w:val="4"/>
          <w:w w:val="110"/>
        </w:rPr>
        <w:t> </w:t>
      </w:r>
      <w:r>
        <w:rPr>
          <w:color w:val="3B3B3B"/>
          <w:w w:val="110"/>
        </w:rPr>
        <w:t>is</w:t>
      </w:r>
    </w:p>
    <w:p>
      <w:pPr>
        <w:pStyle w:val="BodyText"/>
        <w:spacing w:line="232" w:lineRule="auto"/>
        <w:ind w:left="142" w:right="872" w:firstLine="1"/>
        <w:jc w:val="right"/>
      </w:pPr>
      <w:r>
        <w:rPr>
          <w:color w:val="3B3B3B"/>
          <w:w w:val="110"/>
        </w:rPr>
        <w:t>important,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but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the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writer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must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also know</w:t>
      </w:r>
      <w:r>
        <w:rPr>
          <w:color w:val="3B3B3B"/>
          <w:spacing w:val="1"/>
          <w:w w:val="110"/>
        </w:rPr>
        <w:t> </w:t>
      </w:r>
      <w:r>
        <w:rPr>
          <w:i/>
          <w:color w:val="3B3B3B"/>
          <w:w w:val="110"/>
          <w:sz w:val="22"/>
        </w:rPr>
        <w:t>when</w:t>
      </w:r>
      <w:r>
        <w:rPr>
          <w:i/>
          <w:color w:val="3B3B3B"/>
          <w:spacing w:val="1"/>
          <w:w w:val="110"/>
          <w:sz w:val="22"/>
        </w:rPr>
        <w:t> </w:t>
      </w:r>
      <w:r>
        <w:rPr>
          <w:color w:val="3B3B3B"/>
          <w:w w:val="110"/>
        </w:rPr>
        <w:t>to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use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a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parenthetical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description. Deciding when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to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use a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textual or a parenthetical  description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for</w:t>
      </w:r>
      <w:r>
        <w:rPr>
          <w:color w:val="3B3B3B"/>
          <w:spacing w:val="20"/>
          <w:w w:val="110"/>
        </w:rPr>
        <w:t> </w:t>
      </w:r>
      <w:r>
        <w:rPr>
          <w:color w:val="3B3B3B"/>
          <w:w w:val="110"/>
        </w:rPr>
        <w:t>a</w:t>
      </w:r>
      <w:r>
        <w:rPr>
          <w:color w:val="3B3B3B"/>
          <w:spacing w:val="31"/>
          <w:w w:val="110"/>
        </w:rPr>
        <w:t> </w:t>
      </w:r>
      <w:r>
        <w:rPr>
          <w:color w:val="3B3B3B"/>
          <w:w w:val="110"/>
        </w:rPr>
        <w:t>cited</w:t>
      </w:r>
      <w:r>
        <w:rPr>
          <w:color w:val="3B3B3B"/>
          <w:spacing w:val="43"/>
          <w:w w:val="110"/>
        </w:rPr>
        <w:t> </w:t>
      </w:r>
      <w:r>
        <w:rPr>
          <w:color w:val="3B3B3B"/>
          <w:w w:val="110"/>
        </w:rPr>
        <w:t>case</w:t>
      </w:r>
      <w:r>
        <w:rPr>
          <w:color w:val="3B3B3B"/>
          <w:spacing w:val="37"/>
          <w:w w:val="110"/>
        </w:rPr>
        <w:t> </w:t>
      </w:r>
      <w:r>
        <w:rPr>
          <w:color w:val="3B3B3B"/>
          <w:w w:val="110"/>
        </w:rPr>
        <w:t>is</w:t>
      </w:r>
      <w:r>
        <w:rPr>
          <w:color w:val="3B3B3B"/>
          <w:spacing w:val="35"/>
          <w:w w:val="110"/>
        </w:rPr>
        <w:t> </w:t>
      </w:r>
      <w:r>
        <w:rPr>
          <w:color w:val="3B3B3B"/>
          <w:w w:val="110"/>
        </w:rPr>
        <w:t>really</w:t>
      </w:r>
      <w:r>
        <w:rPr>
          <w:color w:val="3B3B3B"/>
          <w:spacing w:val="33"/>
          <w:w w:val="110"/>
        </w:rPr>
        <w:t> </w:t>
      </w:r>
      <w:r>
        <w:rPr>
          <w:color w:val="3B3B3B"/>
          <w:w w:val="110"/>
        </w:rPr>
        <w:t>a</w:t>
      </w:r>
      <w:r>
        <w:rPr>
          <w:color w:val="3B3B3B"/>
          <w:spacing w:val="49"/>
          <w:w w:val="110"/>
        </w:rPr>
        <w:t> </w:t>
      </w:r>
      <w:r>
        <w:rPr>
          <w:color w:val="3B3B3B"/>
          <w:w w:val="110"/>
        </w:rPr>
        <w:t>question</w:t>
      </w:r>
      <w:r>
        <w:rPr>
          <w:color w:val="3B3B3B"/>
          <w:spacing w:val="51"/>
          <w:w w:val="110"/>
        </w:rPr>
        <w:t> </w:t>
      </w:r>
      <w:r>
        <w:rPr>
          <w:color w:val="3B3B3B"/>
          <w:w w:val="110"/>
        </w:rPr>
        <w:t>about</w:t>
      </w:r>
      <w:r>
        <w:rPr>
          <w:color w:val="3B3B3B"/>
          <w:spacing w:val="54"/>
          <w:w w:val="110"/>
        </w:rPr>
        <w:t> </w:t>
      </w:r>
      <w:r>
        <w:rPr>
          <w:color w:val="3B3B3B"/>
          <w:w w:val="110"/>
        </w:rPr>
        <w:t>how</w:t>
      </w:r>
      <w:r>
        <w:rPr>
          <w:color w:val="3B3B3B"/>
          <w:spacing w:val="37"/>
          <w:w w:val="110"/>
        </w:rPr>
        <w:t> </w:t>
      </w:r>
      <w:r>
        <w:rPr>
          <w:color w:val="3B3B3B"/>
          <w:w w:val="110"/>
        </w:rPr>
        <w:t>much</w:t>
      </w:r>
      <w:r>
        <w:rPr>
          <w:color w:val="3B3B3B"/>
          <w:spacing w:val="35"/>
          <w:w w:val="110"/>
        </w:rPr>
        <w:t> </w:t>
      </w:r>
      <w:r>
        <w:rPr>
          <w:color w:val="3B3B3B"/>
          <w:w w:val="110"/>
        </w:rPr>
        <w:t>detail</w:t>
      </w:r>
      <w:r>
        <w:rPr>
          <w:color w:val="3B3B3B"/>
          <w:spacing w:val="42"/>
          <w:w w:val="110"/>
        </w:rPr>
        <w:t> </w:t>
      </w:r>
      <w:r>
        <w:rPr>
          <w:color w:val="3B3B3B"/>
          <w:w w:val="110"/>
        </w:rPr>
        <w:t>to</w:t>
      </w:r>
      <w:r>
        <w:rPr>
          <w:color w:val="3B3B3B"/>
          <w:spacing w:val="52"/>
          <w:w w:val="110"/>
        </w:rPr>
        <w:t> </w:t>
      </w:r>
      <w:r>
        <w:rPr>
          <w:color w:val="3B3B3B"/>
          <w:w w:val="110"/>
        </w:rPr>
        <w:t>provide.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If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little detail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is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needed,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as when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you are citing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to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a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case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only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for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rule</w:t>
      </w:r>
      <w:r>
        <w:rPr>
          <w:color w:val="3B3B3B"/>
          <w:spacing w:val="-61"/>
          <w:w w:val="110"/>
        </w:rPr>
        <w:t> </w:t>
      </w:r>
      <w:r>
        <w:rPr>
          <w:color w:val="3B3B3B"/>
          <w:w w:val="110"/>
        </w:rPr>
        <w:t>authority, you can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easily use a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parenthetical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description.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Ultimately, your</w:t>
      </w:r>
      <w:r>
        <w:rPr>
          <w:color w:val="3B3B3B"/>
          <w:spacing w:val="-61"/>
          <w:w w:val="110"/>
        </w:rPr>
        <w:t> </w:t>
      </w:r>
      <w:r>
        <w:rPr>
          <w:color w:val="3B3B3B"/>
          <w:w w:val="110"/>
        </w:rPr>
        <w:t>decision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will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be based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on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the  answers  to  two questions: </w:t>
      </w:r>
      <w:r>
        <w:rPr>
          <w:rFonts w:ascii="Arial" w:hAnsi="Arial"/>
          <w:color w:val="3B3B3B"/>
          <w:w w:val="110"/>
          <w:sz w:val="19"/>
        </w:rPr>
        <w:t>(1)  </w:t>
      </w:r>
      <w:r>
        <w:rPr>
          <w:color w:val="3B3B3B"/>
          <w:w w:val="110"/>
        </w:rPr>
        <w:t>How is the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case significant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to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your argument? (2) What information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does the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reader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need to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have to  understand  the case's significance? The  more significant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an authority case is, and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the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more important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it is for the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reader to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under­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stand its facts and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reasoning, the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more detail you need to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provide </w:t>
      </w:r>
      <w:r>
        <w:rPr>
          <w:i/>
          <w:color w:val="3B3B3B"/>
          <w:w w:val="110"/>
          <w:sz w:val="22"/>
        </w:rPr>
        <w:t>in</w:t>
      </w:r>
      <w:r>
        <w:rPr>
          <w:i/>
          <w:color w:val="3B3B3B"/>
          <w:spacing w:val="1"/>
          <w:w w:val="110"/>
          <w:sz w:val="22"/>
        </w:rPr>
        <w:t> </w:t>
      </w:r>
      <w:r>
        <w:rPr>
          <w:i/>
          <w:color w:val="3B3B3B"/>
          <w:w w:val="110"/>
          <w:sz w:val="22"/>
        </w:rPr>
        <w:t>your</w:t>
      </w:r>
      <w:r>
        <w:rPr>
          <w:i/>
          <w:color w:val="3B3B3B"/>
          <w:spacing w:val="1"/>
          <w:w w:val="110"/>
          <w:sz w:val="22"/>
        </w:rPr>
        <w:t> </w:t>
      </w:r>
      <w:r>
        <w:rPr>
          <w:i/>
          <w:color w:val="3B3B3B"/>
          <w:w w:val="110"/>
          <w:sz w:val="22"/>
        </w:rPr>
        <w:t>argument. </w:t>
      </w:r>
      <w:r>
        <w:rPr>
          <w:color w:val="3B3B3B"/>
          <w:w w:val="110"/>
        </w:rPr>
        <w:t>If the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issue or the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authority case is more straightforward, on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the</w:t>
      </w:r>
      <w:r>
        <w:rPr>
          <w:color w:val="3B3B3B"/>
          <w:spacing w:val="-61"/>
          <w:w w:val="110"/>
        </w:rPr>
        <w:t> </w:t>
      </w:r>
      <w:r>
        <w:rPr>
          <w:color w:val="3B3B3B"/>
          <w:w w:val="110"/>
        </w:rPr>
        <w:t>other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hand, you can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provide a shorter  textual description </w:t>
      </w:r>
      <w:r>
        <w:rPr>
          <w:i/>
          <w:color w:val="3B3B3B"/>
          <w:w w:val="110"/>
          <w:sz w:val="22"/>
        </w:rPr>
        <w:t>or </w:t>
      </w:r>
      <w:r>
        <w:rPr>
          <w:color w:val="3B3B3B"/>
          <w:w w:val="110"/>
        </w:rPr>
        <w:t>a  parentheti­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cal description.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Note that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you should generally </w:t>
      </w:r>
      <w:r>
        <w:rPr>
          <w:i/>
          <w:color w:val="3B3B3B"/>
          <w:w w:val="110"/>
          <w:sz w:val="22"/>
        </w:rPr>
        <w:t>not</w:t>
      </w:r>
      <w:r>
        <w:rPr>
          <w:i/>
          <w:color w:val="3B3B3B"/>
          <w:spacing w:val="1"/>
          <w:w w:val="110"/>
          <w:sz w:val="22"/>
        </w:rPr>
        <w:t> </w:t>
      </w:r>
      <w:r>
        <w:rPr>
          <w:color w:val="3B3B3B"/>
          <w:w w:val="110"/>
        </w:rPr>
        <w:t>provide both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a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paren­</w:t>
      </w:r>
      <w:r>
        <w:rPr>
          <w:color w:val="3B3B3B"/>
          <w:spacing w:val="-61"/>
          <w:w w:val="110"/>
        </w:rPr>
        <w:t> </w:t>
      </w:r>
      <w:r>
        <w:rPr>
          <w:color w:val="3B3B3B"/>
          <w:spacing w:val="-1"/>
          <w:w w:val="110"/>
        </w:rPr>
        <w:t>thetical and a textual description </w:t>
      </w:r>
      <w:r>
        <w:rPr>
          <w:color w:val="3B3B3B"/>
          <w:w w:val="110"/>
        </w:rPr>
        <w:t>for the same case. You may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appropriately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have a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sentence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with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introductory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text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that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precedes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a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citation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with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a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parenthetical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description. Generally,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however,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if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you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need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more than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a</w:t>
      </w:r>
      <w:r>
        <w:rPr>
          <w:color w:val="3B3B3B"/>
          <w:spacing w:val="-61"/>
          <w:w w:val="110"/>
        </w:rPr>
        <w:t> </w:t>
      </w:r>
      <w:r>
        <w:rPr>
          <w:color w:val="3B3B3B"/>
          <w:w w:val="110"/>
        </w:rPr>
        <w:t>sentence</w:t>
      </w:r>
      <w:r>
        <w:rPr>
          <w:color w:val="3B3B3B"/>
          <w:spacing w:val="25"/>
          <w:w w:val="110"/>
        </w:rPr>
        <w:t> </w:t>
      </w:r>
      <w:r>
        <w:rPr>
          <w:color w:val="3B3B3B"/>
          <w:w w:val="110"/>
        </w:rPr>
        <w:t>of</w:t>
      </w:r>
      <w:r>
        <w:rPr>
          <w:color w:val="3B3B3B"/>
          <w:spacing w:val="26"/>
          <w:w w:val="110"/>
        </w:rPr>
        <w:t> </w:t>
      </w:r>
      <w:r>
        <w:rPr>
          <w:color w:val="3B3B3B"/>
          <w:w w:val="110"/>
        </w:rPr>
        <w:t>introductory</w:t>
      </w:r>
      <w:r>
        <w:rPr>
          <w:color w:val="3B3B3B"/>
          <w:spacing w:val="42"/>
          <w:w w:val="110"/>
        </w:rPr>
        <w:t> </w:t>
      </w:r>
      <w:r>
        <w:rPr>
          <w:color w:val="3B3B3B"/>
          <w:w w:val="110"/>
        </w:rPr>
        <w:t>text,</w:t>
      </w:r>
      <w:r>
        <w:rPr>
          <w:color w:val="3B3B3B"/>
          <w:spacing w:val="26"/>
          <w:w w:val="110"/>
        </w:rPr>
        <w:t> </w:t>
      </w:r>
      <w:r>
        <w:rPr>
          <w:color w:val="3B3B3B"/>
          <w:w w:val="110"/>
        </w:rPr>
        <w:t>you</w:t>
      </w:r>
      <w:r>
        <w:rPr>
          <w:color w:val="3B3B3B"/>
          <w:spacing w:val="-3"/>
          <w:w w:val="110"/>
        </w:rPr>
        <w:t> </w:t>
      </w:r>
      <w:r>
        <w:rPr>
          <w:color w:val="3B3B3B"/>
          <w:w w:val="110"/>
        </w:rPr>
        <w:t>should</w:t>
      </w:r>
      <w:r>
        <w:rPr>
          <w:color w:val="3B3B3B"/>
          <w:spacing w:val="38"/>
          <w:w w:val="110"/>
        </w:rPr>
        <w:t> </w:t>
      </w:r>
      <w:r>
        <w:rPr>
          <w:color w:val="3B3B3B"/>
          <w:w w:val="110"/>
        </w:rPr>
        <w:t>use</w:t>
      </w:r>
      <w:r>
        <w:rPr>
          <w:color w:val="3B3B3B"/>
          <w:spacing w:val="-12"/>
          <w:w w:val="110"/>
        </w:rPr>
        <w:t> </w:t>
      </w:r>
      <w:r>
        <w:rPr>
          <w:color w:val="3B3B3B"/>
          <w:w w:val="110"/>
        </w:rPr>
        <w:t>a</w:t>
      </w:r>
      <w:r>
        <w:rPr>
          <w:color w:val="3B3B3B"/>
          <w:spacing w:val="40"/>
          <w:w w:val="110"/>
        </w:rPr>
        <w:t> </w:t>
      </w:r>
      <w:r>
        <w:rPr>
          <w:color w:val="3B3B3B"/>
          <w:w w:val="110"/>
        </w:rPr>
        <w:t>textual</w:t>
      </w:r>
      <w:r>
        <w:rPr>
          <w:color w:val="3B3B3B"/>
          <w:spacing w:val="28"/>
          <w:w w:val="110"/>
        </w:rPr>
        <w:t> </w:t>
      </w:r>
      <w:r>
        <w:rPr>
          <w:color w:val="3B3B3B"/>
          <w:w w:val="110"/>
        </w:rPr>
        <w:t>description</w:t>
      </w:r>
      <w:r>
        <w:rPr>
          <w:color w:val="3B3B3B"/>
          <w:spacing w:val="2"/>
          <w:w w:val="110"/>
        </w:rPr>
        <w:t> </w:t>
      </w:r>
      <w:r>
        <w:rPr>
          <w:color w:val="3B3B3B"/>
          <w:w w:val="110"/>
        </w:rPr>
        <w:t>rather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than a parenthetical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one. Likewise,  it  is usually not  appropriate to  follow</w:t>
      </w:r>
      <w:r>
        <w:rPr>
          <w:color w:val="3B3B3B"/>
          <w:spacing w:val="-61"/>
          <w:w w:val="110"/>
        </w:rPr>
        <w:t> </w:t>
      </w:r>
      <w:r>
        <w:rPr>
          <w:color w:val="3B3B3B"/>
          <w:w w:val="110"/>
        </w:rPr>
        <w:t>a parenthetical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case description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with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further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textual description of  a case.</w:t>
      </w:r>
      <w:r>
        <w:rPr>
          <w:color w:val="3B3B3B"/>
          <w:spacing w:val="-61"/>
          <w:w w:val="110"/>
        </w:rPr>
        <w:t> </w:t>
      </w:r>
      <w:r>
        <w:rPr>
          <w:color w:val="3B3B3B"/>
          <w:w w:val="110"/>
        </w:rPr>
        <w:t>As noted  in  Chapter  Five,  the   ideal explanation  section  within  each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unit</w:t>
      </w:r>
      <w:r>
        <w:rPr>
          <w:color w:val="3B3B3B"/>
          <w:spacing w:val="28"/>
          <w:w w:val="110"/>
        </w:rPr>
        <w:t> </w:t>
      </w:r>
      <w:r>
        <w:rPr>
          <w:color w:val="3B3B3B"/>
          <w:w w:val="110"/>
        </w:rPr>
        <w:t>of</w:t>
      </w:r>
      <w:r>
        <w:rPr>
          <w:color w:val="3B3B3B"/>
          <w:spacing w:val="42"/>
          <w:w w:val="110"/>
        </w:rPr>
        <w:t> </w:t>
      </w:r>
      <w:r>
        <w:rPr>
          <w:color w:val="3B3B3B"/>
          <w:w w:val="110"/>
        </w:rPr>
        <w:t>discourse</w:t>
      </w:r>
      <w:r>
        <w:rPr>
          <w:color w:val="3B3B3B"/>
          <w:spacing w:val="44"/>
          <w:w w:val="110"/>
        </w:rPr>
        <w:t> </w:t>
      </w:r>
      <w:r>
        <w:rPr>
          <w:color w:val="3B3B3B"/>
          <w:w w:val="110"/>
        </w:rPr>
        <w:t>in 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your</w:t>
      </w:r>
      <w:r>
        <w:rPr>
          <w:color w:val="3B3B3B"/>
          <w:spacing w:val="31"/>
          <w:w w:val="110"/>
        </w:rPr>
        <w:t> </w:t>
      </w:r>
      <w:r>
        <w:rPr>
          <w:color w:val="3B3B3B"/>
          <w:w w:val="110"/>
        </w:rPr>
        <w:t>argument</w:t>
      </w:r>
      <w:r>
        <w:rPr>
          <w:color w:val="3B3B3B"/>
          <w:spacing w:val="45"/>
          <w:w w:val="110"/>
        </w:rPr>
        <w:t> </w:t>
      </w:r>
      <w:r>
        <w:rPr>
          <w:color w:val="3B3B3B"/>
          <w:w w:val="110"/>
        </w:rPr>
        <w:t>includes</w:t>
      </w:r>
      <w:r>
        <w:rPr>
          <w:color w:val="3B3B3B"/>
          <w:spacing w:val="29"/>
          <w:w w:val="110"/>
        </w:rPr>
        <w:t> </w:t>
      </w:r>
      <w:r>
        <w:rPr>
          <w:color w:val="3B3B3B"/>
          <w:w w:val="110"/>
        </w:rPr>
        <w:t>at </w:t>
      </w:r>
      <w:r>
        <w:rPr>
          <w:color w:val="3B3B3B"/>
          <w:spacing w:val="2"/>
          <w:w w:val="110"/>
        </w:rPr>
        <w:t> </w:t>
      </w:r>
      <w:r>
        <w:rPr>
          <w:color w:val="3B3B3B"/>
          <w:w w:val="110"/>
        </w:rPr>
        <w:t>least</w:t>
      </w:r>
      <w:r>
        <w:rPr>
          <w:color w:val="3B3B3B"/>
          <w:spacing w:val="42"/>
          <w:w w:val="110"/>
        </w:rPr>
        <w:t> </w:t>
      </w:r>
      <w:r>
        <w:rPr>
          <w:color w:val="3B3B3B"/>
          <w:w w:val="110"/>
        </w:rPr>
        <w:t>one </w:t>
      </w:r>
      <w:r>
        <w:rPr>
          <w:color w:val="3B3B3B"/>
          <w:spacing w:val="11"/>
          <w:w w:val="110"/>
        </w:rPr>
        <w:t> </w:t>
      </w:r>
      <w:r>
        <w:rPr>
          <w:color w:val="3B3B3B"/>
          <w:w w:val="110"/>
        </w:rPr>
        <w:t>case</w:t>
      </w:r>
      <w:r>
        <w:rPr>
          <w:color w:val="3B3B3B"/>
          <w:spacing w:val="44"/>
          <w:w w:val="110"/>
        </w:rPr>
        <w:t> </w:t>
      </w:r>
      <w:r>
        <w:rPr>
          <w:color w:val="3B3B3B"/>
          <w:w w:val="110"/>
        </w:rPr>
        <w:t>in</w:t>
      </w:r>
      <w:r>
        <w:rPr>
          <w:color w:val="3B3B3B"/>
          <w:spacing w:val="60"/>
          <w:w w:val="110"/>
        </w:rPr>
        <w:t> </w:t>
      </w:r>
      <w:r>
        <w:rPr>
          <w:color w:val="3B3B3B"/>
          <w:w w:val="110"/>
        </w:rPr>
        <w:t>which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a court found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that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the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rule applied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to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a certain  set  of  facts, and  at  least</w:t>
      </w:r>
      <w:r>
        <w:rPr>
          <w:color w:val="3B3B3B"/>
          <w:spacing w:val="-61"/>
          <w:w w:val="110"/>
        </w:rPr>
        <w:t> </w:t>
      </w:r>
      <w:r>
        <w:rPr>
          <w:color w:val="3B3B3B"/>
          <w:w w:val="110"/>
        </w:rPr>
        <w:t>one</w:t>
      </w:r>
      <w:r>
        <w:rPr>
          <w:color w:val="3B3B3B"/>
          <w:spacing w:val="5"/>
          <w:w w:val="110"/>
        </w:rPr>
        <w:t> </w:t>
      </w:r>
      <w:r>
        <w:rPr>
          <w:color w:val="3B3B3B"/>
          <w:w w:val="110"/>
        </w:rPr>
        <w:t>case</w:t>
      </w:r>
      <w:r>
        <w:rPr>
          <w:color w:val="3B3B3B"/>
          <w:spacing w:val="24"/>
          <w:w w:val="110"/>
        </w:rPr>
        <w:t> </w:t>
      </w:r>
      <w:r>
        <w:rPr>
          <w:color w:val="3B3B3B"/>
          <w:w w:val="110"/>
        </w:rPr>
        <w:t>in  which</w:t>
      </w:r>
      <w:r>
        <w:rPr>
          <w:color w:val="3B3B3B"/>
          <w:spacing w:val="29"/>
          <w:w w:val="110"/>
        </w:rPr>
        <w:t> </w:t>
      </w:r>
      <w:r>
        <w:rPr>
          <w:color w:val="3B3B3B"/>
          <w:w w:val="110"/>
        </w:rPr>
        <w:t>a</w:t>
      </w:r>
      <w:r>
        <w:rPr>
          <w:color w:val="3B3B3B"/>
          <w:spacing w:val="40"/>
          <w:w w:val="110"/>
        </w:rPr>
        <w:t> </w:t>
      </w:r>
      <w:r>
        <w:rPr>
          <w:color w:val="3B3B3B"/>
          <w:w w:val="110"/>
        </w:rPr>
        <w:t>court</w:t>
      </w:r>
      <w:r>
        <w:rPr>
          <w:color w:val="3B3B3B"/>
          <w:spacing w:val="52"/>
          <w:w w:val="110"/>
        </w:rPr>
        <w:t> </w:t>
      </w:r>
      <w:r>
        <w:rPr>
          <w:color w:val="3B3B3B"/>
          <w:w w:val="110"/>
        </w:rPr>
        <w:t>found</w:t>
      </w:r>
      <w:r>
        <w:rPr>
          <w:color w:val="3B3B3B"/>
          <w:spacing w:val="2"/>
          <w:w w:val="110"/>
        </w:rPr>
        <w:t> </w:t>
      </w:r>
      <w:r>
        <w:rPr>
          <w:color w:val="3B3B3B"/>
          <w:w w:val="110"/>
        </w:rPr>
        <w:t>that</w:t>
      </w:r>
      <w:r>
        <w:rPr>
          <w:color w:val="3B3B3B"/>
          <w:spacing w:val="49"/>
          <w:w w:val="110"/>
        </w:rPr>
        <w:t> </w:t>
      </w:r>
      <w:r>
        <w:rPr>
          <w:color w:val="3B3B3B"/>
          <w:w w:val="110"/>
        </w:rPr>
        <w:t>the</w:t>
      </w:r>
      <w:r>
        <w:rPr>
          <w:color w:val="3B3B3B"/>
          <w:spacing w:val="26"/>
          <w:w w:val="110"/>
        </w:rPr>
        <w:t> </w:t>
      </w:r>
      <w:r>
        <w:rPr>
          <w:color w:val="3B3B3B"/>
          <w:w w:val="110"/>
        </w:rPr>
        <w:t>rule</w:t>
      </w:r>
      <w:r>
        <w:rPr>
          <w:color w:val="3B3B3B"/>
          <w:spacing w:val="20"/>
          <w:w w:val="110"/>
        </w:rPr>
        <w:t> </w:t>
      </w:r>
      <w:r>
        <w:rPr>
          <w:color w:val="3B3B3B"/>
          <w:w w:val="110"/>
        </w:rPr>
        <w:t>did</w:t>
      </w:r>
      <w:r>
        <w:rPr>
          <w:color w:val="3B3B3B"/>
          <w:spacing w:val="39"/>
          <w:w w:val="110"/>
        </w:rPr>
        <w:t> </w:t>
      </w:r>
      <w:r>
        <w:rPr>
          <w:i/>
          <w:color w:val="3B3B3B"/>
          <w:w w:val="110"/>
        </w:rPr>
        <w:t>not</w:t>
      </w:r>
      <w:r>
        <w:rPr>
          <w:i/>
          <w:color w:val="3B3B3B"/>
          <w:spacing w:val="8"/>
          <w:w w:val="110"/>
        </w:rPr>
        <w:t> </w:t>
      </w:r>
      <w:r>
        <w:rPr>
          <w:color w:val="3B3B3B"/>
          <w:w w:val="110"/>
        </w:rPr>
        <w:t>apply</w:t>
      </w:r>
      <w:r>
        <w:rPr>
          <w:color w:val="3B3B3B"/>
          <w:spacing w:val="46"/>
          <w:w w:val="110"/>
        </w:rPr>
        <w:t> </w:t>
      </w:r>
      <w:r>
        <w:rPr>
          <w:color w:val="3B3B3B"/>
          <w:w w:val="110"/>
        </w:rPr>
        <w:t>to</w:t>
      </w:r>
      <w:r>
        <w:rPr>
          <w:color w:val="3B3B3B"/>
          <w:spacing w:val="37"/>
          <w:w w:val="110"/>
        </w:rPr>
        <w:t> </w:t>
      </w:r>
      <w:r>
        <w:rPr>
          <w:color w:val="3B3B3B"/>
          <w:w w:val="110"/>
        </w:rPr>
        <w:t>a</w:t>
      </w:r>
      <w:r>
        <w:rPr>
          <w:color w:val="3B3B3B"/>
          <w:spacing w:val="37"/>
          <w:w w:val="110"/>
        </w:rPr>
        <w:t> </w:t>
      </w:r>
      <w:r>
        <w:rPr>
          <w:color w:val="3B3B3B"/>
          <w:w w:val="110"/>
        </w:rPr>
        <w:t>certain</w:t>
      </w:r>
    </w:p>
    <w:p>
      <w:pPr>
        <w:spacing w:after="0" w:line="232" w:lineRule="auto"/>
        <w:jc w:val="right"/>
        <w:sectPr>
          <w:type w:val="continuous"/>
          <w:pgSz w:w="9620" w:h="13770"/>
          <w:pgMar w:header="347" w:footer="0" w:top="340" w:bottom="280" w:left="360" w:right="540"/>
        </w:sectPr>
      </w:pPr>
    </w:p>
    <w:p>
      <w:pPr>
        <w:pStyle w:val="BodyText"/>
        <w:spacing w:line="232" w:lineRule="auto" w:before="87"/>
        <w:ind w:left="1535" w:right="27" w:firstLine="10"/>
        <w:jc w:val="both"/>
      </w:pPr>
      <w:r>
        <w:rPr>
          <w:color w:val="3D3B3D"/>
          <w:w w:val="95"/>
        </w:rPr>
        <w:t>different set of facts. In most situations, you will want to provide a textual</w:t>
      </w:r>
      <w:r>
        <w:rPr>
          <w:color w:val="3D3B3D"/>
          <w:spacing w:val="1"/>
          <w:w w:val="95"/>
        </w:rPr>
        <w:t> </w:t>
      </w:r>
      <w:r>
        <w:rPr>
          <w:color w:val="3D3B3D"/>
          <w:w w:val="95"/>
        </w:rPr>
        <w:t>description of both of those cases. A</w:t>
      </w:r>
      <w:r>
        <w:rPr>
          <w:color w:val="4F4F50"/>
          <w:w w:val="95"/>
        </w:rPr>
        <w:t>sensib</w:t>
      </w:r>
      <w:r>
        <w:rPr>
          <w:color w:val="2F2D2D"/>
          <w:w w:val="95"/>
        </w:rPr>
        <w:t>le </w:t>
      </w:r>
      <w:r>
        <w:rPr>
          <w:color w:val="3D3B3D"/>
          <w:w w:val="95"/>
        </w:rPr>
        <w:t>compromise </w:t>
      </w:r>
      <w:r>
        <w:rPr>
          <w:color w:val="2F2D2D"/>
          <w:w w:val="95"/>
        </w:rPr>
        <w:t>is </w:t>
      </w:r>
      <w:r>
        <w:rPr>
          <w:color w:val="3D3B3D"/>
          <w:w w:val="95"/>
        </w:rPr>
        <w:t>to</w:t>
      </w:r>
      <w:r>
        <w:rPr>
          <w:color w:val="3D3B3D"/>
          <w:spacing w:val="1"/>
          <w:w w:val="95"/>
        </w:rPr>
        <w:t> </w:t>
      </w:r>
      <w:r>
        <w:rPr>
          <w:color w:val="3D3B3D"/>
          <w:w w:val="95"/>
        </w:rPr>
        <w:t>provideone</w:t>
      </w:r>
      <w:r>
        <w:rPr>
          <w:color w:val="3D3B3D"/>
          <w:spacing w:val="-52"/>
          <w:w w:val="95"/>
        </w:rPr>
        <w:t> </w:t>
      </w:r>
      <w:r>
        <w:rPr>
          <w:color w:val="3D3B3D"/>
        </w:rPr>
        <w:t>or two more detailed </w:t>
      </w:r>
      <w:r>
        <w:rPr>
          <w:color w:val="4F4F50"/>
        </w:rPr>
        <w:t>case </w:t>
      </w:r>
      <w:r>
        <w:rPr>
          <w:color w:val="3D3B3D"/>
        </w:rPr>
        <w:t>descriptions, followed </w:t>
      </w:r>
      <w:r>
        <w:rPr>
          <w:color w:val="3D3B3D"/>
          <w:w w:val="110"/>
        </w:rPr>
        <w:t>up-when </w:t>
      </w:r>
      <w:r>
        <w:rPr>
          <w:color w:val="3D3B3D"/>
        </w:rPr>
        <w:t>needed-by</w:t>
      </w:r>
      <w:r>
        <w:rPr>
          <w:color w:val="3D3B3D"/>
          <w:spacing w:val="1"/>
        </w:rPr>
        <w:t> </w:t>
      </w:r>
      <w:r>
        <w:rPr>
          <w:color w:val="3D3B3D"/>
          <w:w w:val="95"/>
        </w:rPr>
        <w:t>citation</w:t>
      </w:r>
      <w:r>
        <w:rPr>
          <w:color w:val="3D3B3D"/>
          <w:spacing w:val="27"/>
          <w:w w:val="95"/>
        </w:rPr>
        <w:t> </w:t>
      </w:r>
      <w:r>
        <w:rPr>
          <w:color w:val="3D3B3D"/>
          <w:w w:val="95"/>
        </w:rPr>
        <w:t>to</w:t>
      </w:r>
      <w:r>
        <w:rPr>
          <w:color w:val="3D3B3D"/>
          <w:spacing w:val="-19"/>
          <w:w w:val="95"/>
        </w:rPr>
        <w:t> </w:t>
      </w:r>
      <w:r>
        <w:rPr>
          <w:color w:val="3D3B3D"/>
          <w:w w:val="95"/>
        </w:rPr>
        <w:t>one</w:t>
      </w:r>
      <w:r>
        <w:rPr>
          <w:color w:val="3D3B3D"/>
          <w:spacing w:val="-14"/>
          <w:w w:val="95"/>
        </w:rPr>
        <w:t> </w:t>
      </w:r>
      <w:r>
        <w:rPr>
          <w:color w:val="3D3B3D"/>
          <w:w w:val="95"/>
        </w:rPr>
        <w:t>or more</w:t>
      </w:r>
      <w:r>
        <w:rPr>
          <w:color w:val="3D3B3D"/>
          <w:spacing w:val="8"/>
          <w:w w:val="95"/>
        </w:rPr>
        <w:t> </w:t>
      </w:r>
      <w:r>
        <w:rPr>
          <w:color w:val="3D3B3D"/>
          <w:w w:val="95"/>
        </w:rPr>
        <w:t>illustrative</w:t>
      </w:r>
      <w:r>
        <w:rPr>
          <w:color w:val="3D3B3D"/>
          <w:spacing w:val="20"/>
          <w:w w:val="95"/>
        </w:rPr>
        <w:t> </w:t>
      </w:r>
      <w:r>
        <w:rPr>
          <w:color w:val="3D3B3D"/>
          <w:w w:val="95"/>
        </w:rPr>
        <w:t>cases</w:t>
      </w:r>
      <w:r>
        <w:rPr>
          <w:color w:val="3D3B3D"/>
          <w:spacing w:val="14"/>
          <w:w w:val="95"/>
        </w:rPr>
        <w:t> </w:t>
      </w:r>
      <w:r>
        <w:rPr>
          <w:color w:val="3D3B3D"/>
          <w:w w:val="95"/>
        </w:rPr>
        <w:t>with</w:t>
      </w:r>
      <w:r>
        <w:rPr>
          <w:color w:val="3D3B3D"/>
          <w:spacing w:val="35"/>
          <w:w w:val="95"/>
        </w:rPr>
        <w:t> </w:t>
      </w:r>
      <w:r>
        <w:rPr>
          <w:color w:val="3D3B3D"/>
          <w:w w:val="95"/>
        </w:rPr>
        <w:t>parenthetical</w:t>
      </w:r>
      <w:r>
        <w:rPr>
          <w:color w:val="3D3B3D"/>
          <w:spacing w:val="35"/>
          <w:w w:val="95"/>
        </w:rPr>
        <w:t> </w:t>
      </w:r>
      <w:r>
        <w:rPr>
          <w:color w:val="3D3B3D"/>
          <w:w w:val="95"/>
        </w:rPr>
        <w:t>descriptions.</w:t>
      </w:r>
    </w:p>
    <w:p>
      <w:pPr>
        <w:pStyle w:val="BodyText"/>
        <w:spacing w:line="235" w:lineRule="auto" w:before="3"/>
        <w:ind w:left="1497" w:right="38" w:firstLine="340"/>
        <w:jc w:val="both"/>
        <w:rPr>
          <w:rFonts w:ascii="Arial"/>
          <w:i/>
          <w:sz w:val="21"/>
        </w:rPr>
      </w:pPr>
      <w:r>
        <w:rPr>
          <w:color w:val="3D3B3D"/>
          <w:w w:val="95"/>
        </w:rPr>
        <w:t>Do not use this method as an excuse to bombard the</w:t>
      </w:r>
      <w:r>
        <w:rPr>
          <w:color w:val="3D3B3D"/>
          <w:spacing w:val="1"/>
          <w:w w:val="95"/>
        </w:rPr>
        <w:t> </w:t>
      </w:r>
      <w:r>
        <w:rPr>
          <w:color w:val="3D3B3D"/>
          <w:w w:val="95"/>
        </w:rPr>
        <w:t>reader with eight</w:t>
      </w:r>
      <w:r>
        <w:rPr>
          <w:color w:val="3D3B3D"/>
          <w:spacing w:val="1"/>
          <w:w w:val="95"/>
        </w:rPr>
        <w:t> </w:t>
      </w:r>
      <w:r>
        <w:rPr>
          <w:color w:val="3D3B3D"/>
        </w:rPr>
        <w:t>authorities when one would suffice. Cite an additional authority only</w:t>
      </w:r>
      <w:r>
        <w:rPr>
          <w:color w:val="3D3B3D"/>
          <w:spacing w:val="1"/>
        </w:rPr>
        <w:t> </w:t>
      </w:r>
      <w:r>
        <w:rPr>
          <w:color w:val="3D3B3D"/>
          <w:w w:val="95"/>
        </w:rPr>
        <w:t>when </w:t>
      </w:r>
      <w:r>
        <w:rPr>
          <w:color w:val="3D3B3D"/>
          <w:w w:val="95"/>
          <w:sz w:val="21"/>
        </w:rPr>
        <w:t>it</w:t>
      </w:r>
      <w:r>
        <w:rPr>
          <w:color w:val="3D3B3D"/>
          <w:spacing w:val="1"/>
          <w:w w:val="95"/>
          <w:sz w:val="21"/>
        </w:rPr>
        <w:t> </w:t>
      </w:r>
      <w:r>
        <w:rPr>
          <w:color w:val="3D3B3D"/>
          <w:w w:val="95"/>
        </w:rPr>
        <w:t>illustrates some aspect of the rule that your</w:t>
      </w:r>
      <w:r>
        <w:rPr>
          <w:color w:val="3D3B3D"/>
          <w:spacing w:val="51"/>
        </w:rPr>
        <w:t> </w:t>
      </w:r>
      <w:r>
        <w:rPr>
          <w:color w:val="3D3B3D"/>
          <w:w w:val="95"/>
        </w:rPr>
        <w:t>previous</w:t>
      </w:r>
      <w:r>
        <w:rPr>
          <w:color w:val="3D3B3D"/>
          <w:spacing w:val="52"/>
        </w:rPr>
        <w:t> </w:t>
      </w:r>
      <w:r>
        <w:rPr>
          <w:color w:val="3D3B3D"/>
          <w:w w:val="95"/>
        </w:rPr>
        <w:t>authorities</w:t>
      </w:r>
      <w:r>
        <w:rPr>
          <w:color w:val="3D3B3D"/>
          <w:spacing w:val="1"/>
          <w:w w:val="95"/>
        </w:rPr>
        <w:t> </w:t>
      </w:r>
      <w:r>
        <w:rPr>
          <w:color w:val="3D3B3D"/>
        </w:rPr>
        <w:t>did not illustrate, or when it proves </w:t>
      </w:r>
      <w:r>
        <w:rPr>
          <w:color w:val="2F2D2D"/>
        </w:rPr>
        <w:t>that </w:t>
      </w:r>
      <w:r>
        <w:rPr>
          <w:color w:val="3D3B3D"/>
        </w:rPr>
        <w:t>the interpretation you are </w:t>
      </w:r>
      <w:r>
        <w:rPr>
          <w:color w:val="2F2D2D"/>
        </w:rPr>
        <w:t>illus</w:t>
      </w:r>
      <w:r>
        <w:rPr>
          <w:color w:val="4F4F50"/>
        </w:rPr>
        <w:t>,</w:t>
      </w:r>
      <w:r>
        <w:rPr>
          <w:color w:val="4F4F50"/>
          <w:spacing w:val="1"/>
        </w:rPr>
        <w:t> </w:t>
      </w:r>
      <w:r>
        <w:rPr>
          <w:color w:val="3D3B3D"/>
          <w:w w:val="95"/>
        </w:rPr>
        <w:t>trating </w:t>
      </w:r>
      <w:r>
        <w:rPr>
          <w:color w:val="2F2D2D"/>
          <w:w w:val="95"/>
        </w:rPr>
        <w:t>is </w:t>
      </w:r>
      <w:r>
        <w:rPr>
          <w:color w:val="3D3B3D"/>
          <w:w w:val="95"/>
        </w:rPr>
        <w:t>well established. (See the discussion</w:t>
      </w:r>
      <w:r>
        <w:rPr>
          <w:color w:val="3D3B3D"/>
          <w:spacing w:val="51"/>
        </w:rPr>
        <w:t> </w:t>
      </w:r>
      <w:r>
        <w:rPr>
          <w:color w:val="3D3B3D"/>
          <w:w w:val="95"/>
        </w:rPr>
        <w:t>about avoiding string cites</w:t>
      </w:r>
      <w:r>
        <w:rPr>
          <w:color w:val="3D3B3D"/>
          <w:spacing w:val="1"/>
          <w:w w:val="95"/>
        </w:rPr>
        <w:t> </w:t>
      </w:r>
      <w:r>
        <w:rPr>
          <w:color w:val="3D3B3D"/>
        </w:rPr>
        <w:t>in</w:t>
      </w:r>
      <w:r>
        <w:rPr>
          <w:color w:val="3D3B3D"/>
          <w:spacing w:val="-32"/>
        </w:rPr>
        <w:t> </w:t>
      </w:r>
      <w:r>
        <w:rPr>
          <w:color w:val="3D3B3D"/>
        </w:rPr>
        <w:t>Section</w:t>
      </w:r>
      <w:r>
        <w:rPr>
          <w:color w:val="3D3B3D"/>
          <w:spacing w:val="-16"/>
        </w:rPr>
        <w:t> </w:t>
      </w:r>
      <w:r>
        <w:rPr>
          <w:rFonts w:ascii="Arial"/>
          <w:i/>
          <w:color w:val="4F4F50"/>
          <w:sz w:val="21"/>
        </w:rPr>
        <w:t>6.5</w:t>
      </w:r>
      <w:r>
        <w:rPr>
          <w:rFonts w:ascii="Arial"/>
          <w:i/>
          <w:color w:val="2F2D2D"/>
          <w:sz w:val="21"/>
        </w:rPr>
        <w:t>.5.</w:t>
      </w:r>
      <w:r>
        <w:rPr>
          <w:rFonts w:ascii="Arial"/>
          <w:i/>
          <w:color w:val="4F4F50"/>
          <w:sz w:val="21"/>
        </w:rPr>
        <w:t>)</w:t>
      </w:r>
    </w:p>
    <w:p>
      <w:pPr>
        <w:pStyle w:val="BodyText"/>
        <w:spacing w:line="232" w:lineRule="auto"/>
        <w:ind w:left="1390" w:right="51" w:firstLine="387"/>
        <w:jc w:val="both"/>
      </w:pPr>
      <w:r>
        <w:rPr>
          <w:color w:val="3D3B3D"/>
        </w:rPr>
        <w:t>The following example is an excerpt from a respondent's </w:t>
      </w:r>
      <w:r>
        <w:rPr>
          <w:color w:val="2F2D2D"/>
        </w:rPr>
        <w:t>brief </w:t>
      </w:r>
      <w:r>
        <w:rPr>
          <w:color w:val="3D3B3D"/>
        </w:rPr>
        <w:t>in</w:t>
      </w:r>
      <w:r>
        <w:rPr>
          <w:color w:val="3D3B3D"/>
          <w:spacing w:val="1"/>
        </w:rPr>
        <w:t> </w:t>
      </w:r>
      <w:r>
        <w:rPr>
          <w:i/>
          <w:color w:val="3D3B3D"/>
          <w:w w:val="90"/>
        </w:rPr>
        <w:t>Minnesota</w:t>
      </w:r>
      <w:r>
        <w:rPr>
          <w:i/>
          <w:color w:val="3D3B3D"/>
          <w:spacing w:val="1"/>
          <w:w w:val="90"/>
        </w:rPr>
        <w:t> </w:t>
      </w:r>
      <w:r>
        <w:rPr>
          <w:i/>
          <w:color w:val="3D3B3D"/>
          <w:w w:val="90"/>
        </w:rPr>
        <w:t>v. Carter, </w:t>
      </w:r>
      <w:r>
        <w:rPr>
          <w:color w:val="3D3B3D"/>
          <w:w w:val="90"/>
        </w:rPr>
        <w:t>525 U.S. 83 </w:t>
      </w:r>
      <w:r>
        <w:rPr>
          <w:rFonts w:ascii="Arial" w:hAnsi="Arial"/>
          <w:color w:val="4F4F50"/>
          <w:w w:val="90"/>
          <w:sz w:val="21"/>
        </w:rPr>
        <w:t>(1998). </w:t>
      </w:r>
      <w:r>
        <w:rPr>
          <w:color w:val="3D3B3D"/>
          <w:w w:val="90"/>
        </w:rPr>
        <w:t>The brief</w:t>
      </w:r>
      <w:r>
        <w:rPr>
          <w:color w:val="3D3B3D"/>
          <w:spacing w:val="1"/>
          <w:w w:val="90"/>
        </w:rPr>
        <w:t> </w:t>
      </w:r>
      <w:r>
        <w:rPr>
          <w:color w:val="3D3B3D"/>
          <w:w w:val="90"/>
        </w:rPr>
        <w:t>writer</w:t>
      </w:r>
      <w:r>
        <w:rPr>
          <w:color w:val="3D3B3D"/>
          <w:spacing w:val="46"/>
        </w:rPr>
        <w:t> </w:t>
      </w:r>
      <w:r>
        <w:rPr>
          <w:color w:val="2F2D2D"/>
          <w:w w:val="90"/>
        </w:rPr>
        <w:t>is</w:t>
      </w:r>
      <w:r>
        <w:rPr>
          <w:color w:val="2F2D2D"/>
          <w:spacing w:val="46"/>
        </w:rPr>
        <w:t> </w:t>
      </w:r>
      <w:r>
        <w:rPr>
          <w:color w:val="3D3B3D"/>
          <w:w w:val="90"/>
        </w:rPr>
        <w:t>using</w:t>
      </w:r>
      <w:r>
        <w:rPr>
          <w:color w:val="3D3B3D"/>
          <w:spacing w:val="46"/>
        </w:rPr>
        <w:t> </w:t>
      </w:r>
      <w:r>
        <w:rPr>
          <w:color w:val="3D3B3D"/>
          <w:w w:val="90"/>
        </w:rPr>
        <w:t>four cases</w:t>
      </w:r>
      <w:r>
        <w:rPr>
          <w:color w:val="3D3B3D"/>
          <w:spacing w:val="1"/>
          <w:w w:val="90"/>
        </w:rPr>
        <w:t> </w:t>
      </w:r>
      <w:r>
        <w:rPr>
          <w:color w:val="3D3B3D"/>
          <w:w w:val="95"/>
        </w:rPr>
        <w:t>to explain</w:t>
      </w:r>
      <w:r>
        <w:rPr>
          <w:color w:val="3D3B3D"/>
          <w:spacing w:val="51"/>
        </w:rPr>
        <w:t> </w:t>
      </w:r>
      <w:r>
        <w:rPr>
          <w:color w:val="3D3B3D"/>
          <w:w w:val="95"/>
        </w:rPr>
        <w:t>the rule that a</w:t>
      </w:r>
      <w:r>
        <w:rPr>
          <w:color w:val="3D3B3D"/>
          <w:spacing w:val="52"/>
        </w:rPr>
        <w:t> </w:t>
      </w:r>
      <w:r>
        <w:rPr>
          <w:color w:val="3D3B3D"/>
          <w:w w:val="95"/>
        </w:rPr>
        <w:t>person</w:t>
      </w:r>
      <w:r>
        <w:rPr>
          <w:color w:val="3D3B3D"/>
          <w:spacing w:val="52"/>
        </w:rPr>
        <w:t> </w:t>
      </w:r>
      <w:r>
        <w:rPr>
          <w:color w:val="3D3B3D"/>
          <w:w w:val="95"/>
        </w:rPr>
        <w:t>has a</w:t>
      </w:r>
      <w:r>
        <w:rPr>
          <w:color w:val="3D3B3D"/>
          <w:spacing w:val="52"/>
        </w:rPr>
        <w:t> </w:t>
      </w:r>
      <w:r>
        <w:rPr>
          <w:color w:val="3D3B3D"/>
          <w:w w:val="95"/>
        </w:rPr>
        <w:t>legitimate expectation</w:t>
      </w:r>
      <w:r>
        <w:rPr>
          <w:color w:val="3D3B3D"/>
          <w:spacing w:val="51"/>
        </w:rPr>
        <w:t> </w:t>
      </w:r>
      <w:r>
        <w:rPr>
          <w:color w:val="3D3B3D"/>
          <w:w w:val="95"/>
        </w:rPr>
        <w:t>of</w:t>
      </w:r>
      <w:r>
        <w:rPr>
          <w:color w:val="3D3B3D"/>
          <w:spacing w:val="52"/>
        </w:rPr>
        <w:t> </w:t>
      </w:r>
      <w:r>
        <w:rPr>
          <w:color w:val="3D3B3D"/>
          <w:w w:val="95"/>
        </w:rPr>
        <w:t>privacy</w:t>
      </w:r>
      <w:r>
        <w:rPr>
          <w:color w:val="3D3B3D"/>
          <w:spacing w:val="1"/>
          <w:w w:val="95"/>
        </w:rPr>
        <w:t> </w:t>
      </w:r>
      <w:r>
        <w:rPr>
          <w:color w:val="3D3B3D"/>
        </w:rPr>
        <w:t>in a </w:t>
      </w:r>
      <w:r>
        <w:rPr>
          <w:color w:val="4F4F50"/>
        </w:rPr>
        <w:t>location </w:t>
      </w:r>
      <w:r>
        <w:rPr>
          <w:color w:val="3D3B3D"/>
        </w:rPr>
        <w:t>if that person can demonstrate an</w:t>
      </w:r>
      <w:r>
        <w:rPr>
          <w:color w:val="3D3B3D"/>
          <w:spacing w:val="57"/>
        </w:rPr>
        <w:t> </w:t>
      </w:r>
      <w:r>
        <w:rPr>
          <w:color w:val="3D3B3D"/>
        </w:rPr>
        <w:t>expectation that his or</w:t>
      </w:r>
      <w:r>
        <w:rPr>
          <w:color w:val="3D3B3D"/>
          <w:spacing w:val="1"/>
        </w:rPr>
        <w:t> </w:t>
      </w:r>
      <w:r>
        <w:rPr>
          <w:color w:val="3D3B3D"/>
        </w:rPr>
        <w:t>her activities would be </w:t>
      </w:r>
      <w:r>
        <w:rPr>
          <w:color w:val="4F4F50"/>
        </w:rPr>
        <w:t>private, </w:t>
      </w:r>
      <w:r>
        <w:rPr>
          <w:color w:val="3D3B3D"/>
        </w:rPr>
        <w:t>and if society will accept </w:t>
      </w:r>
      <w:r>
        <w:rPr>
          <w:color w:val="2F2D2D"/>
        </w:rPr>
        <w:t>that </w:t>
      </w:r>
      <w:r>
        <w:rPr>
          <w:color w:val="3D3B3D"/>
        </w:rPr>
        <w:t>expecta•</w:t>
      </w:r>
      <w:r>
        <w:rPr>
          <w:color w:val="3D3B3D"/>
          <w:spacing w:val="1"/>
        </w:rPr>
        <w:t> </w:t>
      </w:r>
      <w:r>
        <w:rPr>
          <w:color w:val="4F4F50"/>
        </w:rPr>
        <w:t>tion </w:t>
      </w:r>
      <w:r>
        <w:rPr>
          <w:color w:val="3D3B3D"/>
        </w:rPr>
        <w:t>as reasonable. This example shows the "conclusion, rule, explana.</w:t>
      </w:r>
      <w:r>
        <w:rPr>
          <w:color w:val="3D3B3D"/>
          <w:spacing w:val="1"/>
        </w:rPr>
        <w:t> </w:t>
      </w:r>
      <w:r>
        <w:rPr>
          <w:color w:val="3D3B3D"/>
          <w:w w:val="95"/>
        </w:rPr>
        <w:t>tion" part of the formula. The writer begins </w:t>
      </w:r>
      <w:r>
        <w:rPr>
          <w:rFonts w:ascii="Arial" w:hAnsi="Arial"/>
          <w:color w:val="3D3B3D"/>
          <w:w w:val="95"/>
          <w:sz w:val="21"/>
        </w:rPr>
        <w:t>by</w:t>
      </w:r>
      <w:r>
        <w:rPr>
          <w:rFonts w:ascii="Arial" w:hAnsi="Arial"/>
          <w:color w:val="3D3B3D"/>
          <w:spacing w:val="1"/>
          <w:w w:val="95"/>
          <w:sz w:val="21"/>
        </w:rPr>
        <w:t> </w:t>
      </w:r>
      <w:r>
        <w:rPr>
          <w:color w:val="3D3B3D"/>
          <w:w w:val="95"/>
        </w:rPr>
        <w:t>articulating the</w:t>
      </w:r>
      <w:r>
        <w:rPr>
          <w:color w:val="3D3B3D"/>
          <w:spacing w:val="1"/>
          <w:w w:val="95"/>
        </w:rPr>
        <w:t> </w:t>
      </w:r>
      <w:r>
        <w:rPr>
          <w:color w:val="2F2D2D"/>
          <w:w w:val="95"/>
        </w:rPr>
        <w:t>rule </w:t>
      </w:r>
      <w:r>
        <w:rPr>
          <w:color w:val="3D3B3D"/>
          <w:w w:val="95"/>
        </w:rPr>
        <w:t>and</w:t>
      </w:r>
      <w:r>
        <w:rPr>
          <w:color w:val="3D3B3D"/>
          <w:spacing w:val="1"/>
          <w:w w:val="95"/>
        </w:rPr>
        <w:t> </w:t>
      </w:r>
      <w:r>
        <w:rPr>
          <w:color w:val="3D3B3D"/>
          <w:spacing w:val="-1"/>
        </w:rPr>
        <w:t>citing to authority, and </w:t>
      </w:r>
      <w:r>
        <w:rPr>
          <w:color w:val="3D3B3D"/>
        </w:rPr>
        <w:t>follows by stating in a summary fashion </w:t>
      </w:r>
      <w:r>
        <w:rPr>
          <w:color w:val="2F2D2D"/>
        </w:rPr>
        <w:t>how </w:t>
      </w:r>
      <w:r>
        <w:rPr>
          <w:color w:val="3D3B3D"/>
        </w:rPr>
        <w:t>the</w:t>
      </w:r>
      <w:r>
        <w:rPr>
          <w:color w:val="3D3B3D"/>
          <w:spacing w:val="1"/>
        </w:rPr>
        <w:t> </w:t>
      </w:r>
      <w:r>
        <w:rPr>
          <w:color w:val="3D3B3D"/>
          <w:w w:val="95"/>
        </w:rPr>
        <w:t>rule should apply to the client's facts. The writer then proceeds</w:t>
      </w:r>
      <w:r>
        <w:rPr>
          <w:color w:val="3D3B3D"/>
          <w:spacing w:val="51"/>
        </w:rPr>
        <w:t> </w:t>
      </w:r>
      <w:r>
        <w:rPr>
          <w:color w:val="3D3B3D"/>
          <w:w w:val="95"/>
        </w:rPr>
        <w:t>to explain</w:t>
      </w:r>
      <w:r>
        <w:rPr>
          <w:color w:val="3D3B3D"/>
          <w:spacing w:val="1"/>
          <w:w w:val="95"/>
        </w:rPr>
        <w:t> </w:t>
      </w:r>
      <w:r>
        <w:rPr>
          <w:color w:val="3D3B3D"/>
          <w:w w:val="95"/>
        </w:rPr>
        <w:t>the rule, using the </w:t>
      </w:r>
      <w:r>
        <w:rPr>
          <w:color w:val="2F2D2D"/>
          <w:w w:val="95"/>
        </w:rPr>
        <w:t>rule </w:t>
      </w:r>
      <w:r>
        <w:rPr>
          <w:color w:val="3D3B3D"/>
          <w:w w:val="95"/>
        </w:rPr>
        <w:t>authority and other cases. </w:t>
      </w:r>
      <w:r>
        <w:rPr>
          <w:color w:val="2F2D2D"/>
          <w:w w:val="95"/>
        </w:rPr>
        <w:t>In </w:t>
      </w:r>
      <w:r>
        <w:rPr>
          <w:color w:val="3D3B3D"/>
          <w:w w:val="95"/>
        </w:rPr>
        <w:t>one</w:t>
      </w:r>
      <w:r>
        <w:rPr>
          <w:color w:val="3D3B3D"/>
          <w:spacing w:val="1"/>
          <w:w w:val="95"/>
        </w:rPr>
        <w:t> </w:t>
      </w:r>
      <w:r>
        <w:rPr>
          <w:color w:val="3D3B3D"/>
          <w:w w:val="95"/>
        </w:rPr>
        <w:t>of the</w:t>
      </w:r>
      <w:r>
        <w:rPr>
          <w:color w:val="3D3B3D"/>
          <w:spacing w:val="1"/>
          <w:w w:val="95"/>
        </w:rPr>
        <w:t> </w:t>
      </w:r>
      <w:r>
        <w:rPr>
          <w:color w:val="3D3B3D"/>
          <w:w w:val="95"/>
        </w:rPr>
        <w:t>cases, the</w:t>
      </w:r>
      <w:r>
        <w:rPr>
          <w:color w:val="3D3B3D"/>
          <w:spacing w:val="1"/>
          <w:w w:val="95"/>
        </w:rPr>
        <w:t> </w:t>
      </w:r>
      <w:r>
        <w:rPr>
          <w:color w:val="3D3B3D"/>
        </w:rPr>
        <w:t>Supreme Court found that no legitimate expectation of </w:t>
      </w:r>
      <w:r>
        <w:rPr>
          <w:color w:val="2F2D2D"/>
        </w:rPr>
        <w:t>privacy </w:t>
      </w:r>
      <w:r>
        <w:rPr>
          <w:color w:val="3D3B3D"/>
        </w:rPr>
        <w:t>existed.</w:t>
      </w:r>
      <w:r>
        <w:rPr>
          <w:color w:val="3D3B3D"/>
          <w:spacing w:val="1"/>
        </w:rPr>
        <w:t> </w:t>
      </w:r>
      <w:r>
        <w:rPr>
          <w:color w:val="3D3B3D"/>
          <w:spacing w:val="-1"/>
        </w:rPr>
        <w:t>Some writers seem to think it is dangerous </w:t>
      </w:r>
      <w:r>
        <w:rPr>
          <w:color w:val="3D3B3D"/>
        </w:rPr>
        <w:t>to let the</w:t>
      </w:r>
      <w:r>
        <w:rPr>
          <w:color w:val="3D3B3D"/>
          <w:spacing w:val="57"/>
        </w:rPr>
        <w:t> </w:t>
      </w:r>
      <w:r>
        <w:rPr>
          <w:color w:val="3D3B3D"/>
        </w:rPr>
        <w:t>court see any case</w:t>
      </w:r>
      <w:r>
        <w:rPr>
          <w:color w:val="3D3B3D"/>
          <w:spacing w:val="1"/>
        </w:rPr>
        <w:t> </w:t>
      </w:r>
      <w:r>
        <w:rPr>
          <w:color w:val="3D3B3D"/>
        </w:rPr>
        <w:t>in which a court ruled </w:t>
      </w:r>
      <w:r>
        <w:rPr>
          <w:color w:val="4F4F50"/>
        </w:rPr>
        <w:t>"aga</w:t>
      </w:r>
      <w:r>
        <w:rPr>
          <w:color w:val="2F2D2D"/>
        </w:rPr>
        <w:t>inst" </w:t>
      </w:r>
      <w:r>
        <w:rPr>
          <w:color w:val="3D3B3D"/>
        </w:rPr>
        <w:t>their client's </w:t>
      </w:r>
      <w:r>
        <w:rPr>
          <w:color w:val="2F2D2D"/>
        </w:rPr>
        <w:t>int</w:t>
      </w:r>
      <w:r>
        <w:rPr>
          <w:color w:val="4F4F50"/>
        </w:rPr>
        <w:t>erest. </w:t>
      </w:r>
      <w:r>
        <w:rPr>
          <w:color w:val="3D3B3D"/>
        </w:rPr>
        <w:t>Effective writers,</w:t>
      </w:r>
      <w:r>
        <w:rPr>
          <w:color w:val="3D3B3D"/>
          <w:spacing w:val="1"/>
        </w:rPr>
        <w:t> </w:t>
      </w:r>
      <w:r>
        <w:rPr>
          <w:color w:val="3D3B3D"/>
          <w:w w:val="95"/>
        </w:rPr>
        <w:t>however</w:t>
      </w:r>
      <w:r>
        <w:rPr>
          <w:color w:val="646467"/>
          <w:w w:val="95"/>
        </w:rPr>
        <w:t>, </w:t>
      </w:r>
      <w:r>
        <w:rPr>
          <w:color w:val="3D3B3D"/>
          <w:w w:val="95"/>
        </w:rPr>
        <w:t>realize</w:t>
      </w:r>
      <w:r>
        <w:rPr>
          <w:color w:val="3D3B3D"/>
          <w:spacing w:val="1"/>
          <w:w w:val="95"/>
        </w:rPr>
        <w:t> </w:t>
      </w:r>
      <w:r>
        <w:rPr>
          <w:color w:val="2F2D2D"/>
          <w:w w:val="95"/>
        </w:rPr>
        <w:t>that if</w:t>
      </w:r>
      <w:r>
        <w:rPr>
          <w:color w:val="2F2D2D"/>
          <w:spacing w:val="51"/>
        </w:rPr>
        <w:t> </w:t>
      </w:r>
      <w:r>
        <w:rPr>
          <w:color w:val="3D3B3D"/>
          <w:w w:val="95"/>
        </w:rPr>
        <w:t>a so-called</w:t>
      </w:r>
      <w:r>
        <w:rPr>
          <w:color w:val="3D3B3D"/>
          <w:spacing w:val="52"/>
        </w:rPr>
        <w:t> </w:t>
      </w:r>
      <w:r>
        <w:rPr>
          <w:color w:val="3D3B3D"/>
          <w:w w:val="95"/>
        </w:rPr>
        <w:t>negative case is distinguishable, it can</w:t>
      </w:r>
      <w:r>
        <w:rPr>
          <w:color w:val="3D3B3D"/>
          <w:spacing w:val="1"/>
          <w:w w:val="95"/>
        </w:rPr>
        <w:t> </w:t>
      </w:r>
      <w:r>
        <w:rPr>
          <w:color w:val="3D3B3D"/>
          <w:w w:val="95"/>
        </w:rPr>
        <w:t>be used very effectively to argue against a particular result. </w:t>
      </w:r>
      <w:r>
        <w:rPr>
          <w:color w:val="4F4F50"/>
          <w:w w:val="95"/>
        </w:rPr>
        <w:t>Notice </w:t>
      </w:r>
      <w:r>
        <w:rPr>
          <w:color w:val="3D3B3D"/>
          <w:w w:val="95"/>
        </w:rPr>
        <w:t>how the</w:t>
      </w:r>
      <w:r>
        <w:rPr>
          <w:color w:val="3D3B3D"/>
          <w:spacing w:val="1"/>
          <w:w w:val="95"/>
        </w:rPr>
        <w:t> </w:t>
      </w:r>
      <w:r>
        <w:rPr>
          <w:color w:val="4F4F50"/>
          <w:w w:val="95"/>
        </w:rPr>
        <w:t>w</w:t>
      </w:r>
      <w:r>
        <w:rPr>
          <w:color w:val="2F2D2D"/>
          <w:w w:val="95"/>
        </w:rPr>
        <w:t>r</w:t>
      </w:r>
      <w:r>
        <w:rPr>
          <w:color w:val="4F4F50"/>
          <w:w w:val="95"/>
        </w:rPr>
        <w:t>iter </w:t>
      </w:r>
      <w:r>
        <w:rPr>
          <w:color w:val="3D3B3D"/>
          <w:w w:val="95"/>
        </w:rPr>
        <w:t>of this example gives </w:t>
      </w:r>
      <w:r>
        <w:rPr>
          <w:color w:val="2F2D2D"/>
          <w:w w:val="95"/>
        </w:rPr>
        <w:t>details </w:t>
      </w:r>
      <w:r>
        <w:rPr>
          <w:color w:val="3D3B3D"/>
          <w:w w:val="95"/>
        </w:rPr>
        <w:t>from</w:t>
      </w:r>
      <w:r>
        <w:rPr>
          <w:color w:val="3D3B3D"/>
          <w:spacing w:val="51"/>
        </w:rPr>
        <w:t> </w:t>
      </w:r>
      <w:r>
        <w:rPr>
          <w:color w:val="3D3B3D"/>
          <w:w w:val="95"/>
        </w:rPr>
        <w:t>the </w:t>
      </w:r>
      <w:r>
        <w:rPr>
          <w:i/>
          <w:color w:val="3D3B3D"/>
          <w:w w:val="95"/>
        </w:rPr>
        <w:t>Rakas </w:t>
      </w:r>
      <w:r>
        <w:rPr>
          <w:color w:val="3D3B3D"/>
          <w:w w:val="95"/>
        </w:rPr>
        <w:t>Court's reasoning that</w:t>
      </w:r>
      <w:r>
        <w:rPr>
          <w:color w:val="3D3B3D"/>
          <w:spacing w:val="1"/>
          <w:w w:val="95"/>
        </w:rPr>
        <w:t> </w:t>
      </w:r>
      <w:r>
        <w:rPr>
          <w:color w:val="3D3B3D"/>
          <w:spacing w:val="-1"/>
        </w:rPr>
        <w:t>he</w:t>
      </w:r>
      <w:r>
        <w:rPr>
          <w:color w:val="3D3B3D"/>
          <w:spacing w:val="-30"/>
        </w:rPr>
        <w:t> </w:t>
      </w:r>
      <w:r>
        <w:rPr>
          <w:color w:val="4F4F50"/>
          <w:spacing w:val="-1"/>
        </w:rPr>
        <w:t>can</w:t>
      </w:r>
      <w:r>
        <w:rPr>
          <w:color w:val="4F4F50"/>
          <w:spacing w:val="-4"/>
        </w:rPr>
        <w:t> </w:t>
      </w:r>
      <w:r>
        <w:rPr>
          <w:color w:val="3D3B3D"/>
          <w:spacing w:val="-1"/>
        </w:rPr>
        <w:t>use</w:t>
      </w:r>
      <w:r>
        <w:rPr>
          <w:color w:val="3D3B3D"/>
          <w:spacing w:val="-22"/>
        </w:rPr>
        <w:t> </w:t>
      </w:r>
      <w:r>
        <w:rPr>
          <w:color w:val="3D3B3D"/>
          <w:spacing w:val="-1"/>
        </w:rPr>
        <w:t>to</w:t>
      </w:r>
      <w:r>
        <w:rPr>
          <w:color w:val="3D3B3D"/>
          <w:spacing w:val="-31"/>
        </w:rPr>
        <w:t> </w:t>
      </w:r>
      <w:r>
        <w:rPr>
          <w:color w:val="3D3B3D"/>
          <w:spacing w:val="-1"/>
        </w:rPr>
        <w:t>distinguish</w:t>
      </w:r>
      <w:r>
        <w:rPr>
          <w:color w:val="3D3B3D"/>
          <w:spacing w:val="8"/>
        </w:rPr>
        <w:t> </w:t>
      </w:r>
      <w:r>
        <w:rPr>
          <w:color w:val="3D3B3D"/>
          <w:spacing w:val="-1"/>
        </w:rPr>
        <w:t>the</w:t>
      </w:r>
      <w:r>
        <w:rPr>
          <w:color w:val="3D3B3D"/>
          <w:spacing w:val="-27"/>
        </w:rPr>
        <w:t> </w:t>
      </w:r>
      <w:r>
        <w:rPr>
          <w:color w:val="3D3B3D"/>
        </w:rPr>
        <w:t>defendant</w:t>
      </w:r>
      <w:r>
        <w:rPr>
          <w:color w:val="3D3B3D"/>
          <w:spacing w:val="5"/>
        </w:rPr>
        <w:t> </w:t>
      </w:r>
      <w:r>
        <w:rPr>
          <w:color w:val="2F2D2D"/>
        </w:rPr>
        <w:t>in</w:t>
      </w:r>
      <w:r>
        <w:rPr>
          <w:color w:val="2F2D2D"/>
          <w:spacing w:val="7"/>
        </w:rPr>
        <w:t> </w:t>
      </w:r>
      <w:r>
        <w:rPr>
          <w:i/>
          <w:color w:val="3D3B3D"/>
        </w:rPr>
        <w:t>Rakas</w:t>
      </w:r>
      <w:r>
        <w:rPr>
          <w:i/>
          <w:color w:val="3D3B3D"/>
          <w:spacing w:val="-12"/>
        </w:rPr>
        <w:t> </w:t>
      </w:r>
      <w:r>
        <w:rPr>
          <w:color w:val="3D3B3D"/>
        </w:rPr>
        <w:t>from</w:t>
      </w:r>
      <w:r>
        <w:rPr>
          <w:color w:val="3D3B3D"/>
          <w:spacing w:val="4"/>
        </w:rPr>
        <w:t> </w:t>
      </w:r>
      <w:r>
        <w:rPr>
          <w:color w:val="3D3B3D"/>
        </w:rPr>
        <w:t>his</w:t>
      </w:r>
      <w:r>
        <w:rPr>
          <w:color w:val="3D3B3D"/>
          <w:spacing w:val="-11"/>
        </w:rPr>
        <w:t> </w:t>
      </w:r>
      <w:r>
        <w:rPr>
          <w:color w:val="3D3B3D"/>
        </w:rPr>
        <w:t>cl</w:t>
      </w:r>
      <w:r>
        <w:rPr>
          <w:color w:val="646467"/>
        </w:rPr>
        <w:t>ie</w:t>
      </w:r>
      <w:r>
        <w:rPr>
          <w:color w:val="3D3B3D"/>
        </w:rPr>
        <w:t>nts,</w:t>
      </w:r>
      <w:r>
        <w:rPr>
          <w:color w:val="3D3B3D"/>
          <w:spacing w:val="10"/>
        </w:rPr>
        <w:t> </w:t>
      </w:r>
      <w:r>
        <w:rPr>
          <w:color w:val="3D3B3D"/>
        </w:rPr>
        <w:t>who</w:t>
      </w:r>
      <w:r>
        <w:rPr>
          <w:color w:val="3D3B3D"/>
          <w:spacing w:val="-22"/>
        </w:rPr>
        <w:t> </w:t>
      </w:r>
      <w:r>
        <w:rPr>
          <w:color w:val="3D3B3D"/>
        </w:rPr>
        <w:t>are</w:t>
      </w:r>
      <w:r>
        <w:rPr>
          <w:color w:val="3D3B3D"/>
          <w:spacing w:val="1"/>
        </w:rPr>
        <w:t> </w:t>
      </w:r>
      <w:r>
        <w:rPr>
          <w:color w:val="3D3B3D"/>
          <w:w w:val="95"/>
        </w:rPr>
        <w:t>c1a1ming an expectation</w:t>
      </w:r>
      <w:r>
        <w:rPr>
          <w:color w:val="3D3B3D"/>
          <w:spacing w:val="1"/>
          <w:w w:val="95"/>
        </w:rPr>
        <w:t> </w:t>
      </w:r>
      <w:r>
        <w:rPr>
          <w:color w:val="3D3B3D"/>
          <w:w w:val="95"/>
        </w:rPr>
        <w:t>of privacy in an</w:t>
      </w:r>
      <w:r>
        <w:rPr>
          <w:color w:val="3D3B3D"/>
          <w:spacing w:val="1"/>
          <w:w w:val="95"/>
        </w:rPr>
        <w:t> </w:t>
      </w:r>
      <w:r>
        <w:rPr>
          <w:color w:val="3D3B3D"/>
          <w:w w:val="95"/>
        </w:rPr>
        <w:t>apartment</w:t>
      </w:r>
      <w:r>
        <w:rPr>
          <w:color w:val="3D3B3D"/>
          <w:spacing w:val="51"/>
        </w:rPr>
        <w:t> </w:t>
      </w:r>
      <w:r>
        <w:rPr>
          <w:color w:val="3D3B3D"/>
          <w:w w:val="95"/>
        </w:rPr>
        <w:t>that</w:t>
      </w:r>
      <w:r>
        <w:rPr>
          <w:color w:val="3D3B3D"/>
          <w:spacing w:val="52"/>
        </w:rPr>
        <w:t> </w:t>
      </w:r>
      <w:r>
        <w:rPr>
          <w:color w:val="3D3B3D"/>
          <w:w w:val="95"/>
        </w:rPr>
        <w:t>they visited for</w:t>
      </w:r>
      <w:r>
        <w:rPr>
          <w:color w:val="3D3B3D"/>
          <w:spacing w:val="1"/>
          <w:w w:val="95"/>
        </w:rPr>
        <w:t> </w:t>
      </w:r>
      <w:r>
        <w:rPr>
          <w:color w:val="3D3B3D"/>
        </w:rPr>
        <w:t>the</w:t>
      </w:r>
      <w:r>
        <w:rPr>
          <w:color w:val="3D3B3D"/>
          <w:spacing w:val="-13"/>
        </w:rPr>
        <w:t> </w:t>
      </w:r>
      <w:r>
        <w:rPr>
          <w:color w:val="3D3B3D"/>
        </w:rPr>
        <w:t>purpose</w:t>
      </w:r>
      <w:r>
        <w:rPr>
          <w:color w:val="3D3B3D"/>
          <w:spacing w:val="-29"/>
        </w:rPr>
        <w:t> </w:t>
      </w:r>
      <w:r>
        <w:rPr>
          <w:color w:val="3D3B3D"/>
        </w:rPr>
        <w:t>of</w:t>
      </w:r>
      <w:r>
        <w:rPr>
          <w:color w:val="3D3B3D"/>
          <w:spacing w:val="3"/>
        </w:rPr>
        <w:t> </w:t>
      </w:r>
      <w:r>
        <w:rPr>
          <w:color w:val="3D3B3D"/>
        </w:rPr>
        <w:t>packaging</w:t>
      </w:r>
      <w:r>
        <w:rPr>
          <w:color w:val="3D3B3D"/>
          <w:spacing w:val="-9"/>
        </w:rPr>
        <w:t> </w:t>
      </w:r>
      <w:r>
        <w:rPr>
          <w:color w:val="3D3B3D"/>
        </w:rPr>
        <w:t>illegal</w:t>
      </w:r>
      <w:r>
        <w:rPr>
          <w:color w:val="3D3B3D"/>
          <w:spacing w:val="-11"/>
        </w:rPr>
        <w:t> </w:t>
      </w:r>
      <w:r>
        <w:rPr>
          <w:color w:val="3D3B3D"/>
        </w:rPr>
        <w:t>drugs:</w:t>
      </w:r>
    </w:p>
    <w:p>
      <w:pPr>
        <w:pStyle w:val="BodyText"/>
        <w:spacing w:before="8"/>
        <w:rPr>
          <w:sz w:val="10"/>
        </w:rPr>
      </w:pPr>
    </w:p>
    <w:p>
      <w:pPr>
        <w:spacing w:after="0"/>
        <w:rPr>
          <w:sz w:val="10"/>
        </w:rPr>
        <w:sectPr>
          <w:pgSz w:w="8420" w:h="13760"/>
          <w:pgMar w:header="347" w:footer="0" w:top="920" w:bottom="0" w:left="30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line="278" w:lineRule="auto" w:before="91"/>
        <w:ind w:left="441" w:right="14" w:hanging="154"/>
        <w:jc w:val="left"/>
        <w:rPr>
          <w:sz w:val="13"/>
        </w:rPr>
      </w:pPr>
      <w:r>
        <w:rPr>
          <w:rFonts w:ascii="Arial"/>
          <w:b/>
          <w:color w:val="3D3B3D"/>
          <w:spacing w:val="-1"/>
          <w:w w:val="105"/>
          <w:sz w:val="14"/>
        </w:rPr>
        <w:t>A</w:t>
      </w:r>
      <w:r>
        <w:rPr>
          <w:rFonts w:ascii="Arial"/>
          <w:b/>
          <w:color w:val="3D3B3D"/>
          <w:spacing w:val="9"/>
          <w:w w:val="105"/>
          <w:sz w:val="14"/>
        </w:rPr>
        <w:t> </w:t>
      </w:r>
      <w:r>
        <w:rPr>
          <w:color w:val="3D3B3D"/>
          <w:spacing w:val="-1"/>
          <w:w w:val="105"/>
          <w:sz w:val="13"/>
        </w:rPr>
        <w:t>Rule</w:t>
      </w:r>
      <w:r>
        <w:rPr>
          <w:color w:val="3D3B3D"/>
          <w:spacing w:val="-7"/>
          <w:w w:val="105"/>
          <w:sz w:val="13"/>
        </w:rPr>
        <w:t> </w:t>
      </w:r>
      <w:r>
        <w:rPr>
          <w:color w:val="3D3B3D"/>
          <w:spacing w:val="-1"/>
          <w:w w:val="105"/>
          <w:sz w:val="13"/>
        </w:rPr>
        <w:t>autho</w:t>
      </w:r>
      <w:r>
        <w:rPr>
          <w:color w:val="646467"/>
          <w:spacing w:val="-1"/>
          <w:w w:val="105"/>
          <w:sz w:val="13"/>
        </w:rPr>
        <w:t>ri</w:t>
      </w:r>
      <w:r>
        <w:rPr>
          <w:color w:val="3D3B3D"/>
          <w:spacing w:val="-1"/>
          <w:w w:val="105"/>
          <w:sz w:val="13"/>
        </w:rPr>
        <w:t>ty</w:t>
      </w:r>
      <w:r>
        <w:rPr>
          <w:color w:val="3D3B3D"/>
          <w:spacing w:val="-32"/>
          <w:w w:val="105"/>
          <w:sz w:val="13"/>
        </w:rPr>
        <w:t> </w:t>
      </w:r>
      <w:r>
        <w:rPr>
          <w:color w:val="3D3B3D"/>
          <w:w w:val="115"/>
          <w:sz w:val="13"/>
        </w:rPr>
        <w:t>that  </w:t>
      </w:r>
      <w:r>
        <w:rPr>
          <w:color w:val="3D3B3D"/>
          <w:spacing w:val="6"/>
          <w:w w:val="115"/>
          <w:sz w:val="13"/>
        </w:rPr>
        <w:t> </w:t>
      </w:r>
      <w:r>
        <w:rPr>
          <w:color w:val="4F4F50"/>
          <w:w w:val="170"/>
          <w:sz w:val="13"/>
        </w:rPr>
        <w:t>will</w:t>
      </w:r>
      <w:r>
        <w:rPr>
          <w:color w:val="4F4F50"/>
          <w:spacing w:val="1"/>
          <w:w w:val="170"/>
          <w:sz w:val="13"/>
        </w:rPr>
        <w:t> </w:t>
      </w:r>
      <w:r>
        <w:rPr>
          <w:rFonts w:ascii="Arial"/>
          <w:color w:val="3D3B3D"/>
          <w:w w:val="170"/>
          <w:sz w:val="14"/>
        </w:rPr>
        <w:t>u </w:t>
      </w:r>
      <w:r>
        <w:rPr>
          <w:rFonts w:ascii="Arial"/>
          <w:color w:val="3D3B3D"/>
          <w:spacing w:val="1"/>
          <w:w w:val="170"/>
          <w:sz w:val="14"/>
        </w:rPr>
        <w:t> </w:t>
      </w:r>
      <w:r>
        <w:rPr>
          <w:color w:val="4F4F50"/>
          <w:w w:val="115"/>
          <w:sz w:val="13"/>
        </w:rPr>
        <w:t>later</w:t>
      </w:r>
      <w:r>
        <w:rPr>
          <w:color w:val="646467"/>
          <w:w w:val="115"/>
          <w:sz w:val="13"/>
        </w:rPr>
        <w:t>i</w:t>
      </w:r>
      <w:r>
        <w:rPr>
          <w:color w:val="3D3B3D"/>
          <w:w w:val="115"/>
          <w:sz w:val="13"/>
        </w:rPr>
        <w:t>n</w:t>
      </w:r>
      <w:r>
        <w:rPr>
          <w:color w:val="3D3B3D"/>
          <w:spacing w:val="1"/>
          <w:w w:val="115"/>
          <w:sz w:val="13"/>
        </w:rPr>
        <w:t> </w:t>
      </w:r>
      <w:r>
        <w:rPr>
          <w:color w:val="3D3B3D"/>
          <w:w w:val="110"/>
          <w:sz w:val="13"/>
        </w:rPr>
        <w:t>this</w:t>
      </w:r>
      <w:r>
        <w:rPr>
          <w:color w:val="3D3B3D"/>
          <w:spacing w:val="-11"/>
          <w:w w:val="110"/>
          <w:sz w:val="13"/>
        </w:rPr>
        <w:t> </w:t>
      </w:r>
      <w:r>
        <w:rPr>
          <w:color w:val="3D3B3D"/>
          <w:w w:val="110"/>
          <w:sz w:val="13"/>
        </w:rPr>
        <w:t>itc</w:t>
      </w:r>
      <w:r>
        <w:rPr>
          <w:color w:val="3D3B3D"/>
          <w:spacing w:val="2"/>
          <w:w w:val="110"/>
          <w:sz w:val="13"/>
        </w:rPr>
        <w:t> </w:t>
      </w:r>
      <w:r>
        <w:rPr>
          <w:color w:val="3D3B3D"/>
          <w:w w:val="110"/>
          <w:sz w:val="13"/>
        </w:rPr>
        <w:t>tion</w:t>
      </w:r>
    </w:p>
    <w:p>
      <w:pPr>
        <w:spacing w:line="168" w:lineRule="exact" w:before="0"/>
        <w:ind w:left="416" w:right="0" w:firstLine="0"/>
        <w:jc w:val="left"/>
        <w:rPr>
          <w:sz w:val="13"/>
        </w:rPr>
      </w:pPr>
      <w:r>
        <w:rPr>
          <w:b/>
          <w:color w:val="4F4F50"/>
          <w:w w:val="105"/>
          <w:sz w:val="16"/>
        </w:rPr>
        <w:t>as</w:t>
      </w:r>
      <w:r>
        <w:rPr>
          <w:b/>
          <w:color w:val="4F4F50"/>
          <w:spacing w:val="-20"/>
          <w:w w:val="105"/>
          <w:sz w:val="16"/>
        </w:rPr>
        <w:t> </w:t>
      </w:r>
      <w:r>
        <w:rPr>
          <w:color w:val="4F4F50"/>
          <w:w w:val="105"/>
          <w:sz w:val="13"/>
        </w:rPr>
        <w:t>illuitrative</w:t>
      </w:r>
    </w:p>
    <w:p>
      <w:pPr>
        <w:spacing w:line="292" w:lineRule="auto" w:before="17"/>
        <w:ind w:left="400" w:right="0" w:firstLine="18"/>
        <w:jc w:val="left"/>
        <w:rPr>
          <w:sz w:val="13"/>
        </w:rPr>
      </w:pPr>
      <w:r>
        <w:rPr>
          <w:color w:val="3D3B3D"/>
          <w:w w:val="110"/>
          <w:sz w:val="13"/>
        </w:rPr>
        <w:t>authority </w:t>
      </w:r>
      <w:r>
        <w:rPr>
          <w:color w:val="4F4F50"/>
          <w:w w:val="110"/>
          <w:sz w:val="13"/>
        </w:rPr>
        <w:t>and</w:t>
      </w:r>
      <w:r>
        <w:rPr>
          <w:color w:val="4F4F50"/>
          <w:spacing w:val="1"/>
          <w:w w:val="110"/>
          <w:sz w:val="13"/>
        </w:rPr>
        <w:t> </w:t>
      </w:r>
      <w:r>
        <w:rPr>
          <w:color w:val="3D3B3D"/>
          <w:w w:val="115"/>
          <w:sz w:val="13"/>
        </w:rPr>
        <w:t>then </w:t>
      </w:r>
      <w:r>
        <w:rPr>
          <w:color w:val="4F4F50"/>
          <w:w w:val="115"/>
          <w:sz w:val="13"/>
        </w:rPr>
        <w:t>deKribed</w:t>
      </w:r>
      <w:r>
        <w:rPr>
          <w:color w:val="4F4F50"/>
          <w:spacing w:val="-34"/>
          <w:w w:val="115"/>
          <w:sz w:val="13"/>
        </w:rPr>
        <w:t> </w:t>
      </w:r>
      <w:r>
        <w:rPr>
          <w:color w:val="646467"/>
          <w:w w:val="115"/>
          <w:sz w:val="13"/>
        </w:rPr>
        <w:t>i</w:t>
      </w:r>
      <w:r>
        <w:rPr>
          <w:color w:val="3D3B3D"/>
          <w:w w:val="115"/>
          <w:sz w:val="13"/>
        </w:rPr>
        <w:t>n</w:t>
      </w:r>
      <w:r>
        <w:rPr>
          <w:color w:val="3D3B3D"/>
          <w:spacing w:val="-3"/>
          <w:w w:val="115"/>
          <w:sz w:val="13"/>
        </w:rPr>
        <w:t> </w:t>
      </w:r>
      <w:r>
        <w:rPr>
          <w:color w:val="3D3B3D"/>
          <w:w w:val="115"/>
          <w:sz w:val="13"/>
        </w:rPr>
        <w:t>full</w:t>
      </w:r>
    </w:p>
    <w:p>
      <w:pPr>
        <w:pStyle w:val="BodyText"/>
        <w:spacing w:before="1"/>
        <w:rPr>
          <w:sz w:val="11"/>
        </w:rPr>
      </w:pPr>
    </w:p>
    <w:p>
      <w:pPr>
        <w:spacing w:before="0"/>
        <w:ind w:left="208" w:right="0" w:firstLine="0"/>
        <w:jc w:val="left"/>
        <w:rPr>
          <w:sz w:val="13"/>
        </w:rPr>
      </w:pPr>
      <w:r>
        <w:rPr>
          <w:color w:val="2F2D2D"/>
          <w:w w:val="110"/>
          <w:sz w:val="13"/>
        </w:rPr>
        <w:t>I </w:t>
      </w:r>
      <w:r>
        <w:rPr>
          <w:color w:val="2F2D2D"/>
          <w:spacing w:val="8"/>
          <w:w w:val="110"/>
          <w:sz w:val="13"/>
        </w:rPr>
        <w:t> </w:t>
      </w:r>
      <w:r>
        <w:rPr>
          <w:color w:val="3D3B3D"/>
          <w:w w:val="110"/>
          <w:sz w:val="13"/>
        </w:rPr>
        <w:t>Illustrative</w:t>
      </w:r>
    </w:p>
    <w:p>
      <w:pPr>
        <w:spacing w:before="15"/>
        <w:ind w:left="368" w:right="0" w:firstLine="0"/>
        <w:jc w:val="left"/>
        <w:rPr>
          <w:b/>
          <w:sz w:val="16"/>
        </w:rPr>
      </w:pPr>
      <w:r>
        <w:rPr>
          <w:b/>
          <w:color w:val="3D3B3D"/>
          <w:w w:val="95"/>
          <w:sz w:val="16"/>
        </w:rPr>
        <w:t>authority</w:t>
      </w:r>
    </w:p>
    <w:p>
      <w:pPr>
        <w:pStyle w:val="BodyText"/>
        <w:spacing w:before="2"/>
        <w:rPr>
          <w:b/>
          <w:sz w:val="19"/>
        </w:rPr>
      </w:pPr>
    </w:p>
    <w:p>
      <w:pPr>
        <w:pStyle w:val="ListParagraph"/>
        <w:numPr>
          <w:ilvl w:val="1"/>
          <w:numId w:val="55"/>
        </w:numPr>
        <w:tabs>
          <w:tab w:pos="354" w:val="left" w:leader="none"/>
        </w:tabs>
        <w:spacing w:line="240" w:lineRule="auto" w:before="0" w:after="0"/>
        <w:ind w:left="353" w:right="0" w:hanging="183"/>
        <w:jc w:val="left"/>
        <w:rPr>
          <w:b/>
          <w:color w:val="3D3B3D"/>
          <w:sz w:val="16"/>
        </w:rPr>
      </w:pPr>
      <w:r>
        <w:rPr>
          <w:b/>
          <w:color w:val="3D3B3D"/>
          <w:w w:val="95"/>
          <w:sz w:val="16"/>
        </w:rPr>
        <w:t>Issue</w:t>
      </w:r>
    </w:p>
    <w:p>
      <w:pPr>
        <w:pStyle w:val="ListParagraph"/>
        <w:numPr>
          <w:ilvl w:val="1"/>
          <w:numId w:val="55"/>
        </w:numPr>
        <w:tabs>
          <w:tab w:pos="333" w:val="left" w:leader="none"/>
        </w:tabs>
        <w:spacing w:line="240" w:lineRule="auto" w:before="57" w:after="0"/>
        <w:ind w:left="332" w:right="0" w:hanging="184"/>
        <w:jc w:val="left"/>
        <w:rPr>
          <w:rFonts w:ascii="Arial"/>
          <w:b/>
          <w:color w:val="2F2D2D"/>
          <w:sz w:val="16"/>
        </w:rPr>
      </w:pPr>
      <w:r>
        <w:rPr>
          <w:color w:val="3D3B3D"/>
          <w:w w:val="115"/>
          <w:sz w:val="13"/>
        </w:rPr>
        <w:t>Ohposition</w:t>
      </w:r>
    </w:p>
    <w:p>
      <w:pPr>
        <w:spacing w:before="67"/>
        <w:ind w:left="142" w:right="0" w:firstLine="0"/>
        <w:jc w:val="left"/>
        <w:rPr>
          <w:rFonts w:ascii="Arial"/>
          <w:b/>
          <w:sz w:val="14"/>
        </w:rPr>
      </w:pPr>
      <w:r>
        <w:rPr>
          <w:b/>
          <w:color w:val="3D3B3D"/>
          <w:sz w:val="16"/>
        </w:rPr>
        <w:t>J</w:t>
      </w:r>
      <w:r>
        <w:rPr>
          <w:b/>
          <w:color w:val="3D3B3D"/>
          <w:spacing w:val="14"/>
          <w:sz w:val="16"/>
        </w:rPr>
        <w:t> </w:t>
      </w:r>
      <w:r>
        <w:rPr>
          <w:rFonts w:ascii="Arial"/>
          <w:b/>
          <w:color w:val="3D3B3D"/>
          <w:sz w:val="14"/>
        </w:rPr>
        <w:t>Facts</w:t>
      </w:r>
    </w:p>
    <w:p>
      <w:pPr>
        <w:spacing w:before="57"/>
        <w:ind w:left="110" w:right="0" w:firstLine="0"/>
        <w:jc w:val="left"/>
        <w:rPr>
          <w:b/>
          <w:sz w:val="16"/>
        </w:rPr>
      </w:pPr>
      <w:r>
        <w:rPr>
          <w:b/>
          <w:color w:val="3D3B3D"/>
          <w:spacing w:val="-1"/>
          <w:w w:val="95"/>
          <w:sz w:val="16"/>
        </w:rPr>
        <w:t>4</w:t>
      </w:r>
      <w:r>
        <w:rPr>
          <w:b/>
          <w:color w:val="3D3B3D"/>
          <w:spacing w:val="4"/>
          <w:w w:val="95"/>
          <w:sz w:val="16"/>
        </w:rPr>
        <w:t> </w:t>
      </w:r>
      <w:r>
        <w:rPr>
          <w:b/>
          <w:color w:val="3D3B3D"/>
          <w:spacing w:val="-1"/>
          <w:w w:val="95"/>
          <w:sz w:val="16"/>
        </w:rPr>
        <w:t>Reasoning</w:t>
      </w:r>
    </w:p>
    <w:p>
      <w:pPr>
        <w:spacing w:before="96"/>
        <w:ind w:left="68" w:right="0" w:firstLine="0"/>
        <w:jc w:val="left"/>
        <w:rPr>
          <w:rFonts w:ascii="Arial"/>
          <w:sz w:val="14"/>
        </w:rPr>
      </w:pPr>
      <w:r>
        <w:rPr/>
        <w:br w:type="column"/>
      </w:r>
      <w:r>
        <w:rPr>
          <w:rFonts w:ascii="Arial"/>
          <w:color w:val="4F4F50"/>
          <w:spacing w:val="-1"/>
          <w:w w:val="90"/>
          <w:sz w:val="14"/>
          <w:u w:val="thick" w:color="4F4F50"/>
        </w:rPr>
        <w:t>_/\</w:t>
      </w:r>
      <w:r>
        <w:rPr>
          <w:rFonts w:ascii="Arial"/>
          <w:color w:val="4F4F50"/>
          <w:spacing w:val="39"/>
          <w:sz w:val="14"/>
          <w:u w:val="thick" w:color="4F4F50"/>
        </w:rPr>
        <w:t> </w:t>
      </w:r>
      <w:r>
        <w:rPr>
          <w:rFonts w:ascii="Arial"/>
          <w:color w:val="4F4F50"/>
          <w:spacing w:val="39"/>
          <w:sz w:val="14"/>
          <w:u w:val="thick" w:color="4F4F50"/>
        </w:rPr>
        <w:t> </w:t>
      </w:r>
      <w:r>
        <w:rPr>
          <w:rFonts w:ascii="Arial"/>
          <w:color w:val="4F4F50"/>
          <w:spacing w:val="-1"/>
          <w:w w:val="90"/>
          <w:sz w:val="14"/>
          <w:u w:val="thick" w:color="4F4F50"/>
        </w:rPr>
        <w:t>GOOD</w:t>
      </w:r>
      <w:r>
        <w:rPr>
          <w:rFonts w:ascii="Arial"/>
          <w:color w:val="4F4F50"/>
          <w:spacing w:val="-6"/>
          <w:w w:val="90"/>
          <w:sz w:val="14"/>
          <w:u w:val="thick" w:color="4F4F50"/>
        </w:rPr>
        <w:t> </w:t>
      </w:r>
      <w:r>
        <w:rPr>
          <w:rFonts w:ascii="Arial"/>
          <w:color w:val="4F4F50"/>
          <w:spacing w:val="-1"/>
          <w:w w:val="90"/>
          <w:sz w:val="14"/>
          <w:u w:val="thick" w:color="4F4F50"/>
        </w:rPr>
        <w:t>EXAMPLE</w:t>
      </w:r>
    </w:p>
    <w:p>
      <w:pPr>
        <w:spacing w:line="240" w:lineRule="auto" w:before="111"/>
        <w:ind w:left="314" w:right="367" w:firstLine="82"/>
        <w:jc w:val="both"/>
        <w:rPr>
          <w:b/>
          <w:sz w:val="19"/>
        </w:rPr>
      </w:pPr>
      <w:r>
        <w:rPr>
          <w:color w:val="3D3B3D"/>
          <w:w w:val="110"/>
          <w:sz w:val="20"/>
        </w:rPr>
        <w:t>fhis Court </w:t>
      </w:r>
      <w:r>
        <w:rPr>
          <w:color w:val="2F2D2D"/>
          <w:w w:val="110"/>
          <w:sz w:val="20"/>
        </w:rPr>
        <w:t>has held </w:t>
      </w:r>
      <w:r>
        <w:rPr>
          <w:color w:val="3D3B3D"/>
          <w:w w:val="110"/>
          <w:sz w:val="20"/>
        </w:rPr>
        <w:t>that people </w:t>
      </w:r>
      <w:r>
        <w:rPr>
          <w:color w:val="2F2D2D"/>
          <w:w w:val="110"/>
          <w:sz w:val="19"/>
        </w:rPr>
        <w:t>will </w:t>
      </w:r>
      <w:r>
        <w:rPr>
          <w:color w:val="3D3B3D"/>
          <w:w w:val="110"/>
          <w:sz w:val="20"/>
        </w:rPr>
        <w:t>be recognized as having a </w:t>
      </w:r>
      <w:r>
        <w:rPr>
          <w:color w:val="2F2D2D"/>
          <w:w w:val="110"/>
          <w:sz w:val="20"/>
        </w:rPr>
        <w:t>legiti</w:t>
      </w:r>
      <w:r>
        <w:rPr>
          <w:color w:val="4F4F50"/>
          <w:w w:val="110"/>
          <w:sz w:val="20"/>
        </w:rPr>
        <w:t>­</w:t>
      </w:r>
      <w:r>
        <w:rPr>
          <w:color w:val="4F4F50"/>
          <w:spacing w:val="1"/>
          <w:w w:val="110"/>
          <w:sz w:val="20"/>
        </w:rPr>
        <w:t> </w:t>
      </w:r>
      <w:r>
        <w:rPr>
          <w:color w:val="3D3B3D"/>
          <w:w w:val="110"/>
          <w:sz w:val="20"/>
        </w:rPr>
        <w:t>mate expectation of privacy if </w:t>
      </w:r>
      <w:r>
        <w:rPr>
          <w:color w:val="2F2D2D"/>
          <w:w w:val="110"/>
          <w:sz w:val="20"/>
        </w:rPr>
        <w:t>they </w:t>
      </w:r>
      <w:r>
        <w:rPr>
          <w:color w:val="3D3B3D"/>
          <w:w w:val="110"/>
          <w:sz w:val="20"/>
        </w:rPr>
        <w:t>demonstrate an expectation that</w:t>
      </w:r>
      <w:r>
        <w:rPr>
          <w:color w:val="3D3B3D"/>
          <w:spacing w:val="1"/>
          <w:w w:val="110"/>
          <w:sz w:val="20"/>
        </w:rPr>
        <w:t> </w:t>
      </w:r>
      <w:r>
        <w:rPr>
          <w:color w:val="3D3B3D"/>
          <w:spacing w:val="-1"/>
          <w:w w:val="110"/>
          <w:sz w:val="20"/>
        </w:rPr>
        <w:t>their activities are </w:t>
      </w:r>
      <w:r>
        <w:rPr>
          <w:color w:val="2F2D2D"/>
          <w:w w:val="110"/>
          <w:sz w:val="20"/>
        </w:rPr>
        <w:t>treated </w:t>
      </w:r>
      <w:r>
        <w:rPr>
          <w:color w:val="3D3B3D"/>
          <w:w w:val="110"/>
          <w:sz w:val="20"/>
        </w:rPr>
        <w:t>as private, and </w:t>
      </w:r>
      <w:r>
        <w:rPr>
          <w:color w:val="2F2D2D"/>
          <w:w w:val="110"/>
          <w:sz w:val="20"/>
        </w:rPr>
        <w:t>if it </w:t>
      </w:r>
      <w:r>
        <w:rPr>
          <w:color w:val="3D3B3D"/>
          <w:w w:val="110"/>
          <w:sz w:val="20"/>
        </w:rPr>
        <w:t>can be shown that soci­</w:t>
      </w:r>
      <w:r>
        <w:rPr>
          <w:color w:val="3D3B3D"/>
          <w:spacing w:val="1"/>
          <w:w w:val="110"/>
          <w:sz w:val="20"/>
        </w:rPr>
        <w:t> </w:t>
      </w:r>
      <w:r>
        <w:rPr>
          <w:color w:val="3D3B3D"/>
          <w:w w:val="115"/>
          <w:sz w:val="20"/>
        </w:rPr>
        <w:t>ety will find that expectation to </w:t>
      </w:r>
      <w:r>
        <w:rPr>
          <w:color w:val="2F2D2D"/>
          <w:w w:val="115"/>
          <w:sz w:val="20"/>
        </w:rPr>
        <w:t>be </w:t>
      </w:r>
      <w:r>
        <w:rPr>
          <w:color w:val="3D3B3D"/>
          <w:w w:val="115"/>
          <w:sz w:val="20"/>
        </w:rPr>
        <w:t>reasonable in a given </w:t>
      </w:r>
      <w:r>
        <w:rPr>
          <w:color w:val="4F4F50"/>
          <w:w w:val="115"/>
          <w:sz w:val="20"/>
        </w:rPr>
        <w:t>s</w:t>
      </w:r>
      <w:r>
        <w:rPr>
          <w:color w:val="2F2D2D"/>
          <w:w w:val="115"/>
          <w:sz w:val="20"/>
        </w:rPr>
        <w:t>itu</w:t>
      </w:r>
      <w:r>
        <w:rPr>
          <w:color w:val="4F4F50"/>
          <w:w w:val="115"/>
          <w:sz w:val="20"/>
        </w:rPr>
        <w:t>ation.</w:t>
      </w:r>
      <w:r>
        <w:rPr>
          <w:color w:val="4F4F50"/>
          <w:spacing w:val="-55"/>
          <w:w w:val="115"/>
          <w:sz w:val="20"/>
        </w:rPr>
        <w:t> </w:t>
      </w:r>
      <w:r>
        <w:rPr>
          <w:color w:val="3D3B3D"/>
          <w:w w:val="110"/>
          <w:sz w:val="20"/>
          <w:u w:val="thick" w:color="3D3B3D"/>
        </w:rPr>
        <w:t>Katz v. United States</w:t>
      </w:r>
      <w:r>
        <w:rPr>
          <w:color w:val="3D3B3D"/>
          <w:w w:val="110"/>
          <w:sz w:val="20"/>
        </w:rPr>
        <w:t>, 389 </w:t>
      </w:r>
      <w:r>
        <w:rPr>
          <w:color w:val="2F2D2D"/>
          <w:w w:val="110"/>
          <w:sz w:val="19"/>
        </w:rPr>
        <w:t>U.S</w:t>
      </w:r>
      <w:r>
        <w:rPr>
          <w:color w:val="4F4F50"/>
          <w:w w:val="110"/>
          <w:sz w:val="19"/>
        </w:rPr>
        <w:t>. </w:t>
      </w:r>
      <w:r>
        <w:rPr>
          <w:color w:val="3D3B3D"/>
          <w:w w:val="110"/>
          <w:sz w:val="20"/>
        </w:rPr>
        <w:t>347, </w:t>
      </w:r>
      <w:r>
        <w:rPr>
          <w:color w:val="4F4F50"/>
          <w:w w:val="110"/>
          <w:sz w:val="20"/>
        </w:rPr>
        <w:t>361 </w:t>
      </w:r>
      <w:r>
        <w:rPr>
          <w:color w:val="3D3B3D"/>
          <w:w w:val="110"/>
          <w:sz w:val="20"/>
        </w:rPr>
        <w:t>(1967) (Harlan, </w:t>
      </w:r>
      <w:r>
        <w:rPr>
          <w:color w:val="2F2D2D"/>
          <w:w w:val="110"/>
          <w:sz w:val="23"/>
        </w:rPr>
        <w:t>J</w:t>
      </w:r>
      <w:r>
        <w:rPr>
          <w:color w:val="4F4F50"/>
          <w:w w:val="110"/>
          <w:sz w:val="23"/>
        </w:rPr>
        <w:t>., </w:t>
      </w:r>
      <w:r>
        <w:rPr>
          <w:color w:val="3D3B3D"/>
          <w:w w:val="110"/>
          <w:sz w:val="20"/>
        </w:rPr>
        <w:t>concur­</w:t>
      </w:r>
      <w:r>
        <w:rPr>
          <w:color w:val="3D3B3D"/>
          <w:spacing w:val="1"/>
          <w:w w:val="110"/>
          <w:sz w:val="20"/>
        </w:rPr>
        <w:t> </w:t>
      </w:r>
      <w:r>
        <w:rPr>
          <w:color w:val="2F2D2D"/>
          <w:w w:val="110"/>
          <w:sz w:val="20"/>
        </w:rPr>
        <w:t>ring). </w:t>
      </w:r>
      <w:r>
        <w:rPr>
          <w:rFonts w:ascii="Arial" w:hAnsi="Arial"/>
          <w:b/>
          <w:color w:val="2F2D2D"/>
          <w:w w:val="110"/>
          <w:sz w:val="14"/>
        </w:rPr>
        <w:t>A</w:t>
      </w:r>
      <w:r>
        <w:rPr>
          <w:rFonts w:ascii="Arial" w:hAnsi="Arial"/>
          <w:b/>
          <w:color w:val="2F2D2D"/>
          <w:spacing w:val="1"/>
          <w:w w:val="110"/>
          <w:sz w:val="14"/>
        </w:rPr>
        <w:t> </w:t>
      </w:r>
      <w:r>
        <w:rPr>
          <w:color w:val="2F2D2D"/>
          <w:w w:val="110"/>
          <w:sz w:val="20"/>
        </w:rPr>
        <w:t>In </w:t>
      </w:r>
      <w:r>
        <w:rPr>
          <w:color w:val="3D3B3D"/>
          <w:w w:val="110"/>
          <w:sz w:val="20"/>
        </w:rPr>
        <w:t>this case, Respondents </w:t>
      </w:r>
      <w:r>
        <w:rPr>
          <w:color w:val="2F2D2D"/>
          <w:w w:val="110"/>
          <w:sz w:val="20"/>
        </w:rPr>
        <w:t>demonstrated their </w:t>
      </w:r>
      <w:r>
        <w:rPr>
          <w:color w:val="3D3B3D"/>
          <w:w w:val="110"/>
          <w:sz w:val="20"/>
        </w:rPr>
        <w:t>expectation of</w:t>
      </w:r>
      <w:r>
        <w:rPr>
          <w:color w:val="3D3B3D"/>
          <w:spacing w:val="1"/>
          <w:w w:val="110"/>
          <w:sz w:val="20"/>
        </w:rPr>
        <w:t> </w:t>
      </w:r>
      <w:r>
        <w:rPr>
          <w:color w:val="3D3B3D"/>
          <w:w w:val="115"/>
          <w:sz w:val="20"/>
        </w:rPr>
        <w:t>privacy when they </w:t>
      </w:r>
      <w:r>
        <w:rPr>
          <w:color w:val="2F2D2D"/>
          <w:w w:val="115"/>
          <w:sz w:val="20"/>
        </w:rPr>
        <w:t>lowered </w:t>
      </w:r>
      <w:r>
        <w:rPr>
          <w:color w:val="3D3B3D"/>
          <w:w w:val="115"/>
          <w:sz w:val="20"/>
        </w:rPr>
        <w:t>the </w:t>
      </w:r>
      <w:r>
        <w:rPr>
          <w:color w:val="2F2D2D"/>
          <w:w w:val="115"/>
          <w:sz w:val="20"/>
        </w:rPr>
        <w:t>blinds </w:t>
      </w:r>
      <w:r>
        <w:rPr>
          <w:color w:val="3D3B3D"/>
          <w:w w:val="115"/>
          <w:sz w:val="20"/>
        </w:rPr>
        <w:t>to the apartment's window.</w:t>
      </w:r>
      <w:r>
        <w:rPr>
          <w:color w:val="3D3B3D"/>
          <w:spacing w:val="1"/>
          <w:w w:val="115"/>
          <w:sz w:val="20"/>
        </w:rPr>
        <w:t> </w:t>
      </w:r>
      <w:r>
        <w:rPr>
          <w:color w:val="3D3B3D"/>
          <w:w w:val="110"/>
          <w:sz w:val="20"/>
        </w:rPr>
        <w:t>Society should be prepared to recognize thisexpectation of privacy in</w:t>
      </w:r>
      <w:r>
        <w:rPr>
          <w:color w:val="3D3B3D"/>
          <w:spacing w:val="-52"/>
          <w:w w:val="110"/>
          <w:sz w:val="20"/>
        </w:rPr>
        <w:t> </w:t>
      </w:r>
      <w:r>
        <w:rPr>
          <w:b/>
          <w:color w:val="2F2D2D"/>
          <w:w w:val="110"/>
          <w:sz w:val="19"/>
        </w:rPr>
        <w:t>a</w:t>
      </w:r>
      <w:r>
        <w:rPr>
          <w:b/>
          <w:color w:val="2F2D2D"/>
          <w:spacing w:val="-25"/>
          <w:w w:val="110"/>
          <w:sz w:val="19"/>
        </w:rPr>
        <w:t> </w:t>
      </w:r>
      <w:r>
        <w:rPr>
          <w:b/>
          <w:color w:val="2F2D2D"/>
          <w:w w:val="110"/>
          <w:sz w:val="19"/>
        </w:rPr>
        <w:t>friend</w:t>
      </w:r>
      <w:r>
        <w:rPr>
          <w:b/>
          <w:color w:val="4F4F50"/>
          <w:w w:val="110"/>
          <w:sz w:val="19"/>
        </w:rPr>
        <w:t>'s</w:t>
      </w:r>
      <w:r>
        <w:rPr>
          <w:b/>
          <w:color w:val="4F4F50"/>
          <w:spacing w:val="-21"/>
          <w:w w:val="110"/>
          <w:sz w:val="19"/>
        </w:rPr>
        <w:t> </w:t>
      </w:r>
      <w:r>
        <w:rPr>
          <w:b/>
          <w:color w:val="3D3B3D"/>
          <w:w w:val="110"/>
          <w:sz w:val="19"/>
        </w:rPr>
        <w:t>apartment</w:t>
      </w:r>
      <w:r>
        <w:rPr>
          <w:b/>
          <w:color w:val="3D3B3D"/>
          <w:spacing w:val="-9"/>
          <w:w w:val="110"/>
          <w:sz w:val="19"/>
        </w:rPr>
        <w:t> </w:t>
      </w:r>
      <w:r>
        <w:rPr>
          <w:b/>
          <w:color w:val="3D3B3D"/>
          <w:w w:val="110"/>
          <w:sz w:val="19"/>
        </w:rPr>
        <w:t>as</w:t>
      </w:r>
      <w:r>
        <w:rPr>
          <w:b/>
          <w:color w:val="3D3B3D"/>
          <w:spacing w:val="-10"/>
          <w:w w:val="110"/>
          <w:sz w:val="19"/>
        </w:rPr>
        <w:t> </w:t>
      </w:r>
      <w:r>
        <w:rPr>
          <w:b/>
          <w:color w:val="2F2D2D"/>
          <w:w w:val="110"/>
          <w:sz w:val="19"/>
        </w:rPr>
        <w:t>reasonable.</w:t>
      </w:r>
    </w:p>
    <w:p>
      <w:pPr>
        <w:spacing w:line="240" w:lineRule="auto" w:before="27"/>
        <w:ind w:left="285" w:right="410" w:firstLine="343"/>
        <w:jc w:val="both"/>
        <w:rPr>
          <w:sz w:val="20"/>
        </w:rPr>
      </w:pPr>
      <w:r>
        <w:rPr>
          <w:color w:val="2F2D2D"/>
          <w:w w:val="110"/>
          <w:sz w:val="20"/>
        </w:rPr>
        <w:t>This </w:t>
      </w:r>
      <w:r>
        <w:rPr>
          <w:color w:val="3D3B3D"/>
          <w:w w:val="110"/>
          <w:sz w:val="20"/>
        </w:rPr>
        <w:t>Court </w:t>
      </w:r>
      <w:r>
        <w:rPr>
          <w:color w:val="2F2D2D"/>
          <w:w w:val="110"/>
          <w:sz w:val="20"/>
        </w:rPr>
        <w:t>has </w:t>
      </w:r>
      <w:r>
        <w:rPr>
          <w:color w:val="3D3B3D"/>
          <w:w w:val="110"/>
          <w:sz w:val="20"/>
        </w:rPr>
        <w:t>allowed </w:t>
      </w:r>
      <w:r>
        <w:rPr>
          <w:color w:val="2F2D2D"/>
          <w:w w:val="110"/>
          <w:sz w:val="20"/>
        </w:rPr>
        <w:t>Fourth </w:t>
      </w:r>
      <w:r>
        <w:rPr>
          <w:color w:val="3D3B3D"/>
          <w:w w:val="110"/>
          <w:sz w:val="20"/>
        </w:rPr>
        <w:t>Amendment protections to </w:t>
      </w:r>
      <w:r>
        <w:rPr>
          <w:color w:val="2F2D2D"/>
          <w:w w:val="110"/>
          <w:sz w:val="20"/>
        </w:rPr>
        <w:t>extend</w:t>
      </w:r>
      <w:r>
        <w:rPr>
          <w:color w:val="2F2D2D"/>
          <w:spacing w:val="-52"/>
          <w:w w:val="110"/>
          <w:sz w:val="20"/>
        </w:rPr>
        <w:t> </w:t>
      </w:r>
      <w:r>
        <w:rPr>
          <w:b/>
          <w:color w:val="3D3B3D"/>
          <w:spacing w:val="-1"/>
          <w:w w:val="110"/>
          <w:sz w:val="19"/>
        </w:rPr>
        <w:t>beyond </w:t>
      </w:r>
      <w:r>
        <w:rPr>
          <w:b/>
          <w:color w:val="2F2D2D"/>
          <w:spacing w:val="-1"/>
          <w:w w:val="110"/>
          <w:sz w:val="19"/>
        </w:rPr>
        <w:t>the home </w:t>
      </w:r>
      <w:r>
        <w:rPr>
          <w:b/>
          <w:color w:val="3D3B3D"/>
          <w:spacing w:val="-1"/>
          <w:w w:val="110"/>
          <w:sz w:val="19"/>
        </w:rPr>
        <w:t>when the defendants have </w:t>
      </w:r>
      <w:r>
        <w:rPr>
          <w:b/>
          <w:color w:val="2F2D2D"/>
          <w:spacing w:val="-1"/>
          <w:w w:val="110"/>
          <w:sz w:val="19"/>
        </w:rPr>
        <w:t>legitimate </w:t>
      </w:r>
      <w:r>
        <w:rPr>
          <w:b/>
          <w:color w:val="3D3B3D"/>
          <w:spacing w:val="-1"/>
          <w:w w:val="110"/>
          <w:sz w:val="21"/>
        </w:rPr>
        <w:t>expectations</w:t>
      </w:r>
      <w:r>
        <w:rPr>
          <w:b/>
          <w:color w:val="3D3B3D"/>
          <w:w w:val="110"/>
          <w:sz w:val="21"/>
        </w:rPr>
        <w:t> </w:t>
      </w:r>
      <w:r>
        <w:rPr>
          <w:color w:val="3D3B3D"/>
          <w:w w:val="110"/>
          <w:sz w:val="20"/>
        </w:rPr>
        <w:t>of </w:t>
      </w:r>
      <w:r>
        <w:rPr>
          <w:color w:val="2F2D2D"/>
          <w:w w:val="110"/>
          <w:sz w:val="20"/>
        </w:rPr>
        <w:t>privacy </w:t>
      </w:r>
      <w:r>
        <w:rPr>
          <w:color w:val="2F2D2D"/>
          <w:w w:val="110"/>
          <w:sz w:val="16"/>
        </w:rPr>
        <w:t>1</w:t>
      </w:r>
      <w:r>
        <w:rPr>
          <w:color w:val="2F2D2D"/>
          <w:spacing w:val="1"/>
          <w:w w:val="110"/>
          <w:sz w:val="16"/>
        </w:rPr>
        <w:t> </w:t>
      </w:r>
      <w:r>
        <w:rPr>
          <w:color w:val="3D3B3D"/>
          <w:w w:val="110"/>
          <w:sz w:val="20"/>
        </w:rPr>
        <w:t>and society can accept those expectations as </w:t>
      </w:r>
      <w:r>
        <w:rPr>
          <w:color w:val="2F2D2D"/>
          <w:w w:val="110"/>
          <w:sz w:val="20"/>
        </w:rPr>
        <w:t>legitimate</w:t>
      </w:r>
      <w:r>
        <w:rPr>
          <w:color w:val="4F4F50"/>
          <w:w w:val="110"/>
          <w:sz w:val="20"/>
        </w:rPr>
        <w:t>.</w:t>
      </w:r>
      <w:r>
        <w:rPr>
          <w:color w:val="4F4F50"/>
          <w:spacing w:val="1"/>
          <w:w w:val="110"/>
          <w:sz w:val="20"/>
        </w:rPr>
        <w:t> </w:t>
      </w:r>
      <w:r>
        <w:rPr>
          <w:color w:val="3D3B3D"/>
          <w:w w:val="110"/>
          <w:sz w:val="19"/>
        </w:rPr>
        <w:t>S,ef, </w:t>
      </w:r>
      <w:r>
        <w:rPr>
          <w:color w:val="3D3B3D"/>
          <w:w w:val="110"/>
          <w:sz w:val="19"/>
          <w:u w:val="thick" w:color="3D3B3D"/>
        </w:rPr>
        <w:t>e,i:.. Minnesota </w:t>
      </w:r>
      <w:r>
        <w:rPr>
          <w:color w:val="3D3B3D"/>
          <w:w w:val="110"/>
          <w:sz w:val="20"/>
          <w:u w:val="thick" w:color="3D3B3D"/>
        </w:rPr>
        <w:t>v, </w:t>
      </w:r>
      <w:r>
        <w:rPr>
          <w:color w:val="3D3B3D"/>
          <w:w w:val="110"/>
          <w:sz w:val="19"/>
          <w:u w:val="thick" w:color="3D3B3D"/>
        </w:rPr>
        <w:t>Olson</w:t>
      </w:r>
      <w:r>
        <w:rPr>
          <w:color w:val="3D3B3D"/>
          <w:w w:val="110"/>
          <w:sz w:val="19"/>
        </w:rPr>
        <w:t>. 495 U.S. 91,</w:t>
      </w:r>
      <w:r>
        <w:rPr>
          <w:color w:val="3D3B3D"/>
          <w:spacing w:val="1"/>
          <w:w w:val="110"/>
          <w:sz w:val="19"/>
        </w:rPr>
        <w:t> </w:t>
      </w:r>
      <w:r>
        <w:rPr>
          <w:color w:val="3D3B3D"/>
          <w:w w:val="110"/>
          <w:sz w:val="19"/>
        </w:rPr>
        <w:t>98</w:t>
      </w:r>
      <w:r>
        <w:rPr>
          <w:color w:val="3D3B3D"/>
          <w:spacing w:val="1"/>
          <w:w w:val="110"/>
          <w:sz w:val="19"/>
        </w:rPr>
        <w:t> </w:t>
      </w:r>
      <w:r>
        <w:rPr>
          <w:color w:val="3D3B3D"/>
          <w:w w:val="110"/>
          <w:sz w:val="19"/>
        </w:rPr>
        <w:t>(1990).  </w:t>
      </w:r>
      <w:r>
        <w:rPr>
          <w:rFonts w:ascii="Arial" w:hAnsi="Arial"/>
          <w:b/>
          <w:color w:val="3D3B3D"/>
          <w:w w:val="110"/>
          <w:sz w:val="19"/>
        </w:rPr>
        <w:t>a  </w:t>
      </w:r>
      <w:r>
        <w:rPr>
          <w:color w:val="2F2D2D"/>
          <w:w w:val="110"/>
          <w:sz w:val="20"/>
        </w:rPr>
        <w:t>In  </w:t>
      </w:r>
      <w:r>
        <w:rPr>
          <w:color w:val="4F4F50"/>
          <w:w w:val="110"/>
          <w:sz w:val="18"/>
        </w:rPr>
        <w:t>Qls.Qn,</w:t>
      </w:r>
      <w:r>
        <w:rPr>
          <w:color w:val="4F4F50"/>
          <w:spacing w:val="1"/>
          <w:w w:val="110"/>
          <w:sz w:val="18"/>
        </w:rPr>
        <w:t> </w:t>
      </w:r>
      <w:r>
        <w:rPr>
          <w:color w:val="2F2D2D"/>
          <w:w w:val="110"/>
          <w:sz w:val="20"/>
        </w:rPr>
        <w:t>this </w:t>
      </w:r>
      <w:r>
        <w:rPr>
          <w:color w:val="3D3B3D"/>
          <w:w w:val="110"/>
          <w:sz w:val="20"/>
        </w:rPr>
        <w:t>Court </w:t>
      </w:r>
      <w:r>
        <w:rPr>
          <w:color w:val="2F2D2D"/>
          <w:w w:val="110"/>
          <w:sz w:val="20"/>
        </w:rPr>
        <w:t>held </w:t>
      </w:r>
      <w:r>
        <w:rPr>
          <w:color w:val="3D3B3D"/>
          <w:w w:val="110"/>
          <w:sz w:val="20"/>
        </w:rPr>
        <w:t>that the </w:t>
      </w:r>
      <w:r>
        <w:rPr>
          <w:color w:val="2F2D2D"/>
          <w:w w:val="110"/>
          <w:sz w:val="20"/>
        </w:rPr>
        <w:t>unwarranted </w:t>
      </w:r>
      <w:r>
        <w:rPr>
          <w:color w:val="3D3B3D"/>
          <w:w w:val="110"/>
          <w:sz w:val="20"/>
        </w:rPr>
        <w:t>arrest of </w:t>
      </w:r>
      <w:r>
        <w:rPr>
          <w:color w:val="2F2D2D"/>
          <w:w w:val="110"/>
          <w:sz w:val="20"/>
        </w:rPr>
        <w:t>defendant</w:t>
      </w:r>
      <w:r>
        <w:rPr>
          <w:color w:val="4F4F50"/>
          <w:w w:val="110"/>
          <w:sz w:val="20"/>
        </w:rPr>
        <w:t>, </w:t>
      </w:r>
      <w:r>
        <w:rPr>
          <w:color w:val="3D3B3D"/>
          <w:w w:val="110"/>
          <w:sz w:val="20"/>
        </w:rPr>
        <w:t>an</w:t>
      </w:r>
      <w:r>
        <w:rPr>
          <w:color w:val="3D3B3D"/>
          <w:spacing w:val="1"/>
          <w:w w:val="110"/>
          <w:sz w:val="20"/>
        </w:rPr>
        <w:t> </w:t>
      </w:r>
      <w:r>
        <w:rPr>
          <w:color w:val="3D3B3D"/>
          <w:w w:val="110"/>
          <w:sz w:val="20"/>
        </w:rPr>
        <w:t>over­</w:t>
      </w:r>
      <w:r>
        <w:rPr>
          <w:color w:val="3D3B3D"/>
          <w:spacing w:val="1"/>
          <w:w w:val="110"/>
          <w:sz w:val="20"/>
        </w:rPr>
        <w:t> </w:t>
      </w:r>
      <w:r>
        <w:rPr>
          <w:color w:val="2F2D2D"/>
          <w:w w:val="110"/>
          <w:sz w:val="20"/>
        </w:rPr>
        <w:t>night</w:t>
      </w:r>
      <w:r>
        <w:rPr>
          <w:color w:val="2F2D2D"/>
          <w:spacing w:val="-2"/>
          <w:w w:val="110"/>
          <w:sz w:val="20"/>
        </w:rPr>
        <w:t> </w:t>
      </w:r>
      <w:r>
        <w:rPr>
          <w:color w:val="3D3B3D"/>
          <w:w w:val="110"/>
          <w:sz w:val="20"/>
        </w:rPr>
        <w:t>guest,</w:t>
      </w:r>
      <w:r>
        <w:rPr>
          <w:color w:val="3D3B3D"/>
          <w:spacing w:val="39"/>
          <w:w w:val="110"/>
          <w:sz w:val="20"/>
        </w:rPr>
        <w:t> </w:t>
      </w:r>
      <w:r>
        <w:rPr>
          <w:rFonts w:ascii="Arial" w:hAnsi="Arial"/>
          <w:color w:val="2F2D2D"/>
          <w:w w:val="110"/>
          <w:sz w:val="15"/>
        </w:rPr>
        <w:t>J</w:t>
      </w:r>
      <w:r>
        <w:rPr>
          <w:rFonts w:ascii="Arial" w:hAnsi="Arial"/>
          <w:color w:val="2F2D2D"/>
          <w:spacing w:val="3"/>
          <w:w w:val="110"/>
          <w:sz w:val="15"/>
        </w:rPr>
        <w:t> </w:t>
      </w:r>
      <w:r>
        <w:rPr>
          <w:color w:val="3D3B3D"/>
          <w:w w:val="110"/>
          <w:sz w:val="20"/>
        </w:rPr>
        <w:t>was</w:t>
      </w:r>
      <w:r>
        <w:rPr>
          <w:color w:val="3D3B3D"/>
          <w:spacing w:val="-15"/>
          <w:w w:val="110"/>
          <w:sz w:val="20"/>
        </w:rPr>
        <w:t> </w:t>
      </w:r>
      <w:r>
        <w:rPr>
          <w:color w:val="3D3B3D"/>
          <w:w w:val="110"/>
          <w:sz w:val="20"/>
        </w:rPr>
        <w:t>an </w:t>
      </w:r>
      <w:r>
        <w:rPr>
          <w:color w:val="2F2D2D"/>
          <w:w w:val="110"/>
          <w:sz w:val="20"/>
        </w:rPr>
        <w:t>illegal</w:t>
      </w:r>
      <w:r>
        <w:rPr>
          <w:color w:val="2F2D2D"/>
          <w:spacing w:val="-10"/>
          <w:w w:val="110"/>
          <w:sz w:val="20"/>
        </w:rPr>
        <w:t> </w:t>
      </w:r>
      <w:r>
        <w:rPr>
          <w:color w:val="3D3B3D"/>
          <w:w w:val="110"/>
          <w:sz w:val="20"/>
        </w:rPr>
        <w:t>seizure.</w:t>
      </w:r>
      <w:r>
        <w:rPr>
          <w:color w:val="3D3B3D"/>
          <w:spacing w:val="-36"/>
          <w:w w:val="110"/>
          <w:sz w:val="20"/>
        </w:rPr>
        <w:t> </w:t>
      </w:r>
      <w:r>
        <w:rPr>
          <w:rFonts w:ascii="Arial" w:hAnsi="Arial"/>
          <w:b/>
          <w:color w:val="2F2D2D"/>
          <w:w w:val="110"/>
          <w:sz w:val="16"/>
        </w:rPr>
        <w:t>2</w:t>
      </w:r>
      <w:r>
        <w:rPr>
          <w:rFonts w:ascii="Arial" w:hAnsi="Arial"/>
          <w:b/>
          <w:color w:val="2F2D2D"/>
          <w:spacing w:val="24"/>
          <w:w w:val="110"/>
          <w:sz w:val="16"/>
        </w:rPr>
        <w:t> </w:t>
      </w:r>
      <w:r>
        <w:rPr>
          <w:rFonts w:ascii="Arial" w:hAnsi="Arial"/>
          <w:color w:val="3D3B3D"/>
          <w:w w:val="110"/>
          <w:sz w:val="22"/>
        </w:rPr>
        <w:t>Id.</w:t>
      </w:r>
      <w:r>
        <w:rPr>
          <w:rFonts w:ascii="Arial" w:hAnsi="Arial"/>
          <w:color w:val="3D3B3D"/>
          <w:spacing w:val="-24"/>
          <w:w w:val="110"/>
          <w:sz w:val="22"/>
        </w:rPr>
        <w:t> </w:t>
      </w:r>
      <w:r>
        <w:rPr>
          <w:color w:val="3D3B3D"/>
          <w:w w:val="110"/>
          <w:sz w:val="20"/>
        </w:rPr>
        <w:t>The</w:t>
      </w:r>
      <w:r>
        <w:rPr>
          <w:color w:val="3D3B3D"/>
          <w:spacing w:val="16"/>
          <w:w w:val="110"/>
          <w:sz w:val="20"/>
        </w:rPr>
        <w:t> </w:t>
      </w:r>
      <w:r>
        <w:rPr>
          <w:color w:val="4F4F50"/>
          <w:w w:val="110"/>
          <w:sz w:val="20"/>
        </w:rPr>
        <w:t>Court</w:t>
      </w:r>
      <w:r>
        <w:rPr>
          <w:color w:val="4F4F50"/>
          <w:spacing w:val="11"/>
          <w:w w:val="110"/>
          <w:sz w:val="20"/>
        </w:rPr>
        <w:t> </w:t>
      </w:r>
      <w:r>
        <w:rPr>
          <w:color w:val="3D3B3D"/>
          <w:w w:val="110"/>
          <w:sz w:val="20"/>
        </w:rPr>
        <w:t>recognized</w:t>
      </w:r>
      <w:r>
        <w:rPr>
          <w:color w:val="3D3B3D"/>
          <w:spacing w:val="27"/>
          <w:w w:val="110"/>
          <w:sz w:val="20"/>
        </w:rPr>
        <w:t> </w:t>
      </w:r>
      <w:r>
        <w:rPr>
          <w:color w:val="3D3B3D"/>
          <w:w w:val="110"/>
          <w:sz w:val="20"/>
        </w:rPr>
        <w:t>that</w:t>
      </w:r>
    </w:p>
    <w:p>
      <w:pPr>
        <w:spacing w:after="0" w:line="240" w:lineRule="auto"/>
        <w:jc w:val="both"/>
        <w:rPr>
          <w:sz w:val="20"/>
        </w:rPr>
        <w:sectPr>
          <w:type w:val="continuous"/>
          <w:pgSz w:w="8420" w:h="13760"/>
          <w:pgMar w:header="533" w:footer="0" w:top="340" w:bottom="280" w:left="300" w:right="0"/>
          <w:cols w:num="2" w:equalWidth="0">
            <w:col w:w="1274" w:space="40"/>
            <w:col w:w="6806"/>
          </w:cols>
        </w:sectPr>
      </w:pPr>
    </w:p>
    <w:p>
      <w:pPr>
        <w:spacing w:after="0" w:line="240" w:lineRule="auto"/>
        <w:jc w:val="both"/>
        <w:rPr>
          <w:sz w:val="20"/>
        </w:rPr>
        <w:sectPr>
          <w:type w:val="continuous"/>
          <w:pgSz w:w="8420" w:h="13760"/>
          <w:pgMar w:header="533" w:footer="0" w:top="340" w:bottom="280" w:left="300" w:right="0"/>
        </w:sectPr>
      </w:pPr>
    </w:p>
    <w:p>
      <w:pPr>
        <w:spacing w:line="230" w:lineRule="auto" w:before="89"/>
        <w:ind w:left="413" w:right="14" w:firstLine="12"/>
        <w:jc w:val="left"/>
        <w:rPr>
          <w:sz w:val="21"/>
        </w:rPr>
      </w:pPr>
      <w:r>
        <w:rPr>
          <w:color w:val="383638"/>
          <w:w w:val="110"/>
          <w:sz w:val="21"/>
        </w:rPr>
        <w:t>overnight</w:t>
      </w:r>
      <w:r>
        <w:rPr>
          <w:color w:val="383638"/>
          <w:spacing w:val="7"/>
          <w:w w:val="110"/>
          <w:sz w:val="21"/>
        </w:rPr>
        <w:t> </w:t>
      </w:r>
      <w:r>
        <w:rPr>
          <w:color w:val="383638"/>
          <w:w w:val="110"/>
          <w:sz w:val="21"/>
        </w:rPr>
        <w:t>guests</w:t>
      </w:r>
      <w:r>
        <w:rPr>
          <w:color w:val="383638"/>
          <w:spacing w:val="10"/>
          <w:w w:val="110"/>
          <w:sz w:val="21"/>
        </w:rPr>
        <w:t> </w:t>
      </w:r>
      <w:r>
        <w:rPr>
          <w:color w:val="383638"/>
          <w:w w:val="110"/>
          <w:sz w:val="21"/>
        </w:rPr>
        <w:t>have</w:t>
      </w:r>
      <w:r>
        <w:rPr>
          <w:color w:val="383638"/>
          <w:spacing w:val="-9"/>
          <w:w w:val="110"/>
          <w:sz w:val="21"/>
        </w:rPr>
        <w:t> </w:t>
      </w:r>
      <w:r>
        <w:rPr>
          <w:color w:val="383638"/>
          <w:w w:val="110"/>
          <w:sz w:val="21"/>
        </w:rPr>
        <w:t>a</w:t>
      </w:r>
      <w:r>
        <w:rPr>
          <w:color w:val="383638"/>
          <w:spacing w:val="5"/>
          <w:w w:val="110"/>
          <w:sz w:val="21"/>
        </w:rPr>
        <w:t> </w:t>
      </w:r>
      <w:r>
        <w:rPr>
          <w:color w:val="383638"/>
          <w:w w:val="110"/>
          <w:sz w:val="21"/>
        </w:rPr>
        <w:t>sufficient</w:t>
      </w:r>
      <w:r>
        <w:rPr>
          <w:color w:val="383638"/>
          <w:spacing w:val="8"/>
          <w:w w:val="110"/>
          <w:sz w:val="21"/>
        </w:rPr>
        <w:t> </w:t>
      </w:r>
      <w:r>
        <w:rPr>
          <w:color w:val="383638"/>
          <w:w w:val="110"/>
          <w:sz w:val="21"/>
        </w:rPr>
        <w:t>interest</w:t>
      </w:r>
      <w:r>
        <w:rPr>
          <w:color w:val="383638"/>
          <w:spacing w:val="10"/>
          <w:w w:val="110"/>
          <w:sz w:val="21"/>
        </w:rPr>
        <w:t> </w:t>
      </w:r>
      <w:r>
        <w:rPr>
          <w:color w:val="383638"/>
          <w:w w:val="110"/>
          <w:sz w:val="21"/>
        </w:rPr>
        <w:t>in</w:t>
      </w:r>
      <w:r>
        <w:rPr>
          <w:color w:val="383638"/>
          <w:spacing w:val="39"/>
          <w:w w:val="110"/>
          <w:sz w:val="21"/>
        </w:rPr>
        <w:t> </w:t>
      </w:r>
      <w:r>
        <w:rPr>
          <w:color w:val="2A2628"/>
          <w:w w:val="110"/>
          <w:sz w:val="21"/>
        </w:rPr>
        <w:t>the</w:t>
      </w:r>
      <w:r>
        <w:rPr>
          <w:color w:val="2A2628"/>
          <w:spacing w:val="36"/>
          <w:w w:val="110"/>
          <w:sz w:val="21"/>
        </w:rPr>
        <w:t> </w:t>
      </w:r>
      <w:r>
        <w:rPr>
          <w:color w:val="383638"/>
          <w:w w:val="110"/>
          <w:sz w:val="21"/>
        </w:rPr>
        <w:t>privacy</w:t>
      </w:r>
      <w:r>
        <w:rPr>
          <w:color w:val="383638"/>
          <w:spacing w:val="6"/>
          <w:w w:val="110"/>
          <w:sz w:val="21"/>
        </w:rPr>
        <w:t> </w:t>
      </w:r>
      <w:r>
        <w:rPr>
          <w:color w:val="383638"/>
          <w:w w:val="110"/>
          <w:sz w:val="21"/>
        </w:rPr>
        <w:t>of</w:t>
      </w:r>
      <w:r>
        <w:rPr>
          <w:color w:val="383638"/>
          <w:spacing w:val="20"/>
          <w:w w:val="110"/>
          <w:sz w:val="21"/>
        </w:rPr>
        <w:t> </w:t>
      </w:r>
      <w:r>
        <w:rPr>
          <w:color w:val="383638"/>
          <w:w w:val="110"/>
          <w:sz w:val="21"/>
        </w:rPr>
        <w:t>the</w:t>
      </w:r>
      <w:r>
        <w:rPr>
          <w:color w:val="383638"/>
          <w:spacing w:val="47"/>
          <w:w w:val="110"/>
          <w:sz w:val="21"/>
        </w:rPr>
        <w:t> </w:t>
      </w:r>
      <w:r>
        <w:rPr>
          <w:color w:val="383638"/>
          <w:w w:val="110"/>
          <w:sz w:val="21"/>
        </w:rPr>
        <w:t>host's</w:t>
      </w:r>
      <w:r>
        <w:rPr>
          <w:color w:val="383638"/>
          <w:spacing w:val="-55"/>
          <w:w w:val="110"/>
          <w:sz w:val="21"/>
        </w:rPr>
        <w:t> </w:t>
      </w:r>
      <w:r>
        <w:rPr>
          <w:color w:val="2A2628"/>
          <w:w w:val="110"/>
          <w:sz w:val="21"/>
        </w:rPr>
        <w:t>home </w:t>
      </w:r>
      <w:r>
        <w:rPr>
          <w:color w:val="383638"/>
          <w:w w:val="110"/>
          <w:sz w:val="21"/>
        </w:rPr>
        <w:t>to be free from unwarranted search and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seizure. </w:t>
      </w:r>
      <w:r>
        <w:rPr>
          <w:rFonts w:ascii="Arial"/>
          <w:b/>
          <w:color w:val="2A2628"/>
          <w:w w:val="110"/>
          <w:sz w:val="15"/>
        </w:rPr>
        <w:t>4</w:t>
      </w:r>
      <w:r>
        <w:rPr>
          <w:rFonts w:ascii="Arial"/>
          <w:b/>
          <w:color w:val="2A2628"/>
          <w:spacing w:val="1"/>
          <w:w w:val="110"/>
          <w:sz w:val="15"/>
        </w:rPr>
        <w:t> </w:t>
      </w:r>
      <w:r>
        <w:rPr>
          <w:color w:val="383638"/>
          <w:w w:val="110"/>
          <w:sz w:val="23"/>
        </w:rPr>
        <w:t>ld. </w:t>
      </w:r>
      <w:r>
        <w:rPr>
          <w:color w:val="383638"/>
          <w:w w:val="110"/>
          <w:sz w:val="21"/>
        </w:rPr>
        <w:t>at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96-97.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Furthermore, the defendant's subjective expectation of privacy</w:t>
      </w:r>
      <w:r>
        <w:rPr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16"/>
        </w:rPr>
        <w:t>1</w:t>
      </w:r>
      <w:r>
        <w:rPr>
          <w:b/>
          <w:color w:val="383638"/>
          <w:spacing w:val="1"/>
          <w:w w:val="110"/>
          <w:sz w:val="16"/>
        </w:rPr>
        <w:t> </w:t>
      </w:r>
      <w:r>
        <w:rPr>
          <w:color w:val="383638"/>
          <w:w w:val="110"/>
          <w:sz w:val="19"/>
        </w:rPr>
        <w:t>&amp;</w:t>
      </w:r>
      <w:r>
        <w:rPr>
          <w:color w:val="383638"/>
          <w:spacing w:val="1"/>
          <w:w w:val="110"/>
          <w:sz w:val="19"/>
        </w:rPr>
        <w:t> </w:t>
      </w:r>
      <w:r>
        <w:rPr>
          <w:b/>
          <w:color w:val="383638"/>
          <w:w w:val="110"/>
          <w:sz w:val="15"/>
        </w:rPr>
        <w:t>J</w:t>
      </w:r>
      <w:r>
        <w:rPr>
          <w:b/>
          <w:color w:val="383638"/>
          <w:spacing w:val="1"/>
          <w:w w:val="110"/>
          <w:sz w:val="15"/>
        </w:rPr>
        <w:t> </w:t>
      </w:r>
      <w:r>
        <w:rPr>
          <w:color w:val="383638"/>
          <w:w w:val="110"/>
          <w:sz w:val="21"/>
        </w:rPr>
        <w:t>was found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to be reasonable because society </w:t>
      </w:r>
      <w:r>
        <w:rPr>
          <w:color w:val="383638"/>
          <w:w w:val="110"/>
          <w:sz w:val="20"/>
        </w:rPr>
        <w:t>is </w:t>
      </w:r>
      <w:r>
        <w:rPr>
          <w:color w:val="383638"/>
          <w:w w:val="110"/>
          <w:sz w:val="21"/>
        </w:rPr>
        <w:t>known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to recognize </w:t>
      </w:r>
      <w:r>
        <w:rPr>
          <w:color w:val="2A2628"/>
          <w:w w:val="110"/>
          <w:sz w:val="21"/>
        </w:rPr>
        <w:t>the</w:t>
      </w:r>
      <w:r>
        <w:rPr>
          <w:color w:val="2A2628"/>
          <w:spacing w:val="-55"/>
          <w:w w:val="110"/>
          <w:sz w:val="21"/>
        </w:rPr>
        <w:t> </w:t>
      </w:r>
      <w:r>
        <w:rPr>
          <w:color w:val="383638"/>
          <w:w w:val="110"/>
          <w:sz w:val="21"/>
        </w:rPr>
        <w:t>social custom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of staying overnight in another's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home: </w:t>
      </w:r>
      <w:r>
        <w:rPr>
          <w:color w:val="4B494B"/>
          <w:w w:val="110"/>
          <w:sz w:val="21"/>
        </w:rPr>
        <w:t>"We </w:t>
      </w:r>
      <w:r>
        <w:rPr>
          <w:color w:val="383638"/>
          <w:w w:val="110"/>
          <w:sz w:val="21"/>
        </w:rPr>
        <w:t>will all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be</w:t>
      </w:r>
      <w:r>
        <w:rPr>
          <w:color w:val="383638"/>
          <w:spacing w:val="-55"/>
          <w:w w:val="110"/>
          <w:sz w:val="21"/>
        </w:rPr>
        <w:t> </w:t>
      </w:r>
      <w:r>
        <w:rPr>
          <w:color w:val="383638"/>
          <w:w w:val="110"/>
          <w:sz w:val="21"/>
        </w:rPr>
        <w:t>hosts</w:t>
      </w:r>
      <w:r>
        <w:rPr>
          <w:color w:val="383638"/>
          <w:spacing w:val="-4"/>
          <w:w w:val="110"/>
          <w:sz w:val="21"/>
        </w:rPr>
        <w:t> </w:t>
      </w:r>
      <w:r>
        <w:rPr>
          <w:color w:val="383638"/>
          <w:w w:val="110"/>
          <w:sz w:val="21"/>
        </w:rPr>
        <w:t>and</w:t>
      </w:r>
      <w:r>
        <w:rPr>
          <w:color w:val="383638"/>
          <w:spacing w:val="8"/>
          <w:w w:val="110"/>
          <w:sz w:val="21"/>
        </w:rPr>
        <w:t> </w:t>
      </w:r>
      <w:r>
        <w:rPr>
          <w:color w:val="383638"/>
          <w:w w:val="110"/>
          <w:sz w:val="21"/>
        </w:rPr>
        <w:t>we</w:t>
      </w:r>
      <w:r>
        <w:rPr>
          <w:color w:val="383638"/>
          <w:spacing w:val="23"/>
          <w:w w:val="110"/>
          <w:sz w:val="21"/>
        </w:rPr>
        <w:t> </w:t>
      </w:r>
      <w:r>
        <w:rPr>
          <w:color w:val="383638"/>
          <w:w w:val="110"/>
          <w:sz w:val="21"/>
        </w:rPr>
        <w:t>will</w:t>
      </w:r>
      <w:r>
        <w:rPr>
          <w:color w:val="383638"/>
          <w:spacing w:val="9"/>
          <w:w w:val="110"/>
          <w:sz w:val="21"/>
        </w:rPr>
        <w:t> </w:t>
      </w:r>
      <w:r>
        <w:rPr>
          <w:color w:val="383638"/>
          <w:w w:val="110"/>
          <w:sz w:val="21"/>
        </w:rPr>
        <w:t>all</w:t>
      </w:r>
      <w:r>
        <w:rPr>
          <w:color w:val="383638"/>
          <w:spacing w:val="27"/>
          <w:w w:val="110"/>
          <w:sz w:val="21"/>
        </w:rPr>
        <w:t> </w:t>
      </w:r>
      <w:r>
        <w:rPr>
          <w:color w:val="383638"/>
          <w:w w:val="110"/>
          <w:sz w:val="21"/>
        </w:rPr>
        <w:t>be</w:t>
      </w:r>
      <w:r>
        <w:rPr>
          <w:color w:val="383638"/>
          <w:spacing w:val="13"/>
          <w:w w:val="110"/>
          <w:sz w:val="21"/>
        </w:rPr>
        <w:t> </w:t>
      </w:r>
      <w:r>
        <w:rPr>
          <w:color w:val="383638"/>
          <w:w w:val="110"/>
          <w:sz w:val="21"/>
        </w:rPr>
        <w:t>guests</w:t>
      </w:r>
      <w:r>
        <w:rPr>
          <w:color w:val="383638"/>
          <w:spacing w:val="27"/>
          <w:w w:val="110"/>
          <w:sz w:val="21"/>
        </w:rPr>
        <w:t> </w:t>
      </w:r>
      <w:r>
        <w:rPr>
          <w:color w:val="383638"/>
          <w:w w:val="110"/>
          <w:sz w:val="21"/>
        </w:rPr>
        <w:t>many</w:t>
      </w:r>
      <w:r>
        <w:rPr>
          <w:color w:val="383638"/>
          <w:spacing w:val="25"/>
          <w:w w:val="110"/>
          <w:sz w:val="21"/>
        </w:rPr>
        <w:t> </w:t>
      </w:r>
      <w:r>
        <w:rPr>
          <w:color w:val="383638"/>
          <w:w w:val="110"/>
          <w:sz w:val="21"/>
        </w:rPr>
        <w:t>times</w:t>
      </w:r>
      <w:r>
        <w:rPr>
          <w:color w:val="383638"/>
          <w:spacing w:val="9"/>
          <w:w w:val="110"/>
          <w:sz w:val="21"/>
        </w:rPr>
        <w:t> </w:t>
      </w:r>
      <w:r>
        <w:rPr>
          <w:color w:val="383638"/>
          <w:w w:val="110"/>
          <w:sz w:val="21"/>
        </w:rPr>
        <w:t>in</w:t>
      </w:r>
      <w:r>
        <w:rPr>
          <w:color w:val="383638"/>
          <w:spacing w:val="22"/>
          <w:w w:val="110"/>
          <w:sz w:val="21"/>
        </w:rPr>
        <w:t> </w:t>
      </w:r>
      <w:r>
        <w:rPr>
          <w:color w:val="383638"/>
          <w:w w:val="110"/>
          <w:sz w:val="21"/>
        </w:rPr>
        <w:t>our</w:t>
      </w:r>
      <w:r>
        <w:rPr>
          <w:color w:val="383638"/>
          <w:spacing w:val="24"/>
          <w:w w:val="110"/>
          <w:sz w:val="21"/>
        </w:rPr>
        <w:t> </w:t>
      </w:r>
      <w:r>
        <w:rPr>
          <w:color w:val="383638"/>
          <w:w w:val="110"/>
          <w:sz w:val="21"/>
        </w:rPr>
        <w:t>lives.</w:t>
      </w:r>
      <w:r>
        <w:rPr>
          <w:color w:val="383638"/>
          <w:spacing w:val="7"/>
          <w:w w:val="110"/>
          <w:sz w:val="21"/>
        </w:rPr>
        <w:t> </w:t>
      </w:r>
      <w:r>
        <w:rPr>
          <w:color w:val="383638"/>
          <w:w w:val="110"/>
          <w:sz w:val="21"/>
        </w:rPr>
        <w:t>From</w:t>
      </w:r>
      <w:r>
        <w:rPr>
          <w:color w:val="383638"/>
          <w:spacing w:val="16"/>
          <w:w w:val="110"/>
          <w:sz w:val="21"/>
        </w:rPr>
        <w:t> </w:t>
      </w:r>
      <w:r>
        <w:rPr>
          <w:color w:val="383638"/>
          <w:w w:val="110"/>
          <w:sz w:val="21"/>
        </w:rPr>
        <w:t>either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perspective, we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think that society recognizes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that a houseguest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has</w:t>
      </w:r>
      <w:r>
        <w:rPr>
          <w:color w:val="383638"/>
          <w:spacing w:val="1"/>
          <w:w w:val="110"/>
          <w:sz w:val="21"/>
        </w:rPr>
        <w:t> </w:t>
      </w:r>
      <w:r>
        <w:rPr>
          <w:rFonts w:ascii="Arial"/>
          <w:b/>
          <w:color w:val="383638"/>
          <w:w w:val="110"/>
          <w:sz w:val="19"/>
        </w:rPr>
        <w:t>a</w:t>
      </w:r>
      <w:r>
        <w:rPr>
          <w:rFonts w:ascii="Arial"/>
          <w:b/>
          <w:color w:val="383638"/>
          <w:spacing w:val="-56"/>
          <w:w w:val="110"/>
          <w:sz w:val="19"/>
        </w:rPr>
        <w:t> </w:t>
      </w:r>
      <w:r>
        <w:rPr>
          <w:color w:val="383638"/>
          <w:w w:val="110"/>
          <w:sz w:val="21"/>
        </w:rPr>
        <w:t>legitimate </w:t>
      </w:r>
      <w:r>
        <w:rPr>
          <w:color w:val="4B494B"/>
          <w:w w:val="110"/>
          <w:sz w:val="21"/>
        </w:rPr>
        <w:t>expec</w:t>
      </w:r>
      <w:r>
        <w:rPr>
          <w:color w:val="2A2628"/>
          <w:w w:val="110"/>
          <w:sz w:val="21"/>
        </w:rPr>
        <w:t>tation</w:t>
      </w:r>
      <w:r>
        <w:rPr>
          <w:color w:val="2A262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of privacy in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his host's home." </w:t>
      </w:r>
      <w:r>
        <w:rPr>
          <w:rFonts w:ascii="Arial"/>
          <w:b/>
          <w:color w:val="2A2628"/>
          <w:w w:val="110"/>
          <w:sz w:val="15"/>
        </w:rPr>
        <w:t>4</w:t>
      </w:r>
      <w:r>
        <w:rPr>
          <w:rFonts w:ascii="Arial"/>
          <w:b/>
          <w:color w:val="2A2628"/>
          <w:spacing w:val="1"/>
          <w:w w:val="110"/>
          <w:sz w:val="15"/>
        </w:rPr>
        <w:t> </w:t>
      </w:r>
      <w:r>
        <w:rPr>
          <w:color w:val="383638"/>
          <w:w w:val="110"/>
          <w:sz w:val="21"/>
          <w:u w:val="thick" w:color="383638"/>
        </w:rPr>
        <w:t>Id</w:t>
      </w:r>
      <w:r>
        <w:rPr>
          <w:color w:val="383638"/>
          <w:w w:val="110"/>
          <w:sz w:val="21"/>
        </w:rPr>
        <w:t>. at 98. The</w:t>
      </w:r>
      <w:r>
        <w:rPr>
          <w:color w:val="383638"/>
          <w:spacing w:val="-55"/>
          <w:w w:val="110"/>
          <w:sz w:val="21"/>
        </w:rPr>
        <w:t> </w:t>
      </w:r>
      <w:r>
        <w:rPr>
          <w:color w:val="383638"/>
          <w:w w:val="115"/>
          <w:sz w:val="21"/>
        </w:rPr>
        <w:t>Court specifically</w:t>
      </w:r>
      <w:r>
        <w:rPr>
          <w:color w:val="383638"/>
          <w:spacing w:val="21"/>
          <w:w w:val="115"/>
          <w:sz w:val="21"/>
        </w:rPr>
        <w:t> </w:t>
      </w:r>
      <w:r>
        <w:rPr>
          <w:color w:val="383638"/>
          <w:w w:val="115"/>
          <w:sz w:val="21"/>
        </w:rPr>
        <w:t>noted</w:t>
      </w:r>
      <w:r>
        <w:rPr>
          <w:color w:val="383638"/>
          <w:spacing w:val="16"/>
          <w:w w:val="115"/>
          <w:sz w:val="21"/>
        </w:rPr>
        <w:t> </w:t>
      </w:r>
      <w:r>
        <w:rPr>
          <w:color w:val="2A2628"/>
          <w:w w:val="115"/>
          <w:sz w:val="21"/>
        </w:rPr>
        <w:t>that </w:t>
      </w:r>
      <w:r>
        <w:rPr>
          <w:color w:val="383638"/>
          <w:w w:val="115"/>
          <w:sz w:val="21"/>
        </w:rPr>
        <w:t>it</w:t>
      </w:r>
      <w:r>
        <w:rPr>
          <w:color w:val="383638"/>
          <w:spacing w:val="16"/>
          <w:w w:val="115"/>
          <w:sz w:val="21"/>
        </w:rPr>
        <w:t> </w:t>
      </w:r>
      <w:r>
        <w:rPr>
          <w:color w:val="383638"/>
          <w:w w:val="115"/>
          <w:sz w:val="21"/>
        </w:rPr>
        <w:t>is</w:t>
      </w:r>
      <w:r>
        <w:rPr>
          <w:color w:val="383638"/>
          <w:spacing w:val="-26"/>
          <w:w w:val="115"/>
          <w:sz w:val="21"/>
        </w:rPr>
        <w:t> </w:t>
      </w:r>
      <w:r>
        <w:rPr>
          <w:color w:val="383638"/>
          <w:w w:val="115"/>
          <w:sz w:val="21"/>
        </w:rPr>
        <w:t>a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4B494B"/>
          <w:w w:val="115"/>
          <w:sz w:val="21"/>
        </w:rPr>
        <w:t>"mistaken</w:t>
      </w:r>
      <w:r>
        <w:rPr>
          <w:color w:val="4B494B"/>
          <w:spacing w:val="25"/>
          <w:w w:val="115"/>
          <w:sz w:val="21"/>
        </w:rPr>
        <w:t> </w:t>
      </w:r>
      <w:r>
        <w:rPr>
          <w:color w:val="383638"/>
          <w:w w:val="115"/>
          <w:sz w:val="21"/>
        </w:rPr>
        <w:t>premise"</w:t>
      </w:r>
      <w:r>
        <w:rPr>
          <w:color w:val="383638"/>
          <w:spacing w:val="9"/>
          <w:w w:val="115"/>
          <w:sz w:val="21"/>
        </w:rPr>
        <w:t> </w:t>
      </w:r>
      <w:r>
        <w:rPr>
          <w:color w:val="383638"/>
          <w:w w:val="115"/>
          <w:sz w:val="21"/>
        </w:rPr>
        <w:t>that</w:t>
      </w:r>
      <w:r>
        <w:rPr>
          <w:color w:val="383638"/>
          <w:spacing w:val="-2"/>
          <w:w w:val="115"/>
          <w:sz w:val="21"/>
        </w:rPr>
        <w:t> </w:t>
      </w:r>
      <w:r>
        <w:rPr>
          <w:color w:val="383638"/>
          <w:w w:val="115"/>
          <w:sz w:val="21"/>
        </w:rPr>
        <w:t>a</w:t>
      </w:r>
      <w:r>
        <w:rPr>
          <w:color w:val="383638"/>
          <w:spacing w:val="19"/>
          <w:w w:val="115"/>
          <w:sz w:val="21"/>
        </w:rPr>
        <w:t> </w:t>
      </w:r>
      <w:r>
        <w:rPr>
          <w:color w:val="383638"/>
          <w:w w:val="115"/>
          <w:sz w:val="21"/>
        </w:rPr>
        <w:t>place</w:t>
      </w:r>
      <w:r>
        <w:rPr>
          <w:color w:val="383638"/>
          <w:spacing w:val="-58"/>
          <w:w w:val="115"/>
          <w:sz w:val="21"/>
        </w:rPr>
        <w:t> </w:t>
      </w:r>
      <w:r>
        <w:rPr>
          <w:color w:val="383638"/>
          <w:w w:val="115"/>
          <w:sz w:val="21"/>
        </w:rPr>
        <w:t>"must</w:t>
      </w:r>
      <w:r>
        <w:rPr>
          <w:color w:val="383638"/>
          <w:spacing w:val="9"/>
          <w:w w:val="115"/>
          <w:sz w:val="21"/>
        </w:rPr>
        <w:t> </w:t>
      </w:r>
      <w:r>
        <w:rPr>
          <w:color w:val="383638"/>
          <w:w w:val="115"/>
          <w:sz w:val="21"/>
        </w:rPr>
        <w:t>be</w:t>
      </w:r>
      <w:r>
        <w:rPr>
          <w:color w:val="383638"/>
          <w:spacing w:val="-8"/>
          <w:w w:val="115"/>
          <w:sz w:val="21"/>
        </w:rPr>
        <w:t> </w:t>
      </w:r>
      <w:r>
        <w:rPr>
          <w:color w:val="383638"/>
          <w:w w:val="115"/>
          <w:sz w:val="21"/>
        </w:rPr>
        <w:t>one's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4B494B"/>
          <w:w w:val="115"/>
          <w:sz w:val="21"/>
        </w:rPr>
        <w:t>'home'</w:t>
      </w:r>
      <w:r>
        <w:rPr>
          <w:color w:val="4B494B"/>
          <w:spacing w:val="4"/>
          <w:w w:val="115"/>
          <w:sz w:val="21"/>
        </w:rPr>
        <w:t> </w:t>
      </w:r>
      <w:r>
        <w:rPr>
          <w:color w:val="383638"/>
          <w:w w:val="115"/>
          <w:sz w:val="21"/>
        </w:rPr>
        <w:t>in</w:t>
      </w:r>
      <w:r>
        <w:rPr>
          <w:color w:val="383638"/>
          <w:spacing w:val="13"/>
          <w:w w:val="115"/>
          <w:sz w:val="21"/>
        </w:rPr>
        <w:t> </w:t>
      </w:r>
      <w:r>
        <w:rPr>
          <w:color w:val="383638"/>
          <w:w w:val="115"/>
          <w:sz w:val="21"/>
        </w:rPr>
        <w:t>order for</w:t>
      </w:r>
      <w:r>
        <w:rPr>
          <w:color w:val="383638"/>
          <w:spacing w:val="-8"/>
          <w:w w:val="115"/>
          <w:sz w:val="21"/>
        </w:rPr>
        <w:t> </w:t>
      </w:r>
      <w:r>
        <w:rPr>
          <w:color w:val="383638"/>
          <w:w w:val="115"/>
          <w:sz w:val="21"/>
        </w:rPr>
        <w:t>one</w:t>
      </w:r>
      <w:r>
        <w:rPr>
          <w:color w:val="383638"/>
          <w:spacing w:val="7"/>
          <w:w w:val="115"/>
          <w:sz w:val="21"/>
        </w:rPr>
        <w:t> </w:t>
      </w:r>
      <w:r>
        <w:rPr>
          <w:color w:val="383638"/>
          <w:w w:val="115"/>
          <w:sz w:val="21"/>
        </w:rPr>
        <w:t>to</w:t>
      </w:r>
      <w:r>
        <w:rPr>
          <w:color w:val="383638"/>
          <w:spacing w:val="13"/>
          <w:w w:val="115"/>
          <w:sz w:val="21"/>
        </w:rPr>
        <w:t> </w:t>
      </w:r>
      <w:r>
        <w:rPr>
          <w:color w:val="383638"/>
          <w:w w:val="115"/>
          <w:sz w:val="21"/>
        </w:rPr>
        <w:t>have</w:t>
      </w:r>
      <w:r>
        <w:rPr>
          <w:color w:val="383638"/>
          <w:spacing w:val="-6"/>
          <w:w w:val="115"/>
          <w:sz w:val="21"/>
        </w:rPr>
        <w:t> </w:t>
      </w:r>
      <w:r>
        <w:rPr>
          <w:color w:val="383638"/>
          <w:w w:val="115"/>
          <w:sz w:val="21"/>
        </w:rPr>
        <w:t>a</w:t>
      </w:r>
      <w:r>
        <w:rPr>
          <w:color w:val="383638"/>
          <w:spacing w:val="11"/>
          <w:w w:val="115"/>
          <w:sz w:val="21"/>
        </w:rPr>
        <w:t> </w:t>
      </w:r>
      <w:r>
        <w:rPr>
          <w:color w:val="383638"/>
          <w:w w:val="115"/>
          <w:sz w:val="21"/>
        </w:rPr>
        <w:t>legitimate</w:t>
      </w:r>
      <w:r>
        <w:rPr>
          <w:color w:val="383638"/>
          <w:spacing w:val="-8"/>
          <w:w w:val="115"/>
          <w:sz w:val="21"/>
        </w:rPr>
        <w:t> </w:t>
      </w:r>
      <w:r>
        <w:rPr>
          <w:color w:val="383638"/>
          <w:w w:val="115"/>
          <w:sz w:val="21"/>
        </w:rPr>
        <w:t>expecta-</w:t>
      </w:r>
      <w:r>
        <w:rPr>
          <w:color w:val="383638"/>
          <w:spacing w:val="-57"/>
          <w:w w:val="115"/>
          <w:sz w:val="21"/>
        </w:rPr>
        <w:t> </w:t>
      </w:r>
      <w:r>
        <w:rPr>
          <w:color w:val="383638"/>
          <w:w w:val="115"/>
          <w:sz w:val="21"/>
        </w:rPr>
        <w:t>tion</w:t>
      </w:r>
      <w:r>
        <w:rPr>
          <w:color w:val="383638"/>
          <w:spacing w:val="-15"/>
          <w:w w:val="115"/>
          <w:sz w:val="21"/>
        </w:rPr>
        <w:t> </w:t>
      </w:r>
      <w:r>
        <w:rPr>
          <w:color w:val="383638"/>
          <w:w w:val="115"/>
          <w:sz w:val="21"/>
        </w:rPr>
        <w:t>of</w:t>
      </w:r>
      <w:r>
        <w:rPr>
          <w:color w:val="383638"/>
          <w:spacing w:val="8"/>
          <w:w w:val="115"/>
          <w:sz w:val="21"/>
        </w:rPr>
        <w:t> </w:t>
      </w:r>
      <w:r>
        <w:rPr>
          <w:color w:val="383638"/>
          <w:w w:val="115"/>
          <w:sz w:val="21"/>
        </w:rPr>
        <w:t>privacy</w:t>
      </w:r>
      <w:r>
        <w:rPr>
          <w:color w:val="383638"/>
          <w:spacing w:val="-2"/>
          <w:w w:val="115"/>
          <w:sz w:val="21"/>
        </w:rPr>
        <w:t> </w:t>
      </w:r>
      <w:r>
        <w:rPr>
          <w:color w:val="2A2628"/>
          <w:w w:val="115"/>
          <w:sz w:val="21"/>
        </w:rPr>
        <w:t>there.</w:t>
      </w:r>
      <w:r>
        <w:rPr>
          <w:color w:val="4B494B"/>
          <w:w w:val="115"/>
          <w:sz w:val="21"/>
        </w:rPr>
        <w:t>" </w:t>
      </w:r>
      <w:r>
        <w:rPr>
          <w:rFonts w:ascii="Arial"/>
          <w:b/>
          <w:color w:val="2A2628"/>
          <w:w w:val="115"/>
          <w:sz w:val="16"/>
        </w:rPr>
        <w:t>4</w:t>
      </w:r>
      <w:r>
        <w:rPr>
          <w:rFonts w:ascii="Arial"/>
          <w:b/>
          <w:color w:val="2A2628"/>
          <w:spacing w:val="30"/>
          <w:w w:val="115"/>
          <w:sz w:val="16"/>
        </w:rPr>
        <w:t> </w:t>
      </w:r>
      <w:r>
        <w:rPr>
          <w:rFonts w:ascii="Arial"/>
          <w:color w:val="383638"/>
          <w:w w:val="115"/>
          <w:sz w:val="23"/>
        </w:rPr>
        <w:t>lit.</w:t>
      </w:r>
      <w:r>
        <w:rPr>
          <w:color w:val="383638"/>
          <w:w w:val="115"/>
          <w:sz w:val="21"/>
        </w:rPr>
        <w:t>at</w:t>
      </w:r>
      <w:r>
        <w:rPr>
          <w:color w:val="383638"/>
          <w:spacing w:val="-27"/>
          <w:w w:val="115"/>
          <w:sz w:val="21"/>
        </w:rPr>
        <w:t> </w:t>
      </w:r>
      <w:r>
        <w:rPr>
          <w:color w:val="383638"/>
          <w:w w:val="115"/>
          <w:sz w:val="21"/>
        </w:rPr>
        <w:t>96.</w:t>
      </w:r>
    </w:p>
    <w:p>
      <w:pPr>
        <w:spacing w:line="235" w:lineRule="auto" w:before="22"/>
        <w:ind w:left="425" w:right="0" w:firstLine="359"/>
        <w:jc w:val="both"/>
        <w:rPr>
          <w:sz w:val="16"/>
        </w:rPr>
      </w:pPr>
      <w:r>
        <w:rPr>
          <w:color w:val="383638"/>
          <w:w w:val="115"/>
          <w:sz w:val="21"/>
        </w:rPr>
        <w:t>Indeed,</w:t>
      </w:r>
      <w:r>
        <w:rPr>
          <w:color w:val="383638"/>
          <w:spacing w:val="-14"/>
          <w:w w:val="115"/>
          <w:sz w:val="21"/>
        </w:rPr>
        <w:t> </w:t>
      </w:r>
      <w:r>
        <w:rPr>
          <w:color w:val="383638"/>
          <w:w w:val="115"/>
          <w:sz w:val="21"/>
        </w:rPr>
        <w:t>this</w:t>
      </w:r>
      <w:r>
        <w:rPr>
          <w:color w:val="383638"/>
          <w:spacing w:val="-33"/>
          <w:w w:val="115"/>
          <w:sz w:val="21"/>
        </w:rPr>
        <w:t> </w:t>
      </w:r>
      <w:r>
        <w:rPr>
          <w:color w:val="383638"/>
          <w:w w:val="115"/>
          <w:sz w:val="21"/>
        </w:rPr>
        <w:t>Court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has</w:t>
      </w:r>
      <w:r>
        <w:rPr>
          <w:color w:val="383638"/>
          <w:spacing w:val="-30"/>
          <w:w w:val="115"/>
          <w:sz w:val="21"/>
        </w:rPr>
        <w:t> </w:t>
      </w:r>
      <w:r>
        <w:rPr>
          <w:color w:val="383638"/>
          <w:w w:val="115"/>
          <w:sz w:val="21"/>
        </w:rPr>
        <w:t>consistently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found</w:t>
      </w:r>
      <w:r>
        <w:rPr>
          <w:color w:val="383638"/>
          <w:spacing w:val="-11"/>
          <w:w w:val="115"/>
          <w:sz w:val="21"/>
        </w:rPr>
        <w:t> </w:t>
      </w:r>
      <w:r>
        <w:rPr>
          <w:color w:val="383638"/>
          <w:w w:val="115"/>
          <w:sz w:val="21"/>
        </w:rPr>
        <w:t>that</w:t>
      </w:r>
      <w:r>
        <w:rPr>
          <w:color w:val="383638"/>
          <w:spacing w:val="-20"/>
          <w:w w:val="115"/>
          <w:sz w:val="21"/>
        </w:rPr>
        <w:t> </w:t>
      </w:r>
      <w:r>
        <w:rPr>
          <w:color w:val="383638"/>
          <w:w w:val="115"/>
          <w:sz w:val="21"/>
        </w:rPr>
        <w:t>legitimate</w:t>
      </w:r>
      <w:r>
        <w:rPr>
          <w:color w:val="383638"/>
          <w:spacing w:val="-17"/>
          <w:w w:val="115"/>
          <w:sz w:val="21"/>
        </w:rPr>
        <w:t> </w:t>
      </w:r>
      <w:r>
        <w:rPr>
          <w:color w:val="383638"/>
          <w:w w:val="115"/>
          <w:sz w:val="21"/>
        </w:rPr>
        <w:t>expecta­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0"/>
          <w:sz w:val="21"/>
        </w:rPr>
        <w:t>tions of privacy</w:t>
      </w:r>
      <w:r>
        <w:rPr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15"/>
        </w:rPr>
        <w:t>1</w:t>
      </w:r>
      <w:r>
        <w:rPr>
          <w:b/>
          <w:color w:val="383638"/>
          <w:spacing w:val="1"/>
          <w:w w:val="110"/>
          <w:sz w:val="15"/>
        </w:rPr>
        <w:t> </w:t>
      </w:r>
      <w:r>
        <w:rPr>
          <w:color w:val="383638"/>
          <w:w w:val="110"/>
          <w:sz w:val="21"/>
        </w:rPr>
        <w:t>exist outside the home, as long as </w:t>
      </w:r>
      <w:r>
        <w:rPr>
          <w:color w:val="2A2628"/>
          <w:w w:val="110"/>
          <w:sz w:val="21"/>
        </w:rPr>
        <w:t>the </w:t>
      </w:r>
      <w:r>
        <w:rPr>
          <w:color w:val="383638"/>
          <w:w w:val="110"/>
          <w:sz w:val="21"/>
        </w:rPr>
        <w:t>circumstances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5"/>
          <w:sz w:val="21"/>
        </w:rPr>
        <w:t>are those in which most people would normally expect </w:t>
      </w:r>
      <w:r>
        <w:rPr>
          <w:color w:val="2A2628"/>
          <w:w w:val="115"/>
          <w:sz w:val="21"/>
        </w:rPr>
        <w:t>to </w:t>
      </w:r>
      <w:r>
        <w:rPr>
          <w:color w:val="383638"/>
          <w:w w:val="115"/>
          <w:sz w:val="21"/>
        </w:rPr>
        <w:t>enjoy a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feeling of privacy. </w:t>
      </w:r>
      <w:r>
        <w:rPr>
          <w:rFonts w:ascii="Arial" w:hAnsi="Arial"/>
          <w:color w:val="383638"/>
          <w:w w:val="115"/>
          <w:sz w:val="19"/>
        </w:rPr>
        <w:t>Qrnm, </w:t>
      </w:r>
      <w:r>
        <w:rPr>
          <w:color w:val="383638"/>
          <w:w w:val="115"/>
          <w:sz w:val="21"/>
        </w:rPr>
        <w:t>495 </w:t>
      </w:r>
      <w:r>
        <w:rPr>
          <w:color w:val="383638"/>
          <w:w w:val="115"/>
          <w:sz w:val="19"/>
        </w:rPr>
        <w:t>U.S. </w:t>
      </w:r>
      <w:r>
        <w:rPr>
          <w:color w:val="383638"/>
          <w:w w:val="115"/>
          <w:sz w:val="21"/>
        </w:rPr>
        <w:t>at 96-97. Accordingly, this Court</w:t>
      </w:r>
      <w:r>
        <w:rPr>
          <w:color w:val="383638"/>
          <w:spacing w:val="-58"/>
          <w:w w:val="115"/>
          <w:sz w:val="21"/>
        </w:rPr>
        <w:t> </w:t>
      </w:r>
      <w:r>
        <w:rPr>
          <w:color w:val="383638"/>
          <w:w w:val="115"/>
          <w:sz w:val="21"/>
        </w:rPr>
        <w:t>has found </w:t>
      </w:r>
      <w:r>
        <w:rPr>
          <w:color w:val="2A2628"/>
          <w:w w:val="115"/>
          <w:sz w:val="21"/>
        </w:rPr>
        <w:t>th</w:t>
      </w:r>
      <w:r>
        <w:rPr>
          <w:color w:val="4B494B"/>
          <w:w w:val="115"/>
          <w:sz w:val="21"/>
        </w:rPr>
        <w:t>at </w:t>
      </w:r>
      <w:r>
        <w:rPr>
          <w:color w:val="383638"/>
          <w:w w:val="115"/>
          <w:sz w:val="21"/>
        </w:rPr>
        <w:t>defendants did not have a legitimate expectation of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privacy </w:t>
      </w:r>
      <w:r>
        <w:rPr>
          <w:b/>
          <w:color w:val="2A2628"/>
          <w:w w:val="115"/>
          <w:sz w:val="16"/>
        </w:rPr>
        <w:t>1</w:t>
      </w:r>
      <w:r>
        <w:rPr>
          <w:b/>
          <w:color w:val="2A2628"/>
          <w:spacing w:val="1"/>
          <w:w w:val="115"/>
          <w:sz w:val="16"/>
        </w:rPr>
        <w:t> </w:t>
      </w:r>
      <w:r>
        <w:rPr>
          <w:color w:val="383638"/>
          <w:w w:val="115"/>
          <w:sz w:val="19"/>
        </w:rPr>
        <w:t>&amp;</w:t>
      </w:r>
      <w:r>
        <w:rPr>
          <w:color w:val="383638"/>
          <w:spacing w:val="1"/>
          <w:w w:val="115"/>
          <w:sz w:val="19"/>
        </w:rPr>
        <w:t> </w:t>
      </w:r>
      <w:r>
        <w:rPr>
          <w:color w:val="383638"/>
          <w:w w:val="115"/>
          <w:sz w:val="17"/>
        </w:rPr>
        <w:t>l</w:t>
      </w:r>
      <w:r>
        <w:rPr>
          <w:color w:val="383638"/>
          <w:spacing w:val="1"/>
          <w:w w:val="115"/>
          <w:sz w:val="17"/>
        </w:rPr>
        <w:t> </w:t>
      </w:r>
      <w:r>
        <w:rPr>
          <w:color w:val="383638"/>
          <w:w w:val="115"/>
          <w:sz w:val="21"/>
        </w:rPr>
        <w:t>in the contents of a car in which </w:t>
      </w:r>
      <w:r>
        <w:rPr>
          <w:color w:val="4B494B"/>
          <w:w w:val="115"/>
          <w:sz w:val="21"/>
        </w:rPr>
        <w:t>they </w:t>
      </w:r>
      <w:r>
        <w:rPr>
          <w:color w:val="383638"/>
          <w:w w:val="115"/>
          <w:sz w:val="21"/>
        </w:rPr>
        <w:t>were merely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0"/>
          <w:sz w:val="21"/>
        </w:rPr>
        <w:t>passengers, and  where </w:t>
      </w:r>
      <w:r>
        <w:rPr>
          <w:color w:val="2A2628"/>
          <w:w w:val="110"/>
          <w:sz w:val="21"/>
        </w:rPr>
        <w:t>they </w:t>
      </w:r>
      <w:r>
        <w:rPr>
          <w:color w:val="383638"/>
          <w:w w:val="110"/>
          <w:sz w:val="21"/>
        </w:rPr>
        <w:t>had expressed  no expectation of privacy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5"/>
          <w:sz w:val="21"/>
        </w:rPr>
        <w:t>in the areas of the car searched. </w:t>
      </w:r>
      <w:r>
        <w:rPr>
          <w:rFonts w:ascii="Arial" w:hAnsi="Arial"/>
          <w:b/>
          <w:color w:val="383638"/>
          <w:w w:val="115"/>
          <w:sz w:val="15"/>
        </w:rPr>
        <w:t>3</w:t>
      </w:r>
      <w:r>
        <w:rPr>
          <w:rFonts w:ascii="Arial" w:hAnsi="Arial"/>
          <w:b/>
          <w:color w:val="383638"/>
          <w:spacing w:val="1"/>
          <w:w w:val="115"/>
          <w:sz w:val="15"/>
        </w:rPr>
        <w:t> </w:t>
      </w:r>
      <w:r>
        <w:rPr>
          <w:color w:val="383638"/>
          <w:w w:val="115"/>
          <w:sz w:val="21"/>
          <w:u w:val="thick" w:color="383638"/>
        </w:rPr>
        <w:t>Rakas v. Illinois,</w:t>
      </w:r>
      <w:r>
        <w:rPr>
          <w:color w:val="383638"/>
          <w:w w:val="115"/>
          <w:sz w:val="21"/>
        </w:rPr>
        <w:t> 439 </w:t>
      </w:r>
      <w:r>
        <w:rPr>
          <w:color w:val="383638"/>
          <w:w w:val="115"/>
          <w:sz w:val="19"/>
        </w:rPr>
        <w:t>U.S. </w:t>
      </w:r>
      <w:r>
        <w:rPr>
          <w:color w:val="383638"/>
          <w:w w:val="115"/>
          <w:sz w:val="21"/>
        </w:rPr>
        <w:t>128,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spacing w:val="-1"/>
          <w:w w:val="115"/>
          <w:sz w:val="21"/>
        </w:rPr>
        <w:t>148-49</w:t>
      </w:r>
      <w:r>
        <w:rPr>
          <w:color w:val="383638"/>
          <w:spacing w:val="-19"/>
          <w:w w:val="115"/>
          <w:sz w:val="21"/>
        </w:rPr>
        <w:t> </w:t>
      </w:r>
      <w:r>
        <w:rPr>
          <w:color w:val="383638"/>
          <w:spacing w:val="-1"/>
          <w:w w:val="115"/>
          <w:sz w:val="21"/>
        </w:rPr>
        <w:t>(1978).</w:t>
      </w:r>
      <w:r>
        <w:rPr>
          <w:color w:val="383638"/>
          <w:spacing w:val="-33"/>
          <w:w w:val="115"/>
          <w:sz w:val="21"/>
        </w:rPr>
        <w:t> </w:t>
      </w:r>
      <w:r>
        <w:rPr>
          <w:color w:val="383638"/>
          <w:spacing w:val="-1"/>
          <w:w w:val="270"/>
          <w:sz w:val="21"/>
        </w:rPr>
        <w:t>The</w:t>
      </w:r>
      <w:r>
        <w:rPr>
          <w:color w:val="383638"/>
          <w:spacing w:val="-118"/>
          <w:w w:val="270"/>
          <w:sz w:val="21"/>
        </w:rPr>
        <w:t> </w:t>
      </w:r>
      <w:r>
        <w:rPr>
          <w:color w:val="383638"/>
          <w:spacing w:val="-1"/>
          <w:w w:val="115"/>
          <w:sz w:val="21"/>
        </w:rPr>
        <w:t>Court</w:t>
      </w:r>
      <w:r>
        <w:rPr>
          <w:color w:val="383638"/>
          <w:spacing w:val="-10"/>
          <w:w w:val="115"/>
          <w:sz w:val="21"/>
        </w:rPr>
        <w:t> </w:t>
      </w:r>
      <w:r>
        <w:rPr>
          <w:color w:val="383638"/>
          <w:spacing w:val="-1"/>
          <w:w w:val="115"/>
          <w:sz w:val="21"/>
        </w:rPr>
        <w:t>specifically</w:t>
      </w:r>
      <w:r>
        <w:rPr>
          <w:color w:val="383638"/>
          <w:spacing w:val="8"/>
          <w:w w:val="115"/>
          <w:sz w:val="21"/>
        </w:rPr>
        <w:t> </w:t>
      </w:r>
      <w:r>
        <w:rPr>
          <w:color w:val="383638"/>
          <w:w w:val="115"/>
          <w:sz w:val="21"/>
        </w:rPr>
        <w:t>refused</w:t>
      </w:r>
      <w:r>
        <w:rPr>
          <w:color w:val="383638"/>
          <w:spacing w:val="9"/>
          <w:w w:val="115"/>
          <w:sz w:val="21"/>
        </w:rPr>
        <w:t> </w:t>
      </w:r>
      <w:r>
        <w:rPr>
          <w:color w:val="383638"/>
          <w:w w:val="115"/>
          <w:sz w:val="21"/>
        </w:rPr>
        <w:t>to</w:t>
      </w:r>
      <w:r>
        <w:rPr>
          <w:color w:val="383638"/>
          <w:spacing w:val="6"/>
          <w:w w:val="115"/>
          <w:sz w:val="21"/>
        </w:rPr>
        <w:t> </w:t>
      </w:r>
      <w:r>
        <w:rPr>
          <w:color w:val="383638"/>
          <w:w w:val="115"/>
          <w:sz w:val="21"/>
        </w:rPr>
        <w:t>make</w:t>
      </w:r>
      <w:r>
        <w:rPr>
          <w:color w:val="383638"/>
          <w:spacing w:val="-26"/>
          <w:w w:val="115"/>
          <w:sz w:val="21"/>
        </w:rPr>
        <w:t> </w:t>
      </w:r>
      <w:r>
        <w:rPr>
          <w:color w:val="383638"/>
          <w:w w:val="115"/>
          <w:sz w:val="21"/>
        </w:rPr>
        <w:t>a</w:t>
      </w:r>
      <w:r>
        <w:rPr>
          <w:color w:val="383638"/>
          <w:spacing w:val="-3"/>
          <w:w w:val="115"/>
          <w:sz w:val="21"/>
        </w:rPr>
        <w:t> </w:t>
      </w:r>
      <w:r>
        <w:rPr>
          <w:color w:val="383638"/>
          <w:w w:val="115"/>
          <w:sz w:val="21"/>
        </w:rPr>
        <w:t>finding</w:t>
      </w:r>
      <w:r>
        <w:rPr>
          <w:color w:val="383638"/>
          <w:spacing w:val="-58"/>
          <w:w w:val="115"/>
          <w:sz w:val="21"/>
        </w:rPr>
        <w:t> </w:t>
      </w:r>
      <w:r>
        <w:rPr>
          <w:color w:val="383638"/>
          <w:w w:val="115"/>
          <w:sz w:val="21"/>
        </w:rPr>
        <w:t>as to whether guests in houses or apartments would be treated simi­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2A2628"/>
          <w:w w:val="115"/>
          <w:sz w:val="21"/>
        </w:rPr>
        <w:t>larly</w:t>
      </w:r>
      <w:r>
        <w:rPr>
          <w:color w:val="4B494B"/>
          <w:w w:val="115"/>
          <w:sz w:val="21"/>
        </w:rPr>
        <w:t>, </w:t>
      </w:r>
      <w:r>
        <w:rPr>
          <w:color w:val="383638"/>
          <w:w w:val="115"/>
          <w:sz w:val="21"/>
        </w:rPr>
        <w:t>noting that "cars are not to be treated identically with houses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or apartments for Fourth Amendment purposes." </w:t>
      </w:r>
      <w:r>
        <w:rPr>
          <w:rFonts w:ascii="Arial" w:hAnsi="Arial"/>
          <w:b/>
          <w:color w:val="383638"/>
          <w:w w:val="115"/>
          <w:sz w:val="15"/>
        </w:rPr>
        <w:t>4</w:t>
      </w:r>
      <w:r>
        <w:rPr>
          <w:rFonts w:ascii="Arial" w:hAnsi="Arial"/>
          <w:b/>
          <w:color w:val="383638"/>
          <w:spacing w:val="1"/>
          <w:w w:val="115"/>
          <w:sz w:val="15"/>
        </w:rPr>
        <w:t> </w:t>
      </w:r>
      <w:r>
        <w:rPr>
          <w:color w:val="383638"/>
          <w:w w:val="115"/>
          <w:sz w:val="23"/>
        </w:rPr>
        <w:t>ld. </w:t>
      </w:r>
      <w:r>
        <w:rPr>
          <w:color w:val="383638"/>
          <w:w w:val="115"/>
          <w:sz w:val="21"/>
        </w:rPr>
        <w:t>at 148 (cita­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0"/>
          <w:sz w:val="21"/>
        </w:rPr>
        <w:t>tions</w:t>
      </w:r>
      <w:r>
        <w:rPr>
          <w:color w:val="383638"/>
          <w:spacing w:val="-11"/>
          <w:w w:val="110"/>
          <w:sz w:val="21"/>
        </w:rPr>
        <w:t> </w:t>
      </w:r>
      <w:r>
        <w:rPr>
          <w:color w:val="383638"/>
          <w:w w:val="110"/>
          <w:sz w:val="21"/>
        </w:rPr>
        <w:t>omitted).</w:t>
      </w:r>
      <w:r>
        <w:rPr>
          <w:color w:val="383638"/>
          <w:spacing w:val="-13"/>
          <w:w w:val="110"/>
          <w:sz w:val="21"/>
        </w:rPr>
        <w:t> </w:t>
      </w:r>
      <w:r>
        <w:rPr>
          <w:color w:val="383638"/>
          <w:w w:val="110"/>
          <w:sz w:val="21"/>
          <w:u w:val="thick" w:color="383638"/>
        </w:rPr>
        <w:t>See</w:t>
      </w:r>
      <w:r>
        <w:rPr>
          <w:color w:val="383638"/>
          <w:spacing w:val="-8"/>
          <w:w w:val="110"/>
          <w:sz w:val="21"/>
          <w:u w:val="thick" w:color="383638"/>
        </w:rPr>
        <w:t> </w:t>
      </w:r>
      <w:r>
        <w:rPr>
          <w:color w:val="383638"/>
          <w:w w:val="110"/>
          <w:sz w:val="21"/>
          <w:u w:val="thick" w:color="383638"/>
        </w:rPr>
        <w:t>also</w:t>
      </w:r>
      <w:r>
        <w:rPr>
          <w:color w:val="383638"/>
          <w:spacing w:val="3"/>
          <w:w w:val="110"/>
          <w:sz w:val="21"/>
          <w:u w:val="thick" w:color="383638"/>
        </w:rPr>
        <w:t> </w:t>
      </w:r>
      <w:r>
        <w:rPr>
          <w:color w:val="383638"/>
          <w:w w:val="110"/>
          <w:sz w:val="21"/>
          <w:u w:val="thick" w:color="383638"/>
        </w:rPr>
        <w:t>Katz</w:t>
      </w:r>
      <w:r>
        <w:rPr>
          <w:color w:val="383638"/>
          <w:spacing w:val="-4"/>
          <w:w w:val="110"/>
          <w:sz w:val="21"/>
          <w:u w:val="thick" w:color="383638"/>
        </w:rPr>
        <w:t> </w:t>
      </w:r>
      <w:r>
        <w:rPr>
          <w:color w:val="383638"/>
          <w:w w:val="110"/>
          <w:sz w:val="21"/>
          <w:u w:val="thick" w:color="383638"/>
        </w:rPr>
        <w:t>v.</w:t>
      </w:r>
      <w:r>
        <w:rPr>
          <w:color w:val="383638"/>
          <w:spacing w:val="8"/>
          <w:w w:val="110"/>
          <w:sz w:val="21"/>
          <w:u w:val="thick" w:color="383638"/>
        </w:rPr>
        <w:t> </w:t>
      </w:r>
      <w:r>
        <w:rPr>
          <w:color w:val="383638"/>
          <w:w w:val="110"/>
          <w:sz w:val="21"/>
          <w:u w:val="thick" w:color="383638"/>
        </w:rPr>
        <w:t>United</w:t>
      </w:r>
      <w:r>
        <w:rPr>
          <w:color w:val="383638"/>
          <w:spacing w:val="10"/>
          <w:w w:val="110"/>
          <w:sz w:val="21"/>
          <w:u w:val="thick" w:color="383638"/>
        </w:rPr>
        <w:t> </w:t>
      </w:r>
      <w:r>
        <w:rPr>
          <w:color w:val="383638"/>
          <w:w w:val="110"/>
          <w:sz w:val="21"/>
          <w:u w:val="thick" w:color="383638"/>
        </w:rPr>
        <w:t>States</w:t>
      </w:r>
      <w:r>
        <w:rPr>
          <w:color w:val="383638"/>
          <w:w w:val="110"/>
          <w:sz w:val="21"/>
        </w:rPr>
        <w:t>.</w:t>
      </w:r>
      <w:r>
        <w:rPr>
          <w:color w:val="383638"/>
          <w:spacing w:val="-8"/>
          <w:w w:val="110"/>
          <w:sz w:val="21"/>
        </w:rPr>
        <w:t> </w:t>
      </w:r>
      <w:r>
        <w:rPr>
          <w:color w:val="383638"/>
          <w:w w:val="110"/>
          <w:sz w:val="21"/>
        </w:rPr>
        <w:t>389</w:t>
      </w:r>
      <w:r>
        <w:rPr>
          <w:color w:val="383638"/>
          <w:spacing w:val="-2"/>
          <w:w w:val="110"/>
          <w:sz w:val="21"/>
        </w:rPr>
        <w:t> </w:t>
      </w:r>
      <w:r>
        <w:rPr>
          <w:color w:val="383638"/>
          <w:w w:val="110"/>
          <w:sz w:val="19"/>
        </w:rPr>
        <w:t>U.S.</w:t>
      </w:r>
      <w:r>
        <w:rPr>
          <w:color w:val="383638"/>
          <w:spacing w:val="-3"/>
          <w:w w:val="110"/>
          <w:sz w:val="19"/>
        </w:rPr>
        <w:t> </w:t>
      </w:r>
      <w:r>
        <w:rPr>
          <w:color w:val="383638"/>
          <w:w w:val="110"/>
          <w:sz w:val="21"/>
        </w:rPr>
        <w:t>347,</w:t>
      </w:r>
      <w:r>
        <w:rPr>
          <w:color w:val="383638"/>
          <w:spacing w:val="-5"/>
          <w:w w:val="110"/>
          <w:sz w:val="21"/>
        </w:rPr>
        <w:t> </w:t>
      </w:r>
      <w:r>
        <w:rPr>
          <w:color w:val="383638"/>
          <w:w w:val="110"/>
          <w:sz w:val="21"/>
        </w:rPr>
        <w:t>348</w:t>
      </w:r>
      <w:r>
        <w:rPr>
          <w:color w:val="383638"/>
          <w:spacing w:val="-17"/>
          <w:w w:val="110"/>
          <w:sz w:val="21"/>
        </w:rPr>
        <w:t> </w:t>
      </w:r>
      <w:r>
        <w:rPr>
          <w:color w:val="383638"/>
          <w:w w:val="110"/>
          <w:sz w:val="21"/>
        </w:rPr>
        <w:t>(1967)</w:t>
      </w:r>
      <w:r>
        <w:rPr>
          <w:color w:val="383638"/>
          <w:spacing w:val="-55"/>
          <w:w w:val="110"/>
          <w:sz w:val="21"/>
        </w:rPr>
        <w:t> </w:t>
      </w:r>
      <w:r>
        <w:rPr>
          <w:color w:val="383638"/>
          <w:spacing w:val="-1"/>
          <w:w w:val="115"/>
          <w:sz w:val="21"/>
        </w:rPr>
        <w:t>(defendant found to have legitimate </w:t>
      </w:r>
      <w:r>
        <w:rPr>
          <w:color w:val="383638"/>
          <w:w w:val="115"/>
          <w:sz w:val="21"/>
        </w:rPr>
        <w:t>expectation of privacy </w:t>
      </w:r>
      <w:r>
        <w:rPr>
          <w:b/>
          <w:color w:val="2A2628"/>
          <w:w w:val="115"/>
          <w:sz w:val="15"/>
        </w:rPr>
        <w:t>1</w:t>
      </w:r>
      <w:r>
        <w:rPr>
          <w:b/>
          <w:color w:val="2A2628"/>
          <w:spacing w:val="1"/>
          <w:w w:val="115"/>
          <w:sz w:val="15"/>
        </w:rPr>
        <w:t> </w:t>
      </w:r>
      <w:r>
        <w:rPr>
          <w:color w:val="383638"/>
          <w:w w:val="115"/>
          <w:sz w:val="17"/>
        </w:rPr>
        <w:t>&amp;</w:t>
      </w:r>
      <w:r>
        <w:rPr>
          <w:color w:val="383638"/>
          <w:spacing w:val="1"/>
          <w:w w:val="115"/>
          <w:sz w:val="17"/>
        </w:rPr>
        <w:t> </w:t>
      </w:r>
      <w:r>
        <w:rPr>
          <w:rFonts w:ascii="Arial" w:hAnsi="Arial"/>
          <w:color w:val="383638"/>
          <w:w w:val="115"/>
          <w:sz w:val="15"/>
        </w:rPr>
        <w:t>2</w:t>
      </w:r>
      <w:r>
        <w:rPr>
          <w:rFonts w:ascii="Arial" w:hAnsi="Arial"/>
          <w:color w:val="383638"/>
          <w:spacing w:val="1"/>
          <w:w w:val="115"/>
          <w:sz w:val="15"/>
        </w:rPr>
        <w:t> </w:t>
      </w:r>
      <w:r>
        <w:rPr>
          <w:color w:val="4B494B"/>
          <w:w w:val="115"/>
          <w:sz w:val="21"/>
        </w:rPr>
        <w:t>in</w:t>
      </w:r>
      <w:r>
        <w:rPr>
          <w:color w:val="4B494B"/>
          <w:spacing w:val="1"/>
          <w:w w:val="115"/>
          <w:sz w:val="21"/>
        </w:rPr>
        <w:t> </w:t>
      </w:r>
      <w:r>
        <w:rPr>
          <w:color w:val="383638"/>
          <w:w w:val="110"/>
          <w:sz w:val="21"/>
        </w:rPr>
        <w:t>conversations in a closed phone booth </w:t>
      </w:r>
      <w:r>
        <w:rPr>
          <w:rFonts w:ascii="Arial" w:hAnsi="Arial"/>
          <w:b/>
          <w:color w:val="383638"/>
          <w:w w:val="110"/>
          <w:sz w:val="15"/>
        </w:rPr>
        <w:t>3 </w:t>
      </w:r>
      <w:r>
        <w:rPr>
          <w:rFonts w:ascii="Arial" w:hAnsi="Arial"/>
          <w:color w:val="383638"/>
          <w:w w:val="110"/>
          <w:sz w:val="15"/>
        </w:rPr>
        <w:t>);</w:t>
      </w:r>
      <w:r>
        <w:rPr>
          <w:rFonts w:ascii="Arial" w:hAnsi="Arial"/>
          <w:color w:val="383638"/>
          <w:spacing w:val="1"/>
          <w:w w:val="110"/>
          <w:sz w:val="15"/>
        </w:rPr>
        <w:t> </w:t>
      </w:r>
      <w:r>
        <w:rPr>
          <w:color w:val="383638"/>
          <w:w w:val="110"/>
          <w:sz w:val="21"/>
          <w:u w:val="thick" w:color="383638"/>
        </w:rPr>
        <w:t>McGuffin v. United States</w:t>
      </w:r>
      <w:r>
        <w:rPr>
          <w:color w:val="383638"/>
          <w:w w:val="110"/>
          <w:sz w:val="21"/>
        </w:rPr>
        <w:t>.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5"/>
          <w:sz w:val="21"/>
        </w:rPr>
        <w:t>362 </w:t>
      </w:r>
      <w:r>
        <w:rPr>
          <w:color w:val="383638"/>
          <w:w w:val="115"/>
          <w:sz w:val="19"/>
        </w:rPr>
        <w:t>U.S. </w:t>
      </w:r>
      <w:r>
        <w:rPr>
          <w:color w:val="383638"/>
          <w:w w:val="115"/>
          <w:sz w:val="21"/>
        </w:rPr>
        <w:t>257, 265 (1960) (defendant </w:t>
      </w:r>
      <w:r>
        <w:rPr>
          <w:color w:val="2A2628"/>
          <w:w w:val="115"/>
          <w:sz w:val="21"/>
        </w:rPr>
        <w:t>has </w:t>
      </w:r>
      <w:r>
        <w:rPr>
          <w:color w:val="383638"/>
          <w:w w:val="115"/>
          <w:sz w:val="21"/>
        </w:rPr>
        <w:t>standing </w:t>
      </w:r>
      <w:r>
        <w:rPr>
          <w:rFonts w:ascii="Arial" w:hAnsi="Arial"/>
          <w:b/>
          <w:color w:val="2A2628"/>
          <w:w w:val="115"/>
          <w:sz w:val="15"/>
        </w:rPr>
        <w:t>2</w:t>
      </w:r>
      <w:r>
        <w:rPr>
          <w:rFonts w:ascii="Arial" w:hAnsi="Arial"/>
          <w:b/>
          <w:color w:val="2A2628"/>
          <w:spacing w:val="1"/>
          <w:w w:val="115"/>
          <w:sz w:val="15"/>
        </w:rPr>
        <w:t> </w:t>
      </w:r>
      <w:r>
        <w:rPr>
          <w:color w:val="383638"/>
          <w:w w:val="115"/>
          <w:sz w:val="21"/>
        </w:rPr>
        <w:t>to challenge a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search</w:t>
      </w:r>
      <w:r>
        <w:rPr>
          <w:color w:val="383638"/>
          <w:spacing w:val="-18"/>
          <w:w w:val="115"/>
          <w:sz w:val="21"/>
        </w:rPr>
        <w:t> </w:t>
      </w:r>
      <w:r>
        <w:rPr>
          <w:color w:val="383638"/>
          <w:w w:val="115"/>
          <w:sz w:val="21"/>
        </w:rPr>
        <w:t>warrant</w:t>
      </w:r>
      <w:r>
        <w:rPr>
          <w:color w:val="383638"/>
          <w:spacing w:val="14"/>
          <w:w w:val="115"/>
          <w:sz w:val="21"/>
        </w:rPr>
        <w:t> </w:t>
      </w:r>
      <w:r>
        <w:rPr>
          <w:color w:val="383638"/>
          <w:w w:val="115"/>
          <w:sz w:val="21"/>
        </w:rPr>
        <w:t>used</w:t>
      </w:r>
      <w:r>
        <w:rPr>
          <w:color w:val="383638"/>
          <w:spacing w:val="-6"/>
          <w:w w:val="115"/>
          <w:sz w:val="21"/>
        </w:rPr>
        <w:t> </w:t>
      </w:r>
      <w:r>
        <w:rPr>
          <w:color w:val="383638"/>
          <w:w w:val="115"/>
          <w:sz w:val="21"/>
        </w:rPr>
        <w:t>to</w:t>
      </w:r>
      <w:r>
        <w:rPr>
          <w:color w:val="383638"/>
          <w:spacing w:val="12"/>
          <w:w w:val="115"/>
          <w:sz w:val="21"/>
        </w:rPr>
        <w:t> </w:t>
      </w:r>
      <w:r>
        <w:rPr>
          <w:color w:val="383638"/>
          <w:w w:val="115"/>
          <w:sz w:val="21"/>
        </w:rPr>
        <w:t>arrest</w:t>
      </w:r>
      <w:r>
        <w:rPr>
          <w:color w:val="383638"/>
          <w:spacing w:val="8"/>
          <w:w w:val="115"/>
          <w:sz w:val="21"/>
        </w:rPr>
        <w:t> </w:t>
      </w:r>
      <w:r>
        <w:rPr>
          <w:color w:val="2A2628"/>
          <w:w w:val="115"/>
          <w:sz w:val="21"/>
        </w:rPr>
        <w:t>him</w:t>
      </w:r>
      <w:r>
        <w:rPr>
          <w:color w:val="2A2628"/>
          <w:spacing w:val="2"/>
          <w:w w:val="115"/>
          <w:sz w:val="21"/>
        </w:rPr>
        <w:t> </w:t>
      </w:r>
      <w:r>
        <w:rPr>
          <w:color w:val="383638"/>
          <w:w w:val="115"/>
          <w:sz w:val="21"/>
        </w:rPr>
        <w:t>while</w:t>
      </w:r>
      <w:r>
        <w:rPr>
          <w:color w:val="383638"/>
          <w:spacing w:val="-4"/>
          <w:w w:val="115"/>
          <w:sz w:val="21"/>
        </w:rPr>
        <w:t> </w:t>
      </w:r>
      <w:r>
        <w:rPr>
          <w:color w:val="383638"/>
          <w:w w:val="115"/>
          <w:sz w:val="21"/>
        </w:rPr>
        <w:t>in</w:t>
      </w:r>
      <w:r>
        <w:rPr>
          <w:color w:val="383638"/>
          <w:spacing w:val="-11"/>
          <w:w w:val="115"/>
          <w:sz w:val="21"/>
        </w:rPr>
        <w:t> </w:t>
      </w:r>
      <w:r>
        <w:rPr>
          <w:color w:val="383638"/>
          <w:w w:val="115"/>
          <w:sz w:val="21"/>
        </w:rPr>
        <w:t>a</w:t>
      </w:r>
      <w:r>
        <w:rPr>
          <w:color w:val="383638"/>
          <w:spacing w:val="5"/>
          <w:w w:val="115"/>
          <w:sz w:val="21"/>
        </w:rPr>
        <w:t> </w:t>
      </w:r>
      <w:r>
        <w:rPr>
          <w:color w:val="383638"/>
          <w:w w:val="115"/>
          <w:sz w:val="21"/>
        </w:rPr>
        <w:t>friend's</w:t>
      </w:r>
      <w:r>
        <w:rPr>
          <w:color w:val="383638"/>
          <w:spacing w:val="-17"/>
          <w:w w:val="115"/>
          <w:sz w:val="21"/>
        </w:rPr>
        <w:t> </w:t>
      </w:r>
      <w:r>
        <w:rPr>
          <w:color w:val="383638"/>
          <w:w w:val="115"/>
          <w:sz w:val="21"/>
        </w:rPr>
        <w:t>apartment</w:t>
      </w:r>
      <w:r>
        <w:rPr>
          <w:color w:val="383638"/>
          <w:spacing w:val="43"/>
          <w:w w:val="115"/>
          <w:sz w:val="21"/>
        </w:rPr>
        <w:t> </w:t>
      </w:r>
      <w:r>
        <w:rPr>
          <w:b/>
          <w:color w:val="383638"/>
          <w:w w:val="115"/>
          <w:sz w:val="16"/>
        </w:rPr>
        <w:t>J</w:t>
      </w:r>
      <w:r>
        <w:rPr>
          <w:b/>
          <w:color w:val="383638"/>
          <w:spacing w:val="-4"/>
          <w:w w:val="115"/>
          <w:sz w:val="16"/>
        </w:rPr>
        <w:t> </w:t>
      </w:r>
      <w:r>
        <w:rPr>
          <w:color w:val="383638"/>
          <w:w w:val="115"/>
          <w:sz w:val="16"/>
        </w:rPr>
        <w:t>).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0"/>
          <w:numId w:val="56"/>
        </w:numPr>
        <w:tabs>
          <w:tab w:pos="481" w:val="left" w:leader="none"/>
        </w:tabs>
        <w:spacing w:line="240" w:lineRule="auto" w:before="0" w:after="0"/>
        <w:ind w:left="480" w:right="0" w:hanging="187"/>
        <w:jc w:val="left"/>
        <w:rPr>
          <w:color w:val="383638"/>
          <w:sz w:val="15"/>
        </w:rPr>
      </w:pPr>
      <w:r>
        <w:rPr>
          <w:color w:val="2A2628"/>
          <w:sz w:val="15"/>
        </w:rPr>
        <w:t>lssut!</w:t>
      </w:r>
    </w:p>
    <w:p>
      <w:pPr>
        <w:pStyle w:val="ListParagraph"/>
        <w:numPr>
          <w:ilvl w:val="0"/>
          <w:numId w:val="56"/>
        </w:numPr>
        <w:tabs>
          <w:tab w:pos="483" w:val="left" w:leader="none"/>
        </w:tabs>
        <w:spacing w:line="240" w:lineRule="auto" w:before="40" w:after="0"/>
        <w:ind w:left="482" w:right="0" w:hanging="185"/>
        <w:jc w:val="left"/>
        <w:rPr>
          <w:rFonts w:ascii="Arial"/>
          <w:b/>
          <w:color w:val="2A2628"/>
          <w:sz w:val="15"/>
        </w:rPr>
      </w:pPr>
      <w:r>
        <w:rPr>
          <w:color w:val="383638"/>
          <w:sz w:val="16"/>
        </w:rPr>
        <w:t>Disposition</w:t>
      </w:r>
    </w:p>
    <w:p>
      <w:pPr>
        <w:spacing w:before="28"/>
        <w:ind w:left="300" w:right="0" w:firstLine="0"/>
        <w:jc w:val="left"/>
        <w:rPr>
          <w:rFonts w:ascii="Arial"/>
          <w:sz w:val="13"/>
        </w:rPr>
      </w:pPr>
      <w:r>
        <w:rPr>
          <w:b/>
          <w:color w:val="383638"/>
          <w:sz w:val="15"/>
        </w:rPr>
        <w:t>J</w:t>
      </w:r>
      <w:r>
        <w:rPr>
          <w:b/>
          <w:color w:val="383638"/>
          <w:spacing w:val="30"/>
          <w:sz w:val="15"/>
        </w:rPr>
        <w:t> </w:t>
      </w:r>
      <w:r>
        <w:rPr>
          <w:rFonts w:ascii="Arial"/>
          <w:color w:val="383638"/>
          <w:sz w:val="13"/>
        </w:rPr>
        <w:t>Facts</w:t>
      </w:r>
    </w:p>
    <w:p>
      <w:pPr>
        <w:spacing w:before="39"/>
        <w:ind w:left="299" w:right="0" w:firstLine="0"/>
        <w:jc w:val="left"/>
        <w:rPr>
          <w:sz w:val="16"/>
        </w:rPr>
      </w:pPr>
      <w:r>
        <w:rPr>
          <w:rFonts w:ascii="Arial"/>
          <w:b/>
          <w:color w:val="2A2628"/>
          <w:sz w:val="15"/>
        </w:rPr>
        <w:t>4</w:t>
      </w:r>
      <w:r>
        <w:rPr>
          <w:rFonts w:ascii="Arial"/>
          <w:b/>
          <w:color w:val="2A2628"/>
          <w:spacing w:val="25"/>
          <w:sz w:val="15"/>
        </w:rPr>
        <w:t> </w:t>
      </w:r>
      <w:r>
        <w:rPr>
          <w:color w:val="383638"/>
          <w:sz w:val="16"/>
        </w:rPr>
        <w:t>Reasoning</w:t>
      </w:r>
    </w:p>
    <w:p>
      <w:pPr>
        <w:spacing w:after="0"/>
        <w:jc w:val="left"/>
        <w:rPr>
          <w:sz w:val="16"/>
        </w:rPr>
        <w:sectPr>
          <w:headerReference w:type="default" r:id="rId151"/>
          <w:headerReference w:type="even" r:id="rId152"/>
          <w:pgSz w:w="9210" w:h="13720"/>
          <w:pgMar w:header="524" w:footer="0" w:top="1120" w:bottom="280" w:left="300" w:right="560"/>
          <w:cols w:num="2" w:equalWidth="0">
            <w:col w:w="7026" w:space="40"/>
            <w:col w:w="1284"/>
          </w:cols>
        </w:sectPr>
      </w:pPr>
    </w:p>
    <w:p>
      <w:pPr>
        <w:pStyle w:val="BodyText"/>
        <w:spacing w:line="232" w:lineRule="auto" w:before="147"/>
        <w:ind w:left="116" w:right="918" w:firstLine="309"/>
        <w:jc w:val="both"/>
      </w:pPr>
      <w:r>
        <w:rPr>
          <w:color w:val="383638"/>
          <w:w w:val="105"/>
        </w:rPr>
        <w:t>The writer highlights the fact that the </w:t>
      </w:r>
      <w:r>
        <w:rPr>
          <w:i/>
          <w:color w:val="383638"/>
          <w:w w:val="105"/>
        </w:rPr>
        <w:t>Rakas </w:t>
      </w:r>
      <w:r>
        <w:rPr>
          <w:color w:val="383638"/>
          <w:w w:val="105"/>
        </w:rPr>
        <w:t>Court said that houses and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apartments should receive special treatment under the Fourth Amendment.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The writer can use </w:t>
      </w:r>
      <w:r>
        <w:rPr>
          <w:color w:val="2A2628"/>
          <w:w w:val="105"/>
        </w:rPr>
        <w:t>this </w:t>
      </w:r>
      <w:r>
        <w:rPr>
          <w:color w:val="383638"/>
          <w:w w:val="105"/>
        </w:rPr>
        <w:t>point to argue that guests in an apartment. unlike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passengers in a car, are entitled to assert </w:t>
      </w:r>
      <w:r>
        <w:rPr>
          <w:color w:val="4B494B"/>
          <w:w w:val="105"/>
        </w:rPr>
        <w:t>an </w:t>
      </w:r>
      <w:r>
        <w:rPr>
          <w:color w:val="383638"/>
          <w:w w:val="105"/>
        </w:rPr>
        <w:t>expectation of privacy. Notice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that in the parenthetical description of </w:t>
      </w:r>
      <w:r>
        <w:rPr>
          <w:color w:val="4B494B"/>
          <w:w w:val="105"/>
        </w:rPr>
        <w:t>the </w:t>
      </w:r>
      <w:r>
        <w:rPr>
          <w:i/>
          <w:color w:val="383638"/>
          <w:w w:val="105"/>
        </w:rPr>
        <w:t>McGuffi11 </w:t>
      </w:r>
      <w:r>
        <w:rPr>
          <w:color w:val="383638"/>
          <w:w w:val="105"/>
        </w:rPr>
        <w:t>case, the issue was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implicit: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writer trusts the reader to assume that the </w:t>
      </w:r>
      <w:r>
        <w:rPr>
          <w:i/>
          <w:color w:val="383638"/>
          <w:w w:val="105"/>
        </w:rPr>
        <w:t>McGufti11 </w:t>
      </w:r>
      <w:r>
        <w:rPr>
          <w:color w:val="383638"/>
          <w:w w:val="105"/>
        </w:rPr>
        <w:t>Court</w:t>
      </w:r>
      <w:r>
        <w:rPr>
          <w:color w:val="383638"/>
          <w:spacing w:val="1"/>
          <w:w w:val="105"/>
        </w:rPr>
        <w:t> </w:t>
      </w:r>
      <w:r>
        <w:rPr>
          <w:color w:val="383638"/>
          <w:spacing w:val="-1"/>
          <w:w w:val="105"/>
        </w:rPr>
        <w:t>was addressing </w:t>
      </w:r>
      <w:r>
        <w:rPr>
          <w:color w:val="383638"/>
          <w:w w:val="105"/>
        </w:rPr>
        <w:t>in some way the issue of expectations of privacy, as all of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the other cases did. Of course, if the</w:t>
      </w:r>
      <w:r>
        <w:rPr>
          <w:color w:val="383638"/>
          <w:spacing w:val="1"/>
          <w:w w:val="105"/>
        </w:rPr>
        <w:t> </w:t>
      </w:r>
      <w:r>
        <w:rPr>
          <w:i/>
          <w:color w:val="383638"/>
          <w:w w:val="105"/>
        </w:rPr>
        <w:t>McGuffin </w:t>
      </w:r>
      <w:r>
        <w:rPr>
          <w:color w:val="4B494B"/>
          <w:w w:val="105"/>
        </w:rPr>
        <w:t>Court </w:t>
      </w:r>
      <w:r>
        <w:rPr>
          <w:color w:val="383638"/>
          <w:w w:val="105"/>
        </w:rPr>
        <w:t>did </w:t>
      </w:r>
      <w:r>
        <w:rPr>
          <w:i/>
          <w:color w:val="383638"/>
          <w:w w:val="105"/>
        </w:rPr>
        <w:t>not </w:t>
      </w:r>
      <w:r>
        <w:rPr>
          <w:color w:val="383638"/>
          <w:w w:val="105"/>
        </w:rPr>
        <w:t>address that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issue,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parenthetical should have made that clear, e.g., "analyzing </w:t>
      </w:r>
      <w:r>
        <w:rPr>
          <w:rFonts w:ascii="Arial"/>
          <w:i/>
          <w:color w:val="383638"/>
          <w:w w:val="105"/>
          <w:sz w:val="20"/>
        </w:rPr>
        <w:t>res</w:t>
      </w:r>
      <w:r>
        <w:rPr>
          <w:rFonts w:ascii="Arial"/>
          <w:i/>
          <w:color w:val="383638"/>
          <w:spacing w:val="1"/>
          <w:w w:val="105"/>
          <w:sz w:val="20"/>
        </w:rPr>
        <w:t> </w:t>
      </w:r>
      <w:r>
        <w:rPr>
          <w:i/>
          <w:color w:val="4B494B"/>
          <w:w w:val="105"/>
          <w:sz w:val="24"/>
        </w:rPr>
        <w:t>ipsa</w:t>
      </w:r>
      <w:r>
        <w:rPr>
          <w:i/>
          <w:color w:val="4B494B"/>
          <w:spacing w:val="-15"/>
          <w:w w:val="105"/>
          <w:sz w:val="24"/>
        </w:rPr>
        <w:t> </w:t>
      </w:r>
      <w:r>
        <w:rPr>
          <w:color w:val="383638"/>
          <w:w w:val="105"/>
        </w:rPr>
        <w:t>issue,</w:t>
      </w:r>
      <w:r>
        <w:rPr>
          <w:color w:val="383638"/>
          <w:spacing w:val="-12"/>
          <w:w w:val="105"/>
        </w:rPr>
        <w:t> </w:t>
      </w:r>
      <w:r>
        <w:rPr>
          <w:color w:val="383638"/>
          <w:w w:val="105"/>
        </w:rPr>
        <w:t>court</w:t>
      </w:r>
      <w:r>
        <w:rPr>
          <w:color w:val="383638"/>
          <w:spacing w:val="-3"/>
          <w:w w:val="105"/>
        </w:rPr>
        <w:t> </w:t>
      </w:r>
      <w:r>
        <w:rPr>
          <w:color w:val="383638"/>
          <w:w w:val="105"/>
        </w:rPr>
        <w:t>found</w:t>
      </w:r>
      <w:r>
        <w:rPr>
          <w:color w:val="383638"/>
          <w:spacing w:val="17"/>
          <w:w w:val="105"/>
        </w:rPr>
        <w:t> </w:t>
      </w:r>
      <w:r>
        <w:rPr>
          <w:color w:val="383638"/>
          <w:w w:val="105"/>
        </w:rPr>
        <w:t>that</w:t>
      </w:r>
      <w:r>
        <w:rPr>
          <w:color w:val="383638"/>
          <w:spacing w:val="21"/>
          <w:w w:val="105"/>
        </w:rPr>
        <w:t> </w:t>
      </w:r>
      <w:r>
        <w:rPr>
          <w:color w:val="383638"/>
          <w:w w:val="185"/>
        </w:rPr>
        <w:t>"</w:t>
      </w:r>
    </w:p>
    <w:p>
      <w:pPr>
        <w:pStyle w:val="BodyText"/>
        <w:spacing w:before="1"/>
        <w:rPr>
          <w:sz w:val="27"/>
        </w:rPr>
      </w:pPr>
    </w:p>
    <w:p>
      <w:pPr>
        <w:spacing w:before="92"/>
        <w:ind w:left="45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83638"/>
          <w:w w:val="105"/>
          <w:sz w:val="28"/>
        </w:rPr>
        <w:t>6.1.3</w:t>
      </w:r>
    </w:p>
    <w:p>
      <w:pPr>
        <w:pStyle w:val="BodyText"/>
        <w:spacing w:before="24"/>
        <w:ind w:left="469"/>
      </w:pPr>
      <w:r>
        <w:rPr>
          <w:color w:val="383638"/>
        </w:rPr>
        <w:t>ACCURACY</w:t>
      </w:r>
      <w:r>
        <w:rPr>
          <w:color w:val="383638"/>
          <w:spacing w:val="16"/>
        </w:rPr>
        <w:t> </w:t>
      </w:r>
      <w:r>
        <w:rPr>
          <w:color w:val="2A2628"/>
        </w:rPr>
        <w:t>IN</w:t>
      </w:r>
      <w:r>
        <w:rPr>
          <w:color w:val="2A2628"/>
          <w:spacing w:val="2"/>
        </w:rPr>
        <w:t> </w:t>
      </w:r>
      <w:r>
        <w:rPr>
          <w:color w:val="383638"/>
          <w:sz w:val="22"/>
        </w:rPr>
        <w:t>CASE</w:t>
      </w:r>
      <w:r>
        <w:rPr>
          <w:color w:val="383638"/>
          <w:spacing w:val="13"/>
          <w:sz w:val="22"/>
        </w:rPr>
        <w:t> </w:t>
      </w:r>
      <w:r>
        <w:rPr>
          <w:color w:val="383638"/>
        </w:rPr>
        <w:t>DESCRIPTIONS</w:t>
      </w:r>
    </w:p>
    <w:p>
      <w:pPr>
        <w:pStyle w:val="BodyText"/>
        <w:spacing w:line="230" w:lineRule="auto" w:before="130"/>
        <w:ind w:left="136" w:right="874" w:firstLine="313"/>
        <w:jc w:val="both"/>
      </w:pPr>
      <w:r>
        <w:rPr>
          <w:color w:val="383638"/>
          <w:w w:val="110"/>
        </w:rPr>
        <w:t>As noted above, an effective case description includes the </w:t>
      </w:r>
      <w:r>
        <w:rPr>
          <w:color w:val="2A2628"/>
          <w:w w:val="110"/>
        </w:rPr>
        <w:t>relevant</w:t>
      </w:r>
      <w:r>
        <w:rPr>
          <w:color w:val="2A2628"/>
          <w:spacing w:val="1"/>
          <w:w w:val="110"/>
        </w:rPr>
        <w:t> </w:t>
      </w:r>
      <w:r>
        <w:rPr>
          <w:color w:val="383638"/>
          <w:w w:val="110"/>
        </w:rPr>
        <w:t>issue, disposition. facts, and reasoning. </w:t>
      </w:r>
      <w:r>
        <w:rPr>
          <w:color w:val="383638"/>
          <w:w w:val="110"/>
          <w:sz w:val="20"/>
        </w:rPr>
        <w:t>It </w:t>
      </w:r>
      <w:r>
        <w:rPr>
          <w:color w:val="383638"/>
          <w:w w:val="110"/>
        </w:rPr>
        <w:t>should go </w:t>
      </w:r>
      <w:r>
        <w:rPr>
          <w:color w:val="4B494B"/>
          <w:w w:val="110"/>
        </w:rPr>
        <w:t>without </w:t>
      </w:r>
      <w:r>
        <w:rPr>
          <w:color w:val="383638"/>
          <w:w w:val="110"/>
        </w:rPr>
        <w:t>saying that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legal writers should not misrepresent any of these </w:t>
      </w:r>
      <w:r>
        <w:rPr>
          <w:color w:val="4B494B"/>
          <w:w w:val="105"/>
        </w:rPr>
        <w:t>e</w:t>
      </w:r>
      <w:r>
        <w:rPr>
          <w:color w:val="2A2628"/>
          <w:w w:val="105"/>
        </w:rPr>
        <w:t>lements</w:t>
      </w:r>
      <w:r>
        <w:rPr>
          <w:color w:val="4B494B"/>
          <w:w w:val="105"/>
        </w:rPr>
        <w:t>. </w:t>
      </w:r>
      <w:r>
        <w:rPr>
          <w:color w:val="383638"/>
          <w:w w:val="105"/>
        </w:rPr>
        <w:t>Say </w:t>
      </w:r>
      <w:r>
        <w:rPr>
          <w:color w:val="383638"/>
          <w:w w:val="105"/>
          <w:sz w:val="20"/>
        </w:rPr>
        <w:t>it</w:t>
      </w:r>
      <w:r>
        <w:rPr>
          <w:color w:val="383638"/>
          <w:spacing w:val="1"/>
          <w:w w:val="105"/>
          <w:sz w:val="20"/>
        </w:rPr>
        <w:t> </w:t>
      </w:r>
      <w:r>
        <w:rPr>
          <w:color w:val="383638"/>
          <w:w w:val="105"/>
        </w:rPr>
        <w:t>I must,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however.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When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I chat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with</w:t>
      </w:r>
      <w:r>
        <w:rPr>
          <w:color w:val="383638"/>
          <w:spacing w:val="40"/>
          <w:w w:val="110"/>
        </w:rPr>
        <w:t> </w:t>
      </w:r>
      <w:r>
        <w:rPr>
          <w:color w:val="383638"/>
          <w:w w:val="110"/>
        </w:rPr>
        <w:t>judges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49"/>
          <w:w w:val="110"/>
        </w:rPr>
        <w:t> </w:t>
      </w:r>
      <w:r>
        <w:rPr>
          <w:color w:val="383638"/>
          <w:w w:val="110"/>
        </w:rPr>
        <w:t>law clerks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36"/>
          <w:w w:val="110"/>
        </w:rPr>
        <w:t> </w:t>
      </w:r>
      <w:r>
        <w:rPr>
          <w:color w:val="383638"/>
          <w:w w:val="110"/>
        </w:rPr>
        <w:t>quiz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them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about</w:t>
      </w:r>
    </w:p>
    <w:p>
      <w:pPr>
        <w:spacing w:after="0" w:line="230" w:lineRule="auto"/>
        <w:jc w:val="both"/>
        <w:sectPr>
          <w:type w:val="continuous"/>
          <w:pgSz w:w="9210" w:h="13720"/>
          <w:pgMar w:header="361" w:footer="0" w:top="340" w:bottom="280" w:left="300" w:right="560"/>
        </w:sectPr>
      </w:pPr>
    </w:p>
    <w:p>
      <w:pPr>
        <w:pStyle w:val="BodyText"/>
        <w:spacing w:line="235" w:lineRule="auto" w:before="85"/>
        <w:ind w:left="831" w:right="-44" w:firstLine="28"/>
      </w:pPr>
      <w:r>
        <w:rPr>
          <w:color w:val="3A3838"/>
          <w:w w:val="105"/>
        </w:rPr>
        <w:t>their</w:t>
      </w:r>
      <w:r>
        <w:rPr>
          <w:color w:val="3A3838"/>
          <w:spacing w:val="8"/>
          <w:w w:val="105"/>
        </w:rPr>
        <w:t> </w:t>
      </w:r>
      <w:r>
        <w:rPr>
          <w:color w:val="3A3838"/>
          <w:w w:val="105"/>
        </w:rPr>
        <w:t>legal</w:t>
      </w:r>
      <w:r>
        <w:rPr>
          <w:color w:val="3A3838"/>
          <w:spacing w:val="16"/>
          <w:w w:val="105"/>
        </w:rPr>
        <w:t> </w:t>
      </w:r>
      <w:r>
        <w:rPr>
          <w:color w:val="3A3838"/>
          <w:w w:val="105"/>
        </w:rPr>
        <w:t>writing</w:t>
      </w:r>
      <w:r>
        <w:rPr>
          <w:color w:val="3A3838"/>
          <w:spacing w:val="2"/>
          <w:w w:val="105"/>
        </w:rPr>
        <w:t> </w:t>
      </w:r>
      <w:r>
        <w:rPr>
          <w:color w:val="3A3838"/>
          <w:w w:val="105"/>
        </w:rPr>
        <w:t>pet</w:t>
      </w:r>
      <w:r>
        <w:rPr>
          <w:color w:val="3A3838"/>
          <w:spacing w:val="14"/>
          <w:w w:val="105"/>
        </w:rPr>
        <w:t> </w:t>
      </w:r>
      <w:r>
        <w:rPr>
          <w:color w:val="3A3838"/>
          <w:w w:val="105"/>
        </w:rPr>
        <w:t>peeves,</w:t>
      </w:r>
      <w:r>
        <w:rPr>
          <w:color w:val="3A3838"/>
          <w:spacing w:val="13"/>
          <w:w w:val="105"/>
        </w:rPr>
        <w:t> </w:t>
      </w:r>
      <w:r>
        <w:rPr>
          <w:color w:val="3A3838"/>
          <w:w w:val="105"/>
        </w:rPr>
        <w:t>many</w:t>
      </w:r>
      <w:r>
        <w:rPr>
          <w:color w:val="3A3838"/>
          <w:spacing w:val="-2"/>
          <w:w w:val="105"/>
        </w:rPr>
        <w:t> </w:t>
      </w:r>
      <w:r>
        <w:rPr>
          <w:color w:val="3A3838"/>
          <w:w w:val="105"/>
        </w:rPr>
        <w:t>mention</w:t>
      </w:r>
      <w:r>
        <w:rPr>
          <w:color w:val="3A3838"/>
          <w:spacing w:val="10"/>
          <w:w w:val="105"/>
        </w:rPr>
        <w:t> </w:t>
      </w:r>
      <w:r>
        <w:rPr>
          <w:color w:val="3A3838"/>
          <w:w w:val="105"/>
        </w:rPr>
        <w:t>wordiness</w:t>
      </w:r>
      <w:r>
        <w:rPr>
          <w:color w:val="3A3838"/>
          <w:spacing w:val="7"/>
          <w:w w:val="105"/>
        </w:rPr>
        <w:t> </w:t>
      </w:r>
      <w:r>
        <w:rPr>
          <w:color w:val="3A3838"/>
          <w:w w:val="105"/>
        </w:rPr>
        <w:t>and</w:t>
      </w:r>
      <w:r>
        <w:rPr>
          <w:color w:val="3A3838"/>
          <w:spacing w:val="16"/>
          <w:w w:val="105"/>
        </w:rPr>
        <w:t> </w:t>
      </w:r>
      <w:r>
        <w:rPr>
          <w:color w:val="3A3838"/>
          <w:w w:val="105"/>
        </w:rPr>
        <w:t>poor</w:t>
      </w:r>
      <w:r>
        <w:rPr>
          <w:color w:val="3A3838"/>
          <w:spacing w:val="8"/>
          <w:w w:val="105"/>
        </w:rPr>
        <w:t> </w:t>
      </w:r>
      <w:r>
        <w:rPr>
          <w:color w:val="3A3838"/>
          <w:w w:val="105"/>
        </w:rPr>
        <w:t>organ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zation.</w:t>
      </w:r>
      <w:r>
        <w:rPr>
          <w:color w:val="3A3838"/>
          <w:spacing w:val="1"/>
          <w:w w:val="105"/>
        </w:rPr>
        <w:t> </w:t>
      </w:r>
      <w:r>
        <w:rPr>
          <w:rFonts w:ascii="Arial"/>
          <w:i/>
          <w:color w:val="3A3838"/>
          <w:w w:val="105"/>
          <w:sz w:val="21"/>
        </w:rPr>
        <w:t>Almost </w:t>
      </w:r>
      <w:r>
        <w:rPr>
          <w:color w:val="3A3838"/>
          <w:w w:val="105"/>
        </w:rPr>
        <w:t>all of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them, however, complain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about attorneys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who </w:t>
      </w:r>
      <w:r>
        <w:rPr>
          <w:color w:val="3A3838"/>
          <w:w w:val="105"/>
          <w:sz w:val="21"/>
        </w:rPr>
        <w:t>mi</w:t>
      </w:r>
      <w:r>
        <w:rPr>
          <w:color w:val="3A3838"/>
          <w:spacing w:val="1"/>
          <w:w w:val="105"/>
          <w:sz w:val="21"/>
        </w:rPr>
        <w:t> </w:t>
      </w:r>
      <w:r>
        <w:rPr>
          <w:color w:val="3A3838"/>
          <w:w w:val="110"/>
        </w:rPr>
        <w:t>represent the facts or the law</w:t>
      </w:r>
      <w:r>
        <w:rPr>
          <w:color w:val="545456"/>
          <w:w w:val="110"/>
        </w:rPr>
        <w:t>. </w:t>
      </w:r>
      <w:r>
        <w:rPr>
          <w:color w:val="3A3838"/>
          <w:w w:val="110"/>
        </w:rPr>
        <w:t>Law clerks describe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many times </w:t>
      </w:r>
      <w:r>
        <w:rPr>
          <w:color w:val="3A3838"/>
          <w:w w:val="110"/>
          <w:sz w:val="21"/>
        </w:rPr>
        <w:t>th;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</w:rPr>
        <w:t>they have read </w:t>
      </w:r>
      <w:r>
        <w:rPr>
          <w:color w:val="3A3838"/>
          <w:w w:val="110"/>
          <w:sz w:val="21"/>
        </w:rPr>
        <w:t>in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brief that a case stands for one proposition, only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consult the case and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find that it stood for some wholly unrelated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point, c</w:t>
      </w:r>
      <w:r>
        <w:rPr>
          <w:color w:val="3A3838"/>
          <w:spacing w:val="-58"/>
          <w:w w:val="105"/>
        </w:rPr>
        <w:t> </w:t>
      </w:r>
      <w:r>
        <w:rPr>
          <w:color w:val="3A3838"/>
          <w:w w:val="105"/>
        </w:rPr>
        <w:t>worse,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that </w:t>
      </w:r>
      <w:r>
        <w:rPr>
          <w:color w:val="3A3838"/>
          <w:w w:val="105"/>
          <w:sz w:val="21"/>
        </w:rPr>
        <w:t>it </w:t>
      </w:r>
      <w:r>
        <w:rPr>
          <w:color w:val="3A3838"/>
          <w:w w:val="105"/>
        </w:rPr>
        <w:t>contradicted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very point the  attorney was using the ca5</w:t>
      </w:r>
      <w:r>
        <w:rPr>
          <w:color w:val="3A3838"/>
          <w:spacing w:val="-58"/>
          <w:w w:val="105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15"/>
          <w:w w:val="110"/>
        </w:rPr>
        <w:t> </w:t>
      </w:r>
      <w:r>
        <w:rPr>
          <w:color w:val="3A3838"/>
          <w:w w:val="110"/>
        </w:rPr>
        <w:t>make.</w:t>
      </w:r>
    </w:p>
    <w:p>
      <w:pPr>
        <w:pStyle w:val="BodyText"/>
        <w:spacing w:line="236" w:lineRule="exact"/>
        <w:ind w:left="1157" w:right="-44"/>
      </w:pPr>
      <w:r>
        <w:rPr>
          <w:color w:val="3A3838"/>
          <w:w w:val="105"/>
        </w:rPr>
        <w:t>So</w:t>
      </w:r>
      <w:r>
        <w:rPr>
          <w:color w:val="3A3838"/>
          <w:spacing w:val="-1"/>
          <w:w w:val="105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23"/>
          <w:w w:val="105"/>
        </w:rPr>
        <w:t> </w:t>
      </w:r>
      <w:r>
        <w:rPr>
          <w:color w:val="3A3838"/>
          <w:w w:val="105"/>
        </w:rPr>
        <w:t>first</w:t>
      </w:r>
      <w:r>
        <w:rPr>
          <w:color w:val="3A3838"/>
          <w:spacing w:val="11"/>
          <w:w w:val="105"/>
        </w:rPr>
        <w:t> </w:t>
      </w:r>
      <w:r>
        <w:rPr>
          <w:color w:val="3A3838"/>
          <w:w w:val="105"/>
        </w:rPr>
        <w:t>thing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you</w:t>
      </w:r>
      <w:r>
        <w:rPr>
          <w:color w:val="3A3838"/>
          <w:spacing w:val="23"/>
          <w:w w:val="105"/>
        </w:rPr>
        <w:t> </w:t>
      </w:r>
      <w:r>
        <w:rPr>
          <w:color w:val="3A3838"/>
          <w:w w:val="105"/>
        </w:rPr>
        <w:t>need</w:t>
      </w:r>
      <w:r>
        <w:rPr>
          <w:color w:val="3A3838"/>
          <w:spacing w:val="12"/>
          <w:w w:val="105"/>
        </w:rPr>
        <w:t> </w:t>
      </w:r>
      <w:r>
        <w:rPr>
          <w:color w:val="3A3838"/>
          <w:w w:val="105"/>
        </w:rPr>
        <w:t>to</w:t>
      </w:r>
      <w:r>
        <w:rPr>
          <w:color w:val="3A3838"/>
          <w:spacing w:val="25"/>
          <w:w w:val="105"/>
        </w:rPr>
        <w:t> </w:t>
      </w:r>
      <w:r>
        <w:rPr>
          <w:color w:val="3A3838"/>
          <w:w w:val="105"/>
        </w:rPr>
        <w:t>remember</w:t>
      </w:r>
      <w:r>
        <w:rPr>
          <w:color w:val="3A3838"/>
          <w:spacing w:val="11"/>
          <w:w w:val="105"/>
        </w:rPr>
        <w:t> </w:t>
      </w:r>
      <w:r>
        <w:rPr>
          <w:color w:val="3A3838"/>
          <w:w w:val="105"/>
        </w:rPr>
        <w:t>about</w:t>
      </w:r>
      <w:r>
        <w:rPr>
          <w:color w:val="3A3838"/>
          <w:spacing w:val="5"/>
          <w:w w:val="105"/>
        </w:rPr>
        <w:t> </w:t>
      </w:r>
      <w:r>
        <w:rPr>
          <w:color w:val="3A3838"/>
          <w:w w:val="105"/>
        </w:rPr>
        <w:t>accuracy</w:t>
      </w:r>
      <w:r>
        <w:rPr>
          <w:color w:val="3A3838"/>
          <w:spacing w:val="10"/>
          <w:w w:val="105"/>
        </w:rPr>
        <w:t> </w:t>
      </w:r>
      <w:r>
        <w:rPr>
          <w:color w:val="3A3838"/>
          <w:w w:val="105"/>
        </w:rPr>
        <w:t>is</w:t>
      </w:r>
      <w:r>
        <w:rPr>
          <w:color w:val="3A3838"/>
          <w:spacing w:val="19"/>
          <w:w w:val="105"/>
        </w:rPr>
        <w:t> </w:t>
      </w:r>
      <w:r>
        <w:rPr>
          <w:color w:val="3A3838"/>
          <w:w w:val="105"/>
        </w:rPr>
        <w:t>that</w:t>
      </w:r>
      <w:r>
        <w:rPr>
          <w:color w:val="3A3838"/>
          <w:spacing w:val="-9"/>
          <w:w w:val="105"/>
        </w:rPr>
        <w:t> </w:t>
      </w:r>
      <w:r>
        <w:rPr>
          <w:color w:val="3A3838"/>
          <w:w w:val="105"/>
        </w:rPr>
        <w:t>somE</w:t>
      </w:r>
    </w:p>
    <w:p>
      <w:pPr>
        <w:pStyle w:val="BodyText"/>
        <w:spacing w:line="235" w:lineRule="auto" w:before="2"/>
        <w:ind w:left="735" w:right="-44" w:firstLine="71"/>
      </w:pPr>
      <w:r>
        <w:rPr>
          <w:color w:val="3A3838"/>
          <w:w w:val="105"/>
        </w:rPr>
        <w:t>one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will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be checking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your work. And don't count on  escaping scrutiny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you are submitting a brief to  an overworked and  understaffed  trial cour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at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the very least, your opponent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should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be checking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validity of you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cited cases</w:t>
      </w:r>
      <w:r>
        <w:rPr>
          <w:color w:val="545456"/>
          <w:w w:val="105"/>
        </w:rPr>
        <w:t>.</w:t>
      </w:r>
      <w:r>
        <w:rPr>
          <w:color w:val="3A3838"/>
          <w:w w:val="105"/>
          <w:position w:val="7"/>
          <w:sz w:val="13"/>
        </w:rPr>
        <w:t>4</w:t>
      </w:r>
      <w:r>
        <w:rPr>
          <w:color w:val="3A3838"/>
          <w:spacing w:val="1"/>
          <w:w w:val="105"/>
          <w:position w:val="7"/>
          <w:sz w:val="13"/>
        </w:rPr>
        <w:t> </w:t>
      </w:r>
      <w:r>
        <w:rPr>
          <w:color w:val="3A3838"/>
          <w:w w:val="105"/>
        </w:rPr>
        <w:t>Don't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be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tempted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to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misrepresent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case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law,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either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throug</w:t>
      </w:r>
      <w:r>
        <w:rPr>
          <w:color w:val="3A3838"/>
          <w:spacing w:val="-58"/>
          <w:w w:val="105"/>
        </w:rPr>
        <w:t> </w:t>
      </w:r>
      <w:r>
        <w:rPr>
          <w:color w:val="3A3838"/>
          <w:w w:val="105"/>
        </w:rPr>
        <w:t>negligence or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willfulness.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The momentary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satisfaction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of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presenting </w:t>
      </w:r>
      <w:r>
        <w:rPr>
          <w:color w:val="3A3838"/>
          <w:w w:val="105"/>
          <w:sz w:val="16"/>
        </w:rPr>
        <w:t>ai</w:t>
      </w:r>
      <w:r>
        <w:rPr>
          <w:color w:val="3A3838"/>
          <w:spacing w:val="1"/>
          <w:w w:val="105"/>
          <w:sz w:val="16"/>
        </w:rPr>
        <w:t> </w:t>
      </w:r>
      <w:r>
        <w:rPr>
          <w:color w:val="3A3838"/>
          <w:w w:val="105"/>
        </w:rPr>
        <w:t>argument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with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a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veneer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of  validity is  not  worth  the  cost in  reputatio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and future credibility.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Furthermore,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you may face sanctions; ABA Mod&lt;</w:t>
      </w:r>
      <w:r>
        <w:rPr>
          <w:color w:val="3A3838"/>
          <w:spacing w:val="-58"/>
          <w:w w:val="105"/>
        </w:rPr>
        <w:t> </w:t>
      </w:r>
      <w:r>
        <w:rPr>
          <w:color w:val="3A3838"/>
          <w:w w:val="105"/>
        </w:rPr>
        <w:t>Rule 3.3(a) provides that a lawyer shall not "knowingly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make a false state</w:t>
      </w:r>
      <w:r>
        <w:rPr>
          <w:color w:val="3A3838"/>
          <w:spacing w:val="-58"/>
          <w:w w:val="105"/>
        </w:rPr>
        <w:t> </w:t>
      </w:r>
      <w:r>
        <w:rPr>
          <w:color w:val="3A3838"/>
          <w:w w:val="105"/>
        </w:rPr>
        <w:t>ment</w:t>
      </w:r>
      <w:r>
        <w:rPr>
          <w:color w:val="3A3838"/>
          <w:spacing w:val="-11"/>
          <w:w w:val="105"/>
        </w:rPr>
        <w:t> </w:t>
      </w:r>
      <w:r>
        <w:rPr>
          <w:color w:val="3A3838"/>
          <w:w w:val="105"/>
        </w:rPr>
        <w:t>of</w:t>
      </w:r>
      <w:r>
        <w:rPr>
          <w:color w:val="3A3838"/>
          <w:spacing w:val="-2"/>
          <w:w w:val="105"/>
        </w:rPr>
        <w:t> </w:t>
      </w:r>
      <w:r>
        <w:rPr>
          <w:color w:val="3A3838"/>
          <w:w w:val="105"/>
        </w:rPr>
        <w:t>fact</w:t>
      </w:r>
      <w:r>
        <w:rPr>
          <w:color w:val="3A3838"/>
          <w:spacing w:val="-15"/>
          <w:w w:val="105"/>
        </w:rPr>
        <w:t> </w:t>
      </w:r>
      <w:r>
        <w:rPr>
          <w:color w:val="3A3838"/>
          <w:w w:val="105"/>
        </w:rPr>
        <w:t>or</w:t>
      </w:r>
      <w:r>
        <w:rPr>
          <w:color w:val="3A3838"/>
          <w:spacing w:val="5"/>
          <w:w w:val="105"/>
        </w:rPr>
        <w:t> </w:t>
      </w:r>
      <w:r>
        <w:rPr>
          <w:color w:val="3A3838"/>
          <w:w w:val="105"/>
        </w:rPr>
        <w:t>law</w:t>
      </w:r>
      <w:r>
        <w:rPr>
          <w:color w:val="3A3838"/>
          <w:spacing w:val="3"/>
          <w:w w:val="105"/>
        </w:rPr>
        <w:t> </w:t>
      </w:r>
      <w:r>
        <w:rPr>
          <w:color w:val="3A3838"/>
          <w:w w:val="105"/>
        </w:rPr>
        <w:t>to</w:t>
      </w:r>
      <w:r>
        <w:rPr>
          <w:color w:val="3A3838"/>
          <w:spacing w:val="12"/>
          <w:w w:val="105"/>
        </w:rPr>
        <w:t> </w:t>
      </w:r>
      <w:r>
        <w:rPr>
          <w:color w:val="3A3838"/>
          <w:w w:val="105"/>
        </w:rPr>
        <w:t>a</w:t>
      </w:r>
      <w:r>
        <w:rPr>
          <w:color w:val="3A3838"/>
          <w:spacing w:val="11"/>
          <w:w w:val="105"/>
        </w:rPr>
        <w:t> </w:t>
      </w:r>
      <w:r>
        <w:rPr>
          <w:color w:val="3A3838"/>
          <w:w w:val="105"/>
        </w:rPr>
        <w:t>tribunal."</w:t>
      </w:r>
    </w:p>
    <w:p>
      <w:pPr>
        <w:pStyle w:val="BodyText"/>
        <w:spacing w:line="237" w:lineRule="auto"/>
        <w:ind w:left="700" w:right="-44" w:firstLine="354"/>
      </w:pPr>
      <w:r>
        <w:rPr>
          <w:color w:val="3A3838"/>
          <w:w w:val="105"/>
        </w:rPr>
        <w:t>Accordingly,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let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us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presume that you are not going to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knowingly mi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represent cases; how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can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you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avoid doing so negligently? First, avoid tw</w:t>
      </w:r>
      <w:r>
        <w:rPr>
          <w:color w:val="3A3838"/>
          <w:spacing w:val="-58"/>
          <w:w w:val="105"/>
        </w:rPr>
        <w:t> </w:t>
      </w:r>
      <w:r>
        <w:rPr>
          <w:color w:val="3A3838"/>
          <w:w w:val="105"/>
        </w:rPr>
        <w:t>common shortcut</w:t>
      </w:r>
      <w:r>
        <w:rPr>
          <w:color w:val="545456"/>
          <w:w w:val="105"/>
        </w:rPr>
        <w:t>s </w:t>
      </w:r>
      <w:r>
        <w:rPr>
          <w:color w:val="3A3838"/>
          <w:w w:val="105"/>
        </w:rPr>
        <w:t>that often lead to mistakes; second,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be careful to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avoic</w:t>
      </w:r>
      <w:r>
        <w:rPr>
          <w:color w:val="3A3838"/>
          <w:spacing w:val="-58"/>
          <w:w w:val="105"/>
        </w:rPr>
        <w:t> </w:t>
      </w:r>
      <w:r>
        <w:rPr>
          <w:color w:val="3A3838"/>
          <w:w w:val="105"/>
        </w:rPr>
        <w:t>characterizing</w:t>
      </w:r>
      <w:r>
        <w:rPr>
          <w:color w:val="3A3838"/>
          <w:spacing w:val="2"/>
          <w:w w:val="105"/>
        </w:rPr>
        <w:t> </w:t>
      </w:r>
      <w:r>
        <w:rPr>
          <w:color w:val="3A3838"/>
          <w:w w:val="105"/>
        </w:rPr>
        <w:t>dicta</w:t>
      </w:r>
      <w:r>
        <w:rPr>
          <w:color w:val="3A3838"/>
          <w:spacing w:val="22"/>
          <w:w w:val="105"/>
        </w:rPr>
        <w:t> </w:t>
      </w:r>
      <w:r>
        <w:rPr>
          <w:color w:val="3A3838"/>
          <w:w w:val="105"/>
        </w:rPr>
        <w:t>as</w:t>
      </w:r>
      <w:r>
        <w:rPr>
          <w:color w:val="3A3838"/>
          <w:spacing w:val="22"/>
          <w:w w:val="105"/>
        </w:rPr>
        <w:t> </w:t>
      </w:r>
      <w:r>
        <w:rPr>
          <w:color w:val="3A3838"/>
          <w:w w:val="105"/>
        </w:rPr>
        <w:t>holdings,</w:t>
      </w:r>
      <w:r>
        <w:rPr>
          <w:color w:val="3A3838"/>
          <w:spacing w:val="46"/>
          <w:w w:val="105"/>
        </w:rPr>
        <w:t> </w:t>
      </w:r>
      <w:r>
        <w:rPr>
          <w:color w:val="3A3838"/>
          <w:w w:val="105"/>
        </w:rPr>
        <w:t>particularly</w:t>
      </w:r>
      <w:r>
        <w:rPr>
          <w:color w:val="3A3838"/>
          <w:spacing w:val="33"/>
          <w:w w:val="105"/>
        </w:rPr>
        <w:t> </w:t>
      </w:r>
      <w:r>
        <w:rPr>
          <w:color w:val="3A3838"/>
          <w:w w:val="105"/>
        </w:rPr>
        <w:t>when</w:t>
      </w:r>
      <w:r>
        <w:rPr>
          <w:color w:val="3A3838"/>
          <w:spacing w:val="17"/>
          <w:w w:val="105"/>
        </w:rPr>
        <w:t> </w:t>
      </w:r>
      <w:r>
        <w:rPr>
          <w:color w:val="3A3838"/>
          <w:w w:val="105"/>
        </w:rPr>
        <w:t>describing</w:t>
      </w:r>
      <w:r>
        <w:rPr>
          <w:color w:val="3A3838"/>
          <w:spacing w:val="16"/>
          <w:w w:val="105"/>
        </w:rPr>
        <w:t> </w:t>
      </w:r>
      <w:r>
        <w:rPr>
          <w:color w:val="3A3838"/>
          <w:w w:val="105"/>
        </w:rPr>
        <w:t>certain</w:t>
      </w:r>
      <w:r>
        <w:rPr>
          <w:color w:val="3A3838"/>
          <w:spacing w:val="5"/>
          <w:w w:val="105"/>
        </w:rPr>
        <w:t> </w:t>
      </w:r>
      <w:r>
        <w:rPr>
          <w:b/>
          <w:color w:val="3A3838"/>
          <w:w w:val="105"/>
        </w:rPr>
        <w:t>cat</w:t>
      </w:r>
      <w:r>
        <w:rPr>
          <w:b/>
          <w:color w:val="3A3838"/>
          <w:spacing w:val="1"/>
          <w:w w:val="105"/>
        </w:rPr>
        <w:t> </w:t>
      </w:r>
      <w:r>
        <w:rPr>
          <w:color w:val="3A3838"/>
          <w:w w:val="105"/>
        </w:rPr>
        <w:t>egories</w:t>
      </w:r>
      <w:r>
        <w:rPr>
          <w:color w:val="3A3838"/>
          <w:spacing w:val="-13"/>
          <w:w w:val="105"/>
        </w:rPr>
        <w:t> </w:t>
      </w:r>
      <w:r>
        <w:rPr>
          <w:color w:val="3A3838"/>
          <w:w w:val="105"/>
        </w:rPr>
        <w:t>of</w:t>
      </w:r>
      <w:r>
        <w:rPr>
          <w:color w:val="3A3838"/>
          <w:spacing w:val="-4"/>
          <w:w w:val="105"/>
        </w:rPr>
        <w:t> </w:t>
      </w:r>
      <w:r>
        <w:rPr>
          <w:color w:val="3A3838"/>
          <w:w w:val="105"/>
        </w:rPr>
        <w:t>cases</w:t>
      </w:r>
      <w:r>
        <w:rPr>
          <w:color w:val="545456"/>
          <w:w w:val="105"/>
        </w:rPr>
        <w:t>.</w:t>
      </w:r>
    </w:p>
    <w:p>
      <w:pPr>
        <w:pStyle w:val="BodyText"/>
        <w:spacing w:line="232" w:lineRule="auto"/>
        <w:ind w:left="677" w:right="-44" w:firstLine="351"/>
      </w:pPr>
      <w:r>
        <w:rPr>
          <w:color w:val="3A3838"/>
          <w:w w:val="110"/>
        </w:rPr>
        <w:t>One</w:t>
      </w:r>
      <w:r>
        <w:rPr>
          <w:color w:val="3A3838"/>
          <w:spacing w:val="-9"/>
          <w:w w:val="110"/>
        </w:rPr>
        <w:t> </w:t>
      </w:r>
      <w:r>
        <w:rPr>
          <w:color w:val="3A3838"/>
          <w:w w:val="110"/>
        </w:rPr>
        <w:t>shortcut</w:t>
      </w:r>
      <w:r>
        <w:rPr>
          <w:color w:val="3A3838"/>
          <w:spacing w:val="23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23"/>
          <w:w w:val="110"/>
        </w:rPr>
        <w:t> </w:t>
      </w:r>
      <w:r>
        <w:rPr>
          <w:color w:val="3A3838"/>
          <w:w w:val="110"/>
        </w:rPr>
        <w:t>avoid</w:t>
      </w:r>
      <w:r>
        <w:rPr>
          <w:color w:val="3A3838"/>
          <w:spacing w:val="20"/>
          <w:w w:val="110"/>
        </w:rPr>
        <w:t> </w:t>
      </w:r>
      <w:r>
        <w:rPr>
          <w:color w:val="3A3838"/>
          <w:w w:val="110"/>
        </w:rPr>
        <w:t>is</w:t>
      </w:r>
      <w:r>
        <w:rPr>
          <w:color w:val="3A3838"/>
          <w:spacing w:val="20"/>
          <w:w w:val="110"/>
        </w:rPr>
        <w:t> </w:t>
      </w:r>
      <w:r>
        <w:rPr>
          <w:color w:val="3A3838"/>
          <w:w w:val="110"/>
        </w:rPr>
        <w:t>relying</w:t>
      </w:r>
      <w:r>
        <w:rPr>
          <w:color w:val="3A3838"/>
          <w:spacing w:val="20"/>
          <w:w w:val="110"/>
        </w:rPr>
        <w:t> </w:t>
      </w:r>
      <w:r>
        <w:rPr>
          <w:color w:val="3A3838"/>
          <w:w w:val="110"/>
        </w:rPr>
        <w:t>on</w:t>
      </w:r>
      <w:r>
        <w:rPr>
          <w:color w:val="3A3838"/>
          <w:spacing w:val="39"/>
          <w:w w:val="110"/>
        </w:rPr>
        <w:t> </w:t>
      </w:r>
      <w:r>
        <w:rPr>
          <w:color w:val="3A3838"/>
          <w:w w:val="110"/>
        </w:rPr>
        <w:t>how</w:t>
      </w:r>
      <w:r>
        <w:rPr>
          <w:color w:val="3A3838"/>
          <w:spacing w:val="27"/>
          <w:w w:val="110"/>
        </w:rPr>
        <w:t> </w:t>
      </w:r>
      <w:r>
        <w:rPr>
          <w:color w:val="3A3838"/>
          <w:w w:val="110"/>
        </w:rPr>
        <w:t>others</w:t>
      </w:r>
      <w:r>
        <w:rPr>
          <w:color w:val="3A3838"/>
          <w:spacing w:val="10"/>
          <w:w w:val="110"/>
        </w:rPr>
        <w:t> </w:t>
      </w:r>
      <w:r>
        <w:rPr>
          <w:color w:val="3A3838"/>
          <w:w w:val="110"/>
        </w:rPr>
        <w:t>have</w:t>
      </w:r>
      <w:r>
        <w:rPr>
          <w:color w:val="3A3838"/>
          <w:spacing w:val="12"/>
          <w:w w:val="110"/>
        </w:rPr>
        <w:t> </w:t>
      </w:r>
      <w:r>
        <w:rPr>
          <w:color w:val="3A3838"/>
          <w:w w:val="110"/>
        </w:rPr>
        <w:t>characterize&lt;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cases. </w:t>
      </w:r>
      <w:r>
        <w:rPr>
          <w:color w:val="3A3838"/>
          <w:w w:val="110"/>
          <w:sz w:val="24"/>
        </w:rPr>
        <w:t>If </w:t>
      </w:r>
      <w:r>
        <w:rPr>
          <w:color w:val="3A3838"/>
          <w:w w:val="110"/>
        </w:rPr>
        <w:t>you read a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memo</w:t>
      </w:r>
      <w:r>
        <w:rPr>
          <w:color w:val="545456"/>
          <w:w w:val="110"/>
        </w:rPr>
        <w:t>,</w:t>
      </w:r>
      <w:r>
        <w:rPr>
          <w:color w:val="545456"/>
          <w:spacing w:val="1"/>
          <w:w w:val="110"/>
        </w:rPr>
        <w:t> </w:t>
      </w:r>
      <w:r>
        <w:rPr>
          <w:color w:val="3A3838"/>
          <w:w w:val="110"/>
        </w:rPr>
        <w:t>brief, or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court opinion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that characterizes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0"/>
        </w:rPr>
        <w:t>case</w:t>
      </w:r>
      <w:r>
        <w:rPr>
          <w:color w:val="3A3838"/>
          <w:spacing w:val="-15"/>
          <w:w w:val="110"/>
        </w:rPr>
        <w:t> </w:t>
      </w:r>
      <w:r>
        <w:rPr>
          <w:color w:val="3A3838"/>
          <w:spacing w:val="-1"/>
          <w:w w:val="110"/>
        </w:rPr>
        <w:t>in</w:t>
      </w:r>
      <w:r>
        <w:rPr>
          <w:color w:val="3A3838"/>
          <w:spacing w:val="15"/>
          <w:w w:val="110"/>
        </w:rPr>
        <w:t> </w:t>
      </w:r>
      <w:r>
        <w:rPr>
          <w:color w:val="3A3838"/>
          <w:spacing w:val="-1"/>
          <w:w w:val="110"/>
        </w:rPr>
        <w:t>a</w:t>
      </w:r>
      <w:r>
        <w:rPr>
          <w:color w:val="3A3838"/>
          <w:spacing w:val="15"/>
          <w:w w:val="110"/>
        </w:rPr>
        <w:t> </w:t>
      </w:r>
      <w:r>
        <w:rPr>
          <w:color w:val="3A3838"/>
          <w:spacing w:val="-1"/>
          <w:w w:val="110"/>
        </w:rPr>
        <w:t>certain</w:t>
      </w:r>
      <w:r>
        <w:rPr>
          <w:color w:val="3A3838"/>
          <w:spacing w:val="8"/>
          <w:w w:val="110"/>
        </w:rPr>
        <w:t> </w:t>
      </w:r>
      <w:r>
        <w:rPr>
          <w:color w:val="3A3838"/>
          <w:spacing w:val="-1"/>
          <w:w w:val="110"/>
        </w:rPr>
        <w:t>way,</w:t>
      </w:r>
      <w:r>
        <w:rPr>
          <w:color w:val="3A3838"/>
          <w:spacing w:val="-2"/>
          <w:w w:val="110"/>
        </w:rPr>
        <w:t> </w:t>
      </w:r>
      <w:r>
        <w:rPr>
          <w:color w:val="3A3838"/>
          <w:spacing w:val="-1"/>
          <w:w w:val="110"/>
        </w:rPr>
        <w:t>it</w:t>
      </w:r>
      <w:r>
        <w:rPr>
          <w:color w:val="3A3838"/>
          <w:spacing w:val="21"/>
          <w:w w:val="110"/>
        </w:rPr>
        <w:t> </w:t>
      </w:r>
      <w:r>
        <w:rPr>
          <w:color w:val="3A3838"/>
          <w:spacing w:val="-1"/>
          <w:w w:val="110"/>
        </w:rPr>
        <w:t>is</w:t>
      </w:r>
      <w:r>
        <w:rPr>
          <w:color w:val="3A3838"/>
          <w:spacing w:val="9"/>
          <w:w w:val="110"/>
        </w:rPr>
        <w:t> </w:t>
      </w:r>
      <w:r>
        <w:rPr>
          <w:color w:val="3A3838"/>
          <w:spacing w:val="-1"/>
          <w:w w:val="110"/>
        </w:rPr>
        <w:t>tempting</w:t>
      </w:r>
      <w:r>
        <w:rPr>
          <w:color w:val="3A3838"/>
          <w:spacing w:val="8"/>
          <w:w w:val="110"/>
        </w:rPr>
        <w:t> </w:t>
      </w:r>
      <w:r>
        <w:rPr>
          <w:color w:val="3A3838"/>
          <w:spacing w:val="-1"/>
          <w:w w:val="110"/>
        </w:rPr>
        <w:t>to</w:t>
      </w:r>
      <w:r>
        <w:rPr>
          <w:color w:val="3A3838"/>
          <w:spacing w:val="12"/>
          <w:w w:val="110"/>
        </w:rPr>
        <w:t> </w:t>
      </w:r>
      <w:r>
        <w:rPr>
          <w:color w:val="3A3838"/>
          <w:spacing w:val="-1"/>
          <w:w w:val="110"/>
        </w:rPr>
        <w:t>repeat</w:t>
      </w:r>
      <w:r>
        <w:rPr>
          <w:color w:val="3A3838"/>
          <w:spacing w:val="8"/>
          <w:w w:val="110"/>
        </w:rPr>
        <w:t> </w:t>
      </w:r>
      <w:r>
        <w:rPr>
          <w:color w:val="3A3838"/>
          <w:spacing w:val="-1"/>
          <w:w w:val="110"/>
        </w:rPr>
        <w:t>that characterization</w:t>
      </w:r>
      <w:r>
        <w:rPr>
          <w:color w:val="3A3838"/>
          <w:spacing w:val="3"/>
          <w:w w:val="110"/>
        </w:rPr>
        <w:t> </w:t>
      </w:r>
      <w:r>
        <w:rPr>
          <w:color w:val="3A3838"/>
          <w:w w:val="110"/>
        </w:rPr>
        <w:t>your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self.</w:t>
      </w:r>
      <w:r>
        <w:rPr>
          <w:rFonts w:ascii="Arial"/>
          <w:color w:val="545456"/>
          <w:w w:val="110"/>
          <w:vertAlign w:val="superscript"/>
        </w:rPr>
        <w:t>5</w:t>
      </w:r>
      <w:r>
        <w:rPr>
          <w:rFonts w:ascii="Arial"/>
          <w:color w:val="545456"/>
          <w:spacing w:val="-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Certainly,</w:t>
      </w:r>
      <w:r>
        <w:rPr>
          <w:color w:val="3A3838"/>
          <w:spacing w:val="26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you</w:t>
      </w:r>
      <w:r>
        <w:rPr>
          <w:color w:val="3A3838"/>
          <w:spacing w:val="20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may</w:t>
      </w:r>
      <w:r>
        <w:rPr>
          <w:color w:val="3A3838"/>
          <w:spacing w:val="23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reason,</w:t>
      </w:r>
      <w:r>
        <w:rPr>
          <w:color w:val="3A3838"/>
          <w:spacing w:val="25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that</w:t>
      </w:r>
      <w:r>
        <w:rPr>
          <w:color w:val="3A3838"/>
          <w:spacing w:val="9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attorney</w:t>
      </w:r>
      <w:r>
        <w:rPr>
          <w:color w:val="3A3838"/>
          <w:spacing w:val="15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or</w:t>
      </w:r>
      <w:r>
        <w:rPr>
          <w:color w:val="3A3838"/>
          <w:spacing w:val="23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that</w:t>
      </w:r>
      <w:r>
        <w:rPr>
          <w:color w:val="3A3838"/>
          <w:spacing w:val="50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judge</w:t>
      </w:r>
      <w:r>
        <w:rPr>
          <w:color w:val="3A3838"/>
          <w:spacing w:val="10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would</w:t>
      </w:r>
      <w:r>
        <w:rPr>
          <w:color w:val="3A3838"/>
          <w:spacing w:val="9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n</w:t>
      </w:r>
      <w:r>
        <w:rPr>
          <w:color w:val="3A3838"/>
          <w:w w:val="110"/>
          <w:vertAlign w:val="subscript"/>
        </w:rPr>
        <w:t>0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05"/>
          <w:vertAlign w:val="baseline"/>
        </w:rPr>
        <w:t>have misrepresented</w:t>
      </w:r>
      <w:r>
        <w:rPr>
          <w:color w:val="3A3838"/>
          <w:spacing w:val="-2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the</w:t>
      </w:r>
      <w:r>
        <w:rPr>
          <w:color w:val="3A3838"/>
          <w:spacing w:val="52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law.</w:t>
      </w:r>
      <w:r>
        <w:rPr>
          <w:color w:val="3A3838"/>
          <w:spacing w:val="-5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Resist</w:t>
      </w:r>
      <w:r>
        <w:rPr>
          <w:color w:val="3A3838"/>
          <w:spacing w:val="19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the</w:t>
      </w:r>
      <w:r>
        <w:rPr>
          <w:color w:val="3A3838"/>
          <w:spacing w:val="19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temptation.</w:t>
      </w:r>
      <w:r>
        <w:rPr>
          <w:color w:val="3A3838"/>
          <w:spacing w:val="6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Take</w:t>
      </w:r>
      <w:r>
        <w:rPr>
          <w:color w:val="3A3838"/>
          <w:spacing w:val="11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the</w:t>
      </w:r>
      <w:r>
        <w:rPr>
          <w:color w:val="3A3838"/>
          <w:spacing w:val="26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time</w:t>
      </w:r>
      <w:r>
        <w:rPr>
          <w:color w:val="3A3838"/>
          <w:spacing w:val="13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to</w:t>
      </w:r>
      <w:r>
        <w:rPr>
          <w:color w:val="3A3838"/>
          <w:spacing w:val="-16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die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through</w:t>
      </w:r>
      <w:r>
        <w:rPr>
          <w:color w:val="3A3838"/>
          <w:spacing w:val="29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to</w:t>
      </w:r>
      <w:r>
        <w:rPr>
          <w:color w:val="3A3838"/>
          <w:spacing w:val="31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the</w:t>
      </w:r>
      <w:r>
        <w:rPr>
          <w:color w:val="3A3838"/>
          <w:spacing w:val="43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cited</w:t>
      </w:r>
      <w:r>
        <w:rPr>
          <w:color w:val="3A3838"/>
          <w:spacing w:val="17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case</w:t>
      </w:r>
      <w:r>
        <w:rPr>
          <w:color w:val="3A3838"/>
          <w:spacing w:val="7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and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to</w:t>
      </w:r>
      <w:r>
        <w:rPr>
          <w:color w:val="3A3838"/>
          <w:spacing w:val="37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read</w:t>
      </w:r>
      <w:r>
        <w:rPr>
          <w:color w:val="3A3838"/>
          <w:spacing w:val="18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it</w:t>
      </w:r>
      <w:r>
        <w:rPr>
          <w:color w:val="3A3838"/>
          <w:spacing w:val="37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for</w:t>
      </w:r>
      <w:r>
        <w:rPr>
          <w:color w:val="3A3838"/>
          <w:spacing w:val="34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yourself</w:t>
      </w:r>
      <w:r>
        <w:rPr>
          <w:color w:val="3A3838"/>
          <w:spacing w:val="48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to</w:t>
      </w:r>
      <w:r>
        <w:rPr>
          <w:color w:val="3A3838"/>
          <w:spacing w:val="50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verify</w:t>
      </w:r>
      <w:r>
        <w:rPr>
          <w:color w:val="3A3838"/>
          <w:spacing w:val="24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that</w:t>
      </w:r>
      <w:r>
        <w:rPr>
          <w:color w:val="3A3838"/>
          <w:spacing w:val="17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it</w:t>
      </w:r>
      <w:r>
        <w:rPr>
          <w:color w:val="3A3838"/>
          <w:spacing w:val="-16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sa</w:t>
      </w:r>
    </w:p>
    <w:p>
      <w:pPr>
        <w:pStyle w:val="BodyText"/>
        <w:spacing w:line="232" w:lineRule="auto"/>
        <w:ind w:left="624" w:right="-44" w:firstLine="44"/>
        <w:jc w:val="both"/>
      </w:pPr>
      <w:r>
        <w:rPr>
          <w:color w:val="3A3838"/>
          <w:w w:val="105"/>
        </w:rPr>
        <w:t>what you think it says. Furthermore,  be sure to  use Shepard's,  Keycite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and BCite, and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to conduct further research to verify that the case is stiU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valid law</w:t>
      </w:r>
      <w:r>
        <w:rPr>
          <w:color w:val="545456"/>
          <w:w w:val="105"/>
        </w:rPr>
        <w:t>. </w:t>
      </w:r>
      <w:r>
        <w:rPr>
          <w:color w:val="3A3838"/>
          <w:w w:val="105"/>
        </w:rPr>
        <w:t>Even if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judge or attorney did not misrepresent the law, more</w:t>
      </w:r>
      <w:r>
        <w:rPr>
          <w:color w:val="3A3838"/>
          <w:spacing w:val="-58"/>
          <w:w w:val="105"/>
        </w:rPr>
        <w:t> </w:t>
      </w:r>
      <w:r>
        <w:rPr>
          <w:color w:val="3A3838"/>
          <w:w w:val="105"/>
        </w:rPr>
        <w:t>recent authorities may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have changed  the  validity of  that  case</w:t>
      </w:r>
      <w:r>
        <w:rPr>
          <w:color w:val="545456"/>
          <w:w w:val="105"/>
        </w:rPr>
        <w:t>. </w:t>
      </w:r>
      <w:r>
        <w:rPr>
          <w:color w:val="3A3838"/>
          <w:w w:val="105"/>
        </w:rPr>
        <w:t>Thus, read</w:t>
      </w:r>
      <w:r>
        <w:rPr>
          <w:color w:val="3A3838"/>
          <w:spacing w:val="-58"/>
          <w:w w:val="105"/>
        </w:rPr>
        <w:t> </w:t>
      </w:r>
      <w:r>
        <w:rPr>
          <w:color w:val="3A3838"/>
          <w:w w:val="105"/>
        </w:rPr>
        <w:t>it</w:t>
      </w:r>
      <w:r>
        <w:rPr>
          <w:color w:val="3A3838"/>
          <w:spacing w:val="27"/>
          <w:w w:val="105"/>
        </w:rPr>
        <w:t> </w:t>
      </w:r>
      <w:r>
        <w:rPr>
          <w:color w:val="3A3838"/>
          <w:w w:val="105"/>
        </w:rPr>
        <w:t>and</w:t>
      </w:r>
      <w:r>
        <w:rPr>
          <w:color w:val="3A3838"/>
          <w:spacing w:val="10"/>
          <w:w w:val="105"/>
        </w:rPr>
        <w:t> </w:t>
      </w:r>
      <w:r>
        <w:rPr>
          <w:color w:val="3A3838"/>
          <w:w w:val="105"/>
        </w:rPr>
        <w:t>update</w:t>
      </w:r>
      <w:r>
        <w:rPr>
          <w:color w:val="3A3838"/>
          <w:spacing w:val="-1"/>
          <w:w w:val="105"/>
        </w:rPr>
        <w:t> </w:t>
      </w:r>
      <w:r>
        <w:rPr>
          <w:color w:val="3A3838"/>
          <w:w w:val="105"/>
        </w:rPr>
        <w:t>it</w:t>
      </w:r>
      <w:r>
        <w:rPr>
          <w:color w:val="3A3838"/>
          <w:spacing w:val="13"/>
          <w:w w:val="105"/>
        </w:rPr>
        <w:t> </w:t>
      </w:r>
      <w:r>
        <w:rPr>
          <w:color w:val="3A3838"/>
          <w:w w:val="105"/>
        </w:rPr>
        <w:t>yourself;</w:t>
      </w:r>
      <w:r>
        <w:rPr>
          <w:color w:val="3A3838"/>
          <w:spacing w:val="-10"/>
          <w:w w:val="105"/>
        </w:rPr>
        <w:t> </w:t>
      </w:r>
      <w:r>
        <w:rPr>
          <w:color w:val="3A3838"/>
          <w:w w:val="105"/>
        </w:rPr>
        <w:t>don't</w:t>
      </w:r>
      <w:r>
        <w:rPr>
          <w:color w:val="3A3838"/>
          <w:spacing w:val="10"/>
          <w:w w:val="105"/>
        </w:rPr>
        <w:t> </w:t>
      </w:r>
      <w:r>
        <w:rPr>
          <w:color w:val="3A3838"/>
          <w:w w:val="105"/>
        </w:rPr>
        <w:t>rely</w:t>
      </w:r>
      <w:r>
        <w:rPr>
          <w:color w:val="3A3838"/>
          <w:spacing w:val="-10"/>
          <w:w w:val="105"/>
        </w:rPr>
        <w:t> </w:t>
      </w:r>
      <w:r>
        <w:rPr>
          <w:color w:val="3A3838"/>
          <w:w w:val="105"/>
        </w:rPr>
        <w:t>on</w:t>
      </w:r>
      <w:r>
        <w:rPr>
          <w:color w:val="3A3838"/>
          <w:spacing w:val="35"/>
          <w:w w:val="105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33"/>
          <w:w w:val="105"/>
        </w:rPr>
        <w:t> </w:t>
      </w:r>
      <w:r>
        <w:rPr>
          <w:color w:val="3A3838"/>
          <w:w w:val="105"/>
        </w:rPr>
        <w:t>work</w:t>
      </w:r>
      <w:r>
        <w:rPr>
          <w:color w:val="3A3838"/>
          <w:spacing w:val="-7"/>
          <w:w w:val="105"/>
        </w:rPr>
        <w:t> </w:t>
      </w:r>
      <w:r>
        <w:rPr>
          <w:color w:val="3A3838"/>
          <w:w w:val="105"/>
        </w:rPr>
        <w:t>of</w:t>
      </w:r>
      <w:r>
        <w:rPr>
          <w:color w:val="3A3838"/>
          <w:spacing w:val="2"/>
          <w:w w:val="105"/>
        </w:rPr>
        <w:t> </w:t>
      </w:r>
      <w:r>
        <w:rPr>
          <w:color w:val="3A3838"/>
          <w:w w:val="105"/>
        </w:rPr>
        <w:t>others.</w:t>
      </w:r>
    </w:p>
    <w:p>
      <w:pPr>
        <w:pStyle w:val="BodyText"/>
        <w:spacing w:line="204" w:lineRule="auto"/>
        <w:ind w:left="594" w:right="-58" w:firstLine="382"/>
        <w:jc w:val="both"/>
      </w:pPr>
      <w:r>
        <w:rPr>
          <w:color w:val="3A3838"/>
          <w:w w:val="110"/>
        </w:rPr>
        <w:t>Another shortcut to avoid is using a case as authority when you have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read only an isolated paragraph or two. Modem computer research </w:t>
      </w:r>
      <w:r>
        <w:rPr>
          <w:color w:val="3A3838"/>
          <w:w w:val="105"/>
          <w:sz w:val="30"/>
        </w:rPr>
        <w:t>can</w:t>
      </w:r>
      <w:r>
        <w:rPr>
          <w:color w:val="3A3838"/>
          <w:spacing w:val="1"/>
          <w:w w:val="105"/>
          <w:sz w:val="30"/>
        </w:rPr>
        <w:t> </w:t>
      </w:r>
      <w:r>
        <w:rPr>
          <w:color w:val="3A3838"/>
          <w:w w:val="105"/>
        </w:rPr>
        <w:t>often</w:t>
      </w:r>
      <w:r>
        <w:rPr>
          <w:color w:val="3A3838"/>
          <w:spacing w:val="-11"/>
          <w:w w:val="105"/>
        </w:rPr>
        <w:t> </w:t>
      </w:r>
      <w:r>
        <w:rPr>
          <w:color w:val="3A3838"/>
          <w:w w:val="105"/>
        </w:rPr>
        <w:t>send</w:t>
      </w:r>
      <w:r>
        <w:rPr>
          <w:color w:val="3A3838"/>
          <w:spacing w:val="8"/>
          <w:w w:val="105"/>
        </w:rPr>
        <w:t> </w:t>
      </w:r>
      <w:r>
        <w:rPr>
          <w:color w:val="3A3838"/>
          <w:w w:val="105"/>
        </w:rPr>
        <w:t>legal</w:t>
      </w:r>
      <w:r>
        <w:rPr>
          <w:color w:val="3A3838"/>
          <w:spacing w:val="20"/>
          <w:w w:val="105"/>
        </w:rPr>
        <w:t> </w:t>
      </w:r>
      <w:r>
        <w:rPr>
          <w:color w:val="3A3838"/>
          <w:w w:val="105"/>
        </w:rPr>
        <w:t>researchers</w:t>
      </w:r>
      <w:r>
        <w:rPr>
          <w:color w:val="3A3838"/>
          <w:spacing w:val="9"/>
          <w:w w:val="105"/>
        </w:rPr>
        <w:t> </w:t>
      </w:r>
      <w:r>
        <w:rPr>
          <w:color w:val="3A3838"/>
          <w:w w:val="105"/>
        </w:rPr>
        <w:t>on</w:t>
      </w:r>
      <w:r>
        <w:rPr>
          <w:color w:val="3A3838"/>
          <w:spacing w:val="41"/>
          <w:w w:val="105"/>
        </w:rPr>
        <w:t> </w:t>
      </w:r>
      <w:r>
        <w:rPr>
          <w:color w:val="3A3838"/>
          <w:w w:val="105"/>
        </w:rPr>
        <w:t>a</w:t>
      </w:r>
      <w:r>
        <w:rPr>
          <w:color w:val="3A3838"/>
          <w:spacing w:val="28"/>
          <w:w w:val="105"/>
        </w:rPr>
        <w:t> </w:t>
      </w:r>
      <w:r>
        <w:rPr>
          <w:color w:val="3A3838"/>
          <w:w w:val="105"/>
        </w:rPr>
        <w:t>cavalcade</w:t>
      </w:r>
      <w:r>
        <w:rPr>
          <w:color w:val="3A3838"/>
          <w:spacing w:val="-5"/>
          <w:w w:val="105"/>
        </w:rPr>
        <w:t> </w:t>
      </w:r>
      <w:r>
        <w:rPr>
          <w:color w:val="3A3838"/>
          <w:w w:val="105"/>
        </w:rPr>
        <w:t>of</w:t>
      </w:r>
      <w:r>
        <w:rPr>
          <w:color w:val="3A3838"/>
          <w:spacing w:val="18"/>
          <w:w w:val="105"/>
        </w:rPr>
        <w:t> </w:t>
      </w:r>
      <w:r>
        <w:rPr>
          <w:color w:val="3A3838"/>
          <w:w w:val="105"/>
        </w:rPr>
        <w:t>clicking,</w:t>
      </w:r>
      <w:r>
        <w:rPr>
          <w:color w:val="3A3838"/>
          <w:spacing w:val="57"/>
          <w:w w:val="105"/>
        </w:rPr>
        <w:t> </w:t>
      </w:r>
      <w:r>
        <w:rPr>
          <w:color w:val="3A3838"/>
          <w:w w:val="105"/>
        </w:rPr>
        <w:t>jumping</w:t>
      </w:r>
      <w:r>
        <w:rPr>
          <w:color w:val="3A3838"/>
          <w:spacing w:val="25"/>
          <w:w w:val="105"/>
        </w:rPr>
        <w:t> </w:t>
      </w:r>
      <w:r>
        <w:rPr>
          <w:color w:val="3A3838"/>
          <w:w w:val="105"/>
        </w:rPr>
        <w:t>from</w:t>
      </w:r>
      <w:r>
        <w:rPr>
          <w:color w:val="3A3838"/>
          <w:spacing w:val="4"/>
          <w:w w:val="105"/>
        </w:rPr>
        <w:t> </w:t>
      </w:r>
      <w:r>
        <w:rPr>
          <w:color w:val="3A3838"/>
          <w:w w:val="105"/>
        </w:rPr>
        <w:t>one</w:t>
      </w:r>
    </w:p>
    <w:p>
      <w:pPr>
        <w:pStyle w:val="BodyText"/>
        <w:spacing w:line="218" w:lineRule="auto" w:before="22"/>
        <w:ind w:left="581" w:right="-58" w:hanging="1"/>
        <w:jc w:val="both"/>
        <w:rPr>
          <w:b/>
          <w:sz w:val="24"/>
        </w:rPr>
      </w:pPr>
      <w:r>
        <w:rPr>
          <w:color w:val="3A3838"/>
          <w:w w:val="115"/>
        </w:rPr>
        <w:t>source to another to another, and from one use of a search term to th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05"/>
        </w:rPr>
        <w:t>next.</w:t>
      </w:r>
      <w:r>
        <w:rPr>
          <w:color w:val="3A3838"/>
          <w:spacing w:val="4"/>
          <w:w w:val="105"/>
        </w:rPr>
        <w:t> </w:t>
      </w:r>
      <w:r>
        <w:rPr>
          <w:color w:val="3A3838"/>
          <w:w w:val="105"/>
        </w:rPr>
        <w:t>If</w:t>
      </w:r>
      <w:r>
        <w:rPr>
          <w:color w:val="3A3838"/>
          <w:spacing w:val="21"/>
          <w:w w:val="105"/>
        </w:rPr>
        <w:t> </w:t>
      </w:r>
      <w:r>
        <w:rPr>
          <w:color w:val="3A3838"/>
          <w:w w:val="105"/>
        </w:rPr>
        <w:t>you</w:t>
      </w:r>
      <w:r>
        <w:rPr>
          <w:color w:val="3A3838"/>
          <w:spacing w:val="-1"/>
          <w:w w:val="105"/>
        </w:rPr>
        <w:t> </w:t>
      </w:r>
      <w:r>
        <w:rPr>
          <w:color w:val="3A3838"/>
          <w:w w:val="105"/>
        </w:rPr>
        <w:t>are</w:t>
      </w:r>
      <w:r>
        <w:rPr>
          <w:color w:val="3A3838"/>
          <w:spacing w:val="21"/>
          <w:w w:val="105"/>
        </w:rPr>
        <w:t> </w:t>
      </w:r>
      <w:r>
        <w:rPr>
          <w:color w:val="3A3838"/>
          <w:w w:val="105"/>
        </w:rPr>
        <w:t>not</w:t>
      </w:r>
      <w:r>
        <w:rPr>
          <w:color w:val="3A3838"/>
          <w:spacing w:val="48"/>
          <w:w w:val="105"/>
        </w:rPr>
        <w:t> </w:t>
      </w:r>
      <w:r>
        <w:rPr>
          <w:color w:val="3A3838"/>
          <w:w w:val="105"/>
        </w:rPr>
        <w:t>careful,</w:t>
      </w:r>
      <w:r>
        <w:rPr>
          <w:color w:val="3A3838"/>
          <w:spacing w:val="24"/>
          <w:w w:val="105"/>
        </w:rPr>
        <w:t> </w:t>
      </w:r>
      <w:r>
        <w:rPr>
          <w:color w:val="3A3838"/>
          <w:w w:val="105"/>
        </w:rPr>
        <w:t>you</w:t>
      </w:r>
      <w:r>
        <w:rPr>
          <w:color w:val="3A3838"/>
          <w:spacing w:val="12"/>
          <w:w w:val="105"/>
        </w:rPr>
        <w:t> </w:t>
      </w:r>
      <w:r>
        <w:rPr>
          <w:color w:val="3A3838"/>
          <w:w w:val="105"/>
        </w:rPr>
        <w:t>can</w:t>
      </w:r>
      <w:r>
        <w:rPr>
          <w:color w:val="3A3838"/>
          <w:spacing w:val="33"/>
          <w:w w:val="105"/>
        </w:rPr>
        <w:t> </w:t>
      </w:r>
      <w:r>
        <w:rPr>
          <w:color w:val="3A3838"/>
          <w:w w:val="105"/>
        </w:rPr>
        <w:t>end</w:t>
      </w:r>
      <w:r>
        <w:rPr>
          <w:color w:val="3A3838"/>
          <w:spacing w:val="51"/>
          <w:w w:val="105"/>
        </w:rPr>
        <w:t> </w:t>
      </w:r>
      <w:r>
        <w:rPr>
          <w:color w:val="3A3838"/>
          <w:w w:val="105"/>
        </w:rPr>
        <w:t>up</w:t>
      </w:r>
      <w:r>
        <w:rPr>
          <w:color w:val="3A3838"/>
          <w:spacing w:val="35"/>
          <w:w w:val="105"/>
        </w:rPr>
        <w:t> </w:t>
      </w:r>
      <w:r>
        <w:rPr>
          <w:color w:val="3A3838"/>
          <w:w w:val="105"/>
        </w:rPr>
        <w:t>citing</w:t>
      </w:r>
      <w:r>
        <w:rPr>
          <w:color w:val="3A3838"/>
          <w:spacing w:val="9"/>
          <w:w w:val="105"/>
        </w:rPr>
        <w:t> </w:t>
      </w:r>
      <w:r>
        <w:rPr>
          <w:color w:val="3A3838"/>
          <w:w w:val="105"/>
        </w:rPr>
        <w:t>a</w:t>
      </w:r>
      <w:r>
        <w:rPr>
          <w:color w:val="3A3838"/>
          <w:spacing w:val="17"/>
          <w:w w:val="105"/>
        </w:rPr>
        <w:t> </w:t>
      </w:r>
      <w:r>
        <w:rPr>
          <w:color w:val="3A3838"/>
          <w:w w:val="105"/>
        </w:rPr>
        <w:t>dissenting</w:t>
      </w:r>
      <w:r>
        <w:rPr>
          <w:color w:val="3A3838"/>
          <w:spacing w:val="5"/>
          <w:w w:val="105"/>
        </w:rPr>
        <w:t> </w:t>
      </w:r>
      <w:r>
        <w:rPr>
          <w:color w:val="3A3838"/>
          <w:w w:val="105"/>
        </w:rPr>
        <w:t>opinion</w:t>
      </w:r>
      <w:r>
        <w:rPr>
          <w:color w:val="3A3838"/>
          <w:spacing w:val="-14"/>
          <w:w w:val="105"/>
        </w:rPr>
        <w:t> </w:t>
      </w:r>
      <w:r>
        <w:rPr>
          <w:b/>
          <w:color w:val="3A3838"/>
          <w:w w:val="105"/>
          <w:sz w:val="24"/>
        </w:rPr>
        <w:t>as</w:t>
      </w:r>
    </w:p>
    <w:p>
      <w:pPr>
        <w:pStyle w:val="BodyText"/>
        <w:spacing w:before="10"/>
        <w:rPr>
          <w:b/>
          <w:sz w:val="26"/>
        </w:rPr>
      </w:pPr>
    </w:p>
    <w:p>
      <w:pPr>
        <w:pStyle w:val="ListParagraph"/>
        <w:numPr>
          <w:ilvl w:val="0"/>
          <w:numId w:val="57"/>
        </w:numPr>
        <w:tabs>
          <w:tab w:pos="997" w:val="left" w:leader="none"/>
        </w:tabs>
        <w:spacing w:line="223" w:lineRule="auto" w:before="105" w:after="0"/>
        <w:ind w:left="518" w:right="-29" w:firstLine="401"/>
        <w:jc w:val="both"/>
        <w:rPr>
          <w:sz w:val="18"/>
        </w:rPr>
      </w:pPr>
      <w:r>
        <w:rPr>
          <w:color w:val="3A3838"/>
          <w:w w:val="105"/>
          <w:sz w:val="18"/>
        </w:rPr>
        <w:t>Admittedly,</w:t>
      </w:r>
      <w:r>
        <w:rPr>
          <w:color w:val="3A3838"/>
          <w:spacing w:val="-11"/>
          <w:w w:val="105"/>
          <w:sz w:val="18"/>
        </w:rPr>
        <w:t> </w:t>
      </w:r>
      <w:r>
        <w:rPr>
          <w:color w:val="3A3838"/>
          <w:w w:val="105"/>
          <w:sz w:val="18"/>
        </w:rPr>
        <w:t>some</w:t>
      </w:r>
      <w:r>
        <w:rPr>
          <w:color w:val="3A3838"/>
          <w:spacing w:val="-21"/>
          <w:w w:val="105"/>
          <w:sz w:val="18"/>
        </w:rPr>
        <w:t> </w:t>
      </w:r>
      <w:r>
        <w:rPr>
          <w:color w:val="3A3838"/>
          <w:w w:val="105"/>
          <w:sz w:val="18"/>
        </w:rPr>
        <w:t>lawye</w:t>
      </w:r>
      <w:r>
        <w:rPr>
          <w:color w:val="545456"/>
          <w:w w:val="105"/>
          <w:sz w:val="18"/>
        </w:rPr>
        <w:t>rs</w:t>
      </w:r>
      <w:r>
        <w:rPr>
          <w:color w:val="545456"/>
          <w:spacing w:val="-14"/>
          <w:w w:val="105"/>
          <w:sz w:val="18"/>
        </w:rPr>
        <w:t> </w:t>
      </w:r>
      <w:r>
        <w:rPr>
          <w:color w:val="3A3838"/>
          <w:w w:val="105"/>
          <w:sz w:val="18"/>
        </w:rPr>
        <w:t>do</w:t>
      </w:r>
      <w:r>
        <w:rPr>
          <w:color w:val="3A3838"/>
          <w:spacing w:val="10"/>
          <w:w w:val="105"/>
          <w:sz w:val="18"/>
        </w:rPr>
        <w:t> </w:t>
      </w:r>
      <w:r>
        <w:rPr>
          <w:color w:val="3A3838"/>
          <w:w w:val="105"/>
          <w:sz w:val="18"/>
        </w:rPr>
        <w:t>no</w:t>
      </w:r>
      <w:r>
        <w:rPr>
          <w:color w:val="545456"/>
          <w:w w:val="105"/>
          <w:sz w:val="18"/>
        </w:rPr>
        <w:t>t</w:t>
      </w:r>
      <w:r>
        <w:rPr>
          <w:color w:val="545456"/>
          <w:spacing w:val="15"/>
          <w:w w:val="105"/>
          <w:sz w:val="18"/>
        </w:rPr>
        <w:t> </w:t>
      </w:r>
      <w:r>
        <w:rPr>
          <w:color w:val="3A3838"/>
          <w:w w:val="105"/>
          <w:sz w:val="18"/>
        </w:rPr>
        <w:t>takethisseemingly</w:t>
      </w:r>
      <w:r>
        <w:rPr>
          <w:color w:val="3A3838"/>
          <w:spacing w:val="-6"/>
          <w:w w:val="105"/>
          <w:sz w:val="18"/>
        </w:rPr>
        <w:t> </w:t>
      </w:r>
      <w:r>
        <w:rPr>
          <w:color w:val="3A3838"/>
          <w:w w:val="105"/>
          <w:sz w:val="18"/>
        </w:rPr>
        <w:t>obvious</w:t>
      </w:r>
      <w:r>
        <w:rPr>
          <w:color w:val="3A3838"/>
          <w:spacing w:val="-13"/>
          <w:w w:val="105"/>
          <w:sz w:val="18"/>
        </w:rPr>
        <w:t> </w:t>
      </w:r>
      <w:r>
        <w:rPr>
          <w:color w:val="3A3838"/>
          <w:w w:val="105"/>
          <w:sz w:val="18"/>
        </w:rPr>
        <w:t>step</w:t>
      </w:r>
      <w:r>
        <w:rPr>
          <w:color w:val="545456"/>
          <w:w w:val="105"/>
          <w:sz w:val="18"/>
        </w:rPr>
        <w:t>.</w:t>
      </w:r>
      <w:r>
        <w:rPr>
          <w:color w:val="545456"/>
          <w:spacing w:val="-17"/>
          <w:w w:val="105"/>
          <w:sz w:val="18"/>
        </w:rPr>
        <w:t> </w:t>
      </w:r>
      <w:r>
        <w:rPr>
          <w:color w:val="3A3838"/>
          <w:w w:val="105"/>
          <w:sz w:val="18"/>
        </w:rPr>
        <w:t>Take</w:t>
      </w:r>
      <w:r>
        <w:rPr>
          <w:color w:val="3A3838"/>
          <w:spacing w:val="-14"/>
          <w:w w:val="105"/>
          <w:sz w:val="18"/>
        </w:rPr>
        <w:t> </w:t>
      </w:r>
      <w:r>
        <w:rPr>
          <w:color w:val="3A3838"/>
          <w:w w:val="105"/>
          <w:sz w:val="18"/>
        </w:rPr>
        <w:t>note</w:t>
      </w:r>
      <w:r>
        <w:rPr>
          <w:color w:val="545456"/>
          <w:w w:val="105"/>
          <w:sz w:val="18"/>
        </w:rPr>
        <w:t>,</w:t>
      </w:r>
      <w:r>
        <w:rPr>
          <w:color w:val="545456"/>
          <w:spacing w:val="-7"/>
          <w:w w:val="105"/>
          <w:sz w:val="18"/>
        </w:rPr>
        <w:t> </w:t>
      </w:r>
      <w:r>
        <w:rPr>
          <w:color w:val="3A3838"/>
          <w:w w:val="105"/>
          <w:sz w:val="18"/>
        </w:rPr>
        <w:t>and</w:t>
      </w:r>
      <w:r>
        <w:rPr>
          <w:color w:val="3A3838"/>
          <w:spacing w:val="10"/>
          <w:w w:val="105"/>
          <w:sz w:val="18"/>
        </w:rPr>
        <w:t> </w:t>
      </w:r>
      <w:r>
        <w:rPr>
          <w:rFonts w:ascii="Arial" w:hAnsi="Arial"/>
          <w:color w:val="3A3838"/>
          <w:w w:val="105"/>
          <w:sz w:val="16"/>
        </w:rPr>
        <w:t>be</w:t>
      </w:r>
      <w:r>
        <w:rPr>
          <w:rFonts w:ascii="Arial" w:hAnsi="Arial"/>
          <w:color w:val="3A3838"/>
          <w:spacing w:val="-21"/>
          <w:w w:val="105"/>
          <w:sz w:val="16"/>
        </w:rPr>
        <w:t> </w:t>
      </w:r>
      <w:r>
        <w:rPr>
          <w:color w:val="3A3838"/>
          <w:w w:val="105"/>
          <w:sz w:val="18"/>
        </w:rPr>
        <w:t>sure</w:t>
      </w:r>
      <w:r>
        <w:rPr>
          <w:color w:val="3A3838"/>
          <w:spacing w:val="-16"/>
          <w:w w:val="105"/>
          <w:sz w:val="18"/>
        </w:rPr>
        <w:t> </w:t>
      </w:r>
      <w:r>
        <w:rPr>
          <w:color w:val="3A3838"/>
          <w:w w:val="105"/>
          <w:sz w:val="18"/>
        </w:rPr>
        <w:t>to</w:t>
      </w:r>
      <w:r>
        <w:rPr>
          <w:color w:val="3A3838"/>
          <w:spacing w:val="1"/>
          <w:w w:val="105"/>
          <w:sz w:val="18"/>
        </w:rPr>
        <w:t> </w:t>
      </w:r>
      <w:r>
        <w:rPr>
          <w:color w:val="3A3838"/>
          <w:w w:val="105"/>
          <w:sz w:val="18"/>
        </w:rPr>
        <w:t>do so with your own opponents</w:t>
      </w:r>
      <w:r>
        <w:rPr>
          <w:color w:val="545456"/>
          <w:w w:val="105"/>
          <w:sz w:val="18"/>
        </w:rPr>
        <w:t>. </w:t>
      </w:r>
      <w:r>
        <w:rPr>
          <w:color w:val="3A3838"/>
          <w:w w:val="105"/>
          <w:sz w:val="18"/>
        </w:rPr>
        <w:t>It Is both satisfying and effecti</w:t>
      </w:r>
      <w:r>
        <w:rPr>
          <w:color w:val="545456"/>
          <w:w w:val="105"/>
          <w:sz w:val="18"/>
        </w:rPr>
        <w:t>v</w:t>
      </w:r>
      <w:r>
        <w:rPr>
          <w:color w:val="3A3838"/>
          <w:w w:val="105"/>
          <w:sz w:val="18"/>
        </w:rPr>
        <w:t>e to </w:t>
      </w:r>
      <w:r>
        <w:rPr>
          <w:rFonts w:ascii="Arial" w:hAnsi="Arial"/>
          <w:color w:val="3A3838"/>
          <w:w w:val="105"/>
          <w:sz w:val="16"/>
        </w:rPr>
        <w:t>be </w:t>
      </w:r>
      <w:r>
        <w:rPr>
          <w:color w:val="3A3838"/>
          <w:w w:val="105"/>
          <w:sz w:val="18"/>
        </w:rPr>
        <w:t>able to say to a court-lrl</w:t>
      </w:r>
      <w:r>
        <w:rPr>
          <w:color w:val="3A3838"/>
          <w:spacing w:val="1"/>
          <w:w w:val="105"/>
          <w:sz w:val="18"/>
        </w:rPr>
        <w:t> </w:t>
      </w:r>
      <w:r>
        <w:rPr>
          <w:color w:val="3A3838"/>
          <w:w w:val="110"/>
          <w:sz w:val="18"/>
        </w:rPr>
        <w:t>an</w:t>
      </w:r>
      <w:r>
        <w:rPr>
          <w:color w:val="3A3838"/>
          <w:spacing w:val="-19"/>
          <w:w w:val="110"/>
          <w:sz w:val="18"/>
        </w:rPr>
        <w:t> </w:t>
      </w:r>
      <w:r>
        <w:rPr>
          <w:color w:val="3A3838"/>
          <w:w w:val="110"/>
          <w:sz w:val="18"/>
        </w:rPr>
        <w:t>oral</w:t>
      </w:r>
      <w:r>
        <w:rPr>
          <w:color w:val="3A3838"/>
          <w:spacing w:val="-22"/>
          <w:w w:val="110"/>
          <w:sz w:val="18"/>
        </w:rPr>
        <w:t> </w:t>
      </w:r>
      <w:r>
        <w:rPr>
          <w:color w:val="3A3838"/>
          <w:w w:val="110"/>
          <w:sz w:val="18"/>
        </w:rPr>
        <w:t>argument,</w:t>
      </w:r>
      <w:r>
        <w:rPr>
          <w:color w:val="3A3838"/>
          <w:spacing w:val="-13"/>
          <w:w w:val="110"/>
          <w:sz w:val="18"/>
        </w:rPr>
        <w:t> </w:t>
      </w:r>
      <w:r>
        <w:rPr>
          <w:color w:val="3A3838"/>
          <w:w w:val="110"/>
          <w:sz w:val="18"/>
        </w:rPr>
        <w:t>a</w:t>
      </w:r>
      <w:r>
        <w:rPr>
          <w:color w:val="3A3838"/>
          <w:spacing w:val="3"/>
          <w:w w:val="110"/>
          <w:sz w:val="18"/>
        </w:rPr>
        <w:t> </w:t>
      </w:r>
      <w:r>
        <w:rPr>
          <w:color w:val="3A3838"/>
          <w:w w:val="110"/>
          <w:sz w:val="18"/>
        </w:rPr>
        <w:t>responding brief,</w:t>
      </w:r>
      <w:r>
        <w:rPr>
          <w:color w:val="3A3838"/>
          <w:spacing w:val="-26"/>
          <w:w w:val="110"/>
          <w:sz w:val="18"/>
        </w:rPr>
        <w:t> </w:t>
      </w:r>
      <w:r>
        <w:rPr>
          <w:color w:val="3A3838"/>
          <w:w w:val="110"/>
          <w:sz w:val="18"/>
        </w:rPr>
        <w:t>or</w:t>
      </w:r>
      <w:r>
        <w:rPr>
          <w:color w:val="3A3838"/>
          <w:spacing w:val="-3"/>
          <w:w w:val="110"/>
          <w:sz w:val="18"/>
        </w:rPr>
        <w:t> </w:t>
      </w:r>
      <w:r>
        <w:rPr>
          <w:color w:val="3A3838"/>
          <w:w w:val="110"/>
          <w:sz w:val="18"/>
        </w:rPr>
        <w:t>a</w:t>
      </w:r>
      <w:r>
        <w:rPr>
          <w:color w:val="3A3838"/>
          <w:spacing w:val="21"/>
          <w:w w:val="110"/>
          <w:sz w:val="18"/>
        </w:rPr>
        <w:t> </w:t>
      </w:r>
      <w:r>
        <w:rPr>
          <w:color w:val="3A3838"/>
          <w:w w:val="110"/>
          <w:sz w:val="18"/>
        </w:rPr>
        <w:t>reply</w:t>
      </w:r>
      <w:r>
        <w:rPr>
          <w:color w:val="3A3838"/>
          <w:spacing w:val="-8"/>
          <w:w w:val="110"/>
          <w:sz w:val="18"/>
        </w:rPr>
        <w:t> </w:t>
      </w:r>
      <w:r>
        <w:rPr>
          <w:color w:val="3A3838"/>
          <w:w w:val="110"/>
          <w:sz w:val="18"/>
        </w:rPr>
        <w:t>brief</w:t>
      </w:r>
      <w:r>
        <w:rPr>
          <w:color w:val="777577"/>
          <w:w w:val="110"/>
          <w:sz w:val="18"/>
        </w:rPr>
        <w:t>-</w:t>
      </w:r>
      <w:r>
        <w:rPr>
          <w:color w:val="3A3838"/>
          <w:w w:val="110"/>
          <w:sz w:val="18"/>
        </w:rPr>
        <w:t>that</w:t>
      </w:r>
      <w:r>
        <w:rPr>
          <w:color w:val="3A3838"/>
          <w:spacing w:val="7"/>
          <w:w w:val="110"/>
          <w:sz w:val="18"/>
        </w:rPr>
        <w:t> </w:t>
      </w:r>
      <w:r>
        <w:rPr>
          <w:color w:val="3A3838"/>
          <w:w w:val="110"/>
          <w:sz w:val="18"/>
        </w:rPr>
        <w:t>thevery</w:t>
      </w:r>
      <w:r>
        <w:rPr>
          <w:color w:val="3A3838"/>
          <w:spacing w:val="-16"/>
          <w:w w:val="110"/>
          <w:sz w:val="18"/>
        </w:rPr>
        <w:t> </w:t>
      </w:r>
      <w:r>
        <w:rPr>
          <w:color w:val="3A3838"/>
          <w:w w:val="110"/>
          <w:sz w:val="18"/>
        </w:rPr>
        <w:t>case</w:t>
      </w:r>
      <w:r>
        <w:rPr>
          <w:color w:val="3A3838"/>
          <w:spacing w:val="-19"/>
          <w:w w:val="110"/>
          <w:sz w:val="18"/>
        </w:rPr>
        <w:t> </w:t>
      </w:r>
      <w:r>
        <w:rPr>
          <w:color w:val="3A3838"/>
          <w:w w:val="110"/>
          <w:sz w:val="18"/>
        </w:rPr>
        <w:t>that</w:t>
      </w:r>
      <w:r>
        <w:rPr>
          <w:color w:val="3A3838"/>
          <w:spacing w:val="-9"/>
          <w:w w:val="110"/>
          <w:sz w:val="18"/>
        </w:rPr>
        <w:t> </w:t>
      </w:r>
      <w:r>
        <w:rPr>
          <w:color w:val="3A3838"/>
          <w:w w:val="110"/>
          <w:sz w:val="18"/>
        </w:rPr>
        <w:t>your</w:t>
      </w:r>
      <w:r>
        <w:rPr>
          <w:color w:val="3A3838"/>
          <w:spacing w:val="-11"/>
          <w:w w:val="110"/>
          <w:sz w:val="18"/>
        </w:rPr>
        <w:t> </w:t>
      </w:r>
      <w:r>
        <w:rPr>
          <w:color w:val="3A3838"/>
          <w:w w:val="110"/>
          <w:sz w:val="18"/>
        </w:rPr>
        <w:t>opponent</w:t>
      </w:r>
      <w:r>
        <w:rPr>
          <w:color w:val="3A3838"/>
          <w:spacing w:val="-15"/>
          <w:w w:val="110"/>
          <w:sz w:val="18"/>
        </w:rPr>
        <w:t> </w:t>
      </w:r>
      <w:r>
        <w:rPr>
          <w:rFonts w:ascii="Arial" w:hAnsi="Arial"/>
          <w:color w:val="3A3838"/>
          <w:w w:val="110"/>
          <w:sz w:val="14"/>
        </w:rPr>
        <w:t>cites</w:t>
      </w:r>
      <w:r>
        <w:rPr>
          <w:rFonts w:ascii="Arial" w:hAnsi="Arial"/>
          <w:color w:val="3A3838"/>
          <w:spacing w:val="1"/>
          <w:w w:val="110"/>
          <w:sz w:val="14"/>
        </w:rPr>
        <w:t> </w:t>
      </w:r>
      <w:r>
        <w:rPr>
          <w:color w:val="3A3838"/>
          <w:w w:val="110"/>
          <w:sz w:val="18"/>
        </w:rPr>
        <w:t>actually</w:t>
      </w:r>
      <w:r>
        <w:rPr>
          <w:color w:val="3A3838"/>
          <w:spacing w:val="-12"/>
          <w:w w:val="110"/>
          <w:sz w:val="18"/>
        </w:rPr>
        <w:t> </w:t>
      </w:r>
      <w:r>
        <w:rPr>
          <w:color w:val="3A3838"/>
          <w:w w:val="110"/>
          <w:sz w:val="18"/>
        </w:rPr>
        <w:t>hurts</w:t>
      </w:r>
      <w:r>
        <w:rPr>
          <w:color w:val="3A3838"/>
          <w:spacing w:val="-12"/>
          <w:w w:val="110"/>
          <w:sz w:val="18"/>
        </w:rPr>
        <w:t> </w:t>
      </w:r>
      <w:r>
        <w:rPr>
          <w:color w:val="3A3838"/>
          <w:w w:val="110"/>
          <w:sz w:val="18"/>
        </w:rPr>
        <w:t>rather</w:t>
      </w:r>
      <w:r>
        <w:rPr>
          <w:color w:val="3A3838"/>
          <w:spacing w:val="-3"/>
          <w:w w:val="110"/>
          <w:sz w:val="18"/>
        </w:rPr>
        <w:t> </w:t>
      </w:r>
      <w:r>
        <w:rPr>
          <w:color w:val="3A3838"/>
          <w:w w:val="110"/>
          <w:sz w:val="18"/>
        </w:rPr>
        <w:t>than</w:t>
      </w:r>
      <w:r>
        <w:rPr>
          <w:color w:val="3A3838"/>
          <w:spacing w:val="-8"/>
          <w:w w:val="110"/>
          <w:sz w:val="18"/>
        </w:rPr>
        <w:t> </w:t>
      </w:r>
      <w:r>
        <w:rPr>
          <w:color w:val="3A3838"/>
          <w:w w:val="110"/>
          <w:sz w:val="18"/>
        </w:rPr>
        <w:t>helps</w:t>
      </w:r>
      <w:r>
        <w:rPr>
          <w:color w:val="3A3838"/>
          <w:spacing w:val="-24"/>
          <w:w w:val="110"/>
          <w:sz w:val="18"/>
        </w:rPr>
        <w:t> </w:t>
      </w:r>
      <w:r>
        <w:rPr>
          <w:color w:val="3A3838"/>
          <w:w w:val="110"/>
          <w:sz w:val="18"/>
        </w:rPr>
        <w:t>his</w:t>
      </w:r>
      <w:r>
        <w:rPr>
          <w:color w:val="3A3838"/>
          <w:spacing w:val="-21"/>
          <w:w w:val="110"/>
          <w:sz w:val="18"/>
        </w:rPr>
        <w:t> </w:t>
      </w:r>
      <w:r>
        <w:rPr>
          <w:color w:val="3A3838"/>
          <w:w w:val="110"/>
          <w:sz w:val="18"/>
        </w:rPr>
        <w:t>or</w:t>
      </w:r>
      <w:r>
        <w:rPr>
          <w:color w:val="3A3838"/>
          <w:spacing w:val="-11"/>
          <w:w w:val="110"/>
          <w:sz w:val="18"/>
        </w:rPr>
        <w:t> </w:t>
      </w:r>
      <w:r>
        <w:rPr>
          <w:color w:val="3A3838"/>
          <w:w w:val="110"/>
          <w:sz w:val="18"/>
        </w:rPr>
        <w:t>her</w:t>
      </w:r>
      <w:r>
        <w:rPr>
          <w:color w:val="3A3838"/>
          <w:spacing w:val="-14"/>
          <w:w w:val="110"/>
          <w:sz w:val="18"/>
        </w:rPr>
        <w:t> </w:t>
      </w:r>
      <w:r>
        <w:rPr>
          <w:color w:val="3A3838"/>
          <w:w w:val="110"/>
          <w:sz w:val="18"/>
        </w:rPr>
        <w:t>a</w:t>
      </w:r>
      <w:r>
        <w:rPr>
          <w:color w:val="545456"/>
          <w:w w:val="110"/>
          <w:sz w:val="18"/>
        </w:rPr>
        <w:t>r</w:t>
      </w:r>
      <w:r>
        <w:rPr>
          <w:color w:val="3A3838"/>
          <w:w w:val="110"/>
          <w:sz w:val="18"/>
        </w:rPr>
        <w:t>gument</w:t>
      </w:r>
      <w:r>
        <w:rPr>
          <w:color w:val="545456"/>
          <w:w w:val="110"/>
          <w:sz w:val="18"/>
        </w:rPr>
        <w:t>.</w:t>
      </w:r>
    </w:p>
    <w:p>
      <w:pPr>
        <w:spacing w:line="203" w:lineRule="exact" w:before="0"/>
        <w:ind w:left="499" w:right="0" w:firstLine="383"/>
        <w:jc w:val="both"/>
        <w:rPr>
          <w:sz w:val="18"/>
        </w:rPr>
      </w:pPr>
      <w:r>
        <w:rPr>
          <w:color w:val="545456"/>
          <w:w w:val="105"/>
          <w:sz w:val="18"/>
        </w:rPr>
        <w:t>s</w:t>
      </w:r>
      <w:r>
        <w:rPr>
          <w:color w:val="3A3838"/>
          <w:w w:val="105"/>
          <w:sz w:val="18"/>
        </w:rPr>
        <w:t>Of</w:t>
      </w:r>
      <w:r>
        <w:rPr>
          <w:color w:val="3A3838"/>
          <w:spacing w:val="-9"/>
          <w:w w:val="105"/>
          <w:sz w:val="18"/>
        </w:rPr>
        <w:t> </w:t>
      </w:r>
      <w:r>
        <w:rPr>
          <w:color w:val="3A3838"/>
          <w:w w:val="105"/>
          <w:sz w:val="18"/>
        </w:rPr>
        <w:t>course</w:t>
      </w:r>
      <w:r>
        <w:rPr>
          <w:color w:val="545456"/>
          <w:w w:val="105"/>
          <w:sz w:val="18"/>
        </w:rPr>
        <w:t>,</w:t>
      </w:r>
      <w:r>
        <w:rPr>
          <w:color w:val="545456"/>
          <w:spacing w:val="-5"/>
          <w:w w:val="105"/>
          <w:sz w:val="18"/>
        </w:rPr>
        <w:t> </w:t>
      </w:r>
      <w:r>
        <w:rPr>
          <w:color w:val="3A3838"/>
          <w:w w:val="105"/>
          <w:sz w:val="18"/>
        </w:rPr>
        <w:t>in</w:t>
      </w:r>
      <w:r>
        <w:rPr>
          <w:color w:val="3A3838"/>
          <w:spacing w:val="19"/>
          <w:w w:val="105"/>
          <w:sz w:val="18"/>
        </w:rPr>
        <w:t> </w:t>
      </w:r>
      <w:r>
        <w:rPr>
          <w:color w:val="3A3838"/>
          <w:w w:val="105"/>
          <w:sz w:val="18"/>
        </w:rPr>
        <w:t>Jaw</w:t>
      </w:r>
      <w:r>
        <w:rPr>
          <w:color w:val="3A3838"/>
          <w:spacing w:val="-9"/>
          <w:w w:val="105"/>
          <w:sz w:val="18"/>
        </w:rPr>
        <w:t> </w:t>
      </w:r>
      <w:r>
        <w:rPr>
          <w:color w:val="3A3838"/>
          <w:w w:val="105"/>
          <w:sz w:val="18"/>
        </w:rPr>
        <w:t>school,</w:t>
      </w:r>
      <w:r>
        <w:rPr>
          <w:color w:val="3A3838"/>
          <w:spacing w:val="-22"/>
          <w:w w:val="105"/>
          <w:sz w:val="18"/>
        </w:rPr>
        <w:t> </w:t>
      </w:r>
      <w:r>
        <w:rPr>
          <w:color w:val="3A3838"/>
          <w:w w:val="105"/>
          <w:sz w:val="18"/>
        </w:rPr>
        <w:t>an</w:t>
      </w:r>
      <w:r>
        <w:rPr>
          <w:color w:val="3A3838"/>
          <w:spacing w:val="6"/>
          <w:w w:val="105"/>
          <w:sz w:val="18"/>
        </w:rPr>
        <w:t> </w:t>
      </w:r>
      <w:r>
        <w:rPr>
          <w:color w:val="3A3838"/>
          <w:w w:val="105"/>
          <w:sz w:val="18"/>
        </w:rPr>
        <w:t>academ</w:t>
      </w:r>
      <w:r>
        <w:rPr>
          <w:color w:val="545456"/>
          <w:w w:val="105"/>
          <w:sz w:val="18"/>
        </w:rPr>
        <w:t>i</w:t>
      </w:r>
      <w:r>
        <w:rPr>
          <w:color w:val="3A3838"/>
          <w:w w:val="105"/>
          <w:sz w:val="18"/>
        </w:rPr>
        <w:t>c</w:t>
      </w:r>
      <w:r>
        <w:rPr>
          <w:color w:val="3A3838"/>
          <w:spacing w:val="-6"/>
          <w:w w:val="105"/>
          <w:sz w:val="18"/>
        </w:rPr>
        <w:t> </w:t>
      </w:r>
      <w:r>
        <w:rPr>
          <w:color w:val="3A3838"/>
          <w:w w:val="105"/>
          <w:sz w:val="18"/>
        </w:rPr>
        <w:t>honor</w:t>
      </w:r>
      <w:r>
        <w:rPr>
          <w:color w:val="3A3838"/>
          <w:spacing w:val="-9"/>
          <w:w w:val="105"/>
          <w:sz w:val="18"/>
        </w:rPr>
        <w:t> </w:t>
      </w:r>
      <w:r>
        <w:rPr>
          <w:color w:val="3A3838"/>
          <w:w w:val="105"/>
          <w:sz w:val="18"/>
        </w:rPr>
        <w:t>code</w:t>
      </w:r>
      <w:r>
        <w:rPr>
          <w:color w:val="3A3838"/>
          <w:spacing w:val="-16"/>
          <w:w w:val="105"/>
          <w:sz w:val="18"/>
        </w:rPr>
        <w:t> </w:t>
      </w:r>
      <w:r>
        <w:rPr>
          <w:color w:val="3A3838"/>
          <w:w w:val="105"/>
          <w:sz w:val="18"/>
        </w:rPr>
        <w:t>may</w:t>
      </w:r>
      <w:r>
        <w:rPr>
          <w:color w:val="3A3838"/>
          <w:spacing w:val="-19"/>
          <w:w w:val="105"/>
          <w:sz w:val="18"/>
        </w:rPr>
        <w:t> </w:t>
      </w:r>
      <w:r>
        <w:rPr>
          <w:color w:val="3A3838"/>
          <w:w w:val="105"/>
          <w:sz w:val="18"/>
        </w:rPr>
        <w:t>forbid</w:t>
      </w:r>
      <w:r>
        <w:rPr>
          <w:color w:val="3A3838"/>
          <w:spacing w:val="7"/>
          <w:w w:val="105"/>
          <w:sz w:val="18"/>
        </w:rPr>
        <w:t> </w:t>
      </w:r>
      <w:r>
        <w:rPr>
          <w:color w:val="3A3838"/>
          <w:w w:val="105"/>
          <w:sz w:val="18"/>
        </w:rPr>
        <w:t>you</w:t>
      </w:r>
      <w:r>
        <w:rPr>
          <w:color w:val="3A3838"/>
          <w:spacing w:val="-12"/>
          <w:w w:val="105"/>
          <w:sz w:val="18"/>
        </w:rPr>
        <w:t> </w:t>
      </w:r>
      <w:r>
        <w:rPr>
          <w:color w:val="3A3838"/>
          <w:w w:val="105"/>
          <w:sz w:val="18"/>
        </w:rPr>
        <w:t>to</w:t>
      </w:r>
      <w:r>
        <w:rPr>
          <w:color w:val="3A3838"/>
          <w:spacing w:val="3"/>
          <w:w w:val="105"/>
          <w:sz w:val="18"/>
        </w:rPr>
        <w:t> </w:t>
      </w:r>
      <w:r>
        <w:rPr>
          <w:color w:val="3A3838"/>
          <w:w w:val="105"/>
          <w:sz w:val="18"/>
        </w:rPr>
        <w:t>con</w:t>
      </w:r>
      <w:r>
        <w:rPr>
          <w:color w:val="545456"/>
          <w:w w:val="105"/>
          <w:sz w:val="18"/>
        </w:rPr>
        <w:t>s</w:t>
      </w:r>
      <w:r>
        <w:rPr>
          <w:color w:val="3A3838"/>
          <w:w w:val="105"/>
          <w:sz w:val="18"/>
        </w:rPr>
        <w:t>ult</w:t>
      </w:r>
      <w:r>
        <w:rPr>
          <w:color w:val="3A3838"/>
          <w:spacing w:val="-1"/>
          <w:w w:val="105"/>
          <w:sz w:val="18"/>
        </w:rPr>
        <w:t> </w:t>
      </w:r>
      <w:r>
        <w:rPr>
          <w:color w:val="3A3838"/>
          <w:w w:val="105"/>
          <w:sz w:val="18"/>
        </w:rPr>
        <w:t>attorney</w:t>
      </w:r>
      <w:r>
        <w:rPr>
          <w:color w:val="3A3838"/>
          <w:spacing w:val="-13"/>
          <w:w w:val="105"/>
          <w:sz w:val="18"/>
        </w:rPr>
        <w:t> </w:t>
      </w:r>
      <w:r>
        <w:rPr>
          <w:color w:val="3A3838"/>
          <w:w w:val="105"/>
          <w:sz w:val="18"/>
        </w:rPr>
        <w:t>b</w:t>
      </w:r>
      <w:r>
        <w:rPr>
          <w:color w:val="545456"/>
          <w:w w:val="105"/>
          <w:sz w:val="18"/>
        </w:rPr>
        <w:t>rl</w:t>
      </w:r>
      <w:r>
        <w:rPr>
          <w:color w:val="3A3838"/>
          <w:w w:val="105"/>
          <w:sz w:val="18"/>
        </w:rPr>
        <w:t>efs</w:t>
      </w:r>
    </w:p>
    <w:p>
      <w:pPr>
        <w:spacing w:line="180" w:lineRule="auto" w:before="27"/>
        <w:ind w:left="505" w:right="98" w:hanging="7"/>
        <w:jc w:val="both"/>
        <w:rPr>
          <w:sz w:val="18"/>
        </w:rPr>
      </w:pPr>
      <w:r>
        <w:rPr>
          <w:color w:val="3A3838"/>
          <w:spacing w:val="-1"/>
          <w:w w:val="105"/>
          <w:sz w:val="18"/>
        </w:rPr>
        <w:t>or</w:t>
      </w:r>
      <w:r>
        <w:rPr>
          <w:color w:val="3A3838"/>
          <w:w w:val="105"/>
          <w:sz w:val="18"/>
        </w:rPr>
        <w:t> </w:t>
      </w:r>
      <w:r>
        <w:rPr>
          <w:color w:val="3A3838"/>
          <w:spacing w:val="-1"/>
          <w:w w:val="105"/>
          <w:sz w:val="18"/>
        </w:rPr>
        <w:t>to use them without citing th</w:t>
      </w:r>
      <w:r>
        <w:rPr>
          <w:color w:val="545456"/>
          <w:spacing w:val="-1"/>
          <w:w w:val="105"/>
          <w:sz w:val="18"/>
        </w:rPr>
        <w:t>e</w:t>
      </w:r>
      <w:r>
        <w:rPr>
          <w:color w:val="3A3838"/>
          <w:spacing w:val="-1"/>
          <w:w w:val="105"/>
          <w:sz w:val="18"/>
        </w:rPr>
        <w:t>m </w:t>
      </w:r>
      <w:r>
        <w:rPr>
          <w:color w:val="3A3838"/>
          <w:w w:val="105"/>
          <w:sz w:val="18"/>
        </w:rPr>
        <w:t>as the source of your analysis. Even If It were permissible </w:t>
      </w:r>
      <w:r>
        <w:rPr>
          <w:color w:val="3A3838"/>
          <w:w w:val="105"/>
          <w:position w:val="-4"/>
          <w:sz w:val="18"/>
        </w:rPr>
        <w:t>1</w:t>
      </w:r>
      <w:r>
        <w:rPr>
          <w:color w:val="3A3838"/>
          <w:spacing w:val="1"/>
          <w:w w:val="105"/>
          <w:position w:val="-4"/>
          <w:sz w:val="18"/>
        </w:rPr>
        <w:t> </w:t>
      </w:r>
      <w:r>
        <w:rPr>
          <w:color w:val="3A3838"/>
          <w:w w:val="105"/>
          <w:sz w:val="18"/>
        </w:rPr>
        <w:t>use</w:t>
      </w:r>
      <w:r>
        <w:rPr>
          <w:color w:val="3A3838"/>
          <w:spacing w:val="-11"/>
          <w:w w:val="105"/>
          <w:sz w:val="18"/>
        </w:rPr>
        <w:t> </w:t>
      </w:r>
      <w:r>
        <w:rPr>
          <w:color w:val="3A3838"/>
          <w:w w:val="105"/>
          <w:sz w:val="18"/>
        </w:rPr>
        <w:t>them</w:t>
      </w:r>
      <w:r>
        <w:rPr>
          <w:color w:val="3A3838"/>
          <w:spacing w:val="-2"/>
          <w:w w:val="105"/>
          <w:sz w:val="18"/>
        </w:rPr>
        <w:t> </w:t>
      </w:r>
      <w:r>
        <w:rPr>
          <w:color w:val="3A3838"/>
          <w:w w:val="105"/>
          <w:sz w:val="18"/>
        </w:rPr>
        <w:t>without</w:t>
      </w:r>
      <w:r>
        <w:rPr>
          <w:color w:val="3A3838"/>
          <w:spacing w:val="-8"/>
          <w:w w:val="105"/>
          <w:sz w:val="18"/>
        </w:rPr>
        <w:t> </w:t>
      </w:r>
      <w:r>
        <w:rPr>
          <w:color w:val="3A3838"/>
          <w:w w:val="105"/>
          <w:sz w:val="18"/>
        </w:rPr>
        <w:t>citation</w:t>
      </w:r>
      <w:r>
        <w:rPr>
          <w:color w:val="545456"/>
          <w:w w:val="105"/>
          <w:sz w:val="18"/>
        </w:rPr>
        <w:t>,</w:t>
      </w:r>
      <w:r>
        <w:rPr>
          <w:color w:val="545456"/>
          <w:spacing w:val="-3"/>
          <w:w w:val="105"/>
          <w:sz w:val="18"/>
        </w:rPr>
        <w:t> </w:t>
      </w:r>
      <w:r>
        <w:rPr>
          <w:color w:val="3A3838"/>
          <w:w w:val="105"/>
          <w:sz w:val="18"/>
        </w:rPr>
        <w:t>how</w:t>
      </w:r>
      <w:r>
        <w:rPr>
          <w:color w:val="545456"/>
          <w:w w:val="105"/>
          <w:sz w:val="18"/>
        </w:rPr>
        <w:t>e</w:t>
      </w:r>
      <w:r>
        <w:rPr>
          <w:color w:val="3A3838"/>
          <w:w w:val="105"/>
          <w:sz w:val="18"/>
        </w:rPr>
        <w:t>ver</w:t>
      </w:r>
      <w:r>
        <w:rPr>
          <w:color w:val="545456"/>
          <w:w w:val="105"/>
          <w:sz w:val="18"/>
        </w:rPr>
        <w:t>,</w:t>
      </w:r>
      <w:r>
        <w:rPr>
          <w:color w:val="545456"/>
          <w:spacing w:val="8"/>
          <w:w w:val="105"/>
          <w:sz w:val="18"/>
        </w:rPr>
        <w:t> </w:t>
      </w:r>
      <w:r>
        <w:rPr>
          <w:color w:val="3A3838"/>
          <w:w w:val="105"/>
          <w:sz w:val="18"/>
        </w:rPr>
        <w:t>you</w:t>
      </w:r>
      <w:r>
        <w:rPr>
          <w:color w:val="3A3838"/>
          <w:spacing w:val="-21"/>
          <w:w w:val="105"/>
          <w:sz w:val="18"/>
        </w:rPr>
        <w:t> </w:t>
      </w:r>
      <w:r>
        <w:rPr>
          <w:color w:val="3A3838"/>
          <w:w w:val="105"/>
          <w:sz w:val="18"/>
        </w:rPr>
        <w:t>should</w:t>
      </w:r>
      <w:r>
        <w:rPr>
          <w:color w:val="3A3838"/>
          <w:spacing w:val="2"/>
          <w:w w:val="105"/>
          <w:sz w:val="18"/>
        </w:rPr>
        <w:t> </w:t>
      </w:r>
      <w:r>
        <w:rPr>
          <w:color w:val="3A3838"/>
          <w:w w:val="105"/>
          <w:sz w:val="18"/>
        </w:rPr>
        <w:t>not</w:t>
      </w:r>
      <w:r>
        <w:rPr>
          <w:color w:val="3A3838"/>
          <w:spacing w:val="12"/>
          <w:w w:val="105"/>
          <w:sz w:val="18"/>
        </w:rPr>
        <w:t> </w:t>
      </w:r>
      <w:r>
        <w:rPr>
          <w:color w:val="3A3838"/>
          <w:w w:val="105"/>
          <w:sz w:val="18"/>
        </w:rPr>
        <w:t>rely</w:t>
      </w:r>
      <w:r>
        <w:rPr>
          <w:color w:val="3A3838"/>
          <w:spacing w:val="-18"/>
          <w:w w:val="105"/>
          <w:sz w:val="18"/>
        </w:rPr>
        <w:t> </w:t>
      </w:r>
      <w:r>
        <w:rPr>
          <w:color w:val="3A3838"/>
          <w:w w:val="105"/>
          <w:sz w:val="18"/>
        </w:rPr>
        <w:t>on</w:t>
      </w:r>
      <w:r>
        <w:rPr>
          <w:color w:val="3A3838"/>
          <w:spacing w:val="34"/>
          <w:w w:val="105"/>
          <w:sz w:val="18"/>
        </w:rPr>
        <w:t> </w:t>
      </w:r>
      <w:r>
        <w:rPr>
          <w:color w:val="3A3838"/>
          <w:w w:val="105"/>
          <w:sz w:val="18"/>
        </w:rPr>
        <w:t>their</w:t>
      </w:r>
      <w:r>
        <w:rPr>
          <w:color w:val="3A3838"/>
          <w:spacing w:val="-11"/>
          <w:w w:val="105"/>
          <w:sz w:val="18"/>
        </w:rPr>
        <w:t> </w:t>
      </w:r>
      <w:r>
        <w:rPr>
          <w:color w:val="3A3838"/>
          <w:w w:val="105"/>
          <w:sz w:val="18"/>
        </w:rPr>
        <w:t>validity</w:t>
      </w:r>
      <w:r>
        <w:rPr>
          <w:color w:val="545456"/>
          <w:w w:val="105"/>
          <w:sz w:val="18"/>
        </w:rPr>
        <w:t>.</w:t>
      </w:r>
    </w:p>
    <w:p>
      <w:pPr>
        <w:spacing w:after="0" w:line="180" w:lineRule="auto"/>
        <w:jc w:val="both"/>
        <w:rPr>
          <w:sz w:val="18"/>
        </w:rPr>
        <w:sectPr>
          <w:pgSz w:w="9150" w:h="13790"/>
          <w:pgMar w:header="361" w:footer="0" w:top="940" w:bottom="0" w:left="12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35" w:lineRule="auto"/>
        <w:ind w:left="111" w:right="246"/>
        <w:jc w:val="both"/>
      </w:pPr>
      <w:r>
        <w:rPr>
          <w:color w:val="3A3838"/>
          <w:w w:val="110"/>
        </w:rPr>
        <w:t>authority. One reason that this happens is that every paragraph of a case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looks the same on a computer screen; if a hotlink or a search term jump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takes you to the middle of an opinion, you have no way of immediately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telling from that paragraph if you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are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reading a majority opinion, a con­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currence, or a dissent.</w:t>
      </w:r>
      <w:r>
        <w:rPr>
          <w:rFonts w:ascii="Arial" w:hAnsi="Arial"/>
          <w:color w:val="3A3838"/>
          <w:w w:val="115"/>
          <w:position w:val="10"/>
          <w:sz w:val="12"/>
        </w:rPr>
        <w:t>6 </w:t>
      </w:r>
      <w:r>
        <w:rPr>
          <w:color w:val="3A3838"/>
          <w:w w:val="115"/>
          <w:sz w:val="22"/>
        </w:rPr>
        <w:t>If </w:t>
      </w:r>
      <w:r>
        <w:rPr>
          <w:color w:val="3A3838"/>
          <w:w w:val="115"/>
        </w:rPr>
        <w:t>you don't take the time to discern the </w:t>
      </w:r>
      <w:r>
        <w:rPr>
          <w:color w:val="2A2828"/>
          <w:w w:val="115"/>
        </w:rPr>
        <w:t>relevant</w:t>
      </w:r>
      <w:r>
        <w:rPr>
          <w:color w:val="2A2828"/>
          <w:spacing w:val="1"/>
          <w:w w:val="115"/>
        </w:rPr>
        <w:t> </w:t>
      </w:r>
      <w:r>
        <w:rPr>
          <w:color w:val="3A3838"/>
          <w:w w:val="110"/>
        </w:rPr>
        <w:t>issue, disposition, facts, and reasoning, you may not discover that you are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reading</w:t>
      </w:r>
      <w:r>
        <w:rPr>
          <w:color w:val="3A3838"/>
          <w:spacing w:val="-11"/>
          <w:w w:val="115"/>
        </w:rPr>
        <w:t> </w:t>
      </w:r>
      <w:r>
        <w:rPr>
          <w:color w:val="3A3838"/>
          <w:w w:val="115"/>
        </w:rPr>
        <w:t>something</w:t>
      </w:r>
      <w:r>
        <w:rPr>
          <w:color w:val="3A3838"/>
          <w:spacing w:val="-12"/>
          <w:w w:val="115"/>
        </w:rPr>
        <w:t> </w:t>
      </w:r>
      <w:r>
        <w:rPr>
          <w:color w:val="3A3838"/>
          <w:w w:val="115"/>
        </w:rPr>
        <w:t>other</w:t>
      </w:r>
      <w:r>
        <w:rPr>
          <w:color w:val="3A3838"/>
          <w:spacing w:val="-13"/>
          <w:w w:val="115"/>
        </w:rPr>
        <w:t> </w:t>
      </w:r>
      <w:r>
        <w:rPr>
          <w:color w:val="3A3838"/>
          <w:w w:val="115"/>
        </w:rPr>
        <w:t>than</w:t>
      </w:r>
      <w:r>
        <w:rPr>
          <w:color w:val="3A3838"/>
          <w:spacing w:val="-6"/>
          <w:w w:val="115"/>
        </w:rPr>
        <w:t> </w:t>
      </w:r>
      <w:r>
        <w:rPr>
          <w:color w:val="3A3838"/>
          <w:w w:val="115"/>
        </w:rPr>
        <w:t>the</w:t>
      </w:r>
      <w:r>
        <w:rPr>
          <w:color w:val="3A3838"/>
          <w:spacing w:val="-7"/>
          <w:w w:val="115"/>
        </w:rPr>
        <w:t> </w:t>
      </w:r>
      <w:r>
        <w:rPr>
          <w:color w:val="3A3838"/>
          <w:w w:val="115"/>
        </w:rPr>
        <w:t>majority</w:t>
      </w:r>
      <w:r>
        <w:rPr>
          <w:color w:val="3A3838"/>
          <w:spacing w:val="-12"/>
          <w:w w:val="115"/>
        </w:rPr>
        <w:t> </w:t>
      </w:r>
      <w:r>
        <w:rPr>
          <w:color w:val="3A3838"/>
          <w:w w:val="115"/>
        </w:rPr>
        <w:t>opinion.</w:t>
      </w:r>
    </w:p>
    <w:p>
      <w:pPr>
        <w:pStyle w:val="BodyText"/>
        <w:spacing w:line="232" w:lineRule="auto"/>
        <w:ind w:left="105" w:right="221" w:firstLine="354"/>
        <w:jc w:val="both"/>
      </w:pPr>
      <w:r>
        <w:rPr>
          <w:color w:val="3A3838"/>
          <w:w w:val="110"/>
        </w:rPr>
        <w:t>The second way that writers may negligently misrepresent  the  </w:t>
      </w:r>
      <w:r>
        <w:rPr>
          <w:color w:val="2A2828"/>
          <w:w w:val="110"/>
        </w:rPr>
        <w:t>law </w:t>
      </w:r>
      <w:r>
        <w:rPr>
          <w:color w:val="3A3838"/>
          <w:w w:val="110"/>
        </w:rPr>
        <w:t>is</w:t>
      </w:r>
      <w:r>
        <w:rPr>
          <w:color w:val="3A3838"/>
          <w:spacing w:val="1"/>
          <w:w w:val="110"/>
        </w:rPr>
        <w:t> </w:t>
      </w:r>
      <w:r>
        <w:rPr>
          <w:rFonts w:ascii="Arial" w:hAnsi="Arial"/>
          <w:color w:val="3A3838"/>
          <w:w w:val="110"/>
          <w:sz w:val="22"/>
        </w:rPr>
        <w:t>by </w:t>
      </w:r>
      <w:r>
        <w:rPr>
          <w:color w:val="3A3838"/>
          <w:w w:val="110"/>
        </w:rPr>
        <w:t>failing to distinguish dicta from holdings, especially in  what </w:t>
      </w:r>
      <w:r>
        <w:rPr>
          <w:color w:val="2A2828"/>
          <w:w w:val="110"/>
        </w:rPr>
        <w:t>I </w:t>
      </w:r>
      <w:r>
        <w:rPr>
          <w:color w:val="3A3838"/>
          <w:w w:val="110"/>
        </w:rPr>
        <w:t>refer to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as </w:t>
      </w:r>
      <w:r>
        <w:rPr>
          <w:rFonts w:ascii="Arial" w:hAnsi="Arial"/>
          <w:i/>
          <w:color w:val="3A3838"/>
          <w:w w:val="110"/>
          <w:sz w:val="19"/>
        </w:rPr>
        <w:t>kickback cases. </w:t>
      </w:r>
      <w:r>
        <w:rPr>
          <w:color w:val="3A3838"/>
          <w:w w:val="110"/>
        </w:rPr>
        <w:t>A kickback case is a case that comes to a court of appeals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after the trial court has granted a motion to dismiss or a motion for sum­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0"/>
        </w:rPr>
        <w:t>mary judgment. If the</w:t>
      </w:r>
      <w:r>
        <w:rPr>
          <w:color w:val="3A3838"/>
          <w:w w:val="110"/>
        </w:rPr>
        <w:t> </w:t>
      </w:r>
      <w:r>
        <w:rPr>
          <w:color w:val="3A3838"/>
          <w:spacing w:val="-1"/>
          <w:w w:val="110"/>
        </w:rPr>
        <w:t>court of appeals </w:t>
      </w:r>
      <w:r>
        <w:rPr>
          <w:color w:val="3A3838"/>
          <w:w w:val="110"/>
        </w:rPr>
        <w:t>reverses and  remands the decision,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it in essence "kicks it back" to </w:t>
      </w:r>
      <w:r>
        <w:rPr>
          <w:color w:val="2A2828"/>
          <w:w w:val="110"/>
        </w:rPr>
        <w:t>the </w:t>
      </w:r>
      <w:r>
        <w:rPr>
          <w:color w:val="3A3838"/>
          <w:w w:val="110"/>
        </w:rPr>
        <w:t>court below. But a decision to reverse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and  remand does </w:t>
      </w:r>
      <w:r>
        <w:rPr>
          <w:color w:val="2A2828"/>
          <w:w w:val="110"/>
        </w:rPr>
        <w:t>not  </w:t>
      </w:r>
      <w:r>
        <w:rPr>
          <w:color w:val="3A3838"/>
          <w:w w:val="110"/>
        </w:rPr>
        <w:t>necessarily mean that the court made any  </w:t>
      </w:r>
      <w:r>
        <w:rPr>
          <w:i/>
          <w:color w:val="3A3838"/>
          <w:w w:val="110"/>
          <w:sz w:val="24"/>
        </w:rPr>
        <w:t>findings</w:t>
      </w:r>
      <w:r>
        <w:rPr>
          <w:i/>
          <w:color w:val="3A3838"/>
          <w:spacing w:val="1"/>
          <w:w w:val="110"/>
          <w:sz w:val="24"/>
        </w:rPr>
        <w:t> </w:t>
      </w:r>
      <w:r>
        <w:rPr>
          <w:color w:val="2A2828"/>
          <w:w w:val="110"/>
        </w:rPr>
        <w:t>as </w:t>
      </w:r>
      <w:r>
        <w:rPr>
          <w:color w:val="3A3838"/>
          <w:w w:val="110"/>
        </w:rPr>
        <w:t>to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merits regarding how the law applies to the facts. In </w:t>
      </w:r>
      <w:r>
        <w:rPr>
          <w:color w:val="2A2828"/>
          <w:w w:val="110"/>
        </w:rPr>
        <w:t>reversing </w:t>
      </w:r>
      <w:r>
        <w:rPr>
          <w:color w:val="3A3838"/>
          <w:w w:val="110"/>
        </w:rPr>
        <w:t>a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grant of a motion for summary judgment, the court may be doing no more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than finding that a dispute exists as to  the  material facts. When  reversing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 grant of a motion to dismiss, the court is merely finding that the plead­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ings were sufficient to state a claim, not that the pleadings were true or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that the plaintiff  will necessarily succeed in  his or  her cause of action. </w:t>
      </w:r>
      <w:r>
        <w:rPr>
          <w:color w:val="3A3838"/>
          <w:w w:val="110"/>
          <w:sz w:val="22"/>
        </w:rPr>
        <w:t>It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15"/>
        </w:rPr>
        <w:t>is particularly important to remember that the standard of review for a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motion to dismiss requires a court </w:t>
      </w:r>
      <w:r>
        <w:rPr>
          <w:color w:val="2A2828"/>
          <w:w w:val="115"/>
        </w:rPr>
        <w:t>to </w:t>
      </w:r>
      <w:r>
        <w:rPr>
          <w:color w:val="3A3838"/>
          <w:w w:val="115"/>
        </w:rPr>
        <w:t>presume that a complaint's factual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allegations are true. This presumption does </w:t>
      </w:r>
      <w:r>
        <w:rPr>
          <w:i/>
          <w:color w:val="3A3838"/>
          <w:w w:val="115"/>
          <w:sz w:val="24"/>
        </w:rPr>
        <w:t>not </w:t>
      </w:r>
      <w:r>
        <w:rPr>
          <w:color w:val="3A3838"/>
          <w:w w:val="115"/>
        </w:rPr>
        <w:t>mean, however, that the</w:t>
      </w:r>
      <w:r>
        <w:rPr>
          <w:color w:val="3A3838"/>
          <w:spacing w:val="-64"/>
          <w:w w:val="115"/>
        </w:rPr>
        <w:t> </w:t>
      </w:r>
      <w:r>
        <w:rPr>
          <w:color w:val="2A2828"/>
          <w:w w:val="110"/>
        </w:rPr>
        <w:t>allegations </w:t>
      </w:r>
      <w:r>
        <w:rPr>
          <w:color w:val="3A3838"/>
          <w:w w:val="110"/>
        </w:rPr>
        <w:t>are in fact true or that the plaintiff will be able to establish at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trial</w:t>
      </w:r>
      <w:r>
        <w:rPr>
          <w:color w:val="3A3838"/>
          <w:spacing w:val="-7"/>
          <w:w w:val="115"/>
        </w:rPr>
        <w:t> </w:t>
      </w:r>
      <w:r>
        <w:rPr>
          <w:color w:val="3A3838"/>
          <w:w w:val="115"/>
        </w:rPr>
        <w:t>that</w:t>
      </w:r>
      <w:r>
        <w:rPr>
          <w:color w:val="3A3838"/>
          <w:spacing w:val="-3"/>
          <w:w w:val="115"/>
        </w:rPr>
        <w:t> </w:t>
      </w:r>
      <w:r>
        <w:rPr>
          <w:color w:val="3A3838"/>
          <w:w w:val="115"/>
        </w:rPr>
        <w:t>they</w:t>
      </w:r>
      <w:r>
        <w:rPr>
          <w:color w:val="3A3838"/>
          <w:spacing w:val="-20"/>
          <w:w w:val="115"/>
        </w:rPr>
        <w:t> </w:t>
      </w:r>
      <w:r>
        <w:rPr>
          <w:color w:val="3A3838"/>
          <w:w w:val="115"/>
        </w:rPr>
        <w:t>are</w:t>
      </w:r>
      <w:r>
        <w:rPr>
          <w:color w:val="3A3838"/>
          <w:spacing w:val="-17"/>
          <w:w w:val="115"/>
        </w:rPr>
        <w:t> </w:t>
      </w:r>
      <w:r>
        <w:rPr>
          <w:color w:val="3A3838"/>
          <w:w w:val="115"/>
        </w:rPr>
        <w:t>true.</w:t>
      </w:r>
    </w:p>
    <w:p>
      <w:pPr>
        <w:pStyle w:val="BodyText"/>
        <w:spacing w:line="232" w:lineRule="auto" w:before="2"/>
        <w:ind w:left="127" w:right="163" w:firstLine="354"/>
        <w:jc w:val="both"/>
      </w:pPr>
      <w:r>
        <w:rPr>
          <w:color w:val="3A3838"/>
          <w:w w:val="110"/>
        </w:rPr>
        <w:t>For example, in a 1991 case/ the plaintiffs had alleged that police offi­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cers had owed a duty to protect a man made helpless by drunkenness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when they interfered with acquaintances who were helping the intoxi­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cated man. These acquaintances left the scene when the officers took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control of the situation, the complaint alleged, and the man </w:t>
      </w:r>
      <w:r>
        <w:rPr>
          <w:color w:val="2A2828"/>
          <w:w w:val="115"/>
        </w:rPr>
        <w:t>later fell </w:t>
      </w:r>
      <w:r>
        <w:rPr>
          <w:color w:val="3A3838"/>
          <w:w w:val="115"/>
        </w:rPr>
        <w:t>to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his death after the officers ordered him to walk home alone</w:t>
      </w:r>
      <w:r>
        <w:rPr>
          <w:color w:val="575659"/>
          <w:w w:val="110"/>
        </w:rPr>
        <w:t>. </w:t>
      </w:r>
      <w:r>
        <w:rPr>
          <w:color w:val="3A3838"/>
          <w:w w:val="110"/>
        </w:rPr>
        <w:t>In granting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(and affirming the granting of) defendants' mot</w:t>
      </w:r>
      <w:r>
        <w:rPr>
          <w:color w:val="575659"/>
          <w:w w:val="115"/>
        </w:rPr>
        <w:t>i</w:t>
      </w:r>
      <w:r>
        <w:rPr>
          <w:color w:val="3A3838"/>
          <w:w w:val="115"/>
        </w:rPr>
        <w:t>on to dismiss, the trial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court and  the court of appeals found that the defendants owed </w:t>
      </w:r>
      <w:r>
        <w:rPr>
          <w:color w:val="2A2828"/>
          <w:w w:val="115"/>
        </w:rPr>
        <w:t>no  </w:t>
      </w:r>
      <w:r>
        <w:rPr>
          <w:color w:val="3A3838"/>
          <w:w w:val="115"/>
        </w:rPr>
        <w:t>duty</w:t>
      </w:r>
      <w:r>
        <w:rPr>
          <w:color w:val="3A3838"/>
          <w:spacing w:val="1"/>
          <w:w w:val="115"/>
        </w:rPr>
        <w:t> </w:t>
      </w:r>
      <w:r>
        <w:rPr>
          <w:color w:val="3A3838"/>
          <w:spacing w:val="-1"/>
          <w:w w:val="115"/>
        </w:rPr>
        <w:t>to</w:t>
      </w:r>
      <w:r>
        <w:rPr>
          <w:color w:val="3A3838"/>
          <w:spacing w:val="-33"/>
          <w:w w:val="115"/>
        </w:rPr>
        <w:t> </w:t>
      </w:r>
      <w:r>
        <w:rPr>
          <w:color w:val="3A3838"/>
          <w:spacing w:val="-1"/>
          <w:w w:val="115"/>
        </w:rPr>
        <w:t>the</w:t>
      </w:r>
      <w:r>
        <w:rPr>
          <w:color w:val="3A3838"/>
          <w:spacing w:val="-18"/>
          <w:w w:val="115"/>
        </w:rPr>
        <w:t> </w:t>
      </w:r>
      <w:r>
        <w:rPr>
          <w:color w:val="3A3838"/>
          <w:spacing w:val="-1"/>
          <w:w w:val="115"/>
        </w:rPr>
        <w:t>plaintiff's</w:t>
      </w:r>
      <w:r>
        <w:rPr>
          <w:color w:val="3A3838"/>
          <w:spacing w:val="-16"/>
          <w:w w:val="115"/>
        </w:rPr>
        <w:t> </w:t>
      </w:r>
      <w:r>
        <w:rPr>
          <w:color w:val="3A3838"/>
          <w:spacing w:val="-1"/>
          <w:w w:val="115"/>
        </w:rPr>
        <w:t>decedent</w:t>
      </w:r>
      <w:r>
        <w:rPr>
          <w:color w:val="3A3838"/>
          <w:spacing w:val="-7"/>
          <w:w w:val="115"/>
        </w:rPr>
        <w:t> </w:t>
      </w:r>
      <w:r>
        <w:rPr>
          <w:color w:val="3A3838"/>
          <w:w w:val="115"/>
        </w:rPr>
        <w:t>under</w:t>
      </w:r>
      <w:r>
        <w:rPr>
          <w:color w:val="3A3838"/>
          <w:spacing w:val="-8"/>
          <w:w w:val="115"/>
        </w:rPr>
        <w:t> </w:t>
      </w:r>
      <w:r>
        <w:rPr>
          <w:color w:val="3A3838"/>
          <w:w w:val="115"/>
        </w:rPr>
        <w:t>the</w:t>
      </w:r>
      <w:r>
        <w:rPr>
          <w:color w:val="3A3838"/>
          <w:spacing w:val="3"/>
          <w:w w:val="115"/>
        </w:rPr>
        <w:t> </w:t>
      </w:r>
      <w:r>
        <w:rPr>
          <w:color w:val="3A3838"/>
          <w:w w:val="115"/>
        </w:rPr>
        <w:t>facts</w:t>
      </w:r>
      <w:r>
        <w:rPr>
          <w:color w:val="3A3838"/>
          <w:spacing w:val="-28"/>
          <w:w w:val="115"/>
        </w:rPr>
        <w:t> </w:t>
      </w:r>
      <w:r>
        <w:rPr>
          <w:color w:val="3A3838"/>
          <w:w w:val="115"/>
        </w:rPr>
        <w:t>alleged.</w:t>
      </w:r>
      <w:r>
        <w:rPr>
          <w:color w:val="3A3838"/>
          <w:spacing w:val="-19"/>
          <w:w w:val="115"/>
        </w:rPr>
        <w:t> </w:t>
      </w:r>
      <w:r>
        <w:rPr>
          <w:color w:val="3A3838"/>
          <w:w w:val="115"/>
        </w:rPr>
        <w:t>The</w:t>
      </w:r>
      <w:r>
        <w:rPr>
          <w:color w:val="3A3838"/>
          <w:spacing w:val="-6"/>
          <w:w w:val="115"/>
        </w:rPr>
        <w:t> </w:t>
      </w:r>
      <w:r>
        <w:rPr>
          <w:color w:val="3A3838"/>
          <w:w w:val="115"/>
        </w:rPr>
        <w:t>state</w:t>
      </w:r>
      <w:r>
        <w:rPr>
          <w:color w:val="3A3838"/>
          <w:spacing w:val="-21"/>
          <w:w w:val="115"/>
        </w:rPr>
        <w:t> </w:t>
      </w:r>
      <w:r>
        <w:rPr>
          <w:color w:val="3A3838"/>
          <w:w w:val="115"/>
        </w:rPr>
        <w:t>supreme</w:t>
      </w:r>
      <w:r>
        <w:rPr>
          <w:color w:val="3A3838"/>
          <w:spacing w:val="-19"/>
          <w:w w:val="115"/>
        </w:rPr>
        <w:t> </w:t>
      </w:r>
      <w:r>
        <w:rPr>
          <w:color w:val="3A3838"/>
          <w:w w:val="115"/>
        </w:rPr>
        <w:t>court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reversed the decision, noting that the Restatement of Torts provides that</w:t>
      </w:r>
      <w:r>
        <w:rPr>
          <w:color w:val="3A3838"/>
          <w:spacing w:val="-64"/>
          <w:w w:val="115"/>
        </w:rPr>
        <w:t> </w:t>
      </w:r>
      <w:r>
        <w:rPr>
          <w:color w:val="3A3838"/>
          <w:w w:val="115"/>
        </w:rPr>
        <w:t>a person owes a helpless person a duty of care when he or she "takes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charge" of that person and then leaves the person in a worse situation.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Accordingly,</w:t>
      </w:r>
      <w:r>
        <w:rPr>
          <w:color w:val="3A3838"/>
          <w:spacing w:val="8"/>
          <w:w w:val="115"/>
        </w:rPr>
        <w:t> </w:t>
      </w:r>
      <w:r>
        <w:rPr>
          <w:color w:val="3A3838"/>
          <w:w w:val="115"/>
        </w:rPr>
        <w:t>the</w:t>
      </w:r>
      <w:r>
        <w:rPr>
          <w:color w:val="3A3838"/>
          <w:spacing w:val="25"/>
          <w:w w:val="115"/>
        </w:rPr>
        <w:t> </w:t>
      </w:r>
      <w:r>
        <w:rPr>
          <w:color w:val="3A3838"/>
          <w:w w:val="115"/>
        </w:rPr>
        <w:t>court</w:t>
      </w:r>
      <w:r>
        <w:rPr>
          <w:color w:val="3A3838"/>
          <w:spacing w:val="-8"/>
          <w:w w:val="115"/>
        </w:rPr>
        <w:t> </w:t>
      </w:r>
      <w:r>
        <w:rPr>
          <w:color w:val="3A3838"/>
          <w:w w:val="115"/>
        </w:rPr>
        <w:t>reversed</w:t>
      </w:r>
      <w:r>
        <w:rPr>
          <w:color w:val="3A3838"/>
          <w:spacing w:val="-4"/>
          <w:w w:val="115"/>
        </w:rPr>
        <w:t> </w:t>
      </w:r>
      <w:r>
        <w:rPr>
          <w:color w:val="3A3838"/>
          <w:w w:val="115"/>
        </w:rPr>
        <w:t>the</w:t>
      </w:r>
      <w:r>
        <w:rPr>
          <w:color w:val="3A3838"/>
          <w:spacing w:val="19"/>
          <w:w w:val="115"/>
        </w:rPr>
        <w:t> </w:t>
      </w:r>
      <w:r>
        <w:rPr>
          <w:color w:val="3A3838"/>
          <w:w w:val="115"/>
        </w:rPr>
        <w:t>decision</w:t>
      </w:r>
      <w:r>
        <w:rPr>
          <w:color w:val="3A3838"/>
          <w:spacing w:val="-3"/>
          <w:w w:val="115"/>
        </w:rPr>
        <w:t> </w:t>
      </w:r>
      <w:r>
        <w:rPr>
          <w:color w:val="3A3838"/>
          <w:w w:val="115"/>
        </w:rPr>
        <w:t>below.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28" w:lineRule="auto" w:before="218"/>
        <w:ind w:left="129" w:right="113" w:firstLine="361"/>
        <w:jc w:val="both"/>
        <w:rPr>
          <w:sz w:val="18"/>
        </w:rPr>
      </w:pPr>
      <w:r>
        <w:rPr>
          <w:rFonts w:ascii="Arial"/>
          <w:color w:val="3A3838"/>
          <w:w w:val="110"/>
          <w:sz w:val="18"/>
          <w:vertAlign w:val="superscript"/>
        </w:rPr>
        <w:t>6</w:t>
      </w:r>
      <w:r>
        <w:rPr>
          <w:color w:val="3A3838"/>
          <w:w w:val="110"/>
          <w:sz w:val="18"/>
          <w:vertAlign w:val="baseline"/>
        </w:rPr>
        <w:t>As of this writing</w:t>
      </w:r>
      <w:r>
        <w:rPr>
          <w:color w:val="575659"/>
          <w:w w:val="110"/>
          <w:sz w:val="18"/>
          <w:vertAlign w:val="baseline"/>
        </w:rPr>
        <w:t>, </w:t>
      </w:r>
      <w:r>
        <w:rPr>
          <w:color w:val="3A3838"/>
          <w:w w:val="110"/>
          <w:sz w:val="18"/>
          <w:vertAlign w:val="baseline"/>
        </w:rPr>
        <w:t>no computer databases use color, shading, or another graphi</w:t>
      </w:r>
      <w:r>
        <w:rPr>
          <w:color w:val="575659"/>
          <w:w w:val="110"/>
          <w:sz w:val="18"/>
          <w:vertAlign w:val="baseline"/>
        </w:rPr>
        <w:t>c </w:t>
      </w:r>
      <w:r>
        <w:rPr>
          <w:color w:val="3A3838"/>
          <w:w w:val="110"/>
          <w:sz w:val="18"/>
          <w:vertAlign w:val="baseline"/>
        </w:rPr>
        <w:t>means to</w:t>
      </w:r>
      <w:r>
        <w:rPr>
          <w:color w:val="3A3838"/>
          <w:spacing w:val="1"/>
          <w:w w:val="110"/>
          <w:sz w:val="18"/>
          <w:vertAlign w:val="baseline"/>
        </w:rPr>
        <w:t> </w:t>
      </w:r>
      <w:r>
        <w:rPr>
          <w:color w:val="3A3838"/>
          <w:w w:val="110"/>
          <w:sz w:val="18"/>
          <w:vertAlign w:val="baseline"/>
        </w:rPr>
        <w:t>slgnal</w:t>
      </w:r>
      <w:r>
        <w:rPr>
          <w:color w:val="3A3838"/>
          <w:spacing w:val="-5"/>
          <w:w w:val="110"/>
          <w:sz w:val="18"/>
          <w:vertAlign w:val="baseline"/>
        </w:rPr>
        <w:t> </w:t>
      </w:r>
      <w:r>
        <w:rPr>
          <w:color w:val="3A3838"/>
          <w:w w:val="110"/>
          <w:sz w:val="18"/>
          <w:vertAlign w:val="baseline"/>
        </w:rPr>
        <w:t>researchers</w:t>
      </w:r>
      <w:r>
        <w:rPr>
          <w:color w:val="3A3838"/>
          <w:spacing w:val="-12"/>
          <w:w w:val="110"/>
          <w:sz w:val="18"/>
          <w:vertAlign w:val="baseline"/>
        </w:rPr>
        <w:t> </w:t>
      </w:r>
      <w:r>
        <w:rPr>
          <w:color w:val="3A3838"/>
          <w:w w:val="110"/>
          <w:sz w:val="18"/>
          <w:vertAlign w:val="baseline"/>
        </w:rPr>
        <w:t>when</w:t>
      </w:r>
      <w:r>
        <w:rPr>
          <w:color w:val="3A3838"/>
          <w:spacing w:val="1"/>
          <w:w w:val="110"/>
          <w:sz w:val="18"/>
          <w:vertAlign w:val="baseline"/>
        </w:rPr>
        <w:t> </w:t>
      </w:r>
      <w:r>
        <w:rPr>
          <w:color w:val="3A3838"/>
          <w:w w:val="110"/>
          <w:sz w:val="18"/>
          <w:vertAlign w:val="baseline"/>
        </w:rPr>
        <w:t>they</w:t>
      </w:r>
      <w:r>
        <w:rPr>
          <w:color w:val="3A3838"/>
          <w:spacing w:val="-19"/>
          <w:w w:val="110"/>
          <w:sz w:val="18"/>
          <w:vertAlign w:val="baseline"/>
        </w:rPr>
        <w:t> </w:t>
      </w:r>
      <w:r>
        <w:rPr>
          <w:color w:val="3A3838"/>
          <w:w w:val="110"/>
          <w:sz w:val="18"/>
          <w:vertAlign w:val="baseline"/>
        </w:rPr>
        <w:t>are</w:t>
      </w:r>
      <w:r>
        <w:rPr>
          <w:color w:val="3A3838"/>
          <w:spacing w:val="-27"/>
          <w:w w:val="110"/>
          <w:sz w:val="18"/>
          <w:vertAlign w:val="baseline"/>
        </w:rPr>
        <w:t> </w:t>
      </w:r>
      <w:r>
        <w:rPr>
          <w:color w:val="3A3838"/>
          <w:w w:val="110"/>
          <w:sz w:val="18"/>
          <w:vertAlign w:val="baseline"/>
        </w:rPr>
        <w:t>not</w:t>
      </w:r>
      <w:r>
        <w:rPr>
          <w:color w:val="3A3838"/>
          <w:spacing w:val="-4"/>
          <w:w w:val="110"/>
          <w:sz w:val="18"/>
          <w:vertAlign w:val="baseline"/>
        </w:rPr>
        <w:t> </w:t>
      </w:r>
      <w:r>
        <w:rPr>
          <w:color w:val="2A2828"/>
          <w:w w:val="110"/>
          <w:sz w:val="18"/>
          <w:vertAlign w:val="baseline"/>
        </w:rPr>
        <w:t>reading</w:t>
      </w:r>
      <w:r>
        <w:rPr>
          <w:color w:val="2A2828"/>
          <w:spacing w:val="2"/>
          <w:w w:val="110"/>
          <w:sz w:val="18"/>
          <w:vertAlign w:val="baseline"/>
        </w:rPr>
        <w:t> </w:t>
      </w:r>
      <w:r>
        <w:rPr>
          <w:color w:val="3A3838"/>
          <w:w w:val="110"/>
          <w:sz w:val="18"/>
          <w:vertAlign w:val="baseline"/>
        </w:rPr>
        <w:t>part</w:t>
      </w:r>
      <w:r>
        <w:rPr>
          <w:color w:val="3A3838"/>
          <w:spacing w:val="-17"/>
          <w:w w:val="110"/>
          <w:sz w:val="18"/>
          <w:vertAlign w:val="baseline"/>
        </w:rPr>
        <w:t> </w:t>
      </w:r>
      <w:r>
        <w:rPr>
          <w:color w:val="3A3838"/>
          <w:w w:val="110"/>
          <w:sz w:val="18"/>
          <w:vertAlign w:val="baseline"/>
        </w:rPr>
        <w:t>of</w:t>
      </w:r>
      <w:r>
        <w:rPr>
          <w:color w:val="3A3838"/>
          <w:spacing w:val="-10"/>
          <w:w w:val="110"/>
          <w:sz w:val="18"/>
          <w:vertAlign w:val="baseline"/>
        </w:rPr>
        <w:t> </w:t>
      </w:r>
      <w:r>
        <w:rPr>
          <w:color w:val="3A3838"/>
          <w:w w:val="110"/>
          <w:sz w:val="18"/>
          <w:vertAlign w:val="baseline"/>
        </w:rPr>
        <w:t>a</w:t>
      </w:r>
      <w:r>
        <w:rPr>
          <w:color w:val="3A3838"/>
          <w:spacing w:val="7"/>
          <w:w w:val="110"/>
          <w:sz w:val="18"/>
          <w:vertAlign w:val="baseline"/>
        </w:rPr>
        <w:t> </w:t>
      </w:r>
      <w:r>
        <w:rPr>
          <w:color w:val="3A3838"/>
          <w:w w:val="110"/>
          <w:sz w:val="18"/>
          <w:vertAlign w:val="baseline"/>
        </w:rPr>
        <w:t>majority</w:t>
      </w:r>
      <w:r>
        <w:rPr>
          <w:color w:val="3A3838"/>
          <w:spacing w:val="-12"/>
          <w:w w:val="110"/>
          <w:sz w:val="18"/>
          <w:vertAlign w:val="baseline"/>
        </w:rPr>
        <w:t> </w:t>
      </w:r>
      <w:r>
        <w:rPr>
          <w:color w:val="3A3838"/>
          <w:w w:val="110"/>
          <w:sz w:val="18"/>
          <w:vertAlign w:val="baseline"/>
        </w:rPr>
        <w:t>opinion.</w:t>
      </w:r>
      <w:r>
        <w:rPr>
          <w:color w:val="3A3838"/>
          <w:spacing w:val="-5"/>
          <w:w w:val="110"/>
          <w:sz w:val="18"/>
          <w:vertAlign w:val="baseline"/>
        </w:rPr>
        <w:t> </w:t>
      </w:r>
      <w:r>
        <w:rPr>
          <w:color w:val="3A3838"/>
          <w:w w:val="110"/>
          <w:sz w:val="18"/>
          <w:vertAlign w:val="baseline"/>
        </w:rPr>
        <w:t>Even</w:t>
      </w:r>
      <w:r>
        <w:rPr>
          <w:color w:val="3A3838"/>
          <w:spacing w:val="7"/>
          <w:w w:val="110"/>
          <w:sz w:val="18"/>
          <w:vertAlign w:val="baseline"/>
        </w:rPr>
        <w:t> </w:t>
      </w:r>
      <w:r>
        <w:rPr>
          <w:color w:val="3A3838"/>
          <w:w w:val="110"/>
          <w:sz w:val="18"/>
          <w:vertAlign w:val="baseline"/>
        </w:rPr>
        <w:t>If</w:t>
      </w:r>
      <w:r>
        <w:rPr>
          <w:color w:val="3A3838"/>
          <w:spacing w:val="4"/>
          <w:w w:val="110"/>
          <w:sz w:val="18"/>
          <w:vertAlign w:val="baseline"/>
        </w:rPr>
        <w:t> </w:t>
      </w:r>
      <w:r>
        <w:rPr>
          <w:color w:val="3A3838"/>
          <w:w w:val="110"/>
          <w:sz w:val="18"/>
          <w:vertAlign w:val="baseline"/>
        </w:rPr>
        <w:t>they</w:t>
      </w:r>
      <w:r>
        <w:rPr>
          <w:color w:val="3A3838"/>
          <w:spacing w:val="-19"/>
          <w:w w:val="110"/>
          <w:sz w:val="18"/>
          <w:vertAlign w:val="baseline"/>
        </w:rPr>
        <w:t> </w:t>
      </w:r>
      <w:r>
        <w:rPr>
          <w:color w:val="3A3838"/>
          <w:w w:val="110"/>
          <w:sz w:val="18"/>
          <w:vertAlign w:val="baseline"/>
        </w:rPr>
        <w:t>do</w:t>
      </w:r>
      <w:r>
        <w:rPr>
          <w:color w:val="575659"/>
          <w:w w:val="110"/>
          <w:sz w:val="18"/>
          <w:vertAlign w:val="baseline"/>
        </w:rPr>
        <w:t>,</w:t>
      </w:r>
      <w:r>
        <w:rPr>
          <w:color w:val="575659"/>
          <w:spacing w:val="7"/>
          <w:w w:val="110"/>
          <w:sz w:val="18"/>
          <w:vertAlign w:val="baseline"/>
        </w:rPr>
        <w:t> </w:t>
      </w:r>
      <w:r>
        <w:rPr>
          <w:color w:val="3A3838"/>
          <w:w w:val="110"/>
          <w:sz w:val="18"/>
          <w:vertAlign w:val="baseline"/>
        </w:rPr>
        <w:t>however,</w:t>
      </w:r>
      <w:r>
        <w:rPr>
          <w:color w:val="3A3838"/>
          <w:spacing w:val="1"/>
          <w:w w:val="110"/>
          <w:sz w:val="18"/>
          <w:vertAlign w:val="baseline"/>
        </w:rPr>
        <w:t> </w:t>
      </w:r>
      <w:r>
        <w:rPr>
          <w:color w:val="3A3838"/>
          <w:w w:val="110"/>
          <w:sz w:val="18"/>
          <w:vertAlign w:val="baseline"/>
        </w:rPr>
        <w:t>you should never rely on a case without verifying that the language you are relying on </w:t>
      </w:r>
      <w:r>
        <w:rPr>
          <w:color w:val="3A3838"/>
          <w:w w:val="110"/>
          <w:sz w:val="17"/>
          <w:vertAlign w:val="baseline"/>
        </w:rPr>
        <w:t>is </w:t>
      </w:r>
      <w:r>
        <w:rPr>
          <w:color w:val="3A3838"/>
          <w:w w:val="110"/>
          <w:sz w:val="18"/>
          <w:vertAlign w:val="baseline"/>
        </w:rPr>
        <w:t>part of</w:t>
      </w:r>
      <w:r>
        <w:rPr>
          <w:color w:val="3A3838"/>
          <w:spacing w:val="1"/>
          <w:w w:val="110"/>
          <w:sz w:val="18"/>
          <w:vertAlign w:val="baseline"/>
        </w:rPr>
        <w:t> </w:t>
      </w:r>
      <w:r>
        <w:rPr>
          <w:color w:val="3A3838"/>
          <w:w w:val="110"/>
          <w:sz w:val="18"/>
          <w:vertAlign w:val="baseline"/>
        </w:rPr>
        <w:t>the</w:t>
      </w:r>
      <w:r>
        <w:rPr>
          <w:color w:val="3A3838"/>
          <w:spacing w:val="-12"/>
          <w:w w:val="110"/>
          <w:sz w:val="18"/>
          <w:vertAlign w:val="baseline"/>
        </w:rPr>
        <w:t> </w:t>
      </w:r>
      <w:r>
        <w:rPr>
          <w:color w:val="3A3838"/>
          <w:w w:val="110"/>
          <w:sz w:val="18"/>
          <w:vertAlign w:val="baseline"/>
        </w:rPr>
        <w:t>majority</w:t>
      </w:r>
      <w:r>
        <w:rPr>
          <w:color w:val="3A3838"/>
          <w:spacing w:val="-14"/>
          <w:w w:val="110"/>
          <w:sz w:val="18"/>
          <w:vertAlign w:val="baseline"/>
        </w:rPr>
        <w:t> </w:t>
      </w:r>
      <w:r>
        <w:rPr>
          <w:color w:val="3A3838"/>
          <w:w w:val="110"/>
          <w:sz w:val="18"/>
          <w:vertAlign w:val="baseline"/>
        </w:rPr>
        <w:t>opinion.</w:t>
      </w:r>
    </w:p>
    <w:p>
      <w:pPr>
        <w:spacing w:line="183" w:lineRule="exact" w:before="0"/>
        <w:ind w:left="499" w:right="0" w:firstLine="0"/>
        <w:jc w:val="both"/>
        <w:rPr>
          <w:sz w:val="18"/>
        </w:rPr>
      </w:pPr>
      <w:r>
        <w:rPr>
          <w:i/>
          <w:color w:val="3A3838"/>
          <w:position w:val="6"/>
          <w:sz w:val="10"/>
        </w:rPr>
        <w:t>1</w:t>
      </w:r>
      <w:r>
        <w:rPr>
          <w:i/>
          <w:color w:val="3A3838"/>
          <w:spacing w:val="-2"/>
          <w:position w:val="6"/>
          <w:sz w:val="10"/>
        </w:rPr>
        <w:t> </w:t>
      </w:r>
      <w:r>
        <w:rPr>
          <w:i/>
          <w:color w:val="3A3838"/>
          <w:sz w:val="18"/>
        </w:rPr>
        <w:t>Russell</w:t>
      </w:r>
      <w:r>
        <w:rPr>
          <w:i/>
          <w:color w:val="3A3838"/>
          <w:spacing w:val="20"/>
          <w:sz w:val="18"/>
        </w:rPr>
        <w:t> </w:t>
      </w:r>
      <w:r>
        <w:rPr>
          <w:i/>
          <w:color w:val="3A3838"/>
          <w:sz w:val="18"/>
        </w:rPr>
        <w:t>v.</w:t>
      </w:r>
      <w:r>
        <w:rPr>
          <w:i/>
          <w:color w:val="3A3838"/>
          <w:spacing w:val="4"/>
          <w:sz w:val="18"/>
        </w:rPr>
        <w:t> </w:t>
      </w:r>
      <w:r>
        <w:rPr>
          <w:i/>
          <w:color w:val="3A3838"/>
          <w:sz w:val="18"/>
        </w:rPr>
        <w:t>City</w:t>
      </w:r>
      <w:r>
        <w:rPr>
          <w:i/>
          <w:color w:val="3A3838"/>
          <w:spacing w:val="-12"/>
          <w:sz w:val="18"/>
        </w:rPr>
        <w:t> </w:t>
      </w:r>
      <w:r>
        <w:rPr>
          <w:i/>
          <w:color w:val="3A3838"/>
          <w:sz w:val="18"/>
        </w:rPr>
        <w:t>of</w:t>
      </w:r>
      <w:r>
        <w:rPr>
          <w:i/>
          <w:color w:val="3A3838"/>
          <w:spacing w:val="-9"/>
          <w:sz w:val="18"/>
        </w:rPr>
        <w:t> </w:t>
      </w:r>
      <w:r>
        <w:rPr>
          <w:i/>
          <w:color w:val="3A3838"/>
          <w:sz w:val="18"/>
        </w:rPr>
        <w:t>Columbia,</w:t>
      </w:r>
      <w:r>
        <w:rPr>
          <w:i/>
          <w:color w:val="3A3838"/>
          <w:spacing w:val="5"/>
          <w:sz w:val="18"/>
        </w:rPr>
        <w:t> </w:t>
      </w:r>
      <w:r>
        <w:rPr>
          <w:rFonts w:ascii="Arial"/>
          <w:color w:val="3A3838"/>
          <w:sz w:val="16"/>
        </w:rPr>
        <w:t>406</w:t>
      </w:r>
      <w:r>
        <w:rPr>
          <w:rFonts w:ascii="Arial"/>
          <w:color w:val="3A3838"/>
          <w:spacing w:val="7"/>
          <w:sz w:val="16"/>
        </w:rPr>
        <w:t> </w:t>
      </w:r>
      <w:r>
        <w:rPr>
          <w:color w:val="3A3838"/>
          <w:sz w:val="18"/>
        </w:rPr>
        <w:t>S.E</w:t>
      </w:r>
      <w:r>
        <w:rPr>
          <w:color w:val="575659"/>
          <w:sz w:val="18"/>
        </w:rPr>
        <w:t>.</w:t>
      </w:r>
      <w:r>
        <w:rPr>
          <w:color w:val="3A3838"/>
          <w:sz w:val="18"/>
        </w:rPr>
        <w:t>2d</w:t>
      </w:r>
      <w:r>
        <w:rPr>
          <w:color w:val="3A3838"/>
          <w:spacing w:val="31"/>
          <w:sz w:val="18"/>
        </w:rPr>
        <w:t> </w:t>
      </w:r>
      <w:r>
        <w:rPr>
          <w:color w:val="3A3838"/>
          <w:sz w:val="18"/>
        </w:rPr>
        <w:t>338</w:t>
      </w:r>
      <w:r>
        <w:rPr>
          <w:color w:val="3A3838"/>
          <w:spacing w:val="51"/>
          <w:sz w:val="18"/>
        </w:rPr>
        <w:t> </w:t>
      </w:r>
      <w:r>
        <w:rPr>
          <w:color w:val="3A3838"/>
          <w:sz w:val="18"/>
        </w:rPr>
        <w:t>(S</w:t>
      </w:r>
      <w:r>
        <w:rPr>
          <w:color w:val="575659"/>
          <w:sz w:val="18"/>
        </w:rPr>
        <w:t>.</w:t>
      </w:r>
      <w:r>
        <w:rPr>
          <w:color w:val="3A3838"/>
          <w:sz w:val="18"/>
        </w:rPr>
        <w:t>C.</w:t>
      </w:r>
      <w:r>
        <w:rPr>
          <w:color w:val="3A3838"/>
          <w:spacing w:val="7"/>
          <w:sz w:val="18"/>
        </w:rPr>
        <w:t> </w:t>
      </w:r>
      <w:r>
        <w:rPr>
          <w:color w:val="2A2828"/>
          <w:sz w:val="18"/>
        </w:rPr>
        <w:t>1991)</w:t>
      </w:r>
      <w:r>
        <w:rPr>
          <w:color w:val="575659"/>
          <w:sz w:val="18"/>
        </w:rPr>
        <w:t>.</w:t>
      </w:r>
    </w:p>
    <w:p>
      <w:pPr>
        <w:spacing w:after="0" w:line="183" w:lineRule="exact"/>
        <w:jc w:val="both"/>
        <w:rPr>
          <w:sz w:val="18"/>
        </w:rPr>
        <w:sectPr>
          <w:headerReference w:type="default" r:id="rId153"/>
          <w:headerReference w:type="even" r:id="rId154"/>
          <w:pgSz w:w="9460" w:h="13750"/>
          <w:pgMar w:header="453" w:footer="0" w:top="640" w:bottom="280" w:left="440" w:right="1060"/>
        </w:sectPr>
      </w:pPr>
    </w:p>
    <w:p>
      <w:pPr>
        <w:pStyle w:val="BodyText"/>
        <w:spacing w:line="235" w:lineRule="auto" w:before="85"/>
        <w:ind w:left="784" w:right="70" w:firstLine="379"/>
        <w:jc w:val="both"/>
      </w:pPr>
      <w:r>
        <w:rPr>
          <w:rFonts w:ascii="Arial"/>
          <w:i/>
          <w:color w:val="383638"/>
          <w:spacing w:val="-1"/>
          <w:w w:val="110"/>
          <w:sz w:val="21"/>
        </w:rPr>
        <w:t>A </w:t>
      </w:r>
      <w:r>
        <w:rPr>
          <w:color w:val="383638"/>
          <w:spacing w:val="-1"/>
          <w:w w:val="110"/>
        </w:rPr>
        <w:t>careless writer, trying </w:t>
      </w:r>
      <w:r>
        <w:rPr>
          <w:color w:val="383638"/>
          <w:w w:val="110"/>
        </w:rPr>
        <w:t>to explain the rule about taking charge of </w:t>
      </w:r>
      <w:r>
        <w:rPr>
          <w:rFonts w:ascii="Arial"/>
          <w:b/>
          <w:color w:val="383638"/>
          <w:w w:val="110"/>
          <w:sz w:val="22"/>
        </w:rPr>
        <w:t>a</w:t>
      </w:r>
      <w:r>
        <w:rPr>
          <w:rFonts w:ascii="Arial"/>
          <w:b/>
          <w:color w:val="383638"/>
          <w:spacing w:val="-65"/>
          <w:w w:val="110"/>
          <w:sz w:val="22"/>
        </w:rPr>
        <w:t> </w:t>
      </w:r>
      <w:r>
        <w:rPr>
          <w:color w:val="383638"/>
          <w:w w:val="105"/>
        </w:rPr>
        <w:t>helpless individual, might misrepresent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the court's holding by quoting </w:t>
      </w:r>
      <w:r>
        <w:rPr>
          <w:b/>
          <w:color w:val="383638"/>
          <w:w w:val="105"/>
        </w:rPr>
        <w:t>a</w:t>
      </w:r>
      <w:r>
        <w:rPr>
          <w:b/>
          <w:color w:val="383638"/>
          <w:spacing w:val="1"/>
          <w:w w:val="105"/>
        </w:rPr>
        <w:t> </w:t>
      </w:r>
      <w:r>
        <w:rPr>
          <w:color w:val="383638"/>
          <w:w w:val="110"/>
        </w:rPr>
        <w:t>partial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sentence</w:t>
      </w:r>
      <w:r>
        <w:rPr>
          <w:color w:val="383638"/>
          <w:spacing w:val="-14"/>
          <w:w w:val="110"/>
        </w:rPr>
        <w:t> </w:t>
      </w:r>
      <w:r>
        <w:rPr>
          <w:b/>
          <w:color w:val="383638"/>
          <w:w w:val="110"/>
          <w:sz w:val="21"/>
        </w:rPr>
        <w:t>with</w:t>
      </w:r>
      <w:r>
        <w:rPr>
          <w:b/>
          <w:color w:val="383638"/>
          <w:spacing w:val="-12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</w:t>
      </w:r>
      <w:r>
        <w:rPr>
          <w:b/>
          <w:color w:val="383638"/>
          <w:spacing w:val="3"/>
          <w:w w:val="110"/>
          <w:sz w:val="21"/>
        </w:rPr>
        <w:t> </w:t>
      </w:r>
      <w:r>
        <w:rPr>
          <w:color w:val="383638"/>
          <w:w w:val="110"/>
        </w:rPr>
        <w:t>misleading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introduction:</w:t>
      </w:r>
    </w:p>
    <w:p>
      <w:pPr>
        <w:spacing w:before="57"/>
        <w:ind w:left="720" w:right="0" w:firstLine="0"/>
        <w:jc w:val="both"/>
        <w:rPr>
          <w:b/>
          <w:sz w:val="16"/>
        </w:rPr>
      </w:pPr>
      <w:r>
        <w:rPr>
          <w:rFonts w:ascii="Arial"/>
          <w:b/>
          <w:i/>
          <w:color w:val="383638"/>
          <w:w w:val="75"/>
          <w:sz w:val="32"/>
          <w:u w:val="thick" w:color="383638"/>
        </w:rPr>
        <w:t>..:s;</w:t>
      </w:r>
      <w:r>
        <w:rPr>
          <w:rFonts w:ascii="Arial"/>
          <w:b/>
          <w:i/>
          <w:color w:val="383638"/>
          <w:spacing w:val="3"/>
          <w:w w:val="75"/>
          <w:sz w:val="32"/>
        </w:rPr>
        <w:t> </w:t>
      </w:r>
      <w:r>
        <w:rPr>
          <w:b/>
          <w:color w:val="383638"/>
          <w:w w:val="75"/>
          <w:sz w:val="16"/>
          <w:u w:val="thick" w:color="383638"/>
        </w:rPr>
        <w:t>BAD</w:t>
      </w:r>
      <w:r>
        <w:rPr>
          <w:b/>
          <w:color w:val="383638"/>
          <w:spacing w:val="10"/>
          <w:w w:val="75"/>
          <w:sz w:val="16"/>
          <w:u w:val="thick" w:color="383638"/>
        </w:rPr>
        <w:t> </w:t>
      </w:r>
      <w:r>
        <w:rPr>
          <w:b/>
          <w:color w:val="383638"/>
          <w:w w:val="75"/>
          <w:sz w:val="16"/>
          <w:u w:val="thick" w:color="383638"/>
        </w:rPr>
        <w:t>EXAMPLE</w:t>
      </w:r>
    </w:p>
    <w:p>
      <w:pPr>
        <w:spacing w:line="232" w:lineRule="auto" w:before="41"/>
        <w:ind w:left="1100" w:right="434" w:firstLine="22"/>
        <w:jc w:val="both"/>
        <w:rPr>
          <w:b/>
          <w:sz w:val="21"/>
        </w:rPr>
      </w:pPr>
      <w:r>
        <w:rPr>
          <w:b/>
          <w:color w:val="383638"/>
          <w:w w:val="105"/>
          <w:sz w:val="21"/>
        </w:rPr>
        <w:t>The court held that "once the police officers took control of the situ­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ation and preempted individuals already </w:t>
      </w:r>
      <w:r>
        <w:rPr>
          <w:b/>
          <w:color w:val="4B4B4B"/>
          <w:w w:val="105"/>
          <w:sz w:val="21"/>
        </w:rPr>
        <w:t>attempting </w:t>
      </w:r>
      <w:r>
        <w:rPr>
          <w:b/>
          <w:color w:val="383638"/>
          <w:w w:val="105"/>
          <w:sz w:val="21"/>
        </w:rPr>
        <w:t>to aid the peti­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10"/>
          <w:sz w:val="21"/>
        </w:rPr>
        <w:t>tioner's obviously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0"/>
        </w:rPr>
        <w:t>injured</w:t>
      </w:r>
      <w:r>
        <w:rPr>
          <w:color w:val="383638"/>
          <w:spacing w:val="1"/>
          <w:w w:val="110"/>
          <w:sz w:val="20"/>
        </w:rPr>
        <w:t> </w:t>
      </w:r>
      <w:r>
        <w:rPr>
          <w:b/>
          <w:color w:val="383638"/>
          <w:w w:val="110"/>
          <w:sz w:val="21"/>
        </w:rPr>
        <w:t>and intoxicated decedent, respondents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05"/>
          <w:sz w:val="21"/>
        </w:rPr>
        <w:t>incurred</w:t>
      </w:r>
      <w:r>
        <w:rPr>
          <w:b/>
          <w:color w:val="383638"/>
          <w:spacing w:val="-17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a</w:t>
      </w:r>
      <w:r>
        <w:rPr>
          <w:b/>
          <w:color w:val="383638"/>
          <w:spacing w:val="3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duty</w:t>
      </w:r>
      <w:r>
        <w:rPr>
          <w:b/>
          <w:color w:val="383638"/>
          <w:spacing w:val="-19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to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follow</w:t>
      </w:r>
      <w:r>
        <w:rPr>
          <w:b/>
          <w:color w:val="383638"/>
          <w:spacing w:val="-14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through</w:t>
      </w:r>
      <w:r>
        <w:rPr>
          <w:b/>
          <w:color w:val="383638"/>
          <w:spacing w:val="-23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and</w:t>
      </w:r>
      <w:r>
        <w:rPr>
          <w:b/>
          <w:color w:val="383638"/>
          <w:spacing w:val="10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finish</w:t>
      </w:r>
      <w:r>
        <w:rPr>
          <w:b/>
          <w:color w:val="383638"/>
          <w:spacing w:val="-9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what</w:t>
      </w:r>
      <w:r>
        <w:rPr>
          <w:b/>
          <w:color w:val="383638"/>
          <w:spacing w:val="-29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was</w:t>
      </w:r>
      <w:r>
        <w:rPr>
          <w:b/>
          <w:color w:val="383638"/>
          <w:spacing w:val="-16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begun."</w:t>
      </w:r>
      <w:r>
        <w:rPr>
          <w:b/>
          <w:color w:val="383638"/>
          <w:spacing w:val="-14"/>
          <w:w w:val="105"/>
          <w:sz w:val="21"/>
        </w:rPr>
        <w:t> </w:t>
      </w:r>
      <w:r>
        <w:rPr>
          <w:b/>
          <w:color w:val="383638"/>
          <w:w w:val="105"/>
          <w:sz w:val="21"/>
          <w:u w:val="thick" w:color="383638"/>
        </w:rPr>
        <w:t>Russell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sz w:val="13"/>
          <w:u w:val="thick" w:color="383638"/>
        </w:rPr>
        <w:t>V,</w:t>
      </w:r>
      <w:r>
        <w:rPr>
          <w:b/>
          <w:color w:val="383638"/>
          <w:spacing w:val="15"/>
          <w:sz w:val="13"/>
          <w:u w:val="thick" w:color="383638"/>
        </w:rPr>
        <w:t> </w:t>
      </w:r>
      <w:r>
        <w:rPr>
          <w:b/>
          <w:color w:val="383638"/>
          <w:sz w:val="23"/>
          <w:u w:val="thick" w:color="383638"/>
        </w:rPr>
        <w:t>City</w:t>
      </w:r>
      <w:r>
        <w:rPr>
          <w:b/>
          <w:color w:val="383638"/>
          <w:spacing w:val="-14"/>
          <w:sz w:val="23"/>
          <w:u w:val="thick" w:color="383638"/>
        </w:rPr>
        <w:t> </w:t>
      </w:r>
      <w:r>
        <w:rPr>
          <w:rFonts w:ascii="Arial" w:hAnsi="Arial"/>
          <w:b/>
          <w:color w:val="383638"/>
          <w:sz w:val="22"/>
          <w:u w:val="thick" w:color="383638"/>
        </w:rPr>
        <w:t>of</w:t>
      </w:r>
      <w:r>
        <w:rPr>
          <w:rFonts w:ascii="Arial" w:hAnsi="Arial"/>
          <w:b/>
          <w:color w:val="383638"/>
          <w:spacing w:val="-28"/>
          <w:sz w:val="22"/>
          <w:u w:val="thick" w:color="383638"/>
        </w:rPr>
        <w:t> </w:t>
      </w:r>
      <w:r>
        <w:rPr>
          <w:b/>
          <w:color w:val="383638"/>
          <w:sz w:val="21"/>
          <w:u w:val="thick" w:color="383638"/>
        </w:rPr>
        <w:t>Columbia.</w:t>
      </w:r>
      <w:r>
        <w:rPr>
          <w:b/>
          <w:color w:val="383638"/>
          <w:spacing w:val="12"/>
          <w:sz w:val="21"/>
        </w:rPr>
        <w:t> </w:t>
      </w:r>
      <w:r>
        <w:rPr>
          <w:b/>
          <w:color w:val="383638"/>
          <w:sz w:val="21"/>
        </w:rPr>
        <w:t>406</w:t>
      </w:r>
      <w:r>
        <w:rPr>
          <w:b/>
          <w:color w:val="383638"/>
          <w:spacing w:val="14"/>
          <w:sz w:val="21"/>
        </w:rPr>
        <w:t> </w:t>
      </w:r>
      <w:r>
        <w:rPr>
          <w:b/>
          <w:color w:val="383638"/>
          <w:sz w:val="21"/>
        </w:rPr>
        <w:t>S.E.2d</w:t>
      </w:r>
      <w:r>
        <w:rPr>
          <w:b/>
          <w:color w:val="383638"/>
          <w:spacing w:val="1"/>
          <w:sz w:val="21"/>
        </w:rPr>
        <w:t> </w:t>
      </w:r>
      <w:r>
        <w:rPr>
          <w:b/>
          <w:color w:val="383638"/>
          <w:sz w:val="21"/>
        </w:rPr>
        <w:t>338,</w:t>
      </w:r>
      <w:r>
        <w:rPr>
          <w:b/>
          <w:color w:val="383638"/>
          <w:spacing w:val="4"/>
          <w:sz w:val="21"/>
        </w:rPr>
        <w:t> </w:t>
      </w:r>
      <w:r>
        <w:rPr>
          <w:b/>
          <w:color w:val="383638"/>
          <w:sz w:val="21"/>
        </w:rPr>
        <w:t>339</w:t>
      </w:r>
      <w:r>
        <w:rPr>
          <w:b/>
          <w:color w:val="383638"/>
          <w:spacing w:val="7"/>
          <w:sz w:val="21"/>
        </w:rPr>
        <w:t> </w:t>
      </w:r>
      <w:r>
        <w:rPr>
          <w:b/>
          <w:color w:val="383638"/>
          <w:sz w:val="21"/>
        </w:rPr>
        <w:t>(S.C.</w:t>
      </w:r>
      <w:r>
        <w:rPr>
          <w:b/>
          <w:color w:val="383638"/>
          <w:spacing w:val="13"/>
          <w:sz w:val="21"/>
        </w:rPr>
        <w:t> </w:t>
      </w:r>
      <w:r>
        <w:rPr>
          <w:b/>
          <w:color w:val="383638"/>
          <w:sz w:val="21"/>
        </w:rPr>
        <w:t>1991).</w:t>
      </w:r>
    </w:p>
    <w:p>
      <w:pPr>
        <w:pStyle w:val="BodyText"/>
        <w:spacing w:line="235" w:lineRule="auto" w:before="126"/>
        <w:ind w:left="716" w:right="117" w:firstLine="11"/>
        <w:jc w:val="both"/>
      </w:pPr>
      <w:r>
        <w:rPr>
          <w:color w:val="383638"/>
        </w:rPr>
        <w:t>The </w:t>
      </w:r>
      <w:r>
        <w:rPr>
          <w:i/>
          <w:color w:val="383638"/>
          <w:sz w:val="24"/>
        </w:rPr>
        <w:t>language </w:t>
      </w:r>
      <w:r>
        <w:rPr>
          <w:color w:val="383638"/>
        </w:rPr>
        <w:t>is quoted accurately; the context, however, is not</w:t>
      </w:r>
      <w:r>
        <w:rPr>
          <w:color w:val="383638"/>
          <w:spacing w:val="1"/>
        </w:rPr>
        <w:t> </w:t>
      </w:r>
      <w:r>
        <w:rPr>
          <w:color w:val="383638"/>
        </w:rPr>
        <w:t>accurate. </w:t>
      </w:r>
      <w:r>
        <w:rPr>
          <w:rFonts w:ascii="Arial" w:hAnsi="Arial"/>
          <w:color w:val="383638"/>
          <w:sz w:val="22"/>
        </w:rPr>
        <w:t>A</w:t>
      </w:r>
      <w:r>
        <w:rPr>
          <w:rFonts w:ascii="Arial" w:hAnsi="Arial"/>
          <w:color w:val="383638"/>
          <w:spacing w:val="1"/>
          <w:sz w:val="22"/>
        </w:rPr>
        <w:t> </w:t>
      </w:r>
      <w:r>
        <w:rPr>
          <w:color w:val="383638"/>
          <w:w w:val="105"/>
        </w:rPr>
        <w:t>law clerk who went to read the decision would find that three words miss­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ing from the </w:t>
      </w:r>
      <w:r>
        <w:rPr>
          <w:color w:val="4B4B4B"/>
          <w:w w:val="105"/>
        </w:rPr>
        <w:t>sentence </w:t>
      </w:r>
      <w:r>
        <w:rPr>
          <w:color w:val="383638"/>
          <w:w w:val="105"/>
        </w:rPr>
        <w:t>create a vastly different impression of the case (the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emphasis</w:t>
      </w:r>
      <w:r>
        <w:rPr>
          <w:color w:val="383638"/>
          <w:spacing w:val="-9"/>
          <w:w w:val="105"/>
        </w:rPr>
        <w:t> </w:t>
      </w:r>
      <w:r>
        <w:rPr>
          <w:color w:val="383638"/>
          <w:w w:val="105"/>
        </w:rPr>
        <w:t>is</w:t>
      </w:r>
      <w:r>
        <w:rPr>
          <w:color w:val="383638"/>
          <w:spacing w:val="-27"/>
          <w:w w:val="105"/>
        </w:rPr>
        <w:t> </w:t>
      </w:r>
      <w:r>
        <w:rPr>
          <w:color w:val="383638"/>
          <w:w w:val="105"/>
        </w:rPr>
        <w:t>added):</w:t>
      </w:r>
    </w:p>
    <w:p>
      <w:pPr>
        <w:spacing w:line="235" w:lineRule="auto" w:before="126"/>
        <w:ind w:left="1010" w:right="473" w:firstLine="39"/>
        <w:jc w:val="both"/>
        <w:rPr>
          <w:b/>
          <w:sz w:val="21"/>
        </w:rPr>
      </w:pPr>
      <w:r>
        <w:rPr>
          <w:b/>
          <w:i/>
          <w:color w:val="383638"/>
          <w:w w:val="110"/>
          <w:sz w:val="21"/>
        </w:rPr>
        <w:t>Petitioner argues tllat </w:t>
      </w:r>
      <w:r>
        <w:rPr>
          <w:b/>
          <w:color w:val="383638"/>
          <w:w w:val="110"/>
          <w:sz w:val="21"/>
        </w:rPr>
        <w:t>once the police officers took control of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situation and preempted individuals already attempting to aid </w:t>
      </w:r>
      <w:r>
        <w:rPr>
          <w:b/>
          <w:i/>
          <w:color w:val="383638"/>
          <w:w w:val="110"/>
          <w:sz w:val="20"/>
        </w:rPr>
        <w:t>the</w:t>
      </w:r>
      <w:r>
        <w:rPr>
          <w:b/>
          <w:i/>
          <w:color w:val="383638"/>
          <w:spacing w:val="1"/>
          <w:w w:val="110"/>
          <w:sz w:val="20"/>
        </w:rPr>
        <w:t> </w:t>
      </w:r>
      <w:r>
        <w:rPr>
          <w:b/>
          <w:color w:val="383638"/>
          <w:w w:val="105"/>
          <w:sz w:val="21"/>
        </w:rPr>
        <w:t>petitioner's obviously injured and intoxicated decedent, respondents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incurred</w:t>
      </w:r>
      <w:r>
        <w:rPr>
          <w:b/>
          <w:color w:val="383638"/>
          <w:spacing w:val="-13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a</w:t>
      </w:r>
      <w:r>
        <w:rPr>
          <w:b/>
          <w:color w:val="383638"/>
          <w:spacing w:val="24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duty</w:t>
      </w:r>
      <w:r>
        <w:rPr>
          <w:b/>
          <w:color w:val="383638"/>
          <w:spacing w:val="3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to</w:t>
      </w:r>
      <w:r>
        <w:rPr>
          <w:b/>
          <w:color w:val="383638"/>
          <w:spacing w:val="4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follow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through</w:t>
      </w:r>
      <w:r>
        <w:rPr>
          <w:b/>
          <w:color w:val="383638"/>
          <w:spacing w:val="-3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and</w:t>
      </w:r>
      <w:r>
        <w:rPr>
          <w:b/>
          <w:color w:val="383638"/>
          <w:spacing w:val="28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finish</w:t>
      </w:r>
      <w:r>
        <w:rPr>
          <w:b/>
          <w:color w:val="383638"/>
          <w:spacing w:val="-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what</w:t>
      </w:r>
      <w:r>
        <w:rPr>
          <w:b/>
          <w:color w:val="383638"/>
          <w:spacing w:val="2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was</w:t>
      </w:r>
      <w:r>
        <w:rPr>
          <w:b/>
          <w:color w:val="383638"/>
          <w:spacing w:val="-9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begun.</w:t>
      </w:r>
    </w:p>
    <w:p>
      <w:pPr>
        <w:pStyle w:val="BodyText"/>
        <w:spacing w:line="235" w:lineRule="auto" w:before="152"/>
        <w:ind w:left="640" w:right="142" w:firstLine="20"/>
        <w:jc w:val="both"/>
      </w:pPr>
      <w:r>
        <w:rPr>
          <w:color w:val="383638"/>
          <w:spacing w:val="-1"/>
          <w:w w:val="110"/>
        </w:rPr>
        <w:t>The</w:t>
      </w:r>
      <w:r>
        <w:rPr>
          <w:color w:val="383638"/>
          <w:spacing w:val="-28"/>
          <w:w w:val="110"/>
        </w:rPr>
        <w:t> </w:t>
      </w:r>
      <w:r>
        <w:rPr>
          <w:color w:val="383638"/>
          <w:spacing w:val="-1"/>
          <w:w w:val="110"/>
        </w:rPr>
        <w:t>state</w:t>
      </w:r>
      <w:r>
        <w:rPr>
          <w:color w:val="383638"/>
          <w:spacing w:val="-29"/>
          <w:w w:val="110"/>
        </w:rPr>
        <w:t> </w:t>
      </w:r>
      <w:r>
        <w:rPr>
          <w:color w:val="383638"/>
          <w:spacing w:val="-1"/>
          <w:w w:val="110"/>
        </w:rPr>
        <w:t>supreme</w:t>
      </w:r>
      <w:r>
        <w:rPr>
          <w:color w:val="383638"/>
          <w:spacing w:val="-6"/>
          <w:w w:val="110"/>
        </w:rPr>
        <w:t> </w:t>
      </w:r>
      <w:r>
        <w:rPr>
          <w:color w:val="383638"/>
          <w:spacing w:val="-1"/>
          <w:w w:val="110"/>
        </w:rPr>
        <w:t>court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did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not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find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that the</w:t>
      </w:r>
      <w:r>
        <w:rPr>
          <w:color w:val="383638"/>
          <w:spacing w:val="-34"/>
          <w:w w:val="110"/>
        </w:rPr>
        <w:t> </w:t>
      </w:r>
      <w:r>
        <w:rPr>
          <w:color w:val="383638"/>
          <w:w w:val="110"/>
        </w:rPr>
        <w:t>officers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had</w:t>
      </w:r>
      <w:r>
        <w:rPr>
          <w:color w:val="383638"/>
          <w:spacing w:val="28"/>
          <w:w w:val="110"/>
        </w:rPr>
        <w:t> </w:t>
      </w:r>
      <w:r>
        <w:rPr>
          <w:color w:val="383638"/>
          <w:w w:val="110"/>
        </w:rPr>
        <w:t>incurred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duty</w:t>
      </w:r>
      <w:r>
        <w:rPr>
          <w:color w:val="383638"/>
          <w:spacing w:val="-60"/>
          <w:w w:val="110"/>
        </w:rPr>
        <w:t> </w:t>
      </w:r>
      <w:r>
        <w:rPr>
          <w:color w:val="383638"/>
          <w:w w:val="110"/>
        </w:rPr>
        <w:t>of care or that the </w:t>
      </w:r>
      <w:r>
        <w:rPr>
          <w:color w:val="383638"/>
          <w:w w:val="110"/>
          <w:sz w:val="22"/>
        </w:rPr>
        <w:t>facts </w:t>
      </w:r>
      <w:r>
        <w:rPr>
          <w:color w:val="383638"/>
          <w:w w:val="110"/>
        </w:rPr>
        <w:t>were accurate as pleaded. It merely restated the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petitioner's </w:t>
      </w:r>
      <w:r>
        <w:rPr>
          <w:color w:val="383638"/>
          <w:w w:val="110"/>
        </w:rPr>
        <w:t>argument and found that the complaint was adequate to </w:t>
      </w:r>
      <w:r>
        <w:rPr>
          <w:color w:val="4B4B4B"/>
          <w:w w:val="110"/>
        </w:rPr>
        <w:t>state</w:t>
      </w:r>
      <w:r>
        <w:rPr>
          <w:color w:val="4B4B4B"/>
          <w:spacing w:val="-61"/>
          <w:w w:val="110"/>
        </w:rPr>
        <w:t> </w:t>
      </w:r>
      <w:r>
        <w:rPr>
          <w:color w:val="4B4B4B"/>
          <w:w w:val="105"/>
        </w:rPr>
        <w:t>a </w:t>
      </w:r>
      <w:r>
        <w:rPr>
          <w:color w:val="383638"/>
          <w:w w:val="105"/>
        </w:rPr>
        <w:t>cause of action. In contrast, notice how the writer in this example accu.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rately portrays the disposition of the issue and uses the word "may"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indicate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lack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legal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holding:</w:t>
      </w:r>
    </w:p>
    <w:p>
      <w:pPr>
        <w:pStyle w:val="BodyText"/>
        <w:spacing w:before="7"/>
        <w:rPr>
          <w:sz w:val="16"/>
        </w:rPr>
      </w:pPr>
    </w:p>
    <w:p>
      <w:pPr>
        <w:spacing w:before="1"/>
        <w:ind w:left="620" w:right="0" w:firstLine="0"/>
        <w:jc w:val="both"/>
        <w:rPr>
          <w:sz w:val="15"/>
        </w:rPr>
      </w:pPr>
      <w:r>
        <w:rPr>
          <w:color w:val="4B4B4B"/>
          <w:spacing w:val="-1"/>
          <w:w w:val="105"/>
          <w:sz w:val="15"/>
          <w:u w:val="thick" w:color="4B4B4B"/>
        </w:rPr>
        <w:t>_/\</w:t>
      </w:r>
      <w:r>
        <w:rPr>
          <w:color w:val="4B4B4B"/>
          <w:spacing w:val="72"/>
          <w:w w:val="105"/>
          <w:sz w:val="15"/>
          <w:u w:val="thick" w:color="4B4B4B"/>
        </w:rPr>
        <w:t> </w:t>
      </w:r>
      <w:r>
        <w:rPr>
          <w:color w:val="383638"/>
          <w:w w:val="105"/>
          <w:sz w:val="15"/>
          <w:u w:val="thick" w:color="4B4B4B"/>
        </w:rPr>
        <w:t>GOOD</w:t>
      </w:r>
      <w:r>
        <w:rPr>
          <w:color w:val="383638"/>
          <w:spacing w:val="-10"/>
          <w:w w:val="105"/>
          <w:sz w:val="15"/>
          <w:u w:val="thick" w:color="4B4B4B"/>
        </w:rPr>
        <w:t> </w:t>
      </w:r>
      <w:r>
        <w:rPr>
          <w:color w:val="4B4B4B"/>
          <w:w w:val="105"/>
          <w:sz w:val="15"/>
          <w:u w:val="thick" w:color="4B4B4B"/>
        </w:rPr>
        <w:t>EXAMPLE</w:t>
      </w:r>
    </w:p>
    <w:p>
      <w:pPr>
        <w:spacing w:line="223" w:lineRule="auto" w:before="112"/>
        <w:ind w:left="937" w:right="495" w:firstLine="33"/>
        <w:jc w:val="both"/>
        <w:rPr>
          <w:b/>
          <w:sz w:val="21"/>
        </w:rPr>
      </w:pPr>
      <w:r>
        <w:rPr>
          <w:b/>
          <w:color w:val="383638"/>
          <w:w w:val="105"/>
          <w:sz w:val="21"/>
        </w:rPr>
        <w:t>Persons may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incur a duty to a helpless person when they send away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color w:val="383638"/>
          <w:sz w:val="21"/>
        </w:rPr>
        <w:t>others who are rendering aid. </w:t>
      </w:r>
      <w:r>
        <w:rPr>
          <w:color w:val="383638"/>
          <w:sz w:val="25"/>
          <w:u w:val="thick" w:color="383638"/>
        </w:rPr>
        <w:t>Russell </w:t>
      </w:r>
      <w:r>
        <w:rPr>
          <w:color w:val="383638"/>
          <w:sz w:val="21"/>
          <w:u w:val="thick" w:color="383638"/>
        </w:rPr>
        <w:t>v. </w:t>
      </w:r>
      <w:r>
        <w:rPr>
          <w:color w:val="383638"/>
          <w:sz w:val="25"/>
          <w:u w:val="thick" w:color="383638"/>
        </w:rPr>
        <w:t>City of Columbia.</w:t>
      </w:r>
      <w:r>
        <w:rPr>
          <w:color w:val="383638"/>
          <w:sz w:val="25"/>
        </w:rPr>
        <w:t> </w:t>
      </w:r>
      <w:r>
        <w:rPr>
          <w:color w:val="383638"/>
          <w:sz w:val="21"/>
        </w:rPr>
        <w:t>406</w:t>
      </w:r>
      <w:r>
        <w:rPr>
          <w:color w:val="383638"/>
          <w:spacing w:val="1"/>
          <w:sz w:val="21"/>
        </w:rPr>
        <w:t> </w:t>
      </w:r>
      <w:r>
        <w:rPr>
          <w:color w:val="383638"/>
          <w:sz w:val="21"/>
        </w:rPr>
        <w:t>S.E.2d</w:t>
      </w:r>
      <w:r>
        <w:rPr>
          <w:color w:val="383638"/>
          <w:spacing w:val="1"/>
          <w:sz w:val="21"/>
        </w:rPr>
        <w:t> </w:t>
      </w:r>
      <w:r>
        <w:rPr>
          <w:b/>
          <w:color w:val="383638"/>
          <w:w w:val="105"/>
          <w:sz w:val="21"/>
        </w:rPr>
        <w:t>338, 339 (S.C. 1991) (complaint </w:t>
      </w:r>
      <w:r>
        <w:rPr>
          <w:b/>
          <w:color w:val="4B4B4B"/>
          <w:w w:val="105"/>
          <w:sz w:val="21"/>
        </w:rPr>
        <w:t>sufficient </w:t>
      </w:r>
      <w:r>
        <w:rPr>
          <w:b/>
          <w:color w:val="383638"/>
          <w:w w:val="105"/>
          <w:sz w:val="21"/>
        </w:rPr>
        <w:t>to state cause of action as to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10"/>
          <w:sz w:val="21"/>
        </w:rPr>
        <w:t>duty when it alleged that officers questioning intoxicated man sent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05"/>
          <w:sz w:val="21"/>
        </w:rPr>
        <w:t>away</w:t>
      </w:r>
      <w:r>
        <w:rPr>
          <w:b/>
          <w:color w:val="383638"/>
          <w:spacing w:val="-5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persons</w:t>
      </w:r>
      <w:r>
        <w:rPr>
          <w:b/>
          <w:color w:val="383638"/>
          <w:spacing w:val="-2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who</w:t>
      </w:r>
      <w:r>
        <w:rPr>
          <w:b/>
          <w:color w:val="383638"/>
          <w:spacing w:val="34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were</w:t>
      </w:r>
      <w:r>
        <w:rPr>
          <w:b/>
          <w:color w:val="383638"/>
          <w:spacing w:val="-8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trying</w:t>
      </w:r>
      <w:r>
        <w:rPr>
          <w:b/>
          <w:color w:val="383638"/>
          <w:spacing w:val="-3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to</w:t>
      </w:r>
      <w:r>
        <w:rPr>
          <w:b/>
          <w:color w:val="383638"/>
          <w:spacing w:val="4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help</w:t>
      </w:r>
      <w:r>
        <w:rPr>
          <w:b/>
          <w:color w:val="383638"/>
          <w:spacing w:val="-18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him).</w:t>
      </w:r>
    </w:p>
    <w:p>
      <w:pPr>
        <w:pStyle w:val="BodyText"/>
        <w:spacing w:line="228" w:lineRule="auto" w:before="162"/>
        <w:ind w:left="581" w:right="198" w:hanging="8"/>
        <w:jc w:val="both"/>
      </w:pPr>
      <w:r>
        <w:rPr>
          <w:color w:val="383638"/>
          <w:w w:val="105"/>
        </w:rPr>
        <w:t>Thus, you can </w:t>
      </w:r>
      <w:r>
        <w:rPr>
          <w:color w:val="4B4B4B"/>
          <w:w w:val="105"/>
        </w:rPr>
        <w:t>still </w:t>
      </w:r>
      <w:r>
        <w:rPr>
          <w:color w:val="383638"/>
          <w:w w:val="105"/>
        </w:rPr>
        <w:t>cite to a kickback case; you must, however, accurately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portray</w:t>
      </w:r>
      <w:r>
        <w:rPr>
          <w:color w:val="383638"/>
          <w:spacing w:val="-5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24"/>
          <w:w w:val="105"/>
        </w:rPr>
        <w:t> </w:t>
      </w:r>
      <w:r>
        <w:rPr>
          <w:color w:val="383638"/>
          <w:w w:val="105"/>
        </w:rPr>
        <w:t>issue</w:t>
      </w:r>
      <w:r>
        <w:rPr>
          <w:color w:val="383638"/>
          <w:spacing w:val="-5"/>
          <w:w w:val="105"/>
        </w:rPr>
        <w:t> </w:t>
      </w:r>
      <w:r>
        <w:rPr>
          <w:color w:val="383638"/>
          <w:w w:val="105"/>
        </w:rPr>
        <w:t>and</w:t>
      </w:r>
      <w:r>
        <w:rPr>
          <w:color w:val="383638"/>
          <w:spacing w:val="46"/>
          <w:w w:val="105"/>
        </w:rPr>
        <w:t> </w:t>
      </w:r>
      <w:r>
        <w:rPr>
          <w:color w:val="383638"/>
          <w:w w:val="105"/>
        </w:rPr>
        <w:t>its</w:t>
      </w:r>
      <w:r>
        <w:rPr>
          <w:color w:val="383638"/>
          <w:spacing w:val="6"/>
          <w:w w:val="105"/>
        </w:rPr>
        <w:t> </w:t>
      </w:r>
      <w:r>
        <w:rPr>
          <w:color w:val="383638"/>
          <w:w w:val="105"/>
        </w:rPr>
        <w:t>disposition</w:t>
      </w:r>
      <w:r>
        <w:rPr>
          <w:color w:val="383638"/>
          <w:spacing w:val="15"/>
          <w:w w:val="105"/>
        </w:rPr>
        <w:t> </w:t>
      </w:r>
      <w:r>
        <w:rPr>
          <w:color w:val="383638"/>
          <w:w w:val="105"/>
        </w:rPr>
        <w:t>in</w:t>
      </w:r>
      <w:r>
        <w:rPr>
          <w:color w:val="383638"/>
          <w:spacing w:val="18"/>
          <w:w w:val="105"/>
        </w:rPr>
        <w:t> </w:t>
      </w:r>
      <w:r>
        <w:rPr>
          <w:color w:val="383638"/>
          <w:w w:val="105"/>
        </w:rPr>
        <w:t>any</w:t>
      </w:r>
      <w:r>
        <w:rPr>
          <w:color w:val="383638"/>
          <w:spacing w:val="17"/>
          <w:w w:val="105"/>
        </w:rPr>
        <w:t> </w:t>
      </w:r>
      <w:r>
        <w:rPr>
          <w:color w:val="4B4B4B"/>
          <w:w w:val="105"/>
        </w:rPr>
        <w:t>case</w:t>
      </w:r>
      <w:r>
        <w:rPr>
          <w:color w:val="4B4B4B"/>
          <w:spacing w:val="-7"/>
          <w:w w:val="105"/>
        </w:rPr>
        <w:t> </w:t>
      </w:r>
      <w:r>
        <w:rPr>
          <w:color w:val="383638"/>
          <w:w w:val="105"/>
        </w:rPr>
        <w:t>description.</w:t>
      </w:r>
    </w:p>
    <w:p>
      <w:pPr>
        <w:pStyle w:val="BodyText"/>
        <w:spacing w:line="232" w:lineRule="auto" w:before="3"/>
        <w:ind w:left="530" w:right="188" w:firstLine="385"/>
        <w:jc w:val="both"/>
      </w:pPr>
      <w:r>
        <w:rPr>
          <w:color w:val="383638"/>
          <w:spacing w:val="-1"/>
          <w:w w:val="110"/>
        </w:rPr>
        <w:t>Accurately </w:t>
      </w:r>
      <w:r>
        <w:rPr>
          <w:color w:val="383638"/>
          <w:w w:val="110"/>
        </w:rPr>
        <w:t>describing authority cases is one of the best ways to </w:t>
      </w:r>
      <w:r>
        <w:rPr>
          <w:color w:val="4B4B4B"/>
          <w:w w:val="110"/>
        </w:rPr>
        <w:t>edu­</w:t>
      </w:r>
      <w:r>
        <w:rPr>
          <w:color w:val="4B4B4B"/>
          <w:spacing w:val="1"/>
          <w:w w:val="110"/>
        </w:rPr>
        <w:t> </w:t>
      </w:r>
      <w:r>
        <w:rPr>
          <w:color w:val="383638"/>
          <w:w w:val="105"/>
        </w:rPr>
        <w:t>cate a court about the meaning of the  law. You will </w:t>
      </w:r>
      <w:r>
        <w:rPr>
          <w:color w:val="4B4B4B"/>
          <w:w w:val="105"/>
        </w:rPr>
        <w:t>increase </w:t>
      </w:r>
      <w:r>
        <w:rPr>
          <w:color w:val="383638"/>
          <w:w w:val="105"/>
        </w:rPr>
        <w:t>your chances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of doing so both </w:t>
      </w:r>
      <w:r>
        <w:rPr>
          <w:color w:val="4B4B4B"/>
          <w:w w:val="105"/>
        </w:rPr>
        <w:t>effectively </w:t>
      </w:r>
      <w:r>
        <w:rPr>
          <w:color w:val="383638"/>
          <w:w w:val="105"/>
        </w:rPr>
        <w:t>and accurately if you make sure to </w:t>
      </w:r>
      <w:r>
        <w:rPr>
          <w:rFonts w:ascii="Arial" w:hAnsi="Arial"/>
          <w:color w:val="383638"/>
          <w:w w:val="105"/>
          <w:sz w:val="20"/>
        </w:rPr>
        <w:t>(1) </w:t>
      </w:r>
      <w:r>
        <w:rPr>
          <w:color w:val="383638"/>
          <w:w w:val="105"/>
        </w:rPr>
        <w:t>provide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sufficient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information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about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issue,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disposition,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facts,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48"/>
          <w:w w:val="110"/>
        </w:rPr>
        <w:t> </w:t>
      </w:r>
      <w:r>
        <w:rPr>
          <w:color w:val="383638"/>
          <w:w w:val="110"/>
        </w:rPr>
        <w:t>reasoning;</w:t>
      </w:r>
    </w:p>
    <w:p>
      <w:pPr>
        <w:pStyle w:val="BodyText"/>
        <w:spacing w:line="237" w:lineRule="auto"/>
        <w:ind w:left="476" w:right="198" w:firstLine="44"/>
        <w:jc w:val="both"/>
      </w:pPr>
      <w:r>
        <w:rPr>
          <w:rFonts w:ascii="Arial"/>
          <w:color w:val="383638"/>
          <w:w w:val="110"/>
          <w:sz w:val="20"/>
        </w:rPr>
        <w:t>(2) </w:t>
      </w:r>
      <w:r>
        <w:rPr>
          <w:color w:val="383638"/>
          <w:w w:val="110"/>
        </w:rPr>
        <w:t>focus the information on the issue currently under discussion; </w:t>
      </w:r>
      <w:r>
        <w:rPr>
          <w:rFonts w:ascii="Arial"/>
          <w:color w:val="383638"/>
          <w:w w:val="110"/>
          <w:sz w:val="20"/>
        </w:rPr>
        <w:t>(3) </w:t>
      </w:r>
      <w:r>
        <w:rPr>
          <w:color w:val="383638"/>
          <w:w w:val="110"/>
        </w:rPr>
        <w:t>use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language efficiently to avoid unnecessary wordiness; </w:t>
      </w:r>
      <w:r>
        <w:rPr>
          <w:rFonts w:ascii="Arial"/>
          <w:color w:val="383638"/>
          <w:w w:val="105"/>
          <w:sz w:val="20"/>
        </w:rPr>
        <w:t>(4)</w:t>
      </w:r>
      <w:r>
        <w:rPr>
          <w:rFonts w:ascii="Arial"/>
          <w:color w:val="383638"/>
          <w:spacing w:val="1"/>
          <w:w w:val="105"/>
          <w:sz w:val="20"/>
        </w:rPr>
        <w:t> </w:t>
      </w:r>
      <w:r>
        <w:rPr>
          <w:color w:val="383638"/>
          <w:w w:val="105"/>
        </w:rPr>
        <w:t>use parenthetical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rather than textual descriptions as appropriate for rule authorities or less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significant cases; and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  <w:sz w:val="21"/>
        </w:rPr>
        <w:t>(5) </w:t>
      </w:r>
      <w:r>
        <w:rPr>
          <w:color w:val="383638"/>
          <w:w w:val="105"/>
        </w:rPr>
        <w:t>take care to avoid misrepresenting </w:t>
      </w:r>
      <w:r>
        <w:rPr>
          <w:color w:val="4B4B4B"/>
          <w:w w:val="105"/>
        </w:rPr>
        <w:t>the </w:t>
      </w:r>
      <w:r>
        <w:rPr>
          <w:color w:val="383638"/>
          <w:w w:val="105"/>
        </w:rPr>
        <w:t>cases you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cite.</w:t>
      </w:r>
    </w:p>
    <w:p>
      <w:pPr>
        <w:spacing w:after="0" w:line="237" w:lineRule="auto"/>
        <w:jc w:val="both"/>
        <w:sectPr>
          <w:pgSz w:w="9410" w:h="13810"/>
          <w:pgMar w:header="337" w:footer="0" w:top="900" w:bottom="0" w:left="1300" w:right="0"/>
        </w:sectPr>
      </w:pPr>
    </w:p>
    <w:p>
      <w:pPr>
        <w:pStyle w:val="Heading9"/>
      </w:pPr>
      <w:r>
        <w:rPr>
          <w:color w:val="3A3838"/>
          <w:w w:val="90"/>
        </w:rPr>
        <w:t>6.2</w:t>
      </w:r>
    </w:p>
    <w:p>
      <w:pPr>
        <w:spacing w:line="302" w:lineRule="auto" w:before="43"/>
        <w:ind w:left="688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3A3838"/>
          <w:sz w:val="26"/>
        </w:rPr>
        <w:t>USING</w:t>
      </w:r>
      <w:r>
        <w:rPr>
          <w:rFonts w:ascii="Arial"/>
          <w:b/>
          <w:color w:val="3A3838"/>
          <w:spacing w:val="16"/>
          <w:sz w:val="26"/>
        </w:rPr>
        <w:t> </w:t>
      </w:r>
      <w:r>
        <w:rPr>
          <w:rFonts w:ascii="Arial"/>
          <w:b/>
          <w:color w:val="3A3838"/>
          <w:sz w:val="26"/>
        </w:rPr>
        <w:t>QUOTATIONS</w:t>
      </w:r>
      <w:r>
        <w:rPr>
          <w:rFonts w:ascii="Arial"/>
          <w:b/>
          <w:color w:val="3A3838"/>
          <w:spacing w:val="45"/>
          <w:sz w:val="26"/>
        </w:rPr>
        <w:t> </w:t>
      </w:r>
      <w:r>
        <w:rPr>
          <w:rFonts w:ascii="Arial"/>
          <w:b/>
          <w:color w:val="3A3838"/>
          <w:sz w:val="26"/>
        </w:rPr>
        <w:t>EFFECTIVELY</w:t>
      </w:r>
      <w:r>
        <w:rPr>
          <w:rFonts w:ascii="Arial"/>
          <w:b/>
          <w:color w:val="3A3838"/>
          <w:spacing w:val="45"/>
          <w:sz w:val="26"/>
        </w:rPr>
        <w:t> </w:t>
      </w:r>
      <w:r>
        <w:rPr>
          <w:rFonts w:ascii="Arial"/>
          <w:b/>
          <w:color w:val="3A3838"/>
          <w:sz w:val="26"/>
        </w:rPr>
        <w:t>IN</w:t>
      </w:r>
      <w:r>
        <w:rPr>
          <w:rFonts w:ascii="Arial"/>
          <w:b/>
          <w:color w:val="3A3838"/>
          <w:spacing w:val="8"/>
          <w:sz w:val="26"/>
        </w:rPr>
        <w:t> </w:t>
      </w:r>
      <w:r>
        <w:rPr>
          <w:rFonts w:ascii="Arial"/>
          <w:b/>
          <w:color w:val="3A3838"/>
          <w:sz w:val="26"/>
        </w:rPr>
        <w:t>CASE</w:t>
      </w:r>
      <w:r>
        <w:rPr>
          <w:rFonts w:ascii="Arial"/>
          <w:b/>
          <w:color w:val="3A3838"/>
          <w:spacing w:val="-70"/>
          <w:sz w:val="26"/>
        </w:rPr>
        <w:t> </w:t>
      </w:r>
      <w:r>
        <w:rPr>
          <w:rFonts w:ascii="Arial"/>
          <w:b/>
          <w:color w:val="3A3838"/>
          <w:sz w:val="26"/>
        </w:rPr>
        <w:t>DESCRIPTIONS</w:t>
      </w:r>
    </w:p>
    <w:p>
      <w:pPr>
        <w:pStyle w:val="BodyText"/>
        <w:spacing w:line="232" w:lineRule="auto" w:before="187"/>
        <w:ind w:left="108" w:right="235" w:firstLine="581"/>
        <w:jc w:val="both"/>
        <w:rPr>
          <w:rFonts w:ascii="Arial" w:hAnsi="Arial"/>
        </w:rPr>
      </w:pPr>
      <w:r>
        <w:rPr>
          <w:color w:val="3A3838"/>
          <w:w w:val="110"/>
        </w:rPr>
        <w:t>Quotations can be used very effectively to provide proof and support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for the brief writer's assertions. When using quotations from cases, how­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ever, it's good to keep a couple of points in mind. First of all, you should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usually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paraphrase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rather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than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quote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language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from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cases.  Quotation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marks draw the reader's attention, and youwant to save that special atten­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tion for important statements. Generally, use direct quotations only when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you are stating rules or other language at issue, or when you are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justi­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fying a conclusion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you  have drawn about the  meaning of  an  authority.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Of course, whether you are quoting or paraphrasing, be sure to provide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appropriate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citations.</w:t>
      </w:r>
      <w:r>
        <w:rPr>
          <w:rFonts w:ascii="Arial" w:hAnsi="Arial"/>
          <w:color w:val="3A3838"/>
          <w:w w:val="110"/>
          <w:vertAlign w:val="superscript"/>
        </w:rPr>
        <w:t>8</w:t>
      </w:r>
    </w:p>
    <w:p>
      <w:pPr>
        <w:pStyle w:val="BodyText"/>
        <w:spacing w:line="232" w:lineRule="auto" w:before="15"/>
        <w:ind w:left="111" w:right="194" w:firstLine="352"/>
        <w:jc w:val="both"/>
      </w:pPr>
      <w:r>
        <w:rPr>
          <w:color w:val="3A3838"/>
          <w:w w:val="110"/>
        </w:rPr>
        <w:t>Writers' problems with quotations from cases tend to fall into the two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categories of "not enough" and "too much." Some writers drop quotations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into their arguments without giving the reader enough information about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 case. Without sufficient context, the quotation is meaningless. Other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writers give the reader too much quoted language, leaving the reader to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complete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writer's  job of sifting through the language and  sorting out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its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meaning.</w:t>
      </w:r>
      <w:r>
        <w:rPr>
          <w:color w:val="3A3838"/>
          <w:spacing w:val="3"/>
          <w:w w:val="110"/>
        </w:rPr>
        <w:t> </w:t>
      </w:r>
      <w:r>
        <w:rPr>
          <w:color w:val="3A3838"/>
          <w:w w:val="110"/>
        </w:rPr>
        <w:t>Police</w:t>
      </w:r>
      <w:r>
        <w:rPr>
          <w:color w:val="3A3838"/>
          <w:spacing w:val="-2"/>
          <w:w w:val="110"/>
        </w:rPr>
        <w:t> </w:t>
      </w:r>
      <w:r>
        <w:rPr>
          <w:color w:val="3A3838"/>
          <w:w w:val="110"/>
        </w:rPr>
        <w:t>your</w:t>
      </w:r>
      <w:r>
        <w:rPr>
          <w:color w:val="3A3838"/>
          <w:spacing w:val="5"/>
          <w:w w:val="110"/>
        </w:rPr>
        <w:t> </w:t>
      </w:r>
      <w:r>
        <w:rPr>
          <w:color w:val="3A3838"/>
          <w:w w:val="110"/>
        </w:rPr>
        <w:t>writing</w:t>
      </w:r>
      <w:r>
        <w:rPr>
          <w:color w:val="3A3838"/>
          <w:spacing w:val="3"/>
          <w:w w:val="110"/>
        </w:rPr>
        <w:t> </w:t>
      </w:r>
      <w:r>
        <w:rPr>
          <w:color w:val="3A3838"/>
          <w:w w:val="110"/>
        </w:rPr>
        <w:t>to avoid</w:t>
      </w:r>
      <w:r>
        <w:rPr>
          <w:color w:val="3A3838"/>
          <w:spacing w:val="6"/>
          <w:w w:val="110"/>
        </w:rPr>
        <w:t> </w:t>
      </w:r>
      <w:r>
        <w:rPr>
          <w:color w:val="3A3838"/>
          <w:w w:val="110"/>
        </w:rPr>
        <w:t>these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problems.</w:t>
      </w:r>
    </w:p>
    <w:p>
      <w:pPr>
        <w:pStyle w:val="BodyText"/>
        <w:spacing w:before="8"/>
        <w:rPr>
          <w:sz w:val="32"/>
        </w:rPr>
      </w:pPr>
    </w:p>
    <w:p>
      <w:pPr>
        <w:spacing w:before="0"/>
        <w:ind w:left="453" w:right="0" w:firstLine="0"/>
        <w:jc w:val="left"/>
        <w:rPr>
          <w:sz w:val="30"/>
        </w:rPr>
      </w:pPr>
      <w:r>
        <w:rPr>
          <w:color w:val="3A3838"/>
          <w:w w:val="110"/>
          <w:sz w:val="30"/>
        </w:rPr>
        <w:t>6.2.1</w:t>
      </w:r>
    </w:p>
    <w:p>
      <w:pPr>
        <w:spacing w:before="37"/>
        <w:ind w:left="459" w:right="0" w:firstLine="0"/>
        <w:jc w:val="left"/>
        <w:rPr>
          <w:rFonts w:ascii="Arial"/>
          <w:sz w:val="22"/>
        </w:rPr>
      </w:pPr>
      <w:r>
        <w:rPr>
          <w:rFonts w:ascii="Arial"/>
          <w:color w:val="3A3838"/>
          <w:w w:val="110"/>
          <w:sz w:val="22"/>
        </w:rPr>
        <w:t>NOT</w:t>
      </w:r>
      <w:r>
        <w:rPr>
          <w:rFonts w:ascii="Arial"/>
          <w:color w:val="3A3838"/>
          <w:spacing w:val="-8"/>
          <w:w w:val="110"/>
          <w:sz w:val="22"/>
        </w:rPr>
        <w:t> </w:t>
      </w:r>
      <w:r>
        <w:rPr>
          <w:rFonts w:ascii="Arial"/>
          <w:color w:val="3A3838"/>
          <w:w w:val="110"/>
          <w:sz w:val="22"/>
        </w:rPr>
        <w:t>ENOUGH</w:t>
      </w:r>
      <w:r>
        <w:rPr>
          <w:rFonts w:ascii="Arial"/>
          <w:color w:val="3A3838"/>
          <w:spacing w:val="-13"/>
          <w:w w:val="110"/>
          <w:sz w:val="22"/>
        </w:rPr>
        <w:t> </w:t>
      </w:r>
      <w:r>
        <w:rPr>
          <w:rFonts w:ascii="Arial"/>
          <w:color w:val="3A3838"/>
          <w:w w:val="110"/>
          <w:sz w:val="22"/>
        </w:rPr>
        <w:t>CONTEXT</w:t>
      </w:r>
    </w:p>
    <w:p>
      <w:pPr>
        <w:pStyle w:val="BodyText"/>
        <w:spacing w:line="235" w:lineRule="auto" w:before="157"/>
        <w:ind w:left="107" w:right="173" w:firstLine="353"/>
        <w:jc w:val="both"/>
      </w:pPr>
      <w:r>
        <w:rPr>
          <w:color w:val="3A3838"/>
          <w:w w:val="110"/>
        </w:rPr>
        <w:t>Legend has it that Marie Antoinette once said, "Let them eat cake!" If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you don't know the context of that remark, she sounds like a pretty nice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person. She sounds a lot less friendly, however, once you learn that she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supposedly said it while looking down at the peasants in the street who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were</w:t>
      </w:r>
      <w:r>
        <w:rPr>
          <w:color w:val="3A3838"/>
          <w:spacing w:val="-22"/>
          <w:w w:val="110"/>
        </w:rPr>
        <w:t> </w:t>
      </w:r>
      <w:r>
        <w:rPr>
          <w:color w:val="3A3838"/>
          <w:w w:val="110"/>
        </w:rPr>
        <w:t>crying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for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bread.</w:t>
      </w:r>
    </w:p>
    <w:p>
      <w:pPr>
        <w:pStyle w:val="BodyText"/>
        <w:spacing w:line="232" w:lineRule="auto"/>
        <w:ind w:left="120" w:right="144" w:firstLine="351"/>
        <w:jc w:val="both"/>
      </w:pPr>
      <w:r>
        <w:rPr>
          <w:color w:val="3A3838"/>
          <w:w w:val="110"/>
        </w:rPr>
        <w:t>Keep Marie in mind when you are tempted to drop a pithy quote from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an obscure case into the middle of your rule explanation section. If the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judge doesn't know what that court was looking at-i.e., theissue, the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20"/>
        </w:rPr>
        <w:t>rule, and the facts-when it made that statement, he or she can't begin</w:t>
      </w:r>
      <w:r>
        <w:rPr>
          <w:color w:val="3A3838"/>
          <w:spacing w:val="1"/>
          <w:w w:val="120"/>
        </w:rPr>
        <w:t> </w:t>
      </w:r>
      <w:r>
        <w:rPr>
          <w:color w:val="3A3838"/>
          <w:w w:val="110"/>
        </w:rPr>
        <w:t>to understand the significance of the quote without looking the case up.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And since most judges don't have time to read the cases cited in the briefs,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 quote may have a negative impact: The judge will be annoyed at being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20"/>
        </w:rPr>
        <w:t>given</w:t>
      </w:r>
      <w:r>
        <w:rPr>
          <w:color w:val="3A3838"/>
          <w:spacing w:val="-8"/>
          <w:w w:val="120"/>
        </w:rPr>
        <w:t> </w:t>
      </w:r>
      <w:r>
        <w:rPr>
          <w:color w:val="3A3838"/>
          <w:w w:val="120"/>
        </w:rPr>
        <w:t>insufficient or</w:t>
      </w:r>
      <w:r>
        <w:rPr>
          <w:color w:val="3A3838"/>
          <w:spacing w:val="5"/>
          <w:w w:val="120"/>
        </w:rPr>
        <w:t> </w:t>
      </w:r>
      <w:r>
        <w:rPr>
          <w:color w:val="3A3838"/>
          <w:w w:val="120"/>
        </w:rPr>
        <w:t>misleading</w:t>
      </w:r>
      <w:r>
        <w:rPr>
          <w:color w:val="3A3838"/>
          <w:spacing w:val="-9"/>
          <w:w w:val="120"/>
        </w:rPr>
        <w:t> </w:t>
      </w:r>
      <w:r>
        <w:rPr>
          <w:color w:val="3A3838"/>
          <w:w w:val="120"/>
        </w:rPr>
        <w:t>information.</w:t>
      </w:r>
    </w:p>
    <w:p>
      <w:pPr>
        <w:pStyle w:val="BodyText"/>
        <w:spacing w:line="232" w:lineRule="auto"/>
        <w:ind w:left="130" w:right="117" w:firstLine="329"/>
        <w:jc w:val="both"/>
      </w:pPr>
      <w:r>
        <w:rPr>
          <w:color w:val="3A3838"/>
          <w:w w:val="110"/>
        </w:rPr>
        <w:t>Thus, when using a quotation  from a case, be sure you have provided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 reader with the  type of conte t mentioned in Se_cti?n 6.1. Do not  drop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a</w:t>
      </w:r>
      <w:r>
        <w:rPr>
          <w:color w:val="3A3838"/>
          <w:spacing w:val="-14"/>
          <w:w w:val="115"/>
        </w:rPr>
        <w:t> </w:t>
      </w:r>
      <w:r>
        <w:rPr>
          <w:color w:val="3A3838"/>
          <w:w w:val="115"/>
        </w:rPr>
        <w:t>quotation</w:t>
      </w:r>
      <w:r>
        <w:rPr>
          <w:color w:val="3A3838"/>
          <w:spacing w:val="10"/>
          <w:w w:val="115"/>
        </w:rPr>
        <w:t> </w:t>
      </w:r>
      <w:r>
        <w:rPr>
          <w:color w:val="3A3838"/>
          <w:w w:val="115"/>
        </w:rPr>
        <w:t>into</w:t>
      </w:r>
      <w:r>
        <w:rPr>
          <w:color w:val="3A3838"/>
          <w:spacing w:val="-12"/>
          <w:w w:val="115"/>
        </w:rPr>
        <w:t> </w:t>
      </w:r>
      <w:r>
        <w:rPr>
          <w:color w:val="3A3838"/>
          <w:w w:val="115"/>
        </w:rPr>
        <w:t>your</w:t>
      </w:r>
      <w:r>
        <w:rPr>
          <w:color w:val="3A3838"/>
          <w:spacing w:val="-14"/>
          <w:w w:val="115"/>
        </w:rPr>
        <w:t> </w:t>
      </w:r>
      <w:r>
        <w:rPr>
          <w:color w:val="3A3838"/>
          <w:w w:val="115"/>
        </w:rPr>
        <w:t>argument</w:t>
      </w:r>
      <w:r>
        <w:rPr>
          <w:color w:val="3A3838"/>
          <w:spacing w:val="13"/>
          <w:w w:val="115"/>
        </w:rPr>
        <w:t> </w:t>
      </w:r>
      <w:r>
        <w:rPr>
          <w:color w:val="3A3838"/>
          <w:w w:val="115"/>
        </w:rPr>
        <w:t>hke</w:t>
      </w:r>
      <w:r>
        <w:rPr>
          <w:color w:val="3A3838"/>
          <w:spacing w:val="-18"/>
          <w:w w:val="115"/>
        </w:rPr>
        <w:t> </w:t>
      </w:r>
      <w:r>
        <w:rPr>
          <w:color w:val="3A3838"/>
          <w:w w:val="115"/>
        </w:rPr>
        <w:t>a</w:t>
      </w:r>
      <w:r>
        <w:rPr>
          <w:color w:val="3A3838"/>
          <w:spacing w:val="-10"/>
          <w:w w:val="115"/>
        </w:rPr>
        <w:t> </w:t>
      </w:r>
      <w:r>
        <w:rPr>
          <w:color w:val="3A3838"/>
          <w:w w:val="115"/>
        </w:rPr>
        <w:t>chocolate</w:t>
      </w:r>
      <w:r>
        <w:rPr>
          <w:color w:val="3A3838"/>
          <w:spacing w:val="-3"/>
          <w:w w:val="115"/>
        </w:rPr>
        <w:t> </w:t>
      </w:r>
      <w:r>
        <w:rPr>
          <w:color w:val="3A3838"/>
          <w:w w:val="115"/>
        </w:rPr>
        <w:t>chip</w:t>
      </w:r>
      <w:r>
        <w:rPr>
          <w:color w:val="3A3838"/>
          <w:spacing w:val="-12"/>
          <w:w w:val="115"/>
        </w:rPr>
        <w:t> </w:t>
      </w:r>
      <w:r>
        <w:rPr>
          <w:color w:val="3A3838"/>
          <w:w w:val="115"/>
        </w:rPr>
        <w:t>mto</w:t>
      </w:r>
      <w:r>
        <w:rPr>
          <w:color w:val="3A3838"/>
          <w:spacing w:val="2"/>
          <w:w w:val="115"/>
        </w:rPr>
        <w:t> </w:t>
      </w:r>
      <w:r>
        <w:rPr>
          <w:color w:val="3A3838"/>
          <w:w w:val="115"/>
        </w:rPr>
        <w:t>batter:</w:t>
      </w:r>
    </w:p>
    <w:p>
      <w:pPr>
        <w:pStyle w:val="BodyText"/>
        <w:spacing w:before="6"/>
        <w:rPr>
          <w:sz w:val="27"/>
        </w:rPr>
      </w:pPr>
    </w:p>
    <w:p>
      <w:pPr>
        <w:spacing w:before="0"/>
        <w:ind w:left="466" w:right="0" w:firstLine="0"/>
        <w:jc w:val="left"/>
        <w:rPr>
          <w:sz w:val="18"/>
        </w:rPr>
      </w:pPr>
      <w:r>
        <w:rPr>
          <w:color w:val="3A3838"/>
          <w:w w:val="110"/>
          <w:sz w:val="18"/>
        </w:rPr>
        <w:t>•seeSection</w:t>
      </w:r>
      <w:r>
        <w:rPr>
          <w:color w:val="3A3838"/>
          <w:spacing w:val="8"/>
          <w:w w:val="110"/>
          <w:sz w:val="18"/>
        </w:rPr>
        <w:t> </w:t>
      </w:r>
      <w:r>
        <w:rPr>
          <w:color w:val="3A3838"/>
          <w:w w:val="110"/>
          <w:sz w:val="18"/>
        </w:rPr>
        <w:t>6.5.1</w:t>
      </w:r>
      <w:r>
        <w:rPr>
          <w:color w:val="3A3838"/>
          <w:spacing w:val="1"/>
          <w:w w:val="110"/>
          <w:sz w:val="18"/>
        </w:rPr>
        <w:t> </w:t>
      </w:r>
      <w:r>
        <w:rPr>
          <w:color w:val="3A3838"/>
          <w:w w:val="110"/>
          <w:sz w:val="18"/>
        </w:rPr>
        <w:t>for</w:t>
      </w:r>
      <w:r>
        <w:rPr>
          <w:color w:val="3A3838"/>
          <w:spacing w:val="5"/>
          <w:w w:val="110"/>
          <w:sz w:val="18"/>
        </w:rPr>
        <w:t> </w:t>
      </w:r>
      <w:r>
        <w:rPr>
          <w:color w:val="3A3838"/>
          <w:w w:val="110"/>
          <w:sz w:val="18"/>
        </w:rPr>
        <w:t>information</w:t>
      </w:r>
      <w:r>
        <w:rPr>
          <w:color w:val="3A3838"/>
          <w:spacing w:val="18"/>
          <w:w w:val="110"/>
          <w:sz w:val="18"/>
        </w:rPr>
        <w:t> </w:t>
      </w:r>
      <w:r>
        <w:rPr>
          <w:color w:val="3A3838"/>
          <w:w w:val="110"/>
          <w:sz w:val="18"/>
        </w:rPr>
        <w:t>on</w:t>
      </w:r>
      <w:r>
        <w:rPr>
          <w:color w:val="3A3838"/>
          <w:spacing w:val="21"/>
          <w:w w:val="110"/>
          <w:sz w:val="18"/>
        </w:rPr>
        <w:t> </w:t>
      </w:r>
      <w:r>
        <w:rPr>
          <w:color w:val="3A3838"/>
          <w:w w:val="110"/>
          <w:sz w:val="18"/>
        </w:rPr>
        <w:t>when</w:t>
      </w:r>
      <w:r>
        <w:rPr>
          <w:color w:val="3A3838"/>
          <w:spacing w:val="13"/>
          <w:w w:val="110"/>
          <w:sz w:val="18"/>
        </w:rPr>
        <w:t> </w:t>
      </w:r>
      <w:r>
        <w:rPr>
          <w:color w:val="3A3838"/>
          <w:w w:val="110"/>
          <w:sz w:val="18"/>
        </w:rPr>
        <w:t>to</w:t>
      </w:r>
      <w:r>
        <w:rPr>
          <w:color w:val="3A3838"/>
          <w:spacing w:val="14"/>
          <w:w w:val="110"/>
          <w:sz w:val="18"/>
        </w:rPr>
        <w:t> </w:t>
      </w:r>
      <w:r>
        <w:rPr>
          <w:color w:val="3A3838"/>
          <w:w w:val="110"/>
          <w:sz w:val="18"/>
        </w:rPr>
        <w:t>provide</w:t>
      </w:r>
      <w:r>
        <w:rPr>
          <w:color w:val="3A3838"/>
          <w:spacing w:val="-7"/>
          <w:w w:val="110"/>
          <w:sz w:val="18"/>
        </w:rPr>
        <w:t> </w:t>
      </w:r>
      <w:r>
        <w:rPr>
          <w:color w:val="3A3838"/>
          <w:w w:val="110"/>
          <w:sz w:val="18"/>
        </w:rPr>
        <w:t>citations.</w:t>
      </w:r>
    </w:p>
    <w:p>
      <w:pPr>
        <w:spacing w:after="0"/>
        <w:jc w:val="left"/>
        <w:rPr>
          <w:sz w:val="18"/>
        </w:rPr>
        <w:sectPr>
          <w:headerReference w:type="default" r:id="rId155"/>
          <w:headerReference w:type="even" r:id="rId156"/>
          <w:pgSz w:w="9550" w:h="13770"/>
          <w:pgMar w:header="597" w:footer="0" w:top="1180" w:bottom="280" w:left="440" w:right="1200"/>
          <w:pgNumType w:start="131"/>
        </w:sectPr>
      </w:pPr>
    </w:p>
    <w:p>
      <w:pPr>
        <w:spacing w:before="84"/>
        <w:ind w:left="890" w:right="0" w:firstLine="0"/>
        <w:jc w:val="both"/>
        <w:rPr>
          <w:sz w:val="15"/>
        </w:rPr>
      </w:pPr>
      <w:r>
        <w:rPr>
          <w:color w:val="2A2628"/>
          <w:spacing w:val="-1"/>
          <w:w w:val="235"/>
          <w:sz w:val="15"/>
          <w:u w:val="thick" w:color="525254"/>
        </w:rPr>
        <w:t>-\</w:t>
      </w:r>
      <w:r>
        <w:rPr>
          <w:color w:val="525254"/>
          <w:spacing w:val="-1"/>
          <w:w w:val="235"/>
          <w:sz w:val="15"/>
          <w:u w:val="thick" w:color="525254"/>
        </w:rPr>
        <w:t>/</w:t>
      </w:r>
      <w:r>
        <w:rPr>
          <w:color w:val="525254"/>
          <w:spacing w:val="51"/>
          <w:w w:val="235"/>
          <w:sz w:val="15"/>
        </w:rPr>
        <w:t> </w:t>
      </w:r>
      <w:r>
        <w:rPr>
          <w:color w:val="3A3838"/>
          <w:spacing w:val="-1"/>
          <w:w w:val="105"/>
          <w:sz w:val="15"/>
          <w:u w:val="thick" w:color="3A3838"/>
        </w:rPr>
        <w:t>BAD</w:t>
      </w:r>
      <w:r>
        <w:rPr>
          <w:color w:val="3A3838"/>
          <w:spacing w:val="-9"/>
          <w:w w:val="105"/>
          <w:sz w:val="15"/>
          <w:u w:val="thick" w:color="3A3838"/>
        </w:rPr>
        <w:t> </w:t>
      </w:r>
      <w:r>
        <w:rPr>
          <w:color w:val="3A3838"/>
          <w:spacing w:val="-1"/>
          <w:w w:val="105"/>
          <w:sz w:val="15"/>
          <w:u w:val="thick" w:color="3A3838"/>
        </w:rPr>
        <w:t>EXAMPLE</w:t>
      </w:r>
    </w:p>
    <w:p>
      <w:pPr>
        <w:spacing w:line="247" w:lineRule="auto" w:before="31"/>
        <w:ind w:left="1384" w:right="367" w:firstLine="12"/>
        <w:jc w:val="both"/>
        <w:rPr>
          <w:sz w:val="20"/>
        </w:rPr>
      </w:pPr>
      <w:r>
        <w:rPr>
          <w:color w:val="3A3838"/>
          <w:w w:val="120"/>
          <w:sz w:val="20"/>
        </w:rPr>
        <w:t>This Court has noted that generalizations "concerning parent-child</w:t>
      </w:r>
      <w:r>
        <w:rPr>
          <w:color w:val="3A3838"/>
          <w:spacing w:val="1"/>
          <w:w w:val="120"/>
          <w:sz w:val="20"/>
        </w:rPr>
        <w:t> </w:t>
      </w:r>
      <w:r>
        <w:rPr>
          <w:color w:val="3A3838"/>
          <w:w w:val="115"/>
          <w:sz w:val="20"/>
        </w:rPr>
        <w:t>relations ..</w:t>
      </w:r>
      <w:r>
        <w:rPr>
          <w:color w:val="525254"/>
          <w:w w:val="115"/>
          <w:sz w:val="20"/>
        </w:rPr>
        <w:t>. </w:t>
      </w:r>
      <w:r>
        <w:rPr>
          <w:color w:val="3A3838"/>
          <w:w w:val="115"/>
          <w:sz w:val="20"/>
        </w:rPr>
        <w:t>become Jess acceptable as the age of the child increase[s]."</w:t>
      </w:r>
      <w:r>
        <w:rPr>
          <w:color w:val="3A3838"/>
          <w:spacing w:val="-55"/>
          <w:w w:val="115"/>
          <w:sz w:val="20"/>
        </w:rPr>
        <w:t> </w:t>
      </w:r>
      <w:r>
        <w:rPr>
          <w:color w:val="3A3838"/>
          <w:w w:val="120"/>
          <w:sz w:val="20"/>
          <w:u w:val="thick" w:color="3A3838"/>
        </w:rPr>
        <w:t>Caban</w:t>
      </w:r>
      <w:r>
        <w:rPr>
          <w:color w:val="3A3838"/>
          <w:w w:val="120"/>
          <w:sz w:val="20"/>
        </w:rPr>
        <w:t> </w:t>
      </w:r>
      <w:r>
        <w:rPr>
          <w:color w:val="3A3838"/>
          <w:w w:val="120"/>
          <w:sz w:val="20"/>
          <w:u w:val="thick" w:color="3A3838"/>
        </w:rPr>
        <w:t>v</w:t>
      </w:r>
      <w:r>
        <w:rPr>
          <w:color w:val="525254"/>
          <w:w w:val="120"/>
          <w:sz w:val="20"/>
          <w:u w:val="thick" w:color="3A3838"/>
        </w:rPr>
        <w:t>. </w:t>
      </w:r>
      <w:r>
        <w:rPr>
          <w:color w:val="3A3838"/>
          <w:w w:val="120"/>
          <w:sz w:val="20"/>
          <w:u w:val="thick" w:color="3A3838"/>
        </w:rPr>
        <w:t>Mohammed.</w:t>
      </w:r>
      <w:r>
        <w:rPr>
          <w:color w:val="3A3838"/>
          <w:w w:val="120"/>
          <w:sz w:val="20"/>
        </w:rPr>
        <w:t> 441 U.S. 380, 382 (1979). Thus</w:t>
      </w:r>
      <w:r>
        <w:rPr>
          <w:color w:val="525254"/>
          <w:w w:val="120"/>
          <w:sz w:val="20"/>
        </w:rPr>
        <w:t>, </w:t>
      </w:r>
      <w:r>
        <w:rPr>
          <w:color w:val="2A2628"/>
          <w:w w:val="120"/>
          <w:sz w:val="20"/>
        </w:rPr>
        <w:t>the </w:t>
      </w:r>
      <w:r>
        <w:rPr>
          <w:color w:val="3A3838"/>
          <w:w w:val="120"/>
          <w:sz w:val="20"/>
        </w:rPr>
        <w:t>gender­</w:t>
      </w:r>
      <w:r>
        <w:rPr>
          <w:color w:val="3A3838"/>
          <w:spacing w:val="1"/>
          <w:w w:val="120"/>
          <w:sz w:val="20"/>
        </w:rPr>
        <w:t> </w:t>
      </w:r>
      <w:r>
        <w:rPr>
          <w:color w:val="3A3838"/>
          <w:w w:val="115"/>
          <w:sz w:val="20"/>
        </w:rPr>
        <w:t>based</w:t>
      </w:r>
      <w:r>
        <w:rPr>
          <w:color w:val="3A3838"/>
          <w:spacing w:val="3"/>
          <w:w w:val="115"/>
          <w:sz w:val="20"/>
        </w:rPr>
        <w:t> </w:t>
      </w:r>
      <w:r>
        <w:rPr>
          <w:color w:val="3A3838"/>
          <w:w w:val="115"/>
          <w:sz w:val="20"/>
        </w:rPr>
        <w:t>generalizations</w:t>
      </w:r>
      <w:r>
        <w:rPr>
          <w:color w:val="3A3838"/>
          <w:spacing w:val="-23"/>
          <w:w w:val="115"/>
          <w:sz w:val="20"/>
        </w:rPr>
        <w:t> </w:t>
      </w:r>
      <w:r>
        <w:rPr>
          <w:color w:val="2A2628"/>
          <w:w w:val="115"/>
          <w:sz w:val="20"/>
        </w:rPr>
        <w:t>in</w:t>
      </w:r>
      <w:r>
        <w:rPr>
          <w:color w:val="2A2628"/>
          <w:spacing w:val="17"/>
          <w:w w:val="115"/>
          <w:sz w:val="20"/>
        </w:rPr>
        <w:t> </w:t>
      </w:r>
      <w:r>
        <w:rPr>
          <w:color w:val="3A3838"/>
          <w:w w:val="115"/>
          <w:sz w:val="20"/>
        </w:rPr>
        <w:t>this</w:t>
      </w:r>
      <w:r>
        <w:rPr>
          <w:color w:val="3A3838"/>
          <w:spacing w:val="-20"/>
          <w:w w:val="115"/>
          <w:sz w:val="20"/>
        </w:rPr>
        <w:t> </w:t>
      </w:r>
      <w:r>
        <w:rPr>
          <w:color w:val="3A3838"/>
          <w:w w:val="115"/>
          <w:sz w:val="20"/>
        </w:rPr>
        <w:t>case</w:t>
      </w:r>
      <w:r>
        <w:rPr>
          <w:color w:val="3A3838"/>
          <w:spacing w:val="-27"/>
          <w:w w:val="115"/>
          <w:sz w:val="20"/>
        </w:rPr>
        <w:t> </w:t>
      </w:r>
      <w:r>
        <w:rPr>
          <w:color w:val="3A3838"/>
          <w:w w:val="115"/>
          <w:sz w:val="20"/>
        </w:rPr>
        <w:t>are</w:t>
      </w:r>
      <w:r>
        <w:rPr>
          <w:color w:val="3A3838"/>
          <w:spacing w:val="6"/>
          <w:w w:val="115"/>
          <w:sz w:val="20"/>
        </w:rPr>
        <w:t> </w:t>
      </w:r>
      <w:r>
        <w:rPr>
          <w:color w:val="3A3838"/>
          <w:w w:val="115"/>
          <w:sz w:val="20"/>
        </w:rPr>
        <w:t>invalid.</w:t>
      </w:r>
    </w:p>
    <w:p>
      <w:pPr>
        <w:pStyle w:val="BodyText"/>
        <w:spacing w:line="230" w:lineRule="auto" w:before="150"/>
        <w:ind w:left="999" w:right="50" w:firstLine="15"/>
        <w:jc w:val="both"/>
      </w:pPr>
      <w:r>
        <w:rPr>
          <w:color w:val="3A3838"/>
          <w:w w:val="110"/>
        </w:rPr>
        <w:t>An altered quotation with an unaccompanied citation does not fill </w:t>
      </w:r>
      <w:r>
        <w:rPr>
          <w:color w:val="2A2628"/>
          <w:w w:val="110"/>
        </w:rPr>
        <w:t>the</w:t>
      </w:r>
      <w:r>
        <w:rPr>
          <w:color w:val="2A2628"/>
          <w:spacing w:val="1"/>
          <w:w w:val="110"/>
        </w:rPr>
        <w:t> </w:t>
      </w:r>
      <w:r>
        <w:rPr>
          <w:color w:val="3A3838"/>
          <w:w w:val="110"/>
        </w:rPr>
        <w:t>court with confidence about the validity of your argument</w:t>
      </w:r>
      <w:r>
        <w:rPr>
          <w:color w:val="525254"/>
          <w:w w:val="110"/>
        </w:rPr>
        <w:t>. </w:t>
      </w:r>
      <w:r>
        <w:rPr>
          <w:color w:val="3A3838"/>
          <w:w w:val="110"/>
        </w:rPr>
        <w:t>Instead,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include</w:t>
      </w:r>
      <w:r>
        <w:rPr>
          <w:color w:val="3A3838"/>
          <w:spacing w:val="8"/>
          <w:w w:val="105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details</w:t>
      </w:r>
      <w:r>
        <w:rPr>
          <w:color w:val="3A3838"/>
          <w:spacing w:val="-12"/>
          <w:w w:val="105"/>
        </w:rPr>
        <w:t> </w:t>
      </w:r>
      <w:r>
        <w:rPr>
          <w:color w:val="3A3838"/>
          <w:w w:val="105"/>
        </w:rPr>
        <w:t>that</w:t>
      </w:r>
      <w:r>
        <w:rPr>
          <w:color w:val="3A3838"/>
          <w:spacing w:val="8"/>
          <w:w w:val="105"/>
        </w:rPr>
        <w:t> </w:t>
      </w:r>
      <w:r>
        <w:rPr>
          <w:color w:val="3A3838"/>
          <w:w w:val="105"/>
          <w:sz w:val="21"/>
        </w:rPr>
        <w:t>will</w:t>
      </w:r>
      <w:r>
        <w:rPr>
          <w:color w:val="3A3838"/>
          <w:spacing w:val="1"/>
          <w:w w:val="105"/>
          <w:sz w:val="21"/>
        </w:rPr>
        <w:t> </w:t>
      </w:r>
      <w:r>
        <w:rPr>
          <w:color w:val="3A3838"/>
          <w:w w:val="105"/>
        </w:rPr>
        <w:t>give</w:t>
      </w:r>
      <w:r>
        <w:rPr>
          <w:color w:val="3A3838"/>
          <w:spacing w:val="-17"/>
          <w:w w:val="105"/>
        </w:rPr>
        <w:t> </w:t>
      </w:r>
      <w:r>
        <w:rPr>
          <w:color w:val="3A3838"/>
          <w:w w:val="105"/>
        </w:rPr>
        <w:t>context</w:t>
      </w:r>
      <w:r>
        <w:rPr>
          <w:color w:val="3A3838"/>
          <w:spacing w:val="11"/>
          <w:w w:val="105"/>
        </w:rPr>
        <w:t> </w:t>
      </w:r>
      <w:r>
        <w:rPr>
          <w:color w:val="3A3838"/>
          <w:w w:val="105"/>
        </w:rPr>
        <w:t>for</w:t>
      </w:r>
      <w:r>
        <w:rPr>
          <w:color w:val="3A3838"/>
          <w:spacing w:val="-3"/>
          <w:w w:val="105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34"/>
          <w:w w:val="105"/>
        </w:rPr>
        <w:t> </w:t>
      </w:r>
      <w:r>
        <w:rPr>
          <w:color w:val="3A3838"/>
          <w:w w:val="105"/>
        </w:rPr>
        <w:t>quotation:</w:t>
      </w:r>
    </w:p>
    <w:p>
      <w:pPr>
        <w:spacing w:before="89"/>
        <w:ind w:left="968" w:right="0" w:firstLine="0"/>
        <w:jc w:val="both"/>
        <w:rPr>
          <w:sz w:val="15"/>
        </w:rPr>
      </w:pPr>
      <w:r>
        <w:rPr>
          <w:i/>
          <w:color w:val="525254"/>
          <w:w w:val="90"/>
          <w:sz w:val="31"/>
          <w:u w:val="thick" w:color="525254"/>
        </w:rPr>
        <w:t>./2</w:t>
      </w:r>
      <w:r>
        <w:rPr>
          <w:i/>
          <w:color w:val="525254"/>
          <w:w w:val="90"/>
          <w:sz w:val="31"/>
        </w:rPr>
        <w:t>.</w:t>
      </w:r>
      <w:r>
        <w:rPr>
          <w:i/>
          <w:color w:val="525254"/>
          <w:spacing w:val="-32"/>
          <w:w w:val="90"/>
          <w:sz w:val="31"/>
        </w:rPr>
        <w:t> </w:t>
      </w:r>
      <w:r>
        <w:rPr>
          <w:color w:val="3A3838"/>
          <w:w w:val="90"/>
          <w:sz w:val="15"/>
          <w:u w:val="thick" w:color="3A3838"/>
        </w:rPr>
        <w:t>GOO</w:t>
      </w:r>
      <w:r>
        <w:rPr>
          <w:color w:val="525254"/>
          <w:w w:val="90"/>
          <w:sz w:val="15"/>
          <w:u w:val="thick" w:color="3A3838"/>
        </w:rPr>
        <w:t>D</w:t>
      </w:r>
      <w:r>
        <w:rPr>
          <w:color w:val="525254"/>
          <w:spacing w:val="26"/>
          <w:w w:val="90"/>
          <w:sz w:val="15"/>
          <w:u w:val="thick" w:color="3A3838"/>
        </w:rPr>
        <w:t> </w:t>
      </w:r>
      <w:r>
        <w:rPr>
          <w:color w:val="3A3838"/>
          <w:w w:val="90"/>
          <w:sz w:val="15"/>
          <w:u w:val="thick" w:color="3A3838"/>
        </w:rPr>
        <w:t>EXAMPLE</w:t>
      </w:r>
    </w:p>
    <w:p>
      <w:pPr>
        <w:pStyle w:val="ListParagraph"/>
        <w:numPr>
          <w:ilvl w:val="0"/>
          <w:numId w:val="58"/>
        </w:numPr>
        <w:tabs>
          <w:tab w:pos="303" w:val="left" w:leader="none"/>
          <w:tab w:pos="1325" w:val="left" w:leader="none"/>
        </w:tabs>
        <w:spacing w:line="241" w:lineRule="exact" w:before="25" w:after="0"/>
        <w:ind w:left="302" w:right="0" w:hanging="185"/>
        <w:jc w:val="left"/>
        <w:rPr>
          <w:rFonts w:ascii="Arial"/>
          <w:b/>
          <w:color w:val="3A3838"/>
          <w:sz w:val="15"/>
        </w:rPr>
      </w:pPr>
      <w:r>
        <w:rPr>
          <w:color w:val="3A3838"/>
          <w:w w:val="110"/>
          <w:sz w:val="17"/>
        </w:rPr>
        <w:t>rssue</w:t>
        <w:tab/>
      </w:r>
      <w:r>
        <w:rPr>
          <w:i/>
          <w:color w:val="3A3838"/>
          <w:w w:val="110"/>
          <w:sz w:val="19"/>
        </w:rPr>
        <w:t>As </w:t>
      </w:r>
      <w:r>
        <w:rPr>
          <w:i/>
          <w:color w:val="3A3838"/>
          <w:spacing w:val="28"/>
          <w:w w:val="110"/>
          <w:sz w:val="19"/>
        </w:rPr>
        <w:t> </w:t>
      </w:r>
      <w:r>
        <w:rPr>
          <w:color w:val="3A3838"/>
          <w:w w:val="110"/>
          <w:sz w:val="20"/>
        </w:rPr>
        <w:t>far  </w:t>
      </w:r>
      <w:r>
        <w:rPr>
          <w:color w:val="3A3838"/>
          <w:spacing w:val="8"/>
          <w:w w:val="110"/>
          <w:sz w:val="20"/>
        </w:rPr>
        <w:t> </w:t>
      </w:r>
      <w:r>
        <w:rPr>
          <w:color w:val="3A3838"/>
          <w:w w:val="115"/>
          <w:sz w:val="20"/>
        </w:rPr>
        <w:t>back</w:t>
      </w:r>
      <w:r>
        <w:rPr>
          <w:color w:val="3A3838"/>
          <w:spacing w:val="23"/>
          <w:w w:val="115"/>
          <w:sz w:val="20"/>
        </w:rPr>
        <w:t> </w:t>
      </w:r>
      <w:r>
        <w:rPr>
          <w:color w:val="3A3838"/>
          <w:w w:val="115"/>
          <w:sz w:val="20"/>
        </w:rPr>
        <w:t>as</w:t>
      </w:r>
      <w:r>
        <w:rPr>
          <w:color w:val="3A3838"/>
          <w:spacing w:val="41"/>
          <w:w w:val="115"/>
          <w:sz w:val="20"/>
        </w:rPr>
        <w:t> </w:t>
      </w:r>
      <w:r>
        <w:rPr>
          <w:color w:val="3A3838"/>
          <w:w w:val="115"/>
          <w:sz w:val="20"/>
        </w:rPr>
        <w:t>1979,</w:t>
      </w:r>
      <w:r>
        <w:rPr>
          <w:color w:val="3A3838"/>
          <w:spacing w:val="36"/>
          <w:w w:val="115"/>
          <w:sz w:val="20"/>
        </w:rPr>
        <w:t> </w:t>
      </w:r>
      <w:r>
        <w:rPr>
          <w:color w:val="3A3838"/>
          <w:w w:val="115"/>
          <w:sz w:val="20"/>
        </w:rPr>
        <w:t>this</w:t>
      </w:r>
      <w:r>
        <w:rPr>
          <w:color w:val="3A3838"/>
          <w:spacing w:val="29"/>
          <w:w w:val="115"/>
          <w:sz w:val="20"/>
        </w:rPr>
        <w:t> </w:t>
      </w:r>
      <w:r>
        <w:rPr>
          <w:color w:val="3A3838"/>
          <w:w w:val="115"/>
          <w:sz w:val="20"/>
        </w:rPr>
        <w:t>Court</w:t>
      </w:r>
      <w:r>
        <w:rPr>
          <w:color w:val="3A3838"/>
          <w:spacing w:val="20"/>
          <w:w w:val="115"/>
          <w:sz w:val="20"/>
        </w:rPr>
        <w:t> </w:t>
      </w:r>
      <w:r>
        <w:rPr>
          <w:color w:val="3A3838"/>
          <w:w w:val="115"/>
          <w:sz w:val="20"/>
        </w:rPr>
        <w:t>struck</w:t>
      </w:r>
      <w:r>
        <w:rPr>
          <w:color w:val="3A3838"/>
          <w:spacing w:val="34"/>
          <w:w w:val="115"/>
          <w:sz w:val="20"/>
        </w:rPr>
        <w:t> </w:t>
      </w:r>
      <w:r>
        <w:rPr>
          <w:color w:val="3A3838"/>
          <w:w w:val="115"/>
          <w:sz w:val="20"/>
        </w:rPr>
        <w:t>down </w:t>
      </w:r>
      <w:r>
        <w:rPr>
          <w:color w:val="3A3838"/>
          <w:spacing w:val="23"/>
          <w:w w:val="115"/>
          <w:sz w:val="20"/>
        </w:rPr>
        <w:t> </w:t>
      </w:r>
      <w:r>
        <w:rPr>
          <w:rFonts w:ascii="Arial"/>
          <w:b/>
          <w:color w:val="3A3838"/>
          <w:w w:val="115"/>
          <w:sz w:val="15"/>
        </w:rPr>
        <w:t>2 </w:t>
      </w:r>
      <w:r>
        <w:rPr>
          <w:rFonts w:ascii="Arial"/>
          <w:b/>
          <w:color w:val="3A3838"/>
          <w:spacing w:val="34"/>
          <w:w w:val="115"/>
          <w:sz w:val="15"/>
        </w:rPr>
        <w:t> </w:t>
      </w:r>
      <w:r>
        <w:rPr>
          <w:b/>
          <w:color w:val="3A3838"/>
          <w:w w:val="115"/>
          <w:sz w:val="21"/>
        </w:rPr>
        <w:t>a</w:t>
      </w:r>
      <w:r>
        <w:rPr>
          <w:b/>
          <w:color w:val="3A3838"/>
          <w:spacing w:val="20"/>
          <w:w w:val="115"/>
          <w:sz w:val="21"/>
        </w:rPr>
        <w:t> </w:t>
      </w:r>
      <w:r>
        <w:rPr>
          <w:color w:val="3A3838"/>
          <w:w w:val="115"/>
          <w:sz w:val="20"/>
        </w:rPr>
        <w:t>statute</w:t>
      </w:r>
      <w:r>
        <w:rPr>
          <w:color w:val="3A3838"/>
          <w:spacing w:val="40"/>
          <w:w w:val="115"/>
          <w:sz w:val="20"/>
        </w:rPr>
        <w:t> </w:t>
      </w:r>
      <w:r>
        <w:rPr>
          <w:color w:val="2A2628"/>
          <w:w w:val="115"/>
          <w:sz w:val="20"/>
        </w:rPr>
        <w:t>that</w:t>
      </w:r>
      <w:r>
        <w:rPr>
          <w:color w:val="2A2628"/>
          <w:spacing w:val="33"/>
          <w:w w:val="115"/>
          <w:sz w:val="20"/>
        </w:rPr>
        <w:t> </w:t>
      </w:r>
      <w:r>
        <w:rPr>
          <w:color w:val="3A3838"/>
          <w:w w:val="115"/>
          <w:sz w:val="20"/>
        </w:rPr>
        <w:t>char-</w:t>
      </w:r>
    </w:p>
    <w:p>
      <w:pPr>
        <w:pStyle w:val="ListParagraph"/>
        <w:numPr>
          <w:ilvl w:val="0"/>
          <w:numId w:val="58"/>
        </w:numPr>
        <w:tabs>
          <w:tab w:pos="302" w:val="left" w:leader="none"/>
          <w:tab w:pos="1309" w:val="left" w:leader="none"/>
        </w:tabs>
        <w:spacing w:line="225" w:lineRule="exact" w:before="0" w:after="0"/>
        <w:ind w:left="301" w:right="0" w:hanging="185"/>
        <w:jc w:val="left"/>
        <w:rPr>
          <w:rFonts w:ascii="Arial"/>
          <w:b/>
          <w:color w:val="2A2628"/>
          <w:sz w:val="15"/>
        </w:rPr>
      </w:pPr>
      <w:r>
        <w:rPr>
          <w:color w:val="3A3838"/>
          <w:sz w:val="15"/>
        </w:rPr>
        <w:t>D</w:t>
      </w:r>
      <w:r>
        <w:rPr>
          <w:color w:val="525254"/>
          <w:sz w:val="15"/>
        </w:rPr>
        <w:t>i</w:t>
      </w:r>
      <w:r>
        <w:rPr>
          <w:color w:val="3A3838"/>
          <w:sz w:val="15"/>
        </w:rPr>
        <w:t>spos</w:t>
      </w:r>
      <w:r>
        <w:rPr>
          <w:color w:val="525254"/>
          <w:sz w:val="15"/>
        </w:rPr>
        <w:t>iti</w:t>
      </w:r>
      <w:r>
        <w:rPr>
          <w:color w:val="3A3838"/>
          <w:sz w:val="15"/>
        </w:rPr>
        <w:t>on</w:t>
        <w:tab/>
      </w:r>
      <w:r>
        <w:rPr>
          <w:color w:val="3A3838"/>
          <w:w w:val="115"/>
          <w:sz w:val="20"/>
        </w:rPr>
        <w:t>acterized  </w:t>
      </w:r>
      <w:r>
        <w:rPr>
          <w:color w:val="3A3838"/>
          <w:spacing w:val="11"/>
          <w:w w:val="115"/>
          <w:sz w:val="20"/>
        </w:rPr>
        <w:t> </w:t>
      </w:r>
      <w:r>
        <w:rPr>
          <w:color w:val="3A3838"/>
          <w:w w:val="115"/>
          <w:sz w:val="20"/>
        </w:rPr>
        <w:t>parent-child  </w:t>
      </w:r>
      <w:r>
        <w:rPr>
          <w:color w:val="3A3838"/>
          <w:spacing w:val="31"/>
          <w:w w:val="115"/>
          <w:sz w:val="20"/>
        </w:rPr>
        <w:t> </w:t>
      </w:r>
      <w:r>
        <w:rPr>
          <w:color w:val="3A3838"/>
          <w:w w:val="115"/>
          <w:sz w:val="20"/>
        </w:rPr>
        <w:t>relationships  </w:t>
      </w:r>
      <w:r>
        <w:rPr>
          <w:color w:val="3A3838"/>
          <w:spacing w:val="11"/>
          <w:w w:val="115"/>
          <w:sz w:val="20"/>
        </w:rPr>
        <w:t> </w:t>
      </w:r>
      <w:r>
        <w:rPr>
          <w:color w:val="3A3838"/>
          <w:w w:val="115"/>
          <w:sz w:val="20"/>
        </w:rPr>
        <w:t>between  </w:t>
      </w:r>
      <w:r>
        <w:rPr>
          <w:color w:val="3A3838"/>
          <w:spacing w:val="10"/>
          <w:w w:val="115"/>
          <w:sz w:val="20"/>
        </w:rPr>
        <w:t> </w:t>
      </w:r>
      <w:r>
        <w:rPr>
          <w:color w:val="3A3838"/>
          <w:w w:val="115"/>
          <w:sz w:val="20"/>
        </w:rPr>
        <w:t>unwed  </w:t>
      </w:r>
      <w:r>
        <w:rPr>
          <w:color w:val="3A3838"/>
          <w:spacing w:val="13"/>
          <w:w w:val="115"/>
          <w:sz w:val="20"/>
        </w:rPr>
        <w:t> </w:t>
      </w:r>
      <w:r>
        <w:rPr>
          <w:color w:val="3A3838"/>
          <w:w w:val="115"/>
          <w:sz w:val="20"/>
        </w:rPr>
        <w:t>fathers </w:t>
      </w:r>
      <w:r>
        <w:rPr>
          <w:color w:val="3A3838"/>
          <w:spacing w:val="41"/>
          <w:w w:val="115"/>
          <w:sz w:val="20"/>
        </w:rPr>
        <w:t> </w:t>
      </w:r>
      <w:r>
        <w:rPr>
          <w:color w:val="3A3838"/>
          <w:w w:val="115"/>
          <w:sz w:val="20"/>
        </w:rPr>
        <w:t>and</w:t>
      </w:r>
    </w:p>
    <w:p>
      <w:pPr>
        <w:tabs>
          <w:tab w:pos="1304" w:val="left" w:leader="none"/>
        </w:tabs>
        <w:spacing w:line="249" w:lineRule="exact" w:before="0"/>
        <w:ind w:left="118" w:right="0" w:firstLine="0"/>
        <w:jc w:val="left"/>
        <w:rPr>
          <w:sz w:val="22"/>
        </w:rPr>
      </w:pPr>
      <w:r>
        <w:rPr>
          <w:rFonts w:ascii="Arial" w:hAnsi="Arial"/>
          <w:b/>
          <w:color w:val="3A3838"/>
          <w:w w:val="120"/>
          <w:sz w:val="16"/>
        </w:rPr>
        <w:t>J</w:t>
      </w:r>
      <w:r>
        <w:rPr>
          <w:rFonts w:ascii="Arial" w:hAnsi="Arial"/>
          <w:b/>
          <w:color w:val="3A3838"/>
          <w:spacing w:val="8"/>
          <w:w w:val="120"/>
          <w:sz w:val="16"/>
        </w:rPr>
        <w:t> </w:t>
      </w:r>
      <w:r>
        <w:rPr>
          <w:color w:val="3A3838"/>
          <w:w w:val="120"/>
          <w:sz w:val="14"/>
        </w:rPr>
        <w:t>F•cts</w:t>
        <w:tab/>
      </w:r>
      <w:r>
        <w:rPr>
          <w:color w:val="3A3838"/>
          <w:w w:val="120"/>
          <w:sz w:val="20"/>
        </w:rPr>
        <w:t>their</w:t>
      </w:r>
      <w:r>
        <w:rPr>
          <w:color w:val="3A3838"/>
          <w:spacing w:val="-1"/>
          <w:w w:val="120"/>
          <w:sz w:val="20"/>
        </w:rPr>
        <w:t> </w:t>
      </w:r>
      <w:r>
        <w:rPr>
          <w:color w:val="3A3838"/>
          <w:w w:val="120"/>
          <w:sz w:val="20"/>
        </w:rPr>
        <w:t>children</w:t>
      </w:r>
      <w:r>
        <w:rPr>
          <w:color w:val="3A3838"/>
          <w:spacing w:val="2"/>
          <w:w w:val="120"/>
          <w:sz w:val="20"/>
        </w:rPr>
        <w:t> </w:t>
      </w:r>
      <w:r>
        <w:rPr>
          <w:color w:val="3A3838"/>
          <w:w w:val="120"/>
          <w:sz w:val="20"/>
        </w:rPr>
        <w:t>differently</w:t>
      </w:r>
      <w:r>
        <w:rPr>
          <w:color w:val="3A3838"/>
          <w:spacing w:val="13"/>
          <w:w w:val="120"/>
          <w:sz w:val="20"/>
        </w:rPr>
        <w:t> </w:t>
      </w:r>
      <w:r>
        <w:rPr>
          <w:color w:val="3A3838"/>
          <w:w w:val="120"/>
          <w:sz w:val="20"/>
        </w:rPr>
        <w:t>from</w:t>
      </w:r>
      <w:r>
        <w:rPr>
          <w:color w:val="3A3838"/>
          <w:spacing w:val="10"/>
          <w:w w:val="120"/>
          <w:sz w:val="20"/>
        </w:rPr>
        <w:t> </w:t>
      </w:r>
      <w:r>
        <w:rPr>
          <w:color w:val="3A3838"/>
          <w:w w:val="120"/>
          <w:sz w:val="20"/>
        </w:rPr>
        <w:t>those</w:t>
      </w:r>
      <w:r>
        <w:rPr>
          <w:color w:val="3A3838"/>
          <w:spacing w:val="-8"/>
          <w:w w:val="120"/>
          <w:sz w:val="20"/>
        </w:rPr>
        <w:t> </w:t>
      </w:r>
      <w:r>
        <w:rPr>
          <w:color w:val="3A3838"/>
          <w:w w:val="120"/>
          <w:sz w:val="20"/>
        </w:rPr>
        <w:t>of</w:t>
      </w:r>
      <w:r>
        <w:rPr>
          <w:color w:val="3A3838"/>
          <w:spacing w:val="2"/>
          <w:w w:val="120"/>
          <w:sz w:val="20"/>
        </w:rPr>
        <w:t> </w:t>
      </w:r>
      <w:r>
        <w:rPr>
          <w:color w:val="3A3838"/>
          <w:w w:val="120"/>
          <w:sz w:val="20"/>
        </w:rPr>
        <w:t>unwed</w:t>
      </w:r>
      <w:r>
        <w:rPr>
          <w:color w:val="3A3838"/>
          <w:spacing w:val="19"/>
          <w:w w:val="120"/>
          <w:sz w:val="20"/>
        </w:rPr>
        <w:t> </w:t>
      </w:r>
      <w:r>
        <w:rPr>
          <w:color w:val="3A3838"/>
          <w:w w:val="120"/>
          <w:sz w:val="20"/>
        </w:rPr>
        <w:t>mothers.</w:t>
      </w:r>
      <w:r>
        <w:rPr>
          <w:color w:val="3A3838"/>
          <w:spacing w:val="52"/>
          <w:w w:val="120"/>
          <w:sz w:val="20"/>
        </w:rPr>
        <w:t> </w:t>
      </w:r>
      <w:r>
        <w:rPr>
          <w:rFonts w:ascii="Arial" w:hAnsi="Arial"/>
          <w:b/>
          <w:color w:val="3A3838"/>
          <w:w w:val="120"/>
          <w:sz w:val="16"/>
        </w:rPr>
        <w:t>J </w:t>
      </w:r>
      <w:r>
        <w:rPr>
          <w:rFonts w:ascii="Arial" w:hAnsi="Arial"/>
          <w:b/>
          <w:color w:val="3A3838"/>
          <w:spacing w:val="4"/>
          <w:w w:val="120"/>
          <w:sz w:val="16"/>
        </w:rPr>
        <w:t> </w:t>
      </w:r>
      <w:r>
        <w:rPr>
          <w:color w:val="3A3838"/>
          <w:w w:val="120"/>
          <w:sz w:val="20"/>
          <w:u w:val="thick" w:color="3A3838"/>
        </w:rPr>
        <w:t>Caban</w:t>
      </w:r>
      <w:r>
        <w:rPr>
          <w:color w:val="3A3838"/>
          <w:spacing w:val="16"/>
          <w:w w:val="120"/>
          <w:sz w:val="20"/>
        </w:rPr>
        <w:t> </w:t>
      </w:r>
      <w:r>
        <w:rPr>
          <w:color w:val="3A3838"/>
          <w:w w:val="120"/>
          <w:sz w:val="22"/>
          <w:u w:val="thick" w:color="3A3838"/>
        </w:rPr>
        <w:t>v</w:t>
      </w:r>
      <w:r>
        <w:rPr>
          <w:color w:val="3A3838"/>
          <w:w w:val="120"/>
          <w:sz w:val="22"/>
        </w:rPr>
        <w:t>.</w:t>
      </w:r>
    </w:p>
    <w:p>
      <w:pPr>
        <w:spacing w:line="252" w:lineRule="auto" w:before="7"/>
        <w:ind w:left="1252" w:right="404" w:hanging="1145"/>
        <w:jc w:val="both"/>
        <w:rPr>
          <w:rFonts w:ascii="Arial"/>
          <w:b/>
          <w:sz w:val="15"/>
        </w:rPr>
      </w:pPr>
      <w:r>
        <w:rPr>
          <w:rFonts w:ascii="Arial"/>
          <w:b/>
          <w:color w:val="2A2628"/>
          <w:w w:val="115"/>
          <w:sz w:val="15"/>
        </w:rPr>
        <w:t>4 </w:t>
      </w:r>
      <w:r>
        <w:rPr>
          <w:rFonts w:ascii="Arial"/>
          <w:color w:val="3A3838"/>
          <w:w w:val="115"/>
          <w:sz w:val="14"/>
        </w:rPr>
        <w:t>Reasoning</w:t>
      </w:r>
      <w:r>
        <w:rPr>
          <w:rFonts w:ascii="Arial"/>
          <w:color w:val="3A3838"/>
          <w:spacing w:val="1"/>
          <w:w w:val="115"/>
          <w:sz w:val="14"/>
        </w:rPr>
        <w:t> </w:t>
      </w:r>
      <w:r>
        <w:rPr>
          <w:color w:val="3A3838"/>
          <w:w w:val="115"/>
          <w:sz w:val="20"/>
          <w:u w:val="thick" w:color="525254"/>
        </w:rPr>
        <w:t>Mohammed</w:t>
      </w:r>
      <w:r>
        <w:rPr>
          <w:color w:val="525254"/>
          <w:w w:val="115"/>
          <w:sz w:val="20"/>
        </w:rPr>
        <w:t>, </w:t>
      </w:r>
      <w:r>
        <w:rPr>
          <w:color w:val="3A3838"/>
          <w:w w:val="115"/>
          <w:sz w:val="20"/>
        </w:rPr>
        <w:t>441 U.S. 380, 382 (1979)</w:t>
      </w:r>
      <w:r>
        <w:rPr>
          <w:color w:val="525254"/>
          <w:w w:val="115"/>
          <w:sz w:val="20"/>
        </w:rPr>
        <w:t>. </w:t>
      </w:r>
      <w:r>
        <w:rPr>
          <w:color w:val="3A3838"/>
          <w:w w:val="115"/>
          <w:sz w:val="20"/>
        </w:rPr>
        <w:t>While conceding that unwed</w:t>
      </w:r>
      <w:r>
        <w:rPr>
          <w:color w:val="3A3838"/>
          <w:spacing w:val="1"/>
          <w:w w:val="115"/>
          <w:sz w:val="20"/>
        </w:rPr>
        <w:t> </w:t>
      </w:r>
      <w:r>
        <w:rPr>
          <w:color w:val="3A3838"/>
          <w:w w:val="115"/>
          <w:sz w:val="20"/>
        </w:rPr>
        <w:t>mothers  might  be closer to  </w:t>
      </w:r>
      <w:r>
        <w:rPr>
          <w:color w:val="2A2628"/>
          <w:w w:val="115"/>
          <w:sz w:val="20"/>
        </w:rPr>
        <w:t>their </w:t>
      </w:r>
      <w:r>
        <w:rPr>
          <w:color w:val="3A3838"/>
          <w:w w:val="115"/>
          <w:sz w:val="20"/>
        </w:rPr>
        <w:t>children at  birth, the  Court stated</w:t>
      </w:r>
      <w:r>
        <w:rPr>
          <w:color w:val="3A3838"/>
          <w:spacing w:val="1"/>
          <w:w w:val="115"/>
          <w:sz w:val="20"/>
        </w:rPr>
        <w:t> </w:t>
      </w:r>
      <w:r>
        <w:rPr>
          <w:color w:val="3A3838"/>
          <w:w w:val="115"/>
          <w:sz w:val="20"/>
        </w:rPr>
        <w:t>that the generalization</w:t>
      </w:r>
      <w:r>
        <w:rPr>
          <w:color w:val="3A3838"/>
          <w:spacing w:val="1"/>
          <w:w w:val="115"/>
          <w:sz w:val="20"/>
        </w:rPr>
        <w:t> </w:t>
      </w:r>
      <w:r>
        <w:rPr>
          <w:b/>
          <w:color w:val="3A3838"/>
          <w:w w:val="115"/>
          <w:sz w:val="15"/>
        </w:rPr>
        <w:t>1</w:t>
      </w:r>
      <w:r>
        <w:rPr>
          <w:b/>
          <w:color w:val="3A3838"/>
          <w:spacing w:val="1"/>
          <w:w w:val="115"/>
          <w:sz w:val="15"/>
        </w:rPr>
        <w:t> </w:t>
      </w:r>
      <w:r>
        <w:rPr>
          <w:color w:val="3A3838"/>
          <w:w w:val="115"/>
          <w:sz w:val="20"/>
        </w:rPr>
        <w:t>would become "less acceptable as a basis for</w:t>
      </w:r>
      <w:r>
        <w:rPr>
          <w:color w:val="3A3838"/>
          <w:spacing w:val="1"/>
          <w:w w:val="115"/>
          <w:sz w:val="20"/>
        </w:rPr>
        <w:t> </w:t>
      </w:r>
      <w:r>
        <w:rPr>
          <w:color w:val="3A3838"/>
          <w:w w:val="115"/>
          <w:sz w:val="20"/>
        </w:rPr>
        <w:t>legislative</w:t>
      </w:r>
      <w:r>
        <w:rPr>
          <w:color w:val="3A3838"/>
          <w:spacing w:val="-12"/>
          <w:w w:val="115"/>
          <w:sz w:val="20"/>
        </w:rPr>
        <w:t> </w:t>
      </w:r>
      <w:r>
        <w:rPr>
          <w:color w:val="3A3838"/>
          <w:w w:val="115"/>
          <w:sz w:val="20"/>
        </w:rPr>
        <w:t>distinctions"</w:t>
      </w:r>
      <w:r>
        <w:rPr>
          <w:color w:val="3A3838"/>
          <w:spacing w:val="-9"/>
          <w:w w:val="115"/>
          <w:sz w:val="20"/>
        </w:rPr>
        <w:t> </w:t>
      </w:r>
      <w:r>
        <w:rPr>
          <w:color w:val="3A3838"/>
          <w:w w:val="115"/>
          <w:sz w:val="20"/>
        </w:rPr>
        <w:t>as</w:t>
      </w:r>
      <w:r>
        <w:rPr>
          <w:color w:val="3A3838"/>
          <w:spacing w:val="10"/>
          <w:w w:val="115"/>
          <w:sz w:val="20"/>
        </w:rPr>
        <w:t> </w:t>
      </w:r>
      <w:r>
        <w:rPr>
          <w:color w:val="3A3838"/>
          <w:w w:val="115"/>
          <w:sz w:val="20"/>
        </w:rPr>
        <w:t>the</w:t>
      </w:r>
      <w:r>
        <w:rPr>
          <w:color w:val="3A3838"/>
          <w:spacing w:val="10"/>
          <w:w w:val="115"/>
          <w:sz w:val="20"/>
        </w:rPr>
        <w:t> </w:t>
      </w:r>
      <w:r>
        <w:rPr>
          <w:color w:val="3A3838"/>
          <w:w w:val="115"/>
          <w:sz w:val="20"/>
        </w:rPr>
        <w:t>age</w:t>
      </w:r>
      <w:r>
        <w:rPr>
          <w:color w:val="3A3838"/>
          <w:spacing w:val="-22"/>
          <w:w w:val="115"/>
          <w:sz w:val="20"/>
        </w:rPr>
        <w:t> </w:t>
      </w:r>
      <w:r>
        <w:rPr>
          <w:color w:val="3A3838"/>
          <w:w w:val="115"/>
          <w:sz w:val="20"/>
        </w:rPr>
        <w:t>of</w:t>
      </w:r>
      <w:r>
        <w:rPr>
          <w:color w:val="3A3838"/>
          <w:spacing w:val="9"/>
          <w:w w:val="115"/>
          <w:sz w:val="20"/>
        </w:rPr>
        <w:t> </w:t>
      </w:r>
      <w:r>
        <w:rPr>
          <w:color w:val="3A3838"/>
          <w:w w:val="115"/>
          <w:sz w:val="20"/>
        </w:rPr>
        <w:t>the</w:t>
      </w:r>
      <w:r>
        <w:rPr>
          <w:color w:val="3A3838"/>
          <w:spacing w:val="10"/>
          <w:w w:val="115"/>
          <w:sz w:val="20"/>
        </w:rPr>
        <w:t> </w:t>
      </w:r>
      <w:r>
        <w:rPr>
          <w:color w:val="3A3838"/>
          <w:w w:val="115"/>
          <w:sz w:val="20"/>
        </w:rPr>
        <w:t>child</w:t>
      </w:r>
      <w:r>
        <w:rPr>
          <w:color w:val="3A3838"/>
          <w:spacing w:val="10"/>
          <w:w w:val="115"/>
          <w:sz w:val="20"/>
        </w:rPr>
        <w:t> </w:t>
      </w:r>
      <w:r>
        <w:rPr>
          <w:color w:val="3A3838"/>
          <w:w w:val="115"/>
          <w:sz w:val="20"/>
        </w:rPr>
        <w:t>increased.</w:t>
      </w:r>
      <w:r>
        <w:rPr>
          <w:color w:val="3A3838"/>
          <w:spacing w:val="-13"/>
          <w:w w:val="115"/>
          <w:sz w:val="20"/>
        </w:rPr>
        <w:t> </w:t>
      </w:r>
      <w:r>
        <w:rPr>
          <w:rFonts w:ascii="Arial"/>
          <w:color w:val="3A3838"/>
          <w:w w:val="115"/>
          <w:sz w:val="18"/>
        </w:rPr>
        <w:t>lg.</w:t>
      </w:r>
      <w:r>
        <w:rPr>
          <w:rFonts w:ascii="Arial"/>
          <w:color w:val="3A3838"/>
          <w:spacing w:val="11"/>
          <w:w w:val="115"/>
          <w:sz w:val="18"/>
        </w:rPr>
        <w:t> </w:t>
      </w:r>
      <w:r>
        <w:rPr>
          <w:rFonts w:ascii="Arial"/>
          <w:b/>
          <w:color w:val="3A3838"/>
          <w:w w:val="115"/>
          <w:sz w:val="15"/>
        </w:rPr>
        <w:t>4</w:t>
      </w:r>
    </w:p>
    <w:p>
      <w:pPr>
        <w:pStyle w:val="BodyText"/>
        <w:spacing w:before="122"/>
        <w:ind w:left="903"/>
        <w:jc w:val="both"/>
      </w:pPr>
      <w:r>
        <w:rPr>
          <w:color w:val="3A3838"/>
          <w:w w:val="105"/>
        </w:rPr>
        <w:t>Quotations</w:t>
      </w:r>
      <w:r>
        <w:rPr>
          <w:color w:val="3A3838"/>
          <w:spacing w:val="2"/>
          <w:w w:val="105"/>
        </w:rPr>
        <w:t> </w:t>
      </w:r>
      <w:r>
        <w:rPr>
          <w:color w:val="525254"/>
          <w:w w:val="105"/>
        </w:rPr>
        <w:t>c</w:t>
      </w:r>
      <w:r>
        <w:rPr>
          <w:color w:val="3A3838"/>
          <w:w w:val="105"/>
        </w:rPr>
        <w:t>an</w:t>
      </w:r>
      <w:r>
        <w:rPr>
          <w:color w:val="3A3838"/>
          <w:spacing w:val="31"/>
          <w:w w:val="105"/>
        </w:rPr>
        <w:t> </w:t>
      </w:r>
      <w:r>
        <w:rPr>
          <w:color w:val="3A3838"/>
          <w:w w:val="105"/>
        </w:rPr>
        <w:t>also</w:t>
      </w:r>
      <w:r>
        <w:rPr>
          <w:color w:val="3A3838"/>
          <w:spacing w:val="-8"/>
          <w:w w:val="105"/>
        </w:rPr>
        <w:t> </w:t>
      </w:r>
      <w:r>
        <w:rPr>
          <w:color w:val="3A3838"/>
          <w:w w:val="105"/>
        </w:rPr>
        <w:t>be</w:t>
      </w:r>
      <w:r>
        <w:rPr>
          <w:color w:val="3A3838"/>
          <w:spacing w:val="10"/>
          <w:w w:val="105"/>
        </w:rPr>
        <w:t> </w:t>
      </w:r>
      <w:r>
        <w:rPr>
          <w:color w:val="3A3838"/>
          <w:w w:val="105"/>
        </w:rPr>
        <w:t>used</w:t>
      </w:r>
      <w:r>
        <w:rPr>
          <w:color w:val="3A3838"/>
          <w:spacing w:val="17"/>
          <w:w w:val="105"/>
        </w:rPr>
        <w:t> </w:t>
      </w:r>
      <w:r>
        <w:rPr>
          <w:color w:val="3A3838"/>
          <w:w w:val="105"/>
        </w:rPr>
        <w:t>effectively</w:t>
      </w:r>
      <w:r>
        <w:rPr>
          <w:color w:val="3A3838"/>
          <w:spacing w:val="2"/>
          <w:w w:val="105"/>
        </w:rPr>
        <w:t> </w:t>
      </w:r>
      <w:r>
        <w:rPr>
          <w:color w:val="3A3838"/>
          <w:w w:val="105"/>
        </w:rPr>
        <w:t>in</w:t>
      </w:r>
      <w:r>
        <w:rPr>
          <w:color w:val="3A3838"/>
          <w:spacing w:val="30"/>
          <w:w w:val="105"/>
        </w:rPr>
        <w:t> </w:t>
      </w:r>
      <w:r>
        <w:rPr>
          <w:color w:val="3A3838"/>
          <w:w w:val="105"/>
        </w:rPr>
        <w:t>a</w:t>
      </w:r>
      <w:r>
        <w:rPr>
          <w:color w:val="3A3838"/>
          <w:spacing w:val="24"/>
          <w:w w:val="105"/>
        </w:rPr>
        <w:t> </w:t>
      </w:r>
      <w:r>
        <w:rPr>
          <w:color w:val="3A3838"/>
          <w:w w:val="105"/>
        </w:rPr>
        <w:t>parenthetical:</w:t>
      </w:r>
    </w:p>
    <w:p>
      <w:pPr>
        <w:spacing w:line="247" w:lineRule="auto" w:before="139"/>
        <w:ind w:left="1203" w:right="401" w:firstLine="5"/>
        <w:jc w:val="both"/>
        <w:rPr>
          <w:b/>
          <w:sz w:val="17"/>
        </w:rPr>
      </w:pPr>
      <w:r>
        <w:rPr>
          <w:color w:val="3A3838"/>
          <w:w w:val="120"/>
          <w:sz w:val="20"/>
        </w:rPr>
        <w:t>As far</w:t>
      </w:r>
      <w:r>
        <w:rPr>
          <w:color w:val="3A3838"/>
          <w:spacing w:val="1"/>
          <w:w w:val="120"/>
          <w:sz w:val="20"/>
        </w:rPr>
        <w:t> </w:t>
      </w:r>
      <w:r>
        <w:rPr>
          <w:color w:val="3A3838"/>
          <w:w w:val="120"/>
          <w:sz w:val="20"/>
        </w:rPr>
        <w:t>back as 1979, this Court struck down</w:t>
      </w:r>
      <w:r>
        <w:rPr>
          <w:color w:val="3A3838"/>
          <w:spacing w:val="1"/>
          <w:w w:val="120"/>
          <w:sz w:val="20"/>
        </w:rPr>
        <w:t> </w:t>
      </w:r>
      <w:r>
        <w:rPr>
          <w:rFonts w:ascii="Arial" w:hAnsi="Arial"/>
          <w:b/>
          <w:color w:val="2A2628"/>
          <w:w w:val="120"/>
          <w:sz w:val="16"/>
        </w:rPr>
        <w:t>2</w:t>
      </w:r>
      <w:r>
        <w:rPr>
          <w:rFonts w:ascii="Arial" w:hAnsi="Arial"/>
          <w:b/>
          <w:color w:val="2A2628"/>
          <w:spacing w:val="1"/>
          <w:w w:val="120"/>
          <w:sz w:val="16"/>
        </w:rPr>
        <w:t> </w:t>
      </w:r>
      <w:r>
        <w:rPr>
          <w:color w:val="3A3838"/>
          <w:w w:val="120"/>
          <w:sz w:val="20"/>
        </w:rPr>
        <w:t>a </w:t>
      </w:r>
      <w:r>
        <w:rPr>
          <w:color w:val="525254"/>
          <w:w w:val="120"/>
          <w:sz w:val="20"/>
        </w:rPr>
        <w:t>s</w:t>
      </w:r>
      <w:r>
        <w:rPr>
          <w:color w:val="3A3838"/>
          <w:w w:val="120"/>
          <w:sz w:val="20"/>
        </w:rPr>
        <w:t>tatute</w:t>
      </w:r>
      <w:r>
        <w:rPr>
          <w:color w:val="3A3838"/>
          <w:spacing w:val="1"/>
          <w:w w:val="120"/>
          <w:sz w:val="20"/>
        </w:rPr>
        <w:t> </w:t>
      </w:r>
      <w:r>
        <w:rPr>
          <w:color w:val="3A3838"/>
          <w:w w:val="120"/>
          <w:sz w:val="20"/>
        </w:rPr>
        <w:t>that char­</w:t>
      </w:r>
      <w:r>
        <w:rPr>
          <w:color w:val="3A3838"/>
          <w:spacing w:val="1"/>
          <w:w w:val="120"/>
          <w:sz w:val="20"/>
        </w:rPr>
        <w:t> </w:t>
      </w:r>
      <w:r>
        <w:rPr>
          <w:color w:val="3A3838"/>
          <w:w w:val="120"/>
          <w:sz w:val="20"/>
        </w:rPr>
        <w:t>acterized</w:t>
      </w:r>
      <w:r>
        <w:rPr>
          <w:color w:val="3A3838"/>
          <w:spacing w:val="1"/>
          <w:w w:val="120"/>
          <w:sz w:val="20"/>
        </w:rPr>
        <w:t> </w:t>
      </w:r>
      <w:r>
        <w:rPr>
          <w:color w:val="3A3838"/>
          <w:w w:val="120"/>
          <w:sz w:val="20"/>
        </w:rPr>
        <w:t>parent</w:t>
      </w:r>
      <w:r>
        <w:rPr>
          <w:color w:val="525254"/>
          <w:w w:val="120"/>
          <w:sz w:val="20"/>
        </w:rPr>
        <w:t>-</w:t>
      </w:r>
      <w:r>
        <w:rPr>
          <w:color w:val="3A3838"/>
          <w:w w:val="120"/>
          <w:sz w:val="20"/>
        </w:rPr>
        <w:t>child</w:t>
      </w:r>
      <w:r>
        <w:rPr>
          <w:color w:val="3A3838"/>
          <w:spacing w:val="1"/>
          <w:w w:val="120"/>
          <w:sz w:val="20"/>
        </w:rPr>
        <w:t> </w:t>
      </w:r>
      <w:r>
        <w:rPr>
          <w:color w:val="3A3838"/>
          <w:w w:val="120"/>
          <w:sz w:val="20"/>
        </w:rPr>
        <w:t>relationships  between  unwed  fathers  and</w:t>
      </w:r>
      <w:r>
        <w:rPr>
          <w:color w:val="3A3838"/>
          <w:spacing w:val="1"/>
          <w:w w:val="120"/>
          <w:sz w:val="20"/>
        </w:rPr>
        <w:t> </w:t>
      </w:r>
      <w:r>
        <w:rPr>
          <w:color w:val="3A3838"/>
          <w:w w:val="120"/>
          <w:sz w:val="20"/>
        </w:rPr>
        <w:t>their children </w:t>
      </w:r>
      <w:r>
        <w:rPr>
          <w:color w:val="2A2628"/>
          <w:w w:val="120"/>
          <w:sz w:val="20"/>
        </w:rPr>
        <w:t>differently </w:t>
      </w:r>
      <w:r>
        <w:rPr>
          <w:color w:val="3A3838"/>
          <w:w w:val="120"/>
          <w:sz w:val="20"/>
        </w:rPr>
        <w:t>from those of unwed mothers.</w:t>
      </w:r>
      <w:r>
        <w:rPr>
          <w:color w:val="3A3838"/>
          <w:spacing w:val="1"/>
          <w:w w:val="120"/>
          <w:sz w:val="20"/>
        </w:rPr>
        <w:t> </w:t>
      </w:r>
      <w:r>
        <w:rPr>
          <w:rFonts w:ascii="Arial" w:hAnsi="Arial"/>
          <w:color w:val="3A3838"/>
          <w:w w:val="120"/>
          <w:sz w:val="16"/>
        </w:rPr>
        <w:t>J</w:t>
      </w:r>
      <w:r>
        <w:rPr>
          <w:rFonts w:ascii="Arial" w:hAnsi="Arial"/>
          <w:color w:val="3A3838"/>
          <w:spacing w:val="1"/>
          <w:w w:val="120"/>
          <w:sz w:val="16"/>
        </w:rPr>
        <w:t> </w:t>
      </w:r>
      <w:r>
        <w:rPr>
          <w:color w:val="3A3838"/>
          <w:w w:val="120"/>
          <w:sz w:val="20"/>
          <w:u w:val="thick" w:color="3A3838"/>
        </w:rPr>
        <w:t>Caban</w:t>
      </w:r>
      <w:r>
        <w:rPr>
          <w:color w:val="3A3838"/>
          <w:w w:val="120"/>
          <w:sz w:val="20"/>
        </w:rPr>
        <w:t> </w:t>
      </w:r>
      <w:r>
        <w:rPr>
          <w:color w:val="3A3838"/>
          <w:w w:val="120"/>
          <w:sz w:val="20"/>
          <w:u w:val="thick" w:color="3A3838"/>
        </w:rPr>
        <w:t>v</w:t>
      </w:r>
      <w:r>
        <w:rPr>
          <w:color w:val="3A3838"/>
          <w:w w:val="120"/>
          <w:sz w:val="20"/>
        </w:rPr>
        <w:t>.</w:t>
      </w:r>
      <w:r>
        <w:rPr>
          <w:color w:val="3A3838"/>
          <w:spacing w:val="1"/>
          <w:w w:val="120"/>
          <w:sz w:val="20"/>
        </w:rPr>
        <w:t> </w:t>
      </w:r>
      <w:r>
        <w:rPr>
          <w:color w:val="3A3838"/>
          <w:w w:val="120"/>
          <w:sz w:val="20"/>
          <w:u w:val="thick" w:color="3A3838"/>
        </w:rPr>
        <w:t>Mohammed,</w:t>
      </w:r>
      <w:r>
        <w:rPr>
          <w:color w:val="3A3838"/>
          <w:w w:val="120"/>
          <w:sz w:val="20"/>
        </w:rPr>
        <w:t> 441 U.S. 380, 382 (1979) (noting that any generaliza­</w:t>
      </w:r>
      <w:r>
        <w:rPr>
          <w:color w:val="3A3838"/>
          <w:spacing w:val="1"/>
          <w:w w:val="120"/>
          <w:sz w:val="20"/>
        </w:rPr>
        <w:t> </w:t>
      </w:r>
      <w:r>
        <w:rPr>
          <w:color w:val="3A3838"/>
          <w:w w:val="120"/>
          <w:sz w:val="20"/>
        </w:rPr>
        <w:t>tions </w:t>
      </w:r>
      <w:r>
        <w:rPr>
          <w:color w:val="3A3838"/>
          <w:w w:val="120"/>
          <w:sz w:val="16"/>
        </w:rPr>
        <w:t>1</w:t>
      </w:r>
      <w:r>
        <w:rPr>
          <w:color w:val="3A3838"/>
          <w:spacing w:val="1"/>
          <w:w w:val="120"/>
          <w:sz w:val="16"/>
        </w:rPr>
        <w:t> </w:t>
      </w:r>
      <w:r>
        <w:rPr>
          <w:color w:val="3A3838"/>
          <w:w w:val="120"/>
          <w:sz w:val="20"/>
        </w:rPr>
        <w:t>would become "less acceptable as a basis for legislative dis­</w:t>
      </w:r>
      <w:r>
        <w:rPr>
          <w:color w:val="3A3838"/>
          <w:spacing w:val="1"/>
          <w:w w:val="120"/>
          <w:sz w:val="20"/>
        </w:rPr>
        <w:t> </w:t>
      </w:r>
      <w:r>
        <w:rPr>
          <w:color w:val="3A3838"/>
          <w:w w:val="120"/>
          <w:sz w:val="20"/>
        </w:rPr>
        <w:t>tinctions"</w:t>
      </w:r>
      <w:r>
        <w:rPr>
          <w:color w:val="3A3838"/>
          <w:spacing w:val="-18"/>
          <w:w w:val="120"/>
          <w:sz w:val="20"/>
        </w:rPr>
        <w:t> </w:t>
      </w:r>
      <w:r>
        <w:rPr>
          <w:rFonts w:ascii="Arial" w:hAnsi="Arial"/>
          <w:color w:val="3A3838"/>
          <w:w w:val="120"/>
          <w:sz w:val="18"/>
        </w:rPr>
        <w:t>as</w:t>
      </w:r>
      <w:r>
        <w:rPr>
          <w:rFonts w:ascii="Arial" w:hAnsi="Arial"/>
          <w:color w:val="3A3838"/>
          <w:spacing w:val="-25"/>
          <w:w w:val="120"/>
          <w:sz w:val="18"/>
        </w:rPr>
        <w:t> </w:t>
      </w:r>
      <w:r>
        <w:rPr>
          <w:color w:val="3A3838"/>
          <w:w w:val="120"/>
          <w:sz w:val="20"/>
        </w:rPr>
        <w:t>the</w:t>
      </w:r>
      <w:r>
        <w:rPr>
          <w:color w:val="3A3838"/>
          <w:spacing w:val="7"/>
          <w:w w:val="120"/>
          <w:sz w:val="20"/>
        </w:rPr>
        <w:t> </w:t>
      </w:r>
      <w:r>
        <w:rPr>
          <w:color w:val="3A3838"/>
          <w:w w:val="120"/>
          <w:sz w:val="20"/>
        </w:rPr>
        <w:t>child</w:t>
      </w:r>
      <w:r>
        <w:rPr>
          <w:color w:val="3A3838"/>
          <w:spacing w:val="-1"/>
          <w:w w:val="120"/>
          <w:sz w:val="20"/>
        </w:rPr>
        <w:t> </w:t>
      </w:r>
      <w:r>
        <w:rPr>
          <w:color w:val="3A3838"/>
          <w:w w:val="120"/>
          <w:sz w:val="20"/>
        </w:rPr>
        <w:t>grew</w:t>
      </w:r>
      <w:r>
        <w:rPr>
          <w:color w:val="3A3838"/>
          <w:spacing w:val="-14"/>
          <w:w w:val="120"/>
          <w:sz w:val="20"/>
        </w:rPr>
        <w:t> </w:t>
      </w:r>
      <w:r>
        <w:rPr>
          <w:color w:val="3A3838"/>
          <w:w w:val="120"/>
          <w:sz w:val="20"/>
        </w:rPr>
        <w:t>older)</w:t>
      </w:r>
      <w:r>
        <w:rPr>
          <w:color w:val="3A3838"/>
          <w:spacing w:val="27"/>
          <w:w w:val="120"/>
          <w:sz w:val="20"/>
        </w:rPr>
        <w:t> </w:t>
      </w:r>
      <w:r>
        <w:rPr>
          <w:b/>
          <w:color w:val="3A3838"/>
          <w:w w:val="120"/>
          <w:sz w:val="17"/>
        </w:rPr>
        <w:t>4.</w:t>
      </w:r>
    </w:p>
    <w:p>
      <w:pPr>
        <w:pStyle w:val="BodyText"/>
        <w:spacing w:line="230" w:lineRule="auto" w:before="158"/>
        <w:ind w:left="851" w:right="92" w:firstLine="17"/>
        <w:jc w:val="both"/>
      </w:pPr>
      <w:r>
        <w:rPr>
          <w:color w:val="3A3838"/>
          <w:w w:val="110"/>
        </w:rPr>
        <w:t>By making a quotation part of a coherent case description, you make it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more likely that the quotation will do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job of convincing the court that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-8"/>
          <w:w w:val="105"/>
        </w:rPr>
        <w:t> </w:t>
      </w:r>
      <w:r>
        <w:rPr>
          <w:color w:val="3A3838"/>
          <w:w w:val="105"/>
        </w:rPr>
        <w:t>case</w:t>
      </w:r>
      <w:r>
        <w:rPr>
          <w:color w:val="3A3838"/>
          <w:spacing w:val="-10"/>
          <w:w w:val="105"/>
        </w:rPr>
        <w:t> </w:t>
      </w:r>
      <w:r>
        <w:rPr>
          <w:color w:val="3A3838"/>
          <w:w w:val="105"/>
        </w:rPr>
        <w:t>stands</w:t>
      </w:r>
      <w:r>
        <w:rPr>
          <w:color w:val="3A3838"/>
          <w:spacing w:val="-7"/>
          <w:w w:val="105"/>
        </w:rPr>
        <w:t> </w:t>
      </w:r>
      <w:r>
        <w:rPr>
          <w:color w:val="3A3838"/>
          <w:w w:val="105"/>
        </w:rPr>
        <w:t>for</w:t>
      </w:r>
      <w:r>
        <w:rPr>
          <w:color w:val="3A3838"/>
          <w:spacing w:val="4"/>
          <w:w w:val="105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38"/>
          <w:w w:val="105"/>
        </w:rPr>
        <w:t> </w:t>
      </w:r>
      <w:r>
        <w:rPr>
          <w:color w:val="3A3838"/>
          <w:w w:val="105"/>
        </w:rPr>
        <w:t>proposition</w:t>
      </w:r>
      <w:r>
        <w:rPr>
          <w:color w:val="3A3838"/>
          <w:spacing w:val="28"/>
          <w:w w:val="105"/>
        </w:rPr>
        <w:t> </w:t>
      </w:r>
      <w:r>
        <w:rPr>
          <w:color w:val="3A3838"/>
          <w:w w:val="105"/>
        </w:rPr>
        <w:t>you</w:t>
      </w:r>
      <w:r>
        <w:rPr>
          <w:color w:val="3A3838"/>
          <w:spacing w:val="-5"/>
          <w:w w:val="105"/>
        </w:rPr>
        <w:t> </w:t>
      </w:r>
      <w:r>
        <w:rPr>
          <w:color w:val="3A3838"/>
          <w:w w:val="105"/>
        </w:rPr>
        <w:t>say</w:t>
      </w:r>
      <w:r>
        <w:rPr>
          <w:color w:val="3A3838"/>
          <w:spacing w:val="-5"/>
          <w:w w:val="105"/>
        </w:rPr>
        <w:t> </w:t>
      </w:r>
      <w:r>
        <w:rPr>
          <w:color w:val="3A3838"/>
          <w:w w:val="105"/>
        </w:rPr>
        <w:t>it</w:t>
      </w:r>
      <w:r>
        <w:rPr>
          <w:color w:val="3A3838"/>
          <w:spacing w:val="7"/>
          <w:w w:val="105"/>
        </w:rPr>
        <w:t> </w:t>
      </w:r>
      <w:r>
        <w:rPr>
          <w:color w:val="3A3838"/>
          <w:w w:val="105"/>
        </w:rPr>
        <w:t>does.</w:t>
      </w:r>
    </w:p>
    <w:p>
      <w:pPr>
        <w:pStyle w:val="BodyText"/>
        <w:rPr>
          <w:sz w:val="34"/>
        </w:rPr>
      </w:pPr>
    </w:p>
    <w:p>
      <w:pPr>
        <w:spacing w:before="0"/>
        <w:ind w:left="1157" w:right="0" w:firstLine="0"/>
        <w:jc w:val="left"/>
        <w:rPr>
          <w:rFonts w:ascii="Courier New"/>
          <w:sz w:val="32"/>
        </w:rPr>
      </w:pPr>
      <w:r>
        <w:rPr>
          <w:rFonts w:ascii="Courier New"/>
          <w:color w:val="3A3838"/>
          <w:w w:val="80"/>
          <w:sz w:val="32"/>
        </w:rPr>
        <w:t>6.2.2</w:t>
      </w:r>
    </w:p>
    <w:p>
      <w:pPr>
        <w:spacing w:before="15"/>
        <w:ind w:left="1186" w:right="0" w:firstLine="0"/>
        <w:jc w:val="left"/>
        <w:rPr>
          <w:rFonts w:ascii="Arial"/>
          <w:sz w:val="22"/>
        </w:rPr>
      </w:pPr>
      <w:r>
        <w:rPr>
          <w:rFonts w:ascii="Arial"/>
          <w:color w:val="3A3838"/>
          <w:w w:val="105"/>
          <w:sz w:val="22"/>
        </w:rPr>
        <w:t>TOO</w:t>
      </w:r>
      <w:r>
        <w:rPr>
          <w:rFonts w:ascii="Arial"/>
          <w:color w:val="3A3838"/>
          <w:spacing w:val="7"/>
          <w:w w:val="105"/>
          <w:sz w:val="22"/>
        </w:rPr>
        <w:t> </w:t>
      </w:r>
      <w:r>
        <w:rPr>
          <w:rFonts w:ascii="Arial"/>
          <w:color w:val="3A3838"/>
          <w:w w:val="105"/>
          <w:sz w:val="22"/>
        </w:rPr>
        <w:t>MUCH</w:t>
      </w:r>
      <w:r>
        <w:rPr>
          <w:rFonts w:ascii="Arial"/>
          <w:color w:val="3A3838"/>
          <w:spacing w:val="7"/>
          <w:w w:val="105"/>
          <w:sz w:val="22"/>
        </w:rPr>
        <w:t> </w:t>
      </w:r>
      <w:r>
        <w:rPr>
          <w:rFonts w:ascii="Arial"/>
          <w:color w:val="3A3838"/>
          <w:w w:val="105"/>
          <w:sz w:val="22"/>
        </w:rPr>
        <w:t>QUOTED</w:t>
      </w:r>
      <w:r>
        <w:rPr>
          <w:rFonts w:ascii="Arial"/>
          <w:color w:val="3A3838"/>
          <w:spacing w:val="-1"/>
          <w:w w:val="105"/>
          <w:sz w:val="22"/>
        </w:rPr>
        <w:t> </w:t>
      </w:r>
      <w:r>
        <w:rPr>
          <w:rFonts w:ascii="Arial"/>
          <w:color w:val="3A3838"/>
          <w:w w:val="105"/>
          <w:sz w:val="22"/>
        </w:rPr>
        <w:t>LANGUAGE</w:t>
      </w:r>
    </w:p>
    <w:p>
      <w:pPr>
        <w:pStyle w:val="BodyText"/>
        <w:spacing w:line="228" w:lineRule="auto" w:before="154"/>
        <w:ind w:left="707" w:right="111" w:firstLine="430"/>
        <w:jc w:val="both"/>
      </w:pPr>
      <w:r>
        <w:rPr>
          <w:color w:val="3A3838"/>
          <w:w w:val="110"/>
        </w:rPr>
        <w:t>Some writers are so enamored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with  the court's language  that  they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are </w:t>
      </w:r>
      <w:r>
        <w:rPr>
          <w:color w:val="2A2628"/>
          <w:w w:val="110"/>
        </w:rPr>
        <w:t>loathe </w:t>
      </w:r>
      <w:r>
        <w:rPr>
          <w:color w:val="3A3838"/>
          <w:w w:val="110"/>
        </w:rPr>
        <w:t>to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paraphrase.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Instead,  they simply  provide  page after  page</w:t>
      </w:r>
      <w:r>
        <w:rPr>
          <w:color w:val="3A3838"/>
          <w:spacing w:val="-61"/>
          <w:w w:val="110"/>
        </w:rPr>
        <w:t> </w:t>
      </w:r>
      <w:r>
        <w:rPr>
          <w:rFonts w:ascii="Arial"/>
          <w:i/>
          <w:color w:val="3A3838"/>
          <w:w w:val="110"/>
          <w:sz w:val="21"/>
        </w:rPr>
        <w:t>of </w:t>
      </w:r>
      <w:r>
        <w:rPr>
          <w:color w:val="3A3838"/>
          <w:w w:val="110"/>
        </w:rPr>
        <w:t>excerpted quotes and let the reader determine the significance of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quoted  language. "Overquoting" creates two problems. First, the  writer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is not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doing his or her job. The writer is not supposed to provide the raw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material to the readers and let them sort out what it all means. The writer's</w:t>
      </w:r>
      <w:r>
        <w:rPr>
          <w:color w:val="3A3838"/>
          <w:spacing w:val="1"/>
          <w:w w:val="105"/>
        </w:rPr>
        <w:t> </w:t>
      </w:r>
      <w:r>
        <w:rPr>
          <w:color w:val="3A3838"/>
          <w:spacing w:val="-1"/>
          <w:w w:val="110"/>
        </w:rPr>
        <w:t>job is to research the </w:t>
      </w:r>
      <w:r>
        <w:rPr>
          <w:color w:val="2A2628"/>
          <w:spacing w:val="-1"/>
          <w:w w:val="110"/>
        </w:rPr>
        <w:t>law, </w:t>
      </w:r>
      <w:r>
        <w:rPr>
          <w:color w:val="3A3838"/>
          <w:spacing w:val="-1"/>
          <w:w w:val="110"/>
        </w:rPr>
        <w:t>synthesize </w:t>
      </w:r>
      <w:r>
        <w:rPr>
          <w:color w:val="3A3838"/>
          <w:w w:val="110"/>
        </w:rPr>
        <w:t>the available information, and write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up the analysis in a </w:t>
      </w:r>
      <w:r>
        <w:rPr>
          <w:color w:val="3A3838"/>
          <w:w w:val="105"/>
          <w:sz w:val="20"/>
        </w:rPr>
        <w:t>way  </w:t>
      </w:r>
      <w:r>
        <w:rPr>
          <w:color w:val="3A3838"/>
          <w:w w:val="105"/>
        </w:rPr>
        <w:t>that allows </w:t>
      </w:r>
      <w:r>
        <w:rPr>
          <w:color w:val="2A2628"/>
          <w:w w:val="105"/>
        </w:rPr>
        <w:t>the </w:t>
      </w:r>
      <w:r>
        <w:rPr>
          <w:color w:val="3A3838"/>
          <w:w w:val="105"/>
        </w:rPr>
        <w:t>reader to understand the situation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with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3"/>
          <w:w w:val="110"/>
        </w:rPr>
        <w:t> </w:t>
      </w:r>
      <w:r>
        <w:rPr>
          <w:color w:val="3A3838"/>
          <w:w w:val="110"/>
        </w:rPr>
        <w:t>minimum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-3"/>
          <w:w w:val="110"/>
        </w:rPr>
        <w:t> </w:t>
      </w:r>
      <w:r>
        <w:rPr>
          <w:color w:val="3A3838"/>
          <w:w w:val="110"/>
        </w:rPr>
        <w:t>effort</w:t>
      </w:r>
      <w:r>
        <w:rPr>
          <w:color w:val="525254"/>
          <w:w w:val="110"/>
        </w:rPr>
        <w:t>.</w:t>
      </w:r>
    </w:p>
    <w:p>
      <w:pPr>
        <w:pStyle w:val="BodyText"/>
        <w:spacing w:line="225" w:lineRule="auto" w:before="32"/>
        <w:ind w:left="651" w:right="150" w:firstLine="397"/>
        <w:jc w:val="both"/>
      </w:pPr>
      <w:r>
        <w:rPr>
          <w:color w:val="3A3838"/>
          <w:w w:val="110"/>
        </w:rPr>
        <w:t>The</w:t>
      </w:r>
      <w:r>
        <w:rPr>
          <w:color w:val="3A3838"/>
          <w:spacing w:val="-19"/>
          <w:w w:val="110"/>
        </w:rPr>
        <w:t> </w:t>
      </w:r>
      <w:r>
        <w:rPr>
          <w:color w:val="3A3838"/>
          <w:w w:val="110"/>
        </w:rPr>
        <w:t>second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problem</w:t>
      </w:r>
      <w:r>
        <w:rPr>
          <w:color w:val="3A3838"/>
          <w:spacing w:val="-18"/>
          <w:w w:val="110"/>
        </w:rPr>
        <w:t> </w:t>
      </w:r>
      <w:r>
        <w:rPr>
          <w:color w:val="525254"/>
          <w:w w:val="110"/>
        </w:rPr>
        <w:t>i</w:t>
      </w:r>
      <w:r>
        <w:rPr>
          <w:color w:val="3A3838"/>
          <w:w w:val="110"/>
        </w:rPr>
        <w:t>s</w:t>
      </w:r>
      <w:r>
        <w:rPr>
          <w:color w:val="3A3838"/>
          <w:spacing w:val="-13"/>
          <w:w w:val="110"/>
        </w:rPr>
        <w:t> </w:t>
      </w:r>
      <w:r>
        <w:rPr>
          <w:color w:val="3A3838"/>
          <w:w w:val="110"/>
        </w:rPr>
        <w:t>related</w:t>
      </w:r>
      <w:r>
        <w:rPr>
          <w:color w:val="3A3838"/>
          <w:spacing w:val="-2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3"/>
          <w:w w:val="110"/>
        </w:rPr>
        <w:t> </w:t>
      </w:r>
      <w:r>
        <w:rPr>
          <w:color w:val="3A3838"/>
          <w:w w:val="110"/>
        </w:rPr>
        <w:t>first.</w:t>
      </w:r>
      <w:r>
        <w:rPr>
          <w:color w:val="3A3838"/>
          <w:spacing w:val="-26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-22"/>
          <w:w w:val="110"/>
        </w:rPr>
        <w:t> </w:t>
      </w:r>
      <w:r>
        <w:rPr>
          <w:color w:val="3A3838"/>
          <w:w w:val="110"/>
        </w:rPr>
        <w:t>reader-a</w:t>
      </w:r>
      <w:r>
        <w:rPr>
          <w:color w:val="3A3838"/>
          <w:spacing w:val="11"/>
          <w:w w:val="110"/>
        </w:rPr>
        <w:t> </w:t>
      </w:r>
      <w:r>
        <w:rPr>
          <w:color w:val="3A3838"/>
          <w:w w:val="110"/>
        </w:rPr>
        <w:t>judge</w:t>
      </w:r>
      <w:r>
        <w:rPr>
          <w:color w:val="3A3838"/>
          <w:spacing w:val="-15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10"/>
          <w:w w:val="110"/>
        </w:rPr>
        <w:t> </w:t>
      </w:r>
      <w:r>
        <w:rPr>
          <w:color w:val="3A3838"/>
          <w:w w:val="110"/>
        </w:rPr>
        <w:t>this</w:t>
      </w:r>
      <w:r>
        <w:rPr>
          <w:color w:val="3A3838"/>
          <w:spacing w:val="-33"/>
          <w:w w:val="110"/>
        </w:rPr>
        <w:t> </w:t>
      </w:r>
      <w:r>
        <w:rPr>
          <w:color w:val="3A3838"/>
          <w:w w:val="110"/>
        </w:rPr>
        <w:t>con­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5"/>
        </w:rPr>
        <w:t>text-who isconstantly asked to consume and digest lengthy quotations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05"/>
          <w:sz w:val="25"/>
        </w:rPr>
        <w:t>may </w:t>
      </w:r>
      <w:r>
        <w:rPr>
          <w:color w:val="3A3838"/>
          <w:w w:val="105"/>
        </w:rPr>
        <w:t>Jose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thread of the argument. As a practical matter, many readers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5"/>
        </w:rPr>
        <w:t>(including</w:t>
      </w:r>
      <w:r>
        <w:rPr>
          <w:color w:val="3A3838"/>
          <w:spacing w:val="3"/>
          <w:w w:val="115"/>
        </w:rPr>
        <w:t> </w:t>
      </w:r>
      <w:r>
        <w:rPr>
          <w:color w:val="3A3838"/>
          <w:w w:val="115"/>
        </w:rPr>
        <w:t>some</w:t>
      </w:r>
      <w:r>
        <w:rPr>
          <w:color w:val="3A3838"/>
          <w:spacing w:val="-2"/>
          <w:w w:val="115"/>
        </w:rPr>
        <w:t> </w:t>
      </w:r>
      <w:r>
        <w:rPr>
          <w:rFonts w:ascii="Arial" w:hAnsi="Arial"/>
          <w:i/>
          <w:color w:val="3A3838"/>
          <w:w w:val="115"/>
          <w:sz w:val="21"/>
        </w:rPr>
        <w:t>of</w:t>
      </w:r>
      <w:r>
        <w:rPr>
          <w:rFonts w:ascii="Arial" w:hAnsi="Arial"/>
          <w:i/>
          <w:color w:val="3A3838"/>
          <w:spacing w:val="18"/>
          <w:w w:val="115"/>
          <w:sz w:val="21"/>
        </w:rPr>
        <w:t> </w:t>
      </w:r>
      <w:r>
        <w:rPr>
          <w:color w:val="3A3838"/>
          <w:w w:val="115"/>
        </w:rPr>
        <w:t>the</w:t>
      </w:r>
      <w:r>
        <w:rPr>
          <w:color w:val="3A3838"/>
          <w:spacing w:val="15"/>
          <w:w w:val="115"/>
        </w:rPr>
        <w:t> </w:t>
      </w:r>
      <w:r>
        <w:rPr>
          <w:color w:val="3A3838"/>
          <w:w w:val="115"/>
        </w:rPr>
        <w:t>people</w:t>
      </w:r>
      <w:r>
        <w:rPr>
          <w:color w:val="3A3838"/>
          <w:spacing w:val="7"/>
          <w:w w:val="115"/>
        </w:rPr>
        <w:t> </w:t>
      </w:r>
      <w:r>
        <w:rPr>
          <w:color w:val="2A2628"/>
          <w:w w:val="115"/>
        </w:rPr>
        <w:t>reading</w:t>
      </w:r>
      <w:r>
        <w:rPr>
          <w:color w:val="2A2628"/>
          <w:spacing w:val="3"/>
          <w:w w:val="115"/>
        </w:rPr>
        <w:t> </w:t>
      </w:r>
      <w:r>
        <w:rPr>
          <w:color w:val="3A3838"/>
          <w:w w:val="115"/>
        </w:rPr>
        <w:t>this</w:t>
      </w:r>
      <w:r>
        <w:rPr>
          <w:color w:val="3A3838"/>
          <w:spacing w:val="6"/>
          <w:w w:val="115"/>
        </w:rPr>
        <w:t> </w:t>
      </w:r>
      <w:r>
        <w:rPr>
          <w:color w:val="3A3838"/>
          <w:w w:val="115"/>
        </w:rPr>
        <w:t>book)</w:t>
      </w:r>
      <w:r>
        <w:rPr>
          <w:color w:val="3A3838"/>
          <w:spacing w:val="-1"/>
          <w:w w:val="115"/>
        </w:rPr>
        <w:t> </w:t>
      </w:r>
      <w:r>
        <w:rPr>
          <w:color w:val="3A3838"/>
          <w:w w:val="115"/>
        </w:rPr>
        <w:t>skip</w:t>
      </w:r>
      <w:r>
        <w:rPr>
          <w:color w:val="3A3838"/>
          <w:spacing w:val="-3"/>
          <w:w w:val="115"/>
        </w:rPr>
        <w:t> </w:t>
      </w:r>
      <w:r>
        <w:rPr>
          <w:color w:val="3A3838"/>
          <w:w w:val="115"/>
        </w:rPr>
        <w:t>long</w:t>
      </w:r>
      <w:r>
        <w:rPr>
          <w:color w:val="3A3838"/>
          <w:spacing w:val="-5"/>
          <w:w w:val="115"/>
        </w:rPr>
        <w:t> </w:t>
      </w:r>
      <w:r>
        <w:rPr>
          <w:color w:val="3A3838"/>
          <w:w w:val="115"/>
        </w:rPr>
        <w:t>quotations</w:t>
      </w:r>
      <w:r>
        <w:rPr>
          <w:color w:val="646467"/>
          <w:w w:val="115"/>
        </w:rPr>
        <w:t>.</w:t>
      </w:r>
    </w:p>
    <w:p>
      <w:pPr>
        <w:spacing w:after="0" w:line="225" w:lineRule="auto"/>
        <w:jc w:val="both"/>
        <w:sectPr>
          <w:pgSz w:w="9220" w:h="13790"/>
          <w:pgMar w:header="417" w:footer="0" w:top="1080" w:bottom="0" w:left="940" w:right="0"/>
        </w:sectPr>
      </w:pPr>
    </w:p>
    <w:p>
      <w:pPr>
        <w:pStyle w:val="BodyText"/>
        <w:spacing w:line="232" w:lineRule="auto" w:before="87"/>
        <w:ind w:left="284" w:right="1057" w:hanging="18"/>
        <w:jc w:val="both"/>
      </w:pPr>
      <w:r>
        <w:rPr>
          <w:color w:val="383638"/>
          <w:w w:val="110"/>
        </w:rPr>
        <w:t>Judges who are reading briefs may do so because they know that the quo­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tation says nothing about the case currently before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court; instead, it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talks about another case, which must somehow be connected to the cur­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rent case. Writers who overuse long quotes frequently do so because they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have not figured out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that connection and thus cannot make the connec­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tion within the argument. They compensate by giving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reader back­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ground reading that may, with luck and some work, allow the reader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reach the  conclusion  that the writer espouses. Since the  writer, rather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than the reader, is supposed to do the work, it is usually ineffective to use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lengthy</w:t>
      </w:r>
      <w:r>
        <w:rPr>
          <w:color w:val="383638"/>
          <w:spacing w:val="-22"/>
          <w:w w:val="110"/>
        </w:rPr>
        <w:t> </w:t>
      </w:r>
      <w:r>
        <w:rPr>
          <w:color w:val="383638"/>
          <w:w w:val="110"/>
        </w:rPr>
        <w:t>quotations.</w:t>
      </w:r>
    </w:p>
    <w:p>
      <w:pPr>
        <w:pStyle w:val="BodyText"/>
        <w:spacing w:line="235" w:lineRule="auto" w:before="4"/>
        <w:ind w:left="292" w:right="1059" w:firstLine="319"/>
        <w:jc w:val="both"/>
      </w:pPr>
      <w:r>
        <w:rPr>
          <w:color w:val="383638"/>
          <w:w w:val="110"/>
        </w:rPr>
        <w:t>The following example is from a student-written brief written in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case of </w:t>
      </w:r>
      <w:r>
        <w:rPr>
          <w:rFonts w:ascii="Arial"/>
          <w:i/>
          <w:color w:val="383638"/>
          <w:w w:val="110"/>
          <w:sz w:val="21"/>
        </w:rPr>
        <w:t>Chicago v. Morales, </w:t>
      </w:r>
      <w:r>
        <w:rPr>
          <w:color w:val="383638"/>
          <w:w w:val="110"/>
        </w:rPr>
        <w:t>527 U.S. 41 (1999). In that case, the city of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Chicago argued in favor of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constitutionality of a statute that allowed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arrest of people who "loitered" with gang members and who refused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todisperse on police order.The writer of the following example apparently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wanted the reader to use the quoted language to draw the conclusion that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laws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promote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"peace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26"/>
          <w:w w:val="110"/>
        </w:rPr>
        <w:t> </w:t>
      </w:r>
      <w:r>
        <w:rPr>
          <w:color w:val="383638"/>
          <w:w w:val="110"/>
        </w:rPr>
        <w:t>quiet"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are</w:t>
      </w:r>
      <w:r>
        <w:rPr>
          <w:color w:val="383638"/>
          <w:spacing w:val="-31"/>
          <w:w w:val="110"/>
        </w:rPr>
        <w:t> </w:t>
      </w:r>
      <w:r>
        <w:rPr>
          <w:color w:val="383638"/>
          <w:w w:val="110"/>
        </w:rPr>
        <w:t>constitutional:</w:t>
      </w:r>
    </w:p>
    <w:p>
      <w:pPr>
        <w:pStyle w:val="BodyText"/>
        <w:spacing w:before="5"/>
        <w:rPr>
          <w:sz w:val="9"/>
        </w:rPr>
      </w:pPr>
    </w:p>
    <w:p>
      <w:pPr>
        <w:spacing w:after="0"/>
        <w:rPr>
          <w:sz w:val="9"/>
        </w:rPr>
        <w:sectPr>
          <w:pgSz w:w="9550" w:h="13750"/>
          <w:pgMar w:header="597" w:footer="0" w:top="1140" w:bottom="280" w:left="200" w:right="460"/>
        </w:sectPr>
      </w:pPr>
    </w:p>
    <w:p>
      <w:pPr>
        <w:tabs>
          <w:tab w:pos="449" w:val="left" w:leader="none"/>
        </w:tabs>
        <w:spacing w:before="94"/>
        <w:ind w:left="105" w:right="0" w:firstLine="0"/>
        <w:jc w:val="left"/>
        <w:rPr>
          <w:sz w:val="16"/>
        </w:rPr>
      </w:pPr>
      <w:r>
        <w:rPr>
          <w:color w:val="383638"/>
          <w:w w:val="100"/>
          <w:sz w:val="16"/>
          <w:u w:val="thick" w:color="383638"/>
        </w:rPr>
        <w:t> </w:t>
      </w:r>
      <w:r>
        <w:rPr>
          <w:color w:val="383638"/>
          <w:sz w:val="16"/>
          <w:u w:val="thick" w:color="383638"/>
        </w:rPr>
        <w:tab/>
      </w:r>
      <w:r>
        <w:rPr>
          <w:color w:val="383638"/>
          <w:sz w:val="16"/>
        </w:rPr>
        <w:t>    </w:t>
      </w:r>
      <w:r>
        <w:rPr>
          <w:color w:val="383638"/>
          <w:spacing w:val="-13"/>
          <w:sz w:val="16"/>
        </w:rPr>
        <w:t> </w:t>
      </w:r>
      <w:r>
        <w:rPr>
          <w:color w:val="383638"/>
          <w:w w:val="90"/>
          <w:sz w:val="16"/>
          <w:u w:val="thick" w:color="383638"/>
        </w:rPr>
        <w:t>BAD</w:t>
      </w:r>
      <w:r>
        <w:rPr>
          <w:color w:val="383638"/>
          <w:spacing w:val="-3"/>
          <w:w w:val="90"/>
          <w:sz w:val="16"/>
          <w:u w:val="thick" w:color="383638"/>
        </w:rPr>
        <w:t> </w:t>
      </w:r>
      <w:r>
        <w:rPr>
          <w:color w:val="383638"/>
          <w:w w:val="90"/>
          <w:sz w:val="16"/>
          <w:u w:val="thick" w:color="383638"/>
        </w:rPr>
        <w:t>EXAMPLE</w:t>
      </w:r>
    </w:p>
    <w:p>
      <w:pPr>
        <w:spacing w:before="78"/>
        <w:ind w:left="621" w:right="89" w:hanging="9"/>
        <w:jc w:val="both"/>
        <w:rPr>
          <w:sz w:val="21"/>
        </w:rPr>
      </w:pPr>
      <w:r>
        <w:rPr>
          <w:color w:val="383638"/>
          <w:w w:val="120"/>
          <w:sz w:val="21"/>
        </w:rPr>
        <w:t>This Court has provided almost absolute protection to speech of a</w:t>
      </w:r>
      <w:r>
        <w:rPr>
          <w:color w:val="383638"/>
          <w:spacing w:val="1"/>
          <w:w w:val="120"/>
          <w:sz w:val="21"/>
        </w:rPr>
        <w:t> </w:t>
      </w:r>
      <w:r>
        <w:rPr>
          <w:color w:val="383638"/>
          <w:spacing w:val="-1"/>
          <w:w w:val="120"/>
          <w:sz w:val="21"/>
        </w:rPr>
        <w:t>political nature. </w:t>
      </w:r>
      <w:r>
        <w:rPr>
          <w:b/>
          <w:color w:val="383638"/>
          <w:w w:val="120"/>
          <w:sz w:val="16"/>
        </w:rPr>
        <w:t>1</w:t>
      </w:r>
      <w:r>
        <w:rPr>
          <w:b/>
          <w:color w:val="383638"/>
          <w:spacing w:val="1"/>
          <w:w w:val="120"/>
          <w:sz w:val="16"/>
        </w:rPr>
        <w:t> </w:t>
      </w:r>
      <w:r>
        <w:rPr>
          <w:color w:val="383638"/>
          <w:w w:val="120"/>
          <w:sz w:val="21"/>
        </w:rPr>
        <w:t>In 1969, the Court found the arrest of demonstra­</w:t>
      </w:r>
      <w:r>
        <w:rPr>
          <w:color w:val="383638"/>
          <w:spacing w:val="-60"/>
          <w:w w:val="120"/>
          <w:sz w:val="21"/>
        </w:rPr>
        <w:t> </w:t>
      </w:r>
      <w:r>
        <w:rPr>
          <w:color w:val="383638"/>
          <w:spacing w:val="-1"/>
          <w:w w:val="120"/>
          <w:sz w:val="21"/>
        </w:rPr>
        <w:t>tors for disorderly conduct3 </w:t>
      </w:r>
      <w:r>
        <w:rPr>
          <w:color w:val="383638"/>
          <w:w w:val="120"/>
          <w:sz w:val="21"/>
        </w:rPr>
        <w:t>to be unconstitutional </w:t>
      </w:r>
      <w:r>
        <w:rPr>
          <w:rFonts w:ascii="Arial" w:hAnsi="Arial"/>
          <w:b/>
          <w:color w:val="383638"/>
          <w:w w:val="120"/>
          <w:sz w:val="15"/>
        </w:rPr>
        <w:t>2</w:t>
      </w:r>
      <w:r>
        <w:rPr>
          <w:rFonts w:ascii="Arial" w:hAnsi="Arial"/>
          <w:b/>
          <w:color w:val="383638"/>
          <w:spacing w:val="1"/>
          <w:w w:val="120"/>
          <w:sz w:val="15"/>
        </w:rPr>
        <w:t> </w:t>
      </w:r>
      <w:r>
        <w:rPr>
          <w:color w:val="383638"/>
          <w:w w:val="120"/>
          <w:sz w:val="21"/>
        </w:rPr>
        <w:t>under the First</w:t>
      </w:r>
      <w:r>
        <w:rPr>
          <w:color w:val="383638"/>
          <w:spacing w:val="1"/>
          <w:w w:val="120"/>
          <w:sz w:val="21"/>
        </w:rPr>
        <w:t> </w:t>
      </w:r>
      <w:r>
        <w:rPr>
          <w:color w:val="383638"/>
          <w:w w:val="110"/>
          <w:sz w:val="21"/>
        </w:rPr>
        <w:t>Amendment.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16"/>
        </w:rPr>
        <w:t>1</w:t>
      </w:r>
      <w:r>
        <w:rPr>
          <w:color w:val="383638"/>
          <w:spacing w:val="1"/>
          <w:w w:val="110"/>
          <w:sz w:val="16"/>
        </w:rPr>
        <w:t> </w:t>
      </w:r>
      <w:r>
        <w:rPr>
          <w:color w:val="383638"/>
          <w:w w:val="110"/>
          <w:sz w:val="20"/>
        </w:rPr>
        <w:t>&amp; </w:t>
      </w:r>
      <w:r>
        <w:rPr>
          <w:rFonts w:ascii="Arial" w:hAnsi="Arial"/>
          <w:b/>
          <w:color w:val="383638"/>
          <w:w w:val="110"/>
          <w:sz w:val="15"/>
        </w:rPr>
        <w:t>4</w:t>
      </w:r>
      <w:r>
        <w:rPr>
          <w:rFonts w:ascii="Arial" w:hAnsi="Arial"/>
          <w:b/>
          <w:color w:val="383638"/>
          <w:spacing w:val="1"/>
          <w:w w:val="110"/>
          <w:sz w:val="15"/>
        </w:rPr>
        <w:t> </w:t>
      </w:r>
      <w:r>
        <w:rPr>
          <w:color w:val="383638"/>
          <w:w w:val="110"/>
          <w:sz w:val="21"/>
          <w:u w:val="thick" w:color="383638"/>
        </w:rPr>
        <w:t>Gregory v. Chicago.</w:t>
      </w:r>
      <w:r>
        <w:rPr>
          <w:color w:val="383638"/>
          <w:w w:val="110"/>
          <w:sz w:val="21"/>
        </w:rPr>
        <w:t> 394 U.S. 111. 116 (1969). The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20"/>
          <w:sz w:val="21"/>
        </w:rPr>
        <w:t>Court</w:t>
      </w:r>
      <w:r>
        <w:rPr>
          <w:color w:val="383638"/>
          <w:spacing w:val="-6"/>
          <w:w w:val="120"/>
          <w:sz w:val="21"/>
        </w:rPr>
        <w:t> </w:t>
      </w:r>
      <w:r>
        <w:rPr>
          <w:color w:val="383638"/>
          <w:w w:val="120"/>
          <w:sz w:val="21"/>
        </w:rPr>
        <w:t>made</w:t>
      </w:r>
      <w:r>
        <w:rPr>
          <w:color w:val="383638"/>
          <w:spacing w:val="-8"/>
          <w:w w:val="120"/>
          <w:sz w:val="21"/>
        </w:rPr>
        <w:t> </w:t>
      </w:r>
      <w:r>
        <w:rPr>
          <w:color w:val="383638"/>
          <w:w w:val="120"/>
          <w:sz w:val="21"/>
        </w:rPr>
        <w:t>this</w:t>
      </w:r>
      <w:r>
        <w:rPr>
          <w:color w:val="383638"/>
          <w:spacing w:val="-18"/>
          <w:w w:val="120"/>
          <w:sz w:val="21"/>
        </w:rPr>
        <w:t> </w:t>
      </w:r>
      <w:r>
        <w:rPr>
          <w:color w:val="383638"/>
          <w:w w:val="120"/>
          <w:sz w:val="21"/>
        </w:rPr>
        <w:t>finding</w:t>
      </w:r>
      <w:r>
        <w:rPr>
          <w:color w:val="383638"/>
          <w:spacing w:val="-16"/>
          <w:w w:val="120"/>
          <w:sz w:val="21"/>
        </w:rPr>
        <w:t> </w:t>
      </w:r>
      <w:r>
        <w:rPr>
          <w:color w:val="383638"/>
          <w:w w:val="120"/>
          <w:sz w:val="21"/>
        </w:rPr>
        <w:t>in</w:t>
      </w:r>
      <w:r>
        <w:rPr>
          <w:color w:val="383638"/>
          <w:spacing w:val="13"/>
          <w:w w:val="120"/>
          <w:sz w:val="21"/>
        </w:rPr>
        <w:t> </w:t>
      </w:r>
      <w:r>
        <w:rPr>
          <w:color w:val="383638"/>
          <w:w w:val="120"/>
          <w:sz w:val="21"/>
        </w:rPr>
        <w:t>favor</w:t>
      </w:r>
      <w:r>
        <w:rPr>
          <w:color w:val="383638"/>
          <w:spacing w:val="-13"/>
          <w:w w:val="120"/>
          <w:sz w:val="21"/>
        </w:rPr>
        <w:t> </w:t>
      </w:r>
      <w:r>
        <w:rPr>
          <w:color w:val="383638"/>
          <w:w w:val="120"/>
          <w:sz w:val="21"/>
        </w:rPr>
        <w:t>of</w:t>
      </w:r>
      <w:r>
        <w:rPr>
          <w:color w:val="383638"/>
          <w:spacing w:val="3"/>
          <w:w w:val="120"/>
          <w:sz w:val="21"/>
        </w:rPr>
        <w:t> </w:t>
      </w:r>
      <w:r>
        <w:rPr>
          <w:color w:val="383638"/>
          <w:w w:val="120"/>
          <w:sz w:val="21"/>
        </w:rPr>
        <w:t>political</w:t>
      </w:r>
      <w:r>
        <w:rPr>
          <w:color w:val="383638"/>
          <w:spacing w:val="-10"/>
          <w:w w:val="120"/>
          <w:sz w:val="21"/>
        </w:rPr>
        <w:t> </w:t>
      </w:r>
      <w:r>
        <w:rPr>
          <w:color w:val="383638"/>
          <w:w w:val="120"/>
          <w:sz w:val="21"/>
        </w:rPr>
        <w:t>speech</w:t>
      </w:r>
      <w:r>
        <w:rPr>
          <w:color w:val="383638"/>
          <w:spacing w:val="-5"/>
          <w:w w:val="120"/>
          <w:sz w:val="21"/>
        </w:rPr>
        <w:t> </w:t>
      </w:r>
      <w:r>
        <w:rPr>
          <w:color w:val="383638"/>
          <w:w w:val="120"/>
          <w:sz w:val="21"/>
        </w:rPr>
        <w:t>even</w:t>
      </w:r>
      <w:r>
        <w:rPr>
          <w:color w:val="383638"/>
          <w:spacing w:val="9"/>
          <w:w w:val="120"/>
          <w:sz w:val="21"/>
        </w:rPr>
        <w:t> </w:t>
      </w:r>
      <w:r>
        <w:rPr>
          <w:color w:val="383638"/>
          <w:w w:val="120"/>
          <w:sz w:val="21"/>
        </w:rPr>
        <w:t>though</w:t>
      </w:r>
      <w:r>
        <w:rPr>
          <w:color w:val="383638"/>
          <w:spacing w:val="4"/>
          <w:w w:val="120"/>
          <w:sz w:val="21"/>
        </w:rPr>
        <w:t> </w:t>
      </w:r>
      <w:r>
        <w:rPr>
          <w:color w:val="383638"/>
          <w:w w:val="120"/>
          <w:sz w:val="21"/>
        </w:rPr>
        <w:t>the</w:t>
      </w:r>
    </w:p>
    <w:p>
      <w:pPr>
        <w:spacing w:line="223" w:lineRule="auto" w:before="0"/>
        <w:ind w:left="605" w:right="77" w:firstLine="24"/>
        <w:jc w:val="both"/>
        <w:rPr>
          <w:sz w:val="21"/>
        </w:rPr>
      </w:pPr>
      <w:r>
        <w:rPr>
          <w:color w:val="383638"/>
          <w:w w:val="115"/>
          <w:sz w:val="21"/>
        </w:rPr>
        <w:t>picketers' actions led to a disruption of the peace and quiet of a neigh­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borhood by picketing in front of the mayor's home. </w:t>
      </w:r>
      <w:r>
        <w:rPr>
          <w:rFonts w:ascii="Arial" w:hAnsi="Arial"/>
          <w:b/>
          <w:color w:val="383638"/>
          <w:w w:val="115"/>
          <w:sz w:val="15"/>
        </w:rPr>
        <w:t>3</w:t>
      </w:r>
      <w:r>
        <w:rPr>
          <w:rFonts w:ascii="Arial" w:hAnsi="Arial"/>
          <w:b/>
          <w:color w:val="383638"/>
          <w:spacing w:val="1"/>
          <w:w w:val="115"/>
          <w:sz w:val="15"/>
        </w:rPr>
        <w:t> </w:t>
      </w:r>
      <w:r>
        <w:rPr>
          <w:color w:val="383638"/>
          <w:w w:val="115"/>
          <w:sz w:val="25"/>
        </w:rPr>
        <w:t>12. </w:t>
      </w:r>
      <w:r>
        <w:rPr>
          <w:color w:val="383638"/>
          <w:w w:val="115"/>
          <w:sz w:val="21"/>
        </w:rPr>
        <w:t>at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11 </w:t>
      </w:r>
      <w:r>
        <w:rPr>
          <w:color w:val="383638"/>
          <w:w w:val="115"/>
          <w:sz w:val="20"/>
        </w:rPr>
        <w:t>I.</w:t>
      </w:r>
      <w:r>
        <w:rPr>
          <w:color w:val="383638"/>
          <w:spacing w:val="1"/>
          <w:w w:val="115"/>
          <w:sz w:val="20"/>
        </w:rPr>
        <w:t> </w:t>
      </w:r>
      <w:r>
        <w:rPr>
          <w:color w:val="383638"/>
          <w:w w:val="115"/>
          <w:sz w:val="21"/>
        </w:rPr>
        <w:t>A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concurring opinion stressed the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lawfulness and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peacefulness of the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demonstration</w:t>
      </w:r>
      <w:r>
        <w:rPr>
          <w:color w:val="383638"/>
          <w:spacing w:val="1"/>
          <w:w w:val="115"/>
          <w:sz w:val="21"/>
        </w:rPr>
        <w:t> </w:t>
      </w:r>
      <w:r>
        <w:rPr>
          <w:rFonts w:ascii="Arial" w:hAnsi="Arial"/>
          <w:b/>
          <w:color w:val="383638"/>
          <w:w w:val="115"/>
          <w:sz w:val="15"/>
        </w:rPr>
        <w:t>3</w:t>
      </w:r>
      <w:r>
        <w:rPr>
          <w:rFonts w:ascii="Arial" w:hAnsi="Arial"/>
          <w:b/>
          <w:color w:val="383638"/>
          <w:spacing w:val="1"/>
          <w:w w:val="115"/>
          <w:sz w:val="15"/>
        </w:rPr>
        <w:t> </w:t>
      </w:r>
      <w:r>
        <w:rPr>
          <w:color w:val="383638"/>
          <w:w w:val="115"/>
          <w:sz w:val="21"/>
        </w:rPr>
        <w:t>as well as the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petitioners' First Amendment right to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0"/>
          <w:sz w:val="21"/>
        </w:rPr>
        <w:t>engage in that activity. </w:t>
      </w:r>
      <w:r>
        <w:rPr>
          <w:rFonts w:ascii="Arial" w:hAnsi="Arial"/>
          <w:b/>
          <w:color w:val="383638"/>
          <w:w w:val="110"/>
          <w:sz w:val="15"/>
        </w:rPr>
        <w:t>4</w:t>
      </w:r>
      <w:r>
        <w:rPr>
          <w:rFonts w:ascii="Arial" w:hAnsi="Arial"/>
          <w:b/>
          <w:color w:val="383638"/>
          <w:spacing w:val="1"/>
          <w:w w:val="110"/>
          <w:sz w:val="15"/>
        </w:rPr>
        <w:t> </w:t>
      </w:r>
      <w:r>
        <w:rPr>
          <w:color w:val="383638"/>
          <w:w w:val="110"/>
          <w:sz w:val="23"/>
        </w:rPr>
        <w:t>Id.. </w:t>
      </w:r>
      <w:r>
        <w:rPr>
          <w:color w:val="383638"/>
          <w:w w:val="110"/>
          <w:sz w:val="21"/>
        </w:rPr>
        <w:t>at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121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(Black, </w:t>
      </w:r>
      <w:r>
        <w:rPr>
          <w:color w:val="383638"/>
          <w:w w:val="110"/>
          <w:sz w:val="24"/>
        </w:rPr>
        <w:t>J., </w:t>
      </w:r>
      <w:r>
        <w:rPr>
          <w:color w:val="383638"/>
          <w:w w:val="110"/>
          <w:sz w:val="21"/>
        </w:rPr>
        <w:t>concurring). However,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5"/>
          <w:sz w:val="21"/>
        </w:rPr>
        <w:t>Justice</w:t>
      </w:r>
      <w:r>
        <w:rPr>
          <w:color w:val="383638"/>
          <w:spacing w:val="-4"/>
          <w:w w:val="115"/>
          <w:sz w:val="21"/>
        </w:rPr>
        <w:t> </w:t>
      </w:r>
      <w:r>
        <w:rPr>
          <w:color w:val="383638"/>
          <w:w w:val="115"/>
          <w:sz w:val="21"/>
        </w:rPr>
        <w:t>Black</w:t>
      </w:r>
      <w:r>
        <w:rPr>
          <w:color w:val="383638"/>
          <w:spacing w:val="3"/>
          <w:w w:val="115"/>
          <w:sz w:val="21"/>
        </w:rPr>
        <w:t> </w:t>
      </w:r>
      <w:r>
        <w:rPr>
          <w:color w:val="383638"/>
          <w:w w:val="115"/>
          <w:sz w:val="21"/>
        </w:rPr>
        <w:t>also</w:t>
      </w:r>
      <w:r>
        <w:rPr>
          <w:color w:val="383638"/>
          <w:spacing w:val="-24"/>
          <w:w w:val="115"/>
          <w:sz w:val="21"/>
        </w:rPr>
        <w:t> </w:t>
      </w:r>
      <w:r>
        <w:rPr>
          <w:color w:val="383638"/>
          <w:w w:val="115"/>
          <w:sz w:val="21"/>
        </w:rPr>
        <w:t>declared:</w:t>
      </w:r>
    </w:p>
    <w:p>
      <w:pPr>
        <w:spacing w:line="240" w:lineRule="auto" w:before="134"/>
        <w:ind w:left="980" w:right="440" w:firstLine="2"/>
        <w:jc w:val="both"/>
        <w:rPr>
          <w:rFonts w:ascii="Arial"/>
          <w:b/>
          <w:sz w:val="15"/>
        </w:rPr>
      </w:pPr>
      <w:r>
        <w:rPr>
          <w:color w:val="383638"/>
          <w:w w:val="115"/>
          <w:sz w:val="19"/>
        </w:rPr>
        <w:t>Plainly, however, no mandate in our Constitution leaves States and</w:t>
      </w:r>
      <w:r>
        <w:rPr>
          <w:color w:val="383638"/>
          <w:spacing w:val="1"/>
          <w:w w:val="115"/>
          <w:sz w:val="19"/>
        </w:rPr>
        <w:t> </w:t>
      </w:r>
      <w:r>
        <w:rPr>
          <w:color w:val="383638"/>
          <w:w w:val="115"/>
          <w:sz w:val="19"/>
        </w:rPr>
        <w:t>governmental units powerless to pass laws to protect the public from</w:t>
      </w:r>
      <w:r>
        <w:rPr>
          <w:color w:val="383638"/>
          <w:spacing w:val="1"/>
          <w:w w:val="115"/>
          <w:sz w:val="19"/>
        </w:rPr>
        <w:t> </w:t>
      </w:r>
      <w:r>
        <w:rPr>
          <w:color w:val="383638"/>
          <w:w w:val="115"/>
          <w:sz w:val="19"/>
        </w:rPr>
        <w:t>the</w:t>
      </w:r>
      <w:r>
        <w:rPr>
          <w:color w:val="383638"/>
          <w:spacing w:val="1"/>
          <w:w w:val="115"/>
          <w:sz w:val="19"/>
        </w:rPr>
        <w:t> </w:t>
      </w:r>
      <w:r>
        <w:rPr>
          <w:color w:val="383638"/>
          <w:w w:val="115"/>
          <w:sz w:val="19"/>
        </w:rPr>
        <w:t>kind</w:t>
      </w:r>
      <w:r>
        <w:rPr>
          <w:color w:val="383638"/>
          <w:spacing w:val="1"/>
          <w:w w:val="115"/>
          <w:sz w:val="19"/>
        </w:rPr>
        <w:t> </w:t>
      </w:r>
      <w:r>
        <w:rPr>
          <w:color w:val="383638"/>
          <w:w w:val="115"/>
          <w:sz w:val="19"/>
        </w:rPr>
        <w:t>of</w:t>
      </w:r>
      <w:r>
        <w:rPr>
          <w:color w:val="383638"/>
          <w:spacing w:val="1"/>
          <w:w w:val="115"/>
          <w:sz w:val="19"/>
        </w:rPr>
        <w:t> </w:t>
      </w:r>
      <w:r>
        <w:rPr>
          <w:color w:val="383638"/>
          <w:w w:val="115"/>
          <w:sz w:val="19"/>
        </w:rPr>
        <w:t>boisterous and</w:t>
      </w:r>
      <w:r>
        <w:rPr>
          <w:color w:val="383638"/>
          <w:spacing w:val="1"/>
          <w:w w:val="115"/>
          <w:sz w:val="19"/>
        </w:rPr>
        <w:t> </w:t>
      </w:r>
      <w:r>
        <w:rPr>
          <w:color w:val="383638"/>
          <w:w w:val="115"/>
          <w:sz w:val="19"/>
        </w:rPr>
        <w:t>threatening conduct</w:t>
      </w:r>
      <w:r>
        <w:rPr>
          <w:color w:val="383638"/>
          <w:spacing w:val="1"/>
          <w:w w:val="115"/>
          <w:sz w:val="19"/>
        </w:rPr>
        <w:t> </w:t>
      </w:r>
      <w:r>
        <w:rPr>
          <w:color w:val="383638"/>
          <w:w w:val="115"/>
          <w:sz w:val="19"/>
        </w:rPr>
        <w:t>that</w:t>
      </w:r>
      <w:r>
        <w:rPr>
          <w:color w:val="383638"/>
          <w:spacing w:val="1"/>
          <w:w w:val="115"/>
          <w:sz w:val="19"/>
        </w:rPr>
        <w:t> </w:t>
      </w:r>
      <w:r>
        <w:rPr>
          <w:color w:val="383638"/>
          <w:w w:val="115"/>
          <w:sz w:val="19"/>
        </w:rPr>
        <w:t>disturbs</w:t>
      </w:r>
      <w:r>
        <w:rPr>
          <w:color w:val="383638"/>
          <w:spacing w:val="1"/>
          <w:w w:val="115"/>
          <w:sz w:val="19"/>
        </w:rPr>
        <w:t> </w:t>
      </w:r>
      <w:r>
        <w:rPr>
          <w:color w:val="383638"/>
          <w:w w:val="115"/>
          <w:sz w:val="19"/>
        </w:rPr>
        <w:t>the</w:t>
      </w:r>
      <w:r>
        <w:rPr>
          <w:color w:val="383638"/>
          <w:spacing w:val="1"/>
          <w:w w:val="115"/>
          <w:sz w:val="19"/>
        </w:rPr>
        <w:t> </w:t>
      </w:r>
      <w:r>
        <w:rPr>
          <w:color w:val="383638"/>
          <w:w w:val="115"/>
          <w:sz w:val="19"/>
        </w:rPr>
        <w:t>tranquility of spots selected by the</w:t>
      </w:r>
      <w:r>
        <w:rPr>
          <w:color w:val="383638"/>
          <w:spacing w:val="1"/>
          <w:w w:val="115"/>
          <w:sz w:val="19"/>
        </w:rPr>
        <w:t> </w:t>
      </w:r>
      <w:r>
        <w:rPr>
          <w:color w:val="383638"/>
          <w:w w:val="115"/>
          <w:sz w:val="19"/>
        </w:rPr>
        <w:t>people either for homes, wherein</w:t>
      </w:r>
      <w:r>
        <w:rPr>
          <w:color w:val="383638"/>
          <w:spacing w:val="1"/>
          <w:w w:val="115"/>
          <w:sz w:val="19"/>
        </w:rPr>
        <w:t> </w:t>
      </w:r>
      <w:r>
        <w:rPr>
          <w:color w:val="383638"/>
          <w:w w:val="115"/>
          <w:sz w:val="19"/>
        </w:rPr>
        <w:t>they can escape the hurly-burly of the outside business and</w:t>
      </w:r>
      <w:r>
        <w:rPr>
          <w:color w:val="383638"/>
          <w:spacing w:val="1"/>
          <w:w w:val="115"/>
          <w:sz w:val="19"/>
        </w:rPr>
        <w:t> </w:t>
      </w:r>
      <w:r>
        <w:rPr>
          <w:color w:val="383638"/>
          <w:w w:val="115"/>
          <w:sz w:val="19"/>
        </w:rPr>
        <w:t>political</w:t>
      </w:r>
      <w:r>
        <w:rPr>
          <w:color w:val="383638"/>
          <w:spacing w:val="1"/>
          <w:w w:val="115"/>
          <w:sz w:val="19"/>
        </w:rPr>
        <w:t> </w:t>
      </w:r>
      <w:r>
        <w:rPr>
          <w:color w:val="383638"/>
          <w:w w:val="115"/>
          <w:sz w:val="19"/>
        </w:rPr>
        <w:t>world. or for public and other buildings that require peace and  quiet</w:t>
      </w:r>
      <w:r>
        <w:rPr>
          <w:color w:val="383638"/>
          <w:spacing w:val="1"/>
          <w:w w:val="115"/>
          <w:sz w:val="19"/>
        </w:rPr>
        <w:t> </w:t>
      </w:r>
      <w:r>
        <w:rPr>
          <w:color w:val="383638"/>
          <w:w w:val="115"/>
          <w:sz w:val="19"/>
        </w:rPr>
        <w:t>to carry out</w:t>
      </w:r>
      <w:r>
        <w:rPr>
          <w:color w:val="383638"/>
          <w:spacing w:val="1"/>
          <w:w w:val="115"/>
          <w:sz w:val="19"/>
        </w:rPr>
        <w:t> </w:t>
      </w:r>
      <w:r>
        <w:rPr>
          <w:color w:val="383638"/>
          <w:w w:val="115"/>
          <w:sz w:val="19"/>
        </w:rPr>
        <w:t>their functions, such as courts, libraries. schools, and</w:t>
      </w:r>
      <w:r>
        <w:rPr>
          <w:color w:val="383638"/>
          <w:spacing w:val="1"/>
          <w:w w:val="115"/>
          <w:sz w:val="19"/>
        </w:rPr>
        <w:t> </w:t>
      </w:r>
      <w:r>
        <w:rPr>
          <w:color w:val="383638"/>
          <w:w w:val="115"/>
          <w:sz w:val="19"/>
        </w:rPr>
        <w:t>hospitals.</w:t>
      </w:r>
      <w:r>
        <w:rPr>
          <w:color w:val="383638"/>
          <w:spacing w:val="48"/>
          <w:w w:val="115"/>
          <w:sz w:val="19"/>
        </w:rPr>
        <w:t> </w:t>
      </w:r>
      <w:r>
        <w:rPr>
          <w:rFonts w:ascii="Arial"/>
          <w:b/>
          <w:color w:val="383638"/>
          <w:w w:val="115"/>
          <w:sz w:val="15"/>
        </w:rPr>
        <w:t>4</w:t>
      </w:r>
    </w:p>
    <w:p>
      <w:pPr>
        <w:spacing w:line="228" w:lineRule="auto" w:before="132"/>
        <w:ind w:left="632" w:right="38" w:hanging="9"/>
        <w:jc w:val="both"/>
        <w:rPr>
          <w:sz w:val="23"/>
        </w:rPr>
      </w:pPr>
      <w:r>
        <w:rPr>
          <w:rFonts w:ascii="Arial"/>
          <w:color w:val="383638"/>
          <w:w w:val="115"/>
          <w:sz w:val="22"/>
        </w:rPr>
        <w:t>kt, </w:t>
      </w:r>
      <w:r>
        <w:rPr>
          <w:color w:val="383638"/>
          <w:w w:val="115"/>
          <w:sz w:val="21"/>
        </w:rPr>
        <w:t>at 118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(Black. </w:t>
      </w:r>
      <w:r>
        <w:rPr>
          <w:color w:val="383638"/>
          <w:w w:val="115"/>
          <w:sz w:val="23"/>
        </w:rPr>
        <w:t>J., </w:t>
      </w:r>
      <w:r>
        <w:rPr>
          <w:color w:val="383638"/>
          <w:w w:val="115"/>
          <w:sz w:val="21"/>
        </w:rPr>
        <w:t>concurring). Therefore, even if loitering were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treated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as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a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fundamental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right,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Petitioner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possesses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a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significant,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legitimate interest in limiting criminal street gang members' right to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loiter</w:t>
      </w:r>
      <w:r>
        <w:rPr>
          <w:color w:val="383638"/>
          <w:spacing w:val="-11"/>
          <w:w w:val="115"/>
          <w:sz w:val="21"/>
        </w:rPr>
        <w:t> </w:t>
      </w:r>
      <w:r>
        <w:rPr>
          <w:color w:val="383638"/>
          <w:w w:val="115"/>
          <w:sz w:val="21"/>
        </w:rPr>
        <w:t>for</w:t>
      </w:r>
      <w:r>
        <w:rPr>
          <w:color w:val="383638"/>
          <w:spacing w:val="7"/>
          <w:w w:val="115"/>
          <w:sz w:val="21"/>
        </w:rPr>
        <w:t> </w:t>
      </w:r>
      <w:r>
        <w:rPr>
          <w:color w:val="383638"/>
          <w:w w:val="115"/>
          <w:sz w:val="21"/>
        </w:rPr>
        <w:t>no</w:t>
      </w:r>
      <w:r>
        <w:rPr>
          <w:color w:val="383638"/>
          <w:spacing w:val="22"/>
          <w:w w:val="115"/>
          <w:sz w:val="21"/>
        </w:rPr>
        <w:t> </w:t>
      </w:r>
      <w:r>
        <w:rPr>
          <w:color w:val="383638"/>
          <w:w w:val="115"/>
          <w:sz w:val="23"/>
        </w:rPr>
        <w:t>purpose.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ListParagraph"/>
        <w:numPr>
          <w:ilvl w:val="0"/>
          <w:numId w:val="59"/>
        </w:numPr>
        <w:tabs>
          <w:tab w:pos="292" w:val="left" w:leader="none"/>
        </w:tabs>
        <w:spacing w:line="240" w:lineRule="auto" w:before="128" w:after="0"/>
        <w:ind w:left="291" w:right="0" w:hanging="187"/>
        <w:jc w:val="left"/>
        <w:rPr>
          <w:rFonts w:ascii="Arial"/>
          <w:color w:val="383638"/>
          <w:sz w:val="14"/>
        </w:rPr>
      </w:pPr>
      <w:r>
        <w:rPr>
          <w:rFonts w:ascii="Arial"/>
          <w:color w:val="383638"/>
          <w:sz w:val="14"/>
        </w:rPr>
        <w:t>Issue</w:t>
      </w:r>
    </w:p>
    <w:p>
      <w:pPr>
        <w:pStyle w:val="ListParagraph"/>
        <w:numPr>
          <w:ilvl w:val="0"/>
          <w:numId w:val="59"/>
        </w:numPr>
        <w:tabs>
          <w:tab w:pos="294" w:val="left" w:leader="none"/>
        </w:tabs>
        <w:spacing w:line="240" w:lineRule="auto" w:before="71" w:after="0"/>
        <w:ind w:left="293" w:right="0" w:hanging="187"/>
        <w:jc w:val="left"/>
        <w:rPr>
          <w:rFonts w:ascii="Arial"/>
          <w:color w:val="383638"/>
          <w:sz w:val="15"/>
        </w:rPr>
      </w:pPr>
      <w:r>
        <w:rPr>
          <w:rFonts w:ascii="Arial"/>
          <w:color w:val="383638"/>
          <w:w w:val="105"/>
          <w:sz w:val="14"/>
        </w:rPr>
        <w:t>Disposit</w:t>
      </w:r>
      <w:r>
        <w:rPr>
          <w:rFonts w:ascii="Arial"/>
          <w:color w:val="69696B"/>
          <w:w w:val="105"/>
          <w:sz w:val="14"/>
        </w:rPr>
        <w:t>i</w:t>
      </w:r>
      <w:r>
        <w:rPr>
          <w:rFonts w:ascii="Arial"/>
          <w:color w:val="383638"/>
          <w:w w:val="105"/>
          <w:sz w:val="14"/>
        </w:rPr>
        <w:t>on</w:t>
      </w:r>
    </w:p>
    <w:p>
      <w:pPr>
        <w:pStyle w:val="ListParagraph"/>
        <w:numPr>
          <w:ilvl w:val="0"/>
          <w:numId w:val="59"/>
        </w:numPr>
        <w:tabs>
          <w:tab w:pos="293" w:val="left" w:leader="none"/>
        </w:tabs>
        <w:spacing w:line="240" w:lineRule="auto" w:before="78" w:after="0"/>
        <w:ind w:left="292" w:right="0" w:hanging="188"/>
        <w:jc w:val="left"/>
        <w:rPr>
          <w:rFonts w:ascii="Arial"/>
          <w:color w:val="383638"/>
          <w:sz w:val="14"/>
        </w:rPr>
      </w:pPr>
      <w:r>
        <w:rPr>
          <w:rFonts w:ascii="Arial"/>
          <w:color w:val="383638"/>
          <w:sz w:val="14"/>
        </w:rPr>
        <w:t>Facts</w:t>
      </w:r>
    </w:p>
    <w:p>
      <w:pPr>
        <w:pStyle w:val="ListParagraph"/>
        <w:numPr>
          <w:ilvl w:val="0"/>
          <w:numId w:val="59"/>
        </w:numPr>
        <w:tabs>
          <w:tab w:pos="294" w:val="left" w:leader="none"/>
        </w:tabs>
        <w:spacing w:line="240" w:lineRule="auto" w:before="60" w:after="0"/>
        <w:ind w:left="293" w:right="0" w:hanging="186"/>
        <w:jc w:val="left"/>
        <w:rPr>
          <w:rFonts w:ascii="Arial"/>
          <w:b/>
          <w:color w:val="383638"/>
          <w:sz w:val="15"/>
        </w:rPr>
      </w:pPr>
      <w:r>
        <w:rPr>
          <w:rFonts w:ascii="Arial"/>
          <w:color w:val="383638"/>
          <w:sz w:val="14"/>
        </w:rPr>
        <w:t>Reasoning</w:t>
      </w:r>
    </w:p>
    <w:p>
      <w:pPr>
        <w:spacing w:after="0" w:line="240" w:lineRule="auto"/>
        <w:jc w:val="left"/>
        <w:rPr>
          <w:rFonts w:ascii="Arial"/>
          <w:sz w:val="15"/>
        </w:rPr>
        <w:sectPr>
          <w:type w:val="continuous"/>
          <w:pgSz w:w="9550" w:h="13750"/>
          <w:pgMar w:header="417" w:footer="0" w:top="340" w:bottom="280" w:left="200" w:right="460"/>
          <w:cols w:num="2" w:equalWidth="0">
            <w:col w:w="7545" w:space="215"/>
            <w:col w:w="1130"/>
          </w:cols>
        </w:sectPr>
      </w:pPr>
    </w:p>
    <w:p>
      <w:pPr>
        <w:pStyle w:val="BodyText"/>
        <w:spacing w:line="235" w:lineRule="auto" w:before="131"/>
        <w:ind w:left="319" w:right="952" w:hanging="3"/>
        <w:jc w:val="both"/>
      </w:pPr>
      <w:r>
        <w:rPr>
          <w:color w:val="383638"/>
          <w:w w:val="110"/>
        </w:rPr>
        <w:t>Readers who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skipped the quote would have no way of knowing where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writer's "therefore" came from. Even readers who read the quote would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have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figure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out</w:t>
      </w:r>
      <w:r>
        <w:rPr>
          <w:color w:val="383638"/>
          <w:spacing w:val="37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themselves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significance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9"/>
          <w:w w:val="110"/>
        </w:rPr>
        <w:t> </w:t>
      </w:r>
      <w:r>
        <w:rPr>
          <w:color w:val="383638"/>
          <w:w w:val="110"/>
        </w:rPr>
        <w:t>quoted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language.</w:t>
      </w:r>
    </w:p>
    <w:p>
      <w:pPr>
        <w:spacing w:after="0" w:line="235" w:lineRule="auto"/>
        <w:jc w:val="both"/>
        <w:sectPr>
          <w:type w:val="continuous"/>
          <w:pgSz w:w="9550" w:h="13750"/>
          <w:pgMar w:header="417" w:footer="0" w:top="340" w:bottom="280" w:left="200" w:right="460"/>
        </w:sectPr>
      </w:pPr>
    </w:p>
    <w:p>
      <w:pPr>
        <w:pStyle w:val="BodyText"/>
        <w:spacing w:line="235" w:lineRule="auto" w:before="85"/>
        <w:ind w:left="1012" w:right="76" w:hanging="4"/>
        <w:jc w:val="both"/>
      </w:pPr>
      <w:r>
        <w:rPr>
          <w:color w:val="383638"/>
          <w:w w:val="110"/>
          <w:sz w:val="22"/>
        </w:rPr>
        <w:t>If </w:t>
      </w:r>
      <w:r>
        <w:rPr>
          <w:color w:val="383638"/>
          <w:w w:val="110"/>
        </w:rPr>
        <w:t>you are tempted to use a lengthy quotation, try one of two tactics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help</w:t>
      </w:r>
      <w:r>
        <w:rPr>
          <w:color w:val="383638"/>
          <w:spacing w:val="-19"/>
          <w:w w:val="105"/>
        </w:rPr>
        <w:t> </w:t>
      </w:r>
      <w:r>
        <w:rPr>
          <w:color w:val="383638"/>
          <w:w w:val="105"/>
        </w:rPr>
        <w:t>ensure</w:t>
      </w:r>
      <w:r>
        <w:rPr>
          <w:color w:val="383638"/>
          <w:spacing w:val="3"/>
          <w:w w:val="105"/>
        </w:rPr>
        <w:t> </w:t>
      </w:r>
      <w:r>
        <w:rPr>
          <w:color w:val="383638"/>
          <w:w w:val="105"/>
        </w:rPr>
        <w:t>that your</w:t>
      </w:r>
      <w:r>
        <w:rPr>
          <w:color w:val="383638"/>
          <w:spacing w:val="13"/>
          <w:w w:val="105"/>
        </w:rPr>
        <w:t> </w:t>
      </w:r>
      <w:r>
        <w:rPr>
          <w:color w:val="383638"/>
          <w:w w:val="105"/>
        </w:rPr>
        <w:t>readers</w:t>
      </w:r>
      <w:r>
        <w:rPr>
          <w:color w:val="383638"/>
          <w:spacing w:val="-9"/>
          <w:w w:val="105"/>
        </w:rPr>
        <w:t> </w:t>
      </w:r>
      <w:r>
        <w:rPr>
          <w:color w:val="383638"/>
          <w:w w:val="105"/>
        </w:rPr>
        <w:t>will</w:t>
      </w:r>
      <w:r>
        <w:rPr>
          <w:color w:val="383638"/>
          <w:spacing w:val="14"/>
          <w:w w:val="105"/>
        </w:rPr>
        <w:t> </w:t>
      </w:r>
      <w:r>
        <w:rPr>
          <w:color w:val="383638"/>
          <w:w w:val="105"/>
        </w:rPr>
        <w:t>understand</w:t>
      </w:r>
      <w:r>
        <w:rPr>
          <w:color w:val="383638"/>
          <w:spacing w:val="28"/>
          <w:w w:val="105"/>
        </w:rPr>
        <w:t> </w:t>
      </w:r>
      <w:r>
        <w:rPr>
          <w:color w:val="383638"/>
          <w:w w:val="105"/>
        </w:rPr>
        <w:t>your</w:t>
      </w:r>
      <w:r>
        <w:rPr>
          <w:color w:val="383638"/>
          <w:spacing w:val="9"/>
          <w:w w:val="105"/>
        </w:rPr>
        <w:t> </w:t>
      </w:r>
      <w:r>
        <w:rPr>
          <w:color w:val="383638"/>
          <w:w w:val="105"/>
        </w:rPr>
        <w:t>message.</w:t>
      </w:r>
    </w:p>
    <w:p>
      <w:pPr>
        <w:pStyle w:val="BodyText"/>
        <w:ind w:left="996" w:right="62" w:firstLine="358"/>
        <w:jc w:val="both"/>
      </w:pPr>
      <w:r>
        <w:rPr>
          <w:color w:val="383638"/>
          <w:w w:val="110"/>
        </w:rPr>
        <w:t>The first and perhaps most obvious solution is to try to shorten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quote. Start by underlining the language that is most significant to your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argument:</w:t>
      </w:r>
    </w:p>
    <w:p>
      <w:pPr>
        <w:spacing w:line="213" w:lineRule="auto" w:before="130"/>
        <w:ind w:left="1345" w:right="445" w:firstLine="22"/>
        <w:jc w:val="both"/>
        <w:rPr>
          <w:sz w:val="21"/>
        </w:rPr>
      </w:pPr>
      <w:r>
        <w:rPr>
          <w:color w:val="383638"/>
          <w:w w:val="110"/>
          <w:sz w:val="21"/>
        </w:rPr>
        <w:t>Plainly, however, </w:t>
      </w:r>
      <w:r>
        <w:rPr>
          <w:color w:val="383638"/>
          <w:w w:val="110"/>
          <w:sz w:val="21"/>
          <w:u w:val="thick" w:color="383638"/>
        </w:rPr>
        <w:t>no</w:t>
      </w:r>
      <w:r>
        <w:rPr>
          <w:color w:val="383638"/>
          <w:spacing w:val="1"/>
          <w:w w:val="110"/>
          <w:sz w:val="21"/>
          <w:u w:val="thick" w:color="383638"/>
        </w:rPr>
        <w:t> </w:t>
      </w:r>
      <w:r>
        <w:rPr>
          <w:color w:val="383638"/>
          <w:w w:val="110"/>
          <w:sz w:val="21"/>
          <w:u w:val="thick" w:color="383638"/>
        </w:rPr>
        <w:t>mandate</w:t>
      </w:r>
      <w:r>
        <w:rPr>
          <w:color w:val="383638"/>
          <w:spacing w:val="1"/>
          <w:w w:val="110"/>
          <w:sz w:val="21"/>
        </w:rPr>
        <w:t> </w:t>
      </w:r>
      <w:r>
        <w:rPr>
          <w:rFonts w:ascii="Arial" w:hAnsi="Arial"/>
          <w:color w:val="383638"/>
          <w:w w:val="110"/>
          <w:sz w:val="17"/>
          <w:u w:val="thick" w:color="383638"/>
        </w:rPr>
        <w:t>jn</w:t>
      </w:r>
      <w:r>
        <w:rPr>
          <w:rFonts w:ascii="Arial" w:hAnsi="Arial"/>
          <w:color w:val="383638"/>
          <w:spacing w:val="1"/>
          <w:w w:val="110"/>
          <w:sz w:val="17"/>
        </w:rPr>
        <w:t> </w:t>
      </w:r>
      <w:r>
        <w:rPr>
          <w:color w:val="383638"/>
          <w:w w:val="110"/>
          <w:sz w:val="21"/>
          <w:u w:val="thick" w:color="383638"/>
        </w:rPr>
        <w:t>our Constitution</w:t>
      </w:r>
      <w:r>
        <w:rPr>
          <w:color w:val="383638"/>
          <w:w w:val="110"/>
          <w:sz w:val="21"/>
        </w:rPr>
        <w:t> leaves States and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governmental units powerless to pass laws to protect the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public from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the kind of boisterous and </w:t>
      </w:r>
      <w:r>
        <w:rPr>
          <w:color w:val="383638"/>
          <w:w w:val="110"/>
          <w:sz w:val="21"/>
          <w:u w:val="thick" w:color="383638"/>
        </w:rPr>
        <w:t>threatening conduct</w:t>
      </w:r>
      <w:r>
        <w:rPr>
          <w:color w:val="383638"/>
          <w:w w:val="110"/>
          <w:sz w:val="21"/>
        </w:rPr>
        <w:t> that </w:t>
      </w:r>
      <w:r>
        <w:rPr>
          <w:color w:val="383638"/>
          <w:w w:val="110"/>
          <w:sz w:val="21"/>
          <w:u w:val="thick" w:color="383638"/>
        </w:rPr>
        <w:t>disturbs the </w:t>
      </w:r>
      <w:r>
        <w:rPr>
          <w:color w:val="383638"/>
          <w:w w:val="110"/>
          <w:sz w:val="28"/>
          <w:u w:val="thick" w:color="383638"/>
        </w:rPr>
        <w:t>tran­</w:t>
      </w:r>
      <w:r>
        <w:rPr>
          <w:color w:val="383638"/>
          <w:spacing w:val="1"/>
          <w:w w:val="110"/>
          <w:sz w:val="28"/>
        </w:rPr>
        <w:t> </w:t>
      </w:r>
      <w:r>
        <w:rPr>
          <w:color w:val="383638"/>
          <w:w w:val="110"/>
          <w:sz w:val="20"/>
          <w:u w:val="thick" w:color="383638"/>
        </w:rPr>
        <w:t>quility</w:t>
      </w:r>
      <w:r>
        <w:rPr>
          <w:color w:val="383638"/>
          <w:spacing w:val="-3"/>
          <w:w w:val="110"/>
          <w:sz w:val="20"/>
        </w:rPr>
        <w:t> </w:t>
      </w:r>
      <w:r>
        <w:rPr>
          <w:color w:val="383638"/>
          <w:w w:val="110"/>
          <w:sz w:val="21"/>
        </w:rPr>
        <w:t>of</w:t>
      </w:r>
      <w:r>
        <w:rPr>
          <w:color w:val="383638"/>
          <w:spacing w:val="-4"/>
          <w:w w:val="110"/>
          <w:sz w:val="21"/>
        </w:rPr>
        <w:t> </w:t>
      </w:r>
      <w:r>
        <w:rPr>
          <w:color w:val="383638"/>
          <w:w w:val="110"/>
          <w:sz w:val="21"/>
        </w:rPr>
        <w:t>spots</w:t>
      </w:r>
      <w:r>
        <w:rPr>
          <w:color w:val="383638"/>
          <w:spacing w:val="9"/>
          <w:w w:val="110"/>
          <w:sz w:val="21"/>
        </w:rPr>
        <w:t> </w:t>
      </w:r>
      <w:r>
        <w:rPr>
          <w:color w:val="383638"/>
          <w:w w:val="110"/>
          <w:sz w:val="21"/>
        </w:rPr>
        <w:t>selected</w:t>
      </w:r>
      <w:r>
        <w:rPr>
          <w:color w:val="383638"/>
          <w:spacing w:val="37"/>
          <w:w w:val="110"/>
          <w:sz w:val="21"/>
        </w:rPr>
        <w:t> </w:t>
      </w:r>
      <w:r>
        <w:rPr>
          <w:color w:val="383638"/>
          <w:w w:val="110"/>
          <w:sz w:val="21"/>
        </w:rPr>
        <w:t>by</w:t>
      </w:r>
      <w:r>
        <w:rPr>
          <w:color w:val="383638"/>
          <w:spacing w:val="7"/>
          <w:w w:val="110"/>
          <w:sz w:val="21"/>
        </w:rPr>
        <w:t> </w:t>
      </w:r>
      <w:r>
        <w:rPr>
          <w:i/>
          <w:color w:val="383638"/>
          <w:w w:val="110"/>
          <w:sz w:val="21"/>
        </w:rPr>
        <w:t>the</w:t>
      </w:r>
      <w:r>
        <w:rPr>
          <w:i/>
          <w:color w:val="383638"/>
          <w:spacing w:val="14"/>
          <w:w w:val="110"/>
          <w:sz w:val="21"/>
        </w:rPr>
        <w:t> </w:t>
      </w:r>
      <w:r>
        <w:rPr>
          <w:color w:val="383638"/>
          <w:w w:val="110"/>
          <w:sz w:val="21"/>
        </w:rPr>
        <w:t>people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either</w:t>
      </w:r>
      <w:r>
        <w:rPr>
          <w:color w:val="383638"/>
          <w:spacing w:val="15"/>
          <w:w w:val="110"/>
          <w:sz w:val="21"/>
        </w:rPr>
        <w:t> </w:t>
      </w:r>
      <w:r>
        <w:rPr>
          <w:color w:val="383638"/>
          <w:w w:val="110"/>
          <w:sz w:val="21"/>
        </w:rPr>
        <w:t>for</w:t>
      </w:r>
      <w:r>
        <w:rPr>
          <w:color w:val="383638"/>
          <w:spacing w:val="11"/>
          <w:w w:val="110"/>
          <w:sz w:val="21"/>
        </w:rPr>
        <w:t> </w:t>
      </w:r>
      <w:r>
        <w:rPr>
          <w:color w:val="383638"/>
          <w:w w:val="110"/>
          <w:sz w:val="21"/>
        </w:rPr>
        <w:t>homes,</w:t>
      </w:r>
      <w:r>
        <w:rPr>
          <w:color w:val="383638"/>
          <w:spacing w:val="31"/>
          <w:w w:val="110"/>
          <w:sz w:val="21"/>
        </w:rPr>
        <w:t> </w:t>
      </w:r>
      <w:r>
        <w:rPr>
          <w:color w:val="383638"/>
          <w:w w:val="110"/>
          <w:sz w:val="21"/>
        </w:rPr>
        <w:t>wherein</w:t>
      </w:r>
      <w:r>
        <w:rPr>
          <w:color w:val="383638"/>
          <w:spacing w:val="42"/>
          <w:w w:val="110"/>
          <w:sz w:val="21"/>
        </w:rPr>
        <w:t> </w:t>
      </w:r>
      <w:r>
        <w:rPr>
          <w:color w:val="383638"/>
          <w:w w:val="110"/>
          <w:sz w:val="21"/>
        </w:rPr>
        <w:t>they</w:t>
      </w:r>
    </w:p>
    <w:p>
      <w:pPr>
        <w:spacing w:line="235" w:lineRule="auto" w:before="5"/>
        <w:ind w:left="1344" w:right="446" w:firstLine="0"/>
        <w:jc w:val="both"/>
        <w:rPr>
          <w:sz w:val="21"/>
        </w:rPr>
      </w:pPr>
      <w:r>
        <w:rPr>
          <w:color w:val="383638"/>
          <w:w w:val="110"/>
          <w:sz w:val="21"/>
        </w:rPr>
        <w:t>can escape the hurly</w:t>
      </w:r>
      <w:r>
        <w:rPr>
          <w:color w:val="565659"/>
          <w:w w:val="110"/>
          <w:sz w:val="21"/>
        </w:rPr>
        <w:t>-</w:t>
      </w:r>
      <w:r>
        <w:rPr>
          <w:color w:val="383638"/>
          <w:w w:val="110"/>
          <w:sz w:val="21"/>
        </w:rPr>
        <w:t>burly of the outside business and political world,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5"/>
          <w:sz w:val="21"/>
        </w:rPr>
        <w:t>or</w:t>
      </w:r>
      <w:r>
        <w:rPr>
          <w:color w:val="383638"/>
          <w:spacing w:val="-11"/>
          <w:w w:val="115"/>
          <w:sz w:val="21"/>
        </w:rPr>
        <w:t> </w:t>
      </w:r>
      <w:r>
        <w:rPr>
          <w:color w:val="383638"/>
          <w:w w:val="115"/>
          <w:sz w:val="21"/>
        </w:rPr>
        <w:t>for</w:t>
      </w:r>
      <w:r>
        <w:rPr>
          <w:color w:val="383638"/>
          <w:spacing w:val="-5"/>
          <w:w w:val="115"/>
          <w:sz w:val="21"/>
        </w:rPr>
        <w:t> </w:t>
      </w:r>
      <w:r>
        <w:rPr>
          <w:color w:val="383638"/>
          <w:w w:val="115"/>
          <w:sz w:val="21"/>
        </w:rPr>
        <w:t>public</w:t>
      </w:r>
      <w:r>
        <w:rPr>
          <w:color w:val="383638"/>
          <w:spacing w:val="-22"/>
          <w:w w:val="115"/>
          <w:sz w:val="21"/>
        </w:rPr>
        <w:t> </w:t>
      </w:r>
      <w:r>
        <w:rPr>
          <w:color w:val="383638"/>
          <w:w w:val="115"/>
          <w:sz w:val="21"/>
        </w:rPr>
        <w:t>and</w:t>
      </w:r>
      <w:r>
        <w:rPr>
          <w:color w:val="383638"/>
          <w:spacing w:val="17"/>
          <w:w w:val="115"/>
          <w:sz w:val="21"/>
        </w:rPr>
        <w:t> </w:t>
      </w:r>
      <w:r>
        <w:rPr>
          <w:color w:val="383638"/>
          <w:w w:val="115"/>
          <w:sz w:val="21"/>
        </w:rPr>
        <w:t>other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buildings</w:t>
      </w:r>
      <w:r>
        <w:rPr>
          <w:color w:val="383638"/>
          <w:spacing w:val="-5"/>
          <w:w w:val="115"/>
          <w:sz w:val="21"/>
        </w:rPr>
        <w:t> </w:t>
      </w:r>
      <w:r>
        <w:rPr>
          <w:color w:val="383638"/>
          <w:w w:val="115"/>
          <w:sz w:val="21"/>
        </w:rPr>
        <w:t>that</w:t>
      </w:r>
      <w:r>
        <w:rPr>
          <w:color w:val="383638"/>
          <w:spacing w:val="-14"/>
          <w:w w:val="115"/>
          <w:sz w:val="21"/>
        </w:rPr>
        <w:t> </w:t>
      </w:r>
      <w:r>
        <w:rPr>
          <w:color w:val="383638"/>
          <w:w w:val="115"/>
          <w:sz w:val="21"/>
        </w:rPr>
        <w:t>require</w:t>
      </w:r>
      <w:r>
        <w:rPr>
          <w:color w:val="383638"/>
          <w:spacing w:val="-16"/>
          <w:w w:val="115"/>
          <w:sz w:val="21"/>
        </w:rPr>
        <w:t> </w:t>
      </w:r>
      <w:r>
        <w:rPr>
          <w:color w:val="383638"/>
          <w:w w:val="115"/>
          <w:sz w:val="21"/>
        </w:rPr>
        <w:t>peace</w:t>
      </w:r>
      <w:r>
        <w:rPr>
          <w:color w:val="383638"/>
          <w:spacing w:val="-25"/>
          <w:w w:val="115"/>
          <w:sz w:val="21"/>
        </w:rPr>
        <w:t> </w:t>
      </w:r>
      <w:r>
        <w:rPr>
          <w:color w:val="383638"/>
          <w:w w:val="115"/>
          <w:sz w:val="21"/>
        </w:rPr>
        <w:t>and</w:t>
      </w:r>
      <w:r>
        <w:rPr>
          <w:color w:val="383638"/>
          <w:spacing w:val="27"/>
          <w:w w:val="115"/>
          <w:sz w:val="21"/>
        </w:rPr>
        <w:t> </w:t>
      </w:r>
      <w:r>
        <w:rPr>
          <w:color w:val="383638"/>
          <w:w w:val="115"/>
          <w:sz w:val="21"/>
        </w:rPr>
        <w:t>quiet</w:t>
      </w:r>
      <w:r>
        <w:rPr>
          <w:color w:val="383638"/>
          <w:spacing w:val="-13"/>
          <w:w w:val="115"/>
          <w:sz w:val="21"/>
        </w:rPr>
        <w:t> </w:t>
      </w:r>
      <w:r>
        <w:rPr>
          <w:color w:val="383638"/>
          <w:w w:val="115"/>
          <w:sz w:val="21"/>
        </w:rPr>
        <w:t>to</w:t>
      </w:r>
      <w:r>
        <w:rPr>
          <w:color w:val="383638"/>
          <w:spacing w:val="-10"/>
          <w:w w:val="115"/>
          <w:sz w:val="21"/>
        </w:rPr>
        <w:t> </w:t>
      </w:r>
      <w:r>
        <w:rPr>
          <w:color w:val="383638"/>
          <w:w w:val="115"/>
          <w:sz w:val="21"/>
        </w:rPr>
        <w:t>carry</w:t>
      </w:r>
      <w:r>
        <w:rPr>
          <w:color w:val="383638"/>
          <w:spacing w:val="-58"/>
          <w:w w:val="115"/>
          <w:sz w:val="21"/>
        </w:rPr>
        <w:t> </w:t>
      </w:r>
      <w:r>
        <w:rPr>
          <w:color w:val="383638"/>
          <w:spacing w:val="-1"/>
          <w:w w:val="115"/>
          <w:sz w:val="21"/>
        </w:rPr>
        <w:t>out</w:t>
      </w:r>
      <w:r>
        <w:rPr>
          <w:color w:val="383638"/>
          <w:spacing w:val="-6"/>
          <w:w w:val="115"/>
          <w:sz w:val="21"/>
        </w:rPr>
        <w:t> </w:t>
      </w:r>
      <w:r>
        <w:rPr>
          <w:color w:val="383638"/>
          <w:spacing w:val="-1"/>
          <w:w w:val="115"/>
          <w:sz w:val="21"/>
        </w:rPr>
        <w:t>their</w:t>
      </w:r>
      <w:r>
        <w:rPr>
          <w:color w:val="383638"/>
          <w:spacing w:val="-13"/>
          <w:w w:val="115"/>
          <w:sz w:val="21"/>
        </w:rPr>
        <w:t> </w:t>
      </w:r>
      <w:r>
        <w:rPr>
          <w:color w:val="383638"/>
          <w:spacing w:val="-1"/>
          <w:w w:val="115"/>
          <w:sz w:val="21"/>
        </w:rPr>
        <w:t>functions,</w:t>
      </w:r>
      <w:r>
        <w:rPr>
          <w:color w:val="383638"/>
          <w:spacing w:val="-12"/>
          <w:w w:val="115"/>
          <w:sz w:val="21"/>
        </w:rPr>
        <w:t> </w:t>
      </w:r>
      <w:r>
        <w:rPr>
          <w:color w:val="383638"/>
          <w:spacing w:val="-1"/>
          <w:w w:val="115"/>
          <w:sz w:val="21"/>
        </w:rPr>
        <w:t>such</w:t>
      </w:r>
      <w:r>
        <w:rPr>
          <w:color w:val="383638"/>
          <w:spacing w:val="-15"/>
          <w:w w:val="115"/>
          <w:sz w:val="21"/>
        </w:rPr>
        <w:t> </w:t>
      </w:r>
      <w:r>
        <w:rPr>
          <w:color w:val="383638"/>
          <w:spacing w:val="-1"/>
          <w:w w:val="115"/>
          <w:sz w:val="21"/>
        </w:rPr>
        <w:t>as</w:t>
      </w:r>
      <w:r>
        <w:rPr>
          <w:color w:val="383638"/>
          <w:spacing w:val="-14"/>
          <w:w w:val="115"/>
          <w:sz w:val="21"/>
        </w:rPr>
        <w:t> </w:t>
      </w:r>
      <w:r>
        <w:rPr>
          <w:color w:val="383638"/>
          <w:spacing w:val="-1"/>
          <w:w w:val="115"/>
          <w:sz w:val="21"/>
        </w:rPr>
        <w:t>courts,</w:t>
      </w:r>
      <w:r>
        <w:rPr>
          <w:color w:val="383638"/>
          <w:spacing w:val="-10"/>
          <w:w w:val="115"/>
          <w:sz w:val="21"/>
        </w:rPr>
        <w:t> </w:t>
      </w:r>
      <w:r>
        <w:rPr>
          <w:color w:val="383638"/>
          <w:w w:val="115"/>
          <w:sz w:val="21"/>
        </w:rPr>
        <w:t>libraries,</w:t>
      </w:r>
      <w:r>
        <w:rPr>
          <w:color w:val="383638"/>
          <w:spacing w:val="-13"/>
          <w:w w:val="115"/>
          <w:sz w:val="21"/>
        </w:rPr>
        <w:t> </w:t>
      </w:r>
      <w:r>
        <w:rPr>
          <w:color w:val="383638"/>
          <w:w w:val="115"/>
          <w:sz w:val="21"/>
        </w:rPr>
        <w:t>schools,</w:t>
      </w:r>
      <w:r>
        <w:rPr>
          <w:color w:val="383638"/>
          <w:spacing w:val="-9"/>
          <w:w w:val="115"/>
          <w:sz w:val="21"/>
        </w:rPr>
        <w:t> </w:t>
      </w:r>
      <w:r>
        <w:rPr>
          <w:color w:val="383638"/>
          <w:w w:val="115"/>
          <w:sz w:val="21"/>
        </w:rPr>
        <w:t>and</w:t>
      </w:r>
      <w:r>
        <w:rPr>
          <w:color w:val="383638"/>
          <w:spacing w:val="32"/>
          <w:w w:val="115"/>
          <w:sz w:val="21"/>
        </w:rPr>
        <w:t> </w:t>
      </w:r>
      <w:r>
        <w:rPr>
          <w:color w:val="383638"/>
          <w:w w:val="115"/>
          <w:sz w:val="21"/>
        </w:rPr>
        <w:t>hospitals.</w:t>
      </w:r>
    </w:p>
    <w:p>
      <w:pPr>
        <w:pStyle w:val="BodyText"/>
        <w:spacing w:line="235" w:lineRule="auto" w:before="138"/>
        <w:ind w:left="986" w:right="133" w:firstLine="1"/>
        <w:jc w:val="both"/>
      </w:pPr>
      <w:r>
        <w:rPr>
          <w:color w:val="383638"/>
          <w:w w:val="110"/>
        </w:rPr>
        <w:t>Then</w:t>
      </w:r>
      <w:r>
        <w:rPr>
          <w:color w:val="565659"/>
          <w:w w:val="110"/>
        </w:rPr>
        <w:t>, </w:t>
      </w:r>
      <w:r>
        <w:rPr>
          <w:color w:val="383638"/>
          <w:w w:val="110"/>
        </w:rPr>
        <w:t>quote only the underlined material (after removing the underlin­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ing), and incorporate a paraphrase of the rest of the quotation into your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argument:</w:t>
      </w:r>
    </w:p>
    <w:p>
      <w:pPr>
        <w:spacing w:before="76"/>
        <w:ind w:left="910" w:right="0" w:firstLine="0"/>
        <w:jc w:val="both"/>
        <w:rPr>
          <w:rFonts w:ascii="Arial"/>
          <w:sz w:val="14"/>
        </w:rPr>
      </w:pPr>
      <w:r>
        <w:rPr>
          <w:rFonts w:ascii="Arial"/>
          <w:i/>
          <w:color w:val="383638"/>
          <w:w w:val="110"/>
          <w:sz w:val="30"/>
          <w:u w:val="thick" w:color="383638"/>
        </w:rPr>
        <w:t>A</w:t>
      </w:r>
      <w:r>
        <w:rPr>
          <w:rFonts w:ascii="Arial"/>
          <w:i/>
          <w:color w:val="383638"/>
          <w:spacing w:val="14"/>
          <w:w w:val="110"/>
          <w:sz w:val="30"/>
        </w:rPr>
        <w:t> </w:t>
      </w:r>
      <w:r>
        <w:rPr>
          <w:rFonts w:ascii="Arial"/>
          <w:color w:val="383638"/>
          <w:w w:val="110"/>
          <w:sz w:val="14"/>
          <w:u w:val="thick" w:color="383638"/>
        </w:rPr>
        <w:t>GOOD</w:t>
      </w:r>
      <w:r>
        <w:rPr>
          <w:rFonts w:ascii="Arial"/>
          <w:color w:val="383638"/>
          <w:spacing w:val="-5"/>
          <w:w w:val="110"/>
          <w:sz w:val="14"/>
          <w:u w:val="thick" w:color="383638"/>
        </w:rPr>
        <w:t> </w:t>
      </w:r>
      <w:r>
        <w:rPr>
          <w:rFonts w:ascii="Arial"/>
          <w:color w:val="383638"/>
          <w:w w:val="110"/>
          <w:sz w:val="14"/>
          <w:u w:val="thick" w:color="383638"/>
        </w:rPr>
        <w:t>EXAMP</w:t>
      </w:r>
      <w:r>
        <w:rPr>
          <w:rFonts w:ascii="Arial"/>
          <w:color w:val="565659"/>
          <w:w w:val="110"/>
          <w:sz w:val="14"/>
          <w:u w:val="thick" w:color="383638"/>
        </w:rPr>
        <w:t>L</w:t>
      </w:r>
      <w:r>
        <w:rPr>
          <w:rFonts w:ascii="Arial"/>
          <w:color w:val="383638"/>
          <w:w w:val="110"/>
          <w:sz w:val="14"/>
          <w:u w:val="thick" w:color="383638"/>
        </w:rPr>
        <w:t>E</w:t>
      </w:r>
    </w:p>
    <w:p>
      <w:pPr>
        <w:spacing w:line="241" w:lineRule="exact" w:before="49"/>
        <w:ind w:left="0" w:right="485" w:firstLine="0"/>
        <w:jc w:val="right"/>
        <w:rPr>
          <w:sz w:val="21"/>
        </w:rPr>
      </w:pPr>
      <w:r>
        <w:rPr>
          <w:color w:val="383638"/>
          <w:w w:val="115"/>
          <w:sz w:val="21"/>
        </w:rPr>
        <w:t>This</w:t>
      </w:r>
      <w:r>
        <w:rPr>
          <w:color w:val="383638"/>
          <w:spacing w:val="9"/>
          <w:w w:val="115"/>
          <w:sz w:val="21"/>
        </w:rPr>
        <w:t> </w:t>
      </w:r>
      <w:r>
        <w:rPr>
          <w:color w:val="383638"/>
          <w:w w:val="115"/>
          <w:sz w:val="21"/>
        </w:rPr>
        <w:t>Court</w:t>
      </w:r>
      <w:r>
        <w:rPr>
          <w:color w:val="383638"/>
          <w:spacing w:val="35"/>
          <w:w w:val="115"/>
          <w:sz w:val="21"/>
        </w:rPr>
        <w:t> </w:t>
      </w:r>
      <w:r>
        <w:rPr>
          <w:color w:val="383638"/>
          <w:w w:val="115"/>
          <w:sz w:val="21"/>
        </w:rPr>
        <w:t>has</w:t>
      </w:r>
      <w:r>
        <w:rPr>
          <w:color w:val="383638"/>
          <w:spacing w:val="14"/>
          <w:w w:val="115"/>
          <w:sz w:val="21"/>
        </w:rPr>
        <w:t> </w:t>
      </w:r>
      <w:r>
        <w:rPr>
          <w:color w:val="383638"/>
          <w:w w:val="115"/>
          <w:sz w:val="21"/>
        </w:rPr>
        <w:t>provided</w:t>
      </w:r>
      <w:r>
        <w:rPr>
          <w:color w:val="383638"/>
          <w:spacing w:val="17"/>
          <w:w w:val="115"/>
          <w:sz w:val="21"/>
        </w:rPr>
        <w:t> </w:t>
      </w:r>
      <w:r>
        <w:rPr>
          <w:color w:val="383638"/>
          <w:w w:val="115"/>
          <w:sz w:val="21"/>
        </w:rPr>
        <w:t>almost</w:t>
      </w:r>
      <w:r>
        <w:rPr>
          <w:color w:val="383638"/>
          <w:spacing w:val="23"/>
          <w:w w:val="115"/>
          <w:sz w:val="21"/>
        </w:rPr>
        <w:t> </w:t>
      </w:r>
      <w:r>
        <w:rPr>
          <w:color w:val="383638"/>
          <w:w w:val="115"/>
          <w:sz w:val="21"/>
        </w:rPr>
        <w:t>absolute</w:t>
      </w:r>
      <w:r>
        <w:rPr>
          <w:color w:val="383638"/>
          <w:spacing w:val="26"/>
          <w:w w:val="115"/>
          <w:sz w:val="21"/>
        </w:rPr>
        <w:t> </w:t>
      </w:r>
      <w:r>
        <w:rPr>
          <w:color w:val="383638"/>
          <w:w w:val="115"/>
          <w:sz w:val="21"/>
        </w:rPr>
        <w:t>protection</w:t>
      </w:r>
      <w:r>
        <w:rPr>
          <w:color w:val="383638"/>
          <w:spacing w:val="40"/>
          <w:w w:val="115"/>
          <w:sz w:val="21"/>
        </w:rPr>
        <w:t> </w:t>
      </w:r>
      <w:r>
        <w:rPr>
          <w:color w:val="383638"/>
          <w:w w:val="115"/>
          <w:sz w:val="21"/>
        </w:rPr>
        <w:t>to</w:t>
      </w:r>
      <w:r>
        <w:rPr>
          <w:color w:val="383638"/>
          <w:spacing w:val="18"/>
          <w:w w:val="115"/>
          <w:sz w:val="21"/>
        </w:rPr>
        <w:t> </w:t>
      </w:r>
      <w:r>
        <w:rPr>
          <w:color w:val="383638"/>
          <w:w w:val="115"/>
          <w:sz w:val="21"/>
        </w:rPr>
        <w:t>speech</w:t>
      </w:r>
      <w:r>
        <w:rPr>
          <w:color w:val="383638"/>
          <w:spacing w:val="20"/>
          <w:w w:val="115"/>
          <w:sz w:val="21"/>
        </w:rPr>
        <w:t> </w:t>
      </w:r>
      <w:r>
        <w:rPr>
          <w:color w:val="383638"/>
          <w:w w:val="115"/>
          <w:sz w:val="21"/>
        </w:rPr>
        <w:t>of</w:t>
      </w:r>
      <w:r>
        <w:rPr>
          <w:color w:val="383638"/>
          <w:spacing w:val="17"/>
          <w:w w:val="115"/>
          <w:sz w:val="21"/>
        </w:rPr>
        <w:t> </w:t>
      </w:r>
      <w:r>
        <w:rPr>
          <w:color w:val="383638"/>
          <w:w w:val="115"/>
          <w:sz w:val="21"/>
        </w:rPr>
        <w:t>a</w:t>
      </w:r>
    </w:p>
    <w:p>
      <w:pPr>
        <w:tabs>
          <w:tab w:pos="1315" w:val="left" w:leader="none"/>
        </w:tabs>
        <w:spacing w:line="235" w:lineRule="auto" w:before="3"/>
        <w:ind w:left="104" w:right="474" w:firstLine="11"/>
        <w:jc w:val="right"/>
        <w:rPr>
          <w:sz w:val="21"/>
        </w:rPr>
      </w:pPr>
      <w:r>
        <w:rPr>
          <w:b/>
          <w:color w:val="383638"/>
          <w:w w:val="115"/>
          <w:sz w:val="16"/>
        </w:rPr>
        <w:t>1 </w:t>
      </w:r>
      <w:r>
        <w:rPr>
          <w:b/>
          <w:color w:val="383638"/>
          <w:spacing w:val="24"/>
          <w:w w:val="115"/>
          <w:sz w:val="16"/>
        </w:rPr>
        <w:t> </w:t>
      </w:r>
      <w:r>
        <w:rPr>
          <w:color w:val="383638"/>
          <w:w w:val="150"/>
          <w:sz w:val="16"/>
        </w:rPr>
        <w:t>iss</w:t>
        <w:tab/>
      </w:r>
      <w:r>
        <w:rPr>
          <w:color w:val="383638"/>
          <w:spacing w:val="-1"/>
          <w:w w:val="115"/>
          <w:sz w:val="21"/>
        </w:rPr>
        <w:t>political nature. </w:t>
      </w:r>
      <w:r>
        <w:rPr>
          <w:color w:val="383638"/>
          <w:w w:val="115"/>
          <w:sz w:val="17"/>
        </w:rPr>
        <w:t>1</w:t>
      </w:r>
      <w:r>
        <w:rPr>
          <w:color w:val="383638"/>
          <w:spacing w:val="1"/>
          <w:w w:val="115"/>
          <w:sz w:val="17"/>
        </w:rPr>
        <w:t> </w:t>
      </w:r>
      <w:r>
        <w:rPr>
          <w:color w:val="383638"/>
          <w:w w:val="115"/>
          <w:sz w:val="21"/>
          <w:u w:val="thick" w:color="383638"/>
        </w:rPr>
        <w:t>Gregory v. Chicago.</w:t>
      </w:r>
      <w:r>
        <w:rPr>
          <w:color w:val="383638"/>
          <w:w w:val="115"/>
          <w:sz w:val="21"/>
        </w:rPr>
        <w:t> 394 U.S. 111, 116 (1969). In</w:t>
      </w:r>
      <w:r>
        <w:rPr>
          <w:color w:val="383638"/>
          <w:spacing w:val="-58"/>
          <w:w w:val="115"/>
          <w:sz w:val="21"/>
        </w:rPr>
        <w:t> </w:t>
      </w:r>
      <w:r>
        <w:rPr>
          <w:rFonts w:ascii="Arial"/>
          <w:b/>
          <w:color w:val="383638"/>
          <w:w w:val="115"/>
          <w:sz w:val="21"/>
        </w:rPr>
        <w:t>z</w:t>
      </w:r>
      <w:r>
        <w:rPr>
          <w:rFonts w:ascii="Arial"/>
          <w:b/>
          <w:color w:val="383638"/>
          <w:spacing w:val="-14"/>
          <w:w w:val="115"/>
          <w:sz w:val="21"/>
        </w:rPr>
        <w:t> </w:t>
      </w:r>
      <w:r>
        <w:rPr>
          <w:rFonts w:ascii="Arial"/>
          <w:color w:val="383638"/>
          <w:w w:val="115"/>
          <w:sz w:val="13"/>
        </w:rPr>
        <w:t>Disposition</w:t>
        <w:tab/>
      </w:r>
      <w:r>
        <w:rPr>
          <w:color w:val="383638"/>
          <w:w w:val="115"/>
          <w:sz w:val="21"/>
          <w:u w:val="thick" w:color="383638"/>
        </w:rPr>
        <w:t>Gregory</w:t>
      </w:r>
      <w:r>
        <w:rPr>
          <w:color w:val="383638"/>
          <w:w w:val="115"/>
          <w:sz w:val="21"/>
        </w:rPr>
        <w:t>. the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Court found  the arrest of demonstrators for disorderly</w:t>
      </w:r>
      <w:r>
        <w:rPr>
          <w:color w:val="383638"/>
          <w:spacing w:val="-58"/>
          <w:w w:val="115"/>
          <w:sz w:val="21"/>
        </w:rPr>
        <w:t> </w:t>
      </w:r>
      <w:r>
        <w:rPr>
          <w:b/>
          <w:color w:val="383638"/>
          <w:w w:val="115"/>
          <w:sz w:val="16"/>
        </w:rPr>
        <w:t>3</w:t>
      </w:r>
      <w:r>
        <w:rPr>
          <w:b/>
          <w:color w:val="383638"/>
          <w:spacing w:val="25"/>
          <w:w w:val="115"/>
          <w:sz w:val="16"/>
        </w:rPr>
        <w:t> </w:t>
      </w:r>
      <w:r>
        <w:rPr>
          <w:rFonts w:ascii="Arial"/>
          <w:color w:val="383638"/>
          <w:w w:val="115"/>
          <w:sz w:val="16"/>
        </w:rPr>
        <w:t>F.cu</w:t>
        <w:tab/>
      </w:r>
      <w:r>
        <w:rPr>
          <w:color w:val="383638"/>
          <w:w w:val="115"/>
          <w:sz w:val="21"/>
        </w:rPr>
        <w:t>conduct </w:t>
      </w:r>
      <w:r>
        <w:rPr>
          <w:rFonts w:ascii="Arial"/>
          <w:color w:val="383638"/>
          <w:w w:val="115"/>
          <w:sz w:val="16"/>
        </w:rPr>
        <w:t>3</w:t>
      </w:r>
      <w:r>
        <w:rPr>
          <w:rFonts w:ascii="Arial"/>
          <w:color w:val="383638"/>
          <w:spacing w:val="1"/>
          <w:w w:val="115"/>
          <w:sz w:val="16"/>
        </w:rPr>
        <w:t> </w:t>
      </w:r>
      <w:r>
        <w:rPr>
          <w:color w:val="383638"/>
          <w:w w:val="115"/>
          <w:sz w:val="21"/>
        </w:rPr>
        <w:t>to be unconstitutional z under the First Amendment.  </w:t>
      </w:r>
      <w:r>
        <w:rPr>
          <w:b/>
          <w:color w:val="383638"/>
          <w:w w:val="115"/>
          <w:sz w:val="16"/>
        </w:rPr>
        <w:t>4  </w:t>
      </w:r>
      <w:r>
        <w:rPr>
          <w:rFonts w:ascii="Arial"/>
          <w:color w:val="383638"/>
          <w:w w:val="115"/>
          <w:sz w:val="18"/>
        </w:rPr>
        <w:t>Ig</w:t>
      </w:r>
      <w:r>
        <w:rPr>
          <w:rFonts w:ascii="Arial"/>
          <w:color w:val="565659"/>
          <w:w w:val="115"/>
          <w:sz w:val="18"/>
        </w:rPr>
        <w:t>.</w:t>
      </w:r>
      <w:r>
        <w:rPr>
          <w:rFonts w:ascii="Arial"/>
          <w:color w:val="565659"/>
          <w:spacing w:val="-55"/>
          <w:w w:val="115"/>
          <w:sz w:val="18"/>
        </w:rPr>
        <w:t> </w:t>
      </w:r>
      <w:r>
        <w:rPr>
          <w:rFonts w:ascii="Arial"/>
          <w:b/>
          <w:color w:val="383638"/>
          <w:spacing w:val="-1"/>
          <w:w w:val="110"/>
          <w:sz w:val="15"/>
        </w:rPr>
        <w:t>4 </w:t>
      </w:r>
      <w:r>
        <w:rPr>
          <w:rFonts w:ascii="Arial"/>
          <w:color w:val="383638"/>
          <w:spacing w:val="-1"/>
          <w:w w:val="110"/>
          <w:sz w:val="14"/>
        </w:rPr>
        <w:t>Reasoning</w:t>
        <w:tab/>
      </w:r>
      <w:r>
        <w:rPr>
          <w:color w:val="383638"/>
          <w:spacing w:val="-1"/>
          <w:w w:val="115"/>
          <w:sz w:val="21"/>
        </w:rPr>
        <w:t>The Court made this finding in favor </w:t>
      </w:r>
      <w:r>
        <w:rPr>
          <w:color w:val="383638"/>
          <w:w w:val="115"/>
          <w:sz w:val="21"/>
        </w:rPr>
        <w:t>of political speech even though</w:t>
      </w:r>
      <w:r>
        <w:rPr>
          <w:color w:val="383638"/>
          <w:spacing w:val="-57"/>
          <w:w w:val="115"/>
          <w:sz w:val="21"/>
        </w:rPr>
        <w:t> </w:t>
      </w:r>
      <w:r>
        <w:rPr>
          <w:color w:val="383638"/>
          <w:w w:val="115"/>
          <w:sz w:val="21"/>
        </w:rPr>
        <w:t>the picketers' actions led to a disruption of the  peace and  quiet of a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0"/>
          <w:sz w:val="21"/>
        </w:rPr>
        <w:t>neighborhood</w:t>
      </w:r>
      <w:r>
        <w:rPr>
          <w:color w:val="383638"/>
          <w:spacing w:val="18"/>
          <w:w w:val="110"/>
          <w:sz w:val="21"/>
        </w:rPr>
        <w:t> </w:t>
      </w:r>
      <w:r>
        <w:rPr>
          <w:color w:val="383638"/>
          <w:w w:val="110"/>
          <w:sz w:val="21"/>
        </w:rPr>
        <w:t>by</w:t>
      </w:r>
      <w:r>
        <w:rPr>
          <w:color w:val="383638"/>
          <w:spacing w:val="-10"/>
          <w:w w:val="110"/>
          <w:sz w:val="21"/>
        </w:rPr>
        <w:t> </w:t>
      </w:r>
      <w:r>
        <w:rPr>
          <w:color w:val="383638"/>
          <w:w w:val="110"/>
          <w:sz w:val="21"/>
        </w:rPr>
        <w:t>picketing</w:t>
      </w:r>
      <w:r>
        <w:rPr>
          <w:color w:val="383638"/>
          <w:spacing w:val="-22"/>
          <w:w w:val="110"/>
          <w:sz w:val="21"/>
        </w:rPr>
        <w:t> </w:t>
      </w:r>
      <w:r>
        <w:rPr>
          <w:color w:val="383638"/>
          <w:w w:val="110"/>
          <w:sz w:val="21"/>
        </w:rPr>
        <w:t>in</w:t>
      </w:r>
      <w:r>
        <w:rPr>
          <w:color w:val="383638"/>
          <w:spacing w:val="11"/>
          <w:w w:val="110"/>
          <w:sz w:val="21"/>
        </w:rPr>
        <w:t> </w:t>
      </w:r>
      <w:r>
        <w:rPr>
          <w:color w:val="383638"/>
          <w:w w:val="110"/>
          <w:sz w:val="21"/>
        </w:rPr>
        <w:t>front</w:t>
      </w:r>
      <w:r>
        <w:rPr>
          <w:color w:val="383638"/>
          <w:spacing w:val="-16"/>
          <w:w w:val="110"/>
          <w:sz w:val="21"/>
        </w:rPr>
        <w:t> </w:t>
      </w:r>
      <w:r>
        <w:rPr>
          <w:color w:val="383638"/>
          <w:w w:val="110"/>
          <w:sz w:val="21"/>
        </w:rPr>
        <w:t>of the</w:t>
      </w:r>
      <w:r>
        <w:rPr>
          <w:color w:val="383638"/>
          <w:spacing w:val="24"/>
          <w:w w:val="110"/>
          <w:sz w:val="21"/>
        </w:rPr>
        <w:t> </w:t>
      </w:r>
      <w:r>
        <w:rPr>
          <w:color w:val="383638"/>
          <w:w w:val="110"/>
          <w:sz w:val="21"/>
        </w:rPr>
        <w:t>mayor's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home.</w:t>
      </w:r>
      <w:r>
        <w:rPr>
          <w:color w:val="383638"/>
          <w:spacing w:val="25"/>
          <w:w w:val="110"/>
          <w:sz w:val="21"/>
        </w:rPr>
        <w:t> </w:t>
      </w:r>
      <w:r>
        <w:rPr>
          <w:rFonts w:ascii="Arial"/>
          <w:color w:val="383638"/>
          <w:w w:val="110"/>
          <w:sz w:val="16"/>
        </w:rPr>
        <w:t>3</w:t>
      </w:r>
      <w:r>
        <w:rPr>
          <w:rFonts w:ascii="Arial"/>
          <w:color w:val="383638"/>
          <w:spacing w:val="14"/>
          <w:w w:val="110"/>
          <w:sz w:val="16"/>
        </w:rPr>
        <w:t> </w:t>
      </w:r>
      <w:r>
        <w:rPr>
          <w:color w:val="383638"/>
          <w:w w:val="110"/>
          <w:sz w:val="18"/>
        </w:rPr>
        <w:t>jg.</w:t>
      </w:r>
      <w:r>
        <w:rPr>
          <w:color w:val="383638"/>
          <w:spacing w:val="40"/>
          <w:w w:val="110"/>
          <w:sz w:val="18"/>
        </w:rPr>
        <w:t> </w:t>
      </w:r>
      <w:r>
        <w:rPr>
          <w:color w:val="383638"/>
          <w:w w:val="110"/>
          <w:sz w:val="21"/>
        </w:rPr>
        <w:t>at</w:t>
      </w:r>
      <w:r>
        <w:rPr>
          <w:color w:val="383638"/>
          <w:spacing w:val="16"/>
          <w:w w:val="110"/>
          <w:sz w:val="21"/>
        </w:rPr>
        <w:t> </w:t>
      </w:r>
      <w:r>
        <w:rPr>
          <w:color w:val="383638"/>
          <w:w w:val="110"/>
          <w:sz w:val="21"/>
        </w:rPr>
        <w:t>111.</w:t>
      </w:r>
    </w:p>
    <w:p>
      <w:pPr>
        <w:spacing w:line="218" w:lineRule="auto" w:before="18"/>
        <w:ind w:left="1295" w:right="501" w:firstLine="15"/>
        <w:jc w:val="both"/>
        <w:rPr>
          <w:sz w:val="21"/>
        </w:rPr>
      </w:pPr>
      <w:r>
        <w:rPr>
          <w:color w:val="383638"/>
          <w:w w:val="110"/>
          <w:sz w:val="21"/>
        </w:rPr>
        <w:t>A concurring opinion stressed the lawfulness and peacefulness of the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demonstration</w:t>
      </w:r>
      <w:r>
        <w:rPr>
          <w:color w:val="383638"/>
          <w:spacing w:val="1"/>
          <w:w w:val="110"/>
          <w:sz w:val="21"/>
        </w:rPr>
        <w:t> </w:t>
      </w:r>
      <w:r>
        <w:rPr>
          <w:rFonts w:ascii="Arial"/>
          <w:color w:val="383638"/>
          <w:w w:val="110"/>
          <w:sz w:val="15"/>
        </w:rPr>
        <w:t>3</w:t>
      </w:r>
      <w:r>
        <w:rPr>
          <w:rFonts w:ascii="Arial"/>
          <w:color w:val="383638"/>
          <w:spacing w:val="1"/>
          <w:w w:val="110"/>
          <w:sz w:val="15"/>
        </w:rPr>
        <w:t> </w:t>
      </w:r>
      <w:r>
        <w:rPr>
          <w:color w:val="383638"/>
          <w:w w:val="110"/>
          <w:sz w:val="21"/>
        </w:rPr>
        <w:t>as well as the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petitioners' First Amendment right to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05"/>
          <w:sz w:val="21"/>
        </w:rPr>
        <w:t>engage</w:t>
      </w:r>
      <w:r>
        <w:rPr>
          <w:color w:val="383638"/>
          <w:spacing w:val="6"/>
          <w:w w:val="105"/>
          <w:sz w:val="21"/>
        </w:rPr>
        <w:t> </w:t>
      </w:r>
      <w:r>
        <w:rPr>
          <w:color w:val="383638"/>
          <w:w w:val="105"/>
          <w:sz w:val="21"/>
        </w:rPr>
        <w:t>in</w:t>
      </w:r>
      <w:r>
        <w:rPr>
          <w:color w:val="383638"/>
          <w:spacing w:val="40"/>
          <w:w w:val="105"/>
          <w:sz w:val="21"/>
        </w:rPr>
        <w:t> </w:t>
      </w:r>
      <w:r>
        <w:rPr>
          <w:color w:val="383638"/>
          <w:w w:val="105"/>
          <w:sz w:val="21"/>
        </w:rPr>
        <w:t>that</w:t>
      </w:r>
      <w:r>
        <w:rPr>
          <w:color w:val="383638"/>
          <w:spacing w:val="7"/>
          <w:w w:val="105"/>
          <w:sz w:val="21"/>
        </w:rPr>
        <w:t> </w:t>
      </w:r>
      <w:r>
        <w:rPr>
          <w:color w:val="383638"/>
          <w:w w:val="105"/>
          <w:sz w:val="21"/>
        </w:rPr>
        <w:t>activity. </w:t>
      </w:r>
      <w:r>
        <w:rPr>
          <w:color w:val="383638"/>
          <w:spacing w:val="1"/>
          <w:w w:val="105"/>
          <w:sz w:val="21"/>
        </w:rPr>
        <w:t> </w:t>
      </w:r>
      <w:r>
        <w:rPr>
          <w:rFonts w:ascii="Arial"/>
          <w:b/>
          <w:color w:val="383638"/>
          <w:w w:val="105"/>
          <w:sz w:val="15"/>
        </w:rPr>
        <w:t>4 </w:t>
      </w:r>
      <w:r>
        <w:rPr>
          <w:rFonts w:ascii="Arial"/>
          <w:b/>
          <w:color w:val="383638"/>
          <w:spacing w:val="29"/>
          <w:w w:val="105"/>
          <w:sz w:val="15"/>
        </w:rPr>
        <w:t> </w:t>
      </w:r>
      <w:r>
        <w:rPr>
          <w:color w:val="383638"/>
          <w:w w:val="105"/>
          <w:sz w:val="24"/>
        </w:rPr>
        <w:t>Isl-</w:t>
      </w:r>
      <w:r>
        <w:rPr>
          <w:color w:val="383638"/>
          <w:spacing w:val="-7"/>
          <w:w w:val="105"/>
          <w:sz w:val="24"/>
        </w:rPr>
        <w:t> </w:t>
      </w:r>
      <w:r>
        <w:rPr>
          <w:color w:val="383638"/>
          <w:w w:val="105"/>
          <w:sz w:val="21"/>
        </w:rPr>
        <w:t>at </w:t>
      </w:r>
      <w:r>
        <w:rPr>
          <w:color w:val="383638"/>
          <w:spacing w:val="31"/>
          <w:w w:val="105"/>
          <w:sz w:val="21"/>
        </w:rPr>
        <w:t> </w:t>
      </w:r>
      <w:r>
        <w:rPr>
          <w:color w:val="383638"/>
          <w:w w:val="105"/>
          <w:sz w:val="21"/>
        </w:rPr>
        <w:t>121 </w:t>
      </w:r>
      <w:r>
        <w:rPr>
          <w:color w:val="383638"/>
          <w:spacing w:val="45"/>
          <w:w w:val="105"/>
          <w:sz w:val="21"/>
        </w:rPr>
        <w:t> </w:t>
      </w:r>
      <w:r>
        <w:rPr>
          <w:color w:val="383638"/>
          <w:w w:val="105"/>
          <w:sz w:val="21"/>
        </w:rPr>
        <w:t>(Black,</w:t>
      </w:r>
      <w:r>
        <w:rPr>
          <w:color w:val="383638"/>
          <w:spacing w:val="-9"/>
          <w:w w:val="105"/>
          <w:sz w:val="21"/>
        </w:rPr>
        <w:t> </w:t>
      </w:r>
      <w:r>
        <w:rPr>
          <w:color w:val="383638"/>
          <w:w w:val="105"/>
          <w:sz w:val="25"/>
        </w:rPr>
        <w:t>J</w:t>
      </w:r>
      <w:r>
        <w:rPr>
          <w:color w:val="565659"/>
          <w:w w:val="105"/>
          <w:sz w:val="25"/>
        </w:rPr>
        <w:t>.</w:t>
      </w:r>
      <w:r>
        <w:rPr>
          <w:color w:val="383638"/>
          <w:w w:val="105"/>
          <w:sz w:val="25"/>
        </w:rPr>
        <w:t>,</w:t>
      </w:r>
      <w:r>
        <w:rPr>
          <w:color w:val="383638"/>
          <w:spacing w:val="-14"/>
          <w:w w:val="105"/>
          <w:sz w:val="25"/>
        </w:rPr>
        <w:t> </w:t>
      </w:r>
      <w:r>
        <w:rPr>
          <w:color w:val="383638"/>
          <w:w w:val="105"/>
          <w:sz w:val="21"/>
        </w:rPr>
        <w:t>concurring).</w:t>
      </w:r>
      <w:r>
        <w:rPr>
          <w:color w:val="383638"/>
          <w:spacing w:val="31"/>
          <w:w w:val="105"/>
          <w:sz w:val="21"/>
        </w:rPr>
        <w:t> </w:t>
      </w:r>
      <w:r>
        <w:rPr>
          <w:color w:val="383638"/>
          <w:w w:val="105"/>
          <w:sz w:val="21"/>
        </w:rPr>
        <w:t>However</w:t>
      </w:r>
      <w:r>
        <w:rPr>
          <w:color w:val="565659"/>
          <w:w w:val="105"/>
          <w:sz w:val="21"/>
        </w:rPr>
        <w:t>,</w:t>
      </w:r>
    </w:p>
    <w:p>
      <w:pPr>
        <w:spacing w:line="240" w:lineRule="auto" w:before="0"/>
        <w:ind w:left="1295" w:right="496" w:hanging="16"/>
        <w:jc w:val="both"/>
        <w:rPr>
          <w:sz w:val="21"/>
        </w:rPr>
      </w:pPr>
      <w:r>
        <w:rPr>
          <w:color w:val="383638"/>
          <w:w w:val="115"/>
          <w:sz w:val="21"/>
        </w:rPr>
        <w:t>Justice</w:t>
      </w:r>
      <w:r>
        <w:rPr>
          <w:color w:val="383638"/>
          <w:spacing w:val="-21"/>
          <w:w w:val="115"/>
          <w:sz w:val="21"/>
        </w:rPr>
        <w:t> </w:t>
      </w:r>
      <w:r>
        <w:rPr>
          <w:color w:val="383638"/>
          <w:w w:val="115"/>
          <w:sz w:val="21"/>
        </w:rPr>
        <w:t>Black</w:t>
      </w:r>
      <w:r>
        <w:rPr>
          <w:color w:val="383638"/>
          <w:spacing w:val="-14"/>
          <w:w w:val="115"/>
          <w:sz w:val="21"/>
        </w:rPr>
        <w:t> </w:t>
      </w:r>
      <w:r>
        <w:rPr>
          <w:color w:val="383638"/>
          <w:w w:val="115"/>
          <w:sz w:val="21"/>
        </w:rPr>
        <w:t>also</w:t>
      </w:r>
      <w:r>
        <w:rPr>
          <w:color w:val="383638"/>
          <w:spacing w:val="-32"/>
          <w:w w:val="115"/>
          <w:sz w:val="21"/>
        </w:rPr>
        <w:t> </w:t>
      </w:r>
      <w:r>
        <w:rPr>
          <w:color w:val="383638"/>
          <w:w w:val="115"/>
          <w:sz w:val="21"/>
        </w:rPr>
        <w:t>declared</w:t>
      </w:r>
      <w:r>
        <w:rPr>
          <w:color w:val="383638"/>
          <w:spacing w:val="-3"/>
          <w:w w:val="115"/>
          <w:sz w:val="21"/>
        </w:rPr>
        <w:t> </w:t>
      </w:r>
      <w:r>
        <w:rPr>
          <w:color w:val="383638"/>
          <w:w w:val="115"/>
          <w:sz w:val="21"/>
        </w:rPr>
        <w:t>that</w:t>
      </w:r>
      <w:r>
        <w:rPr>
          <w:color w:val="383638"/>
          <w:spacing w:val="-28"/>
          <w:w w:val="115"/>
          <w:sz w:val="21"/>
        </w:rPr>
        <w:t> </w:t>
      </w:r>
      <w:r>
        <w:rPr>
          <w:color w:val="383638"/>
          <w:w w:val="115"/>
          <w:sz w:val="21"/>
        </w:rPr>
        <w:t>"no</w:t>
      </w:r>
      <w:r>
        <w:rPr>
          <w:color w:val="383638"/>
          <w:spacing w:val="-21"/>
          <w:w w:val="115"/>
          <w:sz w:val="21"/>
        </w:rPr>
        <w:t> </w:t>
      </w:r>
      <w:r>
        <w:rPr>
          <w:color w:val="383638"/>
          <w:w w:val="115"/>
          <w:sz w:val="21"/>
        </w:rPr>
        <w:t>mandate</w:t>
      </w:r>
      <w:r>
        <w:rPr>
          <w:color w:val="383638"/>
          <w:spacing w:val="-11"/>
          <w:w w:val="115"/>
          <w:sz w:val="21"/>
        </w:rPr>
        <w:t> </w:t>
      </w:r>
      <w:r>
        <w:rPr>
          <w:color w:val="383638"/>
          <w:w w:val="115"/>
          <w:sz w:val="21"/>
        </w:rPr>
        <w:t>in</w:t>
      </w:r>
      <w:r>
        <w:rPr>
          <w:color w:val="383638"/>
          <w:spacing w:val="-11"/>
          <w:w w:val="115"/>
          <w:sz w:val="21"/>
        </w:rPr>
        <w:t> </w:t>
      </w:r>
      <w:r>
        <w:rPr>
          <w:color w:val="383638"/>
          <w:w w:val="115"/>
          <w:sz w:val="21"/>
        </w:rPr>
        <w:t>our</w:t>
      </w:r>
      <w:r>
        <w:rPr>
          <w:color w:val="383638"/>
          <w:spacing w:val="-12"/>
          <w:w w:val="115"/>
          <w:sz w:val="21"/>
        </w:rPr>
        <w:t> </w:t>
      </w:r>
      <w:r>
        <w:rPr>
          <w:color w:val="383638"/>
          <w:w w:val="115"/>
          <w:sz w:val="21"/>
        </w:rPr>
        <w:t>Constitution"</w:t>
      </w:r>
      <w:r>
        <w:rPr>
          <w:color w:val="383638"/>
          <w:spacing w:val="-3"/>
          <w:w w:val="115"/>
          <w:sz w:val="21"/>
        </w:rPr>
        <w:t> </w:t>
      </w:r>
      <w:r>
        <w:rPr>
          <w:color w:val="383638"/>
          <w:w w:val="115"/>
          <w:sz w:val="21"/>
        </w:rPr>
        <w:t>pre­</w:t>
      </w:r>
      <w:r>
        <w:rPr>
          <w:color w:val="383638"/>
          <w:spacing w:val="-58"/>
          <w:w w:val="115"/>
          <w:sz w:val="21"/>
        </w:rPr>
        <w:t> </w:t>
      </w:r>
      <w:r>
        <w:rPr>
          <w:color w:val="383638"/>
          <w:w w:val="115"/>
          <w:sz w:val="21"/>
        </w:rPr>
        <w:t>vents</w:t>
      </w:r>
      <w:r>
        <w:rPr>
          <w:color w:val="383638"/>
          <w:spacing w:val="-4"/>
          <w:w w:val="115"/>
          <w:sz w:val="21"/>
        </w:rPr>
        <w:t> </w:t>
      </w:r>
      <w:r>
        <w:rPr>
          <w:color w:val="383638"/>
          <w:w w:val="115"/>
          <w:sz w:val="21"/>
        </w:rPr>
        <w:t>states</w:t>
      </w:r>
      <w:r>
        <w:rPr>
          <w:color w:val="383638"/>
          <w:spacing w:val="7"/>
          <w:w w:val="115"/>
          <w:sz w:val="21"/>
        </w:rPr>
        <w:t> </w:t>
      </w:r>
      <w:r>
        <w:rPr>
          <w:color w:val="383638"/>
          <w:w w:val="115"/>
          <w:sz w:val="21"/>
        </w:rPr>
        <w:t>from</w:t>
      </w:r>
      <w:r>
        <w:rPr>
          <w:color w:val="383638"/>
          <w:spacing w:val="27"/>
          <w:w w:val="115"/>
          <w:sz w:val="21"/>
        </w:rPr>
        <w:t> </w:t>
      </w:r>
      <w:r>
        <w:rPr>
          <w:color w:val="383638"/>
          <w:w w:val="115"/>
          <w:sz w:val="21"/>
        </w:rPr>
        <w:t>passing</w:t>
      </w:r>
      <w:r>
        <w:rPr>
          <w:color w:val="383638"/>
          <w:spacing w:val="13"/>
          <w:w w:val="115"/>
          <w:sz w:val="21"/>
        </w:rPr>
        <w:t> </w:t>
      </w:r>
      <w:r>
        <w:rPr>
          <w:color w:val="383638"/>
          <w:w w:val="115"/>
          <w:sz w:val="21"/>
        </w:rPr>
        <w:t>laws</w:t>
      </w:r>
      <w:r>
        <w:rPr>
          <w:color w:val="383638"/>
          <w:spacing w:val="5"/>
          <w:w w:val="115"/>
          <w:sz w:val="21"/>
        </w:rPr>
        <w:t> </w:t>
      </w:r>
      <w:r>
        <w:rPr>
          <w:color w:val="383638"/>
          <w:w w:val="115"/>
          <w:sz w:val="21"/>
        </w:rPr>
        <w:t>that</w:t>
      </w:r>
      <w:r>
        <w:rPr>
          <w:color w:val="383638"/>
          <w:spacing w:val="15"/>
          <w:w w:val="115"/>
          <w:sz w:val="21"/>
        </w:rPr>
        <w:t> </w:t>
      </w:r>
      <w:r>
        <w:rPr>
          <w:color w:val="383638"/>
          <w:w w:val="115"/>
          <w:sz w:val="21"/>
        </w:rPr>
        <w:t>protect</w:t>
      </w:r>
      <w:r>
        <w:rPr>
          <w:color w:val="383638"/>
          <w:spacing w:val="29"/>
          <w:w w:val="115"/>
          <w:sz w:val="21"/>
        </w:rPr>
        <w:t> </w:t>
      </w:r>
      <w:r>
        <w:rPr>
          <w:color w:val="383638"/>
          <w:w w:val="115"/>
          <w:sz w:val="21"/>
        </w:rPr>
        <w:t>the</w:t>
      </w:r>
      <w:r>
        <w:rPr>
          <w:color w:val="383638"/>
          <w:spacing w:val="39"/>
          <w:w w:val="115"/>
          <w:sz w:val="21"/>
        </w:rPr>
        <w:t> </w:t>
      </w:r>
      <w:r>
        <w:rPr>
          <w:color w:val="383638"/>
          <w:w w:val="115"/>
          <w:sz w:val="21"/>
        </w:rPr>
        <w:t>public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from</w:t>
      </w:r>
      <w:r>
        <w:rPr>
          <w:color w:val="383638"/>
          <w:spacing w:val="21"/>
          <w:w w:val="115"/>
          <w:sz w:val="21"/>
        </w:rPr>
        <w:t> </w:t>
      </w:r>
      <w:r>
        <w:rPr>
          <w:color w:val="383638"/>
          <w:w w:val="115"/>
          <w:sz w:val="21"/>
        </w:rPr>
        <w:t>"threat­</w:t>
      </w:r>
    </w:p>
    <w:p>
      <w:pPr>
        <w:spacing w:line="213" w:lineRule="auto" w:before="14"/>
        <w:ind w:left="1297" w:right="516" w:hanging="2"/>
        <w:jc w:val="both"/>
        <w:rPr>
          <w:sz w:val="21"/>
        </w:rPr>
      </w:pPr>
      <w:r>
        <w:rPr>
          <w:color w:val="383638"/>
          <w:w w:val="115"/>
          <w:sz w:val="21"/>
        </w:rPr>
        <w:t>ening conduct" that "disturbs the tranquility" of homes or certain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0"/>
          <w:sz w:val="21"/>
        </w:rPr>
        <w:t>public buildings. </w:t>
      </w:r>
      <w:r>
        <w:rPr>
          <w:rFonts w:ascii="Arial"/>
          <w:b/>
          <w:color w:val="383638"/>
          <w:w w:val="110"/>
          <w:sz w:val="16"/>
        </w:rPr>
        <w:t>4  </w:t>
      </w:r>
      <w:r>
        <w:rPr>
          <w:rFonts w:ascii="Arial"/>
          <w:color w:val="383638"/>
          <w:w w:val="110"/>
          <w:sz w:val="18"/>
        </w:rPr>
        <w:t>l.(I. </w:t>
      </w:r>
      <w:r>
        <w:rPr>
          <w:color w:val="383638"/>
          <w:w w:val="110"/>
          <w:sz w:val="21"/>
        </w:rPr>
        <w:t>at 118 (Black, </w:t>
      </w:r>
      <w:r>
        <w:rPr>
          <w:color w:val="383638"/>
          <w:w w:val="110"/>
          <w:sz w:val="25"/>
        </w:rPr>
        <w:t>J., </w:t>
      </w:r>
      <w:r>
        <w:rPr>
          <w:color w:val="383638"/>
          <w:w w:val="110"/>
          <w:sz w:val="21"/>
        </w:rPr>
        <w:t>concurring). Therefore, even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if</w:t>
      </w:r>
      <w:r>
        <w:rPr>
          <w:color w:val="383638"/>
          <w:spacing w:val="33"/>
          <w:w w:val="110"/>
          <w:sz w:val="21"/>
        </w:rPr>
        <w:t> </w:t>
      </w:r>
      <w:r>
        <w:rPr>
          <w:color w:val="383638"/>
          <w:w w:val="110"/>
          <w:sz w:val="21"/>
        </w:rPr>
        <w:t>loitering</w:t>
      </w:r>
      <w:r>
        <w:rPr>
          <w:color w:val="383638"/>
          <w:spacing w:val="3"/>
          <w:w w:val="110"/>
          <w:sz w:val="21"/>
        </w:rPr>
        <w:t> </w:t>
      </w:r>
      <w:r>
        <w:rPr>
          <w:color w:val="383638"/>
          <w:w w:val="110"/>
          <w:sz w:val="21"/>
        </w:rPr>
        <w:t>were</w:t>
      </w:r>
      <w:r>
        <w:rPr>
          <w:color w:val="383638"/>
          <w:spacing w:val="4"/>
          <w:w w:val="110"/>
          <w:sz w:val="21"/>
        </w:rPr>
        <w:t> </w:t>
      </w:r>
      <w:r>
        <w:rPr>
          <w:color w:val="383638"/>
          <w:w w:val="110"/>
          <w:sz w:val="21"/>
        </w:rPr>
        <w:t>treated</w:t>
      </w:r>
      <w:r>
        <w:rPr>
          <w:color w:val="383638"/>
          <w:spacing w:val="12"/>
          <w:w w:val="110"/>
          <w:sz w:val="21"/>
        </w:rPr>
        <w:t> </w:t>
      </w:r>
      <w:r>
        <w:rPr>
          <w:color w:val="383638"/>
          <w:w w:val="110"/>
          <w:sz w:val="21"/>
        </w:rPr>
        <w:t>as</w:t>
      </w:r>
      <w:r>
        <w:rPr>
          <w:color w:val="383638"/>
          <w:spacing w:val="12"/>
          <w:w w:val="110"/>
          <w:sz w:val="21"/>
        </w:rPr>
        <w:t> </w:t>
      </w:r>
      <w:r>
        <w:rPr>
          <w:color w:val="383638"/>
          <w:w w:val="110"/>
          <w:sz w:val="21"/>
        </w:rPr>
        <w:t>a</w:t>
      </w:r>
      <w:r>
        <w:rPr>
          <w:color w:val="383638"/>
          <w:spacing w:val="21"/>
          <w:w w:val="110"/>
          <w:sz w:val="21"/>
        </w:rPr>
        <w:t> </w:t>
      </w:r>
      <w:r>
        <w:rPr>
          <w:color w:val="383638"/>
          <w:w w:val="110"/>
          <w:sz w:val="21"/>
        </w:rPr>
        <w:t>fundamental</w:t>
      </w:r>
      <w:r>
        <w:rPr>
          <w:color w:val="383638"/>
          <w:spacing w:val="19"/>
          <w:w w:val="110"/>
          <w:sz w:val="21"/>
        </w:rPr>
        <w:t> </w:t>
      </w:r>
      <w:r>
        <w:rPr>
          <w:color w:val="383638"/>
          <w:w w:val="110"/>
          <w:sz w:val="21"/>
        </w:rPr>
        <w:t>right,</w:t>
      </w:r>
      <w:r>
        <w:rPr>
          <w:color w:val="383638"/>
          <w:spacing w:val="8"/>
          <w:w w:val="110"/>
          <w:sz w:val="21"/>
        </w:rPr>
        <w:t> </w:t>
      </w:r>
      <w:r>
        <w:rPr>
          <w:color w:val="383638"/>
          <w:w w:val="110"/>
          <w:sz w:val="21"/>
        </w:rPr>
        <w:t>Petitioner</w:t>
      </w:r>
      <w:r>
        <w:rPr>
          <w:color w:val="383638"/>
          <w:spacing w:val="18"/>
          <w:w w:val="110"/>
          <w:sz w:val="21"/>
        </w:rPr>
        <w:t> </w:t>
      </w:r>
      <w:r>
        <w:rPr>
          <w:color w:val="383638"/>
          <w:w w:val="110"/>
          <w:sz w:val="21"/>
        </w:rPr>
        <w:t>possesses</w:t>
      </w:r>
      <w:r>
        <w:rPr>
          <w:color w:val="383638"/>
          <w:spacing w:val="6"/>
          <w:w w:val="110"/>
          <w:sz w:val="21"/>
        </w:rPr>
        <w:t> </w:t>
      </w:r>
      <w:r>
        <w:rPr>
          <w:color w:val="383638"/>
          <w:w w:val="110"/>
          <w:sz w:val="21"/>
        </w:rPr>
        <w:t>a</w:t>
      </w:r>
    </w:p>
    <w:p>
      <w:pPr>
        <w:spacing w:line="230" w:lineRule="auto" w:before="14"/>
        <w:ind w:left="1294" w:right="521" w:hanging="2"/>
        <w:jc w:val="both"/>
        <w:rPr>
          <w:sz w:val="21"/>
        </w:rPr>
      </w:pPr>
      <w:r>
        <w:rPr>
          <w:color w:val="383638"/>
          <w:w w:val="115"/>
          <w:sz w:val="21"/>
        </w:rPr>
        <w:t>significant</w:t>
      </w:r>
      <w:r>
        <w:rPr>
          <w:color w:val="565659"/>
          <w:w w:val="115"/>
          <w:sz w:val="21"/>
        </w:rPr>
        <w:t>, </w:t>
      </w:r>
      <w:r>
        <w:rPr>
          <w:color w:val="383638"/>
          <w:w w:val="115"/>
          <w:sz w:val="21"/>
        </w:rPr>
        <w:t>legitimate interest in limiting criminal street gang mem­</w:t>
      </w:r>
      <w:r>
        <w:rPr>
          <w:color w:val="383638"/>
          <w:spacing w:val="-58"/>
          <w:w w:val="115"/>
          <w:sz w:val="21"/>
        </w:rPr>
        <w:t> </w:t>
      </w:r>
      <w:r>
        <w:rPr>
          <w:color w:val="383638"/>
          <w:w w:val="110"/>
          <w:sz w:val="21"/>
        </w:rPr>
        <w:t>bers'</w:t>
      </w:r>
      <w:r>
        <w:rPr>
          <w:color w:val="383638"/>
          <w:spacing w:val="-12"/>
          <w:w w:val="110"/>
          <w:sz w:val="21"/>
        </w:rPr>
        <w:t> </w:t>
      </w:r>
      <w:r>
        <w:rPr>
          <w:color w:val="383638"/>
          <w:w w:val="110"/>
          <w:sz w:val="21"/>
        </w:rPr>
        <w:t>right</w:t>
      </w:r>
      <w:r>
        <w:rPr>
          <w:color w:val="383638"/>
          <w:spacing w:val="5"/>
          <w:w w:val="110"/>
          <w:sz w:val="21"/>
        </w:rPr>
        <w:t> </w:t>
      </w:r>
      <w:r>
        <w:rPr>
          <w:color w:val="383638"/>
          <w:w w:val="110"/>
          <w:sz w:val="21"/>
        </w:rPr>
        <w:t>to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loiter</w:t>
      </w:r>
      <w:r>
        <w:rPr>
          <w:color w:val="383638"/>
          <w:spacing w:val="-6"/>
          <w:w w:val="110"/>
          <w:sz w:val="21"/>
        </w:rPr>
        <w:t> </w:t>
      </w:r>
      <w:r>
        <w:rPr>
          <w:color w:val="383638"/>
          <w:w w:val="110"/>
          <w:sz w:val="21"/>
        </w:rPr>
        <w:t>for</w:t>
      </w:r>
      <w:r>
        <w:rPr>
          <w:color w:val="383638"/>
          <w:spacing w:val="2"/>
          <w:w w:val="110"/>
          <w:sz w:val="21"/>
        </w:rPr>
        <w:t> </w:t>
      </w:r>
      <w:r>
        <w:rPr>
          <w:color w:val="383638"/>
          <w:w w:val="110"/>
          <w:sz w:val="21"/>
        </w:rPr>
        <w:t>no</w:t>
      </w:r>
      <w:r>
        <w:rPr>
          <w:color w:val="383638"/>
          <w:spacing w:val="8"/>
          <w:w w:val="110"/>
          <w:sz w:val="21"/>
        </w:rPr>
        <w:t> </w:t>
      </w:r>
      <w:r>
        <w:rPr>
          <w:color w:val="383638"/>
          <w:w w:val="110"/>
          <w:sz w:val="21"/>
        </w:rPr>
        <w:t>purpose.</w:t>
      </w:r>
    </w:p>
    <w:p>
      <w:pPr>
        <w:pStyle w:val="BodyText"/>
        <w:spacing w:line="230" w:lineRule="auto" w:before="144"/>
        <w:ind w:left="878" w:right="175" w:firstLine="410"/>
        <w:jc w:val="both"/>
      </w:pPr>
      <w:r>
        <w:rPr>
          <w:color w:val="383638"/>
          <w:w w:val="110"/>
        </w:rPr>
        <w:t>In the alternative, you may determine that the lengthy quote is abso­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lutely necessary for your argument. If this is the case, promote the effec­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tiveness of the quotation by articulating the conclusions you want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reader to draw from it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putting those conclusions into the body of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your argument. I recommend using what l refer to as an </w:t>
      </w:r>
      <w:r>
        <w:rPr>
          <w:rFonts w:ascii="Arial" w:hAnsi="Arial"/>
          <w:i/>
          <w:color w:val="383638"/>
          <w:w w:val="105"/>
          <w:sz w:val="20"/>
        </w:rPr>
        <w:t>NPR Jntroduction</w:t>
      </w:r>
      <w:r>
        <w:rPr>
          <w:i/>
          <w:color w:val="383638"/>
          <w:w w:val="105"/>
          <w:position w:val="6"/>
          <w:sz w:val="13"/>
        </w:rPr>
        <w:t>9</w:t>
      </w:r>
      <w:r>
        <w:rPr>
          <w:i/>
          <w:color w:val="383638"/>
          <w:spacing w:val="1"/>
          <w:w w:val="105"/>
          <w:position w:val="6"/>
          <w:sz w:val="13"/>
        </w:rPr>
        <w:t> </w:t>
      </w:r>
      <w:r>
        <w:rPr>
          <w:color w:val="383638"/>
          <w:w w:val="110"/>
        </w:rPr>
        <w:t>before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6"/>
          <w:w w:val="110"/>
        </w:rPr>
        <w:t> </w:t>
      </w:r>
      <w:r>
        <w:rPr>
          <w:color w:val="95979A"/>
          <w:w w:val="110"/>
        </w:rPr>
        <w:t>_</w:t>
      </w:r>
      <w:r>
        <w:rPr>
          <w:color w:val="383638"/>
          <w:w w:val="110"/>
        </w:rPr>
        <w:t>quotation.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60"/>
        </w:numPr>
        <w:tabs>
          <w:tab w:pos="1301" w:val="left" w:leader="none"/>
        </w:tabs>
        <w:spacing w:line="228" w:lineRule="auto" w:before="0" w:after="0"/>
        <w:ind w:left="824" w:right="205" w:firstLine="382"/>
        <w:jc w:val="right"/>
        <w:rPr>
          <w:sz w:val="18"/>
        </w:rPr>
      </w:pPr>
      <w:r>
        <w:rPr>
          <w:color w:val="383638"/>
          <w:w w:val="105"/>
          <w:sz w:val="18"/>
        </w:rPr>
        <w:t>Previous</w:t>
      </w:r>
      <w:r>
        <w:rPr>
          <w:color w:val="383638"/>
          <w:spacing w:val="-4"/>
          <w:w w:val="105"/>
          <w:sz w:val="18"/>
        </w:rPr>
        <w:t> </w:t>
      </w:r>
      <w:r>
        <w:rPr>
          <w:color w:val="383638"/>
          <w:w w:val="105"/>
          <w:sz w:val="18"/>
        </w:rPr>
        <w:t>edition</w:t>
      </w:r>
      <w:r>
        <w:rPr>
          <w:color w:val="565659"/>
          <w:w w:val="105"/>
          <w:sz w:val="18"/>
        </w:rPr>
        <w:t>s</w:t>
      </w:r>
      <w:r>
        <w:rPr>
          <w:color w:val="565659"/>
          <w:spacing w:val="-9"/>
          <w:w w:val="105"/>
          <w:sz w:val="18"/>
        </w:rPr>
        <w:t> </w:t>
      </w:r>
      <w:r>
        <w:rPr>
          <w:color w:val="383638"/>
          <w:w w:val="105"/>
          <w:sz w:val="18"/>
        </w:rPr>
        <w:t>of</w:t>
      </w:r>
      <w:r>
        <w:rPr>
          <w:color w:val="383638"/>
          <w:spacing w:val="8"/>
          <w:w w:val="105"/>
          <w:sz w:val="18"/>
        </w:rPr>
        <w:t> </w:t>
      </w:r>
      <w:r>
        <w:rPr>
          <w:color w:val="383638"/>
          <w:w w:val="105"/>
          <w:sz w:val="18"/>
        </w:rPr>
        <w:t>this</w:t>
      </w:r>
      <w:r>
        <w:rPr>
          <w:color w:val="383638"/>
          <w:spacing w:val="-6"/>
          <w:w w:val="105"/>
          <w:sz w:val="18"/>
        </w:rPr>
        <w:t> </w:t>
      </w:r>
      <w:r>
        <w:rPr>
          <w:color w:val="383638"/>
          <w:w w:val="105"/>
          <w:sz w:val="18"/>
        </w:rPr>
        <w:t>text</w:t>
      </w:r>
      <w:r>
        <w:rPr>
          <w:color w:val="383638"/>
          <w:spacing w:val="14"/>
          <w:w w:val="105"/>
          <w:sz w:val="18"/>
        </w:rPr>
        <w:t> </w:t>
      </w:r>
      <w:r>
        <w:rPr>
          <w:color w:val="383638"/>
          <w:w w:val="105"/>
          <w:sz w:val="18"/>
        </w:rPr>
        <w:t>have referred</w:t>
      </w:r>
      <w:r>
        <w:rPr>
          <w:color w:val="383638"/>
          <w:spacing w:val="17"/>
          <w:w w:val="105"/>
          <w:sz w:val="18"/>
        </w:rPr>
        <w:t> </w:t>
      </w:r>
      <w:r>
        <w:rPr>
          <w:color w:val="383638"/>
          <w:w w:val="105"/>
          <w:sz w:val="18"/>
        </w:rPr>
        <w:t>to</w:t>
      </w:r>
      <w:r>
        <w:rPr>
          <w:color w:val="383638"/>
          <w:spacing w:val="22"/>
          <w:w w:val="105"/>
          <w:sz w:val="18"/>
        </w:rPr>
        <w:t> </w:t>
      </w:r>
      <w:r>
        <w:rPr>
          <w:color w:val="383638"/>
          <w:w w:val="105"/>
          <w:sz w:val="18"/>
        </w:rPr>
        <w:t>a</w:t>
      </w:r>
      <w:r>
        <w:rPr>
          <w:color w:val="383638"/>
          <w:spacing w:val="12"/>
          <w:w w:val="105"/>
          <w:sz w:val="18"/>
        </w:rPr>
        <w:t> </w:t>
      </w:r>
      <w:r>
        <w:rPr>
          <w:color w:val="383638"/>
          <w:w w:val="105"/>
          <w:sz w:val="18"/>
        </w:rPr>
        <w:t>"Tom</w:t>
      </w:r>
      <w:r>
        <w:rPr>
          <w:color w:val="383638"/>
          <w:spacing w:val="20"/>
          <w:w w:val="105"/>
          <w:sz w:val="18"/>
        </w:rPr>
        <w:t> </w:t>
      </w:r>
      <w:r>
        <w:rPr>
          <w:color w:val="383638"/>
          <w:w w:val="105"/>
          <w:sz w:val="18"/>
        </w:rPr>
        <w:t>Brokaw</w:t>
      </w:r>
      <w:r>
        <w:rPr>
          <w:color w:val="383638"/>
          <w:spacing w:val="12"/>
          <w:w w:val="105"/>
          <w:sz w:val="18"/>
        </w:rPr>
        <w:t> </w:t>
      </w:r>
      <w:r>
        <w:rPr>
          <w:color w:val="383638"/>
          <w:w w:val="105"/>
          <w:sz w:val="18"/>
        </w:rPr>
        <w:t>Introduction,"</w:t>
      </w:r>
      <w:r>
        <w:rPr>
          <w:color w:val="383638"/>
          <w:spacing w:val="-9"/>
          <w:w w:val="105"/>
          <w:sz w:val="18"/>
        </w:rPr>
        <w:t> </w:t>
      </w:r>
      <w:r>
        <w:rPr>
          <w:color w:val="383638"/>
          <w:w w:val="105"/>
          <w:sz w:val="18"/>
        </w:rPr>
        <w:t>and</w:t>
      </w:r>
      <w:r>
        <w:rPr>
          <w:color w:val="383638"/>
          <w:spacing w:val="17"/>
          <w:w w:val="105"/>
          <w:sz w:val="18"/>
        </w:rPr>
        <w:t> </w:t>
      </w:r>
      <w:r>
        <w:rPr>
          <w:color w:val="383638"/>
          <w:w w:val="105"/>
          <w:sz w:val="18"/>
        </w:rPr>
        <w:t>a</w:t>
      </w:r>
      <w:r>
        <w:rPr>
          <w:color w:val="383638"/>
          <w:spacing w:val="10"/>
          <w:w w:val="105"/>
          <w:sz w:val="18"/>
        </w:rPr>
        <w:t> </w:t>
      </w:r>
      <w:r>
        <w:rPr>
          <w:color w:val="383638"/>
          <w:w w:val="105"/>
          <w:sz w:val="18"/>
        </w:rPr>
        <w:t>"Katie</w:t>
      </w:r>
      <w:r>
        <w:rPr>
          <w:color w:val="383638"/>
          <w:spacing w:val="-45"/>
          <w:w w:val="105"/>
          <w:sz w:val="18"/>
        </w:rPr>
        <w:t> </w:t>
      </w:r>
      <w:r>
        <w:rPr>
          <w:color w:val="383638"/>
          <w:w w:val="105"/>
          <w:sz w:val="18"/>
        </w:rPr>
        <w:t>Courie Introduction,</w:t>
      </w:r>
      <w:r>
        <w:rPr>
          <w:color w:val="565659"/>
          <w:w w:val="105"/>
          <w:sz w:val="18"/>
        </w:rPr>
        <w:t>" </w:t>
      </w:r>
      <w:r>
        <w:rPr>
          <w:color w:val="383638"/>
          <w:w w:val="105"/>
          <w:sz w:val="18"/>
        </w:rPr>
        <w:t>but s</w:t>
      </w:r>
      <w:r>
        <w:rPr>
          <w:color w:val="565659"/>
          <w:w w:val="105"/>
          <w:sz w:val="18"/>
        </w:rPr>
        <w:t>i</w:t>
      </w:r>
      <w:r>
        <w:rPr>
          <w:color w:val="383638"/>
          <w:w w:val="105"/>
          <w:sz w:val="18"/>
        </w:rPr>
        <w:t>nce th</w:t>
      </w:r>
      <w:r>
        <w:rPr>
          <w:color w:val="565659"/>
          <w:w w:val="105"/>
          <w:sz w:val="18"/>
        </w:rPr>
        <w:t>e</w:t>
      </w:r>
      <w:r>
        <w:rPr>
          <w:color w:val="383638"/>
          <w:w w:val="105"/>
          <w:sz w:val="18"/>
        </w:rPr>
        <w:t>y are no longer full-time newscasters, </w:t>
      </w:r>
      <w:r>
        <w:rPr>
          <w:color w:val="383638"/>
          <w:w w:val="105"/>
          <w:sz w:val="17"/>
        </w:rPr>
        <w:t>J </w:t>
      </w:r>
      <w:r>
        <w:rPr>
          <w:color w:val="383638"/>
          <w:w w:val="105"/>
          <w:sz w:val="18"/>
        </w:rPr>
        <w:t>havechanged this label</w:t>
      </w:r>
      <w:r>
        <w:rPr>
          <w:color w:val="383638"/>
          <w:spacing w:val="-45"/>
          <w:w w:val="105"/>
          <w:sz w:val="18"/>
        </w:rPr>
        <w:t> </w:t>
      </w:r>
      <w:r>
        <w:rPr>
          <w:color w:val="383638"/>
          <w:w w:val="105"/>
          <w:sz w:val="18"/>
        </w:rPr>
        <w:t>ordlngly</w:t>
      </w:r>
      <w:r>
        <w:rPr>
          <w:color w:val="565659"/>
          <w:w w:val="105"/>
          <w:sz w:val="18"/>
        </w:rPr>
        <w:t>.</w:t>
      </w:r>
      <w:r>
        <w:rPr>
          <w:color w:val="565659"/>
          <w:spacing w:val="6"/>
          <w:w w:val="105"/>
          <w:sz w:val="18"/>
        </w:rPr>
        <w:t> </w:t>
      </w:r>
      <w:r>
        <w:rPr>
          <w:color w:val="383638"/>
          <w:w w:val="105"/>
          <w:sz w:val="18"/>
        </w:rPr>
        <w:t>As</w:t>
      </w:r>
      <w:r>
        <w:rPr>
          <w:color w:val="383638"/>
          <w:spacing w:val="-10"/>
          <w:w w:val="105"/>
          <w:sz w:val="18"/>
        </w:rPr>
        <w:t> </w:t>
      </w:r>
      <w:r>
        <w:rPr>
          <w:color w:val="383638"/>
          <w:w w:val="105"/>
          <w:sz w:val="18"/>
        </w:rPr>
        <w:t>you</w:t>
      </w:r>
      <w:r>
        <w:rPr>
          <w:color w:val="383638"/>
          <w:spacing w:val="8"/>
          <w:w w:val="105"/>
          <w:sz w:val="18"/>
        </w:rPr>
        <w:t> </w:t>
      </w:r>
      <w:r>
        <w:rPr>
          <w:color w:val="383638"/>
          <w:w w:val="105"/>
          <w:sz w:val="18"/>
        </w:rPr>
        <w:t>probably</w:t>
      </w:r>
      <w:r>
        <w:rPr>
          <w:color w:val="383638"/>
          <w:spacing w:val="-6"/>
          <w:w w:val="105"/>
          <w:sz w:val="18"/>
        </w:rPr>
        <w:t> </w:t>
      </w:r>
      <w:r>
        <w:rPr>
          <w:color w:val="383638"/>
          <w:w w:val="105"/>
          <w:sz w:val="18"/>
        </w:rPr>
        <w:t>kn</w:t>
      </w:r>
      <w:r>
        <w:rPr>
          <w:color w:val="565659"/>
          <w:w w:val="105"/>
          <w:sz w:val="18"/>
        </w:rPr>
        <w:t>o</w:t>
      </w:r>
      <w:r>
        <w:rPr>
          <w:color w:val="383638"/>
          <w:w w:val="105"/>
          <w:sz w:val="18"/>
        </w:rPr>
        <w:t>w</w:t>
      </w:r>
      <w:r>
        <w:rPr>
          <w:color w:val="565659"/>
          <w:w w:val="105"/>
          <w:sz w:val="18"/>
        </w:rPr>
        <w:t>,</w:t>
      </w:r>
      <w:r>
        <w:rPr>
          <w:color w:val="565659"/>
          <w:spacing w:val="5"/>
          <w:w w:val="105"/>
          <w:sz w:val="18"/>
        </w:rPr>
        <w:t> </w:t>
      </w:r>
      <w:r>
        <w:rPr>
          <w:color w:val="565659"/>
          <w:w w:val="105"/>
          <w:sz w:val="18"/>
        </w:rPr>
        <w:t>"</w:t>
      </w:r>
      <w:r>
        <w:rPr>
          <w:color w:val="383638"/>
          <w:w w:val="105"/>
          <w:sz w:val="18"/>
        </w:rPr>
        <w:t>NPR"</w:t>
      </w:r>
      <w:r>
        <w:rPr>
          <w:color w:val="383638"/>
          <w:spacing w:val="-8"/>
          <w:w w:val="105"/>
          <w:sz w:val="18"/>
        </w:rPr>
        <w:t> </w:t>
      </w:r>
      <w:r>
        <w:rPr>
          <w:color w:val="383638"/>
          <w:w w:val="105"/>
          <w:sz w:val="18"/>
        </w:rPr>
        <w:t>ls</w:t>
      </w:r>
      <w:r>
        <w:rPr>
          <w:color w:val="383638"/>
          <w:spacing w:val="2"/>
          <w:w w:val="105"/>
          <w:sz w:val="18"/>
        </w:rPr>
        <w:t> </w:t>
      </w:r>
      <w:r>
        <w:rPr>
          <w:color w:val="383638"/>
          <w:w w:val="105"/>
          <w:sz w:val="18"/>
        </w:rPr>
        <w:t>an</w:t>
      </w:r>
      <w:r>
        <w:rPr>
          <w:color w:val="383638"/>
          <w:spacing w:val="-11"/>
          <w:w w:val="105"/>
          <w:sz w:val="18"/>
        </w:rPr>
        <w:t> </w:t>
      </w:r>
      <w:r>
        <w:rPr>
          <w:color w:val="383638"/>
          <w:w w:val="105"/>
          <w:sz w:val="18"/>
        </w:rPr>
        <w:t>abbreviation</w:t>
      </w:r>
      <w:r>
        <w:rPr>
          <w:color w:val="383638"/>
          <w:spacing w:val="9"/>
          <w:w w:val="105"/>
          <w:sz w:val="18"/>
        </w:rPr>
        <w:t> </w:t>
      </w:r>
      <w:r>
        <w:rPr>
          <w:color w:val="383638"/>
          <w:w w:val="105"/>
          <w:sz w:val="18"/>
        </w:rPr>
        <w:t>for</w:t>
      </w:r>
      <w:r>
        <w:rPr>
          <w:color w:val="565659"/>
          <w:w w:val="105"/>
          <w:sz w:val="18"/>
        </w:rPr>
        <w:t>u</w:t>
      </w:r>
      <w:r>
        <w:rPr>
          <w:color w:val="383638"/>
          <w:w w:val="105"/>
          <w:sz w:val="18"/>
        </w:rPr>
        <w:t>Natlonal</w:t>
      </w:r>
      <w:r>
        <w:rPr>
          <w:color w:val="383638"/>
          <w:spacing w:val="-1"/>
          <w:w w:val="105"/>
          <w:sz w:val="18"/>
        </w:rPr>
        <w:t> </w:t>
      </w:r>
      <w:r>
        <w:rPr>
          <w:color w:val="383638"/>
          <w:w w:val="105"/>
          <w:sz w:val="18"/>
        </w:rPr>
        <w:t>Public</w:t>
      </w:r>
      <w:r>
        <w:rPr>
          <w:color w:val="383638"/>
          <w:spacing w:val="5"/>
          <w:w w:val="105"/>
          <w:sz w:val="18"/>
        </w:rPr>
        <w:t> </w:t>
      </w:r>
      <w:r>
        <w:rPr>
          <w:color w:val="383638"/>
          <w:w w:val="105"/>
          <w:sz w:val="18"/>
        </w:rPr>
        <w:t>Radio</w:t>
      </w:r>
      <w:r>
        <w:rPr>
          <w:color w:val="383638"/>
          <w:spacing w:val="-6"/>
          <w:w w:val="105"/>
          <w:sz w:val="18"/>
        </w:rPr>
        <w:t> </w:t>
      </w:r>
      <w:r>
        <w:rPr>
          <w:color w:val="565659"/>
          <w:w w:val="105"/>
          <w:sz w:val="18"/>
        </w:rPr>
        <w:t>"</w:t>
      </w:r>
      <w:r>
        <w:rPr>
          <w:color w:val="565659"/>
          <w:spacing w:val="14"/>
          <w:w w:val="105"/>
          <w:sz w:val="18"/>
        </w:rPr>
        <w:t> </w:t>
      </w:r>
      <w:r>
        <w:rPr>
          <w:color w:val="383638"/>
          <w:w w:val="105"/>
          <w:sz w:val="18"/>
        </w:rPr>
        <w:t>which</w:t>
      </w:r>
    </w:p>
    <w:p>
      <w:pPr>
        <w:tabs>
          <w:tab w:pos="7470" w:val="left" w:leader="none"/>
        </w:tabs>
        <w:spacing w:line="196" w:lineRule="exact" w:before="0"/>
        <w:ind w:left="984" w:right="0" w:firstLine="0"/>
        <w:jc w:val="both"/>
        <w:rPr>
          <w:sz w:val="18"/>
        </w:rPr>
      </w:pPr>
      <w:r>
        <w:rPr>
          <w:color w:val="383638"/>
          <w:spacing w:val="-1"/>
          <w:w w:val="110"/>
          <w:sz w:val="18"/>
        </w:rPr>
        <w:t>adcasts</w:t>
      </w:r>
      <w:r>
        <w:rPr>
          <w:color w:val="383638"/>
          <w:spacing w:val="-6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program</w:t>
      </w:r>
      <w:r>
        <w:rPr>
          <w:color w:val="565659"/>
          <w:spacing w:val="-1"/>
          <w:w w:val="110"/>
          <w:sz w:val="18"/>
        </w:rPr>
        <w:t>s</w:t>
      </w:r>
      <w:r>
        <w:rPr>
          <w:color w:val="565659"/>
          <w:spacing w:val="-8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on</w:t>
      </w:r>
      <w:r>
        <w:rPr>
          <w:color w:val="383638"/>
          <w:spacing w:val="13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public</w:t>
      </w:r>
      <w:r>
        <w:rPr>
          <w:color w:val="383638"/>
          <w:spacing w:val="-10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radio</w:t>
      </w:r>
      <w:r>
        <w:rPr>
          <w:color w:val="383638"/>
          <w:spacing w:val="-29"/>
          <w:w w:val="110"/>
          <w:sz w:val="18"/>
        </w:rPr>
        <w:t> </w:t>
      </w:r>
      <w:r>
        <w:rPr>
          <w:color w:val="383638"/>
          <w:w w:val="110"/>
          <w:sz w:val="18"/>
        </w:rPr>
        <w:t>statiom</w:t>
      </w:r>
      <w:r>
        <w:rPr>
          <w:color w:val="383638"/>
          <w:spacing w:val="-6"/>
          <w:w w:val="110"/>
          <w:sz w:val="18"/>
        </w:rPr>
        <w:t> </w:t>
      </w:r>
      <w:r>
        <w:rPr>
          <w:color w:val="565659"/>
          <w:w w:val="110"/>
          <w:sz w:val="18"/>
        </w:rPr>
        <w:t>t</w:t>
      </w:r>
      <w:r>
        <w:rPr>
          <w:color w:val="383638"/>
          <w:w w:val="110"/>
          <w:sz w:val="18"/>
        </w:rPr>
        <w:t>hrough</w:t>
      </w:r>
      <w:r>
        <w:rPr>
          <w:color w:val="565659"/>
          <w:w w:val="110"/>
          <w:sz w:val="18"/>
        </w:rPr>
        <w:t>o</w:t>
      </w:r>
      <w:r>
        <w:rPr>
          <w:color w:val="383638"/>
          <w:w w:val="110"/>
          <w:sz w:val="18"/>
        </w:rPr>
        <w:t>ut</w:t>
      </w:r>
      <w:r>
        <w:rPr>
          <w:color w:val="383638"/>
          <w:spacing w:val="6"/>
          <w:w w:val="110"/>
          <w:sz w:val="18"/>
        </w:rPr>
        <w:t> </w:t>
      </w:r>
      <w:r>
        <w:rPr>
          <w:color w:val="383638"/>
          <w:w w:val="110"/>
          <w:sz w:val="18"/>
        </w:rPr>
        <w:t>the</w:t>
      </w:r>
      <w:r>
        <w:rPr>
          <w:color w:val="383638"/>
          <w:spacing w:val="-1"/>
          <w:w w:val="110"/>
          <w:sz w:val="18"/>
        </w:rPr>
        <w:t> </w:t>
      </w:r>
      <w:r>
        <w:rPr>
          <w:color w:val="383638"/>
          <w:w w:val="110"/>
          <w:sz w:val="18"/>
        </w:rPr>
        <w:t>country.</w:t>
        <w:tab/>
        <w:t>'</w:t>
      </w:r>
    </w:p>
    <w:p>
      <w:pPr>
        <w:spacing w:after="0" w:line="196" w:lineRule="exact"/>
        <w:jc w:val="both"/>
        <w:rPr>
          <w:sz w:val="18"/>
        </w:rPr>
        <w:sectPr>
          <w:headerReference w:type="even" r:id="rId157"/>
          <w:headerReference w:type="default" r:id="rId158"/>
          <w:pgSz w:w="9190" w:h="13820"/>
          <w:pgMar w:header="357" w:footer="0" w:top="940" w:bottom="0" w:left="780" w:right="0"/>
          <w:pgNumType w:start="134"/>
        </w:sectPr>
      </w:pPr>
    </w:p>
    <w:p>
      <w:pPr>
        <w:pStyle w:val="BodyText"/>
        <w:spacing w:line="232" w:lineRule="auto" w:before="87"/>
        <w:ind w:left="127" w:right="284" w:firstLine="346"/>
        <w:jc w:val="both"/>
      </w:pPr>
      <w:r>
        <w:rPr>
          <w:color w:val="383636"/>
          <w:w w:val="110"/>
          <w:sz w:val="21"/>
        </w:rPr>
        <w:t>An </w:t>
      </w:r>
      <w:r>
        <w:rPr>
          <w:color w:val="383636"/>
          <w:w w:val="110"/>
        </w:rPr>
        <w:t>NPR Introduction is an introduction that focuses the reader's atten­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tion on the point the writer is using the quotation to prove or establish. I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call</w:t>
      </w:r>
      <w:r>
        <w:rPr>
          <w:color w:val="383636"/>
          <w:spacing w:val="-38"/>
          <w:w w:val="110"/>
        </w:rPr>
        <w:t> </w:t>
      </w:r>
      <w:r>
        <w:rPr>
          <w:color w:val="383636"/>
          <w:w w:val="110"/>
        </w:rPr>
        <w:t>it</w:t>
      </w:r>
      <w:r>
        <w:rPr>
          <w:color w:val="383636"/>
          <w:spacing w:val="10"/>
          <w:w w:val="110"/>
        </w:rPr>
        <w:t> </w:t>
      </w:r>
      <w:r>
        <w:rPr>
          <w:color w:val="383636"/>
          <w:w w:val="110"/>
        </w:rPr>
        <w:t>that</w:t>
      </w:r>
      <w:r>
        <w:rPr>
          <w:color w:val="383636"/>
          <w:spacing w:val="-24"/>
          <w:w w:val="110"/>
        </w:rPr>
        <w:t> </w:t>
      </w:r>
      <w:r>
        <w:rPr>
          <w:color w:val="383636"/>
          <w:w w:val="110"/>
        </w:rPr>
        <w:t>because</w:t>
      </w:r>
      <w:r>
        <w:rPr>
          <w:color w:val="383636"/>
          <w:spacing w:val="-14"/>
          <w:w w:val="110"/>
        </w:rPr>
        <w:t> </w:t>
      </w:r>
      <w:r>
        <w:rPr>
          <w:color w:val="383636"/>
          <w:w w:val="110"/>
        </w:rPr>
        <w:t>reporters</w:t>
      </w:r>
      <w:r>
        <w:rPr>
          <w:color w:val="383636"/>
          <w:spacing w:val="-26"/>
          <w:w w:val="110"/>
        </w:rPr>
        <w:t> </w:t>
      </w:r>
      <w:r>
        <w:rPr>
          <w:color w:val="383636"/>
          <w:w w:val="110"/>
        </w:rPr>
        <w:t>on</w:t>
      </w:r>
      <w:r>
        <w:rPr>
          <w:color w:val="383636"/>
          <w:spacing w:val="26"/>
          <w:w w:val="110"/>
        </w:rPr>
        <w:t> </w:t>
      </w:r>
      <w:r>
        <w:rPr>
          <w:color w:val="383636"/>
          <w:w w:val="110"/>
        </w:rPr>
        <w:t>NPR</w:t>
      </w:r>
      <w:r>
        <w:rPr>
          <w:color w:val="383636"/>
          <w:spacing w:val="-21"/>
          <w:w w:val="110"/>
        </w:rPr>
        <w:t> </w:t>
      </w:r>
      <w:r>
        <w:rPr>
          <w:color w:val="383636"/>
          <w:w w:val="110"/>
        </w:rPr>
        <w:t>and</w:t>
      </w:r>
      <w:r>
        <w:rPr>
          <w:color w:val="383636"/>
          <w:spacing w:val="50"/>
          <w:w w:val="110"/>
        </w:rPr>
        <w:t> </w:t>
      </w:r>
      <w:r>
        <w:rPr>
          <w:color w:val="383636"/>
          <w:w w:val="110"/>
        </w:rPr>
        <w:t>other</w:t>
      </w:r>
      <w:r>
        <w:rPr>
          <w:color w:val="383636"/>
          <w:spacing w:val="-24"/>
          <w:w w:val="110"/>
        </w:rPr>
        <w:t> </w:t>
      </w:r>
      <w:r>
        <w:rPr>
          <w:color w:val="383636"/>
          <w:w w:val="110"/>
        </w:rPr>
        <w:t>broadcast outlets</w:t>
      </w:r>
      <w:r>
        <w:rPr>
          <w:color w:val="383636"/>
          <w:spacing w:val="-31"/>
          <w:w w:val="110"/>
        </w:rPr>
        <w:t> </w:t>
      </w:r>
      <w:r>
        <w:rPr>
          <w:color w:val="383636"/>
          <w:w w:val="110"/>
        </w:rPr>
        <w:t>constantly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introduce little snippets of interviews or public events. In much the same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way, a long quote is a little snippet of an opinion or other legal document.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Legal writers, unfortunately, often give readers unfocused introductions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like, "The Court noted," or, as in the previous illustration, "Justice Black</w:t>
      </w:r>
      <w:r>
        <w:rPr>
          <w:color w:val="383636"/>
          <w:spacing w:val="1"/>
          <w:w w:val="110"/>
        </w:rPr>
        <w:t> </w:t>
      </w:r>
      <w:r>
        <w:rPr>
          <w:color w:val="383636"/>
          <w:spacing w:val="-1"/>
          <w:w w:val="115"/>
        </w:rPr>
        <w:t>also declared." In contrast, newscasters </w:t>
      </w:r>
      <w:r>
        <w:rPr>
          <w:color w:val="383636"/>
          <w:w w:val="115"/>
        </w:rPr>
        <w:t>almost never give introductions</w:t>
      </w:r>
      <w:r>
        <w:rPr>
          <w:color w:val="383636"/>
          <w:spacing w:val="-64"/>
          <w:w w:val="115"/>
        </w:rPr>
        <w:t> </w:t>
      </w:r>
      <w:r>
        <w:rPr>
          <w:color w:val="383636"/>
          <w:w w:val="110"/>
        </w:rPr>
        <w:t>like, "The President said," or "The Senator noted." Instead, they give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audience some context and essentially tell them what to listen for when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they</w:t>
      </w:r>
      <w:r>
        <w:rPr>
          <w:color w:val="383636"/>
          <w:spacing w:val="-16"/>
          <w:w w:val="115"/>
        </w:rPr>
        <w:t> </w:t>
      </w:r>
      <w:r>
        <w:rPr>
          <w:color w:val="383636"/>
          <w:w w:val="115"/>
        </w:rPr>
        <w:t>hear</w:t>
      </w:r>
      <w:r>
        <w:rPr>
          <w:color w:val="383636"/>
          <w:spacing w:val="-5"/>
          <w:w w:val="115"/>
        </w:rPr>
        <w:t> </w:t>
      </w:r>
      <w:r>
        <w:rPr>
          <w:color w:val="383636"/>
          <w:w w:val="115"/>
        </w:rPr>
        <w:t>the</w:t>
      </w:r>
      <w:r>
        <w:rPr>
          <w:color w:val="383636"/>
          <w:spacing w:val="2"/>
          <w:w w:val="115"/>
        </w:rPr>
        <w:t> </w:t>
      </w:r>
      <w:r>
        <w:rPr>
          <w:color w:val="383636"/>
          <w:w w:val="115"/>
        </w:rPr>
        <w:t>quoted</w:t>
      </w:r>
      <w:r>
        <w:rPr>
          <w:color w:val="383636"/>
          <w:spacing w:val="-5"/>
          <w:w w:val="115"/>
        </w:rPr>
        <w:t> </w:t>
      </w:r>
      <w:r>
        <w:rPr>
          <w:color w:val="383636"/>
          <w:w w:val="115"/>
        </w:rPr>
        <w:t>language.</w:t>
      </w:r>
    </w:p>
    <w:p>
      <w:pPr>
        <w:pStyle w:val="BodyText"/>
        <w:spacing w:line="232" w:lineRule="auto" w:before="9"/>
        <w:ind w:left="118" w:right="266" w:firstLine="341"/>
        <w:jc w:val="both"/>
      </w:pPr>
      <w:r>
        <w:rPr>
          <w:color w:val="383636"/>
          <w:w w:val="110"/>
        </w:rPr>
        <w:t>The illustration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below is from a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broadcast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which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 reporter on</w:t>
      </w:r>
      <w:r>
        <w:rPr>
          <w:color w:val="383636"/>
          <w:spacing w:val="1"/>
          <w:w w:val="110"/>
        </w:rPr>
        <w:t> </w:t>
      </w:r>
      <w:r>
        <w:rPr>
          <w:rFonts w:ascii="Arial" w:hAnsi="Arial"/>
          <w:i/>
          <w:color w:val="383636"/>
          <w:w w:val="110"/>
          <w:sz w:val="21"/>
        </w:rPr>
        <w:t>Morning Edition </w:t>
      </w:r>
      <w:r>
        <w:rPr>
          <w:color w:val="383636"/>
          <w:w w:val="110"/>
        </w:rPr>
        <w:t>on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NPR excerpted pieces of interviews with people who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design video games. The excerpt below focuses on how acceptable subject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matter for video games has evolved over the years. Notice how the (itali­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cized) language leading up to  the quotation paraphrases the  message of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-5"/>
          <w:w w:val="110"/>
        </w:rPr>
        <w:t> </w:t>
      </w:r>
      <w:r>
        <w:rPr>
          <w:color w:val="383636"/>
          <w:w w:val="110"/>
        </w:rPr>
        <w:t>quote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9"/>
          <w:w w:val="110"/>
        </w:rPr>
        <w:t> </w:t>
      </w:r>
      <w:r>
        <w:rPr>
          <w:color w:val="383636"/>
          <w:w w:val="110"/>
        </w:rPr>
        <w:t>prepare</w:t>
      </w:r>
      <w:r>
        <w:rPr>
          <w:color w:val="383636"/>
          <w:spacing w:val="14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21"/>
          <w:w w:val="110"/>
        </w:rPr>
        <w:t> </w:t>
      </w:r>
      <w:r>
        <w:rPr>
          <w:color w:val="383636"/>
          <w:w w:val="110"/>
        </w:rPr>
        <w:t>audience</w:t>
      </w:r>
      <w:r>
        <w:rPr>
          <w:color w:val="383636"/>
          <w:spacing w:val="8"/>
          <w:w w:val="110"/>
        </w:rPr>
        <w:t> </w:t>
      </w:r>
      <w:r>
        <w:rPr>
          <w:color w:val="383636"/>
          <w:w w:val="110"/>
        </w:rPr>
        <w:t>for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what</w:t>
      </w:r>
      <w:r>
        <w:rPr>
          <w:color w:val="383636"/>
          <w:spacing w:val="2"/>
          <w:w w:val="110"/>
        </w:rPr>
        <w:t> </w:t>
      </w:r>
      <w:r>
        <w:rPr>
          <w:color w:val="383636"/>
          <w:w w:val="110"/>
        </w:rPr>
        <w:t>is</w:t>
      </w:r>
      <w:r>
        <w:rPr>
          <w:color w:val="383636"/>
          <w:spacing w:val="-3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-5"/>
          <w:w w:val="110"/>
        </w:rPr>
        <w:t> </w:t>
      </w:r>
      <w:r>
        <w:rPr>
          <w:color w:val="383636"/>
          <w:w w:val="110"/>
        </w:rPr>
        <w:t>come:</w:t>
      </w:r>
    </w:p>
    <w:p>
      <w:pPr>
        <w:pStyle w:val="BodyText"/>
        <w:spacing w:before="5"/>
        <w:rPr>
          <w:sz w:val="10"/>
        </w:rPr>
      </w:pPr>
    </w:p>
    <w:p>
      <w:pPr>
        <w:spacing w:before="94"/>
        <w:ind w:left="127" w:right="0" w:firstLine="0"/>
        <w:jc w:val="left"/>
        <w:rPr>
          <w:sz w:val="15"/>
        </w:rPr>
      </w:pPr>
      <w:r>
        <w:rPr>
          <w:color w:val="383636"/>
          <w:spacing w:val="-1"/>
          <w:w w:val="145"/>
          <w:sz w:val="15"/>
          <w:u w:val="thick" w:color="383636"/>
        </w:rPr>
        <w:t>.,/\</w:t>
      </w:r>
      <w:r>
        <w:rPr>
          <w:color w:val="383636"/>
          <w:spacing w:val="-19"/>
          <w:w w:val="145"/>
          <w:sz w:val="15"/>
        </w:rPr>
        <w:t> </w:t>
      </w:r>
      <w:r>
        <w:rPr>
          <w:color w:val="383636"/>
          <w:spacing w:val="-1"/>
          <w:w w:val="110"/>
          <w:sz w:val="15"/>
          <w:u w:val="thick" w:color="4D4D4D"/>
        </w:rPr>
        <w:t>GOOD</w:t>
      </w:r>
      <w:r>
        <w:rPr>
          <w:color w:val="383636"/>
          <w:spacing w:val="11"/>
          <w:w w:val="110"/>
          <w:sz w:val="15"/>
          <w:u w:val="thick" w:color="4D4D4D"/>
        </w:rPr>
        <w:t> </w:t>
      </w:r>
      <w:r>
        <w:rPr>
          <w:color w:val="4D4D4D"/>
          <w:w w:val="110"/>
          <w:sz w:val="15"/>
          <w:u w:val="thick" w:color="4D4D4D"/>
        </w:rPr>
        <w:t>EXAMPLE</w:t>
      </w:r>
    </w:p>
    <w:p>
      <w:pPr>
        <w:spacing w:line="230" w:lineRule="auto" w:before="97"/>
        <w:ind w:left="467" w:right="600" w:firstLine="5"/>
        <w:jc w:val="both"/>
        <w:rPr>
          <w:b/>
          <w:i/>
          <w:sz w:val="22"/>
        </w:rPr>
      </w:pPr>
      <w:r>
        <w:rPr>
          <w:b/>
          <w:i/>
          <w:color w:val="383636"/>
          <w:w w:val="110"/>
          <w:sz w:val="21"/>
        </w:rPr>
        <w:t>LARCHUK: </w:t>
      </w:r>
      <w:r>
        <w:rPr>
          <w:b/>
          <w:color w:val="383636"/>
          <w:w w:val="110"/>
          <w:sz w:val="21"/>
        </w:rPr>
        <w:t>Lucas </w:t>
      </w:r>
      <w:r>
        <w:rPr>
          <w:color w:val="383636"/>
          <w:w w:val="110"/>
          <w:sz w:val="21"/>
        </w:rPr>
        <w:t>Pope </w:t>
      </w:r>
      <w:r>
        <w:rPr>
          <w:b/>
          <w:color w:val="383636"/>
          <w:w w:val="110"/>
          <w:sz w:val="21"/>
        </w:rPr>
        <w:t>designed the game "Papers, Please." </w:t>
      </w:r>
      <w:r>
        <w:rPr>
          <w:color w:val="383636"/>
          <w:w w:val="110"/>
          <w:sz w:val="21"/>
        </w:rPr>
        <w:t>In this</w:t>
      </w:r>
      <w:r>
        <w:rPr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game, the player is a border guard working for </w:t>
      </w:r>
      <w:r>
        <w:rPr>
          <w:color w:val="383636"/>
          <w:w w:val="110"/>
          <w:sz w:val="21"/>
        </w:rPr>
        <w:t>a fictional communist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country. The </w:t>
      </w:r>
      <w:r>
        <w:rPr>
          <w:b/>
          <w:color w:val="383636"/>
          <w:w w:val="110"/>
          <w:sz w:val="21"/>
        </w:rPr>
        <w:t>player is forced to make </w:t>
      </w:r>
      <w:r>
        <w:rPr>
          <w:color w:val="383636"/>
          <w:w w:val="110"/>
          <w:sz w:val="21"/>
        </w:rPr>
        <w:t>difficult choices about who can</w:t>
      </w:r>
      <w:r>
        <w:rPr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cross the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border, all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while making barely </w:t>
      </w:r>
      <w:r>
        <w:rPr>
          <w:color w:val="383636"/>
          <w:w w:val="110"/>
          <w:sz w:val="21"/>
        </w:rPr>
        <w:t>enough money to help his</w:t>
      </w:r>
      <w:r>
        <w:rPr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05"/>
          <w:sz w:val="21"/>
        </w:rPr>
        <w:t>family survive. </w:t>
      </w:r>
      <w:r>
        <w:rPr>
          <w:b/>
          <w:i/>
          <w:color w:val="383636"/>
          <w:w w:val="105"/>
          <w:sz w:val="22"/>
        </w:rPr>
        <w:t>Pope says today's developers have a broad definition </w:t>
      </w:r>
      <w:r>
        <w:rPr>
          <w:i/>
          <w:color w:val="383636"/>
          <w:w w:val="105"/>
          <w:sz w:val="19"/>
        </w:rPr>
        <w:t>of</w:t>
      </w:r>
      <w:r>
        <w:rPr>
          <w:i/>
          <w:color w:val="383636"/>
          <w:spacing w:val="1"/>
          <w:w w:val="105"/>
          <w:sz w:val="19"/>
        </w:rPr>
        <w:t> </w:t>
      </w:r>
      <w:r>
        <w:rPr>
          <w:b/>
          <w:i/>
          <w:color w:val="383636"/>
          <w:w w:val="110"/>
          <w:sz w:val="22"/>
        </w:rPr>
        <w:t>what</w:t>
      </w:r>
      <w:r>
        <w:rPr>
          <w:b/>
          <w:i/>
          <w:color w:val="383636"/>
          <w:spacing w:val="-12"/>
          <w:w w:val="110"/>
          <w:sz w:val="22"/>
        </w:rPr>
        <w:t> </w:t>
      </w:r>
      <w:r>
        <w:rPr>
          <w:b/>
          <w:i/>
          <w:color w:val="383636"/>
          <w:w w:val="110"/>
          <w:sz w:val="22"/>
        </w:rPr>
        <w:t>a</w:t>
      </w:r>
      <w:r>
        <w:rPr>
          <w:b/>
          <w:i/>
          <w:color w:val="383636"/>
          <w:spacing w:val="-1"/>
          <w:w w:val="110"/>
          <w:sz w:val="22"/>
        </w:rPr>
        <w:t> </w:t>
      </w:r>
      <w:r>
        <w:rPr>
          <w:b/>
          <w:i/>
          <w:color w:val="383636"/>
          <w:w w:val="110"/>
          <w:sz w:val="22"/>
        </w:rPr>
        <w:t>videogame</w:t>
      </w:r>
      <w:r>
        <w:rPr>
          <w:b/>
          <w:i/>
          <w:color w:val="383636"/>
          <w:spacing w:val="-7"/>
          <w:w w:val="110"/>
          <w:sz w:val="22"/>
        </w:rPr>
        <w:t> </w:t>
      </w:r>
      <w:r>
        <w:rPr>
          <w:b/>
          <w:i/>
          <w:color w:val="383636"/>
          <w:w w:val="110"/>
          <w:sz w:val="22"/>
        </w:rPr>
        <w:t>can</w:t>
      </w:r>
      <w:r>
        <w:rPr>
          <w:b/>
          <w:i/>
          <w:color w:val="383636"/>
          <w:spacing w:val="-11"/>
          <w:w w:val="110"/>
          <w:sz w:val="22"/>
        </w:rPr>
        <w:t> </w:t>
      </w:r>
      <w:r>
        <w:rPr>
          <w:b/>
          <w:i/>
          <w:color w:val="383636"/>
          <w:w w:val="110"/>
          <w:sz w:val="22"/>
        </w:rPr>
        <w:t>be.</w:t>
      </w:r>
    </w:p>
    <w:p>
      <w:pPr>
        <w:spacing w:line="225" w:lineRule="auto" w:before="160"/>
        <w:ind w:left="467" w:right="597" w:firstLine="14"/>
        <w:jc w:val="both"/>
        <w:rPr>
          <w:sz w:val="21"/>
        </w:rPr>
      </w:pPr>
      <w:r>
        <w:rPr>
          <w:i/>
          <w:color w:val="383636"/>
          <w:w w:val="115"/>
          <w:sz w:val="19"/>
        </w:rPr>
        <w:t>LUCAS </w:t>
      </w:r>
      <w:r>
        <w:rPr>
          <w:rFonts w:ascii="Arial" w:hAnsi="Arial"/>
          <w:b/>
          <w:i/>
          <w:color w:val="383636"/>
          <w:w w:val="115"/>
          <w:sz w:val="19"/>
        </w:rPr>
        <w:t>POPE: </w:t>
      </w:r>
      <w:r>
        <w:rPr>
          <w:b/>
          <w:color w:val="383636"/>
          <w:w w:val="115"/>
          <w:sz w:val="21"/>
        </w:rPr>
        <w:t>Like, my generation, or the </w:t>
      </w:r>
      <w:r>
        <w:rPr>
          <w:color w:val="383636"/>
          <w:w w:val="115"/>
          <w:sz w:val="21"/>
        </w:rPr>
        <w:t>people who </w:t>
      </w:r>
      <w:r>
        <w:rPr>
          <w:b/>
          <w:color w:val="383636"/>
          <w:w w:val="115"/>
          <w:sz w:val="21"/>
        </w:rPr>
        <w:t>make games</w:t>
      </w:r>
      <w:r>
        <w:rPr>
          <w:b/>
          <w:color w:val="383636"/>
          <w:spacing w:val="1"/>
          <w:w w:val="115"/>
          <w:sz w:val="21"/>
        </w:rPr>
        <w:t> </w:t>
      </w:r>
      <w:r>
        <w:rPr>
          <w:b/>
          <w:color w:val="383636"/>
          <w:w w:val="110"/>
          <w:sz w:val="21"/>
        </w:rPr>
        <w:t>now, they grew up with games their whole life. Probably the first gen­</w:t>
      </w:r>
      <w:r>
        <w:rPr>
          <w:b/>
          <w:color w:val="383636"/>
          <w:spacing w:val="-55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eration that did that. </w:t>
      </w:r>
      <w:r>
        <w:rPr>
          <w:color w:val="383636"/>
          <w:w w:val="110"/>
          <w:sz w:val="20"/>
        </w:rPr>
        <w:t>So I </w:t>
      </w:r>
      <w:r>
        <w:rPr>
          <w:b/>
          <w:color w:val="383636"/>
          <w:w w:val="110"/>
          <w:sz w:val="21"/>
        </w:rPr>
        <w:t>think it's really natural </w:t>
      </w:r>
      <w:r>
        <w:rPr>
          <w:color w:val="383636"/>
          <w:w w:val="110"/>
          <w:sz w:val="21"/>
        </w:rPr>
        <w:t>to </w:t>
      </w:r>
      <w:r>
        <w:rPr>
          <w:color w:val="383636"/>
          <w:w w:val="110"/>
          <w:sz w:val="20"/>
        </w:rPr>
        <w:t>like </w:t>
      </w:r>
      <w:r>
        <w:rPr>
          <w:color w:val="383636"/>
          <w:w w:val="110"/>
          <w:sz w:val="23"/>
        </w:rPr>
        <w:t>consider </w:t>
      </w:r>
      <w:r>
        <w:rPr>
          <w:b/>
          <w:color w:val="383636"/>
          <w:w w:val="110"/>
          <w:sz w:val="21"/>
        </w:rPr>
        <w:t>that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you</w:t>
      </w:r>
      <w:r>
        <w:rPr>
          <w:color w:val="383636"/>
          <w:spacing w:val="-19"/>
          <w:w w:val="110"/>
          <w:sz w:val="21"/>
        </w:rPr>
        <w:t> </w:t>
      </w:r>
      <w:r>
        <w:rPr>
          <w:color w:val="383636"/>
          <w:w w:val="110"/>
          <w:sz w:val="21"/>
        </w:rPr>
        <w:t>can</w:t>
      </w:r>
      <w:r>
        <w:rPr>
          <w:color w:val="383636"/>
          <w:spacing w:val="27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have</w:t>
      </w:r>
      <w:r>
        <w:rPr>
          <w:b/>
          <w:color w:val="383636"/>
          <w:spacing w:val="-15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a game</w:t>
      </w:r>
      <w:r>
        <w:rPr>
          <w:b/>
          <w:color w:val="383636"/>
          <w:spacing w:val="-17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about</w:t>
      </w:r>
      <w:r>
        <w:rPr>
          <w:b/>
          <w:color w:val="383636"/>
          <w:spacing w:val="-14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anything.</w:t>
      </w:r>
      <w:r>
        <w:rPr>
          <w:color w:val="383636"/>
          <w:w w:val="110"/>
          <w:sz w:val="21"/>
          <w:vertAlign w:val="superscript"/>
        </w:rPr>
        <w:t>10</w:t>
      </w:r>
    </w:p>
    <w:p>
      <w:pPr>
        <w:pStyle w:val="BodyText"/>
        <w:spacing w:line="244" w:lineRule="auto" w:before="138"/>
        <w:ind w:left="145" w:firstLine="334"/>
      </w:pPr>
      <w:r>
        <w:rPr>
          <w:color w:val="383636"/>
          <w:w w:val="110"/>
        </w:rPr>
        <w:t>In</w:t>
      </w:r>
      <w:r>
        <w:rPr>
          <w:color w:val="383636"/>
          <w:spacing w:val="1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0"/>
          <w:w w:val="110"/>
        </w:rPr>
        <w:t> </w:t>
      </w:r>
      <w:r>
        <w:rPr>
          <w:color w:val="383636"/>
          <w:w w:val="110"/>
        </w:rPr>
        <w:t>same</w:t>
      </w:r>
      <w:r>
        <w:rPr>
          <w:color w:val="383636"/>
          <w:spacing w:val="20"/>
          <w:w w:val="110"/>
        </w:rPr>
        <w:t> </w:t>
      </w:r>
      <w:r>
        <w:rPr>
          <w:color w:val="383636"/>
          <w:w w:val="110"/>
        </w:rPr>
        <w:t>way,</w:t>
      </w:r>
      <w:r>
        <w:rPr>
          <w:color w:val="383636"/>
          <w:spacing w:val="25"/>
          <w:w w:val="110"/>
        </w:rPr>
        <w:t> </w:t>
      </w:r>
      <w:r>
        <w:rPr>
          <w:color w:val="383636"/>
          <w:w w:val="110"/>
        </w:rPr>
        <w:t>you</w:t>
      </w:r>
      <w:r>
        <w:rPr>
          <w:color w:val="383636"/>
          <w:spacing w:val="55"/>
          <w:w w:val="110"/>
        </w:rPr>
        <w:t> </w:t>
      </w:r>
      <w:r>
        <w:rPr>
          <w:color w:val="4D4D4D"/>
          <w:w w:val="110"/>
        </w:rPr>
        <w:t>should</w:t>
      </w:r>
      <w:r>
        <w:rPr>
          <w:color w:val="4D4D4D"/>
          <w:spacing w:val="47"/>
          <w:w w:val="110"/>
        </w:rPr>
        <w:t> </w:t>
      </w:r>
      <w:r>
        <w:rPr>
          <w:color w:val="383636"/>
          <w:w w:val="110"/>
        </w:rPr>
        <w:t>prepare</w:t>
      </w:r>
      <w:r>
        <w:rPr>
          <w:color w:val="383636"/>
          <w:spacing w:val="25"/>
          <w:w w:val="110"/>
        </w:rPr>
        <w:t> </w:t>
      </w:r>
      <w:r>
        <w:rPr>
          <w:color w:val="383636"/>
          <w:w w:val="110"/>
        </w:rPr>
        <w:t>your</w:t>
      </w:r>
      <w:r>
        <w:rPr>
          <w:color w:val="383636"/>
          <w:spacing w:val="24"/>
          <w:w w:val="110"/>
        </w:rPr>
        <w:t> </w:t>
      </w:r>
      <w:r>
        <w:rPr>
          <w:color w:val="383636"/>
          <w:w w:val="110"/>
        </w:rPr>
        <w:t>audience</w:t>
      </w:r>
      <w:r>
        <w:rPr>
          <w:color w:val="383636"/>
          <w:spacing w:val="23"/>
          <w:w w:val="110"/>
        </w:rPr>
        <w:t> </w:t>
      </w:r>
      <w:r>
        <w:rPr>
          <w:color w:val="383636"/>
          <w:w w:val="110"/>
        </w:rPr>
        <w:t>for</w:t>
      </w:r>
      <w:r>
        <w:rPr>
          <w:color w:val="383636"/>
          <w:spacing w:val="8"/>
          <w:w w:val="110"/>
        </w:rPr>
        <w:t> </w:t>
      </w:r>
      <w:r>
        <w:rPr>
          <w:color w:val="383636"/>
          <w:w w:val="110"/>
        </w:rPr>
        <w:t>a</w:t>
      </w:r>
      <w:r>
        <w:rPr>
          <w:color w:val="383636"/>
          <w:spacing w:val="31"/>
          <w:w w:val="110"/>
        </w:rPr>
        <w:t> </w:t>
      </w:r>
      <w:r>
        <w:rPr>
          <w:color w:val="383636"/>
          <w:w w:val="110"/>
        </w:rPr>
        <w:t>long quota­</w:t>
      </w:r>
      <w:r>
        <w:rPr>
          <w:color w:val="383636"/>
          <w:spacing w:val="-60"/>
          <w:w w:val="110"/>
        </w:rPr>
        <w:t> </w:t>
      </w:r>
      <w:r>
        <w:rPr>
          <w:color w:val="383636"/>
          <w:w w:val="110"/>
        </w:rPr>
        <w:t>tion</w:t>
      </w:r>
      <w:r>
        <w:rPr>
          <w:color w:val="383636"/>
          <w:spacing w:val="-18"/>
          <w:w w:val="110"/>
        </w:rPr>
        <w:t> </w:t>
      </w:r>
      <w:r>
        <w:rPr>
          <w:rFonts w:ascii="Arial" w:hAnsi="Arial"/>
          <w:color w:val="383636"/>
          <w:w w:val="110"/>
        </w:rPr>
        <w:t>by</w:t>
      </w:r>
      <w:r>
        <w:rPr>
          <w:rFonts w:ascii="Arial" w:hAnsi="Arial"/>
          <w:color w:val="383636"/>
          <w:spacing w:val="-11"/>
          <w:w w:val="110"/>
        </w:rPr>
        <w:t> </w:t>
      </w:r>
      <w:r>
        <w:rPr>
          <w:color w:val="383636"/>
          <w:w w:val="110"/>
        </w:rPr>
        <w:t>stating</w:t>
      </w:r>
      <w:r>
        <w:rPr>
          <w:color w:val="383636"/>
          <w:spacing w:val="8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21"/>
          <w:w w:val="110"/>
        </w:rPr>
        <w:t> </w:t>
      </w:r>
      <w:r>
        <w:rPr>
          <w:color w:val="383636"/>
          <w:w w:val="110"/>
        </w:rPr>
        <w:t>conclusion</w:t>
      </w:r>
      <w:r>
        <w:rPr>
          <w:color w:val="383636"/>
          <w:spacing w:val="18"/>
          <w:w w:val="110"/>
        </w:rPr>
        <w:t> </w:t>
      </w:r>
      <w:r>
        <w:rPr>
          <w:color w:val="383636"/>
          <w:w w:val="110"/>
        </w:rPr>
        <w:t>you</w:t>
      </w:r>
      <w:r>
        <w:rPr>
          <w:color w:val="383636"/>
          <w:spacing w:val="12"/>
          <w:w w:val="110"/>
        </w:rPr>
        <w:t> </w:t>
      </w:r>
      <w:r>
        <w:rPr>
          <w:color w:val="383636"/>
          <w:w w:val="110"/>
        </w:rPr>
        <w:t>want</w:t>
      </w:r>
      <w:r>
        <w:rPr>
          <w:color w:val="383636"/>
          <w:spacing w:val="8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26"/>
          <w:w w:val="110"/>
        </w:rPr>
        <w:t> </w:t>
      </w:r>
      <w:r>
        <w:rPr>
          <w:color w:val="383636"/>
          <w:w w:val="110"/>
        </w:rPr>
        <w:t>reader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19"/>
          <w:w w:val="110"/>
        </w:rPr>
        <w:t> </w:t>
      </w:r>
      <w:r>
        <w:rPr>
          <w:color w:val="383636"/>
          <w:w w:val="110"/>
        </w:rPr>
        <w:t>draw</w:t>
      </w:r>
      <w:r>
        <w:rPr>
          <w:color w:val="383636"/>
          <w:spacing w:val="-1"/>
          <w:w w:val="110"/>
        </w:rPr>
        <w:t> </w:t>
      </w:r>
      <w:r>
        <w:rPr>
          <w:color w:val="383636"/>
          <w:w w:val="110"/>
        </w:rPr>
        <w:t>from</w:t>
      </w:r>
      <w:r>
        <w:rPr>
          <w:color w:val="383636"/>
          <w:spacing w:val="13"/>
          <w:w w:val="110"/>
        </w:rPr>
        <w:t> </w:t>
      </w:r>
      <w:r>
        <w:rPr>
          <w:color w:val="383636"/>
          <w:w w:val="110"/>
        </w:rPr>
        <w:t>it:</w:t>
      </w:r>
    </w:p>
    <w:p>
      <w:pPr>
        <w:pStyle w:val="BodyText"/>
        <w:spacing w:before="1"/>
        <w:rPr>
          <w:sz w:val="9"/>
        </w:rPr>
      </w:pPr>
    </w:p>
    <w:p>
      <w:pPr>
        <w:spacing w:before="94"/>
        <w:ind w:left="137" w:right="0" w:firstLine="0"/>
        <w:jc w:val="left"/>
        <w:rPr>
          <w:sz w:val="15"/>
        </w:rPr>
      </w:pPr>
      <w:r>
        <w:rPr>
          <w:color w:val="4D4D4D"/>
          <w:spacing w:val="-1"/>
          <w:w w:val="165"/>
          <w:sz w:val="15"/>
          <w:u w:val="thick" w:color="4D4D4D"/>
        </w:rPr>
        <w:t>../\</w:t>
      </w:r>
      <w:r>
        <w:rPr>
          <w:color w:val="4D4D4D"/>
          <w:spacing w:val="-38"/>
          <w:w w:val="165"/>
          <w:sz w:val="15"/>
        </w:rPr>
        <w:t> </w:t>
      </w:r>
      <w:r>
        <w:rPr>
          <w:color w:val="383636"/>
          <w:spacing w:val="-1"/>
          <w:w w:val="110"/>
          <w:sz w:val="15"/>
          <w:u w:val="thick" w:color="383636"/>
        </w:rPr>
        <w:t>GOOD </w:t>
      </w:r>
      <w:r>
        <w:rPr>
          <w:color w:val="383636"/>
          <w:w w:val="110"/>
          <w:sz w:val="15"/>
          <w:u w:val="thick" w:color="383636"/>
        </w:rPr>
        <w:t>EXAMPLE</w:t>
      </w:r>
    </w:p>
    <w:p>
      <w:pPr>
        <w:spacing w:line="236" w:lineRule="exact" w:before="89"/>
        <w:ind w:left="481" w:right="0" w:firstLine="0"/>
        <w:jc w:val="left"/>
        <w:rPr>
          <w:b/>
          <w:sz w:val="21"/>
        </w:rPr>
      </w:pPr>
      <w:r>
        <w:rPr>
          <w:b/>
          <w:color w:val="383636"/>
          <w:w w:val="115"/>
          <w:sz w:val="21"/>
        </w:rPr>
        <w:t>However,</w:t>
      </w:r>
      <w:r>
        <w:rPr>
          <w:b/>
          <w:color w:val="383636"/>
          <w:spacing w:val="1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Justice</w:t>
      </w:r>
      <w:r>
        <w:rPr>
          <w:b/>
          <w:color w:val="383636"/>
          <w:spacing w:val="14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Black also</w:t>
      </w:r>
      <w:r>
        <w:rPr>
          <w:b/>
          <w:color w:val="383636"/>
          <w:spacing w:val="2"/>
          <w:w w:val="115"/>
          <w:sz w:val="21"/>
        </w:rPr>
        <w:t> </w:t>
      </w:r>
      <w:r>
        <w:rPr>
          <w:color w:val="383636"/>
          <w:w w:val="115"/>
          <w:sz w:val="21"/>
        </w:rPr>
        <w:t>pointed</w:t>
      </w:r>
      <w:r>
        <w:rPr>
          <w:color w:val="383636"/>
          <w:spacing w:val="9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out</w:t>
      </w:r>
      <w:r>
        <w:rPr>
          <w:b/>
          <w:color w:val="383636"/>
          <w:spacing w:val="7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that</w:t>
      </w:r>
      <w:r>
        <w:rPr>
          <w:b/>
          <w:color w:val="383636"/>
          <w:spacing w:val="11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governments</w:t>
      </w:r>
      <w:r>
        <w:rPr>
          <w:b/>
          <w:color w:val="383636"/>
          <w:spacing w:val="6"/>
          <w:w w:val="115"/>
          <w:sz w:val="21"/>
        </w:rPr>
        <w:t> </w:t>
      </w:r>
      <w:r>
        <w:rPr>
          <w:color w:val="383636"/>
          <w:w w:val="115"/>
          <w:sz w:val="21"/>
        </w:rPr>
        <w:t>can</w:t>
      </w:r>
      <w:r>
        <w:rPr>
          <w:color w:val="383636"/>
          <w:spacing w:val="40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pro­</w:t>
      </w:r>
    </w:p>
    <w:p>
      <w:pPr>
        <w:spacing w:line="236" w:lineRule="exact" w:before="0"/>
        <w:ind w:left="484" w:right="0" w:firstLine="0"/>
        <w:jc w:val="left"/>
        <w:rPr>
          <w:sz w:val="21"/>
        </w:rPr>
      </w:pPr>
      <w:r>
        <w:rPr>
          <w:color w:val="383636"/>
          <w:spacing w:val="-1"/>
          <w:w w:val="115"/>
          <w:sz w:val="20"/>
        </w:rPr>
        <w:t>hibit</w:t>
      </w:r>
      <w:r>
        <w:rPr>
          <w:color w:val="383636"/>
          <w:spacing w:val="-12"/>
          <w:w w:val="115"/>
          <w:sz w:val="20"/>
        </w:rPr>
        <w:t> </w:t>
      </w:r>
      <w:r>
        <w:rPr>
          <w:b/>
          <w:color w:val="383636"/>
          <w:spacing w:val="-1"/>
          <w:w w:val="115"/>
          <w:sz w:val="21"/>
        </w:rPr>
        <w:t>certain</w:t>
      </w:r>
      <w:r>
        <w:rPr>
          <w:b/>
          <w:color w:val="383636"/>
          <w:w w:val="115"/>
          <w:sz w:val="21"/>
        </w:rPr>
        <w:t> </w:t>
      </w:r>
      <w:r>
        <w:rPr>
          <w:b/>
          <w:color w:val="383636"/>
          <w:spacing w:val="-1"/>
          <w:w w:val="115"/>
          <w:sz w:val="21"/>
        </w:rPr>
        <w:t>behaviors</w:t>
      </w:r>
      <w:r>
        <w:rPr>
          <w:b/>
          <w:color w:val="383636"/>
          <w:spacing w:val="5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in</w:t>
      </w:r>
      <w:r>
        <w:rPr>
          <w:b/>
          <w:color w:val="383636"/>
          <w:spacing w:val="20"/>
          <w:w w:val="115"/>
          <w:sz w:val="21"/>
        </w:rPr>
        <w:t> </w:t>
      </w:r>
      <w:r>
        <w:rPr>
          <w:color w:val="383636"/>
          <w:w w:val="115"/>
          <w:sz w:val="21"/>
        </w:rPr>
        <w:t>public</w:t>
      </w:r>
      <w:r>
        <w:rPr>
          <w:color w:val="383636"/>
          <w:spacing w:val="-15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places</w:t>
      </w:r>
      <w:r>
        <w:rPr>
          <w:b/>
          <w:color w:val="383636"/>
          <w:spacing w:val="-12"/>
          <w:w w:val="115"/>
          <w:sz w:val="21"/>
        </w:rPr>
        <w:t> </w:t>
      </w:r>
      <w:r>
        <w:rPr>
          <w:color w:val="383636"/>
          <w:w w:val="115"/>
          <w:sz w:val="21"/>
        </w:rPr>
        <w:t>to</w:t>
      </w:r>
      <w:r>
        <w:rPr>
          <w:color w:val="383636"/>
          <w:spacing w:val="21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protect</w:t>
      </w:r>
      <w:r>
        <w:rPr>
          <w:b/>
          <w:color w:val="383636"/>
          <w:spacing w:val="-3"/>
          <w:w w:val="115"/>
          <w:sz w:val="21"/>
        </w:rPr>
        <w:t> </w:t>
      </w:r>
      <w:r>
        <w:rPr>
          <w:color w:val="383636"/>
          <w:w w:val="115"/>
          <w:sz w:val="21"/>
        </w:rPr>
        <w:t>the</w:t>
      </w:r>
      <w:r>
        <w:rPr>
          <w:color w:val="383636"/>
          <w:spacing w:val="42"/>
          <w:w w:val="115"/>
          <w:sz w:val="21"/>
        </w:rPr>
        <w:t> </w:t>
      </w:r>
      <w:r>
        <w:rPr>
          <w:color w:val="383636"/>
          <w:w w:val="115"/>
          <w:sz w:val="21"/>
        </w:rPr>
        <w:t>public:</w:t>
      </w:r>
    </w:p>
    <w:p>
      <w:pPr>
        <w:spacing w:line="237" w:lineRule="auto" w:before="136"/>
        <w:ind w:left="836" w:right="926" w:firstLine="12"/>
        <w:jc w:val="both"/>
        <w:rPr>
          <w:sz w:val="19"/>
        </w:rPr>
      </w:pPr>
      <w:r>
        <w:rPr>
          <w:color w:val="383636"/>
          <w:spacing w:val="-1"/>
          <w:w w:val="120"/>
          <w:sz w:val="19"/>
        </w:rPr>
        <w:t>Plainly, however, no mandate </w:t>
      </w:r>
      <w:r>
        <w:rPr>
          <w:color w:val="383636"/>
          <w:w w:val="120"/>
          <w:sz w:val="19"/>
        </w:rPr>
        <w:t>in our Constitution leaves States </w:t>
      </w:r>
      <w:r>
        <w:rPr>
          <w:b/>
          <w:color w:val="383636"/>
          <w:w w:val="120"/>
          <w:sz w:val="18"/>
        </w:rPr>
        <w:t>and</w:t>
      </w:r>
      <w:r>
        <w:rPr>
          <w:b/>
          <w:color w:val="383636"/>
          <w:spacing w:val="1"/>
          <w:w w:val="120"/>
          <w:sz w:val="18"/>
        </w:rPr>
        <w:t> </w:t>
      </w:r>
      <w:r>
        <w:rPr>
          <w:color w:val="383636"/>
          <w:w w:val="115"/>
          <w:sz w:val="19"/>
        </w:rPr>
        <w:t>governmental units powerless to pass laws to protect the public from</w:t>
      </w:r>
      <w:r>
        <w:rPr>
          <w:color w:val="383636"/>
          <w:spacing w:val="1"/>
          <w:w w:val="115"/>
          <w:sz w:val="19"/>
        </w:rPr>
        <w:t> </w:t>
      </w:r>
      <w:r>
        <w:rPr>
          <w:color w:val="383636"/>
          <w:w w:val="120"/>
          <w:sz w:val="19"/>
        </w:rPr>
        <w:t>the kind of boisterous and</w:t>
      </w:r>
      <w:r>
        <w:rPr>
          <w:color w:val="383636"/>
          <w:spacing w:val="1"/>
          <w:w w:val="120"/>
          <w:sz w:val="19"/>
        </w:rPr>
        <w:t> </w:t>
      </w:r>
      <w:r>
        <w:rPr>
          <w:color w:val="4D4D4D"/>
          <w:w w:val="120"/>
          <w:sz w:val="19"/>
        </w:rPr>
        <w:t>threatening </w:t>
      </w:r>
      <w:r>
        <w:rPr>
          <w:color w:val="383636"/>
          <w:w w:val="120"/>
          <w:sz w:val="19"/>
        </w:rPr>
        <w:t>conduct</w:t>
      </w:r>
      <w:r>
        <w:rPr>
          <w:color w:val="383636"/>
          <w:spacing w:val="1"/>
          <w:w w:val="120"/>
          <w:sz w:val="19"/>
        </w:rPr>
        <w:t> </w:t>
      </w:r>
      <w:r>
        <w:rPr>
          <w:color w:val="383636"/>
          <w:w w:val="120"/>
          <w:sz w:val="19"/>
        </w:rPr>
        <w:t>that disturbs the</w:t>
      </w:r>
      <w:r>
        <w:rPr>
          <w:color w:val="383636"/>
          <w:spacing w:val="1"/>
          <w:w w:val="120"/>
          <w:sz w:val="19"/>
        </w:rPr>
        <w:t> </w:t>
      </w:r>
      <w:r>
        <w:rPr>
          <w:color w:val="383636"/>
          <w:w w:val="120"/>
          <w:sz w:val="19"/>
        </w:rPr>
        <w:t>tranquility of spots selected by the people either for homes, wherein</w:t>
      </w:r>
      <w:r>
        <w:rPr>
          <w:color w:val="383636"/>
          <w:spacing w:val="-54"/>
          <w:w w:val="120"/>
          <w:sz w:val="19"/>
        </w:rPr>
        <w:t> </w:t>
      </w:r>
      <w:r>
        <w:rPr>
          <w:color w:val="383636"/>
          <w:w w:val="115"/>
          <w:sz w:val="19"/>
        </w:rPr>
        <w:t>they can escape the hurly-burly of the outside business and</w:t>
      </w:r>
      <w:r>
        <w:rPr>
          <w:color w:val="383636"/>
          <w:spacing w:val="1"/>
          <w:w w:val="115"/>
          <w:sz w:val="19"/>
        </w:rPr>
        <w:t> </w:t>
      </w:r>
      <w:r>
        <w:rPr>
          <w:color w:val="383636"/>
          <w:w w:val="115"/>
          <w:sz w:val="19"/>
        </w:rPr>
        <w:t>political</w:t>
      </w:r>
      <w:r>
        <w:rPr>
          <w:color w:val="383636"/>
          <w:spacing w:val="1"/>
          <w:w w:val="115"/>
          <w:sz w:val="19"/>
        </w:rPr>
        <w:t> </w:t>
      </w:r>
      <w:r>
        <w:rPr>
          <w:color w:val="383636"/>
          <w:w w:val="120"/>
          <w:sz w:val="19"/>
        </w:rPr>
        <w:t>world,</w:t>
      </w:r>
      <w:r>
        <w:rPr>
          <w:color w:val="383636"/>
          <w:spacing w:val="-17"/>
          <w:w w:val="120"/>
          <w:sz w:val="19"/>
        </w:rPr>
        <w:t> </w:t>
      </w:r>
      <w:r>
        <w:rPr>
          <w:color w:val="383636"/>
          <w:w w:val="120"/>
          <w:sz w:val="19"/>
        </w:rPr>
        <w:t>or</w:t>
      </w:r>
      <w:r>
        <w:rPr>
          <w:color w:val="383636"/>
          <w:spacing w:val="9"/>
          <w:w w:val="120"/>
          <w:sz w:val="19"/>
        </w:rPr>
        <w:t> </w:t>
      </w:r>
      <w:r>
        <w:rPr>
          <w:color w:val="383636"/>
          <w:w w:val="120"/>
          <w:sz w:val="19"/>
        </w:rPr>
        <w:t>for</w:t>
      </w:r>
      <w:r>
        <w:rPr>
          <w:color w:val="383636"/>
          <w:spacing w:val="2"/>
          <w:w w:val="120"/>
          <w:sz w:val="19"/>
        </w:rPr>
        <w:t> </w:t>
      </w:r>
      <w:r>
        <w:rPr>
          <w:color w:val="383636"/>
          <w:w w:val="120"/>
          <w:sz w:val="19"/>
        </w:rPr>
        <w:t>public</w:t>
      </w:r>
      <w:r>
        <w:rPr>
          <w:color w:val="383636"/>
          <w:spacing w:val="-24"/>
          <w:w w:val="120"/>
          <w:sz w:val="19"/>
        </w:rPr>
        <w:t> </w:t>
      </w:r>
      <w:r>
        <w:rPr>
          <w:color w:val="383636"/>
          <w:w w:val="120"/>
          <w:sz w:val="19"/>
        </w:rPr>
        <w:t>and</w:t>
      </w:r>
      <w:r>
        <w:rPr>
          <w:color w:val="383636"/>
          <w:spacing w:val="15"/>
          <w:w w:val="120"/>
          <w:sz w:val="19"/>
        </w:rPr>
        <w:t> </w:t>
      </w:r>
      <w:r>
        <w:rPr>
          <w:color w:val="383636"/>
          <w:w w:val="120"/>
          <w:sz w:val="19"/>
        </w:rPr>
        <w:t>other</w:t>
      </w:r>
      <w:r>
        <w:rPr>
          <w:color w:val="383636"/>
          <w:spacing w:val="-10"/>
          <w:w w:val="120"/>
          <w:sz w:val="19"/>
        </w:rPr>
        <w:t> </w:t>
      </w:r>
      <w:r>
        <w:rPr>
          <w:color w:val="383636"/>
          <w:w w:val="120"/>
          <w:sz w:val="19"/>
        </w:rPr>
        <w:t>buildings</w:t>
      </w:r>
      <w:r>
        <w:rPr>
          <w:color w:val="383636"/>
          <w:spacing w:val="-5"/>
          <w:w w:val="120"/>
          <w:sz w:val="19"/>
        </w:rPr>
        <w:t> </w:t>
      </w:r>
      <w:r>
        <w:rPr>
          <w:color w:val="383636"/>
          <w:w w:val="120"/>
          <w:sz w:val="19"/>
        </w:rPr>
        <w:t>that</w:t>
      </w:r>
      <w:r>
        <w:rPr>
          <w:color w:val="383636"/>
          <w:spacing w:val="6"/>
          <w:w w:val="120"/>
          <w:sz w:val="19"/>
        </w:rPr>
        <w:t> </w:t>
      </w:r>
      <w:r>
        <w:rPr>
          <w:color w:val="383636"/>
          <w:w w:val="120"/>
          <w:sz w:val="19"/>
        </w:rPr>
        <w:t>require</w:t>
      </w:r>
      <w:r>
        <w:rPr>
          <w:color w:val="383636"/>
          <w:spacing w:val="-3"/>
          <w:w w:val="120"/>
          <w:sz w:val="19"/>
        </w:rPr>
        <w:t> </w:t>
      </w:r>
      <w:r>
        <w:rPr>
          <w:color w:val="383636"/>
          <w:w w:val="120"/>
          <w:sz w:val="19"/>
        </w:rPr>
        <w:t>peace</w:t>
      </w:r>
      <w:r>
        <w:rPr>
          <w:color w:val="383636"/>
          <w:spacing w:val="-23"/>
          <w:w w:val="120"/>
          <w:sz w:val="19"/>
        </w:rPr>
        <w:t> </w:t>
      </w:r>
      <w:r>
        <w:rPr>
          <w:color w:val="383636"/>
          <w:w w:val="120"/>
          <w:sz w:val="19"/>
        </w:rPr>
        <w:t>and</w:t>
      </w:r>
      <w:r>
        <w:rPr>
          <w:color w:val="383636"/>
          <w:spacing w:val="38"/>
          <w:w w:val="120"/>
          <w:sz w:val="19"/>
        </w:rPr>
        <w:t> </w:t>
      </w:r>
      <w:r>
        <w:rPr>
          <w:color w:val="383636"/>
          <w:w w:val="120"/>
          <w:sz w:val="19"/>
        </w:rPr>
        <w:t>quiet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line="228" w:lineRule="auto" w:before="0"/>
        <w:ind w:left="151" w:right="116" w:firstLine="340"/>
        <w:jc w:val="both"/>
        <w:rPr>
          <w:sz w:val="18"/>
        </w:rPr>
      </w:pPr>
      <w:r>
        <w:rPr>
          <w:color w:val="4D4D4D"/>
          <w:w w:val="110"/>
          <w:sz w:val="11"/>
        </w:rPr>
        <w:t>1°</w:t>
      </w:r>
      <w:r>
        <w:rPr>
          <w:rFonts w:ascii="Arial" w:hAnsi="Arial"/>
          <w:i/>
          <w:color w:val="383636"/>
          <w:w w:val="110"/>
          <w:sz w:val="16"/>
        </w:rPr>
        <w:t>Morning Edition: In </w:t>
      </w:r>
      <w:r>
        <w:rPr>
          <w:rFonts w:ascii="Arial" w:hAnsi="Arial"/>
          <w:i/>
          <w:color w:val="4D4D4D"/>
          <w:w w:val="110"/>
          <w:sz w:val="16"/>
        </w:rPr>
        <w:t>Gaming, </w:t>
      </w:r>
      <w:r>
        <w:rPr>
          <w:rFonts w:ascii="Arial" w:hAnsi="Arial"/>
          <w:i/>
          <w:color w:val="383636"/>
          <w:w w:val="110"/>
          <w:sz w:val="16"/>
        </w:rPr>
        <w:t>a </w:t>
      </w:r>
      <w:r>
        <w:rPr>
          <w:color w:val="383636"/>
          <w:w w:val="130"/>
          <w:sz w:val="18"/>
        </w:rPr>
        <w:t>Shi </w:t>
      </w:r>
      <w:r>
        <w:rPr>
          <w:rFonts w:ascii="Arial" w:hAnsi="Arial"/>
          <w:i/>
          <w:color w:val="383636"/>
          <w:w w:val="110"/>
          <w:sz w:val="16"/>
        </w:rPr>
        <w:t>from E11emles to Emotio11s </w:t>
      </w:r>
      <w:r>
        <w:rPr>
          <w:color w:val="4D4D4D"/>
          <w:w w:val="110"/>
          <w:sz w:val="18"/>
        </w:rPr>
        <w:t>(Natl. </w:t>
      </w:r>
      <w:r>
        <w:rPr>
          <w:color w:val="383636"/>
          <w:w w:val="110"/>
          <w:sz w:val="18"/>
        </w:rPr>
        <w:t>Pub. Radio broad­</w:t>
      </w:r>
      <w:r>
        <w:rPr>
          <w:color w:val="383636"/>
          <w:spacing w:val="1"/>
          <w:w w:val="110"/>
          <w:sz w:val="18"/>
        </w:rPr>
        <w:t> </w:t>
      </w:r>
      <w:r>
        <w:rPr>
          <w:color w:val="4D4D4D"/>
          <w:w w:val="110"/>
          <w:sz w:val="18"/>
        </w:rPr>
        <w:t>cast </w:t>
      </w:r>
      <w:r>
        <w:rPr>
          <w:color w:val="383636"/>
          <w:w w:val="110"/>
          <w:sz w:val="18"/>
        </w:rPr>
        <w:t>Jan.</w:t>
      </w:r>
      <w:r>
        <w:rPr>
          <w:color w:val="383636"/>
          <w:spacing w:val="1"/>
          <w:w w:val="110"/>
          <w:sz w:val="18"/>
        </w:rPr>
        <w:t> </w:t>
      </w:r>
      <w:r>
        <w:rPr>
          <w:color w:val="4D4D4D"/>
          <w:w w:val="110"/>
          <w:sz w:val="18"/>
        </w:rPr>
        <w:t>7,</w:t>
      </w:r>
      <w:r>
        <w:rPr>
          <w:color w:val="4D4D4D"/>
          <w:spacing w:val="1"/>
          <w:w w:val="110"/>
          <w:sz w:val="18"/>
        </w:rPr>
        <w:t> </w:t>
      </w:r>
      <w:r>
        <w:rPr>
          <w:color w:val="383636"/>
          <w:w w:val="110"/>
          <w:sz w:val="18"/>
        </w:rPr>
        <w:t>2014)</w:t>
      </w:r>
      <w:r>
        <w:rPr>
          <w:color w:val="383636"/>
          <w:spacing w:val="1"/>
          <w:w w:val="110"/>
          <w:sz w:val="18"/>
        </w:rPr>
        <w:t> </w:t>
      </w:r>
      <w:r>
        <w:rPr>
          <w:color w:val="4D4D4D"/>
          <w:w w:val="110"/>
          <w:sz w:val="18"/>
        </w:rPr>
        <w:t>(transcript</w:t>
      </w:r>
      <w:r>
        <w:rPr>
          <w:color w:val="4D4D4D"/>
          <w:spacing w:val="1"/>
          <w:w w:val="110"/>
          <w:sz w:val="18"/>
        </w:rPr>
        <w:t> </w:t>
      </w:r>
      <w:r>
        <w:rPr>
          <w:color w:val="383636"/>
          <w:w w:val="110"/>
          <w:sz w:val="18"/>
        </w:rPr>
        <w:t>available</w:t>
      </w:r>
      <w:r>
        <w:rPr>
          <w:color w:val="383636"/>
          <w:spacing w:val="1"/>
          <w:w w:val="110"/>
          <w:sz w:val="18"/>
        </w:rPr>
        <w:t> </w:t>
      </w:r>
      <w:r>
        <w:rPr>
          <w:color w:val="383636"/>
          <w:w w:val="110"/>
          <w:sz w:val="18"/>
        </w:rPr>
        <w:t>at</w:t>
      </w:r>
      <w:r>
        <w:rPr>
          <w:color w:val="383636"/>
          <w:spacing w:val="1"/>
          <w:w w:val="110"/>
          <w:sz w:val="18"/>
        </w:rPr>
        <w:t> </w:t>
      </w:r>
      <w:hyperlink r:id="rId159">
        <w:r>
          <w:rPr>
            <w:color w:val="383636"/>
            <w:w w:val="110"/>
            <w:sz w:val="18"/>
          </w:rPr>
          <w:t>http://www.npr.org/templates/transcrlpt/transcript.</w:t>
        </w:r>
      </w:hyperlink>
      <w:r>
        <w:rPr>
          <w:color w:val="383636"/>
          <w:spacing w:val="1"/>
          <w:w w:val="110"/>
          <w:sz w:val="18"/>
        </w:rPr>
        <w:t> </w:t>
      </w:r>
      <w:r>
        <w:rPr>
          <w:color w:val="383636"/>
          <w:w w:val="110"/>
          <w:sz w:val="18"/>
        </w:rPr>
        <w:t>php?storyld=255247261)</w:t>
      </w:r>
      <w:r>
        <w:rPr>
          <w:color w:val="383636"/>
          <w:spacing w:val="-22"/>
          <w:w w:val="110"/>
          <w:sz w:val="18"/>
        </w:rPr>
        <w:t> </w:t>
      </w:r>
      <w:r>
        <w:rPr>
          <w:color w:val="383636"/>
          <w:w w:val="110"/>
          <w:sz w:val="18"/>
        </w:rPr>
        <w:t>(last</w:t>
      </w:r>
      <w:r>
        <w:rPr>
          <w:color w:val="383636"/>
          <w:spacing w:val="-7"/>
          <w:w w:val="110"/>
          <w:sz w:val="18"/>
        </w:rPr>
        <w:t> </w:t>
      </w:r>
      <w:r>
        <w:rPr>
          <w:color w:val="383636"/>
          <w:w w:val="110"/>
          <w:sz w:val="18"/>
        </w:rPr>
        <w:t>visited</w:t>
      </w:r>
      <w:r>
        <w:rPr>
          <w:color w:val="383636"/>
          <w:spacing w:val="3"/>
          <w:w w:val="110"/>
          <w:sz w:val="18"/>
        </w:rPr>
        <w:t> </w:t>
      </w:r>
      <w:r>
        <w:rPr>
          <w:color w:val="383636"/>
          <w:w w:val="110"/>
          <w:sz w:val="18"/>
        </w:rPr>
        <w:t>on</w:t>
      </w:r>
      <w:r>
        <w:rPr>
          <w:color w:val="383636"/>
          <w:spacing w:val="-1"/>
          <w:w w:val="110"/>
          <w:sz w:val="18"/>
        </w:rPr>
        <w:t> </w:t>
      </w:r>
      <w:r>
        <w:rPr>
          <w:color w:val="383636"/>
          <w:w w:val="110"/>
          <w:sz w:val="18"/>
        </w:rPr>
        <w:t>Jan.</w:t>
      </w:r>
      <w:r>
        <w:rPr>
          <w:color w:val="383636"/>
          <w:spacing w:val="-24"/>
          <w:w w:val="110"/>
          <w:sz w:val="18"/>
        </w:rPr>
        <w:t> </w:t>
      </w:r>
      <w:r>
        <w:rPr>
          <w:color w:val="383636"/>
          <w:w w:val="110"/>
          <w:sz w:val="18"/>
        </w:rPr>
        <w:t>11,</w:t>
      </w:r>
      <w:r>
        <w:rPr>
          <w:color w:val="383636"/>
          <w:spacing w:val="-31"/>
          <w:w w:val="110"/>
          <w:sz w:val="18"/>
        </w:rPr>
        <w:t> </w:t>
      </w:r>
      <w:r>
        <w:rPr>
          <w:color w:val="383636"/>
          <w:w w:val="110"/>
          <w:sz w:val="18"/>
        </w:rPr>
        <w:t>2014).</w:t>
      </w:r>
    </w:p>
    <w:p>
      <w:pPr>
        <w:spacing w:after="0" w:line="228" w:lineRule="auto"/>
        <w:jc w:val="both"/>
        <w:rPr>
          <w:sz w:val="18"/>
        </w:rPr>
        <w:sectPr>
          <w:pgSz w:w="9570" w:h="13770"/>
          <w:pgMar w:header="617" w:footer="0" w:top="1200" w:bottom="280" w:left="440" w:right="1160"/>
        </w:sectPr>
      </w:pPr>
    </w:p>
    <w:p>
      <w:pPr>
        <w:spacing w:line="254" w:lineRule="auto" w:before="82"/>
        <w:ind w:left="1335" w:right="809" w:firstLine="12"/>
        <w:jc w:val="both"/>
        <w:rPr>
          <w:b/>
          <w:sz w:val="19"/>
        </w:rPr>
      </w:pPr>
      <w:r>
        <w:rPr>
          <w:b/>
          <w:color w:val="363436"/>
          <w:w w:val="105"/>
          <w:sz w:val="19"/>
        </w:rPr>
        <w:t>to</w:t>
      </w:r>
      <w:r>
        <w:rPr>
          <w:b/>
          <w:color w:val="363436"/>
          <w:spacing w:val="1"/>
          <w:w w:val="105"/>
          <w:sz w:val="19"/>
        </w:rPr>
        <w:t> </w:t>
      </w:r>
      <w:r>
        <w:rPr>
          <w:b/>
          <w:color w:val="363436"/>
          <w:w w:val="105"/>
          <w:sz w:val="19"/>
        </w:rPr>
        <w:t>carry out</w:t>
      </w:r>
      <w:r>
        <w:rPr>
          <w:b/>
          <w:color w:val="363436"/>
          <w:spacing w:val="1"/>
          <w:w w:val="105"/>
          <w:sz w:val="19"/>
        </w:rPr>
        <w:t> </w:t>
      </w:r>
      <w:r>
        <w:rPr>
          <w:b/>
          <w:color w:val="363436"/>
          <w:w w:val="105"/>
          <w:sz w:val="19"/>
        </w:rPr>
        <w:t>their functions, such as courts, libraries, schools, and</w:t>
      </w:r>
      <w:r>
        <w:rPr>
          <w:b/>
          <w:color w:val="363436"/>
          <w:spacing w:val="1"/>
          <w:w w:val="105"/>
          <w:sz w:val="19"/>
        </w:rPr>
        <w:t> </w:t>
      </w:r>
      <w:r>
        <w:rPr>
          <w:b/>
          <w:color w:val="363436"/>
          <w:w w:val="105"/>
          <w:sz w:val="19"/>
        </w:rPr>
        <w:t>hospitals.</w:t>
      </w:r>
    </w:p>
    <w:p>
      <w:pPr>
        <w:spacing w:line="232" w:lineRule="auto" w:before="103"/>
        <w:ind w:left="962" w:right="427" w:hanging="3"/>
        <w:jc w:val="both"/>
        <w:rPr>
          <w:b/>
          <w:sz w:val="21"/>
        </w:rPr>
      </w:pPr>
      <w:r>
        <w:rPr>
          <w:b/>
          <w:color w:val="363436"/>
          <w:sz w:val="19"/>
        </w:rPr>
        <w:t>kl_. </w:t>
      </w:r>
      <w:r>
        <w:rPr>
          <w:b/>
          <w:color w:val="363436"/>
          <w:sz w:val="21"/>
        </w:rPr>
        <w:t>at</w:t>
      </w:r>
      <w:r>
        <w:rPr>
          <w:b/>
          <w:color w:val="363436"/>
          <w:spacing w:val="1"/>
          <w:sz w:val="21"/>
        </w:rPr>
        <w:t> </w:t>
      </w:r>
      <w:r>
        <w:rPr>
          <w:b/>
          <w:color w:val="363436"/>
          <w:sz w:val="21"/>
        </w:rPr>
        <w:t>118</w:t>
      </w:r>
      <w:r>
        <w:rPr>
          <w:b/>
          <w:color w:val="363436"/>
          <w:spacing w:val="1"/>
          <w:sz w:val="21"/>
        </w:rPr>
        <w:t> </w:t>
      </w:r>
      <w:r>
        <w:rPr>
          <w:b/>
          <w:color w:val="363436"/>
          <w:sz w:val="21"/>
        </w:rPr>
        <w:t>(Black, </w:t>
      </w:r>
      <w:r>
        <w:rPr>
          <w:color w:val="363436"/>
          <w:sz w:val="23"/>
        </w:rPr>
        <w:t>J., </w:t>
      </w:r>
      <w:r>
        <w:rPr>
          <w:b/>
          <w:color w:val="363436"/>
          <w:sz w:val="21"/>
        </w:rPr>
        <w:t>concurring). Therefore, </w:t>
      </w:r>
      <w:r>
        <w:rPr>
          <w:color w:val="363436"/>
          <w:sz w:val="19"/>
        </w:rPr>
        <w:t>it</w:t>
      </w:r>
      <w:r>
        <w:rPr>
          <w:color w:val="363436"/>
          <w:spacing w:val="1"/>
          <w:sz w:val="19"/>
        </w:rPr>
        <w:t> </w:t>
      </w:r>
      <w:r>
        <w:rPr>
          <w:b/>
          <w:color w:val="363436"/>
          <w:sz w:val="21"/>
        </w:rPr>
        <w:t>is possible for munici­</w:t>
      </w:r>
      <w:r>
        <w:rPr>
          <w:b/>
          <w:color w:val="363436"/>
          <w:spacing w:val="1"/>
          <w:sz w:val="21"/>
        </w:rPr>
        <w:t> </w:t>
      </w:r>
      <w:r>
        <w:rPr>
          <w:b/>
          <w:color w:val="363436"/>
          <w:w w:val="105"/>
          <w:sz w:val="21"/>
        </w:rPr>
        <w:t>palities to protect both the Constitution and the peace and quiet of</w:t>
      </w:r>
      <w:r>
        <w:rPr>
          <w:b/>
          <w:color w:val="363436"/>
          <w:spacing w:val="1"/>
          <w:w w:val="105"/>
          <w:sz w:val="21"/>
        </w:rPr>
        <w:t> </w:t>
      </w:r>
      <w:r>
        <w:rPr>
          <w:b/>
          <w:color w:val="363436"/>
          <w:w w:val="105"/>
          <w:sz w:val="21"/>
        </w:rPr>
        <w:t>their</w:t>
      </w:r>
      <w:r>
        <w:rPr>
          <w:b/>
          <w:color w:val="363436"/>
          <w:spacing w:val="-10"/>
          <w:w w:val="105"/>
          <w:sz w:val="21"/>
        </w:rPr>
        <w:t> </w:t>
      </w:r>
      <w:r>
        <w:rPr>
          <w:b/>
          <w:color w:val="363436"/>
          <w:w w:val="105"/>
          <w:sz w:val="21"/>
        </w:rPr>
        <w:t>communities</w:t>
      </w:r>
      <w:r>
        <w:rPr>
          <w:b/>
          <w:color w:val="363436"/>
          <w:spacing w:val="3"/>
          <w:w w:val="105"/>
          <w:sz w:val="21"/>
        </w:rPr>
        <w:t> </w:t>
      </w:r>
      <w:r>
        <w:rPr>
          <w:b/>
          <w:color w:val="363436"/>
          <w:w w:val="105"/>
          <w:sz w:val="21"/>
        </w:rPr>
        <w:t>with</w:t>
      </w:r>
      <w:r>
        <w:rPr>
          <w:b/>
          <w:color w:val="363436"/>
          <w:spacing w:val="-25"/>
          <w:w w:val="105"/>
          <w:sz w:val="21"/>
        </w:rPr>
        <w:t> </w:t>
      </w:r>
      <w:r>
        <w:rPr>
          <w:b/>
          <w:color w:val="363436"/>
          <w:w w:val="105"/>
          <w:sz w:val="21"/>
        </w:rPr>
        <w:t>appropriate</w:t>
      </w:r>
      <w:r>
        <w:rPr>
          <w:b/>
          <w:color w:val="363436"/>
          <w:spacing w:val="11"/>
          <w:w w:val="105"/>
          <w:sz w:val="21"/>
        </w:rPr>
        <w:t> </w:t>
      </w:r>
      <w:r>
        <w:rPr>
          <w:b/>
          <w:color w:val="363436"/>
          <w:w w:val="105"/>
          <w:sz w:val="21"/>
        </w:rPr>
        <w:t>legislation</w:t>
      </w:r>
      <w:r>
        <w:rPr>
          <w:b/>
          <w:color w:val="5B595B"/>
          <w:w w:val="105"/>
          <w:sz w:val="21"/>
        </w:rPr>
        <w:t>.</w:t>
      </w:r>
    </w:p>
    <w:p>
      <w:pPr>
        <w:pStyle w:val="BodyText"/>
        <w:spacing w:line="235" w:lineRule="auto" w:before="139"/>
        <w:ind w:left="579" w:right="83" w:firstLine="19"/>
        <w:jc w:val="both"/>
      </w:pPr>
      <w:r>
        <w:rPr>
          <w:color w:val="363436"/>
          <w:w w:val="105"/>
        </w:rPr>
        <w:t>Use an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NPR Introduction to help the reader to get the most out of lengthy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quotations. The focused introduction will encourage the reader to read the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10"/>
        </w:rPr>
        <w:t>quote bydirecting his or her attention and making </w:t>
      </w:r>
      <w:r>
        <w:rPr>
          <w:color w:val="363436"/>
          <w:w w:val="110"/>
          <w:sz w:val="21"/>
        </w:rPr>
        <w:t>it </w:t>
      </w:r>
      <w:r>
        <w:rPr>
          <w:color w:val="363436"/>
          <w:w w:val="110"/>
        </w:rPr>
        <w:t>easier to understand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the point of the quotation. Even if the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reader does skip the quote, the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writer has still articulated the point of the quotation in a place that the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05"/>
        </w:rPr>
        <w:t>reader</w:t>
      </w:r>
      <w:r>
        <w:rPr>
          <w:color w:val="363436"/>
          <w:spacing w:val="-7"/>
          <w:w w:val="105"/>
        </w:rPr>
        <w:t> </w:t>
      </w:r>
      <w:r>
        <w:rPr>
          <w:color w:val="363436"/>
          <w:w w:val="105"/>
        </w:rPr>
        <w:t>will</w:t>
      </w:r>
      <w:r>
        <w:rPr>
          <w:color w:val="363436"/>
          <w:spacing w:val="-10"/>
          <w:w w:val="105"/>
        </w:rPr>
        <w:t> </w:t>
      </w:r>
      <w:r>
        <w:rPr>
          <w:color w:val="363436"/>
          <w:w w:val="105"/>
        </w:rPr>
        <w:t>see</w:t>
      </w:r>
      <w:r>
        <w:rPr>
          <w:color w:val="363436"/>
          <w:spacing w:val="-8"/>
          <w:w w:val="105"/>
        </w:rPr>
        <w:t> </w:t>
      </w:r>
      <w:r>
        <w:rPr>
          <w:color w:val="363436"/>
          <w:w w:val="105"/>
        </w:rPr>
        <w:t>it</w:t>
      </w:r>
      <w:r>
        <w:rPr>
          <w:color w:val="363436"/>
          <w:spacing w:val="10"/>
          <w:w w:val="105"/>
        </w:rPr>
        <w:t> </w:t>
      </w:r>
      <w:r>
        <w:rPr>
          <w:color w:val="363436"/>
          <w:w w:val="105"/>
        </w:rPr>
        <w:t>and</w:t>
      </w:r>
      <w:r>
        <w:rPr>
          <w:color w:val="363436"/>
          <w:spacing w:val="28"/>
          <w:w w:val="105"/>
        </w:rPr>
        <w:t> </w:t>
      </w:r>
      <w:r>
        <w:rPr>
          <w:color w:val="363436"/>
          <w:w w:val="105"/>
        </w:rPr>
        <w:t>in</w:t>
      </w:r>
      <w:r>
        <w:rPr>
          <w:color w:val="363436"/>
          <w:spacing w:val="24"/>
          <w:w w:val="105"/>
        </w:rPr>
        <w:t> </w:t>
      </w:r>
      <w:r>
        <w:rPr>
          <w:color w:val="363436"/>
          <w:w w:val="105"/>
        </w:rPr>
        <w:t>a</w:t>
      </w:r>
      <w:r>
        <w:rPr>
          <w:color w:val="363436"/>
          <w:spacing w:val="17"/>
          <w:w w:val="105"/>
        </w:rPr>
        <w:t> </w:t>
      </w:r>
      <w:r>
        <w:rPr>
          <w:color w:val="363436"/>
          <w:w w:val="105"/>
        </w:rPr>
        <w:t>way</w:t>
      </w:r>
      <w:r>
        <w:rPr>
          <w:color w:val="363436"/>
          <w:spacing w:val="-4"/>
          <w:w w:val="105"/>
        </w:rPr>
        <w:t> </w:t>
      </w:r>
      <w:r>
        <w:rPr>
          <w:color w:val="363436"/>
          <w:w w:val="105"/>
        </w:rPr>
        <w:t>that</w:t>
      </w:r>
      <w:r>
        <w:rPr>
          <w:color w:val="363436"/>
          <w:spacing w:val="-1"/>
          <w:w w:val="105"/>
        </w:rPr>
        <w:t> </w:t>
      </w:r>
      <w:r>
        <w:rPr>
          <w:color w:val="363436"/>
          <w:w w:val="105"/>
        </w:rPr>
        <w:t>the</w:t>
      </w:r>
      <w:r>
        <w:rPr>
          <w:color w:val="363436"/>
          <w:spacing w:val="-3"/>
          <w:w w:val="105"/>
        </w:rPr>
        <w:t> </w:t>
      </w:r>
      <w:r>
        <w:rPr>
          <w:color w:val="363436"/>
          <w:w w:val="105"/>
        </w:rPr>
        <w:t>reader</w:t>
      </w:r>
      <w:r>
        <w:rPr>
          <w:color w:val="363436"/>
          <w:spacing w:val="-3"/>
          <w:w w:val="105"/>
        </w:rPr>
        <w:t> </w:t>
      </w:r>
      <w:r>
        <w:rPr>
          <w:color w:val="363436"/>
          <w:w w:val="105"/>
        </w:rPr>
        <w:t>can</w:t>
      </w:r>
      <w:r>
        <w:rPr>
          <w:color w:val="363436"/>
          <w:spacing w:val="42"/>
          <w:w w:val="105"/>
        </w:rPr>
        <w:t> </w:t>
      </w:r>
      <w:r>
        <w:rPr>
          <w:color w:val="363436"/>
          <w:w w:val="105"/>
        </w:rPr>
        <w:t>understand.</w:t>
      </w:r>
    </w:p>
    <w:p>
      <w:pPr>
        <w:pStyle w:val="BodyText"/>
        <w:rPr>
          <w:sz w:val="26"/>
        </w:rPr>
      </w:pPr>
    </w:p>
    <w:p>
      <w:pPr>
        <w:spacing w:before="206"/>
        <w:ind w:left="1153" w:right="0" w:firstLine="0"/>
        <w:jc w:val="left"/>
        <w:rPr>
          <w:sz w:val="35"/>
        </w:rPr>
      </w:pPr>
      <w:r>
        <w:rPr>
          <w:color w:val="363436"/>
          <w:w w:val="110"/>
          <w:sz w:val="35"/>
        </w:rPr>
        <w:t>6.3</w:t>
      </w:r>
    </w:p>
    <w:p>
      <w:pPr>
        <w:spacing w:line="309" w:lineRule="auto" w:before="47"/>
        <w:ind w:left="1140" w:right="306" w:firstLine="17"/>
        <w:jc w:val="left"/>
        <w:rPr>
          <w:rFonts w:ascii="Arial"/>
          <w:sz w:val="26"/>
        </w:rPr>
      </w:pPr>
      <w:r>
        <w:rPr>
          <w:rFonts w:ascii="Arial"/>
          <w:color w:val="363436"/>
          <w:w w:val="105"/>
          <w:sz w:val="26"/>
        </w:rPr>
        <w:t>USING</w:t>
      </w:r>
      <w:r>
        <w:rPr>
          <w:rFonts w:ascii="Arial"/>
          <w:color w:val="363436"/>
          <w:spacing w:val="-4"/>
          <w:w w:val="105"/>
          <w:sz w:val="26"/>
        </w:rPr>
        <w:t> </w:t>
      </w:r>
      <w:r>
        <w:rPr>
          <w:rFonts w:ascii="Arial"/>
          <w:color w:val="363436"/>
          <w:w w:val="105"/>
          <w:sz w:val="26"/>
        </w:rPr>
        <w:t>LANGUAGE</w:t>
      </w:r>
      <w:r>
        <w:rPr>
          <w:rFonts w:ascii="Arial"/>
          <w:color w:val="363436"/>
          <w:spacing w:val="-1"/>
          <w:w w:val="105"/>
          <w:sz w:val="26"/>
        </w:rPr>
        <w:t> </w:t>
      </w:r>
      <w:r>
        <w:rPr>
          <w:rFonts w:ascii="Arial"/>
          <w:color w:val="363436"/>
          <w:w w:val="105"/>
          <w:sz w:val="26"/>
        </w:rPr>
        <w:t>PRECISELY</w:t>
      </w:r>
      <w:r>
        <w:rPr>
          <w:rFonts w:ascii="Arial"/>
          <w:color w:val="363436"/>
          <w:spacing w:val="10"/>
          <w:w w:val="105"/>
          <w:sz w:val="26"/>
        </w:rPr>
        <w:t> </w:t>
      </w:r>
      <w:r>
        <w:rPr>
          <w:rFonts w:ascii="Arial"/>
          <w:color w:val="363436"/>
          <w:w w:val="105"/>
          <w:sz w:val="26"/>
        </w:rPr>
        <w:t>WHEN</w:t>
      </w:r>
      <w:r>
        <w:rPr>
          <w:rFonts w:ascii="Arial"/>
          <w:color w:val="363436"/>
          <w:spacing w:val="1"/>
          <w:w w:val="105"/>
          <w:sz w:val="26"/>
        </w:rPr>
        <w:t> </w:t>
      </w:r>
      <w:r>
        <w:rPr>
          <w:rFonts w:ascii="Arial"/>
          <w:color w:val="363436"/>
          <w:w w:val="105"/>
          <w:sz w:val="26"/>
        </w:rPr>
        <w:t>ANALOGIZING</w:t>
      </w:r>
      <w:r>
        <w:rPr>
          <w:rFonts w:ascii="Arial"/>
          <w:color w:val="363436"/>
          <w:spacing w:val="10"/>
          <w:w w:val="105"/>
          <w:sz w:val="26"/>
        </w:rPr>
        <w:t> </w:t>
      </w:r>
      <w:r>
        <w:rPr>
          <w:rFonts w:ascii="Arial"/>
          <w:color w:val="363436"/>
          <w:w w:val="105"/>
          <w:sz w:val="26"/>
        </w:rPr>
        <w:t>AND</w:t>
      </w:r>
      <w:r>
        <w:rPr>
          <w:rFonts w:ascii="Arial"/>
          <w:color w:val="363436"/>
          <w:spacing w:val="13"/>
          <w:w w:val="105"/>
          <w:sz w:val="26"/>
        </w:rPr>
        <w:t> </w:t>
      </w:r>
      <w:r>
        <w:rPr>
          <w:rFonts w:ascii="Arial"/>
          <w:color w:val="363436"/>
          <w:w w:val="105"/>
          <w:sz w:val="26"/>
        </w:rPr>
        <w:t>DISTINGUISHING</w:t>
      </w:r>
      <w:r>
        <w:rPr>
          <w:rFonts w:ascii="Arial"/>
          <w:color w:val="363436"/>
          <w:spacing w:val="-9"/>
          <w:w w:val="105"/>
          <w:sz w:val="26"/>
        </w:rPr>
        <w:t> </w:t>
      </w:r>
      <w:r>
        <w:rPr>
          <w:rFonts w:ascii="Arial"/>
          <w:color w:val="363436"/>
          <w:w w:val="105"/>
          <w:sz w:val="26"/>
        </w:rPr>
        <w:t>CASES</w:t>
      </w:r>
    </w:p>
    <w:p>
      <w:pPr>
        <w:pStyle w:val="BodyText"/>
        <w:spacing w:line="232" w:lineRule="auto" w:before="188"/>
        <w:ind w:left="505" w:right="122" w:firstLine="603"/>
        <w:jc w:val="both"/>
      </w:pPr>
      <w:r>
        <w:rPr>
          <w:color w:val="363436"/>
          <w:w w:val="110"/>
        </w:rPr>
        <w:t>Analogizing and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distinguishing relevant authority cases can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be a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vital part of the application sections of your argument. By showing the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reader how a case is like or unlike a relevant case, a writer can convince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the reader to apply the rule in a way that will achieve the desired result.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Note that your application section should not </w:t>
      </w:r>
      <w:r>
        <w:rPr>
          <w:i/>
          <w:color w:val="363436"/>
          <w:w w:val="110"/>
        </w:rPr>
        <w:t>begin </w:t>
      </w:r>
      <w:r>
        <w:rPr>
          <w:color w:val="363436"/>
          <w:w w:val="110"/>
        </w:rPr>
        <w:t>with the analogy or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distinction. Instead, begin with an explicit assertion about how the law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05"/>
        </w:rPr>
        <w:t>applies to the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facts (generally, "phrase-that-pays equals or does not equal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case facts"). Use the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relevant cases to support that assertion. Do not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begin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10"/>
        </w:rPr>
        <w:t>your</w:t>
      </w:r>
      <w:r>
        <w:rPr>
          <w:color w:val="363436"/>
          <w:spacing w:val="-15"/>
          <w:w w:val="110"/>
        </w:rPr>
        <w:t> </w:t>
      </w:r>
      <w:r>
        <w:rPr>
          <w:color w:val="363436"/>
          <w:w w:val="110"/>
        </w:rPr>
        <w:t>application</w:t>
      </w:r>
      <w:r>
        <w:rPr>
          <w:color w:val="363436"/>
          <w:spacing w:val="21"/>
          <w:w w:val="110"/>
        </w:rPr>
        <w:t> </w:t>
      </w:r>
      <w:r>
        <w:rPr>
          <w:color w:val="363436"/>
          <w:w w:val="110"/>
        </w:rPr>
        <w:t>this</w:t>
      </w:r>
      <w:r>
        <w:rPr>
          <w:color w:val="363436"/>
          <w:spacing w:val="-9"/>
          <w:w w:val="110"/>
        </w:rPr>
        <w:t> </w:t>
      </w:r>
      <w:r>
        <w:rPr>
          <w:color w:val="363436"/>
          <w:w w:val="110"/>
        </w:rPr>
        <w:t>way:</w:t>
      </w:r>
    </w:p>
    <w:p>
      <w:pPr>
        <w:spacing w:before="64"/>
        <w:ind w:left="471" w:right="0" w:firstLine="0"/>
        <w:jc w:val="both"/>
        <w:rPr>
          <w:rFonts w:ascii="Arial"/>
          <w:sz w:val="14"/>
        </w:rPr>
      </w:pPr>
      <w:r>
        <w:rPr>
          <w:rFonts w:ascii="Arial"/>
          <w:i/>
          <w:color w:val="363436"/>
          <w:sz w:val="29"/>
          <w:u w:val="thick" w:color="363436"/>
        </w:rPr>
        <w:t>-'\J</w:t>
      </w:r>
      <w:r>
        <w:rPr>
          <w:rFonts w:ascii="Arial"/>
          <w:i/>
          <w:color w:val="363436"/>
          <w:spacing w:val="4"/>
          <w:sz w:val="29"/>
        </w:rPr>
        <w:t> </w:t>
      </w:r>
      <w:r>
        <w:rPr>
          <w:rFonts w:ascii="Arial"/>
          <w:color w:val="363436"/>
          <w:sz w:val="14"/>
          <w:u w:val="thick" w:color="363436"/>
        </w:rPr>
        <w:t>BAD</w:t>
      </w:r>
      <w:r>
        <w:rPr>
          <w:rFonts w:ascii="Arial"/>
          <w:color w:val="363436"/>
          <w:spacing w:val="11"/>
          <w:sz w:val="14"/>
          <w:u w:val="thick" w:color="363436"/>
        </w:rPr>
        <w:t> </w:t>
      </w:r>
      <w:r>
        <w:rPr>
          <w:rFonts w:ascii="Arial"/>
          <w:color w:val="363436"/>
          <w:sz w:val="14"/>
          <w:u w:val="thick" w:color="363436"/>
        </w:rPr>
        <w:t>EXAMPLE</w:t>
      </w:r>
      <w:r>
        <w:rPr>
          <w:rFonts w:ascii="Arial"/>
          <w:color w:val="363436"/>
          <w:spacing w:val="10"/>
          <w:sz w:val="14"/>
          <w:u w:val="thick" w:color="363436"/>
        </w:rPr>
        <w:t> </w:t>
      </w:r>
      <w:r>
        <w:rPr>
          <w:rFonts w:ascii="Arial"/>
          <w:color w:val="363436"/>
          <w:sz w:val="14"/>
          <w:u w:val="thick" w:color="363436"/>
        </w:rPr>
        <w:t>OF</w:t>
      </w:r>
      <w:r>
        <w:rPr>
          <w:rFonts w:ascii="Arial"/>
          <w:color w:val="363436"/>
          <w:spacing w:val="7"/>
          <w:sz w:val="14"/>
          <w:u w:val="thick" w:color="363436"/>
        </w:rPr>
        <w:t> </w:t>
      </w:r>
      <w:r>
        <w:rPr>
          <w:rFonts w:ascii="Arial"/>
          <w:color w:val="363436"/>
          <w:sz w:val="14"/>
          <w:u w:val="thick" w:color="363436"/>
        </w:rPr>
        <w:t>BEGINNING</w:t>
      </w:r>
      <w:r>
        <w:rPr>
          <w:rFonts w:ascii="Arial"/>
          <w:color w:val="363436"/>
          <w:spacing w:val="24"/>
          <w:sz w:val="14"/>
          <w:u w:val="thick" w:color="363436"/>
        </w:rPr>
        <w:t> </w:t>
      </w:r>
      <w:r>
        <w:rPr>
          <w:rFonts w:ascii="Arial"/>
          <w:color w:val="363436"/>
          <w:sz w:val="14"/>
          <w:u w:val="thick" w:color="363436"/>
        </w:rPr>
        <w:t>OF</w:t>
      </w:r>
      <w:r>
        <w:rPr>
          <w:rFonts w:ascii="Arial"/>
          <w:color w:val="363436"/>
          <w:spacing w:val="-6"/>
          <w:sz w:val="14"/>
          <w:u w:val="thick" w:color="363436"/>
        </w:rPr>
        <w:t> </w:t>
      </w:r>
      <w:r>
        <w:rPr>
          <w:rFonts w:ascii="Arial"/>
          <w:color w:val="363436"/>
          <w:sz w:val="14"/>
          <w:u w:val="thick" w:color="363436"/>
        </w:rPr>
        <w:t>RULE</w:t>
      </w:r>
      <w:r>
        <w:rPr>
          <w:rFonts w:ascii="Arial"/>
          <w:color w:val="363436"/>
          <w:spacing w:val="9"/>
          <w:sz w:val="14"/>
          <w:u w:val="thick" w:color="363436"/>
        </w:rPr>
        <w:t> </w:t>
      </w:r>
      <w:r>
        <w:rPr>
          <w:rFonts w:ascii="Arial"/>
          <w:color w:val="363436"/>
          <w:sz w:val="14"/>
          <w:u w:val="thick" w:color="363436"/>
        </w:rPr>
        <w:t>APPLICATION</w:t>
      </w:r>
    </w:p>
    <w:p>
      <w:pPr>
        <w:spacing w:before="51"/>
        <w:ind w:left="843" w:right="0" w:firstLine="0"/>
        <w:jc w:val="both"/>
        <w:rPr>
          <w:sz w:val="25"/>
        </w:rPr>
      </w:pPr>
      <w:r>
        <w:rPr>
          <w:color w:val="363436"/>
          <w:w w:val="95"/>
          <w:sz w:val="25"/>
        </w:rPr>
        <w:t>This</w:t>
      </w:r>
      <w:r>
        <w:rPr>
          <w:color w:val="363436"/>
          <w:spacing w:val="-22"/>
          <w:w w:val="95"/>
          <w:sz w:val="25"/>
        </w:rPr>
        <w:t> </w:t>
      </w:r>
      <w:r>
        <w:rPr>
          <w:color w:val="363436"/>
          <w:w w:val="95"/>
          <w:sz w:val="22"/>
        </w:rPr>
        <w:t>case</w:t>
      </w:r>
      <w:r>
        <w:rPr>
          <w:color w:val="363436"/>
          <w:spacing w:val="-5"/>
          <w:w w:val="95"/>
          <w:sz w:val="22"/>
        </w:rPr>
        <w:t> </w:t>
      </w:r>
      <w:r>
        <w:rPr>
          <w:rFonts w:ascii="Arial"/>
          <w:color w:val="363436"/>
          <w:w w:val="95"/>
          <w:sz w:val="19"/>
        </w:rPr>
        <w:t>is</w:t>
      </w:r>
      <w:r>
        <w:rPr>
          <w:rFonts w:ascii="Arial"/>
          <w:color w:val="363436"/>
          <w:spacing w:val="29"/>
          <w:w w:val="95"/>
          <w:sz w:val="19"/>
        </w:rPr>
        <w:t> </w:t>
      </w:r>
      <w:r>
        <w:rPr>
          <w:color w:val="363436"/>
          <w:w w:val="95"/>
          <w:sz w:val="22"/>
        </w:rPr>
        <w:t>like</w:t>
      </w:r>
      <w:r>
        <w:rPr>
          <w:color w:val="363436"/>
          <w:spacing w:val="5"/>
          <w:w w:val="95"/>
          <w:sz w:val="22"/>
        </w:rPr>
        <w:t> </w:t>
      </w:r>
      <w:r>
        <w:rPr>
          <w:color w:val="363436"/>
          <w:w w:val="95"/>
          <w:sz w:val="25"/>
          <w:u w:val="thick" w:color="363436"/>
        </w:rPr>
        <w:t>McGuffin.</w:t>
      </w:r>
    </w:p>
    <w:p>
      <w:pPr>
        <w:pStyle w:val="BodyText"/>
        <w:spacing w:before="126"/>
        <w:ind w:left="497"/>
        <w:jc w:val="both"/>
      </w:pPr>
      <w:r>
        <w:rPr>
          <w:color w:val="363436"/>
          <w:w w:val="105"/>
        </w:rPr>
        <w:t>Instead,</w:t>
      </w:r>
      <w:r>
        <w:rPr>
          <w:color w:val="363436"/>
          <w:spacing w:val="11"/>
          <w:w w:val="105"/>
        </w:rPr>
        <w:t> </w:t>
      </w:r>
      <w:r>
        <w:rPr>
          <w:color w:val="363436"/>
          <w:w w:val="105"/>
        </w:rPr>
        <w:t>begin</w:t>
      </w:r>
      <w:r>
        <w:rPr>
          <w:color w:val="363436"/>
          <w:spacing w:val="22"/>
          <w:w w:val="105"/>
        </w:rPr>
        <w:t> </w:t>
      </w:r>
      <w:r>
        <w:rPr>
          <w:color w:val="363436"/>
          <w:w w:val="105"/>
        </w:rPr>
        <w:t>by</w:t>
      </w:r>
      <w:r>
        <w:rPr>
          <w:color w:val="363436"/>
          <w:spacing w:val="-2"/>
          <w:w w:val="105"/>
        </w:rPr>
        <w:t> </w:t>
      </w:r>
      <w:r>
        <w:rPr>
          <w:color w:val="363436"/>
          <w:w w:val="105"/>
        </w:rPr>
        <w:t>telling</w:t>
      </w:r>
      <w:r>
        <w:rPr>
          <w:color w:val="363436"/>
          <w:spacing w:val="-1"/>
          <w:w w:val="105"/>
        </w:rPr>
        <w:t> </w:t>
      </w:r>
      <w:r>
        <w:rPr>
          <w:color w:val="363436"/>
          <w:w w:val="105"/>
        </w:rPr>
        <w:t>the</w:t>
      </w:r>
      <w:r>
        <w:rPr>
          <w:color w:val="363436"/>
          <w:spacing w:val="28"/>
          <w:w w:val="105"/>
        </w:rPr>
        <w:t> </w:t>
      </w:r>
      <w:r>
        <w:rPr>
          <w:color w:val="363436"/>
          <w:w w:val="105"/>
        </w:rPr>
        <w:t>reader</w:t>
      </w:r>
      <w:r>
        <w:rPr>
          <w:color w:val="363436"/>
          <w:spacing w:val="9"/>
          <w:w w:val="105"/>
        </w:rPr>
        <w:t> </w:t>
      </w:r>
      <w:r>
        <w:rPr>
          <w:color w:val="363436"/>
          <w:w w:val="105"/>
        </w:rPr>
        <w:t>how</w:t>
      </w:r>
      <w:r>
        <w:rPr>
          <w:color w:val="363436"/>
          <w:spacing w:val="29"/>
          <w:w w:val="105"/>
        </w:rPr>
        <w:t> </w:t>
      </w:r>
      <w:r>
        <w:rPr>
          <w:color w:val="363436"/>
          <w:w w:val="105"/>
        </w:rPr>
        <w:t>the</w:t>
      </w:r>
      <w:r>
        <w:rPr>
          <w:color w:val="363436"/>
          <w:spacing w:val="34"/>
          <w:w w:val="105"/>
        </w:rPr>
        <w:t> </w:t>
      </w:r>
      <w:r>
        <w:rPr>
          <w:color w:val="363436"/>
          <w:w w:val="105"/>
        </w:rPr>
        <w:t>law</w:t>
      </w:r>
      <w:r>
        <w:rPr>
          <w:color w:val="363436"/>
          <w:spacing w:val="8"/>
          <w:w w:val="105"/>
        </w:rPr>
        <w:t> </w:t>
      </w:r>
      <w:r>
        <w:rPr>
          <w:color w:val="363436"/>
          <w:w w:val="105"/>
        </w:rPr>
        <w:t>applies</w:t>
      </w:r>
      <w:r>
        <w:rPr>
          <w:color w:val="363436"/>
          <w:spacing w:val="14"/>
          <w:w w:val="105"/>
        </w:rPr>
        <w:t> </w:t>
      </w:r>
      <w:r>
        <w:rPr>
          <w:color w:val="363436"/>
          <w:w w:val="105"/>
        </w:rPr>
        <w:t>to</w:t>
      </w:r>
      <w:r>
        <w:rPr>
          <w:color w:val="363436"/>
          <w:spacing w:val="30"/>
          <w:w w:val="105"/>
        </w:rPr>
        <w:t> </w:t>
      </w:r>
      <w:r>
        <w:rPr>
          <w:color w:val="363436"/>
          <w:w w:val="105"/>
        </w:rPr>
        <w:t>the</w:t>
      </w:r>
      <w:r>
        <w:rPr>
          <w:color w:val="363436"/>
          <w:spacing w:val="40"/>
          <w:w w:val="105"/>
        </w:rPr>
        <w:t> </w:t>
      </w:r>
      <w:r>
        <w:rPr>
          <w:color w:val="363436"/>
          <w:w w:val="105"/>
        </w:rPr>
        <w:t>facts:</w:t>
      </w:r>
    </w:p>
    <w:p>
      <w:pPr>
        <w:pStyle w:val="BodyText"/>
        <w:spacing w:before="3"/>
        <w:rPr>
          <w:sz w:val="15"/>
        </w:rPr>
      </w:pPr>
    </w:p>
    <w:p>
      <w:pPr>
        <w:tabs>
          <w:tab w:pos="738" w:val="left" w:leader="none"/>
        </w:tabs>
        <w:spacing w:before="0"/>
        <w:ind w:left="386" w:right="0" w:firstLine="0"/>
        <w:jc w:val="left"/>
        <w:rPr>
          <w:rFonts w:ascii="Arial"/>
          <w:sz w:val="14"/>
        </w:rPr>
      </w:pPr>
      <w:r>
        <w:rPr>
          <w:rFonts w:ascii="Arial"/>
          <w:color w:val="363436"/>
          <w:w w:val="100"/>
          <w:sz w:val="14"/>
          <w:u w:val="thick" w:color="69696B"/>
        </w:rPr>
        <w:t> </w:t>
      </w:r>
      <w:r>
        <w:rPr>
          <w:rFonts w:ascii="Arial"/>
          <w:color w:val="363436"/>
          <w:sz w:val="14"/>
          <w:u w:val="thick" w:color="69696B"/>
        </w:rPr>
        <w:tab/>
      </w:r>
      <w:r>
        <w:rPr>
          <w:rFonts w:ascii="Arial"/>
          <w:color w:val="363436"/>
          <w:sz w:val="14"/>
        </w:rPr>
        <w:t>  </w:t>
      </w:r>
      <w:r>
        <w:rPr>
          <w:rFonts w:ascii="Arial"/>
          <w:color w:val="363436"/>
          <w:spacing w:val="17"/>
          <w:sz w:val="14"/>
        </w:rPr>
        <w:t> </w:t>
      </w:r>
      <w:r>
        <w:rPr>
          <w:rFonts w:ascii="Arial"/>
          <w:color w:val="363436"/>
          <w:w w:val="105"/>
          <w:sz w:val="14"/>
          <w:u w:val="thick" w:color="363436"/>
        </w:rPr>
        <w:t>GOOD</w:t>
      </w:r>
      <w:r>
        <w:rPr>
          <w:rFonts w:ascii="Arial"/>
          <w:color w:val="363436"/>
          <w:spacing w:val="-7"/>
          <w:w w:val="105"/>
          <w:sz w:val="14"/>
          <w:u w:val="thick" w:color="363436"/>
        </w:rPr>
        <w:t> </w:t>
      </w:r>
      <w:r>
        <w:rPr>
          <w:rFonts w:ascii="Arial"/>
          <w:color w:val="363436"/>
          <w:w w:val="105"/>
          <w:sz w:val="14"/>
          <w:u w:val="thick" w:color="363436"/>
        </w:rPr>
        <w:t>EXAMPLE</w:t>
      </w:r>
      <w:r>
        <w:rPr>
          <w:rFonts w:ascii="Arial"/>
          <w:color w:val="363436"/>
          <w:spacing w:val="-7"/>
          <w:w w:val="105"/>
          <w:sz w:val="14"/>
          <w:u w:val="thick" w:color="363436"/>
        </w:rPr>
        <w:t> </w:t>
      </w:r>
      <w:r>
        <w:rPr>
          <w:rFonts w:ascii="Arial"/>
          <w:color w:val="363436"/>
          <w:w w:val="105"/>
          <w:sz w:val="14"/>
          <w:u w:val="thick" w:color="363436"/>
        </w:rPr>
        <w:t>OF</w:t>
      </w:r>
      <w:r>
        <w:rPr>
          <w:rFonts w:ascii="Arial"/>
          <w:color w:val="363436"/>
          <w:spacing w:val="14"/>
          <w:w w:val="105"/>
          <w:sz w:val="14"/>
          <w:u w:val="thick" w:color="363436"/>
        </w:rPr>
        <w:t> </w:t>
      </w:r>
      <w:r>
        <w:rPr>
          <w:rFonts w:ascii="Arial"/>
          <w:color w:val="363436"/>
          <w:w w:val="105"/>
          <w:sz w:val="14"/>
          <w:u w:val="thick" w:color="363436"/>
        </w:rPr>
        <w:t>BEGINNING</w:t>
      </w:r>
      <w:r>
        <w:rPr>
          <w:rFonts w:ascii="Arial"/>
          <w:color w:val="363436"/>
          <w:spacing w:val="2"/>
          <w:w w:val="105"/>
          <w:sz w:val="14"/>
          <w:u w:val="thick" w:color="363436"/>
        </w:rPr>
        <w:t> </w:t>
      </w:r>
      <w:r>
        <w:rPr>
          <w:rFonts w:ascii="Arial"/>
          <w:color w:val="363436"/>
          <w:w w:val="105"/>
          <w:sz w:val="14"/>
          <w:u w:val="thick" w:color="363436"/>
        </w:rPr>
        <w:t>OF</w:t>
      </w:r>
      <w:r>
        <w:rPr>
          <w:rFonts w:ascii="Arial"/>
          <w:color w:val="363436"/>
          <w:spacing w:val="1"/>
          <w:w w:val="105"/>
          <w:sz w:val="14"/>
          <w:u w:val="thick" w:color="363436"/>
        </w:rPr>
        <w:t> </w:t>
      </w:r>
      <w:r>
        <w:rPr>
          <w:rFonts w:ascii="Arial"/>
          <w:color w:val="363436"/>
          <w:w w:val="105"/>
          <w:sz w:val="14"/>
          <w:u w:val="thick" w:color="363436"/>
        </w:rPr>
        <w:t>RULE</w:t>
      </w:r>
      <w:r>
        <w:rPr>
          <w:rFonts w:ascii="Arial"/>
          <w:color w:val="363436"/>
          <w:spacing w:val="-7"/>
          <w:w w:val="105"/>
          <w:sz w:val="14"/>
          <w:u w:val="thick" w:color="363436"/>
        </w:rPr>
        <w:t> </w:t>
      </w:r>
      <w:r>
        <w:rPr>
          <w:rFonts w:ascii="Arial"/>
          <w:color w:val="363436"/>
          <w:w w:val="105"/>
          <w:sz w:val="14"/>
          <w:u w:val="thick" w:color="363436"/>
        </w:rPr>
        <w:t>APPLICATION</w:t>
      </w:r>
    </w:p>
    <w:p>
      <w:pPr>
        <w:spacing w:line="218" w:lineRule="exact" w:before="121"/>
        <w:ind w:left="847" w:right="0" w:firstLine="0"/>
        <w:jc w:val="left"/>
        <w:rPr>
          <w:sz w:val="21"/>
        </w:rPr>
      </w:pPr>
      <w:r>
        <w:rPr>
          <w:color w:val="363436"/>
          <w:w w:val="115"/>
          <w:sz w:val="21"/>
        </w:rPr>
        <w:t>Mr.</w:t>
      </w:r>
      <w:r>
        <w:rPr>
          <w:color w:val="363436"/>
          <w:spacing w:val="-5"/>
          <w:w w:val="115"/>
          <w:sz w:val="21"/>
        </w:rPr>
        <w:t> </w:t>
      </w:r>
      <w:r>
        <w:rPr>
          <w:color w:val="363436"/>
          <w:w w:val="115"/>
          <w:sz w:val="21"/>
        </w:rPr>
        <w:t>Pillion</w:t>
      </w:r>
      <w:r>
        <w:rPr>
          <w:color w:val="363436"/>
          <w:spacing w:val="6"/>
          <w:w w:val="115"/>
          <w:sz w:val="21"/>
        </w:rPr>
        <w:t> </w:t>
      </w:r>
      <w:r>
        <w:rPr>
          <w:color w:val="363436"/>
          <w:w w:val="115"/>
          <w:sz w:val="21"/>
        </w:rPr>
        <w:t>had</w:t>
      </w:r>
      <w:r>
        <w:rPr>
          <w:color w:val="363436"/>
          <w:spacing w:val="16"/>
          <w:w w:val="115"/>
          <w:sz w:val="21"/>
        </w:rPr>
        <w:t> </w:t>
      </w:r>
      <w:r>
        <w:rPr>
          <w:color w:val="363436"/>
          <w:w w:val="115"/>
          <w:sz w:val="21"/>
        </w:rPr>
        <w:t>a</w:t>
      </w:r>
      <w:r>
        <w:rPr>
          <w:color w:val="363436"/>
          <w:spacing w:val="23"/>
          <w:w w:val="115"/>
          <w:sz w:val="21"/>
        </w:rPr>
        <w:t> </w:t>
      </w:r>
      <w:r>
        <w:rPr>
          <w:color w:val="363436"/>
          <w:w w:val="115"/>
          <w:sz w:val="21"/>
        </w:rPr>
        <w:t>reasonable</w:t>
      </w:r>
      <w:r>
        <w:rPr>
          <w:color w:val="363436"/>
          <w:spacing w:val="4"/>
          <w:w w:val="115"/>
          <w:sz w:val="21"/>
        </w:rPr>
        <w:t> </w:t>
      </w:r>
      <w:r>
        <w:rPr>
          <w:color w:val="363436"/>
          <w:w w:val="115"/>
          <w:sz w:val="21"/>
        </w:rPr>
        <w:t>expectation</w:t>
      </w:r>
      <w:r>
        <w:rPr>
          <w:color w:val="363436"/>
          <w:spacing w:val="10"/>
          <w:w w:val="115"/>
          <w:sz w:val="21"/>
        </w:rPr>
        <w:t> </w:t>
      </w:r>
      <w:r>
        <w:rPr>
          <w:color w:val="363436"/>
          <w:w w:val="115"/>
          <w:sz w:val="21"/>
        </w:rPr>
        <w:t>of</w:t>
      </w:r>
      <w:r>
        <w:rPr>
          <w:color w:val="363436"/>
          <w:spacing w:val="5"/>
          <w:w w:val="115"/>
          <w:sz w:val="21"/>
        </w:rPr>
        <w:t> </w:t>
      </w:r>
      <w:r>
        <w:rPr>
          <w:color w:val="363436"/>
          <w:w w:val="115"/>
          <w:sz w:val="21"/>
        </w:rPr>
        <w:t>privacy.</w:t>
      </w:r>
      <w:r>
        <w:rPr>
          <w:color w:val="363436"/>
          <w:spacing w:val="-2"/>
          <w:w w:val="115"/>
          <w:sz w:val="21"/>
        </w:rPr>
        <w:t> </w:t>
      </w:r>
      <w:r>
        <w:rPr>
          <w:color w:val="363436"/>
          <w:w w:val="115"/>
          <w:sz w:val="21"/>
        </w:rPr>
        <w:t>Like</w:t>
      </w:r>
      <w:r>
        <w:rPr>
          <w:color w:val="363436"/>
          <w:spacing w:val="-3"/>
          <w:w w:val="115"/>
          <w:sz w:val="21"/>
        </w:rPr>
        <w:t> </w:t>
      </w:r>
      <w:r>
        <w:rPr>
          <w:color w:val="363436"/>
          <w:w w:val="115"/>
          <w:sz w:val="21"/>
        </w:rPr>
        <w:t>the</w:t>
      </w:r>
      <w:r>
        <w:rPr>
          <w:color w:val="363436"/>
          <w:spacing w:val="32"/>
          <w:w w:val="115"/>
          <w:sz w:val="21"/>
        </w:rPr>
        <w:t> </w:t>
      </w:r>
      <w:r>
        <w:rPr>
          <w:color w:val="363436"/>
          <w:w w:val="115"/>
          <w:sz w:val="21"/>
        </w:rPr>
        <w:t>defen­</w:t>
      </w:r>
    </w:p>
    <w:p>
      <w:pPr>
        <w:spacing w:line="264" w:lineRule="exact" w:before="0"/>
        <w:ind w:left="844" w:right="0" w:firstLine="0"/>
        <w:jc w:val="left"/>
        <w:rPr>
          <w:sz w:val="25"/>
        </w:rPr>
      </w:pPr>
      <w:r>
        <w:rPr>
          <w:color w:val="363436"/>
          <w:spacing w:val="-1"/>
          <w:w w:val="115"/>
          <w:sz w:val="19"/>
        </w:rPr>
        <w:t>dant</w:t>
      </w:r>
      <w:r>
        <w:rPr>
          <w:color w:val="363436"/>
          <w:spacing w:val="-13"/>
          <w:w w:val="115"/>
          <w:sz w:val="19"/>
        </w:rPr>
        <w:t> </w:t>
      </w:r>
      <w:r>
        <w:rPr>
          <w:color w:val="363436"/>
          <w:spacing w:val="-1"/>
          <w:w w:val="115"/>
          <w:sz w:val="19"/>
        </w:rPr>
        <w:t>in</w:t>
      </w:r>
      <w:r>
        <w:rPr>
          <w:color w:val="363436"/>
          <w:spacing w:val="-10"/>
          <w:w w:val="115"/>
          <w:sz w:val="19"/>
        </w:rPr>
        <w:t> </w:t>
      </w:r>
      <w:r>
        <w:rPr>
          <w:color w:val="363436"/>
          <w:w w:val="115"/>
          <w:sz w:val="25"/>
          <w:u w:val="thick" w:color="363436"/>
        </w:rPr>
        <w:t>McGuffin•...</w:t>
      </w:r>
    </w:p>
    <w:p>
      <w:pPr>
        <w:pStyle w:val="BodyText"/>
        <w:spacing w:line="258" w:lineRule="exact" w:before="117"/>
        <w:ind w:left="472"/>
        <w:rPr>
          <w:i/>
          <w:sz w:val="24"/>
        </w:rPr>
      </w:pPr>
      <w:r>
        <w:rPr>
          <w:color w:val="363436"/>
          <w:w w:val="105"/>
        </w:rPr>
        <w:t>Your</w:t>
      </w:r>
      <w:r>
        <w:rPr>
          <w:color w:val="363436"/>
          <w:spacing w:val="3"/>
          <w:w w:val="105"/>
        </w:rPr>
        <w:t> </w:t>
      </w:r>
      <w:r>
        <w:rPr>
          <w:color w:val="363436"/>
          <w:w w:val="105"/>
        </w:rPr>
        <w:t>case</w:t>
      </w:r>
      <w:r>
        <w:rPr>
          <w:color w:val="363436"/>
          <w:spacing w:val="4"/>
          <w:w w:val="105"/>
        </w:rPr>
        <w:t> </w:t>
      </w:r>
      <w:r>
        <w:rPr>
          <w:color w:val="363436"/>
          <w:w w:val="105"/>
        </w:rPr>
        <w:t>analogies</w:t>
      </w:r>
      <w:r>
        <w:rPr>
          <w:color w:val="363436"/>
          <w:spacing w:val="3"/>
          <w:w w:val="105"/>
        </w:rPr>
        <w:t> </w:t>
      </w:r>
      <w:r>
        <w:rPr>
          <w:color w:val="363436"/>
          <w:w w:val="105"/>
        </w:rPr>
        <w:t>and</w:t>
      </w:r>
      <w:r>
        <w:rPr>
          <w:color w:val="363436"/>
          <w:spacing w:val="36"/>
          <w:w w:val="105"/>
        </w:rPr>
        <w:t> </w:t>
      </w:r>
      <w:r>
        <w:rPr>
          <w:color w:val="363436"/>
          <w:w w:val="105"/>
        </w:rPr>
        <w:t>distinctions</w:t>
      </w:r>
      <w:r>
        <w:rPr>
          <w:color w:val="363436"/>
          <w:spacing w:val="13"/>
          <w:w w:val="105"/>
        </w:rPr>
        <w:t> </w:t>
      </w:r>
      <w:r>
        <w:rPr>
          <w:color w:val="363436"/>
          <w:w w:val="105"/>
        </w:rPr>
        <w:t>will</w:t>
      </w:r>
      <w:r>
        <w:rPr>
          <w:color w:val="363436"/>
          <w:spacing w:val="2"/>
          <w:w w:val="105"/>
        </w:rPr>
        <w:t> </w:t>
      </w:r>
      <w:r>
        <w:rPr>
          <w:color w:val="363436"/>
          <w:w w:val="105"/>
        </w:rPr>
        <w:t>be</w:t>
      </w:r>
      <w:r>
        <w:rPr>
          <w:color w:val="363436"/>
          <w:spacing w:val="22"/>
          <w:w w:val="105"/>
        </w:rPr>
        <w:t> </w:t>
      </w:r>
      <w:r>
        <w:rPr>
          <w:color w:val="363436"/>
          <w:w w:val="105"/>
        </w:rPr>
        <w:t>most</w:t>
      </w:r>
      <w:r>
        <w:rPr>
          <w:color w:val="363436"/>
          <w:spacing w:val="2"/>
          <w:w w:val="105"/>
        </w:rPr>
        <w:t> </w:t>
      </w:r>
      <w:r>
        <w:rPr>
          <w:color w:val="363436"/>
          <w:w w:val="105"/>
        </w:rPr>
        <w:t>effective</w:t>
      </w:r>
      <w:r>
        <w:rPr>
          <w:color w:val="363436"/>
          <w:spacing w:val="15"/>
          <w:w w:val="105"/>
        </w:rPr>
        <w:t> </w:t>
      </w:r>
      <w:r>
        <w:rPr>
          <w:color w:val="363436"/>
          <w:w w:val="105"/>
        </w:rPr>
        <w:t>if</w:t>
      </w:r>
      <w:r>
        <w:rPr>
          <w:color w:val="363436"/>
          <w:spacing w:val="17"/>
          <w:w w:val="105"/>
        </w:rPr>
        <w:t> </w:t>
      </w:r>
      <w:r>
        <w:rPr>
          <w:color w:val="363436"/>
          <w:w w:val="105"/>
        </w:rPr>
        <w:t>they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are</w:t>
      </w:r>
      <w:r>
        <w:rPr>
          <w:color w:val="363436"/>
          <w:spacing w:val="-3"/>
          <w:w w:val="105"/>
        </w:rPr>
        <w:t> </w:t>
      </w:r>
      <w:r>
        <w:rPr>
          <w:i/>
          <w:color w:val="363436"/>
          <w:w w:val="105"/>
          <w:sz w:val="24"/>
        </w:rPr>
        <w:t>pre­</w:t>
      </w:r>
    </w:p>
    <w:p>
      <w:pPr>
        <w:pStyle w:val="BodyText"/>
        <w:spacing w:line="270" w:lineRule="exact"/>
        <w:ind w:left="448"/>
      </w:pPr>
      <w:r>
        <w:rPr>
          <w:i/>
          <w:color w:val="363436"/>
          <w:spacing w:val="-1"/>
          <w:w w:val="105"/>
          <w:sz w:val="25"/>
        </w:rPr>
        <w:t>cise.</w:t>
      </w:r>
      <w:r>
        <w:rPr>
          <w:i/>
          <w:color w:val="363436"/>
          <w:spacing w:val="-20"/>
          <w:w w:val="105"/>
          <w:sz w:val="25"/>
        </w:rPr>
        <w:t> </w:t>
      </w:r>
      <w:r>
        <w:rPr>
          <w:color w:val="363436"/>
          <w:spacing w:val="-1"/>
          <w:w w:val="105"/>
        </w:rPr>
        <w:t>Do</w:t>
      </w:r>
      <w:r>
        <w:rPr>
          <w:color w:val="363436"/>
          <w:spacing w:val="31"/>
          <w:w w:val="105"/>
        </w:rPr>
        <w:t> </w:t>
      </w:r>
      <w:r>
        <w:rPr>
          <w:color w:val="363436"/>
          <w:spacing w:val="-1"/>
          <w:w w:val="105"/>
        </w:rPr>
        <w:t>not</w:t>
      </w:r>
      <w:r>
        <w:rPr>
          <w:color w:val="363436"/>
          <w:spacing w:val="9"/>
          <w:w w:val="105"/>
        </w:rPr>
        <w:t> </w:t>
      </w:r>
      <w:r>
        <w:rPr>
          <w:color w:val="363436"/>
          <w:spacing w:val="-1"/>
          <w:w w:val="105"/>
        </w:rPr>
        <w:t>analogize</w:t>
      </w:r>
      <w:r>
        <w:rPr>
          <w:color w:val="363436"/>
          <w:spacing w:val="-13"/>
          <w:w w:val="105"/>
        </w:rPr>
        <w:t> </w:t>
      </w:r>
      <w:r>
        <w:rPr>
          <w:color w:val="363436"/>
          <w:spacing w:val="-1"/>
          <w:w w:val="105"/>
        </w:rPr>
        <w:t>a</w:t>
      </w:r>
      <w:r>
        <w:rPr>
          <w:color w:val="363436"/>
          <w:spacing w:val="2"/>
          <w:w w:val="105"/>
        </w:rPr>
        <w:t> </w:t>
      </w:r>
      <w:r>
        <w:rPr>
          <w:color w:val="363436"/>
          <w:spacing w:val="-1"/>
          <w:w w:val="105"/>
        </w:rPr>
        <w:t>specific</w:t>
      </w:r>
      <w:r>
        <w:rPr>
          <w:color w:val="363436"/>
          <w:spacing w:val="-14"/>
          <w:w w:val="105"/>
        </w:rPr>
        <w:t> </w:t>
      </w:r>
      <w:r>
        <w:rPr>
          <w:color w:val="363436"/>
          <w:w w:val="105"/>
          <w:sz w:val="22"/>
        </w:rPr>
        <w:t>fact</w:t>
      </w:r>
      <w:r>
        <w:rPr>
          <w:color w:val="363436"/>
          <w:spacing w:val="-5"/>
          <w:w w:val="105"/>
          <w:sz w:val="22"/>
        </w:rPr>
        <w:t> </w:t>
      </w:r>
      <w:r>
        <w:rPr>
          <w:color w:val="363436"/>
          <w:w w:val="105"/>
        </w:rPr>
        <w:t>to a</w:t>
      </w:r>
      <w:r>
        <w:rPr>
          <w:color w:val="363436"/>
          <w:spacing w:val="-7"/>
          <w:w w:val="105"/>
        </w:rPr>
        <w:t> </w:t>
      </w:r>
      <w:r>
        <w:rPr>
          <w:color w:val="363436"/>
          <w:w w:val="105"/>
        </w:rPr>
        <w:t>whole</w:t>
      </w:r>
      <w:r>
        <w:rPr>
          <w:color w:val="363436"/>
          <w:spacing w:val="-18"/>
          <w:w w:val="105"/>
        </w:rPr>
        <w:t> </w:t>
      </w:r>
      <w:r>
        <w:rPr>
          <w:color w:val="363436"/>
          <w:w w:val="105"/>
        </w:rPr>
        <w:t>case:</w:t>
      </w:r>
    </w:p>
    <w:p>
      <w:pPr>
        <w:spacing w:before="50"/>
        <w:ind w:left="397" w:right="0" w:firstLine="0"/>
        <w:jc w:val="left"/>
        <w:rPr>
          <w:rFonts w:ascii="Arial"/>
          <w:sz w:val="14"/>
        </w:rPr>
      </w:pPr>
      <w:r>
        <w:rPr>
          <w:i/>
          <w:color w:val="363436"/>
          <w:w w:val="60"/>
          <w:sz w:val="28"/>
          <w:u w:val="thick" w:color="363436"/>
        </w:rPr>
        <w:t>..:s,;f</w:t>
      </w:r>
      <w:r>
        <w:rPr>
          <w:i/>
          <w:color w:val="363436"/>
          <w:spacing w:val="17"/>
          <w:sz w:val="28"/>
        </w:rPr>
        <w:t> </w:t>
      </w:r>
      <w:r>
        <w:rPr>
          <w:rFonts w:ascii="Arial"/>
          <w:color w:val="363436"/>
          <w:w w:val="60"/>
          <w:sz w:val="14"/>
          <w:u w:val="thick" w:color="363436"/>
        </w:rPr>
        <w:t>BAD</w:t>
      </w:r>
      <w:r>
        <w:rPr>
          <w:rFonts w:ascii="Arial"/>
          <w:color w:val="363436"/>
          <w:spacing w:val="9"/>
          <w:sz w:val="14"/>
          <w:u w:val="thick" w:color="363436"/>
        </w:rPr>
        <w:t>  </w:t>
      </w:r>
      <w:r>
        <w:rPr>
          <w:rFonts w:ascii="Arial"/>
          <w:color w:val="363436"/>
          <w:spacing w:val="9"/>
          <w:sz w:val="14"/>
        </w:rPr>
        <w:t> </w:t>
      </w:r>
      <w:r>
        <w:rPr>
          <w:rFonts w:ascii="Arial"/>
          <w:color w:val="363436"/>
          <w:spacing w:val="10"/>
          <w:sz w:val="14"/>
        </w:rPr>
        <w:t> </w:t>
      </w:r>
      <w:r>
        <w:rPr>
          <w:rFonts w:ascii="Arial"/>
          <w:color w:val="363436"/>
          <w:sz w:val="14"/>
          <w:u w:val="thick" w:color="363436"/>
        </w:rPr>
        <w:t>EXAMPLE</w:t>
      </w:r>
    </w:p>
    <w:p>
      <w:pPr>
        <w:spacing w:line="204" w:lineRule="auto" w:before="88"/>
        <w:ind w:left="795" w:right="369" w:firstLine="22"/>
        <w:jc w:val="left"/>
        <w:rPr>
          <w:sz w:val="21"/>
        </w:rPr>
      </w:pPr>
      <w:r>
        <w:rPr>
          <w:color w:val="363436"/>
          <w:w w:val="110"/>
          <w:sz w:val="21"/>
        </w:rPr>
        <w:t>Like</w:t>
      </w:r>
      <w:r>
        <w:rPr>
          <w:color w:val="363436"/>
          <w:spacing w:val="1"/>
          <w:w w:val="110"/>
          <w:sz w:val="21"/>
        </w:rPr>
        <w:t> </w:t>
      </w:r>
      <w:r>
        <w:rPr>
          <w:color w:val="363436"/>
          <w:w w:val="110"/>
          <w:sz w:val="25"/>
          <w:u w:val="thick" w:color="363436"/>
        </w:rPr>
        <w:t>Robinson.</w:t>
      </w:r>
      <w:r>
        <w:rPr>
          <w:color w:val="363436"/>
          <w:spacing w:val="1"/>
          <w:w w:val="110"/>
          <w:sz w:val="25"/>
        </w:rPr>
        <w:t> </w:t>
      </w:r>
      <w:r>
        <w:rPr>
          <w:color w:val="363436"/>
          <w:w w:val="110"/>
          <w:sz w:val="21"/>
        </w:rPr>
        <w:t>the</w:t>
      </w:r>
      <w:r>
        <w:rPr>
          <w:color w:val="363436"/>
          <w:spacing w:val="1"/>
          <w:w w:val="110"/>
          <w:sz w:val="21"/>
        </w:rPr>
        <w:t> </w:t>
      </w:r>
      <w:r>
        <w:rPr>
          <w:color w:val="363436"/>
          <w:w w:val="110"/>
          <w:sz w:val="21"/>
        </w:rPr>
        <w:t>Defendant</w:t>
      </w:r>
      <w:r>
        <w:rPr>
          <w:color w:val="363436"/>
          <w:spacing w:val="1"/>
          <w:w w:val="110"/>
          <w:sz w:val="21"/>
        </w:rPr>
        <w:t> </w:t>
      </w:r>
      <w:r>
        <w:rPr>
          <w:color w:val="363436"/>
          <w:w w:val="110"/>
          <w:sz w:val="21"/>
        </w:rPr>
        <w:t>here</w:t>
      </w:r>
      <w:r>
        <w:rPr>
          <w:color w:val="363436"/>
          <w:spacing w:val="1"/>
          <w:w w:val="110"/>
          <w:sz w:val="21"/>
        </w:rPr>
        <w:t> </w:t>
      </w:r>
      <w:r>
        <w:rPr>
          <w:color w:val="363436"/>
          <w:w w:val="110"/>
          <w:sz w:val="21"/>
        </w:rPr>
        <w:t>had</w:t>
      </w:r>
      <w:r>
        <w:rPr>
          <w:color w:val="363436"/>
          <w:spacing w:val="1"/>
          <w:w w:val="110"/>
          <w:sz w:val="21"/>
        </w:rPr>
        <w:t> </w:t>
      </w:r>
      <w:r>
        <w:rPr>
          <w:color w:val="363436"/>
          <w:w w:val="110"/>
          <w:sz w:val="21"/>
        </w:rPr>
        <w:t>committed</w:t>
      </w:r>
      <w:r>
        <w:rPr>
          <w:color w:val="363436"/>
          <w:spacing w:val="1"/>
          <w:w w:val="110"/>
          <w:sz w:val="21"/>
        </w:rPr>
        <w:t> </w:t>
      </w:r>
      <w:r>
        <w:rPr>
          <w:color w:val="363436"/>
          <w:w w:val="110"/>
          <w:sz w:val="21"/>
        </w:rPr>
        <w:t>an</w:t>
      </w:r>
      <w:r>
        <w:rPr>
          <w:color w:val="363436"/>
          <w:spacing w:val="1"/>
          <w:w w:val="110"/>
          <w:sz w:val="21"/>
        </w:rPr>
        <w:t> </w:t>
      </w:r>
      <w:r>
        <w:rPr>
          <w:color w:val="363436"/>
          <w:w w:val="110"/>
          <w:sz w:val="21"/>
        </w:rPr>
        <w:t>arrestable</w:t>
      </w:r>
      <w:r>
        <w:rPr>
          <w:color w:val="363436"/>
          <w:spacing w:val="-55"/>
          <w:w w:val="110"/>
          <w:sz w:val="21"/>
        </w:rPr>
        <w:t> </w:t>
      </w:r>
      <w:r>
        <w:rPr>
          <w:color w:val="363436"/>
          <w:w w:val="110"/>
          <w:sz w:val="21"/>
        </w:rPr>
        <w:t>offense.</w:t>
      </w:r>
    </w:p>
    <w:p>
      <w:pPr>
        <w:pStyle w:val="BodyText"/>
        <w:spacing w:line="235" w:lineRule="auto" w:before="164"/>
        <w:ind w:left="392" w:hanging="2"/>
      </w:pPr>
      <w:r>
        <w:rPr>
          <w:color w:val="363436"/>
          <w:w w:val="110"/>
        </w:rPr>
        <w:t>This comparison </w:t>
      </w:r>
      <w:r>
        <w:rPr>
          <w:color w:val="363436"/>
          <w:w w:val="110"/>
          <w:sz w:val="21"/>
        </w:rPr>
        <w:t>is </w:t>
      </w:r>
      <w:r>
        <w:rPr>
          <w:color w:val="363436"/>
          <w:w w:val="110"/>
        </w:rPr>
        <w:t>inapt because one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defendant, by definition, cannot be</w:t>
      </w:r>
      <w:r>
        <w:rPr>
          <w:color w:val="363436"/>
          <w:spacing w:val="-61"/>
          <w:w w:val="110"/>
        </w:rPr>
        <w:t> </w:t>
      </w:r>
      <w:r>
        <w:rPr>
          <w:color w:val="363436"/>
          <w:w w:val="110"/>
        </w:rPr>
        <w:t>"like"</w:t>
      </w:r>
      <w:r>
        <w:rPr>
          <w:color w:val="363436"/>
          <w:spacing w:val="-10"/>
          <w:w w:val="110"/>
        </w:rPr>
        <w:t> </w:t>
      </w:r>
      <w:r>
        <w:rPr>
          <w:color w:val="363436"/>
          <w:w w:val="110"/>
        </w:rPr>
        <w:t>a</w:t>
      </w:r>
      <w:r>
        <w:rPr>
          <w:color w:val="363436"/>
          <w:spacing w:val="16"/>
          <w:w w:val="110"/>
        </w:rPr>
        <w:t> </w:t>
      </w:r>
      <w:r>
        <w:rPr>
          <w:color w:val="363436"/>
          <w:w w:val="110"/>
        </w:rPr>
        <w:t>whole</w:t>
      </w:r>
      <w:r>
        <w:rPr>
          <w:color w:val="363436"/>
          <w:spacing w:val="2"/>
          <w:w w:val="110"/>
        </w:rPr>
        <w:t> </w:t>
      </w:r>
      <w:r>
        <w:rPr>
          <w:color w:val="363436"/>
          <w:w w:val="110"/>
        </w:rPr>
        <w:t>case</w:t>
      </w:r>
      <w:r>
        <w:rPr>
          <w:color w:val="5B595B"/>
          <w:w w:val="110"/>
        </w:rPr>
        <w:t>.</w:t>
      </w:r>
      <w:r>
        <w:rPr>
          <w:color w:val="5B595B"/>
          <w:spacing w:val="2"/>
          <w:w w:val="110"/>
        </w:rPr>
        <w:t> </w:t>
      </w:r>
      <w:r>
        <w:rPr>
          <w:color w:val="363436"/>
          <w:w w:val="110"/>
        </w:rPr>
        <w:t>Make</w:t>
      </w:r>
      <w:r>
        <w:rPr>
          <w:color w:val="363436"/>
          <w:spacing w:val="-5"/>
          <w:w w:val="110"/>
        </w:rPr>
        <w:t> </w:t>
      </w:r>
      <w:r>
        <w:rPr>
          <w:color w:val="363436"/>
          <w:w w:val="110"/>
        </w:rPr>
        <w:t>your</w:t>
      </w:r>
      <w:r>
        <w:rPr>
          <w:color w:val="363436"/>
          <w:spacing w:val="-2"/>
          <w:w w:val="110"/>
        </w:rPr>
        <w:t> </w:t>
      </w:r>
      <w:r>
        <w:rPr>
          <w:color w:val="363436"/>
          <w:w w:val="110"/>
        </w:rPr>
        <w:t>analogy</w:t>
      </w:r>
      <w:r>
        <w:rPr>
          <w:color w:val="363436"/>
          <w:spacing w:val="-2"/>
          <w:w w:val="110"/>
        </w:rPr>
        <w:t> </w:t>
      </w:r>
      <w:r>
        <w:rPr>
          <w:color w:val="363436"/>
          <w:w w:val="110"/>
        </w:rPr>
        <w:t>or</w:t>
      </w:r>
      <w:r>
        <w:rPr>
          <w:color w:val="363436"/>
          <w:spacing w:val="-1"/>
          <w:w w:val="110"/>
        </w:rPr>
        <w:t> </w:t>
      </w:r>
      <w:r>
        <w:rPr>
          <w:color w:val="363436"/>
          <w:w w:val="110"/>
        </w:rPr>
        <w:t>distinction</w:t>
      </w:r>
      <w:r>
        <w:rPr>
          <w:color w:val="363436"/>
          <w:spacing w:val="16"/>
          <w:w w:val="110"/>
        </w:rPr>
        <w:t> </w:t>
      </w:r>
      <w:r>
        <w:rPr>
          <w:color w:val="363436"/>
          <w:w w:val="110"/>
        </w:rPr>
        <w:t>specific.</w:t>
      </w:r>
      <w:r>
        <w:rPr>
          <w:color w:val="363436"/>
          <w:spacing w:val="12"/>
          <w:w w:val="110"/>
        </w:rPr>
        <w:t> </w:t>
      </w:r>
      <w:r>
        <w:rPr>
          <w:color w:val="363436"/>
          <w:w w:val="110"/>
        </w:rPr>
        <w:t>Compare</w:t>
      </w:r>
    </w:p>
    <w:p>
      <w:pPr>
        <w:spacing w:after="0" w:line="235" w:lineRule="auto"/>
        <w:sectPr>
          <w:headerReference w:type="even" r:id="rId160"/>
          <w:headerReference w:type="default" r:id="rId161"/>
          <w:pgSz w:w="9290" w:h="13800"/>
          <w:pgMar w:header="433" w:footer="0" w:top="1020" w:bottom="0" w:left="1280" w:right="0"/>
          <w:pgNumType w:start="136"/>
        </w:sectPr>
      </w:pPr>
    </w:p>
    <w:p>
      <w:pPr>
        <w:pStyle w:val="BodyText"/>
        <w:spacing w:line="230" w:lineRule="auto" w:before="89"/>
        <w:ind w:left="138" w:right="278" w:hanging="6"/>
        <w:jc w:val="both"/>
      </w:pPr>
      <w:r>
        <w:rPr>
          <w:color w:val="363436"/>
          <w:w w:val="110"/>
        </w:rPr>
        <w:t>defendants to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defendants, and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other actors and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things to their specific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counterparts in the authority case. These illustrations make the compari­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sons</w:t>
      </w:r>
      <w:r>
        <w:rPr>
          <w:color w:val="363436"/>
          <w:spacing w:val="-26"/>
          <w:w w:val="110"/>
        </w:rPr>
        <w:t> </w:t>
      </w:r>
      <w:r>
        <w:rPr>
          <w:color w:val="363436"/>
          <w:w w:val="110"/>
        </w:rPr>
        <w:t>explicit:</w:t>
      </w:r>
    </w:p>
    <w:p>
      <w:pPr>
        <w:spacing w:before="115"/>
        <w:ind w:left="118" w:right="0" w:firstLine="0"/>
        <w:jc w:val="both"/>
        <w:rPr>
          <w:sz w:val="16"/>
        </w:rPr>
      </w:pPr>
      <w:r>
        <w:rPr>
          <w:rFonts w:ascii="Arial"/>
          <w:i/>
          <w:color w:val="4B4B4D"/>
          <w:w w:val="95"/>
          <w:sz w:val="26"/>
          <w:u w:val="thick" w:color="4B4B4D"/>
        </w:rPr>
        <w:t>-D</w:t>
      </w:r>
      <w:r>
        <w:rPr>
          <w:rFonts w:ascii="Arial"/>
          <w:i/>
          <w:color w:val="4B4B4D"/>
          <w:w w:val="95"/>
          <w:sz w:val="26"/>
        </w:rPr>
        <w:t>,</w:t>
      </w:r>
      <w:r>
        <w:rPr>
          <w:color w:val="363436"/>
          <w:w w:val="95"/>
          <w:sz w:val="16"/>
          <w:u w:val="thick" w:color="363436"/>
        </w:rPr>
        <w:t>GOOD</w:t>
      </w:r>
      <w:r>
        <w:rPr>
          <w:color w:val="363436"/>
          <w:spacing w:val="10"/>
          <w:w w:val="95"/>
          <w:sz w:val="16"/>
          <w:u w:val="thick" w:color="363436"/>
        </w:rPr>
        <w:t> </w:t>
      </w:r>
      <w:r>
        <w:rPr>
          <w:color w:val="363436"/>
          <w:w w:val="95"/>
          <w:sz w:val="16"/>
          <w:u w:val="thick" w:color="363436"/>
        </w:rPr>
        <w:t>EXAMPLES</w:t>
      </w:r>
    </w:p>
    <w:p>
      <w:pPr>
        <w:tabs>
          <w:tab w:pos="6898" w:val="left" w:leader="none"/>
        </w:tabs>
        <w:spacing w:before="57"/>
        <w:ind w:left="1141" w:right="641" w:hanging="650"/>
        <w:jc w:val="left"/>
        <w:rPr>
          <w:sz w:val="21"/>
        </w:rPr>
      </w:pPr>
      <w:r>
        <w:rPr>
          <w:color w:val="363436"/>
          <w:w w:val="110"/>
          <w:sz w:val="20"/>
        </w:rPr>
        <w:t>In </w:t>
      </w:r>
      <w:r>
        <w:rPr>
          <w:color w:val="363436"/>
          <w:spacing w:val="9"/>
          <w:w w:val="110"/>
          <w:sz w:val="20"/>
        </w:rPr>
        <w:t> </w:t>
      </w:r>
      <w:r>
        <w:rPr>
          <w:b/>
          <w:color w:val="363436"/>
          <w:w w:val="110"/>
          <w:sz w:val="21"/>
        </w:rPr>
        <w:t>the </w:t>
      </w:r>
      <w:r>
        <w:rPr>
          <w:b/>
          <w:color w:val="363436"/>
          <w:spacing w:val="5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present</w:t>
      </w:r>
      <w:r>
        <w:rPr>
          <w:b/>
          <w:color w:val="363436"/>
          <w:spacing w:val="6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case,</w:t>
      </w:r>
      <w:r>
        <w:rPr>
          <w:b/>
          <w:color w:val="363436"/>
          <w:spacing w:val="29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Respondents,</w:t>
      </w:r>
      <w:r>
        <w:rPr>
          <w:b/>
          <w:color w:val="363436"/>
          <w:spacing w:val="39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like</w:t>
      </w:r>
      <w:r>
        <w:rPr>
          <w:b/>
          <w:color w:val="363436"/>
          <w:spacing w:val="11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the</w:t>
      </w:r>
      <w:r>
        <w:rPr>
          <w:b/>
          <w:color w:val="363436"/>
          <w:spacing w:val="20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defendants</w:t>
      </w:r>
      <w:r>
        <w:rPr>
          <w:b/>
          <w:color w:val="363436"/>
          <w:spacing w:val="15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in</w:t>
        <w:tab/>
        <w:t>and</w:t>
      </w:r>
      <w:r>
        <w:rPr>
          <w:b/>
          <w:color w:val="363436"/>
          <w:spacing w:val="-55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were</w:t>
      </w:r>
      <w:r>
        <w:rPr>
          <w:b/>
          <w:color w:val="363436"/>
          <w:spacing w:val="33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present</w:t>
      </w:r>
      <w:r>
        <w:rPr>
          <w:b/>
          <w:color w:val="363436"/>
          <w:spacing w:val="15"/>
          <w:w w:val="110"/>
          <w:sz w:val="21"/>
        </w:rPr>
        <w:t> </w:t>
      </w:r>
      <w:r>
        <w:rPr>
          <w:color w:val="363436"/>
          <w:w w:val="110"/>
          <w:sz w:val="21"/>
        </w:rPr>
        <w:t>on</w:t>
      </w:r>
      <w:r>
        <w:rPr>
          <w:color w:val="363436"/>
          <w:spacing w:val="33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property</w:t>
      </w:r>
      <w:r>
        <w:rPr>
          <w:b/>
          <w:color w:val="363436"/>
          <w:spacing w:val="30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for</w:t>
      </w:r>
      <w:r>
        <w:rPr>
          <w:b/>
          <w:color w:val="363436"/>
          <w:spacing w:val="38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the</w:t>
      </w:r>
      <w:r>
        <w:rPr>
          <w:b/>
          <w:color w:val="363436"/>
          <w:spacing w:val="1"/>
          <w:w w:val="110"/>
          <w:sz w:val="21"/>
        </w:rPr>
        <w:t> </w:t>
      </w:r>
      <w:r>
        <w:rPr>
          <w:color w:val="363436"/>
          <w:w w:val="110"/>
          <w:sz w:val="21"/>
        </w:rPr>
        <w:t>sole</w:t>
      </w:r>
      <w:r>
        <w:rPr>
          <w:color w:val="363436"/>
          <w:spacing w:val="35"/>
          <w:w w:val="110"/>
          <w:sz w:val="21"/>
        </w:rPr>
        <w:t> </w:t>
      </w:r>
      <w:r>
        <w:rPr>
          <w:color w:val="363436"/>
          <w:w w:val="110"/>
          <w:sz w:val="21"/>
        </w:rPr>
        <w:t>purpose</w:t>
      </w:r>
      <w:r>
        <w:rPr>
          <w:color w:val="363436"/>
          <w:spacing w:val="34"/>
          <w:w w:val="110"/>
          <w:sz w:val="21"/>
        </w:rPr>
        <w:t> </w:t>
      </w:r>
      <w:r>
        <w:rPr>
          <w:color w:val="363436"/>
          <w:w w:val="110"/>
          <w:sz w:val="21"/>
        </w:rPr>
        <w:t>of</w:t>
      </w:r>
      <w:r>
        <w:rPr>
          <w:color w:val="363436"/>
          <w:spacing w:val="29"/>
          <w:w w:val="110"/>
          <w:sz w:val="21"/>
        </w:rPr>
        <w:t> </w:t>
      </w:r>
      <w:r>
        <w:rPr>
          <w:color w:val="363436"/>
          <w:w w:val="110"/>
          <w:sz w:val="21"/>
        </w:rPr>
        <w:t>conducting</w:t>
      </w:r>
    </w:p>
    <w:p>
      <w:pPr>
        <w:spacing w:line="221" w:lineRule="exact" w:before="0"/>
        <w:ind w:left="480" w:right="0" w:firstLine="0"/>
        <w:jc w:val="left"/>
        <w:rPr>
          <w:b/>
          <w:sz w:val="21"/>
        </w:rPr>
      </w:pPr>
      <w:r>
        <w:rPr>
          <w:color w:val="363436"/>
          <w:w w:val="110"/>
          <w:sz w:val="21"/>
        </w:rPr>
        <w:t>criminal</w:t>
      </w:r>
      <w:r>
        <w:rPr>
          <w:color w:val="363436"/>
          <w:spacing w:val="7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business</w:t>
      </w:r>
      <w:r>
        <w:rPr>
          <w:b/>
          <w:color w:val="666669"/>
          <w:w w:val="110"/>
          <w:sz w:val="21"/>
        </w:rPr>
        <w:t>.</w:t>
      </w:r>
    </w:p>
    <w:p>
      <w:pPr>
        <w:tabs>
          <w:tab w:pos="3188" w:val="left" w:leader="none"/>
        </w:tabs>
        <w:spacing w:line="232" w:lineRule="auto" w:before="159"/>
        <w:ind w:left="479" w:right="626" w:firstLine="3"/>
        <w:jc w:val="both"/>
        <w:rPr>
          <w:b/>
          <w:sz w:val="21"/>
        </w:rPr>
      </w:pPr>
      <w:r>
        <w:rPr>
          <w:b/>
          <w:color w:val="363436"/>
          <w:w w:val="110"/>
          <w:sz w:val="21"/>
        </w:rPr>
        <w:t>Like</w:t>
      </w:r>
      <w:r>
        <w:rPr>
          <w:b/>
          <w:color w:val="363436"/>
          <w:spacing w:val="25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the </w:t>
      </w:r>
      <w:r>
        <w:rPr>
          <w:b/>
          <w:color w:val="363436"/>
          <w:spacing w:val="8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officer</w:t>
      </w:r>
      <w:r>
        <w:rPr>
          <w:b/>
          <w:color w:val="363436"/>
          <w:spacing w:val="21"/>
          <w:w w:val="110"/>
          <w:sz w:val="21"/>
        </w:rPr>
        <w:t> </w:t>
      </w:r>
      <w:r>
        <w:rPr>
          <w:b/>
          <w:color w:val="4B4B4D"/>
          <w:w w:val="110"/>
          <w:sz w:val="21"/>
        </w:rPr>
        <w:t>in</w:t>
        <w:tab/>
      </w:r>
      <w:r>
        <w:rPr>
          <w:b/>
          <w:color w:val="363436"/>
          <w:w w:val="110"/>
          <w:sz w:val="21"/>
        </w:rPr>
        <w:t>Officer</w:t>
      </w:r>
      <w:r>
        <w:rPr>
          <w:b/>
          <w:color w:val="363436"/>
          <w:spacing w:val="50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Thielen</w:t>
      </w:r>
      <w:r>
        <w:rPr>
          <w:b/>
          <w:color w:val="363436"/>
          <w:spacing w:val="2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observed</w:t>
      </w:r>
      <w:r>
        <w:rPr>
          <w:b/>
          <w:color w:val="363436"/>
          <w:spacing w:val="17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only</w:t>
      </w:r>
      <w:r>
        <w:rPr>
          <w:b/>
          <w:color w:val="363436"/>
          <w:spacing w:val="54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activities</w:t>
      </w:r>
      <w:r>
        <w:rPr>
          <w:b/>
          <w:color w:val="363436"/>
          <w:spacing w:val="-56"/>
          <w:w w:val="110"/>
          <w:sz w:val="21"/>
        </w:rPr>
        <w:t> </w:t>
      </w:r>
      <w:r>
        <w:rPr>
          <w:color w:val="363436"/>
          <w:w w:val="110"/>
          <w:sz w:val="21"/>
        </w:rPr>
        <w:t>that </w:t>
      </w:r>
      <w:r>
        <w:rPr>
          <w:b/>
          <w:color w:val="363436"/>
          <w:w w:val="110"/>
          <w:sz w:val="21"/>
        </w:rPr>
        <w:t>were a necessary part of  Respondents'  illegal business. </w:t>
      </w:r>
      <w:r>
        <w:rPr>
          <w:color w:val="363436"/>
          <w:w w:val="110"/>
          <w:sz w:val="21"/>
        </w:rPr>
        <w:t>During</w:t>
      </w:r>
      <w:r>
        <w:rPr>
          <w:color w:val="363436"/>
          <w:spacing w:val="1"/>
          <w:w w:val="110"/>
          <w:sz w:val="21"/>
        </w:rPr>
        <w:t> </w:t>
      </w:r>
      <w:r>
        <w:rPr>
          <w:color w:val="363436"/>
          <w:w w:val="110"/>
          <w:sz w:val="21"/>
        </w:rPr>
        <w:t>the </w:t>
      </w:r>
      <w:r>
        <w:rPr>
          <w:b/>
          <w:color w:val="363436"/>
          <w:w w:val="110"/>
          <w:sz w:val="21"/>
        </w:rPr>
        <w:t>entire </w:t>
      </w:r>
      <w:r>
        <w:rPr>
          <w:color w:val="363436"/>
          <w:w w:val="110"/>
          <w:sz w:val="21"/>
        </w:rPr>
        <w:t>time </w:t>
      </w:r>
      <w:r>
        <w:rPr>
          <w:b/>
          <w:color w:val="363436"/>
          <w:w w:val="110"/>
          <w:sz w:val="21"/>
        </w:rPr>
        <w:t>Officer Thielen watched </w:t>
      </w:r>
      <w:r>
        <w:rPr>
          <w:color w:val="363436"/>
          <w:w w:val="110"/>
          <w:sz w:val="21"/>
        </w:rPr>
        <w:t>the</w:t>
      </w:r>
      <w:r>
        <w:rPr>
          <w:color w:val="363436"/>
          <w:spacing w:val="1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apartment </w:t>
      </w:r>
      <w:r>
        <w:rPr>
          <w:color w:val="363436"/>
          <w:w w:val="110"/>
          <w:sz w:val="21"/>
        </w:rPr>
        <w:t>occupants, the</w:t>
      </w:r>
      <w:r>
        <w:rPr>
          <w:color w:val="363436"/>
          <w:spacing w:val="1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occupants did nothing but divide and package </w:t>
      </w:r>
      <w:r>
        <w:rPr>
          <w:color w:val="363436"/>
          <w:w w:val="110"/>
          <w:sz w:val="21"/>
        </w:rPr>
        <w:t>cocaine.  </w:t>
      </w:r>
      <w:r>
        <w:rPr>
          <w:color w:val="363436"/>
          <w:spacing w:val="1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Record at</w:t>
      </w:r>
      <w:r>
        <w:rPr>
          <w:b/>
          <w:color w:val="363436"/>
          <w:spacing w:val="1"/>
          <w:w w:val="110"/>
          <w:sz w:val="21"/>
        </w:rPr>
        <w:t> </w:t>
      </w:r>
      <w:r>
        <w:rPr>
          <w:rFonts w:ascii="Arial"/>
          <w:b/>
          <w:color w:val="363436"/>
          <w:w w:val="110"/>
          <w:sz w:val="18"/>
        </w:rPr>
        <w:t>E-2,</w:t>
      </w:r>
      <w:r>
        <w:rPr>
          <w:rFonts w:ascii="Arial"/>
          <w:b/>
          <w:color w:val="363436"/>
          <w:spacing w:val="-17"/>
          <w:w w:val="110"/>
          <w:sz w:val="18"/>
        </w:rPr>
        <w:t> </w:t>
      </w:r>
      <w:r>
        <w:rPr>
          <w:b/>
          <w:color w:val="363436"/>
          <w:w w:val="110"/>
          <w:sz w:val="21"/>
        </w:rPr>
        <w:t>G-14.</w:t>
      </w:r>
    </w:p>
    <w:p>
      <w:pPr>
        <w:spacing w:line="231" w:lineRule="exact" w:before="152"/>
        <w:ind w:left="486" w:right="0" w:firstLine="0"/>
        <w:jc w:val="left"/>
        <w:rPr>
          <w:sz w:val="21"/>
        </w:rPr>
      </w:pPr>
      <w:r>
        <w:rPr>
          <w:color w:val="363436"/>
          <w:w w:val="115"/>
          <w:sz w:val="21"/>
        </w:rPr>
        <w:t>Unlike</w:t>
      </w:r>
      <w:r>
        <w:rPr>
          <w:color w:val="363436"/>
          <w:spacing w:val="-4"/>
          <w:w w:val="115"/>
          <w:sz w:val="21"/>
        </w:rPr>
        <w:t> </w:t>
      </w:r>
      <w:r>
        <w:rPr>
          <w:color w:val="363436"/>
          <w:w w:val="115"/>
          <w:sz w:val="21"/>
        </w:rPr>
        <w:t>the</w:t>
      </w:r>
      <w:r>
        <w:rPr>
          <w:color w:val="363436"/>
          <w:spacing w:val="37"/>
          <w:w w:val="115"/>
          <w:sz w:val="21"/>
        </w:rPr>
        <w:t> </w:t>
      </w:r>
      <w:r>
        <w:rPr>
          <w:color w:val="363436"/>
          <w:w w:val="115"/>
          <w:sz w:val="21"/>
        </w:rPr>
        <w:t>car</w:t>
      </w:r>
      <w:r>
        <w:rPr>
          <w:color w:val="363436"/>
          <w:spacing w:val="24"/>
          <w:w w:val="115"/>
          <w:sz w:val="21"/>
        </w:rPr>
        <w:t> </w:t>
      </w:r>
      <w:r>
        <w:rPr>
          <w:color w:val="363436"/>
          <w:w w:val="115"/>
          <w:sz w:val="21"/>
        </w:rPr>
        <w:t>at</w:t>
      </w:r>
      <w:r>
        <w:rPr>
          <w:color w:val="363436"/>
          <w:spacing w:val="46"/>
          <w:w w:val="115"/>
          <w:sz w:val="21"/>
        </w:rPr>
        <w:t> </w:t>
      </w:r>
      <w:r>
        <w:rPr>
          <w:color w:val="363436"/>
          <w:w w:val="115"/>
          <w:sz w:val="21"/>
        </w:rPr>
        <w:t>issue</w:t>
      </w:r>
      <w:r>
        <w:rPr>
          <w:color w:val="363436"/>
          <w:spacing w:val="-2"/>
          <w:w w:val="115"/>
          <w:sz w:val="21"/>
        </w:rPr>
        <w:t> </w:t>
      </w:r>
      <w:r>
        <w:rPr>
          <w:color w:val="363436"/>
          <w:w w:val="115"/>
          <w:sz w:val="21"/>
        </w:rPr>
        <w:t>in</w:t>
      </w:r>
      <w:r>
        <w:rPr>
          <w:color w:val="363436"/>
          <w:spacing w:val="17"/>
          <w:w w:val="115"/>
          <w:sz w:val="21"/>
        </w:rPr>
        <w:t> </w:t>
      </w:r>
      <w:r>
        <w:rPr>
          <w:color w:val="363436"/>
          <w:w w:val="115"/>
          <w:sz w:val="20"/>
        </w:rPr>
        <w:t>.Ra.k.as,</w:t>
      </w:r>
      <w:r>
        <w:rPr>
          <w:color w:val="363436"/>
          <w:spacing w:val="7"/>
          <w:w w:val="115"/>
          <w:sz w:val="20"/>
        </w:rPr>
        <w:t> </w:t>
      </w:r>
      <w:r>
        <w:rPr>
          <w:color w:val="4B4B4D"/>
          <w:w w:val="115"/>
          <w:sz w:val="21"/>
        </w:rPr>
        <w:t>an</w:t>
      </w:r>
      <w:r>
        <w:rPr>
          <w:color w:val="4B4B4D"/>
          <w:spacing w:val="26"/>
          <w:w w:val="115"/>
          <w:sz w:val="21"/>
        </w:rPr>
        <w:t> </w:t>
      </w:r>
      <w:r>
        <w:rPr>
          <w:color w:val="363436"/>
          <w:w w:val="115"/>
          <w:sz w:val="21"/>
        </w:rPr>
        <w:t>apartment</w:t>
      </w:r>
      <w:r>
        <w:rPr>
          <w:color w:val="363436"/>
          <w:spacing w:val="13"/>
          <w:w w:val="115"/>
          <w:sz w:val="21"/>
        </w:rPr>
        <w:t> </w:t>
      </w:r>
      <w:r>
        <w:rPr>
          <w:color w:val="363436"/>
          <w:w w:val="115"/>
          <w:sz w:val="21"/>
        </w:rPr>
        <w:t>is</w:t>
      </w:r>
      <w:r>
        <w:rPr>
          <w:color w:val="363436"/>
          <w:spacing w:val="-8"/>
          <w:w w:val="115"/>
          <w:sz w:val="21"/>
        </w:rPr>
        <w:t> </w:t>
      </w:r>
      <w:r>
        <w:rPr>
          <w:color w:val="363436"/>
          <w:w w:val="115"/>
          <w:sz w:val="21"/>
        </w:rPr>
        <w:t>a</w:t>
      </w:r>
      <w:r>
        <w:rPr>
          <w:color w:val="363436"/>
          <w:spacing w:val="11"/>
          <w:w w:val="115"/>
          <w:sz w:val="21"/>
        </w:rPr>
        <w:t> </w:t>
      </w:r>
      <w:r>
        <w:rPr>
          <w:color w:val="363436"/>
          <w:w w:val="115"/>
          <w:sz w:val="21"/>
        </w:rPr>
        <w:t>private</w:t>
      </w:r>
      <w:r>
        <w:rPr>
          <w:color w:val="363436"/>
          <w:spacing w:val="10"/>
          <w:w w:val="115"/>
          <w:sz w:val="21"/>
        </w:rPr>
        <w:t> </w:t>
      </w:r>
      <w:r>
        <w:rPr>
          <w:color w:val="363436"/>
          <w:w w:val="115"/>
          <w:sz w:val="21"/>
        </w:rPr>
        <w:t>dwelling</w:t>
      </w:r>
    </w:p>
    <w:p>
      <w:pPr>
        <w:spacing w:line="231" w:lineRule="exact" w:before="0"/>
        <w:ind w:left="480" w:right="0" w:firstLine="0"/>
        <w:jc w:val="left"/>
        <w:rPr>
          <w:b/>
          <w:sz w:val="21"/>
        </w:rPr>
      </w:pPr>
      <w:r>
        <w:rPr>
          <w:b/>
          <w:color w:val="363436"/>
          <w:w w:val="115"/>
          <w:sz w:val="21"/>
        </w:rPr>
        <w:t>notnormally</w:t>
      </w:r>
      <w:r>
        <w:rPr>
          <w:b/>
          <w:color w:val="363436"/>
          <w:spacing w:val="-16"/>
          <w:w w:val="115"/>
          <w:sz w:val="21"/>
        </w:rPr>
        <w:t> </w:t>
      </w:r>
      <w:r>
        <w:rPr>
          <w:b/>
          <w:color w:val="363436"/>
          <w:w w:val="115"/>
          <w:sz w:val="21"/>
        </w:rPr>
        <w:t>open</w:t>
      </w:r>
      <w:r>
        <w:rPr>
          <w:b/>
          <w:color w:val="363436"/>
          <w:spacing w:val="-6"/>
          <w:w w:val="115"/>
          <w:sz w:val="21"/>
        </w:rPr>
        <w:t> </w:t>
      </w:r>
      <w:r>
        <w:rPr>
          <w:b/>
          <w:color w:val="363436"/>
          <w:w w:val="115"/>
          <w:sz w:val="21"/>
        </w:rPr>
        <w:t>to</w:t>
      </w:r>
      <w:r>
        <w:rPr>
          <w:b/>
          <w:color w:val="363436"/>
          <w:spacing w:val="-6"/>
          <w:w w:val="115"/>
          <w:sz w:val="21"/>
        </w:rPr>
        <w:t> </w:t>
      </w:r>
      <w:r>
        <w:rPr>
          <w:b/>
          <w:color w:val="363436"/>
          <w:w w:val="115"/>
          <w:sz w:val="21"/>
        </w:rPr>
        <w:t>the</w:t>
      </w:r>
      <w:r>
        <w:rPr>
          <w:b/>
          <w:color w:val="363436"/>
          <w:spacing w:val="-15"/>
          <w:w w:val="115"/>
          <w:sz w:val="21"/>
        </w:rPr>
        <w:t> </w:t>
      </w:r>
      <w:r>
        <w:rPr>
          <w:b/>
          <w:color w:val="363436"/>
          <w:w w:val="115"/>
          <w:sz w:val="21"/>
        </w:rPr>
        <w:t>public</w:t>
      </w:r>
      <w:r>
        <w:rPr>
          <w:b/>
          <w:color w:val="363436"/>
          <w:spacing w:val="-8"/>
          <w:w w:val="115"/>
          <w:sz w:val="21"/>
        </w:rPr>
        <w:t> </w:t>
      </w:r>
      <w:r>
        <w:rPr>
          <w:b/>
          <w:color w:val="363436"/>
          <w:w w:val="115"/>
          <w:sz w:val="21"/>
        </w:rPr>
        <w:t>view.</w:t>
      </w:r>
    </w:p>
    <w:p>
      <w:pPr>
        <w:pStyle w:val="BodyText"/>
        <w:spacing w:line="232" w:lineRule="auto" w:before="160"/>
        <w:ind w:left="142" w:right="230" w:hanging="9"/>
        <w:jc w:val="both"/>
      </w:pPr>
      <w:r>
        <w:rPr>
          <w:color w:val="363436"/>
          <w:w w:val="115"/>
        </w:rPr>
        <w:t>These</w:t>
      </w:r>
      <w:r>
        <w:rPr>
          <w:color w:val="363436"/>
          <w:spacing w:val="-15"/>
          <w:w w:val="115"/>
        </w:rPr>
        <w:t> </w:t>
      </w:r>
      <w:r>
        <w:rPr>
          <w:color w:val="363436"/>
          <w:w w:val="115"/>
        </w:rPr>
        <w:t>examples</w:t>
      </w:r>
      <w:r>
        <w:rPr>
          <w:color w:val="363436"/>
          <w:spacing w:val="-8"/>
          <w:w w:val="115"/>
        </w:rPr>
        <w:t> </w:t>
      </w:r>
      <w:r>
        <w:rPr>
          <w:color w:val="363436"/>
          <w:w w:val="115"/>
        </w:rPr>
        <w:t>also</w:t>
      </w:r>
      <w:r>
        <w:rPr>
          <w:color w:val="363436"/>
          <w:spacing w:val="-12"/>
          <w:w w:val="115"/>
        </w:rPr>
        <w:t> </w:t>
      </w:r>
      <w:r>
        <w:rPr>
          <w:color w:val="363436"/>
          <w:w w:val="115"/>
        </w:rPr>
        <w:t>provide</w:t>
      </w:r>
      <w:r>
        <w:rPr>
          <w:color w:val="363436"/>
          <w:spacing w:val="-12"/>
          <w:w w:val="115"/>
        </w:rPr>
        <w:t> </w:t>
      </w:r>
      <w:r>
        <w:rPr>
          <w:color w:val="363436"/>
          <w:w w:val="115"/>
        </w:rPr>
        <w:t>details</w:t>
      </w:r>
      <w:r>
        <w:rPr>
          <w:color w:val="363436"/>
          <w:spacing w:val="-13"/>
          <w:w w:val="115"/>
        </w:rPr>
        <w:t> </w:t>
      </w:r>
      <w:r>
        <w:rPr>
          <w:color w:val="363436"/>
          <w:w w:val="115"/>
        </w:rPr>
        <w:t>from</w:t>
      </w:r>
      <w:r>
        <w:rPr>
          <w:color w:val="363436"/>
          <w:spacing w:val="-1"/>
          <w:w w:val="115"/>
        </w:rPr>
        <w:t> </w:t>
      </w:r>
      <w:r>
        <w:rPr>
          <w:color w:val="363436"/>
          <w:w w:val="115"/>
        </w:rPr>
        <w:t>the</w:t>
      </w:r>
      <w:r>
        <w:rPr>
          <w:color w:val="363436"/>
          <w:spacing w:val="15"/>
          <w:w w:val="115"/>
        </w:rPr>
        <w:t> </w:t>
      </w:r>
      <w:r>
        <w:rPr>
          <w:color w:val="363436"/>
          <w:w w:val="115"/>
        </w:rPr>
        <w:t>client's</w:t>
      </w:r>
      <w:r>
        <w:rPr>
          <w:color w:val="363436"/>
          <w:spacing w:val="-15"/>
          <w:w w:val="115"/>
        </w:rPr>
        <w:t> </w:t>
      </w:r>
      <w:r>
        <w:rPr>
          <w:color w:val="4B4B4D"/>
          <w:w w:val="115"/>
        </w:rPr>
        <w:t>case</w:t>
      </w:r>
      <w:r>
        <w:rPr>
          <w:color w:val="4B4B4D"/>
          <w:spacing w:val="-6"/>
          <w:w w:val="115"/>
        </w:rPr>
        <w:t> </w:t>
      </w:r>
      <w:r>
        <w:rPr>
          <w:color w:val="363436"/>
          <w:w w:val="115"/>
        </w:rPr>
        <w:t>that</w:t>
      </w:r>
      <w:r>
        <w:rPr>
          <w:color w:val="363436"/>
          <w:spacing w:val="-2"/>
          <w:w w:val="115"/>
        </w:rPr>
        <w:t> </w:t>
      </w:r>
      <w:r>
        <w:rPr>
          <w:color w:val="363436"/>
          <w:w w:val="115"/>
        </w:rPr>
        <w:t>make</w:t>
      </w:r>
      <w:r>
        <w:rPr>
          <w:color w:val="363436"/>
          <w:spacing w:val="-5"/>
          <w:w w:val="115"/>
        </w:rPr>
        <w:t> </w:t>
      </w:r>
      <w:r>
        <w:rPr>
          <w:color w:val="363436"/>
          <w:w w:val="115"/>
        </w:rPr>
        <w:t>the</w:t>
      </w:r>
      <w:r>
        <w:rPr>
          <w:color w:val="363436"/>
          <w:spacing w:val="-64"/>
          <w:w w:val="115"/>
        </w:rPr>
        <w:t> </w:t>
      </w:r>
      <w:r>
        <w:rPr>
          <w:color w:val="363436"/>
          <w:spacing w:val="-1"/>
          <w:w w:val="115"/>
        </w:rPr>
        <w:t>analogies </w:t>
      </w:r>
      <w:r>
        <w:rPr>
          <w:color w:val="363436"/>
          <w:w w:val="115"/>
        </w:rPr>
        <w:t>vivid. The writer must do more than make the bare statement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0"/>
        </w:rPr>
        <w:t>that "this case is like (or unlike) </w:t>
      </w:r>
      <w:r>
        <w:rPr>
          <w:i/>
          <w:color w:val="363436"/>
          <w:w w:val="110"/>
          <w:sz w:val="22"/>
        </w:rPr>
        <w:t>McGuffin" </w:t>
      </w:r>
      <w:r>
        <w:rPr>
          <w:color w:val="363436"/>
          <w:w w:val="110"/>
          <w:sz w:val="21"/>
        </w:rPr>
        <w:t>if </w:t>
      </w:r>
      <w:r>
        <w:rPr>
          <w:color w:val="363436"/>
          <w:w w:val="110"/>
        </w:rPr>
        <w:t>the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reader is to see the con­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nection or the disconnection between the two cases. In the next example,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the writer takes care to provide the details that will clarify the distinctions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5"/>
        </w:rPr>
        <w:t>between</w:t>
      </w:r>
      <w:r>
        <w:rPr>
          <w:color w:val="363436"/>
          <w:spacing w:val="-7"/>
          <w:w w:val="115"/>
        </w:rPr>
        <w:t> </w:t>
      </w:r>
      <w:r>
        <w:rPr>
          <w:color w:val="363436"/>
          <w:w w:val="115"/>
        </w:rPr>
        <w:t>the</w:t>
      </w:r>
      <w:r>
        <w:rPr>
          <w:color w:val="363436"/>
          <w:spacing w:val="35"/>
          <w:w w:val="115"/>
        </w:rPr>
        <w:t> </w:t>
      </w:r>
      <w:r>
        <w:rPr>
          <w:color w:val="363436"/>
          <w:w w:val="115"/>
        </w:rPr>
        <w:t>two</w:t>
      </w:r>
      <w:r>
        <w:rPr>
          <w:color w:val="363436"/>
          <w:spacing w:val="20"/>
          <w:w w:val="115"/>
        </w:rPr>
        <w:t> </w:t>
      </w:r>
      <w:r>
        <w:rPr>
          <w:color w:val="363436"/>
          <w:w w:val="115"/>
        </w:rPr>
        <w:t>cases:</w:t>
      </w:r>
    </w:p>
    <w:p>
      <w:pPr>
        <w:pStyle w:val="BodyText"/>
        <w:spacing w:before="7"/>
        <w:rPr>
          <w:sz w:val="9"/>
        </w:rPr>
      </w:pPr>
    </w:p>
    <w:p>
      <w:pPr>
        <w:spacing w:before="94"/>
        <w:ind w:left="180" w:right="0" w:firstLine="0"/>
        <w:jc w:val="left"/>
        <w:rPr>
          <w:sz w:val="16"/>
        </w:rPr>
      </w:pPr>
      <w:r>
        <w:rPr>
          <w:color w:val="363436"/>
          <w:sz w:val="16"/>
          <w:u w:val="thick" w:color="363436"/>
        </w:rPr>
        <w:t>_/\</w:t>
      </w:r>
      <w:r>
        <w:rPr>
          <w:color w:val="363436"/>
          <w:spacing w:val="21"/>
          <w:sz w:val="16"/>
          <w:u w:val="thick" w:color="363436"/>
        </w:rPr>
        <w:t> </w:t>
      </w:r>
      <w:r>
        <w:rPr>
          <w:color w:val="363436"/>
          <w:sz w:val="16"/>
          <w:u w:val="thick" w:color="363436"/>
        </w:rPr>
        <w:t>GOOD</w:t>
      </w:r>
      <w:r>
        <w:rPr>
          <w:color w:val="363436"/>
          <w:spacing w:val="-8"/>
          <w:sz w:val="16"/>
          <w:u w:val="thick" w:color="363436"/>
        </w:rPr>
        <w:t> </w:t>
      </w:r>
      <w:r>
        <w:rPr>
          <w:color w:val="4B4B4D"/>
          <w:sz w:val="16"/>
          <w:u w:val="thick" w:color="363436"/>
        </w:rPr>
        <w:t>EXAMPLE</w:t>
      </w:r>
    </w:p>
    <w:p>
      <w:pPr>
        <w:spacing w:line="235" w:lineRule="auto" w:before="91"/>
        <w:ind w:left="477" w:right="539" w:firstLine="15"/>
        <w:jc w:val="both"/>
        <w:rPr>
          <w:b/>
          <w:sz w:val="21"/>
        </w:rPr>
      </w:pPr>
      <w:r>
        <w:rPr>
          <w:b/>
          <w:color w:val="363436"/>
          <w:w w:val="110"/>
          <w:sz w:val="21"/>
        </w:rPr>
        <w:t>Unlike the defendant in </w:t>
      </w:r>
      <w:r>
        <w:rPr>
          <w:color w:val="363436"/>
          <w:w w:val="110"/>
          <w:sz w:val="19"/>
        </w:rPr>
        <w:t>.KilY, </w:t>
      </w:r>
      <w:r>
        <w:rPr>
          <w:b/>
          <w:color w:val="363436"/>
          <w:w w:val="110"/>
          <w:sz w:val="21"/>
        </w:rPr>
        <w:t>who argued that he </w:t>
      </w:r>
      <w:r>
        <w:rPr>
          <w:b/>
          <w:color w:val="4B4B4D"/>
          <w:w w:val="110"/>
          <w:sz w:val="21"/>
        </w:rPr>
        <w:t>sought </w:t>
      </w:r>
      <w:r>
        <w:rPr>
          <w:b/>
          <w:color w:val="363436"/>
          <w:w w:val="110"/>
          <w:sz w:val="21"/>
        </w:rPr>
        <w:t>privacy by</w:t>
      </w:r>
      <w:r>
        <w:rPr>
          <w:b/>
          <w:color w:val="363436"/>
          <w:spacing w:val="1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closing the door to his phone booth, Respondents introduced no evi</w:t>
      </w:r>
      <w:r>
        <w:rPr>
          <w:b/>
          <w:color w:val="666669"/>
          <w:w w:val="110"/>
          <w:sz w:val="21"/>
        </w:rPr>
        <w:t>­</w:t>
      </w:r>
      <w:r>
        <w:rPr>
          <w:b/>
          <w:color w:val="666669"/>
          <w:spacing w:val="1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dence of conduct that demonstrated an intent to keep their activities</w:t>
      </w:r>
      <w:r>
        <w:rPr>
          <w:b/>
          <w:color w:val="363436"/>
          <w:spacing w:val="1"/>
          <w:w w:val="110"/>
          <w:sz w:val="21"/>
        </w:rPr>
        <w:t> </w:t>
      </w:r>
      <w:r>
        <w:rPr>
          <w:b/>
          <w:color w:val="363436"/>
          <w:w w:val="115"/>
          <w:sz w:val="21"/>
        </w:rPr>
        <w:t>private. Though the blinds were drawn, there is no indication that</w:t>
      </w:r>
      <w:r>
        <w:rPr>
          <w:b/>
          <w:color w:val="363436"/>
          <w:spacing w:val="1"/>
          <w:w w:val="115"/>
          <w:sz w:val="21"/>
        </w:rPr>
        <w:t> </w:t>
      </w:r>
      <w:r>
        <w:rPr>
          <w:b/>
          <w:color w:val="363436"/>
          <w:w w:val="105"/>
          <w:sz w:val="21"/>
        </w:rPr>
        <w:t>Respondents drew them.   </w:t>
      </w:r>
      <w:r>
        <w:rPr>
          <w:b/>
          <w:color w:val="363436"/>
          <w:spacing w:val="56"/>
          <w:w w:val="105"/>
          <w:sz w:val="21"/>
        </w:rPr>
        <w:t> </w:t>
      </w:r>
      <w:r>
        <w:rPr>
          <w:b/>
          <w:color w:val="363436"/>
          <w:w w:val="105"/>
          <w:sz w:val="21"/>
        </w:rPr>
        <w:t>Record at </w:t>
      </w:r>
      <w:r>
        <w:rPr>
          <w:color w:val="363436"/>
          <w:w w:val="105"/>
          <w:sz w:val="20"/>
        </w:rPr>
        <w:t>E-2, </w:t>
      </w:r>
      <w:r>
        <w:rPr>
          <w:b/>
          <w:color w:val="363436"/>
          <w:w w:val="105"/>
          <w:sz w:val="21"/>
        </w:rPr>
        <w:t>E-10. On the night in ques­</w:t>
      </w:r>
      <w:r>
        <w:rPr>
          <w:b/>
          <w:color w:val="363436"/>
          <w:spacing w:val="1"/>
          <w:w w:val="105"/>
          <w:sz w:val="21"/>
        </w:rPr>
        <w:t> </w:t>
      </w:r>
      <w:r>
        <w:rPr>
          <w:b/>
          <w:color w:val="363436"/>
          <w:w w:val="115"/>
          <w:sz w:val="21"/>
        </w:rPr>
        <w:t>tion, Respondents were present in a first-floor apartment that had</w:t>
      </w:r>
      <w:r>
        <w:rPr>
          <w:b/>
          <w:color w:val="363436"/>
          <w:spacing w:val="1"/>
          <w:w w:val="115"/>
          <w:sz w:val="21"/>
        </w:rPr>
        <w:t> </w:t>
      </w:r>
      <w:r>
        <w:rPr>
          <w:b/>
          <w:color w:val="363436"/>
          <w:w w:val="115"/>
          <w:sz w:val="21"/>
        </w:rPr>
        <w:t>several windows </w:t>
      </w:r>
      <w:r>
        <w:rPr>
          <w:rFonts w:ascii="Arial" w:hAnsi="Arial"/>
          <w:b/>
          <w:color w:val="363436"/>
          <w:w w:val="115"/>
          <w:sz w:val="20"/>
        </w:rPr>
        <w:t>.ilt </w:t>
      </w:r>
      <w:r>
        <w:rPr>
          <w:b/>
          <w:color w:val="363436"/>
          <w:w w:val="115"/>
          <w:sz w:val="21"/>
        </w:rPr>
        <w:t>ground level. Record G-26. The windows </w:t>
      </w:r>
      <w:r>
        <w:rPr>
          <w:color w:val="363436"/>
          <w:w w:val="115"/>
          <w:sz w:val="21"/>
        </w:rPr>
        <w:t>faced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a public area that apartment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residents and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nonresidents frequented.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Record G-69, G-70.  </w:t>
      </w:r>
      <w:r>
        <w:rPr>
          <w:rFonts w:ascii="Arial" w:hAnsi="Arial"/>
          <w:color w:val="363436"/>
          <w:w w:val="115"/>
          <w:sz w:val="18"/>
        </w:rPr>
        <w:t>As </w:t>
      </w:r>
      <w:r>
        <w:rPr>
          <w:color w:val="363436"/>
          <w:w w:val="115"/>
          <w:sz w:val="21"/>
        </w:rPr>
        <w:t>darkness fell in  early evening,  Respondents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sat  illuminated  under a  chandelier  light at  a  table directly  in  front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of one  of  these windows.  Record G-13. Only a  pane of glass and  a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set of blinds that featured a series of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laths, Record G-50, separated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Respondents from the adjacent common area. On </w:t>
      </w:r>
      <w:r>
        <w:rPr>
          <w:color w:val="4B4B4D"/>
          <w:w w:val="115"/>
          <w:sz w:val="21"/>
        </w:rPr>
        <w:t>the </w:t>
      </w:r>
      <w:r>
        <w:rPr>
          <w:color w:val="363436"/>
          <w:w w:val="115"/>
          <w:sz w:val="21"/>
        </w:rPr>
        <w:t>night in ques­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tion, the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blinds, though drawn, had a gap in them; the gap was large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enough for a citizen who passed by and an officer who stood a foot or</w:t>
      </w:r>
      <w:r>
        <w:rPr>
          <w:color w:val="363436"/>
          <w:spacing w:val="1"/>
          <w:w w:val="115"/>
          <w:sz w:val="21"/>
        </w:rPr>
        <w:t> </w:t>
      </w:r>
      <w:r>
        <w:rPr>
          <w:b/>
          <w:color w:val="363436"/>
          <w:w w:val="115"/>
          <w:sz w:val="21"/>
        </w:rPr>
        <w:t>more from the window to view easily the entire illuminated interior</w:t>
      </w:r>
      <w:r>
        <w:rPr>
          <w:b/>
          <w:color w:val="363436"/>
          <w:spacing w:val="-58"/>
          <w:w w:val="115"/>
          <w:sz w:val="21"/>
        </w:rPr>
        <w:t> </w:t>
      </w:r>
      <w:r>
        <w:rPr>
          <w:b/>
          <w:color w:val="363436"/>
          <w:w w:val="115"/>
          <w:sz w:val="21"/>
        </w:rPr>
        <w:t>scene.</w:t>
      </w:r>
      <w:r>
        <w:rPr>
          <w:b/>
          <w:color w:val="363436"/>
          <w:spacing w:val="-2"/>
          <w:w w:val="115"/>
          <w:sz w:val="21"/>
        </w:rPr>
        <w:t> </w:t>
      </w:r>
      <w:r>
        <w:rPr>
          <w:b/>
          <w:color w:val="363436"/>
          <w:w w:val="115"/>
          <w:sz w:val="21"/>
        </w:rPr>
        <w:t>Record</w:t>
      </w:r>
      <w:r>
        <w:rPr>
          <w:b/>
          <w:color w:val="363436"/>
          <w:spacing w:val="-7"/>
          <w:w w:val="115"/>
          <w:sz w:val="21"/>
        </w:rPr>
        <w:t> </w:t>
      </w:r>
      <w:r>
        <w:rPr>
          <w:b/>
          <w:color w:val="363436"/>
          <w:w w:val="115"/>
          <w:sz w:val="21"/>
        </w:rPr>
        <w:t>G-13.</w:t>
      </w:r>
    </w:p>
    <w:p>
      <w:pPr>
        <w:spacing w:line="235" w:lineRule="auto" w:before="1"/>
        <w:ind w:left="487" w:right="523" w:firstLine="371"/>
        <w:jc w:val="both"/>
        <w:rPr>
          <w:b/>
          <w:sz w:val="21"/>
        </w:rPr>
      </w:pPr>
      <w:r>
        <w:rPr>
          <w:b/>
          <w:color w:val="363436"/>
          <w:w w:val="115"/>
          <w:sz w:val="21"/>
        </w:rPr>
        <w:t>Individuals in</w:t>
      </w:r>
      <w:r>
        <w:rPr>
          <w:b/>
          <w:color w:val="363436"/>
          <w:spacing w:val="1"/>
          <w:w w:val="115"/>
          <w:sz w:val="21"/>
        </w:rPr>
        <w:t> </w:t>
      </w:r>
      <w:r>
        <w:rPr>
          <w:b/>
          <w:color w:val="363436"/>
          <w:w w:val="115"/>
          <w:sz w:val="21"/>
        </w:rPr>
        <w:t>Respondents' position would have known and</w:t>
      </w:r>
      <w:r>
        <w:rPr>
          <w:b/>
          <w:color w:val="363436"/>
          <w:spacing w:val="1"/>
          <w:w w:val="115"/>
          <w:sz w:val="21"/>
        </w:rPr>
        <w:t> </w:t>
      </w:r>
      <w:r>
        <w:rPr>
          <w:b/>
          <w:color w:val="363436"/>
          <w:w w:val="115"/>
          <w:sz w:val="21"/>
        </w:rPr>
        <w:t>expected that a passerby could look through the gaps in the blinds</w:t>
      </w:r>
      <w:r>
        <w:rPr>
          <w:b/>
          <w:color w:val="363436"/>
          <w:spacing w:val="1"/>
          <w:w w:val="115"/>
          <w:sz w:val="21"/>
        </w:rPr>
        <w:t> </w:t>
      </w:r>
      <w:r>
        <w:rPr>
          <w:b/>
          <w:color w:val="363436"/>
          <w:spacing w:val="-1"/>
          <w:w w:val="115"/>
          <w:sz w:val="21"/>
        </w:rPr>
        <w:t>and </w:t>
      </w:r>
      <w:r>
        <w:rPr>
          <w:b/>
          <w:color w:val="4B4B4D"/>
          <w:spacing w:val="-1"/>
          <w:w w:val="115"/>
          <w:sz w:val="21"/>
        </w:rPr>
        <w:t>see </w:t>
      </w:r>
      <w:r>
        <w:rPr>
          <w:b/>
          <w:color w:val="363436"/>
          <w:spacing w:val="-1"/>
          <w:w w:val="115"/>
          <w:sz w:val="21"/>
        </w:rPr>
        <w:t>into the illuminated kitchen</w:t>
      </w:r>
      <w:r>
        <w:rPr>
          <w:b/>
          <w:color w:val="666669"/>
          <w:spacing w:val="-1"/>
          <w:w w:val="115"/>
          <w:sz w:val="21"/>
        </w:rPr>
        <w:t>. </w:t>
      </w:r>
      <w:r>
        <w:rPr>
          <w:b/>
          <w:color w:val="363436"/>
          <w:w w:val="115"/>
          <w:sz w:val="21"/>
        </w:rPr>
        <w:t>Thus, Respondents could not</w:t>
      </w:r>
      <w:r>
        <w:rPr>
          <w:b/>
          <w:color w:val="363436"/>
          <w:spacing w:val="1"/>
          <w:w w:val="115"/>
          <w:sz w:val="21"/>
        </w:rPr>
        <w:t> </w:t>
      </w:r>
      <w:r>
        <w:rPr>
          <w:b/>
          <w:color w:val="363436"/>
          <w:w w:val="115"/>
          <w:sz w:val="21"/>
        </w:rPr>
        <w:t>have</w:t>
      </w:r>
      <w:r>
        <w:rPr>
          <w:b/>
          <w:color w:val="363436"/>
          <w:spacing w:val="-39"/>
          <w:w w:val="115"/>
          <w:sz w:val="21"/>
        </w:rPr>
        <w:t> </w:t>
      </w:r>
      <w:r>
        <w:rPr>
          <w:b/>
          <w:color w:val="363436"/>
          <w:w w:val="115"/>
          <w:sz w:val="21"/>
        </w:rPr>
        <w:t>actually</w:t>
      </w:r>
      <w:r>
        <w:rPr>
          <w:b/>
          <w:color w:val="363436"/>
          <w:spacing w:val="-31"/>
          <w:w w:val="115"/>
          <w:sz w:val="21"/>
        </w:rPr>
        <w:t> </w:t>
      </w:r>
      <w:r>
        <w:rPr>
          <w:b/>
          <w:color w:val="363436"/>
          <w:w w:val="115"/>
          <w:sz w:val="21"/>
        </w:rPr>
        <w:t>expected</w:t>
      </w:r>
      <w:r>
        <w:rPr>
          <w:b/>
          <w:color w:val="363436"/>
          <w:spacing w:val="-21"/>
          <w:w w:val="115"/>
          <w:sz w:val="21"/>
        </w:rPr>
        <w:t> </w:t>
      </w:r>
      <w:r>
        <w:rPr>
          <w:b/>
          <w:color w:val="363436"/>
          <w:w w:val="115"/>
          <w:sz w:val="21"/>
        </w:rPr>
        <w:t>that</w:t>
      </w:r>
      <w:r>
        <w:rPr>
          <w:b/>
          <w:color w:val="363436"/>
          <w:spacing w:val="-32"/>
          <w:w w:val="115"/>
          <w:sz w:val="21"/>
        </w:rPr>
        <w:t> </w:t>
      </w:r>
      <w:r>
        <w:rPr>
          <w:b/>
          <w:color w:val="363436"/>
          <w:w w:val="115"/>
          <w:sz w:val="21"/>
        </w:rPr>
        <w:t>their</w:t>
      </w:r>
      <w:r>
        <w:rPr>
          <w:b/>
          <w:color w:val="363436"/>
          <w:spacing w:val="-26"/>
          <w:w w:val="115"/>
          <w:sz w:val="21"/>
        </w:rPr>
        <w:t> </w:t>
      </w:r>
      <w:r>
        <w:rPr>
          <w:color w:val="363436"/>
          <w:w w:val="115"/>
          <w:sz w:val="19"/>
        </w:rPr>
        <w:t>ii</w:t>
      </w:r>
      <w:r>
        <w:rPr>
          <w:b/>
          <w:color w:val="363436"/>
          <w:w w:val="115"/>
          <w:sz w:val="21"/>
        </w:rPr>
        <w:t>legal</w:t>
      </w:r>
      <w:r>
        <w:rPr>
          <w:b/>
          <w:color w:val="363436"/>
          <w:spacing w:val="-27"/>
          <w:w w:val="115"/>
          <w:sz w:val="21"/>
        </w:rPr>
        <w:t> </w:t>
      </w:r>
      <w:r>
        <w:rPr>
          <w:b/>
          <w:color w:val="363436"/>
          <w:w w:val="115"/>
          <w:sz w:val="21"/>
        </w:rPr>
        <w:t>activities</w:t>
      </w:r>
      <w:r>
        <w:rPr>
          <w:b/>
          <w:color w:val="363436"/>
          <w:spacing w:val="-16"/>
          <w:w w:val="115"/>
          <w:sz w:val="21"/>
        </w:rPr>
        <w:t> </w:t>
      </w:r>
      <w:r>
        <w:rPr>
          <w:b/>
          <w:color w:val="363436"/>
          <w:w w:val="115"/>
          <w:sz w:val="21"/>
        </w:rPr>
        <w:t>would</w:t>
      </w:r>
      <w:r>
        <w:rPr>
          <w:b/>
          <w:color w:val="363436"/>
          <w:spacing w:val="-25"/>
          <w:w w:val="115"/>
          <w:sz w:val="21"/>
        </w:rPr>
        <w:t> </w:t>
      </w:r>
      <w:r>
        <w:rPr>
          <w:b/>
          <w:color w:val="363436"/>
          <w:w w:val="115"/>
          <w:sz w:val="21"/>
        </w:rPr>
        <w:t>go</w:t>
      </w:r>
      <w:r>
        <w:rPr>
          <w:b/>
          <w:color w:val="363436"/>
          <w:spacing w:val="-13"/>
          <w:w w:val="115"/>
          <w:sz w:val="21"/>
        </w:rPr>
        <w:t> </w:t>
      </w:r>
      <w:r>
        <w:rPr>
          <w:b/>
          <w:color w:val="363436"/>
          <w:w w:val="115"/>
          <w:sz w:val="21"/>
        </w:rPr>
        <w:t>unnoticed.</w:t>
      </w:r>
    </w:p>
    <w:p>
      <w:pPr>
        <w:pStyle w:val="BodyText"/>
        <w:spacing w:line="235" w:lineRule="auto" w:before="142"/>
        <w:ind w:left="167" w:right="32" w:hanging="15"/>
      </w:pPr>
      <w:r>
        <w:rPr>
          <w:color w:val="363436"/>
          <w:w w:val="110"/>
        </w:rPr>
        <w:t>This application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is somewhat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long, but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details are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necessary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for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reader</w:t>
      </w:r>
      <w:r>
        <w:rPr>
          <w:color w:val="363436"/>
          <w:spacing w:val="8"/>
          <w:w w:val="110"/>
        </w:rPr>
        <w:t> </w:t>
      </w:r>
      <w:r>
        <w:rPr>
          <w:color w:val="363436"/>
          <w:w w:val="110"/>
        </w:rPr>
        <w:t>to</w:t>
      </w:r>
      <w:r>
        <w:rPr>
          <w:color w:val="363436"/>
          <w:spacing w:val="50"/>
          <w:w w:val="110"/>
        </w:rPr>
        <w:t> </w:t>
      </w:r>
      <w:r>
        <w:rPr>
          <w:color w:val="363436"/>
          <w:w w:val="110"/>
        </w:rPr>
        <w:t>understand</w:t>
      </w:r>
      <w:r>
        <w:rPr>
          <w:color w:val="363436"/>
          <w:spacing w:val="38"/>
          <w:w w:val="110"/>
        </w:rPr>
        <w:t> </w:t>
      </w:r>
      <w:r>
        <w:rPr>
          <w:color w:val="363436"/>
          <w:w w:val="110"/>
        </w:rPr>
        <w:t>how</w:t>
      </w:r>
      <w:r>
        <w:rPr>
          <w:color w:val="363436"/>
          <w:spacing w:val="5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22"/>
          <w:w w:val="110"/>
        </w:rPr>
        <w:t> </w:t>
      </w:r>
      <w:r>
        <w:rPr>
          <w:color w:val="363436"/>
          <w:w w:val="110"/>
        </w:rPr>
        <w:t>law</w:t>
      </w:r>
      <w:r>
        <w:rPr>
          <w:color w:val="363436"/>
          <w:spacing w:val="-20"/>
          <w:w w:val="110"/>
        </w:rPr>
        <w:t> </w:t>
      </w:r>
      <w:r>
        <w:rPr>
          <w:color w:val="363436"/>
          <w:w w:val="110"/>
        </w:rPr>
        <w:t>applies</w:t>
      </w:r>
      <w:r>
        <w:rPr>
          <w:color w:val="363436"/>
          <w:spacing w:val="5"/>
          <w:w w:val="110"/>
        </w:rPr>
        <w:t> </w:t>
      </w:r>
      <w:r>
        <w:rPr>
          <w:color w:val="363436"/>
          <w:w w:val="110"/>
        </w:rPr>
        <w:t>to</w:t>
      </w:r>
      <w:r>
        <w:rPr>
          <w:color w:val="363436"/>
          <w:spacing w:val="27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31"/>
          <w:w w:val="110"/>
        </w:rPr>
        <w:t> </w:t>
      </w:r>
      <w:r>
        <w:rPr>
          <w:color w:val="363436"/>
          <w:w w:val="110"/>
        </w:rPr>
        <w:t>facts.</w:t>
      </w:r>
      <w:r>
        <w:rPr>
          <w:color w:val="363436"/>
          <w:spacing w:val="4"/>
          <w:w w:val="110"/>
        </w:rPr>
        <w:t> </w:t>
      </w:r>
      <w:r>
        <w:rPr>
          <w:color w:val="363436"/>
          <w:w w:val="110"/>
        </w:rPr>
        <w:t>Although</w:t>
      </w:r>
      <w:r>
        <w:rPr>
          <w:color w:val="363436"/>
          <w:spacing w:val="29"/>
          <w:w w:val="110"/>
        </w:rPr>
        <w:t> </w:t>
      </w:r>
      <w:r>
        <w:rPr>
          <w:color w:val="363436"/>
          <w:w w:val="110"/>
        </w:rPr>
        <w:t>analogies</w:t>
      </w:r>
    </w:p>
    <w:p>
      <w:pPr>
        <w:spacing w:after="0" w:line="235" w:lineRule="auto"/>
        <w:sectPr>
          <w:pgSz w:w="9590" w:h="13760"/>
          <w:pgMar w:header="572" w:footer="0" w:top="1180" w:bottom="280" w:left="380" w:right="1260"/>
        </w:sectPr>
      </w:pPr>
    </w:p>
    <w:p>
      <w:pPr>
        <w:pStyle w:val="BodyText"/>
        <w:spacing w:line="237" w:lineRule="auto" w:before="83"/>
        <w:ind w:left="652" w:right="-15" w:firstLine="19"/>
        <w:jc w:val="both"/>
      </w:pPr>
      <w:r>
        <w:rPr>
          <w:color w:val="3B383A"/>
          <w:w w:val="110"/>
        </w:rPr>
        <w:t>and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distinctions are not always needed, make sure that when you do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include them, you focus them on the specific people or things that </w:t>
      </w:r>
      <w:r>
        <w:rPr>
          <w:color w:val="525254"/>
          <w:w w:val="110"/>
        </w:rPr>
        <w:t>y</w:t>
      </w:r>
      <w:r>
        <w:rPr>
          <w:color w:val="3B383A"/>
          <w:w w:val="110"/>
        </w:rPr>
        <w:t>ou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want to compare. Second, make sure that you provide the details tha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allow the reader to understand both the comparison and the application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of</w:t>
      </w:r>
      <w:r>
        <w:rPr>
          <w:color w:val="3B383A"/>
          <w:spacing w:val="4"/>
          <w:w w:val="110"/>
        </w:rPr>
        <w:t> </w:t>
      </w:r>
      <w:r>
        <w:rPr>
          <w:color w:val="3B383A"/>
          <w:w w:val="110"/>
        </w:rPr>
        <w:t>law</w:t>
      </w:r>
      <w:r>
        <w:rPr>
          <w:color w:val="3B383A"/>
          <w:spacing w:val="-14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16"/>
          <w:w w:val="110"/>
        </w:rPr>
        <w:t> </w:t>
      </w:r>
      <w:r>
        <w:rPr>
          <w:color w:val="3B383A"/>
          <w:w w:val="110"/>
        </w:rPr>
        <w:t>facts</w:t>
      </w:r>
      <w:r>
        <w:rPr>
          <w:color w:val="525254"/>
          <w:w w:val="11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9"/>
        <w:spacing w:before="101"/>
        <w:ind w:left="1201"/>
      </w:pPr>
      <w:r>
        <w:rPr>
          <w:color w:val="3B383A"/>
          <w:w w:val="90"/>
        </w:rPr>
        <w:t>6.4</w:t>
      </w:r>
    </w:p>
    <w:p>
      <w:pPr>
        <w:spacing w:line="328" w:lineRule="auto" w:before="24"/>
        <w:ind w:left="1215" w:right="1478" w:firstLine="14"/>
        <w:jc w:val="left"/>
        <w:rPr>
          <w:rFonts w:ascii="Arial"/>
          <w:b/>
          <w:sz w:val="25"/>
        </w:rPr>
      </w:pPr>
      <w:r>
        <w:rPr>
          <w:rFonts w:ascii="Arial"/>
          <w:b/>
          <w:color w:val="3B383A"/>
          <w:w w:val="105"/>
          <w:sz w:val="25"/>
        </w:rPr>
        <w:t>DEALING WITH NONPRECEDENTIAL, OR</w:t>
      </w:r>
      <w:r>
        <w:rPr>
          <w:rFonts w:ascii="Arial"/>
          <w:b/>
          <w:color w:val="3B383A"/>
          <w:spacing w:val="-70"/>
          <w:w w:val="105"/>
          <w:sz w:val="25"/>
        </w:rPr>
        <w:t> </w:t>
      </w:r>
      <w:r>
        <w:rPr>
          <w:rFonts w:ascii="Arial"/>
          <w:b/>
          <w:color w:val="3B383A"/>
          <w:w w:val="105"/>
          <w:sz w:val="25"/>
        </w:rPr>
        <w:t>"UNPUBLISHED,"</w:t>
      </w:r>
      <w:r>
        <w:rPr>
          <w:rFonts w:ascii="Arial"/>
          <w:b/>
          <w:color w:val="3B383A"/>
          <w:spacing w:val="8"/>
          <w:w w:val="105"/>
          <w:sz w:val="25"/>
        </w:rPr>
        <w:t> </w:t>
      </w:r>
      <w:r>
        <w:rPr>
          <w:rFonts w:ascii="Arial"/>
          <w:b/>
          <w:color w:val="3B383A"/>
          <w:w w:val="105"/>
          <w:sz w:val="25"/>
        </w:rPr>
        <w:t>OPINIONS</w:t>
      </w:r>
    </w:p>
    <w:p>
      <w:pPr>
        <w:pStyle w:val="BodyText"/>
        <w:spacing w:line="235" w:lineRule="auto" w:before="142"/>
        <w:ind w:left="555" w:right="4" w:firstLine="629"/>
        <w:jc w:val="both"/>
      </w:pPr>
      <w:r>
        <w:rPr>
          <w:color w:val="3B383A"/>
          <w:w w:val="105"/>
          <w:sz w:val="22"/>
        </w:rPr>
        <w:t>In </w:t>
      </w:r>
      <w:r>
        <w:rPr>
          <w:color w:val="3B383A"/>
          <w:w w:val="105"/>
        </w:rPr>
        <w:t>recent years, the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"publication" and use of unpublished opinions­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now more commonly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referred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as "nonp</w:t>
      </w:r>
      <w:r>
        <w:rPr>
          <w:color w:val="525254"/>
          <w:w w:val="110"/>
        </w:rPr>
        <w:t>r</w:t>
      </w:r>
      <w:r>
        <w:rPr>
          <w:color w:val="3B383A"/>
          <w:w w:val="110"/>
        </w:rPr>
        <w:t>ecedential opinions</w:t>
      </w:r>
      <w:r>
        <w:rPr>
          <w:color w:val="525254"/>
          <w:w w:val="110"/>
        </w:rPr>
        <w:t>"</w:t>
      </w:r>
      <w:r>
        <w:rPr>
          <w:color w:val="3B383A"/>
          <w:w w:val="110"/>
        </w:rPr>
        <w:t>-has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become controversial, with some courts forbidding their citation, others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allowing them with some restrictions, and one court holding that rules lim­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iting use of unpublished decisions are unconstitutional.</w:t>
      </w:r>
      <w:r>
        <w:rPr>
          <w:color w:val="3B383A"/>
          <w:w w:val="105"/>
          <w:vertAlign w:val="superscript"/>
        </w:rPr>
        <w:t>1</w:t>
      </w:r>
      <w:r>
        <w:rPr>
          <w:color w:val="525254"/>
          <w:w w:val="105"/>
          <w:vertAlign w:val="superscript"/>
        </w:rPr>
        <w:t>1</w:t>
      </w:r>
      <w:r>
        <w:rPr>
          <w:color w:val="525254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Rule 32.1 of the</w:t>
      </w:r>
      <w:r>
        <w:rPr>
          <w:color w:val="3B383A"/>
          <w:spacing w:val="1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Federal Rules of Appellate Procedure mandates that, as to opinions issued</w:t>
      </w:r>
      <w:r>
        <w:rPr>
          <w:color w:val="3B383A"/>
          <w:spacing w:val="1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afterJanuary 1, 2007, "[a] court may not prohibit or restrict the citation of</w:t>
      </w:r>
      <w:r>
        <w:rPr>
          <w:color w:val="3B383A"/>
          <w:spacing w:val="1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federal judicial opinions, orders, judgments, or other written dispositions</w:t>
      </w:r>
      <w:r>
        <w:rPr>
          <w:color w:val="3B383A"/>
          <w:spacing w:val="1"/>
          <w:w w:val="105"/>
          <w:vertAlign w:val="baseline"/>
        </w:rPr>
        <w:t> </w:t>
      </w:r>
      <w:r>
        <w:rPr>
          <w:color w:val="3B383A"/>
          <w:w w:val="110"/>
          <w:vertAlign w:val="baseline"/>
        </w:rPr>
        <w:t>that have been ...</w:t>
      </w:r>
      <w:r>
        <w:rPr>
          <w:color w:val="3B383A"/>
          <w:spacing w:val="1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designated as 'unpublished</w:t>
      </w:r>
      <w:r>
        <w:rPr>
          <w:color w:val="525254"/>
          <w:w w:val="110"/>
          <w:vertAlign w:val="baseline"/>
        </w:rPr>
        <w:t>,</w:t>
      </w:r>
      <w:r>
        <w:rPr>
          <w:color w:val="3B383A"/>
          <w:w w:val="110"/>
          <w:vertAlign w:val="baseline"/>
        </w:rPr>
        <w:t>' 'not forpublication,' 'non­</w:t>
      </w:r>
      <w:r>
        <w:rPr>
          <w:color w:val="3B383A"/>
          <w:spacing w:val="1"/>
          <w:w w:val="110"/>
          <w:vertAlign w:val="baseline"/>
        </w:rPr>
        <w:t> </w:t>
      </w:r>
      <w:r>
        <w:rPr>
          <w:color w:val="3B383A"/>
          <w:w w:val="105"/>
          <w:vertAlign w:val="baseline"/>
        </w:rPr>
        <w:t>precedential,' 'not precedent,' or the like." Because the</w:t>
      </w:r>
      <w:r>
        <w:rPr>
          <w:color w:val="3B383A"/>
          <w:spacing w:val="1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rules about citation</w:t>
      </w:r>
      <w:r>
        <w:rPr>
          <w:color w:val="3B383A"/>
          <w:spacing w:val="1"/>
          <w:w w:val="105"/>
          <w:vertAlign w:val="baseline"/>
        </w:rPr>
        <w:t> </w:t>
      </w:r>
      <w:r>
        <w:rPr>
          <w:color w:val="3B383A"/>
          <w:w w:val="110"/>
          <w:vertAlign w:val="baseline"/>
        </w:rPr>
        <w:t>of nonprecedential opinions vary from jurisdiction to jurisdiction,</w:t>
      </w:r>
      <w:r>
        <w:rPr>
          <w:color w:val="3B383A"/>
          <w:w w:val="110"/>
          <w:vertAlign w:val="superscript"/>
        </w:rPr>
        <w:t>12</w:t>
      </w:r>
      <w:r>
        <w:rPr>
          <w:color w:val="3B383A"/>
          <w:w w:val="110"/>
          <w:vertAlign w:val="baseline"/>
        </w:rPr>
        <w:t> the</w:t>
      </w:r>
      <w:r>
        <w:rPr>
          <w:color w:val="3B383A"/>
          <w:spacing w:val="1"/>
          <w:w w:val="110"/>
          <w:vertAlign w:val="baseline"/>
        </w:rPr>
        <w:t> </w:t>
      </w:r>
      <w:r>
        <w:rPr>
          <w:color w:val="3B383A"/>
          <w:w w:val="105"/>
          <w:vertAlign w:val="baseline"/>
        </w:rPr>
        <w:t>most important thing to do is to consult both the rules of the  jurisdiction</w:t>
      </w:r>
      <w:r>
        <w:rPr>
          <w:color w:val="3B383A"/>
          <w:spacing w:val="1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and</w:t>
      </w:r>
      <w:r>
        <w:rPr>
          <w:color w:val="3B383A"/>
          <w:spacing w:val="15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the</w:t>
      </w:r>
      <w:r>
        <w:rPr>
          <w:color w:val="3B383A"/>
          <w:spacing w:val="9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local</w:t>
      </w:r>
      <w:r>
        <w:rPr>
          <w:color w:val="3B383A"/>
          <w:spacing w:val="10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rules</w:t>
      </w:r>
      <w:r>
        <w:rPr>
          <w:color w:val="3B383A"/>
          <w:spacing w:val="1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of</w:t>
      </w:r>
      <w:r>
        <w:rPr>
          <w:color w:val="3B383A"/>
          <w:spacing w:val="15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the</w:t>
      </w:r>
      <w:r>
        <w:rPr>
          <w:color w:val="3B383A"/>
          <w:spacing w:val="39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court</w:t>
      </w:r>
      <w:r>
        <w:rPr>
          <w:color w:val="3B383A"/>
          <w:spacing w:val="-8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when</w:t>
      </w:r>
      <w:r>
        <w:rPr>
          <w:color w:val="3B383A"/>
          <w:spacing w:val="11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deciding</w:t>
      </w:r>
      <w:r>
        <w:rPr>
          <w:color w:val="3B383A"/>
          <w:spacing w:val="4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whether</w:t>
      </w:r>
      <w:r>
        <w:rPr>
          <w:color w:val="3B383A"/>
          <w:spacing w:val="11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to</w:t>
      </w:r>
      <w:r>
        <w:rPr>
          <w:color w:val="3B383A"/>
          <w:spacing w:val="16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cite</w:t>
      </w:r>
      <w:r>
        <w:rPr>
          <w:color w:val="3B383A"/>
          <w:spacing w:val="15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to</w:t>
      </w:r>
      <w:r>
        <w:rPr>
          <w:color w:val="3B383A"/>
          <w:spacing w:val="19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them</w:t>
      </w:r>
      <w:r>
        <w:rPr>
          <w:color w:val="525254"/>
          <w:w w:val="105"/>
          <w:vertAlign w:val="baseline"/>
        </w:rPr>
        <w:t>.</w:t>
      </w:r>
    </w:p>
    <w:p>
      <w:pPr>
        <w:pStyle w:val="BodyText"/>
        <w:spacing w:line="232" w:lineRule="auto"/>
        <w:ind w:left="507" w:right="16" w:firstLine="382"/>
        <w:jc w:val="both"/>
      </w:pPr>
      <w:r>
        <w:rPr>
          <w:color w:val="3B383A"/>
          <w:w w:val="110"/>
        </w:rPr>
        <w:t>All United States Supreme Court opinions are published, as are vir­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tually all opinions of state supreme courts. State and federal trial courts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and intermediate appellate courts</w:t>
      </w:r>
      <w:r>
        <w:rPr>
          <w:color w:val="525254"/>
          <w:w w:val="110"/>
        </w:rPr>
        <w:t>, </w:t>
      </w:r>
      <w:r>
        <w:rPr>
          <w:color w:val="3B383A"/>
          <w:w w:val="110"/>
        </w:rPr>
        <w:t>however, currently designate </w:t>
      </w:r>
      <w:r>
        <w:rPr>
          <w:rFonts w:ascii="Arial" w:hAnsi="Arial"/>
          <w:b/>
          <w:color w:val="3B383A"/>
          <w:w w:val="110"/>
          <w:sz w:val="21"/>
        </w:rPr>
        <w:t>a </w:t>
      </w:r>
      <w:r>
        <w:rPr>
          <w:color w:val="3B383A"/>
          <w:w w:val="110"/>
        </w:rPr>
        <w:t>sig­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nificant percentage of th</w:t>
      </w:r>
      <w:r>
        <w:rPr>
          <w:color w:val="525254"/>
          <w:w w:val="110"/>
        </w:rPr>
        <w:t>e</w:t>
      </w:r>
      <w:r>
        <w:rPr>
          <w:color w:val="3B383A"/>
          <w:w w:val="110"/>
        </w:rPr>
        <w:t>ir opinions as nonpr</w:t>
      </w:r>
      <w:r>
        <w:rPr>
          <w:color w:val="525254"/>
          <w:w w:val="110"/>
        </w:rPr>
        <w:t>e</w:t>
      </w:r>
      <w:r>
        <w:rPr>
          <w:color w:val="3B383A"/>
          <w:w w:val="110"/>
        </w:rPr>
        <w:t>cedential or unpublished.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Professor Amy Sloan reports that, in 2008</w:t>
      </w:r>
      <w:r>
        <w:rPr>
          <w:color w:val="525254"/>
          <w:w w:val="105"/>
        </w:rPr>
        <w:t>, "</w:t>
      </w:r>
      <w:r>
        <w:rPr>
          <w:color w:val="3B383A"/>
          <w:w w:val="105"/>
        </w:rPr>
        <w:t>84% of opinions issued by the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federal courts of appeals [were] nonprecedential."</w:t>
      </w:r>
      <w:r>
        <w:rPr>
          <w:color w:val="3B383A"/>
          <w:w w:val="110"/>
          <w:vertAlign w:val="superscript"/>
        </w:rPr>
        <w:t>1</w:t>
      </w:r>
      <w:r>
        <w:rPr>
          <w:color w:val="525254"/>
          <w:w w:val="110"/>
          <w:vertAlign w:val="superscript"/>
        </w:rPr>
        <w:t>3</w:t>
      </w:r>
      <w:r>
        <w:rPr>
          <w:color w:val="525254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Actually, because </w:t>
      </w:r>
      <w:r>
        <w:rPr>
          <w:b/>
          <w:color w:val="3B383A"/>
          <w:w w:val="110"/>
          <w:sz w:val="21"/>
          <w:vertAlign w:val="baseline"/>
        </w:rPr>
        <w:t>of</w:t>
      </w:r>
      <w:r>
        <w:rPr>
          <w:b/>
          <w:color w:val="3B383A"/>
          <w:spacing w:val="-55"/>
          <w:w w:val="110"/>
          <w:sz w:val="21"/>
          <w:vertAlign w:val="baseline"/>
        </w:rPr>
        <w:t> </w:t>
      </w:r>
      <w:r>
        <w:rPr>
          <w:color w:val="3B383A"/>
          <w:w w:val="105"/>
          <w:vertAlign w:val="baseline"/>
        </w:rPr>
        <w:t>the</w:t>
      </w:r>
      <w:r>
        <w:rPr>
          <w:color w:val="3B383A"/>
          <w:spacing w:val="1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availability of opinions on  the  Internet and  on  research services such</w:t>
      </w:r>
      <w:r>
        <w:rPr>
          <w:color w:val="3B383A"/>
          <w:spacing w:val="1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as Bloomberg, Lexis, and Westlaw</w:t>
      </w:r>
      <w:r>
        <w:rPr>
          <w:color w:val="525254"/>
          <w:w w:val="105"/>
          <w:vertAlign w:val="baseline"/>
        </w:rPr>
        <w:t>, </w:t>
      </w:r>
      <w:r>
        <w:rPr>
          <w:color w:val="3B383A"/>
          <w:w w:val="105"/>
          <w:vertAlign w:val="baseline"/>
        </w:rPr>
        <w:t>many so-called unpublished decisions</w:t>
      </w:r>
      <w:r>
        <w:rPr>
          <w:color w:val="3B383A"/>
          <w:spacing w:val="1"/>
          <w:w w:val="105"/>
          <w:vertAlign w:val="baseline"/>
        </w:rPr>
        <w:t> </w:t>
      </w:r>
      <w:r>
        <w:rPr>
          <w:color w:val="3B383A"/>
          <w:spacing w:val="-1"/>
          <w:w w:val="110"/>
          <w:vertAlign w:val="baseline"/>
        </w:rPr>
        <w:t>are </w:t>
      </w:r>
      <w:r>
        <w:rPr>
          <w:color w:val="3B383A"/>
          <w:w w:val="110"/>
          <w:vertAlign w:val="baseline"/>
        </w:rPr>
        <w:t>not unpublished in the real sense. Instead, they are decisions that the</w:t>
      </w:r>
      <w:r>
        <w:rPr>
          <w:color w:val="3B383A"/>
          <w:spacing w:val="1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court</w:t>
      </w:r>
      <w:r>
        <w:rPr>
          <w:color w:val="3B383A"/>
          <w:spacing w:val="15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has</w:t>
      </w:r>
      <w:r>
        <w:rPr>
          <w:color w:val="3B383A"/>
          <w:spacing w:val="-3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decided</w:t>
      </w:r>
      <w:r>
        <w:rPr>
          <w:color w:val="3B383A"/>
          <w:spacing w:val="31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to</w:t>
      </w:r>
      <w:r>
        <w:rPr>
          <w:color w:val="3B383A"/>
          <w:spacing w:val="18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designate</w:t>
      </w:r>
      <w:r>
        <w:rPr>
          <w:color w:val="3B383A"/>
          <w:spacing w:val="11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as</w:t>
      </w:r>
      <w:r>
        <w:rPr>
          <w:color w:val="3B383A"/>
          <w:spacing w:val="14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nonprecedential,</w:t>
      </w:r>
      <w:r>
        <w:rPr>
          <w:color w:val="3B383A"/>
          <w:spacing w:val="17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perhaps</w:t>
      </w:r>
      <w:r>
        <w:rPr>
          <w:color w:val="3B383A"/>
          <w:spacing w:val="23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because</w:t>
      </w:r>
      <w:r>
        <w:rPr>
          <w:color w:val="3B383A"/>
          <w:spacing w:val="25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the</w:t>
      </w:r>
    </w:p>
    <w:p>
      <w:pPr>
        <w:pStyle w:val="BodyText"/>
        <w:rPr>
          <w:sz w:val="26"/>
        </w:rPr>
      </w:pPr>
    </w:p>
    <w:p>
      <w:pPr>
        <w:spacing w:line="191" w:lineRule="exact" w:before="157"/>
        <w:ind w:left="861" w:right="0" w:firstLine="0"/>
        <w:jc w:val="both"/>
        <w:rPr>
          <w:i/>
          <w:sz w:val="18"/>
        </w:rPr>
      </w:pPr>
      <w:r>
        <w:rPr>
          <w:rFonts w:ascii="Arial"/>
          <w:color w:val="3B383A"/>
          <w:sz w:val="18"/>
          <w:vertAlign w:val="superscript"/>
        </w:rPr>
        <w:t>11</w:t>
      </w:r>
      <w:r>
        <w:rPr>
          <w:i/>
          <w:color w:val="3B383A"/>
          <w:sz w:val="18"/>
          <w:vertAlign w:val="baseline"/>
        </w:rPr>
        <w:t>Aruuta</w:t>
      </w:r>
      <w:r>
        <w:rPr>
          <w:i/>
          <w:color w:val="525254"/>
          <w:sz w:val="18"/>
          <w:vertAlign w:val="baseline"/>
        </w:rPr>
        <w:t>s</w:t>
      </w:r>
      <w:r>
        <w:rPr>
          <w:i/>
          <w:color w:val="3B383A"/>
          <w:sz w:val="18"/>
          <w:vertAlign w:val="baseline"/>
        </w:rPr>
        <w:t>off</w:t>
      </w:r>
      <w:r>
        <w:rPr>
          <w:i/>
          <w:color w:val="3B383A"/>
          <w:spacing w:val="12"/>
          <w:sz w:val="18"/>
          <w:vertAlign w:val="baseline"/>
        </w:rPr>
        <w:t> </w:t>
      </w:r>
      <w:r>
        <w:rPr>
          <w:i/>
          <w:color w:val="3B383A"/>
          <w:sz w:val="18"/>
          <w:vertAlign w:val="baseline"/>
        </w:rPr>
        <w:t>v</w:t>
      </w:r>
      <w:r>
        <w:rPr>
          <w:i/>
          <w:color w:val="525254"/>
          <w:sz w:val="18"/>
          <w:vertAlign w:val="baseline"/>
        </w:rPr>
        <w:t>.</w:t>
      </w:r>
      <w:r>
        <w:rPr>
          <w:i/>
          <w:color w:val="525254"/>
          <w:spacing w:val="-19"/>
          <w:sz w:val="18"/>
          <w:vertAlign w:val="baseline"/>
        </w:rPr>
        <w:t> </w:t>
      </w:r>
      <w:r>
        <w:rPr>
          <w:i/>
          <w:color w:val="3B383A"/>
          <w:sz w:val="18"/>
          <w:vertAlign w:val="baseline"/>
        </w:rPr>
        <w:t>United</w:t>
      </w:r>
      <w:r>
        <w:rPr>
          <w:i/>
          <w:color w:val="3B383A"/>
          <w:spacing w:val="1"/>
          <w:sz w:val="18"/>
          <w:vertAlign w:val="baseline"/>
        </w:rPr>
        <w:t> </w:t>
      </w:r>
      <w:r>
        <w:rPr>
          <w:i/>
          <w:color w:val="3B383A"/>
          <w:sz w:val="18"/>
          <w:vertAlign w:val="baseline"/>
        </w:rPr>
        <w:t>States,</w:t>
      </w:r>
      <w:r>
        <w:rPr>
          <w:i/>
          <w:color w:val="3B383A"/>
          <w:spacing w:val="-22"/>
          <w:sz w:val="18"/>
          <w:vertAlign w:val="baseline"/>
        </w:rPr>
        <w:t> </w:t>
      </w:r>
      <w:r>
        <w:rPr>
          <w:color w:val="3B383A"/>
          <w:sz w:val="18"/>
          <w:vertAlign w:val="baseline"/>
        </w:rPr>
        <w:t>223</w:t>
      </w:r>
      <w:r>
        <w:rPr>
          <w:color w:val="3B383A"/>
          <w:spacing w:val="-19"/>
          <w:sz w:val="18"/>
          <w:vertAlign w:val="baseline"/>
        </w:rPr>
        <w:t> </w:t>
      </w:r>
      <w:r>
        <w:rPr>
          <w:color w:val="3B383A"/>
          <w:sz w:val="18"/>
          <w:vertAlign w:val="baseline"/>
        </w:rPr>
        <w:t>F</w:t>
      </w:r>
      <w:r>
        <w:rPr>
          <w:color w:val="525254"/>
          <w:sz w:val="18"/>
          <w:vertAlign w:val="baseline"/>
        </w:rPr>
        <w:t>.</w:t>
      </w:r>
      <w:r>
        <w:rPr>
          <w:color w:val="3B383A"/>
          <w:sz w:val="18"/>
          <w:vertAlign w:val="baseline"/>
        </w:rPr>
        <w:t>3d</w:t>
      </w:r>
      <w:r>
        <w:rPr>
          <w:color w:val="3B383A"/>
          <w:spacing w:val="-6"/>
          <w:sz w:val="18"/>
          <w:vertAlign w:val="baseline"/>
        </w:rPr>
        <w:t> </w:t>
      </w:r>
      <w:r>
        <w:rPr>
          <w:color w:val="3B383A"/>
          <w:sz w:val="18"/>
          <w:vertAlign w:val="baseline"/>
        </w:rPr>
        <w:t>898,899{8th</w:t>
      </w:r>
      <w:r>
        <w:rPr>
          <w:color w:val="3B383A"/>
          <w:spacing w:val="-20"/>
          <w:sz w:val="18"/>
          <w:vertAlign w:val="baseline"/>
        </w:rPr>
        <w:t> </w:t>
      </w:r>
      <w:r>
        <w:rPr>
          <w:color w:val="3B383A"/>
          <w:sz w:val="18"/>
          <w:vertAlign w:val="baseline"/>
        </w:rPr>
        <w:t>Cir.</w:t>
      </w:r>
      <w:r>
        <w:rPr>
          <w:color w:val="3B383A"/>
          <w:spacing w:val="-15"/>
          <w:sz w:val="18"/>
          <w:vertAlign w:val="baseline"/>
        </w:rPr>
        <w:t> </w:t>
      </w:r>
      <w:r>
        <w:rPr>
          <w:color w:val="3B383A"/>
          <w:sz w:val="18"/>
          <w:vertAlign w:val="baseline"/>
        </w:rPr>
        <w:t>2000),</w:t>
      </w:r>
      <w:r>
        <w:rPr>
          <w:color w:val="3B383A"/>
          <w:spacing w:val="-7"/>
          <w:sz w:val="18"/>
          <w:vertAlign w:val="baseline"/>
        </w:rPr>
        <w:t> </w:t>
      </w:r>
      <w:r>
        <w:rPr>
          <w:i/>
          <w:color w:val="3B383A"/>
          <w:sz w:val="18"/>
          <w:vertAlign w:val="baseline"/>
        </w:rPr>
        <w:t>vacat</w:t>
      </w:r>
      <w:r>
        <w:rPr>
          <w:i/>
          <w:color w:val="525254"/>
          <w:sz w:val="18"/>
          <w:vertAlign w:val="baseline"/>
        </w:rPr>
        <w:t>e</w:t>
      </w:r>
      <w:r>
        <w:rPr>
          <w:i/>
          <w:color w:val="3B383A"/>
          <w:sz w:val="18"/>
          <w:vertAlign w:val="baseline"/>
        </w:rPr>
        <w:t>d</w:t>
      </w:r>
      <w:r>
        <w:rPr>
          <w:i/>
          <w:color w:val="3B383A"/>
          <w:spacing w:val="1"/>
          <w:sz w:val="18"/>
          <w:vertAlign w:val="baseline"/>
        </w:rPr>
        <w:t> </w:t>
      </w:r>
      <w:r>
        <w:rPr>
          <w:i/>
          <w:color w:val="3B383A"/>
          <w:sz w:val="18"/>
          <w:vertAlign w:val="baseline"/>
        </w:rPr>
        <w:t>a</w:t>
      </w:r>
      <w:r>
        <w:rPr>
          <w:i/>
          <w:color w:val="525254"/>
          <w:sz w:val="18"/>
          <w:vertAlign w:val="baseline"/>
        </w:rPr>
        <w:t>s</w:t>
      </w:r>
      <w:r>
        <w:rPr>
          <w:i/>
          <w:color w:val="525254"/>
          <w:spacing w:val="4"/>
          <w:sz w:val="18"/>
          <w:vertAlign w:val="baseline"/>
        </w:rPr>
        <w:t> </w:t>
      </w:r>
      <w:r>
        <w:rPr>
          <w:i/>
          <w:color w:val="3B383A"/>
          <w:sz w:val="18"/>
          <w:vertAlign w:val="baseline"/>
        </w:rPr>
        <w:t>moot</w:t>
      </w:r>
      <w:r>
        <w:rPr>
          <w:i/>
          <w:color w:val="3B383A"/>
          <w:spacing w:val="-19"/>
          <w:sz w:val="18"/>
          <w:vertAlign w:val="baseline"/>
        </w:rPr>
        <w:t> </w:t>
      </w:r>
      <w:r>
        <w:rPr>
          <w:i/>
          <w:color w:val="3B383A"/>
          <w:sz w:val="18"/>
          <w:vertAlign w:val="baseline"/>
        </w:rPr>
        <w:t>on</w:t>
      </w:r>
      <w:r>
        <w:rPr>
          <w:i/>
          <w:color w:val="3B383A"/>
          <w:spacing w:val="2"/>
          <w:sz w:val="18"/>
          <w:vertAlign w:val="baseline"/>
        </w:rPr>
        <w:t> </w:t>
      </w:r>
      <w:r>
        <w:rPr>
          <w:i/>
          <w:color w:val="3B383A"/>
          <w:sz w:val="18"/>
          <w:vertAlign w:val="baseline"/>
        </w:rPr>
        <w:t>reh'g</w:t>
      </w:r>
      <w:r>
        <w:rPr>
          <w:i/>
          <w:color w:val="525254"/>
          <w:sz w:val="18"/>
          <w:vertAlign w:val="baseline"/>
        </w:rPr>
        <w:t>e</w:t>
      </w:r>
      <w:r>
        <w:rPr>
          <w:i/>
          <w:color w:val="3B383A"/>
          <w:sz w:val="18"/>
          <w:vertAlign w:val="baseline"/>
        </w:rPr>
        <w:t>n</w:t>
      </w:r>
      <w:r>
        <w:rPr>
          <w:i/>
          <w:color w:val="3B383A"/>
          <w:spacing w:val="-1"/>
          <w:sz w:val="18"/>
          <w:vertAlign w:val="baseline"/>
        </w:rPr>
        <w:t> </w:t>
      </w:r>
      <w:r>
        <w:rPr>
          <w:i/>
          <w:color w:val="3B383A"/>
          <w:sz w:val="18"/>
          <w:vertAlign w:val="baseline"/>
        </w:rPr>
        <w:t>bane,</w:t>
      </w:r>
    </w:p>
    <w:p>
      <w:pPr>
        <w:spacing w:line="190" w:lineRule="exact" w:before="0"/>
        <w:ind w:left="482" w:right="0" w:firstLine="0"/>
        <w:jc w:val="both"/>
        <w:rPr>
          <w:sz w:val="17"/>
        </w:rPr>
      </w:pPr>
      <w:r>
        <w:rPr>
          <w:color w:val="3B383A"/>
          <w:sz w:val="18"/>
        </w:rPr>
        <w:t>235</w:t>
      </w:r>
      <w:r>
        <w:rPr>
          <w:color w:val="3B383A"/>
          <w:spacing w:val="52"/>
          <w:sz w:val="18"/>
        </w:rPr>
        <w:t> </w:t>
      </w:r>
      <w:r>
        <w:rPr>
          <w:color w:val="3B383A"/>
          <w:sz w:val="18"/>
        </w:rPr>
        <w:t>F.3d</w:t>
      </w:r>
      <w:r>
        <w:rPr>
          <w:color w:val="3B383A"/>
          <w:spacing w:val="12"/>
          <w:sz w:val="18"/>
        </w:rPr>
        <w:t> </w:t>
      </w:r>
      <w:r>
        <w:rPr>
          <w:color w:val="3B383A"/>
          <w:sz w:val="18"/>
        </w:rPr>
        <w:t>1054</w:t>
      </w:r>
      <w:r>
        <w:rPr>
          <w:color w:val="3B383A"/>
          <w:spacing w:val="-9"/>
          <w:sz w:val="18"/>
        </w:rPr>
        <w:t> </w:t>
      </w:r>
      <w:r>
        <w:rPr>
          <w:color w:val="3B383A"/>
          <w:sz w:val="18"/>
        </w:rPr>
        <w:t>(8th</w:t>
      </w:r>
      <w:r>
        <w:rPr>
          <w:color w:val="3B383A"/>
          <w:spacing w:val="1"/>
          <w:sz w:val="18"/>
        </w:rPr>
        <w:t> </w:t>
      </w:r>
      <w:r>
        <w:rPr>
          <w:color w:val="3B383A"/>
          <w:sz w:val="18"/>
        </w:rPr>
        <w:t>Cir.</w:t>
      </w:r>
      <w:r>
        <w:rPr>
          <w:color w:val="3B383A"/>
          <w:spacing w:val="1"/>
          <w:sz w:val="18"/>
        </w:rPr>
        <w:t> </w:t>
      </w:r>
      <w:r>
        <w:rPr>
          <w:color w:val="3B383A"/>
          <w:sz w:val="17"/>
        </w:rPr>
        <w:t>2000).</w:t>
      </w:r>
    </w:p>
    <w:p>
      <w:pPr>
        <w:spacing w:line="220" w:lineRule="auto" w:before="18"/>
        <w:ind w:left="417" w:right="60" w:firstLine="434"/>
        <w:jc w:val="both"/>
        <w:rPr>
          <w:sz w:val="18"/>
        </w:rPr>
      </w:pPr>
      <w:r>
        <w:rPr>
          <w:rFonts w:ascii="Arial" w:hAnsi="Arial"/>
          <w:color w:val="525254"/>
          <w:w w:val="105"/>
          <w:sz w:val="11"/>
        </w:rPr>
        <w:t>11</w:t>
      </w:r>
      <w:r>
        <w:rPr>
          <w:color w:val="3B383A"/>
          <w:w w:val="105"/>
          <w:sz w:val="18"/>
        </w:rPr>
        <w:t>for</w:t>
      </w:r>
      <w:r>
        <w:rPr>
          <w:color w:val="3B383A"/>
          <w:spacing w:val="7"/>
          <w:w w:val="105"/>
          <w:sz w:val="18"/>
        </w:rPr>
        <w:t> </w:t>
      </w:r>
      <w:r>
        <w:rPr>
          <w:color w:val="3B383A"/>
          <w:w w:val="105"/>
          <w:sz w:val="18"/>
        </w:rPr>
        <w:t>example,</w:t>
      </w:r>
      <w:r>
        <w:rPr>
          <w:color w:val="3B383A"/>
          <w:spacing w:val="-17"/>
          <w:w w:val="105"/>
          <w:sz w:val="18"/>
        </w:rPr>
        <w:t> </w:t>
      </w:r>
      <w:r>
        <w:rPr>
          <w:color w:val="3B383A"/>
          <w:w w:val="105"/>
          <w:sz w:val="18"/>
        </w:rPr>
        <w:t>the</w:t>
      </w:r>
      <w:r>
        <w:rPr>
          <w:color w:val="3B383A"/>
          <w:spacing w:val="-4"/>
          <w:w w:val="105"/>
          <w:sz w:val="18"/>
        </w:rPr>
        <w:t> </w:t>
      </w:r>
      <w:r>
        <w:rPr>
          <w:color w:val="3B383A"/>
          <w:w w:val="105"/>
          <w:sz w:val="18"/>
        </w:rPr>
        <w:t>M</w:t>
      </w:r>
      <w:r>
        <w:rPr>
          <w:color w:val="525254"/>
          <w:w w:val="105"/>
          <w:sz w:val="18"/>
        </w:rPr>
        <w:t>i</w:t>
      </w:r>
      <w:r>
        <w:rPr>
          <w:color w:val="3B383A"/>
          <w:w w:val="105"/>
          <w:sz w:val="18"/>
        </w:rPr>
        <w:t>nnesota</w:t>
      </w:r>
      <w:r>
        <w:rPr>
          <w:color w:val="3B383A"/>
          <w:spacing w:val="-1"/>
          <w:w w:val="105"/>
          <w:sz w:val="18"/>
        </w:rPr>
        <w:t> </w:t>
      </w:r>
      <w:r>
        <w:rPr>
          <w:color w:val="3B383A"/>
          <w:w w:val="105"/>
          <w:sz w:val="18"/>
        </w:rPr>
        <w:t>Rule</w:t>
      </w:r>
      <w:r>
        <w:rPr>
          <w:color w:val="525254"/>
          <w:w w:val="105"/>
          <w:sz w:val="18"/>
        </w:rPr>
        <w:t>s</w:t>
      </w:r>
      <w:r>
        <w:rPr>
          <w:color w:val="3B383A"/>
          <w:w w:val="105"/>
          <w:sz w:val="18"/>
        </w:rPr>
        <w:t>of</w:t>
      </w:r>
      <w:r>
        <w:rPr>
          <w:color w:val="3B383A"/>
          <w:spacing w:val="-21"/>
          <w:w w:val="105"/>
          <w:sz w:val="18"/>
        </w:rPr>
        <w:t> </w:t>
      </w:r>
      <w:r>
        <w:rPr>
          <w:color w:val="3B383A"/>
          <w:w w:val="105"/>
          <w:sz w:val="18"/>
        </w:rPr>
        <w:t>Civil</w:t>
      </w:r>
      <w:r>
        <w:rPr>
          <w:color w:val="3B383A"/>
          <w:spacing w:val="-13"/>
          <w:w w:val="105"/>
          <w:sz w:val="18"/>
        </w:rPr>
        <w:t> </w:t>
      </w:r>
      <w:r>
        <w:rPr>
          <w:color w:val="3B383A"/>
          <w:w w:val="105"/>
          <w:sz w:val="18"/>
        </w:rPr>
        <w:t>Appellate</w:t>
      </w:r>
      <w:r>
        <w:rPr>
          <w:color w:val="3B383A"/>
          <w:spacing w:val="-10"/>
          <w:w w:val="105"/>
          <w:sz w:val="18"/>
        </w:rPr>
        <w:t> </w:t>
      </w:r>
      <w:r>
        <w:rPr>
          <w:color w:val="3B383A"/>
          <w:w w:val="105"/>
          <w:sz w:val="18"/>
        </w:rPr>
        <w:t>Procedure</w:t>
      </w:r>
      <w:r>
        <w:rPr>
          <w:color w:val="3B383A"/>
          <w:spacing w:val="6"/>
          <w:w w:val="105"/>
          <w:sz w:val="18"/>
        </w:rPr>
        <w:t> </w:t>
      </w:r>
      <w:r>
        <w:rPr>
          <w:color w:val="3B383A"/>
          <w:w w:val="105"/>
          <w:sz w:val="18"/>
        </w:rPr>
        <w:t>provide</w:t>
      </w:r>
      <w:r>
        <w:rPr>
          <w:color w:val="3B383A"/>
          <w:spacing w:val="-11"/>
          <w:w w:val="105"/>
          <w:sz w:val="18"/>
        </w:rPr>
        <w:t> </w:t>
      </w:r>
      <w:r>
        <w:rPr>
          <w:color w:val="3B383A"/>
          <w:w w:val="105"/>
          <w:sz w:val="18"/>
        </w:rPr>
        <w:t>that</w:t>
      </w:r>
      <w:r>
        <w:rPr>
          <w:color w:val="3B383A"/>
          <w:spacing w:val="-14"/>
          <w:w w:val="105"/>
          <w:sz w:val="18"/>
        </w:rPr>
        <w:t> </w:t>
      </w:r>
      <w:r>
        <w:rPr>
          <w:color w:val="3B383A"/>
          <w:w w:val="105"/>
          <w:sz w:val="18"/>
        </w:rPr>
        <w:t>"[u]npublished</w:t>
      </w:r>
      <w:r>
        <w:rPr>
          <w:color w:val="3B383A"/>
          <w:spacing w:val="1"/>
          <w:w w:val="105"/>
          <w:sz w:val="18"/>
        </w:rPr>
        <w:t> </w:t>
      </w:r>
      <w:r>
        <w:rPr>
          <w:color w:val="3B383A"/>
          <w:w w:val="105"/>
          <w:sz w:val="18"/>
        </w:rPr>
        <w:t>opinions and orderopinions are not precedentlal except as law of the case, r</w:t>
      </w:r>
      <w:r>
        <w:rPr>
          <w:color w:val="525254"/>
          <w:w w:val="105"/>
          <w:sz w:val="18"/>
        </w:rPr>
        <w:t>e</w:t>
      </w:r>
      <w:r>
        <w:rPr>
          <w:color w:val="3B383A"/>
          <w:w w:val="105"/>
          <w:sz w:val="18"/>
        </w:rPr>
        <w:t>s judlcata or collat­</w:t>
      </w:r>
      <w:r>
        <w:rPr>
          <w:color w:val="3B383A"/>
          <w:spacing w:val="1"/>
          <w:w w:val="105"/>
          <w:sz w:val="18"/>
        </w:rPr>
        <w:t> </w:t>
      </w:r>
      <w:r>
        <w:rPr>
          <w:color w:val="3B383A"/>
          <w:w w:val="105"/>
          <w:sz w:val="18"/>
        </w:rPr>
        <w:t>eral estoppel, and may </w:t>
      </w:r>
      <w:r>
        <w:rPr>
          <w:rFonts w:ascii="Arial" w:hAnsi="Arial"/>
          <w:color w:val="3B383A"/>
          <w:w w:val="105"/>
          <w:sz w:val="16"/>
        </w:rPr>
        <w:t>be </w:t>
      </w:r>
      <w:r>
        <w:rPr>
          <w:color w:val="3B383A"/>
          <w:w w:val="105"/>
          <w:sz w:val="18"/>
        </w:rPr>
        <w:t>cited only as provided In Minnesota Statutes, se</w:t>
      </w:r>
      <w:r>
        <w:rPr>
          <w:color w:val="525254"/>
          <w:w w:val="105"/>
          <w:sz w:val="18"/>
        </w:rPr>
        <w:t>c</w:t>
      </w:r>
      <w:r>
        <w:rPr>
          <w:color w:val="3B383A"/>
          <w:w w:val="105"/>
          <w:sz w:val="18"/>
        </w:rPr>
        <w:t>tion 480A.08, subd. </w:t>
      </w:r>
      <w:r>
        <w:rPr>
          <w:rFonts w:ascii="Arial" w:hAnsi="Arial"/>
          <w:color w:val="3B383A"/>
          <w:w w:val="105"/>
          <w:sz w:val="16"/>
        </w:rPr>
        <w:t>3</w:t>
      </w:r>
      <w:r>
        <w:rPr>
          <w:rFonts w:ascii="Arial" w:hAnsi="Arial"/>
          <w:color w:val="3B383A"/>
          <w:spacing w:val="1"/>
          <w:w w:val="105"/>
          <w:sz w:val="16"/>
        </w:rPr>
        <w:t> </w:t>
      </w:r>
      <w:r>
        <w:rPr>
          <w:rFonts w:ascii="Arial" w:hAnsi="Arial"/>
          <w:i/>
          <w:color w:val="3B383A"/>
          <w:w w:val="110"/>
          <w:sz w:val="15"/>
        </w:rPr>
        <w:t>(l996)</w:t>
      </w:r>
      <w:r>
        <w:rPr>
          <w:rFonts w:ascii="Arial" w:hAnsi="Arial"/>
          <w:i/>
          <w:color w:val="646467"/>
          <w:w w:val="110"/>
          <w:sz w:val="15"/>
        </w:rPr>
        <w:t>.</w:t>
      </w:r>
      <w:r>
        <w:rPr>
          <w:rFonts w:ascii="Arial" w:hAnsi="Arial"/>
          <w:i/>
          <w:color w:val="3B383A"/>
          <w:w w:val="110"/>
          <w:sz w:val="15"/>
        </w:rPr>
        <w:t>"</w:t>
      </w:r>
      <w:r>
        <w:rPr>
          <w:rFonts w:ascii="Arial" w:hAnsi="Arial"/>
          <w:i/>
          <w:color w:val="3B383A"/>
          <w:spacing w:val="33"/>
          <w:w w:val="110"/>
          <w:sz w:val="15"/>
        </w:rPr>
        <w:t> </w:t>
      </w:r>
      <w:r>
        <w:rPr>
          <w:color w:val="3B383A"/>
          <w:w w:val="110"/>
          <w:sz w:val="18"/>
        </w:rPr>
        <w:t>Minn.</w:t>
      </w:r>
      <w:r>
        <w:rPr>
          <w:color w:val="3B383A"/>
          <w:spacing w:val="-10"/>
          <w:w w:val="110"/>
          <w:sz w:val="18"/>
        </w:rPr>
        <w:t> </w:t>
      </w:r>
      <w:r>
        <w:rPr>
          <w:color w:val="3B383A"/>
          <w:w w:val="110"/>
          <w:sz w:val="18"/>
        </w:rPr>
        <w:t>R</w:t>
      </w:r>
      <w:r>
        <w:rPr>
          <w:color w:val="525254"/>
          <w:w w:val="110"/>
          <w:sz w:val="18"/>
        </w:rPr>
        <w:t>.</w:t>
      </w:r>
      <w:r>
        <w:rPr>
          <w:color w:val="525254"/>
          <w:spacing w:val="-14"/>
          <w:w w:val="110"/>
          <w:sz w:val="18"/>
        </w:rPr>
        <w:t> </w:t>
      </w:r>
      <w:r>
        <w:rPr>
          <w:color w:val="3B383A"/>
          <w:w w:val="110"/>
          <w:sz w:val="18"/>
        </w:rPr>
        <w:t>Civ.</w:t>
      </w:r>
      <w:r>
        <w:rPr>
          <w:color w:val="3B383A"/>
          <w:spacing w:val="-19"/>
          <w:w w:val="110"/>
          <w:sz w:val="18"/>
        </w:rPr>
        <w:t> </w:t>
      </w:r>
      <w:r>
        <w:rPr>
          <w:color w:val="3B383A"/>
          <w:w w:val="110"/>
          <w:sz w:val="18"/>
        </w:rPr>
        <w:t>App</w:t>
      </w:r>
      <w:r>
        <w:rPr>
          <w:color w:val="525254"/>
          <w:w w:val="110"/>
          <w:sz w:val="18"/>
        </w:rPr>
        <w:t>.</w:t>
      </w:r>
      <w:r>
        <w:rPr>
          <w:color w:val="525254"/>
          <w:spacing w:val="-11"/>
          <w:w w:val="110"/>
          <w:sz w:val="18"/>
        </w:rPr>
        <w:t> </w:t>
      </w:r>
      <w:r>
        <w:rPr>
          <w:color w:val="3B383A"/>
          <w:w w:val="110"/>
          <w:sz w:val="18"/>
        </w:rPr>
        <w:t>Proc</w:t>
      </w:r>
      <w:r>
        <w:rPr>
          <w:color w:val="525254"/>
          <w:w w:val="110"/>
          <w:sz w:val="18"/>
        </w:rPr>
        <w:t>.</w:t>
      </w:r>
      <w:r>
        <w:rPr>
          <w:color w:val="525254"/>
          <w:spacing w:val="-18"/>
          <w:w w:val="110"/>
          <w:sz w:val="18"/>
        </w:rPr>
        <w:t> </w:t>
      </w:r>
      <w:r>
        <w:rPr>
          <w:color w:val="3B383A"/>
          <w:w w:val="110"/>
          <w:sz w:val="18"/>
        </w:rPr>
        <w:t>136.0l(b</w:t>
      </w:r>
      <w:r>
        <w:rPr>
          <w:color w:val="525254"/>
          <w:w w:val="110"/>
          <w:sz w:val="18"/>
        </w:rPr>
        <w:t>)</w:t>
      </w:r>
      <w:r>
        <w:rPr>
          <w:color w:val="3B383A"/>
          <w:w w:val="110"/>
          <w:sz w:val="18"/>
        </w:rPr>
        <w:t>{Wl4).</w:t>
      </w:r>
    </w:p>
    <w:p>
      <w:pPr>
        <w:spacing w:line="192" w:lineRule="auto" w:before="48"/>
        <w:ind w:left="412" w:right="83" w:firstLine="419"/>
        <w:jc w:val="both"/>
        <w:rPr>
          <w:rFonts w:ascii="Arial"/>
          <w:i/>
          <w:sz w:val="17"/>
        </w:rPr>
      </w:pPr>
      <w:r>
        <w:rPr>
          <w:color w:val="3B383A"/>
          <w:w w:val="95"/>
          <w:position w:val="6"/>
          <w:sz w:val="10"/>
        </w:rPr>
        <w:t>13 </w:t>
      </w:r>
      <w:r>
        <w:rPr>
          <w:color w:val="3B383A"/>
          <w:w w:val="95"/>
          <w:sz w:val="18"/>
        </w:rPr>
        <w:t>Amy E.Sloan</w:t>
      </w:r>
      <w:r>
        <w:rPr>
          <w:color w:val="525254"/>
          <w:w w:val="95"/>
          <w:sz w:val="18"/>
        </w:rPr>
        <w:t>, </w:t>
      </w:r>
      <w:r>
        <w:rPr>
          <w:i/>
          <w:color w:val="3B383A"/>
          <w:w w:val="95"/>
          <w:sz w:val="16"/>
        </w:rPr>
        <w:t>If </w:t>
      </w:r>
      <w:r>
        <w:rPr>
          <w:i/>
          <w:color w:val="3B383A"/>
          <w:w w:val="95"/>
          <w:sz w:val="18"/>
        </w:rPr>
        <w:t>YouCan't B</w:t>
      </w:r>
      <w:r>
        <w:rPr>
          <w:i/>
          <w:color w:val="525254"/>
          <w:w w:val="95"/>
          <w:sz w:val="18"/>
        </w:rPr>
        <w:t>e</w:t>
      </w:r>
      <w:r>
        <w:rPr>
          <w:i/>
          <w:color w:val="3B383A"/>
          <w:w w:val="95"/>
          <w:sz w:val="18"/>
        </w:rPr>
        <w:t>at </w:t>
      </w:r>
      <w:r>
        <w:rPr>
          <w:i/>
          <w:color w:val="525254"/>
          <w:w w:val="95"/>
          <w:sz w:val="18"/>
        </w:rPr>
        <w:t>'</w:t>
      </w:r>
      <w:r>
        <w:rPr>
          <w:i/>
          <w:color w:val="3B383A"/>
          <w:w w:val="95"/>
          <w:sz w:val="18"/>
        </w:rPr>
        <w:t>em</w:t>
      </w:r>
      <w:r>
        <w:rPr>
          <w:i/>
          <w:color w:val="525254"/>
          <w:w w:val="95"/>
          <w:sz w:val="18"/>
        </w:rPr>
        <w:t>, </w:t>
      </w:r>
      <w:r>
        <w:rPr>
          <w:i/>
          <w:color w:val="3B383A"/>
          <w:w w:val="95"/>
          <w:sz w:val="18"/>
        </w:rPr>
        <w:t>Join </w:t>
      </w:r>
      <w:r>
        <w:rPr>
          <w:i/>
          <w:color w:val="3B383A"/>
          <w:w w:val="95"/>
          <w:sz w:val="17"/>
        </w:rPr>
        <w:t>'em:</w:t>
      </w:r>
      <w:r>
        <w:rPr>
          <w:i/>
          <w:color w:val="3B383A"/>
          <w:w w:val="95"/>
          <w:sz w:val="16"/>
        </w:rPr>
        <w:t>A</w:t>
      </w:r>
      <w:r>
        <w:rPr>
          <w:i/>
          <w:color w:val="3B383A"/>
          <w:spacing w:val="36"/>
          <w:sz w:val="16"/>
        </w:rPr>
        <w:t> </w:t>
      </w:r>
      <w:r>
        <w:rPr>
          <w:i/>
          <w:color w:val="3B383A"/>
          <w:w w:val="95"/>
          <w:sz w:val="18"/>
        </w:rPr>
        <w:t>Pragmatic Approach to Nonprecedential Opinions</w:t>
      </w:r>
      <w:r>
        <w:rPr>
          <w:i/>
          <w:color w:val="3B383A"/>
          <w:spacing w:val="1"/>
          <w:w w:val="95"/>
          <w:sz w:val="18"/>
        </w:rPr>
        <w:t> </w:t>
      </w:r>
      <w:r>
        <w:rPr>
          <w:rFonts w:ascii="Arial"/>
          <w:i/>
          <w:color w:val="3B383A"/>
          <w:sz w:val="15"/>
        </w:rPr>
        <w:t>In</w:t>
      </w:r>
      <w:r>
        <w:rPr>
          <w:rFonts w:ascii="Arial"/>
          <w:i/>
          <w:color w:val="3B383A"/>
          <w:spacing w:val="41"/>
          <w:sz w:val="15"/>
        </w:rPr>
        <w:t> </w:t>
      </w:r>
      <w:r>
        <w:rPr>
          <w:rFonts w:ascii="Arial"/>
          <w:i/>
          <w:color w:val="3B383A"/>
          <w:sz w:val="15"/>
        </w:rPr>
        <w:t>the</w:t>
      </w:r>
      <w:r>
        <w:rPr>
          <w:rFonts w:ascii="Arial"/>
          <w:i/>
          <w:color w:val="3B383A"/>
          <w:spacing w:val="42"/>
          <w:sz w:val="15"/>
        </w:rPr>
        <w:t> </w:t>
      </w:r>
      <w:r>
        <w:rPr>
          <w:rFonts w:ascii="Arial"/>
          <w:i/>
          <w:color w:val="3B383A"/>
          <w:sz w:val="15"/>
        </w:rPr>
        <w:t>Federal Appellat.e</w:t>
      </w:r>
      <w:r>
        <w:rPr>
          <w:i/>
          <w:color w:val="525254"/>
          <w:sz w:val="18"/>
        </w:rPr>
        <w:t>C</w:t>
      </w:r>
      <w:r>
        <w:rPr>
          <w:i/>
          <w:color w:val="3B383A"/>
          <w:sz w:val="18"/>
        </w:rPr>
        <w:t>ourts</w:t>
      </w:r>
      <w:r>
        <w:rPr>
          <w:i/>
          <w:color w:val="525254"/>
          <w:sz w:val="18"/>
        </w:rPr>
        <w:t>, </w:t>
      </w:r>
      <w:r>
        <w:rPr>
          <w:color w:val="3B383A"/>
          <w:position w:val="5"/>
          <w:sz w:val="18"/>
        </w:rPr>
        <w:t>86 </w:t>
      </w:r>
      <w:r>
        <w:rPr>
          <w:color w:val="3B383A"/>
          <w:sz w:val="18"/>
        </w:rPr>
        <w:t>Neb. </w:t>
      </w:r>
      <w:r>
        <w:rPr>
          <w:rFonts w:ascii="Arial"/>
          <w:color w:val="3B383A"/>
          <w:sz w:val="16"/>
        </w:rPr>
        <w:t>L. </w:t>
      </w:r>
      <w:r>
        <w:rPr>
          <w:color w:val="3B383A"/>
          <w:sz w:val="18"/>
        </w:rPr>
        <w:t>Rev</w:t>
      </w:r>
      <w:r>
        <w:rPr>
          <w:color w:val="525254"/>
          <w:sz w:val="18"/>
        </w:rPr>
        <w:t>. </w:t>
      </w:r>
      <w:r>
        <w:rPr>
          <w:rFonts w:ascii="Arial"/>
          <w:i/>
          <w:color w:val="3B383A"/>
          <w:sz w:val="15"/>
        </w:rPr>
        <w:t>895,</w:t>
      </w:r>
      <w:r>
        <w:rPr>
          <w:color w:val="3B383A"/>
          <w:sz w:val="18"/>
        </w:rPr>
        <w:t>898 (2008</w:t>
      </w:r>
      <w:r>
        <w:rPr>
          <w:color w:val="646467"/>
          <w:sz w:val="18"/>
        </w:rPr>
        <w:t>) </w:t>
      </w:r>
      <w:r>
        <w:rPr>
          <w:color w:val="525254"/>
          <w:sz w:val="18"/>
        </w:rPr>
        <w:t>(</w:t>
      </w:r>
      <w:r>
        <w:rPr>
          <w:color w:val="3B383A"/>
          <w:sz w:val="18"/>
        </w:rPr>
        <w:t>citing Statistics Div</w:t>
      </w:r>
      <w:r>
        <w:rPr>
          <w:color w:val="525254"/>
          <w:sz w:val="18"/>
        </w:rPr>
        <w:t>.</w:t>
      </w:r>
      <w:r>
        <w:rPr>
          <w:color w:val="3B383A"/>
          <w:sz w:val="18"/>
        </w:rPr>
        <w:t>, Admin</w:t>
      </w:r>
      <w:r>
        <w:rPr>
          <w:color w:val="525254"/>
          <w:sz w:val="18"/>
        </w:rPr>
        <w:t>. </w:t>
      </w:r>
      <w:r>
        <w:rPr>
          <w:color w:val="3B383A"/>
          <w:sz w:val="18"/>
        </w:rPr>
        <w:t>Office</w:t>
      </w:r>
      <w:r>
        <w:rPr>
          <w:color w:val="3B383A"/>
          <w:spacing w:val="1"/>
          <w:sz w:val="18"/>
        </w:rPr>
        <w:t> </w:t>
      </w:r>
      <w:r>
        <w:rPr>
          <w:rFonts w:ascii="Arial"/>
          <w:color w:val="3B383A"/>
          <w:sz w:val="18"/>
        </w:rPr>
        <w:t>of</w:t>
      </w:r>
      <w:r>
        <w:rPr>
          <w:rFonts w:ascii="Arial"/>
          <w:color w:val="3B383A"/>
          <w:spacing w:val="50"/>
          <w:sz w:val="18"/>
        </w:rPr>
        <w:t> </w:t>
      </w:r>
      <w:r>
        <w:rPr>
          <w:color w:val="3B383A"/>
          <w:sz w:val="18"/>
        </w:rPr>
        <w:t>the</w:t>
      </w:r>
      <w:r>
        <w:rPr>
          <w:color w:val="3B383A"/>
          <w:spacing w:val="46"/>
          <w:sz w:val="18"/>
        </w:rPr>
        <w:t> </w:t>
      </w:r>
      <w:r>
        <w:rPr>
          <w:color w:val="3B383A"/>
          <w:sz w:val="17"/>
        </w:rPr>
        <w:t>U</w:t>
      </w:r>
      <w:r>
        <w:rPr>
          <w:color w:val="525254"/>
          <w:sz w:val="17"/>
        </w:rPr>
        <w:t>.</w:t>
      </w:r>
      <w:r>
        <w:rPr>
          <w:color w:val="3B383A"/>
          <w:sz w:val="17"/>
        </w:rPr>
        <w:t>S. </w:t>
      </w:r>
      <w:r>
        <w:rPr>
          <w:color w:val="3B383A"/>
          <w:sz w:val="18"/>
        </w:rPr>
        <w:t>Courts, </w:t>
      </w:r>
      <w:r>
        <w:rPr>
          <w:color w:val="3B383A"/>
          <w:position w:val="6"/>
          <w:sz w:val="17"/>
        </w:rPr>
        <w:t>2006 </w:t>
      </w:r>
      <w:r>
        <w:rPr>
          <w:color w:val="3B383A"/>
          <w:sz w:val="18"/>
        </w:rPr>
        <w:t>Annual </w:t>
      </w:r>
      <w:r>
        <w:rPr>
          <w:color w:val="3B383A"/>
          <w:sz w:val="17"/>
        </w:rPr>
        <w:t>Report </w:t>
      </w:r>
      <w:r>
        <w:rPr>
          <w:color w:val="3B383A"/>
          <w:sz w:val="18"/>
        </w:rPr>
        <w:t>of the</w:t>
      </w:r>
      <w:r>
        <w:rPr>
          <w:color w:val="3B383A"/>
          <w:spacing w:val="45"/>
          <w:sz w:val="18"/>
        </w:rPr>
        <w:t> </w:t>
      </w:r>
      <w:r>
        <w:rPr>
          <w:color w:val="3B383A"/>
          <w:sz w:val="18"/>
        </w:rPr>
        <w:t>Director: Judi</w:t>
      </w:r>
      <w:r>
        <w:rPr>
          <w:color w:val="525254"/>
          <w:sz w:val="18"/>
        </w:rPr>
        <w:t>c</w:t>
      </w:r>
      <w:r>
        <w:rPr>
          <w:color w:val="3B383A"/>
          <w:sz w:val="18"/>
        </w:rPr>
        <w:t>ial Business of</w:t>
      </w:r>
      <w:r>
        <w:rPr>
          <w:color w:val="3B383A"/>
          <w:spacing w:val="45"/>
          <w:sz w:val="18"/>
        </w:rPr>
        <w:t> </w:t>
      </w:r>
      <w:r>
        <w:rPr>
          <w:color w:val="3B383A"/>
          <w:sz w:val="18"/>
        </w:rPr>
        <w:t>the</w:t>
      </w:r>
      <w:r>
        <w:rPr>
          <w:color w:val="3B383A"/>
          <w:spacing w:val="45"/>
          <w:sz w:val="18"/>
        </w:rPr>
        <w:t> </w:t>
      </w:r>
      <w:r>
        <w:rPr>
          <w:color w:val="3B383A"/>
          <w:sz w:val="18"/>
        </w:rPr>
        <w:t>United States</w:t>
      </w:r>
      <w:r>
        <w:rPr>
          <w:color w:val="3B383A"/>
          <w:spacing w:val="1"/>
          <w:sz w:val="18"/>
        </w:rPr>
        <w:t> </w:t>
      </w:r>
      <w:r>
        <w:rPr>
          <w:color w:val="3B383A"/>
          <w:w w:val="105"/>
          <w:sz w:val="18"/>
        </w:rPr>
        <w:t>courts</w:t>
      </w:r>
      <w:r>
        <w:rPr>
          <w:color w:val="3B383A"/>
          <w:spacing w:val="-20"/>
          <w:w w:val="105"/>
          <w:sz w:val="18"/>
        </w:rPr>
        <w:t> </w:t>
      </w:r>
      <w:r>
        <w:rPr>
          <w:rFonts w:ascii="Arial"/>
          <w:i/>
          <w:color w:val="3B383A"/>
          <w:w w:val="105"/>
          <w:sz w:val="17"/>
        </w:rPr>
        <w:t>52(2007))</w:t>
      </w:r>
      <w:r>
        <w:rPr>
          <w:rFonts w:ascii="Arial"/>
          <w:i/>
          <w:color w:val="525254"/>
          <w:w w:val="105"/>
          <w:sz w:val="17"/>
        </w:rPr>
        <w:t>.</w:t>
      </w:r>
    </w:p>
    <w:p>
      <w:pPr>
        <w:spacing w:after="0" w:line="192" w:lineRule="auto"/>
        <w:jc w:val="both"/>
        <w:rPr>
          <w:rFonts w:ascii="Arial"/>
          <w:sz w:val="17"/>
        </w:rPr>
        <w:sectPr>
          <w:headerReference w:type="even" r:id="rId162"/>
          <w:headerReference w:type="default" r:id="rId163"/>
          <w:pgSz w:w="9150" w:h="13820"/>
          <w:pgMar w:header="424" w:footer="0" w:top="1000" w:bottom="0" w:left="1260" w:right="0"/>
          <w:pgNumType w:start="138"/>
        </w:sectPr>
      </w:pPr>
    </w:p>
    <w:p>
      <w:pPr>
        <w:spacing w:line="244" w:lineRule="auto" w:before="81"/>
        <w:ind w:left="122" w:right="213" w:firstLine="24"/>
        <w:jc w:val="both"/>
        <w:rPr>
          <w:rFonts w:ascii="Arial" w:hAnsi="Arial"/>
          <w:sz w:val="22"/>
        </w:rPr>
      </w:pPr>
      <w:r>
        <w:rPr>
          <w:color w:val="383638"/>
          <w:w w:val="115"/>
          <w:sz w:val="22"/>
        </w:rPr>
        <w:t>judges believe that they address routine issues that will not</w:t>
      </w:r>
      <w:r>
        <w:rPr>
          <w:color w:val="383638"/>
          <w:spacing w:val="1"/>
          <w:w w:val="115"/>
          <w:sz w:val="22"/>
        </w:rPr>
        <w:t> </w:t>
      </w:r>
      <w:r>
        <w:rPr>
          <w:color w:val="383638"/>
          <w:w w:val="115"/>
          <w:sz w:val="22"/>
        </w:rPr>
        <w:t>add</w:t>
      </w:r>
      <w:r>
        <w:rPr>
          <w:color w:val="383638"/>
          <w:spacing w:val="1"/>
          <w:w w:val="115"/>
          <w:sz w:val="22"/>
        </w:rPr>
        <w:t> </w:t>
      </w:r>
      <w:r>
        <w:rPr>
          <w:color w:val="383638"/>
          <w:w w:val="115"/>
          <w:sz w:val="22"/>
        </w:rPr>
        <w:t>signifi­</w:t>
      </w:r>
      <w:r>
        <w:rPr>
          <w:color w:val="383638"/>
          <w:spacing w:val="1"/>
          <w:w w:val="115"/>
          <w:sz w:val="22"/>
        </w:rPr>
        <w:t> </w:t>
      </w:r>
      <w:r>
        <w:rPr>
          <w:color w:val="383638"/>
          <w:w w:val="115"/>
          <w:sz w:val="22"/>
        </w:rPr>
        <w:t>cantly</w:t>
      </w:r>
      <w:r>
        <w:rPr>
          <w:color w:val="383638"/>
          <w:spacing w:val="-12"/>
          <w:w w:val="115"/>
          <w:sz w:val="22"/>
        </w:rPr>
        <w:t> </w:t>
      </w:r>
      <w:r>
        <w:rPr>
          <w:color w:val="383638"/>
          <w:w w:val="115"/>
          <w:sz w:val="22"/>
        </w:rPr>
        <w:t>to</w:t>
      </w:r>
      <w:r>
        <w:rPr>
          <w:color w:val="383638"/>
          <w:spacing w:val="11"/>
          <w:w w:val="115"/>
          <w:sz w:val="22"/>
        </w:rPr>
        <w:t> </w:t>
      </w:r>
      <w:r>
        <w:rPr>
          <w:color w:val="383638"/>
          <w:w w:val="115"/>
          <w:sz w:val="22"/>
        </w:rPr>
        <w:t>the</w:t>
      </w:r>
      <w:r>
        <w:rPr>
          <w:color w:val="383638"/>
          <w:spacing w:val="19"/>
          <w:w w:val="115"/>
          <w:sz w:val="22"/>
        </w:rPr>
        <w:t> </w:t>
      </w:r>
      <w:r>
        <w:rPr>
          <w:color w:val="383638"/>
          <w:w w:val="115"/>
          <w:sz w:val="22"/>
        </w:rPr>
        <w:t>body</w:t>
      </w:r>
      <w:r>
        <w:rPr>
          <w:color w:val="383638"/>
          <w:spacing w:val="-16"/>
          <w:w w:val="115"/>
          <w:sz w:val="22"/>
        </w:rPr>
        <w:t> </w:t>
      </w:r>
      <w:r>
        <w:rPr>
          <w:color w:val="383638"/>
          <w:w w:val="115"/>
          <w:sz w:val="22"/>
        </w:rPr>
        <w:t>of</w:t>
      </w:r>
      <w:r>
        <w:rPr>
          <w:color w:val="383638"/>
          <w:spacing w:val="4"/>
          <w:w w:val="115"/>
          <w:sz w:val="22"/>
        </w:rPr>
        <w:t> </w:t>
      </w:r>
      <w:r>
        <w:rPr>
          <w:color w:val="383638"/>
          <w:w w:val="115"/>
          <w:sz w:val="22"/>
        </w:rPr>
        <w:t>law.</w:t>
      </w:r>
      <w:r>
        <w:rPr>
          <w:rFonts w:ascii="Arial" w:hAnsi="Arial"/>
          <w:color w:val="383638"/>
          <w:w w:val="115"/>
          <w:sz w:val="22"/>
          <w:vertAlign w:val="superscript"/>
        </w:rPr>
        <w:t>14</w:t>
      </w:r>
    </w:p>
    <w:p>
      <w:pPr>
        <w:spacing w:line="244" w:lineRule="auto" w:before="3"/>
        <w:ind w:left="119" w:right="192" w:firstLine="341"/>
        <w:jc w:val="both"/>
        <w:rPr>
          <w:sz w:val="22"/>
        </w:rPr>
      </w:pPr>
      <w:r>
        <w:rPr>
          <w:color w:val="383638"/>
          <w:w w:val="115"/>
          <w:sz w:val="22"/>
        </w:rPr>
        <w:t>The local rules of the various federal appellate courts and of the vari­</w:t>
      </w:r>
      <w:r>
        <w:rPr>
          <w:color w:val="383638"/>
          <w:spacing w:val="1"/>
          <w:w w:val="115"/>
          <w:sz w:val="22"/>
        </w:rPr>
        <w:t> </w:t>
      </w:r>
      <w:r>
        <w:rPr>
          <w:color w:val="383638"/>
          <w:w w:val="115"/>
          <w:sz w:val="22"/>
        </w:rPr>
        <w:t>ous state courts treat nonprecedentialdecisions in a variety of ways. Some</w:t>
      </w:r>
      <w:r>
        <w:rPr>
          <w:color w:val="383638"/>
          <w:spacing w:val="1"/>
          <w:w w:val="115"/>
          <w:sz w:val="22"/>
        </w:rPr>
        <w:t> </w:t>
      </w:r>
      <w:r>
        <w:rPr>
          <w:color w:val="383638"/>
          <w:w w:val="120"/>
          <w:sz w:val="22"/>
        </w:rPr>
        <w:t>courts have promulgated rules that seem to favor the issuance of prec­</w:t>
      </w:r>
      <w:r>
        <w:rPr>
          <w:color w:val="383638"/>
          <w:spacing w:val="1"/>
          <w:w w:val="120"/>
          <w:sz w:val="22"/>
        </w:rPr>
        <w:t> </w:t>
      </w:r>
      <w:r>
        <w:rPr>
          <w:color w:val="383638"/>
          <w:w w:val="115"/>
          <w:sz w:val="22"/>
        </w:rPr>
        <w:t>edential decisions, while others disfavor their issuance, and still others are</w:t>
      </w:r>
      <w:r>
        <w:rPr>
          <w:color w:val="383638"/>
          <w:spacing w:val="1"/>
          <w:w w:val="115"/>
          <w:sz w:val="22"/>
        </w:rPr>
        <w:t> </w:t>
      </w:r>
      <w:r>
        <w:rPr>
          <w:color w:val="383638"/>
          <w:w w:val="115"/>
          <w:sz w:val="22"/>
        </w:rPr>
        <w:t>silent.</w:t>
      </w:r>
      <w:r>
        <w:rPr>
          <w:color w:val="383638"/>
          <w:w w:val="115"/>
          <w:sz w:val="22"/>
          <w:vertAlign w:val="superscript"/>
        </w:rPr>
        <w:t>15</w:t>
      </w:r>
      <w:r>
        <w:rPr>
          <w:color w:val="383638"/>
          <w:w w:val="115"/>
          <w:sz w:val="22"/>
          <w:vertAlign w:val="baseline"/>
        </w:rPr>
        <w:t> Illinois Supreme Court Rule 23, for example, designates catego­</w:t>
      </w:r>
      <w:r>
        <w:rPr>
          <w:color w:val="383638"/>
          <w:spacing w:val="1"/>
          <w:w w:val="115"/>
          <w:sz w:val="22"/>
          <w:vertAlign w:val="baseline"/>
        </w:rPr>
        <w:t> </w:t>
      </w:r>
      <w:r>
        <w:rPr>
          <w:color w:val="383638"/>
          <w:spacing w:val="-1"/>
          <w:w w:val="120"/>
          <w:sz w:val="22"/>
          <w:vertAlign w:val="baseline"/>
        </w:rPr>
        <w:t>ries of appellate court decisions </w:t>
      </w:r>
      <w:r>
        <w:rPr>
          <w:color w:val="383638"/>
          <w:w w:val="120"/>
          <w:sz w:val="22"/>
          <w:vertAlign w:val="baseline"/>
        </w:rPr>
        <w:t>as precedential or nonprecedential, and</w:t>
      </w:r>
      <w:r>
        <w:rPr>
          <w:color w:val="383638"/>
          <w:spacing w:val="1"/>
          <w:w w:val="120"/>
          <w:sz w:val="22"/>
          <w:vertAlign w:val="baseline"/>
        </w:rPr>
        <w:t> </w:t>
      </w:r>
      <w:r>
        <w:rPr>
          <w:color w:val="383638"/>
          <w:spacing w:val="-1"/>
          <w:w w:val="120"/>
          <w:sz w:val="22"/>
          <w:vertAlign w:val="baseline"/>
        </w:rPr>
        <w:t>section (a) of that rule explains which decisions are </w:t>
      </w:r>
      <w:r>
        <w:rPr>
          <w:color w:val="383638"/>
          <w:w w:val="120"/>
          <w:sz w:val="22"/>
          <w:vertAlign w:val="baseline"/>
        </w:rPr>
        <w:t>appropriate for "full</w:t>
      </w:r>
      <w:r>
        <w:rPr>
          <w:color w:val="383638"/>
          <w:spacing w:val="-63"/>
          <w:w w:val="120"/>
          <w:sz w:val="22"/>
          <w:vertAlign w:val="baseline"/>
        </w:rPr>
        <w:t> </w:t>
      </w:r>
      <w:r>
        <w:rPr>
          <w:color w:val="383638"/>
          <w:w w:val="120"/>
          <w:sz w:val="22"/>
          <w:vertAlign w:val="baseline"/>
        </w:rPr>
        <w:t>opinions":</w:t>
      </w:r>
    </w:p>
    <w:p>
      <w:pPr>
        <w:spacing w:line="220" w:lineRule="auto" w:before="139"/>
        <w:ind w:left="470" w:right="574" w:hanging="9"/>
        <w:jc w:val="both"/>
        <w:rPr>
          <w:sz w:val="22"/>
        </w:rPr>
      </w:pPr>
      <w:r>
        <w:rPr>
          <w:color w:val="383638"/>
          <w:w w:val="105"/>
          <w:sz w:val="22"/>
        </w:rPr>
        <w:t>The decision of the Appellate Court may be expressed in one of the fol­</w:t>
      </w:r>
      <w:r>
        <w:rPr>
          <w:color w:val="383638"/>
          <w:spacing w:val="1"/>
          <w:w w:val="105"/>
          <w:sz w:val="22"/>
        </w:rPr>
        <w:t> </w:t>
      </w:r>
      <w:r>
        <w:rPr>
          <w:color w:val="383638"/>
          <w:w w:val="105"/>
          <w:sz w:val="22"/>
        </w:rPr>
        <w:t>lowing forms: a full opinion, a concise written order, or a summary o</w:t>
      </w:r>
      <w:r>
        <w:rPr>
          <w:color w:val="504F52"/>
          <w:w w:val="105"/>
          <w:sz w:val="22"/>
        </w:rPr>
        <w:t>r</w:t>
      </w:r>
      <w:r>
        <w:rPr>
          <w:color w:val="383638"/>
          <w:w w:val="105"/>
          <w:sz w:val="22"/>
        </w:rPr>
        <w:t>der</w:t>
      </w:r>
      <w:r>
        <w:rPr>
          <w:color w:val="383638"/>
          <w:spacing w:val="1"/>
          <w:w w:val="105"/>
          <w:sz w:val="22"/>
        </w:rPr>
        <w:t> </w:t>
      </w:r>
      <w:r>
        <w:rPr>
          <w:color w:val="383638"/>
          <w:w w:val="105"/>
          <w:sz w:val="22"/>
        </w:rPr>
        <w:t>conforming to</w:t>
      </w:r>
      <w:r>
        <w:rPr>
          <w:color w:val="383638"/>
          <w:spacing w:val="1"/>
          <w:w w:val="105"/>
          <w:sz w:val="22"/>
        </w:rPr>
        <w:t> </w:t>
      </w:r>
      <w:r>
        <w:rPr>
          <w:color w:val="383638"/>
          <w:w w:val="105"/>
          <w:sz w:val="22"/>
        </w:rPr>
        <w:t>the</w:t>
      </w:r>
      <w:r>
        <w:rPr>
          <w:color w:val="383638"/>
          <w:spacing w:val="1"/>
          <w:w w:val="105"/>
          <w:sz w:val="22"/>
        </w:rPr>
        <w:t> </w:t>
      </w:r>
      <w:r>
        <w:rPr>
          <w:color w:val="383638"/>
          <w:w w:val="105"/>
          <w:sz w:val="22"/>
        </w:rPr>
        <w:t>provisions of this rule. All dispositive opinions and</w:t>
      </w:r>
      <w:r>
        <w:rPr>
          <w:color w:val="383638"/>
          <w:spacing w:val="1"/>
          <w:w w:val="105"/>
          <w:sz w:val="22"/>
        </w:rPr>
        <w:t> </w:t>
      </w:r>
      <w:r>
        <w:rPr>
          <w:color w:val="383638"/>
          <w:w w:val="105"/>
          <w:sz w:val="22"/>
        </w:rPr>
        <w:t>orders shall contain  the names of the  judges who  rendered the  opinion</w:t>
      </w:r>
      <w:r>
        <w:rPr>
          <w:color w:val="383638"/>
          <w:spacing w:val="1"/>
          <w:w w:val="105"/>
          <w:sz w:val="22"/>
        </w:rPr>
        <w:t> </w:t>
      </w:r>
      <w:r>
        <w:rPr>
          <w:color w:val="383638"/>
          <w:w w:val="105"/>
          <w:sz w:val="22"/>
        </w:rPr>
        <w:t>or</w:t>
      </w:r>
      <w:r>
        <w:rPr>
          <w:color w:val="383638"/>
          <w:spacing w:val="-14"/>
          <w:w w:val="105"/>
          <w:sz w:val="22"/>
        </w:rPr>
        <w:t> </w:t>
      </w:r>
      <w:r>
        <w:rPr>
          <w:color w:val="383638"/>
          <w:w w:val="105"/>
          <w:sz w:val="22"/>
        </w:rPr>
        <w:t>order.</w:t>
      </w:r>
    </w:p>
    <w:p>
      <w:pPr>
        <w:spacing w:line="223" w:lineRule="auto" w:before="154"/>
        <w:ind w:left="469" w:right="596" w:firstLine="365"/>
        <w:jc w:val="both"/>
        <w:rPr>
          <w:sz w:val="22"/>
        </w:rPr>
      </w:pPr>
      <w:r>
        <w:rPr>
          <w:color w:val="383638"/>
          <w:w w:val="105"/>
          <w:sz w:val="22"/>
        </w:rPr>
        <w:t>(a) Opinions. A case may be disposed of by an opinion only when a</w:t>
      </w:r>
      <w:r>
        <w:rPr>
          <w:color w:val="383638"/>
          <w:spacing w:val="1"/>
          <w:w w:val="105"/>
          <w:sz w:val="22"/>
        </w:rPr>
        <w:t> </w:t>
      </w:r>
      <w:r>
        <w:rPr>
          <w:color w:val="383638"/>
          <w:w w:val="105"/>
          <w:sz w:val="22"/>
        </w:rPr>
        <w:t>majority of the panel deciding the case determines that at least on</w:t>
      </w:r>
      <w:r>
        <w:rPr>
          <w:color w:val="504F52"/>
          <w:w w:val="105"/>
          <w:sz w:val="22"/>
        </w:rPr>
        <w:t>e </w:t>
      </w:r>
      <w:r>
        <w:rPr>
          <w:color w:val="383638"/>
          <w:w w:val="105"/>
          <w:sz w:val="22"/>
        </w:rPr>
        <w:t>of the</w:t>
      </w:r>
      <w:r>
        <w:rPr>
          <w:color w:val="383638"/>
          <w:spacing w:val="1"/>
          <w:w w:val="105"/>
          <w:sz w:val="22"/>
        </w:rPr>
        <w:t> </w:t>
      </w:r>
      <w:r>
        <w:rPr>
          <w:color w:val="383638"/>
          <w:w w:val="105"/>
          <w:sz w:val="22"/>
        </w:rPr>
        <w:t>following</w:t>
      </w:r>
      <w:r>
        <w:rPr>
          <w:color w:val="383638"/>
          <w:spacing w:val="-11"/>
          <w:w w:val="105"/>
          <w:sz w:val="22"/>
        </w:rPr>
        <w:t> </w:t>
      </w:r>
      <w:r>
        <w:rPr>
          <w:color w:val="383638"/>
          <w:w w:val="105"/>
          <w:sz w:val="22"/>
        </w:rPr>
        <w:t>criteria</w:t>
      </w:r>
      <w:r>
        <w:rPr>
          <w:color w:val="383638"/>
          <w:spacing w:val="7"/>
          <w:w w:val="105"/>
          <w:sz w:val="22"/>
        </w:rPr>
        <w:t> </w:t>
      </w:r>
      <w:r>
        <w:rPr>
          <w:color w:val="383638"/>
          <w:w w:val="105"/>
          <w:sz w:val="22"/>
        </w:rPr>
        <w:t>is</w:t>
      </w:r>
      <w:r>
        <w:rPr>
          <w:color w:val="383638"/>
          <w:spacing w:val="-13"/>
          <w:w w:val="105"/>
          <w:sz w:val="22"/>
        </w:rPr>
        <w:t> </w:t>
      </w:r>
      <w:r>
        <w:rPr>
          <w:color w:val="383638"/>
          <w:w w:val="105"/>
          <w:sz w:val="22"/>
        </w:rPr>
        <w:t>satisfied:</w:t>
      </w:r>
    </w:p>
    <w:p>
      <w:pPr>
        <w:pStyle w:val="ListParagraph"/>
        <w:numPr>
          <w:ilvl w:val="0"/>
          <w:numId w:val="61"/>
        </w:numPr>
        <w:tabs>
          <w:tab w:pos="1026" w:val="left" w:leader="none"/>
        </w:tabs>
        <w:spacing w:line="211" w:lineRule="auto" w:before="162" w:after="0"/>
        <w:ind w:left="470" w:right="579" w:firstLine="239"/>
        <w:jc w:val="left"/>
        <w:rPr>
          <w:sz w:val="22"/>
        </w:rPr>
      </w:pPr>
      <w:r>
        <w:rPr>
          <w:color w:val="383638"/>
          <w:w w:val="105"/>
          <w:sz w:val="22"/>
        </w:rPr>
        <w:t>the</w:t>
      </w:r>
      <w:r>
        <w:rPr>
          <w:color w:val="383638"/>
          <w:spacing w:val="40"/>
          <w:w w:val="105"/>
          <w:sz w:val="22"/>
        </w:rPr>
        <w:t> </w:t>
      </w:r>
      <w:r>
        <w:rPr>
          <w:color w:val="383638"/>
          <w:w w:val="105"/>
          <w:sz w:val="22"/>
        </w:rPr>
        <w:t>decision</w:t>
      </w:r>
      <w:r>
        <w:rPr>
          <w:color w:val="383638"/>
          <w:spacing w:val="21"/>
          <w:w w:val="105"/>
          <w:sz w:val="22"/>
        </w:rPr>
        <w:t> </w:t>
      </w:r>
      <w:r>
        <w:rPr>
          <w:color w:val="383638"/>
          <w:w w:val="105"/>
          <w:sz w:val="22"/>
        </w:rPr>
        <w:t>establishes</w:t>
      </w:r>
      <w:r>
        <w:rPr>
          <w:color w:val="383638"/>
          <w:spacing w:val="2"/>
          <w:w w:val="105"/>
          <w:sz w:val="22"/>
        </w:rPr>
        <w:t> </w:t>
      </w:r>
      <w:r>
        <w:rPr>
          <w:color w:val="383638"/>
          <w:w w:val="105"/>
          <w:sz w:val="22"/>
        </w:rPr>
        <w:t>a</w:t>
      </w:r>
      <w:r>
        <w:rPr>
          <w:color w:val="383638"/>
          <w:spacing w:val="32"/>
          <w:w w:val="105"/>
          <w:sz w:val="22"/>
        </w:rPr>
        <w:t> </w:t>
      </w:r>
      <w:r>
        <w:rPr>
          <w:color w:val="383638"/>
          <w:w w:val="105"/>
          <w:sz w:val="22"/>
        </w:rPr>
        <w:t>new</w:t>
      </w:r>
      <w:r>
        <w:rPr>
          <w:color w:val="383638"/>
          <w:spacing w:val="17"/>
          <w:w w:val="105"/>
          <w:sz w:val="22"/>
        </w:rPr>
        <w:t> </w:t>
      </w:r>
      <w:r>
        <w:rPr>
          <w:color w:val="383638"/>
          <w:w w:val="105"/>
          <w:sz w:val="22"/>
        </w:rPr>
        <w:t>rule</w:t>
      </w:r>
      <w:r>
        <w:rPr>
          <w:color w:val="383638"/>
          <w:spacing w:val="6"/>
          <w:w w:val="105"/>
          <w:sz w:val="22"/>
        </w:rPr>
        <w:t> </w:t>
      </w:r>
      <w:r>
        <w:rPr>
          <w:color w:val="383638"/>
          <w:w w:val="105"/>
          <w:sz w:val="22"/>
        </w:rPr>
        <w:t>of</w:t>
      </w:r>
      <w:r>
        <w:rPr>
          <w:color w:val="383638"/>
          <w:spacing w:val="24"/>
          <w:w w:val="105"/>
          <w:sz w:val="22"/>
        </w:rPr>
        <w:t> </w:t>
      </w:r>
      <w:r>
        <w:rPr>
          <w:color w:val="383638"/>
          <w:w w:val="105"/>
          <w:sz w:val="22"/>
        </w:rPr>
        <w:t>law</w:t>
      </w:r>
      <w:r>
        <w:rPr>
          <w:color w:val="383638"/>
          <w:spacing w:val="-2"/>
          <w:w w:val="105"/>
          <w:sz w:val="22"/>
        </w:rPr>
        <w:t> </w:t>
      </w:r>
      <w:r>
        <w:rPr>
          <w:color w:val="383638"/>
          <w:w w:val="105"/>
          <w:sz w:val="22"/>
        </w:rPr>
        <w:t>or</w:t>
      </w:r>
      <w:r>
        <w:rPr>
          <w:color w:val="383638"/>
          <w:spacing w:val="25"/>
          <w:w w:val="105"/>
          <w:sz w:val="22"/>
        </w:rPr>
        <w:t> </w:t>
      </w:r>
      <w:r>
        <w:rPr>
          <w:color w:val="383638"/>
          <w:w w:val="105"/>
          <w:sz w:val="22"/>
        </w:rPr>
        <w:t>modifies,</w:t>
      </w:r>
      <w:r>
        <w:rPr>
          <w:color w:val="383638"/>
          <w:spacing w:val="13"/>
          <w:w w:val="105"/>
          <w:sz w:val="22"/>
        </w:rPr>
        <w:t> </w:t>
      </w:r>
      <w:r>
        <w:rPr>
          <w:color w:val="383638"/>
          <w:w w:val="105"/>
          <w:sz w:val="22"/>
        </w:rPr>
        <w:t>explains</w:t>
      </w:r>
      <w:r>
        <w:rPr>
          <w:color w:val="383638"/>
          <w:spacing w:val="2"/>
          <w:w w:val="105"/>
          <w:sz w:val="22"/>
        </w:rPr>
        <w:t> </w:t>
      </w:r>
      <w:r>
        <w:rPr>
          <w:color w:val="383638"/>
          <w:w w:val="105"/>
          <w:sz w:val="22"/>
        </w:rPr>
        <w:t>or</w:t>
      </w:r>
      <w:r>
        <w:rPr>
          <w:color w:val="383638"/>
          <w:spacing w:val="-54"/>
          <w:w w:val="105"/>
          <w:sz w:val="22"/>
        </w:rPr>
        <w:t> </w:t>
      </w:r>
      <w:r>
        <w:rPr>
          <w:color w:val="383638"/>
          <w:sz w:val="22"/>
        </w:rPr>
        <w:t>criticizes</w:t>
      </w:r>
      <w:r>
        <w:rPr>
          <w:color w:val="383638"/>
          <w:spacing w:val="-3"/>
          <w:sz w:val="22"/>
        </w:rPr>
        <w:t> </w:t>
      </w:r>
      <w:r>
        <w:rPr>
          <w:color w:val="383638"/>
          <w:sz w:val="22"/>
        </w:rPr>
        <w:t>an</w:t>
      </w:r>
      <w:r>
        <w:rPr>
          <w:color w:val="383638"/>
          <w:spacing w:val="29"/>
          <w:sz w:val="22"/>
        </w:rPr>
        <w:t> </w:t>
      </w:r>
      <w:r>
        <w:rPr>
          <w:color w:val="383638"/>
          <w:sz w:val="22"/>
        </w:rPr>
        <w:t>existing</w:t>
      </w:r>
      <w:r>
        <w:rPr>
          <w:color w:val="383638"/>
          <w:spacing w:val="-2"/>
          <w:sz w:val="22"/>
        </w:rPr>
        <w:t> </w:t>
      </w:r>
      <w:r>
        <w:rPr>
          <w:color w:val="383638"/>
          <w:sz w:val="22"/>
        </w:rPr>
        <w:t>rule</w:t>
      </w:r>
      <w:r>
        <w:rPr>
          <w:color w:val="383638"/>
          <w:spacing w:val="-14"/>
          <w:sz w:val="22"/>
        </w:rPr>
        <w:t> </w:t>
      </w:r>
      <w:r>
        <w:rPr>
          <w:color w:val="383638"/>
          <w:sz w:val="22"/>
        </w:rPr>
        <w:t>of</w:t>
      </w:r>
      <w:r>
        <w:rPr>
          <w:color w:val="383638"/>
          <w:spacing w:val="14"/>
          <w:sz w:val="22"/>
        </w:rPr>
        <w:t> </w:t>
      </w:r>
      <w:r>
        <w:rPr>
          <w:color w:val="383638"/>
          <w:sz w:val="22"/>
        </w:rPr>
        <w:t>law;</w:t>
      </w:r>
      <w:r>
        <w:rPr>
          <w:color w:val="383638"/>
          <w:spacing w:val="-13"/>
          <w:sz w:val="22"/>
        </w:rPr>
        <w:t> </w:t>
      </w:r>
      <w:r>
        <w:rPr>
          <w:color w:val="383638"/>
          <w:sz w:val="22"/>
        </w:rPr>
        <w:t>or</w:t>
      </w:r>
    </w:p>
    <w:p>
      <w:pPr>
        <w:pStyle w:val="ListParagraph"/>
        <w:numPr>
          <w:ilvl w:val="0"/>
          <w:numId w:val="61"/>
        </w:numPr>
        <w:tabs>
          <w:tab w:pos="1065" w:val="left" w:leader="none"/>
        </w:tabs>
        <w:spacing w:line="228" w:lineRule="auto" w:before="12" w:after="0"/>
        <w:ind w:left="470" w:right="576" w:firstLine="239"/>
        <w:jc w:val="left"/>
        <w:rPr>
          <w:sz w:val="22"/>
        </w:rPr>
      </w:pPr>
      <w:r>
        <w:rPr>
          <w:color w:val="383638"/>
          <w:w w:val="105"/>
          <w:sz w:val="22"/>
        </w:rPr>
        <w:t>the</w:t>
      </w:r>
      <w:r>
        <w:rPr>
          <w:color w:val="383638"/>
          <w:spacing w:val="1"/>
          <w:w w:val="105"/>
          <w:sz w:val="22"/>
        </w:rPr>
        <w:t> </w:t>
      </w:r>
      <w:r>
        <w:rPr>
          <w:color w:val="383638"/>
          <w:w w:val="105"/>
          <w:sz w:val="22"/>
        </w:rPr>
        <w:t>decision</w:t>
      </w:r>
      <w:r>
        <w:rPr>
          <w:color w:val="383638"/>
          <w:spacing w:val="1"/>
          <w:w w:val="105"/>
          <w:sz w:val="22"/>
        </w:rPr>
        <w:t> </w:t>
      </w:r>
      <w:r>
        <w:rPr>
          <w:color w:val="383638"/>
          <w:w w:val="105"/>
          <w:sz w:val="22"/>
        </w:rPr>
        <w:t>resolves,</w:t>
      </w:r>
      <w:r>
        <w:rPr>
          <w:color w:val="383638"/>
          <w:spacing w:val="1"/>
          <w:w w:val="105"/>
          <w:sz w:val="22"/>
        </w:rPr>
        <w:t> </w:t>
      </w:r>
      <w:r>
        <w:rPr>
          <w:color w:val="383638"/>
          <w:w w:val="105"/>
          <w:sz w:val="22"/>
        </w:rPr>
        <w:t>creates,</w:t>
      </w:r>
      <w:r>
        <w:rPr>
          <w:color w:val="383638"/>
          <w:spacing w:val="1"/>
          <w:w w:val="105"/>
          <w:sz w:val="22"/>
        </w:rPr>
        <w:t> </w:t>
      </w:r>
      <w:r>
        <w:rPr>
          <w:color w:val="383638"/>
          <w:w w:val="105"/>
          <w:sz w:val="22"/>
        </w:rPr>
        <w:t>or</w:t>
      </w:r>
      <w:r>
        <w:rPr>
          <w:color w:val="383638"/>
          <w:spacing w:val="1"/>
          <w:w w:val="105"/>
          <w:sz w:val="22"/>
        </w:rPr>
        <w:t> </w:t>
      </w:r>
      <w:r>
        <w:rPr>
          <w:color w:val="383638"/>
          <w:w w:val="105"/>
          <w:sz w:val="22"/>
        </w:rPr>
        <w:t>avoids an</w:t>
      </w:r>
      <w:r>
        <w:rPr>
          <w:color w:val="383638"/>
          <w:spacing w:val="1"/>
          <w:w w:val="105"/>
          <w:sz w:val="22"/>
        </w:rPr>
        <w:t> </w:t>
      </w:r>
      <w:r>
        <w:rPr>
          <w:color w:val="383638"/>
          <w:w w:val="105"/>
          <w:sz w:val="22"/>
        </w:rPr>
        <w:t>apparent</w:t>
      </w:r>
      <w:r>
        <w:rPr>
          <w:color w:val="383638"/>
          <w:spacing w:val="1"/>
          <w:w w:val="105"/>
          <w:sz w:val="22"/>
        </w:rPr>
        <w:t> </w:t>
      </w:r>
      <w:r>
        <w:rPr>
          <w:color w:val="383638"/>
          <w:w w:val="105"/>
          <w:sz w:val="22"/>
        </w:rPr>
        <w:t>conflict</w:t>
      </w:r>
      <w:r>
        <w:rPr>
          <w:color w:val="383638"/>
          <w:spacing w:val="1"/>
          <w:w w:val="105"/>
          <w:sz w:val="22"/>
        </w:rPr>
        <w:t> </w:t>
      </w:r>
      <w:r>
        <w:rPr>
          <w:color w:val="383638"/>
          <w:w w:val="105"/>
          <w:sz w:val="22"/>
        </w:rPr>
        <w:t>of</w:t>
      </w:r>
      <w:r>
        <w:rPr>
          <w:color w:val="383638"/>
          <w:spacing w:val="-55"/>
          <w:w w:val="105"/>
          <w:sz w:val="22"/>
        </w:rPr>
        <w:t> </w:t>
      </w:r>
      <w:r>
        <w:rPr>
          <w:color w:val="383638"/>
          <w:w w:val="105"/>
          <w:sz w:val="22"/>
        </w:rPr>
        <w:t>authority</w:t>
      </w:r>
      <w:r>
        <w:rPr>
          <w:color w:val="383638"/>
          <w:spacing w:val="3"/>
          <w:w w:val="105"/>
          <w:sz w:val="22"/>
        </w:rPr>
        <w:t> </w:t>
      </w:r>
      <w:r>
        <w:rPr>
          <w:color w:val="383638"/>
          <w:w w:val="105"/>
          <w:sz w:val="22"/>
        </w:rPr>
        <w:t>within</w:t>
      </w:r>
      <w:r>
        <w:rPr>
          <w:color w:val="383638"/>
          <w:spacing w:val="-3"/>
          <w:w w:val="105"/>
          <w:sz w:val="22"/>
        </w:rPr>
        <w:t> </w:t>
      </w:r>
      <w:r>
        <w:rPr>
          <w:color w:val="383638"/>
          <w:w w:val="105"/>
          <w:sz w:val="22"/>
        </w:rPr>
        <w:t>the</w:t>
      </w:r>
      <w:r>
        <w:rPr>
          <w:color w:val="383638"/>
          <w:spacing w:val="14"/>
          <w:w w:val="105"/>
          <w:sz w:val="22"/>
        </w:rPr>
        <w:t> </w:t>
      </w:r>
      <w:r>
        <w:rPr>
          <w:color w:val="383638"/>
          <w:w w:val="105"/>
          <w:sz w:val="22"/>
        </w:rPr>
        <w:t>Appellate</w:t>
      </w:r>
      <w:r>
        <w:rPr>
          <w:color w:val="383638"/>
          <w:spacing w:val="-11"/>
          <w:w w:val="105"/>
          <w:sz w:val="22"/>
        </w:rPr>
        <w:t> </w:t>
      </w:r>
      <w:r>
        <w:rPr>
          <w:color w:val="383638"/>
          <w:w w:val="105"/>
          <w:sz w:val="22"/>
        </w:rPr>
        <w:t>Court.</w:t>
      </w:r>
    </w:p>
    <w:p>
      <w:pPr>
        <w:spacing w:line="242" w:lineRule="auto" w:before="155"/>
        <w:ind w:left="122" w:right="175" w:firstLine="5"/>
        <w:jc w:val="both"/>
        <w:rPr>
          <w:sz w:val="22"/>
        </w:rPr>
      </w:pPr>
      <w:r>
        <w:rPr>
          <w:color w:val="383638"/>
          <w:w w:val="120"/>
          <w:sz w:val="22"/>
        </w:rPr>
        <w:t>Although this rule does not distinguish between "published" and "non­</w:t>
      </w:r>
      <w:r>
        <w:rPr>
          <w:color w:val="383638"/>
          <w:spacing w:val="1"/>
          <w:w w:val="120"/>
          <w:sz w:val="22"/>
        </w:rPr>
        <w:t> </w:t>
      </w:r>
      <w:r>
        <w:rPr>
          <w:color w:val="383638"/>
          <w:w w:val="115"/>
          <w:sz w:val="22"/>
        </w:rPr>
        <w:t>published" decisions, the court's rule designates both kinds of "orders" as</w:t>
      </w:r>
      <w:r>
        <w:rPr>
          <w:color w:val="383638"/>
          <w:spacing w:val="1"/>
          <w:w w:val="115"/>
          <w:sz w:val="22"/>
        </w:rPr>
        <w:t> </w:t>
      </w:r>
      <w:r>
        <w:rPr>
          <w:color w:val="383638"/>
          <w:w w:val="120"/>
          <w:sz w:val="22"/>
        </w:rPr>
        <w:t>nonprecedential. Furthermore, in contrast to the federal rule, this state</w:t>
      </w:r>
      <w:r>
        <w:rPr>
          <w:color w:val="383638"/>
          <w:spacing w:val="1"/>
          <w:w w:val="120"/>
          <w:sz w:val="22"/>
        </w:rPr>
        <w:t> </w:t>
      </w:r>
      <w:r>
        <w:rPr>
          <w:color w:val="383638"/>
          <w:w w:val="115"/>
          <w:sz w:val="22"/>
        </w:rPr>
        <w:t>court rule (at 23(e)) forbids citation of nonprecedential decisions except </w:t>
      </w:r>
      <w:r>
        <w:rPr>
          <w:color w:val="383638"/>
          <w:w w:val="115"/>
          <w:sz w:val="21"/>
        </w:rPr>
        <w:t>in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20"/>
          <w:sz w:val="22"/>
        </w:rPr>
        <w:t>limited</w:t>
      </w:r>
      <w:r>
        <w:rPr>
          <w:color w:val="383638"/>
          <w:spacing w:val="-8"/>
          <w:w w:val="120"/>
          <w:sz w:val="22"/>
        </w:rPr>
        <w:t> </w:t>
      </w:r>
      <w:r>
        <w:rPr>
          <w:color w:val="383638"/>
          <w:w w:val="120"/>
          <w:sz w:val="22"/>
        </w:rPr>
        <w:t>circumstances:</w:t>
      </w:r>
    </w:p>
    <w:p>
      <w:pPr>
        <w:pStyle w:val="ListParagraph"/>
        <w:numPr>
          <w:ilvl w:val="0"/>
          <w:numId w:val="62"/>
        </w:numPr>
        <w:tabs>
          <w:tab w:pos="773" w:val="left" w:leader="none"/>
        </w:tabs>
        <w:spacing w:line="240" w:lineRule="auto" w:before="119" w:after="0"/>
        <w:ind w:left="772" w:right="0" w:hanging="294"/>
        <w:jc w:val="both"/>
        <w:rPr>
          <w:b/>
          <w:sz w:val="21"/>
        </w:rPr>
      </w:pPr>
      <w:r>
        <w:rPr>
          <w:b/>
          <w:color w:val="383638"/>
          <w:w w:val="105"/>
          <w:sz w:val="21"/>
        </w:rPr>
        <w:t>Effect</w:t>
      </w:r>
      <w:r>
        <w:rPr>
          <w:b/>
          <w:color w:val="383638"/>
          <w:spacing w:val="-9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of</w:t>
      </w:r>
      <w:r>
        <w:rPr>
          <w:b/>
          <w:color w:val="383638"/>
          <w:spacing w:val="17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Orders</w:t>
      </w:r>
      <w:r>
        <w:rPr>
          <w:b/>
          <w:color w:val="504F52"/>
          <w:w w:val="105"/>
          <w:sz w:val="21"/>
        </w:rPr>
        <w:t>.</w:t>
      </w:r>
    </w:p>
    <w:p>
      <w:pPr>
        <w:pStyle w:val="ListParagraph"/>
        <w:numPr>
          <w:ilvl w:val="1"/>
          <w:numId w:val="62"/>
        </w:numPr>
        <w:tabs>
          <w:tab w:pos="788" w:val="left" w:leader="none"/>
        </w:tabs>
        <w:spacing w:line="225" w:lineRule="auto" w:before="146" w:after="0"/>
        <w:ind w:left="470" w:right="535" w:hanging="2"/>
        <w:jc w:val="both"/>
        <w:rPr>
          <w:sz w:val="22"/>
        </w:rPr>
      </w:pPr>
      <w:r>
        <w:rPr>
          <w:color w:val="383638"/>
          <w:w w:val="105"/>
          <w:sz w:val="22"/>
        </w:rPr>
        <w:t>[A concise written order or a summary order] is not precedential and</w:t>
      </w:r>
      <w:r>
        <w:rPr>
          <w:color w:val="383638"/>
          <w:spacing w:val="1"/>
          <w:w w:val="105"/>
          <w:sz w:val="22"/>
        </w:rPr>
        <w:t> </w:t>
      </w:r>
      <w:r>
        <w:rPr>
          <w:color w:val="383638"/>
          <w:w w:val="105"/>
          <w:sz w:val="22"/>
        </w:rPr>
        <w:t>may not </w:t>
      </w:r>
      <w:r>
        <w:rPr>
          <w:rFonts w:ascii="Arial"/>
          <w:color w:val="383638"/>
          <w:w w:val="105"/>
          <w:sz w:val="20"/>
        </w:rPr>
        <w:t>be </w:t>
      </w:r>
      <w:r>
        <w:rPr>
          <w:color w:val="383638"/>
          <w:w w:val="105"/>
          <w:sz w:val="22"/>
        </w:rPr>
        <w:t>cited </w:t>
      </w:r>
      <w:r>
        <w:rPr>
          <w:rFonts w:ascii="Arial"/>
          <w:color w:val="383638"/>
          <w:w w:val="105"/>
          <w:sz w:val="20"/>
        </w:rPr>
        <w:t>by </w:t>
      </w:r>
      <w:r>
        <w:rPr>
          <w:color w:val="383638"/>
          <w:w w:val="105"/>
          <w:sz w:val="22"/>
        </w:rPr>
        <w:t>any</w:t>
      </w:r>
      <w:r>
        <w:rPr>
          <w:color w:val="383638"/>
          <w:spacing w:val="1"/>
          <w:w w:val="105"/>
          <w:sz w:val="22"/>
        </w:rPr>
        <w:t> </w:t>
      </w:r>
      <w:r>
        <w:rPr>
          <w:color w:val="383638"/>
          <w:w w:val="105"/>
          <w:sz w:val="22"/>
        </w:rPr>
        <w:t>party except to support contentions of double</w:t>
      </w:r>
      <w:r>
        <w:rPr>
          <w:color w:val="383638"/>
          <w:spacing w:val="1"/>
          <w:w w:val="105"/>
          <w:sz w:val="22"/>
        </w:rPr>
        <w:t> </w:t>
      </w:r>
      <w:r>
        <w:rPr>
          <w:color w:val="383638"/>
          <w:spacing w:val="-1"/>
          <w:w w:val="105"/>
          <w:sz w:val="22"/>
        </w:rPr>
        <w:t>jeopardy, </w:t>
      </w:r>
      <w:r>
        <w:rPr>
          <w:rFonts w:ascii="Arial"/>
          <w:i/>
          <w:color w:val="383638"/>
          <w:spacing w:val="-1"/>
          <w:w w:val="105"/>
          <w:sz w:val="19"/>
        </w:rPr>
        <w:t>res judicata, </w:t>
      </w:r>
      <w:r>
        <w:rPr>
          <w:color w:val="383638"/>
          <w:spacing w:val="-1"/>
          <w:w w:val="105"/>
          <w:sz w:val="22"/>
        </w:rPr>
        <w:t>collateral </w:t>
      </w:r>
      <w:r>
        <w:rPr>
          <w:color w:val="383638"/>
          <w:w w:val="105"/>
          <w:sz w:val="22"/>
        </w:rPr>
        <w:t>estoppel or law of the case. When cited for</w:t>
      </w:r>
      <w:r>
        <w:rPr>
          <w:color w:val="383638"/>
          <w:spacing w:val="-55"/>
          <w:w w:val="105"/>
          <w:sz w:val="22"/>
        </w:rPr>
        <w:t> </w:t>
      </w:r>
      <w:r>
        <w:rPr>
          <w:color w:val="383638"/>
          <w:w w:val="105"/>
          <w:sz w:val="22"/>
        </w:rPr>
        <w:t>these purposes, a copy of the order shall be furnished to all other counsel</w:t>
      </w:r>
      <w:r>
        <w:rPr>
          <w:color w:val="383638"/>
          <w:spacing w:val="1"/>
          <w:w w:val="105"/>
          <w:sz w:val="22"/>
        </w:rPr>
        <w:t> </w:t>
      </w:r>
      <w:r>
        <w:rPr>
          <w:color w:val="383638"/>
          <w:w w:val="105"/>
          <w:sz w:val="22"/>
        </w:rPr>
        <w:t>and</w:t>
      </w:r>
      <w:r>
        <w:rPr>
          <w:color w:val="383638"/>
          <w:spacing w:val="-5"/>
          <w:w w:val="105"/>
          <w:sz w:val="22"/>
        </w:rPr>
        <w:t> </w:t>
      </w:r>
      <w:r>
        <w:rPr>
          <w:color w:val="383638"/>
          <w:w w:val="105"/>
          <w:sz w:val="22"/>
        </w:rPr>
        <w:t>the court.</w:t>
      </w:r>
    </w:p>
    <w:p>
      <w:pPr>
        <w:spacing w:line="240" w:lineRule="auto" w:before="148"/>
        <w:ind w:left="131" w:right="126" w:firstLine="352"/>
        <w:jc w:val="both"/>
        <w:rPr>
          <w:sz w:val="22"/>
        </w:rPr>
      </w:pPr>
      <w:r>
        <w:rPr>
          <w:color w:val="383638"/>
          <w:w w:val="115"/>
          <w:sz w:val="22"/>
        </w:rPr>
        <w:t>Because a search on the Internet or on Westlaw, Bloomberg, or Lexis</w:t>
      </w:r>
      <w:r>
        <w:rPr>
          <w:color w:val="383638"/>
          <w:spacing w:val="1"/>
          <w:w w:val="115"/>
          <w:sz w:val="22"/>
        </w:rPr>
        <w:t> </w:t>
      </w:r>
      <w:r>
        <w:rPr>
          <w:color w:val="383638"/>
          <w:w w:val="120"/>
          <w:sz w:val="22"/>
        </w:rPr>
        <w:t>may turn up nonprecedential opinions, you must know what the  rules</w:t>
      </w:r>
      <w:r>
        <w:rPr>
          <w:color w:val="383638"/>
          <w:spacing w:val="1"/>
          <w:w w:val="120"/>
          <w:sz w:val="22"/>
        </w:rPr>
        <w:t> </w:t>
      </w:r>
      <w:r>
        <w:rPr>
          <w:color w:val="383638"/>
          <w:w w:val="120"/>
          <w:sz w:val="22"/>
        </w:rPr>
        <w:t>are in the court to which you are writing. </w:t>
      </w:r>
      <w:r>
        <w:rPr>
          <w:color w:val="383638"/>
          <w:w w:val="120"/>
          <w:sz w:val="23"/>
        </w:rPr>
        <w:t>If </w:t>
      </w:r>
      <w:r>
        <w:rPr>
          <w:color w:val="383638"/>
          <w:w w:val="120"/>
          <w:sz w:val="22"/>
        </w:rPr>
        <w:t>you</w:t>
      </w:r>
      <w:r>
        <w:rPr>
          <w:color w:val="383638"/>
          <w:spacing w:val="1"/>
          <w:w w:val="120"/>
          <w:sz w:val="22"/>
        </w:rPr>
        <w:t> </w:t>
      </w:r>
      <w:r>
        <w:rPr>
          <w:color w:val="383638"/>
          <w:w w:val="120"/>
          <w:sz w:val="22"/>
        </w:rPr>
        <w:t>don't know the rules,</w:t>
      </w:r>
      <w:r>
        <w:rPr>
          <w:color w:val="383638"/>
          <w:spacing w:val="1"/>
          <w:w w:val="120"/>
          <w:sz w:val="22"/>
        </w:rPr>
        <w:t> </w:t>
      </w:r>
      <w:r>
        <w:rPr>
          <w:color w:val="383638"/>
          <w:w w:val="115"/>
          <w:sz w:val="22"/>
        </w:rPr>
        <w:t>find</w:t>
      </w:r>
      <w:r>
        <w:rPr>
          <w:color w:val="383638"/>
          <w:spacing w:val="2"/>
          <w:w w:val="115"/>
          <w:sz w:val="22"/>
        </w:rPr>
        <w:t> </w:t>
      </w:r>
      <w:r>
        <w:rPr>
          <w:color w:val="383638"/>
          <w:w w:val="115"/>
          <w:sz w:val="22"/>
        </w:rPr>
        <w:t>out.</w:t>
      </w:r>
      <w:r>
        <w:rPr>
          <w:color w:val="383638"/>
          <w:spacing w:val="-12"/>
          <w:w w:val="115"/>
          <w:sz w:val="22"/>
        </w:rPr>
        <w:t> </w:t>
      </w:r>
      <w:r>
        <w:rPr>
          <w:color w:val="383638"/>
          <w:w w:val="115"/>
          <w:sz w:val="22"/>
        </w:rPr>
        <w:t>Check</w:t>
      </w:r>
      <w:r>
        <w:rPr>
          <w:color w:val="383638"/>
          <w:spacing w:val="19"/>
          <w:w w:val="115"/>
          <w:sz w:val="22"/>
        </w:rPr>
        <w:t> </w:t>
      </w:r>
      <w:r>
        <w:rPr>
          <w:color w:val="383638"/>
          <w:w w:val="115"/>
          <w:sz w:val="22"/>
        </w:rPr>
        <w:t>the</w:t>
      </w:r>
      <w:r>
        <w:rPr>
          <w:color w:val="383638"/>
          <w:spacing w:val="48"/>
          <w:w w:val="115"/>
          <w:sz w:val="22"/>
        </w:rPr>
        <w:t> </w:t>
      </w:r>
      <w:r>
        <w:rPr>
          <w:color w:val="383638"/>
          <w:w w:val="115"/>
          <w:sz w:val="22"/>
        </w:rPr>
        <w:t>library</w:t>
      </w:r>
      <w:r>
        <w:rPr>
          <w:color w:val="383638"/>
          <w:spacing w:val="10"/>
          <w:w w:val="115"/>
          <w:sz w:val="22"/>
        </w:rPr>
        <w:t> </w:t>
      </w:r>
      <w:r>
        <w:rPr>
          <w:color w:val="383638"/>
          <w:w w:val="115"/>
          <w:sz w:val="22"/>
        </w:rPr>
        <w:t>or</w:t>
      </w:r>
      <w:r>
        <w:rPr>
          <w:color w:val="383638"/>
          <w:spacing w:val="37"/>
          <w:w w:val="115"/>
          <w:sz w:val="22"/>
        </w:rPr>
        <w:t> </w:t>
      </w:r>
      <w:r>
        <w:rPr>
          <w:color w:val="383638"/>
          <w:w w:val="115"/>
          <w:sz w:val="22"/>
        </w:rPr>
        <w:t>the</w:t>
      </w:r>
      <w:r>
        <w:rPr>
          <w:color w:val="383638"/>
          <w:spacing w:val="42"/>
          <w:w w:val="115"/>
          <w:sz w:val="22"/>
        </w:rPr>
        <w:t> </w:t>
      </w:r>
      <w:r>
        <w:rPr>
          <w:color w:val="383638"/>
          <w:w w:val="115"/>
          <w:sz w:val="22"/>
        </w:rPr>
        <w:t>court's</w:t>
      </w:r>
      <w:r>
        <w:rPr>
          <w:color w:val="383638"/>
          <w:spacing w:val="3"/>
          <w:w w:val="115"/>
          <w:sz w:val="22"/>
        </w:rPr>
        <w:t> </w:t>
      </w:r>
      <w:r>
        <w:rPr>
          <w:color w:val="383638"/>
          <w:w w:val="115"/>
          <w:sz w:val="22"/>
        </w:rPr>
        <w:t>Website,</w:t>
      </w:r>
      <w:r>
        <w:rPr>
          <w:color w:val="383638"/>
          <w:spacing w:val="-3"/>
          <w:w w:val="115"/>
          <w:sz w:val="22"/>
        </w:rPr>
        <w:t> </w:t>
      </w:r>
      <w:r>
        <w:rPr>
          <w:color w:val="383638"/>
          <w:w w:val="115"/>
          <w:sz w:val="22"/>
        </w:rPr>
        <w:t>or</w:t>
      </w:r>
      <w:r>
        <w:rPr>
          <w:color w:val="383638"/>
          <w:spacing w:val="17"/>
          <w:w w:val="115"/>
          <w:sz w:val="22"/>
        </w:rPr>
        <w:t> </w:t>
      </w:r>
      <w:r>
        <w:rPr>
          <w:color w:val="383638"/>
          <w:w w:val="115"/>
          <w:sz w:val="22"/>
        </w:rPr>
        <w:t>call</w:t>
      </w:r>
      <w:r>
        <w:rPr>
          <w:color w:val="383638"/>
          <w:spacing w:val="16"/>
          <w:w w:val="115"/>
          <w:sz w:val="22"/>
        </w:rPr>
        <w:t> </w:t>
      </w:r>
      <w:r>
        <w:rPr>
          <w:color w:val="383638"/>
          <w:w w:val="115"/>
          <w:sz w:val="22"/>
        </w:rPr>
        <w:t>the</w:t>
      </w:r>
      <w:r>
        <w:rPr>
          <w:color w:val="383638"/>
          <w:spacing w:val="57"/>
          <w:w w:val="115"/>
          <w:sz w:val="22"/>
        </w:rPr>
        <w:t> </w:t>
      </w:r>
      <w:r>
        <w:rPr>
          <w:color w:val="383638"/>
          <w:w w:val="115"/>
          <w:sz w:val="22"/>
        </w:rPr>
        <w:t>clerk</w:t>
      </w:r>
      <w:r>
        <w:rPr>
          <w:color w:val="383638"/>
          <w:spacing w:val="5"/>
          <w:w w:val="115"/>
          <w:sz w:val="22"/>
        </w:rPr>
        <w:t> </w:t>
      </w:r>
      <w:r>
        <w:rPr>
          <w:color w:val="383638"/>
          <w:w w:val="115"/>
          <w:sz w:val="22"/>
        </w:rPr>
        <w:t>of</w:t>
      </w:r>
      <w:r>
        <w:rPr>
          <w:color w:val="383638"/>
          <w:spacing w:val="29"/>
          <w:w w:val="115"/>
          <w:sz w:val="22"/>
        </w:rPr>
        <w:t> </w:t>
      </w:r>
      <w:r>
        <w:rPr>
          <w:color w:val="383638"/>
          <w:w w:val="115"/>
          <w:sz w:val="22"/>
        </w:rPr>
        <w:t>the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7"/>
        </w:rPr>
      </w:pPr>
    </w:p>
    <w:p>
      <w:pPr>
        <w:spacing w:line="189" w:lineRule="auto" w:before="0"/>
        <w:ind w:left="131" w:right="116" w:firstLine="343"/>
        <w:jc w:val="both"/>
        <w:rPr>
          <w:sz w:val="18"/>
        </w:rPr>
      </w:pPr>
      <w:r>
        <w:rPr>
          <w:color w:val="383638"/>
          <w:w w:val="105"/>
          <w:sz w:val="11"/>
        </w:rPr>
        <w:t>14 </w:t>
      </w:r>
      <w:r>
        <w:rPr>
          <w:i/>
          <w:color w:val="383638"/>
          <w:w w:val="105"/>
          <w:sz w:val="17"/>
        </w:rPr>
        <w:t>E.g.</w:t>
      </w:r>
      <w:r>
        <w:rPr>
          <w:i/>
          <w:color w:val="504F52"/>
          <w:w w:val="105"/>
          <w:sz w:val="17"/>
        </w:rPr>
        <w:t>, </w:t>
      </w:r>
      <w:r>
        <w:rPr>
          <w:rFonts w:ascii="Arial"/>
          <w:color w:val="383638"/>
          <w:w w:val="105"/>
          <w:sz w:val="17"/>
        </w:rPr>
        <w:t>K. K.</w:t>
      </w:r>
      <w:r>
        <w:rPr>
          <w:rFonts w:ascii="Arial"/>
          <w:color w:val="383638"/>
          <w:spacing w:val="1"/>
          <w:w w:val="105"/>
          <w:sz w:val="17"/>
        </w:rPr>
        <w:t> </w:t>
      </w:r>
      <w:r>
        <w:rPr>
          <w:color w:val="383638"/>
          <w:w w:val="105"/>
          <w:sz w:val="17"/>
        </w:rPr>
        <w:t>Du Vivier, </w:t>
      </w:r>
      <w:r>
        <w:rPr>
          <w:i/>
          <w:color w:val="383638"/>
          <w:w w:val="105"/>
          <w:sz w:val="17"/>
        </w:rPr>
        <w:t>Are S</w:t>
      </w:r>
      <w:r>
        <w:rPr>
          <w:i/>
          <w:color w:val="504F52"/>
          <w:w w:val="105"/>
          <w:sz w:val="17"/>
        </w:rPr>
        <w:t>o</w:t>
      </w:r>
      <w:r>
        <w:rPr>
          <w:i/>
          <w:color w:val="383638"/>
          <w:w w:val="105"/>
          <w:sz w:val="17"/>
        </w:rPr>
        <w:t>me Wo</w:t>
      </w:r>
      <w:r>
        <w:rPr>
          <w:i/>
          <w:color w:val="504F52"/>
          <w:w w:val="105"/>
          <w:sz w:val="17"/>
        </w:rPr>
        <w:t>r</w:t>
      </w:r>
      <w:r>
        <w:rPr>
          <w:i/>
          <w:color w:val="383638"/>
          <w:w w:val="105"/>
          <w:sz w:val="17"/>
        </w:rPr>
        <w:t>ds</w:t>
      </w:r>
      <w:r>
        <w:rPr>
          <w:i/>
          <w:color w:val="383638"/>
          <w:spacing w:val="1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Better Le</w:t>
      </w:r>
      <w:r>
        <w:rPr>
          <w:i/>
          <w:color w:val="383638"/>
          <w:spacing w:val="1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U,rpubllslled7 Pre</w:t>
      </w:r>
      <w:r>
        <w:rPr>
          <w:i/>
          <w:color w:val="504F52"/>
          <w:w w:val="105"/>
          <w:sz w:val="17"/>
        </w:rPr>
        <w:t>c</w:t>
      </w:r>
      <w:r>
        <w:rPr>
          <w:i/>
          <w:color w:val="383638"/>
          <w:w w:val="105"/>
          <w:sz w:val="17"/>
        </w:rPr>
        <w:t>edent</w:t>
      </w:r>
      <w:r>
        <w:rPr>
          <w:i/>
          <w:color w:val="383638"/>
          <w:spacing w:val="1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and</w:t>
      </w:r>
      <w:r>
        <w:rPr>
          <w:i/>
          <w:color w:val="383638"/>
          <w:spacing w:val="1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the</w:t>
      </w:r>
      <w:r>
        <w:rPr>
          <w:i/>
          <w:color w:val="383638"/>
          <w:spacing w:val="1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Role of</w:t>
      </w:r>
      <w:r>
        <w:rPr>
          <w:i/>
          <w:color w:val="383638"/>
          <w:spacing w:val="1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Unpubllshed</w:t>
      </w:r>
      <w:r>
        <w:rPr>
          <w:i/>
          <w:color w:val="383638"/>
          <w:spacing w:val="21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Decisions,</w:t>
      </w:r>
      <w:r>
        <w:rPr>
          <w:i/>
          <w:color w:val="383638"/>
          <w:spacing w:val="-9"/>
          <w:w w:val="105"/>
          <w:sz w:val="17"/>
        </w:rPr>
        <w:t> </w:t>
      </w:r>
      <w:r>
        <w:rPr>
          <w:color w:val="383638"/>
          <w:w w:val="105"/>
          <w:sz w:val="18"/>
        </w:rPr>
        <w:t>3</w:t>
      </w:r>
      <w:r>
        <w:rPr>
          <w:color w:val="383638"/>
          <w:spacing w:val="-13"/>
          <w:w w:val="105"/>
          <w:sz w:val="18"/>
        </w:rPr>
        <w:t> </w:t>
      </w:r>
      <w:r>
        <w:rPr>
          <w:color w:val="383638"/>
          <w:w w:val="105"/>
          <w:sz w:val="21"/>
        </w:rPr>
        <w:t>J.</w:t>
      </w:r>
      <w:r>
        <w:rPr>
          <w:color w:val="383638"/>
          <w:spacing w:val="-24"/>
          <w:w w:val="105"/>
          <w:sz w:val="21"/>
        </w:rPr>
        <w:t> </w:t>
      </w:r>
      <w:r>
        <w:rPr>
          <w:color w:val="383638"/>
          <w:w w:val="105"/>
          <w:sz w:val="18"/>
        </w:rPr>
        <w:t>App.</w:t>
      </w:r>
      <w:r>
        <w:rPr>
          <w:color w:val="383638"/>
          <w:spacing w:val="-10"/>
          <w:w w:val="105"/>
          <w:sz w:val="18"/>
        </w:rPr>
        <w:t> </w:t>
      </w:r>
      <w:r>
        <w:rPr>
          <w:color w:val="383638"/>
          <w:w w:val="105"/>
          <w:sz w:val="18"/>
        </w:rPr>
        <w:t>Prac.</w:t>
      </w:r>
      <w:r>
        <w:rPr>
          <w:color w:val="383638"/>
          <w:spacing w:val="-13"/>
          <w:w w:val="105"/>
          <w:sz w:val="18"/>
        </w:rPr>
        <w:t> </w:t>
      </w:r>
      <w:r>
        <w:rPr>
          <w:rFonts w:ascii="Arial"/>
          <w:color w:val="383638"/>
          <w:w w:val="105"/>
          <w:sz w:val="15"/>
        </w:rPr>
        <w:t>&amp;:</w:t>
      </w:r>
      <w:r>
        <w:rPr>
          <w:rFonts w:ascii="Arial"/>
          <w:color w:val="383638"/>
          <w:spacing w:val="9"/>
          <w:w w:val="105"/>
          <w:sz w:val="15"/>
        </w:rPr>
        <w:t> </w:t>
      </w:r>
      <w:r>
        <w:rPr>
          <w:color w:val="383638"/>
          <w:w w:val="105"/>
          <w:sz w:val="18"/>
        </w:rPr>
        <w:t>Process</w:t>
      </w:r>
      <w:r>
        <w:rPr>
          <w:color w:val="383638"/>
          <w:spacing w:val="-3"/>
          <w:w w:val="105"/>
          <w:sz w:val="18"/>
        </w:rPr>
        <w:t> </w:t>
      </w:r>
      <w:r>
        <w:rPr>
          <w:color w:val="383638"/>
          <w:w w:val="105"/>
          <w:sz w:val="18"/>
        </w:rPr>
        <w:t>397,399</w:t>
      </w:r>
      <w:r>
        <w:rPr>
          <w:color w:val="383638"/>
          <w:spacing w:val="-7"/>
          <w:w w:val="105"/>
          <w:sz w:val="18"/>
        </w:rPr>
        <w:t> </w:t>
      </w:r>
      <w:r>
        <w:rPr>
          <w:color w:val="383638"/>
          <w:w w:val="105"/>
          <w:sz w:val="18"/>
        </w:rPr>
        <w:t>(2001).</w:t>
      </w:r>
    </w:p>
    <w:p>
      <w:pPr>
        <w:spacing w:line="195" w:lineRule="exact" w:before="0"/>
        <w:ind w:left="474" w:right="0" w:firstLine="0"/>
        <w:jc w:val="both"/>
        <w:rPr>
          <w:sz w:val="18"/>
        </w:rPr>
      </w:pPr>
      <w:r>
        <w:rPr>
          <w:color w:val="504F52"/>
          <w:w w:val="105"/>
          <w:position w:val="5"/>
          <w:sz w:val="11"/>
        </w:rPr>
        <w:t>15</w:t>
      </w:r>
      <w:r>
        <w:rPr>
          <w:color w:val="383638"/>
          <w:w w:val="105"/>
          <w:sz w:val="18"/>
        </w:rPr>
        <w:t>S!oan</w:t>
      </w:r>
      <w:r>
        <w:rPr>
          <w:color w:val="504F52"/>
          <w:w w:val="105"/>
          <w:sz w:val="18"/>
        </w:rPr>
        <w:t>,</w:t>
      </w:r>
      <w:r>
        <w:rPr>
          <w:color w:val="504F52"/>
          <w:spacing w:val="25"/>
          <w:w w:val="105"/>
          <w:sz w:val="18"/>
        </w:rPr>
        <w:t> </w:t>
      </w:r>
      <w:r>
        <w:rPr>
          <w:i/>
          <w:color w:val="383638"/>
          <w:w w:val="105"/>
          <w:sz w:val="17"/>
        </w:rPr>
        <w:t>supra</w:t>
      </w:r>
      <w:r>
        <w:rPr>
          <w:i/>
          <w:color w:val="383638"/>
          <w:spacing w:val="17"/>
          <w:w w:val="105"/>
          <w:sz w:val="17"/>
        </w:rPr>
        <w:t> </w:t>
      </w:r>
      <w:r>
        <w:rPr>
          <w:color w:val="383638"/>
          <w:w w:val="105"/>
          <w:sz w:val="18"/>
        </w:rPr>
        <w:t>n.13,</w:t>
      </w:r>
      <w:r>
        <w:rPr>
          <w:color w:val="383638"/>
          <w:spacing w:val="-9"/>
          <w:w w:val="105"/>
          <w:sz w:val="18"/>
        </w:rPr>
        <w:t> </w:t>
      </w:r>
      <w:r>
        <w:rPr>
          <w:color w:val="383638"/>
          <w:w w:val="105"/>
          <w:sz w:val="18"/>
        </w:rPr>
        <w:t>at</w:t>
      </w:r>
      <w:r>
        <w:rPr>
          <w:color w:val="383638"/>
          <w:spacing w:val="21"/>
          <w:w w:val="105"/>
          <w:sz w:val="18"/>
        </w:rPr>
        <w:t> </w:t>
      </w:r>
      <w:r>
        <w:rPr>
          <w:color w:val="383638"/>
          <w:w w:val="105"/>
          <w:sz w:val="18"/>
        </w:rPr>
        <w:t>909-10.</w:t>
      </w:r>
    </w:p>
    <w:p>
      <w:pPr>
        <w:spacing w:after="0" w:line="195" w:lineRule="exact"/>
        <w:jc w:val="both"/>
        <w:rPr>
          <w:sz w:val="18"/>
        </w:rPr>
        <w:sectPr>
          <w:pgSz w:w="9610" w:h="13780"/>
          <w:pgMar w:header="578" w:footer="0" w:top="1160" w:bottom="280" w:left="400" w:right="1300"/>
        </w:sectPr>
      </w:pPr>
    </w:p>
    <w:p>
      <w:pPr>
        <w:pStyle w:val="BodyText"/>
        <w:spacing w:line="232" w:lineRule="auto" w:before="87"/>
        <w:ind w:left="694" w:right="66" w:firstLine="51"/>
        <w:jc w:val="both"/>
      </w:pPr>
      <w:r>
        <w:rPr>
          <w:color w:val="3A3838"/>
          <w:w w:val="110"/>
        </w:rPr>
        <w:t>court. If the court does allow citation to nonprecedential opinions, 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you cite any in your brief, be sure to attach copies of them as needed to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briefs that you serve on  the  court and on opposing counsel. Federal Rule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of Appellate Procedure 32.1, for example, mandates that a party who cites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any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federal "written disposition that is not available in a publicly acces­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sible electronic database" must file and serve a copy of the document With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brief or other document submitted to the court. The comments to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rule indicate that "commercial databases" are considered to be "publicly</w:t>
      </w:r>
      <w:r>
        <w:rPr>
          <w:color w:val="3A3838"/>
          <w:spacing w:val="1"/>
          <w:w w:val="105"/>
        </w:rPr>
        <w:t> </w:t>
      </w:r>
      <w:r>
        <w:rPr>
          <w:color w:val="3A3838"/>
        </w:rPr>
        <w:t>accessible," so any decision available on Lexis, Westlaw, or Bloomberg pre­</w:t>
      </w:r>
      <w:r>
        <w:rPr>
          <w:color w:val="3A3838"/>
          <w:spacing w:val="1"/>
        </w:rPr>
        <w:t> </w:t>
      </w:r>
      <w:r>
        <w:rPr>
          <w:color w:val="3A3838"/>
          <w:w w:val="110"/>
        </w:rPr>
        <w:t>sumably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would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not</w:t>
      </w:r>
      <w:r>
        <w:rPr>
          <w:color w:val="3A3838"/>
          <w:spacing w:val="30"/>
          <w:w w:val="110"/>
        </w:rPr>
        <w:t> </w:t>
      </w:r>
      <w:r>
        <w:rPr>
          <w:color w:val="3A3838"/>
          <w:w w:val="110"/>
        </w:rPr>
        <w:t>need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be</w:t>
      </w:r>
      <w:r>
        <w:rPr>
          <w:color w:val="3A3838"/>
          <w:spacing w:val="-26"/>
          <w:w w:val="110"/>
        </w:rPr>
        <w:t> </w:t>
      </w:r>
      <w:r>
        <w:rPr>
          <w:color w:val="3A3838"/>
          <w:w w:val="110"/>
        </w:rPr>
        <w:t>filed.</w:t>
      </w:r>
    </w:p>
    <w:p>
      <w:pPr>
        <w:pStyle w:val="BodyText"/>
        <w:spacing w:line="232" w:lineRule="auto"/>
        <w:ind w:left="640" w:right="114" w:firstLine="406"/>
        <w:jc w:val="both"/>
      </w:pPr>
      <w:r>
        <w:rPr>
          <w:color w:val="3A3838"/>
          <w:w w:val="105"/>
        </w:rPr>
        <w:t>Nonprecedential opinions require different citation forms. The </w:t>
      </w:r>
      <w:r>
        <w:rPr>
          <w:rFonts w:ascii="Arial" w:hAnsi="Arial"/>
          <w:i/>
          <w:color w:val="3A3838"/>
          <w:w w:val="105"/>
          <w:sz w:val="20"/>
        </w:rPr>
        <w:t>ALWD</w:t>
      </w:r>
      <w:r>
        <w:rPr>
          <w:rFonts w:ascii="Arial" w:hAnsi="Arial"/>
          <w:i/>
          <w:color w:val="3A3838"/>
          <w:spacing w:val="1"/>
          <w:w w:val="105"/>
          <w:sz w:val="20"/>
        </w:rPr>
        <w:t> </w:t>
      </w:r>
      <w:r>
        <w:rPr>
          <w:i/>
          <w:color w:val="3A3838"/>
        </w:rPr>
        <w:t>Guide to Legal Citation, </w:t>
      </w:r>
      <w:r>
        <w:rPr>
          <w:color w:val="3A3838"/>
        </w:rPr>
        <w:t>Rule 12.13, for example, describes how</w:t>
      </w:r>
      <w:r>
        <w:rPr>
          <w:color w:val="3A3838"/>
          <w:spacing w:val="1"/>
        </w:rPr>
        <w:t> </w:t>
      </w:r>
      <w:r>
        <w:rPr>
          <w:color w:val="3A3838"/>
        </w:rPr>
        <w:t>to cite non­</w:t>
      </w:r>
      <w:r>
        <w:rPr>
          <w:color w:val="3A3838"/>
          <w:spacing w:val="1"/>
        </w:rPr>
        <w:t> </w:t>
      </w:r>
      <w:r>
        <w:rPr>
          <w:color w:val="3A3838"/>
          <w:w w:val="105"/>
        </w:rPr>
        <w:t>precedential  opinions that are available  only on  commercial  databases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and </w:t>
      </w:r>
      <w:r>
        <w:rPr>
          <w:rFonts w:ascii="Arial" w:hAnsi="Arial"/>
          <w:color w:val="3A3838"/>
          <w:w w:val="105"/>
          <w:sz w:val="22"/>
        </w:rPr>
        <w:t>wiU </w:t>
      </w:r>
      <w:r>
        <w:rPr>
          <w:color w:val="3A3838"/>
          <w:w w:val="105"/>
        </w:rPr>
        <w:t>never be published in a print reporter. The writer should proVide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the case name; the docket number (preceded by "No."); its database identi­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fier asshown in the caption; and a court/date parenthetical, with the exact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date</w:t>
      </w:r>
      <w:r>
        <w:rPr>
          <w:color w:val="3A3838"/>
          <w:spacing w:val="-22"/>
          <w:w w:val="105"/>
        </w:rPr>
        <w:t> </w:t>
      </w:r>
      <w:r>
        <w:rPr>
          <w:color w:val="3A3838"/>
          <w:w w:val="105"/>
        </w:rPr>
        <w:t>of</w:t>
      </w:r>
      <w:r>
        <w:rPr>
          <w:color w:val="3A3838"/>
          <w:spacing w:val="-12"/>
          <w:w w:val="105"/>
        </w:rPr>
        <w:t> </w:t>
      </w:r>
      <w:r>
        <w:rPr>
          <w:color w:val="3A3838"/>
          <w:w w:val="105"/>
        </w:rPr>
        <w:t>decision.</w:t>
      </w:r>
    </w:p>
    <w:p>
      <w:pPr>
        <w:spacing w:before="129"/>
        <w:ind w:left="611" w:right="0" w:firstLine="0"/>
        <w:jc w:val="left"/>
        <w:rPr>
          <w:sz w:val="16"/>
        </w:rPr>
      </w:pPr>
      <w:r>
        <w:rPr>
          <w:i/>
          <w:color w:val="4F4D4F"/>
          <w:spacing w:val="-1"/>
          <w:w w:val="95"/>
          <w:sz w:val="23"/>
          <w:u w:val="thick" w:color="4F4D4F"/>
        </w:rPr>
        <w:t>._b</w:t>
      </w:r>
      <w:r>
        <w:rPr>
          <w:i/>
          <w:color w:val="4F4D4F"/>
          <w:spacing w:val="-1"/>
          <w:w w:val="95"/>
          <w:sz w:val="23"/>
        </w:rPr>
        <w:t>,</w:t>
      </w:r>
      <w:r>
        <w:rPr>
          <w:rFonts w:ascii="Arial"/>
          <w:b/>
          <w:color w:val="3A3838"/>
          <w:spacing w:val="-1"/>
          <w:w w:val="95"/>
          <w:sz w:val="15"/>
          <w:u w:val="thick" w:color="3A3838"/>
        </w:rPr>
        <w:t>FORMAT</w:t>
      </w:r>
      <w:r>
        <w:rPr>
          <w:rFonts w:ascii="Arial"/>
          <w:b/>
          <w:color w:val="3A3838"/>
          <w:spacing w:val="3"/>
          <w:w w:val="95"/>
          <w:sz w:val="15"/>
          <w:u w:val="thick" w:color="3A3838"/>
        </w:rPr>
        <w:t> </w:t>
      </w:r>
      <w:r>
        <w:rPr>
          <w:color w:val="3A3838"/>
          <w:spacing w:val="-1"/>
          <w:w w:val="95"/>
          <w:sz w:val="16"/>
          <w:u w:val="thick" w:color="3A3838"/>
        </w:rPr>
        <w:t>OF</w:t>
      </w:r>
      <w:r>
        <w:rPr>
          <w:color w:val="3A3838"/>
          <w:spacing w:val="-9"/>
          <w:w w:val="95"/>
          <w:sz w:val="16"/>
          <w:u w:val="thick" w:color="3A3838"/>
        </w:rPr>
        <w:t> </w:t>
      </w:r>
      <w:r>
        <w:rPr>
          <w:color w:val="3A3838"/>
          <w:spacing w:val="-1"/>
          <w:w w:val="95"/>
          <w:sz w:val="16"/>
          <w:u w:val="thick" w:color="3A3838"/>
        </w:rPr>
        <w:t>CITATION</w:t>
      </w:r>
      <w:r>
        <w:rPr>
          <w:color w:val="3A3838"/>
          <w:spacing w:val="8"/>
          <w:w w:val="95"/>
          <w:sz w:val="16"/>
          <w:u w:val="thick" w:color="3A3838"/>
        </w:rPr>
        <w:t> </w:t>
      </w:r>
      <w:r>
        <w:rPr>
          <w:color w:val="3A3838"/>
          <w:spacing w:val="-1"/>
          <w:w w:val="95"/>
          <w:sz w:val="16"/>
          <w:u w:val="thick" w:color="3A3838"/>
        </w:rPr>
        <w:t>TO</w:t>
      </w:r>
      <w:r>
        <w:rPr>
          <w:color w:val="3A3838"/>
          <w:spacing w:val="2"/>
          <w:w w:val="95"/>
          <w:sz w:val="16"/>
          <w:u w:val="thick" w:color="3A3838"/>
        </w:rPr>
        <w:t> </w:t>
      </w:r>
      <w:r>
        <w:rPr>
          <w:color w:val="3A3838"/>
          <w:spacing w:val="-1"/>
          <w:w w:val="95"/>
          <w:sz w:val="16"/>
          <w:u w:val="thick" w:color="3A3838"/>
        </w:rPr>
        <w:t>NONPRECEDENTIAL</w:t>
      </w:r>
      <w:r>
        <w:rPr>
          <w:color w:val="3A3838"/>
          <w:spacing w:val="-17"/>
          <w:w w:val="95"/>
          <w:sz w:val="16"/>
          <w:u w:val="thick" w:color="3A3838"/>
        </w:rPr>
        <w:t> </w:t>
      </w:r>
      <w:r>
        <w:rPr>
          <w:color w:val="3A3838"/>
          <w:spacing w:val="-1"/>
          <w:w w:val="95"/>
          <w:sz w:val="16"/>
          <w:u w:val="thick" w:color="3A3838"/>
        </w:rPr>
        <w:t>DECISION</w:t>
      </w:r>
      <w:r>
        <w:rPr>
          <w:color w:val="3A3838"/>
          <w:spacing w:val="12"/>
          <w:w w:val="95"/>
          <w:sz w:val="16"/>
          <w:u w:val="thick" w:color="3A3838"/>
        </w:rPr>
        <w:t> </w:t>
      </w:r>
      <w:r>
        <w:rPr>
          <w:rFonts w:ascii="Arial"/>
          <w:b/>
          <w:color w:val="3A3838"/>
          <w:w w:val="95"/>
          <w:sz w:val="15"/>
          <w:u w:val="thick" w:color="3A3838"/>
        </w:rPr>
        <w:t>AVAILABLE</w:t>
      </w:r>
      <w:r>
        <w:rPr>
          <w:rFonts w:ascii="Arial"/>
          <w:b/>
          <w:color w:val="3A3838"/>
          <w:spacing w:val="-13"/>
          <w:w w:val="95"/>
          <w:sz w:val="15"/>
          <w:u w:val="thick" w:color="3A3838"/>
        </w:rPr>
        <w:t> </w:t>
      </w:r>
      <w:r>
        <w:rPr>
          <w:color w:val="3A3838"/>
          <w:w w:val="95"/>
          <w:sz w:val="16"/>
          <w:u w:val="thick" w:color="3A3838"/>
        </w:rPr>
        <w:t>ONLY</w:t>
      </w:r>
      <w:r>
        <w:rPr>
          <w:color w:val="3A3838"/>
          <w:spacing w:val="-11"/>
          <w:w w:val="95"/>
          <w:sz w:val="16"/>
          <w:u w:val="thick" w:color="3A3838"/>
        </w:rPr>
        <w:t> </w:t>
      </w:r>
      <w:r>
        <w:rPr>
          <w:color w:val="3A3838"/>
          <w:w w:val="95"/>
          <w:sz w:val="16"/>
          <w:u w:val="thick" w:color="3A3838"/>
        </w:rPr>
        <w:t>ON</w:t>
      </w:r>
      <w:r>
        <w:rPr>
          <w:color w:val="3A3838"/>
          <w:spacing w:val="14"/>
          <w:w w:val="95"/>
          <w:sz w:val="16"/>
          <w:u w:val="thick" w:color="3A3838"/>
        </w:rPr>
        <w:t> </w:t>
      </w:r>
      <w:r>
        <w:rPr>
          <w:color w:val="3A3838"/>
          <w:w w:val="95"/>
          <w:sz w:val="16"/>
          <w:u w:val="thick" w:color="3A3838"/>
        </w:rPr>
        <w:t>DATABASES</w:t>
      </w:r>
    </w:p>
    <w:p>
      <w:pPr>
        <w:spacing w:line="252" w:lineRule="auto" w:before="82"/>
        <w:ind w:left="948" w:right="463" w:firstLine="7"/>
        <w:jc w:val="both"/>
        <w:rPr>
          <w:sz w:val="20"/>
        </w:rPr>
      </w:pPr>
      <w:r>
        <w:rPr>
          <w:rFonts w:ascii="Arial"/>
          <w:i/>
          <w:color w:val="3A3838"/>
          <w:w w:val="115"/>
          <w:sz w:val="19"/>
        </w:rPr>
        <w:t>[Case Name], </w:t>
      </w:r>
      <w:r>
        <w:rPr>
          <w:color w:val="3A3838"/>
          <w:w w:val="115"/>
          <w:sz w:val="20"/>
        </w:rPr>
        <w:t>No. [Docket Number], [Database Identifier] [pinpoint]</w:t>
      </w:r>
      <w:r>
        <w:rPr>
          <w:color w:val="3A3838"/>
          <w:spacing w:val="1"/>
          <w:w w:val="115"/>
          <w:sz w:val="20"/>
        </w:rPr>
        <w:t> </w:t>
      </w:r>
      <w:r>
        <w:rPr>
          <w:color w:val="3A3838"/>
          <w:w w:val="115"/>
          <w:sz w:val="20"/>
        </w:rPr>
        <w:t>([Court/Exact</w:t>
      </w:r>
      <w:r>
        <w:rPr>
          <w:color w:val="3A3838"/>
          <w:spacing w:val="18"/>
          <w:w w:val="115"/>
          <w:sz w:val="20"/>
        </w:rPr>
        <w:t> </w:t>
      </w:r>
      <w:r>
        <w:rPr>
          <w:color w:val="3A3838"/>
          <w:w w:val="115"/>
          <w:sz w:val="20"/>
        </w:rPr>
        <w:t>Date</w:t>
      </w:r>
      <w:r>
        <w:rPr>
          <w:color w:val="3A3838"/>
          <w:spacing w:val="-28"/>
          <w:w w:val="115"/>
          <w:sz w:val="20"/>
        </w:rPr>
        <w:t> </w:t>
      </w:r>
      <w:r>
        <w:rPr>
          <w:color w:val="3A3838"/>
          <w:w w:val="115"/>
          <w:sz w:val="20"/>
        </w:rPr>
        <w:t>of</w:t>
      </w:r>
      <w:r>
        <w:rPr>
          <w:color w:val="3A3838"/>
          <w:spacing w:val="4"/>
          <w:w w:val="115"/>
          <w:sz w:val="20"/>
        </w:rPr>
        <w:t> </w:t>
      </w:r>
      <w:r>
        <w:rPr>
          <w:color w:val="3A3838"/>
          <w:w w:val="115"/>
          <w:sz w:val="20"/>
        </w:rPr>
        <w:t>Decision])</w:t>
      </w:r>
    </w:p>
    <w:p>
      <w:pPr>
        <w:pStyle w:val="BodyText"/>
        <w:rPr>
          <w:sz w:val="20"/>
        </w:rPr>
      </w:pPr>
    </w:p>
    <w:p>
      <w:pPr>
        <w:spacing w:before="0"/>
        <w:ind w:left="604" w:right="0" w:firstLine="0"/>
        <w:jc w:val="left"/>
        <w:rPr>
          <w:sz w:val="16"/>
        </w:rPr>
      </w:pPr>
      <w:r>
        <w:rPr>
          <w:rFonts w:ascii="Arial"/>
          <w:i/>
          <w:color w:val="4F4D4F"/>
          <w:spacing w:val="-1"/>
          <w:w w:val="90"/>
          <w:sz w:val="26"/>
          <w:u w:val="thick" w:color="4F4D4F"/>
        </w:rPr>
        <w:t>../&gt;,</w:t>
      </w:r>
      <w:r>
        <w:rPr>
          <w:rFonts w:ascii="Arial"/>
          <w:i/>
          <w:color w:val="4F4D4F"/>
          <w:spacing w:val="-1"/>
          <w:w w:val="90"/>
          <w:sz w:val="26"/>
        </w:rPr>
        <w:t>,</w:t>
      </w:r>
      <w:r>
        <w:rPr>
          <w:rFonts w:ascii="Arial"/>
          <w:i/>
          <w:color w:val="4F4D4F"/>
          <w:spacing w:val="-40"/>
          <w:w w:val="90"/>
          <w:sz w:val="26"/>
        </w:rPr>
        <w:t> </w:t>
      </w:r>
      <w:r>
        <w:rPr>
          <w:color w:val="3A3838"/>
          <w:spacing w:val="-1"/>
          <w:w w:val="90"/>
          <w:sz w:val="16"/>
          <w:u w:val="thick" w:color="3A3838"/>
        </w:rPr>
        <w:t>EXAMPLES</w:t>
      </w:r>
      <w:r>
        <w:rPr>
          <w:color w:val="3A3838"/>
          <w:w w:val="90"/>
          <w:sz w:val="16"/>
          <w:u w:val="thick" w:color="3A3838"/>
        </w:rPr>
        <w:t> OF</w:t>
      </w:r>
      <w:r>
        <w:rPr>
          <w:color w:val="3A3838"/>
          <w:spacing w:val="-16"/>
          <w:w w:val="90"/>
          <w:sz w:val="16"/>
          <w:u w:val="thick" w:color="3A3838"/>
        </w:rPr>
        <w:t> </w:t>
      </w:r>
      <w:r>
        <w:rPr>
          <w:color w:val="3A3838"/>
          <w:w w:val="90"/>
          <w:sz w:val="16"/>
          <w:u w:val="thick" w:color="3A3838"/>
        </w:rPr>
        <w:t>CITATIONS</w:t>
      </w:r>
      <w:r>
        <w:rPr>
          <w:color w:val="3A3838"/>
          <w:spacing w:val="7"/>
          <w:w w:val="90"/>
          <w:sz w:val="16"/>
          <w:u w:val="thick" w:color="3A3838"/>
        </w:rPr>
        <w:t> </w:t>
      </w:r>
      <w:r>
        <w:rPr>
          <w:color w:val="3A3838"/>
          <w:w w:val="90"/>
          <w:sz w:val="16"/>
          <w:u w:val="thick" w:color="3A3838"/>
        </w:rPr>
        <w:t>TO</w:t>
      </w:r>
      <w:r>
        <w:rPr>
          <w:color w:val="3A3838"/>
          <w:spacing w:val="4"/>
          <w:w w:val="90"/>
          <w:sz w:val="16"/>
          <w:u w:val="thick" w:color="3A3838"/>
        </w:rPr>
        <w:t> </w:t>
      </w:r>
      <w:r>
        <w:rPr>
          <w:color w:val="3A3838"/>
          <w:w w:val="90"/>
          <w:sz w:val="16"/>
          <w:u w:val="thick" w:color="3A3838"/>
        </w:rPr>
        <w:t>NONPRECEDENTIAL</w:t>
      </w:r>
      <w:r>
        <w:rPr>
          <w:color w:val="3A3838"/>
          <w:spacing w:val="-15"/>
          <w:w w:val="90"/>
          <w:sz w:val="16"/>
          <w:u w:val="thick" w:color="3A3838"/>
        </w:rPr>
        <w:t> </w:t>
      </w:r>
      <w:r>
        <w:rPr>
          <w:color w:val="3A3838"/>
          <w:w w:val="90"/>
          <w:sz w:val="16"/>
          <w:u w:val="thick" w:color="3A3838"/>
        </w:rPr>
        <w:t>DECISION</w:t>
      </w:r>
      <w:r>
        <w:rPr>
          <w:color w:val="3A3838"/>
          <w:spacing w:val="13"/>
          <w:w w:val="90"/>
          <w:sz w:val="16"/>
          <w:u w:val="thick" w:color="3A3838"/>
        </w:rPr>
        <w:t> </w:t>
      </w:r>
      <w:r>
        <w:rPr>
          <w:color w:val="3A3838"/>
          <w:w w:val="90"/>
          <w:sz w:val="16"/>
          <w:u w:val="thick" w:color="3A3838"/>
        </w:rPr>
        <w:t>AVAILABLE</w:t>
      </w:r>
      <w:r>
        <w:rPr>
          <w:color w:val="3A3838"/>
          <w:spacing w:val="7"/>
          <w:w w:val="90"/>
          <w:sz w:val="16"/>
          <w:u w:val="thick" w:color="3A3838"/>
        </w:rPr>
        <w:t> </w:t>
      </w:r>
      <w:r>
        <w:rPr>
          <w:color w:val="3A3838"/>
          <w:w w:val="90"/>
          <w:sz w:val="16"/>
          <w:u w:val="thick" w:color="3A3838"/>
        </w:rPr>
        <w:t>ONLY ON</w:t>
      </w:r>
      <w:r>
        <w:rPr>
          <w:color w:val="3A3838"/>
          <w:spacing w:val="7"/>
          <w:w w:val="90"/>
          <w:sz w:val="16"/>
          <w:u w:val="thick" w:color="3A3838"/>
        </w:rPr>
        <w:t> </w:t>
      </w:r>
      <w:r>
        <w:rPr>
          <w:color w:val="3A3838"/>
          <w:w w:val="90"/>
          <w:sz w:val="16"/>
          <w:u w:val="thick" w:color="3A3838"/>
        </w:rPr>
        <w:t>DATABASES</w:t>
      </w:r>
    </w:p>
    <w:p>
      <w:pPr>
        <w:spacing w:line="289" w:lineRule="exact" w:before="28"/>
        <w:ind w:left="933" w:right="0" w:firstLine="0"/>
        <w:jc w:val="both"/>
        <w:rPr>
          <w:rFonts w:ascii="Arial"/>
          <w:sz w:val="26"/>
        </w:rPr>
      </w:pPr>
      <w:r>
        <w:rPr>
          <w:color w:val="3A3838"/>
          <w:spacing w:val="-1"/>
          <w:w w:val="105"/>
          <w:sz w:val="24"/>
          <w:u w:val="thick" w:color="3A3838"/>
        </w:rPr>
        <w:t>Radar</w:t>
      </w:r>
      <w:r>
        <w:rPr>
          <w:color w:val="3A3838"/>
          <w:spacing w:val="-16"/>
          <w:w w:val="105"/>
          <w:sz w:val="24"/>
          <w:u w:val="thick" w:color="3A3838"/>
        </w:rPr>
        <w:t> </w:t>
      </w:r>
      <w:r>
        <w:rPr>
          <w:rFonts w:ascii="Arial"/>
          <w:color w:val="3A3838"/>
          <w:spacing w:val="-1"/>
          <w:w w:val="105"/>
          <w:sz w:val="26"/>
          <w:u w:val="thick" w:color="3A3838"/>
        </w:rPr>
        <w:t>rum,</w:t>
      </w:r>
      <w:r>
        <w:rPr>
          <w:rFonts w:ascii="Arial"/>
          <w:color w:val="3A3838"/>
          <w:spacing w:val="-21"/>
          <w:w w:val="105"/>
          <w:sz w:val="26"/>
          <w:u w:val="thick" w:color="3A3838"/>
        </w:rPr>
        <w:t> </w:t>
      </w:r>
      <w:r>
        <w:rPr>
          <w:color w:val="3A3838"/>
          <w:spacing w:val="-1"/>
          <w:w w:val="105"/>
          <w:sz w:val="24"/>
          <w:u w:val="thick" w:color="3A3838"/>
        </w:rPr>
        <w:t>Inc</w:t>
      </w:r>
      <w:r>
        <w:rPr>
          <w:color w:val="3A3838"/>
          <w:spacing w:val="-1"/>
          <w:w w:val="105"/>
          <w:sz w:val="24"/>
        </w:rPr>
        <w:t>.</w:t>
      </w:r>
      <w:r>
        <w:rPr>
          <w:color w:val="3A3838"/>
          <w:spacing w:val="-8"/>
          <w:w w:val="105"/>
          <w:sz w:val="24"/>
        </w:rPr>
        <w:t> </w:t>
      </w:r>
      <w:r>
        <w:rPr>
          <w:color w:val="3A3838"/>
          <w:w w:val="105"/>
          <w:sz w:val="21"/>
          <w:u w:val="thick" w:color="3A3838"/>
        </w:rPr>
        <w:t>v.</w:t>
      </w:r>
      <w:r>
        <w:rPr>
          <w:color w:val="3A3838"/>
          <w:spacing w:val="7"/>
          <w:w w:val="105"/>
          <w:sz w:val="21"/>
          <w:u w:val="thick" w:color="3A3838"/>
        </w:rPr>
        <w:t> </w:t>
      </w:r>
      <w:r>
        <w:rPr>
          <w:color w:val="3A3838"/>
          <w:w w:val="105"/>
          <w:sz w:val="24"/>
          <w:u w:val="thick" w:color="3A3838"/>
        </w:rPr>
        <w:t>CMB</w:t>
      </w:r>
      <w:r>
        <w:rPr>
          <w:color w:val="3A3838"/>
          <w:spacing w:val="-17"/>
          <w:w w:val="105"/>
          <w:sz w:val="24"/>
          <w:u w:val="thick" w:color="3A3838"/>
        </w:rPr>
        <w:t> </w:t>
      </w:r>
      <w:r>
        <w:rPr>
          <w:rFonts w:ascii="Arial"/>
          <w:color w:val="3A3838"/>
          <w:w w:val="105"/>
          <w:sz w:val="20"/>
          <w:u w:val="thick" w:color="3A3838"/>
        </w:rPr>
        <w:t>Mortg.</w:t>
      </w:r>
      <w:r>
        <w:rPr>
          <w:rFonts w:ascii="Arial"/>
          <w:color w:val="3A3838"/>
          <w:spacing w:val="-3"/>
          <w:w w:val="105"/>
          <w:sz w:val="20"/>
          <w:u w:val="thick" w:color="3A3838"/>
        </w:rPr>
        <w:t> </w:t>
      </w:r>
      <w:r>
        <w:rPr>
          <w:color w:val="3A3838"/>
          <w:w w:val="105"/>
          <w:sz w:val="24"/>
          <w:u w:val="thick" w:color="3A3838"/>
        </w:rPr>
        <w:t>Servs.</w:t>
      </w:r>
      <w:r>
        <w:rPr>
          <w:color w:val="3A3838"/>
          <w:w w:val="105"/>
          <w:sz w:val="24"/>
        </w:rPr>
        <w:t>,</w:t>
      </w:r>
      <w:r>
        <w:rPr>
          <w:color w:val="3A3838"/>
          <w:spacing w:val="11"/>
          <w:w w:val="105"/>
          <w:sz w:val="24"/>
        </w:rPr>
        <w:t> </w:t>
      </w:r>
      <w:r>
        <w:rPr>
          <w:color w:val="3A3838"/>
          <w:w w:val="105"/>
          <w:sz w:val="20"/>
        </w:rPr>
        <w:t>Inc.,</w:t>
      </w:r>
      <w:r>
        <w:rPr>
          <w:color w:val="3A3838"/>
          <w:spacing w:val="13"/>
          <w:w w:val="105"/>
          <w:sz w:val="20"/>
        </w:rPr>
        <w:t> </w:t>
      </w:r>
      <w:r>
        <w:rPr>
          <w:color w:val="3A3838"/>
          <w:w w:val="105"/>
          <w:sz w:val="20"/>
        </w:rPr>
        <w:t>No.</w:t>
      </w:r>
      <w:r>
        <w:rPr>
          <w:color w:val="3A3838"/>
          <w:spacing w:val="-20"/>
          <w:w w:val="105"/>
          <w:sz w:val="20"/>
        </w:rPr>
        <w:t> </w:t>
      </w:r>
      <w:r>
        <w:rPr>
          <w:color w:val="3A3838"/>
          <w:w w:val="105"/>
          <w:sz w:val="20"/>
        </w:rPr>
        <w:t>04</w:t>
      </w:r>
      <w:r>
        <w:rPr>
          <w:color w:val="3A3838"/>
          <w:spacing w:val="4"/>
          <w:w w:val="105"/>
          <w:sz w:val="20"/>
        </w:rPr>
        <w:t> </w:t>
      </w:r>
      <w:r>
        <w:rPr>
          <w:rFonts w:ascii="Arial"/>
          <w:color w:val="3A3838"/>
          <w:w w:val="105"/>
          <w:sz w:val="26"/>
        </w:rPr>
        <w:t>c</w:t>
      </w:r>
      <w:r>
        <w:rPr>
          <w:rFonts w:ascii="Arial"/>
          <w:color w:val="3A3838"/>
          <w:spacing w:val="-14"/>
          <w:w w:val="105"/>
          <w:sz w:val="26"/>
        </w:rPr>
        <w:t> </w:t>
      </w:r>
      <w:r>
        <w:rPr>
          <w:color w:val="3A3838"/>
          <w:w w:val="105"/>
          <w:sz w:val="20"/>
        </w:rPr>
        <w:t>1945,</w:t>
      </w:r>
      <w:r>
        <w:rPr>
          <w:color w:val="3A3838"/>
          <w:spacing w:val="3"/>
          <w:w w:val="105"/>
          <w:sz w:val="20"/>
        </w:rPr>
        <w:t> </w:t>
      </w:r>
      <w:r>
        <w:rPr>
          <w:color w:val="3A3838"/>
          <w:w w:val="105"/>
          <w:sz w:val="20"/>
        </w:rPr>
        <w:t>2004</w:t>
      </w:r>
      <w:r>
        <w:rPr>
          <w:color w:val="3A3838"/>
          <w:spacing w:val="8"/>
          <w:w w:val="105"/>
          <w:sz w:val="20"/>
        </w:rPr>
        <w:t> </w:t>
      </w:r>
      <w:r>
        <w:rPr>
          <w:rFonts w:ascii="Arial"/>
          <w:color w:val="3A3838"/>
          <w:w w:val="105"/>
          <w:sz w:val="26"/>
        </w:rPr>
        <w:t>u.s.</w:t>
      </w:r>
    </w:p>
    <w:p>
      <w:pPr>
        <w:spacing w:line="220" w:lineRule="exact" w:before="0"/>
        <w:ind w:left="934" w:right="0" w:firstLine="0"/>
        <w:jc w:val="both"/>
        <w:rPr>
          <w:sz w:val="20"/>
        </w:rPr>
      </w:pPr>
      <w:r>
        <w:rPr>
          <w:color w:val="3A3838"/>
          <w:w w:val="110"/>
          <w:sz w:val="20"/>
        </w:rPr>
        <w:t>Dist.</w:t>
      </w:r>
      <w:r>
        <w:rPr>
          <w:color w:val="3A3838"/>
          <w:spacing w:val="-11"/>
          <w:w w:val="110"/>
          <w:sz w:val="20"/>
        </w:rPr>
        <w:t> </w:t>
      </w:r>
      <w:r>
        <w:rPr>
          <w:color w:val="3A3838"/>
          <w:w w:val="110"/>
          <w:sz w:val="20"/>
        </w:rPr>
        <w:t>Lexis</w:t>
      </w:r>
      <w:r>
        <w:rPr>
          <w:color w:val="3A3838"/>
          <w:spacing w:val="4"/>
          <w:w w:val="110"/>
          <w:sz w:val="20"/>
        </w:rPr>
        <w:t> </w:t>
      </w:r>
      <w:r>
        <w:rPr>
          <w:color w:val="3A3838"/>
          <w:w w:val="110"/>
          <w:sz w:val="20"/>
        </w:rPr>
        <w:t>21431,</w:t>
      </w:r>
      <w:r>
        <w:rPr>
          <w:color w:val="3A3838"/>
          <w:spacing w:val="10"/>
          <w:w w:val="110"/>
          <w:sz w:val="20"/>
        </w:rPr>
        <w:t> </w:t>
      </w:r>
      <w:r>
        <w:rPr>
          <w:color w:val="3A3838"/>
          <w:w w:val="110"/>
          <w:sz w:val="20"/>
        </w:rPr>
        <w:t>at</w:t>
      </w:r>
      <w:r>
        <w:rPr>
          <w:color w:val="3A3838"/>
          <w:spacing w:val="43"/>
          <w:w w:val="110"/>
          <w:sz w:val="20"/>
        </w:rPr>
        <w:t> </w:t>
      </w:r>
      <w:r>
        <w:rPr>
          <w:color w:val="3A3838"/>
          <w:w w:val="110"/>
          <w:sz w:val="20"/>
        </w:rPr>
        <w:t>*1</w:t>
      </w:r>
      <w:r>
        <w:rPr>
          <w:color w:val="3A3838"/>
          <w:spacing w:val="-12"/>
          <w:w w:val="110"/>
          <w:sz w:val="20"/>
        </w:rPr>
        <w:t> </w:t>
      </w:r>
      <w:r>
        <w:rPr>
          <w:color w:val="3A3838"/>
          <w:w w:val="110"/>
          <w:sz w:val="20"/>
        </w:rPr>
        <w:t>(N.D.</w:t>
      </w:r>
      <w:r>
        <w:rPr>
          <w:color w:val="3A3838"/>
          <w:spacing w:val="16"/>
          <w:w w:val="110"/>
          <w:sz w:val="20"/>
        </w:rPr>
        <w:t> </w:t>
      </w:r>
      <w:r>
        <w:rPr>
          <w:color w:val="3A3838"/>
          <w:w w:val="110"/>
          <w:sz w:val="20"/>
        </w:rPr>
        <w:t>Ill.</w:t>
      </w:r>
      <w:r>
        <w:rPr>
          <w:color w:val="3A3838"/>
          <w:spacing w:val="-7"/>
          <w:w w:val="110"/>
          <w:sz w:val="20"/>
        </w:rPr>
        <w:t> </w:t>
      </w:r>
      <w:r>
        <w:rPr>
          <w:color w:val="3A3838"/>
          <w:w w:val="110"/>
          <w:sz w:val="20"/>
        </w:rPr>
        <w:t>Oct</w:t>
      </w:r>
      <w:r>
        <w:rPr>
          <w:color w:val="666669"/>
          <w:w w:val="110"/>
          <w:sz w:val="20"/>
        </w:rPr>
        <w:t>.</w:t>
      </w:r>
      <w:r>
        <w:rPr>
          <w:color w:val="666669"/>
          <w:spacing w:val="13"/>
          <w:w w:val="110"/>
          <w:sz w:val="20"/>
        </w:rPr>
        <w:t> </w:t>
      </w:r>
      <w:r>
        <w:rPr>
          <w:color w:val="3A3838"/>
          <w:w w:val="110"/>
          <w:sz w:val="20"/>
        </w:rPr>
        <w:t>21,</w:t>
      </w:r>
      <w:r>
        <w:rPr>
          <w:color w:val="3A3838"/>
          <w:spacing w:val="-1"/>
          <w:w w:val="110"/>
          <w:sz w:val="20"/>
        </w:rPr>
        <w:t> </w:t>
      </w:r>
      <w:r>
        <w:rPr>
          <w:color w:val="3A3838"/>
          <w:w w:val="110"/>
          <w:sz w:val="20"/>
        </w:rPr>
        <w:t>2004).</w:t>
      </w:r>
      <w:r>
        <w:rPr>
          <w:color w:val="3A3838"/>
          <w:w w:val="110"/>
          <w:sz w:val="20"/>
          <w:vertAlign w:val="superscript"/>
        </w:rPr>
        <w:t>16</w:t>
      </w:r>
    </w:p>
    <w:p>
      <w:pPr>
        <w:pStyle w:val="BodyText"/>
        <w:spacing w:line="232" w:lineRule="auto" w:before="153"/>
        <w:ind w:left="543" w:right="154" w:firstLine="33"/>
        <w:jc w:val="both"/>
      </w:pPr>
      <w:r>
        <w:rPr>
          <w:color w:val="3A3838"/>
          <w:w w:val="105"/>
        </w:rPr>
        <w:t>Particularly if the case is a recent decision, you may decide to provide addi­</w:t>
      </w:r>
      <w:r>
        <w:rPr>
          <w:color w:val="3A3838"/>
          <w:spacing w:val="-58"/>
          <w:w w:val="105"/>
        </w:rPr>
        <w:t> </w:t>
      </w:r>
      <w:r>
        <w:rPr>
          <w:color w:val="3A3838"/>
          <w:w w:val="105"/>
        </w:rPr>
        <w:t>tional parenthetical material to distinguish a decision that is unpublished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because </w:t>
      </w:r>
      <w:r>
        <w:rPr>
          <w:color w:val="3A3838"/>
          <w:w w:val="110"/>
          <w:sz w:val="22"/>
        </w:rPr>
        <w:t>it </w:t>
      </w:r>
      <w:r>
        <w:rPr>
          <w:color w:val="3A3838"/>
          <w:w w:val="110"/>
        </w:rPr>
        <w:t>is so recent from a decision that is unpublished because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court</w:t>
      </w:r>
      <w:r>
        <w:rPr>
          <w:color w:val="3A3838"/>
          <w:spacing w:val="-12"/>
          <w:w w:val="105"/>
        </w:rPr>
        <w:t> </w:t>
      </w:r>
      <w:r>
        <w:rPr>
          <w:color w:val="3A3838"/>
          <w:w w:val="105"/>
        </w:rPr>
        <w:t>designated</w:t>
      </w:r>
      <w:r>
        <w:rPr>
          <w:color w:val="3A3838"/>
          <w:spacing w:val="15"/>
          <w:w w:val="105"/>
        </w:rPr>
        <w:t> </w:t>
      </w:r>
      <w:r>
        <w:rPr>
          <w:color w:val="3A3838"/>
          <w:w w:val="105"/>
          <w:sz w:val="20"/>
        </w:rPr>
        <w:t>it</w:t>
      </w:r>
      <w:r>
        <w:rPr>
          <w:color w:val="3A3838"/>
          <w:spacing w:val="44"/>
          <w:w w:val="105"/>
          <w:sz w:val="20"/>
        </w:rPr>
        <w:t> </w:t>
      </w:r>
      <w:r>
        <w:rPr>
          <w:color w:val="3A3838"/>
          <w:w w:val="105"/>
        </w:rPr>
        <w:t>as</w:t>
      </w:r>
      <w:r>
        <w:rPr>
          <w:color w:val="3A3838"/>
          <w:spacing w:val="9"/>
          <w:w w:val="105"/>
        </w:rPr>
        <w:t> </w:t>
      </w:r>
      <w:r>
        <w:rPr>
          <w:color w:val="3A3838"/>
          <w:w w:val="105"/>
        </w:rPr>
        <w:t>nonprecedential:</w:t>
      </w:r>
    </w:p>
    <w:p>
      <w:pPr>
        <w:spacing w:line="230" w:lineRule="auto" w:before="114"/>
        <w:ind w:left="890" w:right="519" w:firstLine="4"/>
        <w:jc w:val="both"/>
        <w:rPr>
          <w:sz w:val="20"/>
        </w:rPr>
      </w:pPr>
      <w:r>
        <w:rPr>
          <w:color w:val="3A3838"/>
          <w:w w:val="105"/>
          <w:sz w:val="25"/>
          <w:u w:val="thick" w:color="3A3838"/>
        </w:rPr>
        <w:t>McGuffin </w:t>
      </w:r>
      <w:r>
        <w:rPr>
          <w:color w:val="3A3838"/>
          <w:w w:val="105"/>
          <w:sz w:val="20"/>
          <w:u w:val="thick" w:color="3A3838"/>
        </w:rPr>
        <w:t>v. </w:t>
      </w:r>
      <w:r>
        <w:rPr>
          <w:color w:val="3A3838"/>
          <w:w w:val="105"/>
          <w:sz w:val="25"/>
          <w:u w:val="thick" w:color="3A3838"/>
        </w:rPr>
        <w:t>Coleman.</w:t>
      </w:r>
      <w:r>
        <w:rPr>
          <w:color w:val="3A3838"/>
          <w:w w:val="105"/>
          <w:sz w:val="25"/>
        </w:rPr>
        <w:t> </w:t>
      </w:r>
      <w:r>
        <w:rPr>
          <w:color w:val="3A3838"/>
          <w:w w:val="105"/>
          <w:sz w:val="20"/>
        </w:rPr>
        <w:t>No.</w:t>
      </w:r>
      <w:r>
        <w:rPr>
          <w:color w:val="3A3838"/>
          <w:spacing w:val="1"/>
          <w:w w:val="105"/>
          <w:sz w:val="20"/>
        </w:rPr>
        <w:t> </w:t>
      </w:r>
      <w:r>
        <w:rPr>
          <w:color w:val="3A3838"/>
          <w:w w:val="105"/>
          <w:sz w:val="20"/>
        </w:rPr>
        <w:t>LCW25890856 (Fla. 15th Cir.Jun.13,2014)</w:t>
      </w:r>
      <w:r>
        <w:rPr>
          <w:color w:val="3A3838"/>
          <w:spacing w:val="1"/>
          <w:w w:val="105"/>
          <w:sz w:val="20"/>
        </w:rPr>
        <w:t> </w:t>
      </w:r>
      <w:r>
        <w:rPr>
          <w:color w:val="3A3838"/>
          <w:w w:val="115"/>
          <w:sz w:val="20"/>
        </w:rPr>
        <w:t>(court-designated</w:t>
      </w:r>
      <w:r>
        <w:rPr>
          <w:color w:val="3A3838"/>
          <w:spacing w:val="20"/>
          <w:w w:val="115"/>
          <w:sz w:val="20"/>
        </w:rPr>
        <w:t> </w:t>
      </w:r>
      <w:r>
        <w:rPr>
          <w:color w:val="3A3838"/>
          <w:w w:val="115"/>
          <w:sz w:val="20"/>
        </w:rPr>
        <w:t>nonprecedential decision)</w:t>
      </w:r>
      <w:r>
        <w:rPr>
          <w:color w:val="3A3838"/>
          <w:spacing w:val="11"/>
          <w:w w:val="115"/>
          <w:sz w:val="20"/>
        </w:rPr>
        <w:t> </w:t>
      </w:r>
      <w:r>
        <w:rPr>
          <w:color w:val="3A3838"/>
          <w:w w:val="115"/>
          <w:sz w:val="20"/>
        </w:rPr>
        <w:t>(copy</w:t>
      </w:r>
      <w:r>
        <w:rPr>
          <w:color w:val="3A3838"/>
          <w:spacing w:val="-12"/>
          <w:w w:val="115"/>
          <w:sz w:val="20"/>
        </w:rPr>
        <w:t> </w:t>
      </w:r>
      <w:r>
        <w:rPr>
          <w:color w:val="3A3838"/>
          <w:w w:val="115"/>
          <w:sz w:val="20"/>
        </w:rPr>
        <w:t>attached).</w:t>
      </w:r>
    </w:p>
    <w:p>
      <w:pPr>
        <w:pStyle w:val="BodyText"/>
        <w:spacing w:line="228" w:lineRule="auto" w:before="149"/>
        <w:ind w:left="495" w:right="189" w:firstLine="21"/>
        <w:jc w:val="both"/>
      </w:pPr>
      <w:r>
        <w:rPr>
          <w:color w:val="3A3838"/>
          <w:w w:val="110"/>
        </w:rPr>
        <w:t>Inaddition or in the alternative, you may want to state explicitly that you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are</w:t>
      </w:r>
      <w:r>
        <w:rPr>
          <w:color w:val="3A3838"/>
          <w:spacing w:val="11"/>
          <w:w w:val="110"/>
        </w:rPr>
        <w:t> </w:t>
      </w:r>
      <w:r>
        <w:rPr>
          <w:color w:val="3A3838"/>
          <w:w w:val="110"/>
        </w:rPr>
        <w:t>citing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-7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5"/>
          <w:w w:val="110"/>
        </w:rPr>
        <w:t> </w:t>
      </w:r>
      <w:r>
        <w:rPr>
          <w:color w:val="3A3838"/>
          <w:w w:val="110"/>
        </w:rPr>
        <w:t>nonprecedential</w:t>
      </w:r>
      <w:r>
        <w:rPr>
          <w:color w:val="3A3838"/>
          <w:spacing w:val="-23"/>
          <w:w w:val="110"/>
        </w:rPr>
        <w:t> </w:t>
      </w:r>
      <w:r>
        <w:rPr>
          <w:color w:val="3A3838"/>
          <w:w w:val="110"/>
        </w:rPr>
        <w:t>decision</w:t>
      </w:r>
      <w:r>
        <w:rPr>
          <w:color w:val="3A3838"/>
          <w:spacing w:val="13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13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33"/>
          <w:w w:val="110"/>
        </w:rPr>
        <w:t> </w:t>
      </w:r>
      <w:r>
        <w:rPr>
          <w:color w:val="3A3838"/>
          <w:w w:val="110"/>
        </w:rPr>
        <w:t>text</w:t>
      </w:r>
      <w:r>
        <w:rPr>
          <w:color w:val="3A3838"/>
          <w:spacing w:val="-15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your</w:t>
      </w:r>
      <w:r>
        <w:rPr>
          <w:color w:val="3A3838"/>
          <w:spacing w:val="-13"/>
          <w:w w:val="110"/>
        </w:rPr>
        <w:t> </w:t>
      </w:r>
      <w:r>
        <w:rPr>
          <w:color w:val="3A3838"/>
          <w:w w:val="110"/>
        </w:rPr>
        <w:t>argument:</w:t>
      </w:r>
    </w:p>
    <w:p>
      <w:pPr>
        <w:spacing w:line="223" w:lineRule="auto" w:before="154"/>
        <w:ind w:left="839" w:right="539" w:firstLine="5"/>
        <w:jc w:val="both"/>
        <w:rPr>
          <w:sz w:val="20"/>
        </w:rPr>
      </w:pPr>
      <w:r>
        <w:rPr>
          <w:color w:val="3A3838"/>
          <w:w w:val="115"/>
          <w:sz w:val="20"/>
        </w:rPr>
        <w:t>The Ninth District Court of Appeals,</w:t>
      </w:r>
      <w:r>
        <w:rPr>
          <w:color w:val="3A3838"/>
          <w:spacing w:val="1"/>
          <w:w w:val="115"/>
          <w:sz w:val="20"/>
        </w:rPr>
        <w:t> </w:t>
      </w:r>
      <w:r>
        <w:rPr>
          <w:color w:val="3A3838"/>
          <w:w w:val="115"/>
          <w:sz w:val="20"/>
        </w:rPr>
        <w:t>in</w:t>
      </w:r>
      <w:r>
        <w:rPr>
          <w:color w:val="3A3838"/>
          <w:spacing w:val="1"/>
          <w:w w:val="115"/>
          <w:sz w:val="20"/>
        </w:rPr>
        <w:t> </w:t>
      </w:r>
      <w:r>
        <w:rPr>
          <w:color w:val="3A3838"/>
          <w:w w:val="115"/>
          <w:sz w:val="20"/>
        </w:rPr>
        <w:t>a</w:t>
      </w:r>
      <w:r>
        <w:rPr>
          <w:color w:val="3A3838"/>
          <w:spacing w:val="1"/>
          <w:w w:val="115"/>
          <w:sz w:val="20"/>
        </w:rPr>
        <w:t> </w:t>
      </w:r>
      <w:r>
        <w:rPr>
          <w:color w:val="3A3838"/>
          <w:w w:val="115"/>
          <w:sz w:val="20"/>
        </w:rPr>
        <w:t>nonprecedential decision,</w:t>
      </w:r>
      <w:r>
        <w:rPr>
          <w:color w:val="3A3838"/>
          <w:spacing w:val="1"/>
          <w:w w:val="115"/>
          <w:sz w:val="20"/>
        </w:rPr>
        <w:t> </w:t>
      </w:r>
      <w:r>
        <w:rPr>
          <w:color w:val="3A3838"/>
          <w:spacing w:val="-1"/>
          <w:w w:val="115"/>
          <w:sz w:val="20"/>
        </w:rPr>
        <w:t>endorsed just this interpretation </w:t>
      </w:r>
      <w:r>
        <w:rPr>
          <w:color w:val="3A3838"/>
          <w:w w:val="115"/>
          <w:sz w:val="20"/>
        </w:rPr>
        <w:t>in 1992. </w:t>
      </w:r>
      <w:r>
        <w:rPr>
          <w:color w:val="3A3838"/>
          <w:w w:val="115"/>
          <w:sz w:val="24"/>
          <w:u w:val="thick" w:color="3A3838"/>
        </w:rPr>
        <w:t>Restrepo</w:t>
      </w:r>
      <w:r>
        <w:rPr>
          <w:color w:val="3A3838"/>
          <w:w w:val="115"/>
          <w:sz w:val="24"/>
        </w:rPr>
        <w:t> </w:t>
      </w:r>
      <w:r>
        <w:rPr>
          <w:color w:val="3A3838"/>
          <w:w w:val="115"/>
          <w:sz w:val="19"/>
          <w:u w:val="thick" w:color="3A3838"/>
        </w:rPr>
        <w:t>y.</w:t>
      </w:r>
      <w:r>
        <w:rPr>
          <w:color w:val="3A3838"/>
          <w:w w:val="115"/>
          <w:sz w:val="19"/>
        </w:rPr>
        <w:t> </w:t>
      </w:r>
      <w:r>
        <w:rPr>
          <w:color w:val="3A3838"/>
          <w:w w:val="115"/>
          <w:sz w:val="24"/>
          <w:u w:val="thick" w:color="3A3838"/>
        </w:rPr>
        <w:t>McGuffin,</w:t>
      </w:r>
      <w:r>
        <w:rPr>
          <w:color w:val="3A3838"/>
          <w:w w:val="115"/>
          <w:sz w:val="24"/>
        </w:rPr>
        <w:t> </w:t>
      </w:r>
      <w:r>
        <w:rPr>
          <w:color w:val="3A3838"/>
          <w:w w:val="115"/>
          <w:sz w:val="20"/>
        </w:rPr>
        <w:t>No.</w:t>
      </w:r>
      <w:r>
        <w:rPr>
          <w:color w:val="3A3838"/>
          <w:spacing w:val="1"/>
          <w:w w:val="115"/>
          <w:sz w:val="20"/>
        </w:rPr>
        <w:t> </w:t>
      </w:r>
      <w:r>
        <w:rPr>
          <w:color w:val="3A3838"/>
          <w:w w:val="115"/>
          <w:sz w:val="20"/>
        </w:rPr>
        <w:t>AB9123561A4</w:t>
      </w:r>
      <w:r>
        <w:rPr>
          <w:color w:val="3A3838"/>
          <w:spacing w:val="21"/>
          <w:w w:val="115"/>
          <w:sz w:val="20"/>
        </w:rPr>
        <w:t> </w:t>
      </w:r>
      <w:r>
        <w:rPr>
          <w:color w:val="3A3838"/>
          <w:w w:val="115"/>
          <w:sz w:val="20"/>
        </w:rPr>
        <w:t>(Ohio</w:t>
      </w:r>
      <w:r>
        <w:rPr>
          <w:color w:val="3A3838"/>
          <w:spacing w:val="-1"/>
          <w:w w:val="115"/>
          <w:sz w:val="20"/>
        </w:rPr>
        <w:t> </w:t>
      </w:r>
      <w:r>
        <w:rPr>
          <w:color w:val="3A3838"/>
          <w:w w:val="115"/>
          <w:sz w:val="20"/>
        </w:rPr>
        <w:t>App.</w:t>
      </w:r>
      <w:r>
        <w:rPr>
          <w:color w:val="3A3838"/>
          <w:spacing w:val="-7"/>
          <w:w w:val="115"/>
          <w:sz w:val="20"/>
        </w:rPr>
        <w:t> </w:t>
      </w:r>
      <w:r>
        <w:rPr>
          <w:color w:val="3A3838"/>
          <w:w w:val="115"/>
          <w:sz w:val="20"/>
        </w:rPr>
        <w:t>9th</w:t>
      </w:r>
      <w:r>
        <w:rPr>
          <w:color w:val="3A3838"/>
          <w:spacing w:val="40"/>
          <w:w w:val="115"/>
          <w:sz w:val="20"/>
        </w:rPr>
        <w:t> </w:t>
      </w:r>
      <w:r>
        <w:rPr>
          <w:color w:val="3A3838"/>
          <w:w w:val="115"/>
          <w:sz w:val="20"/>
        </w:rPr>
        <w:t>Dist.Jan.</w:t>
      </w:r>
      <w:r>
        <w:rPr>
          <w:color w:val="3A3838"/>
          <w:spacing w:val="-2"/>
          <w:w w:val="115"/>
          <w:sz w:val="20"/>
        </w:rPr>
        <w:t> </w:t>
      </w:r>
      <w:r>
        <w:rPr>
          <w:color w:val="3A3838"/>
          <w:w w:val="115"/>
          <w:sz w:val="20"/>
        </w:rPr>
        <w:t>24,</w:t>
      </w:r>
      <w:r>
        <w:rPr>
          <w:color w:val="3A3838"/>
          <w:spacing w:val="-29"/>
          <w:w w:val="115"/>
          <w:sz w:val="20"/>
        </w:rPr>
        <w:t> </w:t>
      </w:r>
      <w:r>
        <w:rPr>
          <w:color w:val="3A3838"/>
          <w:w w:val="115"/>
          <w:sz w:val="20"/>
        </w:rPr>
        <w:t>1992)</w:t>
      </w:r>
      <w:r>
        <w:rPr>
          <w:color w:val="3A3838"/>
          <w:spacing w:val="-3"/>
          <w:w w:val="115"/>
          <w:sz w:val="20"/>
        </w:rPr>
        <w:t> </w:t>
      </w:r>
      <w:r>
        <w:rPr>
          <w:color w:val="3A3838"/>
          <w:w w:val="115"/>
          <w:sz w:val="20"/>
        </w:rPr>
        <w:t>(copy</w:t>
      </w:r>
      <w:r>
        <w:rPr>
          <w:color w:val="3A3838"/>
          <w:spacing w:val="-13"/>
          <w:w w:val="115"/>
          <w:sz w:val="20"/>
        </w:rPr>
        <w:t> </w:t>
      </w:r>
      <w:r>
        <w:rPr>
          <w:color w:val="3A3838"/>
          <w:w w:val="115"/>
          <w:sz w:val="20"/>
        </w:rPr>
        <w:t>attached).</w:t>
      </w:r>
    </w:p>
    <w:p>
      <w:pPr>
        <w:pStyle w:val="BodyText"/>
        <w:spacing w:line="235" w:lineRule="auto" w:before="145"/>
        <w:ind w:left="446" w:right="205" w:firstLine="14"/>
        <w:jc w:val="both"/>
      </w:pPr>
      <w:r>
        <w:rPr>
          <w:color w:val="3A3838"/>
          <w:w w:val="105"/>
        </w:rPr>
        <w:t>Regardless of formal citation rules, some courts may designate a nonprec­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edential</w:t>
      </w:r>
      <w:r>
        <w:rPr>
          <w:color w:val="3A3838"/>
          <w:spacing w:val="12"/>
          <w:w w:val="110"/>
        </w:rPr>
        <w:t> </w:t>
      </w:r>
      <w:r>
        <w:rPr>
          <w:color w:val="3A3838"/>
          <w:w w:val="110"/>
        </w:rPr>
        <w:t>opinion</w:t>
      </w:r>
      <w:r>
        <w:rPr>
          <w:color w:val="3A3838"/>
          <w:spacing w:val="21"/>
          <w:w w:val="110"/>
        </w:rPr>
        <w:t> </w:t>
      </w:r>
      <w:r>
        <w:rPr>
          <w:color w:val="3A3838"/>
          <w:w w:val="110"/>
        </w:rPr>
        <w:t>by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putting</w:t>
      </w:r>
      <w:r>
        <w:rPr>
          <w:color w:val="3A3838"/>
          <w:spacing w:val="8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2"/>
          <w:w w:val="110"/>
        </w:rPr>
        <w:t> </w:t>
      </w:r>
      <w:r>
        <w:rPr>
          <w:color w:val="3A3838"/>
          <w:w w:val="110"/>
        </w:rPr>
        <w:t>word</w:t>
      </w:r>
      <w:r>
        <w:rPr>
          <w:color w:val="3A3838"/>
          <w:spacing w:val="9"/>
          <w:w w:val="110"/>
        </w:rPr>
        <w:t> </w:t>
      </w:r>
      <w:r>
        <w:rPr>
          <w:color w:val="3A3838"/>
          <w:w w:val="110"/>
        </w:rPr>
        <w:t>"unpublished"</w:t>
      </w:r>
      <w:r>
        <w:rPr>
          <w:color w:val="3A3838"/>
          <w:spacing w:val="3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16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16"/>
          <w:w w:val="110"/>
        </w:rPr>
        <w:t> </w:t>
      </w:r>
      <w:r>
        <w:rPr>
          <w:color w:val="3A3838"/>
          <w:w w:val="110"/>
        </w:rPr>
        <w:t>parenthetical</w:t>
      </w:r>
      <w:r>
        <w:rPr>
          <w:color w:val="3A3838"/>
          <w:spacing w:val="19"/>
          <w:w w:val="110"/>
        </w:rPr>
        <w:t> </w:t>
      </w:r>
      <w:r>
        <w:rPr>
          <w:color w:val="3A3838"/>
          <w:w w:val="110"/>
        </w:rPr>
        <w:t>at</w:t>
      </w:r>
    </w:p>
    <w:p>
      <w:pPr>
        <w:pStyle w:val="BodyText"/>
        <w:spacing w:before="8"/>
        <w:rPr>
          <w:sz w:val="36"/>
        </w:rPr>
      </w:pPr>
    </w:p>
    <w:p>
      <w:pPr>
        <w:spacing w:line="223" w:lineRule="auto" w:before="0"/>
        <w:ind w:left="386" w:right="224" w:firstLine="404"/>
        <w:jc w:val="both"/>
        <w:rPr>
          <w:sz w:val="18"/>
        </w:rPr>
      </w:pPr>
      <w:r>
        <w:rPr>
          <w:color w:val="3A3838"/>
          <w:w w:val="105"/>
          <w:sz w:val="18"/>
        </w:rPr>
        <w:t>"Association of Legal Writing Directors </w:t>
      </w:r>
      <w:r>
        <w:rPr>
          <w:color w:val="3A3838"/>
          <w:w w:val="105"/>
          <w:sz w:val="16"/>
        </w:rPr>
        <w:t>&amp; </w:t>
      </w:r>
      <w:r>
        <w:rPr>
          <w:color w:val="3A3838"/>
          <w:w w:val="105"/>
          <w:sz w:val="18"/>
        </w:rPr>
        <w:t>Coleen M. Barger, </w:t>
      </w:r>
      <w:r>
        <w:rPr>
          <w:i/>
          <w:color w:val="3A3838"/>
          <w:w w:val="105"/>
          <w:sz w:val="17"/>
        </w:rPr>
        <w:t>ALWD Gulde to Legal </w:t>
      </w:r>
      <w:r>
        <w:rPr>
          <w:i/>
          <w:color w:val="4F4D4F"/>
          <w:w w:val="105"/>
          <w:sz w:val="17"/>
        </w:rPr>
        <w:t>Citation</w:t>
      </w:r>
      <w:r>
        <w:rPr>
          <w:i/>
          <w:color w:val="4F4D4F"/>
          <w:spacing w:val="1"/>
          <w:w w:val="105"/>
          <w:sz w:val="17"/>
        </w:rPr>
        <w:t> </w:t>
      </w:r>
      <w:r>
        <w:rPr>
          <w:color w:val="3A3838"/>
          <w:w w:val="105"/>
          <w:sz w:val="18"/>
        </w:rPr>
        <w:t>(Sth ed., </w:t>
      </w:r>
      <w:r>
        <w:rPr>
          <w:rFonts w:ascii="Arial"/>
          <w:i/>
          <w:color w:val="3A3838"/>
          <w:w w:val="105"/>
          <w:sz w:val="16"/>
        </w:rPr>
        <w:t>Aspen </w:t>
      </w:r>
      <w:r>
        <w:rPr>
          <w:color w:val="4F4D4F"/>
          <w:w w:val="105"/>
          <w:sz w:val="18"/>
        </w:rPr>
        <w:t>2014). </w:t>
      </w:r>
      <w:r>
        <w:rPr>
          <w:color w:val="3A3838"/>
          <w:w w:val="105"/>
          <w:sz w:val="18"/>
        </w:rPr>
        <w:t>Rule 12.12 addresses methods for citing cases that will </w:t>
      </w:r>
      <w:r>
        <w:rPr>
          <w:color w:val="3A3838"/>
          <w:w w:val="105"/>
          <w:sz w:val="17"/>
        </w:rPr>
        <w:t>be, </w:t>
      </w:r>
      <w:r>
        <w:rPr>
          <w:color w:val="3A3838"/>
          <w:w w:val="105"/>
          <w:sz w:val="18"/>
        </w:rPr>
        <w:t>but are not yet,</w:t>
      </w:r>
      <w:r>
        <w:rPr>
          <w:color w:val="3A3838"/>
          <w:spacing w:val="1"/>
          <w:w w:val="105"/>
          <w:sz w:val="18"/>
        </w:rPr>
        <w:t> </w:t>
      </w:r>
      <w:r>
        <w:rPr>
          <w:color w:val="3A3838"/>
          <w:w w:val="105"/>
          <w:sz w:val="18"/>
        </w:rPr>
        <w:t>published In hard copy. Note that the rules In the ALWD Manual produce citations Identical to</w:t>
      </w:r>
      <w:r>
        <w:rPr>
          <w:color w:val="3A3838"/>
          <w:spacing w:val="1"/>
          <w:w w:val="105"/>
          <w:sz w:val="18"/>
        </w:rPr>
        <w:t> </w:t>
      </w:r>
      <w:r>
        <w:rPr>
          <w:color w:val="3A3838"/>
          <w:w w:val="110"/>
          <w:sz w:val="18"/>
        </w:rPr>
        <w:t>those</w:t>
      </w:r>
      <w:r>
        <w:rPr>
          <w:color w:val="3A3838"/>
          <w:spacing w:val="-20"/>
          <w:w w:val="110"/>
          <w:sz w:val="18"/>
        </w:rPr>
        <w:t> </w:t>
      </w:r>
      <w:r>
        <w:rPr>
          <w:color w:val="3A3838"/>
          <w:w w:val="110"/>
          <w:sz w:val="18"/>
        </w:rPr>
        <w:t>produced</w:t>
      </w:r>
      <w:r>
        <w:rPr>
          <w:color w:val="3A3838"/>
          <w:spacing w:val="6"/>
          <w:w w:val="110"/>
          <w:sz w:val="18"/>
        </w:rPr>
        <w:t> </w:t>
      </w:r>
      <w:r>
        <w:rPr>
          <w:color w:val="3A3838"/>
          <w:w w:val="110"/>
          <w:sz w:val="18"/>
        </w:rPr>
        <w:t>when</w:t>
      </w:r>
      <w:r>
        <w:rPr>
          <w:color w:val="3A3838"/>
          <w:spacing w:val="-3"/>
          <w:w w:val="110"/>
          <w:sz w:val="18"/>
        </w:rPr>
        <w:t> </w:t>
      </w:r>
      <w:r>
        <w:rPr>
          <w:color w:val="3A3838"/>
          <w:w w:val="110"/>
          <w:sz w:val="18"/>
        </w:rPr>
        <w:t>followlng</w:t>
      </w:r>
      <w:r>
        <w:rPr>
          <w:color w:val="3A3838"/>
          <w:spacing w:val="-4"/>
          <w:w w:val="110"/>
          <w:sz w:val="18"/>
        </w:rPr>
        <w:t> </w:t>
      </w:r>
      <w:r>
        <w:rPr>
          <w:color w:val="3A3838"/>
          <w:w w:val="110"/>
          <w:sz w:val="18"/>
        </w:rPr>
        <w:t>the</w:t>
      </w:r>
      <w:r>
        <w:rPr>
          <w:color w:val="3A3838"/>
          <w:spacing w:val="15"/>
          <w:w w:val="110"/>
          <w:sz w:val="18"/>
        </w:rPr>
        <w:t> </w:t>
      </w:r>
      <w:r>
        <w:rPr>
          <w:color w:val="3A3838"/>
          <w:w w:val="110"/>
          <w:sz w:val="18"/>
        </w:rPr>
        <w:t>rules</w:t>
      </w:r>
      <w:r>
        <w:rPr>
          <w:color w:val="3A3838"/>
          <w:spacing w:val="-19"/>
          <w:w w:val="110"/>
          <w:sz w:val="18"/>
        </w:rPr>
        <w:t> </w:t>
      </w:r>
      <w:r>
        <w:rPr>
          <w:color w:val="3A3838"/>
          <w:w w:val="110"/>
          <w:sz w:val="18"/>
        </w:rPr>
        <w:t>In</w:t>
      </w:r>
      <w:r>
        <w:rPr>
          <w:color w:val="3A3838"/>
          <w:spacing w:val="-3"/>
          <w:w w:val="110"/>
          <w:sz w:val="18"/>
        </w:rPr>
        <w:t> </w:t>
      </w:r>
      <w:r>
        <w:rPr>
          <w:color w:val="3A3838"/>
          <w:w w:val="110"/>
          <w:sz w:val="18"/>
        </w:rPr>
        <w:t>the</w:t>
      </w:r>
      <w:r>
        <w:rPr>
          <w:color w:val="3A3838"/>
          <w:spacing w:val="6"/>
          <w:w w:val="110"/>
          <w:sz w:val="18"/>
        </w:rPr>
        <w:t> </w:t>
      </w:r>
      <w:r>
        <w:rPr>
          <w:color w:val="3A3838"/>
          <w:w w:val="110"/>
          <w:sz w:val="18"/>
        </w:rPr>
        <w:t>Bluebook.</w:t>
      </w:r>
    </w:p>
    <w:p>
      <w:pPr>
        <w:spacing w:after="0" w:line="223" w:lineRule="auto"/>
        <w:jc w:val="both"/>
        <w:rPr>
          <w:sz w:val="18"/>
        </w:rPr>
        <w:sectPr>
          <w:headerReference w:type="even" r:id="rId164"/>
          <w:headerReference w:type="default" r:id="rId165"/>
          <w:pgSz w:w="9340" w:h="13760"/>
          <w:pgMar w:header="405" w:footer="0" w:top="980" w:bottom="0" w:left="1280" w:right="0"/>
          <w:pgNumType w:start="140"/>
        </w:sectPr>
      </w:pPr>
    </w:p>
    <w:p>
      <w:pPr>
        <w:pStyle w:val="BodyText"/>
        <w:spacing w:line="232" w:lineRule="auto" w:before="87"/>
        <w:ind w:left="290" w:right="213" w:firstLine="5"/>
        <w:jc w:val="both"/>
      </w:pPr>
      <w:r>
        <w:rPr>
          <w:color w:val="383636"/>
          <w:w w:val="115"/>
        </w:rPr>
        <w:t>the end of the citation.</w:t>
      </w:r>
      <w:r>
        <w:rPr>
          <w:rFonts w:ascii="Arial" w:hAnsi="Arial"/>
          <w:color w:val="383636"/>
          <w:w w:val="115"/>
          <w:position w:val="10"/>
          <w:sz w:val="12"/>
        </w:rPr>
        <w:t>17 </w:t>
      </w:r>
      <w:r>
        <w:rPr>
          <w:color w:val="383636"/>
          <w:w w:val="115"/>
        </w:rPr>
        <w:t>Try to find out about local rules and local cus­</w:t>
      </w:r>
      <w:r>
        <w:rPr>
          <w:color w:val="383636"/>
          <w:spacing w:val="1"/>
          <w:w w:val="115"/>
        </w:rPr>
        <w:t> </w:t>
      </w:r>
      <w:r>
        <w:rPr>
          <w:color w:val="383636"/>
          <w:spacing w:val="-1"/>
          <w:w w:val="115"/>
        </w:rPr>
        <w:t>toms when </w:t>
      </w:r>
      <w:r>
        <w:rPr>
          <w:color w:val="383636"/>
          <w:w w:val="115"/>
        </w:rPr>
        <w:t>deciding whether and how to cite nonprecedential opinions.</w:t>
      </w:r>
      <w:r>
        <w:rPr>
          <w:color w:val="383636"/>
          <w:spacing w:val="-64"/>
          <w:w w:val="115"/>
        </w:rPr>
        <w:t> </w:t>
      </w:r>
      <w:r>
        <w:rPr>
          <w:color w:val="383636"/>
          <w:w w:val="115"/>
        </w:rPr>
        <w:t>When citing them, err on the side of giving too much information to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avoid</w:t>
      </w:r>
      <w:r>
        <w:rPr>
          <w:color w:val="383636"/>
          <w:spacing w:val="-12"/>
          <w:w w:val="115"/>
        </w:rPr>
        <w:t> </w:t>
      </w:r>
      <w:r>
        <w:rPr>
          <w:color w:val="383636"/>
          <w:w w:val="115"/>
        </w:rPr>
        <w:t>violating</w:t>
      </w:r>
      <w:r>
        <w:rPr>
          <w:color w:val="383636"/>
          <w:spacing w:val="-21"/>
          <w:w w:val="115"/>
        </w:rPr>
        <w:t> </w:t>
      </w:r>
      <w:r>
        <w:rPr>
          <w:color w:val="383636"/>
          <w:w w:val="115"/>
        </w:rPr>
        <w:t>court</w:t>
      </w:r>
      <w:r>
        <w:rPr>
          <w:color w:val="383636"/>
          <w:spacing w:val="-5"/>
          <w:w w:val="115"/>
        </w:rPr>
        <w:t> </w:t>
      </w:r>
      <w:r>
        <w:rPr>
          <w:color w:val="383636"/>
          <w:w w:val="115"/>
        </w:rPr>
        <w:t>rules.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0"/>
        <w:ind w:left="0" w:right="6729" w:firstLine="0"/>
        <w:jc w:val="right"/>
        <w:rPr>
          <w:rFonts w:ascii="Arial"/>
          <w:b/>
          <w:sz w:val="33"/>
        </w:rPr>
      </w:pPr>
      <w:r>
        <w:rPr>
          <w:rFonts w:ascii="Arial"/>
          <w:b/>
          <w:color w:val="383636"/>
          <w:w w:val="110"/>
          <w:sz w:val="33"/>
        </w:rPr>
        <w:t>6.5</w:t>
      </w:r>
    </w:p>
    <w:p>
      <w:pPr>
        <w:spacing w:before="81"/>
        <w:ind w:left="858" w:right="0" w:firstLine="0"/>
        <w:jc w:val="left"/>
        <w:rPr>
          <w:rFonts w:ascii="Arial"/>
          <w:b/>
          <w:sz w:val="25"/>
        </w:rPr>
      </w:pPr>
      <w:r>
        <w:rPr>
          <w:rFonts w:ascii="Arial"/>
          <w:b/>
          <w:color w:val="383636"/>
          <w:w w:val="105"/>
          <w:sz w:val="25"/>
        </w:rPr>
        <w:t>USING</w:t>
      </w:r>
      <w:r>
        <w:rPr>
          <w:rFonts w:ascii="Arial"/>
          <w:b/>
          <w:color w:val="383636"/>
          <w:spacing w:val="-6"/>
          <w:w w:val="105"/>
          <w:sz w:val="25"/>
        </w:rPr>
        <w:t> </w:t>
      </w:r>
      <w:r>
        <w:rPr>
          <w:rFonts w:ascii="Arial"/>
          <w:b/>
          <w:color w:val="383636"/>
          <w:w w:val="105"/>
          <w:sz w:val="25"/>
        </w:rPr>
        <w:t>CITATIONS</w:t>
      </w:r>
      <w:r>
        <w:rPr>
          <w:rFonts w:ascii="Arial"/>
          <w:b/>
          <w:color w:val="383636"/>
          <w:spacing w:val="16"/>
          <w:w w:val="105"/>
          <w:sz w:val="25"/>
        </w:rPr>
        <w:t> </w:t>
      </w:r>
      <w:r>
        <w:rPr>
          <w:rFonts w:ascii="Arial"/>
          <w:b/>
          <w:color w:val="383636"/>
          <w:w w:val="105"/>
          <w:sz w:val="25"/>
        </w:rPr>
        <w:t>EFFECTIVELY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spacing w:before="0"/>
        <w:ind w:left="0" w:right="6787" w:firstLine="0"/>
        <w:jc w:val="right"/>
        <w:rPr>
          <w:rFonts w:ascii="Arial"/>
          <w:b/>
          <w:sz w:val="28"/>
        </w:rPr>
      </w:pPr>
      <w:r>
        <w:rPr>
          <w:rFonts w:ascii="Arial"/>
          <w:b/>
          <w:color w:val="383636"/>
          <w:w w:val="105"/>
          <w:sz w:val="28"/>
        </w:rPr>
        <w:t>6.5.1</w:t>
      </w:r>
    </w:p>
    <w:p>
      <w:pPr>
        <w:spacing w:before="52"/>
        <w:ind w:left="625" w:right="0" w:firstLine="0"/>
        <w:jc w:val="left"/>
        <w:rPr>
          <w:rFonts w:ascii="Arial"/>
          <w:sz w:val="22"/>
        </w:rPr>
      </w:pPr>
      <w:r>
        <w:rPr>
          <w:rFonts w:ascii="Arial"/>
          <w:b/>
          <w:color w:val="383636"/>
          <w:w w:val="105"/>
          <w:sz w:val="22"/>
        </w:rPr>
        <w:t>WHEN</w:t>
      </w:r>
      <w:r>
        <w:rPr>
          <w:rFonts w:ascii="Arial"/>
          <w:b/>
          <w:color w:val="383636"/>
          <w:spacing w:val="-8"/>
          <w:w w:val="105"/>
          <w:sz w:val="22"/>
        </w:rPr>
        <w:t> </w:t>
      </w:r>
      <w:r>
        <w:rPr>
          <w:rFonts w:ascii="Arial"/>
          <w:b/>
          <w:color w:val="383636"/>
          <w:w w:val="105"/>
          <w:sz w:val="22"/>
        </w:rPr>
        <w:t>TO</w:t>
      </w:r>
      <w:r>
        <w:rPr>
          <w:rFonts w:ascii="Arial"/>
          <w:b/>
          <w:color w:val="383636"/>
          <w:spacing w:val="25"/>
          <w:w w:val="105"/>
          <w:sz w:val="22"/>
        </w:rPr>
        <w:t> </w:t>
      </w:r>
      <w:r>
        <w:rPr>
          <w:rFonts w:ascii="Arial"/>
          <w:color w:val="383636"/>
          <w:w w:val="105"/>
          <w:sz w:val="22"/>
        </w:rPr>
        <w:t>CITE</w:t>
      </w:r>
    </w:p>
    <w:p>
      <w:pPr>
        <w:pStyle w:val="BodyText"/>
        <w:spacing w:line="232" w:lineRule="auto" w:before="149"/>
        <w:ind w:left="287" w:right="215" w:firstLine="332"/>
        <w:jc w:val="both"/>
        <w:rPr>
          <w:i/>
          <w:sz w:val="22"/>
        </w:rPr>
      </w:pPr>
      <w:r>
        <w:rPr>
          <w:color w:val="383636"/>
          <w:w w:val="110"/>
        </w:rPr>
        <w:t>The first challenge for many legal writers is figuring out when citations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are necessary. Generally, you </w:t>
      </w:r>
      <w:r>
        <w:rPr>
          <w:i/>
          <w:color w:val="383636"/>
          <w:w w:val="110"/>
        </w:rPr>
        <w:t>must </w:t>
      </w:r>
      <w:r>
        <w:rPr>
          <w:color w:val="383636"/>
          <w:w w:val="110"/>
        </w:rPr>
        <w:t>include a citation at the end of every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sentence in which you state a legal proposition, refer to a new authority,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orquoteor paraphrase information from a court opinion (orother source).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One of the few occasions on which you may </w:t>
      </w:r>
      <w:r>
        <w:rPr>
          <w:i/>
          <w:color w:val="383636"/>
          <w:w w:val="110"/>
        </w:rPr>
        <w:t>omit </w:t>
      </w:r>
      <w:r>
        <w:rPr>
          <w:color w:val="383636"/>
          <w:w w:val="110"/>
        </w:rPr>
        <w:t>a citation is when you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have already analyzed an  authority  and are applying that authority's rule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to your case. For example, the statement that "the </w:t>
      </w:r>
      <w:r>
        <w:rPr>
          <w:i/>
          <w:color w:val="383636"/>
          <w:w w:val="110"/>
          <w:sz w:val="22"/>
        </w:rPr>
        <w:t>McGuffin </w:t>
      </w:r>
      <w:r>
        <w:rPr>
          <w:color w:val="383636"/>
          <w:w w:val="110"/>
        </w:rPr>
        <w:t>rule applies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here" does not need </w:t>
      </w:r>
      <w:r>
        <w:rPr>
          <w:color w:val="383636"/>
          <w:w w:val="115"/>
          <w:sz w:val="24"/>
        </w:rPr>
        <w:t>a </w:t>
      </w:r>
      <w:r>
        <w:rPr>
          <w:color w:val="383636"/>
          <w:w w:val="115"/>
        </w:rPr>
        <w:t>citation in </w:t>
      </w:r>
      <w:r>
        <w:rPr>
          <w:color w:val="383636"/>
          <w:w w:val="115"/>
          <w:sz w:val="24"/>
        </w:rPr>
        <w:t>a </w:t>
      </w:r>
      <w:r>
        <w:rPr>
          <w:color w:val="383636"/>
          <w:w w:val="115"/>
        </w:rPr>
        <w:t>discussion in which the writer has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already</w:t>
      </w:r>
      <w:r>
        <w:rPr>
          <w:color w:val="383636"/>
          <w:spacing w:val="-13"/>
          <w:w w:val="110"/>
        </w:rPr>
        <w:t> </w:t>
      </w:r>
      <w:r>
        <w:rPr>
          <w:color w:val="383636"/>
          <w:w w:val="110"/>
        </w:rPr>
        <w:t>introduced</w:t>
      </w:r>
      <w:r>
        <w:rPr>
          <w:color w:val="383636"/>
          <w:spacing w:val="17"/>
          <w:w w:val="110"/>
        </w:rPr>
        <w:t> </w:t>
      </w:r>
      <w:r>
        <w:rPr>
          <w:color w:val="383636"/>
          <w:w w:val="110"/>
        </w:rPr>
        <w:t>and</w:t>
      </w:r>
      <w:r>
        <w:rPr>
          <w:color w:val="383636"/>
          <w:spacing w:val="13"/>
          <w:w w:val="110"/>
        </w:rPr>
        <w:t> </w:t>
      </w:r>
      <w:r>
        <w:rPr>
          <w:color w:val="383636"/>
          <w:w w:val="110"/>
        </w:rPr>
        <w:t>cited</w:t>
      </w:r>
      <w:r>
        <w:rPr>
          <w:color w:val="383636"/>
          <w:spacing w:val="-6"/>
          <w:w w:val="110"/>
        </w:rPr>
        <w:t> </w:t>
      </w:r>
      <w:r>
        <w:rPr>
          <w:i/>
          <w:color w:val="383636"/>
          <w:w w:val="110"/>
          <w:sz w:val="22"/>
        </w:rPr>
        <w:t>McGuffin.</w:t>
      </w:r>
    </w:p>
    <w:p>
      <w:pPr>
        <w:pStyle w:val="BodyText"/>
        <w:spacing w:line="235" w:lineRule="auto"/>
        <w:ind w:left="287" w:right="200" w:firstLine="333"/>
        <w:jc w:val="both"/>
      </w:pPr>
      <w:r>
        <w:rPr>
          <w:color w:val="383636"/>
          <w:w w:val="110"/>
        </w:rPr>
        <w:t>Some</w:t>
      </w:r>
      <w:r>
        <w:rPr>
          <w:color w:val="383636"/>
          <w:spacing w:val="12"/>
          <w:w w:val="110"/>
        </w:rPr>
        <w:t> </w:t>
      </w:r>
      <w:r>
        <w:rPr>
          <w:color w:val="383636"/>
          <w:w w:val="110"/>
        </w:rPr>
        <w:t>legal</w:t>
      </w:r>
      <w:r>
        <w:rPr>
          <w:color w:val="383636"/>
          <w:spacing w:val="28"/>
          <w:w w:val="110"/>
        </w:rPr>
        <w:t> </w:t>
      </w:r>
      <w:r>
        <w:rPr>
          <w:color w:val="383636"/>
          <w:w w:val="110"/>
        </w:rPr>
        <w:t>propositions</w:t>
      </w:r>
      <w:r>
        <w:rPr>
          <w:color w:val="383636"/>
          <w:spacing w:val="20"/>
          <w:w w:val="110"/>
        </w:rPr>
        <w:t> </w:t>
      </w:r>
      <w:r>
        <w:rPr>
          <w:color w:val="383636"/>
          <w:w w:val="110"/>
        </w:rPr>
        <w:t>are</w:t>
      </w:r>
      <w:r>
        <w:rPr>
          <w:color w:val="383636"/>
          <w:spacing w:val="24"/>
          <w:w w:val="110"/>
        </w:rPr>
        <w:t> </w:t>
      </w:r>
      <w:r>
        <w:rPr>
          <w:color w:val="383636"/>
          <w:w w:val="110"/>
        </w:rPr>
        <w:t>so</w:t>
      </w:r>
      <w:r>
        <w:rPr>
          <w:color w:val="383636"/>
          <w:spacing w:val="19"/>
          <w:w w:val="110"/>
        </w:rPr>
        <w:t> </w:t>
      </w:r>
      <w:r>
        <w:rPr>
          <w:color w:val="383636"/>
          <w:w w:val="110"/>
        </w:rPr>
        <w:t>basic</w:t>
      </w:r>
      <w:r>
        <w:rPr>
          <w:color w:val="383636"/>
          <w:spacing w:val="7"/>
          <w:w w:val="110"/>
        </w:rPr>
        <w:t> </w:t>
      </w:r>
      <w:r>
        <w:rPr>
          <w:color w:val="383636"/>
          <w:w w:val="110"/>
        </w:rPr>
        <w:t>that</w:t>
      </w:r>
      <w:r>
        <w:rPr>
          <w:color w:val="383636"/>
          <w:spacing w:val="25"/>
          <w:w w:val="110"/>
        </w:rPr>
        <w:t> </w:t>
      </w:r>
      <w:r>
        <w:rPr>
          <w:color w:val="383636"/>
          <w:w w:val="110"/>
        </w:rPr>
        <w:t>they</w:t>
      </w:r>
      <w:r>
        <w:rPr>
          <w:color w:val="383636"/>
          <w:spacing w:val="26"/>
          <w:w w:val="110"/>
        </w:rPr>
        <w:t> </w:t>
      </w:r>
      <w:r>
        <w:rPr>
          <w:color w:val="383636"/>
          <w:w w:val="110"/>
        </w:rPr>
        <w:t>may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seem</w:t>
      </w:r>
      <w:r>
        <w:rPr>
          <w:color w:val="383636"/>
          <w:spacing w:val="12"/>
          <w:w w:val="110"/>
        </w:rPr>
        <w:t> </w:t>
      </w:r>
      <w:r>
        <w:rPr>
          <w:color w:val="383636"/>
          <w:w w:val="110"/>
        </w:rPr>
        <w:t>self-evident.</w:t>
      </w:r>
      <w:r>
        <w:rPr>
          <w:color w:val="383636"/>
          <w:spacing w:val="1"/>
          <w:w w:val="110"/>
        </w:rPr>
        <w:t> </w:t>
      </w:r>
      <w:r>
        <w:rPr>
          <w:rFonts w:ascii="Arial"/>
          <w:color w:val="383636"/>
          <w:w w:val="115"/>
          <w:sz w:val="22"/>
        </w:rPr>
        <w:t>If </w:t>
      </w:r>
      <w:r>
        <w:rPr>
          <w:color w:val="383636"/>
          <w:w w:val="115"/>
        </w:rPr>
        <w:t>you are asking a court to apply such a legal principle to your client's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case, however, you should cite an authority that controls in that court's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jurisdiction.</w:t>
      </w:r>
    </w:p>
    <w:p>
      <w:pPr>
        <w:pStyle w:val="BodyText"/>
        <w:spacing w:before="10"/>
        <w:rPr>
          <w:sz w:val="9"/>
        </w:rPr>
      </w:pPr>
    </w:p>
    <w:p>
      <w:pPr>
        <w:tabs>
          <w:tab w:pos="474" w:val="left" w:leader="none"/>
        </w:tabs>
        <w:spacing w:before="93"/>
        <w:ind w:left="112" w:right="0" w:firstLine="0"/>
        <w:jc w:val="left"/>
        <w:rPr>
          <w:b/>
          <w:sz w:val="16"/>
        </w:rPr>
      </w:pPr>
      <w:r>
        <w:rPr>
          <w:b/>
          <w:color w:val="383636"/>
          <w:w w:val="100"/>
          <w:sz w:val="16"/>
          <w:u w:val="thick" w:color="383636"/>
        </w:rPr>
        <w:t> </w:t>
      </w:r>
      <w:r>
        <w:rPr>
          <w:b/>
          <w:color w:val="383636"/>
          <w:sz w:val="16"/>
          <w:u w:val="thick" w:color="383636"/>
        </w:rPr>
        <w:tab/>
      </w:r>
      <w:r>
        <w:rPr>
          <w:b/>
          <w:color w:val="383636"/>
          <w:sz w:val="16"/>
        </w:rPr>
        <w:t>   </w:t>
      </w:r>
      <w:r>
        <w:rPr>
          <w:b/>
          <w:color w:val="383636"/>
          <w:spacing w:val="7"/>
          <w:sz w:val="16"/>
        </w:rPr>
        <w:t> </w:t>
      </w:r>
      <w:r>
        <w:rPr>
          <w:b/>
          <w:color w:val="383636"/>
          <w:w w:val="85"/>
          <w:sz w:val="16"/>
          <w:u w:val="thick" w:color="383636"/>
        </w:rPr>
        <w:t>BAD</w:t>
      </w:r>
      <w:r>
        <w:rPr>
          <w:b/>
          <w:color w:val="383636"/>
          <w:spacing w:val="16"/>
          <w:w w:val="85"/>
          <w:sz w:val="16"/>
          <w:u w:val="thick" w:color="383636"/>
        </w:rPr>
        <w:t> </w:t>
      </w:r>
      <w:r>
        <w:rPr>
          <w:b/>
          <w:color w:val="383636"/>
          <w:w w:val="85"/>
          <w:sz w:val="16"/>
          <w:u w:val="thick" w:color="383636"/>
        </w:rPr>
        <w:t>EXAMPLE</w:t>
      </w:r>
    </w:p>
    <w:p>
      <w:pPr>
        <w:spacing w:line="230" w:lineRule="auto" w:before="86"/>
        <w:ind w:left="631" w:right="574" w:firstLine="9"/>
        <w:jc w:val="both"/>
        <w:rPr>
          <w:b/>
          <w:sz w:val="21"/>
        </w:rPr>
      </w:pPr>
      <w:r>
        <w:rPr>
          <w:b/>
          <w:color w:val="383636"/>
          <w:w w:val="110"/>
          <w:sz w:val="21"/>
        </w:rPr>
        <w:t>It is well known that the Fifth Amendment's protection against com­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pelled</w:t>
      </w:r>
      <w:r>
        <w:rPr>
          <w:b/>
          <w:color w:val="383636"/>
          <w:spacing w:val="-13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self-incrimination</w:t>
      </w:r>
      <w:r>
        <w:rPr>
          <w:b/>
          <w:color w:val="383636"/>
          <w:spacing w:val="-17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applies</w:t>
      </w:r>
      <w:r>
        <w:rPr>
          <w:b/>
          <w:color w:val="383636"/>
          <w:spacing w:val="-13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to</w:t>
      </w:r>
      <w:r>
        <w:rPr>
          <w:b/>
          <w:color w:val="383636"/>
          <w:spacing w:val="10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the</w:t>
      </w:r>
      <w:r>
        <w:rPr>
          <w:b/>
          <w:color w:val="383636"/>
          <w:spacing w:val="-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states</w:t>
      </w:r>
      <w:r>
        <w:rPr>
          <w:b/>
          <w:color w:val="4B4B4D"/>
          <w:w w:val="110"/>
          <w:sz w:val="21"/>
        </w:rPr>
        <w:t>.</w:t>
      </w:r>
    </w:p>
    <w:p>
      <w:pPr>
        <w:pStyle w:val="BodyText"/>
        <w:spacing w:before="7"/>
        <w:rPr>
          <w:b/>
          <w:sz w:val="18"/>
        </w:rPr>
      </w:pPr>
    </w:p>
    <w:p>
      <w:pPr>
        <w:spacing w:before="0"/>
        <w:ind w:left="286" w:right="0" w:firstLine="0"/>
        <w:jc w:val="both"/>
        <w:rPr>
          <w:sz w:val="16"/>
        </w:rPr>
      </w:pPr>
      <w:r>
        <w:rPr>
          <w:color w:val="4B4B4D"/>
          <w:w w:val="95"/>
          <w:sz w:val="30"/>
          <w:u w:val="thick" w:color="4B4B4D"/>
        </w:rPr>
        <w:t>.J:</w:t>
      </w:r>
      <w:r>
        <w:rPr>
          <w:color w:val="4B4B4D"/>
          <w:spacing w:val="64"/>
          <w:w w:val="95"/>
          <w:sz w:val="30"/>
        </w:rPr>
        <w:t> </w:t>
      </w:r>
      <w:r>
        <w:rPr>
          <w:color w:val="383636"/>
          <w:w w:val="95"/>
          <w:sz w:val="16"/>
          <w:u w:val="thick" w:color="383636"/>
        </w:rPr>
        <w:t>GOOD</w:t>
      </w:r>
      <w:r>
        <w:rPr>
          <w:color w:val="383636"/>
          <w:spacing w:val="-2"/>
          <w:w w:val="95"/>
          <w:sz w:val="16"/>
          <w:u w:val="thick" w:color="383636"/>
        </w:rPr>
        <w:t> </w:t>
      </w:r>
      <w:r>
        <w:rPr>
          <w:color w:val="383636"/>
          <w:w w:val="95"/>
          <w:sz w:val="16"/>
          <w:u w:val="thick" w:color="383636"/>
        </w:rPr>
        <w:t>EXAMPLE</w:t>
      </w:r>
    </w:p>
    <w:p>
      <w:pPr>
        <w:spacing w:line="235" w:lineRule="auto" w:before="51"/>
        <w:ind w:left="642" w:right="554" w:hanging="11"/>
        <w:jc w:val="both"/>
        <w:rPr>
          <w:sz w:val="20"/>
        </w:rPr>
      </w:pPr>
      <w:r>
        <w:rPr>
          <w:rFonts w:ascii="Arial" w:hAnsi="Arial"/>
          <w:color w:val="383636"/>
          <w:w w:val="110"/>
          <w:sz w:val="19"/>
        </w:rPr>
        <w:t>The</w:t>
      </w:r>
      <w:r>
        <w:rPr>
          <w:rFonts w:ascii="Arial" w:hAnsi="Arial"/>
          <w:color w:val="383636"/>
          <w:spacing w:val="1"/>
          <w:w w:val="110"/>
          <w:sz w:val="19"/>
        </w:rPr>
        <w:t> </w:t>
      </w:r>
      <w:r>
        <w:rPr>
          <w:b/>
          <w:color w:val="383636"/>
          <w:w w:val="110"/>
          <w:sz w:val="21"/>
        </w:rPr>
        <w:t>Fifth Amendment's protection against compelled self-incrimina­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tion </w:t>
      </w:r>
      <w:r>
        <w:rPr>
          <w:b/>
          <w:color w:val="383636"/>
          <w:w w:val="110"/>
          <w:sz w:val="21"/>
        </w:rPr>
        <w:t>applies </w:t>
      </w:r>
      <w:r>
        <w:rPr>
          <w:color w:val="383636"/>
          <w:w w:val="110"/>
          <w:sz w:val="21"/>
        </w:rPr>
        <w:t>to </w:t>
      </w:r>
      <w:r>
        <w:rPr>
          <w:b/>
          <w:color w:val="383636"/>
          <w:w w:val="110"/>
          <w:sz w:val="21"/>
        </w:rPr>
        <w:t>the states through the Fourteenth Amendment's Due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0"/>
        </w:rPr>
        <w:t>Process</w:t>
      </w:r>
      <w:r>
        <w:rPr>
          <w:color w:val="383636"/>
          <w:spacing w:val="-12"/>
          <w:w w:val="110"/>
          <w:sz w:val="20"/>
        </w:rPr>
        <w:t> </w:t>
      </w:r>
      <w:r>
        <w:rPr>
          <w:color w:val="383636"/>
          <w:w w:val="155"/>
          <w:sz w:val="20"/>
        </w:rPr>
        <w:t>Clause.</w:t>
      </w:r>
      <w:r>
        <w:rPr>
          <w:color w:val="383636"/>
          <w:spacing w:val="-18"/>
          <w:w w:val="155"/>
          <w:sz w:val="20"/>
        </w:rPr>
        <w:t> </w:t>
      </w:r>
      <w:r>
        <w:rPr>
          <w:color w:val="383636"/>
          <w:w w:val="110"/>
          <w:sz w:val="23"/>
          <w:u w:val="thick" w:color="383636"/>
        </w:rPr>
        <w:t>Malloy</w:t>
      </w:r>
      <w:r>
        <w:rPr>
          <w:color w:val="383636"/>
          <w:spacing w:val="-4"/>
          <w:w w:val="110"/>
          <w:sz w:val="23"/>
          <w:u w:val="thick" w:color="383636"/>
        </w:rPr>
        <w:t> </w:t>
      </w:r>
      <w:r>
        <w:rPr>
          <w:color w:val="383636"/>
          <w:w w:val="110"/>
          <w:sz w:val="21"/>
          <w:u w:val="thick" w:color="383636"/>
        </w:rPr>
        <w:t>v.</w:t>
      </w:r>
      <w:r>
        <w:rPr>
          <w:color w:val="383636"/>
          <w:spacing w:val="-7"/>
          <w:w w:val="110"/>
          <w:sz w:val="21"/>
          <w:u w:val="thick" w:color="383636"/>
        </w:rPr>
        <w:t> </w:t>
      </w:r>
      <w:r>
        <w:rPr>
          <w:rFonts w:ascii="Arial" w:hAnsi="Arial"/>
          <w:b/>
          <w:color w:val="383636"/>
          <w:w w:val="110"/>
          <w:sz w:val="23"/>
          <w:u w:val="thick" w:color="383636"/>
        </w:rPr>
        <w:t>HoKao</w:t>
      </w:r>
      <w:r>
        <w:rPr>
          <w:rFonts w:ascii="Arial" w:hAnsi="Arial"/>
          <w:b/>
          <w:color w:val="383636"/>
          <w:w w:val="110"/>
          <w:sz w:val="23"/>
        </w:rPr>
        <w:t>.</w:t>
      </w:r>
      <w:r>
        <w:rPr>
          <w:rFonts w:ascii="Arial" w:hAnsi="Arial"/>
          <w:b/>
          <w:color w:val="383636"/>
          <w:spacing w:val="-8"/>
          <w:w w:val="110"/>
          <w:sz w:val="23"/>
        </w:rPr>
        <w:t> </w:t>
      </w:r>
      <w:r>
        <w:rPr>
          <w:color w:val="383636"/>
          <w:w w:val="110"/>
          <w:sz w:val="20"/>
        </w:rPr>
        <w:t>378</w:t>
      </w:r>
      <w:r>
        <w:rPr>
          <w:color w:val="383636"/>
          <w:spacing w:val="45"/>
          <w:w w:val="110"/>
          <w:sz w:val="20"/>
        </w:rPr>
        <w:t> </w:t>
      </w:r>
      <w:r>
        <w:rPr>
          <w:color w:val="383636"/>
          <w:w w:val="110"/>
          <w:sz w:val="20"/>
        </w:rPr>
        <w:t>U.S. </w:t>
      </w:r>
      <w:r>
        <w:rPr>
          <w:b/>
          <w:color w:val="383636"/>
          <w:w w:val="110"/>
          <w:sz w:val="19"/>
        </w:rPr>
        <w:t>1,</w:t>
      </w:r>
      <w:r>
        <w:rPr>
          <w:b/>
          <w:color w:val="383636"/>
          <w:spacing w:val="17"/>
          <w:w w:val="110"/>
          <w:sz w:val="19"/>
        </w:rPr>
        <w:t> </w:t>
      </w:r>
      <w:r>
        <w:rPr>
          <w:color w:val="383636"/>
          <w:w w:val="110"/>
          <w:sz w:val="20"/>
        </w:rPr>
        <w:t>6</w:t>
      </w:r>
      <w:r>
        <w:rPr>
          <w:color w:val="383636"/>
          <w:spacing w:val="19"/>
          <w:w w:val="110"/>
          <w:sz w:val="20"/>
        </w:rPr>
        <w:t> </w:t>
      </w:r>
      <w:r>
        <w:rPr>
          <w:color w:val="383636"/>
          <w:w w:val="110"/>
          <w:sz w:val="20"/>
        </w:rPr>
        <w:t>(1964).</w:t>
      </w:r>
    </w:p>
    <w:p>
      <w:pPr>
        <w:pStyle w:val="BodyText"/>
        <w:spacing w:line="230" w:lineRule="auto" w:before="139"/>
        <w:ind w:left="297" w:right="139" w:firstLine="6"/>
        <w:jc w:val="both"/>
      </w:pPr>
      <w:r>
        <w:rPr>
          <w:color w:val="383636"/>
          <w:w w:val="110"/>
        </w:rPr>
        <w:t>Legal writing is referenced writing, and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readers expect frequent citation.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You can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use short citation forms and effective sentence structures to keep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your writing readable, but  you  must include citations whenever you  state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 legal proposition,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refer to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authority for the first time, or quote or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paraphrase material from a source. This means that within the rule expla­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nation</w:t>
      </w:r>
      <w:r>
        <w:rPr>
          <w:color w:val="383636"/>
          <w:spacing w:val="31"/>
          <w:w w:val="110"/>
        </w:rPr>
        <w:t> </w:t>
      </w:r>
      <w:r>
        <w:rPr>
          <w:color w:val="383636"/>
          <w:w w:val="110"/>
        </w:rPr>
        <w:t>section,</w:t>
      </w:r>
      <w:r>
        <w:rPr>
          <w:color w:val="383636"/>
          <w:spacing w:val="40"/>
          <w:w w:val="110"/>
        </w:rPr>
        <w:t> </w:t>
      </w:r>
      <w:r>
        <w:rPr>
          <w:color w:val="383636"/>
          <w:w w:val="110"/>
        </w:rPr>
        <w:t>for</w:t>
      </w:r>
      <w:r>
        <w:rPr>
          <w:color w:val="383636"/>
          <w:spacing w:val="25"/>
          <w:w w:val="110"/>
        </w:rPr>
        <w:t> </w:t>
      </w:r>
      <w:r>
        <w:rPr>
          <w:color w:val="383636"/>
          <w:w w:val="110"/>
        </w:rPr>
        <w:t>example,</w:t>
      </w:r>
      <w:r>
        <w:rPr>
          <w:color w:val="383636"/>
          <w:spacing w:val="50"/>
          <w:w w:val="110"/>
        </w:rPr>
        <w:t> </w:t>
      </w:r>
      <w:r>
        <w:rPr>
          <w:color w:val="383636"/>
          <w:w w:val="110"/>
        </w:rPr>
        <w:t>every</w:t>
      </w:r>
      <w:r>
        <w:rPr>
          <w:color w:val="383636"/>
          <w:spacing w:val="28"/>
          <w:w w:val="110"/>
        </w:rPr>
        <w:t> </w:t>
      </w:r>
      <w:r>
        <w:rPr>
          <w:color w:val="383636"/>
          <w:w w:val="110"/>
        </w:rPr>
        <w:t>sentence</w:t>
      </w:r>
      <w:r>
        <w:rPr>
          <w:color w:val="383636"/>
          <w:spacing w:val="34"/>
          <w:w w:val="110"/>
        </w:rPr>
        <w:t> </w:t>
      </w:r>
      <w:r>
        <w:rPr>
          <w:color w:val="383636"/>
          <w:w w:val="110"/>
        </w:rPr>
        <w:t>may</w:t>
      </w:r>
      <w:r>
        <w:rPr>
          <w:color w:val="383636"/>
          <w:spacing w:val="10"/>
          <w:w w:val="110"/>
        </w:rPr>
        <w:t> </w:t>
      </w:r>
      <w:r>
        <w:rPr>
          <w:color w:val="383636"/>
          <w:w w:val="110"/>
        </w:rPr>
        <w:t>have</w:t>
      </w:r>
      <w:r>
        <w:rPr>
          <w:color w:val="383636"/>
          <w:spacing w:val="23"/>
          <w:w w:val="110"/>
        </w:rPr>
        <w:t> </w:t>
      </w:r>
      <w:r>
        <w:rPr>
          <w:color w:val="383636"/>
          <w:w w:val="110"/>
        </w:rPr>
        <w:t>a</w:t>
      </w:r>
      <w:r>
        <w:rPr>
          <w:color w:val="383636"/>
          <w:spacing w:val="28"/>
          <w:w w:val="110"/>
        </w:rPr>
        <w:t> </w:t>
      </w:r>
      <w:r>
        <w:rPr>
          <w:color w:val="383636"/>
          <w:w w:val="110"/>
        </w:rPr>
        <w:t>citation</w:t>
      </w:r>
      <w:r>
        <w:rPr>
          <w:color w:val="383636"/>
          <w:spacing w:val="35"/>
          <w:w w:val="110"/>
        </w:rPr>
        <w:t> </w:t>
      </w:r>
      <w:r>
        <w:rPr>
          <w:color w:val="383636"/>
          <w:w w:val="110"/>
        </w:rPr>
        <w:t>after</w:t>
      </w:r>
      <w:r>
        <w:rPr>
          <w:color w:val="383636"/>
          <w:spacing w:val="46"/>
          <w:w w:val="110"/>
        </w:rPr>
        <w:t> </w:t>
      </w:r>
      <w:r>
        <w:rPr>
          <w:color w:val="383636"/>
          <w:w w:val="110"/>
        </w:rPr>
        <w:t>it.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spacing w:line="148" w:lineRule="auto" w:before="0"/>
        <w:ind w:left="641" w:right="0" w:firstLine="0"/>
        <w:jc w:val="left"/>
        <w:rPr>
          <w:sz w:val="17"/>
        </w:rPr>
      </w:pPr>
      <w:r>
        <w:rPr>
          <w:color w:val="4B4B4D"/>
          <w:w w:val="110"/>
          <w:sz w:val="12"/>
        </w:rPr>
        <w:t>11</w:t>
      </w:r>
      <w:r>
        <w:rPr>
          <w:i/>
          <w:color w:val="383636"/>
          <w:w w:val="110"/>
          <w:sz w:val="17"/>
        </w:rPr>
        <w:t>E.g.,</w:t>
      </w:r>
      <w:r>
        <w:rPr>
          <w:i/>
          <w:color w:val="383636"/>
          <w:spacing w:val="-20"/>
          <w:w w:val="110"/>
          <w:sz w:val="17"/>
        </w:rPr>
        <w:t> </w:t>
      </w:r>
      <w:r>
        <w:rPr>
          <w:i/>
          <w:color w:val="383636"/>
          <w:w w:val="110"/>
          <w:sz w:val="17"/>
        </w:rPr>
        <w:t>State</w:t>
      </w:r>
      <w:r>
        <w:rPr>
          <w:i/>
          <w:color w:val="383636"/>
          <w:spacing w:val="-2"/>
          <w:w w:val="110"/>
          <w:sz w:val="17"/>
        </w:rPr>
        <w:t> </w:t>
      </w:r>
      <w:r>
        <w:rPr>
          <w:i/>
          <w:color w:val="383636"/>
          <w:w w:val="110"/>
          <w:sz w:val="17"/>
        </w:rPr>
        <w:t>v.</w:t>
      </w:r>
      <w:r>
        <w:rPr>
          <w:i/>
          <w:color w:val="383636"/>
          <w:spacing w:val="-15"/>
          <w:w w:val="110"/>
          <w:sz w:val="17"/>
        </w:rPr>
        <w:t> </w:t>
      </w:r>
      <w:r>
        <w:rPr>
          <w:i/>
          <w:color w:val="383636"/>
          <w:w w:val="110"/>
          <w:sz w:val="17"/>
        </w:rPr>
        <w:t>Murray,</w:t>
      </w:r>
      <w:r>
        <w:rPr>
          <w:i/>
          <w:color w:val="383636"/>
          <w:spacing w:val="1"/>
          <w:w w:val="110"/>
          <w:sz w:val="17"/>
        </w:rPr>
        <w:t> </w:t>
      </w:r>
      <w:r>
        <w:rPr>
          <w:color w:val="383636"/>
          <w:w w:val="110"/>
          <w:sz w:val="17"/>
        </w:rPr>
        <w:t>271</w:t>
      </w:r>
      <w:r>
        <w:rPr>
          <w:color w:val="383636"/>
          <w:spacing w:val="33"/>
          <w:w w:val="110"/>
          <w:sz w:val="17"/>
        </w:rPr>
        <w:t> </w:t>
      </w:r>
      <w:r>
        <w:rPr>
          <w:color w:val="383636"/>
          <w:w w:val="110"/>
          <w:sz w:val="17"/>
        </w:rPr>
        <w:t>P.3d</w:t>
      </w:r>
      <w:r>
        <w:rPr>
          <w:color w:val="383636"/>
          <w:spacing w:val="17"/>
          <w:w w:val="110"/>
          <w:sz w:val="17"/>
        </w:rPr>
        <w:t> </w:t>
      </w:r>
      <w:r>
        <w:rPr>
          <w:color w:val="383636"/>
          <w:w w:val="110"/>
          <w:sz w:val="17"/>
        </w:rPr>
        <w:t>739,</w:t>
      </w:r>
      <w:r>
        <w:rPr>
          <w:color w:val="383636"/>
          <w:spacing w:val="5"/>
          <w:w w:val="110"/>
          <w:sz w:val="17"/>
        </w:rPr>
        <w:t> </w:t>
      </w:r>
      <w:r>
        <w:rPr>
          <w:color w:val="383636"/>
          <w:w w:val="110"/>
          <w:sz w:val="17"/>
        </w:rPr>
        <w:t>741</w:t>
      </w:r>
      <w:r>
        <w:rPr>
          <w:color w:val="383636"/>
          <w:spacing w:val="-6"/>
          <w:w w:val="110"/>
          <w:sz w:val="17"/>
        </w:rPr>
        <w:t> </w:t>
      </w:r>
      <w:r>
        <w:rPr>
          <w:color w:val="4B4B4D"/>
          <w:w w:val="110"/>
          <w:sz w:val="17"/>
        </w:rPr>
        <w:t>(Kan.</w:t>
      </w:r>
      <w:r>
        <w:rPr>
          <w:color w:val="4B4B4D"/>
          <w:spacing w:val="-5"/>
          <w:w w:val="110"/>
          <w:sz w:val="17"/>
        </w:rPr>
        <w:t> </w:t>
      </w:r>
      <w:r>
        <w:rPr>
          <w:color w:val="383636"/>
          <w:w w:val="110"/>
          <w:sz w:val="17"/>
        </w:rPr>
        <w:t>2012)</w:t>
      </w:r>
      <w:r>
        <w:rPr>
          <w:color w:val="383636"/>
          <w:spacing w:val="-2"/>
          <w:w w:val="110"/>
          <w:sz w:val="17"/>
        </w:rPr>
        <w:t> </w:t>
      </w:r>
      <w:r>
        <w:rPr>
          <w:color w:val="4B4B4D"/>
          <w:w w:val="110"/>
          <w:sz w:val="17"/>
        </w:rPr>
        <w:t>(citing</w:t>
      </w:r>
      <w:r>
        <w:rPr>
          <w:color w:val="4B4B4D"/>
          <w:spacing w:val="-3"/>
          <w:w w:val="110"/>
          <w:sz w:val="17"/>
        </w:rPr>
        <w:t> </w:t>
      </w:r>
      <w:r>
        <w:rPr>
          <w:i/>
          <w:color w:val="383636"/>
          <w:w w:val="110"/>
          <w:sz w:val="17"/>
        </w:rPr>
        <w:t>M11"ay</w:t>
      </w:r>
      <w:r>
        <w:rPr>
          <w:i/>
          <w:color w:val="383636"/>
          <w:spacing w:val="-9"/>
          <w:w w:val="110"/>
          <w:sz w:val="17"/>
        </w:rPr>
        <w:t> </w:t>
      </w:r>
      <w:r>
        <w:rPr>
          <w:rFonts w:ascii="Arial"/>
          <w:i/>
          <w:color w:val="4B4B4D"/>
          <w:w w:val="110"/>
          <w:sz w:val="16"/>
        </w:rPr>
        <w:t>v.</w:t>
      </w:r>
      <w:r>
        <w:rPr>
          <w:rFonts w:ascii="Arial"/>
          <w:i/>
          <w:color w:val="4B4B4D"/>
          <w:spacing w:val="-15"/>
          <w:w w:val="110"/>
          <w:sz w:val="16"/>
        </w:rPr>
        <w:t> </w:t>
      </w:r>
      <w:r>
        <w:rPr>
          <w:i/>
          <w:color w:val="383636"/>
          <w:w w:val="110"/>
          <w:sz w:val="17"/>
        </w:rPr>
        <w:t>State,</w:t>
      </w:r>
      <w:r>
        <w:rPr>
          <w:i/>
          <w:color w:val="383636"/>
          <w:spacing w:val="-7"/>
          <w:w w:val="110"/>
          <w:sz w:val="17"/>
        </w:rPr>
        <w:t> </w:t>
      </w:r>
      <w:r>
        <w:rPr>
          <w:color w:val="383636"/>
          <w:w w:val="110"/>
          <w:sz w:val="17"/>
        </w:rPr>
        <w:t>No.</w:t>
      </w:r>
      <w:r>
        <w:rPr>
          <w:color w:val="383636"/>
          <w:spacing w:val="17"/>
          <w:w w:val="110"/>
          <w:sz w:val="17"/>
        </w:rPr>
        <w:t> </w:t>
      </w:r>
      <w:r>
        <w:rPr>
          <w:color w:val="383636"/>
          <w:w w:val="110"/>
          <w:sz w:val="17"/>
        </w:rPr>
        <w:t>91,72</w:t>
      </w:r>
      <w:r>
        <w:rPr>
          <w:color w:val="383636"/>
          <w:w w:val="110"/>
          <w:position w:val="-7"/>
          <w:sz w:val="17"/>
        </w:rPr>
        <w:t>4</w:t>
      </w:r>
      <w:r>
        <w:rPr>
          <w:color w:val="383636"/>
          <w:w w:val="110"/>
          <w:sz w:val="17"/>
        </w:rPr>
        <w:t>,</w:t>
      </w:r>
      <w:r>
        <w:rPr>
          <w:color w:val="383636"/>
          <w:spacing w:val="10"/>
          <w:w w:val="110"/>
          <w:sz w:val="17"/>
        </w:rPr>
        <w:t> </w:t>
      </w:r>
      <w:r>
        <w:rPr>
          <w:color w:val="383636"/>
          <w:w w:val="110"/>
          <w:position w:val="-9"/>
          <w:sz w:val="17"/>
        </w:rPr>
        <w:t>2005</w:t>
      </w:r>
    </w:p>
    <w:p>
      <w:pPr>
        <w:spacing w:line="145" w:lineRule="exact" w:before="0"/>
        <w:ind w:left="315" w:right="0" w:firstLine="0"/>
        <w:jc w:val="both"/>
        <w:rPr>
          <w:sz w:val="17"/>
        </w:rPr>
      </w:pPr>
      <w:r>
        <w:rPr>
          <w:color w:val="383636"/>
          <w:w w:val="110"/>
          <w:sz w:val="17"/>
        </w:rPr>
        <w:t>WL</w:t>
      </w:r>
      <w:r>
        <w:rPr>
          <w:color w:val="383636"/>
          <w:spacing w:val="-11"/>
          <w:w w:val="110"/>
          <w:sz w:val="17"/>
        </w:rPr>
        <w:t> </w:t>
      </w:r>
      <w:r>
        <w:rPr>
          <w:color w:val="383636"/>
          <w:w w:val="110"/>
          <w:sz w:val="17"/>
        </w:rPr>
        <w:t>283604</w:t>
      </w:r>
      <w:r>
        <w:rPr>
          <w:color w:val="383636"/>
          <w:spacing w:val="5"/>
          <w:w w:val="110"/>
          <w:sz w:val="17"/>
        </w:rPr>
        <w:t> </w:t>
      </w:r>
      <w:r>
        <w:rPr>
          <w:color w:val="383636"/>
          <w:w w:val="110"/>
          <w:sz w:val="17"/>
        </w:rPr>
        <w:t>(Kan.</w:t>
      </w:r>
      <w:r>
        <w:rPr>
          <w:color w:val="383636"/>
          <w:spacing w:val="7"/>
          <w:w w:val="110"/>
          <w:sz w:val="17"/>
        </w:rPr>
        <w:t> </w:t>
      </w:r>
      <w:r>
        <w:rPr>
          <w:color w:val="383636"/>
          <w:w w:val="110"/>
          <w:sz w:val="17"/>
        </w:rPr>
        <w:t>App.)</w:t>
      </w:r>
      <w:r>
        <w:rPr>
          <w:color w:val="383636"/>
          <w:spacing w:val="11"/>
          <w:w w:val="110"/>
          <w:sz w:val="17"/>
        </w:rPr>
        <w:t> </w:t>
      </w:r>
      <w:r>
        <w:rPr>
          <w:color w:val="383636"/>
          <w:w w:val="110"/>
          <w:sz w:val="17"/>
        </w:rPr>
        <w:t>(unpublished</w:t>
      </w:r>
      <w:r>
        <w:rPr>
          <w:color w:val="383636"/>
          <w:spacing w:val="24"/>
          <w:w w:val="110"/>
          <w:sz w:val="17"/>
        </w:rPr>
        <w:t> </w:t>
      </w:r>
      <w:r>
        <w:rPr>
          <w:color w:val="4B4B4D"/>
          <w:w w:val="110"/>
          <w:sz w:val="17"/>
        </w:rPr>
        <w:t>opinion),</w:t>
      </w:r>
      <w:r>
        <w:rPr>
          <w:color w:val="4B4B4D"/>
          <w:spacing w:val="15"/>
          <w:w w:val="110"/>
          <w:sz w:val="17"/>
        </w:rPr>
        <w:t> </w:t>
      </w:r>
      <w:r>
        <w:rPr>
          <w:rFonts w:ascii="Arial"/>
          <w:i/>
          <w:color w:val="383636"/>
          <w:w w:val="110"/>
          <w:sz w:val="15"/>
        </w:rPr>
        <w:t>rev.</w:t>
      </w:r>
      <w:r>
        <w:rPr>
          <w:rFonts w:ascii="Arial"/>
          <w:i/>
          <w:color w:val="383636"/>
          <w:spacing w:val="-18"/>
          <w:w w:val="110"/>
          <w:sz w:val="15"/>
        </w:rPr>
        <w:t> </w:t>
      </w:r>
      <w:r>
        <w:rPr>
          <w:rFonts w:ascii="Arial"/>
          <w:i/>
          <w:color w:val="383636"/>
          <w:w w:val="110"/>
          <w:sz w:val="15"/>
        </w:rPr>
        <w:t>denied,</w:t>
      </w:r>
      <w:r>
        <w:rPr>
          <w:rFonts w:ascii="Arial"/>
          <w:i/>
          <w:color w:val="383636"/>
          <w:spacing w:val="3"/>
          <w:w w:val="110"/>
          <w:sz w:val="15"/>
        </w:rPr>
        <w:t> </w:t>
      </w:r>
      <w:r>
        <w:rPr>
          <w:color w:val="383636"/>
          <w:w w:val="110"/>
          <w:sz w:val="17"/>
        </w:rPr>
        <w:t>279</w:t>
      </w:r>
      <w:r>
        <w:rPr>
          <w:color w:val="383636"/>
          <w:spacing w:val="30"/>
          <w:w w:val="110"/>
          <w:sz w:val="17"/>
        </w:rPr>
        <w:t> </w:t>
      </w:r>
      <w:r>
        <w:rPr>
          <w:color w:val="383636"/>
          <w:w w:val="110"/>
          <w:sz w:val="17"/>
        </w:rPr>
        <w:t>Kan.</w:t>
      </w:r>
      <w:r>
        <w:rPr>
          <w:color w:val="383636"/>
          <w:spacing w:val="11"/>
          <w:w w:val="110"/>
          <w:sz w:val="17"/>
        </w:rPr>
        <w:t> </w:t>
      </w:r>
      <w:r>
        <w:rPr>
          <w:color w:val="383636"/>
          <w:w w:val="110"/>
          <w:sz w:val="17"/>
        </w:rPr>
        <w:t>1007</w:t>
      </w:r>
      <w:r>
        <w:rPr>
          <w:color w:val="383636"/>
          <w:spacing w:val="1"/>
          <w:w w:val="110"/>
          <w:sz w:val="17"/>
        </w:rPr>
        <w:t> </w:t>
      </w:r>
      <w:r>
        <w:rPr>
          <w:color w:val="383636"/>
          <w:w w:val="110"/>
          <w:sz w:val="17"/>
        </w:rPr>
        <w:t>(2005)).</w:t>
      </w:r>
    </w:p>
    <w:p>
      <w:pPr>
        <w:spacing w:after="0" w:line="145" w:lineRule="exact"/>
        <w:jc w:val="both"/>
        <w:rPr>
          <w:sz w:val="17"/>
        </w:rPr>
        <w:sectPr>
          <w:pgSz w:w="9560" w:h="13710"/>
          <w:pgMar w:header="472" w:footer="0" w:top="1060" w:bottom="0" w:left="280" w:right="1200"/>
        </w:sectPr>
      </w:pPr>
    </w:p>
    <w:p>
      <w:pPr>
        <w:pStyle w:val="BodyText"/>
        <w:spacing w:line="244" w:lineRule="auto" w:before="81"/>
        <w:ind w:left="630" w:firstLine="5"/>
      </w:pPr>
      <w:r>
        <w:rPr>
          <w:color w:val="383638"/>
          <w:w w:val="110"/>
        </w:rPr>
        <w:t>Many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citations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may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be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28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5"/>
          <w:w w:val="110"/>
        </w:rPr>
        <w:t> </w:t>
      </w:r>
      <w:r>
        <w:rPr>
          <w:i/>
          <w:color w:val="383638"/>
          <w:w w:val="110"/>
          <w:sz w:val="22"/>
        </w:rPr>
        <w:t>"Id."</w:t>
      </w:r>
      <w:r>
        <w:rPr>
          <w:i/>
          <w:color w:val="383638"/>
          <w:spacing w:val="12"/>
          <w:w w:val="110"/>
          <w:sz w:val="22"/>
        </w:rPr>
        <w:t> </w:t>
      </w:r>
      <w:r>
        <w:rPr>
          <w:color w:val="383638"/>
          <w:w w:val="110"/>
        </w:rPr>
        <w:t>form,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but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7"/>
          <w:w w:val="110"/>
        </w:rPr>
        <w:t> </w:t>
      </w:r>
      <w:r>
        <w:rPr>
          <w:color w:val="383638"/>
          <w:w w:val="110"/>
        </w:rPr>
        <w:t>reader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will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still</w:t>
      </w:r>
      <w:r>
        <w:rPr>
          <w:color w:val="383638"/>
          <w:spacing w:val="-60"/>
          <w:w w:val="110"/>
        </w:rPr>
        <w:t> </w:t>
      </w:r>
      <w:r>
        <w:rPr>
          <w:color w:val="383638"/>
          <w:w w:val="110"/>
        </w:rPr>
        <w:t>expect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need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citations.</w:t>
      </w:r>
    </w:p>
    <w:p>
      <w:pPr>
        <w:pStyle w:val="BodyText"/>
        <w:spacing w:before="10"/>
        <w:rPr>
          <w:sz w:val="31"/>
        </w:rPr>
      </w:pPr>
    </w:p>
    <w:p>
      <w:pPr>
        <w:spacing w:before="0"/>
        <w:ind w:left="973" w:right="0" w:firstLine="0"/>
        <w:jc w:val="left"/>
        <w:rPr>
          <w:sz w:val="29"/>
        </w:rPr>
      </w:pPr>
      <w:r>
        <w:rPr>
          <w:color w:val="383638"/>
          <w:w w:val="115"/>
          <w:sz w:val="29"/>
        </w:rPr>
        <w:t>6.5.2</w:t>
      </w:r>
    </w:p>
    <w:p>
      <w:pPr>
        <w:spacing w:before="39"/>
        <w:ind w:left="979" w:right="0" w:firstLine="0"/>
        <w:jc w:val="left"/>
        <w:rPr>
          <w:rFonts w:ascii="Arial"/>
          <w:sz w:val="21"/>
        </w:rPr>
      </w:pPr>
      <w:r>
        <w:rPr>
          <w:rFonts w:ascii="Arial"/>
          <w:color w:val="383638"/>
          <w:spacing w:val="-1"/>
          <w:w w:val="105"/>
          <w:sz w:val="21"/>
        </w:rPr>
        <w:t>DISTINGUISHING</w:t>
      </w:r>
      <w:r>
        <w:rPr>
          <w:rFonts w:ascii="Arial"/>
          <w:color w:val="383638"/>
          <w:spacing w:val="-14"/>
          <w:w w:val="105"/>
          <w:sz w:val="21"/>
        </w:rPr>
        <w:t> </w:t>
      </w:r>
      <w:r>
        <w:rPr>
          <w:rFonts w:ascii="Arial"/>
          <w:color w:val="383638"/>
          <w:spacing w:val="-1"/>
          <w:w w:val="105"/>
          <w:sz w:val="21"/>
        </w:rPr>
        <w:t>BETWEEN</w:t>
      </w:r>
      <w:r>
        <w:rPr>
          <w:rFonts w:ascii="Arial"/>
          <w:color w:val="383638"/>
          <w:w w:val="105"/>
          <w:sz w:val="21"/>
        </w:rPr>
        <w:t> AUTHORITIES</w:t>
      </w:r>
      <w:r>
        <w:rPr>
          <w:rFonts w:ascii="Arial"/>
          <w:color w:val="383638"/>
          <w:spacing w:val="2"/>
          <w:w w:val="105"/>
          <w:sz w:val="21"/>
        </w:rPr>
        <w:t> </w:t>
      </w:r>
      <w:r>
        <w:rPr>
          <w:rFonts w:ascii="Arial"/>
          <w:color w:val="383638"/>
          <w:w w:val="105"/>
          <w:sz w:val="21"/>
        </w:rPr>
        <w:t>AND</w:t>
      </w:r>
      <w:r>
        <w:rPr>
          <w:rFonts w:ascii="Arial"/>
          <w:color w:val="383638"/>
          <w:spacing w:val="41"/>
          <w:w w:val="105"/>
          <w:sz w:val="21"/>
        </w:rPr>
        <w:t> </w:t>
      </w:r>
      <w:r>
        <w:rPr>
          <w:rFonts w:ascii="Arial"/>
          <w:color w:val="383638"/>
          <w:w w:val="105"/>
          <w:sz w:val="21"/>
        </w:rPr>
        <w:t>SOURCES</w:t>
      </w:r>
    </w:p>
    <w:p>
      <w:pPr>
        <w:pStyle w:val="BodyText"/>
        <w:spacing w:line="235" w:lineRule="auto" w:before="150"/>
        <w:ind w:left="563" w:right="108" w:firstLine="391"/>
        <w:jc w:val="both"/>
      </w:pPr>
      <w:r>
        <w:rPr>
          <w:color w:val="383638"/>
          <w:w w:val="110"/>
        </w:rPr>
        <w:t>AJthough this text, and many legal writers, often refer to all cases,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statutes, and the like as "authorities," the reality is that some are only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"sources": They contain information that the court may find interesting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and relevant, but the source has no </w:t>
      </w:r>
      <w:r>
        <w:rPr>
          <w:i/>
          <w:color w:val="383638"/>
          <w:w w:val="110"/>
          <w:sz w:val="22"/>
        </w:rPr>
        <w:t>authority </w:t>
      </w:r>
      <w:r>
        <w:rPr>
          <w:color w:val="383638"/>
          <w:w w:val="110"/>
        </w:rPr>
        <w:t>over the court reading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brief. Too many legal writers do not make this distinction, and they annoy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and</w:t>
      </w:r>
      <w:r>
        <w:rPr>
          <w:color w:val="383638"/>
          <w:spacing w:val="-10"/>
          <w:w w:val="105"/>
        </w:rPr>
        <w:t> </w:t>
      </w:r>
      <w:r>
        <w:rPr>
          <w:color w:val="383638"/>
          <w:w w:val="105"/>
        </w:rPr>
        <w:t>frustrate</w:t>
      </w:r>
      <w:r>
        <w:rPr>
          <w:color w:val="383638"/>
          <w:spacing w:val="-24"/>
          <w:w w:val="105"/>
        </w:rPr>
        <w:t> </w:t>
      </w:r>
      <w:r>
        <w:rPr>
          <w:color w:val="383638"/>
          <w:w w:val="105"/>
        </w:rPr>
        <w:t>courts</w:t>
      </w:r>
      <w:r>
        <w:rPr>
          <w:color w:val="383638"/>
          <w:spacing w:val="5"/>
          <w:w w:val="105"/>
        </w:rPr>
        <w:t> </w:t>
      </w:r>
      <w:r>
        <w:rPr>
          <w:color w:val="383638"/>
          <w:w w:val="105"/>
        </w:rPr>
        <w:t>by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their</w:t>
      </w:r>
      <w:r>
        <w:rPr>
          <w:color w:val="383638"/>
          <w:spacing w:val="-6"/>
          <w:w w:val="105"/>
        </w:rPr>
        <w:t> </w:t>
      </w:r>
      <w:r>
        <w:rPr>
          <w:color w:val="383638"/>
          <w:w w:val="105"/>
        </w:rPr>
        <w:t>imprecise</w:t>
      </w:r>
      <w:r>
        <w:rPr>
          <w:color w:val="383638"/>
          <w:spacing w:val="3"/>
          <w:w w:val="105"/>
        </w:rPr>
        <w:t> </w:t>
      </w:r>
      <w:r>
        <w:rPr>
          <w:color w:val="383638"/>
          <w:w w:val="105"/>
        </w:rPr>
        <w:t>use</w:t>
      </w:r>
      <w:r>
        <w:rPr>
          <w:color w:val="383638"/>
          <w:spacing w:val="-9"/>
          <w:w w:val="105"/>
        </w:rPr>
        <w:t> </w:t>
      </w:r>
      <w:r>
        <w:rPr>
          <w:color w:val="383638"/>
          <w:w w:val="105"/>
        </w:rPr>
        <w:t>of citations.</w:t>
      </w:r>
    </w:p>
    <w:p>
      <w:pPr>
        <w:pStyle w:val="BodyText"/>
        <w:spacing w:line="232" w:lineRule="auto"/>
        <w:ind w:left="463" w:right="146" w:firstLine="429"/>
        <w:jc w:val="both"/>
      </w:pPr>
      <w:r>
        <w:rPr>
          <w:color w:val="383638"/>
          <w:spacing w:val="-1"/>
          <w:w w:val="110"/>
        </w:rPr>
        <w:t>I do not mean to imply that you can cite only </w:t>
      </w:r>
      <w:r>
        <w:rPr>
          <w:color w:val="383638"/>
          <w:w w:val="110"/>
        </w:rPr>
        <w:t>to cases, for example,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that are written by authoritative courts. Rather, you need to recognize that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there are at least three different possible meanings for a citation, some of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which may overlap. The citation may mean simply, "I am not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person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who</w:t>
      </w:r>
      <w:r>
        <w:rPr>
          <w:color w:val="383638"/>
          <w:spacing w:val="-36"/>
          <w:w w:val="110"/>
        </w:rPr>
        <w:t> </w:t>
      </w:r>
      <w:r>
        <w:rPr>
          <w:color w:val="383638"/>
          <w:w w:val="110"/>
        </w:rPr>
        <w:t>first</w:t>
      </w:r>
      <w:r>
        <w:rPr>
          <w:color w:val="383638"/>
          <w:spacing w:val="-28"/>
          <w:w w:val="110"/>
        </w:rPr>
        <w:t> </w:t>
      </w:r>
      <w:r>
        <w:rPr>
          <w:color w:val="383638"/>
          <w:w w:val="110"/>
        </w:rPr>
        <w:t>said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or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thought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this</w:t>
      </w:r>
      <w:r>
        <w:rPr>
          <w:color w:val="383638"/>
          <w:spacing w:val="-38"/>
          <w:w w:val="110"/>
        </w:rPr>
        <w:t> </w:t>
      </w:r>
      <w:r>
        <w:rPr>
          <w:color w:val="383638"/>
          <w:w w:val="110"/>
        </w:rPr>
        <w:t>statement."</w:t>
      </w:r>
      <w:r>
        <w:rPr>
          <w:color w:val="383638"/>
          <w:spacing w:val="-36"/>
          <w:w w:val="110"/>
        </w:rPr>
        <w:t> </w:t>
      </w:r>
      <w:r>
        <w:rPr>
          <w:color w:val="383638"/>
          <w:w w:val="110"/>
        </w:rPr>
        <w:t>This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kind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citation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used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give appropriate credit to the originator of an idea and to avoid charges of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plagiarism. A citation may also mean, "Here is the source of the law, facts,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or policy I just mentioned, so you can find it if you want." This kind of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citation-and itsaccuracy-is very important for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judges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their clerks.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Finally, a citation can mean, "This statement is </w:t>
      </w:r>
      <w:r>
        <w:rPr>
          <w:i/>
          <w:color w:val="383638"/>
          <w:w w:val="105"/>
          <w:sz w:val="22"/>
        </w:rPr>
        <w:t>the law." </w:t>
      </w:r>
      <w:r>
        <w:rPr>
          <w:color w:val="383638"/>
          <w:w w:val="105"/>
        </w:rPr>
        <w:t>This use of cita­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tion is very important for the brief-writer because it is used to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justify and</w:t>
      </w:r>
      <w:r>
        <w:rPr>
          <w:color w:val="383638"/>
          <w:spacing w:val="1"/>
          <w:w w:val="105"/>
        </w:rPr>
        <w:t> </w:t>
      </w:r>
      <w:r>
        <w:rPr>
          <w:color w:val="383638"/>
          <w:spacing w:val="-1"/>
          <w:w w:val="110"/>
        </w:rPr>
        <w:t>support</w:t>
      </w:r>
      <w:r>
        <w:rPr>
          <w:color w:val="383638"/>
          <w:spacing w:val="-6"/>
          <w:w w:val="110"/>
        </w:rPr>
        <w:t> </w:t>
      </w:r>
      <w:r>
        <w:rPr>
          <w:color w:val="383638"/>
          <w:spacing w:val="-1"/>
          <w:w w:val="110"/>
        </w:rPr>
        <w:t>legal</w:t>
      </w:r>
      <w:r>
        <w:rPr>
          <w:color w:val="383638"/>
          <w:spacing w:val="-11"/>
          <w:w w:val="110"/>
        </w:rPr>
        <w:t> </w:t>
      </w:r>
      <w:r>
        <w:rPr>
          <w:color w:val="383638"/>
          <w:spacing w:val="-1"/>
          <w:w w:val="110"/>
        </w:rPr>
        <w:t>arguments:</w:t>
      </w:r>
      <w:r>
        <w:rPr>
          <w:color w:val="383638"/>
          <w:spacing w:val="-2"/>
          <w:w w:val="110"/>
        </w:rPr>
        <w:t> </w:t>
      </w:r>
      <w:r>
        <w:rPr>
          <w:color w:val="383638"/>
          <w:spacing w:val="-1"/>
          <w:w w:val="110"/>
        </w:rPr>
        <w:t>In</w:t>
      </w:r>
      <w:r>
        <w:rPr>
          <w:color w:val="383638"/>
          <w:spacing w:val="-4"/>
          <w:w w:val="110"/>
        </w:rPr>
        <w:t> </w:t>
      </w:r>
      <w:r>
        <w:rPr>
          <w:color w:val="383638"/>
          <w:spacing w:val="-1"/>
          <w:w w:val="110"/>
        </w:rPr>
        <w:t>this</w:t>
      </w:r>
      <w:r>
        <w:rPr>
          <w:color w:val="383638"/>
          <w:spacing w:val="-29"/>
          <w:w w:val="110"/>
        </w:rPr>
        <w:t> </w:t>
      </w:r>
      <w:r>
        <w:rPr>
          <w:color w:val="383638"/>
          <w:spacing w:val="-1"/>
          <w:w w:val="110"/>
        </w:rPr>
        <w:t>situation,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writer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citing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not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merely</w:t>
      </w:r>
      <w:r>
        <w:rPr>
          <w:color w:val="383638"/>
          <w:spacing w:val="-21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source,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but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an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authority.</w:t>
      </w:r>
    </w:p>
    <w:p>
      <w:pPr>
        <w:pStyle w:val="BodyText"/>
        <w:spacing w:line="235" w:lineRule="auto" w:before="11"/>
        <w:ind w:left="414" w:right="166" w:firstLine="396"/>
        <w:jc w:val="both"/>
      </w:pPr>
      <w:r>
        <w:rPr>
          <w:color w:val="383638"/>
          <w:w w:val="110"/>
        </w:rPr>
        <w:t>Unfortunately, the same citation forms are used for all three of these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categories of citations, and so brief writers must be sure that their text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makes the  distinction. If the  writer says nothing, the reader's instinct is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 presume that a cited statement is authoritative, and the reader may be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startled or frustrated when he or she looks at the citation and  realizes that</w:t>
      </w:r>
      <w:r>
        <w:rPr>
          <w:color w:val="383638"/>
          <w:spacing w:val="1"/>
          <w:w w:val="105"/>
        </w:rPr>
        <w:t> </w:t>
      </w:r>
      <w:r>
        <w:rPr>
          <w:color w:val="383638"/>
          <w:spacing w:val="-1"/>
          <w:w w:val="110"/>
        </w:rPr>
        <w:t>the</w:t>
      </w:r>
      <w:r>
        <w:rPr>
          <w:color w:val="383638"/>
          <w:spacing w:val="-4"/>
          <w:w w:val="110"/>
        </w:rPr>
        <w:t> </w:t>
      </w:r>
      <w:r>
        <w:rPr>
          <w:color w:val="383638"/>
          <w:spacing w:val="-1"/>
          <w:w w:val="110"/>
        </w:rPr>
        <w:t>cited</w:t>
      </w:r>
      <w:r>
        <w:rPr>
          <w:color w:val="383638"/>
          <w:spacing w:val="-4"/>
          <w:w w:val="110"/>
        </w:rPr>
        <w:t> </w:t>
      </w:r>
      <w:r>
        <w:rPr>
          <w:color w:val="383638"/>
          <w:spacing w:val="-1"/>
          <w:w w:val="110"/>
        </w:rPr>
        <w:t>case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(or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other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source)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is not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authoritative.</w:t>
      </w:r>
    </w:p>
    <w:p>
      <w:pPr>
        <w:pStyle w:val="BodyText"/>
        <w:spacing w:line="230" w:lineRule="auto"/>
        <w:ind w:left="351" w:right="186" w:firstLine="419"/>
        <w:jc w:val="both"/>
      </w:pPr>
      <w:r>
        <w:rPr>
          <w:color w:val="383638"/>
          <w:w w:val="110"/>
        </w:rPr>
        <w:t>Writers who quote or paraphrase relevant legal assertions from law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review articles and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nonmandatory courts must make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necessary distinc­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tion by introducing the material with a phrase indicating that an authori­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tative</w:t>
      </w:r>
      <w:r>
        <w:rPr>
          <w:color w:val="383638"/>
          <w:spacing w:val="-38"/>
          <w:w w:val="110"/>
        </w:rPr>
        <w:t> </w:t>
      </w:r>
      <w:r>
        <w:rPr>
          <w:color w:val="383638"/>
          <w:w w:val="110"/>
        </w:rPr>
        <w:t>court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did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not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make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statement.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Here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are</w:t>
      </w:r>
      <w:r>
        <w:rPr>
          <w:color w:val="383638"/>
          <w:spacing w:val="-38"/>
          <w:w w:val="110"/>
        </w:rPr>
        <w:t> </w:t>
      </w:r>
      <w:r>
        <w:rPr>
          <w:color w:val="383638"/>
          <w:w w:val="110"/>
        </w:rPr>
        <w:t>some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bad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examples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from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a</w:t>
      </w:r>
      <w:r>
        <w:rPr>
          <w:color w:val="383638"/>
          <w:spacing w:val="10"/>
          <w:w w:val="110"/>
        </w:rPr>
        <w:t> </w:t>
      </w:r>
      <w:r>
        <w:rPr>
          <w:color w:val="383638"/>
          <w:spacing w:val="-1"/>
          <w:w w:val="110"/>
        </w:rPr>
        <w:t>brief</w:t>
      </w:r>
      <w:r>
        <w:rPr>
          <w:color w:val="383638"/>
          <w:spacing w:val="15"/>
          <w:w w:val="110"/>
        </w:rPr>
        <w:t> </w:t>
      </w:r>
      <w:r>
        <w:rPr>
          <w:color w:val="383638"/>
          <w:spacing w:val="-1"/>
          <w:w w:val="110"/>
        </w:rPr>
        <w:t>written</w:t>
      </w:r>
      <w:r>
        <w:rPr>
          <w:color w:val="383638"/>
          <w:spacing w:val="3"/>
          <w:w w:val="110"/>
        </w:rPr>
        <w:t> </w:t>
      </w:r>
      <w:r>
        <w:rPr>
          <w:color w:val="383638"/>
          <w:spacing w:val="-1"/>
          <w:w w:val="110"/>
        </w:rPr>
        <w:t>to a</w:t>
      </w:r>
      <w:r>
        <w:rPr>
          <w:color w:val="383638"/>
          <w:spacing w:val="-5"/>
          <w:w w:val="110"/>
        </w:rPr>
        <w:t> </w:t>
      </w:r>
      <w:r>
        <w:rPr>
          <w:color w:val="383638"/>
          <w:spacing w:val="-1"/>
          <w:w w:val="110"/>
        </w:rPr>
        <w:t>federal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district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court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within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First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Circuit:</w:t>
      </w:r>
    </w:p>
    <w:p>
      <w:pPr>
        <w:spacing w:before="62"/>
        <w:ind w:left="308" w:right="0" w:firstLine="0"/>
        <w:jc w:val="left"/>
        <w:rPr>
          <w:sz w:val="16"/>
        </w:rPr>
      </w:pPr>
      <w:r>
        <w:rPr>
          <w:color w:val="383638"/>
          <w:w w:val="95"/>
          <w:sz w:val="31"/>
          <w:u w:val="thick" w:color="383638"/>
        </w:rPr>
        <w:t>-1/</w:t>
      </w:r>
      <w:r>
        <w:rPr>
          <w:color w:val="383638"/>
          <w:spacing w:val="-14"/>
          <w:w w:val="95"/>
          <w:sz w:val="31"/>
          <w:u w:val="thick" w:color="383638"/>
        </w:rPr>
        <w:t> </w:t>
      </w:r>
      <w:r>
        <w:rPr>
          <w:color w:val="383638"/>
          <w:w w:val="95"/>
          <w:sz w:val="16"/>
          <w:u w:val="thick" w:color="383638"/>
        </w:rPr>
        <w:t>BAD</w:t>
      </w:r>
      <w:r>
        <w:rPr>
          <w:color w:val="383638"/>
          <w:spacing w:val="11"/>
          <w:w w:val="95"/>
          <w:sz w:val="16"/>
          <w:u w:val="thick" w:color="383638"/>
        </w:rPr>
        <w:t> </w:t>
      </w:r>
      <w:r>
        <w:rPr>
          <w:color w:val="383638"/>
          <w:w w:val="95"/>
          <w:sz w:val="16"/>
          <w:u w:val="thick" w:color="383638"/>
        </w:rPr>
        <w:t>EXAMPLES</w:t>
      </w:r>
    </w:p>
    <w:p>
      <w:pPr>
        <w:spacing w:line="240" w:lineRule="auto" w:before="45"/>
        <w:ind w:left="670" w:right="557" w:firstLine="31"/>
        <w:jc w:val="both"/>
        <w:rPr>
          <w:sz w:val="23"/>
        </w:rPr>
      </w:pPr>
      <w:r>
        <w:rPr>
          <w:b/>
          <w:color w:val="383638"/>
          <w:spacing w:val="-1"/>
          <w:w w:val="110"/>
          <w:sz w:val="21"/>
        </w:rPr>
        <w:t>Refusing to allow individual liability </w:t>
      </w:r>
      <w:r>
        <w:rPr>
          <w:b/>
          <w:color w:val="383638"/>
          <w:w w:val="110"/>
          <w:sz w:val="21"/>
        </w:rPr>
        <w:t>for supervisors under Title VII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color w:val="383638"/>
          <w:w w:val="115"/>
          <w:sz w:val="20"/>
        </w:rPr>
        <w:t>is </w:t>
      </w:r>
      <w:r>
        <w:rPr>
          <w:color w:val="383638"/>
          <w:spacing w:val="1"/>
          <w:w w:val="115"/>
          <w:sz w:val="20"/>
        </w:rPr>
        <w:t> </w:t>
      </w:r>
      <w:r>
        <w:rPr>
          <w:color w:val="383638"/>
          <w:w w:val="115"/>
          <w:sz w:val="20"/>
        </w:rPr>
        <w:t>"manifestly  inconsistent"   with  Title  VII's  "underlying  rationale</w:t>
      </w:r>
      <w:r>
        <w:rPr>
          <w:color w:val="383638"/>
          <w:spacing w:val="1"/>
          <w:w w:val="115"/>
          <w:sz w:val="20"/>
        </w:rPr>
        <w:t> </w:t>
      </w:r>
      <w:r>
        <w:rPr>
          <w:color w:val="383638"/>
          <w:w w:val="110"/>
          <w:sz w:val="20"/>
        </w:rPr>
        <w:t>and</w:t>
      </w:r>
      <w:r>
        <w:rPr>
          <w:color w:val="383638"/>
          <w:spacing w:val="48"/>
          <w:w w:val="110"/>
          <w:sz w:val="20"/>
        </w:rPr>
        <w:t> </w:t>
      </w:r>
      <w:r>
        <w:rPr>
          <w:color w:val="383638"/>
          <w:w w:val="110"/>
          <w:sz w:val="20"/>
        </w:rPr>
        <w:t>primary</w:t>
      </w:r>
      <w:r>
        <w:rPr>
          <w:color w:val="383638"/>
          <w:spacing w:val="18"/>
          <w:w w:val="110"/>
          <w:sz w:val="20"/>
        </w:rPr>
        <w:t> </w:t>
      </w:r>
      <w:r>
        <w:rPr>
          <w:color w:val="383638"/>
          <w:w w:val="110"/>
          <w:sz w:val="20"/>
        </w:rPr>
        <w:t>goals."</w:t>
      </w:r>
      <w:r>
        <w:rPr>
          <w:color w:val="383638"/>
          <w:spacing w:val="8"/>
          <w:w w:val="110"/>
          <w:sz w:val="20"/>
        </w:rPr>
        <w:t> </w:t>
      </w:r>
      <w:r>
        <w:rPr>
          <w:color w:val="383638"/>
          <w:w w:val="110"/>
          <w:sz w:val="20"/>
        </w:rPr>
        <w:t>Tracy</w:t>
      </w:r>
      <w:r>
        <w:rPr>
          <w:color w:val="383638"/>
          <w:spacing w:val="16"/>
          <w:w w:val="110"/>
          <w:sz w:val="20"/>
        </w:rPr>
        <w:t> </w:t>
      </w:r>
      <w:r>
        <w:rPr>
          <w:color w:val="383638"/>
          <w:w w:val="110"/>
          <w:sz w:val="20"/>
        </w:rPr>
        <w:t>L.</w:t>
      </w:r>
      <w:r>
        <w:rPr>
          <w:color w:val="383638"/>
          <w:spacing w:val="-3"/>
          <w:w w:val="110"/>
          <w:sz w:val="20"/>
        </w:rPr>
        <w:t> </w:t>
      </w:r>
      <w:r>
        <w:rPr>
          <w:color w:val="383638"/>
          <w:w w:val="110"/>
          <w:sz w:val="20"/>
        </w:rPr>
        <w:t>Gonos,</w:t>
      </w:r>
      <w:r>
        <w:rPr>
          <w:color w:val="383638"/>
          <w:spacing w:val="32"/>
          <w:w w:val="110"/>
          <w:sz w:val="20"/>
        </w:rPr>
        <w:t> </w:t>
      </w:r>
      <w:r>
        <w:rPr>
          <w:color w:val="383638"/>
          <w:w w:val="110"/>
          <w:sz w:val="23"/>
          <w:u w:val="thick" w:color="383638"/>
        </w:rPr>
        <w:t>A</w:t>
      </w:r>
      <w:r>
        <w:rPr>
          <w:color w:val="383638"/>
          <w:spacing w:val="2"/>
          <w:w w:val="110"/>
          <w:sz w:val="23"/>
          <w:u w:val="thick" w:color="383638"/>
        </w:rPr>
        <w:t> </w:t>
      </w:r>
      <w:r>
        <w:rPr>
          <w:color w:val="383638"/>
          <w:w w:val="110"/>
          <w:sz w:val="23"/>
          <w:u w:val="thick" w:color="383638"/>
        </w:rPr>
        <w:t>Policy</w:t>
      </w:r>
      <w:r>
        <w:rPr>
          <w:color w:val="383638"/>
          <w:spacing w:val="12"/>
          <w:w w:val="110"/>
          <w:sz w:val="23"/>
          <w:u w:val="thick" w:color="383638"/>
        </w:rPr>
        <w:t> </w:t>
      </w:r>
      <w:r>
        <w:rPr>
          <w:color w:val="383638"/>
          <w:w w:val="110"/>
          <w:sz w:val="23"/>
          <w:u w:val="thick" w:color="383638"/>
        </w:rPr>
        <w:t>Analysis</w:t>
      </w:r>
      <w:r>
        <w:rPr>
          <w:color w:val="383638"/>
          <w:spacing w:val="15"/>
          <w:w w:val="110"/>
          <w:sz w:val="23"/>
          <w:u w:val="thick" w:color="383638"/>
        </w:rPr>
        <w:t> </w:t>
      </w:r>
      <w:r>
        <w:rPr>
          <w:color w:val="383638"/>
          <w:w w:val="110"/>
          <w:sz w:val="23"/>
          <w:u w:val="thick" w:color="383638"/>
        </w:rPr>
        <w:t>of</w:t>
      </w:r>
      <w:r>
        <w:rPr>
          <w:color w:val="383638"/>
          <w:spacing w:val="33"/>
          <w:w w:val="110"/>
          <w:sz w:val="23"/>
          <w:u w:val="thick" w:color="383638"/>
        </w:rPr>
        <w:t> </w:t>
      </w:r>
      <w:r>
        <w:rPr>
          <w:color w:val="383638"/>
          <w:w w:val="110"/>
          <w:sz w:val="23"/>
          <w:u w:val="thick" w:color="383638"/>
        </w:rPr>
        <w:t>Individual</w:t>
      </w:r>
    </w:p>
    <w:p>
      <w:pPr>
        <w:spacing w:line="194" w:lineRule="auto" w:before="27"/>
        <w:ind w:left="644" w:right="588" w:firstLine="31"/>
        <w:jc w:val="both"/>
        <w:rPr>
          <w:sz w:val="20"/>
        </w:rPr>
      </w:pPr>
      <w:r>
        <w:rPr>
          <w:color w:val="383638"/>
          <w:w w:val="105"/>
          <w:sz w:val="23"/>
          <w:u w:val="thick" w:color="383638"/>
        </w:rPr>
        <w:t>UabHity-The</w:t>
      </w:r>
      <w:r>
        <w:rPr>
          <w:color w:val="383638"/>
          <w:spacing w:val="1"/>
          <w:w w:val="105"/>
          <w:sz w:val="23"/>
        </w:rPr>
        <w:t> </w:t>
      </w:r>
      <w:r>
        <w:rPr>
          <w:color w:val="383638"/>
          <w:w w:val="105"/>
          <w:sz w:val="23"/>
          <w:u w:val="thick" w:color="383638"/>
        </w:rPr>
        <w:t>Case for</w:t>
      </w:r>
      <w:r>
        <w:rPr>
          <w:color w:val="383638"/>
          <w:spacing w:val="1"/>
          <w:w w:val="105"/>
          <w:sz w:val="23"/>
          <w:u w:val="thick" w:color="383638"/>
        </w:rPr>
        <w:t> </w:t>
      </w:r>
      <w:r>
        <w:rPr>
          <w:color w:val="383638"/>
          <w:w w:val="105"/>
          <w:sz w:val="23"/>
          <w:u w:val="thick" w:color="383638"/>
        </w:rPr>
        <w:t>Amendin&amp;: Title YII to</w:t>
      </w:r>
      <w:r>
        <w:rPr>
          <w:color w:val="383638"/>
          <w:spacing w:val="1"/>
          <w:w w:val="105"/>
          <w:sz w:val="23"/>
          <w:u w:val="thick" w:color="383638"/>
        </w:rPr>
        <w:t> </w:t>
      </w:r>
      <w:r>
        <w:rPr>
          <w:color w:val="383638"/>
          <w:w w:val="105"/>
          <w:sz w:val="23"/>
          <w:u w:val="thick" w:color="383638"/>
        </w:rPr>
        <w:t>Hold</w:t>
      </w:r>
      <w:r>
        <w:rPr>
          <w:color w:val="383638"/>
          <w:spacing w:val="1"/>
          <w:w w:val="105"/>
          <w:sz w:val="23"/>
          <w:u w:val="thick" w:color="383638"/>
        </w:rPr>
        <w:t> </w:t>
      </w:r>
      <w:r>
        <w:rPr>
          <w:color w:val="383638"/>
          <w:w w:val="105"/>
          <w:sz w:val="23"/>
          <w:u w:val="thick" w:color="383638"/>
        </w:rPr>
        <w:t>Individuals</w:t>
      </w:r>
      <w:r>
        <w:rPr>
          <w:color w:val="383638"/>
          <w:spacing w:val="1"/>
          <w:w w:val="105"/>
          <w:sz w:val="23"/>
        </w:rPr>
        <w:t> </w:t>
      </w:r>
      <w:r>
        <w:rPr>
          <w:color w:val="383638"/>
          <w:sz w:val="23"/>
          <w:u w:val="thick" w:color="383638"/>
        </w:rPr>
        <w:t>personally</w:t>
      </w:r>
      <w:r>
        <w:rPr>
          <w:color w:val="383638"/>
          <w:spacing w:val="1"/>
          <w:sz w:val="23"/>
          <w:u w:val="thick" w:color="383638"/>
        </w:rPr>
        <w:t> </w:t>
      </w:r>
      <w:r>
        <w:rPr>
          <w:color w:val="383638"/>
          <w:sz w:val="23"/>
          <w:u w:val="thick" w:color="383638"/>
        </w:rPr>
        <w:t>Liable for Their mega! Discriminatory Actions,</w:t>
      </w:r>
      <w:r>
        <w:rPr>
          <w:color w:val="383638"/>
          <w:sz w:val="23"/>
        </w:rPr>
        <w:t> </w:t>
      </w:r>
      <w:r>
        <w:rPr>
          <w:rFonts w:ascii="Arial"/>
          <w:color w:val="383638"/>
          <w:sz w:val="26"/>
        </w:rPr>
        <w:t>2 N.v.u. </w:t>
      </w:r>
      <w:r>
        <w:rPr>
          <w:color w:val="383638"/>
          <w:sz w:val="25"/>
        </w:rPr>
        <w:t>J.</w:t>
      </w:r>
      <w:r>
        <w:rPr>
          <w:color w:val="383638"/>
          <w:spacing w:val="1"/>
          <w:sz w:val="25"/>
        </w:rPr>
        <w:t> </w:t>
      </w:r>
      <w:r>
        <w:rPr>
          <w:color w:val="383638"/>
          <w:w w:val="105"/>
          <w:sz w:val="20"/>
        </w:rPr>
        <w:t>Legis.</w:t>
      </w:r>
      <w:r>
        <w:rPr>
          <w:color w:val="383638"/>
          <w:spacing w:val="-5"/>
          <w:w w:val="105"/>
          <w:sz w:val="20"/>
        </w:rPr>
        <w:t> </w:t>
      </w:r>
      <w:r>
        <w:rPr>
          <w:color w:val="383638"/>
          <w:w w:val="105"/>
          <w:sz w:val="20"/>
        </w:rPr>
        <w:t>&amp;</w:t>
      </w:r>
      <w:r>
        <w:rPr>
          <w:color w:val="383638"/>
          <w:spacing w:val="-1"/>
          <w:w w:val="105"/>
          <w:sz w:val="20"/>
        </w:rPr>
        <w:t> </w:t>
      </w:r>
      <w:r>
        <w:rPr>
          <w:color w:val="383638"/>
          <w:w w:val="105"/>
          <w:sz w:val="20"/>
        </w:rPr>
        <w:t>Pub.</w:t>
      </w:r>
      <w:r>
        <w:rPr>
          <w:color w:val="383638"/>
          <w:spacing w:val="8"/>
          <w:w w:val="105"/>
          <w:sz w:val="20"/>
        </w:rPr>
        <w:t> </w:t>
      </w:r>
      <w:r>
        <w:rPr>
          <w:color w:val="383638"/>
          <w:w w:val="105"/>
          <w:sz w:val="20"/>
        </w:rPr>
        <w:t>Poly.</w:t>
      </w:r>
      <w:r>
        <w:rPr>
          <w:color w:val="383638"/>
          <w:spacing w:val="6"/>
          <w:w w:val="105"/>
          <w:sz w:val="20"/>
        </w:rPr>
        <w:t> </w:t>
      </w:r>
      <w:r>
        <w:rPr>
          <w:color w:val="383638"/>
          <w:w w:val="105"/>
          <w:sz w:val="20"/>
        </w:rPr>
        <w:t>265,</w:t>
      </w:r>
      <w:r>
        <w:rPr>
          <w:color w:val="383638"/>
          <w:spacing w:val="1"/>
          <w:w w:val="105"/>
          <w:sz w:val="20"/>
        </w:rPr>
        <w:t> </w:t>
      </w:r>
      <w:r>
        <w:rPr>
          <w:color w:val="383638"/>
          <w:w w:val="105"/>
          <w:sz w:val="20"/>
        </w:rPr>
        <w:t>270</w:t>
      </w:r>
      <w:r>
        <w:rPr>
          <w:color w:val="383638"/>
          <w:spacing w:val="-2"/>
          <w:w w:val="105"/>
          <w:sz w:val="20"/>
        </w:rPr>
        <w:t> </w:t>
      </w:r>
      <w:r>
        <w:rPr>
          <w:color w:val="383638"/>
          <w:w w:val="105"/>
          <w:sz w:val="20"/>
        </w:rPr>
        <w:t>(1998-1999).</w:t>
      </w:r>
    </w:p>
    <w:p>
      <w:pPr>
        <w:spacing w:after="0" w:line="194" w:lineRule="auto"/>
        <w:jc w:val="both"/>
        <w:rPr>
          <w:sz w:val="20"/>
        </w:rPr>
        <w:sectPr>
          <w:headerReference w:type="even" r:id="rId166"/>
          <w:headerReference w:type="default" r:id="rId167"/>
          <w:pgSz w:w="9270" w:h="13800"/>
          <w:pgMar w:header="386" w:footer="0" w:top="960" w:bottom="0" w:left="1280" w:right="0"/>
          <w:pgNumType w:start="142"/>
        </w:sectPr>
      </w:pPr>
    </w:p>
    <w:p>
      <w:pPr>
        <w:spacing w:line="235" w:lineRule="auto" w:before="85"/>
        <w:ind w:left="537" w:right="503" w:firstLine="7"/>
        <w:jc w:val="both"/>
        <w:rPr>
          <w:b/>
          <w:sz w:val="21"/>
        </w:rPr>
      </w:pPr>
      <w:r>
        <w:rPr>
          <w:b/>
          <w:color w:val="383636"/>
          <w:spacing w:val="-1"/>
          <w:w w:val="115"/>
          <w:sz w:val="21"/>
        </w:rPr>
        <w:t>With</w:t>
      </w:r>
      <w:r>
        <w:rPr>
          <w:b/>
          <w:color w:val="383636"/>
          <w:spacing w:val="-14"/>
          <w:w w:val="115"/>
          <w:sz w:val="21"/>
        </w:rPr>
        <w:t> </w:t>
      </w:r>
      <w:r>
        <w:rPr>
          <w:b/>
          <w:color w:val="383636"/>
          <w:spacing w:val="-1"/>
          <w:w w:val="115"/>
          <w:sz w:val="21"/>
        </w:rPr>
        <w:t>Title</w:t>
      </w:r>
      <w:r>
        <w:rPr>
          <w:b/>
          <w:color w:val="383636"/>
          <w:spacing w:val="-4"/>
          <w:w w:val="115"/>
          <w:sz w:val="21"/>
        </w:rPr>
        <w:t> </w:t>
      </w:r>
      <w:r>
        <w:rPr>
          <w:b/>
          <w:color w:val="383636"/>
          <w:spacing w:val="-1"/>
          <w:w w:val="115"/>
          <w:sz w:val="21"/>
        </w:rPr>
        <w:t>VII,</w:t>
      </w:r>
      <w:r>
        <w:rPr>
          <w:b/>
          <w:color w:val="383636"/>
          <w:spacing w:val="-10"/>
          <w:w w:val="115"/>
          <w:sz w:val="21"/>
        </w:rPr>
        <w:t> </w:t>
      </w:r>
      <w:r>
        <w:rPr>
          <w:b/>
          <w:color w:val="383636"/>
          <w:spacing w:val="-1"/>
          <w:w w:val="115"/>
          <w:sz w:val="21"/>
        </w:rPr>
        <w:t>Congress intended</w:t>
      </w:r>
      <w:r>
        <w:rPr>
          <w:b/>
          <w:color w:val="383636"/>
          <w:spacing w:val="-4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not</w:t>
      </w:r>
      <w:r>
        <w:rPr>
          <w:b/>
          <w:color w:val="383636"/>
          <w:spacing w:val="-2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only</w:t>
      </w:r>
      <w:r>
        <w:rPr>
          <w:b/>
          <w:color w:val="383636"/>
          <w:spacing w:val="-4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to</w:t>
      </w:r>
      <w:r>
        <w:rPr>
          <w:b/>
          <w:color w:val="383636"/>
          <w:spacing w:val="-7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make</w:t>
      </w:r>
      <w:r>
        <w:rPr>
          <w:b/>
          <w:color w:val="383636"/>
          <w:spacing w:val="-9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discriminatory</w:t>
      </w:r>
      <w:r>
        <w:rPr>
          <w:b/>
          <w:color w:val="383636"/>
          <w:spacing w:val="-58"/>
          <w:w w:val="115"/>
          <w:sz w:val="21"/>
        </w:rPr>
        <w:t> </w:t>
      </w:r>
      <w:r>
        <w:rPr>
          <w:b/>
          <w:color w:val="383636"/>
          <w:w w:val="110"/>
          <w:sz w:val="21"/>
        </w:rPr>
        <w:t>acts by both employers and their agents actionable, but also to make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5"/>
          <w:sz w:val="21"/>
        </w:rPr>
        <w:t>"those who discriminate"-both employers and their agents-jointly</w:t>
      </w:r>
      <w:r>
        <w:rPr>
          <w:b/>
          <w:color w:val="383636"/>
          <w:spacing w:val="1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andseverally liable for their discriminatory acts. </w:t>
      </w:r>
      <w:r>
        <w:rPr>
          <w:b/>
          <w:color w:val="383636"/>
          <w:w w:val="115"/>
          <w:sz w:val="21"/>
          <w:u w:val="thick" w:color="383636"/>
        </w:rPr>
        <w:t>Wyss v. General</w:t>
      </w:r>
      <w:r>
        <w:rPr>
          <w:b/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0"/>
          <w:u w:val="thick" w:color="383636"/>
        </w:rPr>
        <w:t>pynamics</w:t>
      </w:r>
      <w:r>
        <w:rPr>
          <w:color w:val="383636"/>
          <w:spacing w:val="1"/>
          <w:w w:val="115"/>
          <w:sz w:val="20"/>
        </w:rPr>
        <w:t> </w:t>
      </w:r>
      <w:r>
        <w:rPr>
          <w:color w:val="383636"/>
          <w:w w:val="115"/>
          <w:sz w:val="20"/>
          <w:u w:val="thick" w:color="383636"/>
        </w:rPr>
        <w:t>Corp.</w:t>
      </w:r>
      <w:r>
        <w:rPr>
          <w:color w:val="383636"/>
          <w:w w:val="115"/>
          <w:sz w:val="20"/>
        </w:rPr>
        <w:t>.</w:t>
      </w:r>
      <w:r>
        <w:rPr>
          <w:color w:val="383636"/>
          <w:spacing w:val="1"/>
          <w:w w:val="115"/>
          <w:sz w:val="20"/>
        </w:rPr>
        <w:t> </w:t>
      </w:r>
      <w:r>
        <w:rPr>
          <w:color w:val="383636"/>
          <w:w w:val="115"/>
          <w:sz w:val="21"/>
        </w:rPr>
        <w:t>24 F. Supp.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0"/>
        </w:rPr>
        <w:t>2d</w:t>
      </w:r>
      <w:r>
        <w:rPr>
          <w:color w:val="383636"/>
          <w:spacing w:val="1"/>
          <w:w w:val="115"/>
          <w:sz w:val="20"/>
        </w:rPr>
        <w:t> </w:t>
      </w:r>
      <w:r>
        <w:rPr>
          <w:color w:val="383636"/>
          <w:w w:val="115"/>
          <w:sz w:val="20"/>
        </w:rPr>
        <w:t>202,</w:t>
      </w:r>
      <w:r>
        <w:rPr>
          <w:color w:val="383636"/>
          <w:spacing w:val="1"/>
          <w:w w:val="115"/>
          <w:sz w:val="20"/>
        </w:rPr>
        <w:t> </w:t>
      </w:r>
      <w:r>
        <w:rPr>
          <w:color w:val="383636"/>
          <w:w w:val="115"/>
          <w:sz w:val="20"/>
        </w:rPr>
        <w:t>206</w:t>
      </w:r>
      <w:r>
        <w:rPr>
          <w:color w:val="383636"/>
          <w:spacing w:val="1"/>
          <w:w w:val="115"/>
          <w:sz w:val="20"/>
        </w:rPr>
        <w:t> </w:t>
      </w:r>
      <w:r>
        <w:rPr>
          <w:color w:val="383636"/>
          <w:w w:val="115"/>
          <w:sz w:val="21"/>
        </w:rPr>
        <w:t>(D.R.I.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1998)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(citation</w:t>
      </w:r>
      <w:r>
        <w:rPr>
          <w:color w:val="383636"/>
          <w:spacing w:val="1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omitted).</w:t>
      </w:r>
    </w:p>
    <w:p>
      <w:pPr>
        <w:pStyle w:val="BodyText"/>
        <w:spacing w:line="232" w:lineRule="auto" w:before="153"/>
        <w:ind w:left="197" w:right="141" w:firstLine="8"/>
        <w:jc w:val="both"/>
      </w:pPr>
      <w:r>
        <w:rPr>
          <w:color w:val="383636"/>
          <w:w w:val="110"/>
        </w:rPr>
        <w:t>With both of these examples, the statements are relevant legal assertions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that are followed by a citation and are not preceded by a qualifier. In both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situations, the reader would instinctively presume that the citation pro­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vides authority for the validity of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  statement, and  would be frustrated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to see the nonauthoritative citation following the statement. To avoid this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problem, simply use qualifying language that reveals that the source is not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authoritative. Generally,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best way to do this is to mention or refer to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 source; you need not announce to the court that a particular source is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not</w:t>
      </w:r>
      <w:r>
        <w:rPr>
          <w:color w:val="383636"/>
          <w:spacing w:val="-19"/>
          <w:w w:val="115"/>
        </w:rPr>
        <w:t> </w:t>
      </w:r>
      <w:r>
        <w:rPr>
          <w:color w:val="383636"/>
          <w:w w:val="115"/>
        </w:rPr>
        <w:t>authoritative:</w:t>
      </w:r>
    </w:p>
    <w:p>
      <w:pPr>
        <w:spacing w:before="44"/>
        <w:ind w:left="181" w:right="0" w:firstLine="0"/>
        <w:jc w:val="both"/>
        <w:rPr>
          <w:sz w:val="15"/>
        </w:rPr>
      </w:pPr>
      <w:r>
        <w:rPr>
          <w:rFonts w:ascii="Arial"/>
          <w:color w:val="383636"/>
          <w:sz w:val="31"/>
          <w:u w:val="thick" w:color="383636"/>
        </w:rPr>
        <w:t>J/</w:t>
      </w:r>
      <w:r>
        <w:rPr>
          <w:rFonts w:ascii="Arial"/>
          <w:color w:val="383636"/>
          <w:spacing w:val="33"/>
          <w:sz w:val="31"/>
        </w:rPr>
        <w:t> </w:t>
      </w:r>
      <w:r>
        <w:rPr>
          <w:color w:val="676969"/>
          <w:sz w:val="15"/>
          <w:u w:val="thick" w:color="565657"/>
        </w:rPr>
        <w:t>BA</w:t>
      </w:r>
      <w:r>
        <w:rPr>
          <w:color w:val="383636"/>
          <w:sz w:val="15"/>
          <w:u w:val="thick" w:color="565657"/>
        </w:rPr>
        <w:t>D</w:t>
      </w:r>
      <w:r>
        <w:rPr>
          <w:color w:val="383636"/>
          <w:spacing w:val="5"/>
          <w:sz w:val="15"/>
          <w:u w:val="thick" w:color="565657"/>
        </w:rPr>
        <w:t> </w:t>
      </w:r>
      <w:r>
        <w:rPr>
          <w:color w:val="676969"/>
          <w:sz w:val="15"/>
          <w:u w:val="thick" w:color="565657"/>
        </w:rPr>
        <w:t>EXAM</w:t>
      </w:r>
      <w:r>
        <w:rPr>
          <w:color w:val="676969"/>
          <w:spacing w:val="-23"/>
          <w:sz w:val="15"/>
          <w:u w:val="thick" w:color="565657"/>
        </w:rPr>
        <w:t> </w:t>
      </w:r>
      <w:r>
        <w:rPr>
          <w:color w:val="79797C"/>
          <w:sz w:val="15"/>
          <w:u w:val="thick" w:color="565657"/>
        </w:rPr>
        <w:t>Pl</w:t>
      </w:r>
      <w:r>
        <w:rPr>
          <w:color w:val="79797C"/>
          <w:spacing w:val="1"/>
          <w:sz w:val="15"/>
          <w:u w:val="thick" w:color="565657"/>
        </w:rPr>
        <w:t> </w:t>
      </w:r>
      <w:r>
        <w:rPr>
          <w:color w:val="79797C"/>
          <w:sz w:val="15"/>
          <w:u w:val="thick" w:color="565657"/>
        </w:rPr>
        <w:t>E</w:t>
      </w:r>
      <w:r>
        <w:rPr>
          <w:color w:val="565657"/>
          <w:sz w:val="15"/>
          <w:u w:val="thick" w:color="565657"/>
        </w:rPr>
        <w:t>S</w:t>
      </w:r>
    </w:p>
    <w:p>
      <w:pPr>
        <w:spacing w:line="237" w:lineRule="auto" w:before="222"/>
        <w:ind w:left="538" w:right="513" w:firstLine="6"/>
        <w:jc w:val="both"/>
        <w:rPr>
          <w:sz w:val="22"/>
        </w:rPr>
      </w:pPr>
      <w:r>
        <w:rPr>
          <w:b/>
          <w:color w:val="383636"/>
          <w:w w:val="110"/>
          <w:sz w:val="21"/>
        </w:rPr>
        <w:t>Although not  authoritative, a commentator  has noted that refusing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to allow individual liability for supervisors under Title VII is "mani­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spacing w:val="-1"/>
          <w:w w:val="110"/>
          <w:sz w:val="21"/>
        </w:rPr>
        <w:t>festly</w:t>
      </w:r>
      <w:r>
        <w:rPr>
          <w:b/>
          <w:color w:val="383636"/>
          <w:spacing w:val="-16"/>
          <w:w w:val="110"/>
          <w:sz w:val="21"/>
        </w:rPr>
        <w:t> </w:t>
      </w:r>
      <w:r>
        <w:rPr>
          <w:b/>
          <w:color w:val="383636"/>
          <w:spacing w:val="-1"/>
          <w:w w:val="110"/>
          <w:sz w:val="21"/>
        </w:rPr>
        <w:t>inconsistent"</w:t>
      </w:r>
      <w:r>
        <w:rPr>
          <w:b/>
          <w:color w:val="383636"/>
          <w:spacing w:val="-7"/>
          <w:w w:val="110"/>
          <w:sz w:val="21"/>
        </w:rPr>
        <w:t> </w:t>
      </w:r>
      <w:r>
        <w:rPr>
          <w:b/>
          <w:color w:val="383636"/>
          <w:spacing w:val="-1"/>
          <w:w w:val="110"/>
          <w:sz w:val="21"/>
        </w:rPr>
        <w:t>with</w:t>
      </w:r>
      <w:r>
        <w:rPr>
          <w:b/>
          <w:color w:val="383636"/>
          <w:spacing w:val="-29"/>
          <w:w w:val="110"/>
          <w:sz w:val="21"/>
        </w:rPr>
        <w:t> </w:t>
      </w:r>
      <w:r>
        <w:rPr>
          <w:b/>
          <w:color w:val="383636"/>
          <w:spacing w:val="-1"/>
          <w:w w:val="110"/>
          <w:sz w:val="21"/>
        </w:rPr>
        <w:t>Title</w:t>
      </w:r>
      <w:r>
        <w:rPr>
          <w:b/>
          <w:color w:val="383636"/>
          <w:spacing w:val="-8"/>
          <w:w w:val="110"/>
          <w:sz w:val="21"/>
        </w:rPr>
        <w:t> </w:t>
      </w:r>
      <w:r>
        <w:rPr>
          <w:b/>
          <w:color w:val="383636"/>
          <w:spacing w:val="-1"/>
          <w:w w:val="110"/>
          <w:sz w:val="21"/>
        </w:rPr>
        <w:t>VII's</w:t>
      </w:r>
      <w:r>
        <w:rPr>
          <w:b/>
          <w:color w:val="383636"/>
          <w:spacing w:val="-26"/>
          <w:w w:val="110"/>
          <w:sz w:val="21"/>
        </w:rPr>
        <w:t> </w:t>
      </w:r>
      <w:r>
        <w:rPr>
          <w:b/>
          <w:color w:val="383636"/>
          <w:spacing w:val="-1"/>
          <w:w w:val="110"/>
          <w:sz w:val="21"/>
        </w:rPr>
        <w:t>"underlying</w:t>
      </w:r>
      <w:r>
        <w:rPr>
          <w:b/>
          <w:color w:val="383636"/>
          <w:spacing w:val="-17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rationale</w:t>
      </w:r>
      <w:r>
        <w:rPr>
          <w:b/>
          <w:color w:val="383636"/>
          <w:spacing w:val="-19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and</w:t>
      </w:r>
      <w:r>
        <w:rPr>
          <w:b/>
          <w:color w:val="383636"/>
          <w:spacing w:val="-9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primary</w:t>
      </w:r>
      <w:r>
        <w:rPr>
          <w:b/>
          <w:color w:val="383636"/>
          <w:spacing w:val="-56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goals."</w:t>
      </w:r>
      <w:r>
        <w:rPr>
          <w:b/>
          <w:color w:val="383636"/>
          <w:spacing w:val="-25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Tracy</w:t>
      </w:r>
      <w:r>
        <w:rPr>
          <w:b/>
          <w:color w:val="383636"/>
          <w:spacing w:val="-6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L.</w:t>
      </w:r>
      <w:r>
        <w:rPr>
          <w:b/>
          <w:color w:val="383636"/>
          <w:spacing w:val="-22"/>
          <w:w w:val="110"/>
          <w:sz w:val="21"/>
        </w:rPr>
        <w:t> </w:t>
      </w:r>
      <w:r>
        <w:rPr>
          <w:color w:val="383636"/>
          <w:w w:val="110"/>
          <w:sz w:val="21"/>
        </w:rPr>
        <w:t>Gonos.</w:t>
      </w:r>
      <w:r>
        <w:rPr>
          <w:color w:val="383636"/>
          <w:spacing w:val="-6"/>
          <w:w w:val="110"/>
          <w:sz w:val="21"/>
        </w:rPr>
        <w:t> </w:t>
      </w:r>
      <w:r>
        <w:rPr>
          <w:color w:val="383636"/>
          <w:w w:val="110"/>
          <w:sz w:val="22"/>
          <w:u w:val="thick" w:color="383636"/>
        </w:rPr>
        <w:t>A</w:t>
      </w:r>
      <w:r>
        <w:rPr>
          <w:color w:val="383636"/>
          <w:spacing w:val="-6"/>
          <w:w w:val="110"/>
          <w:sz w:val="22"/>
          <w:u w:val="thick" w:color="383636"/>
        </w:rPr>
        <w:t> </w:t>
      </w:r>
      <w:r>
        <w:rPr>
          <w:color w:val="383636"/>
          <w:w w:val="110"/>
          <w:sz w:val="20"/>
          <w:u w:val="thick" w:color="383636"/>
        </w:rPr>
        <w:t>Policy</w:t>
      </w:r>
      <w:r>
        <w:rPr>
          <w:color w:val="383636"/>
          <w:spacing w:val="12"/>
          <w:w w:val="110"/>
          <w:sz w:val="20"/>
          <w:u w:val="thick" w:color="383636"/>
        </w:rPr>
        <w:t> </w:t>
      </w:r>
      <w:r>
        <w:rPr>
          <w:color w:val="383636"/>
          <w:w w:val="110"/>
          <w:sz w:val="22"/>
          <w:u w:val="thick" w:color="383636"/>
        </w:rPr>
        <w:t>Analysis</w:t>
      </w:r>
      <w:r>
        <w:rPr>
          <w:color w:val="383636"/>
          <w:spacing w:val="-10"/>
          <w:w w:val="110"/>
          <w:sz w:val="22"/>
          <w:u w:val="thick" w:color="383636"/>
        </w:rPr>
        <w:t> </w:t>
      </w:r>
      <w:r>
        <w:rPr>
          <w:color w:val="383636"/>
          <w:w w:val="110"/>
          <w:sz w:val="22"/>
          <w:u w:val="thick" w:color="383636"/>
        </w:rPr>
        <w:t>of</w:t>
      </w:r>
      <w:r>
        <w:rPr>
          <w:color w:val="383636"/>
          <w:spacing w:val="16"/>
          <w:w w:val="110"/>
          <w:sz w:val="22"/>
          <w:u w:val="thick" w:color="383636"/>
        </w:rPr>
        <w:t> </w:t>
      </w:r>
      <w:r>
        <w:rPr>
          <w:color w:val="383636"/>
          <w:w w:val="110"/>
          <w:sz w:val="21"/>
          <w:u w:val="thick" w:color="383636"/>
        </w:rPr>
        <w:t>Individual</w:t>
      </w:r>
      <w:r>
        <w:rPr>
          <w:color w:val="383636"/>
          <w:spacing w:val="15"/>
          <w:w w:val="110"/>
          <w:sz w:val="21"/>
          <w:u w:val="thick" w:color="383636"/>
        </w:rPr>
        <w:t> </w:t>
      </w:r>
      <w:r>
        <w:rPr>
          <w:color w:val="383636"/>
          <w:w w:val="110"/>
          <w:sz w:val="22"/>
          <w:u w:val="thick" w:color="383636"/>
        </w:rPr>
        <w:t>Liability</w:t>
      </w:r>
      <w:r>
        <w:rPr>
          <w:color w:val="383636"/>
          <w:spacing w:val="3"/>
          <w:w w:val="110"/>
          <w:sz w:val="22"/>
        </w:rPr>
        <w:t> </w:t>
      </w:r>
      <w:r>
        <w:rPr>
          <w:color w:val="383636"/>
          <w:w w:val="110"/>
          <w:sz w:val="22"/>
          <w:u w:val="thick" w:color="383636"/>
        </w:rPr>
        <w:t>The</w:t>
      </w:r>
      <w:r>
        <w:rPr>
          <w:color w:val="383636"/>
          <w:spacing w:val="-59"/>
          <w:w w:val="110"/>
          <w:sz w:val="22"/>
        </w:rPr>
        <w:t> </w:t>
      </w:r>
      <w:r>
        <w:rPr>
          <w:color w:val="383636"/>
          <w:spacing w:val="-1"/>
          <w:w w:val="110"/>
          <w:sz w:val="22"/>
          <w:u w:val="thick" w:color="383636"/>
        </w:rPr>
        <w:t>Case</w:t>
      </w:r>
      <w:r>
        <w:rPr>
          <w:color w:val="383636"/>
          <w:spacing w:val="-20"/>
          <w:w w:val="110"/>
          <w:sz w:val="22"/>
          <w:u w:val="thick" w:color="383636"/>
        </w:rPr>
        <w:t> </w:t>
      </w:r>
      <w:r>
        <w:rPr>
          <w:color w:val="383636"/>
          <w:spacing w:val="-1"/>
          <w:w w:val="110"/>
          <w:sz w:val="22"/>
          <w:u w:val="thick" w:color="383636"/>
        </w:rPr>
        <w:t>for</w:t>
      </w:r>
      <w:r>
        <w:rPr>
          <w:color w:val="383636"/>
          <w:spacing w:val="21"/>
          <w:w w:val="110"/>
          <w:sz w:val="22"/>
          <w:u w:val="thick" w:color="383636"/>
        </w:rPr>
        <w:t> </w:t>
      </w:r>
      <w:r>
        <w:rPr>
          <w:b/>
          <w:color w:val="383636"/>
          <w:spacing w:val="-1"/>
          <w:w w:val="110"/>
          <w:sz w:val="22"/>
          <w:u w:val="thick" w:color="383636"/>
        </w:rPr>
        <w:t>Amending</w:t>
      </w:r>
      <w:r>
        <w:rPr>
          <w:b/>
          <w:color w:val="383636"/>
          <w:spacing w:val="-14"/>
          <w:w w:val="110"/>
          <w:sz w:val="22"/>
          <w:u w:val="thick" w:color="383636"/>
        </w:rPr>
        <w:t> </w:t>
      </w:r>
      <w:r>
        <w:rPr>
          <w:color w:val="383636"/>
          <w:spacing w:val="-1"/>
          <w:w w:val="110"/>
          <w:sz w:val="22"/>
          <w:u w:val="thick" w:color="383636"/>
        </w:rPr>
        <w:t>Title</w:t>
      </w:r>
      <w:r>
        <w:rPr>
          <w:color w:val="383636"/>
          <w:spacing w:val="-11"/>
          <w:w w:val="110"/>
          <w:sz w:val="22"/>
          <w:u w:val="thick" w:color="383636"/>
        </w:rPr>
        <w:t> </w:t>
      </w:r>
      <w:r>
        <w:rPr>
          <w:color w:val="383636"/>
          <w:spacing w:val="-1"/>
          <w:w w:val="110"/>
          <w:sz w:val="22"/>
          <w:u w:val="thick" w:color="383636"/>
        </w:rPr>
        <w:t>VII</w:t>
      </w:r>
      <w:r>
        <w:rPr>
          <w:color w:val="383636"/>
          <w:spacing w:val="6"/>
          <w:w w:val="110"/>
          <w:sz w:val="22"/>
          <w:u w:val="thick" w:color="383636"/>
        </w:rPr>
        <w:t> </w:t>
      </w:r>
      <w:r>
        <w:rPr>
          <w:color w:val="383636"/>
          <w:spacing w:val="-1"/>
          <w:w w:val="110"/>
          <w:sz w:val="22"/>
          <w:u w:val="thick" w:color="383636"/>
        </w:rPr>
        <w:t>to</w:t>
      </w:r>
      <w:r>
        <w:rPr>
          <w:color w:val="383636"/>
          <w:spacing w:val="35"/>
          <w:w w:val="110"/>
          <w:sz w:val="22"/>
          <w:u w:val="thick" w:color="383636"/>
        </w:rPr>
        <w:t> </w:t>
      </w:r>
      <w:r>
        <w:rPr>
          <w:color w:val="383636"/>
          <w:spacing w:val="-1"/>
          <w:w w:val="110"/>
          <w:sz w:val="22"/>
          <w:u w:val="thick" w:color="383636"/>
        </w:rPr>
        <w:t>Hold</w:t>
      </w:r>
      <w:r>
        <w:rPr>
          <w:color w:val="383636"/>
          <w:spacing w:val="16"/>
          <w:w w:val="110"/>
          <w:sz w:val="22"/>
          <w:u w:val="thick" w:color="383636"/>
        </w:rPr>
        <w:t> </w:t>
      </w:r>
      <w:r>
        <w:rPr>
          <w:color w:val="383636"/>
          <w:spacing w:val="-1"/>
          <w:w w:val="110"/>
          <w:sz w:val="22"/>
          <w:u w:val="thick" w:color="383636"/>
        </w:rPr>
        <w:t>Individuals</w:t>
      </w:r>
      <w:r>
        <w:rPr>
          <w:color w:val="383636"/>
          <w:spacing w:val="13"/>
          <w:w w:val="110"/>
          <w:sz w:val="22"/>
          <w:u w:val="thick" w:color="383636"/>
        </w:rPr>
        <w:t> </w:t>
      </w:r>
      <w:r>
        <w:rPr>
          <w:color w:val="383636"/>
          <w:w w:val="110"/>
          <w:sz w:val="20"/>
          <w:u w:val="thick" w:color="383636"/>
        </w:rPr>
        <w:t>Personally</w:t>
      </w:r>
      <w:r>
        <w:rPr>
          <w:color w:val="383636"/>
          <w:spacing w:val="22"/>
          <w:w w:val="110"/>
          <w:sz w:val="20"/>
          <w:u w:val="thick" w:color="383636"/>
        </w:rPr>
        <w:t> </w:t>
      </w:r>
      <w:r>
        <w:rPr>
          <w:color w:val="383636"/>
          <w:w w:val="110"/>
          <w:sz w:val="22"/>
          <w:u w:val="thick" w:color="383636"/>
        </w:rPr>
        <w:t>Liable</w:t>
      </w:r>
      <w:r>
        <w:rPr>
          <w:color w:val="383636"/>
          <w:spacing w:val="-13"/>
          <w:w w:val="110"/>
          <w:sz w:val="22"/>
          <w:u w:val="thick" w:color="383636"/>
        </w:rPr>
        <w:t> </w:t>
      </w:r>
      <w:r>
        <w:rPr>
          <w:color w:val="383636"/>
          <w:w w:val="110"/>
          <w:sz w:val="22"/>
          <w:u w:val="thick" w:color="383636"/>
        </w:rPr>
        <w:t>for</w:t>
      </w:r>
    </w:p>
    <w:p>
      <w:pPr>
        <w:spacing w:line="219" w:lineRule="exact" w:before="0"/>
        <w:ind w:left="530" w:right="0" w:firstLine="0"/>
        <w:jc w:val="both"/>
        <w:rPr>
          <w:sz w:val="21"/>
        </w:rPr>
      </w:pPr>
      <w:r>
        <w:rPr>
          <w:color w:val="383636"/>
          <w:w w:val="110"/>
          <w:sz w:val="22"/>
          <w:u w:val="thick" w:color="383636"/>
        </w:rPr>
        <w:t>Their</w:t>
      </w:r>
      <w:r>
        <w:rPr>
          <w:color w:val="383636"/>
          <w:spacing w:val="31"/>
          <w:w w:val="110"/>
          <w:sz w:val="22"/>
          <w:u w:val="thick" w:color="383636"/>
        </w:rPr>
        <w:t> </w:t>
      </w:r>
      <w:r>
        <w:rPr>
          <w:color w:val="383636"/>
          <w:w w:val="110"/>
          <w:sz w:val="22"/>
          <w:u w:val="thick" w:color="383636"/>
        </w:rPr>
        <w:t>Illegal</w:t>
      </w:r>
      <w:r>
        <w:rPr>
          <w:color w:val="383636"/>
          <w:spacing w:val="55"/>
          <w:w w:val="110"/>
          <w:sz w:val="22"/>
          <w:u w:val="thick" w:color="383636"/>
        </w:rPr>
        <w:t> </w:t>
      </w:r>
      <w:r>
        <w:rPr>
          <w:color w:val="383636"/>
          <w:w w:val="110"/>
          <w:sz w:val="22"/>
          <w:u w:val="thick" w:color="383636"/>
        </w:rPr>
        <w:t>Discriminatory</w:t>
      </w:r>
      <w:r>
        <w:rPr>
          <w:color w:val="383636"/>
          <w:spacing w:val="31"/>
          <w:w w:val="110"/>
          <w:sz w:val="22"/>
          <w:u w:val="thick" w:color="383636"/>
        </w:rPr>
        <w:t> </w:t>
      </w:r>
      <w:r>
        <w:rPr>
          <w:color w:val="383636"/>
          <w:w w:val="110"/>
          <w:sz w:val="22"/>
          <w:u w:val="thick" w:color="383636"/>
        </w:rPr>
        <w:t>Actions,</w:t>
      </w:r>
      <w:r>
        <w:rPr>
          <w:color w:val="383636"/>
          <w:spacing w:val="27"/>
          <w:w w:val="110"/>
          <w:sz w:val="22"/>
        </w:rPr>
        <w:t> </w:t>
      </w:r>
      <w:r>
        <w:rPr>
          <w:color w:val="383636"/>
          <w:w w:val="110"/>
          <w:sz w:val="20"/>
        </w:rPr>
        <w:t>2</w:t>
      </w:r>
      <w:r>
        <w:rPr>
          <w:color w:val="383636"/>
          <w:spacing w:val="47"/>
          <w:w w:val="110"/>
          <w:sz w:val="20"/>
        </w:rPr>
        <w:t> </w:t>
      </w:r>
      <w:r>
        <w:rPr>
          <w:color w:val="383636"/>
          <w:w w:val="110"/>
          <w:sz w:val="20"/>
        </w:rPr>
        <w:t>N.Y.U.</w:t>
      </w:r>
      <w:r>
        <w:rPr>
          <w:color w:val="383636"/>
          <w:spacing w:val="-7"/>
          <w:w w:val="110"/>
          <w:sz w:val="20"/>
        </w:rPr>
        <w:t> </w:t>
      </w:r>
      <w:r>
        <w:rPr>
          <w:color w:val="383636"/>
          <w:w w:val="110"/>
          <w:sz w:val="25"/>
        </w:rPr>
        <w:t>J.</w:t>
      </w:r>
      <w:r>
        <w:rPr>
          <w:color w:val="383636"/>
          <w:spacing w:val="20"/>
          <w:w w:val="110"/>
          <w:sz w:val="25"/>
        </w:rPr>
        <w:t> </w:t>
      </w:r>
      <w:r>
        <w:rPr>
          <w:color w:val="383636"/>
          <w:w w:val="110"/>
          <w:sz w:val="21"/>
        </w:rPr>
        <w:t>Legis.</w:t>
      </w:r>
      <w:r>
        <w:rPr>
          <w:color w:val="383636"/>
          <w:spacing w:val="20"/>
          <w:w w:val="110"/>
          <w:sz w:val="21"/>
        </w:rPr>
        <w:t> </w:t>
      </w:r>
      <w:r>
        <w:rPr>
          <w:color w:val="383636"/>
          <w:w w:val="110"/>
          <w:sz w:val="19"/>
        </w:rPr>
        <w:t>&amp;</w:t>
      </w:r>
      <w:r>
        <w:rPr>
          <w:color w:val="383636"/>
          <w:spacing w:val="43"/>
          <w:w w:val="110"/>
          <w:sz w:val="19"/>
        </w:rPr>
        <w:t> </w:t>
      </w:r>
      <w:r>
        <w:rPr>
          <w:color w:val="383636"/>
          <w:w w:val="110"/>
          <w:sz w:val="20"/>
        </w:rPr>
        <w:t>Pub.</w:t>
      </w:r>
      <w:r>
        <w:rPr>
          <w:color w:val="383636"/>
          <w:spacing w:val="27"/>
          <w:w w:val="110"/>
          <w:sz w:val="20"/>
        </w:rPr>
        <w:t> </w:t>
      </w:r>
      <w:r>
        <w:rPr>
          <w:color w:val="383636"/>
          <w:w w:val="110"/>
          <w:sz w:val="21"/>
        </w:rPr>
        <w:t>Poly.</w:t>
      </w:r>
    </w:p>
    <w:p>
      <w:pPr>
        <w:spacing w:line="215" w:lineRule="exact" w:before="0"/>
        <w:ind w:left="542" w:right="0" w:firstLine="0"/>
        <w:jc w:val="both"/>
        <w:rPr>
          <w:b/>
          <w:sz w:val="20"/>
        </w:rPr>
      </w:pPr>
      <w:r>
        <w:rPr>
          <w:b/>
          <w:color w:val="383636"/>
          <w:w w:val="120"/>
          <w:sz w:val="20"/>
        </w:rPr>
        <w:t>265,270</w:t>
      </w:r>
      <w:r>
        <w:rPr>
          <w:b/>
          <w:color w:val="383636"/>
          <w:spacing w:val="-14"/>
          <w:w w:val="120"/>
          <w:sz w:val="20"/>
        </w:rPr>
        <w:t> </w:t>
      </w:r>
      <w:r>
        <w:rPr>
          <w:b/>
          <w:color w:val="383636"/>
          <w:w w:val="120"/>
          <w:sz w:val="20"/>
        </w:rPr>
        <w:t>(1998-1999).</w:t>
      </w:r>
    </w:p>
    <w:p>
      <w:pPr>
        <w:spacing w:line="235" w:lineRule="auto" w:before="149"/>
        <w:ind w:left="537" w:right="485" w:firstLine="7"/>
        <w:jc w:val="both"/>
        <w:rPr>
          <w:sz w:val="21"/>
        </w:rPr>
      </w:pPr>
      <w:r>
        <w:rPr>
          <w:b/>
          <w:color w:val="383636"/>
          <w:w w:val="115"/>
          <w:sz w:val="21"/>
        </w:rPr>
        <w:t>A persuasive court has found that Congress intended for Title VU</w:t>
      </w:r>
      <w:r>
        <w:rPr>
          <w:b/>
          <w:color w:val="383636"/>
          <w:spacing w:val="1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not only to make discriminatory acts by both employers and their</w:t>
      </w:r>
      <w:r>
        <w:rPr>
          <w:b/>
          <w:color w:val="383636"/>
          <w:spacing w:val="1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agents actionable</w:t>
      </w:r>
      <w:r>
        <w:rPr>
          <w:b/>
          <w:color w:val="565657"/>
          <w:w w:val="115"/>
          <w:sz w:val="21"/>
        </w:rPr>
        <w:t>, </w:t>
      </w:r>
      <w:r>
        <w:rPr>
          <w:b/>
          <w:color w:val="383636"/>
          <w:w w:val="115"/>
          <w:sz w:val="21"/>
        </w:rPr>
        <w:t>but also to make "those who discriminate"-both</w:t>
      </w:r>
      <w:r>
        <w:rPr>
          <w:b/>
          <w:color w:val="383636"/>
          <w:spacing w:val="-58"/>
          <w:w w:val="115"/>
          <w:sz w:val="21"/>
        </w:rPr>
        <w:t> </w:t>
      </w:r>
      <w:r>
        <w:rPr>
          <w:color w:val="383636"/>
          <w:w w:val="115"/>
          <w:sz w:val="21"/>
        </w:rPr>
        <w:t>employers and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their </w:t>
      </w:r>
      <w:r>
        <w:rPr>
          <w:color w:val="383636"/>
          <w:w w:val="120"/>
          <w:sz w:val="21"/>
        </w:rPr>
        <w:t>agents-jointly </w:t>
      </w:r>
      <w:r>
        <w:rPr>
          <w:color w:val="383636"/>
          <w:w w:val="115"/>
          <w:sz w:val="21"/>
        </w:rPr>
        <w:t>andseverally liable for their dis­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spacing w:val="-1"/>
          <w:w w:val="115"/>
          <w:sz w:val="21"/>
        </w:rPr>
        <w:t>criminatory</w:t>
      </w:r>
      <w:r>
        <w:rPr>
          <w:color w:val="383636"/>
          <w:spacing w:val="-15"/>
          <w:w w:val="115"/>
          <w:sz w:val="21"/>
        </w:rPr>
        <w:t> </w:t>
      </w:r>
      <w:r>
        <w:rPr>
          <w:color w:val="383636"/>
          <w:spacing w:val="-1"/>
          <w:w w:val="115"/>
          <w:sz w:val="21"/>
        </w:rPr>
        <w:t>acts.</w:t>
      </w:r>
      <w:r>
        <w:rPr>
          <w:color w:val="383636"/>
          <w:spacing w:val="-27"/>
          <w:w w:val="115"/>
          <w:sz w:val="21"/>
        </w:rPr>
        <w:t> </w:t>
      </w:r>
      <w:r>
        <w:rPr>
          <w:color w:val="383636"/>
          <w:spacing w:val="-1"/>
          <w:w w:val="115"/>
          <w:sz w:val="22"/>
          <w:u w:val="thick" w:color="383636"/>
        </w:rPr>
        <w:t>Wyss</w:t>
      </w:r>
      <w:r>
        <w:rPr>
          <w:color w:val="383636"/>
          <w:spacing w:val="-10"/>
          <w:w w:val="115"/>
          <w:sz w:val="22"/>
          <w:u w:val="thick" w:color="383636"/>
        </w:rPr>
        <w:t> </w:t>
      </w:r>
      <w:r>
        <w:rPr>
          <w:color w:val="383636"/>
          <w:spacing w:val="-1"/>
          <w:w w:val="115"/>
          <w:sz w:val="21"/>
          <w:u w:val="thick" w:color="383636"/>
        </w:rPr>
        <w:t>v,</w:t>
      </w:r>
      <w:r>
        <w:rPr>
          <w:color w:val="383636"/>
          <w:spacing w:val="-13"/>
          <w:w w:val="115"/>
          <w:sz w:val="21"/>
          <w:u w:val="thick" w:color="383636"/>
        </w:rPr>
        <w:t> </w:t>
      </w:r>
      <w:r>
        <w:rPr>
          <w:color w:val="383636"/>
          <w:spacing w:val="-1"/>
          <w:w w:val="115"/>
          <w:sz w:val="20"/>
          <w:u w:val="thick" w:color="383636"/>
        </w:rPr>
        <w:t>General</w:t>
      </w:r>
      <w:r>
        <w:rPr>
          <w:color w:val="383636"/>
          <w:spacing w:val="17"/>
          <w:w w:val="115"/>
          <w:sz w:val="20"/>
          <w:u w:val="thick" w:color="383636"/>
        </w:rPr>
        <w:t> </w:t>
      </w:r>
      <w:r>
        <w:rPr>
          <w:color w:val="383636"/>
          <w:spacing w:val="-1"/>
          <w:w w:val="115"/>
          <w:sz w:val="22"/>
          <w:u w:val="thick" w:color="383636"/>
        </w:rPr>
        <w:t>Dynamics</w:t>
      </w:r>
      <w:r>
        <w:rPr>
          <w:color w:val="383636"/>
          <w:spacing w:val="-4"/>
          <w:w w:val="115"/>
          <w:sz w:val="22"/>
          <w:u w:val="thick" w:color="383636"/>
        </w:rPr>
        <w:t> </w:t>
      </w:r>
      <w:r>
        <w:rPr>
          <w:color w:val="383636"/>
          <w:w w:val="115"/>
          <w:sz w:val="20"/>
          <w:u w:val="thick" w:color="383636"/>
        </w:rPr>
        <w:t>Coi:p.</w:t>
      </w:r>
      <w:r>
        <w:rPr>
          <w:color w:val="383636"/>
          <w:w w:val="115"/>
          <w:sz w:val="20"/>
        </w:rPr>
        <w:t>.</w:t>
      </w:r>
      <w:r>
        <w:rPr>
          <w:color w:val="383636"/>
          <w:spacing w:val="2"/>
          <w:w w:val="115"/>
          <w:sz w:val="20"/>
        </w:rPr>
        <w:t> </w:t>
      </w:r>
      <w:r>
        <w:rPr>
          <w:color w:val="383636"/>
          <w:w w:val="115"/>
          <w:sz w:val="22"/>
        </w:rPr>
        <w:t>24</w:t>
      </w:r>
      <w:r>
        <w:rPr>
          <w:color w:val="383636"/>
          <w:spacing w:val="-14"/>
          <w:w w:val="115"/>
          <w:sz w:val="22"/>
        </w:rPr>
        <w:t> </w:t>
      </w:r>
      <w:r>
        <w:rPr>
          <w:color w:val="383636"/>
          <w:w w:val="115"/>
          <w:sz w:val="20"/>
        </w:rPr>
        <w:t>F</w:t>
      </w:r>
      <w:r>
        <w:rPr>
          <w:color w:val="565657"/>
          <w:w w:val="115"/>
          <w:sz w:val="20"/>
        </w:rPr>
        <w:t>.</w:t>
      </w:r>
      <w:r>
        <w:rPr>
          <w:color w:val="565657"/>
          <w:spacing w:val="-13"/>
          <w:w w:val="115"/>
          <w:sz w:val="20"/>
        </w:rPr>
        <w:t> </w:t>
      </w:r>
      <w:r>
        <w:rPr>
          <w:color w:val="383636"/>
          <w:w w:val="115"/>
          <w:sz w:val="21"/>
        </w:rPr>
        <w:t>Supp.</w:t>
      </w:r>
      <w:r>
        <w:rPr>
          <w:color w:val="383636"/>
          <w:spacing w:val="-17"/>
          <w:w w:val="115"/>
          <w:sz w:val="21"/>
        </w:rPr>
        <w:t> </w:t>
      </w:r>
      <w:r>
        <w:rPr>
          <w:color w:val="383636"/>
          <w:w w:val="115"/>
          <w:sz w:val="20"/>
        </w:rPr>
        <w:t>2d</w:t>
      </w:r>
      <w:r>
        <w:rPr>
          <w:color w:val="383636"/>
          <w:spacing w:val="4"/>
          <w:w w:val="115"/>
          <w:sz w:val="20"/>
        </w:rPr>
        <w:t> </w:t>
      </w:r>
      <w:r>
        <w:rPr>
          <w:color w:val="383636"/>
          <w:w w:val="115"/>
          <w:sz w:val="20"/>
        </w:rPr>
        <w:t>202,</w:t>
      </w:r>
      <w:r>
        <w:rPr>
          <w:color w:val="383636"/>
          <w:spacing w:val="-55"/>
          <w:w w:val="115"/>
          <w:sz w:val="20"/>
        </w:rPr>
        <w:t> </w:t>
      </w:r>
      <w:r>
        <w:rPr>
          <w:color w:val="383636"/>
          <w:w w:val="115"/>
          <w:sz w:val="20"/>
        </w:rPr>
        <w:t>206(D.R.I.</w:t>
      </w:r>
      <w:r>
        <w:rPr>
          <w:color w:val="383636"/>
          <w:spacing w:val="-9"/>
          <w:w w:val="115"/>
          <w:sz w:val="20"/>
        </w:rPr>
        <w:t> </w:t>
      </w:r>
      <w:r>
        <w:rPr>
          <w:color w:val="383636"/>
          <w:w w:val="115"/>
          <w:sz w:val="21"/>
        </w:rPr>
        <w:t>1998)</w:t>
      </w:r>
      <w:r>
        <w:rPr>
          <w:color w:val="383636"/>
          <w:spacing w:val="-7"/>
          <w:w w:val="115"/>
          <w:sz w:val="21"/>
        </w:rPr>
        <w:t> </w:t>
      </w:r>
      <w:r>
        <w:rPr>
          <w:color w:val="383636"/>
          <w:w w:val="115"/>
          <w:sz w:val="21"/>
        </w:rPr>
        <w:t>(citation</w:t>
      </w:r>
      <w:r>
        <w:rPr>
          <w:color w:val="383636"/>
          <w:spacing w:val="2"/>
          <w:w w:val="115"/>
          <w:sz w:val="21"/>
        </w:rPr>
        <w:t> </w:t>
      </w:r>
      <w:r>
        <w:rPr>
          <w:color w:val="383636"/>
          <w:w w:val="115"/>
          <w:sz w:val="21"/>
        </w:rPr>
        <w:t>omitted).</w:t>
      </w:r>
    </w:p>
    <w:p>
      <w:pPr>
        <w:pStyle w:val="BodyText"/>
        <w:spacing w:line="235" w:lineRule="auto" w:before="139"/>
        <w:ind w:left="207" w:right="101" w:hanging="6"/>
        <w:jc w:val="both"/>
      </w:pPr>
      <w:r>
        <w:rPr>
          <w:color w:val="383636"/>
          <w:w w:val="110"/>
        </w:rPr>
        <w:t>The judge or his or her clerk knows that commentators and nonauthorita­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tive</w:t>
      </w:r>
      <w:r>
        <w:rPr>
          <w:color w:val="383636"/>
          <w:spacing w:val="-37"/>
          <w:w w:val="110"/>
        </w:rPr>
        <w:t> </w:t>
      </w:r>
      <w:r>
        <w:rPr>
          <w:color w:val="383636"/>
          <w:w w:val="110"/>
        </w:rPr>
        <w:t>courts</w:t>
      </w:r>
      <w:r>
        <w:rPr>
          <w:color w:val="383636"/>
          <w:spacing w:val="-13"/>
          <w:w w:val="110"/>
        </w:rPr>
        <w:t> </w:t>
      </w:r>
      <w:r>
        <w:rPr>
          <w:color w:val="383636"/>
          <w:w w:val="110"/>
        </w:rPr>
        <w:t>are</w:t>
      </w:r>
      <w:r>
        <w:rPr>
          <w:color w:val="383636"/>
          <w:spacing w:val="-19"/>
          <w:w w:val="110"/>
        </w:rPr>
        <w:t> </w:t>
      </w:r>
      <w:r>
        <w:rPr>
          <w:color w:val="383636"/>
          <w:w w:val="110"/>
        </w:rPr>
        <w:t>only</w:t>
      </w:r>
      <w:r>
        <w:rPr>
          <w:color w:val="383636"/>
          <w:spacing w:val="-10"/>
          <w:w w:val="110"/>
        </w:rPr>
        <w:t> </w:t>
      </w:r>
      <w:r>
        <w:rPr>
          <w:color w:val="383636"/>
          <w:w w:val="110"/>
        </w:rPr>
        <w:t>persuasive</w:t>
      </w:r>
      <w:r>
        <w:rPr>
          <w:color w:val="383636"/>
          <w:spacing w:val="7"/>
          <w:w w:val="110"/>
        </w:rPr>
        <w:t> </w:t>
      </w:r>
      <w:r>
        <w:rPr>
          <w:color w:val="383636"/>
          <w:w w:val="110"/>
        </w:rPr>
        <w:t>authority.</w:t>
      </w:r>
      <w:r>
        <w:rPr>
          <w:color w:val="383636"/>
          <w:spacing w:val="-14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-6"/>
          <w:w w:val="110"/>
        </w:rPr>
        <w:t> </w:t>
      </w:r>
      <w:r>
        <w:rPr>
          <w:color w:val="383636"/>
          <w:w w:val="110"/>
        </w:rPr>
        <w:t>best</w:t>
      </w:r>
      <w:r>
        <w:rPr>
          <w:color w:val="383636"/>
          <w:spacing w:val="-20"/>
          <w:w w:val="110"/>
        </w:rPr>
        <w:t> </w:t>
      </w:r>
      <w:r>
        <w:rPr>
          <w:color w:val="383636"/>
          <w:w w:val="110"/>
        </w:rPr>
        <w:t>way</w:t>
      </w:r>
      <w:r>
        <w:rPr>
          <w:color w:val="383636"/>
          <w:spacing w:val="2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20"/>
          <w:w w:val="110"/>
        </w:rPr>
        <w:t> </w:t>
      </w:r>
      <w:r>
        <w:rPr>
          <w:color w:val="383636"/>
          <w:w w:val="110"/>
        </w:rPr>
        <w:t>make</w:t>
      </w:r>
      <w:r>
        <w:rPr>
          <w:color w:val="383636"/>
          <w:spacing w:val="-15"/>
          <w:w w:val="110"/>
        </w:rPr>
        <w:t> </w:t>
      </w:r>
      <w:r>
        <w:rPr>
          <w:color w:val="383636"/>
          <w:w w:val="110"/>
        </w:rPr>
        <w:t>them</w:t>
      </w:r>
      <w:r>
        <w:rPr>
          <w:color w:val="383636"/>
          <w:spacing w:val="-3"/>
          <w:w w:val="110"/>
        </w:rPr>
        <w:t> </w:t>
      </w:r>
      <w:r>
        <w:rPr>
          <w:color w:val="383636"/>
          <w:w w:val="110"/>
        </w:rPr>
        <w:t>aware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of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nonauthoritative nature of the statement is to succinctly reveal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source in text</w:t>
      </w:r>
      <w:r>
        <w:rPr>
          <w:color w:val="565657"/>
          <w:w w:val="110"/>
        </w:rPr>
        <w:t>. </w:t>
      </w:r>
      <w:r>
        <w:rPr>
          <w:color w:val="383636"/>
          <w:w w:val="110"/>
        </w:rPr>
        <w:t>If possible, you should also give the court a reason to find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value</w:t>
      </w:r>
      <w:r>
        <w:rPr>
          <w:color w:val="383636"/>
          <w:spacing w:val="-20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3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40"/>
          <w:w w:val="110"/>
        </w:rPr>
        <w:t> </w:t>
      </w:r>
      <w:r>
        <w:rPr>
          <w:color w:val="383636"/>
          <w:w w:val="110"/>
        </w:rPr>
        <w:t>statement:</w:t>
      </w:r>
    </w:p>
    <w:p>
      <w:pPr>
        <w:pStyle w:val="BodyText"/>
        <w:spacing w:before="6"/>
        <w:rPr>
          <w:sz w:val="16"/>
        </w:rPr>
      </w:pPr>
    </w:p>
    <w:p>
      <w:pPr>
        <w:tabs>
          <w:tab w:pos="423" w:val="left" w:leader="none"/>
        </w:tabs>
        <w:spacing w:before="0"/>
        <w:ind w:left="101" w:right="0" w:firstLine="0"/>
        <w:jc w:val="left"/>
        <w:rPr>
          <w:sz w:val="15"/>
        </w:rPr>
      </w:pPr>
      <w:r>
        <w:rPr>
          <w:color w:val="565657"/>
          <w:w w:val="100"/>
          <w:sz w:val="15"/>
          <w:u w:val="thick" w:color="676969"/>
        </w:rPr>
        <w:t> </w:t>
      </w:r>
      <w:r>
        <w:rPr>
          <w:color w:val="565657"/>
          <w:sz w:val="15"/>
          <w:u w:val="thick" w:color="676969"/>
        </w:rPr>
        <w:tab/>
      </w:r>
      <w:r>
        <w:rPr>
          <w:color w:val="565657"/>
          <w:sz w:val="15"/>
        </w:rPr>
        <w:t>   </w:t>
      </w:r>
      <w:r>
        <w:rPr>
          <w:color w:val="565657"/>
          <w:spacing w:val="7"/>
          <w:sz w:val="15"/>
        </w:rPr>
        <w:t> </w:t>
      </w:r>
      <w:r>
        <w:rPr>
          <w:color w:val="565657"/>
          <w:w w:val="105"/>
          <w:sz w:val="15"/>
          <w:u w:val="thick" w:color="676969"/>
        </w:rPr>
        <w:t>G</w:t>
      </w:r>
      <w:r>
        <w:rPr>
          <w:color w:val="383636"/>
          <w:w w:val="105"/>
          <w:sz w:val="15"/>
          <w:u w:val="thick" w:color="676969"/>
        </w:rPr>
        <w:t>O</w:t>
      </w:r>
      <w:r>
        <w:rPr>
          <w:color w:val="565657"/>
          <w:w w:val="105"/>
          <w:sz w:val="15"/>
          <w:u w:val="thick" w:color="676969"/>
        </w:rPr>
        <w:t>OD</w:t>
      </w:r>
      <w:r>
        <w:rPr>
          <w:color w:val="565657"/>
          <w:spacing w:val="5"/>
          <w:w w:val="105"/>
          <w:sz w:val="15"/>
          <w:u w:val="thick" w:color="676969"/>
        </w:rPr>
        <w:t> </w:t>
      </w:r>
      <w:r>
        <w:rPr>
          <w:color w:val="676969"/>
          <w:w w:val="105"/>
          <w:sz w:val="15"/>
          <w:u w:val="thick" w:color="676969"/>
        </w:rPr>
        <w:t>EXAM</w:t>
      </w:r>
      <w:r>
        <w:rPr>
          <w:color w:val="383636"/>
          <w:w w:val="105"/>
          <w:sz w:val="15"/>
          <w:u w:val="thick" w:color="676969"/>
        </w:rPr>
        <w:t>P</w:t>
      </w:r>
      <w:r>
        <w:rPr>
          <w:color w:val="676969"/>
          <w:w w:val="105"/>
          <w:sz w:val="15"/>
          <w:u w:val="thick" w:color="676969"/>
        </w:rPr>
        <w:t>LES</w:t>
      </w:r>
    </w:p>
    <w:p>
      <w:pPr>
        <w:tabs>
          <w:tab w:pos="4941" w:val="left" w:leader="none"/>
          <w:tab w:pos="7542" w:val="left" w:leader="none"/>
        </w:tabs>
        <w:spacing w:line="228" w:lineRule="auto" w:before="109"/>
        <w:ind w:left="539" w:right="337" w:firstLine="9"/>
        <w:jc w:val="left"/>
        <w:rPr>
          <w:sz w:val="20"/>
        </w:rPr>
      </w:pPr>
      <w:r>
        <w:rPr>
          <w:b/>
          <w:color w:val="383636"/>
          <w:w w:val="110"/>
          <w:sz w:val="21"/>
        </w:rPr>
        <w:t>One commentator has argued that refusing to allow individual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liabil­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ity for supervisors under Title VII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is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"manifestly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inconsistent"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with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05"/>
          <w:sz w:val="21"/>
        </w:rPr>
        <w:t>Title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VII's "underlying  rationale and  primary  goals</w:t>
      </w:r>
      <w:r>
        <w:rPr>
          <w:b/>
          <w:color w:val="565657"/>
          <w:w w:val="105"/>
          <w:sz w:val="21"/>
        </w:rPr>
        <w:t>.</w:t>
      </w:r>
      <w:r>
        <w:rPr>
          <w:b/>
          <w:color w:val="383636"/>
          <w:w w:val="105"/>
          <w:sz w:val="21"/>
        </w:rPr>
        <w:t>" Tracy  L. Gonos,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color w:val="383636"/>
          <w:w w:val="110"/>
          <w:sz w:val="22"/>
          <w:u w:val="thick" w:color="383636"/>
        </w:rPr>
        <w:t>A</w:t>
      </w:r>
      <w:r>
        <w:rPr>
          <w:color w:val="383636"/>
          <w:spacing w:val="15"/>
          <w:w w:val="110"/>
          <w:sz w:val="22"/>
          <w:u w:val="thick" w:color="383636"/>
        </w:rPr>
        <w:t> </w:t>
      </w:r>
      <w:r>
        <w:rPr>
          <w:color w:val="383636"/>
          <w:w w:val="110"/>
          <w:sz w:val="22"/>
          <w:u w:val="thick" w:color="383636"/>
        </w:rPr>
        <w:t>Policy</w:t>
      </w:r>
      <w:r>
        <w:rPr>
          <w:color w:val="383636"/>
          <w:spacing w:val="37"/>
          <w:w w:val="110"/>
          <w:sz w:val="22"/>
          <w:u w:val="thick" w:color="383636"/>
        </w:rPr>
        <w:t> </w:t>
      </w:r>
      <w:r>
        <w:rPr>
          <w:color w:val="383636"/>
          <w:w w:val="110"/>
          <w:sz w:val="22"/>
          <w:u w:val="thick" w:color="383636"/>
        </w:rPr>
        <w:t>Analysis</w:t>
      </w:r>
      <w:r>
        <w:rPr>
          <w:color w:val="383636"/>
          <w:spacing w:val="33"/>
          <w:w w:val="110"/>
          <w:sz w:val="22"/>
          <w:u w:val="thick" w:color="383636"/>
        </w:rPr>
        <w:t> </w:t>
      </w:r>
      <w:r>
        <w:rPr>
          <w:color w:val="383636"/>
          <w:w w:val="110"/>
          <w:sz w:val="22"/>
          <w:u w:val="thick" w:color="383636"/>
        </w:rPr>
        <w:t>of </w:t>
      </w:r>
      <w:r>
        <w:rPr>
          <w:color w:val="383636"/>
          <w:spacing w:val="8"/>
          <w:w w:val="110"/>
          <w:sz w:val="22"/>
          <w:u w:val="thick" w:color="383636"/>
        </w:rPr>
        <w:t> </w:t>
      </w:r>
      <w:r>
        <w:rPr>
          <w:color w:val="383636"/>
          <w:w w:val="110"/>
          <w:sz w:val="22"/>
          <w:u w:val="thick" w:color="383636"/>
        </w:rPr>
        <w:t>Individual </w:t>
      </w:r>
      <w:r>
        <w:rPr>
          <w:color w:val="383636"/>
          <w:spacing w:val="23"/>
          <w:w w:val="110"/>
          <w:sz w:val="22"/>
          <w:u w:val="thick" w:color="383636"/>
        </w:rPr>
        <w:t> </w:t>
      </w:r>
      <w:r>
        <w:rPr>
          <w:color w:val="383636"/>
          <w:w w:val="110"/>
          <w:sz w:val="22"/>
          <w:u w:val="thick" w:color="383636"/>
        </w:rPr>
        <w:t>Uability</w:t>
      </w:r>
      <w:r>
        <w:rPr>
          <w:color w:val="383636"/>
          <w:w w:val="110"/>
          <w:sz w:val="22"/>
        </w:rPr>
        <w:tab/>
      </w:r>
      <w:r>
        <w:rPr>
          <w:color w:val="383636"/>
          <w:w w:val="110"/>
          <w:sz w:val="22"/>
          <w:u w:val="thick" w:color="383636"/>
        </w:rPr>
        <w:t>The</w:t>
      </w:r>
      <w:r>
        <w:rPr>
          <w:color w:val="383636"/>
          <w:spacing w:val="10"/>
          <w:w w:val="110"/>
          <w:sz w:val="22"/>
          <w:u w:val="thick" w:color="383636"/>
        </w:rPr>
        <w:t> </w:t>
      </w:r>
      <w:r>
        <w:rPr>
          <w:color w:val="383636"/>
          <w:w w:val="110"/>
          <w:sz w:val="22"/>
          <w:u w:val="thick" w:color="383636"/>
        </w:rPr>
        <w:t>Case</w:t>
      </w:r>
      <w:r>
        <w:rPr>
          <w:color w:val="383636"/>
          <w:spacing w:val="12"/>
          <w:w w:val="110"/>
          <w:sz w:val="22"/>
          <w:u w:val="thick" w:color="383636"/>
        </w:rPr>
        <w:t> </w:t>
      </w:r>
      <w:r>
        <w:rPr>
          <w:color w:val="383636"/>
          <w:w w:val="110"/>
          <w:sz w:val="22"/>
          <w:u w:val="thick" w:color="383636"/>
        </w:rPr>
        <w:t>for</w:t>
      </w:r>
      <w:r>
        <w:rPr>
          <w:color w:val="383636"/>
          <w:spacing w:val="29"/>
          <w:w w:val="110"/>
          <w:sz w:val="22"/>
          <w:u w:val="thick" w:color="383636"/>
        </w:rPr>
        <w:t> </w:t>
      </w:r>
      <w:r>
        <w:rPr>
          <w:color w:val="383636"/>
          <w:w w:val="110"/>
          <w:sz w:val="22"/>
          <w:u w:val="thick" w:color="383636"/>
        </w:rPr>
        <w:t>Amending</w:t>
      </w:r>
      <w:r>
        <w:rPr>
          <w:color w:val="383636"/>
          <w:sz w:val="22"/>
          <w:u w:val="thick" w:color="383636"/>
        </w:rPr>
        <w:tab/>
      </w:r>
      <w:r>
        <w:rPr>
          <w:color w:val="383636"/>
          <w:sz w:val="22"/>
        </w:rPr>
        <w:t> </w:t>
      </w:r>
      <w:r>
        <w:rPr>
          <w:color w:val="383636"/>
          <w:w w:val="110"/>
          <w:sz w:val="22"/>
          <w:u w:val="thick" w:color="383636"/>
        </w:rPr>
        <w:t>Title</w:t>
      </w:r>
      <w:r>
        <w:rPr>
          <w:color w:val="383636"/>
          <w:spacing w:val="1"/>
          <w:w w:val="110"/>
          <w:sz w:val="22"/>
          <w:u w:val="thick" w:color="383636"/>
        </w:rPr>
        <w:t> </w:t>
      </w:r>
      <w:r>
        <w:rPr>
          <w:color w:val="383636"/>
          <w:w w:val="110"/>
          <w:sz w:val="22"/>
          <w:u w:val="thick" w:color="383636"/>
        </w:rPr>
        <w:t>VII</w:t>
      </w:r>
      <w:r>
        <w:rPr>
          <w:color w:val="383636"/>
          <w:spacing w:val="1"/>
          <w:w w:val="110"/>
          <w:sz w:val="22"/>
          <w:u w:val="thick" w:color="383636"/>
        </w:rPr>
        <w:t> </w:t>
      </w:r>
      <w:r>
        <w:rPr>
          <w:color w:val="383636"/>
          <w:w w:val="110"/>
          <w:sz w:val="22"/>
          <w:u w:val="thick" w:color="383636"/>
        </w:rPr>
        <w:t>to</w:t>
      </w:r>
      <w:r>
        <w:rPr>
          <w:color w:val="383636"/>
          <w:spacing w:val="1"/>
          <w:w w:val="110"/>
          <w:sz w:val="22"/>
          <w:u w:val="thick" w:color="383636"/>
        </w:rPr>
        <w:t> </w:t>
      </w:r>
      <w:r>
        <w:rPr>
          <w:color w:val="383636"/>
          <w:w w:val="110"/>
          <w:sz w:val="22"/>
          <w:u w:val="thick" w:color="383636"/>
        </w:rPr>
        <w:t>Hold</w:t>
      </w:r>
      <w:r>
        <w:rPr>
          <w:color w:val="383636"/>
          <w:spacing w:val="1"/>
          <w:w w:val="110"/>
          <w:sz w:val="22"/>
          <w:u w:val="thick" w:color="383636"/>
        </w:rPr>
        <w:t> </w:t>
      </w:r>
      <w:r>
        <w:rPr>
          <w:color w:val="383636"/>
          <w:w w:val="110"/>
          <w:sz w:val="22"/>
          <w:u w:val="thick" w:color="383636"/>
        </w:rPr>
        <w:t>Individuals</w:t>
      </w:r>
      <w:r>
        <w:rPr>
          <w:color w:val="383636"/>
          <w:spacing w:val="1"/>
          <w:w w:val="110"/>
          <w:sz w:val="22"/>
          <w:u w:val="thick" w:color="383636"/>
        </w:rPr>
        <w:t> </w:t>
      </w:r>
      <w:r>
        <w:rPr>
          <w:color w:val="383636"/>
          <w:w w:val="110"/>
          <w:sz w:val="22"/>
          <w:u w:val="thick" w:color="383636"/>
        </w:rPr>
        <w:t>Personally</w:t>
      </w:r>
      <w:r>
        <w:rPr>
          <w:color w:val="383636"/>
          <w:spacing w:val="1"/>
          <w:w w:val="110"/>
          <w:sz w:val="22"/>
          <w:u w:val="thick" w:color="383636"/>
        </w:rPr>
        <w:t> </w:t>
      </w:r>
      <w:r>
        <w:rPr>
          <w:color w:val="383636"/>
          <w:w w:val="110"/>
          <w:sz w:val="22"/>
          <w:u w:val="thick" w:color="383636"/>
        </w:rPr>
        <w:t>Liable</w:t>
      </w:r>
      <w:r>
        <w:rPr>
          <w:color w:val="383636"/>
          <w:spacing w:val="1"/>
          <w:w w:val="110"/>
          <w:sz w:val="22"/>
          <w:u w:val="thick" w:color="383636"/>
        </w:rPr>
        <w:t> </w:t>
      </w:r>
      <w:r>
        <w:rPr>
          <w:color w:val="383636"/>
          <w:w w:val="110"/>
          <w:sz w:val="22"/>
          <w:u w:val="thick" w:color="383636"/>
        </w:rPr>
        <w:t>for</w:t>
      </w:r>
      <w:r>
        <w:rPr>
          <w:color w:val="383636"/>
          <w:spacing w:val="1"/>
          <w:w w:val="110"/>
          <w:sz w:val="22"/>
          <w:u w:val="thick" w:color="383636"/>
        </w:rPr>
        <w:t> </w:t>
      </w:r>
      <w:r>
        <w:rPr>
          <w:color w:val="383636"/>
          <w:w w:val="110"/>
          <w:sz w:val="22"/>
          <w:u w:val="thick" w:color="383636"/>
        </w:rPr>
        <w:t>Their</w:t>
      </w:r>
      <w:r>
        <w:rPr>
          <w:color w:val="383636"/>
          <w:spacing w:val="1"/>
          <w:w w:val="110"/>
          <w:sz w:val="22"/>
          <w:u w:val="thick" w:color="383636"/>
        </w:rPr>
        <w:t> </w:t>
      </w:r>
      <w:r>
        <w:rPr>
          <w:color w:val="383636"/>
          <w:w w:val="110"/>
          <w:sz w:val="22"/>
          <w:u w:val="thick" w:color="383636"/>
        </w:rPr>
        <w:t>Illegal</w:t>
      </w:r>
      <w:r>
        <w:rPr>
          <w:color w:val="383636"/>
          <w:spacing w:val="1"/>
          <w:w w:val="110"/>
          <w:sz w:val="22"/>
        </w:rPr>
        <w:t> </w:t>
      </w:r>
      <w:r>
        <w:rPr>
          <w:color w:val="383636"/>
          <w:w w:val="110"/>
          <w:sz w:val="22"/>
          <w:u w:val="thick" w:color="383636"/>
        </w:rPr>
        <w:t>Discriminatory</w:t>
      </w:r>
      <w:r>
        <w:rPr>
          <w:color w:val="383636"/>
          <w:spacing w:val="4"/>
          <w:w w:val="110"/>
          <w:sz w:val="22"/>
          <w:u w:val="thick" w:color="383636"/>
        </w:rPr>
        <w:t> </w:t>
      </w:r>
      <w:r>
        <w:rPr>
          <w:color w:val="383636"/>
          <w:w w:val="110"/>
          <w:sz w:val="22"/>
          <w:u w:val="thick" w:color="383636"/>
        </w:rPr>
        <w:t>Actions,</w:t>
      </w:r>
      <w:r>
        <w:rPr>
          <w:color w:val="383636"/>
          <w:spacing w:val="37"/>
          <w:w w:val="110"/>
          <w:sz w:val="22"/>
        </w:rPr>
        <w:t> </w:t>
      </w:r>
      <w:r>
        <w:rPr>
          <w:color w:val="383636"/>
          <w:w w:val="110"/>
          <w:sz w:val="20"/>
        </w:rPr>
        <w:t>2</w:t>
      </w:r>
      <w:r>
        <w:rPr>
          <w:color w:val="383636"/>
          <w:spacing w:val="43"/>
          <w:w w:val="110"/>
          <w:sz w:val="20"/>
        </w:rPr>
        <w:t> </w:t>
      </w:r>
      <w:r>
        <w:rPr>
          <w:color w:val="383636"/>
          <w:w w:val="110"/>
          <w:sz w:val="20"/>
        </w:rPr>
        <w:t>N.Y</w:t>
      </w:r>
      <w:r>
        <w:rPr>
          <w:color w:val="565657"/>
          <w:w w:val="110"/>
          <w:sz w:val="20"/>
        </w:rPr>
        <w:t>.</w:t>
      </w:r>
      <w:r>
        <w:rPr>
          <w:color w:val="383636"/>
          <w:w w:val="110"/>
          <w:sz w:val="20"/>
        </w:rPr>
        <w:t>U.J.</w:t>
      </w:r>
      <w:r>
        <w:rPr>
          <w:color w:val="383636"/>
          <w:spacing w:val="21"/>
          <w:w w:val="110"/>
          <w:sz w:val="20"/>
        </w:rPr>
        <w:t> </w:t>
      </w:r>
      <w:r>
        <w:rPr>
          <w:color w:val="383636"/>
          <w:w w:val="110"/>
          <w:sz w:val="21"/>
        </w:rPr>
        <w:t>Legis.</w:t>
      </w:r>
      <w:r>
        <w:rPr>
          <w:color w:val="383636"/>
          <w:spacing w:val="9"/>
          <w:w w:val="110"/>
          <w:sz w:val="21"/>
        </w:rPr>
        <w:t> </w:t>
      </w:r>
      <w:r>
        <w:rPr>
          <w:color w:val="383636"/>
          <w:w w:val="110"/>
          <w:sz w:val="19"/>
        </w:rPr>
        <w:t>&amp;</w:t>
      </w:r>
      <w:r>
        <w:rPr>
          <w:color w:val="383636"/>
          <w:spacing w:val="2"/>
          <w:w w:val="110"/>
          <w:sz w:val="19"/>
        </w:rPr>
        <w:t> </w:t>
      </w:r>
      <w:r>
        <w:rPr>
          <w:color w:val="383636"/>
          <w:w w:val="110"/>
          <w:sz w:val="20"/>
        </w:rPr>
        <w:t>Pub.</w:t>
      </w:r>
      <w:r>
        <w:rPr>
          <w:color w:val="383636"/>
          <w:spacing w:val="20"/>
          <w:w w:val="110"/>
          <w:sz w:val="20"/>
        </w:rPr>
        <w:t> </w:t>
      </w:r>
      <w:r>
        <w:rPr>
          <w:color w:val="383636"/>
          <w:w w:val="110"/>
          <w:sz w:val="21"/>
        </w:rPr>
        <w:t>Poly.</w:t>
      </w:r>
      <w:r>
        <w:rPr>
          <w:color w:val="383636"/>
          <w:spacing w:val="7"/>
          <w:w w:val="110"/>
          <w:sz w:val="21"/>
        </w:rPr>
        <w:t> </w:t>
      </w:r>
      <w:r>
        <w:rPr>
          <w:color w:val="383636"/>
          <w:w w:val="110"/>
          <w:sz w:val="20"/>
        </w:rPr>
        <w:t>265</w:t>
      </w:r>
      <w:r>
        <w:rPr>
          <w:color w:val="565657"/>
          <w:w w:val="110"/>
          <w:sz w:val="20"/>
        </w:rPr>
        <w:t>,</w:t>
      </w:r>
      <w:r>
        <w:rPr>
          <w:color w:val="383636"/>
          <w:w w:val="110"/>
          <w:sz w:val="20"/>
        </w:rPr>
        <w:t>270</w:t>
      </w:r>
      <w:r>
        <w:rPr>
          <w:color w:val="383636"/>
          <w:spacing w:val="14"/>
          <w:w w:val="110"/>
          <w:sz w:val="20"/>
        </w:rPr>
        <w:t> </w:t>
      </w:r>
      <w:r>
        <w:rPr>
          <w:color w:val="383636"/>
          <w:w w:val="110"/>
          <w:sz w:val="22"/>
        </w:rPr>
        <w:t>0</w:t>
      </w:r>
      <w:r>
        <w:rPr>
          <w:color w:val="383636"/>
          <w:w w:val="110"/>
          <w:position w:val="-4"/>
          <w:sz w:val="20"/>
        </w:rPr>
        <w:t>998</w:t>
      </w:r>
      <w:r>
        <w:rPr>
          <w:color w:val="565657"/>
          <w:w w:val="110"/>
          <w:sz w:val="20"/>
        </w:rPr>
        <w:t>_</w:t>
      </w:r>
    </w:p>
    <w:p>
      <w:pPr>
        <w:spacing w:line="182" w:lineRule="exact" w:before="0"/>
        <w:ind w:left="551" w:right="0" w:firstLine="0"/>
        <w:jc w:val="left"/>
        <w:rPr>
          <w:sz w:val="21"/>
        </w:rPr>
      </w:pPr>
      <w:r>
        <w:rPr>
          <w:color w:val="383636"/>
          <w:w w:val="120"/>
          <w:sz w:val="21"/>
        </w:rPr>
        <w:t>1999).</w:t>
      </w:r>
      <w:r>
        <w:rPr>
          <w:color w:val="383636"/>
          <w:spacing w:val="-25"/>
          <w:w w:val="120"/>
          <w:sz w:val="21"/>
        </w:rPr>
        <w:t> </w:t>
      </w:r>
      <w:r>
        <w:rPr>
          <w:color w:val="383636"/>
          <w:w w:val="120"/>
          <w:sz w:val="21"/>
        </w:rPr>
        <w:t>Title</w:t>
      </w:r>
      <w:r>
        <w:rPr>
          <w:color w:val="383636"/>
          <w:spacing w:val="5"/>
          <w:w w:val="120"/>
          <w:sz w:val="21"/>
        </w:rPr>
        <w:t> </w:t>
      </w:r>
      <w:r>
        <w:rPr>
          <w:color w:val="383636"/>
          <w:w w:val="120"/>
          <w:sz w:val="21"/>
        </w:rPr>
        <w:t>VII's</w:t>
      </w:r>
      <w:r>
        <w:rPr>
          <w:color w:val="383636"/>
          <w:spacing w:val="-4"/>
          <w:w w:val="120"/>
          <w:sz w:val="21"/>
        </w:rPr>
        <w:t> </w:t>
      </w:r>
      <w:r>
        <w:rPr>
          <w:color w:val="383636"/>
          <w:w w:val="120"/>
          <w:sz w:val="21"/>
        </w:rPr>
        <w:t>underlying</w:t>
      </w:r>
      <w:r>
        <w:rPr>
          <w:color w:val="383636"/>
          <w:spacing w:val="10"/>
          <w:w w:val="120"/>
          <w:sz w:val="21"/>
        </w:rPr>
        <w:t> </w:t>
      </w:r>
      <w:r>
        <w:rPr>
          <w:color w:val="383636"/>
          <w:w w:val="120"/>
          <w:sz w:val="21"/>
        </w:rPr>
        <w:t>rationale</w:t>
      </w:r>
      <w:r>
        <w:rPr>
          <w:color w:val="383636"/>
          <w:spacing w:val="9"/>
          <w:w w:val="120"/>
          <w:sz w:val="21"/>
        </w:rPr>
        <w:t> </w:t>
      </w:r>
      <w:r>
        <w:rPr>
          <w:color w:val="383636"/>
          <w:w w:val="120"/>
          <w:sz w:val="21"/>
        </w:rPr>
        <w:t>is</w:t>
      </w:r>
      <w:r>
        <w:rPr>
          <w:color w:val="383636"/>
          <w:spacing w:val="-8"/>
          <w:w w:val="120"/>
          <w:sz w:val="21"/>
        </w:rPr>
        <w:t> </w:t>
      </w:r>
      <w:r>
        <w:rPr>
          <w:color w:val="383636"/>
          <w:w w:val="120"/>
          <w:sz w:val="21"/>
        </w:rPr>
        <w:t>revealed</w:t>
      </w:r>
      <w:r>
        <w:rPr>
          <w:color w:val="383636"/>
          <w:spacing w:val="19"/>
          <w:w w:val="120"/>
          <w:sz w:val="21"/>
        </w:rPr>
        <w:t> </w:t>
      </w:r>
      <w:r>
        <w:rPr>
          <w:color w:val="383636"/>
          <w:w w:val="120"/>
          <w:sz w:val="21"/>
        </w:rPr>
        <w:t>in</w:t>
      </w:r>
      <w:r>
        <w:rPr>
          <w:color w:val="383636"/>
          <w:spacing w:val="18"/>
          <w:w w:val="120"/>
          <w:sz w:val="21"/>
        </w:rPr>
        <w:t> </w:t>
      </w:r>
      <w:r>
        <w:rPr>
          <w:color w:val="383636"/>
          <w:w w:val="120"/>
          <w:sz w:val="21"/>
        </w:rPr>
        <w:t>Section....</w:t>
      </w:r>
    </w:p>
    <w:p>
      <w:pPr>
        <w:spacing w:after="0" w:line="182" w:lineRule="exact"/>
        <w:jc w:val="left"/>
        <w:rPr>
          <w:sz w:val="21"/>
        </w:rPr>
        <w:sectPr>
          <w:pgSz w:w="9520" w:h="13760"/>
          <w:pgMar w:header="597" w:footer="0" w:top="1180" w:bottom="280" w:left="340" w:right="1280"/>
        </w:sectPr>
      </w:pPr>
    </w:p>
    <w:p>
      <w:pPr>
        <w:spacing w:line="237" w:lineRule="auto" w:before="84"/>
        <w:ind w:left="1191" w:right="360" w:firstLine="15"/>
        <w:jc w:val="both"/>
        <w:rPr>
          <w:sz w:val="23"/>
        </w:rPr>
      </w:pPr>
      <w:r>
        <w:rPr>
          <w:color w:val="3A3838"/>
          <w:w w:val="115"/>
          <w:sz w:val="20"/>
        </w:rPr>
        <w:t>Another district court in </w:t>
      </w:r>
      <w:r>
        <w:rPr>
          <w:rFonts w:ascii="Arial"/>
          <w:i/>
          <w:color w:val="3A3838"/>
          <w:w w:val="115"/>
          <w:sz w:val="19"/>
        </w:rPr>
        <w:t>the </w:t>
      </w:r>
      <w:r>
        <w:rPr>
          <w:color w:val="3A3838"/>
          <w:w w:val="115"/>
          <w:sz w:val="20"/>
        </w:rPr>
        <w:t>First Circuit has faced thissame issue and</w:t>
      </w:r>
      <w:r>
        <w:rPr>
          <w:color w:val="3A3838"/>
          <w:spacing w:val="1"/>
          <w:w w:val="115"/>
          <w:sz w:val="20"/>
        </w:rPr>
        <w:t> </w:t>
      </w:r>
      <w:r>
        <w:rPr>
          <w:color w:val="3A3838"/>
          <w:w w:val="120"/>
          <w:sz w:val="20"/>
        </w:rPr>
        <w:t>agreed that Congress intended to make discriminatory acts by both</w:t>
      </w:r>
      <w:r>
        <w:rPr>
          <w:color w:val="3A3838"/>
          <w:spacing w:val="1"/>
          <w:w w:val="120"/>
          <w:sz w:val="20"/>
        </w:rPr>
        <w:t> </w:t>
      </w:r>
      <w:r>
        <w:rPr>
          <w:color w:val="3A3838"/>
          <w:spacing w:val="-1"/>
          <w:w w:val="115"/>
          <w:sz w:val="20"/>
        </w:rPr>
        <w:t>employers</w:t>
      </w:r>
      <w:r>
        <w:rPr>
          <w:color w:val="3A3838"/>
          <w:spacing w:val="-15"/>
          <w:w w:val="115"/>
          <w:sz w:val="20"/>
        </w:rPr>
        <w:t> </w:t>
      </w:r>
      <w:r>
        <w:rPr>
          <w:color w:val="3A3838"/>
          <w:w w:val="115"/>
          <w:sz w:val="20"/>
        </w:rPr>
        <w:t>and</w:t>
      </w:r>
      <w:r>
        <w:rPr>
          <w:color w:val="3A3838"/>
          <w:spacing w:val="19"/>
          <w:w w:val="115"/>
          <w:sz w:val="20"/>
        </w:rPr>
        <w:t> </w:t>
      </w:r>
      <w:r>
        <w:rPr>
          <w:color w:val="3A3838"/>
          <w:w w:val="115"/>
          <w:sz w:val="20"/>
        </w:rPr>
        <w:t>theiragents</w:t>
      </w:r>
      <w:r>
        <w:rPr>
          <w:color w:val="3A3838"/>
          <w:spacing w:val="-36"/>
          <w:w w:val="115"/>
          <w:sz w:val="20"/>
        </w:rPr>
        <w:t> </w:t>
      </w:r>
      <w:r>
        <w:rPr>
          <w:color w:val="3A3838"/>
          <w:w w:val="115"/>
          <w:sz w:val="20"/>
        </w:rPr>
        <w:t>actionable</w:t>
      </w:r>
      <w:r>
        <w:rPr>
          <w:color w:val="3A3838"/>
          <w:spacing w:val="-8"/>
          <w:w w:val="115"/>
          <w:sz w:val="20"/>
        </w:rPr>
        <w:t> </w:t>
      </w:r>
      <w:r>
        <w:rPr>
          <w:color w:val="3A3838"/>
          <w:w w:val="115"/>
          <w:sz w:val="20"/>
        </w:rPr>
        <w:t>under</w:t>
      </w:r>
      <w:r>
        <w:rPr>
          <w:color w:val="3A3838"/>
          <w:spacing w:val="-33"/>
          <w:w w:val="115"/>
          <w:sz w:val="20"/>
        </w:rPr>
        <w:t> </w:t>
      </w:r>
      <w:r>
        <w:rPr>
          <w:color w:val="3A3838"/>
          <w:w w:val="115"/>
          <w:sz w:val="20"/>
        </w:rPr>
        <w:t>Title</w:t>
      </w:r>
      <w:r>
        <w:rPr>
          <w:color w:val="3A3838"/>
          <w:spacing w:val="-24"/>
          <w:w w:val="115"/>
          <w:sz w:val="20"/>
        </w:rPr>
        <w:t> </w:t>
      </w:r>
      <w:r>
        <w:rPr>
          <w:color w:val="3A3838"/>
          <w:w w:val="115"/>
          <w:sz w:val="20"/>
        </w:rPr>
        <w:t>VII.</w:t>
      </w:r>
      <w:r>
        <w:rPr>
          <w:color w:val="3A3838"/>
          <w:spacing w:val="-31"/>
          <w:w w:val="115"/>
          <w:sz w:val="20"/>
        </w:rPr>
        <w:t> </w:t>
      </w:r>
      <w:r>
        <w:rPr>
          <w:color w:val="3A3838"/>
          <w:w w:val="115"/>
          <w:sz w:val="21"/>
          <w:u w:val="thick" w:color="3A3838"/>
        </w:rPr>
        <w:t>Wyss</w:t>
      </w:r>
      <w:r>
        <w:rPr>
          <w:color w:val="3A3838"/>
          <w:spacing w:val="-18"/>
          <w:w w:val="115"/>
          <w:sz w:val="21"/>
          <w:u w:val="thick" w:color="3A3838"/>
        </w:rPr>
        <w:t> </w:t>
      </w:r>
      <w:r>
        <w:rPr>
          <w:color w:val="3A3838"/>
          <w:w w:val="115"/>
          <w:sz w:val="20"/>
          <w:u w:val="thick" w:color="3A3838"/>
        </w:rPr>
        <w:t>v.</w:t>
      </w:r>
      <w:r>
        <w:rPr>
          <w:color w:val="3A3838"/>
          <w:spacing w:val="-9"/>
          <w:w w:val="115"/>
          <w:sz w:val="20"/>
          <w:u w:val="thick" w:color="3A3838"/>
        </w:rPr>
        <w:t> </w:t>
      </w:r>
      <w:r>
        <w:rPr>
          <w:color w:val="3A3838"/>
          <w:w w:val="115"/>
          <w:sz w:val="23"/>
          <w:u w:val="thick" w:color="3A3838"/>
        </w:rPr>
        <w:t>General</w:t>
      </w:r>
    </w:p>
    <w:p>
      <w:pPr>
        <w:spacing w:line="232" w:lineRule="exact" w:before="0"/>
        <w:ind w:left="1194" w:right="0" w:firstLine="0"/>
        <w:jc w:val="both"/>
        <w:rPr>
          <w:sz w:val="20"/>
        </w:rPr>
      </w:pPr>
      <w:r>
        <w:rPr>
          <w:color w:val="3A3838"/>
          <w:w w:val="110"/>
          <w:sz w:val="24"/>
          <w:u w:val="thick" w:color="3A3838"/>
        </w:rPr>
        <w:t>Dynamics</w:t>
      </w:r>
      <w:r>
        <w:rPr>
          <w:color w:val="3A3838"/>
          <w:spacing w:val="-9"/>
          <w:w w:val="110"/>
          <w:sz w:val="24"/>
          <w:u w:val="thick" w:color="3A3838"/>
        </w:rPr>
        <w:t> </w:t>
      </w:r>
      <w:r>
        <w:rPr>
          <w:color w:val="3A3838"/>
          <w:w w:val="110"/>
          <w:sz w:val="24"/>
          <w:u w:val="thick" w:color="3A3838"/>
        </w:rPr>
        <w:t>Corp.</w:t>
      </w:r>
      <w:r>
        <w:rPr>
          <w:color w:val="3A3838"/>
          <w:w w:val="110"/>
          <w:sz w:val="24"/>
        </w:rPr>
        <w:t>.</w:t>
      </w:r>
      <w:r>
        <w:rPr>
          <w:color w:val="3A3838"/>
          <w:spacing w:val="-20"/>
          <w:w w:val="110"/>
          <w:sz w:val="24"/>
        </w:rPr>
        <w:t> </w:t>
      </w:r>
      <w:r>
        <w:rPr>
          <w:color w:val="3A3838"/>
          <w:w w:val="110"/>
          <w:sz w:val="20"/>
        </w:rPr>
        <w:t>24</w:t>
      </w:r>
      <w:r>
        <w:rPr>
          <w:color w:val="3A3838"/>
          <w:spacing w:val="5"/>
          <w:w w:val="110"/>
          <w:sz w:val="20"/>
        </w:rPr>
        <w:t> </w:t>
      </w:r>
      <w:r>
        <w:rPr>
          <w:color w:val="3A3838"/>
          <w:w w:val="110"/>
          <w:sz w:val="20"/>
        </w:rPr>
        <w:t>F.</w:t>
      </w:r>
      <w:r>
        <w:rPr>
          <w:color w:val="3A3838"/>
          <w:spacing w:val="-30"/>
          <w:w w:val="110"/>
          <w:sz w:val="20"/>
        </w:rPr>
        <w:t> </w:t>
      </w:r>
      <w:r>
        <w:rPr>
          <w:color w:val="3A3838"/>
          <w:w w:val="110"/>
          <w:sz w:val="20"/>
        </w:rPr>
        <w:t>Supp.</w:t>
      </w:r>
      <w:r>
        <w:rPr>
          <w:color w:val="3A3838"/>
          <w:spacing w:val="-8"/>
          <w:w w:val="110"/>
          <w:sz w:val="20"/>
        </w:rPr>
        <w:t> </w:t>
      </w:r>
      <w:r>
        <w:rPr>
          <w:color w:val="3A3838"/>
          <w:w w:val="110"/>
          <w:sz w:val="20"/>
        </w:rPr>
        <w:t>2d</w:t>
      </w:r>
      <w:r>
        <w:rPr>
          <w:color w:val="3A3838"/>
          <w:spacing w:val="5"/>
          <w:w w:val="110"/>
          <w:sz w:val="20"/>
        </w:rPr>
        <w:t> </w:t>
      </w:r>
      <w:r>
        <w:rPr>
          <w:color w:val="3A3838"/>
          <w:w w:val="110"/>
          <w:sz w:val="20"/>
        </w:rPr>
        <w:t>202,</w:t>
      </w:r>
      <w:r>
        <w:rPr>
          <w:color w:val="3A3838"/>
          <w:spacing w:val="6"/>
          <w:w w:val="110"/>
          <w:sz w:val="20"/>
        </w:rPr>
        <w:t> </w:t>
      </w:r>
      <w:r>
        <w:rPr>
          <w:color w:val="3A3838"/>
          <w:w w:val="110"/>
          <w:sz w:val="20"/>
        </w:rPr>
        <w:t>206</w:t>
      </w:r>
      <w:r>
        <w:rPr>
          <w:color w:val="3A3838"/>
          <w:spacing w:val="10"/>
          <w:w w:val="110"/>
          <w:sz w:val="20"/>
        </w:rPr>
        <w:t> </w:t>
      </w:r>
      <w:r>
        <w:rPr>
          <w:color w:val="3A3838"/>
          <w:w w:val="110"/>
          <w:sz w:val="20"/>
        </w:rPr>
        <w:t>(D.R.I.</w:t>
      </w:r>
      <w:r>
        <w:rPr>
          <w:color w:val="3A3838"/>
          <w:spacing w:val="-8"/>
          <w:w w:val="110"/>
          <w:sz w:val="20"/>
        </w:rPr>
        <w:t> </w:t>
      </w:r>
      <w:r>
        <w:rPr>
          <w:color w:val="3A3838"/>
          <w:w w:val="110"/>
          <w:sz w:val="20"/>
        </w:rPr>
        <w:t>1998) (citation</w:t>
      </w:r>
      <w:r>
        <w:rPr>
          <w:color w:val="3A3838"/>
          <w:spacing w:val="6"/>
          <w:w w:val="110"/>
          <w:sz w:val="20"/>
        </w:rPr>
        <w:t> </w:t>
      </w:r>
      <w:r>
        <w:rPr>
          <w:color w:val="3A3838"/>
          <w:w w:val="110"/>
          <w:sz w:val="20"/>
        </w:rPr>
        <w:t>omit­</w:t>
      </w:r>
    </w:p>
    <w:p>
      <w:pPr>
        <w:spacing w:line="247" w:lineRule="auto" w:before="2"/>
        <w:ind w:left="1162" w:right="361" w:firstLine="24"/>
        <w:jc w:val="both"/>
        <w:rPr>
          <w:sz w:val="19"/>
        </w:rPr>
      </w:pPr>
      <w:r>
        <w:rPr>
          <w:color w:val="3A3838"/>
          <w:w w:val="120"/>
          <w:sz w:val="20"/>
        </w:rPr>
        <w:t>ted)</w:t>
      </w:r>
      <w:r>
        <w:rPr>
          <w:color w:val="545456"/>
          <w:w w:val="120"/>
          <w:sz w:val="20"/>
        </w:rPr>
        <w:t>. </w:t>
      </w:r>
      <w:r>
        <w:rPr>
          <w:color w:val="3A3838"/>
          <w:w w:val="120"/>
          <w:sz w:val="20"/>
        </w:rPr>
        <w:t>That court further noted that Congress also intended to make</w:t>
      </w:r>
      <w:r>
        <w:rPr>
          <w:color w:val="3A3838"/>
          <w:spacing w:val="1"/>
          <w:w w:val="120"/>
          <w:sz w:val="20"/>
        </w:rPr>
        <w:t> </w:t>
      </w:r>
      <w:r>
        <w:rPr>
          <w:color w:val="3A3838"/>
          <w:w w:val="120"/>
          <w:sz w:val="20"/>
        </w:rPr>
        <w:t>"those who discriminate"-both employers and</w:t>
      </w:r>
      <w:r>
        <w:rPr>
          <w:color w:val="3A3838"/>
          <w:spacing w:val="1"/>
          <w:w w:val="120"/>
          <w:sz w:val="20"/>
        </w:rPr>
        <w:t> </w:t>
      </w:r>
      <w:r>
        <w:rPr>
          <w:color w:val="3A3838"/>
          <w:w w:val="120"/>
          <w:sz w:val="20"/>
        </w:rPr>
        <w:t>their agents-jointly</w:t>
      </w:r>
      <w:r>
        <w:rPr>
          <w:color w:val="3A3838"/>
          <w:spacing w:val="1"/>
          <w:w w:val="120"/>
          <w:sz w:val="20"/>
        </w:rPr>
        <w:t> </w:t>
      </w:r>
      <w:r>
        <w:rPr>
          <w:color w:val="3A3838"/>
          <w:w w:val="115"/>
          <w:sz w:val="20"/>
        </w:rPr>
        <w:t>andseverally</w:t>
      </w:r>
      <w:r>
        <w:rPr>
          <w:color w:val="3A3838"/>
          <w:spacing w:val="-3"/>
          <w:w w:val="115"/>
          <w:sz w:val="20"/>
        </w:rPr>
        <w:t> </w:t>
      </w:r>
      <w:r>
        <w:rPr>
          <w:color w:val="3A3838"/>
          <w:w w:val="115"/>
          <w:sz w:val="20"/>
        </w:rPr>
        <w:t>liable</w:t>
      </w:r>
      <w:r>
        <w:rPr>
          <w:color w:val="3A3838"/>
          <w:spacing w:val="-14"/>
          <w:w w:val="115"/>
          <w:sz w:val="20"/>
        </w:rPr>
        <w:t> </w:t>
      </w:r>
      <w:r>
        <w:rPr>
          <w:color w:val="3A3838"/>
          <w:w w:val="115"/>
          <w:sz w:val="20"/>
        </w:rPr>
        <w:t>for</w:t>
      </w:r>
      <w:r>
        <w:rPr>
          <w:color w:val="3A3838"/>
          <w:spacing w:val="6"/>
          <w:w w:val="115"/>
          <w:sz w:val="20"/>
        </w:rPr>
        <w:t> </w:t>
      </w:r>
      <w:r>
        <w:rPr>
          <w:color w:val="3A3838"/>
          <w:w w:val="115"/>
          <w:sz w:val="20"/>
        </w:rPr>
        <w:t>their</w:t>
      </w:r>
      <w:r>
        <w:rPr>
          <w:color w:val="3A3838"/>
          <w:spacing w:val="-14"/>
          <w:w w:val="115"/>
          <w:sz w:val="20"/>
        </w:rPr>
        <w:t> </w:t>
      </w:r>
      <w:r>
        <w:rPr>
          <w:color w:val="3A3838"/>
          <w:w w:val="115"/>
          <w:sz w:val="20"/>
        </w:rPr>
        <w:t>discriminatory</w:t>
      </w:r>
      <w:r>
        <w:rPr>
          <w:color w:val="3A3838"/>
          <w:spacing w:val="-20"/>
          <w:w w:val="115"/>
          <w:sz w:val="20"/>
        </w:rPr>
        <w:t> </w:t>
      </w:r>
      <w:r>
        <w:rPr>
          <w:color w:val="3A3838"/>
          <w:w w:val="115"/>
          <w:sz w:val="20"/>
        </w:rPr>
        <w:t>acts.</w:t>
      </w:r>
      <w:r>
        <w:rPr>
          <w:color w:val="3A3838"/>
          <w:spacing w:val="-26"/>
          <w:w w:val="115"/>
          <w:sz w:val="20"/>
        </w:rPr>
        <w:t> </w:t>
      </w:r>
      <w:r>
        <w:rPr>
          <w:color w:val="3A3838"/>
          <w:w w:val="115"/>
          <w:sz w:val="19"/>
        </w:rPr>
        <w:t>Jg_.</w:t>
      </w:r>
    </w:p>
    <w:p>
      <w:pPr>
        <w:pStyle w:val="BodyText"/>
        <w:spacing w:line="232" w:lineRule="auto" w:before="134"/>
        <w:ind w:left="728" w:right="38" w:firstLine="78"/>
        <w:jc w:val="both"/>
      </w:pPr>
      <w:r>
        <w:rPr>
          <w:color w:val="3A3838"/>
          <w:w w:val="110"/>
        </w:rPr>
        <w:t>In the first example, the writer tries to increase the value of the source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by tying its assertion to specific statutory language. In the second exam­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ple, the  writer tells the court why it should care about this nonauthorita­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tive source by stating that the court was addressing the same issue as the</w:t>
      </w:r>
      <w:r>
        <w:rPr>
          <w:color w:val="3A3838"/>
          <w:spacing w:val="1"/>
          <w:w w:val="105"/>
        </w:rPr>
        <w:t> </w:t>
      </w:r>
      <w:r>
        <w:rPr>
          <w:color w:val="3A3838"/>
          <w:spacing w:val="-1"/>
          <w:w w:val="110"/>
        </w:rPr>
        <w:t>issue </w:t>
      </w:r>
      <w:r>
        <w:rPr>
          <w:color w:val="3A3838"/>
          <w:w w:val="110"/>
        </w:rPr>
        <w:t>the court is currently addressing. Admittely, citing to a mandatory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authority is almost always preferable. When other citations are necessary,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however, the practical brief writer does not try to hide the use of nonman­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datory authority, but instead uses effective writing techniques to try to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increase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33"/>
          <w:w w:val="110"/>
        </w:rPr>
        <w:t> </w:t>
      </w:r>
      <w:r>
        <w:rPr>
          <w:color w:val="3A3838"/>
          <w:w w:val="110"/>
        </w:rPr>
        <w:t>value</w:t>
      </w:r>
      <w:r>
        <w:rPr>
          <w:color w:val="3A3838"/>
          <w:spacing w:val="-15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8"/>
          <w:w w:val="110"/>
        </w:rPr>
        <w:t> </w:t>
      </w:r>
      <w:r>
        <w:rPr>
          <w:color w:val="3A3838"/>
          <w:w w:val="110"/>
        </w:rPr>
        <w:t>nonmandatory sources.</w:t>
      </w:r>
    </w:p>
    <w:p>
      <w:pPr>
        <w:pStyle w:val="BodyText"/>
        <w:spacing w:before="8"/>
        <w:rPr>
          <w:sz w:val="35"/>
        </w:rPr>
      </w:pPr>
    </w:p>
    <w:p>
      <w:pPr>
        <w:spacing w:before="0"/>
        <w:ind w:left="1023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3A3838"/>
          <w:w w:val="105"/>
          <w:sz w:val="27"/>
        </w:rPr>
        <w:t>6</w:t>
      </w:r>
      <w:r>
        <w:rPr>
          <w:rFonts w:ascii="Arial"/>
          <w:b/>
          <w:color w:val="838587"/>
          <w:w w:val="105"/>
          <w:sz w:val="27"/>
        </w:rPr>
        <w:t>.</w:t>
      </w:r>
      <w:r>
        <w:rPr>
          <w:rFonts w:ascii="Arial"/>
          <w:b/>
          <w:color w:val="3A3838"/>
          <w:w w:val="105"/>
          <w:sz w:val="27"/>
        </w:rPr>
        <w:t>5.3</w:t>
      </w:r>
    </w:p>
    <w:p>
      <w:pPr>
        <w:spacing w:before="54"/>
        <w:ind w:left="1022" w:right="0" w:firstLine="0"/>
        <w:jc w:val="left"/>
        <w:rPr>
          <w:rFonts w:ascii="Arial"/>
          <w:sz w:val="21"/>
        </w:rPr>
      </w:pPr>
      <w:r>
        <w:rPr>
          <w:rFonts w:ascii="Arial"/>
          <w:color w:val="3A3838"/>
          <w:spacing w:val="-1"/>
          <w:w w:val="105"/>
          <w:sz w:val="21"/>
        </w:rPr>
        <w:t>WHERE</w:t>
      </w:r>
      <w:r>
        <w:rPr>
          <w:rFonts w:ascii="Arial"/>
          <w:color w:val="3A3838"/>
          <w:spacing w:val="-14"/>
          <w:w w:val="105"/>
          <w:sz w:val="21"/>
        </w:rPr>
        <w:t> </w:t>
      </w:r>
      <w:r>
        <w:rPr>
          <w:rFonts w:ascii="Arial"/>
          <w:color w:val="3A3838"/>
          <w:spacing w:val="-1"/>
          <w:w w:val="105"/>
          <w:sz w:val="21"/>
        </w:rPr>
        <w:t>TO</w:t>
      </w:r>
      <w:r>
        <w:rPr>
          <w:rFonts w:ascii="Arial"/>
          <w:color w:val="3A3838"/>
          <w:spacing w:val="22"/>
          <w:w w:val="105"/>
          <w:sz w:val="21"/>
        </w:rPr>
        <w:t> </w:t>
      </w:r>
      <w:r>
        <w:rPr>
          <w:rFonts w:ascii="Arial"/>
          <w:color w:val="3A3838"/>
          <w:spacing w:val="-1"/>
          <w:w w:val="105"/>
          <w:sz w:val="21"/>
        </w:rPr>
        <w:t>CITE</w:t>
      </w:r>
    </w:p>
    <w:p>
      <w:pPr>
        <w:pStyle w:val="BodyText"/>
        <w:spacing w:line="232" w:lineRule="auto" w:before="152"/>
        <w:ind w:left="485" w:right="80" w:firstLine="547"/>
      </w:pPr>
      <w:r>
        <w:rPr>
          <w:color w:val="3A3838"/>
          <w:w w:val="105"/>
        </w:rPr>
        <w:t>As</w:t>
      </w:r>
      <w:r>
        <w:rPr>
          <w:color w:val="3A3838"/>
          <w:spacing w:val="4"/>
          <w:w w:val="105"/>
        </w:rPr>
        <w:t> </w:t>
      </w:r>
      <w:r>
        <w:rPr>
          <w:color w:val="3A3838"/>
          <w:w w:val="105"/>
        </w:rPr>
        <w:t>noted</w:t>
      </w:r>
      <w:r>
        <w:rPr>
          <w:color w:val="3A3838"/>
          <w:spacing w:val="35"/>
          <w:w w:val="105"/>
        </w:rPr>
        <w:t> </w:t>
      </w:r>
      <w:r>
        <w:rPr>
          <w:color w:val="3A3838"/>
          <w:w w:val="105"/>
        </w:rPr>
        <w:t>previously,</w:t>
      </w:r>
      <w:r>
        <w:rPr>
          <w:color w:val="3A3838"/>
          <w:spacing w:val="16"/>
          <w:w w:val="105"/>
        </w:rPr>
        <w:t> </w:t>
      </w:r>
      <w:r>
        <w:rPr>
          <w:color w:val="3A3838"/>
          <w:w w:val="105"/>
        </w:rPr>
        <w:t>citations</w:t>
      </w:r>
      <w:r>
        <w:rPr>
          <w:color w:val="3A3838"/>
          <w:spacing w:val="12"/>
          <w:w w:val="105"/>
        </w:rPr>
        <w:t> </w:t>
      </w:r>
      <w:r>
        <w:rPr>
          <w:color w:val="3A3838"/>
          <w:w w:val="105"/>
        </w:rPr>
        <w:t>in</w:t>
      </w:r>
      <w:r>
        <w:rPr>
          <w:color w:val="3A3838"/>
          <w:spacing w:val="34"/>
          <w:w w:val="105"/>
        </w:rPr>
        <w:t> </w:t>
      </w:r>
      <w:r>
        <w:rPr>
          <w:color w:val="3A3838"/>
          <w:w w:val="105"/>
        </w:rPr>
        <w:t>a</w:t>
      </w:r>
      <w:r>
        <w:rPr>
          <w:color w:val="3A3838"/>
          <w:spacing w:val="23"/>
          <w:w w:val="105"/>
        </w:rPr>
        <w:t> </w:t>
      </w:r>
      <w:r>
        <w:rPr>
          <w:color w:val="3A3838"/>
          <w:w w:val="105"/>
        </w:rPr>
        <w:t>brief</w:t>
      </w:r>
      <w:r>
        <w:rPr>
          <w:color w:val="3A3838"/>
          <w:spacing w:val="22"/>
          <w:w w:val="105"/>
        </w:rPr>
        <w:t> </w:t>
      </w:r>
      <w:r>
        <w:rPr>
          <w:color w:val="3A3838"/>
          <w:w w:val="105"/>
          <w:sz w:val="22"/>
        </w:rPr>
        <w:t>will</w:t>
      </w:r>
      <w:r>
        <w:rPr>
          <w:color w:val="3A3838"/>
          <w:spacing w:val="1"/>
          <w:w w:val="105"/>
          <w:sz w:val="22"/>
        </w:rPr>
        <w:t> </w:t>
      </w:r>
      <w:r>
        <w:rPr>
          <w:color w:val="3A3838"/>
          <w:w w:val="105"/>
        </w:rPr>
        <w:t>sometimes</w:t>
      </w:r>
      <w:r>
        <w:rPr>
          <w:color w:val="3A3838"/>
          <w:spacing w:val="15"/>
          <w:w w:val="105"/>
        </w:rPr>
        <w:t> </w:t>
      </w:r>
      <w:r>
        <w:rPr>
          <w:color w:val="3A3838"/>
          <w:w w:val="105"/>
        </w:rPr>
        <w:t>be</w:t>
      </w:r>
      <w:r>
        <w:rPr>
          <w:color w:val="3A3838"/>
          <w:spacing w:val="26"/>
          <w:w w:val="105"/>
        </w:rPr>
        <w:t> </w:t>
      </w:r>
      <w:r>
        <w:rPr>
          <w:color w:val="3A3838"/>
          <w:w w:val="105"/>
        </w:rPr>
        <w:t>citations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to</w:t>
      </w:r>
      <w:r>
        <w:rPr>
          <w:color w:val="3A3838"/>
          <w:spacing w:val="-57"/>
          <w:w w:val="105"/>
        </w:rPr>
        <w:t> </w:t>
      </w:r>
      <w:r>
        <w:rPr>
          <w:color w:val="3A3838"/>
          <w:w w:val="105"/>
        </w:rPr>
        <w:t>sources rather than citations to authorities.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For this reason,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writers should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place their citations in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text rather than in footnotes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almost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all situa­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tions</w:t>
      </w:r>
      <w:r>
        <w:rPr>
          <w:color w:val="545456"/>
          <w:w w:val="105"/>
        </w:rPr>
        <w:t>. </w:t>
      </w:r>
      <w:r>
        <w:rPr>
          <w:color w:val="3A3838"/>
          <w:w w:val="105"/>
        </w:rPr>
        <w:t>Use footnotes for citations only on rare occasions (e.g., for occasions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when a string citation  is necessary</w:t>
      </w:r>
      <w:r>
        <w:rPr>
          <w:color w:val="545456"/>
          <w:w w:val="105"/>
          <w:vertAlign w:val="superscript"/>
        </w:rPr>
        <w:t>1</w:t>
      </w:r>
      <w:r>
        <w:rPr>
          <w:color w:val="3A3838"/>
          <w:w w:val="105"/>
          <w:vertAlign w:val="superscript"/>
        </w:rPr>
        <w:t>8</w:t>
      </w:r>
      <w:r>
        <w:rPr>
          <w:color w:val="3A3838"/>
          <w:w w:val="105"/>
          <w:sz w:val="13"/>
          <w:vertAlign w:val="baseline"/>
        </w:rPr>
        <w:t>). </w:t>
      </w:r>
      <w:r>
        <w:rPr>
          <w:color w:val="3A3838"/>
          <w:spacing w:val="1"/>
          <w:w w:val="105"/>
          <w:sz w:val="13"/>
          <w:vertAlign w:val="baseline"/>
        </w:rPr>
        <w:t> </w:t>
      </w:r>
      <w:r>
        <w:rPr>
          <w:color w:val="3A3838"/>
          <w:w w:val="105"/>
          <w:vertAlign w:val="baseline"/>
        </w:rPr>
        <w:t>Placing citations in  text allows read­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w w:val="110"/>
          <w:vertAlign w:val="baseline"/>
        </w:rPr>
        <w:t>ers to identify immediately which citations are and are not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authoritative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citations. The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reader's immediate need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to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understand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 source's validity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makes it  more important for brief  writers to  place citations in  text  than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05"/>
          <w:vertAlign w:val="baseline"/>
        </w:rPr>
        <w:t>it is for any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other kind of legal writer. Only the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brief writer has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the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job of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w w:val="110"/>
          <w:vertAlign w:val="baseline"/>
        </w:rPr>
        <w:t>marshaling mandatory and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nonmandatory authorities, synthesizing rules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from those authorities, applying those rules to facts, and presenting them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to a decision maker</w:t>
      </w:r>
      <w:r>
        <w:rPr>
          <w:color w:val="545456"/>
          <w:w w:val="110"/>
          <w:vertAlign w:val="baseline"/>
        </w:rPr>
        <w:t>. </w:t>
      </w:r>
      <w:r>
        <w:rPr>
          <w:color w:val="3A3838"/>
          <w:w w:val="110"/>
          <w:vertAlign w:val="baseline"/>
        </w:rPr>
        <w:t>The brief writer, much more than the legal commen­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05"/>
          <w:vertAlign w:val="baseline"/>
        </w:rPr>
        <w:t>tator or the  judge, asks the  reader to accept or reject legal arguments based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w w:val="110"/>
          <w:vertAlign w:val="baseline"/>
        </w:rPr>
        <w:t>on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the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authoritativeness of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his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or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her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citations. The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journal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writer, in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spacing w:val="-1"/>
          <w:w w:val="110"/>
          <w:vertAlign w:val="baseline"/>
        </w:rPr>
        <w:t>contrast, may assemble citations from </w:t>
      </w:r>
      <w:r>
        <w:rPr>
          <w:color w:val="3A3838"/>
          <w:w w:val="110"/>
          <w:vertAlign w:val="baseline"/>
        </w:rPr>
        <w:t>a variety of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jurisdictions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to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posit a</w:t>
      </w:r>
      <w:r>
        <w:rPr>
          <w:color w:val="3A3838"/>
          <w:spacing w:val="-61"/>
          <w:w w:val="110"/>
          <w:vertAlign w:val="baseline"/>
        </w:rPr>
        <w:t> </w:t>
      </w:r>
      <w:r>
        <w:rPr>
          <w:color w:val="3A3838"/>
          <w:spacing w:val="-1"/>
          <w:w w:val="110"/>
          <w:vertAlign w:val="baseline"/>
        </w:rPr>
        <w:t>theory; the judge derives </w:t>
      </w:r>
      <w:r>
        <w:rPr>
          <w:color w:val="3A3838"/>
          <w:w w:val="110"/>
          <w:vertAlign w:val="baseline"/>
        </w:rPr>
        <w:t>authority from his or her judicial appointment.</w:t>
      </w:r>
      <w:r>
        <w:rPr>
          <w:color w:val="3A3838"/>
          <w:w w:val="110"/>
          <w:position w:val="5"/>
          <w:sz w:val="14"/>
          <w:vertAlign w:val="baseline"/>
        </w:rPr>
        <w:t>19</w:t>
      </w:r>
      <w:r>
        <w:rPr>
          <w:color w:val="3A3838"/>
          <w:spacing w:val="1"/>
          <w:w w:val="110"/>
          <w:position w:val="5"/>
          <w:sz w:val="14"/>
          <w:vertAlign w:val="baseline"/>
        </w:rPr>
        <w:t> </w:t>
      </w:r>
      <w:r>
        <w:rPr>
          <w:color w:val="3A3838"/>
          <w:w w:val="105"/>
          <w:vertAlign w:val="baseline"/>
        </w:rPr>
        <w:t>The</w:t>
      </w:r>
      <w:r>
        <w:rPr>
          <w:color w:val="3A3838"/>
          <w:spacing w:val="-20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reader</w:t>
      </w:r>
      <w:r>
        <w:rPr>
          <w:color w:val="3A3838"/>
          <w:spacing w:val="-9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of</w:t>
      </w:r>
      <w:r>
        <w:rPr>
          <w:color w:val="3A3838"/>
          <w:spacing w:val="2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a</w:t>
      </w:r>
      <w:r>
        <w:rPr>
          <w:color w:val="3A3838"/>
          <w:spacing w:val="26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brief</w:t>
      </w:r>
      <w:r>
        <w:rPr>
          <w:color w:val="545456"/>
          <w:w w:val="105"/>
          <w:vertAlign w:val="baseline"/>
        </w:rPr>
        <w:t>,</w:t>
      </w:r>
      <w:r>
        <w:rPr>
          <w:color w:val="545456"/>
          <w:spacing w:val="24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unlike</w:t>
      </w:r>
      <w:r>
        <w:rPr>
          <w:color w:val="3A3838"/>
          <w:spacing w:val="-12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the</w:t>
      </w:r>
      <w:r>
        <w:rPr>
          <w:color w:val="3A3838"/>
          <w:spacing w:val="23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reader</w:t>
      </w:r>
      <w:r>
        <w:rPr>
          <w:color w:val="3A3838"/>
          <w:spacing w:val="2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of</w:t>
      </w:r>
      <w:r>
        <w:rPr>
          <w:color w:val="3A3838"/>
          <w:spacing w:val="-1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a</w:t>
      </w:r>
      <w:r>
        <w:rPr>
          <w:color w:val="3A3838"/>
          <w:spacing w:val="-2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law</w:t>
      </w:r>
      <w:r>
        <w:rPr>
          <w:color w:val="3A3838"/>
          <w:spacing w:val="2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review</w:t>
      </w:r>
      <w:r>
        <w:rPr>
          <w:color w:val="3A3838"/>
          <w:spacing w:val="-12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article</w:t>
      </w:r>
      <w:r>
        <w:rPr>
          <w:color w:val="3A3838"/>
          <w:spacing w:val="-5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or</w:t>
      </w:r>
      <w:r>
        <w:rPr>
          <w:color w:val="3A3838"/>
          <w:spacing w:val="8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of</w:t>
      </w:r>
      <w:r>
        <w:rPr>
          <w:color w:val="3A3838"/>
          <w:spacing w:val="2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an</w:t>
      </w:r>
      <w:r>
        <w:rPr>
          <w:color w:val="3A3838"/>
          <w:spacing w:val="38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opin­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w w:val="110"/>
          <w:vertAlign w:val="baseline"/>
        </w:rPr>
        <w:t>ion</w:t>
      </w:r>
      <w:r>
        <w:rPr>
          <w:color w:val="545456"/>
          <w:w w:val="110"/>
          <w:vertAlign w:val="baseline"/>
        </w:rPr>
        <w:t>,</w:t>
      </w:r>
      <w:r>
        <w:rPr>
          <w:color w:val="545456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must reserve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judgment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about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the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validity of any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legal proposition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until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the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authoritativeness of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the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citation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is known. Putting citations in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footnotes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needlessly</w:t>
      </w:r>
      <w:r>
        <w:rPr>
          <w:color w:val="3A3838"/>
          <w:spacing w:val="-3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frustrates the</w:t>
      </w:r>
      <w:r>
        <w:rPr>
          <w:color w:val="3A3838"/>
          <w:spacing w:val="2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reader</w:t>
      </w:r>
      <w:r>
        <w:rPr>
          <w:color w:val="3A3838"/>
          <w:spacing w:val="-13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of</w:t>
      </w:r>
      <w:r>
        <w:rPr>
          <w:color w:val="3A3838"/>
          <w:spacing w:val="-7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</w:t>
      </w:r>
      <w:r>
        <w:rPr>
          <w:color w:val="3A3838"/>
          <w:spacing w:val="10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brief.</w:t>
      </w:r>
    </w:p>
    <w:p>
      <w:pPr>
        <w:pStyle w:val="BodyText"/>
        <w:spacing w:before="5"/>
        <w:rPr>
          <w:sz w:val="30"/>
        </w:rPr>
      </w:pPr>
    </w:p>
    <w:p>
      <w:pPr>
        <w:spacing w:before="1"/>
        <w:ind w:left="829" w:right="0" w:firstLine="0"/>
        <w:jc w:val="both"/>
        <w:rPr>
          <w:sz w:val="18"/>
        </w:rPr>
      </w:pPr>
      <w:r>
        <w:rPr>
          <w:color w:val="3A3838"/>
          <w:w w:val="105"/>
          <w:sz w:val="18"/>
        </w:rPr>
        <w:t>"See</w:t>
      </w:r>
      <w:r>
        <w:rPr>
          <w:color w:val="3A3838"/>
          <w:spacing w:val="-15"/>
          <w:w w:val="105"/>
          <w:sz w:val="18"/>
        </w:rPr>
        <w:t> </w:t>
      </w:r>
      <w:r>
        <w:rPr>
          <w:color w:val="3A3838"/>
          <w:w w:val="105"/>
          <w:sz w:val="18"/>
        </w:rPr>
        <w:t>Section</w:t>
      </w:r>
      <w:r>
        <w:rPr>
          <w:color w:val="3A3838"/>
          <w:spacing w:val="16"/>
          <w:w w:val="105"/>
          <w:sz w:val="18"/>
        </w:rPr>
        <w:t> </w:t>
      </w:r>
      <w:r>
        <w:rPr>
          <w:color w:val="3A3838"/>
          <w:w w:val="105"/>
          <w:sz w:val="18"/>
        </w:rPr>
        <w:t>6</w:t>
      </w:r>
      <w:r>
        <w:rPr>
          <w:color w:val="545456"/>
          <w:w w:val="105"/>
          <w:sz w:val="18"/>
        </w:rPr>
        <w:t>.</w:t>
      </w:r>
      <w:r>
        <w:rPr>
          <w:color w:val="3A3838"/>
          <w:w w:val="105"/>
          <w:sz w:val="18"/>
        </w:rPr>
        <w:t>5</w:t>
      </w:r>
      <w:r>
        <w:rPr>
          <w:color w:val="545456"/>
          <w:w w:val="105"/>
          <w:sz w:val="18"/>
        </w:rPr>
        <w:t>.</w:t>
      </w:r>
      <w:r>
        <w:rPr>
          <w:color w:val="3A3838"/>
          <w:w w:val="105"/>
          <w:sz w:val="18"/>
        </w:rPr>
        <w:t>5</w:t>
      </w:r>
      <w:r>
        <w:rPr>
          <w:color w:val="3A3838"/>
          <w:spacing w:val="15"/>
          <w:w w:val="105"/>
          <w:sz w:val="18"/>
        </w:rPr>
        <w:t> </w:t>
      </w:r>
      <w:r>
        <w:rPr>
          <w:color w:val="3A3838"/>
          <w:w w:val="105"/>
          <w:sz w:val="18"/>
        </w:rPr>
        <w:t>on</w:t>
      </w:r>
      <w:r>
        <w:rPr>
          <w:color w:val="3A3838"/>
          <w:spacing w:val="45"/>
          <w:w w:val="105"/>
          <w:sz w:val="18"/>
        </w:rPr>
        <w:t> </w:t>
      </w:r>
      <w:r>
        <w:rPr>
          <w:color w:val="3A3838"/>
          <w:w w:val="105"/>
          <w:sz w:val="18"/>
        </w:rPr>
        <w:t>how</w:t>
      </w:r>
      <w:r>
        <w:rPr>
          <w:color w:val="3A3838"/>
          <w:spacing w:val="33"/>
          <w:w w:val="105"/>
          <w:sz w:val="18"/>
        </w:rPr>
        <w:t> </w:t>
      </w:r>
      <w:r>
        <w:rPr>
          <w:color w:val="3A3838"/>
          <w:w w:val="105"/>
          <w:sz w:val="18"/>
        </w:rPr>
        <w:t>to</w:t>
      </w:r>
      <w:r>
        <w:rPr>
          <w:color w:val="3A3838"/>
          <w:spacing w:val="33"/>
          <w:w w:val="105"/>
          <w:sz w:val="18"/>
        </w:rPr>
        <w:t> </w:t>
      </w:r>
      <w:r>
        <w:rPr>
          <w:color w:val="3A3838"/>
          <w:w w:val="105"/>
          <w:sz w:val="18"/>
        </w:rPr>
        <w:t>use</w:t>
      </w:r>
      <w:r>
        <w:rPr>
          <w:color w:val="3A3838"/>
          <w:spacing w:val="-13"/>
          <w:w w:val="105"/>
          <w:sz w:val="18"/>
        </w:rPr>
        <w:t> </w:t>
      </w:r>
      <w:r>
        <w:rPr>
          <w:color w:val="3A3838"/>
          <w:w w:val="105"/>
          <w:sz w:val="18"/>
        </w:rPr>
        <w:t>string</w:t>
      </w:r>
      <w:r>
        <w:rPr>
          <w:color w:val="3A3838"/>
          <w:spacing w:val="-6"/>
          <w:w w:val="105"/>
          <w:sz w:val="18"/>
        </w:rPr>
        <w:t> </w:t>
      </w:r>
      <w:r>
        <w:rPr>
          <w:color w:val="3A3838"/>
          <w:w w:val="105"/>
          <w:sz w:val="18"/>
        </w:rPr>
        <w:t>citations appropriately.</w:t>
      </w:r>
    </w:p>
    <w:p>
      <w:pPr>
        <w:spacing w:line="228" w:lineRule="auto" w:before="13"/>
        <w:ind w:left="420" w:right="163" w:firstLine="398"/>
        <w:jc w:val="both"/>
        <w:rPr>
          <w:sz w:val="18"/>
        </w:rPr>
      </w:pPr>
      <w:r>
        <w:rPr>
          <w:color w:val="545456"/>
          <w:w w:val="110"/>
          <w:position w:val="5"/>
          <w:sz w:val="11"/>
        </w:rPr>
        <w:t>1</w:t>
      </w:r>
      <w:r>
        <w:rPr>
          <w:color w:val="545456"/>
          <w:w w:val="110"/>
          <w:sz w:val="18"/>
        </w:rPr>
        <w:t>'</w:t>
      </w:r>
      <w:r>
        <w:rPr>
          <w:color w:val="3A3838"/>
          <w:w w:val="110"/>
          <w:sz w:val="18"/>
        </w:rPr>
        <w:t>Thls statem</w:t>
      </w:r>
      <w:r>
        <w:rPr>
          <w:color w:val="545456"/>
          <w:w w:val="110"/>
          <w:sz w:val="18"/>
        </w:rPr>
        <w:t>e</w:t>
      </w:r>
      <w:r>
        <w:rPr>
          <w:color w:val="3A3838"/>
          <w:w w:val="110"/>
          <w:sz w:val="18"/>
        </w:rPr>
        <w:t>nt is most true about judg</w:t>
      </w:r>
      <w:r>
        <w:rPr>
          <w:color w:val="545456"/>
          <w:w w:val="110"/>
          <w:sz w:val="18"/>
        </w:rPr>
        <w:t>e</w:t>
      </w:r>
      <w:r>
        <w:rPr>
          <w:color w:val="3A3838"/>
          <w:w w:val="110"/>
          <w:sz w:val="18"/>
        </w:rPr>
        <w:t>s who sit on courts of last resort. The opinions of</w:t>
      </w:r>
      <w:r>
        <w:rPr>
          <w:color w:val="3A3838"/>
          <w:spacing w:val="-47"/>
          <w:w w:val="110"/>
          <w:sz w:val="18"/>
        </w:rPr>
        <w:t> </w:t>
      </w:r>
      <w:r>
        <w:rPr>
          <w:color w:val="3A3838"/>
          <w:w w:val="105"/>
          <w:sz w:val="18"/>
        </w:rPr>
        <w:t>a  trial Judge or of an inte</w:t>
      </w:r>
      <w:r>
        <w:rPr>
          <w:color w:val="545456"/>
          <w:w w:val="105"/>
          <w:sz w:val="18"/>
        </w:rPr>
        <w:t>r</w:t>
      </w:r>
      <w:r>
        <w:rPr>
          <w:color w:val="3A3838"/>
          <w:w w:val="105"/>
          <w:sz w:val="18"/>
        </w:rPr>
        <w:t>mediate appellate judge</w:t>
      </w:r>
      <w:r>
        <w:rPr>
          <w:color w:val="545456"/>
          <w:w w:val="105"/>
          <w:sz w:val="18"/>
        </w:rPr>
        <w:t>, </w:t>
      </w:r>
      <w:r>
        <w:rPr>
          <w:color w:val="3A3838"/>
          <w:w w:val="105"/>
          <w:sz w:val="18"/>
        </w:rPr>
        <w:t>In contrast, may be more like</w:t>
      </w:r>
      <w:r>
        <w:rPr>
          <w:color w:val="545456"/>
          <w:w w:val="105"/>
          <w:sz w:val="18"/>
        </w:rPr>
        <w:t>l</w:t>
      </w:r>
      <w:r>
        <w:rPr>
          <w:color w:val="3A3838"/>
          <w:w w:val="105"/>
          <w:sz w:val="18"/>
        </w:rPr>
        <w:t>y to </w:t>
      </w:r>
      <w:r>
        <w:rPr>
          <w:rFonts w:ascii="Arial"/>
          <w:color w:val="3A3838"/>
          <w:w w:val="105"/>
          <w:sz w:val="16"/>
        </w:rPr>
        <w:t>be </w:t>
      </w:r>
      <w:r>
        <w:rPr>
          <w:color w:val="3A3838"/>
          <w:w w:val="105"/>
          <w:sz w:val="18"/>
        </w:rPr>
        <w:t>affirmed</w:t>
      </w:r>
      <w:r>
        <w:rPr>
          <w:color w:val="3A3838"/>
          <w:spacing w:val="1"/>
          <w:w w:val="105"/>
          <w:sz w:val="18"/>
        </w:rPr>
        <w:t> </w:t>
      </w:r>
      <w:r>
        <w:rPr>
          <w:color w:val="3A3838"/>
          <w:w w:val="110"/>
          <w:sz w:val="18"/>
        </w:rPr>
        <w:t>or</w:t>
      </w:r>
      <w:r>
        <w:rPr>
          <w:color w:val="3A3838"/>
          <w:spacing w:val="16"/>
          <w:w w:val="110"/>
          <w:sz w:val="18"/>
        </w:rPr>
        <w:t> </w:t>
      </w:r>
      <w:r>
        <w:rPr>
          <w:color w:val="3A3838"/>
          <w:w w:val="110"/>
          <w:sz w:val="18"/>
        </w:rPr>
        <w:t>reversed</w:t>
      </w:r>
      <w:r>
        <w:rPr>
          <w:color w:val="3A3838"/>
          <w:spacing w:val="-7"/>
          <w:w w:val="110"/>
          <w:sz w:val="18"/>
        </w:rPr>
        <w:t> </w:t>
      </w:r>
      <w:r>
        <w:rPr>
          <w:color w:val="3A3838"/>
          <w:w w:val="110"/>
          <w:sz w:val="18"/>
        </w:rPr>
        <w:t>depending</w:t>
      </w:r>
      <w:r>
        <w:rPr>
          <w:color w:val="3A3838"/>
          <w:spacing w:val="2"/>
          <w:w w:val="110"/>
          <w:sz w:val="18"/>
        </w:rPr>
        <w:t> </w:t>
      </w:r>
      <w:r>
        <w:rPr>
          <w:color w:val="3A3838"/>
          <w:w w:val="110"/>
          <w:sz w:val="18"/>
        </w:rPr>
        <w:t>upon</w:t>
      </w:r>
      <w:r>
        <w:rPr>
          <w:color w:val="3A3838"/>
          <w:spacing w:val="2"/>
          <w:w w:val="110"/>
          <w:sz w:val="18"/>
        </w:rPr>
        <w:t> </w:t>
      </w:r>
      <w:r>
        <w:rPr>
          <w:color w:val="3A3838"/>
          <w:w w:val="110"/>
          <w:sz w:val="18"/>
        </w:rPr>
        <w:t>th</w:t>
      </w:r>
      <w:r>
        <w:rPr>
          <w:color w:val="545456"/>
          <w:w w:val="110"/>
          <w:sz w:val="18"/>
        </w:rPr>
        <w:t>e</w:t>
      </w:r>
      <w:r>
        <w:rPr>
          <w:color w:val="545456"/>
          <w:spacing w:val="-9"/>
          <w:w w:val="110"/>
          <w:sz w:val="18"/>
        </w:rPr>
        <w:t> </w:t>
      </w:r>
      <w:r>
        <w:rPr>
          <w:color w:val="3A3838"/>
          <w:w w:val="110"/>
          <w:sz w:val="18"/>
        </w:rPr>
        <w:t>authoritativen</w:t>
      </w:r>
      <w:r>
        <w:rPr>
          <w:color w:val="545456"/>
          <w:w w:val="110"/>
          <w:sz w:val="18"/>
        </w:rPr>
        <w:t>e</w:t>
      </w:r>
      <w:r>
        <w:rPr>
          <w:color w:val="3A3838"/>
          <w:w w:val="110"/>
          <w:sz w:val="18"/>
        </w:rPr>
        <w:t>ss</w:t>
      </w:r>
      <w:r>
        <w:rPr>
          <w:color w:val="3A3838"/>
          <w:spacing w:val="-9"/>
          <w:w w:val="110"/>
          <w:sz w:val="18"/>
        </w:rPr>
        <w:t> </w:t>
      </w:r>
      <w:r>
        <w:rPr>
          <w:color w:val="3A3838"/>
          <w:w w:val="110"/>
          <w:sz w:val="18"/>
        </w:rPr>
        <w:t>of</w:t>
      </w:r>
      <w:r>
        <w:rPr>
          <w:color w:val="3A3838"/>
          <w:spacing w:val="-13"/>
          <w:w w:val="110"/>
          <w:sz w:val="18"/>
        </w:rPr>
        <w:t> </w:t>
      </w:r>
      <w:r>
        <w:rPr>
          <w:color w:val="3A3838"/>
          <w:w w:val="110"/>
          <w:sz w:val="18"/>
        </w:rPr>
        <w:t>cases</w:t>
      </w:r>
      <w:r>
        <w:rPr>
          <w:color w:val="3A3838"/>
          <w:spacing w:val="-16"/>
          <w:w w:val="110"/>
          <w:sz w:val="18"/>
        </w:rPr>
        <w:t> </w:t>
      </w:r>
      <w:r>
        <w:rPr>
          <w:color w:val="3A3838"/>
          <w:w w:val="110"/>
          <w:sz w:val="18"/>
        </w:rPr>
        <w:t>and</w:t>
      </w:r>
      <w:r>
        <w:rPr>
          <w:color w:val="3A3838"/>
          <w:spacing w:val="5"/>
          <w:w w:val="110"/>
          <w:sz w:val="18"/>
        </w:rPr>
        <w:t> </w:t>
      </w:r>
      <w:r>
        <w:rPr>
          <w:color w:val="3A3838"/>
          <w:w w:val="110"/>
          <w:sz w:val="18"/>
        </w:rPr>
        <w:t>other</w:t>
      </w:r>
      <w:r>
        <w:rPr>
          <w:color w:val="3A3838"/>
          <w:spacing w:val="-22"/>
          <w:w w:val="110"/>
          <w:sz w:val="18"/>
        </w:rPr>
        <w:t> </w:t>
      </w:r>
      <w:r>
        <w:rPr>
          <w:color w:val="3A3838"/>
          <w:w w:val="110"/>
          <w:sz w:val="18"/>
        </w:rPr>
        <w:t>sources that</w:t>
      </w:r>
      <w:r>
        <w:rPr>
          <w:color w:val="3A3838"/>
          <w:spacing w:val="-8"/>
          <w:w w:val="110"/>
          <w:sz w:val="18"/>
        </w:rPr>
        <w:t> </w:t>
      </w:r>
      <w:r>
        <w:rPr>
          <w:color w:val="3A3838"/>
          <w:w w:val="110"/>
          <w:sz w:val="18"/>
        </w:rPr>
        <w:t>they</w:t>
      </w:r>
      <w:r>
        <w:rPr>
          <w:color w:val="3A3838"/>
          <w:spacing w:val="-8"/>
          <w:w w:val="110"/>
          <w:sz w:val="18"/>
        </w:rPr>
        <w:t> </w:t>
      </w:r>
      <w:r>
        <w:rPr>
          <w:color w:val="3A3838"/>
          <w:w w:val="110"/>
          <w:sz w:val="18"/>
        </w:rPr>
        <w:t>rely</w:t>
      </w:r>
      <w:r>
        <w:rPr>
          <w:color w:val="3A3838"/>
          <w:spacing w:val="-24"/>
          <w:w w:val="110"/>
          <w:sz w:val="18"/>
        </w:rPr>
        <w:t> </w:t>
      </w:r>
      <w:r>
        <w:rPr>
          <w:color w:val="3A3838"/>
          <w:w w:val="110"/>
          <w:sz w:val="18"/>
        </w:rPr>
        <w:t>on,</w:t>
      </w:r>
    </w:p>
    <w:p>
      <w:pPr>
        <w:spacing w:after="0" w:line="228" w:lineRule="auto"/>
        <w:jc w:val="both"/>
        <w:rPr>
          <w:sz w:val="18"/>
        </w:rPr>
        <w:sectPr>
          <w:headerReference w:type="even" r:id="rId168"/>
          <w:pgSz w:w="9390" w:h="13770"/>
          <w:pgMar w:header="454" w:footer="0" w:top="1040" w:bottom="0" w:left="1300" w:right="0"/>
          <w:pgNumType w:start="144"/>
        </w:sectPr>
      </w:pPr>
    </w:p>
    <w:p>
      <w:pPr>
        <w:tabs>
          <w:tab w:pos="8076" w:val="left" w:leader="none"/>
        </w:tabs>
        <w:spacing w:before="64"/>
        <w:ind w:left="5226" w:right="0" w:firstLine="0"/>
        <w:jc w:val="left"/>
        <w:rPr>
          <w:rFonts w:ascii="Arial"/>
          <w:b/>
          <w:sz w:val="17"/>
        </w:rPr>
      </w:pPr>
      <w:r>
        <w:rPr>
          <w:color w:val="383638"/>
          <w:w w:val="105"/>
          <w:sz w:val="18"/>
        </w:rPr>
        <w:t>6.5 </w:t>
      </w:r>
      <w:r>
        <w:rPr>
          <w:color w:val="383638"/>
          <w:spacing w:val="7"/>
          <w:w w:val="105"/>
          <w:sz w:val="18"/>
        </w:rPr>
        <w:t> </w:t>
      </w:r>
      <w:r>
        <w:rPr>
          <w:color w:val="383638"/>
          <w:w w:val="105"/>
          <w:sz w:val="18"/>
        </w:rPr>
        <w:t>Using</w:t>
      </w:r>
      <w:r>
        <w:rPr>
          <w:color w:val="383638"/>
          <w:spacing w:val="-2"/>
          <w:w w:val="105"/>
          <w:sz w:val="18"/>
        </w:rPr>
        <w:t> </w:t>
      </w:r>
      <w:r>
        <w:rPr>
          <w:color w:val="383638"/>
          <w:w w:val="105"/>
          <w:sz w:val="18"/>
        </w:rPr>
        <w:t>Citations</w:t>
      </w:r>
      <w:r>
        <w:rPr>
          <w:color w:val="383638"/>
          <w:spacing w:val="1"/>
          <w:w w:val="105"/>
          <w:sz w:val="18"/>
        </w:rPr>
        <w:t> </w:t>
      </w:r>
      <w:r>
        <w:rPr>
          <w:color w:val="383638"/>
          <w:w w:val="105"/>
          <w:sz w:val="18"/>
        </w:rPr>
        <w:t>Effectively</w:t>
        <w:tab/>
      </w:r>
      <w:r>
        <w:rPr>
          <w:rFonts w:ascii="Arial"/>
          <w:b/>
          <w:color w:val="383638"/>
          <w:w w:val="105"/>
          <w:sz w:val="17"/>
        </w:rPr>
        <w:t>14S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pStyle w:val="BodyText"/>
        <w:spacing w:line="232" w:lineRule="auto"/>
        <w:ind w:left="112" w:right="774" w:firstLine="344"/>
        <w:jc w:val="right"/>
      </w:pPr>
      <w:r>
        <w:rPr>
          <w:color w:val="383638"/>
          <w:w w:val="115"/>
        </w:rPr>
        <w:t>A reader who encounters a brief with citations in footnotes has three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0"/>
        </w:rPr>
        <w:t>choices for deciding what to do,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all of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them are bad. First,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reader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can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presume</w:t>
      </w:r>
      <w:r>
        <w:rPr>
          <w:color w:val="383638"/>
          <w:spacing w:val="26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writer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citing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an</w:t>
      </w:r>
      <w:r>
        <w:rPr>
          <w:color w:val="383638"/>
          <w:spacing w:val="38"/>
          <w:w w:val="110"/>
        </w:rPr>
        <w:t> </w:t>
      </w:r>
      <w:r>
        <w:rPr>
          <w:color w:val="383638"/>
          <w:w w:val="110"/>
        </w:rPr>
        <w:t>authoritative</w:t>
      </w:r>
      <w:r>
        <w:rPr>
          <w:color w:val="383638"/>
          <w:spacing w:val="25"/>
          <w:w w:val="110"/>
        </w:rPr>
        <w:t> </w:t>
      </w:r>
      <w:r>
        <w:rPr>
          <w:color w:val="383638"/>
          <w:w w:val="110"/>
        </w:rPr>
        <w:t>source.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This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choice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is bad because the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reader may be wrong and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may overvalue the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valid­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5"/>
        </w:rPr>
        <w:t>ity of the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writer's argument. Second,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reader can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presume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that the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0"/>
        </w:rPr>
        <w:t>writer is </w:t>
      </w:r>
      <w:r>
        <w:rPr>
          <w:i/>
          <w:color w:val="383638"/>
          <w:w w:val="110"/>
        </w:rPr>
        <w:t>not </w:t>
      </w:r>
      <w:r>
        <w:rPr>
          <w:color w:val="383638"/>
          <w:w w:val="110"/>
        </w:rPr>
        <w:t>citing an authoritative source</w:t>
      </w:r>
      <w:r>
        <w:rPr>
          <w:color w:val="606062"/>
          <w:w w:val="110"/>
        </w:rPr>
        <w:t>. </w:t>
      </w:r>
      <w:r>
        <w:rPr>
          <w:color w:val="383638"/>
          <w:w w:val="110"/>
        </w:rPr>
        <w:t>This choice is bad for the same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reason-the</w:t>
      </w:r>
      <w:r>
        <w:rPr>
          <w:color w:val="383638"/>
          <w:spacing w:val="17"/>
          <w:w w:val="115"/>
        </w:rPr>
        <w:t> </w:t>
      </w:r>
      <w:r>
        <w:rPr>
          <w:color w:val="383638"/>
          <w:w w:val="115"/>
        </w:rPr>
        <w:t>reader</w:t>
      </w:r>
      <w:r>
        <w:rPr>
          <w:color w:val="383638"/>
          <w:spacing w:val="15"/>
          <w:w w:val="115"/>
        </w:rPr>
        <w:t> </w:t>
      </w:r>
      <w:r>
        <w:rPr>
          <w:color w:val="383638"/>
          <w:w w:val="115"/>
        </w:rPr>
        <w:t>may</w:t>
      </w:r>
      <w:r>
        <w:rPr>
          <w:color w:val="383638"/>
          <w:spacing w:val="16"/>
          <w:w w:val="115"/>
        </w:rPr>
        <w:t> </w:t>
      </w:r>
      <w:r>
        <w:rPr>
          <w:color w:val="383638"/>
          <w:w w:val="115"/>
        </w:rPr>
        <w:t>be</w:t>
      </w:r>
      <w:r>
        <w:rPr>
          <w:color w:val="383638"/>
          <w:spacing w:val="22"/>
          <w:w w:val="115"/>
        </w:rPr>
        <w:t> </w:t>
      </w:r>
      <w:r>
        <w:rPr>
          <w:color w:val="383638"/>
          <w:w w:val="115"/>
        </w:rPr>
        <w:t>wrong-only</w:t>
      </w:r>
      <w:r>
        <w:rPr>
          <w:color w:val="383638"/>
          <w:spacing w:val="10"/>
          <w:w w:val="115"/>
        </w:rPr>
        <w:t> </w:t>
      </w:r>
      <w:r>
        <w:rPr>
          <w:color w:val="383638"/>
          <w:w w:val="115"/>
        </w:rPr>
        <w:t>this</w:t>
      </w:r>
      <w:r>
        <w:rPr>
          <w:color w:val="383638"/>
          <w:spacing w:val="-3"/>
          <w:w w:val="115"/>
        </w:rPr>
        <w:t> </w:t>
      </w:r>
      <w:r>
        <w:rPr>
          <w:color w:val="383638"/>
          <w:w w:val="115"/>
        </w:rPr>
        <w:t>time,</w:t>
      </w:r>
      <w:r>
        <w:rPr>
          <w:color w:val="383638"/>
          <w:spacing w:val="6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32"/>
          <w:w w:val="115"/>
        </w:rPr>
        <w:t> </w:t>
      </w:r>
      <w:r>
        <w:rPr>
          <w:color w:val="383638"/>
          <w:w w:val="115"/>
        </w:rPr>
        <w:t>reader</w:t>
      </w:r>
      <w:r>
        <w:rPr>
          <w:color w:val="383638"/>
          <w:spacing w:val="4"/>
          <w:w w:val="115"/>
        </w:rPr>
        <w:t> </w:t>
      </w:r>
      <w:r>
        <w:rPr>
          <w:color w:val="383638"/>
          <w:w w:val="115"/>
        </w:rPr>
        <w:t>will</w:t>
      </w:r>
      <w:r>
        <w:rPr>
          <w:color w:val="383638"/>
          <w:spacing w:val="16"/>
          <w:w w:val="115"/>
        </w:rPr>
        <w:t> </w:t>
      </w:r>
      <w:r>
        <w:rPr>
          <w:color w:val="383638"/>
          <w:w w:val="115"/>
        </w:rPr>
        <w:t>under­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value the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validity of the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writer's argument. Third, the reader can check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5"/>
        </w:rPr>
        <w:t>each footnote to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see if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citation provides an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authoritative source or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0"/>
        </w:rPr>
        <w:t>not. Of course, not every footnoted statement will be a legal assertion;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reader will therefore be checking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footnotes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that do nothing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more than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5"/>
        </w:rPr>
        <w:t>provide</w:t>
      </w:r>
      <w:r>
        <w:rPr>
          <w:color w:val="383638"/>
          <w:spacing w:val="11"/>
          <w:w w:val="115"/>
        </w:rPr>
        <w:t> </w:t>
      </w:r>
      <w:r>
        <w:rPr>
          <w:color w:val="383638"/>
          <w:w w:val="115"/>
        </w:rPr>
        <w:t>needed</w:t>
      </w:r>
      <w:r>
        <w:rPr>
          <w:color w:val="383638"/>
          <w:spacing w:val="18"/>
          <w:w w:val="115"/>
        </w:rPr>
        <w:t> </w:t>
      </w:r>
      <w:r>
        <w:rPr>
          <w:color w:val="383638"/>
          <w:w w:val="115"/>
        </w:rPr>
        <w:t>page</w:t>
      </w:r>
      <w:r>
        <w:rPr>
          <w:color w:val="383638"/>
          <w:spacing w:val="5"/>
          <w:w w:val="115"/>
        </w:rPr>
        <w:t> </w:t>
      </w:r>
      <w:r>
        <w:rPr>
          <w:color w:val="383638"/>
          <w:w w:val="115"/>
        </w:rPr>
        <w:t>numbers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for</w:t>
      </w:r>
      <w:r>
        <w:rPr>
          <w:color w:val="383638"/>
          <w:spacing w:val="3"/>
          <w:w w:val="115"/>
        </w:rPr>
        <w:t> </w:t>
      </w:r>
      <w:r>
        <w:rPr>
          <w:color w:val="383638"/>
          <w:w w:val="115"/>
        </w:rPr>
        <w:t>quoted</w:t>
      </w:r>
      <w:r>
        <w:rPr>
          <w:color w:val="383638"/>
          <w:spacing w:val="7"/>
          <w:w w:val="115"/>
        </w:rPr>
        <w:t> </w:t>
      </w:r>
      <w:r>
        <w:rPr>
          <w:color w:val="383638"/>
          <w:w w:val="115"/>
        </w:rPr>
        <w:t>or</w:t>
      </w:r>
      <w:r>
        <w:rPr>
          <w:color w:val="383638"/>
          <w:spacing w:val="20"/>
          <w:w w:val="115"/>
        </w:rPr>
        <w:t> </w:t>
      </w:r>
      <w:r>
        <w:rPr>
          <w:color w:val="383638"/>
          <w:w w:val="115"/>
        </w:rPr>
        <w:t>paraphrased</w:t>
      </w:r>
      <w:r>
        <w:rPr>
          <w:color w:val="383638"/>
          <w:spacing w:val="23"/>
          <w:w w:val="115"/>
        </w:rPr>
        <w:t> </w:t>
      </w:r>
      <w:r>
        <w:rPr>
          <w:color w:val="383638"/>
          <w:w w:val="115"/>
        </w:rPr>
        <w:t>statements</w:t>
      </w:r>
      <w:r>
        <w:rPr>
          <w:color w:val="383638"/>
          <w:spacing w:val="14"/>
          <w:w w:val="115"/>
        </w:rPr>
        <w:t> </w:t>
      </w:r>
      <w:r>
        <w:rPr>
          <w:color w:val="383638"/>
          <w:w w:val="115"/>
        </w:rPr>
        <w:t>of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fact. These citations could be passed over easily if they were </w:t>
      </w:r>
      <w:r>
        <w:rPr>
          <w:color w:val="383638"/>
          <w:w w:val="110"/>
          <w:sz w:val="21"/>
        </w:rPr>
        <w:t>in </w:t>
      </w:r>
      <w:r>
        <w:rPr>
          <w:color w:val="383638"/>
          <w:w w:val="110"/>
        </w:rPr>
        <w:t>text, but in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5"/>
        </w:rPr>
        <w:t>afootnote</w:t>
      </w:r>
      <w:r>
        <w:rPr>
          <w:color w:val="383638"/>
          <w:spacing w:val="-21"/>
          <w:w w:val="115"/>
        </w:rPr>
        <w:t> </w:t>
      </w:r>
      <w:r>
        <w:rPr>
          <w:color w:val="383638"/>
          <w:w w:val="115"/>
        </w:rPr>
        <w:t>they</w:t>
      </w:r>
      <w:r>
        <w:rPr>
          <w:color w:val="383638"/>
          <w:spacing w:val="-23"/>
          <w:w w:val="115"/>
        </w:rPr>
        <w:t> </w:t>
      </w:r>
      <w:r>
        <w:rPr>
          <w:color w:val="383638"/>
          <w:w w:val="115"/>
        </w:rPr>
        <w:t>require</w:t>
      </w:r>
      <w:r>
        <w:rPr>
          <w:color w:val="383638"/>
          <w:spacing w:val="-18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-5"/>
          <w:w w:val="115"/>
        </w:rPr>
        <w:t> </w:t>
      </w:r>
      <w:r>
        <w:rPr>
          <w:color w:val="383638"/>
          <w:w w:val="115"/>
        </w:rPr>
        <w:t>same</w:t>
      </w:r>
      <w:r>
        <w:rPr>
          <w:color w:val="383638"/>
          <w:spacing w:val="-29"/>
          <w:w w:val="115"/>
        </w:rPr>
        <w:t> </w:t>
      </w:r>
      <w:r>
        <w:rPr>
          <w:color w:val="383638"/>
          <w:w w:val="115"/>
        </w:rPr>
        <w:t>two</w:t>
      </w:r>
      <w:r>
        <w:rPr>
          <w:color w:val="383638"/>
          <w:spacing w:val="-27"/>
          <w:w w:val="115"/>
        </w:rPr>
        <w:t> </w:t>
      </w:r>
      <w:r>
        <w:rPr>
          <w:color w:val="383638"/>
          <w:w w:val="115"/>
        </w:rPr>
        <w:t>"finding</w:t>
      </w:r>
      <w:r>
        <w:rPr>
          <w:color w:val="383638"/>
          <w:spacing w:val="-26"/>
          <w:w w:val="115"/>
        </w:rPr>
        <w:t> </w:t>
      </w:r>
      <w:r>
        <w:rPr>
          <w:color w:val="383638"/>
          <w:w w:val="115"/>
        </w:rPr>
        <w:t>actions"</w:t>
      </w:r>
      <w:r>
        <w:rPr>
          <w:color w:val="383638"/>
          <w:spacing w:val="-13"/>
          <w:w w:val="115"/>
        </w:rPr>
        <w:t> </w:t>
      </w:r>
      <w:r>
        <w:rPr>
          <w:color w:val="383638"/>
          <w:w w:val="115"/>
        </w:rPr>
        <w:t>that</w:t>
      </w:r>
      <w:r>
        <w:rPr>
          <w:color w:val="383638"/>
          <w:spacing w:val="-18"/>
          <w:w w:val="115"/>
        </w:rPr>
        <w:t> </w:t>
      </w:r>
      <w:r>
        <w:rPr>
          <w:color w:val="383638"/>
          <w:w w:val="115"/>
        </w:rPr>
        <w:t>every</w:t>
      </w:r>
      <w:r>
        <w:rPr>
          <w:color w:val="383638"/>
          <w:spacing w:val="-18"/>
          <w:w w:val="115"/>
        </w:rPr>
        <w:t> </w:t>
      </w:r>
      <w:r>
        <w:rPr>
          <w:color w:val="383638"/>
          <w:w w:val="115"/>
        </w:rPr>
        <w:t>footnote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requires: First,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reader must check the number of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footnote and find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corresponding</w:t>
      </w:r>
      <w:r>
        <w:rPr>
          <w:color w:val="383638"/>
          <w:spacing w:val="25"/>
          <w:w w:val="110"/>
        </w:rPr>
        <w:t> </w:t>
      </w:r>
      <w:r>
        <w:rPr>
          <w:color w:val="383638"/>
          <w:w w:val="110"/>
        </w:rPr>
        <w:t>number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at</w:t>
      </w:r>
      <w:r>
        <w:rPr>
          <w:color w:val="383638"/>
          <w:spacing w:val="4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7"/>
          <w:w w:val="110"/>
        </w:rPr>
        <w:t> </w:t>
      </w:r>
      <w:r>
        <w:rPr>
          <w:color w:val="383638"/>
          <w:w w:val="110"/>
        </w:rPr>
        <w:t>bottom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32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51"/>
          <w:w w:val="110"/>
        </w:rPr>
        <w:t> </w:t>
      </w:r>
      <w:r>
        <w:rPr>
          <w:color w:val="383638"/>
          <w:w w:val="110"/>
        </w:rPr>
        <w:t>page.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Second,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55"/>
          <w:w w:val="110"/>
        </w:rPr>
        <w:t> </w:t>
      </w:r>
      <w:r>
        <w:rPr>
          <w:color w:val="383638"/>
          <w:w w:val="110"/>
        </w:rPr>
        <w:t>reader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must return to the text and find the place where he or she stopped reading.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Although at least one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judge prefers that citations appear in footnotes,</w:t>
      </w:r>
      <w:r>
        <w:rPr>
          <w:rFonts w:ascii="Arial" w:hAnsi="Arial"/>
          <w:color w:val="383638"/>
          <w:w w:val="110"/>
          <w:position w:val="8"/>
          <w:sz w:val="12"/>
        </w:rPr>
        <w:t>20</w:t>
      </w:r>
      <w:r>
        <w:rPr>
          <w:rFonts w:ascii="Arial" w:hAnsi="Arial"/>
          <w:color w:val="383638"/>
          <w:spacing w:val="1"/>
          <w:w w:val="110"/>
          <w:position w:val="8"/>
          <w:sz w:val="12"/>
        </w:rPr>
        <w:t> </w:t>
      </w:r>
      <w:r>
        <w:rPr>
          <w:color w:val="383638"/>
          <w:w w:val="110"/>
        </w:rPr>
        <w:t>others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say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quite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pointedly</w:t>
      </w:r>
      <w:r>
        <w:rPr>
          <w:color w:val="383638"/>
          <w:spacing w:val="45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footnotes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interfere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with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effective</w:t>
      </w:r>
      <w:r>
        <w:rPr>
          <w:color w:val="383638"/>
          <w:spacing w:val="36"/>
          <w:w w:val="110"/>
        </w:rPr>
        <w:t> </w:t>
      </w:r>
      <w:r>
        <w:rPr>
          <w:color w:val="383638"/>
          <w:w w:val="110"/>
        </w:rPr>
        <w:t>reading.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Speaking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footnotes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general,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former</w:t>
      </w:r>
      <w:r>
        <w:rPr>
          <w:color w:val="383638"/>
          <w:spacing w:val="-26"/>
          <w:w w:val="110"/>
        </w:rPr>
        <w:t> </w:t>
      </w:r>
      <w:r>
        <w:rPr>
          <w:color w:val="383638"/>
          <w:w w:val="110"/>
        </w:rPr>
        <w:t>Justice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Arthur</w:t>
      </w:r>
      <w:r>
        <w:rPr>
          <w:color w:val="383638"/>
          <w:spacing w:val="-23"/>
          <w:w w:val="110"/>
        </w:rPr>
        <w:t> </w:t>
      </w:r>
      <w:r>
        <w:rPr>
          <w:color w:val="383638"/>
          <w:w w:val="110"/>
        </w:rPr>
        <w:t>J.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Goldberg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praises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elimination of all footnotes from judicial opinions in the nameof increased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readability.</w:t>
      </w:r>
      <w:r>
        <w:rPr>
          <w:color w:val="383638"/>
          <w:w w:val="110"/>
          <w:vertAlign w:val="superscript"/>
        </w:rPr>
        <w:t>21</w:t>
      </w:r>
      <w:r>
        <w:rPr>
          <w:color w:val="383638"/>
          <w:w w:val="110"/>
          <w:vertAlign w:val="baseline"/>
        </w:rPr>
        <w:t> Judge Abner Mikva notes that "[i)f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footnotes were a rational</w:t>
      </w:r>
      <w:r>
        <w:rPr>
          <w:color w:val="383638"/>
          <w:spacing w:val="-61"/>
          <w:w w:val="110"/>
          <w:vertAlign w:val="baseline"/>
        </w:rPr>
        <w:t> </w:t>
      </w:r>
      <w:r>
        <w:rPr>
          <w:color w:val="383638"/>
          <w:w w:val="115"/>
          <w:vertAlign w:val="baseline"/>
        </w:rPr>
        <w:t>form</w:t>
      </w:r>
      <w:r>
        <w:rPr>
          <w:color w:val="383638"/>
          <w:spacing w:val="-15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of</w:t>
      </w:r>
      <w:r>
        <w:rPr>
          <w:color w:val="383638"/>
          <w:spacing w:val="-15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communication,</w:t>
      </w:r>
      <w:r>
        <w:rPr>
          <w:color w:val="383638"/>
          <w:spacing w:val="-15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Darwinian</w:t>
      </w:r>
      <w:r>
        <w:rPr>
          <w:color w:val="383638"/>
          <w:spacing w:val="-8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selection</w:t>
      </w:r>
      <w:r>
        <w:rPr>
          <w:color w:val="383638"/>
          <w:spacing w:val="-8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would</w:t>
      </w:r>
      <w:r>
        <w:rPr>
          <w:color w:val="383638"/>
          <w:spacing w:val="-1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have</w:t>
      </w:r>
      <w:r>
        <w:rPr>
          <w:color w:val="383638"/>
          <w:spacing w:val="-15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resulted</w:t>
      </w:r>
      <w:r>
        <w:rPr>
          <w:color w:val="383638"/>
          <w:spacing w:val="-12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in</w:t>
      </w:r>
      <w:r>
        <w:rPr>
          <w:color w:val="383638"/>
          <w:spacing w:val="5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the</w:t>
      </w:r>
      <w:r>
        <w:rPr>
          <w:color w:val="383638"/>
          <w:spacing w:val="-64"/>
          <w:w w:val="115"/>
          <w:vertAlign w:val="baseline"/>
        </w:rPr>
        <w:t> </w:t>
      </w:r>
      <w:r>
        <w:rPr>
          <w:color w:val="383638"/>
          <w:w w:val="110"/>
          <w:vertAlign w:val="baseline"/>
        </w:rPr>
        <w:t>eyes being set vertically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rather than on an inefficient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horizontal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plane."</w:t>
      </w:r>
      <w:r>
        <w:rPr>
          <w:rFonts w:ascii="Arial" w:hAnsi="Arial"/>
          <w:color w:val="383638"/>
          <w:w w:val="110"/>
          <w:position w:val="8"/>
          <w:sz w:val="12"/>
          <w:vertAlign w:val="baseline"/>
        </w:rPr>
        <w:t>22</w:t>
      </w:r>
      <w:r>
        <w:rPr>
          <w:rFonts w:ascii="Arial" w:hAnsi="Arial"/>
          <w:color w:val="383638"/>
          <w:spacing w:val="1"/>
          <w:w w:val="110"/>
          <w:position w:val="8"/>
          <w:sz w:val="12"/>
          <w:vertAlign w:val="baseline"/>
        </w:rPr>
        <w:t> </w:t>
      </w:r>
      <w:r>
        <w:rPr>
          <w:color w:val="383638"/>
          <w:w w:val="115"/>
          <w:vertAlign w:val="baseline"/>
        </w:rPr>
        <w:t>More recently, both Judge Posner and</w:t>
      </w:r>
      <w:r>
        <w:rPr>
          <w:color w:val="383638"/>
          <w:spacing w:val="1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Justice Scalia have protested the</w:t>
      </w:r>
      <w:r>
        <w:rPr>
          <w:color w:val="383638"/>
          <w:spacing w:val="-64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placement of citations in footnotes.</w:t>
      </w:r>
      <w:r>
        <w:rPr>
          <w:rFonts w:ascii="Arial" w:hAnsi="Arial"/>
          <w:color w:val="383638"/>
          <w:w w:val="115"/>
          <w:position w:val="9"/>
          <w:sz w:val="12"/>
          <w:vertAlign w:val="baseline"/>
        </w:rPr>
        <w:t>23 </w:t>
      </w:r>
      <w:r>
        <w:rPr>
          <w:color w:val="383638"/>
          <w:w w:val="115"/>
          <w:vertAlign w:val="baseline"/>
        </w:rPr>
        <w:t>A reader who wants to read a brief</w:t>
      </w:r>
      <w:r>
        <w:rPr>
          <w:color w:val="383638"/>
          <w:spacing w:val="-64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responsibly-Le.,</w:t>
      </w:r>
      <w:r>
        <w:rPr>
          <w:color w:val="383638"/>
          <w:spacing w:val="-26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understanding</w:t>
      </w:r>
      <w:r>
        <w:rPr>
          <w:color w:val="383638"/>
          <w:spacing w:val="21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the</w:t>
      </w:r>
      <w:r>
        <w:rPr>
          <w:color w:val="383638"/>
          <w:spacing w:val="31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validity</w:t>
      </w:r>
      <w:r>
        <w:rPr>
          <w:color w:val="383638"/>
          <w:spacing w:val="-2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of</w:t>
      </w:r>
      <w:r>
        <w:rPr>
          <w:color w:val="383638"/>
          <w:spacing w:val="20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legal</w:t>
      </w:r>
      <w:r>
        <w:rPr>
          <w:color w:val="383638"/>
          <w:spacing w:val="-21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assertions-will</w:t>
      </w:r>
      <w:r>
        <w:rPr>
          <w:color w:val="383638"/>
          <w:spacing w:val="-8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find</w:t>
      </w:r>
    </w:p>
    <w:p>
      <w:pPr>
        <w:pStyle w:val="BodyText"/>
        <w:spacing w:line="258" w:lineRule="exact" w:before="25"/>
        <w:ind w:left="131"/>
        <w:jc w:val="both"/>
      </w:pPr>
      <w:r>
        <w:rPr>
          <w:color w:val="383638"/>
          <w:w w:val="110"/>
        </w:rPr>
        <w:t>footnoted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citations</w:t>
      </w:r>
      <w:r>
        <w:rPr>
          <w:color w:val="383638"/>
          <w:spacing w:val="43"/>
          <w:w w:val="110"/>
        </w:rPr>
        <w:t> </w:t>
      </w:r>
      <w:r>
        <w:rPr>
          <w:color w:val="383638"/>
          <w:w w:val="110"/>
        </w:rPr>
        <w:t>just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distracting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any</w:t>
      </w:r>
      <w:r>
        <w:rPr>
          <w:color w:val="383638"/>
          <w:spacing w:val="32"/>
          <w:w w:val="110"/>
        </w:rPr>
        <w:t> </w:t>
      </w:r>
      <w:r>
        <w:rPr>
          <w:color w:val="383638"/>
          <w:w w:val="110"/>
        </w:rPr>
        <w:t>other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footnotes.</w:t>
      </w:r>
    </w:p>
    <w:p>
      <w:pPr>
        <w:pStyle w:val="BodyText"/>
        <w:spacing w:line="235" w:lineRule="auto"/>
        <w:ind w:left="128" w:right="761" w:firstLine="322"/>
        <w:jc w:val="both"/>
      </w:pPr>
      <w:r>
        <w:rPr>
          <w:color w:val="383638"/>
          <w:w w:val="110"/>
        </w:rPr>
        <w:t>The practical brief writer will remember the old saw that the only per­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son</w:t>
      </w:r>
      <w:r>
        <w:rPr>
          <w:color w:val="383638"/>
          <w:spacing w:val="-15"/>
          <w:w w:val="115"/>
        </w:rPr>
        <w:t> </w:t>
      </w:r>
      <w:r>
        <w:rPr>
          <w:color w:val="383638"/>
          <w:w w:val="115"/>
        </w:rPr>
        <w:t>who</w:t>
      </w:r>
      <w:r>
        <w:rPr>
          <w:color w:val="383638"/>
          <w:spacing w:val="2"/>
          <w:w w:val="115"/>
        </w:rPr>
        <w:t> </w:t>
      </w:r>
      <w:r>
        <w:rPr>
          <w:color w:val="383638"/>
          <w:w w:val="115"/>
        </w:rPr>
        <w:t>likes</w:t>
      </w:r>
      <w:r>
        <w:rPr>
          <w:color w:val="383638"/>
          <w:spacing w:val="-12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17"/>
          <w:w w:val="115"/>
        </w:rPr>
        <w:t> </w:t>
      </w:r>
      <w:r>
        <w:rPr>
          <w:color w:val="383638"/>
          <w:w w:val="115"/>
        </w:rPr>
        <w:t>be</w:t>
      </w:r>
      <w:r>
        <w:rPr>
          <w:color w:val="383638"/>
          <w:spacing w:val="-12"/>
          <w:w w:val="115"/>
        </w:rPr>
        <w:t> </w:t>
      </w:r>
      <w:r>
        <w:rPr>
          <w:color w:val="383638"/>
          <w:w w:val="115"/>
        </w:rPr>
        <w:t>interrupted</w:t>
      </w:r>
      <w:r>
        <w:rPr>
          <w:color w:val="383638"/>
          <w:spacing w:val="8"/>
          <w:w w:val="115"/>
        </w:rPr>
        <w:t> </w:t>
      </w:r>
      <w:r>
        <w:rPr>
          <w:color w:val="383638"/>
          <w:w w:val="115"/>
        </w:rPr>
        <w:t>in</w:t>
      </w:r>
      <w:r>
        <w:rPr>
          <w:color w:val="383638"/>
          <w:spacing w:val="4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5"/>
          <w:w w:val="115"/>
        </w:rPr>
        <w:t> </w:t>
      </w:r>
      <w:r>
        <w:rPr>
          <w:color w:val="383638"/>
          <w:w w:val="115"/>
        </w:rPr>
        <w:t>middle</w:t>
      </w:r>
      <w:r>
        <w:rPr>
          <w:color w:val="383638"/>
          <w:spacing w:val="-10"/>
          <w:w w:val="115"/>
        </w:rPr>
        <w:t> </w:t>
      </w:r>
      <w:r>
        <w:rPr>
          <w:color w:val="383638"/>
          <w:w w:val="115"/>
        </w:rPr>
        <w:t>of</w:t>
      </w:r>
      <w:r>
        <w:rPr>
          <w:color w:val="383638"/>
          <w:spacing w:val="-8"/>
          <w:w w:val="115"/>
        </w:rPr>
        <w:t> </w:t>
      </w:r>
      <w:r>
        <w:rPr>
          <w:color w:val="383638"/>
          <w:w w:val="115"/>
        </w:rPr>
        <w:t>a</w:t>
      </w:r>
      <w:r>
        <w:rPr>
          <w:color w:val="383638"/>
          <w:spacing w:val="-1"/>
          <w:w w:val="115"/>
        </w:rPr>
        <w:t> </w:t>
      </w:r>
      <w:r>
        <w:rPr>
          <w:color w:val="383638"/>
          <w:w w:val="115"/>
        </w:rPr>
        <w:t>sentence</w:t>
      </w:r>
      <w:r>
        <w:rPr>
          <w:color w:val="383638"/>
          <w:spacing w:val="-13"/>
          <w:w w:val="115"/>
        </w:rPr>
        <w:t> </w:t>
      </w:r>
      <w:r>
        <w:rPr>
          <w:color w:val="383638"/>
          <w:w w:val="115"/>
        </w:rPr>
        <w:t>is</w:t>
      </w:r>
      <w:r>
        <w:rPr>
          <w:color w:val="383638"/>
          <w:spacing w:val="-13"/>
          <w:w w:val="115"/>
        </w:rPr>
        <w:t> </w:t>
      </w:r>
      <w:r>
        <w:rPr>
          <w:color w:val="383638"/>
          <w:w w:val="115"/>
        </w:rPr>
        <w:t>a</w:t>
      </w:r>
      <w:r>
        <w:rPr>
          <w:color w:val="383638"/>
          <w:spacing w:val="-5"/>
          <w:w w:val="115"/>
        </w:rPr>
        <w:t> </w:t>
      </w:r>
      <w:r>
        <w:rPr>
          <w:color w:val="383638"/>
          <w:w w:val="115"/>
        </w:rPr>
        <w:t>prisoner.</w:t>
      </w:r>
      <w:r>
        <w:rPr>
          <w:color w:val="383638"/>
          <w:spacing w:val="-63"/>
          <w:w w:val="115"/>
        </w:rPr>
        <w:t> </w:t>
      </w:r>
      <w:r>
        <w:rPr>
          <w:color w:val="383638"/>
          <w:w w:val="110"/>
        </w:rPr>
        <w:t>Presume that all citations should be incorporated in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text,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make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exceptions</w:t>
      </w:r>
      <w:r>
        <w:rPr>
          <w:color w:val="383638"/>
          <w:spacing w:val="-4"/>
          <w:w w:val="115"/>
        </w:rPr>
        <w:t> </w:t>
      </w:r>
      <w:r>
        <w:rPr>
          <w:color w:val="383638"/>
          <w:w w:val="115"/>
        </w:rPr>
        <w:t>only</w:t>
      </w:r>
      <w:r>
        <w:rPr>
          <w:color w:val="383638"/>
          <w:spacing w:val="-16"/>
          <w:w w:val="115"/>
        </w:rPr>
        <w:t> </w:t>
      </w:r>
      <w:r>
        <w:rPr>
          <w:color w:val="383638"/>
          <w:w w:val="115"/>
        </w:rPr>
        <w:t>rarely.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7"/>
        </w:rPr>
      </w:pPr>
    </w:p>
    <w:p>
      <w:pPr>
        <w:spacing w:before="1"/>
        <w:ind w:left="467" w:right="0" w:firstLine="0"/>
        <w:jc w:val="left"/>
        <w:rPr>
          <w:sz w:val="19"/>
        </w:rPr>
      </w:pPr>
      <w:r>
        <w:rPr>
          <w:rFonts w:ascii="Arial"/>
          <w:color w:val="383638"/>
          <w:w w:val="105"/>
          <w:position w:val="4"/>
          <w:sz w:val="10"/>
        </w:rPr>
        <w:t>10</w:t>
      </w:r>
      <w:r>
        <w:rPr>
          <w:color w:val="383638"/>
          <w:w w:val="105"/>
          <w:sz w:val="18"/>
        </w:rPr>
        <w:t>Mark</w:t>
      </w:r>
      <w:r>
        <w:rPr>
          <w:color w:val="383638"/>
          <w:spacing w:val="22"/>
          <w:w w:val="105"/>
          <w:sz w:val="18"/>
        </w:rPr>
        <w:t> </w:t>
      </w:r>
      <w:r>
        <w:rPr>
          <w:color w:val="383638"/>
          <w:w w:val="105"/>
          <w:sz w:val="18"/>
        </w:rPr>
        <w:t>Painter,</w:t>
      </w:r>
      <w:r>
        <w:rPr>
          <w:color w:val="383638"/>
          <w:spacing w:val="14"/>
          <w:w w:val="105"/>
          <w:sz w:val="18"/>
        </w:rPr>
        <w:t> </w:t>
      </w:r>
      <w:r>
        <w:rPr>
          <w:i/>
          <w:color w:val="383638"/>
          <w:w w:val="105"/>
          <w:sz w:val="17"/>
        </w:rPr>
        <w:t>The</w:t>
      </w:r>
      <w:r>
        <w:rPr>
          <w:i/>
          <w:color w:val="383638"/>
          <w:spacing w:val="43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Legal</w:t>
      </w:r>
      <w:r>
        <w:rPr>
          <w:i/>
          <w:color w:val="383638"/>
          <w:spacing w:val="21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Writer:</w:t>
      </w:r>
      <w:r>
        <w:rPr>
          <w:i/>
          <w:color w:val="383638"/>
          <w:spacing w:val="7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40 </w:t>
      </w:r>
      <w:r>
        <w:rPr>
          <w:i/>
          <w:color w:val="383638"/>
          <w:spacing w:val="4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Rules </w:t>
      </w:r>
      <w:r>
        <w:rPr>
          <w:i/>
          <w:color w:val="383638"/>
          <w:spacing w:val="12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for</w:t>
      </w:r>
      <w:r>
        <w:rPr>
          <w:i/>
          <w:color w:val="383638"/>
          <w:spacing w:val="18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the </w:t>
      </w:r>
      <w:r>
        <w:rPr>
          <w:i/>
          <w:color w:val="383638"/>
          <w:spacing w:val="22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Art </w:t>
      </w:r>
      <w:r>
        <w:rPr>
          <w:i/>
          <w:color w:val="383638"/>
          <w:spacing w:val="1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of </w:t>
      </w:r>
      <w:r>
        <w:rPr>
          <w:i/>
          <w:color w:val="383638"/>
          <w:spacing w:val="6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legal</w:t>
      </w:r>
      <w:r>
        <w:rPr>
          <w:i/>
          <w:color w:val="383638"/>
          <w:spacing w:val="18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Writing</w:t>
      </w:r>
      <w:r>
        <w:rPr>
          <w:i/>
          <w:color w:val="383638"/>
          <w:spacing w:val="29"/>
          <w:w w:val="105"/>
          <w:sz w:val="17"/>
        </w:rPr>
        <w:t> </w:t>
      </w:r>
      <w:r>
        <w:rPr>
          <w:color w:val="383638"/>
          <w:w w:val="105"/>
          <w:sz w:val="18"/>
        </w:rPr>
        <w:t>47</w:t>
      </w:r>
      <w:r>
        <w:rPr>
          <w:color w:val="383638"/>
          <w:spacing w:val="11"/>
          <w:w w:val="105"/>
          <w:sz w:val="18"/>
        </w:rPr>
        <w:t> </w:t>
      </w:r>
      <w:r>
        <w:rPr>
          <w:rFonts w:ascii="Arial"/>
          <w:color w:val="383638"/>
          <w:w w:val="105"/>
          <w:sz w:val="17"/>
        </w:rPr>
        <w:t>(2d</w:t>
      </w:r>
      <w:r>
        <w:rPr>
          <w:rFonts w:ascii="Arial"/>
          <w:color w:val="383638"/>
          <w:spacing w:val="5"/>
          <w:w w:val="105"/>
          <w:sz w:val="17"/>
        </w:rPr>
        <w:t> </w:t>
      </w:r>
      <w:r>
        <w:rPr>
          <w:color w:val="383638"/>
          <w:w w:val="105"/>
          <w:sz w:val="17"/>
        </w:rPr>
        <w:t>ed.,</w:t>
      </w:r>
      <w:r>
        <w:rPr>
          <w:color w:val="383638"/>
          <w:spacing w:val="-15"/>
          <w:w w:val="105"/>
          <w:sz w:val="17"/>
        </w:rPr>
        <w:t> </w:t>
      </w:r>
      <w:r>
        <w:rPr>
          <w:color w:val="383638"/>
          <w:w w:val="105"/>
          <w:sz w:val="18"/>
        </w:rPr>
        <w:t>Jardyce</w:t>
      </w:r>
      <w:r>
        <w:rPr>
          <w:color w:val="383638"/>
          <w:spacing w:val="17"/>
          <w:w w:val="105"/>
          <w:sz w:val="18"/>
        </w:rPr>
        <w:t> </w:t>
      </w:r>
      <w:r>
        <w:rPr>
          <w:color w:val="383638"/>
          <w:w w:val="105"/>
          <w:sz w:val="19"/>
        </w:rPr>
        <w:t>&amp;</w:t>
      </w:r>
    </w:p>
    <w:p>
      <w:pPr>
        <w:spacing w:line="176" w:lineRule="exact" w:before="12"/>
        <w:ind w:left="117" w:right="0" w:firstLine="0"/>
        <w:jc w:val="left"/>
        <w:rPr>
          <w:sz w:val="16"/>
        </w:rPr>
      </w:pPr>
      <w:r>
        <w:rPr>
          <w:color w:val="383638"/>
          <w:w w:val="105"/>
          <w:sz w:val="18"/>
        </w:rPr>
        <w:t>Jardyce</w:t>
      </w:r>
      <w:r>
        <w:rPr>
          <w:color w:val="383638"/>
          <w:spacing w:val="-14"/>
          <w:w w:val="105"/>
          <w:sz w:val="18"/>
        </w:rPr>
        <w:t> </w:t>
      </w:r>
      <w:r>
        <w:rPr>
          <w:color w:val="383638"/>
          <w:w w:val="105"/>
          <w:sz w:val="16"/>
        </w:rPr>
        <w:t>2003)</w:t>
      </w:r>
      <w:r>
        <w:rPr>
          <w:color w:val="606062"/>
          <w:w w:val="105"/>
          <w:sz w:val="16"/>
        </w:rPr>
        <w:t>.</w:t>
      </w:r>
    </w:p>
    <w:p>
      <w:pPr>
        <w:spacing w:line="200" w:lineRule="exact" w:before="0"/>
        <w:ind w:left="474" w:right="0" w:firstLine="0"/>
        <w:jc w:val="left"/>
        <w:rPr>
          <w:sz w:val="18"/>
        </w:rPr>
      </w:pPr>
      <w:r>
        <w:rPr>
          <w:rFonts w:ascii="Arial"/>
          <w:color w:val="383638"/>
          <w:spacing w:val="-1"/>
          <w:w w:val="105"/>
          <w:position w:val="4"/>
          <w:sz w:val="11"/>
        </w:rPr>
        <w:t>21</w:t>
      </w:r>
      <w:r>
        <w:rPr>
          <w:color w:val="383638"/>
          <w:spacing w:val="-1"/>
          <w:w w:val="105"/>
          <w:sz w:val="18"/>
        </w:rPr>
        <w:t>Arthur</w:t>
      </w:r>
      <w:r>
        <w:rPr>
          <w:color w:val="383638"/>
          <w:spacing w:val="-15"/>
          <w:w w:val="105"/>
          <w:sz w:val="18"/>
        </w:rPr>
        <w:t> </w:t>
      </w:r>
      <w:r>
        <w:rPr>
          <w:color w:val="383638"/>
          <w:spacing w:val="-1"/>
          <w:w w:val="105"/>
          <w:sz w:val="21"/>
        </w:rPr>
        <w:t>J.</w:t>
      </w:r>
      <w:r>
        <w:rPr>
          <w:color w:val="383638"/>
          <w:spacing w:val="-28"/>
          <w:w w:val="105"/>
          <w:sz w:val="21"/>
        </w:rPr>
        <w:t> </w:t>
      </w:r>
      <w:r>
        <w:rPr>
          <w:color w:val="383638"/>
          <w:w w:val="105"/>
          <w:sz w:val="18"/>
        </w:rPr>
        <w:t>Goldberg,</w:t>
      </w:r>
      <w:r>
        <w:rPr>
          <w:color w:val="383638"/>
          <w:spacing w:val="-11"/>
          <w:w w:val="105"/>
          <w:sz w:val="18"/>
        </w:rPr>
        <w:t> </w:t>
      </w:r>
      <w:r>
        <w:rPr>
          <w:i/>
          <w:color w:val="383638"/>
          <w:w w:val="105"/>
          <w:sz w:val="17"/>
        </w:rPr>
        <w:t>The</w:t>
      </w:r>
      <w:r>
        <w:rPr>
          <w:i/>
          <w:color w:val="383638"/>
          <w:spacing w:val="23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Rise</w:t>
      </w:r>
      <w:r>
        <w:rPr>
          <w:i/>
          <w:color w:val="383638"/>
          <w:spacing w:val="-17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and</w:t>
      </w:r>
      <w:r>
        <w:rPr>
          <w:i/>
          <w:color w:val="383638"/>
          <w:spacing w:val="29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Fall</w:t>
      </w:r>
      <w:r>
        <w:rPr>
          <w:i/>
          <w:color w:val="383638"/>
          <w:spacing w:val="-7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(We</w:t>
      </w:r>
      <w:r>
        <w:rPr>
          <w:i/>
          <w:color w:val="383638"/>
          <w:spacing w:val="43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Hope)</w:t>
      </w:r>
      <w:r>
        <w:rPr>
          <w:i/>
          <w:color w:val="383638"/>
          <w:spacing w:val="-16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of</w:t>
      </w:r>
      <w:r>
        <w:rPr>
          <w:i/>
          <w:color w:val="383638"/>
          <w:spacing w:val="9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Footnotes,</w:t>
      </w:r>
      <w:r>
        <w:rPr>
          <w:i/>
          <w:color w:val="383638"/>
          <w:spacing w:val="-10"/>
          <w:w w:val="105"/>
          <w:sz w:val="17"/>
        </w:rPr>
        <w:t> </w:t>
      </w:r>
      <w:r>
        <w:rPr>
          <w:color w:val="383638"/>
          <w:w w:val="105"/>
          <w:sz w:val="18"/>
        </w:rPr>
        <w:t>69</w:t>
      </w:r>
      <w:r>
        <w:rPr>
          <w:color w:val="383638"/>
          <w:spacing w:val="22"/>
          <w:w w:val="105"/>
          <w:sz w:val="18"/>
        </w:rPr>
        <w:t> </w:t>
      </w:r>
      <w:r>
        <w:rPr>
          <w:color w:val="383638"/>
          <w:w w:val="105"/>
          <w:sz w:val="18"/>
        </w:rPr>
        <w:t>A.B</w:t>
      </w:r>
      <w:r>
        <w:rPr>
          <w:color w:val="606062"/>
          <w:w w:val="105"/>
          <w:sz w:val="18"/>
        </w:rPr>
        <w:t>.</w:t>
      </w:r>
      <w:r>
        <w:rPr>
          <w:color w:val="383638"/>
          <w:w w:val="105"/>
          <w:sz w:val="18"/>
        </w:rPr>
        <w:t>A.</w:t>
      </w:r>
      <w:r>
        <w:rPr>
          <w:color w:val="383638"/>
          <w:spacing w:val="-29"/>
          <w:w w:val="105"/>
          <w:sz w:val="18"/>
        </w:rPr>
        <w:t> </w:t>
      </w:r>
      <w:r>
        <w:rPr>
          <w:color w:val="383638"/>
          <w:w w:val="105"/>
          <w:sz w:val="21"/>
        </w:rPr>
        <w:t>J.</w:t>
      </w:r>
      <w:r>
        <w:rPr>
          <w:color w:val="383638"/>
          <w:spacing w:val="-25"/>
          <w:w w:val="105"/>
          <w:sz w:val="21"/>
        </w:rPr>
        <w:t> </w:t>
      </w:r>
      <w:r>
        <w:rPr>
          <w:color w:val="383638"/>
          <w:w w:val="105"/>
          <w:sz w:val="18"/>
        </w:rPr>
        <w:t>255,</w:t>
      </w:r>
      <w:r>
        <w:rPr>
          <w:color w:val="383638"/>
          <w:spacing w:val="3"/>
          <w:w w:val="105"/>
          <w:sz w:val="18"/>
        </w:rPr>
        <w:t> </w:t>
      </w:r>
      <w:r>
        <w:rPr>
          <w:color w:val="383638"/>
          <w:w w:val="105"/>
          <w:sz w:val="18"/>
        </w:rPr>
        <w:t>255</w:t>
      </w:r>
      <w:r>
        <w:rPr>
          <w:color w:val="383638"/>
          <w:spacing w:val="-9"/>
          <w:w w:val="105"/>
          <w:sz w:val="18"/>
        </w:rPr>
        <w:t> </w:t>
      </w:r>
      <w:r>
        <w:rPr>
          <w:color w:val="383638"/>
          <w:w w:val="105"/>
          <w:sz w:val="18"/>
        </w:rPr>
        <w:t>(1983).</w:t>
      </w:r>
    </w:p>
    <w:p>
      <w:pPr>
        <w:spacing w:line="194" w:lineRule="exact" w:before="0"/>
        <w:ind w:left="475" w:right="0" w:firstLine="0"/>
        <w:jc w:val="left"/>
        <w:rPr>
          <w:sz w:val="18"/>
        </w:rPr>
      </w:pPr>
      <w:r>
        <w:rPr>
          <w:color w:val="383638"/>
          <w:w w:val="105"/>
          <w:position w:val="4"/>
          <w:sz w:val="11"/>
        </w:rPr>
        <w:t>22</w:t>
      </w:r>
      <w:r>
        <w:rPr>
          <w:color w:val="383638"/>
          <w:w w:val="105"/>
          <w:sz w:val="18"/>
        </w:rPr>
        <w:t>Abner</w:t>
      </w:r>
      <w:r>
        <w:rPr>
          <w:color w:val="383638"/>
          <w:spacing w:val="14"/>
          <w:w w:val="105"/>
          <w:sz w:val="18"/>
        </w:rPr>
        <w:t> </w:t>
      </w:r>
      <w:r>
        <w:rPr>
          <w:color w:val="383638"/>
          <w:w w:val="105"/>
          <w:sz w:val="18"/>
        </w:rPr>
        <w:t>Mlkva,</w:t>
      </w:r>
      <w:r>
        <w:rPr>
          <w:color w:val="383638"/>
          <w:spacing w:val="-6"/>
          <w:w w:val="105"/>
          <w:sz w:val="18"/>
        </w:rPr>
        <w:t> </w:t>
      </w:r>
      <w:r>
        <w:rPr>
          <w:i/>
          <w:color w:val="383638"/>
          <w:w w:val="105"/>
          <w:sz w:val="17"/>
        </w:rPr>
        <w:t>Goodbye</w:t>
      </w:r>
      <w:r>
        <w:rPr>
          <w:i/>
          <w:color w:val="383638"/>
          <w:spacing w:val="1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to</w:t>
      </w:r>
      <w:r>
        <w:rPr>
          <w:i/>
          <w:color w:val="383638"/>
          <w:spacing w:val="37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Footnotes,</w:t>
      </w:r>
      <w:r>
        <w:rPr>
          <w:i/>
          <w:color w:val="383638"/>
          <w:spacing w:val="6"/>
          <w:w w:val="105"/>
          <w:sz w:val="17"/>
        </w:rPr>
        <w:t> </w:t>
      </w:r>
      <w:r>
        <w:rPr>
          <w:color w:val="383638"/>
          <w:w w:val="105"/>
          <w:sz w:val="18"/>
        </w:rPr>
        <w:t>56</w:t>
      </w:r>
      <w:r>
        <w:rPr>
          <w:color w:val="383638"/>
          <w:spacing w:val="29"/>
          <w:w w:val="105"/>
          <w:sz w:val="18"/>
        </w:rPr>
        <w:t> </w:t>
      </w:r>
      <w:r>
        <w:rPr>
          <w:rFonts w:ascii="Arial"/>
          <w:color w:val="383638"/>
          <w:w w:val="105"/>
          <w:sz w:val="17"/>
        </w:rPr>
        <w:t>U.</w:t>
      </w:r>
      <w:r>
        <w:rPr>
          <w:rFonts w:ascii="Arial"/>
          <w:color w:val="383638"/>
          <w:spacing w:val="20"/>
          <w:w w:val="105"/>
          <w:sz w:val="17"/>
        </w:rPr>
        <w:t> </w:t>
      </w:r>
      <w:r>
        <w:rPr>
          <w:color w:val="383638"/>
          <w:w w:val="105"/>
          <w:sz w:val="18"/>
        </w:rPr>
        <w:t>Colo.</w:t>
      </w:r>
      <w:r>
        <w:rPr>
          <w:color w:val="383638"/>
          <w:spacing w:val="7"/>
          <w:w w:val="105"/>
          <w:sz w:val="18"/>
        </w:rPr>
        <w:t> </w:t>
      </w:r>
      <w:r>
        <w:rPr>
          <w:color w:val="383638"/>
          <w:w w:val="105"/>
          <w:sz w:val="18"/>
        </w:rPr>
        <w:t>L.</w:t>
      </w:r>
      <w:r>
        <w:rPr>
          <w:color w:val="383638"/>
          <w:spacing w:val="3"/>
          <w:w w:val="105"/>
          <w:sz w:val="18"/>
        </w:rPr>
        <w:t> </w:t>
      </w:r>
      <w:r>
        <w:rPr>
          <w:color w:val="383638"/>
          <w:w w:val="105"/>
          <w:sz w:val="18"/>
        </w:rPr>
        <w:t>Rev</w:t>
      </w:r>
      <w:r>
        <w:rPr>
          <w:color w:val="606062"/>
          <w:w w:val="105"/>
          <w:sz w:val="18"/>
        </w:rPr>
        <w:t>.</w:t>
      </w:r>
      <w:r>
        <w:rPr>
          <w:color w:val="606062"/>
          <w:spacing w:val="15"/>
          <w:w w:val="105"/>
          <w:sz w:val="18"/>
        </w:rPr>
        <w:t> </w:t>
      </w:r>
      <w:r>
        <w:rPr>
          <w:color w:val="383638"/>
          <w:w w:val="105"/>
          <w:sz w:val="18"/>
        </w:rPr>
        <w:t>647,</w:t>
      </w:r>
      <w:r>
        <w:rPr>
          <w:color w:val="383638"/>
          <w:spacing w:val="3"/>
          <w:w w:val="105"/>
          <w:sz w:val="18"/>
        </w:rPr>
        <w:t> </w:t>
      </w:r>
      <w:r>
        <w:rPr>
          <w:color w:val="383638"/>
          <w:w w:val="105"/>
          <w:sz w:val="18"/>
        </w:rPr>
        <w:t>647</w:t>
      </w:r>
      <w:r>
        <w:rPr>
          <w:color w:val="383638"/>
          <w:spacing w:val="6"/>
          <w:w w:val="105"/>
          <w:sz w:val="18"/>
        </w:rPr>
        <w:t> </w:t>
      </w:r>
      <w:r>
        <w:rPr>
          <w:color w:val="383638"/>
          <w:w w:val="105"/>
          <w:sz w:val="18"/>
        </w:rPr>
        <w:t>(1985)</w:t>
      </w:r>
      <w:r>
        <w:rPr>
          <w:color w:val="383638"/>
          <w:spacing w:val="14"/>
          <w:w w:val="105"/>
          <w:sz w:val="18"/>
        </w:rPr>
        <w:t> </w:t>
      </w:r>
      <w:r>
        <w:rPr>
          <w:color w:val="383638"/>
          <w:w w:val="105"/>
          <w:sz w:val="18"/>
        </w:rPr>
        <w:t>(quoting</w:t>
      </w:r>
      <w:r>
        <w:rPr>
          <w:color w:val="383638"/>
          <w:spacing w:val="9"/>
          <w:w w:val="105"/>
          <w:sz w:val="18"/>
        </w:rPr>
        <w:t> </w:t>
      </w:r>
      <w:r>
        <w:rPr>
          <w:color w:val="383638"/>
          <w:w w:val="105"/>
          <w:sz w:val="18"/>
        </w:rPr>
        <w:t>Professor</w:t>
      </w:r>
    </w:p>
    <w:p>
      <w:pPr>
        <w:spacing w:line="235" w:lineRule="auto" w:before="1"/>
        <w:ind w:left="147" w:right="415" w:hanging="1"/>
        <w:jc w:val="left"/>
        <w:rPr>
          <w:sz w:val="18"/>
        </w:rPr>
      </w:pPr>
      <w:r>
        <w:rPr>
          <w:color w:val="383638"/>
          <w:w w:val="105"/>
          <w:sz w:val="18"/>
        </w:rPr>
        <w:t>Rodell, quoted In Kenneth Lasson, </w:t>
      </w:r>
      <w:r>
        <w:rPr>
          <w:i/>
          <w:color w:val="383638"/>
          <w:w w:val="105"/>
          <w:sz w:val="17"/>
        </w:rPr>
        <w:t>Scholarship Amok: Excesses in the</w:t>
      </w:r>
      <w:r>
        <w:rPr>
          <w:i/>
          <w:color w:val="383638"/>
          <w:spacing w:val="1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Pursuit ofTh1tlr and Tenure,</w:t>
      </w:r>
      <w:r>
        <w:rPr>
          <w:color w:val="383638"/>
          <w:w w:val="105"/>
          <w:sz w:val="17"/>
        </w:rPr>
        <w:t>103</w:t>
      </w:r>
      <w:r>
        <w:rPr>
          <w:color w:val="383638"/>
          <w:spacing w:val="-42"/>
          <w:w w:val="105"/>
          <w:sz w:val="17"/>
        </w:rPr>
        <w:t> </w:t>
      </w:r>
      <w:r>
        <w:rPr>
          <w:color w:val="383638"/>
          <w:w w:val="105"/>
          <w:sz w:val="17"/>
        </w:rPr>
        <w:t>Harv.</w:t>
      </w:r>
      <w:r>
        <w:rPr>
          <w:color w:val="383638"/>
          <w:spacing w:val="-13"/>
          <w:w w:val="105"/>
          <w:sz w:val="17"/>
        </w:rPr>
        <w:t> </w:t>
      </w:r>
      <w:r>
        <w:rPr>
          <w:rFonts w:ascii="Arial"/>
          <w:color w:val="383638"/>
          <w:w w:val="105"/>
          <w:sz w:val="16"/>
        </w:rPr>
        <w:t>L.</w:t>
      </w:r>
      <w:r>
        <w:rPr>
          <w:rFonts w:ascii="Arial"/>
          <w:color w:val="383638"/>
          <w:spacing w:val="15"/>
          <w:w w:val="105"/>
          <w:sz w:val="16"/>
        </w:rPr>
        <w:t> </w:t>
      </w:r>
      <w:r>
        <w:rPr>
          <w:color w:val="383638"/>
          <w:w w:val="105"/>
          <w:sz w:val="18"/>
        </w:rPr>
        <w:t>Rev.</w:t>
      </w:r>
      <w:r>
        <w:rPr>
          <w:color w:val="383638"/>
          <w:spacing w:val="-20"/>
          <w:w w:val="105"/>
          <w:sz w:val="18"/>
        </w:rPr>
        <w:t> </w:t>
      </w:r>
      <w:r>
        <w:rPr>
          <w:color w:val="383638"/>
          <w:w w:val="105"/>
          <w:sz w:val="18"/>
        </w:rPr>
        <w:t>926,</w:t>
      </w:r>
      <w:r>
        <w:rPr>
          <w:color w:val="383638"/>
          <w:spacing w:val="-23"/>
          <w:w w:val="105"/>
          <w:sz w:val="18"/>
        </w:rPr>
        <w:t> </w:t>
      </w:r>
      <w:r>
        <w:rPr>
          <w:color w:val="383638"/>
          <w:w w:val="105"/>
          <w:sz w:val="18"/>
        </w:rPr>
        <w:t>942 (1990)).</w:t>
      </w:r>
    </w:p>
    <w:p>
      <w:pPr>
        <w:tabs>
          <w:tab w:pos="5898" w:val="left" w:leader="none"/>
        </w:tabs>
        <w:spacing w:line="175" w:lineRule="auto" w:before="3"/>
        <w:ind w:left="142" w:right="681" w:firstLine="323"/>
        <w:jc w:val="left"/>
        <w:rPr>
          <w:i/>
          <w:sz w:val="17"/>
        </w:rPr>
      </w:pPr>
      <w:r>
        <w:rPr/>
        <w:pict>
          <v:shape style="position:absolute;margin-left:296.478088pt;margin-top:3.482477pt;width:14.4pt;height:17.25pt;mso-position-horizontal-relative:page;mso-position-vertical-relative:paragraph;z-index:-21601280" type="#_x0000_t202" id="docshape271" filled="false" stroked="false">
            <v:textbox inset="0,0,0,0">
              <w:txbxContent>
                <w:p>
                  <w:pPr>
                    <w:spacing w:line="344" w:lineRule="exact" w:before="0"/>
                    <w:ind w:left="0" w:right="0" w:firstLine="0"/>
                    <w:jc w:val="left"/>
                    <w:rPr>
                      <w:i/>
                      <w:sz w:val="31"/>
                    </w:rPr>
                  </w:pPr>
                  <w:r>
                    <w:rPr>
                      <w:i/>
                      <w:color w:val="383638"/>
                      <w:w w:val="60"/>
                      <w:sz w:val="31"/>
                    </w:rPr>
                    <w:t>!1'"</w:t>
                  </w:r>
                </w:p>
              </w:txbxContent>
            </v:textbox>
            <w10:wrap type="none"/>
          </v:shape>
        </w:pict>
      </w:r>
      <w:r>
        <w:rPr>
          <w:color w:val="383638"/>
          <w:w w:val="105"/>
          <w:sz w:val="18"/>
        </w:rPr>
        <w:t>"J.H. Huebert, </w:t>
      </w:r>
      <w:r>
        <w:rPr>
          <w:i/>
          <w:color w:val="383638"/>
          <w:w w:val="105"/>
          <w:sz w:val="17"/>
        </w:rPr>
        <w:t>How to</w:t>
      </w:r>
      <w:r>
        <w:rPr>
          <w:i/>
          <w:color w:val="383638"/>
          <w:spacing w:val="1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Persuade Judges</w:t>
      </w:r>
      <w:r>
        <w:rPr>
          <w:i/>
          <w:color w:val="383638"/>
          <w:spacing w:val="1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In the</w:t>
      </w:r>
      <w:r>
        <w:rPr>
          <w:i/>
          <w:color w:val="383638"/>
          <w:spacing w:val="1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Real World,</w:t>
      </w:r>
      <w:r>
        <w:rPr>
          <w:color w:val="383638"/>
          <w:w w:val="105"/>
          <w:sz w:val="18"/>
        </w:rPr>
        <w:t>35 Ohio N.U. L. Rev. </w:t>
      </w:r>
      <w:r>
        <w:rPr>
          <w:color w:val="383638"/>
          <w:w w:val="105"/>
          <w:sz w:val="17"/>
        </w:rPr>
        <w:t>829, 831 </w:t>
      </w:r>
      <w:r>
        <w:rPr>
          <w:color w:val="383638"/>
          <w:w w:val="105"/>
          <w:sz w:val="18"/>
        </w:rPr>
        <w:t>(200</w:t>
      </w:r>
      <w:r>
        <w:rPr>
          <w:color w:val="383638"/>
          <w:w w:val="105"/>
          <w:position w:val="-6"/>
          <w:sz w:val="18"/>
        </w:rPr>
        <w:t>9</w:t>
      </w:r>
      <w:r>
        <w:rPr>
          <w:color w:val="383638"/>
          <w:w w:val="105"/>
          <w:sz w:val="18"/>
        </w:rPr>
        <w:t>)</w:t>
      </w:r>
      <w:r>
        <w:rPr>
          <w:color w:val="383638"/>
          <w:spacing w:val="1"/>
          <w:w w:val="105"/>
          <w:sz w:val="18"/>
        </w:rPr>
        <w:t> </w:t>
      </w:r>
      <w:r>
        <w:rPr>
          <w:color w:val="383638"/>
          <w:w w:val="105"/>
          <w:sz w:val="18"/>
        </w:rPr>
        <w:t>(book</w:t>
      </w:r>
      <w:r>
        <w:rPr>
          <w:color w:val="383638"/>
          <w:spacing w:val="13"/>
          <w:w w:val="105"/>
          <w:sz w:val="18"/>
        </w:rPr>
        <w:t> </w:t>
      </w:r>
      <w:r>
        <w:rPr>
          <w:color w:val="383638"/>
          <w:w w:val="105"/>
          <w:sz w:val="18"/>
        </w:rPr>
        <w:t>review</w:t>
      </w:r>
      <w:r>
        <w:rPr>
          <w:color w:val="383638"/>
          <w:spacing w:val="-5"/>
          <w:w w:val="105"/>
          <w:sz w:val="18"/>
        </w:rPr>
        <w:t> </w:t>
      </w:r>
      <w:r>
        <w:rPr>
          <w:color w:val="383638"/>
          <w:w w:val="105"/>
          <w:sz w:val="18"/>
        </w:rPr>
        <w:t>of</w:t>
      </w:r>
      <w:r>
        <w:rPr>
          <w:color w:val="383638"/>
          <w:spacing w:val="28"/>
          <w:w w:val="105"/>
          <w:sz w:val="18"/>
        </w:rPr>
        <w:t> </w:t>
      </w:r>
      <w:r>
        <w:rPr>
          <w:color w:val="383638"/>
          <w:w w:val="105"/>
          <w:sz w:val="18"/>
        </w:rPr>
        <w:t>Antonin</w:t>
      </w:r>
      <w:r>
        <w:rPr>
          <w:color w:val="383638"/>
          <w:spacing w:val="5"/>
          <w:w w:val="105"/>
          <w:sz w:val="18"/>
        </w:rPr>
        <w:t> </w:t>
      </w:r>
      <w:r>
        <w:rPr>
          <w:color w:val="383638"/>
          <w:w w:val="105"/>
          <w:sz w:val="18"/>
        </w:rPr>
        <w:t>S</w:t>
      </w:r>
      <w:r>
        <w:rPr>
          <w:color w:val="606062"/>
          <w:w w:val="105"/>
          <w:sz w:val="18"/>
        </w:rPr>
        <w:t>c</w:t>
      </w:r>
      <w:r>
        <w:rPr>
          <w:color w:val="383638"/>
          <w:w w:val="105"/>
          <w:sz w:val="18"/>
        </w:rPr>
        <w:t>alia</w:t>
      </w:r>
      <w:r>
        <w:rPr>
          <w:color w:val="383638"/>
          <w:spacing w:val="15"/>
          <w:w w:val="105"/>
          <w:sz w:val="18"/>
        </w:rPr>
        <w:t> </w:t>
      </w:r>
      <w:r>
        <w:rPr>
          <w:color w:val="383638"/>
          <w:w w:val="105"/>
          <w:sz w:val="18"/>
        </w:rPr>
        <w:t>&amp;</w:t>
      </w:r>
      <w:r>
        <w:rPr>
          <w:color w:val="383638"/>
          <w:spacing w:val="24"/>
          <w:w w:val="105"/>
          <w:sz w:val="18"/>
        </w:rPr>
        <w:t> </w:t>
      </w:r>
      <w:r>
        <w:rPr>
          <w:color w:val="383638"/>
          <w:w w:val="105"/>
          <w:sz w:val="18"/>
        </w:rPr>
        <w:t>Bryan</w:t>
      </w:r>
      <w:r>
        <w:rPr>
          <w:color w:val="383638"/>
          <w:spacing w:val="13"/>
          <w:w w:val="105"/>
          <w:sz w:val="18"/>
        </w:rPr>
        <w:t> </w:t>
      </w:r>
      <w:r>
        <w:rPr>
          <w:color w:val="383638"/>
          <w:w w:val="105"/>
          <w:sz w:val="18"/>
        </w:rPr>
        <w:t>Gamer,</w:t>
      </w:r>
      <w:r>
        <w:rPr>
          <w:color w:val="383638"/>
          <w:spacing w:val="2"/>
          <w:w w:val="105"/>
          <w:sz w:val="18"/>
        </w:rPr>
        <w:t> </w:t>
      </w:r>
      <w:r>
        <w:rPr>
          <w:i/>
          <w:color w:val="383638"/>
          <w:w w:val="105"/>
          <w:sz w:val="17"/>
        </w:rPr>
        <w:t>Maki11g</w:t>
      </w:r>
      <w:r>
        <w:rPr>
          <w:i/>
          <w:color w:val="383638"/>
          <w:spacing w:val="17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Your</w:t>
      </w:r>
      <w:r>
        <w:rPr>
          <w:i/>
          <w:color w:val="383638"/>
          <w:spacing w:val="-5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Case:</w:t>
        <w:tab/>
      </w:r>
      <w:r>
        <w:rPr>
          <w:i/>
          <w:color w:val="383638"/>
          <w:sz w:val="17"/>
        </w:rPr>
        <w:t>Art</w:t>
      </w:r>
      <w:r>
        <w:rPr>
          <w:i/>
          <w:color w:val="383638"/>
          <w:spacing w:val="73"/>
          <w:sz w:val="17"/>
        </w:rPr>
        <w:t> </w:t>
      </w:r>
      <w:r>
        <w:rPr>
          <w:i/>
          <w:color w:val="383638"/>
          <w:sz w:val="17"/>
        </w:rPr>
        <w:t>of</w:t>
      </w:r>
      <w:r>
        <w:rPr>
          <w:i/>
          <w:color w:val="383638"/>
          <w:spacing w:val="64"/>
          <w:sz w:val="17"/>
        </w:rPr>
        <w:t> </w:t>
      </w:r>
      <w:r>
        <w:rPr>
          <w:i/>
          <w:color w:val="383638"/>
          <w:sz w:val="17"/>
        </w:rPr>
        <w:t>Persuadi,ig</w:t>
      </w:r>
      <w:r>
        <w:rPr>
          <w:i/>
          <w:color w:val="383638"/>
          <w:spacing w:val="12"/>
          <w:sz w:val="17"/>
        </w:rPr>
        <w:t> </w:t>
      </w:r>
      <w:r>
        <w:rPr>
          <w:i/>
          <w:color w:val="383638"/>
          <w:sz w:val="17"/>
        </w:rPr>
        <w:t>Judges</w:t>
      </w:r>
    </w:p>
    <w:p>
      <w:pPr>
        <w:spacing w:line="203" w:lineRule="exact" w:before="0"/>
        <w:ind w:left="142" w:right="0" w:firstLine="0"/>
        <w:jc w:val="left"/>
        <w:rPr>
          <w:sz w:val="18"/>
        </w:rPr>
      </w:pPr>
      <w:r>
        <w:rPr>
          <w:color w:val="383638"/>
          <w:spacing w:val="-1"/>
          <w:w w:val="105"/>
          <w:sz w:val="18"/>
        </w:rPr>
        <w:t>(2008),</w:t>
      </w:r>
      <w:r>
        <w:rPr>
          <w:color w:val="383638"/>
          <w:spacing w:val="-8"/>
          <w:w w:val="105"/>
          <w:sz w:val="18"/>
        </w:rPr>
        <w:t> </w:t>
      </w:r>
      <w:r>
        <w:rPr>
          <w:color w:val="383638"/>
          <w:spacing w:val="-1"/>
          <w:w w:val="105"/>
          <w:sz w:val="18"/>
        </w:rPr>
        <w:t>which</w:t>
      </w:r>
      <w:r>
        <w:rPr>
          <w:color w:val="383638"/>
          <w:spacing w:val="-9"/>
          <w:w w:val="105"/>
          <w:sz w:val="18"/>
        </w:rPr>
        <w:t> </w:t>
      </w:r>
      <w:r>
        <w:rPr>
          <w:color w:val="383638"/>
          <w:spacing w:val="-1"/>
          <w:w w:val="105"/>
          <w:sz w:val="18"/>
        </w:rPr>
        <w:t>cites</w:t>
      </w:r>
      <w:r>
        <w:rPr>
          <w:color w:val="383638"/>
          <w:spacing w:val="-21"/>
          <w:w w:val="105"/>
          <w:sz w:val="18"/>
        </w:rPr>
        <w:t> </w:t>
      </w:r>
      <w:r>
        <w:rPr>
          <w:color w:val="383638"/>
          <w:spacing w:val="-1"/>
          <w:w w:val="105"/>
          <w:sz w:val="18"/>
        </w:rPr>
        <w:t>Scalia</w:t>
      </w:r>
      <w:r>
        <w:rPr>
          <w:color w:val="383638"/>
          <w:spacing w:val="4"/>
          <w:w w:val="105"/>
          <w:sz w:val="18"/>
        </w:rPr>
        <w:t> </w:t>
      </w:r>
      <w:r>
        <w:rPr>
          <w:color w:val="383638"/>
          <w:spacing w:val="-1"/>
          <w:w w:val="105"/>
          <w:sz w:val="16"/>
        </w:rPr>
        <w:t>&amp;</w:t>
      </w:r>
      <w:r>
        <w:rPr>
          <w:color w:val="383638"/>
          <w:spacing w:val="12"/>
          <w:w w:val="105"/>
          <w:sz w:val="16"/>
        </w:rPr>
        <w:t> </w:t>
      </w:r>
      <w:r>
        <w:rPr>
          <w:color w:val="383638"/>
          <w:spacing w:val="-1"/>
          <w:w w:val="105"/>
          <w:sz w:val="18"/>
        </w:rPr>
        <w:t>Garner,</w:t>
      </w:r>
      <w:r>
        <w:rPr>
          <w:color w:val="383638"/>
          <w:spacing w:val="-8"/>
          <w:w w:val="105"/>
          <w:sz w:val="18"/>
        </w:rPr>
        <w:t> </w:t>
      </w:r>
      <w:r>
        <w:rPr>
          <w:color w:val="383638"/>
          <w:spacing w:val="-1"/>
          <w:w w:val="105"/>
          <w:sz w:val="18"/>
        </w:rPr>
        <w:t>at </w:t>
      </w:r>
      <w:r>
        <w:rPr>
          <w:color w:val="383638"/>
          <w:w w:val="105"/>
          <w:sz w:val="18"/>
        </w:rPr>
        <w:t>35,</w:t>
      </w:r>
      <w:r>
        <w:rPr>
          <w:color w:val="383638"/>
          <w:spacing w:val="2"/>
          <w:w w:val="105"/>
          <w:sz w:val="18"/>
        </w:rPr>
        <w:t> </w:t>
      </w:r>
      <w:r>
        <w:rPr>
          <w:color w:val="383638"/>
          <w:w w:val="105"/>
          <w:sz w:val="18"/>
        </w:rPr>
        <w:t>and</w:t>
      </w:r>
      <w:r>
        <w:rPr>
          <w:color w:val="383638"/>
          <w:spacing w:val="23"/>
          <w:w w:val="105"/>
          <w:sz w:val="18"/>
        </w:rPr>
        <w:t> </w:t>
      </w:r>
      <w:r>
        <w:rPr>
          <w:color w:val="383638"/>
          <w:w w:val="105"/>
          <w:sz w:val="18"/>
        </w:rPr>
        <w:t>Richard</w:t>
      </w:r>
      <w:r>
        <w:rPr>
          <w:color w:val="383638"/>
          <w:spacing w:val="4"/>
          <w:w w:val="105"/>
          <w:sz w:val="18"/>
        </w:rPr>
        <w:t> </w:t>
      </w:r>
      <w:r>
        <w:rPr>
          <w:color w:val="383638"/>
          <w:w w:val="105"/>
          <w:sz w:val="18"/>
        </w:rPr>
        <w:t>A.</w:t>
      </w:r>
      <w:r>
        <w:rPr>
          <w:color w:val="383638"/>
          <w:spacing w:val="-13"/>
          <w:w w:val="105"/>
          <w:sz w:val="18"/>
        </w:rPr>
        <w:t> </w:t>
      </w:r>
      <w:r>
        <w:rPr>
          <w:color w:val="383638"/>
          <w:w w:val="105"/>
          <w:sz w:val="18"/>
        </w:rPr>
        <w:t>Posner,</w:t>
      </w:r>
      <w:r>
        <w:rPr>
          <w:color w:val="383638"/>
          <w:spacing w:val="2"/>
          <w:w w:val="105"/>
          <w:sz w:val="18"/>
        </w:rPr>
        <w:t> </w:t>
      </w:r>
      <w:r>
        <w:rPr>
          <w:i/>
          <w:color w:val="383638"/>
          <w:w w:val="105"/>
          <w:sz w:val="17"/>
        </w:rPr>
        <w:t>Agamst</w:t>
      </w:r>
      <w:r>
        <w:rPr>
          <w:i/>
          <w:color w:val="383638"/>
          <w:spacing w:val="5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Foot11otes,</w:t>
      </w:r>
      <w:r>
        <w:rPr>
          <w:i/>
          <w:color w:val="383638"/>
          <w:spacing w:val="-6"/>
          <w:w w:val="105"/>
          <w:sz w:val="17"/>
        </w:rPr>
        <w:t> </w:t>
      </w:r>
      <w:r>
        <w:rPr>
          <w:color w:val="383638"/>
          <w:w w:val="105"/>
          <w:sz w:val="18"/>
        </w:rPr>
        <w:t>38</w:t>
      </w:r>
      <w:r>
        <w:rPr>
          <w:color w:val="383638"/>
          <w:spacing w:val="32"/>
          <w:w w:val="105"/>
          <w:sz w:val="18"/>
        </w:rPr>
        <w:t> </w:t>
      </w:r>
      <w:r>
        <w:rPr>
          <w:color w:val="383638"/>
          <w:w w:val="105"/>
          <w:sz w:val="18"/>
        </w:rPr>
        <w:t>Court</w:t>
      </w:r>
      <w:r>
        <w:rPr>
          <w:color w:val="383638"/>
          <w:spacing w:val="5"/>
          <w:w w:val="105"/>
          <w:sz w:val="18"/>
        </w:rPr>
        <w:t> </w:t>
      </w:r>
      <w:r>
        <w:rPr>
          <w:color w:val="383638"/>
          <w:w w:val="105"/>
          <w:sz w:val="18"/>
        </w:rPr>
        <w:t>Rev.</w:t>
      </w:r>
    </w:p>
    <w:p>
      <w:pPr>
        <w:spacing w:before="24"/>
        <w:ind w:left="147" w:right="0" w:firstLine="0"/>
        <w:jc w:val="left"/>
        <w:rPr>
          <w:sz w:val="16"/>
        </w:rPr>
      </w:pPr>
      <w:r>
        <w:rPr>
          <w:color w:val="383638"/>
          <w:w w:val="110"/>
          <w:sz w:val="16"/>
        </w:rPr>
        <w:t>Z4,</w:t>
      </w:r>
      <w:r>
        <w:rPr>
          <w:color w:val="383638"/>
          <w:spacing w:val="-13"/>
          <w:w w:val="110"/>
          <w:sz w:val="16"/>
        </w:rPr>
        <w:t> </w:t>
      </w:r>
      <w:r>
        <w:rPr>
          <w:color w:val="383638"/>
          <w:w w:val="110"/>
          <w:sz w:val="16"/>
        </w:rPr>
        <w:t>24</w:t>
      </w:r>
      <w:r>
        <w:rPr>
          <w:color w:val="383638"/>
          <w:spacing w:val="13"/>
          <w:w w:val="110"/>
          <w:sz w:val="16"/>
        </w:rPr>
        <w:t> </w:t>
      </w:r>
      <w:r>
        <w:rPr>
          <w:color w:val="383638"/>
          <w:w w:val="110"/>
          <w:sz w:val="16"/>
        </w:rPr>
        <w:t>(2001)).</w:t>
      </w:r>
    </w:p>
    <w:p>
      <w:pPr>
        <w:spacing w:after="0"/>
        <w:jc w:val="left"/>
        <w:rPr>
          <w:sz w:val="16"/>
        </w:rPr>
        <w:sectPr>
          <w:headerReference w:type="default" r:id="rId169"/>
          <w:pgSz w:w="9450" w:h="13730"/>
          <w:pgMar w:header="0" w:footer="0" w:top="460" w:bottom="280" w:left="400" w:right="560"/>
        </w:sectPr>
      </w:pPr>
    </w:p>
    <w:p>
      <w:pPr>
        <w:spacing w:before="81"/>
        <w:ind w:left="1166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83638"/>
          <w:w w:val="105"/>
          <w:sz w:val="28"/>
        </w:rPr>
        <w:t>6.5.4</w:t>
      </w:r>
    </w:p>
    <w:p>
      <w:pPr>
        <w:pStyle w:val="BodyText"/>
        <w:spacing w:line="297" w:lineRule="auto" w:before="15"/>
        <w:ind w:left="1150" w:firstLine="26"/>
      </w:pPr>
      <w:r>
        <w:rPr>
          <w:color w:val="383638"/>
          <w:w w:val="95"/>
        </w:rPr>
        <w:t>USING</w:t>
      </w:r>
      <w:r>
        <w:rPr>
          <w:color w:val="383638"/>
          <w:spacing w:val="1"/>
          <w:w w:val="95"/>
        </w:rPr>
        <w:t> </w:t>
      </w:r>
      <w:r>
        <w:rPr>
          <w:color w:val="383638"/>
          <w:w w:val="95"/>
        </w:rPr>
        <w:t>EFFECTIVE</w:t>
      </w:r>
      <w:r>
        <w:rPr>
          <w:color w:val="383638"/>
          <w:spacing w:val="1"/>
          <w:w w:val="95"/>
        </w:rPr>
        <w:t> </w:t>
      </w:r>
      <w:r>
        <w:rPr>
          <w:color w:val="383638"/>
          <w:w w:val="95"/>
        </w:rPr>
        <w:t>SENTENCE</w:t>
      </w:r>
      <w:r>
        <w:rPr>
          <w:color w:val="383638"/>
          <w:spacing w:val="1"/>
          <w:w w:val="95"/>
        </w:rPr>
        <w:t> </w:t>
      </w:r>
      <w:r>
        <w:rPr>
          <w:color w:val="383638"/>
          <w:w w:val="95"/>
        </w:rPr>
        <w:t>STRUCTURES TO </w:t>
      </w:r>
      <w:r>
        <w:rPr>
          <w:color w:val="4D4B4D"/>
          <w:w w:val="95"/>
        </w:rPr>
        <w:t>ACCOMMODATE</w:t>
      </w:r>
      <w:r>
        <w:rPr>
          <w:color w:val="4D4B4D"/>
          <w:spacing w:val="-52"/>
          <w:w w:val="95"/>
        </w:rPr>
        <w:t> </w:t>
      </w:r>
      <w:r>
        <w:rPr>
          <w:color w:val="383638"/>
        </w:rPr>
        <w:t>CITATION</w:t>
      </w:r>
      <w:r>
        <w:rPr>
          <w:color w:val="383638"/>
          <w:spacing w:val="31"/>
        </w:rPr>
        <w:t> </w:t>
      </w:r>
      <w:r>
        <w:rPr>
          <w:color w:val="383638"/>
        </w:rPr>
        <w:t>FORM</w:t>
      </w:r>
    </w:p>
    <w:p>
      <w:pPr>
        <w:pStyle w:val="BodyText"/>
        <w:spacing w:line="232" w:lineRule="auto" w:before="64"/>
        <w:ind w:left="746" w:right="37" w:firstLine="397"/>
        <w:jc w:val="both"/>
      </w:pPr>
      <w:r>
        <w:rPr>
          <w:color w:val="383638"/>
          <w:w w:val="105"/>
        </w:rPr>
        <w:t>Incorporating citations into text is the best way to promote easy iden­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tification of the value of your authority</w:t>
      </w:r>
      <w:r>
        <w:rPr>
          <w:color w:val="5B5B5D"/>
          <w:w w:val="110"/>
        </w:rPr>
        <w:t>. </w:t>
      </w:r>
      <w:r>
        <w:rPr>
          <w:color w:val="383638"/>
          <w:w w:val="110"/>
        </w:rPr>
        <w:t>You will help both your reader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and your user, however, if you use effective sentence structures to accom­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modate citations.  Many writers  instinctively- and wrongly-  introduce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a</w:t>
      </w:r>
      <w:r>
        <w:rPr>
          <w:color w:val="383638"/>
          <w:spacing w:val="3"/>
          <w:w w:val="105"/>
        </w:rPr>
        <w:t> </w:t>
      </w:r>
      <w:r>
        <w:rPr>
          <w:color w:val="383638"/>
          <w:w w:val="105"/>
        </w:rPr>
        <w:t>new</w:t>
      </w:r>
      <w:r>
        <w:rPr>
          <w:color w:val="383638"/>
          <w:spacing w:val="-11"/>
          <w:w w:val="105"/>
        </w:rPr>
        <w:t> </w:t>
      </w:r>
      <w:r>
        <w:rPr>
          <w:color w:val="383638"/>
          <w:w w:val="105"/>
        </w:rPr>
        <w:t>case</w:t>
      </w:r>
      <w:r>
        <w:rPr>
          <w:color w:val="383638"/>
          <w:spacing w:val="-6"/>
          <w:w w:val="105"/>
        </w:rPr>
        <w:t> </w:t>
      </w:r>
      <w:r>
        <w:rPr>
          <w:color w:val="383638"/>
          <w:w w:val="105"/>
        </w:rPr>
        <w:t>by</w:t>
      </w:r>
      <w:r>
        <w:rPr>
          <w:color w:val="383638"/>
          <w:spacing w:val="21"/>
          <w:w w:val="105"/>
        </w:rPr>
        <w:t> </w:t>
      </w:r>
      <w:r>
        <w:rPr>
          <w:color w:val="383638"/>
          <w:w w:val="105"/>
        </w:rPr>
        <w:t>beginning</w:t>
      </w:r>
      <w:r>
        <w:rPr>
          <w:color w:val="383638"/>
          <w:spacing w:val="-3"/>
          <w:w w:val="105"/>
        </w:rPr>
        <w:t> </w:t>
      </w:r>
      <w:r>
        <w:rPr>
          <w:color w:val="383638"/>
          <w:w w:val="105"/>
        </w:rPr>
        <w:t>a</w:t>
      </w:r>
      <w:r>
        <w:rPr>
          <w:color w:val="383638"/>
          <w:spacing w:val="4"/>
          <w:w w:val="105"/>
        </w:rPr>
        <w:t> </w:t>
      </w:r>
      <w:r>
        <w:rPr>
          <w:color w:val="383638"/>
          <w:w w:val="105"/>
        </w:rPr>
        <w:t>sentence</w:t>
      </w:r>
      <w:r>
        <w:rPr>
          <w:color w:val="383638"/>
          <w:spacing w:val="-6"/>
          <w:w w:val="105"/>
        </w:rPr>
        <w:t> </w:t>
      </w:r>
      <w:r>
        <w:rPr>
          <w:color w:val="383638"/>
          <w:w w:val="105"/>
        </w:rPr>
        <w:t>with</w:t>
      </w:r>
      <w:r>
        <w:rPr>
          <w:color w:val="383638"/>
          <w:spacing w:val="-2"/>
          <w:w w:val="105"/>
        </w:rPr>
        <w:t> </w:t>
      </w:r>
      <w:r>
        <w:rPr>
          <w:color w:val="383638"/>
          <w:w w:val="105"/>
        </w:rPr>
        <w:t>a</w:t>
      </w:r>
      <w:r>
        <w:rPr>
          <w:color w:val="383638"/>
          <w:spacing w:val="3"/>
          <w:w w:val="105"/>
        </w:rPr>
        <w:t> </w:t>
      </w:r>
      <w:r>
        <w:rPr>
          <w:color w:val="383638"/>
          <w:w w:val="105"/>
        </w:rPr>
        <w:t>long-form</w:t>
      </w:r>
      <w:r>
        <w:rPr>
          <w:color w:val="383638"/>
          <w:spacing w:val="13"/>
          <w:w w:val="105"/>
        </w:rPr>
        <w:t> </w:t>
      </w:r>
      <w:r>
        <w:rPr>
          <w:color w:val="383638"/>
          <w:w w:val="105"/>
        </w:rPr>
        <w:t>citation:</w:t>
      </w:r>
    </w:p>
    <w:p>
      <w:pPr>
        <w:pStyle w:val="BodyText"/>
        <w:spacing w:before="9"/>
        <w:rPr>
          <w:sz w:val="11"/>
        </w:rPr>
      </w:pPr>
    </w:p>
    <w:p>
      <w:pPr>
        <w:tabs>
          <w:tab w:pos="938" w:val="left" w:leader="none"/>
        </w:tabs>
        <w:spacing w:before="94"/>
        <w:ind w:left="568" w:right="0" w:firstLine="0"/>
        <w:jc w:val="left"/>
        <w:rPr>
          <w:sz w:val="15"/>
        </w:rPr>
      </w:pPr>
      <w:r>
        <w:rPr>
          <w:color w:val="5B5B5D"/>
          <w:w w:val="100"/>
          <w:sz w:val="15"/>
          <w:u w:val="thick" w:color="4D4B4D"/>
        </w:rPr>
        <w:t> </w:t>
      </w:r>
      <w:r>
        <w:rPr>
          <w:color w:val="5B5B5D"/>
          <w:sz w:val="15"/>
          <w:u w:val="thick" w:color="4D4B4D"/>
        </w:rPr>
        <w:tab/>
      </w:r>
      <w:r>
        <w:rPr>
          <w:color w:val="5B5B5D"/>
          <w:sz w:val="15"/>
        </w:rPr>
        <w:t>   </w:t>
      </w:r>
      <w:r>
        <w:rPr>
          <w:color w:val="5B5B5D"/>
          <w:spacing w:val="9"/>
          <w:sz w:val="15"/>
        </w:rPr>
        <w:t> </w:t>
      </w:r>
      <w:r>
        <w:rPr>
          <w:color w:val="5B5B5D"/>
          <w:w w:val="90"/>
          <w:sz w:val="15"/>
          <w:u w:val="thick" w:color="4D4B4D"/>
        </w:rPr>
        <w:t>BAD</w:t>
      </w:r>
      <w:r>
        <w:rPr>
          <w:color w:val="5B5B5D"/>
          <w:spacing w:val="11"/>
          <w:w w:val="90"/>
          <w:sz w:val="15"/>
          <w:u w:val="thick" w:color="4D4B4D"/>
        </w:rPr>
        <w:t> </w:t>
      </w:r>
      <w:r>
        <w:rPr>
          <w:color w:val="4D4B4D"/>
          <w:w w:val="90"/>
          <w:sz w:val="15"/>
          <w:u w:val="thick" w:color="4D4B4D"/>
        </w:rPr>
        <w:t>EXAMPLE</w:t>
      </w:r>
    </w:p>
    <w:p>
      <w:pPr>
        <w:spacing w:line="235" w:lineRule="auto" w:before="56"/>
        <w:ind w:left="1068" w:right="408" w:firstLine="0"/>
        <w:jc w:val="left"/>
        <w:rPr>
          <w:b/>
          <w:sz w:val="20"/>
        </w:rPr>
      </w:pPr>
      <w:r>
        <w:rPr>
          <w:b/>
          <w:color w:val="383638"/>
          <w:w w:val="105"/>
          <w:sz w:val="20"/>
        </w:rPr>
        <w:t>In </w:t>
      </w:r>
      <w:r>
        <w:rPr>
          <w:b/>
          <w:color w:val="383638"/>
          <w:sz w:val="23"/>
          <w:u w:val="thick" w:color="4D4B4D"/>
        </w:rPr>
        <w:t>J.E.B</w:t>
      </w:r>
      <w:r>
        <w:rPr>
          <w:b/>
          <w:color w:val="5B5B5D"/>
          <w:sz w:val="23"/>
          <w:u w:val="thick" w:color="4D4B4D"/>
        </w:rPr>
        <w:t>, </w:t>
      </w:r>
      <w:r>
        <w:rPr>
          <w:b/>
          <w:color w:val="383638"/>
          <w:w w:val="105"/>
          <w:sz w:val="20"/>
          <w:u w:val="thick" w:color="4D4B4D"/>
        </w:rPr>
        <w:t>v. T.B</w:t>
      </w:r>
      <w:r>
        <w:rPr>
          <w:b/>
          <w:color w:val="4D4B4D"/>
          <w:w w:val="105"/>
          <w:sz w:val="20"/>
          <w:u w:val="thick" w:color="4D4B4D"/>
        </w:rPr>
        <w:t>..</w:t>
      </w:r>
      <w:r>
        <w:rPr>
          <w:b/>
          <w:color w:val="4D4B4D"/>
          <w:spacing w:val="1"/>
          <w:w w:val="105"/>
          <w:sz w:val="20"/>
        </w:rPr>
        <w:t> </w:t>
      </w:r>
      <w:r>
        <w:rPr>
          <w:b/>
          <w:color w:val="383638"/>
          <w:w w:val="105"/>
          <w:sz w:val="20"/>
        </w:rPr>
        <w:t>511</w:t>
      </w:r>
      <w:r>
        <w:rPr>
          <w:b/>
          <w:color w:val="383638"/>
          <w:spacing w:val="1"/>
          <w:w w:val="105"/>
          <w:sz w:val="20"/>
        </w:rPr>
        <w:t> </w:t>
      </w:r>
      <w:r>
        <w:rPr>
          <w:b/>
          <w:color w:val="383638"/>
          <w:w w:val="105"/>
          <w:sz w:val="20"/>
        </w:rPr>
        <w:t>U.S</w:t>
      </w:r>
      <w:r>
        <w:rPr>
          <w:b/>
          <w:color w:val="5B5B5D"/>
          <w:w w:val="105"/>
          <w:sz w:val="20"/>
        </w:rPr>
        <w:t>.</w:t>
      </w:r>
      <w:r>
        <w:rPr>
          <w:b/>
          <w:color w:val="5B5B5D"/>
          <w:spacing w:val="1"/>
          <w:w w:val="105"/>
          <w:sz w:val="20"/>
        </w:rPr>
        <w:t> </w:t>
      </w:r>
      <w:r>
        <w:rPr>
          <w:b/>
          <w:color w:val="383638"/>
          <w:w w:val="105"/>
          <w:sz w:val="20"/>
        </w:rPr>
        <w:t>127, 138-40 (1994),</w:t>
      </w:r>
      <w:r>
        <w:rPr>
          <w:b/>
          <w:color w:val="383638"/>
          <w:spacing w:val="1"/>
          <w:w w:val="105"/>
          <w:sz w:val="20"/>
        </w:rPr>
        <w:t> </w:t>
      </w:r>
      <w:r>
        <w:rPr>
          <w:b/>
          <w:color w:val="383638"/>
          <w:w w:val="105"/>
          <w:sz w:val="20"/>
        </w:rPr>
        <w:t>this Court held that sex­</w:t>
      </w:r>
      <w:r>
        <w:rPr>
          <w:b/>
          <w:color w:val="383638"/>
          <w:spacing w:val="-50"/>
          <w:w w:val="105"/>
          <w:sz w:val="20"/>
        </w:rPr>
        <w:t> </w:t>
      </w:r>
      <w:r>
        <w:rPr>
          <w:b/>
          <w:color w:val="383638"/>
          <w:spacing w:val="-1"/>
          <w:w w:val="110"/>
          <w:sz w:val="20"/>
        </w:rPr>
        <w:t>based</w:t>
      </w:r>
      <w:r>
        <w:rPr>
          <w:b/>
          <w:color w:val="383638"/>
          <w:spacing w:val="-6"/>
          <w:w w:val="110"/>
          <w:sz w:val="20"/>
        </w:rPr>
        <w:t> </w:t>
      </w:r>
      <w:r>
        <w:rPr>
          <w:b/>
          <w:color w:val="383638"/>
          <w:spacing w:val="-1"/>
          <w:w w:val="110"/>
          <w:sz w:val="20"/>
        </w:rPr>
        <w:t>peremptory</w:t>
      </w:r>
      <w:r>
        <w:rPr>
          <w:b/>
          <w:color w:val="383638"/>
          <w:spacing w:val="-8"/>
          <w:w w:val="110"/>
          <w:sz w:val="20"/>
        </w:rPr>
        <w:t> </w:t>
      </w:r>
      <w:r>
        <w:rPr>
          <w:b/>
          <w:color w:val="383638"/>
          <w:spacing w:val="-1"/>
          <w:w w:val="110"/>
          <w:sz w:val="20"/>
        </w:rPr>
        <w:t>challenges</w:t>
      </w:r>
      <w:r>
        <w:rPr>
          <w:b/>
          <w:color w:val="383638"/>
          <w:spacing w:val="-11"/>
          <w:w w:val="110"/>
          <w:sz w:val="20"/>
        </w:rPr>
        <w:t> </w:t>
      </w:r>
      <w:r>
        <w:rPr>
          <w:b/>
          <w:color w:val="383638"/>
          <w:spacing w:val="-1"/>
          <w:w w:val="110"/>
          <w:sz w:val="20"/>
        </w:rPr>
        <w:t>vioJate</w:t>
      </w:r>
      <w:r>
        <w:rPr>
          <w:b/>
          <w:color w:val="383638"/>
          <w:spacing w:val="-14"/>
          <w:w w:val="110"/>
          <w:sz w:val="20"/>
        </w:rPr>
        <w:t> </w:t>
      </w:r>
      <w:r>
        <w:rPr>
          <w:b/>
          <w:color w:val="383638"/>
          <w:spacing w:val="-1"/>
          <w:w w:val="110"/>
          <w:sz w:val="20"/>
        </w:rPr>
        <w:t>jurors'</w:t>
      </w:r>
      <w:r>
        <w:rPr>
          <w:b/>
          <w:color w:val="383638"/>
          <w:spacing w:val="-27"/>
          <w:w w:val="110"/>
          <w:sz w:val="20"/>
        </w:rPr>
        <w:t> </w:t>
      </w:r>
      <w:r>
        <w:rPr>
          <w:b/>
          <w:color w:val="383638"/>
          <w:spacing w:val="-1"/>
          <w:w w:val="110"/>
          <w:sz w:val="20"/>
        </w:rPr>
        <w:t>rights</w:t>
      </w:r>
      <w:r>
        <w:rPr>
          <w:b/>
          <w:color w:val="383638"/>
          <w:spacing w:val="-30"/>
          <w:w w:val="110"/>
          <w:sz w:val="20"/>
        </w:rPr>
        <w:t> </w:t>
      </w:r>
      <w:r>
        <w:rPr>
          <w:b/>
          <w:color w:val="383638"/>
          <w:w w:val="110"/>
          <w:sz w:val="20"/>
        </w:rPr>
        <w:t>to</w:t>
      </w:r>
      <w:r>
        <w:rPr>
          <w:b/>
          <w:color w:val="383638"/>
          <w:spacing w:val="-7"/>
          <w:w w:val="110"/>
          <w:sz w:val="20"/>
        </w:rPr>
        <w:t> </w:t>
      </w:r>
      <w:r>
        <w:rPr>
          <w:b/>
          <w:color w:val="383638"/>
          <w:w w:val="110"/>
          <w:sz w:val="20"/>
        </w:rPr>
        <w:t>equaJ</w:t>
      </w:r>
      <w:r>
        <w:rPr>
          <w:b/>
          <w:color w:val="383638"/>
          <w:spacing w:val="-1"/>
          <w:w w:val="110"/>
          <w:sz w:val="20"/>
        </w:rPr>
        <w:t> </w:t>
      </w:r>
      <w:r>
        <w:rPr>
          <w:b/>
          <w:color w:val="383638"/>
          <w:w w:val="110"/>
          <w:sz w:val="20"/>
        </w:rPr>
        <w:t>protection.</w:t>
      </w:r>
    </w:p>
    <w:p>
      <w:pPr>
        <w:pStyle w:val="BodyText"/>
        <w:spacing w:line="232" w:lineRule="auto" w:before="153"/>
        <w:ind w:left="675" w:right="61" w:firstLine="33"/>
        <w:jc w:val="both"/>
      </w:pPr>
      <w:r>
        <w:rPr>
          <w:color w:val="383638"/>
          <w:w w:val="105"/>
        </w:rPr>
        <w:t>This sentence is difficult to read because the citation takes up a lot of space</w:t>
      </w:r>
      <w:r>
        <w:rPr>
          <w:color w:val="383638"/>
          <w:spacing w:val="-58"/>
          <w:w w:val="105"/>
        </w:rPr>
        <w:t> </w:t>
      </w:r>
      <w:r>
        <w:rPr>
          <w:color w:val="383638"/>
          <w:w w:val="105"/>
        </w:rPr>
        <w:t>within the  sentence. Furthermore, this structure puts too  much emphasis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on the citation and not enough emphasis on the substance of the sen­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tence. To solve this problem, some writers mistakenly separate the case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name</w:t>
      </w:r>
      <w:r>
        <w:rPr>
          <w:color w:val="383638"/>
          <w:spacing w:val="-19"/>
          <w:w w:val="105"/>
        </w:rPr>
        <w:t> </w:t>
      </w:r>
      <w:r>
        <w:rPr>
          <w:color w:val="383638"/>
          <w:w w:val="105"/>
        </w:rPr>
        <w:t>from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33"/>
          <w:w w:val="105"/>
        </w:rPr>
        <w:t> </w:t>
      </w:r>
      <w:r>
        <w:rPr>
          <w:color w:val="383638"/>
          <w:w w:val="105"/>
        </w:rPr>
        <w:t>rest</w:t>
      </w:r>
      <w:r>
        <w:rPr>
          <w:color w:val="383638"/>
          <w:spacing w:val="-12"/>
          <w:w w:val="105"/>
        </w:rPr>
        <w:t> </w:t>
      </w:r>
      <w:r>
        <w:rPr>
          <w:color w:val="383638"/>
          <w:w w:val="105"/>
        </w:rPr>
        <w:t>of</w:t>
      </w:r>
      <w:r>
        <w:rPr>
          <w:color w:val="383638"/>
          <w:spacing w:val="7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14"/>
          <w:w w:val="105"/>
        </w:rPr>
        <w:t> </w:t>
      </w:r>
      <w:r>
        <w:rPr>
          <w:color w:val="383638"/>
          <w:w w:val="105"/>
        </w:rPr>
        <w:t>citation:</w:t>
      </w:r>
    </w:p>
    <w:p>
      <w:pPr>
        <w:pStyle w:val="BodyText"/>
        <w:spacing w:before="10"/>
        <w:rPr>
          <w:sz w:val="11"/>
        </w:rPr>
      </w:pPr>
    </w:p>
    <w:p>
      <w:pPr>
        <w:spacing w:before="94"/>
        <w:ind w:left="563" w:right="0" w:firstLine="0"/>
        <w:jc w:val="both"/>
        <w:rPr>
          <w:sz w:val="15"/>
        </w:rPr>
      </w:pPr>
      <w:r>
        <w:rPr>
          <w:rFonts w:ascii="Arial"/>
          <w:color w:val="383638"/>
          <w:w w:val="140"/>
          <w:sz w:val="14"/>
          <w:u w:val="thick" w:color="383638"/>
        </w:rPr>
        <w:t>-</w:t>
      </w:r>
      <w:r>
        <w:rPr>
          <w:rFonts w:ascii="Arial"/>
          <w:color w:val="5B5B5D"/>
          <w:w w:val="140"/>
          <w:sz w:val="14"/>
          <w:u w:val="thick" w:color="383638"/>
        </w:rPr>
        <w:t>v'BA</w:t>
      </w:r>
      <w:r>
        <w:rPr>
          <w:rFonts w:ascii="Arial"/>
          <w:color w:val="383638"/>
          <w:w w:val="140"/>
          <w:sz w:val="14"/>
          <w:u w:val="thick" w:color="383638"/>
        </w:rPr>
        <w:t>D</w:t>
      </w:r>
      <w:r>
        <w:rPr>
          <w:rFonts w:ascii="Arial"/>
          <w:color w:val="383638"/>
          <w:spacing w:val="-8"/>
          <w:w w:val="140"/>
          <w:sz w:val="14"/>
        </w:rPr>
        <w:t> </w:t>
      </w:r>
      <w:r>
        <w:rPr>
          <w:color w:val="4D4B4D"/>
          <w:w w:val="115"/>
          <w:sz w:val="15"/>
          <w:u w:val="thick" w:color="4D4B4D"/>
        </w:rPr>
        <w:t>EXAMPLE</w:t>
      </w:r>
    </w:p>
    <w:p>
      <w:pPr>
        <w:spacing w:before="42"/>
        <w:ind w:left="1009" w:right="0" w:firstLine="0"/>
        <w:jc w:val="left"/>
        <w:rPr>
          <w:sz w:val="21"/>
        </w:rPr>
      </w:pPr>
      <w:r>
        <w:rPr>
          <w:color w:val="383638"/>
          <w:w w:val="105"/>
          <w:sz w:val="21"/>
        </w:rPr>
        <w:t>In  </w:t>
      </w:r>
      <w:r>
        <w:rPr>
          <w:b/>
          <w:color w:val="383638"/>
          <w:sz w:val="24"/>
          <w:u w:val="thick" w:color="383638"/>
        </w:rPr>
        <w:t>J.E.B</w:t>
      </w:r>
      <w:r>
        <w:rPr>
          <w:b/>
          <w:color w:val="383638"/>
          <w:sz w:val="24"/>
        </w:rPr>
        <w:t>.</w:t>
      </w:r>
      <w:r>
        <w:rPr>
          <w:b/>
          <w:color w:val="383638"/>
          <w:spacing w:val="18"/>
          <w:sz w:val="24"/>
        </w:rPr>
        <w:t> </w:t>
      </w:r>
      <w:r>
        <w:rPr>
          <w:b/>
          <w:color w:val="383638"/>
          <w:w w:val="105"/>
          <w:sz w:val="20"/>
          <w:u w:val="thick" w:color="383638"/>
        </w:rPr>
        <w:t>v. </w:t>
      </w:r>
      <w:r>
        <w:rPr>
          <w:b/>
          <w:color w:val="383638"/>
          <w:spacing w:val="13"/>
          <w:w w:val="105"/>
          <w:sz w:val="20"/>
        </w:rPr>
        <w:t> </w:t>
      </w:r>
      <w:r>
        <w:rPr>
          <w:rFonts w:ascii="Arial"/>
          <w:color w:val="383638"/>
          <w:w w:val="105"/>
          <w:sz w:val="22"/>
          <w:u w:val="thick" w:color="383638"/>
        </w:rPr>
        <w:t>T.B.</w:t>
      </w:r>
      <w:r>
        <w:rPr>
          <w:rFonts w:ascii="Arial"/>
          <w:color w:val="383638"/>
          <w:w w:val="105"/>
          <w:sz w:val="22"/>
        </w:rPr>
        <w:t>.</w:t>
      </w:r>
      <w:r>
        <w:rPr>
          <w:rFonts w:ascii="Arial"/>
          <w:color w:val="383638"/>
          <w:spacing w:val="25"/>
          <w:w w:val="105"/>
          <w:sz w:val="22"/>
        </w:rPr>
        <w:t> </w:t>
      </w:r>
      <w:r>
        <w:rPr>
          <w:color w:val="383638"/>
          <w:w w:val="105"/>
          <w:sz w:val="21"/>
        </w:rPr>
        <w:t>this</w:t>
      </w:r>
      <w:r>
        <w:rPr>
          <w:color w:val="383638"/>
          <w:spacing w:val="-7"/>
          <w:w w:val="105"/>
          <w:sz w:val="21"/>
        </w:rPr>
        <w:t> </w:t>
      </w:r>
      <w:r>
        <w:rPr>
          <w:color w:val="383638"/>
          <w:w w:val="105"/>
          <w:sz w:val="21"/>
        </w:rPr>
        <w:t>Court</w:t>
      </w:r>
      <w:r>
        <w:rPr>
          <w:color w:val="383638"/>
          <w:spacing w:val="17"/>
          <w:w w:val="105"/>
          <w:sz w:val="21"/>
        </w:rPr>
        <w:t> </w:t>
      </w:r>
      <w:r>
        <w:rPr>
          <w:color w:val="383638"/>
          <w:w w:val="105"/>
          <w:sz w:val="21"/>
        </w:rPr>
        <w:t>held</w:t>
      </w:r>
      <w:r>
        <w:rPr>
          <w:color w:val="383638"/>
          <w:spacing w:val="12"/>
          <w:w w:val="105"/>
          <w:sz w:val="21"/>
        </w:rPr>
        <w:t> </w:t>
      </w:r>
      <w:r>
        <w:rPr>
          <w:color w:val="383638"/>
          <w:w w:val="105"/>
          <w:sz w:val="21"/>
        </w:rPr>
        <w:t>that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sex-based</w:t>
      </w:r>
      <w:r>
        <w:rPr>
          <w:color w:val="383638"/>
          <w:spacing w:val="44"/>
          <w:w w:val="105"/>
          <w:sz w:val="21"/>
        </w:rPr>
        <w:t> </w:t>
      </w:r>
      <w:r>
        <w:rPr>
          <w:color w:val="383638"/>
          <w:w w:val="105"/>
          <w:sz w:val="21"/>
        </w:rPr>
        <w:t>peremptory</w:t>
      </w:r>
      <w:r>
        <w:rPr>
          <w:color w:val="383638"/>
          <w:spacing w:val="9"/>
          <w:w w:val="105"/>
          <w:sz w:val="21"/>
        </w:rPr>
        <w:t> </w:t>
      </w:r>
      <w:r>
        <w:rPr>
          <w:color w:val="383638"/>
          <w:w w:val="105"/>
          <w:sz w:val="21"/>
        </w:rPr>
        <w:t>challenges</w:t>
      </w:r>
    </w:p>
    <w:p>
      <w:pPr>
        <w:spacing w:before="2"/>
        <w:ind w:left="993" w:right="0" w:firstLine="0"/>
        <w:jc w:val="left"/>
        <w:rPr>
          <w:b/>
          <w:sz w:val="20"/>
        </w:rPr>
      </w:pPr>
      <w:r>
        <w:rPr>
          <w:b/>
          <w:color w:val="383638"/>
          <w:w w:val="110"/>
          <w:sz w:val="20"/>
        </w:rPr>
        <w:t>violate</w:t>
      </w:r>
      <w:r>
        <w:rPr>
          <w:b/>
          <w:color w:val="383638"/>
          <w:spacing w:val="25"/>
          <w:w w:val="110"/>
          <w:sz w:val="20"/>
        </w:rPr>
        <w:t> </w:t>
      </w:r>
      <w:r>
        <w:rPr>
          <w:b/>
          <w:color w:val="383638"/>
          <w:w w:val="110"/>
          <w:sz w:val="20"/>
        </w:rPr>
        <w:t>jurors'</w:t>
      </w:r>
      <w:r>
        <w:rPr>
          <w:b/>
          <w:color w:val="383638"/>
          <w:spacing w:val="-3"/>
          <w:w w:val="110"/>
          <w:sz w:val="20"/>
        </w:rPr>
        <w:t> </w:t>
      </w:r>
      <w:r>
        <w:rPr>
          <w:b/>
          <w:color w:val="383638"/>
          <w:w w:val="110"/>
          <w:sz w:val="20"/>
        </w:rPr>
        <w:t>rights</w:t>
      </w:r>
      <w:r>
        <w:rPr>
          <w:b/>
          <w:color w:val="383638"/>
          <w:spacing w:val="6"/>
          <w:w w:val="110"/>
          <w:sz w:val="20"/>
        </w:rPr>
        <w:t> </w:t>
      </w:r>
      <w:r>
        <w:rPr>
          <w:b/>
          <w:color w:val="383638"/>
          <w:w w:val="110"/>
          <w:sz w:val="20"/>
        </w:rPr>
        <w:t>to</w:t>
      </w:r>
      <w:r>
        <w:rPr>
          <w:b/>
          <w:color w:val="383638"/>
          <w:spacing w:val="21"/>
          <w:w w:val="110"/>
          <w:sz w:val="20"/>
        </w:rPr>
        <w:t> </w:t>
      </w:r>
      <w:r>
        <w:rPr>
          <w:b/>
          <w:color w:val="383638"/>
          <w:w w:val="110"/>
          <w:sz w:val="20"/>
        </w:rPr>
        <w:t>equal</w:t>
      </w:r>
      <w:r>
        <w:rPr>
          <w:b/>
          <w:color w:val="383638"/>
          <w:spacing w:val="-1"/>
          <w:w w:val="110"/>
          <w:sz w:val="20"/>
        </w:rPr>
        <w:t> </w:t>
      </w:r>
      <w:r>
        <w:rPr>
          <w:b/>
          <w:color w:val="383638"/>
          <w:w w:val="110"/>
          <w:sz w:val="20"/>
        </w:rPr>
        <w:t>protection.</w:t>
      </w:r>
      <w:r>
        <w:rPr>
          <w:b/>
          <w:color w:val="383638"/>
          <w:spacing w:val="33"/>
          <w:w w:val="110"/>
          <w:sz w:val="20"/>
        </w:rPr>
        <w:t> </w:t>
      </w:r>
      <w:r>
        <w:rPr>
          <w:b/>
          <w:color w:val="383638"/>
          <w:w w:val="110"/>
          <w:sz w:val="20"/>
        </w:rPr>
        <w:t>511</w:t>
      </w:r>
      <w:r>
        <w:rPr>
          <w:b/>
          <w:color w:val="383638"/>
          <w:spacing w:val="37"/>
          <w:w w:val="110"/>
          <w:sz w:val="20"/>
        </w:rPr>
        <w:t> </w:t>
      </w:r>
      <w:r>
        <w:rPr>
          <w:b/>
          <w:color w:val="383638"/>
          <w:w w:val="110"/>
          <w:sz w:val="20"/>
        </w:rPr>
        <w:t>U.S.</w:t>
      </w:r>
      <w:r>
        <w:rPr>
          <w:b/>
          <w:color w:val="383638"/>
          <w:spacing w:val="1"/>
          <w:w w:val="110"/>
          <w:sz w:val="20"/>
        </w:rPr>
        <w:t> </w:t>
      </w:r>
      <w:r>
        <w:rPr>
          <w:color w:val="383638"/>
          <w:w w:val="110"/>
          <w:sz w:val="20"/>
        </w:rPr>
        <w:t>127,</w:t>
      </w:r>
      <w:r>
        <w:rPr>
          <w:color w:val="383638"/>
          <w:spacing w:val="5"/>
          <w:w w:val="110"/>
          <w:sz w:val="20"/>
        </w:rPr>
        <w:t> </w:t>
      </w:r>
      <w:r>
        <w:rPr>
          <w:b/>
          <w:color w:val="383638"/>
          <w:w w:val="110"/>
          <w:sz w:val="20"/>
        </w:rPr>
        <w:t>138-40</w:t>
      </w:r>
      <w:r>
        <w:rPr>
          <w:b/>
          <w:color w:val="383638"/>
          <w:spacing w:val="11"/>
          <w:w w:val="110"/>
          <w:sz w:val="20"/>
        </w:rPr>
        <w:t> </w:t>
      </w:r>
      <w:r>
        <w:rPr>
          <w:b/>
          <w:color w:val="383638"/>
          <w:w w:val="110"/>
          <w:sz w:val="20"/>
        </w:rPr>
        <w:t>(1994).</w:t>
      </w:r>
    </w:p>
    <w:p>
      <w:pPr>
        <w:pStyle w:val="BodyText"/>
        <w:spacing w:line="235" w:lineRule="auto" w:before="141"/>
        <w:ind w:left="630" w:right="62" w:firstLine="20"/>
        <w:jc w:val="both"/>
      </w:pPr>
      <w:r>
        <w:rPr>
          <w:color w:val="383638"/>
          <w:w w:val="105"/>
        </w:rPr>
        <w:t>This "separated long-form" structure is also not optimal. Although some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citation rules may condone this </w:t>
      </w:r>
      <w:r>
        <w:rPr>
          <w:color w:val="4D4B4D"/>
          <w:w w:val="105"/>
        </w:rPr>
        <w:t>separation, </w:t>
      </w:r>
      <w:r>
        <w:rPr>
          <w:color w:val="383638"/>
          <w:w w:val="105"/>
        </w:rPr>
        <w:t>it can confuse the reader, who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could be expecting a long-form citation because he or she does not recall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reading about the case earlier. The best way to write a readable sentence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and still use correct citation form is to put the citation in a separate cita­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tion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sentence:</w:t>
      </w:r>
    </w:p>
    <w:p>
      <w:pPr>
        <w:pStyle w:val="BodyText"/>
        <w:spacing w:before="1"/>
        <w:rPr>
          <w:sz w:val="9"/>
        </w:rPr>
      </w:pPr>
    </w:p>
    <w:p>
      <w:pPr>
        <w:spacing w:before="96"/>
        <w:ind w:left="650" w:right="0" w:firstLine="0"/>
        <w:jc w:val="both"/>
        <w:rPr>
          <w:sz w:val="15"/>
        </w:rPr>
      </w:pPr>
      <w:r>
        <w:rPr>
          <w:rFonts w:ascii="Arial"/>
          <w:color w:val="383638"/>
          <w:w w:val="105"/>
          <w:sz w:val="15"/>
          <w:u w:val="thick" w:color="383638"/>
        </w:rPr>
        <w:t>_/</w:t>
      </w:r>
      <w:r>
        <w:rPr>
          <w:rFonts w:ascii="Arial"/>
          <w:color w:val="858587"/>
          <w:w w:val="105"/>
          <w:sz w:val="15"/>
          <w:u w:val="thick" w:color="383638"/>
        </w:rPr>
        <w:t>\</w:t>
      </w:r>
      <w:r>
        <w:rPr>
          <w:rFonts w:ascii="Arial"/>
          <w:color w:val="858587"/>
          <w:spacing w:val="5"/>
          <w:w w:val="105"/>
          <w:sz w:val="15"/>
          <w:u w:val="thick" w:color="383638"/>
        </w:rPr>
        <w:t> </w:t>
      </w:r>
      <w:r>
        <w:rPr>
          <w:rFonts w:ascii="Arial"/>
          <w:color w:val="383638"/>
          <w:w w:val="105"/>
          <w:sz w:val="15"/>
          <w:u w:val="thick" w:color="383638"/>
        </w:rPr>
        <w:t>GOOD</w:t>
      </w:r>
      <w:r>
        <w:rPr>
          <w:rFonts w:ascii="Arial"/>
          <w:color w:val="383638"/>
          <w:spacing w:val="-3"/>
          <w:w w:val="105"/>
          <w:sz w:val="15"/>
          <w:u w:val="thick" w:color="383638"/>
        </w:rPr>
        <w:t> </w:t>
      </w:r>
      <w:r>
        <w:rPr>
          <w:color w:val="383638"/>
          <w:w w:val="105"/>
          <w:sz w:val="15"/>
          <w:u w:val="thick" w:color="383638"/>
        </w:rPr>
        <w:t>E</w:t>
      </w:r>
      <w:r>
        <w:rPr>
          <w:color w:val="5B5B5D"/>
          <w:w w:val="105"/>
          <w:sz w:val="15"/>
          <w:u w:val="thick" w:color="383638"/>
        </w:rPr>
        <w:t>XAM</w:t>
      </w:r>
      <w:r>
        <w:rPr>
          <w:color w:val="383638"/>
          <w:w w:val="105"/>
          <w:sz w:val="15"/>
          <w:u w:val="thick" w:color="383638"/>
        </w:rPr>
        <w:t>PLE</w:t>
      </w:r>
    </w:p>
    <w:p>
      <w:pPr>
        <w:spacing w:line="223" w:lineRule="auto" w:before="103"/>
        <w:ind w:left="948" w:right="423" w:firstLine="1"/>
        <w:jc w:val="both"/>
        <w:rPr>
          <w:b/>
          <w:sz w:val="20"/>
        </w:rPr>
      </w:pPr>
      <w:r>
        <w:rPr>
          <w:color w:val="383638"/>
          <w:w w:val="105"/>
          <w:sz w:val="21"/>
        </w:rPr>
        <w:t>This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Court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has 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held  that  sex-based 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peremptory  challenges 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violate</w:t>
      </w:r>
      <w:r>
        <w:rPr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0"/>
        </w:rPr>
        <w:t>jurors' rights to equal protection. </w:t>
      </w:r>
      <w:r>
        <w:rPr>
          <w:b/>
          <w:color w:val="383638"/>
          <w:w w:val="105"/>
          <w:sz w:val="24"/>
          <w:u w:val="thick" w:color="383638"/>
        </w:rPr>
        <w:t>l,E.B.</w:t>
      </w:r>
      <w:r>
        <w:rPr>
          <w:b/>
          <w:color w:val="383638"/>
          <w:w w:val="105"/>
          <w:sz w:val="24"/>
        </w:rPr>
        <w:t> </w:t>
      </w:r>
      <w:r>
        <w:rPr>
          <w:b/>
          <w:color w:val="383638"/>
          <w:w w:val="105"/>
          <w:sz w:val="18"/>
          <w:u w:val="thick" w:color="383638"/>
        </w:rPr>
        <w:t>y.</w:t>
      </w:r>
      <w:r>
        <w:rPr>
          <w:b/>
          <w:color w:val="383638"/>
          <w:spacing w:val="1"/>
          <w:w w:val="105"/>
          <w:sz w:val="18"/>
        </w:rPr>
        <w:t> </w:t>
      </w:r>
      <w:r>
        <w:rPr>
          <w:b/>
          <w:color w:val="383638"/>
          <w:w w:val="105"/>
          <w:sz w:val="24"/>
          <w:u w:val="thick" w:color="383638"/>
        </w:rPr>
        <w:t>T.B,</w:t>
      </w:r>
      <w:r>
        <w:rPr>
          <w:b/>
          <w:color w:val="383638"/>
          <w:w w:val="105"/>
          <w:sz w:val="24"/>
        </w:rPr>
        <w:t>. </w:t>
      </w:r>
      <w:r>
        <w:rPr>
          <w:b/>
          <w:color w:val="383638"/>
          <w:w w:val="105"/>
          <w:sz w:val="20"/>
        </w:rPr>
        <w:t>511</w:t>
      </w:r>
      <w:r>
        <w:rPr>
          <w:b/>
          <w:color w:val="383638"/>
          <w:spacing w:val="1"/>
          <w:w w:val="105"/>
          <w:sz w:val="20"/>
        </w:rPr>
        <w:t> </w:t>
      </w:r>
      <w:r>
        <w:rPr>
          <w:b/>
          <w:color w:val="383638"/>
          <w:w w:val="105"/>
          <w:sz w:val="20"/>
        </w:rPr>
        <w:t>U.S</w:t>
      </w:r>
      <w:r>
        <w:rPr>
          <w:b/>
          <w:color w:val="5B5B5D"/>
          <w:w w:val="105"/>
          <w:sz w:val="20"/>
        </w:rPr>
        <w:t>. </w:t>
      </w:r>
      <w:r>
        <w:rPr>
          <w:b/>
          <w:color w:val="383638"/>
          <w:w w:val="105"/>
          <w:sz w:val="20"/>
        </w:rPr>
        <w:t>127, 138-40</w:t>
      </w:r>
      <w:r>
        <w:rPr>
          <w:b/>
          <w:color w:val="383638"/>
          <w:spacing w:val="1"/>
          <w:w w:val="105"/>
          <w:sz w:val="20"/>
        </w:rPr>
        <w:t> </w:t>
      </w:r>
      <w:r>
        <w:rPr>
          <w:b/>
          <w:color w:val="383638"/>
          <w:w w:val="105"/>
          <w:sz w:val="20"/>
        </w:rPr>
        <w:t>(1994).</w:t>
      </w:r>
    </w:p>
    <w:p>
      <w:pPr>
        <w:pStyle w:val="BodyText"/>
        <w:spacing w:line="228" w:lineRule="auto" w:before="150"/>
        <w:ind w:left="553" w:right="108" w:firstLine="10"/>
        <w:jc w:val="both"/>
      </w:pPr>
      <w:r>
        <w:rPr>
          <w:color w:val="383638"/>
          <w:w w:val="110"/>
        </w:rPr>
        <w:t>Thus, instead of focusing the attention in your sentence on the citation,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 focus it on the court that took the action or, as in this next example,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on</w:t>
      </w:r>
      <w:r>
        <w:rPr>
          <w:color w:val="383638"/>
          <w:spacing w:val="32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rule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itself:</w:t>
      </w:r>
    </w:p>
    <w:p>
      <w:pPr>
        <w:pStyle w:val="BodyText"/>
        <w:spacing w:before="8"/>
        <w:rPr>
          <w:sz w:val="8"/>
        </w:rPr>
      </w:pPr>
    </w:p>
    <w:p>
      <w:pPr>
        <w:spacing w:before="96"/>
        <w:ind w:left="547" w:right="0" w:firstLine="0"/>
        <w:jc w:val="both"/>
        <w:rPr>
          <w:sz w:val="15"/>
        </w:rPr>
      </w:pPr>
      <w:r>
        <w:rPr>
          <w:rFonts w:ascii="Arial"/>
          <w:color w:val="6B6B6E"/>
          <w:sz w:val="15"/>
          <w:u w:val="thick" w:color="383638"/>
        </w:rPr>
        <w:t>../</w:t>
      </w:r>
      <w:r>
        <w:rPr>
          <w:rFonts w:ascii="Arial"/>
          <w:color w:val="6B6B6E"/>
          <w:spacing w:val="75"/>
          <w:sz w:val="15"/>
        </w:rPr>
        <w:t> </w:t>
      </w:r>
      <w:r>
        <w:rPr>
          <w:rFonts w:ascii="Arial"/>
          <w:color w:val="858587"/>
          <w:sz w:val="15"/>
          <w:u w:val="thick" w:color="383638"/>
        </w:rPr>
        <w:t>',</w:t>
      </w:r>
      <w:r>
        <w:rPr>
          <w:rFonts w:ascii="Arial"/>
          <w:color w:val="858587"/>
          <w:spacing w:val="12"/>
          <w:sz w:val="15"/>
          <w:u w:val="thick" w:color="383638"/>
        </w:rPr>
        <w:t> </w:t>
      </w:r>
      <w:r>
        <w:rPr>
          <w:rFonts w:ascii="Arial"/>
          <w:color w:val="383638"/>
          <w:sz w:val="15"/>
          <w:u w:val="thick" w:color="383638"/>
        </w:rPr>
        <w:t>GOOD</w:t>
      </w:r>
      <w:r>
        <w:rPr>
          <w:rFonts w:ascii="Arial"/>
          <w:color w:val="383638"/>
          <w:spacing w:val="-4"/>
          <w:sz w:val="15"/>
          <w:u w:val="thick" w:color="383638"/>
        </w:rPr>
        <w:t> </w:t>
      </w:r>
      <w:r>
        <w:rPr>
          <w:color w:val="383638"/>
          <w:sz w:val="15"/>
          <w:u w:val="thick" w:color="383638"/>
        </w:rPr>
        <w:t>E</w:t>
      </w:r>
      <w:r>
        <w:rPr>
          <w:color w:val="5B5B5D"/>
          <w:sz w:val="15"/>
          <w:u w:val="thick" w:color="383638"/>
        </w:rPr>
        <w:t>XAMP</w:t>
      </w:r>
      <w:r>
        <w:rPr>
          <w:color w:val="383638"/>
          <w:sz w:val="15"/>
          <w:u w:val="thick" w:color="383638"/>
        </w:rPr>
        <w:t>LE</w:t>
      </w:r>
    </w:p>
    <w:p>
      <w:pPr>
        <w:spacing w:line="196" w:lineRule="auto" w:before="144"/>
        <w:ind w:left="896" w:right="408" w:hanging="11"/>
        <w:jc w:val="left"/>
        <w:rPr>
          <w:sz w:val="20"/>
        </w:rPr>
      </w:pPr>
      <w:r>
        <w:rPr>
          <w:color w:val="383638"/>
          <w:w w:val="105"/>
          <w:sz w:val="21"/>
        </w:rPr>
        <w:t>Sex-based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peremptory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challenges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violate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jurors'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rights  to 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equal 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pro­</w:t>
      </w:r>
      <w:r>
        <w:rPr>
          <w:color w:val="383638"/>
          <w:spacing w:val="-53"/>
          <w:w w:val="105"/>
          <w:sz w:val="21"/>
        </w:rPr>
        <w:t> </w:t>
      </w:r>
      <w:r>
        <w:rPr>
          <w:color w:val="383638"/>
          <w:spacing w:val="-1"/>
          <w:w w:val="105"/>
          <w:sz w:val="21"/>
        </w:rPr>
        <w:t>tection.</w:t>
      </w:r>
      <w:r>
        <w:rPr>
          <w:color w:val="383638"/>
          <w:spacing w:val="3"/>
          <w:w w:val="105"/>
          <w:sz w:val="21"/>
        </w:rPr>
        <w:t> </w:t>
      </w:r>
      <w:r>
        <w:rPr>
          <w:b/>
          <w:color w:val="383638"/>
          <w:spacing w:val="-1"/>
          <w:w w:val="105"/>
          <w:sz w:val="24"/>
          <w:u w:val="thick" w:color="383638"/>
        </w:rPr>
        <w:t>J.E.B,</w:t>
      </w:r>
      <w:r>
        <w:rPr>
          <w:b/>
          <w:color w:val="383638"/>
          <w:spacing w:val="-4"/>
          <w:w w:val="105"/>
          <w:sz w:val="24"/>
        </w:rPr>
        <w:t> </w:t>
      </w:r>
      <w:r>
        <w:rPr>
          <w:color w:val="383638"/>
          <w:spacing w:val="-1"/>
          <w:w w:val="105"/>
          <w:sz w:val="18"/>
          <w:u w:val="thick" w:color="383638"/>
        </w:rPr>
        <w:t>y.</w:t>
      </w:r>
      <w:r>
        <w:rPr>
          <w:color w:val="383638"/>
          <w:spacing w:val="3"/>
          <w:w w:val="105"/>
          <w:sz w:val="18"/>
        </w:rPr>
        <w:t> </w:t>
      </w:r>
      <w:r>
        <w:rPr>
          <w:rFonts w:ascii="Arial" w:hAnsi="Arial"/>
          <w:color w:val="383638"/>
          <w:spacing w:val="-1"/>
          <w:w w:val="105"/>
          <w:sz w:val="22"/>
          <w:u w:val="thick" w:color="383638"/>
        </w:rPr>
        <w:t>T.B..</w:t>
      </w:r>
      <w:r>
        <w:rPr>
          <w:rFonts w:ascii="Arial" w:hAnsi="Arial"/>
          <w:color w:val="383638"/>
          <w:spacing w:val="7"/>
          <w:w w:val="105"/>
          <w:sz w:val="22"/>
        </w:rPr>
        <w:t> </w:t>
      </w:r>
      <w:r>
        <w:rPr>
          <w:color w:val="383638"/>
          <w:spacing w:val="-1"/>
          <w:w w:val="105"/>
          <w:sz w:val="20"/>
        </w:rPr>
        <w:t>511</w:t>
      </w:r>
      <w:r>
        <w:rPr>
          <w:color w:val="383638"/>
          <w:spacing w:val="23"/>
          <w:w w:val="105"/>
          <w:sz w:val="20"/>
        </w:rPr>
        <w:t> </w:t>
      </w:r>
      <w:r>
        <w:rPr>
          <w:color w:val="383638"/>
          <w:spacing w:val="-1"/>
          <w:w w:val="105"/>
          <w:sz w:val="20"/>
        </w:rPr>
        <w:t>U.S.</w:t>
      </w:r>
      <w:r>
        <w:rPr>
          <w:color w:val="383638"/>
          <w:spacing w:val="-17"/>
          <w:w w:val="105"/>
          <w:sz w:val="20"/>
        </w:rPr>
        <w:t> </w:t>
      </w:r>
      <w:r>
        <w:rPr>
          <w:color w:val="383638"/>
          <w:spacing w:val="-1"/>
          <w:w w:val="105"/>
          <w:sz w:val="20"/>
        </w:rPr>
        <w:t>127,</w:t>
      </w:r>
      <w:r>
        <w:rPr>
          <w:color w:val="383638"/>
          <w:spacing w:val="-19"/>
          <w:w w:val="105"/>
          <w:sz w:val="20"/>
        </w:rPr>
        <w:t> </w:t>
      </w:r>
      <w:r>
        <w:rPr>
          <w:color w:val="383638"/>
          <w:w w:val="105"/>
          <w:sz w:val="20"/>
        </w:rPr>
        <w:t>138-40</w:t>
      </w:r>
      <w:r>
        <w:rPr>
          <w:color w:val="383638"/>
          <w:spacing w:val="-15"/>
          <w:w w:val="105"/>
          <w:sz w:val="20"/>
        </w:rPr>
        <w:t> </w:t>
      </w:r>
      <w:r>
        <w:rPr>
          <w:color w:val="383638"/>
          <w:w w:val="105"/>
          <w:sz w:val="20"/>
        </w:rPr>
        <w:t>(1994)</w:t>
      </w:r>
      <w:r>
        <w:rPr>
          <w:color w:val="5B5B5D"/>
          <w:w w:val="105"/>
          <w:sz w:val="20"/>
        </w:rPr>
        <w:t>.</w:t>
      </w:r>
    </w:p>
    <w:p>
      <w:pPr>
        <w:pStyle w:val="BodyText"/>
        <w:spacing w:line="232" w:lineRule="auto" w:before="154"/>
        <w:ind w:left="467" w:right="104" w:firstLine="19"/>
        <w:jc w:val="both"/>
      </w:pPr>
      <w:r>
        <w:rPr>
          <w:color w:val="383638"/>
          <w:w w:val="110"/>
        </w:rPr>
        <w:t>This structure lets the citation do its work of telling the reader the  name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of the case, the court, and the year of decision, but keeps it from intrud­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ing</w:t>
      </w:r>
      <w:r>
        <w:rPr>
          <w:color w:val="383638"/>
          <w:spacing w:val="28"/>
          <w:w w:val="110"/>
        </w:rPr>
        <w:t> </w:t>
      </w:r>
      <w:r>
        <w:rPr>
          <w:color w:val="383638"/>
          <w:w w:val="110"/>
        </w:rPr>
        <w:t>on</w:t>
      </w:r>
      <w:r>
        <w:rPr>
          <w:color w:val="383638"/>
          <w:spacing w:val="5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46"/>
          <w:w w:val="110"/>
        </w:rPr>
        <w:t> </w:t>
      </w:r>
      <w:r>
        <w:rPr>
          <w:color w:val="383638"/>
          <w:w w:val="110"/>
        </w:rPr>
        <w:t>sentence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itself.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Including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case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name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alone</w:t>
      </w:r>
      <w:r>
        <w:rPr>
          <w:color w:val="383638"/>
          <w:spacing w:val="-6"/>
          <w:w w:val="110"/>
        </w:rPr>
        <w:t> </w:t>
      </w:r>
      <w:r>
        <w:rPr>
          <w:color w:val="4D4B4D"/>
          <w:w w:val="110"/>
        </w:rPr>
        <w:t>in</w:t>
      </w:r>
      <w:r>
        <w:rPr>
          <w:color w:val="4D4B4D"/>
          <w:spacing w:val="31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sentence</w:t>
      </w:r>
    </w:p>
    <w:p>
      <w:pPr>
        <w:spacing w:after="0" w:line="232" w:lineRule="auto"/>
        <w:jc w:val="both"/>
        <w:sectPr>
          <w:headerReference w:type="even" r:id="rId170"/>
          <w:headerReference w:type="default" r:id="rId171"/>
          <w:pgSz w:w="9340" w:h="13800"/>
          <w:pgMar w:header="425" w:footer="0" w:top="1040" w:bottom="0" w:left="1280" w:right="0"/>
          <w:pgNumType w:start="146"/>
        </w:sectPr>
      </w:pPr>
    </w:p>
    <w:p>
      <w:pPr>
        <w:pStyle w:val="BodyText"/>
        <w:spacing w:line="228" w:lineRule="auto" w:before="91"/>
        <w:ind w:left="130"/>
      </w:pPr>
      <w:r>
        <w:rPr>
          <w:color w:val="3A3838"/>
          <w:w w:val="110"/>
        </w:rPr>
        <w:t>is</w:t>
      </w:r>
      <w:r>
        <w:rPr>
          <w:color w:val="3A3838"/>
          <w:spacing w:val="-18"/>
          <w:w w:val="110"/>
        </w:rPr>
        <w:t> </w:t>
      </w:r>
      <w:r>
        <w:rPr>
          <w:color w:val="3A3838"/>
          <w:w w:val="110"/>
        </w:rPr>
        <w:t>appropriate</w:t>
      </w:r>
      <w:r>
        <w:rPr>
          <w:color w:val="3A3838"/>
          <w:spacing w:val="10"/>
          <w:w w:val="110"/>
        </w:rPr>
        <w:t> </w:t>
      </w:r>
      <w:r>
        <w:rPr>
          <w:color w:val="3A3838"/>
          <w:w w:val="110"/>
        </w:rPr>
        <w:t>only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if</w:t>
      </w:r>
      <w:r>
        <w:rPr>
          <w:color w:val="3A3838"/>
          <w:spacing w:val="12"/>
          <w:w w:val="110"/>
        </w:rPr>
        <w:t> </w:t>
      </w:r>
      <w:r>
        <w:rPr>
          <w:color w:val="3A3838"/>
          <w:w w:val="110"/>
        </w:rPr>
        <w:t>you</w:t>
      </w:r>
      <w:r>
        <w:rPr>
          <w:color w:val="3A3838"/>
          <w:spacing w:val="20"/>
          <w:w w:val="110"/>
        </w:rPr>
        <w:t> </w:t>
      </w:r>
      <w:r>
        <w:rPr>
          <w:color w:val="3A3838"/>
          <w:w w:val="110"/>
        </w:rPr>
        <w:t>have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already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cited</w:t>
      </w:r>
      <w:r>
        <w:rPr>
          <w:color w:val="3A3838"/>
          <w:spacing w:val="13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27"/>
          <w:w w:val="110"/>
        </w:rPr>
        <w:t> </w:t>
      </w:r>
      <w:r>
        <w:rPr>
          <w:color w:val="3A3838"/>
          <w:w w:val="110"/>
        </w:rPr>
        <w:t>case</w:t>
      </w:r>
      <w:r>
        <w:rPr>
          <w:color w:val="3A3838"/>
          <w:spacing w:val="10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31"/>
          <w:w w:val="110"/>
        </w:rPr>
        <w:t> </w:t>
      </w:r>
      <w:r>
        <w:rPr>
          <w:color w:val="3A3838"/>
          <w:w w:val="110"/>
        </w:rPr>
        <w:t>full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45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3"/>
          <w:w w:val="110"/>
        </w:rPr>
        <w:t> </w:t>
      </w:r>
      <w:r>
        <w:rPr>
          <w:color w:val="3A3838"/>
          <w:w w:val="110"/>
        </w:rPr>
        <w:t>same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discussion:</w:t>
      </w:r>
    </w:p>
    <w:p>
      <w:pPr>
        <w:pStyle w:val="BodyText"/>
        <w:spacing w:before="3"/>
        <w:rPr>
          <w:sz w:val="11"/>
        </w:rPr>
      </w:pPr>
    </w:p>
    <w:p>
      <w:pPr>
        <w:spacing w:before="96"/>
        <w:ind w:left="140" w:right="0" w:firstLine="0"/>
        <w:jc w:val="left"/>
        <w:rPr>
          <w:rFonts w:ascii="Arial"/>
          <w:sz w:val="14"/>
        </w:rPr>
      </w:pPr>
      <w:r>
        <w:rPr>
          <w:rFonts w:ascii="Arial"/>
          <w:color w:val="3A3838"/>
          <w:w w:val="105"/>
          <w:sz w:val="14"/>
          <w:u w:val="thick" w:color="3A3838"/>
        </w:rPr>
        <w:t>_/\     GOOD</w:t>
      </w:r>
      <w:r>
        <w:rPr>
          <w:rFonts w:ascii="Arial"/>
          <w:color w:val="3A3838"/>
          <w:spacing w:val="-7"/>
          <w:w w:val="105"/>
          <w:sz w:val="14"/>
          <w:u w:val="thick" w:color="3A3838"/>
        </w:rPr>
        <w:t> </w:t>
      </w:r>
      <w:r>
        <w:rPr>
          <w:rFonts w:ascii="Arial"/>
          <w:color w:val="3A3838"/>
          <w:w w:val="105"/>
          <w:sz w:val="14"/>
          <w:u w:val="thick" w:color="3A3838"/>
        </w:rPr>
        <w:t>EXAMPLE</w:t>
      </w:r>
    </w:p>
    <w:p>
      <w:pPr>
        <w:spacing w:line="223" w:lineRule="auto" w:before="106"/>
        <w:ind w:left="461" w:right="610" w:hanging="4"/>
        <w:jc w:val="both"/>
        <w:rPr>
          <w:rFonts w:ascii="Arial"/>
          <w:b/>
          <w:sz w:val="23"/>
        </w:rPr>
      </w:pPr>
      <w:r>
        <w:rPr>
          <w:b/>
          <w:color w:val="3A3838"/>
          <w:w w:val="110"/>
          <w:sz w:val="21"/>
        </w:rPr>
        <w:t>This Court has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held that sex-based peremptory challenges violate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jurors' rights to equal protection. </w:t>
      </w:r>
      <w:r>
        <w:rPr>
          <w:b/>
          <w:color w:val="3A3838"/>
          <w:w w:val="110"/>
          <w:sz w:val="21"/>
          <w:u w:val="thick" w:color="3A3838"/>
        </w:rPr>
        <w:t>J.E.B. v. </w:t>
      </w:r>
      <w:r>
        <w:rPr>
          <w:b/>
          <w:color w:val="3A3838"/>
          <w:w w:val="110"/>
          <w:sz w:val="24"/>
          <w:u w:val="thick" w:color="3A3838"/>
        </w:rPr>
        <w:t>T</w:t>
      </w:r>
      <w:r>
        <w:rPr>
          <w:b/>
          <w:color w:val="5D5D60"/>
          <w:w w:val="110"/>
          <w:sz w:val="24"/>
          <w:u w:val="thick" w:color="3A3838"/>
        </w:rPr>
        <w:t>.</w:t>
      </w:r>
      <w:r>
        <w:rPr>
          <w:b/>
          <w:color w:val="3A3838"/>
          <w:w w:val="110"/>
          <w:sz w:val="24"/>
          <w:u w:val="thick" w:color="3A3838"/>
        </w:rPr>
        <w:t>B.</w:t>
      </w:r>
      <w:r>
        <w:rPr>
          <w:b/>
          <w:color w:val="3A3838"/>
          <w:w w:val="110"/>
          <w:sz w:val="24"/>
        </w:rPr>
        <w:t>. </w:t>
      </w:r>
      <w:r>
        <w:rPr>
          <w:b/>
          <w:color w:val="3A3838"/>
          <w:w w:val="110"/>
          <w:sz w:val="21"/>
        </w:rPr>
        <w:t>511  U.S. 127, 138-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0"/>
        </w:rPr>
        <w:t>40 </w:t>
      </w:r>
      <w:r>
        <w:rPr>
          <w:b/>
          <w:color w:val="3A3838"/>
          <w:w w:val="110"/>
          <w:sz w:val="21"/>
        </w:rPr>
        <w:t>(1994). In </w:t>
      </w:r>
      <w:r>
        <w:rPr>
          <w:b/>
          <w:color w:val="3A3838"/>
          <w:w w:val="110"/>
          <w:sz w:val="21"/>
          <w:u w:val="thick" w:color="3A3838"/>
        </w:rPr>
        <w:t>1.E.B..</w:t>
      </w:r>
      <w:r>
        <w:rPr>
          <w:b/>
          <w:color w:val="3A3838"/>
          <w:w w:val="110"/>
          <w:sz w:val="21"/>
        </w:rPr>
        <w:t> the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Court found peremptory challenges invalid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because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they were based on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broad assumptions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about men's and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spacing w:val="-1"/>
          <w:w w:val="110"/>
          <w:sz w:val="21"/>
        </w:rPr>
        <w:t>women's</w:t>
      </w:r>
      <w:r>
        <w:rPr>
          <w:b/>
          <w:color w:val="3A3838"/>
          <w:spacing w:val="-24"/>
          <w:w w:val="110"/>
          <w:sz w:val="21"/>
        </w:rPr>
        <w:t> </w:t>
      </w:r>
      <w:r>
        <w:rPr>
          <w:b/>
          <w:color w:val="3A3838"/>
          <w:spacing w:val="-1"/>
          <w:w w:val="110"/>
          <w:sz w:val="21"/>
        </w:rPr>
        <w:t>relative</w:t>
      </w:r>
      <w:r>
        <w:rPr>
          <w:b/>
          <w:color w:val="3A3838"/>
          <w:spacing w:val="3"/>
          <w:w w:val="110"/>
          <w:sz w:val="21"/>
        </w:rPr>
        <w:t> </w:t>
      </w:r>
      <w:r>
        <w:rPr>
          <w:b/>
          <w:color w:val="3A3838"/>
          <w:spacing w:val="-1"/>
          <w:w w:val="110"/>
          <w:sz w:val="21"/>
        </w:rPr>
        <w:t>capabilities.</w:t>
      </w:r>
      <w:r>
        <w:rPr>
          <w:b/>
          <w:color w:val="3A3838"/>
          <w:spacing w:val="-19"/>
          <w:w w:val="110"/>
          <w:sz w:val="21"/>
        </w:rPr>
        <w:t> </w:t>
      </w:r>
      <w:r>
        <w:rPr>
          <w:rFonts w:ascii="Arial"/>
          <w:b/>
          <w:color w:val="3A3838"/>
          <w:w w:val="110"/>
          <w:sz w:val="23"/>
        </w:rPr>
        <w:t>kl.</w:t>
      </w:r>
    </w:p>
    <w:p>
      <w:pPr>
        <w:pStyle w:val="BodyText"/>
        <w:spacing w:line="228" w:lineRule="auto" w:before="159"/>
        <w:ind w:left="119" w:hanging="18"/>
      </w:pPr>
      <w:r>
        <w:rPr>
          <w:color w:val="3A3838"/>
          <w:w w:val="110"/>
        </w:rPr>
        <w:t>Thus, structure your sentences so that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all citations, 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particularly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long­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form citations,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can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be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placed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their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own citation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sentences.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You can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accomplish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this goal by keeping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focus on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substance of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cited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material</w:t>
      </w:r>
      <w:r>
        <w:rPr>
          <w:color w:val="3A3838"/>
          <w:spacing w:val="16"/>
          <w:w w:val="110"/>
        </w:rPr>
        <w:t> </w:t>
      </w:r>
      <w:r>
        <w:rPr>
          <w:color w:val="3A3838"/>
          <w:w w:val="110"/>
        </w:rPr>
        <w:t>rather</w:t>
      </w:r>
      <w:r>
        <w:rPr>
          <w:color w:val="3A3838"/>
          <w:spacing w:val="3"/>
          <w:w w:val="110"/>
        </w:rPr>
        <w:t> </w:t>
      </w:r>
      <w:r>
        <w:rPr>
          <w:color w:val="3A3838"/>
          <w:w w:val="110"/>
        </w:rPr>
        <w:t>than</w:t>
      </w:r>
      <w:r>
        <w:rPr>
          <w:color w:val="3A3838"/>
          <w:spacing w:val="5"/>
          <w:w w:val="110"/>
        </w:rPr>
        <w:t> </w:t>
      </w:r>
      <w:r>
        <w:rPr>
          <w:color w:val="3A3838"/>
          <w:w w:val="110"/>
        </w:rPr>
        <w:t>on</w:t>
      </w:r>
      <w:r>
        <w:rPr>
          <w:color w:val="3A3838"/>
          <w:spacing w:val="14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-11"/>
          <w:w w:val="110"/>
        </w:rPr>
        <w:t> </w:t>
      </w:r>
      <w:r>
        <w:rPr>
          <w:color w:val="3A3838"/>
          <w:w w:val="110"/>
        </w:rPr>
        <w:t>citation.</w:t>
      </w:r>
    </w:p>
    <w:p>
      <w:pPr>
        <w:pStyle w:val="BodyText"/>
        <w:spacing w:before="9"/>
        <w:rPr>
          <w:sz w:val="34"/>
        </w:rPr>
      </w:pPr>
    </w:p>
    <w:p>
      <w:pPr>
        <w:spacing w:before="0"/>
        <w:ind w:left="453" w:right="0" w:firstLine="0"/>
        <w:jc w:val="left"/>
        <w:rPr>
          <w:rFonts w:ascii="Arial"/>
          <w:b/>
          <w:i/>
          <w:sz w:val="28"/>
        </w:rPr>
      </w:pPr>
      <w:r>
        <w:rPr>
          <w:rFonts w:ascii="Arial"/>
          <w:b/>
          <w:i/>
          <w:color w:val="3A3838"/>
          <w:w w:val="105"/>
          <w:sz w:val="28"/>
        </w:rPr>
        <w:t>6</w:t>
      </w:r>
      <w:r>
        <w:rPr>
          <w:rFonts w:ascii="Arial"/>
          <w:b/>
          <w:i/>
          <w:color w:val="5D5D60"/>
          <w:w w:val="105"/>
          <w:sz w:val="28"/>
        </w:rPr>
        <w:t>.</w:t>
      </w:r>
      <w:r>
        <w:rPr>
          <w:rFonts w:ascii="Arial"/>
          <w:b/>
          <w:i/>
          <w:color w:val="3A3838"/>
          <w:w w:val="105"/>
          <w:sz w:val="28"/>
        </w:rPr>
        <w:t>5</w:t>
      </w:r>
      <w:r>
        <w:rPr>
          <w:rFonts w:ascii="Arial"/>
          <w:b/>
          <w:i/>
          <w:color w:val="5D5D60"/>
          <w:w w:val="105"/>
          <w:sz w:val="28"/>
        </w:rPr>
        <w:t>.5</w:t>
      </w:r>
    </w:p>
    <w:p>
      <w:pPr>
        <w:spacing w:before="53"/>
        <w:ind w:left="466" w:right="0" w:firstLine="0"/>
        <w:jc w:val="left"/>
        <w:rPr>
          <w:rFonts w:ascii="Arial"/>
          <w:sz w:val="22"/>
        </w:rPr>
      </w:pPr>
      <w:r>
        <w:rPr>
          <w:rFonts w:ascii="Arial"/>
          <w:color w:val="3A3838"/>
          <w:w w:val="105"/>
          <w:sz w:val="22"/>
        </w:rPr>
        <w:t>AV</w:t>
      </w:r>
      <w:r>
        <w:rPr>
          <w:rFonts w:ascii="Arial"/>
          <w:color w:val="707072"/>
          <w:w w:val="105"/>
          <w:sz w:val="22"/>
        </w:rPr>
        <w:t>OIDING</w:t>
      </w:r>
      <w:r>
        <w:rPr>
          <w:rFonts w:ascii="Arial"/>
          <w:color w:val="707072"/>
          <w:spacing w:val="40"/>
          <w:w w:val="105"/>
          <w:sz w:val="22"/>
        </w:rPr>
        <w:t> </w:t>
      </w:r>
      <w:r>
        <w:rPr>
          <w:rFonts w:ascii="Arial"/>
          <w:color w:val="5D5D60"/>
          <w:w w:val="105"/>
          <w:sz w:val="22"/>
        </w:rPr>
        <w:t>ST</w:t>
      </w:r>
      <w:r>
        <w:rPr>
          <w:rFonts w:ascii="Arial"/>
          <w:color w:val="7E8082"/>
          <w:w w:val="105"/>
          <w:sz w:val="22"/>
        </w:rPr>
        <w:t>R</w:t>
      </w:r>
      <w:r>
        <w:rPr>
          <w:rFonts w:ascii="Arial"/>
          <w:color w:val="3A3838"/>
          <w:w w:val="105"/>
          <w:sz w:val="22"/>
        </w:rPr>
        <w:t>I</w:t>
      </w:r>
      <w:r>
        <w:rPr>
          <w:rFonts w:ascii="Arial"/>
          <w:color w:val="5D5D60"/>
          <w:w w:val="105"/>
          <w:sz w:val="22"/>
        </w:rPr>
        <w:t>NG</w:t>
      </w:r>
      <w:r>
        <w:rPr>
          <w:rFonts w:ascii="Arial"/>
          <w:color w:val="5D5D60"/>
          <w:spacing w:val="27"/>
          <w:w w:val="105"/>
          <w:sz w:val="22"/>
        </w:rPr>
        <w:t> </w:t>
      </w:r>
      <w:r>
        <w:rPr>
          <w:rFonts w:ascii="Arial"/>
          <w:color w:val="5D5D60"/>
          <w:w w:val="105"/>
          <w:sz w:val="22"/>
        </w:rPr>
        <w:t>C</w:t>
      </w:r>
      <w:r>
        <w:rPr>
          <w:rFonts w:ascii="Arial"/>
          <w:color w:val="3A3838"/>
          <w:w w:val="105"/>
          <w:sz w:val="22"/>
        </w:rPr>
        <w:t>IT</w:t>
      </w:r>
      <w:r>
        <w:rPr>
          <w:rFonts w:ascii="Arial"/>
          <w:color w:val="707072"/>
          <w:w w:val="105"/>
          <w:sz w:val="22"/>
        </w:rPr>
        <w:t>ATION</w:t>
      </w:r>
      <w:r>
        <w:rPr>
          <w:rFonts w:ascii="Arial"/>
          <w:color w:val="3A3838"/>
          <w:w w:val="105"/>
          <w:sz w:val="22"/>
        </w:rPr>
        <w:t>S</w:t>
      </w:r>
    </w:p>
    <w:p>
      <w:pPr>
        <w:pStyle w:val="BodyText"/>
        <w:spacing w:line="235" w:lineRule="auto" w:before="147"/>
        <w:ind w:left="111" w:right="191" w:firstLine="331"/>
        <w:jc w:val="both"/>
      </w:pPr>
      <w:r>
        <w:rPr>
          <w:color w:val="3A3838"/>
          <w:w w:val="110"/>
        </w:rPr>
        <w:t>Judges almost uniformly condemn the useof string citations. As Judge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Boyce Martin notes, "When I read a lengthy string cite in a brief or slip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opinion, I often find that I have lost the gist of the argument after fighting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through line after line of gobbledygook</w:t>
      </w:r>
      <w:r>
        <w:rPr>
          <w:color w:val="5D5D60"/>
          <w:w w:val="110"/>
        </w:rPr>
        <w:t>.</w:t>
      </w:r>
      <w:r>
        <w:rPr>
          <w:color w:val="3A3838"/>
          <w:w w:val="110"/>
        </w:rPr>
        <w:t>"</w:t>
      </w:r>
      <w:r>
        <w:rPr>
          <w:color w:val="3A3838"/>
          <w:w w:val="110"/>
          <w:vertAlign w:val="superscript"/>
        </w:rPr>
        <w:t>24</w:t>
      </w:r>
      <w:r>
        <w:rPr>
          <w:color w:val="3A3838"/>
          <w:w w:val="110"/>
          <w:vertAlign w:val="baseline"/>
        </w:rPr>
        <w:t> Admittedly, string citations are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useful on rare occasions. For example, if you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need to illustrate a trend in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05"/>
          <w:vertAlign w:val="baseline"/>
        </w:rPr>
        <w:t>the Jaw, give a brief overview of a still-developing area of law, or establish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w w:val="110"/>
          <w:vertAlign w:val="baseline"/>
        </w:rPr>
        <w:t>that multiple authorities in a variety of jurisdictions have followed or not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followed a particular rule, a string citation may be appropriate. Two warn­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spacing w:val="-1"/>
          <w:w w:val="110"/>
          <w:vertAlign w:val="baseline"/>
        </w:rPr>
        <w:t>ings:</w:t>
      </w:r>
      <w:r>
        <w:rPr>
          <w:color w:val="3A3838"/>
          <w:spacing w:val="-22"/>
          <w:w w:val="110"/>
          <w:vertAlign w:val="baseline"/>
        </w:rPr>
        <w:t> </w:t>
      </w:r>
      <w:r>
        <w:rPr>
          <w:color w:val="3A3838"/>
          <w:spacing w:val="-1"/>
          <w:w w:val="110"/>
          <w:vertAlign w:val="baseline"/>
        </w:rPr>
        <w:t>First</w:t>
      </w:r>
      <w:r>
        <w:rPr>
          <w:color w:val="5D5D60"/>
          <w:spacing w:val="-1"/>
          <w:w w:val="110"/>
          <w:vertAlign w:val="baseline"/>
        </w:rPr>
        <w:t>,</w:t>
      </w:r>
      <w:r>
        <w:rPr>
          <w:color w:val="5D5D60"/>
          <w:spacing w:val="-7"/>
          <w:w w:val="110"/>
          <w:vertAlign w:val="baseline"/>
        </w:rPr>
        <w:t> </w:t>
      </w:r>
      <w:r>
        <w:rPr>
          <w:color w:val="3A3838"/>
          <w:spacing w:val="-1"/>
          <w:w w:val="110"/>
          <w:vertAlign w:val="baseline"/>
        </w:rPr>
        <w:t>most</w:t>
      </w:r>
      <w:r>
        <w:rPr>
          <w:color w:val="3A3838"/>
          <w:spacing w:val="-12"/>
          <w:w w:val="110"/>
          <w:vertAlign w:val="baseline"/>
        </w:rPr>
        <w:t> </w:t>
      </w:r>
      <w:r>
        <w:rPr>
          <w:color w:val="3A3838"/>
          <w:spacing w:val="-1"/>
          <w:w w:val="110"/>
          <w:vertAlign w:val="baseline"/>
        </w:rPr>
        <w:t>cases</w:t>
      </w:r>
      <w:r>
        <w:rPr>
          <w:color w:val="3A3838"/>
          <w:spacing w:val="-28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you</w:t>
      </w:r>
      <w:r>
        <w:rPr>
          <w:color w:val="3A3838"/>
          <w:spacing w:val="2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write</w:t>
      </w:r>
      <w:r>
        <w:rPr>
          <w:color w:val="3A3838"/>
          <w:spacing w:val="-15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briefs</w:t>
      </w:r>
      <w:r>
        <w:rPr>
          <w:color w:val="3A3838"/>
          <w:spacing w:val="-15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for</w:t>
      </w:r>
      <w:r>
        <w:rPr>
          <w:color w:val="3A3838"/>
          <w:spacing w:val="-15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will</w:t>
      </w:r>
      <w:r>
        <w:rPr>
          <w:color w:val="3A3838"/>
          <w:spacing w:val="-15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not</w:t>
      </w:r>
      <w:r>
        <w:rPr>
          <w:color w:val="3A3838"/>
          <w:spacing w:val="38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present</w:t>
      </w:r>
      <w:r>
        <w:rPr>
          <w:color w:val="3A3838"/>
          <w:spacing w:val="-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any</w:t>
      </w:r>
      <w:r>
        <w:rPr>
          <w:color w:val="3A3838"/>
          <w:spacing w:val="-12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of</w:t>
      </w:r>
      <w:r>
        <w:rPr>
          <w:color w:val="3A3838"/>
          <w:spacing w:val="2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these</w:t>
      </w:r>
      <w:r>
        <w:rPr>
          <w:color w:val="3A3838"/>
          <w:spacing w:val="-24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situ­</w:t>
      </w:r>
      <w:r>
        <w:rPr>
          <w:color w:val="3A3838"/>
          <w:spacing w:val="-6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ations, so presume that you will not need a string cite. Second, the longer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the string cite, the less likely it is that anyone will look at it except the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unfortunate judge's clerk who has been assigned to review all of the cited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05"/>
          <w:vertAlign w:val="baseline"/>
        </w:rPr>
        <w:t>cases.</w:t>
      </w:r>
      <w:r>
        <w:rPr>
          <w:color w:val="3A3838"/>
          <w:spacing w:val="-5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You</w:t>
      </w:r>
      <w:r>
        <w:rPr>
          <w:color w:val="3A3838"/>
          <w:spacing w:val="12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will</w:t>
      </w:r>
      <w:r>
        <w:rPr>
          <w:color w:val="3A3838"/>
          <w:spacing w:val="27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make</w:t>
      </w:r>
      <w:r>
        <w:rPr>
          <w:color w:val="3A3838"/>
          <w:spacing w:val="4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more</w:t>
      </w:r>
      <w:r>
        <w:rPr>
          <w:color w:val="3A3838"/>
          <w:spacing w:val="-4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friends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if</w:t>
      </w:r>
      <w:r>
        <w:rPr>
          <w:color w:val="3A3838"/>
          <w:spacing w:val="23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you</w:t>
      </w:r>
      <w:r>
        <w:rPr>
          <w:color w:val="3A3838"/>
          <w:spacing w:val="2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have</w:t>
      </w:r>
      <w:r>
        <w:rPr>
          <w:color w:val="3A3838"/>
          <w:spacing w:val="-8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fewer</w:t>
      </w:r>
      <w:r>
        <w:rPr>
          <w:color w:val="3A3838"/>
          <w:spacing w:val="-8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string</w:t>
      </w:r>
      <w:r>
        <w:rPr>
          <w:color w:val="3A3838"/>
          <w:spacing w:val="-13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cites.</w:t>
      </w:r>
    </w:p>
    <w:p>
      <w:pPr>
        <w:pStyle w:val="BodyText"/>
        <w:spacing w:line="232" w:lineRule="auto"/>
        <w:ind w:left="117" w:right="156" w:firstLine="345"/>
        <w:jc w:val="both"/>
      </w:pPr>
      <w:r>
        <w:rPr>
          <w:color w:val="3A3838"/>
          <w:w w:val="110"/>
        </w:rPr>
        <w:t>When a string cite is unavoidable,  put as much information as pos­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sible into the sentence preceding the  string cite. Most readers would have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to struggle to pick up any information in phrases and clauses interspersed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among the  citations. One problem with a string citation is that it inevita­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bly creates a very long sentence, and, psychologically, the reader tries to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keep that sentence "going" in his or her brain. A sentence with text 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citations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interspersed</w:t>
      </w:r>
      <w:r>
        <w:rPr>
          <w:color w:val="3A3838"/>
          <w:spacing w:val="43"/>
          <w:w w:val="110"/>
        </w:rPr>
        <w:t> </w:t>
      </w:r>
      <w:r>
        <w:rPr>
          <w:color w:val="3A3838"/>
          <w:w w:val="110"/>
        </w:rPr>
        <w:t>is</w:t>
      </w:r>
      <w:r>
        <w:rPr>
          <w:color w:val="3A3838"/>
          <w:spacing w:val="7"/>
          <w:w w:val="110"/>
        </w:rPr>
        <w:t> </w:t>
      </w:r>
      <w:r>
        <w:rPr>
          <w:color w:val="3A3838"/>
          <w:w w:val="110"/>
        </w:rPr>
        <w:t>probably</w:t>
      </w:r>
      <w:r>
        <w:rPr>
          <w:color w:val="3A3838"/>
          <w:spacing w:val="18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35"/>
          <w:w w:val="110"/>
        </w:rPr>
        <w:t> </w:t>
      </w:r>
      <w:r>
        <w:rPr>
          <w:color w:val="3A3838"/>
          <w:w w:val="110"/>
        </w:rPr>
        <w:t>hardest</w:t>
      </w:r>
      <w:r>
        <w:rPr>
          <w:color w:val="3A3838"/>
          <w:spacing w:val="14"/>
          <w:w w:val="110"/>
        </w:rPr>
        <w:t> </w:t>
      </w:r>
      <w:r>
        <w:rPr>
          <w:color w:val="3A3838"/>
          <w:w w:val="110"/>
        </w:rPr>
        <w:t>thing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for</w:t>
      </w:r>
      <w:r>
        <w:rPr>
          <w:color w:val="3A3838"/>
          <w:spacing w:val="-26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13"/>
          <w:w w:val="110"/>
        </w:rPr>
        <w:t> </w:t>
      </w:r>
      <w:r>
        <w:rPr>
          <w:color w:val="3A3838"/>
          <w:w w:val="110"/>
        </w:rPr>
        <w:t>reader</w:t>
      </w:r>
      <w:r>
        <w:rPr>
          <w:color w:val="3A3838"/>
          <w:spacing w:val="14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41"/>
          <w:w w:val="110"/>
        </w:rPr>
        <w:t> </w:t>
      </w:r>
      <w:r>
        <w:rPr>
          <w:color w:val="3A3838"/>
          <w:w w:val="110"/>
        </w:rPr>
        <w:t>read:</w:t>
      </w:r>
    </w:p>
    <w:p>
      <w:pPr>
        <w:pStyle w:val="BodyText"/>
        <w:spacing w:before="9"/>
        <w:rPr>
          <w:sz w:val="10"/>
        </w:rPr>
      </w:pPr>
    </w:p>
    <w:p>
      <w:pPr>
        <w:spacing w:before="96"/>
        <w:ind w:left="124" w:right="0" w:firstLine="0"/>
        <w:jc w:val="left"/>
        <w:rPr>
          <w:rFonts w:ascii="Arial"/>
          <w:sz w:val="14"/>
        </w:rPr>
      </w:pPr>
      <w:r>
        <w:rPr>
          <w:rFonts w:ascii="Arial"/>
          <w:color w:val="3A3838"/>
          <w:w w:val="115"/>
          <w:sz w:val="14"/>
          <w:u w:val="thick" w:color="3A3838"/>
        </w:rPr>
        <w:t>--1/</w:t>
      </w:r>
      <w:r>
        <w:rPr>
          <w:rFonts w:ascii="Arial"/>
          <w:color w:val="5D5D60"/>
          <w:w w:val="115"/>
          <w:sz w:val="14"/>
          <w:u w:val="thick" w:color="3A3838"/>
        </w:rPr>
        <w:t>B</w:t>
      </w:r>
      <w:r>
        <w:rPr>
          <w:rFonts w:ascii="Arial"/>
          <w:color w:val="3A3838"/>
          <w:w w:val="115"/>
          <w:sz w:val="14"/>
          <w:u w:val="thick" w:color="3A3838"/>
        </w:rPr>
        <w:t>AO</w:t>
      </w:r>
      <w:r>
        <w:rPr>
          <w:rFonts w:ascii="Arial"/>
          <w:color w:val="3A3838"/>
          <w:spacing w:val="17"/>
          <w:w w:val="115"/>
          <w:sz w:val="14"/>
          <w:u w:val="thick" w:color="3A3838"/>
        </w:rPr>
        <w:t> </w:t>
      </w:r>
      <w:r>
        <w:rPr>
          <w:rFonts w:ascii="Arial"/>
          <w:color w:val="3A3838"/>
          <w:w w:val="115"/>
          <w:sz w:val="14"/>
          <w:u w:val="thick" w:color="3A3838"/>
        </w:rPr>
        <w:t>EXA</w:t>
      </w:r>
      <w:r>
        <w:rPr>
          <w:rFonts w:ascii="Arial"/>
          <w:color w:val="5D5D60"/>
          <w:w w:val="115"/>
          <w:sz w:val="14"/>
          <w:u w:val="thick" w:color="3A3838"/>
        </w:rPr>
        <w:t>M</w:t>
      </w:r>
      <w:r>
        <w:rPr>
          <w:rFonts w:ascii="Arial"/>
          <w:color w:val="3A3838"/>
          <w:w w:val="115"/>
          <w:sz w:val="14"/>
          <w:u w:val="thick" w:color="3A3838"/>
        </w:rPr>
        <w:t>PLE</w:t>
      </w:r>
    </w:p>
    <w:p>
      <w:pPr>
        <w:spacing w:line="230" w:lineRule="auto" w:before="81"/>
        <w:ind w:left="448" w:right="100" w:firstLine="7"/>
        <w:jc w:val="left"/>
        <w:rPr>
          <w:b/>
          <w:sz w:val="21"/>
        </w:rPr>
      </w:pPr>
      <w:r>
        <w:rPr>
          <w:b/>
          <w:color w:val="3A3838"/>
          <w:w w:val="110"/>
          <w:sz w:val="21"/>
        </w:rPr>
        <w:t>Several</w:t>
      </w:r>
      <w:r>
        <w:rPr>
          <w:b/>
          <w:color w:val="3A3838"/>
          <w:spacing w:val="10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courts</w:t>
      </w:r>
      <w:r>
        <w:rPr>
          <w:b/>
          <w:color w:val="3A3838"/>
          <w:spacing w:val="-13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of</w:t>
      </w:r>
      <w:r>
        <w:rPr>
          <w:b/>
          <w:color w:val="3A3838"/>
          <w:spacing w:val="8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appeals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have</w:t>
      </w:r>
      <w:r>
        <w:rPr>
          <w:b/>
          <w:color w:val="3A3838"/>
          <w:spacing w:val="-3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considered</w:t>
      </w:r>
      <w:r>
        <w:rPr>
          <w:b/>
          <w:color w:val="3A3838"/>
          <w:spacing w:val="13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the</w:t>
      </w:r>
      <w:r>
        <w:rPr>
          <w:b/>
          <w:color w:val="3A3838"/>
          <w:spacing w:val="9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issue</w:t>
      </w:r>
      <w:r>
        <w:rPr>
          <w:b/>
          <w:color w:val="3A3838"/>
          <w:spacing w:val="-12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of</w:t>
      </w:r>
      <w:r>
        <w:rPr>
          <w:b/>
          <w:color w:val="3A3838"/>
          <w:spacing w:val="20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whether</w:t>
      </w:r>
      <w:r>
        <w:rPr>
          <w:b/>
          <w:color w:val="3A3838"/>
          <w:spacing w:val="-6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a</w:t>
      </w:r>
      <w:r>
        <w:rPr>
          <w:b/>
          <w:color w:val="3A3838"/>
          <w:spacing w:val="19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tran­</w:t>
      </w:r>
      <w:r>
        <w:rPr>
          <w:b/>
          <w:color w:val="3A3838"/>
          <w:spacing w:val="-55"/>
          <w:w w:val="110"/>
          <w:sz w:val="21"/>
        </w:rPr>
        <w:t> </w:t>
      </w:r>
      <w:r>
        <w:rPr>
          <w:b/>
          <w:color w:val="3A3838"/>
          <w:w w:val="115"/>
          <w:sz w:val="21"/>
        </w:rPr>
        <w:t>sient</w:t>
      </w:r>
      <w:r>
        <w:rPr>
          <w:b/>
          <w:color w:val="3A3838"/>
          <w:spacing w:val="-13"/>
          <w:w w:val="115"/>
          <w:sz w:val="21"/>
        </w:rPr>
        <w:t> </w:t>
      </w:r>
      <w:r>
        <w:rPr>
          <w:b/>
          <w:color w:val="3A3838"/>
          <w:w w:val="115"/>
          <w:sz w:val="21"/>
        </w:rPr>
        <w:t>visitor</w:t>
      </w:r>
      <w:r>
        <w:rPr>
          <w:b/>
          <w:color w:val="3A3838"/>
          <w:spacing w:val="-7"/>
          <w:w w:val="115"/>
          <w:sz w:val="21"/>
        </w:rPr>
        <w:t> </w:t>
      </w:r>
      <w:r>
        <w:rPr>
          <w:b/>
          <w:color w:val="3A3838"/>
          <w:w w:val="115"/>
          <w:sz w:val="21"/>
        </w:rPr>
        <w:t>has</w:t>
      </w:r>
      <w:r>
        <w:rPr>
          <w:b/>
          <w:color w:val="3A3838"/>
          <w:spacing w:val="-1"/>
          <w:w w:val="115"/>
          <w:sz w:val="21"/>
        </w:rPr>
        <w:t> </w:t>
      </w:r>
      <w:r>
        <w:rPr>
          <w:b/>
          <w:color w:val="3A3838"/>
          <w:w w:val="115"/>
          <w:sz w:val="21"/>
        </w:rPr>
        <w:t>a</w:t>
      </w:r>
      <w:r>
        <w:rPr>
          <w:b/>
          <w:color w:val="3A3838"/>
          <w:spacing w:val="6"/>
          <w:w w:val="115"/>
          <w:sz w:val="21"/>
        </w:rPr>
        <w:t> </w:t>
      </w:r>
      <w:r>
        <w:rPr>
          <w:b/>
          <w:color w:val="3A3838"/>
          <w:w w:val="115"/>
          <w:sz w:val="21"/>
        </w:rPr>
        <w:t>legitimate</w:t>
      </w:r>
      <w:r>
        <w:rPr>
          <w:b/>
          <w:color w:val="3A3838"/>
          <w:spacing w:val="-1"/>
          <w:w w:val="115"/>
          <w:sz w:val="21"/>
        </w:rPr>
        <w:t> </w:t>
      </w:r>
      <w:r>
        <w:rPr>
          <w:b/>
          <w:color w:val="3A3838"/>
          <w:w w:val="115"/>
          <w:sz w:val="21"/>
        </w:rPr>
        <w:t>expectation</w:t>
      </w:r>
      <w:r>
        <w:rPr>
          <w:b/>
          <w:color w:val="3A3838"/>
          <w:spacing w:val="-2"/>
          <w:w w:val="115"/>
          <w:sz w:val="21"/>
        </w:rPr>
        <w:t> </w:t>
      </w:r>
      <w:r>
        <w:rPr>
          <w:b/>
          <w:color w:val="3A3838"/>
          <w:w w:val="115"/>
          <w:sz w:val="21"/>
        </w:rPr>
        <w:t>of</w:t>
      </w:r>
      <w:r>
        <w:rPr>
          <w:b/>
          <w:color w:val="3A3838"/>
          <w:spacing w:val="8"/>
          <w:w w:val="115"/>
          <w:sz w:val="21"/>
        </w:rPr>
        <w:t> </w:t>
      </w:r>
      <w:r>
        <w:rPr>
          <w:b/>
          <w:color w:val="3A3838"/>
          <w:w w:val="115"/>
          <w:sz w:val="21"/>
        </w:rPr>
        <w:t>privacy</w:t>
      </w:r>
      <w:r>
        <w:rPr>
          <w:b/>
          <w:color w:val="3A3838"/>
          <w:spacing w:val="1"/>
          <w:w w:val="115"/>
          <w:sz w:val="21"/>
        </w:rPr>
        <w:t> </w:t>
      </w:r>
      <w:r>
        <w:rPr>
          <w:b/>
          <w:color w:val="3A3838"/>
          <w:w w:val="115"/>
          <w:sz w:val="21"/>
        </w:rPr>
        <w:t>while</w:t>
      </w:r>
      <w:r>
        <w:rPr>
          <w:b/>
          <w:color w:val="3A3838"/>
          <w:spacing w:val="-3"/>
          <w:w w:val="115"/>
          <w:sz w:val="21"/>
        </w:rPr>
        <w:t> </w:t>
      </w:r>
      <w:r>
        <w:rPr>
          <w:b/>
          <w:color w:val="3A3838"/>
          <w:w w:val="115"/>
          <w:sz w:val="21"/>
        </w:rPr>
        <w:t>within</w:t>
      </w:r>
      <w:r>
        <w:rPr>
          <w:b/>
          <w:color w:val="3A3838"/>
          <w:spacing w:val="-9"/>
          <w:w w:val="115"/>
          <w:sz w:val="21"/>
        </w:rPr>
        <w:t> </w:t>
      </w:r>
      <w:r>
        <w:rPr>
          <w:b/>
          <w:color w:val="3A3838"/>
          <w:w w:val="115"/>
          <w:sz w:val="21"/>
        </w:rPr>
        <w:t>the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spacing w:before="0"/>
        <w:ind w:left="463" w:right="0" w:firstLine="0"/>
        <w:jc w:val="left"/>
        <w:rPr>
          <w:sz w:val="18"/>
        </w:rPr>
      </w:pPr>
      <w:r>
        <w:rPr>
          <w:color w:val="3A3838"/>
          <w:w w:val="95"/>
          <w:position w:val="6"/>
          <w:sz w:val="11"/>
        </w:rPr>
        <w:t>2</w:t>
      </w:r>
      <w:r>
        <w:rPr>
          <w:color w:val="3A3838"/>
          <w:w w:val="95"/>
          <w:sz w:val="18"/>
        </w:rPr>
        <w:t>•Boyce</w:t>
      </w:r>
      <w:r>
        <w:rPr>
          <w:color w:val="3A3838"/>
          <w:spacing w:val="15"/>
          <w:w w:val="95"/>
          <w:sz w:val="18"/>
        </w:rPr>
        <w:t> </w:t>
      </w:r>
      <w:r>
        <w:rPr>
          <w:rFonts w:ascii="Arial" w:hAnsi="Arial"/>
          <w:color w:val="3A3838"/>
          <w:w w:val="95"/>
          <w:sz w:val="16"/>
        </w:rPr>
        <w:t>F.</w:t>
      </w:r>
      <w:r>
        <w:rPr>
          <w:rFonts w:ascii="Arial" w:hAnsi="Arial"/>
          <w:color w:val="3A3838"/>
          <w:spacing w:val="16"/>
          <w:w w:val="95"/>
          <w:sz w:val="16"/>
        </w:rPr>
        <w:t> </w:t>
      </w:r>
      <w:r>
        <w:rPr>
          <w:color w:val="3A3838"/>
          <w:w w:val="95"/>
          <w:sz w:val="18"/>
        </w:rPr>
        <w:t>Martin,</w:t>
      </w:r>
      <w:r>
        <w:rPr>
          <w:color w:val="3A3838"/>
          <w:spacing w:val="-6"/>
          <w:w w:val="95"/>
          <w:sz w:val="18"/>
        </w:rPr>
        <w:t> </w:t>
      </w:r>
      <w:r>
        <w:rPr>
          <w:color w:val="3A3838"/>
          <w:w w:val="95"/>
          <w:sz w:val="18"/>
        </w:rPr>
        <w:t>Jr.,</w:t>
      </w:r>
      <w:r>
        <w:rPr>
          <w:color w:val="3A3838"/>
          <w:spacing w:val="-4"/>
          <w:w w:val="95"/>
          <w:sz w:val="18"/>
        </w:rPr>
        <w:t> </w:t>
      </w:r>
      <w:r>
        <w:rPr>
          <w:rFonts w:ascii="Arial" w:hAnsi="Arial"/>
          <w:i/>
          <w:color w:val="3A3838"/>
          <w:w w:val="95"/>
          <w:sz w:val="16"/>
        </w:rPr>
        <w:t>Judges</w:t>
      </w:r>
      <w:r>
        <w:rPr>
          <w:rFonts w:ascii="Arial" w:hAnsi="Arial"/>
          <w:i/>
          <w:color w:val="3A3838"/>
          <w:spacing w:val="18"/>
          <w:w w:val="95"/>
          <w:sz w:val="16"/>
        </w:rPr>
        <w:t> </w:t>
      </w:r>
      <w:r>
        <w:rPr>
          <w:rFonts w:ascii="Arial" w:hAnsi="Arial"/>
          <w:i/>
          <w:color w:val="3A3838"/>
          <w:w w:val="95"/>
          <w:sz w:val="16"/>
        </w:rPr>
        <w:t>011 fudging:</w:t>
      </w:r>
      <w:r>
        <w:rPr>
          <w:rFonts w:ascii="Arial" w:hAnsi="Arial"/>
          <w:i/>
          <w:color w:val="3A3838"/>
          <w:spacing w:val="-8"/>
          <w:w w:val="95"/>
          <w:sz w:val="16"/>
        </w:rPr>
        <w:t> </w:t>
      </w:r>
      <w:r>
        <w:rPr>
          <w:rFonts w:ascii="Arial" w:hAnsi="Arial"/>
          <w:i/>
          <w:color w:val="3A3838"/>
          <w:w w:val="95"/>
          <w:sz w:val="16"/>
        </w:rPr>
        <w:t>111</w:t>
      </w:r>
      <w:r>
        <w:rPr>
          <w:rFonts w:ascii="Arial" w:hAnsi="Arial"/>
          <w:i/>
          <w:color w:val="3A3838"/>
          <w:spacing w:val="15"/>
          <w:w w:val="95"/>
          <w:sz w:val="16"/>
        </w:rPr>
        <w:t> </w:t>
      </w:r>
      <w:r>
        <w:rPr>
          <w:rFonts w:ascii="Arial" w:hAnsi="Arial"/>
          <w:i/>
          <w:color w:val="3A3838"/>
          <w:w w:val="95"/>
          <w:sz w:val="16"/>
        </w:rPr>
        <w:t>Defense</w:t>
      </w:r>
      <w:r>
        <w:rPr>
          <w:rFonts w:ascii="Arial" w:hAnsi="Arial"/>
          <w:i/>
          <w:color w:val="3A3838"/>
          <w:spacing w:val="14"/>
          <w:w w:val="95"/>
          <w:sz w:val="16"/>
        </w:rPr>
        <w:t> </w:t>
      </w:r>
      <w:r>
        <w:rPr>
          <w:rFonts w:ascii="Arial" w:hAnsi="Arial"/>
          <w:i/>
          <w:color w:val="3A3838"/>
          <w:w w:val="95"/>
          <w:sz w:val="16"/>
        </w:rPr>
        <w:t>of</w:t>
      </w:r>
      <w:r>
        <w:rPr>
          <w:rFonts w:ascii="Arial" w:hAnsi="Arial"/>
          <w:i/>
          <w:color w:val="3A3838"/>
          <w:spacing w:val="40"/>
          <w:w w:val="95"/>
          <w:sz w:val="16"/>
        </w:rPr>
        <w:t> </w:t>
      </w:r>
      <w:r>
        <w:rPr>
          <w:rFonts w:ascii="Arial" w:hAnsi="Arial"/>
          <w:i/>
          <w:color w:val="3A3838"/>
          <w:w w:val="95"/>
          <w:sz w:val="16"/>
        </w:rPr>
        <w:t>U11p11blis/Jed</w:t>
      </w:r>
      <w:r>
        <w:rPr>
          <w:rFonts w:ascii="Arial" w:hAnsi="Arial"/>
          <w:i/>
          <w:color w:val="3A3838"/>
          <w:spacing w:val="4"/>
          <w:w w:val="95"/>
          <w:sz w:val="16"/>
        </w:rPr>
        <w:t> </w:t>
      </w:r>
      <w:r>
        <w:rPr>
          <w:rFonts w:ascii="Arial" w:hAnsi="Arial"/>
          <w:i/>
          <w:color w:val="3A3838"/>
          <w:w w:val="95"/>
          <w:sz w:val="16"/>
        </w:rPr>
        <w:t>Op/11io11s,</w:t>
      </w:r>
      <w:r>
        <w:rPr>
          <w:rFonts w:ascii="Arial" w:hAnsi="Arial"/>
          <w:i/>
          <w:color w:val="3A3838"/>
          <w:spacing w:val="26"/>
          <w:w w:val="95"/>
          <w:sz w:val="16"/>
        </w:rPr>
        <w:t> </w:t>
      </w:r>
      <w:r>
        <w:rPr>
          <w:color w:val="3A3838"/>
          <w:w w:val="95"/>
          <w:sz w:val="18"/>
        </w:rPr>
        <w:t>60</w:t>
      </w:r>
      <w:r>
        <w:rPr>
          <w:color w:val="3A3838"/>
          <w:spacing w:val="84"/>
          <w:sz w:val="18"/>
        </w:rPr>
        <w:t> </w:t>
      </w:r>
      <w:r>
        <w:rPr>
          <w:color w:val="3A3838"/>
          <w:w w:val="95"/>
          <w:sz w:val="17"/>
        </w:rPr>
        <w:t>Ohio</w:t>
      </w:r>
      <w:r>
        <w:rPr>
          <w:color w:val="3A3838"/>
          <w:spacing w:val="-5"/>
          <w:w w:val="95"/>
          <w:sz w:val="17"/>
        </w:rPr>
        <w:t> </w:t>
      </w:r>
      <w:r>
        <w:rPr>
          <w:color w:val="3A3838"/>
          <w:w w:val="95"/>
          <w:sz w:val="18"/>
        </w:rPr>
        <w:t>St.</w:t>
      </w:r>
      <w:r>
        <w:rPr>
          <w:color w:val="3A3838"/>
          <w:spacing w:val="-18"/>
          <w:w w:val="95"/>
          <w:sz w:val="18"/>
        </w:rPr>
        <w:t> </w:t>
      </w:r>
      <w:r>
        <w:rPr>
          <w:color w:val="3A3838"/>
          <w:w w:val="95"/>
          <w:sz w:val="18"/>
        </w:rPr>
        <w:t>L.J.</w:t>
      </w:r>
    </w:p>
    <w:p>
      <w:pPr>
        <w:spacing w:before="4"/>
        <w:ind w:left="118" w:right="0" w:firstLine="0"/>
        <w:jc w:val="left"/>
        <w:rPr>
          <w:sz w:val="17"/>
        </w:rPr>
      </w:pPr>
      <w:r>
        <w:rPr>
          <w:color w:val="3A3838"/>
          <w:w w:val="105"/>
          <w:sz w:val="17"/>
        </w:rPr>
        <w:t>177,</w:t>
      </w:r>
      <w:r>
        <w:rPr>
          <w:color w:val="3A3838"/>
          <w:spacing w:val="-3"/>
          <w:w w:val="105"/>
          <w:sz w:val="17"/>
        </w:rPr>
        <w:t> </w:t>
      </w:r>
      <w:r>
        <w:rPr>
          <w:color w:val="3A3838"/>
          <w:w w:val="105"/>
          <w:sz w:val="17"/>
        </w:rPr>
        <w:t>193</w:t>
      </w:r>
      <w:r>
        <w:rPr>
          <w:color w:val="3A3838"/>
          <w:spacing w:val="35"/>
          <w:w w:val="105"/>
          <w:sz w:val="17"/>
        </w:rPr>
        <w:t> </w:t>
      </w:r>
      <w:r>
        <w:rPr>
          <w:color w:val="3A3838"/>
          <w:w w:val="105"/>
          <w:sz w:val="17"/>
        </w:rPr>
        <w:t>(1999).</w:t>
      </w:r>
    </w:p>
    <w:p>
      <w:pPr>
        <w:spacing w:after="0"/>
        <w:jc w:val="left"/>
        <w:rPr>
          <w:sz w:val="17"/>
        </w:rPr>
        <w:sectPr>
          <w:pgSz w:w="9590" w:h="13760"/>
          <w:pgMar w:header="587" w:footer="0" w:top="1160" w:bottom="280" w:left="440" w:right="1240"/>
        </w:sectPr>
      </w:pPr>
    </w:p>
    <w:p>
      <w:pPr>
        <w:spacing w:line="230" w:lineRule="auto" w:before="89"/>
        <w:ind w:left="1366" w:right="271" w:firstLine="45"/>
        <w:jc w:val="both"/>
        <w:rPr>
          <w:sz w:val="21"/>
        </w:rPr>
      </w:pPr>
      <w:r>
        <w:rPr>
          <w:color w:val="383638"/>
          <w:spacing w:val="-1"/>
          <w:w w:val="110"/>
          <w:sz w:val="21"/>
        </w:rPr>
        <w:t>residence</w:t>
      </w:r>
      <w:r>
        <w:rPr>
          <w:color w:val="383638"/>
          <w:spacing w:val="-29"/>
          <w:w w:val="110"/>
          <w:sz w:val="21"/>
        </w:rPr>
        <w:t> </w:t>
      </w:r>
      <w:r>
        <w:rPr>
          <w:color w:val="383638"/>
          <w:spacing w:val="-1"/>
          <w:w w:val="110"/>
          <w:sz w:val="21"/>
        </w:rPr>
        <w:t>of</w:t>
      </w:r>
      <w:r>
        <w:rPr>
          <w:color w:val="383638"/>
          <w:spacing w:val="-15"/>
          <w:w w:val="110"/>
          <w:sz w:val="21"/>
        </w:rPr>
        <w:t> </w:t>
      </w:r>
      <w:r>
        <w:rPr>
          <w:color w:val="383638"/>
          <w:spacing w:val="-1"/>
          <w:w w:val="110"/>
          <w:sz w:val="21"/>
        </w:rPr>
        <w:t>another,</w:t>
      </w:r>
      <w:r>
        <w:rPr>
          <w:color w:val="383638"/>
          <w:spacing w:val="-22"/>
          <w:w w:val="110"/>
          <w:sz w:val="21"/>
        </w:rPr>
        <w:t> </w:t>
      </w:r>
      <w:r>
        <w:rPr>
          <w:color w:val="383638"/>
          <w:w w:val="110"/>
          <w:sz w:val="21"/>
          <w:u w:val="thick" w:color="383638"/>
        </w:rPr>
        <w:t>see.</w:t>
      </w:r>
      <w:r>
        <w:rPr>
          <w:color w:val="383638"/>
          <w:spacing w:val="-28"/>
          <w:w w:val="110"/>
          <w:sz w:val="21"/>
          <w:u w:val="thick" w:color="383638"/>
        </w:rPr>
        <w:t> </w:t>
      </w:r>
      <w:r>
        <w:rPr>
          <w:color w:val="383638"/>
          <w:w w:val="110"/>
          <w:sz w:val="21"/>
          <w:u w:val="thick" w:color="383638"/>
        </w:rPr>
        <w:t>e.g..</w:t>
      </w:r>
      <w:r>
        <w:rPr>
          <w:color w:val="383638"/>
          <w:spacing w:val="10"/>
          <w:w w:val="110"/>
          <w:sz w:val="21"/>
          <w:u w:val="thick" w:color="383638"/>
        </w:rPr>
        <w:t> </w:t>
      </w:r>
      <w:r>
        <w:rPr>
          <w:color w:val="383638"/>
          <w:w w:val="110"/>
          <w:sz w:val="21"/>
          <w:u w:val="thick" w:color="383638"/>
        </w:rPr>
        <w:t>United</w:t>
      </w:r>
      <w:r>
        <w:rPr>
          <w:color w:val="383638"/>
          <w:spacing w:val="-17"/>
          <w:w w:val="110"/>
          <w:sz w:val="21"/>
          <w:u w:val="thick" w:color="383638"/>
        </w:rPr>
        <w:t> </w:t>
      </w:r>
      <w:r>
        <w:rPr>
          <w:color w:val="383638"/>
          <w:w w:val="110"/>
          <w:sz w:val="21"/>
          <w:u w:val="thick" w:color="383638"/>
        </w:rPr>
        <w:t>States</w:t>
      </w:r>
      <w:r>
        <w:rPr>
          <w:color w:val="383638"/>
          <w:spacing w:val="-19"/>
          <w:w w:val="110"/>
          <w:sz w:val="21"/>
          <w:u w:val="thick" w:color="383638"/>
        </w:rPr>
        <w:t> </w:t>
      </w:r>
      <w:r>
        <w:rPr>
          <w:color w:val="383638"/>
          <w:w w:val="110"/>
          <w:sz w:val="21"/>
          <w:u w:val="thick" w:color="383638"/>
        </w:rPr>
        <w:t>v.</w:t>
      </w:r>
      <w:r>
        <w:rPr>
          <w:color w:val="383638"/>
          <w:spacing w:val="-28"/>
          <w:w w:val="110"/>
          <w:sz w:val="21"/>
          <w:u w:val="thick" w:color="383638"/>
        </w:rPr>
        <w:t> </w:t>
      </w:r>
      <w:r>
        <w:rPr>
          <w:color w:val="383638"/>
          <w:w w:val="110"/>
          <w:sz w:val="21"/>
          <w:u w:val="thick" w:color="383638"/>
        </w:rPr>
        <w:t>Gale</w:t>
      </w:r>
      <w:r>
        <w:rPr>
          <w:color w:val="383638"/>
          <w:w w:val="110"/>
          <w:sz w:val="21"/>
        </w:rPr>
        <w:t>.</w:t>
      </w:r>
      <w:r>
        <w:rPr>
          <w:color w:val="383638"/>
          <w:spacing w:val="-36"/>
          <w:w w:val="110"/>
          <w:sz w:val="21"/>
        </w:rPr>
        <w:t> </w:t>
      </w:r>
      <w:r>
        <w:rPr>
          <w:color w:val="383638"/>
          <w:w w:val="110"/>
          <w:sz w:val="21"/>
        </w:rPr>
        <w:t>136</w:t>
      </w:r>
      <w:r>
        <w:rPr>
          <w:color w:val="383638"/>
          <w:spacing w:val="-2"/>
          <w:w w:val="110"/>
          <w:sz w:val="21"/>
        </w:rPr>
        <w:t> </w:t>
      </w:r>
      <w:r>
        <w:rPr>
          <w:color w:val="383638"/>
          <w:w w:val="110"/>
          <w:sz w:val="21"/>
        </w:rPr>
        <w:t>F.3d</w:t>
      </w:r>
      <w:r>
        <w:rPr>
          <w:color w:val="383638"/>
          <w:spacing w:val="-18"/>
          <w:w w:val="110"/>
          <w:sz w:val="21"/>
        </w:rPr>
        <w:t> </w:t>
      </w:r>
      <w:r>
        <w:rPr>
          <w:color w:val="383638"/>
          <w:w w:val="110"/>
          <w:sz w:val="21"/>
        </w:rPr>
        <w:t>192</w:t>
      </w:r>
      <w:r>
        <w:rPr>
          <w:color w:val="383638"/>
          <w:spacing w:val="28"/>
          <w:w w:val="110"/>
          <w:sz w:val="21"/>
        </w:rPr>
        <w:t> </w:t>
      </w:r>
      <w:r>
        <w:rPr>
          <w:color w:val="383638"/>
          <w:w w:val="110"/>
          <w:sz w:val="21"/>
        </w:rPr>
        <w:t>(D.C.</w:t>
      </w:r>
      <w:r>
        <w:rPr>
          <w:color w:val="383638"/>
          <w:spacing w:val="-56"/>
          <w:w w:val="110"/>
          <w:sz w:val="21"/>
        </w:rPr>
        <w:t> </w:t>
      </w:r>
      <w:r>
        <w:rPr>
          <w:color w:val="383638"/>
          <w:w w:val="110"/>
          <w:sz w:val="21"/>
        </w:rPr>
        <w:t>Cir. 1998), and they have considered this issue in a variety of contexts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and  using a  variety of factors in  reaching their decisions. including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the frequency of rent payments, </w:t>
      </w:r>
      <w:r>
        <w:rPr>
          <w:rFonts w:ascii="Arial"/>
          <w:color w:val="383638"/>
          <w:w w:val="110"/>
          <w:sz w:val="23"/>
        </w:rPr>
        <w:t>id. </w:t>
      </w:r>
      <w:r>
        <w:rPr>
          <w:color w:val="383638"/>
          <w:w w:val="110"/>
          <w:sz w:val="21"/>
        </w:rPr>
        <w:t>at 193; the lack of an overnight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stay,</w:t>
      </w:r>
      <w:r>
        <w:rPr>
          <w:color w:val="383638"/>
          <w:spacing w:val="4"/>
          <w:w w:val="110"/>
          <w:sz w:val="21"/>
        </w:rPr>
        <w:t> </w:t>
      </w:r>
      <w:r>
        <w:rPr>
          <w:color w:val="383638"/>
          <w:w w:val="110"/>
          <w:sz w:val="21"/>
          <w:u w:val="thick" w:color="383638"/>
        </w:rPr>
        <w:t>United</w:t>
      </w:r>
      <w:r>
        <w:rPr>
          <w:color w:val="383638"/>
          <w:spacing w:val="-4"/>
          <w:w w:val="110"/>
          <w:sz w:val="21"/>
          <w:u w:val="thick" w:color="383638"/>
        </w:rPr>
        <w:t> </w:t>
      </w:r>
      <w:r>
        <w:rPr>
          <w:color w:val="383638"/>
          <w:w w:val="110"/>
          <w:sz w:val="21"/>
          <w:u w:val="thick" w:color="383638"/>
        </w:rPr>
        <w:t>States</w:t>
      </w:r>
      <w:r>
        <w:rPr>
          <w:color w:val="383638"/>
          <w:spacing w:val="-7"/>
          <w:w w:val="110"/>
          <w:sz w:val="21"/>
          <w:u w:val="thick" w:color="383638"/>
        </w:rPr>
        <w:t> </w:t>
      </w:r>
      <w:r>
        <w:rPr>
          <w:color w:val="383638"/>
          <w:w w:val="110"/>
          <w:sz w:val="21"/>
          <w:u w:val="thick" w:color="383638"/>
        </w:rPr>
        <w:t>v.</w:t>
      </w:r>
      <w:r>
        <w:rPr>
          <w:color w:val="383638"/>
          <w:spacing w:val="-12"/>
          <w:w w:val="110"/>
          <w:sz w:val="21"/>
          <w:u w:val="thick" w:color="383638"/>
        </w:rPr>
        <w:t> </w:t>
      </w:r>
      <w:r>
        <w:rPr>
          <w:color w:val="383638"/>
          <w:w w:val="110"/>
          <w:sz w:val="21"/>
          <w:u w:val="thick" w:color="383638"/>
        </w:rPr>
        <w:t>Maddox.</w:t>
      </w:r>
      <w:r>
        <w:rPr>
          <w:color w:val="383638"/>
          <w:spacing w:val="-16"/>
          <w:w w:val="110"/>
          <w:sz w:val="21"/>
        </w:rPr>
        <w:t> </w:t>
      </w:r>
      <w:r>
        <w:rPr>
          <w:color w:val="383638"/>
          <w:w w:val="110"/>
          <w:sz w:val="21"/>
        </w:rPr>
        <w:t>944</w:t>
      </w:r>
      <w:r>
        <w:rPr>
          <w:color w:val="383638"/>
          <w:spacing w:val="-5"/>
          <w:w w:val="110"/>
          <w:sz w:val="21"/>
        </w:rPr>
        <w:t> </w:t>
      </w:r>
      <w:r>
        <w:rPr>
          <w:color w:val="383638"/>
          <w:w w:val="110"/>
          <w:sz w:val="21"/>
        </w:rPr>
        <w:t>F.2d</w:t>
      </w:r>
      <w:r>
        <w:rPr>
          <w:color w:val="383638"/>
          <w:spacing w:val="-15"/>
          <w:w w:val="110"/>
          <w:sz w:val="21"/>
        </w:rPr>
        <w:t> </w:t>
      </w:r>
      <w:r>
        <w:rPr>
          <w:color w:val="383638"/>
          <w:w w:val="110"/>
          <w:sz w:val="21"/>
        </w:rPr>
        <w:t>1223,</w:t>
      </w:r>
      <w:r>
        <w:rPr>
          <w:color w:val="383638"/>
          <w:spacing w:val="-20"/>
          <w:w w:val="110"/>
          <w:sz w:val="21"/>
        </w:rPr>
        <w:t> </w:t>
      </w:r>
      <w:r>
        <w:rPr>
          <w:color w:val="383638"/>
          <w:w w:val="110"/>
          <w:sz w:val="21"/>
        </w:rPr>
        <w:t>1234</w:t>
      </w:r>
      <w:r>
        <w:rPr>
          <w:color w:val="383638"/>
          <w:spacing w:val="-22"/>
          <w:w w:val="110"/>
          <w:sz w:val="21"/>
        </w:rPr>
        <w:t> </w:t>
      </w:r>
      <w:r>
        <w:rPr>
          <w:color w:val="383638"/>
          <w:w w:val="110"/>
          <w:sz w:val="21"/>
        </w:rPr>
        <w:t>(6th</w:t>
      </w:r>
      <w:r>
        <w:rPr>
          <w:color w:val="383638"/>
          <w:spacing w:val="-13"/>
          <w:w w:val="110"/>
          <w:sz w:val="21"/>
        </w:rPr>
        <w:t> </w:t>
      </w:r>
      <w:r>
        <w:rPr>
          <w:color w:val="383638"/>
          <w:w w:val="110"/>
          <w:sz w:val="21"/>
        </w:rPr>
        <w:t>Cir.</w:t>
      </w:r>
      <w:r>
        <w:rPr>
          <w:color w:val="383638"/>
          <w:spacing w:val="-27"/>
          <w:w w:val="110"/>
          <w:sz w:val="21"/>
        </w:rPr>
        <w:t> </w:t>
      </w:r>
      <w:r>
        <w:rPr>
          <w:color w:val="383638"/>
          <w:w w:val="110"/>
          <w:sz w:val="21"/>
        </w:rPr>
        <w:t>1991);</w:t>
      </w:r>
      <w:r>
        <w:rPr>
          <w:color w:val="383638"/>
          <w:spacing w:val="-10"/>
          <w:w w:val="110"/>
          <w:sz w:val="21"/>
        </w:rPr>
        <w:t> </w:t>
      </w:r>
      <w:r>
        <w:rPr>
          <w:color w:val="383638"/>
          <w:w w:val="110"/>
          <w:sz w:val="21"/>
        </w:rPr>
        <w:t>the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use of another's hotel room, </w:t>
      </w:r>
      <w:r>
        <w:rPr>
          <w:color w:val="383638"/>
          <w:w w:val="110"/>
          <w:sz w:val="21"/>
          <w:u w:val="thick" w:color="383638"/>
        </w:rPr>
        <w:t>United States v. Carr</w:t>
      </w:r>
      <w:r>
        <w:rPr>
          <w:color w:val="383638"/>
          <w:w w:val="110"/>
          <w:sz w:val="21"/>
        </w:rPr>
        <w:t>. 939 F.2d 1442, 1446</w:t>
      </w:r>
      <w:r>
        <w:rPr>
          <w:color w:val="383638"/>
          <w:spacing w:val="-55"/>
          <w:w w:val="110"/>
          <w:sz w:val="21"/>
        </w:rPr>
        <w:t> </w:t>
      </w:r>
      <w:r>
        <w:rPr>
          <w:color w:val="383638"/>
          <w:w w:val="110"/>
          <w:sz w:val="21"/>
        </w:rPr>
        <w:t>(10th Cir. 1991); the lack of evidence of connection to the residence,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  <w:u w:val="thick" w:color="383638"/>
        </w:rPr>
        <w:t>United</w:t>
      </w:r>
      <w:r>
        <w:rPr>
          <w:color w:val="383638"/>
          <w:spacing w:val="-10"/>
          <w:w w:val="110"/>
          <w:sz w:val="21"/>
          <w:u w:val="thick" w:color="383638"/>
        </w:rPr>
        <w:t> </w:t>
      </w:r>
      <w:r>
        <w:rPr>
          <w:color w:val="383638"/>
          <w:w w:val="110"/>
          <w:sz w:val="21"/>
          <w:u w:val="thick" w:color="383638"/>
        </w:rPr>
        <w:t>States</w:t>
      </w:r>
      <w:r>
        <w:rPr>
          <w:color w:val="383638"/>
          <w:spacing w:val="-14"/>
          <w:w w:val="110"/>
          <w:sz w:val="21"/>
          <w:u w:val="thick" w:color="383638"/>
        </w:rPr>
        <w:t> </w:t>
      </w:r>
      <w:r>
        <w:rPr>
          <w:color w:val="383638"/>
          <w:w w:val="110"/>
          <w:sz w:val="21"/>
          <w:u w:val="thick" w:color="383638"/>
        </w:rPr>
        <w:t>v</w:t>
      </w:r>
      <w:r>
        <w:rPr>
          <w:color w:val="5D5D5E"/>
          <w:w w:val="110"/>
          <w:sz w:val="21"/>
          <w:u w:val="thick" w:color="383638"/>
        </w:rPr>
        <w:t>.</w:t>
      </w:r>
      <w:r>
        <w:rPr>
          <w:color w:val="5D5D5E"/>
          <w:spacing w:val="1"/>
          <w:w w:val="110"/>
          <w:sz w:val="21"/>
          <w:u w:val="thick" w:color="383638"/>
        </w:rPr>
        <w:t> </w:t>
      </w:r>
      <w:r>
        <w:rPr>
          <w:color w:val="383638"/>
          <w:w w:val="110"/>
          <w:sz w:val="21"/>
          <w:u w:val="thick" w:color="383638"/>
        </w:rPr>
        <w:t>Antone.</w:t>
      </w:r>
      <w:r>
        <w:rPr>
          <w:color w:val="383638"/>
          <w:spacing w:val="4"/>
          <w:w w:val="110"/>
          <w:sz w:val="21"/>
        </w:rPr>
        <w:t> </w:t>
      </w:r>
      <w:r>
        <w:rPr>
          <w:color w:val="383638"/>
          <w:w w:val="110"/>
          <w:sz w:val="21"/>
        </w:rPr>
        <w:t>753</w:t>
      </w:r>
      <w:r>
        <w:rPr>
          <w:color w:val="383638"/>
          <w:spacing w:val="-26"/>
          <w:w w:val="110"/>
          <w:sz w:val="21"/>
        </w:rPr>
        <w:t> </w:t>
      </w:r>
      <w:r>
        <w:rPr>
          <w:color w:val="383638"/>
          <w:w w:val="110"/>
          <w:sz w:val="21"/>
        </w:rPr>
        <w:t>F.2d</w:t>
      </w:r>
      <w:r>
        <w:rPr>
          <w:color w:val="383638"/>
          <w:spacing w:val="-12"/>
          <w:w w:val="110"/>
          <w:sz w:val="21"/>
        </w:rPr>
        <w:t> </w:t>
      </w:r>
      <w:r>
        <w:rPr>
          <w:color w:val="383638"/>
          <w:w w:val="110"/>
          <w:sz w:val="21"/>
        </w:rPr>
        <w:t>1301,</w:t>
      </w:r>
      <w:r>
        <w:rPr>
          <w:color w:val="383638"/>
          <w:spacing w:val="-17"/>
          <w:w w:val="110"/>
          <w:sz w:val="21"/>
        </w:rPr>
        <w:t> </w:t>
      </w:r>
      <w:r>
        <w:rPr>
          <w:color w:val="383638"/>
          <w:w w:val="110"/>
          <w:sz w:val="21"/>
        </w:rPr>
        <w:t>1313</w:t>
      </w:r>
      <w:r>
        <w:rPr>
          <w:color w:val="383638"/>
          <w:spacing w:val="-34"/>
          <w:w w:val="110"/>
          <w:sz w:val="21"/>
        </w:rPr>
        <w:t> </w:t>
      </w:r>
      <w:r>
        <w:rPr>
          <w:color w:val="383638"/>
          <w:w w:val="110"/>
          <w:sz w:val="21"/>
        </w:rPr>
        <w:t>(5th</w:t>
      </w:r>
      <w:r>
        <w:rPr>
          <w:color w:val="383638"/>
          <w:spacing w:val="-10"/>
          <w:w w:val="110"/>
          <w:sz w:val="21"/>
        </w:rPr>
        <w:t> </w:t>
      </w:r>
      <w:r>
        <w:rPr>
          <w:color w:val="383638"/>
          <w:w w:val="110"/>
          <w:sz w:val="21"/>
        </w:rPr>
        <w:t>Cir.</w:t>
      </w:r>
      <w:r>
        <w:rPr>
          <w:color w:val="383638"/>
          <w:spacing w:val="-33"/>
          <w:w w:val="110"/>
          <w:sz w:val="21"/>
        </w:rPr>
        <w:t> </w:t>
      </w:r>
      <w:r>
        <w:rPr>
          <w:color w:val="383638"/>
          <w:w w:val="110"/>
          <w:sz w:val="21"/>
        </w:rPr>
        <w:t>1985);</w:t>
      </w:r>
      <w:r>
        <w:rPr>
          <w:color w:val="383638"/>
          <w:spacing w:val="-24"/>
          <w:w w:val="110"/>
          <w:sz w:val="21"/>
        </w:rPr>
        <w:t> </w:t>
      </w:r>
      <w:r>
        <w:rPr>
          <w:color w:val="383638"/>
          <w:w w:val="110"/>
          <w:sz w:val="21"/>
        </w:rPr>
        <w:t>and</w:t>
      </w:r>
      <w:r>
        <w:rPr>
          <w:color w:val="383638"/>
          <w:spacing w:val="48"/>
          <w:w w:val="110"/>
          <w:sz w:val="21"/>
        </w:rPr>
        <w:t> </w:t>
      </w:r>
      <w:r>
        <w:rPr>
          <w:color w:val="383638"/>
          <w:w w:val="110"/>
          <w:sz w:val="21"/>
        </w:rPr>
        <w:t>mere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presence in a hotel room, </w:t>
      </w:r>
      <w:r>
        <w:rPr>
          <w:color w:val="383638"/>
          <w:w w:val="110"/>
          <w:sz w:val="21"/>
          <w:u w:val="thick" w:color="383638"/>
        </w:rPr>
        <w:t>United States </w:t>
      </w:r>
      <w:r>
        <w:rPr>
          <w:rFonts w:ascii="Arial"/>
          <w:color w:val="383638"/>
          <w:w w:val="110"/>
          <w:sz w:val="23"/>
          <w:u w:val="thick" w:color="383638"/>
        </w:rPr>
        <w:t>v. </w:t>
      </w:r>
      <w:r>
        <w:rPr>
          <w:color w:val="383638"/>
          <w:w w:val="110"/>
          <w:sz w:val="21"/>
          <w:u w:val="thick" w:color="383638"/>
        </w:rPr>
        <w:t>Irizarry</w:t>
      </w:r>
      <w:r>
        <w:rPr>
          <w:color w:val="383638"/>
          <w:w w:val="110"/>
          <w:sz w:val="21"/>
        </w:rPr>
        <w:t>. 673 F.2d 554. 558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(1st</w:t>
      </w:r>
      <w:r>
        <w:rPr>
          <w:color w:val="383638"/>
          <w:spacing w:val="-14"/>
          <w:w w:val="110"/>
          <w:sz w:val="21"/>
        </w:rPr>
        <w:t> </w:t>
      </w:r>
      <w:r>
        <w:rPr>
          <w:color w:val="383638"/>
          <w:w w:val="110"/>
          <w:sz w:val="21"/>
        </w:rPr>
        <w:t>Cir.</w:t>
      </w:r>
      <w:r>
        <w:rPr>
          <w:color w:val="383638"/>
          <w:spacing w:val="-27"/>
          <w:w w:val="110"/>
          <w:sz w:val="21"/>
        </w:rPr>
        <w:t> </w:t>
      </w:r>
      <w:r>
        <w:rPr>
          <w:color w:val="383638"/>
          <w:w w:val="110"/>
          <w:sz w:val="21"/>
        </w:rPr>
        <w:t>1982).</w:t>
      </w:r>
    </w:p>
    <w:p>
      <w:pPr>
        <w:pStyle w:val="BodyText"/>
        <w:spacing w:line="232" w:lineRule="auto" w:before="141"/>
        <w:ind w:left="976" w:right="-29" w:firstLine="14"/>
        <w:jc w:val="both"/>
      </w:pPr>
      <w:r>
        <w:rPr>
          <w:color w:val="383638"/>
          <w:w w:val="110"/>
        </w:rPr>
        <w:t>To make this information easier to digest, write a sentence informing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the reader of the significance of the cases, and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then end it with a period.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Depending on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the circumstances, the string citation could be placed in a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footnote; even if it is in the text, using this technique will make the cita­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05"/>
        </w:rPr>
        <w:t>tion</w:t>
      </w:r>
      <w:r>
        <w:rPr>
          <w:color w:val="383638"/>
          <w:spacing w:val="-8"/>
          <w:w w:val="105"/>
        </w:rPr>
        <w:t> </w:t>
      </w:r>
      <w:r>
        <w:rPr>
          <w:color w:val="383638"/>
          <w:w w:val="105"/>
        </w:rPr>
        <w:t>string</w:t>
      </w:r>
      <w:r>
        <w:rPr>
          <w:color w:val="383638"/>
          <w:spacing w:val="-20"/>
          <w:w w:val="105"/>
        </w:rPr>
        <w:t> </w:t>
      </w:r>
      <w:r>
        <w:rPr>
          <w:color w:val="383638"/>
          <w:w w:val="105"/>
        </w:rPr>
        <w:t>easier</w:t>
      </w:r>
      <w:r>
        <w:rPr>
          <w:color w:val="383638"/>
          <w:spacing w:val="-7"/>
          <w:w w:val="105"/>
        </w:rPr>
        <w:t> </w:t>
      </w:r>
      <w:r>
        <w:rPr>
          <w:color w:val="383638"/>
          <w:w w:val="105"/>
        </w:rPr>
        <w:t>for</w:t>
      </w:r>
      <w:r>
        <w:rPr>
          <w:color w:val="383638"/>
          <w:spacing w:val="4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12"/>
          <w:w w:val="105"/>
        </w:rPr>
        <w:t> </w:t>
      </w:r>
      <w:r>
        <w:rPr>
          <w:color w:val="383638"/>
          <w:w w:val="105"/>
        </w:rPr>
        <w:t>reader</w:t>
      </w:r>
      <w:r>
        <w:rPr>
          <w:color w:val="383638"/>
          <w:spacing w:val="-1"/>
          <w:w w:val="105"/>
        </w:rPr>
        <w:t> </w:t>
      </w:r>
      <w:r>
        <w:rPr>
          <w:color w:val="383638"/>
          <w:w w:val="105"/>
        </w:rPr>
        <w:t>to</w:t>
      </w:r>
      <w:r>
        <w:rPr>
          <w:color w:val="383638"/>
          <w:spacing w:val="22"/>
          <w:w w:val="105"/>
        </w:rPr>
        <w:t> </w:t>
      </w:r>
      <w:r>
        <w:rPr>
          <w:color w:val="383638"/>
          <w:w w:val="105"/>
        </w:rPr>
        <w:t>read:</w:t>
      </w:r>
    </w:p>
    <w:p>
      <w:pPr>
        <w:pStyle w:val="BodyText"/>
        <w:spacing w:before="4"/>
        <w:rPr>
          <w:sz w:val="12"/>
        </w:rPr>
      </w:pPr>
    </w:p>
    <w:p>
      <w:pPr>
        <w:spacing w:after="0"/>
        <w:rPr>
          <w:sz w:val="12"/>
        </w:rPr>
        <w:sectPr>
          <w:headerReference w:type="even" r:id="rId172"/>
          <w:headerReference w:type="default" r:id="rId173"/>
          <w:pgSz w:w="9180" w:h="13760"/>
          <w:pgMar w:header="414" w:footer="0" w:top="1000" w:bottom="0" w:left="940" w:right="0"/>
          <w:pgNumType w:start="14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63"/>
        </w:numPr>
        <w:tabs>
          <w:tab w:pos="300" w:val="left" w:leader="none"/>
        </w:tabs>
        <w:spacing w:line="240" w:lineRule="auto" w:before="148" w:after="0"/>
        <w:ind w:left="299" w:right="0" w:hanging="182"/>
        <w:jc w:val="left"/>
        <w:rPr>
          <w:b/>
          <w:color w:val="383638"/>
          <w:sz w:val="18"/>
        </w:rPr>
      </w:pPr>
      <w:r>
        <w:rPr>
          <w:color w:val="383638"/>
          <w:w w:val="125"/>
          <w:sz w:val="14"/>
        </w:rPr>
        <w:t>luue</w:t>
      </w:r>
    </w:p>
    <w:p>
      <w:pPr>
        <w:pStyle w:val="ListParagraph"/>
        <w:numPr>
          <w:ilvl w:val="0"/>
          <w:numId w:val="63"/>
        </w:numPr>
        <w:tabs>
          <w:tab w:pos="292" w:val="left" w:leader="none"/>
        </w:tabs>
        <w:spacing w:line="240" w:lineRule="auto" w:before="43" w:after="0"/>
        <w:ind w:left="291" w:right="0" w:hanging="176"/>
        <w:jc w:val="left"/>
        <w:rPr>
          <w:rFonts w:ascii="Arial"/>
          <w:b/>
          <w:color w:val="383638"/>
          <w:sz w:val="17"/>
        </w:rPr>
      </w:pPr>
      <w:r>
        <w:rPr>
          <w:color w:val="383638"/>
          <w:w w:val="90"/>
          <w:sz w:val="15"/>
        </w:rPr>
        <w:t>Disposition</w:t>
      </w:r>
    </w:p>
    <w:p>
      <w:pPr>
        <w:spacing w:before="46"/>
        <w:ind w:left="107" w:right="0" w:firstLine="0"/>
        <w:jc w:val="left"/>
        <w:rPr>
          <w:rFonts w:ascii="Arial"/>
          <w:sz w:val="13"/>
        </w:rPr>
      </w:pPr>
      <w:r>
        <w:rPr>
          <w:b/>
          <w:color w:val="383638"/>
          <w:sz w:val="16"/>
        </w:rPr>
        <w:t>:S</w:t>
      </w:r>
      <w:r>
        <w:rPr>
          <w:b/>
          <w:color w:val="383638"/>
          <w:spacing w:val="-3"/>
          <w:sz w:val="16"/>
        </w:rPr>
        <w:t> </w:t>
      </w:r>
      <w:r>
        <w:rPr>
          <w:rFonts w:ascii="Arial"/>
          <w:color w:val="383638"/>
          <w:sz w:val="13"/>
        </w:rPr>
        <w:t>Facts</w:t>
      </w:r>
    </w:p>
    <w:p>
      <w:pPr>
        <w:spacing w:before="65"/>
        <w:ind w:left="108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383638"/>
          <w:w w:val="105"/>
          <w:sz w:val="15"/>
        </w:rPr>
        <w:t>4Rwoning</w:t>
      </w:r>
    </w:p>
    <w:p>
      <w:pPr>
        <w:spacing w:before="96"/>
        <w:ind w:left="-7" w:right="0" w:firstLine="0"/>
        <w:jc w:val="left"/>
        <w:rPr>
          <w:rFonts w:ascii="Arial"/>
          <w:sz w:val="14"/>
        </w:rPr>
      </w:pPr>
      <w:r>
        <w:rPr/>
        <w:br w:type="column"/>
      </w:r>
      <w:r>
        <w:rPr>
          <w:rFonts w:ascii="Arial"/>
          <w:color w:val="383638"/>
          <w:w w:val="105"/>
          <w:sz w:val="14"/>
          <w:u w:val="thick" w:color="383638"/>
        </w:rPr>
        <w:t>_/\   </w:t>
      </w:r>
      <w:r>
        <w:rPr>
          <w:rFonts w:ascii="Arial"/>
          <w:color w:val="383638"/>
          <w:spacing w:val="18"/>
          <w:w w:val="105"/>
          <w:sz w:val="14"/>
          <w:u w:val="thick" w:color="383638"/>
        </w:rPr>
        <w:t> </w:t>
      </w:r>
      <w:r>
        <w:rPr>
          <w:rFonts w:ascii="Arial"/>
          <w:color w:val="383638"/>
          <w:w w:val="105"/>
          <w:sz w:val="14"/>
          <w:u w:val="thick" w:color="383638"/>
        </w:rPr>
        <w:t>GOOD EXAMPLE</w:t>
      </w:r>
    </w:p>
    <w:p>
      <w:pPr>
        <w:spacing w:line="235" w:lineRule="auto" w:before="77"/>
        <w:ind w:left="302" w:right="329" w:firstLine="23"/>
        <w:jc w:val="both"/>
        <w:rPr>
          <w:rFonts w:ascii="Arial"/>
          <w:b/>
          <w:sz w:val="15"/>
        </w:rPr>
      </w:pPr>
      <w:r>
        <w:rPr>
          <w:color w:val="383638"/>
          <w:w w:val="115"/>
          <w:sz w:val="21"/>
        </w:rPr>
        <w:t>Several courts of appeals have decided that a transient visitor has no</w:t>
      </w:r>
      <w:r>
        <w:rPr>
          <w:color w:val="383638"/>
          <w:spacing w:val="-58"/>
          <w:w w:val="115"/>
          <w:sz w:val="21"/>
        </w:rPr>
        <w:t> </w:t>
      </w:r>
      <w:r>
        <w:rPr>
          <w:color w:val="383638"/>
          <w:spacing w:val="-1"/>
          <w:w w:val="115"/>
          <w:sz w:val="21"/>
        </w:rPr>
        <w:t>legitimate expectation of privacy </w:t>
      </w:r>
      <w:r>
        <w:rPr>
          <w:rFonts w:ascii="Arial"/>
          <w:b/>
          <w:color w:val="383638"/>
          <w:spacing w:val="-1"/>
          <w:w w:val="115"/>
          <w:sz w:val="16"/>
        </w:rPr>
        <w:t>1 ,</w:t>
      </w:r>
      <w:r>
        <w:rPr>
          <w:rFonts w:ascii="Arial"/>
          <w:b/>
          <w:color w:val="383638"/>
          <w:w w:val="115"/>
          <w:sz w:val="16"/>
        </w:rPr>
        <w:t> </w:t>
      </w:r>
      <w:r>
        <w:rPr>
          <w:rFonts w:ascii="Arial"/>
          <w:b/>
          <w:color w:val="383638"/>
          <w:spacing w:val="-1"/>
          <w:w w:val="115"/>
          <w:sz w:val="16"/>
        </w:rPr>
        <w:t>2</w:t>
      </w:r>
      <w:r>
        <w:rPr>
          <w:rFonts w:ascii="Arial"/>
          <w:b/>
          <w:color w:val="383638"/>
          <w:w w:val="115"/>
          <w:sz w:val="16"/>
        </w:rPr>
        <w:t> </w:t>
      </w:r>
      <w:r>
        <w:rPr>
          <w:color w:val="383638"/>
          <w:spacing w:val="-1"/>
          <w:w w:val="115"/>
          <w:sz w:val="21"/>
        </w:rPr>
        <w:t>while </w:t>
      </w:r>
      <w:r>
        <w:rPr>
          <w:color w:val="383638"/>
          <w:w w:val="115"/>
          <w:sz w:val="21"/>
        </w:rPr>
        <w:t>within the residence of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another, whether the residence was a home or a hotel room, </w:t>
      </w:r>
      <w:r>
        <w:rPr>
          <w:rFonts w:ascii="Arial"/>
          <w:color w:val="383638"/>
          <w:w w:val="115"/>
          <w:sz w:val="16"/>
        </w:rPr>
        <w:t>9</w:t>
      </w:r>
      <w:r>
        <w:rPr>
          <w:rFonts w:ascii="Arial"/>
          <w:color w:val="383638"/>
          <w:spacing w:val="1"/>
          <w:w w:val="115"/>
          <w:sz w:val="16"/>
        </w:rPr>
        <w:t> </w:t>
      </w:r>
      <w:r>
        <w:rPr>
          <w:color w:val="383638"/>
          <w:w w:val="115"/>
          <w:sz w:val="21"/>
        </w:rPr>
        <w:t>when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0"/>
          <w:sz w:val="21"/>
        </w:rPr>
        <w:t>the</w:t>
      </w:r>
      <w:r>
        <w:rPr>
          <w:color w:val="383638"/>
          <w:spacing w:val="7"/>
          <w:w w:val="110"/>
          <w:sz w:val="21"/>
        </w:rPr>
        <w:t> </w:t>
      </w:r>
      <w:r>
        <w:rPr>
          <w:color w:val="383638"/>
          <w:w w:val="110"/>
          <w:sz w:val="21"/>
        </w:rPr>
        <w:t>visitor</w:t>
      </w:r>
      <w:r>
        <w:rPr>
          <w:color w:val="383638"/>
          <w:spacing w:val="-8"/>
          <w:w w:val="110"/>
          <w:sz w:val="21"/>
        </w:rPr>
        <w:t> </w:t>
      </w:r>
      <w:r>
        <w:rPr>
          <w:rFonts w:ascii="Arial"/>
          <w:color w:val="383638"/>
          <w:w w:val="110"/>
          <w:sz w:val="19"/>
        </w:rPr>
        <w:t>did</w:t>
      </w:r>
      <w:r>
        <w:rPr>
          <w:rFonts w:ascii="Arial"/>
          <w:color w:val="383638"/>
          <w:spacing w:val="46"/>
          <w:w w:val="110"/>
          <w:sz w:val="19"/>
        </w:rPr>
        <w:t> </w:t>
      </w:r>
      <w:r>
        <w:rPr>
          <w:color w:val="383638"/>
          <w:w w:val="110"/>
          <w:sz w:val="21"/>
        </w:rPr>
        <w:t>not</w:t>
      </w:r>
      <w:r>
        <w:rPr>
          <w:color w:val="383638"/>
          <w:spacing w:val="43"/>
          <w:w w:val="110"/>
          <w:sz w:val="21"/>
        </w:rPr>
        <w:t> </w:t>
      </w:r>
      <w:r>
        <w:rPr>
          <w:color w:val="383638"/>
          <w:w w:val="110"/>
          <w:sz w:val="21"/>
        </w:rPr>
        <w:t>have</w:t>
      </w:r>
      <w:r>
        <w:rPr>
          <w:color w:val="383638"/>
          <w:spacing w:val="-12"/>
          <w:w w:val="110"/>
          <w:sz w:val="21"/>
        </w:rPr>
        <w:t> </w:t>
      </w:r>
      <w:r>
        <w:rPr>
          <w:color w:val="383638"/>
          <w:w w:val="110"/>
          <w:sz w:val="21"/>
        </w:rPr>
        <w:t>sufficient</w:t>
      </w:r>
      <w:r>
        <w:rPr>
          <w:color w:val="383638"/>
          <w:spacing w:val="-2"/>
          <w:w w:val="110"/>
          <w:sz w:val="21"/>
        </w:rPr>
        <w:t> </w:t>
      </w:r>
      <w:r>
        <w:rPr>
          <w:color w:val="383638"/>
          <w:w w:val="110"/>
          <w:sz w:val="21"/>
        </w:rPr>
        <w:t>connection</w:t>
      </w:r>
      <w:r>
        <w:rPr>
          <w:color w:val="383638"/>
          <w:spacing w:val="26"/>
          <w:w w:val="110"/>
          <w:sz w:val="21"/>
        </w:rPr>
        <w:t> </w:t>
      </w:r>
      <w:r>
        <w:rPr>
          <w:color w:val="383638"/>
          <w:w w:val="110"/>
          <w:sz w:val="21"/>
        </w:rPr>
        <w:t>to</w:t>
      </w:r>
      <w:r>
        <w:rPr>
          <w:color w:val="383638"/>
          <w:spacing w:val="24"/>
          <w:w w:val="110"/>
          <w:sz w:val="21"/>
        </w:rPr>
        <w:t> </w:t>
      </w:r>
      <w:r>
        <w:rPr>
          <w:color w:val="383638"/>
          <w:w w:val="110"/>
          <w:sz w:val="21"/>
        </w:rPr>
        <w:t>the</w:t>
      </w:r>
      <w:r>
        <w:rPr>
          <w:color w:val="383638"/>
          <w:spacing w:val="11"/>
          <w:w w:val="110"/>
          <w:sz w:val="21"/>
        </w:rPr>
        <w:t> </w:t>
      </w:r>
      <w:r>
        <w:rPr>
          <w:color w:val="383638"/>
          <w:w w:val="110"/>
          <w:sz w:val="21"/>
        </w:rPr>
        <w:t>residence.</w:t>
      </w:r>
      <w:r>
        <w:rPr>
          <w:color w:val="383638"/>
          <w:spacing w:val="51"/>
          <w:w w:val="110"/>
          <w:sz w:val="21"/>
        </w:rPr>
        <w:t> </w:t>
      </w:r>
      <w:r>
        <w:rPr>
          <w:rFonts w:ascii="Arial"/>
          <w:b/>
          <w:color w:val="383638"/>
          <w:w w:val="110"/>
          <w:sz w:val="15"/>
        </w:rPr>
        <w:t>4</w:t>
      </w:r>
    </w:p>
    <w:p>
      <w:pPr>
        <w:spacing w:line="213" w:lineRule="auto" w:before="34"/>
        <w:ind w:left="275" w:right="341" w:firstLine="466"/>
        <w:jc w:val="both"/>
        <w:rPr>
          <w:sz w:val="21"/>
        </w:rPr>
      </w:pPr>
      <w:r>
        <w:rPr>
          <w:color w:val="383638"/>
          <w:w w:val="110"/>
          <w:sz w:val="21"/>
          <w:u w:val="thick" w:color="383638"/>
        </w:rPr>
        <w:t>United States v. Gale</w:t>
      </w:r>
      <w:r>
        <w:rPr>
          <w:color w:val="383638"/>
          <w:w w:val="110"/>
          <w:sz w:val="21"/>
        </w:rPr>
        <w:t>. 136 F.3d 192, 193 (D.C. Cir. 1998) (current</w:t>
      </w:r>
      <w:r>
        <w:rPr>
          <w:color w:val="383638"/>
          <w:spacing w:val="-55"/>
          <w:w w:val="110"/>
          <w:sz w:val="21"/>
        </w:rPr>
        <w:t> </w:t>
      </w:r>
      <w:r>
        <w:rPr>
          <w:color w:val="383638"/>
          <w:w w:val="115"/>
          <w:sz w:val="21"/>
        </w:rPr>
        <w:t>day visitor's one rent payment seven months ago </w:t>
      </w:r>
      <w:r>
        <w:rPr>
          <w:b/>
          <w:color w:val="383638"/>
          <w:w w:val="115"/>
          <w:sz w:val="16"/>
        </w:rPr>
        <w:t>3</w:t>
      </w:r>
      <w:r>
        <w:rPr>
          <w:b/>
          <w:color w:val="383638"/>
          <w:spacing w:val="1"/>
          <w:w w:val="115"/>
          <w:sz w:val="16"/>
        </w:rPr>
        <w:t> </w:t>
      </w:r>
      <w:r>
        <w:rPr>
          <w:color w:val="383638"/>
          <w:w w:val="115"/>
          <w:sz w:val="21"/>
        </w:rPr>
        <w:t>not enough</w:t>
      </w:r>
      <w:r>
        <w:rPr>
          <w:color w:val="383638"/>
          <w:spacing w:val="1"/>
          <w:w w:val="115"/>
          <w:sz w:val="21"/>
        </w:rPr>
        <w:t> </w:t>
      </w:r>
      <w:r>
        <w:rPr>
          <w:b/>
          <w:color w:val="383638"/>
          <w:w w:val="115"/>
          <w:sz w:val="16"/>
        </w:rPr>
        <w:t>2</w:t>
      </w:r>
      <w:r>
        <w:rPr>
          <w:b/>
          <w:color w:val="383638"/>
          <w:spacing w:val="1"/>
          <w:w w:val="115"/>
          <w:sz w:val="16"/>
        </w:rPr>
        <w:t> </w:t>
      </w:r>
      <w:r>
        <w:rPr>
          <w:color w:val="383638"/>
          <w:w w:val="115"/>
          <w:sz w:val="21"/>
        </w:rPr>
        <w:t>to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0"/>
          <w:sz w:val="21"/>
        </w:rPr>
        <w:t>establish sufficient connection); </w:t>
      </w:r>
      <w:r>
        <w:rPr>
          <w:color w:val="383638"/>
          <w:w w:val="110"/>
          <w:sz w:val="21"/>
          <w:u w:val="thick" w:color="383638"/>
        </w:rPr>
        <w:t>United States</w:t>
      </w:r>
      <w:r>
        <w:rPr>
          <w:color w:val="383638"/>
          <w:w w:val="110"/>
          <w:sz w:val="21"/>
        </w:rPr>
        <w:t> </w:t>
      </w:r>
      <w:r>
        <w:rPr>
          <w:color w:val="383638"/>
          <w:w w:val="110"/>
          <w:sz w:val="27"/>
          <w:u w:val="thick" w:color="383638"/>
        </w:rPr>
        <w:t>v</w:t>
      </w:r>
      <w:r>
        <w:rPr>
          <w:color w:val="383638"/>
          <w:w w:val="110"/>
          <w:sz w:val="27"/>
        </w:rPr>
        <w:t>. </w:t>
      </w:r>
      <w:r>
        <w:rPr>
          <w:color w:val="383638"/>
          <w:w w:val="110"/>
          <w:sz w:val="21"/>
          <w:u w:val="thick" w:color="383638"/>
        </w:rPr>
        <w:t>Maddox.</w:t>
      </w:r>
      <w:r>
        <w:rPr>
          <w:color w:val="383638"/>
          <w:w w:val="110"/>
          <w:sz w:val="21"/>
        </w:rPr>
        <w:t> 944 F.2d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5"/>
          <w:sz w:val="21"/>
        </w:rPr>
        <w:t>1223,</w:t>
      </w:r>
      <w:r>
        <w:rPr>
          <w:color w:val="383638"/>
          <w:spacing w:val="-2"/>
          <w:w w:val="115"/>
          <w:sz w:val="21"/>
        </w:rPr>
        <w:t> </w:t>
      </w:r>
      <w:r>
        <w:rPr>
          <w:color w:val="383638"/>
          <w:w w:val="115"/>
          <w:sz w:val="21"/>
        </w:rPr>
        <w:t>1234</w:t>
      </w:r>
      <w:r>
        <w:rPr>
          <w:color w:val="383638"/>
          <w:spacing w:val="5"/>
          <w:w w:val="115"/>
          <w:sz w:val="21"/>
        </w:rPr>
        <w:t> </w:t>
      </w:r>
      <w:r>
        <w:rPr>
          <w:color w:val="383638"/>
          <w:w w:val="115"/>
          <w:sz w:val="21"/>
        </w:rPr>
        <w:t>(6th</w:t>
      </w:r>
      <w:r>
        <w:rPr>
          <w:color w:val="383638"/>
          <w:spacing w:val="13"/>
          <w:w w:val="115"/>
          <w:sz w:val="21"/>
        </w:rPr>
        <w:t> </w:t>
      </w:r>
      <w:r>
        <w:rPr>
          <w:color w:val="383638"/>
          <w:w w:val="115"/>
          <w:sz w:val="21"/>
        </w:rPr>
        <w:t>Cir.</w:t>
      </w:r>
      <w:r>
        <w:rPr>
          <w:color w:val="383638"/>
          <w:spacing w:val="-7"/>
          <w:w w:val="115"/>
          <w:sz w:val="21"/>
        </w:rPr>
        <w:t> </w:t>
      </w:r>
      <w:r>
        <w:rPr>
          <w:color w:val="383638"/>
          <w:w w:val="115"/>
          <w:sz w:val="21"/>
        </w:rPr>
        <w:t>1991)</w:t>
      </w:r>
      <w:r>
        <w:rPr>
          <w:color w:val="383638"/>
          <w:spacing w:val="8"/>
          <w:w w:val="115"/>
          <w:sz w:val="21"/>
        </w:rPr>
        <w:t> </w:t>
      </w:r>
      <w:r>
        <w:rPr>
          <w:color w:val="383638"/>
          <w:w w:val="115"/>
          <w:sz w:val="21"/>
        </w:rPr>
        <w:t>(attendance</w:t>
      </w:r>
      <w:r>
        <w:rPr>
          <w:color w:val="383638"/>
          <w:spacing w:val="12"/>
          <w:w w:val="115"/>
          <w:sz w:val="21"/>
        </w:rPr>
        <w:t> </w:t>
      </w:r>
      <w:r>
        <w:rPr>
          <w:color w:val="383638"/>
          <w:w w:val="115"/>
          <w:sz w:val="21"/>
        </w:rPr>
        <w:t>at</w:t>
      </w:r>
      <w:r>
        <w:rPr>
          <w:color w:val="383638"/>
          <w:spacing w:val="24"/>
          <w:w w:val="115"/>
          <w:sz w:val="21"/>
        </w:rPr>
        <w:t> </w:t>
      </w:r>
      <w:r>
        <w:rPr>
          <w:color w:val="383638"/>
          <w:w w:val="115"/>
          <w:sz w:val="21"/>
        </w:rPr>
        <w:t>drug</w:t>
      </w:r>
      <w:r>
        <w:rPr>
          <w:color w:val="383638"/>
          <w:spacing w:val="9"/>
          <w:w w:val="115"/>
          <w:sz w:val="21"/>
        </w:rPr>
        <w:t> </w:t>
      </w:r>
      <w:r>
        <w:rPr>
          <w:color w:val="383638"/>
          <w:w w:val="115"/>
          <w:sz w:val="21"/>
        </w:rPr>
        <w:t>pa</w:t>
      </w:r>
      <w:r>
        <w:rPr>
          <w:color w:val="A8AAAC"/>
          <w:w w:val="115"/>
          <w:sz w:val="21"/>
        </w:rPr>
        <w:t>.</w:t>
      </w:r>
      <w:r>
        <w:rPr>
          <w:color w:val="383638"/>
          <w:w w:val="115"/>
          <w:sz w:val="21"/>
        </w:rPr>
        <w:t>rty</w:t>
      </w:r>
      <w:r>
        <w:rPr>
          <w:color w:val="383638"/>
          <w:spacing w:val="53"/>
          <w:w w:val="115"/>
          <w:sz w:val="21"/>
        </w:rPr>
        <w:t> </w:t>
      </w:r>
      <w:r>
        <w:rPr>
          <w:color w:val="383638"/>
          <w:w w:val="115"/>
          <w:sz w:val="21"/>
        </w:rPr>
        <w:t>without</w:t>
      </w:r>
      <w:r>
        <w:rPr>
          <w:color w:val="383638"/>
          <w:spacing w:val="15"/>
          <w:w w:val="115"/>
          <w:sz w:val="21"/>
        </w:rPr>
        <w:t> </w:t>
      </w:r>
      <w:r>
        <w:rPr>
          <w:color w:val="383638"/>
          <w:w w:val="115"/>
          <w:sz w:val="21"/>
        </w:rPr>
        <w:t>over­</w:t>
      </w:r>
    </w:p>
    <w:p>
      <w:pPr>
        <w:spacing w:line="235" w:lineRule="auto" w:before="5"/>
        <w:ind w:left="267" w:right="304" w:firstLine="21"/>
        <w:jc w:val="both"/>
        <w:rPr>
          <w:sz w:val="21"/>
        </w:rPr>
      </w:pPr>
      <w:r>
        <w:rPr>
          <w:color w:val="383638"/>
          <w:w w:val="110"/>
          <w:sz w:val="21"/>
        </w:rPr>
        <w:t>night  stay  </w:t>
      </w:r>
      <w:r>
        <w:rPr>
          <w:b/>
          <w:color w:val="383638"/>
          <w:w w:val="110"/>
          <w:sz w:val="16"/>
        </w:rPr>
        <w:t>3 </w:t>
      </w:r>
      <w:r>
        <w:rPr>
          <w:b/>
          <w:color w:val="383638"/>
          <w:spacing w:val="1"/>
          <w:w w:val="110"/>
          <w:sz w:val="16"/>
        </w:rPr>
        <w:t> </w:t>
      </w:r>
      <w:r>
        <w:rPr>
          <w:color w:val="383638"/>
          <w:w w:val="110"/>
          <w:sz w:val="21"/>
        </w:rPr>
        <w:t>does not </w:t>
      </w:r>
      <w:r>
        <w:rPr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16"/>
        </w:rPr>
        <w:t>2 </w:t>
      </w:r>
      <w:r>
        <w:rPr>
          <w:b/>
          <w:color w:val="383638"/>
          <w:spacing w:val="1"/>
          <w:w w:val="110"/>
          <w:sz w:val="16"/>
        </w:rPr>
        <w:t> </w:t>
      </w:r>
      <w:r>
        <w:rPr>
          <w:color w:val="383638"/>
          <w:w w:val="110"/>
          <w:sz w:val="21"/>
        </w:rPr>
        <w:t>establish  sufficient  connection);  </w:t>
      </w:r>
      <w:r>
        <w:rPr>
          <w:color w:val="383638"/>
          <w:w w:val="110"/>
          <w:sz w:val="21"/>
          <w:u w:val="thick" w:color="383638"/>
        </w:rPr>
        <w:t>United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  <w:u w:val="thick" w:color="383638"/>
        </w:rPr>
        <w:t>States v. Carr</w:t>
      </w:r>
      <w:r>
        <w:rPr>
          <w:color w:val="383638"/>
          <w:w w:val="110"/>
          <w:sz w:val="21"/>
        </w:rPr>
        <w:t>. 939 F.2d 1442, 1446 (10th Cir. 1991) (guest in another's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hotel room</w:t>
      </w:r>
      <w:r>
        <w:rPr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16"/>
        </w:rPr>
        <w:t>J</w:t>
      </w:r>
      <w:r>
        <w:rPr>
          <w:b/>
          <w:color w:val="383638"/>
          <w:spacing w:val="1"/>
          <w:w w:val="110"/>
          <w:sz w:val="16"/>
        </w:rPr>
        <w:t> </w:t>
      </w:r>
      <w:r>
        <w:rPr>
          <w:color w:val="383638"/>
          <w:w w:val="110"/>
          <w:sz w:val="21"/>
        </w:rPr>
        <w:t>does not</w:t>
      </w:r>
      <w:r>
        <w:rPr>
          <w:color w:val="383638"/>
          <w:spacing w:val="1"/>
          <w:w w:val="110"/>
          <w:sz w:val="21"/>
        </w:rPr>
        <w:t> </w:t>
      </w:r>
      <w:r>
        <w:rPr>
          <w:rFonts w:ascii="Arial" w:hAnsi="Arial"/>
          <w:b/>
          <w:color w:val="383638"/>
          <w:w w:val="110"/>
          <w:sz w:val="16"/>
        </w:rPr>
        <w:t>2</w:t>
      </w:r>
      <w:r>
        <w:rPr>
          <w:rFonts w:ascii="Arial" w:hAnsi="Arial"/>
          <w:b/>
          <w:color w:val="383638"/>
          <w:spacing w:val="1"/>
          <w:w w:val="110"/>
          <w:sz w:val="16"/>
        </w:rPr>
        <w:t> </w:t>
      </w:r>
      <w:r>
        <w:rPr>
          <w:color w:val="383638"/>
          <w:w w:val="110"/>
          <w:sz w:val="21"/>
        </w:rPr>
        <w:t>have sufficient connection); </w:t>
      </w:r>
      <w:r>
        <w:rPr>
          <w:color w:val="383638"/>
          <w:w w:val="110"/>
          <w:sz w:val="21"/>
          <w:u w:val="thick" w:color="383638"/>
        </w:rPr>
        <w:t>United States </w:t>
      </w:r>
      <w:r>
        <w:rPr>
          <w:rFonts w:ascii="Arial" w:hAnsi="Arial"/>
          <w:color w:val="383638"/>
          <w:w w:val="110"/>
          <w:sz w:val="18"/>
          <w:u w:val="thick" w:color="383638"/>
        </w:rPr>
        <w:t>v._</w:t>
      </w:r>
      <w:r>
        <w:rPr>
          <w:rFonts w:ascii="Arial" w:hAnsi="Arial"/>
          <w:color w:val="383638"/>
          <w:spacing w:val="1"/>
          <w:w w:val="110"/>
          <w:sz w:val="18"/>
        </w:rPr>
        <w:t> </w:t>
      </w:r>
      <w:r>
        <w:rPr>
          <w:color w:val="383638"/>
          <w:w w:val="110"/>
          <w:sz w:val="21"/>
          <w:u w:val="thick" w:color="383638"/>
        </w:rPr>
        <w:t>Antone.</w:t>
      </w:r>
      <w:r>
        <w:rPr>
          <w:color w:val="383638"/>
          <w:w w:val="110"/>
          <w:sz w:val="21"/>
        </w:rPr>
        <w:t> 753 F.2d 1301, 1313 (5th Cir. 1985) (fingerprints on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book not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enough</w:t>
      </w:r>
      <w:r>
        <w:rPr>
          <w:color w:val="383638"/>
          <w:spacing w:val="1"/>
          <w:w w:val="110"/>
          <w:sz w:val="21"/>
        </w:rPr>
        <w:t> </w:t>
      </w:r>
      <w:r>
        <w:rPr>
          <w:rFonts w:ascii="Arial" w:hAnsi="Arial"/>
          <w:color w:val="383638"/>
          <w:w w:val="110"/>
          <w:sz w:val="16"/>
        </w:rPr>
        <w:t>2</w:t>
      </w:r>
      <w:r>
        <w:rPr>
          <w:rFonts w:ascii="Arial" w:hAnsi="Arial"/>
          <w:color w:val="383638"/>
          <w:spacing w:val="1"/>
          <w:w w:val="110"/>
          <w:sz w:val="16"/>
        </w:rPr>
        <w:t> </w:t>
      </w:r>
      <w:r>
        <w:rPr>
          <w:color w:val="383638"/>
          <w:w w:val="110"/>
          <w:sz w:val="21"/>
        </w:rPr>
        <w:t>to establish daytime visitor's</w:t>
      </w:r>
      <w:r>
        <w:rPr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16"/>
        </w:rPr>
        <w:t>J</w:t>
      </w:r>
      <w:r>
        <w:rPr>
          <w:b/>
          <w:color w:val="383638"/>
          <w:spacing w:val="1"/>
          <w:w w:val="110"/>
          <w:sz w:val="16"/>
        </w:rPr>
        <w:t> </w:t>
      </w:r>
      <w:r>
        <w:rPr>
          <w:color w:val="383638"/>
          <w:w w:val="110"/>
          <w:sz w:val="21"/>
        </w:rPr>
        <w:t>connection to  residence);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  <w:u w:val="thick" w:color="383638"/>
        </w:rPr>
        <w:t>Unjted States v. Irizarry</w:t>
      </w:r>
      <w:r>
        <w:rPr>
          <w:color w:val="383638"/>
          <w:w w:val="110"/>
          <w:sz w:val="21"/>
        </w:rPr>
        <w:t>. 673 F.2d </w:t>
      </w:r>
      <w:r>
        <w:rPr>
          <w:i/>
          <w:color w:val="383638"/>
          <w:w w:val="110"/>
          <w:sz w:val="21"/>
        </w:rPr>
        <w:t>554, 558 </w:t>
      </w:r>
      <w:r>
        <w:rPr>
          <w:color w:val="383638"/>
          <w:w w:val="110"/>
          <w:sz w:val="21"/>
        </w:rPr>
        <w:t>(1st Cir. 1982) ("mere pres­</w:t>
      </w:r>
      <w:r>
        <w:rPr>
          <w:color w:val="383638"/>
          <w:spacing w:val="-55"/>
          <w:w w:val="110"/>
          <w:sz w:val="21"/>
        </w:rPr>
        <w:t> </w:t>
      </w:r>
      <w:r>
        <w:rPr>
          <w:color w:val="383638"/>
          <w:w w:val="110"/>
          <w:sz w:val="21"/>
        </w:rPr>
        <w:t>ence'' in</w:t>
      </w:r>
      <w:r>
        <w:rPr>
          <w:color w:val="383638"/>
          <w:spacing w:val="23"/>
          <w:w w:val="110"/>
          <w:sz w:val="21"/>
        </w:rPr>
        <w:t> </w:t>
      </w:r>
      <w:r>
        <w:rPr>
          <w:color w:val="383638"/>
          <w:w w:val="110"/>
          <w:sz w:val="21"/>
        </w:rPr>
        <w:t>hotel</w:t>
      </w:r>
      <w:r>
        <w:rPr>
          <w:color w:val="383638"/>
          <w:spacing w:val="2"/>
          <w:w w:val="110"/>
          <w:sz w:val="21"/>
        </w:rPr>
        <w:t> </w:t>
      </w:r>
      <w:r>
        <w:rPr>
          <w:color w:val="383638"/>
          <w:w w:val="110"/>
          <w:sz w:val="21"/>
        </w:rPr>
        <w:t>room</w:t>
      </w:r>
      <w:r>
        <w:rPr>
          <w:color w:val="383638"/>
          <w:spacing w:val="51"/>
          <w:w w:val="110"/>
          <w:sz w:val="21"/>
        </w:rPr>
        <w:t> </w:t>
      </w:r>
      <w:r>
        <w:rPr>
          <w:b/>
          <w:color w:val="383638"/>
          <w:w w:val="110"/>
          <w:sz w:val="18"/>
        </w:rPr>
        <w:t>J</w:t>
      </w:r>
      <w:r>
        <w:rPr>
          <w:b/>
          <w:color w:val="383638"/>
          <w:spacing w:val="32"/>
          <w:w w:val="110"/>
          <w:sz w:val="18"/>
        </w:rPr>
        <w:t> </w:t>
      </w:r>
      <w:r>
        <w:rPr>
          <w:color w:val="383638"/>
          <w:w w:val="110"/>
          <w:sz w:val="21"/>
        </w:rPr>
        <w:t>not</w:t>
      </w:r>
      <w:r>
        <w:rPr>
          <w:color w:val="383638"/>
          <w:spacing w:val="6"/>
          <w:w w:val="110"/>
          <w:sz w:val="21"/>
        </w:rPr>
        <w:t> </w:t>
      </w:r>
      <w:r>
        <w:rPr>
          <w:color w:val="383638"/>
          <w:w w:val="110"/>
          <w:sz w:val="21"/>
        </w:rPr>
        <w:t>sufficient</w:t>
      </w:r>
      <w:r>
        <w:rPr>
          <w:color w:val="383638"/>
          <w:spacing w:val="43"/>
          <w:w w:val="110"/>
          <w:sz w:val="21"/>
        </w:rPr>
        <w:t> </w:t>
      </w:r>
      <w:r>
        <w:rPr>
          <w:rFonts w:ascii="Arial" w:hAnsi="Arial"/>
          <w:b/>
          <w:color w:val="383638"/>
          <w:w w:val="110"/>
          <w:sz w:val="16"/>
        </w:rPr>
        <w:t>2</w:t>
      </w:r>
      <w:r>
        <w:rPr>
          <w:rFonts w:ascii="Arial" w:hAnsi="Arial"/>
          <w:b/>
          <w:color w:val="383638"/>
          <w:spacing w:val="24"/>
          <w:w w:val="110"/>
          <w:sz w:val="16"/>
        </w:rPr>
        <w:t> </w:t>
      </w:r>
      <w:r>
        <w:rPr>
          <w:color w:val="383638"/>
          <w:w w:val="110"/>
          <w:sz w:val="21"/>
        </w:rPr>
        <w:t>to</w:t>
      </w:r>
      <w:r>
        <w:rPr>
          <w:color w:val="383638"/>
          <w:spacing w:val="-2"/>
          <w:w w:val="110"/>
          <w:sz w:val="21"/>
        </w:rPr>
        <w:t> </w:t>
      </w:r>
      <w:r>
        <w:rPr>
          <w:color w:val="383638"/>
          <w:w w:val="110"/>
          <w:sz w:val="21"/>
        </w:rPr>
        <w:t>establish</w:t>
      </w:r>
      <w:r>
        <w:rPr>
          <w:color w:val="383638"/>
          <w:spacing w:val="20"/>
          <w:w w:val="110"/>
          <w:sz w:val="21"/>
        </w:rPr>
        <w:t> </w:t>
      </w:r>
      <w:r>
        <w:rPr>
          <w:color w:val="383638"/>
          <w:w w:val="110"/>
          <w:sz w:val="21"/>
        </w:rPr>
        <w:t>connection).</w:t>
      </w:r>
    </w:p>
    <w:p>
      <w:pPr>
        <w:spacing w:after="0" w:line="235" w:lineRule="auto"/>
        <w:jc w:val="both"/>
        <w:rPr>
          <w:sz w:val="21"/>
        </w:rPr>
        <w:sectPr>
          <w:type w:val="continuous"/>
          <w:pgSz w:w="9180" w:h="13760"/>
          <w:pgMar w:header="462" w:footer="0" w:top="340" w:bottom="280" w:left="940" w:right="0"/>
          <w:cols w:num="2" w:equalWidth="0">
            <w:col w:w="939" w:space="40"/>
            <w:col w:w="7261"/>
          </w:cols>
        </w:sectPr>
      </w:pPr>
    </w:p>
    <w:p>
      <w:pPr>
        <w:pStyle w:val="BodyText"/>
        <w:spacing w:line="232" w:lineRule="auto" w:before="157"/>
        <w:ind w:left="874" w:right="52" w:firstLine="10"/>
        <w:jc w:val="both"/>
      </w:pPr>
      <w:r>
        <w:rPr>
          <w:color w:val="383638"/>
          <w:w w:val="105"/>
        </w:rPr>
        <w:t>Thebest solution is one that avoids the string cite entirely. If you are using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the string cite to point out the well-established fact that many courts have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already agreed with a legal rule. you may be able to use a parenthetical to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accomplish</w:t>
      </w:r>
      <w:r>
        <w:rPr>
          <w:color w:val="383638"/>
          <w:spacing w:val="23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8"/>
          <w:w w:val="105"/>
        </w:rPr>
        <w:t> </w:t>
      </w:r>
      <w:r>
        <w:rPr>
          <w:color w:val="383638"/>
          <w:w w:val="105"/>
        </w:rPr>
        <w:t>goal</w:t>
      </w:r>
      <w:r>
        <w:rPr>
          <w:color w:val="383638"/>
          <w:spacing w:val="-2"/>
          <w:w w:val="105"/>
        </w:rPr>
        <w:t> </w:t>
      </w:r>
      <w:r>
        <w:rPr>
          <w:color w:val="383638"/>
          <w:w w:val="105"/>
        </w:rPr>
        <w:t>of</w:t>
      </w:r>
      <w:r>
        <w:rPr>
          <w:color w:val="383638"/>
          <w:spacing w:val="29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47"/>
          <w:w w:val="105"/>
        </w:rPr>
        <w:t> </w:t>
      </w:r>
      <w:r>
        <w:rPr>
          <w:color w:val="383638"/>
          <w:w w:val="105"/>
        </w:rPr>
        <w:t>string</w:t>
      </w:r>
      <w:r>
        <w:rPr>
          <w:color w:val="383638"/>
          <w:spacing w:val="-11"/>
          <w:w w:val="105"/>
        </w:rPr>
        <w:t> </w:t>
      </w:r>
      <w:r>
        <w:rPr>
          <w:color w:val="383638"/>
          <w:w w:val="105"/>
        </w:rPr>
        <w:t>cite.</w:t>
      </w:r>
      <w:r>
        <w:rPr>
          <w:color w:val="383638"/>
          <w:spacing w:val="-7"/>
          <w:w w:val="105"/>
        </w:rPr>
        <w:t> </w:t>
      </w:r>
      <w:r>
        <w:rPr>
          <w:color w:val="383638"/>
          <w:w w:val="105"/>
        </w:rPr>
        <w:t>Often,</w:t>
      </w:r>
      <w:r>
        <w:rPr>
          <w:color w:val="383638"/>
          <w:spacing w:val="-8"/>
          <w:w w:val="105"/>
        </w:rPr>
        <w:t> </w:t>
      </w:r>
      <w:r>
        <w:rPr>
          <w:color w:val="383638"/>
          <w:w w:val="105"/>
        </w:rPr>
        <w:t>one</w:t>
      </w:r>
      <w:r>
        <w:rPr>
          <w:color w:val="383638"/>
          <w:spacing w:val="15"/>
          <w:w w:val="105"/>
        </w:rPr>
        <w:t> </w:t>
      </w:r>
      <w:r>
        <w:rPr>
          <w:color w:val="383638"/>
          <w:w w:val="105"/>
        </w:rPr>
        <w:t>of</w:t>
      </w:r>
      <w:r>
        <w:rPr>
          <w:color w:val="383638"/>
          <w:spacing w:val="20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58"/>
          <w:w w:val="105"/>
        </w:rPr>
        <w:t> </w:t>
      </w:r>
      <w:r>
        <w:rPr>
          <w:color w:val="383638"/>
          <w:w w:val="105"/>
        </w:rPr>
        <w:t>most</w:t>
      </w:r>
      <w:r>
        <w:rPr>
          <w:color w:val="383638"/>
          <w:spacing w:val="13"/>
          <w:w w:val="105"/>
        </w:rPr>
        <w:t> </w:t>
      </w:r>
      <w:r>
        <w:rPr>
          <w:color w:val="383638"/>
          <w:w w:val="105"/>
        </w:rPr>
        <w:t>recent</w:t>
      </w:r>
      <w:r>
        <w:rPr>
          <w:color w:val="383638"/>
          <w:spacing w:val="-7"/>
          <w:w w:val="105"/>
        </w:rPr>
        <w:t> </w:t>
      </w:r>
      <w:r>
        <w:rPr>
          <w:color w:val="383638"/>
          <w:w w:val="105"/>
        </w:rPr>
        <w:t>cases</w:t>
      </w:r>
    </w:p>
    <w:p>
      <w:pPr>
        <w:pStyle w:val="BodyText"/>
        <w:spacing w:line="216" w:lineRule="auto" w:before="7"/>
        <w:ind w:left="845" w:right="71" w:firstLine="30"/>
        <w:jc w:val="both"/>
      </w:pPr>
      <w:r>
        <w:rPr>
          <w:color w:val="383638"/>
          <w:w w:val="105"/>
        </w:rPr>
        <w:t>in a "string" will have addressed the fact that the rule is well established</w:t>
      </w:r>
      <w:r>
        <w:rPr>
          <w:color w:val="383638"/>
          <w:w w:val="105"/>
          <w:position w:val="-3"/>
          <w:sz w:val="25"/>
        </w:rPr>
        <w:t>,</w:t>
      </w:r>
      <w:r>
        <w:rPr>
          <w:color w:val="383638"/>
          <w:spacing w:val="1"/>
          <w:w w:val="105"/>
          <w:position w:val="-3"/>
          <w:sz w:val="25"/>
        </w:rPr>
        <w:t> </w:t>
      </w:r>
      <w:r>
        <w:rPr>
          <w:color w:val="383638"/>
          <w:w w:val="105"/>
        </w:rPr>
        <w:t>and  may have cited most or all of the  other cases. In that situation, you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may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tell the reader that the cases exist and give him or her access to those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cases </w:t>
      </w:r>
      <w:r>
        <w:rPr>
          <w:rFonts w:ascii="Arial"/>
          <w:i/>
          <w:color w:val="383638"/>
          <w:w w:val="105"/>
          <w:sz w:val="20"/>
        </w:rPr>
        <w:t>by</w:t>
      </w:r>
      <w:r>
        <w:rPr>
          <w:rFonts w:ascii="Arial"/>
          <w:i/>
          <w:color w:val="383638"/>
          <w:spacing w:val="15"/>
          <w:w w:val="105"/>
          <w:sz w:val="20"/>
        </w:rPr>
        <w:t> </w:t>
      </w:r>
      <w:r>
        <w:rPr>
          <w:color w:val="383638"/>
          <w:w w:val="105"/>
        </w:rPr>
        <w:t>citing</w:t>
      </w:r>
      <w:r>
        <w:rPr>
          <w:color w:val="383638"/>
          <w:spacing w:val="-24"/>
          <w:w w:val="105"/>
        </w:rPr>
        <w:t> </w:t>
      </w:r>
      <w:r>
        <w:rPr>
          <w:color w:val="383638"/>
          <w:w w:val="105"/>
        </w:rPr>
        <w:t>only</w:t>
      </w:r>
      <w:r>
        <w:rPr>
          <w:color w:val="383638"/>
          <w:spacing w:val="-6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-1"/>
          <w:w w:val="105"/>
        </w:rPr>
        <w:t> </w:t>
      </w:r>
      <w:r>
        <w:rPr>
          <w:color w:val="383638"/>
          <w:w w:val="105"/>
        </w:rPr>
        <w:t>most</w:t>
      </w:r>
      <w:r>
        <w:rPr>
          <w:color w:val="383638"/>
          <w:spacing w:val="7"/>
          <w:w w:val="105"/>
        </w:rPr>
        <w:t> </w:t>
      </w:r>
      <w:r>
        <w:rPr>
          <w:color w:val="383638"/>
          <w:w w:val="105"/>
        </w:rPr>
        <w:t>recent</w:t>
      </w:r>
      <w:r>
        <w:rPr>
          <w:color w:val="383638"/>
          <w:spacing w:val="3"/>
          <w:w w:val="105"/>
        </w:rPr>
        <w:t> </w:t>
      </w:r>
      <w:r>
        <w:rPr>
          <w:color w:val="383638"/>
          <w:w w:val="105"/>
        </w:rPr>
        <w:t>one:</w:t>
      </w:r>
    </w:p>
    <w:p>
      <w:pPr>
        <w:pStyle w:val="BodyText"/>
        <w:spacing w:before="7"/>
        <w:rPr>
          <w:sz w:val="9"/>
        </w:rPr>
      </w:pPr>
    </w:p>
    <w:p>
      <w:pPr>
        <w:spacing w:before="96"/>
        <w:ind w:left="865" w:right="0" w:firstLine="0"/>
        <w:jc w:val="left"/>
        <w:rPr>
          <w:rFonts w:ascii="Arial"/>
          <w:sz w:val="14"/>
        </w:rPr>
      </w:pPr>
      <w:r>
        <w:rPr>
          <w:rFonts w:ascii="Arial"/>
          <w:color w:val="383638"/>
          <w:w w:val="110"/>
          <w:sz w:val="14"/>
          <w:u w:val="thick" w:color="383638"/>
        </w:rPr>
        <w:t>_/\   </w:t>
      </w:r>
      <w:r>
        <w:rPr>
          <w:rFonts w:ascii="Arial"/>
          <w:color w:val="383638"/>
          <w:spacing w:val="11"/>
          <w:w w:val="110"/>
          <w:sz w:val="14"/>
          <w:u w:val="thick" w:color="383638"/>
        </w:rPr>
        <w:t> </w:t>
      </w:r>
      <w:r>
        <w:rPr>
          <w:rFonts w:ascii="Arial"/>
          <w:color w:val="383638"/>
          <w:w w:val="105"/>
          <w:sz w:val="14"/>
          <w:u w:val="thick" w:color="383638"/>
        </w:rPr>
        <w:t>GOOD</w:t>
      </w:r>
      <w:r>
        <w:rPr>
          <w:rFonts w:ascii="Arial"/>
          <w:color w:val="383638"/>
          <w:spacing w:val="1"/>
          <w:w w:val="105"/>
          <w:sz w:val="14"/>
          <w:u w:val="thick" w:color="383638"/>
        </w:rPr>
        <w:t> </w:t>
      </w:r>
      <w:r>
        <w:rPr>
          <w:rFonts w:ascii="Arial"/>
          <w:color w:val="383638"/>
          <w:w w:val="105"/>
          <w:sz w:val="14"/>
          <w:u w:val="thick" w:color="383638"/>
        </w:rPr>
        <w:t>EXAMPLE</w:t>
      </w:r>
    </w:p>
    <w:p>
      <w:pPr>
        <w:spacing w:line="220" w:lineRule="auto" w:before="117"/>
        <w:ind w:left="1203" w:right="385" w:hanging="7"/>
        <w:jc w:val="both"/>
        <w:rPr>
          <w:sz w:val="21"/>
        </w:rPr>
      </w:pPr>
      <w:r>
        <w:rPr>
          <w:color w:val="383638"/>
          <w:spacing w:val="-1"/>
          <w:w w:val="115"/>
          <w:sz w:val="21"/>
        </w:rPr>
        <w:t>Since</w:t>
      </w:r>
      <w:r>
        <w:rPr>
          <w:color w:val="383638"/>
          <w:spacing w:val="-28"/>
          <w:w w:val="115"/>
          <w:sz w:val="21"/>
        </w:rPr>
        <w:t> </w:t>
      </w:r>
      <w:r>
        <w:rPr>
          <w:color w:val="383638"/>
          <w:spacing w:val="-1"/>
          <w:w w:val="115"/>
          <w:sz w:val="21"/>
        </w:rPr>
        <w:t>1978,</w:t>
      </w:r>
      <w:r>
        <w:rPr>
          <w:color w:val="383638"/>
          <w:spacing w:val="-26"/>
          <w:w w:val="115"/>
          <w:sz w:val="21"/>
        </w:rPr>
        <w:t> </w:t>
      </w:r>
      <w:r>
        <w:rPr>
          <w:color w:val="383638"/>
          <w:w w:val="115"/>
          <w:sz w:val="21"/>
        </w:rPr>
        <w:t>every</w:t>
      </w:r>
      <w:r>
        <w:rPr>
          <w:color w:val="383638"/>
          <w:spacing w:val="-21"/>
          <w:w w:val="115"/>
          <w:sz w:val="21"/>
        </w:rPr>
        <w:t> </w:t>
      </w:r>
      <w:r>
        <w:rPr>
          <w:color w:val="383638"/>
          <w:w w:val="115"/>
          <w:sz w:val="21"/>
        </w:rPr>
        <w:t>Ohio</w:t>
      </w:r>
      <w:r>
        <w:rPr>
          <w:color w:val="383638"/>
          <w:spacing w:val="-31"/>
          <w:w w:val="115"/>
          <w:sz w:val="21"/>
        </w:rPr>
        <w:t> </w:t>
      </w:r>
      <w:r>
        <w:rPr>
          <w:color w:val="383638"/>
          <w:w w:val="115"/>
          <w:sz w:val="21"/>
        </w:rPr>
        <w:t>court</w:t>
      </w:r>
      <w:r>
        <w:rPr>
          <w:color w:val="383638"/>
          <w:spacing w:val="-16"/>
          <w:w w:val="115"/>
          <w:sz w:val="21"/>
        </w:rPr>
        <w:t> </w:t>
      </w:r>
      <w:r>
        <w:rPr>
          <w:color w:val="383638"/>
          <w:w w:val="115"/>
          <w:sz w:val="21"/>
        </w:rPr>
        <w:t>that</w:t>
      </w:r>
      <w:r>
        <w:rPr>
          <w:color w:val="383638"/>
          <w:spacing w:val="-18"/>
          <w:w w:val="115"/>
          <w:sz w:val="21"/>
        </w:rPr>
        <w:t> </w:t>
      </w:r>
      <w:r>
        <w:rPr>
          <w:color w:val="383638"/>
          <w:w w:val="115"/>
          <w:sz w:val="21"/>
        </w:rPr>
        <w:t>hasaddressed</w:t>
      </w:r>
      <w:r>
        <w:rPr>
          <w:color w:val="383638"/>
          <w:spacing w:val="15"/>
          <w:w w:val="115"/>
          <w:sz w:val="21"/>
        </w:rPr>
        <w:t> </w:t>
      </w:r>
      <w:r>
        <w:rPr>
          <w:color w:val="383638"/>
          <w:w w:val="115"/>
          <w:sz w:val="21"/>
        </w:rPr>
        <w:t>this</w:t>
      </w:r>
      <w:r>
        <w:rPr>
          <w:color w:val="383638"/>
          <w:spacing w:val="-13"/>
          <w:w w:val="115"/>
          <w:sz w:val="21"/>
        </w:rPr>
        <w:t> </w:t>
      </w:r>
      <w:r>
        <w:rPr>
          <w:color w:val="383638"/>
          <w:w w:val="115"/>
          <w:sz w:val="21"/>
        </w:rPr>
        <w:t>issue</w:t>
      </w:r>
      <w:r>
        <w:rPr>
          <w:color w:val="383638"/>
          <w:spacing w:val="-20"/>
          <w:w w:val="115"/>
          <w:sz w:val="21"/>
        </w:rPr>
        <w:t> </w:t>
      </w:r>
      <w:r>
        <w:rPr>
          <w:color w:val="383638"/>
          <w:w w:val="115"/>
          <w:sz w:val="21"/>
        </w:rPr>
        <w:t>has</w:t>
      </w:r>
      <w:r>
        <w:rPr>
          <w:color w:val="383638"/>
          <w:spacing w:val="11"/>
          <w:w w:val="115"/>
          <w:sz w:val="21"/>
        </w:rPr>
        <w:t> </w:t>
      </w:r>
      <w:r>
        <w:rPr>
          <w:color w:val="383638"/>
          <w:w w:val="115"/>
          <w:sz w:val="21"/>
        </w:rPr>
        <w:t>decided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0"/>
          <w:sz w:val="21"/>
        </w:rPr>
        <w:t>in favor of the employee. </w:t>
      </w:r>
      <w:r>
        <w:rPr>
          <w:color w:val="383638"/>
          <w:w w:val="110"/>
          <w:sz w:val="21"/>
          <w:u w:val="thick" w:color="383638"/>
        </w:rPr>
        <w:t>See, e.g.. Restrepo </w:t>
      </w:r>
      <w:r>
        <w:rPr>
          <w:rFonts w:ascii="Arial"/>
          <w:color w:val="383638"/>
          <w:w w:val="110"/>
          <w:sz w:val="22"/>
          <w:u w:val="thick" w:color="383638"/>
        </w:rPr>
        <w:t>v, McGuffin </w:t>
      </w:r>
      <w:r>
        <w:rPr>
          <w:color w:val="383638"/>
          <w:w w:val="110"/>
          <w:sz w:val="21"/>
          <w:u w:val="thick" w:color="383638"/>
        </w:rPr>
        <w:t>Corp.</w:t>
      </w:r>
      <w:r>
        <w:rPr>
          <w:color w:val="383638"/>
          <w:w w:val="110"/>
          <w:sz w:val="21"/>
        </w:rPr>
        <w:t>. 901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05"/>
          <w:sz w:val="21"/>
        </w:rPr>
        <w:t>N.E.2d</w:t>
      </w:r>
      <w:r>
        <w:rPr>
          <w:color w:val="383638"/>
          <w:spacing w:val="10"/>
          <w:w w:val="105"/>
          <w:sz w:val="21"/>
        </w:rPr>
        <w:t> </w:t>
      </w:r>
      <w:r>
        <w:rPr>
          <w:color w:val="383638"/>
          <w:w w:val="105"/>
          <w:sz w:val="21"/>
        </w:rPr>
        <w:t>911,</w:t>
      </w:r>
      <w:r>
        <w:rPr>
          <w:color w:val="383638"/>
          <w:spacing w:val="-20"/>
          <w:w w:val="105"/>
          <w:sz w:val="21"/>
        </w:rPr>
        <w:t> </w:t>
      </w:r>
      <w:r>
        <w:rPr>
          <w:color w:val="383638"/>
          <w:w w:val="105"/>
          <w:sz w:val="21"/>
        </w:rPr>
        <w:t>933</w:t>
      </w:r>
      <w:r>
        <w:rPr>
          <w:color w:val="383638"/>
          <w:spacing w:val="-10"/>
          <w:w w:val="105"/>
          <w:sz w:val="21"/>
        </w:rPr>
        <w:t> </w:t>
      </w:r>
      <w:r>
        <w:rPr>
          <w:color w:val="383638"/>
          <w:w w:val="105"/>
          <w:sz w:val="21"/>
        </w:rPr>
        <w:t>(Ohio</w:t>
      </w:r>
      <w:r>
        <w:rPr>
          <w:color w:val="383638"/>
          <w:spacing w:val="-7"/>
          <w:w w:val="105"/>
          <w:sz w:val="21"/>
        </w:rPr>
        <w:t> </w:t>
      </w:r>
      <w:r>
        <w:rPr>
          <w:color w:val="383638"/>
          <w:w w:val="105"/>
          <w:sz w:val="21"/>
        </w:rPr>
        <w:t>2014)</w:t>
      </w:r>
      <w:r>
        <w:rPr>
          <w:color w:val="383638"/>
          <w:spacing w:val="-6"/>
          <w:w w:val="105"/>
          <w:sz w:val="21"/>
        </w:rPr>
        <w:t> </w:t>
      </w:r>
      <w:r>
        <w:rPr>
          <w:color w:val="383638"/>
          <w:w w:val="105"/>
          <w:sz w:val="21"/>
        </w:rPr>
        <w:t>(citing</w:t>
      </w:r>
      <w:r>
        <w:rPr>
          <w:color w:val="383638"/>
          <w:spacing w:val="-8"/>
          <w:w w:val="105"/>
          <w:sz w:val="21"/>
        </w:rPr>
        <w:t> </w:t>
      </w:r>
      <w:r>
        <w:rPr>
          <w:color w:val="383638"/>
          <w:w w:val="105"/>
          <w:sz w:val="21"/>
        </w:rPr>
        <w:t>cases).</w:t>
      </w:r>
    </w:p>
    <w:p>
      <w:pPr>
        <w:spacing w:after="0" w:line="220" w:lineRule="auto"/>
        <w:jc w:val="both"/>
        <w:rPr>
          <w:sz w:val="21"/>
        </w:rPr>
        <w:sectPr>
          <w:type w:val="continuous"/>
          <w:pgSz w:w="9180" w:h="13760"/>
          <w:pgMar w:header="462" w:footer="0" w:top="340" w:bottom="280" w:left="940" w:right="0"/>
        </w:sectPr>
      </w:pPr>
    </w:p>
    <w:p>
      <w:pPr>
        <w:pStyle w:val="BodyText"/>
        <w:spacing w:line="232" w:lineRule="auto" w:before="87"/>
        <w:ind w:left="118" w:right="230" w:firstLine="4"/>
        <w:jc w:val="both"/>
      </w:pPr>
      <w:r>
        <w:rPr>
          <w:color w:val="363436"/>
          <w:w w:val="110"/>
        </w:rPr>
        <w:t>This </w:t>
      </w:r>
      <w:r>
        <w:rPr>
          <w:color w:val="363436"/>
          <w:w w:val="115"/>
        </w:rPr>
        <w:t>citation supports an accurate statement-that every Ohio court has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0"/>
        </w:rPr>
        <w:t>decided a certain type of case in a certain way-and it allows the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judge or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5"/>
        </w:rPr>
        <w:t>the </w:t>
      </w:r>
      <w:r>
        <w:rPr>
          <w:color w:val="363436"/>
          <w:w w:val="110"/>
        </w:rPr>
        <w:t>judge's </w:t>
      </w:r>
      <w:r>
        <w:rPr>
          <w:color w:val="363436"/>
          <w:w w:val="115"/>
        </w:rPr>
        <w:t>clerk to find all those decisions if needed by citing to a deci­</w:t>
      </w:r>
      <w:r>
        <w:rPr>
          <w:color w:val="363436"/>
          <w:spacing w:val="-64"/>
          <w:w w:val="115"/>
        </w:rPr>
        <w:t> </w:t>
      </w:r>
      <w:r>
        <w:rPr>
          <w:color w:val="363436"/>
          <w:spacing w:val="-1"/>
          <w:w w:val="115"/>
        </w:rPr>
        <w:t>sion</w:t>
      </w:r>
      <w:r>
        <w:rPr>
          <w:color w:val="363436"/>
          <w:spacing w:val="-9"/>
          <w:w w:val="115"/>
        </w:rPr>
        <w:t> </w:t>
      </w:r>
      <w:r>
        <w:rPr>
          <w:color w:val="363436"/>
          <w:w w:val="115"/>
        </w:rPr>
        <w:t>that</w:t>
      </w:r>
      <w:r>
        <w:rPr>
          <w:color w:val="363436"/>
          <w:spacing w:val="-3"/>
          <w:w w:val="115"/>
        </w:rPr>
        <w:t> </w:t>
      </w:r>
      <w:r>
        <w:rPr>
          <w:color w:val="363436"/>
          <w:w w:val="115"/>
        </w:rPr>
        <w:t>cites</w:t>
      </w:r>
      <w:r>
        <w:rPr>
          <w:color w:val="363436"/>
          <w:spacing w:val="-17"/>
          <w:w w:val="115"/>
        </w:rPr>
        <w:t> </w:t>
      </w:r>
      <w:r>
        <w:rPr>
          <w:color w:val="363436"/>
          <w:w w:val="115"/>
        </w:rPr>
        <w:t>them.</w:t>
      </w:r>
      <w:r>
        <w:rPr>
          <w:color w:val="363436"/>
          <w:spacing w:val="-1"/>
          <w:w w:val="115"/>
        </w:rPr>
        <w:t> </w:t>
      </w:r>
      <w:r>
        <w:rPr>
          <w:color w:val="363436"/>
          <w:w w:val="115"/>
        </w:rPr>
        <w:t>Use</w:t>
      </w:r>
      <w:r>
        <w:rPr>
          <w:color w:val="363436"/>
          <w:spacing w:val="-12"/>
          <w:w w:val="115"/>
        </w:rPr>
        <w:t> </w:t>
      </w:r>
      <w:r>
        <w:rPr>
          <w:color w:val="363436"/>
          <w:w w:val="115"/>
        </w:rPr>
        <w:t>this</w:t>
      </w:r>
      <w:r>
        <w:rPr>
          <w:color w:val="363436"/>
          <w:spacing w:val="-15"/>
          <w:w w:val="115"/>
        </w:rPr>
        <w:t> </w:t>
      </w:r>
      <w:r>
        <w:rPr>
          <w:color w:val="363436"/>
          <w:w w:val="115"/>
        </w:rPr>
        <w:t>method</w:t>
      </w:r>
      <w:r>
        <w:rPr>
          <w:color w:val="363436"/>
          <w:spacing w:val="2"/>
          <w:w w:val="115"/>
        </w:rPr>
        <w:t> </w:t>
      </w:r>
      <w:r>
        <w:rPr>
          <w:color w:val="363436"/>
          <w:w w:val="115"/>
        </w:rPr>
        <w:t>with</w:t>
      </w:r>
      <w:r>
        <w:rPr>
          <w:color w:val="363436"/>
          <w:spacing w:val="-2"/>
          <w:w w:val="115"/>
        </w:rPr>
        <w:t> </w:t>
      </w:r>
      <w:r>
        <w:rPr>
          <w:color w:val="363436"/>
          <w:w w:val="115"/>
        </w:rPr>
        <w:t>care.</w:t>
      </w:r>
      <w:r>
        <w:rPr>
          <w:color w:val="363436"/>
          <w:spacing w:val="-7"/>
          <w:w w:val="115"/>
        </w:rPr>
        <w:t> </w:t>
      </w:r>
      <w:r>
        <w:rPr>
          <w:color w:val="363436"/>
          <w:w w:val="115"/>
        </w:rPr>
        <w:t>It</w:t>
      </w:r>
      <w:r>
        <w:rPr>
          <w:color w:val="363436"/>
          <w:spacing w:val="-6"/>
          <w:w w:val="115"/>
        </w:rPr>
        <w:t> </w:t>
      </w:r>
      <w:r>
        <w:rPr>
          <w:color w:val="363436"/>
          <w:w w:val="115"/>
        </w:rPr>
        <w:t>cannot</w:t>
      </w:r>
      <w:r>
        <w:rPr>
          <w:color w:val="363436"/>
          <w:spacing w:val="2"/>
          <w:w w:val="115"/>
        </w:rPr>
        <w:t> </w:t>
      </w:r>
      <w:r>
        <w:rPr>
          <w:color w:val="363436"/>
          <w:w w:val="115"/>
        </w:rPr>
        <w:t>be</w:t>
      </w:r>
      <w:r>
        <w:rPr>
          <w:color w:val="363436"/>
          <w:spacing w:val="-13"/>
          <w:w w:val="115"/>
        </w:rPr>
        <w:t> </w:t>
      </w:r>
      <w:r>
        <w:rPr>
          <w:color w:val="363436"/>
          <w:w w:val="115"/>
        </w:rPr>
        <w:t>used</w:t>
      </w:r>
      <w:r>
        <w:rPr>
          <w:color w:val="363436"/>
          <w:spacing w:val="-3"/>
          <w:w w:val="115"/>
        </w:rPr>
        <w:t> </w:t>
      </w:r>
      <w:r>
        <w:rPr>
          <w:color w:val="363436"/>
          <w:w w:val="115"/>
        </w:rPr>
        <w:t>unless</w:t>
      </w:r>
      <w:r>
        <w:rPr>
          <w:color w:val="363436"/>
          <w:spacing w:val="-63"/>
          <w:w w:val="115"/>
        </w:rPr>
        <w:t> </w:t>
      </w:r>
      <w:r>
        <w:rPr>
          <w:color w:val="363436"/>
          <w:w w:val="110"/>
        </w:rPr>
        <w:t>the text of your argument accurately reflects what the cited case has said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about the list of cases cited. Furthermore, you should not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use this method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if information from each authority is important to your argument. When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this method is appropriate, however, the legal writer is able to simultane­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ously avoid a string cite and give the reader access to multiple authorities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5"/>
        </w:rPr>
        <w:t>that</w:t>
      </w:r>
      <w:r>
        <w:rPr>
          <w:color w:val="363436"/>
          <w:spacing w:val="-24"/>
          <w:w w:val="115"/>
        </w:rPr>
        <w:t> </w:t>
      </w:r>
      <w:r>
        <w:rPr>
          <w:color w:val="363436"/>
          <w:w w:val="115"/>
        </w:rPr>
        <w:t>support</w:t>
      </w:r>
      <w:r>
        <w:rPr>
          <w:color w:val="363436"/>
          <w:spacing w:val="-4"/>
          <w:w w:val="115"/>
        </w:rPr>
        <w:t> </w:t>
      </w:r>
      <w:r>
        <w:rPr>
          <w:color w:val="363436"/>
          <w:w w:val="115"/>
        </w:rPr>
        <w:t>his</w:t>
      </w:r>
      <w:r>
        <w:rPr>
          <w:color w:val="363436"/>
          <w:spacing w:val="-9"/>
          <w:w w:val="115"/>
        </w:rPr>
        <w:t> </w:t>
      </w:r>
      <w:r>
        <w:rPr>
          <w:color w:val="363436"/>
          <w:w w:val="115"/>
        </w:rPr>
        <w:t>or</w:t>
      </w:r>
      <w:r>
        <w:rPr>
          <w:color w:val="363436"/>
          <w:spacing w:val="3"/>
          <w:w w:val="115"/>
        </w:rPr>
        <w:t> </w:t>
      </w:r>
      <w:r>
        <w:rPr>
          <w:color w:val="363436"/>
          <w:w w:val="115"/>
        </w:rPr>
        <w:t>her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argument.</w:t>
      </w:r>
    </w:p>
    <w:p>
      <w:pPr>
        <w:pStyle w:val="BodyText"/>
        <w:spacing w:before="4"/>
        <w:rPr>
          <w:sz w:val="34"/>
        </w:rPr>
      </w:pPr>
    </w:p>
    <w:p>
      <w:pPr>
        <w:spacing w:before="0"/>
        <w:ind w:left="473" w:right="0" w:firstLine="0"/>
        <w:jc w:val="left"/>
        <w:rPr>
          <w:sz w:val="29"/>
        </w:rPr>
      </w:pPr>
      <w:r>
        <w:rPr>
          <w:color w:val="363436"/>
          <w:w w:val="115"/>
          <w:sz w:val="29"/>
        </w:rPr>
        <w:t>6.5.6</w:t>
      </w:r>
    </w:p>
    <w:p>
      <w:pPr>
        <w:spacing w:before="12"/>
        <w:ind w:left="486" w:right="0" w:firstLine="0"/>
        <w:jc w:val="left"/>
        <w:rPr>
          <w:sz w:val="25"/>
        </w:rPr>
      </w:pPr>
      <w:r>
        <w:rPr>
          <w:color w:val="363436"/>
          <w:w w:val="90"/>
          <w:sz w:val="25"/>
        </w:rPr>
        <w:t>CASES</w:t>
      </w:r>
      <w:r>
        <w:rPr>
          <w:color w:val="363436"/>
          <w:spacing w:val="12"/>
          <w:w w:val="90"/>
          <w:sz w:val="25"/>
        </w:rPr>
        <w:t> </w:t>
      </w:r>
      <w:r>
        <w:rPr>
          <w:color w:val="363436"/>
          <w:w w:val="90"/>
          <w:sz w:val="25"/>
        </w:rPr>
        <w:t>THAT</w:t>
      </w:r>
      <w:r>
        <w:rPr>
          <w:color w:val="363436"/>
          <w:spacing w:val="22"/>
          <w:w w:val="90"/>
          <w:sz w:val="25"/>
        </w:rPr>
        <w:t> </w:t>
      </w:r>
      <w:r>
        <w:rPr>
          <w:color w:val="363436"/>
          <w:w w:val="90"/>
          <w:sz w:val="25"/>
        </w:rPr>
        <w:t>CITE</w:t>
      </w:r>
      <w:r>
        <w:rPr>
          <w:color w:val="363436"/>
          <w:spacing w:val="32"/>
          <w:w w:val="90"/>
          <w:sz w:val="25"/>
        </w:rPr>
        <w:t> </w:t>
      </w:r>
      <w:r>
        <w:rPr>
          <w:color w:val="363436"/>
          <w:w w:val="90"/>
          <w:sz w:val="25"/>
        </w:rPr>
        <w:t>OTHER</w:t>
      </w:r>
      <w:r>
        <w:rPr>
          <w:color w:val="363436"/>
          <w:spacing w:val="50"/>
          <w:sz w:val="25"/>
        </w:rPr>
        <w:t> </w:t>
      </w:r>
      <w:r>
        <w:rPr>
          <w:color w:val="363436"/>
          <w:w w:val="90"/>
          <w:sz w:val="25"/>
        </w:rPr>
        <w:t>CASES</w:t>
      </w:r>
    </w:p>
    <w:p>
      <w:pPr>
        <w:pStyle w:val="BodyText"/>
        <w:spacing w:line="235" w:lineRule="auto" w:before="150"/>
        <w:ind w:left="130" w:right="200" w:firstLine="344"/>
        <w:jc w:val="both"/>
      </w:pPr>
      <w:r>
        <w:rPr>
          <w:color w:val="363436"/>
          <w:w w:val="110"/>
        </w:rPr>
        <w:t>A citation dilemma for many legal writers is what to do when citing an</w:t>
      </w:r>
      <w:r>
        <w:rPr>
          <w:color w:val="363436"/>
          <w:spacing w:val="-61"/>
          <w:w w:val="110"/>
        </w:rPr>
        <w:t> </w:t>
      </w:r>
      <w:r>
        <w:rPr>
          <w:color w:val="363436"/>
          <w:w w:val="110"/>
        </w:rPr>
        <w:t>excerpt of a case that has quoted another case. Traditionally, writers have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been encouraged to cite the original source, as the writer does in the fol­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lowing</w:t>
      </w:r>
      <w:r>
        <w:rPr>
          <w:color w:val="363436"/>
          <w:spacing w:val="-19"/>
          <w:w w:val="110"/>
        </w:rPr>
        <w:t> </w:t>
      </w:r>
      <w:r>
        <w:rPr>
          <w:color w:val="363436"/>
          <w:w w:val="110"/>
        </w:rPr>
        <w:t>example:</w:t>
      </w:r>
    </w:p>
    <w:p>
      <w:pPr>
        <w:pStyle w:val="BodyText"/>
        <w:spacing w:before="8"/>
        <w:rPr>
          <w:sz w:val="9"/>
        </w:rPr>
      </w:pPr>
    </w:p>
    <w:p>
      <w:pPr>
        <w:spacing w:before="96"/>
        <w:ind w:left="165" w:right="0" w:firstLine="0"/>
        <w:jc w:val="both"/>
        <w:rPr>
          <w:rFonts w:ascii="Arial"/>
          <w:sz w:val="15"/>
        </w:rPr>
      </w:pPr>
      <w:r>
        <w:rPr>
          <w:rFonts w:ascii="Arial"/>
          <w:color w:val="363436"/>
          <w:w w:val="130"/>
          <w:sz w:val="15"/>
          <w:u w:val="thick" w:color="363436"/>
        </w:rPr>
        <w:t>jjBAD</w:t>
      </w:r>
      <w:r>
        <w:rPr>
          <w:rFonts w:ascii="Arial"/>
          <w:color w:val="363436"/>
          <w:spacing w:val="-19"/>
          <w:w w:val="130"/>
          <w:sz w:val="15"/>
          <w:u w:val="thick" w:color="363436"/>
        </w:rPr>
        <w:t> </w:t>
      </w:r>
      <w:r>
        <w:rPr>
          <w:rFonts w:ascii="Arial"/>
          <w:color w:val="363436"/>
          <w:w w:val="120"/>
          <w:sz w:val="15"/>
          <w:u w:val="thick" w:color="363436"/>
        </w:rPr>
        <w:t>EXAMPLE</w:t>
      </w:r>
    </w:p>
    <w:p>
      <w:pPr>
        <w:spacing w:line="235" w:lineRule="auto" w:before="93"/>
        <w:ind w:left="475" w:right="532" w:hanging="1"/>
        <w:jc w:val="both"/>
        <w:rPr>
          <w:rFonts w:ascii="Arial" w:hAnsi="Arial"/>
          <w:b/>
          <w:sz w:val="19"/>
        </w:rPr>
      </w:pPr>
      <w:r>
        <w:rPr>
          <w:color w:val="363436"/>
          <w:w w:val="120"/>
          <w:sz w:val="21"/>
        </w:rPr>
        <w:t>A person possesses a reasonable expectation of privacy, and thus a</w:t>
      </w:r>
      <w:r>
        <w:rPr>
          <w:color w:val="363436"/>
          <w:spacing w:val="1"/>
          <w:w w:val="120"/>
          <w:sz w:val="21"/>
        </w:rPr>
        <w:t> </w:t>
      </w:r>
      <w:r>
        <w:rPr>
          <w:color w:val="363436"/>
          <w:w w:val="120"/>
          <w:sz w:val="21"/>
        </w:rPr>
        <w:t>search occurs when an officer makes an observation from a location</w:t>
      </w:r>
      <w:r>
        <w:rPr>
          <w:color w:val="363436"/>
          <w:spacing w:val="-60"/>
          <w:w w:val="120"/>
          <w:sz w:val="21"/>
        </w:rPr>
        <w:t> </w:t>
      </w:r>
      <w:r>
        <w:rPr>
          <w:color w:val="363436"/>
          <w:w w:val="120"/>
          <w:sz w:val="21"/>
        </w:rPr>
        <w:t>within the curtilage of a private home. </w:t>
      </w:r>
      <w:r>
        <w:rPr>
          <w:color w:val="363436"/>
          <w:w w:val="120"/>
          <w:sz w:val="22"/>
        </w:rPr>
        <w:t>lli</w:t>
      </w:r>
      <w:r>
        <w:rPr>
          <w:color w:val="363436"/>
          <w:spacing w:val="1"/>
          <w:w w:val="120"/>
          <w:sz w:val="22"/>
        </w:rPr>
        <w:t> </w:t>
      </w:r>
      <w:r>
        <w:rPr>
          <w:color w:val="363436"/>
          <w:w w:val="120"/>
          <w:sz w:val="21"/>
          <w:u w:val="thick" w:color="363436"/>
        </w:rPr>
        <w:t>Oliver v. United States</w:t>
      </w:r>
      <w:r>
        <w:rPr>
          <w:color w:val="363436"/>
          <w:w w:val="120"/>
          <w:sz w:val="21"/>
        </w:rPr>
        <w:t>.</w:t>
      </w:r>
      <w:r>
        <w:rPr>
          <w:color w:val="363436"/>
          <w:spacing w:val="1"/>
          <w:w w:val="120"/>
          <w:sz w:val="21"/>
        </w:rPr>
        <w:t> </w:t>
      </w:r>
      <w:r>
        <w:rPr>
          <w:color w:val="363436"/>
          <w:spacing w:val="-1"/>
          <w:w w:val="120"/>
          <w:sz w:val="20"/>
        </w:rPr>
        <w:t>466</w:t>
      </w:r>
      <w:r>
        <w:rPr>
          <w:color w:val="363436"/>
          <w:spacing w:val="-6"/>
          <w:w w:val="120"/>
          <w:sz w:val="20"/>
        </w:rPr>
        <w:t> </w:t>
      </w:r>
      <w:r>
        <w:rPr>
          <w:color w:val="363436"/>
          <w:spacing w:val="-1"/>
          <w:w w:val="120"/>
          <w:sz w:val="20"/>
        </w:rPr>
        <w:t>U.S.</w:t>
      </w:r>
      <w:r>
        <w:rPr>
          <w:color w:val="363436"/>
          <w:spacing w:val="-24"/>
          <w:w w:val="120"/>
          <w:sz w:val="20"/>
        </w:rPr>
        <w:t> </w:t>
      </w:r>
      <w:r>
        <w:rPr>
          <w:color w:val="363436"/>
          <w:spacing w:val="-1"/>
          <w:w w:val="120"/>
          <w:sz w:val="20"/>
        </w:rPr>
        <w:t>170,</w:t>
      </w:r>
      <w:r>
        <w:rPr>
          <w:color w:val="363436"/>
          <w:spacing w:val="-19"/>
          <w:w w:val="120"/>
          <w:sz w:val="20"/>
        </w:rPr>
        <w:t> </w:t>
      </w:r>
      <w:r>
        <w:rPr>
          <w:color w:val="363436"/>
          <w:spacing w:val="-1"/>
          <w:w w:val="120"/>
          <w:sz w:val="21"/>
        </w:rPr>
        <w:t>180</w:t>
      </w:r>
      <w:r>
        <w:rPr>
          <w:color w:val="363436"/>
          <w:spacing w:val="-28"/>
          <w:w w:val="120"/>
          <w:sz w:val="21"/>
        </w:rPr>
        <w:t> </w:t>
      </w:r>
      <w:r>
        <w:rPr>
          <w:color w:val="363436"/>
          <w:spacing w:val="-1"/>
          <w:w w:val="120"/>
          <w:sz w:val="21"/>
        </w:rPr>
        <w:t>(1984).</w:t>
      </w:r>
      <w:r>
        <w:rPr>
          <w:color w:val="363436"/>
          <w:spacing w:val="-11"/>
          <w:w w:val="120"/>
          <w:sz w:val="21"/>
        </w:rPr>
        <w:t> </w:t>
      </w:r>
      <w:r>
        <w:rPr>
          <w:color w:val="363436"/>
          <w:spacing w:val="-1"/>
          <w:w w:val="120"/>
          <w:sz w:val="21"/>
        </w:rPr>
        <w:t>Curtilage,</w:t>
      </w:r>
      <w:r>
        <w:rPr>
          <w:color w:val="363436"/>
          <w:spacing w:val="-3"/>
          <w:w w:val="120"/>
          <w:sz w:val="21"/>
        </w:rPr>
        <w:t> </w:t>
      </w:r>
      <w:r>
        <w:rPr>
          <w:color w:val="363436"/>
          <w:w w:val="120"/>
          <w:sz w:val="21"/>
        </w:rPr>
        <w:t>"the</w:t>
      </w:r>
      <w:r>
        <w:rPr>
          <w:color w:val="363436"/>
          <w:spacing w:val="-18"/>
          <w:w w:val="120"/>
          <w:sz w:val="21"/>
        </w:rPr>
        <w:t> </w:t>
      </w:r>
      <w:r>
        <w:rPr>
          <w:color w:val="363436"/>
          <w:w w:val="120"/>
          <w:sz w:val="21"/>
        </w:rPr>
        <w:t>land</w:t>
      </w:r>
      <w:r>
        <w:rPr>
          <w:color w:val="363436"/>
          <w:spacing w:val="5"/>
          <w:w w:val="120"/>
          <w:sz w:val="21"/>
        </w:rPr>
        <w:t> </w:t>
      </w:r>
      <w:r>
        <w:rPr>
          <w:color w:val="363436"/>
          <w:w w:val="120"/>
          <w:sz w:val="21"/>
        </w:rPr>
        <w:t>immediately</w:t>
      </w:r>
      <w:r>
        <w:rPr>
          <w:color w:val="363436"/>
          <w:spacing w:val="1"/>
          <w:w w:val="120"/>
          <w:sz w:val="21"/>
        </w:rPr>
        <w:t> </w:t>
      </w:r>
      <w:r>
        <w:rPr>
          <w:color w:val="363436"/>
          <w:w w:val="120"/>
          <w:sz w:val="21"/>
        </w:rPr>
        <w:t>surround­</w:t>
      </w:r>
      <w:r>
        <w:rPr>
          <w:color w:val="363436"/>
          <w:spacing w:val="1"/>
          <w:w w:val="120"/>
          <w:sz w:val="21"/>
        </w:rPr>
        <w:t> </w:t>
      </w:r>
      <w:r>
        <w:rPr>
          <w:color w:val="363436"/>
          <w:spacing w:val="-1"/>
          <w:w w:val="120"/>
          <w:sz w:val="21"/>
        </w:rPr>
        <w:t>ing and associated </w:t>
      </w:r>
      <w:r>
        <w:rPr>
          <w:color w:val="363436"/>
          <w:w w:val="120"/>
          <w:sz w:val="21"/>
        </w:rPr>
        <w:t>with the home," is "the </w:t>
      </w:r>
      <w:r>
        <w:rPr>
          <w:b/>
          <w:color w:val="363436"/>
          <w:w w:val="120"/>
          <w:sz w:val="21"/>
        </w:rPr>
        <w:t>area </w:t>
      </w:r>
      <w:r>
        <w:rPr>
          <w:color w:val="363436"/>
          <w:w w:val="120"/>
          <w:sz w:val="21"/>
        </w:rPr>
        <w:t>to which extends the</w:t>
      </w:r>
      <w:r>
        <w:rPr>
          <w:color w:val="363436"/>
          <w:spacing w:val="-60"/>
          <w:w w:val="120"/>
          <w:sz w:val="21"/>
        </w:rPr>
        <w:t> </w:t>
      </w:r>
      <w:r>
        <w:rPr>
          <w:b/>
          <w:color w:val="363436"/>
          <w:w w:val="115"/>
          <w:sz w:val="21"/>
        </w:rPr>
        <w:t>intimate activity associated with the </w:t>
      </w:r>
      <w:r>
        <w:rPr>
          <w:b/>
          <w:color w:val="4D4D4F"/>
          <w:w w:val="115"/>
          <w:sz w:val="21"/>
        </w:rPr>
        <w:t>'sanctity </w:t>
      </w:r>
      <w:r>
        <w:rPr>
          <w:b/>
          <w:color w:val="363436"/>
          <w:w w:val="115"/>
          <w:sz w:val="21"/>
        </w:rPr>
        <w:t>of a man's home and</w:t>
      </w:r>
      <w:r>
        <w:rPr>
          <w:b/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the</w:t>
      </w:r>
      <w:r>
        <w:rPr>
          <w:color w:val="363436"/>
          <w:spacing w:val="-8"/>
          <w:w w:val="115"/>
          <w:sz w:val="21"/>
        </w:rPr>
        <w:t> </w:t>
      </w:r>
      <w:r>
        <w:rPr>
          <w:color w:val="363436"/>
          <w:w w:val="115"/>
          <w:sz w:val="21"/>
        </w:rPr>
        <w:t>privacies</w:t>
      </w:r>
      <w:r>
        <w:rPr>
          <w:color w:val="363436"/>
          <w:spacing w:val="-12"/>
          <w:w w:val="115"/>
          <w:sz w:val="21"/>
        </w:rPr>
        <w:t> </w:t>
      </w:r>
      <w:r>
        <w:rPr>
          <w:color w:val="363436"/>
          <w:w w:val="115"/>
          <w:sz w:val="21"/>
        </w:rPr>
        <w:t>of</w:t>
      </w:r>
      <w:r>
        <w:rPr>
          <w:color w:val="363436"/>
          <w:spacing w:val="13"/>
          <w:w w:val="115"/>
          <w:sz w:val="21"/>
        </w:rPr>
        <w:t> </w:t>
      </w:r>
      <w:r>
        <w:rPr>
          <w:color w:val="363436"/>
          <w:w w:val="115"/>
          <w:sz w:val="21"/>
        </w:rPr>
        <w:t>life."'</w:t>
      </w:r>
      <w:r>
        <w:rPr>
          <w:color w:val="363436"/>
          <w:spacing w:val="-9"/>
          <w:w w:val="115"/>
          <w:sz w:val="21"/>
        </w:rPr>
        <w:t> </w:t>
      </w:r>
      <w:r>
        <w:rPr>
          <w:color w:val="363436"/>
          <w:w w:val="115"/>
          <w:sz w:val="19"/>
        </w:rPr>
        <w:t>Jjl.</w:t>
      </w:r>
      <w:r>
        <w:rPr>
          <w:color w:val="363436"/>
          <w:spacing w:val="-14"/>
          <w:w w:val="115"/>
          <w:sz w:val="19"/>
        </w:rPr>
        <w:t> </w:t>
      </w:r>
      <w:r>
        <w:rPr>
          <w:color w:val="363436"/>
          <w:w w:val="115"/>
          <w:sz w:val="21"/>
        </w:rPr>
        <w:t>(quoting</w:t>
      </w:r>
      <w:r>
        <w:rPr>
          <w:color w:val="363436"/>
          <w:spacing w:val="-13"/>
          <w:w w:val="115"/>
          <w:sz w:val="21"/>
        </w:rPr>
        <w:t> </w:t>
      </w:r>
      <w:r>
        <w:rPr>
          <w:rFonts w:ascii="Arial" w:hAnsi="Arial"/>
          <w:color w:val="363436"/>
          <w:w w:val="115"/>
          <w:sz w:val="22"/>
          <w:u w:val="thick" w:color="363436"/>
        </w:rPr>
        <w:t>Boyd</w:t>
      </w:r>
      <w:r>
        <w:rPr>
          <w:rFonts w:ascii="Arial" w:hAnsi="Arial"/>
          <w:color w:val="363436"/>
          <w:spacing w:val="-20"/>
          <w:w w:val="115"/>
          <w:sz w:val="22"/>
          <w:u w:val="thick" w:color="363436"/>
        </w:rPr>
        <w:t> </w:t>
      </w:r>
      <w:r>
        <w:rPr>
          <w:rFonts w:ascii="Arial" w:hAnsi="Arial"/>
          <w:color w:val="363436"/>
          <w:w w:val="115"/>
          <w:sz w:val="23"/>
          <w:u w:val="thick" w:color="363436"/>
        </w:rPr>
        <w:t>v.</w:t>
      </w:r>
      <w:r>
        <w:rPr>
          <w:rFonts w:ascii="Arial" w:hAnsi="Arial"/>
          <w:color w:val="363436"/>
          <w:spacing w:val="-27"/>
          <w:w w:val="115"/>
          <w:sz w:val="23"/>
          <w:u w:val="thick" w:color="363436"/>
        </w:rPr>
        <w:t> </w:t>
      </w:r>
      <w:r>
        <w:rPr>
          <w:color w:val="363436"/>
          <w:w w:val="115"/>
          <w:sz w:val="21"/>
          <w:u w:val="thick" w:color="363436"/>
        </w:rPr>
        <w:t>United</w:t>
      </w:r>
      <w:r>
        <w:rPr>
          <w:color w:val="363436"/>
          <w:spacing w:val="3"/>
          <w:w w:val="115"/>
          <w:sz w:val="21"/>
          <w:u w:val="thick" w:color="363436"/>
        </w:rPr>
        <w:t> </w:t>
      </w:r>
      <w:r>
        <w:rPr>
          <w:color w:val="363436"/>
          <w:w w:val="115"/>
          <w:sz w:val="21"/>
          <w:u w:val="thick" w:color="363436"/>
        </w:rPr>
        <w:t>States</w:t>
      </w:r>
      <w:r>
        <w:rPr>
          <w:color w:val="363436"/>
          <w:w w:val="115"/>
          <w:sz w:val="21"/>
        </w:rPr>
        <w:t>.</w:t>
      </w:r>
      <w:r>
        <w:rPr>
          <w:color w:val="363436"/>
          <w:spacing w:val="-22"/>
          <w:w w:val="115"/>
          <w:sz w:val="21"/>
        </w:rPr>
        <w:t> </w:t>
      </w:r>
      <w:r>
        <w:rPr>
          <w:color w:val="363436"/>
          <w:w w:val="115"/>
          <w:sz w:val="20"/>
        </w:rPr>
        <w:t>116</w:t>
      </w:r>
      <w:r>
        <w:rPr>
          <w:color w:val="363436"/>
          <w:spacing w:val="25"/>
          <w:w w:val="115"/>
          <w:sz w:val="20"/>
        </w:rPr>
        <w:t> </w:t>
      </w:r>
      <w:r>
        <w:rPr>
          <w:color w:val="363436"/>
          <w:w w:val="115"/>
          <w:sz w:val="20"/>
        </w:rPr>
        <w:t>U.S.</w:t>
      </w:r>
      <w:r>
        <w:rPr>
          <w:color w:val="363436"/>
          <w:spacing w:val="-21"/>
          <w:w w:val="115"/>
          <w:sz w:val="20"/>
        </w:rPr>
        <w:t> </w:t>
      </w:r>
      <w:r>
        <w:rPr>
          <w:color w:val="363436"/>
          <w:w w:val="115"/>
          <w:sz w:val="20"/>
        </w:rPr>
        <w:t>616,</w:t>
      </w:r>
      <w:r>
        <w:rPr>
          <w:color w:val="363436"/>
          <w:spacing w:val="1"/>
          <w:w w:val="115"/>
          <w:sz w:val="20"/>
        </w:rPr>
        <w:t> </w:t>
      </w:r>
      <w:r>
        <w:rPr>
          <w:rFonts w:ascii="Arial" w:hAnsi="Arial"/>
          <w:b/>
          <w:color w:val="363436"/>
          <w:w w:val="120"/>
          <w:sz w:val="19"/>
        </w:rPr>
        <w:t>630(1886)).</w:t>
      </w:r>
    </w:p>
    <w:p>
      <w:pPr>
        <w:pStyle w:val="BodyText"/>
        <w:spacing w:line="232" w:lineRule="auto" w:before="150"/>
        <w:ind w:left="147" w:right="148" w:firstLine="9"/>
        <w:jc w:val="both"/>
      </w:pPr>
      <w:r>
        <w:rPr>
          <w:color w:val="363436"/>
          <w:w w:val="110"/>
        </w:rPr>
        <w:t>Although this guideline may be appropriate for law review articles and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other publications, it is not always the best rule for brief writing. In this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situation, it is doubtful that the court needs to  know about an 1886 case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that</w:t>
      </w:r>
      <w:r>
        <w:rPr>
          <w:color w:val="363436"/>
          <w:spacing w:val="-14"/>
          <w:w w:val="110"/>
        </w:rPr>
        <w:t> </w:t>
      </w:r>
      <w:r>
        <w:rPr>
          <w:color w:val="363436"/>
          <w:w w:val="110"/>
        </w:rPr>
        <w:t>is</w:t>
      </w:r>
      <w:r>
        <w:rPr>
          <w:color w:val="363436"/>
          <w:spacing w:val="-24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21"/>
          <w:w w:val="110"/>
        </w:rPr>
        <w:t> </w:t>
      </w:r>
      <w:r>
        <w:rPr>
          <w:color w:val="363436"/>
          <w:w w:val="110"/>
        </w:rPr>
        <w:t>origin</w:t>
      </w:r>
      <w:r>
        <w:rPr>
          <w:color w:val="363436"/>
          <w:spacing w:val="-5"/>
          <w:w w:val="110"/>
        </w:rPr>
        <w:t> </w:t>
      </w:r>
      <w:r>
        <w:rPr>
          <w:color w:val="363436"/>
          <w:w w:val="110"/>
        </w:rPr>
        <w:t>of</w:t>
      </w:r>
      <w:r>
        <w:rPr>
          <w:color w:val="363436"/>
          <w:spacing w:val="8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24"/>
          <w:w w:val="110"/>
        </w:rPr>
        <w:t> </w:t>
      </w:r>
      <w:r>
        <w:rPr>
          <w:color w:val="363436"/>
          <w:w w:val="110"/>
        </w:rPr>
        <w:t>"sanctity"</w:t>
      </w:r>
      <w:r>
        <w:rPr>
          <w:color w:val="363436"/>
          <w:spacing w:val="4"/>
          <w:w w:val="110"/>
        </w:rPr>
        <w:t> </w:t>
      </w:r>
      <w:r>
        <w:rPr>
          <w:color w:val="363436"/>
          <w:w w:val="110"/>
        </w:rPr>
        <w:t>language.</w:t>
      </w:r>
    </w:p>
    <w:p>
      <w:pPr>
        <w:pStyle w:val="BodyText"/>
        <w:spacing w:line="235" w:lineRule="auto" w:before="2"/>
        <w:ind w:left="160" w:right="109" w:firstLine="337"/>
        <w:jc w:val="both"/>
      </w:pPr>
      <w:r>
        <w:rPr>
          <w:color w:val="363436"/>
          <w:w w:val="110"/>
        </w:rPr>
        <w:t>Of course, a legal writer may need or want to cite the original source to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give added credence to a discussion of a case decided by a nonmandatory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05"/>
        </w:rPr>
        <w:t>court. In the example below, from a petitioner's brief in </w:t>
      </w:r>
      <w:r>
        <w:rPr>
          <w:i/>
          <w:color w:val="363436"/>
          <w:w w:val="105"/>
        </w:rPr>
        <w:t>Minnesota v. Carter,</w:t>
      </w:r>
      <w:r>
        <w:rPr>
          <w:i/>
          <w:color w:val="363436"/>
          <w:spacing w:val="1"/>
          <w:w w:val="105"/>
        </w:rPr>
        <w:t> </w:t>
      </w:r>
      <w:r>
        <w:rPr>
          <w:color w:val="363436"/>
          <w:w w:val="110"/>
        </w:rPr>
        <w:t>the writer is discussing a California  </w:t>
      </w:r>
      <w:r>
        <w:rPr>
          <w:color w:val="4D4D4F"/>
          <w:w w:val="110"/>
        </w:rPr>
        <w:t>case </w:t>
      </w:r>
      <w:r>
        <w:rPr>
          <w:color w:val="363436"/>
          <w:w w:val="110"/>
        </w:rPr>
        <w:t>that applied  </w:t>
      </w:r>
      <w:r>
        <w:rPr>
          <w:i/>
          <w:color w:val="363436"/>
          <w:w w:val="110"/>
        </w:rPr>
        <w:t>Minnesota v. Olson,</w:t>
      </w:r>
      <w:r>
        <w:rPr>
          <w:i/>
          <w:color w:val="363436"/>
          <w:spacing w:val="1"/>
          <w:w w:val="110"/>
        </w:rPr>
        <w:t> </w:t>
      </w:r>
      <w:r>
        <w:rPr>
          <w:color w:val="363436"/>
          <w:w w:val="110"/>
        </w:rPr>
        <w:t>a significant United States Supreme Court case that had been previously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cited</w:t>
      </w:r>
      <w:r>
        <w:rPr>
          <w:color w:val="363436"/>
          <w:spacing w:val="-13"/>
          <w:w w:val="110"/>
        </w:rPr>
        <w:t> </w:t>
      </w:r>
      <w:r>
        <w:rPr>
          <w:color w:val="363436"/>
          <w:w w:val="110"/>
        </w:rPr>
        <w:t>in</w:t>
      </w:r>
      <w:r>
        <w:rPr>
          <w:color w:val="363436"/>
          <w:spacing w:val="27"/>
          <w:w w:val="110"/>
        </w:rPr>
        <w:t> </w:t>
      </w:r>
      <w:r>
        <w:rPr>
          <w:color w:val="363436"/>
          <w:w w:val="110"/>
        </w:rPr>
        <w:t>that</w:t>
      </w:r>
      <w:r>
        <w:rPr>
          <w:color w:val="363436"/>
          <w:spacing w:val="-9"/>
          <w:w w:val="110"/>
        </w:rPr>
        <w:t> </w:t>
      </w:r>
      <w:r>
        <w:rPr>
          <w:color w:val="363436"/>
          <w:w w:val="110"/>
        </w:rPr>
        <w:t>same</w:t>
      </w:r>
      <w:r>
        <w:rPr>
          <w:color w:val="363436"/>
          <w:spacing w:val="-16"/>
          <w:w w:val="110"/>
        </w:rPr>
        <w:t> </w:t>
      </w:r>
      <w:r>
        <w:rPr>
          <w:color w:val="363436"/>
          <w:w w:val="110"/>
        </w:rPr>
        <w:t>section</w:t>
      </w:r>
      <w:r>
        <w:rPr>
          <w:color w:val="363436"/>
          <w:spacing w:val="-2"/>
          <w:w w:val="110"/>
        </w:rPr>
        <w:t> </w:t>
      </w:r>
      <w:r>
        <w:rPr>
          <w:color w:val="363436"/>
          <w:w w:val="110"/>
        </w:rPr>
        <w:t>of</w:t>
      </w:r>
      <w:r>
        <w:rPr>
          <w:color w:val="363436"/>
          <w:spacing w:val="13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47"/>
          <w:w w:val="110"/>
        </w:rPr>
        <w:t> </w:t>
      </w:r>
      <w:r>
        <w:rPr>
          <w:color w:val="363436"/>
          <w:w w:val="110"/>
        </w:rPr>
        <w:t>brief:</w:t>
      </w:r>
    </w:p>
    <w:p>
      <w:pPr>
        <w:pStyle w:val="BodyText"/>
        <w:spacing w:before="6"/>
        <w:rPr>
          <w:sz w:val="16"/>
        </w:rPr>
      </w:pPr>
    </w:p>
    <w:p>
      <w:pPr>
        <w:tabs>
          <w:tab w:pos="519" w:val="left" w:leader="none"/>
        </w:tabs>
        <w:spacing w:before="0"/>
        <w:ind w:left="176" w:right="0" w:firstLine="0"/>
        <w:jc w:val="left"/>
        <w:rPr>
          <w:b/>
          <w:sz w:val="16"/>
        </w:rPr>
      </w:pPr>
      <w:r>
        <w:rPr>
          <w:color w:val="363436"/>
          <w:sz w:val="15"/>
          <w:u w:val="thick" w:color="363436"/>
        </w:rPr>
        <w:t>./\</w:t>
        <w:tab/>
      </w:r>
      <w:r>
        <w:rPr>
          <w:color w:val="363436"/>
          <w:w w:val="95"/>
          <w:sz w:val="15"/>
          <w:u w:val="thick" w:color="363436"/>
        </w:rPr>
        <w:t>GOOD</w:t>
      </w:r>
      <w:r>
        <w:rPr>
          <w:color w:val="363436"/>
          <w:spacing w:val="5"/>
          <w:w w:val="95"/>
          <w:sz w:val="15"/>
          <w:u w:val="thick" w:color="363436"/>
        </w:rPr>
        <w:t> </w:t>
      </w:r>
      <w:r>
        <w:rPr>
          <w:b/>
          <w:color w:val="363436"/>
          <w:w w:val="95"/>
          <w:sz w:val="16"/>
          <w:u w:val="thick" w:color="363436"/>
        </w:rPr>
        <w:t>EXAMPLE</w:t>
      </w:r>
    </w:p>
    <w:p>
      <w:pPr>
        <w:spacing w:line="225" w:lineRule="auto" w:before="80"/>
        <w:ind w:left="496" w:right="405" w:firstLine="14"/>
        <w:jc w:val="both"/>
        <w:rPr>
          <w:b/>
          <w:sz w:val="21"/>
        </w:rPr>
      </w:pPr>
      <w:r>
        <w:rPr>
          <w:b/>
          <w:color w:val="363436"/>
          <w:w w:val="105"/>
          <w:sz w:val="21"/>
        </w:rPr>
        <w:t>In 1992,</w:t>
      </w:r>
      <w:r>
        <w:rPr>
          <w:b/>
          <w:color w:val="363436"/>
          <w:spacing w:val="1"/>
          <w:w w:val="105"/>
          <w:sz w:val="21"/>
        </w:rPr>
        <w:t> </w:t>
      </w:r>
      <w:r>
        <w:rPr>
          <w:b/>
          <w:color w:val="363436"/>
          <w:w w:val="105"/>
          <w:sz w:val="21"/>
        </w:rPr>
        <w:t>a</w:t>
      </w:r>
      <w:r>
        <w:rPr>
          <w:b/>
          <w:color w:val="363436"/>
          <w:spacing w:val="1"/>
          <w:w w:val="105"/>
          <w:sz w:val="21"/>
        </w:rPr>
        <w:t> </w:t>
      </w:r>
      <w:r>
        <w:rPr>
          <w:b/>
          <w:color w:val="363436"/>
          <w:w w:val="105"/>
          <w:sz w:val="21"/>
        </w:rPr>
        <w:t>California</w:t>
      </w:r>
      <w:r>
        <w:rPr>
          <w:b/>
          <w:color w:val="363436"/>
          <w:spacing w:val="1"/>
          <w:w w:val="105"/>
          <w:sz w:val="21"/>
        </w:rPr>
        <w:t> </w:t>
      </w:r>
      <w:r>
        <w:rPr>
          <w:b/>
          <w:color w:val="363436"/>
          <w:w w:val="105"/>
          <w:sz w:val="21"/>
        </w:rPr>
        <w:t>court</w:t>
      </w:r>
      <w:r>
        <w:rPr>
          <w:b/>
          <w:color w:val="363436"/>
          <w:spacing w:val="1"/>
          <w:w w:val="105"/>
          <w:sz w:val="21"/>
        </w:rPr>
        <w:t> </w:t>
      </w:r>
      <w:r>
        <w:rPr>
          <w:b/>
          <w:color w:val="363436"/>
          <w:w w:val="105"/>
          <w:sz w:val="21"/>
        </w:rPr>
        <w:t>found</w:t>
      </w:r>
      <w:r>
        <w:rPr>
          <w:b/>
          <w:color w:val="363436"/>
          <w:spacing w:val="1"/>
          <w:w w:val="105"/>
          <w:sz w:val="21"/>
        </w:rPr>
        <w:t> </w:t>
      </w:r>
      <w:r>
        <w:rPr>
          <w:b/>
          <w:color w:val="363436"/>
          <w:w w:val="105"/>
          <w:sz w:val="21"/>
        </w:rPr>
        <w:t>that</w:t>
      </w:r>
      <w:r>
        <w:rPr>
          <w:b/>
          <w:color w:val="363436"/>
          <w:spacing w:val="1"/>
          <w:w w:val="105"/>
          <w:sz w:val="21"/>
        </w:rPr>
        <w:t> </w:t>
      </w:r>
      <w:r>
        <w:rPr>
          <w:b/>
          <w:color w:val="363436"/>
          <w:w w:val="105"/>
          <w:sz w:val="21"/>
        </w:rPr>
        <w:t>a</w:t>
      </w:r>
      <w:r>
        <w:rPr>
          <w:b/>
          <w:color w:val="363436"/>
          <w:spacing w:val="1"/>
          <w:w w:val="105"/>
          <w:sz w:val="21"/>
        </w:rPr>
        <w:t> </w:t>
      </w:r>
      <w:r>
        <w:rPr>
          <w:b/>
          <w:color w:val="363436"/>
          <w:w w:val="105"/>
          <w:sz w:val="21"/>
        </w:rPr>
        <w:t>defendant</w:t>
      </w:r>
      <w:r>
        <w:rPr>
          <w:b/>
          <w:color w:val="363436"/>
          <w:spacing w:val="1"/>
          <w:w w:val="105"/>
          <w:sz w:val="21"/>
        </w:rPr>
        <w:t> </w:t>
      </w:r>
      <w:r>
        <w:rPr>
          <w:b/>
          <w:color w:val="363436"/>
          <w:w w:val="105"/>
          <w:sz w:val="21"/>
        </w:rPr>
        <w:t>who </w:t>
      </w:r>
      <w:r>
        <w:rPr>
          <w:b/>
          <w:color w:val="363436"/>
          <w:spacing w:val="1"/>
          <w:w w:val="105"/>
          <w:sz w:val="21"/>
        </w:rPr>
        <w:t> </w:t>
      </w:r>
      <w:r>
        <w:rPr>
          <w:b/>
          <w:color w:val="363436"/>
          <w:w w:val="105"/>
          <w:sz w:val="21"/>
        </w:rPr>
        <w:t>moved  to</w:t>
      </w:r>
      <w:r>
        <w:rPr>
          <w:b/>
          <w:color w:val="363436"/>
          <w:spacing w:val="1"/>
          <w:w w:val="105"/>
          <w:sz w:val="21"/>
        </w:rPr>
        <w:t> </w:t>
      </w:r>
      <w:r>
        <w:rPr>
          <w:b/>
          <w:color w:val="363436"/>
          <w:w w:val="105"/>
          <w:sz w:val="21"/>
        </w:rPr>
        <w:t>suppress  items seized at  his  brother's apartment  while the defendant</w:t>
      </w:r>
      <w:r>
        <w:rPr>
          <w:b/>
          <w:color w:val="363436"/>
          <w:spacing w:val="1"/>
          <w:w w:val="105"/>
          <w:sz w:val="21"/>
        </w:rPr>
        <w:t> </w:t>
      </w:r>
      <w:r>
        <w:rPr>
          <w:b/>
          <w:color w:val="363436"/>
          <w:w w:val="105"/>
          <w:sz w:val="21"/>
        </w:rPr>
        <w:t>was babysitting there had a  legitimate expectation of  privacy. </w:t>
      </w:r>
      <w:r>
        <w:rPr>
          <w:rFonts w:ascii="Arial"/>
          <w:b/>
          <w:color w:val="363436"/>
          <w:w w:val="105"/>
          <w:sz w:val="22"/>
          <w:u w:val="thick" w:color="363436"/>
        </w:rPr>
        <w:t>Peopl&amp;_</w:t>
      </w:r>
      <w:r>
        <w:rPr>
          <w:rFonts w:ascii="Arial"/>
          <w:b/>
          <w:color w:val="363436"/>
          <w:spacing w:val="1"/>
          <w:w w:val="105"/>
          <w:sz w:val="22"/>
        </w:rPr>
        <w:t> </w:t>
      </w:r>
      <w:r>
        <w:rPr>
          <w:rFonts w:ascii="Arial"/>
          <w:b/>
          <w:color w:val="363436"/>
          <w:w w:val="105"/>
          <w:sz w:val="23"/>
          <w:u w:val="thick" w:color="363436"/>
        </w:rPr>
        <w:t>y, Moreno</w:t>
      </w:r>
      <w:r>
        <w:rPr>
          <w:rFonts w:ascii="Arial"/>
          <w:b/>
          <w:color w:val="363436"/>
          <w:w w:val="105"/>
          <w:sz w:val="23"/>
        </w:rPr>
        <w:t>. </w:t>
      </w:r>
      <w:r>
        <w:rPr>
          <w:b/>
          <w:color w:val="363436"/>
          <w:w w:val="105"/>
          <w:sz w:val="21"/>
        </w:rPr>
        <w:t>3 Cal. Rptr. 2d 66,</w:t>
      </w:r>
      <w:r>
        <w:rPr>
          <w:b/>
          <w:color w:val="363436"/>
          <w:spacing w:val="1"/>
          <w:w w:val="105"/>
          <w:sz w:val="21"/>
        </w:rPr>
        <w:t> </w:t>
      </w:r>
      <w:r>
        <w:rPr>
          <w:color w:val="363436"/>
          <w:w w:val="105"/>
          <w:sz w:val="20"/>
        </w:rPr>
        <w:t>70</w:t>
      </w:r>
      <w:r>
        <w:rPr>
          <w:color w:val="363436"/>
          <w:spacing w:val="1"/>
          <w:w w:val="105"/>
          <w:sz w:val="20"/>
        </w:rPr>
        <w:t> </w:t>
      </w:r>
      <w:r>
        <w:rPr>
          <w:b/>
          <w:color w:val="363436"/>
          <w:w w:val="105"/>
          <w:sz w:val="21"/>
        </w:rPr>
        <w:t>(Cal. </w:t>
      </w:r>
      <w:r>
        <w:rPr>
          <w:color w:val="363436"/>
          <w:w w:val="105"/>
          <w:sz w:val="21"/>
        </w:rPr>
        <w:t>Ct. </w:t>
      </w:r>
      <w:r>
        <w:rPr>
          <w:b/>
          <w:color w:val="363436"/>
          <w:w w:val="105"/>
          <w:sz w:val="21"/>
        </w:rPr>
        <w:t>App. </w:t>
      </w:r>
      <w:r>
        <w:rPr>
          <w:color w:val="363436"/>
          <w:w w:val="105"/>
          <w:sz w:val="21"/>
        </w:rPr>
        <w:t>1992). </w:t>
      </w:r>
      <w:r>
        <w:rPr>
          <w:b/>
          <w:color w:val="363436"/>
          <w:w w:val="105"/>
          <w:sz w:val="21"/>
        </w:rPr>
        <w:t>The court cited</w:t>
      </w:r>
      <w:r>
        <w:rPr>
          <w:b/>
          <w:color w:val="363436"/>
          <w:spacing w:val="1"/>
          <w:w w:val="105"/>
          <w:sz w:val="21"/>
        </w:rPr>
        <w:t> </w:t>
      </w:r>
      <w:r>
        <w:rPr>
          <w:rFonts w:ascii="Arial"/>
          <w:b/>
          <w:color w:val="363436"/>
          <w:w w:val="105"/>
          <w:sz w:val="20"/>
        </w:rPr>
        <w:t>Qis2n</w:t>
      </w:r>
      <w:r>
        <w:rPr>
          <w:rFonts w:ascii="Arial"/>
          <w:b/>
          <w:color w:val="363436"/>
          <w:spacing w:val="9"/>
          <w:w w:val="105"/>
          <w:sz w:val="20"/>
        </w:rPr>
        <w:t> </w:t>
      </w:r>
      <w:r>
        <w:rPr>
          <w:b/>
          <w:color w:val="363436"/>
          <w:w w:val="105"/>
          <w:sz w:val="21"/>
        </w:rPr>
        <w:t>and</w:t>
      </w:r>
      <w:r>
        <w:rPr>
          <w:b/>
          <w:color w:val="363436"/>
          <w:spacing w:val="33"/>
          <w:w w:val="105"/>
          <w:sz w:val="21"/>
        </w:rPr>
        <w:t> </w:t>
      </w:r>
      <w:r>
        <w:rPr>
          <w:b/>
          <w:color w:val="363436"/>
          <w:w w:val="105"/>
          <w:sz w:val="21"/>
        </w:rPr>
        <w:t>indicated</w:t>
      </w:r>
      <w:r>
        <w:rPr>
          <w:b/>
          <w:color w:val="363436"/>
          <w:spacing w:val="18"/>
          <w:w w:val="105"/>
          <w:sz w:val="21"/>
        </w:rPr>
        <w:t> </w:t>
      </w:r>
      <w:r>
        <w:rPr>
          <w:b/>
          <w:color w:val="363436"/>
          <w:w w:val="105"/>
          <w:sz w:val="21"/>
        </w:rPr>
        <w:t>that,</w:t>
      </w:r>
      <w:r>
        <w:rPr>
          <w:b/>
          <w:color w:val="363436"/>
          <w:spacing w:val="45"/>
          <w:w w:val="105"/>
          <w:sz w:val="21"/>
        </w:rPr>
        <w:t> </w:t>
      </w:r>
      <w:r>
        <w:rPr>
          <w:b/>
          <w:color w:val="363436"/>
          <w:w w:val="105"/>
          <w:sz w:val="21"/>
        </w:rPr>
        <w:t>"[l]ike</w:t>
      </w:r>
      <w:r>
        <w:rPr>
          <w:b/>
          <w:color w:val="363436"/>
          <w:spacing w:val="49"/>
          <w:w w:val="105"/>
          <w:sz w:val="21"/>
        </w:rPr>
        <w:t> </w:t>
      </w:r>
      <w:r>
        <w:rPr>
          <w:b/>
          <w:color w:val="363436"/>
          <w:w w:val="105"/>
          <w:sz w:val="21"/>
        </w:rPr>
        <w:t>'staying</w:t>
      </w:r>
      <w:r>
        <w:rPr>
          <w:b/>
          <w:color w:val="363436"/>
          <w:spacing w:val="52"/>
          <w:w w:val="105"/>
          <w:sz w:val="21"/>
        </w:rPr>
        <w:t> </w:t>
      </w:r>
      <w:r>
        <w:rPr>
          <w:b/>
          <w:color w:val="363436"/>
          <w:w w:val="105"/>
          <w:sz w:val="21"/>
        </w:rPr>
        <w:t>overnight</w:t>
      </w:r>
      <w:r>
        <w:rPr>
          <w:b/>
          <w:color w:val="363436"/>
          <w:spacing w:val="16"/>
          <w:w w:val="105"/>
          <w:sz w:val="21"/>
        </w:rPr>
        <w:t> </w:t>
      </w:r>
      <w:r>
        <w:rPr>
          <w:b/>
          <w:color w:val="363436"/>
          <w:w w:val="105"/>
          <w:sz w:val="21"/>
        </w:rPr>
        <w:t>in</w:t>
      </w:r>
      <w:r>
        <w:rPr>
          <w:b/>
          <w:color w:val="363436"/>
          <w:spacing w:val="14"/>
          <w:w w:val="105"/>
          <w:sz w:val="21"/>
        </w:rPr>
        <w:t> </w:t>
      </w:r>
      <w:r>
        <w:rPr>
          <w:b/>
          <w:color w:val="363436"/>
          <w:w w:val="105"/>
          <w:sz w:val="21"/>
        </w:rPr>
        <w:t>another's</w:t>
      </w:r>
    </w:p>
    <w:p>
      <w:pPr>
        <w:spacing w:after="0" w:line="225" w:lineRule="auto"/>
        <w:jc w:val="both"/>
        <w:rPr>
          <w:sz w:val="21"/>
        </w:rPr>
        <w:sectPr>
          <w:pgSz w:w="9570" w:h="13710"/>
          <w:pgMar w:header="462" w:footer="0" w:top="1060" w:bottom="280" w:left="420" w:right="1240"/>
        </w:sectPr>
      </w:pPr>
    </w:p>
    <w:p>
      <w:pPr>
        <w:tabs>
          <w:tab w:pos="856" w:val="left" w:leader="none"/>
        </w:tabs>
        <w:spacing w:before="81"/>
        <w:ind w:left="118" w:right="0" w:firstLine="0"/>
        <w:jc w:val="left"/>
        <w:rPr>
          <w:sz w:val="18"/>
        </w:rPr>
      </w:pPr>
      <w:r>
        <w:rPr>
          <w:color w:val="383636"/>
          <w:w w:val="105"/>
          <w:sz w:val="18"/>
        </w:rPr>
        <w:t>1SO</w:t>
        <w:tab/>
      </w:r>
      <w:r>
        <w:rPr>
          <w:color w:val="383636"/>
          <w:sz w:val="18"/>
        </w:rPr>
        <w:t>Chapter</w:t>
      </w:r>
      <w:r>
        <w:rPr>
          <w:color w:val="383636"/>
          <w:spacing w:val="-1"/>
          <w:sz w:val="18"/>
        </w:rPr>
        <w:t> </w:t>
      </w:r>
      <w:r>
        <w:rPr>
          <w:color w:val="383636"/>
          <w:sz w:val="18"/>
        </w:rPr>
        <w:t>Six  </w:t>
      </w:r>
      <w:r>
        <w:rPr>
          <w:color w:val="383636"/>
          <w:spacing w:val="14"/>
          <w:sz w:val="18"/>
        </w:rPr>
        <w:t> </w:t>
      </w:r>
      <w:r>
        <w:rPr>
          <w:color w:val="383636"/>
          <w:sz w:val="18"/>
        </w:rPr>
        <w:t>Practice</w:t>
      </w:r>
      <w:r>
        <w:rPr>
          <w:color w:val="383636"/>
          <w:spacing w:val="11"/>
          <w:sz w:val="18"/>
        </w:rPr>
        <w:t> </w:t>
      </w:r>
      <w:r>
        <w:rPr>
          <w:color w:val="383636"/>
          <w:sz w:val="18"/>
        </w:rPr>
        <w:t>Pointers</w:t>
      </w:r>
      <w:r>
        <w:rPr>
          <w:color w:val="505052"/>
          <w:sz w:val="18"/>
        </w:rPr>
        <w:t>:</w:t>
      </w:r>
      <w:r>
        <w:rPr>
          <w:color w:val="505052"/>
          <w:spacing w:val="18"/>
          <w:sz w:val="18"/>
        </w:rPr>
        <w:t> </w:t>
      </w:r>
      <w:r>
        <w:rPr>
          <w:color w:val="383636"/>
          <w:sz w:val="18"/>
        </w:rPr>
        <w:t>Using</w:t>
      </w:r>
      <w:r>
        <w:rPr>
          <w:color w:val="383636"/>
          <w:spacing w:val="-5"/>
          <w:sz w:val="18"/>
        </w:rPr>
        <w:t> </w:t>
      </w:r>
      <w:r>
        <w:rPr>
          <w:color w:val="383636"/>
          <w:sz w:val="18"/>
        </w:rPr>
        <w:t>Case</w:t>
      </w:r>
      <w:r>
        <w:rPr>
          <w:color w:val="383636"/>
          <w:spacing w:val="-15"/>
          <w:sz w:val="18"/>
        </w:rPr>
        <w:t> </w:t>
      </w:r>
      <w:r>
        <w:rPr>
          <w:color w:val="383636"/>
          <w:sz w:val="18"/>
        </w:rPr>
        <w:t>Authority</w:t>
      </w:r>
      <w:r>
        <w:rPr>
          <w:color w:val="383636"/>
          <w:spacing w:val="10"/>
          <w:sz w:val="18"/>
        </w:rPr>
        <w:t> </w:t>
      </w:r>
      <w:r>
        <w:rPr>
          <w:color w:val="383636"/>
          <w:sz w:val="18"/>
        </w:rPr>
        <w:t>Effectively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line="230" w:lineRule="auto" w:before="0"/>
        <w:ind w:left="1227" w:right="402" w:firstLine="0"/>
        <w:jc w:val="both"/>
        <w:rPr>
          <w:sz w:val="20"/>
        </w:rPr>
      </w:pPr>
      <w:r>
        <w:rPr>
          <w:color w:val="383636"/>
          <w:w w:val="115"/>
          <w:sz w:val="21"/>
        </w:rPr>
        <w:t>home,' babys</w:t>
      </w:r>
      <w:r>
        <w:rPr>
          <w:color w:val="505052"/>
          <w:w w:val="115"/>
          <w:sz w:val="21"/>
        </w:rPr>
        <w:t>i</w:t>
      </w:r>
      <w:r>
        <w:rPr>
          <w:color w:val="383636"/>
          <w:w w:val="115"/>
          <w:sz w:val="21"/>
        </w:rPr>
        <w:t>tting </w:t>
      </w:r>
      <w:r>
        <w:rPr>
          <w:color w:val="383636"/>
          <w:w w:val="115"/>
          <w:sz w:val="19"/>
        </w:rPr>
        <w:t>'is </w:t>
      </w:r>
      <w:r>
        <w:rPr>
          <w:color w:val="383636"/>
          <w:w w:val="115"/>
          <w:sz w:val="21"/>
        </w:rPr>
        <w:t>a longstanding social custom that serves func­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0"/>
          <w:sz w:val="21"/>
        </w:rPr>
        <w:t>tions</w:t>
      </w:r>
      <w:r>
        <w:rPr>
          <w:color w:val="383636"/>
          <w:spacing w:val="-8"/>
          <w:w w:val="110"/>
          <w:sz w:val="21"/>
        </w:rPr>
        <w:t> </w:t>
      </w:r>
      <w:r>
        <w:rPr>
          <w:color w:val="383636"/>
          <w:w w:val="110"/>
          <w:sz w:val="21"/>
        </w:rPr>
        <w:t>recognized</w:t>
      </w:r>
      <w:r>
        <w:rPr>
          <w:color w:val="383636"/>
          <w:spacing w:val="19"/>
          <w:w w:val="110"/>
          <w:sz w:val="21"/>
        </w:rPr>
        <w:t> </w:t>
      </w:r>
      <w:r>
        <w:rPr>
          <w:color w:val="383636"/>
          <w:w w:val="110"/>
          <w:sz w:val="21"/>
        </w:rPr>
        <w:t>as</w:t>
      </w:r>
      <w:r>
        <w:rPr>
          <w:color w:val="383636"/>
          <w:spacing w:val="13"/>
          <w:w w:val="110"/>
          <w:sz w:val="21"/>
        </w:rPr>
        <w:t> </w:t>
      </w:r>
      <w:r>
        <w:rPr>
          <w:color w:val="383636"/>
          <w:w w:val="110"/>
          <w:sz w:val="21"/>
        </w:rPr>
        <w:t>valuable</w:t>
      </w:r>
      <w:r>
        <w:rPr>
          <w:color w:val="383636"/>
          <w:spacing w:val="5"/>
          <w:w w:val="110"/>
          <w:sz w:val="21"/>
        </w:rPr>
        <w:t> </w:t>
      </w:r>
      <w:r>
        <w:rPr>
          <w:color w:val="383636"/>
          <w:w w:val="110"/>
          <w:sz w:val="21"/>
        </w:rPr>
        <w:t>bysociety</w:t>
      </w:r>
      <w:r>
        <w:rPr>
          <w:color w:val="505052"/>
          <w:w w:val="110"/>
          <w:sz w:val="21"/>
        </w:rPr>
        <w:t>.'</w:t>
      </w:r>
      <w:r>
        <w:rPr>
          <w:color w:val="383636"/>
          <w:w w:val="110"/>
          <w:sz w:val="21"/>
        </w:rPr>
        <w:t>"</w:t>
      </w:r>
      <w:r>
        <w:rPr>
          <w:color w:val="383636"/>
          <w:spacing w:val="30"/>
          <w:w w:val="110"/>
          <w:sz w:val="21"/>
        </w:rPr>
        <w:t> </w:t>
      </w:r>
      <w:r>
        <w:rPr>
          <w:color w:val="383636"/>
          <w:w w:val="110"/>
          <w:sz w:val="18"/>
        </w:rPr>
        <w:t>l.d,.</w:t>
      </w:r>
      <w:r>
        <w:rPr>
          <w:color w:val="383636"/>
          <w:spacing w:val="-1"/>
          <w:w w:val="110"/>
          <w:sz w:val="18"/>
        </w:rPr>
        <w:t> </w:t>
      </w:r>
      <w:r>
        <w:rPr>
          <w:color w:val="383636"/>
          <w:w w:val="110"/>
          <w:sz w:val="21"/>
        </w:rPr>
        <w:t>at</w:t>
      </w:r>
      <w:r>
        <w:rPr>
          <w:color w:val="383636"/>
          <w:spacing w:val="30"/>
          <w:w w:val="110"/>
          <w:sz w:val="21"/>
        </w:rPr>
        <w:t> </w:t>
      </w:r>
      <w:r>
        <w:rPr>
          <w:color w:val="383636"/>
          <w:w w:val="110"/>
          <w:sz w:val="20"/>
        </w:rPr>
        <w:t>70</w:t>
      </w:r>
      <w:r>
        <w:rPr>
          <w:color w:val="383636"/>
          <w:spacing w:val="50"/>
          <w:w w:val="110"/>
          <w:sz w:val="20"/>
        </w:rPr>
        <w:t> </w:t>
      </w:r>
      <w:r>
        <w:rPr>
          <w:color w:val="383636"/>
          <w:w w:val="110"/>
          <w:sz w:val="21"/>
        </w:rPr>
        <w:t>(quoting</w:t>
      </w:r>
      <w:r>
        <w:rPr>
          <w:color w:val="383636"/>
          <w:spacing w:val="-19"/>
          <w:w w:val="110"/>
          <w:sz w:val="21"/>
        </w:rPr>
        <w:t> </w:t>
      </w:r>
      <w:r>
        <w:rPr>
          <w:rFonts w:ascii="Arial" w:hAnsi="Arial"/>
          <w:color w:val="383636"/>
          <w:w w:val="110"/>
          <w:sz w:val="20"/>
        </w:rPr>
        <w:t>Qwm,</w:t>
      </w:r>
      <w:r>
        <w:rPr>
          <w:rFonts w:ascii="Arial" w:hAnsi="Arial"/>
          <w:color w:val="383636"/>
          <w:spacing w:val="-20"/>
          <w:w w:val="110"/>
          <w:sz w:val="20"/>
        </w:rPr>
        <w:t> </w:t>
      </w:r>
      <w:r>
        <w:rPr>
          <w:color w:val="383636"/>
          <w:w w:val="110"/>
          <w:sz w:val="20"/>
        </w:rPr>
        <w:t>495</w:t>
      </w:r>
    </w:p>
    <w:p>
      <w:pPr>
        <w:spacing w:before="29"/>
        <w:ind w:left="1224" w:right="0" w:firstLine="0"/>
        <w:jc w:val="left"/>
        <w:rPr>
          <w:b/>
          <w:sz w:val="20"/>
        </w:rPr>
      </w:pPr>
      <w:r>
        <w:rPr>
          <w:b/>
          <w:color w:val="383636"/>
          <w:w w:val="110"/>
          <w:sz w:val="20"/>
        </w:rPr>
        <w:t>U.S.</w:t>
      </w:r>
      <w:r>
        <w:rPr>
          <w:b/>
          <w:color w:val="383636"/>
          <w:spacing w:val="-5"/>
          <w:w w:val="110"/>
          <w:sz w:val="20"/>
        </w:rPr>
        <w:t> </w:t>
      </w:r>
      <w:r>
        <w:rPr>
          <w:b/>
          <w:color w:val="383636"/>
          <w:w w:val="110"/>
          <w:sz w:val="19"/>
        </w:rPr>
        <w:t>at</w:t>
      </w:r>
      <w:r>
        <w:rPr>
          <w:b/>
          <w:color w:val="383636"/>
          <w:spacing w:val="37"/>
          <w:w w:val="110"/>
          <w:sz w:val="19"/>
        </w:rPr>
        <w:t> </w:t>
      </w:r>
      <w:r>
        <w:rPr>
          <w:b/>
          <w:color w:val="383636"/>
          <w:w w:val="110"/>
          <w:sz w:val="20"/>
        </w:rPr>
        <w:t>98).</w:t>
      </w:r>
    </w:p>
    <w:p>
      <w:pPr>
        <w:pStyle w:val="BodyText"/>
        <w:spacing w:line="232" w:lineRule="auto" w:before="134"/>
        <w:ind w:left="845" w:right="104" w:hanging="3"/>
        <w:jc w:val="both"/>
      </w:pPr>
      <w:r>
        <w:rPr>
          <w:rFonts w:ascii="Arial" w:hAnsi="Arial"/>
          <w:color w:val="383636"/>
          <w:w w:val="105"/>
          <w:sz w:val="22"/>
        </w:rPr>
        <w:t>If </w:t>
      </w:r>
      <w:r>
        <w:rPr>
          <w:color w:val="383636"/>
          <w:w w:val="105"/>
        </w:rPr>
        <w:t>the reviewing court knows that the California court was basing its deci­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sion on United States Supreme Court authority, the court may give that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California decision more weight in a brief</w:t>
      </w:r>
      <w:r>
        <w:rPr>
          <w:color w:val="505052"/>
          <w:w w:val="105"/>
        </w:rPr>
        <w:t>, </w:t>
      </w:r>
      <w:r>
        <w:rPr>
          <w:color w:val="383636"/>
          <w:w w:val="105"/>
        </w:rPr>
        <w:t>especially if the reviewing court</w:t>
      </w:r>
      <w:r>
        <w:rPr>
          <w:color w:val="383636"/>
          <w:spacing w:val="-58"/>
          <w:w w:val="105"/>
        </w:rPr>
        <w:t> </w:t>
      </w:r>
      <w:r>
        <w:rPr>
          <w:color w:val="383636"/>
          <w:w w:val="110"/>
        </w:rPr>
        <w:t>is the United States Supreme Court. Thus, </w:t>
      </w:r>
      <w:r>
        <w:rPr>
          <w:rFonts w:ascii="Arial" w:hAnsi="Arial"/>
          <w:i/>
          <w:color w:val="383636"/>
          <w:w w:val="110"/>
          <w:sz w:val="22"/>
        </w:rPr>
        <w:t>if </w:t>
      </w:r>
      <w:r>
        <w:rPr>
          <w:color w:val="383636"/>
          <w:w w:val="110"/>
        </w:rPr>
        <w:t>knowing the origin of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cited language could affect the Court's understanding or acceptance of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your argument, identify that source. This situation does not occur regu­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larly </w:t>
      </w:r>
      <w:r>
        <w:rPr>
          <w:color w:val="383636"/>
          <w:w w:val="105"/>
          <w:sz w:val="21"/>
        </w:rPr>
        <w:t>in </w:t>
      </w:r>
      <w:r>
        <w:rPr>
          <w:color w:val="383636"/>
          <w:w w:val="105"/>
        </w:rPr>
        <w:t>legal writing; generally, if the origin of the language is significant,</w:t>
      </w:r>
      <w:r>
        <w:rPr>
          <w:color w:val="383636"/>
          <w:spacing w:val="1"/>
          <w:w w:val="105"/>
        </w:rPr>
        <w:t> </w:t>
      </w:r>
      <w:r>
        <w:rPr>
          <w:color w:val="383636"/>
          <w:spacing w:val="-1"/>
          <w:w w:val="110"/>
        </w:rPr>
        <w:t>the writer should go to the original source and cite that authority </w:t>
      </w:r>
      <w:r>
        <w:rPr>
          <w:color w:val="383636"/>
          <w:w w:val="110"/>
        </w:rPr>
        <w:t>in addi­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05"/>
        </w:rPr>
        <w:t>tion or instead. It is only when the relationship between the two sources is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significant-asit is when an on-point nonmandatory </w:t>
      </w:r>
      <w:r>
        <w:rPr>
          <w:color w:val="505052"/>
          <w:w w:val="110"/>
        </w:rPr>
        <w:t>c</w:t>
      </w:r>
      <w:r>
        <w:rPr>
          <w:color w:val="383636"/>
          <w:w w:val="110"/>
        </w:rPr>
        <w:t>ourt applies a rule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from a mandatory court-that thereader is likely to be interested in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origin</w:t>
      </w:r>
      <w:r>
        <w:rPr>
          <w:color w:val="383636"/>
          <w:spacing w:val="-8"/>
          <w:w w:val="115"/>
        </w:rPr>
        <w:t> </w:t>
      </w:r>
      <w:r>
        <w:rPr>
          <w:color w:val="383636"/>
          <w:w w:val="115"/>
        </w:rPr>
        <w:t>of</w:t>
      </w:r>
      <w:r>
        <w:rPr>
          <w:color w:val="383636"/>
          <w:spacing w:val="-4"/>
          <w:w w:val="115"/>
        </w:rPr>
        <w:t> </w:t>
      </w:r>
      <w:r>
        <w:rPr>
          <w:color w:val="383636"/>
          <w:w w:val="115"/>
        </w:rPr>
        <w:t>the</w:t>
      </w:r>
      <w:r>
        <w:rPr>
          <w:color w:val="383636"/>
          <w:spacing w:val="4"/>
          <w:w w:val="115"/>
        </w:rPr>
        <w:t> </w:t>
      </w:r>
      <w:r>
        <w:rPr>
          <w:color w:val="383636"/>
          <w:w w:val="115"/>
        </w:rPr>
        <w:t>quoted</w:t>
      </w:r>
      <w:r>
        <w:rPr>
          <w:color w:val="383636"/>
          <w:spacing w:val="-5"/>
          <w:w w:val="115"/>
        </w:rPr>
        <w:t> </w:t>
      </w:r>
      <w:r>
        <w:rPr>
          <w:color w:val="383636"/>
          <w:w w:val="115"/>
        </w:rPr>
        <w:t>language.</w:t>
      </w:r>
    </w:p>
    <w:p>
      <w:pPr>
        <w:pStyle w:val="BodyText"/>
        <w:spacing w:line="235" w:lineRule="auto" w:before="12"/>
        <w:ind w:left="825" w:right="140" w:firstLine="388"/>
        <w:jc w:val="both"/>
      </w:pPr>
      <w:r>
        <w:rPr>
          <w:color w:val="383636"/>
          <w:w w:val="105"/>
        </w:rPr>
        <w:t>In most other situations, however</w:t>
      </w:r>
      <w:r>
        <w:rPr>
          <w:color w:val="505052"/>
          <w:w w:val="105"/>
        </w:rPr>
        <w:t>, </w:t>
      </w:r>
      <w:r>
        <w:rPr>
          <w:color w:val="383636"/>
          <w:w w:val="105"/>
        </w:rPr>
        <w:t>judges looking at the citations sup­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porting</w:t>
      </w:r>
      <w:r>
        <w:rPr>
          <w:color w:val="383636"/>
          <w:spacing w:val="-22"/>
          <w:w w:val="110"/>
        </w:rPr>
        <w:t> </w:t>
      </w:r>
      <w:r>
        <w:rPr>
          <w:color w:val="383636"/>
          <w:w w:val="110"/>
        </w:rPr>
        <w:t>an</w:t>
      </w:r>
      <w:r>
        <w:rPr>
          <w:color w:val="383636"/>
          <w:spacing w:val="2"/>
          <w:w w:val="110"/>
        </w:rPr>
        <w:t> </w:t>
      </w:r>
      <w:r>
        <w:rPr>
          <w:color w:val="383636"/>
          <w:w w:val="110"/>
        </w:rPr>
        <w:t>argument</w:t>
      </w:r>
      <w:r>
        <w:rPr>
          <w:color w:val="383636"/>
          <w:spacing w:val="-12"/>
          <w:w w:val="110"/>
        </w:rPr>
        <w:t> </w:t>
      </w:r>
      <w:r>
        <w:rPr>
          <w:color w:val="383636"/>
          <w:w w:val="110"/>
        </w:rPr>
        <w:t>want</w:t>
      </w:r>
      <w:r>
        <w:rPr>
          <w:color w:val="383636"/>
          <w:spacing w:val="-18"/>
          <w:w w:val="110"/>
        </w:rPr>
        <w:t> </w:t>
      </w:r>
      <w:r>
        <w:rPr>
          <w:color w:val="383636"/>
          <w:w w:val="110"/>
        </w:rPr>
        <w:t>to know</w:t>
      </w:r>
      <w:r>
        <w:rPr>
          <w:color w:val="383636"/>
          <w:spacing w:val="-25"/>
          <w:w w:val="110"/>
        </w:rPr>
        <w:t> </w:t>
      </w:r>
      <w:r>
        <w:rPr>
          <w:color w:val="383636"/>
          <w:w w:val="110"/>
        </w:rPr>
        <w:t>only</w:t>
      </w:r>
      <w:r>
        <w:rPr>
          <w:color w:val="383636"/>
          <w:spacing w:val="-20"/>
          <w:w w:val="110"/>
        </w:rPr>
        <w:t> </w:t>
      </w:r>
      <w:r>
        <w:rPr>
          <w:color w:val="383636"/>
          <w:w w:val="110"/>
        </w:rPr>
        <w:t>that</w:t>
      </w:r>
      <w:r>
        <w:rPr>
          <w:color w:val="383636"/>
          <w:spacing w:val="-26"/>
          <w:w w:val="110"/>
        </w:rPr>
        <w:t> </w:t>
      </w:r>
      <w:r>
        <w:rPr>
          <w:color w:val="383636"/>
          <w:w w:val="110"/>
        </w:rPr>
        <w:t>a</w:t>
      </w:r>
      <w:r>
        <w:rPr>
          <w:color w:val="383636"/>
          <w:spacing w:val="-12"/>
          <w:w w:val="110"/>
        </w:rPr>
        <w:t> </w:t>
      </w:r>
      <w:r>
        <w:rPr>
          <w:color w:val="383636"/>
          <w:w w:val="110"/>
        </w:rPr>
        <w:t>valid</w:t>
      </w:r>
      <w:r>
        <w:rPr>
          <w:color w:val="383636"/>
          <w:spacing w:val="-24"/>
          <w:w w:val="110"/>
        </w:rPr>
        <w:t> </w:t>
      </w:r>
      <w:r>
        <w:rPr>
          <w:color w:val="383636"/>
          <w:w w:val="110"/>
        </w:rPr>
        <w:t>court</w:t>
      </w:r>
      <w:r>
        <w:rPr>
          <w:color w:val="383636"/>
          <w:spacing w:val="-9"/>
          <w:w w:val="110"/>
        </w:rPr>
        <w:t> </w:t>
      </w:r>
      <w:r>
        <w:rPr>
          <w:color w:val="383636"/>
          <w:w w:val="110"/>
        </w:rPr>
        <w:t>made</w:t>
      </w:r>
      <w:r>
        <w:rPr>
          <w:color w:val="383636"/>
          <w:spacing w:val="-16"/>
          <w:w w:val="110"/>
        </w:rPr>
        <w:t> </w:t>
      </w:r>
      <w:r>
        <w:rPr>
          <w:color w:val="383636"/>
          <w:w w:val="110"/>
        </w:rPr>
        <w:t>that</w:t>
      </w:r>
      <w:r>
        <w:rPr>
          <w:color w:val="383636"/>
          <w:spacing w:val="-18"/>
          <w:w w:val="110"/>
        </w:rPr>
        <w:t> </w:t>
      </w:r>
      <w:r>
        <w:rPr>
          <w:color w:val="383636"/>
          <w:w w:val="110"/>
        </w:rPr>
        <w:t>state­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ment in an analogous case. They usually have little or no interest in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original source of particular words or phrases. </w:t>
      </w:r>
      <w:r>
        <w:rPr>
          <w:rFonts w:ascii="Arial" w:hAnsi="Arial"/>
          <w:color w:val="383636"/>
          <w:w w:val="105"/>
          <w:sz w:val="22"/>
        </w:rPr>
        <w:t>If </w:t>
      </w:r>
      <w:r>
        <w:rPr>
          <w:color w:val="383636"/>
          <w:w w:val="105"/>
        </w:rPr>
        <w:t>the cited opinion is a valid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authority for that quote, it matters only that an authoritative court made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 sta</w:t>
      </w:r>
      <w:r>
        <w:rPr>
          <w:color w:val="505052"/>
          <w:w w:val="110"/>
        </w:rPr>
        <w:t>t</w:t>
      </w:r>
      <w:r>
        <w:rPr>
          <w:color w:val="383636"/>
          <w:w w:val="110"/>
        </w:rPr>
        <w:t>ement in its majority opinion and that the statement is not dicta</w:t>
      </w:r>
      <w:r>
        <w:rPr>
          <w:color w:val="505052"/>
          <w:w w:val="110"/>
        </w:rPr>
        <w:t>.</w:t>
      </w:r>
      <w:r>
        <w:rPr>
          <w:color w:val="505052"/>
          <w:spacing w:val="1"/>
          <w:w w:val="110"/>
        </w:rPr>
        <w:t> </w:t>
      </w:r>
      <w:r>
        <w:rPr>
          <w:color w:val="383636"/>
          <w:w w:val="105"/>
        </w:rPr>
        <w:t>Even if that court misinterpreted the original language, what usually mat­</w:t>
      </w:r>
      <w:r>
        <w:rPr>
          <w:color w:val="383636"/>
          <w:spacing w:val="1"/>
          <w:w w:val="105"/>
        </w:rPr>
        <w:t> </w:t>
      </w:r>
      <w:r>
        <w:rPr>
          <w:color w:val="383636"/>
          <w:spacing w:val="-1"/>
          <w:w w:val="110"/>
        </w:rPr>
        <w:t>ters is the court's belief that the language was appropriate </w:t>
      </w:r>
      <w:r>
        <w:rPr>
          <w:color w:val="383636"/>
          <w:w w:val="110"/>
        </w:rPr>
        <w:t>to apply to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particular set of facts that was before it. Thus, determine whether your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argument would be more effective if the court you are writing to knew the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original source of the quoted language. If knowing the source would not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05"/>
        </w:rPr>
        <w:t>improve your argument's effectiveness, you can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omit  the citation, as long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as</w:t>
      </w:r>
      <w:r>
        <w:rPr>
          <w:color w:val="383636"/>
          <w:spacing w:val="-11"/>
          <w:w w:val="105"/>
        </w:rPr>
        <w:t> </w:t>
      </w:r>
      <w:r>
        <w:rPr>
          <w:color w:val="383636"/>
          <w:w w:val="105"/>
        </w:rPr>
        <w:t>you</w:t>
      </w:r>
      <w:r>
        <w:rPr>
          <w:color w:val="383636"/>
          <w:spacing w:val="-1"/>
          <w:w w:val="105"/>
        </w:rPr>
        <w:t> </w:t>
      </w:r>
      <w:r>
        <w:rPr>
          <w:color w:val="383636"/>
          <w:w w:val="105"/>
        </w:rPr>
        <w:t>inform</w:t>
      </w:r>
      <w:r>
        <w:rPr>
          <w:color w:val="383636"/>
          <w:spacing w:val="8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11"/>
          <w:w w:val="105"/>
        </w:rPr>
        <w:t> </w:t>
      </w:r>
      <w:r>
        <w:rPr>
          <w:color w:val="383636"/>
          <w:w w:val="105"/>
        </w:rPr>
        <w:t>court</w:t>
      </w:r>
      <w:r>
        <w:rPr>
          <w:color w:val="383636"/>
          <w:spacing w:val="5"/>
          <w:w w:val="105"/>
        </w:rPr>
        <w:t> </w:t>
      </w:r>
      <w:r>
        <w:rPr>
          <w:color w:val="383636"/>
          <w:w w:val="105"/>
        </w:rPr>
        <w:t>that</w:t>
      </w:r>
      <w:r>
        <w:rPr>
          <w:color w:val="383636"/>
          <w:spacing w:val="-3"/>
          <w:w w:val="105"/>
        </w:rPr>
        <w:t> </w:t>
      </w:r>
      <w:r>
        <w:rPr>
          <w:color w:val="383636"/>
          <w:w w:val="105"/>
        </w:rPr>
        <w:t>you</w:t>
      </w:r>
      <w:r>
        <w:rPr>
          <w:color w:val="383636"/>
          <w:spacing w:val="-2"/>
          <w:w w:val="105"/>
        </w:rPr>
        <w:t> </w:t>
      </w:r>
      <w:r>
        <w:rPr>
          <w:color w:val="383636"/>
          <w:w w:val="105"/>
        </w:rPr>
        <w:t>are</w:t>
      </w:r>
      <w:r>
        <w:rPr>
          <w:color w:val="383636"/>
          <w:spacing w:val="-3"/>
          <w:w w:val="105"/>
        </w:rPr>
        <w:t> </w:t>
      </w:r>
      <w:r>
        <w:rPr>
          <w:color w:val="383636"/>
          <w:w w:val="105"/>
        </w:rPr>
        <w:t>doing</w:t>
      </w:r>
      <w:r>
        <w:rPr>
          <w:color w:val="383636"/>
          <w:spacing w:val="-10"/>
          <w:w w:val="105"/>
        </w:rPr>
        <w:t> </w:t>
      </w:r>
      <w:r>
        <w:rPr>
          <w:color w:val="383636"/>
          <w:w w:val="105"/>
        </w:rPr>
        <w:t>so</w:t>
      </w:r>
      <w:r>
        <w:rPr>
          <w:color w:val="505052"/>
          <w:w w:val="105"/>
        </w:rPr>
        <w:t>:</w:t>
      </w:r>
    </w:p>
    <w:p>
      <w:pPr>
        <w:spacing w:before="95"/>
        <w:ind w:left="826" w:right="0" w:firstLine="0"/>
        <w:jc w:val="both"/>
        <w:rPr>
          <w:rFonts w:ascii="Arial"/>
          <w:sz w:val="14"/>
        </w:rPr>
      </w:pPr>
      <w:r>
        <w:rPr>
          <w:i/>
          <w:color w:val="727275"/>
          <w:w w:val="90"/>
          <w:sz w:val="26"/>
          <w:u w:val="thick" w:color="727275"/>
        </w:rPr>
        <w:t>_J&gt;.</w:t>
      </w:r>
      <w:r>
        <w:rPr>
          <w:i/>
          <w:color w:val="727275"/>
          <w:w w:val="90"/>
          <w:sz w:val="26"/>
        </w:rPr>
        <w:t>.</w:t>
      </w:r>
      <w:r>
        <w:rPr>
          <w:rFonts w:ascii="Arial"/>
          <w:color w:val="505052"/>
          <w:w w:val="90"/>
          <w:sz w:val="14"/>
          <w:u w:val="thick" w:color="383636"/>
        </w:rPr>
        <w:t>GOOD</w:t>
      </w:r>
      <w:r>
        <w:rPr>
          <w:rFonts w:ascii="Arial"/>
          <w:color w:val="505052"/>
          <w:spacing w:val="7"/>
          <w:w w:val="90"/>
          <w:sz w:val="14"/>
          <w:u w:val="thick" w:color="383636"/>
        </w:rPr>
        <w:t> </w:t>
      </w:r>
      <w:r>
        <w:rPr>
          <w:rFonts w:ascii="Arial"/>
          <w:color w:val="505052"/>
          <w:w w:val="90"/>
          <w:sz w:val="14"/>
          <w:u w:val="thick" w:color="383636"/>
        </w:rPr>
        <w:t>EXAMPL</w:t>
      </w:r>
      <w:r>
        <w:rPr>
          <w:rFonts w:ascii="Arial"/>
          <w:color w:val="383636"/>
          <w:w w:val="90"/>
          <w:sz w:val="14"/>
          <w:u w:val="thick" w:color="383636"/>
        </w:rPr>
        <w:t>E</w:t>
      </w:r>
    </w:p>
    <w:p>
      <w:pPr>
        <w:spacing w:line="225" w:lineRule="auto" w:before="78"/>
        <w:ind w:left="1154" w:right="512" w:firstLine="18"/>
        <w:jc w:val="both"/>
        <w:rPr>
          <w:sz w:val="21"/>
        </w:rPr>
      </w:pPr>
      <w:r>
        <w:rPr>
          <w:color w:val="383636"/>
          <w:w w:val="120"/>
          <w:sz w:val="21"/>
        </w:rPr>
        <w:t>Curtilage,</w:t>
      </w:r>
      <w:r>
        <w:rPr>
          <w:color w:val="383636"/>
          <w:spacing w:val="-8"/>
          <w:w w:val="120"/>
          <w:sz w:val="21"/>
        </w:rPr>
        <w:t> </w:t>
      </w:r>
      <w:r>
        <w:rPr>
          <w:color w:val="383636"/>
          <w:w w:val="120"/>
          <w:sz w:val="21"/>
        </w:rPr>
        <w:t>"the</w:t>
      </w:r>
      <w:r>
        <w:rPr>
          <w:color w:val="383636"/>
          <w:spacing w:val="-13"/>
          <w:w w:val="120"/>
          <w:sz w:val="21"/>
        </w:rPr>
        <w:t> </w:t>
      </w:r>
      <w:r>
        <w:rPr>
          <w:color w:val="383636"/>
          <w:w w:val="120"/>
          <w:sz w:val="21"/>
        </w:rPr>
        <w:t>land</w:t>
      </w:r>
      <w:r>
        <w:rPr>
          <w:color w:val="383636"/>
          <w:spacing w:val="-13"/>
          <w:w w:val="120"/>
          <w:sz w:val="21"/>
        </w:rPr>
        <w:t> </w:t>
      </w:r>
      <w:r>
        <w:rPr>
          <w:color w:val="383636"/>
          <w:w w:val="120"/>
          <w:sz w:val="21"/>
        </w:rPr>
        <w:t>immediately</w:t>
      </w:r>
      <w:r>
        <w:rPr>
          <w:color w:val="383636"/>
          <w:spacing w:val="-11"/>
          <w:w w:val="120"/>
          <w:sz w:val="21"/>
        </w:rPr>
        <w:t> </w:t>
      </w:r>
      <w:r>
        <w:rPr>
          <w:color w:val="383636"/>
          <w:w w:val="120"/>
          <w:sz w:val="21"/>
        </w:rPr>
        <w:t>surrounding</w:t>
      </w:r>
      <w:r>
        <w:rPr>
          <w:color w:val="383636"/>
          <w:spacing w:val="-16"/>
          <w:w w:val="120"/>
          <w:sz w:val="21"/>
        </w:rPr>
        <w:t> </w:t>
      </w:r>
      <w:r>
        <w:rPr>
          <w:color w:val="383636"/>
          <w:w w:val="120"/>
          <w:sz w:val="21"/>
        </w:rPr>
        <w:t>and</w:t>
      </w:r>
      <w:r>
        <w:rPr>
          <w:color w:val="383636"/>
          <w:spacing w:val="5"/>
          <w:w w:val="120"/>
          <w:sz w:val="21"/>
        </w:rPr>
        <w:t> </w:t>
      </w:r>
      <w:r>
        <w:rPr>
          <w:color w:val="383636"/>
          <w:w w:val="120"/>
          <w:sz w:val="21"/>
        </w:rPr>
        <w:t>associated</w:t>
      </w:r>
      <w:r>
        <w:rPr>
          <w:color w:val="383636"/>
          <w:spacing w:val="4"/>
          <w:w w:val="120"/>
          <w:sz w:val="21"/>
        </w:rPr>
        <w:t> </w:t>
      </w:r>
      <w:r>
        <w:rPr>
          <w:color w:val="383636"/>
          <w:w w:val="120"/>
          <w:sz w:val="21"/>
        </w:rPr>
        <w:t>with</w:t>
      </w:r>
      <w:r>
        <w:rPr>
          <w:color w:val="383636"/>
          <w:spacing w:val="-61"/>
          <w:w w:val="120"/>
          <w:sz w:val="21"/>
        </w:rPr>
        <w:t> </w:t>
      </w:r>
      <w:r>
        <w:rPr>
          <w:color w:val="383636"/>
          <w:w w:val="115"/>
          <w:sz w:val="21"/>
        </w:rPr>
        <w:t>the</w:t>
      </w:r>
      <w:r>
        <w:rPr>
          <w:color w:val="383636"/>
          <w:spacing w:val="8"/>
          <w:w w:val="115"/>
          <w:sz w:val="21"/>
        </w:rPr>
        <w:t> </w:t>
      </w:r>
      <w:r>
        <w:rPr>
          <w:color w:val="383636"/>
          <w:w w:val="115"/>
          <w:sz w:val="21"/>
        </w:rPr>
        <w:t>home,"</w:t>
      </w:r>
      <w:r>
        <w:rPr>
          <w:color w:val="383636"/>
          <w:spacing w:val="-26"/>
          <w:w w:val="115"/>
          <w:sz w:val="21"/>
        </w:rPr>
        <w:t> </w:t>
      </w:r>
      <w:r>
        <w:rPr>
          <w:rFonts w:ascii="Arial" w:hAnsi="Arial"/>
          <w:color w:val="383636"/>
          <w:w w:val="115"/>
          <w:sz w:val="19"/>
        </w:rPr>
        <w:t>is</w:t>
      </w:r>
      <w:r>
        <w:rPr>
          <w:rFonts w:ascii="Arial" w:hAnsi="Arial"/>
          <w:color w:val="383636"/>
          <w:spacing w:val="-9"/>
          <w:w w:val="115"/>
          <w:sz w:val="19"/>
        </w:rPr>
        <w:t> </w:t>
      </w:r>
      <w:r>
        <w:rPr>
          <w:color w:val="383636"/>
          <w:w w:val="115"/>
          <w:sz w:val="21"/>
        </w:rPr>
        <w:t>"the</w:t>
      </w:r>
      <w:r>
        <w:rPr>
          <w:color w:val="383636"/>
          <w:spacing w:val="-29"/>
          <w:w w:val="115"/>
          <w:sz w:val="21"/>
        </w:rPr>
        <w:t> </w:t>
      </w:r>
      <w:r>
        <w:rPr>
          <w:color w:val="383636"/>
          <w:w w:val="115"/>
          <w:sz w:val="21"/>
        </w:rPr>
        <w:t>area</w:t>
      </w:r>
      <w:r>
        <w:rPr>
          <w:color w:val="383636"/>
          <w:spacing w:val="2"/>
          <w:w w:val="115"/>
          <w:sz w:val="21"/>
        </w:rPr>
        <w:t> </w:t>
      </w:r>
      <w:r>
        <w:rPr>
          <w:color w:val="383636"/>
          <w:w w:val="115"/>
          <w:sz w:val="23"/>
        </w:rPr>
        <w:t>to</w:t>
      </w:r>
      <w:r>
        <w:rPr>
          <w:color w:val="383636"/>
          <w:spacing w:val="-26"/>
          <w:w w:val="115"/>
          <w:sz w:val="23"/>
        </w:rPr>
        <w:t> </w:t>
      </w:r>
      <w:r>
        <w:rPr>
          <w:color w:val="383636"/>
          <w:w w:val="115"/>
          <w:sz w:val="21"/>
        </w:rPr>
        <w:t>which</w:t>
      </w:r>
      <w:r>
        <w:rPr>
          <w:color w:val="383636"/>
          <w:spacing w:val="-6"/>
          <w:w w:val="115"/>
          <w:sz w:val="21"/>
        </w:rPr>
        <w:t> </w:t>
      </w:r>
      <w:r>
        <w:rPr>
          <w:color w:val="383636"/>
          <w:w w:val="115"/>
          <w:sz w:val="21"/>
        </w:rPr>
        <w:t>extends</w:t>
      </w:r>
      <w:r>
        <w:rPr>
          <w:color w:val="383636"/>
          <w:spacing w:val="-2"/>
          <w:w w:val="115"/>
          <w:sz w:val="21"/>
        </w:rPr>
        <w:t> </w:t>
      </w:r>
      <w:r>
        <w:rPr>
          <w:color w:val="383636"/>
          <w:w w:val="115"/>
          <w:sz w:val="21"/>
        </w:rPr>
        <w:t>the</w:t>
      </w:r>
      <w:r>
        <w:rPr>
          <w:color w:val="383636"/>
          <w:spacing w:val="16"/>
          <w:w w:val="115"/>
          <w:sz w:val="21"/>
        </w:rPr>
        <w:t> </w:t>
      </w:r>
      <w:r>
        <w:rPr>
          <w:color w:val="383636"/>
          <w:w w:val="115"/>
          <w:sz w:val="21"/>
        </w:rPr>
        <w:t>intimate</w:t>
      </w:r>
      <w:r>
        <w:rPr>
          <w:color w:val="383636"/>
          <w:spacing w:val="-14"/>
          <w:w w:val="115"/>
          <w:sz w:val="21"/>
        </w:rPr>
        <w:t> </w:t>
      </w:r>
      <w:r>
        <w:rPr>
          <w:color w:val="383636"/>
          <w:w w:val="115"/>
          <w:sz w:val="21"/>
        </w:rPr>
        <w:t>activity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associ­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ated with the 'sanctity </w:t>
      </w:r>
      <w:r>
        <w:rPr>
          <w:rFonts w:ascii="Arial" w:hAnsi="Arial"/>
          <w:color w:val="383636"/>
          <w:w w:val="115"/>
          <w:sz w:val="19"/>
        </w:rPr>
        <w:t>of </w:t>
      </w:r>
      <w:r>
        <w:rPr>
          <w:color w:val="383636"/>
          <w:w w:val="115"/>
          <w:sz w:val="21"/>
        </w:rPr>
        <w:t>a man's home and the privacies </w:t>
      </w:r>
      <w:r>
        <w:rPr>
          <w:rFonts w:ascii="Arial" w:hAnsi="Arial"/>
          <w:color w:val="383636"/>
          <w:w w:val="115"/>
          <w:sz w:val="19"/>
        </w:rPr>
        <w:t>of </w:t>
      </w:r>
      <w:r>
        <w:rPr>
          <w:color w:val="383636"/>
          <w:w w:val="115"/>
          <w:sz w:val="21"/>
        </w:rPr>
        <w:t>life.'" </w:t>
      </w:r>
      <w:r>
        <w:rPr>
          <w:color w:val="383636"/>
          <w:w w:val="115"/>
          <w:sz w:val="19"/>
        </w:rPr>
        <w:t>k(</w:t>
      </w:r>
      <w:r>
        <w:rPr>
          <w:color w:val="606062"/>
          <w:w w:val="115"/>
          <w:sz w:val="19"/>
        </w:rPr>
        <w:t>.</w:t>
      </w:r>
      <w:r>
        <w:rPr>
          <w:color w:val="606062"/>
          <w:spacing w:val="1"/>
          <w:w w:val="115"/>
          <w:sz w:val="19"/>
        </w:rPr>
        <w:t> </w:t>
      </w:r>
      <w:r>
        <w:rPr>
          <w:color w:val="383636"/>
          <w:w w:val="120"/>
          <w:sz w:val="21"/>
        </w:rPr>
        <w:t>(citation</w:t>
      </w:r>
      <w:r>
        <w:rPr>
          <w:color w:val="383636"/>
          <w:spacing w:val="-15"/>
          <w:w w:val="120"/>
          <w:sz w:val="21"/>
        </w:rPr>
        <w:t> </w:t>
      </w:r>
      <w:r>
        <w:rPr>
          <w:color w:val="383636"/>
          <w:w w:val="120"/>
          <w:sz w:val="21"/>
        </w:rPr>
        <w:t>omitted).</w:t>
      </w:r>
    </w:p>
    <w:p>
      <w:pPr>
        <w:pStyle w:val="BodyText"/>
        <w:spacing w:line="230" w:lineRule="auto" w:before="156"/>
        <w:ind w:left="764" w:right="178" w:firstLine="6"/>
        <w:jc w:val="both"/>
      </w:pPr>
      <w:r>
        <w:rPr>
          <w:color w:val="383636"/>
          <w:w w:val="110"/>
        </w:rPr>
        <w:t>Substituting the "citation omitted" parenthetical phrase for the full cita­</w:t>
      </w:r>
      <w:r>
        <w:rPr>
          <w:color w:val="383636"/>
          <w:spacing w:val="1"/>
          <w:w w:val="110"/>
        </w:rPr>
        <w:t> </w:t>
      </w:r>
      <w:r>
        <w:rPr>
          <w:color w:val="383636"/>
          <w:spacing w:val="-1"/>
          <w:w w:val="110"/>
        </w:rPr>
        <w:t>tion </w:t>
      </w:r>
      <w:r>
        <w:rPr>
          <w:color w:val="383636"/>
          <w:w w:val="110"/>
        </w:rPr>
        <w:t>will allow those who wish to track the original language the oppor­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tunity to do so</w:t>
      </w:r>
      <w:r>
        <w:rPr>
          <w:color w:val="505052"/>
          <w:w w:val="105"/>
        </w:rPr>
        <w:t>. </w:t>
      </w:r>
      <w:r>
        <w:rPr>
          <w:color w:val="383636"/>
          <w:w w:val="105"/>
        </w:rPr>
        <w:t>Most judges and clerks, however, will be grateful that you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have</w:t>
      </w:r>
      <w:r>
        <w:rPr>
          <w:color w:val="383636"/>
          <w:spacing w:val="-2"/>
          <w:w w:val="105"/>
        </w:rPr>
        <w:t> </w:t>
      </w:r>
      <w:r>
        <w:rPr>
          <w:color w:val="383636"/>
          <w:w w:val="105"/>
        </w:rPr>
        <w:t>not</w:t>
      </w:r>
      <w:r>
        <w:rPr>
          <w:color w:val="383636"/>
          <w:spacing w:val="8"/>
          <w:w w:val="105"/>
        </w:rPr>
        <w:t> </w:t>
      </w:r>
      <w:r>
        <w:rPr>
          <w:color w:val="383636"/>
          <w:w w:val="105"/>
        </w:rPr>
        <w:t>cluttered</w:t>
      </w:r>
      <w:r>
        <w:rPr>
          <w:color w:val="383636"/>
          <w:spacing w:val="13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17"/>
          <w:w w:val="105"/>
        </w:rPr>
        <w:t> </w:t>
      </w:r>
      <w:r>
        <w:rPr>
          <w:color w:val="383636"/>
          <w:w w:val="105"/>
        </w:rPr>
        <w:t>brief</w:t>
      </w:r>
      <w:r>
        <w:rPr>
          <w:color w:val="383636"/>
          <w:spacing w:val="11"/>
          <w:w w:val="105"/>
        </w:rPr>
        <w:t> </w:t>
      </w:r>
      <w:r>
        <w:rPr>
          <w:color w:val="383636"/>
          <w:w w:val="105"/>
        </w:rPr>
        <w:t>with</w:t>
      </w:r>
      <w:r>
        <w:rPr>
          <w:color w:val="383636"/>
          <w:spacing w:val="-1"/>
          <w:w w:val="105"/>
        </w:rPr>
        <w:t> </w:t>
      </w:r>
      <w:r>
        <w:rPr>
          <w:color w:val="383636"/>
          <w:w w:val="105"/>
        </w:rPr>
        <w:t>irrelevant</w:t>
      </w:r>
      <w:r>
        <w:rPr>
          <w:color w:val="383636"/>
          <w:spacing w:val="-11"/>
          <w:w w:val="105"/>
        </w:rPr>
        <w:t> </w:t>
      </w:r>
      <w:r>
        <w:rPr>
          <w:color w:val="383636"/>
          <w:w w:val="105"/>
        </w:rPr>
        <w:t>citations.</w:t>
      </w:r>
    </w:p>
    <w:p>
      <w:pPr>
        <w:pStyle w:val="BodyText"/>
        <w:spacing w:before="5"/>
        <w:rPr>
          <w:sz w:val="33"/>
        </w:rPr>
      </w:pPr>
    </w:p>
    <w:p>
      <w:pPr>
        <w:spacing w:before="1"/>
        <w:ind w:left="1110" w:right="0" w:firstLine="0"/>
        <w:jc w:val="left"/>
        <w:rPr>
          <w:sz w:val="30"/>
        </w:rPr>
      </w:pPr>
      <w:r>
        <w:rPr>
          <w:color w:val="383636"/>
          <w:w w:val="120"/>
          <w:sz w:val="30"/>
        </w:rPr>
        <w:t>6.5.7</w:t>
      </w:r>
    </w:p>
    <w:p>
      <w:pPr>
        <w:pStyle w:val="BodyText"/>
        <w:spacing w:before="19"/>
        <w:ind w:left="1117"/>
        <w:jc w:val="both"/>
      </w:pPr>
      <w:r>
        <w:rPr>
          <w:color w:val="383636"/>
        </w:rPr>
        <w:t>I</w:t>
      </w:r>
      <w:r>
        <w:rPr>
          <w:color w:val="606062"/>
        </w:rPr>
        <w:t>MPOR</w:t>
      </w:r>
      <w:r>
        <w:rPr>
          <w:color w:val="383636"/>
        </w:rPr>
        <w:t>T</w:t>
      </w:r>
      <w:r>
        <w:rPr>
          <w:color w:val="505052"/>
        </w:rPr>
        <w:t>ANC</w:t>
      </w:r>
      <w:r>
        <w:rPr>
          <w:color w:val="383636"/>
        </w:rPr>
        <w:t>E</w:t>
      </w:r>
      <w:r>
        <w:rPr>
          <w:color w:val="383636"/>
          <w:spacing w:val="-20"/>
        </w:rPr>
        <w:t> </w:t>
      </w:r>
      <w:r>
        <w:rPr>
          <w:color w:val="383636"/>
        </w:rPr>
        <w:t>OF</w:t>
      </w:r>
      <w:r>
        <w:rPr>
          <w:color w:val="383636"/>
          <w:spacing w:val="2"/>
        </w:rPr>
        <w:t> </w:t>
      </w:r>
      <w:r>
        <w:rPr>
          <w:color w:val="383636"/>
        </w:rPr>
        <w:t>PINPOI</w:t>
      </w:r>
      <w:r>
        <w:rPr>
          <w:color w:val="505052"/>
        </w:rPr>
        <w:t>N</w:t>
      </w:r>
      <w:r>
        <w:rPr>
          <w:color w:val="383636"/>
        </w:rPr>
        <w:t>T</w:t>
      </w:r>
      <w:r>
        <w:rPr>
          <w:color w:val="383636"/>
          <w:spacing w:val="9"/>
        </w:rPr>
        <w:t> </w:t>
      </w:r>
      <w:r>
        <w:rPr>
          <w:color w:val="383636"/>
        </w:rPr>
        <w:t>CITATIO</w:t>
      </w:r>
      <w:r>
        <w:rPr>
          <w:color w:val="505052"/>
        </w:rPr>
        <w:t>N</w:t>
      </w:r>
      <w:r>
        <w:rPr>
          <w:color w:val="383636"/>
        </w:rPr>
        <w:t>S</w:t>
      </w:r>
    </w:p>
    <w:p>
      <w:pPr>
        <w:pStyle w:val="BodyText"/>
        <w:spacing w:line="220" w:lineRule="auto" w:before="157"/>
        <w:ind w:left="681" w:right="252" w:firstLine="411"/>
        <w:rPr>
          <w:i/>
          <w:sz w:val="25"/>
        </w:rPr>
      </w:pPr>
      <w:r>
        <w:rPr>
          <w:color w:val="383636"/>
          <w:w w:val="105"/>
        </w:rPr>
        <w:t>A</w:t>
      </w:r>
      <w:r>
        <w:rPr>
          <w:color w:val="383636"/>
          <w:spacing w:val="31"/>
          <w:w w:val="105"/>
        </w:rPr>
        <w:t> </w:t>
      </w:r>
      <w:r>
        <w:rPr>
          <w:color w:val="383636"/>
          <w:w w:val="105"/>
        </w:rPr>
        <w:t>pinpoint</w:t>
      </w:r>
      <w:r>
        <w:rPr>
          <w:color w:val="383636"/>
          <w:spacing w:val="23"/>
          <w:w w:val="105"/>
        </w:rPr>
        <w:t> </w:t>
      </w:r>
      <w:r>
        <w:rPr>
          <w:color w:val="383636"/>
          <w:w w:val="105"/>
        </w:rPr>
        <w:t>citation</w:t>
      </w:r>
      <w:r>
        <w:rPr>
          <w:color w:val="383636"/>
          <w:spacing w:val="19"/>
          <w:w w:val="105"/>
        </w:rPr>
        <w:t> </w:t>
      </w:r>
      <w:r>
        <w:rPr>
          <w:color w:val="383636"/>
          <w:w w:val="105"/>
        </w:rPr>
        <w:t>is</w:t>
      </w:r>
      <w:r>
        <w:rPr>
          <w:color w:val="383636"/>
          <w:spacing w:val="11"/>
          <w:w w:val="105"/>
        </w:rPr>
        <w:t> </w:t>
      </w:r>
      <w:r>
        <w:rPr>
          <w:color w:val="383636"/>
          <w:w w:val="105"/>
        </w:rPr>
        <w:t>a</w:t>
      </w:r>
      <w:r>
        <w:rPr>
          <w:color w:val="383636"/>
          <w:spacing w:val="9"/>
          <w:w w:val="105"/>
        </w:rPr>
        <w:t> </w:t>
      </w:r>
      <w:r>
        <w:rPr>
          <w:color w:val="383636"/>
          <w:w w:val="105"/>
        </w:rPr>
        <w:t>citation</w:t>
      </w:r>
      <w:r>
        <w:rPr>
          <w:color w:val="383636"/>
          <w:spacing w:val="26"/>
          <w:w w:val="105"/>
        </w:rPr>
        <w:t> </w:t>
      </w:r>
      <w:r>
        <w:rPr>
          <w:color w:val="383636"/>
          <w:w w:val="105"/>
        </w:rPr>
        <w:t>to</w:t>
      </w:r>
      <w:r>
        <w:rPr>
          <w:color w:val="383636"/>
          <w:spacing w:val="37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42"/>
          <w:w w:val="105"/>
        </w:rPr>
        <w:t> </w:t>
      </w:r>
      <w:r>
        <w:rPr>
          <w:color w:val="383636"/>
          <w:w w:val="105"/>
        </w:rPr>
        <w:t>specific</w:t>
      </w:r>
      <w:r>
        <w:rPr>
          <w:color w:val="383636"/>
          <w:spacing w:val="23"/>
          <w:w w:val="105"/>
        </w:rPr>
        <w:t> </w:t>
      </w:r>
      <w:r>
        <w:rPr>
          <w:color w:val="383636"/>
          <w:w w:val="105"/>
        </w:rPr>
        <w:t>page</w:t>
      </w:r>
      <w:r>
        <w:rPr>
          <w:color w:val="383636"/>
          <w:spacing w:val="7"/>
          <w:w w:val="105"/>
        </w:rPr>
        <w:t> </w:t>
      </w:r>
      <w:r>
        <w:rPr>
          <w:color w:val="383636"/>
          <w:w w:val="105"/>
        </w:rPr>
        <w:t>on</w:t>
      </w:r>
      <w:r>
        <w:rPr>
          <w:color w:val="383636"/>
          <w:spacing w:val="7"/>
          <w:w w:val="105"/>
        </w:rPr>
        <w:t> </w:t>
      </w:r>
      <w:r>
        <w:rPr>
          <w:color w:val="383636"/>
          <w:w w:val="105"/>
        </w:rPr>
        <w:t>which</w:t>
      </w:r>
      <w:r>
        <w:rPr>
          <w:color w:val="383636"/>
          <w:spacing w:val="15"/>
          <w:w w:val="105"/>
        </w:rPr>
        <w:t> </w:t>
      </w:r>
      <w:r>
        <w:rPr>
          <w:color w:val="383636"/>
          <w:w w:val="105"/>
        </w:rPr>
        <w:t>quoted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or</w:t>
      </w:r>
      <w:r>
        <w:rPr>
          <w:color w:val="383636"/>
          <w:spacing w:val="60"/>
          <w:w w:val="105"/>
        </w:rPr>
        <w:t> </w:t>
      </w:r>
      <w:r>
        <w:rPr>
          <w:color w:val="383636"/>
          <w:w w:val="105"/>
        </w:rPr>
        <w:t>cited</w:t>
      </w:r>
      <w:r>
        <w:rPr>
          <w:color w:val="383636"/>
          <w:spacing w:val="43"/>
          <w:w w:val="105"/>
        </w:rPr>
        <w:t> </w:t>
      </w:r>
      <w:r>
        <w:rPr>
          <w:color w:val="383636"/>
          <w:w w:val="105"/>
        </w:rPr>
        <w:t>language</w:t>
      </w:r>
      <w:r>
        <w:rPr>
          <w:color w:val="383636"/>
          <w:spacing w:val="19"/>
          <w:w w:val="105"/>
        </w:rPr>
        <w:t> </w:t>
      </w:r>
      <w:r>
        <w:rPr>
          <w:color w:val="383636"/>
          <w:w w:val="105"/>
        </w:rPr>
        <w:t>appeared.</w:t>
      </w:r>
      <w:r>
        <w:rPr>
          <w:color w:val="383636"/>
          <w:spacing w:val="26"/>
          <w:w w:val="105"/>
        </w:rPr>
        <w:t> </w:t>
      </w:r>
      <w:r>
        <w:rPr>
          <w:color w:val="383636"/>
          <w:w w:val="105"/>
        </w:rPr>
        <w:t>Some</w:t>
      </w:r>
      <w:r>
        <w:rPr>
          <w:color w:val="383636"/>
          <w:spacing w:val="25"/>
          <w:w w:val="105"/>
        </w:rPr>
        <w:t> </w:t>
      </w:r>
      <w:r>
        <w:rPr>
          <w:color w:val="383636"/>
          <w:w w:val="105"/>
        </w:rPr>
        <w:t>legal</w:t>
      </w:r>
      <w:r>
        <w:rPr>
          <w:color w:val="383636"/>
          <w:spacing w:val="33"/>
          <w:w w:val="105"/>
        </w:rPr>
        <w:t> </w:t>
      </w:r>
      <w:r>
        <w:rPr>
          <w:color w:val="383636"/>
          <w:w w:val="105"/>
        </w:rPr>
        <w:t>writers</w:t>
      </w:r>
      <w:r>
        <w:rPr>
          <w:color w:val="383636"/>
          <w:spacing w:val="34"/>
          <w:w w:val="105"/>
        </w:rPr>
        <w:t> </w:t>
      </w:r>
      <w:r>
        <w:rPr>
          <w:color w:val="383636"/>
          <w:w w:val="105"/>
        </w:rPr>
        <w:t>use</w:t>
      </w:r>
      <w:r>
        <w:rPr>
          <w:color w:val="383636"/>
          <w:spacing w:val="27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12"/>
          <w:w w:val="105"/>
        </w:rPr>
        <w:t> </w:t>
      </w:r>
      <w:r>
        <w:rPr>
          <w:color w:val="383636"/>
          <w:w w:val="105"/>
        </w:rPr>
        <w:t>phrases</w:t>
      </w:r>
      <w:r>
        <w:rPr>
          <w:color w:val="383636"/>
          <w:spacing w:val="44"/>
          <w:w w:val="105"/>
        </w:rPr>
        <w:t> </w:t>
      </w:r>
      <w:r>
        <w:rPr>
          <w:i/>
          <w:color w:val="383636"/>
          <w:w w:val="105"/>
          <w:sz w:val="25"/>
        </w:rPr>
        <w:t>pin</w:t>
      </w:r>
      <w:r>
        <w:rPr>
          <w:i/>
          <w:color w:val="383636"/>
          <w:spacing w:val="18"/>
          <w:w w:val="105"/>
          <w:sz w:val="25"/>
        </w:rPr>
        <w:t> </w:t>
      </w:r>
      <w:r>
        <w:rPr>
          <w:i/>
          <w:color w:val="383636"/>
          <w:w w:val="105"/>
          <w:sz w:val="25"/>
        </w:rPr>
        <w:t>cite,</w:t>
      </w:r>
    </w:p>
    <w:p>
      <w:pPr>
        <w:spacing w:after="0" w:line="220" w:lineRule="auto"/>
        <w:rPr>
          <w:sz w:val="25"/>
        </w:rPr>
        <w:sectPr>
          <w:headerReference w:type="even" r:id="rId174"/>
          <w:pgSz w:w="8990" w:h="13820"/>
          <w:pgMar w:header="0" w:footer="0" w:top="300" w:bottom="0" w:left="700" w:right="0"/>
        </w:sectPr>
      </w:pPr>
    </w:p>
    <w:p>
      <w:pPr>
        <w:spacing w:line="228" w:lineRule="auto" w:before="91"/>
        <w:ind w:left="113" w:right="200" w:hanging="10"/>
        <w:jc w:val="both"/>
        <w:rPr>
          <w:sz w:val="23"/>
        </w:rPr>
      </w:pPr>
      <w:r>
        <w:rPr>
          <w:rFonts w:ascii="Arial"/>
          <w:i/>
          <w:color w:val="363436"/>
          <w:w w:val="110"/>
          <w:sz w:val="20"/>
        </w:rPr>
        <w:t>pinpoint, </w:t>
      </w:r>
      <w:r>
        <w:rPr>
          <w:color w:val="363436"/>
          <w:w w:val="110"/>
          <w:sz w:val="23"/>
        </w:rPr>
        <w:t>or </w:t>
      </w:r>
      <w:r>
        <w:rPr>
          <w:rFonts w:ascii="Arial"/>
          <w:i/>
          <w:color w:val="363436"/>
          <w:w w:val="110"/>
          <w:sz w:val="20"/>
        </w:rPr>
        <w:t>jump cite </w:t>
      </w:r>
      <w:r>
        <w:rPr>
          <w:color w:val="363436"/>
          <w:w w:val="110"/>
          <w:sz w:val="23"/>
        </w:rPr>
        <w:t>to mean the same thing. You must include pinpoint</w:t>
      </w:r>
      <w:r>
        <w:rPr>
          <w:color w:val="363436"/>
          <w:spacing w:val="1"/>
          <w:w w:val="110"/>
          <w:sz w:val="23"/>
        </w:rPr>
        <w:t> </w:t>
      </w:r>
      <w:r>
        <w:rPr>
          <w:color w:val="363436"/>
          <w:w w:val="105"/>
          <w:sz w:val="23"/>
        </w:rPr>
        <w:t>citations</w:t>
      </w:r>
      <w:r>
        <w:rPr>
          <w:color w:val="363436"/>
          <w:spacing w:val="-3"/>
          <w:w w:val="105"/>
          <w:sz w:val="23"/>
        </w:rPr>
        <w:t> </w:t>
      </w:r>
      <w:r>
        <w:rPr>
          <w:i/>
          <w:color w:val="363436"/>
          <w:w w:val="105"/>
          <w:sz w:val="24"/>
        </w:rPr>
        <w:t>every</w:t>
      </w:r>
      <w:r>
        <w:rPr>
          <w:i/>
          <w:color w:val="363436"/>
          <w:spacing w:val="-16"/>
          <w:w w:val="105"/>
          <w:sz w:val="24"/>
        </w:rPr>
        <w:t> </w:t>
      </w:r>
      <w:r>
        <w:rPr>
          <w:i/>
          <w:color w:val="363436"/>
          <w:w w:val="105"/>
          <w:sz w:val="24"/>
        </w:rPr>
        <w:t>time</w:t>
      </w:r>
      <w:r>
        <w:rPr>
          <w:i/>
          <w:color w:val="363436"/>
          <w:spacing w:val="-23"/>
          <w:w w:val="105"/>
          <w:sz w:val="24"/>
        </w:rPr>
        <w:t> </w:t>
      </w:r>
      <w:r>
        <w:rPr>
          <w:color w:val="363436"/>
          <w:w w:val="105"/>
          <w:sz w:val="23"/>
        </w:rPr>
        <w:t>you</w:t>
      </w:r>
      <w:r>
        <w:rPr>
          <w:color w:val="363436"/>
          <w:spacing w:val="25"/>
          <w:w w:val="105"/>
          <w:sz w:val="23"/>
        </w:rPr>
        <w:t> </w:t>
      </w:r>
      <w:r>
        <w:rPr>
          <w:color w:val="363436"/>
          <w:w w:val="105"/>
          <w:sz w:val="23"/>
        </w:rPr>
        <w:t>cite</w:t>
      </w:r>
      <w:r>
        <w:rPr>
          <w:color w:val="363436"/>
          <w:spacing w:val="-7"/>
          <w:w w:val="105"/>
          <w:sz w:val="23"/>
        </w:rPr>
        <w:t> </w:t>
      </w:r>
      <w:r>
        <w:rPr>
          <w:color w:val="363436"/>
          <w:w w:val="105"/>
          <w:sz w:val="23"/>
        </w:rPr>
        <w:t>to</w:t>
      </w:r>
      <w:r>
        <w:rPr>
          <w:color w:val="363436"/>
          <w:spacing w:val="-4"/>
          <w:w w:val="105"/>
          <w:sz w:val="23"/>
        </w:rPr>
        <w:t> </w:t>
      </w:r>
      <w:r>
        <w:rPr>
          <w:color w:val="363436"/>
          <w:w w:val="105"/>
          <w:sz w:val="23"/>
        </w:rPr>
        <w:t>a</w:t>
      </w:r>
      <w:r>
        <w:rPr>
          <w:color w:val="363436"/>
          <w:spacing w:val="3"/>
          <w:w w:val="105"/>
          <w:sz w:val="23"/>
        </w:rPr>
        <w:t> </w:t>
      </w:r>
      <w:r>
        <w:rPr>
          <w:color w:val="363436"/>
          <w:w w:val="105"/>
          <w:sz w:val="23"/>
        </w:rPr>
        <w:t>case</w:t>
      </w:r>
      <w:r>
        <w:rPr>
          <w:color w:val="565456"/>
          <w:w w:val="105"/>
          <w:sz w:val="23"/>
        </w:rPr>
        <w:t>.</w:t>
      </w:r>
    </w:p>
    <w:p>
      <w:pPr>
        <w:pStyle w:val="BodyText"/>
        <w:spacing w:line="232" w:lineRule="auto" w:before="3"/>
        <w:ind w:left="111" w:right="179" w:firstLine="344"/>
        <w:jc w:val="both"/>
      </w:pPr>
      <w:r>
        <w:rPr>
          <w:color w:val="363436"/>
          <w:w w:val="110"/>
        </w:rPr>
        <w:t>Do not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convince yourself that you areciting the case only "generally"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and thus do not need to include a citation to the specific page. </w:t>
      </w:r>
      <w:r>
        <w:rPr>
          <w:color w:val="363436"/>
          <w:w w:val="110"/>
          <w:sz w:val="22"/>
        </w:rPr>
        <w:t>If </w:t>
      </w:r>
      <w:r>
        <w:rPr>
          <w:color w:val="363436"/>
          <w:w w:val="110"/>
        </w:rPr>
        <w:t>you want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your readers to be able to verify that the authorities you cite stand for the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propositions you  say they do, you must make it incredibly easy for them</w:t>
      </w:r>
      <w:r>
        <w:rPr>
          <w:color w:val="363436"/>
          <w:spacing w:val="1"/>
          <w:w w:val="110"/>
        </w:rPr>
        <w:t> </w:t>
      </w:r>
      <w:r>
        <w:rPr>
          <w:color w:val="363436"/>
          <w:spacing w:val="-1"/>
          <w:w w:val="115"/>
        </w:rPr>
        <w:t>to find the law that is the source of your argument. </w:t>
      </w:r>
      <w:r>
        <w:rPr>
          <w:color w:val="363436"/>
          <w:w w:val="115"/>
        </w:rPr>
        <w:t>Remember that the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0"/>
        </w:rPr>
        <w:t>clerk of the  judge who is writing the opinion will often be given the task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05"/>
        </w:rPr>
        <w:t>of verifying the truth of the assertions in the briefs. </w:t>
      </w:r>
      <w:r>
        <w:rPr>
          <w:color w:val="363436"/>
          <w:w w:val="105"/>
          <w:sz w:val="22"/>
        </w:rPr>
        <w:t>If </w:t>
      </w:r>
      <w:r>
        <w:rPr>
          <w:color w:val="363436"/>
          <w:w w:val="105"/>
        </w:rPr>
        <w:t>you do not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give pin­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10"/>
        </w:rPr>
        <w:t>point citations, you may force the clerk to wade through 30- or 40-page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opinions, trying to find the legal principle that you said was in  there. If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5"/>
        </w:rPr>
        <w:t>you cite a case for its main holding, find the page on which the court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0"/>
        </w:rPr>
        <w:t>articulated that holding: That is the pinpoint page</w:t>
      </w:r>
      <w:r>
        <w:rPr>
          <w:color w:val="565456"/>
          <w:w w:val="110"/>
        </w:rPr>
        <w:t>. </w:t>
      </w:r>
      <w:r>
        <w:rPr>
          <w:color w:val="363436"/>
          <w:w w:val="110"/>
        </w:rPr>
        <w:t>Even if you  are citing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to the first page of the opinion (a rare event, since many reporters fill the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first page with headnotes and other editorial information), you must still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5"/>
        </w:rPr>
        <w:t>provide</w:t>
      </w:r>
      <w:r>
        <w:rPr>
          <w:color w:val="363436"/>
          <w:spacing w:val="-18"/>
          <w:w w:val="115"/>
        </w:rPr>
        <w:t> </w:t>
      </w:r>
      <w:r>
        <w:rPr>
          <w:color w:val="363436"/>
          <w:w w:val="115"/>
        </w:rPr>
        <w:t>a</w:t>
      </w:r>
      <w:r>
        <w:rPr>
          <w:color w:val="363436"/>
          <w:spacing w:val="11"/>
          <w:w w:val="115"/>
        </w:rPr>
        <w:t> </w:t>
      </w:r>
      <w:r>
        <w:rPr>
          <w:color w:val="363436"/>
          <w:w w:val="115"/>
        </w:rPr>
        <w:t>pinpoint</w:t>
      </w:r>
      <w:r>
        <w:rPr>
          <w:color w:val="363436"/>
          <w:spacing w:val="-6"/>
          <w:w w:val="115"/>
        </w:rPr>
        <w:t> </w:t>
      </w:r>
      <w:r>
        <w:rPr>
          <w:color w:val="363436"/>
          <w:w w:val="115"/>
        </w:rPr>
        <w:t>citation</w:t>
      </w:r>
      <w:r>
        <w:rPr>
          <w:color w:val="565456"/>
          <w:w w:val="115"/>
        </w:rPr>
        <w:t>:</w:t>
      </w:r>
    </w:p>
    <w:p>
      <w:pPr>
        <w:pStyle w:val="BodyText"/>
        <w:spacing w:before="3"/>
        <w:rPr>
          <w:sz w:val="11"/>
        </w:rPr>
      </w:pPr>
    </w:p>
    <w:p>
      <w:pPr>
        <w:spacing w:before="94"/>
        <w:ind w:left="123" w:right="0" w:firstLine="0"/>
        <w:jc w:val="both"/>
        <w:rPr>
          <w:sz w:val="15"/>
        </w:rPr>
      </w:pPr>
      <w:r>
        <w:rPr>
          <w:color w:val="363436"/>
          <w:w w:val="105"/>
          <w:sz w:val="15"/>
          <w:u w:val="thick" w:color="363436"/>
        </w:rPr>
        <w:t>_/\</w:t>
      </w:r>
      <w:r>
        <w:rPr>
          <w:color w:val="363436"/>
          <w:spacing w:val="32"/>
          <w:w w:val="105"/>
          <w:sz w:val="15"/>
          <w:u w:val="thick" w:color="363436"/>
        </w:rPr>
        <w:t> </w:t>
      </w:r>
      <w:r>
        <w:rPr>
          <w:color w:val="363436"/>
          <w:w w:val="105"/>
          <w:sz w:val="15"/>
          <w:u w:val="thick" w:color="363436"/>
        </w:rPr>
        <w:t>GO</w:t>
      </w:r>
      <w:r>
        <w:rPr>
          <w:color w:val="565456"/>
          <w:w w:val="105"/>
          <w:sz w:val="15"/>
          <w:u w:val="thick" w:color="363436"/>
        </w:rPr>
        <w:t>OD</w:t>
      </w:r>
      <w:r>
        <w:rPr>
          <w:color w:val="565456"/>
          <w:spacing w:val="7"/>
          <w:w w:val="105"/>
          <w:sz w:val="15"/>
          <w:u w:val="thick" w:color="363436"/>
        </w:rPr>
        <w:t> </w:t>
      </w:r>
      <w:r>
        <w:rPr>
          <w:color w:val="676769"/>
          <w:w w:val="105"/>
          <w:sz w:val="15"/>
          <w:u w:val="thick" w:color="363436"/>
        </w:rPr>
        <w:t>EXAMPLE</w:t>
      </w:r>
    </w:p>
    <w:p>
      <w:pPr>
        <w:spacing w:before="52"/>
        <w:ind w:left="446" w:right="0" w:firstLine="0"/>
        <w:jc w:val="both"/>
        <w:rPr>
          <w:sz w:val="20"/>
        </w:rPr>
      </w:pPr>
      <w:r>
        <w:rPr>
          <w:color w:val="363436"/>
          <w:w w:val="105"/>
          <w:sz w:val="25"/>
          <w:u w:val="thick" w:color="363436"/>
        </w:rPr>
        <w:t>McGuffin</w:t>
      </w:r>
      <w:r>
        <w:rPr>
          <w:color w:val="363436"/>
          <w:spacing w:val="12"/>
          <w:w w:val="105"/>
          <w:sz w:val="25"/>
        </w:rPr>
        <w:t> </w:t>
      </w:r>
      <w:r>
        <w:rPr>
          <w:color w:val="363436"/>
          <w:w w:val="105"/>
          <w:sz w:val="20"/>
          <w:u w:val="thick" w:color="363436"/>
        </w:rPr>
        <w:t>v,</w:t>
      </w:r>
      <w:r>
        <w:rPr>
          <w:color w:val="363436"/>
          <w:spacing w:val="30"/>
          <w:w w:val="105"/>
          <w:sz w:val="20"/>
          <w:u w:val="thick" w:color="363436"/>
        </w:rPr>
        <w:t> </w:t>
      </w:r>
      <w:r>
        <w:rPr>
          <w:color w:val="363436"/>
          <w:w w:val="105"/>
          <w:sz w:val="25"/>
          <w:u w:val="thick" w:color="363436"/>
        </w:rPr>
        <w:t>Restrepo.</w:t>
      </w:r>
      <w:r>
        <w:rPr>
          <w:color w:val="363436"/>
          <w:spacing w:val="-2"/>
          <w:w w:val="105"/>
          <w:sz w:val="25"/>
        </w:rPr>
        <w:t> </w:t>
      </w:r>
      <w:r>
        <w:rPr>
          <w:color w:val="363436"/>
          <w:w w:val="105"/>
          <w:sz w:val="20"/>
        </w:rPr>
        <w:t>101</w:t>
      </w:r>
      <w:r>
        <w:rPr>
          <w:color w:val="363436"/>
          <w:spacing w:val="47"/>
          <w:w w:val="105"/>
          <w:sz w:val="20"/>
        </w:rPr>
        <w:t> </w:t>
      </w:r>
      <w:r>
        <w:rPr>
          <w:color w:val="363436"/>
          <w:w w:val="105"/>
          <w:sz w:val="20"/>
        </w:rPr>
        <w:t>F.3d</w:t>
      </w:r>
      <w:r>
        <w:rPr>
          <w:color w:val="363436"/>
          <w:spacing w:val="6"/>
          <w:w w:val="105"/>
          <w:sz w:val="20"/>
        </w:rPr>
        <w:t> </w:t>
      </w:r>
      <w:r>
        <w:rPr>
          <w:color w:val="363436"/>
          <w:w w:val="105"/>
          <w:sz w:val="20"/>
        </w:rPr>
        <w:t>115,</w:t>
      </w:r>
      <w:r>
        <w:rPr>
          <w:color w:val="363436"/>
          <w:spacing w:val="-7"/>
          <w:w w:val="105"/>
          <w:sz w:val="20"/>
        </w:rPr>
        <w:t> </w:t>
      </w:r>
      <w:r>
        <w:rPr>
          <w:color w:val="363436"/>
          <w:w w:val="105"/>
          <w:sz w:val="20"/>
        </w:rPr>
        <w:t>115</w:t>
      </w:r>
      <w:r>
        <w:rPr>
          <w:color w:val="363436"/>
          <w:spacing w:val="-5"/>
          <w:w w:val="105"/>
          <w:sz w:val="20"/>
        </w:rPr>
        <w:t> </w:t>
      </w:r>
      <w:r>
        <w:rPr>
          <w:color w:val="363436"/>
          <w:w w:val="110"/>
          <w:sz w:val="20"/>
        </w:rPr>
        <w:t>(6th</w:t>
      </w:r>
      <w:r>
        <w:rPr>
          <w:color w:val="363436"/>
          <w:spacing w:val="-9"/>
          <w:w w:val="110"/>
          <w:sz w:val="20"/>
        </w:rPr>
        <w:t> </w:t>
      </w:r>
      <w:r>
        <w:rPr>
          <w:color w:val="363436"/>
          <w:w w:val="105"/>
          <w:sz w:val="20"/>
        </w:rPr>
        <w:t>Cir.</w:t>
      </w:r>
      <w:r>
        <w:rPr>
          <w:color w:val="363436"/>
          <w:spacing w:val="-7"/>
          <w:w w:val="105"/>
          <w:sz w:val="20"/>
        </w:rPr>
        <w:t> </w:t>
      </w:r>
      <w:r>
        <w:rPr>
          <w:color w:val="363436"/>
          <w:w w:val="105"/>
          <w:sz w:val="20"/>
        </w:rPr>
        <w:t>2015).</w:t>
      </w:r>
    </w:p>
    <w:p>
      <w:pPr>
        <w:pStyle w:val="BodyText"/>
        <w:spacing w:before="126"/>
        <w:ind w:left="113" w:right="191" w:firstLine="1"/>
        <w:jc w:val="both"/>
      </w:pPr>
      <w:r>
        <w:rPr>
          <w:color w:val="363436"/>
          <w:w w:val="110"/>
        </w:rPr>
        <w:t>Think of the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judges and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their clerks whenever you are making a citation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5"/>
        </w:rPr>
        <w:t>decision. Whenever you can make it easier for them to understand your</w:t>
      </w:r>
      <w:r>
        <w:rPr>
          <w:color w:val="363436"/>
          <w:spacing w:val="-64"/>
          <w:w w:val="115"/>
        </w:rPr>
        <w:t> </w:t>
      </w:r>
      <w:r>
        <w:rPr>
          <w:color w:val="363436"/>
          <w:w w:val="115"/>
        </w:rPr>
        <w:t>argument by putting a little more information into the brief, you should</w:t>
      </w:r>
      <w:r>
        <w:rPr>
          <w:color w:val="363436"/>
          <w:spacing w:val="-64"/>
          <w:w w:val="115"/>
        </w:rPr>
        <w:t> </w:t>
      </w:r>
      <w:r>
        <w:rPr>
          <w:color w:val="363436"/>
          <w:w w:val="115"/>
        </w:rPr>
        <w:t>doso.</w:t>
      </w:r>
    </w:p>
    <w:p>
      <w:pPr>
        <w:pStyle w:val="BodyText"/>
        <w:rPr>
          <w:sz w:val="26"/>
        </w:rPr>
      </w:pPr>
    </w:p>
    <w:p>
      <w:pPr>
        <w:spacing w:before="207"/>
        <w:ind w:left="676" w:right="0" w:firstLine="0"/>
        <w:jc w:val="left"/>
        <w:rPr>
          <w:sz w:val="34"/>
        </w:rPr>
      </w:pPr>
      <w:r>
        <w:rPr>
          <w:color w:val="565456"/>
          <w:w w:val="110"/>
          <w:sz w:val="34"/>
        </w:rPr>
        <w:t>6.</w:t>
      </w:r>
      <w:r>
        <w:rPr>
          <w:color w:val="7B7C7E"/>
          <w:w w:val="110"/>
          <w:sz w:val="34"/>
        </w:rPr>
        <w:t>6</w:t>
      </w:r>
    </w:p>
    <w:p>
      <w:pPr>
        <w:spacing w:before="51"/>
        <w:ind w:left="683" w:right="0" w:firstLine="0"/>
        <w:jc w:val="left"/>
        <w:rPr>
          <w:sz w:val="28"/>
        </w:rPr>
      </w:pPr>
      <w:r>
        <w:rPr>
          <w:color w:val="363436"/>
          <w:sz w:val="28"/>
        </w:rPr>
        <w:t>S</w:t>
      </w:r>
      <w:r>
        <w:rPr>
          <w:color w:val="676769"/>
          <w:sz w:val="28"/>
        </w:rPr>
        <w:t>UMMARY</w:t>
      </w:r>
    </w:p>
    <w:p>
      <w:pPr>
        <w:pStyle w:val="BodyText"/>
        <w:spacing w:line="232" w:lineRule="auto" w:before="251"/>
        <w:ind w:left="123" w:right="127" w:firstLine="541"/>
        <w:jc w:val="both"/>
      </w:pPr>
      <w:r>
        <w:rPr>
          <w:color w:val="363436"/>
          <w:w w:val="110"/>
        </w:rPr>
        <w:t>The practical brief writer has a lot to remember when trying to use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05"/>
        </w:rPr>
        <w:t>case authorities effectively</w:t>
      </w:r>
      <w:r>
        <w:rPr>
          <w:color w:val="565456"/>
          <w:w w:val="105"/>
        </w:rPr>
        <w:t>. </w:t>
      </w:r>
      <w:r>
        <w:rPr>
          <w:color w:val="363436"/>
          <w:w w:val="105"/>
        </w:rPr>
        <w:t>Remembering the needsof the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judges and clerks</w:t>
      </w:r>
      <w:r>
        <w:rPr>
          <w:color w:val="363436"/>
          <w:spacing w:val="1"/>
          <w:w w:val="105"/>
        </w:rPr>
        <w:t> </w:t>
      </w:r>
      <w:r>
        <w:rPr>
          <w:rFonts w:ascii="Arial" w:hAnsi="Arial"/>
          <w:color w:val="363436"/>
          <w:w w:val="110"/>
          <w:sz w:val="22"/>
        </w:rPr>
        <w:t>who </w:t>
      </w:r>
      <w:r>
        <w:rPr>
          <w:color w:val="363436"/>
          <w:w w:val="110"/>
        </w:rPr>
        <w:t>must use your brief will help you (1) to include all of the authorities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that are necessary; (2) to  give enough information about those authori­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ties, but  not  too  much; (3) to  present  that information accurately and  in</w:t>
      </w:r>
      <w:r>
        <w:rPr>
          <w:color w:val="363436"/>
          <w:spacing w:val="-61"/>
          <w:w w:val="110"/>
        </w:rPr>
        <w:t> </w:t>
      </w:r>
      <w:r>
        <w:rPr>
          <w:color w:val="363436"/>
          <w:w w:val="110"/>
        </w:rPr>
        <w:t>a helpful way; and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(4) to cite that information in a way that provides suf­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ficient</w:t>
      </w:r>
      <w:r>
        <w:rPr>
          <w:color w:val="363436"/>
          <w:spacing w:val="-5"/>
          <w:w w:val="110"/>
        </w:rPr>
        <w:t> </w:t>
      </w:r>
      <w:r>
        <w:rPr>
          <w:color w:val="363436"/>
          <w:w w:val="110"/>
        </w:rPr>
        <w:t>information</w:t>
      </w:r>
      <w:r>
        <w:rPr>
          <w:color w:val="363436"/>
          <w:spacing w:val="19"/>
          <w:w w:val="110"/>
        </w:rPr>
        <w:t> </w:t>
      </w:r>
      <w:r>
        <w:rPr>
          <w:color w:val="363436"/>
          <w:w w:val="110"/>
        </w:rPr>
        <w:t>without</w:t>
      </w:r>
      <w:r>
        <w:rPr>
          <w:color w:val="363436"/>
          <w:spacing w:val="17"/>
          <w:w w:val="110"/>
        </w:rPr>
        <w:t> </w:t>
      </w:r>
      <w:r>
        <w:rPr>
          <w:color w:val="363436"/>
          <w:w w:val="110"/>
        </w:rPr>
        <w:t>needlessly</w:t>
      </w:r>
      <w:r>
        <w:rPr>
          <w:color w:val="363436"/>
          <w:spacing w:val="6"/>
          <w:w w:val="110"/>
        </w:rPr>
        <w:t> </w:t>
      </w:r>
      <w:r>
        <w:rPr>
          <w:color w:val="363436"/>
          <w:w w:val="110"/>
        </w:rPr>
        <w:t>intruding</w:t>
      </w:r>
      <w:r>
        <w:rPr>
          <w:color w:val="363436"/>
          <w:spacing w:val="-7"/>
          <w:w w:val="110"/>
        </w:rPr>
        <w:t> </w:t>
      </w:r>
      <w:r>
        <w:rPr>
          <w:color w:val="363436"/>
          <w:w w:val="110"/>
        </w:rPr>
        <w:t>on</w:t>
      </w:r>
      <w:r>
        <w:rPr>
          <w:color w:val="363436"/>
          <w:spacing w:val="24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15"/>
          <w:w w:val="110"/>
        </w:rPr>
        <w:t> </w:t>
      </w:r>
      <w:r>
        <w:rPr>
          <w:color w:val="363436"/>
          <w:w w:val="110"/>
        </w:rPr>
        <w:t>text.</w:t>
      </w:r>
    </w:p>
    <w:p>
      <w:pPr>
        <w:spacing w:after="0" w:line="232" w:lineRule="auto"/>
        <w:jc w:val="both"/>
        <w:sectPr>
          <w:headerReference w:type="default" r:id="rId175"/>
          <w:pgSz w:w="9540" w:h="13780"/>
          <w:pgMar w:header="607" w:footer="0" w:top="1180" w:bottom="280" w:left="360" w:right="1320"/>
        </w:sectPr>
      </w:pPr>
    </w:p>
    <w:p>
      <w:pPr>
        <w:pStyle w:val="BodyText"/>
        <w:spacing w:before="3"/>
        <w:rPr>
          <w:sz w:val="51"/>
        </w:rPr>
      </w:pPr>
    </w:p>
    <w:p>
      <w:pPr>
        <w:spacing w:line="385" w:lineRule="exact" w:before="0"/>
        <w:ind w:left="188" w:right="0" w:firstLine="0"/>
        <w:jc w:val="left"/>
        <w:rPr>
          <w:rFonts w:ascii="Arial"/>
          <w:b/>
          <w:sz w:val="18"/>
        </w:rPr>
      </w:pPr>
      <w:r>
        <w:rPr>
          <w:color w:val="383638"/>
          <w:spacing w:val="-69"/>
          <w:w w:val="91"/>
          <w:position w:val="-4"/>
          <w:sz w:val="38"/>
        </w:rPr>
        <w:t>.</w:t>
      </w:r>
      <w:r>
        <w:rPr>
          <w:rFonts w:ascii="Arial"/>
          <w:b/>
          <w:color w:val="383638"/>
          <w:spacing w:val="-29"/>
          <w:w w:val="74"/>
          <w:sz w:val="18"/>
        </w:rPr>
        <w:t>C</w:t>
      </w:r>
      <w:r>
        <w:rPr>
          <w:color w:val="383638"/>
          <w:spacing w:val="-59"/>
          <w:w w:val="91"/>
          <w:position w:val="-4"/>
          <w:sz w:val="38"/>
        </w:rPr>
        <w:t>,</w:t>
      </w:r>
      <w:r>
        <w:rPr>
          <w:rFonts w:ascii="Arial"/>
          <w:b/>
          <w:color w:val="383638"/>
          <w:spacing w:val="-1"/>
          <w:w w:val="74"/>
          <w:sz w:val="18"/>
        </w:rPr>
        <w:t>:</w:t>
      </w:r>
    </w:p>
    <w:p>
      <w:pPr>
        <w:spacing w:line="661" w:lineRule="exact" w:before="0"/>
        <w:ind w:left="162" w:right="0" w:firstLine="0"/>
        <w:jc w:val="left"/>
        <w:rPr>
          <w:sz w:val="53"/>
        </w:rPr>
      </w:pPr>
      <w:r>
        <w:rPr/>
        <w:pict>
          <v:shape style="position:absolute;margin-left:32.096432pt;margin-top:23.162743pt;width:4.2pt;height:26.15pt;mso-position-horizontal-relative:page;mso-position-vertical-relative:paragraph;z-index:-21600768" type="#_x0000_t202" id="docshape281" filled="false" stroked="false">
            <v:textbox inset="0,0,0,0">
              <w:txbxContent>
                <w:p>
                  <w:pPr>
                    <w:spacing w:line="522" w:lineRule="exact" w:before="0"/>
                    <w:ind w:left="0" w:right="0" w:firstLine="0"/>
                    <w:jc w:val="left"/>
                    <w:rPr>
                      <w:sz w:val="47"/>
                    </w:rPr>
                  </w:pPr>
                  <w:r>
                    <w:rPr>
                      <w:color w:val="383638"/>
                      <w:w w:val="64"/>
                      <w:sz w:val="4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383638"/>
          <w:spacing w:val="-35"/>
          <w:w w:val="80"/>
          <w:position w:val="16"/>
          <w:sz w:val="47"/>
        </w:rPr>
        <w:t>l</w:t>
      </w:r>
      <w:r>
        <w:rPr>
          <w:color w:val="383638"/>
          <w:spacing w:val="-35"/>
          <w:w w:val="80"/>
          <w:sz w:val="53"/>
        </w:rPr>
        <w:t>..</w:t>
      </w:r>
    </w:p>
    <w:p>
      <w:pPr>
        <w:spacing w:line="127" w:lineRule="exact" w:before="236"/>
        <w:ind w:left="223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383638"/>
          <w:sz w:val="14"/>
        </w:rPr>
        <w:t>ftl</w:t>
      </w:r>
    </w:p>
    <w:p>
      <w:pPr>
        <w:spacing w:line="357" w:lineRule="exact" w:before="0"/>
        <w:ind w:left="164" w:right="0" w:firstLine="0"/>
        <w:jc w:val="left"/>
        <w:rPr>
          <w:sz w:val="34"/>
        </w:rPr>
      </w:pPr>
      <w:r>
        <w:rPr>
          <w:color w:val="383638"/>
          <w:w w:val="93"/>
          <w:sz w:val="34"/>
        </w:rPr>
        <w:t>0</w:t>
      </w:r>
    </w:p>
    <w:p>
      <w:pPr>
        <w:spacing w:line="240" w:lineRule="auto" w:before="0"/>
        <w:rPr>
          <w:sz w:val="48"/>
        </w:rPr>
      </w:pPr>
      <w:r>
        <w:rPr/>
        <w:br w:type="column"/>
      </w:r>
      <w:r>
        <w:rPr>
          <w:sz w:val="48"/>
        </w:rPr>
      </w:r>
    </w:p>
    <w:p>
      <w:pPr>
        <w:pStyle w:val="BodyText"/>
        <w:rPr>
          <w:sz w:val="48"/>
        </w:rPr>
      </w:pPr>
    </w:p>
    <w:p>
      <w:pPr>
        <w:spacing w:before="343"/>
        <w:ind w:left="178" w:right="0" w:firstLine="0"/>
        <w:jc w:val="left"/>
        <w:rPr>
          <w:b/>
          <w:sz w:val="44"/>
        </w:rPr>
      </w:pPr>
      <w:r>
        <w:rPr>
          <w:rFonts w:ascii="Arial"/>
          <w:color w:val="383638"/>
          <w:w w:val="105"/>
          <w:sz w:val="38"/>
        </w:rPr>
        <w:t>SEE</w:t>
      </w:r>
      <w:r>
        <w:rPr>
          <w:rFonts w:ascii="Arial"/>
          <w:color w:val="565657"/>
          <w:w w:val="105"/>
          <w:sz w:val="38"/>
        </w:rPr>
        <w:t>IN</w:t>
      </w:r>
      <w:r>
        <w:rPr>
          <w:rFonts w:ascii="Arial"/>
          <w:color w:val="383638"/>
          <w:w w:val="105"/>
          <w:sz w:val="38"/>
        </w:rPr>
        <w:t>G</w:t>
      </w:r>
      <w:r>
        <w:rPr>
          <w:rFonts w:ascii="Arial"/>
          <w:color w:val="383638"/>
          <w:spacing w:val="6"/>
          <w:w w:val="105"/>
          <w:sz w:val="38"/>
        </w:rPr>
        <w:t> </w:t>
      </w:r>
      <w:r>
        <w:rPr>
          <w:rFonts w:ascii="Arial"/>
          <w:b/>
          <w:color w:val="383638"/>
          <w:w w:val="105"/>
          <w:sz w:val="41"/>
        </w:rPr>
        <w:t>WHAT</w:t>
      </w:r>
      <w:r>
        <w:rPr>
          <w:rFonts w:ascii="Arial"/>
          <w:b/>
          <w:color w:val="383638"/>
          <w:spacing w:val="-17"/>
          <w:w w:val="105"/>
          <w:sz w:val="41"/>
        </w:rPr>
        <w:t> </w:t>
      </w:r>
      <w:r>
        <w:rPr>
          <w:rFonts w:ascii="Arial"/>
          <w:b/>
          <w:color w:val="383638"/>
          <w:w w:val="105"/>
          <w:sz w:val="41"/>
        </w:rPr>
        <w:t>YOU</w:t>
      </w:r>
      <w:r>
        <w:rPr>
          <w:rFonts w:ascii="Arial"/>
          <w:b/>
          <w:color w:val="383638"/>
          <w:spacing w:val="-14"/>
          <w:w w:val="105"/>
          <w:sz w:val="41"/>
        </w:rPr>
        <w:t> </w:t>
      </w:r>
      <w:r>
        <w:rPr>
          <w:b/>
          <w:color w:val="383638"/>
          <w:w w:val="105"/>
          <w:sz w:val="44"/>
        </w:rPr>
        <w:t>HAVE</w:t>
      </w:r>
    </w:p>
    <w:p>
      <w:pPr>
        <w:pStyle w:val="Heading5"/>
        <w:spacing w:before="40"/>
        <w:ind w:left="162"/>
      </w:pPr>
      <w:r>
        <w:rPr>
          <w:color w:val="383638"/>
          <w:w w:val="110"/>
        </w:rPr>
        <w:t>W</w:t>
      </w:r>
      <w:r>
        <w:rPr>
          <w:color w:val="565657"/>
          <w:w w:val="110"/>
        </w:rPr>
        <w:t>R</w:t>
      </w:r>
      <w:r>
        <w:rPr>
          <w:color w:val="383638"/>
          <w:w w:val="110"/>
        </w:rPr>
        <w:t>ITTEN</w:t>
      </w:r>
      <w:r>
        <w:rPr>
          <w:color w:val="BCBFC1"/>
          <w:w w:val="110"/>
        </w:rPr>
        <w:t>.</w:t>
      </w:r>
    </w:p>
    <w:p>
      <w:pPr>
        <w:pStyle w:val="BodyText"/>
        <w:spacing w:before="8"/>
        <w:rPr>
          <w:rFonts w:ascii="Arial"/>
          <w:sz w:val="57"/>
        </w:rPr>
      </w:pPr>
    </w:p>
    <w:p>
      <w:pPr>
        <w:pStyle w:val="ListParagraph"/>
        <w:numPr>
          <w:ilvl w:val="1"/>
          <w:numId w:val="64"/>
        </w:numPr>
        <w:tabs>
          <w:tab w:pos="675" w:val="left" w:leader="none"/>
        </w:tabs>
        <w:spacing w:line="251" w:lineRule="exact" w:before="0" w:after="0"/>
        <w:ind w:left="674" w:right="0" w:hanging="487"/>
        <w:jc w:val="left"/>
        <w:rPr>
          <w:b/>
          <w:color w:val="383638"/>
          <w:sz w:val="22"/>
        </w:rPr>
      </w:pPr>
      <w:r>
        <w:rPr>
          <w:color w:val="383638"/>
          <w:sz w:val="22"/>
        </w:rPr>
        <w:t>Focusing</w:t>
      </w:r>
      <w:r>
        <w:rPr>
          <w:color w:val="383638"/>
          <w:spacing w:val="-6"/>
          <w:sz w:val="22"/>
        </w:rPr>
        <w:t> </w:t>
      </w:r>
      <w:r>
        <w:rPr>
          <w:color w:val="383638"/>
          <w:sz w:val="22"/>
        </w:rPr>
        <w:t>Your</w:t>
      </w:r>
      <w:r>
        <w:rPr>
          <w:color w:val="383638"/>
          <w:spacing w:val="-4"/>
          <w:sz w:val="22"/>
        </w:rPr>
        <w:t> </w:t>
      </w:r>
      <w:r>
        <w:rPr>
          <w:color w:val="383638"/>
          <w:sz w:val="22"/>
        </w:rPr>
        <w:t>Revision:</w:t>
      </w:r>
      <w:r>
        <w:rPr>
          <w:color w:val="383638"/>
          <w:spacing w:val="8"/>
          <w:sz w:val="22"/>
        </w:rPr>
        <w:t> </w:t>
      </w:r>
      <w:r>
        <w:rPr>
          <w:color w:val="383638"/>
          <w:sz w:val="22"/>
        </w:rPr>
        <w:t>Using</w:t>
      </w:r>
      <w:r>
        <w:rPr>
          <w:color w:val="383638"/>
          <w:spacing w:val="5"/>
          <w:sz w:val="22"/>
        </w:rPr>
        <w:t> </w:t>
      </w:r>
      <w:r>
        <w:rPr>
          <w:color w:val="383638"/>
          <w:sz w:val="20"/>
        </w:rPr>
        <w:t>the</w:t>
      </w:r>
      <w:r>
        <w:rPr>
          <w:color w:val="383638"/>
          <w:spacing w:val="5"/>
          <w:sz w:val="20"/>
        </w:rPr>
        <w:t> </w:t>
      </w:r>
      <w:r>
        <w:rPr>
          <w:color w:val="383638"/>
          <w:sz w:val="22"/>
        </w:rPr>
        <w:t>Self-Graded</w:t>
      </w:r>
      <w:r>
        <w:rPr>
          <w:color w:val="383638"/>
          <w:spacing w:val="32"/>
          <w:sz w:val="22"/>
        </w:rPr>
        <w:t> </w:t>
      </w:r>
      <w:r>
        <w:rPr>
          <w:color w:val="383638"/>
          <w:sz w:val="22"/>
        </w:rPr>
        <w:t>Draft</w:t>
      </w:r>
    </w:p>
    <w:p>
      <w:pPr>
        <w:pStyle w:val="ListParagraph"/>
        <w:numPr>
          <w:ilvl w:val="2"/>
          <w:numId w:val="64"/>
        </w:numPr>
        <w:tabs>
          <w:tab w:pos="1379" w:val="left" w:leader="none"/>
          <w:tab w:pos="1380" w:val="left" w:leader="none"/>
        </w:tabs>
        <w:spacing w:line="229" w:lineRule="exact" w:before="0" w:after="0"/>
        <w:ind w:left="1379" w:right="0" w:hanging="701"/>
        <w:jc w:val="left"/>
        <w:rPr>
          <w:rFonts w:ascii="Arial"/>
          <w:b/>
          <w:color w:val="383638"/>
          <w:sz w:val="20"/>
        </w:rPr>
      </w:pPr>
      <w:r>
        <w:rPr>
          <w:color w:val="383638"/>
          <w:w w:val="105"/>
          <w:sz w:val="20"/>
        </w:rPr>
        <w:t>Background</w:t>
      </w:r>
    </w:p>
    <w:p>
      <w:pPr>
        <w:pStyle w:val="ListParagraph"/>
        <w:numPr>
          <w:ilvl w:val="2"/>
          <w:numId w:val="64"/>
        </w:numPr>
        <w:tabs>
          <w:tab w:pos="1366" w:val="left" w:leader="none"/>
        </w:tabs>
        <w:spacing w:line="232" w:lineRule="exact" w:before="2" w:after="0"/>
        <w:ind w:left="1365" w:right="0" w:hanging="686"/>
        <w:jc w:val="left"/>
        <w:rPr>
          <w:b/>
          <w:color w:val="383638"/>
          <w:sz w:val="21"/>
        </w:rPr>
      </w:pPr>
      <w:r>
        <w:rPr>
          <w:color w:val="383638"/>
          <w:w w:val="110"/>
          <w:sz w:val="20"/>
        </w:rPr>
        <w:t>Completing</w:t>
      </w:r>
      <w:r>
        <w:rPr>
          <w:color w:val="383638"/>
          <w:spacing w:val="-2"/>
          <w:w w:val="110"/>
          <w:sz w:val="20"/>
        </w:rPr>
        <w:t> </w:t>
      </w:r>
      <w:r>
        <w:rPr>
          <w:color w:val="383638"/>
          <w:w w:val="110"/>
          <w:sz w:val="20"/>
        </w:rPr>
        <w:t>the</w:t>
      </w:r>
      <w:r>
        <w:rPr>
          <w:color w:val="383638"/>
          <w:spacing w:val="-2"/>
          <w:w w:val="110"/>
          <w:sz w:val="20"/>
        </w:rPr>
        <w:t> </w:t>
      </w:r>
      <w:r>
        <w:rPr>
          <w:color w:val="383638"/>
          <w:w w:val="110"/>
          <w:sz w:val="20"/>
        </w:rPr>
        <w:t>Self-Grading</w:t>
      </w:r>
    </w:p>
    <w:p>
      <w:pPr>
        <w:pStyle w:val="ListParagraph"/>
        <w:numPr>
          <w:ilvl w:val="1"/>
          <w:numId w:val="64"/>
        </w:numPr>
        <w:tabs>
          <w:tab w:pos="680" w:val="left" w:leader="none"/>
        </w:tabs>
        <w:spacing w:line="255" w:lineRule="exact" w:before="0" w:after="0"/>
        <w:ind w:left="679" w:right="0" w:hanging="500"/>
        <w:jc w:val="left"/>
        <w:rPr>
          <w:b/>
          <w:i/>
          <w:color w:val="383638"/>
          <w:sz w:val="21"/>
        </w:rPr>
      </w:pPr>
      <w:r>
        <w:rPr>
          <w:color w:val="383638"/>
          <w:sz w:val="22"/>
        </w:rPr>
        <w:t>Common</w:t>
      </w:r>
      <w:r>
        <w:rPr>
          <w:color w:val="383638"/>
          <w:spacing w:val="21"/>
          <w:sz w:val="22"/>
        </w:rPr>
        <w:t> </w:t>
      </w:r>
      <w:r>
        <w:rPr>
          <w:color w:val="383638"/>
          <w:sz w:val="22"/>
        </w:rPr>
        <w:t>Self-Grading</w:t>
      </w:r>
      <w:r>
        <w:rPr>
          <w:color w:val="383638"/>
          <w:spacing w:val="10"/>
          <w:sz w:val="22"/>
        </w:rPr>
        <w:t> </w:t>
      </w:r>
      <w:r>
        <w:rPr>
          <w:color w:val="383638"/>
          <w:sz w:val="22"/>
        </w:rPr>
        <w:t>Tasks</w:t>
      </w:r>
      <w:r>
        <w:rPr>
          <w:color w:val="383638"/>
          <w:spacing w:val="8"/>
          <w:sz w:val="22"/>
        </w:rPr>
        <w:t> </w:t>
      </w:r>
      <w:r>
        <w:rPr>
          <w:color w:val="383638"/>
          <w:sz w:val="22"/>
        </w:rPr>
        <w:t>and</w:t>
      </w:r>
      <w:r>
        <w:rPr>
          <w:color w:val="383638"/>
          <w:spacing w:val="90"/>
          <w:sz w:val="22"/>
        </w:rPr>
        <w:t> </w:t>
      </w:r>
      <w:r>
        <w:rPr>
          <w:color w:val="383638"/>
          <w:sz w:val="22"/>
        </w:rPr>
        <w:t>Explanations</w:t>
      </w:r>
    </w:p>
    <w:p>
      <w:pPr>
        <w:pStyle w:val="ListParagraph"/>
        <w:numPr>
          <w:ilvl w:val="2"/>
          <w:numId w:val="64"/>
        </w:numPr>
        <w:tabs>
          <w:tab w:pos="1378" w:val="left" w:leader="none"/>
        </w:tabs>
        <w:spacing w:line="240" w:lineRule="auto" w:before="3" w:after="0"/>
        <w:ind w:left="1377" w:right="0" w:hanging="689"/>
        <w:jc w:val="left"/>
        <w:rPr>
          <w:rFonts w:ascii="Arial"/>
          <w:b/>
          <w:color w:val="383638"/>
          <w:sz w:val="20"/>
        </w:rPr>
      </w:pPr>
      <w:r>
        <w:rPr>
          <w:color w:val="383638"/>
          <w:w w:val="105"/>
          <w:sz w:val="20"/>
        </w:rPr>
        <w:t>Identify</w:t>
      </w:r>
      <w:r>
        <w:rPr>
          <w:color w:val="383638"/>
          <w:spacing w:val="1"/>
          <w:w w:val="105"/>
          <w:sz w:val="20"/>
        </w:rPr>
        <w:t> </w:t>
      </w:r>
      <w:r>
        <w:rPr>
          <w:color w:val="383638"/>
          <w:w w:val="105"/>
          <w:sz w:val="20"/>
        </w:rPr>
        <w:t>the</w:t>
      </w:r>
      <w:r>
        <w:rPr>
          <w:color w:val="383638"/>
          <w:spacing w:val="28"/>
          <w:w w:val="105"/>
          <w:sz w:val="20"/>
        </w:rPr>
        <w:t> </w:t>
      </w:r>
      <w:r>
        <w:rPr>
          <w:color w:val="383638"/>
          <w:w w:val="105"/>
          <w:sz w:val="20"/>
        </w:rPr>
        <w:t>Focus</w:t>
      </w:r>
      <w:r>
        <w:rPr>
          <w:color w:val="383638"/>
          <w:spacing w:val="-17"/>
          <w:w w:val="105"/>
          <w:sz w:val="20"/>
        </w:rPr>
        <w:t> </w:t>
      </w:r>
      <w:r>
        <w:rPr>
          <w:color w:val="383638"/>
          <w:w w:val="105"/>
          <w:sz w:val="20"/>
        </w:rPr>
        <w:t>of</w:t>
      </w:r>
      <w:r>
        <w:rPr>
          <w:color w:val="383638"/>
          <w:spacing w:val="23"/>
          <w:w w:val="105"/>
          <w:sz w:val="20"/>
        </w:rPr>
        <w:t> </w:t>
      </w:r>
      <w:r>
        <w:rPr>
          <w:color w:val="383638"/>
          <w:w w:val="105"/>
          <w:sz w:val="20"/>
        </w:rPr>
        <w:t>Each CREXAC</w:t>
      </w:r>
      <w:r>
        <w:rPr>
          <w:color w:val="383638"/>
          <w:spacing w:val="11"/>
          <w:w w:val="105"/>
          <w:sz w:val="20"/>
        </w:rPr>
        <w:t> </w:t>
      </w:r>
      <w:r>
        <w:rPr>
          <w:color w:val="383638"/>
          <w:w w:val="105"/>
          <w:sz w:val="20"/>
        </w:rPr>
        <w:t>Unit</w:t>
      </w:r>
      <w:r>
        <w:rPr>
          <w:color w:val="383638"/>
          <w:spacing w:val="-1"/>
          <w:w w:val="105"/>
          <w:sz w:val="20"/>
        </w:rPr>
        <w:t> </w:t>
      </w:r>
      <w:r>
        <w:rPr>
          <w:color w:val="383638"/>
          <w:w w:val="105"/>
          <w:sz w:val="20"/>
        </w:rPr>
        <w:t>of</w:t>
      </w:r>
      <w:r>
        <w:rPr>
          <w:color w:val="383638"/>
          <w:spacing w:val="14"/>
          <w:w w:val="105"/>
          <w:sz w:val="20"/>
        </w:rPr>
        <w:t> </w:t>
      </w:r>
      <w:r>
        <w:rPr>
          <w:color w:val="383638"/>
          <w:w w:val="105"/>
          <w:sz w:val="20"/>
        </w:rPr>
        <w:t>Discourse</w:t>
      </w:r>
    </w:p>
    <w:p>
      <w:pPr>
        <w:pStyle w:val="ListParagraph"/>
        <w:numPr>
          <w:ilvl w:val="2"/>
          <w:numId w:val="64"/>
        </w:numPr>
        <w:tabs>
          <w:tab w:pos="1377" w:val="left" w:leader="none"/>
          <w:tab w:pos="1378" w:val="left" w:leader="none"/>
        </w:tabs>
        <w:spacing w:line="240" w:lineRule="auto" w:before="10" w:after="0"/>
        <w:ind w:left="1379" w:right="80" w:hanging="691"/>
        <w:jc w:val="left"/>
        <w:rPr>
          <w:rFonts w:ascii="Arial"/>
          <w:b/>
          <w:color w:val="383638"/>
          <w:sz w:val="20"/>
        </w:rPr>
      </w:pPr>
      <w:r>
        <w:rPr>
          <w:color w:val="383638"/>
          <w:w w:val="105"/>
          <w:sz w:val="20"/>
        </w:rPr>
        <w:t>Identify</w:t>
      </w:r>
      <w:r>
        <w:rPr>
          <w:color w:val="383638"/>
          <w:spacing w:val="-1"/>
          <w:w w:val="105"/>
          <w:sz w:val="20"/>
        </w:rPr>
        <w:t> </w:t>
      </w:r>
      <w:r>
        <w:rPr>
          <w:color w:val="383638"/>
          <w:w w:val="105"/>
          <w:sz w:val="20"/>
        </w:rPr>
        <w:t>the</w:t>
      </w:r>
      <w:r>
        <w:rPr>
          <w:color w:val="383638"/>
          <w:spacing w:val="24"/>
          <w:w w:val="105"/>
          <w:sz w:val="20"/>
        </w:rPr>
        <w:t> </w:t>
      </w:r>
      <w:r>
        <w:rPr>
          <w:color w:val="383638"/>
          <w:w w:val="105"/>
          <w:sz w:val="20"/>
        </w:rPr>
        <w:t>Phrases-That-PayWithin</w:t>
      </w:r>
      <w:r>
        <w:rPr>
          <w:color w:val="383638"/>
          <w:spacing w:val="4"/>
          <w:w w:val="105"/>
          <w:sz w:val="20"/>
        </w:rPr>
        <w:t> </w:t>
      </w:r>
      <w:r>
        <w:rPr>
          <w:color w:val="383638"/>
          <w:w w:val="105"/>
          <w:sz w:val="20"/>
        </w:rPr>
        <w:t>Each</w:t>
      </w:r>
      <w:r>
        <w:rPr>
          <w:color w:val="383638"/>
          <w:spacing w:val="-4"/>
          <w:w w:val="105"/>
          <w:sz w:val="20"/>
        </w:rPr>
        <w:t> </w:t>
      </w:r>
      <w:r>
        <w:rPr>
          <w:color w:val="383638"/>
          <w:w w:val="105"/>
          <w:sz w:val="20"/>
        </w:rPr>
        <w:t>CREXAC</w:t>
      </w:r>
      <w:r>
        <w:rPr>
          <w:color w:val="383638"/>
          <w:spacing w:val="-5"/>
          <w:w w:val="105"/>
          <w:sz w:val="20"/>
        </w:rPr>
        <w:t> </w:t>
      </w:r>
      <w:r>
        <w:rPr>
          <w:color w:val="383638"/>
          <w:w w:val="105"/>
          <w:sz w:val="20"/>
        </w:rPr>
        <w:t>Unit</w:t>
      </w:r>
      <w:r>
        <w:rPr>
          <w:color w:val="383638"/>
          <w:spacing w:val="-13"/>
          <w:w w:val="105"/>
          <w:sz w:val="20"/>
        </w:rPr>
        <w:t> </w:t>
      </w:r>
      <w:r>
        <w:rPr>
          <w:color w:val="383638"/>
          <w:w w:val="105"/>
          <w:sz w:val="20"/>
        </w:rPr>
        <w:t>of</w:t>
      </w:r>
      <w:r>
        <w:rPr>
          <w:color w:val="383638"/>
          <w:spacing w:val="-49"/>
          <w:w w:val="105"/>
          <w:sz w:val="20"/>
        </w:rPr>
        <w:t> </w:t>
      </w:r>
      <w:r>
        <w:rPr>
          <w:color w:val="383638"/>
          <w:w w:val="105"/>
          <w:sz w:val="20"/>
        </w:rPr>
        <w:t>Discourse</w:t>
      </w:r>
    </w:p>
    <w:p>
      <w:pPr>
        <w:pStyle w:val="ListParagraph"/>
        <w:numPr>
          <w:ilvl w:val="2"/>
          <w:numId w:val="64"/>
        </w:numPr>
        <w:tabs>
          <w:tab w:pos="1387" w:val="left" w:leader="none"/>
          <w:tab w:pos="1388" w:val="left" w:leader="none"/>
        </w:tabs>
        <w:spacing w:line="241" w:lineRule="exact" w:before="3" w:after="0"/>
        <w:ind w:left="1387" w:right="0" w:hanging="698"/>
        <w:jc w:val="left"/>
        <w:rPr>
          <w:b/>
          <w:color w:val="383638"/>
          <w:sz w:val="21"/>
        </w:rPr>
      </w:pPr>
      <w:r>
        <w:rPr>
          <w:color w:val="383638"/>
          <w:w w:val="110"/>
          <w:sz w:val="20"/>
        </w:rPr>
        <w:t>Identify</w:t>
      </w:r>
      <w:r>
        <w:rPr>
          <w:color w:val="383638"/>
          <w:spacing w:val="-3"/>
          <w:w w:val="110"/>
          <w:sz w:val="20"/>
        </w:rPr>
        <w:t> </w:t>
      </w:r>
      <w:r>
        <w:rPr>
          <w:color w:val="383638"/>
          <w:w w:val="110"/>
          <w:sz w:val="20"/>
        </w:rPr>
        <w:t>Cited</w:t>
      </w:r>
      <w:r>
        <w:rPr>
          <w:color w:val="383638"/>
          <w:spacing w:val="2"/>
          <w:w w:val="110"/>
          <w:sz w:val="20"/>
        </w:rPr>
        <w:t> </w:t>
      </w:r>
      <w:r>
        <w:rPr>
          <w:color w:val="383638"/>
          <w:w w:val="110"/>
          <w:sz w:val="20"/>
        </w:rPr>
        <w:t>Authorities</w:t>
      </w:r>
    </w:p>
    <w:p>
      <w:pPr>
        <w:pStyle w:val="ListParagraph"/>
        <w:numPr>
          <w:ilvl w:val="2"/>
          <w:numId w:val="64"/>
        </w:numPr>
        <w:tabs>
          <w:tab w:pos="1388" w:val="left" w:leader="none"/>
        </w:tabs>
        <w:spacing w:line="241" w:lineRule="exact" w:before="0" w:after="0"/>
        <w:ind w:left="1387" w:right="0" w:hanging="698"/>
        <w:jc w:val="left"/>
        <w:rPr>
          <w:b/>
          <w:color w:val="383638"/>
          <w:sz w:val="21"/>
        </w:rPr>
      </w:pPr>
      <w:r>
        <w:rPr>
          <w:color w:val="383638"/>
          <w:w w:val="110"/>
          <w:sz w:val="20"/>
        </w:rPr>
        <w:t>Identify</w:t>
      </w:r>
      <w:r>
        <w:rPr>
          <w:color w:val="383638"/>
          <w:spacing w:val="-2"/>
          <w:w w:val="110"/>
          <w:sz w:val="20"/>
        </w:rPr>
        <w:t> </w:t>
      </w:r>
      <w:r>
        <w:rPr>
          <w:color w:val="383638"/>
          <w:w w:val="110"/>
          <w:sz w:val="20"/>
        </w:rPr>
        <w:t>the</w:t>
      </w:r>
      <w:r>
        <w:rPr>
          <w:color w:val="383638"/>
          <w:spacing w:val="19"/>
          <w:w w:val="110"/>
          <w:sz w:val="20"/>
        </w:rPr>
        <w:t> </w:t>
      </w:r>
      <w:r>
        <w:rPr>
          <w:color w:val="383638"/>
          <w:w w:val="110"/>
          <w:sz w:val="20"/>
        </w:rPr>
        <w:t>Explanation</w:t>
      </w:r>
      <w:r>
        <w:rPr>
          <w:color w:val="383638"/>
          <w:spacing w:val="-7"/>
          <w:w w:val="110"/>
          <w:sz w:val="20"/>
        </w:rPr>
        <w:t> </w:t>
      </w:r>
      <w:r>
        <w:rPr>
          <w:color w:val="383638"/>
          <w:w w:val="110"/>
          <w:sz w:val="20"/>
        </w:rPr>
        <w:t>of</w:t>
      </w:r>
      <w:r>
        <w:rPr>
          <w:color w:val="383638"/>
          <w:spacing w:val="4"/>
          <w:w w:val="110"/>
          <w:sz w:val="20"/>
        </w:rPr>
        <w:t> </w:t>
      </w:r>
      <w:r>
        <w:rPr>
          <w:color w:val="383638"/>
          <w:w w:val="110"/>
          <w:sz w:val="20"/>
        </w:rPr>
        <w:t>Each</w:t>
      </w:r>
      <w:r>
        <w:rPr>
          <w:color w:val="383638"/>
          <w:spacing w:val="-7"/>
          <w:w w:val="110"/>
          <w:sz w:val="20"/>
        </w:rPr>
        <w:t> </w:t>
      </w:r>
      <w:r>
        <w:rPr>
          <w:color w:val="383638"/>
          <w:w w:val="110"/>
          <w:sz w:val="20"/>
        </w:rPr>
        <w:t>Focus</w:t>
      </w:r>
    </w:p>
    <w:p>
      <w:pPr>
        <w:tabs>
          <w:tab w:pos="1387" w:val="left" w:leader="none"/>
        </w:tabs>
        <w:spacing w:line="230" w:lineRule="exact" w:before="0"/>
        <w:ind w:left="690" w:right="0" w:firstLine="0"/>
        <w:jc w:val="left"/>
        <w:rPr>
          <w:sz w:val="20"/>
        </w:rPr>
      </w:pPr>
      <w:r>
        <w:rPr>
          <w:b/>
          <w:color w:val="383638"/>
          <w:w w:val="110"/>
          <w:sz w:val="20"/>
        </w:rPr>
        <w:t>7.2.S</w:t>
        <w:tab/>
      </w:r>
      <w:r>
        <w:rPr>
          <w:color w:val="383638"/>
          <w:w w:val="105"/>
          <w:sz w:val="20"/>
        </w:rPr>
        <w:t>Identify</w:t>
      </w:r>
      <w:r>
        <w:rPr>
          <w:color w:val="383638"/>
          <w:spacing w:val="19"/>
          <w:w w:val="105"/>
          <w:sz w:val="20"/>
        </w:rPr>
        <w:t> </w:t>
      </w:r>
      <w:r>
        <w:rPr>
          <w:color w:val="383638"/>
          <w:w w:val="105"/>
          <w:sz w:val="20"/>
        </w:rPr>
        <w:t>Your Client's</w:t>
      </w:r>
      <w:r>
        <w:rPr>
          <w:color w:val="383638"/>
          <w:spacing w:val="11"/>
          <w:w w:val="105"/>
          <w:sz w:val="20"/>
        </w:rPr>
        <w:t> </w:t>
      </w:r>
      <w:r>
        <w:rPr>
          <w:color w:val="383638"/>
          <w:w w:val="105"/>
          <w:sz w:val="20"/>
        </w:rPr>
        <w:t>Facts</w:t>
      </w:r>
    </w:p>
    <w:p>
      <w:pPr>
        <w:pStyle w:val="ListParagraph"/>
        <w:numPr>
          <w:ilvl w:val="2"/>
          <w:numId w:val="65"/>
        </w:numPr>
        <w:tabs>
          <w:tab w:pos="1387" w:val="left" w:leader="none"/>
          <w:tab w:pos="1388" w:val="left" w:leader="none"/>
        </w:tabs>
        <w:spacing w:line="240" w:lineRule="auto" w:before="11" w:after="0"/>
        <w:ind w:left="1387" w:right="0" w:hanging="698"/>
        <w:jc w:val="left"/>
        <w:rPr>
          <w:rFonts w:ascii="Arial"/>
          <w:b/>
          <w:color w:val="383638"/>
          <w:sz w:val="18"/>
        </w:rPr>
      </w:pPr>
      <w:r>
        <w:rPr>
          <w:color w:val="383638"/>
          <w:w w:val="105"/>
          <w:sz w:val="20"/>
        </w:rPr>
        <w:t>Identify</w:t>
      </w:r>
      <w:r>
        <w:rPr>
          <w:color w:val="383638"/>
          <w:spacing w:val="-2"/>
          <w:w w:val="105"/>
          <w:sz w:val="20"/>
        </w:rPr>
        <w:t> </w:t>
      </w:r>
      <w:r>
        <w:rPr>
          <w:color w:val="383638"/>
          <w:w w:val="105"/>
          <w:sz w:val="20"/>
        </w:rPr>
        <w:t>the</w:t>
      </w:r>
      <w:r>
        <w:rPr>
          <w:color w:val="383638"/>
          <w:spacing w:val="24"/>
          <w:w w:val="105"/>
          <w:sz w:val="20"/>
        </w:rPr>
        <w:t> </w:t>
      </w:r>
      <w:r>
        <w:rPr>
          <w:color w:val="383638"/>
          <w:w w:val="105"/>
          <w:sz w:val="20"/>
        </w:rPr>
        <w:t>Appli</w:t>
      </w:r>
      <w:r>
        <w:rPr>
          <w:color w:val="565657"/>
          <w:w w:val="105"/>
          <w:sz w:val="20"/>
        </w:rPr>
        <w:t>c</w:t>
      </w:r>
      <w:r>
        <w:rPr>
          <w:color w:val="383638"/>
          <w:w w:val="105"/>
          <w:sz w:val="20"/>
        </w:rPr>
        <w:t>ation</w:t>
      </w:r>
      <w:r>
        <w:rPr>
          <w:color w:val="383638"/>
          <w:spacing w:val="9"/>
          <w:w w:val="105"/>
          <w:sz w:val="20"/>
        </w:rPr>
        <w:t> </w:t>
      </w:r>
      <w:r>
        <w:rPr>
          <w:color w:val="383638"/>
          <w:w w:val="105"/>
          <w:sz w:val="20"/>
        </w:rPr>
        <w:t>of</w:t>
      </w:r>
      <w:r>
        <w:rPr>
          <w:color w:val="383638"/>
          <w:spacing w:val="10"/>
          <w:w w:val="105"/>
          <w:sz w:val="20"/>
        </w:rPr>
        <w:t> </w:t>
      </w:r>
      <w:r>
        <w:rPr>
          <w:color w:val="383638"/>
          <w:w w:val="105"/>
          <w:sz w:val="20"/>
        </w:rPr>
        <w:t>Each</w:t>
      </w:r>
      <w:r>
        <w:rPr>
          <w:color w:val="383638"/>
          <w:spacing w:val="-9"/>
          <w:w w:val="105"/>
          <w:sz w:val="20"/>
        </w:rPr>
        <w:t> </w:t>
      </w:r>
      <w:r>
        <w:rPr>
          <w:color w:val="383638"/>
          <w:w w:val="105"/>
          <w:sz w:val="20"/>
        </w:rPr>
        <w:t>Focus</w:t>
      </w:r>
      <w:r>
        <w:rPr>
          <w:color w:val="383638"/>
          <w:spacing w:val="-13"/>
          <w:w w:val="105"/>
          <w:sz w:val="20"/>
        </w:rPr>
        <w:t> </w:t>
      </w:r>
      <w:r>
        <w:rPr>
          <w:color w:val="383638"/>
          <w:w w:val="105"/>
          <w:sz w:val="20"/>
        </w:rPr>
        <w:t>to</w:t>
      </w:r>
      <w:r>
        <w:rPr>
          <w:color w:val="383638"/>
          <w:spacing w:val="17"/>
          <w:w w:val="105"/>
          <w:sz w:val="20"/>
        </w:rPr>
        <w:t> </w:t>
      </w:r>
      <w:r>
        <w:rPr>
          <w:color w:val="383638"/>
          <w:w w:val="105"/>
          <w:sz w:val="20"/>
        </w:rPr>
        <w:t>Your</w:t>
      </w:r>
      <w:r>
        <w:rPr>
          <w:color w:val="383638"/>
          <w:spacing w:val="-11"/>
          <w:w w:val="105"/>
          <w:sz w:val="20"/>
        </w:rPr>
        <w:t> </w:t>
      </w:r>
      <w:r>
        <w:rPr>
          <w:color w:val="383638"/>
          <w:w w:val="105"/>
          <w:sz w:val="20"/>
        </w:rPr>
        <w:t>Client's</w:t>
      </w:r>
      <w:r>
        <w:rPr>
          <w:color w:val="383638"/>
          <w:spacing w:val="-14"/>
          <w:w w:val="105"/>
          <w:sz w:val="20"/>
        </w:rPr>
        <w:t> </w:t>
      </w:r>
      <w:r>
        <w:rPr>
          <w:color w:val="383638"/>
          <w:w w:val="105"/>
          <w:sz w:val="20"/>
        </w:rPr>
        <w:t>Facts</w:t>
      </w:r>
    </w:p>
    <w:p>
      <w:pPr>
        <w:pStyle w:val="ListParagraph"/>
        <w:numPr>
          <w:ilvl w:val="2"/>
          <w:numId w:val="65"/>
        </w:numPr>
        <w:tabs>
          <w:tab w:pos="1388" w:val="left" w:leader="none"/>
        </w:tabs>
        <w:spacing w:line="240" w:lineRule="auto" w:before="1" w:after="0"/>
        <w:ind w:left="1387" w:right="0" w:hanging="698"/>
        <w:jc w:val="left"/>
        <w:rPr>
          <w:b/>
          <w:color w:val="383638"/>
          <w:sz w:val="21"/>
        </w:rPr>
      </w:pPr>
      <w:r>
        <w:rPr>
          <w:color w:val="383638"/>
          <w:spacing w:val="-1"/>
          <w:w w:val="115"/>
          <w:sz w:val="20"/>
        </w:rPr>
        <w:t>Identify</w:t>
      </w:r>
      <w:r>
        <w:rPr>
          <w:color w:val="383638"/>
          <w:spacing w:val="-12"/>
          <w:w w:val="115"/>
          <w:sz w:val="20"/>
        </w:rPr>
        <w:t> </w:t>
      </w:r>
      <w:r>
        <w:rPr>
          <w:color w:val="383638"/>
          <w:spacing w:val="-1"/>
          <w:w w:val="115"/>
          <w:sz w:val="20"/>
        </w:rPr>
        <w:t>the</w:t>
      </w:r>
      <w:r>
        <w:rPr>
          <w:color w:val="383638"/>
          <w:spacing w:val="8"/>
          <w:w w:val="115"/>
          <w:sz w:val="20"/>
        </w:rPr>
        <w:t> </w:t>
      </w:r>
      <w:r>
        <w:rPr>
          <w:color w:val="383638"/>
          <w:spacing w:val="-1"/>
          <w:w w:val="115"/>
          <w:sz w:val="20"/>
        </w:rPr>
        <w:t>Connection-Conclusion</w:t>
      </w:r>
    </w:p>
    <w:p>
      <w:pPr>
        <w:pStyle w:val="ListParagraph"/>
        <w:numPr>
          <w:ilvl w:val="2"/>
          <w:numId w:val="65"/>
        </w:numPr>
        <w:tabs>
          <w:tab w:pos="1385" w:val="left" w:leader="none"/>
        </w:tabs>
        <w:spacing w:line="240" w:lineRule="auto" w:before="8" w:after="0"/>
        <w:ind w:left="1384" w:right="0" w:hanging="687"/>
        <w:jc w:val="left"/>
        <w:rPr>
          <w:rFonts w:ascii="Arial"/>
          <w:b/>
          <w:color w:val="383638"/>
          <w:sz w:val="20"/>
        </w:rPr>
      </w:pPr>
      <w:r>
        <w:rPr>
          <w:color w:val="383638"/>
          <w:w w:val="105"/>
          <w:sz w:val="20"/>
        </w:rPr>
        <w:t>Create</w:t>
      </w:r>
      <w:r>
        <w:rPr>
          <w:color w:val="383638"/>
          <w:spacing w:val="5"/>
          <w:w w:val="105"/>
          <w:sz w:val="20"/>
        </w:rPr>
        <w:t> </w:t>
      </w:r>
      <w:r>
        <w:rPr>
          <w:color w:val="383638"/>
          <w:w w:val="105"/>
          <w:sz w:val="20"/>
        </w:rPr>
        <w:t>a</w:t>
      </w:r>
      <w:r>
        <w:rPr>
          <w:color w:val="383638"/>
          <w:spacing w:val="-1"/>
          <w:w w:val="105"/>
          <w:sz w:val="20"/>
        </w:rPr>
        <w:t> </w:t>
      </w:r>
      <w:r>
        <w:rPr>
          <w:color w:val="383638"/>
          <w:w w:val="105"/>
          <w:sz w:val="20"/>
        </w:rPr>
        <w:t>Separate</w:t>
      </w:r>
      <w:r>
        <w:rPr>
          <w:color w:val="383638"/>
          <w:spacing w:val="12"/>
          <w:w w:val="105"/>
          <w:sz w:val="20"/>
        </w:rPr>
        <w:t> </w:t>
      </w:r>
      <w:r>
        <w:rPr>
          <w:color w:val="383638"/>
          <w:w w:val="105"/>
          <w:sz w:val="20"/>
        </w:rPr>
        <w:t>Focus</w:t>
      </w:r>
      <w:r>
        <w:rPr>
          <w:color w:val="383638"/>
          <w:spacing w:val="4"/>
          <w:w w:val="105"/>
          <w:sz w:val="20"/>
        </w:rPr>
        <w:t> </w:t>
      </w:r>
      <w:r>
        <w:rPr>
          <w:color w:val="383638"/>
          <w:w w:val="105"/>
          <w:sz w:val="20"/>
        </w:rPr>
        <w:t>List</w:t>
      </w:r>
    </w:p>
    <w:p>
      <w:pPr>
        <w:pStyle w:val="ListParagraph"/>
        <w:numPr>
          <w:ilvl w:val="2"/>
          <w:numId w:val="65"/>
        </w:numPr>
        <w:tabs>
          <w:tab w:pos="1389" w:val="left" w:leader="none"/>
          <w:tab w:pos="1390" w:val="left" w:leader="none"/>
        </w:tabs>
        <w:spacing w:line="236" w:lineRule="exact" w:before="2" w:after="0"/>
        <w:ind w:left="1389" w:right="0" w:hanging="691"/>
        <w:jc w:val="left"/>
        <w:rPr>
          <w:color w:val="383638"/>
          <w:sz w:val="20"/>
        </w:rPr>
      </w:pPr>
      <w:r>
        <w:rPr>
          <w:color w:val="383638"/>
          <w:w w:val="110"/>
          <w:sz w:val="20"/>
        </w:rPr>
        <w:t>Write</w:t>
      </w:r>
      <w:r>
        <w:rPr>
          <w:color w:val="383638"/>
          <w:spacing w:val="-17"/>
          <w:w w:val="110"/>
          <w:sz w:val="20"/>
        </w:rPr>
        <w:t> </w:t>
      </w:r>
      <w:r>
        <w:rPr>
          <w:color w:val="383638"/>
          <w:w w:val="110"/>
          <w:sz w:val="20"/>
        </w:rPr>
        <w:t>a</w:t>
      </w:r>
      <w:r>
        <w:rPr>
          <w:color w:val="383638"/>
          <w:spacing w:val="15"/>
          <w:w w:val="110"/>
          <w:sz w:val="20"/>
        </w:rPr>
        <w:t> </w:t>
      </w:r>
      <w:r>
        <w:rPr>
          <w:color w:val="383638"/>
          <w:w w:val="110"/>
          <w:sz w:val="20"/>
        </w:rPr>
        <w:t>Final</w:t>
      </w:r>
      <w:r>
        <w:rPr>
          <w:color w:val="383638"/>
          <w:spacing w:val="-4"/>
          <w:w w:val="110"/>
          <w:sz w:val="20"/>
        </w:rPr>
        <w:t> </w:t>
      </w:r>
      <w:r>
        <w:rPr>
          <w:color w:val="383638"/>
          <w:w w:val="110"/>
          <w:sz w:val="20"/>
        </w:rPr>
        <w:t>Comment</w:t>
      </w:r>
    </w:p>
    <w:p>
      <w:pPr>
        <w:pStyle w:val="ListParagraph"/>
        <w:numPr>
          <w:ilvl w:val="1"/>
          <w:numId w:val="64"/>
        </w:numPr>
        <w:tabs>
          <w:tab w:pos="684" w:val="left" w:leader="none"/>
        </w:tabs>
        <w:spacing w:line="248" w:lineRule="exact" w:before="0" w:after="0"/>
        <w:ind w:left="683" w:right="0" w:hanging="468"/>
        <w:jc w:val="left"/>
        <w:rPr>
          <w:color w:val="383638"/>
          <w:sz w:val="22"/>
        </w:rPr>
      </w:pPr>
      <w:r>
        <w:rPr>
          <w:color w:val="383638"/>
          <w:w w:val="105"/>
          <w:sz w:val="22"/>
        </w:rPr>
        <w:t>Summary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0"/>
        <w:ind w:left="221" w:right="0" w:firstLine="0"/>
        <w:jc w:val="left"/>
        <w:rPr>
          <w:sz w:val="35"/>
        </w:rPr>
      </w:pPr>
      <w:r>
        <w:rPr>
          <w:color w:val="383638"/>
          <w:w w:val="105"/>
          <w:sz w:val="35"/>
        </w:rPr>
        <w:t>7.1</w:t>
      </w:r>
    </w:p>
    <w:p>
      <w:pPr>
        <w:spacing w:before="47"/>
        <w:ind w:left="230" w:right="0" w:firstLine="0"/>
        <w:jc w:val="left"/>
        <w:rPr>
          <w:sz w:val="26"/>
        </w:rPr>
      </w:pPr>
      <w:r>
        <w:rPr>
          <w:color w:val="383638"/>
          <w:w w:val="110"/>
          <w:sz w:val="26"/>
        </w:rPr>
        <w:t>FOCUSING</w:t>
      </w:r>
      <w:r>
        <w:rPr>
          <w:color w:val="383638"/>
          <w:spacing w:val="29"/>
          <w:w w:val="110"/>
          <w:sz w:val="26"/>
        </w:rPr>
        <w:t> </w:t>
      </w:r>
      <w:r>
        <w:rPr>
          <w:color w:val="383638"/>
          <w:w w:val="110"/>
          <w:sz w:val="26"/>
        </w:rPr>
        <w:t>YOUR</w:t>
      </w:r>
      <w:r>
        <w:rPr>
          <w:color w:val="383638"/>
          <w:spacing w:val="21"/>
          <w:w w:val="110"/>
          <w:sz w:val="26"/>
        </w:rPr>
        <w:t> </w:t>
      </w:r>
      <w:r>
        <w:rPr>
          <w:color w:val="383638"/>
          <w:w w:val="110"/>
          <w:sz w:val="26"/>
        </w:rPr>
        <w:t>REVISION:</w:t>
      </w:r>
      <w:r>
        <w:rPr>
          <w:color w:val="383638"/>
          <w:spacing w:val="21"/>
          <w:w w:val="110"/>
          <w:sz w:val="26"/>
        </w:rPr>
        <w:t> </w:t>
      </w:r>
      <w:r>
        <w:rPr>
          <w:color w:val="383638"/>
          <w:w w:val="110"/>
          <w:sz w:val="26"/>
        </w:rPr>
        <w:t>USING</w:t>
      </w:r>
      <w:r>
        <w:rPr>
          <w:color w:val="383638"/>
          <w:spacing w:val="8"/>
          <w:w w:val="110"/>
          <w:sz w:val="26"/>
        </w:rPr>
        <w:t> </w:t>
      </w:r>
      <w:r>
        <w:rPr>
          <w:color w:val="383638"/>
          <w:w w:val="110"/>
          <w:sz w:val="26"/>
        </w:rPr>
        <w:t>THE</w:t>
      </w:r>
    </w:p>
    <w:p>
      <w:pPr>
        <w:spacing w:before="59"/>
        <w:ind w:left="216" w:right="0" w:firstLine="0"/>
        <w:jc w:val="left"/>
        <w:rPr>
          <w:sz w:val="29"/>
        </w:rPr>
      </w:pPr>
      <w:r>
        <w:rPr>
          <w:color w:val="383638"/>
          <w:w w:val="95"/>
          <w:sz w:val="29"/>
        </w:rPr>
        <w:t>SELF-GRADED</w:t>
      </w:r>
      <w:r>
        <w:rPr>
          <w:color w:val="383638"/>
          <w:spacing w:val="54"/>
          <w:w w:val="95"/>
          <w:sz w:val="29"/>
        </w:rPr>
        <w:t> </w:t>
      </w:r>
      <w:r>
        <w:rPr>
          <w:color w:val="383638"/>
          <w:w w:val="95"/>
          <w:sz w:val="29"/>
        </w:rPr>
        <w:t>DRAFT</w:t>
      </w:r>
      <w:r>
        <w:rPr>
          <w:color w:val="383638"/>
          <w:w w:val="95"/>
          <w:sz w:val="29"/>
          <w:vertAlign w:val="superscript"/>
        </w:rPr>
        <w:t>1</w:t>
      </w:r>
    </w:p>
    <w:p>
      <w:pPr>
        <w:spacing w:before="72"/>
        <w:ind w:left="162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383638"/>
          <w:w w:val="115"/>
          <w:sz w:val="20"/>
        </w:rPr>
        <w:t>153</w:t>
      </w:r>
    </w:p>
    <w:p>
      <w:pPr>
        <w:spacing w:after="0"/>
        <w:jc w:val="left"/>
        <w:rPr>
          <w:sz w:val="20"/>
        </w:rPr>
        <w:sectPr>
          <w:headerReference w:type="even" r:id="rId176"/>
          <w:pgSz w:w="9610" w:h="13700"/>
          <w:pgMar w:header="0" w:footer="0" w:top="360" w:bottom="280" w:left="460" w:right="680"/>
          <w:cols w:num="3" w:equalWidth="0">
            <w:col w:w="389" w:space="84"/>
            <w:col w:w="6623" w:space="740"/>
            <w:col w:w="634"/>
          </w:cols>
        </w:sectPr>
      </w:pPr>
    </w:p>
    <w:p>
      <w:pPr>
        <w:pStyle w:val="BodyText"/>
        <w:spacing w:before="10"/>
        <w:rPr>
          <w:b/>
          <w:sz w:val="14"/>
        </w:rPr>
      </w:pPr>
    </w:p>
    <w:p>
      <w:pPr>
        <w:pStyle w:val="BodyText"/>
        <w:spacing w:line="232" w:lineRule="auto" w:before="97"/>
        <w:ind w:left="107" w:right="726" w:firstLine="554"/>
        <w:jc w:val="both"/>
      </w:pPr>
      <w:r>
        <w:rPr>
          <w:color w:val="383638"/>
          <w:w w:val="110"/>
        </w:rPr>
        <w:t>The  etymology of the word </w:t>
      </w:r>
      <w:r>
        <w:rPr>
          <w:rFonts w:ascii="Arial"/>
          <w:i/>
          <w:color w:val="383638"/>
          <w:w w:val="110"/>
          <w:sz w:val="20"/>
        </w:rPr>
        <w:t>revision </w:t>
      </w:r>
      <w:r>
        <w:rPr>
          <w:color w:val="383638"/>
          <w:w w:val="110"/>
        </w:rPr>
        <w:t>shows that the word means "to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see again." You can   revise your writing most effectively if you  can  figure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out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way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"see"</w:t>
      </w:r>
      <w:r>
        <w:rPr>
          <w:color w:val="383638"/>
          <w:spacing w:val="-23"/>
          <w:w w:val="110"/>
        </w:rPr>
        <w:t> </w:t>
      </w:r>
      <w:r>
        <w:rPr>
          <w:color w:val="383638"/>
          <w:w w:val="110"/>
        </w:rPr>
        <w:t>it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more</w:t>
      </w:r>
      <w:r>
        <w:rPr>
          <w:color w:val="383638"/>
          <w:spacing w:val="-23"/>
          <w:w w:val="110"/>
        </w:rPr>
        <w:t> </w:t>
      </w:r>
      <w:r>
        <w:rPr>
          <w:color w:val="383638"/>
          <w:w w:val="110"/>
        </w:rPr>
        <w:t>effectively.</w:t>
      </w:r>
    </w:p>
    <w:p>
      <w:pPr>
        <w:pStyle w:val="BodyText"/>
        <w:spacing w:line="235" w:lineRule="auto"/>
        <w:ind w:left="110" w:right="670" w:firstLine="343"/>
        <w:jc w:val="both"/>
      </w:pPr>
      <w:r>
        <w:rPr>
          <w:color w:val="383638"/>
          <w:w w:val="115"/>
        </w:rPr>
        <w:t>After completing a good draft of your document and checking your</w:t>
      </w:r>
      <w:r>
        <w:rPr>
          <w:color w:val="383638"/>
          <w:spacing w:val="1"/>
          <w:w w:val="115"/>
        </w:rPr>
        <w:t> </w:t>
      </w:r>
      <w:r>
        <w:rPr>
          <w:color w:val="383638"/>
          <w:spacing w:val="-1"/>
          <w:w w:val="115"/>
          <w:sz w:val="22"/>
        </w:rPr>
        <w:t>use</w:t>
      </w:r>
      <w:r>
        <w:rPr>
          <w:color w:val="383638"/>
          <w:spacing w:val="-25"/>
          <w:w w:val="115"/>
          <w:sz w:val="22"/>
        </w:rPr>
        <w:t> </w:t>
      </w:r>
      <w:r>
        <w:rPr>
          <w:color w:val="383638"/>
          <w:w w:val="115"/>
        </w:rPr>
        <w:t>of</w:t>
      </w:r>
      <w:r>
        <w:rPr>
          <w:color w:val="383638"/>
          <w:spacing w:val="-8"/>
          <w:w w:val="115"/>
        </w:rPr>
        <w:t> </w:t>
      </w:r>
      <w:r>
        <w:rPr>
          <w:color w:val="383638"/>
          <w:w w:val="115"/>
        </w:rPr>
        <w:t>authority,</w:t>
      </w:r>
      <w:r>
        <w:rPr>
          <w:color w:val="383638"/>
          <w:spacing w:val="-6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19"/>
          <w:w w:val="115"/>
        </w:rPr>
        <w:t> </w:t>
      </w:r>
      <w:r>
        <w:rPr>
          <w:color w:val="383638"/>
          <w:w w:val="115"/>
        </w:rPr>
        <w:t>next</w:t>
      </w:r>
      <w:r>
        <w:rPr>
          <w:color w:val="383638"/>
          <w:spacing w:val="-14"/>
          <w:w w:val="115"/>
        </w:rPr>
        <w:t> </w:t>
      </w:r>
      <w:r>
        <w:rPr>
          <w:color w:val="383638"/>
          <w:w w:val="115"/>
        </w:rPr>
        <w:t>step</w:t>
      </w:r>
      <w:r>
        <w:rPr>
          <w:color w:val="383638"/>
          <w:spacing w:val="-14"/>
          <w:w w:val="115"/>
        </w:rPr>
        <w:t> </w:t>
      </w:r>
      <w:r>
        <w:rPr>
          <w:color w:val="383638"/>
          <w:w w:val="115"/>
        </w:rPr>
        <w:t>you</w:t>
      </w:r>
      <w:r>
        <w:rPr>
          <w:color w:val="383638"/>
          <w:spacing w:val="-22"/>
          <w:w w:val="115"/>
        </w:rPr>
        <w:t> </w:t>
      </w:r>
      <w:r>
        <w:rPr>
          <w:color w:val="383638"/>
          <w:w w:val="115"/>
        </w:rPr>
        <w:t>should</w:t>
      </w:r>
      <w:r>
        <w:rPr>
          <w:color w:val="383638"/>
          <w:spacing w:val="2"/>
          <w:w w:val="115"/>
        </w:rPr>
        <w:t> </w:t>
      </w:r>
      <w:r>
        <w:rPr>
          <w:color w:val="383638"/>
          <w:w w:val="115"/>
        </w:rPr>
        <w:t>take</w:t>
      </w:r>
      <w:r>
        <w:rPr>
          <w:color w:val="383638"/>
          <w:spacing w:val="-15"/>
          <w:w w:val="115"/>
        </w:rPr>
        <w:t> </w:t>
      </w:r>
      <w:r>
        <w:rPr>
          <w:color w:val="383638"/>
          <w:w w:val="115"/>
        </w:rPr>
        <w:t>is</w:t>
      </w:r>
      <w:r>
        <w:rPr>
          <w:color w:val="383638"/>
          <w:spacing w:val="-29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-1"/>
          <w:w w:val="115"/>
        </w:rPr>
        <w:t> </w:t>
      </w:r>
      <w:r>
        <w:rPr>
          <w:color w:val="383638"/>
          <w:w w:val="115"/>
        </w:rPr>
        <w:t>check</w:t>
      </w:r>
      <w:r>
        <w:rPr>
          <w:color w:val="383638"/>
          <w:spacing w:val="-8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11"/>
          <w:w w:val="115"/>
        </w:rPr>
        <w:t> </w:t>
      </w:r>
      <w:r>
        <w:rPr>
          <w:color w:val="383638"/>
          <w:w w:val="115"/>
        </w:rPr>
        <w:t>document's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content and large-scale organization. One way to check content, of course,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is to review your </w:t>
      </w:r>
      <w:r>
        <w:rPr>
          <w:color w:val="383638"/>
          <w:w w:val="110"/>
        </w:rPr>
        <w:t>substance</w:t>
      </w:r>
      <w:r>
        <w:rPr>
          <w:color w:val="565657"/>
          <w:w w:val="110"/>
        </w:rPr>
        <w:t>. </w:t>
      </w:r>
      <w:r>
        <w:rPr>
          <w:color w:val="383638"/>
          <w:w w:val="110"/>
          <w:sz w:val="22"/>
        </w:rPr>
        <w:t>If </w:t>
      </w:r>
      <w:r>
        <w:rPr>
          <w:color w:val="383638"/>
          <w:w w:val="110"/>
        </w:rPr>
        <w:t>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have not yet Shepardized, BCited,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KeyCited your authorities, now is a good time to do so.</w:t>
      </w:r>
      <w:r>
        <w:rPr>
          <w:rFonts w:ascii="Arial"/>
          <w:color w:val="383638"/>
          <w:w w:val="110"/>
          <w:vertAlign w:val="superscript"/>
        </w:rPr>
        <w:t>2</w:t>
      </w:r>
      <w:r>
        <w:rPr>
          <w:rFonts w:ascii="Arial"/>
          <w:color w:val="383638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While reViewing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5"/>
          <w:vertAlign w:val="baseline"/>
        </w:rPr>
        <w:t>your authorities, you may wish to follow up on any unexplored leads to</w:t>
      </w:r>
      <w:r>
        <w:rPr>
          <w:color w:val="383638"/>
          <w:spacing w:val="1"/>
          <w:w w:val="115"/>
          <w:vertAlign w:val="baseline"/>
        </w:rPr>
        <w:t> </w:t>
      </w:r>
      <w:r>
        <w:rPr>
          <w:color w:val="383638"/>
          <w:spacing w:val="-1"/>
          <w:w w:val="115"/>
          <w:vertAlign w:val="baseline"/>
        </w:rPr>
        <w:t>verify</w:t>
      </w:r>
      <w:r>
        <w:rPr>
          <w:color w:val="383638"/>
          <w:spacing w:val="-10"/>
          <w:w w:val="115"/>
          <w:vertAlign w:val="baseline"/>
        </w:rPr>
        <w:t> </w:t>
      </w:r>
      <w:r>
        <w:rPr>
          <w:color w:val="383638"/>
          <w:spacing w:val="-1"/>
          <w:w w:val="115"/>
          <w:vertAlign w:val="baseline"/>
        </w:rPr>
        <w:t>that</w:t>
      </w:r>
      <w:r>
        <w:rPr>
          <w:color w:val="383638"/>
          <w:spacing w:val="-10"/>
          <w:w w:val="115"/>
          <w:vertAlign w:val="baseline"/>
        </w:rPr>
        <w:t> </w:t>
      </w:r>
      <w:r>
        <w:rPr>
          <w:color w:val="383638"/>
          <w:spacing w:val="-1"/>
          <w:w w:val="115"/>
          <w:vertAlign w:val="baseline"/>
        </w:rPr>
        <w:t>you</w:t>
      </w:r>
      <w:r>
        <w:rPr>
          <w:color w:val="383638"/>
          <w:spacing w:val="-22"/>
          <w:w w:val="115"/>
          <w:vertAlign w:val="baseline"/>
        </w:rPr>
        <w:t> </w:t>
      </w:r>
      <w:r>
        <w:rPr>
          <w:color w:val="383638"/>
          <w:spacing w:val="-1"/>
          <w:w w:val="115"/>
          <w:vertAlign w:val="baseline"/>
        </w:rPr>
        <w:t>have</w:t>
      </w:r>
      <w:r>
        <w:rPr>
          <w:color w:val="383638"/>
          <w:spacing w:val="-18"/>
          <w:w w:val="115"/>
          <w:vertAlign w:val="baseline"/>
        </w:rPr>
        <w:t> </w:t>
      </w:r>
      <w:r>
        <w:rPr>
          <w:color w:val="383638"/>
          <w:spacing w:val="-1"/>
          <w:w w:val="115"/>
          <w:vertAlign w:val="baseline"/>
        </w:rPr>
        <w:t>marshaled</w:t>
      </w:r>
      <w:r>
        <w:rPr>
          <w:color w:val="383638"/>
          <w:spacing w:val="1"/>
          <w:w w:val="115"/>
          <w:vertAlign w:val="baseline"/>
        </w:rPr>
        <w:t> </w:t>
      </w:r>
      <w:r>
        <w:rPr>
          <w:color w:val="383638"/>
          <w:spacing w:val="-1"/>
          <w:w w:val="115"/>
          <w:vertAlign w:val="baseline"/>
        </w:rPr>
        <w:t>the</w:t>
      </w:r>
      <w:r>
        <w:rPr>
          <w:color w:val="383638"/>
          <w:spacing w:val="11"/>
          <w:w w:val="115"/>
          <w:vertAlign w:val="baseline"/>
        </w:rPr>
        <w:t> </w:t>
      </w:r>
      <w:r>
        <w:rPr>
          <w:color w:val="383638"/>
          <w:spacing w:val="-1"/>
          <w:w w:val="115"/>
          <w:vertAlign w:val="baseline"/>
        </w:rPr>
        <w:t>best</w:t>
      </w:r>
      <w:r>
        <w:rPr>
          <w:color w:val="383638"/>
          <w:spacing w:val="-17"/>
          <w:w w:val="115"/>
          <w:vertAlign w:val="baseline"/>
        </w:rPr>
        <w:t> </w:t>
      </w:r>
      <w:r>
        <w:rPr>
          <w:color w:val="383638"/>
          <w:spacing w:val="-1"/>
          <w:w w:val="115"/>
          <w:vertAlign w:val="baseline"/>
        </w:rPr>
        <w:t>arguments</w:t>
      </w:r>
      <w:r>
        <w:rPr>
          <w:color w:val="383638"/>
          <w:spacing w:val="-23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and</w:t>
      </w:r>
      <w:r>
        <w:rPr>
          <w:color w:val="383638"/>
          <w:spacing w:val="10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authorities</w:t>
      </w:r>
      <w:r>
        <w:rPr>
          <w:color w:val="383638"/>
          <w:spacing w:val="-18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in</w:t>
      </w:r>
      <w:r>
        <w:rPr>
          <w:color w:val="383638"/>
          <w:spacing w:val="-2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your</w:t>
      </w:r>
      <w:r>
        <w:rPr>
          <w:color w:val="383638"/>
          <w:spacing w:val="-64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client's</w:t>
      </w:r>
      <w:r>
        <w:rPr>
          <w:color w:val="383638"/>
          <w:spacing w:val="-27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favor.</w:t>
      </w:r>
    </w:p>
    <w:p>
      <w:pPr>
        <w:pStyle w:val="BodyText"/>
        <w:spacing w:before="9"/>
        <w:rPr>
          <w:sz w:val="31"/>
        </w:rPr>
      </w:pPr>
    </w:p>
    <w:p>
      <w:pPr>
        <w:spacing w:line="204" w:lineRule="exact" w:before="0"/>
        <w:ind w:left="468" w:right="0" w:firstLine="0"/>
        <w:jc w:val="left"/>
        <w:rPr>
          <w:i/>
          <w:sz w:val="18"/>
        </w:rPr>
      </w:pPr>
      <w:r>
        <w:rPr>
          <w:color w:val="383638"/>
          <w:w w:val="105"/>
          <w:sz w:val="18"/>
        </w:rPr>
        <w:t>'Some</w:t>
      </w:r>
      <w:r>
        <w:rPr>
          <w:color w:val="383638"/>
          <w:spacing w:val="6"/>
          <w:w w:val="105"/>
          <w:sz w:val="18"/>
        </w:rPr>
        <w:t> </w:t>
      </w:r>
      <w:r>
        <w:rPr>
          <w:color w:val="383638"/>
          <w:w w:val="105"/>
          <w:sz w:val="18"/>
        </w:rPr>
        <w:t>of</w:t>
      </w:r>
      <w:r>
        <w:rPr>
          <w:color w:val="383638"/>
          <w:spacing w:val="24"/>
          <w:w w:val="105"/>
          <w:sz w:val="18"/>
        </w:rPr>
        <w:t> </w:t>
      </w:r>
      <w:r>
        <w:rPr>
          <w:color w:val="383638"/>
          <w:w w:val="105"/>
          <w:sz w:val="18"/>
        </w:rPr>
        <w:t>the </w:t>
      </w:r>
      <w:r>
        <w:rPr>
          <w:color w:val="383638"/>
          <w:spacing w:val="1"/>
          <w:w w:val="105"/>
          <w:sz w:val="18"/>
        </w:rPr>
        <w:t> </w:t>
      </w:r>
      <w:r>
        <w:rPr>
          <w:color w:val="383638"/>
          <w:w w:val="105"/>
          <w:sz w:val="18"/>
        </w:rPr>
        <w:t>material</w:t>
      </w:r>
      <w:r>
        <w:rPr>
          <w:color w:val="383638"/>
          <w:spacing w:val="25"/>
          <w:w w:val="105"/>
          <w:sz w:val="18"/>
        </w:rPr>
        <w:t> </w:t>
      </w:r>
      <w:r>
        <w:rPr>
          <w:color w:val="383638"/>
          <w:w w:val="105"/>
          <w:sz w:val="18"/>
        </w:rPr>
        <w:t>In</w:t>
      </w:r>
      <w:r>
        <w:rPr>
          <w:color w:val="383638"/>
          <w:spacing w:val="21"/>
          <w:w w:val="105"/>
          <w:sz w:val="18"/>
        </w:rPr>
        <w:t> </w:t>
      </w:r>
      <w:r>
        <w:rPr>
          <w:color w:val="383638"/>
          <w:w w:val="105"/>
          <w:sz w:val="18"/>
        </w:rPr>
        <w:t>this</w:t>
      </w:r>
      <w:r>
        <w:rPr>
          <w:color w:val="383638"/>
          <w:spacing w:val="-3"/>
          <w:w w:val="105"/>
          <w:sz w:val="18"/>
        </w:rPr>
        <w:t> </w:t>
      </w:r>
      <w:r>
        <w:rPr>
          <w:color w:val="383638"/>
          <w:w w:val="105"/>
          <w:sz w:val="18"/>
        </w:rPr>
        <w:t>section</w:t>
      </w:r>
      <w:r>
        <w:rPr>
          <w:color w:val="383638"/>
          <w:spacing w:val="15"/>
          <w:w w:val="105"/>
          <w:sz w:val="18"/>
        </w:rPr>
        <w:t> </w:t>
      </w:r>
      <w:r>
        <w:rPr>
          <w:color w:val="383638"/>
          <w:w w:val="105"/>
          <w:sz w:val="18"/>
        </w:rPr>
        <w:t>comes</w:t>
      </w:r>
      <w:r>
        <w:rPr>
          <w:color w:val="383638"/>
          <w:spacing w:val="5"/>
          <w:w w:val="105"/>
          <w:sz w:val="18"/>
        </w:rPr>
        <w:t> </w:t>
      </w:r>
      <w:r>
        <w:rPr>
          <w:color w:val="383638"/>
          <w:w w:val="105"/>
          <w:sz w:val="18"/>
        </w:rPr>
        <w:t>from</w:t>
      </w:r>
      <w:r>
        <w:rPr>
          <w:color w:val="383638"/>
          <w:spacing w:val="15"/>
          <w:w w:val="105"/>
          <w:sz w:val="18"/>
        </w:rPr>
        <w:t> </w:t>
      </w:r>
      <w:r>
        <w:rPr>
          <w:color w:val="383638"/>
          <w:w w:val="105"/>
          <w:sz w:val="18"/>
        </w:rPr>
        <w:t>Mary</w:t>
      </w:r>
      <w:r>
        <w:rPr>
          <w:color w:val="383638"/>
          <w:spacing w:val="29"/>
          <w:w w:val="105"/>
          <w:sz w:val="18"/>
        </w:rPr>
        <w:t> </w:t>
      </w:r>
      <w:r>
        <w:rPr>
          <w:color w:val="383638"/>
          <w:w w:val="105"/>
          <w:sz w:val="18"/>
        </w:rPr>
        <w:t>Beth</w:t>
      </w:r>
      <w:r>
        <w:rPr>
          <w:color w:val="383638"/>
          <w:spacing w:val="26"/>
          <w:w w:val="105"/>
          <w:sz w:val="18"/>
        </w:rPr>
        <w:t> </w:t>
      </w:r>
      <w:r>
        <w:rPr>
          <w:color w:val="383638"/>
          <w:w w:val="105"/>
          <w:sz w:val="18"/>
        </w:rPr>
        <w:t>Beazley,</w:t>
      </w:r>
      <w:r>
        <w:rPr>
          <w:color w:val="383638"/>
          <w:spacing w:val="10"/>
          <w:w w:val="105"/>
          <w:sz w:val="18"/>
        </w:rPr>
        <w:t> </w:t>
      </w:r>
      <w:r>
        <w:rPr>
          <w:i/>
          <w:color w:val="383638"/>
          <w:w w:val="105"/>
          <w:sz w:val="18"/>
        </w:rPr>
        <w:t>TIie</w:t>
      </w:r>
      <w:r>
        <w:rPr>
          <w:i/>
          <w:color w:val="383638"/>
          <w:spacing w:val="3"/>
          <w:w w:val="105"/>
          <w:sz w:val="18"/>
        </w:rPr>
        <w:t> </w:t>
      </w:r>
      <w:r>
        <w:rPr>
          <w:i/>
          <w:color w:val="383638"/>
          <w:w w:val="105"/>
          <w:sz w:val="18"/>
        </w:rPr>
        <w:t>Self-Graded</w:t>
      </w:r>
      <w:r>
        <w:rPr>
          <w:i/>
          <w:color w:val="383638"/>
          <w:spacing w:val="47"/>
          <w:w w:val="105"/>
          <w:sz w:val="18"/>
        </w:rPr>
        <w:t> </w:t>
      </w:r>
      <w:r>
        <w:rPr>
          <w:i/>
          <w:color w:val="383638"/>
          <w:w w:val="105"/>
          <w:sz w:val="18"/>
        </w:rPr>
        <w:t>Dra</w:t>
      </w:r>
      <w:r>
        <w:rPr>
          <w:i/>
          <w:color w:val="383638"/>
          <w:spacing w:val="19"/>
          <w:w w:val="105"/>
          <w:sz w:val="18"/>
        </w:rPr>
        <w:t> </w:t>
      </w:r>
      <w:r>
        <w:rPr>
          <w:i/>
          <w:color w:val="383638"/>
          <w:w w:val="105"/>
          <w:sz w:val="18"/>
        </w:rPr>
        <w:t>·</w:t>
      </w:r>
    </w:p>
    <w:p>
      <w:pPr>
        <w:tabs>
          <w:tab w:pos="7650" w:val="left" w:leader="none"/>
        </w:tabs>
        <w:spacing w:line="187" w:lineRule="exact" w:before="0"/>
        <w:ind w:left="116" w:right="0" w:firstLine="0"/>
        <w:jc w:val="left"/>
        <w:rPr>
          <w:sz w:val="17"/>
        </w:rPr>
      </w:pPr>
      <w:r>
        <w:rPr>
          <w:i/>
          <w:color w:val="383638"/>
          <w:w w:val="105"/>
          <w:sz w:val="17"/>
        </w:rPr>
        <w:t>Teaching</w:t>
      </w:r>
      <w:r>
        <w:rPr>
          <w:i/>
          <w:color w:val="383638"/>
          <w:spacing w:val="7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Students</w:t>
      </w:r>
      <w:r>
        <w:rPr>
          <w:i/>
          <w:color w:val="383638"/>
          <w:spacing w:val="7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to</w:t>
      </w:r>
      <w:r>
        <w:rPr>
          <w:i/>
          <w:color w:val="383638"/>
          <w:spacing w:val="5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Revise</w:t>
      </w:r>
      <w:r>
        <w:rPr>
          <w:i/>
          <w:color w:val="383638"/>
          <w:spacing w:val="-15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Using</w:t>
      </w:r>
      <w:r>
        <w:rPr>
          <w:i/>
          <w:color w:val="383638"/>
          <w:spacing w:val="-12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G11lded</w:t>
      </w:r>
      <w:r>
        <w:rPr>
          <w:i/>
          <w:color w:val="383638"/>
          <w:spacing w:val="15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Self-Crltlque,</w:t>
      </w:r>
      <w:r>
        <w:rPr>
          <w:i/>
          <w:color w:val="383638"/>
          <w:spacing w:val="-25"/>
          <w:w w:val="105"/>
          <w:sz w:val="17"/>
        </w:rPr>
        <w:t> </w:t>
      </w:r>
      <w:r>
        <w:rPr>
          <w:color w:val="383638"/>
          <w:w w:val="105"/>
          <w:sz w:val="17"/>
        </w:rPr>
        <w:t>3</w:t>
      </w:r>
      <w:r>
        <w:rPr>
          <w:color w:val="383638"/>
          <w:spacing w:val="29"/>
          <w:w w:val="105"/>
          <w:sz w:val="17"/>
        </w:rPr>
        <w:t> </w:t>
      </w:r>
      <w:r>
        <w:rPr>
          <w:color w:val="383638"/>
          <w:w w:val="105"/>
          <w:sz w:val="17"/>
        </w:rPr>
        <w:t>Legal</w:t>
      </w:r>
      <w:r>
        <w:rPr>
          <w:color w:val="383638"/>
          <w:spacing w:val="1"/>
          <w:w w:val="105"/>
          <w:sz w:val="17"/>
        </w:rPr>
        <w:t> </w:t>
      </w:r>
      <w:r>
        <w:rPr>
          <w:color w:val="383638"/>
          <w:w w:val="105"/>
          <w:sz w:val="17"/>
        </w:rPr>
        <w:t>Writing</w:t>
      </w:r>
      <w:r>
        <w:rPr>
          <w:color w:val="383638"/>
          <w:spacing w:val="14"/>
          <w:w w:val="105"/>
          <w:sz w:val="17"/>
        </w:rPr>
        <w:t> </w:t>
      </w:r>
      <w:r>
        <w:rPr>
          <w:color w:val="383638"/>
          <w:w w:val="105"/>
          <w:sz w:val="17"/>
        </w:rPr>
        <w:t>175</w:t>
      </w:r>
      <w:r>
        <w:rPr>
          <w:color w:val="383638"/>
          <w:spacing w:val="4"/>
          <w:w w:val="105"/>
          <w:sz w:val="17"/>
        </w:rPr>
        <w:t> </w:t>
      </w:r>
      <w:r>
        <w:rPr>
          <w:color w:val="383638"/>
          <w:w w:val="105"/>
          <w:sz w:val="17"/>
        </w:rPr>
        <w:t>(1997).</w:t>
        <w:tab/>
      </w:r>
      <w:r>
        <w:rPr>
          <w:color w:val="383638"/>
          <w:w w:val="110"/>
          <w:sz w:val="17"/>
        </w:rPr>
        <w:t>·</w:t>
      </w:r>
    </w:p>
    <w:p>
      <w:pPr>
        <w:spacing w:line="201" w:lineRule="exact" w:before="0"/>
        <w:ind w:left="473" w:right="0" w:firstLine="0"/>
        <w:jc w:val="left"/>
        <w:rPr>
          <w:sz w:val="18"/>
        </w:rPr>
      </w:pPr>
      <w:r>
        <w:rPr>
          <w:color w:val="383638"/>
          <w:w w:val="110"/>
          <w:position w:val="3"/>
          <w:sz w:val="11"/>
        </w:rPr>
        <w:t>2</w:t>
      </w:r>
      <w:r>
        <w:rPr>
          <w:color w:val="383638"/>
          <w:w w:val="110"/>
          <w:sz w:val="18"/>
        </w:rPr>
        <w:t>The</w:t>
      </w:r>
      <w:r>
        <w:rPr>
          <w:color w:val="383638"/>
          <w:spacing w:val="15"/>
          <w:w w:val="110"/>
          <w:sz w:val="18"/>
        </w:rPr>
        <w:t> </w:t>
      </w:r>
      <w:r>
        <w:rPr>
          <w:color w:val="383638"/>
          <w:w w:val="110"/>
          <w:sz w:val="18"/>
        </w:rPr>
        <w:t>best</w:t>
      </w:r>
      <w:r>
        <w:rPr>
          <w:color w:val="383638"/>
          <w:spacing w:val="-18"/>
          <w:w w:val="110"/>
          <w:sz w:val="18"/>
        </w:rPr>
        <w:t> </w:t>
      </w:r>
      <w:r>
        <w:rPr>
          <w:color w:val="383638"/>
          <w:w w:val="110"/>
          <w:sz w:val="18"/>
        </w:rPr>
        <w:t>course</w:t>
      </w:r>
      <w:r>
        <w:rPr>
          <w:color w:val="383638"/>
          <w:spacing w:val="-18"/>
          <w:w w:val="110"/>
          <w:sz w:val="18"/>
        </w:rPr>
        <w:t> </w:t>
      </w:r>
      <w:r>
        <w:rPr>
          <w:color w:val="383638"/>
          <w:w w:val="110"/>
          <w:sz w:val="18"/>
        </w:rPr>
        <w:t>Is</w:t>
      </w:r>
      <w:r>
        <w:rPr>
          <w:color w:val="383638"/>
          <w:spacing w:val="-16"/>
          <w:w w:val="110"/>
          <w:sz w:val="18"/>
        </w:rPr>
        <w:t> </w:t>
      </w:r>
      <w:r>
        <w:rPr>
          <w:color w:val="383638"/>
          <w:w w:val="110"/>
          <w:sz w:val="18"/>
        </w:rPr>
        <w:t>not</w:t>
      </w:r>
      <w:r>
        <w:rPr>
          <w:color w:val="383638"/>
          <w:spacing w:val="25"/>
          <w:w w:val="110"/>
          <w:sz w:val="18"/>
        </w:rPr>
        <w:t> </w:t>
      </w:r>
      <w:r>
        <w:rPr>
          <w:color w:val="383638"/>
          <w:w w:val="110"/>
          <w:sz w:val="18"/>
        </w:rPr>
        <w:t>to</w:t>
      </w:r>
      <w:r>
        <w:rPr>
          <w:color w:val="383638"/>
          <w:spacing w:val="22"/>
          <w:w w:val="110"/>
          <w:sz w:val="18"/>
        </w:rPr>
        <w:t> </w:t>
      </w:r>
      <w:r>
        <w:rPr>
          <w:color w:val="383638"/>
          <w:w w:val="110"/>
          <w:sz w:val="18"/>
        </w:rPr>
        <w:t>rely</w:t>
      </w:r>
      <w:r>
        <w:rPr>
          <w:color w:val="383638"/>
          <w:spacing w:val="-10"/>
          <w:w w:val="110"/>
          <w:sz w:val="18"/>
        </w:rPr>
        <w:t> </w:t>
      </w:r>
      <w:r>
        <w:rPr>
          <w:color w:val="383638"/>
          <w:w w:val="110"/>
          <w:sz w:val="18"/>
        </w:rPr>
        <w:t>on</w:t>
      </w:r>
      <w:r>
        <w:rPr>
          <w:color w:val="383638"/>
          <w:spacing w:val="22"/>
          <w:w w:val="110"/>
          <w:sz w:val="18"/>
        </w:rPr>
        <w:t> </w:t>
      </w:r>
      <w:r>
        <w:rPr>
          <w:color w:val="383638"/>
          <w:w w:val="110"/>
          <w:sz w:val="18"/>
        </w:rPr>
        <w:t>any</w:t>
      </w:r>
      <w:r>
        <w:rPr>
          <w:color w:val="383638"/>
          <w:spacing w:val="21"/>
          <w:w w:val="110"/>
          <w:sz w:val="18"/>
        </w:rPr>
        <w:t> </w:t>
      </w:r>
      <w:r>
        <w:rPr>
          <w:color w:val="383638"/>
          <w:w w:val="110"/>
          <w:sz w:val="18"/>
        </w:rPr>
        <w:t>one</w:t>
      </w:r>
      <w:r>
        <w:rPr>
          <w:color w:val="383638"/>
          <w:spacing w:val="29"/>
          <w:w w:val="110"/>
          <w:sz w:val="18"/>
        </w:rPr>
        <w:t> </w:t>
      </w:r>
      <w:r>
        <w:rPr>
          <w:color w:val="383638"/>
          <w:w w:val="110"/>
          <w:sz w:val="18"/>
        </w:rPr>
        <w:t>service</w:t>
      </w:r>
      <w:r>
        <w:rPr>
          <w:color w:val="383638"/>
          <w:spacing w:val="-13"/>
          <w:w w:val="110"/>
          <w:sz w:val="18"/>
        </w:rPr>
        <w:t> </w:t>
      </w:r>
      <w:r>
        <w:rPr>
          <w:color w:val="383638"/>
          <w:w w:val="110"/>
          <w:sz w:val="18"/>
        </w:rPr>
        <w:t>alone,</w:t>
      </w:r>
      <w:r>
        <w:rPr>
          <w:color w:val="383638"/>
          <w:spacing w:val="-10"/>
          <w:w w:val="110"/>
          <w:sz w:val="18"/>
        </w:rPr>
        <w:t> </w:t>
      </w:r>
      <w:r>
        <w:rPr>
          <w:color w:val="383638"/>
          <w:w w:val="110"/>
          <w:sz w:val="18"/>
        </w:rPr>
        <w:t>but</w:t>
      </w:r>
      <w:r>
        <w:rPr>
          <w:color w:val="383638"/>
          <w:spacing w:val="18"/>
          <w:w w:val="110"/>
          <w:sz w:val="18"/>
        </w:rPr>
        <w:t> </w:t>
      </w:r>
      <w:r>
        <w:rPr>
          <w:color w:val="383638"/>
          <w:w w:val="110"/>
          <w:sz w:val="18"/>
        </w:rPr>
        <w:t>to</w:t>
      </w:r>
      <w:r>
        <w:rPr>
          <w:color w:val="383638"/>
          <w:spacing w:val="9"/>
          <w:w w:val="110"/>
          <w:sz w:val="18"/>
        </w:rPr>
        <w:t> </w:t>
      </w:r>
      <w:r>
        <w:rPr>
          <w:color w:val="383638"/>
          <w:w w:val="110"/>
          <w:sz w:val="18"/>
        </w:rPr>
        <w:t>us</w:t>
      </w:r>
      <w:r>
        <w:rPr>
          <w:color w:val="565657"/>
          <w:w w:val="110"/>
          <w:sz w:val="18"/>
        </w:rPr>
        <w:t>e</w:t>
      </w:r>
      <w:r>
        <w:rPr>
          <w:color w:val="565657"/>
          <w:spacing w:val="25"/>
          <w:w w:val="110"/>
          <w:sz w:val="18"/>
        </w:rPr>
        <w:t> </w:t>
      </w:r>
      <w:r>
        <w:rPr>
          <w:color w:val="383638"/>
          <w:w w:val="110"/>
          <w:sz w:val="18"/>
        </w:rPr>
        <w:t>more</w:t>
      </w:r>
      <w:r>
        <w:rPr>
          <w:color w:val="383638"/>
          <w:spacing w:val="-7"/>
          <w:w w:val="110"/>
          <w:sz w:val="18"/>
        </w:rPr>
        <w:t> </w:t>
      </w:r>
      <w:r>
        <w:rPr>
          <w:color w:val="383638"/>
          <w:w w:val="110"/>
          <w:sz w:val="18"/>
        </w:rPr>
        <w:t>than</w:t>
      </w:r>
      <w:r>
        <w:rPr>
          <w:color w:val="383638"/>
          <w:spacing w:val="4"/>
          <w:w w:val="110"/>
          <w:sz w:val="18"/>
        </w:rPr>
        <w:t> </w:t>
      </w:r>
      <w:r>
        <w:rPr>
          <w:color w:val="383638"/>
          <w:w w:val="110"/>
          <w:sz w:val="18"/>
        </w:rPr>
        <w:t>one.</w:t>
      </w:r>
    </w:p>
    <w:p>
      <w:pPr>
        <w:spacing w:after="0" w:line="201" w:lineRule="exact"/>
        <w:jc w:val="left"/>
        <w:rPr>
          <w:sz w:val="18"/>
        </w:rPr>
        <w:sectPr>
          <w:type w:val="continuous"/>
          <w:pgSz w:w="9610" w:h="13700"/>
          <w:pgMar w:header="0" w:footer="0" w:top="340" w:bottom="280" w:left="460" w:right="680"/>
        </w:sectPr>
      </w:pPr>
    </w:p>
    <w:p>
      <w:pPr>
        <w:pStyle w:val="BodyText"/>
        <w:spacing w:line="235" w:lineRule="auto" w:before="85"/>
        <w:ind w:left="723" w:right="-15" w:firstLine="404"/>
        <w:jc w:val="both"/>
      </w:pPr>
      <w:r>
        <w:rPr>
          <w:color w:val="3A3838"/>
          <w:w w:val="105"/>
        </w:rPr>
        <w:t>After </w:t>
      </w:r>
      <w:r>
        <w:rPr>
          <w:color w:val="49494B"/>
          <w:w w:val="105"/>
        </w:rPr>
        <w:t>you </w:t>
      </w:r>
      <w:r>
        <w:rPr>
          <w:color w:val="3A3838"/>
          <w:w w:val="105"/>
        </w:rPr>
        <w:t>have </w:t>
      </w:r>
      <w:r>
        <w:rPr>
          <w:color w:val="49494B"/>
          <w:w w:val="105"/>
        </w:rPr>
        <w:t>checked </w:t>
      </w:r>
      <w:r>
        <w:rPr>
          <w:color w:val="3A3838"/>
          <w:w w:val="105"/>
        </w:rPr>
        <w:t>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validity of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points you </w:t>
      </w:r>
      <w:r>
        <w:rPr>
          <w:color w:val="49494B"/>
          <w:w w:val="105"/>
        </w:rPr>
        <w:t>are </w:t>
      </w:r>
      <w:r>
        <w:rPr>
          <w:color w:val="3A3838"/>
          <w:w w:val="105"/>
        </w:rPr>
        <w:t>trying to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make, the next step is to review your writing-the way in which you have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made those points </w:t>
      </w:r>
      <w:r>
        <w:rPr>
          <w:color w:val="49494B"/>
          <w:w w:val="105"/>
        </w:rPr>
        <w:t>in </w:t>
      </w:r>
      <w:r>
        <w:rPr>
          <w:color w:val="3A3838"/>
          <w:w w:val="105"/>
        </w:rPr>
        <w:t>your brief. At this </w:t>
      </w:r>
      <w:r>
        <w:rPr>
          <w:color w:val="49494B"/>
          <w:w w:val="105"/>
        </w:rPr>
        <w:t>stage, </w:t>
      </w:r>
      <w:r>
        <w:rPr>
          <w:color w:val="3A3838"/>
          <w:w w:val="105"/>
        </w:rPr>
        <w:t>you should review the argu­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ment for structure, focus, and completeness</w:t>
      </w:r>
      <w:r>
        <w:rPr>
          <w:color w:val="676769"/>
          <w:w w:val="105"/>
        </w:rPr>
        <w:t>. </w:t>
      </w:r>
      <w:r>
        <w:rPr>
          <w:color w:val="3A3838"/>
          <w:w w:val="105"/>
        </w:rPr>
        <w:t>Of course, it is often difficult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for people to review their own writing because they lack the psychological</w:t>
      </w:r>
      <w:r>
        <w:rPr>
          <w:color w:val="3A3838"/>
          <w:spacing w:val="1"/>
          <w:w w:val="105"/>
        </w:rPr>
        <w:t> </w:t>
      </w:r>
      <w:r>
        <w:rPr>
          <w:color w:val="49494B"/>
          <w:w w:val="105"/>
        </w:rPr>
        <w:t>distance </w:t>
      </w:r>
      <w:r>
        <w:rPr>
          <w:color w:val="2A282A"/>
          <w:w w:val="105"/>
        </w:rPr>
        <w:t>ne</w:t>
      </w:r>
      <w:r>
        <w:rPr>
          <w:color w:val="49494B"/>
          <w:w w:val="105"/>
        </w:rPr>
        <w:t>cessary </w:t>
      </w:r>
      <w:r>
        <w:rPr>
          <w:color w:val="3A3838"/>
          <w:w w:val="105"/>
        </w:rPr>
        <w:t>to see what they have actually written, to </w:t>
      </w:r>
      <w:r>
        <w:rPr>
          <w:color w:val="2A282A"/>
          <w:w w:val="105"/>
        </w:rPr>
        <w:t>distingui</w:t>
      </w:r>
      <w:r>
        <w:rPr>
          <w:color w:val="49494B"/>
          <w:w w:val="105"/>
        </w:rPr>
        <w:t>sh</w:t>
      </w:r>
      <w:r>
        <w:rPr>
          <w:color w:val="49494B"/>
          <w:spacing w:val="1"/>
          <w:w w:val="105"/>
        </w:rPr>
        <w:t> </w:t>
      </w:r>
      <w:r>
        <w:rPr>
          <w:color w:val="3A3838"/>
          <w:w w:val="105"/>
        </w:rPr>
        <w:t>between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information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on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printed page and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information still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"inside their heads." Using an exercise like the "self-graded draft" is one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way</w:t>
      </w:r>
      <w:r>
        <w:rPr>
          <w:color w:val="3A3838"/>
          <w:spacing w:val="-9"/>
          <w:w w:val="105"/>
        </w:rPr>
        <w:t> </w:t>
      </w:r>
      <w:r>
        <w:rPr>
          <w:color w:val="3A3838"/>
          <w:w w:val="105"/>
        </w:rPr>
        <w:t>to</w:t>
      </w:r>
      <w:r>
        <w:rPr>
          <w:color w:val="3A3838"/>
          <w:spacing w:val="-2"/>
          <w:w w:val="105"/>
        </w:rPr>
        <w:t> </w:t>
      </w:r>
      <w:r>
        <w:rPr>
          <w:color w:val="3A3838"/>
          <w:w w:val="105"/>
        </w:rPr>
        <w:t>combat</w:t>
      </w:r>
      <w:r>
        <w:rPr>
          <w:color w:val="3A3838"/>
          <w:spacing w:val="6"/>
          <w:w w:val="105"/>
        </w:rPr>
        <w:t> </w:t>
      </w:r>
      <w:r>
        <w:rPr>
          <w:color w:val="3A3838"/>
          <w:w w:val="105"/>
        </w:rPr>
        <w:t>these</w:t>
      </w:r>
      <w:r>
        <w:rPr>
          <w:color w:val="3A3838"/>
          <w:spacing w:val="-19"/>
          <w:w w:val="105"/>
        </w:rPr>
        <w:t> </w:t>
      </w:r>
      <w:r>
        <w:rPr>
          <w:color w:val="3A3838"/>
          <w:w w:val="105"/>
        </w:rPr>
        <w:t>difficulties.</w:t>
      </w:r>
    </w:p>
    <w:p>
      <w:pPr>
        <w:pStyle w:val="BodyText"/>
        <w:spacing w:line="235" w:lineRule="auto"/>
        <w:ind w:left="668" w:right="29" w:firstLine="394"/>
        <w:jc w:val="both"/>
      </w:pPr>
      <w:r>
        <w:rPr>
          <w:color w:val="3A3838"/>
          <w:w w:val="105"/>
        </w:rPr>
        <w:t>Completing a self-graded draft requires you to </w:t>
      </w:r>
      <w:r>
        <w:rPr>
          <w:color w:val="2A282A"/>
          <w:w w:val="105"/>
        </w:rPr>
        <w:t>review </w:t>
      </w:r>
      <w:r>
        <w:rPr>
          <w:color w:val="3A3838"/>
          <w:w w:val="105"/>
        </w:rPr>
        <w:t>your argument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and  to complete  nine fairly </w:t>
      </w:r>
      <w:r>
        <w:rPr>
          <w:color w:val="49494B"/>
          <w:w w:val="105"/>
        </w:rPr>
        <w:t>simple </w:t>
      </w:r>
      <w:r>
        <w:rPr>
          <w:color w:val="3A3838"/>
          <w:w w:val="105"/>
        </w:rPr>
        <w:t>tasks within each  analytical  segment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of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document. Although you could complete </w:t>
      </w:r>
      <w:r>
        <w:rPr>
          <w:color w:val="2A282A"/>
          <w:w w:val="105"/>
        </w:rPr>
        <w:t>many </w:t>
      </w:r>
      <w:r>
        <w:rPr>
          <w:color w:val="3A3838"/>
          <w:w w:val="105"/>
        </w:rPr>
        <w:t>different types of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self-grading tasks, </w:t>
      </w:r>
      <w:r>
        <w:rPr>
          <w:color w:val="2A282A"/>
          <w:w w:val="105"/>
        </w:rPr>
        <w:t>this </w:t>
      </w:r>
      <w:r>
        <w:rPr>
          <w:color w:val="49494B"/>
          <w:w w:val="105"/>
        </w:rPr>
        <w:t>c</w:t>
      </w:r>
      <w:r>
        <w:rPr>
          <w:color w:val="2A282A"/>
          <w:w w:val="105"/>
        </w:rPr>
        <w:t>hapter </w:t>
      </w:r>
      <w:r>
        <w:rPr>
          <w:color w:val="3A3838"/>
          <w:w w:val="105"/>
        </w:rPr>
        <w:t>illustrates the method by describing com­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mon analytical requirements and their purposes. Each of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nine </w:t>
      </w:r>
      <w:r>
        <w:rPr>
          <w:color w:val="2A282A"/>
          <w:w w:val="105"/>
        </w:rPr>
        <w:t>tasks</w:t>
      </w:r>
      <w:r>
        <w:rPr>
          <w:color w:val="2A282A"/>
          <w:spacing w:val="1"/>
          <w:w w:val="105"/>
        </w:rPr>
        <w:t> </w:t>
      </w:r>
      <w:r>
        <w:rPr>
          <w:color w:val="3A3838"/>
          <w:w w:val="105"/>
        </w:rPr>
        <w:t>should help you with one or more </w:t>
      </w:r>
      <w:r>
        <w:rPr>
          <w:color w:val="49494B"/>
          <w:w w:val="105"/>
        </w:rPr>
        <w:t>of</w:t>
      </w:r>
      <w:r>
        <w:rPr>
          <w:color w:val="49494B"/>
          <w:spacing w:val="1"/>
          <w:w w:val="105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areas of structure, focus, and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completeness.</w:t>
      </w:r>
    </w:p>
    <w:p>
      <w:pPr>
        <w:pStyle w:val="BodyText"/>
        <w:spacing w:line="235" w:lineRule="auto"/>
        <w:ind w:left="649" w:right="23" w:firstLine="357"/>
        <w:jc w:val="both"/>
      </w:pPr>
      <w:r>
        <w:rPr>
          <w:color w:val="3A3838"/>
          <w:w w:val="110"/>
        </w:rPr>
        <w:t>The</w:t>
      </w:r>
      <w:r>
        <w:rPr>
          <w:color w:val="3A3838"/>
          <w:spacing w:val="-37"/>
          <w:w w:val="110"/>
        </w:rPr>
        <w:t> </w:t>
      </w:r>
      <w:r>
        <w:rPr>
          <w:color w:val="3A3838"/>
          <w:w w:val="110"/>
        </w:rPr>
        <w:t>nine</w:t>
      </w:r>
      <w:r>
        <w:rPr>
          <w:color w:val="3A3838"/>
          <w:spacing w:val="-27"/>
          <w:w w:val="110"/>
        </w:rPr>
        <w:t> </w:t>
      </w:r>
      <w:r>
        <w:rPr>
          <w:color w:val="2A282A"/>
          <w:w w:val="110"/>
        </w:rPr>
        <w:t>tasks</w:t>
      </w:r>
      <w:r>
        <w:rPr>
          <w:color w:val="2A282A"/>
          <w:spacing w:val="-35"/>
          <w:w w:val="110"/>
        </w:rPr>
        <w:t> </w:t>
      </w:r>
      <w:r>
        <w:rPr>
          <w:color w:val="3A3838"/>
          <w:w w:val="110"/>
        </w:rPr>
        <w:t>require</w:t>
      </w:r>
      <w:r>
        <w:rPr>
          <w:color w:val="3A3838"/>
          <w:spacing w:val="-30"/>
          <w:w w:val="110"/>
        </w:rPr>
        <w:t> </w:t>
      </w:r>
      <w:r>
        <w:rPr>
          <w:color w:val="3A3838"/>
          <w:w w:val="110"/>
        </w:rPr>
        <w:t>you</w:t>
      </w:r>
      <w:r>
        <w:rPr>
          <w:color w:val="3A3838"/>
          <w:spacing w:val="-21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-16"/>
          <w:w w:val="110"/>
        </w:rPr>
        <w:t> </w:t>
      </w:r>
      <w:r>
        <w:rPr>
          <w:color w:val="3A3838"/>
          <w:w w:val="110"/>
        </w:rPr>
        <w:t>use</w:t>
      </w:r>
      <w:r>
        <w:rPr>
          <w:color w:val="3A3838"/>
          <w:spacing w:val="-25"/>
          <w:w w:val="110"/>
        </w:rPr>
        <w:t> </w:t>
      </w:r>
      <w:r>
        <w:rPr>
          <w:color w:val="3A3838"/>
          <w:w w:val="110"/>
        </w:rPr>
        <w:t>both</w:t>
      </w:r>
      <w:r>
        <w:rPr>
          <w:color w:val="3A3838"/>
          <w:spacing w:val="-25"/>
          <w:w w:val="110"/>
        </w:rPr>
        <w:t> </w:t>
      </w:r>
      <w:r>
        <w:rPr>
          <w:color w:val="3A3838"/>
          <w:w w:val="110"/>
        </w:rPr>
        <w:t>objective</w:t>
      </w:r>
      <w:r>
        <w:rPr>
          <w:color w:val="3A3838"/>
          <w:spacing w:val="-18"/>
          <w:w w:val="110"/>
        </w:rPr>
        <w:t> </w:t>
      </w:r>
      <w:r>
        <w:rPr>
          <w:color w:val="3A3838"/>
          <w:w w:val="110"/>
        </w:rPr>
        <w:t>methods</w:t>
      </w:r>
      <w:r>
        <w:rPr>
          <w:color w:val="3A3838"/>
          <w:spacing w:val="-28"/>
          <w:w w:val="110"/>
        </w:rPr>
        <w:t> </w:t>
      </w:r>
      <w:r>
        <w:rPr>
          <w:color w:val="3A3838"/>
          <w:w w:val="110"/>
        </w:rPr>
        <w:t>(highlighting)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and subjective methods (marginal notes) to find and </w:t>
      </w:r>
      <w:r>
        <w:rPr>
          <w:color w:val="2A282A"/>
          <w:w w:val="110"/>
        </w:rPr>
        <w:t>label </w:t>
      </w:r>
      <w:r>
        <w:rPr>
          <w:color w:val="3A3838"/>
          <w:w w:val="110"/>
        </w:rPr>
        <w:t>the elements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0"/>
        </w:rPr>
        <w:t>of the CREXAC </w:t>
      </w:r>
      <w:r>
        <w:rPr>
          <w:color w:val="3A3838"/>
          <w:w w:val="110"/>
        </w:rPr>
        <w:t>formula (Conclusion, Rule, Explanation, Application,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Connection-Conclusion)</w:t>
      </w:r>
      <w:r>
        <w:rPr>
          <w:color w:val="3A3838"/>
          <w:spacing w:val="7"/>
          <w:w w:val="105"/>
        </w:rPr>
        <w:t> </w:t>
      </w:r>
      <w:r>
        <w:rPr>
          <w:color w:val="3A3838"/>
          <w:w w:val="105"/>
        </w:rPr>
        <w:t>within </w:t>
      </w:r>
      <w:r>
        <w:rPr>
          <w:rFonts w:ascii="Arial"/>
          <w:i/>
          <w:color w:val="3A3838"/>
          <w:w w:val="105"/>
          <w:sz w:val="20"/>
        </w:rPr>
        <w:t>each</w:t>
      </w:r>
      <w:r>
        <w:rPr>
          <w:rFonts w:ascii="Arial"/>
          <w:i/>
          <w:color w:val="3A3838"/>
          <w:spacing w:val="9"/>
          <w:w w:val="105"/>
          <w:sz w:val="20"/>
        </w:rPr>
        <w:t> </w:t>
      </w:r>
      <w:r>
        <w:rPr>
          <w:color w:val="3A3838"/>
          <w:w w:val="105"/>
        </w:rPr>
        <w:t>analytical</w:t>
      </w:r>
      <w:r>
        <w:rPr>
          <w:color w:val="3A3838"/>
          <w:spacing w:val="30"/>
          <w:w w:val="105"/>
        </w:rPr>
        <w:t> </w:t>
      </w:r>
      <w:r>
        <w:rPr>
          <w:color w:val="3A3838"/>
          <w:w w:val="105"/>
        </w:rPr>
        <w:t>section</w:t>
      </w:r>
      <w:r>
        <w:rPr>
          <w:color w:val="3A3838"/>
          <w:spacing w:val="19"/>
          <w:w w:val="105"/>
        </w:rPr>
        <w:t> </w:t>
      </w:r>
      <w:r>
        <w:rPr>
          <w:color w:val="3A3838"/>
          <w:w w:val="105"/>
        </w:rPr>
        <w:t>of</w:t>
      </w:r>
      <w:r>
        <w:rPr>
          <w:color w:val="3A3838"/>
          <w:spacing w:val="34"/>
          <w:w w:val="105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14"/>
          <w:w w:val="105"/>
        </w:rPr>
        <w:t> </w:t>
      </w:r>
      <w:r>
        <w:rPr>
          <w:color w:val="3A3838"/>
          <w:w w:val="105"/>
        </w:rPr>
        <w:t>document.</w:t>
      </w:r>
    </w:p>
    <w:p>
      <w:pPr>
        <w:pStyle w:val="BodyText"/>
        <w:spacing w:before="11"/>
        <w:rPr>
          <w:sz w:val="24"/>
        </w:rPr>
      </w:pPr>
    </w:p>
    <w:p>
      <w:pPr>
        <w:spacing w:before="91"/>
        <w:ind w:left="992" w:right="0" w:firstLine="0"/>
        <w:jc w:val="left"/>
        <w:rPr>
          <w:rFonts w:ascii="Arial"/>
          <w:b/>
          <w:sz w:val="29"/>
        </w:rPr>
      </w:pPr>
      <w:r>
        <w:rPr>
          <w:rFonts w:ascii="Arial"/>
          <w:b/>
          <w:color w:val="2A282A"/>
          <w:sz w:val="29"/>
        </w:rPr>
        <w:t>7.1.1</w:t>
      </w:r>
    </w:p>
    <w:p>
      <w:pPr>
        <w:spacing w:before="60"/>
        <w:ind w:left="989" w:right="0" w:firstLine="0"/>
        <w:jc w:val="left"/>
        <w:rPr>
          <w:rFonts w:ascii="Arial"/>
          <w:sz w:val="21"/>
        </w:rPr>
      </w:pPr>
      <w:r>
        <w:rPr>
          <w:rFonts w:ascii="Arial"/>
          <w:color w:val="3A3838"/>
          <w:w w:val="105"/>
          <w:sz w:val="21"/>
        </w:rPr>
        <w:t>BACKGROUND</w:t>
      </w:r>
    </w:p>
    <w:p>
      <w:pPr>
        <w:pStyle w:val="BodyText"/>
        <w:spacing w:line="235" w:lineRule="auto" w:before="130"/>
        <w:ind w:left="572" w:right="61" w:firstLine="405"/>
        <w:jc w:val="both"/>
      </w:pPr>
      <w:r>
        <w:rPr>
          <w:color w:val="3A3838"/>
          <w:w w:val="110"/>
        </w:rPr>
        <w:t>The self-graded draft is an objective, focused critiquing </w:t>
      </w:r>
      <w:r>
        <w:rPr>
          <w:color w:val="49494B"/>
          <w:w w:val="110"/>
        </w:rPr>
        <w:t>exercise </w:t>
      </w:r>
      <w:r>
        <w:rPr>
          <w:color w:val="2A282A"/>
          <w:w w:val="110"/>
        </w:rPr>
        <w:t>that</w:t>
      </w:r>
      <w:r>
        <w:rPr>
          <w:color w:val="2A282A"/>
          <w:spacing w:val="-61"/>
          <w:w w:val="110"/>
        </w:rPr>
        <w:t> </w:t>
      </w:r>
      <w:r>
        <w:rPr>
          <w:color w:val="3A3838"/>
          <w:w w:val="105"/>
        </w:rPr>
        <w:t>helps writers avoid the self-delusion that often interferes with self-editing.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Essentially, the exercise asks you to find, mark, and evaluate individual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elements within </w:t>
      </w:r>
      <w:r>
        <w:rPr>
          <w:color w:val="49494B"/>
          <w:w w:val="110"/>
        </w:rPr>
        <w:t>each </w:t>
      </w:r>
      <w:r>
        <w:rPr>
          <w:color w:val="3A3838"/>
          <w:w w:val="110"/>
        </w:rPr>
        <w:t>part of your document. The process of finding the</w:t>
      </w:r>
      <w:r>
        <w:rPr>
          <w:color w:val="3A3838"/>
          <w:spacing w:val="1"/>
          <w:w w:val="110"/>
        </w:rPr>
        <w:t> </w:t>
      </w:r>
      <w:r>
        <w:rPr>
          <w:color w:val="49494B"/>
          <w:w w:val="110"/>
        </w:rPr>
        <w:t>elements </w:t>
      </w:r>
      <w:r>
        <w:rPr>
          <w:color w:val="3A3838"/>
          <w:w w:val="110"/>
        </w:rPr>
        <w:t>and of </w:t>
      </w:r>
      <w:r>
        <w:rPr>
          <w:color w:val="2A282A"/>
          <w:w w:val="110"/>
        </w:rPr>
        <w:t>labeling </w:t>
      </w:r>
      <w:r>
        <w:rPr>
          <w:color w:val="3A3838"/>
          <w:w w:val="110"/>
        </w:rPr>
        <w:t>them or highlighting them encourages you to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focus</w:t>
      </w:r>
      <w:r>
        <w:rPr>
          <w:color w:val="3A3838"/>
          <w:spacing w:val="-27"/>
          <w:w w:val="110"/>
        </w:rPr>
        <w:t> </w:t>
      </w:r>
      <w:r>
        <w:rPr>
          <w:color w:val="3A3838"/>
          <w:w w:val="110"/>
        </w:rPr>
        <w:t>your</w:t>
      </w:r>
      <w:r>
        <w:rPr>
          <w:color w:val="3A3838"/>
          <w:spacing w:val="-21"/>
          <w:w w:val="110"/>
        </w:rPr>
        <w:t> </w:t>
      </w:r>
      <w:r>
        <w:rPr>
          <w:color w:val="3A3838"/>
          <w:w w:val="110"/>
        </w:rPr>
        <w:t>attention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on one</w:t>
      </w:r>
      <w:r>
        <w:rPr>
          <w:color w:val="3A3838"/>
          <w:spacing w:val="-23"/>
          <w:w w:val="110"/>
        </w:rPr>
        <w:t> </w:t>
      </w:r>
      <w:r>
        <w:rPr>
          <w:color w:val="49494B"/>
          <w:w w:val="110"/>
        </w:rPr>
        <w:t>e</w:t>
      </w:r>
      <w:r>
        <w:rPr>
          <w:color w:val="2A282A"/>
          <w:w w:val="110"/>
        </w:rPr>
        <w:t>l</w:t>
      </w:r>
      <w:r>
        <w:rPr>
          <w:color w:val="49494B"/>
          <w:w w:val="110"/>
        </w:rPr>
        <w:t>ement</w:t>
      </w:r>
      <w:r>
        <w:rPr>
          <w:color w:val="49494B"/>
          <w:spacing w:val="-8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4"/>
          <w:w w:val="110"/>
        </w:rPr>
        <w:t> </w:t>
      </w:r>
      <w:r>
        <w:rPr>
          <w:color w:val="3A3838"/>
          <w:w w:val="110"/>
        </w:rPr>
        <w:t>document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at</w:t>
      </w:r>
      <w:r>
        <w:rPr>
          <w:color w:val="3A3838"/>
          <w:spacing w:val="-6"/>
          <w:w w:val="110"/>
        </w:rPr>
        <w:t> </w:t>
      </w:r>
      <w:r>
        <w:rPr>
          <w:color w:val="49494B"/>
          <w:w w:val="110"/>
        </w:rPr>
        <w:t>a</w:t>
      </w:r>
      <w:r>
        <w:rPr>
          <w:color w:val="49494B"/>
          <w:spacing w:val="4"/>
          <w:w w:val="110"/>
        </w:rPr>
        <w:t> </w:t>
      </w:r>
      <w:r>
        <w:rPr>
          <w:color w:val="3A3838"/>
          <w:w w:val="110"/>
        </w:rPr>
        <w:t>time.</w:t>
      </w:r>
      <w:r>
        <w:rPr>
          <w:color w:val="3A3838"/>
          <w:spacing w:val="-22"/>
          <w:w w:val="110"/>
        </w:rPr>
        <w:t> </w:t>
      </w:r>
      <w:r>
        <w:rPr>
          <w:color w:val="3A3838"/>
          <w:w w:val="110"/>
        </w:rPr>
        <w:t>This</w:t>
      </w:r>
      <w:r>
        <w:rPr>
          <w:color w:val="3A3838"/>
          <w:spacing w:val="-26"/>
          <w:w w:val="110"/>
        </w:rPr>
        <w:t> </w:t>
      </w:r>
      <w:r>
        <w:rPr>
          <w:color w:val="3A3838"/>
          <w:w w:val="110"/>
        </w:rPr>
        <w:t>focus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05"/>
        </w:rPr>
        <w:t>often helps to provide enough psychological distance to allow you to con­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duct</w:t>
      </w:r>
      <w:r>
        <w:rPr>
          <w:color w:val="3A3838"/>
          <w:spacing w:val="-15"/>
          <w:w w:val="110"/>
        </w:rPr>
        <w:t> </w:t>
      </w:r>
      <w:r>
        <w:rPr>
          <w:color w:val="3A3838"/>
          <w:w w:val="110"/>
        </w:rPr>
        <w:t>an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objective</w:t>
      </w:r>
      <w:r>
        <w:rPr>
          <w:color w:val="3A3838"/>
          <w:spacing w:val="-11"/>
          <w:w w:val="110"/>
        </w:rPr>
        <w:t> </w:t>
      </w:r>
      <w:r>
        <w:rPr>
          <w:color w:val="3A3838"/>
          <w:w w:val="110"/>
        </w:rPr>
        <w:t>evaluation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14"/>
          <w:w w:val="110"/>
        </w:rPr>
        <w:t> </w:t>
      </w:r>
      <w:r>
        <w:rPr>
          <w:color w:val="3A3838"/>
          <w:w w:val="110"/>
        </w:rPr>
        <w:t>your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writing</w:t>
      </w:r>
      <w:r>
        <w:rPr>
          <w:color w:val="3A3838"/>
          <w:spacing w:val="-15"/>
          <w:w w:val="110"/>
        </w:rPr>
        <w:t> </w:t>
      </w:r>
      <w:r>
        <w:rPr>
          <w:color w:val="3A3838"/>
          <w:w w:val="110"/>
        </w:rPr>
        <w:t>and</w:t>
      </w:r>
      <w:r>
        <w:rPr>
          <w:color w:val="3A3838"/>
          <w:spacing w:val="25"/>
          <w:w w:val="110"/>
        </w:rPr>
        <w:t> </w:t>
      </w:r>
      <w:r>
        <w:rPr>
          <w:color w:val="3A3838"/>
          <w:w w:val="110"/>
        </w:rPr>
        <w:t>then</w:t>
      </w:r>
      <w:r>
        <w:rPr>
          <w:color w:val="3A3838"/>
          <w:spacing w:val="-5"/>
          <w:w w:val="110"/>
        </w:rPr>
        <w:t> </w:t>
      </w:r>
      <w:r>
        <w:rPr>
          <w:color w:val="3A3838"/>
          <w:w w:val="110"/>
        </w:rPr>
        <w:t>improve</w:t>
      </w:r>
      <w:r>
        <w:rPr>
          <w:color w:val="3A3838"/>
          <w:spacing w:val="-5"/>
          <w:w w:val="110"/>
        </w:rPr>
        <w:t> </w:t>
      </w:r>
      <w:r>
        <w:rPr>
          <w:color w:val="3A3838"/>
          <w:w w:val="110"/>
        </w:rPr>
        <w:t>it.</w:t>
      </w:r>
    </w:p>
    <w:p>
      <w:pPr>
        <w:pStyle w:val="BodyText"/>
        <w:spacing w:line="230" w:lineRule="auto"/>
        <w:ind w:left="510" w:right="83" w:firstLine="424"/>
        <w:jc w:val="both"/>
      </w:pPr>
      <w:r>
        <w:rPr>
          <w:color w:val="3A3838"/>
          <w:w w:val="105"/>
        </w:rPr>
        <w:t>An </w:t>
      </w:r>
      <w:r>
        <w:rPr>
          <w:color w:val="49494B"/>
          <w:w w:val="105"/>
        </w:rPr>
        <w:t>"objective" </w:t>
      </w:r>
      <w:r>
        <w:rPr>
          <w:color w:val="3A3838"/>
          <w:w w:val="105"/>
        </w:rPr>
        <w:t>or focused critiquing method is particularly helpful in</w:t>
      </w:r>
      <w:r>
        <w:rPr>
          <w:color w:val="3A3838"/>
          <w:spacing w:val="1"/>
          <w:w w:val="105"/>
        </w:rPr>
        <w:t> </w:t>
      </w:r>
      <w:r>
        <w:rPr>
          <w:color w:val="2A282A"/>
          <w:w w:val="110"/>
        </w:rPr>
        <w:t>legal </w:t>
      </w:r>
      <w:r>
        <w:rPr>
          <w:color w:val="3A3838"/>
          <w:w w:val="110"/>
        </w:rPr>
        <w:t>writing because of the predictable structure of legal documents 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the predictable behavior of </w:t>
      </w:r>
      <w:r>
        <w:rPr>
          <w:color w:val="2A282A"/>
          <w:w w:val="105"/>
        </w:rPr>
        <w:t>legal </w:t>
      </w:r>
      <w:r>
        <w:rPr>
          <w:color w:val="3A3838"/>
          <w:w w:val="105"/>
        </w:rPr>
        <w:t>readers and legal writers. Most legal docu­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ments</w:t>
      </w:r>
      <w:r>
        <w:rPr>
          <w:color w:val="3A3838"/>
          <w:spacing w:val="-14"/>
          <w:w w:val="110"/>
        </w:rPr>
        <w:t> </w:t>
      </w:r>
      <w:r>
        <w:rPr>
          <w:color w:val="3A3838"/>
          <w:w w:val="110"/>
        </w:rPr>
        <w:t>have</w:t>
      </w:r>
      <w:r>
        <w:rPr>
          <w:color w:val="3A3838"/>
          <w:spacing w:val="-20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-13"/>
          <w:w w:val="110"/>
        </w:rPr>
        <w:t> </w:t>
      </w:r>
      <w:r>
        <w:rPr>
          <w:color w:val="3A3838"/>
          <w:w w:val="110"/>
        </w:rPr>
        <w:t>set</w:t>
      </w:r>
      <w:r>
        <w:rPr>
          <w:color w:val="3A3838"/>
          <w:spacing w:val="-5"/>
          <w:w w:val="110"/>
        </w:rPr>
        <w:t> </w:t>
      </w:r>
      <w:r>
        <w:rPr>
          <w:color w:val="3A3838"/>
          <w:w w:val="110"/>
        </w:rPr>
        <w:t>format,</w:t>
      </w:r>
      <w:r>
        <w:rPr>
          <w:color w:val="3A3838"/>
          <w:spacing w:val="-24"/>
          <w:w w:val="110"/>
        </w:rPr>
        <w:t> </w:t>
      </w:r>
      <w:r>
        <w:rPr>
          <w:color w:val="3A3838"/>
          <w:w w:val="110"/>
        </w:rPr>
        <w:t>and</w:t>
      </w:r>
      <w:r>
        <w:rPr>
          <w:color w:val="3A3838"/>
          <w:spacing w:val="18"/>
          <w:w w:val="110"/>
        </w:rPr>
        <w:t> </w:t>
      </w:r>
      <w:r>
        <w:rPr>
          <w:color w:val="3A3838"/>
          <w:w w:val="110"/>
        </w:rPr>
        <w:t>they</w:t>
      </w:r>
      <w:r>
        <w:rPr>
          <w:color w:val="3A3838"/>
          <w:spacing w:val="-18"/>
          <w:w w:val="110"/>
        </w:rPr>
        <w:t> </w:t>
      </w:r>
      <w:r>
        <w:rPr>
          <w:color w:val="3A3838"/>
          <w:w w:val="110"/>
        </w:rPr>
        <w:t>require</w:t>
      </w:r>
      <w:r>
        <w:rPr>
          <w:color w:val="3A3838"/>
          <w:spacing w:val="-19"/>
          <w:w w:val="110"/>
        </w:rPr>
        <w:t> </w:t>
      </w:r>
      <w:r>
        <w:rPr>
          <w:color w:val="3A3838"/>
          <w:w w:val="110"/>
        </w:rPr>
        <w:t>analytical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elements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are</w:t>
      </w:r>
      <w:r>
        <w:rPr>
          <w:color w:val="3A3838"/>
          <w:spacing w:val="-27"/>
          <w:w w:val="110"/>
        </w:rPr>
        <w:t> </w:t>
      </w:r>
      <w:r>
        <w:rPr>
          <w:color w:val="3A3838"/>
          <w:w w:val="110"/>
        </w:rPr>
        <w:t>usu­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ally found at predictable </w:t>
      </w:r>
      <w:r>
        <w:rPr>
          <w:color w:val="49494B"/>
          <w:w w:val="110"/>
        </w:rPr>
        <w:t>"inte</w:t>
      </w:r>
      <w:r>
        <w:rPr>
          <w:color w:val="2A282A"/>
          <w:w w:val="110"/>
        </w:rPr>
        <w:t>llectual </w:t>
      </w:r>
      <w:r>
        <w:rPr>
          <w:color w:val="3A3838"/>
          <w:w w:val="110"/>
        </w:rPr>
        <w:t>locations" within the format. In a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brief, for </w:t>
      </w:r>
      <w:r>
        <w:rPr>
          <w:color w:val="49494B"/>
          <w:w w:val="105"/>
        </w:rPr>
        <w:t>example, </w:t>
      </w:r>
      <w:r>
        <w:rPr>
          <w:color w:val="3A3838"/>
          <w:w w:val="105"/>
        </w:rPr>
        <w:t>"intellectual locations" would include elements within</w:t>
      </w:r>
      <w:r>
        <w:rPr>
          <w:color w:val="3A3838"/>
          <w:spacing w:val="1"/>
          <w:w w:val="105"/>
        </w:rPr>
        <w:t> </w:t>
      </w:r>
      <w:r>
        <w:rPr>
          <w:color w:val="49494B"/>
          <w:w w:val="110"/>
        </w:rPr>
        <w:t>eac</w:t>
      </w:r>
      <w:r>
        <w:rPr>
          <w:color w:val="2A282A"/>
          <w:w w:val="110"/>
        </w:rPr>
        <w:t>h </w:t>
      </w:r>
      <w:r>
        <w:rPr>
          <w:color w:val="3A3838"/>
          <w:w w:val="110"/>
        </w:rPr>
        <w:t>CREXAC unit of discourse</w:t>
      </w:r>
      <w:r>
        <w:rPr>
          <w:rFonts w:ascii="Arial" w:hAnsi="Arial"/>
          <w:color w:val="3A3838"/>
          <w:w w:val="110"/>
          <w:position w:val="11"/>
          <w:sz w:val="12"/>
        </w:rPr>
        <w:t>3</w:t>
      </w:r>
      <w:r>
        <w:rPr>
          <w:rFonts w:ascii="Arial" w:hAnsi="Arial"/>
          <w:color w:val="3A3838"/>
          <w:w w:val="110"/>
          <w:sz w:val="12"/>
        </w:rPr>
        <w:t>:</w:t>
      </w:r>
      <w:r>
        <w:rPr>
          <w:rFonts w:ascii="Arial" w:hAnsi="Arial"/>
          <w:color w:val="3A3838"/>
          <w:spacing w:val="1"/>
          <w:w w:val="110"/>
          <w:sz w:val="12"/>
        </w:rPr>
        <w:t> </w:t>
      </w:r>
      <w:r>
        <w:rPr>
          <w:color w:val="3A3838"/>
          <w:w w:val="110"/>
        </w:rPr>
        <w:t>the statement of the rule, the explana­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tion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13"/>
          <w:w w:val="110"/>
        </w:rPr>
        <w:t> </w:t>
      </w:r>
      <w:r>
        <w:rPr>
          <w:color w:val="2A282A"/>
          <w:w w:val="110"/>
        </w:rPr>
        <w:t>th</w:t>
      </w:r>
      <w:r>
        <w:rPr>
          <w:color w:val="49494B"/>
          <w:w w:val="110"/>
        </w:rPr>
        <w:t>at</w:t>
      </w:r>
      <w:r>
        <w:rPr>
          <w:color w:val="49494B"/>
          <w:spacing w:val="28"/>
          <w:w w:val="110"/>
        </w:rPr>
        <w:t> </w:t>
      </w:r>
      <w:r>
        <w:rPr>
          <w:color w:val="3A3838"/>
          <w:w w:val="110"/>
        </w:rPr>
        <w:t>rule,</w:t>
      </w:r>
      <w:r>
        <w:rPr>
          <w:color w:val="3A3838"/>
          <w:spacing w:val="-17"/>
          <w:w w:val="110"/>
        </w:rPr>
        <w:t> </w:t>
      </w:r>
      <w:r>
        <w:rPr>
          <w:color w:val="3A3838"/>
          <w:w w:val="110"/>
        </w:rPr>
        <w:t>and</w:t>
      </w:r>
      <w:r>
        <w:rPr>
          <w:color w:val="3A3838"/>
          <w:spacing w:val="30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7"/>
          <w:w w:val="110"/>
        </w:rPr>
        <w:t> </w:t>
      </w:r>
      <w:r>
        <w:rPr>
          <w:color w:val="3A3838"/>
          <w:w w:val="110"/>
        </w:rPr>
        <w:t>application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6"/>
          <w:w w:val="110"/>
        </w:rPr>
        <w:t> </w:t>
      </w:r>
      <w:r>
        <w:rPr>
          <w:color w:val="3A3838"/>
          <w:w w:val="110"/>
        </w:rPr>
        <w:t>rule</w:t>
      </w:r>
      <w:r>
        <w:rPr>
          <w:color w:val="3A3838"/>
          <w:spacing w:val="-9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-2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4"/>
          <w:w w:val="110"/>
        </w:rPr>
        <w:t> </w:t>
      </w:r>
      <w:r>
        <w:rPr>
          <w:color w:val="3A3838"/>
          <w:w w:val="110"/>
        </w:rPr>
        <w:t>facts.</w:t>
      </w:r>
    </w:p>
    <w:p>
      <w:pPr>
        <w:pStyle w:val="BodyText"/>
        <w:spacing w:before="2"/>
        <w:rPr>
          <w:sz w:val="31"/>
        </w:rPr>
      </w:pPr>
    </w:p>
    <w:p>
      <w:pPr>
        <w:spacing w:line="228" w:lineRule="auto" w:before="0"/>
        <w:ind w:left="455" w:right="98" w:firstLine="397"/>
        <w:jc w:val="both"/>
        <w:rPr>
          <w:sz w:val="18"/>
        </w:rPr>
      </w:pPr>
      <w:r>
        <w:rPr>
          <w:color w:val="3A3838"/>
          <w:w w:val="105"/>
          <w:sz w:val="18"/>
        </w:rPr>
        <w:t>'As noted </w:t>
      </w:r>
      <w:r>
        <w:rPr>
          <w:color w:val="2A282A"/>
          <w:w w:val="105"/>
          <w:sz w:val="18"/>
        </w:rPr>
        <w:t>In </w:t>
      </w:r>
      <w:r>
        <w:rPr>
          <w:color w:val="49494B"/>
          <w:w w:val="105"/>
          <w:sz w:val="18"/>
        </w:rPr>
        <w:t>Chapter Five, </w:t>
      </w:r>
      <w:r>
        <w:rPr>
          <w:color w:val="3A3838"/>
          <w:w w:val="105"/>
          <w:sz w:val="18"/>
        </w:rPr>
        <w:t>I use the term </w:t>
      </w:r>
      <w:r>
        <w:rPr>
          <w:i/>
          <w:color w:val="3A3838"/>
          <w:w w:val="105"/>
          <w:sz w:val="17"/>
        </w:rPr>
        <w:t>CREXAC unit of discourse </w:t>
      </w:r>
      <w:r>
        <w:rPr>
          <w:color w:val="3A3838"/>
          <w:w w:val="105"/>
          <w:sz w:val="18"/>
        </w:rPr>
        <w:t>to mean a section </w:t>
      </w:r>
      <w:r>
        <w:rPr>
          <w:color w:val="49494B"/>
          <w:w w:val="105"/>
          <w:sz w:val="18"/>
        </w:rPr>
        <w:t>of </w:t>
      </w:r>
      <w:r>
        <w:rPr>
          <w:color w:val="3A3838"/>
          <w:w w:val="105"/>
          <w:sz w:val="18"/>
        </w:rPr>
        <w:t>your</w:t>
      </w:r>
      <w:r>
        <w:rPr>
          <w:color w:val="3A3838"/>
          <w:spacing w:val="1"/>
          <w:w w:val="105"/>
          <w:sz w:val="18"/>
        </w:rPr>
        <w:t> </w:t>
      </w:r>
      <w:r>
        <w:rPr>
          <w:color w:val="3A3838"/>
          <w:w w:val="105"/>
          <w:sz w:val="18"/>
        </w:rPr>
        <w:t>document </w:t>
      </w:r>
      <w:r>
        <w:rPr>
          <w:color w:val="49494B"/>
          <w:w w:val="105"/>
          <w:sz w:val="18"/>
        </w:rPr>
        <w:t>Jn </w:t>
      </w:r>
      <w:r>
        <w:rPr>
          <w:color w:val="3A3838"/>
          <w:w w:val="105"/>
          <w:sz w:val="18"/>
        </w:rPr>
        <w:t>which you use legal analysis to prove </w:t>
      </w:r>
      <w:r>
        <w:rPr>
          <w:color w:val="49494B"/>
          <w:w w:val="105"/>
          <w:sz w:val="18"/>
        </w:rPr>
        <w:t>the </w:t>
      </w:r>
      <w:r>
        <w:rPr>
          <w:color w:val="3A3838"/>
          <w:w w:val="105"/>
          <w:sz w:val="18"/>
        </w:rPr>
        <w:t>truth </w:t>
      </w:r>
      <w:r>
        <w:rPr>
          <w:color w:val="49494B"/>
          <w:w w:val="105"/>
          <w:sz w:val="18"/>
        </w:rPr>
        <w:t>o</w:t>
      </w:r>
      <w:r>
        <w:rPr>
          <w:color w:val="2A282A"/>
          <w:w w:val="105"/>
          <w:sz w:val="18"/>
        </w:rPr>
        <w:t>r </w:t>
      </w:r>
      <w:r>
        <w:rPr>
          <w:color w:val="3A3838"/>
          <w:w w:val="105"/>
          <w:sz w:val="18"/>
        </w:rPr>
        <w:t>validity </w:t>
      </w:r>
      <w:r>
        <w:rPr>
          <w:color w:val="49494B"/>
          <w:w w:val="105"/>
          <w:sz w:val="18"/>
        </w:rPr>
        <w:t>of </w:t>
      </w:r>
      <w:r>
        <w:rPr>
          <w:color w:val="3A3838"/>
          <w:w w:val="105"/>
          <w:sz w:val="18"/>
        </w:rPr>
        <w:t>an</w:t>
      </w:r>
      <w:r>
        <w:rPr>
          <w:color w:val="3A3838"/>
          <w:spacing w:val="1"/>
          <w:w w:val="105"/>
          <w:sz w:val="18"/>
        </w:rPr>
        <w:t> </w:t>
      </w:r>
      <w:r>
        <w:rPr>
          <w:color w:val="3A3838"/>
          <w:w w:val="105"/>
          <w:sz w:val="18"/>
        </w:rPr>
        <w:t>assertion. Thus,</w:t>
      </w:r>
      <w:r>
        <w:rPr>
          <w:color w:val="3A3838"/>
          <w:spacing w:val="1"/>
          <w:w w:val="105"/>
          <w:sz w:val="18"/>
        </w:rPr>
        <w:t> </w:t>
      </w:r>
      <w:r>
        <w:rPr>
          <w:color w:val="3A3838"/>
          <w:w w:val="105"/>
          <w:sz w:val="18"/>
        </w:rPr>
        <w:t>introductory material</w:t>
      </w:r>
      <w:r>
        <w:rPr>
          <w:color w:val="3A3838"/>
          <w:spacing w:val="1"/>
          <w:w w:val="105"/>
          <w:sz w:val="18"/>
        </w:rPr>
        <w:t> </w:t>
      </w:r>
      <w:r>
        <w:rPr>
          <w:color w:val="49494B"/>
          <w:w w:val="105"/>
          <w:sz w:val="18"/>
        </w:rPr>
        <w:t>between </w:t>
      </w:r>
      <w:r>
        <w:rPr>
          <w:color w:val="3A3838"/>
          <w:w w:val="105"/>
          <w:sz w:val="18"/>
        </w:rPr>
        <w:t>an  </w:t>
      </w:r>
      <w:r>
        <w:rPr>
          <w:color w:val="49494B"/>
          <w:w w:val="105"/>
          <w:sz w:val="18"/>
        </w:rPr>
        <w:t>"A# </w:t>
      </w:r>
      <w:r>
        <w:rPr>
          <w:color w:val="3A3838"/>
          <w:w w:val="105"/>
          <w:sz w:val="18"/>
        </w:rPr>
        <w:t>heading and a </w:t>
      </w:r>
      <w:r>
        <w:rPr>
          <w:color w:val="49494B"/>
          <w:w w:val="105"/>
          <w:sz w:val="18"/>
        </w:rPr>
        <w:t>"1" </w:t>
      </w:r>
      <w:r>
        <w:rPr>
          <w:color w:val="3A3838"/>
          <w:w w:val="105"/>
          <w:sz w:val="18"/>
        </w:rPr>
        <w:t>subheading  would  not  be </w:t>
      </w:r>
      <w:r>
        <w:rPr>
          <w:color w:val="49494B"/>
          <w:w w:val="105"/>
          <w:sz w:val="18"/>
        </w:rPr>
        <w:t>a </w:t>
      </w:r>
      <w:r>
        <w:rPr>
          <w:rFonts w:ascii="Arial"/>
          <w:color w:val="49494B"/>
          <w:w w:val="105"/>
          <w:sz w:val="15"/>
        </w:rPr>
        <w:t>CREXAC</w:t>
      </w:r>
      <w:r>
        <w:rPr>
          <w:rFonts w:ascii="Arial"/>
          <w:color w:val="49494B"/>
          <w:spacing w:val="1"/>
          <w:w w:val="105"/>
          <w:sz w:val="15"/>
        </w:rPr>
        <w:t> </w:t>
      </w:r>
      <w:r>
        <w:rPr>
          <w:color w:val="3A3838"/>
          <w:w w:val="105"/>
          <w:sz w:val="18"/>
        </w:rPr>
        <w:t>unit</w:t>
      </w:r>
      <w:r>
        <w:rPr>
          <w:color w:val="3A3838"/>
          <w:spacing w:val="-10"/>
          <w:w w:val="105"/>
          <w:sz w:val="18"/>
        </w:rPr>
        <w:t> </w:t>
      </w:r>
      <w:r>
        <w:rPr>
          <w:rFonts w:ascii="Arial"/>
          <w:i/>
          <w:color w:val="49494B"/>
          <w:w w:val="105"/>
          <w:sz w:val="17"/>
        </w:rPr>
        <w:t>of</w:t>
      </w:r>
      <w:r>
        <w:rPr>
          <w:rFonts w:ascii="Arial"/>
          <w:i/>
          <w:color w:val="49494B"/>
          <w:spacing w:val="3"/>
          <w:w w:val="105"/>
          <w:sz w:val="17"/>
        </w:rPr>
        <w:t> </w:t>
      </w:r>
      <w:r>
        <w:rPr>
          <w:color w:val="3A3838"/>
          <w:w w:val="105"/>
          <w:sz w:val="18"/>
        </w:rPr>
        <w:t>discourse</w:t>
      </w:r>
      <w:r>
        <w:rPr>
          <w:color w:val="676769"/>
          <w:w w:val="105"/>
          <w:sz w:val="18"/>
        </w:rPr>
        <w:t>.</w:t>
      </w:r>
      <w:r>
        <w:rPr>
          <w:color w:val="676769"/>
          <w:spacing w:val="4"/>
          <w:w w:val="105"/>
          <w:sz w:val="18"/>
        </w:rPr>
        <w:t> </w:t>
      </w:r>
      <w:r>
        <w:rPr>
          <w:color w:val="49494B"/>
          <w:w w:val="105"/>
          <w:sz w:val="18"/>
        </w:rPr>
        <w:t>Chapte</w:t>
      </w:r>
      <w:r>
        <w:rPr>
          <w:color w:val="2A282A"/>
          <w:w w:val="105"/>
          <w:sz w:val="18"/>
        </w:rPr>
        <w:t>r</w:t>
      </w:r>
      <w:r>
        <w:rPr>
          <w:color w:val="2A282A"/>
          <w:spacing w:val="-1"/>
          <w:w w:val="105"/>
          <w:sz w:val="18"/>
        </w:rPr>
        <w:t> </w:t>
      </w:r>
      <w:r>
        <w:rPr>
          <w:color w:val="3A3838"/>
          <w:w w:val="105"/>
          <w:sz w:val="18"/>
        </w:rPr>
        <w:t>Ten</w:t>
      </w:r>
      <w:r>
        <w:rPr>
          <w:color w:val="3A3838"/>
          <w:spacing w:val="-5"/>
          <w:w w:val="105"/>
          <w:sz w:val="18"/>
        </w:rPr>
        <w:t> </w:t>
      </w:r>
      <w:r>
        <w:rPr>
          <w:color w:val="49494B"/>
          <w:w w:val="105"/>
          <w:sz w:val="18"/>
        </w:rPr>
        <w:t>givesg</w:t>
      </w:r>
      <w:r>
        <w:rPr>
          <w:color w:val="2A282A"/>
          <w:w w:val="105"/>
          <w:sz w:val="18"/>
        </w:rPr>
        <w:t>uidelin</w:t>
      </w:r>
      <w:r>
        <w:rPr>
          <w:color w:val="49494B"/>
          <w:w w:val="105"/>
          <w:sz w:val="18"/>
        </w:rPr>
        <w:t>es</w:t>
      </w:r>
      <w:r>
        <w:rPr>
          <w:color w:val="49494B"/>
          <w:spacing w:val="-3"/>
          <w:w w:val="105"/>
          <w:sz w:val="18"/>
        </w:rPr>
        <w:t> </w:t>
      </w:r>
      <w:r>
        <w:rPr>
          <w:color w:val="3A3838"/>
          <w:w w:val="105"/>
          <w:sz w:val="18"/>
        </w:rPr>
        <w:t>about</w:t>
      </w:r>
      <w:r>
        <w:rPr>
          <w:color w:val="3A3838"/>
          <w:spacing w:val="5"/>
          <w:w w:val="105"/>
          <w:sz w:val="18"/>
        </w:rPr>
        <w:t> </w:t>
      </w:r>
      <w:r>
        <w:rPr>
          <w:color w:val="3A3838"/>
          <w:w w:val="105"/>
          <w:sz w:val="18"/>
        </w:rPr>
        <w:t>how</w:t>
      </w:r>
      <w:r>
        <w:rPr>
          <w:color w:val="3A3838"/>
          <w:spacing w:val="1"/>
          <w:w w:val="105"/>
          <w:sz w:val="18"/>
        </w:rPr>
        <w:t> </w:t>
      </w:r>
      <w:r>
        <w:rPr>
          <w:color w:val="3A3838"/>
          <w:w w:val="105"/>
          <w:sz w:val="18"/>
        </w:rPr>
        <w:t>to</w:t>
      </w:r>
      <w:r>
        <w:rPr>
          <w:color w:val="3A3838"/>
          <w:spacing w:val="9"/>
          <w:w w:val="105"/>
          <w:sz w:val="18"/>
        </w:rPr>
        <w:t> </w:t>
      </w:r>
      <w:r>
        <w:rPr>
          <w:color w:val="49494B"/>
          <w:w w:val="105"/>
          <w:sz w:val="18"/>
        </w:rPr>
        <w:t>write</w:t>
      </w:r>
      <w:r>
        <w:rPr>
          <w:color w:val="49494B"/>
          <w:spacing w:val="-12"/>
          <w:w w:val="105"/>
          <w:sz w:val="18"/>
        </w:rPr>
        <w:t> </w:t>
      </w:r>
      <w:r>
        <w:rPr>
          <w:color w:val="3A3838"/>
          <w:w w:val="105"/>
          <w:sz w:val="18"/>
        </w:rPr>
        <w:t>effective</w:t>
      </w:r>
      <w:r>
        <w:rPr>
          <w:color w:val="3A3838"/>
          <w:spacing w:val="-3"/>
          <w:w w:val="105"/>
          <w:sz w:val="18"/>
        </w:rPr>
        <w:t> </w:t>
      </w:r>
      <w:r>
        <w:rPr>
          <w:color w:val="3A3838"/>
          <w:w w:val="105"/>
          <w:sz w:val="18"/>
        </w:rPr>
        <w:t>Introductory</w:t>
      </w:r>
      <w:r>
        <w:rPr>
          <w:color w:val="3A3838"/>
          <w:spacing w:val="12"/>
          <w:w w:val="105"/>
          <w:sz w:val="18"/>
        </w:rPr>
        <w:t> </w:t>
      </w:r>
      <w:r>
        <w:rPr>
          <w:color w:val="3A3838"/>
          <w:w w:val="105"/>
          <w:sz w:val="18"/>
        </w:rPr>
        <w:t>material.</w:t>
      </w:r>
    </w:p>
    <w:p>
      <w:pPr>
        <w:spacing w:after="0" w:line="228" w:lineRule="auto"/>
        <w:jc w:val="both"/>
        <w:rPr>
          <w:sz w:val="18"/>
        </w:rPr>
        <w:sectPr>
          <w:headerReference w:type="even" r:id="rId177"/>
          <w:headerReference w:type="default" r:id="rId178"/>
          <w:pgSz w:w="9310" w:h="13790"/>
          <w:pgMar w:header="514" w:footer="0" w:top="980" w:bottom="0" w:left="1280" w:right="0"/>
          <w:pgNumType w:start="154"/>
        </w:sectPr>
      </w:pPr>
    </w:p>
    <w:p>
      <w:pPr>
        <w:pStyle w:val="BodyText"/>
        <w:spacing w:line="232" w:lineRule="auto" w:before="87"/>
        <w:ind w:left="117" w:right="264" w:firstLine="354"/>
        <w:jc w:val="both"/>
      </w:pPr>
      <w:r>
        <w:rPr>
          <w:color w:val="383636"/>
          <w:w w:val="110"/>
        </w:rPr>
        <w:t>Most of us lack focus when we sit down to edit. We may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review our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writing by reading and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rereading the document with no definite goal in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mind. We may focus on typographical or grammatical errors, hoping that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substantive problems will leap out at us as we read. Essentially, we are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reviewing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42"/>
          <w:w w:val="110"/>
        </w:rPr>
        <w:t> </w:t>
      </w:r>
      <w:r>
        <w:rPr>
          <w:color w:val="383636"/>
          <w:w w:val="110"/>
        </w:rPr>
        <w:t>document</w:t>
      </w:r>
      <w:r>
        <w:rPr>
          <w:color w:val="383636"/>
          <w:spacing w:val="-3"/>
          <w:w w:val="110"/>
        </w:rPr>
        <w:t> </w:t>
      </w:r>
      <w:r>
        <w:rPr>
          <w:color w:val="383636"/>
          <w:w w:val="110"/>
        </w:rPr>
        <w:t>and</w:t>
      </w:r>
      <w:r>
        <w:rPr>
          <w:color w:val="383636"/>
          <w:spacing w:val="16"/>
          <w:w w:val="110"/>
        </w:rPr>
        <w:t> </w:t>
      </w:r>
      <w:r>
        <w:rPr>
          <w:color w:val="383636"/>
          <w:w w:val="110"/>
        </w:rPr>
        <w:t>asking</w:t>
      </w:r>
      <w:r>
        <w:rPr>
          <w:color w:val="383636"/>
          <w:spacing w:val="-8"/>
          <w:w w:val="110"/>
        </w:rPr>
        <w:t> </w:t>
      </w:r>
      <w:r>
        <w:rPr>
          <w:color w:val="383636"/>
          <w:w w:val="110"/>
        </w:rPr>
        <w:t>ourselves,</w:t>
      </w:r>
      <w:r>
        <w:rPr>
          <w:color w:val="383636"/>
          <w:spacing w:val="4"/>
          <w:w w:val="110"/>
        </w:rPr>
        <w:t> </w:t>
      </w:r>
      <w:r>
        <w:rPr>
          <w:color w:val="383636"/>
          <w:w w:val="110"/>
        </w:rPr>
        <w:t>"ls</w:t>
      </w:r>
      <w:r>
        <w:rPr>
          <w:color w:val="383636"/>
          <w:spacing w:val="18"/>
          <w:w w:val="110"/>
        </w:rPr>
        <w:t> </w:t>
      </w:r>
      <w:r>
        <w:rPr>
          <w:color w:val="383636"/>
          <w:w w:val="110"/>
        </w:rPr>
        <w:t>this</w:t>
      </w:r>
      <w:r>
        <w:rPr>
          <w:color w:val="383636"/>
          <w:spacing w:val="-16"/>
          <w:w w:val="110"/>
        </w:rPr>
        <w:t> </w:t>
      </w:r>
      <w:r>
        <w:rPr>
          <w:color w:val="383636"/>
          <w:w w:val="110"/>
        </w:rPr>
        <w:t>okay?"</w:t>
      </w:r>
    </w:p>
    <w:p>
      <w:pPr>
        <w:pStyle w:val="BodyText"/>
        <w:spacing w:line="225" w:lineRule="auto" w:before="15"/>
        <w:ind w:left="123" w:right="243" w:firstLine="336"/>
        <w:jc w:val="both"/>
      </w:pPr>
      <w:r>
        <w:rPr>
          <w:color w:val="383636"/>
          <w:w w:val="110"/>
        </w:rPr>
        <w:t>The</w:t>
      </w:r>
      <w:r>
        <w:rPr>
          <w:color w:val="383636"/>
          <w:spacing w:val="-33"/>
          <w:w w:val="110"/>
        </w:rPr>
        <w:t> </w:t>
      </w:r>
      <w:r>
        <w:rPr>
          <w:color w:val="383636"/>
          <w:w w:val="110"/>
        </w:rPr>
        <w:t>self-graded</w:t>
      </w:r>
      <w:r>
        <w:rPr>
          <w:color w:val="383636"/>
          <w:spacing w:val="13"/>
          <w:w w:val="110"/>
        </w:rPr>
        <w:t> </w:t>
      </w:r>
      <w:r>
        <w:rPr>
          <w:color w:val="383636"/>
          <w:w w:val="110"/>
        </w:rPr>
        <w:t>draft</w:t>
      </w:r>
      <w:r>
        <w:rPr>
          <w:color w:val="383636"/>
          <w:spacing w:val="-16"/>
          <w:w w:val="110"/>
        </w:rPr>
        <w:t> </w:t>
      </w:r>
      <w:r>
        <w:rPr>
          <w:color w:val="383636"/>
          <w:w w:val="110"/>
        </w:rPr>
        <w:t>addresses</w:t>
      </w:r>
      <w:r>
        <w:rPr>
          <w:color w:val="383636"/>
          <w:spacing w:val="-6"/>
          <w:w w:val="110"/>
        </w:rPr>
        <w:t> </w:t>
      </w:r>
      <w:r>
        <w:rPr>
          <w:color w:val="383636"/>
          <w:w w:val="110"/>
        </w:rPr>
        <w:t>this</w:t>
      </w:r>
      <w:r>
        <w:rPr>
          <w:color w:val="383636"/>
          <w:spacing w:val="-14"/>
          <w:w w:val="110"/>
        </w:rPr>
        <w:t> </w:t>
      </w:r>
      <w:r>
        <w:rPr>
          <w:color w:val="383636"/>
          <w:w w:val="110"/>
        </w:rPr>
        <w:t>lack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9"/>
          <w:w w:val="110"/>
        </w:rPr>
        <w:t> </w:t>
      </w:r>
      <w:r>
        <w:rPr>
          <w:color w:val="383636"/>
          <w:w w:val="110"/>
        </w:rPr>
        <w:t>focus</w:t>
      </w:r>
      <w:r>
        <w:rPr>
          <w:color w:val="383636"/>
          <w:spacing w:val="-17"/>
          <w:w w:val="110"/>
        </w:rPr>
        <w:t> </w:t>
      </w:r>
      <w:r>
        <w:rPr>
          <w:color w:val="383636"/>
          <w:w w:val="110"/>
        </w:rPr>
        <w:t>by</w:t>
      </w:r>
      <w:r>
        <w:rPr>
          <w:color w:val="383636"/>
          <w:spacing w:val="-18"/>
          <w:w w:val="110"/>
        </w:rPr>
        <w:t> </w:t>
      </w:r>
      <w:r>
        <w:rPr>
          <w:color w:val="383636"/>
          <w:w w:val="110"/>
        </w:rPr>
        <w:t>concentrating</w:t>
      </w:r>
      <w:r>
        <w:rPr>
          <w:color w:val="383636"/>
          <w:spacing w:val="15"/>
          <w:w w:val="110"/>
        </w:rPr>
        <w:t> </w:t>
      </w:r>
      <w:r>
        <w:rPr>
          <w:color w:val="383636"/>
          <w:w w:val="110"/>
        </w:rPr>
        <w:t>your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attention on various parts of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document and then asking focused ques­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tions. For example</w:t>
      </w:r>
      <w:r>
        <w:rPr>
          <w:color w:val="5D5D5E"/>
          <w:w w:val="110"/>
        </w:rPr>
        <w:t>, </w:t>
      </w:r>
      <w:r>
        <w:rPr>
          <w:color w:val="383636"/>
          <w:w w:val="110"/>
        </w:rPr>
        <w:t>instead of looking at a </w:t>
      </w:r>
      <w:r>
        <w:rPr>
          <w:i/>
          <w:color w:val="383636"/>
          <w:w w:val="110"/>
          <w:sz w:val="25"/>
        </w:rPr>
        <w:t>sentence </w:t>
      </w:r>
      <w:r>
        <w:rPr>
          <w:color w:val="383636"/>
          <w:w w:val="110"/>
        </w:rPr>
        <w:t>and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asking yourself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"Is this okay?" you will look at the </w:t>
      </w:r>
      <w:r>
        <w:rPr>
          <w:i/>
          <w:color w:val="383636"/>
          <w:w w:val="105"/>
          <w:sz w:val="25"/>
        </w:rPr>
        <w:t>application of law to facts </w:t>
      </w:r>
      <w:r>
        <w:rPr>
          <w:color w:val="383636"/>
          <w:w w:val="105"/>
        </w:rPr>
        <w:t>within a par­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ticular section and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ask yourself, "Did I use the phrase-that-pays when I</w:t>
      </w:r>
      <w:r>
        <w:rPr>
          <w:color w:val="383636"/>
          <w:spacing w:val="1"/>
          <w:w w:val="110"/>
        </w:rPr>
        <w:t> </w:t>
      </w:r>
      <w:r>
        <w:rPr>
          <w:color w:val="383636"/>
          <w:spacing w:val="-1"/>
          <w:w w:val="110"/>
        </w:rPr>
        <w:t>applied law to facts? Did I include </w:t>
      </w:r>
      <w:r>
        <w:rPr>
          <w:color w:val="383636"/>
          <w:w w:val="110"/>
        </w:rPr>
        <w:t>all of the legally significant facts?" This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improvement</w:t>
      </w:r>
      <w:r>
        <w:rPr>
          <w:color w:val="383636"/>
          <w:spacing w:val="23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18"/>
          <w:w w:val="110"/>
        </w:rPr>
        <w:t> </w:t>
      </w:r>
      <w:r>
        <w:rPr>
          <w:color w:val="383636"/>
          <w:w w:val="110"/>
        </w:rPr>
        <w:t>focus</w:t>
      </w:r>
      <w:r>
        <w:rPr>
          <w:color w:val="383636"/>
          <w:spacing w:val="-22"/>
          <w:w w:val="110"/>
        </w:rPr>
        <w:t> </w:t>
      </w:r>
      <w:r>
        <w:rPr>
          <w:color w:val="383636"/>
          <w:w w:val="110"/>
        </w:rPr>
        <w:t>often</w:t>
      </w:r>
      <w:r>
        <w:rPr>
          <w:color w:val="383636"/>
          <w:spacing w:val="16"/>
          <w:w w:val="110"/>
        </w:rPr>
        <w:t> </w:t>
      </w:r>
      <w:r>
        <w:rPr>
          <w:color w:val="383636"/>
          <w:w w:val="110"/>
        </w:rPr>
        <w:t>helps</w:t>
      </w:r>
      <w:r>
        <w:rPr>
          <w:color w:val="383636"/>
          <w:spacing w:val="-2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15"/>
          <w:w w:val="110"/>
        </w:rPr>
        <w:t> </w:t>
      </w:r>
      <w:r>
        <w:rPr>
          <w:color w:val="383636"/>
          <w:w w:val="110"/>
        </w:rPr>
        <w:t>improve</w:t>
      </w:r>
      <w:r>
        <w:rPr>
          <w:color w:val="383636"/>
          <w:spacing w:val="-6"/>
          <w:w w:val="110"/>
        </w:rPr>
        <w:t> </w:t>
      </w:r>
      <w:r>
        <w:rPr>
          <w:color w:val="383636"/>
          <w:w w:val="110"/>
        </w:rPr>
        <w:t>your</w:t>
      </w:r>
      <w:r>
        <w:rPr>
          <w:color w:val="383636"/>
          <w:spacing w:val="2"/>
          <w:w w:val="110"/>
        </w:rPr>
        <w:t> </w:t>
      </w:r>
      <w:r>
        <w:rPr>
          <w:color w:val="383636"/>
          <w:w w:val="110"/>
        </w:rPr>
        <w:t>ability</w:t>
      </w:r>
      <w:r>
        <w:rPr>
          <w:color w:val="383636"/>
          <w:spacing w:val="5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11"/>
          <w:w w:val="110"/>
        </w:rPr>
        <w:t> </w:t>
      </w:r>
      <w:r>
        <w:rPr>
          <w:color w:val="383636"/>
          <w:w w:val="110"/>
        </w:rPr>
        <w:t>self-edit.</w:t>
      </w:r>
    </w:p>
    <w:p>
      <w:pPr>
        <w:pStyle w:val="BodyText"/>
        <w:spacing w:line="235" w:lineRule="auto" w:before="10"/>
        <w:ind w:left="127" w:right="244" w:firstLine="332"/>
        <w:jc w:val="both"/>
      </w:pPr>
      <w:r>
        <w:rPr>
          <w:color w:val="383636"/>
          <w:w w:val="110"/>
        </w:rPr>
        <w:t>The second, and more difficult, problem self-editors face is that of psy­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chological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distance.</w:t>
      </w:r>
      <w:r>
        <w:rPr>
          <w:color w:val="383636"/>
          <w:spacing w:val="-14"/>
          <w:w w:val="110"/>
        </w:rPr>
        <w:t> </w:t>
      </w:r>
      <w:r>
        <w:rPr>
          <w:color w:val="383636"/>
          <w:w w:val="110"/>
        </w:rPr>
        <w:t>Many</w:t>
      </w:r>
      <w:r>
        <w:rPr>
          <w:color w:val="383636"/>
          <w:spacing w:val="-25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3"/>
          <w:w w:val="110"/>
        </w:rPr>
        <w:t> </w:t>
      </w:r>
      <w:r>
        <w:rPr>
          <w:color w:val="383636"/>
          <w:w w:val="110"/>
        </w:rPr>
        <w:t>us</w:t>
      </w:r>
      <w:r>
        <w:rPr>
          <w:color w:val="383636"/>
          <w:spacing w:val="2"/>
          <w:w w:val="110"/>
        </w:rPr>
        <w:t> </w:t>
      </w:r>
      <w:r>
        <w:rPr>
          <w:color w:val="383636"/>
          <w:w w:val="110"/>
        </w:rPr>
        <w:t>find</w:t>
      </w:r>
      <w:r>
        <w:rPr>
          <w:color w:val="383636"/>
          <w:spacing w:val="-14"/>
          <w:w w:val="110"/>
        </w:rPr>
        <w:t> </w:t>
      </w:r>
      <w:r>
        <w:rPr>
          <w:color w:val="383636"/>
          <w:w w:val="110"/>
        </w:rPr>
        <w:t>it</w:t>
      </w:r>
      <w:r>
        <w:rPr>
          <w:color w:val="383636"/>
          <w:spacing w:val="-3"/>
          <w:w w:val="110"/>
        </w:rPr>
        <w:t> </w:t>
      </w:r>
      <w:r>
        <w:rPr>
          <w:color w:val="383636"/>
          <w:w w:val="110"/>
        </w:rPr>
        <w:t>psychologically</w:t>
      </w:r>
      <w:r>
        <w:rPr>
          <w:color w:val="383636"/>
          <w:spacing w:val="-21"/>
          <w:w w:val="110"/>
        </w:rPr>
        <w:t> </w:t>
      </w:r>
      <w:r>
        <w:rPr>
          <w:color w:val="383636"/>
          <w:w w:val="110"/>
        </w:rPr>
        <w:t>impossible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18"/>
          <w:w w:val="110"/>
        </w:rPr>
        <w:t> </w:t>
      </w:r>
      <w:r>
        <w:rPr>
          <w:color w:val="383636"/>
          <w:w w:val="110"/>
        </w:rPr>
        <w:t>really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see</w:t>
      </w:r>
      <w:r>
        <w:rPr>
          <w:color w:val="383636"/>
          <w:spacing w:val="-29"/>
          <w:w w:val="110"/>
        </w:rPr>
        <w:t> </w:t>
      </w:r>
      <w:r>
        <w:rPr>
          <w:color w:val="383636"/>
          <w:w w:val="110"/>
        </w:rPr>
        <w:t>what</w:t>
      </w:r>
      <w:r>
        <w:rPr>
          <w:color w:val="383636"/>
          <w:spacing w:val="-16"/>
          <w:w w:val="110"/>
        </w:rPr>
        <w:t> </w:t>
      </w:r>
      <w:r>
        <w:rPr>
          <w:color w:val="383636"/>
          <w:w w:val="110"/>
        </w:rPr>
        <w:t>we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have</w:t>
      </w:r>
      <w:r>
        <w:rPr>
          <w:color w:val="383636"/>
          <w:spacing w:val="-16"/>
          <w:w w:val="110"/>
        </w:rPr>
        <w:t> </w:t>
      </w:r>
      <w:r>
        <w:rPr>
          <w:color w:val="383636"/>
          <w:w w:val="110"/>
        </w:rPr>
        <w:t>written.</w:t>
      </w:r>
      <w:r>
        <w:rPr>
          <w:color w:val="383636"/>
          <w:spacing w:val="-25"/>
          <w:w w:val="110"/>
        </w:rPr>
        <w:t> </w:t>
      </w:r>
      <w:r>
        <w:rPr>
          <w:color w:val="383636"/>
          <w:w w:val="110"/>
        </w:rPr>
        <w:t>Those</w:t>
      </w:r>
      <w:r>
        <w:rPr>
          <w:color w:val="383636"/>
          <w:spacing w:val="-32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7"/>
          <w:w w:val="110"/>
        </w:rPr>
        <w:t> </w:t>
      </w:r>
      <w:r>
        <w:rPr>
          <w:color w:val="383636"/>
          <w:w w:val="110"/>
        </w:rPr>
        <w:t>us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who</w:t>
      </w:r>
      <w:r>
        <w:rPr>
          <w:color w:val="383636"/>
          <w:spacing w:val="25"/>
          <w:w w:val="110"/>
        </w:rPr>
        <w:t> </w:t>
      </w:r>
      <w:r>
        <w:rPr>
          <w:color w:val="383636"/>
          <w:w w:val="110"/>
        </w:rPr>
        <w:t>have</w:t>
      </w:r>
      <w:r>
        <w:rPr>
          <w:color w:val="383636"/>
          <w:spacing w:val="-5"/>
          <w:w w:val="110"/>
        </w:rPr>
        <w:t> </w:t>
      </w:r>
      <w:r>
        <w:rPr>
          <w:color w:val="383636"/>
          <w:w w:val="110"/>
        </w:rPr>
        <w:t>reviewed</w:t>
      </w:r>
      <w:r>
        <w:rPr>
          <w:color w:val="383636"/>
          <w:spacing w:val="-1"/>
          <w:w w:val="110"/>
        </w:rPr>
        <w:t> </w:t>
      </w:r>
      <w:r>
        <w:rPr>
          <w:color w:val="383636"/>
          <w:w w:val="110"/>
        </w:rPr>
        <w:t>our</w:t>
      </w:r>
      <w:r>
        <w:rPr>
          <w:color w:val="383636"/>
          <w:spacing w:val="27"/>
          <w:w w:val="110"/>
        </w:rPr>
        <w:t> </w:t>
      </w:r>
      <w:r>
        <w:rPr>
          <w:color w:val="383636"/>
          <w:w w:val="110"/>
        </w:rPr>
        <w:t>own</w:t>
      </w:r>
      <w:r>
        <w:rPr>
          <w:color w:val="383636"/>
          <w:spacing w:val="36"/>
          <w:w w:val="110"/>
        </w:rPr>
        <w:t> </w:t>
      </w:r>
      <w:r>
        <w:rPr>
          <w:color w:val="383636"/>
          <w:w w:val="110"/>
        </w:rPr>
        <w:t>writing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several weeks, months, or years after "polishing" it have had the experi­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ence</w:t>
      </w:r>
      <w:r>
        <w:rPr>
          <w:color w:val="383636"/>
          <w:spacing w:val="-32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discovering</w:t>
      </w:r>
      <w:r>
        <w:rPr>
          <w:color w:val="383636"/>
          <w:spacing w:val="2"/>
          <w:w w:val="110"/>
        </w:rPr>
        <w:t> </w:t>
      </w:r>
      <w:r>
        <w:rPr>
          <w:color w:val="383636"/>
          <w:w w:val="110"/>
        </w:rPr>
        <w:t>glaring</w:t>
      </w:r>
      <w:r>
        <w:rPr>
          <w:color w:val="383636"/>
          <w:spacing w:val="-6"/>
          <w:w w:val="110"/>
        </w:rPr>
        <w:t> </w:t>
      </w:r>
      <w:r>
        <w:rPr>
          <w:color w:val="383636"/>
          <w:w w:val="110"/>
        </w:rPr>
        <w:t>mistakes,</w:t>
      </w:r>
      <w:r>
        <w:rPr>
          <w:color w:val="383636"/>
          <w:spacing w:val="-3"/>
          <w:w w:val="110"/>
        </w:rPr>
        <w:t> </w:t>
      </w:r>
      <w:r>
        <w:rPr>
          <w:color w:val="383636"/>
          <w:w w:val="110"/>
        </w:rPr>
        <w:t>inconsistencies,</w:t>
      </w:r>
      <w:r>
        <w:rPr>
          <w:color w:val="383636"/>
          <w:spacing w:val="-16"/>
          <w:w w:val="110"/>
        </w:rPr>
        <w:t> </w:t>
      </w:r>
      <w:r>
        <w:rPr>
          <w:color w:val="383636"/>
          <w:w w:val="110"/>
        </w:rPr>
        <w:t>or</w:t>
      </w:r>
      <w:r>
        <w:rPr>
          <w:color w:val="383636"/>
          <w:spacing w:val="4"/>
          <w:w w:val="110"/>
        </w:rPr>
        <w:t> </w:t>
      </w:r>
      <w:r>
        <w:rPr>
          <w:color w:val="383636"/>
          <w:w w:val="110"/>
        </w:rPr>
        <w:t>other</w:t>
      </w:r>
      <w:r>
        <w:rPr>
          <w:color w:val="383636"/>
          <w:spacing w:val="-15"/>
          <w:w w:val="110"/>
        </w:rPr>
        <w:t> </w:t>
      </w:r>
      <w:r>
        <w:rPr>
          <w:color w:val="383636"/>
          <w:w w:val="110"/>
        </w:rPr>
        <w:t>weaknesses.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5"/>
        </w:rPr>
        <w:t>We are aghast; how could we have missed those mistakes? And yet the</w:t>
      </w:r>
      <w:r>
        <w:rPr>
          <w:color w:val="383636"/>
          <w:spacing w:val="-64"/>
          <w:w w:val="115"/>
        </w:rPr>
        <w:t> </w:t>
      </w:r>
      <w:r>
        <w:rPr>
          <w:color w:val="383636"/>
          <w:w w:val="115"/>
        </w:rPr>
        <w:t>phenomenon</w:t>
      </w:r>
      <w:r>
        <w:rPr>
          <w:color w:val="383636"/>
          <w:spacing w:val="10"/>
          <w:w w:val="115"/>
        </w:rPr>
        <w:t> </w:t>
      </w:r>
      <w:r>
        <w:rPr>
          <w:color w:val="383636"/>
          <w:w w:val="115"/>
        </w:rPr>
        <w:t>is not</w:t>
      </w:r>
      <w:r>
        <w:rPr>
          <w:color w:val="383636"/>
          <w:spacing w:val="21"/>
          <w:w w:val="115"/>
        </w:rPr>
        <w:t> </w:t>
      </w:r>
      <w:r>
        <w:rPr>
          <w:color w:val="383636"/>
          <w:w w:val="115"/>
        </w:rPr>
        <w:t>that</w:t>
      </w:r>
      <w:r>
        <w:rPr>
          <w:color w:val="383636"/>
          <w:spacing w:val="-13"/>
          <w:w w:val="115"/>
        </w:rPr>
        <w:t> </w:t>
      </w:r>
      <w:r>
        <w:rPr>
          <w:color w:val="383636"/>
          <w:w w:val="115"/>
        </w:rPr>
        <w:t>surprising.</w:t>
      </w:r>
    </w:p>
    <w:p>
      <w:pPr>
        <w:pStyle w:val="BodyText"/>
        <w:spacing w:line="235" w:lineRule="auto"/>
        <w:ind w:left="136" w:right="200" w:firstLine="345"/>
        <w:jc w:val="both"/>
      </w:pPr>
      <w:r>
        <w:rPr>
          <w:color w:val="383636"/>
          <w:w w:val="115"/>
        </w:rPr>
        <w:t>When we write, we are, naturally, thinking about our complete mes­</w:t>
      </w:r>
      <w:r>
        <w:rPr>
          <w:color w:val="383636"/>
          <w:spacing w:val="-64"/>
          <w:w w:val="115"/>
        </w:rPr>
        <w:t> </w:t>
      </w:r>
      <w:r>
        <w:rPr>
          <w:color w:val="383636"/>
          <w:w w:val="110"/>
        </w:rPr>
        <w:t>sage. When we later revise and edit, we see the words we wrote, and these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(often inadequate) words remind our short-term memories of the complete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message we had in mind when we were writing. The short-term memory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then "tells" the brain the complete message, and we presume that the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words we wrote contained the message. Actually, the short-term memory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often fills in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blanks. The complete message may never have made it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into the written word.</w:t>
      </w:r>
      <w:r>
        <w:rPr>
          <w:rFonts w:ascii="Arial" w:hAnsi="Arial"/>
          <w:color w:val="383636"/>
          <w:w w:val="115"/>
          <w:position w:val="9"/>
          <w:sz w:val="12"/>
        </w:rPr>
        <w:t>4 </w:t>
      </w:r>
      <w:r>
        <w:rPr>
          <w:color w:val="383636"/>
          <w:w w:val="115"/>
        </w:rPr>
        <w:t>This phenomenon creates a sort of eclipse of the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brain</w:t>
      </w:r>
      <w:r>
        <w:rPr>
          <w:rFonts w:ascii="Arial" w:hAnsi="Arial"/>
          <w:color w:val="383636"/>
          <w:w w:val="115"/>
          <w:position w:val="7"/>
          <w:sz w:val="14"/>
        </w:rPr>
        <w:t>5</w:t>
      </w:r>
      <w:r>
        <w:rPr>
          <w:rFonts w:ascii="Arial" w:hAnsi="Arial"/>
          <w:color w:val="383636"/>
          <w:w w:val="115"/>
          <w:sz w:val="14"/>
        </w:rPr>
        <w:t>: </w:t>
      </w:r>
      <w:r>
        <w:rPr>
          <w:color w:val="383636"/>
          <w:w w:val="115"/>
        </w:rPr>
        <w:t>The short-term memory "passes between" the written document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and our brain, "blocking" us from seeing and understanding the words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that</w:t>
      </w:r>
      <w:r>
        <w:rPr>
          <w:color w:val="383636"/>
          <w:spacing w:val="-13"/>
          <w:w w:val="115"/>
        </w:rPr>
        <w:t> </w:t>
      </w:r>
      <w:r>
        <w:rPr>
          <w:color w:val="383636"/>
          <w:w w:val="115"/>
        </w:rPr>
        <w:t>we</w:t>
      </w:r>
      <w:r>
        <w:rPr>
          <w:color w:val="383636"/>
          <w:spacing w:val="-19"/>
          <w:w w:val="115"/>
        </w:rPr>
        <w:t> </w:t>
      </w:r>
      <w:r>
        <w:rPr>
          <w:color w:val="383636"/>
          <w:w w:val="115"/>
        </w:rPr>
        <w:t>actually</w:t>
      </w:r>
      <w:r>
        <w:rPr>
          <w:color w:val="383636"/>
          <w:spacing w:val="-11"/>
          <w:w w:val="115"/>
        </w:rPr>
        <w:t> </w:t>
      </w:r>
      <w:r>
        <w:rPr>
          <w:color w:val="383636"/>
          <w:w w:val="115"/>
        </w:rPr>
        <w:t>wrote.</w:t>
      </w:r>
    </w:p>
    <w:p>
      <w:pPr>
        <w:pStyle w:val="BodyText"/>
        <w:spacing w:line="240" w:lineRule="exact"/>
        <w:ind w:left="481"/>
        <w:jc w:val="both"/>
      </w:pPr>
      <w:r>
        <w:rPr>
          <w:color w:val="383636"/>
          <w:w w:val="110"/>
        </w:rPr>
        <w:t>Self-grading</w:t>
      </w:r>
      <w:r>
        <w:rPr>
          <w:color w:val="383636"/>
          <w:spacing w:val="39"/>
          <w:w w:val="110"/>
        </w:rPr>
        <w:t> </w:t>
      </w:r>
      <w:r>
        <w:rPr>
          <w:color w:val="383636"/>
          <w:w w:val="110"/>
        </w:rPr>
        <w:t>can </w:t>
      </w:r>
      <w:r>
        <w:rPr>
          <w:color w:val="383636"/>
          <w:spacing w:val="9"/>
          <w:w w:val="110"/>
        </w:rPr>
        <w:t> </w:t>
      </w:r>
      <w:r>
        <w:rPr>
          <w:color w:val="383636"/>
          <w:w w:val="110"/>
        </w:rPr>
        <w:t>address</w:t>
      </w:r>
      <w:r>
        <w:rPr>
          <w:color w:val="383636"/>
          <w:spacing w:val="18"/>
          <w:w w:val="110"/>
        </w:rPr>
        <w:t> </w:t>
      </w:r>
      <w:r>
        <w:rPr>
          <w:color w:val="383636"/>
          <w:w w:val="110"/>
        </w:rPr>
        <w:t>your</w:t>
      </w:r>
      <w:r>
        <w:rPr>
          <w:color w:val="383636"/>
          <w:spacing w:val="30"/>
          <w:w w:val="110"/>
        </w:rPr>
        <w:t> </w:t>
      </w:r>
      <w:r>
        <w:rPr>
          <w:color w:val="383636"/>
          <w:w w:val="110"/>
        </w:rPr>
        <w:t>brain</w:t>
      </w:r>
      <w:r>
        <w:rPr>
          <w:color w:val="383636"/>
          <w:spacing w:val="27"/>
          <w:w w:val="110"/>
        </w:rPr>
        <w:t> </w:t>
      </w:r>
      <w:r>
        <w:rPr>
          <w:color w:val="383636"/>
          <w:w w:val="110"/>
        </w:rPr>
        <w:t>eclipse</w:t>
      </w:r>
      <w:r>
        <w:rPr>
          <w:color w:val="383636"/>
          <w:spacing w:val="21"/>
          <w:w w:val="110"/>
        </w:rPr>
        <w:t> </w:t>
      </w:r>
      <w:r>
        <w:rPr>
          <w:color w:val="383636"/>
          <w:w w:val="110"/>
        </w:rPr>
        <w:t>by</w:t>
      </w:r>
      <w:r>
        <w:rPr>
          <w:color w:val="383636"/>
          <w:spacing w:val="29"/>
          <w:w w:val="110"/>
        </w:rPr>
        <w:t> </w:t>
      </w:r>
      <w:r>
        <w:rPr>
          <w:color w:val="383636"/>
          <w:w w:val="110"/>
        </w:rPr>
        <w:t>requiring</w:t>
      </w:r>
      <w:r>
        <w:rPr>
          <w:color w:val="383636"/>
          <w:spacing w:val="26"/>
          <w:w w:val="110"/>
        </w:rPr>
        <w:t> </w:t>
      </w:r>
      <w:r>
        <w:rPr>
          <w:color w:val="383636"/>
          <w:w w:val="110"/>
        </w:rPr>
        <w:t>you</w:t>
      </w:r>
      <w:r>
        <w:rPr>
          <w:color w:val="383636"/>
          <w:spacing w:val="31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42"/>
          <w:w w:val="110"/>
        </w:rPr>
        <w:t> </w:t>
      </w:r>
      <w:r>
        <w:rPr>
          <w:color w:val="383636"/>
          <w:w w:val="110"/>
        </w:rPr>
        <w:t>look</w:t>
      </w:r>
    </w:p>
    <w:p>
      <w:pPr>
        <w:pStyle w:val="BodyText"/>
        <w:spacing w:line="232" w:lineRule="auto" w:before="1"/>
        <w:ind w:left="158" w:right="139"/>
        <w:jc w:val="both"/>
      </w:pPr>
      <w:r>
        <w:rPr>
          <w:color w:val="383636"/>
          <w:w w:val="115"/>
        </w:rPr>
        <w:t>at individual words, sentences, and elements (for example, elements of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05"/>
        </w:rPr>
        <w:t>CREXAC), instead of at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the document asa whole. The self-grading exercise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does not ask you </w:t>
      </w:r>
      <w:r>
        <w:rPr>
          <w:rFonts w:ascii="Arial" w:hAnsi="Arial"/>
          <w:i/>
          <w:color w:val="383636"/>
          <w:w w:val="105"/>
          <w:sz w:val="21"/>
        </w:rPr>
        <w:t>whether </w:t>
      </w:r>
      <w:r>
        <w:rPr>
          <w:color w:val="383636"/>
          <w:w w:val="105"/>
        </w:rPr>
        <w:t>you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included an element; it asks you to </w:t>
      </w:r>
      <w:r>
        <w:rPr>
          <w:rFonts w:ascii="Arial" w:hAnsi="Arial"/>
          <w:i/>
          <w:color w:val="383636"/>
          <w:w w:val="105"/>
          <w:sz w:val="21"/>
        </w:rPr>
        <w:t>mark </w:t>
      </w:r>
      <w:r>
        <w:rPr>
          <w:color w:val="383636"/>
          <w:w w:val="105"/>
        </w:rPr>
        <w:t>the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very words that comprise the element. This marking forces you to discover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for yourself what words and ideas actually made it onto the paper, and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what words and ideas are still inside your brain. The self-graded draft does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not create the message; it simply helps you to discover whether the docu­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ment includes the complete message. If part of the message ls not written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down,</w:t>
      </w:r>
      <w:r>
        <w:rPr>
          <w:color w:val="383636"/>
          <w:spacing w:val="-3"/>
          <w:w w:val="110"/>
        </w:rPr>
        <w:t> </w:t>
      </w:r>
      <w:r>
        <w:rPr>
          <w:color w:val="383636"/>
          <w:w w:val="110"/>
        </w:rPr>
        <w:t>you</w:t>
      </w:r>
      <w:r>
        <w:rPr>
          <w:color w:val="383636"/>
          <w:spacing w:val="9"/>
          <w:w w:val="110"/>
        </w:rPr>
        <w:t> </w:t>
      </w:r>
      <w:r>
        <w:rPr>
          <w:color w:val="383636"/>
          <w:w w:val="110"/>
        </w:rPr>
        <w:t>will</w:t>
      </w:r>
      <w:r>
        <w:rPr>
          <w:color w:val="383636"/>
          <w:spacing w:val="15"/>
          <w:w w:val="110"/>
        </w:rPr>
        <w:t> </w:t>
      </w:r>
      <w:r>
        <w:rPr>
          <w:color w:val="383636"/>
          <w:w w:val="110"/>
        </w:rPr>
        <w:t>not</w:t>
      </w:r>
      <w:r>
        <w:rPr>
          <w:color w:val="383636"/>
          <w:spacing w:val="55"/>
          <w:w w:val="110"/>
        </w:rPr>
        <w:t> </w:t>
      </w:r>
      <w:r>
        <w:rPr>
          <w:color w:val="383636"/>
          <w:w w:val="110"/>
        </w:rPr>
        <w:t>be</w:t>
      </w:r>
      <w:r>
        <w:rPr>
          <w:color w:val="383636"/>
          <w:spacing w:val="18"/>
          <w:w w:val="110"/>
        </w:rPr>
        <w:t> </w:t>
      </w:r>
      <w:r>
        <w:rPr>
          <w:color w:val="383636"/>
          <w:w w:val="110"/>
        </w:rPr>
        <w:t>able</w:t>
      </w:r>
      <w:r>
        <w:rPr>
          <w:color w:val="383636"/>
          <w:spacing w:val="11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15"/>
          <w:w w:val="110"/>
        </w:rPr>
        <w:t> </w:t>
      </w:r>
      <w:r>
        <w:rPr>
          <w:color w:val="383636"/>
          <w:w w:val="110"/>
        </w:rPr>
        <w:t>find</w:t>
      </w:r>
      <w:r>
        <w:rPr>
          <w:color w:val="383636"/>
          <w:spacing w:val="12"/>
          <w:w w:val="110"/>
        </w:rPr>
        <w:t> </w:t>
      </w:r>
      <w:r>
        <w:rPr>
          <w:color w:val="383636"/>
          <w:w w:val="110"/>
        </w:rPr>
        <w:t>and</w:t>
      </w:r>
      <w:r>
        <w:rPr>
          <w:color w:val="383636"/>
          <w:spacing w:val="16"/>
          <w:w w:val="110"/>
        </w:rPr>
        <w:t> </w:t>
      </w:r>
      <w:r>
        <w:rPr>
          <w:color w:val="383636"/>
          <w:w w:val="110"/>
        </w:rPr>
        <w:t>mark</w:t>
      </w:r>
      <w:r>
        <w:rPr>
          <w:color w:val="383636"/>
          <w:spacing w:val="9"/>
          <w:w w:val="110"/>
        </w:rPr>
        <w:t> </w:t>
      </w:r>
      <w:r>
        <w:rPr>
          <w:color w:val="383636"/>
          <w:w w:val="110"/>
        </w:rPr>
        <w:t>it</w:t>
      </w:r>
      <w:r>
        <w:rPr>
          <w:color w:val="383636"/>
          <w:spacing w:val="15"/>
          <w:w w:val="110"/>
        </w:rPr>
        <w:t> </w:t>
      </w:r>
      <w:r>
        <w:rPr>
          <w:color w:val="383636"/>
          <w:w w:val="110"/>
        </w:rPr>
        <w:t>during</w:t>
      </w:r>
      <w:r>
        <w:rPr>
          <w:color w:val="383636"/>
          <w:spacing w:val="2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20"/>
          <w:w w:val="110"/>
        </w:rPr>
        <w:t> </w:t>
      </w:r>
      <w:r>
        <w:rPr>
          <w:color w:val="383636"/>
          <w:w w:val="110"/>
        </w:rPr>
        <w:t>self-grading.</w:t>
      </w:r>
      <w:r>
        <w:rPr>
          <w:color w:val="383636"/>
          <w:spacing w:val="6"/>
          <w:w w:val="110"/>
        </w:rPr>
        <w:t> </w:t>
      </w:r>
      <w:r>
        <w:rPr>
          <w:color w:val="383636"/>
          <w:w w:val="110"/>
        </w:rPr>
        <w:t>In</w:t>
      </w:r>
    </w:p>
    <w:p>
      <w:pPr>
        <w:pStyle w:val="BodyText"/>
        <w:rPr>
          <w:sz w:val="26"/>
        </w:rPr>
      </w:pPr>
    </w:p>
    <w:p>
      <w:pPr>
        <w:spacing w:line="244" w:lineRule="auto" w:before="178"/>
        <w:ind w:left="184" w:right="0" w:firstLine="307"/>
        <w:jc w:val="left"/>
        <w:rPr>
          <w:sz w:val="18"/>
        </w:rPr>
      </w:pPr>
      <w:r>
        <w:rPr>
          <w:i/>
          <w:color w:val="383636"/>
          <w:w w:val="105"/>
          <w:sz w:val="18"/>
        </w:rPr>
        <w:t>'Cf</w:t>
      </w:r>
      <w:r>
        <w:rPr>
          <w:i/>
          <w:color w:val="383636"/>
          <w:spacing w:val="44"/>
          <w:w w:val="105"/>
          <w:sz w:val="18"/>
        </w:rPr>
        <w:t> </w:t>
      </w:r>
      <w:r>
        <w:rPr>
          <w:color w:val="383636"/>
          <w:w w:val="105"/>
          <w:sz w:val="18"/>
        </w:rPr>
        <w:t>Joseph</w:t>
      </w:r>
      <w:r>
        <w:rPr>
          <w:color w:val="383636"/>
          <w:spacing w:val="37"/>
          <w:w w:val="105"/>
          <w:sz w:val="18"/>
        </w:rPr>
        <w:t> </w:t>
      </w:r>
      <w:r>
        <w:rPr>
          <w:color w:val="383636"/>
          <w:w w:val="105"/>
          <w:sz w:val="18"/>
        </w:rPr>
        <w:t>M.</w:t>
      </w:r>
      <w:r>
        <w:rPr>
          <w:color w:val="383636"/>
          <w:spacing w:val="10"/>
          <w:w w:val="105"/>
          <w:sz w:val="18"/>
        </w:rPr>
        <w:t> </w:t>
      </w:r>
      <w:r>
        <w:rPr>
          <w:color w:val="383636"/>
          <w:w w:val="105"/>
          <w:sz w:val="18"/>
        </w:rPr>
        <w:t>Williams</w:t>
      </w:r>
      <w:r>
        <w:rPr>
          <w:color w:val="383636"/>
          <w:spacing w:val="13"/>
          <w:w w:val="105"/>
          <w:sz w:val="18"/>
        </w:rPr>
        <w:t> </w:t>
      </w:r>
      <w:r>
        <w:rPr>
          <w:color w:val="383636"/>
          <w:w w:val="105"/>
          <w:sz w:val="17"/>
        </w:rPr>
        <w:t>&amp;</w:t>
      </w:r>
      <w:r>
        <w:rPr>
          <w:color w:val="383636"/>
          <w:spacing w:val="17"/>
          <w:w w:val="105"/>
          <w:sz w:val="17"/>
        </w:rPr>
        <w:t> </w:t>
      </w:r>
      <w:r>
        <w:rPr>
          <w:color w:val="383636"/>
          <w:w w:val="105"/>
          <w:sz w:val="18"/>
        </w:rPr>
        <w:t>Joseph</w:t>
      </w:r>
      <w:r>
        <w:rPr>
          <w:color w:val="383636"/>
          <w:spacing w:val="37"/>
          <w:w w:val="105"/>
          <w:sz w:val="18"/>
        </w:rPr>
        <w:t> </w:t>
      </w:r>
      <w:r>
        <w:rPr>
          <w:color w:val="383636"/>
          <w:w w:val="105"/>
          <w:sz w:val="18"/>
        </w:rPr>
        <w:t>Blzup</w:t>
      </w:r>
      <w:r>
        <w:rPr>
          <w:color w:val="5D5D5E"/>
          <w:w w:val="105"/>
          <w:sz w:val="18"/>
        </w:rPr>
        <w:t>,</w:t>
      </w:r>
      <w:r>
        <w:rPr>
          <w:color w:val="5D5D5E"/>
          <w:spacing w:val="34"/>
          <w:w w:val="105"/>
          <w:sz w:val="18"/>
        </w:rPr>
        <w:t> </w:t>
      </w:r>
      <w:r>
        <w:rPr>
          <w:i/>
          <w:color w:val="383636"/>
          <w:w w:val="105"/>
          <w:sz w:val="18"/>
        </w:rPr>
        <w:t>Style</w:t>
      </w:r>
      <w:r>
        <w:rPr>
          <w:i/>
          <w:color w:val="5D5D5E"/>
          <w:w w:val="105"/>
          <w:sz w:val="18"/>
        </w:rPr>
        <w:t>:</w:t>
      </w:r>
      <w:r>
        <w:rPr>
          <w:i/>
          <w:color w:val="5D5D5E"/>
          <w:spacing w:val="28"/>
          <w:w w:val="105"/>
          <w:sz w:val="18"/>
        </w:rPr>
        <w:t> </w:t>
      </w:r>
      <w:r>
        <w:rPr>
          <w:i/>
          <w:color w:val="383636"/>
          <w:w w:val="105"/>
          <w:sz w:val="18"/>
        </w:rPr>
        <w:t>Lessons</w:t>
      </w:r>
      <w:r>
        <w:rPr>
          <w:i/>
          <w:color w:val="383636"/>
          <w:spacing w:val="22"/>
          <w:w w:val="105"/>
          <w:sz w:val="18"/>
        </w:rPr>
        <w:t> </w:t>
      </w:r>
      <w:r>
        <w:rPr>
          <w:color w:val="383636"/>
          <w:w w:val="105"/>
          <w:sz w:val="18"/>
        </w:rPr>
        <w:t>'"</w:t>
      </w:r>
      <w:r>
        <w:rPr>
          <w:color w:val="383636"/>
          <w:spacing w:val="23"/>
          <w:w w:val="105"/>
          <w:sz w:val="18"/>
        </w:rPr>
        <w:t> </w:t>
      </w:r>
      <w:r>
        <w:rPr>
          <w:i/>
          <w:color w:val="383636"/>
          <w:w w:val="105"/>
          <w:sz w:val="18"/>
        </w:rPr>
        <w:t>Clarity</w:t>
      </w:r>
      <w:r>
        <w:rPr>
          <w:i/>
          <w:color w:val="383636"/>
          <w:spacing w:val="9"/>
          <w:w w:val="105"/>
          <w:sz w:val="18"/>
        </w:rPr>
        <w:t> </w:t>
      </w:r>
      <w:r>
        <w:rPr>
          <w:i/>
          <w:color w:val="383636"/>
          <w:w w:val="105"/>
          <w:sz w:val="18"/>
        </w:rPr>
        <w:t>a,id</w:t>
      </w:r>
      <w:r>
        <w:rPr>
          <w:i/>
          <w:color w:val="383636"/>
          <w:spacing w:val="18"/>
          <w:w w:val="105"/>
          <w:sz w:val="18"/>
        </w:rPr>
        <w:t> </w:t>
      </w:r>
      <w:r>
        <w:rPr>
          <w:i/>
          <w:color w:val="383636"/>
          <w:w w:val="105"/>
          <w:sz w:val="18"/>
        </w:rPr>
        <w:t>Grace</w:t>
      </w:r>
      <w:r>
        <w:rPr>
          <w:i/>
          <w:color w:val="383636"/>
          <w:spacing w:val="20"/>
          <w:w w:val="105"/>
          <w:sz w:val="18"/>
        </w:rPr>
        <w:t> </w:t>
      </w:r>
      <w:r>
        <w:rPr>
          <w:color w:val="383636"/>
          <w:w w:val="105"/>
          <w:sz w:val="18"/>
        </w:rPr>
        <w:t>39</w:t>
      </w:r>
      <w:r>
        <w:rPr>
          <w:color w:val="383636"/>
          <w:spacing w:val="18"/>
          <w:w w:val="105"/>
          <w:sz w:val="18"/>
        </w:rPr>
        <w:t> </w:t>
      </w:r>
      <w:r>
        <w:rPr>
          <w:color w:val="383636"/>
          <w:w w:val="105"/>
          <w:sz w:val="18"/>
        </w:rPr>
        <w:t>(11th</w:t>
      </w:r>
      <w:r>
        <w:rPr>
          <w:color w:val="383636"/>
          <w:spacing w:val="20"/>
          <w:w w:val="105"/>
          <w:sz w:val="18"/>
        </w:rPr>
        <w:t> </w:t>
      </w:r>
      <w:r>
        <w:rPr>
          <w:color w:val="383636"/>
          <w:w w:val="105"/>
          <w:sz w:val="18"/>
        </w:rPr>
        <w:t>ed.,</w:t>
      </w:r>
      <w:r>
        <w:rPr>
          <w:color w:val="383636"/>
          <w:spacing w:val="1"/>
          <w:w w:val="105"/>
          <w:sz w:val="18"/>
        </w:rPr>
        <w:t> </w:t>
      </w:r>
      <w:r>
        <w:rPr>
          <w:color w:val="383636"/>
          <w:w w:val="105"/>
          <w:sz w:val="18"/>
        </w:rPr>
        <w:t>Pearson</w:t>
      </w:r>
      <w:r>
        <w:rPr>
          <w:color w:val="383636"/>
          <w:spacing w:val="5"/>
          <w:w w:val="105"/>
          <w:sz w:val="18"/>
        </w:rPr>
        <w:t> </w:t>
      </w:r>
      <w:r>
        <w:rPr>
          <w:color w:val="383636"/>
          <w:w w:val="105"/>
          <w:sz w:val="18"/>
        </w:rPr>
        <w:t>Education,</w:t>
      </w:r>
      <w:r>
        <w:rPr>
          <w:color w:val="383636"/>
          <w:spacing w:val="14"/>
          <w:w w:val="105"/>
          <w:sz w:val="18"/>
        </w:rPr>
        <w:t> </w:t>
      </w:r>
      <w:r>
        <w:rPr>
          <w:color w:val="242123"/>
          <w:w w:val="105"/>
          <w:sz w:val="18"/>
        </w:rPr>
        <w:t>Inc</w:t>
      </w:r>
      <w:r>
        <w:rPr>
          <w:color w:val="5D5D5E"/>
          <w:w w:val="105"/>
          <w:sz w:val="18"/>
        </w:rPr>
        <w:t>.</w:t>
      </w:r>
      <w:r>
        <w:rPr>
          <w:color w:val="5D5D5E"/>
          <w:spacing w:val="1"/>
          <w:w w:val="105"/>
          <w:sz w:val="18"/>
        </w:rPr>
        <w:t> </w:t>
      </w:r>
      <w:r>
        <w:rPr>
          <w:color w:val="383636"/>
          <w:w w:val="105"/>
          <w:sz w:val="18"/>
        </w:rPr>
        <w:t>2014).</w:t>
      </w:r>
    </w:p>
    <w:p>
      <w:pPr>
        <w:spacing w:line="172" w:lineRule="exact" w:before="0"/>
        <w:ind w:left="493" w:right="0" w:firstLine="0"/>
        <w:jc w:val="left"/>
        <w:rPr>
          <w:sz w:val="19"/>
        </w:rPr>
      </w:pPr>
      <w:r>
        <w:rPr>
          <w:color w:val="383636"/>
          <w:w w:val="105"/>
          <w:sz w:val="18"/>
        </w:rPr>
        <w:t>11</w:t>
      </w:r>
      <w:r>
        <w:rPr>
          <w:color w:val="383636"/>
          <w:spacing w:val="-17"/>
          <w:w w:val="105"/>
          <w:sz w:val="18"/>
        </w:rPr>
        <w:t> </w:t>
      </w:r>
      <w:r>
        <w:rPr>
          <w:color w:val="383636"/>
          <w:w w:val="105"/>
          <w:sz w:val="18"/>
        </w:rPr>
        <w:t>am </w:t>
      </w:r>
      <w:r>
        <w:rPr>
          <w:color w:val="383636"/>
          <w:spacing w:val="5"/>
          <w:w w:val="105"/>
          <w:sz w:val="18"/>
        </w:rPr>
        <w:t> </w:t>
      </w:r>
      <w:r>
        <w:rPr>
          <w:color w:val="383636"/>
          <w:w w:val="105"/>
          <w:sz w:val="18"/>
        </w:rPr>
        <w:t>grateful</w:t>
      </w:r>
      <w:r>
        <w:rPr>
          <w:color w:val="383636"/>
          <w:spacing w:val="32"/>
          <w:w w:val="105"/>
          <w:sz w:val="18"/>
        </w:rPr>
        <w:t> </w:t>
      </w:r>
      <w:r>
        <w:rPr>
          <w:color w:val="383636"/>
          <w:w w:val="105"/>
          <w:sz w:val="18"/>
        </w:rPr>
        <w:t>to</w:t>
      </w:r>
      <w:r>
        <w:rPr>
          <w:color w:val="383636"/>
          <w:spacing w:val="43"/>
          <w:w w:val="105"/>
          <w:sz w:val="18"/>
        </w:rPr>
        <w:t> </w:t>
      </w:r>
      <w:r>
        <w:rPr>
          <w:color w:val="383636"/>
          <w:w w:val="105"/>
          <w:sz w:val="18"/>
        </w:rPr>
        <w:t>Professor</w:t>
      </w:r>
      <w:r>
        <w:rPr>
          <w:color w:val="383636"/>
          <w:spacing w:val="21"/>
          <w:w w:val="105"/>
          <w:sz w:val="18"/>
        </w:rPr>
        <w:t> </w:t>
      </w:r>
      <w:r>
        <w:rPr>
          <w:color w:val="383636"/>
          <w:w w:val="105"/>
          <w:sz w:val="18"/>
        </w:rPr>
        <w:t>Nancy</w:t>
      </w:r>
      <w:r>
        <w:rPr>
          <w:color w:val="383636"/>
          <w:spacing w:val="32"/>
          <w:w w:val="105"/>
          <w:sz w:val="18"/>
        </w:rPr>
        <w:t> </w:t>
      </w:r>
      <w:r>
        <w:rPr>
          <w:color w:val="383636"/>
          <w:w w:val="105"/>
          <w:sz w:val="18"/>
        </w:rPr>
        <w:t>Rapoport</w:t>
      </w:r>
      <w:r>
        <w:rPr>
          <w:color w:val="383636"/>
          <w:spacing w:val="22"/>
          <w:w w:val="105"/>
          <w:sz w:val="18"/>
        </w:rPr>
        <w:t> </w:t>
      </w:r>
      <w:r>
        <w:rPr>
          <w:color w:val="383636"/>
          <w:w w:val="105"/>
          <w:sz w:val="18"/>
        </w:rPr>
        <w:t>for</w:t>
      </w:r>
      <w:r>
        <w:rPr>
          <w:color w:val="383636"/>
          <w:spacing w:val="12"/>
          <w:w w:val="105"/>
          <w:sz w:val="18"/>
        </w:rPr>
        <w:t> </w:t>
      </w:r>
      <w:r>
        <w:rPr>
          <w:color w:val="383636"/>
          <w:w w:val="105"/>
          <w:sz w:val="18"/>
        </w:rPr>
        <w:t>suggesting</w:t>
      </w:r>
      <w:r>
        <w:rPr>
          <w:color w:val="383636"/>
          <w:spacing w:val="26"/>
          <w:w w:val="105"/>
          <w:sz w:val="18"/>
        </w:rPr>
        <w:t> </w:t>
      </w:r>
      <w:r>
        <w:rPr>
          <w:color w:val="383636"/>
          <w:w w:val="105"/>
          <w:sz w:val="18"/>
        </w:rPr>
        <w:t>this</w:t>
      </w:r>
      <w:r>
        <w:rPr>
          <w:color w:val="383636"/>
          <w:spacing w:val="8"/>
          <w:w w:val="105"/>
          <w:sz w:val="18"/>
        </w:rPr>
        <w:t> </w:t>
      </w:r>
      <w:r>
        <w:rPr>
          <w:color w:val="383636"/>
          <w:w w:val="105"/>
          <w:sz w:val="18"/>
        </w:rPr>
        <w:t>term</w:t>
      </w:r>
      <w:r>
        <w:rPr>
          <w:color w:val="383636"/>
          <w:spacing w:val="30"/>
          <w:w w:val="105"/>
          <w:sz w:val="18"/>
        </w:rPr>
        <w:t> </w:t>
      </w:r>
      <w:r>
        <w:rPr>
          <w:color w:val="383636"/>
          <w:w w:val="105"/>
          <w:sz w:val="18"/>
        </w:rPr>
        <w:t>to</w:t>
      </w:r>
      <w:r>
        <w:rPr>
          <w:color w:val="383636"/>
          <w:spacing w:val="15"/>
          <w:w w:val="105"/>
          <w:sz w:val="18"/>
        </w:rPr>
        <w:t> </w:t>
      </w:r>
      <w:r>
        <w:rPr>
          <w:color w:val="383636"/>
          <w:w w:val="105"/>
          <w:sz w:val="18"/>
        </w:rPr>
        <w:t>describe</w:t>
      </w:r>
      <w:r>
        <w:rPr>
          <w:color w:val="383636"/>
          <w:spacing w:val="18"/>
          <w:w w:val="105"/>
          <w:sz w:val="18"/>
        </w:rPr>
        <w:t> </w:t>
      </w:r>
      <w:r>
        <w:rPr>
          <w:color w:val="383636"/>
          <w:w w:val="105"/>
          <w:sz w:val="18"/>
        </w:rPr>
        <w:t>this</w:t>
      </w:r>
      <w:r>
        <w:rPr>
          <w:color w:val="383636"/>
          <w:spacing w:val="19"/>
          <w:w w:val="105"/>
          <w:sz w:val="18"/>
        </w:rPr>
        <w:t> </w:t>
      </w:r>
      <w:r>
        <w:rPr>
          <w:color w:val="383636"/>
          <w:w w:val="105"/>
          <w:sz w:val="19"/>
        </w:rPr>
        <w:t>mental</w:t>
      </w:r>
    </w:p>
    <w:p>
      <w:pPr>
        <w:spacing w:before="22"/>
        <w:ind w:left="187" w:right="0" w:firstLine="0"/>
        <w:jc w:val="left"/>
        <w:rPr>
          <w:sz w:val="18"/>
        </w:rPr>
      </w:pPr>
      <w:r>
        <w:rPr>
          <w:color w:val="383636"/>
          <w:w w:val="105"/>
          <w:sz w:val="18"/>
        </w:rPr>
        <w:t>phenomenon.</w:t>
      </w:r>
    </w:p>
    <w:p>
      <w:pPr>
        <w:spacing w:after="0"/>
        <w:jc w:val="left"/>
        <w:rPr>
          <w:sz w:val="18"/>
        </w:rPr>
        <w:sectPr>
          <w:pgSz w:w="9530" w:h="13740"/>
          <w:pgMar w:header="415" w:footer="0" w:top="1120" w:bottom="280" w:left="440" w:right="1140"/>
        </w:sectPr>
      </w:pPr>
    </w:p>
    <w:p>
      <w:pPr>
        <w:pStyle w:val="BodyText"/>
        <w:spacing w:line="235" w:lineRule="auto" w:before="85"/>
        <w:ind w:left="867" w:right="62" w:firstLine="8"/>
        <w:jc w:val="both"/>
      </w:pPr>
      <w:r>
        <w:rPr>
          <w:color w:val="383636"/>
          <w:w w:val="105"/>
        </w:rPr>
        <w:t>this way, you will discover what parts of the message are missing, and you</w:t>
      </w:r>
      <w:r>
        <w:rPr>
          <w:color w:val="383636"/>
          <w:spacing w:val="-58"/>
          <w:w w:val="105"/>
        </w:rPr>
        <w:t> </w:t>
      </w:r>
      <w:r>
        <w:rPr>
          <w:color w:val="383636"/>
          <w:w w:val="105"/>
        </w:rPr>
        <w:t>will</w:t>
      </w:r>
      <w:r>
        <w:rPr>
          <w:color w:val="383636"/>
          <w:spacing w:val="-1"/>
          <w:w w:val="105"/>
        </w:rPr>
        <w:t> </w:t>
      </w:r>
      <w:r>
        <w:rPr>
          <w:color w:val="383636"/>
          <w:w w:val="105"/>
        </w:rPr>
        <w:t>be</w:t>
      </w:r>
      <w:r>
        <w:rPr>
          <w:color w:val="383636"/>
          <w:spacing w:val="-2"/>
          <w:w w:val="105"/>
        </w:rPr>
        <w:t> </w:t>
      </w:r>
      <w:r>
        <w:rPr>
          <w:color w:val="383636"/>
          <w:w w:val="105"/>
        </w:rPr>
        <w:t>in</w:t>
      </w:r>
      <w:r>
        <w:rPr>
          <w:color w:val="383636"/>
          <w:spacing w:val="16"/>
          <w:w w:val="105"/>
        </w:rPr>
        <w:t> </w:t>
      </w:r>
      <w:r>
        <w:rPr>
          <w:color w:val="383636"/>
          <w:w w:val="105"/>
        </w:rPr>
        <w:t>a</w:t>
      </w:r>
      <w:r>
        <w:rPr>
          <w:color w:val="383636"/>
          <w:spacing w:val="18"/>
          <w:w w:val="105"/>
        </w:rPr>
        <w:t> </w:t>
      </w:r>
      <w:r>
        <w:rPr>
          <w:color w:val="383636"/>
          <w:w w:val="105"/>
        </w:rPr>
        <w:t>better</w:t>
      </w:r>
      <w:r>
        <w:rPr>
          <w:color w:val="383636"/>
          <w:spacing w:val="-2"/>
          <w:w w:val="105"/>
        </w:rPr>
        <w:t> </w:t>
      </w:r>
      <w:r>
        <w:rPr>
          <w:color w:val="383636"/>
          <w:w w:val="105"/>
        </w:rPr>
        <w:t>position</w:t>
      </w:r>
      <w:r>
        <w:rPr>
          <w:color w:val="383636"/>
          <w:spacing w:val="7"/>
          <w:w w:val="105"/>
        </w:rPr>
        <w:t> </w:t>
      </w:r>
      <w:r>
        <w:rPr>
          <w:color w:val="383636"/>
          <w:w w:val="105"/>
        </w:rPr>
        <w:t>to</w:t>
      </w:r>
      <w:r>
        <w:rPr>
          <w:color w:val="383636"/>
          <w:spacing w:val="18"/>
          <w:w w:val="105"/>
        </w:rPr>
        <w:t> </w:t>
      </w:r>
      <w:r>
        <w:rPr>
          <w:color w:val="383636"/>
          <w:w w:val="105"/>
        </w:rPr>
        <w:t>make</w:t>
      </w:r>
      <w:r>
        <w:rPr>
          <w:color w:val="383636"/>
          <w:spacing w:val="-2"/>
          <w:w w:val="105"/>
        </w:rPr>
        <w:t> </w:t>
      </w:r>
      <w:r>
        <w:rPr>
          <w:color w:val="383636"/>
          <w:w w:val="105"/>
        </w:rPr>
        <w:t>revision</w:t>
      </w:r>
      <w:r>
        <w:rPr>
          <w:color w:val="383636"/>
          <w:spacing w:val="6"/>
          <w:w w:val="105"/>
        </w:rPr>
        <w:t> </w:t>
      </w:r>
      <w:r>
        <w:rPr>
          <w:color w:val="383636"/>
          <w:w w:val="105"/>
        </w:rPr>
        <w:t>decisions</w:t>
      </w:r>
      <w:r>
        <w:rPr>
          <w:color w:val="525254"/>
          <w:w w:val="105"/>
        </w:rPr>
        <w:t>.</w:t>
      </w:r>
    </w:p>
    <w:p>
      <w:pPr>
        <w:pStyle w:val="BodyText"/>
        <w:spacing w:line="235" w:lineRule="auto"/>
        <w:ind w:left="831" w:right="64" w:firstLine="388"/>
        <w:jc w:val="both"/>
      </w:pPr>
      <w:r>
        <w:rPr>
          <w:color w:val="383636"/>
          <w:w w:val="105"/>
        </w:rPr>
        <w:t>In addition to helping you discover what analytical elements are miss­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ing, self-grading helps revision simply by focusing your attention. After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you have marked the places in the document in which you applied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rule to the  facts, for example, you can focus your attention on  that aspect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of</w:t>
      </w:r>
      <w:r>
        <w:rPr>
          <w:color w:val="383636"/>
          <w:spacing w:val="-2"/>
          <w:w w:val="105"/>
        </w:rPr>
        <w:t> </w:t>
      </w:r>
      <w:r>
        <w:rPr>
          <w:color w:val="383636"/>
          <w:w w:val="105"/>
        </w:rPr>
        <w:t>analytical writing</w:t>
      </w:r>
      <w:r>
        <w:rPr>
          <w:color w:val="383636"/>
          <w:spacing w:val="-22"/>
          <w:w w:val="105"/>
        </w:rPr>
        <w:t> </w:t>
      </w:r>
      <w:r>
        <w:rPr>
          <w:color w:val="383636"/>
          <w:w w:val="105"/>
        </w:rPr>
        <w:t>and</w:t>
      </w:r>
      <w:r>
        <w:rPr>
          <w:color w:val="383636"/>
          <w:spacing w:val="20"/>
          <w:w w:val="105"/>
        </w:rPr>
        <w:t> </w:t>
      </w:r>
      <w:r>
        <w:rPr>
          <w:color w:val="383636"/>
          <w:w w:val="105"/>
        </w:rPr>
        <w:t>critically</w:t>
      </w:r>
      <w:r>
        <w:rPr>
          <w:color w:val="383636"/>
          <w:spacing w:val="2"/>
          <w:w w:val="105"/>
        </w:rPr>
        <w:t> </w:t>
      </w:r>
      <w:r>
        <w:rPr>
          <w:color w:val="383636"/>
          <w:w w:val="105"/>
        </w:rPr>
        <w:t>review</w:t>
      </w:r>
      <w:r>
        <w:rPr>
          <w:color w:val="383636"/>
          <w:spacing w:val="-3"/>
          <w:w w:val="105"/>
        </w:rPr>
        <w:t> </w:t>
      </w:r>
      <w:r>
        <w:rPr>
          <w:color w:val="383636"/>
          <w:w w:val="105"/>
        </w:rPr>
        <w:t>your</w:t>
      </w:r>
      <w:r>
        <w:rPr>
          <w:color w:val="383636"/>
          <w:spacing w:val="-11"/>
          <w:w w:val="105"/>
        </w:rPr>
        <w:t> </w:t>
      </w:r>
      <w:r>
        <w:rPr>
          <w:color w:val="383636"/>
          <w:w w:val="105"/>
        </w:rPr>
        <w:t>work.</w:t>
      </w:r>
    </w:p>
    <w:p>
      <w:pPr>
        <w:pStyle w:val="BodyText"/>
        <w:spacing w:before="4"/>
        <w:rPr>
          <w:sz w:val="35"/>
        </w:rPr>
      </w:pPr>
    </w:p>
    <w:p>
      <w:pPr>
        <w:spacing w:before="0"/>
        <w:ind w:left="1175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83636"/>
          <w:sz w:val="28"/>
        </w:rPr>
        <w:t>7</w:t>
      </w:r>
      <w:r>
        <w:rPr>
          <w:rFonts w:ascii="Arial"/>
          <w:b/>
          <w:color w:val="525254"/>
          <w:sz w:val="28"/>
        </w:rPr>
        <w:t>.</w:t>
      </w:r>
      <w:r>
        <w:rPr>
          <w:rFonts w:ascii="Arial"/>
          <w:b/>
          <w:color w:val="383636"/>
          <w:sz w:val="28"/>
        </w:rPr>
        <w:t>1.2</w:t>
      </w:r>
    </w:p>
    <w:p>
      <w:pPr>
        <w:spacing w:before="52"/>
        <w:ind w:left="1157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color w:val="383636"/>
          <w:spacing w:val="-1"/>
          <w:w w:val="105"/>
          <w:sz w:val="21"/>
        </w:rPr>
        <w:t>COMPLETING</w:t>
      </w:r>
      <w:r>
        <w:rPr>
          <w:rFonts w:ascii="Arial"/>
          <w:b/>
          <w:color w:val="383636"/>
          <w:spacing w:val="-4"/>
          <w:w w:val="105"/>
          <w:sz w:val="21"/>
        </w:rPr>
        <w:t> </w:t>
      </w:r>
      <w:r>
        <w:rPr>
          <w:rFonts w:ascii="Arial"/>
          <w:b/>
          <w:color w:val="383636"/>
          <w:spacing w:val="-1"/>
          <w:w w:val="105"/>
          <w:sz w:val="21"/>
        </w:rPr>
        <w:t>THE</w:t>
      </w:r>
      <w:r>
        <w:rPr>
          <w:rFonts w:ascii="Arial"/>
          <w:b/>
          <w:color w:val="383636"/>
          <w:spacing w:val="-11"/>
          <w:w w:val="105"/>
          <w:sz w:val="21"/>
        </w:rPr>
        <w:t> </w:t>
      </w:r>
      <w:r>
        <w:rPr>
          <w:rFonts w:ascii="Arial"/>
          <w:b/>
          <w:color w:val="383636"/>
          <w:spacing w:val="-1"/>
          <w:w w:val="105"/>
          <w:sz w:val="21"/>
        </w:rPr>
        <w:t>SELF-GRADING</w:t>
      </w:r>
    </w:p>
    <w:p>
      <w:pPr>
        <w:pStyle w:val="BodyText"/>
        <w:spacing w:line="235" w:lineRule="auto" w:before="121"/>
        <w:ind w:left="741" w:right="112" w:firstLine="382"/>
        <w:jc w:val="both"/>
      </w:pPr>
      <w:r>
        <w:rPr>
          <w:color w:val="383636"/>
          <w:w w:val="110"/>
        </w:rPr>
        <w:t>Some writers like to complete their self-grading by working on one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unit of discourse at a time, completing their marking of each section's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CREXAC before moving on to the next. Others prefer to  complete all of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"objective" tasks first because the highlighting that these tasks require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may help them with the more subjective tasks. Whichever method you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use, you should keepa separate sheet of paper or an empty word processor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screen</w:t>
      </w:r>
      <w:r>
        <w:rPr>
          <w:color w:val="383636"/>
          <w:spacing w:val="2"/>
          <w:w w:val="110"/>
        </w:rPr>
        <w:t> </w:t>
      </w:r>
      <w:r>
        <w:rPr>
          <w:color w:val="383636"/>
          <w:w w:val="110"/>
        </w:rPr>
        <w:t>handy</w:t>
      </w:r>
      <w:r>
        <w:rPr>
          <w:color w:val="383636"/>
          <w:spacing w:val="-15"/>
          <w:w w:val="110"/>
        </w:rPr>
        <w:t> </w:t>
      </w:r>
      <w:r>
        <w:rPr>
          <w:color w:val="383636"/>
          <w:w w:val="110"/>
        </w:rPr>
        <w:t>so</w:t>
      </w:r>
      <w:r>
        <w:rPr>
          <w:color w:val="383636"/>
          <w:spacing w:val="-5"/>
          <w:w w:val="110"/>
        </w:rPr>
        <w:t> </w:t>
      </w:r>
      <w:r>
        <w:rPr>
          <w:color w:val="383636"/>
          <w:w w:val="110"/>
        </w:rPr>
        <w:t>that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you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can</w:t>
      </w:r>
      <w:r>
        <w:rPr>
          <w:color w:val="383636"/>
          <w:spacing w:val="9"/>
          <w:w w:val="110"/>
        </w:rPr>
        <w:t> </w:t>
      </w:r>
      <w:r>
        <w:rPr>
          <w:color w:val="383636"/>
          <w:w w:val="110"/>
        </w:rPr>
        <w:t>use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private</w:t>
      </w:r>
      <w:r>
        <w:rPr>
          <w:color w:val="383636"/>
          <w:spacing w:val="-9"/>
          <w:w w:val="110"/>
        </w:rPr>
        <w:t> </w:t>
      </w:r>
      <w:r>
        <w:rPr>
          <w:color w:val="383636"/>
          <w:w w:val="110"/>
        </w:rPr>
        <w:t>memos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11"/>
          <w:w w:val="110"/>
        </w:rPr>
        <w:t> </w:t>
      </w:r>
      <w:r>
        <w:rPr>
          <w:color w:val="383636"/>
          <w:w w:val="110"/>
        </w:rPr>
        <w:t>note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any</w:t>
      </w:r>
      <w:r>
        <w:rPr>
          <w:color w:val="383636"/>
          <w:spacing w:val="3"/>
          <w:w w:val="110"/>
        </w:rPr>
        <w:t> </w:t>
      </w:r>
      <w:r>
        <w:rPr>
          <w:color w:val="383636"/>
          <w:w w:val="110"/>
        </w:rPr>
        <w:t>questions</w:t>
      </w:r>
      <w:r>
        <w:rPr>
          <w:color w:val="383636"/>
          <w:spacing w:val="-18"/>
          <w:w w:val="110"/>
        </w:rPr>
        <w:t> </w:t>
      </w:r>
      <w:r>
        <w:rPr>
          <w:color w:val="383636"/>
          <w:w w:val="110"/>
        </w:rPr>
        <w:t>or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05"/>
        </w:rPr>
        <w:t>concerns that arise as you self-grade, record any possible revisions that you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find</w:t>
      </w:r>
      <w:r>
        <w:rPr>
          <w:color w:val="383636"/>
          <w:spacing w:val="2"/>
          <w:w w:val="105"/>
        </w:rPr>
        <w:t> </w:t>
      </w:r>
      <w:r>
        <w:rPr>
          <w:color w:val="383636"/>
          <w:w w:val="105"/>
        </w:rPr>
        <w:t>necessary</w:t>
      </w:r>
      <w:r>
        <w:rPr>
          <w:color w:val="525254"/>
          <w:w w:val="105"/>
        </w:rPr>
        <w:t>,</w:t>
      </w:r>
      <w:r>
        <w:rPr>
          <w:color w:val="525254"/>
          <w:spacing w:val="-8"/>
          <w:w w:val="105"/>
        </w:rPr>
        <w:t> </w:t>
      </w:r>
      <w:r>
        <w:rPr>
          <w:color w:val="383636"/>
          <w:w w:val="105"/>
        </w:rPr>
        <w:t>and</w:t>
      </w:r>
      <w:r>
        <w:rPr>
          <w:color w:val="383636"/>
          <w:spacing w:val="52"/>
          <w:w w:val="105"/>
        </w:rPr>
        <w:t> </w:t>
      </w:r>
      <w:r>
        <w:rPr>
          <w:color w:val="383636"/>
          <w:w w:val="105"/>
        </w:rPr>
        <w:t>write</w:t>
      </w:r>
      <w:r>
        <w:rPr>
          <w:color w:val="383636"/>
          <w:spacing w:val="-20"/>
          <w:w w:val="105"/>
        </w:rPr>
        <w:t> </w:t>
      </w:r>
      <w:r>
        <w:rPr>
          <w:color w:val="383636"/>
          <w:w w:val="105"/>
        </w:rPr>
        <w:t>a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final</w:t>
      </w:r>
      <w:r>
        <w:rPr>
          <w:color w:val="383636"/>
          <w:spacing w:val="-8"/>
          <w:w w:val="105"/>
        </w:rPr>
        <w:t> </w:t>
      </w:r>
      <w:r>
        <w:rPr>
          <w:color w:val="383636"/>
          <w:w w:val="105"/>
        </w:rPr>
        <w:t>comment.</w:t>
      </w:r>
    </w:p>
    <w:p>
      <w:pPr>
        <w:pStyle w:val="BodyText"/>
        <w:spacing w:line="235" w:lineRule="auto"/>
        <w:ind w:left="741" w:right="131" w:firstLine="354"/>
        <w:jc w:val="both"/>
      </w:pPr>
      <w:r>
        <w:rPr>
          <w:color w:val="383636"/>
          <w:w w:val="105"/>
        </w:rPr>
        <w:t>Each of the self</w:t>
      </w:r>
      <w:r>
        <w:rPr>
          <w:color w:val="525254"/>
          <w:w w:val="105"/>
        </w:rPr>
        <w:t>-</w:t>
      </w:r>
      <w:r>
        <w:rPr>
          <w:color w:val="383636"/>
          <w:w w:val="105"/>
        </w:rPr>
        <w:t>grading tasks is listed below, followed by an explana­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tion of how best to accomplish the task and of how that task can affect the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revision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process</w:t>
      </w:r>
      <w:r>
        <w:rPr>
          <w:color w:val="525254"/>
          <w:w w:val="105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Heading6"/>
        <w:ind w:left="1293"/>
        <w:rPr>
          <w:rFonts w:ascii="Courier New"/>
        </w:rPr>
      </w:pPr>
      <w:r>
        <w:rPr>
          <w:rFonts w:ascii="Courier New"/>
          <w:color w:val="383636"/>
          <w:w w:val="85"/>
        </w:rPr>
        <w:t>7.2</w:t>
      </w:r>
    </w:p>
    <w:p>
      <w:pPr>
        <w:spacing w:line="295" w:lineRule="auto" w:before="10"/>
        <w:ind w:left="1306" w:right="0" w:hanging="6"/>
        <w:jc w:val="left"/>
        <w:rPr>
          <w:b/>
          <w:sz w:val="28"/>
        </w:rPr>
      </w:pPr>
      <w:r>
        <w:rPr>
          <w:b/>
          <w:color w:val="383636"/>
          <w:w w:val="95"/>
          <w:sz w:val="28"/>
        </w:rPr>
        <w:t>COMMON</w:t>
      </w:r>
      <w:r>
        <w:rPr>
          <w:b/>
          <w:color w:val="383636"/>
          <w:spacing w:val="22"/>
          <w:w w:val="95"/>
          <w:sz w:val="28"/>
        </w:rPr>
        <w:t> </w:t>
      </w:r>
      <w:r>
        <w:rPr>
          <w:b/>
          <w:color w:val="383636"/>
          <w:w w:val="95"/>
          <w:sz w:val="28"/>
        </w:rPr>
        <w:t>SELF-GRADING</w:t>
      </w:r>
      <w:r>
        <w:rPr>
          <w:b/>
          <w:color w:val="383636"/>
          <w:spacing w:val="43"/>
          <w:w w:val="95"/>
          <w:sz w:val="28"/>
        </w:rPr>
        <w:t> </w:t>
      </w:r>
      <w:r>
        <w:rPr>
          <w:b/>
          <w:color w:val="383636"/>
          <w:w w:val="95"/>
          <w:sz w:val="28"/>
        </w:rPr>
        <w:t>TASKS</w:t>
      </w:r>
      <w:r>
        <w:rPr>
          <w:b/>
          <w:color w:val="383636"/>
          <w:spacing w:val="12"/>
          <w:w w:val="95"/>
          <w:sz w:val="28"/>
        </w:rPr>
        <w:t> </w:t>
      </w:r>
      <w:r>
        <w:rPr>
          <w:b/>
          <w:color w:val="383636"/>
          <w:w w:val="95"/>
          <w:sz w:val="28"/>
        </w:rPr>
        <w:t>AND</w:t>
      </w:r>
      <w:r>
        <w:rPr>
          <w:b/>
          <w:color w:val="383636"/>
          <w:spacing w:val="-63"/>
          <w:w w:val="95"/>
          <w:sz w:val="28"/>
        </w:rPr>
        <w:t> </w:t>
      </w:r>
      <w:r>
        <w:rPr>
          <w:b/>
          <w:color w:val="383636"/>
          <w:sz w:val="28"/>
        </w:rPr>
        <w:t>EXPLANATIONS</w:t>
      </w:r>
    </w:p>
    <w:p>
      <w:pPr>
        <w:spacing w:before="189"/>
        <w:ind w:left="1049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83636"/>
          <w:w w:val="105"/>
          <w:sz w:val="28"/>
        </w:rPr>
        <w:t>7.2</w:t>
      </w:r>
      <w:r>
        <w:rPr>
          <w:rFonts w:ascii="Arial"/>
          <w:b/>
          <w:color w:val="626264"/>
          <w:w w:val="105"/>
          <w:sz w:val="28"/>
        </w:rPr>
        <w:t>.</w:t>
      </w:r>
      <w:r>
        <w:rPr>
          <w:rFonts w:ascii="Arial"/>
          <w:b/>
          <w:color w:val="383636"/>
          <w:w w:val="105"/>
          <w:sz w:val="28"/>
        </w:rPr>
        <w:t>1</w:t>
      </w:r>
    </w:p>
    <w:p>
      <w:pPr>
        <w:spacing w:before="52"/>
        <w:ind w:left="1037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color w:val="383636"/>
          <w:w w:val="105"/>
          <w:sz w:val="21"/>
        </w:rPr>
        <w:t>IDENTIFY</w:t>
      </w:r>
      <w:r>
        <w:rPr>
          <w:rFonts w:ascii="Arial"/>
          <w:b/>
          <w:color w:val="383636"/>
          <w:spacing w:val="36"/>
          <w:w w:val="105"/>
          <w:sz w:val="21"/>
        </w:rPr>
        <w:t> </w:t>
      </w:r>
      <w:r>
        <w:rPr>
          <w:rFonts w:ascii="Arial"/>
          <w:b/>
          <w:color w:val="383636"/>
          <w:w w:val="105"/>
          <w:sz w:val="21"/>
        </w:rPr>
        <w:t>THE</w:t>
      </w:r>
      <w:r>
        <w:rPr>
          <w:rFonts w:ascii="Arial"/>
          <w:b/>
          <w:color w:val="383636"/>
          <w:spacing w:val="17"/>
          <w:w w:val="105"/>
          <w:sz w:val="21"/>
        </w:rPr>
        <w:t> </w:t>
      </w:r>
      <w:r>
        <w:rPr>
          <w:rFonts w:ascii="Arial"/>
          <w:b/>
          <w:color w:val="383636"/>
          <w:w w:val="105"/>
          <w:sz w:val="21"/>
        </w:rPr>
        <w:t>FOCUS</w:t>
      </w:r>
      <w:r>
        <w:rPr>
          <w:rFonts w:ascii="Arial"/>
          <w:b/>
          <w:color w:val="383636"/>
          <w:spacing w:val="20"/>
          <w:w w:val="105"/>
          <w:sz w:val="21"/>
        </w:rPr>
        <w:t> </w:t>
      </w:r>
      <w:r>
        <w:rPr>
          <w:rFonts w:ascii="Arial"/>
          <w:b/>
          <w:color w:val="383636"/>
          <w:w w:val="105"/>
          <w:sz w:val="21"/>
        </w:rPr>
        <w:t>OF</w:t>
      </w:r>
      <w:r>
        <w:rPr>
          <w:rFonts w:ascii="Arial"/>
          <w:b/>
          <w:color w:val="383636"/>
          <w:spacing w:val="15"/>
          <w:w w:val="105"/>
          <w:sz w:val="21"/>
        </w:rPr>
        <w:t> </w:t>
      </w:r>
      <w:r>
        <w:rPr>
          <w:rFonts w:ascii="Arial"/>
          <w:b/>
          <w:color w:val="383636"/>
          <w:w w:val="105"/>
          <w:sz w:val="21"/>
        </w:rPr>
        <w:t>EACH</w:t>
      </w:r>
      <w:r>
        <w:rPr>
          <w:rFonts w:ascii="Arial"/>
          <w:b/>
          <w:color w:val="383636"/>
          <w:spacing w:val="19"/>
          <w:w w:val="105"/>
          <w:sz w:val="21"/>
        </w:rPr>
        <w:t> </w:t>
      </w:r>
      <w:r>
        <w:rPr>
          <w:rFonts w:ascii="Arial"/>
          <w:b/>
          <w:color w:val="383636"/>
          <w:w w:val="105"/>
          <w:sz w:val="21"/>
        </w:rPr>
        <w:t>CREXAC</w:t>
      </w:r>
      <w:r>
        <w:rPr>
          <w:rFonts w:ascii="Arial"/>
          <w:b/>
          <w:color w:val="383636"/>
          <w:spacing w:val="29"/>
          <w:w w:val="105"/>
          <w:sz w:val="21"/>
        </w:rPr>
        <w:t> </w:t>
      </w:r>
      <w:r>
        <w:rPr>
          <w:rFonts w:ascii="Arial"/>
          <w:b/>
          <w:color w:val="383636"/>
          <w:w w:val="105"/>
          <w:sz w:val="21"/>
        </w:rPr>
        <w:t>UNIT</w:t>
      </w:r>
      <w:r>
        <w:rPr>
          <w:rFonts w:ascii="Arial"/>
          <w:b/>
          <w:color w:val="383636"/>
          <w:spacing w:val="-11"/>
          <w:w w:val="105"/>
          <w:sz w:val="21"/>
        </w:rPr>
        <w:t> </w:t>
      </w:r>
      <w:r>
        <w:rPr>
          <w:rFonts w:ascii="Arial"/>
          <w:b/>
          <w:color w:val="383636"/>
          <w:w w:val="105"/>
          <w:sz w:val="21"/>
        </w:rPr>
        <w:t>OF</w:t>
      </w:r>
      <w:r>
        <w:rPr>
          <w:rFonts w:ascii="Arial"/>
          <w:b/>
          <w:color w:val="383636"/>
          <w:spacing w:val="-28"/>
          <w:w w:val="105"/>
          <w:sz w:val="21"/>
        </w:rPr>
        <w:t> </w:t>
      </w:r>
      <w:r>
        <w:rPr>
          <w:rFonts w:ascii="Arial"/>
          <w:b/>
          <w:color w:val="383636"/>
          <w:w w:val="105"/>
          <w:sz w:val="21"/>
        </w:rPr>
        <w:t>DISCOURSE</w:t>
      </w:r>
    </w:p>
    <w:p>
      <w:pPr>
        <w:spacing w:line="232" w:lineRule="auto" w:before="131"/>
        <w:ind w:left="992" w:right="492" w:firstLine="18"/>
        <w:jc w:val="both"/>
        <w:rPr>
          <w:b/>
          <w:sz w:val="21"/>
        </w:rPr>
      </w:pPr>
      <w:r>
        <w:rPr>
          <w:b/>
          <w:color w:val="383636"/>
          <w:w w:val="105"/>
          <w:sz w:val="21"/>
        </w:rPr>
        <w:t>Within each CREXAC unit of discourse, write "focus" in the margin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color w:val="383636"/>
          <w:w w:val="115"/>
          <w:sz w:val="21"/>
        </w:rPr>
        <w:t>next to the sentence(s) </w:t>
      </w:r>
      <w:r>
        <w:rPr>
          <w:color w:val="383636"/>
          <w:w w:val="115"/>
          <w:sz w:val="20"/>
        </w:rPr>
        <w:t>in </w:t>
      </w:r>
      <w:r>
        <w:rPr>
          <w:color w:val="383636"/>
          <w:w w:val="115"/>
          <w:sz w:val="21"/>
        </w:rPr>
        <w:t>which you articulate the rule, policy</w:t>
      </w:r>
      <w:r>
        <w:rPr>
          <w:color w:val="525254"/>
          <w:w w:val="115"/>
          <w:sz w:val="21"/>
        </w:rPr>
        <w:t>, </w:t>
      </w:r>
      <w:r>
        <w:rPr>
          <w:color w:val="383636"/>
          <w:w w:val="115"/>
          <w:sz w:val="21"/>
        </w:rPr>
        <w:t>asser­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tion</w:t>
      </w:r>
      <w:r>
        <w:rPr>
          <w:color w:val="525254"/>
          <w:w w:val="115"/>
          <w:sz w:val="21"/>
        </w:rPr>
        <w:t>, </w:t>
      </w:r>
      <w:r>
        <w:rPr>
          <w:color w:val="383636"/>
          <w:w w:val="115"/>
          <w:sz w:val="21"/>
        </w:rPr>
        <w:t>or thesis </w:t>
      </w:r>
      <w:r>
        <w:rPr>
          <w:i/>
          <w:color w:val="383636"/>
          <w:w w:val="115"/>
          <w:sz w:val="21"/>
        </w:rPr>
        <w:t>that </w:t>
      </w:r>
      <w:r>
        <w:rPr>
          <w:rFonts w:ascii="Arial" w:hAnsi="Arial"/>
          <w:i/>
          <w:color w:val="383636"/>
          <w:w w:val="115"/>
          <w:sz w:val="19"/>
        </w:rPr>
        <w:t>is </w:t>
      </w:r>
      <w:r>
        <w:rPr>
          <w:i/>
          <w:color w:val="383636"/>
          <w:w w:val="115"/>
          <w:sz w:val="21"/>
        </w:rPr>
        <w:t>the focus </w:t>
      </w:r>
      <w:r>
        <w:rPr>
          <w:color w:val="383636"/>
          <w:w w:val="115"/>
          <w:sz w:val="21"/>
        </w:rPr>
        <w:t>of that section or subsection. Do </w:t>
      </w:r>
      <w:r>
        <w:rPr>
          <w:i/>
          <w:color w:val="383636"/>
          <w:w w:val="115"/>
          <w:sz w:val="21"/>
        </w:rPr>
        <w:t>not</w:t>
      </w:r>
      <w:r>
        <w:rPr>
          <w:i/>
          <w:color w:val="383636"/>
          <w:spacing w:val="1"/>
          <w:w w:val="115"/>
          <w:sz w:val="21"/>
        </w:rPr>
        <w:t> </w:t>
      </w:r>
      <w:r>
        <w:rPr>
          <w:b/>
          <w:color w:val="383636"/>
          <w:w w:val="110"/>
          <w:sz w:val="21"/>
        </w:rPr>
        <w:t>write</w:t>
      </w:r>
      <w:r>
        <w:rPr>
          <w:b/>
          <w:color w:val="383636"/>
          <w:spacing w:val="-24"/>
          <w:w w:val="110"/>
          <w:sz w:val="21"/>
        </w:rPr>
        <w:t> </w:t>
      </w:r>
      <w:r>
        <w:rPr>
          <w:b/>
          <w:color w:val="525254"/>
          <w:w w:val="110"/>
          <w:sz w:val="21"/>
        </w:rPr>
        <w:t>"</w:t>
      </w:r>
      <w:r>
        <w:rPr>
          <w:b/>
          <w:color w:val="383636"/>
          <w:w w:val="110"/>
          <w:sz w:val="21"/>
        </w:rPr>
        <w:t>focus"</w:t>
      </w:r>
      <w:r>
        <w:rPr>
          <w:b/>
          <w:color w:val="383636"/>
          <w:spacing w:val="-25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next</w:t>
      </w:r>
      <w:r>
        <w:rPr>
          <w:b/>
          <w:color w:val="383636"/>
          <w:spacing w:val="-8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to</w:t>
      </w:r>
      <w:r>
        <w:rPr>
          <w:b/>
          <w:color w:val="383636"/>
          <w:spacing w:val="-17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every</w:t>
      </w:r>
      <w:r>
        <w:rPr>
          <w:b/>
          <w:color w:val="383636"/>
          <w:spacing w:val="-19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statement</w:t>
      </w:r>
      <w:r>
        <w:rPr>
          <w:b/>
          <w:color w:val="383636"/>
          <w:spacing w:val="4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that</w:t>
      </w:r>
      <w:r>
        <w:rPr>
          <w:b/>
          <w:color w:val="383636"/>
          <w:spacing w:val="-2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could</w:t>
      </w:r>
      <w:r>
        <w:rPr>
          <w:b/>
          <w:color w:val="383636"/>
          <w:spacing w:val="-9"/>
          <w:w w:val="110"/>
          <w:sz w:val="21"/>
        </w:rPr>
        <w:t> </w:t>
      </w:r>
      <w:r>
        <w:rPr>
          <w:rFonts w:ascii="Arial" w:hAnsi="Arial"/>
          <w:b/>
          <w:color w:val="383636"/>
          <w:w w:val="110"/>
          <w:sz w:val="19"/>
        </w:rPr>
        <w:t>be</w:t>
      </w:r>
      <w:r>
        <w:rPr>
          <w:rFonts w:ascii="Arial" w:hAnsi="Arial"/>
          <w:b/>
          <w:color w:val="383636"/>
          <w:spacing w:val="-30"/>
          <w:w w:val="110"/>
          <w:sz w:val="19"/>
        </w:rPr>
        <w:t> </w:t>
      </w:r>
      <w:r>
        <w:rPr>
          <w:b/>
          <w:color w:val="383636"/>
          <w:w w:val="110"/>
          <w:sz w:val="21"/>
        </w:rPr>
        <w:t>called</w:t>
      </w:r>
      <w:r>
        <w:rPr>
          <w:b/>
          <w:color w:val="383636"/>
          <w:spacing w:val="-12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a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rule.</w:t>
      </w:r>
    </w:p>
    <w:p>
      <w:pPr>
        <w:pStyle w:val="BodyText"/>
        <w:spacing w:line="235" w:lineRule="auto" w:before="141"/>
        <w:ind w:left="548" w:right="159" w:firstLine="424"/>
        <w:jc w:val="both"/>
      </w:pPr>
      <w:r>
        <w:rPr>
          <w:color w:val="383636"/>
          <w:w w:val="105"/>
        </w:rPr>
        <w:t>A helpful self-grading task is identifying the  point you are focusing on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in each CREXAC unit of discourse of your document. Usually, you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  <w:sz w:val="22"/>
        </w:rPr>
        <w:t>will </w:t>
      </w:r>
      <w:r>
        <w:rPr>
          <w:color w:val="383636"/>
          <w:w w:val="105"/>
        </w:rPr>
        <w:t>be</w:t>
      </w:r>
      <w:r>
        <w:rPr>
          <w:color w:val="383636"/>
          <w:spacing w:val="1"/>
          <w:w w:val="105"/>
        </w:rPr>
        <w:t> </w:t>
      </w:r>
      <w:r>
        <w:rPr>
          <w:color w:val="383636"/>
          <w:spacing w:val="-1"/>
          <w:w w:val="110"/>
        </w:rPr>
        <w:t>focusing</w:t>
      </w:r>
      <w:r>
        <w:rPr>
          <w:color w:val="383636"/>
          <w:spacing w:val="-22"/>
          <w:w w:val="110"/>
        </w:rPr>
        <w:t> </w:t>
      </w:r>
      <w:r>
        <w:rPr>
          <w:color w:val="383636"/>
          <w:spacing w:val="-1"/>
          <w:w w:val="110"/>
        </w:rPr>
        <w:t>on</w:t>
      </w:r>
      <w:r>
        <w:rPr>
          <w:color w:val="383636"/>
          <w:spacing w:val="11"/>
          <w:w w:val="110"/>
        </w:rPr>
        <w:t> </w:t>
      </w:r>
      <w:r>
        <w:rPr>
          <w:color w:val="383636"/>
          <w:spacing w:val="-1"/>
          <w:w w:val="110"/>
        </w:rPr>
        <w:t>a</w:t>
      </w:r>
      <w:r>
        <w:rPr>
          <w:color w:val="383636"/>
          <w:spacing w:val="-6"/>
          <w:w w:val="110"/>
        </w:rPr>
        <w:t> </w:t>
      </w:r>
      <w:r>
        <w:rPr>
          <w:color w:val="383636"/>
          <w:spacing w:val="-1"/>
          <w:w w:val="110"/>
        </w:rPr>
        <w:t>rule</w:t>
      </w:r>
      <w:r>
        <w:rPr>
          <w:color w:val="383636"/>
          <w:spacing w:val="-16"/>
          <w:w w:val="110"/>
        </w:rPr>
        <w:t> </w:t>
      </w:r>
      <w:r>
        <w:rPr>
          <w:color w:val="383636"/>
          <w:spacing w:val="-1"/>
          <w:w w:val="110"/>
        </w:rPr>
        <w:t>that</w:t>
      </w:r>
      <w:r>
        <w:rPr>
          <w:color w:val="383636"/>
          <w:spacing w:val="-14"/>
          <w:w w:val="110"/>
        </w:rPr>
        <w:t> </w:t>
      </w:r>
      <w:r>
        <w:rPr>
          <w:color w:val="383636"/>
          <w:spacing w:val="-1"/>
          <w:w w:val="110"/>
        </w:rPr>
        <w:t>governs</w:t>
      </w:r>
      <w:r>
        <w:rPr>
          <w:color w:val="383636"/>
          <w:w w:val="110"/>
        </w:rPr>
        <w:t> the</w:t>
      </w:r>
      <w:r>
        <w:rPr>
          <w:color w:val="383636"/>
          <w:spacing w:val="3"/>
          <w:w w:val="110"/>
        </w:rPr>
        <w:t> </w:t>
      </w:r>
      <w:r>
        <w:rPr>
          <w:color w:val="383636"/>
          <w:w w:val="110"/>
        </w:rPr>
        <w:t>issue</w:t>
      </w:r>
      <w:r>
        <w:rPr>
          <w:color w:val="383636"/>
          <w:spacing w:val="-17"/>
          <w:w w:val="110"/>
        </w:rPr>
        <w:t> </w:t>
      </w:r>
      <w:r>
        <w:rPr>
          <w:color w:val="383636"/>
          <w:w w:val="110"/>
        </w:rPr>
        <w:t>that</w:t>
      </w:r>
      <w:r>
        <w:rPr>
          <w:color w:val="383636"/>
          <w:spacing w:val="-18"/>
          <w:w w:val="110"/>
        </w:rPr>
        <w:t> </w:t>
      </w:r>
      <w:r>
        <w:rPr>
          <w:color w:val="383636"/>
          <w:w w:val="110"/>
        </w:rPr>
        <w:t>you</w:t>
      </w:r>
      <w:r>
        <w:rPr>
          <w:color w:val="383636"/>
          <w:spacing w:val="-27"/>
          <w:w w:val="110"/>
        </w:rPr>
        <w:t> </w:t>
      </w:r>
      <w:r>
        <w:rPr>
          <w:color w:val="383636"/>
          <w:w w:val="110"/>
        </w:rPr>
        <w:t>are</w:t>
      </w:r>
      <w:r>
        <w:rPr>
          <w:color w:val="383636"/>
          <w:spacing w:val="-26"/>
          <w:w w:val="110"/>
        </w:rPr>
        <w:t> </w:t>
      </w:r>
      <w:r>
        <w:rPr>
          <w:color w:val="383636"/>
          <w:w w:val="110"/>
        </w:rPr>
        <w:t>discussing,</w:t>
      </w:r>
      <w:r>
        <w:rPr>
          <w:color w:val="383636"/>
          <w:spacing w:val="-9"/>
          <w:w w:val="110"/>
        </w:rPr>
        <w:t> </w:t>
      </w:r>
      <w:r>
        <w:rPr>
          <w:color w:val="383636"/>
          <w:w w:val="110"/>
        </w:rPr>
        <w:t>but</w:t>
      </w:r>
      <w:r>
        <w:rPr>
          <w:color w:val="383636"/>
          <w:spacing w:val="10"/>
          <w:w w:val="110"/>
        </w:rPr>
        <w:t> </w:t>
      </w:r>
      <w:r>
        <w:rPr>
          <w:color w:val="383636"/>
          <w:w w:val="110"/>
        </w:rPr>
        <w:t>some­</w:t>
      </w:r>
      <w:r>
        <w:rPr>
          <w:color w:val="383636"/>
          <w:spacing w:val="1"/>
          <w:w w:val="110"/>
        </w:rPr>
        <w:t> </w:t>
      </w:r>
      <w:r>
        <w:rPr>
          <w:color w:val="383636"/>
          <w:spacing w:val="-1"/>
          <w:w w:val="110"/>
        </w:rPr>
        <w:t>times you may be focusing </w:t>
      </w:r>
      <w:r>
        <w:rPr>
          <w:color w:val="383636"/>
          <w:w w:val="110"/>
        </w:rPr>
        <w:t>on a policy</w:t>
      </w:r>
      <w:r>
        <w:rPr>
          <w:color w:val="525254"/>
          <w:w w:val="110"/>
        </w:rPr>
        <w:t>, </w:t>
      </w:r>
      <w:r>
        <w:rPr>
          <w:color w:val="383636"/>
          <w:w w:val="110"/>
        </w:rPr>
        <w:t>an assertion, or some other thesis.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Every section of the document should be focused on </w:t>
      </w:r>
      <w:r>
        <w:rPr>
          <w:i/>
          <w:color w:val="383636"/>
          <w:w w:val="110"/>
          <w:sz w:val="22"/>
        </w:rPr>
        <w:t>something; </w:t>
      </w:r>
      <w:r>
        <w:rPr>
          <w:color w:val="383636"/>
          <w:w w:val="110"/>
        </w:rPr>
        <w:t>identify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43"/>
          <w:w w:val="110"/>
        </w:rPr>
        <w:t> </w:t>
      </w:r>
      <w:r>
        <w:rPr>
          <w:color w:val="383636"/>
          <w:w w:val="110"/>
        </w:rPr>
        <w:t>first</w:t>
      </w:r>
      <w:r>
        <w:rPr>
          <w:color w:val="383636"/>
          <w:spacing w:val="10"/>
          <w:w w:val="110"/>
        </w:rPr>
        <w:t> </w:t>
      </w:r>
      <w:r>
        <w:rPr>
          <w:color w:val="383636"/>
          <w:w w:val="110"/>
        </w:rPr>
        <w:t>place</w:t>
      </w:r>
      <w:r>
        <w:rPr>
          <w:color w:val="383636"/>
          <w:spacing w:val="7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32"/>
          <w:w w:val="110"/>
        </w:rPr>
        <w:t> </w:t>
      </w:r>
      <w:r>
        <w:rPr>
          <w:color w:val="383636"/>
          <w:w w:val="110"/>
        </w:rPr>
        <w:t>which</w:t>
      </w:r>
      <w:r>
        <w:rPr>
          <w:color w:val="383636"/>
          <w:spacing w:val="23"/>
          <w:w w:val="110"/>
        </w:rPr>
        <w:t> </w:t>
      </w:r>
      <w:r>
        <w:rPr>
          <w:color w:val="383636"/>
          <w:w w:val="110"/>
        </w:rPr>
        <w:t>you</w:t>
      </w:r>
      <w:r>
        <w:rPr>
          <w:color w:val="383636"/>
          <w:spacing w:val="9"/>
          <w:w w:val="110"/>
        </w:rPr>
        <w:t> </w:t>
      </w:r>
      <w:r>
        <w:rPr>
          <w:color w:val="383636"/>
          <w:w w:val="110"/>
        </w:rPr>
        <w:t>articulate</w:t>
      </w:r>
      <w:r>
        <w:rPr>
          <w:color w:val="383636"/>
          <w:spacing w:val="22"/>
          <w:w w:val="110"/>
        </w:rPr>
        <w:t> </w:t>
      </w:r>
      <w:r>
        <w:rPr>
          <w:color w:val="383636"/>
          <w:w w:val="110"/>
        </w:rPr>
        <w:t>that</w:t>
      </w:r>
      <w:r>
        <w:rPr>
          <w:color w:val="383636"/>
          <w:spacing w:val="10"/>
          <w:w w:val="110"/>
        </w:rPr>
        <w:t> </w:t>
      </w:r>
      <w:r>
        <w:rPr>
          <w:color w:val="383636"/>
          <w:w w:val="110"/>
        </w:rPr>
        <w:t>something</w:t>
      </w:r>
      <w:r>
        <w:rPr>
          <w:color w:val="383636"/>
          <w:spacing w:val="8"/>
          <w:w w:val="110"/>
        </w:rPr>
        <w:t> </w:t>
      </w:r>
      <w:r>
        <w:rPr>
          <w:color w:val="383636"/>
          <w:w w:val="110"/>
        </w:rPr>
        <w:t>and</w:t>
      </w:r>
      <w:r>
        <w:rPr>
          <w:color w:val="383636"/>
          <w:spacing w:val="34"/>
          <w:w w:val="110"/>
        </w:rPr>
        <w:t> </w:t>
      </w:r>
      <w:r>
        <w:rPr>
          <w:color w:val="383636"/>
          <w:w w:val="110"/>
        </w:rPr>
        <w:t>mark</w:t>
      </w:r>
      <w:r>
        <w:rPr>
          <w:color w:val="383636"/>
          <w:spacing w:val="7"/>
          <w:w w:val="110"/>
        </w:rPr>
        <w:t> </w:t>
      </w:r>
      <w:r>
        <w:rPr>
          <w:color w:val="383636"/>
          <w:w w:val="110"/>
          <w:sz w:val="22"/>
        </w:rPr>
        <w:t>it</w:t>
      </w:r>
      <w:r>
        <w:rPr>
          <w:color w:val="383636"/>
          <w:spacing w:val="43"/>
          <w:w w:val="110"/>
          <w:sz w:val="22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28"/>
          <w:w w:val="110"/>
        </w:rPr>
        <w:t> </w:t>
      </w:r>
      <w:r>
        <w:rPr>
          <w:color w:val="383636"/>
          <w:w w:val="110"/>
        </w:rPr>
        <w:t>the</w:t>
      </w:r>
    </w:p>
    <w:p>
      <w:pPr>
        <w:spacing w:after="0" w:line="235" w:lineRule="auto"/>
        <w:jc w:val="both"/>
        <w:sectPr>
          <w:headerReference w:type="even" r:id="rId179"/>
          <w:headerReference w:type="default" r:id="rId180"/>
          <w:pgSz w:w="9520" w:h="13780"/>
          <w:pgMar w:header="514" w:footer="0" w:top="980" w:bottom="0" w:left="1320" w:right="0"/>
          <w:pgNumType w:start="156"/>
        </w:sectPr>
      </w:pPr>
    </w:p>
    <w:p>
      <w:pPr>
        <w:pStyle w:val="BodyText"/>
        <w:spacing w:line="230" w:lineRule="auto" w:before="89"/>
        <w:ind w:left="121" w:right="259" w:firstLine="9"/>
        <w:jc w:val="both"/>
      </w:pPr>
      <w:r>
        <w:rPr>
          <w:color w:val="363436"/>
          <w:w w:val="110"/>
        </w:rPr>
        <w:t>margin as the "focus" of that section. </w:t>
      </w:r>
      <w:r>
        <w:rPr>
          <w:color w:val="363436"/>
          <w:w w:val="110"/>
          <w:sz w:val="24"/>
        </w:rPr>
        <w:t>If </w:t>
      </w:r>
      <w:r>
        <w:rPr>
          <w:color w:val="363436"/>
          <w:w w:val="110"/>
        </w:rPr>
        <w:t>you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find that you cannot find an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explicitly articulated focus in a given section, take a moment and draft a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sentence</w:t>
      </w:r>
      <w:r>
        <w:rPr>
          <w:color w:val="363436"/>
          <w:spacing w:val="-3"/>
          <w:w w:val="110"/>
        </w:rPr>
        <w:t> </w:t>
      </w:r>
      <w:r>
        <w:rPr>
          <w:color w:val="363436"/>
          <w:w w:val="110"/>
        </w:rPr>
        <w:t>that</w:t>
      </w:r>
      <w:r>
        <w:rPr>
          <w:color w:val="363436"/>
          <w:spacing w:val="-4"/>
          <w:w w:val="110"/>
        </w:rPr>
        <w:t> </w:t>
      </w:r>
      <w:r>
        <w:rPr>
          <w:color w:val="363436"/>
          <w:w w:val="110"/>
        </w:rPr>
        <w:t>articulates the</w:t>
      </w:r>
      <w:r>
        <w:rPr>
          <w:color w:val="363436"/>
          <w:spacing w:val="19"/>
          <w:w w:val="110"/>
        </w:rPr>
        <w:t> </w:t>
      </w:r>
      <w:r>
        <w:rPr>
          <w:color w:val="363436"/>
          <w:w w:val="110"/>
        </w:rPr>
        <w:t>section's</w:t>
      </w:r>
      <w:r>
        <w:rPr>
          <w:color w:val="363436"/>
          <w:spacing w:val="-13"/>
          <w:w w:val="110"/>
        </w:rPr>
        <w:t> </w:t>
      </w:r>
      <w:r>
        <w:rPr>
          <w:color w:val="363436"/>
          <w:w w:val="110"/>
        </w:rPr>
        <w:t>focus.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0"/>
        <w:ind w:left="1552" w:right="0" w:firstLine="0"/>
        <w:jc w:val="left"/>
        <w:rPr>
          <w:b/>
          <w:sz w:val="21"/>
        </w:rPr>
      </w:pPr>
      <w:r>
        <w:rPr>
          <w:b/>
          <w:color w:val="363436"/>
          <w:w w:val="115"/>
          <w:sz w:val="21"/>
        </w:rPr>
        <w:t>Overview</w:t>
      </w:r>
      <w:r>
        <w:rPr>
          <w:b/>
          <w:color w:val="363436"/>
          <w:spacing w:val="11"/>
          <w:w w:val="115"/>
          <w:sz w:val="21"/>
        </w:rPr>
        <w:t> </w:t>
      </w:r>
      <w:r>
        <w:rPr>
          <w:b/>
          <w:color w:val="363436"/>
          <w:w w:val="115"/>
          <w:sz w:val="21"/>
        </w:rPr>
        <w:t>of</w:t>
      </w:r>
      <w:r>
        <w:rPr>
          <w:b/>
          <w:color w:val="363436"/>
          <w:spacing w:val="38"/>
          <w:w w:val="115"/>
          <w:sz w:val="21"/>
        </w:rPr>
        <w:t> </w:t>
      </w:r>
      <w:r>
        <w:rPr>
          <w:b/>
          <w:color w:val="363436"/>
          <w:w w:val="115"/>
          <w:sz w:val="21"/>
        </w:rPr>
        <w:t>Effective</w:t>
      </w:r>
      <w:r>
        <w:rPr>
          <w:b/>
          <w:color w:val="363436"/>
          <w:spacing w:val="3"/>
          <w:w w:val="115"/>
          <w:sz w:val="21"/>
        </w:rPr>
        <w:t> </w:t>
      </w:r>
      <w:r>
        <w:rPr>
          <w:b/>
          <w:color w:val="363436"/>
          <w:w w:val="115"/>
          <w:sz w:val="21"/>
        </w:rPr>
        <w:t>"Self-Grading"Tasks</w:t>
      </w:r>
    </w:p>
    <w:p>
      <w:pPr>
        <w:spacing w:line="226" w:lineRule="exact" w:before="76"/>
        <w:ind w:left="369" w:right="0" w:firstLine="0"/>
        <w:jc w:val="left"/>
        <w:rPr>
          <w:b/>
          <w:sz w:val="20"/>
        </w:rPr>
      </w:pPr>
      <w:r>
        <w:rPr>
          <w:b/>
          <w:color w:val="363436"/>
          <w:w w:val="110"/>
          <w:sz w:val="20"/>
        </w:rPr>
        <w:t>For</w:t>
      </w:r>
      <w:r>
        <w:rPr>
          <w:b/>
          <w:color w:val="363436"/>
          <w:spacing w:val="-12"/>
          <w:w w:val="110"/>
          <w:sz w:val="20"/>
        </w:rPr>
        <w:t> </w:t>
      </w:r>
      <w:r>
        <w:rPr>
          <w:b/>
          <w:color w:val="363436"/>
          <w:w w:val="110"/>
          <w:sz w:val="20"/>
        </w:rPr>
        <w:t>each</w:t>
      </w:r>
      <w:r>
        <w:rPr>
          <w:b/>
          <w:color w:val="363436"/>
          <w:spacing w:val="-7"/>
          <w:w w:val="110"/>
          <w:sz w:val="20"/>
        </w:rPr>
        <w:t> </w:t>
      </w:r>
      <w:r>
        <w:rPr>
          <w:b/>
          <w:color w:val="363436"/>
          <w:w w:val="110"/>
          <w:sz w:val="20"/>
        </w:rPr>
        <w:t>CREXAC</w:t>
      </w:r>
      <w:r>
        <w:rPr>
          <w:b/>
          <w:color w:val="363436"/>
          <w:spacing w:val="6"/>
          <w:w w:val="110"/>
          <w:sz w:val="20"/>
        </w:rPr>
        <w:t> </w:t>
      </w:r>
      <w:r>
        <w:rPr>
          <w:b/>
          <w:color w:val="363436"/>
          <w:w w:val="110"/>
          <w:sz w:val="20"/>
        </w:rPr>
        <w:t>unit</w:t>
      </w:r>
      <w:r>
        <w:rPr>
          <w:b/>
          <w:color w:val="363436"/>
          <w:spacing w:val="-5"/>
          <w:w w:val="110"/>
          <w:sz w:val="20"/>
        </w:rPr>
        <w:t> </w:t>
      </w:r>
      <w:r>
        <w:rPr>
          <w:b/>
          <w:color w:val="363436"/>
          <w:w w:val="110"/>
          <w:sz w:val="20"/>
        </w:rPr>
        <w:t>of</w:t>
      </w:r>
      <w:r>
        <w:rPr>
          <w:b/>
          <w:color w:val="363436"/>
          <w:spacing w:val="5"/>
          <w:w w:val="110"/>
          <w:sz w:val="20"/>
        </w:rPr>
        <w:t> </w:t>
      </w:r>
      <w:r>
        <w:rPr>
          <w:b/>
          <w:color w:val="363436"/>
          <w:w w:val="110"/>
          <w:sz w:val="20"/>
        </w:rPr>
        <w:t>discourse:</w:t>
      </w:r>
    </w:p>
    <w:p>
      <w:pPr>
        <w:pStyle w:val="BodyText"/>
        <w:spacing w:line="249" w:lineRule="exact"/>
        <w:ind w:left="704"/>
      </w:pPr>
      <w:r>
        <w:rPr>
          <w:color w:val="363436"/>
          <w:w w:val="110"/>
          <w:sz w:val="21"/>
        </w:rPr>
        <w:t>l.</w:t>
      </w:r>
      <w:r>
        <w:rPr>
          <w:color w:val="363436"/>
          <w:spacing w:val="15"/>
          <w:w w:val="110"/>
          <w:sz w:val="21"/>
        </w:rPr>
        <w:t> </w:t>
      </w:r>
      <w:r>
        <w:rPr>
          <w:color w:val="363436"/>
          <w:w w:val="110"/>
        </w:rPr>
        <w:t>Identify and</w:t>
      </w:r>
      <w:r>
        <w:rPr>
          <w:color w:val="363436"/>
          <w:spacing w:val="35"/>
          <w:w w:val="110"/>
        </w:rPr>
        <w:t> </w:t>
      </w:r>
      <w:r>
        <w:rPr>
          <w:color w:val="363436"/>
          <w:w w:val="110"/>
        </w:rPr>
        <w:t>label</w:t>
      </w:r>
      <w:r>
        <w:rPr>
          <w:color w:val="363436"/>
          <w:spacing w:val="-2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35"/>
          <w:w w:val="110"/>
        </w:rPr>
        <w:t> </w:t>
      </w:r>
      <w:r>
        <w:rPr>
          <w:color w:val="363436"/>
          <w:w w:val="110"/>
        </w:rPr>
        <w:t>Rule/Focus</w:t>
      </w:r>
      <w:r>
        <w:rPr>
          <w:color w:val="363436"/>
          <w:spacing w:val="-2"/>
          <w:w w:val="110"/>
        </w:rPr>
        <w:t> </w:t>
      </w:r>
      <w:r>
        <w:rPr>
          <w:color w:val="363436"/>
          <w:w w:val="110"/>
        </w:rPr>
        <w:t>for</w:t>
      </w:r>
      <w:r>
        <w:rPr>
          <w:color w:val="363436"/>
          <w:spacing w:val="18"/>
          <w:w w:val="110"/>
        </w:rPr>
        <w:t> </w:t>
      </w:r>
      <w:r>
        <w:rPr>
          <w:color w:val="363436"/>
          <w:w w:val="110"/>
        </w:rPr>
        <w:t>that</w:t>
      </w:r>
      <w:r>
        <w:rPr>
          <w:color w:val="363436"/>
          <w:spacing w:val="-5"/>
          <w:w w:val="110"/>
        </w:rPr>
        <w:t> </w:t>
      </w:r>
      <w:r>
        <w:rPr>
          <w:color w:val="363436"/>
          <w:w w:val="110"/>
        </w:rPr>
        <w:t>unit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of</w:t>
      </w:r>
      <w:r>
        <w:rPr>
          <w:color w:val="363436"/>
          <w:spacing w:val="12"/>
          <w:w w:val="110"/>
        </w:rPr>
        <w:t> </w:t>
      </w:r>
      <w:r>
        <w:rPr>
          <w:color w:val="363436"/>
          <w:w w:val="110"/>
        </w:rPr>
        <w:t>discourse</w:t>
      </w:r>
    </w:p>
    <w:p>
      <w:pPr>
        <w:pStyle w:val="BodyText"/>
        <w:spacing w:line="236" w:lineRule="exact"/>
        <w:ind w:left="6190"/>
      </w:pPr>
      <w:r>
        <w:rPr>
          <w:color w:val="363436"/>
          <w:w w:val="110"/>
        </w:rPr>
        <w:t>(Subjective)</w:t>
      </w:r>
    </w:p>
    <w:p>
      <w:pPr>
        <w:pStyle w:val="ListParagraph"/>
        <w:numPr>
          <w:ilvl w:val="1"/>
          <w:numId w:val="38"/>
        </w:numPr>
        <w:tabs>
          <w:tab w:pos="957" w:val="left" w:leader="none"/>
        </w:tabs>
        <w:spacing w:line="208" w:lineRule="auto" w:before="11" w:after="0"/>
        <w:ind w:left="954" w:right="513" w:hanging="267"/>
        <w:jc w:val="left"/>
        <w:rPr>
          <w:color w:val="363436"/>
          <w:sz w:val="23"/>
        </w:rPr>
      </w:pPr>
      <w:r>
        <w:rPr>
          <w:color w:val="363436"/>
          <w:w w:val="110"/>
          <w:sz w:val="23"/>
        </w:rPr>
        <w:t>Identify the Phrase-That-Pays and</w:t>
      </w:r>
      <w:r>
        <w:rPr>
          <w:color w:val="363436"/>
          <w:spacing w:val="1"/>
          <w:w w:val="110"/>
          <w:sz w:val="23"/>
        </w:rPr>
        <w:t> </w:t>
      </w:r>
      <w:r>
        <w:rPr>
          <w:color w:val="363436"/>
          <w:w w:val="110"/>
          <w:sz w:val="23"/>
        </w:rPr>
        <w:t>highlight it in Pink through­</w:t>
      </w:r>
      <w:r>
        <w:rPr>
          <w:color w:val="363436"/>
          <w:spacing w:val="-61"/>
          <w:w w:val="110"/>
          <w:sz w:val="23"/>
        </w:rPr>
        <w:t> </w:t>
      </w:r>
      <w:r>
        <w:rPr>
          <w:color w:val="363436"/>
          <w:w w:val="110"/>
          <w:sz w:val="23"/>
        </w:rPr>
        <w:t>out</w:t>
      </w:r>
      <w:r>
        <w:rPr>
          <w:color w:val="363436"/>
          <w:spacing w:val="-7"/>
          <w:w w:val="110"/>
          <w:sz w:val="23"/>
        </w:rPr>
        <w:t> </w:t>
      </w:r>
      <w:r>
        <w:rPr>
          <w:color w:val="363436"/>
          <w:w w:val="110"/>
          <w:sz w:val="23"/>
        </w:rPr>
        <w:t>that</w:t>
      </w:r>
      <w:r>
        <w:rPr>
          <w:color w:val="363436"/>
          <w:spacing w:val="4"/>
          <w:w w:val="110"/>
          <w:sz w:val="23"/>
        </w:rPr>
        <w:t> </w:t>
      </w:r>
      <w:r>
        <w:rPr>
          <w:color w:val="363436"/>
          <w:w w:val="110"/>
          <w:sz w:val="23"/>
        </w:rPr>
        <w:t>unit</w:t>
      </w:r>
      <w:r>
        <w:rPr>
          <w:color w:val="363436"/>
          <w:spacing w:val="-7"/>
          <w:w w:val="110"/>
          <w:sz w:val="23"/>
        </w:rPr>
        <w:t> </w:t>
      </w:r>
      <w:r>
        <w:rPr>
          <w:color w:val="363436"/>
          <w:w w:val="110"/>
          <w:sz w:val="23"/>
        </w:rPr>
        <w:t>of</w:t>
      </w:r>
      <w:r>
        <w:rPr>
          <w:color w:val="363436"/>
          <w:spacing w:val="-1"/>
          <w:w w:val="110"/>
          <w:sz w:val="23"/>
        </w:rPr>
        <w:t> </w:t>
      </w:r>
      <w:r>
        <w:rPr>
          <w:color w:val="363436"/>
          <w:w w:val="110"/>
          <w:sz w:val="23"/>
        </w:rPr>
        <w:t>discourse</w:t>
      </w:r>
    </w:p>
    <w:p>
      <w:pPr>
        <w:pStyle w:val="BodyText"/>
        <w:spacing w:line="242" w:lineRule="exact"/>
        <w:ind w:left="5119"/>
      </w:pPr>
      <w:r>
        <w:rPr>
          <w:color w:val="363436"/>
          <w:w w:val="110"/>
        </w:rPr>
        <w:t>(Subjective/Objective)</w:t>
      </w:r>
    </w:p>
    <w:p>
      <w:pPr>
        <w:pStyle w:val="ListParagraph"/>
        <w:numPr>
          <w:ilvl w:val="1"/>
          <w:numId w:val="38"/>
        </w:numPr>
        <w:tabs>
          <w:tab w:pos="959" w:val="left" w:leader="none"/>
        </w:tabs>
        <w:spacing w:line="236" w:lineRule="exact" w:before="0" w:after="0"/>
        <w:ind w:left="958" w:right="0" w:hanging="267"/>
        <w:jc w:val="left"/>
        <w:rPr>
          <w:color w:val="363436"/>
          <w:sz w:val="22"/>
        </w:rPr>
      </w:pPr>
      <w:r>
        <w:rPr>
          <w:color w:val="363436"/>
          <w:w w:val="110"/>
          <w:sz w:val="23"/>
        </w:rPr>
        <w:t>Highlight</w:t>
      </w:r>
      <w:r>
        <w:rPr>
          <w:color w:val="363436"/>
          <w:spacing w:val="15"/>
          <w:w w:val="110"/>
          <w:sz w:val="23"/>
        </w:rPr>
        <w:t> </w:t>
      </w:r>
      <w:r>
        <w:rPr>
          <w:color w:val="363436"/>
          <w:w w:val="110"/>
          <w:sz w:val="23"/>
        </w:rPr>
        <w:t>support</w:t>
      </w:r>
      <w:r>
        <w:rPr>
          <w:color w:val="363436"/>
          <w:spacing w:val="21"/>
          <w:w w:val="110"/>
          <w:sz w:val="23"/>
        </w:rPr>
        <w:t> </w:t>
      </w:r>
      <w:r>
        <w:rPr>
          <w:color w:val="363436"/>
          <w:w w:val="110"/>
          <w:sz w:val="23"/>
        </w:rPr>
        <w:t>citations</w:t>
      </w:r>
      <w:r>
        <w:rPr>
          <w:color w:val="363436"/>
          <w:spacing w:val="9"/>
          <w:w w:val="110"/>
          <w:sz w:val="23"/>
        </w:rPr>
        <w:t> </w:t>
      </w:r>
      <w:r>
        <w:rPr>
          <w:color w:val="363436"/>
          <w:w w:val="110"/>
          <w:sz w:val="23"/>
        </w:rPr>
        <w:t>(not</w:t>
      </w:r>
      <w:r>
        <w:rPr>
          <w:color w:val="363436"/>
          <w:spacing w:val="19"/>
          <w:w w:val="110"/>
          <w:sz w:val="23"/>
        </w:rPr>
        <w:t> </w:t>
      </w:r>
      <w:r>
        <w:rPr>
          <w:color w:val="363436"/>
          <w:w w:val="110"/>
          <w:sz w:val="23"/>
        </w:rPr>
        <w:t>record</w:t>
      </w:r>
      <w:r>
        <w:rPr>
          <w:color w:val="363436"/>
          <w:spacing w:val="18"/>
          <w:w w:val="110"/>
          <w:sz w:val="23"/>
        </w:rPr>
        <w:t> </w:t>
      </w:r>
      <w:r>
        <w:rPr>
          <w:color w:val="363436"/>
          <w:w w:val="110"/>
          <w:sz w:val="23"/>
        </w:rPr>
        <w:t>citations)</w:t>
      </w:r>
      <w:r>
        <w:rPr>
          <w:color w:val="363436"/>
          <w:spacing w:val="8"/>
          <w:w w:val="110"/>
          <w:sz w:val="23"/>
        </w:rPr>
        <w:t> </w:t>
      </w:r>
      <w:r>
        <w:rPr>
          <w:color w:val="363436"/>
          <w:w w:val="110"/>
          <w:sz w:val="23"/>
        </w:rPr>
        <w:t>in</w:t>
      </w:r>
      <w:r>
        <w:rPr>
          <w:color w:val="363436"/>
          <w:spacing w:val="47"/>
          <w:w w:val="110"/>
          <w:sz w:val="23"/>
        </w:rPr>
        <w:t> </w:t>
      </w:r>
      <w:r>
        <w:rPr>
          <w:color w:val="363436"/>
          <w:w w:val="110"/>
          <w:sz w:val="23"/>
        </w:rPr>
        <w:t>Green</w:t>
      </w:r>
    </w:p>
    <w:p>
      <w:pPr>
        <w:pStyle w:val="BodyText"/>
        <w:spacing w:line="241" w:lineRule="exact"/>
        <w:ind w:left="6257"/>
      </w:pPr>
      <w:r>
        <w:rPr>
          <w:color w:val="363436"/>
          <w:w w:val="110"/>
        </w:rPr>
        <w:t>(Objective)</w:t>
      </w:r>
    </w:p>
    <w:p>
      <w:pPr>
        <w:pStyle w:val="ListParagraph"/>
        <w:numPr>
          <w:ilvl w:val="1"/>
          <w:numId w:val="38"/>
        </w:numPr>
        <w:tabs>
          <w:tab w:pos="957" w:val="left" w:leader="none"/>
        </w:tabs>
        <w:spacing w:line="208" w:lineRule="auto" w:before="16" w:after="0"/>
        <w:ind w:left="954" w:right="502" w:hanging="256"/>
        <w:jc w:val="left"/>
        <w:rPr>
          <w:color w:val="363436"/>
          <w:sz w:val="22"/>
        </w:rPr>
      </w:pPr>
      <w:r>
        <w:rPr>
          <w:color w:val="363436"/>
          <w:w w:val="110"/>
          <w:sz w:val="23"/>
        </w:rPr>
        <w:t>Identify and</w:t>
      </w:r>
      <w:r>
        <w:rPr>
          <w:color w:val="363436"/>
          <w:spacing w:val="1"/>
          <w:w w:val="110"/>
          <w:sz w:val="23"/>
        </w:rPr>
        <w:t> </w:t>
      </w:r>
      <w:r>
        <w:rPr>
          <w:color w:val="363436"/>
          <w:w w:val="110"/>
          <w:sz w:val="23"/>
        </w:rPr>
        <w:t>label all paragraphs or sections of</w:t>
      </w:r>
      <w:r>
        <w:rPr>
          <w:color w:val="363436"/>
          <w:spacing w:val="1"/>
          <w:w w:val="110"/>
          <w:sz w:val="23"/>
        </w:rPr>
        <w:t> </w:t>
      </w:r>
      <w:r>
        <w:rPr>
          <w:color w:val="363436"/>
          <w:w w:val="110"/>
          <w:sz w:val="23"/>
        </w:rPr>
        <w:t>paragraphs that</w:t>
      </w:r>
      <w:r>
        <w:rPr>
          <w:color w:val="363436"/>
          <w:spacing w:val="-61"/>
          <w:w w:val="110"/>
          <w:sz w:val="23"/>
        </w:rPr>
        <w:t> </w:t>
      </w:r>
      <w:r>
        <w:rPr>
          <w:color w:val="363436"/>
          <w:w w:val="110"/>
          <w:sz w:val="23"/>
        </w:rPr>
        <w:t>contain</w:t>
      </w:r>
      <w:r>
        <w:rPr>
          <w:color w:val="363436"/>
          <w:spacing w:val="1"/>
          <w:w w:val="110"/>
          <w:sz w:val="23"/>
        </w:rPr>
        <w:t> </w:t>
      </w:r>
      <w:r>
        <w:rPr>
          <w:color w:val="363436"/>
          <w:w w:val="110"/>
          <w:sz w:val="23"/>
        </w:rPr>
        <w:t>Rule</w:t>
      </w:r>
      <w:r>
        <w:rPr>
          <w:color w:val="363436"/>
          <w:spacing w:val="-7"/>
          <w:w w:val="110"/>
          <w:sz w:val="23"/>
        </w:rPr>
        <w:t> </w:t>
      </w:r>
      <w:r>
        <w:rPr>
          <w:color w:val="363436"/>
          <w:w w:val="110"/>
          <w:sz w:val="23"/>
        </w:rPr>
        <w:t>Explanation</w:t>
      </w:r>
      <w:r>
        <w:rPr>
          <w:color w:val="363436"/>
          <w:spacing w:val="8"/>
          <w:w w:val="110"/>
          <w:sz w:val="23"/>
        </w:rPr>
        <w:t> </w:t>
      </w:r>
      <w:r>
        <w:rPr>
          <w:color w:val="363436"/>
          <w:w w:val="110"/>
          <w:sz w:val="23"/>
        </w:rPr>
        <w:t>and</w:t>
      </w:r>
      <w:r>
        <w:rPr>
          <w:color w:val="363436"/>
          <w:spacing w:val="34"/>
          <w:w w:val="110"/>
          <w:sz w:val="23"/>
        </w:rPr>
        <w:t> </w:t>
      </w:r>
      <w:r>
        <w:rPr>
          <w:color w:val="363436"/>
          <w:w w:val="110"/>
          <w:sz w:val="23"/>
        </w:rPr>
        <w:t>mark</w:t>
      </w:r>
      <w:r>
        <w:rPr>
          <w:color w:val="363436"/>
          <w:spacing w:val="-3"/>
          <w:w w:val="110"/>
          <w:sz w:val="23"/>
        </w:rPr>
        <w:t> </w:t>
      </w:r>
      <w:r>
        <w:rPr>
          <w:color w:val="363436"/>
          <w:w w:val="110"/>
          <w:sz w:val="23"/>
        </w:rPr>
        <w:t>the</w:t>
      </w:r>
      <w:r>
        <w:rPr>
          <w:color w:val="363436"/>
          <w:spacing w:val="39"/>
          <w:w w:val="110"/>
          <w:sz w:val="23"/>
        </w:rPr>
        <w:t> </w:t>
      </w:r>
      <w:r>
        <w:rPr>
          <w:color w:val="363436"/>
          <w:w w:val="110"/>
          <w:sz w:val="23"/>
        </w:rPr>
        <w:t>Rule</w:t>
      </w:r>
      <w:r>
        <w:rPr>
          <w:color w:val="363436"/>
          <w:spacing w:val="-18"/>
          <w:w w:val="110"/>
          <w:sz w:val="23"/>
        </w:rPr>
        <w:t> </w:t>
      </w:r>
      <w:r>
        <w:rPr>
          <w:color w:val="363436"/>
          <w:w w:val="110"/>
          <w:sz w:val="23"/>
        </w:rPr>
        <w:t>Summary</w:t>
      </w:r>
    </w:p>
    <w:p>
      <w:pPr>
        <w:pStyle w:val="BodyText"/>
        <w:spacing w:line="232" w:lineRule="exact"/>
        <w:ind w:right="502"/>
        <w:jc w:val="right"/>
      </w:pPr>
      <w:r>
        <w:rPr>
          <w:color w:val="363436"/>
          <w:w w:val="110"/>
        </w:rPr>
        <w:t>(Subjective)</w:t>
      </w:r>
    </w:p>
    <w:p>
      <w:pPr>
        <w:pStyle w:val="ListParagraph"/>
        <w:numPr>
          <w:ilvl w:val="1"/>
          <w:numId w:val="38"/>
        </w:numPr>
        <w:tabs>
          <w:tab w:pos="268" w:val="left" w:leader="none"/>
        </w:tabs>
        <w:spacing w:line="236" w:lineRule="exact" w:before="0" w:after="0"/>
        <w:ind w:left="958" w:right="601" w:hanging="959"/>
        <w:jc w:val="right"/>
        <w:rPr>
          <w:color w:val="363436"/>
          <w:sz w:val="23"/>
        </w:rPr>
      </w:pPr>
      <w:r>
        <w:rPr>
          <w:color w:val="363436"/>
          <w:w w:val="110"/>
          <w:sz w:val="23"/>
        </w:rPr>
        <w:t>Highlight</w:t>
      </w:r>
      <w:r>
        <w:rPr>
          <w:color w:val="363436"/>
          <w:spacing w:val="15"/>
          <w:w w:val="110"/>
          <w:sz w:val="23"/>
        </w:rPr>
        <w:t> </w:t>
      </w:r>
      <w:r>
        <w:rPr>
          <w:color w:val="363436"/>
          <w:w w:val="110"/>
          <w:sz w:val="23"/>
        </w:rPr>
        <w:t>the</w:t>
      </w:r>
      <w:r>
        <w:rPr>
          <w:color w:val="363436"/>
          <w:spacing w:val="38"/>
          <w:w w:val="110"/>
          <w:sz w:val="23"/>
        </w:rPr>
        <w:t> </w:t>
      </w:r>
      <w:r>
        <w:rPr>
          <w:color w:val="363436"/>
          <w:w w:val="110"/>
          <w:sz w:val="23"/>
        </w:rPr>
        <w:t>client's</w:t>
      </w:r>
      <w:r>
        <w:rPr>
          <w:color w:val="363436"/>
          <w:spacing w:val="-6"/>
          <w:w w:val="110"/>
          <w:sz w:val="23"/>
        </w:rPr>
        <w:t> </w:t>
      </w:r>
      <w:r>
        <w:rPr>
          <w:color w:val="363436"/>
          <w:w w:val="110"/>
          <w:sz w:val="23"/>
        </w:rPr>
        <w:t>facts</w:t>
      </w:r>
      <w:r>
        <w:rPr>
          <w:color w:val="363436"/>
          <w:spacing w:val="-10"/>
          <w:w w:val="110"/>
          <w:sz w:val="23"/>
        </w:rPr>
        <w:t> </w:t>
      </w:r>
      <w:r>
        <w:rPr>
          <w:color w:val="363436"/>
          <w:w w:val="110"/>
          <w:sz w:val="23"/>
        </w:rPr>
        <w:t>(not</w:t>
      </w:r>
      <w:r>
        <w:rPr>
          <w:color w:val="363436"/>
          <w:spacing w:val="-14"/>
          <w:w w:val="110"/>
          <w:sz w:val="23"/>
        </w:rPr>
        <w:t> </w:t>
      </w:r>
      <w:r>
        <w:rPr>
          <w:color w:val="363436"/>
          <w:w w:val="110"/>
          <w:sz w:val="23"/>
        </w:rPr>
        <w:t>facts</w:t>
      </w:r>
      <w:r>
        <w:rPr>
          <w:color w:val="363436"/>
          <w:spacing w:val="-10"/>
          <w:w w:val="110"/>
          <w:sz w:val="23"/>
        </w:rPr>
        <w:t> </w:t>
      </w:r>
      <w:r>
        <w:rPr>
          <w:color w:val="363436"/>
          <w:w w:val="110"/>
          <w:sz w:val="23"/>
        </w:rPr>
        <w:t>from</w:t>
      </w:r>
      <w:r>
        <w:rPr>
          <w:color w:val="363436"/>
          <w:spacing w:val="3"/>
          <w:w w:val="110"/>
          <w:sz w:val="23"/>
        </w:rPr>
        <w:t> </w:t>
      </w:r>
      <w:r>
        <w:rPr>
          <w:color w:val="363436"/>
          <w:w w:val="110"/>
          <w:sz w:val="23"/>
        </w:rPr>
        <w:t>cited</w:t>
      </w:r>
      <w:r>
        <w:rPr>
          <w:color w:val="363436"/>
          <w:spacing w:val="2"/>
          <w:w w:val="110"/>
          <w:sz w:val="23"/>
        </w:rPr>
        <w:t> </w:t>
      </w:r>
      <w:r>
        <w:rPr>
          <w:color w:val="363436"/>
          <w:w w:val="110"/>
          <w:sz w:val="23"/>
        </w:rPr>
        <w:t>cases)</w:t>
      </w:r>
      <w:r>
        <w:rPr>
          <w:color w:val="363436"/>
          <w:spacing w:val="9"/>
          <w:w w:val="110"/>
          <w:sz w:val="23"/>
        </w:rPr>
        <w:t> </w:t>
      </w:r>
      <w:r>
        <w:rPr>
          <w:color w:val="363436"/>
          <w:w w:val="110"/>
          <w:sz w:val="23"/>
        </w:rPr>
        <w:t>in</w:t>
      </w:r>
      <w:r>
        <w:rPr>
          <w:color w:val="363436"/>
          <w:spacing w:val="40"/>
          <w:w w:val="110"/>
          <w:sz w:val="23"/>
        </w:rPr>
        <w:t> </w:t>
      </w:r>
      <w:r>
        <w:rPr>
          <w:color w:val="363436"/>
          <w:w w:val="110"/>
          <w:sz w:val="23"/>
        </w:rPr>
        <w:t>Blue</w:t>
      </w:r>
    </w:p>
    <w:p>
      <w:pPr>
        <w:pStyle w:val="BodyText"/>
        <w:tabs>
          <w:tab w:pos="424" w:val="left" w:leader="none"/>
        </w:tabs>
        <w:spacing w:line="241" w:lineRule="exact"/>
        <w:ind w:right="497"/>
        <w:jc w:val="right"/>
      </w:pPr>
      <w:r>
        <w:rPr>
          <w:color w:val="363436"/>
          <w:w w:val="105"/>
        </w:rPr>
        <w:t>'</w:t>
        <w:tab/>
        <w:t>(Objective)</w:t>
      </w:r>
    </w:p>
    <w:p>
      <w:pPr>
        <w:pStyle w:val="ListParagraph"/>
        <w:numPr>
          <w:ilvl w:val="1"/>
          <w:numId w:val="38"/>
        </w:numPr>
        <w:tabs>
          <w:tab w:pos="957" w:val="left" w:leader="none"/>
        </w:tabs>
        <w:spacing w:line="208" w:lineRule="auto" w:before="16" w:after="0"/>
        <w:ind w:left="954" w:right="484" w:hanging="262"/>
        <w:jc w:val="left"/>
        <w:rPr>
          <w:color w:val="363436"/>
          <w:sz w:val="22"/>
        </w:rPr>
      </w:pPr>
      <w:r>
        <w:rPr>
          <w:color w:val="363436"/>
          <w:w w:val="110"/>
          <w:sz w:val="23"/>
        </w:rPr>
        <w:t>Identify</w:t>
      </w:r>
      <w:r>
        <w:rPr>
          <w:color w:val="363436"/>
          <w:spacing w:val="3"/>
          <w:w w:val="110"/>
          <w:sz w:val="23"/>
        </w:rPr>
        <w:t> </w:t>
      </w:r>
      <w:r>
        <w:rPr>
          <w:color w:val="363436"/>
          <w:w w:val="110"/>
          <w:sz w:val="23"/>
        </w:rPr>
        <w:t>and</w:t>
      </w:r>
      <w:r>
        <w:rPr>
          <w:color w:val="363436"/>
          <w:spacing w:val="40"/>
          <w:w w:val="110"/>
          <w:sz w:val="23"/>
        </w:rPr>
        <w:t> </w:t>
      </w:r>
      <w:r>
        <w:rPr>
          <w:color w:val="363436"/>
          <w:w w:val="110"/>
          <w:sz w:val="23"/>
        </w:rPr>
        <w:t>label</w:t>
      </w:r>
      <w:r>
        <w:rPr>
          <w:color w:val="363436"/>
          <w:spacing w:val="11"/>
          <w:w w:val="110"/>
          <w:sz w:val="23"/>
        </w:rPr>
        <w:t> </w:t>
      </w:r>
      <w:r>
        <w:rPr>
          <w:color w:val="363436"/>
          <w:w w:val="110"/>
          <w:sz w:val="23"/>
        </w:rPr>
        <w:t>all</w:t>
      </w:r>
      <w:r>
        <w:rPr>
          <w:color w:val="363436"/>
          <w:spacing w:val="13"/>
          <w:w w:val="110"/>
          <w:sz w:val="23"/>
        </w:rPr>
        <w:t> </w:t>
      </w:r>
      <w:r>
        <w:rPr>
          <w:color w:val="363436"/>
          <w:w w:val="110"/>
          <w:sz w:val="23"/>
        </w:rPr>
        <w:t>paragraphs</w:t>
      </w:r>
      <w:r>
        <w:rPr>
          <w:color w:val="363436"/>
          <w:spacing w:val="12"/>
          <w:w w:val="110"/>
          <w:sz w:val="23"/>
        </w:rPr>
        <w:t> </w:t>
      </w:r>
      <w:r>
        <w:rPr>
          <w:color w:val="363436"/>
          <w:w w:val="110"/>
          <w:sz w:val="23"/>
        </w:rPr>
        <w:t>or</w:t>
      </w:r>
      <w:r>
        <w:rPr>
          <w:color w:val="363436"/>
          <w:spacing w:val="12"/>
          <w:w w:val="110"/>
          <w:sz w:val="23"/>
        </w:rPr>
        <w:t> </w:t>
      </w:r>
      <w:r>
        <w:rPr>
          <w:color w:val="363436"/>
          <w:w w:val="110"/>
          <w:sz w:val="23"/>
        </w:rPr>
        <w:t>sections</w:t>
      </w:r>
      <w:r>
        <w:rPr>
          <w:color w:val="363436"/>
          <w:spacing w:val="-10"/>
          <w:w w:val="110"/>
          <w:sz w:val="23"/>
        </w:rPr>
        <w:t> </w:t>
      </w:r>
      <w:r>
        <w:rPr>
          <w:color w:val="363436"/>
          <w:w w:val="110"/>
          <w:sz w:val="23"/>
        </w:rPr>
        <w:t>of</w:t>
      </w:r>
      <w:r>
        <w:rPr>
          <w:color w:val="363436"/>
          <w:spacing w:val="34"/>
          <w:w w:val="110"/>
          <w:sz w:val="23"/>
        </w:rPr>
        <w:t> </w:t>
      </w:r>
      <w:r>
        <w:rPr>
          <w:color w:val="363436"/>
          <w:w w:val="110"/>
          <w:sz w:val="23"/>
        </w:rPr>
        <w:t>paragraphs</w:t>
      </w:r>
      <w:r>
        <w:rPr>
          <w:color w:val="363436"/>
          <w:spacing w:val="20"/>
          <w:w w:val="110"/>
          <w:sz w:val="23"/>
        </w:rPr>
        <w:t> </w:t>
      </w:r>
      <w:r>
        <w:rPr>
          <w:color w:val="363436"/>
          <w:w w:val="110"/>
          <w:sz w:val="23"/>
        </w:rPr>
        <w:t>that</w:t>
      </w:r>
      <w:r>
        <w:rPr>
          <w:color w:val="363436"/>
          <w:spacing w:val="-61"/>
          <w:w w:val="110"/>
          <w:sz w:val="23"/>
        </w:rPr>
        <w:t> </w:t>
      </w:r>
      <w:r>
        <w:rPr>
          <w:color w:val="363436"/>
          <w:w w:val="115"/>
          <w:sz w:val="23"/>
        </w:rPr>
        <w:t>contain</w:t>
      </w:r>
      <w:r>
        <w:rPr>
          <w:color w:val="363436"/>
          <w:spacing w:val="-4"/>
          <w:w w:val="115"/>
          <w:sz w:val="23"/>
        </w:rPr>
        <w:t> </w:t>
      </w:r>
      <w:r>
        <w:rPr>
          <w:color w:val="363436"/>
          <w:w w:val="115"/>
          <w:sz w:val="23"/>
        </w:rPr>
        <w:t>Rule</w:t>
      </w:r>
      <w:r>
        <w:rPr>
          <w:color w:val="363436"/>
          <w:spacing w:val="-10"/>
          <w:w w:val="115"/>
          <w:sz w:val="23"/>
        </w:rPr>
        <w:t> </w:t>
      </w:r>
      <w:r>
        <w:rPr>
          <w:color w:val="363436"/>
          <w:w w:val="115"/>
          <w:sz w:val="23"/>
        </w:rPr>
        <w:t>Application</w:t>
      </w:r>
    </w:p>
    <w:p>
      <w:pPr>
        <w:pStyle w:val="BodyText"/>
        <w:spacing w:line="241" w:lineRule="exact"/>
        <w:ind w:left="6228"/>
      </w:pPr>
      <w:r>
        <w:rPr>
          <w:color w:val="363436"/>
          <w:w w:val="110"/>
        </w:rPr>
        <w:t>(Subjective)</w:t>
      </w:r>
    </w:p>
    <w:p>
      <w:pPr>
        <w:pStyle w:val="ListParagraph"/>
        <w:numPr>
          <w:ilvl w:val="1"/>
          <w:numId w:val="38"/>
        </w:numPr>
        <w:tabs>
          <w:tab w:pos="957" w:val="left" w:leader="none"/>
        </w:tabs>
        <w:spacing w:line="218" w:lineRule="auto" w:before="2" w:after="0"/>
        <w:ind w:left="955" w:right="480" w:hanging="253"/>
        <w:jc w:val="left"/>
        <w:rPr>
          <w:color w:val="363436"/>
          <w:sz w:val="22"/>
        </w:rPr>
      </w:pPr>
      <w:r>
        <w:rPr>
          <w:color w:val="363436"/>
          <w:w w:val="110"/>
          <w:sz w:val="23"/>
        </w:rPr>
        <w:t>Identify</w:t>
      </w:r>
      <w:r>
        <w:rPr>
          <w:color w:val="363436"/>
          <w:spacing w:val="13"/>
          <w:w w:val="110"/>
          <w:sz w:val="23"/>
        </w:rPr>
        <w:t> </w:t>
      </w:r>
      <w:r>
        <w:rPr>
          <w:color w:val="363436"/>
          <w:w w:val="110"/>
          <w:sz w:val="23"/>
        </w:rPr>
        <w:t>and</w:t>
      </w:r>
      <w:r>
        <w:rPr>
          <w:color w:val="363436"/>
          <w:spacing w:val="56"/>
          <w:w w:val="110"/>
          <w:sz w:val="23"/>
        </w:rPr>
        <w:t> </w:t>
      </w:r>
      <w:r>
        <w:rPr>
          <w:color w:val="363436"/>
          <w:w w:val="110"/>
          <w:sz w:val="23"/>
        </w:rPr>
        <w:t>label</w:t>
      </w:r>
      <w:r>
        <w:rPr>
          <w:color w:val="363436"/>
          <w:spacing w:val="18"/>
          <w:w w:val="110"/>
          <w:sz w:val="23"/>
        </w:rPr>
        <w:t> </w:t>
      </w:r>
      <w:r>
        <w:rPr>
          <w:color w:val="363436"/>
          <w:w w:val="110"/>
          <w:sz w:val="23"/>
        </w:rPr>
        <w:t>the</w:t>
      </w:r>
      <w:r>
        <w:rPr>
          <w:color w:val="363436"/>
          <w:spacing w:val="45"/>
          <w:w w:val="110"/>
          <w:sz w:val="23"/>
        </w:rPr>
        <w:t> </w:t>
      </w:r>
      <w:r>
        <w:rPr>
          <w:color w:val="363436"/>
          <w:w w:val="110"/>
          <w:sz w:val="23"/>
        </w:rPr>
        <w:t>Connection-Conclusion</w:t>
      </w:r>
      <w:r>
        <w:rPr>
          <w:color w:val="363436"/>
          <w:spacing w:val="-1"/>
          <w:w w:val="110"/>
          <w:sz w:val="23"/>
        </w:rPr>
        <w:t> </w:t>
      </w:r>
      <w:r>
        <w:rPr>
          <w:color w:val="363436"/>
          <w:w w:val="110"/>
          <w:sz w:val="23"/>
        </w:rPr>
        <w:t>and</w:t>
      </w:r>
      <w:r>
        <w:rPr>
          <w:color w:val="363436"/>
          <w:spacing w:val="55"/>
          <w:w w:val="110"/>
          <w:sz w:val="23"/>
        </w:rPr>
        <w:t> </w:t>
      </w:r>
      <w:r>
        <w:rPr>
          <w:color w:val="363436"/>
          <w:w w:val="110"/>
          <w:sz w:val="23"/>
        </w:rPr>
        <w:t>highlight</w:t>
      </w:r>
      <w:r>
        <w:rPr>
          <w:color w:val="363436"/>
          <w:spacing w:val="18"/>
          <w:w w:val="110"/>
          <w:sz w:val="23"/>
        </w:rPr>
        <w:t> </w:t>
      </w:r>
      <w:r>
        <w:rPr>
          <w:color w:val="363436"/>
          <w:w w:val="110"/>
          <w:sz w:val="23"/>
        </w:rPr>
        <w:t>it</w:t>
      </w:r>
      <w:r>
        <w:rPr>
          <w:color w:val="363436"/>
          <w:spacing w:val="-60"/>
          <w:w w:val="110"/>
          <w:sz w:val="23"/>
        </w:rPr>
        <w:t> </w:t>
      </w:r>
      <w:r>
        <w:rPr>
          <w:color w:val="363436"/>
          <w:w w:val="115"/>
          <w:sz w:val="23"/>
        </w:rPr>
        <w:t>in Yellow</w:t>
      </w:r>
    </w:p>
    <w:p>
      <w:pPr>
        <w:spacing w:after="0" w:line="218" w:lineRule="auto"/>
        <w:jc w:val="left"/>
        <w:rPr>
          <w:sz w:val="22"/>
        </w:rPr>
        <w:sectPr>
          <w:pgSz w:w="9490" w:h="13740"/>
          <w:pgMar w:header="415" w:footer="0" w:top="1100" w:bottom="280" w:left="340" w:right="1220"/>
        </w:sectPr>
      </w:pPr>
    </w:p>
    <w:p>
      <w:pPr>
        <w:pStyle w:val="BodyText"/>
        <w:spacing w:before="1"/>
        <w:rPr>
          <w:sz w:val="20"/>
        </w:rPr>
      </w:pPr>
    </w:p>
    <w:p>
      <w:pPr>
        <w:spacing w:line="217" w:lineRule="exact" w:before="0"/>
        <w:ind w:left="378" w:right="0" w:firstLine="0"/>
        <w:jc w:val="left"/>
        <w:rPr>
          <w:b/>
          <w:sz w:val="20"/>
        </w:rPr>
      </w:pPr>
      <w:r>
        <w:rPr>
          <w:b/>
          <w:color w:val="363436"/>
          <w:w w:val="115"/>
          <w:sz w:val="20"/>
        </w:rPr>
        <w:t>For</w:t>
      </w:r>
      <w:r>
        <w:rPr>
          <w:b/>
          <w:color w:val="363436"/>
          <w:spacing w:val="-16"/>
          <w:w w:val="115"/>
          <w:sz w:val="20"/>
        </w:rPr>
        <w:t> </w:t>
      </w:r>
      <w:r>
        <w:rPr>
          <w:b/>
          <w:color w:val="363436"/>
          <w:w w:val="115"/>
          <w:sz w:val="20"/>
        </w:rPr>
        <w:t>the</w:t>
      </w:r>
      <w:r>
        <w:rPr>
          <w:b/>
          <w:color w:val="363436"/>
          <w:spacing w:val="18"/>
          <w:w w:val="115"/>
          <w:sz w:val="20"/>
        </w:rPr>
        <w:t> </w:t>
      </w:r>
      <w:r>
        <w:rPr>
          <w:b/>
          <w:color w:val="363436"/>
          <w:w w:val="115"/>
          <w:sz w:val="20"/>
        </w:rPr>
        <w:t>whole</w:t>
      </w:r>
      <w:r>
        <w:rPr>
          <w:b/>
          <w:color w:val="363436"/>
          <w:spacing w:val="-8"/>
          <w:w w:val="115"/>
          <w:sz w:val="20"/>
        </w:rPr>
        <w:t> </w:t>
      </w:r>
      <w:r>
        <w:rPr>
          <w:b/>
          <w:color w:val="363436"/>
          <w:w w:val="115"/>
          <w:sz w:val="20"/>
        </w:rPr>
        <w:t>document:</w:t>
      </w:r>
    </w:p>
    <w:p>
      <w:pPr>
        <w:pStyle w:val="ListParagraph"/>
        <w:numPr>
          <w:ilvl w:val="1"/>
          <w:numId w:val="38"/>
        </w:numPr>
        <w:tabs>
          <w:tab w:pos="954" w:val="left" w:leader="none"/>
        </w:tabs>
        <w:spacing w:line="251" w:lineRule="exact" w:before="0" w:after="0"/>
        <w:ind w:left="953" w:right="0" w:hanging="267"/>
        <w:jc w:val="left"/>
        <w:rPr>
          <w:color w:val="363436"/>
          <w:sz w:val="23"/>
        </w:rPr>
      </w:pPr>
      <w:r>
        <w:rPr>
          <w:color w:val="363436"/>
          <w:w w:val="110"/>
          <w:sz w:val="23"/>
        </w:rPr>
        <w:t>Create</w:t>
      </w:r>
      <w:r>
        <w:rPr>
          <w:color w:val="363436"/>
          <w:spacing w:val="-12"/>
          <w:w w:val="110"/>
          <w:sz w:val="23"/>
        </w:rPr>
        <w:t> </w:t>
      </w:r>
      <w:r>
        <w:rPr>
          <w:color w:val="363436"/>
          <w:w w:val="110"/>
          <w:sz w:val="23"/>
        </w:rPr>
        <w:t>a</w:t>
      </w:r>
      <w:r>
        <w:rPr>
          <w:color w:val="363436"/>
          <w:spacing w:val="-6"/>
          <w:w w:val="110"/>
          <w:sz w:val="23"/>
        </w:rPr>
        <w:t> </w:t>
      </w:r>
      <w:r>
        <w:rPr>
          <w:color w:val="363436"/>
          <w:w w:val="110"/>
          <w:sz w:val="23"/>
        </w:rPr>
        <w:t>"Focus</w:t>
      </w:r>
      <w:r>
        <w:rPr>
          <w:color w:val="363436"/>
          <w:spacing w:val="-1"/>
          <w:w w:val="110"/>
          <w:sz w:val="23"/>
        </w:rPr>
        <w:t> </w:t>
      </w:r>
      <w:r>
        <w:rPr>
          <w:color w:val="363436"/>
          <w:w w:val="110"/>
          <w:sz w:val="23"/>
        </w:rPr>
        <w:t>List"</w:t>
      </w:r>
    </w:p>
    <w:p>
      <w:pPr>
        <w:pStyle w:val="ListParagraph"/>
        <w:numPr>
          <w:ilvl w:val="1"/>
          <w:numId w:val="38"/>
        </w:numPr>
        <w:tabs>
          <w:tab w:pos="969" w:val="left" w:leader="none"/>
        </w:tabs>
        <w:spacing w:line="240" w:lineRule="auto" w:before="207" w:after="0"/>
        <w:ind w:left="968" w:right="0" w:hanging="267"/>
        <w:jc w:val="left"/>
        <w:rPr>
          <w:color w:val="363436"/>
          <w:sz w:val="23"/>
        </w:rPr>
      </w:pPr>
      <w:r>
        <w:rPr>
          <w:color w:val="363436"/>
          <w:w w:val="110"/>
          <w:sz w:val="23"/>
        </w:rPr>
        <w:t>Write</w:t>
      </w:r>
      <w:r>
        <w:rPr>
          <w:color w:val="363436"/>
          <w:spacing w:val="-1"/>
          <w:w w:val="110"/>
          <w:sz w:val="23"/>
        </w:rPr>
        <w:t> </w:t>
      </w:r>
      <w:r>
        <w:rPr>
          <w:color w:val="363436"/>
          <w:w w:val="110"/>
          <w:sz w:val="23"/>
        </w:rPr>
        <w:t>Private</w:t>
      </w:r>
      <w:r>
        <w:rPr>
          <w:color w:val="363436"/>
          <w:spacing w:val="-4"/>
          <w:w w:val="110"/>
          <w:sz w:val="23"/>
        </w:rPr>
        <w:t> </w:t>
      </w:r>
      <w:r>
        <w:rPr>
          <w:color w:val="363436"/>
          <w:w w:val="110"/>
          <w:sz w:val="23"/>
        </w:rPr>
        <w:t>Memos</w:t>
      </w:r>
      <w:r>
        <w:rPr>
          <w:color w:val="363436"/>
          <w:spacing w:val="-6"/>
          <w:w w:val="110"/>
          <w:sz w:val="23"/>
        </w:rPr>
        <w:t> </w:t>
      </w:r>
      <w:r>
        <w:rPr>
          <w:color w:val="363436"/>
          <w:w w:val="110"/>
          <w:sz w:val="22"/>
        </w:rPr>
        <w:t>&amp;</w:t>
      </w:r>
      <w:r>
        <w:rPr>
          <w:color w:val="363436"/>
          <w:spacing w:val="4"/>
          <w:w w:val="110"/>
          <w:sz w:val="22"/>
        </w:rPr>
        <w:t> </w:t>
      </w:r>
      <w:r>
        <w:rPr>
          <w:color w:val="363436"/>
          <w:w w:val="110"/>
          <w:sz w:val="23"/>
        </w:rPr>
        <w:t>a</w:t>
      </w:r>
      <w:r>
        <w:rPr>
          <w:color w:val="363436"/>
          <w:spacing w:val="19"/>
          <w:w w:val="110"/>
          <w:sz w:val="23"/>
        </w:rPr>
        <w:t> </w:t>
      </w:r>
      <w:r>
        <w:rPr>
          <w:color w:val="363436"/>
          <w:w w:val="110"/>
          <w:sz w:val="23"/>
        </w:rPr>
        <w:t>Final</w:t>
      </w:r>
      <w:r>
        <w:rPr>
          <w:color w:val="363436"/>
          <w:spacing w:val="6"/>
          <w:w w:val="110"/>
          <w:sz w:val="23"/>
        </w:rPr>
        <w:t> </w:t>
      </w:r>
      <w:r>
        <w:rPr>
          <w:color w:val="363436"/>
          <w:w w:val="110"/>
          <w:sz w:val="23"/>
        </w:rPr>
        <w:t>Comment</w:t>
      </w:r>
    </w:p>
    <w:p>
      <w:pPr>
        <w:pStyle w:val="BodyText"/>
        <w:spacing w:line="256" w:lineRule="exact"/>
        <w:ind w:left="378"/>
      </w:pPr>
      <w:r>
        <w:rPr/>
        <w:br w:type="column"/>
      </w:r>
      <w:r>
        <w:rPr>
          <w:color w:val="363436"/>
          <w:w w:val="105"/>
        </w:rPr>
        <w:t>(Subjective)</w:t>
      </w:r>
    </w:p>
    <w:p>
      <w:pPr>
        <w:pStyle w:val="BodyText"/>
        <w:spacing w:before="5"/>
        <w:rPr>
          <w:sz w:val="36"/>
        </w:rPr>
      </w:pPr>
    </w:p>
    <w:p>
      <w:pPr>
        <w:pStyle w:val="BodyText"/>
        <w:spacing w:line="436" w:lineRule="auto"/>
        <w:ind w:left="378" w:firstLine="67"/>
      </w:pPr>
      <w:r>
        <w:rPr>
          <w:color w:val="363436"/>
          <w:w w:val="105"/>
        </w:rPr>
        <w:t>(Objective)</w:t>
      </w:r>
      <w:r>
        <w:rPr>
          <w:color w:val="363436"/>
          <w:spacing w:val="-58"/>
          <w:w w:val="105"/>
        </w:rPr>
        <w:t> </w:t>
      </w:r>
      <w:r>
        <w:rPr>
          <w:color w:val="363436"/>
          <w:w w:val="105"/>
        </w:rPr>
        <w:t>(Subjective)</w:t>
      </w:r>
    </w:p>
    <w:p>
      <w:pPr>
        <w:spacing w:after="0" w:line="436" w:lineRule="auto"/>
        <w:sectPr>
          <w:type w:val="continuous"/>
          <w:pgSz w:w="9490" w:h="13740"/>
          <w:pgMar w:header="514" w:footer="0" w:top="340" w:bottom="280" w:left="340" w:right="1220"/>
          <w:cols w:num="2" w:equalWidth="0">
            <w:col w:w="5309" w:space="560"/>
            <w:col w:w="206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91"/>
        <w:ind w:left="496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63436"/>
          <w:w w:val="105"/>
          <w:sz w:val="28"/>
        </w:rPr>
        <w:t>7.2.2</w:t>
      </w:r>
    </w:p>
    <w:p>
      <w:pPr>
        <w:spacing w:before="33"/>
        <w:ind w:left="49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363436"/>
          <w:w w:val="105"/>
          <w:sz w:val="22"/>
        </w:rPr>
        <w:t>IDENTIFY</w:t>
      </w:r>
      <w:r>
        <w:rPr>
          <w:rFonts w:ascii="Arial"/>
          <w:b/>
          <w:color w:val="363436"/>
          <w:spacing w:val="2"/>
          <w:w w:val="105"/>
          <w:sz w:val="22"/>
        </w:rPr>
        <w:t> </w:t>
      </w:r>
      <w:r>
        <w:rPr>
          <w:rFonts w:ascii="Arial"/>
          <w:b/>
          <w:color w:val="363436"/>
          <w:w w:val="105"/>
          <w:sz w:val="22"/>
        </w:rPr>
        <w:t>THE</w:t>
      </w:r>
      <w:r>
        <w:rPr>
          <w:rFonts w:ascii="Arial"/>
          <w:b/>
          <w:color w:val="363436"/>
          <w:spacing w:val="-14"/>
          <w:w w:val="105"/>
          <w:sz w:val="22"/>
        </w:rPr>
        <w:t> </w:t>
      </w:r>
      <w:r>
        <w:rPr>
          <w:rFonts w:ascii="Arial"/>
          <w:b/>
          <w:color w:val="363436"/>
          <w:w w:val="105"/>
          <w:sz w:val="22"/>
        </w:rPr>
        <w:t>PHRASES-THAT-PAY</w:t>
      </w:r>
      <w:r>
        <w:rPr>
          <w:rFonts w:ascii="Arial"/>
          <w:b/>
          <w:color w:val="363436"/>
          <w:spacing w:val="-4"/>
          <w:w w:val="105"/>
          <w:sz w:val="22"/>
        </w:rPr>
        <w:t> </w:t>
      </w:r>
      <w:r>
        <w:rPr>
          <w:rFonts w:ascii="Arial"/>
          <w:b/>
          <w:color w:val="363436"/>
          <w:w w:val="105"/>
          <w:sz w:val="22"/>
        </w:rPr>
        <w:t>WITHIN</w:t>
      </w:r>
      <w:r>
        <w:rPr>
          <w:rFonts w:ascii="Arial"/>
          <w:b/>
          <w:color w:val="363436"/>
          <w:spacing w:val="-8"/>
          <w:w w:val="105"/>
          <w:sz w:val="22"/>
        </w:rPr>
        <w:t> </w:t>
      </w:r>
      <w:r>
        <w:rPr>
          <w:rFonts w:ascii="Arial"/>
          <w:b/>
          <w:color w:val="363436"/>
          <w:w w:val="105"/>
          <w:sz w:val="22"/>
        </w:rPr>
        <w:t>EACH</w:t>
      </w:r>
    </w:p>
    <w:p>
      <w:pPr>
        <w:spacing w:before="56"/>
        <w:ind w:left="488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363436"/>
          <w:sz w:val="23"/>
        </w:rPr>
        <w:t>CREXAC</w:t>
      </w:r>
      <w:r>
        <w:rPr>
          <w:rFonts w:ascii="Arial"/>
          <w:b/>
          <w:color w:val="363436"/>
          <w:spacing w:val="51"/>
          <w:sz w:val="23"/>
        </w:rPr>
        <w:t> </w:t>
      </w:r>
      <w:r>
        <w:rPr>
          <w:rFonts w:ascii="Arial"/>
          <w:b/>
          <w:color w:val="363436"/>
          <w:sz w:val="23"/>
        </w:rPr>
        <w:t>UNIT</w:t>
      </w:r>
      <w:r>
        <w:rPr>
          <w:rFonts w:ascii="Arial"/>
          <w:b/>
          <w:color w:val="363436"/>
          <w:spacing w:val="6"/>
          <w:sz w:val="23"/>
        </w:rPr>
        <w:t> </w:t>
      </w:r>
      <w:r>
        <w:rPr>
          <w:rFonts w:ascii="Arial"/>
          <w:b/>
          <w:color w:val="363436"/>
          <w:sz w:val="22"/>
        </w:rPr>
        <w:t>OF</w:t>
      </w:r>
      <w:r>
        <w:rPr>
          <w:rFonts w:ascii="Arial"/>
          <w:b/>
          <w:color w:val="363436"/>
          <w:spacing w:val="35"/>
          <w:sz w:val="22"/>
        </w:rPr>
        <w:t> </w:t>
      </w:r>
      <w:r>
        <w:rPr>
          <w:rFonts w:ascii="Arial"/>
          <w:b/>
          <w:color w:val="363436"/>
          <w:sz w:val="22"/>
        </w:rPr>
        <w:t>DISCOURSE</w:t>
      </w:r>
    </w:p>
    <w:p>
      <w:pPr>
        <w:spacing w:line="240" w:lineRule="auto" w:before="121"/>
        <w:ind w:left="486" w:right="542" w:firstLine="0"/>
        <w:jc w:val="both"/>
        <w:rPr>
          <w:b/>
          <w:sz w:val="21"/>
        </w:rPr>
      </w:pPr>
      <w:r>
        <w:rPr>
          <w:b/>
          <w:color w:val="363436"/>
          <w:w w:val="110"/>
          <w:sz w:val="21"/>
        </w:rPr>
        <w:t>Within the</w:t>
      </w:r>
      <w:r>
        <w:rPr>
          <w:b/>
          <w:color w:val="363436"/>
          <w:spacing w:val="1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sentence that articulates each focus, identify </w:t>
      </w:r>
      <w:r>
        <w:rPr>
          <w:b/>
          <w:color w:val="363436"/>
          <w:w w:val="110"/>
          <w:sz w:val="20"/>
        </w:rPr>
        <w:t>its </w:t>
      </w:r>
      <w:r>
        <w:rPr>
          <w:b/>
          <w:color w:val="363436"/>
          <w:w w:val="110"/>
          <w:sz w:val="21"/>
        </w:rPr>
        <w:t>phrase­</w:t>
      </w:r>
      <w:r>
        <w:rPr>
          <w:b/>
          <w:color w:val="363436"/>
          <w:spacing w:val="1"/>
          <w:w w:val="110"/>
          <w:sz w:val="21"/>
        </w:rPr>
        <w:t> </w:t>
      </w:r>
      <w:r>
        <w:rPr>
          <w:b/>
          <w:color w:val="363436"/>
          <w:spacing w:val="-1"/>
          <w:w w:val="110"/>
          <w:sz w:val="21"/>
        </w:rPr>
        <w:t>that-pays and highlight that </w:t>
      </w:r>
      <w:r>
        <w:rPr>
          <w:b/>
          <w:color w:val="363436"/>
          <w:w w:val="110"/>
          <w:sz w:val="21"/>
        </w:rPr>
        <w:t>phrase-that-pays in PINK. Hi</w:t>
      </w:r>
      <w:r>
        <w:rPr>
          <w:b/>
          <w:color w:val="545254"/>
          <w:w w:val="110"/>
          <w:sz w:val="21"/>
        </w:rPr>
        <w:t>g</w:t>
      </w:r>
      <w:r>
        <w:rPr>
          <w:b/>
          <w:color w:val="363436"/>
          <w:w w:val="110"/>
          <w:sz w:val="21"/>
        </w:rPr>
        <w:t>hlight each</w:t>
      </w:r>
      <w:r>
        <w:rPr>
          <w:b/>
          <w:color w:val="363436"/>
          <w:spacing w:val="-55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phrase-that</w:t>
      </w:r>
      <w:r>
        <w:rPr>
          <w:b/>
          <w:color w:val="545254"/>
          <w:w w:val="110"/>
          <w:sz w:val="21"/>
        </w:rPr>
        <w:t>-</w:t>
      </w:r>
      <w:r>
        <w:rPr>
          <w:b/>
          <w:color w:val="363436"/>
          <w:w w:val="110"/>
          <w:sz w:val="21"/>
        </w:rPr>
        <w:t>pays wherever </w:t>
      </w:r>
      <w:r>
        <w:rPr>
          <w:color w:val="363436"/>
          <w:w w:val="110"/>
          <w:sz w:val="19"/>
        </w:rPr>
        <w:t>it </w:t>
      </w:r>
      <w:r>
        <w:rPr>
          <w:b/>
          <w:color w:val="363436"/>
          <w:w w:val="110"/>
          <w:sz w:val="21"/>
        </w:rPr>
        <w:t>appears throughout its unit of discourse.</w:t>
      </w:r>
      <w:r>
        <w:rPr>
          <w:b/>
          <w:color w:val="363436"/>
          <w:spacing w:val="-55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Note that each CREXAC unit of discourse should have a different</w:t>
      </w:r>
      <w:r>
        <w:rPr>
          <w:b/>
          <w:color w:val="363436"/>
          <w:spacing w:val="1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phrase-that-pays</w:t>
      </w:r>
      <w:r>
        <w:rPr>
          <w:b/>
          <w:color w:val="545254"/>
          <w:w w:val="110"/>
          <w:sz w:val="21"/>
        </w:rPr>
        <w:t>.</w:t>
      </w:r>
    </w:p>
    <w:p>
      <w:pPr>
        <w:pStyle w:val="BodyText"/>
        <w:spacing w:line="230" w:lineRule="auto" w:before="121"/>
        <w:ind w:left="172" w:right="113" w:firstLine="324"/>
        <w:jc w:val="both"/>
      </w:pPr>
      <w:r>
        <w:rPr>
          <w:color w:val="363436"/>
          <w:w w:val="110"/>
        </w:rPr>
        <w:t>As you find or articulate the focus of each CREXAC unit of discourse,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identify the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phrase-that-pays that is the focus of your analysis, and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high­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5"/>
        </w:rPr>
        <w:t>light that phrase-that-pays wherever it appears within that unit of dis­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course.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Remember</w:t>
      </w:r>
      <w:r>
        <w:rPr>
          <w:color w:val="363436"/>
          <w:spacing w:val="15"/>
          <w:w w:val="115"/>
        </w:rPr>
        <w:t> </w:t>
      </w:r>
      <w:r>
        <w:rPr>
          <w:color w:val="363436"/>
          <w:w w:val="115"/>
        </w:rPr>
        <w:t>that</w:t>
      </w:r>
      <w:r>
        <w:rPr>
          <w:color w:val="363436"/>
          <w:spacing w:val="-2"/>
          <w:w w:val="115"/>
        </w:rPr>
        <w:t> </w:t>
      </w:r>
      <w:r>
        <w:rPr>
          <w:color w:val="363436"/>
          <w:w w:val="115"/>
        </w:rPr>
        <w:t>in</w:t>
      </w:r>
      <w:r>
        <w:rPr>
          <w:color w:val="363436"/>
          <w:spacing w:val="-2"/>
          <w:w w:val="115"/>
        </w:rPr>
        <w:t> </w:t>
      </w:r>
      <w:r>
        <w:rPr>
          <w:color w:val="363436"/>
          <w:w w:val="115"/>
        </w:rPr>
        <w:t>most</w:t>
      </w:r>
      <w:r>
        <w:rPr>
          <w:color w:val="363436"/>
          <w:spacing w:val="-2"/>
          <w:w w:val="115"/>
        </w:rPr>
        <w:t> </w:t>
      </w:r>
      <w:r>
        <w:rPr>
          <w:color w:val="363436"/>
          <w:w w:val="115"/>
        </w:rPr>
        <w:t>briefs,</w:t>
      </w:r>
      <w:r>
        <w:rPr>
          <w:color w:val="363436"/>
          <w:spacing w:val="-1"/>
          <w:w w:val="115"/>
        </w:rPr>
        <w:t> </w:t>
      </w:r>
      <w:r>
        <w:rPr>
          <w:color w:val="363436"/>
          <w:w w:val="115"/>
        </w:rPr>
        <w:t>each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section</w:t>
      </w:r>
      <w:r>
        <w:rPr>
          <w:color w:val="363436"/>
          <w:spacing w:val="8"/>
          <w:w w:val="115"/>
        </w:rPr>
        <w:t> </w:t>
      </w:r>
      <w:r>
        <w:rPr>
          <w:color w:val="363436"/>
          <w:w w:val="115"/>
          <w:sz w:val="22"/>
        </w:rPr>
        <w:t>will</w:t>
      </w:r>
      <w:r>
        <w:rPr>
          <w:color w:val="363436"/>
          <w:spacing w:val="9"/>
          <w:w w:val="115"/>
          <w:sz w:val="22"/>
        </w:rPr>
        <w:t> </w:t>
      </w:r>
      <w:r>
        <w:rPr>
          <w:color w:val="363436"/>
          <w:w w:val="115"/>
        </w:rPr>
        <w:t>have</w:t>
      </w:r>
      <w:r>
        <w:rPr>
          <w:color w:val="363436"/>
          <w:spacing w:val="-10"/>
          <w:w w:val="115"/>
        </w:rPr>
        <w:t> </w:t>
      </w:r>
      <w:r>
        <w:rPr>
          <w:color w:val="363436"/>
          <w:w w:val="115"/>
        </w:rPr>
        <w:t>a</w:t>
      </w:r>
      <w:r>
        <w:rPr>
          <w:color w:val="363436"/>
          <w:spacing w:val="3"/>
          <w:w w:val="115"/>
        </w:rPr>
        <w:t> </w:t>
      </w:r>
      <w:r>
        <w:rPr>
          <w:color w:val="363436"/>
          <w:w w:val="115"/>
        </w:rPr>
        <w:t>different</w:t>
      </w:r>
    </w:p>
    <w:p>
      <w:pPr>
        <w:spacing w:after="0" w:line="230" w:lineRule="auto"/>
        <w:jc w:val="both"/>
        <w:sectPr>
          <w:type w:val="continuous"/>
          <w:pgSz w:w="9490" w:h="13740"/>
          <w:pgMar w:header="514" w:footer="0" w:top="340" w:bottom="280" w:left="340" w:right="1220"/>
        </w:sectPr>
      </w:pPr>
    </w:p>
    <w:p>
      <w:pPr>
        <w:pStyle w:val="BodyText"/>
        <w:spacing w:line="232" w:lineRule="auto" w:before="87"/>
        <w:ind w:left="902" w:right="-58" w:firstLine="18"/>
        <w:jc w:val="both"/>
      </w:pPr>
      <w:r>
        <w:rPr>
          <w:color w:val="383638"/>
          <w:w w:val="105"/>
        </w:rPr>
        <w:t>phrase-that-pays because each section will be focused on a different rule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policy, or other thesis. Take some time with this task; it is important tc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accurately</w:t>
      </w:r>
      <w:r>
        <w:rPr>
          <w:color w:val="383638"/>
          <w:spacing w:val="-3"/>
          <w:w w:val="105"/>
        </w:rPr>
        <w:t> </w:t>
      </w:r>
      <w:r>
        <w:rPr>
          <w:color w:val="383638"/>
          <w:w w:val="105"/>
        </w:rPr>
        <w:t>identify</w:t>
      </w:r>
      <w:r>
        <w:rPr>
          <w:color w:val="383638"/>
          <w:spacing w:val="-3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-2"/>
          <w:w w:val="105"/>
        </w:rPr>
        <w:t> </w:t>
      </w:r>
      <w:r>
        <w:rPr>
          <w:color w:val="383638"/>
          <w:w w:val="105"/>
        </w:rPr>
        <w:t>phrase-that-pays.</w:t>
      </w:r>
    </w:p>
    <w:p>
      <w:pPr>
        <w:pStyle w:val="BodyText"/>
        <w:spacing w:line="232" w:lineRule="auto"/>
        <w:ind w:left="843" w:right="-58" w:firstLine="422"/>
      </w:pPr>
      <w:r>
        <w:rPr>
          <w:color w:val="383638"/>
          <w:w w:val="105"/>
        </w:rPr>
        <w:t>Usually, </w:t>
      </w:r>
      <w:r>
        <w:rPr>
          <w:i/>
          <w:color w:val="383638"/>
          <w:w w:val="105"/>
        </w:rPr>
        <w:t>you </w:t>
      </w:r>
      <w:r>
        <w:rPr>
          <w:color w:val="383638"/>
          <w:w w:val="105"/>
        </w:rPr>
        <w:t>can find the phrase-that-pays by identifying what you ar€</w:t>
      </w:r>
      <w:r>
        <w:rPr>
          <w:color w:val="383638"/>
          <w:spacing w:val="-58"/>
          <w:w w:val="105"/>
        </w:rPr>
        <w:t> </w:t>
      </w:r>
      <w:r>
        <w:rPr>
          <w:color w:val="383638"/>
          <w:w w:val="110"/>
        </w:rPr>
        <w:t>trying to prove 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that section. One method for identifying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phrase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that-pays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manipulate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language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rule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40"/>
          <w:w w:val="110"/>
        </w:rPr>
        <w:t> </w:t>
      </w:r>
      <w:r>
        <w:rPr>
          <w:color w:val="383638"/>
          <w:w w:val="110"/>
        </w:rPr>
        <w:t>then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analyzE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that language: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(I)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mentally restate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rule as an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if-then  proposition  (do</w:t>
      </w:r>
      <w:r>
        <w:rPr>
          <w:color w:val="383638"/>
          <w:spacing w:val="-58"/>
          <w:w w:val="105"/>
        </w:rPr>
        <w:t> </w:t>
      </w:r>
      <w:r>
        <w:rPr>
          <w:i/>
          <w:color w:val="383638"/>
          <w:w w:val="105"/>
          <w:sz w:val="24"/>
        </w:rPr>
        <w:t>not </w:t>
      </w:r>
      <w:r>
        <w:rPr>
          <w:color w:val="383638"/>
          <w:w w:val="105"/>
        </w:rPr>
        <w:t>presume that rules should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be stated as if-then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statements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in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the docu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ment itself); then (2) look in the "if" clause to identify what you are trying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prove. That </w:t>
      </w:r>
      <w:r>
        <w:rPr>
          <w:rFonts w:ascii="Arial" w:hAnsi="Arial"/>
          <w:i/>
          <w:color w:val="383638"/>
          <w:w w:val="110"/>
          <w:sz w:val="21"/>
        </w:rPr>
        <w:t>thing </w:t>
      </w:r>
      <w:r>
        <w:rPr>
          <w:color w:val="383638"/>
          <w:w w:val="110"/>
        </w:rPr>
        <w:t>that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 are proving usually constitutes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main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phrase-that-pays.</w:t>
      </w:r>
    </w:p>
    <w:p>
      <w:pPr>
        <w:pStyle w:val="BodyText"/>
        <w:spacing w:line="235" w:lineRule="auto"/>
        <w:ind w:left="754" w:right="-44" w:firstLine="426"/>
        <w:jc w:val="both"/>
      </w:pPr>
      <w:r>
        <w:rPr>
          <w:i/>
          <w:color w:val="383638"/>
          <w:w w:val="105"/>
          <w:sz w:val="21"/>
        </w:rPr>
        <w:t>As </w:t>
      </w:r>
      <w:r>
        <w:rPr>
          <w:color w:val="383638"/>
          <w:w w:val="105"/>
        </w:rPr>
        <w:t>noted earlier, an "if-then" rule says, "if Condition eXists, then </w:t>
      </w:r>
      <w:r>
        <w:rPr>
          <w:rFonts w:ascii="Arial" w:hAnsi="Arial"/>
          <w:color w:val="383638"/>
          <w:w w:val="105"/>
          <w:sz w:val="22"/>
        </w:rPr>
        <w:t>Lega</w:t>
      </w:r>
      <w:r>
        <w:rPr>
          <w:rFonts w:ascii="Arial" w:hAnsi="Arial"/>
          <w:color w:val="383638"/>
          <w:spacing w:val="1"/>
          <w:w w:val="105"/>
          <w:sz w:val="22"/>
        </w:rPr>
        <w:t> </w:t>
      </w:r>
      <w:r>
        <w:rPr>
          <w:color w:val="383638"/>
          <w:w w:val="110"/>
        </w:rPr>
        <w:t>Status or Legal Consequence results." The phrase-that-pays is usually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found in the "if" clause; your rule explanation would </w:t>
      </w:r>
      <w:r>
        <w:rPr>
          <w:color w:val="383638"/>
          <w:w w:val="105"/>
          <w:sz w:val="22"/>
        </w:rPr>
        <w:t>try </w:t>
      </w:r>
      <w:r>
        <w:rPr>
          <w:color w:val="383638"/>
          <w:w w:val="105"/>
        </w:rPr>
        <w:t>to show what the</w:t>
      </w:r>
      <w:r>
        <w:rPr>
          <w:color w:val="383638"/>
          <w:spacing w:val="1"/>
          <w:w w:val="105"/>
        </w:rPr>
        <w:t> </w:t>
      </w:r>
      <w:r>
        <w:rPr>
          <w:color w:val="383638"/>
          <w:spacing w:val="-1"/>
          <w:w w:val="110"/>
        </w:rPr>
        <w:t>phrase-that-pays means so that, in your application </w:t>
      </w:r>
      <w:r>
        <w:rPr>
          <w:color w:val="383638"/>
          <w:w w:val="110"/>
        </w:rPr>
        <w:t>section, you can ana­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05"/>
        </w:rPr>
        <w:t>lyze whether the phrase-that-pays (condition) exists in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your client's case.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Once you establish that the phrase-that-pays does or does not exist, 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can argue in your-conclusion section that the legal consequence should or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should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not</w:t>
      </w:r>
      <w:r>
        <w:rPr>
          <w:color w:val="383638"/>
          <w:spacing w:val="30"/>
          <w:w w:val="110"/>
        </w:rPr>
        <w:t> </w:t>
      </w:r>
      <w:r>
        <w:rPr>
          <w:color w:val="383638"/>
          <w:w w:val="110"/>
        </w:rPr>
        <w:t>result.</w:t>
      </w:r>
    </w:p>
    <w:p>
      <w:pPr>
        <w:pStyle w:val="BodyText"/>
        <w:spacing w:line="228" w:lineRule="auto"/>
        <w:ind w:left="738" w:right="-29" w:firstLine="361"/>
        <w:jc w:val="both"/>
      </w:pPr>
      <w:r>
        <w:rPr>
          <w:color w:val="383638"/>
          <w:w w:val="110"/>
        </w:rPr>
        <w:t>For example, if you were writing about whether the victim of a dog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bite could recover damages from the owner of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dog, you  might have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a statutory rule that says, among other things, that the owner cannot </w:t>
      </w:r>
      <w:r>
        <w:rPr>
          <w:color w:val="383638"/>
          <w:w w:val="110"/>
          <w:sz w:val="24"/>
        </w:rPr>
        <w:t>be</w:t>
      </w:r>
      <w:r>
        <w:rPr>
          <w:color w:val="383638"/>
          <w:spacing w:val="1"/>
          <w:w w:val="110"/>
          <w:sz w:val="24"/>
        </w:rPr>
        <w:t> </w:t>
      </w:r>
      <w:r>
        <w:rPr>
          <w:color w:val="383638"/>
          <w:w w:val="105"/>
        </w:rPr>
        <w:t>held liable if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victim of the dog bite was committing a trespass or other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criminal offense on the dog owner's property at the time of the attack. You</w:t>
      </w:r>
      <w:r>
        <w:rPr>
          <w:color w:val="383638"/>
          <w:spacing w:val="1"/>
          <w:w w:val="105"/>
        </w:rPr>
        <w:t> </w:t>
      </w:r>
      <w:r>
        <w:rPr>
          <w:color w:val="383638"/>
          <w:spacing w:val="-1"/>
          <w:w w:val="110"/>
        </w:rPr>
        <w:t>could</w:t>
      </w:r>
      <w:r>
        <w:rPr>
          <w:color w:val="383638"/>
          <w:spacing w:val="2"/>
          <w:w w:val="110"/>
        </w:rPr>
        <w:t> </w:t>
      </w:r>
      <w:r>
        <w:rPr>
          <w:color w:val="383638"/>
          <w:spacing w:val="-1"/>
          <w:w w:val="110"/>
        </w:rPr>
        <w:t>tum</w:t>
      </w:r>
      <w:r>
        <w:rPr>
          <w:color w:val="383638"/>
          <w:spacing w:val="49"/>
          <w:w w:val="110"/>
        </w:rPr>
        <w:t> </w:t>
      </w:r>
      <w:r>
        <w:rPr>
          <w:color w:val="383638"/>
          <w:spacing w:val="-1"/>
          <w:w w:val="110"/>
        </w:rPr>
        <w:t>that</w:t>
      </w:r>
      <w:r>
        <w:rPr>
          <w:color w:val="383638"/>
          <w:spacing w:val="-5"/>
          <w:w w:val="110"/>
        </w:rPr>
        <w:t> </w:t>
      </w:r>
      <w:r>
        <w:rPr>
          <w:color w:val="383638"/>
          <w:spacing w:val="-1"/>
          <w:w w:val="110"/>
        </w:rPr>
        <w:t>proposition </w:t>
      </w:r>
      <w:r>
        <w:rPr>
          <w:i/>
          <w:color w:val="383638"/>
          <w:w w:val="110"/>
          <w:sz w:val="24"/>
        </w:rPr>
        <w:t>into</w:t>
      </w:r>
      <w:r>
        <w:rPr>
          <w:i/>
          <w:color w:val="383638"/>
          <w:spacing w:val="-20"/>
          <w:w w:val="110"/>
          <w:sz w:val="24"/>
        </w:rPr>
        <w:t> </w:t>
      </w:r>
      <w:r>
        <w:rPr>
          <w:color w:val="383638"/>
          <w:w w:val="110"/>
        </w:rPr>
        <w:t>an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"if-then"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rule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follows:</w:t>
      </w:r>
    </w:p>
    <w:p>
      <w:pPr>
        <w:spacing w:line="225" w:lineRule="auto" w:before="142"/>
        <w:ind w:left="1066" w:right="342" w:firstLine="12"/>
        <w:jc w:val="both"/>
        <w:rPr>
          <w:b/>
          <w:sz w:val="22"/>
        </w:rPr>
      </w:pPr>
      <w:r>
        <w:rPr>
          <w:color w:val="383638"/>
          <w:w w:val="110"/>
          <w:sz w:val="21"/>
        </w:rPr>
        <w:t>IF </w:t>
      </w:r>
      <w:r>
        <w:rPr>
          <w:color w:val="383638"/>
          <w:w w:val="110"/>
          <w:sz w:val="20"/>
        </w:rPr>
        <w:t>the</w:t>
      </w:r>
      <w:r>
        <w:rPr>
          <w:color w:val="383638"/>
          <w:spacing w:val="1"/>
          <w:w w:val="110"/>
          <w:sz w:val="20"/>
        </w:rPr>
        <w:t> </w:t>
      </w:r>
      <w:r>
        <w:rPr>
          <w:rFonts w:ascii="Arial"/>
          <w:color w:val="383638"/>
          <w:w w:val="110"/>
          <w:sz w:val="19"/>
        </w:rPr>
        <w:t>victim </w:t>
      </w:r>
      <w:r>
        <w:rPr>
          <w:color w:val="383638"/>
          <w:w w:val="110"/>
          <w:sz w:val="21"/>
        </w:rPr>
        <w:t>ofa dogbite </w:t>
      </w:r>
      <w:r>
        <w:rPr>
          <w:rFonts w:ascii="Arial"/>
          <w:color w:val="383638"/>
          <w:w w:val="110"/>
          <w:sz w:val="19"/>
        </w:rPr>
        <w:t>is </w:t>
      </w:r>
      <w:r>
        <w:rPr>
          <w:color w:val="383638"/>
          <w:w w:val="110"/>
          <w:sz w:val="21"/>
        </w:rPr>
        <w:t>committing a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trespass or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other criminal</w:t>
      </w:r>
      <w:r>
        <w:rPr>
          <w:color w:val="383638"/>
          <w:spacing w:val="1"/>
          <w:w w:val="110"/>
          <w:sz w:val="21"/>
        </w:rPr>
        <w:t> </w:t>
      </w:r>
      <w:r>
        <w:rPr>
          <w:b/>
          <w:color w:val="383638"/>
          <w:sz w:val="22"/>
        </w:rPr>
        <w:t>offense on</w:t>
      </w:r>
      <w:r>
        <w:rPr>
          <w:b/>
          <w:color w:val="383638"/>
          <w:spacing w:val="55"/>
          <w:sz w:val="22"/>
        </w:rPr>
        <w:t> </w:t>
      </w:r>
      <w:r>
        <w:rPr>
          <w:b/>
          <w:color w:val="383638"/>
          <w:sz w:val="22"/>
        </w:rPr>
        <w:t>the dog owner's property at the time of the attack, THEN</w:t>
      </w:r>
      <w:r>
        <w:rPr>
          <w:b/>
          <w:color w:val="383638"/>
          <w:spacing w:val="1"/>
          <w:sz w:val="22"/>
        </w:rPr>
        <w:t> </w:t>
      </w:r>
      <w:r>
        <w:rPr>
          <w:b/>
          <w:color w:val="383638"/>
          <w:w w:val="105"/>
          <w:sz w:val="22"/>
        </w:rPr>
        <w:t>he</w:t>
      </w:r>
      <w:r>
        <w:rPr>
          <w:b/>
          <w:color w:val="383638"/>
          <w:spacing w:val="-20"/>
          <w:w w:val="105"/>
          <w:sz w:val="22"/>
        </w:rPr>
        <w:t> </w:t>
      </w:r>
      <w:r>
        <w:rPr>
          <w:b/>
          <w:color w:val="383638"/>
          <w:w w:val="105"/>
          <w:sz w:val="22"/>
        </w:rPr>
        <w:t>or</w:t>
      </w:r>
      <w:r>
        <w:rPr>
          <w:b/>
          <w:color w:val="383638"/>
          <w:spacing w:val="-29"/>
          <w:w w:val="105"/>
          <w:sz w:val="22"/>
        </w:rPr>
        <w:t> </w:t>
      </w:r>
      <w:r>
        <w:rPr>
          <w:b/>
          <w:color w:val="383638"/>
          <w:w w:val="105"/>
          <w:sz w:val="22"/>
        </w:rPr>
        <w:t>she</w:t>
      </w:r>
      <w:r>
        <w:rPr>
          <w:b/>
          <w:color w:val="383638"/>
          <w:spacing w:val="-28"/>
          <w:w w:val="105"/>
          <w:sz w:val="22"/>
        </w:rPr>
        <w:t> </w:t>
      </w:r>
      <w:r>
        <w:rPr>
          <w:b/>
          <w:color w:val="383638"/>
          <w:w w:val="105"/>
          <w:sz w:val="22"/>
        </w:rPr>
        <w:t>cannot</w:t>
      </w:r>
      <w:r>
        <w:rPr>
          <w:b/>
          <w:color w:val="383638"/>
          <w:spacing w:val="-7"/>
          <w:w w:val="105"/>
          <w:sz w:val="22"/>
        </w:rPr>
        <w:t> </w:t>
      </w:r>
      <w:r>
        <w:rPr>
          <w:b/>
          <w:color w:val="383638"/>
          <w:w w:val="105"/>
          <w:sz w:val="22"/>
        </w:rPr>
        <w:t>recover</w:t>
      </w:r>
      <w:r>
        <w:rPr>
          <w:b/>
          <w:color w:val="383638"/>
          <w:spacing w:val="-16"/>
          <w:w w:val="105"/>
          <w:sz w:val="22"/>
        </w:rPr>
        <w:t> </w:t>
      </w:r>
      <w:r>
        <w:rPr>
          <w:b/>
          <w:color w:val="383638"/>
          <w:w w:val="105"/>
          <w:sz w:val="22"/>
        </w:rPr>
        <w:t>damages</w:t>
      </w:r>
      <w:r>
        <w:rPr>
          <w:b/>
          <w:color w:val="383638"/>
          <w:spacing w:val="-8"/>
          <w:w w:val="105"/>
          <w:sz w:val="22"/>
        </w:rPr>
        <w:t> </w:t>
      </w:r>
      <w:r>
        <w:rPr>
          <w:b/>
          <w:color w:val="383638"/>
          <w:w w:val="105"/>
          <w:sz w:val="22"/>
        </w:rPr>
        <w:t>for</w:t>
      </w:r>
      <w:r>
        <w:rPr>
          <w:b/>
          <w:color w:val="383638"/>
          <w:spacing w:val="-29"/>
          <w:w w:val="105"/>
          <w:sz w:val="22"/>
        </w:rPr>
        <w:t> </w:t>
      </w:r>
      <w:r>
        <w:rPr>
          <w:b/>
          <w:color w:val="383638"/>
          <w:w w:val="105"/>
          <w:sz w:val="22"/>
        </w:rPr>
        <w:t>any</w:t>
      </w:r>
      <w:r>
        <w:rPr>
          <w:b/>
          <w:color w:val="383638"/>
          <w:spacing w:val="-8"/>
          <w:w w:val="105"/>
          <w:sz w:val="22"/>
        </w:rPr>
        <w:t> </w:t>
      </w:r>
      <w:r>
        <w:rPr>
          <w:rFonts w:ascii="Arial"/>
          <w:b/>
          <w:color w:val="383638"/>
          <w:w w:val="105"/>
          <w:sz w:val="20"/>
        </w:rPr>
        <w:t>injury</w:t>
      </w:r>
      <w:r>
        <w:rPr>
          <w:rFonts w:ascii="Arial"/>
          <w:b/>
          <w:color w:val="383638"/>
          <w:spacing w:val="-22"/>
          <w:w w:val="105"/>
          <w:sz w:val="20"/>
        </w:rPr>
        <w:t> </w:t>
      </w:r>
      <w:r>
        <w:rPr>
          <w:b/>
          <w:color w:val="383638"/>
          <w:w w:val="105"/>
          <w:sz w:val="22"/>
        </w:rPr>
        <w:t>or</w:t>
      </w:r>
      <w:r>
        <w:rPr>
          <w:b/>
          <w:color w:val="383638"/>
          <w:spacing w:val="-25"/>
          <w:w w:val="105"/>
          <w:sz w:val="22"/>
        </w:rPr>
        <w:t> </w:t>
      </w:r>
      <w:r>
        <w:rPr>
          <w:b/>
          <w:color w:val="383638"/>
          <w:w w:val="105"/>
          <w:sz w:val="22"/>
        </w:rPr>
        <w:t>loss.</w:t>
      </w:r>
    </w:p>
    <w:p>
      <w:pPr>
        <w:spacing w:line="225" w:lineRule="auto" w:before="148"/>
        <w:ind w:left="664" w:right="28" w:firstLine="38"/>
        <w:jc w:val="both"/>
        <w:rPr>
          <w:sz w:val="23"/>
        </w:rPr>
      </w:pPr>
      <w:r>
        <w:rPr>
          <w:color w:val="383638"/>
          <w:w w:val="105"/>
          <w:sz w:val="23"/>
        </w:rPr>
        <w:t>Looking </w:t>
      </w:r>
      <w:r>
        <w:rPr>
          <w:color w:val="383638"/>
          <w:w w:val="105"/>
          <w:sz w:val="20"/>
        </w:rPr>
        <w:t>in   </w:t>
      </w:r>
      <w:r>
        <w:rPr>
          <w:color w:val="383638"/>
          <w:w w:val="105"/>
          <w:sz w:val="23"/>
        </w:rPr>
        <w:t>your "if" clause, you see several items that could be the </w:t>
      </w:r>
      <w:r>
        <w:rPr>
          <w:color w:val="383638"/>
          <w:w w:val="105"/>
          <w:sz w:val="24"/>
        </w:rPr>
        <w:t>focus</w:t>
      </w:r>
      <w:r>
        <w:rPr>
          <w:color w:val="383638"/>
          <w:spacing w:val="1"/>
          <w:w w:val="105"/>
          <w:sz w:val="24"/>
        </w:rPr>
        <w:t> </w:t>
      </w:r>
      <w:r>
        <w:rPr>
          <w:color w:val="383638"/>
          <w:w w:val="105"/>
          <w:sz w:val="23"/>
        </w:rPr>
        <w:t>of analysis in</w:t>
      </w:r>
      <w:r>
        <w:rPr>
          <w:color w:val="383638"/>
          <w:spacing w:val="1"/>
          <w:w w:val="105"/>
          <w:sz w:val="23"/>
        </w:rPr>
        <w:t> </w:t>
      </w:r>
      <w:r>
        <w:rPr>
          <w:color w:val="383638"/>
          <w:w w:val="105"/>
          <w:sz w:val="23"/>
        </w:rPr>
        <w:t>a</w:t>
      </w:r>
      <w:r>
        <w:rPr>
          <w:color w:val="383638"/>
          <w:spacing w:val="1"/>
          <w:w w:val="105"/>
          <w:sz w:val="23"/>
        </w:rPr>
        <w:t> </w:t>
      </w:r>
      <w:r>
        <w:rPr>
          <w:color w:val="383638"/>
          <w:w w:val="105"/>
          <w:sz w:val="23"/>
        </w:rPr>
        <w:t>legal document.  For example,  you  could  be  trying to</w:t>
      </w:r>
      <w:r>
        <w:rPr>
          <w:color w:val="383638"/>
          <w:spacing w:val="1"/>
          <w:w w:val="105"/>
          <w:sz w:val="23"/>
        </w:rPr>
        <w:t> </w:t>
      </w:r>
      <w:r>
        <w:rPr>
          <w:color w:val="383638"/>
          <w:sz w:val="23"/>
        </w:rPr>
        <w:t>prove (1) that the dog bite victim was </w:t>
      </w:r>
      <w:r>
        <w:rPr>
          <w:i/>
          <w:color w:val="383638"/>
          <w:sz w:val="24"/>
        </w:rPr>
        <w:t>committing a trespass or other crimi­</w:t>
      </w:r>
      <w:r>
        <w:rPr>
          <w:i/>
          <w:color w:val="383638"/>
          <w:spacing w:val="1"/>
          <w:sz w:val="24"/>
        </w:rPr>
        <w:t> </w:t>
      </w:r>
      <w:r>
        <w:rPr>
          <w:i/>
          <w:color w:val="383638"/>
          <w:sz w:val="24"/>
        </w:rPr>
        <w:t>nal</w:t>
      </w:r>
      <w:r>
        <w:rPr>
          <w:i/>
          <w:color w:val="383638"/>
          <w:spacing w:val="15"/>
          <w:sz w:val="24"/>
        </w:rPr>
        <w:t> </w:t>
      </w:r>
      <w:r>
        <w:rPr>
          <w:i/>
          <w:color w:val="383638"/>
          <w:sz w:val="24"/>
        </w:rPr>
        <w:t>offense,</w:t>
      </w:r>
      <w:r>
        <w:rPr>
          <w:i/>
          <w:color w:val="383638"/>
          <w:spacing w:val="19"/>
          <w:sz w:val="24"/>
        </w:rPr>
        <w:t> </w:t>
      </w:r>
      <w:r>
        <w:rPr>
          <w:color w:val="383638"/>
          <w:sz w:val="23"/>
        </w:rPr>
        <w:t>(2)</w:t>
      </w:r>
      <w:r>
        <w:rPr>
          <w:color w:val="383638"/>
          <w:spacing w:val="13"/>
          <w:sz w:val="23"/>
        </w:rPr>
        <w:t> </w:t>
      </w:r>
      <w:r>
        <w:rPr>
          <w:color w:val="383638"/>
          <w:sz w:val="23"/>
        </w:rPr>
        <w:t>that</w:t>
      </w:r>
      <w:r>
        <w:rPr>
          <w:color w:val="383638"/>
          <w:spacing w:val="32"/>
          <w:sz w:val="23"/>
        </w:rPr>
        <w:t> </w:t>
      </w:r>
      <w:r>
        <w:rPr>
          <w:color w:val="383638"/>
          <w:sz w:val="23"/>
        </w:rPr>
        <w:t>the</w:t>
      </w:r>
      <w:r>
        <w:rPr>
          <w:color w:val="383638"/>
          <w:spacing w:val="24"/>
          <w:sz w:val="23"/>
        </w:rPr>
        <w:t> </w:t>
      </w:r>
      <w:r>
        <w:rPr>
          <w:color w:val="383638"/>
          <w:sz w:val="23"/>
        </w:rPr>
        <w:t>dog</w:t>
      </w:r>
      <w:r>
        <w:rPr>
          <w:color w:val="383638"/>
          <w:spacing w:val="-6"/>
          <w:sz w:val="23"/>
        </w:rPr>
        <w:t> </w:t>
      </w:r>
      <w:r>
        <w:rPr>
          <w:color w:val="383638"/>
          <w:sz w:val="23"/>
        </w:rPr>
        <w:t>bite</w:t>
      </w:r>
      <w:r>
        <w:rPr>
          <w:color w:val="383638"/>
          <w:spacing w:val="22"/>
          <w:sz w:val="23"/>
        </w:rPr>
        <w:t> </w:t>
      </w:r>
      <w:r>
        <w:rPr>
          <w:color w:val="383638"/>
          <w:sz w:val="23"/>
        </w:rPr>
        <w:t>victim</w:t>
      </w:r>
      <w:r>
        <w:rPr>
          <w:color w:val="383638"/>
          <w:spacing w:val="31"/>
          <w:sz w:val="23"/>
        </w:rPr>
        <w:t> </w:t>
      </w:r>
      <w:r>
        <w:rPr>
          <w:color w:val="383638"/>
          <w:sz w:val="23"/>
        </w:rPr>
        <w:t>was</w:t>
      </w:r>
      <w:r>
        <w:rPr>
          <w:color w:val="383638"/>
          <w:spacing w:val="13"/>
          <w:sz w:val="23"/>
        </w:rPr>
        <w:t> </w:t>
      </w:r>
      <w:r>
        <w:rPr>
          <w:i/>
          <w:color w:val="383638"/>
          <w:sz w:val="24"/>
        </w:rPr>
        <w:t>on</w:t>
      </w:r>
      <w:r>
        <w:rPr>
          <w:i/>
          <w:color w:val="383638"/>
          <w:spacing w:val="3"/>
          <w:sz w:val="24"/>
        </w:rPr>
        <w:t> </w:t>
      </w:r>
      <w:r>
        <w:rPr>
          <w:i/>
          <w:color w:val="383638"/>
          <w:sz w:val="24"/>
        </w:rPr>
        <w:t>the</w:t>
      </w:r>
      <w:r>
        <w:rPr>
          <w:i/>
          <w:color w:val="383638"/>
          <w:spacing w:val="7"/>
          <w:sz w:val="24"/>
        </w:rPr>
        <w:t> </w:t>
      </w:r>
      <w:r>
        <w:rPr>
          <w:i/>
          <w:color w:val="383638"/>
          <w:sz w:val="24"/>
        </w:rPr>
        <w:t>dog</w:t>
      </w:r>
      <w:r>
        <w:rPr>
          <w:i/>
          <w:color w:val="383638"/>
          <w:spacing w:val="5"/>
          <w:sz w:val="24"/>
        </w:rPr>
        <w:t> </w:t>
      </w:r>
      <w:r>
        <w:rPr>
          <w:i/>
          <w:color w:val="383638"/>
          <w:sz w:val="24"/>
        </w:rPr>
        <w:t>owner's</w:t>
      </w:r>
      <w:r>
        <w:rPr>
          <w:i/>
          <w:color w:val="383638"/>
          <w:spacing w:val="39"/>
          <w:sz w:val="24"/>
        </w:rPr>
        <w:t> </w:t>
      </w:r>
      <w:r>
        <w:rPr>
          <w:i/>
          <w:color w:val="383638"/>
          <w:sz w:val="24"/>
        </w:rPr>
        <w:t>property,</w:t>
      </w:r>
      <w:r>
        <w:rPr>
          <w:i/>
          <w:color w:val="383638"/>
          <w:spacing w:val="-11"/>
          <w:sz w:val="24"/>
        </w:rPr>
        <w:t> </w:t>
      </w:r>
      <w:r>
        <w:rPr>
          <w:color w:val="383638"/>
          <w:sz w:val="23"/>
        </w:rPr>
        <w:t>or</w:t>
      </w:r>
    </w:p>
    <w:p>
      <w:pPr>
        <w:pStyle w:val="ListParagraph"/>
        <w:numPr>
          <w:ilvl w:val="2"/>
          <w:numId w:val="62"/>
        </w:numPr>
        <w:tabs>
          <w:tab w:pos="995" w:val="left" w:leader="none"/>
        </w:tabs>
        <w:spacing w:line="225" w:lineRule="auto" w:before="0" w:after="0"/>
        <w:ind w:left="590" w:right="37" w:firstLine="69"/>
        <w:jc w:val="both"/>
        <w:rPr>
          <w:color w:val="383638"/>
          <w:sz w:val="23"/>
        </w:rPr>
      </w:pPr>
      <w:r>
        <w:rPr>
          <w:color w:val="383638"/>
          <w:w w:val="105"/>
          <w:sz w:val="23"/>
        </w:rPr>
        <w:t>that the trespass or criminal offense was being committed </w:t>
      </w:r>
      <w:r>
        <w:rPr>
          <w:i/>
          <w:color w:val="383638"/>
          <w:w w:val="105"/>
          <w:sz w:val="24"/>
        </w:rPr>
        <w:t>at the time of</w:t>
      </w:r>
      <w:r>
        <w:rPr>
          <w:i/>
          <w:color w:val="383638"/>
          <w:spacing w:val="1"/>
          <w:w w:val="105"/>
          <w:sz w:val="24"/>
        </w:rPr>
        <w:t> </w:t>
      </w:r>
      <w:r>
        <w:rPr>
          <w:i/>
          <w:color w:val="383638"/>
          <w:w w:val="105"/>
          <w:sz w:val="24"/>
        </w:rPr>
        <w:t>the attack. </w:t>
      </w:r>
      <w:r>
        <w:rPr>
          <w:color w:val="383638"/>
          <w:w w:val="105"/>
          <w:sz w:val="23"/>
        </w:rPr>
        <w:t>Your goal is to identify what language of the  rule is at issue </w:t>
      </w:r>
      <w:r>
        <w:rPr>
          <w:rFonts w:ascii="Arial" w:hAnsi="Arial"/>
          <w:color w:val="383638"/>
          <w:w w:val="105"/>
          <w:sz w:val="21"/>
        </w:rPr>
        <w:t>In</w:t>
      </w:r>
      <w:r>
        <w:rPr>
          <w:rFonts w:ascii="Arial" w:hAnsi="Arial"/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3"/>
        </w:rPr>
        <w:t>the</w:t>
      </w:r>
      <w:r>
        <w:rPr>
          <w:color w:val="383638"/>
          <w:spacing w:val="1"/>
          <w:w w:val="105"/>
          <w:sz w:val="23"/>
        </w:rPr>
        <w:t> </w:t>
      </w:r>
      <w:r>
        <w:rPr>
          <w:color w:val="383638"/>
          <w:w w:val="105"/>
          <w:sz w:val="23"/>
        </w:rPr>
        <w:t>particular section </w:t>
      </w:r>
      <w:r>
        <w:rPr>
          <w:i/>
          <w:color w:val="383638"/>
          <w:w w:val="105"/>
          <w:sz w:val="23"/>
        </w:rPr>
        <w:t>you </w:t>
      </w:r>
      <w:r>
        <w:rPr>
          <w:color w:val="383638"/>
          <w:w w:val="105"/>
          <w:sz w:val="23"/>
        </w:rPr>
        <w:t>are focusing on. Let's presume that, in this sec­</w:t>
      </w:r>
      <w:r>
        <w:rPr>
          <w:color w:val="383638"/>
          <w:spacing w:val="1"/>
          <w:w w:val="105"/>
          <w:sz w:val="23"/>
        </w:rPr>
        <w:t> </w:t>
      </w:r>
      <w:r>
        <w:rPr>
          <w:color w:val="383638"/>
          <w:w w:val="110"/>
          <w:sz w:val="23"/>
        </w:rPr>
        <w:t>tion, you are trying to prove that a </w:t>
      </w:r>
      <w:r>
        <w:rPr>
          <w:color w:val="383638"/>
          <w:w w:val="110"/>
          <w:sz w:val="22"/>
        </w:rPr>
        <w:t>civil </w:t>
      </w:r>
      <w:r>
        <w:rPr>
          <w:color w:val="383638"/>
          <w:w w:val="110"/>
          <w:sz w:val="23"/>
        </w:rPr>
        <w:t>trespass is included in the </w:t>
      </w:r>
      <w:r>
        <w:rPr>
          <w:color w:val="383638"/>
          <w:w w:val="110"/>
          <w:sz w:val="24"/>
        </w:rPr>
        <w:t>types</w:t>
      </w:r>
      <w:r>
        <w:rPr>
          <w:color w:val="383638"/>
          <w:spacing w:val="1"/>
          <w:w w:val="110"/>
          <w:sz w:val="24"/>
        </w:rPr>
        <w:t> </w:t>
      </w:r>
      <w:r>
        <w:rPr>
          <w:color w:val="383638"/>
          <w:w w:val="105"/>
          <w:sz w:val="23"/>
        </w:rPr>
        <w:t>of trespass described in the statute. Thus, your phrase-that-pays would </w:t>
      </w:r>
      <w:r>
        <w:rPr>
          <w:color w:val="383638"/>
          <w:w w:val="105"/>
          <w:sz w:val="25"/>
        </w:rPr>
        <w:t>be</w:t>
      </w:r>
      <w:r>
        <w:rPr>
          <w:color w:val="383638"/>
          <w:spacing w:val="1"/>
          <w:w w:val="105"/>
          <w:sz w:val="25"/>
        </w:rPr>
        <w:t> </w:t>
      </w:r>
      <w:r>
        <w:rPr>
          <w:color w:val="383638"/>
          <w:w w:val="110"/>
          <w:sz w:val="23"/>
        </w:rPr>
        <w:t>"committing a trespass or other criminal offense," and your explanation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section</w:t>
      </w:r>
      <w:r>
        <w:rPr>
          <w:color w:val="383638"/>
          <w:spacing w:val="3"/>
          <w:w w:val="110"/>
          <w:sz w:val="23"/>
        </w:rPr>
        <w:t> </w:t>
      </w:r>
      <w:r>
        <w:rPr>
          <w:color w:val="383638"/>
          <w:w w:val="110"/>
          <w:sz w:val="23"/>
        </w:rPr>
        <w:t>would</w:t>
      </w:r>
      <w:r>
        <w:rPr>
          <w:color w:val="383638"/>
          <w:spacing w:val="10"/>
          <w:w w:val="110"/>
          <w:sz w:val="23"/>
        </w:rPr>
        <w:t> </w:t>
      </w:r>
      <w:r>
        <w:rPr>
          <w:color w:val="383638"/>
          <w:w w:val="110"/>
          <w:sz w:val="23"/>
        </w:rPr>
        <w:t>be</w:t>
      </w:r>
      <w:r>
        <w:rPr>
          <w:color w:val="383638"/>
          <w:spacing w:val="-11"/>
          <w:w w:val="110"/>
          <w:sz w:val="23"/>
        </w:rPr>
        <w:t> </w:t>
      </w:r>
      <w:r>
        <w:rPr>
          <w:color w:val="383638"/>
          <w:w w:val="110"/>
          <w:sz w:val="23"/>
        </w:rPr>
        <w:t>devoted</w:t>
      </w:r>
      <w:r>
        <w:rPr>
          <w:color w:val="383638"/>
          <w:spacing w:val="8"/>
          <w:w w:val="110"/>
          <w:sz w:val="23"/>
        </w:rPr>
        <w:t> </w:t>
      </w:r>
      <w:r>
        <w:rPr>
          <w:color w:val="383638"/>
          <w:w w:val="110"/>
          <w:sz w:val="23"/>
        </w:rPr>
        <w:t>to</w:t>
      </w:r>
      <w:r>
        <w:rPr>
          <w:color w:val="383638"/>
          <w:spacing w:val="5"/>
          <w:w w:val="110"/>
          <w:sz w:val="23"/>
        </w:rPr>
        <w:t> </w:t>
      </w:r>
      <w:r>
        <w:rPr>
          <w:color w:val="383638"/>
          <w:w w:val="110"/>
          <w:sz w:val="23"/>
        </w:rPr>
        <w:t>establishing</w:t>
      </w:r>
      <w:r>
        <w:rPr>
          <w:color w:val="383638"/>
          <w:spacing w:val="-1"/>
          <w:w w:val="110"/>
          <w:sz w:val="23"/>
        </w:rPr>
        <w:t> </w:t>
      </w:r>
      <w:r>
        <w:rPr>
          <w:color w:val="383638"/>
          <w:w w:val="110"/>
          <w:sz w:val="23"/>
        </w:rPr>
        <w:t>the</w:t>
      </w:r>
      <w:r>
        <w:rPr>
          <w:color w:val="383638"/>
          <w:spacing w:val="21"/>
          <w:w w:val="110"/>
          <w:sz w:val="23"/>
        </w:rPr>
        <w:t> </w:t>
      </w:r>
      <w:r>
        <w:rPr>
          <w:color w:val="383638"/>
          <w:w w:val="110"/>
          <w:sz w:val="23"/>
        </w:rPr>
        <w:t>meaning</w:t>
      </w:r>
      <w:r>
        <w:rPr>
          <w:color w:val="383638"/>
          <w:spacing w:val="-13"/>
          <w:w w:val="110"/>
          <w:sz w:val="23"/>
        </w:rPr>
        <w:t> </w:t>
      </w:r>
      <w:r>
        <w:rPr>
          <w:color w:val="383638"/>
          <w:w w:val="110"/>
          <w:sz w:val="23"/>
        </w:rPr>
        <w:t>of</w:t>
      </w:r>
      <w:r>
        <w:rPr>
          <w:color w:val="383638"/>
          <w:spacing w:val="5"/>
          <w:w w:val="110"/>
          <w:sz w:val="23"/>
        </w:rPr>
        <w:t> </w:t>
      </w:r>
      <w:r>
        <w:rPr>
          <w:color w:val="383638"/>
          <w:w w:val="110"/>
          <w:sz w:val="23"/>
        </w:rPr>
        <w:t>that</w:t>
      </w:r>
      <w:r>
        <w:rPr>
          <w:color w:val="383638"/>
          <w:spacing w:val="5"/>
          <w:w w:val="110"/>
          <w:sz w:val="23"/>
        </w:rPr>
        <w:t> </w:t>
      </w:r>
      <w:r>
        <w:rPr>
          <w:color w:val="383638"/>
          <w:w w:val="110"/>
          <w:sz w:val="23"/>
        </w:rPr>
        <w:t>phrase.</w:t>
      </w:r>
    </w:p>
    <w:p>
      <w:pPr>
        <w:pStyle w:val="BodyText"/>
        <w:spacing w:line="232" w:lineRule="auto"/>
        <w:ind w:left="550" w:right="65" w:firstLine="403"/>
        <w:jc w:val="both"/>
      </w:pPr>
      <w:r>
        <w:rPr>
          <w:color w:val="383638"/>
          <w:w w:val="105"/>
        </w:rPr>
        <w:t>Finding and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highlighting  the  phrase-that-pays in  each CREXAC unit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of discourse can help you to evaluate whether your analysis ts focused.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Ideally, you should see the phrase-that-pays several times within the sec.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tion.</w:t>
      </w:r>
      <w:r>
        <w:rPr>
          <w:color w:val="383638"/>
          <w:spacing w:val="20"/>
          <w:w w:val="105"/>
        </w:rPr>
        <w:t> </w:t>
      </w:r>
      <w:r>
        <w:rPr>
          <w:color w:val="383638"/>
          <w:w w:val="105"/>
        </w:rPr>
        <w:t>It</w:t>
      </w:r>
      <w:r>
        <w:rPr>
          <w:color w:val="383638"/>
          <w:spacing w:val="3"/>
          <w:w w:val="105"/>
        </w:rPr>
        <w:t> </w:t>
      </w:r>
      <w:r>
        <w:rPr>
          <w:color w:val="383638"/>
          <w:w w:val="105"/>
        </w:rPr>
        <w:t>should</w:t>
      </w:r>
      <w:r>
        <w:rPr>
          <w:color w:val="383638"/>
          <w:spacing w:val="38"/>
          <w:w w:val="105"/>
        </w:rPr>
        <w:t> </w:t>
      </w:r>
      <w:r>
        <w:rPr>
          <w:color w:val="383638"/>
          <w:w w:val="105"/>
        </w:rPr>
        <w:t>appear</w:t>
      </w:r>
      <w:r>
        <w:rPr>
          <w:color w:val="383638"/>
          <w:spacing w:val="12"/>
          <w:w w:val="105"/>
        </w:rPr>
        <w:t> </w:t>
      </w:r>
      <w:r>
        <w:rPr>
          <w:color w:val="383638"/>
          <w:w w:val="105"/>
        </w:rPr>
        <w:t>at</w:t>
      </w:r>
      <w:r>
        <w:rPr>
          <w:color w:val="383638"/>
          <w:spacing w:val="52"/>
          <w:w w:val="105"/>
        </w:rPr>
        <w:t> </w:t>
      </w:r>
      <w:r>
        <w:rPr>
          <w:color w:val="383638"/>
          <w:w w:val="105"/>
        </w:rPr>
        <w:t>least</w:t>
      </w:r>
      <w:r>
        <w:rPr>
          <w:color w:val="383638"/>
          <w:spacing w:val="17"/>
          <w:w w:val="105"/>
        </w:rPr>
        <w:t> </w:t>
      </w:r>
      <w:r>
        <w:rPr>
          <w:color w:val="383638"/>
          <w:w w:val="105"/>
        </w:rPr>
        <w:t>once</w:t>
      </w:r>
      <w:r>
        <w:rPr>
          <w:color w:val="383638"/>
          <w:spacing w:val="14"/>
          <w:w w:val="105"/>
        </w:rPr>
        <w:t> </w:t>
      </w:r>
      <w:r>
        <w:rPr>
          <w:color w:val="383638"/>
          <w:w w:val="105"/>
        </w:rPr>
        <w:t>within</w:t>
      </w:r>
      <w:r>
        <w:rPr>
          <w:color w:val="383638"/>
          <w:spacing w:val="21"/>
          <w:w w:val="105"/>
        </w:rPr>
        <w:t> </w:t>
      </w:r>
      <w:r>
        <w:rPr>
          <w:color w:val="383638"/>
          <w:w w:val="105"/>
        </w:rPr>
        <w:t>each</w:t>
      </w:r>
      <w:r>
        <w:rPr>
          <w:color w:val="383638"/>
          <w:spacing w:val="28"/>
          <w:w w:val="105"/>
        </w:rPr>
        <w:t> </w:t>
      </w:r>
      <w:r>
        <w:rPr>
          <w:color w:val="383638"/>
          <w:w w:val="105"/>
        </w:rPr>
        <w:t>CREXAC-related</w:t>
      </w:r>
      <w:r>
        <w:rPr>
          <w:color w:val="383638"/>
          <w:spacing w:val="16"/>
          <w:w w:val="105"/>
        </w:rPr>
        <w:t> </w:t>
      </w:r>
      <w:r>
        <w:rPr>
          <w:color w:val="383638"/>
          <w:w w:val="105"/>
        </w:rPr>
        <w:t>element</w:t>
      </w:r>
    </w:p>
    <w:p>
      <w:pPr>
        <w:spacing w:after="0" w:line="232" w:lineRule="auto"/>
        <w:jc w:val="both"/>
        <w:sectPr>
          <w:headerReference w:type="even" r:id="rId181"/>
          <w:headerReference w:type="default" r:id="rId182"/>
          <w:pgSz w:w="9330" w:h="13800"/>
          <w:pgMar w:header="453" w:footer="0" w:top="940" w:bottom="0" w:left="1280" w:right="0"/>
          <w:pgNumType w:start="158"/>
        </w:sectPr>
      </w:pPr>
    </w:p>
    <w:p>
      <w:pPr>
        <w:pStyle w:val="BodyText"/>
        <w:spacing w:line="232" w:lineRule="auto" w:before="87"/>
        <w:ind w:left="110" w:right="176" w:firstLine="9"/>
        <w:jc w:val="both"/>
      </w:pPr>
      <w:r>
        <w:rPr>
          <w:color w:val="383636"/>
          <w:w w:val="110"/>
        </w:rPr>
        <w:t>that you mark: the focus, the explanation of that focus, the application of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that focus to the facts of your client's case, and the connection-conclusion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for that unit of discourse. </w:t>
      </w:r>
      <w:r>
        <w:rPr>
          <w:rFonts w:ascii="Arial" w:hAnsi="Arial"/>
          <w:color w:val="383636"/>
          <w:w w:val="110"/>
          <w:sz w:val="21"/>
        </w:rPr>
        <w:t>If,</w:t>
      </w:r>
      <w:r>
        <w:rPr>
          <w:rFonts w:ascii="Arial" w:hAnsi="Arial"/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</w:rPr>
        <w:t>after identifying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phrase-that-pays, you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have a hard time finding it within the unit of discourse, you should ask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yourself why. Perhaps you misidentified the phrase-that-pays. In the alter­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native, you may have mistakenly used synonyms instead of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phrase­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that-pays,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which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can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easily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be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corrected. Occasionally,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"disappearing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phrase-that-pays syndrome" is a symptom of an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organizational problem: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You may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have switched your focus to another point without taking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reader along. In that situation, the self-grading process may be telling you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that you need to divide one section into two or more. Whatever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rea­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son for problems finding the phrase-that-pays, you may consider revising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to correct this problem, and you should note private memo questions for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your</w:t>
      </w:r>
      <w:r>
        <w:rPr>
          <w:color w:val="383636"/>
          <w:spacing w:val="-8"/>
          <w:w w:val="110"/>
        </w:rPr>
        <w:t> </w:t>
      </w:r>
      <w:r>
        <w:rPr>
          <w:color w:val="383636"/>
          <w:w w:val="110"/>
        </w:rPr>
        <w:t>teacher.</w:t>
      </w:r>
    </w:p>
    <w:p>
      <w:pPr>
        <w:pStyle w:val="BodyText"/>
        <w:spacing w:before="8"/>
        <w:rPr>
          <w:sz w:val="36"/>
        </w:rPr>
      </w:pPr>
    </w:p>
    <w:p>
      <w:pPr>
        <w:spacing w:before="0"/>
        <w:ind w:left="455" w:right="0" w:firstLine="0"/>
        <w:jc w:val="left"/>
        <w:rPr>
          <w:rFonts w:ascii="Courier New"/>
          <w:b/>
          <w:sz w:val="31"/>
        </w:rPr>
      </w:pPr>
      <w:r>
        <w:rPr>
          <w:rFonts w:ascii="Courier New"/>
          <w:b/>
          <w:color w:val="383636"/>
          <w:w w:val="80"/>
          <w:sz w:val="31"/>
        </w:rPr>
        <w:t>7.2.3</w:t>
      </w:r>
    </w:p>
    <w:p>
      <w:pPr>
        <w:spacing w:before="9"/>
        <w:ind w:left="464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color w:val="383636"/>
          <w:w w:val="105"/>
          <w:sz w:val="21"/>
        </w:rPr>
        <w:t>IDENT</w:t>
      </w:r>
      <w:r>
        <w:rPr>
          <w:rFonts w:ascii="Arial"/>
          <w:b/>
          <w:color w:val="565659"/>
          <w:w w:val="105"/>
          <w:sz w:val="21"/>
        </w:rPr>
        <w:t>I</w:t>
      </w:r>
      <w:r>
        <w:rPr>
          <w:rFonts w:ascii="Arial"/>
          <w:b/>
          <w:color w:val="383636"/>
          <w:w w:val="105"/>
          <w:sz w:val="21"/>
        </w:rPr>
        <w:t>FY</w:t>
      </w:r>
      <w:r>
        <w:rPr>
          <w:rFonts w:ascii="Arial"/>
          <w:b/>
          <w:color w:val="383636"/>
          <w:spacing w:val="24"/>
          <w:w w:val="105"/>
          <w:sz w:val="21"/>
        </w:rPr>
        <w:t> </w:t>
      </w:r>
      <w:r>
        <w:rPr>
          <w:rFonts w:ascii="Arial"/>
          <w:color w:val="383636"/>
          <w:w w:val="105"/>
          <w:sz w:val="22"/>
        </w:rPr>
        <w:t>CI</w:t>
      </w:r>
      <w:r>
        <w:rPr>
          <w:rFonts w:ascii="Arial"/>
          <w:color w:val="565659"/>
          <w:w w:val="105"/>
          <w:sz w:val="22"/>
        </w:rPr>
        <w:t>T</w:t>
      </w:r>
      <w:r>
        <w:rPr>
          <w:rFonts w:ascii="Arial"/>
          <w:color w:val="383636"/>
          <w:w w:val="105"/>
          <w:sz w:val="22"/>
        </w:rPr>
        <w:t>ED</w:t>
      </w:r>
      <w:r>
        <w:rPr>
          <w:rFonts w:ascii="Arial"/>
          <w:color w:val="383636"/>
          <w:spacing w:val="24"/>
          <w:w w:val="105"/>
          <w:sz w:val="22"/>
        </w:rPr>
        <w:t> </w:t>
      </w:r>
      <w:r>
        <w:rPr>
          <w:rFonts w:ascii="Arial"/>
          <w:b/>
          <w:color w:val="383636"/>
          <w:w w:val="105"/>
          <w:sz w:val="21"/>
        </w:rPr>
        <w:t>AUTHORITIES</w:t>
      </w:r>
    </w:p>
    <w:p>
      <w:pPr>
        <w:spacing w:line="232" w:lineRule="auto" w:before="149"/>
        <w:ind w:left="451" w:right="530" w:firstLine="3"/>
        <w:jc w:val="both"/>
        <w:rPr>
          <w:b/>
          <w:sz w:val="21"/>
        </w:rPr>
      </w:pPr>
      <w:r>
        <w:rPr>
          <w:b/>
          <w:color w:val="383636"/>
          <w:w w:val="115"/>
          <w:sz w:val="21"/>
        </w:rPr>
        <w:t>Highlight each citation (or reference to authority, even if not in a</w:t>
      </w:r>
      <w:r>
        <w:rPr>
          <w:b/>
          <w:color w:val="383636"/>
          <w:spacing w:val="1"/>
          <w:w w:val="115"/>
          <w:sz w:val="21"/>
        </w:rPr>
        <w:t> </w:t>
      </w:r>
      <w:r>
        <w:rPr>
          <w:b/>
          <w:color w:val="383636"/>
          <w:w w:val="110"/>
          <w:sz w:val="21"/>
        </w:rPr>
        <w:t>formal citation) in GREEN. Do </w:t>
      </w:r>
      <w:r>
        <w:rPr>
          <w:b/>
          <w:i/>
          <w:color w:val="383636"/>
          <w:w w:val="110"/>
          <w:sz w:val="22"/>
        </w:rPr>
        <w:t>not </w:t>
      </w:r>
      <w:r>
        <w:rPr>
          <w:b/>
          <w:color w:val="383636"/>
          <w:w w:val="110"/>
          <w:sz w:val="21"/>
        </w:rPr>
        <w:t>highlight citations to client facts,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5"/>
          <w:sz w:val="21"/>
        </w:rPr>
        <w:t>even if those facts appeared in the decisions below and thus have</w:t>
      </w:r>
      <w:r>
        <w:rPr>
          <w:b/>
          <w:color w:val="383636"/>
          <w:spacing w:val="1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formal</w:t>
      </w:r>
      <w:r>
        <w:rPr>
          <w:b/>
          <w:color w:val="383636"/>
          <w:spacing w:val="-14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citations.</w:t>
      </w:r>
    </w:p>
    <w:p>
      <w:pPr>
        <w:pStyle w:val="BodyText"/>
        <w:spacing w:line="235" w:lineRule="auto" w:before="139"/>
        <w:ind w:left="113" w:right="139" w:firstLine="334"/>
        <w:jc w:val="both"/>
      </w:pPr>
      <w:r>
        <w:rPr>
          <w:color w:val="383636"/>
          <w:w w:val="110"/>
        </w:rPr>
        <w:t>After you have identified the phrases-that-pay, a useful task is to high­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light all citations to authorities that you have used to support your argu­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ments. Be sure to highlight all kinds of citations: long-form, short-form,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and </w:t>
      </w:r>
      <w:r>
        <w:rPr>
          <w:rFonts w:ascii="Arial" w:hAnsi="Arial"/>
          <w:i/>
          <w:color w:val="383636"/>
          <w:w w:val="110"/>
          <w:sz w:val="21"/>
        </w:rPr>
        <w:t>id</w:t>
      </w:r>
      <w:r>
        <w:rPr>
          <w:rFonts w:ascii="Arial" w:hAnsi="Arial"/>
          <w:i/>
          <w:color w:val="565659"/>
          <w:w w:val="110"/>
          <w:sz w:val="21"/>
        </w:rPr>
        <w:t>. </w:t>
      </w:r>
      <w:r>
        <w:rPr>
          <w:color w:val="383636"/>
          <w:w w:val="110"/>
        </w:rPr>
        <w:t>citations. This task helps you to analyze the completeness of your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document. You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will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review your authorities for quantity (do you have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enough support for each point?) and for validity (do you cite at least one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mandatory authority in each section? Does each non-mandatory authority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have a reason for being included?). You should also review your analysis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of each authority (have you provided the reader with enough information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about</w:t>
      </w:r>
      <w:r>
        <w:rPr>
          <w:color w:val="383636"/>
          <w:spacing w:val="-15"/>
          <w:w w:val="110"/>
        </w:rPr>
        <w:t> </w:t>
      </w:r>
      <w:r>
        <w:rPr>
          <w:color w:val="383636"/>
          <w:w w:val="110"/>
        </w:rPr>
        <w:t>each</w:t>
      </w:r>
      <w:r>
        <w:rPr>
          <w:color w:val="383636"/>
          <w:spacing w:val="2"/>
          <w:w w:val="110"/>
        </w:rPr>
        <w:t> </w:t>
      </w:r>
      <w:r>
        <w:rPr>
          <w:color w:val="383636"/>
          <w:w w:val="110"/>
        </w:rPr>
        <w:t>case?).</w:t>
      </w:r>
    </w:p>
    <w:p>
      <w:pPr>
        <w:pStyle w:val="BodyText"/>
        <w:spacing w:before="2"/>
        <w:rPr>
          <w:sz w:val="34"/>
        </w:rPr>
      </w:pPr>
    </w:p>
    <w:p>
      <w:pPr>
        <w:spacing w:before="0"/>
        <w:ind w:left="465" w:right="0" w:firstLine="0"/>
        <w:jc w:val="left"/>
        <w:rPr>
          <w:rFonts w:ascii="Courier New"/>
          <w:b/>
          <w:sz w:val="31"/>
        </w:rPr>
      </w:pPr>
      <w:r>
        <w:rPr>
          <w:rFonts w:ascii="Courier New"/>
          <w:b/>
          <w:color w:val="383636"/>
          <w:w w:val="80"/>
          <w:sz w:val="31"/>
        </w:rPr>
        <w:t>7.2.4</w:t>
      </w:r>
    </w:p>
    <w:p>
      <w:pPr>
        <w:spacing w:before="9"/>
        <w:ind w:left="474" w:right="0" w:firstLine="0"/>
        <w:jc w:val="both"/>
        <w:rPr>
          <w:rFonts w:ascii="Arial"/>
          <w:b/>
          <w:sz w:val="21"/>
        </w:rPr>
      </w:pPr>
      <w:r>
        <w:rPr>
          <w:rFonts w:ascii="Arial"/>
          <w:b/>
          <w:color w:val="383636"/>
          <w:w w:val="105"/>
          <w:sz w:val="21"/>
        </w:rPr>
        <w:t>IDENTIFY</w:t>
      </w:r>
      <w:r>
        <w:rPr>
          <w:rFonts w:ascii="Arial"/>
          <w:b/>
          <w:color w:val="383636"/>
          <w:spacing w:val="25"/>
          <w:w w:val="105"/>
          <w:sz w:val="21"/>
        </w:rPr>
        <w:t> </w:t>
      </w:r>
      <w:r>
        <w:rPr>
          <w:rFonts w:ascii="Arial"/>
          <w:b/>
          <w:color w:val="383636"/>
          <w:w w:val="105"/>
          <w:sz w:val="21"/>
        </w:rPr>
        <w:t>THE</w:t>
      </w:r>
      <w:r>
        <w:rPr>
          <w:rFonts w:ascii="Arial"/>
          <w:b/>
          <w:color w:val="383636"/>
          <w:spacing w:val="43"/>
          <w:w w:val="105"/>
          <w:sz w:val="21"/>
        </w:rPr>
        <w:t> </w:t>
      </w:r>
      <w:r>
        <w:rPr>
          <w:rFonts w:ascii="Arial"/>
          <w:b/>
          <w:color w:val="383636"/>
          <w:w w:val="105"/>
          <w:sz w:val="21"/>
        </w:rPr>
        <w:t>EXPLANATION</w:t>
      </w:r>
      <w:r>
        <w:rPr>
          <w:rFonts w:ascii="Arial"/>
          <w:b/>
          <w:color w:val="383636"/>
          <w:spacing w:val="37"/>
          <w:w w:val="105"/>
          <w:sz w:val="21"/>
        </w:rPr>
        <w:t> </w:t>
      </w:r>
      <w:r>
        <w:rPr>
          <w:rFonts w:ascii="Arial"/>
          <w:b/>
          <w:color w:val="383636"/>
          <w:w w:val="105"/>
          <w:sz w:val="21"/>
        </w:rPr>
        <w:t>OF</w:t>
      </w:r>
      <w:r>
        <w:rPr>
          <w:rFonts w:ascii="Arial"/>
          <w:b/>
          <w:color w:val="383636"/>
          <w:spacing w:val="19"/>
          <w:w w:val="105"/>
          <w:sz w:val="21"/>
        </w:rPr>
        <w:t> </w:t>
      </w:r>
      <w:r>
        <w:rPr>
          <w:rFonts w:ascii="Arial"/>
          <w:b/>
          <w:color w:val="383636"/>
          <w:w w:val="105"/>
          <w:sz w:val="21"/>
        </w:rPr>
        <w:t>EACH</w:t>
      </w:r>
      <w:r>
        <w:rPr>
          <w:rFonts w:ascii="Arial"/>
          <w:b/>
          <w:color w:val="383636"/>
          <w:spacing w:val="29"/>
          <w:w w:val="105"/>
          <w:sz w:val="21"/>
        </w:rPr>
        <w:t> </w:t>
      </w:r>
      <w:r>
        <w:rPr>
          <w:rFonts w:ascii="Arial"/>
          <w:b/>
          <w:color w:val="383636"/>
          <w:w w:val="105"/>
          <w:sz w:val="21"/>
        </w:rPr>
        <w:t>FOCUS</w:t>
      </w:r>
    </w:p>
    <w:p>
      <w:pPr>
        <w:pStyle w:val="BodyText"/>
        <w:spacing w:before="9"/>
        <w:rPr>
          <w:rFonts w:ascii="Arial"/>
          <w:b/>
        </w:rPr>
      </w:pPr>
    </w:p>
    <w:p>
      <w:pPr>
        <w:spacing w:line="235" w:lineRule="auto" w:before="0"/>
        <w:ind w:left="462" w:right="467" w:hanging="6"/>
        <w:jc w:val="both"/>
        <w:rPr>
          <w:sz w:val="21"/>
        </w:rPr>
      </w:pPr>
      <w:r>
        <w:rPr>
          <w:b/>
          <w:color w:val="383636"/>
          <w:w w:val="110"/>
          <w:sz w:val="21"/>
        </w:rPr>
        <w:t>Write the  word "Explanation" in the margin next to the paragraphs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color w:val="383636"/>
          <w:w w:val="120"/>
          <w:sz w:val="21"/>
        </w:rPr>
        <w:t>in which you </w:t>
      </w:r>
      <w:r>
        <w:rPr>
          <w:rFonts w:ascii="Arial" w:hAnsi="Arial"/>
          <w:i/>
          <w:color w:val="383636"/>
          <w:w w:val="120"/>
          <w:sz w:val="19"/>
        </w:rPr>
        <w:t>explained </w:t>
      </w:r>
      <w:r>
        <w:rPr>
          <w:color w:val="383636"/>
          <w:w w:val="120"/>
          <w:sz w:val="21"/>
        </w:rPr>
        <w:t>the focus. Generally, you will be marking</w:t>
      </w:r>
      <w:r>
        <w:rPr>
          <w:color w:val="383636"/>
          <w:spacing w:val="1"/>
          <w:w w:val="120"/>
          <w:sz w:val="21"/>
        </w:rPr>
        <w:t> </w:t>
      </w:r>
      <w:r>
        <w:rPr>
          <w:color w:val="383636"/>
          <w:w w:val="120"/>
          <w:sz w:val="21"/>
        </w:rPr>
        <w:t>paragraphs that contain only pink and green highlights</w:t>
      </w:r>
      <w:r>
        <w:rPr>
          <w:color w:val="565659"/>
          <w:w w:val="120"/>
          <w:sz w:val="21"/>
        </w:rPr>
        <w:t>, </w:t>
      </w:r>
      <w:r>
        <w:rPr>
          <w:color w:val="383636"/>
          <w:w w:val="120"/>
          <w:sz w:val="21"/>
        </w:rPr>
        <w:t>because in</w:t>
      </w:r>
      <w:r>
        <w:rPr>
          <w:color w:val="383636"/>
          <w:spacing w:val="1"/>
          <w:w w:val="120"/>
          <w:sz w:val="21"/>
        </w:rPr>
        <w:t> </w:t>
      </w:r>
      <w:r>
        <w:rPr>
          <w:color w:val="383636"/>
          <w:w w:val="120"/>
          <w:sz w:val="21"/>
        </w:rPr>
        <w:t>those paragraphs you </w:t>
      </w:r>
      <w:r>
        <w:rPr>
          <w:color w:val="383636"/>
          <w:w w:val="120"/>
          <w:sz w:val="19"/>
        </w:rPr>
        <w:t>will </w:t>
      </w:r>
      <w:r>
        <w:rPr>
          <w:color w:val="383636"/>
          <w:w w:val="120"/>
          <w:sz w:val="21"/>
        </w:rPr>
        <w:t>be explaining the meaning of the phrase­</w:t>
      </w:r>
      <w:r>
        <w:rPr>
          <w:color w:val="383636"/>
          <w:spacing w:val="1"/>
          <w:w w:val="120"/>
          <w:sz w:val="21"/>
        </w:rPr>
        <w:t> </w:t>
      </w:r>
      <w:r>
        <w:rPr>
          <w:color w:val="383636"/>
          <w:w w:val="120"/>
          <w:sz w:val="21"/>
        </w:rPr>
        <w:t>that-pays according to various authorities. Next, write </w:t>
      </w:r>
      <w:r>
        <w:rPr>
          <w:color w:val="383636"/>
          <w:w w:val="120"/>
          <w:sz w:val="20"/>
        </w:rPr>
        <w:t>"RS" </w:t>
      </w:r>
      <w:r>
        <w:rPr>
          <w:color w:val="383636"/>
          <w:w w:val="120"/>
          <w:sz w:val="21"/>
        </w:rPr>
        <w:t>next to</w:t>
      </w:r>
      <w:r>
        <w:rPr>
          <w:color w:val="383636"/>
          <w:spacing w:val="1"/>
          <w:w w:val="120"/>
          <w:sz w:val="21"/>
        </w:rPr>
        <w:t> </w:t>
      </w:r>
      <w:r>
        <w:rPr>
          <w:color w:val="383636"/>
          <w:w w:val="115"/>
          <w:sz w:val="21"/>
        </w:rPr>
        <w:t>the sentence(s) at the end of the rule explanation in which you </w:t>
      </w:r>
      <w:r>
        <w:rPr>
          <w:color w:val="383636"/>
          <w:w w:val="115"/>
          <w:sz w:val="22"/>
        </w:rPr>
        <w:t>sum­</w:t>
      </w:r>
      <w:r>
        <w:rPr>
          <w:color w:val="383636"/>
          <w:spacing w:val="1"/>
          <w:w w:val="115"/>
          <w:sz w:val="22"/>
        </w:rPr>
        <w:t> </w:t>
      </w:r>
      <w:r>
        <w:rPr>
          <w:color w:val="383636"/>
          <w:w w:val="120"/>
          <w:sz w:val="21"/>
        </w:rPr>
        <w:t>marize</w:t>
      </w:r>
      <w:r>
        <w:rPr>
          <w:color w:val="383636"/>
          <w:spacing w:val="-7"/>
          <w:w w:val="120"/>
          <w:sz w:val="21"/>
        </w:rPr>
        <w:t> </w:t>
      </w:r>
      <w:r>
        <w:rPr>
          <w:color w:val="383636"/>
          <w:w w:val="120"/>
          <w:sz w:val="21"/>
        </w:rPr>
        <w:t>the</w:t>
      </w:r>
      <w:r>
        <w:rPr>
          <w:color w:val="383636"/>
          <w:spacing w:val="27"/>
          <w:w w:val="120"/>
          <w:sz w:val="21"/>
        </w:rPr>
        <w:t> </w:t>
      </w:r>
      <w:r>
        <w:rPr>
          <w:color w:val="383636"/>
          <w:w w:val="120"/>
          <w:sz w:val="21"/>
        </w:rPr>
        <w:t>rule.</w:t>
      </w:r>
    </w:p>
    <w:p>
      <w:pPr>
        <w:spacing w:after="0" w:line="235" w:lineRule="auto"/>
        <w:jc w:val="both"/>
        <w:rPr>
          <w:sz w:val="21"/>
        </w:rPr>
        <w:sectPr>
          <w:pgSz w:w="9540" w:h="13760"/>
          <w:pgMar w:header="367" w:footer="0" w:top="1040" w:bottom="280" w:left="360" w:right="1320"/>
        </w:sectPr>
      </w:pPr>
    </w:p>
    <w:p>
      <w:pPr>
        <w:pStyle w:val="BodyText"/>
        <w:spacing w:line="235" w:lineRule="auto" w:before="85"/>
        <w:ind w:left="754" w:right="-15" w:firstLine="447"/>
        <w:jc w:val="both"/>
      </w:pPr>
      <w:r>
        <w:rPr>
          <w:color w:val="3A3838"/>
          <w:w w:val="105"/>
        </w:rPr>
        <w:t>Looking for green citations and pink phrases-that-pay should help you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to find the explanation within each unit of discourse. Of course, do not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presume that every "green and pink paragraph" is an explanation para­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graph: You may have green highlights in application paragraphs if you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analogized or distinguished authority cases</w:t>
      </w:r>
      <w:r>
        <w:rPr>
          <w:color w:val="545456"/>
          <w:w w:val="105"/>
        </w:rPr>
        <w:t>, </w:t>
      </w:r>
      <w:r>
        <w:rPr>
          <w:color w:val="3A3838"/>
          <w:w w:val="105"/>
        </w:rPr>
        <w:t>or, for a statutory interpreta­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tion issue, if statutory language is a "fact." Usually, however, looking for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pink and green highlights is a good place to start looking for your expla­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nation of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phrase-that-pays; your explanation probably consists of dis­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cussions of definitions of the phrase-that-pays, or descriptions of cases in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which the phrase-that-pays has been applied in the past in relevant cases</w:t>
      </w:r>
      <w:r>
        <w:rPr>
          <w:color w:val="545456"/>
          <w:w w:val="105"/>
        </w:rPr>
        <w:t>.</w:t>
      </w:r>
      <w:r>
        <w:rPr>
          <w:color w:val="545456"/>
          <w:spacing w:val="1"/>
          <w:w w:val="105"/>
        </w:rPr>
        <w:t> </w:t>
      </w:r>
      <w:r>
        <w:rPr>
          <w:color w:val="3A3838"/>
          <w:w w:val="105"/>
        </w:rPr>
        <w:t>The task of labeling the explanation is another step in evaluating the com­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pleteness</w:t>
      </w:r>
      <w:r>
        <w:rPr>
          <w:color w:val="3A3838"/>
          <w:spacing w:val="-13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your</w:t>
      </w:r>
      <w:r>
        <w:rPr>
          <w:color w:val="3A3838"/>
          <w:spacing w:val="-13"/>
          <w:w w:val="110"/>
        </w:rPr>
        <w:t> </w:t>
      </w:r>
      <w:r>
        <w:rPr>
          <w:color w:val="3A3838"/>
          <w:w w:val="110"/>
        </w:rPr>
        <w:t>analysis.</w:t>
      </w:r>
    </w:p>
    <w:p>
      <w:pPr>
        <w:pStyle w:val="BodyText"/>
        <w:spacing w:line="239" w:lineRule="exact"/>
        <w:ind w:left="1079"/>
        <w:jc w:val="both"/>
      </w:pPr>
      <w:r>
        <w:rPr>
          <w:color w:val="3A3838"/>
          <w:w w:val="105"/>
        </w:rPr>
        <w:t>As</w:t>
      </w:r>
      <w:r>
        <w:rPr>
          <w:color w:val="3A3838"/>
          <w:spacing w:val="2"/>
          <w:w w:val="105"/>
        </w:rPr>
        <w:t> </w:t>
      </w:r>
      <w:r>
        <w:rPr>
          <w:color w:val="3A3838"/>
          <w:w w:val="105"/>
        </w:rPr>
        <w:t>noted</w:t>
      </w:r>
      <w:r>
        <w:rPr>
          <w:color w:val="3A3838"/>
          <w:spacing w:val="13"/>
          <w:w w:val="105"/>
        </w:rPr>
        <w:t> </w:t>
      </w:r>
      <w:r>
        <w:rPr>
          <w:color w:val="3A3838"/>
          <w:w w:val="105"/>
        </w:rPr>
        <w:t>in</w:t>
      </w:r>
      <w:r>
        <w:rPr>
          <w:color w:val="3A3838"/>
          <w:spacing w:val="36"/>
          <w:w w:val="105"/>
        </w:rPr>
        <w:t> </w:t>
      </w:r>
      <w:r>
        <w:rPr>
          <w:color w:val="3A3838"/>
          <w:w w:val="105"/>
        </w:rPr>
        <w:t>Chapter</w:t>
      </w:r>
      <w:r>
        <w:rPr>
          <w:color w:val="3A3838"/>
          <w:spacing w:val="13"/>
          <w:w w:val="105"/>
        </w:rPr>
        <w:t> </w:t>
      </w:r>
      <w:r>
        <w:rPr>
          <w:color w:val="3A3838"/>
          <w:w w:val="105"/>
        </w:rPr>
        <w:t>Five,</w:t>
      </w:r>
      <w:r>
        <w:rPr>
          <w:color w:val="3A3838"/>
          <w:spacing w:val="9"/>
          <w:w w:val="105"/>
        </w:rPr>
        <w:t> </w:t>
      </w:r>
      <w:r>
        <w:rPr>
          <w:color w:val="3A3838"/>
          <w:w w:val="105"/>
        </w:rPr>
        <w:t>a</w:t>
      </w:r>
      <w:r>
        <w:rPr>
          <w:color w:val="3A3838"/>
          <w:spacing w:val="27"/>
          <w:w w:val="105"/>
        </w:rPr>
        <w:t> </w:t>
      </w:r>
      <w:r>
        <w:rPr>
          <w:color w:val="3A3838"/>
          <w:w w:val="105"/>
        </w:rPr>
        <w:t>"rule</w:t>
      </w:r>
      <w:r>
        <w:rPr>
          <w:color w:val="3A3838"/>
          <w:spacing w:val="-17"/>
          <w:w w:val="105"/>
        </w:rPr>
        <w:t> </w:t>
      </w:r>
      <w:r>
        <w:rPr>
          <w:color w:val="3A3838"/>
          <w:w w:val="105"/>
        </w:rPr>
        <w:t>summary"</w:t>
      </w:r>
      <w:r>
        <w:rPr>
          <w:color w:val="3A3838"/>
          <w:spacing w:val="15"/>
          <w:w w:val="105"/>
        </w:rPr>
        <w:t> </w:t>
      </w:r>
      <w:r>
        <w:rPr>
          <w:color w:val="3A3838"/>
          <w:w w:val="105"/>
        </w:rPr>
        <w:t>is almost</w:t>
      </w:r>
      <w:r>
        <w:rPr>
          <w:color w:val="3A3838"/>
          <w:spacing w:val="11"/>
          <w:w w:val="105"/>
        </w:rPr>
        <w:t> </w:t>
      </w:r>
      <w:r>
        <w:rPr>
          <w:color w:val="3A3838"/>
          <w:w w:val="105"/>
        </w:rPr>
        <w:t>always</w:t>
      </w:r>
      <w:r>
        <w:rPr>
          <w:color w:val="3A3838"/>
          <w:spacing w:val="10"/>
          <w:w w:val="105"/>
        </w:rPr>
        <w:t> </w:t>
      </w:r>
      <w:r>
        <w:rPr>
          <w:color w:val="3A3838"/>
          <w:w w:val="105"/>
        </w:rPr>
        <w:t>a</w:t>
      </w:r>
      <w:r>
        <w:rPr>
          <w:color w:val="3A3838"/>
          <w:spacing w:val="22"/>
          <w:w w:val="105"/>
        </w:rPr>
        <w:t> </w:t>
      </w:r>
      <w:r>
        <w:rPr>
          <w:color w:val="3A3838"/>
          <w:w w:val="105"/>
        </w:rPr>
        <w:t>strong</w:t>
      </w:r>
    </w:p>
    <w:p>
      <w:pPr>
        <w:pStyle w:val="BodyText"/>
        <w:spacing w:line="235" w:lineRule="auto" w:before="2"/>
        <w:ind w:left="676" w:right="35" w:firstLine="65"/>
        <w:jc w:val="both"/>
      </w:pPr>
      <w:r>
        <w:rPr>
          <w:color w:val="3A3838"/>
          <w:w w:val="105"/>
        </w:rPr>
        <w:t>way to end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your rule explanation section. Obviously, you can look for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rule summary at the end of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rule explanation, but don't presume it is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there</w:t>
      </w:r>
      <w:r>
        <w:rPr>
          <w:color w:val="545456"/>
          <w:w w:val="110"/>
        </w:rPr>
        <w:t>. </w:t>
      </w:r>
      <w:r>
        <w:rPr>
          <w:color w:val="3A3838"/>
          <w:w w:val="110"/>
        </w:rPr>
        <w:t>Look to see whether you have a sentence or sentences in whicn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you summarize what the reader has learned about the rule from your rule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explanation. You might find the rule summary in sentences that begin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with phrases like, "Accordingly, a [petitioner/plaintiff] can [succeed </w:t>
      </w:r>
      <w:r>
        <w:rPr>
          <w:color w:val="3A3838"/>
          <w:w w:val="110"/>
          <w:sz w:val="21"/>
        </w:rPr>
        <w:t>in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05"/>
        </w:rPr>
        <w:t>having case reversed/avoiding dismissal</w:t>
      </w:r>
      <w:r>
        <w:rPr>
          <w:color w:val="545456"/>
          <w:w w:val="105"/>
        </w:rPr>
        <w:t>] </w:t>
      </w:r>
      <w:r>
        <w:rPr>
          <w:color w:val="3A3838"/>
          <w:w w:val="105"/>
        </w:rPr>
        <w:t>only when ...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" or "Therefore,</w:t>
      </w:r>
      <w:r>
        <w:rPr>
          <w:color w:val="3A3838"/>
          <w:spacing w:val="1"/>
          <w:w w:val="105"/>
        </w:rPr>
        <w:t> </w:t>
      </w:r>
      <w:r>
        <w:rPr>
          <w:color w:val="3A3838"/>
          <w:spacing w:val="-1"/>
          <w:w w:val="110"/>
        </w:rPr>
        <w:t>[phrase-that-pays</w:t>
      </w:r>
      <w:r>
        <w:rPr>
          <w:color w:val="3A3838"/>
          <w:spacing w:val="-37"/>
          <w:w w:val="110"/>
        </w:rPr>
        <w:t> </w:t>
      </w:r>
      <w:r>
        <w:rPr>
          <w:color w:val="3A3838"/>
          <w:w w:val="110"/>
        </w:rPr>
        <w:t>means</w:t>
      </w:r>
      <w:r>
        <w:rPr>
          <w:color w:val="3A3838"/>
          <w:spacing w:val="-22"/>
          <w:w w:val="110"/>
        </w:rPr>
        <w:t> </w:t>
      </w:r>
      <w:r>
        <w:rPr>
          <w:color w:val="3A3838"/>
          <w:w w:val="110"/>
        </w:rPr>
        <w:t>or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prohibits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...</w:t>
      </w:r>
      <w:r>
        <w:rPr>
          <w:color w:val="3A3838"/>
          <w:spacing w:val="38"/>
          <w:w w:val="110"/>
        </w:rPr>
        <w:t> </w:t>
      </w:r>
      <w:r>
        <w:rPr>
          <w:color w:val="3A3838"/>
          <w:w w:val="110"/>
        </w:rPr>
        <w:t>]."</w:t>
      </w:r>
    </w:p>
    <w:p>
      <w:pPr>
        <w:pStyle w:val="BodyText"/>
        <w:rPr>
          <w:sz w:val="27"/>
        </w:rPr>
      </w:pPr>
    </w:p>
    <w:p>
      <w:pPr>
        <w:spacing w:before="88"/>
        <w:ind w:left="1002" w:right="0" w:firstLine="0"/>
        <w:jc w:val="left"/>
        <w:rPr>
          <w:sz w:val="29"/>
        </w:rPr>
      </w:pPr>
      <w:r>
        <w:rPr>
          <w:color w:val="3A3838"/>
          <w:w w:val="105"/>
          <w:sz w:val="29"/>
        </w:rPr>
        <w:t>7</w:t>
      </w:r>
      <w:r>
        <w:rPr>
          <w:color w:val="545456"/>
          <w:w w:val="105"/>
          <w:sz w:val="29"/>
        </w:rPr>
        <w:t>.2.5</w:t>
      </w:r>
    </w:p>
    <w:p>
      <w:pPr>
        <w:spacing w:before="49"/>
        <w:ind w:left="993" w:right="0" w:firstLine="0"/>
        <w:jc w:val="left"/>
        <w:rPr>
          <w:rFonts w:ascii="Arial"/>
          <w:sz w:val="20"/>
        </w:rPr>
      </w:pPr>
      <w:r>
        <w:rPr>
          <w:rFonts w:ascii="Arial"/>
          <w:color w:val="545456"/>
          <w:w w:val="105"/>
          <w:sz w:val="21"/>
        </w:rPr>
        <w:t>IDENTIFY</w:t>
      </w:r>
      <w:r>
        <w:rPr>
          <w:rFonts w:ascii="Arial"/>
          <w:color w:val="545456"/>
          <w:spacing w:val="36"/>
          <w:w w:val="105"/>
          <w:sz w:val="21"/>
        </w:rPr>
        <w:t> </w:t>
      </w:r>
      <w:r>
        <w:rPr>
          <w:rFonts w:ascii="Arial"/>
          <w:color w:val="545456"/>
          <w:w w:val="105"/>
          <w:sz w:val="20"/>
        </w:rPr>
        <w:t>YOUR</w:t>
      </w:r>
      <w:r>
        <w:rPr>
          <w:rFonts w:ascii="Arial"/>
          <w:color w:val="545456"/>
          <w:spacing w:val="32"/>
          <w:w w:val="105"/>
          <w:sz w:val="20"/>
        </w:rPr>
        <w:t> </w:t>
      </w:r>
      <w:r>
        <w:rPr>
          <w:rFonts w:ascii="Arial"/>
          <w:color w:val="545456"/>
          <w:w w:val="105"/>
          <w:sz w:val="21"/>
        </w:rPr>
        <w:t>C</w:t>
      </w:r>
      <w:r>
        <w:rPr>
          <w:rFonts w:ascii="Arial"/>
          <w:color w:val="3A3838"/>
          <w:w w:val="105"/>
          <w:sz w:val="21"/>
        </w:rPr>
        <w:t>LI</w:t>
      </w:r>
      <w:r>
        <w:rPr>
          <w:rFonts w:ascii="Arial"/>
          <w:color w:val="545456"/>
          <w:w w:val="105"/>
          <w:sz w:val="21"/>
        </w:rPr>
        <w:t>ENT'S</w:t>
      </w:r>
      <w:r>
        <w:rPr>
          <w:rFonts w:ascii="Arial"/>
          <w:color w:val="545456"/>
          <w:spacing w:val="-3"/>
          <w:w w:val="105"/>
          <w:sz w:val="21"/>
        </w:rPr>
        <w:t> </w:t>
      </w:r>
      <w:r>
        <w:rPr>
          <w:rFonts w:ascii="Arial"/>
          <w:color w:val="6B6B6E"/>
          <w:w w:val="105"/>
          <w:sz w:val="20"/>
        </w:rPr>
        <w:t>FACTS</w:t>
      </w:r>
    </w:p>
    <w:p>
      <w:pPr>
        <w:pStyle w:val="BodyText"/>
        <w:spacing w:before="5"/>
        <w:rPr>
          <w:rFonts w:ascii="Arial"/>
        </w:rPr>
      </w:pPr>
    </w:p>
    <w:p>
      <w:pPr>
        <w:spacing w:line="240" w:lineRule="auto" w:before="0"/>
        <w:ind w:left="967" w:right="397" w:firstLine="24"/>
        <w:jc w:val="both"/>
        <w:rPr>
          <w:b/>
          <w:sz w:val="20"/>
        </w:rPr>
      </w:pPr>
      <w:r>
        <w:rPr>
          <w:b/>
          <w:color w:val="3A3838"/>
          <w:w w:val="110"/>
          <w:sz w:val="21"/>
        </w:rPr>
        <w:t>Within </w:t>
      </w:r>
      <w:r>
        <w:rPr>
          <w:color w:val="3A3838"/>
          <w:w w:val="110"/>
          <w:sz w:val="21"/>
        </w:rPr>
        <w:t>each CREXAC </w:t>
      </w:r>
      <w:r>
        <w:rPr>
          <w:b/>
          <w:color w:val="3A3838"/>
          <w:w w:val="110"/>
          <w:sz w:val="21"/>
        </w:rPr>
        <w:t>unit </w:t>
      </w:r>
      <w:r>
        <w:rPr>
          <w:color w:val="3A3838"/>
          <w:w w:val="110"/>
          <w:sz w:val="21"/>
        </w:rPr>
        <w:t>of discourse, </w:t>
      </w:r>
      <w:r>
        <w:rPr>
          <w:b/>
          <w:color w:val="3A3838"/>
          <w:w w:val="110"/>
          <w:sz w:val="21"/>
        </w:rPr>
        <w:t>highlight </w:t>
      </w:r>
      <w:r>
        <w:rPr>
          <w:color w:val="3A3838"/>
          <w:w w:val="110"/>
          <w:sz w:val="21"/>
        </w:rPr>
        <w:t>any references to</w:t>
      </w:r>
      <w:r>
        <w:rPr>
          <w:color w:val="3A3838"/>
          <w:spacing w:val="1"/>
          <w:w w:val="110"/>
          <w:sz w:val="21"/>
        </w:rPr>
        <w:t> </w:t>
      </w:r>
      <w:r>
        <w:rPr>
          <w:rFonts w:ascii="Arial"/>
          <w:color w:val="3A3838"/>
          <w:w w:val="110"/>
          <w:sz w:val="18"/>
        </w:rPr>
        <w:t>facts </w:t>
      </w:r>
      <w:r>
        <w:rPr>
          <w:color w:val="3A3838"/>
          <w:w w:val="110"/>
          <w:sz w:val="21"/>
        </w:rPr>
        <w:t>from your client in </w:t>
      </w:r>
      <w:r>
        <w:rPr>
          <w:color w:val="3A3838"/>
          <w:w w:val="110"/>
          <w:sz w:val="19"/>
        </w:rPr>
        <w:t>BLUE</w:t>
      </w:r>
      <w:r>
        <w:rPr>
          <w:color w:val="545456"/>
          <w:w w:val="110"/>
          <w:sz w:val="19"/>
        </w:rPr>
        <w:t>. </w:t>
      </w:r>
      <w:r>
        <w:rPr>
          <w:b/>
          <w:color w:val="3A3838"/>
          <w:w w:val="110"/>
          <w:sz w:val="21"/>
        </w:rPr>
        <w:t>(Remember, if the language </w:t>
      </w:r>
      <w:r>
        <w:rPr>
          <w:color w:val="3A3838"/>
          <w:w w:val="110"/>
          <w:sz w:val="21"/>
        </w:rPr>
        <w:t>of enacted</w:t>
      </w:r>
      <w:r>
        <w:rPr>
          <w:color w:val="3A3838"/>
          <w:spacing w:val="-55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law is at issue, that language may </w:t>
      </w:r>
      <w:r>
        <w:rPr>
          <w:color w:val="3A3838"/>
          <w:w w:val="110"/>
          <w:sz w:val="21"/>
        </w:rPr>
        <w:t>sometimes </w:t>
      </w:r>
      <w:r>
        <w:rPr>
          <w:b/>
          <w:color w:val="3A3838"/>
          <w:w w:val="110"/>
          <w:sz w:val="21"/>
        </w:rPr>
        <w:t>act as part of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your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0"/>
        </w:rPr>
        <w:t>"facts.")</w:t>
      </w:r>
    </w:p>
    <w:p>
      <w:pPr>
        <w:pStyle w:val="BodyText"/>
        <w:spacing w:line="230" w:lineRule="auto" w:before="153"/>
        <w:ind w:left="513" w:right="94" w:firstLine="434"/>
        <w:jc w:val="both"/>
      </w:pPr>
      <w:r>
        <w:rPr>
          <w:color w:val="3A3838"/>
          <w:w w:val="105"/>
        </w:rPr>
        <w:t>This task is usually relatively simple. By this stage of the writing pro­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cess, you are very familiar with the facts of your client's situation, and you</w:t>
      </w:r>
      <w:r>
        <w:rPr>
          <w:color w:val="3A3838"/>
          <w:spacing w:val="1"/>
          <w:w w:val="105"/>
        </w:rPr>
        <w:t> </w:t>
      </w:r>
      <w:r>
        <w:rPr>
          <w:color w:val="3A3838"/>
          <w:spacing w:val="-1"/>
          <w:w w:val="110"/>
        </w:rPr>
        <w:t>simply</w:t>
      </w:r>
      <w:r>
        <w:rPr>
          <w:color w:val="3A3838"/>
          <w:spacing w:val="-10"/>
          <w:w w:val="110"/>
        </w:rPr>
        <w:t> </w:t>
      </w:r>
      <w:r>
        <w:rPr>
          <w:color w:val="3A3838"/>
          <w:spacing w:val="-1"/>
          <w:w w:val="110"/>
        </w:rPr>
        <w:t>need</w:t>
      </w:r>
      <w:r>
        <w:rPr>
          <w:color w:val="3A3838"/>
          <w:w w:val="110"/>
        </w:rPr>
        <w:t> to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highlight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them</w:t>
      </w:r>
      <w:r>
        <w:rPr>
          <w:color w:val="3A3838"/>
          <w:spacing w:val="-16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blue</w:t>
      </w:r>
      <w:r>
        <w:rPr>
          <w:color w:val="3A3838"/>
          <w:spacing w:val="-26"/>
          <w:w w:val="110"/>
        </w:rPr>
        <w:t> </w:t>
      </w:r>
      <w:r>
        <w:rPr>
          <w:color w:val="3A3838"/>
          <w:w w:val="110"/>
        </w:rPr>
        <w:t>wherever</w:t>
      </w:r>
      <w:r>
        <w:rPr>
          <w:color w:val="3A3838"/>
          <w:spacing w:val="-2"/>
          <w:w w:val="110"/>
        </w:rPr>
        <w:t> </w:t>
      </w:r>
      <w:r>
        <w:rPr>
          <w:color w:val="3A3838"/>
          <w:w w:val="110"/>
        </w:rPr>
        <w:t>they</w:t>
      </w:r>
      <w:r>
        <w:rPr>
          <w:color w:val="3A3838"/>
          <w:spacing w:val="-29"/>
          <w:w w:val="110"/>
        </w:rPr>
        <w:t> </w:t>
      </w:r>
      <w:r>
        <w:rPr>
          <w:color w:val="3A3838"/>
          <w:w w:val="110"/>
        </w:rPr>
        <w:t>appear.</w:t>
      </w:r>
      <w:r>
        <w:rPr>
          <w:color w:val="3A3838"/>
          <w:spacing w:val="-20"/>
          <w:w w:val="110"/>
        </w:rPr>
        <w:t> </w:t>
      </w:r>
      <w:r>
        <w:rPr>
          <w:color w:val="3A3838"/>
          <w:w w:val="110"/>
        </w:rPr>
        <w:t>This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task</w:t>
      </w:r>
      <w:r>
        <w:rPr>
          <w:color w:val="3A3838"/>
          <w:spacing w:val="-33"/>
          <w:w w:val="110"/>
        </w:rPr>
        <w:t> </w:t>
      </w:r>
      <w:r>
        <w:rPr>
          <w:color w:val="3A3838"/>
          <w:w w:val="110"/>
        </w:rPr>
        <w:t>can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be complicated if your case involves the analysis of a statute or another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legislative provision. In that situation, part of your "facts" may be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language of the provision, for you may be applying a "rule" of statutory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interpretation to the "facts" of the provision</w:t>
      </w:r>
      <w:r>
        <w:rPr>
          <w:color w:val="545456"/>
          <w:w w:val="110"/>
        </w:rPr>
        <w:t>'</w:t>
      </w:r>
      <w:r>
        <w:rPr>
          <w:color w:val="3A3838"/>
          <w:w w:val="110"/>
        </w:rPr>
        <w:t>s language.</w:t>
      </w:r>
      <w:r>
        <w:rPr>
          <w:rFonts w:ascii="Arial" w:hAnsi="Arial"/>
          <w:color w:val="3A3838"/>
          <w:w w:val="110"/>
          <w:position w:val="9"/>
          <w:sz w:val="12"/>
        </w:rPr>
        <w:t>6</w:t>
      </w:r>
      <w:r>
        <w:rPr>
          <w:rFonts w:ascii="Arial" w:hAnsi="Arial"/>
          <w:color w:val="3A3838"/>
          <w:spacing w:val="1"/>
          <w:w w:val="110"/>
          <w:position w:val="9"/>
          <w:sz w:val="12"/>
        </w:rPr>
        <w:t> </w:t>
      </w:r>
      <w:r>
        <w:rPr>
          <w:color w:val="3A3838"/>
          <w:w w:val="110"/>
        </w:rPr>
        <w:t>One important</w:t>
      </w:r>
      <w:r>
        <w:rPr>
          <w:color w:val="3A3838"/>
          <w:spacing w:val="1"/>
          <w:w w:val="110"/>
        </w:rPr>
        <w:t> </w:t>
      </w:r>
      <w:r>
        <w:rPr>
          <w:i/>
          <w:color w:val="3A3838"/>
          <w:w w:val="110"/>
          <w:sz w:val="24"/>
        </w:rPr>
        <w:t>note: </w:t>
      </w:r>
      <w:r>
        <w:rPr>
          <w:color w:val="3A3838"/>
          <w:w w:val="110"/>
        </w:rPr>
        <w:t>Do </w:t>
      </w:r>
      <w:r>
        <w:rPr>
          <w:i/>
          <w:color w:val="3A3838"/>
          <w:w w:val="110"/>
          <w:sz w:val="24"/>
        </w:rPr>
        <w:t>not </w:t>
      </w:r>
      <w:r>
        <w:rPr>
          <w:color w:val="3A3838"/>
          <w:w w:val="110"/>
        </w:rPr>
        <w:t>highlight facts from authority cases that you happen to dis</w:t>
      </w:r>
      <w:r>
        <w:rPr>
          <w:color w:val="545456"/>
          <w:w w:val="110"/>
        </w:rPr>
        <w:t>­</w:t>
      </w:r>
      <w:r>
        <w:rPr>
          <w:color w:val="545456"/>
          <w:spacing w:val="1"/>
          <w:w w:val="110"/>
        </w:rPr>
        <w:t> </w:t>
      </w:r>
      <w:r>
        <w:rPr>
          <w:color w:val="3A3838"/>
          <w:w w:val="110"/>
        </w:rPr>
        <w:t>cuss.</w:t>
      </w:r>
      <w:r>
        <w:rPr>
          <w:color w:val="3A3838"/>
          <w:spacing w:val="-11"/>
          <w:w w:val="110"/>
        </w:rPr>
        <w:t> </w:t>
      </w:r>
      <w:r>
        <w:rPr>
          <w:color w:val="3A3838"/>
          <w:w w:val="110"/>
        </w:rPr>
        <w:t>Highlight only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facts</w:t>
      </w:r>
      <w:r>
        <w:rPr>
          <w:color w:val="3A3838"/>
          <w:spacing w:val="-27"/>
          <w:w w:val="110"/>
        </w:rPr>
        <w:t> </w:t>
      </w:r>
      <w:r>
        <w:rPr>
          <w:color w:val="3A3838"/>
          <w:w w:val="110"/>
        </w:rPr>
        <w:t>from</w:t>
      </w:r>
      <w:r>
        <w:rPr>
          <w:color w:val="3A3838"/>
          <w:spacing w:val="-9"/>
          <w:w w:val="110"/>
        </w:rPr>
        <w:t> </w:t>
      </w:r>
      <w:r>
        <w:rPr>
          <w:color w:val="3A3838"/>
          <w:w w:val="110"/>
        </w:rPr>
        <w:t>your</w:t>
      </w:r>
      <w:r>
        <w:rPr>
          <w:color w:val="3A3838"/>
          <w:spacing w:val="-2"/>
          <w:w w:val="110"/>
        </w:rPr>
        <w:t> </w:t>
      </w:r>
      <w:r>
        <w:rPr>
          <w:color w:val="3A3838"/>
          <w:w w:val="110"/>
        </w:rPr>
        <w:t>client's</w:t>
      </w:r>
      <w:r>
        <w:rPr>
          <w:color w:val="3A3838"/>
          <w:spacing w:val="-9"/>
          <w:w w:val="110"/>
        </w:rPr>
        <w:t> </w:t>
      </w:r>
      <w:r>
        <w:rPr>
          <w:color w:val="3A3838"/>
          <w:w w:val="110"/>
        </w:rPr>
        <w:t>case.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ListParagraph"/>
        <w:numPr>
          <w:ilvl w:val="0"/>
          <w:numId w:val="66"/>
        </w:numPr>
        <w:tabs>
          <w:tab w:pos="921" w:val="left" w:leader="none"/>
        </w:tabs>
        <w:spacing w:line="244" w:lineRule="auto" w:before="0" w:after="0"/>
        <w:ind w:left="443" w:right="131" w:firstLine="387"/>
        <w:jc w:val="both"/>
        <w:rPr>
          <w:sz w:val="18"/>
        </w:rPr>
      </w:pPr>
      <w:r>
        <w:rPr>
          <w:rFonts w:ascii="Arial" w:hAnsi="Arial"/>
          <w:i/>
          <w:color w:val="3A3838"/>
          <w:w w:val="105"/>
          <w:sz w:val="16"/>
        </w:rPr>
        <w:t>A</w:t>
      </w:r>
      <w:r>
        <w:rPr>
          <w:rFonts w:ascii="Arial" w:hAnsi="Arial"/>
          <w:i/>
          <w:color w:val="545456"/>
          <w:w w:val="105"/>
          <w:sz w:val="16"/>
        </w:rPr>
        <w:t>s </w:t>
      </w:r>
      <w:r>
        <w:rPr>
          <w:color w:val="3A3838"/>
          <w:w w:val="105"/>
          <w:sz w:val="18"/>
        </w:rPr>
        <w:t>with any of the self-gradlng ta</w:t>
      </w:r>
      <w:r>
        <w:rPr>
          <w:color w:val="545456"/>
          <w:w w:val="105"/>
          <w:sz w:val="18"/>
        </w:rPr>
        <w:t>s</w:t>
      </w:r>
      <w:r>
        <w:rPr>
          <w:color w:val="3A3838"/>
          <w:w w:val="105"/>
          <w:sz w:val="18"/>
        </w:rPr>
        <w:t>ks, </w:t>
      </w:r>
      <w:r>
        <w:rPr>
          <w:color w:val="3A3838"/>
          <w:w w:val="105"/>
          <w:sz w:val="17"/>
        </w:rPr>
        <w:t>If </w:t>
      </w:r>
      <w:r>
        <w:rPr>
          <w:color w:val="3A3838"/>
          <w:w w:val="105"/>
          <w:sz w:val="18"/>
        </w:rPr>
        <w:t>you have any pr</w:t>
      </w:r>
      <w:r>
        <w:rPr>
          <w:color w:val="545456"/>
          <w:w w:val="105"/>
          <w:sz w:val="18"/>
        </w:rPr>
        <w:t>o</w:t>
      </w:r>
      <w:r>
        <w:rPr>
          <w:color w:val="3A3838"/>
          <w:w w:val="105"/>
          <w:sz w:val="18"/>
        </w:rPr>
        <w:t>blem Jdentlfylng your facts with</w:t>
      </w:r>
      <w:r>
        <w:rPr>
          <w:color w:val="545456"/>
          <w:w w:val="105"/>
          <w:sz w:val="18"/>
        </w:rPr>
        <w:t>i</w:t>
      </w:r>
      <w:r>
        <w:rPr>
          <w:color w:val="3A3838"/>
          <w:w w:val="105"/>
          <w:sz w:val="18"/>
        </w:rPr>
        <w:t>n</w:t>
      </w:r>
      <w:r>
        <w:rPr>
          <w:color w:val="3A3838"/>
          <w:spacing w:val="1"/>
          <w:w w:val="105"/>
          <w:sz w:val="18"/>
        </w:rPr>
        <w:t> </w:t>
      </w:r>
      <w:r>
        <w:rPr>
          <w:color w:val="3A3838"/>
          <w:w w:val="105"/>
          <w:sz w:val="18"/>
        </w:rPr>
        <w:t>a</w:t>
      </w:r>
      <w:r>
        <w:rPr>
          <w:color w:val="3A3838"/>
          <w:spacing w:val="1"/>
          <w:w w:val="105"/>
          <w:sz w:val="18"/>
        </w:rPr>
        <w:t> </w:t>
      </w:r>
      <w:r>
        <w:rPr>
          <w:color w:val="3A3838"/>
          <w:w w:val="105"/>
          <w:sz w:val="18"/>
        </w:rPr>
        <w:t>head</w:t>
      </w:r>
      <w:r>
        <w:rPr>
          <w:color w:val="545456"/>
          <w:w w:val="105"/>
          <w:sz w:val="18"/>
        </w:rPr>
        <w:t>i</w:t>
      </w:r>
      <w:r>
        <w:rPr>
          <w:color w:val="3A3838"/>
          <w:w w:val="105"/>
          <w:sz w:val="18"/>
        </w:rPr>
        <w:t>ng sectJon, you may want to drop a private m</w:t>
      </w:r>
      <w:r>
        <w:rPr>
          <w:color w:val="545456"/>
          <w:w w:val="105"/>
          <w:sz w:val="18"/>
        </w:rPr>
        <w:t>e</w:t>
      </w:r>
      <w:r>
        <w:rPr>
          <w:color w:val="3A3838"/>
          <w:w w:val="105"/>
          <w:sz w:val="18"/>
        </w:rPr>
        <w:t>mo no</w:t>
      </w:r>
      <w:r>
        <w:rPr>
          <w:color w:val="545456"/>
          <w:w w:val="105"/>
          <w:sz w:val="18"/>
        </w:rPr>
        <w:t>t</w:t>
      </w:r>
      <w:r>
        <w:rPr>
          <w:color w:val="3A3838"/>
          <w:w w:val="105"/>
          <w:sz w:val="18"/>
        </w:rPr>
        <w:t>e so that you can ask for help If</w:t>
      </w:r>
      <w:r>
        <w:rPr>
          <w:color w:val="3A3838"/>
          <w:spacing w:val="1"/>
          <w:w w:val="105"/>
          <w:sz w:val="18"/>
        </w:rPr>
        <w:t> </w:t>
      </w:r>
      <w:r>
        <w:rPr>
          <w:color w:val="3A3838"/>
          <w:w w:val="105"/>
          <w:sz w:val="18"/>
        </w:rPr>
        <w:t>n</w:t>
      </w:r>
      <w:r>
        <w:rPr>
          <w:color w:val="545456"/>
          <w:w w:val="105"/>
          <w:sz w:val="18"/>
        </w:rPr>
        <w:t>e</w:t>
      </w:r>
      <w:r>
        <w:rPr>
          <w:color w:val="3A3838"/>
          <w:w w:val="105"/>
          <w:sz w:val="18"/>
        </w:rPr>
        <w:t>eded.</w:t>
      </w:r>
    </w:p>
    <w:p>
      <w:pPr>
        <w:spacing w:after="0" w:line="244" w:lineRule="auto"/>
        <w:jc w:val="both"/>
        <w:rPr>
          <w:sz w:val="18"/>
        </w:rPr>
        <w:sectPr>
          <w:headerReference w:type="even" r:id="rId183"/>
          <w:headerReference w:type="default" r:id="rId184"/>
          <w:pgSz w:w="9360" w:h="13820"/>
          <w:pgMar w:header="491" w:footer="0" w:top="920" w:bottom="0" w:left="1300" w:right="0"/>
          <w:pgNumType w:start="160"/>
        </w:sectPr>
      </w:pPr>
    </w:p>
    <w:p>
      <w:pPr>
        <w:spacing w:before="90"/>
        <w:ind w:left="425" w:right="0" w:firstLine="0"/>
        <w:jc w:val="left"/>
        <w:rPr>
          <w:rFonts w:ascii="Courier New"/>
          <w:sz w:val="32"/>
        </w:rPr>
      </w:pPr>
      <w:r>
        <w:rPr>
          <w:rFonts w:ascii="Courier New"/>
          <w:color w:val="383638"/>
          <w:w w:val="80"/>
          <w:sz w:val="32"/>
        </w:rPr>
        <w:t>7.2.6</w:t>
      </w:r>
    </w:p>
    <w:p>
      <w:pPr>
        <w:spacing w:line="292" w:lineRule="auto" w:before="16"/>
        <w:ind w:left="437" w:right="506" w:firstLine="0"/>
        <w:jc w:val="left"/>
        <w:rPr>
          <w:rFonts w:ascii="Arial"/>
          <w:sz w:val="22"/>
        </w:rPr>
      </w:pPr>
      <w:r>
        <w:rPr>
          <w:rFonts w:ascii="Arial"/>
          <w:color w:val="383638"/>
          <w:sz w:val="22"/>
        </w:rPr>
        <w:t>IDENTI</w:t>
      </w:r>
      <w:r>
        <w:rPr>
          <w:rFonts w:ascii="Arial"/>
          <w:color w:val="595959"/>
          <w:sz w:val="22"/>
        </w:rPr>
        <w:t>F</w:t>
      </w:r>
      <w:r>
        <w:rPr>
          <w:rFonts w:ascii="Arial"/>
          <w:color w:val="383638"/>
          <w:sz w:val="22"/>
        </w:rPr>
        <w:t>Y</w:t>
      </w:r>
      <w:r>
        <w:rPr>
          <w:rFonts w:ascii="Arial"/>
          <w:color w:val="383638"/>
          <w:spacing w:val="1"/>
          <w:sz w:val="22"/>
        </w:rPr>
        <w:t> </w:t>
      </w:r>
      <w:r>
        <w:rPr>
          <w:rFonts w:ascii="Arial"/>
          <w:color w:val="383638"/>
          <w:sz w:val="22"/>
        </w:rPr>
        <w:t>THE </w:t>
      </w:r>
      <w:r>
        <w:rPr>
          <w:rFonts w:ascii="Arial"/>
          <w:color w:val="595959"/>
          <w:sz w:val="22"/>
        </w:rPr>
        <w:t>AP</w:t>
      </w:r>
      <w:r>
        <w:rPr>
          <w:rFonts w:ascii="Arial"/>
          <w:color w:val="383638"/>
          <w:sz w:val="22"/>
        </w:rPr>
        <w:t>PLICA</w:t>
      </w:r>
      <w:r>
        <w:rPr>
          <w:rFonts w:ascii="Arial"/>
          <w:color w:val="595959"/>
          <w:sz w:val="22"/>
        </w:rPr>
        <w:t>T</w:t>
      </w:r>
      <w:r>
        <w:rPr>
          <w:rFonts w:ascii="Arial"/>
          <w:color w:val="383638"/>
          <w:sz w:val="22"/>
        </w:rPr>
        <w:t>ION</w:t>
      </w:r>
      <w:r>
        <w:rPr>
          <w:rFonts w:ascii="Arial"/>
          <w:color w:val="383638"/>
          <w:spacing w:val="1"/>
          <w:sz w:val="22"/>
        </w:rPr>
        <w:t> </w:t>
      </w:r>
      <w:r>
        <w:rPr>
          <w:rFonts w:ascii="Arial"/>
          <w:color w:val="383638"/>
          <w:sz w:val="22"/>
        </w:rPr>
        <w:t>OF</w:t>
      </w:r>
      <w:r>
        <w:rPr>
          <w:rFonts w:ascii="Arial"/>
          <w:color w:val="383638"/>
          <w:spacing w:val="1"/>
          <w:sz w:val="22"/>
        </w:rPr>
        <w:t> </w:t>
      </w:r>
      <w:r>
        <w:rPr>
          <w:rFonts w:ascii="Arial"/>
          <w:color w:val="383638"/>
          <w:sz w:val="22"/>
        </w:rPr>
        <w:t>EACH </w:t>
      </w:r>
      <w:r>
        <w:rPr>
          <w:rFonts w:ascii="Arial"/>
          <w:color w:val="595959"/>
          <w:sz w:val="22"/>
        </w:rPr>
        <w:t>FO</w:t>
      </w:r>
      <w:r>
        <w:rPr>
          <w:rFonts w:ascii="Arial"/>
          <w:color w:val="383638"/>
          <w:sz w:val="22"/>
        </w:rPr>
        <w:t>CUS TO</w:t>
      </w:r>
      <w:r>
        <w:rPr>
          <w:rFonts w:ascii="Arial"/>
          <w:color w:val="383638"/>
          <w:spacing w:val="1"/>
          <w:sz w:val="22"/>
        </w:rPr>
        <w:t> </w:t>
      </w:r>
      <w:r>
        <w:rPr>
          <w:rFonts w:ascii="Arial"/>
          <w:color w:val="383638"/>
          <w:sz w:val="22"/>
        </w:rPr>
        <w:t>YOUR</w:t>
      </w:r>
      <w:r>
        <w:rPr>
          <w:rFonts w:ascii="Arial"/>
          <w:color w:val="383638"/>
          <w:spacing w:val="-59"/>
          <w:sz w:val="22"/>
        </w:rPr>
        <w:t> </w:t>
      </w:r>
      <w:r>
        <w:rPr>
          <w:rFonts w:ascii="Arial"/>
          <w:color w:val="383638"/>
          <w:w w:val="105"/>
          <w:sz w:val="22"/>
        </w:rPr>
        <w:t>CLIE</w:t>
      </w:r>
      <w:r>
        <w:rPr>
          <w:rFonts w:ascii="Arial"/>
          <w:color w:val="595959"/>
          <w:w w:val="105"/>
          <w:sz w:val="22"/>
        </w:rPr>
        <w:t>N</w:t>
      </w:r>
      <w:r>
        <w:rPr>
          <w:rFonts w:ascii="Arial"/>
          <w:color w:val="383638"/>
          <w:w w:val="105"/>
          <w:sz w:val="22"/>
        </w:rPr>
        <w:t>T'S</w:t>
      </w:r>
      <w:r>
        <w:rPr>
          <w:rFonts w:ascii="Arial"/>
          <w:color w:val="383638"/>
          <w:spacing w:val="-26"/>
          <w:w w:val="105"/>
          <w:sz w:val="22"/>
        </w:rPr>
        <w:t> </w:t>
      </w:r>
      <w:r>
        <w:rPr>
          <w:rFonts w:ascii="Arial"/>
          <w:color w:val="383638"/>
          <w:w w:val="105"/>
          <w:sz w:val="22"/>
        </w:rPr>
        <w:t>F</w:t>
      </w:r>
      <w:r>
        <w:rPr>
          <w:rFonts w:ascii="Arial"/>
          <w:color w:val="595959"/>
          <w:w w:val="105"/>
          <w:sz w:val="22"/>
        </w:rPr>
        <w:t>A</w:t>
      </w:r>
      <w:r>
        <w:rPr>
          <w:rFonts w:ascii="Arial"/>
          <w:color w:val="383638"/>
          <w:w w:val="105"/>
          <w:sz w:val="22"/>
        </w:rPr>
        <w:t>CTS</w:t>
      </w:r>
    </w:p>
    <w:p>
      <w:pPr>
        <w:pStyle w:val="BodyText"/>
        <w:spacing w:before="2"/>
        <w:rPr>
          <w:rFonts w:ascii="Arial"/>
          <w:sz w:val="21"/>
        </w:rPr>
      </w:pPr>
    </w:p>
    <w:p>
      <w:pPr>
        <w:spacing w:line="235" w:lineRule="auto" w:before="1"/>
        <w:ind w:left="444" w:right="616" w:firstLine="2"/>
        <w:jc w:val="both"/>
        <w:rPr>
          <w:b/>
          <w:sz w:val="21"/>
        </w:rPr>
      </w:pPr>
      <w:r>
        <w:rPr>
          <w:b/>
          <w:color w:val="383638"/>
          <w:w w:val="110"/>
          <w:sz w:val="21"/>
        </w:rPr>
        <w:t>Within each CREXAC unit of discourse, write "Application" in the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margin next to the paragraphs or portions of paragraphs in which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you discuss how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 rule/focus for that section applies or does not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apply to those facts. Look for paragraphs with both pink highlights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(phrases-that-pay) and blue highlights (client facts) when looking for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application, but do not presume that every paragraph with pink and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blue</w:t>
      </w:r>
      <w:r>
        <w:rPr>
          <w:b/>
          <w:color w:val="383638"/>
          <w:spacing w:val="-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highlights is</w:t>
      </w:r>
      <w:r>
        <w:rPr>
          <w:b/>
          <w:color w:val="383638"/>
          <w:spacing w:val="-1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an</w:t>
      </w:r>
      <w:r>
        <w:rPr>
          <w:b/>
          <w:color w:val="383638"/>
          <w:spacing w:val="-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application</w:t>
      </w:r>
      <w:r>
        <w:rPr>
          <w:b/>
          <w:color w:val="383638"/>
          <w:spacing w:val="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paragraph.</w:t>
      </w:r>
    </w:p>
    <w:p>
      <w:pPr>
        <w:pStyle w:val="BodyText"/>
        <w:spacing w:line="235" w:lineRule="auto" w:before="154"/>
        <w:ind w:left="112" w:right="204" w:firstLine="344"/>
        <w:jc w:val="both"/>
      </w:pPr>
      <w:r>
        <w:rPr>
          <w:color w:val="383638"/>
          <w:w w:val="110"/>
        </w:rPr>
        <w:t>After you have highlighted all of the facts in blue, write "Application"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in the margin next to the sentences or paragraphs in which you applied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the law to the facts in that unit of discourse. Looking for paragraphs that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contain both blue facts and pink phrases-that-pay should reveal where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you applied the law to the facts, and allow you to analyze both the focus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and the completeness of this part of your document. Ideally, you  will find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a sentence that says, in essence, "phrase-that-pays equals [or does not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equal]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my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case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facts."</w:t>
      </w:r>
      <w:r>
        <w:rPr>
          <w:color w:val="383638"/>
          <w:spacing w:val="-30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course, your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application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will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often be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much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more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detailed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than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this, particularly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if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53"/>
          <w:w w:val="110"/>
        </w:rPr>
        <w:t> </w:t>
      </w:r>
      <w:r>
        <w:rPr>
          <w:color w:val="383638"/>
          <w:w w:val="110"/>
        </w:rPr>
        <w:t>issue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controversial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one.</w:t>
      </w:r>
    </w:p>
    <w:p>
      <w:pPr>
        <w:pStyle w:val="BodyText"/>
        <w:spacing w:before="7"/>
        <w:rPr>
          <w:sz w:val="32"/>
        </w:rPr>
      </w:pPr>
    </w:p>
    <w:p>
      <w:pPr>
        <w:spacing w:before="0"/>
        <w:ind w:left="435" w:right="0" w:firstLine="0"/>
        <w:jc w:val="left"/>
        <w:rPr>
          <w:rFonts w:ascii="Courier New"/>
          <w:sz w:val="32"/>
        </w:rPr>
      </w:pPr>
      <w:r>
        <w:rPr>
          <w:rFonts w:ascii="Courier New"/>
          <w:color w:val="383638"/>
          <w:w w:val="85"/>
          <w:sz w:val="32"/>
        </w:rPr>
        <w:t>7.</w:t>
      </w:r>
      <w:r>
        <w:rPr>
          <w:rFonts w:ascii="Courier New"/>
          <w:color w:val="595959"/>
          <w:w w:val="85"/>
          <w:sz w:val="32"/>
        </w:rPr>
        <w:t>2</w:t>
      </w:r>
      <w:r>
        <w:rPr>
          <w:rFonts w:ascii="Courier New"/>
          <w:color w:val="383638"/>
          <w:w w:val="85"/>
          <w:sz w:val="32"/>
        </w:rPr>
        <w:t>.</w:t>
      </w:r>
      <w:r>
        <w:rPr>
          <w:rFonts w:ascii="Courier New"/>
          <w:color w:val="595959"/>
          <w:w w:val="85"/>
          <w:sz w:val="32"/>
        </w:rPr>
        <w:t>7</w:t>
      </w:r>
    </w:p>
    <w:p>
      <w:pPr>
        <w:spacing w:before="6"/>
        <w:ind w:left="447" w:right="0" w:firstLine="0"/>
        <w:jc w:val="both"/>
        <w:rPr>
          <w:rFonts w:ascii="Arial"/>
          <w:sz w:val="22"/>
        </w:rPr>
      </w:pPr>
      <w:r>
        <w:rPr>
          <w:rFonts w:ascii="Arial"/>
          <w:color w:val="383638"/>
          <w:w w:val="105"/>
          <w:sz w:val="22"/>
        </w:rPr>
        <w:t>ID</w:t>
      </w:r>
      <w:r>
        <w:rPr>
          <w:rFonts w:ascii="Arial"/>
          <w:color w:val="595959"/>
          <w:w w:val="105"/>
          <w:sz w:val="22"/>
        </w:rPr>
        <w:t>EN</w:t>
      </w:r>
      <w:r>
        <w:rPr>
          <w:rFonts w:ascii="Arial"/>
          <w:color w:val="727275"/>
          <w:w w:val="105"/>
          <w:sz w:val="22"/>
        </w:rPr>
        <w:t>T</w:t>
      </w:r>
      <w:r>
        <w:rPr>
          <w:rFonts w:ascii="Arial"/>
          <w:color w:val="595959"/>
          <w:w w:val="105"/>
          <w:sz w:val="22"/>
        </w:rPr>
        <w:t>I</w:t>
      </w:r>
      <w:r>
        <w:rPr>
          <w:rFonts w:ascii="Arial"/>
          <w:color w:val="727275"/>
          <w:w w:val="105"/>
          <w:sz w:val="22"/>
        </w:rPr>
        <w:t>FY</w:t>
      </w:r>
      <w:r>
        <w:rPr>
          <w:rFonts w:ascii="Arial"/>
          <w:color w:val="727275"/>
          <w:spacing w:val="22"/>
          <w:w w:val="105"/>
          <w:sz w:val="22"/>
        </w:rPr>
        <w:t> </w:t>
      </w:r>
      <w:r>
        <w:rPr>
          <w:rFonts w:ascii="Arial"/>
          <w:color w:val="727275"/>
          <w:w w:val="105"/>
          <w:sz w:val="22"/>
        </w:rPr>
        <w:t>THE</w:t>
      </w:r>
      <w:r>
        <w:rPr>
          <w:rFonts w:ascii="Arial"/>
          <w:color w:val="727275"/>
          <w:spacing w:val="5"/>
          <w:w w:val="105"/>
          <w:sz w:val="22"/>
        </w:rPr>
        <w:t> </w:t>
      </w:r>
      <w:r>
        <w:rPr>
          <w:rFonts w:ascii="Arial"/>
          <w:color w:val="727275"/>
          <w:w w:val="105"/>
          <w:sz w:val="22"/>
        </w:rPr>
        <w:t>CONNECTION-CONC</w:t>
      </w:r>
      <w:r>
        <w:rPr>
          <w:rFonts w:ascii="Arial"/>
          <w:color w:val="595959"/>
          <w:w w:val="105"/>
          <w:sz w:val="22"/>
        </w:rPr>
        <w:t>LU</w:t>
      </w:r>
      <w:r>
        <w:rPr>
          <w:rFonts w:ascii="Arial"/>
          <w:color w:val="727275"/>
          <w:w w:val="105"/>
          <w:sz w:val="22"/>
        </w:rPr>
        <w:t>S</w:t>
      </w:r>
      <w:r>
        <w:rPr>
          <w:rFonts w:ascii="Arial"/>
          <w:color w:val="595959"/>
          <w:w w:val="105"/>
          <w:sz w:val="22"/>
        </w:rPr>
        <w:t>I</w:t>
      </w:r>
      <w:r>
        <w:rPr>
          <w:rFonts w:ascii="Arial"/>
          <w:color w:val="727275"/>
          <w:w w:val="105"/>
          <w:sz w:val="22"/>
        </w:rPr>
        <w:t>O</w:t>
      </w:r>
      <w:r>
        <w:rPr>
          <w:rFonts w:ascii="Arial"/>
          <w:color w:val="595959"/>
          <w:w w:val="105"/>
          <w:sz w:val="22"/>
        </w:rPr>
        <w:t>N</w:t>
      </w:r>
    </w:p>
    <w:p>
      <w:pPr>
        <w:spacing w:line="228" w:lineRule="auto" w:before="144"/>
        <w:ind w:left="458" w:right="558" w:hanging="3"/>
        <w:jc w:val="both"/>
        <w:rPr>
          <w:b/>
          <w:sz w:val="21"/>
        </w:rPr>
      </w:pPr>
      <w:r>
        <w:rPr>
          <w:b/>
          <w:color w:val="383638"/>
          <w:w w:val="110"/>
          <w:sz w:val="21"/>
        </w:rPr>
        <w:t>Within each CREXAC unit of discourse, write </w:t>
      </w:r>
      <w:r>
        <w:rPr>
          <w:i/>
          <w:color w:val="383638"/>
          <w:w w:val="110"/>
          <w:sz w:val="23"/>
        </w:rPr>
        <w:t>"CIC" </w:t>
      </w:r>
      <w:r>
        <w:rPr>
          <w:b/>
          <w:color w:val="383638"/>
          <w:w w:val="110"/>
          <w:sz w:val="21"/>
        </w:rPr>
        <w:t>in the margin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5"/>
          <w:sz w:val="21"/>
        </w:rPr>
        <w:t>next to the sentence in which you explicitly state </w:t>
      </w:r>
      <w:r>
        <w:rPr>
          <w:color w:val="383638"/>
          <w:w w:val="115"/>
          <w:sz w:val="22"/>
        </w:rPr>
        <w:t>your "connection­</w:t>
      </w:r>
      <w:r>
        <w:rPr>
          <w:color w:val="383638"/>
          <w:spacing w:val="-61"/>
          <w:w w:val="115"/>
          <w:sz w:val="22"/>
        </w:rPr>
        <w:t> </w:t>
      </w:r>
      <w:r>
        <w:rPr>
          <w:color w:val="383638"/>
          <w:w w:val="110"/>
          <w:sz w:val="22"/>
        </w:rPr>
        <w:t>conclusion," </w:t>
      </w:r>
      <w:r>
        <w:rPr>
          <w:b/>
          <w:color w:val="383638"/>
          <w:w w:val="110"/>
          <w:sz w:val="21"/>
        </w:rPr>
        <w:t>that is, your </w:t>
      </w:r>
      <w:r>
        <w:rPr>
          <w:rFonts w:ascii="Arial" w:hAnsi="Arial"/>
          <w:b/>
          <w:i/>
          <w:color w:val="383638"/>
          <w:w w:val="110"/>
          <w:sz w:val="19"/>
        </w:rPr>
        <w:t>ending </w:t>
      </w:r>
      <w:r>
        <w:rPr>
          <w:color w:val="383638"/>
          <w:w w:val="110"/>
          <w:sz w:val="22"/>
        </w:rPr>
        <w:t>conclusion </w:t>
      </w:r>
      <w:r>
        <w:rPr>
          <w:b/>
          <w:color w:val="383638"/>
          <w:w w:val="110"/>
          <w:sz w:val="21"/>
        </w:rPr>
        <w:t>for that unit </w:t>
      </w:r>
      <w:r>
        <w:rPr>
          <w:color w:val="383638"/>
          <w:w w:val="110"/>
          <w:sz w:val="22"/>
        </w:rPr>
        <w:t>of </w:t>
      </w:r>
      <w:r>
        <w:rPr>
          <w:b/>
          <w:color w:val="383638"/>
          <w:w w:val="110"/>
          <w:sz w:val="21"/>
        </w:rPr>
        <w:t>discourse.</w:t>
      </w:r>
      <w:r>
        <w:rPr>
          <w:b/>
          <w:color w:val="383638"/>
          <w:spacing w:val="-5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Highlight the connection-conclusion in YELLOW. Do </w:t>
      </w:r>
      <w:r>
        <w:rPr>
          <w:b/>
          <w:i/>
          <w:color w:val="383638"/>
          <w:w w:val="110"/>
          <w:sz w:val="22"/>
        </w:rPr>
        <w:t>not </w:t>
      </w:r>
      <w:r>
        <w:rPr>
          <w:b/>
          <w:color w:val="383638"/>
          <w:w w:val="110"/>
          <w:sz w:val="21"/>
        </w:rPr>
        <w:t>highlight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any statement that could be characterized as a conclusion (particu­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3"/>
        </w:rPr>
        <w:t>larly, </w:t>
      </w:r>
      <w:r>
        <w:rPr>
          <w:color w:val="383638"/>
          <w:w w:val="110"/>
          <w:sz w:val="22"/>
        </w:rPr>
        <w:t>do not</w:t>
      </w:r>
      <w:r>
        <w:rPr>
          <w:color w:val="383638"/>
          <w:spacing w:val="1"/>
          <w:w w:val="110"/>
          <w:sz w:val="22"/>
        </w:rPr>
        <w:t> </w:t>
      </w:r>
      <w:r>
        <w:rPr>
          <w:color w:val="383638"/>
          <w:w w:val="110"/>
          <w:sz w:val="23"/>
        </w:rPr>
        <w:t>highlight the </w:t>
      </w:r>
      <w:r>
        <w:rPr>
          <w:color w:val="383638"/>
          <w:w w:val="110"/>
          <w:sz w:val="22"/>
        </w:rPr>
        <w:t>conclusion </w:t>
      </w:r>
      <w:r>
        <w:rPr>
          <w:color w:val="383638"/>
          <w:w w:val="110"/>
          <w:sz w:val="23"/>
        </w:rPr>
        <w:t>at </w:t>
      </w:r>
      <w:r>
        <w:rPr>
          <w:color w:val="383638"/>
          <w:w w:val="110"/>
          <w:sz w:val="22"/>
        </w:rPr>
        <w:t>the beginning of </w:t>
      </w:r>
      <w:r>
        <w:rPr>
          <w:color w:val="383638"/>
          <w:w w:val="110"/>
          <w:sz w:val="23"/>
        </w:rPr>
        <w:t>the </w:t>
      </w:r>
      <w:r>
        <w:rPr>
          <w:color w:val="383638"/>
          <w:w w:val="110"/>
          <w:sz w:val="22"/>
        </w:rPr>
        <w:t>subsec­</w:t>
      </w:r>
      <w:r>
        <w:rPr>
          <w:color w:val="383638"/>
          <w:spacing w:val="1"/>
          <w:w w:val="110"/>
          <w:sz w:val="22"/>
        </w:rPr>
        <w:t> </w:t>
      </w:r>
      <w:r>
        <w:rPr>
          <w:b/>
          <w:color w:val="383638"/>
          <w:w w:val="115"/>
          <w:sz w:val="21"/>
        </w:rPr>
        <w:t>tion). In the connection-conclusion, you should make explicit how</w:t>
      </w:r>
      <w:r>
        <w:rPr>
          <w:b/>
          <w:color w:val="383638"/>
          <w:spacing w:val="1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your analysis </w:t>
      </w:r>
      <w:r>
        <w:rPr>
          <w:b/>
          <w:i/>
          <w:color w:val="383638"/>
          <w:w w:val="115"/>
          <w:sz w:val="22"/>
        </w:rPr>
        <w:t>connects </w:t>
      </w:r>
      <w:r>
        <w:rPr>
          <w:b/>
          <w:color w:val="383638"/>
          <w:w w:val="115"/>
          <w:sz w:val="21"/>
        </w:rPr>
        <w:t>to the focus for this unit of discourse and, if</w:t>
      </w:r>
      <w:r>
        <w:rPr>
          <w:b/>
          <w:color w:val="383638"/>
          <w:spacing w:val="-58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appropriate,</w:t>
      </w:r>
      <w:r>
        <w:rPr>
          <w:b/>
          <w:color w:val="383638"/>
          <w:spacing w:val="9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to</w:t>
      </w:r>
      <w:r>
        <w:rPr>
          <w:b/>
          <w:color w:val="383638"/>
          <w:spacing w:val="25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your</w:t>
      </w:r>
      <w:r>
        <w:rPr>
          <w:b/>
          <w:color w:val="383638"/>
          <w:spacing w:val="-26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overall</w:t>
      </w:r>
      <w:r>
        <w:rPr>
          <w:b/>
          <w:color w:val="383638"/>
          <w:spacing w:val="1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thesis.</w:t>
      </w:r>
    </w:p>
    <w:p>
      <w:pPr>
        <w:pStyle w:val="BodyText"/>
        <w:spacing w:line="230" w:lineRule="auto" w:before="157"/>
        <w:ind w:left="139" w:right="103" w:firstLine="327"/>
        <w:jc w:val="both"/>
      </w:pPr>
      <w:r>
        <w:rPr>
          <w:color w:val="383638"/>
          <w:w w:val="110"/>
        </w:rPr>
        <w:t>An easy task is finding and labeling the sentence(s) in each section of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your argument in which you state the connection-conclusion for the sec­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tion (also known as the internal conclusion or the mini-conclusion)</w:t>
      </w:r>
      <w:r>
        <w:rPr>
          <w:color w:val="595959"/>
          <w:w w:val="110"/>
        </w:rPr>
        <w:t>. </w:t>
      </w:r>
      <w:r>
        <w:rPr>
          <w:color w:val="383638"/>
          <w:w w:val="110"/>
        </w:rPr>
        <w:t>Many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writers make the common mistake of merely highlighting the last sentence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in the unit of discourse</w:t>
      </w:r>
      <w:r>
        <w:rPr>
          <w:color w:val="595959"/>
          <w:spacing w:val="-1"/>
          <w:w w:val="110"/>
        </w:rPr>
        <w:t>. </w:t>
      </w:r>
      <w:r>
        <w:rPr>
          <w:color w:val="383638"/>
          <w:w w:val="110"/>
        </w:rPr>
        <w:t>The self-grading will be more effective if 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take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5"/>
        </w:rPr>
        <w:t>the time to note whether you have actually included a connection-con­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clusion</w:t>
      </w:r>
      <w:r>
        <w:rPr>
          <w:color w:val="595959"/>
          <w:w w:val="110"/>
        </w:rPr>
        <w:t>. </w:t>
      </w:r>
      <w:r>
        <w:rPr>
          <w:color w:val="383638"/>
          <w:w w:val="110"/>
        </w:rPr>
        <w:t>Note whether it contains the phrase-that-pays for the section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whether you have connected the phrase-that-pays to the point heading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for that </w:t>
      </w:r>
      <w:r>
        <w:rPr>
          <w:color w:val="595959"/>
          <w:w w:val="115"/>
        </w:rPr>
        <w:t>s</w:t>
      </w:r>
      <w:r>
        <w:rPr>
          <w:color w:val="383638"/>
          <w:w w:val="115"/>
        </w:rPr>
        <w:t>ection</w:t>
      </w:r>
      <w:r>
        <w:rPr>
          <w:color w:val="595959"/>
          <w:w w:val="115"/>
        </w:rPr>
        <w:t>, </w:t>
      </w:r>
      <w:r>
        <w:rPr>
          <w:color w:val="383638"/>
          <w:w w:val="115"/>
        </w:rPr>
        <w:t>or, if appropriate, to your ultimate thesis. For example,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in some arguments, winning a particular point may mean that you win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case.</w:t>
      </w:r>
      <w:r>
        <w:rPr>
          <w:color w:val="383638"/>
          <w:spacing w:val="-37"/>
          <w:w w:val="110"/>
        </w:rPr>
        <w:t> </w:t>
      </w:r>
      <w:r>
        <w:rPr>
          <w:color w:val="383638"/>
          <w:w w:val="110"/>
        </w:rPr>
        <w:t>Those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sections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might</w:t>
      </w:r>
      <w:r>
        <w:rPr>
          <w:color w:val="383638"/>
          <w:spacing w:val="28"/>
          <w:w w:val="110"/>
        </w:rPr>
        <w:t> </w:t>
      </w:r>
      <w:r>
        <w:rPr>
          <w:color w:val="383638"/>
          <w:w w:val="110"/>
        </w:rPr>
        <w:t>follow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statement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about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9"/>
          <w:w w:val="110"/>
        </w:rPr>
        <w:t> </w:t>
      </w:r>
      <w:r>
        <w:rPr>
          <w:color w:val="383638"/>
          <w:w w:val="110"/>
        </w:rPr>
        <w:t>conclusion</w:t>
      </w:r>
      <w:r>
        <w:rPr>
          <w:color w:val="383638"/>
          <w:spacing w:val="40"/>
          <w:w w:val="110"/>
        </w:rPr>
        <w:t> </w:t>
      </w:r>
      <w:r>
        <w:rPr>
          <w:color w:val="383638"/>
          <w:w w:val="110"/>
        </w:rPr>
        <w:t>to</w:t>
      </w:r>
    </w:p>
    <w:p>
      <w:pPr>
        <w:spacing w:after="0" w:line="230" w:lineRule="auto"/>
        <w:jc w:val="both"/>
        <w:sectPr>
          <w:pgSz w:w="9560" w:h="13770"/>
          <w:pgMar w:header="350" w:footer="0" w:top="1060" w:bottom="280" w:left="380" w:right="1280"/>
        </w:sectPr>
      </w:pPr>
    </w:p>
    <w:p>
      <w:pPr>
        <w:pStyle w:val="BodyText"/>
        <w:spacing w:line="230" w:lineRule="auto" w:before="89"/>
        <w:ind w:left="735" w:right="49" w:firstLine="16"/>
        <w:jc w:val="both"/>
      </w:pPr>
      <w:r>
        <w:rPr>
          <w:color w:val="383636"/>
          <w:w w:val="105"/>
        </w:rPr>
        <w:t>that section with a statement like, "therefore, the court should reverse" or</w:t>
      </w:r>
      <w:r>
        <w:rPr>
          <w:color w:val="383636"/>
          <w:spacing w:val="1"/>
          <w:w w:val="105"/>
        </w:rPr>
        <w:t> </w:t>
      </w:r>
      <w:r>
        <w:rPr>
          <w:color w:val="383636"/>
          <w:spacing w:val="-1"/>
          <w:w w:val="110"/>
        </w:rPr>
        <w:t>"therefore, </w:t>
      </w:r>
      <w:r>
        <w:rPr>
          <w:color w:val="383636"/>
          <w:w w:val="110"/>
        </w:rPr>
        <w:t>the court should grant the motion to dismiss." If you cannot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find an</w:t>
      </w:r>
      <w:r>
        <w:rPr>
          <w:color w:val="383636"/>
          <w:spacing w:val="29"/>
          <w:w w:val="105"/>
        </w:rPr>
        <w:t> </w:t>
      </w:r>
      <w:r>
        <w:rPr>
          <w:color w:val="383636"/>
          <w:w w:val="105"/>
        </w:rPr>
        <w:t>explicit</w:t>
      </w:r>
      <w:r>
        <w:rPr>
          <w:color w:val="383636"/>
          <w:spacing w:val="9"/>
          <w:w w:val="105"/>
        </w:rPr>
        <w:t> </w:t>
      </w:r>
      <w:r>
        <w:rPr>
          <w:color w:val="383636"/>
          <w:w w:val="105"/>
        </w:rPr>
        <w:t>connection-conclusion,</w:t>
      </w:r>
      <w:r>
        <w:rPr>
          <w:color w:val="383636"/>
          <w:spacing w:val="5"/>
          <w:w w:val="105"/>
        </w:rPr>
        <w:t> </w:t>
      </w:r>
      <w:r>
        <w:rPr>
          <w:color w:val="383636"/>
          <w:w w:val="105"/>
        </w:rPr>
        <w:t>take</w:t>
      </w:r>
      <w:r>
        <w:rPr>
          <w:color w:val="383636"/>
          <w:spacing w:val="-8"/>
          <w:w w:val="105"/>
        </w:rPr>
        <w:t> </w:t>
      </w:r>
      <w:r>
        <w:rPr>
          <w:color w:val="383636"/>
          <w:w w:val="105"/>
        </w:rPr>
        <w:t>a</w:t>
      </w:r>
      <w:r>
        <w:rPr>
          <w:color w:val="383636"/>
          <w:spacing w:val="27"/>
          <w:w w:val="105"/>
        </w:rPr>
        <w:t> </w:t>
      </w:r>
      <w:r>
        <w:rPr>
          <w:color w:val="383636"/>
          <w:w w:val="105"/>
        </w:rPr>
        <w:t>moment</w:t>
      </w:r>
      <w:r>
        <w:rPr>
          <w:color w:val="383636"/>
          <w:spacing w:val="19"/>
          <w:w w:val="105"/>
        </w:rPr>
        <w:t> </w:t>
      </w:r>
      <w:r>
        <w:rPr>
          <w:color w:val="383636"/>
          <w:w w:val="105"/>
        </w:rPr>
        <w:t>and</w:t>
      </w:r>
      <w:r>
        <w:rPr>
          <w:color w:val="383636"/>
          <w:spacing w:val="37"/>
          <w:w w:val="105"/>
        </w:rPr>
        <w:t> </w:t>
      </w:r>
      <w:r>
        <w:rPr>
          <w:color w:val="383636"/>
          <w:w w:val="105"/>
        </w:rPr>
        <w:t>write</w:t>
      </w:r>
      <w:r>
        <w:rPr>
          <w:color w:val="383636"/>
          <w:spacing w:val="-10"/>
          <w:w w:val="105"/>
        </w:rPr>
        <w:t> </w:t>
      </w:r>
      <w:r>
        <w:rPr>
          <w:color w:val="383636"/>
          <w:w w:val="105"/>
        </w:rPr>
        <w:t>one.</w:t>
      </w:r>
    </w:p>
    <w:p>
      <w:pPr>
        <w:pStyle w:val="BodyText"/>
        <w:spacing w:before="4"/>
        <w:rPr>
          <w:sz w:val="34"/>
        </w:rPr>
      </w:pPr>
    </w:p>
    <w:p>
      <w:pPr>
        <w:spacing w:before="0"/>
        <w:ind w:left="1079" w:right="0" w:firstLine="0"/>
        <w:jc w:val="left"/>
        <w:rPr>
          <w:rFonts w:ascii="Arial"/>
          <w:sz w:val="27"/>
        </w:rPr>
      </w:pPr>
      <w:r>
        <w:rPr>
          <w:rFonts w:ascii="Arial"/>
          <w:color w:val="383636"/>
          <w:sz w:val="27"/>
        </w:rPr>
        <w:t>7.2</w:t>
      </w:r>
      <w:r>
        <w:rPr>
          <w:rFonts w:ascii="Arial"/>
          <w:color w:val="545456"/>
          <w:sz w:val="27"/>
        </w:rPr>
        <w:t>-</w:t>
      </w:r>
      <w:r>
        <w:rPr>
          <w:rFonts w:ascii="Arial"/>
          <w:color w:val="383636"/>
          <w:sz w:val="27"/>
        </w:rPr>
        <w:t>8</w:t>
      </w:r>
    </w:p>
    <w:p>
      <w:pPr>
        <w:spacing w:before="25"/>
        <w:ind w:left="1061" w:right="0" w:firstLine="0"/>
        <w:jc w:val="left"/>
        <w:rPr>
          <w:rFonts w:ascii="Arial"/>
          <w:sz w:val="23"/>
        </w:rPr>
      </w:pPr>
      <w:r>
        <w:rPr>
          <w:rFonts w:ascii="Arial"/>
          <w:color w:val="383636"/>
          <w:w w:val="90"/>
          <w:sz w:val="23"/>
        </w:rPr>
        <w:t>CREATE</w:t>
      </w:r>
      <w:r>
        <w:rPr>
          <w:rFonts w:ascii="Arial"/>
          <w:color w:val="383636"/>
          <w:spacing w:val="1"/>
          <w:w w:val="90"/>
          <w:sz w:val="23"/>
        </w:rPr>
        <w:t> </w:t>
      </w:r>
      <w:r>
        <w:rPr>
          <w:rFonts w:ascii="Arial"/>
          <w:color w:val="383636"/>
          <w:w w:val="90"/>
          <w:sz w:val="23"/>
        </w:rPr>
        <w:t>A</w:t>
      </w:r>
      <w:r>
        <w:rPr>
          <w:rFonts w:ascii="Arial"/>
          <w:color w:val="383636"/>
          <w:spacing w:val="7"/>
          <w:w w:val="90"/>
          <w:sz w:val="23"/>
        </w:rPr>
        <w:t> </w:t>
      </w:r>
      <w:r>
        <w:rPr>
          <w:rFonts w:ascii="Arial"/>
          <w:color w:val="383636"/>
          <w:w w:val="90"/>
          <w:sz w:val="22"/>
        </w:rPr>
        <w:t>SEPARATE</w:t>
      </w:r>
      <w:r>
        <w:rPr>
          <w:rFonts w:ascii="Arial"/>
          <w:color w:val="383636"/>
          <w:spacing w:val="24"/>
          <w:w w:val="90"/>
          <w:sz w:val="22"/>
        </w:rPr>
        <w:t> </w:t>
      </w:r>
      <w:r>
        <w:rPr>
          <w:rFonts w:ascii="Arial"/>
          <w:color w:val="383636"/>
          <w:w w:val="90"/>
          <w:sz w:val="23"/>
        </w:rPr>
        <w:t>FOCUS</w:t>
      </w:r>
      <w:r>
        <w:rPr>
          <w:rFonts w:ascii="Arial"/>
          <w:color w:val="383636"/>
          <w:spacing w:val="15"/>
          <w:w w:val="90"/>
          <w:sz w:val="23"/>
        </w:rPr>
        <w:t> </w:t>
      </w:r>
      <w:r>
        <w:rPr>
          <w:rFonts w:ascii="Arial"/>
          <w:color w:val="383636"/>
          <w:w w:val="90"/>
          <w:sz w:val="23"/>
        </w:rPr>
        <w:t>LIST</w:t>
      </w:r>
    </w:p>
    <w:p>
      <w:pPr>
        <w:spacing w:line="235" w:lineRule="auto" w:before="164"/>
        <w:ind w:left="1022" w:right="404" w:firstLine="19"/>
        <w:jc w:val="both"/>
        <w:rPr>
          <w:b/>
          <w:sz w:val="21"/>
        </w:rPr>
      </w:pPr>
      <w:r>
        <w:rPr>
          <w:b/>
          <w:color w:val="383636"/>
          <w:w w:val="105"/>
          <w:sz w:val="21"/>
        </w:rPr>
        <w:t>After you have identified or drafted all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of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your focuses,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block and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color w:val="383636"/>
          <w:w w:val="105"/>
          <w:sz w:val="21"/>
        </w:rPr>
        <w:t>copyeach focus into</w:t>
      </w:r>
      <w:r>
        <w:rPr>
          <w:b/>
          <w:color w:val="383636"/>
          <w:w w:val="105"/>
          <w:sz w:val="21"/>
        </w:rPr>
        <w:t>aseparate document  in  which you  list each focus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color w:val="383636"/>
          <w:w w:val="105"/>
          <w:sz w:val="19"/>
        </w:rPr>
        <w:t>in </w:t>
      </w:r>
      <w:r>
        <w:rPr>
          <w:b/>
          <w:color w:val="383636"/>
          <w:w w:val="105"/>
          <w:sz w:val="21"/>
        </w:rPr>
        <w:t>orderof appearance</w:t>
      </w:r>
      <w:r>
        <w:rPr>
          <w:b/>
          <w:color w:val="545456"/>
          <w:w w:val="105"/>
          <w:sz w:val="21"/>
        </w:rPr>
        <w:t>. </w:t>
      </w:r>
      <w:r>
        <w:rPr>
          <w:b/>
          <w:color w:val="383636"/>
          <w:w w:val="105"/>
          <w:sz w:val="21"/>
        </w:rPr>
        <w:t>You </w:t>
      </w:r>
      <w:r>
        <w:rPr>
          <w:color w:val="383636"/>
          <w:w w:val="105"/>
          <w:sz w:val="21"/>
        </w:rPr>
        <w:t>can</w:t>
      </w:r>
      <w:r>
        <w:rPr>
          <w:color w:val="383636"/>
          <w:spacing w:val="1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use </w:t>
      </w:r>
      <w:r>
        <w:rPr>
          <w:rFonts w:ascii="Arial"/>
          <w:b/>
          <w:i/>
          <w:color w:val="383636"/>
          <w:w w:val="105"/>
          <w:sz w:val="19"/>
        </w:rPr>
        <w:t>this </w:t>
      </w:r>
      <w:r>
        <w:rPr>
          <w:b/>
          <w:color w:val="383636"/>
          <w:w w:val="105"/>
          <w:sz w:val="21"/>
        </w:rPr>
        <w:t>list to review your issues and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yoW'</w:t>
      </w:r>
      <w:r>
        <w:rPr>
          <w:b/>
          <w:color w:val="383636"/>
          <w:spacing w:val="-24"/>
          <w:w w:val="105"/>
          <w:sz w:val="21"/>
        </w:rPr>
        <w:t> </w:t>
      </w:r>
      <w:r>
        <w:rPr>
          <w:b/>
          <w:color w:val="282426"/>
          <w:w w:val="105"/>
          <w:sz w:val="21"/>
        </w:rPr>
        <w:t>large-scale</w:t>
      </w:r>
      <w:r>
        <w:rPr>
          <w:b/>
          <w:color w:val="282426"/>
          <w:spacing w:val="3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organization.</w:t>
      </w:r>
    </w:p>
    <w:p>
      <w:pPr>
        <w:pStyle w:val="BodyText"/>
        <w:spacing w:line="235" w:lineRule="auto" w:before="142"/>
        <w:ind w:left="579" w:right="94" w:firstLine="413"/>
        <w:jc w:val="both"/>
      </w:pPr>
      <w:r>
        <w:rPr>
          <w:color w:val="383636"/>
          <w:w w:val="105"/>
        </w:rPr>
        <w:t>After you have finished the  tasks that are focused on  individual units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of discourse, it is time to look at the document as a whole. First, create a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focus list that records the focus of each CREXAC unit of discourse. The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focus list can help you to evaluate the completeness of your document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because it will remind you of which points you have discussed. You can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check this list against your initial research or your follow-up research to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05"/>
        </w:rPr>
        <w:t>see if you have addressed all of  the  points that you need to address. The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list can also help you to evaluate structure. Note whether you are address­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ing your most important arguments first and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whether you have addressed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your arguments in a logical order. Finally, note whether you can link each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point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your</w:t>
      </w:r>
      <w:r>
        <w:rPr>
          <w:color w:val="383636"/>
          <w:spacing w:val="4"/>
          <w:w w:val="110"/>
        </w:rPr>
        <w:t> </w:t>
      </w:r>
      <w:r>
        <w:rPr>
          <w:color w:val="282426"/>
          <w:w w:val="110"/>
        </w:rPr>
        <w:t>ultimate</w:t>
      </w:r>
      <w:r>
        <w:rPr>
          <w:color w:val="282426"/>
          <w:spacing w:val="-2"/>
          <w:w w:val="110"/>
        </w:rPr>
        <w:t> </w:t>
      </w:r>
      <w:r>
        <w:rPr>
          <w:color w:val="383636"/>
          <w:w w:val="110"/>
        </w:rPr>
        <w:t>thesis.</w:t>
      </w:r>
    </w:p>
    <w:p>
      <w:pPr>
        <w:pStyle w:val="BodyText"/>
        <w:spacing w:before="11"/>
        <w:rPr>
          <w:sz w:val="30"/>
        </w:rPr>
      </w:pPr>
    </w:p>
    <w:p>
      <w:pPr>
        <w:spacing w:before="0"/>
        <w:ind w:left="895" w:right="0" w:firstLine="0"/>
        <w:jc w:val="left"/>
        <w:rPr>
          <w:rFonts w:ascii="Courier New"/>
          <w:b/>
          <w:sz w:val="31"/>
        </w:rPr>
      </w:pPr>
      <w:r>
        <w:rPr>
          <w:rFonts w:ascii="Courier New"/>
          <w:b/>
          <w:color w:val="282426"/>
          <w:w w:val="80"/>
          <w:sz w:val="31"/>
        </w:rPr>
        <w:t>7.2.9</w:t>
      </w:r>
    </w:p>
    <w:p>
      <w:pPr>
        <w:spacing w:before="18"/>
        <w:ind w:left="898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383636"/>
          <w:spacing w:val="-1"/>
          <w:w w:val="105"/>
          <w:sz w:val="22"/>
        </w:rPr>
        <w:t>WRITE</w:t>
      </w:r>
      <w:r>
        <w:rPr>
          <w:rFonts w:ascii="Arial"/>
          <w:b/>
          <w:color w:val="383636"/>
          <w:spacing w:val="-9"/>
          <w:w w:val="105"/>
          <w:sz w:val="22"/>
        </w:rPr>
        <w:t> </w:t>
      </w:r>
      <w:r>
        <w:rPr>
          <w:rFonts w:ascii="Arial"/>
          <w:b/>
          <w:color w:val="383636"/>
          <w:w w:val="105"/>
          <w:sz w:val="22"/>
        </w:rPr>
        <w:t>A</w:t>
      </w:r>
      <w:r>
        <w:rPr>
          <w:rFonts w:ascii="Arial"/>
          <w:b/>
          <w:color w:val="383636"/>
          <w:spacing w:val="-7"/>
          <w:w w:val="105"/>
          <w:sz w:val="22"/>
        </w:rPr>
        <w:t> </w:t>
      </w:r>
      <w:r>
        <w:rPr>
          <w:rFonts w:ascii="Arial"/>
          <w:b/>
          <w:color w:val="383636"/>
          <w:w w:val="105"/>
          <w:sz w:val="22"/>
        </w:rPr>
        <w:t>FINAL</w:t>
      </w:r>
      <w:r>
        <w:rPr>
          <w:rFonts w:ascii="Arial"/>
          <w:b/>
          <w:color w:val="383636"/>
          <w:spacing w:val="-15"/>
          <w:w w:val="105"/>
          <w:sz w:val="22"/>
        </w:rPr>
        <w:t> </w:t>
      </w:r>
      <w:r>
        <w:rPr>
          <w:rFonts w:ascii="Arial"/>
          <w:b/>
          <w:color w:val="282426"/>
          <w:w w:val="105"/>
          <w:sz w:val="22"/>
        </w:rPr>
        <w:t>COMMENT</w:t>
      </w:r>
    </w:p>
    <w:p>
      <w:pPr>
        <w:spacing w:line="235" w:lineRule="auto" w:before="176"/>
        <w:ind w:left="862" w:right="463" w:firstLine="31"/>
        <w:jc w:val="both"/>
        <w:rPr>
          <w:b/>
          <w:sz w:val="21"/>
        </w:rPr>
      </w:pPr>
      <w:r>
        <w:rPr>
          <w:b/>
          <w:color w:val="383636"/>
          <w:w w:val="110"/>
          <w:sz w:val="21"/>
        </w:rPr>
        <w:t>By now, you should have an idea of some of </w:t>
      </w:r>
      <w:r>
        <w:rPr>
          <w:b/>
          <w:color w:val="282426"/>
          <w:w w:val="110"/>
          <w:sz w:val="21"/>
        </w:rPr>
        <w:t>the </w:t>
      </w:r>
      <w:r>
        <w:rPr>
          <w:b/>
          <w:color w:val="383636"/>
          <w:w w:val="110"/>
          <w:sz w:val="21"/>
        </w:rPr>
        <w:t>areas you want to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concentrate on </w:t>
      </w:r>
      <w:r>
        <w:rPr>
          <w:color w:val="383636"/>
          <w:w w:val="110"/>
          <w:sz w:val="19"/>
        </w:rPr>
        <w:t>in</w:t>
      </w:r>
      <w:r>
        <w:rPr>
          <w:color w:val="383636"/>
          <w:spacing w:val="1"/>
          <w:w w:val="110"/>
          <w:sz w:val="19"/>
        </w:rPr>
        <w:t> </w:t>
      </w:r>
      <w:r>
        <w:rPr>
          <w:color w:val="383636"/>
          <w:w w:val="110"/>
          <w:sz w:val="21"/>
        </w:rPr>
        <w:t>your revision. List the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two or three most important</w:t>
      </w:r>
      <w:r>
        <w:rPr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elements or sections that you plan to revise. You may also want to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05"/>
          <w:sz w:val="21"/>
        </w:rPr>
        <w:t>note</w:t>
      </w:r>
      <w:r>
        <w:rPr>
          <w:b/>
          <w:color w:val="383636"/>
          <w:spacing w:val="-7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the</w:t>
      </w:r>
      <w:r>
        <w:rPr>
          <w:b/>
          <w:color w:val="383636"/>
          <w:spacing w:val="-21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areas</w:t>
      </w:r>
      <w:r>
        <w:rPr>
          <w:b/>
          <w:color w:val="383636"/>
          <w:spacing w:val="-10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of</w:t>
      </w:r>
      <w:r>
        <w:rPr>
          <w:b/>
          <w:color w:val="383636"/>
          <w:spacing w:val="36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your</w:t>
      </w:r>
      <w:r>
        <w:rPr>
          <w:b/>
          <w:color w:val="383636"/>
          <w:spacing w:val="-14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brief</w:t>
      </w:r>
      <w:r>
        <w:rPr>
          <w:b/>
          <w:color w:val="383636"/>
          <w:spacing w:val="10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that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you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believe</w:t>
      </w:r>
      <w:r>
        <w:rPr>
          <w:b/>
          <w:color w:val="383636"/>
          <w:spacing w:val="-3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are</w:t>
      </w:r>
      <w:r>
        <w:rPr>
          <w:b/>
          <w:color w:val="383636"/>
          <w:spacing w:val="-24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strong</w:t>
      </w:r>
      <w:r>
        <w:rPr>
          <w:b/>
          <w:color w:val="545456"/>
          <w:w w:val="105"/>
          <w:sz w:val="21"/>
        </w:rPr>
        <w:t>e</w:t>
      </w:r>
      <w:r>
        <w:rPr>
          <w:b/>
          <w:color w:val="383636"/>
          <w:w w:val="105"/>
          <w:sz w:val="21"/>
        </w:rPr>
        <w:t>st.</w:t>
      </w:r>
    </w:p>
    <w:p>
      <w:pPr>
        <w:pStyle w:val="BodyText"/>
        <w:spacing w:line="225" w:lineRule="auto" w:before="160"/>
        <w:ind w:left="444" w:right="150" w:firstLine="413"/>
        <w:jc w:val="both"/>
      </w:pPr>
      <w:r>
        <w:rPr>
          <w:color w:val="383636"/>
          <w:w w:val="105"/>
        </w:rPr>
        <w:t>Your final task is to </w:t>
      </w:r>
      <w:r>
        <w:rPr>
          <w:color w:val="282426"/>
          <w:w w:val="105"/>
        </w:rPr>
        <w:t>review </w:t>
      </w:r>
      <w:r>
        <w:rPr>
          <w:color w:val="383636"/>
          <w:w w:val="105"/>
        </w:rPr>
        <w:t>your entire document and write a final com­</w:t>
      </w:r>
      <w:r>
        <w:rPr>
          <w:color w:val="383636"/>
          <w:spacing w:val="-58"/>
          <w:w w:val="105"/>
        </w:rPr>
        <w:t> </w:t>
      </w:r>
      <w:r>
        <w:rPr>
          <w:color w:val="383636"/>
          <w:w w:val="110"/>
        </w:rPr>
        <w:t>ment</w:t>
      </w:r>
      <w:r>
        <w:rPr>
          <w:color w:val="545456"/>
          <w:w w:val="110"/>
        </w:rPr>
        <w:t>. </w:t>
      </w:r>
      <w:r>
        <w:rPr>
          <w:color w:val="383636"/>
          <w:w w:val="110"/>
        </w:rPr>
        <w:t>What two or three aspects of your document need the most revi­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sion? What elements of the document are particularly effective? Recording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this information now, while the impressions are strong </w:t>
      </w:r>
      <w:r>
        <w:rPr>
          <w:color w:val="282426"/>
          <w:w w:val="105"/>
        </w:rPr>
        <w:t>in </w:t>
      </w:r>
      <w:r>
        <w:rPr>
          <w:color w:val="383636"/>
          <w:w w:val="105"/>
        </w:rPr>
        <w:t>your mind, </w:t>
      </w:r>
      <w:r>
        <w:rPr>
          <w:color w:val="383636"/>
          <w:w w:val="105"/>
          <w:sz w:val="24"/>
        </w:rPr>
        <w:t>will</w:t>
      </w:r>
      <w:r>
        <w:rPr>
          <w:color w:val="383636"/>
          <w:spacing w:val="1"/>
          <w:w w:val="105"/>
          <w:sz w:val="24"/>
        </w:rPr>
        <w:t> </w:t>
      </w:r>
      <w:r>
        <w:rPr>
          <w:color w:val="383636"/>
          <w:w w:val="110"/>
        </w:rPr>
        <w:t>help you later as you tackle the important step of revising your document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with</w:t>
      </w:r>
      <w:r>
        <w:rPr>
          <w:color w:val="383636"/>
          <w:spacing w:val="10"/>
          <w:w w:val="110"/>
        </w:rPr>
        <w:t> </w:t>
      </w:r>
      <w:r>
        <w:rPr>
          <w:color w:val="383636"/>
          <w:w w:val="110"/>
        </w:rPr>
        <w:t>your</w:t>
      </w:r>
      <w:r>
        <w:rPr>
          <w:color w:val="383636"/>
          <w:spacing w:val="4"/>
          <w:w w:val="110"/>
        </w:rPr>
        <w:t> </w:t>
      </w:r>
      <w:r>
        <w:rPr>
          <w:color w:val="282426"/>
          <w:w w:val="110"/>
        </w:rPr>
        <w:t>reader</w:t>
      </w:r>
      <w:r>
        <w:rPr>
          <w:color w:val="282426"/>
          <w:spacing w:val="-8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26"/>
          <w:w w:val="110"/>
        </w:rPr>
        <w:t> </w:t>
      </w:r>
      <w:r>
        <w:rPr>
          <w:color w:val="383636"/>
          <w:w w:val="110"/>
        </w:rPr>
        <w:t>mind.</w:t>
      </w:r>
    </w:p>
    <w:p>
      <w:pPr>
        <w:pStyle w:val="BodyText"/>
        <w:rPr>
          <w:sz w:val="20"/>
        </w:rPr>
      </w:pPr>
    </w:p>
    <w:p>
      <w:pPr>
        <w:spacing w:before="261"/>
        <w:ind w:left="910" w:right="0" w:firstLine="0"/>
        <w:jc w:val="left"/>
        <w:rPr>
          <w:b/>
          <w:sz w:val="34"/>
        </w:rPr>
      </w:pPr>
      <w:r>
        <w:rPr>
          <w:b/>
          <w:color w:val="383636"/>
          <w:w w:val="135"/>
          <w:sz w:val="34"/>
        </w:rPr>
        <w:t>7</w:t>
      </w:r>
      <w:r>
        <w:rPr>
          <w:b/>
          <w:color w:val="545456"/>
          <w:w w:val="135"/>
          <w:sz w:val="34"/>
        </w:rPr>
        <w:t>.</w:t>
      </w:r>
      <w:r>
        <w:rPr>
          <w:b/>
          <w:color w:val="383636"/>
          <w:w w:val="135"/>
          <w:sz w:val="34"/>
        </w:rPr>
        <w:t>3</w:t>
      </w:r>
    </w:p>
    <w:p>
      <w:pPr>
        <w:spacing w:before="31"/>
        <w:ind w:left="999" w:right="0" w:firstLine="0"/>
        <w:jc w:val="left"/>
        <w:rPr>
          <w:b/>
          <w:sz w:val="29"/>
        </w:rPr>
      </w:pPr>
      <w:r>
        <w:rPr>
          <w:b/>
          <w:color w:val="383636"/>
          <w:sz w:val="29"/>
        </w:rPr>
        <w:t>SUMMARY</w:t>
      </w:r>
    </w:p>
    <w:p>
      <w:pPr>
        <w:pStyle w:val="BodyText"/>
        <w:spacing w:line="220" w:lineRule="auto" w:before="177"/>
        <w:ind w:left="338" w:right="306" w:firstLine="291"/>
      </w:pPr>
      <w:r>
        <w:rPr>
          <w:rFonts w:ascii="Arial"/>
          <w:b/>
          <w:color w:val="383636"/>
          <w:w w:val="105"/>
          <w:position w:val="1"/>
          <w:sz w:val="37"/>
        </w:rPr>
        <w:t>1 </w:t>
      </w:r>
      <w:r>
        <w:rPr>
          <w:color w:val="383636"/>
          <w:w w:val="105"/>
        </w:rPr>
        <w:t>Use the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self-graded draft exercise to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separate yourself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from your text</w:t>
      </w:r>
      <w:r>
        <w:rPr>
          <w:color w:val="383636"/>
          <w:spacing w:val="-58"/>
          <w:w w:val="105"/>
        </w:rPr>
        <w:t> </w:t>
      </w:r>
      <w:r>
        <w:rPr>
          <w:color w:val="383636"/>
          <w:w w:val="110"/>
        </w:rPr>
        <w:t>so</w:t>
      </w:r>
      <w:r>
        <w:rPr>
          <w:color w:val="383636"/>
          <w:spacing w:val="3"/>
          <w:w w:val="110"/>
        </w:rPr>
        <w:t> </w:t>
      </w:r>
      <w:r>
        <w:rPr>
          <w:color w:val="383636"/>
          <w:w w:val="110"/>
        </w:rPr>
        <w:t>that</w:t>
      </w:r>
      <w:r>
        <w:rPr>
          <w:color w:val="383636"/>
          <w:spacing w:val="37"/>
          <w:w w:val="110"/>
        </w:rPr>
        <w:t> </w:t>
      </w:r>
      <w:r>
        <w:rPr>
          <w:color w:val="383636"/>
          <w:w w:val="110"/>
        </w:rPr>
        <w:t>you</w:t>
      </w:r>
      <w:r>
        <w:rPr>
          <w:color w:val="383636"/>
          <w:spacing w:val="-15"/>
          <w:w w:val="110"/>
        </w:rPr>
        <w:t> </w:t>
      </w:r>
      <w:r>
        <w:rPr>
          <w:color w:val="383636"/>
          <w:w w:val="110"/>
        </w:rPr>
        <w:t>can</w:t>
      </w:r>
      <w:r>
        <w:rPr>
          <w:color w:val="383636"/>
          <w:spacing w:val="5"/>
          <w:w w:val="110"/>
        </w:rPr>
        <w:t> </w:t>
      </w:r>
      <w:r>
        <w:rPr>
          <w:color w:val="383636"/>
          <w:w w:val="110"/>
        </w:rPr>
        <w:t>see</w:t>
      </w:r>
      <w:r>
        <w:rPr>
          <w:color w:val="383636"/>
          <w:spacing w:val="28"/>
          <w:w w:val="110"/>
        </w:rPr>
        <w:t> </w:t>
      </w:r>
      <w:r>
        <w:rPr>
          <w:color w:val="383636"/>
          <w:w w:val="110"/>
        </w:rPr>
        <w:t>what</w:t>
      </w:r>
      <w:r>
        <w:rPr>
          <w:color w:val="383636"/>
          <w:spacing w:val="34"/>
          <w:w w:val="110"/>
        </w:rPr>
        <w:t> </w:t>
      </w:r>
      <w:r>
        <w:rPr>
          <w:color w:val="383636"/>
          <w:w w:val="110"/>
        </w:rPr>
        <w:t>is</w:t>
      </w:r>
      <w:r>
        <w:rPr>
          <w:color w:val="383636"/>
          <w:spacing w:val="28"/>
          <w:w w:val="110"/>
        </w:rPr>
        <w:t> </w:t>
      </w:r>
      <w:r>
        <w:rPr>
          <w:color w:val="383636"/>
          <w:w w:val="110"/>
        </w:rPr>
        <w:t>really</w:t>
      </w:r>
      <w:r>
        <w:rPr>
          <w:color w:val="383636"/>
          <w:spacing w:val="21"/>
          <w:w w:val="110"/>
        </w:rPr>
        <w:t> </w:t>
      </w:r>
      <w:r>
        <w:rPr>
          <w:color w:val="383636"/>
          <w:w w:val="110"/>
        </w:rPr>
        <w:t>on</w:t>
      </w:r>
      <w:r>
        <w:rPr>
          <w:color w:val="383636"/>
          <w:spacing w:val="15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7"/>
          <w:w w:val="110"/>
        </w:rPr>
        <w:t> </w:t>
      </w:r>
      <w:r>
        <w:rPr>
          <w:color w:val="383636"/>
          <w:w w:val="110"/>
        </w:rPr>
        <w:t>printed</w:t>
      </w:r>
      <w:r>
        <w:rPr>
          <w:color w:val="383636"/>
          <w:spacing w:val="45"/>
          <w:w w:val="110"/>
        </w:rPr>
        <w:t> </w:t>
      </w:r>
      <w:r>
        <w:rPr>
          <w:color w:val="383636"/>
          <w:w w:val="110"/>
        </w:rPr>
        <w:t>page.</w:t>
      </w:r>
      <w:r>
        <w:rPr>
          <w:color w:val="383636"/>
          <w:spacing w:val="37"/>
          <w:w w:val="110"/>
        </w:rPr>
        <w:t> </w:t>
      </w:r>
      <w:r>
        <w:rPr>
          <w:rFonts w:ascii="Arial"/>
          <w:color w:val="383636"/>
          <w:w w:val="110"/>
          <w:sz w:val="21"/>
        </w:rPr>
        <w:t>By</w:t>
      </w:r>
      <w:r>
        <w:rPr>
          <w:rFonts w:ascii="Arial"/>
          <w:color w:val="383636"/>
          <w:spacing w:val="41"/>
          <w:w w:val="110"/>
          <w:sz w:val="21"/>
        </w:rPr>
        <w:t> </w:t>
      </w:r>
      <w:r>
        <w:rPr>
          <w:color w:val="383636"/>
          <w:w w:val="110"/>
        </w:rPr>
        <w:t>looking</w:t>
      </w:r>
      <w:r>
        <w:rPr>
          <w:color w:val="383636"/>
          <w:spacing w:val="20"/>
          <w:w w:val="110"/>
        </w:rPr>
        <w:t> </w:t>
      </w:r>
      <w:r>
        <w:rPr>
          <w:color w:val="383636"/>
          <w:w w:val="110"/>
        </w:rPr>
        <w:t>for</w:t>
      </w:r>
    </w:p>
    <w:p>
      <w:pPr>
        <w:spacing w:after="0" w:line="220" w:lineRule="auto"/>
        <w:sectPr>
          <w:headerReference w:type="even" r:id="rId185"/>
          <w:headerReference w:type="default" r:id="rId186"/>
          <w:pgSz w:w="9290" w:h="13770"/>
          <w:pgMar w:header="569" w:footer="0" w:top="900" w:bottom="0" w:left="1280" w:right="0"/>
          <w:pgNumType w:start="162"/>
        </w:sectPr>
      </w:pPr>
    </w:p>
    <w:p>
      <w:pPr>
        <w:spacing w:line="223" w:lineRule="auto" w:before="96"/>
        <w:ind w:left="122" w:right="192" w:hanging="3"/>
        <w:jc w:val="both"/>
        <w:rPr>
          <w:sz w:val="24"/>
        </w:rPr>
      </w:pPr>
      <w:r>
        <w:rPr>
          <w:color w:val="363434"/>
          <w:spacing w:val="-1"/>
          <w:w w:val="110"/>
          <w:sz w:val="24"/>
        </w:rPr>
        <w:t>specific analytical </w:t>
      </w:r>
      <w:r>
        <w:rPr>
          <w:color w:val="363434"/>
          <w:w w:val="110"/>
          <w:sz w:val="24"/>
        </w:rPr>
        <w:t>elements and asking yourself focused questions, you</w:t>
      </w:r>
      <w:r>
        <w:rPr>
          <w:color w:val="363434"/>
          <w:spacing w:val="-63"/>
          <w:w w:val="110"/>
          <w:sz w:val="24"/>
        </w:rPr>
        <w:t> </w:t>
      </w:r>
      <w:r>
        <w:rPr>
          <w:color w:val="363434"/>
          <w:w w:val="105"/>
          <w:sz w:val="24"/>
        </w:rPr>
        <w:t>can begin to see your writing through your reader's eyes. Now is the time</w:t>
      </w:r>
      <w:r>
        <w:rPr>
          <w:color w:val="363434"/>
          <w:spacing w:val="1"/>
          <w:w w:val="105"/>
          <w:sz w:val="24"/>
        </w:rPr>
        <w:t> </w:t>
      </w:r>
      <w:r>
        <w:rPr>
          <w:color w:val="363434"/>
          <w:w w:val="105"/>
          <w:sz w:val="24"/>
        </w:rPr>
        <w:t>for you to shift your focus. Your first focus must always be on gaining an</w:t>
      </w:r>
      <w:r>
        <w:rPr>
          <w:color w:val="363434"/>
          <w:spacing w:val="1"/>
          <w:w w:val="105"/>
          <w:sz w:val="24"/>
        </w:rPr>
        <w:t> </w:t>
      </w:r>
      <w:r>
        <w:rPr>
          <w:color w:val="363434"/>
          <w:w w:val="105"/>
          <w:sz w:val="24"/>
        </w:rPr>
        <w:t>understanding of the case: what the facts are, what the relevant rules and</w:t>
      </w:r>
      <w:r>
        <w:rPr>
          <w:color w:val="363434"/>
          <w:spacing w:val="1"/>
          <w:w w:val="105"/>
          <w:sz w:val="24"/>
        </w:rPr>
        <w:t> </w:t>
      </w:r>
      <w:r>
        <w:rPr>
          <w:color w:val="363434"/>
          <w:w w:val="110"/>
          <w:sz w:val="24"/>
        </w:rPr>
        <w:t>authorities</w:t>
      </w:r>
      <w:r>
        <w:rPr>
          <w:color w:val="363434"/>
          <w:spacing w:val="-14"/>
          <w:w w:val="110"/>
          <w:sz w:val="24"/>
        </w:rPr>
        <w:t> </w:t>
      </w:r>
      <w:r>
        <w:rPr>
          <w:color w:val="363434"/>
          <w:w w:val="110"/>
          <w:sz w:val="24"/>
        </w:rPr>
        <w:t>are,</w:t>
      </w:r>
      <w:r>
        <w:rPr>
          <w:color w:val="363434"/>
          <w:spacing w:val="-17"/>
          <w:w w:val="110"/>
          <w:sz w:val="24"/>
        </w:rPr>
        <w:t> </w:t>
      </w:r>
      <w:r>
        <w:rPr>
          <w:color w:val="363434"/>
          <w:w w:val="110"/>
          <w:sz w:val="24"/>
        </w:rPr>
        <w:t>and</w:t>
      </w:r>
      <w:r>
        <w:rPr>
          <w:color w:val="363434"/>
          <w:spacing w:val="11"/>
          <w:w w:val="110"/>
          <w:sz w:val="24"/>
        </w:rPr>
        <w:t> </w:t>
      </w:r>
      <w:r>
        <w:rPr>
          <w:color w:val="363434"/>
          <w:w w:val="110"/>
          <w:sz w:val="24"/>
        </w:rPr>
        <w:t>how</w:t>
      </w:r>
      <w:r>
        <w:rPr>
          <w:color w:val="363434"/>
          <w:spacing w:val="-9"/>
          <w:w w:val="110"/>
          <w:sz w:val="24"/>
        </w:rPr>
        <w:t> </w:t>
      </w:r>
      <w:r>
        <w:rPr>
          <w:color w:val="363434"/>
          <w:w w:val="110"/>
          <w:sz w:val="24"/>
        </w:rPr>
        <w:t>they</w:t>
      </w:r>
      <w:r>
        <w:rPr>
          <w:color w:val="363434"/>
          <w:spacing w:val="-15"/>
          <w:w w:val="110"/>
          <w:sz w:val="24"/>
        </w:rPr>
        <w:t> </w:t>
      </w:r>
      <w:r>
        <w:rPr>
          <w:color w:val="363434"/>
          <w:w w:val="110"/>
          <w:sz w:val="24"/>
        </w:rPr>
        <w:t>work</w:t>
      </w:r>
      <w:r>
        <w:rPr>
          <w:color w:val="363434"/>
          <w:spacing w:val="-12"/>
          <w:w w:val="110"/>
          <w:sz w:val="24"/>
        </w:rPr>
        <w:t> </w:t>
      </w:r>
      <w:r>
        <w:rPr>
          <w:color w:val="363434"/>
          <w:w w:val="110"/>
          <w:sz w:val="24"/>
        </w:rPr>
        <w:t>together</w:t>
      </w:r>
      <w:r>
        <w:rPr>
          <w:color w:val="363434"/>
          <w:spacing w:val="-5"/>
          <w:w w:val="110"/>
          <w:sz w:val="24"/>
        </w:rPr>
        <w:t> </w:t>
      </w:r>
      <w:r>
        <w:rPr>
          <w:color w:val="363434"/>
          <w:w w:val="110"/>
          <w:sz w:val="24"/>
        </w:rPr>
        <w:t>in</w:t>
      </w:r>
      <w:r>
        <w:rPr>
          <w:color w:val="363434"/>
          <w:spacing w:val="-4"/>
          <w:w w:val="110"/>
          <w:sz w:val="24"/>
        </w:rPr>
        <w:t> </w:t>
      </w:r>
      <w:r>
        <w:rPr>
          <w:color w:val="363434"/>
          <w:w w:val="110"/>
          <w:sz w:val="24"/>
        </w:rPr>
        <w:t>your</w:t>
      </w:r>
      <w:r>
        <w:rPr>
          <w:color w:val="363434"/>
          <w:spacing w:val="-16"/>
          <w:w w:val="110"/>
          <w:sz w:val="24"/>
        </w:rPr>
        <w:t> </w:t>
      </w:r>
      <w:r>
        <w:rPr>
          <w:color w:val="363434"/>
          <w:w w:val="110"/>
          <w:sz w:val="24"/>
        </w:rPr>
        <w:t>argument.</w:t>
      </w:r>
      <w:r>
        <w:rPr>
          <w:color w:val="363434"/>
          <w:spacing w:val="-7"/>
          <w:w w:val="110"/>
          <w:sz w:val="24"/>
        </w:rPr>
        <w:t> </w:t>
      </w:r>
      <w:r>
        <w:rPr>
          <w:color w:val="363434"/>
          <w:w w:val="110"/>
          <w:sz w:val="24"/>
        </w:rPr>
        <w:t>Now</w:t>
      </w:r>
      <w:r>
        <w:rPr>
          <w:color w:val="363434"/>
          <w:spacing w:val="-15"/>
          <w:w w:val="110"/>
          <w:sz w:val="24"/>
        </w:rPr>
        <w:t> </w:t>
      </w:r>
      <w:r>
        <w:rPr>
          <w:color w:val="363434"/>
          <w:w w:val="110"/>
          <w:sz w:val="24"/>
        </w:rPr>
        <w:t>you</w:t>
      </w:r>
      <w:r>
        <w:rPr>
          <w:color w:val="363434"/>
          <w:spacing w:val="-64"/>
          <w:w w:val="110"/>
          <w:sz w:val="24"/>
        </w:rPr>
        <w:t> </w:t>
      </w:r>
      <w:r>
        <w:rPr>
          <w:color w:val="363434"/>
          <w:w w:val="105"/>
          <w:sz w:val="24"/>
        </w:rPr>
        <w:t>must also start to think about how the reader will perceive your argument</w:t>
      </w:r>
      <w:r>
        <w:rPr>
          <w:color w:val="363434"/>
          <w:spacing w:val="1"/>
          <w:w w:val="105"/>
          <w:sz w:val="24"/>
        </w:rPr>
        <w:t> </w:t>
      </w:r>
      <w:r>
        <w:rPr>
          <w:color w:val="363434"/>
          <w:w w:val="105"/>
          <w:sz w:val="24"/>
        </w:rPr>
        <w:t>and, more importantly, how you can craft your argument to increase the</w:t>
      </w:r>
      <w:r>
        <w:rPr>
          <w:color w:val="363434"/>
          <w:spacing w:val="1"/>
          <w:w w:val="105"/>
          <w:sz w:val="24"/>
        </w:rPr>
        <w:t> </w:t>
      </w:r>
      <w:r>
        <w:rPr>
          <w:color w:val="363434"/>
          <w:w w:val="105"/>
          <w:sz w:val="24"/>
        </w:rPr>
        <w:t>reader's</w:t>
      </w:r>
      <w:r>
        <w:rPr>
          <w:color w:val="363434"/>
          <w:spacing w:val="-12"/>
          <w:w w:val="105"/>
          <w:sz w:val="24"/>
        </w:rPr>
        <w:t> </w:t>
      </w:r>
      <w:r>
        <w:rPr>
          <w:color w:val="363434"/>
          <w:w w:val="105"/>
          <w:sz w:val="24"/>
        </w:rPr>
        <w:t>understanding</w:t>
      </w:r>
      <w:r>
        <w:rPr>
          <w:color w:val="363434"/>
          <w:spacing w:val="-8"/>
          <w:w w:val="105"/>
          <w:sz w:val="24"/>
        </w:rPr>
        <w:t> </w:t>
      </w:r>
      <w:r>
        <w:rPr>
          <w:color w:val="363434"/>
          <w:w w:val="105"/>
          <w:sz w:val="24"/>
        </w:rPr>
        <w:t>of</w:t>
      </w:r>
      <w:r>
        <w:rPr>
          <w:color w:val="363434"/>
          <w:spacing w:val="3"/>
          <w:w w:val="105"/>
          <w:sz w:val="24"/>
        </w:rPr>
        <w:t> </w:t>
      </w:r>
      <w:r>
        <w:rPr>
          <w:color w:val="363434"/>
          <w:w w:val="105"/>
          <w:sz w:val="24"/>
        </w:rPr>
        <w:t>your</w:t>
      </w:r>
      <w:r>
        <w:rPr>
          <w:color w:val="363434"/>
          <w:spacing w:val="-12"/>
          <w:w w:val="105"/>
          <w:sz w:val="24"/>
        </w:rPr>
        <w:t> </w:t>
      </w:r>
      <w:r>
        <w:rPr>
          <w:color w:val="363434"/>
          <w:w w:val="105"/>
          <w:sz w:val="24"/>
        </w:rPr>
        <w:t>case</w:t>
      </w:r>
      <w:r>
        <w:rPr>
          <w:color w:val="6E7070"/>
          <w:w w:val="105"/>
          <w:sz w:val="24"/>
        </w:rPr>
        <w:t>.</w:t>
      </w:r>
    </w:p>
    <w:p>
      <w:pPr>
        <w:spacing w:after="0" w:line="223" w:lineRule="auto"/>
        <w:jc w:val="both"/>
        <w:rPr>
          <w:sz w:val="24"/>
        </w:rPr>
        <w:sectPr>
          <w:pgSz w:w="9520" w:h="13730"/>
          <w:pgMar w:header="337" w:footer="0" w:top="1140" w:bottom="280" w:left="360" w:right="132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even" r:id="rId187"/>
          <w:headerReference w:type="default" r:id="rId188"/>
          <w:pgSz w:w="9500" w:h="13740"/>
          <w:pgMar w:header="482" w:footer="0" w:top="720" w:bottom="280" w:left="440" w:right="1180"/>
        </w:sectPr>
      </w:pPr>
    </w:p>
    <w:p>
      <w:pPr>
        <w:spacing w:line="308" w:lineRule="exact" w:before="223"/>
        <w:ind w:left="0" w:right="9" w:firstLine="0"/>
        <w:jc w:val="center"/>
        <w:rPr>
          <w:sz w:val="33"/>
        </w:rPr>
      </w:pPr>
      <w:r>
        <w:rPr>
          <w:color w:val="3B383A"/>
          <w:w w:val="105"/>
          <w:sz w:val="33"/>
        </w:rPr>
        <w:t>i</w:t>
      </w:r>
    </w:p>
    <w:p>
      <w:pPr>
        <w:spacing w:line="127" w:lineRule="auto" w:before="84"/>
        <w:ind w:left="56" w:right="0" w:firstLine="0"/>
        <w:jc w:val="center"/>
        <w:rPr>
          <w:rFonts w:ascii="Arial" w:hAnsi="Arial"/>
          <w:i/>
          <w:sz w:val="46"/>
        </w:rPr>
      </w:pPr>
      <w:r>
        <w:rPr>
          <w:rFonts w:ascii="Arial" w:hAnsi="Arial"/>
          <w:i/>
          <w:color w:val="3B383A"/>
          <w:spacing w:val="-125"/>
          <w:w w:val="70"/>
          <w:position w:val="-7"/>
          <w:sz w:val="46"/>
        </w:rPr>
        <w:t>°</w:t>
      </w:r>
      <w:r>
        <w:rPr>
          <w:color w:val="3B383A"/>
          <w:spacing w:val="-35"/>
          <w:w w:val="70"/>
          <w:sz w:val="26"/>
        </w:rPr>
        <w:t>;</w:t>
      </w:r>
      <w:r>
        <w:rPr>
          <w:color w:val="3B383A"/>
          <w:spacing w:val="-51"/>
          <w:w w:val="60"/>
          <w:position w:val="-18"/>
          <w:sz w:val="56"/>
        </w:rPr>
        <w:t>.</w:t>
      </w:r>
      <w:r>
        <w:rPr>
          <w:color w:val="3B383A"/>
          <w:spacing w:val="-1"/>
          <w:w w:val="70"/>
          <w:sz w:val="26"/>
        </w:rPr>
        <w:t>;</w:t>
      </w:r>
      <w:r>
        <w:rPr>
          <w:color w:val="3B383A"/>
          <w:spacing w:val="-62"/>
          <w:w w:val="60"/>
          <w:position w:val="-18"/>
          <w:sz w:val="56"/>
        </w:rPr>
        <w:t>.</w:t>
      </w:r>
      <w:r>
        <w:rPr>
          <w:rFonts w:ascii="Arial" w:hAnsi="Arial"/>
          <w:i/>
          <w:color w:val="3B383A"/>
          <w:spacing w:val="-1"/>
          <w:w w:val="70"/>
          <w:position w:val="-7"/>
          <w:sz w:val="46"/>
        </w:rPr>
        <w:t>'</w:t>
      </w:r>
    </w:p>
    <w:p>
      <w:pPr>
        <w:pStyle w:val="Heading3"/>
        <w:jc w:val="center"/>
      </w:pPr>
      <w:r>
        <w:rPr>
          <w:color w:val="3B383A"/>
          <w:w w:val="60"/>
        </w:rPr>
        <w:t>i</w:t>
      </w:r>
    </w:p>
    <w:p>
      <w:pPr>
        <w:spacing w:line="136" w:lineRule="auto" w:before="0"/>
        <w:ind w:left="82" w:right="0" w:firstLine="0"/>
        <w:jc w:val="center"/>
        <w:rPr>
          <w:rFonts w:ascii="Arial" w:hAnsi="Arial"/>
          <w:sz w:val="39"/>
        </w:rPr>
      </w:pPr>
      <w:r>
        <w:rPr>
          <w:rFonts w:ascii="Arial" w:hAnsi="Arial"/>
          <w:color w:val="3B383A"/>
          <w:spacing w:val="-75"/>
          <w:w w:val="95"/>
          <w:position w:val="-25"/>
          <w:sz w:val="48"/>
        </w:rPr>
        <w:t>o</w:t>
      </w:r>
      <w:r>
        <w:rPr>
          <w:rFonts w:ascii="Arial" w:hAnsi="Arial"/>
          <w:color w:val="3B383A"/>
          <w:spacing w:val="-75"/>
          <w:w w:val="95"/>
          <w:sz w:val="39"/>
        </w:rPr>
        <w:t>•</w:t>
      </w:r>
    </w:p>
    <w:p>
      <w:pPr>
        <w:spacing w:line="240" w:lineRule="auto" w:before="0"/>
        <w:rPr>
          <w:rFonts w:ascii="Arial"/>
          <w:sz w:val="44"/>
        </w:rPr>
      </w:pPr>
      <w:r>
        <w:rPr/>
        <w:br w:type="column"/>
      </w:r>
      <w:r>
        <w:rPr>
          <w:rFonts w:ascii="Arial"/>
          <w:sz w:val="44"/>
        </w:rPr>
      </w:r>
    </w:p>
    <w:p>
      <w:pPr>
        <w:pStyle w:val="BodyText"/>
        <w:rPr>
          <w:rFonts w:ascii="Arial"/>
          <w:sz w:val="39"/>
        </w:rPr>
      </w:pPr>
    </w:p>
    <w:p>
      <w:pPr>
        <w:pStyle w:val="Heading5"/>
      </w:pPr>
      <w:r>
        <w:rPr>
          <w:color w:val="808283"/>
          <w:w w:val="105"/>
        </w:rPr>
        <w:t>PROFESSIONALISM</w:t>
      </w:r>
      <w:r>
        <w:rPr>
          <w:color w:val="3B383A"/>
          <w:w w:val="105"/>
        </w:rPr>
        <w:t>:</w:t>
      </w:r>
      <w:r>
        <w:rPr>
          <w:color w:val="3B383A"/>
          <w:spacing w:val="18"/>
          <w:w w:val="105"/>
        </w:rPr>
        <w:t> </w:t>
      </w:r>
      <w:r>
        <w:rPr>
          <w:color w:val="808283"/>
          <w:w w:val="105"/>
        </w:rPr>
        <w:t>FOLLOWING</w:t>
      </w:r>
    </w:p>
    <w:p>
      <w:pPr>
        <w:spacing w:before="14"/>
        <w:ind w:left="129" w:right="0" w:firstLine="0"/>
        <w:jc w:val="left"/>
        <w:rPr>
          <w:rFonts w:ascii="Arial"/>
          <w:sz w:val="37"/>
        </w:rPr>
      </w:pPr>
      <w:r>
        <w:rPr>
          <w:color w:val="808283"/>
          <w:sz w:val="44"/>
        </w:rPr>
        <w:t>FORMAT </w:t>
      </w:r>
      <w:r>
        <w:rPr>
          <w:rFonts w:ascii="Arial"/>
          <w:color w:val="909195"/>
          <w:sz w:val="37"/>
        </w:rPr>
        <w:t>RULES</w:t>
      </w:r>
    </w:p>
    <w:p>
      <w:pPr>
        <w:pStyle w:val="BodyText"/>
        <w:spacing w:before="10"/>
        <w:rPr>
          <w:rFonts w:ascii="Arial"/>
          <w:sz w:val="55"/>
        </w:rPr>
      </w:pPr>
    </w:p>
    <w:p>
      <w:pPr>
        <w:pStyle w:val="ListParagraph"/>
        <w:numPr>
          <w:ilvl w:val="1"/>
          <w:numId w:val="67"/>
        </w:numPr>
        <w:tabs>
          <w:tab w:pos="624" w:val="left" w:leader="none"/>
          <w:tab w:pos="625" w:val="left" w:leader="none"/>
        </w:tabs>
        <w:spacing w:line="226" w:lineRule="exact" w:before="0" w:after="0"/>
        <w:ind w:left="624" w:right="0" w:hanging="497"/>
        <w:jc w:val="left"/>
        <w:rPr>
          <w:rFonts w:ascii="Arial"/>
          <w:b/>
          <w:color w:val="3B383A"/>
          <w:sz w:val="20"/>
        </w:rPr>
      </w:pPr>
      <w:r>
        <w:rPr>
          <w:color w:val="3B383A"/>
          <w:w w:val="115"/>
          <w:sz w:val="20"/>
        </w:rPr>
        <w:t>Length</w:t>
      </w:r>
      <w:r>
        <w:rPr>
          <w:color w:val="3B383A"/>
          <w:spacing w:val="5"/>
          <w:w w:val="115"/>
          <w:sz w:val="20"/>
        </w:rPr>
        <w:t> </w:t>
      </w:r>
      <w:r>
        <w:rPr>
          <w:color w:val="3B383A"/>
          <w:w w:val="115"/>
          <w:sz w:val="20"/>
        </w:rPr>
        <w:t>Requirements</w:t>
      </w:r>
    </w:p>
    <w:p>
      <w:pPr>
        <w:pStyle w:val="ListParagraph"/>
        <w:numPr>
          <w:ilvl w:val="1"/>
          <w:numId w:val="67"/>
        </w:numPr>
        <w:tabs>
          <w:tab w:pos="614" w:val="left" w:leader="none"/>
        </w:tabs>
        <w:spacing w:line="208" w:lineRule="exact" w:before="0" w:after="0"/>
        <w:ind w:left="613" w:right="0" w:hanging="486"/>
        <w:jc w:val="left"/>
        <w:rPr>
          <w:rFonts w:ascii="Arial"/>
          <w:b/>
          <w:color w:val="3B383A"/>
          <w:sz w:val="20"/>
        </w:rPr>
      </w:pPr>
      <w:r>
        <w:rPr>
          <w:color w:val="3B383A"/>
          <w:w w:val="110"/>
          <w:sz w:val="20"/>
        </w:rPr>
        <w:t>Typefaces</w:t>
      </w:r>
      <w:r>
        <w:rPr>
          <w:color w:val="3B383A"/>
          <w:spacing w:val="-5"/>
          <w:w w:val="110"/>
          <w:sz w:val="20"/>
        </w:rPr>
        <w:t> </w:t>
      </w:r>
      <w:r>
        <w:rPr>
          <w:color w:val="3B383A"/>
          <w:w w:val="110"/>
          <w:sz w:val="20"/>
        </w:rPr>
        <w:t>and</w:t>
      </w:r>
      <w:r>
        <w:rPr>
          <w:color w:val="3B383A"/>
          <w:spacing w:val="10"/>
          <w:w w:val="110"/>
          <w:sz w:val="20"/>
        </w:rPr>
        <w:t> </w:t>
      </w:r>
      <w:r>
        <w:rPr>
          <w:color w:val="3B383A"/>
          <w:w w:val="110"/>
          <w:sz w:val="20"/>
        </w:rPr>
        <w:t>Margins</w:t>
      </w:r>
    </w:p>
    <w:p>
      <w:pPr>
        <w:pStyle w:val="ListParagraph"/>
        <w:numPr>
          <w:ilvl w:val="1"/>
          <w:numId w:val="67"/>
        </w:numPr>
        <w:tabs>
          <w:tab w:pos="626" w:val="left" w:leader="none"/>
        </w:tabs>
        <w:spacing w:line="234" w:lineRule="exact" w:before="0" w:after="0"/>
        <w:ind w:left="625" w:right="0" w:hanging="498"/>
        <w:jc w:val="left"/>
        <w:rPr>
          <w:b/>
          <w:color w:val="3B383A"/>
          <w:sz w:val="23"/>
        </w:rPr>
      </w:pPr>
      <w:r>
        <w:rPr>
          <w:color w:val="3B383A"/>
          <w:w w:val="115"/>
          <w:sz w:val="20"/>
        </w:rPr>
        <w:t>Filing</w:t>
      </w:r>
      <w:r>
        <w:rPr>
          <w:color w:val="3B383A"/>
          <w:spacing w:val="-10"/>
          <w:w w:val="115"/>
          <w:sz w:val="20"/>
        </w:rPr>
        <w:t> </w:t>
      </w:r>
      <w:r>
        <w:rPr>
          <w:color w:val="3B383A"/>
          <w:w w:val="115"/>
          <w:sz w:val="20"/>
        </w:rPr>
        <w:t>Requirements</w:t>
      </w:r>
      <w:r>
        <w:rPr>
          <w:color w:val="3B383A"/>
          <w:spacing w:val="-4"/>
          <w:w w:val="115"/>
          <w:sz w:val="20"/>
        </w:rPr>
        <w:t> </w:t>
      </w:r>
      <w:r>
        <w:rPr>
          <w:color w:val="3B383A"/>
          <w:w w:val="115"/>
          <w:sz w:val="20"/>
        </w:rPr>
        <w:t>and</w:t>
      </w:r>
      <w:r>
        <w:rPr>
          <w:color w:val="3B383A"/>
          <w:spacing w:val="29"/>
          <w:w w:val="115"/>
          <w:sz w:val="20"/>
        </w:rPr>
        <w:t> </w:t>
      </w:r>
      <w:r>
        <w:rPr>
          <w:color w:val="3B383A"/>
          <w:w w:val="115"/>
          <w:sz w:val="20"/>
        </w:rPr>
        <w:t>Number</w:t>
      </w:r>
      <w:r>
        <w:rPr>
          <w:color w:val="3B383A"/>
          <w:spacing w:val="-4"/>
          <w:w w:val="115"/>
          <w:sz w:val="20"/>
        </w:rPr>
        <w:t> </w:t>
      </w:r>
      <w:r>
        <w:rPr>
          <w:color w:val="3B383A"/>
          <w:w w:val="115"/>
          <w:sz w:val="20"/>
        </w:rPr>
        <w:t>of</w:t>
      </w:r>
      <w:r>
        <w:rPr>
          <w:color w:val="3B383A"/>
          <w:spacing w:val="-4"/>
          <w:w w:val="115"/>
          <w:sz w:val="20"/>
        </w:rPr>
        <w:t> </w:t>
      </w:r>
      <w:r>
        <w:rPr>
          <w:color w:val="3B383A"/>
          <w:w w:val="115"/>
          <w:sz w:val="20"/>
        </w:rPr>
        <w:t>Copies</w:t>
      </w:r>
    </w:p>
    <w:p>
      <w:pPr>
        <w:pStyle w:val="ListParagraph"/>
        <w:numPr>
          <w:ilvl w:val="1"/>
          <w:numId w:val="67"/>
        </w:numPr>
        <w:tabs>
          <w:tab w:pos="636" w:val="left" w:leader="none"/>
        </w:tabs>
        <w:spacing w:line="230" w:lineRule="auto" w:before="0" w:after="0"/>
        <w:ind w:left="627" w:right="919" w:hanging="499"/>
        <w:jc w:val="left"/>
        <w:rPr>
          <w:rFonts w:ascii="Arial"/>
          <w:b/>
          <w:color w:val="3B383A"/>
          <w:sz w:val="20"/>
        </w:rPr>
      </w:pPr>
      <w:r>
        <w:rPr>
          <w:color w:val="3B383A"/>
          <w:w w:val="115"/>
          <w:sz w:val="20"/>
        </w:rPr>
        <w:t>Document</w:t>
      </w:r>
      <w:r>
        <w:rPr>
          <w:color w:val="3B383A"/>
          <w:spacing w:val="7"/>
          <w:w w:val="115"/>
          <w:sz w:val="20"/>
        </w:rPr>
        <w:t> </w:t>
      </w:r>
      <w:r>
        <w:rPr>
          <w:color w:val="3B383A"/>
          <w:w w:val="115"/>
          <w:sz w:val="20"/>
        </w:rPr>
        <w:t>Format</w:t>
      </w:r>
      <w:r>
        <w:rPr>
          <w:color w:val="3B383A"/>
          <w:spacing w:val="1"/>
          <w:w w:val="115"/>
          <w:sz w:val="20"/>
        </w:rPr>
        <w:t> </w:t>
      </w:r>
      <w:r>
        <w:rPr>
          <w:color w:val="3B383A"/>
          <w:w w:val="115"/>
          <w:sz w:val="20"/>
        </w:rPr>
        <w:t>Requirements</w:t>
      </w:r>
      <w:r>
        <w:rPr>
          <w:color w:val="3B383A"/>
          <w:spacing w:val="-7"/>
          <w:w w:val="115"/>
          <w:sz w:val="20"/>
        </w:rPr>
        <w:t> </w:t>
      </w:r>
      <w:r>
        <w:rPr>
          <w:color w:val="3B383A"/>
          <w:w w:val="115"/>
          <w:sz w:val="20"/>
        </w:rPr>
        <w:t>and</w:t>
      </w:r>
      <w:r>
        <w:rPr>
          <w:color w:val="3B383A"/>
          <w:spacing w:val="12"/>
          <w:w w:val="115"/>
          <w:sz w:val="20"/>
        </w:rPr>
        <w:t> </w:t>
      </w:r>
      <w:r>
        <w:rPr>
          <w:color w:val="3B383A"/>
          <w:w w:val="115"/>
          <w:sz w:val="20"/>
        </w:rPr>
        <w:t>Service</w:t>
      </w:r>
      <w:r>
        <w:rPr>
          <w:color w:val="3B383A"/>
          <w:spacing w:val="-12"/>
          <w:w w:val="115"/>
          <w:sz w:val="20"/>
        </w:rPr>
        <w:t> </w:t>
      </w:r>
      <w:r>
        <w:rPr>
          <w:color w:val="3B383A"/>
          <w:w w:val="115"/>
          <w:sz w:val="20"/>
        </w:rPr>
        <w:t>Requirements</w:t>
      </w:r>
      <w:r>
        <w:rPr>
          <w:color w:val="3B383A"/>
          <w:spacing w:val="1"/>
          <w:w w:val="115"/>
          <w:sz w:val="20"/>
        </w:rPr>
        <w:t> </w:t>
      </w:r>
      <w:r>
        <w:rPr>
          <w:color w:val="3B383A"/>
          <w:w w:val="115"/>
          <w:sz w:val="20"/>
        </w:rPr>
        <w:t>for</w:t>
      </w:r>
      <w:r>
        <w:rPr>
          <w:color w:val="3B383A"/>
          <w:spacing w:val="-54"/>
          <w:w w:val="115"/>
          <w:sz w:val="20"/>
        </w:rPr>
        <w:t> </w:t>
      </w:r>
      <w:r>
        <w:rPr>
          <w:color w:val="3B383A"/>
          <w:w w:val="115"/>
          <w:sz w:val="20"/>
        </w:rPr>
        <w:t>Appellate</w:t>
      </w:r>
      <w:r>
        <w:rPr>
          <w:color w:val="3B383A"/>
          <w:spacing w:val="2"/>
          <w:w w:val="115"/>
          <w:sz w:val="20"/>
        </w:rPr>
        <w:t> </w:t>
      </w:r>
      <w:r>
        <w:rPr>
          <w:color w:val="3B383A"/>
          <w:w w:val="115"/>
          <w:sz w:val="20"/>
        </w:rPr>
        <w:t>Briefs</w:t>
      </w:r>
    </w:p>
    <w:p>
      <w:pPr>
        <w:pStyle w:val="ListParagraph"/>
        <w:numPr>
          <w:ilvl w:val="2"/>
          <w:numId w:val="67"/>
        </w:numPr>
        <w:tabs>
          <w:tab w:pos="1470" w:val="left" w:leader="none"/>
          <w:tab w:pos="1471" w:val="left" w:leader="none"/>
        </w:tabs>
        <w:spacing w:line="181" w:lineRule="exact" w:before="0" w:after="0"/>
        <w:ind w:left="1470" w:right="0" w:hanging="851"/>
        <w:jc w:val="left"/>
        <w:rPr>
          <w:sz w:val="20"/>
        </w:rPr>
      </w:pPr>
      <w:r>
        <w:rPr>
          <w:color w:val="3B383A"/>
          <w:w w:val="105"/>
          <w:sz w:val="20"/>
        </w:rPr>
        <w:t>Cover</w:t>
      </w:r>
      <w:r>
        <w:rPr>
          <w:color w:val="3B383A"/>
          <w:spacing w:val="15"/>
          <w:w w:val="105"/>
          <w:sz w:val="20"/>
        </w:rPr>
        <w:t> </w:t>
      </w:r>
      <w:r>
        <w:rPr>
          <w:color w:val="3B383A"/>
          <w:w w:val="105"/>
          <w:sz w:val="20"/>
        </w:rPr>
        <w:t>Page</w:t>
      </w:r>
    </w:p>
    <w:p>
      <w:pPr>
        <w:pStyle w:val="ListParagraph"/>
        <w:numPr>
          <w:ilvl w:val="2"/>
          <w:numId w:val="67"/>
        </w:numPr>
        <w:tabs>
          <w:tab w:pos="1472" w:val="left" w:leader="none"/>
          <w:tab w:pos="1473" w:val="left" w:leader="none"/>
        </w:tabs>
        <w:spacing w:line="197" w:lineRule="exact" w:before="0" w:after="0"/>
        <w:ind w:left="1472" w:right="0" w:hanging="853"/>
        <w:jc w:val="left"/>
        <w:rPr>
          <w:sz w:val="20"/>
        </w:rPr>
      </w:pPr>
      <w:r>
        <w:rPr>
          <w:color w:val="3B383A"/>
          <w:w w:val="110"/>
          <w:sz w:val="20"/>
        </w:rPr>
        <w:t>Issue</w:t>
      </w:r>
    </w:p>
    <w:p>
      <w:pPr>
        <w:pStyle w:val="ListParagraph"/>
        <w:numPr>
          <w:ilvl w:val="2"/>
          <w:numId w:val="67"/>
        </w:numPr>
        <w:tabs>
          <w:tab w:pos="1474" w:val="left" w:leader="none"/>
          <w:tab w:pos="1475" w:val="left" w:leader="none"/>
        </w:tabs>
        <w:spacing w:line="197" w:lineRule="exact" w:before="0" w:after="0"/>
        <w:ind w:left="1474" w:right="0" w:hanging="855"/>
        <w:jc w:val="left"/>
        <w:rPr>
          <w:sz w:val="20"/>
        </w:rPr>
      </w:pPr>
      <w:r>
        <w:rPr>
          <w:color w:val="3B383A"/>
          <w:w w:val="110"/>
          <w:sz w:val="20"/>
        </w:rPr>
        <w:t>Parties</w:t>
      </w:r>
      <w:r>
        <w:rPr>
          <w:color w:val="3B383A"/>
          <w:spacing w:val="-9"/>
          <w:w w:val="110"/>
          <w:sz w:val="20"/>
        </w:rPr>
        <w:t> </w:t>
      </w:r>
      <w:r>
        <w:rPr>
          <w:color w:val="3B383A"/>
          <w:w w:val="110"/>
          <w:sz w:val="20"/>
        </w:rPr>
        <w:t>to</w:t>
      </w:r>
      <w:r>
        <w:rPr>
          <w:color w:val="3B383A"/>
          <w:spacing w:val="-4"/>
          <w:w w:val="110"/>
          <w:sz w:val="20"/>
        </w:rPr>
        <w:t> </w:t>
      </w:r>
      <w:r>
        <w:rPr>
          <w:color w:val="3B383A"/>
          <w:w w:val="110"/>
          <w:sz w:val="20"/>
        </w:rPr>
        <w:t>the</w:t>
      </w:r>
      <w:r>
        <w:rPr>
          <w:color w:val="3B383A"/>
          <w:spacing w:val="20"/>
          <w:w w:val="110"/>
          <w:sz w:val="20"/>
        </w:rPr>
        <w:t> </w:t>
      </w:r>
      <w:r>
        <w:rPr>
          <w:color w:val="3B383A"/>
          <w:w w:val="110"/>
          <w:sz w:val="20"/>
        </w:rPr>
        <w:t>Proceeding</w:t>
      </w:r>
    </w:p>
    <w:p>
      <w:pPr>
        <w:pStyle w:val="ListParagraph"/>
        <w:numPr>
          <w:ilvl w:val="2"/>
          <w:numId w:val="67"/>
        </w:numPr>
        <w:tabs>
          <w:tab w:pos="1461" w:val="left" w:leader="none"/>
          <w:tab w:pos="1462" w:val="left" w:leader="none"/>
        </w:tabs>
        <w:spacing w:line="202" w:lineRule="exact" w:before="0" w:after="0"/>
        <w:ind w:left="1461" w:right="0" w:hanging="842"/>
        <w:jc w:val="left"/>
        <w:rPr>
          <w:sz w:val="20"/>
        </w:rPr>
      </w:pPr>
      <w:r>
        <w:rPr>
          <w:color w:val="3B383A"/>
          <w:w w:val="110"/>
          <w:sz w:val="20"/>
        </w:rPr>
        <w:t>Table</w:t>
      </w:r>
      <w:r>
        <w:rPr>
          <w:color w:val="3B383A"/>
          <w:spacing w:val="-1"/>
          <w:w w:val="110"/>
          <w:sz w:val="20"/>
        </w:rPr>
        <w:t> </w:t>
      </w:r>
      <w:r>
        <w:rPr>
          <w:color w:val="3B383A"/>
          <w:w w:val="110"/>
          <w:sz w:val="20"/>
        </w:rPr>
        <w:t>of</w:t>
      </w:r>
      <w:r>
        <w:rPr>
          <w:color w:val="3B383A"/>
          <w:spacing w:val="1"/>
          <w:w w:val="110"/>
          <w:sz w:val="20"/>
        </w:rPr>
        <w:t> </w:t>
      </w:r>
      <w:r>
        <w:rPr>
          <w:color w:val="3B383A"/>
          <w:w w:val="110"/>
          <w:sz w:val="20"/>
        </w:rPr>
        <w:t>Contents</w:t>
      </w:r>
    </w:p>
    <w:p>
      <w:pPr>
        <w:pStyle w:val="ListParagraph"/>
        <w:numPr>
          <w:ilvl w:val="2"/>
          <w:numId w:val="67"/>
        </w:numPr>
        <w:tabs>
          <w:tab w:pos="1461" w:val="left" w:leader="none"/>
          <w:tab w:pos="1462" w:val="left" w:leader="none"/>
        </w:tabs>
        <w:spacing w:line="197" w:lineRule="exact" w:before="0" w:after="0"/>
        <w:ind w:left="1461" w:right="0" w:hanging="832"/>
        <w:jc w:val="left"/>
        <w:rPr>
          <w:sz w:val="20"/>
        </w:rPr>
      </w:pPr>
      <w:r>
        <w:rPr>
          <w:color w:val="3B383A"/>
          <w:spacing w:val="-1"/>
          <w:w w:val="110"/>
          <w:sz w:val="20"/>
        </w:rPr>
        <w:t>Table</w:t>
      </w:r>
      <w:r>
        <w:rPr>
          <w:color w:val="3B383A"/>
          <w:spacing w:val="-12"/>
          <w:w w:val="110"/>
          <w:sz w:val="20"/>
        </w:rPr>
        <w:t> </w:t>
      </w:r>
      <w:r>
        <w:rPr>
          <w:color w:val="3B383A"/>
          <w:spacing w:val="-1"/>
          <w:w w:val="110"/>
          <w:sz w:val="20"/>
        </w:rPr>
        <w:t>of</w:t>
      </w:r>
      <w:r>
        <w:rPr>
          <w:color w:val="3B383A"/>
          <w:spacing w:val="4"/>
          <w:w w:val="110"/>
          <w:sz w:val="20"/>
        </w:rPr>
        <w:t> </w:t>
      </w:r>
      <w:r>
        <w:rPr>
          <w:color w:val="3B383A"/>
          <w:spacing w:val="-1"/>
          <w:w w:val="110"/>
          <w:sz w:val="20"/>
        </w:rPr>
        <w:t>Authorities</w:t>
      </w:r>
    </w:p>
    <w:p>
      <w:pPr>
        <w:pStyle w:val="ListParagraph"/>
        <w:numPr>
          <w:ilvl w:val="2"/>
          <w:numId w:val="67"/>
        </w:numPr>
        <w:tabs>
          <w:tab w:pos="1470" w:val="left" w:leader="none"/>
          <w:tab w:pos="1471" w:val="left" w:leader="none"/>
        </w:tabs>
        <w:spacing w:line="197" w:lineRule="exact" w:before="0" w:after="0"/>
        <w:ind w:left="1470" w:right="0" w:hanging="841"/>
        <w:jc w:val="left"/>
        <w:rPr>
          <w:sz w:val="20"/>
        </w:rPr>
      </w:pPr>
      <w:r>
        <w:rPr>
          <w:color w:val="3B383A"/>
          <w:w w:val="110"/>
          <w:sz w:val="20"/>
        </w:rPr>
        <w:t>Opinions</w:t>
      </w:r>
      <w:r>
        <w:rPr>
          <w:color w:val="3B383A"/>
          <w:spacing w:val="-3"/>
          <w:w w:val="110"/>
          <w:sz w:val="20"/>
        </w:rPr>
        <w:t> </w:t>
      </w:r>
      <w:r>
        <w:rPr>
          <w:color w:val="3B383A"/>
          <w:w w:val="110"/>
          <w:sz w:val="20"/>
        </w:rPr>
        <w:t>Below</w:t>
      </w:r>
    </w:p>
    <w:p>
      <w:pPr>
        <w:pStyle w:val="ListParagraph"/>
        <w:numPr>
          <w:ilvl w:val="2"/>
          <w:numId w:val="67"/>
        </w:numPr>
        <w:tabs>
          <w:tab w:pos="1453" w:val="left" w:leader="none"/>
          <w:tab w:pos="1455" w:val="left" w:leader="none"/>
        </w:tabs>
        <w:spacing w:line="197" w:lineRule="exact" w:before="0" w:after="0"/>
        <w:ind w:left="1454" w:right="0" w:hanging="825"/>
        <w:jc w:val="left"/>
        <w:rPr>
          <w:sz w:val="20"/>
        </w:rPr>
      </w:pPr>
      <w:r>
        <w:rPr>
          <w:color w:val="3B383A"/>
          <w:w w:val="115"/>
          <w:sz w:val="20"/>
        </w:rPr>
        <w:t>Jurisdiction</w:t>
      </w:r>
    </w:p>
    <w:p>
      <w:pPr>
        <w:pStyle w:val="ListParagraph"/>
        <w:numPr>
          <w:ilvl w:val="2"/>
          <w:numId w:val="67"/>
        </w:numPr>
        <w:tabs>
          <w:tab w:pos="1483" w:val="left" w:leader="none"/>
          <w:tab w:pos="1484" w:val="left" w:leader="none"/>
        </w:tabs>
        <w:spacing w:line="197" w:lineRule="exact" w:before="0" w:after="0"/>
        <w:ind w:left="1483" w:right="0" w:hanging="854"/>
        <w:jc w:val="left"/>
        <w:rPr>
          <w:sz w:val="20"/>
        </w:rPr>
      </w:pPr>
      <w:r>
        <w:rPr>
          <w:color w:val="3B383A"/>
          <w:w w:val="105"/>
          <w:sz w:val="20"/>
        </w:rPr>
        <w:t>Relevant</w:t>
      </w:r>
      <w:r>
        <w:rPr>
          <w:color w:val="3B383A"/>
          <w:spacing w:val="24"/>
          <w:w w:val="105"/>
          <w:sz w:val="20"/>
        </w:rPr>
        <w:t> </w:t>
      </w:r>
      <w:r>
        <w:rPr>
          <w:color w:val="3B383A"/>
          <w:w w:val="105"/>
          <w:sz w:val="20"/>
        </w:rPr>
        <w:t>Enacted</w:t>
      </w:r>
      <w:r>
        <w:rPr>
          <w:color w:val="3B383A"/>
          <w:spacing w:val="14"/>
          <w:w w:val="105"/>
          <w:sz w:val="20"/>
        </w:rPr>
        <w:t> </w:t>
      </w:r>
      <w:r>
        <w:rPr>
          <w:color w:val="3B383A"/>
          <w:w w:val="105"/>
          <w:sz w:val="20"/>
        </w:rPr>
        <w:t>Law</w:t>
      </w:r>
    </w:p>
    <w:p>
      <w:pPr>
        <w:pStyle w:val="ListParagraph"/>
        <w:numPr>
          <w:ilvl w:val="2"/>
          <w:numId w:val="67"/>
        </w:numPr>
        <w:tabs>
          <w:tab w:pos="1474" w:val="left" w:leader="none"/>
          <w:tab w:pos="1475" w:val="left" w:leader="none"/>
        </w:tabs>
        <w:spacing w:line="202" w:lineRule="exact" w:before="0" w:after="0"/>
        <w:ind w:left="1474" w:right="0" w:hanging="845"/>
        <w:jc w:val="left"/>
        <w:rPr>
          <w:sz w:val="20"/>
        </w:rPr>
      </w:pPr>
      <w:r>
        <w:rPr>
          <w:color w:val="3B383A"/>
          <w:w w:val="105"/>
          <w:sz w:val="20"/>
        </w:rPr>
        <w:t>Standard</w:t>
      </w:r>
      <w:r>
        <w:rPr>
          <w:color w:val="3B383A"/>
          <w:spacing w:val="4"/>
          <w:w w:val="105"/>
          <w:sz w:val="20"/>
        </w:rPr>
        <w:t> </w:t>
      </w:r>
      <w:r>
        <w:rPr>
          <w:color w:val="3B383A"/>
          <w:w w:val="105"/>
          <w:sz w:val="20"/>
        </w:rPr>
        <w:t>of</w:t>
      </w:r>
      <w:r>
        <w:rPr>
          <w:color w:val="3B383A"/>
          <w:spacing w:val="30"/>
          <w:w w:val="105"/>
          <w:sz w:val="20"/>
        </w:rPr>
        <w:t> </w:t>
      </w:r>
      <w:r>
        <w:rPr>
          <w:color w:val="3B383A"/>
          <w:w w:val="105"/>
          <w:sz w:val="20"/>
        </w:rPr>
        <w:t>Review</w:t>
      </w:r>
    </w:p>
    <w:p>
      <w:pPr>
        <w:pStyle w:val="ListParagraph"/>
        <w:numPr>
          <w:ilvl w:val="2"/>
          <w:numId w:val="67"/>
        </w:numPr>
        <w:tabs>
          <w:tab w:pos="1474" w:val="left" w:leader="none"/>
          <w:tab w:pos="1475" w:val="left" w:leader="none"/>
        </w:tabs>
        <w:spacing w:line="197" w:lineRule="exact" w:before="0" w:after="0"/>
        <w:ind w:left="1474" w:right="0" w:hanging="845"/>
        <w:jc w:val="left"/>
        <w:rPr>
          <w:sz w:val="20"/>
        </w:rPr>
      </w:pPr>
      <w:r>
        <w:rPr>
          <w:color w:val="3B383A"/>
          <w:w w:val="110"/>
          <w:sz w:val="20"/>
        </w:rPr>
        <w:t>Statement of</w:t>
      </w:r>
      <w:r>
        <w:rPr>
          <w:color w:val="3B383A"/>
          <w:spacing w:val="8"/>
          <w:w w:val="110"/>
          <w:sz w:val="20"/>
        </w:rPr>
        <w:t> </w:t>
      </w:r>
      <w:r>
        <w:rPr>
          <w:color w:val="3B383A"/>
          <w:w w:val="110"/>
          <w:sz w:val="20"/>
        </w:rPr>
        <w:t>the</w:t>
      </w:r>
      <w:r>
        <w:rPr>
          <w:color w:val="3B383A"/>
          <w:spacing w:val="32"/>
          <w:w w:val="110"/>
          <w:sz w:val="20"/>
        </w:rPr>
        <w:t> </w:t>
      </w:r>
      <w:r>
        <w:rPr>
          <w:color w:val="3B383A"/>
          <w:w w:val="110"/>
          <w:sz w:val="20"/>
        </w:rPr>
        <w:t>Case</w:t>
      </w:r>
    </w:p>
    <w:p>
      <w:pPr>
        <w:pStyle w:val="ListParagraph"/>
        <w:numPr>
          <w:ilvl w:val="2"/>
          <w:numId w:val="67"/>
        </w:numPr>
        <w:tabs>
          <w:tab w:pos="1474" w:val="left" w:leader="none"/>
          <w:tab w:pos="1475" w:val="left" w:leader="none"/>
        </w:tabs>
        <w:spacing w:line="197" w:lineRule="exact" w:before="0" w:after="0"/>
        <w:ind w:left="1474" w:right="0" w:hanging="836"/>
        <w:jc w:val="left"/>
        <w:rPr>
          <w:sz w:val="20"/>
        </w:rPr>
      </w:pPr>
      <w:r>
        <w:rPr>
          <w:color w:val="3B383A"/>
          <w:w w:val="110"/>
          <w:sz w:val="20"/>
        </w:rPr>
        <w:t>Summary</w:t>
      </w:r>
      <w:r>
        <w:rPr>
          <w:color w:val="3B383A"/>
          <w:spacing w:val="-3"/>
          <w:w w:val="110"/>
          <w:sz w:val="20"/>
        </w:rPr>
        <w:t> </w:t>
      </w:r>
      <w:r>
        <w:rPr>
          <w:color w:val="3B383A"/>
          <w:w w:val="110"/>
          <w:sz w:val="20"/>
        </w:rPr>
        <w:t>of</w:t>
      </w:r>
      <w:r>
        <w:rPr>
          <w:color w:val="3B383A"/>
          <w:spacing w:val="6"/>
          <w:w w:val="110"/>
          <w:sz w:val="20"/>
        </w:rPr>
        <w:t> </w:t>
      </w:r>
      <w:r>
        <w:rPr>
          <w:color w:val="3B383A"/>
          <w:w w:val="110"/>
          <w:sz w:val="20"/>
        </w:rPr>
        <w:t>the</w:t>
      </w:r>
      <w:r>
        <w:rPr>
          <w:color w:val="3B383A"/>
          <w:spacing w:val="20"/>
          <w:w w:val="110"/>
          <w:sz w:val="20"/>
        </w:rPr>
        <w:t> </w:t>
      </w:r>
      <w:r>
        <w:rPr>
          <w:color w:val="3B383A"/>
          <w:w w:val="110"/>
          <w:sz w:val="20"/>
        </w:rPr>
        <w:t>Argument</w:t>
      </w:r>
    </w:p>
    <w:p>
      <w:pPr>
        <w:pStyle w:val="ListParagraph"/>
        <w:numPr>
          <w:ilvl w:val="2"/>
          <w:numId w:val="67"/>
        </w:numPr>
        <w:tabs>
          <w:tab w:pos="1481" w:val="left" w:leader="none"/>
          <w:tab w:pos="1482" w:val="left" w:leader="none"/>
        </w:tabs>
        <w:spacing w:line="202" w:lineRule="exact" w:before="0" w:after="0"/>
        <w:ind w:left="1481" w:right="0" w:hanging="843"/>
        <w:jc w:val="left"/>
        <w:rPr>
          <w:sz w:val="20"/>
        </w:rPr>
      </w:pPr>
      <w:r>
        <w:rPr>
          <w:color w:val="3B383A"/>
          <w:w w:val="110"/>
          <w:sz w:val="20"/>
        </w:rPr>
        <w:t>The</w:t>
      </w:r>
      <w:r>
        <w:rPr>
          <w:color w:val="3B383A"/>
          <w:spacing w:val="-1"/>
          <w:w w:val="110"/>
          <w:sz w:val="20"/>
        </w:rPr>
        <w:t> </w:t>
      </w:r>
      <w:r>
        <w:rPr>
          <w:color w:val="3B383A"/>
          <w:w w:val="110"/>
          <w:sz w:val="20"/>
        </w:rPr>
        <w:t>Argument</w:t>
      </w:r>
    </w:p>
    <w:p>
      <w:pPr>
        <w:pStyle w:val="ListParagraph"/>
        <w:numPr>
          <w:ilvl w:val="2"/>
          <w:numId w:val="67"/>
        </w:numPr>
        <w:tabs>
          <w:tab w:pos="1481" w:val="left" w:leader="none"/>
          <w:tab w:pos="1482" w:val="left" w:leader="none"/>
        </w:tabs>
        <w:spacing w:line="197" w:lineRule="exact" w:before="0" w:after="0"/>
        <w:ind w:left="1481" w:right="0" w:hanging="843"/>
        <w:jc w:val="left"/>
        <w:rPr>
          <w:sz w:val="20"/>
        </w:rPr>
      </w:pPr>
      <w:r>
        <w:rPr>
          <w:color w:val="3B383A"/>
          <w:w w:val="110"/>
          <w:sz w:val="20"/>
        </w:rPr>
        <w:t>The</w:t>
      </w:r>
      <w:r>
        <w:rPr>
          <w:color w:val="3B383A"/>
          <w:spacing w:val="10"/>
          <w:w w:val="110"/>
          <w:sz w:val="20"/>
        </w:rPr>
        <w:t> </w:t>
      </w:r>
      <w:r>
        <w:rPr>
          <w:color w:val="3B383A"/>
          <w:w w:val="110"/>
          <w:sz w:val="20"/>
        </w:rPr>
        <w:t>Conclusion</w:t>
      </w:r>
    </w:p>
    <w:p>
      <w:pPr>
        <w:pStyle w:val="ListParagraph"/>
        <w:numPr>
          <w:ilvl w:val="2"/>
          <w:numId w:val="67"/>
        </w:numPr>
        <w:tabs>
          <w:tab w:pos="1484" w:val="left" w:leader="none"/>
          <w:tab w:pos="1485" w:val="left" w:leader="none"/>
        </w:tabs>
        <w:spacing w:line="197" w:lineRule="exact" w:before="0" w:after="0"/>
        <w:ind w:left="1484" w:right="0" w:hanging="846"/>
        <w:jc w:val="left"/>
        <w:rPr>
          <w:sz w:val="20"/>
        </w:rPr>
      </w:pPr>
      <w:r>
        <w:rPr>
          <w:color w:val="3B383A"/>
          <w:w w:val="110"/>
          <w:sz w:val="20"/>
        </w:rPr>
        <w:t>Signature</w:t>
      </w:r>
    </w:p>
    <w:p>
      <w:pPr>
        <w:pStyle w:val="ListParagraph"/>
        <w:numPr>
          <w:ilvl w:val="2"/>
          <w:numId w:val="67"/>
        </w:numPr>
        <w:tabs>
          <w:tab w:pos="1489" w:val="left" w:leader="none"/>
          <w:tab w:pos="1490" w:val="left" w:leader="none"/>
        </w:tabs>
        <w:spacing w:line="202" w:lineRule="exact" w:before="0" w:after="0"/>
        <w:ind w:left="1489" w:right="0" w:hanging="851"/>
        <w:jc w:val="left"/>
        <w:rPr>
          <w:sz w:val="20"/>
        </w:rPr>
      </w:pPr>
      <w:r>
        <w:rPr>
          <w:color w:val="3B383A"/>
          <w:spacing w:val="-1"/>
          <w:w w:val="110"/>
          <w:sz w:val="20"/>
        </w:rPr>
        <w:t>Certificate</w:t>
      </w:r>
      <w:r>
        <w:rPr>
          <w:color w:val="3B383A"/>
          <w:spacing w:val="-10"/>
          <w:w w:val="110"/>
          <w:sz w:val="20"/>
        </w:rPr>
        <w:t> </w:t>
      </w:r>
      <w:r>
        <w:rPr>
          <w:color w:val="3B383A"/>
          <w:w w:val="110"/>
          <w:sz w:val="20"/>
        </w:rPr>
        <w:t>of</w:t>
      </w:r>
      <w:r>
        <w:rPr>
          <w:color w:val="3B383A"/>
          <w:spacing w:val="-12"/>
          <w:w w:val="110"/>
          <w:sz w:val="20"/>
        </w:rPr>
        <w:t> </w:t>
      </w:r>
      <w:r>
        <w:rPr>
          <w:color w:val="3B383A"/>
          <w:w w:val="110"/>
          <w:sz w:val="20"/>
        </w:rPr>
        <w:t>Service</w:t>
      </w:r>
    </w:p>
    <w:p>
      <w:pPr>
        <w:pStyle w:val="ListParagraph"/>
        <w:numPr>
          <w:ilvl w:val="2"/>
          <w:numId w:val="67"/>
        </w:numPr>
        <w:tabs>
          <w:tab w:pos="1489" w:val="left" w:leader="none"/>
          <w:tab w:pos="1490" w:val="left" w:leader="none"/>
        </w:tabs>
        <w:spacing w:line="202" w:lineRule="exact" w:before="0" w:after="0"/>
        <w:ind w:left="1489" w:right="0" w:hanging="851"/>
        <w:jc w:val="left"/>
        <w:rPr>
          <w:sz w:val="20"/>
        </w:rPr>
      </w:pPr>
      <w:r>
        <w:rPr>
          <w:color w:val="3B383A"/>
          <w:w w:val="110"/>
          <w:sz w:val="20"/>
        </w:rPr>
        <w:t>Certificate</w:t>
      </w:r>
      <w:r>
        <w:rPr>
          <w:color w:val="3B383A"/>
          <w:spacing w:val="-3"/>
          <w:w w:val="110"/>
          <w:sz w:val="20"/>
        </w:rPr>
        <w:t> </w:t>
      </w:r>
      <w:r>
        <w:rPr>
          <w:color w:val="3B383A"/>
          <w:w w:val="110"/>
          <w:sz w:val="20"/>
        </w:rPr>
        <w:t>of</w:t>
      </w:r>
      <w:r>
        <w:rPr>
          <w:color w:val="3B383A"/>
          <w:spacing w:val="10"/>
          <w:w w:val="110"/>
          <w:sz w:val="20"/>
        </w:rPr>
        <w:t> </w:t>
      </w:r>
      <w:r>
        <w:rPr>
          <w:color w:val="3B383A"/>
          <w:w w:val="110"/>
          <w:sz w:val="20"/>
        </w:rPr>
        <w:t>Compliance</w:t>
      </w:r>
    </w:p>
    <w:p>
      <w:pPr>
        <w:pStyle w:val="ListParagraph"/>
        <w:numPr>
          <w:ilvl w:val="2"/>
          <w:numId w:val="67"/>
        </w:numPr>
        <w:tabs>
          <w:tab w:pos="1504" w:val="left" w:leader="none"/>
          <w:tab w:pos="1505" w:val="left" w:leader="none"/>
        </w:tabs>
        <w:spacing w:line="198" w:lineRule="exact" w:before="0" w:after="0"/>
        <w:ind w:left="1504" w:right="0" w:hanging="866"/>
        <w:jc w:val="left"/>
        <w:rPr>
          <w:sz w:val="20"/>
        </w:rPr>
      </w:pPr>
      <w:r>
        <w:rPr>
          <w:color w:val="3B383A"/>
          <w:w w:val="110"/>
          <w:sz w:val="20"/>
        </w:rPr>
        <w:t>Appendix</w:t>
      </w:r>
    </w:p>
    <w:p>
      <w:pPr>
        <w:pStyle w:val="ListParagraph"/>
        <w:numPr>
          <w:ilvl w:val="1"/>
          <w:numId w:val="67"/>
        </w:numPr>
        <w:tabs>
          <w:tab w:pos="655" w:val="left" w:leader="none"/>
        </w:tabs>
        <w:spacing w:line="228" w:lineRule="auto" w:before="0" w:after="0"/>
        <w:ind w:left="654" w:right="851" w:hanging="497"/>
        <w:jc w:val="left"/>
        <w:rPr>
          <w:b/>
          <w:color w:val="3B383A"/>
          <w:sz w:val="22"/>
        </w:rPr>
      </w:pPr>
      <w:r>
        <w:rPr>
          <w:color w:val="3B383A"/>
          <w:w w:val="115"/>
          <w:sz w:val="20"/>
        </w:rPr>
        <w:t>Document Format Requirements and</w:t>
      </w:r>
      <w:r>
        <w:rPr>
          <w:color w:val="3B383A"/>
          <w:spacing w:val="1"/>
          <w:w w:val="115"/>
          <w:sz w:val="20"/>
        </w:rPr>
        <w:t> </w:t>
      </w:r>
      <w:r>
        <w:rPr>
          <w:color w:val="3B383A"/>
          <w:w w:val="115"/>
          <w:sz w:val="20"/>
        </w:rPr>
        <w:t>Service Requirements for</w:t>
      </w:r>
      <w:r>
        <w:rPr>
          <w:color w:val="3B383A"/>
          <w:spacing w:val="-55"/>
          <w:w w:val="115"/>
          <w:sz w:val="20"/>
        </w:rPr>
        <w:t> </w:t>
      </w:r>
      <w:r>
        <w:rPr>
          <w:color w:val="3B383A"/>
          <w:w w:val="115"/>
          <w:sz w:val="20"/>
        </w:rPr>
        <w:t>Motion</w:t>
      </w:r>
      <w:r>
        <w:rPr>
          <w:color w:val="3B383A"/>
          <w:spacing w:val="15"/>
          <w:w w:val="115"/>
          <w:sz w:val="20"/>
        </w:rPr>
        <w:t> </w:t>
      </w:r>
      <w:r>
        <w:rPr>
          <w:color w:val="3B383A"/>
          <w:w w:val="115"/>
          <w:sz w:val="20"/>
        </w:rPr>
        <w:t>Briefs</w:t>
      </w:r>
    </w:p>
    <w:p>
      <w:pPr>
        <w:pStyle w:val="ListParagraph"/>
        <w:numPr>
          <w:ilvl w:val="2"/>
          <w:numId w:val="67"/>
        </w:numPr>
        <w:tabs>
          <w:tab w:pos="1498" w:val="left" w:leader="none"/>
          <w:tab w:pos="1500" w:val="left" w:leader="none"/>
        </w:tabs>
        <w:spacing w:line="184" w:lineRule="exact" w:before="0" w:after="0"/>
        <w:ind w:left="1499" w:right="0" w:hanging="851"/>
        <w:jc w:val="left"/>
        <w:rPr>
          <w:sz w:val="20"/>
        </w:rPr>
      </w:pPr>
      <w:r>
        <w:rPr>
          <w:color w:val="3B383A"/>
          <w:w w:val="115"/>
          <w:sz w:val="20"/>
        </w:rPr>
        <w:t>Caption</w:t>
      </w:r>
    </w:p>
    <w:p>
      <w:pPr>
        <w:pStyle w:val="ListParagraph"/>
        <w:numPr>
          <w:ilvl w:val="2"/>
          <w:numId w:val="67"/>
        </w:numPr>
        <w:tabs>
          <w:tab w:pos="1510" w:val="left" w:leader="none"/>
          <w:tab w:pos="1512" w:val="left" w:leader="none"/>
        </w:tabs>
        <w:spacing w:line="197" w:lineRule="exact" w:before="0" w:after="0"/>
        <w:ind w:left="1511" w:right="0" w:hanging="863"/>
        <w:jc w:val="left"/>
        <w:rPr>
          <w:sz w:val="20"/>
        </w:rPr>
      </w:pPr>
      <w:r>
        <w:rPr>
          <w:color w:val="3B383A"/>
          <w:w w:val="110"/>
          <w:sz w:val="20"/>
        </w:rPr>
        <w:t>Issue</w:t>
      </w:r>
    </w:p>
    <w:p>
      <w:pPr>
        <w:pStyle w:val="ListParagraph"/>
        <w:numPr>
          <w:ilvl w:val="2"/>
          <w:numId w:val="67"/>
        </w:numPr>
        <w:tabs>
          <w:tab w:pos="1512" w:val="left" w:leader="none"/>
          <w:tab w:pos="1513" w:val="left" w:leader="none"/>
        </w:tabs>
        <w:spacing w:line="202" w:lineRule="exact" w:before="0" w:after="0"/>
        <w:ind w:left="1512" w:right="0" w:hanging="864"/>
        <w:jc w:val="left"/>
        <w:rPr>
          <w:sz w:val="20"/>
        </w:rPr>
      </w:pPr>
      <w:r>
        <w:rPr>
          <w:color w:val="3B383A"/>
          <w:w w:val="110"/>
          <w:sz w:val="20"/>
        </w:rPr>
        <w:t>Parties</w:t>
      </w:r>
      <w:r>
        <w:rPr>
          <w:color w:val="3B383A"/>
          <w:spacing w:val="-13"/>
          <w:w w:val="110"/>
          <w:sz w:val="20"/>
        </w:rPr>
        <w:t> </w:t>
      </w:r>
      <w:r>
        <w:rPr>
          <w:color w:val="3B383A"/>
          <w:w w:val="110"/>
          <w:sz w:val="20"/>
        </w:rPr>
        <w:t>to</w:t>
      </w:r>
      <w:r>
        <w:rPr>
          <w:color w:val="3B383A"/>
          <w:spacing w:val="19"/>
          <w:w w:val="110"/>
          <w:sz w:val="20"/>
        </w:rPr>
        <w:t> </w:t>
      </w:r>
      <w:r>
        <w:rPr>
          <w:color w:val="3B383A"/>
          <w:w w:val="110"/>
          <w:sz w:val="20"/>
        </w:rPr>
        <w:t>the</w:t>
      </w:r>
      <w:r>
        <w:rPr>
          <w:color w:val="3B383A"/>
          <w:spacing w:val="15"/>
          <w:w w:val="110"/>
          <w:sz w:val="20"/>
        </w:rPr>
        <w:t> </w:t>
      </w:r>
      <w:r>
        <w:rPr>
          <w:color w:val="3B383A"/>
          <w:w w:val="110"/>
          <w:sz w:val="20"/>
        </w:rPr>
        <w:t>Proceeding</w:t>
      </w:r>
    </w:p>
    <w:p>
      <w:pPr>
        <w:pStyle w:val="ListParagraph"/>
        <w:numPr>
          <w:ilvl w:val="2"/>
          <w:numId w:val="67"/>
        </w:numPr>
        <w:tabs>
          <w:tab w:pos="1500" w:val="left" w:leader="none"/>
          <w:tab w:pos="1501" w:val="left" w:leader="none"/>
        </w:tabs>
        <w:spacing w:line="197" w:lineRule="exact" w:before="0" w:after="0"/>
        <w:ind w:left="1500" w:right="0" w:hanging="852"/>
        <w:jc w:val="left"/>
        <w:rPr>
          <w:sz w:val="20"/>
        </w:rPr>
      </w:pPr>
      <w:r>
        <w:rPr>
          <w:color w:val="3B383A"/>
          <w:w w:val="110"/>
          <w:sz w:val="20"/>
        </w:rPr>
        <w:t>Table</w:t>
      </w:r>
      <w:r>
        <w:rPr>
          <w:color w:val="3B383A"/>
          <w:spacing w:val="-15"/>
          <w:w w:val="110"/>
          <w:sz w:val="20"/>
        </w:rPr>
        <w:t> </w:t>
      </w:r>
      <w:r>
        <w:rPr>
          <w:color w:val="3B383A"/>
          <w:w w:val="110"/>
          <w:sz w:val="20"/>
        </w:rPr>
        <w:t>of</w:t>
      </w:r>
      <w:r>
        <w:rPr>
          <w:color w:val="3B383A"/>
          <w:spacing w:val="18"/>
          <w:w w:val="110"/>
          <w:sz w:val="20"/>
        </w:rPr>
        <w:t> </w:t>
      </w:r>
      <w:r>
        <w:rPr>
          <w:color w:val="3B383A"/>
          <w:w w:val="110"/>
          <w:sz w:val="20"/>
        </w:rPr>
        <w:t>Contents</w:t>
      </w:r>
    </w:p>
    <w:p>
      <w:pPr>
        <w:pStyle w:val="ListParagraph"/>
        <w:numPr>
          <w:ilvl w:val="2"/>
          <w:numId w:val="67"/>
        </w:numPr>
        <w:tabs>
          <w:tab w:pos="1500" w:val="left" w:leader="none"/>
          <w:tab w:pos="1501" w:val="left" w:leader="none"/>
        </w:tabs>
        <w:spacing w:line="197" w:lineRule="exact" w:before="0" w:after="0"/>
        <w:ind w:left="1500" w:right="0" w:hanging="842"/>
        <w:jc w:val="left"/>
        <w:rPr>
          <w:sz w:val="20"/>
        </w:rPr>
      </w:pPr>
      <w:r>
        <w:rPr>
          <w:color w:val="3B383A"/>
          <w:spacing w:val="-1"/>
          <w:w w:val="110"/>
          <w:sz w:val="20"/>
        </w:rPr>
        <w:t>Table</w:t>
      </w:r>
      <w:r>
        <w:rPr>
          <w:color w:val="3B383A"/>
          <w:spacing w:val="-24"/>
          <w:w w:val="110"/>
          <w:sz w:val="20"/>
        </w:rPr>
        <w:t> </w:t>
      </w:r>
      <w:r>
        <w:rPr>
          <w:color w:val="3B383A"/>
          <w:w w:val="110"/>
          <w:sz w:val="20"/>
        </w:rPr>
        <w:t>of</w:t>
      </w:r>
      <w:r>
        <w:rPr>
          <w:color w:val="3B383A"/>
          <w:spacing w:val="18"/>
          <w:w w:val="110"/>
          <w:sz w:val="20"/>
        </w:rPr>
        <w:t> </w:t>
      </w:r>
      <w:r>
        <w:rPr>
          <w:color w:val="3B383A"/>
          <w:w w:val="110"/>
          <w:sz w:val="20"/>
        </w:rPr>
        <w:t>Authorities</w:t>
      </w:r>
    </w:p>
    <w:p>
      <w:pPr>
        <w:pStyle w:val="ListParagraph"/>
        <w:numPr>
          <w:ilvl w:val="2"/>
          <w:numId w:val="67"/>
        </w:numPr>
        <w:tabs>
          <w:tab w:pos="1508" w:val="left" w:leader="none"/>
          <w:tab w:pos="1510" w:val="left" w:leader="none"/>
        </w:tabs>
        <w:spacing w:line="202" w:lineRule="exact" w:before="0" w:after="0"/>
        <w:ind w:left="1509" w:right="0" w:hanging="851"/>
        <w:jc w:val="left"/>
        <w:rPr>
          <w:sz w:val="20"/>
        </w:rPr>
      </w:pPr>
      <w:r>
        <w:rPr>
          <w:color w:val="3B383A"/>
          <w:w w:val="110"/>
          <w:sz w:val="20"/>
        </w:rPr>
        <w:t>Opinions</w:t>
      </w:r>
      <w:r>
        <w:rPr>
          <w:color w:val="3B383A"/>
          <w:spacing w:val="-1"/>
          <w:w w:val="110"/>
          <w:sz w:val="20"/>
        </w:rPr>
        <w:t> </w:t>
      </w:r>
      <w:r>
        <w:rPr>
          <w:color w:val="3B383A"/>
          <w:w w:val="110"/>
          <w:sz w:val="20"/>
        </w:rPr>
        <w:t>Below</w:t>
      </w:r>
    </w:p>
    <w:p>
      <w:pPr>
        <w:pStyle w:val="ListParagraph"/>
        <w:numPr>
          <w:ilvl w:val="2"/>
          <w:numId w:val="67"/>
        </w:numPr>
        <w:tabs>
          <w:tab w:pos="1492" w:val="left" w:leader="none"/>
          <w:tab w:pos="1493" w:val="left" w:leader="none"/>
        </w:tabs>
        <w:spacing w:line="197" w:lineRule="exact" w:before="0" w:after="0"/>
        <w:ind w:left="1492" w:right="0" w:hanging="834"/>
        <w:jc w:val="left"/>
        <w:rPr>
          <w:sz w:val="20"/>
        </w:rPr>
      </w:pPr>
      <w:r>
        <w:rPr>
          <w:color w:val="3B383A"/>
          <w:w w:val="115"/>
          <w:sz w:val="20"/>
        </w:rPr>
        <w:t>Jurisdiction</w:t>
      </w:r>
    </w:p>
    <w:p>
      <w:pPr>
        <w:pStyle w:val="ListParagraph"/>
        <w:numPr>
          <w:ilvl w:val="2"/>
          <w:numId w:val="67"/>
        </w:numPr>
        <w:tabs>
          <w:tab w:pos="1522" w:val="left" w:leader="none"/>
          <w:tab w:pos="1523" w:val="left" w:leader="none"/>
        </w:tabs>
        <w:spacing w:line="197" w:lineRule="exact" w:before="0" w:after="0"/>
        <w:ind w:left="1522" w:right="0" w:hanging="855"/>
        <w:jc w:val="left"/>
        <w:rPr>
          <w:sz w:val="20"/>
        </w:rPr>
      </w:pPr>
      <w:r>
        <w:rPr>
          <w:color w:val="3B383A"/>
          <w:w w:val="105"/>
          <w:sz w:val="20"/>
        </w:rPr>
        <w:t>Relevant</w:t>
      </w:r>
      <w:r>
        <w:rPr>
          <w:color w:val="3B383A"/>
          <w:spacing w:val="25"/>
          <w:w w:val="105"/>
          <w:sz w:val="20"/>
        </w:rPr>
        <w:t> </w:t>
      </w:r>
      <w:r>
        <w:rPr>
          <w:color w:val="3B383A"/>
          <w:w w:val="105"/>
          <w:sz w:val="20"/>
        </w:rPr>
        <w:t>Enacted</w:t>
      </w:r>
      <w:r>
        <w:rPr>
          <w:color w:val="3B383A"/>
          <w:spacing w:val="24"/>
          <w:w w:val="105"/>
          <w:sz w:val="20"/>
        </w:rPr>
        <w:t> </w:t>
      </w:r>
      <w:r>
        <w:rPr>
          <w:color w:val="3B383A"/>
          <w:w w:val="105"/>
          <w:sz w:val="20"/>
        </w:rPr>
        <w:t>Law</w:t>
      </w:r>
    </w:p>
    <w:p>
      <w:pPr>
        <w:pStyle w:val="ListParagraph"/>
        <w:numPr>
          <w:ilvl w:val="2"/>
          <w:numId w:val="67"/>
        </w:numPr>
        <w:tabs>
          <w:tab w:pos="1503" w:val="left" w:leader="none"/>
          <w:tab w:pos="1504" w:val="left" w:leader="none"/>
        </w:tabs>
        <w:spacing w:line="197" w:lineRule="exact" w:before="0" w:after="0"/>
        <w:ind w:left="1503" w:right="0" w:hanging="836"/>
        <w:jc w:val="left"/>
        <w:rPr>
          <w:sz w:val="20"/>
        </w:rPr>
      </w:pPr>
      <w:r>
        <w:rPr>
          <w:color w:val="3B383A"/>
          <w:spacing w:val="-1"/>
          <w:w w:val="110"/>
          <w:sz w:val="20"/>
        </w:rPr>
        <w:t>Standard</w:t>
      </w:r>
      <w:r>
        <w:rPr>
          <w:color w:val="3B383A"/>
          <w:spacing w:val="-3"/>
          <w:w w:val="110"/>
          <w:sz w:val="20"/>
        </w:rPr>
        <w:t> </w:t>
      </w:r>
      <w:r>
        <w:rPr>
          <w:color w:val="3B383A"/>
          <w:spacing w:val="-1"/>
          <w:w w:val="110"/>
          <w:sz w:val="20"/>
        </w:rPr>
        <w:t>of</w:t>
      </w:r>
      <w:r>
        <w:rPr>
          <w:color w:val="3B383A"/>
          <w:spacing w:val="5"/>
          <w:w w:val="110"/>
          <w:sz w:val="20"/>
        </w:rPr>
        <w:t> </w:t>
      </w:r>
      <w:r>
        <w:rPr>
          <w:color w:val="3B383A"/>
          <w:w w:val="110"/>
          <w:sz w:val="20"/>
        </w:rPr>
        <w:t>Review</w:t>
      </w:r>
      <w:r>
        <w:rPr>
          <w:color w:val="3B383A"/>
          <w:spacing w:val="-13"/>
          <w:w w:val="110"/>
          <w:sz w:val="20"/>
        </w:rPr>
        <w:t> </w:t>
      </w:r>
      <w:r>
        <w:rPr>
          <w:rFonts w:ascii="Arial"/>
          <w:i/>
          <w:color w:val="3B383A"/>
          <w:w w:val="110"/>
          <w:sz w:val="18"/>
        </w:rPr>
        <w:t>or</w:t>
      </w:r>
      <w:r>
        <w:rPr>
          <w:rFonts w:ascii="Arial"/>
          <w:i/>
          <w:color w:val="3B383A"/>
          <w:spacing w:val="14"/>
          <w:w w:val="110"/>
          <w:sz w:val="18"/>
        </w:rPr>
        <w:t> </w:t>
      </w:r>
      <w:r>
        <w:rPr>
          <w:color w:val="3B383A"/>
          <w:w w:val="110"/>
          <w:sz w:val="20"/>
        </w:rPr>
        <w:t>Pleading</w:t>
      </w:r>
      <w:r>
        <w:rPr>
          <w:color w:val="3B383A"/>
          <w:spacing w:val="-18"/>
          <w:w w:val="110"/>
          <w:sz w:val="20"/>
        </w:rPr>
        <w:t> </w:t>
      </w:r>
      <w:r>
        <w:rPr>
          <w:color w:val="3B383A"/>
          <w:w w:val="110"/>
          <w:sz w:val="20"/>
        </w:rPr>
        <w:t>Standard</w:t>
      </w:r>
    </w:p>
    <w:p>
      <w:pPr>
        <w:pStyle w:val="ListParagraph"/>
        <w:numPr>
          <w:ilvl w:val="2"/>
          <w:numId w:val="67"/>
        </w:numPr>
        <w:tabs>
          <w:tab w:pos="1513" w:val="left" w:leader="none"/>
          <w:tab w:pos="1514" w:val="left" w:leader="none"/>
        </w:tabs>
        <w:spacing w:line="193" w:lineRule="exact" w:before="0" w:after="0"/>
        <w:ind w:left="1513" w:right="0" w:hanging="846"/>
        <w:jc w:val="left"/>
        <w:rPr>
          <w:sz w:val="20"/>
        </w:rPr>
      </w:pPr>
      <w:r>
        <w:rPr>
          <w:color w:val="3B383A"/>
          <w:w w:val="110"/>
          <w:sz w:val="20"/>
        </w:rPr>
        <w:t>Statement</w:t>
      </w:r>
      <w:r>
        <w:rPr>
          <w:color w:val="3B383A"/>
          <w:spacing w:val="3"/>
          <w:w w:val="110"/>
          <w:sz w:val="20"/>
        </w:rPr>
        <w:t> </w:t>
      </w:r>
      <w:r>
        <w:rPr>
          <w:color w:val="3B383A"/>
          <w:w w:val="110"/>
          <w:sz w:val="20"/>
        </w:rPr>
        <w:t>of</w:t>
      </w:r>
      <w:r>
        <w:rPr>
          <w:color w:val="3B383A"/>
          <w:spacing w:val="19"/>
          <w:w w:val="110"/>
          <w:sz w:val="20"/>
        </w:rPr>
        <w:t> </w:t>
      </w:r>
      <w:r>
        <w:rPr>
          <w:color w:val="3B383A"/>
          <w:w w:val="110"/>
          <w:sz w:val="20"/>
        </w:rPr>
        <w:t>the</w:t>
      </w:r>
      <w:r>
        <w:rPr>
          <w:color w:val="3B383A"/>
          <w:spacing w:val="35"/>
          <w:w w:val="110"/>
          <w:sz w:val="20"/>
        </w:rPr>
        <w:t> </w:t>
      </w:r>
      <w:r>
        <w:rPr>
          <w:color w:val="3B383A"/>
          <w:w w:val="110"/>
          <w:sz w:val="20"/>
        </w:rPr>
        <w:t>Case</w:t>
      </w:r>
    </w:p>
    <w:p>
      <w:pPr>
        <w:pStyle w:val="ListParagraph"/>
        <w:numPr>
          <w:ilvl w:val="2"/>
          <w:numId w:val="67"/>
        </w:numPr>
        <w:tabs>
          <w:tab w:pos="1513" w:val="left" w:leader="none"/>
          <w:tab w:pos="1514" w:val="left" w:leader="none"/>
        </w:tabs>
        <w:spacing w:line="197" w:lineRule="exact" w:before="0" w:after="0"/>
        <w:ind w:left="1513" w:right="0" w:hanging="846"/>
        <w:jc w:val="left"/>
        <w:rPr>
          <w:sz w:val="20"/>
        </w:rPr>
      </w:pPr>
      <w:r>
        <w:rPr>
          <w:color w:val="3B383A"/>
          <w:w w:val="110"/>
          <w:sz w:val="20"/>
        </w:rPr>
        <w:t>Summary</w:t>
      </w:r>
      <w:r>
        <w:rPr>
          <w:color w:val="3B383A"/>
          <w:spacing w:val="-3"/>
          <w:w w:val="110"/>
          <w:sz w:val="20"/>
        </w:rPr>
        <w:t> </w:t>
      </w:r>
      <w:r>
        <w:rPr>
          <w:color w:val="3B383A"/>
          <w:w w:val="110"/>
          <w:sz w:val="20"/>
        </w:rPr>
        <w:t>of</w:t>
      </w:r>
      <w:r>
        <w:rPr>
          <w:color w:val="3B383A"/>
          <w:spacing w:val="20"/>
          <w:w w:val="110"/>
          <w:sz w:val="20"/>
        </w:rPr>
        <w:t> </w:t>
      </w:r>
      <w:r>
        <w:rPr>
          <w:color w:val="3B383A"/>
          <w:w w:val="110"/>
          <w:sz w:val="20"/>
        </w:rPr>
        <w:t>the</w:t>
      </w:r>
      <w:r>
        <w:rPr>
          <w:color w:val="3B383A"/>
          <w:spacing w:val="29"/>
          <w:w w:val="110"/>
          <w:sz w:val="20"/>
        </w:rPr>
        <w:t> </w:t>
      </w:r>
      <w:r>
        <w:rPr>
          <w:color w:val="3B383A"/>
          <w:w w:val="110"/>
          <w:sz w:val="20"/>
        </w:rPr>
        <w:t>Argument</w:t>
      </w:r>
    </w:p>
    <w:p>
      <w:pPr>
        <w:pStyle w:val="ListParagraph"/>
        <w:numPr>
          <w:ilvl w:val="2"/>
          <w:numId w:val="67"/>
        </w:numPr>
        <w:tabs>
          <w:tab w:pos="1509" w:val="left" w:leader="none"/>
          <w:tab w:pos="1511" w:val="left" w:leader="none"/>
        </w:tabs>
        <w:spacing w:line="197" w:lineRule="exact" w:before="0" w:after="0"/>
        <w:ind w:left="1510" w:right="0" w:hanging="843"/>
        <w:jc w:val="left"/>
        <w:rPr>
          <w:sz w:val="20"/>
        </w:rPr>
      </w:pPr>
      <w:r>
        <w:rPr>
          <w:color w:val="3B383A"/>
          <w:w w:val="115"/>
          <w:sz w:val="20"/>
        </w:rPr>
        <w:t>The</w:t>
      </w:r>
      <w:r>
        <w:rPr>
          <w:color w:val="3B383A"/>
          <w:spacing w:val="-14"/>
          <w:w w:val="115"/>
          <w:sz w:val="20"/>
        </w:rPr>
        <w:t> </w:t>
      </w:r>
      <w:r>
        <w:rPr>
          <w:color w:val="3B383A"/>
          <w:w w:val="115"/>
          <w:sz w:val="20"/>
        </w:rPr>
        <w:t>Argument</w:t>
      </w:r>
    </w:p>
    <w:p>
      <w:pPr>
        <w:pStyle w:val="ListParagraph"/>
        <w:numPr>
          <w:ilvl w:val="2"/>
          <w:numId w:val="68"/>
        </w:numPr>
        <w:tabs>
          <w:tab w:pos="1519" w:val="left" w:leader="none"/>
          <w:tab w:pos="1520" w:val="left" w:leader="none"/>
        </w:tabs>
        <w:spacing w:line="193" w:lineRule="exact" w:before="0" w:after="0"/>
        <w:ind w:left="1519" w:right="0" w:hanging="852"/>
        <w:jc w:val="left"/>
        <w:rPr>
          <w:sz w:val="20"/>
        </w:rPr>
      </w:pPr>
      <w:r>
        <w:rPr>
          <w:color w:val="3B383A"/>
          <w:w w:val="110"/>
          <w:sz w:val="20"/>
        </w:rPr>
        <w:t>The</w:t>
      </w:r>
      <w:r>
        <w:rPr>
          <w:color w:val="3B383A"/>
          <w:spacing w:val="23"/>
          <w:w w:val="110"/>
          <w:sz w:val="20"/>
        </w:rPr>
        <w:t> </w:t>
      </w:r>
      <w:r>
        <w:rPr>
          <w:color w:val="3B383A"/>
          <w:w w:val="110"/>
          <w:sz w:val="20"/>
        </w:rPr>
        <w:t>Conclusion</w:t>
      </w:r>
    </w:p>
    <w:p>
      <w:pPr>
        <w:pStyle w:val="ListParagraph"/>
        <w:numPr>
          <w:ilvl w:val="2"/>
          <w:numId w:val="68"/>
        </w:numPr>
        <w:tabs>
          <w:tab w:pos="1522" w:val="left" w:leader="none"/>
          <w:tab w:pos="1523" w:val="left" w:leader="none"/>
        </w:tabs>
        <w:spacing w:line="197" w:lineRule="exact" w:before="0" w:after="0"/>
        <w:ind w:left="1522" w:right="0" w:hanging="845"/>
        <w:jc w:val="left"/>
        <w:rPr>
          <w:sz w:val="20"/>
        </w:rPr>
      </w:pPr>
      <w:r>
        <w:rPr>
          <w:color w:val="3B383A"/>
          <w:w w:val="115"/>
          <w:sz w:val="20"/>
        </w:rPr>
        <w:t>Signature</w:t>
      </w:r>
    </w:p>
    <w:p>
      <w:pPr>
        <w:pStyle w:val="ListParagraph"/>
        <w:numPr>
          <w:ilvl w:val="2"/>
          <w:numId w:val="69"/>
        </w:numPr>
        <w:tabs>
          <w:tab w:pos="1527" w:val="left" w:leader="none"/>
          <w:tab w:pos="1528" w:val="left" w:leader="none"/>
        </w:tabs>
        <w:spacing w:line="197" w:lineRule="exact" w:before="0" w:after="0"/>
        <w:ind w:left="1527" w:right="0" w:hanging="850"/>
        <w:jc w:val="left"/>
        <w:rPr>
          <w:sz w:val="20"/>
        </w:rPr>
      </w:pPr>
      <w:r>
        <w:rPr>
          <w:color w:val="3B383A"/>
          <w:w w:val="110"/>
          <w:sz w:val="20"/>
        </w:rPr>
        <w:t>Certificate</w:t>
      </w:r>
      <w:r>
        <w:rPr>
          <w:color w:val="3B383A"/>
          <w:spacing w:val="-7"/>
          <w:w w:val="110"/>
          <w:sz w:val="20"/>
        </w:rPr>
        <w:t> </w:t>
      </w:r>
      <w:r>
        <w:rPr>
          <w:color w:val="3B383A"/>
          <w:w w:val="110"/>
          <w:sz w:val="20"/>
        </w:rPr>
        <w:t>of</w:t>
      </w:r>
      <w:r>
        <w:rPr>
          <w:color w:val="3B383A"/>
          <w:spacing w:val="-10"/>
          <w:w w:val="110"/>
          <w:sz w:val="20"/>
        </w:rPr>
        <w:t> </w:t>
      </w:r>
      <w:r>
        <w:rPr>
          <w:color w:val="3B383A"/>
          <w:w w:val="110"/>
          <w:sz w:val="20"/>
        </w:rPr>
        <w:t>Service</w:t>
      </w:r>
    </w:p>
    <w:p>
      <w:pPr>
        <w:pStyle w:val="ListParagraph"/>
        <w:numPr>
          <w:ilvl w:val="2"/>
          <w:numId w:val="69"/>
        </w:numPr>
        <w:tabs>
          <w:tab w:pos="1537" w:val="left" w:leader="none"/>
          <w:tab w:pos="1538" w:val="left" w:leader="none"/>
        </w:tabs>
        <w:spacing w:line="197" w:lineRule="exact" w:before="0" w:after="0"/>
        <w:ind w:left="1537" w:right="0" w:hanging="860"/>
        <w:jc w:val="left"/>
        <w:rPr>
          <w:sz w:val="20"/>
        </w:rPr>
      </w:pPr>
      <w:r>
        <w:rPr>
          <w:color w:val="3B383A"/>
          <w:w w:val="110"/>
          <w:sz w:val="20"/>
        </w:rPr>
        <w:t>Certificate</w:t>
      </w:r>
      <w:r>
        <w:rPr>
          <w:color w:val="3B383A"/>
          <w:spacing w:val="3"/>
          <w:w w:val="110"/>
          <w:sz w:val="20"/>
        </w:rPr>
        <w:t> </w:t>
      </w:r>
      <w:r>
        <w:rPr>
          <w:color w:val="3B383A"/>
          <w:w w:val="110"/>
          <w:sz w:val="20"/>
        </w:rPr>
        <w:t>of</w:t>
      </w:r>
      <w:r>
        <w:rPr>
          <w:color w:val="3B383A"/>
          <w:spacing w:val="7"/>
          <w:w w:val="110"/>
          <w:sz w:val="20"/>
        </w:rPr>
        <w:t> </w:t>
      </w:r>
      <w:r>
        <w:rPr>
          <w:color w:val="3B383A"/>
          <w:w w:val="110"/>
          <w:sz w:val="20"/>
        </w:rPr>
        <w:t>Compliance</w:t>
      </w:r>
    </w:p>
    <w:p>
      <w:pPr>
        <w:pStyle w:val="ListParagraph"/>
        <w:numPr>
          <w:ilvl w:val="2"/>
          <w:numId w:val="69"/>
        </w:numPr>
        <w:tabs>
          <w:tab w:pos="1543" w:val="left" w:leader="none"/>
          <w:tab w:pos="1544" w:val="left" w:leader="none"/>
        </w:tabs>
        <w:spacing w:line="207" w:lineRule="exact" w:before="0" w:after="0"/>
        <w:ind w:left="1543" w:right="0" w:hanging="866"/>
        <w:jc w:val="left"/>
        <w:rPr>
          <w:sz w:val="20"/>
        </w:rPr>
      </w:pPr>
      <w:r>
        <w:rPr>
          <w:color w:val="3B383A"/>
          <w:w w:val="115"/>
          <w:sz w:val="20"/>
        </w:rPr>
        <w:t>Appendix</w:t>
      </w:r>
    </w:p>
    <w:p>
      <w:pPr>
        <w:pStyle w:val="ListParagraph"/>
        <w:numPr>
          <w:ilvl w:val="1"/>
          <w:numId w:val="67"/>
        </w:numPr>
        <w:tabs>
          <w:tab w:pos="675" w:val="left" w:leader="none"/>
        </w:tabs>
        <w:spacing w:line="232" w:lineRule="exact" w:before="0" w:after="0"/>
        <w:ind w:left="674" w:right="0" w:hanging="489"/>
        <w:jc w:val="left"/>
        <w:rPr>
          <w:rFonts w:ascii="Arial"/>
          <w:b/>
          <w:color w:val="3B383A"/>
          <w:sz w:val="21"/>
        </w:rPr>
      </w:pPr>
      <w:r>
        <w:rPr>
          <w:color w:val="3B383A"/>
          <w:w w:val="120"/>
          <w:sz w:val="20"/>
        </w:rPr>
        <w:t>Summary</w:t>
      </w:r>
    </w:p>
    <w:p>
      <w:pPr>
        <w:spacing w:after="0" w:line="232" w:lineRule="exact"/>
        <w:jc w:val="left"/>
        <w:rPr>
          <w:rFonts w:ascii="Arial"/>
          <w:sz w:val="21"/>
        </w:rPr>
        <w:sectPr>
          <w:type w:val="continuous"/>
          <w:pgSz w:w="9500" w:h="13740"/>
          <w:pgMar w:header="530" w:footer="0" w:top="340" w:bottom="280" w:left="440" w:right="1180"/>
          <w:cols w:num="2" w:equalWidth="0">
            <w:col w:w="346" w:space="128"/>
            <w:col w:w="7406"/>
          </w:cols>
        </w:sect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230" w:lineRule="auto" w:before="100"/>
        <w:ind w:left="132" w:right="110" w:firstLine="534"/>
        <w:jc w:val="both"/>
      </w:pPr>
      <w:r>
        <w:rPr>
          <w:color w:val="3B383A"/>
          <w:w w:val="110"/>
        </w:rPr>
        <w:t>Although fulfilling your brief's format requirements is a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much less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Intellectually demanding task than writing the argument, it is nonetheless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Important.</w:t>
      </w:r>
      <w:r>
        <w:rPr>
          <w:color w:val="3B383A"/>
          <w:spacing w:val="17"/>
          <w:w w:val="110"/>
        </w:rPr>
        <w:t> </w:t>
      </w:r>
      <w:r>
        <w:rPr>
          <w:color w:val="3B383A"/>
          <w:w w:val="110"/>
        </w:rPr>
        <w:t>Rightly</w:t>
      </w:r>
      <w:r>
        <w:rPr>
          <w:color w:val="3B383A"/>
          <w:spacing w:val="14"/>
          <w:w w:val="110"/>
        </w:rPr>
        <w:t> </w:t>
      </w:r>
      <w:r>
        <w:rPr>
          <w:color w:val="3B383A"/>
          <w:w w:val="110"/>
        </w:rPr>
        <w:t>or</w:t>
      </w:r>
      <w:r>
        <w:rPr>
          <w:color w:val="3B383A"/>
          <w:spacing w:val="41"/>
          <w:w w:val="110"/>
        </w:rPr>
        <w:t> </w:t>
      </w:r>
      <w:r>
        <w:rPr>
          <w:color w:val="3B383A"/>
          <w:w w:val="110"/>
        </w:rPr>
        <w:t>wrongly,</w:t>
      </w:r>
      <w:r>
        <w:rPr>
          <w:color w:val="3B383A"/>
          <w:spacing w:val="26"/>
          <w:w w:val="110"/>
        </w:rPr>
        <w:t> </w:t>
      </w:r>
      <w:r>
        <w:rPr>
          <w:color w:val="3B383A"/>
          <w:w w:val="110"/>
        </w:rPr>
        <w:t>many</w:t>
      </w:r>
      <w:r>
        <w:rPr>
          <w:color w:val="3B383A"/>
          <w:spacing w:val="20"/>
          <w:w w:val="110"/>
        </w:rPr>
        <w:t> </w:t>
      </w:r>
      <w:r>
        <w:rPr>
          <w:color w:val="3B383A"/>
          <w:w w:val="110"/>
        </w:rPr>
        <w:t>readers</w:t>
      </w:r>
      <w:r>
        <w:rPr>
          <w:color w:val="3B383A"/>
          <w:spacing w:val="2"/>
          <w:w w:val="110"/>
        </w:rPr>
        <w:t> </w:t>
      </w:r>
      <w:r>
        <w:rPr>
          <w:color w:val="3B383A"/>
          <w:w w:val="110"/>
        </w:rPr>
        <w:t>form</w:t>
      </w:r>
      <w:r>
        <w:rPr>
          <w:color w:val="3B383A"/>
          <w:spacing w:val="20"/>
          <w:w w:val="110"/>
        </w:rPr>
        <w:t> </w:t>
      </w:r>
      <w:r>
        <w:rPr>
          <w:color w:val="3B383A"/>
          <w:w w:val="110"/>
        </w:rPr>
        <w:t>an</w:t>
      </w:r>
      <w:r>
        <w:rPr>
          <w:color w:val="3B383A"/>
          <w:spacing w:val="40"/>
          <w:w w:val="110"/>
        </w:rPr>
        <w:t> </w:t>
      </w:r>
      <w:r>
        <w:rPr>
          <w:color w:val="3B383A"/>
          <w:w w:val="110"/>
        </w:rPr>
        <w:t>impression</w:t>
      </w:r>
      <w:r>
        <w:rPr>
          <w:color w:val="3B383A"/>
          <w:spacing w:val="24"/>
          <w:w w:val="110"/>
        </w:rPr>
        <w:t> </w:t>
      </w:r>
      <w:r>
        <w:rPr>
          <w:color w:val="3B383A"/>
          <w:w w:val="110"/>
        </w:rPr>
        <w:t>of</w:t>
      </w:r>
      <w:r>
        <w:rPr>
          <w:color w:val="3B383A"/>
          <w:spacing w:val="23"/>
          <w:w w:val="110"/>
        </w:rPr>
        <w:t> </w:t>
      </w:r>
      <w:r>
        <w:rPr>
          <w:color w:val="3B383A"/>
          <w:w w:val="110"/>
        </w:rPr>
        <w:t>your</w:t>
      </w:r>
    </w:p>
    <w:p>
      <w:pPr>
        <w:spacing w:after="0" w:line="230" w:lineRule="auto"/>
        <w:jc w:val="both"/>
        <w:sectPr>
          <w:type w:val="continuous"/>
          <w:pgSz w:w="9500" w:h="13740"/>
          <w:pgMar w:header="530" w:footer="0" w:top="340" w:bottom="280" w:left="440" w:right="1180"/>
        </w:sectPr>
      </w:pPr>
    </w:p>
    <w:p>
      <w:pPr>
        <w:pStyle w:val="BodyText"/>
        <w:spacing w:line="235" w:lineRule="auto" w:before="85"/>
        <w:ind w:left="515" w:right="113" w:firstLine="28"/>
        <w:jc w:val="both"/>
      </w:pPr>
      <w:r>
        <w:rPr>
          <w:color w:val="383638"/>
          <w:w w:val="105"/>
        </w:rPr>
        <w:t>credibility based on whether you conform to the minutiae of court rules.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Your willingness to learn and foUow rules about document format and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filing guidelines tells the court that you are a professional, </w:t>
      </w:r>
      <w:r>
        <w:rPr>
          <w:color w:val="383638"/>
          <w:w w:val="105"/>
          <w:sz w:val="21"/>
        </w:rPr>
        <w:t>and   </w:t>
      </w:r>
      <w:r>
        <w:rPr>
          <w:color w:val="383638"/>
          <w:w w:val="105"/>
        </w:rPr>
        <w:t>that you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take court requirements seriously. More significantly, you may </w:t>
      </w:r>
      <w:r>
        <w:rPr>
          <w:color w:val="4B494B"/>
          <w:w w:val="105"/>
        </w:rPr>
        <w:t>suffer </w:t>
      </w:r>
      <w:r>
        <w:rPr>
          <w:color w:val="383638"/>
          <w:w w:val="105"/>
        </w:rPr>
        <w:t>sanc­</w:t>
      </w:r>
      <w:r>
        <w:rPr>
          <w:color w:val="383638"/>
          <w:spacing w:val="-58"/>
          <w:w w:val="105"/>
        </w:rPr>
        <w:t> </w:t>
      </w:r>
      <w:r>
        <w:rPr>
          <w:color w:val="383638"/>
          <w:w w:val="105"/>
        </w:rPr>
        <w:t>tions-from having to fix offending portions of the  brief to  having your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case</w:t>
      </w:r>
      <w:r>
        <w:rPr>
          <w:color w:val="383638"/>
          <w:spacing w:val="-16"/>
          <w:w w:val="105"/>
        </w:rPr>
        <w:t> </w:t>
      </w:r>
      <w:r>
        <w:rPr>
          <w:color w:val="383638"/>
          <w:w w:val="105"/>
        </w:rPr>
        <w:t>dismissed-for</w:t>
      </w:r>
      <w:r>
        <w:rPr>
          <w:color w:val="383638"/>
          <w:spacing w:val="5"/>
          <w:w w:val="105"/>
        </w:rPr>
        <w:t> </w:t>
      </w:r>
      <w:r>
        <w:rPr>
          <w:color w:val="383638"/>
          <w:w w:val="105"/>
        </w:rPr>
        <w:t>failure</w:t>
      </w:r>
      <w:r>
        <w:rPr>
          <w:color w:val="383638"/>
          <w:spacing w:val="-6"/>
          <w:w w:val="105"/>
        </w:rPr>
        <w:t> </w:t>
      </w:r>
      <w:r>
        <w:rPr>
          <w:color w:val="383638"/>
          <w:w w:val="105"/>
        </w:rPr>
        <w:t>to</w:t>
      </w:r>
      <w:r>
        <w:rPr>
          <w:color w:val="383638"/>
          <w:spacing w:val="16"/>
          <w:w w:val="105"/>
        </w:rPr>
        <w:t> </w:t>
      </w:r>
      <w:r>
        <w:rPr>
          <w:color w:val="383638"/>
          <w:w w:val="105"/>
        </w:rPr>
        <w:t>follow</w:t>
      </w:r>
      <w:r>
        <w:rPr>
          <w:color w:val="383638"/>
          <w:spacing w:val="-12"/>
          <w:w w:val="105"/>
        </w:rPr>
        <w:t> </w:t>
      </w:r>
      <w:r>
        <w:rPr>
          <w:color w:val="383638"/>
          <w:w w:val="105"/>
        </w:rPr>
        <w:t>certain</w:t>
      </w:r>
      <w:r>
        <w:rPr>
          <w:color w:val="383638"/>
          <w:spacing w:val="7"/>
          <w:w w:val="105"/>
        </w:rPr>
        <w:t> </w:t>
      </w:r>
      <w:r>
        <w:rPr>
          <w:color w:val="383638"/>
          <w:w w:val="105"/>
        </w:rPr>
        <w:t>rules.</w:t>
      </w:r>
      <w:r>
        <w:rPr>
          <w:color w:val="383638"/>
          <w:w w:val="105"/>
          <w:vertAlign w:val="superscript"/>
        </w:rPr>
        <w:t>1</w:t>
      </w:r>
    </w:p>
    <w:p>
      <w:pPr>
        <w:pStyle w:val="BodyText"/>
        <w:spacing w:line="235" w:lineRule="auto"/>
        <w:ind w:left="496" w:right="139" w:firstLine="380"/>
        <w:jc w:val="both"/>
      </w:pPr>
      <w:r>
        <w:rPr>
          <w:color w:val="383638"/>
          <w:w w:val="105"/>
        </w:rPr>
        <w:t>Most </w:t>
      </w:r>
      <w:r>
        <w:rPr>
          <w:color w:val="4B494B"/>
          <w:w w:val="105"/>
        </w:rPr>
        <w:t>state </w:t>
      </w:r>
      <w:r>
        <w:rPr>
          <w:color w:val="383638"/>
          <w:w w:val="105"/>
        </w:rPr>
        <w:t>and federal courts in the United States are governed </w:t>
      </w:r>
      <w:r>
        <w:rPr>
          <w:rFonts w:ascii="Arial"/>
          <w:color w:val="383638"/>
          <w:w w:val="105"/>
          <w:sz w:val="22"/>
        </w:rPr>
        <w:t>by </w:t>
      </w:r>
      <w:r>
        <w:rPr>
          <w:color w:val="383638"/>
          <w:w w:val="105"/>
        </w:rPr>
        <w:t>at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least two sets of rules. The more significant rules are the rules of procedure</w:t>
      </w:r>
      <w:r>
        <w:rPr>
          <w:color w:val="383638"/>
          <w:spacing w:val="-58"/>
          <w:w w:val="105"/>
        </w:rPr>
        <w:t> </w:t>
      </w:r>
      <w:r>
        <w:rPr>
          <w:color w:val="383638"/>
          <w:w w:val="105"/>
        </w:rPr>
        <w:t>that govern all of the courts within a certain jurisdiction, for example, the</w:t>
      </w:r>
      <w:r>
        <w:rPr>
          <w:color w:val="383638"/>
          <w:spacing w:val="1"/>
          <w:w w:val="105"/>
        </w:rPr>
        <w:t> </w:t>
      </w:r>
      <w:r>
        <w:rPr>
          <w:color w:val="383638"/>
        </w:rPr>
        <w:t>Federal Rules of</w:t>
      </w:r>
      <w:r>
        <w:rPr>
          <w:color w:val="383638"/>
          <w:spacing w:val="1"/>
        </w:rPr>
        <w:t> </w:t>
      </w:r>
      <w:r>
        <w:rPr>
          <w:color w:val="383638"/>
        </w:rPr>
        <w:t>Civil Procedure,</w:t>
      </w:r>
      <w:r>
        <w:rPr>
          <w:color w:val="383638"/>
          <w:spacing w:val="57"/>
        </w:rPr>
        <w:t> </w:t>
      </w:r>
      <w:r>
        <w:rPr>
          <w:color w:val="383638"/>
        </w:rPr>
        <w:t>the</w:t>
      </w:r>
      <w:r>
        <w:rPr>
          <w:color w:val="383638"/>
          <w:spacing w:val="58"/>
        </w:rPr>
        <w:t> </w:t>
      </w:r>
      <w:r>
        <w:rPr>
          <w:color w:val="383638"/>
        </w:rPr>
        <w:t>Federal Rules of Appellate Procedure,</w:t>
      </w:r>
      <w:r>
        <w:rPr>
          <w:color w:val="383638"/>
          <w:spacing w:val="1"/>
        </w:rPr>
        <w:t> </w:t>
      </w:r>
      <w:r>
        <w:rPr>
          <w:color w:val="383638"/>
          <w:w w:val="105"/>
        </w:rPr>
        <w:t>or</w:t>
      </w:r>
      <w:r>
        <w:rPr>
          <w:color w:val="383638"/>
          <w:spacing w:val="-3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-2"/>
          <w:w w:val="105"/>
        </w:rPr>
        <w:t> </w:t>
      </w:r>
      <w:r>
        <w:rPr>
          <w:rFonts w:ascii="Arial"/>
          <w:i/>
          <w:color w:val="383638"/>
          <w:w w:val="105"/>
          <w:sz w:val="21"/>
        </w:rPr>
        <w:t>Ohio</w:t>
      </w:r>
      <w:r>
        <w:rPr>
          <w:rFonts w:ascii="Arial"/>
          <w:i/>
          <w:color w:val="383638"/>
          <w:spacing w:val="-8"/>
          <w:w w:val="105"/>
          <w:sz w:val="21"/>
        </w:rPr>
        <w:t> </w:t>
      </w:r>
      <w:r>
        <w:rPr>
          <w:color w:val="383638"/>
          <w:w w:val="105"/>
        </w:rPr>
        <w:t>Rules</w:t>
      </w:r>
      <w:r>
        <w:rPr>
          <w:color w:val="383638"/>
          <w:spacing w:val="-11"/>
          <w:w w:val="105"/>
        </w:rPr>
        <w:t> </w:t>
      </w:r>
      <w:r>
        <w:rPr>
          <w:color w:val="383638"/>
          <w:w w:val="105"/>
        </w:rPr>
        <w:t>of</w:t>
      </w:r>
      <w:r>
        <w:rPr>
          <w:color w:val="383638"/>
          <w:spacing w:val="4"/>
          <w:w w:val="105"/>
        </w:rPr>
        <w:t> </w:t>
      </w:r>
      <w:r>
        <w:rPr>
          <w:color w:val="383638"/>
          <w:w w:val="105"/>
        </w:rPr>
        <w:t>Appellate</w:t>
      </w:r>
      <w:r>
        <w:rPr>
          <w:color w:val="383638"/>
          <w:spacing w:val="7"/>
          <w:w w:val="105"/>
        </w:rPr>
        <w:t> </w:t>
      </w:r>
      <w:r>
        <w:rPr>
          <w:color w:val="383638"/>
          <w:w w:val="105"/>
        </w:rPr>
        <w:t>Procedure.</w:t>
      </w:r>
    </w:p>
    <w:p>
      <w:pPr>
        <w:pStyle w:val="BodyText"/>
        <w:spacing w:line="235" w:lineRule="auto"/>
        <w:ind w:left="396" w:right="147" w:firstLine="441"/>
        <w:jc w:val="both"/>
      </w:pPr>
      <w:r>
        <w:rPr>
          <w:color w:val="383638"/>
          <w:w w:val="105"/>
        </w:rPr>
        <w:t>Most courts also have </w:t>
      </w:r>
      <w:r>
        <w:rPr>
          <w:color w:val="4B494B"/>
          <w:w w:val="105"/>
        </w:rPr>
        <w:t>so-called </w:t>
      </w:r>
      <w:r>
        <w:rPr>
          <w:color w:val="383638"/>
          <w:w w:val="105"/>
        </w:rPr>
        <w:t>local rules that may deal with require­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ments such as filing requirements, page length, certificates of </w:t>
      </w:r>
      <w:r>
        <w:rPr>
          <w:color w:val="4B494B"/>
          <w:w w:val="105"/>
        </w:rPr>
        <w:t>service, </w:t>
      </w:r>
      <w:r>
        <w:rPr>
          <w:color w:val="383638"/>
          <w:w w:val="105"/>
        </w:rPr>
        <w:t>ser­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vice on opposing parties, citations, and the like. Obeying these rules is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crucial </w:t>
      </w:r>
      <w:r>
        <w:rPr>
          <w:color w:val="383638"/>
          <w:w w:val="110"/>
        </w:rPr>
        <w:t>to the effective practice of law. In 2010, for example, an Indiana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court refused to accept </w:t>
      </w:r>
      <w:r>
        <w:rPr>
          <w:color w:val="4B494B"/>
          <w:w w:val="105"/>
        </w:rPr>
        <w:t>expert </w:t>
      </w:r>
      <w:r>
        <w:rPr>
          <w:color w:val="383638"/>
          <w:w w:val="105"/>
        </w:rPr>
        <w:t>affidavits in opposition to a motion because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they were filed after the deadline, </w:t>
      </w:r>
      <w:r>
        <w:rPr>
          <w:color w:val="4B494B"/>
          <w:w w:val="105"/>
        </w:rPr>
        <w:t>even </w:t>
      </w:r>
      <w:r>
        <w:rPr>
          <w:color w:val="383638"/>
          <w:w w:val="105"/>
        </w:rPr>
        <w:t>though both parties had  agreed  to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an extension of time. Counsel had neglected to file the appropriate motion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with the court to request the extension.</w:t>
      </w:r>
      <w:r>
        <w:rPr>
          <w:rFonts w:ascii="Arial" w:hAnsi="Arial"/>
          <w:color w:val="383638"/>
          <w:w w:val="110"/>
          <w:vertAlign w:val="superscript"/>
        </w:rPr>
        <w:t>2</w:t>
      </w:r>
      <w:r>
        <w:rPr>
          <w:rFonts w:ascii="Arial" w:hAnsi="Arial"/>
          <w:color w:val="383638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Similarly, in </w:t>
      </w:r>
      <w:r>
        <w:rPr>
          <w:color w:val="4B494B"/>
          <w:w w:val="110"/>
          <w:vertAlign w:val="baseline"/>
        </w:rPr>
        <w:t>2002, </w:t>
      </w:r>
      <w:r>
        <w:rPr>
          <w:color w:val="383638"/>
          <w:w w:val="110"/>
          <w:vertAlign w:val="baseline"/>
        </w:rPr>
        <w:t>the Ninth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05"/>
          <w:vertAlign w:val="baseline"/>
        </w:rPr>
        <w:t>Circuit dismissed an appeal for failure to comply with certain Federal Rules</w:t>
      </w:r>
      <w:r>
        <w:rPr>
          <w:color w:val="383638"/>
          <w:spacing w:val="-58"/>
          <w:w w:val="105"/>
          <w:vertAlign w:val="baseline"/>
        </w:rPr>
        <w:t> </w:t>
      </w:r>
      <w:r>
        <w:rPr>
          <w:color w:val="383638"/>
          <w:spacing w:val="-1"/>
          <w:w w:val="105"/>
          <w:vertAlign w:val="baseline"/>
        </w:rPr>
        <w:t>of Appellate Procedure (FRAP) and</w:t>
      </w:r>
      <w:r>
        <w:rPr>
          <w:color w:val="383638"/>
          <w:w w:val="105"/>
          <w:vertAlign w:val="baseline"/>
        </w:rPr>
        <w:t> </w:t>
      </w:r>
      <w:r>
        <w:rPr>
          <w:color w:val="383638"/>
          <w:spacing w:val="-1"/>
          <w:w w:val="105"/>
          <w:vertAlign w:val="baseline"/>
        </w:rPr>
        <w:t>with circuit rules.</w:t>
      </w:r>
      <w:r>
        <w:rPr>
          <w:rFonts w:ascii="Arial" w:hAnsi="Arial"/>
          <w:color w:val="383638"/>
          <w:spacing w:val="-1"/>
          <w:w w:val="105"/>
          <w:vertAlign w:val="superscript"/>
        </w:rPr>
        <w:t>3</w:t>
      </w:r>
      <w:r>
        <w:rPr>
          <w:rFonts w:ascii="Arial" w:hAnsi="Arial"/>
          <w:color w:val="383638"/>
          <w:spacing w:val="-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The court noted that</w:t>
      </w:r>
      <w:r>
        <w:rPr>
          <w:color w:val="383638"/>
          <w:spacing w:val="-58"/>
          <w:w w:val="105"/>
          <w:vertAlign w:val="baseline"/>
        </w:rPr>
        <w:t> </w:t>
      </w:r>
      <w:r>
        <w:rPr>
          <w:color w:val="383638"/>
          <w:w w:val="110"/>
          <w:vertAlign w:val="baseline"/>
        </w:rPr>
        <w:t>"[a]n enormous amount of time is wasted when attorneys fail to provide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spacing w:val="-1"/>
          <w:w w:val="110"/>
          <w:vertAlign w:val="baseline"/>
        </w:rPr>
        <w:t>proper briefs and excerpts of record that </w:t>
      </w:r>
      <w:r>
        <w:rPr>
          <w:color w:val="383638"/>
          <w:w w:val="110"/>
          <w:vertAlign w:val="baseline"/>
        </w:rPr>
        <w:t>should have supplied the court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with the materials relevant to the appeal. The FRAP and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Ninth Circuit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rules are not optional suggestions ...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but </w:t>
      </w:r>
      <w:r>
        <w:rPr>
          <w:rFonts w:ascii="Arial" w:hAnsi="Arial"/>
          <w:i/>
          <w:color w:val="383638"/>
          <w:w w:val="110"/>
          <w:sz w:val="20"/>
          <w:vertAlign w:val="baseline"/>
        </w:rPr>
        <w:t>mies </w:t>
      </w:r>
      <w:r>
        <w:rPr>
          <w:color w:val="383638"/>
          <w:w w:val="110"/>
          <w:vertAlign w:val="baseline"/>
        </w:rPr>
        <w:t>that ...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are entitled to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respect,</w:t>
      </w:r>
      <w:r>
        <w:rPr>
          <w:color w:val="383638"/>
          <w:spacing w:val="-13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and</w:t>
      </w:r>
      <w:r>
        <w:rPr>
          <w:color w:val="383638"/>
          <w:spacing w:val="34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command</w:t>
      </w:r>
      <w:r>
        <w:rPr>
          <w:color w:val="383638"/>
          <w:spacing w:val="4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compliance.""</w:t>
      </w:r>
    </w:p>
    <w:p>
      <w:pPr>
        <w:pStyle w:val="BodyText"/>
        <w:spacing w:line="232" w:lineRule="auto"/>
        <w:ind w:left="319" w:right="187" w:firstLine="420"/>
        <w:jc w:val="both"/>
      </w:pPr>
      <w:r>
        <w:rPr>
          <w:color w:val="383638"/>
          <w:w w:val="105"/>
        </w:rPr>
        <w:t>In</w:t>
      </w:r>
      <w:r>
        <w:rPr>
          <w:color w:val="383638"/>
          <w:spacing w:val="-27"/>
          <w:w w:val="105"/>
        </w:rPr>
        <w:t> </w:t>
      </w:r>
      <w:r>
        <w:rPr>
          <w:color w:val="383638"/>
          <w:w w:val="105"/>
        </w:rPr>
        <w:t>addition</w:t>
      </w:r>
      <w:r>
        <w:rPr>
          <w:color w:val="383638"/>
          <w:spacing w:val="11"/>
          <w:w w:val="105"/>
        </w:rPr>
        <w:t> </w:t>
      </w:r>
      <w:r>
        <w:rPr>
          <w:color w:val="383638"/>
          <w:w w:val="105"/>
        </w:rPr>
        <w:t>to expecting</w:t>
      </w:r>
      <w:r>
        <w:rPr>
          <w:color w:val="383638"/>
          <w:spacing w:val="-7"/>
          <w:w w:val="105"/>
        </w:rPr>
        <w:t> </w:t>
      </w:r>
      <w:r>
        <w:rPr>
          <w:color w:val="383638"/>
          <w:w w:val="105"/>
        </w:rPr>
        <w:t>counsel</w:t>
      </w:r>
      <w:r>
        <w:rPr>
          <w:color w:val="383638"/>
          <w:spacing w:val="-4"/>
          <w:w w:val="105"/>
        </w:rPr>
        <w:t> </w:t>
      </w:r>
      <w:r>
        <w:rPr>
          <w:color w:val="383638"/>
          <w:w w:val="105"/>
        </w:rPr>
        <w:t>to</w:t>
      </w:r>
      <w:r>
        <w:rPr>
          <w:color w:val="383638"/>
          <w:spacing w:val="-2"/>
          <w:w w:val="105"/>
        </w:rPr>
        <w:t> </w:t>
      </w:r>
      <w:r>
        <w:rPr>
          <w:color w:val="383638"/>
          <w:w w:val="105"/>
        </w:rPr>
        <w:t>follow</w:t>
      </w:r>
      <w:r>
        <w:rPr>
          <w:color w:val="383638"/>
          <w:spacing w:val="-19"/>
          <w:w w:val="105"/>
        </w:rPr>
        <w:t> </w:t>
      </w:r>
      <w:r>
        <w:rPr>
          <w:color w:val="383638"/>
          <w:w w:val="105"/>
        </w:rPr>
        <w:t>local</w:t>
      </w:r>
      <w:r>
        <w:rPr>
          <w:color w:val="383638"/>
          <w:spacing w:val="-13"/>
          <w:w w:val="105"/>
        </w:rPr>
        <w:t> </w:t>
      </w:r>
      <w:r>
        <w:rPr>
          <w:color w:val="383638"/>
          <w:w w:val="105"/>
        </w:rPr>
        <w:t>rules,</w:t>
      </w:r>
      <w:r>
        <w:rPr>
          <w:color w:val="383638"/>
          <w:spacing w:val="-13"/>
          <w:w w:val="105"/>
        </w:rPr>
        <w:t> </w:t>
      </w:r>
      <w:r>
        <w:rPr>
          <w:color w:val="383638"/>
          <w:w w:val="105"/>
        </w:rPr>
        <w:t>somecourts</w:t>
      </w:r>
      <w:r>
        <w:rPr>
          <w:color w:val="383638"/>
          <w:spacing w:val="-13"/>
          <w:w w:val="105"/>
        </w:rPr>
        <w:t> </w:t>
      </w:r>
      <w:r>
        <w:rPr>
          <w:color w:val="4B494B"/>
          <w:w w:val="105"/>
        </w:rPr>
        <w:t>expect</w:t>
      </w:r>
      <w:r>
        <w:rPr>
          <w:color w:val="4B494B"/>
          <w:spacing w:val="1"/>
          <w:w w:val="105"/>
        </w:rPr>
        <w:t> </w:t>
      </w:r>
      <w:r>
        <w:rPr>
          <w:color w:val="383638"/>
          <w:w w:val="105"/>
        </w:rPr>
        <w:t>counsel to be aware of local practices, the customs and behaviors that are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unwritten but practiced by experienced local lawyers. Appellate courts that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allow electronic filing may prefer to have </w:t>
      </w:r>
      <w:r>
        <w:rPr>
          <w:color w:val="4B494B"/>
          <w:w w:val="105"/>
        </w:rPr>
        <w:t>counsel </w:t>
      </w:r>
      <w:r>
        <w:rPr>
          <w:color w:val="383638"/>
          <w:w w:val="105"/>
        </w:rPr>
        <w:t>file an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additional hard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copy if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document is lengthy.</w:t>
      </w:r>
      <w:r>
        <w:rPr>
          <w:rFonts w:ascii="Arial"/>
          <w:color w:val="383638"/>
          <w:w w:val="105"/>
          <w:vertAlign w:val="superscript"/>
        </w:rPr>
        <w:t>5</w:t>
      </w:r>
      <w:r>
        <w:rPr>
          <w:rFonts w:ascii="Arial"/>
          <w:color w:val="383638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Trial judges may have "standing orders"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that lay out rules for counsel to follow in all trials in front of that particular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judge. Taking the  time to  read a  judge's standing order (often  posted on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the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judge's Web site) may provide you with valuable information that </w:t>
      </w:r>
      <w:r>
        <w:rPr>
          <w:color w:val="383638"/>
          <w:w w:val="105"/>
          <w:sz w:val="21"/>
          <w:vertAlign w:val="baseline"/>
        </w:rPr>
        <w:t>will</w:t>
      </w:r>
      <w:r>
        <w:rPr>
          <w:color w:val="383638"/>
          <w:spacing w:val="1"/>
          <w:w w:val="105"/>
          <w:sz w:val="21"/>
          <w:vertAlign w:val="baseline"/>
        </w:rPr>
        <w:t> </w:t>
      </w:r>
      <w:r>
        <w:rPr>
          <w:color w:val="4B494B"/>
          <w:w w:val="105"/>
          <w:vertAlign w:val="baseline"/>
        </w:rPr>
        <w:t>save</w:t>
      </w:r>
      <w:r>
        <w:rPr>
          <w:color w:val="4B494B"/>
          <w:spacing w:val="-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you</w:t>
      </w:r>
      <w:r>
        <w:rPr>
          <w:color w:val="383638"/>
          <w:spacing w:val="2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time</w:t>
      </w:r>
      <w:r>
        <w:rPr>
          <w:color w:val="383638"/>
          <w:spacing w:val="-7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and</w:t>
      </w:r>
      <w:r>
        <w:rPr>
          <w:color w:val="383638"/>
          <w:spacing w:val="18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trouble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and</w:t>
      </w:r>
      <w:r>
        <w:rPr>
          <w:color w:val="383638"/>
          <w:spacing w:val="50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help</w:t>
      </w:r>
      <w:r>
        <w:rPr>
          <w:color w:val="383638"/>
          <w:spacing w:val="-2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you</w:t>
      </w:r>
      <w:r>
        <w:rPr>
          <w:color w:val="383638"/>
          <w:spacing w:val="8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to</w:t>
      </w:r>
      <w:r>
        <w:rPr>
          <w:color w:val="383638"/>
          <w:spacing w:val="35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make</w:t>
      </w:r>
      <w:r>
        <w:rPr>
          <w:color w:val="383638"/>
          <w:spacing w:val="-4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a</w:t>
      </w:r>
      <w:r>
        <w:rPr>
          <w:color w:val="383638"/>
          <w:spacing w:val="10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good</w:t>
      </w:r>
      <w:r>
        <w:rPr>
          <w:color w:val="383638"/>
          <w:spacing w:val="20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impression</w:t>
      </w:r>
      <w:r>
        <w:rPr>
          <w:color w:val="383638"/>
          <w:spacing w:val="34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on</w:t>
      </w:r>
      <w:r>
        <w:rPr>
          <w:color w:val="383638"/>
          <w:spacing w:val="44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the</w:t>
      </w:r>
    </w:p>
    <w:p>
      <w:pPr>
        <w:pStyle w:val="BodyText"/>
        <w:spacing w:before="10"/>
        <w:rPr>
          <w:sz w:val="30"/>
        </w:rPr>
      </w:pPr>
    </w:p>
    <w:p>
      <w:pPr>
        <w:tabs>
          <w:tab w:pos="7574" w:val="left" w:leader="none"/>
        </w:tabs>
        <w:spacing w:line="228" w:lineRule="auto" w:before="0"/>
        <w:ind w:left="275" w:right="215" w:firstLine="389"/>
        <w:jc w:val="both"/>
        <w:rPr>
          <w:sz w:val="18"/>
        </w:rPr>
      </w:pPr>
      <w:r>
        <w:rPr>
          <w:color w:val="383638"/>
          <w:w w:val="105"/>
          <w:position w:val="6"/>
          <w:sz w:val="11"/>
        </w:rPr>
        <w:t>1</w:t>
      </w:r>
      <w:r>
        <w:rPr>
          <w:color w:val="383638"/>
          <w:w w:val="105"/>
          <w:sz w:val="18"/>
        </w:rPr>
        <w:t>Judith D. Fischer, </w:t>
      </w:r>
      <w:r>
        <w:rPr>
          <w:i/>
          <w:color w:val="383638"/>
          <w:w w:val="105"/>
          <w:sz w:val="17"/>
        </w:rPr>
        <w:t>Bareheaded and Barefaced Counsel: Courts React </w:t>
      </w:r>
      <w:r>
        <w:rPr>
          <w:rFonts w:ascii="Arial"/>
          <w:i/>
          <w:color w:val="383638"/>
          <w:w w:val="105"/>
          <w:sz w:val="15"/>
        </w:rPr>
        <w:t>t.o </w:t>
      </w:r>
      <w:r>
        <w:rPr>
          <w:i/>
          <w:color w:val="383638"/>
          <w:w w:val="105"/>
          <w:sz w:val="17"/>
        </w:rPr>
        <w:t>Unprofesslonalism In</w:t>
      </w:r>
      <w:r>
        <w:rPr>
          <w:i/>
          <w:color w:val="383638"/>
          <w:spacing w:val="1"/>
          <w:w w:val="105"/>
          <w:sz w:val="17"/>
        </w:rPr>
        <w:t> </w:t>
      </w:r>
      <w:r>
        <w:rPr>
          <w:rFonts w:ascii="Arial"/>
          <w:i/>
          <w:color w:val="383638"/>
          <w:sz w:val="17"/>
        </w:rPr>
        <w:t>Lawyers</w:t>
      </w:r>
      <w:r>
        <w:rPr>
          <w:rFonts w:ascii="Arial"/>
          <w:i/>
          <w:color w:val="606062"/>
          <w:sz w:val="17"/>
        </w:rPr>
        <w:t>' </w:t>
      </w:r>
      <w:r>
        <w:rPr>
          <w:i/>
          <w:color w:val="383638"/>
          <w:sz w:val="17"/>
        </w:rPr>
        <w:t>Papers, </w:t>
      </w:r>
      <w:r>
        <w:rPr>
          <w:color w:val="383638"/>
          <w:sz w:val="18"/>
        </w:rPr>
        <w:t>31 </w:t>
      </w:r>
      <w:r>
        <w:rPr>
          <w:color w:val="4B494B"/>
          <w:sz w:val="18"/>
        </w:rPr>
        <w:t>Suffolk </w:t>
      </w:r>
      <w:r>
        <w:rPr>
          <w:color w:val="383638"/>
          <w:sz w:val="18"/>
        </w:rPr>
        <w:t>U</w:t>
      </w:r>
      <w:r>
        <w:rPr>
          <w:color w:val="606062"/>
          <w:sz w:val="18"/>
        </w:rPr>
        <w:t>. </w:t>
      </w:r>
      <w:r>
        <w:rPr>
          <w:color w:val="383638"/>
          <w:sz w:val="18"/>
        </w:rPr>
        <w:t>L</w:t>
      </w:r>
      <w:r>
        <w:rPr>
          <w:color w:val="606062"/>
          <w:sz w:val="18"/>
        </w:rPr>
        <w:t>. </w:t>
      </w:r>
      <w:r>
        <w:rPr>
          <w:color w:val="383638"/>
          <w:sz w:val="18"/>
        </w:rPr>
        <w:t>Rev. </w:t>
      </w:r>
      <w:r>
        <w:rPr>
          <w:color w:val="383638"/>
          <w:sz w:val="17"/>
        </w:rPr>
        <w:t>I,</w:t>
      </w:r>
      <w:r>
        <w:rPr>
          <w:color w:val="383638"/>
          <w:spacing w:val="1"/>
          <w:sz w:val="17"/>
        </w:rPr>
        <w:t> </w:t>
      </w:r>
      <w:r>
        <w:rPr>
          <w:color w:val="383638"/>
          <w:sz w:val="18"/>
        </w:rPr>
        <w:t>31 </w:t>
      </w:r>
      <w:r>
        <w:rPr>
          <w:color w:val="4B494B"/>
          <w:sz w:val="18"/>
        </w:rPr>
        <w:t>et </w:t>
      </w:r>
      <w:r>
        <w:rPr>
          <w:color w:val="383638"/>
          <w:sz w:val="18"/>
        </w:rPr>
        <w:t>seq.(1997) (this article also contains several examples</w:t>
      </w:r>
      <w:r>
        <w:rPr>
          <w:color w:val="383638"/>
          <w:spacing w:val="1"/>
          <w:sz w:val="18"/>
        </w:rPr>
        <w:t> </w:t>
      </w:r>
      <w:r>
        <w:rPr>
          <w:color w:val="383638"/>
          <w:w w:val="105"/>
          <w:sz w:val="18"/>
        </w:rPr>
        <w:t>of courts' reactions to misstatements of </w:t>
      </w:r>
      <w:r>
        <w:rPr>
          <w:color w:val="4B494B"/>
          <w:w w:val="105"/>
          <w:sz w:val="18"/>
        </w:rPr>
        <w:t>law </w:t>
      </w:r>
      <w:r>
        <w:rPr>
          <w:color w:val="383638"/>
          <w:w w:val="105"/>
          <w:sz w:val="18"/>
        </w:rPr>
        <w:t>and facts and other falllngs). </w:t>
      </w:r>
      <w:r>
        <w:rPr>
          <w:i/>
          <w:color w:val="383638"/>
          <w:w w:val="105"/>
          <w:sz w:val="17"/>
        </w:rPr>
        <w:t>Seealso</w:t>
      </w:r>
      <w:r>
        <w:rPr>
          <w:color w:val="383638"/>
          <w:w w:val="105"/>
          <w:sz w:val="18"/>
        </w:rPr>
        <w:t>Judith D. Flscher</w:t>
      </w:r>
      <w:r>
        <w:rPr>
          <w:color w:val="383638"/>
          <w:spacing w:val="1"/>
          <w:w w:val="105"/>
          <w:sz w:val="18"/>
        </w:rPr>
        <w:t> </w:t>
      </w:r>
      <w:r>
        <w:rPr>
          <w:i/>
          <w:color w:val="383638"/>
          <w:sz w:val="17"/>
        </w:rPr>
        <w:t>Pleasing</w:t>
      </w:r>
      <w:r>
        <w:rPr>
          <w:i/>
          <w:color w:val="383638"/>
          <w:spacing w:val="9"/>
          <w:sz w:val="17"/>
        </w:rPr>
        <w:t> </w:t>
      </w:r>
      <w:r>
        <w:rPr>
          <w:i/>
          <w:color w:val="383638"/>
          <w:sz w:val="17"/>
        </w:rPr>
        <w:t>the</w:t>
      </w:r>
      <w:r>
        <w:rPr>
          <w:i/>
          <w:color w:val="383638"/>
          <w:spacing w:val="24"/>
          <w:sz w:val="17"/>
        </w:rPr>
        <w:t> </w:t>
      </w:r>
      <w:r>
        <w:rPr>
          <w:i/>
          <w:color w:val="4B494B"/>
          <w:sz w:val="17"/>
        </w:rPr>
        <w:t>Court:</w:t>
      </w:r>
      <w:r>
        <w:rPr>
          <w:i/>
          <w:color w:val="4B494B"/>
          <w:spacing w:val="-9"/>
          <w:sz w:val="17"/>
        </w:rPr>
        <w:t> </w:t>
      </w:r>
      <w:r>
        <w:rPr>
          <w:i/>
          <w:color w:val="383638"/>
          <w:sz w:val="17"/>
        </w:rPr>
        <w:t>Writing</w:t>
      </w:r>
      <w:r>
        <w:rPr>
          <w:i/>
          <w:color w:val="383638"/>
          <w:spacing w:val="6"/>
          <w:sz w:val="17"/>
        </w:rPr>
        <w:t> </w:t>
      </w:r>
      <w:r>
        <w:rPr>
          <w:i/>
          <w:color w:val="383638"/>
          <w:sz w:val="17"/>
        </w:rPr>
        <w:t>Ethical</w:t>
      </w:r>
      <w:r>
        <w:rPr>
          <w:i/>
          <w:color w:val="383638"/>
          <w:spacing w:val="12"/>
          <w:sz w:val="17"/>
        </w:rPr>
        <w:t> </w:t>
      </w:r>
      <w:r>
        <w:rPr>
          <w:i/>
          <w:color w:val="4B494B"/>
          <w:sz w:val="17"/>
        </w:rPr>
        <w:t>and</w:t>
      </w:r>
      <w:r>
        <w:rPr>
          <w:i/>
          <w:color w:val="4B494B"/>
          <w:spacing w:val="29"/>
          <w:sz w:val="17"/>
        </w:rPr>
        <w:t> </w:t>
      </w:r>
      <w:r>
        <w:rPr>
          <w:i/>
          <w:color w:val="383638"/>
          <w:sz w:val="17"/>
        </w:rPr>
        <w:t>Effective</w:t>
      </w:r>
      <w:r>
        <w:rPr>
          <w:i/>
          <w:color w:val="383638"/>
          <w:spacing w:val="5"/>
          <w:sz w:val="17"/>
        </w:rPr>
        <w:t> </w:t>
      </w:r>
      <w:r>
        <w:rPr>
          <w:i/>
          <w:color w:val="383638"/>
          <w:sz w:val="17"/>
        </w:rPr>
        <w:t>Briefs</w:t>
      </w:r>
      <w:r>
        <w:rPr>
          <w:i/>
          <w:color w:val="383638"/>
          <w:spacing w:val="6"/>
          <w:sz w:val="17"/>
        </w:rPr>
        <w:t> </w:t>
      </w:r>
      <w:r>
        <w:rPr>
          <w:color w:val="383638"/>
          <w:sz w:val="18"/>
        </w:rPr>
        <w:t>(Carolina</w:t>
      </w:r>
      <w:r>
        <w:rPr>
          <w:color w:val="383638"/>
          <w:spacing w:val="13"/>
          <w:sz w:val="18"/>
        </w:rPr>
        <w:t> </w:t>
      </w:r>
      <w:r>
        <w:rPr>
          <w:color w:val="383638"/>
          <w:sz w:val="18"/>
        </w:rPr>
        <w:t>Academic</w:t>
      </w:r>
      <w:r>
        <w:rPr>
          <w:color w:val="383638"/>
          <w:spacing w:val="5"/>
          <w:sz w:val="18"/>
        </w:rPr>
        <w:t> </w:t>
      </w:r>
      <w:r>
        <w:rPr>
          <w:color w:val="383638"/>
          <w:sz w:val="18"/>
        </w:rPr>
        <w:t>Press</w:t>
      </w:r>
      <w:r>
        <w:rPr>
          <w:color w:val="383638"/>
          <w:spacing w:val="-9"/>
          <w:sz w:val="18"/>
        </w:rPr>
        <w:t> </w:t>
      </w:r>
      <w:r>
        <w:rPr>
          <w:color w:val="383638"/>
          <w:sz w:val="18"/>
        </w:rPr>
        <w:t>2005).</w:t>
        <w:tab/>
      </w:r>
      <w:r>
        <w:rPr>
          <w:color w:val="383638"/>
          <w:w w:val="105"/>
          <w:sz w:val="18"/>
        </w:rPr>
        <w:t>'</w:t>
      </w:r>
    </w:p>
    <w:p>
      <w:pPr>
        <w:spacing w:line="218" w:lineRule="auto" w:before="10"/>
        <w:ind w:left="246" w:right="220" w:firstLine="386"/>
        <w:jc w:val="both"/>
        <w:rPr>
          <w:sz w:val="18"/>
        </w:rPr>
      </w:pPr>
      <w:r>
        <w:rPr>
          <w:rFonts w:ascii="Arial"/>
          <w:i/>
          <w:color w:val="4B494B"/>
          <w:w w:val="105"/>
          <w:position w:val="6"/>
          <w:sz w:val="10"/>
        </w:rPr>
        <w:t>2 </w:t>
      </w:r>
      <w:r>
        <w:rPr>
          <w:i/>
          <w:color w:val="4B494B"/>
          <w:w w:val="105"/>
          <w:sz w:val="17"/>
        </w:rPr>
        <w:t>Booher  </w:t>
      </w:r>
      <w:r>
        <w:rPr>
          <w:i/>
          <w:color w:val="383638"/>
          <w:w w:val="105"/>
          <w:sz w:val="17"/>
        </w:rPr>
        <w:t>v.  Sheeram,  LLC, </w:t>
      </w:r>
      <w:r>
        <w:rPr>
          <w:color w:val="383638"/>
          <w:w w:val="105"/>
          <w:sz w:val="18"/>
        </w:rPr>
        <w:t>937  </w:t>
      </w:r>
      <w:r>
        <w:rPr>
          <w:color w:val="383638"/>
          <w:w w:val="105"/>
          <w:sz w:val="16"/>
        </w:rPr>
        <w:t>N.E.Zd  </w:t>
      </w:r>
      <w:r>
        <w:rPr>
          <w:color w:val="4B494B"/>
          <w:w w:val="105"/>
          <w:sz w:val="18"/>
        </w:rPr>
        <w:t>392, </w:t>
      </w:r>
      <w:r>
        <w:rPr>
          <w:color w:val="383638"/>
          <w:w w:val="105"/>
          <w:sz w:val="18"/>
        </w:rPr>
        <w:t>394 (Ind. Ct. App. 2010), cited  In </w:t>
      </w:r>
      <w:r>
        <w:rPr>
          <w:i/>
          <w:color w:val="383638"/>
          <w:w w:val="105"/>
          <w:sz w:val="17"/>
        </w:rPr>
        <w:t>Above </w:t>
      </w:r>
      <w:r>
        <w:rPr>
          <w:i/>
          <w:color w:val="383638"/>
          <w:w w:val="105"/>
          <w:sz w:val="16"/>
        </w:rPr>
        <w:t>the</w:t>
      </w:r>
      <w:r>
        <w:rPr>
          <w:i/>
          <w:color w:val="383638"/>
          <w:spacing w:val="1"/>
          <w:w w:val="105"/>
          <w:sz w:val="16"/>
        </w:rPr>
        <w:t> </w:t>
      </w:r>
      <w:r>
        <w:rPr>
          <w:rFonts w:ascii="Arial"/>
          <w:i/>
          <w:color w:val="383638"/>
          <w:w w:val="110"/>
          <w:sz w:val="16"/>
        </w:rPr>
        <w:t>Law</w:t>
      </w:r>
      <w:r>
        <w:rPr>
          <w:rFonts w:ascii="Arial"/>
          <w:i/>
          <w:color w:val="606062"/>
          <w:w w:val="110"/>
          <w:sz w:val="16"/>
        </w:rPr>
        <w:t>, </w:t>
      </w:r>
      <w:r>
        <w:rPr>
          <w:color w:val="4B494B"/>
          <w:w w:val="110"/>
          <w:sz w:val="18"/>
        </w:rPr>
        <w:t>"Always </w:t>
      </w:r>
      <w:r>
        <w:rPr>
          <w:color w:val="383638"/>
          <w:w w:val="110"/>
          <w:sz w:val="18"/>
        </w:rPr>
        <w:t>Follow the</w:t>
      </w:r>
      <w:r>
        <w:rPr>
          <w:color w:val="383638"/>
          <w:spacing w:val="1"/>
          <w:w w:val="110"/>
          <w:sz w:val="18"/>
        </w:rPr>
        <w:t> </w:t>
      </w:r>
      <w:r>
        <w:rPr>
          <w:color w:val="383638"/>
          <w:w w:val="110"/>
          <w:sz w:val="18"/>
        </w:rPr>
        <w:t>Rulesn (Dec. 27, 2013), available at </w:t>
      </w:r>
      <w:hyperlink r:id="rId189">
        <w:r>
          <w:rPr>
            <w:color w:val="383638"/>
            <w:w w:val="110"/>
            <w:sz w:val="18"/>
          </w:rPr>
          <w:t>http://abovethelaw.com/tag/</w:t>
        </w:r>
      </w:hyperlink>
      <w:r>
        <w:rPr>
          <w:color w:val="383638"/>
          <w:spacing w:val="1"/>
          <w:w w:val="110"/>
          <w:sz w:val="18"/>
        </w:rPr>
        <w:t> </w:t>
      </w:r>
      <w:r>
        <w:rPr>
          <w:color w:val="383638"/>
          <w:w w:val="110"/>
          <w:sz w:val="18"/>
        </w:rPr>
        <w:t>boOher-v-sheeram-llc/.</w:t>
      </w:r>
    </w:p>
    <w:p>
      <w:pPr>
        <w:spacing w:line="188" w:lineRule="exact" w:before="0"/>
        <w:ind w:left="615" w:right="0" w:firstLine="0"/>
        <w:jc w:val="both"/>
        <w:rPr>
          <w:sz w:val="18"/>
        </w:rPr>
      </w:pPr>
      <w:r>
        <w:rPr>
          <w:rFonts w:ascii="Arial"/>
          <w:color w:val="4B494B"/>
          <w:spacing w:val="-1"/>
          <w:w w:val="105"/>
          <w:position w:val="3"/>
          <w:sz w:val="10"/>
        </w:rPr>
        <w:t>3</w:t>
      </w:r>
      <w:r>
        <w:rPr>
          <w:rFonts w:ascii="Arial"/>
          <w:color w:val="4B494B"/>
          <w:spacing w:val="-8"/>
          <w:w w:val="105"/>
          <w:position w:val="3"/>
          <w:sz w:val="10"/>
        </w:rPr>
        <w:t> </w:t>
      </w:r>
      <w:r>
        <w:rPr>
          <w:rFonts w:ascii="Arial"/>
          <w:i/>
          <w:color w:val="383638"/>
          <w:spacing w:val="-1"/>
          <w:w w:val="105"/>
          <w:sz w:val="16"/>
        </w:rPr>
        <w:t>/n</w:t>
      </w:r>
      <w:r>
        <w:rPr>
          <w:rFonts w:ascii="Arial"/>
          <w:i/>
          <w:color w:val="383638"/>
          <w:spacing w:val="5"/>
          <w:w w:val="105"/>
          <w:sz w:val="16"/>
        </w:rPr>
        <w:t> </w:t>
      </w:r>
      <w:r>
        <w:rPr>
          <w:i/>
          <w:color w:val="383638"/>
          <w:spacing w:val="-1"/>
          <w:w w:val="105"/>
          <w:sz w:val="17"/>
        </w:rPr>
        <w:t>re</w:t>
      </w:r>
      <w:r>
        <w:rPr>
          <w:i/>
          <w:color w:val="383638"/>
          <w:spacing w:val="-17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O'Brien,</w:t>
      </w:r>
      <w:r>
        <w:rPr>
          <w:i/>
          <w:color w:val="383638"/>
          <w:spacing w:val="-22"/>
          <w:w w:val="105"/>
          <w:sz w:val="17"/>
        </w:rPr>
        <w:t> </w:t>
      </w:r>
      <w:r>
        <w:rPr>
          <w:color w:val="383638"/>
          <w:w w:val="105"/>
          <w:sz w:val="18"/>
        </w:rPr>
        <w:t>312</w:t>
      </w:r>
      <w:r>
        <w:rPr>
          <w:color w:val="383638"/>
          <w:spacing w:val="7"/>
          <w:w w:val="105"/>
          <w:sz w:val="18"/>
        </w:rPr>
        <w:t> </w:t>
      </w:r>
      <w:r>
        <w:rPr>
          <w:color w:val="383638"/>
          <w:w w:val="105"/>
          <w:sz w:val="18"/>
        </w:rPr>
        <w:t>F</w:t>
      </w:r>
      <w:r>
        <w:rPr>
          <w:color w:val="606062"/>
          <w:w w:val="105"/>
          <w:sz w:val="18"/>
        </w:rPr>
        <w:t>.</w:t>
      </w:r>
      <w:r>
        <w:rPr>
          <w:color w:val="383638"/>
          <w:w w:val="105"/>
          <w:sz w:val="18"/>
        </w:rPr>
        <w:t>3d</w:t>
      </w:r>
      <w:r>
        <w:rPr>
          <w:color w:val="383638"/>
          <w:spacing w:val="6"/>
          <w:w w:val="105"/>
          <w:sz w:val="18"/>
        </w:rPr>
        <w:t> </w:t>
      </w:r>
      <w:r>
        <w:rPr>
          <w:color w:val="383638"/>
          <w:w w:val="105"/>
          <w:sz w:val="18"/>
        </w:rPr>
        <w:t>1135,</w:t>
      </w:r>
      <w:r>
        <w:rPr>
          <w:color w:val="383638"/>
          <w:spacing w:val="-14"/>
          <w:w w:val="105"/>
          <w:sz w:val="18"/>
        </w:rPr>
        <w:t> </w:t>
      </w:r>
      <w:r>
        <w:rPr>
          <w:color w:val="383638"/>
          <w:w w:val="105"/>
          <w:sz w:val="18"/>
        </w:rPr>
        <w:t>1136</w:t>
      </w:r>
      <w:r>
        <w:rPr>
          <w:color w:val="383638"/>
          <w:spacing w:val="-10"/>
          <w:w w:val="105"/>
          <w:sz w:val="18"/>
        </w:rPr>
        <w:t> </w:t>
      </w:r>
      <w:r>
        <w:rPr>
          <w:color w:val="383638"/>
          <w:w w:val="105"/>
          <w:sz w:val="18"/>
        </w:rPr>
        <w:t>(9th</w:t>
      </w:r>
      <w:r>
        <w:rPr>
          <w:color w:val="383638"/>
          <w:spacing w:val="-13"/>
          <w:w w:val="105"/>
          <w:sz w:val="18"/>
        </w:rPr>
        <w:t> </w:t>
      </w:r>
      <w:r>
        <w:rPr>
          <w:color w:val="4B494B"/>
          <w:w w:val="105"/>
          <w:sz w:val="18"/>
        </w:rPr>
        <w:t>Cir.</w:t>
      </w:r>
      <w:r>
        <w:rPr>
          <w:color w:val="4B494B"/>
          <w:spacing w:val="-11"/>
          <w:w w:val="105"/>
          <w:sz w:val="18"/>
        </w:rPr>
        <w:t> </w:t>
      </w:r>
      <w:r>
        <w:rPr>
          <w:color w:val="4B494B"/>
          <w:w w:val="105"/>
          <w:sz w:val="18"/>
        </w:rPr>
        <w:t>2002).</w:t>
      </w:r>
    </w:p>
    <w:p>
      <w:pPr>
        <w:pStyle w:val="ListParagraph"/>
        <w:numPr>
          <w:ilvl w:val="0"/>
          <w:numId w:val="70"/>
        </w:numPr>
        <w:tabs>
          <w:tab w:pos="687" w:val="left" w:leader="none"/>
        </w:tabs>
        <w:spacing w:line="200" w:lineRule="exact" w:before="0" w:after="0"/>
        <w:ind w:left="686" w:right="0" w:hanging="86"/>
        <w:jc w:val="both"/>
        <w:rPr>
          <w:sz w:val="18"/>
        </w:rPr>
      </w:pPr>
      <w:r>
        <w:rPr>
          <w:rFonts w:ascii="Arial" w:hAnsi="Arial"/>
          <w:i/>
          <w:color w:val="383638"/>
          <w:w w:val="105"/>
          <w:sz w:val="16"/>
        </w:rPr>
        <w:t>/d.</w:t>
      </w:r>
      <w:r>
        <w:rPr>
          <w:rFonts w:ascii="Arial" w:hAnsi="Arial"/>
          <w:i/>
          <w:color w:val="383638"/>
          <w:spacing w:val="19"/>
          <w:w w:val="105"/>
          <w:sz w:val="16"/>
        </w:rPr>
        <w:t> </w:t>
      </w:r>
      <w:r>
        <w:rPr>
          <w:color w:val="4B494B"/>
          <w:w w:val="105"/>
          <w:sz w:val="18"/>
        </w:rPr>
        <w:t>at</w:t>
      </w:r>
      <w:r>
        <w:rPr>
          <w:color w:val="4B494B"/>
          <w:spacing w:val="35"/>
          <w:w w:val="105"/>
          <w:sz w:val="18"/>
        </w:rPr>
        <w:t> </w:t>
      </w:r>
      <w:r>
        <w:rPr>
          <w:color w:val="383638"/>
          <w:w w:val="105"/>
          <w:sz w:val="18"/>
        </w:rPr>
        <w:t>1137</w:t>
      </w:r>
      <w:r>
        <w:rPr>
          <w:color w:val="383638"/>
          <w:spacing w:val="-12"/>
          <w:w w:val="105"/>
          <w:sz w:val="18"/>
        </w:rPr>
        <w:t> </w:t>
      </w:r>
      <w:r>
        <w:rPr>
          <w:color w:val="383638"/>
          <w:w w:val="105"/>
          <w:sz w:val="18"/>
        </w:rPr>
        <w:t>(citation</w:t>
      </w:r>
      <w:r>
        <w:rPr>
          <w:color w:val="383638"/>
          <w:spacing w:val="-2"/>
          <w:w w:val="105"/>
          <w:sz w:val="18"/>
        </w:rPr>
        <w:t> </w:t>
      </w:r>
      <w:r>
        <w:rPr>
          <w:color w:val="383638"/>
          <w:w w:val="105"/>
          <w:sz w:val="18"/>
        </w:rPr>
        <w:t>omitted;</w:t>
      </w:r>
      <w:r>
        <w:rPr>
          <w:color w:val="383638"/>
          <w:spacing w:val="-9"/>
          <w:w w:val="105"/>
          <w:sz w:val="18"/>
        </w:rPr>
        <w:t> </w:t>
      </w:r>
      <w:r>
        <w:rPr>
          <w:color w:val="383638"/>
          <w:w w:val="105"/>
          <w:sz w:val="18"/>
        </w:rPr>
        <w:t>emphasis</w:t>
      </w:r>
      <w:r>
        <w:rPr>
          <w:color w:val="383638"/>
          <w:spacing w:val="5"/>
          <w:w w:val="105"/>
          <w:sz w:val="18"/>
        </w:rPr>
        <w:t> </w:t>
      </w:r>
      <w:r>
        <w:rPr>
          <w:color w:val="383638"/>
          <w:w w:val="105"/>
          <w:sz w:val="16"/>
        </w:rPr>
        <w:t>in </w:t>
      </w:r>
      <w:r>
        <w:rPr>
          <w:color w:val="383638"/>
          <w:spacing w:val="6"/>
          <w:w w:val="105"/>
          <w:sz w:val="16"/>
        </w:rPr>
        <w:t> </w:t>
      </w:r>
      <w:r>
        <w:rPr>
          <w:color w:val="383638"/>
          <w:w w:val="105"/>
          <w:sz w:val="18"/>
        </w:rPr>
        <w:t>original).</w:t>
      </w:r>
    </w:p>
    <w:p>
      <w:pPr>
        <w:spacing w:line="223" w:lineRule="auto" w:before="17"/>
        <w:ind w:left="213" w:right="246" w:firstLine="398"/>
        <w:jc w:val="both"/>
        <w:rPr>
          <w:sz w:val="18"/>
        </w:rPr>
      </w:pPr>
      <w:r>
        <w:rPr>
          <w:i/>
          <w:color w:val="4B494B"/>
          <w:w w:val="105"/>
          <w:sz w:val="17"/>
        </w:rPr>
        <w:t>sE.g., </w:t>
      </w:r>
      <w:r>
        <w:rPr>
          <w:color w:val="383638"/>
          <w:w w:val="105"/>
          <w:sz w:val="18"/>
        </w:rPr>
        <w:t>King </w:t>
      </w:r>
      <w:r>
        <w:rPr>
          <w:color w:val="4B494B"/>
          <w:w w:val="105"/>
          <w:sz w:val="18"/>
        </w:rPr>
        <w:t>County </w:t>
      </w:r>
      <w:r>
        <w:rPr>
          <w:color w:val="383638"/>
          <w:w w:val="105"/>
          <w:sz w:val="18"/>
        </w:rPr>
        <w:t>Local Rule </w:t>
      </w:r>
      <w:r>
        <w:rPr>
          <w:color w:val="4B494B"/>
          <w:w w:val="105"/>
          <w:sz w:val="18"/>
        </w:rPr>
        <w:t>7(b)(4)(F) </w:t>
      </w:r>
      <w:r>
        <w:rPr>
          <w:color w:val="383638"/>
          <w:w w:val="105"/>
          <w:sz w:val="18"/>
        </w:rPr>
        <w:t>(discussing working copies, and</w:t>
      </w:r>
      <w:r>
        <w:rPr>
          <w:color w:val="383638"/>
          <w:spacing w:val="1"/>
          <w:w w:val="105"/>
          <w:sz w:val="18"/>
        </w:rPr>
        <w:t> </w:t>
      </w:r>
      <w:r>
        <w:rPr>
          <w:color w:val="383638"/>
          <w:w w:val="105"/>
          <w:sz w:val="18"/>
        </w:rPr>
        <w:t>requiring paper</w:t>
      </w:r>
      <w:r>
        <w:rPr>
          <w:color w:val="383638"/>
          <w:spacing w:val="1"/>
          <w:w w:val="105"/>
          <w:sz w:val="18"/>
        </w:rPr>
        <w:t> </w:t>
      </w:r>
      <w:r>
        <w:rPr>
          <w:color w:val="383638"/>
          <w:w w:val="105"/>
          <w:sz w:val="18"/>
        </w:rPr>
        <w:t>working</w:t>
      </w:r>
      <w:r>
        <w:rPr>
          <w:color w:val="383638"/>
          <w:spacing w:val="-14"/>
          <w:w w:val="105"/>
          <w:sz w:val="18"/>
        </w:rPr>
        <w:t> </w:t>
      </w:r>
      <w:r>
        <w:rPr>
          <w:color w:val="4B494B"/>
          <w:w w:val="105"/>
          <w:sz w:val="18"/>
        </w:rPr>
        <w:t>copies</w:t>
      </w:r>
      <w:r>
        <w:rPr>
          <w:color w:val="4B494B"/>
          <w:spacing w:val="-14"/>
          <w:w w:val="105"/>
          <w:sz w:val="18"/>
        </w:rPr>
        <w:t> </w:t>
      </w:r>
      <w:r>
        <w:rPr>
          <w:color w:val="383638"/>
          <w:w w:val="105"/>
          <w:sz w:val="18"/>
        </w:rPr>
        <w:t>for</w:t>
      </w:r>
      <w:r>
        <w:rPr>
          <w:color w:val="383638"/>
          <w:spacing w:val="-17"/>
          <w:w w:val="105"/>
          <w:sz w:val="18"/>
        </w:rPr>
        <w:t> </w:t>
      </w:r>
      <w:r>
        <w:rPr>
          <w:color w:val="383638"/>
          <w:w w:val="105"/>
          <w:sz w:val="18"/>
        </w:rPr>
        <w:t>documents</w:t>
      </w:r>
      <w:r>
        <w:rPr>
          <w:color w:val="383638"/>
          <w:spacing w:val="-10"/>
          <w:w w:val="105"/>
          <w:sz w:val="18"/>
        </w:rPr>
        <w:t> </w:t>
      </w:r>
      <w:r>
        <w:rPr>
          <w:color w:val="383638"/>
          <w:w w:val="105"/>
          <w:sz w:val="18"/>
        </w:rPr>
        <w:t>of</w:t>
      </w:r>
      <w:r>
        <w:rPr>
          <w:color w:val="383638"/>
          <w:spacing w:val="-13"/>
          <w:w w:val="105"/>
          <w:sz w:val="18"/>
        </w:rPr>
        <w:t> </w:t>
      </w:r>
      <w:r>
        <w:rPr>
          <w:color w:val="383638"/>
          <w:w w:val="105"/>
          <w:sz w:val="18"/>
        </w:rPr>
        <w:t>500</w:t>
      </w:r>
      <w:r>
        <w:rPr>
          <w:color w:val="383638"/>
          <w:spacing w:val="-10"/>
          <w:w w:val="105"/>
          <w:sz w:val="18"/>
        </w:rPr>
        <w:t> </w:t>
      </w:r>
      <w:r>
        <w:rPr>
          <w:color w:val="383638"/>
          <w:w w:val="105"/>
          <w:sz w:val="18"/>
        </w:rPr>
        <w:t>pagesor</w:t>
      </w:r>
      <w:r>
        <w:rPr>
          <w:color w:val="383638"/>
          <w:spacing w:val="13"/>
          <w:w w:val="105"/>
          <w:sz w:val="18"/>
        </w:rPr>
        <w:t> </w:t>
      </w:r>
      <w:r>
        <w:rPr>
          <w:color w:val="383638"/>
          <w:w w:val="105"/>
          <w:sz w:val="18"/>
        </w:rPr>
        <w:t>more).</w:t>
      </w:r>
    </w:p>
    <w:p>
      <w:pPr>
        <w:spacing w:after="0" w:line="223" w:lineRule="auto"/>
        <w:jc w:val="both"/>
        <w:rPr>
          <w:sz w:val="18"/>
        </w:rPr>
        <w:sectPr>
          <w:pgSz w:w="9250" w:h="13740"/>
          <w:pgMar w:header="530" w:footer="0" w:top="1060" w:bottom="0" w:left="1280" w:right="40"/>
        </w:sectPr>
      </w:pPr>
    </w:p>
    <w:p>
      <w:pPr>
        <w:pStyle w:val="BodyText"/>
        <w:spacing w:line="230" w:lineRule="auto" w:before="89"/>
        <w:ind w:left="111" w:right="264" w:firstLine="3"/>
        <w:jc w:val="both"/>
      </w:pPr>
      <w:r>
        <w:rPr>
          <w:color w:val="383638"/>
          <w:w w:val="110"/>
        </w:rPr>
        <w:t>court. Whenever you have to file a brief, make sure that you have copies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of all of the written rules that apply to documents submitted to that court,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  <w:sz w:val="22"/>
        </w:rPr>
        <w:t>try</w:t>
      </w:r>
      <w:r>
        <w:rPr>
          <w:color w:val="383638"/>
          <w:spacing w:val="5"/>
          <w:w w:val="110"/>
          <w:sz w:val="22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find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out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local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practices</w:t>
      </w:r>
      <w:r>
        <w:rPr>
          <w:color w:val="383638"/>
          <w:spacing w:val="-22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34"/>
          <w:w w:val="110"/>
        </w:rPr>
        <w:t> </w:t>
      </w:r>
      <w:r>
        <w:rPr>
          <w:color w:val="383638"/>
          <w:w w:val="110"/>
        </w:rPr>
        <w:t>customs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by</w:t>
      </w:r>
      <w:r>
        <w:rPr>
          <w:color w:val="383638"/>
          <w:spacing w:val="-23"/>
          <w:w w:val="110"/>
        </w:rPr>
        <w:t> </w:t>
      </w:r>
      <w:r>
        <w:rPr>
          <w:color w:val="383638"/>
          <w:w w:val="110"/>
        </w:rPr>
        <w:t>consulting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court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Web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05"/>
        </w:rPr>
        <w:t>sites,</w:t>
      </w:r>
      <w:r>
        <w:rPr>
          <w:color w:val="383638"/>
          <w:spacing w:val="-9"/>
          <w:w w:val="105"/>
        </w:rPr>
        <w:t> </w:t>
      </w:r>
      <w:r>
        <w:rPr>
          <w:color w:val="383638"/>
          <w:w w:val="105"/>
        </w:rPr>
        <w:t>more</w:t>
      </w:r>
      <w:r>
        <w:rPr>
          <w:color w:val="383638"/>
          <w:spacing w:val="-19"/>
          <w:w w:val="105"/>
        </w:rPr>
        <w:t> </w:t>
      </w:r>
      <w:r>
        <w:rPr>
          <w:color w:val="383638"/>
          <w:w w:val="105"/>
        </w:rPr>
        <w:t>experienced</w:t>
      </w:r>
      <w:r>
        <w:rPr>
          <w:color w:val="383638"/>
          <w:spacing w:val="11"/>
          <w:w w:val="105"/>
        </w:rPr>
        <w:t> </w:t>
      </w:r>
      <w:r>
        <w:rPr>
          <w:color w:val="383638"/>
          <w:w w:val="105"/>
        </w:rPr>
        <w:t>colleagues,</w:t>
      </w:r>
      <w:r>
        <w:rPr>
          <w:color w:val="383638"/>
          <w:spacing w:val="4"/>
          <w:w w:val="105"/>
        </w:rPr>
        <w:t> </w:t>
      </w:r>
      <w:r>
        <w:rPr>
          <w:color w:val="383638"/>
          <w:w w:val="105"/>
        </w:rPr>
        <w:t>or</w:t>
      </w:r>
      <w:r>
        <w:rPr>
          <w:color w:val="383638"/>
          <w:spacing w:val="24"/>
          <w:w w:val="105"/>
        </w:rPr>
        <w:t> </w:t>
      </w:r>
      <w:r>
        <w:rPr>
          <w:color w:val="383638"/>
          <w:w w:val="105"/>
        </w:rPr>
        <w:t>both</w:t>
      </w:r>
      <w:r>
        <w:rPr>
          <w:color w:val="545456"/>
          <w:w w:val="105"/>
        </w:rPr>
        <w:t>.</w:t>
      </w:r>
    </w:p>
    <w:p>
      <w:pPr>
        <w:pStyle w:val="BodyText"/>
        <w:spacing w:line="235" w:lineRule="auto" w:before="1"/>
        <w:ind w:left="114" w:right="251" w:firstLine="319"/>
        <w:jc w:val="both"/>
      </w:pPr>
      <w:r>
        <w:rPr>
          <w:color w:val="383638"/>
          <w:w w:val="115"/>
        </w:rPr>
        <w:t>This chapter explains the format requirements that are common to</w:t>
      </w:r>
      <w:r>
        <w:rPr>
          <w:color w:val="383638"/>
          <w:spacing w:val="1"/>
          <w:w w:val="115"/>
        </w:rPr>
        <w:t> </w:t>
      </w:r>
      <w:r>
        <w:rPr>
          <w:color w:val="383638"/>
          <w:spacing w:val="-1"/>
          <w:w w:val="110"/>
        </w:rPr>
        <w:t>appellate briefs </w:t>
      </w:r>
      <w:r>
        <w:rPr>
          <w:color w:val="383638"/>
          <w:w w:val="110"/>
        </w:rPr>
        <w:t>and motion briefs. For appellate brief requirements, it usu­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05"/>
        </w:rPr>
        <w:t>ally refers to Supreme Court rules; however, most of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requirements listed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are common in other appellate courts. For motion brief requirements, it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usually refers to federal court rules. Samples of a motion brief and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of appel­</w:t>
      </w:r>
      <w:r>
        <w:rPr>
          <w:color w:val="383638"/>
          <w:spacing w:val="1"/>
          <w:w w:val="105"/>
        </w:rPr>
        <w:t> </w:t>
      </w:r>
      <w:r>
        <w:rPr>
          <w:color w:val="383638"/>
          <w:spacing w:val="-1"/>
          <w:w w:val="110"/>
        </w:rPr>
        <w:t>late briefs appear in Appendix </w:t>
      </w:r>
      <w:r>
        <w:rPr>
          <w:rFonts w:ascii="Arial" w:hAnsi="Arial"/>
          <w:color w:val="383638"/>
          <w:spacing w:val="-1"/>
          <w:w w:val="110"/>
          <w:sz w:val="21"/>
        </w:rPr>
        <w:t>C. </w:t>
      </w:r>
      <w:r>
        <w:rPr>
          <w:color w:val="383638"/>
          <w:w w:val="110"/>
        </w:rPr>
        <w:t>Of course, you should follow the rules of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34"/>
          <w:w w:val="110"/>
        </w:rPr>
        <w:t> </w:t>
      </w:r>
      <w:r>
        <w:rPr>
          <w:color w:val="383638"/>
          <w:w w:val="110"/>
        </w:rPr>
        <w:t>court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which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are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writing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or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professor.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1"/>
        <w:ind w:left="669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383638"/>
          <w:w w:val="110"/>
          <w:sz w:val="32"/>
        </w:rPr>
        <w:t>8.1</w:t>
      </w:r>
    </w:p>
    <w:p>
      <w:pPr>
        <w:spacing w:before="73"/>
        <w:ind w:left="671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383638"/>
          <w:w w:val="105"/>
          <w:sz w:val="26"/>
        </w:rPr>
        <w:t>LENGTH</w:t>
      </w:r>
      <w:r>
        <w:rPr>
          <w:rFonts w:ascii="Arial"/>
          <w:b/>
          <w:color w:val="383638"/>
          <w:spacing w:val="-6"/>
          <w:w w:val="105"/>
          <w:sz w:val="26"/>
        </w:rPr>
        <w:t> </w:t>
      </w:r>
      <w:r>
        <w:rPr>
          <w:rFonts w:ascii="Arial"/>
          <w:b/>
          <w:color w:val="545456"/>
          <w:w w:val="105"/>
          <w:sz w:val="26"/>
        </w:rPr>
        <w:t>R</w:t>
      </w:r>
      <w:r>
        <w:rPr>
          <w:rFonts w:ascii="Arial"/>
          <w:b/>
          <w:color w:val="383638"/>
          <w:w w:val="105"/>
          <w:sz w:val="26"/>
        </w:rPr>
        <w:t>EQU</w:t>
      </w:r>
      <w:r>
        <w:rPr>
          <w:rFonts w:ascii="Arial"/>
          <w:b/>
          <w:color w:val="545456"/>
          <w:w w:val="105"/>
          <w:sz w:val="26"/>
        </w:rPr>
        <w:t>I</w:t>
      </w:r>
      <w:r>
        <w:rPr>
          <w:rFonts w:ascii="Arial"/>
          <w:b/>
          <w:color w:val="383638"/>
          <w:w w:val="105"/>
          <w:sz w:val="26"/>
        </w:rPr>
        <w:t>REMENTS</w:t>
      </w: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pStyle w:val="BodyText"/>
        <w:spacing w:line="235" w:lineRule="auto"/>
        <w:ind w:left="134" w:right="203" w:firstLine="544"/>
        <w:rPr>
          <w:rFonts w:ascii="Arial"/>
          <w:sz w:val="12"/>
        </w:rPr>
      </w:pPr>
      <w:r>
        <w:rPr>
          <w:color w:val="383638"/>
          <w:w w:val="110"/>
        </w:rPr>
        <w:t>Probably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most significant  format  mistake  that lawyers make is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to fail to follow required length limits. Unfortunately, some lawyers see aJ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imposed length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limit as a sort of challenge,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they tum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limit into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goal.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Most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courts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design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their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limits to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accommodate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even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complex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cas</w:t>
      </w:r>
      <w:r>
        <w:rPr>
          <w:color w:val="383638"/>
          <w:spacing w:val="19"/>
          <w:w w:val="110"/>
        </w:rPr>
        <w:t> </w:t>
      </w:r>
      <w:r>
        <w:rPr>
          <w:color w:val="545456"/>
          <w:w w:val="110"/>
        </w:rPr>
        <w:t>:</w:t>
      </w:r>
      <w:r>
        <w:rPr>
          <w:color w:val="545456"/>
          <w:spacing w:val="1"/>
          <w:w w:val="110"/>
        </w:rPr>
        <w:t> </w:t>
      </w:r>
      <w:r>
        <w:rPr>
          <w:color w:val="383638"/>
          <w:w w:val="110"/>
        </w:rPr>
        <w:t>that require lengthy analysis of each issue</w:t>
      </w:r>
      <w:r>
        <w:rPr>
          <w:color w:val="545456"/>
          <w:w w:val="110"/>
        </w:rPr>
        <w:t>. </w:t>
      </w:r>
      <w:r>
        <w:rPr>
          <w:color w:val="383638"/>
          <w:w w:val="110"/>
        </w:rPr>
        <w:t>Your goal as a writer should be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towrite enough about each issue to answer the question that issue presents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and to give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reader confidence that your answer is correct. Lawyers do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not win any points from judges for padding simple arguments, making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same point 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two or three different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point heading sections, or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describing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five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cases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where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one</w:t>
      </w:r>
      <w:r>
        <w:rPr>
          <w:color w:val="383638"/>
          <w:spacing w:val="30"/>
          <w:w w:val="110"/>
        </w:rPr>
        <w:t> </w:t>
      </w:r>
      <w:r>
        <w:rPr>
          <w:color w:val="383638"/>
          <w:w w:val="110"/>
        </w:rPr>
        <w:t>would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make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0"/>
          <w:w w:val="110"/>
        </w:rPr>
        <w:t> </w:t>
      </w:r>
      <w:r>
        <w:rPr>
          <w:color w:val="383638"/>
          <w:w w:val="110"/>
        </w:rPr>
        <w:t>point.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On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contrary,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most</w:t>
      </w:r>
      <w:r>
        <w:rPr>
          <w:color w:val="383638"/>
          <w:spacing w:val="30"/>
          <w:w w:val="110"/>
        </w:rPr>
        <w:t> </w:t>
      </w:r>
      <w:r>
        <w:rPr>
          <w:color w:val="383638"/>
          <w:w w:val="110"/>
        </w:rPr>
        <w:t>judges</w:t>
      </w:r>
      <w:r>
        <w:rPr>
          <w:color w:val="383638"/>
          <w:spacing w:val="-60"/>
          <w:w w:val="110"/>
        </w:rPr>
        <w:t> </w:t>
      </w:r>
      <w:r>
        <w:rPr>
          <w:color w:val="383638"/>
          <w:w w:val="110"/>
        </w:rPr>
        <w:t>are</w:t>
      </w:r>
      <w:r>
        <w:rPr>
          <w:color w:val="383638"/>
          <w:spacing w:val="-33"/>
          <w:w w:val="110"/>
        </w:rPr>
        <w:t> </w:t>
      </w:r>
      <w:r>
        <w:rPr>
          <w:color w:val="383638"/>
          <w:w w:val="110"/>
        </w:rPr>
        <w:t>grateful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read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brief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makes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its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points</w:t>
      </w:r>
      <w:r>
        <w:rPr>
          <w:color w:val="383638"/>
          <w:spacing w:val="-31"/>
          <w:w w:val="110"/>
        </w:rPr>
        <w:t> </w:t>
      </w:r>
      <w:r>
        <w:rPr>
          <w:color w:val="383638"/>
          <w:w w:val="110"/>
        </w:rPr>
        <w:t>effectively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34"/>
          <w:w w:val="110"/>
        </w:rPr>
        <w:t> </w:t>
      </w:r>
      <w:r>
        <w:rPr>
          <w:color w:val="383638"/>
          <w:w w:val="110"/>
        </w:rPr>
        <w:t>then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stops.</w:t>
      </w:r>
      <w:r>
        <w:rPr>
          <w:rFonts w:ascii="Arial"/>
          <w:color w:val="383638"/>
          <w:w w:val="110"/>
          <w:position w:val="7"/>
          <w:sz w:val="12"/>
        </w:rPr>
        <w:t>6</w:t>
      </w:r>
    </w:p>
    <w:p>
      <w:pPr>
        <w:pStyle w:val="BodyText"/>
        <w:spacing w:line="232" w:lineRule="auto"/>
        <w:ind w:left="144" w:right="117" w:firstLine="324"/>
        <w:jc w:val="both"/>
      </w:pPr>
      <w:r>
        <w:rPr>
          <w:color w:val="383638"/>
          <w:spacing w:val="-1"/>
          <w:w w:val="115"/>
          <w:sz w:val="22"/>
        </w:rPr>
        <w:t>All </w:t>
      </w:r>
      <w:r>
        <w:rPr>
          <w:color w:val="383638"/>
          <w:spacing w:val="-1"/>
          <w:w w:val="115"/>
        </w:rPr>
        <w:t>of this </w:t>
      </w:r>
      <w:r>
        <w:rPr>
          <w:color w:val="383638"/>
          <w:w w:val="115"/>
        </w:rPr>
        <w:t>is not to say that you should give the court only a cursory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description of your arguments. Presume that your readers are intelligent,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but that they are ignorant of the particulars of the case currently before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the court. Your brief should give enough details about your case, and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about the cases and other authorities that youcite, for the members of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court to understand your analysis without having to resort to other docu­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ments. Of course, they might understand  things more deeply if  they read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all of the  cases or  reviewed the  entire record, but your  job is not  to give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them the same in-depth knowledge of the case that you have. Rather, 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should perform a cost-benefit analysis vis-a-vis the information that you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0"/>
        </w:rPr>
        <w:t>provide. For example, a brief case description will give the court a reason­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able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understanding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42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62"/>
          <w:w w:val="110"/>
        </w:rPr>
        <w:t> </w:t>
      </w:r>
      <w:r>
        <w:rPr>
          <w:color w:val="383638"/>
          <w:w w:val="110"/>
        </w:rPr>
        <w:t>authority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will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take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two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or</w:t>
      </w:r>
      <w:r>
        <w:rPr>
          <w:color w:val="383638"/>
          <w:spacing w:val="30"/>
          <w:w w:val="110"/>
        </w:rPr>
        <w:t> </w:t>
      </w:r>
      <w:r>
        <w:rPr>
          <w:color w:val="383638"/>
          <w:w w:val="110"/>
        </w:rPr>
        <w:t>three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sentences.</w:t>
      </w:r>
      <w:r>
        <w:rPr>
          <w:color w:val="383638"/>
          <w:spacing w:val="1"/>
          <w:w w:val="110"/>
        </w:rPr>
        <w:t> </w:t>
      </w:r>
      <w:r>
        <w:rPr>
          <w:rFonts w:ascii="Arial" w:hAnsi="Arial"/>
          <w:color w:val="383638"/>
          <w:w w:val="110"/>
          <w:sz w:val="21"/>
        </w:rPr>
        <w:t>A </w:t>
      </w:r>
      <w:r>
        <w:rPr>
          <w:color w:val="383638"/>
          <w:w w:val="110"/>
        </w:rPr>
        <w:t>lengthy case description may take two or three paragraphs, but in most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situations</w:t>
      </w:r>
      <w:r>
        <w:rPr>
          <w:color w:val="545456"/>
          <w:w w:val="110"/>
        </w:rPr>
        <w:t>, </w:t>
      </w:r>
      <w:r>
        <w:rPr>
          <w:color w:val="383638"/>
          <w:w w:val="110"/>
        </w:rPr>
        <w:t>it will not provide any more needed insight than a two-or-three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sentence</w:t>
      </w:r>
      <w:r>
        <w:rPr>
          <w:color w:val="383638"/>
          <w:spacing w:val="-9"/>
          <w:w w:val="115"/>
        </w:rPr>
        <w:t> </w:t>
      </w:r>
      <w:r>
        <w:rPr>
          <w:color w:val="383638"/>
          <w:w w:val="115"/>
        </w:rPr>
        <w:t>description.</w:t>
      </w:r>
    </w:p>
    <w:p>
      <w:pPr>
        <w:pStyle w:val="BodyText"/>
        <w:spacing w:before="9"/>
        <w:rPr>
          <w:sz w:val="36"/>
        </w:rPr>
      </w:pPr>
    </w:p>
    <w:p>
      <w:pPr>
        <w:spacing w:before="0"/>
        <w:ind w:left="475" w:right="0" w:firstLine="0"/>
        <w:jc w:val="left"/>
        <w:rPr>
          <w:sz w:val="17"/>
        </w:rPr>
      </w:pPr>
      <w:r>
        <w:rPr>
          <w:i/>
          <w:color w:val="666769"/>
          <w:w w:val="95"/>
          <w:sz w:val="18"/>
        </w:rPr>
        <w:t>'</w:t>
      </w:r>
      <w:r>
        <w:rPr>
          <w:i/>
          <w:color w:val="383638"/>
          <w:w w:val="95"/>
          <w:sz w:val="18"/>
        </w:rPr>
        <w:t>See</w:t>
      </w:r>
      <w:r>
        <w:rPr>
          <w:i/>
          <w:color w:val="383638"/>
          <w:spacing w:val="1"/>
          <w:w w:val="95"/>
          <w:sz w:val="18"/>
        </w:rPr>
        <w:t> </w:t>
      </w:r>
      <w:r>
        <w:rPr>
          <w:i/>
          <w:color w:val="383638"/>
          <w:w w:val="95"/>
          <w:sz w:val="18"/>
        </w:rPr>
        <w:t>generally</w:t>
      </w:r>
      <w:r>
        <w:rPr>
          <w:i/>
          <w:color w:val="383638"/>
          <w:spacing w:val="17"/>
          <w:w w:val="95"/>
          <w:sz w:val="18"/>
        </w:rPr>
        <w:t> </w:t>
      </w:r>
      <w:r>
        <w:rPr>
          <w:color w:val="383638"/>
          <w:w w:val="95"/>
          <w:sz w:val="17"/>
        </w:rPr>
        <w:t>Fischer,</w:t>
      </w:r>
      <w:r>
        <w:rPr>
          <w:color w:val="383638"/>
          <w:spacing w:val="32"/>
          <w:w w:val="95"/>
          <w:sz w:val="17"/>
        </w:rPr>
        <w:t> </w:t>
      </w:r>
      <w:r>
        <w:rPr>
          <w:i/>
          <w:color w:val="383638"/>
          <w:w w:val="95"/>
          <w:sz w:val="18"/>
        </w:rPr>
        <w:t>Bareheaded</w:t>
      </w:r>
      <w:r>
        <w:rPr>
          <w:i/>
          <w:color w:val="383638"/>
          <w:spacing w:val="28"/>
          <w:w w:val="95"/>
          <w:sz w:val="18"/>
        </w:rPr>
        <w:t> </w:t>
      </w:r>
      <w:r>
        <w:rPr>
          <w:i/>
          <w:color w:val="383638"/>
          <w:w w:val="95"/>
          <w:sz w:val="18"/>
        </w:rPr>
        <w:t>and</w:t>
      </w:r>
      <w:r>
        <w:rPr>
          <w:i/>
          <w:color w:val="383638"/>
          <w:spacing w:val="29"/>
          <w:w w:val="95"/>
          <w:sz w:val="18"/>
        </w:rPr>
        <w:t> </w:t>
      </w:r>
      <w:r>
        <w:rPr>
          <w:i/>
          <w:color w:val="383638"/>
          <w:w w:val="95"/>
          <w:sz w:val="18"/>
        </w:rPr>
        <w:t>Barefi,ce,I</w:t>
      </w:r>
      <w:r>
        <w:rPr>
          <w:i/>
          <w:color w:val="383638"/>
          <w:spacing w:val="29"/>
          <w:w w:val="95"/>
          <w:sz w:val="18"/>
        </w:rPr>
        <w:t> </w:t>
      </w:r>
      <w:r>
        <w:rPr>
          <w:rFonts w:ascii="Arial"/>
          <w:i/>
          <w:color w:val="383638"/>
          <w:w w:val="95"/>
          <w:sz w:val="16"/>
        </w:rPr>
        <w:t>Co1111sel,</w:t>
      </w:r>
      <w:r>
        <w:rPr>
          <w:rFonts w:ascii="Arial"/>
          <w:i/>
          <w:color w:val="383638"/>
          <w:spacing w:val="24"/>
          <w:w w:val="95"/>
          <w:sz w:val="16"/>
        </w:rPr>
        <w:t> </w:t>
      </w:r>
      <w:r>
        <w:rPr>
          <w:i/>
          <w:color w:val="383638"/>
          <w:w w:val="95"/>
          <w:sz w:val="18"/>
        </w:rPr>
        <w:t>supra</w:t>
      </w:r>
      <w:r>
        <w:rPr>
          <w:i/>
          <w:color w:val="383638"/>
          <w:spacing w:val="28"/>
          <w:w w:val="95"/>
          <w:sz w:val="18"/>
        </w:rPr>
        <w:t> </w:t>
      </w:r>
      <w:r>
        <w:rPr>
          <w:color w:val="383638"/>
          <w:w w:val="95"/>
          <w:sz w:val="17"/>
        </w:rPr>
        <w:t>note</w:t>
      </w:r>
      <w:r>
        <w:rPr>
          <w:color w:val="383638"/>
          <w:spacing w:val="25"/>
          <w:w w:val="95"/>
          <w:sz w:val="17"/>
        </w:rPr>
        <w:t> </w:t>
      </w:r>
      <w:r>
        <w:rPr>
          <w:color w:val="383638"/>
          <w:w w:val="95"/>
          <w:sz w:val="17"/>
        </w:rPr>
        <w:t>1,</w:t>
      </w:r>
      <w:r>
        <w:rPr>
          <w:color w:val="383638"/>
          <w:spacing w:val="-16"/>
          <w:w w:val="95"/>
          <w:sz w:val="17"/>
        </w:rPr>
        <w:t> </w:t>
      </w:r>
      <w:r>
        <w:rPr>
          <w:color w:val="383638"/>
          <w:w w:val="95"/>
          <w:sz w:val="17"/>
        </w:rPr>
        <w:t>at</w:t>
      </w:r>
      <w:r>
        <w:rPr>
          <w:color w:val="383638"/>
          <w:spacing w:val="40"/>
          <w:sz w:val="17"/>
        </w:rPr>
        <w:t> </w:t>
      </w:r>
      <w:r>
        <w:rPr>
          <w:color w:val="545456"/>
          <w:w w:val="95"/>
          <w:sz w:val="17"/>
        </w:rPr>
        <w:t>2</w:t>
      </w:r>
      <w:r>
        <w:rPr>
          <w:color w:val="383638"/>
          <w:w w:val="95"/>
          <w:sz w:val="17"/>
        </w:rPr>
        <w:t>7.</w:t>
      </w:r>
    </w:p>
    <w:p>
      <w:pPr>
        <w:spacing w:after="0"/>
        <w:jc w:val="left"/>
        <w:rPr>
          <w:sz w:val="17"/>
        </w:rPr>
        <w:sectPr>
          <w:headerReference w:type="even" r:id="rId190"/>
          <w:headerReference w:type="default" r:id="rId191"/>
          <w:pgSz w:w="9440" w:h="13700"/>
          <w:pgMar w:header="492" w:footer="0" w:top="1120" w:bottom="0" w:left="340" w:right="1180"/>
        </w:sectPr>
      </w:pPr>
    </w:p>
    <w:p>
      <w:pPr>
        <w:pStyle w:val="BodyText"/>
        <w:spacing w:line="232" w:lineRule="auto" w:before="87"/>
        <w:ind w:left="741" w:right="102" w:firstLine="436"/>
        <w:jc w:val="both"/>
      </w:pPr>
      <w:r>
        <w:rPr>
          <w:color w:val="3B383A"/>
        </w:rPr>
        <w:t>Courts may express a length limit as a page limit, a word limit, or both.</w:t>
      </w:r>
      <w:r>
        <w:rPr>
          <w:color w:val="3B383A"/>
          <w:spacing w:val="1"/>
        </w:rPr>
        <w:t> </w:t>
      </w:r>
      <w:r>
        <w:rPr>
          <w:color w:val="3B383A"/>
        </w:rPr>
        <w:t>The Local Rules of King County</w:t>
      </w:r>
      <w:r>
        <w:rPr>
          <w:color w:val="565659"/>
        </w:rPr>
        <w:t>, </w:t>
      </w:r>
      <w:r>
        <w:rPr>
          <w:color w:val="3B383A"/>
        </w:rPr>
        <w:t>Washington</w:t>
      </w:r>
      <w:r>
        <w:rPr>
          <w:color w:val="565659"/>
        </w:rPr>
        <w:t>, </w:t>
      </w:r>
      <w:r>
        <w:rPr>
          <w:color w:val="3B383A"/>
        </w:rPr>
        <w:t>for example, limit motions for</w:t>
      </w:r>
      <w:r>
        <w:rPr>
          <w:color w:val="3B383A"/>
          <w:spacing w:val="1"/>
        </w:rPr>
        <w:t> </w:t>
      </w:r>
      <w:r>
        <w:rPr>
          <w:color w:val="3B383A"/>
        </w:rPr>
        <w:t>summary</w:t>
      </w:r>
      <w:r>
        <w:rPr>
          <w:color w:val="3B383A"/>
          <w:spacing w:val="57"/>
        </w:rPr>
        <w:t> </w:t>
      </w:r>
      <w:r>
        <w:rPr>
          <w:color w:val="3B383A"/>
        </w:rPr>
        <w:t>judgment and supporting</w:t>
      </w:r>
      <w:r>
        <w:rPr>
          <w:color w:val="3B383A"/>
          <w:spacing w:val="58"/>
        </w:rPr>
        <w:t> </w:t>
      </w:r>
      <w:r>
        <w:rPr>
          <w:color w:val="3B383A"/>
        </w:rPr>
        <w:t>memoranda</w:t>
      </w:r>
      <w:r>
        <w:rPr>
          <w:color w:val="3B383A"/>
          <w:spacing w:val="57"/>
        </w:rPr>
        <w:t> </w:t>
      </w:r>
      <w:r>
        <w:rPr>
          <w:color w:val="3B383A"/>
        </w:rPr>
        <w:t>to</w:t>
      </w:r>
      <w:r>
        <w:rPr>
          <w:color w:val="3B383A"/>
          <w:spacing w:val="58"/>
        </w:rPr>
        <w:t> </w:t>
      </w:r>
      <w:r>
        <w:rPr>
          <w:color w:val="3B383A"/>
        </w:rPr>
        <w:t>24 pages;</w:t>
      </w:r>
      <w:r>
        <w:rPr>
          <w:color w:val="3B383A"/>
          <w:spacing w:val="57"/>
        </w:rPr>
        <w:t> </w:t>
      </w:r>
      <w:r>
        <w:rPr>
          <w:color w:val="3B383A"/>
        </w:rPr>
        <w:t>Rule 32(a)(7)</w:t>
      </w:r>
      <w:r>
        <w:rPr>
          <w:color w:val="3B383A"/>
          <w:spacing w:val="1"/>
        </w:rPr>
        <w:t> </w:t>
      </w:r>
      <w:r>
        <w:rPr>
          <w:color w:val="3B383A"/>
        </w:rPr>
        <w:t>of</w:t>
      </w:r>
      <w:r>
        <w:rPr>
          <w:color w:val="3B383A"/>
          <w:spacing w:val="1"/>
        </w:rPr>
        <w:t> </w:t>
      </w:r>
      <w:r>
        <w:rPr>
          <w:color w:val="3B383A"/>
        </w:rPr>
        <w:t>the</w:t>
      </w:r>
      <w:r>
        <w:rPr>
          <w:color w:val="3B383A"/>
          <w:spacing w:val="1"/>
        </w:rPr>
        <w:t> </w:t>
      </w:r>
      <w:r>
        <w:rPr>
          <w:color w:val="3B383A"/>
        </w:rPr>
        <w:t>Federal</w:t>
      </w:r>
      <w:r>
        <w:rPr>
          <w:color w:val="3B383A"/>
          <w:spacing w:val="57"/>
        </w:rPr>
        <w:t> </w:t>
      </w:r>
      <w:r>
        <w:rPr>
          <w:color w:val="3B383A"/>
        </w:rPr>
        <w:t>Rules of</w:t>
      </w:r>
      <w:r>
        <w:rPr>
          <w:color w:val="3B383A"/>
          <w:spacing w:val="58"/>
        </w:rPr>
        <w:t> </w:t>
      </w:r>
      <w:r>
        <w:rPr>
          <w:color w:val="3B383A"/>
        </w:rPr>
        <w:t>Appellate</w:t>
      </w:r>
      <w:r>
        <w:rPr>
          <w:color w:val="3B383A"/>
          <w:spacing w:val="57"/>
        </w:rPr>
        <w:t> </w:t>
      </w:r>
      <w:r>
        <w:rPr>
          <w:color w:val="3B383A"/>
        </w:rPr>
        <w:t>Procedure</w:t>
      </w:r>
      <w:r>
        <w:rPr>
          <w:color w:val="3B383A"/>
          <w:spacing w:val="58"/>
        </w:rPr>
        <w:t> </w:t>
      </w:r>
      <w:r>
        <w:rPr>
          <w:color w:val="3B383A"/>
        </w:rPr>
        <w:t>limits a</w:t>
      </w:r>
      <w:r>
        <w:rPr>
          <w:color w:val="3B383A"/>
          <w:spacing w:val="57"/>
        </w:rPr>
        <w:t> </w:t>
      </w:r>
      <w:r>
        <w:rPr>
          <w:color w:val="3B383A"/>
        </w:rPr>
        <w:t>principal</w:t>
      </w:r>
      <w:r>
        <w:rPr>
          <w:color w:val="3B383A"/>
          <w:spacing w:val="58"/>
        </w:rPr>
        <w:t> </w:t>
      </w:r>
      <w:r>
        <w:rPr>
          <w:color w:val="3B383A"/>
        </w:rPr>
        <w:t>appellate</w:t>
      </w:r>
      <w:r>
        <w:rPr>
          <w:color w:val="3B383A"/>
          <w:spacing w:val="1"/>
        </w:rPr>
        <w:t> </w:t>
      </w:r>
      <w:r>
        <w:rPr>
          <w:color w:val="3B383A"/>
        </w:rPr>
        <w:t>brief to 30 pages (with certain typeface restrictions) or 14,000 words. Rule</w:t>
      </w:r>
      <w:r>
        <w:rPr>
          <w:color w:val="3B383A"/>
          <w:spacing w:val="1"/>
        </w:rPr>
        <w:t> </w:t>
      </w:r>
      <w:r>
        <w:rPr>
          <w:color w:val="3B383A"/>
        </w:rPr>
        <w:t>32(a)(7)(C) specifically allows counsel to rely on the "word or linecount of the</w:t>
      </w:r>
      <w:r>
        <w:rPr>
          <w:color w:val="3B383A"/>
          <w:spacing w:val="-55"/>
        </w:rPr>
        <w:t> </w:t>
      </w:r>
      <w:r>
        <w:rPr>
          <w:color w:val="3B383A"/>
        </w:rPr>
        <w:t>word-processingsystem used to prepare the brief." The page limits on briefs</w:t>
      </w:r>
      <w:r>
        <w:rPr>
          <w:color w:val="3B383A"/>
          <w:spacing w:val="1"/>
        </w:rPr>
        <w:t> </w:t>
      </w:r>
      <w:r>
        <w:rPr>
          <w:color w:val="3B383A"/>
        </w:rPr>
        <w:t>may vary depending on what category a brief falls into. Briefs on</w:t>
      </w:r>
      <w:r>
        <w:rPr>
          <w:color w:val="3B383A"/>
          <w:spacing w:val="1"/>
        </w:rPr>
        <w:t> </w:t>
      </w:r>
      <w:r>
        <w:rPr>
          <w:color w:val="3B383A"/>
        </w:rPr>
        <w:t>dispositive</w:t>
      </w:r>
      <w:r>
        <w:rPr>
          <w:color w:val="3B383A"/>
          <w:spacing w:val="1"/>
        </w:rPr>
        <w:t> </w:t>
      </w:r>
      <w:r>
        <w:rPr>
          <w:color w:val="3B383A"/>
        </w:rPr>
        <w:t>motions generally have higher page limits</w:t>
      </w:r>
      <w:r>
        <w:rPr>
          <w:color w:val="565659"/>
        </w:rPr>
        <w:t>; </w:t>
      </w:r>
      <w:r>
        <w:rPr>
          <w:color w:val="3B383A"/>
        </w:rPr>
        <w:t>for example, Rule 3.1113(d) of the</w:t>
      </w:r>
      <w:r>
        <w:rPr>
          <w:color w:val="3B383A"/>
          <w:spacing w:val="1"/>
        </w:rPr>
        <w:t> </w:t>
      </w:r>
      <w:r>
        <w:rPr>
          <w:color w:val="3B383A"/>
        </w:rPr>
        <w:t>2014 California Rules of Court specify that a supporting memorandum for a</w:t>
      </w:r>
      <w:r>
        <w:rPr>
          <w:color w:val="3B383A"/>
          <w:spacing w:val="1"/>
        </w:rPr>
        <w:t> </w:t>
      </w:r>
      <w:r>
        <w:rPr>
          <w:color w:val="3B383A"/>
        </w:rPr>
        <w:t>summary judgm</w:t>
      </w:r>
      <w:r>
        <w:rPr>
          <w:color w:val="565659"/>
        </w:rPr>
        <w:t>e</w:t>
      </w:r>
      <w:r>
        <w:rPr>
          <w:color w:val="3B383A"/>
        </w:rPr>
        <w:t>nt or summary adjudication motion is limited to 20 pages,</w:t>
      </w:r>
      <w:r>
        <w:rPr>
          <w:color w:val="3B383A"/>
          <w:spacing w:val="1"/>
        </w:rPr>
        <w:t> </w:t>
      </w:r>
      <w:r>
        <w:rPr>
          <w:color w:val="3B383A"/>
        </w:rPr>
        <w:t>while</w:t>
      </w:r>
      <w:r>
        <w:rPr>
          <w:color w:val="3B383A"/>
          <w:spacing w:val="-12"/>
        </w:rPr>
        <w:t> </w:t>
      </w:r>
      <w:r>
        <w:rPr>
          <w:color w:val="3B383A"/>
        </w:rPr>
        <w:t>memoranda</w:t>
      </w:r>
      <w:r>
        <w:rPr>
          <w:color w:val="3B383A"/>
          <w:spacing w:val="9"/>
        </w:rPr>
        <w:t> </w:t>
      </w:r>
      <w:r>
        <w:rPr>
          <w:color w:val="3B383A"/>
        </w:rPr>
        <w:t>for</w:t>
      </w:r>
      <w:r>
        <w:rPr>
          <w:color w:val="3B383A"/>
          <w:spacing w:val="-15"/>
        </w:rPr>
        <w:t> </w:t>
      </w:r>
      <w:r>
        <w:rPr>
          <w:color w:val="3B383A"/>
        </w:rPr>
        <w:t>all</w:t>
      </w:r>
      <w:r>
        <w:rPr>
          <w:color w:val="3B383A"/>
          <w:spacing w:val="-13"/>
        </w:rPr>
        <w:t> </w:t>
      </w:r>
      <w:r>
        <w:rPr>
          <w:color w:val="3B383A"/>
        </w:rPr>
        <w:t>other</w:t>
      </w:r>
      <w:r>
        <w:rPr>
          <w:color w:val="3B383A"/>
          <w:spacing w:val="8"/>
        </w:rPr>
        <w:t> </w:t>
      </w:r>
      <w:r>
        <w:rPr>
          <w:color w:val="3B383A"/>
        </w:rPr>
        <w:t>motions</w:t>
      </w:r>
      <w:r>
        <w:rPr>
          <w:color w:val="3B383A"/>
          <w:spacing w:val="-3"/>
        </w:rPr>
        <w:t> </w:t>
      </w:r>
      <w:r>
        <w:rPr>
          <w:color w:val="3B383A"/>
        </w:rPr>
        <w:t>are</w:t>
      </w:r>
      <w:r>
        <w:rPr>
          <w:color w:val="3B383A"/>
          <w:spacing w:val="-13"/>
        </w:rPr>
        <w:t> </w:t>
      </w:r>
      <w:r>
        <w:rPr>
          <w:color w:val="3B383A"/>
        </w:rPr>
        <w:t>limited</w:t>
      </w:r>
      <w:r>
        <w:rPr>
          <w:color w:val="3B383A"/>
          <w:spacing w:val="11"/>
        </w:rPr>
        <w:t> </w:t>
      </w:r>
      <w:r>
        <w:rPr>
          <w:color w:val="3B383A"/>
        </w:rPr>
        <w:t>to</w:t>
      </w:r>
      <w:r>
        <w:rPr>
          <w:color w:val="3B383A"/>
          <w:spacing w:val="7"/>
        </w:rPr>
        <w:t> </w:t>
      </w:r>
      <w:r>
        <w:rPr>
          <w:color w:val="3B383A"/>
        </w:rPr>
        <w:t>15</w:t>
      </w:r>
      <w:r>
        <w:rPr>
          <w:color w:val="3B383A"/>
          <w:spacing w:val="15"/>
        </w:rPr>
        <w:t> </w:t>
      </w:r>
      <w:r>
        <w:rPr>
          <w:color w:val="3B383A"/>
        </w:rPr>
        <w:t>pages.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0"/>
        <w:ind w:left="1280" w:right="0" w:firstLine="0"/>
        <w:jc w:val="left"/>
        <w:rPr>
          <w:rFonts w:ascii="Arial"/>
          <w:b/>
          <w:sz w:val="31"/>
        </w:rPr>
      </w:pPr>
      <w:r>
        <w:rPr/>
        <w:pict>
          <v:shape style="position:absolute;margin-left:112.303398pt;margin-top:-1.500284pt;width:12.25pt;height:75.7pt;mso-position-horizontal-relative:page;mso-position-vertical-relative:paragraph;z-index:-21600256" type="#_x0000_t202" id="docshape309" filled="false" stroked="false">
            <v:textbox inset="0,0,0,0">
              <w:txbxContent>
                <w:p>
                  <w:pPr>
                    <w:spacing w:line="1512" w:lineRule="exact" w:before="0"/>
                    <w:ind w:left="0" w:right="0" w:firstLine="0"/>
                    <w:jc w:val="left"/>
                    <w:rPr>
                      <w:rFonts w:ascii="Arial"/>
                      <w:sz w:val="135"/>
                    </w:rPr>
                  </w:pPr>
                  <w:r>
                    <w:rPr>
                      <w:rFonts w:ascii="Arial"/>
                      <w:color w:val="565659"/>
                      <w:w w:val="65"/>
                      <w:sz w:val="13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565659"/>
          <w:w w:val="105"/>
          <w:sz w:val="31"/>
        </w:rPr>
        <w:t>8</w:t>
      </w:r>
      <w:r>
        <w:rPr>
          <w:rFonts w:ascii="Arial"/>
          <w:b/>
          <w:color w:val="3B383A"/>
          <w:w w:val="105"/>
          <w:sz w:val="31"/>
        </w:rPr>
        <w:t>.2</w:t>
      </w:r>
    </w:p>
    <w:p>
      <w:pPr>
        <w:spacing w:before="58"/>
        <w:ind w:left="1277" w:right="0" w:firstLine="0"/>
        <w:jc w:val="left"/>
        <w:rPr>
          <w:sz w:val="28"/>
        </w:rPr>
      </w:pPr>
      <w:r>
        <w:rPr>
          <w:rFonts w:ascii="Arial"/>
          <w:color w:val="3B383A"/>
          <w:w w:val="95"/>
          <w:sz w:val="27"/>
        </w:rPr>
        <w:t>T</w:t>
      </w:r>
      <w:r>
        <w:rPr>
          <w:rFonts w:ascii="Arial"/>
          <w:color w:val="565659"/>
          <w:w w:val="95"/>
          <w:sz w:val="27"/>
        </w:rPr>
        <w:t>YPEFA</w:t>
      </w:r>
      <w:r>
        <w:rPr>
          <w:rFonts w:ascii="Arial"/>
          <w:color w:val="3B383A"/>
          <w:w w:val="95"/>
          <w:sz w:val="27"/>
        </w:rPr>
        <w:t>CES</w:t>
      </w:r>
      <w:r>
        <w:rPr>
          <w:rFonts w:ascii="Arial"/>
          <w:color w:val="3B383A"/>
          <w:spacing w:val="-10"/>
          <w:w w:val="95"/>
          <w:sz w:val="27"/>
        </w:rPr>
        <w:t> </w:t>
      </w:r>
      <w:r>
        <w:rPr>
          <w:color w:val="565659"/>
          <w:w w:val="95"/>
          <w:sz w:val="28"/>
        </w:rPr>
        <w:t>AND</w:t>
      </w:r>
      <w:r>
        <w:rPr>
          <w:color w:val="565659"/>
          <w:spacing w:val="41"/>
          <w:w w:val="95"/>
          <w:sz w:val="28"/>
        </w:rPr>
        <w:t> </w:t>
      </w:r>
      <w:r>
        <w:rPr>
          <w:color w:val="565659"/>
          <w:w w:val="95"/>
          <w:sz w:val="28"/>
        </w:rPr>
        <w:t>MAR</w:t>
      </w:r>
      <w:r>
        <w:rPr>
          <w:color w:val="3B383A"/>
          <w:w w:val="95"/>
          <w:sz w:val="28"/>
        </w:rPr>
        <w:t>G</w:t>
      </w:r>
      <w:r>
        <w:rPr>
          <w:color w:val="565659"/>
          <w:w w:val="95"/>
          <w:sz w:val="28"/>
        </w:rPr>
        <w:t>IN</w:t>
      </w:r>
      <w:r>
        <w:rPr>
          <w:color w:val="3B383A"/>
          <w:w w:val="95"/>
          <w:sz w:val="28"/>
        </w:rPr>
        <w:t>S</w:t>
      </w:r>
    </w:p>
    <w:p>
      <w:pPr>
        <w:pStyle w:val="BodyText"/>
        <w:spacing w:line="232" w:lineRule="auto" w:before="261"/>
        <w:ind w:left="570" w:right="153" w:firstLine="652"/>
        <w:jc w:val="both"/>
      </w:pPr>
      <w:r>
        <w:rPr>
          <w:color w:val="3B383A"/>
          <w:w w:val="110"/>
        </w:rPr>
        <w:t>Many courts have imposed font size and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margin requirements in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reaction to lawyers who try to evade length requirements by using smaller</w:t>
      </w:r>
      <w:r>
        <w:rPr>
          <w:color w:val="3B383A"/>
          <w:spacing w:val="1"/>
          <w:w w:val="105"/>
        </w:rPr>
        <w:t> </w:t>
      </w:r>
      <w:r>
        <w:rPr>
          <w:color w:val="3B383A"/>
          <w:spacing w:val="-1"/>
          <w:w w:val="110"/>
        </w:rPr>
        <w:t>margins,</w:t>
      </w:r>
      <w:r>
        <w:rPr>
          <w:color w:val="3B383A"/>
          <w:spacing w:val="-15"/>
          <w:w w:val="110"/>
        </w:rPr>
        <w:t> </w:t>
      </w:r>
      <w:r>
        <w:rPr>
          <w:color w:val="3B383A"/>
          <w:spacing w:val="-1"/>
          <w:w w:val="110"/>
        </w:rPr>
        <w:t>smaller</w:t>
      </w:r>
      <w:r>
        <w:rPr>
          <w:color w:val="3B383A"/>
          <w:spacing w:val="-20"/>
          <w:w w:val="110"/>
        </w:rPr>
        <w:t> </w:t>
      </w:r>
      <w:r>
        <w:rPr>
          <w:color w:val="3B383A"/>
          <w:spacing w:val="-1"/>
          <w:w w:val="110"/>
        </w:rPr>
        <w:t>fonts,</w:t>
      </w:r>
      <w:r>
        <w:rPr>
          <w:color w:val="3B383A"/>
          <w:spacing w:val="-28"/>
          <w:w w:val="110"/>
        </w:rPr>
        <w:t> </w:t>
      </w:r>
      <w:r>
        <w:rPr>
          <w:color w:val="3B383A"/>
          <w:spacing w:val="-1"/>
          <w:w w:val="110"/>
        </w:rPr>
        <w:t>or</w:t>
      </w:r>
      <w:r>
        <w:rPr>
          <w:color w:val="3B383A"/>
          <w:spacing w:val="-12"/>
          <w:w w:val="110"/>
        </w:rPr>
        <w:t> </w:t>
      </w:r>
      <w:r>
        <w:rPr>
          <w:color w:val="3B383A"/>
          <w:spacing w:val="-1"/>
          <w:w w:val="110"/>
        </w:rPr>
        <w:t>other</w:t>
      </w:r>
      <w:r>
        <w:rPr>
          <w:color w:val="3B383A"/>
          <w:spacing w:val="-20"/>
          <w:w w:val="110"/>
        </w:rPr>
        <w:t> </w:t>
      </w:r>
      <w:r>
        <w:rPr>
          <w:color w:val="3B383A"/>
          <w:spacing w:val="-1"/>
          <w:w w:val="110"/>
        </w:rPr>
        <w:t>techniques.</w:t>
      </w:r>
      <w:r>
        <w:rPr>
          <w:color w:val="3B383A"/>
          <w:w w:val="110"/>
        </w:rPr>
        <w:t> Note</w:t>
      </w:r>
      <w:r>
        <w:rPr>
          <w:color w:val="3B383A"/>
          <w:spacing w:val="-14"/>
          <w:w w:val="110"/>
        </w:rPr>
        <w:t> </w:t>
      </w:r>
      <w:r>
        <w:rPr>
          <w:color w:val="3B383A"/>
          <w:w w:val="110"/>
        </w:rPr>
        <w:t>that</w:t>
      </w:r>
      <w:r>
        <w:rPr>
          <w:color w:val="3B383A"/>
          <w:spacing w:val="-25"/>
          <w:w w:val="110"/>
        </w:rPr>
        <w:t> </w:t>
      </w:r>
      <w:r>
        <w:rPr>
          <w:color w:val="3B383A"/>
          <w:w w:val="110"/>
        </w:rPr>
        <w:t>courts</w:t>
      </w:r>
      <w:r>
        <w:rPr>
          <w:color w:val="3B383A"/>
          <w:spacing w:val="-13"/>
          <w:w w:val="110"/>
        </w:rPr>
        <w:t> </w:t>
      </w:r>
      <w:r>
        <w:rPr>
          <w:color w:val="3B383A"/>
          <w:w w:val="110"/>
        </w:rPr>
        <w:t>may</w:t>
      </w:r>
      <w:r>
        <w:rPr>
          <w:color w:val="3B383A"/>
          <w:spacing w:val="-16"/>
          <w:w w:val="110"/>
        </w:rPr>
        <w:t> </w:t>
      </w:r>
      <w:r>
        <w:rPr>
          <w:color w:val="3B383A"/>
          <w:w w:val="110"/>
        </w:rPr>
        <w:t>sanction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counsel who violate length requirements.</w:t>
      </w:r>
      <w:r>
        <w:rPr>
          <w:color w:val="3B383A"/>
          <w:w w:val="110"/>
          <w:vertAlign w:val="superscript"/>
        </w:rPr>
        <w:t>7</w:t>
      </w:r>
      <w:r>
        <w:rPr>
          <w:color w:val="3B383A"/>
          <w:w w:val="110"/>
          <w:vertAlign w:val="baseline"/>
        </w:rPr>
        <w:t> In addition to font and length</w:t>
      </w:r>
      <w:r>
        <w:rPr>
          <w:color w:val="3B383A"/>
          <w:spacing w:val="1"/>
          <w:w w:val="110"/>
          <w:vertAlign w:val="baseline"/>
        </w:rPr>
        <w:t> </w:t>
      </w:r>
      <w:r>
        <w:rPr>
          <w:i/>
          <w:color w:val="3B383A"/>
          <w:w w:val="105"/>
          <w:sz w:val="24"/>
          <w:vertAlign w:val="baseline"/>
        </w:rPr>
        <w:t>requirements, </w:t>
      </w:r>
      <w:r>
        <w:rPr>
          <w:color w:val="3B383A"/>
          <w:w w:val="105"/>
          <w:vertAlign w:val="baseline"/>
        </w:rPr>
        <w:t>some courts have issued suggestions to help counsel make</w:t>
      </w:r>
      <w:r>
        <w:rPr>
          <w:color w:val="3B383A"/>
          <w:spacing w:val="1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their briefs easier to  read. The Seventh Circuit, for example</w:t>
      </w:r>
      <w:r>
        <w:rPr>
          <w:color w:val="565659"/>
          <w:w w:val="105"/>
          <w:vertAlign w:val="baseline"/>
        </w:rPr>
        <w:t>, </w:t>
      </w:r>
      <w:r>
        <w:rPr>
          <w:color w:val="3B383A"/>
          <w:w w:val="105"/>
          <w:vertAlign w:val="baseline"/>
        </w:rPr>
        <w:t>has  published</w:t>
      </w:r>
      <w:r>
        <w:rPr>
          <w:color w:val="3B383A"/>
          <w:spacing w:val="1"/>
          <w:w w:val="105"/>
          <w:vertAlign w:val="baseline"/>
        </w:rPr>
        <w:t> </w:t>
      </w:r>
      <w:r>
        <w:rPr>
          <w:color w:val="3B383A"/>
          <w:spacing w:val="-1"/>
          <w:w w:val="105"/>
          <w:vertAlign w:val="baseline"/>
        </w:rPr>
        <w:t>a "Guideline for Briefs and</w:t>
      </w:r>
      <w:r>
        <w:rPr>
          <w:color w:val="3B383A"/>
          <w:w w:val="105"/>
          <w:vertAlign w:val="baseline"/>
        </w:rPr>
        <w:t> </w:t>
      </w:r>
      <w:r>
        <w:rPr>
          <w:color w:val="3B383A"/>
          <w:spacing w:val="-1"/>
          <w:w w:val="105"/>
          <w:vertAlign w:val="baseline"/>
        </w:rPr>
        <w:t>Other Papers" </w:t>
      </w:r>
      <w:r>
        <w:rPr>
          <w:color w:val="3B383A"/>
          <w:w w:val="105"/>
          <w:vertAlign w:val="baseline"/>
        </w:rPr>
        <w:t>on its Web </w:t>
      </w:r>
      <w:r>
        <w:rPr>
          <w:i/>
          <w:color w:val="3B383A"/>
          <w:w w:val="105"/>
          <w:sz w:val="24"/>
          <w:vertAlign w:val="baseline"/>
        </w:rPr>
        <w:t>site, </w:t>
      </w:r>
      <w:r>
        <w:rPr>
          <w:color w:val="3B383A"/>
          <w:w w:val="105"/>
          <w:vertAlign w:val="baseline"/>
        </w:rPr>
        <w:t>and</w:t>
      </w:r>
      <w:r>
        <w:rPr>
          <w:color w:val="3B383A"/>
          <w:spacing w:val="1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it recom­</w:t>
      </w:r>
      <w:r>
        <w:rPr>
          <w:color w:val="3B383A"/>
          <w:spacing w:val="1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mends that counsel read a law review article to help improve the typog­</w:t>
      </w:r>
      <w:r>
        <w:rPr>
          <w:color w:val="3B383A"/>
          <w:spacing w:val="1"/>
          <w:w w:val="105"/>
          <w:vertAlign w:val="baseline"/>
        </w:rPr>
        <w:t> </w:t>
      </w:r>
      <w:r>
        <w:rPr>
          <w:color w:val="3B383A"/>
          <w:w w:val="110"/>
          <w:vertAlign w:val="baseline"/>
        </w:rPr>
        <w:t>raphy of documents submitted to</w:t>
      </w:r>
      <w:r>
        <w:rPr>
          <w:color w:val="3B383A"/>
          <w:spacing w:val="1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the court.</w:t>
      </w:r>
      <w:r>
        <w:rPr>
          <w:rFonts w:ascii="Arial" w:hAnsi="Arial"/>
          <w:color w:val="3B383A"/>
          <w:w w:val="110"/>
          <w:vertAlign w:val="superscript"/>
        </w:rPr>
        <w:t>8</w:t>
      </w:r>
      <w:r>
        <w:rPr>
          <w:rFonts w:ascii="Arial" w:hAnsi="Arial"/>
          <w:color w:val="3B383A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If the</w:t>
      </w:r>
      <w:r>
        <w:rPr>
          <w:color w:val="3B383A"/>
          <w:spacing w:val="1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court to  which  you</w:t>
      </w:r>
      <w:r>
        <w:rPr>
          <w:color w:val="3B383A"/>
          <w:spacing w:val="1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are submitting your brief does not specify anything beyond page limits,</w:t>
      </w:r>
      <w:r>
        <w:rPr>
          <w:color w:val="3B383A"/>
          <w:spacing w:val="1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presume standard margins (one-inch all around) and a standard font size</w:t>
      </w:r>
      <w:r>
        <w:rPr>
          <w:color w:val="3B383A"/>
          <w:spacing w:val="1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(12-point,</w:t>
      </w:r>
      <w:r>
        <w:rPr>
          <w:color w:val="3B383A"/>
          <w:spacing w:val="-6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nonproportional</w:t>
      </w:r>
      <w:r>
        <w:rPr>
          <w:color w:val="3B383A"/>
          <w:spacing w:val="-20"/>
          <w:w w:val="110"/>
          <w:vertAlign w:val="baseline"/>
        </w:rPr>
        <w:t> </w:t>
      </w:r>
      <w:r>
        <w:rPr>
          <w:color w:val="3B383A"/>
          <w:w w:val="110"/>
          <w:vertAlign w:val="baseline"/>
        </w:rPr>
        <w:t>spacing).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91"/>
        <w:ind w:left="1054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565659"/>
          <w:w w:val="130"/>
          <w:sz w:val="32"/>
        </w:rPr>
        <w:t>8</w:t>
      </w:r>
      <w:r>
        <w:rPr>
          <w:rFonts w:ascii="Arial"/>
          <w:b/>
          <w:color w:val="3B383A"/>
          <w:w w:val="130"/>
          <w:sz w:val="32"/>
        </w:rPr>
        <w:t>.3</w:t>
      </w:r>
    </w:p>
    <w:p>
      <w:pPr>
        <w:spacing w:before="56"/>
        <w:ind w:left="1153" w:right="0" w:firstLine="0"/>
        <w:jc w:val="left"/>
        <w:rPr>
          <w:sz w:val="28"/>
        </w:rPr>
      </w:pPr>
      <w:r>
        <w:rPr>
          <w:color w:val="3B383A"/>
          <w:sz w:val="28"/>
        </w:rPr>
        <w:t>F</w:t>
      </w:r>
      <w:r>
        <w:rPr>
          <w:color w:val="565659"/>
          <w:sz w:val="28"/>
        </w:rPr>
        <w:t>ILIN</w:t>
      </w:r>
      <w:r>
        <w:rPr>
          <w:color w:val="3B383A"/>
          <w:sz w:val="28"/>
        </w:rPr>
        <w:t>G</w:t>
      </w:r>
      <w:r>
        <w:rPr>
          <w:color w:val="3B383A"/>
          <w:spacing w:val="28"/>
          <w:sz w:val="28"/>
        </w:rPr>
        <w:t> </w:t>
      </w:r>
      <w:r>
        <w:rPr>
          <w:color w:val="565659"/>
          <w:sz w:val="28"/>
        </w:rPr>
        <w:t>REQUIREME</w:t>
      </w:r>
      <w:r>
        <w:rPr>
          <w:color w:val="3B383A"/>
          <w:sz w:val="28"/>
        </w:rPr>
        <w:t>N</w:t>
      </w:r>
      <w:r>
        <w:rPr>
          <w:color w:val="565659"/>
          <w:sz w:val="28"/>
        </w:rPr>
        <w:t>T</w:t>
      </w:r>
      <w:r>
        <w:rPr>
          <w:color w:val="3B383A"/>
          <w:sz w:val="28"/>
        </w:rPr>
        <w:t>S</w:t>
      </w:r>
      <w:r>
        <w:rPr>
          <w:color w:val="3B383A"/>
          <w:spacing w:val="-16"/>
          <w:sz w:val="28"/>
        </w:rPr>
        <w:t> </w:t>
      </w:r>
      <w:r>
        <w:rPr>
          <w:color w:val="3B383A"/>
          <w:sz w:val="28"/>
        </w:rPr>
        <w:t>A</w:t>
      </w:r>
      <w:r>
        <w:rPr>
          <w:color w:val="565659"/>
          <w:sz w:val="28"/>
        </w:rPr>
        <w:t>ND</w:t>
      </w:r>
      <w:r>
        <w:rPr>
          <w:color w:val="565659"/>
          <w:spacing w:val="19"/>
          <w:sz w:val="28"/>
        </w:rPr>
        <w:t> </w:t>
      </w:r>
      <w:r>
        <w:rPr>
          <w:color w:val="3B383A"/>
          <w:sz w:val="28"/>
        </w:rPr>
        <w:t>N</w:t>
      </w:r>
      <w:r>
        <w:rPr>
          <w:color w:val="565659"/>
          <w:sz w:val="28"/>
        </w:rPr>
        <w:t>UMBER</w:t>
      </w:r>
      <w:r>
        <w:rPr>
          <w:color w:val="565659"/>
          <w:spacing w:val="-16"/>
          <w:sz w:val="28"/>
        </w:rPr>
        <w:t> </w:t>
      </w:r>
      <w:r>
        <w:rPr>
          <w:color w:val="565659"/>
          <w:sz w:val="28"/>
        </w:rPr>
        <w:t>OF</w:t>
      </w:r>
      <w:r>
        <w:rPr>
          <w:color w:val="565659"/>
          <w:spacing w:val="3"/>
          <w:sz w:val="28"/>
        </w:rPr>
        <w:t> </w:t>
      </w:r>
      <w:r>
        <w:rPr>
          <w:color w:val="565659"/>
          <w:sz w:val="28"/>
        </w:rPr>
        <w:t>COPIE</w:t>
      </w:r>
      <w:r>
        <w:rPr>
          <w:color w:val="3B383A"/>
          <w:sz w:val="28"/>
        </w:rPr>
        <w:t>S</w:t>
      </w:r>
    </w:p>
    <w:p>
      <w:pPr>
        <w:pStyle w:val="BodyText"/>
        <w:spacing w:line="228" w:lineRule="auto" w:before="130"/>
        <w:ind w:left="446" w:right="188" w:firstLine="336"/>
        <w:jc w:val="both"/>
      </w:pPr>
      <w:r>
        <w:rPr>
          <w:rFonts w:ascii="Arial"/>
          <w:b/>
          <w:color w:val="565659"/>
          <w:w w:val="110"/>
          <w:position w:val="2"/>
          <w:sz w:val="37"/>
        </w:rPr>
        <w:t>1</w:t>
      </w:r>
      <w:r>
        <w:rPr>
          <w:color w:val="3B383A"/>
          <w:w w:val="110"/>
        </w:rPr>
        <w:t>Courts</w:t>
      </w:r>
      <w:r>
        <w:rPr>
          <w:color w:val="3B383A"/>
          <w:spacing w:val="-21"/>
          <w:w w:val="110"/>
        </w:rPr>
        <w:t> </w:t>
      </w:r>
      <w:r>
        <w:rPr>
          <w:color w:val="3B383A"/>
          <w:w w:val="110"/>
        </w:rPr>
        <w:t>impose</w:t>
      </w:r>
      <w:r>
        <w:rPr>
          <w:color w:val="3B383A"/>
          <w:spacing w:val="-13"/>
          <w:w w:val="110"/>
        </w:rPr>
        <w:t> </w:t>
      </w:r>
      <w:r>
        <w:rPr>
          <w:color w:val="3B383A"/>
          <w:w w:val="110"/>
        </w:rPr>
        <w:t>very</w:t>
      </w:r>
      <w:r>
        <w:rPr>
          <w:color w:val="3B383A"/>
          <w:spacing w:val="-20"/>
          <w:w w:val="110"/>
        </w:rPr>
        <w:t> </w:t>
      </w:r>
      <w:r>
        <w:rPr>
          <w:color w:val="3B383A"/>
          <w:w w:val="110"/>
        </w:rPr>
        <w:t>specific</w:t>
      </w:r>
      <w:r>
        <w:rPr>
          <w:color w:val="3B383A"/>
          <w:spacing w:val="-20"/>
          <w:w w:val="110"/>
        </w:rPr>
        <w:t> </w:t>
      </w:r>
      <w:r>
        <w:rPr>
          <w:color w:val="3B383A"/>
          <w:w w:val="110"/>
        </w:rPr>
        <w:t>filing</w:t>
      </w:r>
      <w:r>
        <w:rPr>
          <w:color w:val="3B383A"/>
          <w:spacing w:val="-3"/>
          <w:w w:val="110"/>
        </w:rPr>
        <w:t> </w:t>
      </w:r>
      <w:r>
        <w:rPr>
          <w:color w:val="3B383A"/>
          <w:w w:val="110"/>
        </w:rPr>
        <w:t>requirements</w:t>
      </w:r>
      <w:r>
        <w:rPr>
          <w:color w:val="3B383A"/>
          <w:spacing w:val="-14"/>
          <w:w w:val="110"/>
        </w:rPr>
        <w:t> </w:t>
      </w:r>
      <w:r>
        <w:rPr>
          <w:color w:val="3B383A"/>
          <w:w w:val="110"/>
        </w:rPr>
        <w:t>on</w:t>
      </w:r>
      <w:r>
        <w:rPr>
          <w:color w:val="3B383A"/>
          <w:spacing w:val="24"/>
          <w:w w:val="110"/>
        </w:rPr>
        <w:t> </w:t>
      </w:r>
      <w:r>
        <w:rPr>
          <w:color w:val="3B383A"/>
          <w:w w:val="110"/>
        </w:rPr>
        <w:t>brief</w:t>
      </w:r>
      <w:r>
        <w:rPr>
          <w:color w:val="3B383A"/>
          <w:spacing w:val="9"/>
          <w:w w:val="110"/>
        </w:rPr>
        <w:t> </w:t>
      </w:r>
      <w:r>
        <w:rPr>
          <w:color w:val="3B383A"/>
          <w:w w:val="110"/>
        </w:rPr>
        <w:t>writers</w:t>
      </w:r>
      <w:r>
        <w:rPr>
          <w:color w:val="565659"/>
          <w:w w:val="110"/>
        </w:rPr>
        <w:t>,</w:t>
      </w:r>
      <w:r>
        <w:rPr>
          <w:color w:val="565659"/>
          <w:spacing w:val="-10"/>
          <w:w w:val="110"/>
        </w:rPr>
        <w:t> </w:t>
      </w:r>
      <w:r>
        <w:rPr>
          <w:color w:val="3B383A"/>
          <w:w w:val="110"/>
        </w:rPr>
        <w:t>list-</w:t>
      </w:r>
      <w:r>
        <w:rPr>
          <w:color w:val="3B383A"/>
          <w:spacing w:val="-61"/>
          <w:w w:val="110"/>
        </w:rPr>
        <w:t> </w:t>
      </w:r>
      <w:r>
        <w:rPr>
          <w:color w:val="3B383A"/>
          <w:w w:val="110"/>
        </w:rPr>
        <w:t>ing  specifics for  everything from the method of service to  the  number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of</w:t>
      </w:r>
      <w:r>
        <w:rPr>
          <w:color w:val="3B383A"/>
          <w:spacing w:val="25"/>
          <w:w w:val="110"/>
        </w:rPr>
        <w:t> </w:t>
      </w:r>
      <w:r>
        <w:rPr>
          <w:color w:val="3B383A"/>
          <w:w w:val="110"/>
        </w:rPr>
        <w:t>copies</w:t>
      </w:r>
      <w:r>
        <w:rPr>
          <w:color w:val="3B383A"/>
          <w:spacing w:val="19"/>
          <w:w w:val="110"/>
        </w:rPr>
        <w:t> </w:t>
      </w:r>
      <w:r>
        <w:rPr>
          <w:color w:val="3B383A"/>
          <w:w w:val="110"/>
        </w:rPr>
        <w:t>filed.</w:t>
      </w:r>
      <w:r>
        <w:rPr>
          <w:color w:val="3B383A"/>
          <w:spacing w:val="12"/>
          <w:w w:val="110"/>
        </w:rPr>
        <w:t> </w:t>
      </w:r>
      <w:r>
        <w:rPr>
          <w:color w:val="3B383A"/>
          <w:w w:val="110"/>
        </w:rPr>
        <w:t>Although</w:t>
      </w:r>
      <w:r>
        <w:rPr>
          <w:color w:val="3B383A"/>
          <w:spacing w:val="40"/>
          <w:w w:val="110"/>
        </w:rPr>
        <w:t> </w:t>
      </w:r>
      <w:r>
        <w:rPr>
          <w:color w:val="3B383A"/>
          <w:w w:val="110"/>
        </w:rPr>
        <w:t>some</w:t>
      </w:r>
      <w:r>
        <w:rPr>
          <w:color w:val="3B383A"/>
          <w:spacing w:val="32"/>
          <w:w w:val="110"/>
        </w:rPr>
        <w:t> </w:t>
      </w:r>
      <w:r>
        <w:rPr>
          <w:color w:val="3B383A"/>
          <w:w w:val="110"/>
        </w:rPr>
        <w:t>requirements</w:t>
      </w:r>
      <w:r>
        <w:rPr>
          <w:color w:val="3B383A"/>
          <w:spacing w:val="29"/>
          <w:w w:val="110"/>
        </w:rPr>
        <w:t> </w:t>
      </w:r>
      <w:r>
        <w:rPr>
          <w:color w:val="3B383A"/>
          <w:w w:val="110"/>
        </w:rPr>
        <w:t>may</w:t>
      </w:r>
      <w:r>
        <w:rPr>
          <w:color w:val="3B383A"/>
          <w:spacing w:val="15"/>
          <w:w w:val="110"/>
        </w:rPr>
        <w:t> </w:t>
      </w:r>
      <w:r>
        <w:rPr>
          <w:color w:val="3B383A"/>
          <w:w w:val="110"/>
        </w:rPr>
        <w:t>seem</w:t>
      </w:r>
      <w:r>
        <w:rPr>
          <w:color w:val="3B383A"/>
          <w:spacing w:val="20"/>
          <w:w w:val="110"/>
        </w:rPr>
        <w:t> </w:t>
      </w:r>
      <w:r>
        <w:rPr>
          <w:color w:val="3B383A"/>
          <w:w w:val="110"/>
        </w:rPr>
        <w:t>overly</w:t>
      </w:r>
      <w:r>
        <w:rPr>
          <w:color w:val="3B383A"/>
          <w:spacing w:val="24"/>
          <w:w w:val="110"/>
        </w:rPr>
        <w:t> </w:t>
      </w:r>
      <w:r>
        <w:rPr>
          <w:color w:val="3B383A"/>
          <w:w w:val="110"/>
        </w:rPr>
        <w:t>detailed,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0"/>
        <w:ind w:left="785" w:right="0" w:firstLine="0"/>
        <w:jc w:val="both"/>
        <w:rPr>
          <w:sz w:val="18"/>
        </w:rPr>
      </w:pPr>
      <w:r>
        <w:rPr>
          <w:i/>
          <w:color w:val="3B383A"/>
          <w:position w:val="4"/>
          <w:sz w:val="11"/>
        </w:rPr>
        <w:t>1</w:t>
      </w:r>
      <w:r>
        <w:rPr>
          <w:i/>
          <w:color w:val="3B383A"/>
          <w:spacing w:val="-10"/>
          <w:position w:val="4"/>
          <w:sz w:val="11"/>
        </w:rPr>
        <w:t> </w:t>
      </w:r>
      <w:r>
        <w:rPr>
          <w:i/>
          <w:color w:val="3B383A"/>
          <w:sz w:val="17"/>
        </w:rPr>
        <w:t>See</w:t>
      </w:r>
      <w:r>
        <w:rPr>
          <w:i/>
          <w:color w:val="3B383A"/>
          <w:spacing w:val="7"/>
          <w:sz w:val="17"/>
        </w:rPr>
        <w:t> </w:t>
      </w:r>
      <w:r>
        <w:rPr>
          <w:color w:val="3B383A"/>
          <w:sz w:val="18"/>
        </w:rPr>
        <w:t>Fischer,</w:t>
      </w:r>
      <w:r>
        <w:rPr>
          <w:color w:val="3B383A"/>
          <w:spacing w:val="28"/>
          <w:sz w:val="18"/>
        </w:rPr>
        <w:t> </w:t>
      </w:r>
      <w:r>
        <w:rPr>
          <w:i/>
          <w:color w:val="3B383A"/>
          <w:sz w:val="17"/>
        </w:rPr>
        <w:t>Bareheaded</w:t>
      </w:r>
      <w:r>
        <w:rPr>
          <w:i/>
          <w:color w:val="3B383A"/>
          <w:spacing w:val="19"/>
          <w:sz w:val="17"/>
        </w:rPr>
        <w:t> </w:t>
      </w:r>
      <w:r>
        <w:rPr>
          <w:i/>
          <w:color w:val="3B383A"/>
          <w:sz w:val="17"/>
        </w:rPr>
        <w:t>and</w:t>
      </w:r>
      <w:r>
        <w:rPr>
          <w:i/>
          <w:color w:val="3B383A"/>
          <w:spacing w:val="69"/>
          <w:sz w:val="17"/>
        </w:rPr>
        <w:t> </w:t>
      </w:r>
      <w:r>
        <w:rPr>
          <w:i/>
          <w:color w:val="3B383A"/>
          <w:sz w:val="17"/>
        </w:rPr>
        <w:t>Barefa</w:t>
      </w:r>
      <w:r>
        <w:rPr>
          <w:i/>
          <w:color w:val="565659"/>
          <w:sz w:val="17"/>
        </w:rPr>
        <w:t>c</w:t>
      </w:r>
      <w:r>
        <w:rPr>
          <w:i/>
          <w:color w:val="3B383A"/>
          <w:sz w:val="17"/>
        </w:rPr>
        <w:t>ed</w:t>
      </w:r>
      <w:r>
        <w:rPr>
          <w:i/>
          <w:color w:val="3B383A"/>
          <w:spacing w:val="10"/>
          <w:sz w:val="17"/>
        </w:rPr>
        <w:t> </w:t>
      </w:r>
      <w:r>
        <w:rPr>
          <w:i/>
          <w:color w:val="3B383A"/>
          <w:sz w:val="17"/>
        </w:rPr>
        <w:t>Counsel,</w:t>
      </w:r>
      <w:r>
        <w:rPr>
          <w:i/>
          <w:color w:val="3B383A"/>
          <w:spacing w:val="-6"/>
          <w:sz w:val="17"/>
        </w:rPr>
        <w:t> </w:t>
      </w:r>
      <w:r>
        <w:rPr>
          <w:i/>
          <w:color w:val="3B383A"/>
          <w:sz w:val="17"/>
        </w:rPr>
        <w:t>supra</w:t>
      </w:r>
      <w:r>
        <w:rPr>
          <w:i/>
          <w:color w:val="3B383A"/>
          <w:spacing w:val="15"/>
          <w:sz w:val="17"/>
        </w:rPr>
        <w:t> </w:t>
      </w:r>
      <w:r>
        <w:rPr>
          <w:color w:val="3B383A"/>
          <w:sz w:val="18"/>
        </w:rPr>
        <w:t>note</w:t>
      </w:r>
      <w:r>
        <w:rPr>
          <w:color w:val="3B383A"/>
          <w:spacing w:val="22"/>
          <w:sz w:val="18"/>
        </w:rPr>
        <w:t> </w:t>
      </w:r>
      <w:r>
        <w:rPr>
          <w:color w:val="3B383A"/>
          <w:sz w:val="18"/>
        </w:rPr>
        <w:t>I</w:t>
      </w:r>
      <w:r>
        <w:rPr>
          <w:color w:val="565659"/>
          <w:sz w:val="18"/>
        </w:rPr>
        <w:t>,</w:t>
      </w:r>
      <w:r>
        <w:rPr>
          <w:color w:val="565659"/>
          <w:spacing w:val="2"/>
          <w:sz w:val="18"/>
        </w:rPr>
        <w:t> </w:t>
      </w:r>
      <w:r>
        <w:rPr>
          <w:color w:val="3B383A"/>
          <w:sz w:val="18"/>
        </w:rPr>
        <w:t>at</w:t>
      </w:r>
      <w:r>
        <w:rPr>
          <w:color w:val="3B383A"/>
          <w:spacing w:val="15"/>
          <w:sz w:val="18"/>
        </w:rPr>
        <w:t> </w:t>
      </w:r>
      <w:r>
        <w:rPr>
          <w:color w:val="3B383A"/>
          <w:sz w:val="18"/>
        </w:rPr>
        <w:t>31-32.</w:t>
      </w:r>
    </w:p>
    <w:p>
      <w:pPr>
        <w:pStyle w:val="ListParagraph"/>
        <w:numPr>
          <w:ilvl w:val="1"/>
          <w:numId w:val="70"/>
        </w:numPr>
        <w:tabs>
          <w:tab w:pos="822" w:val="left" w:leader="none"/>
        </w:tabs>
        <w:spacing w:line="225" w:lineRule="auto" w:before="15" w:after="0"/>
        <w:ind w:left="305" w:right="213" w:firstLine="452"/>
        <w:jc w:val="both"/>
        <w:rPr>
          <w:sz w:val="17"/>
        </w:rPr>
      </w:pPr>
      <w:r>
        <w:rPr>
          <w:i/>
          <w:color w:val="3B383A"/>
          <w:w w:val="105"/>
          <w:sz w:val="17"/>
        </w:rPr>
        <w:t>Requir</w:t>
      </w:r>
      <w:r>
        <w:rPr>
          <w:i/>
          <w:color w:val="565659"/>
          <w:w w:val="105"/>
          <w:sz w:val="17"/>
        </w:rPr>
        <w:t>e</w:t>
      </w:r>
      <w:r>
        <w:rPr>
          <w:i/>
          <w:color w:val="3B383A"/>
          <w:w w:val="105"/>
          <w:sz w:val="17"/>
        </w:rPr>
        <w:t>ments and Suggestions fo</w:t>
      </w:r>
      <w:r>
        <w:rPr>
          <w:i/>
          <w:color w:val="565659"/>
          <w:w w:val="105"/>
          <w:sz w:val="17"/>
        </w:rPr>
        <w:t>r </w:t>
      </w:r>
      <w:r>
        <w:rPr>
          <w:i/>
          <w:color w:val="3B383A"/>
          <w:w w:val="105"/>
          <w:sz w:val="17"/>
        </w:rPr>
        <w:t>Typ</w:t>
      </w:r>
      <w:r>
        <w:rPr>
          <w:i/>
          <w:color w:val="565659"/>
          <w:w w:val="105"/>
          <w:sz w:val="17"/>
        </w:rPr>
        <w:t>o</w:t>
      </w:r>
      <w:r>
        <w:rPr>
          <w:i/>
          <w:color w:val="3B383A"/>
          <w:w w:val="105"/>
          <w:sz w:val="17"/>
        </w:rPr>
        <w:t>graphy in Briefs and Othe</w:t>
      </w:r>
      <w:r>
        <w:rPr>
          <w:i/>
          <w:color w:val="565659"/>
          <w:w w:val="105"/>
          <w:sz w:val="17"/>
        </w:rPr>
        <w:t>r </w:t>
      </w:r>
      <w:r>
        <w:rPr>
          <w:i/>
          <w:color w:val="3B383A"/>
          <w:w w:val="105"/>
          <w:sz w:val="17"/>
        </w:rPr>
        <w:t>Papers </w:t>
      </w:r>
      <w:r>
        <w:rPr>
          <w:color w:val="3B383A"/>
          <w:w w:val="105"/>
          <w:sz w:val="18"/>
        </w:rPr>
        <w:t>4, http://www</w:t>
      </w:r>
      <w:r>
        <w:rPr>
          <w:color w:val="565659"/>
          <w:w w:val="105"/>
          <w:sz w:val="18"/>
        </w:rPr>
        <w:t>.</w:t>
      </w:r>
      <w:r>
        <w:rPr>
          <w:color w:val="3B383A"/>
          <w:w w:val="105"/>
          <w:sz w:val="18"/>
        </w:rPr>
        <w:t>ca7.</w:t>
      </w:r>
      <w:r>
        <w:rPr>
          <w:color w:val="3B383A"/>
          <w:spacing w:val="1"/>
          <w:w w:val="105"/>
          <w:sz w:val="18"/>
        </w:rPr>
        <w:t> </w:t>
      </w:r>
      <w:r>
        <w:rPr>
          <w:color w:val="3B383A"/>
          <w:w w:val="105"/>
          <w:sz w:val="18"/>
        </w:rPr>
        <w:t>uscourts.gov/Rules/type.pdf</w:t>
      </w:r>
      <w:r>
        <w:rPr>
          <w:color w:val="3B383A"/>
          <w:spacing w:val="1"/>
          <w:w w:val="105"/>
          <w:sz w:val="18"/>
        </w:rPr>
        <w:t> </w:t>
      </w:r>
      <w:r>
        <w:rPr>
          <w:color w:val="565659"/>
          <w:w w:val="105"/>
          <w:sz w:val="18"/>
        </w:rPr>
        <w:t>(</w:t>
      </w:r>
      <w:r>
        <w:rPr>
          <w:color w:val="3B383A"/>
          <w:w w:val="105"/>
          <w:sz w:val="18"/>
        </w:rPr>
        <w:t>last  accessed Jan</w:t>
      </w:r>
      <w:r>
        <w:rPr>
          <w:color w:val="565659"/>
          <w:w w:val="105"/>
          <w:sz w:val="18"/>
        </w:rPr>
        <w:t>. </w:t>
      </w:r>
      <w:r>
        <w:rPr>
          <w:color w:val="3B383A"/>
          <w:w w:val="105"/>
          <w:sz w:val="18"/>
        </w:rPr>
        <w:t>22</w:t>
      </w:r>
      <w:r>
        <w:rPr>
          <w:color w:val="565659"/>
          <w:w w:val="105"/>
          <w:sz w:val="18"/>
        </w:rPr>
        <w:t>, </w:t>
      </w:r>
      <w:r>
        <w:rPr>
          <w:color w:val="3B383A"/>
          <w:w w:val="105"/>
          <w:sz w:val="18"/>
        </w:rPr>
        <w:t>2014) (citing  Ru</w:t>
      </w:r>
      <w:r>
        <w:rPr>
          <w:color w:val="565659"/>
          <w:w w:val="105"/>
          <w:sz w:val="18"/>
        </w:rPr>
        <w:t>t</w:t>
      </w:r>
      <w:r>
        <w:rPr>
          <w:color w:val="3B383A"/>
          <w:w w:val="105"/>
          <w:sz w:val="18"/>
        </w:rPr>
        <w:t>h  Anne Rob</w:t>
      </w:r>
      <w:r>
        <w:rPr>
          <w:color w:val="565659"/>
          <w:w w:val="105"/>
          <w:sz w:val="18"/>
        </w:rPr>
        <w:t>b</w:t>
      </w:r>
      <w:r>
        <w:rPr>
          <w:color w:val="3B383A"/>
          <w:w w:val="105"/>
          <w:sz w:val="18"/>
        </w:rPr>
        <w:t>i</w:t>
      </w:r>
      <w:r>
        <w:rPr>
          <w:color w:val="565659"/>
          <w:w w:val="105"/>
          <w:sz w:val="18"/>
        </w:rPr>
        <w:t>n</w:t>
      </w:r>
      <w:r>
        <w:rPr>
          <w:color w:val="3B383A"/>
          <w:w w:val="105"/>
          <w:sz w:val="18"/>
        </w:rPr>
        <w:t>s,  </w:t>
      </w:r>
      <w:r>
        <w:rPr>
          <w:i/>
          <w:color w:val="3B383A"/>
          <w:w w:val="105"/>
          <w:sz w:val="17"/>
        </w:rPr>
        <w:t>Paint</w:t>
      </w:r>
      <w:r>
        <w:rPr>
          <w:i/>
          <w:color w:val="565659"/>
          <w:w w:val="105"/>
          <w:sz w:val="17"/>
        </w:rPr>
        <w:t>i</w:t>
      </w:r>
      <w:r>
        <w:rPr>
          <w:i/>
          <w:color w:val="3B383A"/>
          <w:w w:val="105"/>
          <w:sz w:val="17"/>
        </w:rPr>
        <w:t>ng</w:t>
      </w:r>
      <w:r>
        <w:rPr>
          <w:i/>
          <w:color w:val="3B383A"/>
          <w:spacing w:val="1"/>
          <w:w w:val="105"/>
          <w:sz w:val="17"/>
        </w:rPr>
        <w:t> </w:t>
      </w:r>
      <w:r>
        <w:rPr>
          <w:rFonts w:ascii="Arial" w:hAnsi="Arial"/>
          <w:i/>
          <w:color w:val="3B383A"/>
          <w:w w:val="105"/>
          <w:sz w:val="18"/>
        </w:rPr>
        <w:t>with </w:t>
      </w:r>
      <w:r>
        <w:rPr>
          <w:i/>
          <w:color w:val="3B383A"/>
          <w:w w:val="105"/>
          <w:sz w:val="17"/>
        </w:rPr>
        <w:t>Print</w:t>
      </w:r>
      <w:r>
        <w:rPr>
          <w:i/>
          <w:color w:val="565659"/>
          <w:w w:val="105"/>
          <w:sz w:val="17"/>
        </w:rPr>
        <w:t>: </w:t>
      </w:r>
      <w:r>
        <w:rPr>
          <w:i/>
          <w:color w:val="3B383A"/>
          <w:w w:val="105"/>
          <w:sz w:val="17"/>
        </w:rPr>
        <w:t>Incorporating Concepts of 1ypographic and La</w:t>
      </w:r>
      <w:r>
        <w:rPr>
          <w:i/>
          <w:color w:val="565659"/>
          <w:w w:val="105"/>
          <w:sz w:val="17"/>
        </w:rPr>
        <w:t>y</w:t>
      </w:r>
      <w:r>
        <w:rPr>
          <w:i/>
          <w:color w:val="3B383A"/>
          <w:w w:val="105"/>
          <w:sz w:val="17"/>
        </w:rPr>
        <w:t>out Design Into the Text of Legal Writ/Ilg</w:t>
      </w:r>
      <w:r>
        <w:rPr>
          <w:i/>
          <w:color w:val="3B383A"/>
          <w:spacing w:val="1"/>
          <w:w w:val="105"/>
          <w:sz w:val="17"/>
        </w:rPr>
        <w:t> </w:t>
      </w:r>
      <w:r>
        <w:rPr>
          <w:i/>
          <w:color w:val="3B383A"/>
          <w:w w:val="105"/>
          <w:sz w:val="17"/>
        </w:rPr>
        <w:t>D</w:t>
      </w:r>
      <w:r>
        <w:rPr>
          <w:i/>
          <w:color w:val="565659"/>
          <w:w w:val="105"/>
          <w:sz w:val="17"/>
        </w:rPr>
        <w:t>oc</w:t>
      </w:r>
      <w:r>
        <w:rPr>
          <w:i/>
          <w:color w:val="3B383A"/>
          <w:w w:val="105"/>
          <w:sz w:val="17"/>
        </w:rPr>
        <w:t>uments</w:t>
      </w:r>
      <w:r>
        <w:rPr>
          <w:i/>
          <w:color w:val="565659"/>
          <w:w w:val="105"/>
          <w:sz w:val="17"/>
        </w:rPr>
        <w:t>,</w:t>
      </w:r>
      <w:r>
        <w:rPr>
          <w:i/>
          <w:color w:val="565659"/>
          <w:spacing w:val="10"/>
          <w:w w:val="105"/>
          <w:sz w:val="17"/>
        </w:rPr>
        <w:t> </w:t>
      </w:r>
      <w:r>
        <w:rPr>
          <w:i/>
          <w:color w:val="3B383A"/>
          <w:w w:val="105"/>
          <w:sz w:val="17"/>
        </w:rPr>
        <w:t>2).</w:t>
      </w:r>
      <w:r>
        <w:rPr>
          <w:i/>
          <w:color w:val="3B383A"/>
          <w:spacing w:val="10"/>
          <w:w w:val="105"/>
          <w:sz w:val="17"/>
        </w:rPr>
        <w:t> </w:t>
      </w:r>
      <w:r>
        <w:rPr>
          <w:color w:val="3B383A"/>
          <w:w w:val="105"/>
          <w:sz w:val="17"/>
        </w:rPr>
        <w:t>Assn.</w:t>
      </w:r>
      <w:r>
        <w:rPr>
          <w:color w:val="3B383A"/>
          <w:spacing w:val="-3"/>
          <w:w w:val="105"/>
          <w:sz w:val="17"/>
        </w:rPr>
        <w:t> </w:t>
      </w:r>
      <w:r>
        <w:rPr>
          <w:color w:val="3B383A"/>
          <w:w w:val="105"/>
          <w:sz w:val="17"/>
        </w:rPr>
        <w:t>Legal</w:t>
      </w:r>
      <w:r>
        <w:rPr>
          <w:color w:val="3B383A"/>
          <w:spacing w:val="8"/>
          <w:w w:val="105"/>
          <w:sz w:val="17"/>
        </w:rPr>
        <w:t> </w:t>
      </w:r>
      <w:r>
        <w:rPr>
          <w:color w:val="3B383A"/>
          <w:w w:val="105"/>
          <w:sz w:val="17"/>
        </w:rPr>
        <w:t>Writing</w:t>
      </w:r>
      <w:r>
        <w:rPr>
          <w:color w:val="3B383A"/>
          <w:spacing w:val="-3"/>
          <w:w w:val="105"/>
          <w:sz w:val="17"/>
        </w:rPr>
        <w:t> </w:t>
      </w:r>
      <w:r>
        <w:rPr>
          <w:color w:val="3B383A"/>
          <w:w w:val="105"/>
          <w:sz w:val="17"/>
        </w:rPr>
        <w:t>Dlrs.</w:t>
      </w:r>
      <w:r>
        <w:rPr>
          <w:color w:val="3B383A"/>
          <w:spacing w:val="-3"/>
          <w:w w:val="105"/>
          <w:sz w:val="17"/>
        </w:rPr>
        <w:t> </w:t>
      </w:r>
      <w:r>
        <w:rPr>
          <w:color w:val="3B383A"/>
          <w:w w:val="105"/>
          <w:sz w:val="17"/>
        </w:rPr>
        <w:t>108</w:t>
      </w:r>
      <w:r>
        <w:rPr>
          <w:color w:val="3B383A"/>
          <w:spacing w:val="2"/>
          <w:w w:val="105"/>
          <w:sz w:val="17"/>
        </w:rPr>
        <w:t> </w:t>
      </w:r>
      <w:r>
        <w:rPr>
          <w:color w:val="3B383A"/>
          <w:w w:val="105"/>
          <w:sz w:val="17"/>
        </w:rPr>
        <w:t>(2004))</w:t>
      </w:r>
      <w:r>
        <w:rPr>
          <w:color w:val="565659"/>
          <w:w w:val="105"/>
          <w:sz w:val="17"/>
        </w:rPr>
        <w:t>.</w:t>
      </w:r>
    </w:p>
    <w:p>
      <w:pPr>
        <w:spacing w:after="0" w:line="225" w:lineRule="auto"/>
        <w:jc w:val="both"/>
        <w:rPr>
          <w:sz w:val="17"/>
        </w:rPr>
        <w:sectPr>
          <w:pgSz w:w="9470" w:h="13750"/>
          <w:pgMar w:header="533" w:footer="0" w:top="1060" w:bottom="0" w:left="1320" w:right="20"/>
        </w:sectPr>
      </w:pPr>
    </w:p>
    <w:p>
      <w:pPr>
        <w:pStyle w:val="BodyText"/>
        <w:spacing w:line="232" w:lineRule="auto" w:before="87"/>
        <w:ind w:left="115" w:right="322" w:hanging="1"/>
        <w:jc w:val="both"/>
      </w:pPr>
      <w:r>
        <w:rPr>
          <w:color w:val="383636"/>
          <w:w w:val="105"/>
        </w:rPr>
        <w:t>following them helps both the readers and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the usersof the brief to do their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jobs more easily and efficiently. This section explains some categories of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common requirements, but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be sure to consult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jurisdictional rules, local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rules,</w:t>
      </w:r>
      <w:r>
        <w:rPr>
          <w:color w:val="383636"/>
          <w:spacing w:val="-12"/>
          <w:w w:val="105"/>
        </w:rPr>
        <w:t> </w:t>
      </w:r>
      <w:r>
        <w:rPr>
          <w:color w:val="383636"/>
          <w:w w:val="105"/>
        </w:rPr>
        <w:t>and</w:t>
      </w:r>
      <w:r>
        <w:rPr>
          <w:color w:val="383636"/>
          <w:spacing w:val="9"/>
          <w:w w:val="105"/>
        </w:rPr>
        <w:t> </w:t>
      </w:r>
      <w:r>
        <w:rPr>
          <w:color w:val="383636"/>
          <w:w w:val="105"/>
        </w:rPr>
        <w:t>local</w:t>
      </w:r>
      <w:r>
        <w:rPr>
          <w:color w:val="383636"/>
          <w:spacing w:val="6"/>
          <w:w w:val="105"/>
        </w:rPr>
        <w:t> </w:t>
      </w:r>
      <w:r>
        <w:rPr>
          <w:color w:val="383636"/>
          <w:w w:val="105"/>
        </w:rPr>
        <w:t>practices</w:t>
      </w:r>
      <w:r>
        <w:rPr>
          <w:color w:val="383636"/>
          <w:spacing w:val="-7"/>
          <w:w w:val="105"/>
        </w:rPr>
        <w:t> </w:t>
      </w:r>
      <w:r>
        <w:rPr>
          <w:color w:val="383636"/>
          <w:w w:val="105"/>
        </w:rPr>
        <w:t>before</w:t>
      </w:r>
      <w:r>
        <w:rPr>
          <w:color w:val="383636"/>
          <w:spacing w:val="-2"/>
          <w:w w:val="105"/>
        </w:rPr>
        <w:t> </w:t>
      </w:r>
      <w:r>
        <w:rPr>
          <w:color w:val="383636"/>
          <w:w w:val="105"/>
        </w:rPr>
        <w:t>filing</w:t>
      </w:r>
      <w:r>
        <w:rPr>
          <w:color w:val="383636"/>
          <w:spacing w:val="-15"/>
          <w:w w:val="105"/>
        </w:rPr>
        <w:t> </w:t>
      </w:r>
      <w:r>
        <w:rPr>
          <w:color w:val="383636"/>
          <w:w w:val="105"/>
        </w:rPr>
        <w:t>a</w:t>
      </w:r>
      <w:r>
        <w:rPr>
          <w:color w:val="383636"/>
          <w:spacing w:val="9"/>
          <w:w w:val="105"/>
        </w:rPr>
        <w:t> </w:t>
      </w:r>
      <w:r>
        <w:rPr>
          <w:color w:val="383636"/>
          <w:w w:val="105"/>
        </w:rPr>
        <w:t>brief</w:t>
      </w:r>
      <w:r>
        <w:rPr>
          <w:color w:val="383636"/>
          <w:spacing w:val="18"/>
          <w:w w:val="105"/>
        </w:rPr>
        <w:t> </w:t>
      </w:r>
      <w:r>
        <w:rPr>
          <w:color w:val="383636"/>
          <w:w w:val="105"/>
        </w:rPr>
        <w:t>in</w:t>
      </w:r>
      <w:r>
        <w:rPr>
          <w:color w:val="383636"/>
          <w:spacing w:val="21"/>
          <w:w w:val="105"/>
        </w:rPr>
        <w:t> </w:t>
      </w:r>
      <w:r>
        <w:rPr>
          <w:color w:val="383636"/>
          <w:w w:val="105"/>
        </w:rPr>
        <w:t>a</w:t>
      </w:r>
      <w:r>
        <w:rPr>
          <w:color w:val="383636"/>
          <w:spacing w:val="24"/>
          <w:w w:val="105"/>
        </w:rPr>
        <w:t> </w:t>
      </w:r>
      <w:r>
        <w:rPr>
          <w:color w:val="383636"/>
          <w:w w:val="105"/>
        </w:rPr>
        <w:t>new</w:t>
      </w:r>
      <w:r>
        <w:rPr>
          <w:color w:val="383636"/>
          <w:spacing w:val="16"/>
          <w:w w:val="105"/>
        </w:rPr>
        <w:t> </w:t>
      </w:r>
      <w:r>
        <w:rPr>
          <w:color w:val="383636"/>
          <w:w w:val="105"/>
        </w:rPr>
        <w:t>court.</w:t>
      </w:r>
    </w:p>
    <w:p>
      <w:pPr>
        <w:pStyle w:val="BodyText"/>
        <w:spacing w:line="232" w:lineRule="auto" w:before="14"/>
        <w:ind w:left="116" w:right="268" w:firstLine="329"/>
        <w:jc w:val="both"/>
      </w:pPr>
      <w:r>
        <w:rPr>
          <w:color w:val="383636"/>
          <w:w w:val="110"/>
        </w:rPr>
        <w:t>In the past, all documents were filed in  hard copy at the courthouse</w:t>
      </w:r>
      <w:r>
        <w:rPr>
          <w:color w:val="565657"/>
          <w:w w:val="110"/>
        </w:rPr>
        <w:t>,</w:t>
      </w:r>
      <w:r>
        <w:rPr>
          <w:color w:val="565657"/>
          <w:spacing w:val="1"/>
          <w:w w:val="110"/>
        </w:rPr>
        <w:t> </w:t>
      </w:r>
      <w:r>
        <w:rPr>
          <w:color w:val="383636"/>
          <w:spacing w:val="-1"/>
          <w:w w:val="110"/>
        </w:rPr>
        <w:t>and</w:t>
      </w:r>
      <w:r>
        <w:rPr>
          <w:color w:val="383636"/>
          <w:spacing w:val="-28"/>
          <w:w w:val="110"/>
        </w:rPr>
        <w:t> </w:t>
      </w:r>
      <w:r>
        <w:rPr>
          <w:color w:val="383636"/>
          <w:spacing w:val="-1"/>
          <w:w w:val="110"/>
        </w:rPr>
        <w:t>counsel</w:t>
      </w:r>
      <w:r>
        <w:rPr>
          <w:color w:val="383636"/>
          <w:spacing w:val="-16"/>
          <w:w w:val="110"/>
        </w:rPr>
        <w:t> </w:t>
      </w:r>
      <w:r>
        <w:rPr>
          <w:color w:val="383636"/>
          <w:spacing w:val="-1"/>
          <w:w w:val="110"/>
        </w:rPr>
        <w:t>attached</w:t>
      </w:r>
      <w:r>
        <w:rPr>
          <w:color w:val="383636"/>
          <w:spacing w:val="-21"/>
          <w:w w:val="110"/>
        </w:rPr>
        <w:t> </w:t>
      </w:r>
      <w:r>
        <w:rPr>
          <w:color w:val="383636"/>
          <w:spacing w:val="-1"/>
          <w:w w:val="110"/>
        </w:rPr>
        <w:t>a</w:t>
      </w:r>
      <w:r>
        <w:rPr>
          <w:color w:val="383636"/>
          <w:spacing w:val="2"/>
          <w:w w:val="110"/>
        </w:rPr>
        <w:t> </w:t>
      </w:r>
      <w:r>
        <w:rPr>
          <w:color w:val="383636"/>
          <w:spacing w:val="-1"/>
          <w:w w:val="110"/>
        </w:rPr>
        <w:t>paper</w:t>
      </w:r>
      <w:r>
        <w:rPr>
          <w:color w:val="383636"/>
          <w:spacing w:val="-20"/>
          <w:w w:val="110"/>
        </w:rPr>
        <w:t> </w:t>
      </w:r>
      <w:r>
        <w:rPr>
          <w:color w:val="383636"/>
          <w:spacing w:val="-1"/>
          <w:w w:val="110"/>
        </w:rPr>
        <w:t>certificate</w:t>
      </w:r>
      <w:r>
        <w:rPr>
          <w:color w:val="383636"/>
          <w:spacing w:val="-25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-6"/>
          <w:w w:val="110"/>
        </w:rPr>
        <w:t> </w:t>
      </w:r>
      <w:r>
        <w:rPr>
          <w:color w:val="383636"/>
          <w:w w:val="110"/>
        </w:rPr>
        <w:t>service</w:t>
      </w:r>
      <w:r>
        <w:rPr>
          <w:color w:val="383636"/>
          <w:spacing w:val="-19"/>
          <w:w w:val="110"/>
        </w:rPr>
        <w:t> </w:t>
      </w:r>
      <w:r>
        <w:rPr>
          <w:color w:val="383636"/>
          <w:w w:val="110"/>
        </w:rPr>
        <w:t>(discussed</w:t>
      </w:r>
      <w:r>
        <w:rPr>
          <w:color w:val="383636"/>
          <w:spacing w:val="7"/>
          <w:w w:val="110"/>
        </w:rPr>
        <w:t> </w:t>
      </w:r>
      <w:r>
        <w:rPr>
          <w:color w:val="383636"/>
          <w:w w:val="110"/>
        </w:rPr>
        <w:t>below)</w:t>
      </w:r>
      <w:r>
        <w:rPr>
          <w:color w:val="383636"/>
          <w:spacing w:val="-13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6"/>
          <w:w w:val="110"/>
        </w:rPr>
        <w:t> </w:t>
      </w:r>
      <w:r>
        <w:rPr>
          <w:color w:val="383636"/>
          <w:w w:val="110"/>
        </w:rPr>
        <w:t>cer­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  <w:sz w:val="22"/>
        </w:rPr>
        <w:t>tify </w:t>
      </w:r>
      <w:r>
        <w:rPr>
          <w:color w:val="383636"/>
          <w:w w:val="110"/>
        </w:rPr>
        <w:t>that heor she had served opposing counsel as appropriate. These days,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more and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more courts are allowing or even requiring the electronic filing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-14"/>
          <w:w w:val="110"/>
        </w:rPr>
        <w:t> </w:t>
      </w:r>
      <w:r>
        <w:rPr>
          <w:color w:val="383636"/>
          <w:w w:val="110"/>
        </w:rPr>
        <w:t>documents</w:t>
      </w:r>
      <w:r>
        <w:rPr>
          <w:color w:val="383636"/>
          <w:spacing w:val="-14"/>
          <w:w w:val="110"/>
        </w:rPr>
        <w:t> </w:t>
      </w:r>
      <w:r>
        <w:rPr>
          <w:color w:val="383636"/>
          <w:w w:val="110"/>
        </w:rPr>
        <w:t>as</w:t>
      </w:r>
      <w:r>
        <w:rPr>
          <w:color w:val="383636"/>
          <w:spacing w:val="6"/>
          <w:w w:val="110"/>
        </w:rPr>
        <w:t> </w:t>
      </w:r>
      <w:r>
        <w:rPr>
          <w:color w:val="383636"/>
          <w:w w:val="110"/>
        </w:rPr>
        <w:t>a</w:t>
      </w:r>
      <w:r>
        <w:rPr>
          <w:color w:val="383636"/>
          <w:spacing w:val="2"/>
          <w:w w:val="110"/>
        </w:rPr>
        <w:t> </w:t>
      </w:r>
      <w:r>
        <w:rPr>
          <w:color w:val="383636"/>
          <w:w w:val="110"/>
        </w:rPr>
        <w:t>substitute</w:t>
      </w:r>
      <w:r>
        <w:rPr>
          <w:color w:val="383636"/>
          <w:spacing w:val="-3"/>
          <w:w w:val="110"/>
        </w:rPr>
        <w:t> </w:t>
      </w:r>
      <w:r>
        <w:rPr>
          <w:color w:val="383636"/>
          <w:w w:val="110"/>
        </w:rPr>
        <w:t>for</w:t>
      </w:r>
      <w:r>
        <w:rPr>
          <w:color w:val="383636"/>
          <w:spacing w:val="-2"/>
          <w:w w:val="110"/>
        </w:rPr>
        <w:t> </w:t>
      </w:r>
      <w:r>
        <w:rPr>
          <w:color w:val="383636"/>
          <w:w w:val="110"/>
        </w:rPr>
        <w:t>hard-copy</w:t>
      </w:r>
      <w:r>
        <w:rPr>
          <w:color w:val="383636"/>
          <w:spacing w:val="-17"/>
          <w:w w:val="110"/>
        </w:rPr>
        <w:t> </w:t>
      </w:r>
      <w:r>
        <w:rPr>
          <w:color w:val="383636"/>
          <w:w w:val="110"/>
        </w:rPr>
        <w:t>delivery.</w:t>
      </w:r>
      <w:r>
        <w:rPr>
          <w:color w:val="383636"/>
          <w:spacing w:val="8"/>
          <w:w w:val="110"/>
        </w:rPr>
        <w:t> </w:t>
      </w:r>
      <w:r>
        <w:rPr>
          <w:color w:val="383636"/>
          <w:w w:val="110"/>
        </w:rPr>
        <w:t>Most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courts</w:t>
      </w:r>
      <w:r>
        <w:rPr>
          <w:color w:val="383636"/>
          <w:spacing w:val="-1"/>
          <w:w w:val="110"/>
        </w:rPr>
        <w:t> </w:t>
      </w:r>
      <w:r>
        <w:rPr>
          <w:color w:val="383636"/>
          <w:w w:val="110"/>
        </w:rPr>
        <w:t>that</w:t>
      </w:r>
      <w:r>
        <w:rPr>
          <w:color w:val="383636"/>
          <w:spacing w:val="-12"/>
          <w:w w:val="110"/>
        </w:rPr>
        <w:t> </w:t>
      </w:r>
      <w:r>
        <w:rPr>
          <w:color w:val="383636"/>
          <w:w w:val="110"/>
        </w:rPr>
        <w:t>do</w:t>
      </w:r>
      <w:r>
        <w:rPr>
          <w:color w:val="383636"/>
          <w:spacing w:val="-26"/>
          <w:w w:val="110"/>
        </w:rPr>
        <w:t> </w:t>
      </w:r>
      <w:r>
        <w:rPr>
          <w:color w:val="383636"/>
          <w:w w:val="110"/>
        </w:rPr>
        <w:t>so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provide very precise instructions as to method. </w:t>
      </w:r>
      <w:r>
        <w:rPr>
          <w:color w:val="383636"/>
          <w:w w:val="110"/>
          <w:sz w:val="22"/>
        </w:rPr>
        <w:t>If </w:t>
      </w:r>
      <w:r>
        <w:rPr>
          <w:color w:val="383636"/>
          <w:w w:val="110"/>
        </w:rPr>
        <w:t>you file a brief electroni­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cally, make sure that your document survived the trip through cyberspace.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The court may provide an electronic receipt that allows you to open your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document to check it. Be sure to do so. Do not rely on the receipt itself: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Open the document and make sure that the document transmission was</w:t>
      </w:r>
      <w:r>
        <w:rPr>
          <w:color w:val="383636"/>
          <w:spacing w:val="-64"/>
          <w:w w:val="115"/>
        </w:rPr>
        <w:t> </w:t>
      </w:r>
      <w:r>
        <w:rPr>
          <w:color w:val="383636"/>
          <w:w w:val="110"/>
        </w:rPr>
        <w:t>successful. Further, the first time you use an electronic filing system for a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particular court, plan to file your brief at least 24 hours in advance. Many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courts now have midnight filing deadlines. </w:t>
      </w:r>
      <w:r>
        <w:rPr>
          <w:color w:val="383636"/>
          <w:w w:val="105"/>
          <w:sz w:val="22"/>
        </w:rPr>
        <w:t>If </w:t>
      </w:r>
      <w:r>
        <w:rPr>
          <w:color w:val="383636"/>
          <w:w w:val="105"/>
        </w:rPr>
        <w:t>you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put  off filing your brief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until shortly before the deadline, you will have no one to ask for help if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things go wrong. On the other hand, if you file early and have trouble, you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will</w:t>
      </w:r>
      <w:r>
        <w:rPr>
          <w:color w:val="383636"/>
          <w:spacing w:val="-23"/>
          <w:w w:val="110"/>
        </w:rPr>
        <w:t> </w:t>
      </w:r>
      <w:r>
        <w:rPr>
          <w:color w:val="383636"/>
          <w:w w:val="110"/>
        </w:rPr>
        <w:t>be</w:t>
      </w:r>
      <w:r>
        <w:rPr>
          <w:color w:val="383636"/>
          <w:spacing w:val="16"/>
          <w:w w:val="110"/>
        </w:rPr>
        <w:t> </w:t>
      </w:r>
      <w:r>
        <w:rPr>
          <w:color w:val="383636"/>
          <w:w w:val="110"/>
        </w:rPr>
        <w:t>able</w:t>
      </w:r>
      <w:r>
        <w:rPr>
          <w:color w:val="383636"/>
          <w:spacing w:val="-5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3"/>
          <w:w w:val="110"/>
        </w:rPr>
        <w:t> </w:t>
      </w:r>
      <w:r>
        <w:rPr>
          <w:color w:val="383636"/>
          <w:w w:val="110"/>
        </w:rPr>
        <w:t>seek</w:t>
      </w:r>
      <w:r>
        <w:rPr>
          <w:color w:val="383636"/>
          <w:spacing w:val="-8"/>
          <w:w w:val="110"/>
        </w:rPr>
        <w:t> </w:t>
      </w:r>
      <w:r>
        <w:rPr>
          <w:color w:val="383636"/>
          <w:w w:val="110"/>
        </w:rPr>
        <w:t>help</w:t>
      </w:r>
      <w:r>
        <w:rPr>
          <w:color w:val="383636"/>
          <w:spacing w:val="-15"/>
          <w:w w:val="110"/>
        </w:rPr>
        <w:t> </w:t>
      </w:r>
      <w:r>
        <w:rPr>
          <w:color w:val="383636"/>
          <w:w w:val="110"/>
        </w:rPr>
        <w:t>during</w:t>
      </w:r>
      <w:r>
        <w:rPr>
          <w:color w:val="383636"/>
          <w:spacing w:val="-8"/>
          <w:w w:val="110"/>
        </w:rPr>
        <w:t> </w:t>
      </w:r>
      <w:r>
        <w:rPr>
          <w:color w:val="383636"/>
          <w:w w:val="110"/>
        </w:rPr>
        <w:t>normal</w:t>
      </w:r>
      <w:r>
        <w:rPr>
          <w:color w:val="383636"/>
          <w:spacing w:val="5"/>
          <w:w w:val="110"/>
        </w:rPr>
        <w:t> </w:t>
      </w:r>
      <w:r>
        <w:rPr>
          <w:color w:val="383636"/>
          <w:w w:val="110"/>
        </w:rPr>
        <w:t>business</w:t>
      </w:r>
      <w:r>
        <w:rPr>
          <w:color w:val="383636"/>
          <w:spacing w:val="5"/>
          <w:w w:val="110"/>
        </w:rPr>
        <w:t> </w:t>
      </w:r>
      <w:r>
        <w:rPr>
          <w:color w:val="383636"/>
          <w:w w:val="110"/>
        </w:rPr>
        <w:t>hours.</w:t>
      </w:r>
    </w:p>
    <w:p>
      <w:pPr>
        <w:pStyle w:val="BodyText"/>
        <w:spacing w:line="235" w:lineRule="auto" w:before="15"/>
        <w:ind w:left="134" w:right="224" w:firstLine="324"/>
        <w:jc w:val="both"/>
      </w:pPr>
      <w:r>
        <w:rPr>
          <w:color w:val="383636"/>
          <w:w w:val="110"/>
        </w:rPr>
        <w:t>As for number of copies, United States Supreme Court Rule 33.l(f)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requires that 40 copies of the brief should be filed with the court in most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circumstances. It is common for appellate courts to require a large number</w:t>
      </w:r>
      <w:r>
        <w:rPr>
          <w:color w:val="383636"/>
          <w:spacing w:val="-61"/>
          <w:w w:val="110"/>
        </w:rPr>
        <w:t> </w:t>
      </w:r>
      <w:r>
        <w:rPr>
          <w:color w:val="383636"/>
          <w:spacing w:val="-1"/>
          <w:w w:val="110"/>
        </w:rPr>
        <w:t>of copies (if </w:t>
      </w:r>
      <w:r>
        <w:rPr>
          <w:color w:val="383636"/>
          <w:w w:val="110"/>
        </w:rPr>
        <w:t>it requires the filing of hard copies) because a panel of judges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and their clerks will all need to review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brief. Rule 31.1 of the Third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Circuit Local Appellate Rules requires that "each party must file ten (10)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paper copies (i.e., an original and nine copies) of each brief with the clerk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for the convenience of the court" and serve one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paper copy on opposing</w:t>
      </w:r>
      <w:r>
        <w:rPr>
          <w:color w:val="383636"/>
          <w:spacing w:val="1"/>
          <w:w w:val="110"/>
        </w:rPr>
        <w:t> </w:t>
      </w:r>
      <w:r>
        <w:rPr>
          <w:color w:val="383636"/>
          <w:spacing w:val="-1"/>
          <w:w w:val="110"/>
        </w:rPr>
        <w:t>counsel </w:t>
      </w:r>
      <w:r>
        <w:rPr>
          <w:color w:val="383636"/>
          <w:w w:val="110"/>
        </w:rPr>
        <w:t>unless counsel has agreed to electronic filing. Of course, </w:t>
      </w:r>
      <w:r>
        <w:rPr>
          <w:color w:val="383636"/>
          <w:w w:val="110"/>
          <w:sz w:val="22"/>
        </w:rPr>
        <w:t>if </w:t>
      </w:r>
      <w:r>
        <w:rPr>
          <w:color w:val="383636"/>
          <w:w w:val="110"/>
        </w:rPr>
        <w:t>you are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filing a motion brief, you are submitting the brief to a single judge rather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than</w:t>
      </w:r>
      <w:r>
        <w:rPr>
          <w:color w:val="383636"/>
          <w:spacing w:val="-20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5"/>
          <w:w w:val="110"/>
        </w:rPr>
        <w:t> </w:t>
      </w:r>
      <w:r>
        <w:rPr>
          <w:color w:val="383636"/>
          <w:w w:val="110"/>
        </w:rPr>
        <w:t>a</w:t>
      </w:r>
      <w:r>
        <w:rPr>
          <w:color w:val="383636"/>
          <w:spacing w:val="15"/>
          <w:w w:val="110"/>
        </w:rPr>
        <w:t> </w:t>
      </w:r>
      <w:r>
        <w:rPr>
          <w:color w:val="383636"/>
          <w:w w:val="110"/>
        </w:rPr>
        <w:t>panel,</w:t>
      </w:r>
      <w:r>
        <w:rPr>
          <w:color w:val="383636"/>
          <w:spacing w:val="-10"/>
          <w:w w:val="110"/>
        </w:rPr>
        <w:t> </w:t>
      </w:r>
      <w:r>
        <w:rPr>
          <w:color w:val="383636"/>
          <w:w w:val="110"/>
        </w:rPr>
        <w:t>so</w:t>
      </w:r>
      <w:r>
        <w:rPr>
          <w:color w:val="383636"/>
          <w:spacing w:val="-10"/>
          <w:w w:val="110"/>
        </w:rPr>
        <w:t> </w:t>
      </w:r>
      <w:r>
        <w:rPr>
          <w:color w:val="383636"/>
          <w:w w:val="110"/>
        </w:rPr>
        <w:t>a</w:t>
      </w:r>
      <w:r>
        <w:rPr>
          <w:color w:val="383636"/>
          <w:spacing w:val="5"/>
          <w:w w:val="110"/>
        </w:rPr>
        <w:t> </w:t>
      </w:r>
      <w:r>
        <w:rPr>
          <w:color w:val="383636"/>
          <w:w w:val="110"/>
        </w:rPr>
        <w:t>smaller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number</w:t>
      </w:r>
      <w:r>
        <w:rPr>
          <w:color w:val="383636"/>
          <w:spacing w:val="4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11"/>
          <w:w w:val="110"/>
        </w:rPr>
        <w:t> </w:t>
      </w:r>
      <w:r>
        <w:rPr>
          <w:color w:val="383636"/>
          <w:w w:val="110"/>
        </w:rPr>
        <w:t>copies</w:t>
      </w:r>
      <w:r>
        <w:rPr>
          <w:color w:val="383636"/>
          <w:spacing w:val="9"/>
          <w:w w:val="110"/>
        </w:rPr>
        <w:t> </w:t>
      </w:r>
      <w:r>
        <w:rPr>
          <w:color w:val="383636"/>
          <w:w w:val="110"/>
        </w:rPr>
        <w:t>may</w:t>
      </w:r>
      <w:r>
        <w:rPr>
          <w:color w:val="383636"/>
          <w:spacing w:val="10"/>
          <w:w w:val="110"/>
        </w:rPr>
        <w:t> </w:t>
      </w:r>
      <w:r>
        <w:rPr>
          <w:color w:val="383636"/>
          <w:w w:val="110"/>
        </w:rPr>
        <w:t>be</w:t>
      </w:r>
      <w:r>
        <w:rPr>
          <w:color w:val="383636"/>
          <w:spacing w:val="13"/>
          <w:w w:val="110"/>
        </w:rPr>
        <w:t> </w:t>
      </w:r>
      <w:r>
        <w:rPr>
          <w:color w:val="383636"/>
          <w:w w:val="110"/>
        </w:rPr>
        <w:t>required.</w:t>
      </w:r>
    </w:p>
    <w:p>
      <w:pPr>
        <w:pStyle w:val="BodyText"/>
        <w:spacing w:line="240" w:lineRule="exact"/>
        <w:ind w:left="478"/>
        <w:jc w:val="both"/>
      </w:pPr>
      <w:r>
        <w:rPr>
          <w:color w:val="383636"/>
          <w:w w:val="110"/>
        </w:rPr>
        <w:t>As</w:t>
      </w:r>
      <w:r>
        <w:rPr>
          <w:color w:val="383636"/>
          <w:spacing w:val="-1"/>
          <w:w w:val="110"/>
        </w:rPr>
        <w:t> </w:t>
      </w:r>
      <w:r>
        <w:rPr>
          <w:color w:val="383636"/>
          <w:w w:val="110"/>
        </w:rPr>
        <w:t>noted</w:t>
      </w:r>
      <w:r>
        <w:rPr>
          <w:color w:val="383636"/>
          <w:spacing w:val="29"/>
          <w:w w:val="110"/>
        </w:rPr>
        <w:t> </w:t>
      </w:r>
      <w:r>
        <w:rPr>
          <w:color w:val="383636"/>
          <w:w w:val="110"/>
        </w:rPr>
        <w:t>previously,</w:t>
      </w:r>
      <w:r>
        <w:rPr>
          <w:color w:val="383636"/>
          <w:spacing w:val="33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44"/>
          <w:w w:val="110"/>
        </w:rPr>
        <w:t> </w:t>
      </w:r>
      <w:r>
        <w:rPr>
          <w:color w:val="383636"/>
          <w:w w:val="110"/>
        </w:rPr>
        <w:t>some</w:t>
      </w:r>
      <w:r>
        <w:rPr>
          <w:color w:val="383636"/>
          <w:spacing w:val="-5"/>
          <w:w w:val="110"/>
        </w:rPr>
        <w:t> </w:t>
      </w:r>
      <w:r>
        <w:rPr>
          <w:color w:val="383636"/>
          <w:w w:val="110"/>
        </w:rPr>
        <w:t>courts,</w:t>
      </w:r>
      <w:r>
        <w:rPr>
          <w:color w:val="383636"/>
          <w:spacing w:val="20"/>
          <w:w w:val="110"/>
        </w:rPr>
        <w:t> </w:t>
      </w:r>
      <w:r>
        <w:rPr>
          <w:color w:val="383636"/>
          <w:w w:val="110"/>
        </w:rPr>
        <w:t>local</w:t>
      </w:r>
      <w:r>
        <w:rPr>
          <w:color w:val="383636"/>
          <w:spacing w:val="31"/>
          <w:w w:val="110"/>
        </w:rPr>
        <w:t> </w:t>
      </w:r>
      <w:r>
        <w:rPr>
          <w:color w:val="383636"/>
          <w:w w:val="110"/>
        </w:rPr>
        <w:t>practice</w:t>
      </w:r>
      <w:r>
        <w:rPr>
          <w:color w:val="383636"/>
          <w:spacing w:val="15"/>
          <w:w w:val="110"/>
        </w:rPr>
        <w:t> </w:t>
      </w:r>
      <w:r>
        <w:rPr>
          <w:color w:val="383636"/>
          <w:w w:val="110"/>
        </w:rPr>
        <w:t>dictates</w:t>
      </w:r>
      <w:r>
        <w:rPr>
          <w:color w:val="383636"/>
          <w:spacing w:val="18"/>
          <w:w w:val="110"/>
        </w:rPr>
        <w:t> </w:t>
      </w:r>
      <w:r>
        <w:rPr>
          <w:color w:val="383636"/>
          <w:w w:val="110"/>
        </w:rPr>
        <w:t>that</w:t>
      </w:r>
      <w:r>
        <w:rPr>
          <w:color w:val="383636"/>
          <w:spacing w:val="11"/>
          <w:w w:val="110"/>
        </w:rPr>
        <w:t> </w:t>
      </w:r>
      <w:r>
        <w:rPr>
          <w:color w:val="383636"/>
          <w:w w:val="110"/>
        </w:rPr>
        <w:t>when</w:t>
      </w:r>
    </w:p>
    <w:p>
      <w:pPr>
        <w:pStyle w:val="BodyText"/>
        <w:spacing w:line="230" w:lineRule="auto" w:before="14"/>
        <w:ind w:left="163" w:right="176" w:hanging="10"/>
        <w:jc w:val="both"/>
        <w:rPr>
          <w:rFonts w:ascii="Arial" w:hAnsi="Arial"/>
        </w:rPr>
      </w:pPr>
      <w:r>
        <w:rPr>
          <w:color w:val="383636"/>
          <w:w w:val="110"/>
        </w:rPr>
        <w:t>attorneys file either appellate or motion briefs, they must file "courtesy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copies," "working copies," or "judges' copies" with the court. </w:t>
      </w:r>
      <w:r>
        <w:rPr>
          <w:color w:val="383636"/>
          <w:w w:val="110"/>
          <w:sz w:val="22"/>
        </w:rPr>
        <w:t>If </w:t>
      </w:r>
      <w:r>
        <w:rPr>
          <w:color w:val="383636"/>
          <w:w w:val="110"/>
        </w:rPr>
        <w:t>a docu­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ment is filed in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hard copy, the  "official version" of the  document cannot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  <w:sz w:val="22"/>
        </w:rPr>
        <w:t>be </w:t>
      </w:r>
      <w:r>
        <w:rPr>
          <w:color w:val="383636"/>
          <w:w w:val="110"/>
        </w:rPr>
        <w:t>marked up by a judge or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judge's clerk. Thus, counsel may provide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one or more extra copies to speed the court's consideration of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brief.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Even when briefs are filed electronically, some courts may require either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electronic</w:t>
      </w:r>
      <w:r>
        <w:rPr>
          <w:color w:val="383636"/>
          <w:spacing w:val="-1"/>
          <w:w w:val="110"/>
        </w:rPr>
        <w:t> </w:t>
      </w:r>
      <w:r>
        <w:rPr>
          <w:color w:val="383636"/>
          <w:w w:val="110"/>
        </w:rPr>
        <w:t>or</w:t>
      </w:r>
      <w:r>
        <w:rPr>
          <w:color w:val="383636"/>
          <w:spacing w:val="30"/>
          <w:w w:val="110"/>
        </w:rPr>
        <w:t> </w:t>
      </w:r>
      <w:r>
        <w:rPr>
          <w:color w:val="383636"/>
          <w:w w:val="110"/>
        </w:rPr>
        <w:t>hard-copy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"working</w:t>
      </w:r>
      <w:r>
        <w:rPr>
          <w:color w:val="383636"/>
          <w:spacing w:val="-2"/>
          <w:w w:val="110"/>
        </w:rPr>
        <w:t> </w:t>
      </w:r>
      <w:r>
        <w:rPr>
          <w:color w:val="383636"/>
          <w:w w:val="110"/>
        </w:rPr>
        <w:t>copies."</w:t>
      </w:r>
      <w:r>
        <w:rPr>
          <w:rFonts w:ascii="Arial" w:hAnsi="Arial"/>
          <w:color w:val="383636"/>
          <w:w w:val="110"/>
          <w:vertAlign w:val="superscript"/>
        </w:rPr>
        <w:t>9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7"/>
        <w:rPr>
          <w:rFonts w:ascii="Arial"/>
          <w:sz w:val="37"/>
        </w:rPr>
      </w:pPr>
    </w:p>
    <w:p>
      <w:pPr>
        <w:spacing w:line="230" w:lineRule="auto" w:before="0"/>
        <w:ind w:left="174" w:right="115" w:firstLine="308"/>
        <w:jc w:val="both"/>
        <w:rPr>
          <w:sz w:val="18"/>
        </w:rPr>
      </w:pPr>
      <w:r>
        <w:rPr>
          <w:color w:val="383636"/>
          <w:w w:val="110"/>
          <w:sz w:val="18"/>
        </w:rPr>
        <w:t>'Forexample, the court Web</w:t>
      </w:r>
      <w:r>
        <w:rPr>
          <w:color w:val="565657"/>
          <w:w w:val="110"/>
          <w:sz w:val="18"/>
        </w:rPr>
        <w:t>s</w:t>
      </w:r>
      <w:r>
        <w:rPr>
          <w:color w:val="383636"/>
          <w:w w:val="110"/>
          <w:sz w:val="18"/>
        </w:rPr>
        <w:t>ite </w:t>
      </w:r>
      <w:r>
        <w:rPr>
          <w:rFonts w:ascii="Arial"/>
          <w:color w:val="383636"/>
          <w:w w:val="110"/>
          <w:sz w:val="16"/>
        </w:rPr>
        <w:t>for </w:t>
      </w:r>
      <w:r>
        <w:rPr>
          <w:color w:val="383636"/>
          <w:w w:val="110"/>
          <w:sz w:val="18"/>
        </w:rPr>
        <w:t>KingCounty, Washington, provides detailed Instructions</w:t>
      </w:r>
      <w:r>
        <w:rPr>
          <w:color w:val="383636"/>
          <w:spacing w:val="1"/>
          <w:w w:val="110"/>
          <w:sz w:val="18"/>
        </w:rPr>
        <w:t> </w:t>
      </w:r>
      <w:r>
        <w:rPr>
          <w:color w:val="383636"/>
          <w:w w:val="110"/>
          <w:sz w:val="18"/>
        </w:rPr>
        <w:t>for filing electronic working copies</w:t>
      </w:r>
      <w:r>
        <w:rPr>
          <w:color w:val="565657"/>
          <w:w w:val="110"/>
          <w:sz w:val="18"/>
        </w:rPr>
        <w:t>: </w:t>
      </w:r>
      <w:hyperlink r:id="rId194">
        <w:r>
          <w:rPr>
            <w:color w:val="383636"/>
            <w:w w:val="110"/>
            <w:sz w:val="18"/>
          </w:rPr>
          <w:t>http://www</w:t>
        </w:r>
        <w:r>
          <w:rPr>
            <w:color w:val="565657"/>
            <w:w w:val="110"/>
            <w:sz w:val="18"/>
          </w:rPr>
          <w:t>.</w:t>
        </w:r>
        <w:r>
          <w:rPr>
            <w:color w:val="383636"/>
            <w:w w:val="110"/>
            <w:sz w:val="18"/>
          </w:rPr>
          <w:t>klngcounty.gov/courts/Clerk/E-Working%ZO</w:t>
        </w:r>
      </w:hyperlink>
      <w:r>
        <w:rPr>
          <w:color w:val="383636"/>
          <w:spacing w:val="1"/>
          <w:w w:val="110"/>
          <w:sz w:val="18"/>
        </w:rPr>
        <w:t> </w:t>
      </w:r>
      <w:r>
        <w:rPr>
          <w:color w:val="383636"/>
          <w:w w:val="105"/>
          <w:sz w:val="18"/>
        </w:rPr>
        <w:t>Coples</w:t>
      </w:r>
      <w:r>
        <w:rPr>
          <w:color w:val="565657"/>
          <w:w w:val="105"/>
          <w:sz w:val="18"/>
        </w:rPr>
        <w:t>.</w:t>
      </w:r>
      <w:r>
        <w:rPr>
          <w:color w:val="383636"/>
          <w:w w:val="105"/>
          <w:sz w:val="18"/>
        </w:rPr>
        <w:t>aspx  </w:t>
      </w:r>
      <w:r>
        <w:rPr>
          <w:color w:val="565657"/>
          <w:w w:val="105"/>
          <w:sz w:val="18"/>
        </w:rPr>
        <w:t>(</w:t>
      </w:r>
      <w:r>
        <w:rPr>
          <w:color w:val="383636"/>
          <w:w w:val="105"/>
          <w:sz w:val="18"/>
        </w:rPr>
        <w:t>last accessed Jan. 13, 2014). Note that If court rules do  not  forbid It, you  may Wish</w:t>
      </w:r>
      <w:r>
        <w:rPr>
          <w:color w:val="383636"/>
          <w:spacing w:val="1"/>
          <w:w w:val="105"/>
          <w:sz w:val="18"/>
        </w:rPr>
        <w:t> </w:t>
      </w:r>
      <w:r>
        <w:rPr>
          <w:color w:val="383636"/>
          <w:w w:val="110"/>
          <w:sz w:val="18"/>
        </w:rPr>
        <w:t>to</w:t>
      </w:r>
      <w:r>
        <w:rPr>
          <w:color w:val="383636"/>
          <w:spacing w:val="-32"/>
          <w:w w:val="110"/>
          <w:sz w:val="18"/>
        </w:rPr>
        <w:t> </w:t>
      </w:r>
      <w:r>
        <w:rPr>
          <w:color w:val="383636"/>
          <w:w w:val="110"/>
          <w:sz w:val="18"/>
        </w:rPr>
        <w:t>file</w:t>
      </w:r>
      <w:r>
        <w:rPr>
          <w:color w:val="383636"/>
          <w:spacing w:val="-21"/>
          <w:w w:val="110"/>
          <w:sz w:val="18"/>
        </w:rPr>
        <w:t> </w:t>
      </w:r>
      <w:r>
        <w:rPr>
          <w:color w:val="383636"/>
          <w:w w:val="110"/>
          <w:sz w:val="18"/>
        </w:rPr>
        <w:t>paper</w:t>
      </w:r>
      <w:r>
        <w:rPr>
          <w:color w:val="383636"/>
          <w:spacing w:val="-3"/>
          <w:w w:val="110"/>
          <w:sz w:val="18"/>
        </w:rPr>
        <w:t> </w:t>
      </w:r>
      <w:r>
        <w:rPr>
          <w:color w:val="383636"/>
          <w:w w:val="110"/>
          <w:sz w:val="18"/>
        </w:rPr>
        <w:t>working</w:t>
      </w:r>
      <w:r>
        <w:rPr>
          <w:color w:val="383636"/>
          <w:spacing w:val="-10"/>
          <w:w w:val="110"/>
          <w:sz w:val="18"/>
        </w:rPr>
        <w:t> </w:t>
      </w:r>
      <w:r>
        <w:rPr>
          <w:color w:val="383636"/>
          <w:w w:val="110"/>
          <w:sz w:val="18"/>
        </w:rPr>
        <w:t>copies</w:t>
      </w:r>
      <w:r>
        <w:rPr>
          <w:color w:val="383636"/>
          <w:spacing w:val="-3"/>
          <w:w w:val="110"/>
          <w:sz w:val="18"/>
        </w:rPr>
        <w:t> </w:t>
      </w:r>
      <w:r>
        <w:rPr>
          <w:color w:val="383636"/>
          <w:w w:val="110"/>
          <w:sz w:val="18"/>
        </w:rPr>
        <w:t>to</w:t>
      </w:r>
      <w:r>
        <w:rPr>
          <w:color w:val="383636"/>
          <w:spacing w:val="7"/>
          <w:w w:val="110"/>
          <w:sz w:val="18"/>
        </w:rPr>
        <w:t> </w:t>
      </w:r>
      <w:r>
        <w:rPr>
          <w:color w:val="383636"/>
          <w:w w:val="110"/>
          <w:sz w:val="18"/>
        </w:rPr>
        <w:t>promote</w:t>
      </w:r>
      <w:r>
        <w:rPr>
          <w:color w:val="383636"/>
          <w:spacing w:val="-12"/>
          <w:w w:val="110"/>
          <w:sz w:val="18"/>
        </w:rPr>
        <w:t> </w:t>
      </w:r>
      <w:r>
        <w:rPr>
          <w:color w:val="383636"/>
          <w:w w:val="110"/>
          <w:sz w:val="18"/>
        </w:rPr>
        <w:t>ease</w:t>
      </w:r>
      <w:r>
        <w:rPr>
          <w:color w:val="383636"/>
          <w:spacing w:val="-19"/>
          <w:w w:val="110"/>
          <w:sz w:val="18"/>
        </w:rPr>
        <w:t> </w:t>
      </w:r>
      <w:r>
        <w:rPr>
          <w:color w:val="383636"/>
          <w:w w:val="110"/>
          <w:sz w:val="18"/>
        </w:rPr>
        <w:t>of</w:t>
      </w:r>
      <w:r>
        <w:rPr>
          <w:color w:val="383636"/>
          <w:spacing w:val="9"/>
          <w:w w:val="110"/>
          <w:sz w:val="18"/>
        </w:rPr>
        <w:t> </w:t>
      </w:r>
      <w:r>
        <w:rPr>
          <w:color w:val="383636"/>
          <w:w w:val="110"/>
          <w:sz w:val="18"/>
        </w:rPr>
        <w:t>reading.</w:t>
      </w:r>
    </w:p>
    <w:p>
      <w:pPr>
        <w:spacing w:after="0" w:line="230" w:lineRule="auto"/>
        <w:jc w:val="both"/>
        <w:rPr>
          <w:sz w:val="18"/>
        </w:rPr>
        <w:sectPr>
          <w:headerReference w:type="even" r:id="rId192"/>
          <w:headerReference w:type="default" r:id="rId193"/>
          <w:pgSz w:w="9500" w:h="13710"/>
          <w:pgMar w:header="472" w:footer="0" w:top="1120" w:bottom="280" w:left="320" w:right="1240"/>
        </w:sectPr>
      </w:pPr>
    </w:p>
    <w:p>
      <w:pPr>
        <w:pStyle w:val="BodyText"/>
        <w:spacing w:line="232" w:lineRule="auto" w:before="87"/>
        <w:ind w:left="631" w:right="79" w:firstLine="394"/>
        <w:jc w:val="both"/>
      </w:pPr>
      <w:r>
        <w:rPr>
          <w:color w:val="383636"/>
          <w:w w:val="105"/>
        </w:rPr>
        <w:t>Court rules may also specify particular typefaces or font sizes (to ease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reading), the  method of  binding (to prevent staple injuries)</w:t>
      </w:r>
      <w:r>
        <w:rPr>
          <w:color w:val="626264"/>
          <w:w w:val="110"/>
        </w:rPr>
        <w:t>, </w:t>
      </w:r>
      <w:r>
        <w:rPr>
          <w:color w:val="383636"/>
          <w:w w:val="110"/>
        </w:rPr>
        <w:t>the color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of the brief cover (to allow easy retrieval of a particular brief), and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method of service on opposing counsel. Whenever you file a document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with a court, make sure that you are following all needed filing require­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ments. Doing so will impress the court with your professionalism, Will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avoid</w:t>
      </w:r>
      <w:r>
        <w:rPr>
          <w:color w:val="383636"/>
          <w:spacing w:val="-1"/>
          <w:w w:val="105"/>
        </w:rPr>
        <w:t> </w:t>
      </w:r>
      <w:r>
        <w:rPr>
          <w:color w:val="383636"/>
          <w:w w:val="105"/>
        </w:rPr>
        <w:t>sanctions,</w:t>
      </w:r>
      <w:r>
        <w:rPr>
          <w:color w:val="383636"/>
          <w:spacing w:val="-5"/>
          <w:w w:val="105"/>
        </w:rPr>
        <w:t> </w:t>
      </w:r>
      <w:r>
        <w:rPr>
          <w:color w:val="383636"/>
          <w:w w:val="105"/>
        </w:rPr>
        <w:t>and</w:t>
      </w:r>
      <w:r>
        <w:rPr>
          <w:color w:val="383636"/>
          <w:spacing w:val="30"/>
          <w:w w:val="105"/>
        </w:rPr>
        <w:t> </w:t>
      </w:r>
      <w:r>
        <w:rPr>
          <w:color w:val="383636"/>
          <w:w w:val="105"/>
        </w:rPr>
        <w:t>may</w:t>
      </w:r>
      <w:r>
        <w:rPr>
          <w:color w:val="383636"/>
          <w:spacing w:val="4"/>
          <w:w w:val="105"/>
        </w:rPr>
        <w:t> </w:t>
      </w:r>
      <w:r>
        <w:rPr>
          <w:color w:val="383636"/>
          <w:w w:val="105"/>
        </w:rPr>
        <w:t>help</w:t>
      </w:r>
      <w:r>
        <w:rPr>
          <w:color w:val="383636"/>
          <w:spacing w:val="-25"/>
          <w:w w:val="105"/>
        </w:rPr>
        <w:t> </w:t>
      </w:r>
      <w:r>
        <w:rPr>
          <w:color w:val="383636"/>
          <w:w w:val="105"/>
        </w:rPr>
        <w:t>speed a</w:t>
      </w:r>
      <w:r>
        <w:rPr>
          <w:color w:val="383636"/>
          <w:spacing w:val="7"/>
          <w:w w:val="105"/>
        </w:rPr>
        <w:t> </w:t>
      </w:r>
      <w:r>
        <w:rPr>
          <w:color w:val="383636"/>
          <w:w w:val="105"/>
        </w:rPr>
        <w:t>decision</w:t>
      </w:r>
      <w:r>
        <w:rPr>
          <w:color w:val="383636"/>
          <w:spacing w:val="6"/>
          <w:w w:val="105"/>
        </w:rPr>
        <w:t> </w:t>
      </w:r>
      <w:r>
        <w:rPr>
          <w:color w:val="383636"/>
          <w:w w:val="105"/>
        </w:rPr>
        <w:t>in</w:t>
      </w:r>
      <w:r>
        <w:rPr>
          <w:color w:val="383636"/>
          <w:spacing w:val="17"/>
          <w:w w:val="105"/>
        </w:rPr>
        <w:t> </w:t>
      </w:r>
      <w:r>
        <w:rPr>
          <w:color w:val="383636"/>
          <w:w w:val="105"/>
        </w:rPr>
        <w:t>your</w:t>
      </w:r>
      <w:r>
        <w:rPr>
          <w:color w:val="383636"/>
          <w:spacing w:val="-6"/>
          <w:w w:val="105"/>
        </w:rPr>
        <w:t> </w:t>
      </w:r>
      <w:r>
        <w:rPr>
          <w:color w:val="383636"/>
          <w:w w:val="105"/>
        </w:rPr>
        <w:t>case.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4"/>
        </w:rPr>
      </w:pPr>
    </w:p>
    <w:p>
      <w:pPr>
        <w:spacing w:before="0"/>
        <w:ind w:left="1166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383636"/>
          <w:w w:val="105"/>
          <w:sz w:val="32"/>
        </w:rPr>
        <w:t>8.4</w:t>
      </w:r>
    </w:p>
    <w:p>
      <w:pPr>
        <w:spacing w:line="321" w:lineRule="auto" w:before="73"/>
        <w:ind w:left="1141" w:right="461" w:firstLine="9"/>
        <w:jc w:val="left"/>
        <w:rPr>
          <w:rFonts w:ascii="Arial"/>
          <w:b/>
          <w:sz w:val="25"/>
        </w:rPr>
      </w:pPr>
      <w:r>
        <w:rPr>
          <w:rFonts w:ascii="Arial"/>
          <w:b/>
          <w:color w:val="383636"/>
          <w:sz w:val="25"/>
        </w:rPr>
        <w:t>DOCUMENT</w:t>
      </w:r>
      <w:r>
        <w:rPr>
          <w:rFonts w:ascii="Arial"/>
          <w:b/>
          <w:color w:val="383636"/>
          <w:spacing w:val="1"/>
          <w:sz w:val="25"/>
        </w:rPr>
        <w:t> </w:t>
      </w:r>
      <w:r>
        <w:rPr>
          <w:rFonts w:ascii="Arial"/>
          <w:b/>
          <w:color w:val="383636"/>
          <w:sz w:val="25"/>
        </w:rPr>
        <w:t>FORMAT</w:t>
      </w:r>
      <w:r>
        <w:rPr>
          <w:rFonts w:ascii="Arial"/>
          <w:b/>
          <w:color w:val="383636"/>
          <w:spacing w:val="1"/>
          <w:sz w:val="25"/>
        </w:rPr>
        <w:t> </w:t>
      </w:r>
      <w:r>
        <w:rPr>
          <w:rFonts w:ascii="Arial"/>
          <w:b/>
          <w:color w:val="383636"/>
          <w:sz w:val="25"/>
        </w:rPr>
        <w:t>REQUIREMENTS</w:t>
      </w:r>
      <w:r>
        <w:rPr>
          <w:rFonts w:ascii="Arial"/>
          <w:b/>
          <w:color w:val="383636"/>
          <w:spacing w:val="1"/>
          <w:sz w:val="25"/>
        </w:rPr>
        <w:t> </w:t>
      </w:r>
      <w:r>
        <w:rPr>
          <w:rFonts w:ascii="Arial"/>
          <w:b/>
          <w:color w:val="383636"/>
          <w:sz w:val="25"/>
        </w:rPr>
        <w:t>AND</w:t>
      </w:r>
      <w:r>
        <w:rPr>
          <w:rFonts w:ascii="Arial"/>
          <w:b/>
          <w:color w:val="383636"/>
          <w:spacing w:val="1"/>
          <w:sz w:val="25"/>
        </w:rPr>
        <w:t> </w:t>
      </w:r>
      <w:r>
        <w:rPr>
          <w:rFonts w:ascii="Arial"/>
          <w:b/>
          <w:color w:val="383636"/>
          <w:sz w:val="25"/>
        </w:rPr>
        <w:t>SERVICE</w:t>
      </w:r>
      <w:r>
        <w:rPr>
          <w:rFonts w:ascii="Arial"/>
          <w:b/>
          <w:color w:val="383636"/>
          <w:spacing w:val="-12"/>
          <w:sz w:val="25"/>
        </w:rPr>
        <w:t> </w:t>
      </w:r>
      <w:r>
        <w:rPr>
          <w:rFonts w:ascii="Arial"/>
          <w:b/>
          <w:color w:val="383636"/>
          <w:sz w:val="25"/>
        </w:rPr>
        <w:t>REQUIREMENTS</w:t>
      </w:r>
      <w:r>
        <w:rPr>
          <w:rFonts w:ascii="Arial"/>
          <w:b/>
          <w:color w:val="383636"/>
          <w:spacing w:val="4"/>
          <w:sz w:val="25"/>
        </w:rPr>
        <w:t> </w:t>
      </w:r>
      <w:r>
        <w:rPr>
          <w:rFonts w:ascii="Arial"/>
          <w:b/>
          <w:color w:val="383636"/>
          <w:sz w:val="25"/>
        </w:rPr>
        <w:t>FOR</w:t>
      </w:r>
      <w:r>
        <w:rPr>
          <w:rFonts w:ascii="Arial"/>
          <w:b/>
          <w:color w:val="383636"/>
          <w:spacing w:val="-16"/>
          <w:sz w:val="25"/>
        </w:rPr>
        <w:t> </w:t>
      </w:r>
      <w:r>
        <w:rPr>
          <w:rFonts w:ascii="Arial"/>
          <w:b/>
          <w:color w:val="383636"/>
          <w:sz w:val="25"/>
        </w:rPr>
        <w:t>APPELLATE </w:t>
      </w:r>
      <w:r>
        <w:rPr>
          <w:rFonts w:ascii="Arial"/>
          <w:b/>
          <w:color w:val="525052"/>
          <w:sz w:val="25"/>
        </w:rPr>
        <w:t>BRI</w:t>
      </w:r>
      <w:r>
        <w:rPr>
          <w:rFonts w:ascii="Arial"/>
          <w:b/>
          <w:color w:val="383636"/>
          <w:sz w:val="25"/>
        </w:rPr>
        <w:t>EFS</w:t>
      </w:r>
    </w:p>
    <w:p>
      <w:pPr>
        <w:pStyle w:val="BodyText"/>
        <w:spacing w:line="235" w:lineRule="auto" w:before="131"/>
        <w:ind w:left="499" w:right="102" w:firstLine="605"/>
        <w:jc w:val="both"/>
      </w:pPr>
      <w:r>
        <w:rPr>
          <w:color w:val="383636"/>
          <w:w w:val="105"/>
        </w:rPr>
        <w:t>The United States Supreme Court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rules specify exactly</w:t>
      </w:r>
      <w:r>
        <w:rPr>
          <w:color w:val="383636"/>
          <w:spacing w:val="1"/>
          <w:w w:val="105"/>
        </w:rPr>
        <w:t> </w:t>
      </w:r>
      <w:r>
        <w:rPr>
          <w:b/>
          <w:color w:val="383636"/>
          <w:w w:val="105"/>
        </w:rPr>
        <w:t>what </w:t>
      </w:r>
      <w:r>
        <w:rPr>
          <w:color w:val="383636"/>
          <w:w w:val="105"/>
        </w:rPr>
        <w:t>ele­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ments are to  be included </w:t>
      </w:r>
      <w:r>
        <w:rPr>
          <w:rFonts w:ascii="Arial" w:hAnsi="Arial"/>
          <w:i/>
          <w:color w:val="383636"/>
          <w:w w:val="105"/>
          <w:sz w:val="21"/>
        </w:rPr>
        <w:t>in  </w:t>
      </w:r>
      <w:r>
        <w:rPr>
          <w:color w:val="383636"/>
          <w:w w:val="105"/>
        </w:rPr>
        <w:t>every type of brief submitted  to  it,  from a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brief petitioning for a writ of certiorari to a petitioner's reply brief on the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merits.</w:t>
      </w:r>
      <w:r>
        <w:rPr>
          <w:color w:val="383636"/>
          <w:spacing w:val="-25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-17"/>
          <w:w w:val="105"/>
        </w:rPr>
        <w:t> </w:t>
      </w:r>
      <w:r>
        <w:rPr>
          <w:color w:val="383636"/>
          <w:w w:val="105"/>
        </w:rPr>
        <w:t>Federal</w:t>
      </w:r>
      <w:r>
        <w:rPr>
          <w:color w:val="383636"/>
          <w:spacing w:val="5"/>
          <w:w w:val="105"/>
        </w:rPr>
        <w:t> </w:t>
      </w:r>
      <w:r>
        <w:rPr>
          <w:color w:val="383636"/>
          <w:w w:val="105"/>
        </w:rPr>
        <w:t>Rules</w:t>
      </w:r>
      <w:r>
        <w:rPr>
          <w:color w:val="383636"/>
          <w:spacing w:val="-17"/>
          <w:w w:val="105"/>
        </w:rPr>
        <w:t> </w:t>
      </w:r>
      <w:r>
        <w:rPr>
          <w:color w:val="383636"/>
          <w:w w:val="105"/>
        </w:rPr>
        <w:t>of</w:t>
      </w:r>
      <w:r>
        <w:rPr>
          <w:color w:val="383636"/>
          <w:spacing w:val="-6"/>
          <w:w w:val="105"/>
        </w:rPr>
        <w:t> </w:t>
      </w:r>
      <w:r>
        <w:rPr>
          <w:color w:val="383636"/>
          <w:w w:val="105"/>
        </w:rPr>
        <w:t>Appellate</w:t>
      </w:r>
      <w:r>
        <w:rPr>
          <w:color w:val="383636"/>
          <w:spacing w:val="-2"/>
          <w:w w:val="105"/>
        </w:rPr>
        <w:t> </w:t>
      </w:r>
      <w:r>
        <w:rPr>
          <w:color w:val="383636"/>
          <w:w w:val="105"/>
        </w:rPr>
        <w:t>Procedure</w:t>
      </w:r>
      <w:r>
        <w:rPr>
          <w:color w:val="383636"/>
          <w:spacing w:val="-7"/>
          <w:w w:val="105"/>
        </w:rPr>
        <w:t> </w:t>
      </w:r>
      <w:r>
        <w:rPr>
          <w:color w:val="383636"/>
          <w:w w:val="105"/>
        </w:rPr>
        <w:t>and</w:t>
      </w:r>
      <w:r>
        <w:rPr>
          <w:color w:val="383636"/>
          <w:spacing w:val="31"/>
          <w:w w:val="105"/>
        </w:rPr>
        <w:t> </w:t>
      </w:r>
      <w:r>
        <w:rPr>
          <w:color w:val="383636"/>
          <w:w w:val="105"/>
        </w:rPr>
        <w:t>rules</w:t>
      </w:r>
      <w:r>
        <w:rPr>
          <w:color w:val="383636"/>
          <w:spacing w:val="-32"/>
          <w:w w:val="105"/>
        </w:rPr>
        <w:t> </w:t>
      </w:r>
      <w:r>
        <w:rPr>
          <w:color w:val="383636"/>
          <w:w w:val="105"/>
        </w:rPr>
        <w:t>of</w:t>
      </w:r>
      <w:r>
        <w:rPr>
          <w:color w:val="383636"/>
          <w:spacing w:val="-14"/>
          <w:w w:val="105"/>
        </w:rPr>
        <w:t> </w:t>
      </w:r>
      <w:r>
        <w:rPr>
          <w:color w:val="383636"/>
          <w:w w:val="105"/>
        </w:rPr>
        <w:t>state</w:t>
      </w:r>
      <w:r>
        <w:rPr>
          <w:color w:val="383636"/>
          <w:spacing w:val="-28"/>
          <w:w w:val="105"/>
        </w:rPr>
        <w:t> </w:t>
      </w:r>
      <w:r>
        <w:rPr>
          <w:color w:val="383636"/>
          <w:w w:val="105"/>
        </w:rPr>
        <w:t>supreme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courts lay out similar guidelines. This section will focus on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the document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requirements of a petitioner's brief on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merits, which are described in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Supreme</w:t>
      </w:r>
      <w:r>
        <w:rPr>
          <w:color w:val="383636"/>
          <w:spacing w:val="-8"/>
          <w:w w:val="105"/>
        </w:rPr>
        <w:t> </w:t>
      </w:r>
      <w:r>
        <w:rPr>
          <w:color w:val="383636"/>
          <w:w w:val="105"/>
        </w:rPr>
        <w:t>Court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Rule</w:t>
      </w:r>
      <w:r>
        <w:rPr>
          <w:color w:val="383636"/>
          <w:spacing w:val="-8"/>
          <w:w w:val="105"/>
        </w:rPr>
        <w:t> </w:t>
      </w:r>
      <w:r>
        <w:rPr>
          <w:color w:val="383636"/>
          <w:w w:val="105"/>
        </w:rPr>
        <w:t>24</w:t>
      </w:r>
      <w:r>
        <w:rPr>
          <w:color w:val="626264"/>
          <w:w w:val="105"/>
        </w:rPr>
        <w:t>.</w:t>
      </w:r>
    </w:p>
    <w:p>
      <w:pPr>
        <w:pStyle w:val="BodyText"/>
        <w:spacing w:line="235" w:lineRule="auto"/>
        <w:ind w:left="448" w:right="128" w:firstLine="396"/>
        <w:jc w:val="both"/>
      </w:pPr>
      <w:r>
        <w:rPr>
          <w:color w:val="383636"/>
          <w:w w:val="110"/>
        </w:rPr>
        <w:t>In</w:t>
      </w:r>
      <w:r>
        <w:rPr>
          <w:color w:val="383636"/>
          <w:spacing w:val="-12"/>
          <w:w w:val="110"/>
        </w:rPr>
        <w:t> </w:t>
      </w:r>
      <w:r>
        <w:rPr>
          <w:color w:val="383636"/>
          <w:w w:val="110"/>
        </w:rPr>
        <w:t>practice</w:t>
      </w:r>
      <w:r>
        <w:rPr>
          <w:color w:val="525052"/>
          <w:w w:val="110"/>
        </w:rPr>
        <w:t>,</w:t>
      </w:r>
      <w:r>
        <w:rPr>
          <w:color w:val="525052"/>
          <w:spacing w:val="-4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31"/>
          <w:w w:val="110"/>
        </w:rPr>
        <w:t> </w:t>
      </w:r>
      <w:r>
        <w:rPr>
          <w:color w:val="383636"/>
          <w:w w:val="110"/>
        </w:rPr>
        <w:t>party</w:t>
      </w:r>
      <w:r>
        <w:rPr>
          <w:color w:val="383636"/>
          <w:spacing w:val="-25"/>
          <w:w w:val="110"/>
        </w:rPr>
        <w:t> </w:t>
      </w:r>
      <w:r>
        <w:rPr>
          <w:color w:val="383636"/>
          <w:w w:val="110"/>
        </w:rPr>
        <w:t>filing</w:t>
      </w:r>
      <w:r>
        <w:rPr>
          <w:color w:val="383636"/>
          <w:spacing w:val="-23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responsive</w:t>
      </w:r>
      <w:r>
        <w:rPr>
          <w:color w:val="383636"/>
          <w:spacing w:val="4"/>
          <w:w w:val="110"/>
        </w:rPr>
        <w:t> </w:t>
      </w:r>
      <w:r>
        <w:rPr>
          <w:color w:val="383636"/>
          <w:w w:val="110"/>
        </w:rPr>
        <w:t>brief-whether</w:t>
      </w:r>
      <w:r>
        <w:rPr>
          <w:color w:val="383636"/>
          <w:spacing w:val="-2"/>
          <w:w w:val="110"/>
        </w:rPr>
        <w:t> </w:t>
      </w:r>
      <w:r>
        <w:rPr>
          <w:color w:val="383636"/>
          <w:w w:val="110"/>
        </w:rPr>
        <w:t>it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isan</w:t>
      </w:r>
      <w:r>
        <w:rPr>
          <w:color w:val="383636"/>
          <w:spacing w:val="-13"/>
          <w:w w:val="110"/>
        </w:rPr>
        <w:t> </w:t>
      </w:r>
      <w:r>
        <w:rPr>
          <w:color w:val="383636"/>
          <w:w w:val="110"/>
        </w:rPr>
        <w:t>appel­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lee's brief or a respondent's brief-is allowed to omit certain segments of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the brief (e.g.</w:t>
      </w:r>
      <w:r>
        <w:rPr>
          <w:color w:val="525052"/>
          <w:w w:val="105"/>
        </w:rPr>
        <w:t>, </w:t>
      </w:r>
      <w:r>
        <w:rPr>
          <w:color w:val="383636"/>
          <w:w w:val="105"/>
        </w:rPr>
        <w:t>the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jurisdictional statement, the fact statement, or the opin­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ions below) if he  or she  agrees with the other party as to that information.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In most appellate advocacy courses, however, students on each side of the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case are required to complete all segments of the  document for pedagogi­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cal reasons. Whether in practice or in class, you must learn and follow the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local</w:t>
      </w:r>
      <w:r>
        <w:rPr>
          <w:color w:val="383636"/>
          <w:spacing w:val="4"/>
          <w:w w:val="110"/>
        </w:rPr>
        <w:t> </w:t>
      </w:r>
      <w:r>
        <w:rPr>
          <w:color w:val="383636"/>
          <w:w w:val="110"/>
        </w:rPr>
        <w:t>rules.</w:t>
      </w:r>
    </w:p>
    <w:p>
      <w:pPr>
        <w:pStyle w:val="BodyText"/>
        <w:spacing w:before="2"/>
        <w:rPr>
          <w:sz w:val="35"/>
        </w:rPr>
      </w:pPr>
    </w:p>
    <w:p>
      <w:pPr>
        <w:spacing w:before="0"/>
        <w:ind w:left="762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83636"/>
          <w:w w:val="110"/>
          <w:sz w:val="28"/>
        </w:rPr>
        <w:t>8.4.1</w:t>
      </w:r>
    </w:p>
    <w:p>
      <w:pPr>
        <w:spacing w:before="52"/>
        <w:ind w:left="764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color w:val="383636"/>
          <w:w w:val="105"/>
          <w:sz w:val="21"/>
        </w:rPr>
        <w:t>COVER PAGE</w:t>
      </w:r>
    </w:p>
    <w:p>
      <w:pPr>
        <w:pStyle w:val="BodyText"/>
        <w:spacing w:line="232" w:lineRule="auto" w:before="123"/>
        <w:ind w:left="289" w:right="150" w:firstLine="450"/>
        <w:jc w:val="both"/>
      </w:pPr>
      <w:r>
        <w:rPr>
          <w:color w:val="383636"/>
          <w:w w:val="110"/>
        </w:rPr>
        <w:t>Supreme Court Rule 34.1 lists the elements that must be included on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 cover page of the brief</w:t>
      </w:r>
      <w:r>
        <w:rPr>
          <w:color w:val="525052"/>
          <w:w w:val="110"/>
        </w:rPr>
        <w:t>, </w:t>
      </w:r>
      <w:r>
        <w:rPr>
          <w:color w:val="383636"/>
          <w:w w:val="110"/>
        </w:rPr>
        <w:t>including the docket number of the case,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name of the court in which the case </w:t>
      </w:r>
      <w:r>
        <w:rPr>
          <w:color w:val="383636"/>
          <w:w w:val="110"/>
          <w:sz w:val="22"/>
        </w:rPr>
        <w:t>will </w:t>
      </w:r>
      <w:r>
        <w:rPr>
          <w:color w:val="383636"/>
          <w:w w:val="110"/>
        </w:rPr>
        <w:t>be heard, the caption of the case,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 court of origin of the case, the type of document</w:t>
      </w:r>
      <w:r>
        <w:rPr>
          <w:color w:val="525052"/>
          <w:w w:val="110"/>
        </w:rPr>
        <w:t>, </w:t>
      </w:r>
      <w:r>
        <w:rPr>
          <w:color w:val="383636"/>
          <w:w w:val="110"/>
        </w:rPr>
        <w:t>and the name of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counsel of record. Similarly, Rule 341(d) of the Illinois Civil Appeals Rules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lists the elements that must appear on the cover page of a brief</w:t>
      </w:r>
      <w:r>
        <w:rPr>
          <w:color w:val="525052"/>
          <w:w w:val="110"/>
        </w:rPr>
        <w:t>, </w:t>
      </w:r>
      <w:r>
        <w:rPr>
          <w:color w:val="383636"/>
          <w:w w:val="110"/>
        </w:rPr>
        <w:t>including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 case number, the  name of the  court that is being appealed to and of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  tribunal whose decision is being reviewed, and  the name of the case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as it appeared in the lower tribunal, with the parties' identities indicating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their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status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  <w:sz w:val="21"/>
        </w:rPr>
        <w:t>in</w:t>
      </w:r>
      <w:r>
        <w:rPr>
          <w:color w:val="383636"/>
          <w:spacing w:val="53"/>
          <w:w w:val="110"/>
          <w:sz w:val="21"/>
        </w:rPr>
        <w:t> </w:t>
      </w:r>
      <w:r>
        <w:rPr>
          <w:color w:val="383636"/>
          <w:w w:val="110"/>
        </w:rPr>
        <w:t>both</w:t>
      </w:r>
      <w:r>
        <w:rPr>
          <w:color w:val="383636"/>
          <w:spacing w:val="-5"/>
          <w:w w:val="110"/>
        </w:rPr>
        <w:t> </w:t>
      </w:r>
      <w:r>
        <w:rPr>
          <w:color w:val="383636"/>
          <w:w w:val="110"/>
        </w:rPr>
        <w:t>courts</w:t>
      </w:r>
      <w:r>
        <w:rPr>
          <w:color w:val="383636"/>
          <w:spacing w:val="-12"/>
          <w:w w:val="110"/>
        </w:rPr>
        <w:t> </w:t>
      </w:r>
      <w:r>
        <w:rPr>
          <w:color w:val="383636"/>
          <w:w w:val="110"/>
        </w:rPr>
        <w:t>(e.g.,</w:t>
      </w:r>
      <w:r>
        <w:rPr>
          <w:color w:val="383636"/>
          <w:spacing w:val="-13"/>
          <w:w w:val="110"/>
        </w:rPr>
        <w:t> </w:t>
      </w:r>
      <w:r>
        <w:rPr>
          <w:color w:val="525052"/>
          <w:w w:val="110"/>
        </w:rPr>
        <w:t>"</w:t>
      </w:r>
      <w:r>
        <w:rPr>
          <w:color w:val="383636"/>
          <w:w w:val="110"/>
        </w:rPr>
        <w:t>plaintiff-appellant").</w:t>
      </w:r>
    </w:p>
    <w:p>
      <w:pPr>
        <w:spacing w:after="0" w:line="232" w:lineRule="auto"/>
        <w:jc w:val="both"/>
        <w:sectPr>
          <w:pgSz w:w="9250" w:h="13740"/>
          <w:pgMar w:header="540" w:footer="0" w:top="1040" w:bottom="0" w:left="1280" w:right="0"/>
        </w:sectPr>
      </w:pPr>
    </w:p>
    <w:p>
      <w:pPr>
        <w:spacing w:before="91"/>
        <w:ind w:left="423" w:right="0" w:firstLine="0"/>
        <w:jc w:val="left"/>
        <w:rPr>
          <w:rFonts w:ascii="Courier New"/>
          <w:b/>
          <w:sz w:val="31"/>
        </w:rPr>
      </w:pPr>
      <w:r>
        <w:rPr>
          <w:rFonts w:ascii="Courier New"/>
          <w:b/>
          <w:color w:val="383638"/>
          <w:w w:val="80"/>
          <w:sz w:val="31"/>
        </w:rPr>
        <w:t>8.4.2</w:t>
      </w:r>
    </w:p>
    <w:p>
      <w:pPr>
        <w:spacing w:before="9"/>
        <w:ind w:left="443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2A2628"/>
          <w:w w:val="95"/>
          <w:sz w:val="23"/>
        </w:rPr>
        <w:t>ISSUE</w:t>
      </w:r>
    </w:p>
    <w:p>
      <w:pPr>
        <w:pStyle w:val="BodyText"/>
        <w:spacing w:line="235" w:lineRule="auto" w:before="116"/>
        <w:ind w:left="100" w:right="207" w:firstLine="327"/>
      </w:pPr>
      <w:r>
        <w:rPr>
          <w:color w:val="383638"/>
          <w:w w:val="110"/>
        </w:rPr>
        <w:t>Appellate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briefs designate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issue or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issues before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court with a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formal question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or questions presented. In many briefs,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question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pre­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05"/>
        </w:rPr>
        <w:t>sented</w:t>
      </w:r>
      <w:r>
        <w:rPr>
          <w:color w:val="383638"/>
          <w:spacing w:val="14"/>
          <w:w w:val="105"/>
        </w:rPr>
        <w:t> </w:t>
      </w:r>
      <w:r>
        <w:rPr>
          <w:color w:val="383638"/>
          <w:w w:val="105"/>
        </w:rPr>
        <w:t>may</w:t>
      </w:r>
      <w:r>
        <w:rPr>
          <w:color w:val="383638"/>
          <w:spacing w:val="-3"/>
          <w:w w:val="105"/>
        </w:rPr>
        <w:t> </w:t>
      </w:r>
      <w:r>
        <w:rPr>
          <w:color w:val="383638"/>
          <w:w w:val="105"/>
        </w:rPr>
        <w:t>be</w:t>
      </w:r>
      <w:r>
        <w:rPr>
          <w:color w:val="383638"/>
          <w:spacing w:val="4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46"/>
          <w:w w:val="105"/>
        </w:rPr>
        <w:t> </w:t>
      </w:r>
      <w:r>
        <w:rPr>
          <w:color w:val="383638"/>
          <w:w w:val="105"/>
        </w:rPr>
        <w:t>fifth</w:t>
      </w:r>
      <w:r>
        <w:rPr>
          <w:color w:val="383638"/>
          <w:spacing w:val="-16"/>
          <w:w w:val="105"/>
        </w:rPr>
        <w:t> </w:t>
      </w:r>
      <w:r>
        <w:rPr>
          <w:color w:val="383638"/>
          <w:w w:val="105"/>
        </w:rPr>
        <w:t>or</w:t>
      </w:r>
      <w:r>
        <w:rPr>
          <w:color w:val="383638"/>
          <w:spacing w:val="9"/>
          <w:w w:val="105"/>
        </w:rPr>
        <w:t> </w:t>
      </w:r>
      <w:r>
        <w:rPr>
          <w:color w:val="383638"/>
          <w:w w:val="105"/>
        </w:rPr>
        <w:t>sixth</w:t>
      </w:r>
      <w:r>
        <w:rPr>
          <w:color w:val="383638"/>
          <w:spacing w:val="-3"/>
          <w:w w:val="105"/>
        </w:rPr>
        <w:t> </w:t>
      </w:r>
      <w:r>
        <w:rPr>
          <w:color w:val="383638"/>
          <w:w w:val="105"/>
        </w:rPr>
        <w:t>element</w:t>
      </w:r>
      <w:r>
        <w:rPr>
          <w:color w:val="383638"/>
          <w:spacing w:val="13"/>
          <w:w w:val="105"/>
        </w:rPr>
        <w:t> </w:t>
      </w:r>
      <w:r>
        <w:rPr>
          <w:color w:val="383638"/>
          <w:w w:val="105"/>
        </w:rPr>
        <w:t>of</w:t>
      </w:r>
      <w:r>
        <w:rPr>
          <w:color w:val="383638"/>
          <w:spacing w:val="23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43"/>
          <w:w w:val="105"/>
        </w:rPr>
        <w:t> </w:t>
      </w:r>
      <w:r>
        <w:rPr>
          <w:color w:val="383638"/>
          <w:w w:val="105"/>
        </w:rPr>
        <w:t>brief; Rule</w:t>
      </w:r>
      <w:r>
        <w:rPr>
          <w:color w:val="383638"/>
          <w:spacing w:val="-4"/>
          <w:w w:val="105"/>
        </w:rPr>
        <w:t> </w:t>
      </w:r>
      <w:r>
        <w:rPr>
          <w:color w:val="383638"/>
          <w:w w:val="105"/>
        </w:rPr>
        <w:t>28</w:t>
      </w:r>
      <w:r>
        <w:rPr>
          <w:color w:val="383638"/>
          <w:spacing w:val="8"/>
          <w:w w:val="105"/>
        </w:rPr>
        <w:t> </w:t>
      </w:r>
      <w:r>
        <w:rPr>
          <w:color w:val="383638"/>
          <w:w w:val="105"/>
        </w:rPr>
        <w:t>of</w:t>
      </w:r>
      <w:r>
        <w:rPr>
          <w:color w:val="383638"/>
          <w:spacing w:val="23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49"/>
          <w:w w:val="105"/>
        </w:rPr>
        <w:t> </w:t>
      </w:r>
      <w:r>
        <w:rPr>
          <w:color w:val="383638"/>
          <w:w w:val="105"/>
        </w:rPr>
        <w:t>Federal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Rules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Appellate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Procedure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places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8"/>
          <w:w w:val="110"/>
        </w:rPr>
        <w:t> </w:t>
      </w:r>
      <w:r>
        <w:rPr>
          <w:color w:val="383638"/>
          <w:w w:val="110"/>
        </w:rPr>
        <w:t>statement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52"/>
          <w:w w:val="110"/>
        </w:rPr>
        <w:t> </w:t>
      </w:r>
      <w:r>
        <w:rPr>
          <w:color w:val="383638"/>
          <w:w w:val="110"/>
        </w:rPr>
        <w:t>issues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after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jurisdictional statement and before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statement of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case. In Supreme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Court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briefs,</w:t>
      </w:r>
      <w:r>
        <w:rPr>
          <w:color w:val="383638"/>
          <w:spacing w:val="25"/>
          <w:w w:val="110"/>
        </w:rPr>
        <w:t> </w:t>
      </w:r>
      <w:r>
        <w:rPr>
          <w:color w:val="383638"/>
          <w:w w:val="110"/>
        </w:rPr>
        <w:t>however,</w:t>
      </w:r>
      <w:r>
        <w:rPr>
          <w:color w:val="383638"/>
          <w:spacing w:val="30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55"/>
          <w:w w:val="110"/>
        </w:rPr>
        <w:t> </w:t>
      </w:r>
      <w:r>
        <w:rPr>
          <w:color w:val="383638"/>
          <w:w w:val="110"/>
        </w:rPr>
        <w:t>question</w:t>
      </w:r>
      <w:r>
        <w:rPr>
          <w:color w:val="383638"/>
          <w:spacing w:val="39"/>
          <w:w w:val="110"/>
        </w:rPr>
        <w:t> </w:t>
      </w:r>
      <w:r>
        <w:rPr>
          <w:color w:val="383638"/>
          <w:w w:val="110"/>
        </w:rPr>
        <w:t>presented</w:t>
      </w:r>
      <w:r>
        <w:rPr>
          <w:color w:val="383638"/>
          <w:spacing w:val="29"/>
          <w:w w:val="110"/>
        </w:rPr>
        <w:t> </w:t>
      </w:r>
      <w:r>
        <w:rPr>
          <w:color w:val="383638"/>
          <w:w w:val="110"/>
        </w:rPr>
        <w:t>appears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alone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on</w:t>
      </w:r>
      <w:r>
        <w:rPr>
          <w:color w:val="383638"/>
          <w:spacing w:val="4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8"/>
          <w:w w:val="110"/>
        </w:rPr>
        <w:t> </w:t>
      </w:r>
      <w:r>
        <w:rPr>
          <w:color w:val="383638"/>
          <w:w w:val="110"/>
        </w:rPr>
        <w:t>first</w:t>
      </w:r>
      <w:r>
        <w:rPr>
          <w:color w:val="383638"/>
          <w:spacing w:val="-60"/>
          <w:w w:val="110"/>
        </w:rPr>
        <w:t> </w:t>
      </w:r>
      <w:r>
        <w:rPr>
          <w:color w:val="383638"/>
          <w:w w:val="110"/>
        </w:rPr>
        <w:t>page after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cover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page. As noted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 Supreme Court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Rule 24.1(a), the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brief</w:t>
      </w:r>
      <w:r>
        <w:rPr>
          <w:color w:val="383638"/>
          <w:spacing w:val="37"/>
          <w:w w:val="110"/>
        </w:rPr>
        <w:t> </w:t>
      </w:r>
      <w:r>
        <w:rPr>
          <w:color w:val="383638"/>
          <w:w w:val="110"/>
        </w:rPr>
        <w:t>may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not  raise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additional</w:t>
      </w:r>
      <w:r>
        <w:rPr>
          <w:color w:val="383638"/>
          <w:spacing w:val="28"/>
          <w:w w:val="110"/>
        </w:rPr>
        <w:t> </w:t>
      </w:r>
      <w:r>
        <w:rPr>
          <w:color w:val="383638"/>
          <w:w w:val="110"/>
        </w:rPr>
        <w:t>questions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or</w:t>
      </w:r>
      <w:r>
        <w:rPr>
          <w:color w:val="383638"/>
          <w:spacing w:val="29"/>
          <w:w w:val="110"/>
        </w:rPr>
        <w:t> </w:t>
      </w:r>
      <w:r>
        <w:rPr>
          <w:color w:val="383638"/>
          <w:w w:val="110"/>
        </w:rPr>
        <w:t>change</w:t>
      </w:r>
      <w:r>
        <w:rPr>
          <w:color w:val="383638"/>
          <w:spacing w:val="28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9"/>
          <w:w w:val="110"/>
        </w:rPr>
        <w:t> </w:t>
      </w:r>
      <w:r>
        <w:rPr>
          <w:color w:val="383638"/>
          <w:w w:val="110"/>
        </w:rPr>
        <w:t>substance</w:t>
      </w:r>
      <w:r>
        <w:rPr>
          <w:color w:val="383638"/>
          <w:spacing w:val="30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33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questions</w:t>
      </w:r>
      <w:r>
        <w:rPr>
          <w:color w:val="383638"/>
          <w:spacing w:val="27"/>
          <w:w w:val="110"/>
        </w:rPr>
        <w:t> </w:t>
      </w:r>
      <w:r>
        <w:rPr>
          <w:color w:val="383638"/>
          <w:w w:val="110"/>
        </w:rPr>
        <w:t>raised</w:t>
      </w:r>
      <w:r>
        <w:rPr>
          <w:color w:val="383638"/>
          <w:spacing w:val="28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62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petition</w:t>
      </w:r>
      <w:r>
        <w:rPr>
          <w:color w:val="383638"/>
          <w:spacing w:val="39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41"/>
          <w:w w:val="110"/>
        </w:rPr>
        <w:t> </w:t>
      </w:r>
      <w:r>
        <w:rPr>
          <w:color w:val="383638"/>
          <w:w w:val="110"/>
        </w:rPr>
        <w:t>writ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35"/>
          <w:w w:val="110"/>
        </w:rPr>
        <w:t> </w:t>
      </w:r>
      <w:r>
        <w:rPr>
          <w:color w:val="383638"/>
          <w:w w:val="110"/>
        </w:rPr>
        <w:t>certiorari;</w:t>
      </w:r>
      <w:r>
        <w:rPr>
          <w:color w:val="383638"/>
          <w:spacing w:val="35"/>
          <w:w w:val="110"/>
        </w:rPr>
        <w:t> </w:t>
      </w:r>
      <w:r>
        <w:rPr>
          <w:color w:val="383638"/>
          <w:w w:val="110"/>
        </w:rPr>
        <w:t>however,</w:t>
      </w:r>
      <w:r>
        <w:rPr>
          <w:color w:val="383638"/>
          <w:spacing w:val="25"/>
          <w:w w:val="110"/>
        </w:rPr>
        <w:t> </w:t>
      </w:r>
      <w:r>
        <w:rPr>
          <w:color w:val="383638"/>
          <w:w w:val="110"/>
        </w:rPr>
        <w:t>"the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phrasing of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questions presented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need not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be identical with that in the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petition for a writ of certiorari."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Note that if your case has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multiple ques­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tions, you should number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questions. Note also that if you  are  writing</w:t>
      </w:r>
      <w:r>
        <w:rPr>
          <w:color w:val="383638"/>
          <w:spacing w:val="-61"/>
          <w:w w:val="110"/>
        </w:rPr>
        <w:t> </w:t>
      </w:r>
      <w:r>
        <w:rPr>
          <w:color w:val="383638"/>
          <w:spacing w:val="-1"/>
          <w:w w:val="110"/>
        </w:rPr>
        <w:t>a brief to</w:t>
      </w:r>
      <w:r>
        <w:rPr>
          <w:color w:val="383638"/>
          <w:w w:val="110"/>
        </w:rPr>
        <w:t> </w:t>
      </w:r>
      <w:r>
        <w:rPr>
          <w:color w:val="383638"/>
          <w:spacing w:val="-1"/>
          <w:w w:val="110"/>
        </w:rPr>
        <w:t>the</w:t>
      </w:r>
      <w:r>
        <w:rPr>
          <w:color w:val="383638"/>
          <w:w w:val="110"/>
        </w:rPr>
        <w:t> </w:t>
      </w:r>
      <w:r>
        <w:rPr>
          <w:color w:val="383638"/>
          <w:spacing w:val="-1"/>
          <w:w w:val="110"/>
        </w:rPr>
        <w:t>United </w:t>
      </w:r>
      <w:r>
        <w:rPr>
          <w:color w:val="383638"/>
          <w:w w:val="110"/>
        </w:rPr>
        <w:t>States Supreme Court,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page number of this page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should</w:t>
      </w:r>
      <w:r>
        <w:rPr>
          <w:color w:val="383638"/>
          <w:spacing w:val="38"/>
          <w:w w:val="110"/>
        </w:rPr>
        <w:t> </w:t>
      </w:r>
      <w:r>
        <w:rPr>
          <w:color w:val="383638"/>
          <w:w w:val="110"/>
        </w:rPr>
        <w:t>be</w:t>
      </w:r>
      <w:r>
        <w:rPr>
          <w:color w:val="383638"/>
          <w:spacing w:val="38"/>
          <w:w w:val="110"/>
        </w:rPr>
        <w:t> </w:t>
      </w:r>
      <w:r>
        <w:rPr>
          <w:color w:val="383638"/>
          <w:w w:val="110"/>
        </w:rPr>
        <w:t>written</w:t>
      </w:r>
      <w:r>
        <w:rPr>
          <w:color w:val="383638"/>
          <w:spacing w:val="36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53"/>
          <w:w w:val="110"/>
        </w:rPr>
        <w:t> </w:t>
      </w:r>
      <w:r>
        <w:rPr>
          <w:color w:val="383638"/>
          <w:w w:val="110"/>
        </w:rPr>
        <w:t>lowercase</w:t>
      </w:r>
      <w:r>
        <w:rPr>
          <w:color w:val="383638"/>
          <w:spacing w:val="39"/>
          <w:w w:val="110"/>
        </w:rPr>
        <w:t> </w:t>
      </w:r>
      <w:r>
        <w:rPr>
          <w:color w:val="383638"/>
          <w:w w:val="110"/>
        </w:rPr>
        <w:t>roman</w:t>
      </w:r>
      <w:r>
        <w:rPr>
          <w:color w:val="383638"/>
          <w:spacing w:val="55"/>
          <w:w w:val="110"/>
        </w:rPr>
        <w:t> </w:t>
      </w:r>
      <w:r>
        <w:rPr>
          <w:color w:val="383638"/>
          <w:w w:val="110"/>
        </w:rPr>
        <w:t>numerals</w:t>
      </w:r>
      <w:r>
        <w:rPr>
          <w:color w:val="383638"/>
          <w:spacing w:val="35"/>
          <w:w w:val="110"/>
        </w:rPr>
        <w:t> </w:t>
      </w:r>
      <w:r>
        <w:rPr>
          <w:color w:val="383638"/>
          <w:w w:val="110"/>
        </w:rPr>
        <w:t>(i.e.,</w:t>
      </w:r>
      <w:r>
        <w:rPr>
          <w:color w:val="383638"/>
          <w:spacing w:val="39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58"/>
          <w:w w:val="110"/>
        </w:rPr>
        <w:t> </w:t>
      </w:r>
      <w:r>
        <w:rPr>
          <w:color w:val="383638"/>
          <w:w w:val="110"/>
        </w:rPr>
        <w:t>question</w:t>
      </w:r>
      <w:r>
        <w:rPr>
          <w:color w:val="383638"/>
          <w:spacing w:val="41"/>
          <w:w w:val="110"/>
        </w:rPr>
        <w:t> </w:t>
      </w:r>
      <w:r>
        <w:rPr>
          <w:color w:val="383638"/>
          <w:w w:val="110"/>
        </w:rPr>
        <w:t>pre­</w:t>
      </w:r>
      <w:r>
        <w:rPr>
          <w:color w:val="383638"/>
          <w:spacing w:val="-60"/>
          <w:w w:val="110"/>
        </w:rPr>
        <w:t> </w:t>
      </w:r>
      <w:r>
        <w:rPr>
          <w:color w:val="383638"/>
          <w:w w:val="110"/>
        </w:rPr>
        <w:t>sented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appears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on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page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  <w:sz w:val="21"/>
        </w:rPr>
        <w:t>i),</w:t>
      </w:r>
      <w:r>
        <w:rPr>
          <w:color w:val="383638"/>
          <w:spacing w:val="43"/>
          <w:w w:val="110"/>
          <w:sz w:val="21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this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method</w:t>
      </w:r>
      <w:r>
        <w:rPr>
          <w:color w:val="383638"/>
          <w:spacing w:val="30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39"/>
          <w:w w:val="110"/>
        </w:rPr>
        <w:t> </w:t>
      </w:r>
      <w:r>
        <w:rPr>
          <w:color w:val="383638"/>
          <w:w w:val="110"/>
        </w:rPr>
        <w:t>pagination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continues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through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the  table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authorities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(see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Section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8.4.5).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Arabic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numbering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pages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begins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with the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opinions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below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(see</w:t>
      </w:r>
      <w:r>
        <w:rPr>
          <w:color w:val="383638"/>
          <w:spacing w:val="-24"/>
          <w:w w:val="110"/>
        </w:rPr>
        <w:t> </w:t>
      </w:r>
      <w:r>
        <w:rPr>
          <w:color w:val="383638"/>
          <w:w w:val="110"/>
        </w:rPr>
        <w:t>Section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8.4.6).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Consult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local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rules for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pagination</w:t>
      </w:r>
      <w:r>
        <w:rPr>
          <w:color w:val="383638"/>
          <w:spacing w:val="32"/>
          <w:w w:val="110"/>
        </w:rPr>
        <w:t> </w:t>
      </w:r>
      <w:r>
        <w:rPr>
          <w:color w:val="383638"/>
          <w:w w:val="110"/>
        </w:rPr>
        <w:t>guidelines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other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appellate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briefs;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if</w:t>
      </w:r>
      <w:r>
        <w:rPr>
          <w:color w:val="383638"/>
          <w:spacing w:val="43"/>
          <w:w w:val="110"/>
        </w:rPr>
        <w:t> </w:t>
      </w:r>
      <w:r>
        <w:rPr>
          <w:color w:val="383638"/>
          <w:w w:val="110"/>
        </w:rPr>
        <w:t>pagination</w:t>
      </w:r>
      <w:r>
        <w:rPr>
          <w:color w:val="383638"/>
          <w:spacing w:val="32"/>
          <w:w w:val="110"/>
        </w:rPr>
        <w:t> </w:t>
      </w:r>
      <w:r>
        <w:rPr>
          <w:color w:val="383638"/>
          <w:w w:val="110"/>
        </w:rPr>
        <w:t>i</w:t>
      </w:r>
      <w:r>
        <w:rPr>
          <w:color w:val="6E6E72"/>
          <w:w w:val="110"/>
        </w:rPr>
        <w:t>l</w:t>
      </w:r>
      <w:r>
        <w:rPr>
          <w:color w:val="6E6E72"/>
          <w:spacing w:val="1"/>
          <w:w w:val="110"/>
        </w:rPr>
        <w:t> </w:t>
      </w:r>
      <w:r>
        <w:rPr>
          <w:color w:val="383638"/>
          <w:w w:val="110"/>
        </w:rPr>
        <w:t>not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mentioned,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may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presume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Arabic pagination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is acceptabl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throughout. Chapter Nine discusses methods for writing an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effective que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tion presented</w:t>
      </w:r>
      <w:r>
        <w:rPr>
          <w:color w:val="545456"/>
          <w:w w:val="110"/>
        </w:rPr>
        <w:t>.</w:t>
      </w:r>
    </w:p>
    <w:p>
      <w:pPr>
        <w:pStyle w:val="BodyText"/>
        <w:spacing w:before="4"/>
        <w:rPr>
          <w:sz w:val="34"/>
        </w:rPr>
      </w:pPr>
    </w:p>
    <w:p>
      <w:pPr>
        <w:spacing w:before="0"/>
        <w:ind w:left="423" w:right="0" w:firstLine="0"/>
        <w:jc w:val="left"/>
        <w:rPr>
          <w:rFonts w:ascii="Courier New"/>
          <w:b/>
          <w:sz w:val="31"/>
        </w:rPr>
      </w:pPr>
      <w:r>
        <w:rPr>
          <w:rFonts w:ascii="Courier New"/>
          <w:b/>
          <w:color w:val="2A2628"/>
          <w:w w:val="80"/>
          <w:sz w:val="31"/>
        </w:rPr>
        <w:t>8.4.3</w:t>
      </w:r>
    </w:p>
    <w:p>
      <w:pPr>
        <w:spacing w:before="9"/>
        <w:ind w:left="442" w:right="0" w:firstLine="0"/>
        <w:jc w:val="left"/>
        <w:rPr>
          <w:rFonts w:ascii="Arial"/>
          <w:sz w:val="21"/>
        </w:rPr>
      </w:pPr>
      <w:r>
        <w:rPr>
          <w:rFonts w:ascii="Arial"/>
          <w:color w:val="383638"/>
          <w:sz w:val="21"/>
        </w:rPr>
        <w:t>PARTIES</w:t>
      </w:r>
      <w:r>
        <w:rPr>
          <w:rFonts w:ascii="Arial"/>
          <w:color w:val="383638"/>
          <w:spacing w:val="18"/>
          <w:sz w:val="21"/>
        </w:rPr>
        <w:t> </w:t>
      </w:r>
      <w:r>
        <w:rPr>
          <w:rFonts w:ascii="Arial"/>
          <w:color w:val="383638"/>
          <w:sz w:val="21"/>
        </w:rPr>
        <w:t>TO</w:t>
      </w:r>
      <w:r>
        <w:rPr>
          <w:rFonts w:ascii="Arial"/>
          <w:color w:val="383638"/>
          <w:spacing w:val="83"/>
          <w:sz w:val="21"/>
        </w:rPr>
        <w:t> </w:t>
      </w:r>
      <w:r>
        <w:rPr>
          <w:rFonts w:ascii="Arial"/>
          <w:color w:val="383638"/>
          <w:sz w:val="21"/>
        </w:rPr>
        <w:t>THE</w:t>
      </w:r>
      <w:r>
        <w:rPr>
          <w:rFonts w:ascii="Arial"/>
          <w:color w:val="383638"/>
          <w:spacing w:val="80"/>
          <w:sz w:val="21"/>
        </w:rPr>
        <w:t> </w:t>
      </w:r>
      <w:r>
        <w:rPr>
          <w:rFonts w:ascii="Arial"/>
          <w:color w:val="383638"/>
          <w:sz w:val="21"/>
        </w:rPr>
        <w:t>PROCEEDING</w:t>
      </w:r>
    </w:p>
    <w:p>
      <w:pPr>
        <w:pStyle w:val="BodyText"/>
        <w:spacing w:line="232" w:lineRule="auto" w:before="142"/>
        <w:ind w:left="113" w:right="109" w:firstLine="334"/>
        <w:jc w:val="both"/>
        <w:rPr>
          <w:i/>
          <w:sz w:val="21"/>
        </w:rPr>
      </w:pPr>
      <w:r>
        <w:rPr>
          <w:color w:val="383638"/>
          <w:w w:val="110"/>
        </w:rPr>
        <w:t>Appellate briefs may require a separate listing of "parties to </w:t>
      </w:r>
      <w:r>
        <w:rPr>
          <w:color w:val="2A2628"/>
          <w:w w:val="110"/>
        </w:rPr>
        <w:t>the </w:t>
      </w:r>
      <w:r>
        <w:rPr>
          <w:color w:val="383638"/>
          <w:w w:val="110"/>
        </w:rPr>
        <w:t>pro­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ceeding." In many cases, all of the parties to the proceedings have been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listed in the  caption on the cover page of the brief. In some cases, </w:t>
      </w:r>
      <w:r>
        <w:rPr>
          <w:color w:val="2A2628"/>
          <w:w w:val="105"/>
        </w:rPr>
        <w:t>however,</w:t>
      </w:r>
      <w:r>
        <w:rPr>
          <w:color w:val="2A2628"/>
          <w:spacing w:val="1"/>
          <w:w w:val="105"/>
        </w:rPr>
        <w:t> </w:t>
      </w:r>
      <w:r>
        <w:rPr>
          <w:color w:val="383638"/>
          <w:w w:val="110"/>
        </w:rPr>
        <w:t>the parties are too numerous to list on the cover page, or the parties have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changed since the decision of the case below</w:t>
      </w:r>
      <w:r>
        <w:rPr>
          <w:color w:val="545456"/>
          <w:w w:val="110"/>
        </w:rPr>
        <w:t>. </w:t>
      </w:r>
      <w:r>
        <w:rPr>
          <w:color w:val="383638"/>
          <w:w w:val="110"/>
        </w:rPr>
        <w:t>In either of these situations,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Supreme Court Rule 24.l(b) requires you to include a separate page labeled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"Parties </w:t>
      </w:r>
      <w:r>
        <w:rPr>
          <w:color w:val="2A2628"/>
          <w:w w:val="110"/>
        </w:rPr>
        <w:t>to the</w:t>
      </w:r>
      <w:r>
        <w:rPr>
          <w:color w:val="2A2628"/>
          <w:spacing w:val="1"/>
          <w:w w:val="110"/>
        </w:rPr>
        <w:t> </w:t>
      </w:r>
      <w:r>
        <w:rPr>
          <w:color w:val="383638"/>
          <w:w w:val="110"/>
        </w:rPr>
        <w:t>Proceeding," which (1) lists all parties not  listed on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cover sheet and  (2) explains any additions to or absences from the parties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-28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proceeding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36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9"/>
          <w:w w:val="110"/>
        </w:rPr>
        <w:t> </w:t>
      </w:r>
      <w:r>
        <w:rPr>
          <w:color w:val="383638"/>
          <w:w w:val="110"/>
        </w:rPr>
        <w:t>court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whose</w:t>
      </w:r>
      <w:r>
        <w:rPr>
          <w:color w:val="383638"/>
          <w:spacing w:val="25"/>
          <w:w w:val="110"/>
        </w:rPr>
        <w:t> </w:t>
      </w:r>
      <w:r>
        <w:rPr>
          <w:color w:val="383638"/>
          <w:w w:val="110"/>
        </w:rPr>
        <w:t>judgment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under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review.</w:t>
      </w:r>
      <w:r>
        <w:rPr>
          <w:color w:val="383638"/>
          <w:spacing w:val="-25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40"/>
          <w:w w:val="110"/>
        </w:rPr>
        <w:t> </w:t>
      </w:r>
      <w:r>
        <w:rPr>
          <w:i/>
          <w:color w:val="383638"/>
          <w:w w:val="110"/>
          <w:sz w:val="21"/>
        </w:rPr>
        <w:t>Miller</w:t>
      </w:r>
    </w:p>
    <w:p>
      <w:pPr>
        <w:pStyle w:val="ListParagraph"/>
        <w:numPr>
          <w:ilvl w:val="0"/>
          <w:numId w:val="71"/>
        </w:numPr>
        <w:tabs>
          <w:tab w:pos="319" w:val="left" w:leader="none"/>
        </w:tabs>
        <w:spacing w:line="250" w:lineRule="exact" w:before="0" w:after="0"/>
        <w:ind w:left="318" w:right="0" w:hanging="184"/>
        <w:jc w:val="both"/>
        <w:rPr>
          <w:sz w:val="23"/>
        </w:rPr>
      </w:pPr>
      <w:r>
        <w:rPr>
          <w:rFonts w:ascii="Arial"/>
          <w:i/>
          <w:color w:val="383638"/>
          <w:w w:val="115"/>
          <w:sz w:val="20"/>
        </w:rPr>
        <w:t>Albright</w:t>
      </w:r>
      <w:r>
        <w:rPr>
          <w:rFonts w:ascii="Arial"/>
          <w:i/>
          <w:color w:val="383638"/>
          <w:spacing w:val="8"/>
          <w:w w:val="115"/>
          <w:sz w:val="20"/>
        </w:rPr>
        <w:t> </w:t>
      </w:r>
      <w:r>
        <w:rPr>
          <w:color w:val="383638"/>
          <w:w w:val="115"/>
          <w:sz w:val="23"/>
        </w:rPr>
        <w:t>brief</w:t>
      </w:r>
      <w:r>
        <w:rPr>
          <w:color w:val="383638"/>
          <w:spacing w:val="13"/>
          <w:w w:val="115"/>
          <w:sz w:val="23"/>
        </w:rPr>
        <w:t> </w:t>
      </w:r>
      <w:r>
        <w:rPr>
          <w:color w:val="383638"/>
          <w:w w:val="115"/>
          <w:sz w:val="23"/>
        </w:rPr>
        <w:t>in</w:t>
      </w:r>
      <w:r>
        <w:rPr>
          <w:color w:val="383638"/>
          <w:spacing w:val="36"/>
          <w:w w:val="115"/>
          <w:sz w:val="23"/>
        </w:rPr>
        <w:t> </w:t>
      </w:r>
      <w:r>
        <w:rPr>
          <w:color w:val="383638"/>
          <w:w w:val="115"/>
          <w:sz w:val="23"/>
        </w:rPr>
        <w:t>Appendix</w:t>
      </w:r>
      <w:r>
        <w:rPr>
          <w:color w:val="383638"/>
          <w:spacing w:val="3"/>
          <w:w w:val="115"/>
          <w:sz w:val="23"/>
        </w:rPr>
        <w:t> </w:t>
      </w:r>
      <w:r>
        <w:rPr>
          <w:color w:val="383638"/>
          <w:w w:val="115"/>
          <w:sz w:val="23"/>
        </w:rPr>
        <w:t>C</w:t>
      </w:r>
      <w:r>
        <w:rPr>
          <w:color w:val="383638"/>
          <w:spacing w:val="2"/>
          <w:w w:val="115"/>
          <w:sz w:val="23"/>
        </w:rPr>
        <w:t> </w:t>
      </w:r>
      <w:r>
        <w:rPr>
          <w:color w:val="383638"/>
          <w:w w:val="115"/>
          <w:sz w:val="23"/>
        </w:rPr>
        <w:t>contains</w:t>
      </w:r>
      <w:r>
        <w:rPr>
          <w:color w:val="383638"/>
          <w:spacing w:val="-9"/>
          <w:w w:val="115"/>
          <w:sz w:val="23"/>
        </w:rPr>
        <w:t> </w:t>
      </w:r>
      <w:r>
        <w:rPr>
          <w:color w:val="383638"/>
          <w:w w:val="115"/>
          <w:sz w:val="23"/>
        </w:rPr>
        <w:t>an</w:t>
      </w:r>
      <w:r>
        <w:rPr>
          <w:color w:val="383638"/>
          <w:spacing w:val="10"/>
          <w:w w:val="115"/>
          <w:sz w:val="23"/>
        </w:rPr>
        <w:t> </w:t>
      </w:r>
      <w:r>
        <w:rPr>
          <w:color w:val="383638"/>
          <w:w w:val="115"/>
          <w:sz w:val="23"/>
        </w:rPr>
        <w:t>example</w:t>
      </w:r>
      <w:r>
        <w:rPr>
          <w:color w:val="383638"/>
          <w:spacing w:val="-12"/>
          <w:w w:val="115"/>
          <w:sz w:val="23"/>
        </w:rPr>
        <w:t> </w:t>
      </w:r>
      <w:r>
        <w:rPr>
          <w:color w:val="383638"/>
          <w:w w:val="115"/>
          <w:sz w:val="23"/>
        </w:rPr>
        <w:t>of</w:t>
      </w:r>
      <w:r>
        <w:rPr>
          <w:color w:val="383638"/>
          <w:spacing w:val="14"/>
          <w:w w:val="115"/>
          <w:sz w:val="23"/>
        </w:rPr>
        <w:t> </w:t>
      </w:r>
      <w:r>
        <w:rPr>
          <w:color w:val="383638"/>
          <w:w w:val="115"/>
          <w:sz w:val="23"/>
        </w:rPr>
        <w:t>this</w:t>
      </w:r>
      <w:r>
        <w:rPr>
          <w:color w:val="383638"/>
          <w:spacing w:val="-4"/>
          <w:w w:val="115"/>
          <w:sz w:val="23"/>
        </w:rPr>
        <w:t> </w:t>
      </w:r>
      <w:r>
        <w:rPr>
          <w:color w:val="383638"/>
          <w:w w:val="115"/>
          <w:sz w:val="23"/>
        </w:rPr>
        <w:t>requirement.</w:t>
      </w:r>
    </w:p>
    <w:p>
      <w:pPr>
        <w:pStyle w:val="BodyText"/>
        <w:spacing w:line="232" w:lineRule="auto" w:before="3"/>
        <w:ind w:left="132" w:right="98" w:hanging="12"/>
        <w:jc w:val="both"/>
      </w:pPr>
      <w:r>
        <w:rPr>
          <w:rFonts w:ascii="Arial"/>
          <w:color w:val="383638"/>
          <w:w w:val="115"/>
          <w:sz w:val="21"/>
        </w:rPr>
        <w:t>If </w:t>
      </w:r>
      <w:r>
        <w:rPr>
          <w:color w:val="383638"/>
          <w:w w:val="115"/>
        </w:rPr>
        <w:t>any of the parties is a company with parent companies or nonwholly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owned subsidiaries, you may need to add corporate disclosure information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about that company here. Supreme Court Rule 29.6 describes </w:t>
      </w:r>
      <w:r>
        <w:rPr>
          <w:color w:val="2A2628"/>
          <w:w w:val="115"/>
        </w:rPr>
        <w:t>corporate</w:t>
      </w:r>
      <w:r>
        <w:rPr>
          <w:color w:val="2A2628"/>
          <w:spacing w:val="1"/>
          <w:w w:val="115"/>
        </w:rPr>
        <w:t> </w:t>
      </w:r>
      <w:r>
        <w:rPr>
          <w:color w:val="383638"/>
          <w:w w:val="115"/>
        </w:rPr>
        <w:t>disclosure</w:t>
      </w:r>
      <w:r>
        <w:rPr>
          <w:color w:val="383638"/>
          <w:spacing w:val="3"/>
          <w:w w:val="115"/>
        </w:rPr>
        <w:t> </w:t>
      </w:r>
      <w:r>
        <w:rPr>
          <w:color w:val="383638"/>
          <w:w w:val="115"/>
        </w:rPr>
        <w:t>requirements.</w:t>
      </w:r>
    </w:p>
    <w:p>
      <w:pPr>
        <w:spacing w:after="0" w:line="232" w:lineRule="auto"/>
        <w:jc w:val="both"/>
        <w:sectPr>
          <w:headerReference w:type="default" r:id="rId195"/>
          <w:headerReference w:type="even" r:id="rId196"/>
          <w:pgSz w:w="9520" w:h="13700"/>
          <w:pgMar w:header="433" w:footer="0" w:top="1040" w:bottom="280" w:left="380" w:right="1280"/>
          <w:pgNumType w:start="171"/>
        </w:sectPr>
      </w:pPr>
    </w:p>
    <w:p>
      <w:pPr>
        <w:spacing w:line="370" w:lineRule="exact" w:before="91"/>
        <w:ind w:left="1035" w:right="0" w:firstLine="0"/>
        <w:jc w:val="left"/>
        <w:rPr>
          <w:rFonts w:ascii="Courier New"/>
          <w:sz w:val="33"/>
        </w:rPr>
      </w:pPr>
      <w:r>
        <w:rPr>
          <w:rFonts w:ascii="Courier New"/>
          <w:color w:val="525254"/>
          <w:w w:val="80"/>
          <w:sz w:val="33"/>
        </w:rPr>
        <w:t>8</w:t>
      </w:r>
      <w:r>
        <w:rPr>
          <w:rFonts w:ascii="Courier New"/>
          <w:color w:val="3A383A"/>
          <w:w w:val="80"/>
          <w:sz w:val="33"/>
        </w:rPr>
        <w:t>.4</w:t>
      </w:r>
      <w:r>
        <w:rPr>
          <w:rFonts w:ascii="Courier New"/>
          <w:color w:val="525254"/>
          <w:w w:val="80"/>
          <w:sz w:val="33"/>
        </w:rPr>
        <w:t>.</w:t>
      </w:r>
      <w:r>
        <w:rPr>
          <w:rFonts w:ascii="Courier New"/>
          <w:color w:val="3A383A"/>
          <w:w w:val="80"/>
          <w:sz w:val="33"/>
        </w:rPr>
        <w:t>4</w:t>
      </w:r>
    </w:p>
    <w:p>
      <w:pPr>
        <w:spacing w:line="250" w:lineRule="exact" w:before="0"/>
        <w:ind w:left="1067" w:right="0" w:firstLine="0"/>
        <w:jc w:val="left"/>
        <w:rPr>
          <w:rFonts w:ascii="Arial"/>
          <w:sz w:val="22"/>
        </w:rPr>
      </w:pPr>
      <w:r>
        <w:rPr>
          <w:rFonts w:ascii="Arial"/>
          <w:color w:val="3A383A"/>
          <w:w w:val="95"/>
          <w:sz w:val="22"/>
        </w:rPr>
        <w:t>T</w:t>
      </w:r>
      <w:r>
        <w:rPr>
          <w:rFonts w:ascii="Arial"/>
          <w:color w:val="525254"/>
          <w:w w:val="95"/>
          <w:sz w:val="22"/>
        </w:rPr>
        <w:t>A</w:t>
      </w:r>
      <w:r>
        <w:rPr>
          <w:rFonts w:ascii="Arial"/>
          <w:color w:val="3A383A"/>
          <w:w w:val="95"/>
          <w:sz w:val="22"/>
        </w:rPr>
        <w:t>BLE</w:t>
      </w:r>
      <w:r>
        <w:rPr>
          <w:rFonts w:ascii="Arial"/>
          <w:color w:val="3A383A"/>
          <w:spacing w:val="-16"/>
          <w:w w:val="95"/>
          <w:sz w:val="22"/>
        </w:rPr>
        <w:t> </w:t>
      </w:r>
      <w:r>
        <w:rPr>
          <w:rFonts w:ascii="Arial"/>
          <w:color w:val="3A383A"/>
          <w:w w:val="95"/>
          <w:sz w:val="22"/>
        </w:rPr>
        <w:t>OF</w:t>
      </w:r>
      <w:r>
        <w:rPr>
          <w:rFonts w:ascii="Arial"/>
          <w:color w:val="3A383A"/>
          <w:spacing w:val="21"/>
          <w:w w:val="95"/>
          <w:sz w:val="22"/>
        </w:rPr>
        <w:t> </w:t>
      </w:r>
      <w:r>
        <w:rPr>
          <w:rFonts w:ascii="Arial"/>
          <w:color w:val="3A383A"/>
          <w:w w:val="95"/>
          <w:sz w:val="22"/>
        </w:rPr>
        <w:t>CONTENTS</w:t>
      </w:r>
    </w:p>
    <w:p>
      <w:pPr>
        <w:pStyle w:val="BodyText"/>
        <w:spacing w:line="232" w:lineRule="auto" w:before="140"/>
        <w:ind w:left="637" w:right="112" w:firstLine="392"/>
        <w:jc w:val="both"/>
      </w:pPr>
      <w:r>
        <w:rPr>
          <w:color w:val="3A383A"/>
          <w:w w:val="105"/>
        </w:rPr>
        <w:t>Supreme Court Rule 24.l(c) requires a table of contents for all briefs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10"/>
        </w:rPr>
        <w:t>that exceed five pages. Generally, the  table of contents contains a list</w:t>
      </w:r>
      <w:r>
        <w:rPr>
          <w:color w:val="3A383A"/>
          <w:spacing w:val="1"/>
          <w:w w:val="110"/>
        </w:rPr>
        <w:t> </w:t>
      </w:r>
      <w:r>
        <w:rPr>
          <w:color w:val="3A383A"/>
          <w:spacing w:val="-1"/>
          <w:w w:val="110"/>
        </w:rPr>
        <w:t>of every </w:t>
      </w:r>
      <w:r>
        <w:rPr>
          <w:color w:val="3A383A"/>
          <w:w w:val="110"/>
        </w:rPr>
        <w:t>element of the brief that has a title, from the question(s) pre­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05"/>
        </w:rPr>
        <w:t>sented, the opinions below, the argument </w:t>
      </w:r>
      <w:r>
        <w:rPr>
          <w:rFonts w:ascii="Arial" w:hAnsi="Arial"/>
          <w:i/>
          <w:color w:val="3A383A"/>
          <w:w w:val="105"/>
          <w:sz w:val="20"/>
        </w:rPr>
        <w:t>and </w:t>
      </w:r>
      <w:r>
        <w:rPr>
          <w:color w:val="3A383A"/>
          <w:w w:val="105"/>
        </w:rPr>
        <w:t>its sections that are labeled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with point headings, to the conclusion, the certificate of service, and the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appendix (if any). The table of contents should list only the first page on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10"/>
        </w:rPr>
        <w:t>which</w:t>
      </w:r>
      <w:r>
        <w:rPr>
          <w:color w:val="3A383A"/>
          <w:spacing w:val="-19"/>
          <w:w w:val="110"/>
        </w:rPr>
        <w:t> </w:t>
      </w:r>
      <w:r>
        <w:rPr>
          <w:color w:val="3A383A"/>
          <w:w w:val="110"/>
        </w:rPr>
        <w:t>each element appears.</w:t>
      </w:r>
    </w:p>
    <w:p>
      <w:pPr>
        <w:pStyle w:val="BodyText"/>
        <w:spacing w:before="4"/>
        <w:rPr>
          <w:sz w:val="34"/>
        </w:rPr>
      </w:pPr>
    </w:p>
    <w:p>
      <w:pPr>
        <w:spacing w:before="0"/>
        <w:ind w:left="958" w:right="0" w:firstLine="0"/>
        <w:jc w:val="left"/>
        <w:rPr>
          <w:sz w:val="29"/>
        </w:rPr>
      </w:pPr>
      <w:r>
        <w:rPr>
          <w:color w:val="3A383A"/>
          <w:w w:val="110"/>
          <w:sz w:val="29"/>
        </w:rPr>
        <w:t>8.4.5</w:t>
      </w:r>
    </w:p>
    <w:p>
      <w:pPr>
        <w:spacing w:before="39"/>
        <w:ind w:left="951" w:right="0" w:firstLine="0"/>
        <w:jc w:val="left"/>
        <w:rPr>
          <w:rFonts w:ascii="Arial"/>
          <w:sz w:val="22"/>
        </w:rPr>
      </w:pPr>
      <w:r>
        <w:rPr>
          <w:rFonts w:ascii="Arial"/>
          <w:color w:val="3A383A"/>
          <w:w w:val="95"/>
          <w:sz w:val="22"/>
        </w:rPr>
        <w:t>TABLE</w:t>
      </w:r>
      <w:r>
        <w:rPr>
          <w:rFonts w:ascii="Arial"/>
          <w:color w:val="3A383A"/>
          <w:spacing w:val="15"/>
          <w:w w:val="95"/>
          <w:sz w:val="22"/>
        </w:rPr>
        <w:t> </w:t>
      </w:r>
      <w:r>
        <w:rPr>
          <w:rFonts w:ascii="Arial"/>
          <w:color w:val="3A383A"/>
          <w:w w:val="95"/>
          <w:sz w:val="22"/>
        </w:rPr>
        <w:t>OF</w:t>
      </w:r>
      <w:r>
        <w:rPr>
          <w:rFonts w:ascii="Arial"/>
          <w:color w:val="3A383A"/>
          <w:spacing w:val="11"/>
          <w:w w:val="95"/>
          <w:sz w:val="22"/>
        </w:rPr>
        <w:t> </w:t>
      </w:r>
      <w:r>
        <w:rPr>
          <w:rFonts w:ascii="Arial"/>
          <w:color w:val="3A383A"/>
          <w:w w:val="95"/>
          <w:sz w:val="22"/>
        </w:rPr>
        <w:t>AUTHORITIES</w:t>
      </w:r>
    </w:p>
    <w:p>
      <w:pPr>
        <w:pStyle w:val="BodyText"/>
        <w:spacing w:line="235" w:lineRule="auto" w:before="138"/>
        <w:ind w:left="508" w:right="142" w:firstLine="395"/>
        <w:jc w:val="both"/>
      </w:pPr>
      <w:r>
        <w:rPr>
          <w:color w:val="3A383A"/>
          <w:w w:val="110"/>
        </w:rPr>
        <w:t>Supreme</w:t>
      </w:r>
      <w:r>
        <w:rPr>
          <w:color w:val="3A383A"/>
          <w:spacing w:val="7"/>
          <w:w w:val="110"/>
        </w:rPr>
        <w:t> </w:t>
      </w:r>
      <w:r>
        <w:rPr>
          <w:color w:val="3A383A"/>
          <w:w w:val="110"/>
        </w:rPr>
        <w:t>Court</w:t>
      </w:r>
      <w:r>
        <w:rPr>
          <w:color w:val="3A383A"/>
          <w:spacing w:val="-1"/>
          <w:w w:val="110"/>
        </w:rPr>
        <w:t> </w:t>
      </w:r>
      <w:r>
        <w:rPr>
          <w:color w:val="3A383A"/>
          <w:w w:val="110"/>
        </w:rPr>
        <w:t>Rule</w:t>
      </w:r>
      <w:r>
        <w:rPr>
          <w:color w:val="3A383A"/>
          <w:spacing w:val="-10"/>
          <w:w w:val="110"/>
        </w:rPr>
        <w:t> </w:t>
      </w:r>
      <w:r>
        <w:rPr>
          <w:color w:val="3A383A"/>
          <w:w w:val="110"/>
        </w:rPr>
        <w:t>24.l(c)</w:t>
      </w:r>
      <w:r>
        <w:rPr>
          <w:color w:val="3A383A"/>
          <w:spacing w:val="-14"/>
          <w:w w:val="110"/>
        </w:rPr>
        <w:t> </w:t>
      </w:r>
      <w:r>
        <w:rPr>
          <w:color w:val="3A383A"/>
          <w:w w:val="110"/>
        </w:rPr>
        <w:t>also</w:t>
      </w:r>
      <w:r>
        <w:rPr>
          <w:color w:val="3A383A"/>
          <w:spacing w:val="-8"/>
          <w:w w:val="110"/>
        </w:rPr>
        <w:t> </w:t>
      </w:r>
      <w:r>
        <w:rPr>
          <w:color w:val="3A383A"/>
          <w:w w:val="110"/>
        </w:rPr>
        <w:t>requires</w:t>
      </w:r>
      <w:r>
        <w:rPr>
          <w:color w:val="3A383A"/>
          <w:spacing w:val="-7"/>
          <w:w w:val="110"/>
        </w:rPr>
        <w:t> </w:t>
      </w:r>
      <w:r>
        <w:rPr>
          <w:color w:val="3A383A"/>
          <w:w w:val="110"/>
        </w:rPr>
        <w:t>a</w:t>
      </w:r>
      <w:r>
        <w:rPr>
          <w:color w:val="3A383A"/>
          <w:spacing w:val="12"/>
          <w:w w:val="110"/>
        </w:rPr>
        <w:t> </w:t>
      </w:r>
      <w:r>
        <w:rPr>
          <w:color w:val="3A383A"/>
          <w:w w:val="110"/>
        </w:rPr>
        <w:t>table</w:t>
      </w:r>
      <w:r>
        <w:rPr>
          <w:color w:val="3A383A"/>
          <w:spacing w:val="-12"/>
          <w:w w:val="110"/>
        </w:rPr>
        <w:t> </w:t>
      </w:r>
      <w:r>
        <w:rPr>
          <w:color w:val="3A383A"/>
          <w:w w:val="110"/>
        </w:rPr>
        <w:t>of</w:t>
      </w:r>
      <w:r>
        <w:rPr>
          <w:color w:val="3A383A"/>
          <w:spacing w:val="12"/>
          <w:w w:val="110"/>
        </w:rPr>
        <w:t> </w:t>
      </w:r>
      <w:r>
        <w:rPr>
          <w:color w:val="3A383A"/>
          <w:w w:val="110"/>
        </w:rPr>
        <w:t>authorities</w:t>
      </w:r>
      <w:r>
        <w:rPr>
          <w:color w:val="3A383A"/>
          <w:spacing w:val="-7"/>
          <w:w w:val="110"/>
        </w:rPr>
        <w:t> </w:t>
      </w:r>
      <w:r>
        <w:rPr>
          <w:color w:val="3A383A"/>
          <w:w w:val="110"/>
        </w:rPr>
        <w:t>for</w:t>
      </w:r>
      <w:r>
        <w:rPr>
          <w:color w:val="3A383A"/>
          <w:spacing w:val="-14"/>
          <w:w w:val="110"/>
        </w:rPr>
        <w:t> </w:t>
      </w:r>
      <w:r>
        <w:rPr>
          <w:color w:val="3A383A"/>
          <w:w w:val="110"/>
        </w:rPr>
        <w:t>all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05"/>
        </w:rPr>
        <w:t>briefs that exceed 1,500 words</w:t>
      </w:r>
      <w:r>
        <w:rPr>
          <w:color w:val="525254"/>
          <w:w w:val="105"/>
        </w:rPr>
        <w:t>. </w:t>
      </w:r>
      <w:r>
        <w:rPr>
          <w:color w:val="3A383A"/>
          <w:w w:val="105"/>
        </w:rPr>
        <w:t>Rule 34.2 requires that the table of authori­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ties include "cases alphabetically arranged, constitutional provisions, stat­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10"/>
        </w:rPr>
        <w:t>utes, treatises, and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other materials." Most attorneys use the categories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05"/>
        </w:rPr>
        <w:t>listed in the rule as headings within the table, and some will subdivide any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longer categories further. </w:t>
      </w:r>
      <w:r>
        <w:rPr>
          <w:color w:val="2B282A"/>
          <w:w w:val="105"/>
        </w:rPr>
        <w:t>For </w:t>
      </w:r>
      <w:r>
        <w:rPr>
          <w:color w:val="3A383A"/>
          <w:w w:val="105"/>
        </w:rPr>
        <w:t>example, they may group cases into United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States Supreme Court cases, United States Circuit Court cases, and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so on.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10"/>
        </w:rPr>
        <w:t>This grouping may help the court to assess the brief's authority, but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rules</w:t>
      </w:r>
      <w:r>
        <w:rPr>
          <w:color w:val="3A383A"/>
          <w:spacing w:val="-24"/>
          <w:w w:val="110"/>
        </w:rPr>
        <w:t> </w:t>
      </w:r>
      <w:r>
        <w:rPr>
          <w:color w:val="3A383A"/>
          <w:w w:val="110"/>
        </w:rPr>
        <w:t>do</w:t>
      </w:r>
      <w:r>
        <w:rPr>
          <w:color w:val="3A383A"/>
          <w:spacing w:val="20"/>
          <w:w w:val="110"/>
        </w:rPr>
        <w:t> </w:t>
      </w:r>
      <w:r>
        <w:rPr>
          <w:color w:val="3A383A"/>
          <w:w w:val="110"/>
        </w:rPr>
        <w:t>not</w:t>
      </w:r>
      <w:r>
        <w:rPr>
          <w:color w:val="3A383A"/>
          <w:spacing w:val="37"/>
          <w:w w:val="110"/>
        </w:rPr>
        <w:t> </w:t>
      </w:r>
      <w:r>
        <w:rPr>
          <w:color w:val="3A383A"/>
          <w:w w:val="110"/>
        </w:rPr>
        <w:t>require</w:t>
      </w:r>
      <w:r>
        <w:rPr>
          <w:color w:val="3A383A"/>
          <w:spacing w:val="-2"/>
          <w:w w:val="110"/>
        </w:rPr>
        <w:t> </w:t>
      </w:r>
      <w:r>
        <w:rPr>
          <w:color w:val="3A383A"/>
          <w:w w:val="110"/>
        </w:rPr>
        <w:t>it.</w:t>
      </w:r>
    </w:p>
    <w:p>
      <w:pPr>
        <w:pStyle w:val="BodyText"/>
        <w:spacing w:line="230" w:lineRule="auto"/>
        <w:ind w:left="418" w:right="156" w:firstLine="425"/>
        <w:jc w:val="both"/>
      </w:pPr>
      <w:r>
        <w:rPr>
          <w:color w:val="3A383A"/>
          <w:w w:val="110"/>
        </w:rPr>
        <w:t>The most important requirement is that the table should note </w:t>
      </w:r>
      <w:r>
        <w:rPr>
          <w:i/>
          <w:color w:val="3A383A"/>
          <w:w w:val="110"/>
          <w:sz w:val="24"/>
        </w:rPr>
        <w:t>each</w:t>
      </w:r>
      <w:r>
        <w:rPr>
          <w:i/>
          <w:color w:val="3A383A"/>
          <w:spacing w:val="1"/>
          <w:w w:val="110"/>
          <w:sz w:val="24"/>
        </w:rPr>
        <w:t> </w:t>
      </w:r>
      <w:r>
        <w:rPr>
          <w:color w:val="3A383A"/>
          <w:w w:val="105"/>
        </w:rPr>
        <w:t>page on which each authority is cited</w:t>
      </w:r>
      <w:r>
        <w:rPr>
          <w:color w:val="525254"/>
          <w:w w:val="105"/>
        </w:rPr>
        <w:t>. </w:t>
      </w:r>
      <w:r>
        <w:rPr>
          <w:color w:val="3A383A"/>
          <w:w w:val="105"/>
          <w:sz w:val="22"/>
        </w:rPr>
        <w:t>If </w:t>
      </w:r>
      <w:r>
        <w:rPr>
          <w:color w:val="3A383A"/>
          <w:w w:val="105"/>
        </w:rPr>
        <w:t>an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authority </w:t>
      </w:r>
      <w:r>
        <w:rPr>
          <w:color w:val="2B282A"/>
          <w:w w:val="105"/>
        </w:rPr>
        <w:t>is </w:t>
      </w:r>
      <w:r>
        <w:rPr>
          <w:color w:val="3A383A"/>
          <w:w w:val="105"/>
        </w:rPr>
        <w:t>cited so frequently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10"/>
        </w:rPr>
        <w:t>that listing the individual pages would not help the court to find par­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05"/>
        </w:rPr>
        <w:t>ticular discussions of the  authority, the table of authorities may note </w:t>
      </w:r>
      <w:r>
        <w:rPr>
          <w:i/>
          <w:color w:val="3A383A"/>
          <w:w w:val="105"/>
          <w:sz w:val="24"/>
        </w:rPr>
        <w:t>pas­</w:t>
      </w:r>
      <w:r>
        <w:rPr>
          <w:i/>
          <w:color w:val="3A383A"/>
          <w:spacing w:val="1"/>
          <w:w w:val="105"/>
          <w:sz w:val="24"/>
        </w:rPr>
        <w:t> </w:t>
      </w:r>
      <w:r>
        <w:rPr>
          <w:i/>
          <w:color w:val="3A383A"/>
          <w:w w:val="105"/>
          <w:sz w:val="24"/>
        </w:rPr>
        <w:t>sim </w:t>
      </w:r>
      <w:r>
        <w:rPr>
          <w:color w:val="3A383A"/>
          <w:w w:val="105"/>
        </w:rPr>
        <w:t>(Latin for "throughout") instead of listing individual pages. </w:t>
      </w:r>
      <w:r>
        <w:rPr>
          <w:i/>
          <w:color w:val="3A383A"/>
          <w:w w:val="105"/>
          <w:sz w:val="24"/>
        </w:rPr>
        <w:t>Passim </w:t>
      </w:r>
      <w:r>
        <w:rPr>
          <w:color w:val="3A383A"/>
          <w:w w:val="105"/>
        </w:rPr>
        <w:t>is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often necessary to refer to a statute that is at issue be</w:t>
      </w:r>
      <w:r>
        <w:rPr>
          <w:color w:val="525254"/>
          <w:w w:val="105"/>
        </w:rPr>
        <w:t>c</w:t>
      </w:r>
      <w:r>
        <w:rPr>
          <w:color w:val="3A383A"/>
          <w:w w:val="105"/>
        </w:rPr>
        <w:t>ause the statute may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well be referenced on every page of the argument. Take care to use </w:t>
      </w:r>
      <w:r>
        <w:rPr>
          <w:i/>
          <w:color w:val="3A383A"/>
          <w:w w:val="105"/>
          <w:sz w:val="24"/>
        </w:rPr>
        <w:t>passim</w:t>
      </w:r>
      <w:r>
        <w:rPr>
          <w:i/>
          <w:color w:val="3A383A"/>
          <w:spacing w:val="1"/>
          <w:w w:val="105"/>
          <w:sz w:val="24"/>
        </w:rPr>
        <w:t> </w:t>
      </w:r>
      <w:r>
        <w:rPr>
          <w:color w:val="3A383A"/>
          <w:w w:val="110"/>
        </w:rPr>
        <w:t>only when absolutely necessary; it is not an excuse for being too lazy </w:t>
      </w:r>
      <w:r>
        <w:rPr>
          <w:color w:val="2B282A"/>
          <w:w w:val="110"/>
        </w:rPr>
        <w:t>to</w:t>
      </w:r>
      <w:r>
        <w:rPr>
          <w:color w:val="2B282A"/>
          <w:spacing w:val="1"/>
          <w:w w:val="110"/>
        </w:rPr>
        <w:t> </w:t>
      </w:r>
      <w:r>
        <w:rPr>
          <w:color w:val="3A383A"/>
          <w:w w:val="105"/>
        </w:rPr>
        <w:t>search </w:t>
      </w:r>
      <w:r>
        <w:rPr>
          <w:color w:val="2B282A"/>
          <w:w w:val="105"/>
        </w:rPr>
        <w:t>through </w:t>
      </w:r>
      <w:r>
        <w:rPr>
          <w:color w:val="3A383A"/>
          <w:w w:val="105"/>
        </w:rPr>
        <w:t>the brief to find the particular pages on which the citations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10"/>
        </w:rPr>
        <w:t>appear.</w:t>
      </w:r>
    </w:p>
    <w:p>
      <w:pPr>
        <w:pStyle w:val="BodyText"/>
        <w:spacing w:line="242" w:lineRule="exact"/>
        <w:ind w:left="780"/>
        <w:jc w:val="both"/>
      </w:pPr>
      <w:r>
        <w:rPr>
          <w:color w:val="3A383A"/>
          <w:w w:val="110"/>
        </w:rPr>
        <w:t>Word</w:t>
      </w:r>
      <w:r>
        <w:rPr>
          <w:color w:val="3A383A"/>
          <w:spacing w:val="24"/>
          <w:w w:val="110"/>
        </w:rPr>
        <w:t> </w:t>
      </w:r>
      <w:r>
        <w:rPr>
          <w:color w:val="3A383A"/>
          <w:w w:val="110"/>
        </w:rPr>
        <w:t>processing</w:t>
      </w:r>
      <w:r>
        <w:rPr>
          <w:color w:val="3A383A"/>
          <w:spacing w:val="16"/>
          <w:w w:val="110"/>
        </w:rPr>
        <w:t> </w:t>
      </w:r>
      <w:r>
        <w:rPr>
          <w:color w:val="3A383A"/>
          <w:w w:val="110"/>
        </w:rPr>
        <w:t>programs</w:t>
      </w:r>
      <w:r>
        <w:rPr>
          <w:color w:val="3A383A"/>
          <w:spacing w:val="14"/>
          <w:w w:val="110"/>
        </w:rPr>
        <w:t> </w:t>
      </w:r>
      <w:r>
        <w:rPr>
          <w:color w:val="3A383A"/>
          <w:w w:val="110"/>
        </w:rPr>
        <w:t>may</w:t>
      </w:r>
      <w:r>
        <w:rPr>
          <w:color w:val="3A383A"/>
          <w:spacing w:val="14"/>
          <w:w w:val="110"/>
        </w:rPr>
        <w:t> </w:t>
      </w:r>
      <w:r>
        <w:rPr>
          <w:color w:val="3A383A"/>
          <w:w w:val="110"/>
        </w:rPr>
        <w:t>have</w:t>
      </w:r>
      <w:r>
        <w:rPr>
          <w:color w:val="3A383A"/>
          <w:spacing w:val="-3"/>
          <w:w w:val="110"/>
        </w:rPr>
        <w:t> </w:t>
      </w:r>
      <w:r>
        <w:rPr>
          <w:color w:val="3A383A"/>
          <w:w w:val="110"/>
        </w:rPr>
        <w:t>a</w:t>
      </w:r>
      <w:r>
        <w:rPr>
          <w:color w:val="3A383A"/>
          <w:spacing w:val="9"/>
          <w:w w:val="110"/>
        </w:rPr>
        <w:t> </w:t>
      </w:r>
      <w:r>
        <w:rPr>
          <w:color w:val="3A383A"/>
          <w:w w:val="110"/>
        </w:rPr>
        <w:t>"Table"</w:t>
      </w:r>
      <w:r>
        <w:rPr>
          <w:color w:val="3A383A"/>
          <w:spacing w:val="12"/>
          <w:w w:val="110"/>
        </w:rPr>
        <w:t> </w:t>
      </w:r>
      <w:r>
        <w:rPr>
          <w:color w:val="3A383A"/>
          <w:w w:val="110"/>
        </w:rPr>
        <w:t>function,</w:t>
      </w:r>
      <w:r>
        <w:rPr>
          <w:color w:val="3A383A"/>
          <w:spacing w:val="20"/>
          <w:w w:val="110"/>
        </w:rPr>
        <w:t> </w:t>
      </w:r>
      <w:r>
        <w:rPr>
          <w:color w:val="3A383A"/>
          <w:w w:val="110"/>
        </w:rPr>
        <w:t>which</w:t>
      </w:r>
      <w:r>
        <w:rPr>
          <w:color w:val="3A383A"/>
          <w:spacing w:val="12"/>
          <w:w w:val="110"/>
        </w:rPr>
        <w:t> </w:t>
      </w:r>
      <w:r>
        <w:rPr>
          <w:color w:val="3A383A"/>
          <w:w w:val="110"/>
        </w:rPr>
        <w:t>will</w:t>
      </w:r>
    </w:p>
    <w:p>
      <w:pPr>
        <w:pStyle w:val="BodyText"/>
        <w:spacing w:line="228" w:lineRule="auto" w:before="2"/>
        <w:ind w:left="367" w:right="179" w:firstLine="31"/>
        <w:jc w:val="both"/>
      </w:pPr>
      <w:r>
        <w:rPr>
          <w:color w:val="3A383A"/>
          <w:w w:val="105"/>
        </w:rPr>
        <w:t>allow you to create a table of authorities more easily. If you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use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this func­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tion, </w:t>
      </w:r>
      <w:r>
        <w:rPr>
          <w:color w:val="2B282A"/>
          <w:w w:val="105"/>
        </w:rPr>
        <w:t>I </w:t>
      </w:r>
      <w:r>
        <w:rPr>
          <w:color w:val="3A383A"/>
          <w:w w:val="105"/>
        </w:rPr>
        <w:t>do not recommend that you </w:t>
      </w:r>
      <w:r>
        <w:rPr>
          <w:i/>
          <w:color w:val="3A383A"/>
          <w:w w:val="105"/>
          <w:sz w:val="24"/>
        </w:rPr>
        <w:t>rely </w:t>
      </w:r>
      <w:r>
        <w:rPr>
          <w:color w:val="3A383A"/>
          <w:w w:val="105"/>
        </w:rPr>
        <w:t>on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it.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After the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table is generated,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10"/>
        </w:rPr>
        <w:t>double-check to be sure that it includes each needed authority and each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needed</w:t>
      </w:r>
      <w:r>
        <w:rPr>
          <w:color w:val="3A383A"/>
          <w:spacing w:val="6"/>
          <w:w w:val="110"/>
        </w:rPr>
        <w:t> </w:t>
      </w:r>
      <w:r>
        <w:rPr>
          <w:color w:val="3A383A"/>
          <w:w w:val="110"/>
        </w:rPr>
        <w:t>page</w:t>
      </w:r>
      <w:r>
        <w:rPr>
          <w:color w:val="3A383A"/>
          <w:spacing w:val="-6"/>
          <w:w w:val="110"/>
        </w:rPr>
        <w:t> </w:t>
      </w:r>
      <w:r>
        <w:rPr>
          <w:color w:val="2B282A"/>
          <w:w w:val="110"/>
        </w:rPr>
        <w:t>reference.</w:t>
      </w:r>
    </w:p>
    <w:p>
      <w:pPr>
        <w:pStyle w:val="BodyText"/>
        <w:spacing w:before="10"/>
        <w:rPr>
          <w:sz w:val="33"/>
        </w:rPr>
      </w:pPr>
    </w:p>
    <w:p>
      <w:pPr>
        <w:spacing w:before="0"/>
        <w:ind w:left="713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A383A"/>
          <w:w w:val="105"/>
          <w:sz w:val="28"/>
        </w:rPr>
        <w:t>8.</w:t>
      </w:r>
      <w:r>
        <w:rPr>
          <w:rFonts w:ascii="Arial"/>
          <w:b/>
          <w:color w:val="525254"/>
          <w:w w:val="105"/>
          <w:sz w:val="28"/>
        </w:rPr>
        <w:t>4</w:t>
      </w:r>
      <w:r>
        <w:rPr>
          <w:rFonts w:ascii="Arial"/>
          <w:b/>
          <w:color w:val="3A383A"/>
          <w:w w:val="105"/>
          <w:sz w:val="28"/>
        </w:rPr>
        <w:t>.</w:t>
      </w:r>
      <w:r>
        <w:rPr>
          <w:rFonts w:ascii="Arial"/>
          <w:b/>
          <w:color w:val="525254"/>
          <w:w w:val="105"/>
          <w:sz w:val="28"/>
        </w:rPr>
        <w:t>6</w:t>
      </w:r>
    </w:p>
    <w:p>
      <w:pPr>
        <w:spacing w:before="33"/>
        <w:ind w:left="705" w:right="0" w:firstLine="0"/>
        <w:jc w:val="left"/>
        <w:rPr>
          <w:rFonts w:ascii="Arial"/>
          <w:sz w:val="22"/>
        </w:rPr>
      </w:pPr>
      <w:r>
        <w:rPr>
          <w:rFonts w:ascii="Arial"/>
          <w:color w:val="3A383A"/>
          <w:w w:val="110"/>
          <w:sz w:val="22"/>
        </w:rPr>
        <w:t>O</w:t>
      </w:r>
      <w:r>
        <w:rPr>
          <w:rFonts w:ascii="Arial"/>
          <w:color w:val="525254"/>
          <w:w w:val="110"/>
          <w:sz w:val="22"/>
        </w:rPr>
        <w:t>PIN</w:t>
      </w:r>
      <w:r>
        <w:rPr>
          <w:rFonts w:ascii="Arial"/>
          <w:color w:val="3A383A"/>
          <w:w w:val="110"/>
          <w:sz w:val="22"/>
        </w:rPr>
        <w:t>IO</w:t>
      </w:r>
      <w:r>
        <w:rPr>
          <w:rFonts w:ascii="Arial"/>
          <w:color w:val="525254"/>
          <w:w w:val="110"/>
          <w:sz w:val="22"/>
        </w:rPr>
        <w:t>N</w:t>
      </w:r>
      <w:r>
        <w:rPr>
          <w:rFonts w:ascii="Arial"/>
          <w:color w:val="3A383A"/>
          <w:w w:val="110"/>
          <w:sz w:val="22"/>
        </w:rPr>
        <w:t>S</w:t>
      </w:r>
      <w:r>
        <w:rPr>
          <w:rFonts w:ascii="Arial"/>
          <w:color w:val="3A383A"/>
          <w:spacing w:val="-25"/>
          <w:w w:val="110"/>
          <w:sz w:val="22"/>
        </w:rPr>
        <w:t> </w:t>
      </w:r>
      <w:r>
        <w:rPr>
          <w:rFonts w:ascii="Arial"/>
          <w:color w:val="3A383A"/>
          <w:w w:val="110"/>
          <w:sz w:val="22"/>
        </w:rPr>
        <w:t>BELOW</w:t>
      </w:r>
    </w:p>
    <w:p>
      <w:pPr>
        <w:pStyle w:val="BodyText"/>
        <w:spacing w:line="235" w:lineRule="auto" w:before="157"/>
        <w:ind w:left="273" w:firstLine="379"/>
      </w:pPr>
      <w:r>
        <w:rPr>
          <w:color w:val="3A383A"/>
          <w:w w:val="110"/>
        </w:rPr>
        <w:t>Supreme</w:t>
      </w:r>
      <w:r>
        <w:rPr>
          <w:color w:val="3A383A"/>
          <w:spacing w:val="3"/>
          <w:w w:val="110"/>
        </w:rPr>
        <w:t> </w:t>
      </w:r>
      <w:r>
        <w:rPr>
          <w:color w:val="3A383A"/>
          <w:w w:val="110"/>
        </w:rPr>
        <w:t>Court</w:t>
      </w:r>
      <w:r>
        <w:rPr>
          <w:color w:val="3A383A"/>
          <w:spacing w:val="11"/>
          <w:w w:val="110"/>
        </w:rPr>
        <w:t> </w:t>
      </w:r>
      <w:r>
        <w:rPr>
          <w:color w:val="3A383A"/>
          <w:w w:val="110"/>
        </w:rPr>
        <w:t>Rule</w:t>
      </w:r>
      <w:r>
        <w:rPr>
          <w:color w:val="3A383A"/>
          <w:spacing w:val="-2"/>
          <w:w w:val="110"/>
        </w:rPr>
        <w:t> </w:t>
      </w:r>
      <w:r>
        <w:rPr>
          <w:color w:val="3A383A"/>
          <w:w w:val="110"/>
        </w:rPr>
        <w:t>24.1(d)</w:t>
      </w:r>
      <w:r>
        <w:rPr>
          <w:color w:val="3A383A"/>
          <w:spacing w:val="4"/>
          <w:w w:val="110"/>
        </w:rPr>
        <w:t> </w:t>
      </w:r>
      <w:r>
        <w:rPr>
          <w:color w:val="3A383A"/>
          <w:w w:val="110"/>
        </w:rPr>
        <w:t>requires</w:t>
      </w:r>
      <w:r>
        <w:rPr>
          <w:color w:val="3A383A"/>
          <w:spacing w:val="-3"/>
          <w:w w:val="110"/>
        </w:rPr>
        <w:t> </w:t>
      </w:r>
      <w:r>
        <w:rPr>
          <w:color w:val="3A383A"/>
          <w:w w:val="110"/>
        </w:rPr>
        <w:t>that</w:t>
      </w:r>
      <w:r>
        <w:rPr>
          <w:color w:val="3A383A"/>
          <w:spacing w:val="10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-8"/>
          <w:w w:val="110"/>
        </w:rPr>
        <w:t> </w:t>
      </w:r>
      <w:r>
        <w:rPr>
          <w:color w:val="3A383A"/>
          <w:w w:val="110"/>
        </w:rPr>
        <w:t>brief</w:t>
      </w:r>
      <w:r>
        <w:rPr>
          <w:color w:val="3A383A"/>
          <w:spacing w:val="5"/>
          <w:w w:val="110"/>
        </w:rPr>
        <w:t> </w:t>
      </w:r>
      <w:r>
        <w:rPr>
          <w:color w:val="3A383A"/>
          <w:w w:val="110"/>
        </w:rPr>
        <w:t>writer</w:t>
      </w:r>
      <w:r>
        <w:rPr>
          <w:color w:val="3A383A"/>
          <w:spacing w:val="-2"/>
          <w:w w:val="110"/>
        </w:rPr>
        <w:t> </w:t>
      </w:r>
      <w:r>
        <w:rPr>
          <w:color w:val="3A383A"/>
          <w:w w:val="110"/>
        </w:rPr>
        <w:t>cite</w:t>
      </w:r>
      <w:r>
        <w:rPr>
          <w:color w:val="3A383A"/>
          <w:spacing w:val="-2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8"/>
          <w:w w:val="110"/>
        </w:rPr>
        <w:t> </w:t>
      </w:r>
      <w:r>
        <w:rPr>
          <w:color w:val="3A383A"/>
          <w:w w:val="110"/>
        </w:rPr>
        <w:t>offi­</w:t>
      </w:r>
      <w:r>
        <w:rPr>
          <w:color w:val="3A383A"/>
          <w:spacing w:val="-60"/>
          <w:w w:val="110"/>
        </w:rPr>
        <w:t> </w:t>
      </w:r>
      <w:r>
        <w:rPr>
          <w:color w:val="3A383A"/>
          <w:w w:val="110"/>
        </w:rPr>
        <w:t>cial</w:t>
      </w:r>
      <w:r>
        <w:rPr>
          <w:color w:val="3A383A"/>
          <w:spacing w:val="-4"/>
          <w:w w:val="110"/>
        </w:rPr>
        <w:t> </w:t>
      </w:r>
      <w:r>
        <w:rPr>
          <w:color w:val="3A383A"/>
          <w:w w:val="110"/>
        </w:rPr>
        <w:t>and</w:t>
      </w:r>
      <w:r>
        <w:rPr>
          <w:color w:val="3A383A"/>
          <w:spacing w:val="60"/>
          <w:w w:val="110"/>
        </w:rPr>
        <w:t> </w:t>
      </w:r>
      <w:r>
        <w:rPr>
          <w:color w:val="3A383A"/>
          <w:w w:val="110"/>
        </w:rPr>
        <w:t>unofficial</w:t>
      </w:r>
      <w:r>
        <w:rPr>
          <w:color w:val="3A383A"/>
          <w:spacing w:val="29"/>
          <w:w w:val="110"/>
        </w:rPr>
        <w:t> </w:t>
      </w:r>
      <w:r>
        <w:rPr>
          <w:color w:val="3A383A"/>
          <w:w w:val="110"/>
        </w:rPr>
        <w:t>reports</w:t>
      </w:r>
      <w:r>
        <w:rPr>
          <w:color w:val="3A383A"/>
          <w:spacing w:val="-14"/>
          <w:w w:val="110"/>
        </w:rPr>
        <w:t> </w:t>
      </w:r>
      <w:r>
        <w:rPr>
          <w:color w:val="3A383A"/>
          <w:w w:val="110"/>
        </w:rPr>
        <w:t>of</w:t>
      </w:r>
      <w:r>
        <w:rPr>
          <w:color w:val="3A383A"/>
          <w:spacing w:val="9"/>
          <w:w w:val="110"/>
        </w:rPr>
        <w:t> </w:t>
      </w:r>
      <w:r>
        <w:rPr>
          <w:color w:val="3A383A"/>
          <w:w w:val="110"/>
        </w:rPr>
        <w:t>"the</w:t>
      </w:r>
      <w:r>
        <w:rPr>
          <w:color w:val="3A383A"/>
          <w:spacing w:val="-23"/>
          <w:w w:val="110"/>
        </w:rPr>
        <w:t> </w:t>
      </w:r>
      <w:r>
        <w:rPr>
          <w:color w:val="3A383A"/>
          <w:w w:val="110"/>
        </w:rPr>
        <w:t>opinions</w:t>
      </w:r>
      <w:r>
        <w:rPr>
          <w:color w:val="3A383A"/>
          <w:spacing w:val="2"/>
          <w:w w:val="110"/>
        </w:rPr>
        <w:t> </w:t>
      </w:r>
      <w:r>
        <w:rPr>
          <w:color w:val="3A383A"/>
          <w:w w:val="110"/>
        </w:rPr>
        <w:t>and</w:t>
      </w:r>
      <w:r>
        <w:rPr>
          <w:color w:val="3A383A"/>
          <w:spacing w:val="10"/>
          <w:w w:val="110"/>
        </w:rPr>
        <w:t> </w:t>
      </w:r>
      <w:r>
        <w:rPr>
          <w:color w:val="3A383A"/>
          <w:w w:val="110"/>
        </w:rPr>
        <w:t>orders</w:t>
      </w:r>
      <w:r>
        <w:rPr>
          <w:color w:val="3A383A"/>
          <w:spacing w:val="-7"/>
          <w:w w:val="110"/>
        </w:rPr>
        <w:t> </w:t>
      </w:r>
      <w:r>
        <w:rPr>
          <w:color w:val="3A383A"/>
          <w:w w:val="110"/>
        </w:rPr>
        <w:t>entered</w:t>
      </w:r>
      <w:r>
        <w:rPr>
          <w:color w:val="3A383A"/>
          <w:spacing w:val="21"/>
          <w:w w:val="110"/>
        </w:rPr>
        <w:t> </w:t>
      </w:r>
      <w:r>
        <w:rPr>
          <w:color w:val="3A383A"/>
          <w:w w:val="110"/>
        </w:rPr>
        <w:t>in</w:t>
      </w:r>
      <w:r>
        <w:rPr>
          <w:color w:val="3A383A"/>
          <w:spacing w:val="42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18"/>
          <w:w w:val="110"/>
        </w:rPr>
        <w:t> </w:t>
      </w:r>
      <w:r>
        <w:rPr>
          <w:color w:val="3A383A"/>
          <w:w w:val="110"/>
        </w:rPr>
        <w:t>case</w:t>
      </w:r>
    </w:p>
    <w:p>
      <w:pPr>
        <w:spacing w:after="0" w:line="235" w:lineRule="auto"/>
        <w:sectPr>
          <w:pgSz w:w="9290" w:h="13750"/>
          <w:pgMar w:header="376" w:footer="0" w:top="960" w:bottom="0" w:left="1280" w:right="0"/>
        </w:sectPr>
      </w:pPr>
    </w:p>
    <w:p>
      <w:pPr>
        <w:pStyle w:val="BodyText"/>
        <w:spacing w:line="235" w:lineRule="auto" w:before="85"/>
        <w:ind w:left="127" w:right="248" w:hanging="9"/>
        <w:jc w:val="both"/>
        <w:rPr>
          <w:rFonts w:ascii="Arial" w:hAnsi="Arial"/>
          <w:sz w:val="12"/>
        </w:rPr>
      </w:pPr>
      <w:r>
        <w:rPr>
          <w:rFonts w:ascii="Arial" w:hAnsi="Arial"/>
          <w:color w:val="3A3838"/>
          <w:w w:val="110"/>
          <w:sz w:val="21"/>
        </w:rPr>
        <w:t>by </w:t>
      </w:r>
      <w:r>
        <w:rPr>
          <w:color w:val="3A3838"/>
          <w:w w:val="110"/>
        </w:rPr>
        <w:t>courts and </w:t>
      </w:r>
      <w:r>
        <w:rPr>
          <w:color w:val="4B4B4D"/>
          <w:w w:val="110"/>
        </w:rPr>
        <w:t>administrative </w:t>
      </w:r>
      <w:r>
        <w:rPr>
          <w:color w:val="3A3838"/>
          <w:w w:val="110"/>
        </w:rPr>
        <w:t>agencies." This section is usually designated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0"/>
        </w:rPr>
        <w:t>"Opinions </w:t>
      </w:r>
      <w:r>
        <w:rPr>
          <w:color w:val="3A3838"/>
          <w:w w:val="110"/>
        </w:rPr>
        <w:t>Below." If official citations exist, the writer must provide them;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if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opinions are also (or only) available </w:t>
      </w:r>
      <w:r>
        <w:rPr>
          <w:color w:val="4B4B4D"/>
          <w:w w:val="110"/>
        </w:rPr>
        <w:t>in </w:t>
      </w:r>
      <w:r>
        <w:rPr>
          <w:color w:val="3A3838"/>
          <w:w w:val="110"/>
        </w:rPr>
        <w:t>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joint appendix or some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other document submitted to the court, the writer should  make that clear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as</w:t>
      </w:r>
      <w:r>
        <w:rPr>
          <w:color w:val="3A3838"/>
          <w:spacing w:val="-39"/>
          <w:w w:val="110"/>
        </w:rPr>
        <w:t> </w:t>
      </w:r>
      <w:r>
        <w:rPr>
          <w:color w:val="3A3838"/>
          <w:w w:val="110"/>
        </w:rPr>
        <w:t>well-e.g.,</w:t>
      </w:r>
      <w:r>
        <w:rPr>
          <w:color w:val="3A3838"/>
          <w:spacing w:val="-16"/>
          <w:w w:val="110"/>
        </w:rPr>
        <w:t> </w:t>
      </w:r>
      <w:r>
        <w:rPr>
          <w:color w:val="4B4B4D"/>
          <w:w w:val="110"/>
        </w:rPr>
        <w:t>"The</w:t>
      </w:r>
      <w:r>
        <w:rPr>
          <w:color w:val="4B4B4D"/>
          <w:spacing w:val="-31"/>
          <w:w w:val="110"/>
        </w:rPr>
        <w:t> </w:t>
      </w:r>
      <w:r>
        <w:rPr>
          <w:color w:val="3A3838"/>
          <w:w w:val="110"/>
        </w:rPr>
        <w:t>decision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32"/>
          <w:w w:val="110"/>
        </w:rPr>
        <w:t> </w:t>
      </w:r>
      <w:r>
        <w:rPr>
          <w:color w:val="3A3838"/>
          <w:w w:val="110"/>
        </w:rPr>
        <w:t>Second</w:t>
      </w:r>
      <w:r>
        <w:rPr>
          <w:color w:val="3A3838"/>
          <w:spacing w:val="-3"/>
          <w:w w:val="110"/>
        </w:rPr>
        <w:t> </w:t>
      </w:r>
      <w:r>
        <w:rPr>
          <w:color w:val="3A3838"/>
          <w:w w:val="110"/>
        </w:rPr>
        <w:t>Circuit</w:t>
      </w:r>
      <w:r>
        <w:rPr>
          <w:color w:val="3A3838"/>
          <w:spacing w:val="-18"/>
          <w:w w:val="110"/>
        </w:rPr>
        <w:t> </w:t>
      </w:r>
      <w:r>
        <w:rPr>
          <w:color w:val="3A3838"/>
          <w:w w:val="110"/>
        </w:rPr>
        <w:t>Court</w:t>
      </w:r>
      <w:r>
        <w:rPr>
          <w:color w:val="3A3838"/>
          <w:spacing w:val="-18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-3"/>
          <w:w w:val="110"/>
        </w:rPr>
        <w:t> </w:t>
      </w:r>
      <w:r>
        <w:rPr>
          <w:color w:val="3A3838"/>
          <w:w w:val="110"/>
        </w:rPr>
        <w:t>Appeals</w:t>
      </w:r>
      <w:r>
        <w:rPr>
          <w:color w:val="3A3838"/>
          <w:spacing w:val="-14"/>
          <w:w w:val="110"/>
        </w:rPr>
        <w:t> </w:t>
      </w:r>
      <w:r>
        <w:rPr>
          <w:color w:val="3A3838"/>
          <w:w w:val="110"/>
        </w:rPr>
        <w:t>is</w:t>
      </w:r>
      <w:r>
        <w:rPr>
          <w:color w:val="3A3838"/>
          <w:spacing w:val="-16"/>
          <w:w w:val="110"/>
        </w:rPr>
        <w:t> </w:t>
      </w:r>
      <w:r>
        <w:rPr>
          <w:color w:val="3A3838"/>
          <w:w w:val="110"/>
        </w:rPr>
        <w:t>found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at 101 F.3d 101 and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at page 73 in the Joint Appendix." With this sec­</w:t>
      </w:r>
      <w:r>
        <w:rPr>
          <w:color w:val="3A3838"/>
          <w:spacing w:val="1"/>
          <w:w w:val="115"/>
        </w:rPr>
        <w:t> </w:t>
      </w:r>
      <w:r>
        <w:rPr>
          <w:color w:val="4B4B4D"/>
          <w:w w:val="110"/>
        </w:rPr>
        <w:t>tion, </w:t>
      </w:r>
      <w:r>
        <w:rPr>
          <w:color w:val="3A3838"/>
          <w:w w:val="110"/>
        </w:rPr>
        <w:t>the Supreme Court brief writer begins Arabic page numbering with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page 1. Some writers reprint the caption of the case before this element;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although Rule 24.1 does not specify this requirement, reprinting the cap­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tion helps the reader to distinguish between front matter and the body of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the</w:t>
      </w:r>
      <w:r>
        <w:rPr>
          <w:color w:val="3A3838"/>
          <w:spacing w:val="-21"/>
          <w:w w:val="115"/>
        </w:rPr>
        <w:t> </w:t>
      </w:r>
      <w:r>
        <w:rPr>
          <w:color w:val="3A3838"/>
          <w:w w:val="115"/>
        </w:rPr>
        <w:t>brief.</w:t>
      </w:r>
      <w:r>
        <w:rPr>
          <w:rFonts w:ascii="Arial" w:hAnsi="Arial"/>
          <w:color w:val="3A3838"/>
          <w:w w:val="115"/>
          <w:position w:val="11"/>
          <w:sz w:val="12"/>
        </w:rPr>
        <w:t>10</w:t>
      </w:r>
    </w:p>
    <w:p>
      <w:pPr>
        <w:pStyle w:val="BodyText"/>
        <w:spacing w:before="3"/>
        <w:rPr>
          <w:rFonts w:ascii="Arial"/>
          <w:sz w:val="33"/>
        </w:rPr>
      </w:pPr>
    </w:p>
    <w:p>
      <w:pPr>
        <w:spacing w:before="0"/>
        <w:ind w:left="468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A3838"/>
          <w:w w:val="105"/>
          <w:sz w:val="28"/>
        </w:rPr>
        <w:t>8.4.7</w:t>
      </w:r>
    </w:p>
    <w:p>
      <w:pPr>
        <w:spacing w:before="61"/>
        <w:ind w:left="473" w:right="0" w:firstLine="0"/>
        <w:jc w:val="left"/>
        <w:rPr>
          <w:rFonts w:ascii="Arial"/>
          <w:sz w:val="21"/>
        </w:rPr>
      </w:pPr>
      <w:r>
        <w:rPr>
          <w:rFonts w:ascii="Arial"/>
          <w:color w:val="3A3838"/>
          <w:w w:val="105"/>
          <w:sz w:val="21"/>
        </w:rPr>
        <w:t>JURIS</w:t>
      </w:r>
      <w:r>
        <w:rPr>
          <w:rFonts w:ascii="Arial"/>
          <w:color w:val="69696B"/>
          <w:w w:val="105"/>
          <w:sz w:val="21"/>
        </w:rPr>
        <w:t>DICTION</w:t>
      </w:r>
    </w:p>
    <w:p>
      <w:pPr>
        <w:pStyle w:val="BodyText"/>
        <w:spacing w:line="232" w:lineRule="auto" w:before="142"/>
        <w:ind w:left="150" w:right="215" w:firstLine="333"/>
        <w:jc w:val="both"/>
      </w:pPr>
      <w:r>
        <w:rPr>
          <w:color w:val="3A3838"/>
          <w:w w:val="110"/>
        </w:rPr>
        <w:t>In Supreme Court briefs,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jurisdictional statement, required by Rule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5"/>
        </w:rPr>
        <w:t>24.l(e), is usually rather straightforward. The attorney should include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the date on which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judgment being reviewed was entered, the date on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which the petition for certiorari was filed, and the date on which the peti­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tion was granted. These items are necessary because they show that a final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decision has been entered and that the petitioner has followed the neces­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sary procedural steps. The brief should also include the statute or statutes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give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49"/>
          <w:w w:val="110"/>
        </w:rPr>
        <w:t> </w:t>
      </w:r>
      <w:r>
        <w:rPr>
          <w:color w:val="3A3838"/>
          <w:w w:val="110"/>
        </w:rPr>
        <w:t>reviewing</w:t>
      </w:r>
      <w:r>
        <w:rPr>
          <w:color w:val="3A3838"/>
          <w:spacing w:val="3"/>
          <w:w w:val="110"/>
        </w:rPr>
        <w:t> </w:t>
      </w:r>
      <w:r>
        <w:rPr>
          <w:color w:val="3A3838"/>
          <w:w w:val="110"/>
        </w:rPr>
        <w:t>court</w:t>
      </w:r>
      <w:r>
        <w:rPr>
          <w:color w:val="3A3838"/>
          <w:spacing w:val="2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2"/>
          <w:w w:val="110"/>
        </w:rPr>
        <w:t> </w:t>
      </w:r>
      <w:r>
        <w:rPr>
          <w:color w:val="3A3838"/>
          <w:w w:val="110"/>
        </w:rPr>
        <w:t>authority</w:t>
      </w:r>
      <w:r>
        <w:rPr>
          <w:color w:val="3A3838"/>
          <w:spacing w:val="13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15"/>
          <w:w w:val="110"/>
        </w:rPr>
        <w:t> </w:t>
      </w:r>
      <w:r>
        <w:rPr>
          <w:color w:val="3A3838"/>
          <w:w w:val="110"/>
        </w:rPr>
        <w:t>hear</w:t>
      </w:r>
      <w:r>
        <w:rPr>
          <w:color w:val="3A3838"/>
          <w:spacing w:val="11"/>
          <w:w w:val="110"/>
        </w:rPr>
        <w:t> </w:t>
      </w:r>
      <w:r>
        <w:rPr>
          <w:color w:val="3A3838"/>
          <w:w w:val="110"/>
        </w:rPr>
        <w:t>this</w:t>
      </w:r>
      <w:r>
        <w:rPr>
          <w:color w:val="3A3838"/>
          <w:spacing w:val="-2"/>
          <w:w w:val="110"/>
        </w:rPr>
        <w:t> </w:t>
      </w:r>
      <w:r>
        <w:rPr>
          <w:color w:val="3A3838"/>
          <w:w w:val="110"/>
        </w:rPr>
        <w:t>type</w:t>
      </w:r>
      <w:r>
        <w:rPr>
          <w:color w:val="3A3838"/>
          <w:spacing w:val="-16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18"/>
          <w:w w:val="110"/>
        </w:rPr>
        <w:t> </w:t>
      </w:r>
      <w:r>
        <w:rPr>
          <w:color w:val="3A3838"/>
          <w:w w:val="110"/>
        </w:rPr>
        <w:t>appeal.</w:t>
      </w:r>
      <w:r>
        <w:rPr>
          <w:color w:val="3A3838"/>
          <w:w w:val="110"/>
          <w:vertAlign w:val="superscript"/>
        </w:rPr>
        <w:t>11</w:t>
      </w:r>
    </w:p>
    <w:p>
      <w:pPr>
        <w:pStyle w:val="BodyText"/>
        <w:spacing w:line="235" w:lineRule="auto" w:before="7"/>
        <w:ind w:left="167" w:right="201" w:firstLine="325"/>
        <w:jc w:val="both"/>
      </w:pPr>
      <w:r>
        <w:rPr>
          <w:color w:val="3A3838"/>
          <w:w w:val="110"/>
        </w:rPr>
        <w:t>In cases in other appellate courts,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jurisdictional statement may be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more complex. For example, Rule 28(a)(4) of the Federal Rules of Appellate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Procedure</w:t>
      </w:r>
      <w:r>
        <w:rPr>
          <w:color w:val="3A3838"/>
          <w:spacing w:val="14"/>
          <w:w w:val="110"/>
        </w:rPr>
        <w:t> </w:t>
      </w:r>
      <w:r>
        <w:rPr>
          <w:color w:val="3A3838"/>
          <w:w w:val="110"/>
        </w:rPr>
        <w:t>requires</w:t>
      </w:r>
      <w:r>
        <w:rPr>
          <w:color w:val="3A3838"/>
          <w:spacing w:val="10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-16"/>
          <w:w w:val="110"/>
        </w:rPr>
        <w:t> </w:t>
      </w:r>
      <w:r>
        <w:rPr>
          <w:color w:val="3A3838"/>
          <w:w w:val="110"/>
        </w:rPr>
        <w:t>an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appellant's</w:t>
      </w:r>
      <w:r>
        <w:rPr>
          <w:color w:val="3A3838"/>
          <w:spacing w:val="9"/>
          <w:w w:val="110"/>
        </w:rPr>
        <w:t> </w:t>
      </w:r>
      <w:r>
        <w:rPr>
          <w:color w:val="3A3838"/>
          <w:w w:val="110"/>
        </w:rPr>
        <w:t>brief</w:t>
      </w:r>
      <w:r>
        <w:rPr>
          <w:color w:val="3A3838"/>
          <w:spacing w:val="21"/>
          <w:w w:val="110"/>
        </w:rPr>
        <w:t> </w:t>
      </w:r>
      <w:r>
        <w:rPr>
          <w:color w:val="3A3838"/>
          <w:w w:val="110"/>
        </w:rPr>
        <w:t>include:</w:t>
      </w:r>
    </w:p>
    <w:p>
      <w:pPr>
        <w:pStyle w:val="ListParagraph"/>
        <w:numPr>
          <w:ilvl w:val="2"/>
          <w:numId w:val="62"/>
        </w:numPr>
        <w:tabs>
          <w:tab w:pos="781" w:val="left" w:leader="none"/>
        </w:tabs>
        <w:spacing w:line="241" w:lineRule="exact" w:before="171" w:after="0"/>
        <w:ind w:left="780" w:right="0" w:hanging="281"/>
        <w:jc w:val="both"/>
        <w:rPr>
          <w:color w:val="3A3838"/>
          <w:sz w:val="21"/>
        </w:rPr>
      </w:pPr>
      <w:r>
        <w:rPr>
          <w:color w:val="3A3838"/>
          <w:w w:val="110"/>
          <w:sz w:val="21"/>
        </w:rPr>
        <w:t>a</w:t>
      </w:r>
      <w:r>
        <w:rPr>
          <w:color w:val="3A3838"/>
          <w:spacing w:val="42"/>
          <w:w w:val="110"/>
          <w:sz w:val="21"/>
        </w:rPr>
        <w:t> </w:t>
      </w:r>
      <w:r>
        <w:rPr>
          <w:color w:val="3A3838"/>
          <w:w w:val="110"/>
          <w:sz w:val="21"/>
        </w:rPr>
        <w:t>jurisdictional</w:t>
      </w:r>
      <w:r>
        <w:rPr>
          <w:color w:val="3A3838"/>
          <w:spacing w:val="-5"/>
          <w:w w:val="110"/>
          <w:sz w:val="21"/>
        </w:rPr>
        <w:t> </w:t>
      </w:r>
      <w:r>
        <w:rPr>
          <w:color w:val="4B4B4D"/>
          <w:w w:val="110"/>
          <w:sz w:val="21"/>
        </w:rPr>
        <w:t>statement,</w:t>
      </w:r>
      <w:r>
        <w:rPr>
          <w:color w:val="4B4B4D"/>
          <w:spacing w:val="19"/>
          <w:w w:val="110"/>
          <w:sz w:val="21"/>
        </w:rPr>
        <w:t> </w:t>
      </w:r>
      <w:r>
        <w:rPr>
          <w:color w:val="3A3838"/>
          <w:w w:val="110"/>
          <w:sz w:val="21"/>
        </w:rPr>
        <w:t>including:</w:t>
      </w:r>
    </w:p>
    <w:p>
      <w:pPr>
        <w:pStyle w:val="ListParagraph"/>
        <w:numPr>
          <w:ilvl w:val="3"/>
          <w:numId w:val="62"/>
        </w:numPr>
        <w:tabs>
          <w:tab w:pos="1317" w:val="left" w:leader="none"/>
        </w:tabs>
        <w:spacing w:line="235" w:lineRule="auto" w:before="3" w:after="0"/>
        <w:ind w:left="606" w:right="201" w:firstLine="365"/>
        <w:jc w:val="both"/>
        <w:rPr>
          <w:color w:val="3A3838"/>
          <w:sz w:val="21"/>
        </w:rPr>
      </w:pPr>
      <w:r>
        <w:rPr>
          <w:color w:val="4B4B4D"/>
          <w:w w:val="110"/>
          <w:sz w:val="21"/>
        </w:rPr>
        <w:t>the</w:t>
      </w:r>
      <w:r>
        <w:rPr>
          <w:color w:val="4B4B4D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basis for the district court's or agency's subject-matter jurisdic­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5"/>
          <w:sz w:val="21"/>
        </w:rPr>
        <w:t>tion, with citations to applicable statutory provisions and stating relevant</w:t>
      </w:r>
      <w:r>
        <w:rPr>
          <w:color w:val="3A3838"/>
          <w:spacing w:val="1"/>
          <w:w w:val="115"/>
          <w:sz w:val="21"/>
        </w:rPr>
        <w:t> </w:t>
      </w:r>
      <w:r>
        <w:rPr>
          <w:color w:val="3A3838"/>
          <w:w w:val="115"/>
          <w:sz w:val="21"/>
        </w:rPr>
        <w:t>facts</w:t>
      </w:r>
      <w:r>
        <w:rPr>
          <w:color w:val="3A3838"/>
          <w:spacing w:val="-31"/>
          <w:w w:val="115"/>
          <w:sz w:val="21"/>
        </w:rPr>
        <w:t> </w:t>
      </w:r>
      <w:r>
        <w:rPr>
          <w:color w:val="3A3838"/>
          <w:w w:val="115"/>
          <w:sz w:val="21"/>
        </w:rPr>
        <w:t>establishing</w:t>
      </w:r>
      <w:r>
        <w:rPr>
          <w:color w:val="3A3838"/>
          <w:spacing w:val="29"/>
          <w:w w:val="115"/>
          <w:sz w:val="21"/>
        </w:rPr>
        <w:t> </w:t>
      </w:r>
      <w:r>
        <w:rPr>
          <w:color w:val="3A3838"/>
          <w:w w:val="115"/>
          <w:sz w:val="21"/>
        </w:rPr>
        <w:t>jurisdiction;</w:t>
      </w:r>
    </w:p>
    <w:p>
      <w:pPr>
        <w:pStyle w:val="ListParagraph"/>
        <w:numPr>
          <w:ilvl w:val="3"/>
          <w:numId w:val="62"/>
        </w:numPr>
        <w:tabs>
          <w:tab w:pos="1288" w:val="left" w:leader="none"/>
        </w:tabs>
        <w:spacing w:line="249" w:lineRule="auto" w:before="0" w:after="0"/>
        <w:ind w:left="607" w:right="173" w:firstLine="365"/>
        <w:jc w:val="both"/>
        <w:rPr>
          <w:color w:val="3A3838"/>
          <w:sz w:val="21"/>
        </w:rPr>
      </w:pPr>
      <w:r>
        <w:rPr>
          <w:color w:val="4B4B4D"/>
          <w:w w:val="110"/>
          <w:sz w:val="21"/>
        </w:rPr>
        <w:t>the</w:t>
      </w:r>
      <w:r>
        <w:rPr>
          <w:color w:val="4B4B4D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basis for the court of appeals' jurisdiction, with citations to appli­</w:t>
      </w:r>
      <w:r>
        <w:rPr>
          <w:color w:val="3A3838"/>
          <w:spacing w:val="-55"/>
          <w:w w:val="110"/>
          <w:sz w:val="21"/>
        </w:rPr>
        <w:t> </w:t>
      </w:r>
      <w:r>
        <w:rPr>
          <w:color w:val="3A3838"/>
          <w:w w:val="110"/>
          <w:sz w:val="21"/>
        </w:rPr>
        <w:t>cable</w:t>
      </w:r>
      <w:r>
        <w:rPr>
          <w:color w:val="3A3838"/>
          <w:spacing w:val="-14"/>
          <w:w w:val="110"/>
          <w:sz w:val="21"/>
        </w:rPr>
        <w:t> </w:t>
      </w:r>
      <w:r>
        <w:rPr>
          <w:color w:val="3A3838"/>
          <w:w w:val="110"/>
          <w:sz w:val="21"/>
        </w:rPr>
        <w:t>statutory</w:t>
      </w:r>
      <w:r>
        <w:rPr>
          <w:color w:val="3A3838"/>
          <w:spacing w:val="3"/>
          <w:w w:val="110"/>
          <w:sz w:val="21"/>
        </w:rPr>
        <w:t> </w:t>
      </w:r>
      <w:r>
        <w:rPr>
          <w:color w:val="3A3838"/>
          <w:w w:val="110"/>
          <w:sz w:val="21"/>
        </w:rPr>
        <w:t>provisions</w:t>
      </w:r>
      <w:r>
        <w:rPr>
          <w:color w:val="3A3838"/>
          <w:spacing w:val="-17"/>
          <w:w w:val="110"/>
          <w:sz w:val="21"/>
        </w:rPr>
        <w:t> </w:t>
      </w:r>
      <w:r>
        <w:rPr>
          <w:color w:val="3A3838"/>
          <w:w w:val="110"/>
          <w:sz w:val="21"/>
        </w:rPr>
        <w:t>and</w:t>
      </w:r>
      <w:r>
        <w:rPr>
          <w:color w:val="3A3838"/>
          <w:spacing w:val="21"/>
          <w:w w:val="110"/>
          <w:sz w:val="21"/>
        </w:rPr>
        <w:t> </w:t>
      </w:r>
      <w:r>
        <w:rPr>
          <w:color w:val="4B4B4D"/>
          <w:w w:val="110"/>
          <w:sz w:val="21"/>
        </w:rPr>
        <w:t>stating</w:t>
      </w:r>
      <w:r>
        <w:rPr>
          <w:color w:val="4B4B4D"/>
          <w:spacing w:val="-6"/>
          <w:w w:val="110"/>
          <w:sz w:val="21"/>
        </w:rPr>
        <w:t> </w:t>
      </w:r>
      <w:r>
        <w:rPr>
          <w:color w:val="3A3838"/>
          <w:w w:val="110"/>
          <w:sz w:val="21"/>
        </w:rPr>
        <w:t>relevant</w:t>
      </w:r>
      <w:r>
        <w:rPr>
          <w:color w:val="3A3838"/>
          <w:spacing w:val="2"/>
          <w:w w:val="110"/>
          <w:sz w:val="21"/>
        </w:rPr>
        <w:t> </w:t>
      </w:r>
      <w:r>
        <w:rPr>
          <w:color w:val="3A3838"/>
          <w:w w:val="110"/>
          <w:sz w:val="21"/>
        </w:rPr>
        <w:t>facts</w:t>
      </w:r>
      <w:r>
        <w:rPr>
          <w:color w:val="3A3838"/>
          <w:spacing w:val="-17"/>
          <w:w w:val="110"/>
          <w:sz w:val="21"/>
        </w:rPr>
        <w:t> </w:t>
      </w:r>
      <w:r>
        <w:rPr>
          <w:color w:val="4B4B4D"/>
          <w:w w:val="110"/>
          <w:sz w:val="21"/>
        </w:rPr>
        <w:t>establishing</w:t>
      </w:r>
      <w:r>
        <w:rPr>
          <w:color w:val="4B4B4D"/>
          <w:spacing w:val="33"/>
          <w:w w:val="110"/>
          <w:sz w:val="21"/>
        </w:rPr>
        <w:t> </w:t>
      </w:r>
      <w:r>
        <w:rPr>
          <w:color w:val="3A3838"/>
          <w:w w:val="110"/>
          <w:sz w:val="21"/>
        </w:rPr>
        <w:t>jurisdiction;</w:t>
      </w:r>
    </w:p>
    <w:p>
      <w:pPr>
        <w:pStyle w:val="ListParagraph"/>
        <w:numPr>
          <w:ilvl w:val="3"/>
          <w:numId w:val="62"/>
        </w:numPr>
        <w:tabs>
          <w:tab w:pos="1327" w:val="left" w:leader="none"/>
        </w:tabs>
        <w:spacing w:line="220" w:lineRule="exact" w:before="0" w:after="0"/>
        <w:ind w:left="1326" w:right="0" w:hanging="344"/>
        <w:jc w:val="both"/>
        <w:rPr>
          <w:color w:val="3A3838"/>
          <w:sz w:val="19"/>
        </w:rPr>
      </w:pPr>
      <w:r>
        <w:rPr>
          <w:color w:val="3A3838"/>
          <w:w w:val="110"/>
          <w:sz w:val="21"/>
        </w:rPr>
        <w:t>the</w:t>
      </w:r>
      <w:r>
        <w:rPr>
          <w:color w:val="3A3838"/>
          <w:spacing w:val="43"/>
          <w:w w:val="110"/>
          <w:sz w:val="21"/>
        </w:rPr>
        <w:t> </w:t>
      </w:r>
      <w:r>
        <w:rPr>
          <w:color w:val="3A3838"/>
          <w:w w:val="110"/>
          <w:sz w:val="21"/>
        </w:rPr>
        <w:t>filing</w:t>
      </w:r>
      <w:r>
        <w:rPr>
          <w:color w:val="3A3838"/>
          <w:spacing w:val="-8"/>
          <w:w w:val="110"/>
          <w:sz w:val="21"/>
        </w:rPr>
        <w:t> </w:t>
      </w:r>
      <w:r>
        <w:rPr>
          <w:color w:val="3A3838"/>
          <w:w w:val="110"/>
          <w:sz w:val="21"/>
        </w:rPr>
        <w:t>dates</w:t>
      </w:r>
      <w:r>
        <w:rPr>
          <w:color w:val="3A3838"/>
          <w:spacing w:val="-5"/>
          <w:w w:val="110"/>
          <w:sz w:val="21"/>
        </w:rPr>
        <w:t> </w:t>
      </w:r>
      <w:r>
        <w:rPr>
          <w:color w:val="3A3838"/>
          <w:w w:val="110"/>
          <w:sz w:val="21"/>
        </w:rPr>
        <w:t>establishing</w:t>
      </w:r>
      <w:r>
        <w:rPr>
          <w:color w:val="3A3838"/>
          <w:spacing w:val="28"/>
          <w:w w:val="110"/>
          <w:sz w:val="21"/>
        </w:rPr>
        <w:t> </w:t>
      </w:r>
      <w:r>
        <w:rPr>
          <w:color w:val="3A3838"/>
          <w:w w:val="110"/>
          <w:sz w:val="21"/>
        </w:rPr>
        <w:t>the</w:t>
      </w:r>
      <w:r>
        <w:rPr>
          <w:color w:val="3A3838"/>
          <w:spacing w:val="39"/>
          <w:w w:val="110"/>
          <w:sz w:val="21"/>
        </w:rPr>
        <w:t> </w:t>
      </w:r>
      <w:r>
        <w:rPr>
          <w:color w:val="3A3838"/>
          <w:w w:val="110"/>
          <w:sz w:val="21"/>
        </w:rPr>
        <w:t>timeliness</w:t>
      </w:r>
      <w:r>
        <w:rPr>
          <w:color w:val="3A3838"/>
          <w:spacing w:val="10"/>
          <w:w w:val="110"/>
          <w:sz w:val="21"/>
        </w:rPr>
        <w:t> </w:t>
      </w:r>
      <w:r>
        <w:rPr>
          <w:color w:val="3A3838"/>
          <w:w w:val="110"/>
          <w:sz w:val="21"/>
        </w:rPr>
        <w:t>of</w:t>
      </w:r>
      <w:r>
        <w:rPr>
          <w:color w:val="3A3838"/>
          <w:spacing w:val="35"/>
          <w:w w:val="110"/>
          <w:sz w:val="21"/>
        </w:rPr>
        <w:t> </w:t>
      </w:r>
      <w:r>
        <w:rPr>
          <w:color w:val="3A3838"/>
          <w:w w:val="110"/>
          <w:sz w:val="21"/>
        </w:rPr>
        <w:t>the</w:t>
      </w:r>
      <w:r>
        <w:rPr>
          <w:color w:val="3A3838"/>
          <w:spacing w:val="56"/>
          <w:w w:val="110"/>
          <w:sz w:val="21"/>
        </w:rPr>
        <w:t> </w:t>
      </w:r>
      <w:r>
        <w:rPr>
          <w:color w:val="3A3838"/>
          <w:w w:val="110"/>
          <w:sz w:val="21"/>
        </w:rPr>
        <w:t>appeal</w:t>
      </w:r>
      <w:r>
        <w:rPr>
          <w:color w:val="3A3838"/>
          <w:spacing w:val="16"/>
          <w:w w:val="110"/>
          <w:sz w:val="21"/>
        </w:rPr>
        <w:t> </w:t>
      </w:r>
      <w:r>
        <w:rPr>
          <w:color w:val="3A3838"/>
          <w:w w:val="110"/>
          <w:sz w:val="21"/>
        </w:rPr>
        <w:t>or</w:t>
      </w:r>
      <w:r>
        <w:rPr>
          <w:color w:val="3A3838"/>
          <w:spacing w:val="26"/>
          <w:w w:val="110"/>
          <w:sz w:val="21"/>
        </w:rPr>
        <w:t> </w:t>
      </w:r>
      <w:r>
        <w:rPr>
          <w:color w:val="3A3838"/>
          <w:w w:val="110"/>
          <w:sz w:val="21"/>
        </w:rPr>
        <w:t>petition</w:t>
      </w:r>
    </w:p>
    <w:p>
      <w:pPr>
        <w:spacing w:line="241" w:lineRule="exact" w:before="0"/>
        <w:ind w:left="616" w:right="0" w:firstLine="0"/>
        <w:jc w:val="both"/>
        <w:rPr>
          <w:sz w:val="21"/>
        </w:rPr>
      </w:pPr>
      <w:r>
        <w:rPr>
          <w:color w:val="3A3838"/>
          <w:w w:val="105"/>
          <w:sz w:val="21"/>
        </w:rPr>
        <w:t>for</w:t>
      </w:r>
      <w:r>
        <w:rPr>
          <w:color w:val="3A3838"/>
          <w:spacing w:val="-8"/>
          <w:w w:val="105"/>
          <w:sz w:val="21"/>
        </w:rPr>
        <w:t> </w:t>
      </w:r>
      <w:r>
        <w:rPr>
          <w:color w:val="3A3838"/>
          <w:w w:val="105"/>
          <w:sz w:val="21"/>
        </w:rPr>
        <w:t>review;</w:t>
      </w:r>
      <w:r>
        <w:rPr>
          <w:color w:val="3A3838"/>
          <w:spacing w:val="-11"/>
          <w:w w:val="105"/>
          <w:sz w:val="21"/>
        </w:rPr>
        <w:t> </w:t>
      </w:r>
      <w:r>
        <w:rPr>
          <w:color w:val="3A3838"/>
          <w:w w:val="105"/>
          <w:sz w:val="21"/>
        </w:rPr>
        <w:t>and</w:t>
      </w:r>
    </w:p>
    <w:p>
      <w:pPr>
        <w:pStyle w:val="ListParagraph"/>
        <w:numPr>
          <w:ilvl w:val="3"/>
          <w:numId w:val="62"/>
        </w:numPr>
        <w:tabs>
          <w:tab w:pos="1312" w:val="left" w:leader="none"/>
        </w:tabs>
        <w:spacing w:line="230" w:lineRule="auto" w:before="0" w:after="0"/>
        <w:ind w:left="634" w:right="153" w:firstLine="347"/>
        <w:jc w:val="both"/>
        <w:rPr>
          <w:color w:val="3A3838"/>
          <w:sz w:val="21"/>
        </w:rPr>
      </w:pPr>
      <w:r>
        <w:rPr>
          <w:color w:val="3A3838"/>
          <w:w w:val="110"/>
          <w:sz w:val="21"/>
        </w:rPr>
        <w:t>an assertion that theappeal is from a final order or judgment that dis­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poses of all parties' claims, or information establishing the court of appeals'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jurisdiction</w:t>
      </w:r>
      <w:r>
        <w:rPr>
          <w:color w:val="3A3838"/>
          <w:spacing w:val="10"/>
          <w:w w:val="110"/>
          <w:sz w:val="21"/>
        </w:rPr>
        <w:t> </w:t>
      </w:r>
      <w:r>
        <w:rPr>
          <w:color w:val="3A3838"/>
          <w:w w:val="110"/>
          <w:sz w:val="21"/>
        </w:rPr>
        <w:t>on</w:t>
      </w:r>
      <w:r>
        <w:rPr>
          <w:color w:val="3A3838"/>
          <w:spacing w:val="26"/>
          <w:w w:val="110"/>
          <w:sz w:val="21"/>
        </w:rPr>
        <w:t> </w:t>
      </w:r>
      <w:r>
        <w:rPr>
          <w:color w:val="3A3838"/>
          <w:w w:val="110"/>
          <w:sz w:val="21"/>
        </w:rPr>
        <w:t>some</w:t>
      </w:r>
      <w:r>
        <w:rPr>
          <w:color w:val="3A3838"/>
          <w:spacing w:val="-8"/>
          <w:w w:val="110"/>
          <w:sz w:val="21"/>
        </w:rPr>
        <w:t> </w:t>
      </w:r>
      <w:r>
        <w:rPr>
          <w:color w:val="3A3838"/>
          <w:w w:val="110"/>
          <w:sz w:val="21"/>
        </w:rPr>
        <w:t>other</w:t>
      </w:r>
      <w:r>
        <w:rPr>
          <w:color w:val="3A3838"/>
          <w:spacing w:val="8"/>
          <w:w w:val="110"/>
          <w:sz w:val="21"/>
        </w:rPr>
        <w:t> </w:t>
      </w:r>
      <w:r>
        <w:rPr>
          <w:color w:val="3A3838"/>
          <w:w w:val="110"/>
          <w:sz w:val="21"/>
        </w:rPr>
        <w:t>basis.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32"/>
        </w:rPr>
      </w:pPr>
    </w:p>
    <w:p>
      <w:pPr>
        <w:spacing w:before="0"/>
        <w:ind w:left="515" w:right="0" w:firstLine="0"/>
        <w:jc w:val="left"/>
        <w:rPr>
          <w:sz w:val="20"/>
        </w:rPr>
      </w:pPr>
      <w:r>
        <w:rPr>
          <w:color w:val="4B4B4D"/>
          <w:w w:val="110"/>
          <w:position w:val="4"/>
          <w:sz w:val="11"/>
        </w:rPr>
        <w:t>1</w:t>
      </w:r>
      <w:r>
        <w:rPr>
          <w:color w:val="4B4B4D"/>
          <w:w w:val="110"/>
          <w:sz w:val="20"/>
        </w:rPr>
        <w:t>•see</w:t>
      </w:r>
      <w:r>
        <w:rPr>
          <w:color w:val="4B4B4D"/>
          <w:spacing w:val="-11"/>
          <w:w w:val="110"/>
          <w:sz w:val="20"/>
        </w:rPr>
        <w:t> </w:t>
      </w:r>
      <w:r>
        <w:rPr>
          <w:color w:val="3A3838"/>
          <w:w w:val="110"/>
          <w:sz w:val="18"/>
        </w:rPr>
        <w:t>the</w:t>
      </w:r>
      <w:r>
        <w:rPr>
          <w:color w:val="3A3838"/>
          <w:spacing w:val="46"/>
          <w:w w:val="110"/>
          <w:sz w:val="18"/>
        </w:rPr>
        <w:t> </w:t>
      </w:r>
      <w:r>
        <w:rPr>
          <w:color w:val="3A3838"/>
          <w:w w:val="110"/>
          <w:sz w:val="18"/>
        </w:rPr>
        <w:t>sample</w:t>
      </w:r>
      <w:r>
        <w:rPr>
          <w:color w:val="3A3838"/>
          <w:spacing w:val="4"/>
          <w:w w:val="110"/>
          <w:sz w:val="18"/>
        </w:rPr>
        <w:t> </w:t>
      </w:r>
      <w:r>
        <w:rPr>
          <w:color w:val="3A3838"/>
          <w:w w:val="110"/>
          <w:sz w:val="18"/>
        </w:rPr>
        <w:t>appellate</w:t>
      </w:r>
      <w:r>
        <w:rPr>
          <w:color w:val="3A3838"/>
          <w:spacing w:val="9"/>
          <w:w w:val="110"/>
          <w:sz w:val="18"/>
        </w:rPr>
        <w:t> </w:t>
      </w:r>
      <w:r>
        <w:rPr>
          <w:color w:val="3A3838"/>
          <w:w w:val="110"/>
          <w:sz w:val="18"/>
        </w:rPr>
        <w:t>briefs</w:t>
      </w:r>
      <w:r>
        <w:rPr>
          <w:color w:val="3A3838"/>
          <w:spacing w:val="4"/>
          <w:w w:val="110"/>
          <w:sz w:val="18"/>
        </w:rPr>
        <w:t> </w:t>
      </w:r>
      <w:r>
        <w:rPr>
          <w:color w:val="3A3838"/>
          <w:w w:val="110"/>
          <w:sz w:val="18"/>
        </w:rPr>
        <w:t>In</w:t>
      </w:r>
      <w:r>
        <w:rPr>
          <w:color w:val="3A3838"/>
          <w:spacing w:val="21"/>
          <w:w w:val="110"/>
          <w:sz w:val="18"/>
        </w:rPr>
        <w:t> </w:t>
      </w:r>
      <w:r>
        <w:rPr>
          <w:color w:val="3A3838"/>
          <w:w w:val="110"/>
          <w:sz w:val="18"/>
        </w:rPr>
        <w:t>Appendix</w:t>
      </w:r>
      <w:r>
        <w:rPr>
          <w:color w:val="3A3838"/>
          <w:spacing w:val="7"/>
          <w:w w:val="110"/>
          <w:sz w:val="18"/>
        </w:rPr>
        <w:t> </w:t>
      </w:r>
      <w:r>
        <w:rPr>
          <w:color w:val="4B4B4D"/>
          <w:w w:val="110"/>
          <w:sz w:val="18"/>
        </w:rPr>
        <w:t>C,</w:t>
      </w:r>
      <w:r>
        <w:rPr>
          <w:color w:val="4B4B4D"/>
          <w:spacing w:val="7"/>
          <w:w w:val="110"/>
          <w:sz w:val="18"/>
        </w:rPr>
        <w:t> </w:t>
      </w:r>
      <w:r>
        <w:rPr>
          <w:color w:val="4B4B4D"/>
          <w:w w:val="110"/>
          <w:sz w:val="18"/>
        </w:rPr>
        <w:t>at</w:t>
      </w:r>
      <w:r>
        <w:rPr>
          <w:color w:val="4B4B4D"/>
          <w:spacing w:val="23"/>
          <w:w w:val="110"/>
          <w:sz w:val="18"/>
        </w:rPr>
        <w:t> </w:t>
      </w:r>
      <w:r>
        <w:rPr>
          <w:color w:val="3A3838"/>
          <w:w w:val="110"/>
          <w:sz w:val="18"/>
        </w:rPr>
        <w:t>page</w:t>
      </w:r>
      <w:r>
        <w:rPr>
          <w:color w:val="3A3838"/>
          <w:spacing w:val="4"/>
          <w:w w:val="110"/>
          <w:sz w:val="18"/>
        </w:rPr>
        <w:t> </w:t>
      </w:r>
      <w:r>
        <w:rPr>
          <w:color w:val="3A3838"/>
          <w:w w:val="110"/>
          <w:sz w:val="18"/>
        </w:rPr>
        <w:t>1,</w:t>
      </w:r>
      <w:r>
        <w:rPr>
          <w:color w:val="3A3838"/>
          <w:spacing w:val="6"/>
          <w:w w:val="110"/>
          <w:sz w:val="18"/>
        </w:rPr>
        <w:t> </w:t>
      </w:r>
      <w:r>
        <w:rPr>
          <w:color w:val="3A3838"/>
          <w:w w:val="110"/>
          <w:sz w:val="18"/>
        </w:rPr>
        <w:t>for</w:t>
      </w:r>
      <w:r>
        <w:rPr>
          <w:color w:val="3A3838"/>
          <w:spacing w:val="-4"/>
          <w:w w:val="110"/>
          <w:sz w:val="18"/>
        </w:rPr>
        <w:t> </w:t>
      </w:r>
      <w:r>
        <w:rPr>
          <w:color w:val="4B4B4D"/>
          <w:w w:val="110"/>
          <w:sz w:val="18"/>
        </w:rPr>
        <w:t>an</w:t>
      </w:r>
      <w:r>
        <w:rPr>
          <w:color w:val="4B4B4D"/>
          <w:spacing w:val="30"/>
          <w:w w:val="110"/>
          <w:sz w:val="18"/>
        </w:rPr>
        <w:t> </w:t>
      </w:r>
      <w:r>
        <w:rPr>
          <w:color w:val="3A3838"/>
          <w:w w:val="110"/>
          <w:sz w:val="18"/>
        </w:rPr>
        <w:t>example</w:t>
      </w:r>
      <w:r>
        <w:rPr>
          <w:color w:val="3A3838"/>
          <w:spacing w:val="2"/>
          <w:w w:val="110"/>
          <w:sz w:val="18"/>
        </w:rPr>
        <w:t> </w:t>
      </w:r>
      <w:r>
        <w:rPr>
          <w:color w:val="3A3838"/>
          <w:w w:val="110"/>
          <w:sz w:val="18"/>
        </w:rPr>
        <w:t>of</w:t>
      </w:r>
      <w:r>
        <w:rPr>
          <w:color w:val="3A3838"/>
          <w:spacing w:val="16"/>
          <w:w w:val="110"/>
          <w:sz w:val="18"/>
        </w:rPr>
        <w:t> </w:t>
      </w:r>
      <w:r>
        <w:rPr>
          <w:color w:val="3A3838"/>
          <w:w w:val="110"/>
          <w:sz w:val="18"/>
        </w:rPr>
        <w:t>this</w:t>
      </w:r>
      <w:r>
        <w:rPr>
          <w:color w:val="3A3838"/>
          <w:spacing w:val="2"/>
          <w:w w:val="110"/>
          <w:sz w:val="18"/>
        </w:rPr>
        <w:t> </w:t>
      </w:r>
      <w:r>
        <w:rPr>
          <w:color w:val="3A3838"/>
          <w:w w:val="110"/>
          <w:sz w:val="18"/>
        </w:rPr>
        <w:t>type</w:t>
      </w:r>
      <w:r>
        <w:rPr>
          <w:color w:val="3A3838"/>
          <w:spacing w:val="-9"/>
          <w:w w:val="110"/>
          <w:sz w:val="18"/>
        </w:rPr>
        <w:t> </w:t>
      </w:r>
      <w:r>
        <w:rPr>
          <w:color w:val="3A3838"/>
          <w:w w:val="110"/>
          <w:sz w:val="20"/>
        </w:rPr>
        <w:t>of</w:t>
      </w:r>
    </w:p>
    <w:p>
      <w:pPr>
        <w:spacing w:line="190" w:lineRule="exact" w:before="10"/>
        <w:ind w:left="195" w:right="0" w:firstLine="0"/>
        <w:jc w:val="left"/>
        <w:rPr>
          <w:sz w:val="18"/>
        </w:rPr>
      </w:pPr>
      <w:r>
        <w:rPr>
          <w:color w:val="3A3838"/>
          <w:w w:val="105"/>
          <w:sz w:val="18"/>
        </w:rPr>
        <w:t>Internal</w:t>
      </w:r>
      <w:r>
        <w:rPr>
          <w:color w:val="3A3838"/>
          <w:spacing w:val="-10"/>
          <w:w w:val="105"/>
          <w:sz w:val="18"/>
        </w:rPr>
        <w:t> </w:t>
      </w:r>
      <w:r>
        <w:rPr>
          <w:color w:val="3A3838"/>
          <w:w w:val="105"/>
          <w:sz w:val="18"/>
        </w:rPr>
        <w:t>caption.</w:t>
      </w:r>
    </w:p>
    <w:p>
      <w:pPr>
        <w:tabs>
          <w:tab w:pos="7625" w:val="left" w:leader="none"/>
        </w:tabs>
        <w:spacing w:line="223" w:lineRule="auto" w:before="0"/>
        <w:ind w:left="193" w:right="203" w:firstLine="332"/>
        <w:jc w:val="left"/>
        <w:rPr>
          <w:b/>
          <w:sz w:val="18"/>
        </w:rPr>
      </w:pPr>
      <w:r>
        <w:rPr>
          <w:color w:val="3A3838"/>
          <w:w w:val="110"/>
          <w:sz w:val="18"/>
        </w:rPr>
        <w:t>"See the</w:t>
      </w:r>
      <w:r>
        <w:rPr>
          <w:color w:val="3A3838"/>
          <w:spacing w:val="1"/>
          <w:w w:val="110"/>
          <w:sz w:val="18"/>
        </w:rPr>
        <w:t> </w:t>
      </w:r>
      <w:r>
        <w:rPr>
          <w:color w:val="4B4B4D"/>
          <w:w w:val="110"/>
          <w:sz w:val="18"/>
        </w:rPr>
        <w:t>jurlsdlctlonal </w:t>
      </w:r>
      <w:r>
        <w:rPr>
          <w:color w:val="3A3838"/>
          <w:w w:val="110"/>
          <w:sz w:val="18"/>
        </w:rPr>
        <w:t>statement</w:t>
      </w:r>
      <w:r>
        <w:rPr>
          <w:color w:val="3A3838"/>
          <w:spacing w:val="1"/>
          <w:w w:val="110"/>
          <w:sz w:val="18"/>
        </w:rPr>
        <w:t> </w:t>
      </w:r>
      <w:r>
        <w:rPr>
          <w:color w:val="3A3838"/>
          <w:w w:val="110"/>
          <w:sz w:val="18"/>
        </w:rPr>
        <w:t>In the </w:t>
      </w:r>
      <w:r>
        <w:rPr>
          <w:color w:val="4B4B4D"/>
          <w:w w:val="110"/>
          <w:sz w:val="18"/>
        </w:rPr>
        <w:t>sample </w:t>
      </w:r>
      <w:r>
        <w:rPr>
          <w:color w:val="3A3838"/>
          <w:w w:val="110"/>
          <w:sz w:val="18"/>
        </w:rPr>
        <w:t>briefs In</w:t>
      </w:r>
      <w:r>
        <w:rPr>
          <w:color w:val="3A3838"/>
          <w:spacing w:val="1"/>
          <w:w w:val="110"/>
          <w:sz w:val="18"/>
        </w:rPr>
        <w:t> </w:t>
      </w:r>
      <w:r>
        <w:rPr>
          <w:color w:val="3A3838"/>
          <w:w w:val="110"/>
          <w:sz w:val="18"/>
        </w:rPr>
        <w:t>Appendix</w:t>
      </w:r>
      <w:r>
        <w:rPr>
          <w:color w:val="3A3838"/>
          <w:spacing w:val="1"/>
          <w:w w:val="110"/>
          <w:sz w:val="18"/>
        </w:rPr>
        <w:t> </w:t>
      </w:r>
      <w:r>
        <w:rPr>
          <w:color w:val="3A3838"/>
          <w:w w:val="110"/>
          <w:sz w:val="18"/>
        </w:rPr>
        <w:t>C, and</w:t>
      </w:r>
      <w:r>
        <w:rPr>
          <w:color w:val="3A3838"/>
          <w:spacing w:val="1"/>
          <w:w w:val="110"/>
          <w:sz w:val="18"/>
        </w:rPr>
        <w:t> </w:t>
      </w:r>
      <w:r>
        <w:rPr>
          <w:color w:val="3A3838"/>
          <w:w w:val="110"/>
          <w:sz w:val="18"/>
        </w:rPr>
        <w:t>accompanyln</w:t>
      </w:r>
      <w:r>
        <w:rPr>
          <w:color w:val="3A3838"/>
          <w:spacing w:val="1"/>
          <w:w w:val="110"/>
          <w:sz w:val="18"/>
        </w:rPr>
        <w:t> </w:t>
      </w:r>
      <w:r>
        <w:rPr>
          <w:color w:val="3A3838"/>
          <w:w w:val="110"/>
          <w:sz w:val="18"/>
        </w:rPr>
        <w:t>annotation,</w:t>
      </w:r>
      <w:r>
        <w:rPr>
          <w:color w:val="3A3838"/>
          <w:spacing w:val="2"/>
          <w:w w:val="110"/>
          <w:sz w:val="18"/>
        </w:rPr>
        <w:t> </w:t>
      </w:r>
      <w:r>
        <w:rPr>
          <w:color w:val="3A3838"/>
          <w:w w:val="110"/>
          <w:sz w:val="18"/>
        </w:rPr>
        <w:t>for</w:t>
      </w:r>
      <w:r>
        <w:rPr>
          <w:color w:val="3A3838"/>
          <w:spacing w:val="8"/>
          <w:w w:val="110"/>
          <w:sz w:val="18"/>
        </w:rPr>
        <w:t> </w:t>
      </w:r>
      <w:r>
        <w:rPr>
          <w:color w:val="3A3838"/>
          <w:w w:val="110"/>
          <w:sz w:val="18"/>
        </w:rPr>
        <w:t>information</w:t>
      </w:r>
      <w:r>
        <w:rPr>
          <w:color w:val="3A3838"/>
          <w:spacing w:val="4"/>
          <w:w w:val="110"/>
          <w:sz w:val="18"/>
        </w:rPr>
        <w:t> </w:t>
      </w:r>
      <w:r>
        <w:rPr>
          <w:color w:val="3A3838"/>
          <w:w w:val="110"/>
          <w:sz w:val="18"/>
        </w:rPr>
        <w:t>about</w:t>
      </w:r>
      <w:r>
        <w:rPr>
          <w:color w:val="3A3838"/>
          <w:spacing w:val="11"/>
          <w:w w:val="110"/>
          <w:sz w:val="18"/>
        </w:rPr>
        <w:t> </w:t>
      </w:r>
      <w:r>
        <w:rPr>
          <w:color w:val="3A3838"/>
          <w:w w:val="110"/>
          <w:sz w:val="18"/>
        </w:rPr>
        <w:t>the</w:t>
      </w:r>
      <w:r>
        <w:rPr>
          <w:color w:val="3A3838"/>
          <w:spacing w:val="6"/>
          <w:w w:val="110"/>
          <w:sz w:val="18"/>
        </w:rPr>
        <w:t> </w:t>
      </w:r>
      <w:r>
        <w:rPr>
          <w:color w:val="3A3838"/>
          <w:w w:val="110"/>
          <w:sz w:val="18"/>
        </w:rPr>
        <w:t>most</w:t>
      </w:r>
      <w:r>
        <w:rPr>
          <w:color w:val="3A3838"/>
          <w:spacing w:val="-8"/>
          <w:w w:val="110"/>
          <w:sz w:val="18"/>
        </w:rPr>
        <w:t> </w:t>
      </w:r>
      <w:r>
        <w:rPr>
          <w:color w:val="4B4B4D"/>
          <w:w w:val="110"/>
          <w:sz w:val="18"/>
        </w:rPr>
        <w:t>common</w:t>
      </w:r>
      <w:r>
        <w:rPr>
          <w:color w:val="4B4B4D"/>
          <w:spacing w:val="16"/>
          <w:w w:val="110"/>
          <w:sz w:val="18"/>
        </w:rPr>
        <w:t> </w:t>
      </w:r>
      <w:r>
        <w:rPr>
          <w:color w:val="3A3838"/>
          <w:w w:val="110"/>
          <w:sz w:val="18"/>
        </w:rPr>
        <w:t>relevant</w:t>
      </w:r>
      <w:r>
        <w:rPr>
          <w:color w:val="3A3838"/>
          <w:spacing w:val="-3"/>
          <w:w w:val="110"/>
          <w:sz w:val="18"/>
        </w:rPr>
        <w:t> </w:t>
      </w:r>
      <w:r>
        <w:rPr>
          <w:color w:val="3A3838"/>
          <w:w w:val="110"/>
          <w:sz w:val="18"/>
        </w:rPr>
        <w:t>statutes.</w:t>
        <w:tab/>
      </w:r>
      <w:r>
        <w:rPr>
          <w:b/>
          <w:color w:val="3A3838"/>
          <w:w w:val="95"/>
          <w:sz w:val="18"/>
        </w:rPr>
        <w:t>g</w:t>
      </w:r>
    </w:p>
    <w:p>
      <w:pPr>
        <w:spacing w:after="0" w:line="223" w:lineRule="auto"/>
        <w:jc w:val="left"/>
        <w:rPr>
          <w:sz w:val="18"/>
        </w:rPr>
        <w:sectPr>
          <w:pgSz w:w="9500" w:h="13710"/>
          <w:pgMar w:header="433" w:footer="0" w:top="1000" w:bottom="0" w:left="340" w:right="1240"/>
        </w:sectPr>
      </w:pPr>
    </w:p>
    <w:p>
      <w:pPr>
        <w:pStyle w:val="BodyText"/>
        <w:spacing w:line="235" w:lineRule="auto" w:before="85"/>
        <w:ind w:left="966" w:right="73" w:hanging="17"/>
        <w:jc w:val="both"/>
      </w:pPr>
      <w:r>
        <w:rPr>
          <w:color w:val="383636"/>
          <w:w w:val="105"/>
        </w:rPr>
        <w:t>JurisdictionaJ issues can be raised for the first time at any point in the pro­</w:t>
      </w:r>
      <w:r>
        <w:rPr>
          <w:color w:val="383636"/>
          <w:spacing w:val="1"/>
          <w:w w:val="105"/>
        </w:rPr>
        <w:t> </w:t>
      </w:r>
      <w:r>
        <w:rPr>
          <w:color w:val="494849"/>
          <w:w w:val="105"/>
        </w:rPr>
        <w:t>ceedings; </w:t>
      </w:r>
      <w:r>
        <w:rPr>
          <w:color w:val="383636"/>
          <w:w w:val="105"/>
        </w:rPr>
        <w:t>thus, </w:t>
      </w:r>
      <w:r>
        <w:rPr>
          <w:color w:val="383636"/>
          <w:w w:val="105"/>
          <w:sz w:val="20"/>
        </w:rPr>
        <w:t>in</w:t>
      </w:r>
      <w:r>
        <w:rPr>
          <w:color w:val="383636"/>
          <w:spacing w:val="1"/>
          <w:w w:val="105"/>
          <w:sz w:val="20"/>
        </w:rPr>
        <w:t> </w:t>
      </w:r>
      <w:r>
        <w:rPr>
          <w:color w:val="383636"/>
          <w:w w:val="105"/>
        </w:rPr>
        <w:t>practice, be sure that you understand the court's juris­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diction</w:t>
      </w:r>
      <w:r>
        <w:rPr>
          <w:color w:val="383636"/>
          <w:spacing w:val="-1"/>
          <w:w w:val="105"/>
        </w:rPr>
        <w:t> </w:t>
      </w:r>
      <w:r>
        <w:rPr>
          <w:color w:val="383636"/>
          <w:w w:val="105"/>
        </w:rPr>
        <w:t>in</w:t>
      </w:r>
      <w:r>
        <w:rPr>
          <w:color w:val="383636"/>
          <w:spacing w:val="11"/>
          <w:w w:val="105"/>
        </w:rPr>
        <w:t> </w:t>
      </w:r>
      <w:r>
        <w:rPr>
          <w:color w:val="383636"/>
          <w:w w:val="105"/>
        </w:rPr>
        <w:t>your</w:t>
      </w:r>
      <w:r>
        <w:rPr>
          <w:color w:val="383636"/>
          <w:spacing w:val="-7"/>
          <w:w w:val="105"/>
        </w:rPr>
        <w:t> </w:t>
      </w:r>
      <w:r>
        <w:rPr>
          <w:i/>
          <w:color w:val="383636"/>
          <w:w w:val="105"/>
        </w:rPr>
        <w:t>client's</w:t>
      </w:r>
      <w:r>
        <w:rPr>
          <w:i/>
          <w:color w:val="383636"/>
          <w:spacing w:val="-17"/>
          <w:w w:val="105"/>
        </w:rPr>
        <w:t> </w:t>
      </w:r>
      <w:r>
        <w:rPr>
          <w:color w:val="383636"/>
          <w:w w:val="105"/>
        </w:rPr>
        <w:t>case.</w:t>
      </w:r>
    </w:p>
    <w:p>
      <w:pPr>
        <w:pStyle w:val="BodyText"/>
        <w:spacing w:before="2"/>
        <w:rPr>
          <w:sz w:val="34"/>
        </w:rPr>
      </w:pPr>
    </w:p>
    <w:p>
      <w:pPr>
        <w:spacing w:before="0"/>
        <w:ind w:left="132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83636"/>
          <w:sz w:val="28"/>
        </w:rPr>
        <w:t>8.4</w:t>
      </w:r>
      <w:r>
        <w:rPr>
          <w:rFonts w:ascii="Arial"/>
          <w:b/>
          <w:color w:val="5B5B5D"/>
          <w:sz w:val="28"/>
        </w:rPr>
        <w:t>.</w:t>
      </w:r>
      <w:r>
        <w:rPr>
          <w:rFonts w:ascii="Arial"/>
          <w:b/>
          <w:color w:val="383636"/>
          <w:sz w:val="28"/>
        </w:rPr>
        <w:t>8</w:t>
      </w:r>
    </w:p>
    <w:p>
      <w:pPr>
        <w:spacing w:before="43"/>
        <w:ind w:left="1316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color w:val="383636"/>
          <w:sz w:val="21"/>
        </w:rPr>
        <w:t>RELEVANT</w:t>
      </w:r>
      <w:r>
        <w:rPr>
          <w:rFonts w:ascii="Arial"/>
          <w:b/>
          <w:color w:val="383636"/>
          <w:spacing w:val="-7"/>
          <w:sz w:val="21"/>
        </w:rPr>
        <w:t> </w:t>
      </w:r>
      <w:r>
        <w:rPr>
          <w:rFonts w:ascii="Arial"/>
          <w:b/>
          <w:color w:val="383636"/>
          <w:sz w:val="21"/>
        </w:rPr>
        <w:t>ENACTED</w:t>
      </w:r>
      <w:r>
        <w:rPr>
          <w:rFonts w:ascii="Arial"/>
          <w:b/>
          <w:color w:val="383636"/>
          <w:spacing w:val="12"/>
          <w:sz w:val="21"/>
        </w:rPr>
        <w:t> </w:t>
      </w:r>
      <w:r>
        <w:rPr>
          <w:rFonts w:ascii="Arial"/>
          <w:b/>
          <w:color w:val="383636"/>
          <w:sz w:val="21"/>
        </w:rPr>
        <w:t>LAW</w:t>
      </w:r>
    </w:p>
    <w:p>
      <w:pPr>
        <w:pStyle w:val="BodyText"/>
        <w:spacing w:line="235" w:lineRule="auto" w:before="140"/>
        <w:ind w:left="851" w:right="116" w:firstLine="428"/>
        <w:jc w:val="both"/>
      </w:pPr>
      <w:r>
        <w:rPr>
          <w:color w:val="383636"/>
          <w:w w:val="110"/>
        </w:rPr>
        <w:t>Rule 24.l(f) requires the attorney to set </w:t>
      </w:r>
      <w:r>
        <w:rPr>
          <w:color w:val="494849"/>
          <w:w w:val="130"/>
        </w:rPr>
        <w:t>out- </w:t>
      </w:r>
      <w:r>
        <w:rPr>
          <w:color w:val="383636"/>
          <w:w w:val="110"/>
        </w:rPr>
        <w:t>"verbatim with appro­</w:t>
      </w:r>
      <w:r>
        <w:rPr>
          <w:color w:val="383636"/>
          <w:spacing w:val="1"/>
          <w:w w:val="110"/>
        </w:rPr>
        <w:t> </w:t>
      </w:r>
      <w:r>
        <w:rPr>
          <w:color w:val="383636"/>
          <w:spacing w:val="-1"/>
          <w:w w:val="110"/>
        </w:rPr>
        <w:t>priate citation" </w:t>
      </w:r>
      <w:r>
        <w:rPr>
          <w:color w:val="494849"/>
          <w:spacing w:val="-1"/>
          <w:w w:val="130"/>
        </w:rPr>
        <w:t>-the </w:t>
      </w:r>
      <w:r>
        <w:rPr>
          <w:color w:val="383636"/>
          <w:spacing w:val="-1"/>
          <w:w w:val="110"/>
        </w:rPr>
        <w:t>constitutional </w:t>
      </w:r>
      <w:r>
        <w:rPr>
          <w:color w:val="383636"/>
          <w:w w:val="110"/>
        </w:rPr>
        <w:t>provisions, treaties, </w:t>
      </w:r>
      <w:r>
        <w:rPr>
          <w:b/>
          <w:color w:val="383636"/>
          <w:w w:val="110"/>
          <w:sz w:val="22"/>
        </w:rPr>
        <w:t>statutes, </w:t>
      </w:r>
      <w:r>
        <w:rPr>
          <w:color w:val="383636"/>
          <w:w w:val="110"/>
        </w:rPr>
        <w:t>regula­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tions, and ordinances (in that order) at issue in the case. Thus, this section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should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include only those statutes  or  other enacted  laws whose language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or application is in controversy. This section should not be used to reprint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any statute </w:t>
      </w:r>
      <w:r>
        <w:rPr>
          <w:i/>
          <w:color w:val="383636"/>
          <w:w w:val="105"/>
        </w:rPr>
        <w:t>cited </w:t>
      </w:r>
      <w:r>
        <w:rPr>
          <w:color w:val="383636"/>
          <w:w w:val="105"/>
        </w:rPr>
        <w:t>in the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brief. Rather, you should include statutes or other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enacted laws only if you are asking the court to interpret or apply them</w:t>
      </w:r>
      <w:r>
        <w:rPr>
          <w:color w:val="383636"/>
          <w:spacing w:val="1"/>
          <w:w w:val="110"/>
        </w:rPr>
        <w:t> </w:t>
      </w:r>
      <w:r>
        <w:rPr>
          <w:color w:val="383636"/>
          <w:spacing w:val="-1"/>
          <w:w w:val="110"/>
        </w:rPr>
        <w:t>(or</w:t>
      </w:r>
      <w:r>
        <w:rPr>
          <w:color w:val="383636"/>
          <w:spacing w:val="-21"/>
          <w:w w:val="110"/>
        </w:rPr>
        <w:t> </w:t>
      </w:r>
      <w:r>
        <w:rPr>
          <w:color w:val="383636"/>
          <w:spacing w:val="-1"/>
          <w:w w:val="110"/>
        </w:rPr>
        <w:t>not</w:t>
      </w:r>
      <w:r>
        <w:rPr>
          <w:color w:val="383636"/>
          <w:spacing w:val="-20"/>
          <w:w w:val="110"/>
        </w:rPr>
        <w:t> </w:t>
      </w:r>
      <w:r>
        <w:rPr>
          <w:color w:val="383636"/>
          <w:spacing w:val="-1"/>
          <w:w w:val="110"/>
        </w:rPr>
        <w:t>to</w:t>
      </w:r>
      <w:r>
        <w:rPr>
          <w:color w:val="383636"/>
          <w:spacing w:val="-24"/>
          <w:w w:val="110"/>
        </w:rPr>
        <w:t> </w:t>
      </w:r>
      <w:r>
        <w:rPr>
          <w:color w:val="383636"/>
          <w:spacing w:val="-1"/>
          <w:w w:val="110"/>
        </w:rPr>
        <w:t>apply</w:t>
      </w:r>
      <w:r>
        <w:rPr>
          <w:color w:val="383636"/>
          <w:spacing w:val="-18"/>
          <w:w w:val="110"/>
        </w:rPr>
        <w:t> </w:t>
      </w:r>
      <w:r>
        <w:rPr>
          <w:color w:val="383636"/>
          <w:spacing w:val="-1"/>
          <w:w w:val="110"/>
        </w:rPr>
        <w:t>them)</w:t>
      </w:r>
      <w:r>
        <w:rPr>
          <w:color w:val="383636"/>
          <w:spacing w:val="-12"/>
          <w:w w:val="110"/>
        </w:rPr>
        <w:t> </w:t>
      </w:r>
      <w:r>
        <w:rPr>
          <w:color w:val="383636"/>
          <w:spacing w:val="-1"/>
          <w:w w:val="110"/>
        </w:rPr>
        <w:t>in</w:t>
      </w:r>
      <w:r>
        <w:rPr>
          <w:color w:val="383636"/>
          <w:spacing w:val="-5"/>
          <w:w w:val="110"/>
        </w:rPr>
        <w:t> </w:t>
      </w:r>
      <w:r>
        <w:rPr>
          <w:color w:val="383636"/>
          <w:w w:val="110"/>
        </w:rPr>
        <w:t>this</w:t>
      </w:r>
      <w:r>
        <w:rPr>
          <w:color w:val="383636"/>
          <w:spacing w:val="-25"/>
          <w:w w:val="110"/>
        </w:rPr>
        <w:t> </w:t>
      </w:r>
      <w:r>
        <w:rPr>
          <w:color w:val="383636"/>
          <w:w w:val="110"/>
        </w:rPr>
        <w:t>case.</w:t>
      </w:r>
      <w:r>
        <w:rPr>
          <w:color w:val="383636"/>
          <w:spacing w:val="-22"/>
          <w:w w:val="110"/>
        </w:rPr>
        <w:t> </w:t>
      </w:r>
      <w:r>
        <w:rPr>
          <w:color w:val="383636"/>
          <w:w w:val="110"/>
        </w:rPr>
        <w:t>Label</w:t>
      </w:r>
      <w:r>
        <w:rPr>
          <w:color w:val="383636"/>
          <w:spacing w:val="-14"/>
          <w:w w:val="110"/>
        </w:rPr>
        <w:t> </w:t>
      </w:r>
      <w:r>
        <w:rPr>
          <w:color w:val="383636"/>
          <w:w w:val="110"/>
        </w:rPr>
        <w:t>this</w:t>
      </w:r>
      <w:r>
        <w:rPr>
          <w:color w:val="383636"/>
          <w:spacing w:val="-36"/>
          <w:w w:val="110"/>
        </w:rPr>
        <w:t> </w:t>
      </w:r>
      <w:r>
        <w:rPr>
          <w:color w:val="383636"/>
          <w:w w:val="110"/>
        </w:rPr>
        <w:t>element</w:t>
      </w:r>
      <w:r>
        <w:rPr>
          <w:color w:val="383636"/>
          <w:spacing w:val="-15"/>
          <w:w w:val="110"/>
        </w:rPr>
        <w:t> </w:t>
      </w:r>
      <w:r>
        <w:rPr>
          <w:color w:val="383636"/>
          <w:w w:val="110"/>
        </w:rPr>
        <w:t>according</w:t>
      </w:r>
      <w:r>
        <w:rPr>
          <w:color w:val="383636"/>
          <w:spacing w:val="3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-2"/>
          <w:w w:val="110"/>
        </w:rPr>
        <w:t> </w:t>
      </w:r>
      <w:r>
        <w:rPr>
          <w:color w:val="383636"/>
          <w:w w:val="110"/>
        </w:rPr>
        <w:t>what</w:t>
      </w:r>
      <w:r>
        <w:rPr>
          <w:color w:val="383636"/>
          <w:spacing w:val="-23"/>
          <w:w w:val="110"/>
        </w:rPr>
        <w:t> </w:t>
      </w:r>
      <w:r>
        <w:rPr>
          <w:color w:val="383636"/>
          <w:w w:val="110"/>
        </w:rPr>
        <w:t>it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contains, e.g., "Relevant Constitutional Provisions" or "Relevant Statutesn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or</w:t>
      </w:r>
      <w:r>
        <w:rPr>
          <w:color w:val="383636"/>
          <w:spacing w:val="-11"/>
          <w:w w:val="105"/>
        </w:rPr>
        <w:t> </w:t>
      </w:r>
      <w:r>
        <w:rPr>
          <w:color w:val="494849"/>
          <w:w w:val="105"/>
        </w:rPr>
        <w:t>"Relevant</w:t>
      </w:r>
      <w:r>
        <w:rPr>
          <w:color w:val="494849"/>
          <w:spacing w:val="-3"/>
          <w:w w:val="105"/>
        </w:rPr>
        <w:t> </w:t>
      </w:r>
      <w:r>
        <w:rPr>
          <w:color w:val="383636"/>
          <w:w w:val="105"/>
        </w:rPr>
        <w:t>Constitutional</w:t>
      </w:r>
      <w:r>
        <w:rPr>
          <w:color w:val="383636"/>
          <w:spacing w:val="-14"/>
          <w:w w:val="105"/>
        </w:rPr>
        <w:t> </w:t>
      </w:r>
      <w:r>
        <w:rPr>
          <w:color w:val="383636"/>
          <w:w w:val="105"/>
        </w:rPr>
        <w:t>and</w:t>
      </w:r>
      <w:r>
        <w:rPr>
          <w:color w:val="383636"/>
          <w:spacing w:val="20"/>
          <w:w w:val="105"/>
        </w:rPr>
        <w:t> </w:t>
      </w:r>
      <w:r>
        <w:rPr>
          <w:color w:val="383636"/>
          <w:w w:val="105"/>
        </w:rPr>
        <w:t>Regulatory</w:t>
      </w:r>
      <w:r>
        <w:rPr>
          <w:color w:val="383636"/>
          <w:spacing w:val="4"/>
          <w:w w:val="105"/>
        </w:rPr>
        <w:t> </w:t>
      </w:r>
      <w:r>
        <w:rPr>
          <w:color w:val="383636"/>
          <w:w w:val="105"/>
        </w:rPr>
        <w:t>Provisions."</w:t>
      </w:r>
    </w:p>
    <w:p>
      <w:pPr>
        <w:pStyle w:val="BodyText"/>
        <w:spacing w:line="235" w:lineRule="auto"/>
        <w:ind w:left="803" w:right="152" w:firstLine="368"/>
        <w:jc w:val="both"/>
      </w:pPr>
      <w:r>
        <w:rPr>
          <w:color w:val="383636"/>
          <w:w w:val="110"/>
        </w:rPr>
        <w:t>If only one paragraph of a lengthy statute is in controversy, you can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quote only the pertinent part, but be generous: Do not quote merely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sentence at issue. In general, when excerpting enacted law in a section of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this type, you should quote at least a paragraph, and be sure to include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introductory material that provides sufficient context (e.g., "Section 125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05"/>
        </w:rPr>
        <w:t>defines</w:t>
      </w:r>
      <w:r>
        <w:rPr>
          <w:color w:val="383636"/>
          <w:spacing w:val="-4"/>
          <w:w w:val="105"/>
        </w:rPr>
        <w:t> </w:t>
      </w:r>
      <w:r>
        <w:rPr>
          <w:color w:val="494849"/>
          <w:w w:val="105"/>
        </w:rPr>
        <w:t>'stevedore,'</w:t>
      </w:r>
      <w:r>
        <w:rPr>
          <w:color w:val="494849"/>
          <w:spacing w:val="14"/>
          <w:w w:val="105"/>
        </w:rPr>
        <w:t> </w:t>
      </w:r>
      <w:r>
        <w:rPr>
          <w:color w:val="383636"/>
          <w:w w:val="105"/>
        </w:rPr>
        <w:t>and</w:t>
      </w:r>
      <w:r>
        <w:rPr>
          <w:color w:val="383636"/>
          <w:spacing w:val="37"/>
          <w:w w:val="105"/>
        </w:rPr>
        <w:t> </w:t>
      </w:r>
      <w:r>
        <w:rPr>
          <w:color w:val="383636"/>
          <w:w w:val="105"/>
        </w:rPr>
        <w:t>provides</w:t>
      </w:r>
      <w:r>
        <w:rPr>
          <w:color w:val="383636"/>
          <w:spacing w:val="11"/>
          <w:w w:val="105"/>
        </w:rPr>
        <w:t> </w:t>
      </w:r>
      <w:r>
        <w:rPr>
          <w:color w:val="383636"/>
          <w:w w:val="105"/>
        </w:rPr>
        <w:t>in</w:t>
      </w:r>
      <w:r>
        <w:rPr>
          <w:color w:val="383636"/>
          <w:spacing w:val="30"/>
          <w:w w:val="105"/>
        </w:rPr>
        <w:t> </w:t>
      </w:r>
      <w:r>
        <w:rPr>
          <w:color w:val="383636"/>
          <w:w w:val="105"/>
        </w:rPr>
        <w:t>pertinent</w:t>
      </w:r>
      <w:r>
        <w:rPr>
          <w:color w:val="383636"/>
          <w:spacing w:val="18"/>
          <w:w w:val="105"/>
        </w:rPr>
        <w:t> </w:t>
      </w:r>
      <w:r>
        <w:rPr>
          <w:color w:val="383636"/>
          <w:w w:val="105"/>
        </w:rPr>
        <w:t>part:</w:t>
      </w:r>
      <w:r>
        <w:rPr>
          <w:color w:val="383636"/>
          <w:spacing w:val="-19"/>
          <w:w w:val="105"/>
        </w:rPr>
        <w:t> </w:t>
      </w:r>
      <w:r>
        <w:rPr>
          <w:color w:val="383636"/>
          <w:w w:val="105"/>
        </w:rPr>
        <w:t>...</w:t>
      </w:r>
      <w:r>
        <w:rPr>
          <w:color w:val="383636"/>
          <w:spacing w:val="13"/>
          <w:w w:val="105"/>
        </w:rPr>
        <w:t> </w:t>
      </w:r>
      <w:r>
        <w:rPr>
          <w:color w:val="383636"/>
          <w:w w:val="105"/>
        </w:rPr>
        <w:t>").</w:t>
      </w:r>
    </w:p>
    <w:p>
      <w:pPr>
        <w:pStyle w:val="BodyText"/>
        <w:spacing w:line="244" w:lineRule="exact"/>
        <w:ind w:left="1143"/>
        <w:jc w:val="both"/>
      </w:pPr>
      <w:r>
        <w:rPr>
          <w:color w:val="383636"/>
          <w:w w:val="105"/>
          <w:sz w:val="22"/>
        </w:rPr>
        <w:t>If</w:t>
      </w:r>
      <w:r>
        <w:rPr>
          <w:color w:val="383636"/>
          <w:spacing w:val="21"/>
          <w:w w:val="105"/>
          <w:sz w:val="22"/>
        </w:rPr>
        <w:t> </w:t>
      </w:r>
      <w:r>
        <w:rPr>
          <w:color w:val="383636"/>
          <w:w w:val="105"/>
        </w:rPr>
        <w:t>printing</w:t>
      </w:r>
      <w:r>
        <w:rPr>
          <w:color w:val="383636"/>
          <w:spacing w:val="13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30"/>
          <w:w w:val="105"/>
        </w:rPr>
        <w:t> </w:t>
      </w:r>
      <w:r>
        <w:rPr>
          <w:color w:val="383636"/>
          <w:w w:val="105"/>
        </w:rPr>
        <w:t>entire</w:t>
      </w:r>
      <w:r>
        <w:rPr>
          <w:color w:val="383636"/>
          <w:spacing w:val="-1"/>
          <w:w w:val="105"/>
        </w:rPr>
        <w:t> </w:t>
      </w:r>
      <w:r>
        <w:rPr>
          <w:color w:val="383636"/>
          <w:w w:val="105"/>
        </w:rPr>
        <w:t>text</w:t>
      </w:r>
      <w:r>
        <w:rPr>
          <w:color w:val="383636"/>
          <w:spacing w:val="-3"/>
          <w:w w:val="105"/>
        </w:rPr>
        <w:t> </w:t>
      </w:r>
      <w:r>
        <w:rPr>
          <w:color w:val="383636"/>
          <w:w w:val="105"/>
        </w:rPr>
        <w:t>of</w:t>
      </w:r>
      <w:r>
        <w:rPr>
          <w:color w:val="383636"/>
          <w:spacing w:val="20"/>
          <w:w w:val="105"/>
        </w:rPr>
        <w:t> </w:t>
      </w:r>
      <w:r>
        <w:rPr>
          <w:color w:val="383636"/>
          <w:w w:val="105"/>
        </w:rPr>
        <w:t>the </w:t>
      </w:r>
      <w:r>
        <w:rPr>
          <w:color w:val="383636"/>
          <w:spacing w:val="6"/>
          <w:w w:val="105"/>
        </w:rPr>
        <w:t> </w:t>
      </w:r>
      <w:r>
        <w:rPr>
          <w:color w:val="383636"/>
          <w:w w:val="105"/>
        </w:rPr>
        <w:t>relevant</w:t>
      </w:r>
      <w:r>
        <w:rPr>
          <w:color w:val="383636"/>
          <w:spacing w:val="32"/>
          <w:w w:val="105"/>
        </w:rPr>
        <w:t> </w:t>
      </w:r>
      <w:r>
        <w:rPr>
          <w:color w:val="383636"/>
          <w:w w:val="105"/>
        </w:rPr>
        <w:t>provisions</w:t>
      </w:r>
      <w:r>
        <w:rPr>
          <w:color w:val="383636"/>
          <w:spacing w:val="24"/>
          <w:w w:val="105"/>
        </w:rPr>
        <w:t> </w:t>
      </w:r>
      <w:r>
        <w:rPr>
          <w:color w:val="383636"/>
          <w:w w:val="105"/>
        </w:rPr>
        <w:t>would</w:t>
      </w:r>
      <w:r>
        <w:rPr>
          <w:color w:val="383636"/>
          <w:spacing w:val="25"/>
          <w:w w:val="105"/>
        </w:rPr>
        <w:t> </w:t>
      </w:r>
      <w:r>
        <w:rPr>
          <w:color w:val="383636"/>
          <w:w w:val="105"/>
        </w:rPr>
        <w:t>take</w:t>
      </w:r>
      <w:r>
        <w:rPr>
          <w:color w:val="383636"/>
          <w:spacing w:val="12"/>
          <w:w w:val="105"/>
        </w:rPr>
        <w:t> </w:t>
      </w:r>
      <w:r>
        <w:rPr>
          <w:color w:val="383636"/>
          <w:w w:val="105"/>
        </w:rPr>
        <w:t>up</w:t>
      </w:r>
      <w:r>
        <w:rPr>
          <w:color w:val="383636"/>
          <w:spacing w:val="15"/>
          <w:w w:val="105"/>
        </w:rPr>
        <w:t> </w:t>
      </w:r>
      <w:r>
        <w:rPr>
          <w:color w:val="383636"/>
          <w:w w:val="105"/>
        </w:rPr>
        <w:t>too</w:t>
      </w:r>
    </w:p>
    <w:p>
      <w:pPr>
        <w:pStyle w:val="BodyText"/>
        <w:spacing w:line="235" w:lineRule="auto" w:before="1"/>
        <w:ind w:left="763" w:right="180" w:firstLine="16"/>
        <w:jc w:val="both"/>
      </w:pPr>
      <w:r>
        <w:rPr>
          <w:color w:val="383636"/>
          <w:w w:val="110"/>
        </w:rPr>
        <w:t>much space (more than a page), simply include the citations here and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explain</w:t>
      </w:r>
      <w:r>
        <w:rPr>
          <w:color w:val="383636"/>
          <w:spacing w:val="12"/>
          <w:w w:val="110"/>
        </w:rPr>
        <w:t> </w:t>
      </w:r>
      <w:r>
        <w:rPr>
          <w:color w:val="383636"/>
          <w:w w:val="110"/>
        </w:rPr>
        <w:t>that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-1"/>
          <w:w w:val="110"/>
        </w:rPr>
        <w:t> </w:t>
      </w:r>
      <w:r>
        <w:rPr>
          <w:color w:val="383636"/>
          <w:w w:val="110"/>
        </w:rPr>
        <w:t>full</w:t>
      </w:r>
      <w:r>
        <w:rPr>
          <w:color w:val="383636"/>
          <w:spacing w:val="-8"/>
          <w:w w:val="110"/>
        </w:rPr>
        <w:t> </w:t>
      </w:r>
      <w:r>
        <w:rPr>
          <w:color w:val="383636"/>
          <w:w w:val="110"/>
        </w:rPr>
        <w:t>text</w:t>
      </w:r>
      <w:r>
        <w:rPr>
          <w:color w:val="383636"/>
          <w:spacing w:val="-16"/>
          <w:w w:val="110"/>
        </w:rPr>
        <w:t> </w:t>
      </w:r>
      <w:r>
        <w:rPr>
          <w:color w:val="383636"/>
          <w:w w:val="110"/>
        </w:rPr>
        <w:t>is</w:t>
      </w:r>
      <w:r>
        <w:rPr>
          <w:color w:val="383636"/>
          <w:spacing w:val="-14"/>
          <w:w w:val="110"/>
        </w:rPr>
        <w:t> </w:t>
      </w:r>
      <w:r>
        <w:rPr>
          <w:color w:val="383636"/>
          <w:w w:val="110"/>
        </w:rPr>
        <w:t>reprinted</w:t>
      </w:r>
      <w:r>
        <w:rPr>
          <w:color w:val="383636"/>
          <w:spacing w:val="8"/>
          <w:w w:val="110"/>
        </w:rPr>
        <w:t> </w:t>
      </w:r>
      <w:r>
        <w:rPr>
          <w:color w:val="383636"/>
          <w:w w:val="110"/>
        </w:rPr>
        <w:t>in an</w:t>
      </w:r>
      <w:r>
        <w:rPr>
          <w:color w:val="383636"/>
          <w:spacing w:val="6"/>
          <w:w w:val="110"/>
        </w:rPr>
        <w:t> </w:t>
      </w:r>
      <w:r>
        <w:rPr>
          <w:color w:val="383636"/>
          <w:w w:val="110"/>
        </w:rPr>
        <w:t>appendix.</w:t>
      </w:r>
      <w:r>
        <w:rPr>
          <w:color w:val="383636"/>
          <w:w w:val="110"/>
          <w:vertAlign w:val="superscript"/>
        </w:rPr>
        <w:t>12</w:t>
      </w:r>
    </w:p>
    <w:p>
      <w:pPr>
        <w:pStyle w:val="BodyText"/>
        <w:spacing w:before="1"/>
        <w:rPr>
          <w:sz w:val="34"/>
        </w:rPr>
      </w:pPr>
    </w:p>
    <w:p>
      <w:pPr>
        <w:spacing w:before="0"/>
        <w:ind w:left="1108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83636"/>
          <w:w w:val="105"/>
          <w:sz w:val="28"/>
        </w:rPr>
        <w:t>8.4.9</w:t>
      </w:r>
    </w:p>
    <w:p>
      <w:pPr>
        <w:spacing w:before="52"/>
        <w:ind w:left="1112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color w:val="383636"/>
          <w:w w:val="105"/>
          <w:sz w:val="21"/>
        </w:rPr>
        <w:t>STANDARD</w:t>
      </w:r>
      <w:r>
        <w:rPr>
          <w:rFonts w:ascii="Arial"/>
          <w:b/>
          <w:color w:val="383636"/>
          <w:spacing w:val="9"/>
          <w:w w:val="105"/>
          <w:sz w:val="21"/>
        </w:rPr>
        <w:t> </w:t>
      </w:r>
      <w:r>
        <w:rPr>
          <w:rFonts w:ascii="Arial"/>
          <w:b/>
          <w:color w:val="383636"/>
          <w:w w:val="105"/>
          <w:sz w:val="21"/>
        </w:rPr>
        <w:t>OF</w:t>
      </w:r>
      <w:r>
        <w:rPr>
          <w:rFonts w:ascii="Arial"/>
          <w:b/>
          <w:color w:val="383636"/>
          <w:spacing w:val="-12"/>
          <w:w w:val="105"/>
          <w:sz w:val="21"/>
        </w:rPr>
        <w:t> </w:t>
      </w:r>
      <w:r>
        <w:rPr>
          <w:rFonts w:ascii="Arial"/>
          <w:b/>
          <w:color w:val="383636"/>
          <w:w w:val="105"/>
          <w:sz w:val="21"/>
        </w:rPr>
        <w:t>REVIEW</w:t>
      </w:r>
    </w:p>
    <w:p>
      <w:pPr>
        <w:pStyle w:val="BodyText"/>
        <w:spacing w:line="232" w:lineRule="auto" w:before="162"/>
        <w:ind w:left="622" w:right="191" w:firstLine="437"/>
        <w:jc w:val="both"/>
      </w:pPr>
      <w:r>
        <w:rPr>
          <w:color w:val="383636"/>
          <w:w w:val="110"/>
        </w:rPr>
        <w:t>As you read in Chapter Two, the standard of review is the framework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within which the court makes its decision. You must tell the court what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standard of review applies to any decision you are asking it to review. The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United</w:t>
      </w:r>
      <w:r>
        <w:rPr>
          <w:color w:val="383636"/>
          <w:spacing w:val="-13"/>
          <w:w w:val="110"/>
        </w:rPr>
        <w:t> </w:t>
      </w:r>
      <w:r>
        <w:rPr>
          <w:color w:val="383636"/>
          <w:w w:val="110"/>
        </w:rPr>
        <w:t>States</w:t>
      </w:r>
      <w:r>
        <w:rPr>
          <w:color w:val="383636"/>
          <w:spacing w:val="-36"/>
          <w:w w:val="110"/>
        </w:rPr>
        <w:t> </w:t>
      </w:r>
      <w:r>
        <w:rPr>
          <w:color w:val="383636"/>
          <w:w w:val="110"/>
        </w:rPr>
        <w:t>Supreme</w:t>
      </w:r>
      <w:r>
        <w:rPr>
          <w:color w:val="383636"/>
          <w:spacing w:val="-27"/>
          <w:w w:val="110"/>
        </w:rPr>
        <w:t> </w:t>
      </w:r>
      <w:r>
        <w:rPr>
          <w:color w:val="383636"/>
          <w:w w:val="110"/>
        </w:rPr>
        <w:t>Court</w:t>
      </w:r>
      <w:r>
        <w:rPr>
          <w:color w:val="383636"/>
          <w:spacing w:val="-17"/>
          <w:w w:val="110"/>
        </w:rPr>
        <w:t> </w:t>
      </w:r>
      <w:r>
        <w:rPr>
          <w:color w:val="383636"/>
          <w:w w:val="110"/>
        </w:rPr>
        <w:t>does</w:t>
      </w:r>
      <w:r>
        <w:rPr>
          <w:color w:val="383636"/>
          <w:spacing w:val="-25"/>
          <w:w w:val="110"/>
        </w:rPr>
        <w:t> </w:t>
      </w:r>
      <w:r>
        <w:rPr>
          <w:color w:val="383636"/>
          <w:w w:val="110"/>
        </w:rPr>
        <w:t>not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require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that</w:t>
      </w:r>
      <w:r>
        <w:rPr>
          <w:color w:val="383636"/>
          <w:spacing w:val="4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-19"/>
          <w:w w:val="110"/>
        </w:rPr>
        <w:t> </w:t>
      </w:r>
      <w:r>
        <w:rPr>
          <w:color w:val="383636"/>
          <w:w w:val="110"/>
        </w:rPr>
        <w:t>standard</w:t>
      </w:r>
      <w:r>
        <w:rPr>
          <w:color w:val="383636"/>
          <w:spacing w:val="16"/>
          <w:w w:val="110"/>
        </w:rPr>
        <w:t> </w:t>
      </w:r>
      <w:r>
        <w:rPr>
          <w:color w:val="383636"/>
          <w:w w:val="110"/>
        </w:rPr>
        <w:t>be</w:t>
      </w:r>
      <w:r>
        <w:rPr>
          <w:color w:val="383636"/>
          <w:spacing w:val="-14"/>
          <w:w w:val="110"/>
        </w:rPr>
        <w:t> </w:t>
      </w:r>
      <w:r>
        <w:rPr>
          <w:color w:val="383636"/>
          <w:w w:val="110"/>
        </w:rPr>
        <w:t>laid</w:t>
      </w:r>
      <w:r>
        <w:rPr>
          <w:color w:val="383636"/>
          <w:spacing w:val="-12"/>
          <w:w w:val="110"/>
        </w:rPr>
        <w:t> </w:t>
      </w:r>
      <w:r>
        <w:rPr>
          <w:color w:val="383636"/>
          <w:w w:val="110"/>
        </w:rPr>
        <w:t>out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-10"/>
          <w:w w:val="110"/>
        </w:rPr>
        <w:t> </w:t>
      </w:r>
      <w:r>
        <w:rPr>
          <w:rFonts w:ascii="Arial"/>
          <w:i/>
          <w:color w:val="383636"/>
          <w:w w:val="110"/>
          <w:sz w:val="20"/>
        </w:rPr>
        <w:t>a</w:t>
      </w:r>
      <w:r>
        <w:rPr>
          <w:rFonts w:ascii="Arial"/>
          <w:i/>
          <w:color w:val="383636"/>
          <w:spacing w:val="-15"/>
          <w:w w:val="110"/>
          <w:sz w:val="20"/>
        </w:rPr>
        <w:t> </w:t>
      </w:r>
      <w:r>
        <w:rPr>
          <w:color w:val="383636"/>
          <w:w w:val="110"/>
        </w:rPr>
        <w:t>separate</w:t>
      </w:r>
      <w:r>
        <w:rPr>
          <w:color w:val="383636"/>
          <w:spacing w:val="-26"/>
          <w:w w:val="110"/>
        </w:rPr>
        <w:t> </w:t>
      </w:r>
      <w:r>
        <w:rPr>
          <w:color w:val="494849"/>
          <w:w w:val="110"/>
        </w:rPr>
        <w:t>section,</w:t>
      </w:r>
      <w:r>
        <w:rPr>
          <w:color w:val="494849"/>
          <w:spacing w:val="-17"/>
          <w:w w:val="110"/>
        </w:rPr>
        <w:t> </w:t>
      </w:r>
      <w:r>
        <w:rPr>
          <w:color w:val="383636"/>
          <w:w w:val="110"/>
        </w:rPr>
        <w:t>but</w:t>
      </w:r>
      <w:r>
        <w:rPr>
          <w:color w:val="383636"/>
          <w:spacing w:val="-10"/>
          <w:w w:val="110"/>
        </w:rPr>
        <w:t> </w:t>
      </w:r>
      <w:r>
        <w:rPr>
          <w:color w:val="383636"/>
          <w:w w:val="110"/>
        </w:rPr>
        <w:t>some</w:t>
      </w:r>
      <w:r>
        <w:rPr>
          <w:color w:val="383636"/>
          <w:spacing w:val="-31"/>
          <w:w w:val="110"/>
        </w:rPr>
        <w:t> </w:t>
      </w:r>
      <w:r>
        <w:rPr>
          <w:color w:val="494849"/>
          <w:w w:val="110"/>
        </w:rPr>
        <w:t>courts</w:t>
      </w:r>
      <w:r>
        <w:rPr>
          <w:color w:val="494849"/>
          <w:spacing w:val="-21"/>
          <w:w w:val="110"/>
        </w:rPr>
        <w:t> </w:t>
      </w:r>
      <w:r>
        <w:rPr>
          <w:color w:val="494849"/>
          <w:w w:val="110"/>
        </w:rPr>
        <w:t>are</w:t>
      </w:r>
      <w:r>
        <w:rPr>
          <w:color w:val="494849"/>
          <w:spacing w:val="-17"/>
          <w:w w:val="110"/>
        </w:rPr>
        <w:t> </w:t>
      </w:r>
      <w:r>
        <w:rPr>
          <w:color w:val="383636"/>
          <w:w w:val="110"/>
        </w:rPr>
        <w:t>allowing</w:t>
      </w:r>
      <w:r>
        <w:rPr>
          <w:color w:val="383636"/>
          <w:spacing w:val="-19"/>
          <w:w w:val="110"/>
        </w:rPr>
        <w:t> </w:t>
      </w:r>
      <w:r>
        <w:rPr>
          <w:color w:val="383636"/>
          <w:w w:val="110"/>
        </w:rPr>
        <w:t>or</w:t>
      </w:r>
      <w:r>
        <w:rPr>
          <w:color w:val="383636"/>
          <w:spacing w:val="-6"/>
          <w:w w:val="110"/>
        </w:rPr>
        <w:t> </w:t>
      </w:r>
      <w:r>
        <w:rPr>
          <w:color w:val="383636"/>
          <w:w w:val="110"/>
        </w:rPr>
        <w:t>encouraging</w:t>
      </w:r>
      <w:r>
        <w:rPr>
          <w:color w:val="383636"/>
          <w:spacing w:val="-12"/>
          <w:w w:val="110"/>
        </w:rPr>
        <w:t> </w:t>
      </w:r>
      <w:r>
        <w:rPr>
          <w:color w:val="383636"/>
          <w:w w:val="110"/>
        </w:rPr>
        <w:t>this.</w:t>
      </w:r>
      <w:r>
        <w:rPr>
          <w:color w:val="383636"/>
          <w:spacing w:val="-29"/>
          <w:w w:val="110"/>
        </w:rPr>
        <w:t> </w:t>
      </w:r>
      <w:r>
        <w:rPr>
          <w:color w:val="383636"/>
          <w:w w:val="110"/>
        </w:rPr>
        <w:t>For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example, the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United States Court of Appeals for the Third Circuit, in Rule</w:t>
      </w:r>
      <w:r>
        <w:rPr>
          <w:color w:val="383636"/>
          <w:spacing w:val="1"/>
          <w:w w:val="105"/>
        </w:rPr>
        <w:t> </w:t>
      </w:r>
      <w:r>
        <w:rPr>
          <w:color w:val="383636"/>
          <w:spacing w:val="-1"/>
          <w:w w:val="110"/>
        </w:rPr>
        <w:t>28.1</w:t>
      </w:r>
      <w:r>
        <w:rPr>
          <w:color w:val="383636"/>
          <w:spacing w:val="-1"/>
          <w:w w:val="110"/>
          <w:sz w:val="21"/>
        </w:rPr>
        <w:t>(b),</w:t>
      </w:r>
      <w:r>
        <w:rPr>
          <w:color w:val="383636"/>
          <w:spacing w:val="-10"/>
          <w:w w:val="110"/>
          <w:sz w:val="21"/>
        </w:rPr>
        <w:t> </w:t>
      </w:r>
      <w:r>
        <w:rPr>
          <w:color w:val="383636"/>
          <w:spacing w:val="-1"/>
          <w:w w:val="110"/>
        </w:rPr>
        <w:t>requires</w:t>
      </w:r>
      <w:r>
        <w:rPr>
          <w:color w:val="383636"/>
          <w:spacing w:val="-18"/>
          <w:w w:val="110"/>
        </w:rPr>
        <w:t> </w:t>
      </w:r>
      <w:r>
        <w:rPr>
          <w:color w:val="383636"/>
          <w:spacing w:val="-1"/>
          <w:w w:val="110"/>
        </w:rPr>
        <w:t>counsel to</w:t>
      </w:r>
      <w:r>
        <w:rPr>
          <w:color w:val="383636"/>
          <w:spacing w:val="1"/>
          <w:w w:val="110"/>
        </w:rPr>
        <w:t> </w:t>
      </w:r>
      <w:r>
        <w:rPr>
          <w:color w:val="383636"/>
          <w:spacing w:val="-1"/>
          <w:w w:val="110"/>
        </w:rPr>
        <w:t>specifically identify</w:t>
      </w:r>
      <w:r>
        <w:rPr>
          <w:color w:val="383636"/>
          <w:spacing w:val="8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6"/>
          <w:w w:val="110"/>
        </w:rPr>
        <w:t> </w:t>
      </w:r>
      <w:r>
        <w:rPr>
          <w:color w:val="494849"/>
          <w:w w:val="110"/>
        </w:rPr>
        <w:t>standard</w:t>
      </w:r>
      <w:r>
        <w:rPr>
          <w:color w:val="494849"/>
          <w:spacing w:val="11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20"/>
          <w:w w:val="110"/>
        </w:rPr>
        <w:t> </w:t>
      </w:r>
      <w:r>
        <w:rPr>
          <w:color w:val="383636"/>
          <w:w w:val="110"/>
        </w:rPr>
        <w:t>review:</w:t>
      </w:r>
    </w:p>
    <w:p>
      <w:pPr>
        <w:pStyle w:val="ListParagraph"/>
        <w:numPr>
          <w:ilvl w:val="0"/>
          <w:numId w:val="72"/>
        </w:numPr>
        <w:tabs>
          <w:tab w:pos="1307" w:val="left" w:leader="none"/>
        </w:tabs>
        <w:spacing w:line="235" w:lineRule="auto" w:before="137" w:after="0"/>
        <w:ind w:left="938" w:right="553" w:firstLine="28"/>
        <w:jc w:val="both"/>
        <w:rPr>
          <w:color w:val="383636"/>
          <w:sz w:val="19"/>
        </w:rPr>
      </w:pPr>
      <w:r>
        <w:rPr>
          <w:color w:val="494849"/>
          <w:w w:val="110"/>
          <w:sz w:val="21"/>
        </w:rPr>
        <w:t>The</w:t>
      </w:r>
      <w:r>
        <w:rPr>
          <w:color w:val="494849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following statements should appear under a </w:t>
      </w:r>
      <w:r>
        <w:rPr>
          <w:color w:val="494849"/>
          <w:w w:val="110"/>
          <w:sz w:val="21"/>
        </w:rPr>
        <w:t>separate </w:t>
      </w:r>
      <w:r>
        <w:rPr>
          <w:color w:val="383636"/>
          <w:w w:val="110"/>
          <w:sz w:val="21"/>
        </w:rPr>
        <w:t>heading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placed before the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discussion of the  issue: the  statement of  the standard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or</w:t>
      </w:r>
      <w:r>
        <w:rPr>
          <w:color w:val="383636"/>
          <w:spacing w:val="9"/>
          <w:w w:val="110"/>
          <w:sz w:val="21"/>
        </w:rPr>
        <w:t> </w:t>
      </w:r>
      <w:r>
        <w:rPr>
          <w:color w:val="383636"/>
          <w:w w:val="110"/>
          <w:sz w:val="21"/>
        </w:rPr>
        <w:t>scope</w:t>
      </w:r>
      <w:r>
        <w:rPr>
          <w:color w:val="383636"/>
          <w:spacing w:val="3"/>
          <w:w w:val="110"/>
          <w:sz w:val="21"/>
        </w:rPr>
        <w:t> </w:t>
      </w:r>
      <w:r>
        <w:rPr>
          <w:color w:val="383636"/>
          <w:w w:val="110"/>
          <w:sz w:val="21"/>
        </w:rPr>
        <w:t>of</w:t>
      </w:r>
      <w:r>
        <w:rPr>
          <w:color w:val="383636"/>
          <w:spacing w:val="26"/>
          <w:w w:val="110"/>
          <w:sz w:val="21"/>
        </w:rPr>
        <w:t> </w:t>
      </w:r>
      <w:r>
        <w:rPr>
          <w:color w:val="383636"/>
          <w:w w:val="110"/>
          <w:sz w:val="21"/>
        </w:rPr>
        <w:t>review</w:t>
      </w:r>
      <w:r>
        <w:rPr>
          <w:color w:val="383636"/>
          <w:spacing w:val="18"/>
          <w:w w:val="110"/>
          <w:sz w:val="21"/>
        </w:rPr>
        <w:t> </w:t>
      </w:r>
      <w:r>
        <w:rPr>
          <w:color w:val="383636"/>
          <w:w w:val="110"/>
          <w:sz w:val="21"/>
        </w:rPr>
        <w:t>for</w:t>
      </w:r>
      <w:r>
        <w:rPr>
          <w:color w:val="383636"/>
          <w:spacing w:val="12"/>
          <w:w w:val="110"/>
          <w:sz w:val="21"/>
        </w:rPr>
        <w:t> </w:t>
      </w:r>
      <w:r>
        <w:rPr>
          <w:color w:val="383636"/>
          <w:w w:val="110"/>
          <w:sz w:val="21"/>
        </w:rPr>
        <w:t>each</w:t>
      </w:r>
      <w:r>
        <w:rPr>
          <w:color w:val="383636"/>
          <w:spacing w:val="26"/>
          <w:w w:val="110"/>
          <w:sz w:val="21"/>
        </w:rPr>
        <w:t> </w:t>
      </w:r>
      <w:r>
        <w:rPr>
          <w:color w:val="383636"/>
          <w:w w:val="110"/>
          <w:sz w:val="21"/>
        </w:rPr>
        <w:t>issue</w:t>
      </w:r>
      <w:r>
        <w:rPr>
          <w:color w:val="383636"/>
          <w:spacing w:val="-9"/>
          <w:w w:val="110"/>
          <w:sz w:val="21"/>
        </w:rPr>
        <w:t> </w:t>
      </w:r>
      <w:r>
        <w:rPr>
          <w:color w:val="383636"/>
          <w:w w:val="110"/>
          <w:sz w:val="21"/>
        </w:rPr>
        <w:t>on</w:t>
      </w:r>
      <w:r>
        <w:rPr>
          <w:color w:val="383636"/>
          <w:spacing w:val="37"/>
          <w:w w:val="110"/>
          <w:sz w:val="21"/>
        </w:rPr>
        <w:t> </w:t>
      </w:r>
      <w:r>
        <w:rPr>
          <w:color w:val="383636"/>
          <w:w w:val="110"/>
          <w:sz w:val="21"/>
        </w:rPr>
        <w:t>appeal,</w:t>
      </w:r>
      <w:r>
        <w:rPr>
          <w:color w:val="383636"/>
          <w:spacing w:val="13"/>
          <w:w w:val="110"/>
          <w:sz w:val="21"/>
        </w:rPr>
        <w:t> </w:t>
      </w:r>
      <w:r>
        <w:rPr>
          <w:rFonts w:ascii="Arial"/>
          <w:i/>
          <w:color w:val="383636"/>
          <w:w w:val="110"/>
          <w:sz w:val="19"/>
        </w:rPr>
        <w:t>I.e.,</w:t>
      </w:r>
      <w:r>
        <w:rPr>
          <w:rFonts w:ascii="Arial"/>
          <w:i/>
          <w:color w:val="383636"/>
          <w:spacing w:val="2"/>
          <w:w w:val="110"/>
          <w:sz w:val="19"/>
        </w:rPr>
        <w:t> </w:t>
      </w:r>
      <w:r>
        <w:rPr>
          <w:color w:val="383636"/>
          <w:w w:val="110"/>
          <w:sz w:val="21"/>
        </w:rPr>
        <w:t>whether</w:t>
      </w:r>
      <w:r>
        <w:rPr>
          <w:color w:val="383636"/>
          <w:spacing w:val="-1"/>
          <w:w w:val="110"/>
          <w:sz w:val="21"/>
        </w:rPr>
        <w:t> </w:t>
      </w:r>
      <w:r>
        <w:rPr>
          <w:rFonts w:ascii="Arial"/>
          <w:i/>
          <w:color w:val="383636"/>
          <w:w w:val="110"/>
          <w:sz w:val="19"/>
        </w:rPr>
        <w:t>the</w:t>
      </w:r>
      <w:r>
        <w:rPr>
          <w:rFonts w:ascii="Arial"/>
          <w:i/>
          <w:color w:val="383636"/>
          <w:spacing w:val="37"/>
          <w:w w:val="110"/>
          <w:sz w:val="19"/>
        </w:rPr>
        <w:t> </w:t>
      </w:r>
      <w:r>
        <w:rPr>
          <w:color w:val="383636"/>
          <w:w w:val="110"/>
          <w:sz w:val="21"/>
        </w:rPr>
        <w:t>trial</w:t>
      </w:r>
      <w:r>
        <w:rPr>
          <w:color w:val="383636"/>
          <w:spacing w:val="12"/>
          <w:w w:val="110"/>
          <w:sz w:val="21"/>
        </w:rPr>
        <w:t> </w:t>
      </w:r>
      <w:r>
        <w:rPr>
          <w:color w:val="383636"/>
          <w:w w:val="110"/>
          <w:sz w:val="21"/>
        </w:rPr>
        <w:t>court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7"/>
        </w:rPr>
      </w:pPr>
    </w:p>
    <w:p>
      <w:pPr>
        <w:spacing w:before="0"/>
        <w:ind w:left="916" w:right="0" w:firstLine="0"/>
        <w:jc w:val="both"/>
        <w:rPr>
          <w:sz w:val="18"/>
        </w:rPr>
      </w:pPr>
      <w:r>
        <w:rPr>
          <w:color w:val="383636"/>
          <w:w w:val="110"/>
          <w:sz w:val="18"/>
        </w:rPr>
        <w:t>u5ee</w:t>
      </w:r>
      <w:r>
        <w:rPr>
          <w:color w:val="383636"/>
          <w:spacing w:val="-33"/>
          <w:w w:val="110"/>
          <w:sz w:val="18"/>
        </w:rPr>
        <w:t> </w:t>
      </w:r>
      <w:r>
        <w:rPr>
          <w:color w:val="383636"/>
          <w:w w:val="110"/>
          <w:sz w:val="18"/>
        </w:rPr>
        <w:t>Section</w:t>
      </w:r>
      <w:r>
        <w:rPr>
          <w:color w:val="383636"/>
          <w:spacing w:val="-2"/>
          <w:w w:val="110"/>
          <w:sz w:val="18"/>
        </w:rPr>
        <w:t> </w:t>
      </w:r>
      <w:r>
        <w:rPr>
          <w:color w:val="383636"/>
          <w:w w:val="110"/>
          <w:sz w:val="18"/>
        </w:rPr>
        <w:t>8</w:t>
      </w:r>
      <w:r>
        <w:rPr>
          <w:color w:val="5B5B5D"/>
          <w:w w:val="110"/>
          <w:sz w:val="18"/>
        </w:rPr>
        <w:t>.</w:t>
      </w:r>
      <w:r>
        <w:rPr>
          <w:color w:val="383636"/>
          <w:w w:val="110"/>
          <w:sz w:val="18"/>
        </w:rPr>
        <w:t>4.</w:t>
      </w:r>
      <w:r>
        <w:rPr>
          <w:color w:val="383636"/>
          <w:spacing w:val="-31"/>
          <w:w w:val="110"/>
          <w:sz w:val="18"/>
        </w:rPr>
        <w:t> </w:t>
      </w:r>
      <w:r>
        <w:rPr>
          <w:color w:val="383636"/>
          <w:w w:val="110"/>
          <w:sz w:val="18"/>
        </w:rPr>
        <w:t>I7</w:t>
      </w:r>
      <w:r>
        <w:rPr>
          <w:color w:val="383636"/>
          <w:spacing w:val="-16"/>
          <w:w w:val="110"/>
          <w:sz w:val="18"/>
        </w:rPr>
        <w:t> </w:t>
      </w:r>
      <w:r>
        <w:rPr>
          <w:color w:val="383636"/>
          <w:w w:val="110"/>
          <w:sz w:val="18"/>
        </w:rPr>
        <w:t>for</w:t>
      </w:r>
      <w:r>
        <w:rPr>
          <w:color w:val="383636"/>
          <w:spacing w:val="-16"/>
          <w:w w:val="110"/>
          <w:sz w:val="18"/>
        </w:rPr>
        <w:t> </w:t>
      </w:r>
      <w:r>
        <w:rPr>
          <w:color w:val="383636"/>
          <w:w w:val="110"/>
          <w:sz w:val="18"/>
        </w:rPr>
        <w:t>discussion</w:t>
      </w:r>
      <w:r>
        <w:rPr>
          <w:color w:val="383636"/>
          <w:spacing w:val="-1"/>
          <w:w w:val="110"/>
          <w:sz w:val="18"/>
        </w:rPr>
        <w:t> </w:t>
      </w:r>
      <w:r>
        <w:rPr>
          <w:color w:val="383636"/>
          <w:w w:val="110"/>
          <w:sz w:val="18"/>
        </w:rPr>
        <w:t>of</w:t>
      </w:r>
      <w:r>
        <w:rPr>
          <w:color w:val="383636"/>
          <w:spacing w:val="-18"/>
          <w:w w:val="110"/>
          <w:sz w:val="18"/>
        </w:rPr>
        <w:t> </w:t>
      </w:r>
      <w:r>
        <w:rPr>
          <w:color w:val="383636"/>
          <w:w w:val="110"/>
          <w:sz w:val="18"/>
        </w:rPr>
        <w:t>Supreme</w:t>
      </w:r>
      <w:r>
        <w:rPr>
          <w:color w:val="383636"/>
          <w:spacing w:val="-23"/>
          <w:w w:val="110"/>
          <w:sz w:val="18"/>
        </w:rPr>
        <w:t> </w:t>
      </w:r>
      <w:r>
        <w:rPr>
          <w:color w:val="383636"/>
          <w:w w:val="110"/>
          <w:sz w:val="18"/>
        </w:rPr>
        <w:t>Court</w:t>
      </w:r>
      <w:r>
        <w:rPr>
          <w:color w:val="383636"/>
          <w:spacing w:val="-3"/>
          <w:w w:val="110"/>
          <w:sz w:val="18"/>
        </w:rPr>
        <w:t> </w:t>
      </w:r>
      <w:r>
        <w:rPr>
          <w:color w:val="383636"/>
          <w:w w:val="110"/>
          <w:sz w:val="18"/>
        </w:rPr>
        <w:t>rule</w:t>
      </w:r>
      <w:r>
        <w:rPr>
          <w:color w:val="383636"/>
          <w:spacing w:val="-13"/>
          <w:w w:val="110"/>
          <w:sz w:val="18"/>
        </w:rPr>
        <w:t> </w:t>
      </w:r>
      <w:r>
        <w:rPr>
          <w:color w:val="383636"/>
          <w:w w:val="110"/>
          <w:sz w:val="18"/>
        </w:rPr>
        <w:t>requirements</w:t>
      </w:r>
      <w:r>
        <w:rPr>
          <w:color w:val="383636"/>
          <w:spacing w:val="-4"/>
          <w:w w:val="110"/>
          <w:sz w:val="18"/>
        </w:rPr>
        <w:t> </w:t>
      </w:r>
      <w:r>
        <w:rPr>
          <w:color w:val="383636"/>
          <w:w w:val="110"/>
          <w:sz w:val="18"/>
        </w:rPr>
        <w:t>for</w:t>
      </w:r>
      <w:r>
        <w:rPr>
          <w:color w:val="383636"/>
          <w:spacing w:val="-2"/>
          <w:w w:val="110"/>
          <w:sz w:val="18"/>
        </w:rPr>
        <w:t> </w:t>
      </w:r>
      <w:r>
        <w:rPr>
          <w:color w:val="383636"/>
          <w:w w:val="110"/>
          <w:sz w:val="18"/>
        </w:rPr>
        <w:t>the</w:t>
      </w:r>
      <w:r>
        <w:rPr>
          <w:color w:val="383636"/>
          <w:spacing w:val="15"/>
          <w:w w:val="110"/>
          <w:sz w:val="18"/>
        </w:rPr>
        <w:t> </w:t>
      </w:r>
      <w:r>
        <w:rPr>
          <w:color w:val="383636"/>
          <w:w w:val="110"/>
          <w:sz w:val="18"/>
        </w:rPr>
        <w:t>appendix.</w:t>
      </w:r>
    </w:p>
    <w:p>
      <w:pPr>
        <w:spacing w:after="0"/>
        <w:jc w:val="both"/>
        <w:rPr>
          <w:sz w:val="18"/>
        </w:rPr>
        <w:sectPr>
          <w:headerReference w:type="even" r:id="rId197"/>
          <w:headerReference w:type="default" r:id="rId198"/>
          <w:pgSz w:w="9640" w:h="13800"/>
          <w:pgMar w:header="328" w:footer="0" w:top="920" w:bottom="0" w:left="1340" w:right="0"/>
          <w:pgNumType w:start="174"/>
        </w:sectPr>
      </w:pPr>
    </w:p>
    <w:p>
      <w:pPr>
        <w:spacing w:line="237" w:lineRule="auto" w:before="83"/>
        <w:ind w:left="433" w:right="578" w:firstLine="0"/>
        <w:jc w:val="both"/>
        <w:rPr>
          <w:sz w:val="20"/>
        </w:rPr>
      </w:pPr>
      <w:r>
        <w:rPr>
          <w:color w:val="383638"/>
          <w:w w:val="115"/>
          <w:sz w:val="21"/>
        </w:rPr>
        <w:t>abused its discretion; whether its </w:t>
      </w:r>
      <w:r>
        <w:rPr>
          <w:color w:val="383638"/>
          <w:w w:val="115"/>
          <w:sz w:val="20"/>
        </w:rPr>
        <w:t>fact </w:t>
      </w:r>
      <w:r>
        <w:rPr>
          <w:color w:val="383638"/>
          <w:w w:val="115"/>
          <w:sz w:val="21"/>
        </w:rPr>
        <w:t>findings are clearly erroneous;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0"/>
          <w:sz w:val="21"/>
        </w:rPr>
        <w:t>whether it erred in formulating or applying a legal precept, in which case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review is plenary; whether, on appeal or petition for review of an agency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action, there is substantial evidence in the record </w:t>
      </w:r>
      <w:r>
        <w:rPr>
          <w:b/>
          <w:color w:val="383638"/>
          <w:w w:val="110"/>
          <w:sz w:val="21"/>
        </w:rPr>
        <w:t>as a </w:t>
      </w:r>
      <w:r>
        <w:rPr>
          <w:color w:val="383638"/>
          <w:w w:val="110"/>
          <w:sz w:val="21"/>
        </w:rPr>
        <w:t>whole to support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the order or decision, or whether the agency's action, findings and con­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clusions</w:t>
      </w:r>
      <w:r>
        <w:rPr>
          <w:color w:val="383638"/>
          <w:spacing w:val="-10"/>
          <w:w w:val="110"/>
          <w:sz w:val="21"/>
        </w:rPr>
        <w:t> </w:t>
      </w:r>
      <w:r>
        <w:rPr>
          <w:color w:val="383638"/>
          <w:w w:val="110"/>
          <w:sz w:val="21"/>
        </w:rPr>
        <w:t>should</w:t>
      </w:r>
      <w:r>
        <w:rPr>
          <w:color w:val="383638"/>
          <w:spacing w:val="-18"/>
          <w:w w:val="110"/>
          <w:sz w:val="21"/>
        </w:rPr>
        <w:t> </w:t>
      </w:r>
      <w:r>
        <w:rPr>
          <w:rFonts w:ascii="Arial" w:hAnsi="Arial"/>
          <w:color w:val="383638"/>
          <w:w w:val="110"/>
          <w:sz w:val="19"/>
        </w:rPr>
        <w:t>be</w:t>
      </w:r>
      <w:r>
        <w:rPr>
          <w:rFonts w:ascii="Arial" w:hAnsi="Arial"/>
          <w:color w:val="383638"/>
          <w:spacing w:val="-3"/>
          <w:w w:val="110"/>
          <w:sz w:val="19"/>
        </w:rPr>
        <w:t> </w:t>
      </w:r>
      <w:r>
        <w:rPr>
          <w:color w:val="383638"/>
          <w:w w:val="110"/>
          <w:sz w:val="21"/>
        </w:rPr>
        <w:t>held</w:t>
      </w:r>
      <w:r>
        <w:rPr>
          <w:color w:val="383638"/>
          <w:spacing w:val="2"/>
          <w:w w:val="110"/>
          <w:sz w:val="21"/>
        </w:rPr>
        <w:t> </w:t>
      </w:r>
      <w:r>
        <w:rPr>
          <w:color w:val="383638"/>
          <w:w w:val="110"/>
          <w:sz w:val="21"/>
        </w:rPr>
        <w:t>unlawful</w:t>
      </w:r>
      <w:r>
        <w:rPr>
          <w:color w:val="383638"/>
          <w:spacing w:val="-5"/>
          <w:w w:val="110"/>
          <w:sz w:val="21"/>
        </w:rPr>
        <w:t> </w:t>
      </w:r>
      <w:r>
        <w:rPr>
          <w:color w:val="383638"/>
          <w:w w:val="110"/>
          <w:sz w:val="21"/>
        </w:rPr>
        <w:t>and</w:t>
      </w:r>
      <w:r>
        <w:rPr>
          <w:color w:val="383638"/>
          <w:spacing w:val="23"/>
          <w:w w:val="110"/>
          <w:sz w:val="21"/>
        </w:rPr>
        <w:t> </w:t>
      </w:r>
      <w:r>
        <w:rPr>
          <w:color w:val="383638"/>
          <w:w w:val="110"/>
          <w:sz w:val="21"/>
        </w:rPr>
        <w:t>set</w:t>
      </w:r>
      <w:r>
        <w:rPr>
          <w:color w:val="383638"/>
          <w:spacing w:val="-1"/>
          <w:w w:val="110"/>
          <w:sz w:val="21"/>
        </w:rPr>
        <w:t> </w:t>
      </w:r>
      <w:r>
        <w:rPr>
          <w:color w:val="383638"/>
          <w:w w:val="110"/>
          <w:sz w:val="21"/>
        </w:rPr>
        <w:t>aside</w:t>
      </w:r>
      <w:r>
        <w:rPr>
          <w:color w:val="383638"/>
          <w:spacing w:val="-14"/>
          <w:w w:val="110"/>
          <w:sz w:val="21"/>
        </w:rPr>
        <w:t> </w:t>
      </w:r>
      <w:r>
        <w:rPr>
          <w:color w:val="383638"/>
          <w:w w:val="110"/>
          <w:sz w:val="21"/>
        </w:rPr>
        <w:t>for</w:t>
      </w:r>
      <w:r>
        <w:rPr>
          <w:color w:val="383638"/>
          <w:spacing w:val="-1"/>
          <w:w w:val="110"/>
          <w:sz w:val="21"/>
        </w:rPr>
        <w:t> </w:t>
      </w:r>
      <w:r>
        <w:rPr>
          <w:color w:val="383638"/>
          <w:w w:val="110"/>
          <w:sz w:val="21"/>
        </w:rPr>
        <w:t>the</w:t>
      </w:r>
      <w:r>
        <w:rPr>
          <w:color w:val="383638"/>
          <w:spacing w:val="31"/>
          <w:w w:val="110"/>
          <w:sz w:val="21"/>
        </w:rPr>
        <w:t> </w:t>
      </w:r>
      <w:r>
        <w:rPr>
          <w:color w:val="383638"/>
          <w:w w:val="110"/>
          <w:sz w:val="21"/>
        </w:rPr>
        <w:t>reasons</w:t>
      </w:r>
      <w:r>
        <w:rPr>
          <w:color w:val="383638"/>
          <w:spacing w:val="-13"/>
          <w:w w:val="110"/>
          <w:sz w:val="21"/>
        </w:rPr>
        <w:t> </w:t>
      </w:r>
      <w:r>
        <w:rPr>
          <w:color w:val="383638"/>
          <w:w w:val="110"/>
          <w:sz w:val="21"/>
        </w:rPr>
        <w:t>set</w:t>
      </w:r>
      <w:r>
        <w:rPr>
          <w:color w:val="383638"/>
          <w:spacing w:val="-1"/>
          <w:w w:val="110"/>
          <w:sz w:val="21"/>
        </w:rPr>
        <w:t> </w:t>
      </w:r>
      <w:r>
        <w:rPr>
          <w:color w:val="383638"/>
          <w:w w:val="110"/>
          <w:sz w:val="21"/>
        </w:rPr>
        <w:t>forth</w:t>
      </w:r>
      <w:r>
        <w:rPr>
          <w:color w:val="383638"/>
          <w:spacing w:val="5"/>
          <w:w w:val="110"/>
          <w:sz w:val="21"/>
        </w:rPr>
        <w:t> </w:t>
      </w:r>
      <w:r>
        <w:rPr>
          <w:color w:val="383638"/>
          <w:w w:val="110"/>
          <w:sz w:val="20"/>
        </w:rPr>
        <w:t>in</w:t>
      </w:r>
    </w:p>
    <w:p>
      <w:pPr>
        <w:spacing w:line="239" w:lineRule="exact" w:before="0"/>
        <w:ind w:left="433" w:right="0" w:firstLine="0"/>
        <w:jc w:val="both"/>
        <w:rPr>
          <w:sz w:val="20"/>
        </w:rPr>
      </w:pPr>
      <w:r>
        <w:rPr>
          <w:i/>
          <w:color w:val="383638"/>
          <w:w w:val="105"/>
          <w:sz w:val="21"/>
        </w:rPr>
        <w:t>5</w:t>
      </w:r>
      <w:r>
        <w:rPr>
          <w:i/>
          <w:color w:val="383638"/>
          <w:spacing w:val="-1"/>
          <w:w w:val="105"/>
          <w:sz w:val="21"/>
        </w:rPr>
        <w:t> </w:t>
      </w:r>
      <w:r>
        <w:rPr>
          <w:color w:val="383638"/>
          <w:w w:val="105"/>
          <w:sz w:val="29"/>
        </w:rPr>
        <w:t>u.s.c.</w:t>
      </w:r>
      <w:r>
        <w:rPr>
          <w:color w:val="383638"/>
          <w:w w:val="105"/>
          <w:sz w:val="20"/>
        </w:rPr>
        <w:t>§706(2).</w:t>
      </w:r>
    </w:p>
    <w:p>
      <w:pPr>
        <w:pStyle w:val="BodyText"/>
        <w:spacing w:line="232" w:lineRule="auto" w:before="134"/>
        <w:ind w:left="111" w:right="193" w:hanging="6"/>
        <w:jc w:val="both"/>
      </w:pPr>
      <w:r>
        <w:rPr>
          <w:color w:val="383638"/>
          <w:w w:val="110"/>
        </w:rPr>
        <w:t>The sample appellate briefs in Appendix C place this section before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statement of the case, on the theory that knowing the standard of review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may give the reader needed context before he or she begins reading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fact </w:t>
      </w:r>
      <w:r>
        <w:rPr>
          <w:color w:val="4D4D4D"/>
          <w:w w:val="110"/>
        </w:rPr>
        <w:t>statement. </w:t>
      </w:r>
      <w:r>
        <w:rPr>
          <w:color w:val="383638"/>
          <w:w w:val="110"/>
        </w:rPr>
        <w:t>Obviously, you should place the section where the court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asks for </w:t>
      </w:r>
      <w:r>
        <w:rPr>
          <w:color w:val="383638"/>
          <w:w w:val="110"/>
        </w:rPr>
        <w:t>it; if the court does not ask for it, you could create a separate sec­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tion for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standard (presuming the court has not forbidden the  </w:t>
      </w:r>
      <w:r>
        <w:rPr>
          <w:color w:val="4D4D4D"/>
          <w:w w:val="110"/>
        </w:rPr>
        <w:t>creation</w:t>
      </w:r>
      <w:r>
        <w:rPr>
          <w:color w:val="4D4D4D"/>
          <w:spacing w:val="1"/>
          <w:w w:val="110"/>
        </w:rPr>
        <w:t> </w:t>
      </w:r>
      <w:r>
        <w:rPr>
          <w:color w:val="383638"/>
          <w:w w:val="110"/>
        </w:rPr>
        <w:t>of "extra" sections). In the alternative, you could include the standard 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introductory material. </w:t>
      </w:r>
      <w:r>
        <w:rPr>
          <w:color w:val="383638"/>
          <w:w w:val="110"/>
          <w:sz w:val="22"/>
        </w:rPr>
        <w:t>If </w:t>
      </w:r>
      <w:r>
        <w:rPr>
          <w:color w:val="383638"/>
          <w:w w:val="110"/>
        </w:rPr>
        <w:t>different issues are subject to different standards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of review,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introductory material preceding each issue should include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standard for that issue. In contrast, if the same standard applies to all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issues, you could include it early in  the  argument section in  your over­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all introduction (unless court rules require otherwise, as does the excerpt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above). Chapter Ten discusses incorporating the standard of review into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introductory material; the </w:t>
      </w:r>
      <w:r>
        <w:rPr>
          <w:rFonts w:ascii="Arial" w:hAnsi="Arial"/>
          <w:i/>
          <w:color w:val="383638"/>
          <w:w w:val="110"/>
          <w:sz w:val="22"/>
        </w:rPr>
        <w:t>Miller v. Albright </w:t>
      </w:r>
      <w:r>
        <w:rPr>
          <w:color w:val="383638"/>
          <w:w w:val="110"/>
        </w:rPr>
        <w:t>brief in Appendix C provides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an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illustration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this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technique.</w:t>
      </w:r>
    </w:p>
    <w:p>
      <w:pPr>
        <w:pStyle w:val="BodyText"/>
        <w:spacing w:before="3"/>
        <w:rPr>
          <w:sz w:val="35"/>
        </w:rPr>
      </w:pPr>
    </w:p>
    <w:p>
      <w:pPr>
        <w:spacing w:before="0"/>
        <w:ind w:left="438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83638"/>
          <w:w w:val="105"/>
          <w:sz w:val="28"/>
        </w:rPr>
        <w:t>8.4.10</w:t>
      </w:r>
    </w:p>
    <w:p>
      <w:pPr>
        <w:spacing w:before="25"/>
        <w:ind w:left="454" w:right="0" w:firstLine="0"/>
        <w:jc w:val="both"/>
        <w:rPr>
          <w:rFonts w:ascii="Arial"/>
          <w:sz w:val="21"/>
        </w:rPr>
      </w:pPr>
      <w:r>
        <w:rPr>
          <w:color w:val="383638"/>
          <w:spacing w:val="-1"/>
          <w:sz w:val="24"/>
        </w:rPr>
        <w:t>STATEMENT</w:t>
      </w:r>
      <w:r>
        <w:rPr>
          <w:color w:val="383638"/>
          <w:spacing w:val="-6"/>
          <w:sz w:val="24"/>
        </w:rPr>
        <w:t> </w:t>
      </w:r>
      <w:r>
        <w:rPr>
          <w:color w:val="4D4D4D"/>
          <w:sz w:val="24"/>
        </w:rPr>
        <w:t>OF</w:t>
      </w:r>
      <w:r>
        <w:rPr>
          <w:color w:val="4D4D4D"/>
          <w:spacing w:val="-14"/>
          <w:sz w:val="24"/>
        </w:rPr>
        <w:t> </w:t>
      </w:r>
      <w:r>
        <w:rPr>
          <w:color w:val="4D4D4D"/>
          <w:sz w:val="24"/>
        </w:rPr>
        <w:t>THE</w:t>
      </w:r>
      <w:r>
        <w:rPr>
          <w:color w:val="4D4D4D"/>
          <w:spacing w:val="-13"/>
          <w:sz w:val="24"/>
        </w:rPr>
        <w:t> </w:t>
      </w:r>
      <w:r>
        <w:rPr>
          <w:rFonts w:ascii="Arial"/>
          <w:color w:val="383638"/>
          <w:sz w:val="21"/>
        </w:rPr>
        <w:t>CASE</w:t>
      </w:r>
    </w:p>
    <w:p>
      <w:pPr>
        <w:pStyle w:val="BodyText"/>
        <w:spacing w:line="235" w:lineRule="auto" w:before="152"/>
        <w:ind w:left="111" w:right="175" w:firstLine="315"/>
        <w:jc w:val="both"/>
        <w:rPr>
          <w:rFonts w:ascii="Arial" w:hAnsi="Arial"/>
        </w:rPr>
      </w:pPr>
      <w:r>
        <w:rPr>
          <w:color w:val="383638"/>
          <w:w w:val="110"/>
        </w:rPr>
        <w:t>Supreme Court Rule 24.1(g) asks for a "concise statement of the case,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5"/>
        </w:rPr>
        <w:t>setting out the facts material </w:t>
      </w:r>
      <w:r>
        <w:rPr>
          <w:color w:val="383638"/>
          <w:w w:val="115"/>
        </w:rPr>
        <w:t>to the consideration of the questions pre­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sented." Although writing an effective statement of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case is addressed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in Chapter Nine, for now you should keep in mind that the statement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usually includes both facts and procedure and always includes citation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record,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joint appendix, and/or the appendix to the petition for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writ</w:t>
      </w:r>
      <w:r>
        <w:rPr>
          <w:color w:val="383638"/>
          <w:spacing w:val="-22"/>
          <w:w w:val="115"/>
        </w:rPr>
        <w:t> </w:t>
      </w:r>
      <w:r>
        <w:rPr>
          <w:color w:val="383638"/>
          <w:w w:val="115"/>
        </w:rPr>
        <w:t>of</w:t>
      </w:r>
      <w:r>
        <w:rPr>
          <w:color w:val="383638"/>
          <w:spacing w:val="-10"/>
          <w:w w:val="115"/>
        </w:rPr>
        <w:t> </w:t>
      </w:r>
      <w:r>
        <w:rPr>
          <w:color w:val="383638"/>
          <w:w w:val="115"/>
        </w:rPr>
        <w:t>certiorari.</w:t>
      </w:r>
      <w:r>
        <w:rPr>
          <w:rFonts w:ascii="Arial" w:hAnsi="Arial"/>
          <w:color w:val="383638"/>
          <w:w w:val="115"/>
          <w:vertAlign w:val="superscript"/>
        </w:rPr>
        <w:t>13</w:t>
      </w:r>
    </w:p>
    <w:p>
      <w:pPr>
        <w:pStyle w:val="BodyText"/>
        <w:spacing w:before="8"/>
        <w:rPr>
          <w:rFonts w:ascii="Arial"/>
          <w:sz w:val="33"/>
        </w:rPr>
      </w:pPr>
    </w:p>
    <w:p>
      <w:pPr>
        <w:spacing w:before="0"/>
        <w:ind w:left="448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83638"/>
          <w:w w:val="105"/>
          <w:sz w:val="28"/>
        </w:rPr>
        <w:t>8.4.11</w:t>
      </w:r>
    </w:p>
    <w:p>
      <w:pPr>
        <w:spacing w:before="5"/>
        <w:ind w:left="466" w:right="0" w:firstLine="0"/>
        <w:jc w:val="both"/>
        <w:rPr>
          <w:b/>
          <w:sz w:val="24"/>
        </w:rPr>
      </w:pPr>
      <w:r>
        <w:rPr>
          <w:b/>
          <w:color w:val="383638"/>
          <w:w w:val="95"/>
          <w:sz w:val="24"/>
        </w:rPr>
        <w:t>SUMMARY</w:t>
      </w:r>
      <w:r>
        <w:rPr>
          <w:b/>
          <w:color w:val="383638"/>
          <w:spacing w:val="29"/>
          <w:w w:val="95"/>
          <w:sz w:val="24"/>
        </w:rPr>
        <w:t> </w:t>
      </w:r>
      <w:r>
        <w:rPr>
          <w:b/>
          <w:color w:val="4D4D4D"/>
          <w:w w:val="95"/>
          <w:sz w:val="24"/>
        </w:rPr>
        <w:t>OF</w:t>
      </w:r>
      <w:r>
        <w:rPr>
          <w:b/>
          <w:color w:val="4D4D4D"/>
          <w:spacing w:val="-1"/>
          <w:w w:val="95"/>
          <w:sz w:val="24"/>
        </w:rPr>
        <w:t> </w:t>
      </w:r>
      <w:r>
        <w:rPr>
          <w:rFonts w:ascii="Arial"/>
          <w:color w:val="383638"/>
          <w:w w:val="95"/>
          <w:sz w:val="22"/>
        </w:rPr>
        <w:t>THE</w:t>
      </w:r>
      <w:r>
        <w:rPr>
          <w:rFonts w:ascii="Arial"/>
          <w:color w:val="383638"/>
          <w:spacing w:val="-2"/>
          <w:w w:val="95"/>
          <w:sz w:val="22"/>
        </w:rPr>
        <w:t> </w:t>
      </w:r>
      <w:r>
        <w:rPr>
          <w:b/>
          <w:color w:val="4D4D4D"/>
          <w:w w:val="95"/>
          <w:sz w:val="24"/>
        </w:rPr>
        <w:t>ARGUMENT</w:t>
      </w:r>
    </w:p>
    <w:p>
      <w:pPr>
        <w:pStyle w:val="BodyText"/>
        <w:spacing w:line="235" w:lineRule="auto" w:before="143"/>
        <w:ind w:left="115" w:right="113" w:firstLine="331"/>
        <w:jc w:val="both"/>
      </w:pPr>
      <w:r>
        <w:rPr>
          <w:color w:val="383638"/>
          <w:w w:val="115"/>
        </w:rPr>
        <w:t>Writing the summary of the argument is addressed in Chapter Nine.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Toe formal requirements </w:t>
      </w:r>
      <w:r>
        <w:rPr>
          <w:color w:val="4D4D4D"/>
          <w:w w:val="110"/>
        </w:rPr>
        <w:t>are </w:t>
      </w:r>
      <w:r>
        <w:rPr>
          <w:color w:val="383638"/>
          <w:w w:val="110"/>
        </w:rPr>
        <w:t>few, but</w:t>
      </w:r>
      <w:r>
        <w:rPr>
          <w:color w:val="383638"/>
          <w:spacing w:val="1"/>
          <w:w w:val="110"/>
        </w:rPr>
        <w:t> </w:t>
      </w:r>
      <w:r>
        <w:rPr>
          <w:color w:val="4D4D4D"/>
          <w:w w:val="110"/>
        </w:rPr>
        <w:t>some </w:t>
      </w:r>
      <w:r>
        <w:rPr>
          <w:color w:val="383638"/>
          <w:w w:val="110"/>
        </w:rPr>
        <w:t>are quite particular. Supreme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Court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Rule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24.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  <w:sz w:val="21"/>
        </w:rPr>
        <w:t>l(h)</w:t>
      </w:r>
      <w:r>
        <w:rPr>
          <w:color w:val="383638"/>
          <w:spacing w:val="-9"/>
          <w:w w:val="110"/>
          <w:sz w:val="21"/>
        </w:rPr>
        <w:t> </w:t>
      </w:r>
      <w:r>
        <w:rPr>
          <w:color w:val="383638"/>
          <w:w w:val="110"/>
        </w:rPr>
        <w:t>specifically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notes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that "mere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repetition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60"/>
          <w:w w:val="110"/>
        </w:rPr>
        <w:t> </w:t>
      </w:r>
      <w:r>
        <w:rPr>
          <w:color w:val="383638"/>
          <w:w w:val="110"/>
        </w:rPr>
        <w:t>headings</w:t>
      </w:r>
    </w:p>
    <w:p>
      <w:pPr>
        <w:pStyle w:val="BodyText"/>
        <w:spacing w:before="5"/>
        <w:rPr>
          <w:sz w:val="37"/>
        </w:rPr>
      </w:pPr>
    </w:p>
    <w:p>
      <w:pPr>
        <w:spacing w:before="0"/>
        <w:ind w:left="441" w:right="0" w:firstLine="0"/>
        <w:jc w:val="left"/>
        <w:rPr>
          <w:sz w:val="18"/>
        </w:rPr>
      </w:pPr>
      <w:r>
        <w:rPr>
          <w:rFonts w:ascii="Arial"/>
          <w:color w:val="383638"/>
          <w:spacing w:val="-1"/>
          <w:sz w:val="17"/>
        </w:rPr>
        <w:t>115ee</w:t>
      </w:r>
      <w:r>
        <w:rPr>
          <w:rFonts w:ascii="Arial"/>
          <w:color w:val="383638"/>
          <w:spacing w:val="-16"/>
          <w:sz w:val="17"/>
        </w:rPr>
        <w:t> </w:t>
      </w:r>
      <w:r>
        <w:rPr>
          <w:color w:val="383638"/>
          <w:spacing w:val="-1"/>
          <w:sz w:val="18"/>
        </w:rPr>
        <w:t>the</w:t>
      </w:r>
      <w:r>
        <w:rPr>
          <w:color w:val="383638"/>
          <w:spacing w:val="60"/>
          <w:sz w:val="18"/>
        </w:rPr>
        <w:t> </w:t>
      </w:r>
      <w:r>
        <w:rPr>
          <w:color w:val="383638"/>
          <w:spacing w:val="-1"/>
          <w:w w:val="110"/>
          <w:sz w:val="18"/>
        </w:rPr>
        <w:t>sample</w:t>
      </w:r>
      <w:r>
        <w:rPr>
          <w:color w:val="383638"/>
          <w:spacing w:val="-6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briefs</w:t>
      </w:r>
      <w:r>
        <w:rPr>
          <w:color w:val="383638"/>
          <w:spacing w:val="-13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In</w:t>
      </w:r>
      <w:r>
        <w:rPr>
          <w:color w:val="383638"/>
          <w:spacing w:val="4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Appendix</w:t>
      </w:r>
      <w:r>
        <w:rPr>
          <w:color w:val="383638"/>
          <w:spacing w:val="-10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C</w:t>
      </w:r>
      <w:r>
        <w:rPr>
          <w:color w:val="383638"/>
          <w:spacing w:val="5"/>
          <w:w w:val="110"/>
          <w:sz w:val="18"/>
        </w:rPr>
        <w:t> </w:t>
      </w:r>
      <w:r>
        <w:rPr>
          <w:rFonts w:ascii="Arial"/>
          <w:color w:val="383638"/>
          <w:spacing w:val="-1"/>
          <w:w w:val="110"/>
          <w:sz w:val="17"/>
        </w:rPr>
        <w:t>for</w:t>
      </w:r>
      <w:r>
        <w:rPr>
          <w:rFonts w:ascii="Arial"/>
          <w:color w:val="383638"/>
          <w:spacing w:val="-6"/>
          <w:w w:val="110"/>
          <w:sz w:val="17"/>
        </w:rPr>
        <w:t> </w:t>
      </w:r>
      <w:r>
        <w:rPr>
          <w:color w:val="383638"/>
          <w:spacing w:val="-1"/>
          <w:w w:val="110"/>
          <w:sz w:val="18"/>
        </w:rPr>
        <w:t>examples</w:t>
      </w:r>
      <w:r>
        <w:rPr>
          <w:color w:val="383638"/>
          <w:spacing w:val="-9"/>
          <w:w w:val="110"/>
          <w:sz w:val="18"/>
        </w:rPr>
        <w:t> </w:t>
      </w:r>
      <w:r>
        <w:rPr>
          <w:rFonts w:ascii="Arial"/>
          <w:color w:val="383638"/>
          <w:spacing w:val="-1"/>
          <w:w w:val="110"/>
          <w:sz w:val="17"/>
        </w:rPr>
        <w:t>of</w:t>
      </w:r>
      <w:r>
        <w:rPr>
          <w:rFonts w:ascii="Arial"/>
          <w:color w:val="383638"/>
          <w:spacing w:val="-8"/>
          <w:w w:val="110"/>
          <w:sz w:val="17"/>
        </w:rPr>
        <w:t> </w:t>
      </w:r>
      <w:r>
        <w:rPr>
          <w:color w:val="4D4D4D"/>
          <w:spacing w:val="-1"/>
          <w:w w:val="110"/>
          <w:sz w:val="18"/>
        </w:rPr>
        <w:t>correct</w:t>
      </w:r>
      <w:r>
        <w:rPr>
          <w:color w:val="4D4D4D"/>
          <w:spacing w:val="-7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citations</w:t>
      </w:r>
      <w:r>
        <w:rPr>
          <w:color w:val="383638"/>
          <w:spacing w:val="-18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within</w:t>
      </w:r>
      <w:r>
        <w:rPr>
          <w:color w:val="383638"/>
          <w:spacing w:val="1"/>
          <w:w w:val="110"/>
          <w:sz w:val="18"/>
        </w:rPr>
        <w:t> </w:t>
      </w:r>
      <w:r>
        <w:rPr>
          <w:color w:val="383638"/>
          <w:w w:val="110"/>
          <w:sz w:val="18"/>
        </w:rPr>
        <w:t>the</w:t>
      </w:r>
      <w:r>
        <w:rPr>
          <w:color w:val="383638"/>
          <w:spacing w:val="-4"/>
          <w:w w:val="110"/>
          <w:sz w:val="18"/>
        </w:rPr>
        <w:t> </w:t>
      </w:r>
      <w:r>
        <w:rPr>
          <w:color w:val="383638"/>
          <w:w w:val="110"/>
          <w:sz w:val="18"/>
        </w:rPr>
        <w:t>statement</w:t>
      </w:r>
    </w:p>
    <w:p>
      <w:pPr>
        <w:spacing w:before="5"/>
        <w:ind w:left="126" w:right="0" w:firstLine="0"/>
        <w:jc w:val="both"/>
        <w:rPr>
          <w:sz w:val="18"/>
        </w:rPr>
      </w:pPr>
      <w:r>
        <w:rPr>
          <w:rFonts w:ascii="Arial"/>
          <w:color w:val="383638"/>
          <w:w w:val="105"/>
          <w:sz w:val="17"/>
        </w:rPr>
        <w:t>of</w:t>
      </w:r>
      <w:r>
        <w:rPr>
          <w:rFonts w:ascii="Arial"/>
          <w:color w:val="383638"/>
          <w:spacing w:val="-22"/>
          <w:w w:val="105"/>
          <w:sz w:val="17"/>
        </w:rPr>
        <w:t> </w:t>
      </w:r>
      <w:r>
        <w:rPr>
          <w:color w:val="383638"/>
          <w:w w:val="105"/>
          <w:sz w:val="18"/>
        </w:rPr>
        <w:t>the</w:t>
      </w:r>
      <w:r>
        <w:rPr>
          <w:color w:val="383638"/>
          <w:spacing w:val="-24"/>
          <w:w w:val="105"/>
          <w:sz w:val="18"/>
        </w:rPr>
        <w:t> </w:t>
      </w:r>
      <w:r>
        <w:rPr>
          <w:color w:val="383638"/>
          <w:w w:val="105"/>
          <w:sz w:val="18"/>
        </w:rPr>
        <w:t>case.</w:t>
      </w:r>
    </w:p>
    <w:p>
      <w:pPr>
        <w:spacing w:after="0"/>
        <w:jc w:val="both"/>
        <w:rPr>
          <w:sz w:val="18"/>
        </w:rPr>
        <w:sectPr>
          <w:pgSz w:w="9420" w:h="13760"/>
          <w:pgMar w:header="520" w:footer="0" w:top="1100" w:bottom="0" w:left="360" w:right="1220"/>
        </w:sectPr>
      </w:pPr>
    </w:p>
    <w:p>
      <w:pPr>
        <w:pStyle w:val="BodyText"/>
        <w:spacing w:line="235" w:lineRule="auto" w:before="85"/>
        <w:ind w:left="898" w:right="115" w:firstLine="17"/>
        <w:jc w:val="both"/>
      </w:pPr>
      <w:r>
        <w:rPr>
          <w:color w:val="383638"/>
          <w:w w:val="105"/>
        </w:rPr>
        <w:t>under which the argument is arranged is not sufficient." If you are arguing</w:t>
      </w:r>
      <w:r>
        <w:rPr>
          <w:color w:val="383638"/>
          <w:spacing w:val="-58"/>
          <w:w w:val="105"/>
        </w:rPr>
        <w:t> </w:t>
      </w:r>
      <w:r>
        <w:rPr>
          <w:color w:val="383638"/>
          <w:w w:val="105"/>
        </w:rPr>
        <w:t>in a different appe1late court, be sure to consult the local rules, as not all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courts</w:t>
      </w:r>
      <w:r>
        <w:rPr>
          <w:color w:val="383638"/>
          <w:spacing w:val="-4"/>
          <w:w w:val="105"/>
        </w:rPr>
        <w:t> </w:t>
      </w:r>
      <w:r>
        <w:rPr>
          <w:color w:val="383638"/>
          <w:w w:val="105"/>
        </w:rPr>
        <w:t>have</w:t>
      </w:r>
      <w:r>
        <w:rPr>
          <w:color w:val="383638"/>
          <w:spacing w:val="-2"/>
          <w:w w:val="105"/>
        </w:rPr>
        <w:t> </w:t>
      </w:r>
      <w:r>
        <w:rPr>
          <w:color w:val="383638"/>
          <w:w w:val="105"/>
        </w:rPr>
        <w:t>this</w:t>
      </w:r>
      <w:r>
        <w:rPr>
          <w:color w:val="383638"/>
          <w:spacing w:val="-5"/>
          <w:w w:val="105"/>
        </w:rPr>
        <w:t> </w:t>
      </w:r>
      <w:r>
        <w:rPr>
          <w:color w:val="383638"/>
          <w:w w:val="105"/>
        </w:rPr>
        <w:t>requirement</w:t>
      </w:r>
      <w:r>
        <w:rPr>
          <w:color w:val="545454"/>
          <w:w w:val="105"/>
        </w:rPr>
        <w:t>.</w:t>
      </w:r>
    </w:p>
    <w:p>
      <w:pPr>
        <w:pStyle w:val="BodyText"/>
        <w:spacing w:before="9"/>
        <w:rPr>
          <w:sz w:val="31"/>
        </w:rPr>
      </w:pPr>
    </w:p>
    <w:p>
      <w:pPr>
        <w:spacing w:before="0"/>
        <w:ind w:left="1226" w:right="0" w:firstLine="0"/>
        <w:jc w:val="left"/>
        <w:rPr>
          <w:sz w:val="29"/>
        </w:rPr>
      </w:pPr>
      <w:r>
        <w:rPr>
          <w:color w:val="383638"/>
          <w:w w:val="110"/>
          <w:sz w:val="29"/>
        </w:rPr>
        <w:t>8</w:t>
      </w:r>
      <w:r>
        <w:rPr>
          <w:color w:val="545454"/>
          <w:w w:val="110"/>
          <w:sz w:val="29"/>
        </w:rPr>
        <w:t>.4</w:t>
      </w:r>
      <w:r>
        <w:rPr>
          <w:color w:val="383638"/>
          <w:w w:val="110"/>
          <w:sz w:val="29"/>
        </w:rPr>
        <w:t>.12</w:t>
      </w:r>
    </w:p>
    <w:p>
      <w:pPr>
        <w:spacing w:before="48"/>
        <w:ind w:left="1229" w:right="0" w:firstLine="0"/>
        <w:jc w:val="left"/>
        <w:rPr>
          <w:rFonts w:ascii="Arial"/>
          <w:sz w:val="21"/>
        </w:rPr>
      </w:pPr>
      <w:r>
        <w:rPr>
          <w:rFonts w:ascii="Arial"/>
          <w:color w:val="383638"/>
          <w:w w:val="105"/>
          <w:sz w:val="21"/>
        </w:rPr>
        <w:t>THE</w:t>
      </w:r>
      <w:r>
        <w:rPr>
          <w:rFonts w:ascii="Arial"/>
          <w:color w:val="383638"/>
          <w:spacing w:val="1"/>
          <w:w w:val="105"/>
          <w:sz w:val="21"/>
        </w:rPr>
        <w:t> </w:t>
      </w:r>
      <w:r>
        <w:rPr>
          <w:rFonts w:ascii="Arial"/>
          <w:color w:val="545454"/>
          <w:w w:val="105"/>
          <w:sz w:val="21"/>
        </w:rPr>
        <w:t>A</w:t>
      </w:r>
      <w:r>
        <w:rPr>
          <w:rFonts w:ascii="Arial"/>
          <w:color w:val="383638"/>
          <w:w w:val="105"/>
          <w:sz w:val="21"/>
        </w:rPr>
        <w:t>RGUMENT</w:t>
      </w:r>
    </w:p>
    <w:p>
      <w:pPr>
        <w:pStyle w:val="BodyText"/>
        <w:spacing w:line="232" w:lineRule="auto" w:before="161"/>
        <w:ind w:left="822" w:right="133" w:firstLine="398"/>
        <w:jc w:val="both"/>
      </w:pPr>
      <w:r>
        <w:rPr>
          <w:color w:val="383638"/>
          <w:w w:val="105"/>
        </w:rPr>
        <w:t>Much has already been written about the argument; I will simply note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here that Rule 24.l(i) a</w:t>
      </w:r>
      <w:r>
        <w:rPr>
          <w:color w:val="545454"/>
          <w:w w:val="110"/>
        </w:rPr>
        <w:t>s</w:t>
      </w:r>
      <w:r>
        <w:rPr>
          <w:color w:val="383638"/>
          <w:w w:val="110"/>
        </w:rPr>
        <w:t>ks that the argument exhibit "clearly the points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of fact and of law presented and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[cite]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authorities and statutes relied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on</w:t>
      </w:r>
      <w:r>
        <w:rPr>
          <w:color w:val="545454"/>
          <w:w w:val="105"/>
        </w:rPr>
        <w:t>.</w:t>
      </w:r>
      <w:r>
        <w:rPr>
          <w:color w:val="383638"/>
          <w:w w:val="105"/>
        </w:rPr>
        <w:t>" Some appellate courts may ask counsel to list any relevant authority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that goes against counsel's argument. Thus, even though the method of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written argument may not vary from court to court, you must still consult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local</w:t>
      </w:r>
      <w:r>
        <w:rPr>
          <w:color w:val="383638"/>
          <w:spacing w:val="12"/>
          <w:w w:val="105"/>
        </w:rPr>
        <w:t> </w:t>
      </w:r>
      <w:r>
        <w:rPr>
          <w:color w:val="383638"/>
          <w:w w:val="105"/>
        </w:rPr>
        <w:t>rules</w:t>
      </w:r>
      <w:r>
        <w:rPr>
          <w:color w:val="383638"/>
          <w:spacing w:val="-20"/>
          <w:w w:val="105"/>
        </w:rPr>
        <w:t> </w:t>
      </w:r>
      <w:r>
        <w:rPr>
          <w:color w:val="383638"/>
          <w:w w:val="105"/>
        </w:rPr>
        <w:t>about</w:t>
      </w:r>
      <w:r>
        <w:rPr>
          <w:color w:val="383638"/>
          <w:spacing w:val="4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-3"/>
          <w:w w:val="105"/>
        </w:rPr>
        <w:t> </w:t>
      </w:r>
      <w:r>
        <w:rPr>
          <w:color w:val="383638"/>
          <w:w w:val="105"/>
        </w:rPr>
        <w:t>argument</w:t>
      </w:r>
      <w:r>
        <w:rPr>
          <w:color w:val="383638"/>
          <w:spacing w:val="-3"/>
          <w:w w:val="105"/>
        </w:rPr>
        <w:t> </w:t>
      </w:r>
      <w:r>
        <w:rPr>
          <w:color w:val="383638"/>
          <w:w w:val="105"/>
        </w:rPr>
        <w:t>itself.</w:t>
      </w:r>
    </w:p>
    <w:p>
      <w:pPr>
        <w:pStyle w:val="BodyText"/>
        <w:spacing w:before="2"/>
        <w:rPr>
          <w:sz w:val="34"/>
        </w:rPr>
      </w:pPr>
    </w:p>
    <w:p>
      <w:pPr>
        <w:spacing w:before="0"/>
        <w:ind w:left="1126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545454"/>
          <w:w w:val="105"/>
          <w:sz w:val="27"/>
        </w:rPr>
        <w:t>8.4</w:t>
      </w:r>
      <w:r>
        <w:rPr>
          <w:rFonts w:ascii="Arial"/>
          <w:b/>
          <w:color w:val="383638"/>
          <w:w w:val="105"/>
          <w:sz w:val="27"/>
        </w:rPr>
        <w:t>.13</w:t>
      </w:r>
    </w:p>
    <w:p>
      <w:pPr>
        <w:spacing w:before="54"/>
        <w:ind w:left="1123" w:right="0" w:firstLine="0"/>
        <w:jc w:val="left"/>
        <w:rPr>
          <w:rFonts w:ascii="Arial"/>
          <w:sz w:val="21"/>
        </w:rPr>
      </w:pPr>
      <w:r>
        <w:rPr>
          <w:rFonts w:ascii="Arial"/>
          <w:color w:val="383638"/>
          <w:w w:val="105"/>
          <w:sz w:val="21"/>
        </w:rPr>
        <w:t>T</w:t>
      </w:r>
      <w:r>
        <w:rPr>
          <w:rFonts w:ascii="Arial"/>
          <w:color w:val="545454"/>
          <w:w w:val="105"/>
          <w:sz w:val="21"/>
        </w:rPr>
        <w:t>H</w:t>
      </w:r>
      <w:r>
        <w:rPr>
          <w:rFonts w:ascii="Arial"/>
          <w:color w:val="383638"/>
          <w:w w:val="105"/>
          <w:sz w:val="21"/>
        </w:rPr>
        <w:t>E</w:t>
      </w:r>
      <w:r>
        <w:rPr>
          <w:rFonts w:ascii="Arial"/>
          <w:color w:val="383638"/>
          <w:spacing w:val="-16"/>
          <w:w w:val="105"/>
          <w:sz w:val="21"/>
        </w:rPr>
        <w:t> </w:t>
      </w:r>
      <w:r>
        <w:rPr>
          <w:rFonts w:ascii="Arial"/>
          <w:color w:val="383638"/>
          <w:w w:val="105"/>
          <w:sz w:val="21"/>
        </w:rPr>
        <w:t>CO</w:t>
      </w:r>
      <w:r>
        <w:rPr>
          <w:rFonts w:ascii="Arial"/>
          <w:color w:val="545454"/>
          <w:w w:val="105"/>
          <w:sz w:val="21"/>
        </w:rPr>
        <w:t>N</w:t>
      </w:r>
      <w:r>
        <w:rPr>
          <w:rFonts w:ascii="Arial"/>
          <w:color w:val="383638"/>
          <w:w w:val="105"/>
          <w:sz w:val="21"/>
        </w:rPr>
        <w:t>CLU</w:t>
      </w:r>
      <w:r>
        <w:rPr>
          <w:rFonts w:ascii="Arial"/>
          <w:color w:val="545454"/>
          <w:w w:val="105"/>
          <w:sz w:val="21"/>
        </w:rPr>
        <w:t>S</w:t>
      </w:r>
      <w:r>
        <w:rPr>
          <w:rFonts w:ascii="Arial"/>
          <w:color w:val="383638"/>
          <w:w w:val="105"/>
          <w:sz w:val="21"/>
        </w:rPr>
        <w:t>ION</w:t>
      </w:r>
    </w:p>
    <w:p>
      <w:pPr>
        <w:pStyle w:val="BodyText"/>
        <w:spacing w:line="232" w:lineRule="auto" w:before="171"/>
        <w:ind w:left="734" w:right="151" w:firstLine="367"/>
        <w:jc w:val="both"/>
      </w:pPr>
      <w:r>
        <w:rPr>
          <w:color w:val="383638"/>
          <w:w w:val="110"/>
        </w:rPr>
        <w:t>The only requirement that the Court imposes on the conclusion, 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Rule 24.l(j), isthat it "(specify] with particularity the relief the party seeks."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At a minimum, your conclusion should tell the court what you want it to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05"/>
        </w:rPr>
        <w:t>do: affirm, reverse, reverse and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remand, or vacate the decision below. Be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precise when  requesting relief</w:t>
      </w:r>
      <w:r>
        <w:rPr>
          <w:color w:val="545454"/>
          <w:w w:val="105"/>
        </w:rPr>
        <w:t>. </w:t>
      </w:r>
      <w:r>
        <w:rPr>
          <w:color w:val="383638"/>
          <w:w w:val="105"/>
        </w:rPr>
        <w:t>Ask the  court to "affirm" or "reverse," not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to </w:t>
      </w:r>
      <w:r>
        <w:rPr>
          <w:color w:val="545454"/>
          <w:w w:val="110"/>
        </w:rPr>
        <w:t>"</w:t>
      </w:r>
      <w:r>
        <w:rPr>
          <w:color w:val="383638"/>
          <w:w w:val="110"/>
        </w:rPr>
        <w:t>uphold" or "overrule" the decision below. Many lawyers write only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one</w:t>
      </w:r>
      <w:r>
        <w:rPr>
          <w:color w:val="383638"/>
          <w:w w:val="110"/>
        </w:rPr>
        <w:t> </w:t>
      </w:r>
      <w:r>
        <w:rPr>
          <w:color w:val="383638"/>
          <w:spacing w:val="-1"/>
          <w:w w:val="110"/>
        </w:rPr>
        <w:t>sentence</w:t>
      </w:r>
      <w:r>
        <w:rPr>
          <w:color w:val="383638"/>
          <w:spacing w:val="-10"/>
          <w:w w:val="110"/>
        </w:rPr>
        <w:t> </w:t>
      </w:r>
      <w:r>
        <w:rPr>
          <w:color w:val="383638"/>
          <w:spacing w:val="-1"/>
          <w:w w:val="110"/>
        </w:rPr>
        <w:t>as</w:t>
      </w:r>
      <w:r>
        <w:rPr>
          <w:color w:val="383638"/>
          <w:spacing w:val="-25"/>
          <w:w w:val="110"/>
        </w:rPr>
        <w:t> </w:t>
      </w:r>
      <w:r>
        <w:rPr>
          <w:color w:val="383638"/>
          <w:spacing w:val="-1"/>
          <w:w w:val="110"/>
        </w:rPr>
        <w:t>a</w:t>
      </w:r>
      <w:r>
        <w:rPr>
          <w:color w:val="383638"/>
          <w:spacing w:val="-2"/>
          <w:w w:val="110"/>
        </w:rPr>
        <w:t> </w:t>
      </w:r>
      <w:r>
        <w:rPr>
          <w:color w:val="383638"/>
          <w:spacing w:val="-1"/>
          <w:w w:val="110"/>
        </w:rPr>
        <w:t>conclusion,</w:t>
      </w:r>
      <w:r>
        <w:rPr>
          <w:color w:val="383638"/>
          <w:spacing w:val="8"/>
          <w:w w:val="110"/>
        </w:rPr>
        <w:t> </w:t>
      </w:r>
      <w:r>
        <w:rPr>
          <w:color w:val="383638"/>
          <w:spacing w:val="-1"/>
          <w:w w:val="110"/>
        </w:rPr>
        <w:t>as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this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example:</w:t>
      </w:r>
    </w:p>
    <w:p>
      <w:pPr>
        <w:spacing w:before="66"/>
        <w:ind w:left="704" w:right="0" w:firstLine="0"/>
        <w:jc w:val="both"/>
        <w:rPr>
          <w:sz w:val="14"/>
        </w:rPr>
      </w:pPr>
      <w:r>
        <w:rPr>
          <w:rFonts w:ascii="Arial"/>
          <w:color w:val="545454"/>
          <w:w w:val="105"/>
          <w:sz w:val="29"/>
          <w:u w:val="thick" w:color="545454"/>
        </w:rPr>
        <w:t>-A</w:t>
      </w:r>
      <w:r>
        <w:rPr>
          <w:rFonts w:ascii="Arial"/>
          <w:color w:val="545454"/>
          <w:spacing w:val="-13"/>
          <w:w w:val="105"/>
          <w:sz w:val="29"/>
          <w:u w:val="thick" w:color="545454"/>
        </w:rPr>
        <w:t> </w:t>
      </w:r>
      <w:r>
        <w:rPr>
          <w:color w:val="545454"/>
          <w:w w:val="105"/>
          <w:sz w:val="14"/>
          <w:u w:val="thick" w:color="545454"/>
        </w:rPr>
        <w:t>G</w:t>
      </w:r>
      <w:r>
        <w:rPr>
          <w:color w:val="6E7072"/>
          <w:w w:val="105"/>
          <w:sz w:val="14"/>
          <w:u w:val="thick" w:color="545454"/>
        </w:rPr>
        <w:t>OO</w:t>
      </w:r>
      <w:r>
        <w:rPr>
          <w:color w:val="545454"/>
          <w:w w:val="105"/>
          <w:sz w:val="14"/>
          <w:u w:val="thick" w:color="545454"/>
        </w:rPr>
        <w:t>D</w:t>
      </w:r>
      <w:r>
        <w:rPr>
          <w:color w:val="545454"/>
          <w:spacing w:val="35"/>
          <w:w w:val="105"/>
          <w:sz w:val="14"/>
          <w:u w:val="thick" w:color="545454"/>
        </w:rPr>
        <w:t> </w:t>
      </w:r>
      <w:r>
        <w:rPr>
          <w:color w:val="545454"/>
          <w:w w:val="105"/>
          <w:sz w:val="14"/>
          <w:u w:val="thick" w:color="545454"/>
        </w:rPr>
        <w:t>EX</w:t>
      </w:r>
      <w:r>
        <w:rPr>
          <w:color w:val="6E7072"/>
          <w:w w:val="105"/>
          <w:sz w:val="14"/>
          <w:u w:val="thick" w:color="545454"/>
        </w:rPr>
        <w:t>AM</w:t>
      </w:r>
      <w:r>
        <w:rPr>
          <w:color w:val="545454"/>
          <w:w w:val="105"/>
          <w:sz w:val="14"/>
          <w:u w:val="thick" w:color="545454"/>
        </w:rPr>
        <w:t>PLE</w:t>
      </w:r>
    </w:p>
    <w:p>
      <w:pPr>
        <w:spacing w:line="230" w:lineRule="auto" w:before="87"/>
        <w:ind w:left="1056" w:right="496" w:firstLine="9"/>
        <w:jc w:val="both"/>
        <w:rPr>
          <w:b/>
          <w:sz w:val="21"/>
        </w:rPr>
      </w:pPr>
      <w:r>
        <w:rPr>
          <w:b/>
          <w:color w:val="383638"/>
          <w:w w:val="105"/>
          <w:sz w:val="21"/>
        </w:rPr>
        <w:t>For </w:t>
      </w:r>
      <w:r>
        <w:rPr>
          <w:b/>
          <w:i/>
          <w:color w:val="383638"/>
          <w:w w:val="105"/>
          <w:sz w:val="21"/>
        </w:rPr>
        <w:t>the</w:t>
      </w:r>
      <w:r>
        <w:rPr>
          <w:b/>
          <w:i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foregoing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reasons,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this Court should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reverse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the  decision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below.</w:t>
      </w:r>
    </w:p>
    <w:p>
      <w:pPr>
        <w:pStyle w:val="BodyText"/>
        <w:spacing w:line="230" w:lineRule="auto" w:before="154"/>
        <w:ind w:left="638" w:right="171" w:firstLine="50"/>
        <w:jc w:val="both"/>
      </w:pPr>
      <w:r>
        <w:rPr>
          <w:color w:val="383638"/>
          <w:w w:val="105"/>
        </w:rPr>
        <w:t>It can be effective to make the conclusion more specific to your case. Even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if you wish to do so, however, you should usually avoid writing a lengthy</w:t>
      </w:r>
      <w:r>
        <w:rPr>
          <w:color w:val="383638"/>
          <w:spacing w:val="1"/>
          <w:w w:val="105"/>
        </w:rPr>
        <w:t> </w:t>
      </w:r>
      <w:r>
        <w:rPr>
          <w:color w:val="383638"/>
          <w:spacing w:val="-1"/>
          <w:w w:val="110"/>
        </w:rPr>
        <w:t>conclusion. Instead, substitute your best reason(s) </w:t>
      </w:r>
      <w:r>
        <w:rPr>
          <w:color w:val="383638"/>
          <w:w w:val="110"/>
        </w:rPr>
        <w:t>for the opening clause</w:t>
      </w:r>
      <w:r>
        <w:rPr>
          <w:color w:val="545454"/>
          <w:w w:val="110"/>
        </w:rPr>
        <w:t>,</w:t>
      </w:r>
      <w:r>
        <w:rPr>
          <w:color w:val="545454"/>
          <w:spacing w:val="1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29"/>
          <w:w w:val="110"/>
        </w:rPr>
        <w:t> </w:t>
      </w:r>
      <w:r>
        <w:rPr>
          <w:color w:val="383638"/>
          <w:w w:val="110"/>
        </w:rPr>
        <w:t>this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example</w:t>
      </w:r>
      <w:r>
        <w:rPr>
          <w:color w:val="545454"/>
          <w:w w:val="110"/>
        </w:rPr>
        <w:t>:</w:t>
      </w:r>
    </w:p>
    <w:p>
      <w:pPr>
        <w:spacing w:before="18"/>
        <w:ind w:left="608" w:right="0" w:firstLine="0"/>
        <w:jc w:val="both"/>
        <w:rPr>
          <w:sz w:val="14"/>
        </w:rPr>
      </w:pPr>
      <w:r>
        <w:rPr>
          <w:i/>
          <w:color w:val="6E7072"/>
          <w:w w:val="110"/>
          <w:sz w:val="33"/>
          <w:u w:val="thick" w:color="6E7072"/>
        </w:rPr>
        <w:t>-I\</w:t>
      </w:r>
      <w:r>
        <w:rPr>
          <w:i/>
          <w:color w:val="6E7072"/>
          <w:spacing w:val="-49"/>
          <w:w w:val="110"/>
          <w:sz w:val="33"/>
        </w:rPr>
        <w:t> </w:t>
      </w:r>
      <w:r>
        <w:rPr>
          <w:color w:val="545454"/>
          <w:w w:val="110"/>
          <w:sz w:val="14"/>
          <w:u w:val="thick" w:color="545454"/>
        </w:rPr>
        <w:t>G</w:t>
      </w:r>
      <w:r>
        <w:rPr>
          <w:color w:val="6E7072"/>
          <w:w w:val="110"/>
          <w:sz w:val="14"/>
          <w:u w:val="thick" w:color="545454"/>
        </w:rPr>
        <w:t>OOD</w:t>
      </w:r>
      <w:r>
        <w:rPr>
          <w:color w:val="6E7072"/>
          <w:spacing w:val="22"/>
          <w:w w:val="110"/>
          <w:sz w:val="14"/>
          <w:u w:val="thick" w:color="545454"/>
        </w:rPr>
        <w:t> </w:t>
      </w:r>
      <w:r>
        <w:rPr>
          <w:color w:val="545454"/>
          <w:w w:val="110"/>
          <w:sz w:val="14"/>
          <w:u w:val="thick" w:color="545454"/>
        </w:rPr>
        <w:t>£.l(</w:t>
      </w:r>
      <w:r>
        <w:rPr>
          <w:color w:val="6E7072"/>
          <w:w w:val="110"/>
          <w:sz w:val="14"/>
          <w:u w:val="thick" w:color="545454"/>
        </w:rPr>
        <w:t>AMP</w:t>
      </w:r>
      <w:r>
        <w:rPr>
          <w:color w:val="545454"/>
          <w:w w:val="110"/>
          <w:sz w:val="14"/>
          <w:u w:val="thick" w:color="545454"/>
        </w:rPr>
        <w:t>L£</w:t>
      </w:r>
    </w:p>
    <w:p>
      <w:pPr>
        <w:spacing w:line="235" w:lineRule="auto" w:before="74"/>
        <w:ind w:left="945" w:right="507" w:firstLine="34"/>
        <w:jc w:val="both"/>
        <w:rPr>
          <w:b/>
          <w:sz w:val="21"/>
        </w:rPr>
      </w:pPr>
      <w:r>
        <w:rPr>
          <w:color w:val="383638"/>
          <w:w w:val="115"/>
          <w:sz w:val="21"/>
        </w:rPr>
        <w:t>Because the First Amendment should never be Interpreted in a way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that keeps truthful information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from consumers,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this Court should</w:t>
      </w:r>
      <w:r>
        <w:rPr>
          <w:color w:val="383638"/>
          <w:spacing w:val="1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affirm</w:t>
      </w:r>
      <w:r>
        <w:rPr>
          <w:b/>
          <w:color w:val="383638"/>
          <w:spacing w:val="-3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the decision</w:t>
      </w:r>
      <w:r>
        <w:rPr>
          <w:b/>
          <w:color w:val="383638"/>
          <w:spacing w:val="3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below.</w:t>
      </w:r>
    </w:p>
    <w:p>
      <w:pPr>
        <w:pStyle w:val="BodyText"/>
        <w:spacing w:line="232" w:lineRule="auto" w:before="150"/>
        <w:ind w:left="513" w:right="176" w:firstLine="73"/>
        <w:jc w:val="both"/>
      </w:pPr>
      <w:r>
        <w:rPr>
          <w:color w:val="383638"/>
          <w:w w:val="110"/>
        </w:rPr>
        <w:t>You</w:t>
      </w:r>
      <w:r>
        <w:rPr>
          <w:color w:val="383638"/>
          <w:spacing w:val="1"/>
          <w:w w:val="110"/>
        </w:rPr>
        <w:t> </w:t>
      </w:r>
      <w:r>
        <w:rPr>
          <w:i/>
          <w:color w:val="383638"/>
          <w:w w:val="110"/>
        </w:rPr>
        <w:t>will </w:t>
      </w:r>
      <w:r>
        <w:rPr>
          <w:color w:val="383638"/>
          <w:w w:val="110"/>
        </w:rPr>
        <w:t>sometimes see flowery language 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conclusion,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such as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"Counsel for the Petitioner respectfully requests that the Court affirm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decision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below</w:t>
      </w:r>
      <w:r>
        <w:rPr>
          <w:color w:val="545454"/>
          <w:w w:val="110"/>
        </w:rPr>
        <w:t>.</w:t>
      </w:r>
      <w:r>
        <w:rPr>
          <w:color w:val="383638"/>
          <w:w w:val="110"/>
        </w:rPr>
        <w:t>"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Although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this</w:t>
      </w:r>
      <w:r>
        <w:rPr>
          <w:color w:val="383638"/>
          <w:spacing w:val="-22"/>
          <w:w w:val="110"/>
        </w:rPr>
        <w:t> </w:t>
      </w:r>
      <w:r>
        <w:rPr>
          <w:color w:val="383638"/>
          <w:w w:val="110"/>
        </w:rPr>
        <w:t>language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probably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does</w:t>
      </w:r>
      <w:r>
        <w:rPr>
          <w:color w:val="383638"/>
          <w:spacing w:val="-29"/>
          <w:w w:val="110"/>
        </w:rPr>
        <w:t> </w:t>
      </w:r>
      <w:r>
        <w:rPr>
          <w:color w:val="383638"/>
          <w:w w:val="110"/>
        </w:rPr>
        <w:t>not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hurt</w:t>
      </w:r>
      <w:r>
        <w:rPr>
          <w:color w:val="383638"/>
          <w:spacing w:val="-23"/>
          <w:w w:val="110"/>
        </w:rPr>
        <w:t> </w:t>
      </w:r>
      <w:r>
        <w:rPr>
          <w:color w:val="383638"/>
          <w:w w:val="110"/>
        </w:rPr>
        <w:t>counsel,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  <w:sz w:val="21"/>
        </w:rPr>
        <w:t>it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spacing w:val="-1"/>
          <w:w w:val="110"/>
        </w:rPr>
        <w:t>probably does not help, either. Because </w:t>
      </w:r>
      <w:r>
        <w:rPr>
          <w:color w:val="383638"/>
          <w:w w:val="110"/>
        </w:rPr>
        <w:t>the words "respectfully submitted"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appear</w:t>
      </w:r>
      <w:r>
        <w:rPr>
          <w:color w:val="383638"/>
          <w:spacing w:val="-21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signature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block,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just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below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conclusion,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there is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probably</w:t>
      </w:r>
    </w:p>
    <w:p>
      <w:pPr>
        <w:spacing w:after="0" w:line="232" w:lineRule="auto"/>
        <w:jc w:val="both"/>
        <w:sectPr>
          <w:headerReference w:type="even" r:id="rId199"/>
          <w:headerReference w:type="default" r:id="rId200"/>
          <w:pgSz w:w="9560" w:h="13790"/>
          <w:pgMar w:header="395" w:footer="0" w:top="980" w:bottom="0" w:left="1320" w:right="0"/>
          <w:pgNumType w:start="176"/>
        </w:sectPr>
      </w:pPr>
    </w:p>
    <w:p>
      <w:pPr>
        <w:pStyle w:val="BodyText"/>
        <w:spacing w:line="230" w:lineRule="auto" w:before="89"/>
        <w:ind w:left="108" w:right="297" w:firstLine="13"/>
        <w:jc w:val="both"/>
      </w:pPr>
      <w:r>
        <w:rPr>
          <w:color w:val="383638"/>
          <w:w w:val="110"/>
        </w:rPr>
        <w:t>no need to use "respectfully" in the conclusion itself. Indeed, briefs filed</w:t>
      </w:r>
      <w:r>
        <w:rPr>
          <w:color w:val="383638"/>
          <w:spacing w:val="1"/>
          <w:w w:val="110"/>
        </w:rPr>
        <w:t> </w:t>
      </w:r>
      <w:r>
        <w:rPr>
          <w:rFonts w:ascii="Arial"/>
          <w:color w:val="383638"/>
          <w:w w:val="110"/>
        </w:rPr>
        <w:t>by</w:t>
      </w:r>
      <w:r>
        <w:rPr>
          <w:rFonts w:ascii="Arial"/>
          <w:color w:val="383638"/>
          <w:spacing w:val="-4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solicitor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general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9"/>
          <w:w w:val="110"/>
        </w:rPr>
        <w:t> </w:t>
      </w:r>
      <w:r>
        <w:rPr>
          <w:color w:val="383638"/>
          <w:w w:val="110"/>
        </w:rPr>
        <w:t>United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States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typically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have</w:t>
      </w:r>
      <w:r>
        <w:rPr>
          <w:color w:val="383638"/>
          <w:spacing w:val="-22"/>
          <w:w w:val="110"/>
        </w:rPr>
        <w:t> </w:t>
      </w:r>
      <w:r>
        <w:rPr>
          <w:color w:val="383638"/>
          <w:w w:val="110"/>
        </w:rPr>
        <w:t>extremely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short</w:t>
      </w:r>
      <w:r>
        <w:rPr>
          <w:color w:val="383638"/>
          <w:spacing w:val="-61"/>
          <w:w w:val="110"/>
        </w:rPr>
        <w:t> </w:t>
      </w:r>
      <w:r>
        <w:rPr>
          <w:color w:val="383638"/>
          <w:spacing w:val="-1"/>
          <w:w w:val="110"/>
        </w:rPr>
        <w:t>conclusions,</w:t>
      </w:r>
      <w:r>
        <w:rPr>
          <w:color w:val="383638"/>
          <w:spacing w:val="-9"/>
          <w:w w:val="110"/>
        </w:rPr>
        <w:t> </w:t>
      </w:r>
      <w:r>
        <w:rPr>
          <w:color w:val="383638"/>
          <w:spacing w:val="-1"/>
          <w:w w:val="110"/>
        </w:rPr>
        <w:t>consisting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most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often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an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extremely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short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request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relief</w:t>
      </w:r>
      <w:r>
        <w:rPr>
          <w:color w:val="5D5D5E"/>
          <w:w w:val="110"/>
        </w:rPr>
        <w:t>:</w:t>
      </w:r>
    </w:p>
    <w:p>
      <w:pPr>
        <w:pStyle w:val="BodyText"/>
        <w:spacing w:before="6"/>
        <w:rPr>
          <w:sz w:val="11"/>
        </w:rPr>
      </w:pPr>
    </w:p>
    <w:p>
      <w:pPr>
        <w:spacing w:before="96"/>
        <w:ind w:left="135" w:right="0" w:firstLine="0"/>
        <w:jc w:val="both"/>
        <w:rPr>
          <w:rFonts w:ascii="Arial"/>
          <w:sz w:val="14"/>
        </w:rPr>
      </w:pPr>
      <w:r>
        <w:rPr>
          <w:rFonts w:ascii="Arial"/>
          <w:color w:val="383638"/>
          <w:w w:val="110"/>
          <w:sz w:val="14"/>
          <w:u w:val="thick" w:color="383638"/>
        </w:rPr>
        <w:t>_/\...GOOD</w:t>
      </w:r>
      <w:r>
        <w:rPr>
          <w:rFonts w:ascii="Arial"/>
          <w:color w:val="383638"/>
          <w:spacing w:val="-9"/>
          <w:w w:val="110"/>
          <w:sz w:val="14"/>
          <w:u w:val="thick" w:color="383638"/>
        </w:rPr>
        <w:t> </w:t>
      </w:r>
      <w:r>
        <w:rPr>
          <w:rFonts w:ascii="Arial"/>
          <w:color w:val="5D5D5E"/>
          <w:w w:val="110"/>
          <w:sz w:val="14"/>
          <w:u w:val="thick" w:color="383638"/>
        </w:rPr>
        <w:t>EX</w:t>
      </w:r>
      <w:r>
        <w:rPr>
          <w:rFonts w:ascii="Arial"/>
          <w:color w:val="383638"/>
          <w:w w:val="110"/>
          <w:sz w:val="14"/>
          <w:u w:val="thick" w:color="383638"/>
        </w:rPr>
        <w:t>A</w:t>
      </w:r>
      <w:r>
        <w:rPr>
          <w:rFonts w:ascii="Arial"/>
          <w:color w:val="5D5D5E"/>
          <w:w w:val="110"/>
          <w:sz w:val="14"/>
          <w:u w:val="thick" w:color="383638"/>
        </w:rPr>
        <w:t>M</w:t>
      </w:r>
      <w:r>
        <w:rPr>
          <w:rFonts w:ascii="Arial"/>
          <w:color w:val="383638"/>
          <w:w w:val="110"/>
          <w:sz w:val="14"/>
          <w:u w:val="thick" w:color="383638"/>
        </w:rPr>
        <w:t>PL</w:t>
      </w:r>
      <w:r>
        <w:rPr>
          <w:rFonts w:ascii="Arial"/>
          <w:color w:val="5D5D5E"/>
          <w:w w:val="110"/>
          <w:sz w:val="14"/>
          <w:u w:val="thick" w:color="383638"/>
        </w:rPr>
        <w:t>E</w:t>
      </w:r>
      <w:r>
        <w:rPr>
          <w:rFonts w:ascii="Arial"/>
          <w:color w:val="383638"/>
          <w:w w:val="110"/>
          <w:sz w:val="14"/>
          <w:u w:val="thick" w:color="383638"/>
        </w:rPr>
        <w:t>S</w:t>
      </w:r>
    </w:p>
    <w:p>
      <w:pPr>
        <w:spacing w:line="374" w:lineRule="auto" w:before="82"/>
        <w:ind w:left="435" w:right="1854" w:firstLine="0"/>
        <w:jc w:val="both"/>
        <w:rPr>
          <w:sz w:val="21"/>
        </w:rPr>
      </w:pPr>
      <w:r>
        <w:rPr>
          <w:color w:val="383638"/>
          <w:w w:val="115"/>
          <w:sz w:val="21"/>
        </w:rPr>
        <w:t>The judgment of the court of appeals should be reversed.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The</w:t>
      </w:r>
      <w:r>
        <w:rPr>
          <w:color w:val="383638"/>
          <w:spacing w:val="5"/>
          <w:w w:val="115"/>
          <w:sz w:val="21"/>
        </w:rPr>
        <w:t> </w:t>
      </w:r>
      <w:r>
        <w:rPr>
          <w:color w:val="383638"/>
          <w:w w:val="115"/>
          <w:sz w:val="21"/>
        </w:rPr>
        <w:t>judgment</w:t>
      </w:r>
      <w:r>
        <w:rPr>
          <w:color w:val="383638"/>
          <w:spacing w:val="14"/>
          <w:w w:val="115"/>
          <w:sz w:val="21"/>
        </w:rPr>
        <w:t> </w:t>
      </w:r>
      <w:r>
        <w:rPr>
          <w:color w:val="383638"/>
          <w:w w:val="115"/>
          <w:sz w:val="21"/>
        </w:rPr>
        <w:t>of</w:t>
      </w:r>
      <w:r>
        <w:rPr>
          <w:color w:val="383638"/>
          <w:spacing w:val="21"/>
          <w:w w:val="115"/>
          <w:sz w:val="21"/>
        </w:rPr>
        <w:t> </w:t>
      </w:r>
      <w:r>
        <w:rPr>
          <w:color w:val="383638"/>
          <w:w w:val="115"/>
          <w:sz w:val="21"/>
        </w:rPr>
        <w:t>the</w:t>
      </w:r>
      <w:r>
        <w:rPr>
          <w:color w:val="383638"/>
          <w:spacing w:val="38"/>
          <w:w w:val="115"/>
          <w:sz w:val="21"/>
        </w:rPr>
        <w:t> </w:t>
      </w:r>
      <w:r>
        <w:rPr>
          <w:color w:val="383638"/>
          <w:w w:val="115"/>
          <w:sz w:val="21"/>
        </w:rPr>
        <w:t>court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of</w:t>
      </w:r>
      <w:r>
        <w:rPr>
          <w:color w:val="383638"/>
          <w:spacing w:val="-4"/>
          <w:w w:val="115"/>
          <w:sz w:val="21"/>
        </w:rPr>
        <w:t> </w:t>
      </w:r>
      <w:r>
        <w:rPr>
          <w:color w:val="383638"/>
          <w:w w:val="115"/>
          <w:sz w:val="21"/>
        </w:rPr>
        <w:t>appeals</w:t>
      </w:r>
      <w:r>
        <w:rPr>
          <w:color w:val="383638"/>
          <w:spacing w:val="-12"/>
          <w:w w:val="115"/>
          <w:sz w:val="21"/>
        </w:rPr>
        <w:t> </w:t>
      </w:r>
      <w:r>
        <w:rPr>
          <w:color w:val="383638"/>
          <w:w w:val="115"/>
          <w:sz w:val="21"/>
        </w:rPr>
        <w:t>should</w:t>
      </w:r>
      <w:r>
        <w:rPr>
          <w:color w:val="383638"/>
          <w:spacing w:val="10"/>
          <w:w w:val="115"/>
          <w:sz w:val="21"/>
        </w:rPr>
        <w:t> </w:t>
      </w:r>
      <w:r>
        <w:rPr>
          <w:color w:val="383638"/>
          <w:w w:val="115"/>
          <w:sz w:val="21"/>
        </w:rPr>
        <w:t>be</w:t>
      </w:r>
      <w:r>
        <w:rPr>
          <w:color w:val="383638"/>
          <w:spacing w:val="-14"/>
          <w:w w:val="115"/>
          <w:sz w:val="21"/>
        </w:rPr>
        <w:t> </w:t>
      </w:r>
      <w:r>
        <w:rPr>
          <w:color w:val="383638"/>
          <w:w w:val="115"/>
          <w:sz w:val="21"/>
        </w:rPr>
        <w:t>affirmed.</w:t>
      </w:r>
    </w:p>
    <w:p>
      <w:pPr>
        <w:pStyle w:val="BodyText"/>
        <w:spacing w:line="232" w:lineRule="auto" w:before="16"/>
        <w:ind w:left="126" w:right="298" w:hanging="17"/>
        <w:jc w:val="both"/>
      </w:pPr>
      <w:r>
        <w:rPr>
          <w:color w:val="383638"/>
          <w:w w:val="110"/>
        </w:rPr>
        <w:t>Some courts will have little patience for a conclusion that is much longer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than a paragraph. Make sure that you are aware of both local rules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local</w:t>
      </w:r>
      <w:r>
        <w:rPr>
          <w:color w:val="383638"/>
          <w:spacing w:val="-23"/>
          <w:w w:val="115"/>
        </w:rPr>
        <w:t> </w:t>
      </w:r>
      <w:r>
        <w:rPr>
          <w:color w:val="383638"/>
          <w:w w:val="115"/>
        </w:rPr>
        <w:t>customs</w:t>
      </w:r>
      <w:r>
        <w:rPr>
          <w:color w:val="383638"/>
          <w:spacing w:val="-13"/>
          <w:w w:val="115"/>
        </w:rPr>
        <w:t> </w:t>
      </w:r>
      <w:r>
        <w:rPr>
          <w:color w:val="383638"/>
          <w:w w:val="115"/>
        </w:rPr>
        <w:t>in</w:t>
      </w:r>
      <w:r>
        <w:rPr>
          <w:color w:val="383638"/>
          <w:spacing w:val="10"/>
          <w:w w:val="115"/>
        </w:rPr>
        <w:t> </w:t>
      </w:r>
      <w:r>
        <w:rPr>
          <w:color w:val="383638"/>
          <w:w w:val="115"/>
        </w:rPr>
        <w:t>this</w:t>
      </w:r>
      <w:r>
        <w:rPr>
          <w:color w:val="383638"/>
          <w:spacing w:val="-15"/>
          <w:w w:val="115"/>
        </w:rPr>
        <w:t> </w:t>
      </w:r>
      <w:r>
        <w:rPr>
          <w:color w:val="383638"/>
          <w:w w:val="115"/>
        </w:rPr>
        <w:t>regard.</w:t>
      </w:r>
    </w:p>
    <w:p>
      <w:pPr>
        <w:pStyle w:val="BodyText"/>
        <w:spacing w:before="6"/>
        <w:rPr>
          <w:sz w:val="35"/>
        </w:rPr>
      </w:pPr>
    </w:p>
    <w:p>
      <w:pPr>
        <w:spacing w:before="1"/>
        <w:ind w:left="469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383638"/>
          <w:w w:val="105"/>
          <w:sz w:val="27"/>
        </w:rPr>
        <w:t>8.4.1</w:t>
      </w:r>
      <w:r>
        <w:rPr>
          <w:rFonts w:ascii="Arial"/>
          <w:b/>
          <w:color w:val="5D5D5E"/>
          <w:w w:val="105"/>
          <w:sz w:val="27"/>
        </w:rPr>
        <w:t>4</w:t>
      </w:r>
    </w:p>
    <w:p>
      <w:pPr>
        <w:spacing w:before="63"/>
        <w:ind w:left="483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383638"/>
          <w:w w:val="110"/>
          <w:sz w:val="20"/>
        </w:rPr>
        <w:t>SIG</w:t>
      </w:r>
      <w:r>
        <w:rPr>
          <w:rFonts w:ascii="Arial"/>
          <w:b/>
          <w:color w:val="5D5D5E"/>
          <w:w w:val="110"/>
          <w:sz w:val="20"/>
        </w:rPr>
        <w:t>NA</w:t>
      </w:r>
      <w:r>
        <w:rPr>
          <w:rFonts w:ascii="Arial"/>
          <w:b/>
          <w:color w:val="808283"/>
          <w:w w:val="110"/>
          <w:sz w:val="20"/>
        </w:rPr>
        <w:t>T</w:t>
      </w:r>
      <w:r>
        <w:rPr>
          <w:rFonts w:ascii="Arial"/>
          <w:b/>
          <w:color w:val="5D5D5E"/>
          <w:w w:val="110"/>
          <w:sz w:val="20"/>
        </w:rPr>
        <w:t>U</w:t>
      </w:r>
      <w:r>
        <w:rPr>
          <w:rFonts w:ascii="Arial"/>
          <w:b/>
          <w:color w:val="808283"/>
          <w:w w:val="110"/>
          <w:sz w:val="20"/>
        </w:rPr>
        <w:t>RE</w:t>
      </w:r>
    </w:p>
    <w:p>
      <w:pPr>
        <w:pStyle w:val="BodyText"/>
        <w:spacing w:line="232" w:lineRule="auto" w:before="145"/>
        <w:ind w:left="131" w:right="256" w:firstLine="313"/>
        <w:jc w:val="both"/>
      </w:pPr>
      <w:r>
        <w:rPr>
          <w:color w:val="383638"/>
          <w:w w:val="110"/>
        </w:rPr>
        <w:t>The rules of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United States Supreme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Court do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not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specifically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require that attorneys sign briefs (although certificates of service must be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signed)</w:t>
      </w:r>
      <w:r>
        <w:rPr>
          <w:color w:val="5D5D5E"/>
          <w:w w:val="110"/>
        </w:rPr>
        <w:t>.</w:t>
      </w:r>
      <w:r>
        <w:rPr>
          <w:color w:val="5D5D5E"/>
          <w:spacing w:val="-2"/>
          <w:w w:val="110"/>
        </w:rPr>
        <w:t> </w:t>
      </w:r>
      <w:r>
        <w:rPr>
          <w:color w:val="383638"/>
          <w:w w:val="110"/>
        </w:rPr>
        <w:t>Rule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34.3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requires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body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every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document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(i.e.,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informa­</w:t>
      </w:r>
      <w:r>
        <w:rPr>
          <w:color w:val="383638"/>
          <w:spacing w:val="-60"/>
          <w:w w:val="110"/>
        </w:rPr>
        <w:t> </w:t>
      </w:r>
      <w:r>
        <w:rPr>
          <w:color w:val="383638"/>
          <w:w w:val="110"/>
        </w:rPr>
        <w:t>tion before any certificate of service or appendix) "shall bear at its close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name</w:t>
      </w:r>
      <w:r>
        <w:rPr>
          <w:color w:val="383638"/>
          <w:spacing w:val="-23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counsel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record."</w:t>
      </w:r>
    </w:p>
    <w:p>
      <w:pPr>
        <w:pStyle w:val="BodyText"/>
        <w:spacing w:line="235" w:lineRule="auto" w:before="16"/>
        <w:ind w:left="141" w:firstLine="318"/>
      </w:pPr>
      <w:r>
        <w:rPr>
          <w:color w:val="383638"/>
          <w:w w:val="115"/>
        </w:rPr>
        <w:t>Although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other courts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have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traditionally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required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a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signature,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th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0"/>
        </w:rPr>
        <w:t>practice is changing with the rise of electronic service. The Third Circuit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Local</w:t>
      </w:r>
      <w:r>
        <w:rPr>
          <w:color w:val="383638"/>
          <w:spacing w:val="3"/>
          <w:w w:val="115"/>
        </w:rPr>
        <w:t> </w:t>
      </w:r>
      <w:r>
        <w:rPr>
          <w:color w:val="383638"/>
          <w:w w:val="115"/>
        </w:rPr>
        <w:t>Appellate</w:t>
      </w:r>
      <w:r>
        <w:rPr>
          <w:color w:val="383638"/>
          <w:spacing w:val="16"/>
          <w:w w:val="115"/>
        </w:rPr>
        <w:t> </w:t>
      </w:r>
      <w:r>
        <w:rPr>
          <w:color w:val="383638"/>
          <w:w w:val="115"/>
        </w:rPr>
        <w:t>Rule</w:t>
      </w:r>
      <w:r>
        <w:rPr>
          <w:color w:val="383638"/>
          <w:spacing w:val="7"/>
          <w:w w:val="115"/>
        </w:rPr>
        <w:t> </w:t>
      </w:r>
      <w:r>
        <w:rPr>
          <w:color w:val="383638"/>
          <w:w w:val="115"/>
        </w:rPr>
        <w:t>46.4</w:t>
      </w:r>
      <w:r>
        <w:rPr>
          <w:color w:val="383638"/>
          <w:spacing w:val="8"/>
          <w:w w:val="115"/>
        </w:rPr>
        <w:t> </w:t>
      </w:r>
      <w:r>
        <w:rPr>
          <w:color w:val="383638"/>
          <w:w w:val="115"/>
        </w:rPr>
        <w:t>provides</w:t>
      </w:r>
      <w:r>
        <w:rPr>
          <w:color w:val="383638"/>
          <w:spacing w:val="3"/>
          <w:w w:val="115"/>
        </w:rPr>
        <w:t> </w:t>
      </w:r>
      <w:r>
        <w:rPr>
          <w:color w:val="383638"/>
          <w:w w:val="115"/>
        </w:rPr>
        <w:t>that</w:t>
      </w:r>
      <w:r>
        <w:rPr>
          <w:color w:val="383638"/>
          <w:spacing w:val="2"/>
          <w:w w:val="115"/>
        </w:rPr>
        <w:t> </w:t>
      </w:r>
      <w:r>
        <w:rPr>
          <w:color w:val="383638"/>
          <w:w w:val="115"/>
        </w:rPr>
        <w:t>"[a]ll</w:t>
      </w:r>
      <w:r>
        <w:rPr>
          <w:color w:val="383638"/>
          <w:spacing w:val="-1"/>
          <w:w w:val="115"/>
        </w:rPr>
        <w:t> </w:t>
      </w:r>
      <w:r>
        <w:rPr>
          <w:color w:val="383638"/>
          <w:w w:val="115"/>
        </w:rPr>
        <w:t>documents,</w:t>
      </w:r>
      <w:r>
        <w:rPr>
          <w:color w:val="383638"/>
          <w:spacing w:val="18"/>
          <w:w w:val="115"/>
        </w:rPr>
        <w:t> </w:t>
      </w:r>
      <w:r>
        <w:rPr>
          <w:color w:val="383638"/>
          <w:w w:val="115"/>
        </w:rPr>
        <w:t>motions</w:t>
      </w:r>
      <w:r>
        <w:rPr>
          <w:color w:val="383638"/>
          <w:spacing w:val="-1"/>
          <w:w w:val="115"/>
        </w:rPr>
        <w:t> </w:t>
      </w:r>
      <w:r>
        <w:rPr>
          <w:color w:val="383638"/>
          <w:w w:val="115"/>
        </w:rPr>
        <w:t>a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briefs</w:t>
      </w:r>
      <w:r>
        <w:rPr>
          <w:color w:val="383638"/>
          <w:spacing w:val="26"/>
          <w:w w:val="115"/>
        </w:rPr>
        <w:t> </w:t>
      </w:r>
      <w:r>
        <w:rPr>
          <w:color w:val="383638"/>
          <w:w w:val="115"/>
        </w:rPr>
        <w:t>must</w:t>
      </w:r>
      <w:r>
        <w:rPr>
          <w:color w:val="383638"/>
          <w:spacing w:val="36"/>
          <w:w w:val="115"/>
        </w:rPr>
        <w:t> </w:t>
      </w:r>
      <w:r>
        <w:rPr>
          <w:color w:val="383638"/>
          <w:w w:val="115"/>
        </w:rPr>
        <w:t>be</w:t>
      </w:r>
      <w:r>
        <w:rPr>
          <w:color w:val="383638"/>
          <w:spacing w:val="17"/>
          <w:w w:val="115"/>
        </w:rPr>
        <w:t> </w:t>
      </w:r>
      <w:r>
        <w:rPr>
          <w:color w:val="383638"/>
          <w:w w:val="115"/>
        </w:rPr>
        <w:t>signed</w:t>
      </w:r>
      <w:r>
        <w:rPr>
          <w:color w:val="383638"/>
          <w:spacing w:val="36"/>
          <w:w w:val="115"/>
        </w:rPr>
        <w:t> </w:t>
      </w:r>
      <w:r>
        <w:rPr>
          <w:color w:val="383638"/>
          <w:w w:val="115"/>
        </w:rPr>
        <w:t>by</w:t>
      </w:r>
      <w:r>
        <w:rPr>
          <w:color w:val="383638"/>
          <w:spacing w:val="29"/>
          <w:w w:val="115"/>
        </w:rPr>
        <w:t> </w:t>
      </w:r>
      <w:r>
        <w:rPr>
          <w:color w:val="383638"/>
          <w:w w:val="115"/>
        </w:rPr>
        <w:t>an</w:t>
      </w:r>
      <w:r>
        <w:rPr>
          <w:color w:val="383638"/>
          <w:spacing w:val="50"/>
          <w:w w:val="115"/>
        </w:rPr>
        <w:t> </w:t>
      </w:r>
      <w:r>
        <w:rPr>
          <w:color w:val="383638"/>
          <w:w w:val="115"/>
        </w:rPr>
        <w:t>attorney</w:t>
      </w:r>
      <w:r>
        <w:rPr>
          <w:color w:val="383638"/>
          <w:spacing w:val="29"/>
          <w:w w:val="115"/>
        </w:rPr>
        <w:t> </w:t>
      </w:r>
      <w:r>
        <w:rPr>
          <w:color w:val="383638"/>
          <w:w w:val="115"/>
        </w:rPr>
        <w:t>or</w:t>
      </w:r>
      <w:r>
        <w:rPr>
          <w:color w:val="383638"/>
          <w:spacing w:val="31"/>
          <w:w w:val="115"/>
        </w:rPr>
        <w:t> </w:t>
      </w:r>
      <w:r>
        <w:rPr>
          <w:color w:val="383638"/>
          <w:w w:val="115"/>
        </w:rPr>
        <w:t>by</w:t>
      </w:r>
      <w:r>
        <w:rPr>
          <w:color w:val="383638"/>
          <w:spacing w:val="19"/>
          <w:w w:val="115"/>
        </w:rPr>
        <w:t> </w:t>
      </w:r>
      <w:r>
        <w:rPr>
          <w:color w:val="383638"/>
          <w:w w:val="115"/>
        </w:rPr>
        <w:t>a</w:t>
      </w:r>
      <w:r>
        <w:rPr>
          <w:color w:val="383638"/>
          <w:spacing w:val="30"/>
          <w:w w:val="115"/>
        </w:rPr>
        <w:t> </w:t>
      </w:r>
      <w:r>
        <w:rPr>
          <w:color w:val="383638"/>
          <w:w w:val="115"/>
        </w:rPr>
        <w:t>party</w:t>
      </w:r>
      <w:r>
        <w:rPr>
          <w:color w:val="383638"/>
          <w:spacing w:val="26"/>
          <w:w w:val="115"/>
        </w:rPr>
        <w:t> </w:t>
      </w:r>
      <w:r>
        <w:rPr>
          <w:color w:val="383638"/>
          <w:w w:val="115"/>
        </w:rPr>
        <w:t>appearing</w:t>
      </w:r>
      <w:r>
        <w:rPr>
          <w:color w:val="383638"/>
          <w:spacing w:val="39"/>
          <w:w w:val="115"/>
        </w:rPr>
        <w:t> </w:t>
      </w:r>
      <w:r>
        <w:rPr>
          <w:color w:val="383638"/>
          <w:w w:val="115"/>
        </w:rPr>
        <w:t>pro</w:t>
      </w:r>
      <w:r>
        <w:rPr>
          <w:color w:val="383638"/>
          <w:spacing w:val="12"/>
          <w:w w:val="115"/>
        </w:rPr>
        <w:t> </w:t>
      </w:r>
      <w:r>
        <w:rPr>
          <w:color w:val="383638"/>
          <w:w w:val="115"/>
        </w:rPr>
        <w:t>se.</w:t>
      </w:r>
      <w:r>
        <w:rPr>
          <w:color w:val="383638"/>
          <w:spacing w:val="-63"/>
          <w:w w:val="115"/>
        </w:rPr>
        <w:t> </w:t>
      </w:r>
      <w:r>
        <w:rPr>
          <w:color w:val="383638"/>
          <w:spacing w:val="-1"/>
          <w:w w:val="115"/>
        </w:rPr>
        <w:t>Electronically filed documents </w:t>
      </w:r>
      <w:r>
        <w:rPr>
          <w:color w:val="383638"/>
          <w:w w:val="115"/>
        </w:rPr>
        <w:t>must be signed with either an electronic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5"/>
        </w:rPr>
        <w:t>signature or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's/typed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name."' Likewise,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Local Rule 28.4 specifies that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0"/>
        </w:rPr>
        <w:t>"[e]lectronic briefs may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be signed with either an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electronically generated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signature or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's/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typed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name' 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signature location. Counsel's state bar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number, if any, and address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phone number must be included with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signature."</w:t>
      </w:r>
    </w:p>
    <w:p>
      <w:pPr>
        <w:pStyle w:val="BodyText"/>
        <w:spacing w:line="230" w:lineRule="exact"/>
        <w:ind w:left="479"/>
      </w:pPr>
      <w:r>
        <w:rPr>
          <w:color w:val="383638"/>
          <w:w w:val="115"/>
        </w:rPr>
        <w:t>Unless rules</w:t>
      </w:r>
      <w:r>
        <w:rPr>
          <w:color w:val="383638"/>
          <w:spacing w:val="-14"/>
          <w:w w:val="115"/>
        </w:rPr>
        <w:t> </w:t>
      </w:r>
      <w:r>
        <w:rPr>
          <w:color w:val="383638"/>
          <w:w w:val="115"/>
        </w:rPr>
        <w:t>specify</w:t>
      </w:r>
      <w:r>
        <w:rPr>
          <w:color w:val="383638"/>
          <w:spacing w:val="-9"/>
          <w:w w:val="115"/>
        </w:rPr>
        <w:t> </w:t>
      </w:r>
      <w:r>
        <w:rPr>
          <w:color w:val="383638"/>
          <w:w w:val="115"/>
        </w:rPr>
        <w:t>otherwise,</w:t>
      </w:r>
      <w:r>
        <w:rPr>
          <w:color w:val="383638"/>
          <w:spacing w:val="10"/>
          <w:w w:val="115"/>
        </w:rPr>
        <w:t> </w:t>
      </w:r>
      <w:r>
        <w:rPr>
          <w:color w:val="383638"/>
          <w:w w:val="115"/>
        </w:rPr>
        <w:t>you</w:t>
      </w:r>
      <w:r>
        <w:rPr>
          <w:color w:val="383638"/>
          <w:spacing w:val="-2"/>
          <w:w w:val="115"/>
        </w:rPr>
        <w:t> </w:t>
      </w:r>
      <w:r>
        <w:rPr>
          <w:color w:val="383638"/>
          <w:w w:val="115"/>
        </w:rPr>
        <w:t>should</w:t>
      </w:r>
      <w:r>
        <w:rPr>
          <w:color w:val="383638"/>
          <w:spacing w:val="6"/>
          <w:w w:val="115"/>
        </w:rPr>
        <w:t> </w:t>
      </w:r>
      <w:r>
        <w:rPr>
          <w:color w:val="383638"/>
          <w:w w:val="115"/>
        </w:rPr>
        <w:t>presume</w:t>
      </w:r>
      <w:r>
        <w:rPr>
          <w:color w:val="383638"/>
          <w:spacing w:val="3"/>
          <w:w w:val="115"/>
        </w:rPr>
        <w:t> </w:t>
      </w:r>
      <w:r>
        <w:rPr>
          <w:color w:val="383638"/>
          <w:w w:val="115"/>
        </w:rPr>
        <w:t>that</w:t>
      </w:r>
      <w:r>
        <w:rPr>
          <w:color w:val="383638"/>
          <w:spacing w:val="-5"/>
          <w:w w:val="115"/>
        </w:rPr>
        <w:t> </w:t>
      </w:r>
      <w:r>
        <w:rPr>
          <w:color w:val="383638"/>
          <w:w w:val="115"/>
        </w:rPr>
        <w:t>a</w:t>
      </w:r>
      <w:r>
        <w:rPr>
          <w:color w:val="383638"/>
          <w:spacing w:val="-7"/>
          <w:w w:val="115"/>
        </w:rPr>
        <w:t> </w:t>
      </w:r>
      <w:r>
        <w:rPr>
          <w:color w:val="383638"/>
          <w:w w:val="115"/>
        </w:rPr>
        <w:t>handwrit­</w:t>
      </w:r>
    </w:p>
    <w:p>
      <w:pPr>
        <w:pStyle w:val="BodyText"/>
        <w:spacing w:line="232" w:lineRule="auto" w:before="5"/>
        <w:ind w:left="166" w:right="189" w:firstLine="3"/>
        <w:jc w:val="both"/>
      </w:pPr>
      <w:r>
        <w:rPr>
          <w:color w:val="383638"/>
          <w:w w:val="110"/>
        </w:rPr>
        <w:t>ten signature is required with a document fiJed in  hard copy. Whether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your signature is manual or electronic,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should include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phrase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"Respectfully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submitted"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before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signature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line.</w:t>
      </w:r>
    </w:p>
    <w:p>
      <w:pPr>
        <w:pStyle w:val="BodyText"/>
        <w:spacing w:before="5"/>
        <w:rPr>
          <w:sz w:val="36"/>
        </w:rPr>
      </w:pPr>
    </w:p>
    <w:p>
      <w:pPr>
        <w:spacing w:before="0"/>
        <w:ind w:left="508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383638"/>
          <w:w w:val="105"/>
          <w:sz w:val="27"/>
        </w:rPr>
        <w:t>8.4.15</w:t>
      </w:r>
    </w:p>
    <w:p>
      <w:pPr>
        <w:spacing w:before="44"/>
        <w:ind w:left="509" w:right="0" w:firstLine="0"/>
        <w:jc w:val="left"/>
        <w:rPr>
          <w:rFonts w:ascii="Arial"/>
          <w:b/>
          <w:sz w:val="21"/>
        </w:rPr>
      </w:pPr>
      <w:r>
        <w:rPr>
          <w:rFonts w:ascii="Arial"/>
          <w:color w:val="383638"/>
          <w:w w:val="105"/>
          <w:sz w:val="20"/>
        </w:rPr>
        <w:t>CERTIFI</w:t>
      </w:r>
      <w:r>
        <w:rPr>
          <w:rFonts w:ascii="Arial"/>
          <w:color w:val="5D5D5E"/>
          <w:w w:val="105"/>
          <w:sz w:val="20"/>
        </w:rPr>
        <w:t>CAT</w:t>
      </w:r>
      <w:r>
        <w:rPr>
          <w:rFonts w:ascii="Arial"/>
          <w:color w:val="383638"/>
          <w:w w:val="105"/>
          <w:sz w:val="20"/>
        </w:rPr>
        <w:t>E</w:t>
      </w:r>
      <w:r>
        <w:rPr>
          <w:rFonts w:ascii="Arial"/>
          <w:color w:val="383638"/>
          <w:spacing w:val="-2"/>
          <w:w w:val="105"/>
          <w:sz w:val="20"/>
        </w:rPr>
        <w:t> </w:t>
      </w:r>
      <w:r>
        <w:rPr>
          <w:rFonts w:ascii="Arial"/>
          <w:b/>
          <w:color w:val="5D5D5E"/>
          <w:w w:val="105"/>
          <w:sz w:val="21"/>
        </w:rPr>
        <w:t>O</w:t>
      </w:r>
      <w:r>
        <w:rPr>
          <w:rFonts w:ascii="Arial"/>
          <w:b/>
          <w:color w:val="383638"/>
          <w:w w:val="105"/>
          <w:sz w:val="21"/>
        </w:rPr>
        <w:t>F</w:t>
      </w:r>
      <w:r>
        <w:rPr>
          <w:rFonts w:ascii="Arial"/>
          <w:b/>
          <w:color w:val="383638"/>
          <w:spacing w:val="15"/>
          <w:w w:val="105"/>
          <w:sz w:val="21"/>
        </w:rPr>
        <w:t> </w:t>
      </w:r>
      <w:r>
        <w:rPr>
          <w:rFonts w:ascii="Arial"/>
          <w:b/>
          <w:color w:val="383638"/>
          <w:w w:val="105"/>
          <w:sz w:val="21"/>
        </w:rPr>
        <w:t>S</w:t>
      </w:r>
      <w:r>
        <w:rPr>
          <w:rFonts w:ascii="Arial"/>
          <w:b/>
          <w:color w:val="5D5D5E"/>
          <w:w w:val="105"/>
          <w:sz w:val="21"/>
        </w:rPr>
        <w:t>ER</w:t>
      </w:r>
      <w:r>
        <w:rPr>
          <w:rFonts w:ascii="Arial"/>
          <w:b/>
          <w:color w:val="383638"/>
          <w:w w:val="105"/>
          <w:sz w:val="21"/>
        </w:rPr>
        <w:t>VICE</w:t>
      </w:r>
    </w:p>
    <w:p>
      <w:pPr>
        <w:pStyle w:val="BodyText"/>
        <w:spacing w:line="230" w:lineRule="auto" w:before="135"/>
        <w:ind w:left="183" w:right="117" w:firstLine="313"/>
        <w:jc w:val="both"/>
      </w:pPr>
      <w:r>
        <w:rPr/>
        <w:pict>
          <v:shape style="position:absolute;margin-left:328.934204pt;margin-top:50.28397pt;width:13.85pt;height:22.8pt;mso-position-horizontal-relative:page;mso-position-vertical-relative:paragraph;z-index:-21599744" type="#_x0000_t202" id="docshape325" filled="false" stroked="false">
            <v:textbox inset="0,0,0,0">
              <w:txbxContent>
                <w:p>
                  <w:pPr>
                    <w:spacing w:line="456" w:lineRule="exact" w:before="0"/>
                    <w:ind w:left="0" w:right="0" w:firstLine="0"/>
                    <w:jc w:val="left"/>
                    <w:rPr>
                      <w:i/>
                      <w:sz w:val="41"/>
                    </w:rPr>
                  </w:pPr>
                  <w:r>
                    <w:rPr>
                      <w:i/>
                      <w:color w:val="383638"/>
                      <w:w w:val="70"/>
                      <w:sz w:val="41"/>
                    </w:rPr>
                    <w:t>?e</w:t>
                  </w:r>
                </w:p>
              </w:txbxContent>
            </v:textbox>
            <w10:wrap type="none"/>
          </v:shape>
        </w:pict>
      </w:r>
      <w:r>
        <w:rPr>
          <w:color w:val="383638"/>
          <w:w w:val="110"/>
        </w:rPr>
        <w:t>Most courts require that litigants who serve papers 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court also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certify that they have served copies of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those doc_uments 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opposing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counsel. In  this way,  the  court  ensures  that all litigants  have copies of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all of the documents in the case. Supreme Court Rule 29.2 specifies that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"</w:t>
      </w:r>
      <w:r>
        <w:rPr>
          <w:color w:val="5D5D5E"/>
          <w:w w:val="110"/>
        </w:rPr>
        <w:t>[</w:t>
      </w:r>
      <w:r>
        <w:rPr>
          <w:color w:val="383638"/>
          <w:w w:val="110"/>
        </w:rPr>
        <w:t>a}ny document required by these Rules 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be sei:ved may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served per­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sonally,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by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mail,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or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by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third-party commercial earner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dehvery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Within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  <w:position w:val="-6"/>
        </w:rPr>
        <w:t>3</w:t>
      </w:r>
    </w:p>
    <w:p>
      <w:pPr>
        <w:spacing w:after="0" w:line="230" w:lineRule="auto"/>
        <w:jc w:val="both"/>
        <w:sectPr>
          <w:pgSz w:w="9450" w:h="13750"/>
          <w:pgMar w:header="511" w:footer="0" w:top="1120" w:bottom="280" w:left="320" w:right="1220"/>
        </w:sectPr>
      </w:pPr>
    </w:p>
    <w:p>
      <w:pPr>
        <w:pStyle w:val="BodyText"/>
        <w:tabs>
          <w:tab w:pos="5805" w:val="left" w:leader="none"/>
        </w:tabs>
        <w:spacing w:line="235" w:lineRule="auto" w:before="85"/>
        <w:ind w:left="647" w:right="113" w:firstLine="31"/>
      </w:pPr>
      <w:r>
        <w:rPr>
          <w:color w:val="3A3838"/>
          <w:w w:val="110"/>
        </w:rPr>
        <w:t>calendar days on</w:t>
      </w:r>
      <w:r>
        <w:rPr>
          <w:color w:val="3A3838"/>
          <w:spacing w:val="1"/>
          <w:w w:val="110"/>
        </w:rPr>
        <w:t> </w:t>
      </w:r>
      <w:r>
        <w:rPr>
          <w:color w:val="494949"/>
          <w:w w:val="110"/>
        </w:rPr>
        <w:t>each </w:t>
      </w:r>
      <w:r>
        <w:rPr>
          <w:color w:val="3A3838"/>
          <w:w w:val="110"/>
        </w:rPr>
        <w:t>party to the proceeding at or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before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time of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05"/>
        </w:rPr>
        <w:t>filing." Rule</w:t>
      </w:r>
      <w:r>
        <w:rPr>
          <w:color w:val="3A3838"/>
          <w:spacing w:val="-14"/>
          <w:w w:val="105"/>
        </w:rPr>
        <w:t> </w:t>
      </w:r>
      <w:r>
        <w:rPr>
          <w:rFonts w:ascii="Arial"/>
          <w:i/>
          <w:color w:val="494949"/>
          <w:w w:val="105"/>
          <w:sz w:val="20"/>
        </w:rPr>
        <w:t>29.5</w:t>
      </w:r>
      <w:r>
        <w:rPr>
          <w:rFonts w:ascii="Arial"/>
          <w:i/>
          <w:color w:val="494949"/>
          <w:spacing w:val="6"/>
          <w:w w:val="105"/>
          <w:sz w:val="20"/>
        </w:rPr>
        <w:t> </w:t>
      </w:r>
      <w:r>
        <w:rPr>
          <w:color w:val="3A3838"/>
          <w:w w:val="105"/>
        </w:rPr>
        <w:t>specifies</w:t>
      </w:r>
      <w:r>
        <w:rPr>
          <w:color w:val="3A3838"/>
          <w:spacing w:val="7"/>
          <w:w w:val="105"/>
        </w:rPr>
        <w:t> </w:t>
      </w:r>
      <w:r>
        <w:rPr>
          <w:color w:val="3A3838"/>
          <w:w w:val="105"/>
        </w:rPr>
        <w:t>that</w:t>
      </w:r>
      <w:r>
        <w:rPr>
          <w:color w:val="3A3838"/>
          <w:spacing w:val="-12"/>
          <w:w w:val="105"/>
        </w:rPr>
        <w:t> </w:t>
      </w:r>
      <w:r>
        <w:rPr>
          <w:color w:val="3A3838"/>
          <w:w w:val="105"/>
        </w:rPr>
        <w:t>"proof</w:t>
      </w:r>
      <w:r>
        <w:rPr>
          <w:color w:val="3A3838"/>
          <w:spacing w:val="11"/>
          <w:w w:val="105"/>
        </w:rPr>
        <w:t> </w:t>
      </w:r>
      <w:r>
        <w:rPr>
          <w:color w:val="3A3838"/>
          <w:w w:val="105"/>
        </w:rPr>
        <w:t>of</w:t>
      </w:r>
      <w:r>
        <w:rPr>
          <w:color w:val="3A3838"/>
          <w:spacing w:val="3"/>
          <w:w w:val="105"/>
        </w:rPr>
        <w:t> </w:t>
      </w:r>
      <w:r>
        <w:rPr>
          <w:color w:val="3A3838"/>
          <w:w w:val="105"/>
        </w:rPr>
        <w:t>service</w:t>
      </w:r>
      <w:r>
        <w:rPr>
          <w:color w:val="3A3838"/>
          <w:spacing w:val="-5"/>
          <w:w w:val="105"/>
        </w:rPr>
        <w:t> </w:t>
      </w:r>
      <w:r>
        <w:rPr>
          <w:color w:val="3A3838"/>
          <w:w w:val="105"/>
        </w:rPr>
        <w:t>...</w:t>
        <w:tab/>
      </w:r>
      <w:r>
        <w:rPr>
          <w:color w:val="3A3838"/>
          <w:w w:val="110"/>
        </w:rPr>
        <w:t>shall accompany the</w:t>
      </w:r>
      <w:r>
        <w:rPr>
          <w:color w:val="3A3838"/>
          <w:spacing w:val="-60"/>
          <w:w w:val="110"/>
        </w:rPr>
        <w:t> </w:t>
      </w:r>
      <w:r>
        <w:rPr>
          <w:color w:val="3A3838"/>
          <w:w w:val="105"/>
        </w:rPr>
        <w:t>document when it is presented to the</w:t>
      </w:r>
      <w:r>
        <w:rPr>
          <w:color w:val="3A3838"/>
          <w:spacing w:val="1"/>
          <w:w w:val="105"/>
        </w:rPr>
        <w:t> </w:t>
      </w:r>
      <w:r>
        <w:rPr>
          <w:color w:val="494949"/>
          <w:w w:val="105"/>
        </w:rPr>
        <w:t>Clerk </w:t>
      </w:r>
      <w:r>
        <w:rPr>
          <w:color w:val="3A3838"/>
          <w:w w:val="105"/>
        </w:rPr>
        <w:t>for filing and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shall be separate</w:t>
      </w:r>
      <w:r>
        <w:rPr>
          <w:color w:val="3A3838"/>
          <w:spacing w:val="-58"/>
          <w:w w:val="105"/>
        </w:rPr>
        <w:t> </w:t>
      </w:r>
      <w:r>
        <w:rPr>
          <w:color w:val="3A3838"/>
          <w:w w:val="105"/>
        </w:rPr>
        <w:t>from </w:t>
      </w:r>
      <w:r>
        <w:rPr>
          <w:color w:val="3A3838"/>
          <w:w w:val="105"/>
          <w:sz w:val="22"/>
        </w:rPr>
        <w:t>it."</w:t>
      </w:r>
      <w:r>
        <w:rPr>
          <w:color w:val="3A3838"/>
          <w:w w:val="105"/>
        </w:rPr>
        <w:t>The rule specifies several methods of </w:t>
      </w:r>
      <w:r>
        <w:rPr>
          <w:color w:val="494949"/>
          <w:w w:val="105"/>
        </w:rPr>
        <w:t>certifying service, </w:t>
      </w:r>
      <w:r>
        <w:rPr>
          <w:color w:val="3A3838"/>
          <w:w w:val="105"/>
        </w:rPr>
        <w:t>including</w:t>
      </w:r>
      <w:r>
        <w:rPr>
          <w:color w:val="3A3838"/>
          <w:spacing w:val="1"/>
          <w:w w:val="105"/>
        </w:rPr>
        <w:t> </w:t>
      </w:r>
      <w:r>
        <w:rPr>
          <w:color w:val="494949"/>
          <w:w w:val="105"/>
        </w:rPr>
        <w:t>"a </w:t>
      </w:r>
      <w:r>
        <w:rPr>
          <w:color w:val="3A3838"/>
          <w:w w:val="105"/>
        </w:rPr>
        <w:t>certificate of service, reciting the facts and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circumstances of service ...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and signed by a member of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Bar </w:t>
      </w:r>
      <w:r>
        <w:rPr>
          <w:color w:val="494949"/>
          <w:w w:val="105"/>
        </w:rPr>
        <w:t>of this </w:t>
      </w:r>
      <w:r>
        <w:rPr>
          <w:color w:val="3A3838"/>
          <w:w w:val="105"/>
        </w:rPr>
        <w:t>Court representing the party on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whose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behalf</w:t>
      </w:r>
      <w:r>
        <w:rPr>
          <w:color w:val="3A3838"/>
          <w:spacing w:val="4"/>
          <w:w w:val="105"/>
        </w:rPr>
        <w:t> </w:t>
      </w:r>
      <w:r>
        <w:rPr>
          <w:color w:val="3A3838"/>
          <w:w w:val="105"/>
        </w:rPr>
        <w:t>service</w:t>
      </w:r>
      <w:r>
        <w:rPr>
          <w:color w:val="3A3838"/>
          <w:spacing w:val="-7"/>
          <w:w w:val="105"/>
        </w:rPr>
        <w:t> </w:t>
      </w:r>
      <w:r>
        <w:rPr>
          <w:color w:val="3A3838"/>
          <w:w w:val="105"/>
        </w:rPr>
        <w:t>is</w:t>
      </w:r>
      <w:r>
        <w:rPr>
          <w:color w:val="3A3838"/>
          <w:spacing w:val="-12"/>
          <w:w w:val="105"/>
        </w:rPr>
        <w:t> </w:t>
      </w:r>
      <w:r>
        <w:rPr>
          <w:color w:val="3A3838"/>
          <w:w w:val="105"/>
        </w:rPr>
        <w:t>made."</w:t>
      </w:r>
    </w:p>
    <w:p>
      <w:pPr>
        <w:pStyle w:val="BodyText"/>
        <w:spacing w:line="238" w:lineRule="exact"/>
        <w:ind w:left="1001"/>
        <w:jc w:val="both"/>
      </w:pPr>
      <w:r>
        <w:rPr>
          <w:color w:val="3A3838"/>
          <w:w w:val="105"/>
        </w:rPr>
        <w:t>Federal</w:t>
      </w:r>
      <w:r>
        <w:rPr>
          <w:color w:val="3A3838"/>
          <w:spacing w:val="28"/>
          <w:w w:val="105"/>
        </w:rPr>
        <w:t> </w:t>
      </w:r>
      <w:r>
        <w:rPr>
          <w:color w:val="3A3838"/>
          <w:w w:val="105"/>
        </w:rPr>
        <w:t>Rule</w:t>
      </w:r>
      <w:r>
        <w:rPr>
          <w:color w:val="3A3838"/>
          <w:spacing w:val="-1"/>
          <w:w w:val="105"/>
        </w:rPr>
        <w:t> </w:t>
      </w:r>
      <w:r>
        <w:rPr>
          <w:color w:val="3A3838"/>
          <w:w w:val="105"/>
        </w:rPr>
        <w:t>of</w:t>
      </w:r>
      <w:r>
        <w:rPr>
          <w:color w:val="3A3838"/>
          <w:spacing w:val="20"/>
          <w:w w:val="105"/>
        </w:rPr>
        <w:t> </w:t>
      </w:r>
      <w:r>
        <w:rPr>
          <w:color w:val="3A3838"/>
          <w:w w:val="105"/>
        </w:rPr>
        <w:t>Appellate</w:t>
      </w:r>
      <w:r>
        <w:rPr>
          <w:color w:val="3A3838"/>
          <w:spacing w:val="23"/>
          <w:w w:val="105"/>
        </w:rPr>
        <w:t> </w:t>
      </w:r>
      <w:r>
        <w:rPr>
          <w:color w:val="3A3838"/>
          <w:w w:val="105"/>
        </w:rPr>
        <w:t>Procedure</w:t>
      </w:r>
      <w:r>
        <w:rPr>
          <w:color w:val="3A3838"/>
          <w:spacing w:val="23"/>
          <w:w w:val="105"/>
        </w:rPr>
        <w:t> </w:t>
      </w:r>
      <w:r>
        <w:rPr>
          <w:color w:val="3A3838"/>
          <w:w w:val="105"/>
        </w:rPr>
        <w:t>25</w:t>
      </w:r>
      <w:r>
        <w:rPr>
          <w:color w:val="3A3838"/>
          <w:spacing w:val="29"/>
          <w:w w:val="105"/>
        </w:rPr>
        <w:t> </w:t>
      </w:r>
      <w:r>
        <w:rPr>
          <w:color w:val="3A3838"/>
          <w:w w:val="105"/>
        </w:rPr>
        <w:t>provides</w:t>
      </w:r>
      <w:r>
        <w:rPr>
          <w:color w:val="3A3838"/>
          <w:spacing w:val="18"/>
          <w:w w:val="105"/>
        </w:rPr>
        <w:t> </w:t>
      </w:r>
      <w:r>
        <w:rPr>
          <w:color w:val="3A3838"/>
          <w:w w:val="105"/>
        </w:rPr>
        <w:t>that</w:t>
      </w:r>
      <w:r>
        <w:rPr>
          <w:color w:val="3A3838"/>
          <w:spacing w:val="7"/>
          <w:w w:val="105"/>
        </w:rPr>
        <w:t> </w:t>
      </w:r>
      <w:r>
        <w:rPr>
          <w:color w:val="494949"/>
          <w:w w:val="105"/>
        </w:rPr>
        <w:t>"[u]nless </w:t>
      </w:r>
      <w:r>
        <w:rPr>
          <w:color w:val="3A3838"/>
          <w:w w:val="105"/>
        </w:rPr>
        <w:t>a</w:t>
      </w:r>
      <w:r>
        <w:rPr>
          <w:color w:val="3A3838"/>
          <w:spacing w:val="14"/>
          <w:w w:val="105"/>
        </w:rPr>
        <w:t> </w:t>
      </w:r>
      <w:r>
        <w:rPr>
          <w:color w:val="3A3838"/>
          <w:w w:val="105"/>
        </w:rPr>
        <w:t>rule</w:t>
      </w:r>
    </w:p>
    <w:p>
      <w:pPr>
        <w:pStyle w:val="BodyText"/>
        <w:spacing w:line="235" w:lineRule="auto" w:before="10"/>
        <w:ind w:left="593" w:right="136" w:firstLine="43"/>
        <w:jc w:val="both"/>
      </w:pPr>
      <w:r>
        <w:rPr>
          <w:color w:val="3A3838"/>
          <w:w w:val="105"/>
        </w:rPr>
        <w:t>requires service by the  clerk, a party must, at or  before the  time of filing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a paper, serve a copy on the other parties to the appeal or review. Service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on a party represented by </w:t>
      </w:r>
      <w:r>
        <w:rPr>
          <w:color w:val="494949"/>
          <w:w w:val="105"/>
        </w:rPr>
        <w:t>counsel </w:t>
      </w:r>
      <w:r>
        <w:rPr>
          <w:color w:val="3A3838"/>
          <w:w w:val="105"/>
        </w:rPr>
        <w:t>must be made on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party's counsel."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Some courts may allow service of opposing counsel after the brief is filed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with the  court, while others require that counsel file a certificate indicat.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ing</w:t>
      </w:r>
      <w:r>
        <w:rPr>
          <w:color w:val="3A3838"/>
          <w:spacing w:val="-24"/>
          <w:w w:val="105"/>
        </w:rPr>
        <w:t> </w:t>
      </w:r>
      <w:r>
        <w:rPr>
          <w:color w:val="3A3838"/>
          <w:w w:val="105"/>
        </w:rPr>
        <w:t>that</w:t>
      </w:r>
      <w:r>
        <w:rPr>
          <w:color w:val="3A3838"/>
          <w:spacing w:val="-15"/>
          <w:w w:val="105"/>
        </w:rPr>
        <w:t> </w:t>
      </w:r>
      <w:r>
        <w:rPr>
          <w:color w:val="3A3838"/>
          <w:w w:val="105"/>
        </w:rPr>
        <w:t>such</w:t>
      </w:r>
      <w:r>
        <w:rPr>
          <w:color w:val="3A3838"/>
          <w:spacing w:val="-5"/>
          <w:w w:val="105"/>
        </w:rPr>
        <w:t> </w:t>
      </w:r>
      <w:r>
        <w:rPr>
          <w:color w:val="3A3838"/>
          <w:w w:val="105"/>
        </w:rPr>
        <w:t>service</w:t>
      </w:r>
      <w:r>
        <w:rPr>
          <w:color w:val="3A3838"/>
          <w:spacing w:val="5"/>
          <w:w w:val="105"/>
        </w:rPr>
        <w:t> </w:t>
      </w:r>
      <w:r>
        <w:rPr>
          <w:color w:val="3A3838"/>
          <w:w w:val="105"/>
        </w:rPr>
        <w:t>has</w:t>
      </w:r>
      <w:r>
        <w:rPr>
          <w:color w:val="3A3838"/>
          <w:spacing w:val="12"/>
          <w:w w:val="105"/>
        </w:rPr>
        <w:t> </w:t>
      </w:r>
      <w:r>
        <w:rPr>
          <w:color w:val="3A3838"/>
          <w:w w:val="105"/>
        </w:rPr>
        <w:t>already</w:t>
      </w:r>
      <w:r>
        <w:rPr>
          <w:color w:val="3A3838"/>
          <w:spacing w:val="6"/>
          <w:w w:val="105"/>
        </w:rPr>
        <w:t> </w:t>
      </w:r>
      <w:r>
        <w:rPr>
          <w:color w:val="3A3838"/>
          <w:w w:val="105"/>
        </w:rPr>
        <w:t>been</w:t>
      </w:r>
      <w:r>
        <w:rPr>
          <w:color w:val="3A3838"/>
          <w:spacing w:val="-2"/>
          <w:w w:val="105"/>
        </w:rPr>
        <w:t> </w:t>
      </w:r>
      <w:r>
        <w:rPr>
          <w:color w:val="3A3838"/>
          <w:w w:val="105"/>
        </w:rPr>
        <w:t>accomplished.</w:t>
      </w:r>
    </w:p>
    <w:p>
      <w:pPr>
        <w:pStyle w:val="BodyText"/>
        <w:spacing w:line="235" w:lineRule="auto"/>
        <w:ind w:left="492" w:right="147" w:firstLine="430"/>
        <w:jc w:val="both"/>
      </w:pPr>
      <w:r>
        <w:rPr>
          <w:color w:val="3A3838"/>
          <w:w w:val="105"/>
          <w:sz w:val="22"/>
        </w:rPr>
        <w:t>If </w:t>
      </w:r>
      <w:r>
        <w:rPr>
          <w:color w:val="3A3838"/>
          <w:w w:val="105"/>
        </w:rPr>
        <w:t>you are filing electronically, you may be able to serve your opponent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electronically as well. Once again, be sure to consult local rules, as elec­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tronic filing has added some wrinkles to the filing process. In some courts,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onJy those who have registered </w:t>
      </w:r>
      <w:r>
        <w:rPr>
          <w:color w:val="494949"/>
          <w:w w:val="110"/>
        </w:rPr>
        <w:t>with </w:t>
      </w:r>
      <w:r>
        <w:rPr>
          <w:color w:val="3A3838"/>
          <w:w w:val="110"/>
        </w:rPr>
        <w:t>the court may use electronic filing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05"/>
        </w:rPr>
        <w:t>services. Federal RuJe of Appellate Procedure 25(c)(l)(D) </w:t>
      </w:r>
      <w:r>
        <w:rPr>
          <w:color w:val="3A3838"/>
          <w:w w:val="105"/>
        </w:rPr>
        <w:t>provides that ser­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vice may be made </w:t>
      </w:r>
      <w:r>
        <w:rPr>
          <w:color w:val="494949"/>
          <w:w w:val="105"/>
        </w:rPr>
        <w:t>"by </w:t>
      </w:r>
      <w:r>
        <w:rPr>
          <w:color w:val="3A3838"/>
          <w:w w:val="105"/>
        </w:rPr>
        <w:t>electronic means, if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party being served consents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in writing." Along those lines, the Third Circuit's Local Appellate Rule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31.l(d) provides that "[a] party who is a Filing User as provided in L.A.R.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Misc. 113.4 consents to electronic service of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brief through the court's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electronic docketing system (cm/ecf). Service by alternate means must be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made on all parties who are not Filing Users. The certificate of </w:t>
      </w:r>
      <w:r>
        <w:rPr>
          <w:color w:val="494949"/>
          <w:w w:val="105"/>
        </w:rPr>
        <w:t>service </w:t>
      </w:r>
      <w:r>
        <w:rPr>
          <w:color w:val="3A3838"/>
          <w:w w:val="105"/>
        </w:rPr>
        <w:t>must</w:t>
      </w:r>
      <w:r>
        <w:rPr>
          <w:color w:val="3A3838"/>
          <w:spacing w:val="-58"/>
          <w:w w:val="105"/>
        </w:rPr>
        <w:t> </w:t>
      </w:r>
      <w:r>
        <w:rPr>
          <w:color w:val="3A3838"/>
          <w:w w:val="105"/>
        </w:rPr>
        <w:t>note what method of service was used for each party served." If your oppo­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nent is not able to receive electronic </w:t>
      </w:r>
      <w:r>
        <w:rPr>
          <w:color w:val="494949"/>
          <w:w w:val="105"/>
        </w:rPr>
        <w:t>service, </w:t>
      </w:r>
      <w:r>
        <w:rPr>
          <w:color w:val="3A3838"/>
          <w:w w:val="105"/>
        </w:rPr>
        <w:t>in other words, you may need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to provide service using more traditional means. Be sure to find out service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requirements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well</w:t>
      </w:r>
      <w:r>
        <w:rPr>
          <w:color w:val="3A3838"/>
          <w:spacing w:val="-3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7"/>
          <w:w w:val="110"/>
        </w:rPr>
        <w:t> </w:t>
      </w:r>
      <w:r>
        <w:rPr>
          <w:color w:val="3A3838"/>
          <w:w w:val="110"/>
        </w:rPr>
        <w:t>advance</w:t>
      </w:r>
      <w:r>
        <w:rPr>
          <w:color w:val="3A3838"/>
          <w:spacing w:val="-7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your</w:t>
      </w:r>
      <w:r>
        <w:rPr>
          <w:color w:val="3A3838"/>
          <w:spacing w:val="-5"/>
          <w:w w:val="110"/>
        </w:rPr>
        <w:t> </w:t>
      </w:r>
      <w:r>
        <w:rPr>
          <w:color w:val="3A3838"/>
          <w:w w:val="110"/>
        </w:rPr>
        <w:t>filing</w:t>
      </w:r>
      <w:r>
        <w:rPr>
          <w:color w:val="3A3838"/>
          <w:spacing w:val="-11"/>
          <w:w w:val="110"/>
        </w:rPr>
        <w:t> </w:t>
      </w:r>
      <w:r>
        <w:rPr>
          <w:color w:val="3A3838"/>
          <w:w w:val="110"/>
        </w:rPr>
        <w:t>deadline.</w:t>
      </w:r>
    </w:p>
    <w:p>
      <w:pPr>
        <w:pStyle w:val="BodyText"/>
        <w:spacing w:line="243" w:lineRule="exact"/>
        <w:ind w:left="836"/>
        <w:jc w:val="both"/>
      </w:pPr>
      <w:r>
        <w:rPr>
          <w:color w:val="3A3838"/>
          <w:w w:val="110"/>
        </w:rPr>
        <w:t>Jn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general,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21"/>
          <w:w w:val="110"/>
        </w:rPr>
        <w:t> </w:t>
      </w:r>
      <w:r>
        <w:rPr>
          <w:color w:val="3A3838"/>
          <w:w w:val="110"/>
        </w:rPr>
        <w:t>certificate</w:t>
      </w:r>
      <w:r>
        <w:rPr>
          <w:color w:val="3A3838"/>
          <w:spacing w:val="-5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2"/>
          <w:w w:val="110"/>
        </w:rPr>
        <w:t> </w:t>
      </w:r>
      <w:r>
        <w:rPr>
          <w:color w:val="494949"/>
          <w:w w:val="110"/>
        </w:rPr>
        <w:t>service</w:t>
      </w:r>
      <w:r>
        <w:rPr>
          <w:color w:val="494949"/>
          <w:spacing w:val="-7"/>
          <w:w w:val="110"/>
        </w:rPr>
        <w:t> </w:t>
      </w:r>
      <w:r>
        <w:rPr>
          <w:color w:val="3A3838"/>
          <w:w w:val="110"/>
        </w:rPr>
        <w:t>should describe how</w:t>
      </w:r>
      <w:r>
        <w:rPr>
          <w:color w:val="3A3838"/>
          <w:spacing w:val="15"/>
          <w:w w:val="110"/>
        </w:rPr>
        <w:t> </w:t>
      </w:r>
      <w:r>
        <w:rPr>
          <w:color w:val="3A3838"/>
          <w:w w:val="110"/>
        </w:rPr>
        <w:t>service</w:t>
      </w:r>
      <w:r>
        <w:rPr>
          <w:color w:val="3A3838"/>
          <w:spacing w:val="-7"/>
          <w:w w:val="110"/>
        </w:rPr>
        <w:t> </w:t>
      </w:r>
      <w:r>
        <w:rPr>
          <w:color w:val="3A3838"/>
          <w:w w:val="110"/>
        </w:rPr>
        <w:t>was</w:t>
      </w:r>
    </w:p>
    <w:p>
      <w:pPr>
        <w:pStyle w:val="BodyText"/>
        <w:spacing w:line="230" w:lineRule="auto"/>
        <w:ind w:left="434" w:right="164" w:firstLine="32"/>
        <w:jc w:val="both"/>
      </w:pPr>
      <w:r>
        <w:rPr>
          <w:color w:val="3A3838"/>
          <w:w w:val="110"/>
        </w:rPr>
        <w:t>accomplished. If you hand•deliver the document to opposing counsel's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office, the </w:t>
      </w:r>
      <w:r>
        <w:rPr>
          <w:color w:val="494949"/>
          <w:w w:val="110"/>
        </w:rPr>
        <w:t>certificate </w:t>
      </w:r>
      <w:r>
        <w:rPr>
          <w:color w:val="3A3838"/>
          <w:w w:val="110"/>
        </w:rPr>
        <w:t>should say so and list the address. If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brief is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filed electronjcally, the certificate may be filed </w:t>
      </w:r>
      <w:r>
        <w:rPr>
          <w:color w:val="494949"/>
          <w:w w:val="110"/>
        </w:rPr>
        <w:t>electronically </w:t>
      </w:r>
      <w:r>
        <w:rPr>
          <w:color w:val="3A3838"/>
          <w:w w:val="110"/>
        </w:rPr>
        <w:t>as well; as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always, consult local rules to find out the particulars. The sample briefs in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Appendix</w:t>
      </w:r>
      <w:r>
        <w:rPr>
          <w:color w:val="3A3838"/>
          <w:spacing w:val="11"/>
          <w:w w:val="105"/>
        </w:rPr>
        <w:t> </w:t>
      </w:r>
      <w:r>
        <w:rPr>
          <w:color w:val="3A3838"/>
          <w:w w:val="105"/>
        </w:rPr>
        <w:t>C</w:t>
      </w:r>
      <w:r>
        <w:rPr>
          <w:color w:val="3A3838"/>
          <w:spacing w:val="2"/>
          <w:w w:val="105"/>
        </w:rPr>
        <w:t> </w:t>
      </w:r>
      <w:r>
        <w:rPr>
          <w:color w:val="3A3838"/>
          <w:w w:val="105"/>
        </w:rPr>
        <w:t>contain examples</w:t>
      </w:r>
      <w:r>
        <w:rPr>
          <w:color w:val="3A3838"/>
          <w:spacing w:val="-15"/>
          <w:w w:val="105"/>
        </w:rPr>
        <w:t> </w:t>
      </w:r>
      <w:r>
        <w:rPr>
          <w:color w:val="3A3838"/>
          <w:w w:val="105"/>
        </w:rPr>
        <w:t>of</w:t>
      </w:r>
      <w:r>
        <w:rPr>
          <w:color w:val="3A3838"/>
          <w:spacing w:val="11"/>
          <w:w w:val="105"/>
        </w:rPr>
        <w:t> </w:t>
      </w:r>
      <w:r>
        <w:rPr>
          <w:color w:val="3A3838"/>
          <w:w w:val="105"/>
        </w:rPr>
        <w:t>a</w:t>
      </w:r>
      <w:r>
        <w:rPr>
          <w:color w:val="3A3838"/>
          <w:spacing w:val="-2"/>
          <w:w w:val="105"/>
        </w:rPr>
        <w:t> </w:t>
      </w:r>
      <w:r>
        <w:rPr>
          <w:color w:val="3A3838"/>
          <w:w w:val="105"/>
        </w:rPr>
        <w:t>certificate</w:t>
      </w:r>
      <w:r>
        <w:rPr>
          <w:color w:val="3A3838"/>
          <w:spacing w:val="-12"/>
          <w:w w:val="105"/>
        </w:rPr>
        <w:t> </w:t>
      </w:r>
      <w:r>
        <w:rPr>
          <w:color w:val="3A3838"/>
          <w:w w:val="105"/>
        </w:rPr>
        <w:t>of</w:t>
      </w:r>
      <w:r>
        <w:rPr>
          <w:color w:val="3A3838"/>
          <w:spacing w:val="8"/>
          <w:w w:val="105"/>
        </w:rPr>
        <w:t> </w:t>
      </w:r>
      <w:r>
        <w:rPr>
          <w:color w:val="494949"/>
          <w:w w:val="105"/>
        </w:rPr>
        <w:t>service.</w:t>
      </w:r>
    </w:p>
    <w:p>
      <w:pPr>
        <w:pStyle w:val="BodyText"/>
        <w:spacing w:before="4"/>
        <w:rPr>
          <w:sz w:val="32"/>
        </w:rPr>
      </w:pPr>
    </w:p>
    <w:p>
      <w:pPr>
        <w:spacing w:before="0"/>
        <w:ind w:left="742" w:right="0" w:firstLine="0"/>
        <w:jc w:val="left"/>
        <w:rPr>
          <w:rFonts w:ascii="Arial"/>
          <w:b/>
          <w:sz w:val="29"/>
        </w:rPr>
      </w:pPr>
      <w:r>
        <w:rPr>
          <w:rFonts w:ascii="Arial"/>
          <w:b/>
          <w:color w:val="3A3838"/>
          <w:w w:val="105"/>
          <w:sz w:val="29"/>
        </w:rPr>
        <w:t>8.4.16</w:t>
      </w:r>
    </w:p>
    <w:p>
      <w:pPr>
        <w:spacing w:before="40"/>
        <w:ind w:left="734" w:right="0" w:firstLine="0"/>
        <w:jc w:val="both"/>
        <w:rPr>
          <w:rFonts w:ascii="Arial"/>
          <w:sz w:val="21"/>
        </w:rPr>
      </w:pPr>
      <w:r>
        <w:rPr>
          <w:rFonts w:ascii="Arial"/>
          <w:color w:val="3A3838"/>
          <w:w w:val="105"/>
          <w:sz w:val="21"/>
        </w:rPr>
        <w:t>CERTIFICATE</w:t>
      </w:r>
      <w:r>
        <w:rPr>
          <w:rFonts w:ascii="Arial"/>
          <w:color w:val="3A3838"/>
          <w:spacing w:val="-1"/>
          <w:w w:val="105"/>
          <w:sz w:val="21"/>
        </w:rPr>
        <w:t> </w:t>
      </w:r>
      <w:r>
        <w:rPr>
          <w:rFonts w:ascii="Arial"/>
          <w:color w:val="3A3838"/>
          <w:w w:val="105"/>
          <w:sz w:val="21"/>
        </w:rPr>
        <w:t>OF</w:t>
      </w:r>
      <w:r>
        <w:rPr>
          <w:rFonts w:ascii="Arial"/>
          <w:color w:val="3A3838"/>
          <w:spacing w:val="11"/>
          <w:w w:val="105"/>
          <w:sz w:val="21"/>
        </w:rPr>
        <w:t> </w:t>
      </w:r>
      <w:r>
        <w:rPr>
          <w:rFonts w:ascii="Arial"/>
          <w:color w:val="3A3838"/>
          <w:w w:val="105"/>
          <w:sz w:val="21"/>
        </w:rPr>
        <w:t>COMPLIANCE</w:t>
      </w:r>
    </w:p>
    <w:p>
      <w:pPr>
        <w:pStyle w:val="BodyText"/>
        <w:spacing w:line="232" w:lineRule="auto" w:before="161"/>
        <w:ind w:left="323" w:right="194" w:firstLine="414"/>
        <w:jc w:val="both"/>
      </w:pPr>
      <w:r>
        <w:rPr>
          <w:color w:val="3A3838"/>
          <w:w w:val="110"/>
        </w:rPr>
        <w:t>The  certificate of compliance is a fairly new requirement;  it  seems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to serve as a supplement to page-length 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word-limit requirements.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Modern</w:t>
      </w:r>
      <w:r>
        <w:rPr>
          <w:color w:val="3A3838"/>
          <w:spacing w:val="45"/>
          <w:w w:val="105"/>
        </w:rPr>
        <w:t> </w:t>
      </w:r>
      <w:r>
        <w:rPr>
          <w:color w:val="3A3838"/>
          <w:w w:val="105"/>
        </w:rPr>
        <w:t>word</w:t>
      </w:r>
      <w:r>
        <w:rPr>
          <w:color w:val="3A3838"/>
          <w:spacing w:val="39"/>
          <w:w w:val="105"/>
        </w:rPr>
        <w:t> </w:t>
      </w:r>
      <w:r>
        <w:rPr>
          <w:color w:val="3A3838"/>
          <w:w w:val="105"/>
        </w:rPr>
        <w:t>processing</w:t>
      </w:r>
      <w:r>
        <w:rPr>
          <w:color w:val="3A3838"/>
          <w:spacing w:val="2"/>
          <w:w w:val="105"/>
        </w:rPr>
        <w:t> </w:t>
      </w:r>
      <w:r>
        <w:rPr>
          <w:color w:val="3A3838"/>
          <w:w w:val="105"/>
        </w:rPr>
        <w:t>systems</w:t>
      </w:r>
      <w:r>
        <w:rPr>
          <w:color w:val="3A3838"/>
          <w:spacing w:val="9"/>
          <w:w w:val="105"/>
        </w:rPr>
        <w:t> </w:t>
      </w:r>
      <w:r>
        <w:rPr>
          <w:color w:val="3A3838"/>
          <w:w w:val="105"/>
        </w:rPr>
        <w:t>could</w:t>
      </w:r>
      <w:r>
        <w:rPr>
          <w:color w:val="3A3838"/>
          <w:spacing w:val="22"/>
          <w:w w:val="105"/>
        </w:rPr>
        <w:t> </w:t>
      </w:r>
      <w:r>
        <w:rPr>
          <w:color w:val="3A3838"/>
          <w:w w:val="105"/>
        </w:rPr>
        <w:t>make</w:t>
      </w:r>
      <w:r>
        <w:rPr>
          <w:color w:val="3A3838"/>
          <w:spacing w:val="7"/>
          <w:w w:val="105"/>
        </w:rPr>
        <w:t> </w:t>
      </w:r>
      <w:r>
        <w:rPr>
          <w:color w:val="3A3838"/>
          <w:w w:val="105"/>
        </w:rPr>
        <w:t>it</w:t>
      </w:r>
      <w:r>
        <w:rPr>
          <w:color w:val="3A3838"/>
          <w:spacing w:val="20"/>
          <w:w w:val="105"/>
        </w:rPr>
        <w:t> </w:t>
      </w:r>
      <w:r>
        <w:rPr>
          <w:color w:val="3A3838"/>
          <w:w w:val="105"/>
        </w:rPr>
        <w:t>difficult</w:t>
      </w:r>
      <w:r>
        <w:rPr>
          <w:color w:val="3A3838"/>
          <w:spacing w:val="20"/>
          <w:w w:val="105"/>
        </w:rPr>
        <w:t> </w:t>
      </w:r>
      <w:r>
        <w:rPr>
          <w:color w:val="3A3838"/>
          <w:w w:val="105"/>
        </w:rPr>
        <w:t>for</w:t>
      </w:r>
      <w:r>
        <w:rPr>
          <w:color w:val="3A3838"/>
          <w:spacing w:val="24"/>
          <w:w w:val="105"/>
        </w:rPr>
        <w:t> </w:t>
      </w:r>
      <w:r>
        <w:rPr>
          <w:color w:val="3A3838"/>
          <w:w w:val="105"/>
        </w:rPr>
        <w:t>a</w:t>
      </w:r>
      <w:r>
        <w:rPr>
          <w:color w:val="3A3838"/>
          <w:spacing w:val="33"/>
          <w:w w:val="105"/>
        </w:rPr>
        <w:t> </w:t>
      </w:r>
      <w:r>
        <w:rPr>
          <w:color w:val="3A3838"/>
          <w:w w:val="105"/>
        </w:rPr>
        <w:t>court</w:t>
      </w:r>
      <w:r>
        <w:rPr>
          <w:color w:val="3A3838"/>
          <w:spacing w:val="21"/>
          <w:w w:val="105"/>
        </w:rPr>
        <w:t> </w:t>
      </w:r>
      <w:r>
        <w:rPr>
          <w:color w:val="3A3838"/>
          <w:w w:val="105"/>
        </w:rPr>
        <w:t>to</w:t>
      </w:r>
      <w:r>
        <w:rPr>
          <w:color w:val="3A3838"/>
          <w:spacing w:val="18"/>
          <w:w w:val="105"/>
        </w:rPr>
        <w:t> </w:t>
      </w:r>
      <w:r>
        <w:rPr>
          <w:color w:val="3A3838"/>
          <w:w w:val="105"/>
        </w:rPr>
        <w:t>tell</w:t>
      </w:r>
      <w:r>
        <w:rPr>
          <w:color w:val="3A3838"/>
          <w:spacing w:val="1"/>
          <w:w w:val="105"/>
        </w:rPr>
        <w:t> </w:t>
      </w:r>
      <w:r>
        <w:rPr>
          <w:rFonts w:ascii="Arial"/>
          <w:i/>
          <w:color w:val="3A3838"/>
          <w:w w:val="110"/>
          <w:sz w:val="21"/>
        </w:rPr>
        <w:t>if</w:t>
      </w:r>
      <w:r>
        <w:rPr>
          <w:rFonts w:ascii="Arial"/>
          <w:i/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</w:rPr>
        <w:t>an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attorney has "cheated" a page limit, e.g., by using 11.8 point font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instead</w:t>
      </w:r>
      <w:r>
        <w:rPr>
          <w:color w:val="3A3838"/>
          <w:spacing w:val="15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16"/>
          <w:w w:val="110"/>
        </w:rPr>
        <w:t> </w:t>
      </w:r>
      <w:r>
        <w:rPr>
          <w:color w:val="3A3838"/>
          <w:w w:val="110"/>
        </w:rPr>
        <w:t>12</w:t>
      </w:r>
      <w:r>
        <w:rPr>
          <w:color w:val="3A3838"/>
          <w:spacing w:val="21"/>
          <w:w w:val="110"/>
        </w:rPr>
        <w:t> </w:t>
      </w:r>
      <w:r>
        <w:rPr>
          <w:color w:val="3A3838"/>
          <w:w w:val="110"/>
        </w:rPr>
        <w:t>point</w:t>
      </w:r>
      <w:r>
        <w:rPr>
          <w:color w:val="3A3838"/>
          <w:spacing w:val="7"/>
          <w:w w:val="110"/>
        </w:rPr>
        <w:t> </w:t>
      </w:r>
      <w:r>
        <w:rPr>
          <w:color w:val="3A3838"/>
          <w:w w:val="110"/>
        </w:rPr>
        <w:t>font.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certificate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compliance</w:t>
      </w:r>
      <w:r>
        <w:rPr>
          <w:color w:val="3A3838"/>
          <w:spacing w:val="18"/>
          <w:w w:val="110"/>
        </w:rPr>
        <w:t> </w:t>
      </w:r>
      <w:r>
        <w:rPr>
          <w:color w:val="3A3838"/>
          <w:w w:val="110"/>
        </w:rPr>
        <w:t>typically</w:t>
      </w:r>
      <w:r>
        <w:rPr>
          <w:color w:val="3A3838"/>
          <w:spacing w:val="14"/>
          <w:w w:val="110"/>
        </w:rPr>
        <w:t> </w:t>
      </w:r>
      <w:r>
        <w:rPr>
          <w:color w:val="3A3838"/>
          <w:w w:val="110"/>
        </w:rPr>
        <w:t>requires</w:t>
      </w:r>
      <w:r>
        <w:rPr>
          <w:color w:val="3A3838"/>
          <w:spacing w:val="-11"/>
          <w:w w:val="110"/>
        </w:rPr>
        <w:t> </w:t>
      </w:r>
      <w:r>
        <w:rPr>
          <w:color w:val="3A3838"/>
          <w:w w:val="110"/>
        </w:rPr>
        <w:t>an</w:t>
      </w:r>
    </w:p>
    <w:p>
      <w:pPr>
        <w:spacing w:after="0" w:line="232" w:lineRule="auto"/>
        <w:jc w:val="both"/>
        <w:sectPr>
          <w:headerReference w:type="even" r:id="rId201"/>
          <w:headerReference w:type="default" r:id="rId202"/>
          <w:pgSz w:w="9340" w:h="13790"/>
          <w:pgMar w:header="395" w:footer="0" w:top="960" w:bottom="0" w:left="1300" w:right="20"/>
          <w:pgNumType w:start="178"/>
        </w:sectPr>
      </w:pPr>
    </w:p>
    <w:p>
      <w:pPr>
        <w:pStyle w:val="BodyText"/>
        <w:spacing w:line="232" w:lineRule="auto" w:before="87"/>
        <w:ind w:left="115" w:right="230" w:firstLine="10"/>
        <w:jc w:val="right"/>
      </w:pPr>
      <w:r>
        <w:rPr>
          <w:color w:val="383638"/>
          <w:w w:val="110"/>
        </w:rPr>
        <w:t>attorney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33"/>
          <w:w w:val="110"/>
        </w:rPr>
        <w:t> </w:t>
      </w:r>
      <w:r>
        <w:rPr>
          <w:color w:val="383638"/>
          <w:w w:val="110"/>
        </w:rPr>
        <w:t>certify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he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or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she has</w:t>
      </w:r>
      <w:r>
        <w:rPr>
          <w:color w:val="383638"/>
          <w:spacing w:val="-32"/>
          <w:w w:val="110"/>
        </w:rPr>
        <w:t> </w:t>
      </w:r>
      <w:r>
        <w:rPr>
          <w:color w:val="383638"/>
          <w:w w:val="110"/>
        </w:rPr>
        <w:t>complied</w:t>
      </w:r>
      <w:r>
        <w:rPr>
          <w:color w:val="383638"/>
          <w:spacing w:val="31"/>
          <w:w w:val="110"/>
        </w:rPr>
        <w:t> </w:t>
      </w:r>
      <w:r>
        <w:rPr>
          <w:color w:val="383638"/>
          <w:w w:val="110"/>
        </w:rPr>
        <w:t>with</w:t>
      </w:r>
      <w:r>
        <w:rPr>
          <w:color w:val="383638"/>
          <w:spacing w:val="30"/>
          <w:w w:val="110"/>
        </w:rPr>
        <w:t> </w:t>
      </w:r>
      <w:r>
        <w:rPr>
          <w:color w:val="383638"/>
          <w:w w:val="110"/>
        </w:rPr>
        <w:t>particular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court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rules</w:t>
      </w:r>
      <w:r>
        <w:rPr>
          <w:color w:val="383638"/>
          <w:spacing w:val="-60"/>
          <w:w w:val="110"/>
        </w:rPr>
        <w:t> </w:t>
      </w:r>
      <w:r>
        <w:rPr>
          <w:color w:val="383638"/>
          <w:w w:val="115"/>
        </w:rPr>
        <w:t>as</w:t>
      </w:r>
      <w:r>
        <w:rPr>
          <w:color w:val="383638"/>
          <w:spacing w:val="-8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3"/>
          <w:w w:val="115"/>
        </w:rPr>
        <w:t> </w:t>
      </w:r>
      <w:r>
        <w:rPr>
          <w:color w:val="383638"/>
          <w:w w:val="115"/>
        </w:rPr>
        <w:t>length.</w:t>
      </w:r>
      <w:r>
        <w:rPr>
          <w:color w:val="383638"/>
          <w:spacing w:val="8"/>
          <w:w w:val="115"/>
        </w:rPr>
        <w:t> </w:t>
      </w:r>
      <w:r>
        <w:rPr>
          <w:color w:val="383638"/>
          <w:w w:val="115"/>
        </w:rPr>
        <w:t>(In</w:t>
      </w:r>
      <w:r>
        <w:rPr>
          <w:color w:val="383638"/>
          <w:spacing w:val="2"/>
          <w:w w:val="115"/>
        </w:rPr>
        <w:t> </w:t>
      </w:r>
      <w:r>
        <w:rPr>
          <w:color w:val="383638"/>
          <w:w w:val="115"/>
        </w:rPr>
        <w:t>a</w:t>
      </w:r>
      <w:r>
        <w:rPr>
          <w:color w:val="383638"/>
          <w:spacing w:val="18"/>
          <w:w w:val="115"/>
        </w:rPr>
        <w:t> </w:t>
      </w:r>
      <w:r>
        <w:rPr>
          <w:color w:val="383638"/>
          <w:w w:val="115"/>
        </w:rPr>
        <w:t>law</w:t>
      </w:r>
      <w:r>
        <w:rPr>
          <w:color w:val="383638"/>
          <w:spacing w:val="-5"/>
          <w:w w:val="115"/>
        </w:rPr>
        <w:t> </w:t>
      </w:r>
      <w:r>
        <w:rPr>
          <w:color w:val="383638"/>
          <w:w w:val="115"/>
        </w:rPr>
        <w:t>school</w:t>
      </w:r>
      <w:r>
        <w:rPr>
          <w:color w:val="383638"/>
          <w:spacing w:val="2"/>
          <w:w w:val="115"/>
        </w:rPr>
        <w:t> </w:t>
      </w:r>
      <w:r>
        <w:rPr>
          <w:color w:val="383638"/>
          <w:w w:val="115"/>
        </w:rPr>
        <w:t>setting,</w:t>
      </w:r>
      <w:r>
        <w:rPr>
          <w:color w:val="383638"/>
          <w:spacing w:val="12"/>
          <w:w w:val="115"/>
        </w:rPr>
        <w:t> </w:t>
      </w:r>
      <w:r>
        <w:rPr>
          <w:color w:val="383638"/>
          <w:w w:val="115"/>
        </w:rPr>
        <w:t>you</w:t>
      </w:r>
      <w:r>
        <w:rPr>
          <w:color w:val="383638"/>
          <w:spacing w:val="12"/>
          <w:w w:val="115"/>
        </w:rPr>
        <w:t> </w:t>
      </w:r>
      <w:r>
        <w:rPr>
          <w:color w:val="383638"/>
          <w:w w:val="115"/>
        </w:rPr>
        <w:t>may</w:t>
      </w:r>
      <w:r>
        <w:rPr>
          <w:color w:val="383638"/>
          <w:spacing w:val="-1"/>
          <w:w w:val="115"/>
        </w:rPr>
        <w:t> </w:t>
      </w:r>
      <w:r>
        <w:rPr>
          <w:color w:val="383638"/>
          <w:w w:val="115"/>
        </w:rPr>
        <w:t>also</w:t>
      </w:r>
      <w:r>
        <w:rPr>
          <w:color w:val="383638"/>
          <w:spacing w:val="6"/>
          <w:w w:val="115"/>
        </w:rPr>
        <w:t> </w:t>
      </w:r>
      <w:r>
        <w:rPr>
          <w:color w:val="383638"/>
          <w:w w:val="115"/>
        </w:rPr>
        <w:t>be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asked</w:t>
      </w:r>
      <w:r>
        <w:rPr>
          <w:color w:val="383638"/>
          <w:spacing w:val="13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31"/>
          <w:w w:val="115"/>
        </w:rPr>
        <w:t> </w:t>
      </w:r>
      <w:r>
        <w:rPr>
          <w:color w:val="383638"/>
          <w:w w:val="115"/>
        </w:rPr>
        <w:t>certify</w:t>
      </w:r>
      <w:r>
        <w:rPr>
          <w:color w:val="383638"/>
          <w:spacing w:val="-63"/>
          <w:w w:val="115"/>
        </w:rPr>
        <w:t> </w:t>
      </w:r>
      <w:r>
        <w:rPr>
          <w:color w:val="383638"/>
          <w:w w:val="110"/>
        </w:rPr>
        <w:t>that you have complied with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honor code.) Although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certificate of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compliance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-25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recent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phenomenon,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it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being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required</w:t>
      </w:r>
      <w:r>
        <w:rPr>
          <w:color w:val="383638"/>
          <w:spacing w:val="27"/>
          <w:w w:val="110"/>
        </w:rPr>
        <w:t> </w:t>
      </w:r>
      <w:r>
        <w:rPr>
          <w:color w:val="383638"/>
          <w:w w:val="110"/>
        </w:rPr>
        <w:t>more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frequently.</w:t>
      </w:r>
      <w:r>
        <w:rPr>
          <w:color w:val="383638"/>
          <w:spacing w:val="-60"/>
          <w:w w:val="110"/>
        </w:rPr>
        <w:t> </w:t>
      </w:r>
      <w:r>
        <w:rPr>
          <w:color w:val="383638"/>
          <w:w w:val="105"/>
        </w:rPr>
        <w:t>Federal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Rule of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Appellate Procedure 32(a)(7)  requires that a brief  must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either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comply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with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page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limit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or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with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word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limit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verified</w:t>
      </w:r>
      <w:r>
        <w:rPr>
          <w:color w:val="383638"/>
          <w:spacing w:val="35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43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certificate of compliance.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Federal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Rule of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Appellate Procedure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32(a)(7)(C)</w:t>
      </w:r>
      <w:r>
        <w:rPr>
          <w:color w:val="383638"/>
          <w:spacing w:val="-58"/>
          <w:w w:val="105"/>
        </w:rPr>
        <w:t> </w:t>
      </w:r>
      <w:r>
        <w:rPr>
          <w:color w:val="383638"/>
          <w:w w:val="110"/>
        </w:rPr>
        <w:t>requires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certificate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must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state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either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9"/>
          <w:w w:val="110"/>
        </w:rPr>
        <w:t> </w:t>
      </w:r>
      <w:r>
        <w:rPr>
          <w:color w:val="383638"/>
          <w:w w:val="110"/>
        </w:rPr>
        <w:t>number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words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38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brief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or</w:t>
      </w:r>
      <w:r>
        <w:rPr>
          <w:color w:val="383638"/>
          <w:spacing w:val="39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number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lines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monospaced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type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brief.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Local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rules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05"/>
        </w:rPr>
        <w:t>may add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more requirements</w:t>
      </w:r>
      <w:r>
        <w:rPr>
          <w:color w:val="565659"/>
          <w:w w:val="105"/>
        </w:rPr>
        <w:t>. </w:t>
      </w:r>
      <w:r>
        <w:rPr>
          <w:color w:val="383638"/>
          <w:w w:val="105"/>
        </w:rPr>
        <w:t>Rule 31.1(c) of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Local  Appellate  Rules of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the Third Circuit, for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example,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requires that counsel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must certify consis­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tency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between</w:t>
      </w:r>
      <w:r>
        <w:rPr>
          <w:color w:val="383638"/>
          <w:spacing w:val="40"/>
          <w:w w:val="110"/>
        </w:rPr>
        <w:t> </w:t>
      </w:r>
      <w:r>
        <w:rPr>
          <w:color w:val="383638"/>
          <w:w w:val="110"/>
        </w:rPr>
        <w:t>hard-copy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44"/>
          <w:w w:val="110"/>
        </w:rPr>
        <w:t> </w:t>
      </w:r>
      <w:r>
        <w:rPr>
          <w:color w:val="383638"/>
          <w:w w:val="110"/>
        </w:rPr>
        <w:t>electronic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documents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allows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sanc­</w:t>
      </w:r>
    </w:p>
    <w:p>
      <w:pPr>
        <w:pStyle w:val="BodyText"/>
        <w:spacing w:before="7"/>
        <w:ind w:left="131"/>
        <w:jc w:val="both"/>
      </w:pPr>
      <w:r>
        <w:rPr>
          <w:color w:val="383638"/>
          <w:w w:val="110"/>
        </w:rPr>
        <w:t>tions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if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an</w:t>
      </w:r>
      <w:r>
        <w:rPr>
          <w:color w:val="383638"/>
          <w:spacing w:val="44"/>
          <w:w w:val="110"/>
        </w:rPr>
        <w:t> </w:t>
      </w:r>
      <w:r>
        <w:rPr>
          <w:color w:val="383638"/>
          <w:w w:val="110"/>
        </w:rPr>
        <w:t>electronic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document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infected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with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computer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virus:</w:t>
      </w:r>
    </w:p>
    <w:p>
      <w:pPr>
        <w:spacing w:line="235" w:lineRule="auto" w:before="134"/>
        <w:ind w:left="444" w:right="587" w:firstLine="11"/>
        <w:jc w:val="both"/>
        <w:rPr>
          <w:sz w:val="21"/>
        </w:rPr>
      </w:pPr>
      <w:r>
        <w:rPr>
          <w:color w:val="383638"/>
          <w:w w:val="110"/>
          <w:sz w:val="21"/>
        </w:rPr>
        <w:t>In addition to the certification of type-volume limitations required by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565659"/>
          <w:w w:val="105"/>
          <w:sz w:val="21"/>
        </w:rPr>
        <w:t>[</w:t>
      </w:r>
      <w:r>
        <w:rPr>
          <w:color w:val="383638"/>
          <w:w w:val="105"/>
          <w:sz w:val="21"/>
        </w:rPr>
        <w:t>FRAP] Rule 32(a)(7)(C), and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in the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same document, counsel must certify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10"/>
          <w:sz w:val="21"/>
        </w:rPr>
        <w:t>that the text of the electronic brief is identical to the text in the paper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copies. Counsel must also certify that a virus detection program has been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run on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the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file and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that no virus was detected. The certification must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specify the version of the virusdetection program used. Sanctions may be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imposed if</w:t>
      </w:r>
      <w:r>
        <w:rPr>
          <w:color w:val="383638"/>
          <w:spacing w:val="-3"/>
          <w:w w:val="110"/>
          <w:sz w:val="21"/>
        </w:rPr>
        <w:t> </w:t>
      </w:r>
      <w:r>
        <w:rPr>
          <w:color w:val="383638"/>
          <w:w w:val="110"/>
          <w:sz w:val="21"/>
        </w:rPr>
        <w:t>a</w:t>
      </w:r>
      <w:r>
        <w:rPr>
          <w:color w:val="383638"/>
          <w:spacing w:val="14"/>
          <w:w w:val="110"/>
          <w:sz w:val="21"/>
        </w:rPr>
        <w:t> </w:t>
      </w:r>
      <w:r>
        <w:rPr>
          <w:color w:val="383638"/>
          <w:w w:val="110"/>
          <w:sz w:val="21"/>
        </w:rPr>
        <w:t>filing</w:t>
      </w:r>
      <w:r>
        <w:rPr>
          <w:color w:val="383638"/>
          <w:spacing w:val="-15"/>
          <w:w w:val="110"/>
          <w:sz w:val="21"/>
        </w:rPr>
        <w:t> </w:t>
      </w:r>
      <w:r>
        <w:rPr>
          <w:color w:val="383638"/>
          <w:w w:val="110"/>
          <w:sz w:val="21"/>
        </w:rPr>
        <w:t>contains</w:t>
      </w:r>
      <w:r>
        <w:rPr>
          <w:color w:val="383638"/>
          <w:spacing w:val="-13"/>
          <w:w w:val="110"/>
          <w:sz w:val="21"/>
        </w:rPr>
        <w:t> </w:t>
      </w:r>
      <w:r>
        <w:rPr>
          <w:color w:val="383638"/>
          <w:w w:val="110"/>
          <w:sz w:val="21"/>
        </w:rPr>
        <w:t>a</w:t>
      </w:r>
      <w:r>
        <w:rPr>
          <w:color w:val="383638"/>
          <w:spacing w:val="-3"/>
          <w:w w:val="110"/>
          <w:sz w:val="21"/>
        </w:rPr>
        <w:t> </w:t>
      </w:r>
      <w:r>
        <w:rPr>
          <w:color w:val="383638"/>
          <w:w w:val="110"/>
          <w:sz w:val="21"/>
        </w:rPr>
        <w:t>computer</w:t>
      </w:r>
      <w:r>
        <w:rPr>
          <w:color w:val="383638"/>
          <w:spacing w:val="6"/>
          <w:w w:val="110"/>
          <w:sz w:val="21"/>
        </w:rPr>
        <w:t> </w:t>
      </w:r>
      <w:r>
        <w:rPr>
          <w:color w:val="383638"/>
          <w:w w:val="110"/>
          <w:sz w:val="21"/>
        </w:rPr>
        <w:t>virus</w:t>
      </w:r>
      <w:r>
        <w:rPr>
          <w:color w:val="383638"/>
          <w:spacing w:val="-17"/>
          <w:w w:val="110"/>
          <w:sz w:val="21"/>
        </w:rPr>
        <w:t> </w:t>
      </w:r>
      <w:r>
        <w:rPr>
          <w:color w:val="383638"/>
          <w:w w:val="110"/>
          <w:sz w:val="21"/>
        </w:rPr>
        <w:t>or</w:t>
      </w:r>
      <w:r>
        <w:rPr>
          <w:color w:val="383638"/>
          <w:spacing w:val="7"/>
          <w:w w:val="110"/>
          <w:sz w:val="21"/>
        </w:rPr>
        <w:t> </w:t>
      </w:r>
      <w:r>
        <w:rPr>
          <w:color w:val="383638"/>
          <w:w w:val="110"/>
          <w:sz w:val="21"/>
        </w:rPr>
        <w:t>worm.</w:t>
      </w:r>
    </w:p>
    <w:p>
      <w:pPr>
        <w:pStyle w:val="BodyText"/>
        <w:spacing w:line="230" w:lineRule="auto" w:before="159"/>
        <w:ind w:left="134" w:right="207" w:firstLine="321"/>
      </w:pPr>
      <w:r>
        <w:rPr>
          <w:color w:val="383638"/>
          <w:spacing w:val="-1"/>
          <w:w w:val="110"/>
        </w:rPr>
        <w:t>Likewise,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54"/>
          <w:w w:val="110"/>
        </w:rPr>
        <w:t> </w:t>
      </w:r>
      <w:r>
        <w:rPr>
          <w:color w:val="383638"/>
          <w:w w:val="110"/>
        </w:rPr>
        <w:t>United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States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Supreme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Court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now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requires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Certifica</w:t>
      </w:r>
      <w:r>
        <w:rPr>
          <w:color w:val="999A9C"/>
          <w:w w:val="110"/>
        </w:rPr>
        <w:t>J</w:t>
      </w:r>
      <w:r>
        <w:rPr>
          <w:color w:val="999A9C"/>
          <w:spacing w:val="1"/>
          <w:w w:val="110"/>
        </w:rPr>
        <w:t> </w:t>
      </w:r>
      <w:r>
        <w:rPr>
          <w:color w:val="383638"/>
          <w:w w:val="110"/>
        </w:rPr>
        <w:t>of Compliance for all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briefs filed 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booklet format (and this has been </w:t>
      </w:r>
      <w:r>
        <w:rPr>
          <w:color w:val="383638"/>
          <w:w w:val="110"/>
          <w:sz w:val="25"/>
        </w:rPr>
        <w:t>tt</w:t>
      </w:r>
      <w:r>
        <w:rPr>
          <w:color w:val="383638"/>
          <w:spacing w:val="1"/>
          <w:w w:val="110"/>
          <w:sz w:val="25"/>
        </w:rPr>
        <w:t> </w:t>
      </w:r>
      <w:r>
        <w:rPr>
          <w:color w:val="383638"/>
          <w:w w:val="110"/>
        </w:rPr>
        <w:t>typical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format).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Rule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33.1(h)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requires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certificate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state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numbe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of</w:t>
      </w:r>
      <w:r>
        <w:rPr>
          <w:color w:val="383638"/>
          <w:spacing w:val="-7"/>
          <w:w w:val="105"/>
        </w:rPr>
        <w:t> </w:t>
      </w:r>
      <w:r>
        <w:rPr>
          <w:color w:val="383638"/>
          <w:w w:val="105"/>
        </w:rPr>
        <w:t>words</w:t>
      </w:r>
      <w:r>
        <w:rPr>
          <w:color w:val="383638"/>
          <w:spacing w:val="-6"/>
          <w:w w:val="105"/>
        </w:rPr>
        <w:t> </w:t>
      </w:r>
      <w:r>
        <w:rPr>
          <w:color w:val="383638"/>
          <w:w w:val="105"/>
        </w:rPr>
        <w:t>in</w:t>
      </w:r>
      <w:r>
        <w:rPr>
          <w:color w:val="383638"/>
          <w:spacing w:val="51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4"/>
          <w:w w:val="105"/>
        </w:rPr>
        <w:t> </w:t>
      </w:r>
      <w:r>
        <w:rPr>
          <w:color w:val="383638"/>
          <w:w w:val="105"/>
        </w:rPr>
        <w:t>brief</w:t>
      </w:r>
      <w:r>
        <w:rPr>
          <w:color w:val="383638"/>
          <w:spacing w:val="26"/>
          <w:w w:val="105"/>
        </w:rPr>
        <w:t> </w:t>
      </w:r>
      <w:r>
        <w:rPr>
          <w:color w:val="383638"/>
          <w:w w:val="105"/>
        </w:rPr>
        <w:t>(according</w:t>
      </w:r>
      <w:r>
        <w:rPr>
          <w:color w:val="383638"/>
          <w:spacing w:val="25"/>
          <w:w w:val="105"/>
        </w:rPr>
        <w:t> </w:t>
      </w:r>
      <w:r>
        <w:rPr>
          <w:color w:val="383638"/>
          <w:w w:val="105"/>
        </w:rPr>
        <w:t>to</w:t>
      </w:r>
      <w:r>
        <w:rPr>
          <w:color w:val="383638"/>
          <w:spacing w:val="26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30"/>
          <w:w w:val="105"/>
        </w:rPr>
        <w:t> </w:t>
      </w:r>
      <w:r>
        <w:rPr>
          <w:color w:val="383638"/>
          <w:w w:val="105"/>
        </w:rPr>
        <w:t>word</w:t>
      </w:r>
      <w:r>
        <w:rPr>
          <w:color w:val="383638"/>
          <w:spacing w:val="12"/>
          <w:w w:val="105"/>
        </w:rPr>
        <w:t> </w:t>
      </w:r>
      <w:r>
        <w:rPr>
          <w:color w:val="383638"/>
          <w:w w:val="105"/>
        </w:rPr>
        <w:t>processing</w:t>
      </w:r>
      <w:r>
        <w:rPr>
          <w:color w:val="383638"/>
          <w:spacing w:val="25"/>
          <w:w w:val="105"/>
        </w:rPr>
        <w:t> </w:t>
      </w:r>
      <w:r>
        <w:rPr>
          <w:color w:val="383638"/>
          <w:w w:val="105"/>
        </w:rPr>
        <w:t>program)</w:t>
      </w:r>
      <w:r>
        <w:rPr>
          <w:color w:val="383638"/>
          <w:spacing w:val="9"/>
          <w:w w:val="105"/>
        </w:rPr>
        <w:t> </w:t>
      </w:r>
      <w:r>
        <w:rPr>
          <w:color w:val="383638"/>
          <w:w w:val="105"/>
        </w:rPr>
        <w:t>and</w:t>
      </w:r>
      <w:r>
        <w:rPr>
          <w:color w:val="383638"/>
          <w:spacing w:val="22"/>
          <w:w w:val="105"/>
        </w:rPr>
        <w:t> </w:t>
      </w:r>
      <w:r>
        <w:rPr>
          <w:color w:val="383638"/>
          <w:w w:val="105"/>
        </w:rPr>
        <w:t>state</w:t>
      </w:r>
      <w:r>
        <w:rPr>
          <w:color w:val="383638"/>
          <w:spacing w:val="-58"/>
          <w:w w:val="105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brief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complies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with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required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word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limits. One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sample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brief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Appendix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C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includes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an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example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Certificate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Compliance.</w:t>
      </w:r>
    </w:p>
    <w:p>
      <w:pPr>
        <w:pStyle w:val="BodyText"/>
        <w:spacing w:before="7"/>
        <w:rPr>
          <w:sz w:val="36"/>
        </w:rPr>
      </w:pPr>
    </w:p>
    <w:p>
      <w:pPr>
        <w:spacing w:before="0"/>
        <w:ind w:left="469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83638"/>
          <w:w w:val="105"/>
          <w:sz w:val="28"/>
        </w:rPr>
        <w:t>8.4.17</w:t>
      </w:r>
    </w:p>
    <w:p>
      <w:pPr>
        <w:spacing w:before="52"/>
        <w:ind w:left="480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color w:val="383638"/>
          <w:w w:val="105"/>
          <w:sz w:val="21"/>
        </w:rPr>
        <w:t>APPENDIX</w:t>
      </w:r>
    </w:p>
    <w:p>
      <w:pPr>
        <w:pStyle w:val="BodyText"/>
        <w:spacing w:line="235" w:lineRule="auto" w:before="121"/>
        <w:ind w:left="151" w:right="132" w:firstLine="326"/>
        <w:jc w:val="both"/>
      </w:pPr>
      <w:r>
        <w:rPr>
          <w:color w:val="383638"/>
          <w:w w:val="110"/>
        </w:rPr>
        <w:t>Few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courts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have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rules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require</w:t>
      </w:r>
      <w:r>
        <w:rPr>
          <w:color w:val="383638"/>
          <w:spacing w:val="-23"/>
          <w:w w:val="110"/>
        </w:rPr>
        <w:t> </w:t>
      </w:r>
      <w:r>
        <w:rPr>
          <w:color w:val="383638"/>
          <w:w w:val="110"/>
        </w:rPr>
        <w:t>an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appendix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-34"/>
          <w:w w:val="110"/>
        </w:rPr>
        <w:t> </w:t>
      </w:r>
      <w:r>
        <w:rPr>
          <w:color w:val="383638"/>
          <w:w w:val="110"/>
        </w:rPr>
        <w:t>every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brief</w:t>
      </w:r>
      <w:r>
        <w:rPr>
          <w:color w:val="565659"/>
          <w:w w:val="110"/>
        </w:rPr>
        <w:t>.</w:t>
      </w:r>
      <w:r>
        <w:rPr>
          <w:color w:val="565659"/>
          <w:spacing w:val="-19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noted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previously,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however, Supreme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Court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Rule 24. l </w:t>
      </w:r>
      <w:r>
        <w:rPr>
          <w:rFonts w:ascii="Arial" w:hAnsi="Arial"/>
          <w:color w:val="383638"/>
          <w:w w:val="105"/>
          <w:sz w:val="20"/>
        </w:rPr>
        <w:t>(f)  </w:t>
      </w:r>
      <w:r>
        <w:rPr>
          <w:color w:val="383638"/>
          <w:w w:val="105"/>
        </w:rPr>
        <w:t>suggests an  appendix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when legislation is too lengthy to reprint in the "applicable statutes" sec­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tion of the</w:t>
      </w:r>
      <w:r>
        <w:rPr>
          <w:color w:val="383638"/>
          <w:spacing w:val="61"/>
          <w:w w:val="110"/>
        </w:rPr>
        <w:t> </w:t>
      </w:r>
      <w:r>
        <w:rPr>
          <w:color w:val="383638"/>
          <w:spacing w:val="-1"/>
          <w:w w:val="110"/>
        </w:rPr>
        <w:t>brief. If an appendix </w:t>
      </w:r>
      <w:r>
        <w:rPr>
          <w:color w:val="383638"/>
          <w:w w:val="110"/>
        </w:rPr>
        <w:t>is necessary, do not simply attach copies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of statutes printed from Bloomberg, </w:t>
      </w:r>
      <w:r>
        <w:rPr>
          <w:color w:val="383638"/>
          <w:w w:val="110"/>
        </w:rPr>
        <w:t>Lexis, or Westlaw</w:t>
      </w:r>
      <w:r>
        <w:rPr>
          <w:color w:val="565659"/>
          <w:w w:val="110"/>
        </w:rPr>
        <w:t>. </w:t>
      </w:r>
      <w:r>
        <w:rPr>
          <w:color w:val="383638"/>
          <w:w w:val="110"/>
        </w:rPr>
        <w:t>Instead, retype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statutes in a readable format, or download the text into a word processing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system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reformat the text, using typefaces and margins that promote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readability.</w:t>
      </w:r>
    </w:p>
    <w:p>
      <w:pPr>
        <w:pStyle w:val="BodyText"/>
        <w:spacing w:line="231" w:lineRule="exact"/>
        <w:ind w:left="485"/>
        <w:jc w:val="both"/>
      </w:pPr>
      <w:r>
        <w:rPr>
          <w:color w:val="383638"/>
          <w:w w:val="110"/>
        </w:rPr>
        <w:t>Local</w:t>
      </w:r>
      <w:r>
        <w:rPr>
          <w:color w:val="383638"/>
          <w:spacing w:val="27"/>
          <w:w w:val="110"/>
        </w:rPr>
        <w:t> </w:t>
      </w:r>
      <w:r>
        <w:rPr>
          <w:color w:val="383638"/>
          <w:w w:val="110"/>
        </w:rPr>
        <w:t>rules and 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local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practice-as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well</w:t>
      </w:r>
      <w:r>
        <w:rPr>
          <w:color w:val="383638"/>
          <w:spacing w:val="28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26"/>
          <w:w w:val="110"/>
        </w:rPr>
        <w:t> </w:t>
      </w:r>
      <w:r>
        <w:rPr>
          <w:color w:val="383638"/>
          <w:w w:val="110"/>
        </w:rPr>
        <w:t>the 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particular</w:t>
      </w:r>
      <w:r>
        <w:rPr>
          <w:color w:val="383638"/>
          <w:spacing w:val="31"/>
          <w:w w:val="110"/>
        </w:rPr>
        <w:t> </w:t>
      </w:r>
      <w:r>
        <w:rPr>
          <w:color w:val="383638"/>
          <w:w w:val="110"/>
        </w:rPr>
        <w:t>needs of</w:t>
      </w:r>
      <w:r>
        <w:rPr>
          <w:color w:val="383638"/>
          <w:spacing w:val="31"/>
          <w:w w:val="110"/>
        </w:rPr>
        <w:t> </w:t>
      </w:r>
      <w:r>
        <w:rPr>
          <w:color w:val="383638"/>
          <w:w w:val="110"/>
        </w:rPr>
        <w:t>your</w:t>
      </w:r>
    </w:p>
    <w:p>
      <w:pPr>
        <w:pStyle w:val="BodyText"/>
        <w:spacing w:line="235" w:lineRule="auto"/>
        <w:ind w:left="163" w:right="109" w:hanging="1"/>
        <w:jc w:val="both"/>
      </w:pPr>
      <w:r>
        <w:rPr>
          <w:color w:val="383638"/>
          <w:w w:val="115"/>
        </w:rPr>
        <w:t>brief-will dictate the items that you include in the appendix. In gen­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eral, you should include any information to which the court may need to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5"/>
        </w:rPr>
        <w:t>refer</w:t>
      </w:r>
      <w:r>
        <w:rPr>
          <w:color w:val="383638"/>
          <w:spacing w:val="-16"/>
          <w:w w:val="115"/>
        </w:rPr>
        <w:t> </w:t>
      </w:r>
      <w:r>
        <w:rPr>
          <w:color w:val="383638"/>
          <w:spacing w:val="-1"/>
          <w:w w:val="115"/>
        </w:rPr>
        <w:t>while</w:t>
      </w:r>
      <w:r>
        <w:rPr>
          <w:color w:val="383638"/>
          <w:spacing w:val="-2"/>
          <w:w w:val="115"/>
        </w:rPr>
        <w:t> </w:t>
      </w:r>
      <w:r>
        <w:rPr>
          <w:color w:val="383638"/>
          <w:spacing w:val="-1"/>
          <w:w w:val="115"/>
        </w:rPr>
        <w:t>it</w:t>
      </w:r>
      <w:r>
        <w:rPr>
          <w:color w:val="383638"/>
          <w:w w:val="115"/>
        </w:rPr>
        <w:t> </w:t>
      </w:r>
      <w:r>
        <w:rPr>
          <w:color w:val="383638"/>
          <w:spacing w:val="-1"/>
          <w:w w:val="115"/>
        </w:rPr>
        <w:t>considers</w:t>
      </w:r>
      <w:r>
        <w:rPr>
          <w:color w:val="383638"/>
          <w:w w:val="115"/>
        </w:rPr>
        <w:t> </w:t>
      </w:r>
      <w:r>
        <w:rPr>
          <w:color w:val="383638"/>
          <w:spacing w:val="-1"/>
          <w:w w:val="115"/>
        </w:rPr>
        <w:t>the</w:t>
      </w:r>
      <w:r>
        <w:rPr>
          <w:color w:val="383638"/>
          <w:spacing w:val="12"/>
          <w:w w:val="115"/>
        </w:rPr>
        <w:t> </w:t>
      </w:r>
      <w:r>
        <w:rPr>
          <w:color w:val="383638"/>
          <w:spacing w:val="-1"/>
          <w:w w:val="115"/>
        </w:rPr>
        <w:t>case,</w:t>
      </w:r>
      <w:r>
        <w:rPr>
          <w:color w:val="383638"/>
          <w:spacing w:val="-9"/>
          <w:w w:val="115"/>
        </w:rPr>
        <w:t> </w:t>
      </w:r>
      <w:r>
        <w:rPr>
          <w:color w:val="383638"/>
          <w:spacing w:val="-1"/>
          <w:w w:val="115"/>
        </w:rPr>
        <w:t>and</w:t>
      </w:r>
      <w:r>
        <w:rPr>
          <w:color w:val="383638"/>
          <w:spacing w:val="31"/>
          <w:w w:val="115"/>
        </w:rPr>
        <w:t> </w:t>
      </w:r>
      <w:r>
        <w:rPr>
          <w:color w:val="383638"/>
          <w:spacing w:val="-1"/>
          <w:w w:val="115"/>
        </w:rPr>
        <w:t>which</w:t>
      </w:r>
      <w:r>
        <w:rPr>
          <w:color w:val="383638"/>
          <w:spacing w:val="-6"/>
          <w:w w:val="115"/>
        </w:rPr>
        <w:t> </w:t>
      </w:r>
      <w:r>
        <w:rPr>
          <w:color w:val="383638"/>
          <w:spacing w:val="-1"/>
          <w:w w:val="115"/>
        </w:rPr>
        <w:t>is</w:t>
      </w:r>
      <w:r>
        <w:rPr>
          <w:color w:val="383638"/>
          <w:spacing w:val="-6"/>
          <w:w w:val="115"/>
        </w:rPr>
        <w:t> </w:t>
      </w:r>
      <w:r>
        <w:rPr>
          <w:color w:val="383638"/>
          <w:spacing w:val="-1"/>
          <w:w w:val="115"/>
        </w:rPr>
        <w:t>not</w:t>
      </w:r>
      <w:r>
        <w:rPr>
          <w:color w:val="383638"/>
          <w:spacing w:val="-2"/>
          <w:w w:val="115"/>
        </w:rPr>
        <w:t> </w:t>
      </w:r>
      <w:r>
        <w:rPr>
          <w:color w:val="383638"/>
          <w:w w:val="115"/>
        </w:rPr>
        <w:t>contained</w:t>
      </w:r>
      <w:r>
        <w:rPr>
          <w:color w:val="383638"/>
          <w:spacing w:val="14"/>
          <w:w w:val="115"/>
        </w:rPr>
        <w:t> </w:t>
      </w:r>
      <w:r>
        <w:rPr>
          <w:color w:val="383638"/>
          <w:w w:val="115"/>
        </w:rPr>
        <w:t>in</w:t>
      </w:r>
      <w:r>
        <w:rPr>
          <w:color w:val="383638"/>
          <w:spacing w:val="18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-10"/>
          <w:w w:val="115"/>
        </w:rPr>
        <w:t> </w:t>
      </w:r>
      <w:r>
        <w:rPr>
          <w:color w:val="383638"/>
          <w:w w:val="115"/>
        </w:rPr>
        <w:t>Joint</w:t>
      </w:r>
    </w:p>
    <w:p>
      <w:pPr>
        <w:spacing w:after="0" w:line="235" w:lineRule="auto"/>
        <w:jc w:val="both"/>
        <w:sectPr>
          <w:pgSz w:w="9420" w:h="13750"/>
          <w:pgMar w:header="549" w:footer="0" w:top="1140" w:bottom="280" w:left="320" w:right="1240"/>
        </w:sectPr>
      </w:pPr>
    </w:p>
    <w:p>
      <w:pPr>
        <w:pStyle w:val="BodyText"/>
        <w:spacing w:line="232" w:lineRule="auto" w:before="87"/>
        <w:ind w:left="717" w:right="108" w:firstLine="25"/>
        <w:jc w:val="both"/>
      </w:pPr>
      <w:r>
        <w:rPr>
          <w:color w:val="383638"/>
          <w:w w:val="105"/>
        </w:rPr>
        <w:t>Appendix or the Appendix to the P</w:t>
      </w:r>
      <w:r>
        <w:rPr>
          <w:color w:val="545456"/>
          <w:w w:val="105"/>
        </w:rPr>
        <w:t>e</w:t>
      </w:r>
      <w:r>
        <w:rPr>
          <w:color w:val="383638"/>
          <w:w w:val="105"/>
        </w:rPr>
        <w:t>tition for the Writ of C</w:t>
      </w:r>
      <w:r>
        <w:rPr>
          <w:color w:val="545456"/>
          <w:w w:val="105"/>
        </w:rPr>
        <w:t>e</w:t>
      </w:r>
      <w:r>
        <w:rPr>
          <w:color w:val="383638"/>
          <w:w w:val="105"/>
        </w:rPr>
        <w:t>rtiorari. For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example</w:t>
      </w:r>
      <w:r>
        <w:rPr>
          <w:color w:val="545456"/>
          <w:w w:val="105"/>
        </w:rPr>
        <w:t>, </w:t>
      </w:r>
      <w:r>
        <w:rPr>
          <w:color w:val="383638"/>
          <w:w w:val="105"/>
        </w:rPr>
        <w:t>you may include unpublished decisions, copies of documents (or</w:t>
      </w:r>
      <w:r>
        <w:rPr>
          <w:color w:val="383638"/>
          <w:spacing w:val="-58"/>
          <w:w w:val="105"/>
        </w:rPr>
        <w:t> </w:t>
      </w:r>
      <w:r>
        <w:rPr>
          <w:color w:val="383638"/>
          <w:spacing w:val="-1"/>
          <w:w w:val="110"/>
        </w:rPr>
        <w:t>segment</w:t>
      </w:r>
      <w:r>
        <w:rPr>
          <w:color w:val="545456"/>
          <w:spacing w:val="-1"/>
          <w:w w:val="110"/>
        </w:rPr>
        <w:t>s </w:t>
      </w:r>
      <w:r>
        <w:rPr>
          <w:color w:val="383638"/>
          <w:spacing w:val="-1"/>
          <w:w w:val="110"/>
        </w:rPr>
        <w:t>of </w:t>
      </w:r>
      <w:r>
        <w:rPr>
          <w:color w:val="383638"/>
          <w:w w:val="110"/>
        </w:rPr>
        <w:t>documents) that are at issue, and the like.</w:t>
      </w:r>
      <w:r>
        <w:rPr>
          <w:color w:val="383638"/>
          <w:w w:val="110"/>
          <w:vertAlign w:val="superscript"/>
        </w:rPr>
        <w:t>14</w:t>
      </w:r>
      <w:r>
        <w:rPr>
          <w:color w:val="383638"/>
          <w:w w:val="110"/>
          <w:vertAlign w:val="baseline"/>
        </w:rPr>
        <w:t> Note that some</w:t>
      </w:r>
      <w:r>
        <w:rPr>
          <w:color w:val="383638"/>
          <w:spacing w:val="-61"/>
          <w:w w:val="110"/>
          <w:vertAlign w:val="baseline"/>
        </w:rPr>
        <w:t> </w:t>
      </w:r>
      <w:r>
        <w:rPr>
          <w:color w:val="383638"/>
          <w:w w:val="105"/>
          <w:vertAlign w:val="baseline"/>
        </w:rPr>
        <w:t>court rules may require an appendix in certain circumstances; some trial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10"/>
          <w:vertAlign w:val="baseline"/>
        </w:rPr>
        <w:t>courts require that counsel attach copies of unpublished decisions or of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05"/>
          <w:vertAlign w:val="baseline"/>
        </w:rPr>
        <w:t>decisions</w:t>
      </w:r>
      <w:r>
        <w:rPr>
          <w:color w:val="383638"/>
          <w:spacing w:val="-2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from</w:t>
      </w:r>
      <w:r>
        <w:rPr>
          <w:color w:val="383638"/>
          <w:spacing w:val="-4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courts</w:t>
      </w:r>
      <w:r>
        <w:rPr>
          <w:color w:val="383638"/>
          <w:spacing w:val="-19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of</w:t>
      </w:r>
      <w:r>
        <w:rPr>
          <w:color w:val="383638"/>
          <w:spacing w:val="-1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another</w:t>
      </w:r>
      <w:r>
        <w:rPr>
          <w:color w:val="383638"/>
          <w:spacing w:val="24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juri</w:t>
      </w:r>
      <w:r>
        <w:rPr>
          <w:color w:val="545456"/>
          <w:w w:val="105"/>
          <w:vertAlign w:val="baseline"/>
        </w:rPr>
        <w:t>s</w:t>
      </w:r>
      <w:r>
        <w:rPr>
          <w:color w:val="383638"/>
          <w:w w:val="105"/>
          <w:vertAlign w:val="baseline"/>
        </w:rPr>
        <w:t>diction</w:t>
      </w:r>
      <w:r>
        <w:rPr>
          <w:color w:val="545456"/>
          <w:w w:val="105"/>
          <w:vertAlign w:val="baseline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1"/>
        <w:ind w:left="1244" w:right="0" w:firstLine="0"/>
        <w:jc w:val="left"/>
        <w:rPr>
          <w:rFonts w:ascii="Arial"/>
          <w:b/>
          <w:i/>
          <w:sz w:val="31"/>
        </w:rPr>
      </w:pPr>
      <w:r>
        <w:rPr>
          <w:rFonts w:ascii="Arial"/>
          <w:b/>
          <w:i/>
          <w:color w:val="545456"/>
          <w:w w:val="105"/>
          <w:sz w:val="31"/>
        </w:rPr>
        <w:t>8.5</w:t>
      </w:r>
    </w:p>
    <w:p>
      <w:pPr>
        <w:spacing w:line="288" w:lineRule="auto" w:before="39"/>
        <w:ind w:left="1219" w:right="0" w:firstLine="41"/>
        <w:jc w:val="left"/>
        <w:rPr>
          <w:rFonts w:ascii="Arial"/>
          <w:sz w:val="26"/>
        </w:rPr>
      </w:pPr>
      <w:r>
        <w:rPr>
          <w:color w:val="545456"/>
          <w:sz w:val="28"/>
        </w:rPr>
        <w:t>DO</w:t>
      </w:r>
      <w:r>
        <w:rPr>
          <w:color w:val="383638"/>
          <w:sz w:val="28"/>
        </w:rPr>
        <w:t>C</w:t>
      </w:r>
      <w:r>
        <w:rPr>
          <w:color w:val="545456"/>
          <w:sz w:val="28"/>
        </w:rPr>
        <w:t>UMEN</w:t>
      </w:r>
      <w:r>
        <w:rPr>
          <w:color w:val="383638"/>
          <w:sz w:val="28"/>
        </w:rPr>
        <w:t>T </w:t>
      </w:r>
      <w:r>
        <w:rPr>
          <w:color w:val="545456"/>
          <w:sz w:val="28"/>
        </w:rPr>
        <w:t>FORMAT REQU</w:t>
      </w:r>
      <w:r>
        <w:rPr>
          <w:color w:val="707074"/>
          <w:sz w:val="28"/>
        </w:rPr>
        <w:t>I</w:t>
      </w:r>
      <w:r>
        <w:rPr>
          <w:color w:val="545456"/>
          <w:sz w:val="28"/>
        </w:rPr>
        <w:t>REME</w:t>
      </w:r>
      <w:r>
        <w:rPr>
          <w:color w:val="707074"/>
          <w:sz w:val="28"/>
        </w:rPr>
        <w:t>N</w:t>
      </w:r>
      <w:r>
        <w:rPr>
          <w:color w:val="545456"/>
          <w:sz w:val="28"/>
        </w:rPr>
        <w:t>TS A</w:t>
      </w:r>
      <w:r>
        <w:rPr>
          <w:color w:val="707074"/>
          <w:sz w:val="28"/>
        </w:rPr>
        <w:t>N</w:t>
      </w:r>
      <w:r>
        <w:rPr>
          <w:color w:val="8C8C90"/>
          <w:sz w:val="28"/>
        </w:rPr>
        <w:t>D</w:t>
      </w:r>
      <w:r>
        <w:rPr>
          <w:color w:val="8C8C90"/>
          <w:spacing w:val="1"/>
          <w:sz w:val="28"/>
        </w:rPr>
        <w:t> </w:t>
      </w:r>
      <w:r>
        <w:rPr>
          <w:color w:val="545456"/>
          <w:w w:val="95"/>
          <w:sz w:val="28"/>
        </w:rPr>
        <w:t>SERVI</w:t>
      </w:r>
      <w:r>
        <w:rPr>
          <w:color w:val="383638"/>
          <w:w w:val="95"/>
          <w:sz w:val="28"/>
        </w:rPr>
        <w:t>C</w:t>
      </w:r>
      <w:r>
        <w:rPr>
          <w:color w:val="545456"/>
          <w:w w:val="95"/>
          <w:sz w:val="28"/>
        </w:rPr>
        <w:t>E</w:t>
      </w:r>
      <w:r>
        <w:rPr>
          <w:color w:val="545456"/>
          <w:spacing w:val="38"/>
          <w:w w:val="95"/>
          <w:sz w:val="28"/>
        </w:rPr>
        <w:t> </w:t>
      </w:r>
      <w:r>
        <w:rPr>
          <w:color w:val="545456"/>
          <w:w w:val="95"/>
          <w:sz w:val="28"/>
        </w:rPr>
        <w:t>REQ</w:t>
      </w:r>
      <w:r>
        <w:rPr>
          <w:color w:val="383638"/>
          <w:w w:val="95"/>
          <w:sz w:val="28"/>
        </w:rPr>
        <w:t>U</w:t>
      </w:r>
      <w:r>
        <w:rPr>
          <w:color w:val="545456"/>
          <w:w w:val="95"/>
          <w:sz w:val="28"/>
        </w:rPr>
        <w:t>IREMEN</w:t>
      </w:r>
      <w:r>
        <w:rPr>
          <w:color w:val="383638"/>
          <w:w w:val="95"/>
          <w:sz w:val="28"/>
        </w:rPr>
        <w:t>TS</w:t>
      </w:r>
      <w:r>
        <w:rPr>
          <w:color w:val="383638"/>
          <w:spacing w:val="51"/>
          <w:w w:val="95"/>
          <w:sz w:val="28"/>
        </w:rPr>
        <w:t> </w:t>
      </w:r>
      <w:r>
        <w:rPr>
          <w:rFonts w:ascii="Arial"/>
          <w:color w:val="383638"/>
          <w:w w:val="95"/>
          <w:sz w:val="26"/>
        </w:rPr>
        <w:t>F</w:t>
      </w:r>
      <w:r>
        <w:rPr>
          <w:rFonts w:ascii="Arial"/>
          <w:color w:val="545456"/>
          <w:w w:val="95"/>
          <w:sz w:val="26"/>
        </w:rPr>
        <w:t>OR</w:t>
      </w:r>
      <w:r>
        <w:rPr>
          <w:rFonts w:ascii="Arial"/>
          <w:color w:val="545456"/>
          <w:spacing w:val="14"/>
          <w:w w:val="95"/>
          <w:sz w:val="26"/>
        </w:rPr>
        <w:t> </w:t>
      </w:r>
      <w:r>
        <w:rPr>
          <w:rFonts w:ascii="Arial"/>
          <w:color w:val="707074"/>
          <w:w w:val="95"/>
          <w:sz w:val="26"/>
        </w:rPr>
        <w:t>MO</w:t>
      </w:r>
      <w:r>
        <w:rPr>
          <w:rFonts w:ascii="Arial"/>
          <w:color w:val="545456"/>
          <w:w w:val="95"/>
          <w:sz w:val="26"/>
        </w:rPr>
        <w:t>T</w:t>
      </w:r>
      <w:r>
        <w:rPr>
          <w:rFonts w:ascii="Arial"/>
          <w:color w:val="707074"/>
          <w:w w:val="95"/>
          <w:sz w:val="26"/>
        </w:rPr>
        <w:t>ION</w:t>
      </w:r>
      <w:r>
        <w:rPr>
          <w:rFonts w:ascii="Arial"/>
          <w:color w:val="707074"/>
          <w:spacing w:val="52"/>
          <w:w w:val="95"/>
          <w:sz w:val="26"/>
        </w:rPr>
        <w:t> </w:t>
      </w:r>
      <w:r>
        <w:rPr>
          <w:rFonts w:ascii="Arial"/>
          <w:color w:val="8C8C90"/>
          <w:w w:val="95"/>
          <w:sz w:val="26"/>
        </w:rPr>
        <w:t>BRiEF</w:t>
      </w:r>
      <w:r>
        <w:rPr>
          <w:rFonts w:ascii="Arial"/>
          <w:color w:val="545456"/>
          <w:w w:val="95"/>
          <w:sz w:val="26"/>
        </w:rPr>
        <w:t>S</w:t>
      </w:r>
    </w:p>
    <w:p>
      <w:pPr>
        <w:pStyle w:val="BodyText"/>
        <w:spacing w:line="235" w:lineRule="auto" w:before="193"/>
        <w:ind w:left="579" w:right="143" w:firstLine="636"/>
        <w:jc w:val="both"/>
      </w:pPr>
      <w:r>
        <w:rPr>
          <w:color w:val="383638"/>
          <w:w w:val="105"/>
        </w:rPr>
        <w:t>Unlike</w:t>
      </w:r>
      <w:r>
        <w:rPr>
          <w:color w:val="383638"/>
          <w:spacing w:val="-29"/>
          <w:w w:val="105"/>
        </w:rPr>
        <w:t> </w:t>
      </w:r>
      <w:r>
        <w:rPr>
          <w:color w:val="383638"/>
          <w:w w:val="105"/>
        </w:rPr>
        <w:t>app</w:t>
      </w:r>
      <w:r>
        <w:rPr>
          <w:color w:val="545456"/>
          <w:w w:val="105"/>
        </w:rPr>
        <w:t>e</w:t>
      </w:r>
      <w:r>
        <w:rPr>
          <w:color w:val="383638"/>
          <w:w w:val="105"/>
        </w:rPr>
        <w:t>llate</w:t>
      </w:r>
      <w:r>
        <w:rPr>
          <w:color w:val="383638"/>
          <w:spacing w:val="-6"/>
          <w:w w:val="105"/>
        </w:rPr>
        <w:t> </w:t>
      </w:r>
      <w:r>
        <w:rPr>
          <w:color w:val="383638"/>
          <w:w w:val="105"/>
        </w:rPr>
        <w:t>courts,</w:t>
      </w:r>
      <w:r>
        <w:rPr>
          <w:color w:val="383638"/>
          <w:spacing w:val="-4"/>
          <w:w w:val="105"/>
        </w:rPr>
        <w:t> </w:t>
      </w:r>
      <w:r>
        <w:rPr>
          <w:color w:val="383638"/>
          <w:w w:val="105"/>
        </w:rPr>
        <w:t>trial</w:t>
      </w:r>
      <w:r>
        <w:rPr>
          <w:color w:val="383638"/>
          <w:spacing w:val="-23"/>
          <w:w w:val="105"/>
        </w:rPr>
        <w:t> </w:t>
      </w:r>
      <w:r>
        <w:rPr>
          <w:color w:val="383638"/>
          <w:w w:val="105"/>
        </w:rPr>
        <w:t>courts</w:t>
      </w:r>
      <w:r>
        <w:rPr>
          <w:color w:val="383638"/>
          <w:spacing w:val="-24"/>
          <w:w w:val="105"/>
        </w:rPr>
        <w:t> </w:t>
      </w:r>
      <w:r>
        <w:rPr>
          <w:color w:val="383638"/>
          <w:w w:val="105"/>
        </w:rPr>
        <w:t>do</w:t>
      </w:r>
      <w:r>
        <w:rPr>
          <w:color w:val="383638"/>
          <w:spacing w:val="-2"/>
          <w:w w:val="105"/>
        </w:rPr>
        <w:t> </w:t>
      </w:r>
      <w:r>
        <w:rPr>
          <w:color w:val="383638"/>
          <w:w w:val="105"/>
        </w:rPr>
        <w:t>not</w:t>
      </w:r>
      <w:r>
        <w:rPr>
          <w:color w:val="383638"/>
          <w:spacing w:val="12"/>
          <w:w w:val="105"/>
        </w:rPr>
        <w:t> </w:t>
      </w:r>
      <w:r>
        <w:rPr>
          <w:color w:val="383638"/>
          <w:w w:val="105"/>
        </w:rPr>
        <w:t>always</w:t>
      </w:r>
      <w:r>
        <w:rPr>
          <w:color w:val="383638"/>
          <w:spacing w:val="-28"/>
          <w:w w:val="105"/>
        </w:rPr>
        <w:t> </w:t>
      </w:r>
      <w:r>
        <w:rPr>
          <w:color w:val="383638"/>
          <w:w w:val="105"/>
        </w:rPr>
        <w:t>specify</w:t>
      </w:r>
      <w:r>
        <w:rPr>
          <w:color w:val="383638"/>
          <w:spacing w:val="-3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28"/>
          <w:w w:val="105"/>
        </w:rPr>
        <w:t> </w:t>
      </w:r>
      <w:r>
        <w:rPr>
          <w:color w:val="383638"/>
          <w:w w:val="105"/>
        </w:rPr>
        <w:t>require­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ments for motion briefs. Many say only that a "memorandum of points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and authorities" must accompany the </w:t>
      </w:r>
      <w:r>
        <w:rPr>
          <w:color w:val="2A2628"/>
          <w:w w:val="110"/>
        </w:rPr>
        <w:t>motion, </w:t>
      </w:r>
      <w:r>
        <w:rPr>
          <w:color w:val="383638"/>
          <w:w w:val="110"/>
        </w:rPr>
        <w:t>or that the brief should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state "the concise facts, the grounds for the motion and the authorities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relied on." In practice, however, counsel filing d</w:t>
      </w:r>
      <w:r>
        <w:rPr>
          <w:color w:val="545456"/>
          <w:w w:val="110"/>
        </w:rPr>
        <w:t>i</w:t>
      </w:r>
      <w:r>
        <w:rPr>
          <w:color w:val="383638"/>
          <w:w w:val="110"/>
        </w:rPr>
        <w:t>spositive motions often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05"/>
        </w:rPr>
        <w:t>submit briefs that closely resemble appellate briefs. This chapter identifies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segments that mayappear in effective motion briefs, and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a sample follow</w:t>
      </w:r>
      <w:r>
        <w:rPr>
          <w:color w:val="545456"/>
          <w:w w:val="105"/>
        </w:rPr>
        <w:t>­</w:t>
      </w:r>
      <w:r>
        <w:rPr>
          <w:color w:val="545456"/>
          <w:spacing w:val="1"/>
          <w:w w:val="105"/>
        </w:rPr>
        <w:t> </w:t>
      </w:r>
      <w:r>
        <w:rPr>
          <w:color w:val="383638"/>
          <w:spacing w:val="-1"/>
          <w:w w:val="110"/>
        </w:rPr>
        <w:t>ing this format appears </w:t>
      </w:r>
      <w:r>
        <w:rPr>
          <w:color w:val="383638"/>
          <w:w w:val="110"/>
        </w:rPr>
        <w:t>in Appendix C. Note </w:t>
      </w:r>
      <w:r>
        <w:rPr>
          <w:color w:val="2A2628"/>
          <w:w w:val="110"/>
        </w:rPr>
        <w:t>that </w:t>
      </w:r>
      <w:r>
        <w:rPr>
          <w:color w:val="383638"/>
          <w:w w:val="110"/>
        </w:rPr>
        <w:t>while pagination rules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for appellate briefs often indicate </w:t>
      </w:r>
      <w:r>
        <w:rPr>
          <w:color w:val="2A2628"/>
          <w:w w:val="110"/>
        </w:rPr>
        <w:t>use </w:t>
      </w:r>
      <w:r>
        <w:rPr>
          <w:color w:val="383638"/>
          <w:w w:val="110"/>
        </w:rPr>
        <w:t>of small </w:t>
      </w:r>
      <w:r>
        <w:rPr>
          <w:color w:val="2A2628"/>
          <w:w w:val="110"/>
        </w:rPr>
        <w:t>roman </w:t>
      </w:r>
      <w:r>
        <w:rPr>
          <w:color w:val="383638"/>
          <w:w w:val="110"/>
        </w:rPr>
        <w:t>numerals on pages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containing introductory material</w:t>
      </w:r>
      <w:r>
        <w:rPr>
          <w:color w:val="545456"/>
          <w:w w:val="110"/>
        </w:rPr>
        <w:t>, </w:t>
      </w:r>
      <w:r>
        <w:rPr>
          <w:color w:val="383638"/>
          <w:w w:val="110"/>
        </w:rPr>
        <w:t>you should paginate a motion brief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with</w:t>
      </w:r>
      <w:r>
        <w:rPr>
          <w:color w:val="383638"/>
          <w:spacing w:val="-1"/>
          <w:w w:val="105"/>
        </w:rPr>
        <w:t> </w:t>
      </w:r>
      <w:r>
        <w:rPr>
          <w:color w:val="383638"/>
          <w:w w:val="105"/>
        </w:rPr>
        <w:t>Arabic</w:t>
      </w:r>
      <w:r>
        <w:rPr>
          <w:color w:val="383638"/>
          <w:spacing w:val="-5"/>
          <w:w w:val="105"/>
        </w:rPr>
        <w:t> </w:t>
      </w:r>
      <w:r>
        <w:rPr>
          <w:color w:val="383638"/>
          <w:w w:val="105"/>
        </w:rPr>
        <w:t>numerals</w:t>
      </w:r>
      <w:r>
        <w:rPr>
          <w:color w:val="383638"/>
          <w:spacing w:val="9"/>
          <w:w w:val="105"/>
        </w:rPr>
        <w:t> </w:t>
      </w:r>
      <w:r>
        <w:rPr>
          <w:color w:val="383638"/>
          <w:w w:val="105"/>
        </w:rPr>
        <w:t>unless</w:t>
      </w:r>
      <w:r>
        <w:rPr>
          <w:color w:val="383638"/>
          <w:spacing w:val="-3"/>
          <w:w w:val="105"/>
        </w:rPr>
        <w:t> </w:t>
      </w:r>
      <w:r>
        <w:rPr>
          <w:color w:val="383638"/>
          <w:w w:val="105"/>
        </w:rPr>
        <w:t>court</w:t>
      </w:r>
      <w:r>
        <w:rPr>
          <w:color w:val="383638"/>
          <w:spacing w:val="-1"/>
          <w:w w:val="105"/>
        </w:rPr>
        <w:t> </w:t>
      </w:r>
      <w:r>
        <w:rPr>
          <w:color w:val="383638"/>
          <w:w w:val="105"/>
        </w:rPr>
        <w:t>rules</w:t>
      </w:r>
      <w:r>
        <w:rPr>
          <w:color w:val="383638"/>
          <w:spacing w:val="-7"/>
          <w:w w:val="105"/>
        </w:rPr>
        <w:t> </w:t>
      </w:r>
      <w:r>
        <w:rPr>
          <w:color w:val="383638"/>
          <w:w w:val="105"/>
        </w:rPr>
        <w:t>designate</w:t>
      </w:r>
      <w:r>
        <w:rPr>
          <w:color w:val="383638"/>
          <w:spacing w:val="-4"/>
          <w:w w:val="105"/>
        </w:rPr>
        <w:t> </w:t>
      </w:r>
      <w:r>
        <w:rPr>
          <w:color w:val="383638"/>
          <w:w w:val="105"/>
        </w:rPr>
        <w:t>otherwise.</w:t>
      </w:r>
    </w:p>
    <w:p>
      <w:pPr>
        <w:pStyle w:val="BodyText"/>
        <w:spacing w:line="232" w:lineRule="auto"/>
        <w:ind w:left="514" w:right="159" w:firstLine="408"/>
        <w:jc w:val="both"/>
      </w:pPr>
      <w:r>
        <w:rPr>
          <w:color w:val="383638"/>
          <w:w w:val="110"/>
        </w:rPr>
        <w:t>In practice, the party filing the responsive brief</w:t>
      </w:r>
      <w:r>
        <w:rPr>
          <w:color w:val="545456"/>
          <w:w w:val="110"/>
        </w:rPr>
        <w:t>-</w:t>
      </w:r>
      <w:r>
        <w:rPr>
          <w:color w:val="383638"/>
          <w:w w:val="110"/>
        </w:rPr>
        <w:t>generally the plain­</w:t>
      </w:r>
      <w:r>
        <w:rPr>
          <w:color w:val="383638"/>
          <w:spacing w:val="1"/>
          <w:w w:val="110"/>
        </w:rPr>
        <w:t> </w:t>
      </w:r>
      <w:r>
        <w:rPr>
          <w:rFonts w:ascii="Arial" w:hAnsi="Arial"/>
          <w:color w:val="383638"/>
          <w:w w:val="110"/>
          <w:sz w:val="22"/>
        </w:rPr>
        <w:t>tiff, </w:t>
      </w:r>
      <w:r>
        <w:rPr>
          <w:color w:val="383638"/>
          <w:w w:val="110"/>
        </w:rPr>
        <w:t>for a motion brief-may be allowed to omit certain segments of </w:t>
      </w:r>
      <w:r>
        <w:rPr>
          <w:color w:val="2A2628"/>
          <w:w w:val="110"/>
        </w:rPr>
        <w:t>the</w:t>
      </w:r>
      <w:r>
        <w:rPr>
          <w:color w:val="2A2628"/>
          <w:spacing w:val="1"/>
          <w:w w:val="110"/>
        </w:rPr>
        <w:t> </w:t>
      </w:r>
      <w:r>
        <w:rPr>
          <w:color w:val="383638"/>
          <w:w w:val="105"/>
        </w:rPr>
        <w:t>brief (e.g</w:t>
      </w:r>
      <w:r>
        <w:rPr>
          <w:color w:val="545456"/>
          <w:w w:val="105"/>
        </w:rPr>
        <w:t>.</w:t>
      </w:r>
      <w:r>
        <w:rPr>
          <w:color w:val="383638"/>
          <w:w w:val="105"/>
        </w:rPr>
        <w:t>, the fact statement) </w:t>
      </w:r>
      <w:r>
        <w:rPr>
          <w:color w:val="2A2628"/>
          <w:w w:val="105"/>
        </w:rPr>
        <w:t>if he </w:t>
      </w:r>
      <w:r>
        <w:rPr>
          <w:color w:val="383638"/>
          <w:w w:val="105"/>
        </w:rPr>
        <w:t>or she agrees with the other party as to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that information. In most </w:t>
      </w:r>
      <w:r>
        <w:rPr>
          <w:color w:val="2A2628"/>
          <w:w w:val="110"/>
        </w:rPr>
        <w:t>law </w:t>
      </w:r>
      <w:r>
        <w:rPr>
          <w:color w:val="383638"/>
          <w:w w:val="110"/>
        </w:rPr>
        <w:t>school settings, however, students on each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side of the case are required to complete all segments of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document for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pedagogical reasons. Whether in practice or in class, you must learn and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follow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3"/>
          <w:w w:val="110"/>
        </w:rPr>
        <w:t> </w:t>
      </w:r>
      <w:r>
        <w:rPr>
          <w:color w:val="2A2628"/>
          <w:w w:val="110"/>
        </w:rPr>
        <w:t>local</w:t>
      </w:r>
      <w:r>
        <w:rPr>
          <w:color w:val="2A2628"/>
          <w:spacing w:val="-2"/>
          <w:w w:val="110"/>
        </w:rPr>
        <w:t> </w:t>
      </w:r>
      <w:r>
        <w:rPr>
          <w:color w:val="383638"/>
          <w:w w:val="110"/>
        </w:rPr>
        <w:t>rules.</w:t>
      </w:r>
    </w:p>
    <w:p>
      <w:pPr>
        <w:pStyle w:val="BodyText"/>
        <w:spacing w:before="6"/>
        <w:rPr>
          <w:sz w:val="30"/>
        </w:rPr>
      </w:pPr>
    </w:p>
    <w:p>
      <w:pPr>
        <w:spacing w:before="0"/>
        <w:ind w:left="833" w:right="0" w:firstLine="0"/>
        <w:jc w:val="left"/>
        <w:rPr>
          <w:sz w:val="29"/>
        </w:rPr>
      </w:pPr>
      <w:r>
        <w:rPr>
          <w:color w:val="707074"/>
          <w:w w:val="115"/>
          <w:sz w:val="29"/>
        </w:rPr>
        <w:t>8</w:t>
      </w:r>
      <w:r>
        <w:rPr>
          <w:color w:val="545456"/>
          <w:w w:val="115"/>
          <w:sz w:val="29"/>
        </w:rPr>
        <w:t>.5.1</w:t>
      </w:r>
    </w:p>
    <w:p>
      <w:pPr>
        <w:spacing w:before="39"/>
        <w:ind w:left="830" w:right="0" w:firstLine="0"/>
        <w:jc w:val="left"/>
        <w:rPr>
          <w:rFonts w:ascii="Arial"/>
          <w:sz w:val="22"/>
        </w:rPr>
      </w:pPr>
      <w:r>
        <w:rPr>
          <w:rFonts w:ascii="Arial"/>
          <w:color w:val="545456"/>
          <w:w w:val="105"/>
          <w:sz w:val="22"/>
        </w:rPr>
        <w:t>CAPTION</w:t>
      </w:r>
    </w:p>
    <w:p>
      <w:pPr>
        <w:pStyle w:val="BodyText"/>
        <w:spacing w:line="232" w:lineRule="auto" w:before="169"/>
        <w:ind w:left="418" w:right="196" w:firstLine="420"/>
        <w:jc w:val="both"/>
      </w:pPr>
      <w:r>
        <w:rPr>
          <w:color w:val="383638"/>
          <w:w w:val="105"/>
        </w:rPr>
        <w:t>Unlike an appellate brief, a motion brief usually does not require a sep­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arate cover page. </w:t>
      </w:r>
      <w:r>
        <w:rPr>
          <w:color w:val="2A2628"/>
          <w:w w:val="110"/>
        </w:rPr>
        <w:t>It </w:t>
      </w:r>
      <w:r>
        <w:rPr>
          <w:color w:val="383638"/>
          <w:w w:val="110"/>
        </w:rPr>
        <w:t>will, however, probably require a formal caption that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includes the name of </w:t>
      </w:r>
      <w:r>
        <w:rPr>
          <w:color w:val="2A2628"/>
          <w:w w:val="110"/>
        </w:rPr>
        <w:t>the </w:t>
      </w:r>
      <w:r>
        <w:rPr>
          <w:color w:val="383638"/>
          <w:w w:val="110"/>
        </w:rPr>
        <w:t>court hearing the case</w:t>
      </w:r>
      <w:r>
        <w:rPr>
          <w:color w:val="545456"/>
          <w:w w:val="110"/>
        </w:rPr>
        <w:t>, </w:t>
      </w:r>
      <w:r>
        <w:rPr>
          <w:color w:val="2A2628"/>
          <w:w w:val="110"/>
        </w:rPr>
        <w:t>the </w:t>
      </w:r>
      <w:r>
        <w:rPr>
          <w:color w:val="383638"/>
          <w:w w:val="110"/>
        </w:rPr>
        <w:t>parties, their proce­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dural titles, the case's docket number</w:t>
      </w:r>
      <w:r>
        <w:rPr>
          <w:color w:val="545456"/>
          <w:w w:val="110"/>
        </w:rPr>
        <w:t>, </w:t>
      </w:r>
      <w:r>
        <w:rPr>
          <w:color w:val="383638"/>
          <w:w w:val="110"/>
        </w:rPr>
        <w:t>and the title of the document (e.g.,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"Memorandum</w:t>
      </w:r>
      <w:r>
        <w:rPr>
          <w:color w:val="383638"/>
          <w:spacing w:val="36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Support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Defendant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Guillen's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Motion</w:t>
      </w:r>
      <w:r>
        <w:rPr>
          <w:color w:val="383638"/>
          <w:spacing w:val="32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34"/>
          <w:w w:val="110"/>
        </w:rPr>
        <w:t> </w:t>
      </w:r>
      <w:r>
        <w:rPr>
          <w:color w:val="383638"/>
          <w:w w:val="110"/>
        </w:rPr>
        <w:t>Dismiss").</w:t>
      </w:r>
    </w:p>
    <w:p>
      <w:pPr>
        <w:pStyle w:val="BodyText"/>
        <w:spacing w:before="1"/>
        <w:rPr>
          <w:sz w:val="38"/>
        </w:rPr>
      </w:pPr>
    </w:p>
    <w:p>
      <w:pPr>
        <w:spacing w:line="189" w:lineRule="auto" w:before="0"/>
        <w:ind w:left="357" w:right="214" w:firstLine="401"/>
        <w:jc w:val="both"/>
        <w:rPr>
          <w:sz w:val="18"/>
        </w:rPr>
      </w:pPr>
      <w:r>
        <w:rPr>
          <w:i/>
          <w:color w:val="383638"/>
          <w:w w:val="105"/>
          <w:sz w:val="17"/>
        </w:rPr>
        <w:t>••See</w:t>
      </w:r>
      <w:r>
        <w:rPr>
          <w:i/>
          <w:color w:val="545456"/>
          <w:w w:val="105"/>
          <w:sz w:val="17"/>
        </w:rPr>
        <w:t>, </w:t>
      </w:r>
      <w:r>
        <w:rPr>
          <w:i/>
          <w:color w:val="383638"/>
          <w:w w:val="105"/>
          <w:sz w:val="17"/>
        </w:rPr>
        <w:t>e.g</w:t>
      </w:r>
      <w:r>
        <w:rPr>
          <w:i/>
          <w:color w:val="545456"/>
          <w:w w:val="105"/>
          <w:sz w:val="17"/>
        </w:rPr>
        <w:t>., </w:t>
      </w:r>
      <w:r>
        <w:rPr>
          <w:color w:val="383638"/>
          <w:w w:val="105"/>
          <w:sz w:val="18"/>
        </w:rPr>
        <w:t>Ruggero </w:t>
      </w:r>
      <w:r>
        <w:rPr>
          <w:color w:val="383638"/>
          <w:w w:val="105"/>
          <w:sz w:val="21"/>
        </w:rPr>
        <w:t>J. </w:t>
      </w:r>
      <w:r>
        <w:rPr>
          <w:color w:val="383638"/>
          <w:w w:val="105"/>
          <w:sz w:val="17"/>
        </w:rPr>
        <w:t>Ald_Is</w:t>
      </w:r>
      <w:r>
        <w:rPr>
          <w:color w:val="545456"/>
          <w:w w:val="105"/>
          <w:sz w:val="17"/>
        </w:rPr>
        <w:t>e</w:t>
      </w:r>
      <w:r>
        <w:rPr>
          <w:color w:val="383638"/>
          <w:w w:val="105"/>
          <w:sz w:val="17"/>
        </w:rPr>
        <w:t>rt</w:t>
      </w:r>
      <w:r>
        <w:rPr>
          <w:color w:val="545456"/>
          <w:w w:val="105"/>
          <w:sz w:val="17"/>
        </w:rPr>
        <w:t>, </w:t>
      </w:r>
      <w:r>
        <w:rPr>
          <w:i/>
          <w:color w:val="383638"/>
          <w:w w:val="105"/>
          <w:sz w:val="17"/>
        </w:rPr>
        <w:t>Winning on Appeal </w:t>
      </w:r>
      <w:r>
        <w:rPr>
          <w:color w:val="383638"/>
          <w:w w:val="105"/>
          <w:sz w:val="17"/>
        </w:rPr>
        <w:t>84-89 (re</w:t>
      </w:r>
      <w:r>
        <w:rPr>
          <w:color w:val="545456"/>
          <w:w w:val="105"/>
          <w:sz w:val="17"/>
        </w:rPr>
        <w:t>v</w:t>
      </w:r>
      <w:r>
        <w:rPr>
          <w:color w:val="383638"/>
          <w:w w:val="105"/>
          <w:sz w:val="17"/>
        </w:rPr>
        <w:t>. 1st ed</w:t>
      </w:r>
      <w:r>
        <w:rPr>
          <w:color w:val="545456"/>
          <w:w w:val="105"/>
          <w:sz w:val="17"/>
        </w:rPr>
        <w:t>., </w:t>
      </w:r>
      <w:r>
        <w:rPr>
          <w:color w:val="383638"/>
          <w:w w:val="105"/>
          <w:sz w:val="17"/>
        </w:rPr>
        <w:t>Natl. Inst. Trial Adv</w:t>
      </w:r>
      <w:r>
        <w:rPr>
          <w:color w:val="545456"/>
          <w:w w:val="105"/>
          <w:sz w:val="17"/>
        </w:rPr>
        <w:t>oc.</w:t>
      </w:r>
      <w:r>
        <w:rPr>
          <w:color w:val="545456"/>
          <w:spacing w:val="1"/>
          <w:w w:val="105"/>
          <w:sz w:val="17"/>
        </w:rPr>
        <w:t> </w:t>
      </w:r>
      <w:r>
        <w:rPr>
          <w:color w:val="383638"/>
          <w:w w:val="105"/>
          <w:position w:val="-5"/>
          <w:sz w:val="17"/>
        </w:rPr>
        <w:t>199</w:t>
      </w:r>
      <w:r>
        <w:rPr>
          <w:color w:val="383638"/>
          <w:w w:val="105"/>
          <w:sz w:val="17"/>
        </w:rPr>
        <w:t>6); </w:t>
      </w:r>
      <w:r>
        <w:rPr>
          <w:color w:val="383638"/>
          <w:w w:val="105"/>
          <w:sz w:val="18"/>
        </w:rPr>
        <w:t>Carole C. Berry</w:t>
      </w:r>
      <w:r>
        <w:rPr>
          <w:color w:val="545456"/>
          <w:w w:val="105"/>
          <w:sz w:val="18"/>
        </w:rPr>
        <w:t>, </w:t>
      </w:r>
      <w:r>
        <w:rPr>
          <w:i/>
          <w:color w:val="383638"/>
          <w:w w:val="105"/>
          <w:sz w:val="17"/>
        </w:rPr>
        <w:t>Effective Appellate Advocacy</w:t>
      </w:r>
      <w:r>
        <w:rPr>
          <w:i/>
          <w:color w:val="545456"/>
          <w:w w:val="105"/>
          <w:sz w:val="17"/>
        </w:rPr>
        <w:t>: </w:t>
      </w:r>
      <w:r>
        <w:rPr>
          <w:i/>
          <w:color w:val="383638"/>
          <w:w w:val="105"/>
          <w:sz w:val="17"/>
        </w:rPr>
        <w:t>Brief Writing </w:t>
      </w:r>
      <w:r>
        <w:rPr>
          <w:i/>
          <w:color w:val="2A2628"/>
          <w:w w:val="105"/>
          <w:sz w:val="17"/>
        </w:rPr>
        <w:t>and </w:t>
      </w:r>
      <w:r>
        <w:rPr>
          <w:i/>
          <w:color w:val="383638"/>
          <w:w w:val="105"/>
          <w:sz w:val="17"/>
        </w:rPr>
        <w:t>Oral Argumen</w:t>
      </w:r>
      <w:r>
        <w:rPr>
          <w:i/>
          <w:color w:val="545456"/>
          <w:w w:val="105"/>
          <w:sz w:val="17"/>
        </w:rPr>
        <w:t>t </w:t>
      </w:r>
      <w:r>
        <w:rPr>
          <w:color w:val="383638"/>
          <w:w w:val="105"/>
          <w:sz w:val="18"/>
        </w:rPr>
        <w:t>107 (3ded</w:t>
      </w:r>
      <w:r>
        <w:rPr>
          <w:color w:val="545456"/>
          <w:w w:val="105"/>
          <w:sz w:val="18"/>
        </w:rPr>
        <w:t>.</w:t>
      </w:r>
      <w:r>
        <w:rPr>
          <w:color w:val="383638"/>
          <w:w w:val="105"/>
          <w:sz w:val="18"/>
        </w:rPr>
        <w:t>,</w:t>
      </w:r>
      <w:r>
        <w:rPr>
          <w:color w:val="383638"/>
          <w:spacing w:val="1"/>
          <w:w w:val="105"/>
          <w:sz w:val="18"/>
        </w:rPr>
        <w:t> </w:t>
      </w:r>
      <w:r>
        <w:rPr>
          <w:color w:val="383638"/>
          <w:w w:val="105"/>
          <w:sz w:val="20"/>
        </w:rPr>
        <w:t>n,omsonfWest</w:t>
      </w:r>
      <w:r>
        <w:rPr>
          <w:color w:val="383638"/>
          <w:spacing w:val="18"/>
          <w:w w:val="105"/>
          <w:sz w:val="20"/>
        </w:rPr>
        <w:t> </w:t>
      </w:r>
      <w:r>
        <w:rPr>
          <w:color w:val="383638"/>
          <w:w w:val="105"/>
          <w:sz w:val="18"/>
        </w:rPr>
        <w:t>2003)</w:t>
      </w:r>
      <w:r>
        <w:rPr>
          <w:color w:val="545456"/>
          <w:w w:val="105"/>
          <w:sz w:val="18"/>
        </w:rPr>
        <w:t>.</w:t>
      </w:r>
    </w:p>
    <w:p>
      <w:pPr>
        <w:spacing w:after="0" w:line="189" w:lineRule="auto"/>
        <w:jc w:val="both"/>
        <w:rPr>
          <w:sz w:val="18"/>
        </w:rPr>
        <w:sectPr>
          <w:headerReference w:type="even" r:id="rId203"/>
          <w:headerReference w:type="default" r:id="rId204"/>
          <w:pgSz w:w="9460" w:h="13740"/>
          <w:pgMar w:header="483" w:footer="0" w:top="1060" w:bottom="0" w:left="1300" w:right="80"/>
          <w:pgNumType w:start="180"/>
        </w:sectPr>
      </w:pPr>
    </w:p>
    <w:p>
      <w:pPr>
        <w:pStyle w:val="BodyText"/>
        <w:spacing w:line="235" w:lineRule="auto" w:before="85"/>
        <w:ind w:left="117" w:firstLine="11"/>
      </w:pPr>
      <w:r>
        <w:rPr>
          <w:color w:val="383638"/>
          <w:w w:val="110"/>
        </w:rPr>
        <w:t>Note that in some courts, counsel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must request oral argument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within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62"/>
          <w:w w:val="110"/>
        </w:rPr>
        <w:t> </w:t>
      </w:r>
      <w:r>
        <w:rPr>
          <w:color w:val="383638"/>
          <w:w w:val="110"/>
        </w:rPr>
        <w:t>caption,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so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it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particularly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important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consult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local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rules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28"/>
          <w:w w:val="110"/>
        </w:rPr>
        <w:t> </w:t>
      </w:r>
      <w:r>
        <w:rPr>
          <w:color w:val="383638"/>
          <w:w w:val="110"/>
        </w:rPr>
        <w:t>this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regard.</w:t>
      </w:r>
    </w:p>
    <w:p>
      <w:pPr>
        <w:pStyle w:val="BodyText"/>
        <w:spacing w:before="1"/>
        <w:rPr>
          <w:sz w:val="34"/>
        </w:rPr>
      </w:pPr>
    </w:p>
    <w:p>
      <w:pPr>
        <w:spacing w:before="1"/>
        <w:ind w:left="46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83638"/>
          <w:w w:val="105"/>
          <w:sz w:val="28"/>
        </w:rPr>
        <w:t>8.5.2</w:t>
      </w:r>
    </w:p>
    <w:p>
      <w:pPr>
        <w:spacing w:before="34"/>
        <w:ind w:left="475" w:right="0" w:firstLine="0"/>
        <w:jc w:val="left"/>
        <w:rPr>
          <w:sz w:val="24"/>
        </w:rPr>
      </w:pPr>
      <w:r>
        <w:rPr>
          <w:color w:val="383638"/>
          <w:sz w:val="24"/>
        </w:rPr>
        <w:t>ISS</w:t>
      </w:r>
      <w:r>
        <w:rPr>
          <w:color w:val="4F4F50"/>
          <w:sz w:val="24"/>
        </w:rPr>
        <w:t>U</w:t>
      </w:r>
      <w:r>
        <w:rPr>
          <w:color w:val="383638"/>
          <w:sz w:val="24"/>
        </w:rPr>
        <w:t>E</w:t>
      </w:r>
    </w:p>
    <w:p>
      <w:pPr>
        <w:pStyle w:val="BodyText"/>
        <w:spacing w:line="232" w:lineRule="auto" w:before="135"/>
        <w:ind w:left="127" w:right="293" w:firstLine="301"/>
        <w:jc w:val="both"/>
      </w:pPr>
      <w:r>
        <w:rPr>
          <w:color w:val="383638"/>
          <w:w w:val="110"/>
        </w:rPr>
        <w:t>Some courts require attorneys who file motion briefs to draft formal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questions presented. Oth</w:t>
      </w:r>
      <w:r>
        <w:rPr>
          <w:color w:val="4F4F50"/>
          <w:w w:val="110"/>
        </w:rPr>
        <w:t>e</w:t>
      </w:r>
      <w:r>
        <w:rPr>
          <w:color w:val="383638"/>
          <w:w w:val="110"/>
        </w:rPr>
        <w:t>rs may rely on the motion itself to articulate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issue</w:t>
      </w:r>
      <w:r>
        <w:rPr>
          <w:color w:val="383638"/>
          <w:spacing w:val="-28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require</w:t>
      </w:r>
      <w:r>
        <w:rPr>
          <w:color w:val="383638"/>
          <w:spacing w:val="-27"/>
          <w:w w:val="110"/>
        </w:rPr>
        <w:t> </w:t>
      </w:r>
      <w:r>
        <w:rPr>
          <w:color w:val="383638"/>
          <w:w w:val="110"/>
        </w:rPr>
        <w:t>only</w:t>
      </w:r>
      <w:r>
        <w:rPr>
          <w:color w:val="383638"/>
          <w:spacing w:val="-24"/>
          <w:w w:val="110"/>
        </w:rPr>
        <w:t> </w:t>
      </w:r>
      <w:r>
        <w:rPr>
          <w:color w:val="383638"/>
          <w:w w:val="110"/>
        </w:rPr>
        <w:t>an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"introduction"</w:t>
      </w:r>
      <w:r>
        <w:rPr>
          <w:color w:val="383638"/>
          <w:spacing w:val="-27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issue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40"/>
          <w:w w:val="110"/>
        </w:rPr>
        <w:t> </w:t>
      </w:r>
      <w:r>
        <w:rPr>
          <w:color w:val="383638"/>
          <w:w w:val="110"/>
        </w:rPr>
        <w:t>brief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itself</w:t>
      </w:r>
      <w:r>
        <w:rPr>
          <w:color w:val="4F4F50"/>
          <w:w w:val="110"/>
        </w:rPr>
        <w:t>.</w:t>
      </w:r>
      <w:r>
        <w:rPr>
          <w:color w:val="4F4F50"/>
          <w:spacing w:val="-27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introduction may appear under a heading just below the caption</w:t>
      </w:r>
      <w:r>
        <w:rPr>
          <w:color w:val="4F4F50"/>
          <w:w w:val="110"/>
        </w:rPr>
        <w:t>. </w:t>
      </w:r>
      <w:r>
        <w:rPr>
          <w:color w:val="383638"/>
          <w:w w:val="110"/>
        </w:rPr>
        <w:t>Chapter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Nine discusses methods for writing both formal questions presented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introductions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appropriate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motion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briefs.</w:t>
      </w:r>
    </w:p>
    <w:p>
      <w:pPr>
        <w:pStyle w:val="BodyText"/>
        <w:spacing w:before="3"/>
        <w:rPr>
          <w:sz w:val="33"/>
        </w:rPr>
      </w:pPr>
    </w:p>
    <w:p>
      <w:pPr>
        <w:spacing w:before="0"/>
        <w:ind w:left="454" w:right="0" w:firstLine="0"/>
        <w:jc w:val="left"/>
        <w:rPr>
          <w:sz w:val="30"/>
        </w:rPr>
      </w:pPr>
      <w:r>
        <w:rPr>
          <w:color w:val="383638"/>
          <w:w w:val="105"/>
          <w:sz w:val="30"/>
        </w:rPr>
        <w:t>8</w:t>
      </w:r>
      <w:r>
        <w:rPr>
          <w:color w:val="4F4F50"/>
          <w:w w:val="105"/>
          <w:sz w:val="30"/>
        </w:rPr>
        <w:t>.</w:t>
      </w:r>
      <w:r>
        <w:rPr>
          <w:color w:val="383638"/>
          <w:w w:val="105"/>
          <w:sz w:val="30"/>
        </w:rPr>
        <w:t>5.3</w:t>
      </w:r>
    </w:p>
    <w:p>
      <w:pPr>
        <w:spacing w:before="10"/>
        <w:ind w:left="478" w:right="0" w:firstLine="0"/>
        <w:jc w:val="left"/>
        <w:rPr>
          <w:rFonts w:ascii="Arial"/>
          <w:sz w:val="22"/>
        </w:rPr>
      </w:pPr>
      <w:r>
        <w:rPr>
          <w:color w:val="383638"/>
          <w:w w:val="95"/>
          <w:sz w:val="24"/>
        </w:rPr>
        <w:t>P</w:t>
      </w:r>
      <w:r>
        <w:rPr>
          <w:color w:val="4F4F50"/>
          <w:w w:val="95"/>
          <w:sz w:val="24"/>
        </w:rPr>
        <w:t>AR</w:t>
      </w:r>
      <w:r>
        <w:rPr>
          <w:color w:val="383638"/>
          <w:w w:val="95"/>
          <w:sz w:val="24"/>
        </w:rPr>
        <w:t>T</w:t>
      </w:r>
      <w:r>
        <w:rPr>
          <w:color w:val="4F4F50"/>
          <w:w w:val="95"/>
          <w:sz w:val="24"/>
        </w:rPr>
        <w:t>IE</w:t>
      </w:r>
      <w:r>
        <w:rPr>
          <w:color w:val="69696B"/>
          <w:w w:val="95"/>
          <w:sz w:val="24"/>
        </w:rPr>
        <w:t>S</w:t>
      </w:r>
      <w:r>
        <w:rPr>
          <w:color w:val="69696B"/>
          <w:spacing w:val="-9"/>
          <w:w w:val="95"/>
          <w:sz w:val="24"/>
        </w:rPr>
        <w:t> </w:t>
      </w:r>
      <w:r>
        <w:rPr>
          <w:rFonts w:ascii="Arial"/>
          <w:color w:val="77797C"/>
          <w:w w:val="95"/>
          <w:sz w:val="22"/>
        </w:rPr>
        <w:t>TO</w:t>
      </w:r>
      <w:r>
        <w:rPr>
          <w:rFonts w:ascii="Arial"/>
          <w:color w:val="77797C"/>
          <w:spacing w:val="89"/>
          <w:sz w:val="22"/>
        </w:rPr>
        <w:t> </w:t>
      </w:r>
      <w:r>
        <w:rPr>
          <w:color w:val="69696B"/>
          <w:w w:val="95"/>
          <w:sz w:val="24"/>
        </w:rPr>
        <w:t>THE</w:t>
      </w:r>
      <w:r>
        <w:rPr>
          <w:color w:val="69696B"/>
          <w:spacing w:val="22"/>
          <w:w w:val="95"/>
          <w:sz w:val="24"/>
        </w:rPr>
        <w:t> </w:t>
      </w:r>
      <w:r>
        <w:rPr>
          <w:rFonts w:ascii="Arial"/>
          <w:color w:val="77797C"/>
          <w:w w:val="95"/>
          <w:sz w:val="22"/>
        </w:rPr>
        <w:t>PRO</w:t>
      </w:r>
      <w:r>
        <w:rPr>
          <w:rFonts w:ascii="Arial"/>
          <w:color w:val="4F4F50"/>
          <w:w w:val="95"/>
          <w:sz w:val="22"/>
        </w:rPr>
        <w:t>C</w:t>
      </w:r>
      <w:r>
        <w:rPr>
          <w:rFonts w:ascii="Arial"/>
          <w:color w:val="77797C"/>
          <w:w w:val="95"/>
          <w:sz w:val="22"/>
        </w:rPr>
        <w:t>EED</w:t>
      </w:r>
      <w:r>
        <w:rPr>
          <w:rFonts w:ascii="Arial"/>
          <w:color w:val="4F4F50"/>
          <w:w w:val="95"/>
          <w:sz w:val="22"/>
        </w:rPr>
        <w:t>I</w:t>
      </w:r>
      <w:r>
        <w:rPr>
          <w:rFonts w:ascii="Arial"/>
          <w:color w:val="69696B"/>
          <w:w w:val="95"/>
          <w:sz w:val="22"/>
        </w:rPr>
        <w:t>N</w:t>
      </w:r>
      <w:r>
        <w:rPr>
          <w:rFonts w:ascii="Arial"/>
          <w:color w:val="4F4F50"/>
          <w:w w:val="95"/>
          <w:sz w:val="22"/>
        </w:rPr>
        <w:t>G</w:t>
      </w:r>
    </w:p>
    <w:p>
      <w:pPr>
        <w:pStyle w:val="BodyText"/>
        <w:spacing w:line="235" w:lineRule="auto" w:before="142"/>
        <w:ind w:left="136" w:right="238" w:firstLine="313"/>
        <w:jc w:val="both"/>
      </w:pPr>
      <w:r>
        <w:rPr>
          <w:color w:val="383638"/>
          <w:w w:val="110"/>
        </w:rPr>
        <w:t>Motion briefs generally do not  require a separate listing of parties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proceeding. Generally,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names of all parties are included in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caption. If your case contains numerous plaintiffs or defendants, consult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local rules to see if you can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li</w:t>
      </w:r>
      <w:r>
        <w:rPr>
          <w:color w:val="4F4F50"/>
          <w:w w:val="110"/>
        </w:rPr>
        <w:t>s</w:t>
      </w:r>
      <w:r>
        <w:rPr>
          <w:color w:val="383638"/>
          <w:w w:val="110"/>
        </w:rPr>
        <w:t>t only the first party</w:t>
      </w:r>
      <w:r>
        <w:rPr>
          <w:color w:val="4F4F50"/>
          <w:w w:val="110"/>
        </w:rPr>
        <w:t>, </w:t>
      </w:r>
      <w:r>
        <w:rPr>
          <w:color w:val="383638"/>
          <w:w w:val="110"/>
        </w:rPr>
        <w:t>or use "et al." It may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be that the rules require all parties to be listed only on the caption of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complaint,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allow counsel to use "et al." (or some other abbreviated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listing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method)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other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documents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case.</w:t>
      </w:r>
    </w:p>
    <w:p>
      <w:pPr>
        <w:pStyle w:val="BodyText"/>
        <w:spacing w:before="2"/>
        <w:rPr>
          <w:sz w:val="32"/>
        </w:rPr>
      </w:pPr>
    </w:p>
    <w:p>
      <w:pPr>
        <w:spacing w:before="0"/>
        <w:ind w:left="463" w:right="0" w:firstLine="0"/>
        <w:jc w:val="left"/>
        <w:rPr>
          <w:sz w:val="30"/>
        </w:rPr>
      </w:pPr>
      <w:r>
        <w:rPr>
          <w:color w:val="383638"/>
          <w:w w:val="105"/>
          <w:sz w:val="30"/>
        </w:rPr>
        <w:t>8</w:t>
      </w:r>
      <w:r>
        <w:rPr>
          <w:color w:val="4F4F50"/>
          <w:w w:val="105"/>
          <w:sz w:val="30"/>
        </w:rPr>
        <w:t>.</w:t>
      </w:r>
      <w:r>
        <w:rPr>
          <w:color w:val="383638"/>
          <w:w w:val="105"/>
          <w:sz w:val="30"/>
        </w:rPr>
        <w:t>5.</w:t>
      </w:r>
      <w:r>
        <w:rPr>
          <w:color w:val="4F4F50"/>
          <w:w w:val="105"/>
          <w:sz w:val="30"/>
        </w:rPr>
        <w:t>4</w:t>
      </w:r>
    </w:p>
    <w:p>
      <w:pPr>
        <w:spacing w:before="37"/>
        <w:ind w:left="476" w:right="0" w:firstLine="0"/>
        <w:jc w:val="left"/>
        <w:rPr>
          <w:rFonts w:ascii="Arial"/>
          <w:sz w:val="22"/>
        </w:rPr>
      </w:pPr>
      <w:r>
        <w:rPr>
          <w:rFonts w:ascii="Arial"/>
          <w:color w:val="383638"/>
          <w:w w:val="105"/>
          <w:sz w:val="22"/>
        </w:rPr>
        <w:t>TABL</w:t>
      </w:r>
      <w:r>
        <w:rPr>
          <w:rFonts w:ascii="Arial"/>
          <w:color w:val="4F4F50"/>
          <w:w w:val="105"/>
          <w:sz w:val="22"/>
        </w:rPr>
        <w:t>E</w:t>
      </w:r>
      <w:r>
        <w:rPr>
          <w:rFonts w:ascii="Arial"/>
          <w:color w:val="4F4F50"/>
          <w:spacing w:val="-31"/>
          <w:w w:val="105"/>
          <w:sz w:val="22"/>
        </w:rPr>
        <w:t> </w:t>
      </w:r>
      <w:r>
        <w:rPr>
          <w:rFonts w:ascii="Arial"/>
          <w:color w:val="4F4F50"/>
          <w:w w:val="105"/>
          <w:sz w:val="22"/>
        </w:rPr>
        <w:t>O</w:t>
      </w:r>
      <w:r>
        <w:rPr>
          <w:rFonts w:ascii="Arial"/>
          <w:color w:val="69696B"/>
          <w:w w:val="105"/>
          <w:sz w:val="22"/>
        </w:rPr>
        <w:t>F</w:t>
      </w:r>
      <w:r>
        <w:rPr>
          <w:rFonts w:ascii="Arial"/>
          <w:color w:val="69696B"/>
          <w:spacing w:val="-16"/>
          <w:w w:val="105"/>
          <w:sz w:val="22"/>
        </w:rPr>
        <w:t> </w:t>
      </w:r>
      <w:r>
        <w:rPr>
          <w:rFonts w:ascii="Arial"/>
          <w:color w:val="69696B"/>
          <w:w w:val="105"/>
          <w:sz w:val="22"/>
        </w:rPr>
        <w:t>CONTEN</w:t>
      </w:r>
      <w:r>
        <w:rPr>
          <w:rFonts w:ascii="Arial"/>
          <w:color w:val="4F4F50"/>
          <w:w w:val="105"/>
          <w:sz w:val="22"/>
        </w:rPr>
        <w:t>TS</w:t>
      </w:r>
    </w:p>
    <w:p>
      <w:pPr>
        <w:pStyle w:val="BodyText"/>
        <w:spacing w:line="232" w:lineRule="auto" w:before="150"/>
        <w:ind w:left="155" w:right="153" w:firstLine="300"/>
        <w:jc w:val="both"/>
      </w:pPr>
      <w:r>
        <w:rPr>
          <w:color w:val="383638"/>
          <w:w w:val="110"/>
        </w:rPr>
        <w:t>Typically, motion briefs do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not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need a table of contents unless they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exceed a certain number of pages, which will be designated in court (or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classroom) rules. Some courts s</w:t>
      </w:r>
      <w:r>
        <w:rPr>
          <w:color w:val="4F4F50"/>
          <w:w w:val="110"/>
        </w:rPr>
        <w:t>e</w:t>
      </w:r>
      <w:r>
        <w:rPr>
          <w:color w:val="383638"/>
          <w:w w:val="110"/>
        </w:rPr>
        <w:t>em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  leave the decision to  include a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table of contents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 discretion of  the  attorney. </w:t>
      </w:r>
      <w:r>
        <w:rPr>
          <w:color w:val="383638"/>
          <w:w w:val="110"/>
          <w:sz w:val="22"/>
        </w:rPr>
        <w:t>If  </w:t>
      </w:r>
      <w:r>
        <w:rPr>
          <w:color w:val="383638"/>
          <w:w w:val="110"/>
        </w:rPr>
        <w:t>a  table of  contents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is included</w:t>
      </w:r>
      <w:r>
        <w:rPr>
          <w:color w:val="4F4F50"/>
          <w:w w:val="110"/>
        </w:rPr>
        <w:t>, </w:t>
      </w:r>
      <w:r>
        <w:rPr>
          <w:color w:val="383638"/>
          <w:w w:val="110"/>
        </w:rPr>
        <w:t>it should list every element of the  brief  that has a title, e.g.</w:t>
      </w:r>
      <w:r>
        <w:rPr>
          <w:color w:val="4F4F50"/>
          <w:w w:val="110"/>
        </w:rPr>
        <w:t>,</w:t>
      </w:r>
      <w:r>
        <w:rPr>
          <w:color w:val="4F4F50"/>
          <w:spacing w:val="1"/>
          <w:w w:val="110"/>
        </w:rPr>
        <w:t> </w:t>
      </w:r>
      <w:r>
        <w:rPr>
          <w:color w:val="383638"/>
          <w:w w:val="110"/>
        </w:rPr>
        <w:t>the introduction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or question(s) pr</w:t>
      </w:r>
      <w:r>
        <w:rPr>
          <w:color w:val="4F4F50"/>
          <w:w w:val="110"/>
        </w:rPr>
        <w:t>e</w:t>
      </w:r>
      <w:r>
        <w:rPr>
          <w:color w:val="383638"/>
          <w:w w:val="110"/>
        </w:rPr>
        <w:t>sented,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 fact statement, the argu­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ment </w:t>
      </w:r>
      <w:r>
        <w:rPr>
          <w:rFonts w:ascii="Arial" w:hAnsi="Arial"/>
          <w:i/>
          <w:color w:val="383638"/>
          <w:w w:val="110"/>
          <w:sz w:val="22"/>
        </w:rPr>
        <w:t>and </w:t>
      </w:r>
      <w:r>
        <w:rPr>
          <w:color w:val="383638"/>
          <w:w w:val="110"/>
        </w:rPr>
        <w:t>its sections that are labeled with point headings, the conclusion,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certificate of service,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appendix (if any). The table of contents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should list only the first page on which each element appears</w:t>
      </w:r>
      <w:r>
        <w:rPr>
          <w:color w:val="4F4F50"/>
          <w:w w:val="110"/>
        </w:rPr>
        <w:t>. </w:t>
      </w:r>
      <w:r>
        <w:rPr>
          <w:color w:val="383638"/>
          <w:w w:val="110"/>
        </w:rPr>
        <w:t>Each appel­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late</w:t>
      </w:r>
      <w:r>
        <w:rPr>
          <w:color w:val="383638"/>
          <w:spacing w:val="-25"/>
          <w:w w:val="110"/>
        </w:rPr>
        <w:t> </w:t>
      </w:r>
      <w:r>
        <w:rPr>
          <w:color w:val="383638"/>
          <w:w w:val="110"/>
        </w:rPr>
        <w:t>brief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29"/>
          <w:w w:val="110"/>
        </w:rPr>
        <w:t> </w:t>
      </w:r>
      <w:r>
        <w:rPr>
          <w:color w:val="383638"/>
          <w:w w:val="110"/>
        </w:rPr>
        <w:t>Appendix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C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contains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table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contents.</w:t>
      </w:r>
    </w:p>
    <w:p>
      <w:pPr>
        <w:pStyle w:val="BodyText"/>
        <w:spacing w:before="7"/>
        <w:rPr>
          <w:sz w:val="35"/>
        </w:rPr>
      </w:pPr>
    </w:p>
    <w:p>
      <w:pPr>
        <w:spacing w:line="346" w:lineRule="exact" w:before="0"/>
        <w:ind w:left="485" w:right="0" w:firstLine="0"/>
        <w:jc w:val="left"/>
        <w:rPr>
          <w:rFonts w:ascii="Courier New"/>
          <w:b/>
          <w:sz w:val="31"/>
        </w:rPr>
      </w:pPr>
      <w:r>
        <w:rPr>
          <w:rFonts w:ascii="Courier New"/>
          <w:b/>
          <w:color w:val="383638"/>
          <w:w w:val="80"/>
          <w:sz w:val="31"/>
        </w:rPr>
        <w:t>8.5</w:t>
      </w:r>
      <w:r>
        <w:rPr>
          <w:rFonts w:ascii="Courier New"/>
          <w:b/>
          <w:color w:val="4F4F50"/>
          <w:w w:val="80"/>
          <w:sz w:val="31"/>
        </w:rPr>
        <w:t>.</w:t>
      </w:r>
      <w:r>
        <w:rPr>
          <w:rFonts w:ascii="Courier New"/>
          <w:b/>
          <w:color w:val="383638"/>
          <w:w w:val="80"/>
          <w:sz w:val="31"/>
        </w:rPr>
        <w:t>5</w:t>
      </w:r>
    </w:p>
    <w:p>
      <w:pPr>
        <w:spacing w:line="248" w:lineRule="exact" w:before="0"/>
        <w:ind w:left="506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color w:val="383638"/>
          <w:sz w:val="22"/>
        </w:rPr>
        <w:t>TABLE</w:t>
      </w:r>
      <w:r>
        <w:rPr>
          <w:rFonts w:ascii="Arial"/>
          <w:b/>
          <w:color w:val="383638"/>
          <w:spacing w:val="12"/>
          <w:sz w:val="22"/>
        </w:rPr>
        <w:t> </w:t>
      </w:r>
      <w:r>
        <w:rPr>
          <w:rFonts w:ascii="Arial"/>
          <w:b/>
          <w:color w:val="383638"/>
          <w:sz w:val="21"/>
        </w:rPr>
        <w:t>OF</w:t>
      </w:r>
      <w:r>
        <w:rPr>
          <w:rFonts w:ascii="Arial"/>
          <w:b/>
          <w:color w:val="383638"/>
          <w:spacing w:val="21"/>
          <w:sz w:val="21"/>
        </w:rPr>
        <w:t> </w:t>
      </w:r>
      <w:r>
        <w:rPr>
          <w:rFonts w:ascii="Arial"/>
          <w:b/>
          <w:color w:val="4F4F50"/>
          <w:sz w:val="21"/>
        </w:rPr>
        <w:t>A</w:t>
      </w:r>
      <w:r>
        <w:rPr>
          <w:rFonts w:ascii="Arial"/>
          <w:b/>
          <w:color w:val="383638"/>
          <w:sz w:val="21"/>
        </w:rPr>
        <w:t>U</w:t>
      </w:r>
      <w:r>
        <w:rPr>
          <w:rFonts w:ascii="Arial"/>
          <w:b/>
          <w:color w:val="4F4F50"/>
          <w:sz w:val="21"/>
        </w:rPr>
        <w:t>THO</w:t>
      </w:r>
      <w:r>
        <w:rPr>
          <w:rFonts w:ascii="Arial"/>
          <w:b/>
          <w:color w:val="383638"/>
          <w:sz w:val="21"/>
        </w:rPr>
        <w:t>R</w:t>
      </w:r>
      <w:r>
        <w:rPr>
          <w:rFonts w:ascii="Arial"/>
          <w:b/>
          <w:color w:val="4F4F50"/>
          <w:sz w:val="21"/>
        </w:rPr>
        <w:t>IT</w:t>
      </w:r>
      <w:r>
        <w:rPr>
          <w:rFonts w:ascii="Arial"/>
          <w:b/>
          <w:color w:val="383638"/>
          <w:sz w:val="21"/>
        </w:rPr>
        <w:t>I</w:t>
      </w:r>
      <w:r>
        <w:rPr>
          <w:rFonts w:ascii="Arial"/>
          <w:b/>
          <w:color w:val="4F4F50"/>
          <w:sz w:val="21"/>
        </w:rPr>
        <w:t>ES</w:t>
      </w:r>
    </w:p>
    <w:p>
      <w:pPr>
        <w:pStyle w:val="BodyText"/>
        <w:spacing w:line="235" w:lineRule="auto" w:before="138"/>
        <w:ind w:left="190" w:right="107" w:firstLine="300"/>
        <w:jc w:val="both"/>
      </w:pPr>
      <w:r>
        <w:rPr>
          <w:rFonts w:ascii="Arial"/>
          <w:color w:val="383638"/>
          <w:w w:val="115"/>
          <w:sz w:val="21"/>
        </w:rPr>
        <w:t>As </w:t>
      </w:r>
      <w:r>
        <w:rPr>
          <w:color w:val="383638"/>
          <w:w w:val="115"/>
        </w:rPr>
        <w:t>with the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table of contents</w:t>
      </w:r>
      <w:r>
        <w:rPr>
          <w:color w:val="4F4F50"/>
          <w:w w:val="115"/>
        </w:rPr>
        <w:t>, </w:t>
      </w:r>
      <w:r>
        <w:rPr>
          <w:color w:val="383638"/>
          <w:w w:val="115"/>
        </w:rPr>
        <w:t>a table of authorities is not always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required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40"/>
          <w:w w:val="110"/>
        </w:rPr>
        <w:t> </w:t>
      </w:r>
      <w:r>
        <w:rPr>
          <w:color w:val="383638"/>
          <w:w w:val="110"/>
        </w:rPr>
        <w:t>motion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briefs,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37"/>
          <w:w w:val="110"/>
        </w:rPr>
        <w:t> </w:t>
      </w:r>
      <w:r>
        <w:rPr>
          <w:color w:val="383638"/>
          <w:w w:val="110"/>
        </w:rPr>
        <w:t>deciding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whether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include one</w:t>
      </w:r>
      <w:r>
        <w:rPr>
          <w:color w:val="383638"/>
          <w:spacing w:val="32"/>
          <w:w w:val="110"/>
        </w:rPr>
        <w:t> </w:t>
      </w:r>
      <w:r>
        <w:rPr>
          <w:color w:val="383638"/>
          <w:w w:val="110"/>
        </w:rPr>
        <w:t>may be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up</w:t>
      </w:r>
    </w:p>
    <w:p>
      <w:pPr>
        <w:spacing w:after="0" w:line="235" w:lineRule="auto"/>
        <w:jc w:val="both"/>
        <w:sectPr>
          <w:pgSz w:w="9490" w:h="13700"/>
          <w:pgMar w:header="424" w:footer="0" w:top="1020" w:bottom="0" w:left="280" w:right="1300"/>
        </w:sectPr>
      </w:pPr>
    </w:p>
    <w:p>
      <w:pPr>
        <w:pStyle w:val="BodyText"/>
        <w:spacing w:line="232" w:lineRule="auto" w:before="87"/>
        <w:ind w:left="612" w:right="102" w:firstLine="44"/>
        <w:jc w:val="both"/>
      </w:pPr>
      <w:r>
        <w:rPr>
          <w:color w:val="383638"/>
          <w:w w:val="105"/>
        </w:rPr>
        <w:t>to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filing attorney. </w:t>
      </w:r>
      <w:r>
        <w:rPr>
          <w:i/>
          <w:color w:val="383638"/>
          <w:w w:val="105"/>
          <w:sz w:val="22"/>
        </w:rPr>
        <w:t>It </w:t>
      </w:r>
      <w:r>
        <w:rPr>
          <w:color w:val="383638"/>
          <w:w w:val="105"/>
        </w:rPr>
        <w:t>you are </w:t>
      </w:r>
      <w:r>
        <w:rPr>
          <w:rFonts w:ascii="Arial" w:hAnsi="Arial"/>
          <w:i/>
          <w:color w:val="383638"/>
          <w:w w:val="105"/>
          <w:sz w:val="20"/>
        </w:rPr>
        <w:t>in </w:t>
      </w:r>
      <w:r>
        <w:rPr>
          <w:color w:val="383638"/>
          <w:w w:val="105"/>
        </w:rPr>
        <w:t>doubt as to whether a table is required</w:t>
      </w:r>
      <w:r>
        <w:rPr>
          <w:color w:val="565657"/>
          <w:w w:val="105"/>
        </w:rPr>
        <w:t>,</w:t>
      </w:r>
      <w:r>
        <w:rPr>
          <w:color w:val="565657"/>
          <w:spacing w:val="1"/>
          <w:w w:val="105"/>
        </w:rPr>
        <w:t> </w:t>
      </w:r>
      <w:r>
        <w:rPr>
          <w:color w:val="383638"/>
          <w:w w:val="105"/>
        </w:rPr>
        <w:t>ask yourself </w:t>
      </w:r>
      <w:r>
        <w:rPr>
          <w:color w:val="383638"/>
          <w:w w:val="105"/>
          <w:sz w:val="22"/>
        </w:rPr>
        <w:t>if </w:t>
      </w:r>
      <w:r>
        <w:rPr>
          <w:color w:val="383638"/>
          <w:w w:val="105"/>
        </w:rPr>
        <w:t>the table will be helpful to either the reader or the user. If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your brief is ten pages or more, you may want to include one to make it</w:t>
      </w:r>
      <w:r>
        <w:rPr>
          <w:color w:val="383638"/>
          <w:spacing w:val="1"/>
          <w:w w:val="105"/>
        </w:rPr>
        <w:t> </w:t>
      </w:r>
      <w:r>
        <w:rPr>
          <w:color w:val="383638"/>
          <w:spacing w:val="-1"/>
          <w:w w:val="105"/>
        </w:rPr>
        <w:t>easier for the judge, </w:t>
      </w:r>
      <w:r>
        <w:rPr>
          <w:color w:val="383638"/>
          <w:w w:val="105"/>
        </w:rPr>
        <w:t>or his or her clerks, to find the sections of your </w:t>
      </w:r>
      <w:r>
        <w:rPr>
          <w:rFonts w:ascii="Arial" w:hAnsi="Arial"/>
          <w:color w:val="383638"/>
          <w:w w:val="105"/>
          <w:sz w:val="22"/>
        </w:rPr>
        <w:t>argu­</w:t>
      </w:r>
      <w:r>
        <w:rPr>
          <w:rFonts w:ascii="Arial" w:hAnsi="Arial"/>
          <w:color w:val="383638"/>
          <w:spacing w:val="1"/>
          <w:w w:val="105"/>
          <w:sz w:val="22"/>
        </w:rPr>
        <w:t> </w:t>
      </w:r>
      <w:r>
        <w:rPr>
          <w:color w:val="383638"/>
          <w:w w:val="105"/>
        </w:rPr>
        <w:t>ment that are focused on particular authorities. If you are filing yow brief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electronically, and you are considering </w:t>
      </w:r>
      <w:r>
        <w:rPr>
          <w:color w:val="565657"/>
          <w:w w:val="105"/>
        </w:rPr>
        <w:t>i</w:t>
      </w:r>
      <w:r>
        <w:rPr>
          <w:color w:val="383638"/>
          <w:w w:val="105"/>
        </w:rPr>
        <w:t>ncluding hot links to the authori­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ties cited, it may be best to do so in a table of authorities rather than in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argument section of the brief. Of course, in practice settings, local custom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may</w:t>
      </w:r>
      <w:r>
        <w:rPr>
          <w:color w:val="383638"/>
          <w:spacing w:val="-21"/>
          <w:w w:val="105"/>
        </w:rPr>
        <w:t> </w:t>
      </w:r>
      <w:r>
        <w:rPr>
          <w:rFonts w:ascii="Arial" w:hAnsi="Arial"/>
          <w:color w:val="383638"/>
          <w:w w:val="105"/>
          <w:sz w:val="20"/>
        </w:rPr>
        <w:t>be</w:t>
      </w:r>
      <w:r>
        <w:rPr>
          <w:rFonts w:ascii="Arial" w:hAnsi="Arial"/>
          <w:color w:val="383638"/>
          <w:spacing w:val="-10"/>
          <w:w w:val="105"/>
          <w:sz w:val="20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15"/>
          <w:w w:val="105"/>
        </w:rPr>
        <w:t> </w:t>
      </w:r>
      <w:r>
        <w:rPr>
          <w:color w:val="383638"/>
          <w:w w:val="105"/>
        </w:rPr>
        <w:t>best</w:t>
      </w:r>
      <w:r>
        <w:rPr>
          <w:color w:val="383638"/>
          <w:spacing w:val="-12"/>
          <w:w w:val="105"/>
        </w:rPr>
        <w:t> </w:t>
      </w:r>
      <w:r>
        <w:rPr>
          <w:color w:val="383638"/>
          <w:w w:val="105"/>
        </w:rPr>
        <w:t>guide</w:t>
      </w:r>
      <w:r>
        <w:rPr>
          <w:color w:val="565657"/>
          <w:w w:val="105"/>
        </w:rPr>
        <w:t>.</w:t>
      </w:r>
    </w:p>
    <w:p>
      <w:pPr>
        <w:pStyle w:val="BodyText"/>
        <w:spacing w:line="235" w:lineRule="auto"/>
        <w:ind w:left="608" w:right="117" w:firstLine="342"/>
        <w:jc w:val="both"/>
      </w:pPr>
      <w:r>
        <w:rPr>
          <w:color w:val="383638"/>
          <w:w w:val="105"/>
        </w:rPr>
        <w:t>To create the table of authorities, use headings to divide the authori­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ties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into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relevant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categories.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40"/>
          <w:w w:val="110"/>
        </w:rPr>
        <w:t> </w:t>
      </w:r>
      <w:r>
        <w:rPr>
          <w:color w:val="383638"/>
          <w:w w:val="110"/>
        </w:rPr>
        <w:t>most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likely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categories</w:t>
      </w:r>
      <w:r>
        <w:rPr>
          <w:color w:val="383638"/>
          <w:spacing w:val="27"/>
          <w:w w:val="110"/>
        </w:rPr>
        <w:t> </w:t>
      </w:r>
      <w:r>
        <w:rPr>
          <w:color w:val="383638"/>
          <w:w w:val="110"/>
        </w:rPr>
        <w:t>are</w:t>
      </w:r>
      <w:r>
        <w:rPr>
          <w:color w:val="383638"/>
          <w:spacing w:val="29"/>
          <w:w w:val="110"/>
        </w:rPr>
        <w:t> </w:t>
      </w:r>
      <w:r>
        <w:rPr>
          <w:rFonts w:ascii="Arial" w:hAnsi="Arial"/>
          <w:color w:val="383638"/>
          <w:w w:val="110"/>
          <w:sz w:val="20"/>
        </w:rPr>
        <w:t>(1)</w:t>
      </w:r>
      <w:r>
        <w:rPr>
          <w:rFonts w:ascii="Arial" w:hAnsi="Arial"/>
          <w:color w:val="383638"/>
          <w:spacing w:val="45"/>
          <w:w w:val="110"/>
          <w:sz w:val="20"/>
        </w:rPr>
        <w:t> </w:t>
      </w:r>
      <w:r>
        <w:rPr>
          <w:color w:val="383638"/>
          <w:w w:val="110"/>
        </w:rPr>
        <w:t>Cases,</w:t>
      </w:r>
    </w:p>
    <w:p>
      <w:pPr>
        <w:pStyle w:val="BodyText"/>
        <w:spacing w:line="228" w:lineRule="auto" w:before="1"/>
        <w:ind w:left="513" w:right="115" w:firstLine="85"/>
        <w:jc w:val="both"/>
      </w:pPr>
      <w:r>
        <w:rPr>
          <w:rFonts w:ascii="Arial" w:hAnsi="Arial"/>
          <w:color w:val="383638"/>
          <w:w w:val="105"/>
          <w:sz w:val="20"/>
        </w:rPr>
        <w:t>(2)</w:t>
      </w:r>
      <w:r>
        <w:rPr>
          <w:rFonts w:ascii="Arial" w:hAnsi="Arial"/>
          <w:color w:val="383638"/>
          <w:spacing w:val="1"/>
          <w:w w:val="105"/>
          <w:sz w:val="20"/>
        </w:rPr>
        <w:t> </w:t>
      </w:r>
      <w:r>
        <w:rPr>
          <w:color w:val="383638"/>
          <w:w w:val="105"/>
        </w:rPr>
        <w:t>Constitutional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Provisions,</w:t>
      </w:r>
      <w:r>
        <w:rPr>
          <w:color w:val="383638"/>
          <w:spacing w:val="1"/>
          <w:w w:val="105"/>
        </w:rPr>
        <w:t> </w:t>
      </w:r>
      <w:r>
        <w:rPr>
          <w:rFonts w:ascii="Arial" w:hAnsi="Arial"/>
          <w:color w:val="383638"/>
          <w:w w:val="105"/>
          <w:sz w:val="20"/>
        </w:rPr>
        <w:t>(3)</w:t>
      </w:r>
      <w:r>
        <w:rPr>
          <w:rFonts w:ascii="Arial" w:hAnsi="Arial"/>
          <w:color w:val="383638"/>
          <w:spacing w:val="1"/>
          <w:w w:val="105"/>
          <w:sz w:val="20"/>
        </w:rPr>
        <w:t> </w:t>
      </w:r>
      <w:r>
        <w:rPr>
          <w:color w:val="383638"/>
          <w:w w:val="105"/>
        </w:rPr>
        <w:t>Statutes,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and</w:t>
      </w:r>
      <w:r>
        <w:rPr>
          <w:color w:val="383638"/>
          <w:spacing w:val="1"/>
          <w:w w:val="105"/>
        </w:rPr>
        <w:t> </w:t>
      </w:r>
      <w:r>
        <w:rPr>
          <w:rFonts w:ascii="Arial" w:hAnsi="Arial"/>
          <w:color w:val="383638"/>
          <w:w w:val="105"/>
          <w:sz w:val="20"/>
        </w:rPr>
        <w:t>(4)</w:t>
      </w:r>
      <w:r>
        <w:rPr>
          <w:rFonts w:ascii="Arial" w:hAnsi="Arial"/>
          <w:color w:val="383638"/>
          <w:spacing w:val="1"/>
          <w:w w:val="105"/>
          <w:sz w:val="20"/>
        </w:rPr>
        <w:t> </w:t>
      </w:r>
      <w:r>
        <w:rPr>
          <w:color w:val="383638"/>
          <w:w w:val="105"/>
        </w:rPr>
        <w:t>Other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Materials.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Obviously, create extra categories as needed to reflect the authorities that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are actually included in your brief. Within each category, list the sources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alphabetically </w:t>
      </w:r>
      <w:r>
        <w:rPr>
          <w:rFonts w:ascii="Arial" w:hAnsi="Arial"/>
          <w:i/>
          <w:color w:val="383638"/>
          <w:w w:val="105"/>
          <w:sz w:val="20"/>
        </w:rPr>
        <w:t>(not </w:t>
      </w:r>
      <w:r>
        <w:rPr>
          <w:color w:val="383638"/>
          <w:w w:val="105"/>
        </w:rPr>
        <w:t>by date). The most important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requirement  is that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table note </w:t>
      </w:r>
      <w:r>
        <w:rPr>
          <w:rFonts w:ascii="Arial" w:hAnsi="Arial"/>
          <w:i/>
          <w:color w:val="383638"/>
          <w:w w:val="105"/>
          <w:sz w:val="21"/>
        </w:rPr>
        <w:t>each </w:t>
      </w:r>
      <w:r>
        <w:rPr>
          <w:color w:val="383638"/>
          <w:w w:val="105"/>
        </w:rPr>
        <w:t>page on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which each authority is cited</w:t>
      </w:r>
      <w:r>
        <w:rPr>
          <w:color w:val="565657"/>
          <w:w w:val="105"/>
        </w:rPr>
        <w:t>. </w:t>
      </w:r>
      <w:r>
        <w:rPr>
          <w:color w:val="383638"/>
          <w:w w:val="105"/>
        </w:rPr>
        <w:t>If an  authority </w:t>
      </w:r>
      <w:r>
        <w:rPr>
          <w:color w:val="383638"/>
          <w:w w:val="105"/>
          <w:sz w:val="22"/>
        </w:rPr>
        <w:t>is</w:t>
      </w:r>
      <w:r>
        <w:rPr>
          <w:color w:val="383638"/>
          <w:spacing w:val="1"/>
          <w:w w:val="105"/>
          <w:sz w:val="22"/>
        </w:rPr>
        <w:t> </w:t>
      </w:r>
      <w:r>
        <w:rPr>
          <w:color w:val="383638"/>
          <w:w w:val="105"/>
        </w:rPr>
        <w:t>cited so frequently that listing the individual pages would  not  help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court to find particular discussions of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the  authority, the  table of authori­</w:t>
      </w:r>
      <w:r>
        <w:rPr>
          <w:color w:val="383638"/>
          <w:spacing w:val="1"/>
          <w:w w:val="105"/>
        </w:rPr>
        <w:t> </w:t>
      </w:r>
      <w:r>
        <w:rPr>
          <w:i/>
          <w:color w:val="383638"/>
          <w:w w:val="105"/>
          <w:sz w:val="25"/>
        </w:rPr>
        <w:t>ties </w:t>
      </w:r>
      <w:r>
        <w:rPr>
          <w:color w:val="383638"/>
          <w:w w:val="105"/>
        </w:rPr>
        <w:t>may note </w:t>
      </w:r>
      <w:r>
        <w:rPr>
          <w:i/>
          <w:color w:val="383638"/>
          <w:w w:val="105"/>
          <w:sz w:val="25"/>
        </w:rPr>
        <w:t>passim </w:t>
      </w:r>
      <w:r>
        <w:rPr>
          <w:color w:val="383638"/>
          <w:w w:val="105"/>
        </w:rPr>
        <w:t>(Latin for "throughout") instead of listing individual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pages. </w:t>
      </w:r>
      <w:r>
        <w:rPr>
          <w:i/>
          <w:color w:val="383638"/>
          <w:w w:val="105"/>
          <w:sz w:val="25"/>
        </w:rPr>
        <w:t>Passim </w:t>
      </w:r>
      <w:r>
        <w:rPr>
          <w:color w:val="383638"/>
          <w:w w:val="105"/>
        </w:rPr>
        <w:t>is often necessary to refer to a statute that is at issue because</w:t>
      </w:r>
      <w:r>
        <w:rPr>
          <w:color w:val="383638"/>
          <w:spacing w:val="-58"/>
          <w:w w:val="105"/>
        </w:rPr>
        <w:t> </w:t>
      </w:r>
      <w:r>
        <w:rPr>
          <w:color w:val="383638"/>
          <w:w w:val="105"/>
        </w:rPr>
        <w:t>the statute may well be referenced on  every page of the argument. Take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care to use </w:t>
      </w:r>
      <w:r>
        <w:rPr>
          <w:i/>
          <w:color w:val="383638"/>
          <w:w w:val="105"/>
          <w:sz w:val="25"/>
        </w:rPr>
        <w:t>passim </w:t>
      </w:r>
      <w:r>
        <w:rPr>
          <w:color w:val="383638"/>
          <w:w w:val="105"/>
        </w:rPr>
        <w:t>only when absolutely necessary; it is not an excuse </w:t>
      </w:r>
      <w:r>
        <w:rPr>
          <w:rFonts w:ascii="Arial" w:hAnsi="Arial"/>
          <w:color w:val="383638"/>
          <w:w w:val="105"/>
        </w:rPr>
        <w:t>for</w:t>
      </w:r>
      <w:r>
        <w:rPr>
          <w:rFonts w:ascii="Arial" w:hAnsi="Arial"/>
          <w:color w:val="383638"/>
          <w:spacing w:val="1"/>
          <w:w w:val="105"/>
        </w:rPr>
        <w:t> </w:t>
      </w:r>
      <w:r>
        <w:rPr>
          <w:color w:val="383638"/>
          <w:w w:val="105"/>
        </w:rPr>
        <w:t>being too lazy to search through the brief to find the particular pages on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which</w:t>
      </w:r>
      <w:r>
        <w:rPr>
          <w:color w:val="383638"/>
          <w:spacing w:val="4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20"/>
          <w:w w:val="105"/>
        </w:rPr>
        <w:t> </w:t>
      </w:r>
      <w:r>
        <w:rPr>
          <w:color w:val="383638"/>
          <w:w w:val="105"/>
        </w:rPr>
        <w:t>citations</w:t>
      </w:r>
      <w:r>
        <w:rPr>
          <w:color w:val="383638"/>
          <w:spacing w:val="-7"/>
          <w:w w:val="105"/>
        </w:rPr>
        <w:t> </w:t>
      </w:r>
      <w:r>
        <w:rPr>
          <w:color w:val="383638"/>
          <w:w w:val="105"/>
        </w:rPr>
        <w:t>appear.</w:t>
      </w:r>
    </w:p>
    <w:p>
      <w:pPr>
        <w:pStyle w:val="BodyText"/>
        <w:spacing w:line="232" w:lineRule="auto" w:before="18"/>
        <w:ind w:left="477" w:right="130" w:firstLine="371"/>
        <w:jc w:val="both"/>
        <w:rPr>
          <w:rFonts w:ascii="Arial" w:hAnsi="Arial"/>
          <w:sz w:val="20"/>
        </w:rPr>
      </w:pPr>
      <w:r>
        <w:rPr>
          <w:color w:val="383638"/>
          <w:w w:val="105"/>
        </w:rPr>
        <w:t>Word processing programs may have a "Table" function that will allow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you to create a  table of authorities  more easily. If you use this function, </w:t>
      </w:r>
      <w:r>
        <w:rPr>
          <w:rFonts w:ascii="Arial" w:hAnsi="Arial"/>
          <w:b/>
          <w:color w:val="383638"/>
          <w:w w:val="105"/>
          <w:sz w:val="18"/>
        </w:rPr>
        <w:t>J</w:t>
      </w:r>
      <w:r>
        <w:rPr>
          <w:rFonts w:ascii="Arial" w:hAnsi="Arial"/>
          <w:b/>
          <w:color w:val="383638"/>
          <w:spacing w:val="1"/>
          <w:w w:val="105"/>
          <w:sz w:val="18"/>
        </w:rPr>
        <w:t> </w:t>
      </w:r>
      <w:r>
        <w:rPr>
          <w:color w:val="383638"/>
          <w:w w:val="105"/>
        </w:rPr>
        <w:t>do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not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recommend that you</w:t>
      </w:r>
      <w:r>
        <w:rPr>
          <w:rFonts w:ascii="Arial" w:hAnsi="Arial"/>
          <w:i/>
          <w:color w:val="383638"/>
          <w:w w:val="105"/>
          <w:sz w:val="21"/>
        </w:rPr>
        <w:t>rely </w:t>
      </w:r>
      <w:r>
        <w:rPr>
          <w:color w:val="383638"/>
          <w:w w:val="105"/>
        </w:rPr>
        <w:t>on it. After the table is generated, double­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check to be sure that it includes each needed authority and each needed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page reference. To see a sample of a table of authorities, consult any of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appellate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briefs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Appendix</w:t>
      </w:r>
      <w:r>
        <w:rPr>
          <w:color w:val="383638"/>
          <w:spacing w:val="-14"/>
          <w:w w:val="110"/>
        </w:rPr>
        <w:t> </w:t>
      </w:r>
      <w:r>
        <w:rPr>
          <w:rFonts w:ascii="Arial" w:hAnsi="Arial"/>
          <w:color w:val="383638"/>
          <w:w w:val="110"/>
          <w:sz w:val="20"/>
        </w:rPr>
        <w:t>C.</w:t>
      </w:r>
    </w:p>
    <w:p>
      <w:pPr>
        <w:pStyle w:val="BodyText"/>
        <w:spacing w:before="10"/>
        <w:rPr>
          <w:rFonts w:ascii="Arial"/>
          <w:sz w:val="34"/>
        </w:rPr>
      </w:pPr>
    </w:p>
    <w:p>
      <w:pPr>
        <w:spacing w:before="0"/>
        <w:ind w:left="821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383638"/>
          <w:w w:val="115"/>
          <w:sz w:val="27"/>
        </w:rPr>
        <w:t>8.5.6</w:t>
      </w:r>
    </w:p>
    <w:p>
      <w:pPr>
        <w:pStyle w:val="BodyText"/>
        <w:spacing w:before="37"/>
        <w:ind w:left="824"/>
      </w:pPr>
      <w:r>
        <w:rPr>
          <w:color w:val="383638"/>
          <w:w w:val="105"/>
        </w:rPr>
        <w:t>OPI</w:t>
      </w:r>
      <w:r>
        <w:rPr>
          <w:color w:val="565657"/>
          <w:w w:val="105"/>
        </w:rPr>
        <w:t>N</w:t>
      </w:r>
      <w:r>
        <w:rPr>
          <w:color w:val="383638"/>
          <w:w w:val="105"/>
        </w:rPr>
        <w:t>IONS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BELOW</w:t>
      </w:r>
    </w:p>
    <w:p>
      <w:pPr>
        <w:pStyle w:val="BodyText"/>
        <w:spacing w:line="230" w:lineRule="auto" w:before="149"/>
        <w:ind w:left="339" w:right="155" w:firstLine="461"/>
        <w:jc w:val="both"/>
        <w:rPr>
          <w:sz w:val="22"/>
        </w:rPr>
      </w:pPr>
      <w:r>
        <w:rPr>
          <w:color w:val="383638"/>
          <w:w w:val="110"/>
        </w:rPr>
        <w:t>Presume that you do not need this section in your motion brief</w:t>
      </w:r>
      <w:r>
        <w:rPr>
          <w:color w:val="565657"/>
          <w:w w:val="110"/>
        </w:rPr>
        <w:t>. </w:t>
      </w:r>
      <w:r>
        <w:rPr>
          <w:color w:val="383638"/>
          <w:w w:val="110"/>
        </w:rPr>
        <w:t>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would need to include it only in the unusual circumstance that youarefil­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ing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motion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-21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27"/>
          <w:w w:val="110"/>
        </w:rPr>
        <w:t> </w:t>
      </w:r>
      <w:r>
        <w:rPr>
          <w:color w:val="383638"/>
          <w:w w:val="110"/>
        </w:rPr>
        <w:t>case</w:t>
      </w:r>
      <w:r>
        <w:rPr>
          <w:color w:val="383638"/>
          <w:spacing w:val="-27"/>
          <w:w w:val="110"/>
        </w:rPr>
        <w:t> </w:t>
      </w:r>
      <w:r>
        <w:rPr>
          <w:color w:val="383638"/>
          <w:w w:val="110"/>
        </w:rPr>
        <w:t>with</w:t>
      </w:r>
      <w:r>
        <w:rPr>
          <w:color w:val="383638"/>
          <w:spacing w:val="-28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procedural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history</w:t>
      </w:r>
      <w:r>
        <w:rPr>
          <w:color w:val="383638"/>
          <w:spacing w:val="-28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33"/>
          <w:w w:val="110"/>
        </w:rPr>
        <w:t> </w:t>
      </w:r>
      <w:r>
        <w:rPr>
          <w:color w:val="383638"/>
          <w:w w:val="110"/>
        </w:rPr>
        <w:t>includes</w:t>
      </w:r>
      <w:r>
        <w:rPr>
          <w:color w:val="383638"/>
          <w:spacing w:val="-23"/>
          <w:w w:val="110"/>
        </w:rPr>
        <w:t> </w:t>
      </w:r>
      <w:r>
        <w:rPr>
          <w:color w:val="383638"/>
          <w:w w:val="110"/>
        </w:rPr>
        <w:t>relevant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writ­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ten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decisions. </w:t>
      </w:r>
      <w:r>
        <w:rPr>
          <w:color w:val="383638"/>
          <w:w w:val="110"/>
          <w:sz w:val="22"/>
        </w:rPr>
        <w:t>If  </w:t>
      </w:r>
      <w:r>
        <w:rPr>
          <w:color w:val="383638"/>
          <w:w w:val="110"/>
        </w:rPr>
        <w:t>citations to these decisions are available,  provide them;</w:t>
      </w:r>
      <w:r>
        <w:rPr>
          <w:color w:val="383638"/>
          <w:spacing w:val="-61"/>
          <w:w w:val="110"/>
        </w:rPr>
        <w:t> </w:t>
      </w:r>
      <w:r>
        <w:rPr>
          <w:color w:val="383638"/>
          <w:spacing w:val="-1"/>
          <w:w w:val="110"/>
        </w:rPr>
        <w:t>if the opinions </w:t>
      </w:r>
      <w:r>
        <w:rPr>
          <w:color w:val="383638"/>
          <w:w w:val="110"/>
        </w:rPr>
        <w:t>are also (or only) available in record materials, make that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clear as we11-e</w:t>
      </w:r>
      <w:r>
        <w:rPr>
          <w:color w:val="565657"/>
          <w:w w:val="110"/>
        </w:rPr>
        <w:t>.</w:t>
      </w:r>
      <w:r>
        <w:rPr>
          <w:color w:val="383638"/>
          <w:w w:val="110"/>
        </w:rPr>
        <w:t>g</w:t>
      </w:r>
      <w:r>
        <w:rPr>
          <w:color w:val="565657"/>
          <w:w w:val="110"/>
        </w:rPr>
        <w:t>., </w:t>
      </w:r>
      <w:r>
        <w:rPr>
          <w:color w:val="383638"/>
          <w:w w:val="110"/>
        </w:rPr>
        <w:t>"The decision of the Second Circuit Court of Appeals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is found at 101 F</w:t>
      </w:r>
      <w:r>
        <w:rPr>
          <w:color w:val="565657"/>
          <w:w w:val="105"/>
        </w:rPr>
        <w:t>.</w:t>
      </w:r>
      <w:r>
        <w:rPr>
          <w:color w:val="383638"/>
          <w:w w:val="105"/>
        </w:rPr>
        <w:t>3d 101 and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at page 73 in the Record." </w:t>
      </w:r>
      <w:r>
        <w:rPr>
          <w:color w:val="383638"/>
          <w:w w:val="105"/>
          <w:sz w:val="22"/>
        </w:rPr>
        <w:t>If </w:t>
      </w:r>
      <w:r>
        <w:rPr>
          <w:color w:val="383638"/>
          <w:w w:val="105"/>
        </w:rPr>
        <w:t>a decision is not</w:t>
      </w:r>
      <w:r>
        <w:rPr>
          <w:color w:val="383638"/>
          <w:spacing w:val="1"/>
          <w:w w:val="105"/>
        </w:rPr>
        <w:t> </w:t>
      </w:r>
      <w:r>
        <w:rPr>
          <w:color w:val="383638"/>
          <w:spacing w:val="-1"/>
          <w:w w:val="110"/>
        </w:rPr>
        <w:t>available </w:t>
      </w:r>
      <w:r>
        <w:rPr>
          <w:color w:val="383638"/>
          <w:w w:val="110"/>
        </w:rPr>
        <w:t>in a publication or online, you should attach a copy of the deci­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sion, and indicate as much in this section: "TheJune, 2014, decision of the</w:t>
      </w:r>
      <w:r>
        <w:rPr>
          <w:color w:val="383638"/>
          <w:spacing w:val="-61"/>
          <w:w w:val="110"/>
        </w:rPr>
        <w:t> </w:t>
      </w:r>
      <w:r>
        <w:rPr>
          <w:color w:val="383638"/>
          <w:spacing w:val="-1"/>
          <w:w w:val="110"/>
        </w:rPr>
        <w:t>Agency</w:t>
      </w:r>
      <w:r>
        <w:rPr>
          <w:color w:val="383638"/>
          <w:spacing w:val="-8"/>
          <w:w w:val="110"/>
        </w:rPr>
        <w:t> </w:t>
      </w:r>
      <w:r>
        <w:rPr>
          <w:color w:val="383638"/>
          <w:spacing w:val="-1"/>
          <w:w w:val="110"/>
        </w:rPr>
        <w:t>is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attached as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Appendix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  <w:sz w:val="22"/>
        </w:rPr>
        <w:t>I."</w:t>
      </w:r>
    </w:p>
    <w:p>
      <w:pPr>
        <w:spacing w:after="0" w:line="230" w:lineRule="auto"/>
        <w:jc w:val="both"/>
        <w:rPr>
          <w:sz w:val="22"/>
        </w:rPr>
        <w:sectPr>
          <w:headerReference w:type="even" r:id="rId205"/>
          <w:headerReference w:type="default" r:id="rId206"/>
          <w:pgSz w:w="9330" w:h="13800"/>
          <w:pgMar w:header="376" w:footer="0" w:top="940" w:bottom="0" w:left="1280" w:right="60"/>
          <w:pgNumType w:start="182"/>
        </w:sectPr>
      </w:pPr>
    </w:p>
    <w:p>
      <w:pPr>
        <w:spacing w:before="91"/>
        <w:ind w:left="434" w:right="0" w:firstLine="0"/>
        <w:jc w:val="left"/>
        <w:rPr>
          <w:rFonts w:ascii="Courier New"/>
          <w:sz w:val="32"/>
        </w:rPr>
      </w:pPr>
      <w:r>
        <w:rPr>
          <w:rFonts w:ascii="Courier New"/>
          <w:color w:val="383638"/>
          <w:w w:val="80"/>
          <w:sz w:val="32"/>
        </w:rPr>
        <w:t>8.5.7</w:t>
      </w:r>
    </w:p>
    <w:p>
      <w:pPr>
        <w:spacing w:before="25"/>
        <w:ind w:left="464" w:right="0" w:firstLine="0"/>
        <w:jc w:val="left"/>
        <w:rPr>
          <w:rFonts w:ascii="Arial"/>
          <w:sz w:val="21"/>
        </w:rPr>
      </w:pPr>
      <w:r>
        <w:rPr>
          <w:rFonts w:ascii="Arial"/>
          <w:color w:val="383638"/>
          <w:sz w:val="21"/>
        </w:rPr>
        <w:t>JURISDICTION</w:t>
      </w:r>
    </w:p>
    <w:p>
      <w:pPr>
        <w:pStyle w:val="BodyText"/>
        <w:spacing w:line="232" w:lineRule="auto" w:before="152"/>
        <w:ind w:left="121" w:right="200" w:firstLine="337"/>
        <w:jc w:val="both"/>
      </w:pPr>
      <w:r>
        <w:rPr>
          <w:color w:val="383638"/>
          <w:w w:val="110"/>
        </w:rPr>
        <w:t>A jurisdictional statement is rare in a motion brief, and it should be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included only if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court specifically requires it or if 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believe that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some</w:t>
      </w:r>
      <w:r>
        <w:rPr>
          <w:color w:val="383638"/>
          <w:spacing w:val="-23"/>
          <w:w w:val="110"/>
        </w:rPr>
        <w:t> </w:t>
      </w:r>
      <w:r>
        <w:rPr>
          <w:color w:val="383638"/>
          <w:w w:val="110"/>
        </w:rPr>
        <w:t>controversy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exists</w:t>
      </w:r>
      <w:r>
        <w:rPr>
          <w:color w:val="383638"/>
          <w:spacing w:val="-24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court's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jurisdiction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case.</w:t>
      </w:r>
    </w:p>
    <w:p>
      <w:pPr>
        <w:pStyle w:val="BodyText"/>
        <w:spacing w:before="10"/>
        <w:rPr>
          <w:sz w:val="33"/>
        </w:rPr>
      </w:pPr>
    </w:p>
    <w:p>
      <w:pPr>
        <w:spacing w:before="0"/>
        <w:ind w:left="458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83638"/>
          <w:w w:val="105"/>
          <w:sz w:val="28"/>
        </w:rPr>
        <w:t>8.5.8</w:t>
      </w:r>
    </w:p>
    <w:p>
      <w:pPr>
        <w:spacing w:before="52"/>
        <w:ind w:left="463" w:right="0" w:firstLine="0"/>
        <w:jc w:val="left"/>
        <w:rPr>
          <w:rFonts w:ascii="Arial"/>
          <w:sz w:val="21"/>
        </w:rPr>
      </w:pPr>
      <w:r>
        <w:rPr>
          <w:rFonts w:ascii="Arial"/>
          <w:color w:val="383638"/>
          <w:w w:val="105"/>
          <w:sz w:val="21"/>
        </w:rPr>
        <w:t>RELEV</w:t>
      </w:r>
      <w:r>
        <w:rPr>
          <w:rFonts w:ascii="Arial"/>
          <w:color w:val="575759"/>
          <w:w w:val="105"/>
          <w:sz w:val="21"/>
        </w:rPr>
        <w:t>A</w:t>
      </w:r>
      <w:r>
        <w:rPr>
          <w:rFonts w:ascii="Arial"/>
          <w:color w:val="383638"/>
          <w:w w:val="105"/>
          <w:sz w:val="21"/>
        </w:rPr>
        <w:t>NT</w:t>
      </w:r>
      <w:r>
        <w:rPr>
          <w:rFonts w:ascii="Arial"/>
          <w:color w:val="383638"/>
          <w:spacing w:val="15"/>
          <w:w w:val="105"/>
          <w:sz w:val="21"/>
        </w:rPr>
        <w:t> </w:t>
      </w:r>
      <w:r>
        <w:rPr>
          <w:rFonts w:ascii="Arial"/>
          <w:color w:val="383638"/>
          <w:w w:val="105"/>
          <w:sz w:val="21"/>
        </w:rPr>
        <w:t>ENACTED LAW</w:t>
      </w:r>
    </w:p>
    <w:p>
      <w:pPr>
        <w:pStyle w:val="BodyText"/>
        <w:spacing w:line="232" w:lineRule="auto" w:before="162"/>
        <w:ind w:left="118" w:right="181" w:firstLine="331"/>
        <w:jc w:val="both"/>
      </w:pPr>
      <w:r>
        <w:rPr>
          <w:color w:val="383638"/>
          <w:w w:val="110"/>
        </w:rPr>
        <w:t>A section that quotes appropriate sections of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relevant enacted law,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often labeled "applicable statutes" or the like, can  be extremely helpful to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a court deciding a dispositive motion. This section is worth including even</w:t>
      </w:r>
      <w:r>
        <w:rPr>
          <w:color w:val="383638"/>
          <w:spacing w:val="-61"/>
          <w:w w:val="110"/>
        </w:rPr>
        <w:t> </w:t>
      </w:r>
      <w:r>
        <w:rPr>
          <w:rFonts w:ascii="Arial" w:hAnsi="Arial"/>
          <w:color w:val="383638"/>
          <w:w w:val="110"/>
          <w:sz w:val="22"/>
        </w:rPr>
        <w:t>if </w:t>
      </w:r>
      <w:r>
        <w:rPr>
          <w:color w:val="383638"/>
          <w:w w:val="110"/>
        </w:rPr>
        <w:t>the court has not asked for it. This section should include any constitu­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tional provisions, statutes, regulations,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ordinances </w:t>
      </w:r>
      <w:r>
        <w:rPr>
          <w:color w:val="383638"/>
          <w:w w:val="110"/>
          <w:sz w:val="21"/>
        </w:rPr>
        <w:t>(in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</w:rPr>
        <w:t>that order) at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issue in the case. </w:t>
      </w:r>
      <w:r>
        <w:rPr>
          <w:color w:val="383638"/>
          <w:w w:val="110"/>
        </w:rPr>
        <w:t>The section should include only the enacted laws whose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language or application is in controversy. It should not be used to reprint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any of these items that you </w:t>
      </w:r>
      <w:r>
        <w:rPr>
          <w:rFonts w:ascii="Arial" w:hAnsi="Arial"/>
          <w:i/>
          <w:color w:val="383638"/>
          <w:w w:val="110"/>
          <w:sz w:val="20"/>
        </w:rPr>
        <w:t>cited </w:t>
      </w:r>
      <w:r>
        <w:rPr>
          <w:color w:val="383638"/>
          <w:w w:val="110"/>
        </w:rPr>
        <w:t>in the brief. Rather, you should include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statutes or other enacted laws only if you  are  asking the court to inter­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pret or apply them (or not to apply them) in this case. Label this element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according to what it contains, e.g., "Applicable Constitutional Provisions"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or "Applicable Statutes" or "Applicable Constitutional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Regulatory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Provisions,"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or</w:t>
      </w:r>
      <w:r>
        <w:rPr>
          <w:color w:val="383638"/>
          <w:spacing w:val="28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54"/>
          <w:w w:val="110"/>
        </w:rPr>
        <w:t> </w:t>
      </w:r>
      <w:r>
        <w:rPr>
          <w:color w:val="383638"/>
          <w:w w:val="110"/>
        </w:rPr>
        <w:t>like.</w:t>
      </w:r>
    </w:p>
    <w:p>
      <w:pPr>
        <w:pStyle w:val="BodyText"/>
        <w:spacing w:line="232" w:lineRule="auto" w:before="18"/>
        <w:ind w:left="131" w:right="169" w:firstLine="309"/>
        <w:jc w:val="both"/>
      </w:pPr>
      <w:r>
        <w:rPr>
          <w:rFonts w:ascii="Arial"/>
          <w:color w:val="383638"/>
          <w:spacing w:val="-1"/>
          <w:w w:val="115"/>
          <w:sz w:val="22"/>
        </w:rPr>
        <w:t>If </w:t>
      </w:r>
      <w:r>
        <w:rPr>
          <w:color w:val="383638"/>
          <w:spacing w:val="-1"/>
          <w:w w:val="115"/>
        </w:rPr>
        <w:t>only one paragraph of a lengthy </w:t>
      </w:r>
      <w:r>
        <w:rPr>
          <w:color w:val="383638"/>
          <w:w w:val="115"/>
        </w:rPr>
        <w:t>statute is in controversy, you can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quote only the pertinent part, but be generous: Do not quote merely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sentence at issue. In general, when excerpting enacted law in a section of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this type, you should quote at least a paragraph, and be sure to include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introductory material that provides sufficient context (e.g., "Section 125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defines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'stevedore,'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38"/>
          <w:w w:val="110"/>
        </w:rPr>
        <w:t> </w:t>
      </w:r>
      <w:r>
        <w:rPr>
          <w:color w:val="383638"/>
          <w:w w:val="110"/>
        </w:rPr>
        <w:t>provides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25"/>
          <w:w w:val="110"/>
        </w:rPr>
        <w:t> </w:t>
      </w:r>
      <w:r>
        <w:rPr>
          <w:color w:val="383638"/>
          <w:w w:val="110"/>
        </w:rPr>
        <w:t>pertinent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part: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...</w:t>
      </w:r>
      <w:r>
        <w:rPr>
          <w:color w:val="383638"/>
          <w:spacing w:val="60"/>
          <w:w w:val="110"/>
        </w:rPr>
        <w:t> </w:t>
      </w:r>
      <w:r>
        <w:rPr>
          <w:color w:val="383638"/>
          <w:w w:val="110"/>
        </w:rPr>
        <w:t>").</w:t>
      </w:r>
    </w:p>
    <w:p>
      <w:pPr>
        <w:pStyle w:val="BodyText"/>
        <w:spacing w:line="235" w:lineRule="auto" w:before="1"/>
        <w:ind w:left="140" w:right="151" w:firstLine="314"/>
        <w:jc w:val="both"/>
      </w:pPr>
      <w:r>
        <w:rPr>
          <w:color w:val="383638"/>
          <w:w w:val="110"/>
        </w:rPr>
        <w:t>If printing the entire text of the relevant provisions would take up too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much space (more than a page), simply include the citations in this sec­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tion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explain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full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text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is reprinted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an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appendix.</w:t>
      </w:r>
      <w:r>
        <w:rPr>
          <w:color w:val="383638"/>
          <w:w w:val="110"/>
          <w:vertAlign w:val="superscript"/>
        </w:rPr>
        <w:t>15</w:t>
      </w:r>
    </w:p>
    <w:p>
      <w:pPr>
        <w:pStyle w:val="BodyText"/>
        <w:spacing w:before="11"/>
        <w:rPr>
          <w:sz w:val="33"/>
        </w:rPr>
      </w:pPr>
    </w:p>
    <w:p>
      <w:pPr>
        <w:spacing w:line="361" w:lineRule="exact" w:before="0"/>
        <w:ind w:left="443" w:right="0" w:firstLine="0"/>
        <w:jc w:val="left"/>
        <w:rPr>
          <w:rFonts w:ascii="Courier New"/>
          <w:sz w:val="32"/>
        </w:rPr>
      </w:pPr>
      <w:r>
        <w:rPr>
          <w:rFonts w:ascii="Courier New"/>
          <w:color w:val="383638"/>
          <w:w w:val="80"/>
          <w:sz w:val="32"/>
        </w:rPr>
        <w:t>8.5.9</w:t>
      </w:r>
    </w:p>
    <w:p>
      <w:pPr>
        <w:spacing w:line="252" w:lineRule="exact" w:before="0"/>
        <w:ind w:left="475" w:right="0" w:firstLine="0"/>
        <w:jc w:val="left"/>
        <w:rPr>
          <w:sz w:val="22"/>
        </w:rPr>
      </w:pPr>
      <w:r>
        <w:rPr>
          <w:color w:val="383638"/>
          <w:w w:val="105"/>
          <w:sz w:val="22"/>
        </w:rPr>
        <w:t>STANDARD</w:t>
      </w:r>
      <w:r>
        <w:rPr>
          <w:color w:val="383638"/>
          <w:spacing w:val="16"/>
          <w:w w:val="105"/>
          <w:sz w:val="22"/>
        </w:rPr>
        <w:t> </w:t>
      </w:r>
      <w:r>
        <w:rPr>
          <w:color w:val="383638"/>
          <w:w w:val="105"/>
          <w:sz w:val="22"/>
        </w:rPr>
        <w:t>OF</w:t>
      </w:r>
      <w:r>
        <w:rPr>
          <w:color w:val="383638"/>
          <w:spacing w:val="34"/>
          <w:w w:val="105"/>
          <w:sz w:val="22"/>
        </w:rPr>
        <w:t> </w:t>
      </w:r>
      <w:r>
        <w:rPr>
          <w:rFonts w:ascii="Arial"/>
          <w:color w:val="383638"/>
          <w:w w:val="105"/>
          <w:sz w:val="21"/>
        </w:rPr>
        <w:t>REVIEW</w:t>
      </w:r>
      <w:r>
        <w:rPr>
          <w:rFonts w:ascii="Arial"/>
          <w:color w:val="383638"/>
          <w:spacing w:val="20"/>
          <w:w w:val="105"/>
          <w:sz w:val="21"/>
        </w:rPr>
        <w:t> </w:t>
      </w:r>
      <w:r>
        <w:rPr>
          <w:i/>
          <w:color w:val="383638"/>
          <w:w w:val="105"/>
          <w:sz w:val="22"/>
        </w:rPr>
        <w:t>OR</w:t>
      </w:r>
      <w:r>
        <w:rPr>
          <w:i/>
          <w:color w:val="383638"/>
          <w:spacing w:val="23"/>
          <w:w w:val="105"/>
          <w:sz w:val="22"/>
        </w:rPr>
        <w:t> </w:t>
      </w:r>
      <w:r>
        <w:rPr>
          <w:color w:val="383638"/>
          <w:w w:val="105"/>
          <w:sz w:val="22"/>
        </w:rPr>
        <w:t>PLEADING</w:t>
      </w:r>
      <w:r>
        <w:rPr>
          <w:color w:val="383638"/>
          <w:spacing w:val="37"/>
          <w:w w:val="105"/>
          <w:sz w:val="22"/>
        </w:rPr>
        <w:t> </w:t>
      </w:r>
      <w:r>
        <w:rPr>
          <w:color w:val="383638"/>
          <w:w w:val="105"/>
          <w:sz w:val="22"/>
        </w:rPr>
        <w:t>STANDARD</w:t>
      </w:r>
    </w:p>
    <w:p>
      <w:pPr>
        <w:pStyle w:val="BodyText"/>
        <w:spacing w:line="230" w:lineRule="auto" w:before="151"/>
        <w:ind w:left="140" w:right="111" w:firstLine="318"/>
        <w:jc w:val="both"/>
      </w:pPr>
      <w:r>
        <w:rPr>
          <w:color w:val="383638"/>
          <w:w w:val="110"/>
        </w:rPr>
        <w:t>As you read in Chapter Two, the standard of review is the framework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within which the court makes its decision. You must tell the court what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standard of review applies to any decision you are asking </w:t>
      </w:r>
      <w:r>
        <w:rPr>
          <w:color w:val="383638"/>
          <w:w w:val="110"/>
          <w:sz w:val="21"/>
        </w:rPr>
        <w:t>it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</w:rPr>
        <w:t>to make. As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noted</w:t>
      </w:r>
      <w:r>
        <w:rPr>
          <w:color w:val="383638"/>
          <w:spacing w:val="37"/>
          <w:w w:val="110"/>
        </w:rPr>
        <w:t> </w:t>
      </w:r>
      <w:r>
        <w:rPr>
          <w:color w:val="383638"/>
          <w:w w:val="110"/>
        </w:rPr>
        <w:t>above,</w:t>
      </w:r>
      <w:r>
        <w:rPr>
          <w:color w:val="383638"/>
          <w:spacing w:val="49"/>
          <w:w w:val="110"/>
        </w:rPr>
        <w:t> </w:t>
      </w:r>
      <w:r>
        <w:rPr>
          <w:color w:val="383638"/>
          <w:w w:val="110"/>
        </w:rPr>
        <w:t>courts</w:t>
      </w:r>
      <w:r>
        <w:rPr>
          <w:color w:val="383638"/>
          <w:spacing w:val="39"/>
          <w:w w:val="110"/>
        </w:rPr>
        <w:t> </w:t>
      </w:r>
      <w:r>
        <w:rPr>
          <w:color w:val="383638"/>
          <w:w w:val="110"/>
        </w:rPr>
        <w:t>deciding</w:t>
      </w:r>
      <w:r>
        <w:rPr>
          <w:color w:val="383638"/>
          <w:spacing w:val="36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62"/>
          <w:w w:val="110"/>
        </w:rPr>
        <w:t> </w:t>
      </w:r>
      <w:r>
        <w:rPr>
          <w:color w:val="383638"/>
          <w:w w:val="110"/>
        </w:rPr>
        <w:t>motion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may</w:t>
      </w:r>
      <w:r>
        <w:rPr>
          <w:color w:val="383638"/>
          <w:spacing w:val="30"/>
          <w:w w:val="110"/>
        </w:rPr>
        <w:t> </w:t>
      </w:r>
      <w:r>
        <w:rPr>
          <w:color w:val="383638"/>
          <w:w w:val="110"/>
        </w:rPr>
        <w:t>refer</w:t>
      </w:r>
      <w:r>
        <w:rPr>
          <w:color w:val="383638"/>
          <w:spacing w:val="43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this</w:t>
      </w:r>
      <w:r>
        <w:rPr>
          <w:color w:val="383638"/>
          <w:spacing w:val="32"/>
          <w:w w:val="110"/>
        </w:rPr>
        <w:t> </w:t>
      </w:r>
      <w:r>
        <w:rPr>
          <w:color w:val="383638"/>
          <w:w w:val="110"/>
        </w:rPr>
        <w:t>standard</w:t>
      </w:r>
      <w:r>
        <w:rPr>
          <w:color w:val="383638"/>
          <w:spacing w:val="51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44"/>
          <w:w w:val="110"/>
        </w:rPr>
        <w:t> </w:t>
      </w:r>
      <w:r>
        <w:rPr>
          <w:color w:val="383638"/>
          <w:w w:val="110"/>
        </w:rPr>
        <w:t>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07"/>
        <w:ind w:left="469" w:right="0" w:firstLine="0"/>
        <w:jc w:val="left"/>
        <w:rPr>
          <w:sz w:val="18"/>
        </w:rPr>
      </w:pPr>
      <w:r>
        <w:rPr>
          <w:color w:val="383638"/>
          <w:w w:val="110"/>
          <w:sz w:val="18"/>
        </w:rPr>
        <w:t>nsee</w:t>
      </w:r>
      <w:r>
        <w:rPr>
          <w:color w:val="383638"/>
          <w:spacing w:val="-31"/>
          <w:w w:val="110"/>
          <w:sz w:val="18"/>
        </w:rPr>
        <w:t> </w:t>
      </w:r>
      <w:r>
        <w:rPr>
          <w:color w:val="383638"/>
          <w:w w:val="110"/>
          <w:sz w:val="18"/>
        </w:rPr>
        <w:t>Se</w:t>
      </w:r>
      <w:r>
        <w:rPr>
          <w:color w:val="575759"/>
          <w:w w:val="110"/>
          <w:sz w:val="18"/>
        </w:rPr>
        <w:t>c</w:t>
      </w:r>
      <w:r>
        <w:rPr>
          <w:color w:val="383638"/>
          <w:w w:val="110"/>
          <w:sz w:val="18"/>
        </w:rPr>
        <w:t>tion</w:t>
      </w:r>
      <w:r>
        <w:rPr>
          <w:color w:val="383638"/>
          <w:spacing w:val="16"/>
          <w:w w:val="110"/>
          <w:sz w:val="18"/>
        </w:rPr>
        <w:t> </w:t>
      </w:r>
      <w:r>
        <w:rPr>
          <w:color w:val="383638"/>
          <w:w w:val="110"/>
          <w:sz w:val="18"/>
        </w:rPr>
        <w:t>8.5</w:t>
      </w:r>
      <w:r>
        <w:rPr>
          <w:color w:val="575759"/>
          <w:w w:val="110"/>
          <w:sz w:val="18"/>
        </w:rPr>
        <w:t>.</w:t>
      </w:r>
      <w:r>
        <w:rPr>
          <w:color w:val="383638"/>
          <w:w w:val="110"/>
          <w:sz w:val="18"/>
        </w:rPr>
        <w:t>17 for</w:t>
      </w:r>
      <w:r>
        <w:rPr>
          <w:color w:val="383638"/>
          <w:spacing w:val="-8"/>
          <w:w w:val="110"/>
          <w:sz w:val="18"/>
        </w:rPr>
        <w:t> </w:t>
      </w:r>
      <w:r>
        <w:rPr>
          <w:color w:val="383638"/>
          <w:w w:val="110"/>
          <w:sz w:val="18"/>
        </w:rPr>
        <w:t>discussion</w:t>
      </w:r>
      <w:r>
        <w:rPr>
          <w:color w:val="383638"/>
          <w:spacing w:val="-1"/>
          <w:w w:val="110"/>
          <w:sz w:val="18"/>
        </w:rPr>
        <w:t> </w:t>
      </w:r>
      <w:r>
        <w:rPr>
          <w:color w:val="383638"/>
          <w:w w:val="110"/>
          <w:sz w:val="18"/>
        </w:rPr>
        <w:t>of</w:t>
      </w:r>
      <w:r>
        <w:rPr>
          <w:color w:val="383638"/>
          <w:spacing w:val="12"/>
          <w:w w:val="110"/>
          <w:sz w:val="18"/>
        </w:rPr>
        <w:t> </w:t>
      </w:r>
      <w:r>
        <w:rPr>
          <w:color w:val="383638"/>
          <w:w w:val="110"/>
          <w:sz w:val="18"/>
        </w:rPr>
        <w:t>requirements</w:t>
      </w:r>
      <w:r>
        <w:rPr>
          <w:color w:val="383638"/>
          <w:spacing w:val="6"/>
          <w:w w:val="110"/>
          <w:sz w:val="18"/>
        </w:rPr>
        <w:t> </w:t>
      </w:r>
      <w:r>
        <w:rPr>
          <w:color w:val="383638"/>
          <w:w w:val="110"/>
          <w:sz w:val="18"/>
        </w:rPr>
        <w:t>for</w:t>
      </w:r>
      <w:r>
        <w:rPr>
          <w:color w:val="383638"/>
          <w:spacing w:val="-8"/>
          <w:w w:val="110"/>
          <w:sz w:val="18"/>
        </w:rPr>
        <w:t> </w:t>
      </w:r>
      <w:r>
        <w:rPr>
          <w:color w:val="383638"/>
          <w:w w:val="110"/>
          <w:sz w:val="18"/>
        </w:rPr>
        <w:t>the appendix</w:t>
      </w:r>
      <w:r>
        <w:rPr>
          <w:color w:val="575759"/>
          <w:w w:val="110"/>
          <w:sz w:val="18"/>
        </w:rPr>
        <w:t>.</w:t>
      </w:r>
    </w:p>
    <w:p>
      <w:pPr>
        <w:spacing w:after="0"/>
        <w:jc w:val="left"/>
        <w:rPr>
          <w:sz w:val="18"/>
        </w:rPr>
        <w:sectPr>
          <w:pgSz w:w="9470" w:h="13760"/>
          <w:pgMar w:header="540" w:footer="0" w:top="1100" w:bottom="280" w:left="340" w:right="1280"/>
        </w:sectPr>
      </w:pPr>
    </w:p>
    <w:p>
      <w:pPr>
        <w:pStyle w:val="BodyText"/>
        <w:spacing w:line="235" w:lineRule="auto" w:before="85"/>
        <w:ind w:left="715" w:right="105" w:hanging="6"/>
        <w:jc w:val="both"/>
      </w:pPr>
      <w:r>
        <w:rPr>
          <w:color w:val="3A3838"/>
          <w:w w:val="105"/>
        </w:rPr>
        <w:t>"legal standard" or, more accurately</w:t>
      </w:r>
      <w:r>
        <w:rPr>
          <w:color w:val="59595B"/>
          <w:w w:val="105"/>
        </w:rPr>
        <w:t>, </w:t>
      </w:r>
      <w:r>
        <w:rPr>
          <w:color w:val="3A3838"/>
          <w:w w:val="105"/>
        </w:rPr>
        <w:t>as a "pleading standard." You should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use</w:t>
      </w:r>
      <w:r>
        <w:rPr>
          <w:color w:val="3A3838"/>
          <w:spacing w:val="-5"/>
          <w:w w:val="105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27"/>
          <w:w w:val="105"/>
        </w:rPr>
        <w:t> </w:t>
      </w:r>
      <w:r>
        <w:rPr>
          <w:color w:val="3A3838"/>
          <w:w w:val="105"/>
        </w:rPr>
        <w:t>term</w:t>
      </w:r>
      <w:r>
        <w:rPr>
          <w:color w:val="3A3838"/>
          <w:spacing w:val="-4"/>
          <w:w w:val="105"/>
        </w:rPr>
        <w:t> </w:t>
      </w:r>
      <w:r>
        <w:rPr>
          <w:color w:val="3A3838"/>
          <w:w w:val="105"/>
        </w:rPr>
        <w:t>that</w:t>
      </w:r>
      <w:r>
        <w:rPr>
          <w:color w:val="3A3838"/>
          <w:spacing w:val="6"/>
          <w:w w:val="105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-32"/>
          <w:w w:val="105"/>
        </w:rPr>
        <w:t> </w:t>
      </w:r>
      <w:r>
        <w:rPr>
          <w:color w:val="3A3838"/>
          <w:w w:val="105"/>
        </w:rPr>
        <w:t>courts</w:t>
      </w:r>
      <w:r>
        <w:rPr>
          <w:color w:val="3A3838"/>
          <w:spacing w:val="-4"/>
          <w:w w:val="105"/>
        </w:rPr>
        <w:t> </w:t>
      </w:r>
      <w:r>
        <w:rPr>
          <w:color w:val="3A3838"/>
          <w:w w:val="105"/>
        </w:rPr>
        <w:t>in</w:t>
      </w:r>
      <w:r>
        <w:rPr>
          <w:color w:val="3A3838"/>
          <w:spacing w:val="7"/>
          <w:w w:val="105"/>
        </w:rPr>
        <w:t> </w:t>
      </w:r>
      <w:r>
        <w:rPr>
          <w:color w:val="3A3838"/>
          <w:w w:val="105"/>
        </w:rPr>
        <w:t>your</w:t>
      </w:r>
      <w:r>
        <w:rPr>
          <w:color w:val="3A3838"/>
          <w:spacing w:val="30"/>
          <w:w w:val="105"/>
        </w:rPr>
        <w:t> </w:t>
      </w:r>
      <w:r>
        <w:rPr>
          <w:color w:val="3A3838"/>
          <w:w w:val="105"/>
        </w:rPr>
        <w:t>jurisdiction</w:t>
      </w:r>
      <w:r>
        <w:rPr>
          <w:color w:val="3A3838"/>
          <w:spacing w:val="19"/>
          <w:w w:val="105"/>
        </w:rPr>
        <w:t> </w:t>
      </w:r>
      <w:r>
        <w:rPr>
          <w:color w:val="3A3838"/>
          <w:w w:val="105"/>
        </w:rPr>
        <w:t>use.</w:t>
      </w:r>
    </w:p>
    <w:p>
      <w:pPr>
        <w:pStyle w:val="BodyText"/>
        <w:spacing w:line="232" w:lineRule="auto"/>
        <w:ind w:left="646" w:right="99" w:firstLine="418"/>
        <w:jc w:val="both"/>
      </w:pPr>
      <w:r>
        <w:rPr>
          <w:color w:val="3A3838"/>
          <w:w w:val="105"/>
        </w:rPr>
        <w:t>Generally, the  standard can b</w:t>
      </w:r>
      <w:r>
        <w:rPr>
          <w:color w:val="59595B"/>
          <w:w w:val="105"/>
        </w:rPr>
        <w:t>e </w:t>
      </w:r>
      <w:r>
        <w:rPr>
          <w:color w:val="3A3838"/>
          <w:w w:val="105"/>
        </w:rPr>
        <w:t>dealt with in  introductory  material, in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a somewhat summary fashion</w:t>
      </w:r>
      <w:r>
        <w:rPr>
          <w:color w:val="59595B"/>
          <w:w w:val="105"/>
        </w:rPr>
        <w:t>. </w:t>
      </w:r>
      <w:r>
        <w:rPr>
          <w:color w:val="3A3838"/>
          <w:w w:val="105"/>
        </w:rPr>
        <w:t>Different issues may be subject to different</w:t>
      </w:r>
      <w:r>
        <w:rPr>
          <w:color w:val="3A3838"/>
          <w:spacing w:val="1"/>
          <w:w w:val="105"/>
        </w:rPr>
        <w:t> </w:t>
      </w:r>
      <w:r>
        <w:rPr>
          <w:color w:val="3A3838"/>
          <w:spacing w:val="-1"/>
          <w:w w:val="110"/>
        </w:rPr>
        <w:t>facets </w:t>
      </w:r>
      <w:r>
        <w:rPr>
          <w:color w:val="3A3838"/>
          <w:w w:val="110"/>
        </w:rPr>
        <w:t>of the standard</w:t>
      </w:r>
      <w:r>
        <w:rPr>
          <w:color w:val="59595B"/>
          <w:w w:val="110"/>
        </w:rPr>
        <w:t>. </w:t>
      </w:r>
      <w:r>
        <w:rPr>
          <w:color w:val="3A3838"/>
          <w:w w:val="110"/>
        </w:rPr>
        <w:t>For example</w:t>
      </w:r>
      <w:r>
        <w:rPr>
          <w:color w:val="59595B"/>
          <w:w w:val="110"/>
        </w:rPr>
        <w:t>, </w:t>
      </w:r>
      <w:r>
        <w:rPr>
          <w:color w:val="3A3838"/>
          <w:w w:val="110"/>
        </w:rPr>
        <w:t>in a motion to dismiss, you may be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arguing that the complaint fails as to one issue because the facts pied were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insufficient, and that it fails as to another issue because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law does not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reach the facts of the case. In that situation, you could state the standard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within the introductory material preceding each issue</w:t>
      </w:r>
      <w:r>
        <w:rPr>
          <w:color w:val="59595B"/>
          <w:w w:val="110"/>
        </w:rPr>
        <w:t>, </w:t>
      </w:r>
      <w:r>
        <w:rPr>
          <w:color w:val="3A3838"/>
          <w:w w:val="110"/>
        </w:rPr>
        <w:t>emphasizing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appropriate aspect of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standard and citing to authority as appropriate</w:t>
      </w:r>
      <w:r>
        <w:rPr>
          <w:color w:val="59595B"/>
          <w:w w:val="105"/>
        </w:rPr>
        <w:t>.</w:t>
      </w:r>
      <w:r>
        <w:rPr>
          <w:color w:val="59595B"/>
          <w:spacing w:val="1"/>
          <w:w w:val="105"/>
        </w:rPr>
        <w:t> </w:t>
      </w:r>
      <w:r>
        <w:rPr>
          <w:color w:val="3A3838"/>
          <w:spacing w:val="-1"/>
          <w:w w:val="110"/>
        </w:rPr>
        <w:t>Chapter </w:t>
      </w:r>
      <w:r>
        <w:rPr>
          <w:color w:val="3A3838"/>
          <w:w w:val="110"/>
        </w:rPr>
        <w:t>Ten discusses methods for incorporating the standard of review</w:t>
      </w:r>
      <w:r>
        <w:rPr>
          <w:color w:val="3A3838"/>
          <w:spacing w:val="-61"/>
          <w:w w:val="110"/>
        </w:rPr>
        <w:t> </w:t>
      </w:r>
      <w:r>
        <w:rPr>
          <w:color w:val="3A3838"/>
          <w:spacing w:val="-1"/>
          <w:w w:val="110"/>
        </w:rPr>
        <w:t>into introductory material; one of the sample briefs </w:t>
      </w:r>
      <w:r>
        <w:rPr>
          <w:color w:val="3A3838"/>
          <w:w w:val="110"/>
        </w:rPr>
        <w:t>in Appendix C pro­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vides</w:t>
      </w:r>
      <w:r>
        <w:rPr>
          <w:color w:val="3A3838"/>
          <w:spacing w:val="-20"/>
          <w:w w:val="105"/>
        </w:rPr>
        <w:t> </w:t>
      </w:r>
      <w:r>
        <w:rPr>
          <w:color w:val="3A3838"/>
          <w:w w:val="105"/>
        </w:rPr>
        <w:t>an</w:t>
      </w:r>
      <w:r>
        <w:rPr>
          <w:color w:val="3A3838"/>
          <w:spacing w:val="21"/>
          <w:w w:val="105"/>
        </w:rPr>
        <w:t> </w:t>
      </w:r>
      <w:r>
        <w:rPr>
          <w:color w:val="3A3838"/>
          <w:w w:val="105"/>
        </w:rPr>
        <w:t>illustration</w:t>
      </w:r>
      <w:r>
        <w:rPr>
          <w:color w:val="3A3838"/>
          <w:spacing w:val="9"/>
          <w:w w:val="105"/>
        </w:rPr>
        <w:t> </w:t>
      </w:r>
      <w:r>
        <w:rPr>
          <w:color w:val="3A3838"/>
          <w:w w:val="105"/>
        </w:rPr>
        <w:t>of</w:t>
      </w:r>
      <w:r>
        <w:rPr>
          <w:color w:val="3A3838"/>
          <w:spacing w:val="6"/>
          <w:w w:val="105"/>
        </w:rPr>
        <w:t> </w:t>
      </w:r>
      <w:r>
        <w:rPr>
          <w:color w:val="3A3838"/>
          <w:w w:val="105"/>
        </w:rPr>
        <w:t>this</w:t>
      </w:r>
      <w:r>
        <w:rPr>
          <w:color w:val="3A3838"/>
          <w:spacing w:val="-6"/>
          <w:w w:val="105"/>
        </w:rPr>
        <w:t> </w:t>
      </w:r>
      <w:r>
        <w:rPr>
          <w:color w:val="3A3838"/>
          <w:w w:val="105"/>
        </w:rPr>
        <w:t>technique.</w:t>
      </w:r>
    </w:p>
    <w:p>
      <w:pPr>
        <w:pStyle w:val="BodyText"/>
        <w:spacing w:before="3"/>
        <w:rPr>
          <w:sz w:val="33"/>
        </w:rPr>
      </w:pPr>
    </w:p>
    <w:p>
      <w:pPr>
        <w:spacing w:before="1"/>
        <w:ind w:left="929" w:right="0" w:firstLine="0"/>
        <w:jc w:val="left"/>
        <w:rPr>
          <w:sz w:val="29"/>
        </w:rPr>
      </w:pPr>
      <w:r>
        <w:rPr>
          <w:color w:val="59595B"/>
          <w:w w:val="110"/>
          <w:sz w:val="29"/>
        </w:rPr>
        <w:t>8.</w:t>
      </w:r>
      <w:r>
        <w:rPr>
          <w:color w:val="3A3838"/>
          <w:w w:val="110"/>
          <w:sz w:val="29"/>
        </w:rPr>
        <w:t>5.</w:t>
      </w:r>
      <w:r>
        <w:rPr>
          <w:color w:val="59595B"/>
          <w:w w:val="110"/>
          <w:sz w:val="29"/>
        </w:rPr>
        <w:t>10</w:t>
      </w:r>
    </w:p>
    <w:p>
      <w:pPr>
        <w:pStyle w:val="BodyText"/>
        <w:spacing w:before="30"/>
        <w:ind w:left="932"/>
      </w:pPr>
      <w:r>
        <w:rPr>
          <w:color w:val="3A3838"/>
          <w:w w:val="95"/>
        </w:rPr>
        <w:t>S</w:t>
      </w:r>
      <w:r>
        <w:rPr>
          <w:color w:val="59595B"/>
          <w:w w:val="95"/>
        </w:rPr>
        <w:t>TATE</w:t>
      </w:r>
      <w:r>
        <w:rPr>
          <w:color w:val="757579"/>
          <w:w w:val="95"/>
        </w:rPr>
        <w:t>M</w:t>
      </w:r>
      <w:r>
        <w:rPr>
          <w:color w:val="59595B"/>
          <w:w w:val="95"/>
        </w:rPr>
        <w:t>ENT</w:t>
      </w:r>
      <w:r>
        <w:rPr>
          <w:color w:val="59595B"/>
          <w:spacing w:val="36"/>
          <w:w w:val="95"/>
        </w:rPr>
        <w:t> </w:t>
      </w:r>
      <w:r>
        <w:rPr>
          <w:color w:val="3A3838"/>
          <w:w w:val="95"/>
        </w:rPr>
        <w:t>O</w:t>
      </w:r>
      <w:r>
        <w:rPr>
          <w:color w:val="59595B"/>
          <w:w w:val="95"/>
        </w:rPr>
        <w:t>F</w:t>
      </w:r>
      <w:r>
        <w:rPr>
          <w:color w:val="59595B"/>
          <w:spacing w:val="-10"/>
          <w:w w:val="95"/>
        </w:rPr>
        <w:t> </w:t>
      </w:r>
      <w:r>
        <w:rPr>
          <w:color w:val="59595B"/>
          <w:w w:val="95"/>
        </w:rPr>
        <w:t>THE</w:t>
      </w:r>
      <w:r>
        <w:rPr>
          <w:color w:val="59595B"/>
          <w:spacing w:val="42"/>
          <w:w w:val="95"/>
        </w:rPr>
        <w:t> </w:t>
      </w:r>
      <w:r>
        <w:rPr>
          <w:color w:val="3A3838"/>
          <w:w w:val="95"/>
        </w:rPr>
        <w:t>C</w:t>
      </w:r>
      <w:r>
        <w:rPr>
          <w:color w:val="59595B"/>
          <w:w w:val="95"/>
        </w:rPr>
        <w:t>AS</w:t>
      </w:r>
      <w:r>
        <w:rPr>
          <w:color w:val="3A3838"/>
          <w:w w:val="95"/>
        </w:rPr>
        <w:t>E</w:t>
      </w:r>
    </w:p>
    <w:p>
      <w:pPr>
        <w:pStyle w:val="BodyText"/>
        <w:spacing w:line="232" w:lineRule="auto" w:before="147"/>
        <w:ind w:left="569" w:right="118" w:firstLine="374"/>
        <w:jc w:val="both"/>
      </w:pPr>
      <w:r>
        <w:rPr>
          <w:color w:val="3A3838"/>
          <w:w w:val="105"/>
        </w:rPr>
        <w:t>Writing an effective statement of the case is addressed in Chapter Nine.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For now you should keep in mind that the statement usually includes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both facts 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procedure and always includes citation to the record</w:t>
      </w:r>
      <w:r>
        <w:rPr>
          <w:color w:val="59595B"/>
          <w:w w:val="110"/>
        </w:rPr>
        <w:t>.</w:t>
      </w:r>
      <w:r>
        <w:rPr>
          <w:color w:val="3A3838"/>
          <w:w w:val="110"/>
          <w:position w:val="6"/>
          <w:sz w:val="14"/>
        </w:rPr>
        <w:t>16</w:t>
      </w:r>
      <w:r>
        <w:rPr>
          <w:color w:val="3A3838"/>
          <w:spacing w:val="1"/>
          <w:w w:val="110"/>
          <w:position w:val="6"/>
          <w:sz w:val="14"/>
        </w:rPr>
        <w:t> </w:t>
      </w:r>
      <w:r>
        <w:rPr>
          <w:color w:val="3A3838"/>
          <w:w w:val="105"/>
        </w:rPr>
        <w:t>Attorneys writing motion briefs do not usually have a formal record avail­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able, but you should cite to the pleadings (by paragraph) and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to any other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documents that you drew the fact statement from (and that the court has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before it), including affidavits, depositions, answers to interrogatories, or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written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admissions</w:t>
      </w:r>
      <w:r>
        <w:rPr>
          <w:color w:val="3A3838"/>
          <w:spacing w:val="-5"/>
          <w:w w:val="110"/>
        </w:rPr>
        <w:t> </w:t>
      </w:r>
      <w:r>
        <w:rPr>
          <w:color w:val="3A3838"/>
          <w:w w:val="110"/>
        </w:rPr>
        <w:t>or</w:t>
      </w:r>
      <w:r>
        <w:rPr>
          <w:color w:val="3A3838"/>
          <w:spacing w:val="6"/>
          <w:w w:val="110"/>
        </w:rPr>
        <w:t> </w:t>
      </w:r>
      <w:r>
        <w:rPr>
          <w:color w:val="3A3838"/>
          <w:w w:val="110"/>
        </w:rPr>
        <w:t>stipulations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-7"/>
          <w:w w:val="110"/>
        </w:rPr>
        <w:t> </w:t>
      </w:r>
      <w:r>
        <w:rPr>
          <w:color w:val="3A3838"/>
          <w:w w:val="110"/>
        </w:rPr>
        <w:t>fact.</w:t>
      </w:r>
    </w:p>
    <w:p>
      <w:pPr>
        <w:pStyle w:val="BodyText"/>
        <w:spacing w:before="9"/>
        <w:rPr>
          <w:sz w:val="33"/>
        </w:rPr>
      </w:pPr>
    </w:p>
    <w:p>
      <w:pPr>
        <w:spacing w:before="0"/>
        <w:ind w:left="861" w:right="0" w:firstLine="0"/>
        <w:jc w:val="left"/>
        <w:rPr>
          <w:sz w:val="29"/>
        </w:rPr>
      </w:pPr>
      <w:r>
        <w:rPr>
          <w:color w:val="59595B"/>
          <w:w w:val="115"/>
          <w:sz w:val="29"/>
        </w:rPr>
        <w:t>8</w:t>
      </w:r>
      <w:r>
        <w:rPr>
          <w:color w:val="3A3838"/>
          <w:w w:val="115"/>
          <w:sz w:val="29"/>
        </w:rPr>
        <w:t>.5</w:t>
      </w:r>
      <w:r>
        <w:rPr>
          <w:color w:val="59595B"/>
          <w:w w:val="115"/>
          <w:sz w:val="29"/>
        </w:rPr>
        <w:t>.1</w:t>
      </w:r>
      <w:r>
        <w:rPr>
          <w:color w:val="3A3838"/>
          <w:w w:val="115"/>
          <w:sz w:val="29"/>
        </w:rPr>
        <w:t>1</w:t>
      </w:r>
    </w:p>
    <w:p>
      <w:pPr>
        <w:spacing w:before="21"/>
        <w:ind w:left="854" w:right="0" w:firstLine="0"/>
        <w:jc w:val="left"/>
        <w:rPr>
          <w:sz w:val="23"/>
        </w:rPr>
      </w:pPr>
      <w:r>
        <w:rPr>
          <w:color w:val="3A3838"/>
          <w:sz w:val="24"/>
        </w:rPr>
        <w:t>S</w:t>
      </w:r>
      <w:r>
        <w:rPr>
          <w:color w:val="59595B"/>
          <w:sz w:val="24"/>
        </w:rPr>
        <w:t>UMM</w:t>
      </w:r>
      <w:r>
        <w:rPr>
          <w:color w:val="757579"/>
          <w:sz w:val="24"/>
        </w:rPr>
        <w:t>A</w:t>
      </w:r>
      <w:r>
        <w:rPr>
          <w:color w:val="59595B"/>
          <w:sz w:val="24"/>
        </w:rPr>
        <w:t>RY</w:t>
      </w:r>
      <w:r>
        <w:rPr>
          <w:color w:val="59595B"/>
          <w:spacing w:val="-23"/>
          <w:sz w:val="24"/>
        </w:rPr>
        <w:t> </w:t>
      </w:r>
      <w:r>
        <w:rPr>
          <w:color w:val="59595B"/>
          <w:sz w:val="24"/>
        </w:rPr>
        <w:t>O</w:t>
      </w:r>
      <w:r>
        <w:rPr>
          <w:color w:val="3A3838"/>
          <w:sz w:val="24"/>
        </w:rPr>
        <w:t>F</w:t>
      </w:r>
      <w:r>
        <w:rPr>
          <w:color w:val="3A3838"/>
          <w:spacing w:val="-19"/>
          <w:sz w:val="24"/>
        </w:rPr>
        <w:t> </w:t>
      </w:r>
      <w:r>
        <w:rPr>
          <w:color w:val="3A3838"/>
          <w:sz w:val="23"/>
        </w:rPr>
        <w:t>T</w:t>
      </w:r>
      <w:r>
        <w:rPr>
          <w:color w:val="59595B"/>
          <w:sz w:val="23"/>
        </w:rPr>
        <w:t>HE</w:t>
      </w:r>
      <w:r>
        <w:rPr>
          <w:color w:val="59595B"/>
          <w:spacing w:val="-10"/>
          <w:sz w:val="23"/>
        </w:rPr>
        <w:t> </w:t>
      </w:r>
      <w:r>
        <w:rPr>
          <w:color w:val="59595B"/>
          <w:sz w:val="23"/>
        </w:rPr>
        <w:t>A</w:t>
      </w:r>
      <w:r>
        <w:rPr>
          <w:color w:val="3A3838"/>
          <w:sz w:val="23"/>
        </w:rPr>
        <w:t>RGU</w:t>
      </w:r>
      <w:r>
        <w:rPr>
          <w:color w:val="59595B"/>
          <w:sz w:val="23"/>
        </w:rPr>
        <w:t>M</w:t>
      </w:r>
      <w:r>
        <w:rPr>
          <w:color w:val="3A3838"/>
          <w:sz w:val="23"/>
        </w:rPr>
        <w:t>E</w:t>
      </w:r>
      <w:r>
        <w:rPr>
          <w:color w:val="59595B"/>
          <w:sz w:val="23"/>
        </w:rPr>
        <w:t>N</w:t>
      </w:r>
      <w:r>
        <w:rPr>
          <w:color w:val="3A3838"/>
          <w:sz w:val="23"/>
        </w:rPr>
        <w:t>T</w:t>
      </w:r>
    </w:p>
    <w:p>
      <w:pPr>
        <w:pStyle w:val="BodyText"/>
        <w:spacing w:line="230" w:lineRule="auto" w:before="156"/>
        <w:ind w:left="492" w:right="151" w:firstLine="375"/>
        <w:jc w:val="both"/>
      </w:pPr>
      <w:r>
        <w:rPr>
          <w:color w:val="3A3838"/>
          <w:w w:val="110"/>
        </w:rPr>
        <w:t>A motion brief only rarely needs a formal summary of the argument;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0"/>
        </w:rPr>
        <w:t>once</w:t>
      </w:r>
      <w:r>
        <w:rPr>
          <w:color w:val="3A3838"/>
          <w:spacing w:val="-22"/>
          <w:w w:val="110"/>
        </w:rPr>
        <w:t> </w:t>
      </w:r>
      <w:r>
        <w:rPr>
          <w:color w:val="3A3838"/>
          <w:w w:val="110"/>
        </w:rPr>
        <w:t>again,</w:t>
      </w:r>
      <w:r>
        <w:rPr>
          <w:color w:val="3A3838"/>
          <w:spacing w:val="-15"/>
          <w:w w:val="110"/>
        </w:rPr>
        <w:t> </w:t>
      </w:r>
      <w:r>
        <w:rPr>
          <w:color w:val="3A3838"/>
          <w:w w:val="110"/>
        </w:rPr>
        <w:t>length</w:t>
      </w:r>
      <w:r>
        <w:rPr>
          <w:color w:val="3A3838"/>
          <w:spacing w:val="-2"/>
          <w:w w:val="110"/>
        </w:rPr>
        <w:t> </w:t>
      </w:r>
      <w:r>
        <w:rPr>
          <w:color w:val="3A3838"/>
          <w:w w:val="110"/>
        </w:rPr>
        <w:t>and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local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rules</w:t>
      </w:r>
      <w:r>
        <w:rPr>
          <w:color w:val="3A3838"/>
          <w:spacing w:val="-24"/>
          <w:w w:val="110"/>
        </w:rPr>
        <w:t> </w:t>
      </w:r>
      <w:r>
        <w:rPr>
          <w:color w:val="3A3838"/>
          <w:w w:val="110"/>
        </w:rPr>
        <w:t>are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2"/>
          <w:w w:val="110"/>
        </w:rPr>
        <w:t> </w:t>
      </w:r>
      <w:r>
        <w:rPr>
          <w:color w:val="3A3838"/>
          <w:w w:val="110"/>
        </w:rPr>
        <w:t>determining</w:t>
      </w:r>
      <w:r>
        <w:rPr>
          <w:color w:val="3A3838"/>
          <w:spacing w:val="-11"/>
          <w:w w:val="110"/>
        </w:rPr>
        <w:t> </w:t>
      </w:r>
      <w:r>
        <w:rPr>
          <w:color w:val="3A3838"/>
          <w:w w:val="110"/>
        </w:rPr>
        <w:t>factors</w:t>
      </w:r>
      <w:r>
        <w:rPr>
          <w:color w:val="59595B"/>
          <w:w w:val="110"/>
        </w:rPr>
        <w:t>.</w:t>
      </w:r>
      <w:r>
        <w:rPr>
          <w:color w:val="59595B"/>
          <w:spacing w:val="2"/>
          <w:w w:val="110"/>
        </w:rPr>
        <w:t> </w:t>
      </w:r>
      <w:r>
        <w:rPr>
          <w:color w:val="3A3838"/>
          <w:w w:val="110"/>
        </w:rPr>
        <w:t>Writing</w:t>
      </w:r>
      <w:r>
        <w:rPr>
          <w:color w:val="3A3838"/>
          <w:spacing w:val="-16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-60"/>
          <w:w w:val="110"/>
        </w:rPr>
        <w:t> </w:t>
      </w:r>
      <w:r>
        <w:rPr>
          <w:color w:val="3A3838"/>
          <w:w w:val="105"/>
        </w:rPr>
        <w:t>summary</w:t>
      </w:r>
      <w:r>
        <w:rPr>
          <w:color w:val="3A3838"/>
          <w:spacing w:val="-8"/>
          <w:w w:val="105"/>
        </w:rPr>
        <w:t> </w:t>
      </w:r>
      <w:r>
        <w:rPr>
          <w:color w:val="3A3838"/>
          <w:w w:val="105"/>
        </w:rPr>
        <w:t>of</w:t>
      </w:r>
      <w:r>
        <w:rPr>
          <w:color w:val="3A3838"/>
          <w:spacing w:val="18"/>
          <w:w w:val="105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29"/>
          <w:w w:val="105"/>
        </w:rPr>
        <w:t> </w:t>
      </w:r>
      <w:r>
        <w:rPr>
          <w:color w:val="3A3838"/>
          <w:w w:val="105"/>
        </w:rPr>
        <w:t>argument</w:t>
      </w:r>
      <w:r>
        <w:rPr>
          <w:color w:val="3A3838"/>
          <w:spacing w:val="12"/>
          <w:w w:val="105"/>
        </w:rPr>
        <w:t> </w:t>
      </w:r>
      <w:r>
        <w:rPr>
          <w:color w:val="3A3838"/>
          <w:w w:val="105"/>
        </w:rPr>
        <w:t>is</w:t>
      </w:r>
      <w:r>
        <w:rPr>
          <w:color w:val="3A3838"/>
          <w:spacing w:val="-15"/>
          <w:w w:val="105"/>
        </w:rPr>
        <w:t> </w:t>
      </w:r>
      <w:r>
        <w:rPr>
          <w:color w:val="3A3838"/>
          <w:w w:val="105"/>
        </w:rPr>
        <w:t>addressed</w:t>
      </w:r>
      <w:r>
        <w:rPr>
          <w:color w:val="3A3838"/>
          <w:spacing w:val="2"/>
          <w:w w:val="105"/>
        </w:rPr>
        <w:t> </w:t>
      </w:r>
      <w:r>
        <w:rPr>
          <w:color w:val="3A3838"/>
          <w:w w:val="105"/>
        </w:rPr>
        <w:t>in</w:t>
      </w:r>
      <w:r>
        <w:rPr>
          <w:color w:val="3A3838"/>
          <w:spacing w:val="32"/>
          <w:w w:val="105"/>
        </w:rPr>
        <w:t> </w:t>
      </w:r>
      <w:r>
        <w:rPr>
          <w:color w:val="3A3838"/>
          <w:w w:val="105"/>
        </w:rPr>
        <w:t>Chapter</w:t>
      </w:r>
      <w:r>
        <w:rPr>
          <w:color w:val="3A3838"/>
          <w:spacing w:val="22"/>
          <w:w w:val="105"/>
        </w:rPr>
        <w:t> </w:t>
      </w:r>
      <w:r>
        <w:rPr>
          <w:color w:val="3A3838"/>
          <w:w w:val="105"/>
        </w:rPr>
        <w:t>Nine</w:t>
      </w:r>
      <w:r>
        <w:rPr>
          <w:color w:val="59595B"/>
          <w:w w:val="105"/>
        </w:rPr>
        <w:t>.</w:t>
      </w:r>
    </w:p>
    <w:p>
      <w:pPr>
        <w:pStyle w:val="BodyText"/>
        <w:spacing w:before="9"/>
        <w:rPr>
          <w:sz w:val="32"/>
        </w:rPr>
      </w:pPr>
    </w:p>
    <w:p>
      <w:pPr>
        <w:spacing w:before="0"/>
        <w:ind w:left="794" w:right="0" w:firstLine="0"/>
        <w:jc w:val="left"/>
        <w:rPr>
          <w:sz w:val="29"/>
        </w:rPr>
      </w:pPr>
      <w:r>
        <w:rPr>
          <w:color w:val="59595B"/>
          <w:w w:val="115"/>
          <w:sz w:val="29"/>
        </w:rPr>
        <w:t>8</w:t>
      </w:r>
      <w:r>
        <w:rPr>
          <w:color w:val="3A3838"/>
          <w:w w:val="115"/>
          <w:sz w:val="29"/>
        </w:rPr>
        <w:t>.5.</w:t>
      </w:r>
      <w:r>
        <w:rPr>
          <w:color w:val="59595B"/>
          <w:w w:val="115"/>
          <w:sz w:val="29"/>
        </w:rPr>
        <w:t>1</w:t>
      </w:r>
      <w:r>
        <w:rPr>
          <w:color w:val="3A3838"/>
          <w:w w:val="115"/>
          <w:sz w:val="29"/>
        </w:rPr>
        <w:t>2</w:t>
      </w:r>
    </w:p>
    <w:p>
      <w:pPr>
        <w:spacing w:before="31"/>
        <w:ind w:left="787" w:right="0" w:firstLine="0"/>
        <w:jc w:val="both"/>
        <w:rPr>
          <w:sz w:val="23"/>
        </w:rPr>
      </w:pPr>
      <w:r>
        <w:rPr>
          <w:rFonts w:ascii="Arial"/>
          <w:color w:val="3A3838"/>
          <w:sz w:val="22"/>
        </w:rPr>
        <w:t>T</w:t>
      </w:r>
      <w:r>
        <w:rPr>
          <w:rFonts w:ascii="Arial"/>
          <w:color w:val="59595B"/>
          <w:sz w:val="22"/>
        </w:rPr>
        <w:t>HE</w:t>
      </w:r>
      <w:r>
        <w:rPr>
          <w:rFonts w:ascii="Arial"/>
          <w:color w:val="59595B"/>
          <w:spacing w:val="4"/>
          <w:sz w:val="22"/>
        </w:rPr>
        <w:t> </w:t>
      </w:r>
      <w:r>
        <w:rPr>
          <w:color w:val="59595B"/>
          <w:sz w:val="23"/>
        </w:rPr>
        <w:t>AR</w:t>
      </w:r>
      <w:r>
        <w:rPr>
          <w:color w:val="3A3838"/>
          <w:sz w:val="23"/>
        </w:rPr>
        <w:t>G</w:t>
      </w:r>
      <w:r>
        <w:rPr>
          <w:color w:val="59595B"/>
          <w:sz w:val="23"/>
        </w:rPr>
        <w:t>UMENT</w:t>
      </w:r>
    </w:p>
    <w:p>
      <w:pPr>
        <w:pStyle w:val="BodyText"/>
        <w:spacing w:line="230" w:lineRule="auto" w:before="148"/>
        <w:ind w:left="414" w:right="170" w:firstLine="394"/>
        <w:jc w:val="both"/>
      </w:pPr>
      <w:r>
        <w:rPr>
          <w:color w:val="3A3838"/>
          <w:w w:val="110"/>
        </w:rPr>
        <w:t>Much has already been written about the argument; I will simply note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here that you should consult local rules to see what limitations </w:t>
      </w:r>
      <w:r>
        <w:rPr>
          <w:color w:val="59595B"/>
          <w:w w:val="110"/>
        </w:rPr>
        <w:t>e</w:t>
      </w:r>
      <w:r>
        <w:rPr>
          <w:color w:val="3A3838"/>
          <w:w w:val="110"/>
        </w:rPr>
        <w:t>xist, </w:t>
      </w:r>
      <w:r>
        <w:rPr>
          <w:color w:val="3A3838"/>
          <w:w w:val="110"/>
          <w:sz w:val="24"/>
        </w:rPr>
        <w:t>if</w:t>
      </w:r>
      <w:r>
        <w:rPr>
          <w:color w:val="3A3838"/>
          <w:spacing w:val="1"/>
          <w:w w:val="110"/>
          <w:sz w:val="24"/>
        </w:rPr>
        <w:t> </w:t>
      </w:r>
      <w:r>
        <w:rPr>
          <w:color w:val="3A3838"/>
          <w:w w:val="110"/>
        </w:rPr>
        <w:t>any. Some trial courts specify that counsel should cite only or  primarily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32"/>
          <w:w w:val="110"/>
        </w:rPr>
        <w:t> </w:t>
      </w:r>
      <w:r>
        <w:rPr>
          <w:color w:val="3A3838"/>
          <w:w w:val="110"/>
        </w:rPr>
        <w:t>courts</w:t>
      </w:r>
      <w:r>
        <w:rPr>
          <w:color w:val="3A3838"/>
          <w:spacing w:val="14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33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57"/>
          <w:w w:val="110"/>
        </w:rPr>
        <w:t> </w:t>
      </w:r>
      <w:r>
        <w:rPr>
          <w:color w:val="3A3838"/>
          <w:w w:val="110"/>
        </w:rPr>
        <w:t>mandatory</w:t>
      </w:r>
      <w:r>
        <w:rPr>
          <w:color w:val="3A3838"/>
          <w:spacing w:val="50"/>
          <w:w w:val="110"/>
        </w:rPr>
        <w:t> </w:t>
      </w:r>
      <w:r>
        <w:rPr>
          <w:color w:val="3A3838"/>
          <w:w w:val="110"/>
        </w:rPr>
        <w:t>jurisdiction,</w:t>
      </w:r>
      <w:r>
        <w:rPr>
          <w:color w:val="3A3838"/>
          <w:spacing w:val="32"/>
          <w:w w:val="110"/>
        </w:rPr>
        <w:t> </w:t>
      </w:r>
      <w:r>
        <w:rPr>
          <w:color w:val="3A3838"/>
          <w:w w:val="110"/>
        </w:rPr>
        <w:t>and</w:t>
      </w:r>
      <w:r>
        <w:rPr>
          <w:color w:val="3A3838"/>
          <w:spacing w:val="55"/>
          <w:w w:val="110"/>
        </w:rPr>
        <w:t> </w:t>
      </w:r>
      <w:r>
        <w:rPr>
          <w:color w:val="3A3838"/>
          <w:w w:val="110"/>
        </w:rPr>
        <w:t>may</w:t>
      </w:r>
      <w:r>
        <w:rPr>
          <w:color w:val="3A3838"/>
          <w:spacing w:val="17"/>
          <w:w w:val="110"/>
        </w:rPr>
        <w:t> </w:t>
      </w:r>
      <w:r>
        <w:rPr>
          <w:color w:val="3A3838"/>
          <w:w w:val="110"/>
        </w:rPr>
        <w:t>ask</w:t>
      </w:r>
      <w:r>
        <w:rPr>
          <w:color w:val="3A3838"/>
          <w:spacing w:val="26"/>
          <w:w w:val="110"/>
        </w:rPr>
        <w:t> </w:t>
      </w:r>
      <w:r>
        <w:rPr>
          <w:color w:val="3A3838"/>
          <w:w w:val="110"/>
        </w:rPr>
        <w:t>for</w:t>
      </w:r>
      <w:r>
        <w:rPr>
          <w:color w:val="3A3838"/>
          <w:spacing w:val="18"/>
          <w:w w:val="110"/>
        </w:rPr>
        <w:t> </w:t>
      </w:r>
      <w:r>
        <w:rPr>
          <w:color w:val="3A3838"/>
          <w:w w:val="110"/>
        </w:rPr>
        <w:t>copies</w:t>
      </w:r>
      <w:r>
        <w:rPr>
          <w:color w:val="3A3838"/>
          <w:spacing w:val="14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12"/>
          <w:w w:val="110"/>
        </w:rPr>
        <w:t> </w:t>
      </w:r>
      <w:r>
        <w:rPr>
          <w:color w:val="3A3838"/>
          <w:w w:val="110"/>
        </w:rPr>
        <w:t>any</w:t>
      </w:r>
    </w:p>
    <w:p>
      <w:pPr>
        <w:pStyle w:val="BodyText"/>
        <w:rPr>
          <w:sz w:val="26"/>
        </w:rPr>
      </w:pPr>
    </w:p>
    <w:p>
      <w:pPr>
        <w:spacing w:before="186"/>
        <w:ind w:left="727" w:right="0" w:firstLine="0"/>
        <w:jc w:val="left"/>
        <w:rPr>
          <w:sz w:val="18"/>
        </w:rPr>
      </w:pPr>
      <w:r>
        <w:rPr>
          <w:rFonts w:ascii="Arial"/>
          <w:color w:val="3A3838"/>
          <w:w w:val="105"/>
          <w:sz w:val="11"/>
        </w:rPr>
        <w:t>J</w:t>
      </w:r>
      <w:r>
        <w:rPr>
          <w:rFonts w:ascii="Arial"/>
          <w:color w:val="59595B"/>
          <w:w w:val="105"/>
          <w:sz w:val="11"/>
        </w:rPr>
        <w:t>6</w:t>
      </w:r>
      <w:r>
        <w:rPr>
          <w:rFonts w:ascii="Arial"/>
          <w:color w:val="3A3838"/>
          <w:w w:val="105"/>
          <w:sz w:val="11"/>
        </w:rPr>
        <w:t>See   </w:t>
      </w:r>
      <w:r>
        <w:rPr>
          <w:rFonts w:ascii="Arial"/>
          <w:color w:val="3A3838"/>
          <w:spacing w:val="16"/>
          <w:w w:val="105"/>
          <w:sz w:val="11"/>
        </w:rPr>
        <w:t> </w:t>
      </w:r>
      <w:r>
        <w:rPr>
          <w:color w:val="3A3838"/>
          <w:w w:val="105"/>
          <w:sz w:val="18"/>
        </w:rPr>
        <w:t>the</w:t>
      </w:r>
      <w:r>
        <w:rPr>
          <w:color w:val="3A3838"/>
          <w:spacing w:val="-3"/>
          <w:w w:val="105"/>
          <w:sz w:val="18"/>
        </w:rPr>
        <w:t> </w:t>
      </w:r>
      <w:r>
        <w:rPr>
          <w:color w:val="3A3838"/>
          <w:w w:val="105"/>
          <w:sz w:val="18"/>
        </w:rPr>
        <w:t>sample</w:t>
      </w:r>
      <w:r>
        <w:rPr>
          <w:color w:val="3A3838"/>
          <w:spacing w:val="7"/>
          <w:w w:val="105"/>
          <w:sz w:val="18"/>
        </w:rPr>
        <w:t> </w:t>
      </w:r>
      <w:r>
        <w:rPr>
          <w:color w:val="3A3838"/>
          <w:w w:val="105"/>
          <w:sz w:val="18"/>
        </w:rPr>
        <w:t>briefs</w:t>
      </w:r>
      <w:r>
        <w:rPr>
          <w:color w:val="3A3838"/>
          <w:spacing w:val="-3"/>
          <w:w w:val="105"/>
          <w:sz w:val="18"/>
        </w:rPr>
        <w:t> </w:t>
      </w:r>
      <w:r>
        <w:rPr>
          <w:color w:val="3A3838"/>
          <w:w w:val="105"/>
          <w:sz w:val="18"/>
        </w:rPr>
        <w:t>In</w:t>
      </w:r>
      <w:r>
        <w:rPr>
          <w:color w:val="3A3838"/>
          <w:spacing w:val="12"/>
          <w:w w:val="105"/>
          <w:sz w:val="18"/>
        </w:rPr>
        <w:t> </w:t>
      </w:r>
      <w:r>
        <w:rPr>
          <w:color w:val="3A3838"/>
          <w:w w:val="105"/>
          <w:sz w:val="18"/>
        </w:rPr>
        <w:t>Appendix</w:t>
      </w:r>
      <w:r>
        <w:rPr>
          <w:color w:val="3A3838"/>
          <w:spacing w:val="11"/>
          <w:w w:val="105"/>
          <w:sz w:val="18"/>
        </w:rPr>
        <w:t> </w:t>
      </w:r>
      <w:r>
        <w:rPr>
          <w:color w:val="59595B"/>
          <w:w w:val="105"/>
          <w:sz w:val="18"/>
        </w:rPr>
        <w:t>C</w:t>
      </w:r>
      <w:r>
        <w:rPr>
          <w:color w:val="59595B"/>
          <w:spacing w:val="-1"/>
          <w:w w:val="105"/>
          <w:sz w:val="18"/>
        </w:rPr>
        <w:t> </w:t>
      </w:r>
      <w:r>
        <w:rPr>
          <w:color w:val="3A3838"/>
          <w:w w:val="105"/>
          <w:sz w:val="18"/>
        </w:rPr>
        <w:t>for</w:t>
      </w:r>
      <w:r>
        <w:rPr>
          <w:color w:val="3A3838"/>
          <w:spacing w:val="2"/>
          <w:w w:val="105"/>
          <w:sz w:val="18"/>
        </w:rPr>
        <w:t> </w:t>
      </w:r>
      <w:r>
        <w:rPr>
          <w:color w:val="3A3838"/>
          <w:w w:val="105"/>
          <w:sz w:val="18"/>
        </w:rPr>
        <w:t>examples</w:t>
      </w:r>
      <w:r>
        <w:rPr>
          <w:color w:val="3A3838"/>
          <w:spacing w:val="2"/>
          <w:w w:val="105"/>
          <w:sz w:val="18"/>
        </w:rPr>
        <w:t> </w:t>
      </w:r>
      <w:r>
        <w:rPr>
          <w:color w:val="3A3838"/>
          <w:w w:val="105"/>
          <w:sz w:val="18"/>
        </w:rPr>
        <w:t>of</w:t>
      </w:r>
      <w:r>
        <w:rPr>
          <w:color w:val="3A3838"/>
          <w:spacing w:val="7"/>
          <w:w w:val="105"/>
          <w:sz w:val="18"/>
        </w:rPr>
        <w:t> </w:t>
      </w:r>
      <w:r>
        <w:rPr>
          <w:color w:val="3A3838"/>
          <w:w w:val="105"/>
          <w:sz w:val="18"/>
        </w:rPr>
        <w:t>correct</w:t>
      </w:r>
      <w:r>
        <w:rPr>
          <w:color w:val="3A3838"/>
          <w:spacing w:val="-7"/>
          <w:w w:val="105"/>
          <w:sz w:val="18"/>
        </w:rPr>
        <w:t> </w:t>
      </w:r>
      <w:r>
        <w:rPr>
          <w:color w:val="3A3838"/>
          <w:w w:val="105"/>
          <w:sz w:val="18"/>
        </w:rPr>
        <w:t>citations</w:t>
      </w:r>
      <w:r>
        <w:rPr>
          <w:color w:val="3A3838"/>
          <w:spacing w:val="3"/>
          <w:w w:val="105"/>
          <w:sz w:val="18"/>
        </w:rPr>
        <w:t> </w:t>
      </w:r>
      <w:r>
        <w:rPr>
          <w:color w:val="3A3838"/>
          <w:w w:val="105"/>
          <w:sz w:val="18"/>
        </w:rPr>
        <w:t>within</w:t>
      </w:r>
      <w:r>
        <w:rPr>
          <w:color w:val="3A3838"/>
          <w:spacing w:val="11"/>
          <w:w w:val="105"/>
          <w:sz w:val="18"/>
        </w:rPr>
        <w:t> </w:t>
      </w:r>
      <w:r>
        <w:rPr>
          <w:color w:val="3A3838"/>
          <w:w w:val="105"/>
          <w:sz w:val="18"/>
        </w:rPr>
        <w:t>the</w:t>
      </w:r>
      <w:r>
        <w:rPr>
          <w:color w:val="3A3838"/>
          <w:spacing w:val="18"/>
          <w:w w:val="105"/>
          <w:sz w:val="18"/>
        </w:rPr>
        <w:t> </w:t>
      </w:r>
      <w:r>
        <w:rPr>
          <w:color w:val="3A3838"/>
          <w:w w:val="105"/>
          <w:sz w:val="18"/>
        </w:rPr>
        <w:t>statement</w:t>
      </w:r>
    </w:p>
    <w:p>
      <w:pPr>
        <w:spacing w:before="15"/>
        <w:ind w:left="362" w:right="0" w:firstLine="0"/>
        <w:jc w:val="left"/>
        <w:rPr>
          <w:sz w:val="18"/>
        </w:rPr>
      </w:pPr>
      <w:r>
        <w:rPr>
          <w:rFonts w:ascii="Arial"/>
          <w:color w:val="3A3838"/>
          <w:w w:val="110"/>
          <w:sz w:val="17"/>
        </w:rPr>
        <w:t>of</w:t>
      </w:r>
      <w:r>
        <w:rPr>
          <w:rFonts w:ascii="Arial"/>
          <w:color w:val="3A3838"/>
          <w:spacing w:val="5"/>
          <w:w w:val="110"/>
          <w:sz w:val="17"/>
        </w:rPr>
        <w:t> </w:t>
      </w:r>
      <w:r>
        <w:rPr>
          <w:color w:val="3A3838"/>
          <w:w w:val="110"/>
          <w:sz w:val="18"/>
        </w:rPr>
        <w:t>the</w:t>
      </w:r>
      <w:r>
        <w:rPr>
          <w:color w:val="3A3838"/>
          <w:spacing w:val="2"/>
          <w:w w:val="110"/>
          <w:sz w:val="18"/>
        </w:rPr>
        <w:t> </w:t>
      </w:r>
      <w:r>
        <w:rPr>
          <w:color w:val="3A3838"/>
          <w:w w:val="110"/>
          <w:sz w:val="18"/>
        </w:rPr>
        <w:t>case.</w:t>
      </w:r>
    </w:p>
    <w:p>
      <w:pPr>
        <w:spacing w:after="0"/>
        <w:jc w:val="left"/>
        <w:rPr>
          <w:sz w:val="18"/>
        </w:rPr>
        <w:sectPr>
          <w:headerReference w:type="even" r:id="rId207"/>
          <w:headerReference w:type="default" r:id="rId208"/>
          <w:pgSz w:w="9430" w:h="13770"/>
          <w:pgMar w:header="405" w:footer="0" w:top="980" w:bottom="0" w:left="1300" w:right="80"/>
          <w:pgNumType w:start="184"/>
        </w:sectPr>
      </w:pPr>
    </w:p>
    <w:p>
      <w:pPr>
        <w:pStyle w:val="BodyText"/>
        <w:spacing w:line="232" w:lineRule="auto" w:before="87"/>
        <w:ind w:left="115" w:right="236" w:firstLine="6"/>
        <w:jc w:val="both"/>
      </w:pPr>
      <w:r>
        <w:rPr>
          <w:color w:val="363436"/>
          <w:w w:val="110"/>
        </w:rPr>
        <w:t>nonjurisdictional sources. Some court</w:t>
      </w:r>
      <w:r>
        <w:rPr>
          <w:color w:val="4D4D4F"/>
          <w:w w:val="110"/>
        </w:rPr>
        <w:t>s </w:t>
      </w:r>
      <w:r>
        <w:rPr>
          <w:color w:val="363436"/>
          <w:w w:val="110"/>
        </w:rPr>
        <w:t>may ask counsel to formally list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any relevant authority that goes against counsel's argument. If you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are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writ</w:t>
      </w:r>
      <w:r>
        <w:rPr>
          <w:color w:val="4D4D4F"/>
          <w:w w:val="110"/>
        </w:rPr>
        <w:t>i</w:t>
      </w:r>
      <w:r>
        <w:rPr>
          <w:color w:val="363436"/>
          <w:w w:val="110"/>
        </w:rPr>
        <w:t>ng a m</w:t>
      </w:r>
      <w:r>
        <w:rPr>
          <w:color w:val="4D4D4F"/>
          <w:w w:val="110"/>
        </w:rPr>
        <w:t>e</w:t>
      </w:r>
      <w:r>
        <w:rPr>
          <w:color w:val="363436"/>
          <w:w w:val="110"/>
        </w:rPr>
        <w:t>morandum  in support of a motion for summary  judgment,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the court may ask you to list the material facts that you cla</w:t>
      </w:r>
      <w:r>
        <w:rPr>
          <w:color w:val="4D4D4F"/>
          <w:w w:val="110"/>
        </w:rPr>
        <w:t>i</w:t>
      </w:r>
      <w:r>
        <w:rPr>
          <w:color w:val="363436"/>
          <w:w w:val="110"/>
        </w:rPr>
        <w:t>m are not in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dispute, and cite to the pages in the record materials on which each undis­</w:t>
      </w:r>
      <w:r>
        <w:rPr>
          <w:color w:val="363436"/>
          <w:spacing w:val="-61"/>
          <w:w w:val="110"/>
        </w:rPr>
        <w:t> </w:t>
      </w:r>
      <w:r>
        <w:rPr>
          <w:color w:val="363436"/>
          <w:w w:val="110"/>
        </w:rPr>
        <w:t>puted fact can be found</w:t>
      </w:r>
      <w:r>
        <w:rPr>
          <w:color w:val="4D4D4F"/>
          <w:w w:val="110"/>
        </w:rPr>
        <w:t>. </w:t>
      </w:r>
      <w:r>
        <w:rPr>
          <w:color w:val="363436"/>
          <w:w w:val="110"/>
        </w:rPr>
        <w:t>If the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party opposing the motion disagrees that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the facts are undisputed, he or she may be required to note, for each dis­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puted fact, the pages in the record that show that a dispute exists. Thus, it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is important to consult local rules to make sure that your document meets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all</w:t>
      </w:r>
      <w:r>
        <w:rPr>
          <w:color w:val="363436"/>
          <w:spacing w:val="-17"/>
          <w:w w:val="110"/>
        </w:rPr>
        <w:t> </w:t>
      </w:r>
      <w:r>
        <w:rPr>
          <w:color w:val="363436"/>
          <w:w w:val="110"/>
        </w:rPr>
        <w:t>requirements.</w:t>
      </w:r>
    </w:p>
    <w:p>
      <w:pPr>
        <w:pStyle w:val="BodyText"/>
        <w:spacing w:before="10"/>
        <w:rPr>
          <w:sz w:val="32"/>
        </w:rPr>
      </w:pPr>
    </w:p>
    <w:p>
      <w:pPr>
        <w:spacing w:before="0"/>
        <w:ind w:left="414" w:right="0" w:firstLine="0"/>
        <w:jc w:val="left"/>
        <w:rPr>
          <w:sz w:val="29"/>
        </w:rPr>
      </w:pPr>
      <w:r>
        <w:rPr>
          <w:color w:val="4D4D4F"/>
          <w:w w:val="110"/>
          <w:sz w:val="29"/>
        </w:rPr>
        <w:t>8</w:t>
      </w:r>
      <w:r>
        <w:rPr>
          <w:color w:val="363436"/>
          <w:w w:val="110"/>
          <w:sz w:val="29"/>
        </w:rPr>
        <w:t>.5</w:t>
      </w:r>
      <w:r>
        <w:rPr>
          <w:color w:val="4D4D4F"/>
          <w:w w:val="110"/>
          <w:sz w:val="29"/>
        </w:rPr>
        <w:t>.13</w:t>
      </w:r>
    </w:p>
    <w:p>
      <w:pPr>
        <w:spacing w:before="39"/>
        <w:ind w:left="417" w:right="0" w:firstLine="0"/>
        <w:jc w:val="left"/>
        <w:rPr>
          <w:rFonts w:ascii="Arial"/>
          <w:sz w:val="22"/>
        </w:rPr>
      </w:pPr>
      <w:r>
        <w:rPr>
          <w:rFonts w:ascii="Arial"/>
          <w:color w:val="363436"/>
          <w:spacing w:val="-1"/>
          <w:w w:val="105"/>
          <w:sz w:val="22"/>
        </w:rPr>
        <w:t>THE</w:t>
      </w:r>
      <w:r>
        <w:rPr>
          <w:rFonts w:ascii="Arial"/>
          <w:color w:val="363436"/>
          <w:spacing w:val="-14"/>
          <w:w w:val="105"/>
          <w:sz w:val="22"/>
        </w:rPr>
        <w:t> </w:t>
      </w:r>
      <w:r>
        <w:rPr>
          <w:rFonts w:ascii="Arial"/>
          <w:color w:val="4D4D4F"/>
          <w:spacing w:val="-1"/>
          <w:w w:val="105"/>
          <w:sz w:val="22"/>
        </w:rPr>
        <w:t>CO</w:t>
      </w:r>
      <w:r>
        <w:rPr>
          <w:rFonts w:ascii="Arial"/>
          <w:color w:val="67696B"/>
          <w:spacing w:val="-1"/>
          <w:w w:val="105"/>
          <w:sz w:val="22"/>
        </w:rPr>
        <w:t>NCLUSIO</w:t>
      </w:r>
      <w:r>
        <w:rPr>
          <w:rFonts w:ascii="Arial"/>
          <w:color w:val="4D4D4F"/>
          <w:spacing w:val="-1"/>
          <w:w w:val="105"/>
          <w:sz w:val="22"/>
        </w:rPr>
        <w:t>N</w:t>
      </w:r>
    </w:p>
    <w:p>
      <w:pPr>
        <w:pStyle w:val="BodyText"/>
        <w:spacing w:line="228" w:lineRule="auto" w:before="173"/>
        <w:ind w:left="115" w:right="225" w:firstLine="324"/>
        <w:jc w:val="both"/>
      </w:pPr>
      <w:r>
        <w:rPr>
          <w:color w:val="363436"/>
          <w:w w:val="110"/>
        </w:rPr>
        <w:t>At a minimum, your conclusion should tell the court what you want it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to do: grant or deny the motion. Many lawyers write only one sentenc</w:t>
      </w:r>
      <w:r>
        <w:rPr>
          <w:color w:val="4D4D4F"/>
          <w:w w:val="110"/>
        </w:rPr>
        <w:t>e </w:t>
      </w:r>
      <w:r>
        <w:rPr>
          <w:color w:val="363436"/>
          <w:w w:val="110"/>
        </w:rPr>
        <w:t>as</w:t>
      </w:r>
      <w:r>
        <w:rPr>
          <w:color w:val="363436"/>
          <w:spacing w:val="1"/>
          <w:w w:val="110"/>
        </w:rPr>
        <w:t> </w:t>
      </w:r>
      <w:r>
        <w:rPr>
          <w:color w:val="363436"/>
          <w:spacing w:val="-1"/>
          <w:w w:val="110"/>
        </w:rPr>
        <w:t>a</w:t>
      </w:r>
      <w:r>
        <w:rPr>
          <w:color w:val="363436"/>
          <w:spacing w:val="-23"/>
          <w:w w:val="110"/>
        </w:rPr>
        <w:t> </w:t>
      </w:r>
      <w:r>
        <w:rPr>
          <w:color w:val="363436"/>
          <w:spacing w:val="-1"/>
          <w:w w:val="110"/>
        </w:rPr>
        <w:t>conclusion</w:t>
      </w:r>
      <w:r>
        <w:rPr>
          <w:color w:val="4D4D4F"/>
          <w:spacing w:val="-1"/>
          <w:w w:val="110"/>
        </w:rPr>
        <w:t>,</w:t>
      </w:r>
      <w:r>
        <w:rPr>
          <w:color w:val="4D4D4F"/>
          <w:spacing w:val="-3"/>
          <w:w w:val="110"/>
        </w:rPr>
        <w:t> </w:t>
      </w:r>
      <w:r>
        <w:rPr>
          <w:color w:val="363436"/>
          <w:spacing w:val="-1"/>
          <w:w w:val="110"/>
        </w:rPr>
        <w:t>as</w:t>
      </w:r>
      <w:r>
        <w:rPr>
          <w:color w:val="363436"/>
          <w:spacing w:val="6"/>
          <w:w w:val="110"/>
        </w:rPr>
        <w:t> </w:t>
      </w:r>
      <w:r>
        <w:rPr>
          <w:color w:val="363436"/>
          <w:spacing w:val="-1"/>
          <w:w w:val="110"/>
          <w:sz w:val="21"/>
        </w:rPr>
        <w:t>in</w:t>
      </w:r>
      <w:r>
        <w:rPr>
          <w:color w:val="363436"/>
          <w:spacing w:val="54"/>
          <w:w w:val="110"/>
          <w:sz w:val="21"/>
        </w:rPr>
        <w:t> </w:t>
      </w:r>
      <w:r>
        <w:rPr>
          <w:color w:val="363436"/>
          <w:spacing w:val="-1"/>
          <w:w w:val="110"/>
        </w:rPr>
        <w:t>this</w:t>
      </w:r>
      <w:r>
        <w:rPr>
          <w:color w:val="363436"/>
          <w:spacing w:val="-17"/>
          <w:w w:val="110"/>
        </w:rPr>
        <w:t> </w:t>
      </w:r>
      <w:r>
        <w:rPr>
          <w:color w:val="363436"/>
          <w:spacing w:val="-1"/>
          <w:w w:val="110"/>
        </w:rPr>
        <w:t>example:</w:t>
      </w:r>
    </w:p>
    <w:p>
      <w:pPr>
        <w:pStyle w:val="BodyText"/>
        <w:spacing w:before="10"/>
        <w:rPr>
          <w:sz w:val="8"/>
        </w:rPr>
      </w:pPr>
    </w:p>
    <w:p>
      <w:pPr>
        <w:spacing w:before="95"/>
        <w:ind w:left="105" w:right="0" w:firstLine="0"/>
        <w:jc w:val="left"/>
        <w:rPr>
          <w:sz w:val="15"/>
        </w:rPr>
      </w:pPr>
      <w:r>
        <w:rPr>
          <w:color w:val="4D4D4F"/>
          <w:sz w:val="15"/>
          <w:u w:val="thick" w:color="4D4D4F"/>
        </w:rPr>
        <w:t>_/\  </w:t>
      </w:r>
      <w:r>
        <w:rPr>
          <w:color w:val="4D4D4F"/>
          <w:spacing w:val="11"/>
          <w:sz w:val="15"/>
        </w:rPr>
        <w:t> </w:t>
      </w:r>
      <w:r>
        <w:rPr>
          <w:color w:val="363436"/>
          <w:sz w:val="15"/>
          <w:u w:val="thick" w:color="67696B"/>
        </w:rPr>
        <w:t>GO</w:t>
      </w:r>
      <w:r>
        <w:rPr>
          <w:color w:val="4D4D4F"/>
          <w:sz w:val="15"/>
          <w:u w:val="thick" w:color="67696B"/>
        </w:rPr>
        <w:t>OD</w:t>
      </w:r>
      <w:r>
        <w:rPr>
          <w:color w:val="4D4D4F"/>
          <w:spacing w:val="14"/>
          <w:sz w:val="15"/>
          <w:u w:val="thick" w:color="67696B"/>
        </w:rPr>
        <w:t> </w:t>
      </w:r>
      <w:r>
        <w:rPr>
          <w:color w:val="4D4D4F"/>
          <w:sz w:val="15"/>
          <w:u w:val="thick" w:color="67696B"/>
        </w:rPr>
        <w:t>EXA</w:t>
      </w:r>
      <w:r>
        <w:rPr>
          <w:color w:val="7C7E80"/>
          <w:sz w:val="15"/>
          <w:u w:val="thick" w:color="67696B"/>
        </w:rPr>
        <w:t>MP</w:t>
      </w:r>
      <w:r>
        <w:rPr>
          <w:color w:val="4D4D4F"/>
          <w:sz w:val="15"/>
          <w:u w:val="thick" w:color="67696B"/>
        </w:rPr>
        <w:t>L</w:t>
      </w:r>
      <w:r>
        <w:rPr>
          <w:color w:val="67696B"/>
          <w:sz w:val="15"/>
          <w:u w:val="thick" w:color="67696B"/>
        </w:rPr>
        <w:t>E</w:t>
      </w:r>
    </w:p>
    <w:p>
      <w:pPr>
        <w:spacing w:line="236" w:lineRule="exact" w:before="108"/>
        <w:ind w:left="437" w:right="0" w:firstLine="0"/>
        <w:jc w:val="left"/>
        <w:rPr>
          <w:b/>
          <w:sz w:val="21"/>
        </w:rPr>
      </w:pPr>
      <w:r>
        <w:rPr>
          <w:b/>
          <w:color w:val="363436"/>
          <w:w w:val="110"/>
          <w:sz w:val="21"/>
        </w:rPr>
        <w:t>For</w:t>
      </w:r>
      <w:r>
        <w:rPr>
          <w:b/>
          <w:color w:val="363436"/>
          <w:spacing w:val="8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the</w:t>
      </w:r>
      <w:r>
        <w:rPr>
          <w:b/>
          <w:color w:val="363436"/>
          <w:spacing w:val="22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foregoing</w:t>
      </w:r>
      <w:r>
        <w:rPr>
          <w:b/>
          <w:color w:val="363436"/>
          <w:spacing w:val="35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reasons,</w:t>
      </w:r>
      <w:r>
        <w:rPr>
          <w:b/>
          <w:color w:val="363436"/>
          <w:spacing w:val="29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this</w:t>
      </w:r>
      <w:r>
        <w:rPr>
          <w:b/>
          <w:color w:val="363436"/>
          <w:spacing w:val="17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Court</w:t>
      </w:r>
      <w:r>
        <w:rPr>
          <w:b/>
          <w:color w:val="363436"/>
          <w:spacing w:val="21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should</w:t>
      </w:r>
      <w:r>
        <w:rPr>
          <w:b/>
          <w:color w:val="363436"/>
          <w:spacing w:val="24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grant</w:t>
      </w:r>
      <w:r>
        <w:rPr>
          <w:b/>
          <w:color w:val="363436"/>
          <w:spacing w:val="32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the</w:t>
      </w:r>
      <w:r>
        <w:rPr>
          <w:b/>
          <w:color w:val="363436"/>
          <w:spacing w:val="39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defendant's</w:t>
      </w:r>
    </w:p>
    <w:p>
      <w:pPr>
        <w:spacing w:line="206" w:lineRule="exact" w:before="0"/>
        <w:ind w:left="440" w:right="0" w:firstLine="0"/>
        <w:jc w:val="left"/>
        <w:rPr>
          <w:b/>
          <w:sz w:val="21"/>
        </w:rPr>
      </w:pPr>
      <w:r>
        <w:rPr>
          <w:color w:val="363436"/>
          <w:w w:val="110"/>
          <w:sz w:val="21"/>
        </w:rPr>
        <w:t>motion</w:t>
      </w:r>
      <w:r>
        <w:rPr>
          <w:color w:val="363436"/>
          <w:spacing w:val="10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to</w:t>
      </w:r>
      <w:r>
        <w:rPr>
          <w:b/>
          <w:color w:val="363436"/>
          <w:spacing w:val="-1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dismiss.</w:t>
      </w:r>
    </w:p>
    <w:p>
      <w:pPr>
        <w:pStyle w:val="BodyText"/>
        <w:spacing w:line="216" w:lineRule="auto" w:before="12"/>
        <w:ind w:left="125" w:right="291" w:firstLine="4"/>
      </w:pPr>
      <w:r>
        <w:rPr>
          <w:color w:val="363436"/>
          <w:w w:val="110"/>
        </w:rPr>
        <w:t>Make sure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that  you are precise  when  requesting  relief: You  should  </w:t>
      </w:r>
      <w:r>
        <w:rPr>
          <w:color w:val="7C7E80"/>
          <w:sz w:val="45"/>
        </w:rPr>
        <w:t>J</w:t>
      </w:r>
      <w:r>
        <w:rPr>
          <w:color w:val="7C7E80"/>
          <w:spacing w:val="-110"/>
          <w:sz w:val="45"/>
        </w:rPr>
        <w:t> </w:t>
      </w:r>
      <w:r>
        <w:rPr>
          <w:color w:val="363436"/>
          <w:w w:val="110"/>
        </w:rPr>
        <w:t>a court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to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"grant" or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"deny" a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motion</w:t>
      </w:r>
      <w:r>
        <w:rPr>
          <w:color w:val="4D4D4F"/>
          <w:w w:val="110"/>
        </w:rPr>
        <w:t>,</w:t>
      </w:r>
      <w:r>
        <w:rPr>
          <w:color w:val="4D4D4F"/>
          <w:spacing w:val="1"/>
          <w:w w:val="110"/>
        </w:rPr>
        <w:t> </w:t>
      </w:r>
      <w:r>
        <w:rPr>
          <w:color w:val="363436"/>
          <w:w w:val="110"/>
        </w:rPr>
        <w:t>not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to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"uphold"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it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or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"strike </w:t>
      </w:r>
      <w:r>
        <w:rPr>
          <w:color w:val="363436"/>
          <w:w w:val="110"/>
          <w:sz w:val="15"/>
        </w:rPr>
        <w:t>1</w:t>
      </w:r>
      <w:r>
        <w:rPr>
          <w:color w:val="363436"/>
          <w:spacing w:val="1"/>
          <w:w w:val="110"/>
          <w:sz w:val="15"/>
        </w:rPr>
        <w:t> </w:t>
      </w:r>
      <w:r>
        <w:rPr>
          <w:color w:val="363436"/>
          <w:w w:val="110"/>
        </w:rPr>
        <w:t>down</w:t>
      </w:r>
      <w:r>
        <w:rPr>
          <w:color w:val="4D4D4F"/>
          <w:w w:val="110"/>
        </w:rPr>
        <w:t>.</w:t>
      </w:r>
      <w:r>
        <w:rPr>
          <w:color w:val="363436"/>
          <w:w w:val="110"/>
        </w:rPr>
        <w:t>"</w:t>
      </w:r>
    </w:p>
    <w:p>
      <w:pPr>
        <w:pStyle w:val="BodyText"/>
        <w:spacing w:line="232" w:lineRule="auto"/>
        <w:ind w:left="131" w:right="179" w:firstLine="314"/>
        <w:jc w:val="both"/>
      </w:pPr>
      <w:r>
        <w:rPr>
          <w:color w:val="363436"/>
          <w:w w:val="110"/>
        </w:rPr>
        <w:t>It can sometimes be effective to make the conclusion more specific to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your case. Even if you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wish to do so, however, you should usually avoid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writing a  lengthy conclusion. Instead,  you might include one sentence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that succinctly states your most fundamental points, and then follow with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the specific r</w:t>
      </w:r>
      <w:r>
        <w:rPr>
          <w:color w:val="4D4D4F"/>
          <w:w w:val="110"/>
        </w:rPr>
        <w:t>e</w:t>
      </w:r>
      <w:r>
        <w:rPr>
          <w:color w:val="363436"/>
          <w:w w:val="110"/>
        </w:rPr>
        <w:t>quest for relief. In motion briefs, it can be appropriate to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incorporate phrases-that</w:t>
      </w:r>
      <w:r>
        <w:rPr>
          <w:color w:val="4D4D4F"/>
          <w:w w:val="110"/>
        </w:rPr>
        <w:t>-</w:t>
      </w:r>
      <w:r>
        <w:rPr>
          <w:color w:val="363436"/>
          <w:w w:val="110"/>
        </w:rPr>
        <w:t>pay from th</w:t>
      </w:r>
      <w:r>
        <w:rPr>
          <w:color w:val="4D4D4F"/>
          <w:w w:val="110"/>
        </w:rPr>
        <w:t>e </w:t>
      </w:r>
      <w:r>
        <w:rPr>
          <w:color w:val="363436"/>
          <w:w w:val="110"/>
        </w:rPr>
        <w:t>standard of review into the conclu­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s</w:t>
      </w:r>
      <w:r>
        <w:rPr>
          <w:color w:val="4D4D4F"/>
          <w:w w:val="110"/>
        </w:rPr>
        <w:t>i</w:t>
      </w:r>
      <w:r>
        <w:rPr>
          <w:color w:val="363436"/>
          <w:w w:val="110"/>
        </w:rPr>
        <w:t>on</w:t>
      </w:r>
      <w:r>
        <w:rPr>
          <w:color w:val="4D4D4F"/>
          <w:w w:val="110"/>
        </w:rPr>
        <w:t>,</w:t>
      </w:r>
      <w:r>
        <w:rPr>
          <w:color w:val="4D4D4F"/>
          <w:spacing w:val="-12"/>
          <w:w w:val="110"/>
        </w:rPr>
        <w:t> </w:t>
      </w:r>
      <w:r>
        <w:rPr>
          <w:color w:val="363436"/>
          <w:w w:val="110"/>
        </w:rPr>
        <w:t>as</w:t>
      </w:r>
      <w:r>
        <w:rPr>
          <w:color w:val="363436"/>
          <w:spacing w:val="-20"/>
          <w:w w:val="110"/>
        </w:rPr>
        <w:t> </w:t>
      </w:r>
      <w:r>
        <w:rPr>
          <w:color w:val="363436"/>
          <w:w w:val="110"/>
        </w:rPr>
        <w:t>in</w:t>
      </w:r>
      <w:r>
        <w:rPr>
          <w:color w:val="363436"/>
          <w:spacing w:val="17"/>
          <w:w w:val="110"/>
        </w:rPr>
        <w:t> </w:t>
      </w:r>
      <w:r>
        <w:rPr>
          <w:color w:val="363436"/>
          <w:w w:val="110"/>
        </w:rPr>
        <w:t>this</w:t>
      </w:r>
      <w:r>
        <w:rPr>
          <w:color w:val="363436"/>
          <w:spacing w:val="-17"/>
          <w:w w:val="110"/>
        </w:rPr>
        <w:t> </w:t>
      </w:r>
      <w:r>
        <w:rPr>
          <w:color w:val="363436"/>
          <w:w w:val="110"/>
        </w:rPr>
        <w:t>example</w:t>
      </w:r>
      <w:r>
        <w:rPr>
          <w:color w:val="4D4D4F"/>
          <w:w w:val="110"/>
        </w:rPr>
        <w:t>:</w:t>
      </w:r>
    </w:p>
    <w:p>
      <w:pPr>
        <w:pStyle w:val="BodyText"/>
        <w:rPr>
          <w:sz w:val="9"/>
        </w:rPr>
      </w:pPr>
    </w:p>
    <w:p>
      <w:pPr>
        <w:spacing w:before="94"/>
        <w:ind w:left="134" w:right="0" w:firstLine="0"/>
        <w:jc w:val="left"/>
        <w:rPr>
          <w:sz w:val="15"/>
        </w:rPr>
      </w:pPr>
      <w:r>
        <w:rPr>
          <w:color w:val="4D4D4F"/>
          <w:sz w:val="15"/>
          <w:u w:val="thick" w:color="4D4D4F"/>
        </w:rPr>
        <w:t>_/\  </w:t>
      </w:r>
      <w:r>
        <w:rPr>
          <w:color w:val="4D4D4F"/>
          <w:spacing w:val="9"/>
          <w:sz w:val="15"/>
          <w:u w:val="thick" w:color="4D4D4F"/>
        </w:rPr>
        <w:t> </w:t>
      </w:r>
      <w:r>
        <w:rPr>
          <w:color w:val="363436"/>
          <w:sz w:val="15"/>
          <w:u w:val="thick" w:color="4D4D4F"/>
        </w:rPr>
        <w:t>G</w:t>
      </w:r>
      <w:r>
        <w:rPr>
          <w:color w:val="4D4D4F"/>
          <w:sz w:val="15"/>
          <w:u w:val="thick" w:color="4D4D4F"/>
        </w:rPr>
        <w:t>OOD</w:t>
      </w:r>
      <w:r>
        <w:rPr>
          <w:color w:val="4D4D4F"/>
          <w:spacing w:val="14"/>
          <w:sz w:val="15"/>
          <w:u w:val="thick" w:color="4D4D4F"/>
        </w:rPr>
        <w:t> </w:t>
      </w:r>
      <w:r>
        <w:rPr>
          <w:color w:val="4D4D4F"/>
          <w:sz w:val="15"/>
          <w:u w:val="thick" w:color="4D4D4F"/>
        </w:rPr>
        <w:t>EXAM</w:t>
      </w:r>
      <w:r>
        <w:rPr>
          <w:color w:val="67696B"/>
          <w:sz w:val="15"/>
          <w:u w:val="thick" w:color="4D4D4F"/>
        </w:rPr>
        <w:t>P</w:t>
      </w:r>
      <w:r>
        <w:rPr>
          <w:color w:val="4D4D4F"/>
          <w:sz w:val="15"/>
          <w:u w:val="thick" w:color="4D4D4F"/>
        </w:rPr>
        <w:t>LE</w:t>
      </w:r>
    </w:p>
    <w:p>
      <w:pPr>
        <w:spacing w:line="235" w:lineRule="auto" w:before="94"/>
        <w:ind w:left="453" w:right="516" w:hanging="10"/>
        <w:jc w:val="both"/>
        <w:rPr>
          <w:b/>
          <w:sz w:val="21"/>
        </w:rPr>
      </w:pPr>
      <w:r>
        <w:rPr>
          <w:b/>
          <w:color w:val="363436"/>
          <w:w w:val="110"/>
          <w:sz w:val="21"/>
        </w:rPr>
        <w:t>Title</w:t>
      </w:r>
      <w:r>
        <w:rPr>
          <w:b/>
          <w:color w:val="363436"/>
          <w:spacing w:val="-39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VII</w:t>
      </w:r>
      <w:r>
        <w:rPr>
          <w:b/>
          <w:color w:val="363436"/>
          <w:spacing w:val="-37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does</w:t>
      </w:r>
      <w:r>
        <w:rPr>
          <w:b/>
          <w:color w:val="363436"/>
          <w:spacing w:val="-31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not</w:t>
      </w:r>
      <w:r>
        <w:rPr>
          <w:b/>
          <w:color w:val="363436"/>
          <w:spacing w:val="-21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impo</w:t>
      </w:r>
      <w:r>
        <w:rPr>
          <w:b/>
          <w:color w:val="4D4D4F"/>
          <w:w w:val="110"/>
          <w:sz w:val="21"/>
        </w:rPr>
        <w:t>s</w:t>
      </w:r>
      <w:r>
        <w:rPr>
          <w:b/>
          <w:color w:val="363436"/>
          <w:w w:val="110"/>
          <w:sz w:val="21"/>
        </w:rPr>
        <w:t>e</w:t>
      </w:r>
      <w:r>
        <w:rPr>
          <w:b/>
          <w:color w:val="363436"/>
          <w:spacing w:val="2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individual</w:t>
      </w:r>
      <w:r>
        <w:rPr>
          <w:b/>
          <w:color w:val="363436"/>
          <w:spacing w:val="-19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liability</w:t>
      </w:r>
      <w:r>
        <w:rPr>
          <w:b/>
          <w:color w:val="363436"/>
          <w:spacing w:val="-26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on</w:t>
      </w:r>
      <w:r>
        <w:rPr>
          <w:b/>
          <w:color w:val="363436"/>
          <w:spacing w:val="-6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supervisors.</w:t>
      </w:r>
      <w:r>
        <w:rPr>
          <w:b/>
          <w:color w:val="363436"/>
          <w:spacing w:val="-21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Therefore,</w:t>
      </w:r>
      <w:r>
        <w:rPr>
          <w:b/>
          <w:color w:val="363436"/>
          <w:spacing w:val="1"/>
          <w:w w:val="110"/>
          <w:sz w:val="21"/>
        </w:rPr>
        <w:t> </w:t>
      </w:r>
      <w:r>
        <w:rPr>
          <w:color w:val="363436"/>
          <w:w w:val="115"/>
          <w:sz w:val="21"/>
        </w:rPr>
        <w:t>plaintiff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has  not  alleged facts that plausibly give rise to an entitle­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ment to relief against Defendant Kobacker under Title </w:t>
      </w:r>
      <w:r>
        <w:rPr>
          <w:color w:val="363436"/>
          <w:w w:val="115"/>
          <w:sz w:val="20"/>
        </w:rPr>
        <w:t>VII, </w:t>
      </w:r>
      <w:r>
        <w:rPr>
          <w:color w:val="363436"/>
          <w:w w:val="115"/>
          <w:sz w:val="21"/>
        </w:rPr>
        <w:t>and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this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0"/>
          <w:sz w:val="21"/>
        </w:rPr>
        <w:t>court</w:t>
      </w:r>
      <w:r>
        <w:rPr>
          <w:color w:val="363436"/>
          <w:spacing w:val="-19"/>
          <w:w w:val="110"/>
          <w:sz w:val="21"/>
        </w:rPr>
        <w:t> </w:t>
      </w:r>
      <w:r>
        <w:rPr>
          <w:color w:val="4D4D4F"/>
          <w:w w:val="110"/>
          <w:sz w:val="21"/>
        </w:rPr>
        <w:t>s</w:t>
      </w:r>
      <w:r>
        <w:rPr>
          <w:color w:val="363436"/>
          <w:w w:val="110"/>
          <w:sz w:val="21"/>
        </w:rPr>
        <w:t>hould</w:t>
      </w:r>
      <w:r>
        <w:rPr>
          <w:color w:val="363436"/>
          <w:spacing w:val="29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grant</w:t>
      </w:r>
      <w:r>
        <w:rPr>
          <w:b/>
          <w:color w:val="363436"/>
          <w:spacing w:val="6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Defendant</w:t>
      </w:r>
      <w:r>
        <w:rPr>
          <w:b/>
          <w:color w:val="363436"/>
          <w:spacing w:val="23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Kobacker's</w:t>
      </w:r>
      <w:r>
        <w:rPr>
          <w:b/>
          <w:color w:val="363436"/>
          <w:spacing w:val="-1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motion</w:t>
      </w:r>
      <w:r>
        <w:rPr>
          <w:b/>
          <w:color w:val="363436"/>
          <w:spacing w:val="3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to</w:t>
      </w:r>
      <w:r>
        <w:rPr>
          <w:b/>
          <w:color w:val="363436"/>
          <w:spacing w:val="-7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dismiss</w:t>
      </w:r>
      <w:r>
        <w:rPr>
          <w:b/>
          <w:color w:val="67696B"/>
          <w:w w:val="110"/>
          <w:sz w:val="21"/>
        </w:rPr>
        <w:t>.</w:t>
      </w:r>
    </w:p>
    <w:p>
      <w:pPr>
        <w:pStyle w:val="BodyText"/>
        <w:spacing w:line="235" w:lineRule="auto" w:before="143"/>
        <w:ind w:left="144" w:right="105" w:firstLine="314"/>
        <w:jc w:val="both"/>
      </w:pPr>
      <w:r>
        <w:rPr>
          <w:color w:val="363436"/>
          <w:w w:val="115"/>
        </w:rPr>
        <w:t>You </w:t>
      </w:r>
      <w:r>
        <w:rPr>
          <w:color w:val="363436"/>
          <w:w w:val="115"/>
          <w:sz w:val="22"/>
        </w:rPr>
        <w:t>will </w:t>
      </w:r>
      <w:r>
        <w:rPr>
          <w:color w:val="363436"/>
          <w:w w:val="115"/>
        </w:rPr>
        <w:t>sometimes see flowery language in the conclusion, such as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"Counsel for the  Defendant respectfully requests that the Court grant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the motion to di</w:t>
      </w:r>
      <w:r>
        <w:rPr>
          <w:color w:val="4D4D4F"/>
          <w:w w:val="115"/>
        </w:rPr>
        <w:t>s</w:t>
      </w:r>
      <w:r>
        <w:rPr>
          <w:color w:val="363436"/>
          <w:w w:val="115"/>
        </w:rPr>
        <w:t>miss</w:t>
      </w:r>
      <w:r>
        <w:rPr>
          <w:color w:val="4D4D4F"/>
          <w:w w:val="115"/>
        </w:rPr>
        <w:t>." </w:t>
      </w:r>
      <w:r>
        <w:rPr>
          <w:color w:val="363436"/>
          <w:w w:val="115"/>
        </w:rPr>
        <w:t>Although this language probably does not hurt</w:t>
      </w:r>
      <w:r>
        <w:rPr>
          <w:color w:val="363436"/>
          <w:spacing w:val="1"/>
          <w:w w:val="115"/>
        </w:rPr>
        <w:t> </w:t>
      </w:r>
      <w:r>
        <w:rPr>
          <w:color w:val="363436"/>
          <w:spacing w:val="-1"/>
          <w:w w:val="110"/>
        </w:rPr>
        <w:t>counsel, </w:t>
      </w:r>
      <w:r>
        <w:rPr>
          <w:color w:val="363436"/>
          <w:spacing w:val="-1"/>
          <w:w w:val="110"/>
          <w:sz w:val="21"/>
        </w:rPr>
        <w:t>it </w:t>
      </w:r>
      <w:r>
        <w:rPr>
          <w:color w:val="363436"/>
          <w:spacing w:val="-1"/>
          <w:w w:val="110"/>
        </w:rPr>
        <w:t>probably do</w:t>
      </w:r>
      <w:r>
        <w:rPr>
          <w:color w:val="4D4D4F"/>
          <w:spacing w:val="-1"/>
          <w:w w:val="110"/>
        </w:rPr>
        <w:t>e</w:t>
      </w:r>
      <w:r>
        <w:rPr>
          <w:color w:val="363436"/>
          <w:spacing w:val="-1"/>
          <w:w w:val="110"/>
        </w:rPr>
        <w:t>s not help,</w:t>
      </w:r>
      <w:r>
        <w:rPr>
          <w:color w:val="67696B"/>
          <w:spacing w:val="-1"/>
          <w:w w:val="110"/>
        </w:rPr>
        <w:t>•</w:t>
      </w:r>
      <w:r>
        <w:rPr>
          <w:color w:val="4D4D4F"/>
          <w:spacing w:val="-1"/>
          <w:w w:val="110"/>
        </w:rPr>
        <w:t>e</w:t>
      </w:r>
      <w:r>
        <w:rPr>
          <w:color w:val="363436"/>
          <w:spacing w:val="-1"/>
          <w:w w:val="110"/>
        </w:rPr>
        <w:t>ither. </w:t>
      </w:r>
      <w:r>
        <w:rPr>
          <w:color w:val="363436"/>
          <w:w w:val="110"/>
        </w:rPr>
        <w:t>Because the words "respectfully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submitted" typically appear in the signature block, just below the conclu­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5"/>
        </w:rPr>
        <w:t>sion</w:t>
      </w:r>
      <w:r>
        <w:rPr>
          <w:color w:val="4D4D4F"/>
          <w:w w:val="115"/>
        </w:rPr>
        <w:t>, </w:t>
      </w:r>
      <w:r>
        <w:rPr>
          <w:color w:val="363436"/>
          <w:w w:val="115"/>
        </w:rPr>
        <w:t>there is probably no</w:t>
      </w:r>
      <w:r>
        <w:rPr>
          <w:color w:val="BABABD"/>
          <w:w w:val="115"/>
        </w:rPr>
        <w:t>-</w:t>
      </w:r>
      <w:r>
        <w:rPr>
          <w:color w:val="363436"/>
          <w:w w:val="115"/>
        </w:rPr>
        <w:t>need to use "respectfully" in the conclusion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itself.</w:t>
      </w:r>
    </w:p>
    <w:p>
      <w:pPr>
        <w:spacing w:after="0" w:line="235" w:lineRule="auto"/>
        <w:jc w:val="both"/>
        <w:sectPr>
          <w:pgSz w:w="9490" w:h="13730"/>
          <w:pgMar w:header="540" w:footer="0" w:top="1120" w:bottom="280" w:left="320" w:right="1300"/>
        </w:sectPr>
      </w:pPr>
    </w:p>
    <w:p>
      <w:pPr>
        <w:spacing w:before="81"/>
        <w:ind w:left="105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2A2828"/>
          <w:w w:val="105"/>
          <w:sz w:val="28"/>
        </w:rPr>
        <w:t>8.5.14</w:t>
      </w:r>
    </w:p>
    <w:p>
      <w:pPr>
        <w:spacing w:before="43"/>
        <w:ind w:left="1051" w:right="0" w:firstLine="0"/>
        <w:jc w:val="left"/>
        <w:rPr>
          <w:rFonts w:ascii="Arial"/>
          <w:sz w:val="22"/>
        </w:rPr>
      </w:pPr>
      <w:r>
        <w:rPr>
          <w:rFonts w:ascii="Arial"/>
          <w:color w:val="3A3838"/>
          <w:sz w:val="22"/>
        </w:rPr>
        <w:t>SIGNATURE</w:t>
      </w:r>
    </w:p>
    <w:p>
      <w:pPr>
        <w:pStyle w:val="BodyText"/>
        <w:spacing w:line="232" w:lineRule="auto" w:before="159"/>
        <w:ind w:left="590" w:right="99" w:firstLine="438"/>
        <w:jc w:val="both"/>
      </w:pPr>
      <w:r>
        <w:rPr>
          <w:color w:val="3A3838"/>
          <w:w w:val="110"/>
        </w:rPr>
        <w:t>Presume that you need to sign your document in some way. If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document is filed in paper form, presume that it must contain counsel's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original signature in ink.</w:t>
      </w:r>
      <w:r>
        <w:rPr>
          <w:color w:val="3A3838"/>
          <w:w w:val="105"/>
          <w:vertAlign w:val="superscript"/>
        </w:rPr>
        <w:t>17</w:t>
      </w:r>
      <w:r>
        <w:rPr>
          <w:color w:val="3A3838"/>
          <w:w w:val="105"/>
          <w:vertAlign w:val="baseline"/>
        </w:rPr>
        <w:t> If the document is filed </w:t>
      </w:r>
      <w:r>
        <w:rPr>
          <w:color w:val="4D4B4D"/>
          <w:w w:val="105"/>
          <w:vertAlign w:val="baseline"/>
        </w:rPr>
        <w:t>electronically, </w:t>
      </w:r>
      <w:r>
        <w:rPr>
          <w:color w:val="3A3838"/>
          <w:w w:val="105"/>
          <w:vertAlign w:val="baseline"/>
        </w:rPr>
        <w:t>the court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has probably enacted local rules </w:t>
      </w:r>
      <w:r>
        <w:rPr>
          <w:color w:val="2A2828"/>
          <w:w w:val="105"/>
          <w:vertAlign w:val="baseline"/>
        </w:rPr>
        <w:t>that </w:t>
      </w:r>
      <w:r>
        <w:rPr>
          <w:color w:val="3A3838"/>
          <w:w w:val="105"/>
          <w:vertAlign w:val="baseline"/>
        </w:rPr>
        <w:t>designate what constitutes an </w:t>
      </w:r>
      <w:r>
        <w:rPr>
          <w:color w:val="4D4B4D"/>
          <w:w w:val="105"/>
          <w:vertAlign w:val="baseline"/>
        </w:rPr>
        <w:t>"elec­</w:t>
      </w:r>
      <w:r>
        <w:rPr>
          <w:color w:val="4D4B4D"/>
          <w:spacing w:val="1"/>
          <w:w w:val="105"/>
          <w:vertAlign w:val="baseline"/>
        </w:rPr>
        <w:t> </w:t>
      </w:r>
      <w:r>
        <w:rPr>
          <w:color w:val="3A3838"/>
          <w:w w:val="110"/>
          <w:vertAlign w:val="baseline"/>
        </w:rPr>
        <w:t>tronic signature." In some jurisdictions, only those who have pre-regis­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05"/>
          <w:vertAlign w:val="baseline"/>
        </w:rPr>
        <w:t>tered with the court are allowed to file electronically; accordingly, be sure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that </w:t>
      </w:r>
      <w:r>
        <w:rPr>
          <w:color w:val="4D4B4D"/>
          <w:w w:val="105"/>
          <w:vertAlign w:val="baseline"/>
        </w:rPr>
        <w:t>you </w:t>
      </w:r>
      <w:r>
        <w:rPr>
          <w:color w:val="3A3838"/>
          <w:w w:val="105"/>
          <w:vertAlign w:val="baseline"/>
        </w:rPr>
        <w:t>understand  the particular requirements of your court well before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the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filing deadline. Do not presume that the court allows electronic filing.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The Maine Rules of Civil Procedure, for example, provide </w:t>
      </w:r>
      <w:r>
        <w:rPr>
          <w:color w:val="2A2828"/>
          <w:w w:val="105"/>
          <w:vertAlign w:val="baseline"/>
        </w:rPr>
        <w:t>that </w:t>
      </w:r>
      <w:r>
        <w:rPr>
          <w:color w:val="3A3838"/>
          <w:w w:val="105"/>
          <w:vertAlign w:val="baseline"/>
        </w:rPr>
        <w:t>"[f]ilings </w:t>
      </w:r>
      <w:r>
        <w:rPr>
          <w:rFonts w:ascii="Arial" w:hAnsi="Arial"/>
          <w:color w:val="3A3838"/>
          <w:w w:val="105"/>
          <w:sz w:val="22"/>
          <w:vertAlign w:val="baseline"/>
        </w:rPr>
        <w:t>by</w:t>
      </w:r>
      <w:r>
        <w:rPr>
          <w:rFonts w:ascii="Arial" w:hAnsi="Arial"/>
          <w:color w:val="3A3838"/>
          <w:spacing w:val="-62"/>
          <w:w w:val="105"/>
          <w:sz w:val="22"/>
          <w:vertAlign w:val="baseline"/>
        </w:rPr>
        <w:t> </w:t>
      </w:r>
      <w:r>
        <w:rPr>
          <w:color w:val="3A3838"/>
          <w:spacing w:val="-1"/>
          <w:w w:val="106"/>
          <w:vertAlign w:val="baseline"/>
        </w:rPr>
        <w:t>electroni</w:t>
      </w:r>
      <w:r>
        <w:rPr>
          <w:color w:val="3A3838"/>
          <w:w w:val="106"/>
          <w:vertAlign w:val="baseline"/>
        </w:rPr>
        <w:t>c</w:t>
      </w:r>
      <w:r>
        <w:rPr>
          <w:color w:val="3A3838"/>
          <w:spacing w:val="7"/>
          <w:vertAlign w:val="baseline"/>
        </w:rPr>
        <w:t> </w:t>
      </w:r>
      <w:r>
        <w:rPr>
          <w:color w:val="3A3838"/>
          <w:spacing w:val="-1"/>
          <w:w w:val="107"/>
          <w:vertAlign w:val="baseline"/>
        </w:rPr>
        <w:t>transmissio</w:t>
      </w:r>
      <w:r>
        <w:rPr>
          <w:color w:val="3A3838"/>
          <w:w w:val="107"/>
          <w:vertAlign w:val="baseline"/>
        </w:rPr>
        <w:t>n</w:t>
      </w:r>
      <w:r>
        <w:rPr>
          <w:color w:val="3A3838"/>
          <w:spacing w:val="19"/>
          <w:vertAlign w:val="baseline"/>
        </w:rPr>
        <w:t> </w:t>
      </w:r>
      <w:r>
        <w:rPr>
          <w:color w:val="3A3838"/>
          <w:w w:val="105"/>
          <w:vertAlign w:val="baseline"/>
        </w:rPr>
        <w:t>of</w:t>
      </w:r>
      <w:r>
        <w:rPr>
          <w:color w:val="3A3838"/>
          <w:spacing w:val="10"/>
          <w:vertAlign w:val="baseline"/>
        </w:rPr>
        <w:t> </w:t>
      </w:r>
      <w:r>
        <w:rPr>
          <w:color w:val="3A3838"/>
          <w:w w:val="113"/>
          <w:vertAlign w:val="baseline"/>
        </w:rPr>
        <w:t>data</w:t>
      </w:r>
      <w:r>
        <w:rPr>
          <w:color w:val="3A3838"/>
          <w:vertAlign w:val="baseline"/>
        </w:rPr>
        <w:t> </w:t>
      </w:r>
      <w:r>
        <w:rPr>
          <w:color w:val="2A2828"/>
          <w:w w:val="192"/>
          <w:vertAlign w:val="baseline"/>
        </w:rPr>
        <w:t>..</w:t>
      </w:r>
      <w:r>
        <w:rPr>
          <w:color w:val="4D4B4D"/>
          <w:w w:val="192"/>
          <w:vertAlign w:val="baseline"/>
        </w:rPr>
        <w:t>.</w:t>
      </w:r>
      <w:r>
        <w:rPr>
          <w:color w:val="4D4B4D"/>
          <w:spacing w:val="-7"/>
          <w:vertAlign w:val="baseline"/>
        </w:rPr>
        <w:t> </w:t>
      </w:r>
      <w:r>
        <w:rPr>
          <w:color w:val="3A3838"/>
          <w:w w:val="192"/>
          <w:vertAlign w:val="baseline"/>
        </w:rPr>
        <w:t>o</w:t>
      </w:r>
      <w:r>
        <w:rPr>
          <w:color w:val="3A3838"/>
          <w:spacing w:val="-90"/>
          <w:w w:val="192"/>
          <w:vertAlign w:val="baseline"/>
        </w:rPr>
        <w:t>r</w:t>
      </w:r>
      <w:r>
        <w:rPr>
          <w:color w:val="3A3838"/>
          <w:spacing w:val="-1"/>
          <w:w w:val="192"/>
          <w:vertAlign w:val="baseline"/>
        </w:rPr>
        <w:t>an</w:t>
      </w:r>
      <w:r>
        <w:rPr>
          <w:color w:val="3A3838"/>
          <w:spacing w:val="-197"/>
          <w:w w:val="192"/>
          <w:vertAlign w:val="baseline"/>
        </w:rPr>
        <w:t>y</w:t>
      </w:r>
      <w:r>
        <w:rPr>
          <w:color w:val="3A3838"/>
          <w:w w:val="118"/>
          <w:vertAlign w:val="baseline"/>
        </w:rPr>
        <w:t>other</w:t>
      </w:r>
      <w:r>
        <w:rPr>
          <w:color w:val="3A3838"/>
          <w:spacing w:val="-5"/>
          <w:vertAlign w:val="baseline"/>
        </w:rPr>
        <w:t> </w:t>
      </w:r>
      <w:r>
        <w:rPr>
          <w:color w:val="3A3838"/>
          <w:spacing w:val="-1"/>
          <w:w w:val="114"/>
          <w:vertAlign w:val="baseline"/>
        </w:rPr>
        <w:t>metho</w:t>
      </w:r>
      <w:r>
        <w:rPr>
          <w:color w:val="3A3838"/>
          <w:w w:val="114"/>
          <w:vertAlign w:val="baseline"/>
        </w:rPr>
        <w:t>d</w:t>
      </w:r>
      <w:r>
        <w:rPr>
          <w:color w:val="3A3838"/>
          <w:spacing w:val="24"/>
          <w:vertAlign w:val="baseline"/>
        </w:rPr>
        <w:t> </w:t>
      </w:r>
      <w:r>
        <w:rPr>
          <w:color w:val="3A3838"/>
          <w:w w:val="114"/>
          <w:vertAlign w:val="baseline"/>
        </w:rPr>
        <w:t>for</w:t>
      </w:r>
      <w:r>
        <w:rPr>
          <w:color w:val="3A3838"/>
          <w:spacing w:val="-8"/>
          <w:vertAlign w:val="baseline"/>
        </w:rPr>
        <w:t> </w:t>
      </w:r>
      <w:r>
        <w:rPr>
          <w:color w:val="3A3838"/>
          <w:spacing w:val="-1"/>
          <w:w w:val="109"/>
          <w:vertAlign w:val="baseline"/>
        </w:rPr>
        <w:t>electroni</w:t>
      </w:r>
      <w:r>
        <w:rPr>
          <w:color w:val="3A3838"/>
          <w:w w:val="109"/>
          <w:vertAlign w:val="baseline"/>
        </w:rPr>
        <w:t>c</w:t>
      </w:r>
      <w:r>
        <w:rPr>
          <w:color w:val="3A3838"/>
          <w:spacing w:val="-7"/>
          <w:vertAlign w:val="baseline"/>
        </w:rPr>
        <w:t> </w:t>
      </w:r>
      <w:r>
        <w:rPr>
          <w:color w:val="3A3838"/>
          <w:w w:val="102"/>
          <w:vertAlign w:val="baseline"/>
        </w:rPr>
        <w:t>or </w:t>
      </w:r>
      <w:r>
        <w:rPr>
          <w:color w:val="3A3838"/>
          <w:w w:val="105"/>
          <w:vertAlign w:val="baseline"/>
        </w:rPr>
        <w:t>internet</w:t>
      </w:r>
      <w:r>
        <w:rPr>
          <w:color w:val="3A3838"/>
          <w:spacing w:val="23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filing</w:t>
      </w:r>
      <w:r>
        <w:rPr>
          <w:color w:val="3A3838"/>
          <w:spacing w:val="-4"/>
          <w:w w:val="105"/>
          <w:vertAlign w:val="baseline"/>
        </w:rPr>
        <w:t> </w:t>
      </w:r>
      <w:r>
        <w:rPr>
          <w:color w:val="4D4B4D"/>
          <w:w w:val="105"/>
          <w:vertAlign w:val="baseline"/>
        </w:rPr>
        <w:t>in</w:t>
      </w:r>
      <w:r>
        <w:rPr>
          <w:color w:val="4D4B4D"/>
          <w:spacing w:val="47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place</w:t>
      </w:r>
      <w:r>
        <w:rPr>
          <w:color w:val="3A3838"/>
          <w:spacing w:val="-7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of</w:t>
      </w:r>
      <w:r>
        <w:rPr>
          <w:color w:val="3A3838"/>
          <w:spacing w:val="33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the</w:t>
      </w:r>
      <w:r>
        <w:rPr>
          <w:color w:val="3A3838"/>
          <w:spacing w:val="43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filing</w:t>
      </w:r>
      <w:r>
        <w:rPr>
          <w:color w:val="3A3838"/>
          <w:spacing w:val="6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of</w:t>
      </w:r>
      <w:r>
        <w:rPr>
          <w:color w:val="3A3838"/>
          <w:spacing w:val="36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paper</w:t>
      </w:r>
      <w:r>
        <w:rPr>
          <w:color w:val="3A3838"/>
          <w:spacing w:val="7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documents</w:t>
      </w:r>
      <w:r>
        <w:rPr>
          <w:color w:val="3A3838"/>
          <w:spacing w:val="16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required</w:t>
      </w:r>
      <w:r>
        <w:rPr>
          <w:color w:val="3A3838"/>
          <w:spacing w:val="41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by</w:t>
      </w:r>
      <w:r>
        <w:rPr>
          <w:color w:val="3A3838"/>
          <w:spacing w:val="4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these</w:t>
      </w:r>
    </w:p>
    <w:p>
      <w:pPr>
        <w:pStyle w:val="BodyText"/>
        <w:spacing w:line="261" w:lineRule="exact"/>
        <w:ind w:left="587"/>
      </w:pPr>
      <w:r>
        <w:rPr>
          <w:color w:val="3A3838"/>
        </w:rPr>
        <w:t>rules, is</w:t>
      </w:r>
      <w:r>
        <w:rPr>
          <w:color w:val="3A3838"/>
          <w:spacing w:val="22"/>
        </w:rPr>
        <w:t> </w:t>
      </w:r>
      <w:r>
        <w:rPr>
          <w:color w:val="3A3838"/>
        </w:rPr>
        <w:t>not</w:t>
      </w:r>
      <w:r>
        <w:rPr>
          <w:color w:val="3A3838"/>
          <w:spacing w:val="13"/>
        </w:rPr>
        <w:t> </w:t>
      </w:r>
      <w:r>
        <w:rPr>
          <w:color w:val="3A3838"/>
        </w:rPr>
        <w:t>permitted."</w:t>
      </w:r>
      <w:r>
        <w:rPr>
          <w:color w:val="3A3838"/>
          <w:position w:val="10"/>
        </w:rPr>
        <w:t>18</w:t>
      </w:r>
    </w:p>
    <w:p>
      <w:pPr>
        <w:pStyle w:val="BodyText"/>
        <w:spacing w:line="232" w:lineRule="auto"/>
        <w:ind w:left="533" w:right="143" w:firstLine="390"/>
        <w:jc w:val="both"/>
      </w:pPr>
      <w:r>
        <w:rPr>
          <w:color w:val="3A3838"/>
          <w:w w:val="105"/>
        </w:rPr>
        <w:t>Whether your signature </w:t>
      </w:r>
      <w:r>
        <w:rPr>
          <w:color w:val="2A2828"/>
          <w:w w:val="105"/>
        </w:rPr>
        <w:t>is </w:t>
      </w:r>
      <w:r>
        <w:rPr>
          <w:color w:val="3A3838"/>
          <w:w w:val="105"/>
        </w:rPr>
        <w:t>manual or electronic, be sure you are aware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of other requirements. Some courts may require you to include your bar</w:t>
      </w:r>
      <w:r>
        <w:rPr>
          <w:color w:val="3A3838"/>
          <w:spacing w:val="1"/>
          <w:w w:val="110"/>
        </w:rPr>
        <w:t> </w:t>
      </w:r>
      <w:r>
        <w:rPr>
          <w:color w:val="2A2828"/>
          <w:w w:val="105"/>
        </w:rPr>
        <w:t>registration </w:t>
      </w:r>
      <w:r>
        <w:rPr>
          <w:color w:val="3A3838"/>
          <w:w w:val="105"/>
        </w:rPr>
        <w:t>number, your address and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phone number, your </w:t>
      </w:r>
      <w:r>
        <w:rPr>
          <w:color w:val="4D4B4D"/>
          <w:w w:val="105"/>
        </w:rPr>
        <w:t>e-mail </w:t>
      </w:r>
      <w:r>
        <w:rPr>
          <w:color w:val="3A3838"/>
          <w:w w:val="105"/>
        </w:rPr>
        <w:t>address,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or all of the </w:t>
      </w:r>
      <w:r>
        <w:rPr>
          <w:color w:val="4D4B4D"/>
          <w:w w:val="110"/>
        </w:rPr>
        <w:t>above. </w:t>
      </w:r>
      <w:r>
        <w:rPr>
          <w:color w:val="3A3838"/>
          <w:w w:val="110"/>
        </w:rPr>
        <w:t>No matter the signature requirements, </w:t>
      </w:r>
      <w:r>
        <w:rPr>
          <w:color w:val="4D4B4D"/>
          <w:w w:val="110"/>
        </w:rPr>
        <w:t>you </w:t>
      </w:r>
      <w:r>
        <w:rPr>
          <w:color w:val="3A3838"/>
          <w:w w:val="110"/>
        </w:rPr>
        <w:t>should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0"/>
        </w:rPr>
        <w:t>include</w:t>
      </w:r>
      <w:r>
        <w:rPr>
          <w:color w:val="3A3838"/>
          <w:spacing w:val="-2"/>
          <w:w w:val="110"/>
        </w:rPr>
        <w:t> </w:t>
      </w:r>
      <w:r>
        <w:rPr>
          <w:color w:val="3A3838"/>
          <w:spacing w:val="-1"/>
          <w:w w:val="110"/>
        </w:rPr>
        <w:t>the</w:t>
      </w:r>
      <w:r>
        <w:rPr>
          <w:color w:val="3A3838"/>
          <w:spacing w:val="18"/>
          <w:w w:val="110"/>
        </w:rPr>
        <w:t> </w:t>
      </w:r>
      <w:r>
        <w:rPr>
          <w:color w:val="2A2828"/>
          <w:spacing w:val="-1"/>
          <w:w w:val="110"/>
        </w:rPr>
        <w:t>phrase</w:t>
      </w:r>
      <w:r>
        <w:rPr>
          <w:color w:val="2A2828"/>
          <w:spacing w:val="-15"/>
          <w:w w:val="110"/>
        </w:rPr>
        <w:t> </w:t>
      </w:r>
      <w:r>
        <w:rPr>
          <w:color w:val="3A3838"/>
          <w:spacing w:val="-1"/>
          <w:w w:val="110"/>
        </w:rPr>
        <w:t>"Respectfully</w:t>
      </w:r>
      <w:r>
        <w:rPr>
          <w:color w:val="3A3838"/>
          <w:spacing w:val="3"/>
          <w:w w:val="110"/>
        </w:rPr>
        <w:t> </w:t>
      </w:r>
      <w:r>
        <w:rPr>
          <w:color w:val="3A3838"/>
          <w:spacing w:val="-1"/>
          <w:w w:val="110"/>
        </w:rPr>
        <w:t>submitted"</w:t>
      </w:r>
      <w:r>
        <w:rPr>
          <w:color w:val="3A3838"/>
          <w:spacing w:val="-11"/>
          <w:w w:val="110"/>
        </w:rPr>
        <w:t> </w:t>
      </w:r>
      <w:r>
        <w:rPr>
          <w:color w:val="3A3838"/>
          <w:spacing w:val="-1"/>
          <w:w w:val="110"/>
        </w:rPr>
        <w:t>before</w:t>
      </w:r>
      <w:r>
        <w:rPr>
          <w:color w:val="3A3838"/>
          <w:spacing w:val="-7"/>
          <w:w w:val="110"/>
        </w:rPr>
        <w:t> </w:t>
      </w:r>
      <w:r>
        <w:rPr>
          <w:color w:val="3A3838"/>
          <w:spacing w:val="-1"/>
          <w:w w:val="110"/>
        </w:rPr>
        <w:t>the</w:t>
      </w:r>
      <w:r>
        <w:rPr>
          <w:color w:val="3A3838"/>
          <w:spacing w:val="14"/>
          <w:w w:val="110"/>
        </w:rPr>
        <w:t> </w:t>
      </w:r>
      <w:r>
        <w:rPr>
          <w:color w:val="3A3838"/>
          <w:spacing w:val="-1"/>
          <w:w w:val="110"/>
        </w:rPr>
        <w:t>signature</w:t>
      </w:r>
      <w:r>
        <w:rPr>
          <w:color w:val="3A3838"/>
          <w:spacing w:val="-5"/>
          <w:w w:val="110"/>
        </w:rPr>
        <w:t> </w:t>
      </w:r>
      <w:r>
        <w:rPr>
          <w:color w:val="3A3838"/>
          <w:spacing w:val="-1"/>
          <w:w w:val="110"/>
        </w:rPr>
        <w:t>line.</w:t>
      </w:r>
    </w:p>
    <w:p>
      <w:pPr>
        <w:pStyle w:val="BodyText"/>
        <w:spacing w:before="10"/>
        <w:rPr>
          <w:sz w:val="31"/>
        </w:rPr>
      </w:pPr>
    </w:p>
    <w:p>
      <w:pPr>
        <w:spacing w:before="1"/>
        <w:ind w:left="867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A3838"/>
          <w:w w:val="105"/>
          <w:sz w:val="28"/>
        </w:rPr>
        <w:t>8.5.15</w:t>
      </w:r>
    </w:p>
    <w:p>
      <w:pPr>
        <w:spacing w:before="52"/>
        <w:ind w:left="867" w:right="0" w:firstLine="0"/>
        <w:jc w:val="left"/>
        <w:rPr>
          <w:rFonts w:ascii="Arial"/>
          <w:sz w:val="22"/>
        </w:rPr>
      </w:pPr>
      <w:r>
        <w:rPr>
          <w:rFonts w:ascii="Arial"/>
          <w:color w:val="2A2828"/>
          <w:w w:val="95"/>
          <w:sz w:val="22"/>
        </w:rPr>
        <w:t>CERTIFICATE</w:t>
      </w:r>
      <w:r>
        <w:rPr>
          <w:rFonts w:ascii="Arial"/>
          <w:color w:val="2A2828"/>
          <w:spacing w:val="10"/>
          <w:w w:val="95"/>
          <w:sz w:val="22"/>
        </w:rPr>
        <w:t> </w:t>
      </w:r>
      <w:r>
        <w:rPr>
          <w:rFonts w:ascii="Arial"/>
          <w:color w:val="3A3838"/>
          <w:w w:val="95"/>
          <w:sz w:val="22"/>
        </w:rPr>
        <w:t>OF</w:t>
      </w:r>
      <w:r>
        <w:rPr>
          <w:rFonts w:ascii="Arial"/>
          <w:color w:val="3A3838"/>
          <w:spacing w:val="-6"/>
          <w:w w:val="95"/>
          <w:sz w:val="22"/>
        </w:rPr>
        <w:t> </w:t>
      </w:r>
      <w:r>
        <w:rPr>
          <w:rFonts w:ascii="Arial"/>
          <w:color w:val="3A3838"/>
          <w:w w:val="95"/>
          <w:sz w:val="22"/>
        </w:rPr>
        <w:t>SERVICE</w:t>
      </w:r>
    </w:p>
    <w:p>
      <w:pPr>
        <w:pStyle w:val="BodyText"/>
        <w:spacing w:line="232" w:lineRule="auto" w:before="178"/>
        <w:ind w:left="462" w:right="158" w:firstLine="402"/>
        <w:jc w:val="both"/>
      </w:pPr>
      <w:r>
        <w:rPr>
          <w:color w:val="3A3838"/>
          <w:w w:val="110"/>
        </w:rPr>
        <w:t>Most courts </w:t>
      </w:r>
      <w:r>
        <w:rPr>
          <w:color w:val="2A2828"/>
          <w:w w:val="110"/>
        </w:rPr>
        <w:t>require </w:t>
      </w:r>
      <w:r>
        <w:rPr>
          <w:color w:val="3A3838"/>
          <w:w w:val="110"/>
        </w:rPr>
        <w:t>that </w:t>
      </w:r>
      <w:r>
        <w:rPr>
          <w:color w:val="2A2828"/>
          <w:w w:val="110"/>
        </w:rPr>
        <w:t>litigants </w:t>
      </w:r>
      <w:r>
        <w:rPr>
          <w:color w:val="3A3838"/>
          <w:w w:val="110"/>
        </w:rPr>
        <w:t>who serve papers on the court also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certify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they</w:t>
      </w:r>
      <w:r>
        <w:rPr>
          <w:color w:val="3A3838"/>
          <w:spacing w:val="-14"/>
          <w:w w:val="110"/>
        </w:rPr>
        <w:t> </w:t>
      </w:r>
      <w:r>
        <w:rPr>
          <w:color w:val="3A3838"/>
          <w:w w:val="110"/>
        </w:rPr>
        <w:t>have</w:t>
      </w:r>
      <w:r>
        <w:rPr>
          <w:color w:val="3A3838"/>
          <w:spacing w:val="-33"/>
          <w:w w:val="110"/>
        </w:rPr>
        <w:t> </w:t>
      </w:r>
      <w:r>
        <w:rPr>
          <w:color w:val="3A3838"/>
          <w:w w:val="110"/>
        </w:rPr>
        <w:t>served</w:t>
      </w:r>
      <w:r>
        <w:rPr>
          <w:color w:val="3A3838"/>
          <w:spacing w:val="-15"/>
          <w:w w:val="110"/>
        </w:rPr>
        <w:t> </w:t>
      </w:r>
      <w:r>
        <w:rPr>
          <w:color w:val="3A3838"/>
          <w:w w:val="110"/>
        </w:rPr>
        <w:t>copies</w:t>
      </w:r>
      <w:r>
        <w:rPr>
          <w:color w:val="3A3838"/>
          <w:spacing w:val="-26"/>
          <w:w w:val="110"/>
        </w:rPr>
        <w:t> </w:t>
      </w:r>
      <w:r>
        <w:rPr>
          <w:color w:val="3A3838"/>
          <w:w w:val="110"/>
        </w:rPr>
        <w:t>of thosedocuments</w:t>
      </w:r>
      <w:r>
        <w:rPr>
          <w:color w:val="3A3838"/>
          <w:spacing w:val="-36"/>
          <w:w w:val="110"/>
        </w:rPr>
        <w:t> </w:t>
      </w:r>
      <w:r>
        <w:rPr>
          <w:color w:val="3A3838"/>
          <w:w w:val="110"/>
        </w:rPr>
        <w:t>on</w:t>
      </w:r>
      <w:r>
        <w:rPr>
          <w:color w:val="3A3838"/>
          <w:spacing w:val="9"/>
          <w:w w:val="110"/>
        </w:rPr>
        <w:t> </w:t>
      </w:r>
      <w:r>
        <w:rPr>
          <w:color w:val="3A3838"/>
          <w:w w:val="110"/>
        </w:rPr>
        <w:t>opposing</w:t>
      </w:r>
      <w:r>
        <w:rPr>
          <w:color w:val="3A3838"/>
          <w:spacing w:val="-30"/>
          <w:w w:val="110"/>
        </w:rPr>
        <w:t> </w:t>
      </w:r>
      <w:r>
        <w:rPr>
          <w:color w:val="3A3838"/>
          <w:w w:val="110"/>
        </w:rPr>
        <w:t>coun­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sel.19 In  this way, the  court ensures </w:t>
      </w:r>
      <w:r>
        <w:rPr>
          <w:color w:val="2A2828"/>
          <w:w w:val="105"/>
        </w:rPr>
        <w:t>that </w:t>
      </w:r>
      <w:r>
        <w:rPr>
          <w:color w:val="3A3838"/>
          <w:w w:val="105"/>
        </w:rPr>
        <w:t>all litigants have </w:t>
      </w:r>
      <w:r>
        <w:rPr>
          <w:color w:val="4D4B4D"/>
          <w:w w:val="105"/>
        </w:rPr>
        <w:t>copies </w:t>
      </w:r>
      <w:r>
        <w:rPr>
          <w:color w:val="3A3838"/>
          <w:w w:val="105"/>
        </w:rPr>
        <w:t>of all of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documents in the case. </w:t>
      </w:r>
      <w:r>
        <w:rPr>
          <w:color w:val="2A2828"/>
          <w:w w:val="105"/>
        </w:rPr>
        <w:t>In </w:t>
      </w:r>
      <w:r>
        <w:rPr>
          <w:color w:val="3A3838"/>
          <w:w w:val="105"/>
        </w:rPr>
        <w:t>general, the certificate should describe how</w:t>
      </w:r>
      <w:r>
        <w:rPr>
          <w:color w:val="3A3838"/>
          <w:spacing w:val="1"/>
          <w:w w:val="105"/>
        </w:rPr>
        <w:t> </w:t>
      </w:r>
      <w:r>
        <w:rPr>
          <w:color w:val="3A3838"/>
          <w:spacing w:val="-1"/>
          <w:w w:val="110"/>
        </w:rPr>
        <w:t>service </w:t>
      </w:r>
      <w:r>
        <w:rPr>
          <w:color w:val="3A3838"/>
          <w:w w:val="110"/>
        </w:rPr>
        <w:t>was accomplished. If you hand deliver the document to opposing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counsel's office, the certificate should say so and list the address. If the</w:t>
      </w:r>
      <w:r>
        <w:rPr>
          <w:color w:val="3A3838"/>
          <w:spacing w:val="1"/>
          <w:w w:val="110"/>
        </w:rPr>
        <w:t> </w:t>
      </w:r>
      <w:r>
        <w:rPr>
          <w:color w:val="2A2828"/>
          <w:w w:val="110"/>
        </w:rPr>
        <w:t>brief </w:t>
      </w:r>
      <w:r>
        <w:rPr>
          <w:color w:val="3A3838"/>
          <w:w w:val="110"/>
        </w:rPr>
        <w:t>is filed electronically, the certificate may be filed electronically as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well; as always, consult local rules to find out the particulars. The sample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briefs</w:t>
      </w:r>
      <w:r>
        <w:rPr>
          <w:color w:val="3A3838"/>
          <w:spacing w:val="9"/>
          <w:w w:val="105"/>
        </w:rPr>
        <w:t> </w:t>
      </w:r>
      <w:r>
        <w:rPr>
          <w:color w:val="3A3838"/>
          <w:w w:val="105"/>
          <w:sz w:val="21"/>
        </w:rPr>
        <w:t>in</w:t>
      </w:r>
      <w:r>
        <w:rPr>
          <w:color w:val="3A3838"/>
          <w:spacing w:val="53"/>
          <w:w w:val="105"/>
          <w:sz w:val="21"/>
        </w:rPr>
        <w:t> </w:t>
      </w:r>
      <w:r>
        <w:rPr>
          <w:color w:val="3A3838"/>
          <w:w w:val="105"/>
        </w:rPr>
        <w:t>Appendix</w:t>
      </w:r>
      <w:r>
        <w:rPr>
          <w:color w:val="3A3838"/>
          <w:spacing w:val="6"/>
          <w:w w:val="105"/>
        </w:rPr>
        <w:t> </w:t>
      </w:r>
      <w:r>
        <w:rPr>
          <w:color w:val="3A3838"/>
          <w:w w:val="105"/>
        </w:rPr>
        <w:t>C contain</w:t>
      </w:r>
      <w:r>
        <w:rPr>
          <w:color w:val="3A3838"/>
          <w:spacing w:val="2"/>
          <w:w w:val="105"/>
        </w:rPr>
        <w:t> </w:t>
      </w:r>
      <w:r>
        <w:rPr>
          <w:color w:val="3A3838"/>
          <w:w w:val="105"/>
        </w:rPr>
        <w:t>examples</w:t>
      </w:r>
      <w:r>
        <w:rPr>
          <w:color w:val="3A3838"/>
          <w:spacing w:val="-14"/>
          <w:w w:val="105"/>
        </w:rPr>
        <w:t> </w:t>
      </w:r>
      <w:r>
        <w:rPr>
          <w:color w:val="3A3838"/>
          <w:w w:val="105"/>
        </w:rPr>
        <w:t>of</w:t>
      </w:r>
      <w:r>
        <w:rPr>
          <w:color w:val="3A3838"/>
          <w:spacing w:val="13"/>
          <w:w w:val="105"/>
        </w:rPr>
        <w:t> </w:t>
      </w:r>
      <w:r>
        <w:rPr>
          <w:color w:val="3A3838"/>
          <w:w w:val="105"/>
        </w:rPr>
        <w:t>a certificate of</w:t>
      </w:r>
      <w:r>
        <w:rPr>
          <w:color w:val="3A3838"/>
          <w:spacing w:val="10"/>
          <w:w w:val="105"/>
        </w:rPr>
        <w:t> </w:t>
      </w:r>
      <w:r>
        <w:rPr>
          <w:color w:val="3A3838"/>
          <w:w w:val="105"/>
        </w:rPr>
        <w:t>service.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1"/>
        </w:rPr>
      </w:pPr>
    </w:p>
    <w:p>
      <w:pPr>
        <w:tabs>
          <w:tab w:pos="4252" w:val="left" w:leader="none"/>
        </w:tabs>
        <w:spacing w:line="228" w:lineRule="auto" w:before="0"/>
        <w:ind w:left="351" w:right="204" w:firstLine="398"/>
        <w:jc w:val="both"/>
        <w:rPr>
          <w:sz w:val="18"/>
        </w:rPr>
      </w:pPr>
      <w:r>
        <w:rPr>
          <w:color w:val="3A3838"/>
          <w:w w:val="105"/>
          <w:position w:val="5"/>
          <w:sz w:val="11"/>
        </w:rPr>
        <w:t>1</w:t>
      </w:r>
      <w:r>
        <w:rPr>
          <w:color w:val="3A3838"/>
          <w:w w:val="105"/>
          <w:sz w:val="11"/>
        </w:rPr>
        <w:t>' </w:t>
      </w:r>
      <w:r>
        <w:rPr>
          <w:rFonts w:ascii="Arial" w:hAnsi="Arial"/>
          <w:i/>
          <w:color w:val="3A3838"/>
          <w:w w:val="105"/>
          <w:sz w:val="17"/>
        </w:rPr>
        <w:t>E</w:t>
      </w:r>
      <w:r>
        <w:rPr>
          <w:rFonts w:ascii="Arial" w:hAnsi="Arial"/>
          <w:i/>
          <w:color w:val="5D5D60"/>
          <w:w w:val="105"/>
          <w:sz w:val="17"/>
        </w:rPr>
        <w:t>.</w:t>
      </w:r>
      <w:r>
        <w:rPr>
          <w:rFonts w:ascii="Arial" w:hAnsi="Arial"/>
          <w:i/>
          <w:color w:val="3A3838"/>
          <w:w w:val="105"/>
          <w:sz w:val="17"/>
        </w:rPr>
        <w:t>g., </w:t>
      </w:r>
      <w:r>
        <w:rPr>
          <w:color w:val="3A3838"/>
          <w:w w:val="105"/>
          <w:sz w:val="18"/>
        </w:rPr>
        <w:t>Rule 5.1(8)(5), Rules of the United States Dlstlict </w:t>
      </w:r>
      <w:r>
        <w:rPr>
          <w:color w:val="4D4B4D"/>
          <w:w w:val="105"/>
          <w:sz w:val="18"/>
        </w:rPr>
        <w:t>Court </w:t>
      </w:r>
      <w:r>
        <w:rPr>
          <w:color w:val="3A3838"/>
          <w:w w:val="105"/>
          <w:sz w:val="18"/>
        </w:rPr>
        <w:t>for the Northern District of</w:t>
      </w:r>
      <w:r>
        <w:rPr>
          <w:color w:val="3A3838"/>
          <w:spacing w:val="1"/>
          <w:w w:val="105"/>
          <w:sz w:val="18"/>
        </w:rPr>
        <w:t> </w:t>
      </w:r>
      <w:r>
        <w:rPr>
          <w:color w:val="3A3838"/>
          <w:w w:val="105"/>
          <w:sz w:val="18"/>
        </w:rPr>
        <w:t>Florida,</w:t>
      </w:r>
      <w:r>
        <w:rPr>
          <w:color w:val="3A3838"/>
          <w:spacing w:val="1"/>
          <w:w w:val="105"/>
          <w:sz w:val="18"/>
        </w:rPr>
        <w:t> </w:t>
      </w:r>
      <w:r>
        <w:rPr>
          <w:color w:val="3A3838"/>
          <w:w w:val="105"/>
          <w:sz w:val="18"/>
        </w:rPr>
        <w:t>available</w:t>
      </w:r>
      <w:r>
        <w:rPr>
          <w:color w:val="3A3838"/>
          <w:spacing w:val="1"/>
          <w:w w:val="105"/>
          <w:sz w:val="18"/>
        </w:rPr>
        <w:t> </w:t>
      </w:r>
      <w:r>
        <w:rPr>
          <w:color w:val="3A3838"/>
          <w:w w:val="105"/>
          <w:sz w:val="18"/>
        </w:rPr>
        <w:t>at</w:t>
      </w:r>
      <w:r>
        <w:rPr>
          <w:color w:val="3A3838"/>
          <w:spacing w:val="1"/>
          <w:w w:val="105"/>
          <w:sz w:val="18"/>
        </w:rPr>
        <w:t> </w:t>
      </w:r>
      <w:hyperlink r:id="rId211">
        <w:r>
          <w:rPr>
            <w:color w:val="3A3838"/>
            <w:w w:val="105"/>
            <w:sz w:val="18"/>
          </w:rPr>
          <w:t>http://www.flnd.uscourts.gov/forms/Court%20Rules/local_rules.pdf</w:t>
        </w:r>
      </w:hyperlink>
      <w:r>
        <w:rPr>
          <w:color w:val="3A3838"/>
          <w:spacing w:val="1"/>
          <w:w w:val="105"/>
          <w:sz w:val="18"/>
        </w:rPr>
        <w:t> </w:t>
      </w:r>
      <w:r>
        <w:rPr>
          <w:color w:val="4D4B4D"/>
          <w:w w:val="105"/>
          <w:sz w:val="18"/>
        </w:rPr>
        <w:t>(last</w:t>
      </w:r>
      <w:r>
        <w:rPr>
          <w:color w:val="4D4B4D"/>
          <w:spacing w:val="1"/>
          <w:w w:val="105"/>
          <w:sz w:val="18"/>
        </w:rPr>
        <w:t> </w:t>
      </w:r>
      <w:r>
        <w:rPr>
          <w:color w:val="3A3838"/>
          <w:w w:val="105"/>
          <w:sz w:val="18"/>
        </w:rPr>
        <w:t>accessed</w:t>
      </w:r>
      <w:r>
        <w:rPr>
          <w:color w:val="3A3838"/>
          <w:spacing w:val="1"/>
          <w:w w:val="105"/>
          <w:sz w:val="18"/>
        </w:rPr>
        <w:t> </w:t>
      </w:r>
      <w:r>
        <w:rPr>
          <w:color w:val="3A3838"/>
          <w:w w:val="105"/>
          <w:sz w:val="18"/>
        </w:rPr>
        <w:t>Jan</w:t>
      </w:r>
      <w:r>
        <w:rPr>
          <w:color w:val="5D5D60"/>
          <w:w w:val="105"/>
          <w:sz w:val="18"/>
        </w:rPr>
        <w:t>.</w:t>
      </w:r>
      <w:r>
        <w:rPr>
          <w:color w:val="5D5D60"/>
          <w:spacing w:val="-1"/>
          <w:w w:val="105"/>
          <w:sz w:val="18"/>
        </w:rPr>
        <w:t> </w:t>
      </w:r>
      <w:r>
        <w:rPr>
          <w:color w:val="3A3838"/>
          <w:w w:val="105"/>
          <w:sz w:val="18"/>
        </w:rPr>
        <w:t>25,</w:t>
      </w:r>
      <w:r>
        <w:rPr>
          <w:color w:val="3A3838"/>
          <w:spacing w:val="3"/>
          <w:w w:val="105"/>
          <w:sz w:val="18"/>
        </w:rPr>
        <w:t> </w:t>
      </w:r>
      <w:r>
        <w:rPr>
          <w:color w:val="3A3838"/>
          <w:w w:val="105"/>
          <w:sz w:val="18"/>
        </w:rPr>
        <w:t>2014).</w:t>
        <w:tab/>
      </w:r>
      <w:r>
        <w:rPr>
          <w:color w:val="B3B5B6"/>
          <w:w w:val="105"/>
          <w:sz w:val="18"/>
        </w:rPr>
        <w:t>·</w:t>
      </w:r>
    </w:p>
    <w:p>
      <w:pPr>
        <w:spacing w:line="201" w:lineRule="auto" w:before="26"/>
        <w:ind w:left="335" w:right="224" w:firstLine="394"/>
        <w:jc w:val="both"/>
        <w:rPr>
          <w:sz w:val="18"/>
        </w:rPr>
      </w:pPr>
      <w:r>
        <w:rPr>
          <w:color w:val="4D4B4D"/>
          <w:w w:val="105"/>
          <w:position w:val="5"/>
          <w:sz w:val="11"/>
        </w:rPr>
        <w:t>11</w:t>
      </w:r>
      <w:r>
        <w:rPr>
          <w:color w:val="4D4B4D"/>
          <w:w w:val="105"/>
          <w:sz w:val="18"/>
        </w:rPr>
        <w:t>Me</w:t>
      </w:r>
      <w:r>
        <w:rPr>
          <w:color w:val="6D6E70"/>
          <w:w w:val="105"/>
          <w:sz w:val="18"/>
        </w:rPr>
        <w:t>. </w:t>
      </w:r>
      <w:r>
        <w:rPr>
          <w:rFonts w:ascii="Arial"/>
          <w:color w:val="3A3838"/>
          <w:w w:val="105"/>
          <w:sz w:val="16"/>
        </w:rPr>
        <w:t>R. </w:t>
      </w:r>
      <w:r>
        <w:rPr>
          <w:color w:val="3A3838"/>
          <w:w w:val="105"/>
          <w:sz w:val="18"/>
        </w:rPr>
        <w:t>Clv. P. 5(k), available</w:t>
      </w:r>
      <w:r>
        <w:rPr>
          <w:color w:val="3A3838"/>
          <w:spacing w:val="1"/>
          <w:w w:val="105"/>
          <w:sz w:val="18"/>
        </w:rPr>
        <w:t> </w:t>
      </w:r>
      <w:r>
        <w:rPr>
          <w:color w:val="3A3838"/>
          <w:w w:val="105"/>
          <w:sz w:val="18"/>
        </w:rPr>
        <w:t>at</w:t>
      </w:r>
      <w:r>
        <w:rPr>
          <w:color w:val="3A3838"/>
          <w:spacing w:val="1"/>
          <w:w w:val="105"/>
          <w:sz w:val="18"/>
        </w:rPr>
        <w:t> </w:t>
      </w:r>
      <w:hyperlink r:id="rId212">
        <w:r>
          <w:rPr>
            <w:color w:val="3A3838"/>
            <w:w w:val="105"/>
            <w:sz w:val="18"/>
          </w:rPr>
          <w:t>http://www</w:t>
        </w:r>
        <w:r>
          <w:rPr>
            <w:color w:val="5D5D60"/>
            <w:w w:val="105"/>
            <w:sz w:val="18"/>
          </w:rPr>
          <w:t>.</w:t>
        </w:r>
        <w:r>
          <w:rPr>
            <w:color w:val="3A3838"/>
            <w:w w:val="105"/>
            <w:sz w:val="18"/>
          </w:rPr>
          <w:t>couns.state.me.us/rules</w:t>
        </w:r>
        <w:r>
          <w:rPr>
            <w:color w:val="6D6E70"/>
            <w:w w:val="105"/>
            <w:sz w:val="18"/>
          </w:rPr>
          <w:t>_</w:t>
        </w:r>
        <w:r>
          <w:rPr>
            <w:color w:val="3A3838"/>
            <w:w w:val="105"/>
            <w:sz w:val="18"/>
          </w:rPr>
          <w:t>admlnorders/rules/</w:t>
        </w:r>
      </w:hyperlink>
      <w:r>
        <w:rPr>
          <w:color w:val="3A3838"/>
          <w:spacing w:val="1"/>
          <w:w w:val="105"/>
          <w:sz w:val="18"/>
        </w:rPr>
        <w:t> </w:t>
      </w:r>
      <w:r>
        <w:rPr>
          <w:color w:val="3A3838"/>
          <w:w w:val="105"/>
          <w:sz w:val="18"/>
        </w:rPr>
        <w:t>MRClvPONLYl-12.pdf</w:t>
      </w:r>
      <w:r>
        <w:rPr>
          <w:color w:val="3A3838"/>
          <w:spacing w:val="5"/>
          <w:w w:val="105"/>
          <w:sz w:val="18"/>
        </w:rPr>
        <w:t> </w:t>
      </w:r>
      <w:r>
        <w:rPr>
          <w:color w:val="4D4B4D"/>
          <w:w w:val="105"/>
          <w:sz w:val="18"/>
        </w:rPr>
        <w:t>(last</w:t>
      </w:r>
      <w:r>
        <w:rPr>
          <w:color w:val="4D4B4D"/>
          <w:spacing w:val="-10"/>
          <w:w w:val="105"/>
          <w:sz w:val="18"/>
        </w:rPr>
        <w:t> </w:t>
      </w:r>
      <w:r>
        <w:rPr>
          <w:color w:val="3A3838"/>
          <w:w w:val="105"/>
          <w:sz w:val="18"/>
        </w:rPr>
        <w:t>accessed</w:t>
      </w:r>
      <w:r>
        <w:rPr>
          <w:color w:val="3A3838"/>
          <w:spacing w:val="-20"/>
          <w:w w:val="105"/>
          <w:sz w:val="18"/>
        </w:rPr>
        <w:t> </w:t>
      </w:r>
      <w:r>
        <w:rPr>
          <w:color w:val="3A3838"/>
          <w:w w:val="105"/>
          <w:sz w:val="18"/>
        </w:rPr>
        <w:t>Jan.</w:t>
      </w:r>
      <w:r>
        <w:rPr>
          <w:color w:val="3A3838"/>
          <w:spacing w:val="-13"/>
          <w:w w:val="105"/>
          <w:sz w:val="18"/>
        </w:rPr>
        <w:t> </w:t>
      </w:r>
      <w:r>
        <w:rPr>
          <w:color w:val="3A3838"/>
          <w:w w:val="105"/>
          <w:sz w:val="18"/>
        </w:rPr>
        <w:t>25</w:t>
      </w:r>
      <w:r>
        <w:rPr>
          <w:color w:val="5D5D60"/>
          <w:w w:val="105"/>
          <w:sz w:val="18"/>
        </w:rPr>
        <w:t>, </w:t>
      </w:r>
      <w:r>
        <w:rPr>
          <w:color w:val="3A3838"/>
          <w:w w:val="105"/>
          <w:sz w:val="18"/>
        </w:rPr>
        <w:t>2014).</w:t>
      </w:r>
    </w:p>
    <w:p>
      <w:pPr>
        <w:spacing w:line="235" w:lineRule="auto" w:before="24"/>
        <w:ind w:left="334" w:right="205" w:firstLine="376"/>
        <w:jc w:val="both"/>
        <w:rPr>
          <w:sz w:val="18"/>
        </w:rPr>
      </w:pPr>
      <w:r>
        <w:rPr>
          <w:color w:val="3A3838"/>
          <w:spacing w:val="-1"/>
          <w:w w:val="105"/>
          <w:sz w:val="11"/>
        </w:rPr>
        <w:t>19</w:t>
      </w:r>
      <w:r>
        <w:rPr>
          <w:color w:val="3A3838"/>
          <w:spacing w:val="-17"/>
          <w:w w:val="105"/>
          <w:sz w:val="11"/>
        </w:rPr>
        <w:t> </w:t>
      </w:r>
      <w:r>
        <w:rPr>
          <w:rFonts w:ascii="Arial"/>
          <w:i/>
          <w:color w:val="3A3838"/>
          <w:spacing w:val="-1"/>
          <w:w w:val="105"/>
          <w:sz w:val="17"/>
        </w:rPr>
        <w:t>E.g.,</w:t>
      </w:r>
      <w:r>
        <w:rPr>
          <w:rFonts w:ascii="Arial"/>
          <w:i/>
          <w:color w:val="3A3838"/>
          <w:spacing w:val="-26"/>
          <w:w w:val="105"/>
          <w:sz w:val="17"/>
        </w:rPr>
        <w:t> </w:t>
      </w:r>
      <w:r>
        <w:rPr>
          <w:color w:val="3A3838"/>
          <w:w w:val="105"/>
          <w:sz w:val="18"/>
        </w:rPr>
        <w:t>Rules</w:t>
      </w:r>
      <w:r>
        <w:rPr>
          <w:color w:val="3A3838"/>
          <w:spacing w:val="-24"/>
          <w:w w:val="105"/>
          <w:sz w:val="18"/>
        </w:rPr>
        <w:t> </w:t>
      </w:r>
      <w:r>
        <w:rPr>
          <w:color w:val="3A3838"/>
          <w:w w:val="105"/>
          <w:sz w:val="18"/>
        </w:rPr>
        <w:t>of</w:t>
      </w:r>
      <w:r>
        <w:rPr>
          <w:color w:val="3A3838"/>
          <w:spacing w:val="1"/>
          <w:w w:val="105"/>
          <w:sz w:val="18"/>
        </w:rPr>
        <w:t> </w:t>
      </w:r>
      <w:r>
        <w:rPr>
          <w:color w:val="3A3838"/>
          <w:w w:val="105"/>
          <w:sz w:val="18"/>
        </w:rPr>
        <w:t>the</w:t>
      </w:r>
      <w:r>
        <w:rPr>
          <w:color w:val="3A3838"/>
          <w:spacing w:val="30"/>
          <w:w w:val="105"/>
          <w:sz w:val="18"/>
        </w:rPr>
        <w:t> </w:t>
      </w:r>
      <w:r>
        <w:rPr>
          <w:color w:val="3A3838"/>
          <w:w w:val="105"/>
          <w:sz w:val="18"/>
        </w:rPr>
        <w:t>United</w:t>
      </w:r>
      <w:r>
        <w:rPr>
          <w:color w:val="3A3838"/>
          <w:spacing w:val="-20"/>
          <w:w w:val="105"/>
          <w:sz w:val="18"/>
        </w:rPr>
        <w:t> </w:t>
      </w:r>
      <w:r>
        <w:rPr>
          <w:color w:val="3A3838"/>
          <w:w w:val="105"/>
          <w:sz w:val="18"/>
        </w:rPr>
        <w:t>States</w:t>
      </w:r>
      <w:r>
        <w:rPr>
          <w:color w:val="3A3838"/>
          <w:spacing w:val="-23"/>
          <w:w w:val="105"/>
          <w:sz w:val="18"/>
        </w:rPr>
        <w:t> </w:t>
      </w:r>
      <w:r>
        <w:rPr>
          <w:color w:val="3A3838"/>
          <w:w w:val="105"/>
          <w:sz w:val="18"/>
        </w:rPr>
        <w:t>District</w:t>
      </w:r>
      <w:r>
        <w:rPr>
          <w:color w:val="3A3838"/>
          <w:spacing w:val="-13"/>
          <w:w w:val="105"/>
          <w:sz w:val="18"/>
        </w:rPr>
        <w:t> </w:t>
      </w:r>
      <w:r>
        <w:rPr>
          <w:color w:val="3A3838"/>
          <w:w w:val="105"/>
          <w:sz w:val="18"/>
        </w:rPr>
        <w:t>Court</w:t>
      </w:r>
      <w:r>
        <w:rPr>
          <w:color w:val="3A3838"/>
          <w:spacing w:val="-18"/>
          <w:w w:val="105"/>
          <w:sz w:val="18"/>
        </w:rPr>
        <w:t> </w:t>
      </w:r>
      <w:r>
        <w:rPr>
          <w:color w:val="3A3838"/>
          <w:w w:val="105"/>
          <w:sz w:val="18"/>
        </w:rPr>
        <w:t>for</w:t>
      </w:r>
      <w:r>
        <w:rPr>
          <w:color w:val="3A3838"/>
          <w:spacing w:val="-24"/>
          <w:w w:val="105"/>
          <w:sz w:val="18"/>
        </w:rPr>
        <w:t> </w:t>
      </w:r>
      <w:r>
        <w:rPr>
          <w:color w:val="3A3838"/>
          <w:w w:val="105"/>
          <w:sz w:val="18"/>
        </w:rPr>
        <w:t>the</w:t>
      </w:r>
      <w:r>
        <w:rPr>
          <w:color w:val="3A3838"/>
          <w:spacing w:val="13"/>
          <w:w w:val="105"/>
          <w:sz w:val="18"/>
        </w:rPr>
        <w:t> </w:t>
      </w:r>
      <w:r>
        <w:rPr>
          <w:color w:val="3A3838"/>
          <w:w w:val="105"/>
          <w:sz w:val="18"/>
        </w:rPr>
        <w:t>Northern</w:t>
      </w:r>
      <w:r>
        <w:rPr>
          <w:color w:val="3A3838"/>
          <w:spacing w:val="1"/>
          <w:w w:val="105"/>
          <w:sz w:val="18"/>
        </w:rPr>
        <w:t> </w:t>
      </w:r>
      <w:r>
        <w:rPr>
          <w:color w:val="3A3838"/>
          <w:w w:val="105"/>
          <w:sz w:val="18"/>
        </w:rPr>
        <w:t>District</w:t>
      </w:r>
      <w:r>
        <w:rPr>
          <w:color w:val="3A3838"/>
          <w:spacing w:val="-17"/>
          <w:w w:val="105"/>
          <w:sz w:val="18"/>
        </w:rPr>
        <w:t> </w:t>
      </w:r>
      <w:r>
        <w:rPr>
          <w:color w:val="3A3838"/>
          <w:w w:val="105"/>
          <w:sz w:val="18"/>
        </w:rPr>
        <w:t>of</w:t>
      </w:r>
      <w:r>
        <w:rPr>
          <w:color w:val="3A3838"/>
          <w:spacing w:val="2"/>
          <w:w w:val="105"/>
          <w:sz w:val="18"/>
        </w:rPr>
        <w:t> </w:t>
      </w:r>
      <w:r>
        <w:rPr>
          <w:color w:val="3A3838"/>
          <w:w w:val="105"/>
          <w:sz w:val="18"/>
        </w:rPr>
        <w:t>Florida,</w:t>
      </w:r>
      <w:r>
        <w:rPr>
          <w:color w:val="3A3838"/>
          <w:spacing w:val="-16"/>
          <w:w w:val="105"/>
          <w:sz w:val="18"/>
        </w:rPr>
        <w:t> </w:t>
      </w:r>
      <w:r>
        <w:rPr>
          <w:rFonts w:ascii="Arial"/>
          <w:i/>
          <w:color w:val="3A3838"/>
          <w:w w:val="105"/>
          <w:sz w:val="17"/>
        </w:rPr>
        <w:t>supra</w:t>
      </w:r>
      <w:r>
        <w:rPr>
          <w:rFonts w:ascii="Arial"/>
          <w:i/>
          <w:color w:val="3A3838"/>
          <w:spacing w:val="-20"/>
          <w:w w:val="105"/>
          <w:sz w:val="17"/>
        </w:rPr>
        <w:t> </w:t>
      </w:r>
      <w:r>
        <w:rPr>
          <w:color w:val="3A3838"/>
          <w:w w:val="105"/>
          <w:sz w:val="18"/>
        </w:rPr>
        <w:t>note</w:t>
      </w:r>
      <w:r>
        <w:rPr>
          <w:color w:val="3A3838"/>
          <w:spacing w:val="1"/>
          <w:w w:val="105"/>
          <w:sz w:val="18"/>
        </w:rPr>
        <w:t> </w:t>
      </w:r>
      <w:r>
        <w:rPr>
          <w:color w:val="2A2828"/>
          <w:w w:val="105"/>
          <w:sz w:val="18"/>
        </w:rPr>
        <w:t>J7,</w:t>
      </w:r>
      <w:r>
        <w:rPr>
          <w:color w:val="2A2828"/>
          <w:spacing w:val="11"/>
          <w:w w:val="105"/>
          <w:sz w:val="18"/>
        </w:rPr>
        <w:t> </w:t>
      </w:r>
      <w:r>
        <w:rPr>
          <w:color w:val="3A3838"/>
          <w:w w:val="105"/>
          <w:sz w:val="18"/>
        </w:rPr>
        <w:t>at</w:t>
      </w:r>
      <w:r>
        <w:rPr>
          <w:color w:val="3A3838"/>
          <w:spacing w:val="10"/>
          <w:w w:val="105"/>
          <w:sz w:val="18"/>
        </w:rPr>
        <w:t> </w:t>
      </w:r>
      <w:r>
        <w:rPr>
          <w:color w:val="3A3838"/>
          <w:w w:val="105"/>
          <w:sz w:val="18"/>
        </w:rPr>
        <w:t>Rule</w:t>
      </w:r>
      <w:r>
        <w:rPr>
          <w:color w:val="3A3838"/>
          <w:spacing w:val="-17"/>
          <w:w w:val="105"/>
          <w:sz w:val="18"/>
        </w:rPr>
        <w:t> </w:t>
      </w:r>
      <w:r>
        <w:rPr>
          <w:color w:val="3A3838"/>
          <w:w w:val="105"/>
          <w:sz w:val="18"/>
        </w:rPr>
        <w:t>5.1(D).</w:t>
      </w:r>
    </w:p>
    <w:p>
      <w:pPr>
        <w:spacing w:after="0" w:line="235" w:lineRule="auto"/>
        <w:jc w:val="both"/>
        <w:rPr>
          <w:sz w:val="18"/>
        </w:rPr>
        <w:sectPr>
          <w:headerReference w:type="even" r:id="rId209"/>
          <w:headerReference w:type="default" r:id="rId210"/>
          <w:pgSz w:w="9470" w:h="13770"/>
          <w:pgMar w:header="414" w:footer="0" w:top="980" w:bottom="0" w:left="1320" w:right="120"/>
          <w:pgNumType w:start="186"/>
        </w:sectPr>
      </w:pPr>
    </w:p>
    <w:p>
      <w:pPr>
        <w:spacing w:before="82"/>
        <w:ind w:left="644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383638"/>
          <w:w w:val="105"/>
          <w:sz w:val="27"/>
        </w:rPr>
        <w:t>8.5.16</w:t>
      </w:r>
    </w:p>
    <w:p>
      <w:pPr>
        <w:spacing w:before="35"/>
        <w:ind w:left="654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383638"/>
          <w:w w:val="90"/>
          <w:sz w:val="23"/>
        </w:rPr>
        <w:t>CERTIFICATE</w:t>
      </w:r>
      <w:r>
        <w:rPr>
          <w:rFonts w:ascii="Arial"/>
          <w:b/>
          <w:color w:val="383638"/>
          <w:spacing w:val="68"/>
          <w:sz w:val="23"/>
        </w:rPr>
        <w:t> </w:t>
      </w:r>
      <w:r>
        <w:rPr>
          <w:rFonts w:ascii="Arial"/>
          <w:b/>
          <w:color w:val="383638"/>
          <w:w w:val="90"/>
          <w:sz w:val="23"/>
        </w:rPr>
        <w:t>OF</w:t>
      </w:r>
      <w:r>
        <w:rPr>
          <w:rFonts w:ascii="Arial"/>
          <w:b/>
          <w:color w:val="383638"/>
          <w:spacing w:val="28"/>
          <w:w w:val="90"/>
          <w:sz w:val="23"/>
        </w:rPr>
        <w:t> </w:t>
      </w:r>
      <w:r>
        <w:rPr>
          <w:rFonts w:ascii="Arial"/>
          <w:b/>
          <w:color w:val="383638"/>
          <w:w w:val="90"/>
          <w:sz w:val="23"/>
        </w:rPr>
        <w:t>COMPLIANCE</w:t>
      </w:r>
    </w:p>
    <w:p>
      <w:pPr>
        <w:pStyle w:val="BodyText"/>
        <w:spacing w:line="232" w:lineRule="auto" w:before="176"/>
        <w:ind w:left="341" w:right="185" w:firstLine="316"/>
        <w:jc w:val="both"/>
      </w:pPr>
      <w:r>
        <w:rPr>
          <w:color w:val="383638"/>
          <w:w w:val="110"/>
        </w:rPr>
        <w:t>The certificate of compliance is a fairly new requirement; it seems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serve</w:t>
      </w:r>
      <w:r>
        <w:rPr>
          <w:color w:val="383638"/>
          <w:spacing w:val="-21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-30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23"/>
          <w:w w:val="110"/>
        </w:rPr>
        <w:t> </w:t>
      </w:r>
      <w:r>
        <w:rPr>
          <w:color w:val="383638"/>
          <w:w w:val="110"/>
        </w:rPr>
        <w:t>supplement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page-length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requirements.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Modern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word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process­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ing systems could make it difficult for a court to tell if an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attorney has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"cheated" a page limit, e.g., by using 11.8-point font instead of 12-point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font. A certificate of compliance typically requires an attorney to certify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that he or she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has complied with particular court rules as to length; as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electronic filing becomes more common, courts may add requirements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depending 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what kinds of problems they encounter with electronically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filed documents (e.g., computer viruses, electronic documents that differ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from hard-copy documents).</w:t>
      </w:r>
      <w:r>
        <w:rPr>
          <w:rFonts w:ascii="Arial" w:hAnsi="Arial"/>
          <w:color w:val="383638"/>
          <w:w w:val="110"/>
          <w:vertAlign w:val="superscript"/>
        </w:rPr>
        <w:t>20</w:t>
      </w:r>
      <w:r>
        <w:rPr>
          <w:rFonts w:ascii="Arial" w:hAnsi="Arial"/>
          <w:color w:val="383638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(In a law school setting, you may also be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asked to certify that youhave complied with the honor code.) You should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05"/>
          <w:vertAlign w:val="baseline"/>
        </w:rPr>
        <w:t>look specifically to  see if your court requires this kind of  certificate; note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10"/>
          <w:vertAlign w:val="baseline"/>
        </w:rPr>
        <w:t>that some courts may use this title in  other contexts, or  use a different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title for a similar certificate. One sample brief in Appendix C includes an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05"/>
          <w:vertAlign w:val="baseline"/>
        </w:rPr>
        <w:t>example</w:t>
      </w:r>
      <w:r>
        <w:rPr>
          <w:color w:val="383638"/>
          <w:spacing w:val="-13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of</w:t>
      </w:r>
      <w:r>
        <w:rPr>
          <w:color w:val="383638"/>
          <w:spacing w:val="8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a</w:t>
      </w:r>
      <w:r>
        <w:rPr>
          <w:color w:val="383638"/>
          <w:spacing w:val="6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certificate</w:t>
      </w:r>
      <w:r>
        <w:rPr>
          <w:color w:val="383638"/>
          <w:spacing w:val="-2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of</w:t>
      </w:r>
      <w:r>
        <w:rPr>
          <w:color w:val="383638"/>
          <w:spacing w:val="8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compliance.</w:t>
      </w:r>
    </w:p>
    <w:p>
      <w:pPr>
        <w:pStyle w:val="BodyText"/>
        <w:spacing w:before="2"/>
        <w:rPr>
          <w:sz w:val="33"/>
        </w:rPr>
      </w:pPr>
    </w:p>
    <w:p>
      <w:pPr>
        <w:spacing w:before="0"/>
        <w:ind w:left="644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383638"/>
          <w:w w:val="105"/>
          <w:sz w:val="27"/>
        </w:rPr>
        <w:t>8</w:t>
      </w:r>
      <w:r>
        <w:rPr>
          <w:rFonts w:ascii="Arial"/>
          <w:b/>
          <w:color w:val="5D5D60"/>
          <w:w w:val="105"/>
          <w:sz w:val="27"/>
        </w:rPr>
        <w:t>.</w:t>
      </w:r>
      <w:r>
        <w:rPr>
          <w:rFonts w:ascii="Arial"/>
          <w:b/>
          <w:color w:val="383638"/>
          <w:w w:val="105"/>
          <w:sz w:val="27"/>
        </w:rPr>
        <w:t>5.17</w:t>
      </w:r>
    </w:p>
    <w:p>
      <w:pPr>
        <w:spacing w:before="45"/>
        <w:ind w:left="646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383638"/>
          <w:sz w:val="23"/>
        </w:rPr>
        <w:t>APPENDIX</w:t>
      </w:r>
    </w:p>
    <w:p>
      <w:pPr>
        <w:pStyle w:val="BodyText"/>
        <w:spacing w:line="230" w:lineRule="auto" w:before="168"/>
        <w:ind w:left="357" w:right="153" w:firstLine="313"/>
        <w:jc w:val="both"/>
      </w:pPr>
      <w:r>
        <w:rPr>
          <w:color w:val="383638"/>
          <w:w w:val="105"/>
        </w:rPr>
        <w:t>Few courts have rules that require an appendix for every brief. As noted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previously,  however, an  appendix may be appropriate when legislation  is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too lengthy to reprint in the "applicable statutes" section of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brief. </w:t>
      </w:r>
      <w:r>
        <w:rPr>
          <w:color w:val="383638"/>
          <w:w w:val="105"/>
          <w:sz w:val="22"/>
        </w:rPr>
        <w:t>If </w:t>
      </w:r>
      <w:r>
        <w:rPr>
          <w:color w:val="383638"/>
          <w:w w:val="105"/>
        </w:rPr>
        <w:t>an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appendix is necessary, do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not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simply attach copies of statutes printed from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Lexis, Bloomberg,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or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Westlaw. Instead, retype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statutes in a readable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format, or  download  the  text into a word processing system and  reformat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-7"/>
          <w:w w:val="105"/>
        </w:rPr>
        <w:t> </w:t>
      </w:r>
      <w:r>
        <w:rPr>
          <w:color w:val="383638"/>
          <w:w w:val="105"/>
        </w:rPr>
        <w:t>text,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using</w:t>
      </w:r>
      <w:r>
        <w:rPr>
          <w:color w:val="383638"/>
          <w:spacing w:val="20"/>
          <w:w w:val="105"/>
        </w:rPr>
        <w:t> </w:t>
      </w:r>
      <w:r>
        <w:rPr>
          <w:color w:val="383638"/>
          <w:w w:val="105"/>
        </w:rPr>
        <w:t>typefaces</w:t>
      </w:r>
      <w:r>
        <w:rPr>
          <w:color w:val="383638"/>
          <w:spacing w:val="17"/>
          <w:w w:val="105"/>
        </w:rPr>
        <w:t> </w:t>
      </w:r>
      <w:r>
        <w:rPr>
          <w:color w:val="383638"/>
          <w:w w:val="105"/>
        </w:rPr>
        <w:t>and</w:t>
      </w:r>
      <w:r>
        <w:rPr>
          <w:color w:val="383638"/>
          <w:spacing w:val="8"/>
          <w:w w:val="105"/>
        </w:rPr>
        <w:t> </w:t>
      </w:r>
      <w:r>
        <w:rPr>
          <w:color w:val="383638"/>
          <w:w w:val="105"/>
        </w:rPr>
        <w:t>margins</w:t>
      </w:r>
      <w:r>
        <w:rPr>
          <w:color w:val="383638"/>
          <w:spacing w:val="9"/>
          <w:w w:val="105"/>
        </w:rPr>
        <w:t> </w:t>
      </w:r>
      <w:r>
        <w:rPr>
          <w:color w:val="383638"/>
          <w:w w:val="105"/>
        </w:rPr>
        <w:t>that</w:t>
      </w:r>
      <w:r>
        <w:rPr>
          <w:color w:val="383638"/>
          <w:spacing w:val="28"/>
          <w:w w:val="105"/>
        </w:rPr>
        <w:t> </w:t>
      </w:r>
      <w:r>
        <w:rPr>
          <w:color w:val="383638"/>
          <w:w w:val="105"/>
        </w:rPr>
        <w:t>promote</w:t>
      </w:r>
      <w:r>
        <w:rPr>
          <w:color w:val="383638"/>
          <w:spacing w:val="29"/>
          <w:w w:val="105"/>
        </w:rPr>
        <w:t> </w:t>
      </w:r>
      <w:r>
        <w:rPr>
          <w:color w:val="383638"/>
          <w:w w:val="105"/>
        </w:rPr>
        <w:t>readability.</w:t>
      </w:r>
    </w:p>
    <w:p>
      <w:pPr>
        <w:pStyle w:val="BodyText"/>
        <w:spacing w:line="232" w:lineRule="auto" w:before="12"/>
        <w:ind w:left="367" w:right="114" w:firstLine="312"/>
        <w:jc w:val="both"/>
      </w:pPr>
      <w:r>
        <w:rPr>
          <w:color w:val="383638"/>
          <w:w w:val="110"/>
        </w:rPr>
        <w:t>Local rules and local practice will dictate the items that you include 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the appendix. In general, you should include any information to which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the court may need to refer while it considers the case, and which it will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not have easy access to otherwise. Note that some court rules may </w:t>
      </w:r>
      <w:r>
        <w:rPr>
          <w:rFonts w:ascii="Arial"/>
          <w:i/>
          <w:color w:val="383638"/>
          <w:w w:val="110"/>
          <w:sz w:val="20"/>
        </w:rPr>
        <w:t>require</w:t>
      </w:r>
      <w:r>
        <w:rPr>
          <w:rFonts w:ascii="Arial"/>
          <w:i/>
          <w:color w:val="383638"/>
          <w:spacing w:val="1"/>
          <w:w w:val="110"/>
          <w:sz w:val="20"/>
        </w:rPr>
        <w:t> </w:t>
      </w:r>
      <w:r>
        <w:rPr>
          <w:color w:val="383638"/>
          <w:w w:val="110"/>
        </w:rPr>
        <w:t>an appendix in certain circumstances; some trial courts, for example, may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require that counsel attach copies of unpublished decisions or of decisions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from</w:t>
      </w:r>
      <w:r>
        <w:rPr>
          <w:color w:val="383638"/>
          <w:spacing w:val="-9"/>
          <w:w w:val="115"/>
        </w:rPr>
        <w:t> </w:t>
      </w:r>
      <w:r>
        <w:rPr>
          <w:color w:val="383638"/>
          <w:w w:val="115"/>
        </w:rPr>
        <w:t>courts</w:t>
      </w:r>
      <w:r>
        <w:rPr>
          <w:color w:val="383638"/>
          <w:spacing w:val="-16"/>
          <w:w w:val="115"/>
        </w:rPr>
        <w:t> </w:t>
      </w:r>
      <w:r>
        <w:rPr>
          <w:color w:val="383638"/>
          <w:w w:val="115"/>
        </w:rPr>
        <w:t>of</w:t>
      </w:r>
      <w:r>
        <w:rPr>
          <w:color w:val="383638"/>
          <w:spacing w:val="-1"/>
          <w:w w:val="115"/>
        </w:rPr>
        <w:t> </w:t>
      </w:r>
      <w:r>
        <w:rPr>
          <w:color w:val="383638"/>
          <w:w w:val="115"/>
        </w:rPr>
        <w:t>another</w:t>
      </w:r>
      <w:r>
        <w:rPr>
          <w:color w:val="383638"/>
          <w:spacing w:val="20"/>
          <w:w w:val="115"/>
        </w:rPr>
        <w:t> </w:t>
      </w:r>
      <w:r>
        <w:rPr>
          <w:color w:val="383638"/>
          <w:w w:val="115"/>
        </w:rPr>
        <w:t>jurisdiction.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67"/>
        <w:ind w:left="682" w:right="0" w:firstLine="0"/>
        <w:jc w:val="left"/>
        <w:rPr>
          <w:sz w:val="17"/>
        </w:rPr>
      </w:pPr>
      <w:r>
        <w:rPr>
          <w:color w:val="383638"/>
          <w:w w:val="110"/>
          <w:position w:val="3"/>
          <w:sz w:val="11"/>
        </w:rPr>
        <w:t>20</w:t>
      </w:r>
      <w:r>
        <w:rPr>
          <w:i/>
          <w:color w:val="383638"/>
          <w:w w:val="110"/>
          <w:sz w:val="17"/>
        </w:rPr>
        <w:t>Set</w:t>
      </w:r>
      <w:r>
        <w:rPr>
          <w:i/>
          <w:color w:val="383638"/>
          <w:spacing w:val="4"/>
          <w:w w:val="110"/>
          <w:sz w:val="17"/>
        </w:rPr>
        <w:t> </w:t>
      </w:r>
      <w:r>
        <w:rPr>
          <w:color w:val="383638"/>
          <w:w w:val="110"/>
          <w:sz w:val="17"/>
        </w:rPr>
        <w:t>Rule</w:t>
      </w:r>
      <w:r>
        <w:rPr>
          <w:color w:val="383638"/>
          <w:spacing w:val="-8"/>
          <w:w w:val="110"/>
          <w:sz w:val="17"/>
        </w:rPr>
        <w:t> </w:t>
      </w:r>
      <w:r>
        <w:rPr>
          <w:color w:val="383638"/>
          <w:w w:val="110"/>
          <w:sz w:val="17"/>
        </w:rPr>
        <w:t>31.</w:t>
      </w:r>
      <w:r>
        <w:rPr>
          <w:color w:val="383638"/>
          <w:spacing w:val="5"/>
          <w:w w:val="110"/>
          <w:sz w:val="17"/>
        </w:rPr>
        <w:t> </w:t>
      </w:r>
      <w:r>
        <w:rPr>
          <w:color w:val="383638"/>
          <w:w w:val="110"/>
          <w:sz w:val="17"/>
        </w:rPr>
        <w:t>l(c)</w:t>
      </w:r>
      <w:r>
        <w:rPr>
          <w:color w:val="383638"/>
          <w:spacing w:val="-16"/>
          <w:w w:val="110"/>
          <w:sz w:val="17"/>
        </w:rPr>
        <w:t> </w:t>
      </w:r>
      <w:r>
        <w:rPr>
          <w:color w:val="383638"/>
          <w:w w:val="110"/>
          <w:sz w:val="17"/>
        </w:rPr>
        <w:t>of</w:t>
      </w:r>
      <w:r>
        <w:rPr>
          <w:color w:val="383638"/>
          <w:spacing w:val="-5"/>
          <w:w w:val="110"/>
          <w:sz w:val="17"/>
        </w:rPr>
        <w:t> </w:t>
      </w:r>
      <w:r>
        <w:rPr>
          <w:color w:val="383638"/>
          <w:w w:val="110"/>
          <w:sz w:val="17"/>
        </w:rPr>
        <w:t>the</w:t>
      </w:r>
      <w:r>
        <w:rPr>
          <w:color w:val="383638"/>
          <w:spacing w:val="2"/>
          <w:w w:val="110"/>
          <w:sz w:val="17"/>
        </w:rPr>
        <w:t> </w:t>
      </w:r>
      <w:r>
        <w:rPr>
          <w:color w:val="383638"/>
          <w:w w:val="110"/>
          <w:sz w:val="17"/>
        </w:rPr>
        <w:t>Local</w:t>
      </w:r>
      <w:r>
        <w:rPr>
          <w:color w:val="383638"/>
          <w:spacing w:val="13"/>
          <w:w w:val="110"/>
          <w:sz w:val="17"/>
        </w:rPr>
        <w:t> </w:t>
      </w:r>
      <w:r>
        <w:rPr>
          <w:color w:val="383638"/>
          <w:w w:val="110"/>
          <w:sz w:val="17"/>
        </w:rPr>
        <w:t>Appellate</w:t>
      </w:r>
      <w:r>
        <w:rPr>
          <w:color w:val="383638"/>
          <w:spacing w:val="6"/>
          <w:w w:val="110"/>
          <w:sz w:val="17"/>
        </w:rPr>
        <w:t> </w:t>
      </w:r>
      <w:r>
        <w:rPr>
          <w:color w:val="383638"/>
          <w:w w:val="110"/>
          <w:sz w:val="17"/>
        </w:rPr>
        <w:t>Rules</w:t>
      </w:r>
      <w:r>
        <w:rPr>
          <w:color w:val="383638"/>
          <w:spacing w:val="-18"/>
          <w:w w:val="110"/>
          <w:sz w:val="17"/>
        </w:rPr>
        <w:t> </w:t>
      </w:r>
      <w:r>
        <w:rPr>
          <w:color w:val="383638"/>
          <w:w w:val="110"/>
          <w:sz w:val="17"/>
        </w:rPr>
        <w:t>of</w:t>
      </w:r>
      <w:r>
        <w:rPr>
          <w:color w:val="383638"/>
          <w:spacing w:val="19"/>
          <w:w w:val="110"/>
          <w:sz w:val="17"/>
        </w:rPr>
        <w:t> </w:t>
      </w:r>
      <w:r>
        <w:rPr>
          <w:color w:val="383638"/>
          <w:w w:val="110"/>
          <w:sz w:val="17"/>
        </w:rPr>
        <w:t>the</w:t>
      </w:r>
      <w:r>
        <w:rPr>
          <w:color w:val="383638"/>
          <w:spacing w:val="25"/>
          <w:w w:val="110"/>
          <w:sz w:val="17"/>
        </w:rPr>
        <w:t> </w:t>
      </w:r>
      <w:r>
        <w:rPr>
          <w:color w:val="383638"/>
          <w:w w:val="110"/>
          <w:sz w:val="17"/>
        </w:rPr>
        <w:t>Third</w:t>
      </w:r>
      <w:r>
        <w:rPr>
          <w:color w:val="383638"/>
          <w:spacing w:val="-2"/>
          <w:w w:val="110"/>
          <w:sz w:val="17"/>
        </w:rPr>
        <w:t> </w:t>
      </w:r>
      <w:r>
        <w:rPr>
          <w:color w:val="383638"/>
          <w:w w:val="110"/>
          <w:sz w:val="17"/>
        </w:rPr>
        <w:t>Circu.it</w:t>
      </w:r>
    </w:p>
    <w:p>
      <w:pPr>
        <w:spacing w:before="162"/>
        <w:ind w:left="-15" w:right="0" w:firstLine="0"/>
        <w:jc w:val="left"/>
        <w:rPr>
          <w:sz w:val="20"/>
        </w:rPr>
      </w:pPr>
      <w:r>
        <w:rPr>
          <w:color w:val="A5A7A8"/>
          <w:w w:val="70"/>
          <w:sz w:val="20"/>
        </w:rPr>
        <w:t>.,,,</w:t>
      </w:r>
    </w:p>
    <w:p>
      <w:pPr>
        <w:spacing w:before="66"/>
        <w:ind w:left="15" w:right="0" w:firstLine="0"/>
        <w:jc w:val="left"/>
        <w:rPr>
          <w:rFonts w:ascii="Arial"/>
          <w:sz w:val="13"/>
        </w:rPr>
      </w:pPr>
      <w:r>
        <w:rPr>
          <w:rFonts w:ascii="Arial"/>
          <w:color w:val="C3C4C6"/>
          <w:w w:val="58"/>
          <w:sz w:val="13"/>
        </w:rPr>
        <w:t>J</w:t>
      </w:r>
    </w:p>
    <w:p>
      <w:pPr>
        <w:spacing w:after="0"/>
        <w:jc w:val="left"/>
        <w:rPr>
          <w:rFonts w:ascii="Arial"/>
          <w:sz w:val="13"/>
        </w:rPr>
        <w:sectPr>
          <w:pgSz w:w="9350" w:h="13730"/>
          <w:pgMar w:header="473" w:footer="0" w:top="1060" w:bottom="280" w:left="0" w:right="1300"/>
        </w:sectPr>
      </w:pPr>
    </w:p>
    <w:p>
      <w:pPr>
        <w:spacing w:before="80"/>
        <w:ind w:left="1329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525254"/>
          <w:w w:val="105"/>
          <w:sz w:val="32"/>
        </w:rPr>
        <w:t>8.</w:t>
      </w:r>
      <w:r>
        <w:rPr>
          <w:rFonts w:ascii="Arial"/>
          <w:b/>
          <w:color w:val="383636"/>
          <w:w w:val="105"/>
          <w:sz w:val="32"/>
        </w:rPr>
        <w:t>6</w:t>
      </w:r>
    </w:p>
    <w:p>
      <w:pPr>
        <w:spacing w:before="47"/>
        <w:ind w:left="1328" w:right="0" w:firstLine="0"/>
        <w:jc w:val="left"/>
        <w:rPr>
          <w:b/>
          <w:sz w:val="28"/>
        </w:rPr>
      </w:pPr>
      <w:r>
        <w:rPr>
          <w:b/>
          <w:color w:val="383636"/>
          <w:sz w:val="28"/>
        </w:rPr>
        <w:t>SU</w:t>
      </w:r>
      <w:r>
        <w:rPr>
          <w:b/>
          <w:color w:val="525254"/>
          <w:sz w:val="28"/>
        </w:rPr>
        <w:t>MMAR</w:t>
      </w:r>
      <w:r>
        <w:rPr>
          <w:b/>
          <w:color w:val="383636"/>
          <w:sz w:val="28"/>
        </w:rPr>
        <w:t>Y</w:t>
      </w:r>
    </w:p>
    <w:p>
      <w:pPr>
        <w:pStyle w:val="BodyText"/>
        <w:spacing w:line="230" w:lineRule="auto" w:before="234"/>
        <w:ind w:left="704" w:right="116" w:firstLine="615"/>
        <w:jc w:val="both"/>
      </w:pPr>
      <w:r>
        <w:rPr>
          <w:color w:val="383636"/>
          <w:w w:val="105"/>
        </w:rPr>
        <w:t>Format requirements are not intellectually demanding, but they do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take time and require attention to detail. Whenever you file a brief, make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sure that you have access to all relevant rules and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allow yourself time to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read,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understand,</w:t>
      </w:r>
      <w:r>
        <w:rPr>
          <w:color w:val="383636"/>
          <w:spacing w:val="-6"/>
          <w:w w:val="110"/>
        </w:rPr>
        <w:t> </w:t>
      </w:r>
      <w:r>
        <w:rPr>
          <w:color w:val="383636"/>
          <w:w w:val="110"/>
        </w:rPr>
        <w:t>and</w:t>
      </w:r>
      <w:r>
        <w:rPr>
          <w:color w:val="383636"/>
          <w:spacing w:val="9"/>
          <w:w w:val="110"/>
        </w:rPr>
        <w:t> </w:t>
      </w:r>
      <w:r>
        <w:rPr>
          <w:color w:val="383636"/>
          <w:w w:val="110"/>
        </w:rPr>
        <w:t>comply</w:t>
      </w:r>
      <w:r>
        <w:rPr>
          <w:color w:val="383636"/>
          <w:spacing w:val="-15"/>
          <w:w w:val="110"/>
        </w:rPr>
        <w:t> </w:t>
      </w:r>
      <w:r>
        <w:rPr>
          <w:color w:val="383636"/>
          <w:w w:val="110"/>
        </w:rPr>
        <w:t>with</w:t>
      </w:r>
      <w:r>
        <w:rPr>
          <w:color w:val="383636"/>
          <w:spacing w:val="-2"/>
          <w:w w:val="110"/>
        </w:rPr>
        <w:t> </w:t>
      </w:r>
      <w:r>
        <w:rPr>
          <w:color w:val="383636"/>
          <w:w w:val="110"/>
        </w:rPr>
        <w:t>their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requirements.</w:t>
      </w:r>
    </w:p>
    <w:p>
      <w:pPr>
        <w:spacing w:after="0" w:line="230" w:lineRule="auto"/>
        <w:jc w:val="both"/>
        <w:sectPr>
          <w:headerReference w:type="even" r:id="rId213"/>
          <w:pgSz w:w="9440" w:h="13780"/>
          <w:pgMar w:header="328" w:footer="0" w:top="940" w:bottom="0" w:left="1300" w:right="40"/>
          <w:pgNumType w:start="188"/>
        </w:sectPr>
      </w:pPr>
    </w:p>
    <w:p>
      <w:pPr>
        <w:pStyle w:val="BodyText"/>
        <w:spacing w:before="4"/>
        <w:rPr>
          <w:sz w:val="47"/>
        </w:rPr>
      </w:pPr>
    </w:p>
    <w:p>
      <w:pPr>
        <w:spacing w:line="467" w:lineRule="exact" w:before="0"/>
        <w:ind w:left="152" w:right="0" w:firstLine="0"/>
        <w:jc w:val="left"/>
        <w:rPr>
          <w:sz w:val="42"/>
        </w:rPr>
      </w:pPr>
      <w:r>
        <w:rPr>
          <w:color w:val="3A383A"/>
          <w:w w:val="80"/>
          <w:sz w:val="42"/>
        </w:rPr>
        <w:t>.,</w:t>
      </w:r>
    </w:p>
    <w:p>
      <w:pPr>
        <w:spacing w:line="610" w:lineRule="exact" w:before="0"/>
        <w:ind w:left="136" w:right="0" w:firstLine="0"/>
        <w:jc w:val="left"/>
        <w:rPr>
          <w:sz w:val="49"/>
        </w:rPr>
      </w:pPr>
      <w:r>
        <w:rPr/>
        <w:pict>
          <v:shape style="position:absolute;margin-left:22.188919pt;margin-top:14.871291pt;width:5.75pt;height:35.6pt;mso-position-horizontal-relative:page;mso-position-vertical-relative:paragraph;z-index:-21599232" type="#_x0000_t202" id="docshape346" filled="false" stroked="false">
            <v:textbox inset="0,0,0,0">
              <w:txbxContent>
                <w:p>
                  <w:pPr>
                    <w:spacing w:line="711" w:lineRule="exact" w:before="0"/>
                    <w:ind w:left="0" w:right="0" w:firstLine="0"/>
                    <w:jc w:val="left"/>
                    <w:rPr>
                      <w:sz w:val="64"/>
                    </w:rPr>
                  </w:pPr>
                  <w:r>
                    <w:rPr>
                      <w:color w:val="3A383A"/>
                      <w:w w:val="64"/>
                      <w:sz w:val="6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3A383A"/>
          <w:spacing w:val="-154"/>
          <w:w w:val="86"/>
          <w:position w:val="15"/>
          <w:sz w:val="38"/>
        </w:rPr>
        <w:t>z</w:t>
      </w:r>
      <w:r>
        <w:rPr>
          <w:color w:val="3A383A"/>
          <w:spacing w:val="-52"/>
          <w:w w:val="64"/>
          <w:sz w:val="49"/>
        </w:rPr>
        <w:t>.</w:t>
      </w:r>
      <w:r>
        <w:rPr>
          <w:rFonts w:ascii="Arial"/>
          <w:b/>
          <w:color w:val="3A383A"/>
          <w:spacing w:val="-30"/>
          <w:w w:val="70"/>
          <w:position w:val="37"/>
          <w:sz w:val="16"/>
        </w:rPr>
        <w:t>C</w:t>
      </w:r>
      <w:r>
        <w:rPr>
          <w:color w:val="3A383A"/>
          <w:w w:val="64"/>
          <w:sz w:val="49"/>
        </w:rPr>
        <w:t>.</w:t>
      </w:r>
    </w:p>
    <w:p>
      <w:pPr>
        <w:pStyle w:val="Heading8"/>
        <w:spacing w:line="240" w:lineRule="auto" w:before="320"/>
        <w:ind w:left="140"/>
      </w:pPr>
      <w:r>
        <w:rPr>
          <w:color w:val="3A383A"/>
          <w:w w:val="95"/>
        </w:rPr>
        <w:t>0</w:t>
      </w:r>
    </w:p>
    <w:p>
      <w:pPr>
        <w:spacing w:line="240" w:lineRule="auto" w:before="0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spacing w:line="247" w:lineRule="auto" w:before="0"/>
        <w:ind w:left="136" w:right="0" w:firstLine="22"/>
        <w:jc w:val="left"/>
        <w:rPr>
          <w:sz w:val="43"/>
        </w:rPr>
      </w:pPr>
      <w:r>
        <w:rPr>
          <w:rFonts w:ascii="Arial"/>
          <w:color w:val="4F4F50"/>
          <w:w w:val="95"/>
          <w:sz w:val="41"/>
        </w:rPr>
        <w:t>S</w:t>
      </w:r>
      <w:r>
        <w:rPr>
          <w:rFonts w:ascii="Arial"/>
          <w:color w:val="757779"/>
          <w:w w:val="95"/>
          <w:sz w:val="41"/>
        </w:rPr>
        <w:t>PECIAL</w:t>
      </w:r>
      <w:r>
        <w:rPr>
          <w:rFonts w:ascii="Arial"/>
          <w:color w:val="757779"/>
          <w:spacing w:val="-19"/>
          <w:w w:val="95"/>
          <w:sz w:val="41"/>
        </w:rPr>
        <w:t> </w:t>
      </w:r>
      <w:r>
        <w:rPr>
          <w:color w:val="4F4F50"/>
          <w:w w:val="95"/>
          <w:sz w:val="43"/>
        </w:rPr>
        <w:t>T</w:t>
      </w:r>
      <w:r>
        <w:rPr>
          <w:color w:val="757779"/>
          <w:w w:val="95"/>
          <w:sz w:val="43"/>
        </w:rPr>
        <w:t>EAMS</w:t>
      </w:r>
      <w:r>
        <w:rPr>
          <w:color w:val="4F4F50"/>
          <w:w w:val="95"/>
          <w:sz w:val="43"/>
        </w:rPr>
        <w:t>:</w:t>
      </w:r>
      <w:r>
        <w:rPr>
          <w:color w:val="4F4F50"/>
          <w:spacing w:val="22"/>
          <w:w w:val="95"/>
          <w:sz w:val="43"/>
        </w:rPr>
        <w:t> </w:t>
      </w:r>
      <w:r>
        <w:rPr>
          <w:color w:val="757779"/>
          <w:w w:val="95"/>
          <w:sz w:val="43"/>
        </w:rPr>
        <w:t>!SSUE</w:t>
      </w:r>
      <w:r>
        <w:rPr>
          <w:color w:val="757779"/>
          <w:spacing w:val="1"/>
          <w:w w:val="95"/>
          <w:sz w:val="43"/>
        </w:rPr>
        <w:t> </w:t>
      </w:r>
      <w:r>
        <w:rPr>
          <w:color w:val="4F4F50"/>
          <w:sz w:val="43"/>
        </w:rPr>
        <w:t>ST</w:t>
      </w:r>
      <w:r>
        <w:rPr>
          <w:color w:val="757779"/>
          <w:sz w:val="43"/>
        </w:rPr>
        <w:t>ATEMENTS</w:t>
      </w:r>
      <w:r>
        <w:rPr>
          <w:color w:val="4F4F50"/>
          <w:sz w:val="43"/>
        </w:rPr>
        <w:t>,</w:t>
      </w:r>
      <w:r>
        <w:rPr>
          <w:color w:val="4F4F50"/>
          <w:spacing w:val="1"/>
          <w:sz w:val="43"/>
        </w:rPr>
        <w:t> </w:t>
      </w:r>
      <w:r>
        <w:rPr>
          <w:rFonts w:ascii="Arial"/>
          <w:color w:val="757779"/>
          <w:sz w:val="40"/>
        </w:rPr>
        <w:t>STATEMENT</w:t>
      </w:r>
      <w:r>
        <w:rPr>
          <w:rFonts w:ascii="Arial"/>
          <w:color w:val="757779"/>
          <w:spacing w:val="1"/>
          <w:sz w:val="40"/>
        </w:rPr>
        <w:t> </w:t>
      </w:r>
      <w:r>
        <w:rPr>
          <w:color w:val="757779"/>
          <w:sz w:val="43"/>
        </w:rPr>
        <w:t>OF</w:t>
      </w:r>
      <w:r>
        <w:rPr>
          <w:color w:val="757779"/>
          <w:spacing w:val="1"/>
          <w:sz w:val="43"/>
        </w:rPr>
        <w:t> </w:t>
      </w:r>
      <w:r>
        <w:rPr>
          <w:color w:val="3A383A"/>
          <w:sz w:val="43"/>
        </w:rPr>
        <w:t>T</w:t>
      </w:r>
      <w:r>
        <w:rPr>
          <w:color w:val="757779"/>
          <w:sz w:val="43"/>
        </w:rPr>
        <w:t>HE CASE</w:t>
      </w:r>
      <w:r>
        <w:rPr>
          <w:color w:val="3A383A"/>
          <w:sz w:val="43"/>
        </w:rPr>
        <w:t>,</w:t>
      </w:r>
      <w:r>
        <w:rPr>
          <w:color w:val="3A383A"/>
          <w:spacing w:val="1"/>
          <w:sz w:val="43"/>
        </w:rPr>
        <w:t> </w:t>
      </w:r>
      <w:r>
        <w:rPr>
          <w:rFonts w:ascii="Arial"/>
          <w:color w:val="757779"/>
          <w:sz w:val="40"/>
        </w:rPr>
        <w:t>SUMMARY</w:t>
      </w:r>
      <w:r>
        <w:rPr>
          <w:rFonts w:ascii="Arial"/>
          <w:color w:val="757779"/>
          <w:spacing w:val="1"/>
          <w:sz w:val="40"/>
        </w:rPr>
        <w:t> </w:t>
      </w:r>
      <w:r>
        <w:rPr>
          <w:color w:val="757779"/>
          <w:sz w:val="43"/>
        </w:rPr>
        <w:t>OF</w:t>
      </w:r>
      <w:r>
        <w:rPr>
          <w:color w:val="757779"/>
          <w:spacing w:val="1"/>
          <w:sz w:val="43"/>
        </w:rPr>
        <w:t> </w:t>
      </w:r>
      <w:r>
        <w:rPr>
          <w:rFonts w:ascii="Arial"/>
          <w:color w:val="757779"/>
          <w:sz w:val="40"/>
        </w:rPr>
        <w:t>THE</w:t>
      </w:r>
      <w:r>
        <w:rPr>
          <w:rFonts w:ascii="Arial"/>
          <w:color w:val="757779"/>
          <w:spacing w:val="1"/>
          <w:sz w:val="40"/>
        </w:rPr>
        <w:t> </w:t>
      </w:r>
      <w:r>
        <w:rPr>
          <w:color w:val="4F4F50"/>
          <w:sz w:val="44"/>
        </w:rPr>
        <w:t>A</w:t>
      </w:r>
      <w:r>
        <w:rPr>
          <w:color w:val="757779"/>
          <w:sz w:val="44"/>
        </w:rPr>
        <w:t>RGUMENT</w:t>
      </w:r>
      <w:r>
        <w:rPr>
          <w:color w:val="3A383A"/>
          <w:sz w:val="44"/>
        </w:rPr>
        <w:t>,</w:t>
      </w:r>
      <w:r>
        <w:rPr>
          <w:color w:val="3A383A"/>
          <w:spacing w:val="98"/>
          <w:sz w:val="44"/>
        </w:rPr>
        <w:t> </w:t>
      </w:r>
      <w:r>
        <w:rPr>
          <w:rFonts w:ascii="Arial"/>
          <w:color w:val="757779"/>
          <w:sz w:val="40"/>
        </w:rPr>
        <w:t>POIN</w:t>
      </w:r>
      <w:r>
        <w:rPr>
          <w:rFonts w:ascii="Arial"/>
          <w:color w:val="4F4F50"/>
          <w:sz w:val="40"/>
        </w:rPr>
        <w:t>T</w:t>
      </w:r>
      <w:r>
        <w:rPr>
          <w:rFonts w:ascii="Arial"/>
          <w:color w:val="4F4F50"/>
          <w:spacing w:val="9"/>
          <w:sz w:val="40"/>
        </w:rPr>
        <w:t> </w:t>
      </w:r>
      <w:r>
        <w:rPr>
          <w:color w:val="757779"/>
          <w:sz w:val="43"/>
        </w:rPr>
        <w:t>HEAD</w:t>
      </w:r>
      <w:r>
        <w:rPr>
          <w:color w:val="757779"/>
          <w:spacing w:val="37"/>
          <w:sz w:val="43"/>
        </w:rPr>
        <w:t> </w:t>
      </w:r>
      <w:r>
        <w:rPr>
          <w:color w:val="757779"/>
          <w:sz w:val="43"/>
        </w:rPr>
        <w:t>NGS</w:t>
      </w:r>
    </w:p>
    <w:p>
      <w:pPr>
        <w:spacing w:before="74"/>
        <w:ind w:left="136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color w:val="3A383A"/>
          <w:w w:val="110"/>
          <w:sz w:val="18"/>
        </w:rPr>
        <w:t>189</w:t>
      </w:r>
    </w:p>
    <w:p>
      <w:pPr>
        <w:spacing w:after="0"/>
        <w:jc w:val="left"/>
        <w:rPr>
          <w:rFonts w:ascii="Arial"/>
          <w:sz w:val="18"/>
        </w:rPr>
        <w:sectPr>
          <w:headerReference w:type="default" r:id="rId214"/>
          <w:pgSz w:w="9420" w:h="13740"/>
          <w:pgMar w:header="0" w:footer="0" w:top="400" w:bottom="280" w:left="300" w:right="760"/>
          <w:cols w:num="3" w:equalWidth="0">
            <w:col w:w="357" w:space="43"/>
            <w:col w:w="6674" w:space="705"/>
            <w:col w:w="581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</w:rPr>
      </w:pPr>
    </w:p>
    <w:p>
      <w:pPr>
        <w:spacing w:after="0"/>
        <w:rPr>
          <w:rFonts w:ascii="Arial"/>
        </w:rPr>
        <w:sectPr>
          <w:type w:val="continuous"/>
          <w:pgSz w:w="9420" w:h="13740"/>
          <w:pgMar w:header="0" w:footer="0" w:top="340" w:bottom="280" w:left="300" w:right="760"/>
        </w:sectPr>
      </w:pPr>
    </w:p>
    <w:p>
      <w:pPr>
        <w:spacing w:before="110"/>
        <w:ind w:left="590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3A383A"/>
          <w:w w:val="95"/>
          <w:sz w:val="20"/>
        </w:rPr>
        <w:t>9.1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spacing w:before="151"/>
        <w:ind w:left="600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3A383A"/>
          <w:w w:val="95"/>
          <w:sz w:val="20"/>
        </w:rPr>
        <w:t>9.2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1"/>
        <w:rPr>
          <w:rFonts w:ascii="Arial"/>
          <w:b/>
          <w:sz w:val="30"/>
        </w:rPr>
      </w:pPr>
    </w:p>
    <w:p>
      <w:pPr>
        <w:spacing w:line="216" w:lineRule="exact" w:before="0"/>
        <w:ind w:left="61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3A383A"/>
          <w:w w:val="95"/>
          <w:sz w:val="20"/>
        </w:rPr>
        <w:t>9.3</w:t>
      </w:r>
    </w:p>
    <w:p>
      <w:pPr>
        <w:spacing w:line="216" w:lineRule="exact" w:before="0"/>
        <w:ind w:left="61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3A383A"/>
          <w:w w:val="95"/>
          <w:sz w:val="20"/>
        </w:rPr>
        <w:t>9.4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spacing w:before="128"/>
        <w:ind w:left="628" w:right="0" w:firstLine="0"/>
        <w:jc w:val="left"/>
        <w:rPr>
          <w:b/>
          <w:sz w:val="22"/>
        </w:rPr>
      </w:pPr>
      <w:r>
        <w:rPr>
          <w:b/>
          <w:color w:val="3A383A"/>
          <w:w w:val="105"/>
          <w:sz w:val="22"/>
        </w:rPr>
        <w:t>9</w:t>
      </w:r>
      <w:r>
        <w:rPr>
          <w:b/>
          <w:color w:val="757779"/>
          <w:w w:val="105"/>
          <w:sz w:val="22"/>
        </w:rPr>
        <w:t>.</w:t>
      </w:r>
      <w:r>
        <w:rPr>
          <w:b/>
          <w:color w:val="3A383A"/>
          <w:w w:val="105"/>
          <w:sz w:val="22"/>
        </w:rPr>
        <w:t>5</w:t>
      </w:r>
    </w:p>
    <w:p>
      <w:pPr>
        <w:spacing w:line="211" w:lineRule="exact" w:before="92"/>
        <w:ind w:left="109" w:right="0" w:firstLine="0"/>
        <w:jc w:val="left"/>
        <w:rPr>
          <w:sz w:val="20"/>
        </w:rPr>
      </w:pPr>
      <w:r>
        <w:rPr/>
        <w:br w:type="column"/>
      </w:r>
      <w:r>
        <w:rPr>
          <w:color w:val="3A383A"/>
          <w:w w:val="115"/>
          <w:sz w:val="20"/>
        </w:rPr>
        <w:t>Writing</w:t>
      </w:r>
      <w:r>
        <w:rPr>
          <w:color w:val="3A383A"/>
          <w:spacing w:val="-17"/>
          <w:w w:val="115"/>
          <w:sz w:val="20"/>
        </w:rPr>
        <w:t> </w:t>
      </w:r>
      <w:r>
        <w:rPr>
          <w:color w:val="3A383A"/>
          <w:w w:val="115"/>
          <w:sz w:val="20"/>
        </w:rPr>
        <w:t>the</w:t>
      </w:r>
      <w:r>
        <w:rPr>
          <w:color w:val="3A383A"/>
          <w:spacing w:val="37"/>
          <w:w w:val="115"/>
          <w:sz w:val="20"/>
        </w:rPr>
        <w:t> </w:t>
      </w:r>
      <w:r>
        <w:rPr>
          <w:color w:val="3A383A"/>
          <w:w w:val="115"/>
          <w:sz w:val="20"/>
        </w:rPr>
        <w:t>Issue</w:t>
      </w:r>
      <w:r>
        <w:rPr>
          <w:color w:val="3A383A"/>
          <w:spacing w:val="-22"/>
          <w:w w:val="115"/>
          <w:sz w:val="20"/>
        </w:rPr>
        <w:t> </w:t>
      </w:r>
      <w:r>
        <w:rPr>
          <w:color w:val="3A383A"/>
          <w:w w:val="115"/>
          <w:sz w:val="20"/>
        </w:rPr>
        <w:t>Statement</w:t>
      </w:r>
    </w:p>
    <w:p>
      <w:pPr>
        <w:pStyle w:val="ListParagraph"/>
        <w:numPr>
          <w:ilvl w:val="2"/>
          <w:numId w:val="73"/>
        </w:numPr>
        <w:tabs>
          <w:tab w:pos="794" w:val="left" w:leader="none"/>
          <w:tab w:pos="795" w:val="left" w:leader="none"/>
        </w:tabs>
        <w:spacing w:line="198" w:lineRule="exact" w:before="0" w:after="0"/>
        <w:ind w:left="794" w:right="0" w:hanging="690"/>
        <w:jc w:val="left"/>
        <w:rPr>
          <w:sz w:val="20"/>
        </w:rPr>
      </w:pPr>
      <w:r>
        <w:rPr>
          <w:color w:val="3A383A"/>
          <w:w w:val="110"/>
          <w:sz w:val="20"/>
        </w:rPr>
        <w:t>Motion</w:t>
      </w:r>
      <w:r>
        <w:rPr>
          <w:color w:val="3A383A"/>
          <w:spacing w:val="1"/>
          <w:w w:val="110"/>
          <w:sz w:val="20"/>
        </w:rPr>
        <w:t> </w:t>
      </w:r>
      <w:r>
        <w:rPr>
          <w:color w:val="3A383A"/>
          <w:w w:val="110"/>
          <w:sz w:val="20"/>
        </w:rPr>
        <w:t>Brief</w:t>
      </w:r>
      <w:r>
        <w:rPr>
          <w:color w:val="3A383A"/>
          <w:spacing w:val="18"/>
          <w:w w:val="110"/>
          <w:sz w:val="20"/>
        </w:rPr>
        <w:t> </w:t>
      </w:r>
      <w:r>
        <w:rPr>
          <w:color w:val="3A383A"/>
          <w:w w:val="110"/>
          <w:sz w:val="20"/>
        </w:rPr>
        <w:t>Introductions</w:t>
      </w:r>
    </w:p>
    <w:p>
      <w:pPr>
        <w:pStyle w:val="ListParagraph"/>
        <w:numPr>
          <w:ilvl w:val="2"/>
          <w:numId w:val="73"/>
        </w:numPr>
        <w:tabs>
          <w:tab w:pos="791" w:val="left" w:leader="none"/>
        </w:tabs>
        <w:spacing w:line="198" w:lineRule="exact" w:before="0" w:after="0"/>
        <w:ind w:left="790" w:right="0" w:hanging="686"/>
        <w:jc w:val="left"/>
        <w:rPr>
          <w:sz w:val="20"/>
        </w:rPr>
      </w:pPr>
      <w:r>
        <w:rPr>
          <w:color w:val="3A383A"/>
          <w:w w:val="110"/>
          <w:sz w:val="20"/>
        </w:rPr>
        <w:t>Questions</w:t>
      </w:r>
      <w:r>
        <w:rPr>
          <w:color w:val="3A383A"/>
          <w:spacing w:val="-2"/>
          <w:w w:val="110"/>
          <w:sz w:val="20"/>
        </w:rPr>
        <w:t> </w:t>
      </w:r>
      <w:r>
        <w:rPr>
          <w:color w:val="3A383A"/>
          <w:w w:val="110"/>
          <w:sz w:val="20"/>
        </w:rPr>
        <w:t>Presented</w:t>
      </w:r>
    </w:p>
    <w:p>
      <w:pPr>
        <w:pStyle w:val="ListParagraph"/>
        <w:numPr>
          <w:ilvl w:val="3"/>
          <w:numId w:val="73"/>
        </w:numPr>
        <w:tabs>
          <w:tab w:pos="1141" w:val="left" w:leader="none"/>
        </w:tabs>
        <w:spacing w:line="219" w:lineRule="exact" w:before="0" w:after="0"/>
        <w:ind w:left="1140" w:right="0" w:hanging="354"/>
        <w:jc w:val="left"/>
        <w:rPr>
          <w:sz w:val="20"/>
        </w:rPr>
      </w:pPr>
      <w:r>
        <w:rPr>
          <w:color w:val="3A383A"/>
          <w:w w:val="110"/>
          <w:sz w:val="20"/>
        </w:rPr>
        <w:t>Elements</w:t>
      </w:r>
      <w:r>
        <w:rPr>
          <w:color w:val="3A383A"/>
          <w:spacing w:val="-3"/>
          <w:w w:val="110"/>
          <w:sz w:val="20"/>
        </w:rPr>
        <w:t> </w:t>
      </w:r>
      <w:r>
        <w:rPr>
          <w:color w:val="3A383A"/>
          <w:w w:val="110"/>
          <w:sz w:val="20"/>
        </w:rPr>
        <w:t>to</w:t>
      </w:r>
      <w:r>
        <w:rPr>
          <w:color w:val="3A383A"/>
          <w:spacing w:val="12"/>
          <w:w w:val="110"/>
          <w:sz w:val="20"/>
        </w:rPr>
        <w:t> </w:t>
      </w:r>
      <w:r>
        <w:rPr>
          <w:color w:val="3A383A"/>
          <w:w w:val="110"/>
          <w:sz w:val="20"/>
        </w:rPr>
        <w:t>Include</w:t>
      </w:r>
    </w:p>
    <w:p>
      <w:pPr>
        <w:pStyle w:val="ListParagraph"/>
        <w:numPr>
          <w:ilvl w:val="3"/>
          <w:numId w:val="73"/>
        </w:numPr>
        <w:tabs>
          <w:tab w:pos="1142" w:val="left" w:leader="none"/>
        </w:tabs>
        <w:spacing w:line="222" w:lineRule="exact" w:before="0" w:after="0"/>
        <w:ind w:left="1141" w:right="0" w:hanging="340"/>
        <w:jc w:val="left"/>
        <w:rPr>
          <w:sz w:val="20"/>
        </w:rPr>
      </w:pPr>
      <w:r>
        <w:rPr>
          <w:color w:val="3A383A"/>
          <w:w w:val="105"/>
          <w:sz w:val="20"/>
        </w:rPr>
        <w:t>Persuasive</w:t>
      </w:r>
      <w:r>
        <w:rPr>
          <w:color w:val="3A383A"/>
          <w:spacing w:val="9"/>
          <w:w w:val="105"/>
          <w:sz w:val="20"/>
        </w:rPr>
        <w:t> </w:t>
      </w:r>
      <w:r>
        <w:rPr>
          <w:color w:val="3A383A"/>
          <w:w w:val="105"/>
          <w:sz w:val="20"/>
        </w:rPr>
        <w:t>Questions</w:t>
      </w:r>
      <w:r>
        <w:rPr>
          <w:color w:val="3A383A"/>
          <w:spacing w:val="26"/>
          <w:w w:val="105"/>
          <w:sz w:val="20"/>
        </w:rPr>
        <w:t> </w:t>
      </w:r>
      <w:r>
        <w:rPr>
          <w:color w:val="3A383A"/>
          <w:w w:val="105"/>
          <w:sz w:val="20"/>
        </w:rPr>
        <w:t>Presented</w:t>
      </w:r>
    </w:p>
    <w:p>
      <w:pPr>
        <w:pStyle w:val="ListParagraph"/>
        <w:numPr>
          <w:ilvl w:val="3"/>
          <w:numId w:val="73"/>
        </w:numPr>
        <w:tabs>
          <w:tab w:pos="1142" w:val="left" w:leader="none"/>
        </w:tabs>
        <w:spacing w:line="217" w:lineRule="exact" w:before="0" w:after="0"/>
        <w:ind w:left="1141" w:right="0" w:hanging="354"/>
        <w:jc w:val="left"/>
        <w:rPr>
          <w:sz w:val="20"/>
        </w:rPr>
      </w:pPr>
      <w:r>
        <w:rPr>
          <w:color w:val="3A383A"/>
          <w:w w:val="105"/>
          <w:sz w:val="20"/>
        </w:rPr>
        <w:t>Problems</w:t>
      </w:r>
      <w:r>
        <w:rPr>
          <w:color w:val="3A383A"/>
          <w:spacing w:val="-2"/>
          <w:w w:val="105"/>
          <w:sz w:val="20"/>
        </w:rPr>
        <w:t> </w:t>
      </w:r>
      <w:r>
        <w:rPr>
          <w:color w:val="3A383A"/>
          <w:w w:val="105"/>
          <w:sz w:val="20"/>
        </w:rPr>
        <w:t>to</w:t>
      </w:r>
      <w:r>
        <w:rPr>
          <w:color w:val="3A383A"/>
          <w:spacing w:val="22"/>
          <w:w w:val="105"/>
          <w:sz w:val="20"/>
        </w:rPr>
        <w:t> </w:t>
      </w:r>
      <w:r>
        <w:rPr>
          <w:color w:val="3A383A"/>
          <w:w w:val="105"/>
          <w:sz w:val="20"/>
        </w:rPr>
        <w:t>Avoid</w:t>
      </w:r>
    </w:p>
    <w:p>
      <w:pPr>
        <w:pStyle w:val="ListParagraph"/>
        <w:numPr>
          <w:ilvl w:val="4"/>
          <w:numId w:val="73"/>
        </w:numPr>
        <w:tabs>
          <w:tab w:pos="1451" w:val="left" w:leader="none"/>
          <w:tab w:pos="1452" w:val="left" w:leader="none"/>
        </w:tabs>
        <w:spacing w:line="221" w:lineRule="exact" w:before="0" w:after="0"/>
        <w:ind w:left="1451" w:right="0" w:hanging="362"/>
        <w:jc w:val="left"/>
        <w:rPr>
          <w:sz w:val="20"/>
        </w:rPr>
      </w:pPr>
      <w:r>
        <w:rPr>
          <w:color w:val="3A383A"/>
          <w:w w:val="105"/>
          <w:sz w:val="20"/>
        </w:rPr>
        <w:t>Assuming</w:t>
      </w:r>
      <w:r>
        <w:rPr>
          <w:color w:val="3A383A"/>
          <w:spacing w:val="30"/>
          <w:w w:val="105"/>
          <w:sz w:val="20"/>
        </w:rPr>
        <w:t> </w:t>
      </w:r>
      <w:r>
        <w:rPr>
          <w:color w:val="3A383A"/>
          <w:w w:val="105"/>
          <w:sz w:val="20"/>
        </w:rPr>
        <w:t>Elements</w:t>
      </w:r>
      <w:r>
        <w:rPr>
          <w:color w:val="3A383A"/>
          <w:spacing w:val="-3"/>
          <w:w w:val="105"/>
          <w:sz w:val="20"/>
        </w:rPr>
        <w:t> </w:t>
      </w:r>
      <w:r>
        <w:rPr>
          <w:color w:val="3A383A"/>
          <w:w w:val="105"/>
          <w:sz w:val="20"/>
        </w:rPr>
        <w:t>at</w:t>
      </w:r>
      <w:r>
        <w:rPr>
          <w:color w:val="3A383A"/>
          <w:spacing w:val="38"/>
          <w:w w:val="105"/>
          <w:sz w:val="20"/>
        </w:rPr>
        <w:t> </w:t>
      </w:r>
      <w:r>
        <w:rPr>
          <w:color w:val="3A383A"/>
          <w:w w:val="105"/>
          <w:sz w:val="20"/>
        </w:rPr>
        <w:t>Issue</w:t>
      </w:r>
    </w:p>
    <w:p>
      <w:pPr>
        <w:spacing w:line="211" w:lineRule="exact" w:before="0"/>
        <w:ind w:left="1091" w:right="0" w:firstLine="0"/>
        <w:jc w:val="left"/>
        <w:rPr>
          <w:sz w:val="20"/>
        </w:rPr>
      </w:pPr>
      <w:r>
        <w:rPr>
          <w:rFonts w:ascii="Arial"/>
          <w:color w:val="3A383A"/>
          <w:w w:val="110"/>
          <w:sz w:val="21"/>
        </w:rPr>
        <w:t>ii. </w:t>
      </w:r>
      <w:r>
        <w:rPr>
          <w:rFonts w:ascii="Arial"/>
          <w:color w:val="3A383A"/>
          <w:spacing w:val="10"/>
          <w:w w:val="110"/>
          <w:sz w:val="21"/>
        </w:rPr>
        <w:t> </w:t>
      </w:r>
      <w:r>
        <w:rPr>
          <w:color w:val="3A383A"/>
          <w:w w:val="110"/>
          <w:sz w:val="20"/>
        </w:rPr>
        <w:t>Overlong</w:t>
      </w:r>
      <w:r>
        <w:rPr>
          <w:color w:val="3A383A"/>
          <w:spacing w:val="-6"/>
          <w:w w:val="110"/>
          <w:sz w:val="20"/>
        </w:rPr>
        <w:t> </w:t>
      </w:r>
      <w:r>
        <w:rPr>
          <w:color w:val="3A383A"/>
          <w:w w:val="110"/>
          <w:sz w:val="20"/>
        </w:rPr>
        <w:t>Questions</w:t>
      </w:r>
    </w:p>
    <w:p>
      <w:pPr>
        <w:pStyle w:val="ListParagraph"/>
        <w:numPr>
          <w:ilvl w:val="3"/>
          <w:numId w:val="73"/>
        </w:numPr>
        <w:tabs>
          <w:tab w:pos="1132" w:val="left" w:leader="none"/>
        </w:tabs>
        <w:spacing w:line="206" w:lineRule="auto" w:before="10" w:after="0"/>
        <w:ind w:left="109" w:right="5051" w:firstLine="688"/>
        <w:jc w:val="left"/>
        <w:rPr>
          <w:sz w:val="20"/>
        </w:rPr>
      </w:pPr>
      <w:r>
        <w:rPr>
          <w:color w:val="3A383A"/>
          <w:w w:val="110"/>
          <w:sz w:val="20"/>
        </w:rPr>
        <w:t>Summing</w:t>
      </w:r>
      <w:r>
        <w:rPr>
          <w:color w:val="3A383A"/>
          <w:spacing w:val="10"/>
          <w:w w:val="110"/>
          <w:sz w:val="20"/>
        </w:rPr>
        <w:t> </w:t>
      </w:r>
      <w:r>
        <w:rPr>
          <w:color w:val="3A383A"/>
          <w:w w:val="110"/>
          <w:sz w:val="20"/>
        </w:rPr>
        <w:t>Up</w:t>
      </w:r>
      <w:r>
        <w:rPr>
          <w:color w:val="3A383A"/>
          <w:spacing w:val="-52"/>
          <w:w w:val="110"/>
          <w:sz w:val="20"/>
        </w:rPr>
        <w:t> </w:t>
      </w:r>
      <w:r>
        <w:rPr>
          <w:color w:val="3A383A"/>
          <w:w w:val="115"/>
          <w:sz w:val="20"/>
        </w:rPr>
        <w:t>Statements</w:t>
      </w:r>
      <w:r>
        <w:rPr>
          <w:color w:val="3A383A"/>
          <w:spacing w:val="-10"/>
          <w:w w:val="115"/>
          <w:sz w:val="20"/>
        </w:rPr>
        <w:t> </w:t>
      </w:r>
      <w:r>
        <w:rPr>
          <w:color w:val="3A383A"/>
          <w:w w:val="115"/>
          <w:sz w:val="20"/>
        </w:rPr>
        <w:t>of</w:t>
      </w:r>
      <w:r>
        <w:rPr>
          <w:color w:val="3A383A"/>
          <w:spacing w:val="6"/>
          <w:w w:val="115"/>
          <w:sz w:val="20"/>
        </w:rPr>
        <w:t> </w:t>
      </w:r>
      <w:r>
        <w:rPr>
          <w:color w:val="3A383A"/>
          <w:w w:val="115"/>
          <w:sz w:val="20"/>
        </w:rPr>
        <w:t>the</w:t>
      </w:r>
      <w:r>
        <w:rPr>
          <w:color w:val="3A383A"/>
          <w:spacing w:val="23"/>
          <w:w w:val="115"/>
          <w:sz w:val="20"/>
        </w:rPr>
        <w:t> </w:t>
      </w:r>
      <w:r>
        <w:rPr>
          <w:color w:val="3A383A"/>
          <w:w w:val="115"/>
          <w:sz w:val="20"/>
        </w:rPr>
        <w:t>Case</w:t>
      </w:r>
    </w:p>
    <w:p>
      <w:pPr>
        <w:pStyle w:val="ListParagraph"/>
        <w:numPr>
          <w:ilvl w:val="2"/>
          <w:numId w:val="74"/>
        </w:numPr>
        <w:tabs>
          <w:tab w:pos="813" w:val="left" w:leader="none"/>
          <w:tab w:pos="814" w:val="left" w:leader="none"/>
        </w:tabs>
        <w:spacing w:line="190" w:lineRule="exact" w:before="0" w:after="0"/>
        <w:ind w:left="813" w:right="0" w:hanging="699"/>
        <w:jc w:val="left"/>
        <w:rPr>
          <w:sz w:val="20"/>
        </w:rPr>
      </w:pPr>
      <w:r>
        <w:rPr>
          <w:color w:val="3A383A"/>
          <w:spacing w:val="-1"/>
          <w:w w:val="110"/>
          <w:sz w:val="20"/>
        </w:rPr>
        <w:t>Formal</w:t>
      </w:r>
      <w:r>
        <w:rPr>
          <w:color w:val="3A383A"/>
          <w:spacing w:val="-8"/>
          <w:w w:val="110"/>
          <w:sz w:val="20"/>
        </w:rPr>
        <w:t> </w:t>
      </w:r>
      <w:r>
        <w:rPr>
          <w:color w:val="3A383A"/>
          <w:spacing w:val="-1"/>
          <w:w w:val="110"/>
          <w:sz w:val="20"/>
        </w:rPr>
        <w:t>Requirements</w:t>
      </w:r>
    </w:p>
    <w:p>
      <w:pPr>
        <w:pStyle w:val="ListParagraph"/>
        <w:numPr>
          <w:ilvl w:val="2"/>
          <w:numId w:val="74"/>
        </w:numPr>
        <w:tabs>
          <w:tab w:pos="800" w:val="left" w:leader="none"/>
        </w:tabs>
        <w:spacing w:line="198" w:lineRule="exact" w:before="0" w:after="0"/>
        <w:ind w:left="799" w:right="0" w:hanging="685"/>
        <w:jc w:val="left"/>
        <w:rPr>
          <w:sz w:val="20"/>
        </w:rPr>
      </w:pPr>
      <w:r>
        <w:rPr>
          <w:color w:val="3A383A"/>
          <w:w w:val="110"/>
          <w:sz w:val="20"/>
        </w:rPr>
        <w:t>Organizing</w:t>
      </w:r>
      <w:r>
        <w:rPr>
          <w:color w:val="3A383A"/>
          <w:spacing w:val="5"/>
          <w:w w:val="110"/>
          <w:sz w:val="20"/>
        </w:rPr>
        <w:t> </w:t>
      </w:r>
      <w:r>
        <w:rPr>
          <w:color w:val="3A383A"/>
          <w:w w:val="110"/>
          <w:sz w:val="20"/>
        </w:rPr>
        <w:t>the</w:t>
      </w:r>
      <w:r>
        <w:rPr>
          <w:color w:val="3A383A"/>
          <w:spacing w:val="19"/>
          <w:w w:val="110"/>
          <w:sz w:val="20"/>
        </w:rPr>
        <w:t> </w:t>
      </w:r>
      <w:r>
        <w:rPr>
          <w:color w:val="3A383A"/>
          <w:w w:val="110"/>
          <w:sz w:val="20"/>
        </w:rPr>
        <w:t>Fact</w:t>
      </w:r>
      <w:r>
        <w:rPr>
          <w:color w:val="3A383A"/>
          <w:spacing w:val="-13"/>
          <w:w w:val="110"/>
          <w:sz w:val="20"/>
        </w:rPr>
        <w:t> </w:t>
      </w:r>
      <w:r>
        <w:rPr>
          <w:color w:val="3A383A"/>
          <w:w w:val="110"/>
          <w:sz w:val="20"/>
        </w:rPr>
        <w:t>Statement</w:t>
      </w:r>
    </w:p>
    <w:p>
      <w:pPr>
        <w:pStyle w:val="ListParagraph"/>
        <w:numPr>
          <w:ilvl w:val="2"/>
          <w:numId w:val="74"/>
        </w:numPr>
        <w:tabs>
          <w:tab w:pos="813" w:val="left" w:leader="none"/>
          <w:tab w:pos="814" w:val="left" w:leader="none"/>
        </w:tabs>
        <w:spacing w:line="198" w:lineRule="exact" w:before="0" w:after="0"/>
        <w:ind w:left="813" w:right="0" w:hanging="699"/>
        <w:jc w:val="left"/>
        <w:rPr>
          <w:sz w:val="20"/>
        </w:rPr>
      </w:pPr>
      <w:r>
        <w:rPr>
          <w:color w:val="3A383A"/>
          <w:w w:val="105"/>
          <w:sz w:val="20"/>
        </w:rPr>
        <w:t>Making</w:t>
      </w:r>
      <w:r>
        <w:rPr>
          <w:color w:val="3A383A"/>
          <w:spacing w:val="20"/>
          <w:w w:val="105"/>
          <w:sz w:val="20"/>
        </w:rPr>
        <w:t> </w:t>
      </w:r>
      <w:r>
        <w:rPr>
          <w:color w:val="3A383A"/>
          <w:w w:val="105"/>
          <w:sz w:val="20"/>
        </w:rPr>
        <w:t>the </w:t>
      </w:r>
      <w:r>
        <w:rPr>
          <w:color w:val="3A383A"/>
          <w:spacing w:val="4"/>
          <w:w w:val="105"/>
          <w:sz w:val="20"/>
        </w:rPr>
        <w:t> </w:t>
      </w:r>
      <w:r>
        <w:rPr>
          <w:color w:val="3A383A"/>
          <w:w w:val="105"/>
          <w:sz w:val="20"/>
        </w:rPr>
        <w:t>Fact</w:t>
      </w:r>
      <w:r>
        <w:rPr>
          <w:color w:val="3A383A"/>
          <w:spacing w:val="-10"/>
          <w:w w:val="105"/>
          <w:sz w:val="20"/>
        </w:rPr>
        <w:t> </w:t>
      </w:r>
      <w:r>
        <w:rPr>
          <w:color w:val="3A383A"/>
          <w:w w:val="105"/>
          <w:sz w:val="20"/>
        </w:rPr>
        <w:t>Statement</w:t>
      </w:r>
      <w:r>
        <w:rPr>
          <w:color w:val="3A383A"/>
          <w:spacing w:val="23"/>
          <w:w w:val="105"/>
          <w:sz w:val="20"/>
        </w:rPr>
        <w:t> </w:t>
      </w:r>
      <w:r>
        <w:rPr>
          <w:color w:val="3A383A"/>
          <w:w w:val="105"/>
          <w:sz w:val="20"/>
        </w:rPr>
        <w:t>Persuasive</w:t>
      </w:r>
    </w:p>
    <w:p>
      <w:pPr>
        <w:pStyle w:val="ListParagraph"/>
        <w:numPr>
          <w:ilvl w:val="3"/>
          <w:numId w:val="74"/>
        </w:numPr>
        <w:tabs>
          <w:tab w:pos="1151" w:val="left" w:leader="none"/>
        </w:tabs>
        <w:spacing w:line="219" w:lineRule="exact" w:before="0" w:after="0"/>
        <w:ind w:left="1150" w:right="0" w:hanging="345"/>
        <w:jc w:val="left"/>
        <w:rPr>
          <w:sz w:val="20"/>
        </w:rPr>
      </w:pPr>
      <w:r>
        <w:rPr>
          <w:color w:val="3A383A"/>
          <w:w w:val="105"/>
          <w:sz w:val="20"/>
        </w:rPr>
        <w:t>Positions</w:t>
      </w:r>
      <w:r>
        <w:rPr>
          <w:color w:val="3A383A"/>
          <w:spacing w:val="-4"/>
          <w:w w:val="105"/>
          <w:sz w:val="20"/>
        </w:rPr>
        <w:t> </w:t>
      </w:r>
      <w:r>
        <w:rPr>
          <w:color w:val="3A383A"/>
          <w:w w:val="105"/>
          <w:sz w:val="20"/>
        </w:rPr>
        <w:t>of</w:t>
      </w:r>
      <w:r>
        <w:rPr>
          <w:color w:val="3A383A"/>
          <w:spacing w:val="39"/>
          <w:w w:val="105"/>
          <w:sz w:val="20"/>
        </w:rPr>
        <w:t> </w:t>
      </w:r>
      <w:r>
        <w:rPr>
          <w:color w:val="3A383A"/>
          <w:w w:val="105"/>
          <w:sz w:val="20"/>
        </w:rPr>
        <w:t>Emphasis</w:t>
      </w:r>
    </w:p>
    <w:p>
      <w:pPr>
        <w:pStyle w:val="ListParagraph"/>
        <w:numPr>
          <w:ilvl w:val="3"/>
          <w:numId w:val="74"/>
        </w:numPr>
        <w:tabs>
          <w:tab w:pos="1151" w:val="left" w:leader="none"/>
        </w:tabs>
        <w:spacing w:line="217" w:lineRule="exact" w:before="0" w:after="0"/>
        <w:ind w:left="1150" w:right="0" w:hanging="340"/>
        <w:jc w:val="left"/>
        <w:rPr>
          <w:sz w:val="20"/>
        </w:rPr>
      </w:pPr>
      <w:r>
        <w:rPr>
          <w:color w:val="3A383A"/>
          <w:w w:val="110"/>
          <w:sz w:val="20"/>
        </w:rPr>
        <w:t>Pointillism</w:t>
      </w:r>
    </w:p>
    <w:p>
      <w:pPr>
        <w:pStyle w:val="ListParagraph"/>
        <w:numPr>
          <w:ilvl w:val="3"/>
          <w:numId w:val="74"/>
        </w:numPr>
        <w:tabs>
          <w:tab w:pos="1142" w:val="left" w:leader="none"/>
        </w:tabs>
        <w:spacing w:line="216" w:lineRule="exact" w:before="0" w:after="0"/>
        <w:ind w:left="1141" w:right="0" w:hanging="334"/>
        <w:jc w:val="left"/>
        <w:rPr>
          <w:sz w:val="20"/>
        </w:rPr>
      </w:pPr>
      <w:r>
        <w:rPr>
          <w:color w:val="3A383A"/>
          <w:w w:val="105"/>
          <w:sz w:val="20"/>
        </w:rPr>
        <w:t>Spending</w:t>
      </w:r>
      <w:r>
        <w:rPr>
          <w:color w:val="3A383A"/>
          <w:spacing w:val="23"/>
          <w:w w:val="105"/>
          <w:sz w:val="20"/>
        </w:rPr>
        <w:t> </w:t>
      </w:r>
      <w:r>
        <w:rPr>
          <w:color w:val="3A383A"/>
          <w:w w:val="105"/>
          <w:sz w:val="20"/>
        </w:rPr>
        <w:t>the</w:t>
      </w:r>
      <w:r>
        <w:rPr>
          <w:color w:val="3A383A"/>
          <w:spacing w:val="42"/>
          <w:w w:val="105"/>
          <w:sz w:val="20"/>
        </w:rPr>
        <w:t> </w:t>
      </w:r>
      <w:r>
        <w:rPr>
          <w:color w:val="3A383A"/>
          <w:w w:val="105"/>
          <w:sz w:val="20"/>
        </w:rPr>
        <w:t>Reader's</w:t>
      </w:r>
      <w:r>
        <w:rPr>
          <w:color w:val="3A383A"/>
          <w:spacing w:val="-18"/>
          <w:w w:val="105"/>
          <w:sz w:val="20"/>
        </w:rPr>
        <w:t> </w:t>
      </w:r>
      <w:r>
        <w:rPr>
          <w:color w:val="3A383A"/>
          <w:w w:val="105"/>
          <w:sz w:val="20"/>
        </w:rPr>
        <w:t>Time,</w:t>
      </w:r>
      <w:r>
        <w:rPr>
          <w:color w:val="3A383A"/>
          <w:spacing w:val="-10"/>
          <w:w w:val="105"/>
          <w:sz w:val="20"/>
        </w:rPr>
        <w:t> </w:t>
      </w:r>
      <w:r>
        <w:rPr>
          <w:color w:val="3A383A"/>
          <w:w w:val="105"/>
          <w:sz w:val="20"/>
        </w:rPr>
        <w:t>Saving</w:t>
      </w:r>
      <w:r>
        <w:rPr>
          <w:color w:val="3A383A"/>
          <w:spacing w:val="17"/>
          <w:w w:val="105"/>
          <w:sz w:val="20"/>
        </w:rPr>
        <w:t> </w:t>
      </w:r>
      <w:r>
        <w:rPr>
          <w:color w:val="3A383A"/>
          <w:w w:val="105"/>
          <w:sz w:val="20"/>
        </w:rPr>
        <w:t>the</w:t>
      </w:r>
      <w:r>
        <w:rPr>
          <w:color w:val="3A383A"/>
          <w:spacing w:val="49"/>
          <w:w w:val="105"/>
          <w:sz w:val="20"/>
        </w:rPr>
        <w:t> </w:t>
      </w:r>
      <w:r>
        <w:rPr>
          <w:color w:val="3A383A"/>
          <w:w w:val="105"/>
          <w:sz w:val="20"/>
        </w:rPr>
        <w:t>Reader's</w:t>
      </w:r>
      <w:r>
        <w:rPr>
          <w:color w:val="3A383A"/>
          <w:spacing w:val="27"/>
          <w:w w:val="105"/>
          <w:sz w:val="20"/>
        </w:rPr>
        <w:t> </w:t>
      </w:r>
      <w:r>
        <w:rPr>
          <w:color w:val="3A383A"/>
          <w:w w:val="105"/>
          <w:sz w:val="20"/>
        </w:rPr>
        <w:t>Energy</w:t>
      </w:r>
    </w:p>
    <w:p>
      <w:pPr>
        <w:pStyle w:val="ListParagraph"/>
        <w:numPr>
          <w:ilvl w:val="2"/>
          <w:numId w:val="74"/>
        </w:numPr>
        <w:tabs>
          <w:tab w:pos="804" w:val="left" w:leader="none"/>
        </w:tabs>
        <w:spacing w:line="200" w:lineRule="exact" w:before="0" w:after="0"/>
        <w:ind w:left="803" w:right="0" w:hanging="679"/>
        <w:jc w:val="left"/>
        <w:rPr>
          <w:sz w:val="20"/>
        </w:rPr>
      </w:pPr>
      <w:r>
        <w:rPr>
          <w:color w:val="3A383A"/>
          <w:spacing w:val="-1"/>
          <w:w w:val="110"/>
          <w:sz w:val="20"/>
        </w:rPr>
        <w:t>Special</w:t>
      </w:r>
      <w:r>
        <w:rPr>
          <w:color w:val="3A383A"/>
          <w:spacing w:val="-5"/>
          <w:w w:val="110"/>
          <w:sz w:val="20"/>
        </w:rPr>
        <w:t> </w:t>
      </w:r>
      <w:r>
        <w:rPr>
          <w:color w:val="3A383A"/>
          <w:spacing w:val="-1"/>
          <w:w w:val="110"/>
          <w:sz w:val="20"/>
        </w:rPr>
        <w:t>Considerations</w:t>
      </w:r>
      <w:r>
        <w:rPr>
          <w:color w:val="3A383A"/>
          <w:spacing w:val="-17"/>
          <w:w w:val="110"/>
          <w:sz w:val="20"/>
        </w:rPr>
        <w:t> </w:t>
      </w:r>
      <w:r>
        <w:rPr>
          <w:color w:val="3A383A"/>
          <w:w w:val="110"/>
          <w:sz w:val="20"/>
        </w:rPr>
        <w:t>for</w:t>
      </w:r>
      <w:r>
        <w:rPr>
          <w:color w:val="3A383A"/>
          <w:spacing w:val="-8"/>
          <w:w w:val="110"/>
          <w:sz w:val="20"/>
        </w:rPr>
        <w:t> </w:t>
      </w:r>
      <w:r>
        <w:rPr>
          <w:color w:val="3A383A"/>
          <w:w w:val="110"/>
          <w:sz w:val="20"/>
        </w:rPr>
        <w:t>Motion</w:t>
      </w:r>
      <w:r>
        <w:rPr>
          <w:color w:val="3A383A"/>
          <w:spacing w:val="11"/>
          <w:w w:val="110"/>
          <w:sz w:val="20"/>
        </w:rPr>
        <w:t> </w:t>
      </w:r>
      <w:r>
        <w:rPr>
          <w:color w:val="3A383A"/>
          <w:w w:val="110"/>
          <w:sz w:val="20"/>
        </w:rPr>
        <w:t>Brief</w:t>
      </w:r>
      <w:r>
        <w:rPr>
          <w:color w:val="3A383A"/>
          <w:spacing w:val="21"/>
          <w:w w:val="110"/>
          <w:sz w:val="20"/>
        </w:rPr>
        <w:t> </w:t>
      </w:r>
      <w:r>
        <w:rPr>
          <w:color w:val="3A383A"/>
          <w:w w:val="110"/>
          <w:sz w:val="20"/>
        </w:rPr>
        <w:t>Fact</w:t>
      </w:r>
      <w:r>
        <w:rPr>
          <w:color w:val="3A383A"/>
          <w:spacing w:val="-22"/>
          <w:w w:val="110"/>
          <w:sz w:val="20"/>
        </w:rPr>
        <w:t> </w:t>
      </w:r>
      <w:r>
        <w:rPr>
          <w:color w:val="3A383A"/>
          <w:w w:val="110"/>
          <w:sz w:val="20"/>
        </w:rPr>
        <w:t>Statements</w:t>
      </w:r>
    </w:p>
    <w:p>
      <w:pPr>
        <w:pStyle w:val="ListParagraph"/>
        <w:numPr>
          <w:ilvl w:val="2"/>
          <w:numId w:val="74"/>
        </w:numPr>
        <w:tabs>
          <w:tab w:pos="804" w:val="left" w:leader="none"/>
        </w:tabs>
        <w:spacing w:line="206" w:lineRule="auto" w:before="12" w:after="0"/>
        <w:ind w:left="118" w:right="4755" w:firstLine="6"/>
        <w:jc w:val="left"/>
        <w:rPr>
          <w:sz w:val="20"/>
        </w:rPr>
      </w:pPr>
      <w:r>
        <w:rPr>
          <w:color w:val="3A383A"/>
          <w:w w:val="115"/>
          <w:sz w:val="20"/>
        </w:rPr>
        <w:t>Summing Up</w:t>
      </w:r>
      <w:r>
        <w:rPr>
          <w:color w:val="3A383A"/>
          <w:spacing w:val="1"/>
          <w:w w:val="115"/>
          <w:sz w:val="20"/>
        </w:rPr>
        <w:t> </w:t>
      </w:r>
      <w:r>
        <w:rPr>
          <w:color w:val="3A383A"/>
          <w:w w:val="115"/>
          <w:sz w:val="20"/>
        </w:rPr>
        <w:t>Summary</w:t>
      </w:r>
      <w:r>
        <w:rPr>
          <w:color w:val="3A383A"/>
          <w:spacing w:val="-13"/>
          <w:w w:val="115"/>
          <w:sz w:val="20"/>
        </w:rPr>
        <w:t> </w:t>
      </w:r>
      <w:r>
        <w:rPr>
          <w:color w:val="3A383A"/>
          <w:w w:val="115"/>
          <w:sz w:val="20"/>
        </w:rPr>
        <w:t>of</w:t>
      </w:r>
      <w:r>
        <w:rPr>
          <w:color w:val="3A383A"/>
          <w:spacing w:val="4"/>
          <w:w w:val="115"/>
          <w:sz w:val="20"/>
        </w:rPr>
        <w:t> </w:t>
      </w:r>
      <w:r>
        <w:rPr>
          <w:color w:val="4F4F50"/>
          <w:w w:val="115"/>
          <w:sz w:val="20"/>
        </w:rPr>
        <w:t>the</w:t>
      </w:r>
      <w:r>
        <w:rPr>
          <w:color w:val="4F4F50"/>
          <w:spacing w:val="35"/>
          <w:w w:val="115"/>
          <w:sz w:val="20"/>
        </w:rPr>
        <w:t> </w:t>
      </w:r>
      <w:r>
        <w:rPr>
          <w:color w:val="3A383A"/>
          <w:w w:val="115"/>
          <w:sz w:val="20"/>
        </w:rPr>
        <w:t>Argument</w:t>
      </w:r>
      <w:r>
        <w:rPr>
          <w:color w:val="3A383A"/>
          <w:spacing w:val="-55"/>
          <w:w w:val="115"/>
          <w:sz w:val="20"/>
        </w:rPr>
        <w:t> </w:t>
      </w:r>
      <w:r>
        <w:rPr>
          <w:color w:val="3A383A"/>
          <w:w w:val="115"/>
          <w:sz w:val="20"/>
        </w:rPr>
        <w:t>Point</w:t>
      </w:r>
      <w:r>
        <w:rPr>
          <w:color w:val="3A383A"/>
          <w:spacing w:val="-5"/>
          <w:w w:val="115"/>
          <w:sz w:val="20"/>
        </w:rPr>
        <w:t> </w:t>
      </w:r>
      <w:r>
        <w:rPr>
          <w:color w:val="3A383A"/>
          <w:w w:val="115"/>
          <w:sz w:val="20"/>
        </w:rPr>
        <w:t>Headings</w:t>
      </w:r>
    </w:p>
    <w:p>
      <w:pPr>
        <w:pStyle w:val="ListParagraph"/>
        <w:numPr>
          <w:ilvl w:val="2"/>
          <w:numId w:val="75"/>
        </w:numPr>
        <w:tabs>
          <w:tab w:pos="823" w:val="left" w:leader="none"/>
        </w:tabs>
        <w:spacing w:line="184" w:lineRule="exact" w:before="0" w:after="0"/>
        <w:ind w:left="822" w:right="0" w:hanging="698"/>
        <w:jc w:val="left"/>
        <w:rPr>
          <w:rFonts w:ascii="Arial"/>
          <w:b/>
          <w:color w:val="3A383A"/>
          <w:sz w:val="20"/>
        </w:rPr>
      </w:pPr>
      <w:r>
        <w:rPr>
          <w:color w:val="3A383A"/>
          <w:w w:val="110"/>
          <w:sz w:val="20"/>
        </w:rPr>
        <w:t>Format</w:t>
      </w:r>
      <w:r>
        <w:rPr>
          <w:color w:val="3A383A"/>
          <w:spacing w:val="-1"/>
          <w:w w:val="110"/>
          <w:sz w:val="20"/>
        </w:rPr>
        <w:t> </w:t>
      </w:r>
      <w:r>
        <w:rPr>
          <w:color w:val="3A383A"/>
          <w:w w:val="110"/>
          <w:sz w:val="20"/>
        </w:rPr>
        <w:t>and</w:t>
      </w:r>
      <w:r>
        <w:rPr>
          <w:color w:val="3A383A"/>
          <w:spacing w:val="28"/>
          <w:w w:val="110"/>
          <w:sz w:val="20"/>
        </w:rPr>
        <w:t> </w:t>
      </w:r>
      <w:r>
        <w:rPr>
          <w:color w:val="3A383A"/>
          <w:w w:val="110"/>
          <w:sz w:val="20"/>
        </w:rPr>
        <w:t>Function</w:t>
      </w:r>
    </w:p>
    <w:p>
      <w:pPr>
        <w:pStyle w:val="ListParagraph"/>
        <w:numPr>
          <w:ilvl w:val="2"/>
          <w:numId w:val="75"/>
        </w:numPr>
        <w:tabs>
          <w:tab w:pos="832" w:val="left" w:leader="none"/>
          <w:tab w:pos="833" w:val="left" w:leader="none"/>
        </w:tabs>
        <w:spacing w:line="198" w:lineRule="exact" w:before="0" w:after="0"/>
        <w:ind w:left="832" w:right="0" w:hanging="708"/>
        <w:jc w:val="left"/>
        <w:rPr>
          <w:rFonts w:ascii="Arial"/>
          <w:b/>
          <w:color w:val="3A383A"/>
          <w:sz w:val="20"/>
        </w:rPr>
      </w:pPr>
      <w:r>
        <w:rPr>
          <w:color w:val="3A383A"/>
          <w:w w:val="110"/>
          <w:sz w:val="20"/>
        </w:rPr>
        <w:t>Drafting</w:t>
      </w:r>
      <w:r>
        <w:rPr>
          <w:color w:val="3A383A"/>
          <w:spacing w:val="5"/>
          <w:w w:val="110"/>
          <w:sz w:val="20"/>
        </w:rPr>
        <w:t> </w:t>
      </w:r>
      <w:r>
        <w:rPr>
          <w:color w:val="3A383A"/>
          <w:w w:val="110"/>
          <w:sz w:val="20"/>
        </w:rPr>
        <w:t>the</w:t>
      </w:r>
      <w:r>
        <w:rPr>
          <w:color w:val="3A383A"/>
          <w:spacing w:val="18"/>
          <w:w w:val="110"/>
          <w:sz w:val="20"/>
        </w:rPr>
        <w:t> </w:t>
      </w:r>
      <w:r>
        <w:rPr>
          <w:color w:val="3A383A"/>
          <w:w w:val="110"/>
          <w:sz w:val="20"/>
        </w:rPr>
        <w:t>Point</w:t>
      </w:r>
      <w:r>
        <w:rPr>
          <w:color w:val="3A383A"/>
          <w:spacing w:val="-6"/>
          <w:w w:val="110"/>
          <w:sz w:val="20"/>
        </w:rPr>
        <w:t> </w:t>
      </w:r>
      <w:r>
        <w:rPr>
          <w:color w:val="3A383A"/>
          <w:w w:val="110"/>
          <w:sz w:val="20"/>
        </w:rPr>
        <w:t>Headings</w:t>
      </w:r>
    </w:p>
    <w:p>
      <w:pPr>
        <w:pStyle w:val="ListParagraph"/>
        <w:numPr>
          <w:ilvl w:val="2"/>
          <w:numId w:val="75"/>
        </w:numPr>
        <w:tabs>
          <w:tab w:pos="821" w:val="left" w:leader="none"/>
        </w:tabs>
        <w:spacing w:line="198" w:lineRule="exact" w:before="0" w:after="0"/>
        <w:ind w:left="820" w:right="0" w:hanging="687"/>
        <w:jc w:val="left"/>
        <w:rPr>
          <w:rFonts w:ascii="Arial"/>
          <w:b/>
          <w:color w:val="3A383A"/>
          <w:sz w:val="20"/>
        </w:rPr>
      </w:pPr>
      <w:r>
        <w:rPr>
          <w:color w:val="4F4F50"/>
          <w:w w:val="110"/>
          <w:sz w:val="20"/>
        </w:rPr>
        <w:t>The</w:t>
      </w:r>
      <w:r>
        <w:rPr>
          <w:color w:val="4F4F50"/>
          <w:spacing w:val="-1"/>
          <w:w w:val="110"/>
          <w:sz w:val="20"/>
        </w:rPr>
        <w:t> </w:t>
      </w:r>
      <w:r>
        <w:rPr>
          <w:color w:val="3A383A"/>
          <w:w w:val="110"/>
          <w:sz w:val="20"/>
        </w:rPr>
        <w:t>Relationships</w:t>
      </w:r>
      <w:r>
        <w:rPr>
          <w:color w:val="3A383A"/>
          <w:spacing w:val="-1"/>
          <w:w w:val="110"/>
          <w:sz w:val="20"/>
        </w:rPr>
        <w:t> </w:t>
      </w:r>
      <w:r>
        <w:rPr>
          <w:color w:val="3A383A"/>
          <w:w w:val="110"/>
          <w:sz w:val="20"/>
        </w:rPr>
        <w:t>Between</w:t>
      </w:r>
      <w:r>
        <w:rPr>
          <w:color w:val="3A383A"/>
          <w:spacing w:val="-10"/>
          <w:w w:val="110"/>
          <w:sz w:val="20"/>
        </w:rPr>
        <w:t> </w:t>
      </w:r>
      <w:r>
        <w:rPr>
          <w:color w:val="3A383A"/>
          <w:w w:val="110"/>
          <w:sz w:val="20"/>
        </w:rPr>
        <w:t>and</w:t>
      </w:r>
      <w:r>
        <w:rPr>
          <w:color w:val="3A383A"/>
          <w:spacing w:val="32"/>
          <w:w w:val="110"/>
          <w:sz w:val="20"/>
        </w:rPr>
        <w:t> </w:t>
      </w:r>
      <w:r>
        <w:rPr>
          <w:color w:val="3A383A"/>
          <w:w w:val="110"/>
          <w:sz w:val="20"/>
        </w:rPr>
        <w:t>Among</w:t>
      </w:r>
      <w:r>
        <w:rPr>
          <w:color w:val="3A383A"/>
          <w:spacing w:val="-8"/>
          <w:w w:val="110"/>
          <w:sz w:val="20"/>
        </w:rPr>
        <w:t> </w:t>
      </w:r>
      <w:r>
        <w:rPr>
          <w:color w:val="3A383A"/>
          <w:w w:val="110"/>
          <w:sz w:val="20"/>
        </w:rPr>
        <w:t>Point</w:t>
      </w:r>
      <w:r>
        <w:rPr>
          <w:color w:val="3A383A"/>
          <w:spacing w:val="-1"/>
          <w:w w:val="110"/>
          <w:sz w:val="20"/>
        </w:rPr>
        <w:t> </w:t>
      </w:r>
      <w:r>
        <w:rPr>
          <w:color w:val="3A383A"/>
          <w:w w:val="110"/>
          <w:sz w:val="20"/>
        </w:rPr>
        <w:t>Headings</w:t>
      </w:r>
    </w:p>
    <w:p>
      <w:pPr>
        <w:pStyle w:val="ListParagraph"/>
        <w:numPr>
          <w:ilvl w:val="2"/>
          <w:numId w:val="75"/>
        </w:numPr>
        <w:tabs>
          <w:tab w:pos="821" w:val="left" w:leader="none"/>
        </w:tabs>
        <w:spacing w:line="201" w:lineRule="auto" w:before="15" w:after="0"/>
        <w:ind w:left="833" w:right="2165" w:hanging="700"/>
        <w:jc w:val="left"/>
        <w:rPr>
          <w:rFonts w:ascii="Arial"/>
          <w:b/>
          <w:color w:val="3A383A"/>
          <w:sz w:val="20"/>
        </w:rPr>
      </w:pPr>
      <w:r>
        <w:rPr>
          <w:color w:val="3A383A"/>
          <w:w w:val="105"/>
          <w:sz w:val="20"/>
        </w:rPr>
        <w:t>The Relationship</w:t>
      </w:r>
      <w:r>
        <w:rPr>
          <w:color w:val="3A383A"/>
          <w:spacing w:val="1"/>
          <w:w w:val="105"/>
          <w:sz w:val="20"/>
        </w:rPr>
        <w:t> </w:t>
      </w:r>
      <w:r>
        <w:rPr>
          <w:color w:val="3A383A"/>
          <w:w w:val="105"/>
          <w:sz w:val="20"/>
        </w:rPr>
        <w:t>Between</w:t>
      </w:r>
      <w:r>
        <w:rPr>
          <w:color w:val="3A383A"/>
          <w:spacing w:val="1"/>
          <w:w w:val="105"/>
          <w:sz w:val="20"/>
        </w:rPr>
        <w:t> </w:t>
      </w:r>
      <w:r>
        <w:rPr>
          <w:color w:val="3A383A"/>
          <w:w w:val="105"/>
          <w:sz w:val="20"/>
        </w:rPr>
        <w:t>the</w:t>
      </w:r>
      <w:r>
        <w:rPr>
          <w:color w:val="3A383A"/>
          <w:spacing w:val="1"/>
          <w:w w:val="105"/>
          <w:sz w:val="20"/>
        </w:rPr>
        <w:t> </w:t>
      </w:r>
      <w:r>
        <w:rPr>
          <w:color w:val="3A383A"/>
          <w:w w:val="105"/>
          <w:sz w:val="20"/>
        </w:rPr>
        <w:t>Point</w:t>
      </w:r>
      <w:r>
        <w:rPr>
          <w:color w:val="3A383A"/>
          <w:spacing w:val="1"/>
          <w:w w:val="105"/>
          <w:sz w:val="20"/>
        </w:rPr>
        <w:t> </w:t>
      </w:r>
      <w:r>
        <w:rPr>
          <w:color w:val="3A383A"/>
          <w:w w:val="105"/>
          <w:sz w:val="20"/>
        </w:rPr>
        <w:t>Heading and</w:t>
      </w:r>
      <w:r>
        <w:rPr>
          <w:color w:val="3A383A"/>
          <w:spacing w:val="-50"/>
          <w:w w:val="105"/>
          <w:sz w:val="20"/>
        </w:rPr>
        <w:t> </w:t>
      </w:r>
      <w:r>
        <w:rPr>
          <w:color w:val="3A383A"/>
          <w:w w:val="110"/>
          <w:sz w:val="20"/>
        </w:rPr>
        <w:t>the</w:t>
      </w:r>
      <w:r>
        <w:rPr>
          <w:color w:val="3A383A"/>
          <w:spacing w:val="17"/>
          <w:w w:val="110"/>
          <w:sz w:val="20"/>
        </w:rPr>
        <w:t> </w:t>
      </w:r>
      <w:r>
        <w:rPr>
          <w:color w:val="3A383A"/>
          <w:w w:val="110"/>
          <w:sz w:val="20"/>
        </w:rPr>
        <w:t>Paragraph</w:t>
      </w:r>
      <w:r>
        <w:rPr>
          <w:color w:val="3A383A"/>
          <w:spacing w:val="9"/>
          <w:w w:val="110"/>
          <w:sz w:val="20"/>
        </w:rPr>
        <w:t> </w:t>
      </w:r>
      <w:r>
        <w:rPr>
          <w:color w:val="3A383A"/>
          <w:w w:val="110"/>
          <w:sz w:val="20"/>
        </w:rPr>
        <w:t>Immediately</w:t>
      </w:r>
      <w:r>
        <w:rPr>
          <w:color w:val="3A383A"/>
          <w:spacing w:val="5"/>
          <w:w w:val="110"/>
          <w:sz w:val="20"/>
        </w:rPr>
        <w:t> </w:t>
      </w:r>
      <w:r>
        <w:rPr>
          <w:color w:val="3A383A"/>
          <w:w w:val="110"/>
          <w:sz w:val="20"/>
        </w:rPr>
        <w:t>Following</w:t>
      </w:r>
    </w:p>
    <w:p>
      <w:pPr>
        <w:spacing w:line="211" w:lineRule="auto" w:before="2"/>
        <w:ind w:left="128" w:right="4602" w:firstLine="6"/>
        <w:jc w:val="left"/>
        <w:rPr>
          <w:sz w:val="20"/>
        </w:rPr>
      </w:pPr>
      <w:r>
        <w:rPr>
          <w:b/>
          <w:color w:val="3A383A"/>
          <w:w w:val="115"/>
          <w:sz w:val="20"/>
        </w:rPr>
        <w:t>9.4.S</w:t>
      </w:r>
      <w:r>
        <w:rPr>
          <w:b/>
          <w:color w:val="3A383A"/>
          <w:spacing w:val="22"/>
          <w:w w:val="115"/>
          <w:sz w:val="20"/>
        </w:rPr>
        <w:t> </w:t>
      </w:r>
      <w:r>
        <w:rPr>
          <w:color w:val="3A383A"/>
          <w:w w:val="115"/>
          <w:sz w:val="20"/>
        </w:rPr>
        <w:t>Summing</w:t>
      </w:r>
      <w:r>
        <w:rPr>
          <w:color w:val="3A383A"/>
          <w:spacing w:val="-5"/>
          <w:w w:val="115"/>
          <w:sz w:val="20"/>
        </w:rPr>
        <w:t> </w:t>
      </w:r>
      <w:r>
        <w:rPr>
          <w:color w:val="3A383A"/>
          <w:w w:val="115"/>
          <w:sz w:val="20"/>
        </w:rPr>
        <w:t>Up</w:t>
      </w:r>
      <w:r>
        <w:rPr>
          <w:color w:val="3A383A"/>
          <w:spacing w:val="-55"/>
          <w:w w:val="115"/>
          <w:sz w:val="20"/>
        </w:rPr>
        <w:t> </w:t>
      </w:r>
      <w:r>
        <w:rPr>
          <w:color w:val="3A383A"/>
          <w:w w:val="115"/>
          <w:sz w:val="20"/>
        </w:rPr>
        <w:t>Summary</w:t>
      </w:r>
    </w:p>
    <w:p>
      <w:pPr>
        <w:spacing w:after="0" w:line="211" w:lineRule="auto"/>
        <w:jc w:val="left"/>
        <w:rPr>
          <w:sz w:val="20"/>
        </w:rPr>
        <w:sectPr>
          <w:type w:val="continuous"/>
          <w:pgSz w:w="9420" w:h="13740"/>
          <w:pgMar w:header="0" w:footer="0" w:top="340" w:bottom="280" w:left="300" w:right="760"/>
          <w:cols w:num="2" w:equalWidth="0">
            <w:col w:w="928" w:space="40"/>
            <w:col w:w="7392"/>
          </w:cols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32" w:lineRule="auto" w:before="98"/>
        <w:ind w:left="106" w:right="618" w:firstLine="523"/>
        <w:jc w:val="both"/>
      </w:pPr>
      <w:r>
        <w:rPr>
          <w:color w:val="282426"/>
          <w:w w:val="105"/>
        </w:rPr>
        <w:t>In </w:t>
      </w:r>
      <w:r>
        <w:rPr>
          <w:color w:val="3A383A"/>
          <w:w w:val="105"/>
        </w:rPr>
        <w:t>football, coaches organize several different types of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practices. The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offense and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the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defense must prepare differently, just as you must prepare a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petitioner's brief differently from the  way you  prepare a respondent's brief,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ora memorandum supporting a motion differently from a memorandum in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opposition to  a  motion. Football coaches also have practices for their "spe­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  <w:sz w:val="22"/>
        </w:rPr>
        <w:t>cial </w:t>
      </w:r>
      <w:r>
        <w:rPr>
          <w:color w:val="3A383A"/>
          <w:w w:val="105"/>
        </w:rPr>
        <w:t>teams," the  teams that handle certain types of  plays that occur during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most games. For example, coaches will hold a separate practice for kickoffs,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for kickoff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returns, and  for  the  onside  kick. Coaches  do  this because each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of these plays presents </w:t>
      </w:r>
      <w:r>
        <w:rPr>
          <w:color w:val="4F4F50"/>
          <w:w w:val="105"/>
        </w:rPr>
        <w:t>special </w:t>
      </w:r>
      <w:r>
        <w:rPr>
          <w:color w:val="3A383A"/>
          <w:w w:val="105"/>
        </w:rPr>
        <w:t>situations not part of the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regular play of the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  <w:sz w:val="25"/>
        </w:rPr>
        <w:t>game, </w:t>
      </w:r>
      <w:r>
        <w:rPr>
          <w:color w:val="3A383A"/>
          <w:w w:val="105"/>
        </w:rPr>
        <w:t>and each  has special  rules  that govern  lt.  Because  these situations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are opportunities to score points, or at least to create opportunities to score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points,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time focused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on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special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teams may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mean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the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difference  between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victory</w:t>
      </w:r>
      <w:r>
        <w:rPr>
          <w:color w:val="3A383A"/>
          <w:spacing w:val="-11"/>
          <w:w w:val="105"/>
        </w:rPr>
        <w:t> </w:t>
      </w:r>
      <w:r>
        <w:rPr>
          <w:color w:val="3A383A"/>
          <w:w w:val="105"/>
        </w:rPr>
        <w:t>and</w:t>
      </w:r>
      <w:r>
        <w:rPr>
          <w:color w:val="3A383A"/>
          <w:spacing w:val="52"/>
          <w:w w:val="105"/>
        </w:rPr>
        <w:t> </w:t>
      </w:r>
      <w:r>
        <w:rPr>
          <w:color w:val="3A383A"/>
          <w:w w:val="105"/>
        </w:rPr>
        <w:t>defeat.</w:t>
      </w:r>
    </w:p>
    <w:p>
      <w:pPr>
        <w:spacing w:after="0" w:line="232" w:lineRule="auto"/>
        <w:jc w:val="both"/>
        <w:sectPr>
          <w:type w:val="continuous"/>
          <w:pgSz w:w="9420" w:h="13740"/>
          <w:pgMar w:header="0" w:footer="0" w:top="340" w:bottom="280" w:left="300" w:right="760"/>
        </w:sectPr>
      </w:pPr>
    </w:p>
    <w:p>
      <w:pPr>
        <w:spacing w:before="81"/>
        <w:ind w:left="1159" w:right="0" w:firstLine="0"/>
        <w:jc w:val="left"/>
        <w:rPr>
          <w:rFonts w:ascii="Arial"/>
          <w:b/>
          <w:sz w:val="30"/>
        </w:rPr>
      </w:pPr>
      <w:r>
        <w:rPr>
          <w:rFonts w:ascii="Arial"/>
          <w:b/>
          <w:color w:val="4F4F52"/>
          <w:w w:val="105"/>
          <w:sz w:val="30"/>
        </w:rPr>
        <w:t>8</w:t>
      </w:r>
      <w:r>
        <w:rPr>
          <w:rFonts w:ascii="Arial"/>
          <w:b/>
          <w:color w:val="383638"/>
          <w:w w:val="105"/>
          <w:sz w:val="30"/>
        </w:rPr>
        <w:t>.</w:t>
      </w:r>
      <w:r>
        <w:rPr>
          <w:rFonts w:ascii="Arial"/>
          <w:b/>
          <w:color w:val="4F4F52"/>
          <w:w w:val="105"/>
          <w:sz w:val="30"/>
        </w:rPr>
        <w:t>6</w:t>
      </w:r>
    </w:p>
    <w:p>
      <w:pPr>
        <w:spacing w:before="60"/>
        <w:ind w:left="1157" w:right="0" w:firstLine="0"/>
        <w:jc w:val="left"/>
        <w:rPr>
          <w:b/>
          <w:sz w:val="28"/>
        </w:rPr>
      </w:pPr>
      <w:r>
        <w:rPr>
          <w:b/>
          <w:color w:val="4F4F52"/>
          <w:w w:val="90"/>
          <w:sz w:val="28"/>
        </w:rPr>
        <w:t>SUMMARY</w:t>
      </w:r>
    </w:p>
    <w:p>
      <w:pPr>
        <w:spacing w:line="240" w:lineRule="auto" w:before="225"/>
        <w:ind w:left="611" w:right="108" w:firstLine="557"/>
        <w:jc w:val="both"/>
        <w:rPr>
          <w:sz w:val="22"/>
        </w:rPr>
      </w:pPr>
      <w:r>
        <w:rPr>
          <w:color w:val="383638"/>
          <w:w w:val="105"/>
          <w:sz w:val="22"/>
        </w:rPr>
        <w:t>Format </w:t>
      </w:r>
      <w:r>
        <w:rPr>
          <w:color w:val="4F4F52"/>
          <w:w w:val="105"/>
          <w:sz w:val="22"/>
        </w:rPr>
        <w:t>r</w:t>
      </w:r>
      <w:r>
        <w:rPr>
          <w:color w:val="383638"/>
          <w:w w:val="105"/>
          <w:sz w:val="22"/>
        </w:rPr>
        <w:t>equirements are not intellectually demanding, but they </w:t>
      </w:r>
      <w:r>
        <w:rPr>
          <w:rFonts w:ascii="Arial"/>
          <w:color w:val="383638"/>
          <w:w w:val="105"/>
          <w:sz w:val="21"/>
        </w:rPr>
        <w:t>do</w:t>
      </w:r>
      <w:r>
        <w:rPr>
          <w:rFonts w:ascii="Arial"/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2"/>
        </w:rPr>
        <w:t>take time and require attention to detail. Whenever you file a brief, make</w:t>
      </w:r>
      <w:r>
        <w:rPr>
          <w:color w:val="383638"/>
          <w:spacing w:val="-55"/>
          <w:w w:val="105"/>
          <w:sz w:val="22"/>
        </w:rPr>
        <w:t> </w:t>
      </w:r>
      <w:r>
        <w:rPr>
          <w:color w:val="383638"/>
          <w:spacing w:val="-1"/>
          <w:w w:val="105"/>
          <w:sz w:val="22"/>
        </w:rPr>
        <w:t>sure </w:t>
      </w:r>
      <w:r>
        <w:rPr>
          <w:color w:val="383638"/>
          <w:w w:val="105"/>
          <w:sz w:val="22"/>
        </w:rPr>
        <w:t>that </w:t>
      </w:r>
      <w:r>
        <w:rPr>
          <w:color w:val="4F4F52"/>
          <w:w w:val="105"/>
          <w:sz w:val="22"/>
        </w:rPr>
        <w:t>y</w:t>
      </w:r>
      <w:r>
        <w:rPr>
          <w:color w:val="383638"/>
          <w:w w:val="105"/>
          <w:sz w:val="22"/>
        </w:rPr>
        <w:t>ou have access to all relevant rules and allow your</w:t>
      </w:r>
      <w:r>
        <w:rPr>
          <w:color w:val="4F4F52"/>
          <w:w w:val="105"/>
          <w:sz w:val="22"/>
        </w:rPr>
        <w:t>s</w:t>
      </w:r>
      <w:r>
        <w:rPr>
          <w:color w:val="383638"/>
          <w:w w:val="105"/>
          <w:sz w:val="22"/>
        </w:rPr>
        <w:t>elf time to</w:t>
      </w:r>
      <w:r>
        <w:rPr>
          <w:color w:val="383638"/>
          <w:spacing w:val="1"/>
          <w:w w:val="105"/>
          <w:sz w:val="22"/>
        </w:rPr>
        <w:t> </w:t>
      </w:r>
      <w:r>
        <w:rPr>
          <w:color w:val="383638"/>
          <w:w w:val="105"/>
          <w:sz w:val="22"/>
        </w:rPr>
        <w:t>read,</w:t>
      </w:r>
      <w:r>
        <w:rPr>
          <w:color w:val="383638"/>
          <w:spacing w:val="-14"/>
          <w:w w:val="105"/>
          <w:sz w:val="22"/>
        </w:rPr>
        <w:t> </w:t>
      </w:r>
      <w:r>
        <w:rPr>
          <w:color w:val="383638"/>
          <w:w w:val="105"/>
          <w:sz w:val="22"/>
        </w:rPr>
        <w:t>understand</w:t>
      </w:r>
      <w:r>
        <w:rPr>
          <w:color w:val="4F4F52"/>
          <w:w w:val="105"/>
          <w:sz w:val="22"/>
        </w:rPr>
        <w:t>,</w:t>
      </w:r>
      <w:r>
        <w:rPr>
          <w:color w:val="4F4F52"/>
          <w:spacing w:val="-13"/>
          <w:w w:val="105"/>
          <w:sz w:val="22"/>
        </w:rPr>
        <w:t> </w:t>
      </w:r>
      <w:r>
        <w:rPr>
          <w:color w:val="383638"/>
          <w:w w:val="105"/>
          <w:sz w:val="22"/>
        </w:rPr>
        <w:t>and</w:t>
      </w:r>
      <w:r>
        <w:rPr>
          <w:color w:val="383638"/>
          <w:spacing w:val="-11"/>
          <w:w w:val="105"/>
          <w:sz w:val="22"/>
        </w:rPr>
        <w:t> </w:t>
      </w:r>
      <w:r>
        <w:rPr>
          <w:color w:val="383638"/>
          <w:w w:val="105"/>
          <w:sz w:val="22"/>
        </w:rPr>
        <w:t>compl</w:t>
      </w:r>
      <w:r>
        <w:rPr>
          <w:color w:val="4F4F52"/>
          <w:w w:val="105"/>
          <w:sz w:val="22"/>
        </w:rPr>
        <w:t>y</w:t>
      </w:r>
      <w:r>
        <w:rPr>
          <w:color w:val="4F4F52"/>
          <w:spacing w:val="-2"/>
          <w:w w:val="105"/>
          <w:sz w:val="22"/>
        </w:rPr>
        <w:t> </w:t>
      </w:r>
      <w:r>
        <w:rPr>
          <w:color w:val="383638"/>
          <w:w w:val="105"/>
          <w:sz w:val="22"/>
        </w:rPr>
        <w:t>with</w:t>
      </w:r>
      <w:r>
        <w:rPr>
          <w:color w:val="383638"/>
          <w:spacing w:val="-4"/>
          <w:w w:val="105"/>
          <w:sz w:val="22"/>
        </w:rPr>
        <w:t> </w:t>
      </w:r>
      <w:r>
        <w:rPr>
          <w:color w:val="383638"/>
          <w:w w:val="105"/>
          <w:sz w:val="22"/>
        </w:rPr>
        <w:t>their</w:t>
      </w:r>
      <w:r>
        <w:rPr>
          <w:color w:val="383638"/>
          <w:spacing w:val="-2"/>
          <w:w w:val="105"/>
          <w:sz w:val="22"/>
        </w:rPr>
        <w:t> </w:t>
      </w:r>
      <w:r>
        <w:rPr>
          <w:color w:val="383638"/>
          <w:w w:val="105"/>
          <w:sz w:val="22"/>
        </w:rPr>
        <w:t>requirements.</w:t>
      </w:r>
    </w:p>
    <w:p>
      <w:pPr>
        <w:spacing w:after="0" w:line="240" w:lineRule="auto"/>
        <w:jc w:val="both"/>
        <w:rPr>
          <w:sz w:val="22"/>
        </w:rPr>
        <w:sectPr>
          <w:headerReference w:type="even" r:id="rId215"/>
          <w:headerReference w:type="default" r:id="rId216"/>
          <w:pgSz w:w="8810" w:h="14010"/>
          <w:pgMar w:header="424" w:footer="0" w:top="1060" w:bottom="0" w:left="1220" w:right="100"/>
        </w:sectPr>
      </w:pPr>
    </w:p>
    <w:p>
      <w:pPr>
        <w:spacing w:line="120" w:lineRule="exact" w:before="0"/>
        <w:ind w:left="150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3D3B3D"/>
          <w:w w:val="85"/>
          <w:sz w:val="15"/>
        </w:rPr>
        <w:t>GI</w:t>
      </w:r>
    </w:p>
    <w:p>
      <w:pPr>
        <w:tabs>
          <w:tab w:pos="501" w:val="left" w:leader="none"/>
        </w:tabs>
        <w:spacing w:line="442" w:lineRule="exact" w:before="0"/>
        <w:ind w:left="150" w:right="0" w:firstLine="0"/>
        <w:jc w:val="left"/>
        <w:rPr>
          <w:b/>
          <w:sz w:val="43"/>
        </w:rPr>
      </w:pPr>
      <w:r>
        <w:rPr/>
        <w:pict>
          <v:shape style="position:absolute;margin-left:14.64984pt;margin-top:1.366471pt;width:1.9pt;height:21.35pt;mso-position-horizontal-relative:page;mso-position-vertical-relative:paragraph;z-index:15740928" type="#_x0000_t202" id="docshape351" filled="false" stroked="false">
            <v:textbox inset="0,0,0,0">
              <w:txbxContent>
                <w:p>
                  <w:pPr>
                    <w:spacing w:line="426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38"/>
                    </w:rPr>
                  </w:pPr>
                  <w:r>
                    <w:rPr>
                      <w:rFonts w:ascii="Arial"/>
                      <w:b/>
                      <w:color w:val="3D3B3D"/>
                      <w:spacing w:val="-116"/>
                      <w:w w:val="80"/>
                      <w:sz w:val="38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.24383pt;margin-top:5.766347pt;width:7.2pt;height:25.6pt;mso-position-horizontal-relative:page;mso-position-vertical-relative:paragraph;z-index:-21597696" type="#_x0000_t202" id="docshape352" filled="false" stroked="false">
            <v:textbox inset="0,0,0,0">
              <w:txbxContent>
                <w:p>
                  <w:pPr>
                    <w:spacing w:line="511" w:lineRule="exact" w:before="0"/>
                    <w:ind w:left="0" w:right="0" w:firstLine="0"/>
                    <w:jc w:val="left"/>
                    <w:rPr>
                      <w:sz w:val="46"/>
                    </w:rPr>
                  </w:pPr>
                  <w:r>
                    <w:rPr>
                      <w:color w:val="3D3B3D"/>
                      <w:w w:val="60"/>
                      <w:sz w:val="46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2A2628"/>
          <w:position w:val="21"/>
          <w:sz w:val="16"/>
        </w:rPr>
        <w:t>C</w:t>
        <w:tab/>
      </w:r>
      <w:r>
        <w:rPr>
          <w:b/>
          <w:color w:val="626264"/>
          <w:w w:val="85"/>
          <w:sz w:val="44"/>
        </w:rPr>
        <w:t>STATEMENTS,</w:t>
      </w:r>
      <w:r>
        <w:rPr>
          <w:b/>
          <w:color w:val="626264"/>
          <w:spacing w:val="77"/>
          <w:w w:val="85"/>
          <w:sz w:val="44"/>
        </w:rPr>
        <w:t> </w:t>
      </w:r>
      <w:r>
        <w:rPr>
          <w:b/>
          <w:color w:val="747577"/>
          <w:w w:val="85"/>
          <w:sz w:val="43"/>
        </w:rPr>
        <w:t>STATEMENT</w:t>
      </w:r>
      <w:r>
        <w:rPr>
          <w:b/>
          <w:color w:val="747577"/>
          <w:spacing w:val="47"/>
          <w:w w:val="85"/>
          <w:sz w:val="43"/>
        </w:rPr>
        <w:t> </w:t>
      </w:r>
      <w:r>
        <w:rPr>
          <w:b/>
          <w:color w:val="838587"/>
          <w:w w:val="85"/>
          <w:sz w:val="43"/>
        </w:rPr>
        <w:t>OF</w:t>
      </w:r>
    </w:p>
    <w:p>
      <w:pPr>
        <w:spacing w:line="512" w:lineRule="exact" w:before="0"/>
        <w:ind w:left="129" w:right="0" w:firstLine="0"/>
        <w:jc w:val="left"/>
        <w:rPr>
          <w:b/>
          <w:sz w:val="44"/>
        </w:rPr>
      </w:pPr>
      <w:r>
        <w:rPr/>
        <w:pict>
          <v:shape style="position:absolute;margin-left:16.684090pt;margin-top:21.177765pt;width:6.45pt;height:8.9pt;mso-position-horizontal-relative:page;mso-position-vertical-relative:paragraph;z-index:-21598720" type="#_x0000_t202" id="docshape353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3D3B3D"/>
                      <w:sz w:val="16"/>
                    </w:rPr>
                    <w:t>4'</w:t>
                  </w:r>
                </w:p>
              </w:txbxContent>
            </v:textbox>
            <w10:wrap type="none"/>
          </v:shape>
        </w:pict>
      </w:r>
      <w:r>
        <w:rPr>
          <w:b/>
          <w:color w:val="3D3B3D"/>
          <w:w w:val="85"/>
          <w:sz w:val="48"/>
        </w:rPr>
        <w:t>i</w:t>
      </w:r>
      <w:r>
        <w:rPr>
          <w:b/>
          <w:color w:val="3D3B3D"/>
          <w:spacing w:val="228"/>
          <w:sz w:val="48"/>
        </w:rPr>
        <w:t> </w:t>
      </w:r>
      <w:r>
        <w:rPr>
          <w:b/>
          <w:color w:val="3D3B3D"/>
          <w:w w:val="85"/>
          <w:sz w:val="44"/>
        </w:rPr>
        <w:t>T</w:t>
      </w:r>
      <w:r>
        <w:rPr>
          <w:b/>
          <w:color w:val="747577"/>
          <w:w w:val="85"/>
          <w:sz w:val="44"/>
        </w:rPr>
        <w:t>HECASE</w:t>
      </w:r>
      <w:r>
        <w:rPr>
          <w:b/>
          <w:color w:val="3D3B3D"/>
          <w:w w:val="85"/>
          <w:sz w:val="44"/>
        </w:rPr>
        <w:t>,</w:t>
      </w:r>
      <w:r>
        <w:rPr>
          <w:b/>
          <w:color w:val="3D3B3D"/>
          <w:spacing w:val="79"/>
          <w:sz w:val="44"/>
        </w:rPr>
        <w:t> </w:t>
      </w:r>
      <w:r>
        <w:rPr>
          <w:b/>
          <w:color w:val="747577"/>
          <w:w w:val="85"/>
          <w:sz w:val="43"/>
        </w:rPr>
        <w:t>SUMMARY</w:t>
      </w:r>
      <w:r>
        <w:rPr>
          <w:b/>
          <w:color w:val="747577"/>
          <w:spacing w:val="97"/>
          <w:sz w:val="43"/>
        </w:rPr>
        <w:t> </w:t>
      </w:r>
      <w:r>
        <w:rPr>
          <w:b/>
          <w:color w:val="747577"/>
          <w:w w:val="85"/>
          <w:sz w:val="44"/>
        </w:rPr>
        <w:t>OF</w:t>
      </w:r>
      <w:r>
        <w:rPr>
          <w:b/>
          <w:color w:val="747577"/>
          <w:spacing w:val="39"/>
          <w:w w:val="85"/>
          <w:sz w:val="44"/>
        </w:rPr>
        <w:t> </w:t>
      </w:r>
      <w:r>
        <w:rPr>
          <w:b/>
          <w:color w:val="747577"/>
          <w:w w:val="85"/>
          <w:sz w:val="44"/>
        </w:rPr>
        <w:t>THE</w:t>
      </w:r>
    </w:p>
    <w:p>
      <w:pPr>
        <w:spacing w:line="526" w:lineRule="exact" w:before="0"/>
        <w:ind w:left="115" w:right="0" w:firstLine="0"/>
        <w:jc w:val="left"/>
        <w:rPr>
          <w:b/>
          <w:sz w:val="42"/>
        </w:rPr>
      </w:pPr>
      <w:r>
        <w:rPr>
          <w:color w:val="3D3B3D"/>
          <w:w w:val="90"/>
          <w:position w:val="10"/>
          <w:sz w:val="38"/>
        </w:rPr>
        <w:t>0</w:t>
      </w:r>
      <w:r>
        <w:rPr>
          <w:color w:val="3D3B3D"/>
          <w:spacing w:val="98"/>
          <w:position w:val="10"/>
          <w:sz w:val="38"/>
        </w:rPr>
        <w:t> </w:t>
      </w:r>
      <w:r>
        <w:rPr>
          <w:b/>
          <w:color w:val="626264"/>
          <w:w w:val="90"/>
          <w:sz w:val="44"/>
        </w:rPr>
        <w:t>ARGUMENT</w:t>
      </w:r>
      <w:r>
        <w:rPr>
          <w:b/>
          <w:color w:val="3D3B3D"/>
          <w:w w:val="90"/>
          <w:sz w:val="44"/>
        </w:rPr>
        <w:t>,</w:t>
      </w:r>
      <w:r>
        <w:rPr>
          <w:b/>
          <w:color w:val="3D3B3D"/>
          <w:spacing w:val="94"/>
          <w:w w:val="90"/>
          <w:sz w:val="44"/>
        </w:rPr>
        <w:t> </w:t>
      </w:r>
      <w:r>
        <w:rPr>
          <w:b/>
          <w:color w:val="747577"/>
          <w:w w:val="90"/>
          <w:sz w:val="44"/>
        </w:rPr>
        <w:t>PO;N</w:t>
      </w:r>
      <w:r>
        <w:rPr>
          <w:b/>
          <w:color w:val="3D3B3D"/>
          <w:w w:val="90"/>
          <w:sz w:val="44"/>
        </w:rPr>
        <w:t>T</w:t>
      </w:r>
      <w:r>
        <w:rPr>
          <w:b/>
          <w:color w:val="3D3B3D"/>
          <w:spacing w:val="8"/>
          <w:w w:val="90"/>
          <w:sz w:val="44"/>
        </w:rPr>
        <w:t> </w:t>
      </w:r>
      <w:r>
        <w:rPr>
          <w:b/>
          <w:color w:val="747577"/>
          <w:w w:val="90"/>
          <w:sz w:val="42"/>
        </w:rPr>
        <w:t>HEAD</w:t>
      </w:r>
      <w:r>
        <w:rPr>
          <w:b/>
          <w:color w:val="9C9EA0"/>
          <w:w w:val="90"/>
          <w:sz w:val="42"/>
        </w:rPr>
        <w:t>IN</w:t>
      </w:r>
      <w:r>
        <w:rPr>
          <w:b/>
          <w:color w:val="747577"/>
          <w:w w:val="90"/>
          <w:sz w:val="42"/>
        </w:rPr>
        <w:t>GS</w:t>
      </w:r>
    </w:p>
    <w:p>
      <w:pPr>
        <w:pStyle w:val="BodyText"/>
        <w:spacing w:before="5"/>
        <w:rPr>
          <w:b/>
          <w:sz w:val="52"/>
        </w:rPr>
      </w:pPr>
    </w:p>
    <w:p>
      <w:pPr>
        <w:pStyle w:val="ListParagraph"/>
        <w:numPr>
          <w:ilvl w:val="1"/>
          <w:numId w:val="76"/>
        </w:numPr>
        <w:tabs>
          <w:tab w:pos="1032" w:val="left" w:leader="none"/>
          <w:tab w:pos="1033" w:val="left" w:leader="none"/>
        </w:tabs>
        <w:spacing w:line="212" w:lineRule="exact" w:before="0" w:after="0"/>
        <w:ind w:left="1032" w:right="0" w:hanging="477"/>
        <w:jc w:val="left"/>
        <w:rPr>
          <w:rFonts w:ascii="Arial"/>
          <w:b/>
          <w:color w:val="3D3B3D"/>
          <w:sz w:val="20"/>
        </w:rPr>
      </w:pPr>
      <w:r>
        <w:rPr>
          <w:color w:val="3D3B3D"/>
          <w:w w:val="110"/>
          <w:sz w:val="20"/>
        </w:rPr>
        <w:t>Writing</w:t>
      </w:r>
      <w:r>
        <w:rPr>
          <w:color w:val="3D3B3D"/>
          <w:spacing w:val="-3"/>
          <w:w w:val="110"/>
          <w:sz w:val="20"/>
        </w:rPr>
        <w:t> </w:t>
      </w:r>
      <w:r>
        <w:rPr>
          <w:color w:val="3D3B3D"/>
          <w:w w:val="110"/>
          <w:sz w:val="20"/>
        </w:rPr>
        <w:t>the</w:t>
      </w:r>
      <w:r>
        <w:rPr>
          <w:color w:val="3D3B3D"/>
          <w:spacing w:val="40"/>
          <w:w w:val="110"/>
          <w:sz w:val="20"/>
        </w:rPr>
        <w:t> </w:t>
      </w:r>
      <w:r>
        <w:rPr>
          <w:color w:val="3D3B3D"/>
          <w:w w:val="110"/>
          <w:sz w:val="20"/>
        </w:rPr>
        <w:t>Issue</w:t>
      </w:r>
      <w:r>
        <w:rPr>
          <w:color w:val="3D3B3D"/>
          <w:spacing w:val="-22"/>
          <w:w w:val="110"/>
          <w:sz w:val="20"/>
        </w:rPr>
        <w:t> </w:t>
      </w:r>
      <w:r>
        <w:rPr>
          <w:color w:val="3D3B3D"/>
          <w:w w:val="110"/>
          <w:sz w:val="20"/>
        </w:rPr>
        <w:t>Statement</w:t>
      </w:r>
    </w:p>
    <w:p>
      <w:pPr>
        <w:pStyle w:val="ListParagraph"/>
        <w:numPr>
          <w:ilvl w:val="2"/>
          <w:numId w:val="76"/>
        </w:numPr>
        <w:tabs>
          <w:tab w:pos="1727" w:val="left" w:leader="none"/>
          <w:tab w:pos="1728" w:val="left" w:leader="none"/>
        </w:tabs>
        <w:spacing w:line="197" w:lineRule="exact" w:before="0" w:after="0"/>
        <w:ind w:left="1727" w:right="0" w:hanging="690"/>
        <w:jc w:val="left"/>
        <w:rPr>
          <w:rFonts w:ascii="Arial"/>
          <w:b/>
          <w:color w:val="3D3B3D"/>
          <w:sz w:val="20"/>
        </w:rPr>
      </w:pPr>
      <w:r>
        <w:rPr>
          <w:color w:val="3D3B3D"/>
          <w:w w:val="105"/>
          <w:sz w:val="20"/>
        </w:rPr>
        <w:t>Motion</w:t>
      </w:r>
      <w:r>
        <w:rPr>
          <w:color w:val="3D3B3D"/>
          <w:spacing w:val="-3"/>
          <w:w w:val="105"/>
          <w:sz w:val="20"/>
        </w:rPr>
        <w:t> </w:t>
      </w:r>
      <w:r>
        <w:rPr>
          <w:color w:val="3D3B3D"/>
          <w:w w:val="105"/>
          <w:sz w:val="20"/>
        </w:rPr>
        <w:t>Brief</w:t>
      </w:r>
      <w:r>
        <w:rPr>
          <w:color w:val="3D3B3D"/>
          <w:spacing w:val="-5"/>
          <w:w w:val="105"/>
          <w:sz w:val="20"/>
        </w:rPr>
        <w:t> </w:t>
      </w:r>
      <w:r>
        <w:rPr>
          <w:color w:val="3D3B3D"/>
          <w:w w:val="105"/>
          <w:sz w:val="20"/>
        </w:rPr>
        <w:t>Introductions</w:t>
      </w:r>
    </w:p>
    <w:p>
      <w:pPr>
        <w:pStyle w:val="ListParagraph"/>
        <w:numPr>
          <w:ilvl w:val="2"/>
          <w:numId w:val="76"/>
        </w:numPr>
        <w:tabs>
          <w:tab w:pos="1724" w:val="left" w:leader="none"/>
        </w:tabs>
        <w:spacing w:line="203" w:lineRule="exact" w:before="0" w:after="0"/>
        <w:ind w:left="1723" w:right="0" w:hanging="686"/>
        <w:jc w:val="left"/>
        <w:rPr>
          <w:rFonts w:ascii="Arial"/>
          <w:b/>
          <w:color w:val="3D3B3D"/>
          <w:sz w:val="20"/>
        </w:rPr>
      </w:pPr>
      <w:r>
        <w:rPr>
          <w:color w:val="3D3B3D"/>
          <w:w w:val="105"/>
          <w:sz w:val="20"/>
        </w:rPr>
        <w:t>Questions</w:t>
      </w:r>
      <w:r>
        <w:rPr>
          <w:color w:val="3D3B3D"/>
          <w:spacing w:val="-12"/>
          <w:w w:val="105"/>
          <w:sz w:val="20"/>
        </w:rPr>
        <w:t> </w:t>
      </w:r>
      <w:r>
        <w:rPr>
          <w:color w:val="3D3B3D"/>
          <w:w w:val="105"/>
          <w:sz w:val="20"/>
        </w:rPr>
        <w:t>Presented</w:t>
      </w:r>
    </w:p>
    <w:p>
      <w:pPr>
        <w:pStyle w:val="ListParagraph"/>
        <w:numPr>
          <w:ilvl w:val="3"/>
          <w:numId w:val="76"/>
        </w:numPr>
        <w:tabs>
          <w:tab w:pos="2065" w:val="left" w:leader="none"/>
        </w:tabs>
        <w:spacing w:line="218" w:lineRule="exact" w:before="0" w:after="0"/>
        <w:ind w:left="2064" w:right="0" w:hanging="335"/>
        <w:jc w:val="left"/>
        <w:rPr>
          <w:b/>
          <w:color w:val="3D3B3D"/>
          <w:sz w:val="21"/>
        </w:rPr>
      </w:pPr>
      <w:r>
        <w:rPr>
          <w:color w:val="3D3B3D"/>
          <w:w w:val="105"/>
          <w:sz w:val="20"/>
        </w:rPr>
        <w:t>Elements</w:t>
      </w:r>
      <w:r>
        <w:rPr>
          <w:color w:val="3D3B3D"/>
          <w:spacing w:val="-3"/>
          <w:w w:val="105"/>
          <w:sz w:val="20"/>
        </w:rPr>
        <w:t> </w:t>
      </w:r>
      <w:r>
        <w:rPr>
          <w:color w:val="3D3B3D"/>
          <w:w w:val="105"/>
          <w:sz w:val="20"/>
        </w:rPr>
        <w:t>to</w:t>
      </w:r>
      <w:r>
        <w:rPr>
          <w:color w:val="3D3B3D"/>
          <w:spacing w:val="-1"/>
          <w:w w:val="105"/>
          <w:sz w:val="20"/>
        </w:rPr>
        <w:t> </w:t>
      </w:r>
      <w:r>
        <w:rPr>
          <w:color w:val="3D3B3D"/>
          <w:w w:val="105"/>
          <w:sz w:val="20"/>
        </w:rPr>
        <w:t>Include</w:t>
      </w:r>
    </w:p>
    <w:p>
      <w:pPr>
        <w:pStyle w:val="ListParagraph"/>
        <w:numPr>
          <w:ilvl w:val="3"/>
          <w:numId w:val="76"/>
        </w:numPr>
        <w:tabs>
          <w:tab w:pos="2075" w:val="left" w:leader="none"/>
        </w:tabs>
        <w:spacing w:line="207" w:lineRule="exact" w:before="0" w:after="0"/>
        <w:ind w:left="2074" w:right="0" w:hanging="340"/>
        <w:jc w:val="left"/>
        <w:rPr>
          <w:b/>
          <w:color w:val="3D3B3D"/>
          <w:sz w:val="21"/>
        </w:rPr>
      </w:pPr>
      <w:r>
        <w:rPr>
          <w:color w:val="3D3B3D"/>
          <w:sz w:val="20"/>
        </w:rPr>
        <w:t>Persuasive</w:t>
      </w:r>
      <w:r>
        <w:rPr>
          <w:color w:val="3D3B3D"/>
          <w:spacing w:val="-2"/>
          <w:sz w:val="20"/>
        </w:rPr>
        <w:t> </w:t>
      </w:r>
      <w:r>
        <w:rPr>
          <w:color w:val="3D3B3D"/>
          <w:sz w:val="20"/>
        </w:rPr>
        <w:t>Questions Presented</w:t>
      </w:r>
    </w:p>
    <w:p>
      <w:pPr>
        <w:pStyle w:val="ListParagraph"/>
        <w:numPr>
          <w:ilvl w:val="3"/>
          <w:numId w:val="76"/>
        </w:numPr>
        <w:tabs>
          <w:tab w:pos="2075" w:val="left" w:leader="none"/>
        </w:tabs>
        <w:spacing w:line="228" w:lineRule="exact" w:before="0" w:after="0"/>
        <w:ind w:left="2074" w:right="0" w:hanging="344"/>
        <w:jc w:val="left"/>
        <w:rPr>
          <w:b/>
          <w:color w:val="2A2628"/>
          <w:sz w:val="23"/>
        </w:rPr>
      </w:pPr>
      <w:r>
        <w:rPr>
          <w:color w:val="3D3B3D"/>
          <w:sz w:val="20"/>
        </w:rPr>
        <w:t>Problems</w:t>
      </w:r>
      <w:r>
        <w:rPr>
          <w:color w:val="3D3B3D"/>
          <w:spacing w:val="3"/>
          <w:sz w:val="20"/>
        </w:rPr>
        <w:t> </w:t>
      </w:r>
      <w:r>
        <w:rPr>
          <w:color w:val="3D3B3D"/>
          <w:sz w:val="20"/>
        </w:rPr>
        <w:t>to</w:t>
      </w:r>
      <w:r>
        <w:rPr>
          <w:color w:val="3D3B3D"/>
          <w:spacing w:val="11"/>
          <w:sz w:val="20"/>
        </w:rPr>
        <w:t> </w:t>
      </w:r>
      <w:r>
        <w:rPr>
          <w:color w:val="3D3B3D"/>
          <w:sz w:val="20"/>
        </w:rPr>
        <w:t>Avoid</w:t>
      </w:r>
    </w:p>
    <w:p>
      <w:pPr>
        <w:pStyle w:val="ListParagraph"/>
        <w:numPr>
          <w:ilvl w:val="4"/>
          <w:numId w:val="76"/>
        </w:numPr>
        <w:tabs>
          <w:tab w:pos="2384" w:val="left" w:leader="none"/>
          <w:tab w:pos="2385" w:val="left" w:leader="none"/>
        </w:tabs>
        <w:spacing w:line="219" w:lineRule="exact" w:before="0" w:after="0"/>
        <w:ind w:left="2384" w:right="0" w:hanging="352"/>
        <w:jc w:val="left"/>
        <w:rPr>
          <w:sz w:val="20"/>
        </w:rPr>
      </w:pPr>
      <w:r>
        <w:rPr>
          <w:color w:val="3D3B3D"/>
          <w:sz w:val="20"/>
        </w:rPr>
        <w:t>Assuming</w:t>
      </w:r>
      <w:r>
        <w:rPr>
          <w:color w:val="3D3B3D"/>
          <w:spacing w:val="1"/>
          <w:sz w:val="20"/>
        </w:rPr>
        <w:t> </w:t>
      </w:r>
      <w:r>
        <w:rPr>
          <w:color w:val="3D3B3D"/>
          <w:sz w:val="20"/>
        </w:rPr>
        <w:t>Elements</w:t>
      </w:r>
      <w:r>
        <w:rPr>
          <w:color w:val="3D3B3D"/>
          <w:spacing w:val="-9"/>
          <w:sz w:val="20"/>
        </w:rPr>
        <w:t> </w:t>
      </w:r>
      <w:r>
        <w:rPr>
          <w:color w:val="3D3B3D"/>
          <w:sz w:val="20"/>
        </w:rPr>
        <w:t>at</w:t>
      </w:r>
      <w:r>
        <w:rPr>
          <w:color w:val="3D3B3D"/>
          <w:spacing w:val="9"/>
          <w:sz w:val="20"/>
        </w:rPr>
        <w:t> </w:t>
      </w:r>
      <w:r>
        <w:rPr>
          <w:color w:val="3D3B3D"/>
          <w:sz w:val="20"/>
        </w:rPr>
        <w:t>Issue</w:t>
      </w:r>
    </w:p>
    <w:p>
      <w:pPr>
        <w:spacing w:line="211" w:lineRule="exact" w:before="0"/>
        <w:ind w:left="2033" w:right="0" w:firstLine="0"/>
        <w:jc w:val="left"/>
        <w:rPr>
          <w:sz w:val="20"/>
        </w:rPr>
      </w:pPr>
      <w:r>
        <w:rPr>
          <w:color w:val="3D3B3D"/>
          <w:w w:val="105"/>
          <w:sz w:val="20"/>
        </w:rPr>
        <w:t>ii. </w:t>
      </w:r>
      <w:r>
        <w:rPr>
          <w:color w:val="3D3B3D"/>
          <w:spacing w:val="4"/>
          <w:w w:val="105"/>
          <w:sz w:val="20"/>
        </w:rPr>
        <w:t> </w:t>
      </w:r>
      <w:r>
        <w:rPr>
          <w:color w:val="3D3B3D"/>
          <w:w w:val="105"/>
          <w:sz w:val="20"/>
        </w:rPr>
        <w:t>Overlong</w:t>
      </w:r>
      <w:r>
        <w:rPr>
          <w:color w:val="3D3B3D"/>
          <w:spacing w:val="-10"/>
          <w:w w:val="105"/>
          <w:sz w:val="20"/>
        </w:rPr>
        <w:t> </w:t>
      </w:r>
      <w:r>
        <w:rPr>
          <w:color w:val="3D3B3D"/>
          <w:w w:val="105"/>
          <w:sz w:val="20"/>
        </w:rPr>
        <w:t>Questions</w:t>
      </w:r>
    </w:p>
    <w:p>
      <w:pPr>
        <w:pStyle w:val="ListParagraph"/>
        <w:numPr>
          <w:ilvl w:val="3"/>
          <w:numId w:val="76"/>
        </w:numPr>
        <w:tabs>
          <w:tab w:pos="325" w:val="left" w:leader="none"/>
        </w:tabs>
        <w:spacing w:line="209" w:lineRule="exact" w:before="0" w:after="0"/>
        <w:ind w:left="2065" w:right="4408" w:hanging="2066"/>
        <w:jc w:val="right"/>
        <w:rPr>
          <w:b/>
          <w:color w:val="3D3B3D"/>
          <w:sz w:val="22"/>
        </w:rPr>
      </w:pPr>
      <w:r>
        <w:rPr>
          <w:color w:val="3D3B3D"/>
          <w:w w:val="105"/>
          <w:sz w:val="20"/>
        </w:rPr>
        <w:t>Summing</w:t>
      </w:r>
      <w:r>
        <w:rPr>
          <w:color w:val="3D3B3D"/>
          <w:spacing w:val="12"/>
          <w:w w:val="105"/>
          <w:sz w:val="20"/>
        </w:rPr>
        <w:t> </w:t>
      </w:r>
      <w:r>
        <w:rPr>
          <w:color w:val="3D3B3D"/>
          <w:w w:val="105"/>
          <w:sz w:val="20"/>
        </w:rPr>
        <w:t>Up</w:t>
      </w:r>
    </w:p>
    <w:p>
      <w:pPr>
        <w:pStyle w:val="ListParagraph"/>
        <w:numPr>
          <w:ilvl w:val="1"/>
          <w:numId w:val="76"/>
        </w:numPr>
        <w:tabs>
          <w:tab w:pos="468" w:val="left" w:leader="none"/>
        </w:tabs>
        <w:spacing w:line="212" w:lineRule="exact" w:before="0" w:after="0"/>
        <w:ind w:left="1042" w:right="4490" w:hanging="1043"/>
        <w:jc w:val="right"/>
        <w:rPr>
          <w:b/>
          <w:color w:val="2A2628"/>
          <w:sz w:val="23"/>
        </w:rPr>
      </w:pPr>
      <w:r>
        <w:rPr>
          <w:color w:val="3D3B3D"/>
          <w:w w:val="110"/>
          <w:sz w:val="20"/>
        </w:rPr>
        <w:t>Statements</w:t>
      </w:r>
      <w:r>
        <w:rPr>
          <w:color w:val="3D3B3D"/>
          <w:spacing w:val="2"/>
          <w:w w:val="110"/>
          <w:sz w:val="20"/>
        </w:rPr>
        <w:t> </w:t>
      </w:r>
      <w:r>
        <w:rPr>
          <w:color w:val="3D3B3D"/>
          <w:w w:val="110"/>
          <w:sz w:val="20"/>
        </w:rPr>
        <w:t>of</w:t>
      </w:r>
      <w:r>
        <w:rPr>
          <w:color w:val="3D3B3D"/>
          <w:spacing w:val="24"/>
          <w:w w:val="110"/>
          <w:sz w:val="20"/>
        </w:rPr>
        <w:t> </w:t>
      </w:r>
      <w:r>
        <w:rPr>
          <w:color w:val="3D3B3D"/>
          <w:w w:val="110"/>
          <w:sz w:val="20"/>
        </w:rPr>
        <w:t>the</w:t>
      </w:r>
      <w:r>
        <w:rPr>
          <w:color w:val="3D3B3D"/>
          <w:spacing w:val="37"/>
          <w:w w:val="110"/>
          <w:sz w:val="20"/>
        </w:rPr>
        <w:t> </w:t>
      </w:r>
      <w:r>
        <w:rPr>
          <w:color w:val="3D3B3D"/>
          <w:w w:val="110"/>
          <w:sz w:val="20"/>
        </w:rPr>
        <w:t>Case</w:t>
      </w:r>
    </w:p>
    <w:p>
      <w:pPr>
        <w:pStyle w:val="ListParagraph"/>
        <w:numPr>
          <w:ilvl w:val="2"/>
          <w:numId w:val="76"/>
        </w:numPr>
        <w:tabs>
          <w:tab w:pos="1757" w:val="left" w:leader="none"/>
        </w:tabs>
        <w:spacing w:line="194" w:lineRule="exact" w:before="0" w:after="0"/>
        <w:ind w:left="1756" w:right="0" w:hanging="699"/>
        <w:jc w:val="left"/>
        <w:rPr>
          <w:rFonts w:ascii="Arial"/>
          <w:b/>
          <w:color w:val="3D3B3D"/>
          <w:sz w:val="20"/>
        </w:rPr>
      </w:pPr>
      <w:r>
        <w:rPr>
          <w:color w:val="3D3B3D"/>
          <w:spacing w:val="-1"/>
          <w:w w:val="105"/>
          <w:sz w:val="20"/>
        </w:rPr>
        <w:t>Formal</w:t>
      </w:r>
      <w:r>
        <w:rPr>
          <w:color w:val="3D3B3D"/>
          <w:spacing w:val="-12"/>
          <w:w w:val="105"/>
          <w:sz w:val="20"/>
        </w:rPr>
        <w:t> </w:t>
      </w:r>
      <w:r>
        <w:rPr>
          <w:color w:val="3D3B3D"/>
          <w:w w:val="105"/>
          <w:sz w:val="20"/>
        </w:rPr>
        <w:t>Requirements</w:t>
      </w:r>
    </w:p>
    <w:p>
      <w:pPr>
        <w:pStyle w:val="ListParagraph"/>
        <w:numPr>
          <w:ilvl w:val="2"/>
          <w:numId w:val="76"/>
        </w:numPr>
        <w:tabs>
          <w:tab w:pos="1753" w:val="left" w:leader="none"/>
        </w:tabs>
        <w:spacing w:line="197" w:lineRule="exact" w:before="0" w:after="0"/>
        <w:ind w:left="1752" w:right="0" w:hanging="695"/>
        <w:jc w:val="left"/>
        <w:rPr>
          <w:rFonts w:ascii="Arial"/>
          <w:b/>
          <w:color w:val="2A2628"/>
          <w:sz w:val="20"/>
        </w:rPr>
      </w:pPr>
      <w:r>
        <w:rPr>
          <w:color w:val="3D3B3D"/>
          <w:sz w:val="20"/>
        </w:rPr>
        <w:t>Organizing</w:t>
      </w:r>
      <w:r>
        <w:rPr>
          <w:color w:val="3D3B3D"/>
          <w:spacing w:val="14"/>
          <w:sz w:val="20"/>
        </w:rPr>
        <w:t> </w:t>
      </w:r>
      <w:r>
        <w:rPr>
          <w:color w:val="3D3B3D"/>
          <w:sz w:val="20"/>
        </w:rPr>
        <w:t>the</w:t>
      </w:r>
      <w:r>
        <w:rPr>
          <w:color w:val="3D3B3D"/>
          <w:spacing w:val="36"/>
          <w:sz w:val="20"/>
        </w:rPr>
        <w:t> </w:t>
      </w:r>
      <w:r>
        <w:rPr>
          <w:color w:val="3D3B3D"/>
          <w:sz w:val="20"/>
        </w:rPr>
        <w:t>Fact</w:t>
      </w:r>
      <w:r>
        <w:rPr>
          <w:color w:val="3D3B3D"/>
          <w:spacing w:val="7"/>
          <w:sz w:val="20"/>
        </w:rPr>
        <w:t> </w:t>
      </w:r>
      <w:r>
        <w:rPr>
          <w:color w:val="3D3B3D"/>
          <w:sz w:val="20"/>
        </w:rPr>
        <w:t>Statement</w:t>
      </w:r>
    </w:p>
    <w:p>
      <w:pPr>
        <w:pStyle w:val="ListParagraph"/>
        <w:numPr>
          <w:ilvl w:val="2"/>
          <w:numId w:val="76"/>
        </w:numPr>
        <w:tabs>
          <w:tab w:pos="1756" w:val="left" w:leader="none"/>
          <w:tab w:pos="1757" w:val="left" w:leader="none"/>
        </w:tabs>
        <w:spacing w:line="207" w:lineRule="exact" w:before="0" w:after="0"/>
        <w:ind w:left="1756" w:right="0" w:hanging="699"/>
        <w:jc w:val="left"/>
        <w:rPr>
          <w:rFonts w:ascii="Arial"/>
          <w:b/>
          <w:color w:val="3D3B3D"/>
          <w:sz w:val="20"/>
        </w:rPr>
      </w:pPr>
      <w:r>
        <w:rPr>
          <w:color w:val="3D3B3D"/>
          <w:sz w:val="20"/>
        </w:rPr>
        <w:t>Making</w:t>
      </w:r>
      <w:r>
        <w:rPr>
          <w:color w:val="3D3B3D"/>
          <w:spacing w:val="6"/>
          <w:sz w:val="20"/>
        </w:rPr>
        <w:t> </w:t>
      </w:r>
      <w:r>
        <w:rPr>
          <w:color w:val="3D3B3D"/>
          <w:sz w:val="20"/>
        </w:rPr>
        <w:t>the</w:t>
      </w:r>
      <w:r>
        <w:rPr>
          <w:color w:val="3D3B3D"/>
          <w:spacing w:val="21"/>
          <w:sz w:val="20"/>
        </w:rPr>
        <w:t> </w:t>
      </w:r>
      <w:r>
        <w:rPr>
          <w:color w:val="3D3B3D"/>
          <w:sz w:val="20"/>
        </w:rPr>
        <w:t>Fact</w:t>
      </w:r>
      <w:r>
        <w:rPr>
          <w:color w:val="3D3B3D"/>
          <w:spacing w:val="-14"/>
          <w:sz w:val="20"/>
        </w:rPr>
        <w:t> </w:t>
      </w:r>
      <w:r>
        <w:rPr>
          <w:color w:val="3D3B3D"/>
          <w:sz w:val="20"/>
        </w:rPr>
        <w:t>Statement</w:t>
      </w:r>
      <w:r>
        <w:rPr>
          <w:color w:val="3D3B3D"/>
          <w:spacing w:val="26"/>
          <w:sz w:val="20"/>
        </w:rPr>
        <w:t> </w:t>
      </w:r>
      <w:r>
        <w:rPr>
          <w:color w:val="3D3B3D"/>
          <w:sz w:val="20"/>
        </w:rPr>
        <w:t>Persuasive</w:t>
      </w:r>
    </w:p>
    <w:p>
      <w:pPr>
        <w:pStyle w:val="ListParagraph"/>
        <w:numPr>
          <w:ilvl w:val="3"/>
          <w:numId w:val="76"/>
        </w:numPr>
        <w:tabs>
          <w:tab w:pos="2094" w:val="left" w:leader="none"/>
        </w:tabs>
        <w:spacing w:line="175" w:lineRule="exact" w:before="0" w:after="0"/>
        <w:ind w:left="2093" w:right="0" w:hanging="342"/>
        <w:jc w:val="left"/>
        <w:rPr>
          <w:rFonts w:ascii="Arial"/>
          <w:b/>
          <w:color w:val="3D3B3D"/>
          <w:sz w:val="20"/>
        </w:rPr>
      </w:pPr>
      <w:r>
        <w:rPr>
          <w:color w:val="3D3B3D"/>
          <w:sz w:val="20"/>
        </w:rPr>
        <w:t>Positions</w:t>
      </w:r>
      <w:r>
        <w:rPr>
          <w:color w:val="3D3B3D"/>
          <w:spacing w:val="6"/>
          <w:sz w:val="20"/>
        </w:rPr>
        <w:t> </w:t>
      </w:r>
      <w:r>
        <w:rPr>
          <w:color w:val="3D3B3D"/>
          <w:sz w:val="20"/>
        </w:rPr>
        <w:t>of</w:t>
      </w:r>
      <w:r>
        <w:rPr>
          <w:color w:val="3D3B3D"/>
          <w:spacing w:val="19"/>
          <w:sz w:val="20"/>
        </w:rPr>
        <w:t> </w:t>
      </w:r>
      <w:r>
        <w:rPr>
          <w:color w:val="3D3B3D"/>
          <w:sz w:val="20"/>
        </w:rPr>
        <w:t>Emphasis</w:t>
      </w:r>
    </w:p>
    <w:p>
      <w:pPr>
        <w:pStyle w:val="ListParagraph"/>
        <w:numPr>
          <w:ilvl w:val="3"/>
          <w:numId w:val="76"/>
        </w:numPr>
        <w:tabs>
          <w:tab w:pos="2104" w:val="left" w:leader="none"/>
          <w:tab w:pos="6421" w:val="left" w:leader="none"/>
        </w:tabs>
        <w:spacing w:line="259" w:lineRule="exact" w:before="0" w:after="0"/>
        <w:ind w:left="2103" w:right="0" w:hanging="340"/>
        <w:jc w:val="left"/>
        <w:rPr>
          <w:b/>
          <w:color w:val="2A2628"/>
          <w:sz w:val="21"/>
        </w:rPr>
      </w:pPr>
      <w:r>
        <w:rPr>
          <w:color w:val="3D3B3D"/>
          <w:w w:val="105"/>
          <w:sz w:val="20"/>
        </w:rPr>
        <w:t>Pointillism</w:t>
        <w:tab/>
      </w:r>
      <w:r>
        <w:rPr>
          <w:rFonts w:ascii="Arial"/>
          <w:color w:val="9C9EA0"/>
          <w:w w:val="105"/>
          <w:sz w:val="29"/>
        </w:rPr>
        <w:t>I</w:t>
      </w:r>
    </w:p>
    <w:p>
      <w:pPr>
        <w:pStyle w:val="ListParagraph"/>
        <w:numPr>
          <w:ilvl w:val="3"/>
          <w:numId w:val="76"/>
        </w:numPr>
        <w:tabs>
          <w:tab w:pos="2085" w:val="left" w:leader="none"/>
        </w:tabs>
        <w:spacing w:line="215" w:lineRule="exact" w:before="0" w:after="0"/>
        <w:ind w:left="2084" w:right="0" w:hanging="325"/>
        <w:jc w:val="left"/>
        <w:rPr>
          <w:b/>
          <w:color w:val="2A2628"/>
          <w:sz w:val="23"/>
        </w:rPr>
      </w:pPr>
      <w:r>
        <w:rPr>
          <w:color w:val="3D3B3D"/>
          <w:sz w:val="20"/>
        </w:rPr>
        <w:t>Spending</w:t>
      </w:r>
      <w:r>
        <w:rPr>
          <w:color w:val="3D3B3D"/>
          <w:spacing w:val="8"/>
          <w:sz w:val="20"/>
        </w:rPr>
        <w:t> </w:t>
      </w:r>
      <w:r>
        <w:rPr>
          <w:color w:val="3D3B3D"/>
          <w:sz w:val="20"/>
        </w:rPr>
        <w:t>the</w:t>
      </w:r>
      <w:r>
        <w:rPr>
          <w:color w:val="3D3B3D"/>
          <w:spacing w:val="7"/>
          <w:sz w:val="20"/>
        </w:rPr>
        <w:t> </w:t>
      </w:r>
      <w:r>
        <w:rPr>
          <w:color w:val="3D3B3D"/>
          <w:sz w:val="20"/>
        </w:rPr>
        <w:t>Reader's</w:t>
      </w:r>
      <w:r>
        <w:rPr>
          <w:color w:val="3D3B3D"/>
          <w:spacing w:val="-15"/>
          <w:sz w:val="20"/>
        </w:rPr>
        <w:t> </w:t>
      </w:r>
      <w:r>
        <w:rPr>
          <w:color w:val="3D3B3D"/>
          <w:sz w:val="20"/>
        </w:rPr>
        <w:t>Time,</w:t>
      </w:r>
      <w:r>
        <w:rPr>
          <w:color w:val="3D3B3D"/>
          <w:spacing w:val="-12"/>
          <w:sz w:val="20"/>
        </w:rPr>
        <w:t> </w:t>
      </w:r>
      <w:r>
        <w:rPr>
          <w:color w:val="3D3B3D"/>
          <w:sz w:val="20"/>
        </w:rPr>
        <w:t>Saving</w:t>
      </w:r>
      <w:r>
        <w:rPr>
          <w:color w:val="3D3B3D"/>
          <w:spacing w:val="-6"/>
          <w:sz w:val="20"/>
        </w:rPr>
        <w:t> </w:t>
      </w:r>
      <w:r>
        <w:rPr>
          <w:color w:val="3D3B3D"/>
          <w:sz w:val="20"/>
        </w:rPr>
        <w:t>the</w:t>
      </w:r>
      <w:r>
        <w:rPr>
          <w:color w:val="3D3B3D"/>
          <w:spacing w:val="30"/>
          <w:sz w:val="20"/>
        </w:rPr>
        <w:t> </w:t>
      </w:r>
      <w:r>
        <w:rPr>
          <w:color w:val="3D3B3D"/>
          <w:sz w:val="20"/>
        </w:rPr>
        <w:t>Reader's</w:t>
      </w:r>
      <w:r>
        <w:rPr>
          <w:color w:val="3D3B3D"/>
          <w:spacing w:val="2"/>
          <w:sz w:val="20"/>
        </w:rPr>
        <w:t> </w:t>
      </w:r>
      <w:r>
        <w:rPr>
          <w:color w:val="3D3B3D"/>
          <w:sz w:val="20"/>
        </w:rPr>
        <w:t>Ener</w:t>
      </w:r>
    </w:p>
    <w:p>
      <w:pPr>
        <w:pStyle w:val="ListParagraph"/>
        <w:numPr>
          <w:ilvl w:val="2"/>
          <w:numId w:val="76"/>
        </w:numPr>
        <w:tabs>
          <w:tab w:pos="1757" w:val="left" w:leader="none"/>
        </w:tabs>
        <w:spacing w:line="194" w:lineRule="exact" w:before="0" w:after="0"/>
        <w:ind w:left="1756" w:right="0" w:hanging="690"/>
        <w:jc w:val="left"/>
        <w:rPr>
          <w:rFonts w:ascii="Arial"/>
          <w:b/>
          <w:color w:val="3D3B3D"/>
          <w:sz w:val="20"/>
        </w:rPr>
      </w:pPr>
      <w:r>
        <w:rPr>
          <w:color w:val="3D3B3D"/>
          <w:sz w:val="20"/>
        </w:rPr>
        <w:t>Special</w:t>
      </w:r>
      <w:r>
        <w:rPr>
          <w:color w:val="3D3B3D"/>
          <w:spacing w:val="15"/>
          <w:sz w:val="20"/>
        </w:rPr>
        <w:t> </w:t>
      </w:r>
      <w:r>
        <w:rPr>
          <w:color w:val="3D3B3D"/>
          <w:sz w:val="20"/>
        </w:rPr>
        <w:t>Considerations</w:t>
      </w:r>
      <w:r>
        <w:rPr>
          <w:color w:val="3D3B3D"/>
          <w:spacing w:val="-23"/>
          <w:sz w:val="20"/>
        </w:rPr>
        <w:t> </w:t>
      </w:r>
      <w:r>
        <w:rPr>
          <w:color w:val="3D3B3D"/>
          <w:sz w:val="20"/>
        </w:rPr>
        <w:t>for</w:t>
      </w:r>
      <w:r>
        <w:rPr>
          <w:color w:val="3D3B3D"/>
          <w:spacing w:val="-5"/>
          <w:sz w:val="20"/>
        </w:rPr>
        <w:t> </w:t>
      </w:r>
      <w:r>
        <w:rPr>
          <w:color w:val="3D3B3D"/>
          <w:sz w:val="20"/>
        </w:rPr>
        <w:t>Motion Brief</w:t>
      </w:r>
      <w:r>
        <w:rPr>
          <w:color w:val="3D3B3D"/>
          <w:spacing w:val="19"/>
          <w:sz w:val="20"/>
        </w:rPr>
        <w:t> </w:t>
      </w:r>
      <w:r>
        <w:rPr>
          <w:color w:val="3D3B3D"/>
          <w:sz w:val="20"/>
        </w:rPr>
        <w:t>Fact</w:t>
      </w:r>
      <w:r>
        <w:rPr>
          <w:color w:val="3D3B3D"/>
          <w:spacing w:val="-13"/>
          <w:sz w:val="20"/>
        </w:rPr>
        <w:t> </w:t>
      </w:r>
      <w:r>
        <w:rPr>
          <w:color w:val="3D3B3D"/>
          <w:sz w:val="20"/>
        </w:rPr>
        <w:t>Statements</w:t>
      </w:r>
    </w:p>
    <w:p>
      <w:pPr>
        <w:pStyle w:val="ListParagraph"/>
        <w:numPr>
          <w:ilvl w:val="2"/>
          <w:numId w:val="76"/>
        </w:numPr>
        <w:tabs>
          <w:tab w:pos="1757" w:val="left" w:leader="none"/>
        </w:tabs>
        <w:spacing w:line="197" w:lineRule="exact" w:before="0" w:after="0"/>
        <w:ind w:left="1756" w:right="0" w:hanging="690"/>
        <w:jc w:val="left"/>
        <w:rPr>
          <w:rFonts w:ascii="Arial"/>
          <w:b/>
          <w:color w:val="3D3B3D"/>
          <w:sz w:val="20"/>
        </w:rPr>
      </w:pPr>
      <w:r>
        <w:rPr>
          <w:color w:val="3D3B3D"/>
          <w:w w:val="105"/>
          <w:sz w:val="20"/>
        </w:rPr>
        <w:t>Summing</w:t>
      </w:r>
      <w:r>
        <w:rPr>
          <w:color w:val="3D3B3D"/>
          <w:spacing w:val="15"/>
          <w:w w:val="105"/>
          <w:sz w:val="20"/>
        </w:rPr>
        <w:t> </w:t>
      </w:r>
      <w:r>
        <w:rPr>
          <w:color w:val="3D3B3D"/>
          <w:w w:val="105"/>
          <w:sz w:val="20"/>
        </w:rPr>
        <w:t>Up</w:t>
      </w:r>
    </w:p>
    <w:p>
      <w:pPr>
        <w:pStyle w:val="ListParagraph"/>
        <w:numPr>
          <w:ilvl w:val="1"/>
          <w:numId w:val="76"/>
        </w:numPr>
        <w:tabs>
          <w:tab w:pos="1062" w:val="left" w:leader="none"/>
        </w:tabs>
        <w:spacing w:line="193" w:lineRule="exact" w:before="0" w:after="0"/>
        <w:ind w:left="1061" w:right="0" w:hanging="467"/>
        <w:jc w:val="left"/>
        <w:rPr>
          <w:rFonts w:ascii="Arial"/>
          <w:b/>
          <w:color w:val="3D3B3D"/>
          <w:sz w:val="20"/>
        </w:rPr>
      </w:pPr>
      <w:r>
        <w:rPr>
          <w:color w:val="3D3B3D"/>
          <w:w w:val="110"/>
          <w:sz w:val="20"/>
        </w:rPr>
        <w:t>Summary</w:t>
      </w:r>
      <w:r>
        <w:rPr>
          <w:color w:val="3D3B3D"/>
          <w:spacing w:val="-2"/>
          <w:w w:val="110"/>
          <w:sz w:val="20"/>
        </w:rPr>
        <w:t> </w:t>
      </w:r>
      <w:r>
        <w:rPr>
          <w:color w:val="3D3B3D"/>
          <w:w w:val="110"/>
          <w:sz w:val="20"/>
        </w:rPr>
        <w:t>of</w:t>
      </w:r>
      <w:r>
        <w:rPr>
          <w:color w:val="3D3B3D"/>
          <w:spacing w:val="14"/>
          <w:w w:val="110"/>
          <w:sz w:val="20"/>
        </w:rPr>
        <w:t> </w:t>
      </w:r>
      <w:r>
        <w:rPr>
          <w:color w:val="3D3B3D"/>
          <w:w w:val="110"/>
          <w:sz w:val="20"/>
        </w:rPr>
        <w:t>the</w:t>
      </w:r>
      <w:r>
        <w:rPr>
          <w:color w:val="3D3B3D"/>
          <w:spacing w:val="43"/>
          <w:w w:val="110"/>
          <w:sz w:val="20"/>
        </w:rPr>
        <w:t> </w:t>
      </w:r>
      <w:r>
        <w:rPr>
          <w:color w:val="3D3B3D"/>
          <w:w w:val="110"/>
          <w:sz w:val="20"/>
        </w:rPr>
        <w:t>Argument</w:t>
      </w:r>
    </w:p>
    <w:p>
      <w:pPr>
        <w:pStyle w:val="ListParagraph"/>
        <w:numPr>
          <w:ilvl w:val="1"/>
          <w:numId w:val="76"/>
        </w:numPr>
        <w:tabs>
          <w:tab w:pos="1090" w:val="left" w:leader="none"/>
          <w:tab w:pos="1091" w:val="left" w:leader="none"/>
        </w:tabs>
        <w:spacing w:line="203" w:lineRule="exact" w:before="0" w:after="0"/>
        <w:ind w:left="1090" w:right="0" w:hanging="497"/>
        <w:jc w:val="left"/>
        <w:rPr>
          <w:b/>
          <w:color w:val="3D3B3D"/>
          <w:sz w:val="21"/>
        </w:rPr>
      </w:pPr>
      <w:r>
        <w:rPr>
          <w:color w:val="3D3B3D"/>
          <w:w w:val="115"/>
          <w:sz w:val="20"/>
        </w:rPr>
        <w:t>Point</w:t>
      </w:r>
      <w:r>
        <w:rPr>
          <w:color w:val="3D3B3D"/>
          <w:spacing w:val="-10"/>
          <w:w w:val="115"/>
          <w:sz w:val="20"/>
        </w:rPr>
        <w:t> </w:t>
      </w:r>
      <w:r>
        <w:rPr>
          <w:color w:val="3D3B3D"/>
          <w:w w:val="115"/>
          <w:sz w:val="20"/>
        </w:rPr>
        <w:t>Headings</w:t>
      </w:r>
    </w:p>
    <w:p>
      <w:pPr>
        <w:pStyle w:val="ListParagraph"/>
        <w:numPr>
          <w:ilvl w:val="2"/>
          <w:numId w:val="76"/>
        </w:numPr>
        <w:tabs>
          <w:tab w:pos="1776" w:val="left" w:leader="none"/>
        </w:tabs>
        <w:spacing w:line="196" w:lineRule="exact" w:before="0" w:after="0"/>
        <w:ind w:left="1775" w:right="0" w:hanging="699"/>
        <w:jc w:val="left"/>
        <w:rPr>
          <w:rFonts w:ascii="Arial"/>
          <w:b/>
          <w:color w:val="2A2628"/>
          <w:sz w:val="20"/>
        </w:rPr>
      </w:pPr>
      <w:r>
        <w:rPr>
          <w:color w:val="3D3B3D"/>
          <w:w w:val="105"/>
          <w:sz w:val="20"/>
        </w:rPr>
        <w:t>Format</w:t>
      </w:r>
      <w:r>
        <w:rPr>
          <w:color w:val="3D3B3D"/>
          <w:spacing w:val="-2"/>
          <w:w w:val="105"/>
          <w:sz w:val="20"/>
        </w:rPr>
        <w:t> </w:t>
      </w:r>
      <w:r>
        <w:rPr>
          <w:color w:val="3D3B3D"/>
          <w:w w:val="105"/>
          <w:sz w:val="20"/>
        </w:rPr>
        <w:t>and</w:t>
      </w:r>
      <w:r>
        <w:rPr>
          <w:color w:val="3D3B3D"/>
          <w:spacing w:val="18"/>
          <w:w w:val="105"/>
          <w:sz w:val="20"/>
        </w:rPr>
        <w:t> </w:t>
      </w:r>
      <w:r>
        <w:rPr>
          <w:color w:val="3D3B3D"/>
          <w:w w:val="105"/>
          <w:sz w:val="20"/>
        </w:rPr>
        <w:t>Function</w:t>
      </w:r>
    </w:p>
    <w:p>
      <w:pPr>
        <w:pStyle w:val="ListParagraph"/>
        <w:numPr>
          <w:ilvl w:val="2"/>
          <w:numId w:val="76"/>
        </w:numPr>
        <w:tabs>
          <w:tab w:pos="1776" w:val="left" w:leader="none"/>
        </w:tabs>
        <w:spacing w:line="197" w:lineRule="exact" w:before="0" w:after="0"/>
        <w:ind w:left="1775" w:right="0" w:hanging="699"/>
        <w:jc w:val="left"/>
        <w:rPr>
          <w:rFonts w:ascii="Arial"/>
          <w:b/>
          <w:color w:val="3D3B3D"/>
          <w:sz w:val="20"/>
        </w:rPr>
      </w:pPr>
      <w:r>
        <w:rPr>
          <w:color w:val="3D3B3D"/>
          <w:w w:val="105"/>
          <w:sz w:val="20"/>
        </w:rPr>
        <w:t>Drafting the</w:t>
      </w:r>
      <w:r>
        <w:rPr>
          <w:color w:val="3D3B3D"/>
          <w:spacing w:val="5"/>
          <w:w w:val="105"/>
          <w:sz w:val="20"/>
        </w:rPr>
        <w:t> </w:t>
      </w:r>
      <w:r>
        <w:rPr>
          <w:color w:val="3D3B3D"/>
          <w:w w:val="105"/>
          <w:sz w:val="20"/>
        </w:rPr>
        <w:t>Point</w:t>
      </w:r>
      <w:r>
        <w:rPr>
          <w:color w:val="3D3B3D"/>
          <w:spacing w:val="-5"/>
          <w:w w:val="105"/>
          <w:sz w:val="20"/>
        </w:rPr>
        <w:t> </w:t>
      </w:r>
      <w:r>
        <w:rPr>
          <w:color w:val="3D3B3D"/>
          <w:w w:val="105"/>
          <w:sz w:val="20"/>
        </w:rPr>
        <w:t>Headings</w:t>
      </w:r>
    </w:p>
    <w:p>
      <w:pPr>
        <w:pStyle w:val="ListParagraph"/>
        <w:numPr>
          <w:ilvl w:val="2"/>
          <w:numId w:val="76"/>
        </w:numPr>
        <w:tabs>
          <w:tab w:pos="1773" w:val="left" w:leader="none"/>
        </w:tabs>
        <w:spacing w:line="193" w:lineRule="exact" w:before="0" w:after="0"/>
        <w:ind w:left="1772" w:right="0" w:hanging="696"/>
        <w:jc w:val="left"/>
        <w:rPr>
          <w:rFonts w:ascii="Arial"/>
          <w:b/>
          <w:color w:val="3D3B3D"/>
          <w:sz w:val="20"/>
        </w:rPr>
      </w:pPr>
      <w:r>
        <w:rPr>
          <w:color w:val="3D3B3D"/>
          <w:sz w:val="20"/>
        </w:rPr>
        <w:t>The</w:t>
      </w:r>
      <w:r>
        <w:rPr>
          <w:color w:val="3D3B3D"/>
          <w:spacing w:val="4"/>
          <w:sz w:val="20"/>
        </w:rPr>
        <w:t> </w:t>
      </w:r>
      <w:r>
        <w:rPr>
          <w:color w:val="3D3B3D"/>
          <w:sz w:val="20"/>
        </w:rPr>
        <w:t>Relationships</w:t>
      </w:r>
      <w:r>
        <w:rPr>
          <w:color w:val="3D3B3D"/>
          <w:spacing w:val="17"/>
          <w:sz w:val="20"/>
        </w:rPr>
        <w:t> </w:t>
      </w:r>
      <w:r>
        <w:rPr>
          <w:color w:val="3D3B3D"/>
          <w:sz w:val="20"/>
        </w:rPr>
        <w:t>Between</w:t>
      </w:r>
      <w:r>
        <w:rPr>
          <w:color w:val="3D3B3D"/>
          <w:spacing w:val="8"/>
          <w:sz w:val="20"/>
        </w:rPr>
        <w:t> </w:t>
      </w:r>
      <w:r>
        <w:rPr>
          <w:color w:val="3D3B3D"/>
          <w:sz w:val="20"/>
        </w:rPr>
        <w:t>and</w:t>
      </w:r>
      <w:r>
        <w:rPr>
          <w:color w:val="3D3B3D"/>
          <w:spacing w:val="-2"/>
          <w:sz w:val="20"/>
        </w:rPr>
        <w:t> </w:t>
      </w:r>
      <w:r>
        <w:rPr>
          <w:color w:val="3D3B3D"/>
          <w:sz w:val="20"/>
        </w:rPr>
        <w:t>Among</w:t>
      </w:r>
      <w:r>
        <w:rPr>
          <w:color w:val="3D3B3D"/>
          <w:spacing w:val="-4"/>
          <w:sz w:val="20"/>
        </w:rPr>
        <w:t> </w:t>
      </w:r>
      <w:r>
        <w:rPr>
          <w:color w:val="3D3B3D"/>
          <w:sz w:val="20"/>
        </w:rPr>
        <w:t>Point</w:t>
      </w:r>
      <w:r>
        <w:rPr>
          <w:color w:val="3D3B3D"/>
          <w:spacing w:val="10"/>
          <w:sz w:val="20"/>
        </w:rPr>
        <w:t> </w:t>
      </w:r>
      <w:r>
        <w:rPr>
          <w:color w:val="3D3B3D"/>
          <w:sz w:val="20"/>
        </w:rPr>
        <w:t>Headings</w:t>
      </w:r>
    </w:p>
    <w:p>
      <w:pPr>
        <w:pStyle w:val="ListParagraph"/>
        <w:numPr>
          <w:ilvl w:val="2"/>
          <w:numId w:val="76"/>
        </w:numPr>
        <w:tabs>
          <w:tab w:pos="1773" w:val="left" w:leader="none"/>
        </w:tabs>
        <w:spacing w:line="199" w:lineRule="auto" w:before="15" w:after="0"/>
        <w:ind w:left="1786" w:right="1764" w:hanging="709"/>
        <w:jc w:val="left"/>
        <w:rPr>
          <w:b/>
          <w:color w:val="3D3B3D"/>
          <w:sz w:val="21"/>
        </w:rPr>
      </w:pPr>
      <w:r>
        <w:rPr>
          <w:color w:val="3D3B3D"/>
          <w:sz w:val="20"/>
        </w:rPr>
        <w:t>TheRelationship</w:t>
      </w:r>
      <w:r>
        <w:rPr>
          <w:color w:val="3D3B3D"/>
          <w:spacing w:val="26"/>
          <w:sz w:val="20"/>
        </w:rPr>
        <w:t> </w:t>
      </w:r>
      <w:r>
        <w:rPr>
          <w:color w:val="3D3B3D"/>
          <w:sz w:val="20"/>
        </w:rPr>
        <w:t>Between</w:t>
      </w:r>
      <w:r>
        <w:rPr>
          <w:color w:val="3D3B3D"/>
          <w:spacing w:val="29"/>
          <w:sz w:val="20"/>
        </w:rPr>
        <w:t> </w:t>
      </w:r>
      <w:r>
        <w:rPr>
          <w:color w:val="3D3B3D"/>
          <w:sz w:val="20"/>
        </w:rPr>
        <w:t>the</w:t>
      </w:r>
      <w:r>
        <w:rPr>
          <w:color w:val="3D3B3D"/>
          <w:spacing w:val="8"/>
          <w:sz w:val="20"/>
        </w:rPr>
        <w:t> </w:t>
      </w:r>
      <w:r>
        <w:rPr>
          <w:color w:val="3D3B3D"/>
          <w:sz w:val="20"/>
        </w:rPr>
        <w:t>Point</w:t>
      </w:r>
      <w:r>
        <w:rPr>
          <w:color w:val="3D3B3D"/>
          <w:spacing w:val="27"/>
          <w:sz w:val="20"/>
        </w:rPr>
        <w:t> </w:t>
      </w:r>
      <w:r>
        <w:rPr>
          <w:color w:val="3D3B3D"/>
          <w:sz w:val="20"/>
        </w:rPr>
        <w:t>Heading</w:t>
      </w:r>
      <w:r>
        <w:rPr>
          <w:color w:val="3D3B3D"/>
          <w:spacing w:val="-3"/>
          <w:sz w:val="20"/>
        </w:rPr>
        <w:t> </w:t>
      </w:r>
      <w:r>
        <w:rPr>
          <w:color w:val="3D3B3D"/>
          <w:sz w:val="20"/>
        </w:rPr>
        <w:t>and</w:t>
      </w:r>
      <w:r>
        <w:rPr>
          <w:color w:val="3D3B3D"/>
          <w:spacing w:val="1"/>
          <w:sz w:val="20"/>
        </w:rPr>
        <w:t> </w:t>
      </w:r>
      <w:r>
        <w:rPr>
          <w:color w:val="3D3B3D"/>
          <w:w w:val="105"/>
          <w:sz w:val="20"/>
        </w:rPr>
        <w:t>the</w:t>
      </w:r>
      <w:r>
        <w:rPr>
          <w:color w:val="3D3B3D"/>
          <w:spacing w:val="32"/>
          <w:w w:val="105"/>
          <w:sz w:val="20"/>
        </w:rPr>
        <w:t> </w:t>
      </w:r>
      <w:r>
        <w:rPr>
          <w:color w:val="3D3B3D"/>
          <w:w w:val="105"/>
          <w:sz w:val="20"/>
        </w:rPr>
        <w:t>Paragraph</w:t>
      </w:r>
      <w:r>
        <w:rPr>
          <w:color w:val="3D3B3D"/>
          <w:spacing w:val="-1"/>
          <w:w w:val="105"/>
          <w:sz w:val="20"/>
        </w:rPr>
        <w:t> </w:t>
      </w:r>
      <w:r>
        <w:rPr>
          <w:color w:val="3D3B3D"/>
          <w:w w:val="105"/>
          <w:sz w:val="20"/>
        </w:rPr>
        <w:t>Immediately</w:t>
      </w:r>
      <w:r>
        <w:rPr>
          <w:color w:val="3D3B3D"/>
          <w:spacing w:val="-2"/>
          <w:w w:val="105"/>
          <w:sz w:val="20"/>
        </w:rPr>
        <w:t> </w:t>
      </w:r>
      <w:r>
        <w:rPr>
          <w:color w:val="3D3B3D"/>
          <w:w w:val="105"/>
          <w:sz w:val="20"/>
        </w:rPr>
        <w:t>Following</w:t>
      </w:r>
    </w:p>
    <w:p>
      <w:pPr>
        <w:pStyle w:val="ListParagraph"/>
        <w:numPr>
          <w:ilvl w:val="2"/>
          <w:numId w:val="76"/>
        </w:numPr>
        <w:tabs>
          <w:tab w:pos="1776" w:val="left" w:leader="none"/>
        </w:tabs>
        <w:spacing w:line="201" w:lineRule="exact" w:before="0" w:after="0"/>
        <w:ind w:left="1775" w:right="0" w:hanging="689"/>
        <w:jc w:val="left"/>
        <w:rPr>
          <w:b/>
          <w:color w:val="3D3B3D"/>
          <w:sz w:val="21"/>
        </w:rPr>
      </w:pPr>
      <w:r>
        <w:rPr>
          <w:color w:val="3D3B3D"/>
          <w:w w:val="110"/>
          <w:sz w:val="20"/>
        </w:rPr>
        <w:t>Summing</w:t>
      </w:r>
      <w:r>
        <w:rPr>
          <w:color w:val="3D3B3D"/>
          <w:spacing w:val="-11"/>
          <w:w w:val="110"/>
          <w:sz w:val="20"/>
        </w:rPr>
        <w:t> </w:t>
      </w:r>
      <w:r>
        <w:rPr>
          <w:color w:val="3D3B3D"/>
          <w:w w:val="110"/>
          <w:sz w:val="20"/>
        </w:rPr>
        <w:t>Up</w:t>
      </w:r>
    </w:p>
    <w:p>
      <w:pPr>
        <w:pStyle w:val="ListParagraph"/>
        <w:numPr>
          <w:ilvl w:val="1"/>
          <w:numId w:val="76"/>
        </w:numPr>
        <w:tabs>
          <w:tab w:pos="1082" w:val="left" w:leader="none"/>
        </w:tabs>
        <w:spacing w:line="220" w:lineRule="exact" w:before="0" w:after="0"/>
        <w:ind w:left="1081" w:right="0" w:hanging="468"/>
        <w:jc w:val="left"/>
        <w:rPr>
          <w:rFonts w:ascii="Arial"/>
          <w:b/>
          <w:color w:val="3D3B3D"/>
          <w:sz w:val="20"/>
        </w:rPr>
      </w:pPr>
      <w:r>
        <w:rPr>
          <w:color w:val="3D3B3D"/>
          <w:w w:val="115"/>
          <w:sz w:val="20"/>
        </w:rPr>
        <w:t>Summary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32" w:lineRule="auto" w:before="97"/>
        <w:ind w:left="139" w:right="319" w:firstLine="475"/>
      </w:pPr>
      <w:r>
        <w:rPr>
          <w:color w:val="3D3B3D"/>
        </w:rPr>
        <w:t>In football,</w:t>
      </w:r>
      <w:r>
        <w:rPr>
          <w:color w:val="3D3B3D"/>
          <w:spacing w:val="1"/>
        </w:rPr>
        <w:t> </w:t>
      </w:r>
      <w:r>
        <w:rPr>
          <w:color w:val="3D3B3D"/>
        </w:rPr>
        <w:t>coaches</w:t>
      </w:r>
      <w:r>
        <w:rPr>
          <w:color w:val="3D3B3D"/>
          <w:spacing w:val="1"/>
        </w:rPr>
        <w:t> </w:t>
      </w:r>
      <w:r>
        <w:rPr>
          <w:color w:val="3D3B3D"/>
        </w:rPr>
        <w:t>organize several different</w:t>
      </w:r>
      <w:r>
        <w:rPr>
          <w:color w:val="3D3B3D"/>
          <w:spacing w:val="1"/>
        </w:rPr>
        <w:t> </w:t>
      </w:r>
      <w:r>
        <w:rPr>
          <w:color w:val="3D3B3D"/>
        </w:rPr>
        <w:t>types of</w:t>
      </w:r>
      <w:r>
        <w:rPr>
          <w:color w:val="3D3B3D"/>
          <w:spacing w:val="1"/>
        </w:rPr>
        <w:t> </w:t>
      </w:r>
      <w:r>
        <w:rPr>
          <w:color w:val="3D3B3D"/>
        </w:rPr>
        <w:t>practices. The</w:t>
      </w:r>
      <w:r>
        <w:rPr>
          <w:color w:val="3D3B3D"/>
          <w:spacing w:val="1"/>
        </w:rPr>
        <w:t> </w:t>
      </w:r>
      <w:r>
        <w:rPr>
          <w:color w:val="3D3B3D"/>
          <w:w w:val="95"/>
        </w:rPr>
        <w:t>offense and</w:t>
      </w:r>
      <w:r>
        <w:rPr>
          <w:color w:val="3D3B3D"/>
          <w:spacing w:val="1"/>
          <w:w w:val="95"/>
        </w:rPr>
        <w:t> </w:t>
      </w:r>
      <w:r>
        <w:rPr>
          <w:color w:val="3D3B3D"/>
          <w:w w:val="95"/>
        </w:rPr>
        <w:t>the</w:t>
      </w:r>
      <w:r>
        <w:rPr>
          <w:color w:val="3D3B3D"/>
          <w:spacing w:val="1"/>
          <w:w w:val="95"/>
        </w:rPr>
        <w:t> </w:t>
      </w:r>
      <w:r>
        <w:rPr>
          <w:color w:val="3D3B3D"/>
          <w:w w:val="95"/>
        </w:rPr>
        <w:t>defense must prepare differently,</w:t>
      </w:r>
      <w:r>
        <w:rPr>
          <w:color w:val="3D3B3D"/>
          <w:spacing w:val="1"/>
          <w:w w:val="95"/>
        </w:rPr>
        <w:t> </w:t>
      </w:r>
      <w:r>
        <w:rPr>
          <w:color w:val="3D3B3D"/>
          <w:w w:val="95"/>
        </w:rPr>
        <w:t>just as you must prepare </w:t>
      </w:r>
      <w:r>
        <w:rPr>
          <w:rFonts w:ascii="Arial" w:hAnsi="Arial"/>
          <w:color w:val="3D3B3D"/>
          <w:w w:val="95"/>
          <w:sz w:val="21"/>
        </w:rPr>
        <w:t>a</w:t>
      </w:r>
      <w:r>
        <w:rPr>
          <w:rFonts w:ascii="Arial" w:hAnsi="Arial"/>
          <w:color w:val="3D3B3D"/>
          <w:spacing w:val="1"/>
          <w:w w:val="95"/>
          <w:sz w:val="21"/>
        </w:rPr>
        <w:t> </w:t>
      </w:r>
      <w:r>
        <w:rPr>
          <w:rFonts w:ascii="Arial" w:hAnsi="Arial"/>
          <w:color w:val="B5B8BA"/>
          <w:w w:val="95"/>
          <w:sz w:val="21"/>
        </w:rPr>
        <w:t>.</w:t>
      </w:r>
      <w:r>
        <w:rPr>
          <w:rFonts w:ascii="Arial" w:hAnsi="Arial"/>
          <w:color w:val="B5B8BA"/>
          <w:spacing w:val="-53"/>
          <w:w w:val="95"/>
          <w:sz w:val="21"/>
        </w:rPr>
        <w:t> </w:t>
      </w:r>
      <w:r>
        <w:rPr>
          <w:color w:val="3D3B3D"/>
        </w:rPr>
        <w:t>petitioner's brief</w:t>
      </w:r>
      <w:r>
        <w:rPr>
          <w:color w:val="3D3B3D"/>
          <w:spacing w:val="1"/>
        </w:rPr>
        <w:t> </w:t>
      </w:r>
      <w:r>
        <w:rPr>
          <w:color w:val="3D3B3D"/>
        </w:rPr>
        <w:t>differently from</w:t>
      </w:r>
      <w:r>
        <w:rPr>
          <w:color w:val="3D3B3D"/>
          <w:spacing w:val="1"/>
        </w:rPr>
        <w:t> </w:t>
      </w:r>
      <w:r>
        <w:rPr>
          <w:color w:val="3D3B3D"/>
        </w:rPr>
        <w:t>the</w:t>
      </w:r>
      <w:r>
        <w:rPr>
          <w:color w:val="3D3B3D"/>
          <w:spacing w:val="57"/>
        </w:rPr>
        <w:t> </w:t>
      </w:r>
      <w:r>
        <w:rPr>
          <w:color w:val="3D3B3D"/>
        </w:rPr>
        <w:t>way you prepare a</w:t>
      </w:r>
      <w:r>
        <w:rPr>
          <w:color w:val="3D3B3D"/>
          <w:spacing w:val="58"/>
        </w:rPr>
        <w:t> </w:t>
      </w:r>
      <w:r>
        <w:rPr>
          <w:color w:val="3D3B3D"/>
        </w:rPr>
        <w:t>respondent's brief,</w:t>
      </w:r>
      <w:r>
        <w:rPr>
          <w:color w:val="3D3B3D"/>
          <w:spacing w:val="1"/>
        </w:rPr>
        <w:t> </w:t>
      </w:r>
      <w:r>
        <w:rPr>
          <w:rFonts w:ascii="Arial" w:hAnsi="Arial"/>
          <w:color w:val="3D3B3D"/>
          <w:sz w:val="22"/>
        </w:rPr>
        <w:t>or a </w:t>
      </w:r>
      <w:r>
        <w:rPr>
          <w:color w:val="3D3B3D"/>
        </w:rPr>
        <w:t>memorandum</w:t>
      </w:r>
      <w:r>
        <w:rPr>
          <w:color w:val="3D3B3D"/>
          <w:spacing w:val="1"/>
        </w:rPr>
        <w:t> </w:t>
      </w:r>
      <w:r>
        <w:rPr>
          <w:color w:val="3D3B3D"/>
        </w:rPr>
        <w:t>supporting </w:t>
      </w:r>
      <w:r>
        <w:rPr>
          <w:color w:val="3D3B3D"/>
          <w:sz w:val="24"/>
        </w:rPr>
        <w:t>a </w:t>
      </w:r>
      <w:r>
        <w:rPr>
          <w:color w:val="3D3B3D"/>
        </w:rPr>
        <w:t>motion differently from a memorandum in</w:t>
      </w:r>
      <w:r>
        <w:rPr>
          <w:color w:val="3D3B3D"/>
          <w:spacing w:val="1"/>
        </w:rPr>
        <w:t> </w:t>
      </w:r>
      <w:r>
        <w:rPr>
          <w:color w:val="3D3B3D"/>
        </w:rPr>
        <w:t>opposition</w:t>
      </w:r>
      <w:r>
        <w:rPr>
          <w:color w:val="3D3B3D"/>
          <w:spacing w:val="1"/>
        </w:rPr>
        <w:t> </w:t>
      </w:r>
      <w:r>
        <w:rPr>
          <w:color w:val="3D3B3D"/>
        </w:rPr>
        <w:t>to</w:t>
      </w:r>
      <w:r>
        <w:rPr>
          <w:color w:val="3D3B3D"/>
          <w:spacing w:val="1"/>
        </w:rPr>
        <w:t> </w:t>
      </w:r>
      <w:r>
        <w:rPr>
          <w:color w:val="3D3B3D"/>
        </w:rPr>
        <w:t>a</w:t>
      </w:r>
      <w:r>
        <w:rPr>
          <w:color w:val="3D3B3D"/>
          <w:spacing w:val="1"/>
        </w:rPr>
        <w:t> </w:t>
      </w:r>
      <w:r>
        <w:rPr>
          <w:color w:val="3D3B3D"/>
        </w:rPr>
        <w:t>motion.</w:t>
      </w:r>
      <w:r>
        <w:rPr>
          <w:color w:val="3D3B3D"/>
          <w:spacing w:val="1"/>
        </w:rPr>
        <w:t> </w:t>
      </w:r>
      <w:r>
        <w:rPr>
          <w:color w:val="3D3B3D"/>
        </w:rPr>
        <w:t>Football coaches also have practices for their "spe­</w:t>
      </w:r>
      <w:r>
        <w:rPr>
          <w:color w:val="3D3B3D"/>
          <w:spacing w:val="1"/>
        </w:rPr>
        <w:t> </w:t>
      </w:r>
      <w:r>
        <w:rPr>
          <w:color w:val="3D3B3D"/>
          <w:spacing w:val="-1"/>
          <w:w w:val="105"/>
          <w:sz w:val="21"/>
        </w:rPr>
        <w:t>cial</w:t>
      </w:r>
      <w:r>
        <w:rPr>
          <w:color w:val="3D3B3D"/>
          <w:spacing w:val="-7"/>
          <w:w w:val="105"/>
          <w:sz w:val="21"/>
        </w:rPr>
        <w:t> </w:t>
      </w:r>
      <w:r>
        <w:rPr>
          <w:color w:val="3D3B3D"/>
          <w:spacing w:val="-1"/>
          <w:w w:val="105"/>
        </w:rPr>
        <w:t>teams,"</w:t>
      </w:r>
      <w:r>
        <w:rPr>
          <w:color w:val="3D3B3D"/>
          <w:spacing w:val="10"/>
          <w:w w:val="105"/>
        </w:rPr>
        <w:t> </w:t>
      </w:r>
      <w:r>
        <w:rPr>
          <w:color w:val="3D3B3D"/>
          <w:spacing w:val="-1"/>
          <w:w w:val="105"/>
        </w:rPr>
        <w:t>the</w:t>
      </w:r>
      <w:r>
        <w:rPr>
          <w:color w:val="3D3B3D"/>
          <w:spacing w:val="54"/>
          <w:w w:val="105"/>
        </w:rPr>
        <w:t> </w:t>
      </w:r>
      <w:r>
        <w:rPr>
          <w:color w:val="3D3B3D"/>
          <w:spacing w:val="-1"/>
          <w:w w:val="105"/>
        </w:rPr>
        <w:t>teams</w:t>
      </w:r>
      <w:r>
        <w:rPr>
          <w:color w:val="3D3B3D"/>
          <w:spacing w:val="-3"/>
          <w:w w:val="105"/>
        </w:rPr>
        <w:t> </w:t>
      </w:r>
      <w:r>
        <w:rPr>
          <w:color w:val="2A2628"/>
          <w:spacing w:val="-1"/>
          <w:w w:val="105"/>
        </w:rPr>
        <w:t>that</w:t>
      </w:r>
      <w:r>
        <w:rPr>
          <w:color w:val="2A2628"/>
          <w:spacing w:val="5"/>
          <w:w w:val="105"/>
        </w:rPr>
        <w:t> </w:t>
      </w:r>
      <w:r>
        <w:rPr>
          <w:color w:val="3D3B3D"/>
          <w:spacing w:val="-1"/>
          <w:w w:val="105"/>
        </w:rPr>
        <w:t>handle</w:t>
      </w:r>
      <w:r>
        <w:rPr>
          <w:color w:val="3D3B3D"/>
          <w:spacing w:val="-6"/>
          <w:w w:val="105"/>
        </w:rPr>
        <w:t> </w:t>
      </w:r>
      <w:r>
        <w:rPr>
          <w:color w:val="3D3B3D"/>
          <w:spacing w:val="-1"/>
          <w:w w:val="105"/>
        </w:rPr>
        <w:t>certain</w:t>
      </w:r>
      <w:r>
        <w:rPr>
          <w:color w:val="3D3B3D"/>
          <w:spacing w:val="16"/>
          <w:w w:val="105"/>
        </w:rPr>
        <w:t> </w:t>
      </w:r>
      <w:r>
        <w:rPr>
          <w:color w:val="3D3B3D"/>
          <w:spacing w:val="-1"/>
          <w:w w:val="105"/>
        </w:rPr>
        <w:t>types</w:t>
      </w:r>
      <w:r>
        <w:rPr>
          <w:color w:val="3D3B3D"/>
          <w:spacing w:val="-19"/>
          <w:w w:val="105"/>
        </w:rPr>
        <w:t> </w:t>
      </w:r>
      <w:r>
        <w:rPr>
          <w:color w:val="3D3B3D"/>
          <w:w w:val="105"/>
        </w:rPr>
        <w:t>of</w:t>
      </w:r>
      <w:r>
        <w:rPr>
          <w:color w:val="3D3B3D"/>
          <w:spacing w:val="17"/>
          <w:w w:val="105"/>
        </w:rPr>
        <w:t> </w:t>
      </w:r>
      <w:r>
        <w:rPr>
          <w:color w:val="3D3B3D"/>
          <w:w w:val="105"/>
        </w:rPr>
        <w:t>plays</w:t>
      </w:r>
      <w:r>
        <w:rPr>
          <w:color w:val="3D3B3D"/>
          <w:spacing w:val="-2"/>
          <w:w w:val="105"/>
        </w:rPr>
        <w:t> </w:t>
      </w:r>
      <w:r>
        <w:rPr>
          <w:color w:val="3D3B3D"/>
          <w:w w:val="105"/>
        </w:rPr>
        <w:t>that</w:t>
      </w:r>
      <w:r>
        <w:rPr>
          <w:color w:val="3D3B3D"/>
          <w:spacing w:val="-3"/>
          <w:w w:val="105"/>
        </w:rPr>
        <w:t> </w:t>
      </w:r>
      <w:r>
        <w:rPr>
          <w:color w:val="3D3B3D"/>
          <w:w w:val="105"/>
        </w:rPr>
        <w:t>occur</w:t>
      </w:r>
      <w:r>
        <w:rPr>
          <w:color w:val="3D3B3D"/>
          <w:spacing w:val="-10"/>
          <w:w w:val="105"/>
        </w:rPr>
        <w:t> </w:t>
      </w:r>
      <w:r>
        <w:rPr>
          <w:color w:val="3D3B3D"/>
          <w:w w:val="105"/>
        </w:rPr>
        <w:t>during</w:t>
      </w:r>
      <w:r>
        <w:rPr>
          <w:color w:val="3D3B3D"/>
          <w:spacing w:val="1"/>
          <w:w w:val="105"/>
        </w:rPr>
        <w:t> </w:t>
      </w:r>
      <w:r>
        <w:rPr>
          <w:color w:val="3D3B3D"/>
        </w:rPr>
        <w:t>most</w:t>
      </w:r>
      <w:r>
        <w:rPr>
          <w:color w:val="3D3B3D"/>
          <w:spacing w:val="-10"/>
        </w:rPr>
        <w:t> </w:t>
      </w:r>
      <w:r>
        <w:rPr>
          <w:color w:val="3D3B3D"/>
        </w:rPr>
        <w:t>games.</w:t>
      </w:r>
      <w:r>
        <w:rPr>
          <w:color w:val="3D3B3D"/>
          <w:spacing w:val="9"/>
        </w:rPr>
        <w:t> </w:t>
      </w:r>
      <w:r>
        <w:rPr>
          <w:color w:val="3D3B3D"/>
        </w:rPr>
        <w:t>For</w:t>
      </w:r>
      <w:r>
        <w:rPr>
          <w:color w:val="3D3B3D"/>
          <w:spacing w:val="-4"/>
        </w:rPr>
        <w:t> </w:t>
      </w:r>
      <w:r>
        <w:rPr>
          <w:color w:val="3D3B3D"/>
        </w:rPr>
        <w:t>example,</w:t>
      </w:r>
      <w:r>
        <w:rPr>
          <w:color w:val="3D3B3D"/>
          <w:spacing w:val="-1"/>
        </w:rPr>
        <w:t> </w:t>
      </w:r>
      <w:r>
        <w:rPr>
          <w:color w:val="3D3B3D"/>
        </w:rPr>
        <w:t>coaches</w:t>
      </w:r>
      <w:r>
        <w:rPr>
          <w:color w:val="3D3B3D"/>
          <w:spacing w:val="-1"/>
        </w:rPr>
        <w:t> </w:t>
      </w:r>
      <w:r>
        <w:rPr>
          <w:color w:val="3D3B3D"/>
          <w:sz w:val="21"/>
        </w:rPr>
        <w:t>will</w:t>
      </w:r>
      <w:r>
        <w:rPr>
          <w:color w:val="3D3B3D"/>
          <w:spacing w:val="11"/>
          <w:sz w:val="21"/>
        </w:rPr>
        <w:t> </w:t>
      </w:r>
      <w:r>
        <w:rPr>
          <w:color w:val="3D3B3D"/>
        </w:rPr>
        <w:t>hold</w:t>
      </w:r>
      <w:r>
        <w:rPr>
          <w:color w:val="3D3B3D"/>
          <w:spacing w:val="7"/>
        </w:rPr>
        <w:t> </w:t>
      </w:r>
      <w:r>
        <w:rPr>
          <w:color w:val="3D3B3D"/>
        </w:rPr>
        <w:t>a</w:t>
      </w:r>
      <w:r>
        <w:rPr>
          <w:color w:val="3D3B3D"/>
          <w:spacing w:val="6"/>
        </w:rPr>
        <w:t> </w:t>
      </w:r>
      <w:r>
        <w:rPr>
          <w:color w:val="3D3B3D"/>
        </w:rPr>
        <w:t>separate</w:t>
      </w:r>
      <w:r>
        <w:rPr>
          <w:color w:val="3D3B3D"/>
          <w:spacing w:val="3"/>
        </w:rPr>
        <w:t> </w:t>
      </w:r>
      <w:r>
        <w:rPr>
          <w:color w:val="3D3B3D"/>
        </w:rPr>
        <w:t>practice</w:t>
      </w:r>
      <w:r>
        <w:rPr>
          <w:color w:val="3D3B3D"/>
          <w:spacing w:val="-3"/>
        </w:rPr>
        <w:t> </w:t>
      </w:r>
      <w:r>
        <w:rPr>
          <w:color w:val="3D3B3D"/>
        </w:rPr>
        <w:t>for</w:t>
      </w:r>
      <w:r>
        <w:rPr>
          <w:color w:val="3D3B3D"/>
          <w:spacing w:val="2"/>
        </w:rPr>
        <w:t> </w:t>
      </w:r>
      <w:r>
        <w:rPr>
          <w:color w:val="3D3B3D"/>
        </w:rPr>
        <w:t>kickoffs,</w:t>
      </w:r>
      <w:r>
        <w:rPr>
          <w:color w:val="3D3B3D"/>
          <w:spacing w:val="1"/>
        </w:rPr>
        <w:t> </w:t>
      </w:r>
      <w:r>
        <w:rPr>
          <w:color w:val="3D3B3D"/>
        </w:rPr>
        <w:t>for kickoff</w:t>
      </w:r>
      <w:r>
        <w:rPr>
          <w:color w:val="3D3B3D"/>
          <w:spacing w:val="1"/>
        </w:rPr>
        <w:t> </w:t>
      </w:r>
      <w:r>
        <w:rPr>
          <w:color w:val="3D3B3D"/>
        </w:rPr>
        <w:t>returns,</w:t>
      </w:r>
      <w:r>
        <w:rPr>
          <w:color w:val="3D3B3D"/>
          <w:spacing w:val="57"/>
        </w:rPr>
        <w:t> </w:t>
      </w:r>
      <w:r>
        <w:rPr>
          <w:color w:val="3D3B3D"/>
        </w:rPr>
        <w:t>and</w:t>
      </w:r>
      <w:r>
        <w:rPr>
          <w:color w:val="3D3B3D"/>
          <w:spacing w:val="58"/>
        </w:rPr>
        <w:t> </w:t>
      </w:r>
      <w:r>
        <w:rPr>
          <w:color w:val="3D3B3D"/>
        </w:rPr>
        <w:t>for the</w:t>
      </w:r>
      <w:r>
        <w:rPr>
          <w:color w:val="3D3B3D"/>
          <w:spacing w:val="57"/>
        </w:rPr>
        <w:t> </w:t>
      </w:r>
      <w:r>
        <w:rPr>
          <w:color w:val="3D3B3D"/>
        </w:rPr>
        <w:t>onside</w:t>
      </w:r>
      <w:r>
        <w:rPr>
          <w:color w:val="3D3B3D"/>
          <w:spacing w:val="58"/>
        </w:rPr>
        <w:t> </w:t>
      </w:r>
      <w:r>
        <w:rPr>
          <w:color w:val="3D3B3D"/>
        </w:rPr>
        <w:t>kick. Coaches do</w:t>
      </w:r>
      <w:r>
        <w:rPr>
          <w:color w:val="3D3B3D"/>
          <w:spacing w:val="57"/>
        </w:rPr>
        <w:t> </w:t>
      </w:r>
      <w:r>
        <w:rPr>
          <w:color w:val="3D3B3D"/>
        </w:rPr>
        <w:t>this because each</w:t>
      </w:r>
      <w:r>
        <w:rPr>
          <w:color w:val="3D3B3D"/>
          <w:spacing w:val="1"/>
        </w:rPr>
        <w:t> </w:t>
      </w:r>
      <w:r>
        <w:rPr>
          <w:rFonts w:ascii="Arial" w:hAnsi="Arial"/>
          <w:color w:val="3D3B3D"/>
          <w:sz w:val="22"/>
        </w:rPr>
        <w:t>of </w:t>
      </w:r>
      <w:r>
        <w:rPr>
          <w:color w:val="3D3B3D"/>
        </w:rPr>
        <w:t>these plays</w:t>
      </w:r>
      <w:r>
        <w:rPr>
          <w:color w:val="3D3B3D"/>
          <w:spacing w:val="1"/>
        </w:rPr>
        <w:t> </w:t>
      </w:r>
      <w:r>
        <w:rPr>
          <w:color w:val="3D3B3D"/>
        </w:rPr>
        <w:t>presents special situations not part of</w:t>
      </w:r>
      <w:r>
        <w:rPr>
          <w:color w:val="3D3B3D"/>
          <w:spacing w:val="1"/>
        </w:rPr>
        <w:t> </w:t>
      </w:r>
      <w:r>
        <w:rPr>
          <w:color w:val="3D3B3D"/>
        </w:rPr>
        <w:t>the regular</w:t>
      </w:r>
      <w:r>
        <w:rPr>
          <w:color w:val="3D3B3D"/>
          <w:spacing w:val="1"/>
        </w:rPr>
        <w:t> </w:t>
      </w:r>
      <w:r>
        <w:rPr>
          <w:color w:val="3D3B3D"/>
        </w:rPr>
        <w:t>play of</w:t>
      </w:r>
      <w:r>
        <w:rPr>
          <w:color w:val="3D3B3D"/>
          <w:spacing w:val="1"/>
        </w:rPr>
        <w:t> </w:t>
      </w:r>
      <w:r>
        <w:rPr>
          <w:color w:val="3D3B3D"/>
        </w:rPr>
        <w:t>the</w:t>
      </w:r>
      <w:r>
        <w:rPr>
          <w:color w:val="3D3B3D"/>
          <w:spacing w:val="1"/>
        </w:rPr>
        <w:t> </w:t>
      </w:r>
      <w:r>
        <w:rPr>
          <w:color w:val="3D3B3D"/>
          <w:w w:val="105"/>
        </w:rPr>
        <w:t>game, and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each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has special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rules that govern </w:t>
      </w:r>
      <w:r>
        <w:rPr>
          <w:color w:val="3D3B3D"/>
          <w:w w:val="105"/>
          <w:sz w:val="21"/>
        </w:rPr>
        <w:t>it.</w:t>
      </w:r>
      <w:r>
        <w:rPr>
          <w:color w:val="3D3B3D"/>
          <w:spacing w:val="1"/>
          <w:w w:val="105"/>
          <w:sz w:val="21"/>
        </w:rPr>
        <w:t> </w:t>
      </w:r>
      <w:r>
        <w:rPr>
          <w:color w:val="3D3B3D"/>
          <w:w w:val="105"/>
        </w:rPr>
        <w:t>Because these situations</w:t>
      </w:r>
      <w:r>
        <w:rPr>
          <w:color w:val="3D3B3D"/>
          <w:spacing w:val="-58"/>
          <w:w w:val="105"/>
        </w:rPr>
        <w:t> </w:t>
      </w:r>
      <w:r>
        <w:rPr>
          <w:color w:val="3D3B3D"/>
        </w:rPr>
        <w:t>are opportunities</w:t>
      </w:r>
      <w:r>
        <w:rPr>
          <w:color w:val="3D3B3D"/>
          <w:spacing w:val="1"/>
        </w:rPr>
        <w:t> </w:t>
      </w:r>
      <w:r>
        <w:rPr>
          <w:color w:val="3D3B3D"/>
        </w:rPr>
        <w:t>to</w:t>
      </w:r>
      <w:r>
        <w:rPr>
          <w:color w:val="3D3B3D"/>
          <w:spacing w:val="1"/>
        </w:rPr>
        <w:t> </w:t>
      </w:r>
      <w:r>
        <w:rPr>
          <w:color w:val="3D3B3D"/>
        </w:rPr>
        <w:t>score points, or at</w:t>
      </w:r>
      <w:r>
        <w:rPr>
          <w:color w:val="3D3B3D"/>
          <w:spacing w:val="1"/>
        </w:rPr>
        <w:t> </w:t>
      </w:r>
      <w:r>
        <w:rPr>
          <w:color w:val="2A2628"/>
        </w:rPr>
        <w:t>least </w:t>
      </w:r>
      <w:r>
        <w:rPr>
          <w:color w:val="3D3B3D"/>
        </w:rPr>
        <w:t>to</w:t>
      </w:r>
      <w:r>
        <w:rPr>
          <w:color w:val="3D3B3D"/>
          <w:spacing w:val="1"/>
        </w:rPr>
        <w:t> </w:t>
      </w:r>
      <w:r>
        <w:rPr>
          <w:color w:val="3D3B3D"/>
        </w:rPr>
        <w:t>create opportunities to score</w:t>
      </w:r>
      <w:r>
        <w:rPr>
          <w:color w:val="3D3B3D"/>
          <w:spacing w:val="1"/>
        </w:rPr>
        <w:t> </w:t>
      </w:r>
      <w:r>
        <w:rPr>
          <w:color w:val="3D3B3D"/>
          <w:w w:val="105"/>
        </w:rPr>
        <w:t>points, time focused on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special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teams may mean</w:t>
      </w:r>
      <w:r>
        <w:rPr>
          <w:color w:val="3D3B3D"/>
          <w:spacing w:val="1"/>
          <w:w w:val="105"/>
        </w:rPr>
        <w:t> </w:t>
      </w:r>
      <w:r>
        <w:rPr>
          <w:color w:val="2A2628"/>
          <w:w w:val="105"/>
        </w:rPr>
        <w:t>the </w:t>
      </w:r>
      <w:r>
        <w:rPr>
          <w:color w:val="3D3B3D"/>
          <w:w w:val="105"/>
        </w:rPr>
        <w:t>difference between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victory</w:t>
      </w:r>
      <w:r>
        <w:rPr>
          <w:color w:val="3D3B3D"/>
          <w:spacing w:val="-7"/>
          <w:w w:val="105"/>
        </w:rPr>
        <w:t> </w:t>
      </w:r>
      <w:r>
        <w:rPr>
          <w:color w:val="3D3B3D"/>
          <w:w w:val="105"/>
        </w:rPr>
        <w:t>and</w:t>
      </w:r>
      <w:r>
        <w:rPr>
          <w:color w:val="3D3B3D"/>
          <w:spacing w:val="-4"/>
          <w:w w:val="105"/>
        </w:rPr>
        <w:t> </w:t>
      </w:r>
      <w:r>
        <w:rPr>
          <w:color w:val="3D3B3D"/>
          <w:w w:val="105"/>
        </w:rPr>
        <w:t>defeat.</w:t>
      </w:r>
    </w:p>
    <w:p>
      <w:pPr>
        <w:spacing w:after="0" w:line="232" w:lineRule="auto"/>
        <w:sectPr>
          <w:pgSz w:w="9060" w:h="14010"/>
          <w:pgMar w:header="569" w:footer="0" w:top="1360" w:bottom="0" w:left="180" w:right="1240"/>
        </w:sectPr>
      </w:pPr>
    </w:p>
    <w:p>
      <w:pPr>
        <w:tabs>
          <w:tab w:pos="802" w:val="left" w:leader="none"/>
        </w:tabs>
        <w:spacing w:before="81"/>
        <w:ind w:left="119" w:right="0" w:firstLine="0"/>
        <w:jc w:val="left"/>
        <w:rPr>
          <w:sz w:val="19"/>
        </w:rPr>
      </w:pPr>
      <w:r>
        <w:rPr>
          <w:rFonts w:ascii="Arial"/>
          <w:b/>
          <w:color w:val="383638"/>
          <w:w w:val="95"/>
          <w:sz w:val="19"/>
        </w:rPr>
        <w:t>188</w:t>
        <w:tab/>
      </w:r>
      <w:r>
        <w:rPr>
          <w:color w:val="383638"/>
          <w:w w:val="85"/>
          <w:sz w:val="19"/>
        </w:rPr>
        <w:t>Chapter</w:t>
      </w:r>
      <w:r>
        <w:rPr>
          <w:color w:val="383638"/>
          <w:spacing w:val="-1"/>
          <w:w w:val="85"/>
          <w:sz w:val="19"/>
        </w:rPr>
        <w:t> </w:t>
      </w:r>
      <w:r>
        <w:rPr>
          <w:color w:val="383638"/>
          <w:w w:val="85"/>
          <w:sz w:val="19"/>
        </w:rPr>
        <w:t>Eight</w:t>
      </w:r>
      <w:r>
        <w:rPr>
          <w:color w:val="383638"/>
          <w:spacing w:val="74"/>
          <w:sz w:val="19"/>
        </w:rPr>
        <w:t> </w:t>
      </w:r>
      <w:r>
        <w:rPr>
          <w:color w:val="383638"/>
          <w:w w:val="85"/>
          <w:sz w:val="19"/>
        </w:rPr>
        <w:t>Professionalism;</w:t>
      </w:r>
      <w:r>
        <w:rPr>
          <w:color w:val="383638"/>
          <w:spacing w:val="3"/>
          <w:w w:val="85"/>
          <w:sz w:val="19"/>
        </w:rPr>
        <w:t> </w:t>
      </w:r>
      <w:r>
        <w:rPr>
          <w:color w:val="383638"/>
          <w:w w:val="85"/>
          <w:sz w:val="19"/>
        </w:rPr>
        <w:t>Following</w:t>
      </w:r>
      <w:r>
        <w:rPr>
          <w:color w:val="383638"/>
          <w:spacing w:val="7"/>
          <w:w w:val="85"/>
          <w:sz w:val="19"/>
        </w:rPr>
        <w:t> </w:t>
      </w:r>
      <w:r>
        <w:rPr>
          <w:color w:val="383638"/>
          <w:w w:val="85"/>
          <w:sz w:val="19"/>
        </w:rPr>
        <w:t>Format</w:t>
      </w:r>
      <w:r>
        <w:rPr>
          <w:color w:val="383638"/>
          <w:spacing w:val="7"/>
          <w:w w:val="85"/>
          <w:sz w:val="19"/>
        </w:rPr>
        <w:t> </w:t>
      </w:r>
      <w:r>
        <w:rPr>
          <w:color w:val="383638"/>
          <w:w w:val="85"/>
          <w:sz w:val="19"/>
        </w:rPr>
        <w:t>Rules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spacing w:before="0"/>
        <w:ind w:left="1301" w:right="0" w:firstLine="0"/>
        <w:jc w:val="left"/>
        <w:rPr>
          <w:rFonts w:ascii="Courier New"/>
          <w:b/>
          <w:sz w:val="35"/>
        </w:rPr>
      </w:pPr>
      <w:r>
        <w:rPr>
          <w:rFonts w:ascii="Courier New"/>
          <w:b/>
          <w:color w:val="494849"/>
          <w:w w:val="80"/>
          <w:sz w:val="35"/>
        </w:rPr>
        <w:t>8.6</w:t>
      </w:r>
    </w:p>
    <w:p>
      <w:pPr>
        <w:spacing w:before="28"/>
        <w:ind w:left="1313" w:right="0" w:firstLine="0"/>
        <w:jc w:val="left"/>
        <w:rPr>
          <w:sz w:val="28"/>
        </w:rPr>
      </w:pPr>
      <w:r>
        <w:rPr>
          <w:color w:val="494849"/>
          <w:w w:val="95"/>
          <w:sz w:val="28"/>
        </w:rPr>
        <w:t>SUMMARY</w:t>
      </w:r>
    </w:p>
    <w:p>
      <w:pPr>
        <w:spacing w:line="240" w:lineRule="auto" w:before="226"/>
        <w:ind w:left="760" w:right="108" w:firstLine="557"/>
        <w:jc w:val="both"/>
        <w:rPr>
          <w:sz w:val="22"/>
        </w:rPr>
      </w:pPr>
      <w:r>
        <w:rPr>
          <w:color w:val="383638"/>
          <w:w w:val="105"/>
          <w:sz w:val="22"/>
        </w:rPr>
        <w:t>Format requirements are not intellectually demanding, but they do</w:t>
      </w:r>
      <w:r>
        <w:rPr>
          <w:color w:val="383638"/>
          <w:spacing w:val="1"/>
          <w:w w:val="105"/>
          <w:sz w:val="22"/>
        </w:rPr>
        <w:t> </w:t>
      </w:r>
      <w:r>
        <w:rPr>
          <w:color w:val="383638"/>
          <w:w w:val="105"/>
          <w:sz w:val="22"/>
        </w:rPr>
        <w:t>take time and require attention to detail. Whenever you file a brief, make</w:t>
      </w:r>
      <w:r>
        <w:rPr>
          <w:color w:val="383638"/>
          <w:spacing w:val="-55"/>
          <w:w w:val="105"/>
          <w:sz w:val="22"/>
        </w:rPr>
        <w:t> </w:t>
      </w:r>
      <w:r>
        <w:rPr>
          <w:color w:val="383638"/>
          <w:w w:val="105"/>
          <w:sz w:val="22"/>
        </w:rPr>
        <w:t>sure that you have access to all relevant rules and allow yourself time to</w:t>
      </w:r>
      <w:r>
        <w:rPr>
          <w:color w:val="383638"/>
          <w:spacing w:val="1"/>
          <w:w w:val="105"/>
          <w:sz w:val="22"/>
        </w:rPr>
        <w:t> </w:t>
      </w:r>
      <w:r>
        <w:rPr>
          <w:color w:val="383638"/>
          <w:w w:val="105"/>
          <w:sz w:val="22"/>
        </w:rPr>
        <w:t>read,</w:t>
      </w:r>
      <w:r>
        <w:rPr>
          <w:color w:val="383638"/>
          <w:spacing w:val="-4"/>
          <w:w w:val="105"/>
          <w:sz w:val="22"/>
        </w:rPr>
        <w:t> </w:t>
      </w:r>
      <w:r>
        <w:rPr>
          <w:color w:val="383638"/>
          <w:w w:val="105"/>
          <w:sz w:val="22"/>
        </w:rPr>
        <w:t>understand,</w:t>
      </w:r>
      <w:r>
        <w:rPr>
          <w:color w:val="383638"/>
          <w:spacing w:val="-1"/>
          <w:w w:val="105"/>
          <w:sz w:val="22"/>
        </w:rPr>
        <w:t> </w:t>
      </w:r>
      <w:r>
        <w:rPr>
          <w:color w:val="383638"/>
          <w:w w:val="105"/>
          <w:sz w:val="22"/>
        </w:rPr>
        <w:t>and</w:t>
      </w:r>
      <w:r>
        <w:rPr>
          <w:color w:val="383638"/>
          <w:spacing w:val="-20"/>
          <w:w w:val="105"/>
          <w:sz w:val="22"/>
        </w:rPr>
        <w:t> </w:t>
      </w:r>
      <w:r>
        <w:rPr>
          <w:color w:val="383638"/>
          <w:w w:val="105"/>
          <w:sz w:val="22"/>
        </w:rPr>
        <w:t>comply</w:t>
      </w:r>
      <w:r>
        <w:rPr>
          <w:color w:val="383638"/>
          <w:spacing w:val="-10"/>
          <w:w w:val="105"/>
          <w:sz w:val="22"/>
        </w:rPr>
        <w:t> </w:t>
      </w:r>
      <w:r>
        <w:rPr>
          <w:color w:val="383638"/>
          <w:w w:val="105"/>
          <w:sz w:val="22"/>
        </w:rPr>
        <w:t>with</w:t>
      </w:r>
      <w:r>
        <w:rPr>
          <w:color w:val="383638"/>
          <w:spacing w:val="-4"/>
          <w:w w:val="105"/>
          <w:sz w:val="22"/>
        </w:rPr>
        <w:t> </w:t>
      </w:r>
      <w:r>
        <w:rPr>
          <w:color w:val="383638"/>
          <w:w w:val="105"/>
          <w:sz w:val="22"/>
        </w:rPr>
        <w:t>their</w:t>
      </w:r>
      <w:r>
        <w:rPr>
          <w:color w:val="383638"/>
          <w:spacing w:val="-3"/>
          <w:w w:val="105"/>
          <w:sz w:val="22"/>
        </w:rPr>
        <w:t> </w:t>
      </w:r>
      <w:r>
        <w:rPr>
          <w:color w:val="383638"/>
          <w:w w:val="105"/>
          <w:sz w:val="22"/>
        </w:rPr>
        <w:t>requirements.</w:t>
      </w:r>
    </w:p>
    <w:p>
      <w:pPr>
        <w:spacing w:after="0" w:line="240" w:lineRule="auto"/>
        <w:jc w:val="both"/>
        <w:rPr>
          <w:sz w:val="22"/>
        </w:rPr>
        <w:sectPr>
          <w:headerReference w:type="even" r:id="rId217"/>
          <w:pgSz w:w="8840" w:h="13980"/>
          <w:pgMar w:header="0" w:footer="0" w:top="320" w:bottom="0" w:left="1100" w:right="100"/>
        </w:sectPr>
      </w:pPr>
    </w:p>
    <w:p>
      <w:pPr>
        <w:spacing w:line="145" w:lineRule="exact" w:before="0"/>
        <w:ind w:left="136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3B3A3B"/>
          <w:w w:val="85"/>
          <w:sz w:val="15"/>
        </w:rPr>
        <w:t>41</w:t>
      </w:r>
    </w:p>
    <w:p>
      <w:pPr>
        <w:spacing w:line="121" w:lineRule="exact" w:before="0"/>
        <w:ind w:left="14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3B3A3B"/>
          <w:w w:val="94"/>
          <w:sz w:val="16"/>
        </w:rPr>
        <w:t>C</w:t>
      </w:r>
    </w:p>
    <w:p>
      <w:pPr>
        <w:spacing w:line="458" w:lineRule="exact" w:before="0"/>
        <w:ind w:left="101" w:right="0" w:firstLine="0"/>
        <w:jc w:val="left"/>
        <w:rPr>
          <w:sz w:val="40"/>
        </w:rPr>
      </w:pPr>
      <w:r>
        <w:rPr/>
        <w:pict>
          <v:shape style="position:absolute;margin-left:14.00608pt;margin-top:14.004347pt;width:4.45pt;height:27.25pt;mso-position-horizontal-relative:page;mso-position-vertical-relative:paragraph;z-index:-21597184" type="#_x0000_t202" id="docshape358" filled="false" stroked="false">
            <v:textbox inset="0,0,0,0">
              <w:txbxContent>
                <w:p>
                  <w:pPr>
                    <w:spacing w:line="544" w:lineRule="exact" w:before="0"/>
                    <w:ind w:left="0" w:right="0" w:firstLine="0"/>
                    <w:jc w:val="left"/>
                    <w:rPr>
                      <w:b/>
                      <w:sz w:val="49"/>
                    </w:rPr>
                  </w:pPr>
                  <w:r>
                    <w:rPr>
                      <w:b/>
                      <w:color w:val="3B3A3B"/>
                      <w:w w:val="65"/>
                      <w:sz w:val="4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3B3A3B"/>
          <w:spacing w:val="-19"/>
          <w:w w:val="85"/>
          <w:position w:val="14"/>
          <w:sz w:val="29"/>
        </w:rPr>
        <w:t>i</w:t>
      </w:r>
      <w:r>
        <w:rPr>
          <w:color w:val="3B3A3B"/>
          <w:spacing w:val="-19"/>
          <w:w w:val="85"/>
          <w:sz w:val="40"/>
        </w:rPr>
        <w:t>..</w:t>
      </w:r>
    </w:p>
    <w:p>
      <w:pPr>
        <w:spacing w:line="117" w:lineRule="exact" w:before="264"/>
        <w:ind w:left="146" w:right="0" w:firstLine="0"/>
        <w:jc w:val="left"/>
        <w:rPr>
          <w:b/>
          <w:sz w:val="14"/>
        </w:rPr>
      </w:pPr>
      <w:r>
        <w:rPr>
          <w:b/>
          <w:color w:val="3B3A3B"/>
          <w:w w:val="90"/>
          <w:sz w:val="14"/>
        </w:rPr>
        <w:t>ti</w:t>
      </w:r>
    </w:p>
    <w:p>
      <w:pPr>
        <w:spacing w:line="370" w:lineRule="exact" w:before="0"/>
        <w:ind w:left="106" w:right="0" w:firstLine="0"/>
        <w:jc w:val="left"/>
        <w:rPr>
          <w:sz w:val="36"/>
        </w:rPr>
      </w:pPr>
      <w:r>
        <w:rPr>
          <w:color w:val="3B3A3B"/>
          <w:w w:val="85"/>
          <w:sz w:val="36"/>
        </w:rPr>
        <w:t>0</w:t>
      </w:r>
    </w:p>
    <w:p>
      <w:pPr>
        <w:spacing w:line="242" w:lineRule="auto" w:before="62"/>
        <w:ind w:left="101" w:right="748" w:firstLine="14"/>
        <w:jc w:val="left"/>
        <w:rPr>
          <w:b/>
          <w:sz w:val="44"/>
        </w:rPr>
      </w:pPr>
      <w:r>
        <w:rPr/>
        <w:br w:type="column"/>
      </w:r>
      <w:r>
        <w:rPr>
          <w:b/>
          <w:color w:val="3B3A3B"/>
          <w:w w:val="85"/>
          <w:sz w:val="44"/>
        </w:rPr>
        <w:t>S</w:t>
      </w:r>
      <w:r>
        <w:rPr>
          <w:b/>
          <w:color w:val="59595B"/>
          <w:w w:val="85"/>
          <w:sz w:val="44"/>
        </w:rPr>
        <w:t>TATE</w:t>
      </w:r>
      <w:r>
        <w:rPr>
          <w:b/>
          <w:color w:val="7C7E80"/>
          <w:w w:val="85"/>
          <w:sz w:val="44"/>
        </w:rPr>
        <w:t>MENTS</w:t>
      </w:r>
      <w:r>
        <w:rPr>
          <w:b/>
          <w:color w:val="59595B"/>
          <w:w w:val="85"/>
          <w:sz w:val="44"/>
        </w:rPr>
        <w:t>,</w:t>
      </w:r>
      <w:r>
        <w:rPr>
          <w:b/>
          <w:color w:val="59595B"/>
          <w:spacing w:val="1"/>
          <w:w w:val="85"/>
          <w:sz w:val="44"/>
        </w:rPr>
        <w:t> </w:t>
      </w:r>
      <w:r>
        <w:rPr>
          <w:b/>
          <w:color w:val="7C7E80"/>
          <w:w w:val="85"/>
          <w:sz w:val="44"/>
        </w:rPr>
        <w:t>STATEMENT</w:t>
      </w:r>
      <w:r>
        <w:rPr>
          <w:b/>
          <w:color w:val="7C7E80"/>
          <w:spacing w:val="1"/>
          <w:w w:val="85"/>
          <w:sz w:val="44"/>
        </w:rPr>
        <w:t> </w:t>
      </w:r>
      <w:r>
        <w:rPr>
          <w:b/>
          <w:color w:val="7C7E80"/>
          <w:w w:val="85"/>
          <w:sz w:val="44"/>
        </w:rPr>
        <w:t>OF</w:t>
      </w:r>
      <w:r>
        <w:rPr>
          <w:b/>
          <w:color w:val="7C7E80"/>
          <w:spacing w:val="1"/>
          <w:w w:val="85"/>
          <w:sz w:val="44"/>
        </w:rPr>
        <w:t> </w:t>
      </w:r>
      <w:r>
        <w:rPr>
          <w:rFonts w:ascii="Arial"/>
          <w:b/>
          <w:color w:val="3B3A3B"/>
          <w:w w:val="95"/>
          <w:sz w:val="37"/>
        </w:rPr>
        <w:t>T</w:t>
      </w:r>
      <w:r>
        <w:rPr>
          <w:rFonts w:ascii="Arial"/>
          <w:b/>
          <w:color w:val="6B6E70"/>
          <w:w w:val="95"/>
          <w:sz w:val="37"/>
        </w:rPr>
        <w:t>HE CASE</w:t>
      </w:r>
      <w:r>
        <w:rPr>
          <w:rFonts w:ascii="Arial"/>
          <w:b/>
          <w:color w:val="3B3A3B"/>
          <w:w w:val="95"/>
          <w:sz w:val="37"/>
        </w:rPr>
        <w:t>,</w:t>
      </w:r>
      <w:r>
        <w:rPr>
          <w:rFonts w:ascii="Arial"/>
          <w:b/>
          <w:color w:val="3B3A3B"/>
          <w:spacing w:val="1"/>
          <w:w w:val="95"/>
          <w:sz w:val="37"/>
        </w:rPr>
        <w:t> </w:t>
      </w:r>
      <w:r>
        <w:rPr>
          <w:b/>
          <w:color w:val="6B6E70"/>
          <w:w w:val="95"/>
          <w:sz w:val="44"/>
        </w:rPr>
        <w:t>SUMMA</w:t>
      </w:r>
      <w:r>
        <w:rPr>
          <w:b/>
          <w:color w:val="8C8E90"/>
          <w:w w:val="95"/>
          <w:sz w:val="44"/>
        </w:rPr>
        <w:t>R</w:t>
      </w:r>
      <w:r>
        <w:rPr>
          <w:b/>
          <w:color w:val="6B6E70"/>
          <w:w w:val="95"/>
          <w:sz w:val="44"/>
        </w:rPr>
        <w:t>Y </w:t>
      </w:r>
      <w:r>
        <w:rPr>
          <w:rFonts w:ascii="Arial"/>
          <w:b/>
          <w:color w:val="7C7E80"/>
          <w:w w:val="95"/>
          <w:sz w:val="37"/>
        </w:rPr>
        <w:t>OF </w:t>
      </w:r>
      <w:r>
        <w:rPr>
          <w:b/>
          <w:color w:val="7C7E80"/>
          <w:w w:val="95"/>
          <w:sz w:val="44"/>
        </w:rPr>
        <w:t>THE</w:t>
      </w:r>
      <w:r>
        <w:rPr>
          <w:b/>
          <w:color w:val="7C7E80"/>
          <w:spacing w:val="1"/>
          <w:w w:val="95"/>
          <w:sz w:val="44"/>
        </w:rPr>
        <w:t> </w:t>
      </w:r>
      <w:r>
        <w:rPr>
          <w:b/>
          <w:color w:val="59595B"/>
          <w:w w:val="90"/>
          <w:sz w:val="44"/>
        </w:rPr>
        <w:t>A</w:t>
      </w:r>
      <w:r>
        <w:rPr>
          <w:b/>
          <w:color w:val="7C7E80"/>
          <w:w w:val="90"/>
          <w:sz w:val="44"/>
        </w:rPr>
        <w:t>R</w:t>
      </w:r>
      <w:r>
        <w:rPr>
          <w:b/>
          <w:color w:val="59595B"/>
          <w:w w:val="90"/>
          <w:sz w:val="44"/>
        </w:rPr>
        <w:t>GU</w:t>
      </w:r>
      <w:r>
        <w:rPr>
          <w:b/>
          <w:color w:val="7C7E80"/>
          <w:w w:val="90"/>
          <w:sz w:val="44"/>
        </w:rPr>
        <w:t>MENT</w:t>
      </w:r>
      <w:r>
        <w:rPr>
          <w:b/>
          <w:color w:val="3B3A3B"/>
          <w:w w:val="90"/>
          <w:sz w:val="44"/>
        </w:rPr>
        <w:t>,</w:t>
      </w:r>
      <w:r>
        <w:rPr>
          <w:b/>
          <w:color w:val="3B3A3B"/>
          <w:spacing w:val="61"/>
          <w:w w:val="90"/>
          <w:sz w:val="44"/>
        </w:rPr>
        <w:t> </w:t>
      </w:r>
      <w:r>
        <w:rPr>
          <w:b/>
          <w:color w:val="7C7E80"/>
          <w:w w:val="90"/>
          <w:sz w:val="44"/>
        </w:rPr>
        <w:t>POIN</w:t>
      </w:r>
      <w:r>
        <w:rPr>
          <w:b/>
          <w:color w:val="59595B"/>
          <w:w w:val="90"/>
          <w:sz w:val="44"/>
        </w:rPr>
        <w:t>T</w:t>
      </w:r>
      <w:r>
        <w:rPr>
          <w:b/>
          <w:color w:val="59595B"/>
          <w:spacing w:val="-2"/>
          <w:w w:val="90"/>
          <w:sz w:val="44"/>
        </w:rPr>
        <w:t> </w:t>
      </w:r>
      <w:r>
        <w:rPr>
          <w:b/>
          <w:color w:val="7C7E80"/>
          <w:w w:val="90"/>
          <w:sz w:val="44"/>
        </w:rPr>
        <w:t>HEADINGS</w:t>
      </w:r>
    </w:p>
    <w:p>
      <w:pPr>
        <w:pStyle w:val="BodyText"/>
        <w:rPr>
          <w:b/>
          <w:sz w:val="52"/>
        </w:rPr>
      </w:pPr>
    </w:p>
    <w:p>
      <w:pPr>
        <w:pStyle w:val="ListParagraph"/>
        <w:numPr>
          <w:ilvl w:val="1"/>
          <w:numId w:val="77"/>
        </w:numPr>
        <w:tabs>
          <w:tab w:pos="627" w:val="left" w:leader="none"/>
          <w:tab w:pos="628" w:val="left" w:leader="none"/>
        </w:tabs>
        <w:spacing w:line="212" w:lineRule="exact" w:before="0" w:after="0"/>
        <w:ind w:left="627" w:right="0" w:hanging="467"/>
        <w:jc w:val="left"/>
        <w:rPr>
          <w:rFonts w:ascii="Arial"/>
          <w:b/>
          <w:color w:val="3B3A3B"/>
          <w:sz w:val="20"/>
        </w:rPr>
      </w:pPr>
      <w:r>
        <w:rPr>
          <w:color w:val="3B3A3B"/>
          <w:w w:val="110"/>
          <w:sz w:val="20"/>
        </w:rPr>
        <w:t>Writing</w:t>
      </w:r>
      <w:r>
        <w:rPr>
          <w:color w:val="3B3A3B"/>
          <w:spacing w:val="19"/>
          <w:w w:val="110"/>
          <w:sz w:val="20"/>
        </w:rPr>
        <w:t> </w:t>
      </w:r>
      <w:r>
        <w:rPr>
          <w:color w:val="3B3A3B"/>
          <w:w w:val="110"/>
          <w:sz w:val="20"/>
        </w:rPr>
        <w:t>the</w:t>
      </w:r>
      <w:r>
        <w:rPr>
          <w:color w:val="3B3A3B"/>
          <w:spacing w:val="36"/>
          <w:w w:val="110"/>
          <w:sz w:val="20"/>
        </w:rPr>
        <w:t> </w:t>
      </w:r>
      <w:r>
        <w:rPr>
          <w:color w:val="3B3A3B"/>
          <w:w w:val="110"/>
          <w:sz w:val="20"/>
        </w:rPr>
        <w:t>Issue</w:t>
      </w:r>
      <w:r>
        <w:rPr>
          <w:color w:val="3B3A3B"/>
          <w:spacing w:val="-9"/>
          <w:w w:val="110"/>
          <w:sz w:val="20"/>
        </w:rPr>
        <w:t> </w:t>
      </w:r>
      <w:r>
        <w:rPr>
          <w:color w:val="3B3A3B"/>
          <w:w w:val="110"/>
          <w:sz w:val="20"/>
        </w:rPr>
        <w:t>Statement</w:t>
      </w:r>
    </w:p>
    <w:p>
      <w:pPr>
        <w:pStyle w:val="ListParagraph"/>
        <w:numPr>
          <w:ilvl w:val="2"/>
          <w:numId w:val="77"/>
        </w:numPr>
        <w:tabs>
          <w:tab w:pos="1312" w:val="left" w:leader="none"/>
          <w:tab w:pos="1313" w:val="left" w:leader="none"/>
        </w:tabs>
        <w:spacing w:line="192" w:lineRule="exact" w:before="0" w:after="0"/>
        <w:ind w:left="1312" w:right="0" w:hanging="689"/>
        <w:jc w:val="left"/>
        <w:rPr>
          <w:rFonts w:ascii="Arial"/>
          <w:b/>
          <w:color w:val="3B3A3B"/>
          <w:sz w:val="19"/>
        </w:rPr>
      </w:pPr>
      <w:r>
        <w:rPr>
          <w:color w:val="3B3A3B"/>
          <w:w w:val="105"/>
          <w:sz w:val="20"/>
        </w:rPr>
        <w:t>Motion</w:t>
      </w:r>
      <w:r>
        <w:rPr>
          <w:color w:val="3B3A3B"/>
          <w:spacing w:val="15"/>
          <w:w w:val="105"/>
          <w:sz w:val="20"/>
        </w:rPr>
        <w:t> </w:t>
      </w:r>
      <w:r>
        <w:rPr>
          <w:color w:val="3B3A3B"/>
          <w:w w:val="105"/>
          <w:sz w:val="20"/>
        </w:rPr>
        <w:t>Brief</w:t>
      </w:r>
      <w:r>
        <w:rPr>
          <w:color w:val="3B3A3B"/>
          <w:spacing w:val="11"/>
          <w:w w:val="105"/>
          <w:sz w:val="20"/>
        </w:rPr>
        <w:t> </w:t>
      </w:r>
      <w:r>
        <w:rPr>
          <w:color w:val="3B3A3B"/>
          <w:w w:val="105"/>
          <w:sz w:val="20"/>
        </w:rPr>
        <w:t>Introductions</w:t>
      </w:r>
    </w:p>
    <w:p>
      <w:pPr>
        <w:pStyle w:val="ListParagraph"/>
        <w:numPr>
          <w:ilvl w:val="2"/>
          <w:numId w:val="77"/>
        </w:numPr>
        <w:tabs>
          <w:tab w:pos="1319" w:val="left" w:leader="none"/>
        </w:tabs>
        <w:spacing w:line="207" w:lineRule="exact" w:before="0" w:after="0"/>
        <w:ind w:left="1318" w:right="0" w:hanging="695"/>
        <w:jc w:val="left"/>
        <w:rPr>
          <w:rFonts w:ascii="Arial"/>
          <w:b/>
          <w:color w:val="3B3A3B"/>
          <w:sz w:val="20"/>
        </w:rPr>
      </w:pPr>
      <w:r>
        <w:rPr>
          <w:color w:val="3B3A3B"/>
          <w:w w:val="105"/>
          <w:sz w:val="20"/>
        </w:rPr>
        <w:t>Questions</w:t>
      </w:r>
      <w:r>
        <w:rPr>
          <w:color w:val="3B3A3B"/>
          <w:spacing w:val="7"/>
          <w:w w:val="105"/>
          <w:sz w:val="20"/>
        </w:rPr>
        <w:t> </w:t>
      </w:r>
      <w:r>
        <w:rPr>
          <w:color w:val="3B3A3B"/>
          <w:w w:val="105"/>
          <w:sz w:val="20"/>
        </w:rPr>
        <w:t>Present</w:t>
      </w:r>
      <w:r>
        <w:rPr>
          <w:color w:val="59595B"/>
          <w:w w:val="105"/>
          <w:sz w:val="20"/>
        </w:rPr>
        <w:t>e</w:t>
      </w:r>
      <w:r>
        <w:rPr>
          <w:color w:val="3B3A3B"/>
          <w:w w:val="105"/>
          <w:sz w:val="20"/>
        </w:rPr>
        <w:t>d</w:t>
      </w:r>
    </w:p>
    <w:p>
      <w:pPr>
        <w:pStyle w:val="ListParagraph"/>
        <w:numPr>
          <w:ilvl w:val="3"/>
          <w:numId w:val="77"/>
        </w:numPr>
        <w:tabs>
          <w:tab w:pos="1669" w:val="left" w:leader="none"/>
        </w:tabs>
        <w:spacing w:line="217" w:lineRule="exact" w:before="0" w:after="0"/>
        <w:ind w:left="1668" w:right="0" w:hanging="351"/>
        <w:jc w:val="left"/>
        <w:rPr>
          <w:rFonts w:ascii="Arial"/>
          <w:b/>
          <w:color w:val="3B3A3B"/>
          <w:sz w:val="20"/>
        </w:rPr>
      </w:pPr>
      <w:r>
        <w:rPr>
          <w:color w:val="3B3A3B"/>
          <w:w w:val="105"/>
          <w:sz w:val="20"/>
        </w:rPr>
        <w:t>Elements</w:t>
      </w:r>
      <w:r>
        <w:rPr>
          <w:color w:val="3B3A3B"/>
          <w:spacing w:val="-9"/>
          <w:w w:val="105"/>
          <w:sz w:val="20"/>
        </w:rPr>
        <w:t> </w:t>
      </w:r>
      <w:r>
        <w:rPr>
          <w:color w:val="3B3A3B"/>
          <w:w w:val="105"/>
          <w:sz w:val="20"/>
        </w:rPr>
        <w:t>to</w:t>
      </w:r>
      <w:r>
        <w:rPr>
          <w:color w:val="3B3A3B"/>
          <w:spacing w:val="16"/>
          <w:w w:val="105"/>
          <w:sz w:val="20"/>
        </w:rPr>
        <w:t> </w:t>
      </w:r>
      <w:r>
        <w:rPr>
          <w:color w:val="3B3A3B"/>
          <w:w w:val="105"/>
          <w:sz w:val="20"/>
        </w:rPr>
        <w:t>Include</w:t>
      </w:r>
    </w:p>
    <w:p>
      <w:pPr>
        <w:pStyle w:val="ListParagraph"/>
        <w:numPr>
          <w:ilvl w:val="3"/>
          <w:numId w:val="77"/>
        </w:numPr>
        <w:tabs>
          <w:tab w:pos="1670" w:val="left" w:leader="none"/>
        </w:tabs>
        <w:spacing w:line="213" w:lineRule="exact" w:before="0" w:after="0"/>
        <w:ind w:left="1669" w:right="0" w:hanging="340"/>
        <w:jc w:val="left"/>
        <w:rPr>
          <w:b/>
          <w:color w:val="3B3A3B"/>
          <w:sz w:val="21"/>
        </w:rPr>
      </w:pPr>
      <w:r>
        <w:rPr>
          <w:color w:val="3B3A3B"/>
          <w:sz w:val="20"/>
        </w:rPr>
        <w:t>Persuasive</w:t>
      </w:r>
      <w:r>
        <w:rPr>
          <w:color w:val="3B3A3B"/>
          <w:spacing w:val="12"/>
          <w:sz w:val="20"/>
        </w:rPr>
        <w:t> </w:t>
      </w:r>
      <w:r>
        <w:rPr>
          <w:color w:val="3B3A3B"/>
          <w:sz w:val="20"/>
        </w:rPr>
        <w:t>Questions</w:t>
      </w:r>
      <w:r>
        <w:rPr>
          <w:color w:val="3B3A3B"/>
          <w:spacing w:val="5"/>
          <w:sz w:val="20"/>
        </w:rPr>
        <w:t> </w:t>
      </w:r>
      <w:r>
        <w:rPr>
          <w:color w:val="3B3A3B"/>
          <w:sz w:val="20"/>
        </w:rPr>
        <w:t>Presented</w:t>
      </w:r>
    </w:p>
    <w:p>
      <w:pPr>
        <w:pStyle w:val="ListParagraph"/>
        <w:numPr>
          <w:ilvl w:val="3"/>
          <w:numId w:val="77"/>
        </w:numPr>
        <w:tabs>
          <w:tab w:pos="1670" w:val="left" w:leader="none"/>
        </w:tabs>
        <w:spacing w:line="227" w:lineRule="exact" w:before="0" w:after="0"/>
        <w:ind w:left="1669" w:right="0" w:hanging="353"/>
        <w:jc w:val="left"/>
        <w:rPr>
          <w:b/>
          <w:color w:val="3B3A3B"/>
          <w:sz w:val="22"/>
        </w:rPr>
      </w:pPr>
      <w:r>
        <w:rPr>
          <w:color w:val="3B3A3B"/>
          <w:spacing w:val="-1"/>
          <w:w w:val="105"/>
          <w:sz w:val="20"/>
        </w:rPr>
        <w:t>Problems</w:t>
      </w:r>
      <w:r>
        <w:rPr>
          <w:color w:val="3B3A3B"/>
          <w:spacing w:val="-12"/>
          <w:w w:val="105"/>
          <w:sz w:val="20"/>
        </w:rPr>
        <w:t> </w:t>
      </w:r>
      <w:r>
        <w:rPr>
          <w:color w:val="3B3A3B"/>
          <w:spacing w:val="-1"/>
          <w:w w:val="105"/>
          <w:sz w:val="20"/>
        </w:rPr>
        <w:t>to</w:t>
      </w:r>
      <w:r>
        <w:rPr>
          <w:color w:val="3B3A3B"/>
          <w:spacing w:val="-8"/>
          <w:w w:val="105"/>
          <w:sz w:val="20"/>
        </w:rPr>
        <w:t> </w:t>
      </w:r>
      <w:r>
        <w:rPr>
          <w:color w:val="3B3A3B"/>
          <w:w w:val="105"/>
          <w:sz w:val="20"/>
        </w:rPr>
        <w:t>Avoid</w:t>
      </w:r>
    </w:p>
    <w:p>
      <w:pPr>
        <w:pStyle w:val="ListParagraph"/>
        <w:numPr>
          <w:ilvl w:val="4"/>
          <w:numId w:val="77"/>
        </w:numPr>
        <w:tabs>
          <w:tab w:pos="1979" w:val="left" w:leader="none"/>
          <w:tab w:pos="1980" w:val="left" w:leader="none"/>
        </w:tabs>
        <w:spacing w:line="214" w:lineRule="exact" w:before="0" w:after="0"/>
        <w:ind w:left="1979" w:right="0" w:hanging="351"/>
        <w:jc w:val="left"/>
        <w:rPr>
          <w:sz w:val="20"/>
        </w:rPr>
      </w:pPr>
      <w:r>
        <w:rPr>
          <w:color w:val="3B3A3B"/>
          <w:sz w:val="20"/>
        </w:rPr>
        <w:t>Assuming</w:t>
      </w:r>
      <w:r>
        <w:rPr>
          <w:color w:val="3B3A3B"/>
          <w:spacing w:val="13"/>
          <w:sz w:val="20"/>
        </w:rPr>
        <w:t> </w:t>
      </w:r>
      <w:r>
        <w:rPr>
          <w:color w:val="3B3A3B"/>
          <w:sz w:val="20"/>
        </w:rPr>
        <w:t>Elements</w:t>
      </w:r>
      <w:r>
        <w:rPr>
          <w:color w:val="3B3A3B"/>
          <w:spacing w:val="-9"/>
          <w:sz w:val="20"/>
        </w:rPr>
        <w:t> </w:t>
      </w:r>
      <w:r>
        <w:rPr>
          <w:color w:val="3B3A3B"/>
          <w:sz w:val="20"/>
        </w:rPr>
        <w:t>at</w:t>
      </w:r>
      <w:r>
        <w:rPr>
          <w:color w:val="3B3A3B"/>
          <w:spacing w:val="26"/>
          <w:sz w:val="20"/>
        </w:rPr>
        <w:t> </w:t>
      </w:r>
      <w:r>
        <w:rPr>
          <w:color w:val="3B3A3B"/>
          <w:sz w:val="20"/>
        </w:rPr>
        <w:t>Issue</w:t>
      </w:r>
    </w:p>
    <w:p>
      <w:pPr>
        <w:tabs>
          <w:tab w:pos="1984" w:val="left" w:leader="none"/>
        </w:tabs>
        <w:spacing w:line="217" w:lineRule="exact" w:before="0"/>
        <w:ind w:left="1620" w:right="0" w:firstLine="0"/>
        <w:jc w:val="left"/>
        <w:rPr>
          <w:sz w:val="20"/>
        </w:rPr>
      </w:pPr>
      <w:r>
        <w:rPr>
          <w:rFonts w:ascii="Arial"/>
          <w:color w:val="3B3A3B"/>
          <w:w w:val="105"/>
          <w:sz w:val="20"/>
        </w:rPr>
        <w:t>ii.</w:t>
        <w:tab/>
      </w:r>
      <w:r>
        <w:rPr>
          <w:color w:val="3B3A3B"/>
          <w:w w:val="105"/>
          <w:sz w:val="20"/>
        </w:rPr>
        <w:t>Overlong</w:t>
      </w:r>
      <w:r>
        <w:rPr>
          <w:color w:val="3B3A3B"/>
          <w:spacing w:val="-8"/>
          <w:w w:val="105"/>
          <w:sz w:val="20"/>
        </w:rPr>
        <w:t> </w:t>
      </w:r>
      <w:r>
        <w:rPr>
          <w:color w:val="3B3A3B"/>
          <w:w w:val="105"/>
          <w:sz w:val="20"/>
        </w:rPr>
        <w:t>Questions</w:t>
      </w:r>
    </w:p>
    <w:p>
      <w:pPr>
        <w:pStyle w:val="ListParagraph"/>
        <w:numPr>
          <w:ilvl w:val="3"/>
          <w:numId w:val="77"/>
        </w:numPr>
        <w:tabs>
          <w:tab w:pos="324" w:val="left" w:leader="none"/>
        </w:tabs>
        <w:spacing w:line="222" w:lineRule="exact" w:before="0" w:after="0"/>
        <w:ind w:left="1660" w:right="4422" w:hanging="1661"/>
        <w:jc w:val="right"/>
        <w:rPr>
          <w:b/>
          <w:color w:val="3B3A3B"/>
          <w:sz w:val="21"/>
        </w:rPr>
      </w:pPr>
      <w:r>
        <w:rPr>
          <w:color w:val="3B3A3B"/>
          <w:w w:val="105"/>
          <w:sz w:val="20"/>
        </w:rPr>
        <w:t>Summing</w:t>
      </w:r>
      <w:r>
        <w:rPr>
          <w:color w:val="3B3A3B"/>
          <w:spacing w:val="16"/>
          <w:w w:val="105"/>
          <w:sz w:val="20"/>
        </w:rPr>
        <w:t> </w:t>
      </w:r>
      <w:r>
        <w:rPr>
          <w:rFonts w:ascii="Arial"/>
          <w:color w:val="3B3A3B"/>
          <w:w w:val="105"/>
          <w:sz w:val="19"/>
        </w:rPr>
        <w:t>Up</w:t>
      </w:r>
    </w:p>
    <w:p>
      <w:pPr>
        <w:pStyle w:val="ListParagraph"/>
        <w:numPr>
          <w:ilvl w:val="1"/>
          <w:numId w:val="77"/>
        </w:numPr>
        <w:tabs>
          <w:tab w:pos="458" w:val="left" w:leader="none"/>
        </w:tabs>
        <w:spacing w:line="192" w:lineRule="exact" w:before="0" w:after="0"/>
        <w:ind w:left="637" w:right="4489" w:hanging="638"/>
        <w:jc w:val="right"/>
        <w:rPr>
          <w:rFonts w:ascii="Arial"/>
          <w:b/>
          <w:color w:val="3B3A3B"/>
          <w:sz w:val="20"/>
        </w:rPr>
      </w:pPr>
      <w:r>
        <w:rPr>
          <w:color w:val="3B3A3B"/>
          <w:w w:val="115"/>
          <w:sz w:val="20"/>
        </w:rPr>
        <w:t>Statem</w:t>
      </w:r>
      <w:r>
        <w:rPr>
          <w:color w:val="59595B"/>
          <w:w w:val="115"/>
          <w:sz w:val="20"/>
        </w:rPr>
        <w:t>e</w:t>
      </w:r>
      <w:r>
        <w:rPr>
          <w:color w:val="3B3A3B"/>
          <w:w w:val="115"/>
          <w:sz w:val="20"/>
        </w:rPr>
        <w:t>nts</w:t>
      </w:r>
      <w:r>
        <w:rPr>
          <w:color w:val="3B3A3B"/>
          <w:spacing w:val="-11"/>
          <w:w w:val="115"/>
          <w:sz w:val="20"/>
        </w:rPr>
        <w:t> </w:t>
      </w:r>
      <w:r>
        <w:rPr>
          <w:color w:val="3B3A3B"/>
          <w:w w:val="115"/>
          <w:sz w:val="20"/>
        </w:rPr>
        <w:t>of</w:t>
      </w:r>
      <w:r>
        <w:rPr>
          <w:color w:val="3B3A3B"/>
          <w:spacing w:val="9"/>
          <w:w w:val="115"/>
          <w:sz w:val="20"/>
        </w:rPr>
        <w:t> </w:t>
      </w:r>
      <w:r>
        <w:rPr>
          <w:color w:val="3B3A3B"/>
          <w:w w:val="115"/>
          <w:sz w:val="20"/>
        </w:rPr>
        <w:t>the</w:t>
      </w:r>
      <w:r>
        <w:rPr>
          <w:color w:val="3B3A3B"/>
          <w:spacing w:val="10"/>
          <w:w w:val="115"/>
          <w:sz w:val="20"/>
        </w:rPr>
        <w:t> </w:t>
      </w:r>
      <w:r>
        <w:rPr>
          <w:color w:val="3B3A3B"/>
          <w:w w:val="115"/>
          <w:sz w:val="20"/>
        </w:rPr>
        <w:t>Case</w:t>
      </w:r>
    </w:p>
    <w:p>
      <w:pPr>
        <w:pStyle w:val="ListParagraph"/>
        <w:numPr>
          <w:ilvl w:val="2"/>
          <w:numId w:val="77"/>
        </w:numPr>
        <w:tabs>
          <w:tab w:pos="1351" w:val="left" w:leader="none"/>
          <w:tab w:pos="1352" w:val="left" w:leader="none"/>
        </w:tabs>
        <w:spacing w:line="192" w:lineRule="exact" w:before="0" w:after="0"/>
        <w:ind w:left="1351" w:right="0" w:hanging="709"/>
        <w:jc w:val="left"/>
        <w:rPr>
          <w:rFonts w:ascii="Arial"/>
          <w:b/>
          <w:color w:val="3B3A3B"/>
          <w:sz w:val="19"/>
        </w:rPr>
      </w:pPr>
      <w:r>
        <w:rPr>
          <w:color w:val="3B3A3B"/>
          <w:w w:val="105"/>
          <w:sz w:val="20"/>
        </w:rPr>
        <w:t>Formal Requirements</w:t>
      </w:r>
    </w:p>
    <w:p>
      <w:pPr>
        <w:pStyle w:val="ListParagraph"/>
        <w:numPr>
          <w:ilvl w:val="2"/>
          <w:numId w:val="77"/>
        </w:numPr>
        <w:tabs>
          <w:tab w:pos="1338" w:val="left" w:leader="none"/>
        </w:tabs>
        <w:spacing w:line="203" w:lineRule="exact" w:before="0" w:after="0"/>
        <w:ind w:left="1337" w:right="0" w:hanging="685"/>
        <w:jc w:val="left"/>
        <w:rPr>
          <w:rFonts w:ascii="Arial"/>
          <w:b/>
          <w:color w:val="3B3A3B"/>
          <w:sz w:val="20"/>
        </w:rPr>
      </w:pPr>
      <w:r>
        <w:rPr>
          <w:color w:val="3B3A3B"/>
          <w:w w:val="105"/>
          <w:sz w:val="20"/>
        </w:rPr>
        <w:t>Organizing</w:t>
      </w:r>
      <w:r>
        <w:rPr>
          <w:color w:val="3B3A3B"/>
          <w:spacing w:val="-2"/>
          <w:w w:val="105"/>
          <w:sz w:val="20"/>
        </w:rPr>
        <w:t> </w:t>
      </w:r>
      <w:r>
        <w:rPr>
          <w:color w:val="3B3A3B"/>
          <w:w w:val="105"/>
          <w:sz w:val="20"/>
        </w:rPr>
        <w:t>the</w:t>
      </w:r>
      <w:r>
        <w:rPr>
          <w:color w:val="3B3A3B"/>
          <w:spacing w:val="16"/>
          <w:w w:val="105"/>
          <w:sz w:val="20"/>
        </w:rPr>
        <w:t> </w:t>
      </w:r>
      <w:r>
        <w:rPr>
          <w:color w:val="3B3A3B"/>
          <w:w w:val="105"/>
          <w:sz w:val="20"/>
        </w:rPr>
        <w:t>Fact</w:t>
      </w:r>
      <w:r>
        <w:rPr>
          <w:color w:val="3B3A3B"/>
          <w:spacing w:val="-12"/>
          <w:w w:val="105"/>
          <w:sz w:val="20"/>
        </w:rPr>
        <w:t> </w:t>
      </w:r>
      <w:r>
        <w:rPr>
          <w:color w:val="3B3A3B"/>
          <w:w w:val="105"/>
          <w:sz w:val="20"/>
        </w:rPr>
        <w:t>Statement</w:t>
      </w:r>
    </w:p>
    <w:p>
      <w:pPr>
        <w:pStyle w:val="ListParagraph"/>
        <w:numPr>
          <w:ilvl w:val="2"/>
          <w:numId w:val="77"/>
        </w:numPr>
        <w:tabs>
          <w:tab w:pos="1351" w:val="left" w:leader="none"/>
          <w:tab w:pos="1352" w:val="left" w:leader="none"/>
        </w:tabs>
        <w:spacing w:line="211" w:lineRule="exact" w:before="0" w:after="0"/>
        <w:ind w:left="1351" w:right="0" w:hanging="699"/>
        <w:jc w:val="left"/>
        <w:rPr>
          <w:rFonts w:ascii="Arial"/>
          <w:b/>
          <w:color w:val="3B3A3B"/>
          <w:sz w:val="19"/>
        </w:rPr>
      </w:pPr>
      <w:r>
        <w:rPr>
          <w:color w:val="3B3A3B"/>
          <w:sz w:val="20"/>
        </w:rPr>
        <w:t>Making</w:t>
      </w:r>
      <w:r>
        <w:rPr>
          <w:color w:val="3B3A3B"/>
          <w:spacing w:val="17"/>
          <w:sz w:val="20"/>
        </w:rPr>
        <w:t> </w:t>
      </w:r>
      <w:r>
        <w:rPr>
          <w:color w:val="3B3A3B"/>
          <w:sz w:val="20"/>
        </w:rPr>
        <w:t>the</w:t>
      </w:r>
      <w:r>
        <w:rPr>
          <w:color w:val="3B3A3B"/>
          <w:spacing w:val="41"/>
          <w:sz w:val="20"/>
        </w:rPr>
        <w:t> </w:t>
      </w:r>
      <w:r>
        <w:rPr>
          <w:color w:val="3B3A3B"/>
          <w:sz w:val="20"/>
        </w:rPr>
        <w:t>Fact</w:t>
      </w:r>
      <w:r>
        <w:rPr>
          <w:color w:val="3B3A3B"/>
          <w:spacing w:val="-9"/>
          <w:sz w:val="20"/>
        </w:rPr>
        <w:t> </w:t>
      </w:r>
      <w:r>
        <w:rPr>
          <w:color w:val="3B3A3B"/>
          <w:sz w:val="20"/>
        </w:rPr>
        <w:t>Statement</w:t>
      </w:r>
      <w:r>
        <w:rPr>
          <w:color w:val="3B3A3B"/>
          <w:spacing w:val="19"/>
          <w:sz w:val="20"/>
        </w:rPr>
        <w:t> </w:t>
      </w:r>
      <w:r>
        <w:rPr>
          <w:color w:val="3B3A3B"/>
          <w:sz w:val="20"/>
        </w:rPr>
        <w:t>Persuasive</w:t>
      </w:r>
    </w:p>
    <w:p>
      <w:pPr>
        <w:pStyle w:val="ListParagraph"/>
        <w:numPr>
          <w:ilvl w:val="3"/>
          <w:numId w:val="77"/>
        </w:numPr>
        <w:tabs>
          <w:tab w:pos="1699" w:val="left" w:leader="none"/>
        </w:tabs>
        <w:spacing w:line="208" w:lineRule="exact" w:before="0" w:after="0"/>
        <w:ind w:left="1698" w:right="0" w:hanging="352"/>
        <w:jc w:val="left"/>
        <w:rPr>
          <w:rFonts w:ascii="Arial"/>
          <w:b/>
          <w:color w:val="3B3A3B"/>
          <w:sz w:val="20"/>
        </w:rPr>
      </w:pPr>
      <w:r>
        <w:rPr>
          <w:color w:val="3B3A3B"/>
          <w:spacing w:val="-1"/>
          <w:w w:val="105"/>
          <w:sz w:val="20"/>
        </w:rPr>
        <w:t>Positions</w:t>
      </w:r>
      <w:r>
        <w:rPr>
          <w:color w:val="3B3A3B"/>
          <w:spacing w:val="-12"/>
          <w:w w:val="105"/>
          <w:sz w:val="20"/>
        </w:rPr>
        <w:t> </w:t>
      </w:r>
      <w:r>
        <w:rPr>
          <w:color w:val="3B3A3B"/>
          <w:spacing w:val="-1"/>
          <w:w w:val="105"/>
          <w:sz w:val="20"/>
        </w:rPr>
        <w:t>of</w:t>
      </w:r>
      <w:r>
        <w:rPr>
          <w:color w:val="3B3A3B"/>
          <w:spacing w:val="-7"/>
          <w:w w:val="105"/>
          <w:sz w:val="20"/>
        </w:rPr>
        <w:t> </w:t>
      </w:r>
      <w:r>
        <w:rPr>
          <w:color w:val="3B3A3B"/>
          <w:w w:val="105"/>
          <w:sz w:val="20"/>
        </w:rPr>
        <w:t>Emphasis</w:t>
      </w:r>
    </w:p>
    <w:p>
      <w:pPr>
        <w:pStyle w:val="ListParagraph"/>
        <w:numPr>
          <w:ilvl w:val="3"/>
          <w:numId w:val="77"/>
        </w:numPr>
        <w:tabs>
          <w:tab w:pos="1699" w:val="left" w:leader="none"/>
        </w:tabs>
        <w:spacing w:line="213" w:lineRule="exact" w:before="0" w:after="0"/>
        <w:ind w:left="1698" w:right="0" w:hanging="340"/>
        <w:jc w:val="left"/>
        <w:rPr>
          <w:b/>
          <w:color w:val="3B3A3B"/>
          <w:sz w:val="21"/>
        </w:rPr>
      </w:pPr>
      <w:r>
        <w:rPr>
          <w:color w:val="3B3A3B"/>
          <w:w w:val="105"/>
          <w:sz w:val="20"/>
        </w:rPr>
        <w:t>Pointillism</w:t>
      </w:r>
    </w:p>
    <w:p>
      <w:pPr>
        <w:pStyle w:val="ListParagraph"/>
        <w:numPr>
          <w:ilvl w:val="3"/>
          <w:numId w:val="77"/>
        </w:numPr>
        <w:tabs>
          <w:tab w:pos="1690" w:val="left" w:leader="none"/>
        </w:tabs>
        <w:spacing w:line="222" w:lineRule="exact" w:before="0" w:after="0"/>
        <w:ind w:left="1689" w:right="0" w:hanging="344"/>
        <w:jc w:val="left"/>
        <w:rPr>
          <w:b/>
          <w:color w:val="3B3A3B"/>
          <w:sz w:val="22"/>
        </w:rPr>
      </w:pPr>
      <w:r>
        <w:rPr>
          <w:color w:val="3B3A3B"/>
          <w:spacing w:val="-1"/>
          <w:sz w:val="20"/>
        </w:rPr>
        <w:t>Spending</w:t>
      </w:r>
      <w:r>
        <w:rPr>
          <w:color w:val="3B3A3B"/>
          <w:spacing w:val="8"/>
          <w:sz w:val="20"/>
        </w:rPr>
        <w:t> </w:t>
      </w:r>
      <w:r>
        <w:rPr>
          <w:color w:val="3B3A3B"/>
          <w:spacing w:val="-1"/>
          <w:sz w:val="20"/>
        </w:rPr>
        <w:t>the</w:t>
      </w:r>
      <w:r>
        <w:rPr>
          <w:color w:val="3B3A3B"/>
          <w:spacing w:val="11"/>
          <w:sz w:val="20"/>
        </w:rPr>
        <w:t> </w:t>
      </w:r>
      <w:r>
        <w:rPr>
          <w:color w:val="3B3A3B"/>
          <w:sz w:val="20"/>
        </w:rPr>
        <w:t>Reader's</w:t>
      </w:r>
      <w:r>
        <w:rPr>
          <w:color w:val="3B3A3B"/>
          <w:spacing w:val="-21"/>
          <w:sz w:val="20"/>
        </w:rPr>
        <w:t> </w:t>
      </w:r>
      <w:r>
        <w:rPr>
          <w:color w:val="3B3A3B"/>
          <w:sz w:val="20"/>
        </w:rPr>
        <w:t>Time,</w:t>
      </w:r>
      <w:r>
        <w:rPr>
          <w:color w:val="3B3A3B"/>
          <w:spacing w:val="-13"/>
          <w:sz w:val="20"/>
        </w:rPr>
        <w:t> </w:t>
      </w:r>
      <w:r>
        <w:rPr>
          <w:color w:val="3B3A3B"/>
          <w:sz w:val="20"/>
        </w:rPr>
        <w:t>Saving</w:t>
      </w:r>
      <w:r>
        <w:rPr>
          <w:color w:val="3B3A3B"/>
          <w:spacing w:val="-10"/>
          <w:sz w:val="20"/>
        </w:rPr>
        <w:t> </w:t>
      </w:r>
      <w:r>
        <w:rPr>
          <w:color w:val="3B3A3B"/>
          <w:sz w:val="20"/>
        </w:rPr>
        <w:t>the</w:t>
      </w:r>
      <w:r>
        <w:rPr>
          <w:color w:val="3B3A3B"/>
          <w:spacing w:val="21"/>
          <w:sz w:val="20"/>
        </w:rPr>
        <w:t> </w:t>
      </w:r>
      <w:r>
        <w:rPr>
          <w:color w:val="3B3A3B"/>
          <w:sz w:val="20"/>
        </w:rPr>
        <w:t>Reader's</w:t>
      </w:r>
      <w:r>
        <w:rPr>
          <w:color w:val="3B3A3B"/>
          <w:spacing w:val="2"/>
          <w:sz w:val="20"/>
        </w:rPr>
        <w:t> </w:t>
      </w:r>
      <w:r>
        <w:rPr>
          <w:color w:val="3B3A3B"/>
          <w:sz w:val="20"/>
        </w:rPr>
        <w:t>Energy</w:t>
      </w:r>
    </w:p>
    <w:p>
      <w:pPr>
        <w:pStyle w:val="ListParagraph"/>
        <w:numPr>
          <w:ilvl w:val="2"/>
          <w:numId w:val="77"/>
        </w:numPr>
        <w:tabs>
          <w:tab w:pos="1342" w:val="left" w:leader="none"/>
        </w:tabs>
        <w:spacing w:line="191" w:lineRule="exact" w:before="0" w:after="0"/>
        <w:ind w:left="1341" w:right="0" w:hanging="689"/>
        <w:jc w:val="left"/>
        <w:rPr>
          <w:rFonts w:ascii="Arial"/>
          <w:b/>
          <w:color w:val="3B3A3B"/>
          <w:sz w:val="20"/>
        </w:rPr>
      </w:pPr>
      <w:r>
        <w:rPr>
          <w:color w:val="3B3A3B"/>
          <w:sz w:val="20"/>
        </w:rPr>
        <w:t>Special</w:t>
      </w:r>
      <w:r>
        <w:rPr>
          <w:color w:val="3B3A3B"/>
          <w:spacing w:val="1"/>
          <w:sz w:val="20"/>
        </w:rPr>
        <w:t> </w:t>
      </w:r>
      <w:r>
        <w:rPr>
          <w:color w:val="3B3A3B"/>
          <w:sz w:val="20"/>
        </w:rPr>
        <w:t>Considerations</w:t>
      </w:r>
      <w:r>
        <w:rPr>
          <w:color w:val="3B3A3B"/>
          <w:spacing w:val="10"/>
          <w:sz w:val="20"/>
        </w:rPr>
        <w:t> </w:t>
      </w:r>
      <w:r>
        <w:rPr>
          <w:rFonts w:ascii="Arial"/>
          <w:color w:val="3B3A3B"/>
          <w:sz w:val="18"/>
        </w:rPr>
        <w:t>for</w:t>
      </w:r>
      <w:r>
        <w:rPr>
          <w:rFonts w:ascii="Arial"/>
          <w:color w:val="3B3A3B"/>
          <w:spacing w:val="16"/>
          <w:sz w:val="18"/>
        </w:rPr>
        <w:t> </w:t>
      </w:r>
      <w:r>
        <w:rPr>
          <w:color w:val="3B3A3B"/>
          <w:sz w:val="20"/>
        </w:rPr>
        <w:t>Motion</w:t>
      </w:r>
      <w:r>
        <w:rPr>
          <w:color w:val="3B3A3B"/>
          <w:spacing w:val="23"/>
          <w:sz w:val="20"/>
        </w:rPr>
        <w:t> </w:t>
      </w:r>
      <w:r>
        <w:rPr>
          <w:color w:val="3B3A3B"/>
          <w:sz w:val="20"/>
        </w:rPr>
        <w:t>Brief</w:t>
      </w:r>
      <w:r>
        <w:rPr>
          <w:color w:val="3B3A3B"/>
          <w:spacing w:val="47"/>
          <w:sz w:val="20"/>
        </w:rPr>
        <w:t> </w:t>
      </w:r>
      <w:r>
        <w:rPr>
          <w:color w:val="3B3A3B"/>
          <w:sz w:val="20"/>
        </w:rPr>
        <w:t>Fact</w:t>
      </w:r>
      <w:r>
        <w:rPr>
          <w:color w:val="3B3A3B"/>
          <w:spacing w:val="-6"/>
          <w:sz w:val="20"/>
        </w:rPr>
        <w:t> </w:t>
      </w:r>
      <w:r>
        <w:rPr>
          <w:color w:val="3B3A3B"/>
          <w:sz w:val="20"/>
        </w:rPr>
        <w:t>Statements</w:t>
      </w:r>
    </w:p>
    <w:p>
      <w:pPr>
        <w:pStyle w:val="ListParagraph"/>
        <w:numPr>
          <w:ilvl w:val="2"/>
          <w:numId w:val="77"/>
        </w:numPr>
        <w:tabs>
          <w:tab w:pos="1342" w:val="left" w:leader="none"/>
        </w:tabs>
        <w:spacing w:line="202" w:lineRule="exact" w:before="0" w:after="0"/>
        <w:ind w:left="1341" w:right="0" w:hanging="689"/>
        <w:jc w:val="left"/>
        <w:rPr>
          <w:rFonts w:ascii="Arial"/>
          <w:b/>
          <w:color w:val="3B3A3B"/>
          <w:sz w:val="19"/>
        </w:rPr>
      </w:pPr>
      <w:r>
        <w:rPr>
          <w:color w:val="3B3A3B"/>
          <w:w w:val="110"/>
          <w:sz w:val="20"/>
        </w:rPr>
        <w:t>Summing</w:t>
      </w:r>
      <w:r>
        <w:rPr>
          <w:color w:val="3B3A3B"/>
          <w:spacing w:val="6"/>
          <w:w w:val="110"/>
          <w:sz w:val="20"/>
        </w:rPr>
        <w:t> </w:t>
      </w:r>
      <w:r>
        <w:rPr>
          <w:color w:val="3B3A3B"/>
          <w:w w:val="110"/>
          <w:sz w:val="20"/>
        </w:rPr>
        <w:t>Up</w:t>
      </w:r>
    </w:p>
    <w:p>
      <w:pPr>
        <w:pStyle w:val="ListParagraph"/>
        <w:numPr>
          <w:ilvl w:val="1"/>
          <w:numId w:val="77"/>
        </w:numPr>
        <w:tabs>
          <w:tab w:pos="657" w:val="left" w:leader="none"/>
        </w:tabs>
        <w:spacing w:line="202" w:lineRule="exact" w:before="0" w:after="0"/>
        <w:ind w:left="656" w:right="0" w:hanging="448"/>
        <w:jc w:val="left"/>
        <w:rPr>
          <w:rFonts w:ascii="Arial"/>
          <w:b/>
          <w:color w:val="3B3A3B"/>
          <w:sz w:val="19"/>
        </w:rPr>
      </w:pPr>
      <w:r>
        <w:rPr>
          <w:color w:val="3B3A3B"/>
          <w:w w:val="110"/>
          <w:sz w:val="20"/>
        </w:rPr>
        <w:t>Summary</w:t>
      </w:r>
      <w:r>
        <w:rPr>
          <w:color w:val="3B3A3B"/>
          <w:spacing w:val="8"/>
          <w:w w:val="110"/>
          <w:sz w:val="20"/>
        </w:rPr>
        <w:t> </w:t>
      </w:r>
      <w:r>
        <w:rPr>
          <w:color w:val="3B3A3B"/>
          <w:w w:val="110"/>
          <w:sz w:val="20"/>
        </w:rPr>
        <w:t>of</w:t>
      </w:r>
      <w:r>
        <w:rPr>
          <w:color w:val="3B3A3B"/>
          <w:spacing w:val="29"/>
          <w:w w:val="110"/>
          <w:sz w:val="20"/>
        </w:rPr>
        <w:t> </w:t>
      </w:r>
      <w:r>
        <w:rPr>
          <w:color w:val="3B3A3B"/>
          <w:w w:val="110"/>
          <w:sz w:val="20"/>
        </w:rPr>
        <w:t>the</w:t>
      </w:r>
      <w:r>
        <w:rPr>
          <w:color w:val="3B3A3B"/>
          <w:spacing w:val="48"/>
          <w:w w:val="110"/>
          <w:sz w:val="20"/>
        </w:rPr>
        <w:t> </w:t>
      </w:r>
      <w:r>
        <w:rPr>
          <w:color w:val="3B3A3B"/>
          <w:w w:val="110"/>
          <w:sz w:val="20"/>
        </w:rPr>
        <w:t>Argument</w:t>
      </w:r>
    </w:p>
    <w:p>
      <w:pPr>
        <w:pStyle w:val="ListParagraph"/>
        <w:numPr>
          <w:ilvl w:val="1"/>
          <w:numId w:val="77"/>
        </w:numPr>
        <w:tabs>
          <w:tab w:pos="676" w:val="left" w:leader="none"/>
        </w:tabs>
        <w:spacing w:line="188" w:lineRule="exact" w:before="0" w:after="0"/>
        <w:ind w:left="675" w:right="0" w:hanging="467"/>
        <w:jc w:val="left"/>
        <w:rPr>
          <w:rFonts w:ascii="Arial"/>
          <w:b/>
          <w:color w:val="3B3A3B"/>
          <w:sz w:val="20"/>
        </w:rPr>
      </w:pPr>
      <w:r>
        <w:rPr>
          <w:color w:val="3B3A3B"/>
          <w:w w:val="115"/>
          <w:sz w:val="20"/>
        </w:rPr>
        <w:t>Point</w:t>
      </w:r>
      <w:r>
        <w:rPr>
          <w:color w:val="3B3A3B"/>
          <w:spacing w:val="2"/>
          <w:w w:val="115"/>
          <w:sz w:val="20"/>
        </w:rPr>
        <w:t> </w:t>
      </w:r>
      <w:r>
        <w:rPr>
          <w:color w:val="3B3A3B"/>
          <w:w w:val="115"/>
          <w:sz w:val="20"/>
        </w:rPr>
        <w:t>Headings</w:t>
      </w:r>
    </w:p>
    <w:p>
      <w:pPr>
        <w:pStyle w:val="ListParagraph"/>
        <w:numPr>
          <w:ilvl w:val="2"/>
          <w:numId w:val="77"/>
        </w:numPr>
        <w:tabs>
          <w:tab w:pos="1370" w:val="left" w:leader="none"/>
          <w:tab w:pos="1371" w:val="left" w:leader="none"/>
        </w:tabs>
        <w:spacing w:line="199" w:lineRule="exact" w:before="0" w:after="0"/>
        <w:ind w:left="1370" w:right="0" w:hanging="709"/>
        <w:jc w:val="left"/>
        <w:rPr>
          <w:b/>
          <w:color w:val="3B3A3B"/>
          <w:sz w:val="21"/>
        </w:rPr>
      </w:pPr>
      <w:r>
        <w:rPr>
          <w:color w:val="3B3A3B"/>
          <w:w w:val="105"/>
          <w:sz w:val="20"/>
        </w:rPr>
        <w:t>Format</w:t>
      </w:r>
      <w:r>
        <w:rPr>
          <w:color w:val="3B3A3B"/>
          <w:spacing w:val="4"/>
          <w:w w:val="105"/>
          <w:sz w:val="20"/>
        </w:rPr>
        <w:t> </w:t>
      </w:r>
      <w:r>
        <w:rPr>
          <w:color w:val="3B3A3B"/>
          <w:w w:val="105"/>
          <w:sz w:val="20"/>
        </w:rPr>
        <w:t>and</w:t>
      </w:r>
      <w:r>
        <w:rPr>
          <w:color w:val="3B3A3B"/>
          <w:spacing w:val="39"/>
          <w:w w:val="105"/>
          <w:sz w:val="20"/>
        </w:rPr>
        <w:t> </w:t>
      </w:r>
      <w:r>
        <w:rPr>
          <w:color w:val="3B3A3B"/>
          <w:w w:val="105"/>
          <w:sz w:val="20"/>
        </w:rPr>
        <w:t>Function</w:t>
      </w:r>
    </w:p>
    <w:p>
      <w:pPr>
        <w:pStyle w:val="ListParagraph"/>
        <w:numPr>
          <w:ilvl w:val="2"/>
          <w:numId w:val="77"/>
        </w:numPr>
        <w:tabs>
          <w:tab w:pos="1379" w:val="left" w:leader="none"/>
          <w:tab w:pos="1380" w:val="left" w:leader="none"/>
        </w:tabs>
        <w:spacing w:line="207" w:lineRule="exact" w:before="0" w:after="0"/>
        <w:ind w:left="1379" w:right="0" w:hanging="708"/>
        <w:jc w:val="left"/>
        <w:rPr>
          <w:b/>
          <w:color w:val="3B3A3B"/>
          <w:sz w:val="21"/>
        </w:rPr>
      </w:pPr>
      <w:r>
        <w:rPr>
          <w:color w:val="3B3A3B"/>
          <w:w w:val="105"/>
          <w:sz w:val="20"/>
        </w:rPr>
        <w:t>Drafting</w:t>
      </w:r>
      <w:r>
        <w:rPr>
          <w:color w:val="3B3A3B"/>
          <w:spacing w:val="4"/>
          <w:w w:val="105"/>
          <w:sz w:val="20"/>
        </w:rPr>
        <w:t> </w:t>
      </w:r>
      <w:r>
        <w:rPr>
          <w:color w:val="3B3A3B"/>
          <w:w w:val="105"/>
          <w:sz w:val="20"/>
        </w:rPr>
        <w:t>the</w:t>
      </w:r>
      <w:r>
        <w:rPr>
          <w:color w:val="3B3A3B"/>
          <w:spacing w:val="19"/>
          <w:w w:val="105"/>
          <w:sz w:val="20"/>
        </w:rPr>
        <w:t> </w:t>
      </w:r>
      <w:r>
        <w:rPr>
          <w:color w:val="3B3A3B"/>
          <w:w w:val="105"/>
          <w:sz w:val="20"/>
        </w:rPr>
        <w:t>Point</w:t>
      </w:r>
      <w:r>
        <w:rPr>
          <w:color w:val="3B3A3B"/>
          <w:spacing w:val="-1"/>
          <w:w w:val="105"/>
          <w:sz w:val="20"/>
        </w:rPr>
        <w:t> </w:t>
      </w:r>
      <w:r>
        <w:rPr>
          <w:color w:val="3B3A3B"/>
          <w:w w:val="105"/>
          <w:sz w:val="20"/>
        </w:rPr>
        <w:t>Headings</w:t>
      </w:r>
    </w:p>
    <w:p>
      <w:pPr>
        <w:pStyle w:val="ListParagraph"/>
        <w:numPr>
          <w:ilvl w:val="2"/>
          <w:numId w:val="77"/>
        </w:numPr>
        <w:tabs>
          <w:tab w:pos="1358" w:val="left" w:leader="none"/>
        </w:tabs>
        <w:spacing w:line="196" w:lineRule="exact" w:before="0" w:after="0"/>
        <w:ind w:left="1358" w:right="0" w:hanging="686"/>
        <w:jc w:val="left"/>
        <w:rPr>
          <w:rFonts w:ascii="Arial"/>
          <w:b/>
          <w:color w:val="3B3A3B"/>
          <w:sz w:val="19"/>
        </w:rPr>
      </w:pPr>
      <w:r>
        <w:rPr>
          <w:color w:val="3B3A3B"/>
          <w:sz w:val="20"/>
        </w:rPr>
        <w:t>The</w:t>
      </w:r>
      <w:r>
        <w:rPr>
          <w:color w:val="3B3A3B"/>
          <w:spacing w:val="15"/>
          <w:sz w:val="20"/>
        </w:rPr>
        <w:t> </w:t>
      </w:r>
      <w:r>
        <w:rPr>
          <w:color w:val="3B3A3B"/>
          <w:sz w:val="20"/>
        </w:rPr>
        <w:t>Relationships</w:t>
      </w:r>
      <w:r>
        <w:rPr>
          <w:color w:val="3B3A3B"/>
          <w:spacing w:val="19"/>
          <w:sz w:val="20"/>
        </w:rPr>
        <w:t> </w:t>
      </w:r>
      <w:r>
        <w:rPr>
          <w:color w:val="3B3A3B"/>
          <w:sz w:val="20"/>
        </w:rPr>
        <w:t>Between</w:t>
      </w:r>
      <w:r>
        <w:rPr>
          <w:color w:val="3B3A3B"/>
          <w:spacing w:val="11"/>
          <w:sz w:val="20"/>
        </w:rPr>
        <w:t> </w:t>
      </w:r>
      <w:r>
        <w:rPr>
          <w:color w:val="3B3A3B"/>
          <w:sz w:val="20"/>
        </w:rPr>
        <w:t>and</w:t>
      </w:r>
      <w:r>
        <w:rPr>
          <w:color w:val="3B3A3B"/>
          <w:spacing w:val="14"/>
          <w:sz w:val="20"/>
        </w:rPr>
        <w:t> </w:t>
      </w:r>
      <w:r>
        <w:rPr>
          <w:color w:val="3B3A3B"/>
          <w:sz w:val="20"/>
        </w:rPr>
        <w:t>Among</w:t>
      </w:r>
      <w:r>
        <w:rPr>
          <w:color w:val="3B3A3B"/>
          <w:spacing w:val="14"/>
          <w:sz w:val="20"/>
        </w:rPr>
        <w:t> </w:t>
      </w:r>
      <w:r>
        <w:rPr>
          <w:color w:val="3B3A3B"/>
          <w:sz w:val="20"/>
        </w:rPr>
        <w:t>Point</w:t>
      </w:r>
      <w:r>
        <w:rPr>
          <w:color w:val="3B3A3B"/>
          <w:spacing w:val="13"/>
          <w:sz w:val="20"/>
        </w:rPr>
        <w:t> </w:t>
      </w:r>
      <w:r>
        <w:rPr>
          <w:color w:val="3B3A3B"/>
          <w:sz w:val="20"/>
        </w:rPr>
        <w:t>Headings</w:t>
      </w:r>
    </w:p>
    <w:p>
      <w:pPr>
        <w:pStyle w:val="ListParagraph"/>
        <w:numPr>
          <w:ilvl w:val="2"/>
          <w:numId w:val="77"/>
        </w:numPr>
        <w:tabs>
          <w:tab w:pos="1358" w:val="left" w:leader="none"/>
        </w:tabs>
        <w:spacing w:line="201" w:lineRule="auto" w:before="11" w:after="0"/>
        <w:ind w:left="1381" w:right="1736" w:hanging="709"/>
        <w:jc w:val="left"/>
        <w:rPr>
          <w:rFonts w:ascii="Arial"/>
          <w:b/>
          <w:color w:val="3B3A3B"/>
          <w:sz w:val="20"/>
        </w:rPr>
      </w:pPr>
      <w:r>
        <w:rPr>
          <w:color w:val="3B3A3B"/>
          <w:sz w:val="20"/>
        </w:rPr>
        <w:t>The</w:t>
      </w:r>
      <w:r>
        <w:rPr>
          <w:color w:val="3B3A3B"/>
          <w:spacing w:val="1"/>
          <w:sz w:val="20"/>
        </w:rPr>
        <w:t> </w:t>
      </w:r>
      <w:r>
        <w:rPr>
          <w:color w:val="3B3A3B"/>
          <w:sz w:val="20"/>
        </w:rPr>
        <w:t>Relationship Between</w:t>
      </w:r>
      <w:r>
        <w:rPr>
          <w:color w:val="3B3A3B"/>
          <w:spacing w:val="1"/>
          <w:sz w:val="20"/>
        </w:rPr>
        <w:t> </w:t>
      </w:r>
      <w:r>
        <w:rPr>
          <w:color w:val="3B3A3B"/>
          <w:sz w:val="20"/>
        </w:rPr>
        <w:t>the</w:t>
      </w:r>
      <w:r>
        <w:rPr>
          <w:color w:val="3B3A3B"/>
          <w:spacing w:val="1"/>
          <w:sz w:val="20"/>
        </w:rPr>
        <w:t> </w:t>
      </w:r>
      <w:r>
        <w:rPr>
          <w:color w:val="3B3A3B"/>
          <w:sz w:val="20"/>
        </w:rPr>
        <w:t>Point Heading and</w:t>
      </w:r>
      <w:r>
        <w:rPr>
          <w:color w:val="3B3A3B"/>
          <w:spacing w:val="1"/>
          <w:sz w:val="20"/>
        </w:rPr>
        <w:t> </w:t>
      </w:r>
      <w:r>
        <w:rPr>
          <w:color w:val="3B3A3B"/>
          <w:w w:val="105"/>
          <w:sz w:val="20"/>
        </w:rPr>
        <w:t>the</w:t>
      </w:r>
      <w:r>
        <w:rPr>
          <w:color w:val="3B3A3B"/>
          <w:spacing w:val="19"/>
          <w:w w:val="105"/>
          <w:sz w:val="20"/>
        </w:rPr>
        <w:t> </w:t>
      </w:r>
      <w:r>
        <w:rPr>
          <w:color w:val="3B3A3B"/>
          <w:w w:val="105"/>
          <w:sz w:val="20"/>
        </w:rPr>
        <w:t>Paragraph</w:t>
      </w:r>
      <w:r>
        <w:rPr>
          <w:color w:val="3B3A3B"/>
          <w:spacing w:val="13"/>
          <w:w w:val="105"/>
          <w:sz w:val="20"/>
        </w:rPr>
        <w:t> </w:t>
      </w:r>
      <w:r>
        <w:rPr>
          <w:color w:val="3B3A3B"/>
          <w:w w:val="105"/>
          <w:sz w:val="20"/>
        </w:rPr>
        <w:t>Immediately</w:t>
      </w:r>
      <w:r>
        <w:rPr>
          <w:color w:val="3B3A3B"/>
          <w:spacing w:val="9"/>
          <w:w w:val="105"/>
          <w:sz w:val="20"/>
        </w:rPr>
        <w:t> </w:t>
      </w:r>
      <w:r>
        <w:rPr>
          <w:color w:val="3B3A3B"/>
          <w:w w:val="105"/>
          <w:sz w:val="20"/>
        </w:rPr>
        <w:t>Following</w:t>
      </w:r>
    </w:p>
    <w:p>
      <w:pPr>
        <w:spacing w:line="196" w:lineRule="exact" w:before="0"/>
        <w:ind w:left="672" w:right="0" w:firstLine="0"/>
        <w:jc w:val="left"/>
        <w:rPr>
          <w:rFonts w:ascii="Arial"/>
          <w:sz w:val="19"/>
        </w:rPr>
      </w:pPr>
      <w:r>
        <w:rPr>
          <w:b/>
          <w:color w:val="3B3A3B"/>
          <w:w w:val="110"/>
          <w:sz w:val="21"/>
        </w:rPr>
        <w:t>9.4.S </w:t>
      </w:r>
      <w:r>
        <w:rPr>
          <w:b/>
          <w:color w:val="3B3A3B"/>
          <w:spacing w:val="44"/>
          <w:w w:val="110"/>
          <w:sz w:val="21"/>
        </w:rPr>
        <w:t> </w:t>
      </w:r>
      <w:r>
        <w:rPr>
          <w:color w:val="3B3A3B"/>
          <w:w w:val="110"/>
          <w:sz w:val="20"/>
        </w:rPr>
        <w:t>Summ</w:t>
      </w:r>
      <w:r>
        <w:rPr>
          <w:color w:val="59595B"/>
          <w:w w:val="110"/>
          <w:sz w:val="20"/>
        </w:rPr>
        <w:t>i</w:t>
      </w:r>
      <w:r>
        <w:rPr>
          <w:color w:val="3B3A3B"/>
          <w:w w:val="110"/>
          <w:sz w:val="20"/>
        </w:rPr>
        <w:t>ng</w:t>
      </w:r>
      <w:r>
        <w:rPr>
          <w:color w:val="3B3A3B"/>
          <w:spacing w:val="-1"/>
          <w:w w:val="110"/>
          <w:sz w:val="20"/>
        </w:rPr>
        <w:t> </w:t>
      </w:r>
      <w:r>
        <w:rPr>
          <w:rFonts w:ascii="Arial"/>
          <w:color w:val="3B3A3B"/>
          <w:w w:val="110"/>
          <w:sz w:val="19"/>
        </w:rPr>
        <w:t>Up</w:t>
      </w:r>
    </w:p>
    <w:p>
      <w:pPr>
        <w:pStyle w:val="ListParagraph"/>
        <w:numPr>
          <w:ilvl w:val="1"/>
          <w:numId w:val="77"/>
        </w:numPr>
        <w:tabs>
          <w:tab w:pos="677" w:val="left" w:leader="none"/>
        </w:tabs>
        <w:spacing w:line="227" w:lineRule="exact" w:before="0" w:after="0"/>
        <w:ind w:left="676" w:right="0" w:hanging="459"/>
        <w:jc w:val="left"/>
        <w:rPr>
          <w:b/>
          <w:color w:val="3B3A3B"/>
          <w:sz w:val="21"/>
        </w:rPr>
      </w:pPr>
      <w:r>
        <w:rPr>
          <w:color w:val="3B3A3B"/>
          <w:w w:val="115"/>
          <w:sz w:val="20"/>
        </w:rPr>
        <w:t>Summary</w:t>
      </w:r>
    </w:p>
    <w:p>
      <w:pPr>
        <w:spacing w:after="0" w:line="227" w:lineRule="exact"/>
        <w:jc w:val="left"/>
        <w:rPr>
          <w:sz w:val="21"/>
        </w:rPr>
        <w:sectPr>
          <w:headerReference w:type="default" r:id="rId218"/>
          <w:headerReference w:type="even" r:id="rId219"/>
          <w:pgSz w:w="9010" w:h="13980"/>
          <w:pgMar w:header="531" w:footer="0" w:top="1340" w:bottom="0" w:left="160" w:right="1240"/>
          <w:cols w:num="2" w:equalWidth="0">
            <w:col w:w="301" w:space="56"/>
            <w:col w:w="7253"/>
          </w:cols>
        </w:sectPr>
      </w:pPr>
    </w:p>
    <w:p>
      <w:pPr>
        <w:pStyle w:val="BodyText"/>
        <w:spacing w:before="2"/>
        <w:rPr>
          <w:sz w:val="22"/>
        </w:rPr>
      </w:pPr>
    </w:p>
    <w:p>
      <w:pPr>
        <w:spacing w:line="242" w:lineRule="auto" w:before="91"/>
        <w:ind w:left="141" w:right="348" w:firstLine="446"/>
        <w:jc w:val="left"/>
        <w:rPr>
          <w:sz w:val="22"/>
        </w:rPr>
      </w:pPr>
      <w:r>
        <w:rPr>
          <w:color w:val="3B3A3B"/>
          <w:w w:val="105"/>
          <w:sz w:val="22"/>
        </w:rPr>
        <w:t>In football,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w w:val="105"/>
          <w:sz w:val="22"/>
        </w:rPr>
        <w:t>coaches organize several different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w w:val="105"/>
          <w:sz w:val="22"/>
        </w:rPr>
        <w:t>types of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w w:val="105"/>
          <w:sz w:val="22"/>
        </w:rPr>
        <w:t>practices</w:t>
      </w:r>
      <w:r>
        <w:rPr>
          <w:color w:val="59595B"/>
          <w:w w:val="105"/>
          <w:sz w:val="22"/>
        </w:rPr>
        <w:t>. </w:t>
      </w:r>
      <w:r>
        <w:rPr>
          <w:color w:val="3B3A3B"/>
          <w:w w:val="105"/>
          <w:sz w:val="22"/>
        </w:rPr>
        <w:t>The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sz w:val="22"/>
        </w:rPr>
        <w:t>offense and</w:t>
      </w:r>
      <w:r>
        <w:rPr>
          <w:color w:val="3B3A3B"/>
          <w:spacing w:val="1"/>
          <w:sz w:val="22"/>
        </w:rPr>
        <w:t> </w:t>
      </w:r>
      <w:r>
        <w:rPr>
          <w:color w:val="3B3A3B"/>
          <w:sz w:val="22"/>
        </w:rPr>
        <w:t>the</w:t>
      </w:r>
      <w:r>
        <w:rPr>
          <w:color w:val="3B3A3B"/>
          <w:spacing w:val="1"/>
          <w:sz w:val="22"/>
        </w:rPr>
        <w:t> </w:t>
      </w:r>
      <w:r>
        <w:rPr>
          <w:color w:val="3B3A3B"/>
          <w:sz w:val="22"/>
        </w:rPr>
        <w:t>defense must prepare differently,</w:t>
      </w:r>
      <w:r>
        <w:rPr>
          <w:color w:val="3B3A3B"/>
          <w:spacing w:val="1"/>
          <w:sz w:val="22"/>
        </w:rPr>
        <w:t> </w:t>
      </w:r>
      <w:r>
        <w:rPr>
          <w:color w:val="3B3A3B"/>
          <w:sz w:val="22"/>
        </w:rPr>
        <w:t>just as you must prepare a</w:t>
      </w:r>
      <w:r>
        <w:rPr>
          <w:color w:val="3B3A3B"/>
          <w:spacing w:val="1"/>
          <w:sz w:val="22"/>
        </w:rPr>
        <w:t> </w:t>
      </w:r>
      <w:r>
        <w:rPr>
          <w:color w:val="8C8E90"/>
          <w:sz w:val="22"/>
        </w:rPr>
        <w:t>.</w:t>
      </w:r>
      <w:r>
        <w:rPr>
          <w:color w:val="8C8E90"/>
          <w:spacing w:val="-52"/>
          <w:sz w:val="22"/>
        </w:rPr>
        <w:t> </w:t>
      </w:r>
      <w:r>
        <w:rPr>
          <w:color w:val="3B3A3B"/>
          <w:w w:val="105"/>
          <w:sz w:val="22"/>
        </w:rPr>
        <w:t>petitioner's</w:t>
      </w:r>
      <w:r>
        <w:rPr>
          <w:color w:val="3B3A3B"/>
          <w:spacing w:val="3"/>
          <w:w w:val="105"/>
          <w:sz w:val="22"/>
        </w:rPr>
        <w:t> </w:t>
      </w:r>
      <w:r>
        <w:rPr>
          <w:color w:val="3B3A3B"/>
          <w:w w:val="105"/>
          <w:sz w:val="22"/>
        </w:rPr>
        <w:t>brief</w:t>
      </w:r>
      <w:r>
        <w:rPr>
          <w:color w:val="3B3A3B"/>
          <w:spacing w:val="16"/>
          <w:w w:val="105"/>
          <w:sz w:val="22"/>
        </w:rPr>
        <w:t> </w:t>
      </w:r>
      <w:r>
        <w:rPr>
          <w:color w:val="3B3A3B"/>
          <w:w w:val="105"/>
          <w:sz w:val="22"/>
        </w:rPr>
        <w:t>differently</w:t>
      </w:r>
      <w:r>
        <w:rPr>
          <w:color w:val="3B3A3B"/>
          <w:spacing w:val="9"/>
          <w:w w:val="105"/>
          <w:sz w:val="22"/>
        </w:rPr>
        <w:t> </w:t>
      </w:r>
      <w:r>
        <w:rPr>
          <w:color w:val="3B3A3B"/>
          <w:w w:val="105"/>
          <w:sz w:val="22"/>
        </w:rPr>
        <w:t>from</w:t>
      </w:r>
      <w:r>
        <w:rPr>
          <w:color w:val="3B3A3B"/>
          <w:spacing w:val="4"/>
          <w:w w:val="105"/>
          <w:sz w:val="22"/>
        </w:rPr>
        <w:t> </w:t>
      </w:r>
      <w:r>
        <w:rPr>
          <w:color w:val="3B3A3B"/>
          <w:w w:val="105"/>
          <w:sz w:val="22"/>
        </w:rPr>
        <w:t>the</w:t>
      </w:r>
      <w:r>
        <w:rPr>
          <w:color w:val="3B3A3B"/>
          <w:spacing w:val="17"/>
          <w:w w:val="105"/>
          <w:sz w:val="22"/>
        </w:rPr>
        <w:t> </w:t>
      </w:r>
      <w:r>
        <w:rPr>
          <w:color w:val="3B3A3B"/>
          <w:w w:val="105"/>
          <w:sz w:val="22"/>
        </w:rPr>
        <w:t>way</w:t>
      </w:r>
      <w:r>
        <w:rPr>
          <w:color w:val="3B3A3B"/>
          <w:spacing w:val="6"/>
          <w:w w:val="105"/>
          <w:sz w:val="22"/>
        </w:rPr>
        <w:t> </w:t>
      </w:r>
      <w:r>
        <w:rPr>
          <w:color w:val="3B3A3B"/>
          <w:w w:val="105"/>
          <w:sz w:val="22"/>
        </w:rPr>
        <w:t>you</w:t>
      </w:r>
      <w:r>
        <w:rPr>
          <w:color w:val="3B3A3B"/>
          <w:spacing w:val="9"/>
          <w:w w:val="105"/>
          <w:sz w:val="22"/>
        </w:rPr>
        <w:t> </w:t>
      </w:r>
      <w:r>
        <w:rPr>
          <w:color w:val="3B3A3B"/>
          <w:w w:val="105"/>
          <w:sz w:val="22"/>
        </w:rPr>
        <w:t>prepare</w:t>
      </w:r>
      <w:r>
        <w:rPr>
          <w:color w:val="3B3A3B"/>
          <w:spacing w:val="-7"/>
          <w:w w:val="105"/>
          <w:sz w:val="22"/>
        </w:rPr>
        <w:t> </w:t>
      </w:r>
      <w:r>
        <w:rPr>
          <w:color w:val="3B3A3B"/>
          <w:w w:val="105"/>
          <w:sz w:val="22"/>
        </w:rPr>
        <w:t>a</w:t>
      </w:r>
      <w:r>
        <w:rPr>
          <w:color w:val="3B3A3B"/>
          <w:spacing w:val="11"/>
          <w:w w:val="105"/>
          <w:sz w:val="22"/>
        </w:rPr>
        <w:t> </w:t>
      </w:r>
      <w:r>
        <w:rPr>
          <w:color w:val="3B3A3B"/>
          <w:w w:val="105"/>
          <w:sz w:val="22"/>
        </w:rPr>
        <w:t>respondent</w:t>
      </w:r>
      <w:r>
        <w:rPr>
          <w:color w:val="59595B"/>
          <w:w w:val="105"/>
          <w:sz w:val="22"/>
        </w:rPr>
        <w:t>'</w:t>
      </w:r>
      <w:r>
        <w:rPr>
          <w:color w:val="3B3A3B"/>
          <w:w w:val="105"/>
          <w:sz w:val="22"/>
        </w:rPr>
        <w:t>s</w:t>
      </w:r>
      <w:r>
        <w:rPr>
          <w:color w:val="3B3A3B"/>
          <w:spacing w:val="-3"/>
          <w:w w:val="105"/>
          <w:sz w:val="22"/>
        </w:rPr>
        <w:t> </w:t>
      </w:r>
      <w:r>
        <w:rPr>
          <w:color w:val="3B3A3B"/>
          <w:w w:val="105"/>
          <w:sz w:val="22"/>
        </w:rPr>
        <w:t>brief,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w w:val="105"/>
          <w:sz w:val="22"/>
        </w:rPr>
        <w:t>ora memorandum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w w:val="105"/>
          <w:sz w:val="22"/>
        </w:rPr>
        <w:t>supporting a motion differently from a memorandum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w w:val="105"/>
          <w:sz w:val="22"/>
        </w:rPr>
        <w:t>in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w w:val="105"/>
          <w:sz w:val="22"/>
        </w:rPr>
        <w:t>opposition to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w w:val="105"/>
          <w:sz w:val="22"/>
        </w:rPr>
        <w:t>a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w w:val="105"/>
          <w:sz w:val="22"/>
        </w:rPr>
        <w:t>motion. Football coaches also have practices for their "spe­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sz w:val="22"/>
        </w:rPr>
        <w:t>cia</w:t>
      </w:r>
      <w:r>
        <w:rPr>
          <w:color w:val="59595B"/>
          <w:sz w:val="22"/>
        </w:rPr>
        <w:t>l </w:t>
      </w:r>
      <w:r>
        <w:rPr>
          <w:color w:val="3B3A3B"/>
          <w:w w:val="105"/>
          <w:sz w:val="22"/>
        </w:rPr>
        <w:t>teams,"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w w:val="105"/>
          <w:sz w:val="22"/>
        </w:rPr>
        <w:t>the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w w:val="105"/>
          <w:sz w:val="22"/>
        </w:rPr>
        <w:t>teams that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w w:val="105"/>
          <w:sz w:val="22"/>
        </w:rPr>
        <w:t>handle certain types of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w w:val="105"/>
          <w:sz w:val="22"/>
        </w:rPr>
        <w:t>plays that occur during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sz w:val="23"/>
        </w:rPr>
        <w:t>most </w:t>
      </w:r>
      <w:r>
        <w:rPr>
          <w:color w:val="3B3A3B"/>
          <w:sz w:val="22"/>
        </w:rPr>
        <w:t>games.</w:t>
      </w:r>
      <w:r>
        <w:rPr>
          <w:color w:val="3B3A3B"/>
          <w:spacing w:val="1"/>
          <w:sz w:val="22"/>
        </w:rPr>
        <w:t> </w:t>
      </w:r>
      <w:r>
        <w:rPr>
          <w:color w:val="3B3A3B"/>
          <w:sz w:val="22"/>
        </w:rPr>
        <w:t>For example,</w:t>
      </w:r>
      <w:r>
        <w:rPr>
          <w:color w:val="3B3A3B"/>
          <w:spacing w:val="1"/>
          <w:sz w:val="22"/>
        </w:rPr>
        <w:t> </w:t>
      </w:r>
      <w:r>
        <w:rPr>
          <w:color w:val="3B3A3B"/>
          <w:sz w:val="22"/>
        </w:rPr>
        <w:t>coaches</w:t>
      </w:r>
      <w:r>
        <w:rPr>
          <w:color w:val="3B3A3B"/>
          <w:spacing w:val="55"/>
          <w:sz w:val="22"/>
        </w:rPr>
        <w:t> </w:t>
      </w:r>
      <w:r>
        <w:rPr>
          <w:color w:val="3B3A3B"/>
          <w:sz w:val="22"/>
        </w:rPr>
        <w:t>will hold a separate practice for</w:t>
      </w:r>
      <w:r>
        <w:rPr>
          <w:color w:val="3B3A3B"/>
          <w:spacing w:val="55"/>
          <w:sz w:val="22"/>
        </w:rPr>
        <w:t> </w:t>
      </w:r>
      <w:r>
        <w:rPr>
          <w:color w:val="3B3A3B"/>
          <w:sz w:val="22"/>
        </w:rPr>
        <w:t>kickoffs,</w:t>
      </w:r>
      <w:r>
        <w:rPr>
          <w:color w:val="3B3A3B"/>
          <w:spacing w:val="1"/>
          <w:sz w:val="22"/>
        </w:rPr>
        <w:t> </w:t>
      </w:r>
      <w:r>
        <w:rPr>
          <w:color w:val="3B3A3B"/>
          <w:sz w:val="22"/>
        </w:rPr>
        <w:t>for </w:t>
      </w:r>
      <w:r>
        <w:rPr>
          <w:color w:val="3B3A3B"/>
          <w:w w:val="105"/>
          <w:sz w:val="22"/>
        </w:rPr>
        <w:t>kickoff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w w:val="105"/>
          <w:sz w:val="22"/>
        </w:rPr>
        <w:t>returns, and  </w:t>
      </w:r>
      <w:r>
        <w:rPr>
          <w:rFonts w:ascii="Arial" w:hAnsi="Arial"/>
          <w:color w:val="3B3A3B"/>
          <w:w w:val="105"/>
          <w:sz w:val="21"/>
        </w:rPr>
        <w:t>for  </w:t>
      </w:r>
      <w:r>
        <w:rPr>
          <w:color w:val="3B3A3B"/>
          <w:w w:val="105"/>
          <w:sz w:val="22"/>
        </w:rPr>
        <w:t>the  onside kick. Coaches do  this because each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sz w:val="22"/>
        </w:rPr>
        <w:t>of </w:t>
      </w:r>
      <w:r>
        <w:rPr>
          <w:color w:val="3B3A3B"/>
          <w:w w:val="105"/>
          <w:sz w:val="22"/>
        </w:rPr>
        <w:t>these plays presents special situations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w w:val="105"/>
          <w:sz w:val="22"/>
        </w:rPr>
        <w:t>not part of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w w:val="105"/>
          <w:sz w:val="22"/>
        </w:rPr>
        <w:t>the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w w:val="105"/>
          <w:sz w:val="22"/>
        </w:rPr>
        <w:t>regular play of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w w:val="105"/>
          <w:sz w:val="22"/>
        </w:rPr>
        <w:t>the</w:t>
      </w:r>
      <w:r>
        <w:rPr>
          <w:color w:val="3B3A3B"/>
          <w:spacing w:val="-55"/>
          <w:w w:val="105"/>
          <w:sz w:val="22"/>
        </w:rPr>
        <w:t> </w:t>
      </w:r>
      <w:r>
        <w:rPr>
          <w:color w:val="3B3A3B"/>
          <w:sz w:val="22"/>
        </w:rPr>
        <w:t>game, and</w:t>
      </w:r>
      <w:r>
        <w:rPr>
          <w:color w:val="3B3A3B"/>
          <w:spacing w:val="1"/>
          <w:sz w:val="22"/>
        </w:rPr>
        <w:t> </w:t>
      </w:r>
      <w:r>
        <w:rPr>
          <w:color w:val="3B3A3B"/>
          <w:w w:val="105"/>
          <w:sz w:val="22"/>
        </w:rPr>
        <w:t>each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w w:val="105"/>
          <w:sz w:val="22"/>
        </w:rPr>
        <w:t>has  special  rules  that govern it.  Because  these situations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sz w:val="22"/>
        </w:rPr>
        <w:t>are </w:t>
      </w:r>
      <w:r>
        <w:rPr>
          <w:color w:val="3B3A3B"/>
          <w:w w:val="105"/>
          <w:sz w:val="22"/>
        </w:rPr>
        <w:t>opportunities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w w:val="105"/>
          <w:sz w:val="22"/>
        </w:rPr>
        <w:t>to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w w:val="105"/>
          <w:sz w:val="22"/>
        </w:rPr>
        <w:t>score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w w:val="105"/>
          <w:sz w:val="22"/>
        </w:rPr>
        <w:t>points, or at least to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w w:val="105"/>
          <w:sz w:val="22"/>
        </w:rPr>
        <w:t>create opportunities to score</w:t>
      </w:r>
      <w:r>
        <w:rPr>
          <w:color w:val="3B3A3B"/>
          <w:spacing w:val="-55"/>
          <w:w w:val="105"/>
          <w:sz w:val="22"/>
        </w:rPr>
        <w:t> </w:t>
      </w:r>
      <w:r>
        <w:rPr>
          <w:color w:val="3B3A3B"/>
          <w:sz w:val="22"/>
        </w:rPr>
        <w:t>points,</w:t>
      </w:r>
      <w:r>
        <w:rPr>
          <w:color w:val="3B3A3B"/>
          <w:spacing w:val="1"/>
          <w:sz w:val="22"/>
        </w:rPr>
        <w:t> </w:t>
      </w:r>
      <w:r>
        <w:rPr>
          <w:color w:val="3B3A3B"/>
          <w:w w:val="105"/>
          <w:sz w:val="22"/>
        </w:rPr>
        <w:t>time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w w:val="105"/>
          <w:sz w:val="22"/>
        </w:rPr>
        <w:t>focused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w w:val="105"/>
          <w:sz w:val="22"/>
        </w:rPr>
        <w:t>on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w w:val="105"/>
          <w:sz w:val="22"/>
        </w:rPr>
        <w:t>special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w w:val="105"/>
          <w:sz w:val="22"/>
        </w:rPr>
        <w:t>teams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w w:val="105"/>
          <w:sz w:val="22"/>
        </w:rPr>
        <w:t>may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w w:val="105"/>
          <w:sz w:val="22"/>
        </w:rPr>
        <w:t>mean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w w:val="105"/>
          <w:sz w:val="22"/>
        </w:rPr>
        <w:t>the difference</w:t>
      </w:r>
      <w:r>
        <w:rPr>
          <w:color w:val="3B3A3B"/>
          <w:spacing w:val="1"/>
          <w:w w:val="105"/>
          <w:sz w:val="22"/>
        </w:rPr>
        <w:t> </w:t>
      </w:r>
      <w:r>
        <w:rPr>
          <w:color w:val="3B3A3B"/>
          <w:w w:val="105"/>
          <w:sz w:val="22"/>
        </w:rPr>
        <w:t>between</w:t>
      </w:r>
      <w:r>
        <w:rPr>
          <w:color w:val="3B3A3B"/>
          <w:spacing w:val="-55"/>
          <w:w w:val="105"/>
          <w:sz w:val="22"/>
        </w:rPr>
        <w:t> </w:t>
      </w:r>
      <w:r>
        <w:rPr>
          <w:color w:val="3B3A3B"/>
          <w:sz w:val="24"/>
        </w:rPr>
        <w:t>victory</w:t>
      </w:r>
      <w:r>
        <w:rPr>
          <w:color w:val="3B3A3B"/>
          <w:spacing w:val="-8"/>
          <w:sz w:val="24"/>
        </w:rPr>
        <w:t> </w:t>
      </w:r>
      <w:r>
        <w:rPr>
          <w:color w:val="3B3A3B"/>
          <w:sz w:val="22"/>
        </w:rPr>
        <w:t>and</w:t>
      </w:r>
      <w:r>
        <w:rPr>
          <w:color w:val="3B3A3B"/>
          <w:spacing w:val="4"/>
          <w:sz w:val="22"/>
        </w:rPr>
        <w:t> </w:t>
      </w:r>
      <w:r>
        <w:rPr>
          <w:color w:val="3B3A3B"/>
          <w:w w:val="105"/>
          <w:sz w:val="22"/>
        </w:rPr>
        <w:t>defeat.</w:t>
      </w:r>
    </w:p>
    <w:p>
      <w:pPr>
        <w:spacing w:after="0" w:line="242" w:lineRule="auto"/>
        <w:jc w:val="left"/>
        <w:rPr>
          <w:sz w:val="22"/>
        </w:rPr>
        <w:sectPr>
          <w:type w:val="continuous"/>
          <w:pgSz w:w="9010" w:h="13980"/>
          <w:pgMar w:header="456" w:footer="0" w:top="340" w:bottom="280" w:left="160" w:right="1240"/>
        </w:sectPr>
      </w:pPr>
    </w:p>
    <w:p>
      <w:pPr>
        <w:pStyle w:val="BodyText"/>
        <w:spacing w:line="232" w:lineRule="auto" w:before="87"/>
        <w:ind w:left="915" w:right="129" w:firstLine="420"/>
        <w:jc w:val="both"/>
      </w:pPr>
      <w:r>
        <w:rPr>
          <w:color w:val="383638"/>
          <w:w w:val="105"/>
        </w:rPr>
        <w:t>In brief writing</w:t>
      </w:r>
      <w:r>
        <w:rPr>
          <w:color w:val="545254"/>
          <w:w w:val="105"/>
        </w:rPr>
        <w:t>, </w:t>
      </w:r>
      <w:r>
        <w:rPr>
          <w:color w:val="383638"/>
          <w:w w:val="105"/>
        </w:rPr>
        <w:t>most of the attention goes, properly</w:t>
      </w:r>
      <w:r>
        <w:rPr>
          <w:color w:val="545254"/>
          <w:w w:val="105"/>
        </w:rPr>
        <w:t>, </w:t>
      </w:r>
      <w:r>
        <w:rPr>
          <w:color w:val="383638"/>
          <w:w w:val="105"/>
        </w:rPr>
        <w:t>to the argument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section. But brief writers must pay attention to their "special teams," too.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Different rules apply to various sections of the brief, and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writer must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bring different skills to bear in these sections. Furthermore, even though</w:t>
      </w:r>
      <w:r>
        <w:rPr>
          <w:color w:val="383638"/>
          <w:spacing w:val="1"/>
          <w:w w:val="105"/>
        </w:rPr>
        <w:t> </w:t>
      </w:r>
      <w:r>
        <w:rPr>
          <w:color w:val="383638"/>
          <w:spacing w:val="-1"/>
          <w:w w:val="110"/>
        </w:rPr>
        <w:t>most of these </w:t>
      </w:r>
      <w:r>
        <w:rPr>
          <w:color w:val="383638"/>
          <w:w w:val="110"/>
        </w:rPr>
        <w:t>sections are not part of the argument per se, they can have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an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impact on the argument, either by encouraging the reader to reach cer­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tain conclusions before reading the  argument or by persuading the  reader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to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take a more sympathetic view of the argument</w:t>
      </w:r>
      <w:r>
        <w:rPr>
          <w:color w:val="545254"/>
          <w:w w:val="105"/>
        </w:rPr>
        <w:t>. </w:t>
      </w:r>
      <w:r>
        <w:rPr>
          <w:color w:val="383638"/>
          <w:w w:val="105"/>
        </w:rPr>
        <w:t>Although advocacy on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behalf of a client is not a game, you can use your special teams to help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the  court to understand your arguments better. In  this way, these sections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of the document can have a significant impact on the outcome of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case</w:t>
      </w:r>
      <w:r>
        <w:rPr>
          <w:color w:val="545254"/>
          <w:w w:val="105"/>
        </w:rPr>
        <w:t>.</w:t>
      </w:r>
      <w:r>
        <w:rPr>
          <w:color w:val="545254"/>
          <w:spacing w:val="-24"/>
          <w:w w:val="105"/>
        </w:rPr>
        <w:t> </w:t>
      </w:r>
      <w:r>
        <w:rPr>
          <w:color w:val="383638"/>
          <w:w w:val="105"/>
        </w:rPr>
        <w:t>This</w:t>
      </w:r>
      <w:r>
        <w:rPr>
          <w:color w:val="383638"/>
          <w:spacing w:val="-26"/>
          <w:w w:val="105"/>
        </w:rPr>
        <w:t> </w:t>
      </w:r>
      <w:r>
        <w:rPr>
          <w:color w:val="383638"/>
          <w:w w:val="105"/>
        </w:rPr>
        <w:t>chapter</w:t>
      </w:r>
      <w:r>
        <w:rPr>
          <w:color w:val="383638"/>
          <w:spacing w:val="-3"/>
          <w:w w:val="105"/>
        </w:rPr>
        <w:t> </w:t>
      </w:r>
      <w:r>
        <w:rPr>
          <w:color w:val="383638"/>
          <w:w w:val="105"/>
        </w:rPr>
        <w:t>will</w:t>
      </w:r>
      <w:r>
        <w:rPr>
          <w:color w:val="383638"/>
          <w:spacing w:val="-14"/>
          <w:w w:val="105"/>
        </w:rPr>
        <w:t> </w:t>
      </w:r>
      <w:r>
        <w:rPr>
          <w:color w:val="383638"/>
          <w:w w:val="105"/>
        </w:rPr>
        <w:t>discuss</w:t>
      </w:r>
      <w:r>
        <w:rPr>
          <w:color w:val="383638"/>
          <w:spacing w:val="-4"/>
          <w:w w:val="105"/>
        </w:rPr>
        <w:t> </w:t>
      </w:r>
      <w:r>
        <w:rPr>
          <w:color w:val="383638"/>
          <w:w w:val="105"/>
        </w:rPr>
        <w:t>rules</w:t>
      </w:r>
      <w:r>
        <w:rPr>
          <w:color w:val="383638"/>
          <w:spacing w:val="-26"/>
          <w:w w:val="105"/>
        </w:rPr>
        <w:t> </w:t>
      </w:r>
      <w:r>
        <w:rPr>
          <w:color w:val="383638"/>
          <w:w w:val="105"/>
        </w:rPr>
        <w:t>and</w:t>
      </w:r>
      <w:r>
        <w:rPr>
          <w:color w:val="383638"/>
          <w:spacing w:val="11"/>
          <w:w w:val="105"/>
        </w:rPr>
        <w:t> </w:t>
      </w:r>
      <w:r>
        <w:rPr>
          <w:color w:val="383638"/>
          <w:w w:val="105"/>
        </w:rPr>
        <w:t>strategies</w:t>
      </w:r>
      <w:r>
        <w:rPr>
          <w:color w:val="383638"/>
          <w:spacing w:val="-11"/>
          <w:w w:val="105"/>
        </w:rPr>
        <w:t> </w:t>
      </w:r>
      <w:r>
        <w:rPr>
          <w:color w:val="383638"/>
          <w:w w:val="105"/>
        </w:rPr>
        <w:t>for writing</w:t>
      </w:r>
      <w:r>
        <w:rPr>
          <w:color w:val="383638"/>
          <w:spacing w:val="-4"/>
          <w:w w:val="105"/>
        </w:rPr>
        <w:t> </w:t>
      </w:r>
      <w:r>
        <w:rPr>
          <w:color w:val="383638"/>
          <w:w w:val="105"/>
        </w:rPr>
        <w:t>effective</w:t>
      </w:r>
      <w:r>
        <w:rPr>
          <w:color w:val="383638"/>
          <w:spacing w:val="-13"/>
          <w:w w:val="105"/>
        </w:rPr>
        <w:t> </w:t>
      </w:r>
      <w:r>
        <w:rPr>
          <w:color w:val="383638"/>
          <w:w w:val="105"/>
        </w:rPr>
        <w:t>issue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statements, fact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statements,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argument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summaries, and</w:t>
      </w:r>
      <w:r>
        <w:rPr>
          <w:color w:val="383638"/>
          <w:spacing w:val="25"/>
          <w:w w:val="110"/>
        </w:rPr>
        <w:t> </w:t>
      </w:r>
      <w:r>
        <w:rPr>
          <w:color w:val="383638"/>
          <w:w w:val="110"/>
        </w:rPr>
        <w:t>point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headings.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1"/>
        </w:rPr>
      </w:pPr>
    </w:p>
    <w:p>
      <w:pPr>
        <w:spacing w:before="0"/>
        <w:ind w:left="1446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383638"/>
          <w:w w:val="110"/>
          <w:sz w:val="32"/>
        </w:rPr>
        <w:t>9.1</w:t>
      </w:r>
    </w:p>
    <w:p>
      <w:pPr>
        <w:spacing w:before="64"/>
        <w:ind w:left="1436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383638"/>
          <w:sz w:val="26"/>
        </w:rPr>
        <w:t>WRITING</w:t>
      </w:r>
      <w:r>
        <w:rPr>
          <w:rFonts w:ascii="Arial"/>
          <w:b/>
          <w:color w:val="383638"/>
          <w:spacing w:val="28"/>
          <w:sz w:val="26"/>
        </w:rPr>
        <w:t> </w:t>
      </w:r>
      <w:r>
        <w:rPr>
          <w:rFonts w:ascii="Arial"/>
          <w:b/>
          <w:color w:val="383638"/>
          <w:sz w:val="26"/>
        </w:rPr>
        <w:t>THE</w:t>
      </w:r>
      <w:r>
        <w:rPr>
          <w:rFonts w:ascii="Arial"/>
          <w:b/>
          <w:color w:val="383638"/>
          <w:spacing w:val="15"/>
          <w:sz w:val="26"/>
        </w:rPr>
        <w:t> </w:t>
      </w:r>
      <w:r>
        <w:rPr>
          <w:rFonts w:ascii="Arial"/>
          <w:b/>
          <w:color w:val="383638"/>
          <w:sz w:val="26"/>
        </w:rPr>
        <w:t>ISSUE</w:t>
      </w:r>
      <w:r>
        <w:rPr>
          <w:rFonts w:ascii="Arial"/>
          <w:b/>
          <w:color w:val="383638"/>
          <w:spacing w:val="26"/>
          <w:sz w:val="26"/>
        </w:rPr>
        <w:t> </w:t>
      </w:r>
      <w:r>
        <w:rPr>
          <w:rFonts w:ascii="Arial"/>
          <w:b/>
          <w:color w:val="383638"/>
          <w:sz w:val="26"/>
        </w:rPr>
        <w:t>STATEMENT</w:t>
      </w:r>
    </w:p>
    <w:p>
      <w:pPr>
        <w:pStyle w:val="BodyText"/>
        <w:spacing w:line="232" w:lineRule="auto" w:before="247"/>
        <w:ind w:left="871" w:right="111" w:firstLine="551"/>
        <w:jc w:val="both"/>
      </w:pPr>
      <w:r>
        <w:rPr>
          <w:color w:val="383638"/>
          <w:w w:val="110"/>
        </w:rPr>
        <w:t>Judge Patricia Wald of the United States Court of Appeals for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District of Columbia notes that counsel should spend some time on the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issue</w:t>
      </w:r>
      <w:r>
        <w:rPr>
          <w:color w:val="383638"/>
          <w:spacing w:val="-15"/>
          <w:w w:val="110"/>
        </w:rPr>
        <w:t> </w:t>
      </w:r>
      <w:r>
        <w:rPr>
          <w:color w:val="383638"/>
          <w:spacing w:val="-1"/>
          <w:w w:val="110"/>
        </w:rPr>
        <w:t>because</w:t>
      </w:r>
      <w:r>
        <w:rPr>
          <w:color w:val="383638"/>
          <w:spacing w:val="-9"/>
          <w:w w:val="110"/>
        </w:rPr>
        <w:t> </w:t>
      </w:r>
      <w:r>
        <w:rPr>
          <w:color w:val="383638"/>
          <w:spacing w:val="-1"/>
          <w:w w:val="110"/>
        </w:rPr>
        <w:t>it</w:t>
      </w:r>
      <w:r>
        <w:rPr>
          <w:color w:val="383638"/>
          <w:spacing w:val="-6"/>
          <w:w w:val="110"/>
        </w:rPr>
        <w:t> </w:t>
      </w:r>
      <w:r>
        <w:rPr>
          <w:color w:val="383638"/>
          <w:spacing w:val="-1"/>
          <w:w w:val="110"/>
        </w:rPr>
        <w:t>"provides</w:t>
      </w:r>
      <w:r>
        <w:rPr>
          <w:color w:val="383638"/>
          <w:spacing w:val="3"/>
          <w:w w:val="110"/>
        </w:rPr>
        <w:t> </w:t>
      </w:r>
      <w:r>
        <w:rPr>
          <w:color w:val="383638"/>
          <w:spacing w:val="-1"/>
          <w:w w:val="110"/>
        </w:rPr>
        <w:t>the</w:t>
      </w:r>
      <w:r>
        <w:rPr>
          <w:color w:val="828587"/>
          <w:spacing w:val="-1"/>
          <w:w w:val="110"/>
        </w:rPr>
        <w:t>,</w:t>
      </w:r>
      <w:r>
        <w:rPr>
          <w:color w:val="383638"/>
          <w:spacing w:val="-1"/>
          <w:w w:val="110"/>
        </w:rPr>
        <w:t>lens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through which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3"/>
          <w:w w:val="110"/>
        </w:rPr>
        <w:t> </w:t>
      </w:r>
      <w:r>
        <w:rPr>
          <w:color w:val="383638"/>
          <w:w w:val="110"/>
        </w:rPr>
        <w:t>judge-reader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enters</w:t>
      </w:r>
      <w:r>
        <w:rPr>
          <w:color w:val="A5A8AA"/>
          <w:w w:val="110"/>
        </w:rPr>
        <w:t>.</w:t>
      </w:r>
    </w:p>
    <w:p>
      <w:pPr>
        <w:pStyle w:val="BodyText"/>
        <w:spacing w:line="232" w:lineRule="auto"/>
        <w:ind w:left="827" w:right="147" w:hanging="47"/>
        <w:jc w:val="both"/>
      </w:pPr>
      <w:r>
        <w:rPr>
          <w:color w:val="A5A8AA"/>
          <w:w w:val="105"/>
        </w:rPr>
        <w:t>\</w:t>
      </w:r>
      <w:r>
        <w:rPr>
          <w:color w:val="383638"/>
          <w:w w:val="105"/>
        </w:rPr>
        <w:t>the rest of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brief."</w:t>
      </w:r>
      <w:r>
        <w:rPr>
          <w:color w:val="383638"/>
          <w:w w:val="105"/>
          <w:vertAlign w:val="superscript"/>
        </w:rPr>
        <w:t>1</w:t>
      </w:r>
      <w:r>
        <w:rPr>
          <w:color w:val="383638"/>
          <w:w w:val="105"/>
          <w:vertAlign w:val="baseline"/>
        </w:rPr>
        <w:t> For most appellate judges, the issu</w:t>
      </w:r>
      <w:r>
        <w:rPr>
          <w:color w:val="545254"/>
          <w:w w:val="105"/>
          <w:vertAlign w:val="baseline"/>
        </w:rPr>
        <w:t>e</w:t>
      </w:r>
      <w:r>
        <w:rPr>
          <w:color w:val="383638"/>
          <w:w w:val="105"/>
          <w:vertAlign w:val="baseline"/>
        </w:rPr>
        <w:t>, or question pre­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sented,</w:t>
      </w:r>
      <w:r>
        <w:rPr>
          <w:color w:val="383638"/>
          <w:spacing w:val="1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provides</w:t>
      </w:r>
      <w:r>
        <w:rPr>
          <w:color w:val="383638"/>
          <w:spacing w:val="1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the</w:t>
      </w:r>
      <w:r>
        <w:rPr>
          <w:color w:val="383638"/>
          <w:spacing w:val="39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fu"stjm..age,,.Qf</w:t>
      </w:r>
      <w:r>
        <w:rPr>
          <w:color w:val="383638"/>
          <w:spacing w:val="12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tlle</w:t>
      </w:r>
      <w:r>
        <w:rPr>
          <w:color w:val="383638"/>
          <w:spacing w:val="59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s     </w:t>
      </w:r>
      <w:r>
        <w:rPr>
          <w:color w:val="383638"/>
          <w:spacing w:val="7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and</w:t>
      </w:r>
      <w:r>
        <w:rPr>
          <w:color w:val="383638"/>
          <w:spacing w:val="12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each</w:t>
      </w:r>
      <w:r>
        <w:rPr>
          <w:color w:val="383638"/>
          <w:spacing w:val="15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time</w:t>
      </w:r>
      <w:r>
        <w:rPr>
          <w:color w:val="383638"/>
          <w:spacing w:val="1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they</w:t>
      </w:r>
      <w:r>
        <w:rPr>
          <w:color w:val="383638"/>
          <w:spacing w:val="-8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consider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10"/>
          <w:vertAlign w:val="baseline"/>
        </w:rPr>
        <w:t>a new angle of the cise-6yreaclinga newbrief, they gain a new image (or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05"/>
          <w:vertAlign w:val="baseline"/>
        </w:rPr>
        <w:t>regain an old image) by reading the question presented first. Practical law­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10"/>
          <w:vertAlign w:val="baseline"/>
        </w:rPr>
        <w:t>yers exploit this opportunity and make sure that the image conveyed in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the</w:t>
      </w:r>
      <w:r>
        <w:rPr>
          <w:color w:val="383638"/>
          <w:spacing w:val="16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issue</w:t>
      </w:r>
      <w:r>
        <w:rPr>
          <w:color w:val="383638"/>
          <w:spacing w:val="-24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statement</w:t>
      </w:r>
      <w:r>
        <w:rPr>
          <w:color w:val="383638"/>
          <w:spacing w:val="-3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is</w:t>
      </w:r>
      <w:r>
        <w:rPr>
          <w:color w:val="383638"/>
          <w:spacing w:val="-17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one</w:t>
      </w:r>
      <w:r>
        <w:rPr>
          <w:color w:val="383638"/>
          <w:spacing w:val="16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that</w:t>
      </w:r>
      <w:r>
        <w:rPr>
          <w:color w:val="383638"/>
          <w:spacing w:val="-7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they</w:t>
      </w:r>
      <w:r>
        <w:rPr>
          <w:color w:val="383638"/>
          <w:spacing w:val="-7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want</w:t>
      </w:r>
      <w:r>
        <w:rPr>
          <w:color w:val="383638"/>
          <w:spacing w:val="5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the</w:t>
      </w:r>
      <w:r>
        <w:rPr>
          <w:color w:val="383638"/>
          <w:spacing w:val="15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court</w:t>
      </w:r>
      <w:r>
        <w:rPr>
          <w:color w:val="383638"/>
          <w:spacing w:val="3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to</w:t>
      </w:r>
      <w:r>
        <w:rPr>
          <w:color w:val="383638"/>
          <w:spacing w:val="-4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see.</w:t>
      </w:r>
    </w:p>
    <w:p>
      <w:pPr>
        <w:pStyle w:val="BodyText"/>
        <w:spacing w:line="232" w:lineRule="auto"/>
        <w:ind w:left="774" w:right="167" w:firstLine="409"/>
        <w:jc w:val="both"/>
      </w:pPr>
      <w:r>
        <w:rPr>
          <w:color w:val="383638"/>
          <w:w w:val="110"/>
        </w:rPr>
        <w:t>Writers of motion briefs may articulate the issue in a short paragraph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under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heading "Introduction" or "Preliminary Statement." In con­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trast, writers of appellate briefs, and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of some motion briefs, write a formal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question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presented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crystallizes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8"/>
          <w:w w:val="110"/>
        </w:rPr>
        <w:t> </w:t>
      </w:r>
      <w:r>
        <w:rPr>
          <w:color w:val="383638"/>
          <w:w w:val="110"/>
        </w:rPr>
        <w:t>issue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one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sentence.</w:t>
      </w:r>
    </w:p>
    <w:p>
      <w:pPr>
        <w:pStyle w:val="BodyText"/>
        <w:spacing w:before="7"/>
        <w:rPr>
          <w:sz w:val="33"/>
        </w:rPr>
      </w:pPr>
    </w:p>
    <w:p>
      <w:pPr>
        <w:spacing w:before="0"/>
        <w:ind w:left="1091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83638"/>
          <w:w w:val="110"/>
          <w:sz w:val="28"/>
        </w:rPr>
        <w:t>9.1.1</w:t>
      </w:r>
    </w:p>
    <w:p>
      <w:pPr>
        <w:spacing w:before="33"/>
        <w:ind w:left="1073" w:right="0" w:firstLine="0"/>
        <w:jc w:val="left"/>
        <w:rPr>
          <w:rFonts w:ascii="Arial"/>
          <w:sz w:val="22"/>
        </w:rPr>
      </w:pPr>
      <w:r>
        <w:rPr>
          <w:rFonts w:ascii="Arial"/>
          <w:color w:val="383638"/>
          <w:w w:val="105"/>
          <w:sz w:val="22"/>
        </w:rPr>
        <w:t>MOTION</w:t>
      </w:r>
      <w:r>
        <w:rPr>
          <w:rFonts w:ascii="Arial"/>
          <w:color w:val="383638"/>
          <w:spacing w:val="19"/>
          <w:w w:val="105"/>
          <w:sz w:val="22"/>
        </w:rPr>
        <w:t> </w:t>
      </w:r>
      <w:r>
        <w:rPr>
          <w:rFonts w:ascii="Arial"/>
          <w:color w:val="383638"/>
          <w:w w:val="105"/>
          <w:sz w:val="22"/>
        </w:rPr>
        <w:t>BRIEF</w:t>
      </w:r>
      <w:r>
        <w:rPr>
          <w:rFonts w:ascii="Arial"/>
          <w:color w:val="383638"/>
          <w:spacing w:val="29"/>
          <w:w w:val="105"/>
          <w:sz w:val="22"/>
        </w:rPr>
        <w:t> </w:t>
      </w:r>
      <w:r>
        <w:rPr>
          <w:rFonts w:ascii="Arial"/>
          <w:color w:val="383638"/>
          <w:w w:val="105"/>
          <w:sz w:val="22"/>
        </w:rPr>
        <w:t>INTRODUCTIONS</w:t>
      </w:r>
    </w:p>
    <w:p>
      <w:pPr>
        <w:pStyle w:val="BodyText"/>
        <w:spacing w:line="232" w:lineRule="auto" w:before="150"/>
        <w:ind w:left="657" w:right="173" w:firstLine="416"/>
        <w:jc w:val="both"/>
      </w:pPr>
      <w:r>
        <w:rPr>
          <w:color w:val="383638"/>
          <w:w w:val="110"/>
        </w:rPr>
        <w:t>The introduction in a motion brief presents the issue in its legal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factual context. In  the introduction,  you should inform  the court about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issue or issues before it and about the precise procedural step you are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asking it to take. The introduction should be specific, mentioning parties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by name, not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just by procedural status</w:t>
      </w:r>
      <w:r>
        <w:rPr>
          <w:color w:val="545254"/>
          <w:w w:val="110"/>
        </w:rPr>
        <w:t>, </w:t>
      </w:r>
      <w:r>
        <w:rPr>
          <w:color w:val="383638"/>
          <w:w w:val="110"/>
        </w:rPr>
        <w:t>and clarifying the issue that Is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before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7"/>
          <w:w w:val="110"/>
        </w:rPr>
        <w:t> </w:t>
      </w:r>
      <w:r>
        <w:rPr>
          <w:color w:val="383638"/>
          <w:w w:val="110"/>
        </w:rPr>
        <w:t>court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on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motion:</w:t>
      </w:r>
    </w:p>
    <w:p>
      <w:pPr>
        <w:pStyle w:val="BodyText"/>
        <w:spacing w:before="3"/>
        <w:rPr>
          <w:sz w:val="26"/>
        </w:rPr>
      </w:pPr>
    </w:p>
    <w:p>
      <w:pPr>
        <w:spacing w:before="1"/>
        <w:ind w:left="990" w:right="0" w:firstLine="0"/>
        <w:jc w:val="left"/>
        <w:rPr>
          <w:sz w:val="18"/>
        </w:rPr>
      </w:pPr>
      <w:r>
        <w:rPr>
          <w:color w:val="383638"/>
          <w:position w:val="5"/>
          <w:sz w:val="11"/>
        </w:rPr>
        <w:t>1</w:t>
      </w:r>
      <w:r>
        <w:rPr>
          <w:color w:val="383638"/>
          <w:spacing w:val="-15"/>
          <w:position w:val="5"/>
          <w:sz w:val="11"/>
        </w:rPr>
        <w:t> </w:t>
      </w:r>
      <w:r>
        <w:rPr>
          <w:color w:val="383638"/>
          <w:sz w:val="18"/>
        </w:rPr>
        <w:t>Patricia</w:t>
      </w:r>
      <w:r>
        <w:rPr>
          <w:color w:val="383638"/>
          <w:spacing w:val="15"/>
          <w:sz w:val="18"/>
        </w:rPr>
        <w:t> </w:t>
      </w:r>
      <w:r>
        <w:rPr>
          <w:color w:val="383638"/>
          <w:sz w:val="18"/>
        </w:rPr>
        <w:t>M.</w:t>
      </w:r>
      <w:r>
        <w:rPr>
          <w:color w:val="383638"/>
          <w:spacing w:val="31"/>
          <w:sz w:val="18"/>
        </w:rPr>
        <w:t> </w:t>
      </w:r>
      <w:r>
        <w:rPr>
          <w:color w:val="383638"/>
          <w:sz w:val="18"/>
        </w:rPr>
        <w:t>Wald,</w:t>
      </w:r>
      <w:r>
        <w:rPr>
          <w:color w:val="383638"/>
          <w:spacing w:val="17"/>
          <w:sz w:val="18"/>
        </w:rPr>
        <w:t> </w:t>
      </w:r>
      <w:r>
        <w:rPr>
          <w:i/>
          <w:color w:val="383638"/>
          <w:sz w:val="17"/>
        </w:rPr>
        <w:t>19</w:t>
      </w:r>
      <w:r>
        <w:rPr>
          <w:i/>
          <w:color w:val="383638"/>
          <w:spacing w:val="37"/>
          <w:sz w:val="17"/>
        </w:rPr>
        <w:t> </w:t>
      </w:r>
      <w:r>
        <w:rPr>
          <w:i/>
          <w:color w:val="383638"/>
          <w:sz w:val="17"/>
        </w:rPr>
        <w:t>Tips</w:t>
      </w:r>
      <w:r>
        <w:rPr>
          <w:i/>
          <w:color w:val="383638"/>
          <w:spacing w:val="23"/>
          <w:sz w:val="17"/>
        </w:rPr>
        <w:t> </w:t>
      </w:r>
      <w:r>
        <w:rPr>
          <w:i/>
          <w:color w:val="383638"/>
          <w:sz w:val="17"/>
        </w:rPr>
        <w:t>from</w:t>
      </w:r>
      <w:r>
        <w:rPr>
          <w:i/>
          <w:color w:val="383638"/>
          <w:spacing w:val="14"/>
          <w:sz w:val="17"/>
        </w:rPr>
        <w:t> </w:t>
      </w:r>
      <w:r>
        <w:rPr>
          <w:i/>
          <w:color w:val="383638"/>
          <w:sz w:val="17"/>
        </w:rPr>
        <w:t>19</w:t>
      </w:r>
      <w:r>
        <w:rPr>
          <w:i/>
          <w:color w:val="383638"/>
          <w:spacing w:val="36"/>
          <w:sz w:val="17"/>
        </w:rPr>
        <w:t> </w:t>
      </w:r>
      <w:r>
        <w:rPr>
          <w:i/>
          <w:color w:val="383638"/>
          <w:sz w:val="17"/>
        </w:rPr>
        <w:t>Years</w:t>
      </w:r>
      <w:r>
        <w:rPr>
          <w:i/>
          <w:color w:val="383638"/>
          <w:spacing w:val="-2"/>
          <w:sz w:val="17"/>
        </w:rPr>
        <w:t> </w:t>
      </w:r>
      <w:r>
        <w:rPr>
          <w:i/>
          <w:color w:val="383638"/>
          <w:sz w:val="17"/>
        </w:rPr>
        <w:t>on</w:t>
      </w:r>
      <w:r>
        <w:rPr>
          <w:i/>
          <w:color w:val="383638"/>
          <w:spacing w:val="36"/>
          <w:sz w:val="17"/>
        </w:rPr>
        <w:t> </w:t>
      </w:r>
      <w:r>
        <w:rPr>
          <w:i/>
          <w:color w:val="383638"/>
          <w:sz w:val="17"/>
        </w:rPr>
        <w:t>the</w:t>
      </w:r>
      <w:r>
        <w:rPr>
          <w:i/>
          <w:color w:val="383638"/>
          <w:spacing w:val="35"/>
          <w:sz w:val="17"/>
        </w:rPr>
        <w:t> </w:t>
      </w:r>
      <w:r>
        <w:rPr>
          <w:i/>
          <w:color w:val="383638"/>
          <w:sz w:val="17"/>
        </w:rPr>
        <w:t>Appellate</w:t>
      </w:r>
      <w:r>
        <w:rPr>
          <w:i/>
          <w:color w:val="383638"/>
          <w:spacing w:val="22"/>
          <w:sz w:val="17"/>
        </w:rPr>
        <w:t> </w:t>
      </w:r>
      <w:r>
        <w:rPr>
          <w:i/>
          <w:color w:val="383638"/>
          <w:sz w:val="17"/>
        </w:rPr>
        <w:t>Bench, </w:t>
      </w:r>
      <w:r>
        <w:rPr>
          <w:color w:val="383638"/>
          <w:sz w:val="18"/>
        </w:rPr>
        <w:t>1</w:t>
      </w:r>
      <w:r>
        <w:rPr>
          <w:color w:val="383638"/>
          <w:spacing w:val="1"/>
          <w:sz w:val="18"/>
        </w:rPr>
        <w:t> </w:t>
      </w:r>
      <w:r>
        <w:rPr>
          <w:color w:val="383638"/>
          <w:sz w:val="21"/>
        </w:rPr>
        <w:t>J.</w:t>
      </w:r>
      <w:r>
        <w:rPr>
          <w:color w:val="383638"/>
          <w:spacing w:val="-16"/>
          <w:sz w:val="21"/>
        </w:rPr>
        <w:t> </w:t>
      </w:r>
      <w:r>
        <w:rPr>
          <w:color w:val="383638"/>
          <w:sz w:val="18"/>
        </w:rPr>
        <w:t>App</w:t>
      </w:r>
      <w:r>
        <w:rPr>
          <w:color w:val="545254"/>
          <w:sz w:val="18"/>
        </w:rPr>
        <w:t>.</w:t>
      </w:r>
      <w:r>
        <w:rPr>
          <w:color w:val="545254"/>
          <w:spacing w:val="22"/>
          <w:sz w:val="18"/>
        </w:rPr>
        <w:t> </w:t>
      </w:r>
      <w:r>
        <w:rPr>
          <w:color w:val="383638"/>
          <w:sz w:val="18"/>
        </w:rPr>
        <w:t>Prac</w:t>
      </w:r>
      <w:r>
        <w:rPr>
          <w:color w:val="545254"/>
          <w:sz w:val="18"/>
        </w:rPr>
        <w:t>.</w:t>
      </w:r>
      <w:r>
        <w:rPr>
          <w:color w:val="545254"/>
          <w:spacing w:val="7"/>
          <w:sz w:val="18"/>
        </w:rPr>
        <w:t> </w:t>
      </w:r>
      <w:r>
        <w:rPr>
          <w:rFonts w:ascii="Arial"/>
          <w:color w:val="383638"/>
          <w:sz w:val="16"/>
        </w:rPr>
        <w:t>&amp;.</w:t>
      </w:r>
      <w:r>
        <w:rPr>
          <w:rFonts w:ascii="Arial"/>
          <w:color w:val="383638"/>
          <w:spacing w:val="2"/>
          <w:sz w:val="16"/>
        </w:rPr>
        <w:t> </w:t>
      </w:r>
      <w:r>
        <w:rPr>
          <w:color w:val="383638"/>
          <w:sz w:val="18"/>
        </w:rPr>
        <w:t>Process</w:t>
      </w:r>
      <w:r>
        <w:rPr>
          <w:color w:val="383638"/>
          <w:spacing w:val="11"/>
          <w:sz w:val="18"/>
        </w:rPr>
        <w:t> </w:t>
      </w:r>
      <w:r>
        <w:rPr>
          <w:color w:val="383638"/>
          <w:sz w:val="18"/>
        </w:rPr>
        <w:t>7,</w:t>
      </w:r>
      <w:r>
        <w:rPr>
          <w:color w:val="383638"/>
          <w:spacing w:val="-12"/>
          <w:sz w:val="18"/>
        </w:rPr>
        <w:t> </w:t>
      </w:r>
      <w:r>
        <w:rPr>
          <w:color w:val="383638"/>
          <w:sz w:val="18"/>
        </w:rPr>
        <w:t>12</w:t>
      </w:r>
    </w:p>
    <w:p>
      <w:pPr>
        <w:spacing w:before="25"/>
        <w:ind w:left="595" w:right="0" w:firstLine="0"/>
        <w:jc w:val="left"/>
        <w:rPr>
          <w:rFonts w:ascii="Arial"/>
          <w:i/>
          <w:sz w:val="15"/>
        </w:rPr>
      </w:pPr>
      <w:r>
        <w:rPr>
          <w:rFonts w:ascii="Arial"/>
          <w:i/>
          <w:color w:val="383638"/>
          <w:w w:val="115"/>
          <w:sz w:val="15"/>
        </w:rPr>
        <w:t>(1999)</w:t>
      </w:r>
      <w:r>
        <w:rPr>
          <w:rFonts w:ascii="Arial"/>
          <w:i/>
          <w:color w:val="545254"/>
          <w:w w:val="115"/>
          <w:sz w:val="15"/>
        </w:rPr>
        <w:t>.</w:t>
      </w:r>
    </w:p>
    <w:p>
      <w:pPr>
        <w:spacing w:after="0"/>
        <w:jc w:val="left"/>
        <w:rPr>
          <w:rFonts w:ascii="Arial"/>
          <w:sz w:val="15"/>
        </w:rPr>
        <w:sectPr>
          <w:pgSz w:w="9860" w:h="14000"/>
          <w:pgMar w:header="456" w:footer="0" w:top="1040" w:bottom="0" w:left="1360" w:right="100"/>
        </w:sectPr>
      </w:pPr>
    </w:p>
    <w:p>
      <w:pPr>
        <w:pStyle w:val="BodyText"/>
        <w:spacing w:before="6"/>
        <w:rPr>
          <w:rFonts w:ascii="Arial"/>
          <w:i/>
          <w:sz w:val="14"/>
        </w:rPr>
      </w:pPr>
    </w:p>
    <w:p>
      <w:pPr>
        <w:spacing w:before="1"/>
        <w:ind w:left="103" w:right="0" w:firstLine="0"/>
        <w:jc w:val="both"/>
        <w:rPr>
          <w:rFonts w:ascii="Arial"/>
          <w:sz w:val="15"/>
        </w:rPr>
      </w:pPr>
      <w:r>
        <w:rPr>
          <w:rFonts w:ascii="Arial"/>
          <w:color w:val="383638"/>
          <w:w w:val="105"/>
          <w:sz w:val="15"/>
          <w:u w:val="thick" w:color="383638"/>
        </w:rPr>
        <w:t>.:sj.JAD</w:t>
      </w:r>
      <w:r>
        <w:rPr>
          <w:rFonts w:ascii="Arial"/>
          <w:color w:val="383638"/>
          <w:spacing w:val="1"/>
          <w:w w:val="105"/>
          <w:sz w:val="15"/>
          <w:u w:val="thick" w:color="383638"/>
        </w:rPr>
        <w:t> </w:t>
      </w:r>
      <w:r>
        <w:rPr>
          <w:rFonts w:ascii="Arial"/>
          <w:color w:val="383638"/>
          <w:w w:val="105"/>
          <w:sz w:val="15"/>
          <w:u w:val="thick" w:color="383638"/>
        </w:rPr>
        <w:t>EXAMPLE</w:t>
      </w:r>
    </w:p>
    <w:p>
      <w:pPr>
        <w:spacing w:line="232" w:lineRule="auto" w:before="76"/>
        <w:ind w:left="466" w:right="1011" w:hanging="9"/>
        <w:jc w:val="both"/>
        <w:rPr>
          <w:b/>
          <w:sz w:val="21"/>
        </w:rPr>
      </w:pPr>
      <w:r>
        <w:rPr>
          <w:color w:val="383638"/>
          <w:w w:val="110"/>
          <w:sz w:val="21"/>
        </w:rPr>
        <w:t>This motion arises out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of a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Title VII action. Defendant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has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filed a</w:t>
      </w:r>
      <w:r>
        <w:rPr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motion to dismiss because the Plaintiff has failed to state a claim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05"/>
          <w:sz w:val="21"/>
        </w:rPr>
        <w:t>upon which relief can be granted under Fed. </w:t>
      </w:r>
      <w:r>
        <w:rPr>
          <w:b/>
          <w:color w:val="2A2628"/>
          <w:w w:val="105"/>
          <w:sz w:val="21"/>
        </w:rPr>
        <w:t>R. </w:t>
      </w:r>
      <w:r>
        <w:rPr>
          <w:b/>
          <w:color w:val="383638"/>
          <w:w w:val="105"/>
          <w:sz w:val="21"/>
        </w:rPr>
        <w:t>Civ. P. 12(b)(6). This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memorandum</w:t>
      </w:r>
      <w:r>
        <w:rPr>
          <w:b/>
          <w:color w:val="383638"/>
          <w:spacing w:val="6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is</w:t>
      </w:r>
      <w:r>
        <w:rPr>
          <w:b/>
          <w:color w:val="383638"/>
          <w:spacing w:val="10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filed</w:t>
      </w:r>
      <w:r>
        <w:rPr>
          <w:b/>
          <w:color w:val="383638"/>
          <w:spacing w:val="3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in</w:t>
      </w:r>
      <w:r>
        <w:rPr>
          <w:b/>
          <w:color w:val="383638"/>
          <w:spacing w:val="6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support</w:t>
      </w:r>
      <w:r>
        <w:rPr>
          <w:b/>
          <w:color w:val="383638"/>
          <w:spacing w:val="-1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of</w:t>
      </w:r>
      <w:r>
        <w:rPr>
          <w:b/>
          <w:color w:val="383638"/>
          <w:spacing w:val="37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Defendant's</w:t>
      </w:r>
      <w:r>
        <w:rPr>
          <w:b/>
          <w:color w:val="383638"/>
          <w:spacing w:val="1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Motion.</w:t>
      </w:r>
    </w:p>
    <w:p>
      <w:pPr>
        <w:pStyle w:val="BodyText"/>
        <w:spacing w:line="235" w:lineRule="auto" w:before="141"/>
        <w:ind w:left="157" w:right="622" w:hanging="9"/>
        <w:jc w:val="both"/>
      </w:pPr>
      <w:r>
        <w:rPr>
          <w:color w:val="383638"/>
          <w:spacing w:val="-1"/>
          <w:w w:val="110"/>
        </w:rPr>
        <w:t>This </w:t>
      </w:r>
      <w:r>
        <w:rPr>
          <w:color w:val="383638"/>
          <w:w w:val="110"/>
        </w:rPr>
        <w:t>introduction provides bare procedural information in that it tells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court that it is being asked to grant a motion to dismiss a Title </w:t>
      </w:r>
      <w:r>
        <w:rPr>
          <w:color w:val="383638"/>
          <w:w w:val="110"/>
          <w:sz w:val="21"/>
        </w:rPr>
        <w:t>Vll </w:t>
      </w:r>
      <w:r>
        <w:rPr>
          <w:color w:val="383638"/>
          <w:w w:val="110"/>
        </w:rPr>
        <w:t>action.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It</w:t>
      </w:r>
      <w:r>
        <w:rPr>
          <w:color w:val="383638"/>
          <w:spacing w:val="-39"/>
          <w:w w:val="110"/>
        </w:rPr>
        <w:t> </w:t>
      </w:r>
      <w:r>
        <w:rPr>
          <w:color w:val="383638"/>
          <w:w w:val="110"/>
        </w:rPr>
        <w:t>does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not,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however,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clarify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narrow</w:t>
      </w:r>
      <w:r>
        <w:rPr>
          <w:color w:val="383638"/>
          <w:spacing w:val="-23"/>
          <w:w w:val="110"/>
        </w:rPr>
        <w:t> </w:t>
      </w:r>
      <w:r>
        <w:rPr>
          <w:color w:val="383638"/>
          <w:w w:val="110"/>
        </w:rPr>
        <w:t>issue</w:t>
      </w:r>
      <w:r>
        <w:rPr>
          <w:color w:val="383638"/>
          <w:spacing w:val="-26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24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-34"/>
          <w:w w:val="110"/>
        </w:rPr>
        <w:t> </w:t>
      </w:r>
      <w:r>
        <w:rPr>
          <w:color w:val="383638"/>
          <w:w w:val="110"/>
        </w:rPr>
        <w:t>before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court,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iden­</w:t>
      </w:r>
      <w:r>
        <w:rPr>
          <w:color w:val="383638"/>
          <w:spacing w:val="-61"/>
          <w:w w:val="110"/>
        </w:rPr>
        <w:t> </w:t>
      </w:r>
      <w:r>
        <w:rPr>
          <w:color w:val="2A2628"/>
          <w:w w:val="110"/>
          <w:sz w:val="22"/>
        </w:rPr>
        <w:t>tify </w:t>
      </w:r>
      <w:r>
        <w:rPr>
          <w:color w:val="383638"/>
          <w:w w:val="110"/>
        </w:rPr>
        <w:t>facts needed for context, or name the specific grounds for the defen­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dant's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motion:</w:t>
      </w:r>
    </w:p>
    <w:p>
      <w:pPr>
        <w:pStyle w:val="BodyText"/>
        <w:spacing w:before="1"/>
        <w:rPr>
          <w:sz w:val="10"/>
        </w:rPr>
      </w:pPr>
    </w:p>
    <w:p>
      <w:pPr>
        <w:spacing w:before="94"/>
        <w:ind w:left="158" w:right="0" w:firstLine="0"/>
        <w:jc w:val="left"/>
        <w:rPr>
          <w:b/>
          <w:sz w:val="16"/>
        </w:rPr>
      </w:pPr>
      <w:r>
        <w:rPr>
          <w:rFonts w:ascii="Arial"/>
          <w:color w:val="383638"/>
          <w:spacing w:val="-1"/>
          <w:sz w:val="14"/>
          <w:u w:val="thick" w:color="383638"/>
        </w:rPr>
        <w:t>_/\</w:t>
      </w:r>
      <w:r>
        <w:rPr>
          <w:rFonts w:ascii="Arial"/>
          <w:color w:val="383638"/>
          <w:spacing w:val="24"/>
          <w:sz w:val="14"/>
          <w:u w:val="thick" w:color="383638"/>
        </w:rPr>
        <w:t> </w:t>
      </w:r>
      <w:r>
        <w:rPr>
          <w:rFonts w:ascii="Arial"/>
          <w:color w:val="383638"/>
          <w:spacing w:val="-1"/>
          <w:sz w:val="14"/>
          <w:u w:val="thick" w:color="383638"/>
        </w:rPr>
        <w:t>GOOD</w:t>
      </w:r>
      <w:r>
        <w:rPr>
          <w:rFonts w:ascii="Arial"/>
          <w:color w:val="383638"/>
          <w:spacing w:val="-9"/>
          <w:sz w:val="14"/>
          <w:u w:val="thick" w:color="383638"/>
        </w:rPr>
        <w:t> </w:t>
      </w:r>
      <w:r>
        <w:rPr>
          <w:b/>
          <w:color w:val="383638"/>
          <w:spacing w:val="-1"/>
          <w:sz w:val="16"/>
          <w:u w:val="thick" w:color="383638"/>
        </w:rPr>
        <w:t>EXAMPLE</w:t>
      </w:r>
    </w:p>
    <w:p>
      <w:pPr>
        <w:spacing w:line="235" w:lineRule="auto" w:before="72"/>
        <w:ind w:left="466" w:right="910" w:firstLine="1"/>
        <w:jc w:val="both"/>
        <w:rPr>
          <w:sz w:val="21"/>
        </w:rPr>
      </w:pPr>
      <w:r>
        <w:rPr>
          <w:color w:val="383638"/>
          <w:w w:val="105"/>
          <w:sz w:val="21"/>
        </w:rPr>
        <w:t>This </w:t>
      </w:r>
      <w:r>
        <w:rPr>
          <w:b/>
          <w:color w:val="383638"/>
          <w:w w:val="105"/>
          <w:sz w:val="21"/>
        </w:rPr>
        <w:t>Motion arises out of an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action alleging sexual harassment under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Title VII, 42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U</w:t>
      </w:r>
      <w:r>
        <w:rPr>
          <w:b/>
          <w:color w:val="565657"/>
          <w:w w:val="105"/>
          <w:sz w:val="21"/>
        </w:rPr>
        <w:t>.</w:t>
      </w:r>
      <w:r>
        <w:rPr>
          <w:b/>
          <w:color w:val="383638"/>
          <w:w w:val="105"/>
          <w:sz w:val="21"/>
        </w:rPr>
        <w:t>S.C. §2000e-2. Plaintiff Lynda Garrett alleges Title </w:t>
      </w:r>
      <w:r>
        <w:rPr>
          <w:b/>
          <w:color w:val="383638"/>
          <w:w w:val="105"/>
          <w:sz w:val="20"/>
        </w:rPr>
        <w:t>VII</w:t>
      </w:r>
      <w:r>
        <w:rPr>
          <w:b/>
          <w:color w:val="383638"/>
          <w:spacing w:val="1"/>
          <w:w w:val="105"/>
          <w:sz w:val="20"/>
        </w:rPr>
        <w:t> </w:t>
      </w:r>
      <w:r>
        <w:rPr>
          <w:b/>
          <w:color w:val="383638"/>
          <w:w w:val="110"/>
          <w:sz w:val="21"/>
        </w:rPr>
        <w:t>violations by Defendants Gary Kirkby, her supervisor, and Marvin­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Kobacker, their mutual </w:t>
      </w:r>
      <w:r>
        <w:rPr>
          <w:b/>
          <w:color w:val="2A2628"/>
          <w:w w:val="110"/>
          <w:sz w:val="21"/>
        </w:rPr>
        <w:t>employer. </w:t>
      </w:r>
      <w:r>
        <w:rPr>
          <w:b/>
          <w:color w:val="383638"/>
          <w:w w:val="110"/>
          <w:sz w:val="21"/>
        </w:rPr>
        <w:t>Defendant Gary Kirkby has </w:t>
      </w:r>
      <w:r>
        <w:rPr>
          <w:color w:val="383638"/>
          <w:w w:val="110"/>
          <w:sz w:val="21"/>
        </w:rPr>
        <w:t>filed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this Motion to Dismiss as to himself alone under Fed. R.Civ. P</w:t>
      </w:r>
      <w:r>
        <w:rPr>
          <w:color w:val="565657"/>
          <w:w w:val="110"/>
          <w:sz w:val="21"/>
        </w:rPr>
        <w:t>. </w:t>
      </w:r>
      <w:r>
        <w:rPr>
          <w:color w:val="383638"/>
          <w:w w:val="110"/>
          <w:sz w:val="21"/>
        </w:rPr>
        <w:t>12(b)(6).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The Complaint fails to state a claim upon which relief can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be granted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against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Defendant  Kirkby because he  is a  supervisor and  cannot be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held individually liable as an "employer" under 42 U.S</w:t>
      </w:r>
      <w:r>
        <w:rPr>
          <w:color w:val="565657"/>
          <w:w w:val="110"/>
          <w:sz w:val="21"/>
        </w:rPr>
        <w:t>.</w:t>
      </w:r>
      <w:r>
        <w:rPr>
          <w:color w:val="383638"/>
          <w:w w:val="110"/>
          <w:sz w:val="21"/>
        </w:rPr>
        <w:t>C. §2000e(b).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This</w:t>
      </w:r>
      <w:r>
        <w:rPr>
          <w:color w:val="383638"/>
          <w:spacing w:val="-6"/>
          <w:w w:val="110"/>
          <w:sz w:val="21"/>
        </w:rPr>
        <w:t> </w:t>
      </w:r>
      <w:r>
        <w:rPr>
          <w:color w:val="383638"/>
          <w:w w:val="110"/>
          <w:sz w:val="21"/>
        </w:rPr>
        <w:t>Memorandum</w:t>
      </w:r>
      <w:r>
        <w:rPr>
          <w:color w:val="383638"/>
          <w:spacing w:val="23"/>
          <w:w w:val="110"/>
          <w:sz w:val="21"/>
        </w:rPr>
        <w:t> </w:t>
      </w:r>
      <w:r>
        <w:rPr>
          <w:color w:val="2A2628"/>
          <w:w w:val="110"/>
          <w:sz w:val="21"/>
        </w:rPr>
        <w:t>is</w:t>
      </w:r>
      <w:r>
        <w:rPr>
          <w:color w:val="2A2628"/>
          <w:spacing w:val="-2"/>
          <w:w w:val="110"/>
          <w:sz w:val="21"/>
        </w:rPr>
        <w:t> </w:t>
      </w:r>
      <w:r>
        <w:rPr>
          <w:color w:val="383638"/>
          <w:w w:val="110"/>
          <w:sz w:val="21"/>
        </w:rPr>
        <w:t>filed</w:t>
      </w:r>
      <w:r>
        <w:rPr>
          <w:color w:val="383638"/>
          <w:spacing w:val="11"/>
          <w:w w:val="110"/>
          <w:sz w:val="21"/>
        </w:rPr>
        <w:t> </w:t>
      </w:r>
      <w:r>
        <w:rPr>
          <w:color w:val="383638"/>
          <w:w w:val="110"/>
          <w:sz w:val="21"/>
        </w:rPr>
        <w:t>in</w:t>
      </w:r>
      <w:r>
        <w:rPr>
          <w:color w:val="383638"/>
          <w:spacing w:val="5"/>
          <w:w w:val="110"/>
          <w:sz w:val="21"/>
        </w:rPr>
        <w:t> </w:t>
      </w:r>
      <w:r>
        <w:rPr>
          <w:color w:val="383638"/>
          <w:w w:val="110"/>
          <w:sz w:val="21"/>
        </w:rPr>
        <w:t>support</w:t>
      </w:r>
      <w:r>
        <w:rPr>
          <w:color w:val="383638"/>
          <w:spacing w:val="4"/>
          <w:w w:val="110"/>
          <w:sz w:val="21"/>
        </w:rPr>
        <w:t> </w:t>
      </w:r>
      <w:r>
        <w:rPr>
          <w:color w:val="383638"/>
          <w:w w:val="110"/>
          <w:sz w:val="21"/>
        </w:rPr>
        <w:t>of</w:t>
      </w:r>
      <w:r>
        <w:rPr>
          <w:color w:val="383638"/>
          <w:spacing w:val="27"/>
          <w:w w:val="110"/>
          <w:sz w:val="21"/>
        </w:rPr>
        <w:t> </w:t>
      </w:r>
      <w:r>
        <w:rPr>
          <w:color w:val="383638"/>
          <w:w w:val="110"/>
          <w:sz w:val="21"/>
        </w:rPr>
        <w:t>Mr.</w:t>
      </w:r>
      <w:r>
        <w:rPr>
          <w:color w:val="383638"/>
          <w:spacing w:val="-5"/>
          <w:w w:val="110"/>
          <w:sz w:val="21"/>
        </w:rPr>
        <w:t> </w:t>
      </w:r>
      <w:r>
        <w:rPr>
          <w:color w:val="383638"/>
          <w:w w:val="110"/>
          <w:sz w:val="21"/>
        </w:rPr>
        <w:t>Kirkby's</w:t>
      </w:r>
      <w:r>
        <w:rPr>
          <w:color w:val="383638"/>
          <w:spacing w:val="10"/>
          <w:w w:val="110"/>
          <w:sz w:val="21"/>
        </w:rPr>
        <w:t> </w:t>
      </w:r>
      <w:r>
        <w:rPr>
          <w:color w:val="383638"/>
          <w:w w:val="110"/>
          <w:sz w:val="21"/>
        </w:rPr>
        <w:t>Motion.</w:t>
      </w:r>
    </w:p>
    <w:p>
      <w:pPr>
        <w:pStyle w:val="BodyText"/>
        <w:spacing w:line="230" w:lineRule="auto" w:before="158"/>
        <w:ind w:left="167" w:right="432" w:hanging="9"/>
      </w:pPr>
      <w:r>
        <w:rPr>
          <w:color w:val="383638"/>
          <w:w w:val="110"/>
        </w:rPr>
        <w:t>This introduction tells the reader that this is a sexual harassment case, 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just a Title VII case. </w:t>
      </w:r>
      <w:r>
        <w:rPr>
          <w:color w:val="383638"/>
          <w:w w:val="110"/>
          <w:sz w:val="22"/>
        </w:rPr>
        <w:t>It </w:t>
      </w:r>
      <w:r>
        <w:rPr>
          <w:color w:val="383638"/>
          <w:w w:val="110"/>
        </w:rPr>
        <w:t>reveals that the ground for the motion is </w:t>
      </w:r>
      <w:r>
        <w:rPr>
          <w:color w:val="2A2628"/>
          <w:w w:val="110"/>
        </w:rPr>
        <w:t>the </w:t>
      </w:r>
      <w:r>
        <w:rPr>
          <w:color w:val="383638"/>
          <w:w w:val="110"/>
        </w:rPr>
        <w:t>asse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tion that supervisors cannot be held individually liable as "employers." In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addition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47"/>
          <w:w w:val="110"/>
        </w:rPr>
        <w:t> </w:t>
      </w:r>
      <w:r>
        <w:rPr>
          <w:color w:val="383638"/>
          <w:w w:val="110"/>
        </w:rPr>
        <w:t>providing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0"/>
          <w:w w:val="110"/>
        </w:rPr>
        <w:t> </w:t>
      </w:r>
      <w:r>
        <w:rPr>
          <w:color w:val="383638"/>
          <w:w w:val="110"/>
        </w:rPr>
        <w:t>factual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context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this is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sexual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harassment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case 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employment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context,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introduction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reveals that although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there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are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two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defendants,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only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one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has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filed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this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motion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dismiss.</w:t>
      </w:r>
    </w:p>
    <w:p>
      <w:pPr>
        <w:pStyle w:val="BodyText"/>
        <w:spacing w:line="235" w:lineRule="auto"/>
        <w:ind w:left="177" w:right="473" w:firstLine="309"/>
        <w:jc w:val="both"/>
      </w:pPr>
      <w:r>
        <w:rPr>
          <w:color w:val="383638"/>
          <w:w w:val="110"/>
        </w:rPr>
        <w:t>The introduction is important in a motion </w:t>
      </w:r>
      <w:r>
        <w:rPr>
          <w:color w:val="2A2628"/>
          <w:w w:val="110"/>
        </w:rPr>
        <w:t>brief </w:t>
      </w:r>
      <w:r>
        <w:rPr>
          <w:color w:val="383638"/>
          <w:w w:val="110"/>
        </w:rPr>
        <w:t>because motions fre­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quently address issues that are separate from the merits of the case</w:t>
      </w:r>
      <w:r>
        <w:rPr>
          <w:color w:val="565657"/>
          <w:w w:val="110"/>
        </w:rPr>
        <w:t>. </w:t>
      </w:r>
      <w:r>
        <w:rPr>
          <w:rFonts w:ascii="Arial" w:hAnsi="Arial"/>
          <w:color w:val="383638"/>
          <w:w w:val="110"/>
          <w:sz w:val="22"/>
        </w:rPr>
        <w:t>By</w:t>
      </w:r>
      <w:r>
        <w:rPr>
          <w:rFonts w:ascii="Arial" w:hAnsi="Arial"/>
          <w:color w:val="383638"/>
          <w:spacing w:val="1"/>
          <w:w w:val="110"/>
          <w:sz w:val="22"/>
        </w:rPr>
        <w:t> </w:t>
      </w:r>
      <w:r>
        <w:rPr>
          <w:color w:val="383638"/>
          <w:w w:val="110"/>
        </w:rPr>
        <w:t>writing a clear introduction, counsel provides needed context to the court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that will enable it to  better understand  the  rest of  the  brief. Although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introduction is not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place for strident argumentation, you can be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mildly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persuasive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phrasing.</w:t>
      </w:r>
    </w:p>
    <w:p>
      <w:pPr>
        <w:pStyle w:val="BodyText"/>
        <w:spacing w:before="9"/>
        <w:rPr>
          <w:sz w:val="34"/>
        </w:rPr>
      </w:pPr>
    </w:p>
    <w:p>
      <w:pPr>
        <w:spacing w:before="0"/>
        <w:ind w:left="494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83638"/>
          <w:sz w:val="28"/>
        </w:rPr>
        <w:t>9.1.2</w:t>
      </w:r>
    </w:p>
    <w:p>
      <w:pPr>
        <w:spacing w:before="43"/>
        <w:ind w:left="496" w:right="0" w:firstLine="0"/>
        <w:jc w:val="both"/>
        <w:rPr>
          <w:sz w:val="21"/>
        </w:rPr>
      </w:pPr>
      <w:r>
        <w:rPr>
          <w:color w:val="2A2628"/>
          <w:w w:val="110"/>
          <w:sz w:val="21"/>
        </w:rPr>
        <w:t>QUESTIONS</w:t>
      </w:r>
      <w:r>
        <w:rPr>
          <w:color w:val="2A2628"/>
          <w:spacing w:val="33"/>
          <w:w w:val="110"/>
          <w:sz w:val="21"/>
        </w:rPr>
        <w:t> </w:t>
      </w:r>
      <w:r>
        <w:rPr>
          <w:color w:val="383638"/>
          <w:w w:val="110"/>
          <w:sz w:val="21"/>
        </w:rPr>
        <w:t>PRESENTED</w:t>
      </w:r>
    </w:p>
    <w:p>
      <w:pPr>
        <w:pStyle w:val="BodyText"/>
        <w:spacing w:line="230" w:lineRule="auto" w:before="134"/>
        <w:ind w:left="193" w:right="384" w:firstLine="305"/>
        <w:jc w:val="both"/>
      </w:pPr>
      <w:r>
        <w:rPr>
          <w:color w:val="383638"/>
          <w:w w:val="115"/>
        </w:rPr>
        <w:t>Some motion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briefs-and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many appellate briefs-use questions pre­</w:t>
      </w:r>
      <w:r>
        <w:rPr>
          <w:color w:val="383638"/>
          <w:spacing w:val="1"/>
          <w:w w:val="115"/>
        </w:rPr>
        <w:t> </w:t>
      </w:r>
      <w:r>
        <w:rPr>
          <w:color w:val="383638"/>
          <w:spacing w:val="-1"/>
          <w:w w:val="110"/>
        </w:rPr>
        <w:t>sented</w:t>
      </w:r>
      <w:r>
        <w:rPr>
          <w:color w:val="383638"/>
          <w:spacing w:val="-4"/>
          <w:w w:val="110"/>
        </w:rPr>
        <w:t> </w:t>
      </w:r>
      <w:r>
        <w:rPr>
          <w:color w:val="383638"/>
          <w:spacing w:val="-1"/>
          <w:w w:val="110"/>
        </w:rPr>
        <w:t>to articulate</w:t>
      </w:r>
      <w:r>
        <w:rPr>
          <w:color w:val="383638"/>
          <w:spacing w:val="-14"/>
          <w:w w:val="110"/>
        </w:rPr>
        <w:t> </w:t>
      </w:r>
      <w:r>
        <w:rPr>
          <w:color w:val="383638"/>
          <w:spacing w:val="-1"/>
          <w:w w:val="110"/>
        </w:rPr>
        <w:t>the</w:t>
      </w:r>
      <w:r>
        <w:rPr>
          <w:color w:val="383638"/>
          <w:spacing w:val="8"/>
          <w:w w:val="110"/>
        </w:rPr>
        <w:t> </w:t>
      </w:r>
      <w:r>
        <w:rPr>
          <w:color w:val="383638"/>
          <w:spacing w:val="-1"/>
          <w:w w:val="110"/>
        </w:rPr>
        <w:t>issues</w:t>
      </w:r>
      <w:r>
        <w:rPr>
          <w:color w:val="383638"/>
          <w:spacing w:val="-25"/>
          <w:w w:val="110"/>
        </w:rPr>
        <w:t> </w:t>
      </w:r>
      <w:r>
        <w:rPr>
          <w:color w:val="383638"/>
          <w:w w:val="110"/>
        </w:rPr>
        <w:t>before</w:t>
      </w:r>
      <w:r>
        <w:rPr>
          <w:color w:val="383638"/>
          <w:spacing w:val="-2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court.</w:t>
      </w:r>
      <w:r>
        <w:rPr>
          <w:color w:val="383638"/>
          <w:spacing w:val="-30"/>
          <w:w w:val="110"/>
        </w:rPr>
        <w:t> </w:t>
      </w:r>
      <w:r>
        <w:rPr>
          <w:color w:val="383638"/>
          <w:w w:val="110"/>
        </w:rPr>
        <w:t>Supreme</w:t>
      </w:r>
      <w:r>
        <w:rPr>
          <w:color w:val="383638"/>
          <w:spacing w:val="-31"/>
          <w:w w:val="110"/>
        </w:rPr>
        <w:t> </w:t>
      </w:r>
      <w:r>
        <w:rPr>
          <w:color w:val="383638"/>
          <w:w w:val="110"/>
        </w:rPr>
        <w:t>Court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Rule</w:t>
      </w:r>
      <w:r>
        <w:rPr>
          <w:color w:val="383638"/>
          <w:spacing w:val="-32"/>
          <w:w w:val="110"/>
        </w:rPr>
        <w:t> </w:t>
      </w:r>
      <w:r>
        <w:rPr>
          <w:color w:val="383638"/>
          <w:w w:val="110"/>
        </w:rPr>
        <w:t>14.1(a),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which governs the questions as they appear in </w:t>
      </w:r>
      <w:r>
        <w:rPr>
          <w:color w:val="2A2628"/>
          <w:w w:val="110"/>
        </w:rPr>
        <w:t>the </w:t>
      </w:r>
      <w:r>
        <w:rPr>
          <w:color w:val="383638"/>
          <w:w w:val="110"/>
        </w:rPr>
        <w:t>petition for the writ of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certiorari </w:t>
      </w:r>
      <w:r>
        <w:rPr>
          <w:color w:val="383638"/>
          <w:w w:val="110"/>
        </w:rPr>
        <w:t>and which is referred to in Rule 24.1(a), </w:t>
      </w:r>
      <w:r>
        <w:rPr>
          <w:color w:val="2A2628"/>
          <w:w w:val="110"/>
        </w:rPr>
        <w:t>requires </w:t>
      </w:r>
      <w:r>
        <w:rPr>
          <w:color w:val="383638"/>
          <w:w w:val="110"/>
        </w:rPr>
        <w:t>that each ques­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tion be "expressed concisely in relation to the circumstances of the case,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without </w:t>
      </w:r>
      <w:r>
        <w:rPr>
          <w:color w:val="2A2628"/>
          <w:w w:val="110"/>
        </w:rPr>
        <w:t>unnecessary </w:t>
      </w:r>
      <w:r>
        <w:rPr>
          <w:color w:val="383638"/>
          <w:w w:val="110"/>
        </w:rPr>
        <w:t>detail." The rule further requires that the question be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"short"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  <w:sz w:val="20"/>
        </w:rPr>
        <w:t>it</w:t>
      </w:r>
      <w:r>
        <w:rPr>
          <w:color w:val="383638"/>
          <w:spacing w:val="35"/>
          <w:w w:val="110"/>
          <w:sz w:val="20"/>
        </w:rPr>
        <w:t> </w:t>
      </w:r>
      <w:r>
        <w:rPr>
          <w:color w:val="383638"/>
          <w:w w:val="110"/>
        </w:rPr>
        <w:t>"should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not</w:t>
      </w:r>
      <w:r>
        <w:rPr>
          <w:color w:val="383638"/>
          <w:spacing w:val="30"/>
          <w:w w:val="110"/>
        </w:rPr>
        <w:t> </w:t>
      </w:r>
      <w:r>
        <w:rPr>
          <w:color w:val="383638"/>
          <w:w w:val="110"/>
        </w:rPr>
        <w:t>be</w:t>
      </w:r>
      <w:r>
        <w:rPr>
          <w:color w:val="383638"/>
          <w:spacing w:val="-22"/>
          <w:w w:val="110"/>
        </w:rPr>
        <w:t> </w:t>
      </w:r>
      <w:r>
        <w:rPr>
          <w:color w:val="383638"/>
          <w:w w:val="110"/>
        </w:rPr>
        <w:t>argumentative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or</w:t>
      </w:r>
      <w:r>
        <w:rPr>
          <w:color w:val="383638"/>
          <w:spacing w:val="32"/>
          <w:w w:val="110"/>
        </w:rPr>
        <w:t> </w:t>
      </w:r>
      <w:r>
        <w:rPr>
          <w:color w:val="383638"/>
          <w:w w:val="110"/>
        </w:rPr>
        <w:t>repetitive</w:t>
      </w:r>
      <w:r>
        <w:rPr>
          <w:color w:val="565657"/>
          <w:w w:val="110"/>
        </w:rPr>
        <w:t>.</w:t>
      </w:r>
      <w:r>
        <w:rPr>
          <w:color w:val="383638"/>
          <w:w w:val="110"/>
        </w:rPr>
        <w:t>"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briefs</w:t>
      </w:r>
    </w:p>
    <w:p>
      <w:pPr>
        <w:spacing w:after="0" w:line="230" w:lineRule="auto"/>
        <w:jc w:val="both"/>
        <w:sectPr>
          <w:headerReference w:type="default" r:id="rId220"/>
          <w:headerReference w:type="even" r:id="rId221"/>
          <w:pgSz w:w="9760" w:h="14000"/>
          <w:pgMar w:header="588" w:footer="0" w:top="1120" w:bottom="280" w:left="220" w:right="1360"/>
          <w:pgNumType w:start="191"/>
        </w:sectPr>
      </w:pPr>
    </w:p>
    <w:p>
      <w:pPr>
        <w:pStyle w:val="BodyText"/>
        <w:spacing w:line="228" w:lineRule="auto" w:before="91"/>
        <w:ind w:left="763" w:right="107" w:firstLine="19"/>
        <w:jc w:val="both"/>
      </w:pPr>
      <w:r>
        <w:rPr>
          <w:color w:val="3B3A3B"/>
          <w:spacing w:val="-1"/>
          <w:w w:val="110"/>
        </w:rPr>
        <w:t>on the merits, Supreme Court Rule 24.l(a) requires </w:t>
      </w:r>
      <w:r>
        <w:rPr>
          <w:color w:val="3B3A3B"/>
          <w:w w:val="110"/>
        </w:rPr>
        <w:t>that the brief contain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10"/>
        </w:rPr>
        <w:t>"the questions presented for review under Rule 14.l(a)." Although this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language appears to require that the attorney repeat the exact language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of the question(s), the rule later states explicitly that the attorney </w:t>
      </w:r>
      <w:r>
        <w:rPr>
          <w:color w:val="3B3A3B"/>
          <w:w w:val="110"/>
          <w:sz w:val="25"/>
        </w:rPr>
        <w:t>may</w:t>
      </w:r>
      <w:r>
        <w:rPr>
          <w:color w:val="3B3A3B"/>
          <w:spacing w:val="1"/>
          <w:w w:val="110"/>
          <w:sz w:val="25"/>
        </w:rPr>
        <w:t> </w:t>
      </w:r>
      <w:r>
        <w:rPr>
          <w:color w:val="3B3A3B"/>
          <w:w w:val="110"/>
        </w:rPr>
        <w:t>rewrite</w:t>
      </w:r>
      <w:r>
        <w:rPr>
          <w:color w:val="3B3A3B"/>
          <w:spacing w:val="-13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14"/>
          <w:w w:val="110"/>
        </w:rPr>
        <w:t> </w:t>
      </w:r>
      <w:r>
        <w:rPr>
          <w:color w:val="3B3A3B"/>
          <w:w w:val="110"/>
        </w:rPr>
        <w:t>language:</w:t>
      </w:r>
    </w:p>
    <w:p>
      <w:pPr>
        <w:spacing w:before="117"/>
        <w:ind w:left="1101" w:right="426" w:firstLine="10"/>
        <w:jc w:val="both"/>
        <w:rPr>
          <w:sz w:val="21"/>
        </w:rPr>
      </w:pPr>
      <w:r>
        <w:rPr>
          <w:color w:val="3B3A3B"/>
          <w:w w:val="105"/>
          <w:sz w:val="21"/>
        </w:rPr>
        <w:t>The phrasing of the questions pr</w:t>
      </w:r>
      <w:r>
        <w:rPr>
          <w:color w:val="545454"/>
          <w:w w:val="105"/>
          <w:sz w:val="21"/>
        </w:rPr>
        <w:t>e</w:t>
      </w:r>
      <w:r>
        <w:rPr>
          <w:color w:val="3B3A3B"/>
          <w:w w:val="105"/>
          <w:sz w:val="21"/>
        </w:rPr>
        <w:t>s</w:t>
      </w:r>
      <w:r>
        <w:rPr>
          <w:color w:val="545454"/>
          <w:w w:val="105"/>
          <w:sz w:val="21"/>
        </w:rPr>
        <w:t>e</w:t>
      </w:r>
      <w:r>
        <w:rPr>
          <w:color w:val="3B3A3B"/>
          <w:w w:val="105"/>
          <w:sz w:val="21"/>
        </w:rPr>
        <w:t>nted need not be identical with that in</w:t>
      </w:r>
      <w:r>
        <w:rPr>
          <w:color w:val="3B3A3B"/>
          <w:spacing w:val="1"/>
          <w:w w:val="105"/>
          <w:sz w:val="21"/>
        </w:rPr>
        <w:t> </w:t>
      </w:r>
      <w:r>
        <w:rPr>
          <w:color w:val="3B3A3B"/>
          <w:w w:val="105"/>
          <w:sz w:val="21"/>
        </w:rPr>
        <w:t>the p</w:t>
      </w:r>
      <w:r>
        <w:rPr>
          <w:color w:val="545454"/>
          <w:w w:val="105"/>
          <w:sz w:val="21"/>
        </w:rPr>
        <w:t>e</w:t>
      </w:r>
      <w:r>
        <w:rPr>
          <w:color w:val="3B3A3B"/>
          <w:w w:val="105"/>
          <w:sz w:val="21"/>
        </w:rPr>
        <w:t>tition for a writ of certiorari or the</w:t>
      </w:r>
      <w:r>
        <w:rPr>
          <w:color w:val="3B3A3B"/>
          <w:spacing w:val="1"/>
          <w:w w:val="105"/>
          <w:sz w:val="21"/>
        </w:rPr>
        <w:t> </w:t>
      </w:r>
      <w:r>
        <w:rPr>
          <w:color w:val="3B3A3B"/>
          <w:w w:val="105"/>
          <w:sz w:val="21"/>
        </w:rPr>
        <w:t>jurisdictional statement, but the</w:t>
      </w:r>
      <w:r>
        <w:rPr>
          <w:color w:val="3B3A3B"/>
          <w:spacing w:val="1"/>
          <w:w w:val="105"/>
          <w:sz w:val="21"/>
        </w:rPr>
        <w:t> </w:t>
      </w:r>
      <w:r>
        <w:rPr>
          <w:color w:val="3B3A3B"/>
          <w:w w:val="110"/>
          <w:sz w:val="21"/>
        </w:rPr>
        <w:t>brief may not raise additional questions or change the substance of the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05"/>
          <w:sz w:val="21"/>
        </w:rPr>
        <w:t>questions</w:t>
      </w:r>
      <w:r>
        <w:rPr>
          <w:color w:val="3B3A3B"/>
          <w:spacing w:val="-8"/>
          <w:w w:val="105"/>
          <w:sz w:val="21"/>
        </w:rPr>
        <w:t> </w:t>
      </w:r>
      <w:r>
        <w:rPr>
          <w:color w:val="3B3A3B"/>
          <w:w w:val="105"/>
          <w:sz w:val="21"/>
        </w:rPr>
        <w:t>already</w:t>
      </w:r>
      <w:r>
        <w:rPr>
          <w:color w:val="3B3A3B"/>
          <w:spacing w:val="-4"/>
          <w:w w:val="105"/>
          <w:sz w:val="21"/>
        </w:rPr>
        <w:t> </w:t>
      </w:r>
      <w:r>
        <w:rPr>
          <w:color w:val="3B3A3B"/>
          <w:w w:val="105"/>
          <w:sz w:val="21"/>
        </w:rPr>
        <w:t>presented</w:t>
      </w:r>
      <w:r>
        <w:rPr>
          <w:color w:val="3B3A3B"/>
          <w:spacing w:val="5"/>
          <w:w w:val="105"/>
          <w:sz w:val="21"/>
        </w:rPr>
        <w:t> </w:t>
      </w:r>
      <w:r>
        <w:rPr>
          <w:color w:val="3B3A3B"/>
          <w:w w:val="105"/>
          <w:sz w:val="21"/>
        </w:rPr>
        <w:t>in</w:t>
      </w:r>
      <w:r>
        <w:rPr>
          <w:color w:val="3B3A3B"/>
          <w:spacing w:val="26"/>
          <w:w w:val="105"/>
          <w:sz w:val="21"/>
        </w:rPr>
        <w:t> </w:t>
      </w:r>
      <w:r>
        <w:rPr>
          <w:color w:val="3B3A3B"/>
          <w:w w:val="105"/>
          <w:sz w:val="21"/>
        </w:rPr>
        <w:t>those</w:t>
      </w:r>
      <w:r>
        <w:rPr>
          <w:color w:val="3B3A3B"/>
          <w:spacing w:val="-11"/>
          <w:w w:val="105"/>
          <w:sz w:val="21"/>
        </w:rPr>
        <w:t> </w:t>
      </w:r>
      <w:r>
        <w:rPr>
          <w:color w:val="3B3A3B"/>
          <w:w w:val="105"/>
          <w:sz w:val="21"/>
        </w:rPr>
        <w:t>documents.</w:t>
      </w:r>
    </w:p>
    <w:p>
      <w:pPr>
        <w:pStyle w:val="BodyText"/>
        <w:spacing w:line="232" w:lineRule="auto" w:before="129"/>
        <w:ind w:left="686" w:right="118" w:firstLine="51"/>
        <w:jc w:val="both"/>
      </w:pPr>
      <w:r>
        <w:rPr>
          <w:color w:val="3B3A3B"/>
          <w:w w:val="105"/>
        </w:rPr>
        <w:t>Supreme Court Rule 24.l(a). Supreme Court Rule 14.l(a) specifically pro­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vides that "[t]he statement of any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question  presented is deemed to com­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prise every subsidiary question fairly included therein</w:t>
      </w:r>
      <w:r>
        <w:rPr>
          <w:color w:val="545454"/>
          <w:w w:val="105"/>
        </w:rPr>
        <w:t>.</w:t>
      </w:r>
      <w:r>
        <w:rPr>
          <w:color w:val="3B3A3B"/>
          <w:w w:val="105"/>
        </w:rPr>
        <w:t>" Thus, the question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presented written to the Court is generally a broad question that addresses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the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ultimate  </w:t>
      </w:r>
      <w:r>
        <w:rPr>
          <w:color w:val="545454"/>
          <w:w w:val="105"/>
        </w:rPr>
        <w:t>i</w:t>
      </w:r>
      <w:r>
        <w:rPr>
          <w:color w:val="3B3A3B"/>
          <w:w w:val="105"/>
        </w:rPr>
        <w:t>ssues  that the Cou</w:t>
      </w:r>
      <w:r>
        <w:rPr>
          <w:color w:val="545454"/>
          <w:w w:val="105"/>
        </w:rPr>
        <w:t>r</w:t>
      </w:r>
      <w:r>
        <w:rPr>
          <w:color w:val="3B3A3B"/>
          <w:w w:val="105"/>
        </w:rPr>
        <w:t>t  must consider  in  order  to  decide how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to dispose of the case. Counsel for either party may decide to rephrase the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questions to give the Cou</w:t>
      </w:r>
      <w:r>
        <w:rPr>
          <w:color w:val="545454"/>
          <w:w w:val="105"/>
        </w:rPr>
        <w:t>r</w:t>
      </w:r>
      <w:r>
        <w:rPr>
          <w:color w:val="3B3A3B"/>
          <w:w w:val="105"/>
        </w:rPr>
        <w:t>t what it considers to be a more accurate snap­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shot of the  issue. All questions presented, whether written  for a motion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brief or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an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appellate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brief, should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include certain elements, should be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appropriately</w:t>
      </w:r>
      <w:r>
        <w:rPr>
          <w:color w:val="3B3A3B"/>
          <w:spacing w:val="22"/>
          <w:w w:val="105"/>
        </w:rPr>
        <w:t> </w:t>
      </w:r>
      <w:r>
        <w:rPr>
          <w:color w:val="3B3A3B"/>
          <w:w w:val="105"/>
        </w:rPr>
        <w:t>persuasive,</w:t>
      </w:r>
      <w:r>
        <w:rPr>
          <w:color w:val="3B3A3B"/>
          <w:spacing w:val="9"/>
          <w:w w:val="105"/>
        </w:rPr>
        <w:t> </w:t>
      </w:r>
      <w:r>
        <w:rPr>
          <w:color w:val="3B3A3B"/>
          <w:w w:val="105"/>
        </w:rPr>
        <w:t>and</w:t>
      </w:r>
      <w:r>
        <w:rPr>
          <w:color w:val="3B3A3B"/>
          <w:spacing w:val="47"/>
          <w:w w:val="105"/>
        </w:rPr>
        <w:t> </w:t>
      </w:r>
      <w:r>
        <w:rPr>
          <w:color w:val="3B3A3B"/>
          <w:w w:val="105"/>
        </w:rPr>
        <w:t>should</w:t>
      </w:r>
      <w:r>
        <w:rPr>
          <w:color w:val="3B3A3B"/>
          <w:spacing w:val="4"/>
          <w:w w:val="105"/>
        </w:rPr>
        <w:t> </w:t>
      </w:r>
      <w:r>
        <w:rPr>
          <w:color w:val="3B3A3B"/>
          <w:w w:val="105"/>
        </w:rPr>
        <w:t>avoid</w:t>
      </w:r>
      <w:r>
        <w:rPr>
          <w:color w:val="3B3A3B"/>
          <w:spacing w:val="4"/>
          <w:w w:val="105"/>
        </w:rPr>
        <w:t> </w:t>
      </w:r>
      <w:r>
        <w:rPr>
          <w:color w:val="3B3A3B"/>
          <w:w w:val="105"/>
        </w:rPr>
        <w:t>certain</w:t>
      </w:r>
      <w:r>
        <w:rPr>
          <w:color w:val="3B3A3B"/>
          <w:spacing w:val="15"/>
          <w:w w:val="105"/>
        </w:rPr>
        <w:t> </w:t>
      </w:r>
      <w:r>
        <w:rPr>
          <w:color w:val="3B3A3B"/>
          <w:w w:val="105"/>
        </w:rPr>
        <w:t>problems.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78"/>
        </w:numPr>
        <w:tabs>
          <w:tab w:pos="1375" w:val="left" w:leader="none"/>
        </w:tabs>
        <w:spacing w:line="226" w:lineRule="exact" w:before="0" w:after="0"/>
        <w:ind w:left="1374" w:right="0" w:hanging="391"/>
        <w:jc w:val="both"/>
        <w:rPr>
          <w:b/>
          <w:color w:val="545454"/>
          <w:sz w:val="20"/>
        </w:rPr>
      </w:pPr>
      <w:r>
        <w:rPr>
          <w:b/>
          <w:color w:val="545454"/>
          <w:w w:val="120"/>
          <w:sz w:val="20"/>
        </w:rPr>
        <w:t>E</w:t>
      </w:r>
      <w:r>
        <w:rPr>
          <w:b/>
          <w:color w:val="797B7C"/>
          <w:w w:val="120"/>
          <w:sz w:val="20"/>
        </w:rPr>
        <w:t>lemen</w:t>
      </w:r>
      <w:r>
        <w:rPr>
          <w:b/>
          <w:color w:val="545454"/>
          <w:w w:val="120"/>
          <w:sz w:val="20"/>
        </w:rPr>
        <w:t>ts </w:t>
      </w:r>
      <w:r>
        <w:rPr>
          <w:b/>
          <w:color w:val="545454"/>
          <w:spacing w:val="4"/>
          <w:w w:val="120"/>
          <w:sz w:val="20"/>
        </w:rPr>
        <w:t> </w:t>
      </w:r>
      <w:r>
        <w:rPr>
          <w:b/>
          <w:color w:val="646467"/>
          <w:w w:val="120"/>
          <w:sz w:val="20"/>
        </w:rPr>
        <w:t>to</w:t>
      </w:r>
      <w:r>
        <w:rPr>
          <w:b/>
          <w:color w:val="646467"/>
          <w:spacing w:val="57"/>
          <w:w w:val="120"/>
          <w:sz w:val="20"/>
        </w:rPr>
        <w:t> </w:t>
      </w:r>
      <w:r>
        <w:rPr>
          <w:b/>
          <w:color w:val="646467"/>
          <w:w w:val="120"/>
          <w:sz w:val="20"/>
        </w:rPr>
        <w:t>Include</w:t>
      </w:r>
    </w:p>
    <w:p>
      <w:pPr>
        <w:pStyle w:val="BodyText"/>
        <w:spacing w:line="232" w:lineRule="auto" w:before="3"/>
        <w:ind w:left="582" w:right="119" w:firstLine="431"/>
        <w:jc w:val="both"/>
      </w:pPr>
      <w:r>
        <w:rPr>
          <w:color w:val="3B3A3B"/>
          <w:spacing w:val="-1"/>
          <w:w w:val="110"/>
        </w:rPr>
        <w:t>Generally, writers should include three elements </w:t>
      </w:r>
      <w:r>
        <w:rPr>
          <w:color w:val="3B3A3B"/>
          <w:w w:val="110"/>
        </w:rPr>
        <w:t>when writing a ques­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10"/>
        </w:rPr>
        <w:t>tion presented: the question itself, expressed as a yes-or-no question;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relevant law; and the legally significant facts</w:t>
      </w:r>
      <w:r>
        <w:rPr>
          <w:color w:val="545454"/>
          <w:w w:val="110"/>
        </w:rPr>
        <w:t>. </w:t>
      </w:r>
      <w:r>
        <w:rPr>
          <w:color w:val="3B3A3B"/>
          <w:w w:val="110"/>
        </w:rPr>
        <w:t>Two formats that writers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commonly use are the "under-does-when" format and the "whether" for­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05"/>
        </w:rPr>
        <w:t>mat</w:t>
      </w:r>
      <w:r>
        <w:rPr>
          <w:color w:val="545454"/>
          <w:w w:val="105"/>
        </w:rPr>
        <w:t>. </w:t>
      </w:r>
      <w:r>
        <w:rPr>
          <w:color w:val="3B3A3B"/>
          <w:w w:val="105"/>
        </w:rPr>
        <w:t>The "under-does-when" format essentially asks, </w:t>
      </w:r>
      <w:r>
        <w:rPr>
          <w:color w:val="545454"/>
          <w:w w:val="105"/>
        </w:rPr>
        <w:t>"</w:t>
      </w:r>
      <w:r>
        <w:rPr>
          <w:color w:val="3B3A3B"/>
          <w:w w:val="105"/>
        </w:rPr>
        <w:t>Under relevant law,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does a certain legal status exist when these legally significant facts exist?"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10"/>
        </w:rPr>
        <w:t>The "whether" format contains the same elements, but  the information</w:t>
      </w:r>
      <w:r>
        <w:rPr>
          <w:color w:val="3B3A3B"/>
          <w:spacing w:val="1"/>
          <w:w w:val="110"/>
        </w:rPr>
        <w:t> </w:t>
      </w:r>
      <w:r>
        <w:rPr>
          <w:color w:val="3B3A3B"/>
          <w:spacing w:val="-1"/>
          <w:w w:val="110"/>
        </w:rPr>
        <w:t>can be arranged in </w:t>
      </w:r>
      <w:r>
        <w:rPr>
          <w:color w:val="3B3A3B"/>
          <w:w w:val="110"/>
        </w:rPr>
        <w:t>a different order: "Whether a certain legal status exists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05"/>
        </w:rPr>
        <w:t>when relevant law governs the situation and these legally significant facts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10"/>
        </w:rPr>
        <w:t>exist?" </w:t>
      </w:r>
      <w:r>
        <w:rPr>
          <w:rFonts w:ascii="Arial" w:hAnsi="Arial"/>
          <w:i/>
          <w:color w:val="3B3A3B"/>
          <w:w w:val="110"/>
          <w:sz w:val="19"/>
        </w:rPr>
        <w:t>A </w:t>
      </w:r>
      <w:r>
        <w:rPr>
          <w:color w:val="3B3A3B"/>
          <w:w w:val="110"/>
        </w:rPr>
        <w:t>"whether" question could also be arranged differently</w:t>
      </w:r>
      <w:r>
        <w:rPr>
          <w:color w:val="545454"/>
          <w:w w:val="110"/>
        </w:rPr>
        <w:t>: </w:t>
      </w:r>
      <w:r>
        <w:rPr>
          <w:color w:val="3B3A3B"/>
          <w:w w:val="110"/>
        </w:rPr>
        <w:t>"Whether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10"/>
        </w:rPr>
        <w:t>a certain fact situation results in a certain legal status under this relevant</w:t>
      </w:r>
      <w:r>
        <w:rPr>
          <w:color w:val="3B3A3B"/>
          <w:spacing w:val="1"/>
          <w:w w:val="110"/>
        </w:rPr>
        <w:t> </w:t>
      </w:r>
      <w:r>
        <w:rPr>
          <w:color w:val="3B3A3B"/>
          <w:spacing w:val="-1"/>
          <w:w w:val="110"/>
        </w:rPr>
        <w:t>legal standard?"</w:t>
      </w:r>
      <w:r>
        <w:rPr>
          <w:rFonts w:ascii="Arial" w:hAnsi="Arial"/>
          <w:color w:val="3B3A3B"/>
          <w:spacing w:val="-1"/>
          <w:w w:val="110"/>
          <w:vertAlign w:val="superscript"/>
        </w:rPr>
        <w:t>2</w:t>
      </w:r>
      <w:r>
        <w:rPr>
          <w:rFonts w:ascii="Arial" w:hAnsi="Arial"/>
          <w:color w:val="3B3A3B"/>
          <w:spacing w:val="-1"/>
          <w:w w:val="110"/>
          <w:vertAlign w:val="baseline"/>
        </w:rPr>
        <w:t> </w:t>
      </w:r>
      <w:r>
        <w:rPr>
          <w:color w:val="3B3A3B"/>
          <w:spacing w:val="-1"/>
          <w:w w:val="110"/>
          <w:vertAlign w:val="baseline"/>
        </w:rPr>
        <w:t>Here is an example </w:t>
      </w:r>
      <w:r>
        <w:rPr>
          <w:color w:val="3B3A3B"/>
          <w:w w:val="110"/>
          <w:vertAlign w:val="baseline"/>
        </w:rPr>
        <w:t>of the same question written once in</w:t>
      </w:r>
      <w:r>
        <w:rPr>
          <w:color w:val="3B3A3B"/>
          <w:spacing w:val="-61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"under-does-when"</w:t>
      </w:r>
      <w:r>
        <w:rPr>
          <w:color w:val="3B3A3B"/>
          <w:spacing w:val="-25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format</w:t>
      </w:r>
      <w:r>
        <w:rPr>
          <w:color w:val="3B3A3B"/>
          <w:spacing w:val="-8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and</w:t>
      </w:r>
      <w:r>
        <w:rPr>
          <w:color w:val="3B3A3B"/>
          <w:spacing w:val="27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once</w:t>
      </w:r>
      <w:r>
        <w:rPr>
          <w:color w:val="3B3A3B"/>
          <w:spacing w:val="-6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in</w:t>
      </w:r>
      <w:r>
        <w:rPr>
          <w:color w:val="3B3A3B"/>
          <w:spacing w:val="14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"whether"</w:t>
      </w:r>
      <w:r>
        <w:rPr>
          <w:color w:val="3B3A3B"/>
          <w:spacing w:val="-16"/>
          <w:w w:val="110"/>
          <w:vertAlign w:val="baseline"/>
        </w:rPr>
        <w:t> </w:t>
      </w:r>
      <w:r>
        <w:rPr>
          <w:color w:val="3B3A3B"/>
          <w:w w:val="110"/>
          <w:vertAlign w:val="baseline"/>
        </w:rPr>
        <w:t>format:</w:t>
      </w:r>
    </w:p>
    <w:p>
      <w:pPr>
        <w:spacing w:before="123"/>
        <w:ind w:left="928" w:right="461" w:firstLine="24"/>
        <w:jc w:val="both"/>
        <w:rPr>
          <w:sz w:val="21"/>
        </w:rPr>
      </w:pPr>
      <w:r>
        <w:rPr>
          <w:color w:val="3B3A3B"/>
          <w:w w:val="115"/>
          <w:sz w:val="21"/>
        </w:rPr>
        <w:t>Under the Fourth Amendment</w:t>
      </w:r>
      <w:r>
        <w:rPr>
          <w:color w:val="545454"/>
          <w:w w:val="115"/>
          <w:sz w:val="21"/>
        </w:rPr>
        <w:t>'</w:t>
      </w:r>
      <w:r>
        <w:rPr>
          <w:color w:val="3B3A3B"/>
          <w:w w:val="115"/>
          <w:sz w:val="21"/>
        </w:rPr>
        <w:t>s privacy guarantees, does an invitee</w:t>
      </w:r>
      <w:r>
        <w:rPr>
          <w:color w:val="3B3A3B"/>
          <w:spacing w:val="1"/>
          <w:w w:val="115"/>
          <w:sz w:val="21"/>
        </w:rPr>
        <w:t> </w:t>
      </w:r>
      <w:r>
        <w:rPr>
          <w:color w:val="3B3A3B"/>
          <w:w w:val="115"/>
          <w:sz w:val="21"/>
        </w:rPr>
        <w:t>into</w:t>
      </w:r>
      <w:r>
        <w:rPr>
          <w:color w:val="3B3A3B"/>
          <w:spacing w:val="4"/>
          <w:w w:val="115"/>
          <w:sz w:val="21"/>
        </w:rPr>
        <w:t> </w:t>
      </w:r>
      <w:r>
        <w:rPr>
          <w:color w:val="3B3A3B"/>
          <w:w w:val="115"/>
          <w:sz w:val="21"/>
        </w:rPr>
        <w:t>a</w:t>
      </w:r>
      <w:r>
        <w:rPr>
          <w:color w:val="3B3A3B"/>
          <w:spacing w:val="43"/>
          <w:w w:val="115"/>
          <w:sz w:val="21"/>
        </w:rPr>
        <w:t> </w:t>
      </w:r>
      <w:r>
        <w:rPr>
          <w:color w:val="3B3A3B"/>
          <w:w w:val="115"/>
          <w:sz w:val="21"/>
        </w:rPr>
        <w:t>residence</w:t>
      </w:r>
      <w:r>
        <w:rPr>
          <w:color w:val="3B3A3B"/>
          <w:spacing w:val="35"/>
          <w:w w:val="115"/>
          <w:sz w:val="21"/>
        </w:rPr>
        <w:t> </w:t>
      </w:r>
      <w:r>
        <w:rPr>
          <w:color w:val="3B3A3B"/>
          <w:w w:val="115"/>
          <w:sz w:val="21"/>
        </w:rPr>
        <w:t>have</w:t>
      </w:r>
      <w:r>
        <w:rPr>
          <w:color w:val="3B3A3B"/>
          <w:spacing w:val="13"/>
          <w:w w:val="115"/>
          <w:sz w:val="21"/>
        </w:rPr>
        <w:t> </w:t>
      </w:r>
      <w:r>
        <w:rPr>
          <w:color w:val="3B3A3B"/>
          <w:w w:val="115"/>
          <w:sz w:val="21"/>
        </w:rPr>
        <w:t>a</w:t>
      </w:r>
      <w:r>
        <w:rPr>
          <w:color w:val="3B3A3B"/>
          <w:spacing w:val="47"/>
          <w:w w:val="115"/>
          <w:sz w:val="21"/>
        </w:rPr>
        <w:t> </w:t>
      </w:r>
      <w:r>
        <w:rPr>
          <w:color w:val="3B3A3B"/>
          <w:w w:val="115"/>
          <w:sz w:val="21"/>
        </w:rPr>
        <w:t>legitimate</w:t>
      </w:r>
      <w:r>
        <w:rPr>
          <w:color w:val="3B3A3B"/>
          <w:spacing w:val="30"/>
          <w:w w:val="115"/>
          <w:sz w:val="21"/>
        </w:rPr>
        <w:t> </w:t>
      </w:r>
      <w:r>
        <w:rPr>
          <w:color w:val="3B3A3B"/>
          <w:w w:val="115"/>
          <w:sz w:val="21"/>
        </w:rPr>
        <w:t>expectation</w:t>
      </w:r>
      <w:r>
        <w:rPr>
          <w:color w:val="3B3A3B"/>
          <w:spacing w:val="58"/>
          <w:w w:val="115"/>
          <w:sz w:val="21"/>
        </w:rPr>
        <w:t> </w:t>
      </w:r>
      <w:r>
        <w:rPr>
          <w:color w:val="3B3A3B"/>
          <w:w w:val="115"/>
          <w:sz w:val="21"/>
        </w:rPr>
        <w:t>of</w:t>
      </w:r>
      <w:r>
        <w:rPr>
          <w:color w:val="3B3A3B"/>
          <w:spacing w:val="52"/>
          <w:w w:val="115"/>
          <w:sz w:val="21"/>
        </w:rPr>
        <w:t> </w:t>
      </w:r>
      <w:r>
        <w:rPr>
          <w:color w:val="3B3A3B"/>
          <w:w w:val="115"/>
          <w:sz w:val="21"/>
        </w:rPr>
        <w:t>privacy</w:t>
      </w:r>
      <w:r>
        <w:rPr>
          <w:color w:val="3B3A3B"/>
          <w:spacing w:val="39"/>
          <w:w w:val="115"/>
          <w:sz w:val="21"/>
        </w:rPr>
        <w:t> </w:t>
      </w:r>
      <w:r>
        <w:rPr>
          <w:color w:val="3B3A3B"/>
          <w:w w:val="115"/>
          <w:sz w:val="21"/>
        </w:rPr>
        <w:t>when</w:t>
      </w:r>
      <w:r>
        <w:rPr>
          <w:color w:val="3B3A3B"/>
          <w:spacing w:val="49"/>
          <w:w w:val="115"/>
          <w:sz w:val="21"/>
        </w:rPr>
        <w:t> </w:t>
      </w:r>
      <w:r>
        <w:rPr>
          <w:color w:val="3B3A3B"/>
          <w:w w:val="115"/>
          <w:sz w:val="21"/>
        </w:rPr>
        <w:t>the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0"/>
        </w:rPr>
      </w:pPr>
    </w:p>
    <w:p>
      <w:pPr>
        <w:spacing w:line="223" w:lineRule="auto" w:before="0"/>
        <w:ind w:left="484" w:right="137" w:firstLine="408"/>
        <w:jc w:val="both"/>
        <w:rPr>
          <w:sz w:val="18"/>
        </w:rPr>
      </w:pPr>
      <w:r>
        <w:rPr>
          <w:color w:val="545454"/>
          <w:w w:val="110"/>
          <w:sz w:val="18"/>
          <w:vertAlign w:val="superscript"/>
        </w:rPr>
        <w:t>1</w:t>
      </w:r>
      <w:r>
        <w:rPr>
          <w:color w:val="3B3A3B"/>
          <w:w w:val="110"/>
          <w:sz w:val="18"/>
          <w:vertAlign w:val="baseline"/>
        </w:rPr>
        <w:t>People who are particular about grammar often cr</w:t>
      </w:r>
      <w:r>
        <w:rPr>
          <w:color w:val="545454"/>
          <w:w w:val="110"/>
          <w:sz w:val="18"/>
          <w:vertAlign w:val="baseline"/>
        </w:rPr>
        <w:t>i</w:t>
      </w:r>
      <w:r>
        <w:rPr>
          <w:color w:val="3B3A3B"/>
          <w:w w:val="110"/>
          <w:sz w:val="18"/>
          <w:vertAlign w:val="baseline"/>
        </w:rPr>
        <w:t>nge al the "whether</w:t>
      </w:r>
      <w:r>
        <w:rPr>
          <w:color w:val="545454"/>
          <w:w w:val="110"/>
          <w:sz w:val="18"/>
          <w:vertAlign w:val="baseline"/>
        </w:rPr>
        <w:t>" </w:t>
      </w:r>
      <w:r>
        <w:rPr>
          <w:color w:val="3B3A3B"/>
          <w:w w:val="110"/>
          <w:sz w:val="18"/>
          <w:vertAlign w:val="baseline"/>
        </w:rPr>
        <w:t>format b</w:t>
      </w:r>
      <w:r>
        <w:rPr>
          <w:color w:val="545454"/>
          <w:w w:val="110"/>
          <w:sz w:val="18"/>
          <w:vertAlign w:val="baseline"/>
        </w:rPr>
        <w:t>e</w:t>
      </w:r>
      <w:r>
        <w:rPr>
          <w:color w:val="3B3A3B"/>
          <w:w w:val="110"/>
          <w:sz w:val="18"/>
          <w:vertAlign w:val="baseline"/>
        </w:rPr>
        <w:t>cause</w:t>
      </w:r>
      <w:r>
        <w:rPr>
          <w:color w:val="3B3A3B"/>
          <w:spacing w:val="1"/>
          <w:w w:val="110"/>
          <w:sz w:val="18"/>
          <w:vertAlign w:val="baseline"/>
        </w:rPr>
        <w:t> </w:t>
      </w:r>
      <w:r>
        <w:rPr>
          <w:color w:val="3B3A3B"/>
          <w:w w:val="105"/>
          <w:sz w:val="18"/>
          <w:vertAlign w:val="baseline"/>
        </w:rPr>
        <w:t>lawyers use it as lf lt is a </w:t>
      </w:r>
      <w:r>
        <w:rPr>
          <w:color w:val="545454"/>
          <w:w w:val="105"/>
          <w:sz w:val="18"/>
          <w:vertAlign w:val="baseline"/>
        </w:rPr>
        <w:t>c</w:t>
      </w:r>
      <w:r>
        <w:rPr>
          <w:color w:val="3B3A3B"/>
          <w:w w:val="105"/>
          <w:sz w:val="18"/>
          <w:vertAlign w:val="baseline"/>
        </w:rPr>
        <w:t>omple</w:t>
      </w:r>
      <w:r>
        <w:rPr>
          <w:color w:val="545454"/>
          <w:w w:val="105"/>
          <w:sz w:val="18"/>
          <w:vertAlign w:val="baseline"/>
        </w:rPr>
        <w:t>t</w:t>
      </w:r>
      <w:r>
        <w:rPr>
          <w:color w:val="3B3A3B"/>
          <w:w w:val="105"/>
          <w:sz w:val="18"/>
          <w:vertAlign w:val="baseline"/>
        </w:rPr>
        <w:t>e sentence, </w:t>
      </w:r>
      <w:r>
        <w:rPr>
          <w:i/>
          <w:color w:val="3B3A3B"/>
          <w:w w:val="105"/>
          <w:sz w:val="19"/>
          <w:vertAlign w:val="baseline"/>
        </w:rPr>
        <w:t>even </w:t>
      </w:r>
      <w:r>
        <w:rPr>
          <w:color w:val="3B3A3B"/>
          <w:w w:val="105"/>
          <w:sz w:val="18"/>
          <w:vertAlign w:val="baseline"/>
        </w:rPr>
        <w:t>though lt ls technically a sentenc</w:t>
      </w:r>
      <w:r>
        <w:rPr>
          <w:color w:val="545454"/>
          <w:w w:val="105"/>
          <w:sz w:val="18"/>
          <w:vertAlign w:val="baseline"/>
        </w:rPr>
        <w:t>e </w:t>
      </w:r>
      <w:r>
        <w:rPr>
          <w:color w:val="3B3A3B"/>
          <w:w w:val="105"/>
          <w:sz w:val="18"/>
          <w:vertAlign w:val="baseline"/>
        </w:rPr>
        <w:t>fragment</w:t>
      </w:r>
      <w:r>
        <w:rPr>
          <w:color w:val="545454"/>
          <w:w w:val="105"/>
          <w:sz w:val="18"/>
          <w:vertAlign w:val="baseline"/>
        </w:rPr>
        <w:t>. </w:t>
      </w:r>
      <w:r>
        <w:rPr>
          <w:rFonts w:ascii="Arial"/>
          <w:color w:val="3B3A3B"/>
          <w:w w:val="105"/>
          <w:sz w:val="14"/>
          <w:vertAlign w:val="baseline"/>
        </w:rPr>
        <w:t>(If</w:t>
      </w:r>
      <w:r>
        <w:rPr>
          <w:rFonts w:ascii="Arial"/>
          <w:color w:val="3B3A3B"/>
          <w:spacing w:val="1"/>
          <w:w w:val="105"/>
          <w:sz w:val="14"/>
          <w:vertAlign w:val="baseline"/>
        </w:rPr>
        <w:t> </w:t>
      </w:r>
      <w:r>
        <w:rPr>
          <w:rFonts w:ascii="Arial"/>
          <w:i/>
          <w:color w:val="3B3A3B"/>
          <w:w w:val="105"/>
          <w:sz w:val="16"/>
          <w:vertAlign w:val="baseline"/>
        </w:rPr>
        <w:t>you </w:t>
      </w:r>
      <w:r>
        <w:rPr>
          <w:color w:val="3B3A3B"/>
          <w:w w:val="105"/>
          <w:sz w:val="18"/>
          <w:vertAlign w:val="baseline"/>
        </w:rPr>
        <w:t>wanted to use the format correctly from a grammar viewpo</w:t>
      </w:r>
      <w:r>
        <w:rPr>
          <w:color w:val="545454"/>
          <w:w w:val="105"/>
          <w:sz w:val="18"/>
          <w:vertAlign w:val="baseline"/>
        </w:rPr>
        <w:t>i</w:t>
      </w:r>
      <w:r>
        <w:rPr>
          <w:color w:val="3B3A3B"/>
          <w:w w:val="105"/>
          <w:sz w:val="18"/>
          <w:vertAlign w:val="baseline"/>
        </w:rPr>
        <w:t>nt</w:t>
      </w:r>
      <w:r>
        <w:rPr>
          <w:color w:val="545454"/>
          <w:w w:val="105"/>
          <w:sz w:val="18"/>
          <w:vertAlign w:val="baseline"/>
        </w:rPr>
        <w:t>, </w:t>
      </w:r>
      <w:r>
        <w:rPr>
          <w:color w:val="3B3A3B"/>
          <w:w w:val="105"/>
          <w:sz w:val="18"/>
          <w:vertAlign w:val="baseline"/>
        </w:rPr>
        <w:t>you would write, "The Issue Is</w:t>
      </w:r>
      <w:r>
        <w:rPr>
          <w:color w:val="3B3A3B"/>
          <w:spacing w:val="1"/>
          <w:w w:val="105"/>
          <w:sz w:val="18"/>
          <w:vertAlign w:val="baseline"/>
        </w:rPr>
        <w:t> </w:t>
      </w:r>
      <w:r>
        <w:rPr>
          <w:color w:val="3B3A3B"/>
          <w:spacing w:val="-1"/>
          <w:w w:val="111"/>
          <w:sz w:val="18"/>
          <w:vertAlign w:val="baseline"/>
        </w:rPr>
        <w:t>whethe</w:t>
      </w:r>
      <w:r>
        <w:rPr>
          <w:color w:val="3B3A3B"/>
          <w:w w:val="111"/>
          <w:sz w:val="18"/>
          <w:vertAlign w:val="baseline"/>
        </w:rPr>
        <w:t>r</w:t>
      </w:r>
      <w:r>
        <w:rPr>
          <w:color w:val="3B3A3B"/>
          <w:spacing w:val="-19"/>
          <w:sz w:val="18"/>
          <w:vertAlign w:val="baseline"/>
        </w:rPr>
        <w:t> </w:t>
      </w:r>
      <w:r>
        <w:rPr>
          <w:color w:val="3B3A3B"/>
          <w:w w:val="177"/>
          <w:sz w:val="18"/>
          <w:vertAlign w:val="baseline"/>
        </w:rPr>
        <w:t>..</w:t>
      </w:r>
      <w:r>
        <w:rPr>
          <w:color w:val="545454"/>
          <w:spacing w:val="-8"/>
          <w:w w:val="177"/>
          <w:sz w:val="18"/>
          <w:vertAlign w:val="baseline"/>
        </w:rPr>
        <w:t>.</w:t>
      </w:r>
      <w:r>
        <w:rPr>
          <w:color w:val="545454"/>
          <w:spacing w:val="-10"/>
          <w:w w:val="177"/>
          <w:sz w:val="18"/>
          <w:vertAlign w:val="baseline"/>
        </w:rPr>
        <w:t>"</w:t>
      </w:r>
      <w:r>
        <w:rPr>
          <w:color w:val="3B3A3B"/>
          <w:spacing w:val="-1"/>
          <w:w w:val="177"/>
          <w:sz w:val="18"/>
          <w:vertAlign w:val="baseline"/>
        </w:rPr>
        <w:t>an</w:t>
      </w:r>
      <w:r>
        <w:rPr>
          <w:color w:val="3B3A3B"/>
          <w:spacing w:val="-115"/>
          <w:w w:val="177"/>
          <w:sz w:val="18"/>
          <w:vertAlign w:val="baseline"/>
        </w:rPr>
        <w:t>d</w:t>
      </w:r>
      <w:r>
        <w:rPr>
          <w:color w:val="3B3A3B"/>
          <w:spacing w:val="-1"/>
          <w:w w:val="177"/>
          <w:sz w:val="18"/>
          <w:vertAlign w:val="baseline"/>
        </w:rPr>
        <w:t>en</w:t>
      </w:r>
      <w:r>
        <w:rPr>
          <w:color w:val="3B3A3B"/>
          <w:spacing w:val="-100"/>
          <w:w w:val="177"/>
          <w:sz w:val="18"/>
          <w:vertAlign w:val="baseline"/>
        </w:rPr>
        <w:t>d</w:t>
      </w:r>
      <w:r>
        <w:rPr>
          <w:color w:val="3B3A3B"/>
          <w:spacing w:val="-1"/>
          <w:w w:val="177"/>
          <w:sz w:val="18"/>
          <w:vertAlign w:val="baseline"/>
        </w:rPr>
        <w:t>th</w:t>
      </w:r>
      <w:r>
        <w:rPr>
          <w:color w:val="3B3A3B"/>
          <w:spacing w:val="-99"/>
          <w:w w:val="177"/>
          <w:sz w:val="18"/>
          <w:vertAlign w:val="baseline"/>
        </w:rPr>
        <w:t>e</w:t>
      </w:r>
      <w:r>
        <w:rPr>
          <w:color w:val="3B3A3B"/>
          <w:w w:val="111"/>
          <w:sz w:val="18"/>
          <w:vertAlign w:val="baseline"/>
        </w:rPr>
        <w:t>sent</w:t>
      </w:r>
      <w:r>
        <w:rPr>
          <w:color w:val="545454"/>
          <w:w w:val="111"/>
          <w:sz w:val="18"/>
          <w:vertAlign w:val="baseline"/>
        </w:rPr>
        <w:t>e</w:t>
      </w:r>
      <w:r>
        <w:rPr>
          <w:color w:val="3B3A3B"/>
          <w:w w:val="111"/>
          <w:sz w:val="18"/>
          <w:vertAlign w:val="baseline"/>
        </w:rPr>
        <w:t>nce</w:t>
      </w:r>
      <w:r>
        <w:rPr>
          <w:color w:val="3B3A3B"/>
          <w:spacing w:val="1"/>
          <w:sz w:val="18"/>
          <w:vertAlign w:val="baseline"/>
        </w:rPr>
        <w:t> </w:t>
      </w:r>
      <w:r>
        <w:rPr>
          <w:color w:val="3B3A3B"/>
          <w:spacing w:val="-1"/>
          <w:w w:val="113"/>
          <w:sz w:val="18"/>
          <w:vertAlign w:val="baseline"/>
        </w:rPr>
        <w:t>wit</w:t>
      </w:r>
      <w:r>
        <w:rPr>
          <w:color w:val="3B3A3B"/>
          <w:w w:val="113"/>
          <w:sz w:val="18"/>
          <w:vertAlign w:val="baseline"/>
        </w:rPr>
        <w:t>h</w:t>
      </w:r>
      <w:r>
        <w:rPr>
          <w:color w:val="3B3A3B"/>
          <w:spacing w:val="-18"/>
          <w:sz w:val="18"/>
          <w:vertAlign w:val="baseline"/>
        </w:rPr>
        <w:t> </w:t>
      </w:r>
      <w:r>
        <w:rPr>
          <w:color w:val="3B3A3B"/>
          <w:w w:val="113"/>
          <w:sz w:val="18"/>
          <w:vertAlign w:val="baseline"/>
        </w:rPr>
        <w:t>a</w:t>
      </w:r>
      <w:r>
        <w:rPr>
          <w:color w:val="3B3A3B"/>
          <w:spacing w:val="6"/>
          <w:sz w:val="18"/>
          <w:vertAlign w:val="baseline"/>
        </w:rPr>
        <w:t> </w:t>
      </w:r>
      <w:r>
        <w:rPr>
          <w:color w:val="3B3A3B"/>
          <w:w w:val="105"/>
          <w:sz w:val="18"/>
          <w:vertAlign w:val="baseline"/>
        </w:rPr>
        <w:t>period</w:t>
      </w:r>
      <w:r>
        <w:rPr>
          <w:color w:val="545454"/>
          <w:w w:val="105"/>
          <w:sz w:val="18"/>
          <w:vertAlign w:val="baseline"/>
        </w:rPr>
        <w:t>.</w:t>
      </w:r>
      <w:r>
        <w:rPr>
          <w:color w:val="3B3A3B"/>
          <w:w w:val="105"/>
          <w:sz w:val="18"/>
          <w:vertAlign w:val="baseline"/>
        </w:rPr>
        <w:t>)</w:t>
      </w:r>
      <w:r>
        <w:rPr>
          <w:color w:val="3B3A3B"/>
          <w:spacing w:val="-2"/>
          <w:sz w:val="18"/>
          <w:vertAlign w:val="baseline"/>
        </w:rPr>
        <w:t> </w:t>
      </w:r>
      <w:r>
        <w:rPr>
          <w:color w:val="3B3A3B"/>
          <w:spacing w:val="-1"/>
          <w:w w:val="98"/>
          <w:sz w:val="18"/>
          <w:vertAlign w:val="baseline"/>
        </w:rPr>
        <w:t>Lawyers</w:t>
      </w:r>
      <w:r>
        <w:rPr>
          <w:color w:val="3B3A3B"/>
          <w:w w:val="98"/>
          <w:sz w:val="18"/>
          <w:vertAlign w:val="baseline"/>
        </w:rPr>
        <w:t>,</w:t>
      </w:r>
      <w:r>
        <w:rPr>
          <w:color w:val="3B3A3B"/>
          <w:spacing w:val="-2"/>
          <w:sz w:val="18"/>
          <w:vertAlign w:val="baseline"/>
        </w:rPr>
        <w:t> </w:t>
      </w:r>
      <w:r>
        <w:rPr>
          <w:color w:val="3B3A3B"/>
          <w:w w:val="105"/>
          <w:sz w:val="18"/>
          <w:vertAlign w:val="baseline"/>
        </w:rPr>
        <w:t>however,</w:t>
      </w:r>
      <w:r>
        <w:rPr>
          <w:color w:val="3B3A3B"/>
          <w:spacing w:val="-4"/>
          <w:sz w:val="18"/>
          <w:vertAlign w:val="baseline"/>
        </w:rPr>
        <w:t> </w:t>
      </w:r>
      <w:r>
        <w:rPr>
          <w:color w:val="3B3A3B"/>
          <w:w w:val="113"/>
          <w:sz w:val="18"/>
          <w:vertAlign w:val="baseline"/>
        </w:rPr>
        <w:t>hav</w:t>
      </w:r>
      <w:r>
        <w:rPr>
          <w:color w:val="3B3A3B"/>
          <w:spacing w:val="14"/>
          <w:w w:val="113"/>
          <w:sz w:val="18"/>
          <w:vertAlign w:val="baseline"/>
        </w:rPr>
        <w:t>e</w:t>
      </w:r>
      <w:r>
        <w:rPr>
          <w:color w:val="3B3A3B"/>
          <w:spacing w:val="-1"/>
          <w:w w:val="112"/>
          <w:sz w:val="18"/>
          <w:vertAlign w:val="baseline"/>
        </w:rPr>
        <w:t>adopte</w:t>
      </w:r>
      <w:r>
        <w:rPr>
          <w:color w:val="3B3A3B"/>
          <w:w w:val="112"/>
          <w:sz w:val="18"/>
          <w:vertAlign w:val="baseline"/>
        </w:rPr>
        <w:t>d</w:t>
      </w:r>
      <w:r>
        <w:rPr>
          <w:color w:val="3B3A3B"/>
          <w:spacing w:val="4"/>
          <w:sz w:val="18"/>
          <w:vertAlign w:val="baseline"/>
        </w:rPr>
        <w:t> </w:t>
      </w:r>
      <w:r>
        <w:rPr>
          <w:color w:val="3B3A3B"/>
          <w:spacing w:val="-1"/>
          <w:w w:val="112"/>
          <w:sz w:val="18"/>
          <w:vertAlign w:val="baseline"/>
        </w:rPr>
        <w:t>th</w:t>
      </w:r>
      <w:r>
        <w:rPr>
          <w:color w:val="3B3A3B"/>
          <w:w w:val="112"/>
          <w:sz w:val="18"/>
          <w:vertAlign w:val="baseline"/>
        </w:rPr>
        <w:t>e</w:t>
      </w:r>
      <w:r>
        <w:rPr>
          <w:color w:val="3B3A3B"/>
          <w:spacing w:val="-4"/>
          <w:sz w:val="18"/>
          <w:vertAlign w:val="baseline"/>
        </w:rPr>
        <w:t> </w:t>
      </w:r>
      <w:r>
        <w:rPr>
          <w:color w:val="3B3A3B"/>
          <w:spacing w:val="-1"/>
          <w:w w:val="105"/>
          <w:sz w:val="18"/>
          <w:vertAlign w:val="baseline"/>
        </w:rPr>
        <w:t>"whether" </w:t>
      </w:r>
      <w:r>
        <w:rPr>
          <w:color w:val="3B3A3B"/>
          <w:w w:val="105"/>
          <w:sz w:val="18"/>
          <w:vertAlign w:val="baseline"/>
        </w:rPr>
        <w:t>format</w:t>
      </w:r>
      <w:r>
        <w:rPr>
          <w:color w:val="3B3A3B"/>
          <w:spacing w:val="-21"/>
          <w:w w:val="105"/>
          <w:sz w:val="18"/>
          <w:vertAlign w:val="baseline"/>
        </w:rPr>
        <w:t> </w:t>
      </w:r>
      <w:r>
        <w:rPr>
          <w:color w:val="3B3A3B"/>
          <w:w w:val="105"/>
          <w:sz w:val="18"/>
          <w:vertAlign w:val="baseline"/>
        </w:rPr>
        <w:t>as</w:t>
      </w:r>
      <w:r>
        <w:rPr>
          <w:color w:val="3B3A3B"/>
          <w:spacing w:val="-7"/>
          <w:w w:val="105"/>
          <w:sz w:val="18"/>
          <w:vertAlign w:val="baseline"/>
        </w:rPr>
        <w:t> </w:t>
      </w:r>
      <w:r>
        <w:rPr>
          <w:color w:val="3B3A3B"/>
          <w:w w:val="105"/>
          <w:sz w:val="18"/>
          <w:vertAlign w:val="baseline"/>
        </w:rPr>
        <w:t>a</w:t>
      </w:r>
      <w:r>
        <w:rPr>
          <w:color w:val="3B3A3B"/>
          <w:spacing w:val="18"/>
          <w:w w:val="105"/>
          <w:sz w:val="18"/>
          <w:vertAlign w:val="baseline"/>
        </w:rPr>
        <w:t> </w:t>
      </w:r>
      <w:r>
        <w:rPr>
          <w:color w:val="3B3A3B"/>
          <w:w w:val="105"/>
          <w:sz w:val="18"/>
          <w:vertAlign w:val="baseline"/>
        </w:rPr>
        <w:t>valid</w:t>
      </w:r>
      <w:r>
        <w:rPr>
          <w:color w:val="3B3A3B"/>
          <w:spacing w:val="13"/>
          <w:w w:val="105"/>
          <w:sz w:val="18"/>
          <w:vertAlign w:val="baseline"/>
        </w:rPr>
        <w:t> </w:t>
      </w:r>
      <w:r>
        <w:rPr>
          <w:color w:val="545454"/>
          <w:w w:val="105"/>
          <w:sz w:val="18"/>
          <w:vertAlign w:val="baseline"/>
        </w:rPr>
        <w:t>se</w:t>
      </w:r>
      <w:r>
        <w:rPr>
          <w:color w:val="3B3A3B"/>
          <w:w w:val="105"/>
          <w:sz w:val="18"/>
          <w:vertAlign w:val="baseline"/>
        </w:rPr>
        <w:t>ntence</w:t>
      </w:r>
      <w:r>
        <w:rPr>
          <w:color w:val="3B3A3B"/>
          <w:spacing w:val="19"/>
          <w:w w:val="105"/>
          <w:sz w:val="18"/>
          <w:vertAlign w:val="baseline"/>
        </w:rPr>
        <w:t> </w:t>
      </w:r>
      <w:r>
        <w:rPr>
          <w:color w:val="3B3A3B"/>
          <w:w w:val="105"/>
          <w:sz w:val="18"/>
          <w:vertAlign w:val="baseline"/>
        </w:rPr>
        <w:t>(using</w:t>
      </w:r>
      <w:r>
        <w:rPr>
          <w:color w:val="3B3A3B"/>
          <w:spacing w:val="-15"/>
          <w:w w:val="105"/>
          <w:sz w:val="18"/>
          <w:vertAlign w:val="baseline"/>
        </w:rPr>
        <w:t> </w:t>
      </w:r>
      <w:r>
        <w:rPr>
          <w:color w:val="3B3A3B"/>
          <w:w w:val="105"/>
          <w:sz w:val="18"/>
          <w:vertAlign w:val="baseline"/>
        </w:rPr>
        <w:t>either</w:t>
      </w:r>
      <w:r>
        <w:rPr>
          <w:color w:val="3B3A3B"/>
          <w:spacing w:val="-8"/>
          <w:w w:val="105"/>
          <w:sz w:val="18"/>
          <w:vertAlign w:val="baseline"/>
        </w:rPr>
        <w:t> </w:t>
      </w:r>
      <w:r>
        <w:rPr>
          <w:color w:val="3B3A3B"/>
          <w:w w:val="105"/>
          <w:sz w:val="18"/>
          <w:vertAlign w:val="baseline"/>
        </w:rPr>
        <w:t>a</w:t>
      </w:r>
      <w:r>
        <w:rPr>
          <w:color w:val="3B3A3B"/>
          <w:spacing w:val="-3"/>
          <w:w w:val="105"/>
          <w:sz w:val="18"/>
          <w:vertAlign w:val="baseline"/>
        </w:rPr>
        <w:t> </w:t>
      </w:r>
      <w:r>
        <w:rPr>
          <w:color w:val="3B3A3B"/>
          <w:w w:val="105"/>
          <w:sz w:val="18"/>
          <w:vertAlign w:val="baseline"/>
        </w:rPr>
        <w:t>que</w:t>
      </w:r>
      <w:r>
        <w:rPr>
          <w:color w:val="545454"/>
          <w:w w:val="105"/>
          <w:sz w:val="18"/>
          <w:vertAlign w:val="baseline"/>
        </w:rPr>
        <w:t>s</w:t>
      </w:r>
      <w:r>
        <w:rPr>
          <w:color w:val="3B3A3B"/>
          <w:w w:val="105"/>
          <w:sz w:val="18"/>
          <w:vertAlign w:val="baseline"/>
        </w:rPr>
        <w:t>tion</w:t>
      </w:r>
      <w:r>
        <w:rPr>
          <w:color w:val="3B3A3B"/>
          <w:spacing w:val="39"/>
          <w:w w:val="105"/>
          <w:sz w:val="18"/>
          <w:vertAlign w:val="baseline"/>
        </w:rPr>
        <w:t> </w:t>
      </w:r>
      <w:r>
        <w:rPr>
          <w:color w:val="3B3A3B"/>
          <w:w w:val="105"/>
          <w:sz w:val="18"/>
          <w:vertAlign w:val="baseline"/>
        </w:rPr>
        <w:t>mark</w:t>
      </w:r>
      <w:r>
        <w:rPr>
          <w:color w:val="3B3A3B"/>
          <w:spacing w:val="-18"/>
          <w:w w:val="105"/>
          <w:sz w:val="18"/>
          <w:vertAlign w:val="baseline"/>
        </w:rPr>
        <w:t> </w:t>
      </w:r>
      <w:r>
        <w:rPr>
          <w:color w:val="3B3A3B"/>
          <w:w w:val="105"/>
          <w:sz w:val="18"/>
          <w:vertAlign w:val="baseline"/>
        </w:rPr>
        <w:t>or</w:t>
      </w:r>
      <w:r>
        <w:rPr>
          <w:color w:val="3B3A3B"/>
          <w:spacing w:val="8"/>
          <w:w w:val="105"/>
          <w:sz w:val="18"/>
          <w:vertAlign w:val="baseline"/>
        </w:rPr>
        <w:t> </w:t>
      </w:r>
      <w:r>
        <w:rPr>
          <w:color w:val="3B3A3B"/>
          <w:w w:val="105"/>
          <w:sz w:val="18"/>
          <w:vertAlign w:val="baseline"/>
        </w:rPr>
        <w:t>a</w:t>
      </w:r>
      <w:r>
        <w:rPr>
          <w:color w:val="3B3A3B"/>
          <w:spacing w:val="28"/>
          <w:w w:val="105"/>
          <w:sz w:val="18"/>
          <w:vertAlign w:val="baseline"/>
        </w:rPr>
        <w:t> </w:t>
      </w:r>
      <w:r>
        <w:rPr>
          <w:color w:val="3B3A3B"/>
          <w:w w:val="105"/>
          <w:sz w:val="18"/>
          <w:vertAlign w:val="baseline"/>
        </w:rPr>
        <w:t>period)</w:t>
      </w:r>
      <w:r>
        <w:rPr>
          <w:color w:val="3B3A3B"/>
          <w:spacing w:val="-4"/>
          <w:w w:val="105"/>
          <w:sz w:val="18"/>
          <w:vertAlign w:val="baseline"/>
        </w:rPr>
        <w:t> </w:t>
      </w:r>
      <w:r>
        <w:rPr>
          <w:color w:val="3B3A3B"/>
          <w:w w:val="105"/>
          <w:sz w:val="18"/>
          <w:vertAlign w:val="baseline"/>
        </w:rPr>
        <w:t>and</w:t>
      </w:r>
      <w:r>
        <w:rPr>
          <w:color w:val="3B3A3B"/>
          <w:spacing w:val="27"/>
          <w:w w:val="105"/>
          <w:sz w:val="18"/>
          <w:vertAlign w:val="baseline"/>
        </w:rPr>
        <w:t> </w:t>
      </w:r>
      <w:r>
        <w:rPr>
          <w:color w:val="3B3A3B"/>
          <w:w w:val="105"/>
          <w:sz w:val="18"/>
          <w:vertAlign w:val="baseline"/>
        </w:rPr>
        <w:t>seem</w:t>
      </w:r>
      <w:r>
        <w:rPr>
          <w:color w:val="3B3A3B"/>
          <w:spacing w:val="14"/>
          <w:w w:val="105"/>
          <w:sz w:val="18"/>
          <w:vertAlign w:val="baseline"/>
        </w:rPr>
        <w:t> </w:t>
      </w:r>
      <w:r>
        <w:rPr>
          <w:color w:val="3B3A3B"/>
          <w:w w:val="105"/>
          <w:sz w:val="18"/>
          <w:vertAlign w:val="baseline"/>
        </w:rPr>
        <w:t>unlikely</w:t>
      </w:r>
      <w:r>
        <w:rPr>
          <w:color w:val="3B3A3B"/>
          <w:spacing w:val="2"/>
          <w:w w:val="105"/>
          <w:sz w:val="18"/>
          <w:vertAlign w:val="baseline"/>
        </w:rPr>
        <w:t> </w:t>
      </w:r>
      <w:r>
        <w:rPr>
          <w:color w:val="3B3A3B"/>
          <w:w w:val="105"/>
          <w:sz w:val="18"/>
          <w:vertAlign w:val="baseline"/>
        </w:rPr>
        <w:t>to change.</w:t>
      </w:r>
    </w:p>
    <w:p>
      <w:pPr>
        <w:spacing w:after="0" w:line="223" w:lineRule="auto"/>
        <w:jc w:val="both"/>
        <w:rPr>
          <w:sz w:val="18"/>
        </w:rPr>
        <w:sectPr>
          <w:pgSz w:w="9630" w:h="13960"/>
          <w:pgMar w:header="443" w:footer="0" w:top="1020" w:bottom="0" w:left="1340" w:right="100"/>
        </w:sectPr>
      </w:pPr>
    </w:p>
    <w:p>
      <w:pPr>
        <w:spacing w:line="230" w:lineRule="auto" w:before="89"/>
        <w:ind w:left="435" w:right="891" w:firstLine="0"/>
        <w:jc w:val="both"/>
        <w:rPr>
          <w:sz w:val="21"/>
        </w:rPr>
      </w:pPr>
      <w:r>
        <w:rPr>
          <w:color w:val="3A383A"/>
          <w:w w:val="115"/>
          <w:sz w:val="21"/>
        </w:rPr>
        <w:t>invitee's sole purpose for being present is to assist the resident in an</w:t>
      </w:r>
      <w:r>
        <w:rPr>
          <w:color w:val="3A383A"/>
          <w:spacing w:val="1"/>
          <w:w w:val="115"/>
          <w:sz w:val="21"/>
        </w:rPr>
        <w:t> </w:t>
      </w:r>
      <w:r>
        <w:rPr>
          <w:color w:val="3A383A"/>
          <w:w w:val="115"/>
          <w:sz w:val="21"/>
        </w:rPr>
        <w:t>illegal</w:t>
      </w:r>
      <w:r>
        <w:rPr>
          <w:color w:val="3A383A"/>
          <w:spacing w:val="-14"/>
          <w:w w:val="115"/>
          <w:sz w:val="21"/>
        </w:rPr>
        <w:t> </w:t>
      </w:r>
      <w:r>
        <w:rPr>
          <w:color w:val="3A383A"/>
          <w:w w:val="115"/>
          <w:sz w:val="21"/>
        </w:rPr>
        <w:t>activity?</w:t>
      </w:r>
    </w:p>
    <w:p>
      <w:pPr>
        <w:spacing w:line="240" w:lineRule="auto" w:before="146"/>
        <w:ind w:left="423" w:right="856" w:firstLine="6"/>
        <w:jc w:val="both"/>
        <w:rPr>
          <w:b/>
          <w:sz w:val="20"/>
        </w:rPr>
      </w:pPr>
      <w:r>
        <w:rPr>
          <w:color w:val="3A383A"/>
          <w:w w:val="110"/>
          <w:sz w:val="21"/>
        </w:rPr>
        <w:t>Whether an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invitee into a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residence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has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a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legitimate expectation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of</w:t>
      </w:r>
      <w:r>
        <w:rPr>
          <w:color w:val="3A383A"/>
          <w:spacing w:val="1"/>
          <w:w w:val="110"/>
          <w:sz w:val="21"/>
        </w:rPr>
        <w:t> </w:t>
      </w:r>
      <w:r>
        <w:rPr>
          <w:b/>
          <w:color w:val="3A383A"/>
          <w:w w:val="105"/>
          <w:sz w:val="21"/>
        </w:rPr>
        <w:t>privacy under the Fourth Amendment when the invitee's sole purpose</w:t>
      </w:r>
      <w:r>
        <w:rPr>
          <w:b/>
          <w:color w:val="3A383A"/>
          <w:spacing w:val="1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for being present in the residence is to assist the resident in </w:t>
      </w:r>
      <w:r>
        <w:rPr>
          <w:color w:val="3A383A"/>
          <w:w w:val="105"/>
          <w:sz w:val="21"/>
        </w:rPr>
        <w:t>an</w:t>
      </w:r>
      <w:r>
        <w:rPr>
          <w:color w:val="3A383A"/>
          <w:spacing w:val="1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illegal</w:t>
      </w:r>
      <w:r>
        <w:rPr>
          <w:b/>
          <w:color w:val="3A383A"/>
          <w:spacing w:val="1"/>
          <w:w w:val="105"/>
          <w:sz w:val="21"/>
        </w:rPr>
        <w:t> </w:t>
      </w:r>
      <w:r>
        <w:rPr>
          <w:b/>
          <w:color w:val="3A383A"/>
          <w:w w:val="110"/>
          <w:sz w:val="20"/>
        </w:rPr>
        <w:t>activity?</w:t>
      </w:r>
    </w:p>
    <w:p>
      <w:pPr>
        <w:pStyle w:val="BodyText"/>
        <w:spacing w:line="235" w:lineRule="auto" w:before="139"/>
        <w:ind w:left="105" w:right="451" w:firstLine="312"/>
        <w:jc w:val="both"/>
      </w:pPr>
      <w:r>
        <w:rPr>
          <w:color w:val="3A383A"/>
          <w:w w:val="110"/>
        </w:rPr>
        <w:t>Some writers use the question presented to ask a question about a sub­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05"/>
        </w:rPr>
        <w:t>stantive legal issue, essentially asking, "Under relevant law, does a certain</w:t>
      </w:r>
      <w:r>
        <w:rPr>
          <w:color w:val="3A383A"/>
          <w:spacing w:val="1"/>
          <w:w w:val="105"/>
        </w:rPr>
        <w:t> </w:t>
      </w:r>
      <w:r>
        <w:rPr>
          <w:color w:val="3A383A"/>
          <w:spacing w:val="-1"/>
          <w:w w:val="110"/>
        </w:rPr>
        <w:t>legal</w:t>
      </w:r>
      <w:r>
        <w:rPr>
          <w:color w:val="3A383A"/>
          <w:spacing w:val="-23"/>
          <w:w w:val="110"/>
        </w:rPr>
        <w:t> </w:t>
      </w:r>
      <w:r>
        <w:rPr>
          <w:color w:val="3A383A"/>
          <w:spacing w:val="-1"/>
          <w:w w:val="110"/>
        </w:rPr>
        <w:t>statusexist</w:t>
      </w:r>
      <w:r>
        <w:rPr>
          <w:color w:val="3A383A"/>
          <w:spacing w:val="-9"/>
          <w:w w:val="110"/>
        </w:rPr>
        <w:t> </w:t>
      </w:r>
      <w:r>
        <w:rPr>
          <w:color w:val="3A383A"/>
          <w:spacing w:val="-1"/>
          <w:w w:val="110"/>
        </w:rPr>
        <w:t>when</w:t>
      </w:r>
      <w:r>
        <w:rPr>
          <w:color w:val="3A383A"/>
          <w:spacing w:val="-8"/>
          <w:w w:val="110"/>
        </w:rPr>
        <w:t> </w:t>
      </w:r>
      <w:r>
        <w:rPr>
          <w:color w:val="3A383A"/>
          <w:spacing w:val="-1"/>
          <w:w w:val="110"/>
        </w:rPr>
        <w:t>these</w:t>
      </w:r>
      <w:r>
        <w:rPr>
          <w:color w:val="3A383A"/>
          <w:spacing w:val="-20"/>
          <w:w w:val="110"/>
        </w:rPr>
        <w:t> </w:t>
      </w:r>
      <w:r>
        <w:rPr>
          <w:color w:val="3A383A"/>
          <w:w w:val="110"/>
        </w:rPr>
        <w:t>legally</w:t>
      </w:r>
      <w:r>
        <w:rPr>
          <w:color w:val="3A383A"/>
          <w:spacing w:val="-13"/>
          <w:w w:val="110"/>
        </w:rPr>
        <w:t> </w:t>
      </w:r>
      <w:r>
        <w:rPr>
          <w:color w:val="3A383A"/>
          <w:w w:val="110"/>
        </w:rPr>
        <w:t>significant</w:t>
      </w:r>
      <w:r>
        <w:rPr>
          <w:color w:val="3A383A"/>
          <w:spacing w:val="-5"/>
          <w:w w:val="110"/>
        </w:rPr>
        <w:t> </w:t>
      </w:r>
      <w:r>
        <w:rPr>
          <w:color w:val="3A383A"/>
          <w:w w:val="110"/>
        </w:rPr>
        <w:t>facts</w:t>
      </w:r>
      <w:r>
        <w:rPr>
          <w:color w:val="3A383A"/>
          <w:spacing w:val="-37"/>
          <w:w w:val="110"/>
        </w:rPr>
        <w:t> </w:t>
      </w:r>
      <w:r>
        <w:rPr>
          <w:color w:val="3A383A"/>
          <w:w w:val="110"/>
        </w:rPr>
        <w:t>are</w:t>
      </w:r>
      <w:r>
        <w:rPr>
          <w:color w:val="3A383A"/>
          <w:spacing w:val="-4"/>
          <w:w w:val="110"/>
        </w:rPr>
        <w:t> </w:t>
      </w:r>
      <w:r>
        <w:rPr>
          <w:color w:val="3A383A"/>
          <w:w w:val="110"/>
        </w:rPr>
        <w:t>present?"</w:t>
      </w:r>
      <w:r>
        <w:rPr>
          <w:color w:val="3A383A"/>
          <w:spacing w:val="-18"/>
          <w:w w:val="110"/>
        </w:rPr>
        <w:t> </w:t>
      </w:r>
      <w:r>
        <w:rPr>
          <w:color w:val="3A383A"/>
          <w:w w:val="110"/>
        </w:rPr>
        <w:t>as</w:t>
      </w:r>
      <w:r>
        <w:rPr>
          <w:color w:val="3A383A"/>
          <w:spacing w:val="-26"/>
          <w:w w:val="110"/>
        </w:rPr>
        <w:t> </w:t>
      </w:r>
      <w:r>
        <w:rPr>
          <w:color w:val="3A383A"/>
          <w:w w:val="110"/>
          <w:sz w:val="21"/>
        </w:rPr>
        <w:t>in</w:t>
      </w:r>
      <w:r>
        <w:rPr>
          <w:color w:val="3A383A"/>
          <w:spacing w:val="23"/>
          <w:w w:val="110"/>
          <w:sz w:val="21"/>
        </w:rPr>
        <w:t> </w:t>
      </w:r>
      <w:r>
        <w:rPr>
          <w:color w:val="3A383A"/>
          <w:w w:val="110"/>
        </w:rPr>
        <w:t>this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0"/>
        </w:rPr>
        <w:t>example:</w:t>
      </w:r>
    </w:p>
    <w:p>
      <w:pPr>
        <w:spacing w:line="235" w:lineRule="auto" w:before="128"/>
        <w:ind w:left="434" w:right="808" w:firstLine="6"/>
        <w:jc w:val="both"/>
        <w:rPr>
          <w:sz w:val="21"/>
        </w:rPr>
      </w:pPr>
      <w:r>
        <w:rPr>
          <w:color w:val="3A383A"/>
          <w:w w:val="115"/>
          <w:sz w:val="21"/>
        </w:rPr>
        <w:t>Under the</w:t>
      </w:r>
      <w:r>
        <w:rPr>
          <w:color w:val="3A383A"/>
          <w:spacing w:val="1"/>
          <w:w w:val="115"/>
          <w:sz w:val="21"/>
        </w:rPr>
        <w:t> </w:t>
      </w:r>
      <w:r>
        <w:rPr>
          <w:color w:val="3A383A"/>
          <w:w w:val="115"/>
          <w:sz w:val="21"/>
        </w:rPr>
        <w:t>Fourth Amendment, can a state promote the interest of</w:t>
      </w:r>
      <w:r>
        <w:rPr>
          <w:color w:val="3A383A"/>
          <w:spacing w:val="1"/>
          <w:w w:val="115"/>
          <w:sz w:val="21"/>
        </w:rPr>
        <w:t> </w:t>
      </w:r>
      <w:r>
        <w:rPr>
          <w:color w:val="3A383A"/>
          <w:w w:val="115"/>
          <w:sz w:val="21"/>
        </w:rPr>
        <w:t>officer</w:t>
      </w:r>
      <w:r>
        <w:rPr>
          <w:color w:val="3A383A"/>
          <w:spacing w:val="-17"/>
          <w:w w:val="115"/>
          <w:sz w:val="21"/>
        </w:rPr>
        <w:t> </w:t>
      </w:r>
      <w:r>
        <w:rPr>
          <w:color w:val="3A383A"/>
          <w:w w:val="115"/>
          <w:sz w:val="21"/>
        </w:rPr>
        <w:t>safety</w:t>
      </w:r>
      <w:r>
        <w:rPr>
          <w:color w:val="3A383A"/>
          <w:spacing w:val="2"/>
          <w:w w:val="115"/>
          <w:sz w:val="21"/>
        </w:rPr>
        <w:t> </w:t>
      </w:r>
      <w:r>
        <w:rPr>
          <w:color w:val="3A383A"/>
          <w:w w:val="115"/>
          <w:sz w:val="21"/>
        </w:rPr>
        <w:t>by</w:t>
      </w:r>
      <w:r>
        <w:rPr>
          <w:color w:val="3A383A"/>
          <w:spacing w:val="-9"/>
          <w:w w:val="115"/>
          <w:sz w:val="21"/>
        </w:rPr>
        <w:t> </w:t>
      </w:r>
      <w:r>
        <w:rPr>
          <w:color w:val="3A383A"/>
          <w:w w:val="115"/>
          <w:sz w:val="21"/>
        </w:rPr>
        <w:t>enacting</w:t>
      </w:r>
      <w:r>
        <w:rPr>
          <w:color w:val="3A383A"/>
          <w:spacing w:val="-22"/>
          <w:w w:val="115"/>
          <w:sz w:val="21"/>
        </w:rPr>
        <w:t> </w:t>
      </w:r>
      <w:r>
        <w:rPr>
          <w:color w:val="3A383A"/>
          <w:w w:val="115"/>
          <w:sz w:val="21"/>
        </w:rPr>
        <w:t>a</w:t>
      </w:r>
      <w:r>
        <w:rPr>
          <w:color w:val="3A383A"/>
          <w:spacing w:val="6"/>
          <w:w w:val="115"/>
          <w:sz w:val="21"/>
        </w:rPr>
        <w:t> </w:t>
      </w:r>
      <w:r>
        <w:rPr>
          <w:color w:val="3A383A"/>
          <w:w w:val="115"/>
          <w:sz w:val="21"/>
        </w:rPr>
        <w:t>statute</w:t>
      </w:r>
      <w:r>
        <w:rPr>
          <w:color w:val="3A383A"/>
          <w:spacing w:val="-12"/>
          <w:w w:val="115"/>
          <w:sz w:val="21"/>
        </w:rPr>
        <w:t> </w:t>
      </w:r>
      <w:r>
        <w:rPr>
          <w:color w:val="3A383A"/>
          <w:w w:val="115"/>
          <w:sz w:val="21"/>
        </w:rPr>
        <w:t>that</w:t>
      </w:r>
      <w:r>
        <w:rPr>
          <w:color w:val="3A383A"/>
          <w:spacing w:val="-19"/>
          <w:w w:val="115"/>
          <w:sz w:val="21"/>
        </w:rPr>
        <w:t> </w:t>
      </w:r>
      <w:r>
        <w:rPr>
          <w:color w:val="3A383A"/>
          <w:w w:val="115"/>
          <w:sz w:val="21"/>
        </w:rPr>
        <w:t>gives</w:t>
      </w:r>
      <w:r>
        <w:rPr>
          <w:color w:val="3A383A"/>
          <w:spacing w:val="-4"/>
          <w:w w:val="115"/>
          <w:sz w:val="21"/>
        </w:rPr>
        <w:t> </w:t>
      </w:r>
      <w:r>
        <w:rPr>
          <w:color w:val="3A383A"/>
          <w:w w:val="115"/>
          <w:sz w:val="21"/>
        </w:rPr>
        <w:t>police</w:t>
      </w:r>
      <w:r>
        <w:rPr>
          <w:color w:val="3A383A"/>
          <w:spacing w:val="-9"/>
          <w:w w:val="115"/>
          <w:sz w:val="21"/>
        </w:rPr>
        <w:t> </w:t>
      </w:r>
      <w:r>
        <w:rPr>
          <w:color w:val="3A383A"/>
          <w:w w:val="115"/>
          <w:sz w:val="21"/>
        </w:rPr>
        <w:t>officers</w:t>
      </w:r>
      <w:r>
        <w:rPr>
          <w:color w:val="3A383A"/>
          <w:spacing w:val="-17"/>
          <w:w w:val="115"/>
          <w:sz w:val="21"/>
        </w:rPr>
        <w:t> </w:t>
      </w:r>
      <w:r>
        <w:rPr>
          <w:color w:val="3A383A"/>
          <w:w w:val="115"/>
          <w:sz w:val="21"/>
        </w:rPr>
        <w:t>authoriza­</w:t>
      </w:r>
      <w:r>
        <w:rPr>
          <w:color w:val="3A383A"/>
          <w:spacing w:val="-58"/>
          <w:w w:val="115"/>
          <w:sz w:val="21"/>
        </w:rPr>
        <w:t> </w:t>
      </w:r>
      <w:r>
        <w:rPr>
          <w:color w:val="3A383A"/>
          <w:w w:val="115"/>
          <w:sz w:val="21"/>
        </w:rPr>
        <w:t>tion to conduct a search of a motor vehicle when they issue a citation</w:t>
      </w:r>
      <w:r>
        <w:rPr>
          <w:color w:val="3A383A"/>
          <w:spacing w:val="1"/>
          <w:w w:val="115"/>
          <w:sz w:val="21"/>
        </w:rPr>
        <w:t> </w:t>
      </w:r>
      <w:r>
        <w:rPr>
          <w:color w:val="3A383A"/>
          <w:w w:val="115"/>
          <w:sz w:val="21"/>
        </w:rPr>
        <w:t>to</w:t>
      </w:r>
      <w:r>
        <w:rPr>
          <w:color w:val="3A383A"/>
          <w:spacing w:val="-32"/>
          <w:w w:val="115"/>
          <w:sz w:val="21"/>
        </w:rPr>
        <w:t> </w:t>
      </w:r>
      <w:r>
        <w:rPr>
          <w:color w:val="3A383A"/>
          <w:w w:val="115"/>
          <w:sz w:val="21"/>
        </w:rPr>
        <w:t>a</w:t>
      </w:r>
      <w:r>
        <w:rPr>
          <w:color w:val="3A383A"/>
          <w:spacing w:val="14"/>
          <w:w w:val="115"/>
          <w:sz w:val="21"/>
        </w:rPr>
        <w:t> </w:t>
      </w:r>
      <w:r>
        <w:rPr>
          <w:color w:val="3A383A"/>
          <w:w w:val="115"/>
          <w:sz w:val="21"/>
        </w:rPr>
        <w:t>person</w:t>
      </w:r>
      <w:r>
        <w:rPr>
          <w:color w:val="3A383A"/>
          <w:spacing w:val="1"/>
          <w:w w:val="115"/>
          <w:sz w:val="21"/>
        </w:rPr>
        <w:t> </w:t>
      </w:r>
      <w:r>
        <w:rPr>
          <w:color w:val="3A383A"/>
          <w:w w:val="115"/>
          <w:sz w:val="21"/>
        </w:rPr>
        <w:t>who</w:t>
      </w:r>
      <w:r>
        <w:rPr>
          <w:color w:val="3A383A"/>
          <w:spacing w:val="10"/>
          <w:w w:val="115"/>
          <w:sz w:val="21"/>
        </w:rPr>
        <w:t> </w:t>
      </w:r>
      <w:r>
        <w:rPr>
          <w:color w:val="3A383A"/>
          <w:w w:val="115"/>
          <w:sz w:val="21"/>
        </w:rPr>
        <w:t>has</w:t>
      </w:r>
      <w:r>
        <w:rPr>
          <w:color w:val="3A383A"/>
          <w:spacing w:val="13"/>
          <w:w w:val="115"/>
          <w:sz w:val="21"/>
        </w:rPr>
        <w:t> </w:t>
      </w:r>
      <w:r>
        <w:rPr>
          <w:color w:val="3A383A"/>
          <w:w w:val="115"/>
          <w:sz w:val="21"/>
        </w:rPr>
        <w:t>committed</w:t>
      </w:r>
      <w:r>
        <w:rPr>
          <w:color w:val="3A383A"/>
          <w:spacing w:val="13"/>
          <w:w w:val="115"/>
          <w:sz w:val="21"/>
        </w:rPr>
        <w:t> </w:t>
      </w:r>
      <w:r>
        <w:rPr>
          <w:color w:val="3A383A"/>
          <w:w w:val="115"/>
          <w:sz w:val="21"/>
        </w:rPr>
        <w:t>an</w:t>
      </w:r>
      <w:r>
        <w:rPr>
          <w:color w:val="3A383A"/>
          <w:spacing w:val="19"/>
          <w:w w:val="115"/>
          <w:sz w:val="21"/>
        </w:rPr>
        <w:t> </w:t>
      </w:r>
      <w:r>
        <w:rPr>
          <w:color w:val="3A383A"/>
          <w:w w:val="115"/>
          <w:sz w:val="21"/>
        </w:rPr>
        <w:t>offense</w:t>
      </w:r>
      <w:r>
        <w:rPr>
          <w:color w:val="3A383A"/>
          <w:spacing w:val="-8"/>
          <w:w w:val="115"/>
          <w:sz w:val="21"/>
        </w:rPr>
        <w:t> </w:t>
      </w:r>
      <w:r>
        <w:rPr>
          <w:color w:val="3A383A"/>
          <w:w w:val="115"/>
          <w:sz w:val="21"/>
        </w:rPr>
        <w:t>that</w:t>
      </w:r>
      <w:r>
        <w:rPr>
          <w:color w:val="3A383A"/>
          <w:spacing w:val="-30"/>
          <w:w w:val="115"/>
          <w:sz w:val="21"/>
        </w:rPr>
        <w:t> </w:t>
      </w:r>
      <w:r>
        <w:rPr>
          <w:color w:val="3A383A"/>
          <w:w w:val="115"/>
          <w:sz w:val="21"/>
        </w:rPr>
        <w:t>allows</w:t>
      </w:r>
      <w:r>
        <w:rPr>
          <w:color w:val="3A383A"/>
          <w:spacing w:val="-17"/>
          <w:w w:val="115"/>
          <w:sz w:val="21"/>
        </w:rPr>
        <w:t> </w:t>
      </w:r>
      <w:r>
        <w:rPr>
          <w:color w:val="3A383A"/>
          <w:w w:val="115"/>
          <w:sz w:val="21"/>
        </w:rPr>
        <w:t>arrest?</w:t>
      </w:r>
    </w:p>
    <w:p>
      <w:pPr>
        <w:pStyle w:val="BodyText"/>
        <w:spacing w:line="232" w:lineRule="auto" w:before="146"/>
        <w:ind w:left="112" w:right="414" w:hanging="3"/>
        <w:jc w:val="both"/>
      </w:pPr>
      <w:r>
        <w:rPr>
          <w:color w:val="3A383A"/>
          <w:w w:val="105"/>
        </w:rPr>
        <w:t>Some appellate brief writers put the legal issue in the context of the deci­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10"/>
        </w:rPr>
        <w:t>sion that the court is being asked to reverse, essentially asking, "Whether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the court below was correct when it held that under the relevant law, a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certain legal status existed when these legally significant facts were pres­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ent?"</w:t>
      </w:r>
      <w:r>
        <w:rPr>
          <w:color w:val="3A383A"/>
          <w:spacing w:val="-22"/>
          <w:w w:val="110"/>
        </w:rPr>
        <w:t> </w:t>
      </w:r>
      <w:r>
        <w:rPr>
          <w:color w:val="3A383A"/>
          <w:w w:val="110"/>
        </w:rPr>
        <w:t>as</w:t>
      </w:r>
      <w:r>
        <w:rPr>
          <w:color w:val="3A383A"/>
          <w:spacing w:val="-8"/>
          <w:w w:val="110"/>
        </w:rPr>
        <w:t> </w:t>
      </w:r>
      <w:r>
        <w:rPr>
          <w:color w:val="3A383A"/>
          <w:w w:val="110"/>
        </w:rPr>
        <w:t>in</w:t>
      </w:r>
      <w:r>
        <w:rPr>
          <w:color w:val="3A383A"/>
          <w:spacing w:val="27"/>
          <w:w w:val="110"/>
        </w:rPr>
        <w:t> </w:t>
      </w:r>
      <w:r>
        <w:rPr>
          <w:color w:val="3A383A"/>
          <w:w w:val="110"/>
        </w:rPr>
        <w:t>this</w:t>
      </w:r>
      <w:r>
        <w:rPr>
          <w:color w:val="3A383A"/>
          <w:spacing w:val="-16"/>
          <w:w w:val="110"/>
        </w:rPr>
        <w:t> </w:t>
      </w:r>
      <w:r>
        <w:rPr>
          <w:color w:val="3A383A"/>
          <w:w w:val="110"/>
        </w:rPr>
        <w:t>example:</w:t>
      </w:r>
    </w:p>
    <w:p>
      <w:pPr>
        <w:spacing w:line="237" w:lineRule="auto" w:before="138"/>
        <w:ind w:left="441" w:right="743" w:firstLine="7"/>
        <w:jc w:val="both"/>
        <w:rPr>
          <w:b/>
          <w:sz w:val="21"/>
        </w:rPr>
      </w:pPr>
      <w:r>
        <w:rPr>
          <w:color w:val="3A383A"/>
          <w:w w:val="115"/>
          <w:sz w:val="21"/>
        </w:rPr>
        <w:t>Whether the Iowa Supreme Court correctly held that states can, con­</w:t>
      </w:r>
      <w:r>
        <w:rPr>
          <w:color w:val="3A383A"/>
          <w:spacing w:val="1"/>
          <w:w w:val="115"/>
          <w:sz w:val="21"/>
        </w:rPr>
        <w:t> </w:t>
      </w:r>
      <w:r>
        <w:rPr>
          <w:color w:val="3A383A"/>
          <w:w w:val="115"/>
          <w:sz w:val="21"/>
        </w:rPr>
        <w:t>sistent with the Fourth Amendment,</w:t>
      </w:r>
      <w:r>
        <w:rPr>
          <w:color w:val="3A383A"/>
          <w:spacing w:val="1"/>
          <w:w w:val="115"/>
          <w:sz w:val="21"/>
        </w:rPr>
        <w:t> </w:t>
      </w:r>
      <w:r>
        <w:rPr>
          <w:color w:val="3A383A"/>
          <w:w w:val="115"/>
          <w:sz w:val="21"/>
        </w:rPr>
        <w:t>promote the interest of officer</w:t>
      </w:r>
      <w:r>
        <w:rPr>
          <w:color w:val="3A383A"/>
          <w:spacing w:val="1"/>
          <w:w w:val="115"/>
          <w:sz w:val="21"/>
        </w:rPr>
        <w:t> </w:t>
      </w:r>
      <w:r>
        <w:rPr>
          <w:color w:val="3A383A"/>
          <w:w w:val="115"/>
          <w:sz w:val="21"/>
        </w:rPr>
        <w:t>safety by enacting a statute </w:t>
      </w:r>
      <w:r>
        <w:rPr>
          <w:b/>
          <w:color w:val="3A383A"/>
          <w:w w:val="115"/>
          <w:sz w:val="21"/>
        </w:rPr>
        <w:t>that </w:t>
      </w:r>
      <w:r>
        <w:rPr>
          <w:color w:val="3A383A"/>
          <w:w w:val="115"/>
          <w:sz w:val="21"/>
        </w:rPr>
        <w:t>gives police officers authorization to</w:t>
      </w:r>
      <w:r>
        <w:rPr>
          <w:color w:val="3A383A"/>
          <w:spacing w:val="1"/>
          <w:w w:val="115"/>
          <w:sz w:val="21"/>
        </w:rPr>
        <w:t> </w:t>
      </w:r>
      <w:r>
        <w:rPr>
          <w:color w:val="3A383A"/>
          <w:w w:val="115"/>
          <w:sz w:val="21"/>
        </w:rPr>
        <w:t>conduct a search of a motor vehicle when they issue a citation to </w:t>
      </w:r>
      <w:r>
        <w:rPr>
          <w:rFonts w:ascii="Arial" w:hAnsi="Arial"/>
          <w:color w:val="3A383A"/>
          <w:w w:val="115"/>
          <w:sz w:val="19"/>
        </w:rPr>
        <w:t>a</w:t>
      </w:r>
      <w:r>
        <w:rPr>
          <w:rFonts w:ascii="Arial" w:hAnsi="Arial"/>
          <w:color w:val="3A383A"/>
          <w:spacing w:val="1"/>
          <w:w w:val="115"/>
          <w:sz w:val="19"/>
        </w:rPr>
        <w:t> </w:t>
      </w:r>
      <w:r>
        <w:rPr>
          <w:b/>
          <w:color w:val="3A383A"/>
          <w:w w:val="105"/>
          <w:sz w:val="21"/>
        </w:rPr>
        <w:t>person</w:t>
      </w:r>
      <w:r>
        <w:rPr>
          <w:b/>
          <w:color w:val="3A383A"/>
          <w:spacing w:val="13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who</w:t>
      </w:r>
      <w:r>
        <w:rPr>
          <w:b/>
          <w:color w:val="3A383A"/>
          <w:spacing w:val="10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has</w:t>
      </w:r>
      <w:r>
        <w:rPr>
          <w:b/>
          <w:color w:val="3A383A"/>
          <w:spacing w:val="30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committed</w:t>
      </w:r>
      <w:r>
        <w:rPr>
          <w:b/>
          <w:color w:val="3A383A"/>
          <w:spacing w:val="14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an</w:t>
      </w:r>
      <w:r>
        <w:rPr>
          <w:b/>
          <w:color w:val="3A383A"/>
          <w:spacing w:val="10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offense</w:t>
      </w:r>
      <w:r>
        <w:rPr>
          <w:b/>
          <w:color w:val="3A383A"/>
          <w:spacing w:val="1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that</w:t>
      </w:r>
      <w:r>
        <w:rPr>
          <w:b/>
          <w:color w:val="3A383A"/>
          <w:spacing w:val="-20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allows</w:t>
      </w:r>
      <w:r>
        <w:rPr>
          <w:b/>
          <w:color w:val="3A383A"/>
          <w:spacing w:val="-16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arrest?</w:t>
      </w:r>
    </w:p>
    <w:p>
      <w:pPr>
        <w:pStyle w:val="BodyText"/>
        <w:spacing w:line="232" w:lineRule="auto" w:before="140"/>
        <w:ind w:left="125" w:right="370" w:firstLine="323"/>
        <w:jc w:val="both"/>
      </w:pPr>
      <w:r>
        <w:rPr>
          <w:color w:val="3A383A"/>
          <w:w w:val="110"/>
        </w:rPr>
        <w:t>Writers of motion briefs do not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have this concern, but they may face</w:t>
      </w:r>
      <w:r>
        <w:rPr>
          <w:color w:val="3A383A"/>
          <w:spacing w:val="1"/>
          <w:w w:val="110"/>
        </w:rPr>
        <w:t> </w:t>
      </w:r>
      <w:r>
        <w:rPr>
          <w:color w:val="3A383A"/>
          <w:spacing w:val="-1"/>
          <w:w w:val="110"/>
        </w:rPr>
        <w:t>others. </w:t>
      </w:r>
      <w:r>
        <w:rPr>
          <w:color w:val="3A383A"/>
          <w:w w:val="110"/>
        </w:rPr>
        <w:t>Many motion briefs are focused on legal issues, and motion brief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questions presented based on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those issues will look almost identical to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appellate brief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questions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presented.  Questions about  the sufficiency of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the pleadings, however, will of necessity be more focused on specifics of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the complaint</w:t>
      </w:r>
      <w:r>
        <w:rPr>
          <w:color w:val="231F1F"/>
          <w:w w:val="110"/>
        </w:rPr>
        <w:t>. </w:t>
      </w:r>
      <w:r>
        <w:rPr>
          <w:color w:val="3A383A"/>
          <w:w w:val="110"/>
        </w:rPr>
        <w:t>These questions presented may well include language that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focuses the  court's attention on the pleading standard (e.g., the  standard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of</w:t>
      </w:r>
      <w:r>
        <w:rPr>
          <w:color w:val="3A383A"/>
          <w:spacing w:val="-2"/>
          <w:w w:val="110"/>
        </w:rPr>
        <w:t> </w:t>
      </w:r>
      <w:r>
        <w:rPr>
          <w:color w:val="3A383A"/>
          <w:w w:val="110"/>
        </w:rPr>
        <w:t>review</w:t>
      </w:r>
      <w:r>
        <w:rPr>
          <w:color w:val="3A383A"/>
          <w:spacing w:val="-16"/>
          <w:w w:val="110"/>
        </w:rPr>
        <w:t> </w:t>
      </w:r>
      <w:r>
        <w:rPr>
          <w:color w:val="3A383A"/>
          <w:w w:val="110"/>
        </w:rPr>
        <w:t>for</w:t>
      </w:r>
      <w:r>
        <w:rPr>
          <w:color w:val="3A383A"/>
          <w:spacing w:val="24"/>
          <w:w w:val="110"/>
        </w:rPr>
        <w:t> </w:t>
      </w:r>
      <w:r>
        <w:rPr>
          <w:color w:val="3A383A"/>
          <w:w w:val="110"/>
        </w:rPr>
        <w:t>a</w:t>
      </w:r>
      <w:r>
        <w:rPr>
          <w:color w:val="3A383A"/>
          <w:spacing w:val="12"/>
          <w:w w:val="110"/>
        </w:rPr>
        <w:t> </w:t>
      </w:r>
      <w:r>
        <w:rPr>
          <w:color w:val="3A383A"/>
          <w:w w:val="110"/>
        </w:rPr>
        <w:t>motion</w:t>
      </w:r>
      <w:r>
        <w:rPr>
          <w:color w:val="3A383A"/>
          <w:spacing w:val="-1"/>
          <w:w w:val="110"/>
        </w:rPr>
        <w:t> </w:t>
      </w:r>
      <w:r>
        <w:rPr>
          <w:color w:val="3A383A"/>
          <w:w w:val="110"/>
        </w:rPr>
        <w:t>to</w:t>
      </w:r>
      <w:r>
        <w:rPr>
          <w:color w:val="3A383A"/>
          <w:spacing w:val="-10"/>
          <w:w w:val="110"/>
        </w:rPr>
        <w:t> </w:t>
      </w:r>
      <w:r>
        <w:rPr>
          <w:color w:val="3A383A"/>
          <w:w w:val="110"/>
        </w:rPr>
        <w:t>dismiss).</w:t>
      </w:r>
    </w:p>
    <w:p>
      <w:pPr>
        <w:pStyle w:val="BodyText"/>
        <w:spacing w:line="230" w:lineRule="auto" w:before="12"/>
        <w:ind w:left="135" w:right="292" w:firstLine="320"/>
        <w:jc w:val="both"/>
      </w:pPr>
      <w:r>
        <w:rPr>
          <w:color w:val="3A383A"/>
          <w:w w:val="110"/>
          <w:sz w:val="21"/>
        </w:rPr>
        <w:t>The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</w:rPr>
        <w:t>following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example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shows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two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questions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from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motion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brief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addressing issues related to Ohio's public policy exception to the employ­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ment-at-will doctrine. The doctrine allows a plaintiff to recover damages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for a wrongful discharge if he or she can establish four elements. One of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the elements is a question of law that requires the  plaintiff  to establish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that a particular public policy will be "jeopardized" by the plaintiff's ter­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mination. Another element is a question of fact that requires the  plaintiff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to prove that the discharge was "caused" by public policy related behavior.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0"/>
        </w:rPr>
        <w:t>Note how the questions differ in focus; in particular, note how the second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question</w:t>
      </w:r>
      <w:r>
        <w:rPr>
          <w:color w:val="3A383A"/>
          <w:spacing w:val="10"/>
          <w:w w:val="110"/>
        </w:rPr>
        <w:t> </w:t>
      </w:r>
      <w:r>
        <w:rPr>
          <w:color w:val="3A383A"/>
          <w:w w:val="110"/>
        </w:rPr>
        <w:t>includes</w:t>
      </w:r>
      <w:r>
        <w:rPr>
          <w:color w:val="3A383A"/>
          <w:spacing w:val="-7"/>
          <w:w w:val="110"/>
        </w:rPr>
        <w:t> </w:t>
      </w:r>
      <w:r>
        <w:rPr>
          <w:color w:val="3A383A"/>
          <w:w w:val="110"/>
        </w:rPr>
        <w:t>language</w:t>
      </w:r>
      <w:r>
        <w:rPr>
          <w:color w:val="3A383A"/>
          <w:spacing w:val="4"/>
          <w:w w:val="110"/>
        </w:rPr>
        <w:t> </w:t>
      </w:r>
      <w:r>
        <w:rPr>
          <w:color w:val="3A383A"/>
          <w:w w:val="110"/>
        </w:rPr>
        <w:t>relevant</w:t>
      </w:r>
      <w:r>
        <w:rPr>
          <w:color w:val="3A383A"/>
          <w:spacing w:val="12"/>
          <w:w w:val="110"/>
        </w:rPr>
        <w:t> </w:t>
      </w:r>
      <w:r>
        <w:rPr>
          <w:color w:val="3A383A"/>
          <w:w w:val="110"/>
        </w:rPr>
        <w:t>to</w:t>
      </w:r>
      <w:r>
        <w:rPr>
          <w:color w:val="3A383A"/>
          <w:spacing w:val="17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22"/>
          <w:w w:val="110"/>
        </w:rPr>
        <w:t> </w:t>
      </w:r>
      <w:r>
        <w:rPr>
          <w:color w:val="3A383A"/>
          <w:w w:val="110"/>
        </w:rPr>
        <w:t>pleading</w:t>
      </w:r>
      <w:r>
        <w:rPr>
          <w:color w:val="3A383A"/>
          <w:spacing w:val="5"/>
          <w:w w:val="110"/>
        </w:rPr>
        <w:t> </w:t>
      </w:r>
      <w:r>
        <w:rPr>
          <w:color w:val="3A383A"/>
          <w:w w:val="110"/>
        </w:rPr>
        <w:t>standard:</w:t>
      </w:r>
    </w:p>
    <w:p>
      <w:pPr>
        <w:spacing w:after="0" w:line="230" w:lineRule="auto"/>
        <w:jc w:val="both"/>
        <w:sectPr>
          <w:headerReference w:type="default" r:id="rId222"/>
          <w:headerReference w:type="even" r:id="rId223"/>
          <w:pgSz w:w="9660" w:h="13960"/>
          <w:pgMar w:header="559" w:footer="0" w:top="1120" w:bottom="280" w:left="320" w:right="1340"/>
          <w:pgNumType w:start="193"/>
        </w:sectPr>
      </w:pPr>
    </w:p>
    <w:p>
      <w:pPr>
        <w:spacing w:before="86"/>
        <w:ind w:left="878" w:right="0" w:firstLine="0"/>
        <w:jc w:val="both"/>
        <w:rPr>
          <w:rFonts w:ascii="Arial"/>
          <w:sz w:val="14"/>
        </w:rPr>
      </w:pPr>
      <w:r>
        <w:rPr>
          <w:rFonts w:ascii="Arial"/>
          <w:color w:val="383638"/>
          <w:w w:val="105"/>
          <w:sz w:val="14"/>
          <w:u w:val="thick" w:color="383638"/>
        </w:rPr>
        <w:t>_/\   </w:t>
      </w:r>
      <w:r>
        <w:rPr>
          <w:rFonts w:ascii="Arial"/>
          <w:color w:val="383638"/>
          <w:spacing w:val="27"/>
          <w:w w:val="105"/>
          <w:sz w:val="14"/>
          <w:u w:val="thick" w:color="383638"/>
        </w:rPr>
        <w:t> </w:t>
      </w:r>
      <w:r>
        <w:rPr>
          <w:rFonts w:ascii="Arial"/>
          <w:color w:val="383638"/>
          <w:w w:val="105"/>
          <w:sz w:val="14"/>
          <w:u w:val="thick" w:color="383638"/>
        </w:rPr>
        <w:t>GOOD</w:t>
      </w:r>
      <w:r>
        <w:rPr>
          <w:rFonts w:ascii="Arial"/>
          <w:color w:val="383638"/>
          <w:spacing w:val="-9"/>
          <w:w w:val="105"/>
          <w:sz w:val="14"/>
          <w:u w:val="thick" w:color="383638"/>
        </w:rPr>
        <w:t> </w:t>
      </w:r>
      <w:r>
        <w:rPr>
          <w:rFonts w:ascii="Arial"/>
          <w:color w:val="383638"/>
          <w:w w:val="105"/>
          <w:sz w:val="14"/>
          <w:u w:val="thick" w:color="383638"/>
        </w:rPr>
        <w:t>EXAMPLES</w:t>
      </w:r>
    </w:p>
    <w:p>
      <w:pPr>
        <w:spacing w:line="232" w:lineRule="auto" w:before="88"/>
        <w:ind w:left="1235" w:right="402" w:firstLine="35"/>
        <w:jc w:val="both"/>
        <w:rPr>
          <w:sz w:val="21"/>
        </w:rPr>
      </w:pPr>
      <w:r>
        <w:rPr>
          <w:color w:val="383638"/>
          <w:w w:val="110"/>
          <w:sz w:val="21"/>
        </w:rPr>
        <w:t>Under Ohio's public policy exception to the employment</w:t>
      </w:r>
      <w:r>
        <w:rPr>
          <w:color w:val="525052"/>
          <w:w w:val="110"/>
          <w:sz w:val="21"/>
        </w:rPr>
        <w:t>-</w:t>
      </w:r>
      <w:r>
        <w:rPr>
          <w:color w:val="383638"/>
          <w:w w:val="110"/>
          <w:sz w:val="21"/>
        </w:rPr>
        <w:t>at-will doc­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5"/>
          <w:sz w:val="21"/>
        </w:rPr>
        <w:t>trine, which provides that a public policy is "jeopardized" only when</w:t>
      </w:r>
      <w:r>
        <w:rPr>
          <w:color w:val="383638"/>
          <w:spacing w:val="-58"/>
          <w:w w:val="115"/>
          <w:sz w:val="21"/>
        </w:rPr>
        <w:t> </w:t>
      </w:r>
      <w:r>
        <w:rPr>
          <w:color w:val="383638"/>
          <w:spacing w:val="-1"/>
          <w:w w:val="115"/>
          <w:sz w:val="21"/>
        </w:rPr>
        <w:t>relevant</w:t>
      </w:r>
      <w:r>
        <w:rPr>
          <w:color w:val="383638"/>
          <w:spacing w:val="-21"/>
          <w:w w:val="115"/>
          <w:sz w:val="21"/>
        </w:rPr>
        <w:t> </w:t>
      </w:r>
      <w:r>
        <w:rPr>
          <w:color w:val="383638"/>
          <w:w w:val="115"/>
          <w:sz w:val="21"/>
        </w:rPr>
        <w:t>statutes</w:t>
      </w:r>
      <w:r>
        <w:rPr>
          <w:color w:val="383638"/>
          <w:spacing w:val="-35"/>
          <w:w w:val="115"/>
          <w:sz w:val="21"/>
        </w:rPr>
        <w:t> </w:t>
      </w:r>
      <w:r>
        <w:rPr>
          <w:color w:val="383638"/>
          <w:w w:val="115"/>
          <w:sz w:val="21"/>
        </w:rPr>
        <w:t>do</w:t>
      </w:r>
      <w:r>
        <w:rPr>
          <w:color w:val="383638"/>
          <w:spacing w:val="-13"/>
          <w:w w:val="115"/>
          <w:sz w:val="21"/>
        </w:rPr>
        <w:t> </w:t>
      </w:r>
      <w:r>
        <w:rPr>
          <w:color w:val="383638"/>
          <w:w w:val="115"/>
          <w:sz w:val="21"/>
        </w:rPr>
        <w:t>not</w:t>
      </w:r>
      <w:r>
        <w:rPr>
          <w:color w:val="383638"/>
          <w:spacing w:val="-7"/>
          <w:w w:val="115"/>
          <w:sz w:val="21"/>
        </w:rPr>
        <w:t> </w:t>
      </w:r>
      <w:r>
        <w:rPr>
          <w:color w:val="383638"/>
          <w:w w:val="115"/>
          <w:sz w:val="21"/>
        </w:rPr>
        <w:t>provide</w:t>
      </w:r>
      <w:r>
        <w:rPr>
          <w:color w:val="383638"/>
          <w:spacing w:val="-31"/>
          <w:w w:val="115"/>
          <w:sz w:val="21"/>
        </w:rPr>
        <w:t> </w:t>
      </w:r>
      <w:r>
        <w:rPr>
          <w:color w:val="383638"/>
          <w:w w:val="115"/>
          <w:sz w:val="21"/>
        </w:rPr>
        <w:t>adequate</w:t>
      </w:r>
      <w:r>
        <w:rPr>
          <w:color w:val="383638"/>
          <w:spacing w:val="-20"/>
          <w:w w:val="115"/>
          <w:sz w:val="21"/>
        </w:rPr>
        <w:t> </w:t>
      </w:r>
      <w:r>
        <w:rPr>
          <w:color w:val="383638"/>
          <w:w w:val="115"/>
          <w:sz w:val="21"/>
        </w:rPr>
        <w:t>remedies</w:t>
      </w:r>
      <w:r>
        <w:rPr>
          <w:color w:val="383638"/>
          <w:spacing w:val="-5"/>
          <w:w w:val="115"/>
          <w:sz w:val="21"/>
        </w:rPr>
        <w:t> </w:t>
      </w:r>
      <w:r>
        <w:rPr>
          <w:color w:val="383638"/>
          <w:w w:val="115"/>
          <w:sz w:val="21"/>
        </w:rPr>
        <w:t>to</w:t>
      </w:r>
      <w:r>
        <w:rPr>
          <w:color w:val="383638"/>
          <w:spacing w:val="-1"/>
          <w:w w:val="115"/>
          <w:sz w:val="21"/>
        </w:rPr>
        <w:t> </w:t>
      </w:r>
      <w:r>
        <w:rPr>
          <w:color w:val="383638"/>
          <w:w w:val="115"/>
          <w:sz w:val="21"/>
        </w:rPr>
        <w:t>protect</w:t>
      </w:r>
      <w:r>
        <w:rPr>
          <w:color w:val="383638"/>
          <w:spacing w:val="-29"/>
          <w:w w:val="115"/>
          <w:sz w:val="21"/>
        </w:rPr>
        <w:t> </w:t>
      </w:r>
      <w:r>
        <w:rPr>
          <w:color w:val="383638"/>
          <w:w w:val="115"/>
          <w:sz w:val="21"/>
        </w:rPr>
        <w:t>society's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spacing w:val="-1"/>
          <w:w w:val="115"/>
          <w:sz w:val="21"/>
        </w:rPr>
        <w:t>interest in the policy, can a plaintiff establish </w:t>
      </w:r>
      <w:r>
        <w:rPr>
          <w:color w:val="383638"/>
          <w:w w:val="115"/>
          <w:sz w:val="21"/>
        </w:rPr>
        <w:t>jeopardy when the rel­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evant</w:t>
      </w:r>
      <w:r>
        <w:rPr>
          <w:color w:val="383638"/>
          <w:spacing w:val="-22"/>
          <w:w w:val="115"/>
          <w:sz w:val="21"/>
        </w:rPr>
        <w:t> </w:t>
      </w:r>
      <w:r>
        <w:rPr>
          <w:color w:val="383638"/>
          <w:w w:val="115"/>
          <w:sz w:val="21"/>
        </w:rPr>
        <w:t>statutes</w:t>
      </w:r>
      <w:r>
        <w:rPr>
          <w:color w:val="383638"/>
          <w:spacing w:val="-19"/>
          <w:w w:val="115"/>
          <w:sz w:val="21"/>
        </w:rPr>
        <w:t> </w:t>
      </w:r>
      <w:r>
        <w:rPr>
          <w:color w:val="383638"/>
          <w:w w:val="115"/>
          <w:sz w:val="21"/>
        </w:rPr>
        <w:t>provide</w:t>
      </w:r>
      <w:r>
        <w:rPr>
          <w:color w:val="383638"/>
          <w:spacing w:val="-14"/>
          <w:w w:val="115"/>
          <w:sz w:val="21"/>
        </w:rPr>
        <w:t> </w:t>
      </w:r>
      <w:r>
        <w:rPr>
          <w:color w:val="383638"/>
          <w:w w:val="115"/>
          <w:sz w:val="21"/>
        </w:rPr>
        <w:t>for</w:t>
      </w:r>
      <w:r>
        <w:rPr>
          <w:color w:val="383638"/>
          <w:spacing w:val="-28"/>
          <w:w w:val="115"/>
          <w:sz w:val="21"/>
        </w:rPr>
        <w:t> </w:t>
      </w:r>
      <w:r>
        <w:rPr>
          <w:color w:val="383638"/>
          <w:w w:val="115"/>
          <w:sz w:val="21"/>
        </w:rPr>
        <w:t>a</w:t>
      </w:r>
      <w:r>
        <w:rPr>
          <w:color w:val="383638"/>
          <w:spacing w:val="-2"/>
          <w:w w:val="115"/>
          <w:sz w:val="21"/>
        </w:rPr>
        <w:t> </w:t>
      </w:r>
      <w:r>
        <w:rPr>
          <w:color w:val="383638"/>
          <w:w w:val="115"/>
          <w:sz w:val="21"/>
        </w:rPr>
        <w:t>seriesof</w:t>
      </w:r>
      <w:r>
        <w:rPr>
          <w:color w:val="383638"/>
          <w:spacing w:val="3"/>
          <w:w w:val="115"/>
          <w:sz w:val="21"/>
        </w:rPr>
        <w:t> </w:t>
      </w:r>
      <w:r>
        <w:rPr>
          <w:color w:val="383638"/>
          <w:w w:val="115"/>
          <w:sz w:val="21"/>
        </w:rPr>
        <w:t>penalties,</w:t>
      </w:r>
      <w:r>
        <w:rPr>
          <w:color w:val="383638"/>
          <w:spacing w:val="-6"/>
          <w:w w:val="115"/>
          <w:sz w:val="21"/>
        </w:rPr>
        <w:t> </w:t>
      </w:r>
      <w:r>
        <w:rPr>
          <w:color w:val="383638"/>
          <w:w w:val="115"/>
          <w:sz w:val="21"/>
        </w:rPr>
        <w:t>beginning</w:t>
      </w:r>
      <w:r>
        <w:rPr>
          <w:color w:val="383638"/>
          <w:spacing w:val="-6"/>
          <w:w w:val="115"/>
          <w:sz w:val="21"/>
        </w:rPr>
        <w:t> </w:t>
      </w:r>
      <w:r>
        <w:rPr>
          <w:color w:val="383638"/>
          <w:w w:val="115"/>
          <w:sz w:val="21"/>
        </w:rPr>
        <w:t>with</w:t>
      </w:r>
      <w:r>
        <w:rPr>
          <w:color w:val="383638"/>
          <w:spacing w:val="-13"/>
          <w:w w:val="115"/>
          <w:sz w:val="21"/>
        </w:rPr>
        <w:t> </w:t>
      </w:r>
      <w:r>
        <w:rPr>
          <w:color w:val="383638"/>
          <w:w w:val="115"/>
          <w:sz w:val="21"/>
        </w:rPr>
        <w:t>a</w:t>
      </w:r>
      <w:r>
        <w:rPr>
          <w:color w:val="383638"/>
          <w:spacing w:val="-9"/>
          <w:w w:val="115"/>
          <w:sz w:val="21"/>
        </w:rPr>
        <w:t> </w:t>
      </w:r>
      <w:r>
        <w:rPr>
          <w:color w:val="383638"/>
          <w:w w:val="115"/>
          <w:sz w:val="21"/>
        </w:rPr>
        <w:t>warn­</w:t>
      </w:r>
      <w:r>
        <w:rPr>
          <w:color w:val="383638"/>
          <w:spacing w:val="-58"/>
          <w:w w:val="115"/>
          <w:sz w:val="21"/>
        </w:rPr>
        <w:t> </w:t>
      </w:r>
      <w:r>
        <w:rPr>
          <w:color w:val="383638"/>
          <w:w w:val="115"/>
          <w:sz w:val="21"/>
        </w:rPr>
        <w:t>ing</w:t>
      </w:r>
      <w:r>
        <w:rPr>
          <w:color w:val="383638"/>
          <w:spacing w:val="-11"/>
          <w:w w:val="115"/>
          <w:sz w:val="21"/>
        </w:rPr>
        <w:t> </w:t>
      </w:r>
      <w:r>
        <w:rPr>
          <w:color w:val="383638"/>
          <w:w w:val="115"/>
          <w:sz w:val="21"/>
        </w:rPr>
        <w:t>letter</w:t>
      </w:r>
      <w:r>
        <w:rPr>
          <w:color w:val="383638"/>
          <w:spacing w:val="-18"/>
          <w:w w:val="115"/>
          <w:sz w:val="21"/>
        </w:rPr>
        <w:t> </w:t>
      </w:r>
      <w:r>
        <w:rPr>
          <w:color w:val="383638"/>
          <w:w w:val="115"/>
          <w:sz w:val="21"/>
        </w:rPr>
        <w:t>and</w:t>
      </w:r>
      <w:r>
        <w:rPr>
          <w:color w:val="383638"/>
          <w:spacing w:val="20"/>
          <w:w w:val="115"/>
          <w:sz w:val="21"/>
        </w:rPr>
        <w:t> </w:t>
      </w:r>
      <w:r>
        <w:rPr>
          <w:color w:val="383638"/>
          <w:w w:val="115"/>
          <w:sz w:val="21"/>
        </w:rPr>
        <w:t>moving</w:t>
      </w:r>
      <w:r>
        <w:rPr>
          <w:color w:val="383638"/>
          <w:spacing w:val="-9"/>
          <w:w w:val="115"/>
          <w:sz w:val="21"/>
        </w:rPr>
        <w:t> </w:t>
      </w:r>
      <w:r>
        <w:rPr>
          <w:color w:val="383638"/>
          <w:w w:val="115"/>
          <w:sz w:val="21"/>
        </w:rPr>
        <w:t>on</w:t>
      </w:r>
      <w:r>
        <w:rPr>
          <w:color w:val="383638"/>
          <w:spacing w:val="14"/>
          <w:w w:val="115"/>
          <w:sz w:val="21"/>
        </w:rPr>
        <w:t> </w:t>
      </w:r>
      <w:r>
        <w:rPr>
          <w:color w:val="383638"/>
          <w:w w:val="115"/>
          <w:sz w:val="21"/>
        </w:rPr>
        <w:t>to</w:t>
      </w:r>
      <w:r>
        <w:rPr>
          <w:color w:val="383638"/>
          <w:spacing w:val="-2"/>
          <w:w w:val="115"/>
          <w:sz w:val="21"/>
        </w:rPr>
        <w:t> </w:t>
      </w:r>
      <w:r>
        <w:rPr>
          <w:color w:val="383638"/>
          <w:w w:val="115"/>
          <w:sz w:val="21"/>
        </w:rPr>
        <w:t>fines</w:t>
      </w:r>
      <w:r>
        <w:rPr>
          <w:color w:val="383638"/>
          <w:spacing w:val="-9"/>
          <w:w w:val="115"/>
          <w:sz w:val="21"/>
        </w:rPr>
        <w:t> </w:t>
      </w:r>
      <w:r>
        <w:rPr>
          <w:color w:val="383638"/>
          <w:w w:val="115"/>
          <w:sz w:val="21"/>
        </w:rPr>
        <w:t>in</w:t>
      </w:r>
      <w:r>
        <w:rPr>
          <w:color w:val="383638"/>
          <w:spacing w:val="6"/>
          <w:w w:val="115"/>
          <w:sz w:val="21"/>
        </w:rPr>
        <w:t> </w:t>
      </w:r>
      <w:r>
        <w:rPr>
          <w:color w:val="383638"/>
          <w:w w:val="115"/>
          <w:sz w:val="21"/>
        </w:rPr>
        <w:t>the</w:t>
      </w:r>
      <w:r>
        <w:rPr>
          <w:color w:val="383638"/>
          <w:spacing w:val="21"/>
          <w:w w:val="115"/>
          <w:sz w:val="21"/>
        </w:rPr>
        <w:t> </w:t>
      </w:r>
      <w:r>
        <w:rPr>
          <w:color w:val="383638"/>
          <w:w w:val="115"/>
          <w:sz w:val="21"/>
        </w:rPr>
        <w:t>thousands</w:t>
      </w:r>
      <w:r>
        <w:rPr>
          <w:color w:val="383638"/>
          <w:spacing w:val="-17"/>
          <w:w w:val="115"/>
          <w:sz w:val="21"/>
        </w:rPr>
        <w:t> </w:t>
      </w:r>
      <w:r>
        <w:rPr>
          <w:color w:val="383638"/>
          <w:w w:val="115"/>
          <w:sz w:val="21"/>
        </w:rPr>
        <w:t>of</w:t>
      </w:r>
      <w:r>
        <w:rPr>
          <w:color w:val="383638"/>
          <w:spacing w:val="-8"/>
          <w:w w:val="115"/>
          <w:sz w:val="21"/>
        </w:rPr>
        <w:t> </w:t>
      </w:r>
      <w:r>
        <w:rPr>
          <w:color w:val="383638"/>
          <w:w w:val="115"/>
          <w:sz w:val="21"/>
        </w:rPr>
        <w:t>dollars?</w:t>
      </w:r>
    </w:p>
    <w:p>
      <w:pPr>
        <w:spacing w:line="235" w:lineRule="auto" w:before="143"/>
        <w:ind w:left="1173" w:right="429" w:firstLine="58"/>
        <w:jc w:val="both"/>
        <w:rPr>
          <w:sz w:val="21"/>
        </w:rPr>
      </w:pPr>
      <w:r>
        <w:rPr>
          <w:color w:val="383638"/>
          <w:w w:val="115"/>
          <w:sz w:val="21"/>
        </w:rPr>
        <w:t>Under Ohio's public policy exception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to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the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employment-at-will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doctrine, which provides that causation can be established when an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employee is terminated soon after protected behavior by a person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who had knowledge of the protected behavior, has a plaintiff pied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spacing w:val="-1"/>
          <w:w w:val="115"/>
          <w:sz w:val="20"/>
        </w:rPr>
        <w:t>facts </w:t>
      </w:r>
      <w:r>
        <w:rPr>
          <w:color w:val="383638"/>
          <w:spacing w:val="-1"/>
          <w:w w:val="115"/>
          <w:sz w:val="21"/>
        </w:rPr>
        <w:t>sufficient </w:t>
      </w:r>
      <w:r>
        <w:rPr>
          <w:color w:val="383638"/>
          <w:w w:val="115"/>
          <w:sz w:val="21"/>
        </w:rPr>
        <w:t>to raise his right to relief above the speculative level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when he alleges that he complained  about illegal cigarette smoking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to one supervisor and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that he was fired by another supervisor five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months</w:t>
      </w:r>
      <w:r>
        <w:rPr>
          <w:color w:val="383638"/>
          <w:spacing w:val="-6"/>
          <w:w w:val="115"/>
          <w:sz w:val="21"/>
        </w:rPr>
        <w:t> </w:t>
      </w:r>
      <w:r>
        <w:rPr>
          <w:color w:val="383638"/>
          <w:w w:val="115"/>
          <w:sz w:val="21"/>
        </w:rPr>
        <w:t>later?</w:t>
      </w:r>
    </w:p>
    <w:p>
      <w:pPr>
        <w:pStyle w:val="BodyText"/>
        <w:spacing w:line="235" w:lineRule="auto" w:before="140"/>
        <w:ind w:left="781" w:right="116" w:firstLine="31"/>
        <w:jc w:val="both"/>
      </w:pPr>
      <w:r>
        <w:rPr>
          <w:color w:val="383638"/>
          <w:w w:val="105"/>
        </w:rPr>
        <w:t>In addition to deciding how to focus your question, you mu</w:t>
      </w:r>
      <w:r>
        <w:rPr>
          <w:color w:val="525052"/>
          <w:w w:val="105"/>
        </w:rPr>
        <w:t>s</w:t>
      </w:r>
      <w:r>
        <w:rPr>
          <w:color w:val="383638"/>
          <w:w w:val="105"/>
        </w:rPr>
        <w:t>t also decide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how to structure the question. The "whether" structure often moves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core</w:t>
      </w:r>
      <w:r>
        <w:rPr>
          <w:color w:val="383638"/>
          <w:spacing w:val="-23"/>
          <w:w w:val="110"/>
        </w:rPr>
        <w:t> </w:t>
      </w:r>
      <w:r>
        <w:rPr>
          <w:color w:val="383638"/>
          <w:w w:val="110"/>
        </w:rPr>
        <w:t>question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7"/>
          <w:w w:val="110"/>
        </w:rPr>
        <w:t> </w:t>
      </w:r>
      <w:r>
        <w:rPr>
          <w:color w:val="383638"/>
          <w:w w:val="110"/>
        </w:rPr>
        <w:t>beginning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question:</w:t>
      </w:r>
    </w:p>
    <w:p>
      <w:pPr>
        <w:spacing w:line="249" w:lineRule="auto" w:before="123"/>
        <w:ind w:left="1115" w:right="458" w:hanging="1"/>
        <w:jc w:val="both"/>
        <w:rPr>
          <w:sz w:val="21"/>
        </w:rPr>
      </w:pPr>
      <w:r>
        <w:rPr>
          <w:color w:val="383638"/>
          <w:w w:val="115"/>
          <w:sz w:val="21"/>
        </w:rPr>
        <w:t>Whether the court below erred when it held that this law applied in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this</w:t>
      </w:r>
      <w:r>
        <w:rPr>
          <w:color w:val="383638"/>
          <w:spacing w:val="-18"/>
          <w:w w:val="115"/>
          <w:sz w:val="21"/>
        </w:rPr>
        <w:t> </w:t>
      </w:r>
      <w:r>
        <w:rPr>
          <w:color w:val="383638"/>
          <w:w w:val="115"/>
          <w:sz w:val="21"/>
        </w:rPr>
        <w:t>way</w:t>
      </w:r>
      <w:r>
        <w:rPr>
          <w:color w:val="383638"/>
          <w:spacing w:val="-16"/>
          <w:w w:val="115"/>
          <w:sz w:val="21"/>
        </w:rPr>
        <w:t> </w:t>
      </w:r>
      <w:r>
        <w:rPr>
          <w:color w:val="383638"/>
          <w:w w:val="115"/>
          <w:sz w:val="21"/>
        </w:rPr>
        <w:t>to the</w:t>
      </w:r>
      <w:r>
        <w:rPr>
          <w:color w:val="383638"/>
          <w:spacing w:val="13"/>
          <w:w w:val="115"/>
          <w:sz w:val="21"/>
        </w:rPr>
        <w:t> </w:t>
      </w:r>
      <w:r>
        <w:rPr>
          <w:color w:val="383638"/>
          <w:w w:val="115"/>
          <w:sz w:val="21"/>
        </w:rPr>
        <w:t>legaJly</w:t>
      </w:r>
      <w:r>
        <w:rPr>
          <w:color w:val="383638"/>
          <w:spacing w:val="-23"/>
          <w:w w:val="115"/>
          <w:sz w:val="21"/>
        </w:rPr>
        <w:t> </w:t>
      </w:r>
      <w:r>
        <w:rPr>
          <w:color w:val="383638"/>
          <w:w w:val="115"/>
          <w:sz w:val="21"/>
        </w:rPr>
        <w:t>significant</w:t>
      </w:r>
      <w:r>
        <w:rPr>
          <w:color w:val="383638"/>
          <w:spacing w:val="-9"/>
          <w:w w:val="115"/>
          <w:sz w:val="21"/>
        </w:rPr>
        <w:t> </w:t>
      </w:r>
      <w:r>
        <w:rPr>
          <w:color w:val="383638"/>
          <w:w w:val="115"/>
          <w:sz w:val="21"/>
        </w:rPr>
        <w:t>facts?</w:t>
      </w:r>
    </w:p>
    <w:p>
      <w:pPr>
        <w:pStyle w:val="BodyText"/>
        <w:spacing w:before="124"/>
        <w:ind w:left="752"/>
      </w:pPr>
      <w:r>
        <w:rPr>
          <w:color w:val="383638"/>
          <w:w w:val="115"/>
        </w:rPr>
        <w:t>or</w:t>
      </w:r>
    </w:p>
    <w:p>
      <w:pPr>
        <w:spacing w:line="230" w:lineRule="auto" w:before="138"/>
        <w:ind w:left="1100" w:right="303" w:firstLine="4"/>
        <w:jc w:val="left"/>
        <w:rPr>
          <w:sz w:val="21"/>
        </w:rPr>
      </w:pPr>
      <w:r>
        <w:rPr>
          <w:color w:val="383638"/>
          <w:w w:val="115"/>
          <w:sz w:val="21"/>
        </w:rPr>
        <w:t>Whether l</w:t>
      </w:r>
      <w:r>
        <w:rPr>
          <w:color w:val="525052"/>
          <w:w w:val="115"/>
          <w:sz w:val="21"/>
        </w:rPr>
        <w:t>e</w:t>
      </w:r>
      <w:r>
        <w:rPr>
          <w:color w:val="383638"/>
          <w:w w:val="115"/>
          <w:sz w:val="21"/>
        </w:rPr>
        <w:t>gal status exists when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these legally significant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facts exist</w:t>
      </w:r>
      <w:r>
        <w:rPr>
          <w:color w:val="383638"/>
          <w:spacing w:val="-58"/>
          <w:w w:val="115"/>
          <w:sz w:val="21"/>
        </w:rPr>
        <w:t> </w:t>
      </w:r>
      <w:r>
        <w:rPr>
          <w:color w:val="383638"/>
          <w:w w:val="115"/>
          <w:sz w:val="21"/>
        </w:rPr>
        <w:t>and</w:t>
      </w:r>
      <w:r>
        <w:rPr>
          <w:color w:val="383638"/>
          <w:spacing w:val="3"/>
          <w:w w:val="115"/>
          <w:sz w:val="21"/>
        </w:rPr>
        <w:t> </w:t>
      </w:r>
      <w:r>
        <w:rPr>
          <w:color w:val="383638"/>
          <w:w w:val="115"/>
          <w:sz w:val="21"/>
        </w:rPr>
        <w:t>when</w:t>
      </w:r>
      <w:r>
        <w:rPr>
          <w:color w:val="383638"/>
          <w:spacing w:val="3"/>
          <w:w w:val="115"/>
          <w:sz w:val="21"/>
        </w:rPr>
        <w:t> </w:t>
      </w:r>
      <w:r>
        <w:rPr>
          <w:color w:val="383638"/>
          <w:w w:val="115"/>
          <w:sz w:val="21"/>
        </w:rPr>
        <w:t>this</w:t>
      </w:r>
      <w:r>
        <w:rPr>
          <w:color w:val="383638"/>
          <w:spacing w:val="-11"/>
          <w:w w:val="115"/>
          <w:sz w:val="21"/>
        </w:rPr>
        <w:t> </w:t>
      </w:r>
      <w:r>
        <w:rPr>
          <w:color w:val="383638"/>
          <w:w w:val="115"/>
          <w:sz w:val="21"/>
        </w:rPr>
        <w:t>law</w:t>
      </w:r>
      <w:r>
        <w:rPr>
          <w:color w:val="383638"/>
          <w:spacing w:val="-27"/>
          <w:w w:val="115"/>
          <w:sz w:val="21"/>
        </w:rPr>
        <w:t> </w:t>
      </w:r>
      <w:r>
        <w:rPr>
          <w:color w:val="383638"/>
          <w:w w:val="115"/>
          <w:sz w:val="21"/>
        </w:rPr>
        <w:t>applies?</w:t>
      </w:r>
    </w:p>
    <w:p>
      <w:pPr>
        <w:pStyle w:val="BodyText"/>
        <w:spacing w:line="230" w:lineRule="auto" w:before="154"/>
        <w:ind w:left="710" w:right="136" w:firstLine="14"/>
        <w:jc w:val="both"/>
      </w:pPr>
      <w:r>
        <w:rPr>
          <w:color w:val="383638"/>
          <w:w w:val="110"/>
        </w:rPr>
        <w:t>The "under-does-when" format, on  the  other hand,  puts less emphasis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on the core question, putting the law at the beginning. It also allows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writer to shift the legally significant facts to the end of the question, which</w:t>
      </w:r>
      <w:r>
        <w:rPr>
          <w:color w:val="383638"/>
          <w:spacing w:val="1"/>
          <w:w w:val="105"/>
        </w:rPr>
        <w:t> </w:t>
      </w:r>
      <w:r>
        <w:rPr>
          <w:color w:val="383638"/>
          <w:spacing w:val="-1"/>
          <w:w w:val="110"/>
        </w:rPr>
        <w:t>may</w:t>
      </w:r>
      <w:r>
        <w:rPr>
          <w:color w:val="383638"/>
          <w:spacing w:val="-11"/>
          <w:w w:val="110"/>
        </w:rPr>
        <w:t> </w:t>
      </w:r>
      <w:r>
        <w:rPr>
          <w:color w:val="383638"/>
          <w:spacing w:val="-1"/>
          <w:w w:val="110"/>
        </w:rPr>
        <w:t>heJp</w:t>
      </w:r>
      <w:r>
        <w:rPr>
          <w:color w:val="383638"/>
          <w:spacing w:val="-11"/>
          <w:w w:val="110"/>
        </w:rPr>
        <w:t> </w:t>
      </w:r>
      <w:r>
        <w:rPr>
          <w:color w:val="383638"/>
          <w:spacing w:val="-1"/>
          <w:w w:val="110"/>
        </w:rPr>
        <w:t>to</w:t>
      </w:r>
      <w:r>
        <w:rPr>
          <w:color w:val="383638"/>
          <w:spacing w:val="6"/>
          <w:w w:val="110"/>
        </w:rPr>
        <w:t> </w:t>
      </w:r>
      <w:r>
        <w:rPr>
          <w:color w:val="383638"/>
          <w:spacing w:val="-1"/>
          <w:w w:val="110"/>
        </w:rPr>
        <w:t>emphasize</w:t>
      </w:r>
      <w:r>
        <w:rPr>
          <w:color w:val="383638"/>
          <w:spacing w:val="4"/>
          <w:w w:val="110"/>
        </w:rPr>
        <w:t> </w:t>
      </w:r>
      <w:r>
        <w:rPr>
          <w:color w:val="383638"/>
          <w:spacing w:val="-1"/>
          <w:w w:val="110"/>
        </w:rPr>
        <w:t>positive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facts,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30"/>
          <w:w w:val="110"/>
        </w:rPr>
        <w:t> </w:t>
      </w:r>
      <w:r>
        <w:rPr>
          <w:color w:val="383638"/>
          <w:w w:val="110"/>
        </w:rPr>
        <w:t>this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example:</w:t>
      </w:r>
    </w:p>
    <w:p>
      <w:pPr>
        <w:spacing w:line="232" w:lineRule="auto" w:before="146"/>
        <w:ind w:left="1014" w:right="475" w:firstLine="43"/>
        <w:jc w:val="both"/>
        <w:rPr>
          <w:sz w:val="21"/>
        </w:rPr>
      </w:pPr>
      <w:r>
        <w:rPr>
          <w:color w:val="383638"/>
          <w:w w:val="115"/>
          <w:sz w:val="21"/>
        </w:rPr>
        <w:t>Under the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Fourth Amendment</w:t>
      </w:r>
      <w:r>
        <w:rPr>
          <w:color w:val="525052"/>
          <w:w w:val="115"/>
          <w:sz w:val="21"/>
        </w:rPr>
        <w:t>'</w:t>
      </w:r>
      <w:r>
        <w:rPr>
          <w:color w:val="383638"/>
          <w:w w:val="115"/>
          <w:sz w:val="21"/>
        </w:rPr>
        <w:t>s privacy guarantees, does an invitee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into a residence have a legitimate expectation of privacy when the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invitee's sole purpose for being present is to assist the resident in an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illegal</w:t>
      </w:r>
      <w:r>
        <w:rPr>
          <w:color w:val="383638"/>
          <w:spacing w:val="-6"/>
          <w:w w:val="115"/>
          <w:sz w:val="21"/>
        </w:rPr>
        <w:t> </w:t>
      </w:r>
      <w:r>
        <w:rPr>
          <w:color w:val="383638"/>
          <w:w w:val="115"/>
          <w:sz w:val="21"/>
        </w:rPr>
        <w:t>activity?</w:t>
      </w:r>
    </w:p>
    <w:p>
      <w:pPr>
        <w:pStyle w:val="BodyText"/>
        <w:spacing w:line="232" w:lineRule="auto" w:before="143"/>
        <w:ind w:left="594" w:right="160" w:firstLine="413"/>
        <w:jc w:val="both"/>
      </w:pPr>
      <w:r>
        <w:rPr>
          <w:color w:val="383638"/>
          <w:w w:val="110"/>
        </w:rPr>
        <w:t>When deciding which format to use, consider what information 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would Jike in the  positions of emphasis within the question. Generally,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beginning and the end of the question are positions of emphasis</w:t>
      </w:r>
      <w:r>
        <w:rPr>
          <w:color w:val="525052"/>
          <w:w w:val="110"/>
        </w:rPr>
        <w:t>, </w:t>
      </w:r>
      <w:r>
        <w:rPr>
          <w:color w:val="383638"/>
          <w:w w:val="110"/>
        </w:rPr>
        <w:t>with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9"/>
          <w:w w:val="110"/>
        </w:rPr>
        <w:t> </w:t>
      </w:r>
      <w:r>
        <w:rPr>
          <w:color w:val="383638"/>
          <w:w w:val="110"/>
        </w:rPr>
        <w:t>end</w:t>
      </w:r>
      <w:r>
        <w:rPr>
          <w:color w:val="383638"/>
          <w:spacing w:val="52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1"/>
          <w:w w:val="110"/>
        </w:rPr>
        <w:t> </w:t>
      </w:r>
      <w:r>
        <w:rPr>
          <w:color w:val="383638"/>
          <w:w w:val="110"/>
        </w:rPr>
        <w:t>question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being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strongest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position.</w:t>
      </w:r>
    </w:p>
    <w:p>
      <w:pPr>
        <w:pStyle w:val="BodyText"/>
        <w:spacing w:before="5"/>
        <w:rPr>
          <w:sz w:val="32"/>
        </w:rPr>
      </w:pPr>
    </w:p>
    <w:p>
      <w:pPr>
        <w:pStyle w:val="ListParagraph"/>
        <w:numPr>
          <w:ilvl w:val="0"/>
          <w:numId w:val="78"/>
        </w:numPr>
        <w:tabs>
          <w:tab w:pos="1335" w:val="left" w:leader="none"/>
        </w:tabs>
        <w:spacing w:line="240" w:lineRule="auto" w:before="0" w:after="0"/>
        <w:ind w:left="1334" w:right="0" w:hanging="405"/>
        <w:jc w:val="both"/>
        <w:rPr>
          <w:b/>
          <w:color w:val="383638"/>
          <w:sz w:val="21"/>
        </w:rPr>
      </w:pPr>
      <w:r>
        <w:rPr>
          <w:b/>
          <w:color w:val="383638"/>
          <w:w w:val="120"/>
          <w:sz w:val="21"/>
        </w:rPr>
        <w:t>Persuasive</w:t>
      </w:r>
      <w:r>
        <w:rPr>
          <w:b/>
          <w:color w:val="383638"/>
          <w:spacing w:val="20"/>
          <w:w w:val="120"/>
          <w:sz w:val="21"/>
        </w:rPr>
        <w:t> </w:t>
      </w:r>
      <w:r>
        <w:rPr>
          <w:b/>
          <w:color w:val="383638"/>
          <w:w w:val="120"/>
          <w:sz w:val="21"/>
        </w:rPr>
        <w:t>Questions</w:t>
      </w:r>
      <w:r>
        <w:rPr>
          <w:b/>
          <w:color w:val="383638"/>
          <w:spacing w:val="16"/>
          <w:w w:val="120"/>
          <w:sz w:val="21"/>
        </w:rPr>
        <w:t> </w:t>
      </w:r>
      <w:r>
        <w:rPr>
          <w:b/>
          <w:color w:val="383638"/>
          <w:w w:val="120"/>
          <w:sz w:val="21"/>
        </w:rPr>
        <w:t>Presented</w:t>
      </w:r>
    </w:p>
    <w:p>
      <w:pPr>
        <w:pStyle w:val="BodyText"/>
        <w:spacing w:line="232" w:lineRule="auto" w:before="16"/>
        <w:ind w:left="484" w:right="163" w:firstLine="437"/>
        <w:jc w:val="both"/>
      </w:pPr>
      <w:r>
        <w:rPr>
          <w:color w:val="383638"/>
          <w:w w:val="115"/>
        </w:rPr>
        <w:t>When</w:t>
      </w:r>
      <w:r>
        <w:rPr>
          <w:color w:val="383638"/>
          <w:spacing w:val="3"/>
          <w:w w:val="115"/>
        </w:rPr>
        <w:t> </w:t>
      </w:r>
      <w:r>
        <w:rPr>
          <w:color w:val="383638"/>
          <w:w w:val="115"/>
        </w:rPr>
        <w:t>choosing</w:t>
      </w:r>
      <w:r>
        <w:rPr>
          <w:color w:val="383638"/>
          <w:spacing w:val="-19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2"/>
          <w:w w:val="115"/>
        </w:rPr>
        <w:t> </w:t>
      </w:r>
      <w:r>
        <w:rPr>
          <w:color w:val="383638"/>
          <w:w w:val="115"/>
        </w:rPr>
        <w:t>format</w:t>
      </w:r>
      <w:r>
        <w:rPr>
          <w:color w:val="383638"/>
          <w:spacing w:val="-23"/>
          <w:w w:val="115"/>
        </w:rPr>
        <w:t> </w:t>
      </w:r>
      <w:r>
        <w:rPr>
          <w:color w:val="383638"/>
          <w:w w:val="115"/>
        </w:rPr>
        <w:t>and</w:t>
      </w:r>
      <w:r>
        <w:rPr>
          <w:color w:val="383638"/>
          <w:spacing w:val="6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-8"/>
          <w:w w:val="115"/>
        </w:rPr>
        <w:t> </w:t>
      </w:r>
      <w:r>
        <w:rPr>
          <w:color w:val="383638"/>
          <w:w w:val="115"/>
        </w:rPr>
        <w:t>type</w:t>
      </w:r>
      <w:r>
        <w:rPr>
          <w:color w:val="383638"/>
          <w:spacing w:val="-36"/>
          <w:w w:val="115"/>
        </w:rPr>
        <w:t> </w:t>
      </w:r>
      <w:r>
        <w:rPr>
          <w:color w:val="383638"/>
          <w:w w:val="115"/>
        </w:rPr>
        <w:t>of</w:t>
      </w:r>
      <w:r>
        <w:rPr>
          <w:color w:val="383638"/>
          <w:spacing w:val="-13"/>
          <w:w w:val="115"/>
        </w:rPr>
        <w:t> </w:t>
      </w:r>
      <w:r>
        <w:rPr>
          <w:color w:val="383638"/>
          <w:w w:val="115"/>
        </w:rPr>
        <w:t>question</w:t>
      </w:r>
      <w:r>
        <w:rPr>
          <w:color w:val="383638"/>
          <w:spacing w:val="-6"/>
          <w:w w:val="115"/>
        </w:rPr>
        <w:t> </w:t>
      </w:r>
      <w:r>
        <w:rPr>
          <w:color w:val="383638"/>
          <w:w w:val="115"/>
        </w:rPr>
        <w:t>that</w:t>
      </w:r>
      <w:r>
        <w:rPr>
          <w:color w:val="383638"/>
          <w:spacing w:val="-20"/>
          <w:w w:val="115"/>
        </w:rPr>
        <w:t> </w:t>
      </w:r>
      <w:r>
        <w:rPr>
          <w:color w:val="383638"/>
          <w:w w:val="115"/>
        </w:rPr>
        <w:t>youask,</w:t>
      </w:r>
      <w:r>
        <w:rPr>
          <w:color w:val="383638"/>
          <w:spacing w:val="-21"/>
          <w:w w:val="115"/>
        </w:rPr>
        <w:t> </w:t>
      </w:r>
      <w:r>
        <w:rPr>
          <w:color w:val="383638"/>
          <w:w w:val="115"/>
        </w:rPr>
        <w:t>con­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5"/>
        </w:rPr>
        <w:t>sider which drafting method </w:t>
      </w:r>
      <w:r>
        <w:rPr>
          <w:i/>
          <w:color w:val="383638"/>
          <w:w w:val="115"/>
        </w:rPr>
        <w:t>will </w:t>
      </w:r>
      <w:r>
        <w:rPr>
          <w:color w:val="383638"/>
          <w:w w:val="115"/>
        </w:rPr>
        <w:t>allow you to emphasize your point of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view. The practical brief writer does more than mereJy write a question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that includes aJI three of the needed elements. Karl Llewellyn notes the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importance</w:t>
      </w:r>
      <w:r>
        <w:rPr>
          <w:color w:val="383638"/>
          <w:spacing w:val="6"/>
          <w:w w:val="110"/>
        </w:rPr>
        <w:t> </w:t>
      </w:r>
      <w:r>
        <w:rPr>
          <w:rFonts w:ascii="Arial" w:hAnsi="Arial"/>
          <w:i/>
          <w:color w:val="383638"/>
          <w:w w:val="110"/>
          <w:sz w:val="22"/>
        </w:rPr>
        <w:t>of </w:t>
      </w:r>
      <w:r>
        <w:rPr>
          <w:color w:val="383638"/>
          <w:w w:val="110"/>
        </w:rPr>
        <w:t>"controlling"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legal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issues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case</w:t>
      </w:r>
      <w:r>
        <w:rPr>
          <w:color w:val="525052"/>
          <w:w w:val="110"/>
        </w:rPr>
        <w:t>:</w:t>
      </w:r>
    </w:p>
    <w:p>
      <w:pPr>
        <w:spacing w:after="0" w:line="232" w:lineRule="auto"/>
        <w:jc w:val="both"/>
        <w:sectPr>
          <w:pgSz w:w="9830" w:h="14020"/>
          <w:pgMar w:header="456" w:footer="0" w:top="1100" w:bottom="0" w:left="1360" w:right="180"/>
        </w:sectPr>
      </w:pPr>
    </w:p>
    <w:p>
      <w:pPr>
        <w:spacing w:line="232" w:lineRule="auto" w:before="87"/>
        <w:ind w:left="423" w:right="844" w:firstLine="10"/>
        <w:jc w:val="both"/>
        <w:rPr>
          <w:sz w:val="21"/>
        </w:rPr>
      </w:pPr>
      <w:r>
        <w:rPr>
          <w:color w:val="383638"/>
          <w:w w:val="110"/>
          <w:sz w:val="21"/>
        </w:rPr>
        <w:t>Of course, the first thing that comes up is the issue and the first art is the</w:t>
      </w:r>
      <w:r>
        <w:rPr>
          <w:color w:val="383638"/>
          <w:spacing w:val="-55"/>
          <w:w w:val="110"/>
          <w:sz w:val="21"/>
        </w:rPr>
        <w:t> </w:t>
      </w:r>
      <w:r>
        <w:rPr>
          <w:color w:val="383638"/>
          <w:w w:val="110"/>
          <w:sz w:val="21"/>
        </w:rPr>
        <w:t>framing of the issue so that if your framing is accepted the case comes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out your way. Got that? Second, you have to capture the issue, because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your</w:t>
      </w:r>
      <w:r>
        <w:rPr>
          <w:color w:val="383638"/>
          <w:spacing w:val="-5"/>
          <w:w w:val="110"/>
          <w:sz w:val="21"/>
        </w:rPr>
        <w:t> </w:t>
      </w:r>
      <w:r>
        <w:rPr>
          <w:color w:val="383638"/>
          <w:w w:val="110"/>
          <w:sz w:val="21"/>
        </w:rPr>
        <w:t>opponent</w:t>
      </w:r>
      <w:r>
        <w:rPr>
          <w:color w:val="383638"/>
          <w:spacing w:val="19"/>
          <w:w w:val="110"/>
          <w:sz w:val="21"/>
        </w:rPr>
        <w:t> </w:t>
      </w:r>
      <w:r>
        <w:rPr>
          <w:color w:val="383638"/>
          <w:w w:val="110"/>
          <w:sz w:val="21"/>
        </w:rPr>
        <w:t>will</w:t>
      </w:r>
      <w:r>
        <w:rPr>
          <w:color w:val="383638"/>
          <w:spacing w:val="6"/>
          <w:w w:val="110"/>
          <w:sz w:val="21"/>
        </w:rPr>
        <w:t> </w:t>
      </w:r>
      <w:r>
        <w:rPr>
          <w:color w:val="383638"/>
          <w:w w:val="110"/>
          <w:sz w:val="21"/>
        </w:rPr>
        <w:t>be</w:t>
      </w:r>
      <w:r>
        <w:rPr>
          <w:color w:val="383638"/>
          <w:spacing w:val="12"/>
          <w:w w:val="110"/>
          <w:sz w:val="21"/>
        </w:rPr>
        <w:t> </w:t>
      </w:r>
      <w:r>
        <w:rPr>
          <w:color w:val="383638"/>
          <w:w w:val="110"/>
          <w:sz w:val="21"/>
        </w:rPr>
        <w:t>framing</w:t>
      </w:r>
      <w:r>
        <w:rPr>
          <w:color w:val="383638"/>
          <w:spacing w:val="-8"/>
          <w:w w:val="110"/>
          <w:sz w:val="21"/>
        </w:rPr>
        <w:t> </w:t>
      </w:r>
      <w:r>
        <w:rPr>
          <w:color w:val="383638"/>
          <w:w w:val="110"/>
          <w:sz w:val="21"/>
        </w:rPr>
        <w:t>an</w:t>
      </w:r>
      <w:r>
        <w:rPr>
          <w:color w:val="383638"/>
          <w:spacing w:val="34"/>
          <w:w w:val="110"/>
          <w:sz w:val="21"/>
        </w:rPr>
        <w:t> </w:t>
      </w:r>
      <w:r>
        <w:rPr>
          <w:color w:val="383638"/>
          <w:w w:val="110"/>
          <w:sz w:val="21"/>
        </w:rPr>
        <w:t>issue</w:t>
      </w:r>
      <w:r>
        <w:rPr>
          <w:color w:val="383638"/>
          <w:spacing w:val="4"/>
          <w:w w:val="110"/>
          <w:sz w:val="21"/>
        </w:rPr>
        <w:t> </w:t>
      </w:r>
      <w:r>
        <w:rPr>
          <w:color w:val="383638"/>
          <w:w w:val="110"/>
          <w:sz w:val="21"/>
        </w:rPr>
        <w:t>very</w:t>
      </w:r>
      <w:r>
        <w:rPr>
          <w:color w:val="383638"/>
          <w:spacing w:val="2"/>
          <w:w w:val="110"/>
          <w:sz w:val="21"/>
        </w:rPr>
        <w:t> </w:t>
      </w:r>
      <w:r>
        <w:rPr>
          <w:color w:val="383638"/>
          <w:w w:val="110"/>
          <w:sz w:val="21"/>
        </w:rPr>
        <w:t>differently</w:t>
      </w:r>
      <w:r>
        <w:rPr>
          <w:color w:val="383638"/>
          <w:spacing w:val="23"/>
          <w:w w:val="110"/>
          <w:sz w:val="21"/>
        </w:rPr>
        <w:t> </w:t>
      </w:r>
      <w:r>
        <w:rPr>
          <w:color w:val="383638"/>
          <w:w w:val="110"/>
          <w:sz w:val="21"/>
        </w:rPr>
        <w:t>And</w:t>
      </w:r>
      <w:r>
        <w:rPr>
          <w:color w:val="383638"/>
          <w:spacing w:val="21"/>
          <w:w w:val="110"/>
          <w:sz w:val="21"/>
        </w:rPr>
        <w:t> </w:t>
      </w:r>
      <w:r>
        <w:rPr>
          <w:color w:val="383638"/>
          <w:w w:val="110"/>
          <w:sz w:val="21"/>
        </w:rPr>
        <w:t>third,</w:t>
      </w:r>
    </w:p>
    <w:p>
      <w:pPr>
        <w:spacing w:line="230" w:lineRule="auto" w:before="10"/>
        <w:ind w:left="424" w:right="832" w:firstLine="6"/>
        <w:jc w:val="both"/>
        <w:rPr>
          <w:rFonts w:ascii="Arial"/>
          <w:b/>
          <w:sz w:val="20"/>
        </w:rPr>
      </w:pPr>
      <w:r>
        <w:rPr>
          <w:color w:val="383638"/>
          <w:w w:val="115"/>
          <w:sz w:val="21"/>
        </w:rPr>
        <w:t>you have to build a technique of phrasing your issue which will not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spacing w:val="-1"/>
          <w:w w:val="115"/>
          <w:sz w:val="21"/>
        </w:rPr>
        <w:t>only</w:t>
      </w:r>
      <w:r>
        <w:rPr>
          <w:color w:val="383638"/>
          <w:spacing w:val="-35"/>
          <w:w w:val="115"/>
          <w:sz w:val="21"/>
        </w:rPr>
        <w:t> </w:t>
      </w:r>
      <w:r>
        <w:rPr>
          <w:color w:val="383638"/>
          <w:spacing w:val="-1"/>
          <w:w w:val="115"/>
          <w:sz w:val="21"/>
        </w:rPr>
        <w:t>capture</w:t>
      </w:r>
      <w:r>
        <w:rPr>
          <w:color w:val="383638"/>
          <w:spacing w:val="-20"/>
          <w:w w:val="115"/>
          <w:sz w:val="21"/>
        </w:rPr>
        <w:t> </w:t>
      </w:r>
      <w:r>
        <w:rPr>
          <w:color w:val="383638"/>
          <w:spacing w:val="-1"/>
          <w:w w:val="115"/>
          <w:sz w:val="21"/>
        </w:rPr>
        <w:t>the</w:t>
      </w:r>
      <w:r>
        <w:rPr>
          <w:color w:val="383638"/>
          <w:spacing w:val="-2"/>
          <w:w w:val="115"/>
          <w:sz w:val="21"/>
        </w:rPr>
        <w:t> </w:t>
      </w:r>
      <w:r>
        <w:rPr>
          <w:color w:val="383638"/>
          <w:spacing w:val="-1"/>
          <w:w w:val="115"/>
          <w:sz w:val="21"/>
        </w:rPr>
        <w:t>Court</w:t>
      </w:r>
      <w:r>
        <w:rPr>
          <w:color w:val="383638"/>
          <w:spacing w:val="-11"/>
          <w:w w:val="115"/>
          <w:sz w:val="21"/>
        </w:rPr>
        <w:t> </w:t>
      </w:r>
      <w:r>
        <w:rPr>
          <w:color w:val="383638"/>
          <w:spacing w:val="-1"/>
          <w:w w:val="115"/>
          <w:sz w:val="21"/>
        </w:rPr>
        <w:t>but</w:t>
      </w:r>
      <w:r>
        <w:rPr>
          <w:color w:val="383638"/>
          <w:spacing w:val="-4"/>
          <w:w w:val="115"/>
          <w:sz w:val="21"/>
        </w:rPr>
        <w:t> </w:t>
      </w:r>
      <w:r>
        <w:rPr>
          <w:color w:val="383638"/>
          <w:spacing w:val="-1"/>
          <w:w w:val="115"/>
          <w:sz w:val="21"/>
        </w:rPr>
        <w:t>which</w:t>
      </w:r>
      <w:r>
        <w:rPr>
          <w:color w:val="383638"/>
          <w:spacing w:val="-16"/>
          <w:w w:val="115"/>
          <w:sz w:val="21"/>
        </w:rPr>
        <w:t> </w:t>
      </w:r>
      <w:r>
        <w:rPr>
          <w:color w:val="383638"/>
          <w:w w:val="115"/>
          <w:sz w:val="21"/>
        </w:rPr>
        <w:t>will</w:t>
      </w:r>
      <w:r>
        <w:rPr>
          <w:color w:val="383638"/>
          <w:spacing w:val="-32"/>
          <w:w w:val="115"/>
          <w:sz w:val="21"/>
        </w:rPr>
        <w:t> </w:t>
      </w:r>
      <w:r>
        <w:rPr>
          <w:color w:val="383638"/>
          <w:w w:val="115"/>
          <w:sz w:val="21"/>
        </w:rPr>
        <w:t>stick</w:t>
      </w:r>
      <w:r>
        <w:rPr>
          <w:color w:val="383638"/>
          <w:spacing w:val="-15"/>
          <w:w w:val="115"/>
          <w:sz w:val="21"/>
        </w:rPr>
        <w:t> </w:t>
      </w:r>
      <w:r>
        <w:rPr>
          <w:color w:val="383638"/>
          <w:w w:val="115"/>
          <w:sz w:val="21"/>
        </w:rPr>
        <w:t>your</w:t>
      </w:r>
      <w:r>
        <w:rPr>
          <w:color w:val="383638"/>
          <w:spacing w:val="-22"/>
          <w:w w:val="115"/>
          <w:sz w:val="21"/>
        </w:rPr>
        <w:t> </w:t>
      </w:r>
      <w:r>
        <w:rPr>
          <w:color w:val="383638"/>
          <w:w w:val="115"/>
          <w:sz w:val="21"/>
        </w:rPr>
        <w:t>capture</w:t>
      </w:r>
      <w:r>
        <w:rPr>
          <w:color w:val="383638"/>
          <w:spacing w:val="-24"/>
          <w:w w:val="115"/>
          <w:sz w:val="21"/>
        </w:rPr>
        <w:t> </w:t>
      </w:r>
      <w:r>
        <w:rPr>
          <w:color w:val="383638"/>
          <w:w w:val="115"/>
          <w:sz w:val="21"/>
        </w:rPr>
        <w:t>into</w:t>
      </w:r>
      <w:r>
        <w:rPr>
          <w:color w:val="383638"/>
          <w:spacing w:val="-28"/>
          <w:w w:val="115"/>
          <w:sz w:val="21"/>
        </w:rPr>
        <w:t> </w:t>
      </w:r>
      <w:r>
        <w:rPr>
          <w:color w:val="383638"/>
          <w:w w:val="115"/>
          <w:sz w:val="21"/>
        </w:rPr>
        <w:t>the</w:t>
      </w:r>
      <w:r>
        <w:rPr>
          <w:color w:val="383638"/>
          <w:spacing w:val="-19"/>
          <w:w w:val="115"/>
          <w:sz w:val="21"/>
        </w:rPr>
        <w:t> </w:t>
      </w:r>
      <w:r>
        <w:rPr>
          <w:color w:val="383638"/>
          <w:w w:val="115"/>
          <w:sz w:val="21"/>
        </w:rPr>
        <w:t>Court's</w:t>
      </w:r>
      <w:r>
        <w:rPr>
          <w:color w:val="383638"/>
          <w:spacing w:val="-58"/>
          <w:w w:val="115"/>
          <w:sz w:val="21"/>
        </w:rPr>
        <w:t> </w:t>
      </w:r>
      <w:r>
        <w:rPr>
          <w:color w:val="383638"/>
          <w:w w:val="110"/>
          <w:sz w:val="21"/>
        </w:rPr>
        <w:t>head</w:t>
      </w:r>
      <w:r>
        <w:rPr>
          <w:color w:val="383638"/>
          <w:spacing w:val="-11"/>
          <w:w w:val="110"/>
          <w:sz w:val="21"/>
        </w:rPr>
        <w:t> </w:t>
      </w:r>
      <w:r>
        <w:rPr>
          <w:color w:val="383638"/>
          <w:w w:val="110"/>
          <w:sz w:val="21"/>
        </w:rPr>
        <w:t>so</w:t>
      </w:r>
      <w:r>
        <w:rPr>
          <w:color w:val="383638"/>
          <w:spacing w:val="11"/>
          <w:w w:val="110"/>
          <w:sz w:val="21"/>
        </w:rPr>
        <w:t> </w:t>
      </w:r>
      <w:r>
        <w:rPr>
          <w:color w:val="383638"/>
          <w:w w:val="110"/>
          <w:sz w:val="21"/>
        </w:rPr>
        <w:t>that it</w:t>
      </w:r>
      <w:r>
        <w:rPr>
          <w:color w:val="383638"/>
          <w:spacing w:val="-7"/>
          <w:w w:val="110"/>
          <w:sz w:val="21"/>
        </w:rPr>
        <w:t> </w:t>
      </w:r>
      <w:r>
        <w:rPr>
          <w:color w:val="383638"/>
          <w:w w:val="110"/>
          <w:sz w:val="21"/>
        </w:rPr>
        <w:t>can't</w:t>
      </w:r>
      <w:r>
        <w:rPr>
          <w:color w:val="383638"/>
          <w:spacing w:val="-11"/>
          <w:w w:val="110"/>
          <w:sz w:val="21"/>
        </w:rPr>
        <w:t> </w:t>
      </w:r>
      <w:r>
        <w:rPr>
          <w:color w:val="383638"/>
          <w:w w:val="110"/>
          <w:sz w:val="21"/>
        </w:rPr>
        <w:t>forget</w:t>
      </w:r>
      <w:r>
        <w:rPr>
          <w:color w:val="383638"/>
          <w:spacing w:val="-5"/>
          <w:w w:val="110"/>
          <w:sz w:val="21"/>
        </w:rPr>
        <w:t> </w:t>
      </w:r>
      <w:r>
        <w:rPr>
          <w:b/>
          <w:color w:val="383638"/>
          <w:w w:val="110"/>
          <w:sz w:val="20"/>
        </w:rPr>
        <w:t>it.</w:t>
      </w:r>
      <w:r>
        <w:rPr>
          <w:rFonts w:ascii="Arial"/>
          <w:b/>
          <w:color w:val="383638"/>
          <w:w w:val="110"/>
          <w:sz w:val="20"/>
          <w:vertAlign w:val="superscript"/>
        </w:rPr>
        <w:t>3</w:t>
      </w:r>
    </w:p>
    <w:p>
      <w:pPr>
        <w:pStyle w:val="BodyText"/>
        <w:spacing w:line="235" w:lineRule="auto" w:before="150"/>
        <w:ind w:left="104" w:right="395" w:firstLine="328"/>
        <w:jc w:val="both"/>
      </w:pPr>
      <w:r>
        <w:rPr>
          <w:color w:val="383638"/>
          <w:w w:val="110"/>
        </w:rPr>
        <w:t>Conventional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wisdom  has it  that the advocate should draft a ques­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tion so that a "yes" answer is favorable to his or her case. This advice is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valid, but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following it may not  result in a question that grabs the  read­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er's attention and allows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reader to see the case from the advocate's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point of view. The better path is to ask yourself how you would describe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your client's case 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nutshell. What facts are most important? How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would you characterize the issue? Look at the differences between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following two questions. They were written from the opposite sides of</w:t>
      </w:r>
      <w:r>
        <w:rPr>
          <w:color w:val="383638"/>
          <w:spacing w:val="1"/>
          <w:w w:val="110"/>
        </w:rPr>
        <w:t> </w:t>
      </w:r>
      <w:r>
        <w:rPr>
          <w:i/>
          <w:color w:val="383638"/>
          <w:w w:val="105"/>
          <w:sz w:val="24"/>
        </w:rPr>
        <w:t>Minnesota v. Carter, </w:t>
      </w:r>
      <w:r>
        <w:rPr>
          <w:color w:val="383638"/>
          <w:w w:val="105"/>
        </w:rPr>
        <w:t>525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U.S. 83 (1998), a case about the constitutionality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of an arrest that was based on an officer's observation of two apparent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drug dealers in a colleague's apartment as they "bagged" some drugs for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sale:</w:t>
      </w:r>
    </w:p>
    <w:p>
      <w:pPr>
        <w:spacing w:before="102"/>
        <w:ind w:left="433" w:right="762" w:firstLine="16"/>
        <w:jc w:val="both"/>
        <w:rPr>
          <w:sz w:val="21"/>
        </w:rPr>
      </w:pPr>
      <w:r>
        <w:rPr>
          <w:color w:val="383638"/>
          <w:w w:val="115"/>
          <w:sz w:val="21"/>
        </w:rPr>
        <w:t>Under the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Fourth Amendment, was the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Minnesota Supreme Court</w:t>
      </w:r>
      <w:r>
        <w:rPr>
          <w:color w:val="383638"/>
          <w:spacing w:val="1"/>
          <w:w w:val="115"/>
          <w:sz w:val="21"/>
        </w:rPr>
        <w:t> </w:t>
      </w:r>
      <w:r>
        <w:rPr>
          <w:b/>
          <w:color w:val="383638"/>
          <w:spacing w:val="-1"/>
          <w:w w:val="110"/>
          <w:sz w:val="21"/>
        </w:rPr>
        <w:t>correct</w:t>
      </w:r>
      <w:r>
        <w:rPr>
          <w:b/>
          <w:color w:val="383638"/>
          <w:spacing w:val="-2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when</w:t>
      </w:r>
      <w:r>
        <w:rPr>
          <w:b/>
          <w:color w:val="383638"/>
          <w:spacing w:val="-20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it</w:t>
      </w:r>
      <w:r>
        <w:rPr>
          <w:b/>
          <w:color w:val="383638"/>
          <w:spacing w:val="-17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found</w:t>
      </w:r>
      <w:r>
        <w:rPr>
          <w:b/>
          <w:color w:val="383638"/>
          <w:spacing w:val="-10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that</w:t>
      </w:r>
      <w:r>
        <w:rPr>
          <w:b/>
          <w:color w:val="383638"/>
          <w:spacing w:val="-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Respondents,</w:t>
      </w:r>
      <w:r>
        <w:rPr>
          <w:b/>
          <w:color w:val="383638"/>
          <w:spacing w:val="-1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as</w:t>
      </w:r>
      <w:r>
        <w:rPr>
          <w:b/>
          <w:color w:val="383638"/>
          <w:spacing w:val="-7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social</w:t>
      </w:r>
      <w:r>
        <w:rPr>
          <w:b/>
          <w:color w:val="383638"/>
          <w:spacing w:val="-1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guests,</w:t>
      </w:r>
      <w:r>
        <w:rPr>
          <w:b/>
          <w:color w:val="383638"/>
          <w:spacing w:val="-1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had</w:t>
      </w:r>
      <w:r>
        <w:rPr>
          <w:b/>
          <w:color w:val="383638"/>
          <w:spacing w:val="-1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</w:t>
      </w:r>
      <w:r>
        <w:rPr>
          <w:b/>
          <w:color w:val="383638"/>
          <w:spacing w:val="-1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reason­</w:t>
      </w:r>
      <w:r>
        <w:rPr>
          <w:b/>
          <w:color w:val="383638"/>
          <w:spacing w:val="-56"/>
          <w:w w:val="110"/>
          <w:sz w:val="21"/>
        </w:rPr>
        <w:t> </w:t>
      </w:r>
      <w:r>
        <w:rPr>
          <w:color w:val="383638"/>
          <w:w w:val="115"/>
          <w:sz w:val="21"/>
        </w:rPr>
        <w:t>able</w:t>
      </w:r>
      <w:r>
        <w:rPr>
          <w:color w:val="383638"/>
          <w:spacing w:val="-18"/>
          <w:w w:val="115"/>
          <w:sz w:val="21"/>
        </w:rPr>
        <w:t> </w:t>
      </w:r>
      <w:r>
        <w:rPr>
          <w:color w:val="383638"/>
          <w:w w:val="115"/>
          <w:sz w:val="21"/>
        </w:rPr>
        <w:t>expectation</w:t>
      </w:r>
      <w:r>
        <w:rPr>
          <w:color w:val="383638"/>
          <w:spacing w:val="6"/>
          <w:w w:val="115"/>
          <w:sz w:val="21"/>
        </w:rPr>
        <w:t> </w:t>
      </w:r>
      <w:r>
        <w:rPr>
          <w:color w:val="383638"/>
          <w:w w:val="115"/>
          <w:sz w:val="21"/>
        </w:rPr>
        <w:t>of</w:t>
      </w:r>
      <w:r>
        <w:rPr>
          <w:color w:val="383638"/>
          <w:spacing w:val="6"/>
          <w:w w:val="115"/>
          <w:sz w:val="21"/>
        </w:rPr>
        <w:t> </w:t>
      </w:r>
      <w:r>
        <w:rPr>
          <w:color w:val="383638"/>
          <w:w w:val="115"/>
          <w:sz w:val="21"/>
        </w:rPr>
        <w:t>privacy</w:t>
      </w:r>
      <w:r>
        <w:rPr>
          <w:color w:val="383638"/>
          <w:spacing w:val="-6"/>
          <w:w w:val="115"/>
          <w:sz w:val="21"/>
        </w:rPr>
        <w:t> </w:t>
      </w:r>
      <w:r>
        <w:rPr>
          <w:color w:val="383638"/>
          <w:w w:val="115"/>
          <w:sz w:val="19"/>
        </w:rPr>
        <w:t>in</w:t>
      </w:r>
      <w:r>
        <w:rPr>
          <w:color w:val="383638"/>
          <w:spacing w:val="3"/>
          <w:w w:val="115"/>
          <w:sz w:val="19"/>
        </w:rPr>
        <w:t> </w:t>
      </w:r>
      <w:r>
        <w:rPr>
          <w:color w:val="383638"/>
          <w:w w:val="115"/>
          <w:sz w:val="21"/>
        </w:rPr>
        <w:t>the</w:t>
      </w:r>
      <w:r>
        <w:rPr>
          <w:color w:val="383638"/>
          <w:spacing w:val="26"/>
          <w:w w:val="115"/>
          <w:sz w:val="21"/>
        </w:rPr>
        <w:t> </w:t>
      </w:r>
      <w:r>
        <w:rPr>
          <w:color w:val="383638"/>
          <w:w w:val="115"/>
          <w:sz w:val="21"/>
        </w:rPr>
        <w:t>home</w:t>
      </w:r>
      <w:r>
        <w:rPr>
          <w:color w:val="383638"/>
          <w:spacing w:val="-7"/>
          <w:w w:val="115"/>
          <w:sz w:val="21"/>
        </w:rPr>
        <w:t> </w:t>
      </w:r>
      <w:r>
        <w:rPr>
          <w:color w:val="383638"/>
          <w:w w:val="115"/>
          <w:sz w:val="21"/>
        </w:rPr>
        <w:t>they</w:t>
      </w:r>
      <w:r>
        <w:rPr>
          <w:color w:val="383638"/>
          <w:spacing w:val="-14"/>
          <w:w w:val="115"/>
          <w:sz w:val="21"/>
        </w:rPr>
        <w:t> </w:t>
      </w:r>
      <w:r>
        <w:rPr>
          <w:color w:val="383638"/>
          <w:w w:val="115"/>
          <w:sz w:val="21"/>
        </w:rPr>
        <w:t>were</w:t>
      </w:r>
      <w:r>
        <w:rPr>
          <w:color w:val="383638"/>
          <w:spacing w:val="-20"/>
          <w:w w:val="115"/>
          <w:sz w:val="21"/>
        </w:rPr>
        <w:t> </w:t>
      </w:r>
      <w:r>
        <w:rPr>
          <w:color w:val="383638"/>
          <w:w w:val="115"/>
          <w:sz w:val="21"/>
        </w:rPr>
        <w:t>visiting?</w:t>
      </w:r>
    </w:p>
    <w:p>
      <w:pPr>
        <w:spacing w:line="240" w:lineRule="auto" w:before="133"/>
        <w:ind w:left="440" w:right="728" w:firstLine="8"/>
        <w:jc w:val="both"/>
        <w:rPr>
          <w:b/>
          <w:sz w:val="21"/>
        </w:rPr>
      </w:pPr>
      <w:r>
        <w:rPr>
          <w:b/>
          <w:color w:val="383638"/>
          <w:w w:val="115"/>
          <w:sz w:val="21"/>
        </w:rPr>
        <w:t>Whether the Fourth Amendment gives invitees into a residence a</w:t>
      </w:r>
      <w:r>
        <w:rPr>
          <w:b/>
          <w:color w:val="383638"/>
          <w:spacing w:val="1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legitimate expectation of privacy while </w:t>
      </w:r>
      <w:r>
        <w:rPr>
          <w:b/>
          <w:color w:val="383638"/>
          <w:w w:val="115"/>
          <w:sz w:val="19"/>
        </w:rPr>
        <w:t>in </w:t>
      </w:r>
      <w:r>
        <w:rPr>
          <w:b/>
          <w:color w:val="383638"/>
          <w:w w:val="115"/>
          <w:sz w:val="21"/>
        </w:rPr>
        <w:t>the residence when their</w:t>
      </w:r>
      <w:r>
        <w:rPr>
          <w:b/>
          <w:color w:val="383638"/>
          <w:spacing w:val="-58"/>
          <w:w w:val="115"/>
          <w:sz w:val="21"/>
        </w:rPr>
        <w:t> </w:t>
      </w:r>
      <w:r>
        <w:rPr>
          <w:color w:val="383638"/>
          <w:w w:val="115"/>
          <w:sz w:val="21"/>
        </w:rPr>
        <w:t>sole </w:t>
      </w:r>
      <w:r>
        <w:rPr>
          <w:b/>
          <w:color w:val="383638"/>
          <w:w w:val="115"/>
          <w:sz w:val="21"/>
        </w:rPr>
        <w:t>purpose for being present is to assist the resident in an illegal</w:t>
      </w:r>
      <w:r>
        <w:rPr>
          <w:b/>
          <w:color w:val="383638"/>
          <w:spacing w:val="1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activity?</w:t>
      </w:r>
    </w:p>
    <w:p>
      <w:pPr>
        <w:pStyle w:val="BodyText"/>
        <w:spacing w:line="232" w:lineRule="auto" w:before="130"/>
        <w:ind w:left="121" w:right="314" w:firstLine="5"/>
        <w:jc w:val="both"/>
      </w:pPr>
      <w:r>
        <w:rPr>
          <w:color w:val="383638"/>
          <w:w w:val="110"/>
        </w:rPr>
        <w:t>Note that the writer of the first wants the reader to answer "yes," to agree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with the assertion that social guests have a reasonable expectation of pri­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vacy</w:t>
      </w:r>
      <w:r>
        <w:rPr>
          <w:color w:val="383638"/>
          <w:spacing w:val="-33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27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8"/>
          <w:w w:val="110"/>
        </w:rPr>
        <w:t> </w:t>
      </w:r>
      <w:r>
        <w:rPr>
          <w:color w:val="383638"/>
          <w:w w:val="110"/>
        </w:rPr>
        <w:t>home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which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they</w:t>
      </w:r>
      <w:r>
        <w:rPr>
          <w:color w:val="383638"/>
          <w:spacing w:val="-26"/>
          <w:w w:val="110"/>
        </w:rPr>
        <w:t> </w:t>
      </w:r>
      <w:r>
        <w:rPr>
          <w:color w:val="383638"/>
          <w:w w:val="110"/>
        </w:rPr>
        <w:t>are</w:t>
      </w:r>
      <w:r>
        <w:rPr>
          <w:color w:val="383638"/>
          <w:spacing w:val="-24"/>
          <w:w w:val="110"/>
        </w:rPr>
        <w:t> </w:t>
      </w:r>
      <w:r>
        <w:rPr>
          <w:color w:val="383638"/>
          <w:w w:val="110"/>
        </w:rPr>
        <w:t>visiting</w:t>
      </w:r>
      <w:r>
        <w:rPr>
          <w:color w:val="5B5B5D"/>
          <w:w w:val="110"/>
        </w:rPr>
        <w:t>.</w:t>
      </w:r>
      <w:r>
        <w:rPr>
          <w:color w:val="5B5B5D"/>
          <w:spacing w:val="-30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second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-27"/>
          <w:w w:val="110"/>
        </w:rPr>
        <w:t> </w:t>
      </w:r>
      <w:r>
        <w:rPr>
          <w:color w:val="383638"/>
          <w:w w:val="110"/>
        </w:rPr>
        <w:t>also</w:t>
      </w:r>
      <w:r>
        <w:rPr>
          <w:color w:val="383638"/>
          <w:spacing w:val="-36"/>
          <w:w w:val="110"/>
        </w:rPr>
        <w:t> </w:t>
      </w:r>
      <w:r>
        <w:rPr>
          <w:color w:val="383638"/>
          <w:w w:val="110"/>
        </w:rPr>
        <w:t>an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effective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question, but the drafter of that question has essentially asked the ques­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  <w:sz w:val="22"/>
        </w:rPr>
        <w:t>tion </w:t>
      </w:r>
      <w:r>
        <w:rPr>
          <w:color w:val="383638"/>
          <w:w w:val="110"/>
        </w:rPr>
        <w:t>"do invitees have a legitimate expectation of privacy when they are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doing something illegal?" and hopes that the reader will answer "of course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not!" By asking the question in this way, the drafter tries to show that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opponent's argument is based on a ridiculous premise. The drafter hopes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49"/>
          <w:w w:val="110"/>
        </w:rPr>
        <w:t> </w:t>
      </w:r>
      <w:r>
        <w:rPr>
          <w:color w:val="383638"/>
          <w:w w:val="110"/>
        </w:rPr>
        <w:t>court's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dramatic,</w:t>
      </w:r>
      <w:r>
        <w:rPr>
          <w:color w:val="383638"/>
          <w:spacing w:val="29"/>
          <w:w w:val="110"/>
        </w:rPr>
        <w:t> </w:t>
      </w:r>
      <w:r>
        <w:rPr>
          <w:color w:val="383638"/>
          <w:w w:val="110"/>
        </w:rPr>
        <w:t>negative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reaction</w:t>
      </w:r>
      <w:r>
        <w:rPr>
          <w:color w:val="383638"/>
          <w:spacing w:val="30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30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8"/>
          <w:w w:val="110"/>
        </w:rPr>
        <w:t> </w:t>
      </w:r>
      <w:r>
        <w:rPr>
          <w:color w:val="383638"/>
          <w:w w:val="110"/>
        </w:rPr>
        <w:t>question</w:t>
      </w:r>
      <w:r>
        <w:rPr>
          <w:color w:val="383638"/>
          <w:spacing w:val="27"/>
          <w:w w:val="110"/>
        </w:rPr>
        <w:t> </w:t>
      </w:r>
      <w:r>
        <w:rPr>
          <w:color w:val="383638"/>
          <w:w w:val="110"/>
        </w:rPr>
        <w:t>will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convince</w:t>
      </w:r>
      <w:r>
        <w:rPr>
          <w:color w:val="383638"/>
          <w:spacing w:val="-60"/>
          <w:w w:val="110"/>
        </w:rPr>
        <w:t> </w:t>
      </w:r>
      <w:r>
        <w:rPr>
          <w:color w:val="383638"/>
          <w:w w:val="110"/>
        </w:rPr>
        <w:t>it</w:t>
      </w:r>
      <w:r>
        <w:rPr>
          <w:color w:val="383638"/>
          <w:spacing w:val="-24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other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side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asking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ridiculous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result.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spacing w:line="199" w:lineRule="auto" w:before="0"/>
        <w:ind w:left="138" w:right="252" w:firstLine="327"/>
        <w:jc w:val="left"/>
        <w:rPr>
          <w:sz w:val="17"/>
        </w:rPr>
      </w:pPr>
      <w:r>
        <w:rPr>
          <w:rFonts w:ascii="Arial"/>
          <w:color w:val="383638"/>
          <w:w w:val="105"/>
          <w:position w:val="5"/>
          <w:sz w:val="11"/>
        </w:rPr>
        <w:t>3</w:t>
      </w:r>
      <w:r>
        <w:rPr>
          <w:color w:val="383638"/>
          <w:w w:val="105"/>
          <w:sz w:val="17"/>
        </w:rPr>
        <w:t>Karl</w:t>
      </w:r>
      <w:r>
        <w:rPr>
          <w:color w:val="383638"/>
          <w:spacing w:val="21"/>
          <w:w w:val="105"/>
          <w:sz w:val="17"/>
        </w:rPr>
        <w:t> </w:t>
      </w:r>
      <w:r>
        <w:rPr>
          <w:color w:val="383638"/>
          <w:w w:val="105"/>
          <w:sz w:val="17"/>
        </w:rPr>
        <w:t>N</w:t>
      </w:r>
      <w:r>
        <w:rPr>
          <w:color w:val="5B5B5D"/>
          <w:w w:val="105"/>
          <w:sz w:val="17"/>
        </w:rPr>
        <w:t>.</w:t>
      </w:r>
      <w:r>
        <w:rPr>
          <w:color w:val="5B5B5D"/>
          <w:spacing w:val="19"/>
          <w:w w:val="105"/>
          <w:sz w:val="17"/>
        </w:rPr>
        <w:t> </w:t>
      </w:r>
      <w:r>
        <w:rPr>
          <w:color w:val="383638"/>
          <w:w w:val="105"/>
          <w:sz w:val="17"/>
        </w:rPr>
        <w:t>Llewellyn,</w:t>
      </w:r>
      <w:r>
        <w:rPr>
          <w:color w:val="383638"/>
          <w:spacing w:val="44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A</w:t>
      </w:r>
      <w:r>
        <w:rPr>
          <w:i/>
          <w:color w:val="383638"/>
          <w:spacing w:val="13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Lechire</w:t>
      </w:r>
      <w:r>
        <w:rPr>
          <w:i/>
          <w:color w:val="383638"/>
          <w:spacing w:val="6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on</w:t>
      </w:r>
      <w:r>
        <w:rPr>
          <w:i/>
          <w:color w:val="383638"/>
          <w:spacing w:val="2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Appellat</w:t>
      </w:r>
      <w:r>
        <w:rPr>
          <w:i/>
          <w:color w:val="5B5B5D"/>
          <w:w w:val="105"/>
          <w:sz w:val="17"/>
        </w:rPr>
        <w:t>e</w:t>
      </w:r>
      <w:r>
        <w:rPr>
          <w:i/>
          <w:color w:val="5B5B5D"/>
          <w:spacing w:val="30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Advocacy,</w:t>
      </w:r>
      <w:r>
        <w:rPr>
          <w:i/>
          <w:color w:val="383638"/>
          <w:spacing w:val="11"/>
          <w:w w:val="105"/>
          <w:sz w:val="17"/>
        </w:rPr>
        <w:t> </w:t>
      </w:r>
      <w:r>
        <w:rPr>
          <w:color w:val="383638"/>
          <w:w w:val="105"/>
          <w:sz w:val="17"/>
        </w:rPr>
        <w:t>29 </w:t>
      </w:r>
      <w:r>
        <w:rPr>
          <w:color w:val="383638"/>
          <w:spacing w:val="5"/>
          <w:w w:val="105"/>
          <w:sz w:val="17"/>
        </w:rPr>
        <w:t> </w:t>
      </w:r>
      <w:r>
        <w:rPr>
          <w:color w:val="383638"/>
          <w:w w:val="105"/>
          <w:sz w:val="17"/>
        </w:rPr>
        <w:t>U.</w:t>
      </w:r>
      <w:r>
        <w:rPr>
          <w:color w:val="383638"/>
          <w:spacing w:val="22"/>
          <w:w w:val="105"/>
          <w:sz w:val="17"/>
        </w:rPr>
        <w:t> </w:t>
      </w:r>
      <w:r>
        <w:rPr>
          <w:color w:val="383638"/>
          <w:w w:val="105"/>
          <w:sz w:val="17"/>
        </w:rPr>
        <w:t>Chi.</w:t>
      </w:r>
      <w:r>
        <w:rPr>
          <w:color w:val="383638"/>
          <w:spacing w:val="-4"/>
          <w:w w:val="105"/>
          <w:sz w:val="17"/>
        </w:rPr>
        <w:t> </w:t>
      </w:r>
      <w:r>
        <w:rPr>
          <w:color w:val="383638"/>
          <w:w w:val="105"/>
          <w:sz w:val="17"/>
        </w:rPr>
        <w:t>L.</w:t>
      </w:r>
      <w:r>
        <w:rPr>
          <w:color w:val="383638"/>
          <w:spacing w:val="10"/>
          <w:w w:val="105"/>
          <w:sz w:val="17"/>
        </w:rPr>
        <w:t> </w:t>
      </w:r>
      <w:r>
        <w:rPr>
          <w:color w:val="383638"/>
          <w:w w:val="105"/>
          <w:sz w:val="17"/>
        </w:rPr>
        <w:t>Rev.</w:t>
      </w:r>
      <w:r>
        <w:rPr>
          <w:color w:val="383638"/>
          <w:spacing w:val="11"/>
          <w:w w:val="105"/>
          <w:sz w:val="17"/>
        </w:rPr>
        <w:t> </w:t>
      </w:r>
      <w:r>
        <w:rPr>
          <w:color w:val="383638"/>
          <w:w w:val="105"/>
          <w:sz w:val="17"/>
        </w:rPr>
        <w:t>627,</w:t>
      </w:r>
      <w:r>
        <w:rPr>
          <w:color w:val="383638"/>
          <w:spacing w:val="9"/>
          <w:w w:val="105"/>
          <w:sz w:val="17"/>
        </w:rPr>
        <w:t> </w:t>
      </w:r>
      <w:r>
        <w:rPr>
          <w:color w:val="383638"/>
          <w:w w:val="105"/>
          <w:sz w:val="17"/>
        </w:rPr>
        <w:t>630</w:t>
      </w:r>
      <w:r>
        <w:rPr>
          <w:color w:val="383638"/>
          <w:spacing w:val="13"/>
          <w:w w:val="105"/>
          <w:sz w:val="17"/>
        </w:rPr>
        <w:t> </w:t>
      </w:r>
      <w:r>
        <w:rPr>
          <w:color w:val="383638"/>
          <w:w w:val="105"/>
          <w:sz w:val="17"/>
        </w:rPr>
        <w:t>(1962)</w:t>
      </w:r>
      <w:r>
        <w:rPr>
          <w:color w:val="5B5B5D"/>
          <w:w w:val="105"/>
          <w:sz w:val="17"/>
        </w:rPr>
        <w:t>,</w:t>
      </w:r>
      <w:r>
        <w:rPr>
          <w:color w:val="5B5B5D"/>
          <w:spacing w:val="16"/>
          <w:w w:val="105"/>
          <w:sz w:val="17"/>
        </w:rPr>
        <w:t> </w:t>
      </w:r>
      <w:r>
        <w:rPr>
          <w:color w:val="383638"/>
          <w:w w:val="105"/>
          <w:sz w:val="17"/>
        </w:rPr>
        <w:t>cited</w:t>
      </w:r>
      <w:r>
        <w:rPr>
          <w:color w:val="383638"/>
          <w:spacing w:val="1"/>
          <w:w w:val="105"/>
          <w:sz w:val="17"/>
        </w:rPr>
        <w:t> </w:t>
      </w:r>
      <w:r>
        <w:rPr>
          <w:color w:val="383638"/>
          <w:w w:val="105"/>
          <w:sz w:val="17"/>
        </w:rPr>
        <w:t>In</w:t>
      </w:r>
      <w:r>
        <w:rPr>
          <w:color w:val="383638"/>
          <w:spacing w:val="6"/>
          <w:w w:val="105"/>
          <w:sz w:val="17"/>
        </w:rPr>
        <w:t> </w:t>
      </w:r>
      <w:r>
        <w:rPr>
          <w:color w:val="383638"/>
          <w:w w:val="105"/>
          <w:sz w:val="17"/>
        </w:rPr>
        <w:t>Bryan</w:t>
      </w:r>
      <w:r>
        <w:rPr>
          <w:color w:val="383638"/>
          <w:spacing w:val="14"/>
          <w:w w:val="105"/>
          <w:sz w:val="17"/>
        </w:rPr>
        <w:t> </w:t>
      </w:r>
      <w:r>
        <w:rPr>
          <w:color w:val="383638"/>
          <w:w w:val="105"/>
          <w:sz w:val="17"/>
        </w:rPr>
        <w:t>A.</w:t>
      </w:r>
      <w:r>
        <w:rPr>
          <w:color w:val="383638"/>
          <w:spacing w:val="2"/>
          <w:w w:val="105"/>
          <w:sz w:val="17"/>
        </w:rPr>
        <w:t> </w:t>
      </w:r>
      <w:r>
        <w:rPr>
          <w:color w:val="383638"/>
          <w:w w:val="105"/>
          <w:sz w:val="17"/>
        </w:rPr>
        <w:t>Gamer,</w:t>
      </w:r>
      <w:r>
        <w:rPr>
          <w:color w:val="383638"/>
          <w:spacing w:val="11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The</w:t>
      </w:r>
      <w:r>
        <w:rPr>
          <w:i/>
          <w:color w:val="383638"/>
          <w:spacing w:val="6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Deep</w:t>
      </w:r>
      <w:r>
        <w:rPr>
          <w:i/>
          <w:color w:val="383638"/>
          <w:spacing w:val="6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Issue:</w:t>
      </w:r>
      <w:r>
        <w:rPr>
          <w:i/>
          <w:color w:val="383638"/>
          <w:spacing w:val="-8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A</w:t>
      </w:r>
      <w:r>
        <w:rPr>
          <w:i/>
          <w:color w:val="383638"/>
          <w:spacing w:val="40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New</w:t>
      </w:r>
      <w:r>
        <w:rPr>
          <w:i/>
          <w:color w:val="383638"/>
          <w:spacing w:val="11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Approacll</w:t>
      </w:r>
      <w:r>
        <w:rPr>
          <w:i/>
          <w:color w:val="383638"/>
          <w:spacing w:val="22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to</w:t>
      </w:r>
      <w:r>
        <w:rPr>
          <w:i/>
          <w:color w:val="383638"/>
          <w:spacing w:val="33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Framing</w:t>
      </w:r>
      <w:r>
        <w:rPr>
          <w:i/>
          <w:color w:val="383638"/>
          <w:spacing w:val="22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Legal</w:t>
      </w:r>
      <w:r>
        <w:rPr>
          <w:i/>
          <w:color w:val="383638"/>
          <w:spacing w:val="9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Questions,</w:t>
      </w:r>
      <w:r>
        <w:rPr>
          <w:i/>
          <w:color w:val="383638"/>
          <w:spacing w:val="5"/>
          <w:w w:val="105"/>
          <w:sz w:val="17"/>
        </w:rPr>
        <w:t> </w:t>
      </w:r>
      <w:r>
        <w:rPr>
          <w:color w:val="383638"/>
          <w:w w:val="105"/>
          <w:sz w:val="17"/>
        </w:rPr>
        <w:t>S</w:t>
      </w:r>
      <w:r>
        <w:rPr>
          <w:color w:val="383638"/>
          <w:spacing w:val="9"/>
          <w:w w:val="105"/>
          <w:sz w:val="17"/>
        </w:rPr>
        <w:t> </w:t>
      </w:r>
      <w:r>
        <w:rPr>
          <w:color w:val="383638"/>
          <w:w w:val="105"/>
          <w:sz w:val="17"/>
        </w:rPr>
        <w:t>Scribes</w:t>
      </w:r>
      <w:r>
        <w:rPr>
          <w:color w:val="383638"/>
          <w:spacing w:val="-17"/>
          <w:w w:val="105"/>
          <w:sz w:val="17"/>
        </w:rPr>
        <w:t> </w:t>
      </w:r>
      <w:r>
        <w:rPr>
          <w:color w:val="383638"/>
          <w:w w:val="105"/>
          <w:sz w:val="21"/>
        </w:rPr>
        <w:t>J.</w:t>
      </w:r>
      <w:r>
        <w:rPr>
          <w:color w:val="383638"/>
          <w:spacing w:val="-2"/>
          <w:w w:val="105"/>
          <w:sz w:val="21"/>
        </w:rPr>
        <w:t> </w:t>
      </w:r>
      <w:r>
        <w:rPr>
          <w:color w:val="383638"/>
          <w:w w:val="105"/>
          <w:sz w:val="17"/>
        </w:rPr>
        <w:t>Legal</w:t>
      </w:r>
    </w:p>
    <w:p>
      <w:pPr>
        <w:spacing w:before="15"/>
        <w:ind w:left="139" w:right="0" w:firstLine="0"/>
        <w:jc w:val="both"/>
        <w:rPr>
          <w:sz w:val="17"/>
        </w:rPr>
      </w:pPr>
      <w:r>
        <w:rPr>
          <w:color w:val="383638"/>
          <w:w w:val="105"/>
          <w:sz w:val="17"/>
        </w:rPr>
        <w:t>Writing</w:t>
      </w:r>
      <w:r>
        <w:rPr>
          <w:color w:val="383638"/>
          <w:spacing w:val="3"/>
          <w:w w:val="105"/>
          <w:sz w:val="17"/>
        </w:rPr>
        <w:t> </w:t>
      </w:r>
      <w:r>
        <w:rPr>
          <w:color w:val="383638"/>
          <w:w w:val="105"/>
          <w:sz w:val="17"/>
        </w:rPr>
        <w:t>1,</w:t>
      </w:r>
      <w:r>
        <w:rPr>
          <w:color w:val="383638"/>
          <w:spacing w:val="11"/>
          <w:w w:val="105"/>
          <w:sz w:val="17"/>
        </w:rPr>
        <w:t> </w:t>
      </w:r>
      <w:r>
        <w:rPr>
          <w:color w:val="383638"/>
          <w:w w:val="105"/>
          <w:sz w:val="17"/>
        </w:rPr>
        <w:t>11</w:t>
      </w:r>
      <w:r>
        <w:rPr>
          <w:color w:val="383638"/>
          <w:spacing w:val="30"/>
          <w:w w:val="105"/>
          <w:sz w:val="17"/>
        </w:rPr>
        <w:t> </w:t>
      </w:r>
      <w:r>
        <w:rPr>
          <w:color w:val="383638"/>
          <w:w w:val="105"/>
          <w:sz w:val="17"/>
        </w:rPr>
        <w:t>(1994-9S).</w:t>
      </w:r>
    </w:p>
    <w:p>
      <w:pPr>
        <w:spacing w:after="0"/>
        <w:jc w:val="both"/>
        <w:rPr>
          <w:sz w:val="17"/>
        </w:rPr>
        <w:sectPr>
          <w:headerReference w:type="default" r:id="rId224"/>
          <w:headerReference w:type="even" r:id="rId225"/>
          <w:pgSz w:w="9680" w:h="14020"/>
          <w:pgMar w:header="669" w:footer="0" w:top="1260" w:bottom="280" w:left="340" w:right="1340"/>
          <w:pgNumType w:start="195"/>
        </w:sectPr>
      </w:pPr>
    </w:p>
    <w:p>
      <w:pPr>
        <w:pStyle w:val="BodyText"/>
        <w:spacing w:line="232" w:lineRule="auto" w:before="87"/>
        <w:ind w:left="784" w:right="105" w:firstLine="374"/>
        <w:jc w:val="both"/>
      </w:pPr>
      <w:r>
        <w:rPr>
          <w:color w:val="3B3A3B"/>
          <w:w w:val="110"/>
        </w:rPr>
        <w:t>The writers of both of these questions are trying to influence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05"/>
        </w:rPr>
        <w:t>Court's image of the case by including what Judge Ruggero Aldisert calls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10"/>
        </w:rPr>
        <w:t>"enthymemes":</w:t>
      </w:r>
      <w:r>
        <w:rPr>
          <w:color w:val="3B3A3B"/>
          <w:spacing w:val="-4"/>
          <w:w w:val="110"/>
        </w:rPr>
        <w:t> </w:t>
      </w:r>
      <w:r>
        <w:rPr>
          <w:color w:val="3B3A3B"/>
          <w:w w:val="110"/>
        </w:rPr>
        <w:t>unspoken</w:t>
      </w:r>
      <w:r>
        <w:rPr>
          <w:color w:val="3B3A3B"/>
          <w:spacing w:val="15"/>
          <w:w w:val="110"/>
        </w:rPr>
        <w:t> </w:t>
      </w:r>
      <w:r>
        <w:rPr>
          <w:color w:val="3B3A3B"/>
          <w:w w:val="110"/>
        </w:rPr>
        <w:t>premises that</w:t>
      </w:r>
      <w:r>
        <w:rPr>
          <w:color w:val="3B3A3B"/>
          <w:spacing w:val="-7"/>
          <w:w w:val="110"/>
        </w:rPr>
        <w:t> </w:t>
      </w:r>
      <w:r>
        <w:rPr>
          <w:color w:val="3B3A3B"/>
          <w:w w:val="110"/>
        </w:rPr>
        <w:t>support</w:t>
      </w:r>
      <w:r>
        <w:rPr>
          <w:color w:val="3B3A3B"/>
          <w:spacing w:val="-1"/>
          <w:w w:val="110"/>
        </w:rPr>
        <w:t> </w:t>
      </w:r>
      <w:r>
        <w:rPr>
          <w:color w:val="3B3A3B"/>
          <w:w w:val="110"/>
        </w:rPr>
        <w:t>their</w:t>
      </w:r>
      <w:r>
        <w:rPr>
          <w:color w:val="3B3A3B"/>
          <w:spacing w:val="-14"/>
          <w:w w:val="110"/>
        </w:rPr>
        <w:t> </w:t>
      </w:r>
      <w:r>
        <w:rPr>
          <w:color w:val="3B3A3B"/>
          <w:w w:val="110"/>
        </w:rPr>
        <w:t>arguments.•</w:t>
      </w:r>
    </w:p>
    <w:p>
      <w:pPr>
        <w:pStyle w:val="BodyText"/>
        <w:spacing w:line="232" w:lineRule="auto"/>
        <w:ind w:left="779" w:right="111" w:firstLine="385"/>
        <w:jc w:val="both"/>
      </w:pPr>
      <w:r>
        <w:rPr>
          <w:color w:val="3B3A3B"/>
          <w:w w:val="110"/>
        </w:rPr>
        <w:t>Although the best enthymemes are based on </w:t>
      </w:r>
      <w:r>
        <w:rPr>
          <w:color w:val="2D2A2A"/>
          <w:w w:val="110"/>
        </w:rPr>
        <w:t>legal </w:t>
      </w:r>
      <w:r>
        <w:rPr>
          <w:color w:val="3B3A3B"/>
          <w:w w:val="110"/>
        </w:rPr>
        <w:t>premises that any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05"/>
        </w:rPr>
        <w:t>court would agree with</w:t>
      </w:r>
      <w:r>
        <w:rPr>
          <w:color w:val="595759"/>
          <w:w w:val="105"/>
        </w:rPr>
        <w:t>, </w:t>
      </w:r>
      <w:r>
        <w:rPr>
          <w:color w:val="3B3A3B"/>
          <w:w w:val="105"/>
        </w:rPr>
        <w:t>some effective enthymemes can be based on pol­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icy premises or even commonsense premises. Some enthymemes are con­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10"/>
        </w:rPr>
        <w:t>veyed through the focus of a question on a particular angle of </w:t>
      </w:r>
      <w:r>
        <w:rPr>
          <w:color w:val="2D2A2A"/>
          <w:w w:val="110"/>
        </w:rPr>
        <w:t>the </w:t>
      </w:r>
      <w:r>
        <w:rPr>
          <w:color w:val="3B3A3B"/>
          <w:w w:val="110"/>
        </w:rPr>
        <w:t>case,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while</w:t>
      </w:r>
      <w:r>
        <w:rPr>
          <w:color w:val="3B3A3B"/>
          <w:spacing w:val="-1"/>
          <w:w w:val="110"/>
        </w:rPr>
        <w:t> </w:t>
      </w:r>
      <w:r>
        <w:rPr>
          <w:color w:val="3B3A3B"/>
          <w:w w:val="110"/>
        </w:rPr>
        <w:t>others</w:t>
      </w:r>
      <w:r>
        <w:rPr>
          <w:color w:val="3B3A3B"/>
          <w:spacing w:val="15"/>
          <w:w w:val="110"/>
        </w:rPr>
        <w:t> </w:t>
      </w:r>
      <w:r>
        <w:rPr>
          <w:color w:val="3B3A3B"/>
          <w:w w:val="110"/>
        </w:rPr>
        <w:t>may</w:t>
      </w:r>
      <w:r>
        <w:rPr>
          <w:color w:val="3B3A3B"/>
          <w:spacing w:val="7"/>
          <w:w w:val="110"/>
        </w:rPr>
        <w:t> </w:t>
      </w:r>
      <w:r>
        <w:rPr>
          <w:color w:val="3B3A3B"/>
          <w:w w:val="110"/>
        </w:rPr>
        <w:t>be</w:t>
      </w:r>
      <w:r>
        <w:rPr>
          <w:color w:val="3B3A3B"/>
          <w:spacing w:val="4"/>
          <w:w w:val="110"/>
        </w:rPr>
        <w:t> </w:t>
      </w:r>
      <w:r>
        <w:rPr>
          <w:color w:val="3B3A3B"/>
          <w:w w:val="110"/>
        </w:rPr>
        <w:t>conveyed</w:t>
      </w:r>
      <w:r>
        <w:rPr>
          <w:color w:val="3B3A3B"/>
          <w:spacing w:val="29"/>
          <w:w w:val="110"/>
        </w:rPr>
        <w:t> </w:t>
      </w:r>
      <w:r>
        <w:rPr>
          <w:color w:val="3B3A3B"/>
          <w:w w:val="110"/>
        </w:rPr>
        <w:t>merely</w:t>
      </w:r>
      <w:r>
        <w:rPr>
          <w:color w:val="3B3A3B"/>
          <w:spacing w:val="20"/>
          <w:w w:val="110"/>
        </w:rPr>
        <w:t> </w:t>
      </w:r>
      <w:r>
        <w:rPr>
          <w:color w:val="3B3A3B"/>
          <w:w w:val="110"/>
        </w:rPr>
        <w:t>by</w:t>
      </w:r>
      <w:r>
        <w:rPr>
          <w:color w:val="3B3A3B"/>
          <w:spacing w:val="22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40"/>
          <w:w w:val="110"/>
        </w:rPr>
        <w:t> </w:t>
      </w:r>
      <w:r>
        <w:rPr>
          <w:color w:val="3B3A3B"/>
          <w:w w:val="110"/>
        </w:rPr>
        <w:t>choice</w:t>
      </w:r>
      <w:r>
        <w:rPr>
          <w:color w:val="3B3A3B"/>
          <w:spacing w:val="12"/>
          <w:w w:val="110"/>
        </w:rPr>
        <w:t> </w:t>
      </w:r>
      <w:r>
        <w:rPr>
          <w:color w:val="3B3A3B"/>
          <w:w w:val="110"/>
        </w:rPr>
        <w:t>of</w:t>
      </w:r>
      <w:r>
        <w:rPr>
          <w:color w:val="3B3A3B"/>
          <w:spacing w:val="23"/>
          <w:w w:val="110"/>
        </w:rPr>
        <w:t> </w:t>
      </w:r>
      <w:r>
        <w:rPr>
          <w:color w:val="3B3A3B"/>
          <w:w w:val="110"/>
        </w:rPr>
        <w:t>one</w:t>
      </w:r>
      <w:r>
        <w:rPr>
          <w:color w:val="3B3A3B"/>
          <w:spacing w:val="62"/>
          <w:w w:val="110"/>
        </w:rPr>
        <w:t> </w:t>
      </w:r>
      <w:r>
        <w:rPr>
          <w:color w:val="3B3A3B"/>
          <w:w w:val="110"/>
        </w:rPr>
        <w:t>word</w:t>
      </w:r>
      <w:r>
        <w:rPr>
          <w:color w:val="3B3A3B"/>
          <w:spacing w:val="7"/>
          <w:w w:val="110"/>
        </w:rPr>
        <w:t> </w:t>
      </w:r>
      <w:r>
        <w:rPr>
          <w:color w:val="3B3A3B"/>
          <w:w w:val="110"/>
        </w:rPr>
        <w:t>over</w:t>
      </w:r>
    </w:p>
    <w:p>
      <w:pPr>
        <w:pStyle w:val="BodyText"/>
        <w:spacing w:line="243" w:lineRule="exact" w:before="22"/>
        <w:ind w:left="772"/>
      </w:pPr>
      <w:r>
        <w:rPr>
          <w:color w:val="3B3A3B"/>
          <w:w w:val="110"/>
        </w:rPr>
        <w:t>another.</w:t>
      </w:r>
    </w:p>
    <w:p>
      <w:pPr>
        <w:pStyle w:val="BodyText"/>
        <w:spacing w:line="241" w:lineRule="exact"/>
        <w:ind w:left="1141"/>
        <w:jc w:val="both"/>
      </w:pPr>
      <w:r>
        <w:rPr>
          <w:color w:val="2D2A2A"/>
          <w:w w:val="105"/>
        </w:rPr>
        <w:t>In</w:t>
      </w:r>
      <w:r>
        <w:rPr>
          <w:color w:val="2D2A2A"/>
          <w:spacing w:val="28"/>
          <w:w w:val="105"/>
        </w:rPr>
        <w:t> </w:t>
      </w:r>
      <w:r>
        <w:rPr>
          <w:color w:val="3B3A3B"/>
          <w:w w:val="105"/>
        </w:rPr>
        <w:t>the</w:t>
      </w:r>
      <w:r>
        <w:rPr>
          <w:color w:val="3B3A3B"/>
          <w:spacing w:val="41"/>
          <w:w w:val="105"/>
        </w:rPr>
        <w:t> </w:t>
      </w:r>
      <w:r>
        <w:rPr>
          <w:color w:val="3B3A3B"/>
          <w:w w:val="105"/>
        </w:rPr>
        <w:t>first</w:t>
      </w:r>
      <w:r>
        <w:rPr>
          <w:color w:val="3B3A3B"/>
          <w:spacing w:val="16"/>
          <w:w w:val="105"/>
        </w:rPr>
        <w:t> </w:t>
      </w:r>
      <w:r>
        <w:rPr>
          <w:color w:val="3B3A3B"/>
          <w:w w:val="105"/>
        </w:rPr>
        <w:t>example</w:t>
      </w:r>
      <w:r>
        <w:rPr>
          <w:color w:val="3B3A3B"/>
          <w:spacing w:val="12"/>
          <w:w w:val="105"/>
        </w:rPr>
        <w:t> </w:t>
      </w:r>
      <w:r>
        <w:rPr>
          <w:color w:val="3B3A3B"/>
          <w:w w:val="105"/>
        </w:rPr>
        <w:t>shown</w:t>
      </w:r>
      <w:r>
        <w:rPr>
          <w:color w:val="3B3A3B"/>
          <w:spacing w:val="42"/>
          <w:w w:val="105"/>
        </w:rPr>
        <w:t> </w:t>
      </w:r>
      <w:r>
        <w:rPr>
          <w:color w:val="3B3A3B"/>
          <w:w w:val="105"/>
        </w:rPr>
        <w:t>previously,</w:t>
      </w:r>
      <w:r>
        <w:rPr>
          <w:color w:val="3B3A3B"/>
          <w:spacing w:val="31"/>
          <w:w w:val="105"/>
        </w:rPr>
        <w:t> </w:t>
      </w:r>
      <w:r>
        <w:rPr>
          <w:color w:val="3B3A3B"/>
          <w:w w:val="105"/>
        </w:rPr>
        <w:t>the</w:t>
      </w:r>
      <w:r>
        <w:rPr>
          <w:color w:val="3B3A3B"/>
          <w:spacing w:val="7"/>
          <w:w w:val="105"/>
        </w:rPr>
        <w:t> </w:t>
      </w:r>
      <w:r>
        <w:rPr>
          <w:color w:val="3B3A3B"/>
          <w:w w:val="105"/>
        </w:rPr>
        <w:t>writer</w:t>
      </w:r>
      <w:r>
        <w:rPr>
          <w:color w:val="3B3A3B"/>
          <w:spacing w:val="25"/>
          <w:w w:val="105"/>
        </w:rPr>
        <w:t> </w:t>
      </w:r>
      <w:r>
        <w:rPr>
          <w:color w:val="3B3A3B"/>
          <w:w w:val="105"/>
        </w:rPr>
        <w:t>is</w:t>
      </w:r>
      <w:r>
        <w:rPr>
          <w:color w:val="3B3A3B"/>
          <w:spacing w:val="24"/>
          <w:w w:val="105"/>
        </w:rPr>
        <w:t> </w:t>
      </w:r>
      <w:r>
        <w:rPr>
          <w:color w:val="3B3A3B"/>
          <w:w w:val="105"/>
        </w:rPr>
        <w:t>basing</w:t>
      </w:r>
      <w:r>
        <w:rPr>
          <w:color w:val="3B3A3B"/>
          <w:spacing w:val="10"/>
          <w:w w:val="105"/>
        </w:rPr>
        <w:t> </w:t>
      </w:r>
      <w:r>
        <w:rPr>
          <w:color w:val="3B3A3B"/>
          <w:w w:val="105"/>
        </w:rPr>
        <w:t>his</w:t>
      </w:r>
      <w:r>
        <w:rPr>
          <w:color w:val="3B3A3B"/>
          <w:spacing w:val="10"/>
          <w:w w:val="105"/>
        </w:rPr>
        <w:t> </w:t>
      </w:r>
      <w:r>
        <w:rPr>
          <w:color w:val="3B3A3B"/>
          <w:w w:val="105"/>
        </w:rPr>
        <w:t>or</w:t>
      </w:r>
      <w:r>
        <w:rPr>
          <w:color w:val="3B3A3B"/>
          <w:spacing w:val="24"/>
          <w:w w:val="105"/>
        </w:rPr>
        <w:t> </w:t>
      </w:r>
      <w:r>
        <w:rPr>
          <w:color w:val="3B3A3B"/>
          <w:w w:val="105"/>
        </w:rPr>
        <w:t>her</w:t>
      </w:r>
    </w:p>
    <w:p>
      <w:pPr>
        <w:pStyle w:val="BodyText"/>
        <w:ind w:left="753" w:right="128" w:firstLine="19"/>
        <w:jc w:val="both"/>
      </w:pPr>
      <w:r>
        <w:rPr>
          <w:color w:val="3B3A3B"/>
          <w:w w:val="105"/>
        </w:rPr>
        <w:t>arguments on at </w:t>
      </w:r>
      <w:r>
        <w:rPr>
          <w:color w:val="2D2A2A"/>
          <w:w w:val="105"/>
        </w:rPr>
        <w:t>least </w:t>
      </w:r>
      <w:r>
        <w:rPr>
          <w:color w:val="3B3A3B"/>
          <w:w w:val="105"/>
        </w:rPr>
        <w:t>three unstated premises: </w:t>
      </w:r>
      <w:r>
        <w:rPr>
          <w:rFonts w:ascii="Arial"/>
          <w:color w:val="3B3A3B"/>
          <w:w w:val="105"/>
          <w:sz w:val="19"/>
        </w:rPr>
        <w:t>(1)</w:t>
      </w:r>
      <w:r>
        <w:rPr>
          <w:rFonts w:ascii="Arial"/>
          <w:color w:val="3B3A3B"/>
          <w:spacing w:val="1"/>
          <w:w w:val="105"/>
          <w:sz w:val="19"/>
        </w:rPr>
        <w:t> </w:t>
      </w:r>
      <w:r>
        <w:rPr>
          <w:color w:val="3B3A3B"/>
          <w:w w:val="105"/>
        </w:rPr>
        <w:t>that the Supreme Court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should give some deference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to</w:t>
      </w:r>
      <w:r>
        <w:rPr>
          <w:color w:val="3B3A3B"/>
          <w:spacing w:val="1"/>
          <w:w w:val="105"/>
        </w:rPr>
        <w:t> </w:t>
      </w:r>
      <w:r>
        <w:rPr>
          <w:color w:val="2D2A2A"/>
          <w:w w:val="105"/>
        </w:rPr>
        <w:t>the</w:t>
      </w:r>
      <w:r>
        <w:rPr>
          <w:color w:val="2D2A2A"/>
          <w:spacing w:val="1"/>
          <w:w w:val="105"/>
        </w:rPr>
        <w:t> </w:t>
      </w:r>
      <w:r>
        <w:rPr>
          <w:color w:val="3B3A3B"/>
          <w:w w:val="105"/>
        </w:rPr>
        <w:t>Minnesota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Supreme Court,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(2) that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"homes"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are</w:t>
      </w:r>
      <w:r>
        <w:rPr>
          <w:color w:val="3B3A3B"/>
          <w:spacing w:val="9"/>
          <w:w w:val="105"/>
        </w:rPr>
        <w:t> </w:t>
      </w:r>
      <w:r>
        <w:rPr>
          <w:color w:val="3B3A3B"/>
          <w:w w:val="105"/>
        </w:rPr>
        <w:t>private</w:t>
      </w:r>
      <w:r>
        <w:rPr>
          <w:color w:val="3B3A3B"/>
          <w:spacing w:val="19"/>
          <w:w w:val="105"/>
        </w:rPr>
        <w:t> </w:t>
      </w:r>
      <w:r>
        <w:rPr>
          <w:color w:val="3B3A3B"/>
          <w:w w:val="105"/>
        </w:rPr>
        <w:t>places,</w:t>
      </w:r>
      <w:r>
        <w:rPr>
          <w:color w:val="3B3A3B"/>
          <w:spacing w:val="11"/>
          <w:w w:val="105"/>
        </w:rPr>
        <w:t> </w:t>
      </w:r>
      <w:r>
        <w:rPr>
          <w:color w:val="3B3A3B"/>
          <w:w w:val="105"/>
        </w:rPr>
        <w:t>and</w:t>
      </w:r>
      <w:r>
        <w:rPr>
          <w:color w:val="3B3A3B"/>
          <w:spacing w:val="21"/>
          <w:w w:val="105"/>
        </w:rPr>
        <w:t> </w:t>
      </w:r>
      <w:r>
        <w:rPr>
          <w:color w:val="3B3A3B"/>
          <w:w w:val="105"/>
        </w:rPr>
        <w:t>(3)</w:t>
      </w:r>
      <w:r>
        <w:rPr>
          <w:color w:val="3B3A3B"/>
          <w:spacing w:val="14"/>
          <w:w w:val="105"/>
        </w:rPr>
        <w:t> </w:t>
      </w:r>
      <w:r>
        <w:rPr>
          <w:color w:val="3B3A3B"/>
          <w:w w:val="105"/>
        </w:rPr>
        <w:t>that</w:t>
      </w:r>
      <w:r>
        <w:rPr>
          <w:color w:val="3B3A3B"/>
          <w:spacing w:val="16"/>
          <w:w w:val="105"/>
        </w:rPr>
        <w:t> </w:t>
      </w:r>
      <w:r>
        <w:rPr>
          <w:color w:val="3B3A3B"/>
          <w:w w:val="105"/>
        </w:rPr>
        <w:t>"social</w:t>
      </w:r>
      <w:r>
        <w:rPr>
          <w:color w:val="3B3A3B"/>
          <w:spacing w:val="20"/>
          <w:w w:val="105"/>
        </w:rPr>
        <w:t> </w:t>
      </w:r>
      <w:r>
        <w:rPr>
          <w:color w:val="3B3A3B"/>
          <w:w w:val="105"/>
        </w:rPr>
        <w:t>guests"</w:t>
      </w:r>
      <w:r>
        <w:rPr>
          <w:color w:val="3B3A3B"/>
          <w:spacing w:val="20"/>
          <w:w w:val="105"/>
        </w:rPr>
        <w:t> </w:t>
      </w:r>
      <w:r>
        <w:rPr>
          <w:color w:val="3B3A3B"/>
          <w:w w:val="105"/>
        </w:rPr>
        <w:t>have</w:t>
      </w:r>
      <w:r>
        <w:rPr>
          <w:color w:val="3B3A3B"/>
          <w:spacing w:val="2"/>
          <w:w w:val="105"/>
        </w:rPr>
        <w:t> </w:t>
      </w:r>
      <w:r>
        <w:rPr>
          <w:color w:val="3B3A3B"/>
          <w:w w:val="105"/>
        </w:rPr>
        <w:t>expectations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of</w:t>
      </w:r>
      <w:r>
        <w:rPr>
          <w:color w:val="3B3A3B"/>
          <w:spacing w:val="-4"/>
          <w:w w:val="105"/>
        </w:rPr>
        <w:t> </w:t>
      </w:r>
      <w:r>
        <w:rPr>
          <w:color w:val="3B3A3B"/>
          <w:w w:val="105"/>
        </w:rPr>
        <w:t>privacy.</w:t>
      </w:r>
    </w:p>
    <w:p>
      <w:pPr>
        <w:pStyle w:val="BodyText"/>
        <w:spacing w:line="235" w:lineRule="exact"/>
        <w:ind w:left="1091"/>
        <w:jc w:val="both"/>
      </w:pPr>
      <w:r>
        <w:rPr>
          <w:color w:val="3B3A3B"/>
          <w:w w:val="105"/>
        </w:rPr>
        <w:t>The</w:t>
      </w:r>
      <w:r>
        <w:rPr>
          <w:color w:val="3B3A3B"/>
          <w:spacing w:val="-1"/>
          <w:w w:val="105"/>
        </w:rPr>
        <w:t> </w:t>
      </w:r>
      <w:r>
        <w:rPr>
          <w:color w:val="3B3A3B"/>
          <w:w w:val="105"/>
        </w:rPr>
        <w:t>second</w:t>
      </w:r>
      <w:r>
        <w:rPr>
          <w:color w:val="3B3A3B"/>
          <w:spacing w:val="31"/>
          <w:w w:val="105"/>
        </w:rPr>
        <w:t> </w:t>
      </w:r>
      <w:r>
        <w:rPr>
          <w:color w:val="3B3A3B"/>
          <w:w w:val="105"/>
        </w:rPr>
        <w:t>example,</w:t>
      </w:r>
      <w:r>
        <w:rPr>
          <w:color w:val="3B3A3B"/>
          <w:spacing w:val="43"/>
          <w:w w:val="105"/>
        </w:rPr>
        <w:t> </w:t>
      </w:r>
      <w:r>
        <w:rPr>
          <w:color w:val="3B3A3B"/>
          <w:w w:val="105"/>
        </w:rPr>
        <w:t>written</w:t>
      </w:r>
      <w:r>
        <w:rPr>
          <w:color w:val="3B3A3B"/>
          <w:spacing w:val="32"/>
          <w:w w:val="105"/>
        </w:rPr>
        <w:t> </w:t>
      </w:r>
      <w:r>
        <w:rPr>
          <w:color w:val="2D2A2A"/>
          <w:w w:val="105"/>
        </w:rPr>
        <w:t>from</w:t>
      </w:r>
      <w:r>
        <w:rPr>
          <w:color w:val="2D2A2A"/>
          <w:spacing w:val="35"/>
          <w:w w:val="105"/>
        </w:rPr>
        <w:t> </w:t>
      </w:r>
      <w:r>
        <w:rPr>
          <w:color w:val="3B3A3B"/>
          <w:w w:val="105"/>
        </w:rPr>
        <w:t>the</w:t>
      </w:r>
      <w:r>
        <w:rPr>
          <w:color w:val="3B3A3B"/>
          <w:spacing w:val="39"/>
          <w:w w:val="105"/>
        </w:rPr>
        <w:t> </w:t>
      </w:r>
      <w:r>
        <w:rPr>
          <w:color w:val="3B3A3B"/>
          <w:w w:val="105"/>
        </w:rPr>
        <w:t>government's </w:t>
      </w:r>
      <w:r>
        <w:rPr>
          <w:color w:val="3B3A3B"/>
          <w:spacing w:val="4"/>
          <w:w w:val="105"/>
        </w:rPr>
        <w:t> </w:t>
      </w:r>
      <w:r>
        <w:rPr>
          <w:color w:val="3B3A3B"/>
          <w:w w:val="105"/>
        </w:rPr>
        <w:t>point</w:t>
      </w:r>
      <w:r>
        <w:rPr>
          <w:color w:val="3B3A3B"/>
          <w:spacing w:val="21"/>
          <w:w w:val="105"/>
        </w:rPr>
        <w:t> </w:t>
      </w:r>
      <w:r>
        <w:rPr>
          <w:color w:val="3B3A3B"/>
          <w:w w:val="105"/>
        </w:rPr>
        <w:t>of</w:t>
      </w:r>
      <w:r>
        <w:rPr>
          <w:color w:val="3B3A3B"/>
          <w:spacing w:val="38"/>
          <w:w w:val="105"/>
        </w:rPr>
        <w:t> </w:t>
      </w:r>
      <w:r>
        <w:rPr>
          <w:color w:val="3B3A3B"/>
          <w:w w:val="105"/>
        </w:rPr>
        <w:t>view,</w:t>
      </w:r>
      <w:r>
        <w:rPr>
          <w:color w:val="3B3A3B"/>
          <w:spacing w:val="3"/>
          <w:w w:val="105"/>
        </w:rPr>
        <w:t> </w:t>
      </w:r>
      <w:r>
        <w:rPr>
          <w:color w:val="3B3A3B"/>
          <w:w w:val="105"/>
        </w:rPr>
        <w:t>is</w:t>
      </w:r>
    </w:p>
    <w:p>
      <w:pPr>
        <w:pStyle w:val="BodyText"/>
        <w:spacing w:line="232" w:lineRule="auto" w:before="2"/>
        <w:ind w:left="704" w:right="129" w:firstLine="47"/>
        <w:jc w:val="both"/>
      </w:pPr>
      <w:r>
        <w:rPr>
          <w:color w:val="2D2A2A"/>
          <w:w w:val="105"/>
        </w:rPr>
        <w:t>based </w:t>
      </w:r>
      <w:r>
        <w:rPr>
          <w:color w:val="3B3A3B"/>
          <w:w w:val="105"/>
        </w:rPr>
        <w:t>on some opposite premises: (1) that "invitees" have less of an expec­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tation of privacy than "social guests," (2) that "residences" are less private</w:t>
      </w:r>
      <w:r>
        <w:rPr>
          <w:color w:val="3B3A3B"/>
          <w:spacing w:val="1"/>
          <w:w w:val="105"/>
        </w:rPr>
        <w:t> </w:t>
      </w:r>
      <w:r>
        <w:rPr>
          <w:color w:val="2D2A2A"/>
          <w:w w:val="110"/>
        </w:rPr>
        <w:t>than </w:t>
      </w:r>
      <w:r>
        <w:rPr>
          <w:color w:val="3B3A3B"/>
          <w:w w:val="110"/>
        </w:rPr>
        <w:t>"homes," and, most importantly, (3)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that people who participate in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illegal activities have </w:t>
      </w:r>
      <w:r>
        <w:rPr>
          <w:color w:val="2D2A2A"/>
          <w:w w:val="110"/>
        </w:rPr>
        <w:t>no </w:t>
      </w:r>
      <w:r>
        <w:rPr>
          <w:color w:val="3B3A3B"/>
          <w:w w:val="110"/>
        </w:rPr>
        <w:t>expectation of privacy. The writer asks whether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10"/>
        </w:rPr>
        <w:t>the opponent's premises are correct, hoping that they are so obviously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wrong (as they have been portrayed in </w:t>
      </w:r>
      <w:r>
        <w:rPr>
          <w:color w:val="2D2A2A"/>
          <w:w w:val="110"/>
        </w:rPr>
        <w:t>the </w:t>
      </w:r>
      <w:r>
        <w:rPr>
          <w:color w:val="3B3A3B"/>
          <w:w w:val="110"/>
        </w:rPr>
        <w:t>question) that the reader will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answer</w:t>
      </w:r>
      <w:r>
        <w:rPr>
          <w:color w:val="3B3A3B"/>
          <w:spacing w:val="7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18"/>
          <w:w w:val="110"/>
        </w:rPr>
        <w:t> </w:t>
      </w:r>
      <w:r>
        <w:rPr>
          <w:color w:val="3B3A3B"/>
          <w:w w:val="110"/>
        </w:rPr>
        <w:t>question</w:t>
      </w:r>
      <w:r>
        <w:rPr>
          <w:color w:val="3B3A3B"/>
          <w:spacing w:val="17"/>
          <w:w w:val="110"/>
        </w:rPr>
        <w:t> </w:t>
      </w:r>
      <w:r>
        <w:rPr>
          <w:color w:val="3B3A3B"/>
          <w:w w:val="110"/>
        </w:rPr>
        <w:t>with</w:t>
      </w:r>
      <w:r>
        <w:rPr>
          <w:color w:val="3B3A3B"/>
          <w:spacing w:val="-1"/>
          <w:w w:val="110"/>
        </w:rPr>
        <w:t> </w:t>
      </w:r>
      <w:r>
        <w:rPr>
          <w:color w:val="3B3A3B"/>
          <w:w w:val="110"/>
        </w:rPr>
        <w:t>an</w:t>
      </w:r>
      <w:r>
        <w:rPr>
          <w:color w:val="3B3A3B"/>
          <w:spacing w:val="11"/>
          <w:w w:val="110"/>
        </w:rPr>
        <w:t> </w:t>
      </w:r>
      <w:r>
        <w:rPr>
          <w:color w:val="3B3A3B"/>
          <w:w w:val="110"/>
        </w:rPr>
        <w:t>immediate</w:t>
      </w:r>
      <w:r>
        <w:rPr>
          <w:color w:val="3B3A3B"/>
          <w:spacing w:val="3"/>
          <w:w w:val="110"/>
        </w:rPr>
        <w:t> </w:t>
      </w:r>
      <w:r>
        <w:rPr>
          <w:color w:val="3B3A3B"/>
          <w:w w:val="110"/>
        </w:rPr>
        <w:t>"of</w:t>
      </w:r>
      <w:r>
        <w:rPr>
          <w:color w:val="3B3A3B"/>
          <w:spacing w:val="6"/>
          <w:w w:val="110"/>
        </w:rPr>
        <w:t> </w:t>
      </w:r>
      <w:r>
        <w:rPr>
          <w:color w:val="3B3A3B"/>
          <w:w w:val="110"/>
        </w:rPr>
        <w:t>course</w:t>
      </w:r>
      <w:r>
        <w:rPr>
          <w:color w:val="3B3A3B"/>
          <w:spacing w:val="-6"/>
          <w:w w:val="110"/>
        </w:rPr>
        <w:t> </w:t>
      </w:r>
      <w:r>
        <w:rPr>
          <w:color w:val="3B3A3B"/>
          <w:w w:val="110"/>
        </w:rPr>
        <w:t>not!"</w:t>
      </w:r>
    </w:p>
    <w:p>
      <w:pPr>
        <w:pStyle w:val="BodyText"/>
        <w:spacing w:line="232" w:lineRule="auto" w:before="6"/>
        <w:ind w:left="633" w:right="133" w:firstLine="430"/>
        <w:jc w:val="both"/>
      </w:pPr>
      <w:r>
        <w:rPr>
          <w:color w:val="3B3A3B"/>
          <w:w w:val="105"/>
        </w:rPr>
        <w:t>If you can base your question on a premise that is both valid and appli­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10"/>
        </w:rPr>
        <w:t>cable</w:t>
      </w:r>
      <w:r>
        <w:rPr>
          <w:color w:val="595759"/>
          <w:w w:val="110"/>
        </w:rPr>
        <w:t>, </w:t>
      </w:r>
      <w:r>
        <w:rPr>
          <w:color w:val="3B3A3B"/>
          <w:w w:val="110"/>
        </w:rPr>
        <w:t>you can go a </w:t>
      </w:r>
      <w:r>
        <w:rPr>
          <w:color w:val="2D2A2A"/>
          <w:w w:val="110"/>
        </w:rPr>
        <w:t>long </w:t>
      </w:r>
      <w:r>
        <w:rPr>
          <w:color w:val="3B3A3B"/>
          <w:w w:val="110"/>
        </w:rPr>
        <w:t>way </w:t>
      </w:r>
      <w:r>
        <w:rPr>
          <w:color w:val="2D2A2A"/>
          <w:w w:val="110"/>
        </w:rPr>
        <w:t>toward </w:t>
      </w:r>
      <w:r>
        <w:rPr>
          <w:color w:val="3B3A3B"/>
          <w:w w:val="110"/>
        </w:rPr>
        <w:t>getting </w:t>
      </w:r>
      <w:r>
        <w:rPr>
          <w:color w:val="2D2A2A"/>
          <w:w w:val="110"/>
        </w:rPr>
        <w:t>the </w:t>
      </w:r>
      <w:r>
        <w:rPr>
          <w:color w:val="3B3A3B"/>
          <w:w w:val="110"/>
        </w:rPr>
        <w:t>court to agree with your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5"/>
        </w:rPr>
        <w:t>argument before it has even read your first point heading. Often, both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05"/>
        </w:rPr>
        <w:t>sides will have valid and applicable premises on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which to base their ques­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15"/>
        </w:rPr>
        <w:t>tions, and so both sides can exploit this technique to emphasize their</w:t>
      </w:r>
      <w:r>
        <w:rPr>
          <w:color w:val="3B3A3B"/>
          <w:spacing w:val="1"/>
          <w:w w:val="115"/>
        </w:rPr>
        <w:t> </w:t>
      </w:r>
      <w:r>
        <w:rPr>
          <w:color w:val="3B3A3B"/>
          <w:spacing w:val="-1"/>
          <w:w w:val="115"/>
        </w:rPr>
        <w:t>point of view. When writing the </w:t>
      </w:r>
      <w:r>
        <w:rPr>
          <w:color w:val="3B3A3B"/>
          <w:w w:val="115"/>
        </w:rPr>
        <w:t>question, remember that </w:t>
      </w:r>
      <w:r>
        <w:rPr>
          <w:color w:val="2D2A2A"/>
          <w:w w:val="115"/>
        </w:rPr>
        <w:t>readers </w:t>
      </w:r>
      <w:r>
        <w:rPr>
          <w:color w:val="3B3A3B"/>
          <w:w w:val="115"/>
        </w:rPr>
        <w:t>natu­</w:t>
      </w:r>
      <w:r>
        <w:rPr>
          <w:color w:val="3B3A3B"/>
          <w:spacing w:val="-64"/>
          <w:w w:val="115"/>
        </w:rPr>
        <w:t> </w:t>
      </w:r>
      <w:r>
        <w:rPr>
          <w:color w:val="3B3A3B"/>
          <w:w w:val="115"/>
        </w:rPr>
        <w:t>rally pay more attention to information that appears </w:t>
      </w:r>
      <w:r>
        <w:rPr>
          <w:color w:val="2D2A2A"/>
          <w:w w:val="115"/>
        </w:rPr>
        <w:t>in </w:t>
      </w:r>
      <w:r>
        <w:rPr>
          <w:color w:val="3B3A3B"/>
          <w:w w:val="115"/>
        </w:rPr>
        <w:t>certain natural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5"/>
        </w:rPr>
        <w:t>positions of emphasis-usually beginnings and endings-and try to put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05"/>
        </w:rPr>
        <w:t>your best points in the beginning and especially at the end of the question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10"/>
        </w:rPr>
        <w:t>presented. By planning your question in advance, noting what elements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are most important and least important,  you can structure your sentence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5"/>
        </w:rPr>
        <w:t>to</w:t>
      </w:r>
      <w:r>
        <w:rPr>
          <w:color w:val="3B3A3B"/>
          <w:spacing w:val="12"/>
          <w:w w:val="115"/>
        </w:rPr>
        <w:t> </w:t>
      </w:r>
      <w:r>
        <w:rPr>
          <w:color w:val="3B3A3B"/>
          <w:w w:val="115"/>
        </w:rPr>
        <w:t>highlight</w:t>
      </w:r>
      <w:r>
        <w:rPr>
          <w:color w:val="3B3A3B"/>
          <w:spacing w:val="9"/>
          <w:w w:val="115"/>
        </w:rPr>
        <w:t> </w:t>
      </w:r>
      <w:r>
        <w:rPr>
          <w:color w:val="3B3A3B"/>
          <w:w w:val="115"/>
        </w:rPr>
        <w:t>your</w:t>
      </w:r>
      <w:r>
        <w:rPr>
          <w:color w:val="3B3A3B"/>
          <w:spacing w:val="-1"/>
          <w:w w:val="115"/>
        </w:rPr>
        <w:t> </w:t>
      </w:r>
      <w:r>
        <w:rPr>
          <w:color w:val="3B3A3B"/>
          <w:w w:val="115"/>
        </w:rPr>
        <w:t>best</w:t>
      </w:r>
      <w:r>
        <w:rPr>
          <w:color w:val="3B3A3B"/>
          <w:spacing w:val="-11"/>
          <w:w w:val="115"/>
        </w:rPr>
        <w:t> </w:t>
      </w:r>
      <w:r>
        <w:rPr>
          <w:color w:val="3B3A3B"/>
          <w:w w:val="115"/>
        </w:rPr>
        <w:t>point</w:t>
      </w:r>
      <w:r>
        <w:rPr>
          <w:color w:val="595759"/>
          <w:w w:val="115"/>
        </w:rPr>
        <w:t>s</w:t>
      </w:r>
      <w:r>
        <w:rPr>
          <w:color w:val="2D2A2A"/>
          <w:w w:val="115"/>
        </w:rPr>
        <w:t>.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0"/>
          <w:numId w:val="78"/>
        </w:numPr>
        <w:tabs>
          <w:tab w:pos="1354" w:val="left" w:leader="none"/>
        </w:tabs>
        <w:spacing w:line="240" w:lineRule="auto" w:before="0" w:after="0"/>
        <w:ind w:left="1353" w:right="0" w:hanging="379"/>
        <w:jc w:val="both"/>
        <w:rPr>
          <w:b/>
          <w:color w:val="3B3A3B"/>
          <w:sz w:val="21"/>
        </w:rPr>
      </w:pPr>
      <w:r>
        <w:rPr>
          <w:b/>
          <w:color w:val="595759"/>
          <w:w w:val="120"/>
          <w:sz w:val="21"/>
        </w:rPr>
        <w:t>Prob</w:t>
      </w:r>
      <w:r>
        <w:rPr>
          <w:b/>
          <w:color w:val="3B3A3B"/>
          <w:w w:val="120"/>
          <w:sz w:val="21"/>
        </w:rPr>
        <w:t>l</w:t>
      </w:r>
      <w:r>
        <w:rPr>
          <w:b/>
          <w:color w:val="595759"/>
          <w:w w:val="120"/>
          <w:sz w:val="21"/>
        </w:rPr>
        <w:t>ems</w:t>
      </w:r>
      <w:r>
        <w:rPr>
          <w:b/>
          <w:color w:val="595759"/>
          <w:spacing w:val="-2"/>
          <w:w w:val="120"/>
          <w:sz w:val="21"/>
        </w:rPr>
        <w:t> </w:t>
      </w:r>
      <w:r>
        <w:rPr>
          <w:b/>
          <w:color w:val="595759"/>
          <w:w w:val="120"/>
          <w:sz w:val="21"/>
        </w:rPr>
        <w:t>t</w:t>
      </w:r>
      <w:r>
        <w:rPr>
          <w:b/>
          <w:color w:val="3B3A3B"/>
          <w:w w:val="120"/>
          <w:sz w:val="21"/>
        </w:rPr>
        <w:t>o</w:t>
      </w:r>
      <w:r>
        <w:rPr>
          <w:b/>
          <w:color w:val="3B3A3B"/>
          <w:spacing w:val="15"/>
          <w:w w:val="120"/>
          <w:sz w:val="21"/>
        </w:rPr>
        <w:t> </w:t>
      </w:r>
      <w:r>
        <w:rPr>
          <w:b/>
          <w:color w:val="3B3A3B"/>
          <w:w w:val="120"/>
          <w:sz w:val="21"/>
        </w:rPr>
        <w:t>Avoid</w:t>
      </w:r>
    </w:p>
    <w:p>
      <w:pPr>
        <w:pStyle w:val="ListParagraph"/>
        <w:numPr>
          <w:ilvl w:val="0"/>
          <w:numId w:val="79"/>
        </w:numPr>
        <w:tabs>
          <w:tab w:pos="1187" w:val="left" w:leader="none"/>
        </w:tabs>
        <w:spacing w:line="242" w:lineRule="exact" w:before="144" w:after="0"/>
        <w:ind w:left="1186" w:right="0" w:hanging="226"/>
        <w:jc w:val="both"/>
        <w:rPr>
          <w:i/>
          <w:color w:val="3B3A3B"/>
          <w:sz w:val="22"/>
        </w:rPr>
      </w:pPr>
      <w:r>
        <w:rPr>
          <w:i/>
          <w:color w:val="595759"/>
          <w:w w:val="105"/>
          <w:sz w:val="22"/>
        </w:rPr>
        <w:t>Ass</w:t>
      </w:r>
      <w:r>
        <w:rPr>
          <w:i/>
          <w:color w:val="3B3A3B"/>
          <w:w w:val="105"/>
          <w:sz w:val="22"/>
        </w:rPr>
        <w:t>umin</w:t>
      </w:r>
      <w:r>
        <w:rPr>
          <w:i/>
          <w:color w:val="595759"/>
          <w:w w:val="105"/>
          <w:sz w:val="22"/>
        </w:rPr>
        <w:t>g</w:t>
      </w:r>
      <w:r>
        <w:rPr>
          <w:i/>
          <w:color w:val="595759"/>
          <w:spacing w:val="15"/>
          <w:w w:val="105"/>
          <w:sz w:val="22"/>
        </w:rPr>
        <w:t> </w:t>
      </w:r>
      <w:r>
        <w:rPr>
          <w:i/>
          <w:color w:val="3B3A3B"/>
          <w:w w:val="105"/>
          <w:sz w:val="22"/>
        </w:rPr>
        <w:t>El</w:t>
      </w:r>
      <w:r>
        <w:rPr>
          <w:i/>
          <w:color w:val="595759"/>
          <w:w w:val="105"/>
          <w:sz w:val="22"/>
        </w:rPr>
        <w:t>e</w:t>
      </w:r>
      <w:r>
        <w:rPr>
          <w:i/>
          <w:color w:val="3B3A3B"/>
          <w:w w:val="105"/>
          <w:sz w:val="22"/>
        </w:rPr>
        <w:t>m</w:t>
      </w:r>
      <w:r>
        <w:rPr>
          <w:i/>
          <w:color w:val="595759"/>
          <w:w w:val="105"/>
          <w:sz w:val="22"/>
        </w:rPr>
        <w:t>e</w:t>
      </w:r>
      <w:r>
        <w:rPr>
          <w:i/>
          <w:color w:val="3B3A3B"/>
          <w:w w:val="105"/>
          <w:sz w:val="22"/>
        </w:rPr>
        <w:t>n</w:t>
      </w:r>
      <w:r>
        <w:rPr>
          <w:i/>
          <w:color w:val="595759"/>
          <w:w w:val="105"/>
          <w:sz w:val="22"/>
        </w:rPr>
        <w:t>ts</w:t>
      </w:r>
      <w:r>
        <w:rPr>
          <w:i/>
          <w:color w:val="595759"/>
          <w:spacing w:val="32"/>
          <w:w w:val="105"/>
          <w:sz w:val="22"/>
        </w:rPr>
        <w:t> </w:t>
      </w:r>
      <w:r>
        <w:rPr>
          <w:i/>
          <w:color w:val="3B3A3B"/>
          <w:w w:val="105"/>
          <w:sz w:val="22"/>
        </w:rPr>
        <w:t>at</w:t>
      </w:r>
      <w:r>
        <w:rPr>
          <w:i/>
          <w:color w:val="3B3A3B"/>
          <w:spacing w:val="50"/>
          <w:w w:val="105"/>
          <w:sz w:val="22"/>
        </w:rPr>
        <w:t> </w:t>
      </w:r>
      <w:r>
        <w:rPr>
          <w:i/>
          <w:color w:val="3B3A3B"/>
          <w:w w:val="105"/>
          <w:sz w:val="22"/>
        </w:rPr>
        <w:t>I</w:t>
      </w:r>
      <w:r>
        <w:rPr>
          <w:i/>
          <w:color w:val="595759"/>
          <w:w w:val="105"/>
          <w:sz w:val="22"/>
        </w:rPr>
        <w:t>s</w:t>
      </w:r>
      <w:r>
        <w:rPr>
          <w:i/>
          <w:color w:val="3B3A3B"/>
          <w:w w:val="105"/>
          <w:sz w:val="22"/>
        </w:rPr>
        <w:t>sue</w:t>
      </w:r>
    </w:p>
    <w:p>
      <w:pPr>
        <w:pStyle w:val="BodyText"/>
        <w:spacing w:line="232" w:lineRule="auto"/>
        <w:ind w:left="559" w:right="144" w:firstLine="410"/>
        <w:jc w:val="both"/>
      </w:pPr>
      <w:r>
        <w:rPr>
          <w:color w:val="3B3A3B"/>
          <w:w w:val="110"/>
        </w:rPr>
        <w:t>When</w:t>
      </w:r>
      <w:r>
        <w:rPr>
          <w:color w:val="3B3A3B"/>
          <w:spacing w:val="7"/>
          <w:w w:val="110"/>
        </w:rPr>
        <w:t> </w:t>
      </w:r>
      <w:r>
        <w:rPr>
          <w:color w:val="3B3A3B"/>
          <w:w w:val="110"/>
        </w:rPr>
        <w:t>writing</w:t>
      </w:r>
      <w:r>
        <w:rPr>
          <w:color w:val="3B3A3B"/>
          <w:spacing w:val="-12"/>
          <w:w w:val="110"/>
        </w:rPr>
        <w:t> </w:t>
      </w:r>
      <w:r>
        <w:rPr>
          <w:color w:val="3B3A3B"/>
          <w:w w:val="110"/>
        </w:rPr>
        <w:t>questions</w:t>
      </w:r>
      <w:r>
        <w:rPr>
          <w:color w:val="3B3A3B"/>
          <w:spacing w:val="-4"/>
          <w:w w:val="110"/>
        </w:rPr>
        <w:t> </w:t>
      </w:r>
      <w:r>
        <w:rPr>
          <w:color w:val="3B3A3B"/>
          <w:w w:val="110"/>
        </w:rPr>
        <w:t>presented,</w:t>
      </w:r>
      <w:r>
        <w:rPr>
          <w:color w:val="3B3A3B"/>
          <w:spacing w:val="-5"/>
          <w:w w:val="110"/>
        </w:rPr>
        <w:t> </w:t>
      </w:r>
      <w:r>
        <w:rPr>
          <w:color w:val="3B3A3B"/>
          <w:w w:val="110"/>
        </w:rPr>
        <w:t>include</w:t>
      </w:r>
      <w:r>
        <w:rPr>
          <w:color w:val="3B3A3B"/>
          <w:spacing w:val="-11"/>
          <w:w w:val="110"/>
        </w:rPr>
        <w:t> </w:t>
      </w:r>
      <w:r>
        <w:rPr>
          <w:color w:val="3B3A3B"/>
          <w:w w:val="110"/>
        </w:rPr>
        <w:t>facts</w:t>
      </w:r>
      <w:r>
        <w:rPr>
          <w:color w:val="3B3A3B"/>
          <w:spacing w:val="-24"/>
          <w:w w:val="110"/>
        </w:rPr>
        <w:t> </w:t>
      </w:r>
      <w:r>
        <w:rPr>
          <w:color w:val="3B3A3B"/>
          <w:w w:val="110"/>
        </w:rPr>
        <w:t>and</w:t>
      </w:r>
      <w:r>
        <w:rPr>
          <w:color w:val="3B3A3B"/>
          <w:spacing w:val="35"/>
          <w:w w:val="110"/>
        </w:rPr>
        <w:t> </w:t>
      </w:r>
      <w:r>
        <w:rPr>
          <w:color w:val="2D2A2A"/>
          <w:w w:val="110"/>
        </w:rPr>
        <w:t>law</w:t>
      </w:r>
      <w:r>
        <w:rPr>
          <w:color w:val="2D2A2A"/>
          <w:spacing w:val="2"/>
          <w:w w:val="110"/>
        </w:rPr>
        <w:t> </w:t>
      </w:r>
      <w:r>
        <w:rPr>
          <w:color w:val="3B3A3B"/>
          <w:w w:val="110"/>
        </w:rPr>
        <w:t>that</w:t>
      </w:r>
      <w:r>
        <w:rPr>
          <w:color w:val="3B3A3B"/>
          <w:spacing w:val="-15"/>
          <w:w w:val="110"/>
        </w:rPr>
        <w:t> </w:t>
      </w:r>
      <w:r>
        <w:rPr>
          <w:color w:val="3B3A3B"/>
          <w:w w:val="110"/>
        </w:rPr>
        <w:t>will</w:t>
      </w:r>
      <w:r>
        <w:rPr>
          <w:color w:val="3B3A3B"/>
          <w:spacing w:val="-12"/>
          <w:w w:val="110"/>
        </w:rPr>
        <w:t> </w:t>
      </w:r>
      <w:r>
        <w:rPr>
          <w:color w:val="3B3A3B"/>
          <w:w w:val="110"/>
        </w:rPr>
        <w:t>help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10"/>
        </w:rPr>
        <w:t>the </w:t>
      </w:r>
      <w:r>
        <w:rPr>
          <w:color w:val="2D2A2A"/>
          <w:w w:val="110"/>
        </w:rPr>
        <w:t>readers </w:t>
      </w:r>
      <w:r>
        <w:rPr>
          <w:color w:val="3B3A3B"/>
          <w:w w:val="110"/>
        </w:rPr>
        <w:t>to reach the conclusion you want them to reach. Avoid, </w:t>
      </w:r>
      <w:r>
        <w:rPr>
          <w:color w:val="2D2A2A"/>
          <w:w w:val="110"/>
        </w:rPr>
        <w:t>how­</w:t>
      </w:r>
      <w:r>
        <w:rPr>
          <w:color w:val="2D2A2A"/>
          <w:spacing w:val="1"/>
          <w:w w:val="110"/>
        </w:rPr>
        <w:t> </w:t>
      </w:r>
      <w:r>
        <w:rPr>
          <w:color w:val="3B3A3B"/>
          <w:w w:val="110"/>
        </w:rPr>
        <w:t>ever, assuming as true an element that is at issue in the case. A question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that</w:t>
      </w:r>
      <w:r>
        <w:rPr>
          <w:color w:val="3B3A3B"/>
          <w:spacing w:val="-16"/>
          <w:w w:val="110"/>
        </w:rPr>
        <w:t> </w:t>
      </w:r>
      <w:r>
        <w:rPr>
          <w:color w:val="3B3A3B"/>
          <w:w w:val="110"/>
        </w:rPr>
        <w:t>assumes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an</w:t>
      </w:r>
      <w:r>
        <w:rPr>
          <w:color w:val="3B3A3B"/>
          <w:spacing w:val="13"/>
          <w:w w:val="110"/>
        </w:rPr>
        <w:t> </w:t>
      </w:r>
      <w:r>
        <w:rPr>
          <w:color w:val="3B3A3B"/>
          <w:w w:val="110"/>
        </w:rPr>
        <w:t>element</w:t>
      </w:r>
      <w:r>
        <w:rPr>
          <w:color w:val="3B3A3B"/>
          <w:spacing w:val="4"/>
          <w:w w:val="110"/>
        </w:rPr>
        <w:t> </w:t>
      </w:r>
      <w:r>
        <w:rPr>
          <w:color w:val="3B3A3B"/>
          <w:w w:val="110"/>
        </w:rPr>
        <w:t>at</w:t>
      </w:r>
      <w:r>
        <w:rPr>
          <w:color w:val="3B3A3B"/>
          <w:spacing w:val="7"/>
          <w:w w:val="110"/>
        </w:rPr>
        <w:t> </w:t>
      </w:r>
      <w:r>
        <w:rPr>
          <w:color w:val="2D2A2A"/>
          <w:w w:val="110"/>
        </w:rPr>
        <w:t>issue</w:t>
      </w:r>
      <w:r>
        <w:rPr>
          <w:color w:val="2D2A2A"/>
          <w:spacing w:val="-13"/>
          <w:w w:val="110"/>
        </w:rPr>
        <w:t> </w:t>
      </w:r>
      <w:r>
        <w:rPr>
          <w:color w:val="3B3A3B"/>
          <w:w w:val="110"/>
        </w:rPr>
        <w:t>often</w:t>
      </w:r>
      <w:r>
        <w:rPr>
          <w:color w:val="3B3A3B"/>
          <w:spacing w:val="3"/>
          <w:w w:val="110"/>
        </w:rPr>
        <w:t> </w:t>
      </w:r>
      <w:r>
        <w:rPr>
          <w:color w:val="3B3A3B"/>
          <w:w w:val="110"/>
        </w:rPr>
        <w:t>asks,</w:t>
      </w:r>
      <w:r>
        <w:rPr>
          <w:color w:val="3B3A3B"/>
          <w:spacing w:val="-4"/>
          <w:w w:val="110"/>
        </w:rPr>
        <w:t> </w:t>
      </w:r>
      <w:r>
        <w:rPr>
          <w:color w:val="3B3A3B"/>
          <w:w w:val="110"/>
        </w:rPr>
        <w:t>in</w:t>
      </w:r>
      <w:r>
        <w:rPr>
          <w:color w:val="3B3A3B"/>
          <w:spacing w:val="19"/>
          <w:w w:val="110"/>
        </w:rPr>
        <w:t> </w:t>
      </w:r>
      <w:r>
        <w:rPr>
          <w:color w:val="3B3A3B"/>
          <w:w w:val="110"/>
        </w:rPr>
        <w:t>essence: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80"/>
        </w:numPr>
        <w:tabs>
          <w:tab w:pos="972" w:val="left" w:leader="none"/>
        </w:tabs>
        <w:spacing w:line="240" w:lineRule="auto" w:before="215" w:after="0"/>
        <w:ind w:left="971" w:right="0" w:hanging="65"/>
        <w:jc w:val="left"/>
        <w:rPr>
          <w:sz w:val="18"/>
        </w:rPr>
      </w:pPr>
      <w:r>
        <w:rPr>
          <w:rFonts w:ascii="Arial" w:hAnsi="Arial"/>
          <w:i/>
          <w:color w:val="3B3A3B"/>
          <w:w w:val="105"/>
          <w:sz w:val="16"/>
        </w:rPr>
        <w:t>S</w:t>
      </w:r>
      <w:r>
        <w:rPr>
          <w:rFonts w:ascii="Arial" w:hAnsi="Arial"/>
          <w:i/>
          <w:color w:val="595759"/>
          <w:w w:val="105"/>
          <w:sz w:val="16"/>
        </w:rPr>
        <w:t>e</w:t>
      </w:r>
      <w:r>
        <w:rPr>
          <w:rFonts w:ascii="Arial" w:hAnsi="Arial"/>
          <w:i/>
          <w:color w:val="3B3A3B"/>
          <w:w w:val="105"/>
          <w:sz w:val="16"/>
        </w:rPr>
        <w:t>e</w:t>
      </w:r>
      <w:r>
        <w:rPr>
          <w:rFonts w:ascii="Arial" w:hAnsi="Arial"/>
          <w:i/>
          <w:color w:val="3B3A3B"/>
          <w:spacing w:val="-5"/>
          <w:w w:val="105"/>
          <w:sz w:val="16"/>
        </w:rPr>
        <w:t> </w:t>
      </w:r>
      <w:r>
        <w:rPr>
          <w:color w:val="3B3A3B"/>
          <w:w w:val="105"/>
          <w:sz w:val="17"/>
        </w:rPr>
        <w:t>Ruggero</w:t>
      </w:r>
      <w:r>
        <w:rPr>
          <w:color w:val="3B3A3B"/>
          <w:spacing w:val="-19"/>
          <w:w w:val="105"/>
          <w:sz w:val="17"/>
        </w:rPr>
        <w:t> </w:t>
      </w:r>
      <w:r>
        <w:rPr>
          <w:color w:val="3B3A3B"/>
          <w:w w:val="105"/>
          <w:sz w:val="21"/>
        </w:rPr>
        <w:t>J</w:t>
      </w:r>
      <w:r>
        <w:rPr>
          <w:color w:val="595759"/>
          <w:w w:val="105"/>
          <w:sz w:val="21"/>
        </w:rPr>
        <w:t>.</w:t>
      </w:r>
      <w:r>
        <w:rPr>
          <w:color w:val="595759"/>
          <w:spacing w:val="-14"/>
          <w:w w:val="105"/>
          <w:sz w:val="21"/>
        </w:rPr>
        <w:t> </w:t>
      </w:r>
      <w:r>
        <w:rPr>
          <w:color w:val="3B3A3B"/>
          <w:w w:val="105"/>
          <w:sz w:val="17"/>
        </w:rPr>
        <w:t>Aldisert</w:t>
      </w:r>
      <w:r>
        <w:rPr>
          <w:color w:val="595759"/>
          <w:w w:val="105"/>
          <w:sz w:val="17"/>
        </w:rPr>
        <w:t>,</w:t>
      </w:r>
      <w:r>
        <w:rPr>
          <w:color w:val="595759"/>
          <w:spacing w:val="8"/>
          <w:w w:val="105"/>
          <w:sz w:val="17"/>
        </w:rPr>
        <w:t> </w:t>
      </w:r>
      <w:r>
        <w:rPr>
          <w:rFonts w:ascii="Arial" w:hAnsi="Arial"/>
          <w:i/>
          <w:color w:val="3B3A3B"/>
          <w:w w:val="105"/>
          <w:sz w:val="16"/>
        </w:rPr>
        <w:t>Winning</w:t>
      </w:r>
      <w:r>
        <w:rPr>
          <w:rFonts w:ascii="Arial" w:hAnsi="Arial"/>
          <w:i/>
          <w:color w:val="3B3A3B"/>
          <w:spacing w:val="-23"/>
          <w:w w:val="105"/>
          <w:sz w:val="16"/>
        </w:rPr>
        <w:t> </w:t>
      </w:r>
      <w:r>
        <w:rPr>
          <w:rFonts w:ascii="Arial" w:hAnsi="Arial"/>
          <w:i/>
          <w:color w:val="3B3A3B"/>
          <w:w w:val="105"/>
          <w:sz w:val="16"/>
        </w:rPr>
        <w:t>on</w:t>
      </w:r>
      <w:r>
        <w:rPr>
          <w:rFonts w:ascii="Arial" w:hAnsi="Arial"/>
          <w:i/>
          <w:color w:val="3B3A3B"/>
          <w:spacing w:val="-3"/>
          <w:w w:val="105"/>
          <w:sz w:val="16"/>
        </w:rPr>
        <w:t> </w:t>
      </w:r>
      <w:r>
        <w:rPr>
          <w:rFonts w:ascii="Arial" w:hAnsi="Arial"/>
          <w:i/>
          <w:color w:val="3B3A3B"/>
          <w:w w:val="105"/>
          <w:sz w:val="16"/>
        </w:rPr>
        <w:t>App</w:t>
      </w:r>
      <w:r>
        <w:rPr>
          <w:rFonts w:ascii="Arial" w:hAnsi="Arial"/>
          <w:i/>
          <w:color w:val="595759"/>
          <w:w w:val="105"/>
          <w:sz w:val="16"/>
        </w:rPr>
        <w:t>e</w:t>
      </w:r>
      <w:r>
        <w:rPr>
          <w:rFonts w:ascii="Arial" w:hAnsi="Arial"/>
          <w:i/>
          <w:color w:val="3B3A3B"/>
          <w:w w:val="105"/>
          <w:sz w:val="16"/>
        </w:rPr>
        <w:t>al</w:t>
      </w:r>
      <w:r>
        <w:rPr>
          <w:rFonts w:ascii="Arial" w:hAnsi="Arial"/>
          <w:i/>
          <w:color w:val="3B3A3B"/>
          <w:spacing w:val="16"/>
          <w:w w:val="105"/>
          <w:sz w:val="16"/>
        </w:rPr>
        <w:t> </w:t>
      </w:r>
      <w:r>
        <w:rPr>
          <w:color w:val="3B3A3B"/>
          <w:w w:val="105"/>
          <w:sz w:val="17"/>
        </w:rPr>
        <w:t>142-43</w:t>
      </w:r>
      <w:r>
        <w:rPr>
          <w:color w:val="3B3A3B"/>
          <w:spacing w:val="-8"/>
          <w:w w:val="105"/>
          <w:sz w:val="17"/>
        </w:rPr>
        <w:t> </w:t>
      </w:r>
      <w:r>
        <w:rPr>
          <w:color w:val="595759"/>
          <w:w w:val="105"/>
          <w:sz w:val="17"/>
        </w:rPr>
        <w:t>(</w:t>
      </w:r>
      <w:r>
        <w:rPr>
          <w:color w:val="3B3A3B"/>
          <w:w w:val="105"/>
          <w:sz w:val="17"/>
        </w:rPr>
        <w:t>rev</w:t>
      </w:r>
      <w:r>
        <w:rPr>
          <w:color w:val="595759"/>
          <w:w w:val="105"/>
          <w:sz w:val="17"/>
        </w:rPr>
        <w:t>.</w:t>
      </w:r>
      <w:r>
        <w:rPr>
          <w:color w:val="595759"/>
          <w:spacing w:val="9"/>
          <w:w w:val="105"/>
          <w:sz w:val="17"/>
        </w:rPr>
        <w:t> </w:t>
      </w:r>
      <w:r>
        <w:rPr>
          <w:color w:val="3B3A3B"/>
          <w:w w:val="105"/>
          <w:sz w:val="17"/>
        </w:rPr>
        <w:t>1st</w:t>
      </w:r>
      <w:r>
        <w:rPr>
          <w:color w:val="3B3A3B"/>
          <w:spacing w:val="26"/>
          <w:w w:val="105"/>
          <w:sz w:val="17"/>
        </w:rPr>
        <w:t> </w:t>
      </w:r>
      <w:r>
        <w:rPr>
          <w:color w:val="3B3A3B"/>
          <w:w w:val="105"/>
          <w:sz w:val="17"/>
        </w:rPr>
        <w:t>ed</w:t>
      </w:r>
      <w:r>
        <w:rPr>
          <w:color w:val="595759"/>
          <w:w w:val="105"/>
          <w:sz w:val="17"/>
        </w:rPr>
        <w:t>.</w:t>
      </w:r>
      <w:r>
        <w:rPr>
          <w:color w:val="3B3A3B"/>
          <w:w w:val="105"/>
          <w:sz w:val="17"/>
        </w:rPr>
        <w:t>,</w:t>
      </w:r>
      <w:r>
        <w:rPr>
          <w:color w:val="3B3A3B"/>
          <w:spacing w:val="24"/>
          <w:w w:val="105"/>
          <w:sz w:val="17"/>
        </w:rPr>
        <w:t> </w:t>
      </w:r>
      <w:r>
        <w:rPr>
          <w:color w:val="3B3A3B"/>
          <w:w w:val="105"/>
          <w:sz w:val="17"/>
        </w:rPr>
        <w:t>Natl.</w:t>
      </w:r>
      <w:r>
        <w:rPr>
          <w:color w:val="3B3A3B"/>
          <w:spacing w:val="12"/>
          <w:w w:val="105"/>
          <w:sz w:val="17"/>
        </w:rPr>
        <w:t> </w:t>
      </w:r>
      <w:r>
        <w:rPr>
          <w:color w:val="3B3A3B"/>
          <w:w w:val="105"/>
          <w:sz w:val="18"/>
        </w:rPr>
        <w:t>Inst.</w:t>
      </w:r>
      <w:r>
        <w:rPr>
          <w:color w:val="3B3A3B"/>
          <w:spacing w:val="-18"/>
          <w:w w:val="105"/>
          <w:sz w:val="18"/>
        </w:rPr>
        <w:t> </w:t>
      </w:r>
      <w:r>
        <w:rPr>
          <w:color w:val="3B3A3B"/>
          <w:w w:val="105"/>
          <w:sz w:val="17"/>
        </w:rPr>
        <w:t>Trial</w:t>
      </w:r>
      <w:r>
        <w:rPr>
          <w:color w:val="3B3A3B"/>
          <w:spacing w:val="17"/>
          <w:w w:val="105"/>
          <w:sz w:val="17"/>
        </w:rPr>
        <w:t> </w:t>
      </w:r>
      <w:r>
        <w:rPr>
          <w:color w:val="3B3A3B"/>
          <w:w w:val="105"/>
          <w:sz w:val="17"/>
        </w:rPr>
        <w:t>Advoc</w:t>
      </w:r>
      <w:r>
        <w:rPr>
          <w:color w:val="595759"/>
          <w:w w:val="105"/>
          <w:sz w:val="17"/>
        </w:rPr>
        <w:t>.</w:t>
      </w:r>
      <w:r>
        <w:rPr>
          <w:color w:val="595759"/>
          <w:spacing w:val="-4"/>
          <w:w w:val="105"/>
          <w:sz w:val="17"/>
        </w:rPr>
        <w:t> </w:t>
      </w:r>
      <w:r>
        <w:rPr>
          <w:color w:val="3B3A3B"/>
          <w:w w:val="105"/>
          <w:sz w:val="18"/>
        </w:rPr>
        <w:t>1996).</w:t>
      </w:r>
    </w:p>
    <w:p>
      <w:pPr>
        <w:spacing w:after="0" w:line="240" w:lineRule="auto"/>
        <w:jc w:val="left"/>
        <w:rPr>
          <w:sz w:val="18"/>
        </w:rPr>
        <w:sectPr>
          <w:pgSz w:w="9810" w:h="13980"/>
          <w:pgMar w:header="530" w:footer="0" w:top="1100" w:bottom="0" w:left="1360" w:right="220"/>
        </w:sectPr>
      </w:pPr>
    </w:p>
    <w:p>
      <w:pPr>
        <w:pStyle w:val="BodyText"/>
        <w:spacing w:before="4"/>
        <w:rPr>
          <w:sz w:val="22"/>
        </w:rPr>
      </w:pPr>
    </w:p>
    <w:p>
      <w:pPr>
        <w:spacing w:before="88"/>
        <w:ind w:left="105" w:right="0" w:firstLine="0"/>
        <w:jc w:val="both"/>
        <w:rPr>
          <w:b/>
          <w:sz w:val="16"/>
        </w:rPr>
      </w:pPr>
      <w:r>
        <w:rPr>
          <w:color w:val="383638"/>
          <w:w w:val="80"/>
          <w:sz w:val="32"/>
          <w:u w:val="thick" w:color="383638"/>
        </w:rPr>
        <w:t>.J../</w:t>
      </w:r>
      <w:r>
        <w:rPr>
          <w:color w:val="383638"/>
          <w:spacing w:val="8"/>
          <w:w w:val="80"/>
          <w:sz w:val="32"/>
        </w:rPr>
        <w:t> </w:t>
      </w:r>
      <w:r>
        <w:rPr>
          <w:b/>
          <w:color w:val="383638"/>
          <w:w w:val="80"/>
          <w:sz w:val="16"/>
          <w:u w:val="thick" w:color="383638"/>
        </w:rPr>
        <w:t>BAD</w:t>
      </w:r>
      <w:r>
        <w:rPr>
          <w:b/>
          <w:color w:val="383638"/>
          <w:spacing w:val="5"/>
          <w:w w:val="80"/>
          <w:sz w:val="16"/>
          <w:u w:val="thick" w:color="383638"/>
        </w:rPr>
        <w:t> </w:t>
      </w:r>
      <w:r>
        <w:rPr>
          <w:b/>
          <w:color w:val="383638"/>
          <w:w w:val="80"/>
          <w:sz w:val="16"/>
          <w:u w:val="thick" w:color="383638"/>
        </w:rPr>
        <w:t>EXAMPLE</w:t>
      </w:r>
    </w:p>
    <w:p>
      <w:pPr>
        <w:spacing w:line="230" w:lineRule="auto" w:before="60"/>
        <w:ind w:left="491" w:right="456" w:firstLine="2"/>
        <w:jc w:val="left"/>
        <w:rPr>
          <w:b/>
          <w:sz w:val="21"/>
        </w:rPr>
      </w:pPr>
      <w:r>
        <w:rPr>
          <w:b/>
          <w:color w:val="383638"/>
          <w:w w:val="110"/>
          <w:sz w:val="21"/>
        </w:rPr>
        <w:t>Will</w:t>
      </w:r>
      <w:r>
        <w:rPr>
          <w:b/>
          <w:color w:val="383638"/>
          <w:spacing w:val="-1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thisCourt</w:t>
      </w:r>
      <w:r>
        <w:rPr>
          <w:b/>
          <w:color w:val="383638"/>
          <w:spacing w:val="-1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find</w:t>
      </w:r>
      <w:r>
        <w:rPr>
          <w:b/>
          <w:color w:val="383638"/>
          <w:spacing w:val="-17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that</w:t>
      </w:r>
      <w:r>
        <w:rPr>
          <w:b/>
          <w:color w:val="383638"/>
          <w:spacing w:val="-15"/>
          <w:w w:val="110"/>
          <w:sz w:val="21"/>
        </w:rPr>
        <w:t> </w:t>
      </w:r>
      <w:r>
        <w:rPr>
          <w:color w:val="383638"/>
          <w:w w:val="110"/>
          <w:sz w:val="21"/>
        </w:rPr>
        <w:t>condition</w:t>
      </w:r>
      <w:r>
        <w:rPr>
          <w:color w:val="383638"/>
          <w:spacing w:val="1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X</w:t>
      </w:r>
      <w:r>
        <w:rPr>
          <w:b/>
          <w:color w:val="383638"/>
          <w:spacing w:val="-2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exists</w:t>
      </w:r>
      <w:r>
        <w:rPr>
          <w:b/>
          <w:color w:val="383638"/>
          <w:spacing w:val="-17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when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Appellant</w:t>
      </w:r>
      <w:r>
        <w:rPr>
          <w:b/>
          <w:color w:val="383638"/>
          <w:spacing w:val="-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has</w:t>
      </w:r>
      <w:r>
        <w:rPr>
          <w:b/>
          <w:color w:val="383638"/>
          <w:spacing w:val="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estab­</w:t>
      </w:r>
      <w:r>
        <w:rPr>
          <w:b/>
          <w:color w:val="383638"/>
          <w:spacing w:val="-55"/>
          <w:w w:val="110"/>
          <w:sz w:val="21"/>
        </w:rPr>
        <w:t> </w:t>
      </w:r>
      <w:r>
        <w:rPr>
          <w:b/>
          <w:color w:val="383638"/>
          <w:w w:val="105"/>
          <w:sz w:val="21"/>
        </w:rPr>
        <w:t>lished</w:t>
      </w:r>
      <w:r>
        <w:rPr>
          <w:b/>
          <w:color w:val="383638"/>
          <w:spacing w:val="-2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all</w:t>
      </w:r>
      <w:r>
        <w:rPr>
          <w:b/>
          <w:color w:val="383638"/>
          <w:spacing w:val="12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of</w:t>
      </w:r>
      <w:r>
        <w:rPr>
          <w:b/>
          <w:color w:val="383638"/>
          <w:spacing w:val="26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the</w:t>
      </w:r>
      <w:r>
        <w:rPr>
          <w:b/>
          <w:color w:val="383638"/>
          <w:spacing w:val="22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factors</w:t>
      </w:r>
      <w:r>
        <w:rPr>
          <w:b/>
          <w:color w:val="383638"/>
          <w:spacing w:val="2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necessary</w:t>
      </w:r>
      <w:r>
        <w:rPr>
          <w:b/>
          <w:color w:val="383638"/>
          <w:spacing w:val="13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for</w:t>
      </w:r>
      <w:r>
        <w:rPr>
          <w:b/>
          <w:color w:val="383638"/>
          <w:spacing w:val="-14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condition</w:t>
      </w:r>
      <w:r>
        <w:rPr>
          <w:b/>
          <w:color w:val="383638"/>
          <w:spacing w:val="14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X?</w:t>
      </w:r>
    </w:p>
    <w:p>
      <w:pPr>
        <w:pStyle w:val="BodyText"/>
        <w:spacing w:line="230" w:lineRule="auto" w:before="164"/>
        <w:ind w:left="178" w:right="529" w:firstLine="3"/>
        <w:jc w:val="both"/>
      </w:pPr>
      <w:r>
        <w:rPr>
          <w:color w:val="383638"/>
          <w:w w:val="110"/>
        </w:rPr>
        <w:t>Even though you may firmly believe that all of the factors are there, your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question should not assume away elements that your opponent legiti­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mately disputes. Instead, include the facts and the law that you can useto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prove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the court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should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decide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favor.</w:t>
      </w:r>
    </w:p>
    <w:p>
      <w:pPr>
        <w:pStyle w:val="BodyText"/>
        <w:spacing w:line="218" w:lineRule="auto" w:before="16"/>
        <w:ind w:left="177" w:right="521" w:firstLine="323"/>
        <w:jc w:val="both"/>
      </w:pPr>
      <w:r>
        <w:rPr>
          <w:color w:val="383638"/>
          <w:w w:val="110"/>
        </w:rPr>
        <w:t>For</w:t>
      </w:r>
      <w:r>
        <w:rPr>
          <w:color w:val="383638"/>
          <w:spacing w:val="-25"/>
          <w:w w:val="110"/>
        </w:rPr>
        <w:t> </w:t>
      </w:r>
      <w:r>
        <w:rPr>
          <w:color w:val="383638"/>
          <w:w w:val="110"/>
        </w:rPr>
        <w:t>example,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following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question,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writer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has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assumed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no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fundamental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right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has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been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violated:</w:t>
      </w:r>
    </w:p>
    <w:p>
      <w:pPr>
        <w:pStyle w:val="BodyText"/>
        <w:spacing w:before="8"/>
        <w:rPr>
          <w:sz w:val="10"/>
        </w:rPr>
      </w:pPr>
    </w:p>
    <w:p>
      <w:pPr>
        <w:spacing w:before="96"/>
        <w:ind w:left="163" w:right="0" w:firstLine="0"/>
        <w:jc w:val="both"/>
        <w:rPr>
          <w:rFonts w:ascii="Arial"/>
          <w:sz w:val="15"/>
        </w:rPr>
      </w:pPr>
      <w:r>
        <w:rPr>
          <w:rFonts w:ascii="Arial"/>
          <w:color w:val="383638"/>
          <w:sz w:val="15"/>
          <w:u w:val="thick" w:color="4F4D4F"/>
        </w:rPr>
        <w:t>.::y_BAD</w:t>
      </w:r>
      <w:r>
        <w:rPr>
          <w:rFonts w:ascii="Arial"/>
          <w:color w:val="383638"/>
          <w:spacing w:val="4"/>
          <w:sz w:val="15"/>
          <w:u w:val="thick" w:color="4F4D4F"/>
        </w:rPr>
        <w:t> </w:t>
      </w:r>
      <w:r>
        <w:rPr>
          <w:rFonts w:ascii="Arial"/>
          <w:color w:val="4F4D4F"/>
          <w:sz w:val="15"/>
          <w:u w:val="thick" w:color="4F4D4F"/>
        </w:rPr>
        <w:t>EXAMPLE</w:t>
      </w:r>
    </w:p>
    <w:p>
      <w:pPr>
        <w:spacing w:line="235" w:lineRule="auto" w:before="94"/>
        <w:ind w:left="487" w:right="875" w:firstLine="14"/>
        <w:jc w:val="both"/>
        <w:rPr>
          <w:b/>
          <w:sz w:val="21"/>
        </w:rPr>
      </w:pPr>
      <w:r>
        <w:rPr>
          <w:color w:val="383638"/>
          <w:w w:val="115"/>
          <w:sz w:val="21"/>
        </w:rPr>
        <w:t>Do voter-initiated, state constitutional amendments that prohibit the</w:t>
      </w:r>
      <w:r>
        <w:rPr>
          <w:color w:val="383638"/>
          <w:spacing w:val="1"/>
          <w:w w:val="115"/>
          <w:sz w:val="21"/>
        </w:rPr>
        <w:t> </w:t>
      </w:r>
      <w:r>
        <w:rPr>
          <w:b/>
          <w:color w:val="383638"/>
          <w:w w:val="110"/>
          <w:sz w:val="21"/>
        </w:rPr>
        <w:t>enactment of legislation desired by an identifiable class comply with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color w:val="383638"/>
          <w:w w:val="115"/>
          <w:sz w:val="21"/>
        </w:rPr>
        <w:t>the Equal Protection Clause of the Fourteenth Amendment when such</w:t>
      </w:r>
      <w:r>
        <w:rPr>
          <w:color w:val="383638"/>
          <w:spacing w:val="-58"/>
          <w:w w:val="115"/>
          <w:sz w:val="21"/>
        </w:rPr>
        <w:t> </w:t>
      </w:r>
      <w:r>
        <w:rPr>
          <w:b/>
          <w:color w:val="383638"/>
          <w:w w:val="110"/>
          <w:sz w:val="21"/>
        </w:rPr>
        <w:t>amendments</w:t>
      </w:r>
      <w:r>
        <w:rPr>
          <w:b/>
          <w:color w:val="383638"/>
          <w:spacing w:val="-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do</w:t>
      </w:r>
      <w:r>
        <w:rPr>
          <w:b/>
          <w:color w:val="383638"/>
          <w:spacing w:val="1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not</w:t>
      </w:r>
      <w:r>
        <w:rPr>
          <w:b/>
          <w:color w:val="383638"/>
          <w:spacing w:val="17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violate</w:t>
      </w:r>
      <w:r>
        <w:rPr>
          <w:b/>
          <w:color w:val="383638"/>
          <w:spacing w:val="-1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</w:t>
      </w:r>
      <w:r>
        <w:rPr>
          <w:b/>
          <w:color w:val="383638"/>
          <w:spacing w:val="-2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fundamental</w:t>
      </w:r>
      <w:r>
        <w:rPr>
          <w:b/>
          <w:color w:val="383638"/>
          <w:spacing w:val="7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right?</w:t>
      </w:r>
    </w:p>
    <w:p>
      <w:pPr>
        <w:pStyle w:val="BodyText"/>
        <w:spacing w:line="230" w:lineRule="auto" w:before="157"/>
        <w:ind w:left="184" w:right="480" w:firstLine="7"/>
        <w:jc w:val="both"/>
      </w:pPr>
      <w:r>
        <w:rPr>
          <w:color w:val="383638"/>
          <w:w w:val="110"/>
        </w:rPr>
        <w:t>Because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other side argued that the amendment </w:t>
      </w:r>
      <w:r>
        <w:rPr>
          <w:i/>
          <w:color w:val="383638"/>
          <w:w w:val="110"/>
          <w:sz w:val="22"/>
        </w:rPr>
        <w:t>did </w:t>
      </w:r>
      <w:r>
        <w:rPr>
          <w:color w:val="383638"/>
          <w:w w:val="110"/>
        </w:rPr>
        <w:t>violate a funda­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mental right, the question assumes an element at issue. Instead, the writer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should include the facts and  law that heor she plans to use to show that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no</w:t>
      </w:r>
      <w:r>
        <w:rPr>
          <w:color w:val="383638"/>
          <w:spacing w:val="-39"/>
          <w:w w:val="110"/>
        </w:rPr>
        <w:t> </w:t>
      </w:r>
      <w:r>
        <w:rPr>
          <w:color w:val="383638"/>
          <w:w w:val="110"/>
        </w:rPr>
        <w:t>fundamental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right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has been violated:</w:t>
      </w:r>
    </w:p>
    <w:p>
      <w:pPr>
        <w:pStyle w:val="BodyText"/>
        <w:spacing w:before="4"/>
        <w:rPr>
          <w:sz w:val="10"/>
        </w:rPr>
      </w:pPr>
    </w:p>
    <w:p>
      <w:pPr>
        <w:spacing w:before="96"/>
        <w:ind w:left="191" w:right="0" w:firstLine="0"/>
        <w:jc w:val="both"/>
        <w:rPr>
          <w:rFonts w:ascii="Arial"/>
          <w:sz w:val="14"/>
        </w:rPr>
      </w:pPr>
      <w:r>
        <w:rPr>
          <w:rFonts w:ascii="Arial"/>
          <w:color w:val="4F4D4F"/>
          <w:w w:val="105"/>
          <w:sz w:val="14"/>
          <w:u w:val="thick" w:color="6B6B6E"/>
        </w:rPr>
        <w:t>-f:</w:t>
      </w:r>
      <w:r>
        <w:rPr>
          <w:rFonts w:ascii="Arial"/>
          <w:color w:val="4F4D4F"/>
          <w:w w:val="105"/>
          <w:sz w:val="14"/>
        </w:rPr>
        <w:t>   </w:t>
      </w:r>
      <w:r>
        <w:rPr>
          <w:rFonts w:ascii="Arial"/>
          <w:color w:val="4F4D4F"/>
          <w:spacing w:val="39"/>
          <w:w w:val="105"/>
          <w:sz w:val="14"/>
        </w:rPr>
        <w:t> </w:t>
      </w:r>
      <w:r>
        <w:rPr>
          <w:rFonts w:ascii="Arial"/>
          <w:color w:val="4F4D4F"/>
          <w:w w:val="105"/>
          <w:sz w:val="14"/>
          <w:u w:val="thick" w:color="6B6B6E"/>
        </w:rPr>
        <w:t>GOOD</w:t>
      </w:r>
      <w:r>
        <w:rPr>
          <w:rFonts w:ascii="Arial"/>
          <w:color w:val="4F4D4F"/>
          <w:spacing w:val="-4"/>
          <w:w w:val="105"/>
          <w:sz w:val="14"/>
          <w:u w:val="thick" w:color="6B6B6E"/>
        </w:rPr>
        <w:t> </w:t>
      </w:r>
      <w:r>
        <w:rPr>
          <w:rFonts w:ascii="Arial"/>
          <w:color w:val="4F4D4F"/>
          <w:w w:val="105"/>
          <w:sz w:val="14"/>
          <w:u w:val="thick" w:color="6B6B6E"/>
        </w:rPr>
        <w:t>EX</w:t>
      </w:r>
      <w:r>
        <w:rPr>
          <w:rFonts w:ascii="Arial"/>
          <w:color w:val="6B6B6E"/>
          <w:w w:val="105"/>
          <w:sz w:val="14"/>
          <w:u w:val="thick" w:color="6B6B6E"/>
        </w:rPr>
        <w:t>AMP</w:t>
      </w:r>
      <w:r>
        <w:rPr>
          <w:rFonts w:ascii="Arial"/>
          <w:color w:val="4F4D4F"/>
          <w:w w:val="105"/>
          <w:sz w:val="14"/>
          <w:u w:val="thick" w:color="6B6B6E"/>
        </w:rPr>
        <w:t>L</w:t>
      </w:r>
      <w:r>
        <w:rPr>
          <w:rFonts w:ascii="Arial"/>
          <w:color w:val="6B6B6E"/>
          <w:w w:val="105"/>
          <w:sz w:val="14"/>
          <w:u w:val="thick" w:color="6B6B6E"/>
        </w:rPr>
        <w:t>E</w:t>
      </w:r>
    </w:p>
    <w:p>
      <w:pPr>
        <w:spacing w:line="235" w:lineRule="auto" w:before="106"/>
        <w:ind w:left="505" w:right="844" w:firstLine="5"/>
        <w:jc w:val="both"/>
        <w:rPr>
          <w:b/>
          <w:sz w:val="21"/>
        </w:rPr>
      </w:pPr>
      <w:r>
        <w:rPr>
          <w:color w:val="383638"/>
          <w:w w:val="115"/>
          <w:sz w:val="21"/>
        </w:rPr>
        <w:t>Do voter-initiated, state constitutional amendments that prohibit the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enactment of legislation desired by an identifiable class comply with</w:t>
      </w:r>
      <w:r>
        <w:rPr>
          <w:color w:val="383638"/>
          <w:spacing w:val="1"/>
          <w:w w:val="115"/>
          <w:sz w:val="21"/>
        </w:rPr>
        <w:t> </w:t>
      </w:r>
      <w:r>
        <w:rPr>
          <w:b/>
          <w:color w:val="383638"/>
          <w:w w:val="105"/>
          <w:sz w:val="21"/>
        </w:rPr>
        <w:t>the Equal Protection Clause of the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Fourteenth Amendment when the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15"/>
          <w:sz w:val="21"/>
        </w:rPr>
        <w:t>amendments</w:t>
      </w:r>
      <w:r>
        <w:rPr>
          <w:b/>
          <w:color w:val="383638"/>
          <w:spacing w:val="-2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do</w:t>
      </w:r>
      <w:r>
        <w:rPr>
          <w:b/>
          <w:color w:val="383638"/>
          <w:spacing w:val="14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not</w:t>
      </w:r>
      <w:r>
        <w:rPr>
          <w:b/>
          <w:color w:val="383638"/>
          <w:spacing w:val="17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inhibit</w:t>
      </w:r>
      <w:r>
        <w:rPr>
          <w:b/>
          <w:color w:val="383638"/>
          <w:spacing w:val="-11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the</w:t>
      </w:r>
      <w:r>
        <w:rPr>
          <w:b/>
          <w:color w:val="383638"/>
          <w:spacing w:val="-3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right</w:t>
      </w:r>
      <w:r>
        <w:rPr>
          <w:b/>
          <w:color w:val="383638"/>
          <w:spacing w:val="-14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to</w:t>
      </w:r>
      <w:r>
        <w:rPr>
          <w:b/>
          <w:color w:val="383638"/>
          <w:spacing w:val="2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vote?</w:t>
      </w:r>
    </w:p>
    <w:p>
      <w:pPr>
        <w:pStyle w:val="BodyText"/>
        <w:spacing w:before="138"/>
        <w:ind w:left="202" w:right="461" w:hanging="14"/>
        <w:jc w:val="both"/>
      </w:pPr>
      <w:r>
        <w:rPr>
          <w:color w:val="383638"/>
          <w:w w:val="110"/>
        </w:rPr>
        <w:t>This question focuses on the fact that the writer thinks is most important: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Whatever else the amendments may do, they do not inhibit the funda­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mental</w:t>
      </w:r>
      <w:r>
        <w:rPr>
          <w:color w:val="383638"/>
          <w:spacing w:val="8"/>
          <w:w w:val="115"/>
        </w:rPr>
        <w:t> </w:t>
      </w:r>
      <w:r>
        <w:rPr>
          <w:color w:val="383638"/>
          <w:w w:val="115"/>
        </w:rPr>
        <w:t>right</w:t>
      </w:r>
      <w:r>
        <w:rPr>
          <w:color w:val="383638"/>
          <w:spacing w:val="5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-3"/>
          <w:w w:val="115"/>
        </w:rPr>
        <w:t> </w:t>
      </w:r>
      <w:r>
        <w:rPr>
          <w:color w:val="383638"/>
          <w:w w:val="115"/>
        </w:rPr>
        <w:t>vote.</w:t>
      </w:r>
    </w:p>
    <w:p>
      <w:pPr>
        <w:pStyle w:val="BodyText"/>
        <w:spacing w:line="225" w:lineRule="auto"/>
        <w:ind w:left="198" w:right="471" w:firstLine="320"/>
        <w:jc w:val="both"/>
      </w:pPr>
      <w:r>
        <w:rPr>
          <w:color w:val="383638"/>
          <w:w w:val="110"/>
        </w:rPr>
        <w:t>In the following example, a different version of a question appropriate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05"/>
        </w:rPr>
        <w:t>in </w:t>
      </w:r>
      <w:r>
        <w:rPr>
          <w:i/>
          <w:color w:val="383638"/>
          <w:w w:val="105"/>
          <w:sz w:val="24"/>
        </w:rPr>
        <w:t>Minnesota v. Carter, </w:t>
      </w:r>
      <w:r>
        <w:rPr>
          <w:color w:val="383638"/>
          <w:w w:val="105"/>
        </w:rPr>
        <w:t>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writer has assumed that the issue of whether the</w:t>
      </w:r>
      <w:r>
        <w:rPr>
          <w:color w:val="383638"/>
          <w:spacing w:val="-58"/>
          <w:w w:val="105"/>
        </w:rPr>
        <w:t> </w:t>
      </w:r>
      <w:r>
        <w:rPr>
          <w:color w:val="383638"/>
          <w:w w:val="110"/>
        </w:rPr>
        <w:t>defendant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had</w:t>
      </w:r>
      <w:r>
        <w:rPr>
          <w:color w:val="383638"/>
          <w:spacing w:val="28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"reasonable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expectation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privacy"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has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been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met:</w:t>
      </w:r>
    </w:p>
    <w:p>
      <w:pPr>
        <w:spacing w:before="79"/>
        <w:ind w:left="169" w:right="0" w:firstLine="0"/>
        <w:jc w:val="both"/>
        <w:rPr>
          <w:rFonts w:ascii="Arial"/>
          <w:sz w:val="14"/>
        </w:rPr>
      </w:pPr>
      <w:r>
        <w:rPr>
          <w:rFonts w:ascii="Arial"/>
          <w:color w:val="383638"/>
          <w:spacing w:val="-1"/>
          <w:w w:val="108"/>
          <w:sz w:val="29"/>
          <w:u w:val="thick" w:color="383638"/>
        </w:rPr>
        <w:t>.J</w:t>
      </w:r>
      <w:r>
        <w:rPr>
          <w:rFonts w:ascii="Arial"/>
          <w:color w:val="383638"/>
          <w:spacing w:val="11"/>
          <w:w w:val="108"/>
          <w:sz w:val="29"/>
          <w:u w:val="thick" w:color="383638"/>
        </w:rPr>
        <w:t>/</w:t>
      </w:r>
      <w:r>
        <w:rPr>
          <w:rFonts w:ascii="Arial"/>
          <w:color w:val="383638"/>
          <w:spacing w:val="-1"/>
          <w:w w:val="102"/>
          <w:sz w:val="14"/>
          <w:u w:val="thick" w:color="383638"/>
        </w:rPr>
        <w:t>DA</w:t>
      </w:r>
      <w:r>
        <w:rPr>
          <w:rFonts w:ascii="Arial"/>
          <w:color w:val="383638"/>
          <w:w w:val="102"/>
          <w:sz w:val="14"/>
          <w:u w:val="thick" w:color="383638"/>
        </w:rPr>
        <w:t>O</w:t>
      </w:r>
      <w:r>
        <w:rPr>
          <w:rFonts w:ascii="Arial"/>
          <w:color w:val="383638"/>
          <w:spacing w:val="-3"/>
          <w:sz w:val="14"/>
          <w:u w:val="thick" w:color="383638"/>
        </w:rPr>
        <w:t> </w:t>
      </w:r>
      <w:r>
        <w:rPr>
          <w:rFonts w:ascii="Arial"/>
          <w:color w:val="4F4D4F"/>
          <w:spacing w:val="-1"/>
          <w:w w:val="106"/>
          <w:sz w:val="14"/>
          <w:u w:val="thick" w:color="383638"/>
        </w:rPr>
        <w:t>EXAMPLE</w:t>
      </w:r>
    </w:p>
    <w:p>
      <w:pPr>
        <w:spacing w:line="232" w:lineRule="auto" w:before="66"/>
        <w:ind w:left="524" w:right="809" w:hanging="3"/>
        <w:jc w:val="both"/>
        <w:rPr>
          <w:b/>
          <w:sz w:val="21"/>
        </w:rPr>
      </w:pPr>
      <w:r>
        <w:rPr>
          <w:b/>
          <w:color w:val="383638"/>
          <w:w w:val="115"/>
          <w:sz w:val="21"/>
        </w:rPr>
        <w:t>Whether citizens have a constitutionally protected right to be free</w:t>
      </w:r>
      <w:r>
        <w:rPr>
          <w:b/>
          <w:color w:val="383638"/>
          <w:spacing w:val="-58"/>
          <w:w w:val="115"/>
          <w:sz w:val="21"/>
        </w:rPr>
        <w:t> </w:t>
      </w:r>
      <w:r>
        <w:rPr>
          <w:b/>
          <w:color w:val="383638"/>
          <w:w w:val="110"/>
          <w:sz w:val="21"/>
        </w:rPr>
        <w:t>from</w:t>
      </w:r>
      <w:r>
        <w:rPr>
          <w:b/>
          <w:color w:val="383638"/>
          <w:spacing w:val="-2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</w:t>
      </w:r>
      <w:r>
        <w:rPr>
          <w:b/>
          <w:color w:val="383638"/>
          <w:spacing w:val="-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police</w:t>
      </w:r>
      <w:r>
        <w:rPr>
          <w:b/>
          <w:color w:val="383638"/>
          <w:spacing w:val="-2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officer's</w:t>
      </w:r>
      <w:r>
        <w:rPr>
          <w:b/>
          <w:color w:val="383638"/>
          <w:spacing w:val="-1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covert</w:t>
      </w:r>
      <w:r>
        <w:rPr>
          <w:b/>
          <w:color w:val="383638"/>
          <w:spacing w:val="-2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observation</w:t>
      </w:r>
      <w:r>
        <w:rPr>
          <w:b/>
          <w:color w:val="383638"/>
          <w:spacing w:val="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Intoa</w:t>
      </w:r>
      <w:r>
        <w:rPr>
          <w:b/>
          <w:color w:val="383638"/>
          <w:spacing w:val="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private</w:t>
      </w:r>
      <w:r>
        <w:rPr>
          <w:b/>
          <w:color w:val="383638"/>
          <w:spacing w:val="-1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dwelling</w:t>
      </w:r>
      <w:r>
        <w:rPr>
          <w:b/>
          <w:color w:val="383638"/>
          <w:spacing w:val="-7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when</w:t>
      </w:r>
      <w:r>
        <w:rPr>
          <w:b/>
          <w:color w:val="383638"/>
          <w:spacing w:val="-5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that</w:t>
      </w:r>
      <w:r>
        <w:rPr>
          <w:b/>
          <w:color w:val="383638"/>
          <w:spacing w:val="-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citizen</w:t>
      </w:r>
      <w:r>
        <w:rPr>
          <w:b/>
          <w:color w:val="383638"/>
          <w:spacing w:val="-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reasonably</w:t>
      </w:r>
      <w:r>
        <w:rPr>
          <w:b/>
          <w:color w:val="383638"/>
          <w:spacing w:val="2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expected</w:t>
      </w:r>
      <w:r>
        <w:rPr>
          <w:b/>
          <w:color w:val="383638"/>
          <w:spacing w:val="-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and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took</w:t>
      </w:r>
      <w:r>
        <w:rPr>
          <w:b/>
          <w:color w:val="383638"/>
          <w:spacing w:val="-1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measures</w:t>
      </w:r>
      <w:r>
        <w:rPr>
          <w:b/>
          <w:color w:val="383638"/>
          <w:spacing w:val="-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to</w:t>
      </w:r>
      <w:r>
        <w:rPr>
          <w:b/>
          <w:color w:val="383638"/>
          <w:spacing w:val="-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ensure</w:t>
      </w:r>
      <w:r>
        <w:rPr>
          <w:b/>
          <w:color w:val="383638"/>
          <w:spacing w:val="-2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that</w:t>
      </w:r>
      <w:r>
        <w:rPr>
          <w:b/>
          <w:color w:val="383638"/>
          <w:spacing w:val="-10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his</w:t>
      </w:r>
      <w:r>
        <w:rPr>
          <w:b/>
          <w:color w:val="383638"/>
          <w:spacing w:val="-5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activities</w:t>
      </w:r>
      <w:r>
        <w:rPr>
          <w:b/>
          <w:color w:val="383638"/>
          <w:spacing w:val="-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would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be</w:t>
      </w:r>
      <w:r>
        <w:rPr>
          <w:b/>
          <w:color w:val="383638"/>
          <w:spacing w:val="-1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shielded</w:t>
      </w:r>
      <w:r>
        <w:rPr>
          <w:b/>
          <w:color w:val="383638"/>
          <w:spacing w:val="-10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from</w:t>
      </w:r>
      <w:r>
        <w:rPr>
          <w:b/>
          <w:color w:val="383638"/>
          <w:spacing w:val="-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</w:t>
      </w:r>
      <w:r>
        <w:rPr>
          <w:b/>
          <w:color w:val="383638"/>
          <w:spacing w:val="1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public's</w:t>
      </w:r>
      <w:r>
        <w:rPr>
          <w:b/>
          <w:color w:val="383638"/>
          <w:spacing w:val="-7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view?</w:t>
      </w:r>
    </w:p>
    <w:p>
      <w:pPr>
        <w:pStyle w:val="BodyText"/>
        <w:spacing w:line="232" w:lineRule="auto" w:before="143"/>
        <w:ind w:left="216" w:right="386" w:firstLine="2"/>
        <w:jc w:val="both"/>
      </w:pPr>
      <w:r>
        <w:rPr>
          <w:color w:val="383638"/>
          <w:w w:val="115"/>
        </w:rPr>
        <w:t>Instead of including the citizen's "reasonable expectation" as a fact, the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5"/>
        </w:rPr>
        <w:t>writer should include the facts that he or she </w:t>
      </w:r>
      <w:r>
        <w:rPr>
          <w:color w:val="383638"/>
          <w:w w:val="115"/>
          <w:sz w:val="22"/>
        </w:rPr>
        <w:t>will </w:t>
      </w:r>
      <w:r>
        <w:rPr>
          <w:color w:val="383638"/>
          <w:w w:val="115"/>
        </w:rPr>
        <w:t>use to prove that the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expectation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of</w:t>
      </w:r>
      <w:r>
        <w:rPr>
          <w:color w:val="383638"/>
          <w:spacing w:val="6"/>
          <w:w w:val="115"/>
        </w:rPr>
        <w:t> </w:t>
      </w:r>
      <w:r>
        <w:rPr>
          <w:color w:val="383638"/>
          <w:w w:val="115"/>
        </w:rPr>
        <w:t>privacy</w:t>
      </w:r>
      <w:r>
        <w:rPr>
          <w:color w:val="383638"/>
          <w:spacing w:val="-5"/>
          <w:w w:val="115"/>
        </w:rPr>
        <w:t> </w:t>
      </w:r>
      <w:r>
        <w:rPr>
          <w:color w:val="383638"/>
          <w:w w:val="115"/>
        </w:rPr>
        <w:t>was</w:t>
      </w:r>
      <w:r>
        <w:rPr>
          <w:color w:val="383638"/>
          <w:spacing w:val="-15"/>
          <w:w w:val="115"/>
        </w:rPr>
        <w:t> </w:t>
      </w:r>
      <w:r>
        <w:rPr>
          <w:color w:val="383638"/>
          <w:w w:val="115"/>
        </w:rPr>
        <w:t>reasonable:</w:t>
      </w:r>
    </w:p>
    <w:p>
      <w:pPr>
        <w:pStyle w:val="BodyText"/>
        <w:spacing w:before="4"/>
        <w:rPr>
          <w:sz w:val="9"/>
        </w:rPr>
      </w:pPr>
    </w:p>
    <w:p>
      <w:pPr>
        <w:spacing w:before="96"/>
        <w:ind w:left="217" w:right="0" w:firstLine="0"/>
        <w:jc w:val="left"/>
        <w:rPr>
          <w:rFonts w:ascii="Arial"/>
          <w:sz w:val="14"/>
        </w:rPr>
      </w:pPr>
      <w:r>
        <w:rPr>
          <w:rFonts w:ascii="Arial"/>
          <w:color w:val="383638"/>
          <w:spacing w:val="-1"/>
          <w:w w:val="110"/>
          <w:sz w:val="14"/>
          <w:u w:val="thick" w:color="383638"/>
        </w:rPr>
        <w:t>_/\</w:t>
      </w:r>
      <w:r>
        <w:rPr>
          <w:rFonts w:ascii="Arial"/>
          <w:color w:val="383638"/>
          <w:spacing w:val="61"/>
          <w:w w:val="110"/>
          <w:sz w:val="14"/>
        </w:rPr>
        <w:t> </w:t>
      </w:r>
      <w:r>
        <w:rPr>
          <w:rFonts w:ascii="Arial"/>
          <w:color w:val="383638"/>
          <w:w w:val="110"/>
          <w:sz w:val="14"/>
          <w:u w:val="thick" w:color="4F4D4F"/>
        </w:rPr>
        <w:t>GOOD</w:t>
      </w:r>
      <w:r>
        <w:rPr>
          <w:rFonts w:ascii="Arial"/>
          <w:color w:val="383638"/>
          <w:spacing w:val="-15"/>
          <w:w w:val="110"/>
          <w:sz w:val="14"/>
          <w:u w:val="thick" w:color="4F4D4F"/>
        </w:rPr>
        <w:t> </w:t>
      </w:r>
      <w:r>
        <w:rPr>
          <w:rFonts w:ascii="Arial"/>
          <w:color w:val="4F4D4F"/>
          <w:w w:val="110"/>
          <w:sz w:val="14"/>
          <w:u w:val="thick" w:color="4F4D4F"/>
        </w:rPr>
        <w:t>EXAMP</w:t>
      </w:r>
      <w:r>
        <w:rPr>
          <w:rFonts w:ascii="Arial"/>
          <w:color w:val="6B6B6E"/>
          <w:w w:val="110"/>
          <w:sz w:val="14"/>
          <w:u w:val="thick" w:color="4F4D4F"/>
        </w:rPr>
        <w:t>L</w:t>
      </w:r>
      <w:r>
        <w:rPr>
          <w:rFonts w:ascii="Arial"/>
          <w:color w:val="4F4D4F"/>
          <w:w w:val="110"/>
          <w:sz w:val="14"/>
          <w:u w:val="thick" w:color="4F4D4F"/>
        </w:rPr>
        <w:t>E</w:t>
      </w:r>
    </w:p>
    <w:p>
      <w:pPr>
        <w:spacing w:before="82"/>
        <w:ind w:left="546" w:right="456" w:firstLine="1"/>
        <w:jc w:val="left"/>
        <w:rPr>
          <w:b/>
          <w:sz w:val="21"/>
        </w:rPr>
      </w:pPr>
      <w:r>
        <w:rPr>
          <w:b/>
          <w:color w:val="383638"/>
          <w:w w:val="110"/>
          <w:sz w:val="21"/>
        </w:rPr>
        <w:t>Under the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Fourth Amendment, does a citizen have a right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to be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free</w:t>
      </w:r>
      <w:r>
        <w:rPr>
          <w:b/>
          <w:color w:val="383638"/>
          <w:spacing w:val="-5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from</w:t>
      </w:r>
      <w:r>
        <w:rPr>
          <w:b/>
          <w:color w:val="383638"/>
          <w:spacing w:val="-2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</w:t>
      </w:r>
      <w:r>
        <w:rPr>
          <w:b/>
          <w:color w:val="383638"/>
          <w:spacing w:val="-2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police</w:t>
      </w:r>
      <w:r>
        <w:rPr>
          <w:b/>
          <w:color w:val="383638"/>
          <w:spacing w:val="-1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officer's</w:t>
      </w:r>
      <w:r>
        <w:rPr>
          <w:b/>
          <w:color w:val="383638"/>
          <w:spacing w:val="-17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covert</w:t>
      </w:r>
      <w:r>
        <w:rPr>
          <w:b/>
          <w:color w:val="383638"/>
          <w:spacing w:val="-1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observation</w:t>
      </w:r>
      <w:r>
        <w:rPr>
          <w:b/>
          <w:color w:val="383638"/>
          <w:spacing w:val="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Into</w:t>
      </w:r>
      <w:r>
        <w:rPr>
          <w:b/>
          <w:color w:val="383638"/>
          <w:spacing w:val="-2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</w:t>
      </w:r>
      <w:r>
        <w:rPr>
          <w:b/>
          <w:color w:val="383638"/>
          <w:spacing w:val="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private</w:t>
      </w:r>
      <w:r>
        <w:rPr>
          <w:b/>
          <w:color w:val="383638"/>
          <w:spacing w:val="-1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dwelling</w:t>
      </w:r>
      <w:r>
        <w:rPr>
          <w:b/>
          <w:color w:val="383638"/>
          <w:spacing w:val="-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when</w:t>
      </w:r>
    </w:p>
    <w:p>
      <w:pPr>
        <w:spacing w:after="0"/>
        <w:jc w:val="left"/>
        <w:rPr>
          <w:sz w:val="21"/>
        </w:rPr>
        <w:sectPr>
          <w:headerReference w:type="default" r:id="rId226"/>
          <w:headerReference w:type="even" r:id="rId227"/>
          <w:pgSz w:w="9660" w:h="13980"/>
          <w:pgMar w:header="598" w:footer="0" w:top="800" w:bottom="0" w:left="180" w:right="1340"/>
          <w:pgNumType w:start="197"/>
        </w:sectPr>
      </w:pPr>
    </w:p>
    <w:p>
      <w:pPr>
        <w:spacing w:line="237" w:lineRule="auto" w:before="83"/>
        <w:ind w:left="1102" w:right="439" w:firstLine="3"/>
        <w:jc w:val="both"/>
        <w:rPr>
          <w:b/>
          <w:sz w:val="21"/>
        </w:rPr>
      </w:pPr>
      <w:r>
        <w:rPr>
          <w:b/>
          <w:color w:val="383638"/>
          <w:w w:val="110"/>
          <w:sz w:val="21"/>
        </w:rPr>
        <w:t>the citizen </w:t>
      </w:r>
      <w:r>
        <w:rPr>
          <w:b/>
          <w:i/>
          <w:color w:val="383638"/>
          <w:w w:val="110"/>
          <w:sz w:val="22"/>
        </w:rPr>
        <w:t>was </w:t>
      </w:r>
      <w:r>
        <w:rPr>
          <w:b/>
          <w:color w:val="383638"/>
          <w:w w:val="110"/>
          <w:sz w:val="21"/>
        </w:rPr>
        <w:t>sitting in a kitchen and the blinds on the windows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05"/>
          <w:sz w:val="21"/>
        </w:rPr>
        <w:t>had</w:t>
      </w:r>
      <w:r>
        <w:rPr>
          <w:b/>
          <w:color w:val="383638"/>
          <w:spacing w:val="-10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been</w:t>
      </w:r>
      <w:r>
        <w:rPr>
          <w:b/>
          <w:color w:val="383638"/>
          <w:spacing w:val="-12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closed</w:t>
      </w:r>
      <w:r>
        <w:rPr>
          <w:b/>
          <w:color w:val="383638"/>
          <w:spacing w:val="-12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against</w:t>
      </w:r>
      <w:r>
        <w:rPr>
          <w:b/>
          <w:color w:val="383638"/>
          <w:spacing w:val="2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the</w:t>
      </w:r>
      <w:r>
        <w:rPr>
          <w:b/>
          <w:color w:val="383638"/>
          <w:spacing w:val="8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public's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view?</w:t>
      </w:r>
    </w:p>
    <w:p>
      <w:pPr>
        <w:pStyle w:val="BodyText"/>
        <w:spacing w:line="232" w:lineRule="auto" w:before="141"/>
        <w:ind w:left="716" w:right="111" w:firstLine="10"/>
        <w:jc w:val="both"/>
      </w:pPr>
      <w:r>
        <w:rPr>
          <w:color w:val="383638"/>
          <w:w w:val="105"/>
        </w:rPr>
        <w:t>This question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still  makes effective  use of  the  enthymemes "citizens  have</w:t>
      </w:r>
      <w:r>
        <w:rPr>
          <w:color w:val="383638"/>
          <w:spacing w:val="-58"/>
          <w:w w:val="105"/>
        </w:rPr>
        <w:t> </w:t>
      </w:r>
      <w:r>
        <w:rPr>
          <w:color w:val="383638"/>
          <w:w w:val="110"/>
        </w:rPr>
        <w:t>a right to privacy," </w:t>
      </w:r>
      <w:r>
        <w:rPr>
          <w:color w:val="4D4D4F"/>
          <w:w w:val="110"/>
        </w:rPr>
        <w:t>"private </w:t>
      </w:r>
      <w:r>
        <w:rPr>
          <w:color w:val="383638"/>
          <w:w w:val="110"/>
        </w:rPr>
        <w:t>dwellings are private," and </w:t>
      </w:r>
      <w:r>
        <w:rPr>
          <w:color w:val="4D4D4F"/>
          <w:w w:val="110"/>
        </w:rPr>
        <w:t>"covert </w:t>
      </w:r>
      <w:r>
        <w:rPr>
          <w:color w:val="383638"/>
          <w:w w:val="110"/>
        </w:rPr>
        <w:t>observa­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tions violate privacy rights," but it doesn't sabotage itself </w:t>
      </w:r>
      <w:r>
        <w:rPr>
          <w:color w:val="383638"/>
          <w:w w:val="105"/>
          <w:sz w:val="22"/>
        </w:rPr>
        <w:t>by </w:t>
      </w:r>
      <w:r>
        <w:rPr>
          <w:color w:val="383638"/>
          <w:w w:val="105"/>
        </w:rPr>
        <w:t>assuming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crucial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element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at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issue.</w:t>
      </w:r>
    </w:p>
    <w:p>
      <w:pPr>
        <w:pStyle w:val="BodyText"/>
        <w:spacing w:line="232" w:lineRule="auto"/>
        <w:ind w:left="688" w:right="129" w:firstLine="396"/>
        <w:jc w:val="both"/>
      </w:pPr>
      <w:r>
        <w:rPr>
          <w:color w:val="383638"/>
          <w:w w:val="110"/>
        </w:rPr>
        <w:t>In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addition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violating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rules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logic,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questions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assume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elements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05"/>
        </w:rPr>
        <w:t>at issue needlessly annoy the judge or  justice reading the brief, and  </w:t>
      </w:r>
      <w:r>
        <w:rPr>
          <w:color w:val="383638"/>
          <w:w w:val="105"/>
          <w:sz w:val="22"/>
        </w:rPr>
        <w:t>fail </w:t>
      </w:r>
      <w:r>
        <w:rPr>
          <w:color w:val="383638"/>
          <w:w w:val="105"/>
        </w:rPr>
        <w:t>to</w:t>
      </w:r>
      <w:r>
        <w:rPr>
          <w:color w:val="383638"/>
          <w:spacing w:val="1"/>
          <w:w w:val="105"/>
        </w:rPr>
        <w:t> </w:t>
      </w:r>
      <w:r>
        <w:rPr>
          <w:color w:val="383638"/>
          <w:spacing w:val="-1"/>
          <w:w w:val="110"/>
        </w:rPr>
        <w:t>do the job of the question presented: to enlighten </w:t>
      </w:r>
      <w:r>
        <w:rPr>
          <w:color w:val="383638"/>
          <w:w w:val="110"/>
        </w:rPr>
        <w:t>the court as to the issue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or </w:t>
      </w:r>
      <w:r>
        <w:rPr>
          <w:color w:val="4D4D4F"/>
          <w:w w:val="105"/>
        </w:rPr>
        <w:t>issues </w:t>
      </w:r>
      <w:r>
        <w:rPr>
          <w:color w:val="383638"/>
          <w:w w:val="105"/>
        </w:rPr>
        <w:t>before it. The Honorable Fred </w:t>
      </w:r>
      <w:r>
        <w:rPr>
          <w:color w:val="383638"/>
          <w:w w:val="105"/>
          <w:sz w:val="22"/>
        </w:rPr>
        <w:t>I. </w:t>
      </w:r>
      <w:r>
        <w:rPr>
          <w:color w:val="383638"/>
          <w:w w:val="105"/>
        </w:rPr>
        <w:t>Parker of the United States Court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of Appeals for the Second Circuit has noted that questions that assume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element at issue </w:t>
      </w:r>
      <w:r>
        <w:rPr>
          <w:color w:val="4D4D4F"/>
          <w:w w:val="110"/>
        </w:rPr>
        <w:t>"serve </w:t>
      </w:r>
      <w:r>
        <w:rPr>
          <w:color w:val="383638"/>
          <w:w w:val="110"/>
        </w:rPr>
        <w:t>no useful purpose."</w:t>
      </w:r>
      <w:r>
        <w:rPr>
          <w:rFonts w:ascii="Arial" w:hAnsi="Arial"/>
          <w:color w:val="383638"/>
          <w:w w:val="110"/>
          <w:position w:val="9"/>
          <w:sz w:val="12"/>
        </w:rPr>
        <w:t>5</w:t>
      </w:r>
      <w:r>
        <w:rPr>
          <w:rFonts w:ascii="Arial" w:hAnsi="Arial"/>
          <w:color w:val="383638"/>
          <w:spacing w:val="1"/>
          <w:w w:val="110"/>
          <w:position w:val="9"/>
          <w:sz w:val="12"/>
        </w:rPr>
        <w:t> </w:t>
      </w:r>
      <w:r>
        <w:rPr>
          <w:color w:val="383638"/>
          <w:w w:val="110"/>
        </w:rPr>
        <w:t>Furthermore, he notes, they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may prejudice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judge against an attorney who would write such a use­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less</w:t>
      </w:r>
      <w:r>
        <w:rPr>
          <w:color w:val="383638"/>
          <w:spacing w:val="-25"/>
          <w:w w:val="110"/>
        </w:rPr>
        <w:t> </w:t>
      </w:r>
      <w:r>
        <w:rPr>
          <w:color w:val="383638"/>
          <w:w w:val="110"/>
        </w:rPr>
        <w:t>question:</w:t>
      </w:r>
    </w:p>
    <w:p>
      <w:pPr>
        <w:spacing w:line="235" w:lineRule="auto" w:before="126"/>
        <w:ind w:left="986" w:right="452" w:firstLine="46"/>
        <w:jc w:val="both"/>
        <w:rPr>
          <w:rFonts w:ascii="Arial"/>
          <w:sz w:val="11"/>
        </w:rPr>
      </w:pPr>
      <w:r>
        <w:rPr>
          <w:color w:val="383638"/>
          <w:w w:val="110"/>
          <w:sz w:val="21"/>
        </w:rPr>
        <w:t>(A]fter reading such a statement, my natural instinct is to believe the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actual issue probably involves (some other legal question], which the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writer of the brief was not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nice enough </w:t>
      </w:r>
      <w:r>
        <w:rPr>
          <w:i/>
          <w:color w:val="383638"/>
          <w:w w:val="110"/>
          <w:sz w:val="21"/>
        </w:rPr>
        <w:t>to </w:t>
      </w:r>
      <w:r>
        <w:rPr>
          <w:color w:val="383638"/>
          <w:w w:val="110"/>
          <w:sz w:val="21"/>
        </w:rPr>
        <w:t>clearly state for me and has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spacing w:val="-1"/>
          <w:w w:val="110"/>
          <w:sz w:val="21"/>
        </w:rPr>
        <w:t>instead </w:t>
      </w:r>
      <w:r>
        <w:rPr>
          <w:color w:val="383638"/>
          <w:w w:val="110"/>
          <w:sz w:val="21"/>
        </w:rPr>
        <w:t>left me to figure out on </w:t>
      </w:r>
      <w:r>
        <w:rPr>
          <w:rFonts w:ascii="Arial"/>
          <w:i/>
          <w:color w:val="383638"/>
          <w:w w:val="110"/>
          <w:sz w:val="19"/>
        </w:rPr>
        <w:t>my </w:t>
      </w:r>
      <w:r>
        <w:rPr>
          <w:color w:val="383638"/>
          <w:w w:val="110"/>
          <w:sz w:val="21"/>
        </w:rPr>
        <w:t>own. I </w:t>
      </w:r>
      <w:r>
        <w:rPr>
          <w:color w:val="383638"/>
          <w:w w:val="110"/>
          <w:sz w:val="22"/>
        </w:rPr>
        <w:t>am,</w:t>
      </w:r>
      <w:r>
        <w:rPr>
          <w:color w:val="383638"/>
          <w:w w:val="110"/>
          <w:sz w:val="21"/>
        </w:rPr>
        <w:t>therefore, immediately less</w:t>
      </w:r>
      <w:r>
        <w:rPr>
          <w:color w:val="383638"/>
          <w:spacing w:val="-55"/>
          <w:w w:val="110"/>
          <w:sz w:val="21"/>
        </w:rPr>
        <w:t> </w:t>
      </w:r>
      <w:r>
        <w:rPr>
          <w:color w:val="383638"/>
          <w:w w:val="110"/>
          <w:sz w:val="21"/>
        </w:rPr>
        <w:t>than sanguine about the brief and, consequently, the advocate and his or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spacing w:val="-1"/>
          <w:w w:val="110"/>
          <w:sz w:val="21"/>
        </w:rPr>
        <w:t>her</w:t>
      </w:r>
      <w:r>
        <w:rPr>
          <w:color w:val="383638"/>
          <w:spacing w:val="-31"/>
          <w:w w:val="110"/>
          <w:sz w:val="21"/>
        </w:rPr>
        <w:t> </w:t>
      </w:r>
      <w:r>
        <w:rPr>
          <w:color w:val="383638"/>
          <w:spacing w:val="-1"/>
          <w:w w:val="110"/>
          <w:sz w:val="21"/>
        </w:rPr>
        <w:t>client.</w:t>
      </w:r>
      <w:r>
        <w:rPr>
          <w:color w:val="383638"/>
          <w:spacing w:val="-19"/>
          <w:w w:val="110"/>
          <w:sz w:val="21"/>
        </w:rPr>
        <w:t> </w:t>
      </w:r>
      <w:r>
        <w:rPr>
          <w:color w:val="383638"/>
          <w:spacing w:val="-1"/>
          <w:w w:val="110"/>
          <w:sz w:val="21"/>
        </w:rPr>
        <w:t>Further,</w:t>
      </w:r>
      <w:r>
        <w:rPr>
          <w:color w:val="383638"/>
          <w:spacing w:val="-17"/>
          <w:w w:val="110"/>
          <w:sz w:val="21"/>
        </w:rPr>
        <w:t> </w:t>
      </w:r>
      <w:r>
        <w:rPr>
          <w:color w:val="383638"/>
          <w:spacing w:val="-1"/>
          <w:w w:val="110"/>
          <w:sz w:val="21"/>
        </w:rPr>
        <w:t>in</w:t>
      </w:r>
      <w:r>
        <w:rPr>
          <w:color w:val="383638"/>
          <w:spacing w:val="4"/>
          <w:w w:val="110"/>
          <w:sz w:val="21"/>
        </w:rPr>
        <w:t> </w:t>
      </w:r>
      <w:r>
        <w:rPr>
          <w:color w:val="383638"/>
          <w:spacing w:val="-1"/>
          <w:w w:val="110"/>
          <w:sz w:val="21"/>
        </w:rPr>
        <w:t>failing</w:t>
      </w:r>
      <w:r>
        <w:rPr>
          <w:color w:val="383638"/>
          <w:spacing w:val="-16"/>
          <w:w w:val="110"/>
          <w:sz w:val="21"/>
        </w:rPr>
        <w:t> </w:t>
      </w:r>
      <w:r>
        <w:rPr>
          <w:color w:val="383638"/>
          <w:spacing w:val="-1"/>
          <w:w w:val="110"/>
          <w:sz w:val="21"/>
        </w:rPr>
        <w:t>to</w:t>
      </w:r>
      <w:r>
        <w:rPr>
          <w:color w:val="383638"/>
          <w:spacing w:val="-10"/>
          <w:w w:val="110"/>
          <w:sz w:val="21"/>
        </w:rPr>
        <w:t> </w:t>
      </w:r>
      <w:r>
        <w:rPr>
          <w:color w:val="383638"/>
          <w:spacing w:val="-1"/>
          <w:w w:val="110"/>
          <w:sz w:val="21"/>
        </w:rPr>
        <w:t>quickly</w:t>
      </w:r>
      <w:r>
        <w:rPr>
          <w:color w:val="383638"/>
          <w:spacing w:val="-7"/>
          <w:w w:val="110"/>
          <w:sz w:val="21"/>
        </w:rPr>
        <w:t> </w:t>
      </w:r>
      <w:r>
        <w:rPr>
          <w:color w:val="383638"/>
          <w:w w:val="110"/>
          <w:sz w:val="21"/>
        </w:rPr>
        <w:t>be</w:t>
      </w:r>
      <w:r>
        <w:rPr>
          <w:color w:val="383638"/>
          <w:spacing w:val="-23"/>
          <w:w w:val="110"/>
          <w:sz w:val="21"/>
        </w:rPr>
        <w:t> </w:t>
      </w:r>
      <w:r>
        <w:rPr>
          <w:color w:val="383638"/>
          <w:w w:val="110"/>
          <w:sz w:val="21"/>
        </w:rPr>
        <w:t>able</w:t>
      </w:r>
      <w:r>
        <w:rPr>
          <w:color w:val="383638"/>
          <w:spacing w:val="-21"/>
          <w:w w:val="110"/>
          <w:sz w:val="21"/>
        </w:rPr>
        <w:t> </w:t>
      </w:r>
      <w:r>
        <w:rPr>
          <w:color w:val="383638"/>
          <w:w w:val="110"/>
          <w:sz w:val="21"/>
        </w:rPr>
        <w:t>to</w:t>
      </w:r>
      <w:r>
        <w:rPr>
          <w:color w:val="383638"/>
          <w:spacing w:val="-15"/>
          <w:w w:val="110"/>
          <w:sz w:val="21"/>
        </w:rPr>
        <w:t> </w:t>
      </w:r>
      <w:r>
        <w:rPr>
          <w:color w:val="383638"/>
          <w:w w:val="110"/>
          <w:sz w:val="21"/>
        </w:rPr>
        <w:t>ascertain</w:t>
      </w:r>
      <w:r>
        <w:rPr>
          <w:color w:val="383638"/>
          <w:spacing w:val="-8"/>
          <w:w w:val="110"/>
          <w:sz w:val="21"/>
        </w:rPr>
        <w:t> </w:t>
      </w:r>
      <w:r>
        <w:rPr>
          <w:color w:val="383638"/>
          <w:w w:val="110"/>
          <w:sz w:val="21"/>
        </w:rPr>
        <w:t>what</w:t>
      </w:r>
      <w:r>
        <w:rPr>
          <w:color w:val="383638"/>
          <w:spacing w:val="-14"/>
          <w:w w:val="110"/>
          <w:sz w:val="21"/>
        </w:rPr>
        <w:t> </w:t>
      </w:r>
      <w:r>
        <w:rPr>
          <w:color w:val="383638"/>
          <w:w w:val="110"/>
          <w:sz w:val="21"/>
        </w:rPr>
        <w:t>the</w:t>
      </w:r>
      <w:r>
        <w:rPr>
          <w:color w:val="383638"/>
          <w:spacing w:val="-4"/>
          <w:w w:val="110"/>
          <w:sz w:val="21"/>
        </w:rPr>
        <w:t> </w:t>
      </w:r>
      <w:r>
        <w:rPr>
          <w:color w:val="383638"/>
          <w:w w:val="110"/>
          <w:sz w:val="21"/>
        </w:rPr>
        <w:t>issues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05"/>
          <w:sz w:val="21"/>
        </w:rPr>
        <w:t>are,</w:t>
      </w:r>
      <w:r>
        <w:rPr>
          <w:color w:val="383638"/>
          <w:spacing w:val="-24"/>
          <w:w w:val="105"/>
          <w:sz w:val="21"/>
        </w:rPr>
        <w:t> </w:t>
      </w:r>
      <w:r>
        <w:rPr>
          <w:rFonts w:ascii="Arial"/>
          <w:color w:val="383638"/>
          <w:w w:val="105"/>
          <w:sz w:val="19"/>
        </w:rPr>
        <w:t>1</w:t>
      </w:r>
      <w:r>
        <w:rPr>
          <w:rFonts w:ascii="Arial"/>
          <w:color w:val="383638"/>
          <w:spacing w:val="-22"/>
          <w:w w:val="105"/>
          <w:sz w:val="19"/>
        </w:rPr>
        <w:t> </w:t>
      </w:r>
      <w:r>
        <w:rPr>
          <w:color w:val="383638"/>
          <w:w w:val="105"/>
          <w:sz w:val="21"/>
        </w:rPr>
        <w:t>may</w:t>
      </w:r>
      <w:r>
        <w:rPr>
          <w:color w:val="383638"/>
          <w:spacing w:val="-1"/>
          <w:w w:val="105"/>
          <w:sz w:val="21"/>
        </w:rPr>
        <w:t> </w:t>
      </w:r>
      <w:r>
        <w:rPr>
          <w:color w:val="383638"/>
          <w:w w:val="105"/>
          <w:sz w:val="21"/>
        </w:rPr>
        <w:t>resort to</w:t>
      </w:r>
      <w:r>
        <w:rPr>
          <w:color w:val="383638"/>
          <w:spacing w:val="19"/>
          <w:w w:val="105"/>
          <w:sz w:val="21"/>
        </w:rPr>
        <w:t> </w:t>
      </w:r>
      <w:r>
        <w:rPr>
          <w:color w:val="383638"/>
          <w:w w:val="105"/>
          <w:sz w:val="21"/>
        </w:rPr>
        <w:t>the</w:t>
      </w:r>
      <w:r>
        <w:rPr>
          <w:color w:val="383638"/>
          <w:spacing w:val="17"/>
          <w:w w:val="105"/>
          <w:sz w:val="21"/>
        </w:rPr>
        <w:t> </w:t>
      </w:r>
      <w:r>
        <w:rPr>
          <w:color w:val="383638"/>
          <w:w w:val="105"/>
          <w:sz w:val="21"/>
        </w:rPr>
        <w:t>other</w:t>
      </w:r>
      <w:r>
        <w:rPr>
          <w:color w:val="383638"/>
          <w:spacing w:val="-8"/>
          <w:w w:val="105"/>
          <w:sz w:val="21"/>
        </w:rPr>
        <w:t> </w:t>
      </w:r>
      <w:r>
        <w:rPr>
          <w:color w:val="383638"/>
          <w:w w:val="105"/>
          <w:sz w:val="21"/>
        </w:rPr>
        <w:t>brief</w:t>
      </w:r>
      <w:r>
        <w:rPr>
          <w:color w:val="383638"/>
          <w:spacing w:val="6"/>
          <w:w w:val="105"/>
          <w:sz w:val="21"/>
        </w:rPr>
        <w:t> </w:t>
      </w:r>
      <w:r>
        <w:rPr>
          <w:color w:val="383638"/>
          <w:w w:val="105"/>
          <w:sz w:val="21"/>
        </w:rPr>
        <w:t>for</w:t>
      </w:r>
      <w:r>
        <w:rPr>
          <w:color w:val="383638"/>
          <w:spacing w:val="15"/>
          <w:w w:val="105"/>
          <w:sz w:val="21"/>
        </w:rPr>
        <w:t> </w:t>
      </w:r>
      <w:r>
        <w:rPr>
          <w:color w:val="383638"/>
          <w:w w:val="105"/>
          <w:sz w:val="21"/>
        </w:rPr>
        <w:t>help.</w:t>
      </w:r>
      <w:r>
        <w:rPr>
          <w:rFonts w:ascii="Arial"/>
          <w:color w:val="383638"/>
          <w:w w:val="105"/>
          <w:position w:val="8"/>
          <w:sz w:val="11"/>
        </w:rPr>
        <w:t>6</w:t>
      </w:r>
    </w:p>
    <w:p>
      <w:pPr>
        <w:pStyle w:val="BodyText"/>
        <w:spacing w:line="228" w:lineRule="auto" w:before="151"/>
        <w:ind w:left="635" w:right="163" w:hanging="6"/>
        <w:jc w:val="both"/>
      </w:pPr>
      <w:r>
        <w:rPr>
          <w:color w:val="383638"/>
          <w:w w:val="110"/>
        </w:rPr>
        <w:t>Thus, </w:t>
      </w:r>
      <w:r>
        <w:rPr>
          <w:color w:val="383638"/>
          <w:w w:val="110"/>
          <w:sz w:val="21"/>
        </w:rPr>
        <w:t>by </w:t>
      </w:r>
      <w:r>
        <w:rPr>
          <w:color w:val="383638"/>
          <w:w w:val="110"/>
        </w:rPr>
        <w:t>avoiding the trap of assuming elements at issue, you can both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preserve your credibility with the court and incline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judge or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justice to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rely</w:t>
      </w:r>
      <w:r>
        <w:rPr>
          <w:color w:val="383638"/>
          <w:spacing w:val="-25"/>
          <w:w w:val="105"/>
        </w:rPr>
        <w:t> </w:t>
      </w:r>
      <w:r>
        <w:rPr>
          <w:color w:val="383638"/>
          <w:w w:val="105"/>
        </w:rPr>
        <w:t>on</w:t>
      </w:r>
      <w:r>
        <w:rPr>
          <w:color w:val="383638"/>
          <w:spacing w:val="32"/>
          <w:w w:val="105"/>
        </w:rPr>
        <w:t> </w:t>
      </w:r>
      <w:r>
        <w:rPr>
          <w:color w:val="383638"/>
          <w:w w:val="105"/>
        </w:rPr>
        <w:t>your</w:t>
      </w:r>
      <w:r>
        <w:rPr>
          <w:color w:val="383638"/>
          <w:spacing w:val="11"/>
          <w:w w:val="105"/>
        </w:rPr>
        <w:t> </w:t>
      </w:r>
      <w:r>
        <w:rPr>
          <w:color w:val="383638"/>
          <w:w w:val="105"/>
        </w:rPr>
        <w:t>brief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for</w:t>
      </w:r>
      <w:r>
        <w:rPr>
          <w:color w:val="383638"/>
          <w:spacing w:val="20"/>
          <w:w w:val="105"/>
        </w:rPr>
        <w:t> </w:t>
      </w:r>
      <w:r>
        <w:rPr>
          <w:color w:val="383638"/>
          <w:w w:val="105"/>
        </w:rPr>
        <w:t>a</w:t>
      </w:r>
      <w:r>
        <w:rPr>
          <w:color w:val="383638"/>
          <w:spacing w:val="7"/>
          <w:w w:val="105"/>
        </w:rPr>
        <w:t> </w:t>
      </w:r>
      <w:r>
        <w:rPr>
          <w:color w:val="383638"/>
          <w:w w:val="105"/>
        </w:rPr>
        <w:t>fair</w:t>
      </w:r>
      <w:r>
        <w:rPr>
          <w:color w:val="383638"/>
          <w:spacing w:val="-4"/>
          <w:w w:val="105"/>
        </w:rPr>
        <w:t> </w:t>
      </w:r>
      <w:r>
        <w:rPr>
          <w:color w:val="383638"/>
          <w:w w:val="105"/>
        </w:rPr>
        <w:t>analysis</w:t>
      </w:r>
      <w:r>
        <w:rPr>
          <w:color w:val="383638"/>
          <w:spacing w:val="-2"/>
          <w:w w:val="105"/>
        </w:rPr>
        <w:t> </w:t>
      </w:r>
      <w:r>
        <w:rPr>
          <w:color w:val="383638"/>
          <w:w w:val="105"/>
        </w:rPr>
        <w:t>of</w:t>
      </w:r>
      <w:r>
        <w:rPr>
          <w:color w:val="383638"/>
          <w:spacing w:val="14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34"/>
          <w:w w:val="105"/>
        </w:rPr>
        <w:t> </w:t>
      </w:r>
      <w:r>
        <w:rPr>
          <w:color w:val="383638"/>
          <w:w w:val="105"/>
        </w:rPr>
        <w:t>case.</w:t>
      </w:r>
    </w:p>
    <w:p>
      <w:pPr>
        <w:pStyle w:val="ListParagraph"/>
        <w:numPr>
          <w:ilvl w:val="0"/>
          <w:numId w:val="79"/>
        </w:numPr>
        <w:tabs>
          <w:tab w:pos="1232" w:val="left" w:leader="none"/>
        </w:tabs>
        <w:spacing w:line="240" w:lineRule="auto" w:before="140" w:after="0"/>
        <w:ind w:left="1231" w:right="0" w:hanging="264"/>
        <w:jc w:val="both"/>
        <w:rPr>
          <w:rFonts w:ascii="Arial"/>
          <w:i/>
          <w:color w:val="383638"/>
          <w:sz w:val="20"/>
        </w:rPr>
      </w:pPr>
      <w:r>
        <w:rPr>
          <w:i/>
          <w:color w:val="383638"/>
          <w:w w:val="105"/>
          <w:sz w:val="22"/>
        </w:rPr>
        <w:t>Overlong</w:t>
      </w:r>
      <w:r>
        <w:rPr>
          <w:i/>
          <w:color w:val="383638"/>
          <w:spacing w:val="-13"/>
          <w:w w:val="105"/>
          <w:sz w:val="22"/>
        </w:rPr>
        <w:t> </w:t>
      </w:r>
      <w:r>
        <w:rPr>
          <w:i/>
          <w:color w:val="383638"/>
          <w:w w:val="105"/>
          <w:sz w:val="22"/>
        </w:rPr>
        <w:t>Questions</w:t>
      </w:r>
    </w:p>
    <w:p>
      <w:pPr>
        <w:pStyle w:val="BodyText"/>
        <w:spacing w:line="232" w:lineRule="auto" w:before="24"/>
        <w:ind w:left="586" w:right="163" w:firstLine="384"/>
        <w:jc w:val="both"/>
        <w:rPr>
          <w:i/>
        </w:rPr>
      </w:pPr>
      <w:r>
        <w:rPr>
          <w:color w:val="383638"/>
          <w:w w:val="110"/>
        </w:rPr>
        <w:t>Writers who try a variety of persuasive techniques may also </w:t>
      </w:r>
      <w:r>
        <w:rPr>
          <w:color w:val="383638"/>
          <w:w w:val="110"/>
          <w:sz w:val="22"/>
        </w:rPr>
        <w:t>fall </w:t>
      </w:r>
      <w:r>
        <w:rPr>
          <w:color w:val="383638"/>
          <w:w w:val="110"/>
        </w:rPr>
        <w:t>into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the trap of writing a question that is too long. Questions that are too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long are not read carefully-if they are read at </w:t>
      </w:r>
      <w:r>
        <w:rPr>
          <w:color w:val="383638"/>
          <w:w w:val="120"/>
        </w:rPr>
        <w:t>all-and </w:t>
      </w:r>
      <w:r>
        <w:rPr>
          <w:color w:val="383638"/>
          <w:w w:val="115"/>
        </w:rPr>
        <w:t>soanyindividual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points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writer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may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make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question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are</w:t>
      </w:r>
      <w:r>
        <w:rPr>
          <w:color w:val="383638"/>
          <w:spacing w:val="-24"/>
          <w:w w:val="110"/>
        </w:rPr>
        <w:t> </w:t>
      </w:r>
      <w:r>
        <w:rPr>
          <w:color w:val="383638"/>
          <w:w w:val="110"/>
        </w:rPr>
        <w:t>lost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reader,</w:t>
      </w:r>
      <w:r>
        <w:rPr>
          <w:color w:val="383638"/>
          <w:spacing w:val="-22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-37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following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question,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written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by</w:t>
      </w:r>
      <w:r>
        <w:rPr>
          <w:color w:val="383638"/>
          <w:spacing w:val="-29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student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-38"/>
          <w:w w:val="110"/>
        </w:rPr>
        <w:t> </w:t>
      </w:r>
      <w:r>
        <w:rPr>
          <w:color w:val="383638"/>
          <w:w w:val="110"/>
        </w:rPr>
        <w:t>one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parties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in </w:t>
      </w:r>
      <w:r>
        <w:rPr>
          <w:i/>
          <w:color w:val="383638"/>
          <w:w w:val="110"/>
        </w:rPr>
        <w:t>Rubin</w:t>
      </w:r>
    </w:p>
    <w:p>
      <w:pPr>
        <w:spacing w:line="247" w:lineRule="exact" w:before="0"/>
        <w:ind w:left="574" w:right="0" w:firstLine="0"/>
        <w:jc w:val="both"/>
        <w:rPr>
          <w:sz w:val="23"/>
        </w:rPr>
      </w:pPr>
      <w:r>
        <w:rPr>
          <w:i/>
          <w:color w:val="383638"/>
          <w:sz w:val="22"/>
        </w:rPr>
        <w:t>v.</w:t>
      </w:r>
      <w:r>
        <w:rPr>
          <w:i/>
          <w:color w:val="383638"/>
          <w:spacing w:val="-20"/>
          <w:sz w:val="22"/>
        </w:rPr>
        <w:t> </w:t>
      </w:r>
      <w:r>
        <w:rPr>
          <w:i/>
          <w:color w:val="383638"/>
          <w:sz w:val="22"/>
        </w:rPr>
        <w:t>Coors</w:t>
      </w:r>
      <w:r>
        <w:rPr>
          <w:i/>
          <w:color w:val="383638"/>
          <w:spacing w:val="20"/>
          <w:sz w:val="22"/>
        </w:rPr>
        <w:t> </w:t>
      </w:r>
      <w:r>
        <w:rPr>
          <w:i/>
          <w:color w:val="383638"/>
          <w:sz w:val="22"/>
        </w:rPr>
        <w:t>Brewing</w:t>
      </w:r>
      <w:r>
        <w:rPr>
          <w:i/>
          <w:color w:val="383638"/>
          <w:spacing w:val="13"/>
          <w:sz w:val="22"/>
        </w:rPr>
        <w:t> </w:t>
      </w:r>
      <w:r>
        <w:rPr>
          <w:i/>
          <w:color w:val="383638"/>
          <w:sz w:val="22"/>
        </w:rPr>
        <w:t>Co.,</w:t>
      </w:r>
      <w:r>
        <w:rPr>
          <w:i/>
          <w:color w:val="383638"/>
          <w:spacing w:val="-1"/>
          <w:sz w:val="22"/>
        </w:rPr>
        <w:t> </w:t>
      </w:r>
      <w:r>
        <w:rPr>
          <w:color w:val="383638"/>
          <w:sz w:val="22"/>
        </w:rPr>
        <w:t>514</w:t>
      </w:r>
      <w:r>
        <w:rPr>
          <w:color w:val="383638"/>
          <w:spacing w:val="47"/>
          <w:sz w:val="22"/>
        </w:rPr>
        <w:t> </w:t>
      </w:r>
      <w:r>
        <w:rPr>
          <w:color w:val="383638"/>
          <w:sz w:val="23"/>
        </w:rPr>
        <w:t>U.S.</w:t>
      </w:r>
      <w:r>
        <w:rPr>
          <w:color w:val="383638"/>
          <w:spacing w:val="12"/>
          <w:sz w:val="23"/>
        </w:rPr>
        <w:t> </w:t>
      </w:r>
      <w:r>
        <w:rPr>
          <w:color w:val="383638"/>
          <w:sz w:val="22"/>
        </w:rPr>
        <w:t>476</w:t>
      </w:r>
      <w:r>
        <w:rPr>
          <w:color w:val="383638"/>
          <w:spacing w:val="87"/>
          <w:sz w:val="22"/>
        </w:rPr>
        <w:t> </w:t>
      </w:r>
      <w:r>
        <w:rPr>
          <w:color w:val="383638"/>
          <w:sz w:val="23"/>
        </w:rPr>
        <w:t>(1995):</w:t>
      </w:r>
    </w:p>
    <w:p>
      <w:pPr>
        <w:pStyle w:val="BodyText"/>
        <w:spacing w:before="9"/>
        <w:rPr>
          <w:sz w:val="8"/>
        </w:rPr>
      </w:pPr>
    </w:p>
    <w:p>
      <w:pPr>
        <w:tabs>
          <w:tab w:pos="909" w:val="left" w:leader="none"/>
        </w:tabs>
        <w:spacing w:before="94"/>
        <w:ind w:left="531" w:right="0" w:firstLine="0"/>
        <w:jc w:val="left"/>
        <w:rPr>
          <w:sz w:val="15"/>
        </w:rPr>
      </w:pPr>
      <w:r>
        <w:rPr>
          <w:color w:val="383638"/>
          <w:spacing w:val="3"/>
          <w:w w:val="100"/>
          <w:sz w:val="15"/>
          <w:u w:val="thick" w:color="383638"/>
        </w:rPr>
        <w:t> </w:t>
      </w:r>
      <w:r>
        <w:rPr>
          <w:color w:val="383638"/>
          <w:sz w:val="15"/>
          <w:u w:val="thick" w:color="383638"/>
        </w:rPr>
        <w:t>/</w:t>
        <w:tab/>
      </w:r>
      <w:r>
        <w:rPr>
          <w:color w:val="4D4D4F"/>
          <w:sz w:val="15"/>
          <w:u w:val="thick" w:color="4D4D4F"/>
        </w:rPr>
        <w:t>BAD</w:t>
      </w:r>
      <w:r>
        <w:rPr>
          <w:color w:val="4D4D4F"/>
          <w:spacing w:val="-6"/>
          <w:sz w:val="15"/>
          <w:u w:val="thick" w:color="4D4D4F"/>
        </w:rPr>
        <w:t> </w:t>
      </w:r>
      <w:r>
        <w:rPr>
          <w:color w:val="4D4D4F"/>
          <w:sz w:val="15"/>
          <w:u w:val="thick" w:color="4D4D4F"/>
        </w:rPr>
        <w:t>EXAMPLE</w:t>
      </w:r>
    </w:p>
    <w:p>
      <w:pPr>
        <w:spacing w:line="223" w:lineRule="auto" w:before="103"/>
        <w:ind w:left="876" w:right="519" w:firstLine="19"/>
        <w:jc w:val="both"/>
        <w:rPr>
          <w:b/>
          <w:sz w:val="21"/>
        </w:rPr>
      </w:pPr>
      <w:r>
        <w:rPr>
          <w:b/>
          <w:color w:val="383638"/>
          <w:w w:val="115"/>
          <w:sz w:val="21"/>
        </w:rPr>
        <w:t>Should the Supreme Court of the United States affirm both the</w:t>
      </w:r>
      <w:r>
        <w:rPr>
          <w:b/>
          <w:color w:val="383638"/>
          <w:spacing w:val="1"/>
          <w:w w:val="115"/>
          <w:sz w:val="21"/>
        </w:rPr>
        <w:t> </w:t>
      </w:r>
      <w:r>
        <w:rPr>
          <w:color w:val="383638"/>
          <w:w w:val="110"/>
          <w:sz w:val="23"/>
        </w:rPr>
        <w:t>District </w:t>
      </w:r>
      <w:r>
        <w:rPr>
          <w:color w:val="383638"/>
          <w:w w:val="110"/>
          <w:sz w:val="20"/>
        </w:rPr>
        <w:t>Court </w:t>
      </w:r>
      <w:r>
        <w:rPr>
          <w:color w:val="383638"/>
          <w:w w:val="110"/>
          <w:sz w:val="23"/>
        </w:rPr>
        <w:t>andTenth Circuit </w:t>
      </w:r>
      <w:r>
        <w:rPr>
          <w:color w:val="383638"/>
          <w:w w:val="110"/>
          <w:sz w:val="20"/>
        </w:rPr>
        <w:t>Court of </w:t>
      </w:r>
      <w:r>
        <w:rPr>
          <w:color w:val="383638"/>
          <w:w w:val="110"/>
          <w:sz w:val="23"/>
        </w:rPr>
        <w:t>Appeals decisions </w:t>
      </w:r>
      <w:r>
        <w:rPr>
          <w:color w:val="383638"/>
          <w:w w:val="110"/>
          <w:sz w:val="20"/>
        </w:rPr>
        <w:t>to </w:t>
      </w:r>
      <w:r>
        <w:rPr>
          <w:color w:val="383638"/>
          <w:w w:val="110"/>
          <w:sz w:val="23"/>
        </w:rPr>
        <w:t>enjoin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5"/>
          <w:sz w:val="20"/>
        </w:rPr>
        <w:t>enforcement </w:t>
      </w:r>
      <w:r>
        <w:rPr>
          <w:color w:val="383638"/>
          <w:w w:val="115"/>
          <w:sz w:val="21"/>
        </w:rPr>
        <w:t>of </w:t>
      </w:r>
      <w:r>
        <w:rPr>
          <w:color w:val="383638"/>
          <w:w w:val="115"/>
          <w:sz w:val="23"/>
        </w:rPr>
        <w:t>that portion </w:t>
      </w:r>
      <w:r>
        <w:rPr>
          <w:color w:val="383638"/>
          <w:w w:val="115"/>
          <w:sz w:val="21"/>
        </w:rPr>
        <w:t>of 27 U.S.C. </w:t>
      </w:r>
      <w:r>
        <w:rPr>
          <w:color w:val="383638"/>
          <w:w w:val="115"/>
          <w:sz w:val="20"/>
        </w:rPr>
        <w:t>§205(e)(2) </w:t>
      </w:r>
      <w:r>
        <w:rPr>
          <w:color w:val="383638"/>
          <w:w w:val="115"/>
          <w:sz w:val="21"/>
        </w:rPr>
        <w:t>and </w:t>
      </w:r>
      <w:r>
        <w:rPr>
          <w:i/>
          <w:color w:val="383638"/>
          <w:w w:val="115"/>
          <w:sz w:val="21"/>
        </w:rPr>
        <w:t>its </w:t>
      </w:r>
      <w:r>
        <w:rPr>
          <w:color w:val="383638"/>
          <w:w w:val="115"/>
          <w:sz w:val="20"/>
        </w:rPr>
        <w:t>pertinent</w:t>
      </w:r>
      <w:r>
        <w:rPr>
          <w:color w:val="383638"/>
          <w:spacing w:val="1"/>
          <w:w w:val="115"/>
          <w:sz w:val="20"/>
        </w:rPr>
        <w:t> </w:t>
      </w:r>
      <w:r>
        <w:rPr>
          <w:color w:val="383638"/>
          <w:w w:val="115"/>
          <w:sz w:val="21"/>
        </w:rPr>
        <w:t>regulation 27 C.F.R. §7.26, which prohibit labeling malt beverages</w:t>
      </w:r>
      <w:r>
        <w:rPr>
          <w:color w:val="383638"/>
          <w:spacing w:val="1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with</w:t>
      </w:r>
      <w:r>
        <w:rPr>
          <w:b/>
          <w:color w:val="383638"/>
          <w:spacing w:val="9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their</w:t>
      </w:r>
      <w:r>
        <w:rPr>
          <w:b/>
          <w:color w:val="383638"/>
          <w:spacing w:val="-13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accurately</w:t>
      </w:r>
      <w:r>
        <w:rPr>
          <w:b/>
          <w:color w:val="383638"/>
          <w:spacing w:val="6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measured</w:t>
      </w:r>
      <w:r>
        <w:rPr>
          <w:b/>
          <w:color w:val="383638"/>
          <w:spacing w:val="6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and</w:t>
      </w:r>
      <w:r>
        <w:rPr>
          <w:b/>
          <w:color w:val="383638"/>
          <w:spacing w:val="12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truthful</w:t>
      </w:r>
      <w:r>
        <w:rPr>
          <w:b/>
          <w:color w:val="383638"/>
          <w:spacing w:val="-4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alcohollc</w:t>
      </w:r>
      <w:r>
        <w:rPr>
          <w:b/>
          <w:color w:val="383638"/>
          <w:spacing w:val="-1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content</w:t>
      </w:r>
      <w:r>
        <w:rPr>
          <w:b/>
          <w:color w:val="383638"/>
          <w:spacing w:val="-4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and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6"/>
        <w:rPr>
          <w:b/>
          <w:sz w:val="28"/>
        </w:rPr>
      </w:pPr>
    </w:p>
    <w:p>
      <w:pPr>
        <w:spacing w:before="0"/>
        <w:ind w:left="766" w:right="0" w:firstLine="0"/>
        <w:jc w:val="left"/>
        <w:rPr>
          <w:sz w:val="16"/>
        </w:rPr>
      </w:pPr>
      <w:r>
        <w:rPr>
          <w:color w:val="383638"/>
          <w:w w:val="105"/>
          <w:sz w:val="16"/>
        </w:rPr>
        <w:t>s</w:t>
      </w:r>
      <w:r>
        <w:rPr>
          <w:color w:val="383638"/>
          <w:spacing w:val="40"/>
          <w:w w:val="105"/>
          <w:sz w:val="16"/>
        </w:rPr>
        <w:t> </w:t>
      </w:r>
      <w:r>
        <w:rPr>
          <w:rFonts w:ascii="Arial"/>
          <w:i/>
          <w:color w:val="383638"/>
          <w:w w:val="105"/>
          <w:sz w:val="16"/>
        </w:rPr>
        <w:t>Fred</w:t>
      </w:r>
      <w:r>
        <w:rPr>
          <w:rFonts w:ascii="Arial"/>
          <w:i/>
          <w:color w:val="383638"/>
          <w:spacing w:val="4"/>
          <w:w w:val="105"/>
          <w:sz w:val="16"/>
        </w:rPr>
        <w:t> </w:t>
      </w:r>
      <w:r>
        <w:rPr>
          <w:color w:val="383638"/>
          <w:w w:val="105"/>
          <w:sz w:val="16"/>
        </w:rPr>
        <w:t>I.</w:t>
      </w:r>
      <w:r>
        <w:rPr>
          <w:color w:val="383638"/>
          <w:spacing w:val="24"/>
          <w:w w:val="105"/>
          <w:sz w:val="16"/>
        </w:rPr>
        <w:t> </w:t>
      </w:r>
      <w:r>
        <w:rPr>
          <w:color w:val="383638"/>
          <w:w w:val="105"/>
          <w:sz w:val="16"/>
        </w:rPr>
        <w:t>Parker,</w:t>
      </w:r>
      <w:r>
        <w:rPr>
          <w:color w:val="383638"/>
          <w:spacing w:val="-19"/>
          <w:w w:val="105"/>
          <w:sz w:val="16"/>
        </w:rPr>
        <w:t> </w:t>
      </w:r>
      <w:r>
        <w:rPr>
          <w:rFonts w:ascii="Arial"/>
          <w:i/>
          <w:color w:val="383638"/>
          <w:w w:val="105"/>
          <w:sz w:val="15"/>
        </w:rPr>
        <w:t>ForC'word:</w:t>
      </w:r>
      <w:r>
        <w:rPr>
          <w:rFonts w:ascii="Arial"/>
          <w:i/>
          <w:color w:val="383638"/>
          <w:spacing w:val="-9"/>
          <w:w w:val="105"/>
          <w:sz w:val="15"/>
        </w:rPr>
        <w:t> </w:t>
      </w:r>
      <w:r>
        <w:rPr>
          <w:rFonts w:ascii="Arial"/>
          <w:i/>
          <w:color w:val="383638"/>
          <w:w w:val="105"/>
          <w:sz w:val="15"/>
        </w:rPr>
        <w:t>Appellate</w:t>
      </w:r>
      <w:r>
        <w:rPr>
          <w:rFonts w:ascii="Arial"/>
          <w:i/>
          <w:color w:val="383638"/>
          <w:spacing w:val="-9"/>
          <w:w w:val="105"/>
          <w:sz w:val="15"/>
        </w:rPr>
        <w:t> </w:t>
      </w:r>
      <w:r>
        <w:rPr>
          <w:rFonts w:ascii="Arial"/>
          <w:i/>
          <w:color w:val="383638"/>
          <w:w w:val="105"/>
          <w:sz w:val="15"/>
        </w:rPr>
        <w:t>Advocacy</w:t>
      </w:r>
      <w:r>
        <w:rPr>
          <w:rFonts w:ascii="Arial"/>
          <w:i/>
          <w:color w:val="383638"/>
          <w:spacing w:val="-7"/>
          <w:w w:val="105"/>
          <w:sz w:val="15"/>
        </w:rPr>
        <w:t> </w:t>
      </w:r>
      <w:r>
        <w:rPr>
          <w:rFonts w:ascii="Arial"/>
          <w:i/>
          <w:color w:val="383638"/>
          <w:w w:val="105"/>
          <w:sz w:val="15"/>
        </w:rPr>
        <w:t>and</w:t>
      </w:r>
      <w:r>
        <w:rPr>
          <w:rFonts w:ascii="Arial"/>
          <w:i/>
          <w:color w:val="383638"/>
          <w:spacing w:val="16"/>
          <w:w w:val="105"/>
          <w:sz w:val="15"/>
        </w:rPr>
        <w:t> </w:t>
      </w:r>
      <w:r>
        <w:rPr>
          <w:rFonts w:ascii="Arial"/>
          <w:i/>
          <w:color w:val="383638"/>
          <w:w w:val="105"/>
          <w:sz w:val="15"/>
        </w:rPr>
        <w:t>Practice</w:t>
      </w:r>
      <w:r>
        <w:rPr>
          <w:rFonts w:ascii="Arial"/>
          <w:i/>
          <w:color w:val="383638"/>
          <w:spacing w:val="-18"/>
          <w:w w:val="105"/>
          <w:sz w:val="15"/>
        </w:rPr>
        <w:t> </w:t>
      </w:r>
      <w:r>
        <w:rPr>
          <w:rFonts w:ascii="Arial"/>
          <w:i/>
          <w:color w:val="4D4D4F"/>
          <w:w w:val="105"/>
          <w:sz w:val="15"/>
        </w:rPr>
        <w:t>In</w:t>
      </w:r>
      <w:r>
        <w:rPr>
          <w:rFonts w:ascii="Arial"/>
          <w:i/>
          <w:color w:val="4D4D4F"/>
          <w:spacing w:val="21"/>
          <w:w w:val="105"/>
          <w:sz w:val="15"/>
        </w:rPr>
        <w:t> </w:t>
      </w:r>
      <w:r>
        <w:rPr>
          <w:rFonts w:ascii="Arial"/>
          <w:i/>
          <w:color w:val="383638"/>
          <w:w w:val="105"/>
          <w:sz w:val="15"/>
        </w:rPr>
        <w:t>the</w:t>
      </w:r>
      <w:r>
        <w:rPr>
          <w:rFonts w:ascii="Arial"/>
          <w:i/>
          <w:color w:val="383638"/>
          <w:spacing w:val="-4"/>
          <w:w w:val="105"/>
          <w:sz w:val="15"/>
        </w:rPr>
        <w:t> </w:t>
      </w:r>
      <w:r>
        <w:rPr>
          <w:rFonts w:ascii="Arial"/>
          <w:i/>
          <w:color w:val="383638"/>
          <w:w w:val="105"/>
          <w:sz w:val="15"/>
        </w:rPr>
        <w:t>Second</w:t>
      </w:r>
      <w:r>
        <w:rPr>
          <w:rFonts w:ascii="Arial"/>
          <w:i/>
          <w:color w:val="383638"/>
          <w:spacing w:val="-23"/>
          <w:w w:val="105"/>
          <w:sz w:val="15"/>
        </w:rPr>
        <w:t> </w:t>
      </w:r>
      <w:r>
        <w:rPr>
          <w:rFonts w:ascii="Arial"/>
          <w:i/>
          <w:color w:val="383638"/>
          <w:w w:val="105"/>
          <w:sz w:val="16"/>
        </w:rPr>
        <w:t>Circuit,</w:t>
      </w:r>
      <w:r>
        <w:rPr>
          <w:rFonts w:ascii="Arial"/>
          <w:i/>
          <w:color w:val="383638"/>
          <w:spacing w:val="-25"/>
          <w:w w:val="105"/>
          <w:sz w:val="16"/>
        </w:rPr>
        <w:t> </w:t>
      </w:r>
      <w:r>
        <w:rPr>
          <w:color w:val="383638"/>
          <w:w w:val="105"/>
          <w:sz w:val="16"/>
        </w:rPr>
        <w:t>64</w:t>
      </w:r>
      <w:r>
        <w:rPr>
          <w:color w:val="383638"/>
          <w:spacing w:val="32"/>
          <w:w w:val="105"/>
          <w:sz w:val="16"/>
        </w:rPr>
        <w:t> </w:t>
      </w:r>
      <w:r>
        <w:rPr>
          <w:color w:val="383638"/>
          <w:w w:val="105"/>
          <w:sz w:val="16"/>
        </w:rPr>
        <w:t>Brook.</w:t>
      </w:r>
      <w:r>
        <w:rPr>
          <w:color w:val="383638"/>
          <w:spacing w:val="1"/>
          <w:w w:val="105"/>
          <w:sz w:val="16"/>
        </w:rPr>
        <w:t> </w:t>
      </w:r>
      <w:r>
        <w:rPr>
          <w:color w:val="383638"/>
          <w:w w:val="105"/>
          <w:sz w:val="16"/>
        </w:rPr>
        <w:t>L.</w:t>
      </w:r>
      <w:r>
        <w:rPr>
          <w:color w:val="383638"/>
          <w:spacing w:val="-14"/>
          <w:w w:val="105"/>
          <w:sz w:val="16"/>
        </w:rPr>
        <w:t> </w:t>
      </w:r>
      <w:r>
        <w:rPr>
          <w:color w:val="383638"/>
          <w:w w:val="105"/>
          <w:sz w:val="16"/>
        </w:rPr>
        <w:t>Rev.</w:t>
      </w:r>
    </w:p>
    <w:p>
      <w:pPr>
        <w:spacing w:line="179" w:lineRule="exact" w:before="9"/>
        <w:ind w:left="461" w:right="0" w:firstLine="0"/>
        <w:jc w:val="left"/>
        <w:rPr>
          <w:sz w:val="16"/>
        </w:rPr>
      </w:pPr>
      <w:r>
        <w:rPr>
          <w:color w:val="383638"/>
          <w:w w:val="125"/>
          <w:sz w:val="16"/>
        </w:rPr>
        <w:t>457,</w:t>
      </w:r>
      <w:r>
        <w:rPr>
          <w:color w:val="383638"/>
          <w:spacing w:val="5"/>
          <w:w w:val="125"/>
          <w:sz w:val="16"/>
        </w:rPr>
        <w:t> </w:t>
      </w:r>
      <w:r>
        <w:rPr>
          <w:color w:val="383638"/>
          <w:w w:val="125"/>
          <w:sz w:val="16"/>
        </w:rPr>
        <w:t>461</w:t>
      </w:r>
      <w:r>
        <w:rPr>
          <w:color w:val="383638"/>
          <w:spacing w:val="-10"/>
          <w:w w:val="125"/>
          <w:sz w:val="16"/>
        </w:rPr>
        <w:t> </w:t>
      </w:r>
      <w:r>
        <w:rPr>
          <w:color w:val="4D4D4F"/>
          <w:w w:val="125"/>
          <w:sz w:val="16"/>
        </w:rPr>
        <w:t>(]998).</w:t>
      </w:r>
    </w:p>
    <w:p>
      <w:pPr>
        <w:spacing w:line="190" w:lineRule="exact" w:before="0"/>
        <w:ind w:left="887" w:right="0" w:firstLine="0"/>
        <w:jc w:val="left"/>
        <w:rPr>
          <w:i/>
          <w:sz w:val="17"/>
        </w:rPr>
      </w:pPr>
      <w:r>
        <w:rPr>
          <w:i/>
          <w:color w:val="4D4D4F"/>
          <w:w w:val="135"/>
          <w:sz w:val="17"/>
        </w:rPr>
        <w:t>Id.</w:t>
      </w:r>
    </w:p>
    <w:p>
      <w:pPr>
        <w:spacing w:after="0" w:line="190" w:lineRule="exact"/>
        <w:jc w:val="left"/>
        <w:rPr>
          <w:sz w:val="17"/>
        </w:rPr>
        <w:sectPr>
          <w:pgSz w:w="9730" w:h="14000"/>
          <w:pgMar w:header="492" w:footer="0" w:top="1080" w:bottom="0" w:left="1340" w:right="1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0"/>
        </w:rPr>
      </w:pPr>
    </w:p>
    <w:p>
      <w:pPr>
        <w:spacing w:before="1"/>
        <w:ind w:left="430" w:right="842" w:firstLine="5"/>
        <w:jc w:val="both"/>
        <w:rPr>
          <w:b/>
          <w:sz w:val="21"/>
        </w:rPr>
      </w:pPr>
      <w:r>
        <w:rPr>
          <w:b/>
          <w:color w:val="383638"/>
          <w:w w:val="105"/>
          <w:sz w:val="21"/>
        </w:rPr>
        <w:t>thus alJow the plaintiff and other brewers of malt beverages to better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10"/>
          <w:sz w:val="21"/>
        </w:rPr>
        <w:t>inform the consumers of </w:t>
      </w:r>
      <w:r>
        <w:rPr>
          <w:color w:val="383638"/>
          <w:w w:val="110"/>
          <w:sz w:val="21"/>
        </w:rPr>
        <w:t>their </w:t>
      </w:r>
      <w:r>
        <w:rPr>
          <w:b/>
          <w:color w:val="383638"/>
          <w:w w:val="110"/>
          <w:sz w:val="21"/>
        </w:rPr>
        <w:t>products by placing the percentage of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05"/>
          <w:sz w:val="21"/>
        </w:rPr>
        <w:t>alcohol</w:t>
      </w:r>
      <w:r>
        <w:rPr>
          <w:b/>
          <w:color w:val="383638"/>
          <w:spacing w:val="10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contained</w:t>
      </w:r>
      <w:r>
        <w:rPr>
          <w:b/>
          <w:color w:val="383638"/>
          <w:spacing w:val="14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in</w:t>
      </w:r>
      <w:r>
        <w:rPr>
          <w:b/>
          <w:color w:val="383638"/>
          <w:spacing w:val="24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the</w:t>
      </w:r>
      <w:r>
        <w:rPr>
          <w:b/>
          <w:color w:val="383638"/>
          <w:spacing w:val="20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beverage</w:t>
      </w:r>
      <w:r>
        <w:rPr>
          <w:b/>
          <w:color w:val="383638"/>
          <w:spacing w:val="6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on</w:t>
      </w:r>
      <w:r>
        <w:rPr>
          <w:b/>
          <w:color w:val="383638"/>
          <w:spacing w:val="40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the</w:t>
      </w:r>
      <w:r>
        <w:rPr>
          <w:b/>
          <w:color w:val="383638"/>
          <w:spacing w:val="4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beverage</w:t>
      </w:r>
      <w:r>
        <w:rPr>
          <w:b/>
          <w:color w:val="383638"/>
          <w:spacing w:val="13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container's</w:t>
      </w:r>
      <w:r>
        <w:rPr>
          <w:b/>
          <w:color w:val="383638"/>
          <w:spacing w:val="19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label?</w:t>
      </w:r>
    </w:p>
    <w:p>
      <w:pPr>
        <w:pStyle w:val="BodyText"/>
        <w:spacing w:line="232" w:lineRule="auto" w:before="139"/>
        <w:ind w:left="114" w:right="446" w:hanging="10"/>
        <w:jc w:val="both"/>
      </w:pPr>
      <w:r>
        <w:rPr>
          <w:color w:val="383638"/>
          <w:w w:val="110"/>
        </w:rPr>
        <w:t>This</w:t>
      </w:r>
      <w:r>
        <w:rPr>
          <w:color w:val="828587"/>
          <w:w w:val="110"/>
        </w:rPr>
        <w:t>. </w:t>
      </w:r>
      <w:r>
        <w:rPr>
          <w:color w:val="383638"/>
          <w:w w:val="110"/>
        </w:rPr>
        <w:t>question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includes several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valid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premises-truthful information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good, informing consumers is good, it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is legal to give accurate  information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to people-but the question's length reduces its effectiveness. The follow­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ing</w:t>
      </w:r>
      <w:r>
        <w:rPr>
          <w:color w:val="383638"/>
          <w:spacing w:val="-22"/>
          <w:w w:val="110"/>
        </w:rPr>
        <w:t> </w:t>
      </w:r>
      <w:r>
        <w:rPr>
          <w:color w:val="383638"/>
          <w:w w:val="110"/>
        </w:rPr>
        <w:t>question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covers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some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7"/>
          <w:w w:val="110"/>
        </w:rPr>
        <w:t> </w:t>
      </w:r>
      <w:r>
        <w:rPr>
          <w:color w:val="383638"/>
          <w:w w:val="110"/>
        </w:rPr>
        <w:t>same</w:t>
      </w:r>
      <w:r>
        <w:rPr>
          <w:color w:val="383638"/>
          <w:spacing w:val="-22"/>
          <w:w w:val="110"/>
        </w:rPr>
        <w:t> </w:t>
      </w:r>
      <w:r>
        <w:rPr>
          <w:color w:val="383638"/>
          <w:w w:val="110"/>
        </w:rPr>
        <w:t>ground,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but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more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briefly:</w:t>
      </w:r>
    </w:p>
    <w:p>
      <w:pPr>
        <w:pStyle w:val="BodyText"/>
        <w:spacing w:before="1"/>
        <w:rPr>
          <w:sz w:val="9"/>
        </w:rPr>
      </w:pPr>
    </w:p>
    <w:p>
      <w:pPr>
        <w:spacing w:before="94"/>
        <w:ind w:left="127" w:right="6303" w:firstLine="0"/>
        <w:jc w:val="center"/>
        <w:rPr>
          <w:sz w:val="16"/>
        </w:rPr>
      </w:pPr>
      <w:r>
        <w:rPr>
          <w:color w:val="383638"/>
          <w:w w:val="105"/>
          <w:sz w:val="16"/>
          <w:u w:val="thick" w:color="383638"/>
        </w:rPr>
        <w:t>../',GOOD</w:t>
      </w:r>
      <w:r>
        <w:rPr>
          <w:color w:val="383638"/>
          <w:spacing w:val="5"/>
          <w:w w:val="105"/>
          <w:sz w:val="16"/>
          <w:u w:val="thick" w:color="383638"/>
        </w:rPr>
        <w:t> </w:t>
      </w:r>
      <w:r>
        <w:rPr>
          <w:color w:val="383638"/>
          <w:w w:val="105"/>
          <w:sz w:val="16"/>
          <w:u w:val="thick" w:color="383638"/>
        </w:rPr>
        <w:t>EXAMPLE</w:t>
      </w:r>
    </w:p>
    <w:p>
      <w:pPr>
        <w:spacing w:line="235" w:lineRule="auto" w:before="82"/>
        <w:ind w:left="432" w:right="785" w:firstLine="15"/>
        <w:jc w:val="both"/>
        <w:rPr>
          <w:sz w:val="21"/>
        </w:rPr>
      </w:pPr>
      <w:r>
        <w:rPr>
          <w:color w:val="383638"/>
          <w:w w:val="120"/>
          <w:sz w:val="21"/>
        </w:rPr>
        <w:t>Under the First Amendment, is a prohibition against labeling malt</w:t>
      </w:r>
      <w:r>
        <w:rPr>
          <w:color w:val="383638"/>
          <w:spacing w:val="1"/>
          <w:w w:val="120"/>
          <w:sz w:val="21"/>
        </w:rPr>
        <w:t> </w:t>
      </w:r>
      <w:r>
        <w:rPr>
          <w:color w:val="383638"/>
          <w:w w:val="120"/>
          <w:sz w:val="21"/>
        </w:rPr>
        <w:t>beverages with their alcohol content valid when including the con­</w:t>
      </w:r>
      <w:r>
        <w:rPr>
          <w:color w:val="383638"/>
          <w:spacing w:val="-60"/>
          <w:w w:val="120"/>
          <w:sz w:val="21"/>
        </w:rPr>
        <w:t> </w:t>
      </w:r>
      <w:r>
        <w:rPr>
          <w:color w:val="383638"/>
          <w:spacing w:val="-1"/>
          <w:w w:val="120"/>
          <w:sz w:val="21"/>
        </w:rPr>
        <w:t>tent on the label would allow consumers </w:t>
      </w:r>
      <w:r>
        <w:rPr>
          <w:color w:val="383638"/>
          <w:w w:val="120"/>
          <w:sz w:val="21"/>
        </w:rPr>
        <w:t>to have access to accurate</w:t>
      </w:r>
      <w:r>
        <w:rPr>
          <w:color w:val="383638"/>
          <w:spacing w:val="1"/>
          <w:w w:val="120"/>
          <w:sz w:val="21"/>
        </w:rPr>
        <w:t> </w:t>
      </w:r>
      <w:r>
        <w:rPr>
          <w:color w:val="383638"/>
          <w:w w:val="120"/>
          <w:sz w:val="21"/>
        </w:rPr>
        <w:t>and</w:t>
      </w:r>
      <w:r>
        <w:rPr>
          <w:color w:val="383638"/>
          <w:spacing w:val="10"/>
          <w:w w:val="120"/>
          <w:sz w:val="21"/>
        </w:rPr>
        <w:t> </w:t>
      </w:r>
      <w:r>
        <w:rPr>
          <w:color w:val="383638"/>
          <w:w w:val="120"/>
          <w:sz w:val="21"/>
        </w:rPr>
        <w:t>truthful</w:t>
      </w:r>
      <w:r>
        <w:rPr>
          <w:color w:val="383638"/>
          <w:spacing w:val="-3"/>
          <w:w w:val="120"/>
          <w:sz w:val="21"/>
        </w:rPr>
        <w:t> </w:t>
      </w:r>
      <w:r>
        <w:rPr>
          <w:color w:val="383638"/>
          <w:w w:val="120"/>
          <w:sz w:val="21"/>
        </w:rPr>
        <w:t>alcohol</w:t>
      </w:r>
      <w:r>
        <w:rPr>
          <w:color w:val="383638"/>
          <w:spacing w:val="-16"/>
          <w:w w:val="120"/>
          <w:sz w:val="21"/>
        </w:rPr>
        <w:t> </w:t>
      </w:r>
      <w:r>
        <w:rPr>
          <w:color w:val="383638"/>
          <w:w w:val="120"/>
          <w:sz w:val="21"/>
        </w:rPr>
        <w:t>content</w:t>
      </w:r>
      <w:r>
        <w:rPr>
          <w:color w:val="383638"/>
          <w:spacing w:val="-17"/>
          <w:w w:val="120"/>
          <w:sz w:val="21"/>
        </w:rPr>
        <w:t> </w:t>
      </w:r>
      <w:r>
        <w:rPr>
          <w:color w:val="383638"/>
          <w:w w:val="120"/>
          <w:sz w:val="21"/>
        </w:rPr>
        <w:t>information?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78"/>
        </w:numPr>
        <w:tabs>
          <w:tab w:pos="853" w:val="left" w:leader="none"/>
        </w:tabs>
        <w:spacing w:line="252" w:lineRule="exact" w:before="135" w:after="0"/>
        <w:ind w:left="852" w:right="0" w:hanging="393"/>
        <w:jc w:val="both"/>
        <w:rPr>
          <w:b/>
          <w:color w:val="383638"/>
          <w:sz w:val="22"/>
        </w:rPr>
      </w:pPr>
      <w:r>
        <w:rPr>
          <w:b/>
          <w:color w:val="383638"/>
          <w:w w:val="115"/>
          <w:sz w:val="22"/>
          <w:u w:val="thick" w:color="383638"/>
        </w:rPr>
        <w:t>Su</w:t>
      </w:r>
      <w:r>
        <w:rPr>
          <w:b/>
          <w:color w:val="5B5B5D"/>
          <w:w w:val="115"/>
          <w:sz w:val="22"/>
          <w:u w:val="thick" w:color="383638"/>
        </w:rPr>
        <w:t>m</w:t>
      </w:r>
      <w:r>
        <w:rPr>
          <w:b/>
          <w:color w:val="383638"/>
          <w:w w:val="115"/>
          <w:sz w:val="22"/>
          <w:u w:val="thick" w:color="383638"/>
        </w:rPr>
        <w:t>ming</w:t>
      </w:r>
      <w:r>
        <w:rPr>
          <w:b/>
          <w:color w:val="383638"/>
          <w:spacing w:val="27"/>
          <w:w w:val="115"/>
          <w:sz w:val="22"/>
        </w:rPr>
        <w:t> </w:t>
      </w:r>
      <w:r>
        <w:rPr>
          <w:b/>
          <w:color w:val="383638"/>
          <w:w w:val="115"/>
          <w:sz w:val="22"/>
        </w:rPr>
        <w:t>Up</w:t>
      </w:r>
    </w:p>
    <w:p>
      <w:pPr>
        <w:pStyle w:val="BodyText"/>
        <w:spacing w:line="235" w:lineRule="auto" w:before="3"/>
        <w:ind w:left="114" w:right="383" w:firstLine="331"/>
        <w:jc w:val="both"/>
      </w:pPr>
      <w:r>
        <w:rPr>
          <w:color w:val="383638"/>
          <w:w w:val="110"/>
        </w:rPr>
        <w:t>When writing the question presented, strive to control the picture that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-17"/>
          <w:w w:val="115"/>
        </w:rPr>
        <w:t> </w:t>
      </w:r>
      <w:r>
        <w:rPr>
          <w:color w:val="383638"/>
          <w:w w:val="115"/>
        </w:rPr>
        <w:t>court</w:t>
      </w:r>
      <w:r>
        <w:rPr>
          <w:color w:val="383638"/>
          <w:spacing w:val="-4"/>
          <w:w w:val="115"/>
        </w:rPr>
        <w:t> </w:t>
      </w:r>
      <w:r>
        <w:rPr>
          <w:color w:val="383638"/>
          <w:w w:val="115"/>
        </w:rPr>
        <w:t>has</w:t>
      </w:r>
      <w:r>
        <w:rPr>
          <w:color w:val="383638"/>
          <w:spacing w:val="-4"/>
          <w:w w:val="115"/>
        </w:rPr>
        <w:t> </w:t>
      </w:r>
      <w:r>
        <w:rPr>
          <w:color w:val="383638"/>
          <w:w w:val="115"/>
        </w:rPr>
        <w:t>of</w:t>
      </w:r>
      <w:r>
        <w:rPr>
          <w:color w:val="383638"/>
          <w:spacing w:val="13"/>
          <w:w w:val="115"/>
        </w:rPr>
        <w:t> </w:t>
      </w:r>
      <w:r>
        <w:rPr>
          <w:color w:val="383638"/>
          <w:w w:val="115"/>
        </w:rPr>
        <w:t>your</w:t>
      </w:r>
      <w:r>
        <w:rPr>
          <w:color w:val="383638"/>
          <w:spacing w:val="-9"/>
          <w:w w:val="115"/>
        </w:rPr>
        <w:t> </w:t>
      </w:r>
      <w:r>
        <w:rPr>
          <w:color w:val="383638"/>
          <w:w w:val="115"/>
        </w:rPr>
        <w:t>case by</w:t>
      </w:r>
      <w:r>
        <w:rPr>
          <w:color w:val="383638"/>
          <w:spacing w:val="-9"/>
          <w:w w:val="115"/>
        </w:rPr>
        <w:t> </w:t>
      </w:r>
      <w:r>
        <w:rPr>
          <w:color w:val="383638"/>
          <w:w w:val="115"/>
        </w:rPr>
        <w:t>deciding</w:t>
      </w:r>
      <w:r>
        <w:rPr>
          <w:color w:val="383638"/>
          <w:spacing w:val="-5"/>
          <w:w w:val="115"/>
        </w:rPr>
        <w:t> </w:t>
      </w:r>
      <w:r>
        <w:rPr>
          <w:color w:val="383638"/>
          <w:w w:val="115"/>
        </w:rPr>
        <w:t>what</w:t>
      </w:r>
      <w:r>
        <w:rPr>
          <w:color w:val="383638"/>
          <w:spacing w:val="-7"/>
          <w:w w:val="115"/>
        </w:rPr>
        <w:t> </w:t>
      </w:r>
      <w:r>
        <w:rPr>
          <w:color w:val="383638"/>
          <w:w w:val="115"/>
        </w:rPr>
        <w:t>question</w:t>
      </w:r>
      <w:r>
        <w:rPr>
          <w:color w:val="383638"/>
          <w:spacing w:val="10"/>
          <w:w w:val="115"/>
        </w:rPr>
        <w:t> </w:t>
      </w:r>
      <w:r>
        <w:rPr>
          <w:color w:val="383638"/>
          <w:w w:val="115"/>
        </w:rPr>
        <w:t>you</w:t>
      </w:r>
      <w:r>
        <w:rPr>
          <w:color w:val="383638"/>
          <w:spacing w:val="-13"/>
          <w:w w:val="115"/>
        </w:rPr>
        <w:t> </w:t>
      </w:r>
      <w:r>
        <w:rPr>
          <w:color w:val="383638"/>
          <w:w w:val="115"/>
        </w:rPr>
        <w:t>want</w:t>
      </w:r>
      <w:r>
        <w:rPr>
          <w:color w:val="383638"/>
          <w:spacing w:val="7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-3"/>
          <w:w w:val="115"/>
        </w:rPr>
        <w:t> </w:t>
      </w:r>
      <w:r>
        <w:rPr>
          <w:color w:val="383638"/>
          <w:w w:val="115"/>
        </w:rPr>
        <w:t>focus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0"/>
        </w:rPr>
        <w:t>its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attention</w:t>
      </w:r>
      <w:r>
        <w:rPr>
          <w:color w:val="383638"/>
          <w:spacing w:val="45"/>
          <w:w w:val="110"/>
        </w:rPr>
        <w:t> </w:t>
      </w:r>
      <w:r>
        <w:rPr>
          <w:color w:val="383638"/>
          <w:w w:val="110"/>
        </w:rPr>
        <w:t>on</w:t>
      </w:r>
      <w:r>
        <w:rPr>
          <w:color w:val="383638"/>
          <w:spacing w:val="58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by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using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appropriate</w:t>
      </w:r>
      <w:r>
        <w:rPr>
          <w:color w:val="383638"/>
          <w:spacing w:val="46"/>
          <w:w w:val="110"/>
        </w:rPr>
        <w:t> </w:t>
      </w:r>
      <w:r>
        <w:rPr>
          <w:color w:val="383638"/>
          <w:w w:val="110"/>
        </w:rPr>
        <w:t>writing</w:t>
      </w:r>
      <w:r>
        <w:rPr>
          <w:color w:val="383638"/>
          <w:spacing w:val="25"/>
          <w:w w:val="110"/>
        </w:rPr>
        <w:t> </w:t>
      </w:r>
      <w:r>
        <w:rPr>
          <w:color w:val="383638"/>
          <w:w w:val="110"/>
        </w:rPr>
        <w:t>techniques,  including</w:t>
      </w:r>
    </w:p>
    <w:p>
      <w:pPr>
        <w:pStyle w:val="ListParagraph"/>
        <w:numPr>
          <w:ilvl w:val="0"/>
          <w:numId w:val="81"/>
        </w:numPr>
        <w:tabs>
          <w:tab w:pos="414" w:val="left" w:leader="none"/>
        </w:tabs>
        <w:spacing w:line="235" w:lineRule="auto" w:before="0" w:after="0"/>
        <w:ind w:left="113" w:right="373" w:firstLine="8"/>
        <w:jc w:val="both"/>
        <w:rPr>
          <w:sz w:val="23"/>
        </w:rPr>
      </w:pPr>
      <w:r>
        <w:rPr>
          <w:color w:val="383638"/>
          <w:w w:val="110"/>
          <w:sz w:val="23"/>
        </w:rPr>
        <w:t>giving the court a complete picture of the issue by including the legal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context, the core legal question, and the relevant facts; (2) using appropri­</w:t>
      </w:r>
      <w:r>
        <w:rPr>
          <w:color w:val="383638"/>
          <w:spacing w:val="-61"/>
          <w:w w:val="110"/>
          <w:sz w:val="23"/>
        </w:rPr>
        <w:t> </w:t>
      </w:r>
      <w:r>
        <w:rPr>
          <w:color w:val="383638"/>
          <w:w w:val="110"/>
          <w:sz w:val="23"/>
        </w:rPr>
        <w:t>ate enthymemes in the question; (3) structuring the question to highlight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5"/>
          <w:sz w:val="23"/>
        </w:rPr>
        <w:t>the positive aspects of the question; (4) avoiding assuming elements at</w:t>
      </w:r>
      <w:r>
        <w:rPr>
          <w:color w:val="383638"/>
          <w:spacing w:val="-64"/>
          <w:w w:val="115"/>
          <w:sz w:val="23"/>
        </w:rPr>
        <w:t> </w:t>
      </w:r>
      <w:r>
        <w:rPr>
          <w:color w:val="383638"/>
          <w:w w:val="110"/>
          <w:sz w:val="23"/>
        </w:rPr>
        <w:t>issue;</w:t>
      </w:r>
      <w:r>
        <w:rPr>
          <w:color w:val="383638"/>
          <w:spacing w:val="-16"/>
          <w:w w:val="110"/>
          <w:sz w:val="23"/>
        </w:rPr>
        <w:t> </w:t>
      </w:r>
      <w:r>
        <w:rPr>
          <w:color w:val="383638"/>
          <w:w w:val="110"/>
          <w:sz w:val="23"/>
        </w:rPr>
        <w:t>and</w:t>
      </w:r>
      <w:r>
        <w:rPr>
          <w:color w:val="383638"/>
          <w:spacing w:val="2"/>
          <w:w w:val="110"/>
          <w:sz w:val="23"/>
        </w:rPr>
        <w:t> </w:t>
      </w:r>
      <w:r>
        <w:rPr>
          <w:color w:val="383638"/>
          <w:w w:val="110"/>
          <w:sz w:val="23"/>
        </w:rPr>
        <w:t>(5)</w:t>
      </w:r>
      <w:r>
        <w:rPr>
          <w:color w:val="383638"/>
          <w:spacing w:val="-5"/>
          <w:w w:val="110"/>
          <w:sz w:val="23"/>
        </w:rPr>
        <w:t> </w:t>
      </w:r>
      <w:r>
        <w:rPr>
          <w:color w:val="383638"/>
          <w:w w:val="110"/>
          <w:sz w:val="23"/>
        </w:rPr>
        <w:t>keeping</w:t>
      </w:r>
      <w:r>
        <w:rPr>
          <w:color w:val="383638"/>
          <w:spacing w:val="2"/>
          <w:w w:val="110"/>
          <w:sz w:val="23"/>
        </w:rPr>
        <w:t> </w:t>
      </w:r>
      <w:r>
        <w:rPr>
          <w:color w:val="383638"/>
          <w:w w:val="110"/>
          <w:sz w:val="23"/>
        </w:rPr>
        <w:t>the</w:t>
      </w:r>
      <w:r>
        <w:rPr>
          <w:color w:val="383638"/>
          <w:spacing w:val="12"/>
          <w:w w:val="110"/>
          <w:sz w:val="23"/>
        </w:rPr>
        <w:t> </w:t>
      </w:r>
      <w:r>
        <w:rPr>
          <w:color w:val="383638"/>
          <w:w w:val="110"/>
          <w:sz w:val="23"/>
        </w:rPr>
        <w:t>question</w:t>
      </w:r>
      <w:r>
        <w:rPr>
          <w:color w:val="383638"/>
          <w:spacing w:val="3"/>
          <w:w w:val="110"/>
          <w:sz w:val="23"/>
        </w:rPr>
        <w:t> </w:t>
      </w:r>
      <w:r>
        <w:rPr>
          <w:color w:val="383638"/>
          <w:w w:val="110"/>
          <w:sz w:val="23"/>
        </w:rPr>
        <w:t>to</w:t>
      </w:r>
      <w:r>
        <w:rPr>
          <w:color w:val="383638"/>
          <w:spacing w:val="4"/>
          <w:w w:val="110"/>
          <w:sz w:val="23"/>
        </w:rPr>
        <w:t> </w:t>
      </w:r>
      <w:r>
        <w:rPr>
          <w:color w:val="383638"/>
          <w:w w:val="110"/>
          <w:sz w:val="23"/>
        </w:rPr>
        <w:t>a</w:t>
      </w:r>
      <w:r>
        <w:rPr>
          <w:color w:val="383638"/>
          <w:spacing w:val="9"/>
          <w:w w:val="110"/>
          <w:sz w:val="23"/>
        </w:rPr>
        <w:t> </w:t>
      </w:r>
      <w:r>
        <w:rPr>
          <w:color w:val="383638"/>
          <w:w w:val="110"/>
          <w:sz w:val="23"/>
        </w:rPr>
        <w:t>reasonable</w:t>
      </w:r>
      <w:r>
        <w:rPr>
          <w:color w:val="383638"/>
          <w:spacing w:val="10"/>
          <w:w w:val="110"/>
          <w:sz w:val="23"/>
        </w:rPr>
        <w:t> </w:t>
      </w:r>
      <w:r>
        <w:rPr>
          <w:color w:val="383638"/>
          <w:w w:val="110"/>
          <w:sz w:val="23"/>
        </w:rPr>
        <w:t>length.</w:t>
      </w:r>
    </w:p>
    <w:p>
      <w:pPr>
        <w:pStyle w:val="BodyText"/>
        <w:rPr>
          <w:sz w:val="26"/>
        </w:rPr>
      </w:pPr>
    </w:p>
    <w:p>
      <w:pPr>
        <w:spacing w:before="226"/>
        <w:ind w:left="127" w:right="6218" w:firstLine="0"/>
        <w:jc w:val="center"/>
        <w:rPr>
          <w:rFonts w:ascii="Arial"/>
          <w:b/>
          <w:sz w:val="33"/>
        </w:rPr>
      </w:pPr>
      <w:r>
        <w:rPr>
          <w:rFonts w:ascii="Arial"/>
          <w:b/>
          <w:color w:val="383638"/>
          <w:w w:val="105"/>
          <w:sz w:val="33"/>
        </w:rPr>
        <w:t>9</w:t>
      </w:r>
      <w:r>
        <w:rPr>
          <w:rFonts w:ascii="Arial"/>
          <w:b/>
          <w:color w:val="5B5B5D"/>
          <w:w w:val="105"/>
          <w:sz w:val="33"/>
        </w:rPr>
        <w:t>.</w:t>
      </w:r>
      <w:r>
        <w:rPr>
          <w:rFonts w:ascii="Arial"/>
          <w:b/>
          <w:color w:val="383638"/>
          <w:w w:val="105"/>
          <w:sz w:val="33"/>
        </w:rPr>
        <w:t>2</w:t>
      </w:r>
    </w:p>
    <w:p>
      <w:pPr>
        <w:spacing w:before="63"/>
        <w:ind w:left="712" w:right="0" w:firstLine="0"/>
        <w:jc w:val="left"/>
        <w:rPr>
          <w:sz w:val="26"/>
        </w:rPr>
      </w:pPr>
      <w:r>
        <w:rPr>
          <w:color w:val="383638"/>
          <w:w w:val="105"/>
          <w:sz w:val="26"/>
        </w:rPr>
        <w:t>ST</w:t>
      </w:r>
      <w:r>
        <w:rPr>
          <w:color w:val="5B5B5D"/>
          <w:w w:val="105"/>
          <w:sz w:val="26"/>
        </w:rPr>
        <w:t>ATE</w:t>
      </w:r>
      <w:r>
        <w:rPr>
          <w:color w:val="383638"/>
          <w:w w:val="105"/>
          <w:sz w:val="26"/>
        </w:rPr>
        <w:t>MENTS</w:t>
      </w:r>
      <w:r>
        <w:rPr>
          <w:color w:val="383638"/>
          <w:spacing w:val="15"/>
          <w:w w:val="105"/>
          <w:sz w:val="26"/>
        </w:rPr>
        <w:t> </w:t>
      </w:r>
      <w:r>
        <w:rPr>
          <w:color w:val="383638"/>
          <w:w w:val="105"/>
          <w:sz w:val="26"/>
        </w:rPr>
        <w:t>OF</w:t>
      </w:r>
      <w:r>
        <w:rPr>
          <w:color w:val="383638"/>
          <w:spacing w:val="33"/>
          <w:w w:val="105"/>
          <w:sz w:val="26"/>
        </w:rPr>
        <w:t> </w:t>
      </w:r>
      <w:r>
        <w:rPr>
          <w:color w:val="383638"/>
          <w:w w:val="105"/>
          <w:sz w:val="26"/>
        </w:rPr>
        <w:t>THE</w:t>
      </w:r>
      <w:r>
        <w:rPr>
          <w:color w:val="383638"/>
          <w:spacing w:val="17"/>
          <w:w w:val="105"/>
          <w:sz w:val="26"/>
        </w:rPr>
        <w:t> </w:t>
      </w:r>
      <w:r>
        <w:rPr>
          <w:color w:val="383638"/>
          <w:w w:val="105"/>
          <w:sz w:val="26"/>
        </w:rPr>
        <w:t>CASE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35" w:lineRule="auto"/>
        <w:ind w:left="119" w:right="296" w:firstLine="554"/>
        <w:jc w:val="both"/>
      </w:pPr>
      <w:r>
        <w:rPr>
          <w:color w:val="383638"/>
          <w:w w:val="110"/>
        </w:rPr>
        <w:t>The statement of the case provides the court with information about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procedural life of the case before it, as well as about the relevant facts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that led the parties to court. For this reason, it is knovm familiarly as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statement, the statement of the case, and the fact statement. Some writers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of appellate briefs use these last two categories as headings to divide their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statement into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factual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41"/>
          <w:w w:val="110"/>
        </w:rPr>
        <w:t> </w:t>
      </w:r>
      <w:r>
        <w:rPr>
          <w:color w:val="383638"/>
          <w:w w:val="110"/>
        </w:rPr>
        <w:t>procedural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categories.</w:t>
      </w:r>
    </w:p>
    <w:p>
      <w:pPr>
        <w:pStyle w:val="BodyText"/>
        <w:spacing w:line="230" w:lineRule="auto"/>
        <w:ind w:left="129" w:right="205" w:firstLine="337"/>
        <w:jc w:val="both"/>
      </w:pPr>
      <w:r>
        <w:rPr>
          <w:color w:val="383638"/>
          <w:w w:val="110"/>
        </w:rPr>
        <w:t>Although fact statements for appellate briefs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motion briefs have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many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common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challenges,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fact  statements  for  motion  briefs  present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some unique difficulties. The author of an appellate brief often has a well­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developed record, with findings of facts articulated by the court below. 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contrast, the  writer of a  motion brief  may  be  working from a complaint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or from other documents alleging facts that must be taken as true, even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though no court has made formal findings of fact. Nevertheless, both writ­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ers of motion briefs and </w:t>
      </w:r>
      <w:r>
        <w:rPr>
          <w:b/>
          <w:color w:val="383638"/>
          <w:w w:val="110"/>
          <w:sz w:val="21"/>
        </w:rPr>
        <w:t>writers </w:t>
      </w:r>
      <w:r>
        <w:rPr>
          <w:color w:val="383638"/>
          <w:w w:val="110"/>
        </w:rPr>
        <w:t>of appellate briefs must follow similar for­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mal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requirements and</w:t>
      </w:r>
      <w:r>
        <w:rPr>
          <w:color w:val="383638"/>
          <w:spacing w:val="32"/>
          <w:w w:val="110"/>
        </w:rPr>
        <w:t> </w:t>
      </w:r>
      <w:r>
        <w:rPr>
          <w:color w:val="383638"/>
          <w:w w:val="110"/>
        </w:rPr>
        <w:t>can</w:t>
      </w:r>
      <w:r>
        <w:rPr>
          <w:color w:val="383638"/>
          <w:spacing w:val="25"/>
          <w:w w:val="110"/>
        </w:rPr>
        <w:t> </w:t>
      </w:r>
      <w:r>
        <w:rPr>
          <w:color w:val="383638"/>
          <w:w w:val="110"/>
        </w:rPr>
        <w:t>use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similar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persuasive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techniques.</w:t>
      </w:r>
    </w:p>
    <w:p>
      <w:pPr>
        <w:spacing w:after="0" w:line="230" w:lineRule="auto"/>
        <w:jc w:val="both"/>
        <w:sectPr>
          <w:headerReference w:type="default" r:id="rId228"/>
          <w:headerReference w:type="even" r:id="rId229"/>
          <w:pgSz w:w="9720" w:h="14000"/>
          <w:pgMar w:header="666" w:footer="0" w:top="860" w:bottom="280" w:left="380" w:right="1340"/>
          <w:pgNumType w:start="199"/>
        </w:sectPr>
      </w:pPr>
    </w:p>
    <w:p>
      <w:pPr>
        <w:spacing w:before="81"/>
        <w:ind w:left="1109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B383A"/>
          <w:w w:val="105"/>
          <w:sz w:val="28"/>
        </w:rPr>
        <w:t>9.2.1</w:t>
      </w:r>
    </w:p>
    <w:p>
      <w:pPr>
        <w:spacing w:before="52"/>
        <w:ind w:left="1112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color w:val="3B383A"/>
          <w:w w:val="105"/>
          <w:sz w:val="21"/>
        </w:rPr>
        <w:t>FORMAL</w:t>
      </w:r>
      <w:r>
        <w:rPr>
          <w:rFonts w:ascii="Arial"/>
          <w:b/>
          <w:color w:val="3B383A"/>
          <w:spacing w:val="-6"/>
          <w:w w:val="105"/>
          <w:sz w:val="21"/>
        </w:rPr>
        <w:t> </w:t>
      </w:r>
      <w:r>
        <w:rPr>
          <w:rFonts w:ascii="Arial"/>
          <w:b/>
          <w:color w:val="3B383A"/>
          <w:w w:val="105"/>
          <w:sz w:val="21"/>
        </w:rPr>
        <w:t>REQUIREMENTS</w:t>
      </w:r>
    </w:p>
    <w:p>
      <w:pPr>
        <w:pStyle w:val="BodyText"/>
        <w:spacing w:line="244" w:lineRule="auto" w:before="127"/>
        <w:ind w:left="743" w:right="106" w:firstLine="351"/>
        <w:jc w:val="both"/>
      </w:pPr>
      <w:r>
        <w:rPr>
          <w:color w:val="3B383A"/>
          <w:w w:val="110"/>
        </w:rPr>
        <w:t>Supreme Court Rule 24.I(g) provides that a brief on the merits for a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petitioner</w:t>
      </w:r>
      <w:r>
        <w:rPr>
          <w:color w:val="3B383A"/>
          <w:spacing w:val="-5"/>
          <w:w w:val="110"/>
        </w:rPr>
        <w:t> </w:t>
      </w:r>
      <w:r>
        <w:rPr>
          <w:color w:val="3B383A"/>
          <w:w w:val="110"/>
        </w:rPr>
        <w:t>or</w:t>
      </w:r>
      <w:r>
        <w:rPr>
          <w:color w:val="3B383A"/>
          <w:spacing w:val="4"/>
          <w:w w:val="110"/>
        </w:rPr>
        <w:t> </w:t>
      </w:r>
      <w:r>
        <w:rPr>
          <w:color w:val="3B383A"/>
          <w:w w:val="110"/>
        </w:rPr>
        <w:t>an</w:t>
      </w:r>
      <w:r>
        <w:rPr>
          <w:color w:val="3B383A"/>
          <w:spacing w:val="5"/>
          <w:w w:val="110"/>
        </w:rPr>
        <w:t> </w:t>
      </w:r>
      <w:r>
        <w:rPr>
          <w:color w:val="3B383A"/>
          <w:w w:val="110"/>
        </w:rPr>
        <w:t>appellant7</w:t>
      </w:r>
      <w:r>
        <w:rPr>
          <w:color w:val="3B383A"/>
          <w:spacing w:val="-4"/>
          <w:w w:val="110"/>
        </w:rPr>
        <w:t> </w:t>
      </w:r>
      <w:r>
        <w:rPr>
          <w:color w:val="3B383A"/>
          <w:w w:val="110"/>
        </w:rPr>
        <w:t>shall</w:t>
      </w:r>
      <w:r>
        <w:rPr>
          <w:color w:val="3B383A"/>
          <w:spacing w:val="-14"/>
          <w:w w:val="110"/>
        </w:rPr>
        <w:t> </w:t>
      </w:r>
      <w:r>
        <w:rPr>
          <w:color w:val="3B383A"/>
          <w:w w:val="110"/>
        </w:rPr>
        <w:t>contain</w:t>
      </w:r>
    </w:p>
    <w:p>
      <w:pPr>
        <w:spacing w:line="235" w:lineRule="auto" w:before="109"/>
        <w:ind w:left="1088" w:right="421" w:firstLine="20"/>
        <w:jc w:val="both"/>
        <w:rPr>
          <w:sz w:val="21"/>
        </w:rPr>
      </w:pPr>
      <w:r>
        <w:rPr>
          <w:color w:val="3B383A"/>
          <w:w w:val="105"/>
          <w:sz w:val="21"/>
        </w:rPr>
        <w:t>(a] concise statement of the case, setting out the facts material to the con­</w:t>
      </w:r>
      <w:r>
        <w:rPr>
          <w:color w:val="3B383A"/>
          <w:spacing w:val="1"/>
          <w:w w:val="105"/>
          <w:sz w:val="21"/>
        </w:rPr>
        <w:t> </w:t>
      </w:r>
      <w:r>
        <w:rPr>
          <w:color w:val="4B4B4D"/>
          <w:w w:val="105"/>
          <w:sz w:val="21"/>
        </w:rPr>
        <w:t>sideration </w:t>
      </w:r>
      <w:r>
        <w:rPr>
          <w:color w:val="3B383A"/>
          <w:w w:val="105"/>
          <w:sz w:val="21"/>
        </w:rPr>
        <w:t>of the  questions presented, with appropriate references to the</w:t>
      </w:r>
      <w:r>
        <w:rPr>
          <w:color w:val="3B383A"/>
          <w:spacing w:val="1"/>
          <w:w w:val="105"/>
          <w:sz w:val="21"/>
        </w:rPr>
        <w:t> </w:t>
      </w:r>
      <w:r>
        <w:rPr>
          <w:color w:val="4B4B4D"/>
          <w:sz w:val="21"/>
        </w:rPr>
        <w:t>joint</w:t>
      </w:r>
      <w:r>
        <w:rPr>
          <w:color w:val="4B4B4D"/>
          <w:spacing w:val="11"/>
          <w:sz w:val="21"/>
        </w:rPr>
        <w:t> </w:t>
      </w:r>
      <w:r>
        <w:rPr>
          <w:color w:val="3B383A"/>
          <w:sz w:val="21"/>
        </w:rPr>
        <w:t>appendix,</w:t>
      </w:r>
      <w:r>
        <w:rPr>
          <w:color w:val="3B383A"/>
          <w:spacing w:val="11"/>
          <w:sz w:val="21"/>
        </w:rPr>
        <w:t> </w:t>
      </w:r>
      <w:r>
        <w:rPr>
          <w:i/>
          <w:color w:val="3B383A"/>
          <w:sz w:val="22"/>
        </w:rPr>
        <w:t>e.g</w:t>
      </w:r>
      <w:r>
        <w:rPr>
          <w:i/>
          <w:color w:val="626264"/>
          <w:sz w:val="22"/>
        </w:rPr>
        <w:t>.</w:t>
      </w:r>
      <w:r>
        <w:rPr>
          <w:i/>
          <w:color w:val="3B383A"/>
          <w:sz w:val="22"/>
        </w:rPr>
        <w:t>, </w:t>
      </w:r>
      <w:r>
        <w:rPr>
          <w:color w:val="3B383A"/>
          <w:sz w:val="21"/>
        </w:rPr>
        <w:t>App.</w:t>
      </w:r>
      <w:r>
        <w:rPr>
          <w:color w:val="3B383A"/>
          <w:spacing w:val="-2"/>
          <w:sz w:val="21"/>
        </w:rPr>
        <w:t> </w:t>
      </w:r>
      <w:r>
        <w:rPr>
          <w:color w:val="3B383A"/>
          <w:sz w:val="21"/>
        </w:rPr>
        <w:t>12,</w:t>
      </w:r>
      <w:r>
        <w:rPr>
          <w:color w:val="3B383A"/>
          <w:spacing w:val="14"/>
          <w:sz w:val="21"/>
        </w:rPr>
        <w:t> </w:t>
      </w:r>
      <w:r>
        <w:rPr>
          <w:color w:val="3B383A"/>
          <w:sz w:val="21"/>
        </w:rPr>
        <w:t>or</w:t>
      </w:r>
      <w:r>
        <w:rPr>
          <w:color w:val="3B383A"/>
          <w:spacing w:val="28"/>
          <w:sz w:val="21"/>
        </w:rPr>
        <w:t> </w:t>
      </w:r>
      <w:r>
        <w:rPr>
          <w:color w:val="3B383A"/>
          <w:sz w:val="21"/>
        </w:rPr>
        <w:t>to</w:t>
      </w:r>
      <w:r>
        <w:rPr>
          <w:color w:val="3B383A"/>
          <w:spacing w:val="35"/>
          <w:sz w:val="21"/>
        </w:rPr>
        <w:t> </w:t>
      </w:r>
      <w:r>
        <w:rPr>
          <w:color w:val="3B383A"/>
          <w:sz w:val="21"/>
        </w:rPr>
        <w:t>the</w:t>
      </w:r>
      <w:r>
        <w:rPr>
          <w:color w:val="3B383A"/>
          <w:spacing w:val="36"/>
          <w:sz w:val="21"/>
        </w:rPr>
        <w:t> </w:t>
      </w:r>
      <w:r>
        <w:rPr>
          <w:color w:val="3B383A"/>
          <w:sz w:val="21"/>
        </w:rPr>
        <w:t>record,</w:t>
      </w:r>
      <w:r>
        <w:rPr>
          <w:color w:val="3B383A"/>
          <w:spacing w:val="4"/>
          <w:sz w:val="21"/>
        </w:rPr>
        <w:t> </w:t>
      </w:r>
      <w:r>
        <w:rPr>
          <w:i/>
          <w:color w:val="3B383A"/>
          <w:sz w:val="22"/>
        </w:rPr>
        <w:t>e.g.,</w:t>
      </w:r>
      <w:r>
        <w:rPr>
          <w:i/>
          <w:color w:val="3B383A"/>
          <w:spacing w:val="-17"/>
          <w:sz w:val="22"/>
        </w:rPr>
        <w:t> </w:t>
      </w:r>
      <w:r>
        <w:rPr>
          <w:color w:val="3B383A"/>
          <w:sz w:val="21"/>
        </w:rPr>
        <w:t>Record</w:t>
      </w:r>
      <w:r>
        <w:rPr>
          <w:color w:val="3B383A"/>
          <w:spacing w:val="9"/>
          <w:sz w:val="21"/>
        </w:rPr>
        <w:t> </w:t>
      </w:r>
      <w:r>
        <w:rPr>
          <w:color w:val="3B383A"/>
          <w:sz w:val="21"/>
        </w:rPr>
        <w:t>12.</w:t>
      </w:r>
    </w:p>
    <w:p>
      <w:pPr>
        <w:pStyle w:val="BodyText"/>
        <w:spacing w:line="230" w:lineRule="auto" w:before="141"/>
        <w:ind w:left="716" w:right="101" w:firstLine="14"/>
        <w:jc w:val="both"/>
      </w:pPr>
      <w:r>
        <w:rPr>
          <w:color w:val="3B383A"/>
          <w:w w:val="105"/>
        </w:rPr>
        <w:t>An effective statement of the case will make it unnecessary for the court to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resort to the record or </w:t>
      </w:r>
      <w:r>
        <w:rPr>
          <w:color w:val="2B282A"/>
          <w:w w:val="110"/>
        </w:rPr>
        <w:t>the </w:t>
      </w:r>
      <w:r>
        <w:rPr>
          <w:color w:val="3B383A"/>
          <w:w w:val="110"/>
        </w:rPr>
        <w:t>joint appendix, providing a "universe of facts"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to which the court can refer. With rare exceptions, </w:t>
      </w:r>
      <w:r>
        <w:rPr>
          <w:color w:val="2B282A"/>
          <w:w w:val="110"/>
        </w:rPr>
        <w:t>the </w:t>
      </w:r>
      <w:r>
        <w:rPr>
          <w:color w:val="3B383A"/>
          <w:w w:val="110"/>
        </w:rPr>
        <w:t>statement should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include</w:t>
      </w:r>
      <w:r>
        <w:rPr>
          <w:color w:val="3B383A"/>
          <w:spacing w:val="-7"/>
          <w:w w:val="105"/>
        </w:rPr>
        <w:t> </w:t>
      </w:r>
      <w:r>
        <w:rPr>
          <w:color w:val="3B383A"/>
          <w:w w:val="105"/>
        </w:rPr>
        <w:t>in</w:t>
      </w:r>
      <w:r>
        <w:rPr>
          <w:color w:val="3B383A"/>
          <w:spacing w:val="-1"/>
          <w:w w:val="105"/>
        </w:rPr>
        <w:t> </w:t>
      </w:r>
      <w:r>
        <w:rPr>
          <w:color w:val="3B383A"/>
          <w:w w:val="105"/>
        </w:rPr>
        <w:t>sufficient</w:t>
      </w:r>
      <w:r>
        <w:rPr>
          <w:color w:val="3B383A"/>
          <w:spacing w:val="-4"/>
          <w:w w:val="105"/>
        </w:rPr>
        <w:t> </w:t>
      </w:r>
      <w:r>
        <w:rPr>
          <w:color w:val="3B383A"/>
          <w:w w:val="105"/>
        </w:rPr>
        <w:t>detail</w:t>
      </w:r>
      <w:r>
        <w:rPr>
          <w:color w:val="3B383A"/>
          <w:spacing w:val="-8"/>
          <w:w w:val="105"/>
        </w:rPr>
        <w:t> </w:t>
      </w:r>
      <w:r>
        <w:rPr>
          <w:color w:val="3B383A"/>
          <w:w w:val="105"/>
        </w:rPr>
        <w:t>any fact</w:t>
      </w:r>
      <w:r>
        <w:rPr>
          <w:color w:val="3B383A"/>
          <w:spacing w:val="-14"/>
          <w:w w:val="105"/>
        </w:rPr>
        <w:t> </w:t>
      </w:r>
      <w:r>
        <w:rPr>
          <w:color w:val="3B383A"/>
          <w:w w:val="105"/>
        </w:rPr>
        <w:t>even </w:t>
      </w:r>
      <w:r>
        <w:rPr>
          <w:i/>
          <w:color w:val="3B383A"/>
          <w:w w:val="105"/>
          <w:sz w:val="24"/>
        </w:rPr>
        <w:t>referenced</w:t>
      </w:r>
      <w:r>
        <w:rPr>
          <w:i/>
          <w:color w:val="3B383A"/>
          <w:spacing w:val="1"/>
          <w:w w:val="105"/>
          <w:sz w:val="24"/>
        </w:rPr>
        <w:t> </w:t>
      </w:r>
      <w:r>
        <w:rPr>
          <w:color w:val="4B4B4D"/>
          <w:w w:val="105"/>
        </w:rPr>
        <w:t>in</w:t>
      </w:r>
      <w:r>
        <w:rPr>
          <w:color w:val="4B4B4D"/>
          <w:spacing w:val="6"/>
          <w:w w:val="105"/>
        </w:rPr>
        <w:t> </w:t>
      </w:r>
      <w:r>
        <w:rPr>
          <w:color w:val="3B383A"/>
          <w:w w:val="105"/>
        </w:rPr>
        <w:t>the</w:t>
      </w:r>
      <w:r>
        <w:rPr>
          <w:color w:val="3B383A"/>
          <w:spacing w:val="10"/>
          <w:w w:val="105"/>
        </w:rPr>
        <w:t> </w:t>
      </w:r>
      <w:r>
        <w:rPr>
          <w:color w:val="3B383A"/>
          <w:w w:val="105"/>
        </w:rPr>
        <w:t>argument.</w:t>
      </w:r>
    </w:p>
    <w:p>
      <w:pPr>
        <w:pStyle w:val="BodyText"/>
        <w:spacing w:line="232" w:lineRule="auto" w:before="2"/>
        <w:ind w:left="701" w:right="98" w:firstLine="380"/>
        <w:jc w:val="both"/>
      </w:pPr>
      <w:r>
        <w:rPr>
          <w:color w:val="3B383A"/>
          <w:w w:val="110"/>
          <w:sz w:val="22"/>
        </w:rPr>
        <w:t>ln </w:t>
      </w:r>
      <w:r>
        <w:rPr>
          <w:color w:val="3B383A"/>
          <w:w w:val="110"/>
        </w:rPr>
        <w:t>an appellate brief, the statement of the case should include neces­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sary procedural facts and  relevant background </w:t>
      </w:r>
      <w:r>
        <w:rPr>
          <w:color w:val="2B282A"/>
          <w:w w:val="105"/>
        </w:rPr>
        <w:t>information  </w:t>
      </w:r>
      <w:r>
        <w:rPr>
          <w:color w:val="3B383A"/>
          <w:w w:val="105"/>
        </w:rPr>
        <w:t>in addition to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the facts needed for the argument. The advocate should tell the story of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the events that gave rise to the litigation and how </w:t>
      </w:r>
      <w:r>
        <w:rPr>
          <w:color w:val="2B282A"/>
          <w:w w:val="110"/>
        </w:rPr>
        <w:t>it </w:t>
      </w:r>
      <w:r>
        <w:rPr>
          <w:color w:val="3B383A"/>
          <w:w w:val="110"/>
        </w:rPr>
        <w:t>progressed through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the court system on </w:t>
      </w:r>
      <w:r>
        <w:rPr>
          <w:color w:val="2B282A"/>
          <w:w w:val="105"/>
        </w:rPr>
        <w:t>up </w:t>
      </w:r>
      <w:r>
        <w:rPr>
          <w:color w:val="3B383A"/>
          <w:w w:val="105"/>
        </w:rPr>
        <w:t>to the current hearing. A motion brief, in contrast,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usually occurs at a very early stage </w:t>
      </w:r>
      <w:r>
        <w:rPr>
          <w:color w:val="4B4B4D"/>
          <w:w w:val="110"/>
        </w:rPr>
        <w:t>in </w:t>
      </w:r>
      <w:r>
        <w:rPr>
          <w:color w:val="3B383A"/>
          <w:w w:val="110"/>
        </w:rPr>
        <w:t>the litigation. The writer must pro­</w:t>
      </w:r>
      <w:r>
        <w:rPr>
          <w:color w:val="3B383A"/>
          <w:spacing w:val="-61"/>
          <w:w w:val="110"/>
        </w:rPr>
        <w:t> </w:t>
      </w:r>
      <w:r>
        <w:rPr>
          <w:color w:val="3B383A"/>
          <w:w w:val="110"/>
        </w:rPr>
        <w:t>vide procedural information as to how the lawsuit began and how it has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1rogressed, but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this information </w:t>
      </w:r>
      <w:r>
        <w:rPr>
          <w:color w:val="2B282A"/>
          <w:w w:val="105"/>
        </w:rPr>
        <w:t>is </w:t>
      </w:r>
      <w:r>
        <w:rPr>
          <w:color w:val="3B383A"/>
          <w:w w:val="105"/>
        </w:rPr>
        <w:t>usually not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lengthy and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is thus not a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lgnificant part</w:t>
      </w:r>
      <w:r>
        <w:rPr>
          <w:color w:val="3B383A"/>
          <w:spacing w:val="-16"/>
          <w:w w:val="110"/>
        </w:rPr>
        <w:t> </w:t>
      </w:r>
      <w:r>
        <w:rPr>
          <w:color w:val="3B383A"/>
          <w:w w:val="110"/>
        </w:rPr>
        <w:t>of</w:t>
      </w:r>
      <w:r>
        <w:rPr>
          <w:color w:val="3B383A"/>
          <w:spacing w:val="2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16"/>
          <w:w w:val="110"/>
        </w:rPr>
        <w:t> </w:t>
      </w:r>
      <w:r>
        <w:rPr>
          <w:color w:val="3B383A"/>
          <w:w w:val="110"/>
        </w:rPr>
        <w:t>statement.</w:t>
      </w:r>
    </w:p>
    <w:p>
      <w:pPr>
        <w:pStyle w:val="BodyText"/>
        <w:spacing w:line="235" w:lineRule="auto" w:before="1"/>
        <w:ind w:left="628" w:right="111" w:firstLine="406"/>
        <w:jc w:val="both"/>
      </w:pPr>
      <w:r>
        <w:rPr>
          <w:color w:val="3B383A"/>
          <w:w w:val="110"/>
        </w:rPr>
        <w:t>The </w:t>
      </w:r>
      <w:r>
        <w:rPr>
          <w:color w:val="4B4B4D"/>
          <w:w w:val="110"/>
        </w:rPr>
        <w:t>statement </w:t>
      </w:r>
      <w:r>
        <w:rPr>
          <w:color w:val="3B383A"/>
          <w:w w:val="110"/>
        </w:rPr>
        <w:t>should also include </w:t>
      </w:r>
      <w:r>
        <w:rPr>
          <w:color w:val="4B4B4D"/>
          <w:w w:val="110"/>
        </w:rPr>
        <w:t>citations </w:t>
      </w:r>
      <w:r>
        <w:rPr>
          <w:color w:val="3B383A"/>
          <w:w w:val="110"/>
        </w:rPr>
        <w:t>that will allow the reader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to verify easily the information cited. In an appellate brief, most of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information will come from a joint appendix or a </w:t>
      </w:r>
      <w:r>
        <w:rPr>
          <w:color w:val="2B282A"/>
          <w:w w:val="110"/>
        </w:rPr>
        <w:t>record, </w:t>
      </w:r>
      <w:r>
        <w:rPr>
          <w:color w:val="3B383A"/>
          <w:w w:val="110"/>
        </w:rPr>
        <w:t>and that </w:t>
      </w:r>
      <w:r>
        <w:rPr>
          <w:color w:val="2B282A"/>
          <w:w w:val="110"/>
        </w:rPr>
        <w:t>infor­</w:t>
      </w:r>
      <w:r>
        <w:rPr>
          <w:color w:val="2B282A"/>
          <w:spacing w:val="1"/>
          <w:w w:val="110"/>
        </w:rPr>
        <w:t> </w:t>
      </w:r>
      <w:r>
        <w:rPr>
          <w:color w:val="3B383A"/>
          <w:w w:val="110"/>
        </w:rPr>
        <w:t>mation should be cited according to Rule 24. l(a) or the appropriate rule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from your jurisdiction. For many Supreme </w:t>
      </w:r>
      <w:r>
        <w:rPr>
          <w:color w:val="4B4B4D"/>
          <w:w w:val="110"/>
        </w:rPr>
        <w:t>Court </w:t>
      </w:r>
      <w:r>
        <w:rPr>
          <w:color w:val="3B383A"/>
          <w:w w:val="110"/>
        </w:rPr>
        <w:t>cases, the appendix </w:t>
      </w:r>
      <w:r>
        <w:rPr>
          <w:color w:val="2B282A"/>
          <w:w w:val="110"/>
        </w:rPr>
        <w:t>to</w:t>
      </w:r>
      <w:r>
        <w:rPr>
          <w:color w:val="2B282A"/>
          <w:spacing w:val="1"/>
          <w:w w:val="110"/>
        </w:rPr>
        <w:t> </w:t>
      </w:r>
      <w:r>
        <w:rPr>
          <w:color w:val="3B383A"/>
          <w:w w:val="110"/>
        </w:rPr>
        <w:t>the petition for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writ of certiorari contains important factual infor­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mation. This appendix is usually cited along the same lines as the joint</w:t>
      </w:r>
      <w:r>
        <w:rPr>
          <w:color w:val="3B383A"/>
          <w:spacing w:val="1"/>
          <w:w w:val="110"/>
        </w:rPr>
        <w:t> </w:t>
      </w:r>
      <w:r>
        <w:rPr>
          <w:color w:val="3B383A"/>
          <w:spacing w:val="-1"/>
          <w:w w:val="110"/>
        </w:rPr>
        <w:t>appendix, e.g., Pet. App. </w:t>
      </w:r>
      <w:r>
        <w:rPr>
          <w:color w:val="3B383A"/>
          <w:w w:val="110"/>
        </w:rPr>
        <w:t>12. Information that comes from the lower court</w:t>
      </w:r>
      <w:r>
        <w:rPr>
          <w:color w:val="3B383A"/>
          <w:spacing w:val="-61"/>
          <w:w w:val="110"/>
        </w:rPr>
        <w:t> </w:t>
      </w:r>
      <w:r>
        <w:rPr>
          <w:color w:val="3B383A"/>
          <w:w w:val="110"/>
        </w:rPr>
        <w:t>opinions in the case (when these are not part of </w:t>
      </w:r>
      <w:r>
        <w:rPr>
          <w:color w:val="4B4B4D"/>
          <w:w w:val="110"/>
        </w:rPr>
        <w:t>the </w:t>
      </w:r>
      <w:r>
        <w:rPr>
          <w:color w:val="3B383A"/>
          <w:w w:val="110"/>
        </w:rPr>
        <w:t>record materials), as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well as any statutes that may be included in the fact statement, should be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cited</w:t>
      </w:r>
      <w:r>
        <w:rPr>
          <w:color w:val="3B383A"/>
          <w:spacing w:val="-7"/>
          <w:w w:val="110"/>
        </w:rPr>
        <w:t> </w:t>
      </w:r>
      <w:r>
        <w:rPr>
          <w:color w:val="3B383A"/>
          <w:w w:val="110"/>
        </w:rPr>
        <w:t>according</w:t>
      </w:r>
      <w:r>
        <w:rPr>
          <w:color w:val="3B383A"/>
          <w:spacing w:val="-8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6"/>
          <w:w w:val="110"/>
        </w:rPr>
        <w:t> </w:t>
      </w:r>
      <w:r>
        <w:rPr>
          <w:color w:val="3B383A"/>
          <w:w w:val="110"/>
        </w:rPr>
        <w:t>appropriate</w:t>
      </w:r>
      <w:r>
        <w:rPr>
          <w:color w:val="3B383A"/>
          <w:spacing w:val="-6"/>
          <w:w w:val="110"/>
        </w:rPr>
        <w:t> </w:t>
      </w:r>
      <w:r>
        <w:rPr>
          <w:color w:val="3B383A"/>
          <w:w w:val="110"/>
        </w:rPr>
        <w:t>citation</w:t>
      </w:r>
      <w:r>
        <w:rPr>
          <w:color w:val="3B383A"/>
          <w:spacing w:val="27"/>
          <w:w w:val="110"/>
        </w:rPr>
        <w:t> </w:t>
      </w:r>
      <w:r>
        <w:rPr>
          <w:color w:val="3B383A"/>
          <w:w w:val="110"/>
        </w:rPr>
        <w:t>rules.</w:t>
      </w:r>
    </w:p>
    <w:p>
      <w:pPr>
        <w:pStyle w:val="BodyText"/>
        <w:spacing w:line="228" w:lineRule="auto"/>
        <w:ind w:left="625" w:right="121" w:firstLine="366"/>
        <w:jc w:val="both"/>
      </w:pPr>
      <w:r>
        <w:rPr>
          <w:color w:val="3B383A"/>
          <w:w w:val="105"/>
        </w:rPr>
        <w:t>As noted previously, if you are writing a motion brief, you usually </w:t>
      </w:r>
      <w:r>
        <w:rPr>
          <w:color w:val="4B4B4D"/>
          <w:w w:val="105"/>
        </w:rPr>
        <w:t>w</w:t>
      </w:r>
      <w:r>
        <w:rPr>
          <w:color w:val="2B282A"/>
          <w:w w:val="105"/>
        </w:rPr>
        <w:t>ill</w:t>
      </w:r>
      <w:r>
        <w:rPr>
          <w:color w:val="2B282A"/>
          <w:spacing w:val="1"/>
          <w:w w:val="105"/>
        </w:rPr>
        <w:t> </w:t>
      </w:r>
      <w:r>
        <w:rPr>
          <w:color w:val="3B383A"/>
          <w:w w:val="105"/>
        </w:rPr>
        <w:t>not </w:t>
      </w:r>
      <w:r>
        <w:rPr>
          <w:color w:val="3B383A"/>
          <w:spacing w:val="39"/>
          <w:w w:val="105"/>
        </w:rPr>
        <w:t> </w:t>
      </w:r>
      <w:r>
        <w:rPr>
          <w:color w:val="3B383A"/>
          <w:w w:val="105"/>
        </w:rPr>
        <w:t>have</w:t>
      </w:r>
      <w:r>
        <w:rPr>
          <w:color w:val="3B383A"/>
          <w:spacing w:val="9"/>
          <w:w w:val="105"/>
        </w:rPr>
        <w:t> </w:t>
      </w:r>
      <w:r>
        <w:rPr>
          <w:color w:val="3B383A"/>
          <w:w w:val="105"/>
        </w:rPr>
        <w:t>a</w:t>
      </w:r>
      <w:r>
        <w:rPr>
          <w:color w:val="3B383A"/>
          <w:spacing w:val="22"/>
          <w:w w:val="105"/>
        </w:rPr>
        <w:t> </w:t>
      </w:r>
      <w:r>
        <w:rPr>
          <w:color w:val="3B383A"/>
          <w:w w:val="105"/>
        </w:rPr>
        <w:t>lengthy</w:t>
      </w:r>
      <w:r>
        <w:rPr>
          <w:color w:val="3B383A"/>
          <w:spacing w:val="29"/>
          <w:w w:val="105"/>
        </w:rPr>
        <w:t> </w:t>
      </w:r>
      <w:r>
        <w:rPr>
          <w:color w:val="3B383A"/>
          <w:w w:val="105"/>
        </w:rPr>
        <w:t>record</w:t>
      </w:r>
      <w:r>
        <w:rPr>
          <w:color w:val="3B383A"/>
          <w:spacing w:val="32"/>
          <w:w w:val="105"/>
        </w:rPr>
        <w:t> </w:t>
      </w:r>
      <w:r>
        <w:rPr>
          <w:color w:val="3B383A"/>
          <w:w w:val="105"/>
        </w:rPr>
        <w:t>to</w:t>
      </w:r>
      <w:r>
        <w:rPr>
          <w:color w:val="3B383A"/>
          <w:spacing w:val="50"/>
          <w:w w:val="105"/>
        </w:rPr>
        <w:t> </w:t>
      </w:r>
      <w:r>
        <w:rPr>
          <w:color w:val="3B383A"/>
          <w:w w:val="105"/>
        </w:rPr>
        <w:t>draw</w:t>
      </w:r>
      <w:r>
        <w:rPr>
          <w:color w:val="3B383A"/>
          <w:spacing w:val="17"/>
          <w:w w:val="105"/>
        </w:rPr>
        <w:t> </w:t>
      </w:r>
      <w:r>
        <w:rPr>
          <w:color w:val="3B383A"/>
          <w:w w:val="105"/>
        </w:rPr>
        <w:t>on. </w:t>
      </w:r>
      <w:r>
        <w:rPr>
          <w:color w:val="3B383A"/>
          <w:spacing w:val="4"/>
          <w:w w:val="105"/>
        </w:rPr>
        <w:t> </w:t>
      </w:r>
      <w:r>
        <w:rPr>
          <w:color w:val="3B383A"/>
          <w:w w:val="105"/>
        </w:rPr>
        <w:t>You</w:t>
      </w:r>
      <w:r>
        <w:rPr>
          <w:color w:val="3B383A"/>
          <w:spacing w:val="25"/>
          <w:w w:val="105"/>
        </w:rPr>
        <w:t> </w:t>
      </w:r>
      <w:r>
        <w:rPr>
          <w:color w:val="3B383A"/>
          <w:w w:val="105"/>
        </w:rPr>
        <w:t>should</w:t>
      </w:r>
      <w:r>
        <w:rPr>
          <w:color w:val="3B383A"/>
          <w:spacing w:val="39"/>
          <w:w w:val="105"/>
        </w:rPr>
        <w:t> </w:t>
      </w:r>
      <w:r>
        <w:rPr>
          <w:color w:val="3B383A"/>
          <w:w w:val="105"/>
        </w:rPr>
        <w:t>take</w:t>
      </w:r>
      <w:r>
        <w:rPr>
          <w:color w:val="3B383A"/>
          <w:spacing w:val="-3"/>
          <w:w w:val="105"/>
        </w:rPr>
        <w:t> </w:t>
      </w:r>
      <w:r>
        <w:rPr>
          <w:color w:val="3B383A"/>
          <w:w w:val="105"/>
        </w:rPr>
        <w:t>care,</w:t>
      </w:r>
      <w:r>
        <w:rPr>
          <w:color w:val="3B383A"/>
          <w:spacing w:val="34"/>
          <w:w w:val="105"/>
        </w:rPr>
        <w:t> </w:t>
      </w:r>
      <w:r>
        <w:rPr>
          <w:color w:val="3B383A"/>
          <w:w w:val="105"/>
        </w:rPr>
        <w:t>however,</w:t>
      </w:r>
      <w:r>
        <w:rPr>
          <w:color w:val="3B383A"/>
          <w:spacing w:val="21"/>
          <w:w w:val="105"/>
        </w:rPr>
        <w:t> </w:t>
      </w:r>
      <w:r>
        <w:rPr>
          <w:color w:val="3B383A"/>
          <w:w w:val="105"/>
        </w:rPr>
        <w:t>to</w:t>
      </w:r>
    </w:p>
    <w:p>
      <w:pPr>
        <w:pStyle w:val="BodyText"/>
        <w:spacing w:line="232" w:lineRule="auto"/>
        <w:ind w:left="595" w:right="134" w:firstLine="3"/>
        <w:jc w:val="both"/>
      </w:pPr>
      <w:r>
        <w:rPr>
          <w:color w:val="3B383A"/>
          <w:w w:val="110"/>
        </w:rPr>
        <w:t>cite precisely to the documents on which you have relied for your Jnfor­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mation, and to be sure the court has access to those documents as well. </w:t>
      </w:r>
      <w:r>
        <w:rPr>
          <w:rFonts w:ascii="Arial" w:hAnsi="Arial"/>
          <w:color w:val="3B383A"/>
          <w:w w:val="110"/>
          <w:sz w:val="21"/>
        </w:rPr>
        <w:t>If</w:t>
      </w:r>
      <w:r>
        <w:rPr>
          <w:rFonts w:ascii="Arial" w:hAnsi="Arial"/>
          <w:color w:val="3B383A"/>
          <w:spacing w:val="1"/>
          <w:w w:val="110"/>
          <w:sz w:val="21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40"/>
          <w:w w:val="110"/>
        </w:rPr>
        <w:t> </w:t>
      </w:r>
      <w:r>
        <w:rPr>
          <w:color w:val="3B383A"/>
          <w:w w:val="110"/>
        </w:rPr>
        <w:t>document</w:t>
      </w:r>
      <w:r>
        <w:rPr>
          <w:color w:val="3B383A"/>
          <w:spacing w:val="15"/>
          <w:w w:val="110"/>
        </w:rPr>
        <w:t> </w:t>
      </w:r>
      <w:r>
        <w:rPr>
          <w:color w:val="3B383A"/>
          <w:w w:val="110"/>
        </w:rPr>
        <w:t>has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numbered</w:t>
      </w:r>
      <w:r>
        <w:rPr>
          <w:color w:val="3B383A"/>
          <w:spacing w:val="3"/>
          <w:w w:val="110"/>
        </w:rPr>
        <w:t> </w:t>
      </w:r>
      <w:r>
        <w:rPr>
          <w:color w:val="3B383A"/>
          <w:w w:val="110"/>
        </w:rPr>
        <w:t>paragraphs,</w:t>
      </w:r>
      <w:r>
        <w:rPr>
          <w:color w:val="3B383A"/>
          <w:spacing w:val="5"/>
          <w:w w:val="110"/>
        </w:rPr>
        <w:t> </w:t>
      </w:r>
      <w:r>
        <w:rPr>
          <w:color w:val="3B383A"/>
          <w:w w:val="110"/>
        </w:rPr>
        <w:t>as</w:t>
      </w:r>
      <w:r>
        <w:rPr>
          <w:color w:val="3B383A"/>
          <w:spacing w:val="4"/>
          <w:w w:val="110"/>
        </w:rPr>
        <w:t> </w:t>
      </w:r>
      <w:r>
        <w:rPr>
          <w:color w:val="3B383A"/>
          <w:w w:val="110"/>
        </w:rPr>
        <w:t>most</w:t>
      </w:r>
      <w:r>
        <w:rPr>
          <w:color w:val="3B383A"/>
          <w:spacing w:val="-3"/>
          <w:w w:val="110"/>
        </w:rPr>
        <w:t> </w:t>
      </w:r>
      <w:r>
        <w:rPr>
          <w:color w:val="3B383A"/>
          <w:w w:val="110"/>
        </w:rPr>
        <w:t>complaints</w:t>
      </w:r>
      <w:r>
        <w:rPr>
          <w:color w:val="3B383A"/>
          <w:spacing w:val="-2"/>
          <w:w w:val="110"/>
        </w:rPr>
        <w:t> </w:t>
      </w:r>
      <w:r>
        <w:rPr>
          <w:color w:val="3B383A"/>
          <w:w w:val="110"/>
        </w:rPr>
        <w:t>do,</w:t>
      </w:r>
      <w:r>
        <w:rPr>
          <w:color w:val="3B383A"/>
          <w:spacing w:val="10"/>
          <w:w w:val="110"/>
        </w:rPr>
        <w:t> </w:t>
      </w:r>
      <w:r>
        <w:rPr>
          <w:color w:val="3B383A"/>
          <w:w w:val="110"/>
        </w:rPr>
        <w:t>then</w:t>
      </w:r>
      <w:r>
        <w:rPr>
          <w:color w:val="3B383A"/>
          <w:spacing w:val="-9"/>
          <w:w w:val="110"/>
        </w:rPr>
        <w:t> </w:t>
      </w:r>
      <w:r>
        <w:rPr>
          <w:color w:val="3B383A"/>
          <w:w w:val="110"/>
        </w:rPr>
        <w:t>cite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tabs>
          <w:tab w:pos="7943" w:val="left" w:leader="none"/>
        </w:tabs>
        <w:spacing w:line="225" w:lineRule="auto" w:before="226"/>
        <w:ind w:left="524" w:right="139" w:firstLine="425"/>
        <w:jc w:val="both"/>
        <w:rPr>
          <w:sz w:val="18"/>
        </w:rPr>
      </w:pPr>
      <w:r>
        <w:rPr>
          <w:rFonts w:ascii="Arial"/>
          <w:color w:val="4B4B4D"/>
          <w:w w:val="105"/>
          <w:position w:val="5"/>
          <w:sz w:val="10"/>
        </w:rPr>
        <w:t>7</w:t>
      </w:r>
      <w:r>
        <w:rPr>
          <w:color w:val="4B4B4D"/>
          <w:w w:val="105"/>
          <w:sz w:val="18"/>
        </w:rPr>
        <w:t>Supreme </w:t>
      </w:r>
      <w:r>
        <w:rPr>
          <w:color w:val="3B383A"/>
          <w:w w:val="105"/>
          <w:sz w:val="18"/>
        </w:rPr>
        <w:t>Court Rule 24.2 permits respondents and appellees to omlt </w:t>
      </w:r>
      <w:r>
        <w:rPr>
          <w:color w:val="4B4B4D"/>
          <w:w w:val="105"/>
          <w:sz w:val="18"/>
        </w:rPr>
        <w:t>several </w:t>
      </w:r>
      <w:r>
        <w:rPr>
          <w:color w:val="3B383A"/>
          <w:w w:val="105"/>
          <w:sz w:val="18"/>
        </w:rPr>
        <w:t>Items from the</w:t>
      </w:r>
      <w:r>
        <w:rPr>
          <w:color w:val="3B383A"/>
          <w:spacing w:val="1"/>
          <w:w w:val="105"/>
          <w:sz w:val="18"/>
        </w:rPr>
        <w:t> </w:t>
      </w:r>
      <w:r>
        <w:rPr>
          <w:color w:val="3B383A"/>
          <w:w w:val="105"/>
          <w:sz w:val="18"/>
        </w:rPr>
        <w:t>brief </w:t>
      </w:r>
      <w:r>
        <w:rPr>
          <w:color w:val="4B4B4D"/>
          <w:w w:val="105"/>
          <w:sz w:val="18"/>
        </w:rPr>
        <w:t>(questions </w:t>
      </w:r>
      <w:r>
        <w:rPr>
          <w:color w:val="3B383A"/>
          <w:w w:val="105"/>
          <w:sz w:val="18"/>
        </w:rPr>
        <w:t>presented, the list of</w:t>
      </w:r>
      <w:r>
        <w:rPr>
          <w:color w:val="3B383A"/>
          <w:spacing w:val="1"/>
          <w:w w:val="105"/>
          <w:sz w:val="18"/>
        </w:rPr>
        <w:t> </w:t>
      </w:r>
      <w:r>
        <w:rPr>
          <w:color w:val="3B383A"/>
          <w:w w:val="105"/>
          <w:sz w:val="18"/>
        </w:rPr>
        <w:t>part</w:t>
      </w:r>
      <w:r>
        <w:rPr>
          <w:color w:val="626264"/>
          <w:w w:val="105"/>
          <w:sz w:val="18"/>
        </w:rPr>
        <w:t>i</w:t>
      </w:r>
      <w:r>
        <w:rPr>
          <w:color w:val="3B383A"/>
          <w:w w:val="105"/>
          <w:sz w:val="18"/>
        </w:rPr>
        <w:t>es </w:t>
      </w:r>
      <w:r>
        <w:rPr>
          <w:color w:val="4B4B4D"/>
          <w:w w:val="105"/>
          <w:sz w:val="18"/>
        </w:rPr>
        <w:t>to </w:t>
      </w:r>
      <w:r>
        <w:rPr>
          <w:color w:val="3B383A"/>
          <w:w w:val="105"/>
          <w:sz w:val="18"/>
        </w:rPr>
        <w:t>the</w:t>
      </w:r>
      <w:r>
        <w:rPr>
          <w:color w:val="3B383A"/>
          <w:spacing w:val="1"/>
          <w:w w:val="105"/>
          <w:sz w:val="18"/>
        </w:rPr>
        <w:t> </w:t>
      </w:r>
      <w:r>
        <w:rPr>
          <w:color w:val="3B383A"/>
          <w:w w:val="105"/>
          <w:sz w:val="18"/>
        </w:rPr>
        <w:t>proceedings, opinions </w:t>
      </w:r>
      <w:r>
        <w:rPr>
          <w:color w:val="4B4B4D"/>
          <w:w w:val="105"/>
          <w:sz w:val="18"/>
        </w:rPr>
        <w:t>below, </w:t>
      </w:r>
      <w:r>
        <w:rPr>
          <w:color w:val="2B282A"/>
          <w:w w:val="105"/>
          <w:sz w:val="18"/>
        </w:rPr>
        <w:t>furlsd</w:t>
      </w:r>
      <w:r>
        <w:rPr>
          <w:color w:val="4B4B4D"/>
          <w:w w:val="105"/>
          <w:sz w:val="18"/>
        </w:rPr>
        <w:t>lctlonal</w:t>
      </w:r>
      <w:r>
        <w:rPr>
          <w:color w:val="4B4B4D"/>
          <w:spacing w:val="1"/>
          <w:w w:val="105"/>
          <w:sz w:val="18"/>
        </w:rPr>
        <w:t> </w:t>
      </w:r>
      <w:r>
        <w:rPr>
          <w:color w:val="4B4B4D"/>
          <w:spacing w:val="-1"/>
          <w:w w:val="110"/>
          <w:sz w:val="18"/>
        </w:rPr>
        <w:t>statement, </w:t>
      </w:r>
      <w:r>
        <w:rPr>
          <w:color w:val="4B4B4D"/>
          <w:w w:val="110"/>
          <w:sz w:val="18"/>
        </w:rPr>
        <w:t>statutes </w:t>
      </w:r>
      <w:r>
        <w:rPr>
          <w:color w:val="3B383A"/>
          <w:w w:val="110"/>
          <w:sz w:val="18"/>
        </w:rPr>
        <w:t>involved, and statement of the facts) "unless the </w:t>
      </w:r>
      <w:r>
        <w:rPr>
          <w:color w:val="4B4B4D"/>
          <w:w w:val="110"/>
          <w:sz w:val="18"/>
        </w:rPr>
        <w:t>responde</w:t>
      </w:r>
      <w:r>
        <w:rPr>
          <w:color w:val="2B282A"/>
          <w:w w:val="110"/>
          <w:sz w:val="18"/>
        </w:rPr>
        <w:t>nt </w:t>
      </w:r>
      <w:r>
        <w:rPr>
          <w:color w:val="3B383A"/>
          <w:w w:val="110"/>
          <w:sz w:val="18"/>
        </w:rPr>
        <w:t>or </w:t>
      </w:r>
      <w:r>
        <w:rPr>
          <w:color w:val="4B4B4D"/>
          <w:w w:val="110"/>
          <w:sz w:val="18"/>
        </w:rPr>
        <w:t>appellec </w:t>
      </w:r>
      <w:r>
        <w:rPr>
          <w:rFonts w:ascii="Arial"/>
          <w:color w:val="3B383A"/>
          <w:w w:val="110"/>
          <w:sz w:val="16"/>
        </w:rPr>
        <w:t>Is</w:t>
      </w:r>
      <w:r>
        <w:rPr>
          <w:rFonts w:ascii="Arial"/>
          <w:color w:val="3B383A"/>
          <w:spacing w:val="1"/>
          <w:w w:val="110"/>
          <w:sz w:val="16"/>
        </w:rPr>
        <w:t> </w:t>
      </w:r>
      <w:r>
        <w:rPr>
          <w:color w:val="3B383A"/>
          <w:w w:val="105"/>
          <w:sz w:val="18"/>
        </w:rPr>
        <w:t>dissatisfied with their pr</w:t>
      </w:r>
      <w:r>
        <w:rPr>
          <w:color w:val="626264"/>
          <w:w w:val="105"/>
          <w:sz w:val="18"/>
        </w:rPr>
        <w:t>ese</w:t>
      </w:r>
      <w:r>
        <w:rPr>
          <w:color w:val="3B383A"/>
          <w:w w:val="105"/>
          <w:sz w:val="18"/>
        </w:rPr>
        <w:t>ntation</w:t>
      </w:r>
      <w:r>
        <w:rPr>
          <w:color w:val="3B383A"/>
          <w:spacing w:val="1"/>
          <w:w w:val="105"/>
          <w:sz w:val="18"/>
        </w:rPr>
        <w:t> </w:t>
      </w:r>
      <w:r>
        <w:rPr>
          <w:color w:val="3B383A"/>
          <w:w w:val="105"/>
          <w:sz w:val="18"/>
        </w:rPr>
        <w:t>by the opposing party</w:t>
      </w:r>
      <w:r>
        <w:rPr>
          <w:color w:val="626264"/>
          <w:w w:val="105"/>
          <w:sz w:val="18"/>
        </w:rPr>
        <w:t>." </w:t>
      </w:r>
      <w:r>
        <w:rPr>
          <w:color w:val="3B383A"/>
          <w:w w:val="105"/>
          <w:sz w:val="18"/>
        </w:rPr>
        <w:t>In</w:t>
      </w:r>
      <w:r>
        <w:rPr>
          <w:color w:val="3B383A"/>
          <w:spacing w:val="1"/>
          <w:w w:val="105"/>
          <w:sz w:val="18"/>
        </w:rPr>
        <w:t> </w:t>
      </w:r>
      <w:r>
        <w:rPr>
          <w:color w:val="3B383A"/>
          <w:w w:val="105"/>
          <w:sz w:val="18"/>
        </w:rPr>
        <w:t>most appellate advocacy </w:t>
      </w:r>
      <w:r>
        <w:rPr>
          <w:color w:val="4B4B4D"/>
          <w:w w:val="105"/>
          <w:sz w:val="18"/>
        </w:rPr>
        <w:t>courses</w:t>
      </w:r>
      <w:r>
        <w:rPr>
          <w:color w:val="4B4B4D"/>
          <w:spacing w:val="1"/>
          <w:w w:val="105"/>
          <w:sz w:val="18"/>
        </w:rPr>
        <w:t> </w:t>
      </w:r>
      <w:r>
        <w:rPr>
          <w:color w:val="3B383A"/>
          <w:w w:val="105"/>
          <w:sz w:val="18"/>
        </w:rPr>
        <w:t>however,</w:t>
      </w:r>
      <w:r>
        <w:rPr>
          <w:color w:val="3B383A"/>
          <w:spacing w:val="8"/>
          <w:w w:val="105"/>
          <w:sz w:val="18"/>
        </w:rPr>
        <w:t> </w:t>
      </w:r>
      <w:r>
        <w:rPr>
          <w:color w:val="3B383A"/>
          <w:w w:val="105"/>
          <w:sz w:val="18"/>
        </w:rPr>
        <w:t>students</w:t>
      </w:r>
      <w:r>
        <w:rPr>
          <w:color w:val="3B383A"/>
          <w:spacing w:val="-5"/>
          <w:w w:val="105"/>
          <w:sz w:val="18"/>
        </w:rPr>
        <w:t> </w:t>
      </w:r>
      <w:r>
        <w:rPr>
          <w:color w:val="3B383A"/>
          <w:w w:val="105"/>
          <w:sz w:val="18"/>
        </w:rPr>
        <w:t>are</w:t>
      </w:r>
      <w:r>
        <w:rPr>
          <w:color w:val="3B383A"/>
          <w:spacing w:val="1"/>
          <w:w w:val="105"/>
          <w:sz w:val="18"/>
        </w:rPr>
        <w:t> </w:t>
      </w:r>
      <w:r>
        <w:rPr>
          <w:color w:val="3B383A"/>
          <w:w w:val="105"/>
          <w:sz w:val="18"/>
        </w:rPr>
        <w:t>required</w:t>
      </w:r>
      <w:r>
        <w:rPr>
          <w:color w:val="3B383A"/>
          <w:spacing w:val="18"/>
          <w:w w:val="105"/>
          <w:sz w:val="18"/>
        </w:rPr>
        <w:t> </w:t>
      </w:r>
      <w:r>
        <w:rPr>
          <w:color w:val="3B383A"/>
          <w:w w:val="105"/>
          <w:sz w:val="17"/>
        </w:rPr>
        <w:t>to</w:t>
      </w:r>
      <w:r>
        <w:rPr>
          <w:color w:val="3B383A"/>
          <w:spacing w:val="44"/>
          <w:w w:val="105"/>
          <w:sz w:val="17"/>
        </w:rPr>
        <w:t> </w:t>
      </w:r>
      <w:r>
        <w:rPr>
          <w:color w:val="3B383A"/>
          <w:w w:val="105"/>
          <w:sz w:val="18"/>
        </w:rPr>
        <w:t>Include</w:t>
      </w:r>
      <w:r>
        <w:rPr>
          <w:color w:val="3B383A"/>
          <w:spacing w:val="-1"/>
          <w:w w:val="105"/>
          <w:sz w:val="18"/>
        </w:rPr>
        <w:t> </w:t>
      </w:r>
      <w:r>
        <w:rPr>
          <w:color w:val="3B383A"/>
          <w:w w:val="105"/>
          <w:sz w:val="18"/>
        </w:rPr>
        <w:t>all</w:t>
      </w:r>
      <w:r>
        <w:rPr>
          <w:color w:val="3B383A"/>
          <w:spacing w:val="3"/>
          <w:w w:val="105"/>
          <w:sz w:val="18"/>
        </w:rPr>
        <w:t> </w:t>
      </w:r>
      <w:r>
        <w:rPr>
          <w:color w:val="3B383A"/>
          <w:w w:val="105"/>
          <w:sz w:val="18"/>
        </w:rPr>
        <w:t>elements</w:t>
      </w:r>
      <w:r>
        <w:rPr>
          <w:color w:val="3B383A"/>
          <w:spacing w:val="-11"/>
          <w:w w:val="105"/>
          <w:sz w:val="18"/>
        </w:rPr>
        <w:t> </w:t>
      </w:r>
      <w:r>
        <w:rPr>
          <w:color w:val="3B383A"/>
          <w:w w:val="105"/>
          <w:sz w:val="18"/>
        </w:rPr>
        <w:t>of</w:t>
      </w:r>
      <w:r>
        <w:rPr>
          <w:color w:val="3B383A"/>
          <w:spacing w:val="30"/>
          <w:w w:val="105"/>
          <w:sz w:val="18"/>
        </w:rPr>
        <w:t> </w:t>
      </w:r>
      <w:r>
        <w:rPr>
          <w:color w:val="3B383A"/>
          <w:w w:val="105"/>
          <w:sz w:val="18"/>
        </w:rPr>
        <w:t>the</w:t>
      </w:r>
      <w:r>
        <w:rPr>
          <w:color w:val="3B383A"/>
          <w:spacing w:val="44"/>
          <w:w w:val="105"/>
          <w:sz w:val="18"/>
        </w:rPr>
        <w:t> </w:t>
      </w:r>
      <w:r>
        <w:rPr>
          <w:color w:val="3B383A"/>
          <w:w w:val="105"/>
          <w:sz w:val="18"/>
        </w:rPr>
        <w:t>brief.</w:t>
        <w:tab/>
      </w:r>
      <w:r>
        <w:rPr>
          <w:color w:val="3B383A"/>
          <w:w w:val="110"/>
          <w:sz w:val="18"/>
        </w:rPr>
        <w:t>'</w:t>
      </w:r>
    </w:p>
    <w:p>
      <w:pPr>
        <w:spacing w:after="0" w:line="225" w:lineRule="auto"/>
        <w:jc w:val="both"/>
        <w:rPr>
          <w:sz w:val="18"/>
        </w:rPr>
        <w:sectPr>
          <w:pgSz w:w="9790" w:h="13960"/>
          <w:pgMar w:header="562" w:footer="0" w:top="1180" w:bottom="0" w:left="136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35" w:lineRule="auto" w:before="95"/>
        <w:ind w:left="123" w:firstLine="6"/>
      </w:pPr>
      <w:r>
        <w:rPr>
          <w:color w:val="3B3A3B"/>
          <w:w w:val="110"/>
        </w:rPr>
        <w:t>to</w:t>
      </w:r>
      <w:r>
        <w:rPr>
          <w:color w:val="3B3A3B"/>
          <w:spacing w:val="-9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9"/>
          <w:w w:val="110"/>
        </w:rPr>
        <w:t> </w:t>
      </w:r>
      <w:r>
        <w:rPr>
          <w:color w:val="3B3A3B"/>
          <w:w w:val="110"/>
        </w:rPr>
        <w:t>specific</w:t>
      </w:r>
      <w:r>
        <w:rPr>
          <w:color w:val="3B3A3B"/>
          <w:spacing w:val="24"/>
          <w:w w:val="110"/>
        </w:rPr>
        <w:t> </w:t>
      </w:r>
      <w:r>
        <w:rPr>
          <w:color w:val="3B3A3B"/>
          <w:w w:val="110"/>
        </w:rPr>
        <w:t>paragraph</w:t>
      </w:r>
      <w:r>
        <w:rPr>
          <w:color w:val="3B3A3B"/>
          <w:spacing w:val="29"/>
          <w:w w:val="110"/>
        </w:rPr>
        <w:t> </w:t>
      </w:r>
      <w:r>
        <w:rPr>
          <w:color w:val="3B3A3B"/>
          <w:w w:val="110"/>
        </w:rPr>
        <w:t>referred</w:t>
      </w:r>
      <w:r>
        <w:rPr>
          <w:color w:val="3B3A3B"/>
          <w:spacing w:val="28"/>
          <w:w w:val="110"/>
        </w:rPr>
        <w:t> </w:t>
      </w:r>
      <w:r>
        <w:rPr>
          <w:color w:val="3B3A3B"/>
          <w:w w:val="110"/>
        </w:rPr>
        <w:t>to.</w:t>
      </w:r>
      <w:r>
        <w:rPr>
          <w:color w:val="3B3A3B"/>
          <w:spacing w:val="35"/>
          <w:w w:val="110"/>
        </w:rPr>
        <w:t> </w:t>
      </w:r>
      <w:r>
        <w:rPr>
          <w:color w:val="3B3A3B"/>
          <w:w w:val="110"/>
        </w:rPr>
        <w:t>For</w:t>
      </w:r>
      <w:r>
        <w:rPr>
          <w:color w:val="3B3A3B"/>
          <w:spacing w:val="8"/>
          <w:w w:val="110"/>
        </w:rPr>
        <w:t> </w:t>
      </w:r>
      <w:r>
        <w:rPr>
          <w:color w:val="3B3A3B"/>
          <w:w w:val="110"/>
        </w:rPr>
        <w:t>documents</w:t>
      </w:r>
      <w:r>
        <w:rPr>
          <w:color w:val="3B3A3B"/>
          <w:spacing w:val="11"/>
          <w:w w:val="110"/>
        </w:rPr>
        <w:t> </w:t>
      </w:r>
      <w:r>
        <w:rPr>
          <w:color w:val="3B3A3B"/>
          <w:w w:val="110"/>
        </w:rPr>
        <w:t>without</w:t>
      </w:r>
      <w:r>
        <w:rPr>
          <w:color w:val="3B3A3B"/>
          <w:spacing w:val="32"/>
          <w:w w:val="110"/>
        </w:rPr>
        <w:t> </w:t>
      </w:r>
      <w:r>
        <w:rPr>
          <w:color w:val="3B3A3B"/>
          <w:w w:val="110"/>
        </w:rPr>
        <w:t>numbered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05"/>
        </w:rPr>
        <w:t>paragraphs,</w:t>
      </w:r>
      <w:r>
        <w:rPr>
          <w:color w:val="3B3A3B"/>
          <w:spacing w:val="6"/>
          <w:w w:val="105"/>
        </w:rPr>
        <w:t> </w:t>
      </w:r>
      <w:r>
        <w:rPr>
          <w:color w:val="3B3A3B"/>
          <w:w w:val="105"/>
        </w:rPr>
        <w:t>cite</w:t>
      </w:r>
      <w:r>
        <w:rPr>
          <w:color w:val="3B3A3B"/>
          <w:spacing w:val="5"/>
          <w:w w:val="105"/>
        </w:rPr>
        <w:t> </w:t>
      </w:r>
      <w:r>
        <w:rPr>
          <w:color w:val="3B3A3B"/>
          <w:w w:val="105"/>
        </w:rPr>
        <w:t>to</w:t>
      </w:r>
      <w:r>
        <w:rPr>
          <w:color w:val="3B3A3B"/>
          <w:spacing w:val="14"/>
          <w:w w:val="105"/>
        </w:rPr>
        <w:t> </w:t>
      </w:r>
      <w:r>
        <w:rPr>
          <w:color w:val="3B3A3B"/>
          <w:w w:val="105"/>
        </w:rPr>
        <w:t>the</w:t>
      </w:r>
      <w:r>
        <w:rPr>
          <w:color w:val="3B3A3B"/>
          <w:spacing w:val="20"/>
          <w:w w:val="105"/>
        </w:rPr>
        <w:t> </w:t>
      </w:r>
      <w:r>
        <w:rPr>
          <w:color w:val="3B3A3B"/>
          <w:w w:val="105"/>
        </w:rPr>
        <w:t>page</w:t>
      </w:r>
      <w:r>
        <w:rPr>
          <w:color w:val="3B3A3B"/>
          <w:spacing w:val="8"/>
          <w:w w:val="105"/>
        </w:rPr>
        <w:t> </w:t>
      </w:r>
      <w:r>
        <w:rPr>
          <w:color w:val="3B3A3B"/>
          <w:w w:val="105"/>
        </w:rPr>
        <w:t>number.</w:t>
      </w:r>
      <w:r>
        <w:rPr>
          <w:color w:val="3B3A3B"/>
          <w:spacing w:val="-16"/>
          <w:w w:val="105"/>
        </w:rPr>
        <w:t> </w:t>
      </w:r>
      <w:r>
        <w:rPr>
          <w:color w:val="3B3A3B"/>
          <w:w w:val="105"/>
        </w:rPr>
        <w:t>Thus:</w:t>
      </w:r>
    </w:p>
    <w:p>
      <w:pPr>
        <w:pStyle w:val="BodyText"/>
        <w:spacing w:before="9"/>
        <w:rPr>
          <w:sz w:val="9"/>
        </w:rPr>
      </w:pPr>
    </w:p>
    <w:p>
      <w:pPr>
        <w:spacing w:before="95"/>
        <w:ind w:left="104" w:right="0" w:firstLine="0"/>
        <w:jc w:val="both"/>
        <w:rPr>
          <w:sz w:val="15"/>
        </w:rPr>
      </w:pPr>
      <w:r>
        <w:rPr>
          <w:color w:val="3B3A3B"/>
          <w:w w:val="105"/>
          <w:sz w:val="15"/>
          <w:u w:val="thick" w:color="3B3A3B"/>
        </w:rPr>
        <w:t>_/\ </w:t>
      </w:r>
      <w:r>
        <w:rPr>
          <w:color w:val="3B3A3B"/>
          <w:spacing w:val="20"/>
          <w:w w:val="105"/>
          <w:sz w:val="15"/>
          <w:u w:val="thick" w:color="3B3A3B"/>
        </w:rPr>
        <w:t> </w:t>
      </w:r>
      <w:r>
        <w:rPr>
          <w:color w:val="3B3A3B"/>
          <w:w w:val="105"/>
          <w:sz w:val="15"/>
          <w:u w:val="thick" w:color="3B3A3B"/>
        </w:rPr>
        <w:t>GOOD</w:t>
      </w:r>
      <w:r>
        <w:rPr>
          <w:color w:val="3B3A3B"/>
          <w:spacing w:val="-5"/>
          <w:w w:val="105"/>
          <w:sz w:val="15"/>
          <w:u w:val="thick" w:color="3B3A3B"/>
        </w:rPr>
        <w:t> </w:t>
      </w:r>
      <w:r>
        <w:rPr>
          <w:color w:val="3B3A3B"/>
          <w:w w:val="105"/>
          <w:sz w:val="15"/>
          <w:u w:val="thick" w:color="3B3A3B"/>
        </w:rPr>
        <w:t>EXAMPLE</w:t>
      </w:r>
    </w:p>
    <w:p>
      <w:pPr>
        <w:spacing w:line="235" w:lineRule="auto" w:before="93"/>
        <w:ind w:left="437" w:right="864" w:firstLine="9"/>
        <w:jc w:val="both"/>
        <w:rPr>
          <w:sz w:val="21"/>
        </w:rPr>
      </w:pPr>
      <w:r>
        <w:rPr>
          <w:color w:val="3B3A3B"/>
          <w:w w:val="115"/>
          <w:sz w:val="21"/>
        </w:rPr>
        <w:t>Mr. Kirkby was the Section Manager responsible for the supervision</w:t>
      </w:r>
      <w:r>
        <w:rPr>
          <w:color w:val="3B3A3B"/>
          <w:spacing w:val="1"/>
          <w:w w:val="115"/>
          <w:sz w:val="21"/>
        </w:rPr>
        <w:t> </w:t>
      </w:r>
      <w:r>
        <w:rPr>
          <w:color w:val="3B3A3B"/>
          <w:w w:val="115"/>
          <w:sz w:val="21"/>
        </w:rPr>
        <w:t>of the</w:t>
      </w:r>
      <w:r>
        <w:rPr>
          <w:color w:val="3B3A3B"/>
          <w:spacing w:val="1"/>
          <w:w w:val="115"/>
          <w:sz w:val="21"/>
        </w:rPr>
        <w:t> </w:t>
      </w:r>
      <w:r>
        <w:rPr>
          <w:color w:val="3B3A3B"/>
          <w:w w:val="115"/>
          <w:sz w:val="21"/>
        </w:rPr>
        <w:t>Plaintiff</w:t>
      </w:r>
      <w:r>
        <w:rPr>
          <w:color w:val="3B3A3B"/>
          <w:spacing w:val="1"/>
          <w:w w:val="115"/>
          <w:sz w:val="21"/>
        </w:rPr>
        <w:t> </w:t>
      </w:r>
      <w:r>
        <w:rPr>
          <w:color w:val="3B3A3B"/>
          <w:w w:val="115"/>
          <w:sz w:val="21"/>
        </w:rPr>
        <w:t>and</w:t>
      </w:r>
      <w:r>
        <w:rPr>
          <w:color w:val="3B3A3B"/>
          <w:spacing w:val="1"/>
          <w:w w:val="115"/>
          <w:sz w:val="21"/>
        </w:rPr>
        <w:t> </w:t>
      </w:r>
      <w:r>
        <w:rPr>
          <w:color w:val="3B3A3B"/>
          <w:w w:val="115"/>
          <w:sz w:val="21"/>
        </w:rPr>
        <w:t>25 other administrative personnel. Compl.15.</w:t>
      </w:r>
      <w:r>
        <w:rPr>
          <w:color w:val="3B3A3B"/>
          <w:spacing w:val="1"/>
          <w:w w:val="115"/>
          <w:sz w:val="21"/>
        </w:rPr>
        <w:t> </w:t>
      </w:r>
      <w:r>
        <w:rPr>
          <w:color w:val="3B3A3B"/>
          <w:w w:val="110"/>
          <w:sz w:val="21"/>
        </w:rPr>
        <w:t>According to the Executive Vice-President of the Company, this num­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ber of employees was typical for most supervisors at Marvin-Kobacker.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5"/>
          <w:sz w:val="21"/>
        </w:rPr>
        <w:t>Sczesny</w:t>
      </w:r>
      <w:r>
        <w:rPr>
          <w:color w:val="3B3A3B"/>
          <w:spacing w:val="-5"/>
          <w:w w:val="115"/>
          <w:sz w:val="21"/>
        </w:rPr>
        <w:t> </w:t>
      </w:r>
      <w:r>
        <w:rPr>
          <w:color w:val="3B3A3B"/>
          <w:w w:val="115"/>
          <w:sz w:val="20"/>
        </w:rPr>
        <w:t>Aff.</w:t>
      </w:r>
      <w:r>
        <w:rPr>
          <w:color w:val="3B3A3B"/>
          <w:spacing w:val="-28"/>
          <w:w w:val="115"/>
          <w:sz w:val="20"/>
        </w:rPr>
        <w:t> </w:t>
      </w:r>
      <w:r>
        <w:rPr>
          <w:color w:val="3B3A3B"/>
          <w:w w:val="115"/>
          <w:sz w:val="21"/>
        </w:rPr>
        <w:t>at</w:t>
      </w:r>
      <w:r>
        <w:rPr>
          <w:color w:val="3B3A3B"/>
          <w:spacing w:val="31"/>
          <w:w w:val="115"/>
          <w:sz w:val="21"/>
        </w:rPr>
        <w:t> </w:t>
      </w:r>
      <w:r>
        <w:rPr>
          <w:color w:val="3B3A3B"/>
          <w:w w:val="115"/>
          <w:sz w:val="21"/>
        </w:rPr>
        <w:t>23.</w:t>
      </w:r>
    </w:p>
    <w:p>
      <w:pPr>
        <w:pStyle w:val="BodyText"/>
        <w:spacing w:line="232" w:lineRule="auto" w:before="140"/>
        <w:ind w:left="120" w:right="489" w:firstLine="321"/>
        <w:jc w:val="both"/>
      </w:pPr>
      <w:r>
        <w:rPr>
          <w:color w:val="3B3A3B"/>
          <w:w w:val="110"/>
        </w:rPr>
        <w:t>Citations in the fact statement are vital because many judges will not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trust facts without an appropriate citation. Judge Clyde H. Hamilton, of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the United States Court of Appeals for the Fourth Circuit, counts missing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10"/>
        </w:rPr>
        <w:t>citations</w:t>
      </w:r>
      <w:r>
        <w:rPr>
          <w:color w:val="3B3A3B"/>
          <w:spacing w:val="-12"/>
          <w:w w:val="110"/>
        </w:rPr>
        <w:t> </w:t>
      </w:r>
      <w:r>
        <w:rPr>
          <w:color w:val="3B3A3B"/>
          <w:w w:val="110"/>
        </w:rPr>
        <w:t>as</w:t>
      </w:r>
      <w:r>
        <w:rPr>
          <w:color w:val="3B3A3B"/>
          <w:spacing w:val="-3"/>
          <w:w w:val="110"/>
        </w:rPr>
        <w:t> </w:t>
      </w:r>
      <w:r>
        <w:rPr>
          <w:color w:val="3B3A3B"/>
          <w:w w:val="110"/>
        </w:rPr>
        <w:t>one</w:t>
      </w:r>
      <w:r>
        <w:rPr>
          <w:color w:val="3B3A3B"/>
          <w:spacing w:val="35"/>
          <w:w w:val="110"/>
        </w:rPr>
        <w:t> </w:t>
      </w:r>
      <w:r>
        <w:rPr>
          <w:color w:val="3B3A3B"/>
          <w:w w:val="110"/>
        </w:rPr>
        <w:t>of</w:t>
      </w:r>
      <w:r>
        <w:rPr>
          <w:color w:val="3B3A3B"/>
          <w:spacing w:val="8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43"/>
          <w:w w:val="110"/>
        </w:rPr>
        <w:t> </w:t>
      </w:r>
      <w:r>
        <w:rPr>
          <w:color w:val="3B3A3B"/>
          <w:w w:val="110"/>
        </w:rPr>
        <w:t>major</w:t>
      </w:r>
      <w:r>
        <w:rPr>
          <w:color w:val="3B3A3B"/>
          <w:spacing w:val="-4"/>
          <w:w w:val="110"/>
        </w:rPr>
        <w:t> </w:t>
      </w:r>
      <w:r>
        <w:rPr>
          <w:color w:val="3B3A3B"/>
          <w:w w:val="110"/>
        </w:rPr>
        <w:t>problems</w:t>
      </w:r>
      <w:r>
        <w:rPr>
          <w:color w:val="3B3A3B"/>
          <w:spacing w:val="-1"/>
          <w:w w:val="110"/>
        </w:rPr>
        <w:t> </w:t>
      </w:r>
      <w:r>
        <w:rPr>
          <w:color w:val="3B3A3B"/>
          <w:w w:val="110"/>
        </w:rPr>
        <w:t>with fact</w:t>
      </w:r>
      <w:r>
        <w:rPr>
          <w:color w:val="3B3A3B"/>
          <w:spacing w:val="-12"/>
          <w:w w:val="110"/>
        </w:rPr>
        <w:t> </w:t>
      </w:r>
      <w:r>
        <w:rPr>
          <w:color w:val="3B3A3B"/>
          <w:w w:val="110"/>
        </w:rPr>
        <w:t>statements:</w:t>
      </w:r>
    </w:p>
    <w:p>
      <w:pPr>
        <w:spacing w:line="237" w:lineRule="auto" w:before="134"/>
        <w:ind w:left="440" w:right="804" w:firstLine="2"/>
        <w:jc w:val="both"/>
        <w:rPr>
          <w:rFonts w:ascii="Arial"/>
          <w:sz w:val="21"/>
        </w:rPr>
      </w:pPr>
      <w:r>
        <w:rPr>
          <w:color w:val="3B3A3B"/>
          <w:w w:val="110"/>
          <w:sz w:val="21"/>
        </w:rPr>
        <w:t>[fhe importance of] appropriate citations to the appendix ...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cannot be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overemphasized. Little else makes </w:t>
      </w:r>
      <w:r>
        <w:rPr>
          <w:rFonts w:ascii="Arial"/>
          <w:color w:val="3B3A3B"/>
          <w:w w:val="110"/>
          <w:sz w:val="19"/>
        </w:rPr>
        <w:t>my</w:t>
      </w:r>
      <w:r>
        <w:rPr>
          <w:rFonts w:ascii="Arial"/>
          <w:color w:val="3B3A3B"/>
          <w:spacing w:val="1"/>
          <w:w w:val="110"/>
          <w:sz w:val="19"/>
        </w:rPr>
        <w:t> </w:t>
      </w:r>
      <w:r>
        <w:rPr>
          <w:color w:val="3B3A3B"/>
          <w:w w:val="110"/>
          <w:sz w:val="21"/>
        </w:rPr>
        <w:t>blood  boil quicker  than reading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an appellate brief that lacks appropriate citations to the appendix in the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statement of facts and the argument components. Apparently, the parties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submitting these briefs are under the serious misimpression that appellate</w:t>
      </w:r>
      <w:r>
        <w:rPr>
          <w:color w:val="3B3A3B"/>
          <w:spacing w:val="-55"/>
          <w:w w:val="110"/>
          <w:sz w:val="21"/>
        </w:rPr>
        <w:t> </w:t>
      </w:r>
      <w:r>
        <w:rPr>
          <w:color w:val="3B3A3B"/>
          <w:w w:val="110"/>
          <w:sz w:val="21"/>
        </w:rPr>
        <w:t>judges have endless hours to spend combing the appendix in an effort to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match up scattered pieces of evidence with a party's unreferenced factual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assertions.</w:t>
      </w:r>
      <w:r>
        <w:rPr>
          <w:rFonts w:ascii="Arial"/>
          <w:color w:val="3B3A3B"/>
          <w:w w:val="110"/>
          <w:sz w:val="21"/>
          <w:vertAlign w:val="superscript"/>
        </w:rPr>
        <w:t>8</w:t>
      </w:r>
    </w:p>
    <w:p>
      <w:pPr>
        <w:pStyle w:val="BodyText"/>
        <w:spacing w:line="232" w:lineRule="auto" w:before="144"/>
        <w:ind w:left="139" w:right="419" w:hanging="24"/>
        <w:jc w:val="both"/>
      </w:pPr>
      <w:r>
        <w:rPr>
          <w:color w:val="3B3A3B"/>
          <w:w w:val="110"/>
        </w:rPr>
        <w:t>Thus, it would not be unusual to have a citation at the end of every sen­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tence in a fact statement. Because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use of </w:t>
      </w:r>
      <w:r>
        <w:rPr>
          <w:i/>
          <w:color w:val="3B3A3B"/>
          <w:w w:val="110"/>
          <w:sz w:val="22"/>
        </w:rPr>
        <w:t>"id." </w:t>
      </w:r>
      <w:r>
        <w:rPr>
          <w:color w:val="3B3A3B"/>
          <w:w w:val="110"/>
        </w:rPr>
        <w:t>Is as appropriate for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record citations as for any other kind of citation, these multiple citations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need</w:t>
      </w:r>
      <w:r>
        <w:rPr>
          <w:color w:val="3B3A3B"/>
          <w:spacing w:val="-1"/>
          <w:w w:val="110"/>
        </w:rPr>
        <w:t> </w:t>
      </w:r>
      <w:r>
        <w:rPr>
          <w:color w:val="3B3A3B"/>
          <w:w w:val="110"/>
        </w:rPr>
        <w:t>not</w:t>
      </w:r>
      <w:r>
        <w:rPr>
          <w:color w:val="3B3A3B"/>
          <w:spacing w:val="52"/>
          <w:w w:val="110"/>
        </w:rPr>
        <w:t> </w:t>
      </w:r>
      <w:r>
        <w:rPr>
          <w:color w:val="3B3A3B"/>
          <w:w w:val="110"/>
        </w:rPr>
        <w:t>be</w:t>
      </w:r>
      <w:r>
        <w:rPr>
          <w:color w:val="3B3A3B"/>
          <w:spacing w:val="13"/>
          <w:w w:val="110"/>
        </w:rPr>
        <w:t> </w:t>
      </w:r>
      <w:r>
        <w:rPr>
          <w:color w:val="3B3A3B"/>
          <w:w w:val="110"/>
        </w:rPr>
        <w:t>intrusive.</w:t>
      </w:r>
    </w:p>
    <w:p>
      <w:pPr>
        <w:pStyle w:val="BodyText"/>
        <w:spacing w:line="232" w:lineRule="auto" w:before="4"/>
        <w:ind w:left="140" w:right="382" w:firstLine="324"/>
        <w:jc w:val="both"/>
      </w:pPr>
      <w:r>
        <w:rPr>
          <w:color w:val="3B3A3B"/>
          <w:w w:val="110"/>
        </w:rPr>
        <w:t>If  this is the  first time you are working with a lengthy  record</w:t>
      </w:r>
      <w:r>
        <w:rPr>
          <w:color w:val="5D5D5E"/>
          <w:w w:val="110"/>
        </w:rPr>
        <w:t>, </w:t>
      </w:r>
      <w:r>
        <w:rPr>
          <w:color w:val="3B3A3B"/>
          <w:w w:val="110"/>
        </w:rPr>
        <w:t>you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may be tempted to "treasure hunt" for facts that help your client's case or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hurt your opponent's.  Hunting for treasure is fine, but be sure you have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not found  fool's gold: Only formal findings of  fact can  be cited as such.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If you think it would be helpful to cite testimony or other evidence that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was not  part of the  court's factual findings, be sure that you characterize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  <w:sz w:val="21"/>
        </w:rPr>
        <w:t>it</w:t>
      </w:r>
      <w:r>
        <w:rPr>
          <w:color w:val="3B3A3B"/>
          <w:spacing w:val="-16"/>
          <w:w w:val="110"/>
          <w:sz w:val="21"/>
        </w:rPr>
        <w:t> </w:t>
      </w:r>
      <w:r>
        <w:rPr>
          <w:color w:val="3B3A3B"/>
          <w:w w:val="110"/>
        </w:rPr>
        <w:t>appropriately.</w:t>
      </w:r>
    </w:p>
    <w:p>
      <w:pPr>
        <w:pStyle w:val="BodyText"/>
        <w:spacing w:before="2"/>
        <w:rPr>
          <w:sz w:val="35"/>
        </w:rPr>
      </w:pPr>
    </w:p>
    <w:p>
      <w:pPr>
        <w:spacing w:before="0"/>
        <w:ind w:left="461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B3A3B"/>
          <w:w w:val="110"/>
          <w:sz w:val="28"/>
        </w:rPr>
        <w:t>9.2.2</w:t>
      </w:r>
    </w:p>
    <w:p>
      <w:pPr>
        <w:spacing w:before="33"/>
        <w:ind w:left="470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3B3A3B"/>
          <w:spacing w:val="-1"/>
          <w:w w:val="105"/>
          <w:sz w:val="22"/>
        </w:rPr>
        <w:t>ORGANI</w:t>
      </w:r>
      <w:r>
        <w:rPr>
          <w:rFonts w:ascii="Arial"/>
          <w:b/>
          <w:color w:val="5D5D5E"/>
          <w:spacing w:val="-1"/>
          <w:w w:val="105"/>
          <w:sz w:val="22"/>
        </w:rPr>
        <w:t>Z</w:t>
      </w:r>
      <w:r>
        <w:rPr>
          <w:rFonts w:ascii="Arial"/>
          <w:b/>
          <w:color w:val="3B3A3B"/>
          <w:spacing w:val="-1"/>
          <w:w w:val="105"/>
          <w:sz w:val="22"/>
        </w:rPr>
        <w:t>ING</w:t>
      </w:r>
      <w:r>
        <w:rPr>
          <w:rFonts w:ascii="Arial"/>
          <w:b/>
          <w:color w:val="3B3A3B"/>
          <w:spacing w:val="-7"/>
          <w:w w:val="105"/>
          <w:sz w:val="22"/>
        </w:rPr>
        <w:t> </w:t>
      </w:r>
      <w:r>
        <w:rPr>
          <w:rFonts w:ascii="Arial"/>
          <w:b/>
          <w:color w:val="3B3A3B"/>
          <w:spacing w:val="-1"/>
          <w:w w:val="105"/>
          <w:sz w:val="22"/>
        </w:rPr>
        <w:t>THE</w:t>
      </w:r>
      <w:r>
        <w:rPr>
          <w:rFonts w:ascii="Arial"/>
          <w:b/>
          <w:color w:val="3B3A3B"/>
          <w:spacing w:val="-14"/>
          <w:w w:val="105"/>
          <w:sz w:val="22"/>
        </w:rPr>
        <w:t> </w:t>
      </w:r>
      <w:r>
        <w:rPr>
          <w:rFonts w:ascii="Arial"/>
          <w:b/>
          <w:color w:val="3B3A3B"/>
          <w:w w:val="105"/>
          <w:sz w:val="22"/>
        </w:rPr>
        <w:t>FACT</w:t>
      </w:r>
      <w:r>
        <w:rPr>
          <w:rFonts w:ascii="Arial"/>
          <w:b/>
          <w:color w:val="3B3A3B"/>
          <w:spacing w:val="-16"/>
          <w:w w:val="105"/>
          <w:sz w:val="22"/>
        </w:rPr>
        <w:t> </w:t>
      </w:r>
      <w:r>
        <w:rPr>
          <w:rFonts w:ascii="Arial"/>
          <w:b/>
          <w:color w:val="3B3A3B"/>
          <w:w w:val="105"/>
          <w:sz w:val="22"/>
        </w:rPr>
        <w:t>STATEMENT</w:t>
      </w:r>
    </w:p>
    <w:p>
      <w:pPr>
        <w:pStyle w:val="BodyText"/>
        <w:spacing w:line="230" w:lineRule="auto" w:before="142"/>
        <w:ind w:left="140" w:right="304" w:firstLine="337"/>
        <w:jc w:val="both"/>
      </w:pPr>
      <w:r>
        <w:rPr>
          <w:color w:val="3B3A3B"/>
          <w:w w:val="110"/>
        </w:rPr>
        <w:t>A good fact statement begins by providing the reader with the neces­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sary context. Too many writers begin the statement with the first happen­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ing in the case's chain of events, as in the following example from a fact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05"/>
        </w:rPr>
        <w:t>statement</w:t>
      </w:r>
      <w:r>
        <w:rPr>
          <w:color w:val="3B3A3B"/>
          <w:spacing w:val="17"/>
          <w:w w:val="105"/>
        </w:rPr>
        <w:t> </w:t>
      </w:r>
      <w:r>
        <w:rPr>
          <w:color w:val="3B3A3B"/>
          <w:w w:val="105"/>
        </w:rPr>
        <w:t>written</w:t>
      </w:r>
      <w:r>
        <w:rPr>
          <w:color w:val="3B3A3B"/>
          <w:spacing w:val="20"/>
          <w:w w:val="105"/>
        </w:rPr>
        <w:t> </w:t>
      </w:r>
      <w:r>
        <w:rPr>
          <w:color w:val="3B3A3B"/>
          <w:w w:val="105"/>
        </w:rPr>
        <w:t>in</w:t>
      </w:r>
      <w:r>
        <w:rPr>
          <w:color w:val="3B3A3B"/>
          <w:spacing w:val="23"/>
          <w:w w:val="105"/>
        </w:rPr>
        <w:t> </w:t>
      </w:r>
      <w:r>
        <w:rPr>
          <w:color w:val="3B3A3B"/>
          <w:w w:val="105"/>
        </w:rPr>
        <w:t>the</w:t>
      </w:r>
      <w:r>
        <w:rPr>
          <w:color w:val="3B3A3B"/>
          <w:spacing w:val="10"/>
          <w:w w:val="105"/>
        </w:rPr>
        <w:t> </w:t>
      </w:r>
      <w:r>
        <w:rPr>
          <w:color w:val="3B3A3B"/>
          <w:w w:val="105"/>
        </w:rPr>
        <w:t>case</w:t>
      </w:r>
      <w:r>
        <w:rPr>
          <w:color w:val="3B3A3B"/>
          <w:spacing w:val="-9"/>
          <w:w w:val="105"/>
        </w:rPr>
        <w:t> </w:t>
      </w:r>
      <w:r>
        <w:rPr>
          <w:color w:val="3B3A3B"/>
          <w:w w:val="105"/>
        </w:rPr>
        <w:t>of</w:t>
      </w:r>
      <w:r>
        <w:rPr>
          <w:color w:val="3B3A3B"/>
          <w:spacing w:val="8"/>
          <w:w w:val="105"/>
        </w:rPr>
        <w:t> </w:t>
      </w:r>
      <w:r>
        <w:rPr>
          <w:rFonts w:ascii="Arial" w:hAnsi="Arial"/>
          <w:i/>
          <w:color w:val="3B3A3B"/>
          <w:w w:val="105"/>
          <w:sz w:val="21"/>
        </w:rPr>
        <w:t>Rubin</w:t>
      </w:r>
      <w:r>
        <w:rPr>
          <w:rFonts w:ascii="Arial" w:hAnsi="Arial"/>
          <w:i/>
          <w:color w:val="3B3A3B"/>
          <w:spacing w:val="-13"/>
          <w:w w:val="105"/>
          <w:sz w:val="21"/>
        </w:rPr>
        <w:t> </w:t>
      </w:r>
      <w:r>
        <w:rPr>
          <w:rFonts w:ascii="Arial" w:hAnsi="Arial"/>
          <w:i/>
          <w:color w:val="3B3A3B"/>
          <w:w w:val="105"/>
          <w:sz w:val="21"/>
        </w:rPr>
        <w:t>v</w:t>
      </w:r>
      <w:r>
        <w:rPr>
          <w:rFonts w:ascii="Arial" w:hAnsi="Arial"/>
          <w:i/>
          <w:color w:val="5D5D5E"/>
          <w:w w:val="105"/>
          <w:sz w:val="21"/>
        </w:rPr>
        <w:t>.</w:t>
      </w:r>
      <w:r>
        <w:rPr>
          <w:rFonts w:ascii="Arial" w:hAnsi="Arial"/>
          <w:i/>
          <w:color w:val="5D5D5E"/>
          <w:spacing w:val="-20"/>
          <w:w w:val="105"/>
          <w:sz w:val="21"/>
        </w:rPr>
        <w:t> </w:t>
      </w:r>
      <w:r>
        <w:rPr>
          <w:rFonts w:ascii="Arial" w:hAnsi="Arial"/>
          <w:i/>
          <w:color w:val="3B3A3B"/>
          <w:w w:val="105"/>
          <w:sz w:val="21"/>
        </w:rPr>
        <w:t>Coors</w:t>
      </w:r>
      <w:r>
        <w:rPr>
          <w:rFonts w:ascii="Arial" w:hAnsi="Arial"/>
          <w:i/>
          <w:color w:val="3B3A3B"/>
          <w:spacing w:val="-10"/>
          <w:w w:val="105"/>
          <w:sz w:val="21"/>
        </w:rPr>
        <w:t> </w:t>
      </w:r>
      <w:r>
        <w:rPr>
          <w:rFonts w:ascii="Arial" w:hAnsi="Arial"/>
          <w:i/>
          <w:color w:val="3B3A3B"/>
          <w:w w:val="105"/>
          <w:sz w:val="21"/>
        </w:rPr>
        <w:t>Brewing</w:t>
      </w:r>
      <w:r>
        <w:rPr>
          <w:rFonts w:ascii="Arial" w:hAnsi="Arial"/>
          <w:i/>
          <w:color w:val="3B3A3B"/>
          <w:spacing w:val="1"/>
          <w:w w:val="105"/>
          <w:sz w:val="21"/>
        </w:rPr>
        <w:t> </w:t>
      </w:r>
      <w:r>
        <w:rPr>
          <w:color w:val="3B3A3B"/>
          <w:w w:val="105"/>
        </w:rPr>
        <w:t>Co.: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3"/>
        </w:rPr>
      </w:pPr>
    </w:p>
    <w:p>
      <w:pPr>
        <w:spacing w:before="0"/>
        <w:ind w:left="482" w:right="0" w:firstLine="0"/>
        <w:jc w:val="both"/>
        <w:rPr>
          <w:sz w:val="17"/>
        </w:rPr>
      </w:pPr>
      <w:r>
        <w:rPr>
          <w:color w:val="3B3A3B"/>
          <w:w w:val="105"/>
          <w:sz w:val="17"/>
        </w:rPr>
        <w:t>'Clyde</w:t>
      </w:r>
      <w:r>
        <w:rPr>
          <w:color w:val="3B3A3B"/>
          <w:spacing w:val="3"/>
          <w:w w:val="105"/>
          <w:sz w:val="17"/>
        </w:rPr>
        <w:t> </w:t>
      </w:r>
      <w:r>
        <w:rPr>
          <w:color w:val="3B3A3B"/>
          <w:w w:val="105"/>
          <w:sz w:val="17"/>
        </w:rPr>
        <w:t>H.</w:t>
      </w:r>
      <w:r>
        <w:rPr>
          <w:color w:val="3B3A3B"/>
          <w:spacing w:val="-8"/>
          <w:w w:val="105"/>
          <w:sz w:val="17"/>
        </w:rPr>
        <w:t> </w:t>
      </w:r>
      <w:r>
        <w:rPr>
          <w:color w:val="3B3A3B"/>
          <w:w w:val="105"/>
          <w:sz w:val="18"/>
        </w:rPr>
        <w:t>Hamilton,</w:t>
      </w:r>
      <w:r>
        <w:rPr>
          <w:color w:val="3B3A3B"/>
          <w:spacing w:val="23"/>
          <w:w w:val="105"/>
          <w:sz w:val="18"/>
        </w:rPr>
        <w:t> </w:t>
      </w:r>
      <w:r>
        <w:rPr>
          <w:i/>
          <w:color w:val="3B3A3B"/>
          <w:w w:val="105"/>
          <w:sz w:val="17"/>
        </w:rPr>
        <w:t>Effe</w:t>
      </w:r>
      <w:r>
        <w:rPr>
          <w:i/>
          <w:color w:val="5D5D5E"/>
          <w:w w:val="105"/>
          <w:sz w:val="17"/>
        </w:rPr>
        <w:t>c</w:t>
      </w:r>
      <w:r>
        <w:rPr>
          <w:i/>
          <w:color w:val="3B3A3B"/>
          <w:w w:val="105"/>
          <w:sz w:val="17"/>
        </w:rPr>
        <w:t>tive</w:t>
      </w:r>
      <w:r>
        <w:rPr>
          <w:i/>
          <w:color w:val="3B3A3B"/>
          <w:spacing w:val="19"/>
          <w:w w:val="105"/>
          <w:sz w:val="17"/>
        </w:rPr>
        <w:t> </w:t>
      </w:r>
      <w:r>
        <w:rPr>
          <w:i/>
          <w:color w:val="3B3A3B"/>
          <w:w w:val="105"/>
          <w:sz w:val="17"/>
        </w:rPr>
        <w:t>Appell"te</w:t>
      </w:r>
      <w:r>
        <w:rPr>
          <w:i/>
          <w:color w:val="3B3A3B"/>
          <w:spacing w:val="11"/>
          <w:w w:val="105"/>
          <w:sz w:val="17"/>
        </w:rPr>
        <w:t> </w:t>
      </w:r>
      <w:r>
        <w:rPr>
          <w:i/>
          <w:color w:val="3B3A3B"/>
          <w:w w:val="105"/>
          <w:sz w:val="17"/>
        </w:rPr>
        <w:t>Brief</w:t>
      </w:r>
      <w:r>
        <w:rPr>
          <w:i/>
          <w:color w:val="3B3A3B"/>
          <w:spacing w:val="6"/>
          <w:w w:val="105"/>
          <w:sz w:val="17"/>
        </w:rPr>
        <w:t> </w:t>
      </w:r>
      <w:r>
        <w:rPr>
          <w:i/>
          <w:color w:val="3B3A3B"/>
          <w:w w:val="105"/>
          <w:sz w:val="17"/>
        </w:rPr>
        <w:t>Writing,</w:t>
      </w:r>
      <w:r>
        <w:rPr>
          <w:i/>
          <w:color w:val="3B3A3B"/>
          <w:spacing w:val="-13"/>
          <w:w w:val="105"/>
          <w:sz w:val="17"/>
        </w:rPr>
        <w:t> </w:t>
      </w:r>
      <w:r>
        <w:rPr>
          <w:color w:val="3B3A3B"/>
          <w:w w:val="105"/>
          <w:sz w:val="17"/>
        </w:rPr>
        <w:t>50</w:t>
      </w:r>
      <w:r>
        <w:rPr>
          <w:color w:val="3B3A3B"/>
          <w:spacing w:val="12"/>
          <w:w w:val="105"/>
          <w:sz w:val="17"/>
        </w:rPr>
        <w:t> </w:t>
      </w:r>
      <w:r>
        <w:rPr>
          <w:color w:val="3B3A3B"/>
          <w:w w:val="105"/>
          <w:sz w:val="17"/>
        </w:rPr>
        <w:t>S.C</w:t>
      </w:r>
      <w:r>
        <w:rPr>
          <w:color w:val="6E7072"/>
          <w:w w:val="105"/>
          <w:sz w:val="17"/>
        </w:rPr>
        <w:t>.</w:t>
      </w:r>
      <w:r>
        <w:rPr>
          <w:color w:val="6E7072"/>
          <w:spacing w:val="20"/>
          <w:w w:val="105"/>
          <w:sz w:val="17"/>
        </w:rPr>
        <w:t> </w:t>
      </w:r>
      <w:r>
        <w:rPr>
          <w:color w:val="3B3A3B"/>
          <w:w w:val="105"/>
          <w:sz w:val="17"/>
        </w:rPr>
        <w:t>L.</w:t>
      </w:r>
      <w:r>
        <w:rPr>
          <w:color w:val="3B3A3B"/>
          <w:spacing w:val="11"/>
          <w:w w:val="105"/>
          <w:sz w:val="17"/>
        </w:rPr>
        <w:t> </w:t>
      </w:r>
      <w:r>
        <w:rPr>
          <w:color w:val="3B3A3B"/>
          <w:w w:val="105"/>
          <w:sz w:val="18"/>
        </w:rPr>
        <w:t>Rev.</w:t>
      </w:r>
      <w:r>
        <w:rPr>
          <w:color w:val="3B3A3B"/>
          <w:spacing w:val="-2"/>
          <w:w w:val="105"/>
          <w:sz w:val="18"/>
        </w:rPr>
        <w:t> </w:t>
      </w:r>
      <w:r>
        <w:rPr>
          <w:color w:val="3B3A3B"/>
          <w:w w:val="105"/>
          <w:sz w:val="17"/>
        </w:rPr>
        <w:t>58</w:t>
      </w:r>
      <w:r>
        <w:rPr>
          <w:color w:val="3B3A3B"/>
          <w:spacing w:val="24"/>
          <w:w w:val="105"/>
          <w:sz w:val="17"/>
        </w:rPr>
        <w:t> </w:t>
      </w:r>
      <w:r>
        <w:rPr>
          <w:color w:val="3B3A3B"/>
          <w:w w:val="105"/>
          <w:sz w:val="17"/>
        </w:rPr>
        <w:t>l, </w:t>
      </w:r>
      <w:r>
        <w:rPr>
          <w:color w:val="3B3A3B"/>
          <w:spacing w:val="27"/>
          <w:w w:val="105"/>
          <w:sz w:val="17"/>
        </w:rPr>
        <w:t> </w:t>
      </w:r>
      <w:r>
        <w:rPr>
          <w:color w:val="3B3A3B"/>
          <w:w w:val="105"/>
          <w:sz w:val="17"/>
        </w:rPr>
        <w:t>586 </w:t>
      </w:r>
      <w:r>
        <w:rPr>
          <w:color w:val="3B3A3B"/>
          <w:spacing w:val="29"/>
          <w:w w:val="105"/>
          <w:sz w:val="17"/>
        </w:rPr>
        <w:t> </w:t>
      </w:r>
      <w:r>
        <w:rPr>
          <w:color w:val="3B3A3B"/>
          <w:w w:val="105"/>
          <w:sz w:val="17"/>
        </w:rPr>
        <w:t>(1999).</w:t>
      </w:r>
    </w:p>
    <w:p>
      <w:pPr>
        <w:spacing w:after="0"/>
        <w:jc w:val="both"/>
        <w:rPr>
          <w:sz w:val="17"/>
        </w:rPr>
        <w:sectPr>
          <w:headerReference w:type="default" r:id="rId230"/>
          <w:headerReference w:type="even" r:id="rId231"/>
          <w:pgSz w:w="9730" w:h="13960"/>
          <w:pgMar w:header="601" w:footer="0" w:top="660" w:bottom="0" w:left="340" w:right="1340"/>
          <w:pgNumType w:start="201"/>
        </w:sectPr>
      </w:pPr>
    </w:p>
    <w:p>
      <w:pPr>
        <w:spacing w:before="83"/>
        <w:ind w:left="860" w:right="0" w:firstLine="0"/>
        <w:jc w:val="both"/>
        <w:rPr>
          <w:b/>
          <w:sz w:val="16"/>
        </w:rPr>
      </w:pPr>
      <w:r>
        <w:rPr>
          <w:color w:val="383638"/>
          <w:spacing w:val="-1"/>
          <w:w w:val="135"/>
          <w:sz w:val="16"/>
          <w:u w:val="thick" w:color="383638"/>
        </w:rPr>
        <w:t>-\;/</w:t>
      </w:r>
      <w:r>
        <w:rPr>
          <w:color w:val="383638"/>
          <w:spacing w:val="-6"/>
          <w:w w:val="135"/>
          <w:sz w:val="16"/>
        </w:rPr>
        <w:t> </w:t>
      </w:r>
      <w:r>
        <w:rPr>
          <w:b/>
          <w:color w:val="383638"/>
          <w:sz w:val="16"/>
          <w:u w:val="thick" w:color="383638"/>
        </w:rPr>
        <w:t>BAO</w:t>
      </w:r>
      <w:r>
        <w:rPr>
          <w:b/>
          <w:color w:val="383638"/>
          <w:spacing w:val="-9"/>
          <w:sz w:val="16"/>
          <w:u w:val="thick" w:color="383638"/>
        </w:rPr>
        <w:t> </w:t>
      </w:r>
      <w:r>
        <w:rPr>
          <w:b/>
          <w:color w:val="383638"/>
          <w:sz w:val="16"/>
          <w:u w:val="thick" w:color="383638"/>
        </w:rPr>
        <w:t>EXAMPLE</w:t>
      </w:r>
    </w:p>
    <w:p>
      <w:pPr>
        <w:spacing w:line="240" w:lineRule="auto" w:before="49"/>
        <w:ind w:left="1258" w:right="426" w:firstLine="9"/>
        <w:jc w:val="both"/>
        <w:rPr>
          <w:b/>
          <w:sz w:val="20"/>
        </w:rPr>
      </w:pPr>
      <w:r>
        <w:rPr>
          <w:b/>
          <w:color w:val="383638"/>
          <w:w w:val="110"/>
          <w:sz w:val="21"/>
        </w:rPr>
        <w:t>In 1987, Coors Brewing Company submitted an application to the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05"/>
          <w:sz w:val="21"/>
        </w:rPr>
        <w:t>Bureau of Alcohol, Tobacco and Firearms requesting approval for the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10"/>
          <w:sz w:val="21"/>
        </w:rPr>
        <w:t>labels that disclosed the alcohol content of their Coors and Coors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Light</w:t>
      </w:r>
      <w:r>
        <w:rPr>
          <w:b/>
          <w:color w:val="383638"/>
          <w:spacing w:val="2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Beers.</w:t>
      </w:r>
      <w:r>
        <w:rPr>
          <w:b/>
          <w:color w:val="383638"/>
          <w:spacing w:val="-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App.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0"/>
        </w:rPr>
        <w:t>60-65.</w:t>
      </w:r>
    </w:p>
    <w:p>
      <w:pPr>
        <w:pStyle w:val="BodyText"/>
        <w:spacing w:before="123"/>
        <w:ind w:left="878" w:right="109" w:firstLine="15"/>
        <w:jc w:val="both"/>
      </w:pPr>
      <w:r>
        <w:rPr>
          <w:color w:val="383638"/>
          <w:w w:val="110"/>
        </w:rPr>
        <w:t>Although this sentence makes reference to the controversy-whether beer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5"/>
        </w:rPr>
        <w:t>manufacturers</w:t>
      </w:r>
      <w:r>
        <w:rPr>
          <w:color w:val="383638"/>
          <w:spacing w:val="-13"/>
          <w:w w:val="115"/>
        </w:rPr>
        <w:t> </w:t>
      </w:r>
      <w:r>
        <w:rPr>
          <w:color w:val="383638"/>
          <w:w w:val="115"/>
        </w:rPr>
        <w:t>can</w:t>
      </w:r>
      <w:r>
        <w:rPr>
          <w:color w:val="383638"/>
          <w:spacing w:val="8"/>
          <w:w w:val="115"/>
        </w:rPr>
        <w:t> </w:t>
      </w:r>
      <w:r>
        <w:rPr>
          <w:color w:val="383638"/>
          <w:w w:val="115"/>
        </w:rPr>
        <w:t>put</w:t>
      </w:r>
      <w:r>
        <w:rPr>
          <w:color w:val="383638"/>
          <w:spacing w:val="-1"/>
          <w:w w:val="115"/>
        </w:rPr>
        <w:t> </w:t>
      </w:r>
      <w:r>
        <w:rPr>
          <w:color w:val="383638"/>
          <w:w w:val="115"/>
        </w:rPr>
        <w:t>alcohol</w:t>
      </w:r>
      <w:r>
        <w:rPr>
          <w:color w:val="383638"/>
          <w:spacing w:val="-10"/>
          <w:w w:val="115"/>
        </w:rPr>
        <w:t> </w:t>
      </w:r>
      <w:r>
        <w:rPr>
          <w:color w:val="383638"/>
          <w:w w:val="115"/>
        </w:rPr>
        <w:t>content</w:t>
      </w:r>
      <w:r>
        <w:rPr>
          <w:color w:val="383638"/>
          <w:spacing w:val="-13"/>
          <w:w w:val="115"/>
        </w:rPr>
        <w:t> </w:t>
      </w:r>
      <w:r>
        <w:rPr>
          <w:color w:val="383638"/>
          <w:w w:val="115"/>
        </w:rPr>
        <w:t>on</w:t>
      </w:r>
      <w:r>
        <w:rPr>
          <w:color w:val="383638"/>
          <w:spacing w:val="-4"/>
          <w:w w:val="115"/>
        </w:rPr>
        <w:t> </w:t>
      </w:r>
      <w:r>
        <w:rPr>
          <w:color w:val="383638"/>
          <w:w w:val="115"/>
        </w:rPr>
        <w:t>their</w:t>
      </w:r>
      <w:r>
        <w:rPr>
          <w:color w:val="383638"/>
          <w:spacing w:val="-16"/>
          <w:w w:val="115"/>
        </w:rPr>
        <w:t> </w:t>
      </w:r>
      <w:r>
        <w:rPr>
          <w:color w:val="383638"/>
          <w:w w:val="115"/>
        </w:rPr>
        <w:t>labels-it</w:t>
      </w:r>
      <w:r>
        <w:rPr>
          <w:color w:val="383638"/>
          <w:spacing w:val="-12"/>
          <w:w w:val="115"/>
        </w:rPr>
        <w:t> </w:t>
      </w:r>
      <w:r>
        <w:rPr>
          <w:color w:val="383638"/>
          <w:w w:val="115"/>
        </w:rPr>
        <w:t>does</w:t>
      </w:r>
      <w:r>
        <w:rPr>
          <w:color w:val="383638"/>
          <w:spacing w:val="-14"/>
          <w:w w:val="115"/>
        </w:rPr>
        <w:t> </w:t>
      </w:r>
      <w:r>
        <w:rPr>
          <w:color w:val="383638"/>
          <w:w w:val="115"/>
        </w:rPr>
        <w:t>not</w:t>
      </w:r>
      <w:r>
        <w:rPr>
          <w:color w:val="383638"/>
          <w:spacing w:val="-8"/>
          <w:w w:val="115"/>
        </w:rPr>
        <w:t> </w:t>
      </w:r>
      <w:r>
        <w:rPr>
          <w:color w:val="383638"/>
          <w:w w:val="115"/>
        </w:rPr>
        <w:t>iden­</w:t>
      </w:r>
      <w:r>
        <w:rPr>
          <w:color w:val="383638"/>
          <w:spacing w:val="-63"/>
          <w:w w:val="115"/>
        </w:rPr>
        <w:t> </w:t>
      </w:r>
      <w:r>
        <w:rPr>
          <w:color w:val="383638"/>
          <w:w w:val="105"/>
          <w:sz w:val="22"/>
        </w:rPr>
        <w:t>tify </w:t>
      </w:r>
      <w:r>
        <w:rPr>
          <w:color w:val="383638"/>
          <w:w w:val="105"/>
        </w:rPr>
        <w:t>the controversy for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reader. The following example provides better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5"/>
        </w:rPr>
        <w:t>context:</w:t>
      </w:r>
    </w:p>
    <w:p>
      <w:pPr>
        <w:pStyle w:val="BodyText"/>
        <w:spacing w:before="10"/>
        <w:rPr>
          <w:sz w:val="15"/>
        </w:rPr>
      </w:pPr>
    </w:p>
    <w:p>
      <w:pPr>
        <w:spacing w:before="0"/>
        <w:ind w:left="889" w:right="0" w:firstLine="0"/>
        <w:jc w:val="both"/>
        <w:rPr>
          <w:b/>
          <w:sz w:val="16"/>
        </w:rPr>
      </w:pPr>
      <w:r>
        <w:rPr>
          <w:rFonts w:ascii="Arial"/>
          <w:color w:val="383638"/>
          <w:w w:val="95"/>
          <w:sz w:val="15"/>
          <w:u w:val="thick" w:color="383638"/>
        </w:rPr>
        <w:t>_/\</w:t>
      </w:r>
      <w:r>
        <w:rPr>
          <w:rFonts w:ascii="Arial"/>
          <w:color w:val="383638"/>
          <w:spacing w:val="96"/>
          <w:sz w:val="15"/>
          <w:u w:val="thick" w:color="383638"/>
        </w:rPr>
        <w:t> </w:t>
      </w:r>
      <w:r>
        <w:rPr>
          <w:rFonts w:ascii="Arial"/>
          <w:color w:val="383638"/>
          <w:w w:val="95"/>
          <w:sz w:val="15"/>
          <w:u w:val="thick" w:color="383638"/>
        </w:rPr>
        <w:t>GOOD</w:t>
      </w:r>
      <w:r>
        <w:rPr>
          <w:rFonts w:ascii="Arial"/>
          <w:color w:val="383638"/>
          <w:spacing w:val="-5"/>
          <w:w w:val="95"/>
          <w:sz w:val="15"/>
          <w:u w:val="thick" w:color="383638"/>
        </w:rPr>
        <w:t> </w:t>
      </w:r>
      <w:r>
        <w:rPr>
          <w:b/>
          <w:color w:val="383638"/>
          <w:w w:val="95"/>
          <w:sz w:val="16"/>
          <w:u w:val="thick" w:color="383638"/>
        </w:rPr>
        <w:t>EXAMPLE</w:t>
      </w:r>
    </w:p>
    <w:p>
      <w:pPr>
        <w:spacing w:line="237" w:lineRule="auto" w:before="80"/>
        <w:ind w:left="1226" w:right="433" w:firstLine="11"/>
        <w:jc w:val="both"/>
        <w:rPr>
          <w:b/>
          <w:sz w:val="21"/>
        </w:rPr>
      </w:pPr>
      <w:r>
        <w:rPr>
          <w:color w:val="383638"/>
          <w:w w:val="110"/>
          <w:sz w:val="21"/>
        </w:rPr>
        <w:t>This Court is being </w:t>
      </w:r>
      <w:r>
        <w:rPr>
          <w:b/>
          <w:color w:val="383638"/>
          <w:w w:val="110"/>
          <w:sz w:val="21"/>
        </w:rPr>
        <w:t>asked </w:t>
      </w:r>
      <w:r>
        <w:rPr>
          <w:color w:val="383638"/>
          <w:w w:val="110"/>
          <w:sz w:val="21"/>
        </w:rPr>
        <w:t>to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affirm a decision of the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Ninth Circuit</w:t>
      </w:r>
      <w:r>
        <w:rPr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05"/>
          <w:sz w:val="21"/>
        </w:rPr>
        <w:t>Court of Appeals that found that 27 U</w:t>
      </w:r>
      <w:r>
        <w:rPr>
          <w:b/>
          <w:color w:val="545456"/>
          <w:w w:val="105"/>
          <w:sz w:val="21"/>
        </w:rPr>
        <w:t>.</w:t>
      </w:r>
      <w:r>
        <w:rPr>
          <w:b/>
          <w:color w:val="383638"/>
          <w:w w:val="105"/>
          <w:sz w:val="21"/>
        </w:rPr>
        <w:t>S.C. §§205(e)(2) and 205(f)(2)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violate the First Amendment to the United States Constitution. Those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10"/>
          <w:sz w:val="21"/>
        </w:rPr>
        <w:t>provisions prohibit labels or advertisements disclosing the alcohol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05"/>
          <w:sz w:val="21"/>
        </w:rPr>
        <w:t>content</w:t>
      </w:r>
      <w:r>
        <w:rPr>
          <w:b/>
          <w:color w:val="383638"/>
          <w:spacing w:val="4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of</w:t>
      </w:r>
      <w:r>
        <w:rPr>
          <w:b/>
          <w:color w:val="383638"/>
          <w:spacing w:val="29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malt</w:t>
      </w:r>
      <w:r>
        <w:rPr>
          <w:b/>
          <w:color w:val="383638"/>
          <w:spacing w:val="4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beverages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unless</w:t>
      </w:r>
      <w:r>
        <w:rPr>
          <w:b/>
          <w:color w:val="383638"/>
          <w:spacing w:val="-6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disclosure</w:t>
      </w:r>
      <w:r>
        <w:rPr>
          <w:b/>
          <w:color w:val="383638"/>
          <w:spacing w:val="6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is required</w:t>
      </w:r>
      <w:r>
        <w:rPr>
          <w:b/>
          <w:color w:val="383638"/>
          <w:spacing w:val="13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by</w:t>
      </w:r>
      <w:r>
        <w:rPr>
          <w:b/>
          <w:color w:val="383638"/>
          <w:spacing w:val="29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state law.</w:t>
      </w:r>
    </w:p>
    <w:p>
      <w:pPr>
        <w:pStyle w:val="BodyText"/>
        <w:spacing w:line="235" w:lineRule="auto" w:before="137"/>
        <w:ind w:left="858" w:right="114" w:firstLine="1"/>
        <w:jc w:val="both"/>
      </w:pPr>
      <w:r>
        <w:rPr>
          <w:color w:val="383638"/>
          <w:spacing w:val="-1"/>
          <w:w w:val="110"/>
        </w:rPr>
        <w:t>These two sentences set both the procedural </w:t>
      </w:r>
      <w:r>
        <w:rPr>
          <w:color w:val="383638"/>
          <w:w w:val="110"/>
        </w:rPr>
        <w:t>and legal context, and better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05"/>
        </w:rPr>
        <w:t>enable the reader </w:t>
      </w:r>
      <w:r>
        <w:rPr>
          <w:color w:val="2A2628"/>
          <w:w w:val="105"/>
        </w:rPr>
        <w:t>to </w:t>
      </w:r>
      <w:r>
        <w:rPr>
          <w:color w:val="383638"/>
          <w:w w:val="105"/>
        </w:rPr>
        <w:t>understand the significance of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rest of the informa­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tion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statement.</w:t>
      </w:r>
    </w:p>
    <w:p>
      <w:pPr>
        <w:pStyle w:val="BodyText"/>
        <w:spacing w:line="235" w:lineRule="auto"/>
        <w:ind w:left="762" w:right="108" w:firstLine="449"/>
        <w:jc w:val="both"/>
      </w:pPr>
      <w:r>
        <w:rPr>
          <w:color w:val="383638"/>
          <w:w w:val="110"/>
        </w:rPr>
        <w:t>After providing context, the writer must decide how to organize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rest of the fact statement. Although chronological organization is often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favored, sometimes a topical organization is more effective. For exam­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ple, in </w:t>
      </w:r>
      <w:r>
        <w:rPr>
          <w:i/>
          <w:color w:val="383638"/>
          <w:w w:val="105"/>
          <w:sz w:val="22"/>
        </w:rPr>
        <w:t>Locke v. Davey, </w:t>
      </w:r>
      <w:r>
        <w:rPr>
          <w:color w:val="383638"/>
          <w:w w:val="105"/>
        </w:rPr>
        <w:t>540 U.S. 712 (2004), the Court was asked to decide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whether a state scholarship program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could  refuse to  grant a scholarship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 a student because he was studying for the ministry. The state consti­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tution forbade funding religious education. The writer could combine a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chronological organization and a topical organization, beginning with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enactment of the constitution, moving to the creation of the scholarship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program,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then ending on the facts leading up to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respondent's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challenge. In the alternative, the writer could begin with the respondent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being denied a scholarship,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use that denial to set the stage for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other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facts.</w:t>
      </w:r>
    </w:p>
    <w:p>
      <w:pPr>
        <w:pStyle w:val="BodyText"/>
        <w:spacing w:line="228" w:lineRule="auto"/>
        <w:ind w:left="734" w:right="132" w:firstLine="391"/>
        <w:jc w:val="both"/>
      </w:pPr>
      <w:r>
        <w:rPr>
          <w:color w:val="383638"/>
          <w:w w:val="105"/>
        </w:rPr>
        <w:t>You may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have strategic reasons for choosing or avoiding chronological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organization.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  <w:sz w:val="22"/>
        </w:rPr>
        <w:t>If</w:t>
      </w:r>
      <w:r>
        <w:rPr>
          <w:color w:val="383638"/>
          <w:spacing w:val="17"/>
          <w:w w:val="110"/>
          <w:sz w:val="22"/>
        </w:rPr>
        <w:t> </w:t>
      </w:r>
      <w:r>
        <w:rPr>
          <w:color w:val="383638"/>
          <w:w w:val="110"/>
        </w:rPr>
        <w:t>causation</w:t>
      </w:r>
      <w:r>
        <w:rPr>
          <w:color w:val="383638"/>
          <w:spacing w:val="26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at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issue,</w:t>
      </w:r>
      <w:r>
        <w:rPr>
          <w:color w:val="383638"/>
          <w:spacing w:val="25"/>
          <w:w w:val="110"/>
        </w:rPr>
        <w:t> </w:t>
      </w:r>
      <w:r>
        <w:rPr>
          <w:color w:val="383638"/>
          <w:w w:val="110"/>
        </w:rPr>
        <w:t>presenting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information</w:t>
      </w:r>
      <w:r>
        <w:rPr>
          <w:color w:val="383638"/>
          <w:spacing w:val="29"/>
          <w:w w:val="110"/>
        </w:rPr>
        <w:t> </w:t>
      </w:r>
      <w:r>
        <w:rPr>
          <w:color w:val="383638"/>
          <w:w w:val="110"/>
        </w:rPr>
        <w:t>chronologi­</w:t>
      </w:r>
    </w:p>
    <w:p>
      <w:pPr>
        <w:pStyle w:val="BodyText"/>
        <w:spacing w:line="230" w:lineRule="auto"/>
        <w:ind w:left="710" w:right="120" w:firstLine="23"/>
        <w:jc w:val="both"/>
      </w:pPr>
      <w:r>
        <w:rPr>
          <w:color w:val="383638"/>
          <w:w w:val="110"/>
        </w:rPr>
        <w:t>cally may send the implicit message that the events that occur</w:t>
      </w:r>
      <w:r>
        <w:rPr>
          <w:color w:val="545456"/>
          <w:w w:val="110"/>
        </w:rPr>
        <w:t>r</w:t>
      </w:r>
      <w:r>
        <w:rPr>
          <w:color w:val="383638"/>
          <w:w w:val="110"/>
        </w:rPr>
        <w:t>ed earlier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caused the events that occurred </w:t>
      </w:r>
      <w:r>
        <w:rPr>
          <w:color w:val="2A2628"/>
          <w:w w:val="110"/>
        </w:rPr>
        <w:t>later. </w:t>
      </w:r>
      <w:r>
        <w:rPr>
          <w:color w:val="383638"/>
          <w:w w:val="110"/>
          <w:sz w:val="22"/>
        </w:rPr>
        <w:t>If </w:t>
      </w:r>
      <w:r>
        <w:rPr>
          <w:color w:val="383638"/>
          <w:w w:val="110"/>
        </w:rPr>
        <w:t>you do </w:t>
      </w:r>
      <w:r>
        <w:rPr>
          <w:i/>
          <w:color w:val="383638"/>
          <w:w w:val="110"/>
        </w:rPr>
        <w:t>not </w:t>
      </w:r>
      <w:r>
        <w:rPr>
          <w:color w:val="383638"/>
          <w:w w:val="110"/>
        </w:rPr>
        <w:t>want to send that mes­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sage, present the </w:t>
      </w:r>
      <w:r>
        <w:rPr>
          <w:color w:val="2A2628"/>
          <w:w w:val="110"/>
        </w:rPr>
        <w:t>later </w:t>
      </w:r>
      <w:r>
        <w:rPr>
          <w:color w:val="383638"/>
          <w:w w:val="110"/>
        </w:rPr>
        <w:t>events first (using topical headings as needed)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then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move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back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earlier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events.</w:t>
      </w:r>
    </w:p>
    <w:p>
      <w:pPr>
        <w:pStyle w:val="BodyText"/>
        <w:spacing w:line="230" w:lineRule="auto"/>
        <w:ind w:left="628" w:right="114" w:firstLine="447"/>
        <w:jc w:val="both"/>
      </w:pPr>
      <w:r>
        <w:rPr>
          <w:color w:val="383638"/>
          <w:w w:val="110"/>
        </w:rPr>
        <w:t>When deciding how to organize the  fact statement,  try to identify a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set of  topics that you can use as an organizing principle, whether or </w:t>
      </w:r>
      <w:r>
        <w:rPr>
          <w:color w:val="2A2628"/>
          <w:w w:val="110"/>
        </w:rPr>
        <w:t>not</w:t>
      </w:r>
      <w:r>
        <w:rPr>
          <w:color w:val="2A2628"/>
          <w:spacing w:val="1"/>
          <w:w w:val="110"/>
        </w:rPr>
        <w:t> </w:t>
      </w:r>
      <w:r>
        <w:rPr>
          <w:color w:val="383638"/>
          <w:w w:val="110"/>
        </w:rPr>
        <w:t>you ultimately discuss those </w:t>
      </w:r>
      <w:r>
        <w:rPr>
          <w:color w:val="2A2628"/>
          <w:w w:val="110"/>
        </w:rPr>
        <w:t>topics </w:t>
      </w:r>
      <w:r>
        <w:rPr>
          <w:color w:val="383638"/>
          <w:w w:val="110"/>
        </w:rPr>
        <w:t>chronologically. Identifying topics can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allow you to create topical headings within the statement; headings are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particularly helpful if the statement is long. Although the writer must pro­</w:t>
      </w:r>
      <w:r>
        <w:rPr>
          <w:color w:val="383638"/>
          <w:spacing w:val="1"/>
          <w:w w:val="110"/>
        </w:rPr>
        <w:t> </w:t>
      </w:r>
      <w:r>
        <w:rPr>
          <w:rFonts w:ascii="Arial" w:hAnsi="Arial"/>
          <w:i/>
          <w:color w:val="383638"/>
          <w:w w:val="110"/>
          <w:sz w:val="21"/>
        </w:rPr>
        <w:t>vide</w:t>
      </w:r>
      <w:r>
        <w:rPr>
          <w:rFonts w:ascii="Arial" w:hAnsi="Arial"/>
          <w:i/>
          <w:color w:val="383638"/>
          <w:spacing w:val="18"/>
          <w:w w:val="110"/>
          <w:sz w:val="21"/>
        </w:rPr>
        <w:t> </w:t>
      </w:r>
      <w:r>
        <w:rPr>
          <w:color w:val="383638"/>
          <w:w w:val="110"/>
        </w:rPr>
        <w:t>procedural</w:t>
      </w:r>
      <w:r>
        <w:rPr>
          <w:color w:val="383638"/>
          <w:spacing w:val="33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well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25"/>
          <w:w w:val="110"/>
        </w:rPr>
        <w:t> </w:t>
      </w:r>
      <w:r>
        <w:rPr>
          <w:color w:val="383638"/>
          <w:w w:val="110"/>
        </w:rPr>
        <w:t>"factual"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information,</w:t>
      </w:r>
      <w:r>
        <w:rPr>
          <w:color w:val="383638"/>
          <w:spacing w:val="44"/>
          <w:w w:val="110"/>
        </w:rPr>
        <w:t> </w:t>
      </w:r>
      <w:r>
        <w:rPr>
          <w:color w:val="383638"/>
          <w:w w:val="110"/>
        </w:rPr>
        <w:t>there</w:t>
      </w:r>
      <w:r>
        <w:rPr>
          <w:color w:val="383638"/>
          <w:spacing w:val="14"/>
          <w:w w:val="110"/>
        </w:rPr>
        <w:t> </w:t>
      </w:r>
      <w:r>
        <w:rPr>
          <w:rFonts w:ascii="Arial" w:hAnsi="Arial"/>
          <w:i/>
          <w:color w:val="383638"/>
          <w:w w:val="110"/>
          <w:sz w:val="21"/>
        </w:rPr>
        <w:t>is</w:t>
      </w:r>
      <w:r>
        <w:rPr>
          <w:rFonts w:ascii="Arial" w:hAnsi="Arial"/>
          <w:i/>
          <w:color w:val="383638"/>
          <w:spacing w:val="21"/>
          <w:w w:val="110"/>
          <w:sz w:val="21"/>
        </w:rPr>
        <w:t> </w:t>
      </w:r>
      <w:r>
        <w:rPr>
          <w:color w:val="383638"/>
          <w:w w:val="110"/>
        </w:rPr>
        <w:t>no</w:t>
      </w:r>
      <w:r>
        <w:rPr>
          <w:color w:val="383638"/>
          <w:spacing w:val="35"/>
          <w:w w:val="110"/>
        </w:rPr>
        <w:t> </w:t>
      </w:r>
      <w:r>
        <w:rPr>
          <w:color w:val="383638"/>
          <w:w w:val="110"/>
        </w:rPr>
        <w:t>requirement</w:t>
      </w:r>
    </w:p>
    <w:p>
      <w:pPr>
        <w:spacing w:after="0" w:line="230" w:lineRule="auto"/>
        <w:jc w:val="both"/>
        <w:sectPr>
          <w:pgSz w:w="9880" w:h="13980"/>
          <w:pgMar w:header="620" w:footer="0" w:top="1260" w:bottom="280" w:left="138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32" w:lineRule="auto" w:before="1"/>
        <w:ind w:left="116" w:right="547"/>
        <w:jc w:val="both"/>
      </w:pPr>
      <w:r>
        <w:rPr>
          <w:color w:val="3A383A"/>
          <w:w w:val="110"/>
        </w:rPr>
        <w:t>as</w:t>
      </w:r>
      <w:r>
        <w:rPr>
          <w:color w:val="3A383A"/>
          <w:spacing w:val="-41"/>
          <w:w w:val="110"/>
        </w:rPr>
        <w:t> </w:t>
      </w:r>
      <w:r>
        <w:rPr>
          <w:color w:val="3A383A"/>
          <w:w w:val="110"/>
        </w:rPr>
        <w:t>to</w:t>
      </w:r>
      <w:r>
        <w:rPr>
          <w:color w:val="3A383A"/>
          <w:spacing w:val="-2"/>
          <w:w w:val="110"/>
        </w:rPr>
        <w:t> </w:t>
      </w:r>
      <w:r>
        <w:rPr>
          <w:color w:val="3A383A"/>
          <w:w w:val="110"/>
        </w:rPr>
        <w:t>where</w:t>
      </w:r>
      <w:r>
        <w:rPr>
          <w:color w:val="3A383A"/>
          <w:spacing w:val="-18"/>
          <w:w w:val="110"/>
        </w:rPr>
        <w:t> </w:t>
      </w:r>
      <w:r>
        <w:rPr>
          <w:color w:val="3A383A"/>
          <w:w w:val="110"/>
        </w:rPr>
        <w:t>in</w:t>
      </w:r>
      <w:r>
        <w:rPr>
          <w:color w:val="3A383A"/>
          <w:spacing w:val="15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22"/>
          <w:w w:val="110"/>
        </w:rPr>
        <w:t> </w:t>
      </w:r>
      <w:r>
        <w:rPr>
          <w:color w:val="3A383A"/>
          <w:w w:val="110"/>
        </w:rPr>
        <w:t>fact</w:t>
      </w:r>
      <w:r>
        <w:rPr>
          <w:color w:val="3A383A"/>
          <w:spacing w:val="-18"/>
          <w:w w:val="110"/>
        </w:rPr>
        <w:t> </w:t>
      </w:r>
      <w:r>
        <w:rPr>
          <w:color w:val="3A383A"/>
          <w:w w:val="110"/>
        </w:rPr>
        <w:t>statement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this</w:t>
      </w:r>
      <w:r>
        <w:rPr>
          <w:color w:val="3A383A"/>
          <w:spacing w:val="-12"/>
          <w:w w:val="110"/>
        </w:rPr>
        <w:t> </w:t>
      </w:r>
      <w:r>
        <w:rPr>
          <w:color w:val="3A383A"/>
          <w:w w:val="110"/>
        </w:rPr>
        <w:t>information</w:t>
      </w:r>
      <w:r>
        <w:rPr>
          <w:color w:val="3A383A"/>
          <w:spacing w:val="19"/>
          <w:w w:val="110"/>
        </w:rPr>
        <w:t> </w:t>
      </w:r>
      <w:r>
        <w:rPr>
          <w:color w:val="3A383A"/>
          <w:w w:val="110"/>
        </w:rPr>
        <w:t>must</w:t>
      </w:r>
      <w:r>
        <w:rPr>
          <w:color w:val="3A383A"/>
          <w:spacing w:val="-10"/>
          <w:w w:val="110"/>
        </w:rPr>
        <w:t> </w:t>
      </w:r>
      <w:r>
        <w:rPr>
          <w:color w:val="3A383A"/>
          <w:w w:val="110"/>
        </w:rPr>
        <w:t>be</w:t>
      </w:r>
      <w:r>
        <w:rPr>
          <w:color w:val="3A383A"/>
          <w:spacing w:val="-18"/>
          <w:w w:val="110"/>
        </w:rPr>
        <w:t> </w:t>
      </w:r>
      <w:r>
        <w:rPr>
          <w:color w:val="3A383A"/>
          <w:w w:val="110"/>
        </w:rPr>
        <w:t>included.</w:t>
      </w:r>
      <w:r>
        <w:rPr>
          <w:color w:val="3A383A"/>
          <w:spacing w:val="-18"/>
          <w:w w:val="110"/>
        </w:rPr>
        <w:t> </w:t>
      </w:r>
      <w:r>
        <w:rPr>
          <w:color w:val="3A383A"/>
          <w:w w:val="110"/>
        </w:rPr>
        <w:t>Some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writers provide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information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about court proceedings immediately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after giving context; others progress chronologically from the facts that</w:t>
      </w:r>
      <w:r>
        <w:rPr>
          <w:color w:val="3A383A"/>
          <w:spacing w:val="1"/>
          <w:w w:val="110"/>
        </w:rPr>
        <w:t> </w:t>
      </w:r>
      <w:r>
        <w:rPr>
          <w:color w:val="3A383A"/>
          <w:spacing w:val="-1"/>
          <w:w w:val="110"/>
        </w:rPr>
        <w:t>happened "in the world" to the facts </w:t>
      </w:r>
      <w:r>
        <w:rPr>
          <w:color w:val="3A383A"/>
          <w:w w:val="110"/>
        </w:rPr>
        <w:t>that happened in court</w:t>
      </w:r>
      <w:r>
        <w:rPr>
          <w:color w:val="565657"/>
          <w:w w:val="110"/>
        </w:rPr>
        <w:t>. </w:t>
      </w:r>
      <w:r>
        <w:rPr>
          <w:color w:val="3A383A"/>
          <w:w w:val="110"/>
        </w:rPr>
        <w:t>Finally, some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0"/>
        </w:rPr>
        <w:t>writers include internal headings to separate their "statement of the case"</w:t>
      </w:r>
      <w:r>
        <w:rPr>
          <w:color w:val="3A383A"/>
          <w:spacing w:val="-61"/>
          <w:w w:val="110"/>
        </w:rPr>
        <w:t> </w:t>
      </w:r>
      <w:r>
        <w:rPr>
          <w:color w:val="3A383A"/>
          <w:spacing w:val="-1"/>
          <w:w w:val="110"/>
        </w:rPr>
        <w:t>(including</w:t>
      </w:r>
      <w:r>
        <w:rPr>
          <w:color w:val="3A383A"/>
          <w:spacing w:val="1"/>
          <w:w w:val="110"/>
        </w:rPr>
        <w:t> </w:t>
      </w:r>
      <w:r>
        <w:rPr>
          <w:color w:val="3A383A"/>
          <w:spacing w:val="-1"/>
          <w:w w:val="110"/>
        </w:rPr>
        <w:t>procedural</w:t>
      </w:r>
      <w:r>
        <w:rPr>
          <w:color w:val="3A383A"/>
          <w:spacing w:val="-10"/>
          <w:w w:val="110"/>
        </w:rPr>
        <w:t> </w:t>
      </w:r>
      <w:r>
        <w:rPr>
          <w:color w:val="3A383A"/>
          <w:spacing w:val="-1"/>
          <w:w w:val="110"/>
        </w:rPr>
        <w:t>information) </w:t>
      </w:r>
      <w:r>
        <w:rPr>
          <w:color w:val="3A383A"/>
          <w:w w:val="110"/>
        </w:rPr>
        <w:t>from</w:t>
      </w:r>
      <w:r>
        <w:rPr>
          <w:color w:val="3A383A"/>
          <w:spacing w:val="-11"/>
          <w:w w:val="110"/>
        </w:rPr>
        <w:t> </w:t>
      </w:r>
      <w:r>
        <w:rPr>
          <w:color w:val="3A383A"/>
          <w:w w:val="110"/>
        </w:rPr>
        <w:t>their</w:t>
      </w:r>
      <w:r>
        <w:rPr>
          <w:color w:val="3A383A"/>
          <w:spacing w:val="-32"/>
          <w:w w:val="110"/>
        </w:rPr>
        <w:t> </w:t>
      </w:r>
      <w:r>
        <w:rPr>
          <w:color w:val="3A383A"/>
          <w:w w:val="110"/>
        </w:rPr>
        <w:t>"statement</w:t>
      </w:r>
      <w:r>
        <w:rPr>
          <w:color w:val="3A383A"/>
          <w:spacing w:val="-15"/>
          <w:w w:val="110"/>
        </w:rPr>
        <w:t> </w:t>
      </w:r>
      <w:r>
        <w:rPr>
          <w:color w:val="3A383A"/>
          <w:w w:val="110"/>
        </w:rPr>
        <w:t>of</w:t>
      </w:r>
      <w:r>
        <w:rPr>
          <w:color w:val="3A383A"/>
          <w:spacing w:val="-10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29"/>
          <w:w w:val="110"/>
        </w:rPr>
        <w:t> </w:t>
      </w:r>
      <w:r>
        <w:rPr>
          <w:color w:val="3A383A"/>
          <w:w w:val="110"/>
        </w:rPr>
        <w:t>facts"</w:t>
      </w:r>
      <w:r>
        <w:rPr>
          <w:color w:val="3A383A"/>
          <w:spacing w:val="-22"/>
          <w:w w:val="110"/>
        </w:rPr>
        <w:t> </w:t>
      </w:r>
      <w:r>
        <w:rPr>
          <w:color w:val="3A383A"/>
          <w:w w:val="110"/>
        </w:rPr>
        <w:t>(for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0"/>
        </w:rPr>
        <w:t>factual</w:t>
      </w:r>
      <w:r>
        <w:rPr>
          <w:color w:val="3A383A"/>
          <w:spacing w:val="-7"/>
          <w:w w:val="110"/>
        </w:rPr>
        <w:t> </w:t>
      </w:r>
      <w:r>
        <w:rPr>
          <w:color w:val="3A383A"/>
          <w:w w:val="110"/>
        </w:rPr>
        <w:t>information)</w:t>
      </w:r>
      <w:r>
        <w:rPr>
          <w:color w:val="565657"/>
          <w:w w:val="110"/>
        </w:rPr>
        <w:t>.</w:t>
      </w:r>
    </w:p>
    <w:p>
      <w:pPr>
        <w:pStyle w:val="BodyText"/>
        <w:spacing w:before="9"/>
        <w:rPr>
          <w:sz w:val="34"/>
        </w:rPr>
      </w:pPr>
    </w:p>
    <w:p>
      <w:pPr>
        <w:spacing w:line="357" w:lineRule="exact" w:before="0"/>
        <w:ind w:left="418" w:right="0" w:firstLine="0"/>
        <w:jc w:val="left"/>
        <w:rPr>
          <w:rFonts w:ascii="Courier New"/>
          <w:b/>
          <w:sz w:val="32"/>
        </w:rPr>
      </w:pPr>
      <w:r>
        <w:rPr>
          <w:rFonts w:ascii="Courier New"/>
          <w:b/>
          <w:color w:val="3A383A"/>
          <w:w w:val="75"/>
          <w:sz w:val="32"/>
        </w:rPr>
        <w:t>9.2.3</w:t>
      </w:r>
    </w:p>
    <w:p>
      <w:pPr>
        <w:spacing w:line="270" w:lineRule="exact" w:before="0"/>
        <w:ind w:left="457" w:right="0" w:firstLine="0"/>
        <w:jc w:val="left"/>
        <w:rPr>
          <w:b/>
          <w:sz w:val="24"/>
        </w:rPr>
      </w:pPr>
      <w:r>
        <w:rPr>
          <w:b/>
          <w:color w:val="3A383A"/>
          <w:w w:val="90"/>
          <w:sz w:val="24"/>
        </w:rPr>
        <w:t>MAKING</w:t>
      </w:r>
      <w:r>
        <w:rPr>
          <w:b/>
          <w:color w:val="3A383A"/>
          <w:spacing w:val="9"/>
          <w:w w:val="90"/>
          <w:sz w:val="24"/>
        </w:rPr>
        <w:t> </w:t>
      </w:r>
      <w:r>
        <w:rPr>
          <w:b/>
          <w:color w:val="3A383A"/>
          <w:w w:val="90"/>
          <w:sz w:val="24"/>
        </w:rPr>
        <w:t>THE</w:t>
      </w:r>
      <w:r>
        <w:rPr>
          <w:b/>
          <w:color w:val="3A383A"/>
          <w:spacing w:val="1"/>
          <w:w w:val="90"/>
          <w:sz w:val="24"/>
        </w:rPr>
        <w:t> </w:t>
      </w:r>
      <w:r>
        <w:rPr>
          <w:b/>
          <w:color w:val="3A383A"/>
          <w:w w:val="90"/>
          <w:sz w:val="24"/>
        </w:rPr>
        <w:t>FACT</w:t>
      </w:r>
      <w:r>
        <w:rPr>
          <w:b/>
          <w:color w:val="3A383A"/>
          <w:spacing w:val="-5"/>
          <w:w w:val="90"/>
          <w:sz w:val="24"/>
        </w:rPr>
        <w:t> </w:t>
      </w:r>
      <w:r>
        <w:rPr>
          <w:b/>
          <w:color w:val="3A383A"/>
          <w:w w:val="90"/>
          <w:sz w:val="24"/>
        </w:rPr>
        <w:t>STATEMENT</w:t>
      </w:r>
      <w:r>
        <w:rPr>
          <w:b/>
          <w:color w:val="3A383A"/>
          <w:spacing w:val="13"/>
          <w:w w:val="90"/>
          <w:sz w:val="24"/>
        </w:rPr>
        <w:t> </w:t>
      </w:r>
      <w:r>
        <w:rPr>
          <w:b/>
          <w:color w:val="3A383A"/>
          <w:w w:val="90"/>
          <w:sz w:val="24"/>
        </w:rPr>
        <w:t>PERSUASIVE</w:t>
      </w:r>
    </w:p>
    <w:p>
      <w:pPr>
        <w:pStyle w:val="BodyText"/>
        <w:spacing w:line="235" w:lineRule="auto" w:before="132"/>
        <w:ind w:left="125" w:right="463" w:firstLine="322"/>
        <w:jc w:val="both"/>
      </w:pPr>
      <w:r>
        <w:rPr>
          <w:color w:val="3A383A"/>
          <w:w w:val="110"/>
        </w:rPr>
        <w:t>Most</w:t>
      </w:r>
      <w:r>
        <w:rPr>
          <w:color w:val="3A383A"/>
          <w:spacing w:val="-29"/>
          <w:w w:val="110"/>
        </w:rPr>
        <w:t> </w:t>
      </w:r>
      <w:r>
        <w:rPr>
          <w:color w:val="3A383A"/>
          <w:w w:val="110"/>
        </w:rPr>
        <w:t>courts</w:t>
      </w:r>
      <w:r>
        <w:rPr>
          <w:color w:val="3A383A"/>
          <w:spacing w:val="-29"/>
          <w:w w:val="110"/>
        </w:rPr>
        <w:t> </w:t>
      </w:r>
      <w:r>
        <w:rPr>
          <w:color w:val="3A383A"/>
          <w:w w:val="110"/>
        </w:rPr>
        <w:t>frown</w:t>
      </w:r>
      <w:r>
        <w:rPr>
          <w:color w:val="3A383A"/>
          <w:spacing w:val="-23"/>
          <w:w w:val="110"/>
        </w:rPr>
        <w:t> </w:t>
      </w:r>
      <w:r>
        <w:rPr>
          <w:color w:val="3A383A"/>
          <w:w w:val="110"/>
        </w:rPr>
        <w:t>on</w:t>
      </w:r>
      <w:r>
        <w:rPr>
          <w:color w:val="3A383A"/>
          <w:spacing w:val="29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-3"/>
          <w:w w:val="110"/>
        </w:rPr>
        <w:t> </w:t>
      </w:r>
      <w:r>
        <w:rPr>
          <w:color w:val="3A383A"/>
          <w:w w:val="110"/>
        </w:rPr>
        <w:t>inclusion</w:t>
      </w:r>
      <w:r>
        <w:rPr>
          <w:color w:val="3A383A"/>
          <w:spacing w:val="-4"/>
          <w:w w:val="110"/>
        </w:rPr>
        <w:t> </w:t>
      </w:r>
      <w:r>
        <w:rPr>
          <w:color w:val="3A383A"/>
          <w:w w:val="110"/>
        </w:rPr>
        <w:t>of</w:t>
      </w:r>
      <w:r>
        <w:rPr>
          <w:color w:val="3A383A"/>
          <w:spacing w:val="-7"/>
          <w:w w:val="110"/>
        </w:rPr>
        <w:t> </w:t>
      </w:r>
      <w:r>
        <w:rPr>
          <w:color w:val="3A383A"/>
          <w:w w:val="110"/>
        </w:rPr>
        <w:t>legal</w:t>
      </w:r>
      <w:r>
        <w:rPr>
          <w:color w:val="3A383A"/>
          <w:spacing w:val="-15"/>
          <w:w w:val="110"/>
        </w:rPr>
        <w:t> </w:t>
      </w:r>
      <w:r>
        <w:rPr>
          <w:color w:val="3A383A"/>
          <w:w w:val="110"/>
        </w:rPr>
        <w:t>arguments</w:t>
      </w:r>
      <w:r>
        <w:rPr>
          <w:color w:val="3A383A"/>
          <w:spacing w:val="-16"/>
          <w:w w:val="110"/>
        </w:rPr>
        <w:t> </w:t>
      </w:r>
      <w:r>
        <w:rPr>
          <w:color w:val="3A383A"/>
          <w:w w:val="110"/>
        </w:rPr>
        <w:t>in</w:t>
      </w:r>
      <w:r>
        <w:rPr>
          <w:color w:val="3A383A"/>
          <w:spacing w:val="2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10"/>
          <w:w w:val="110"/>
        </w:rPr>
        <w:t> </w:t>
      </w:r>
      <w:r>
        <w:rPr>
          <w:color w:val="3A383A"/>
          <w:w w:val="110"/>
        </w:rPr>
        <w:t>fact</w:t>
      </w:r>
      <w:r>
        <w:rPr>
          <w:color w:val="3A383A"/>
          <w:spacing w:val="-25"/>
          <w:w w:val="110"/>
        </w:rPr>
        <w:t> </w:t>
      </w:r>
      <w:r>
        <w:rPr>
          <w:color w:val="3A383A"/>
          <w:w w:val="110"/>
        </w:rPr>
        <w:t>state­</w:t>
      </w:r>
      <w:r>
        <w:rPr>
          <w:color w:val="3A383A"/>
          <w:spacing w:val="1"/>
          <w:w w:val="110"/>
        </w:rPr>
        <w:t> </w:t>
      </w:r>
      <w:r>
        <w:rPr>
          <w:color w:val="3A383A"/>
          <w:spacing w:val="-1"/>
          <w:w w:val="110"/>
        </w:rPr>
        <w:t>ment. They frown even more on lying, even </w:t>
      </w:r>
      <w:r>
        <w:rPr>
          <w:color w:val="3A383A"/>
          <w:w w:val="110"/>
        </w:rPr>
        <w:t>if by omission</w:t>
      </w:r>
      <w:r>
        <w:rPr>
          <w:color w:val="565657"/>
          <w:w w:val="110"/>
        </w:rPr>
        <w:t>, </w:t>
      </w:r>
      <w:r>
        <w:rPr>
          <w:color w:val="3A383A"/>
          <w:w w:val="110"/>
        </w:rPr>
        <w:t>or on stretch­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ing the truth in the way that youcharacterize the facts</w:t>
      </w:r>
      <w:r>
        <w:rPr>
          <w:color w:val="565657"/>
          <w:w w:val="110"/>
        </w:rPr>
        <w:t>. </w:t>
      </w:r>
      <w:r>
        <w:rPr>
          <w:color w:val="3A383A"/>
          <w:w w:val="110"/>
        </w:rPr>
        <w:t>You should include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0"/>
        </w:rPr>
        <w:t>all legally significant facts, even those that may hurt your case. Including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all relevant facts is important both for moral reasons-your oath as an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attorney requires </w:t>
      </w:r>
      <w:r>
        <w:rPr>
          <w:color w:val="3A383A"/>
          <w:w w:val="130"/>
        </w:rPr>
        <w:t>it-and </w:t>
      </w:r>
      <w:r>
        <w:rPr>
          <w:color w:val="3A383A"/>
          <w:w w:val="115"/>
        </w:rPr>
        <w:t>for practical reasons-your opponent will point</w:t>
      </w:r>
      <w:r>
        <w:rPr>
          <w:color w:val="3A383A"/>
          <w:spacing w:val="-64"/>
          <w:w w:val="115"/>
        </w:rPr>
        <w:t> </w:t>
      </w:r>
      <w:r>
        <w:rPr>
          <w:color w:val="3A383A"/>
          <w:w w:val="110"/>
        </w:rPr>
        <w:t>out that you lied, and you will lose your credibility with the court.</w:t>
      </w:r>
      <w:r>
        <w:rPr>
          <w:rFonts w:ascii="Arial" w:hAnsi="Arial"/>
          <w:color w:val="3A383A"/>
          <w:w w:val="110"/>
          <w:position w:val="9"/>
          <w:sz w:val="12"/>
        </w:rPr>
        <w:t>9 </w:t>
      </w:r>
      <w:r>
        <w:rPr>
          <w:color w:val="3A383A"/>
          <w:w w:val="110"/>
        </w:rPr>
        <w:t>Judge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05"/>
        </w:rPr>
        <w:t>Morey </w:t>
      </w:r>
      <w:r>
        <w:rPr>
          <w:color w:val="3A383A"/>
          <w:w w:val="105"/>
          <w:sz w:val="22"/>
        </w:rPr>
        <w:t>L. </w:t>
      </w:r>
      <w:r>
        <w:rPr>
          <w:color w:val="3A383A"/>
          <w:w w:val="105"/>
        </w:rPr>
        <w:t>Sear, of the United States District Court for the Eastern District of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Louisiana, notes that "[i]f a lawyer's brief ...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fudges on the content of clear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10"/>
        </w:rPr>
        <w:t>testimony, credibility is immediately destroyed. In my view, credibility is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05"/>
        </w:rPr>
        <w:t>one</w:t>
      </w:r>
      <w:r>
        <w:rPr>
          <w:color w:val="3A383A"/>
          <w:spacing w:val="-20"/>
          <w:w w:val="105"/>
        </w:rPr>
        <w:t> </w:t>
      </w:r>
      <w:r>
        <w:rPr>
          <w:color w:val="3A383A"/>
          <w:w w:val="105"/>
        </w:rPr>
        <w:t>of</w:t>
      </w:r>
      <w:r>
        <w:rPr>
          <w:color w:val="3A383A"/>
          <w:spacing w:val="8"/>
          <w:w w:val="105"/>
        </w:rPr>
        <w:t> </w:t>
      </w:r>
      <w:r>
        <w:rPr>
          <w:color w:val="3A383A"/>
          <w:w w:val="105"/>
        </w:rPr>
        <w:t>the</w:t>
      </w:r>
      <w:r>
        <w:rPr>
          <w:color w:val="3A383A"/>
          <w:spacing w:val="51"/>
          <w:w w:val="105"/>
        </w:rPr>
        <w:t> </w:t>
      </w:r>
      <w:r>
        <w:rPr>
          <w:color w:val="3A383A"/>
          <w:w w:val="105"/>
        </w:rPr>
        <w:t>most</w:t>
      </w:r>
      <w:r>
        <w:rPr>
          <w:color w:val="3A383A"/>
          <w:spacing w:val="15"/>
          <w:w w:val="105"/>
        </w:rPr>
        <w:t> </w:t>
      </w:r>
      <w:r>
        <w:rPr>
          <w:color w:val="3A383A"/>
          <w:w w:val="105"/>
        </w:rPr>
        <w:t>important</w:t>
      </w:r>
      <w:r>
        <w:rPr>
          <w:color w:val="3A383A"/>
          <w:spacing w:val="-4"/>
          <w:w w:val="105"/>
        </w:rPr>
        <w:t> </w:t>
      </w:r>
      <w:r>
        <w:rPr>
          <w:color w:val="3A383A"/>
          <w:w w:val="105"/>
        </w:rPr>
        <w:t>virtues</w:t>
      </w:r>
      <w:r>
        <w:rPr>
          <w:color w:val="3A383A"/>
          <w:spacing w:val="-16"/>
          <w:w w:val="105"/>
        </w:rPr>
        <w:t> </w:t>
      </w:r>
      <w:r>
        <w:rPr>
          <w:color w:val="3A383A"/>
          <w:w w:val="105"/>
        </w:rPr>
        <w:t>a</w:t>
      </w:r>
      <w:r>
        <w:rPr>
          <w:color w:val="3A383A"/>
          <w:spacing w:val="13"/>
          <w:w w:val="105"/>
        </w:rPr>
        <w:t> </w:t>
      </w:r>
      <w:r>
        <w:rPr>
          <w:color w:val="3A383A"/>
          <w:w w:val="105"/>
        </w:rPr>
        <w:t>litigator</w:t>
      </w:r>
      <w:r>
        <w:rPr>
          <w:color w:val="3A383A"/>
          <w:spacing w:val="10"/>
          <w:w w:val="105"/>
        </w:rPr>
        <w:t> </w:t>
      </w:r>
      <w:r>
        <w:rPr>
          <w:color w:val="3A383A"/>
          <w:w w:val="105"/>
        </w:rPr>
        <w:t>can</w:t>
      </w:r>
      <w:r>
        <w:rPr>
          <w:color w:val="3A383A"/>
          <w:spacing w:val="33"/>
          <w:w w:val="105"/>
        </w:rPr>
        <w:t> </w:t>
      </w:r>
      <w:r>
        <w:rPr>
          <w:color w:val="3A383A"/>
          <w:w w:val="105"/>
        </w:rPr>
        <w:t>possess.</w:t>
      </w:r>
      <w:r>
        <w:rPr>
          <w:color w:val="3A383A"/>
          <w:w w:val="105"/>
          <w:vertAlign w:val="superscript"/>
        </w:rPr>
        <w:t>1110</w:t>
      </w:r>
    </w:p>
    <w:p>
      <w:pPr>
        <w:pStyle w:val="BodyText"/>
        <w:spacing w:line="232" w:lineRule="auto"/>
        <w:ind w:left="146" w:right="445" w:firstLine="301"/>
        <w:jc w:val="right"/>
      </w:pPr>
      <w:r>
        <w:rPr>
          <w:color w:val="3A383A"/>
          <w:spacing w:val="-1"/>
          <w:w w:val="110"/>
        </w:rPr>
        <w:t>Supreme</w:t>
      </w:r>
      <w:r>
        <w:rPr>
          <w:color w:val="3A383A"/>
          <w:spacing w:val="-14"/>
          <w:w w:val="110"/>
        </w:rPr>
        <w:t> </w:t>
      </w:r>
      <w:r>
        <w:rPr>
          <w:color w:val="3A383A"/>
          <w:spacing w:val="-1"/>
          <w:w w:val="110"/>
        </w:rPr>
        <w:t>Court</w:t>
      </w:r>
      <w:r>
        <w:rPr>
          <w:color w:val="3A383A"/>
          <w:spacing w:val="-28"/>
          <w:w w:val="110"/>
        </w:rPr>
        <w:t> </w:t>
      </w:r>
      <w:r>
        <w:rPr>
          <w:color w:val="3A383A"/>
          <w:spacing w:val="-1"/>
          <w:w w:val="110"/>
        </w:rPr>
        <w:t>Justice</w:t>
      </w:r>
      <w:r>
        <w:rPr>
          <w:color w:val="3A383A"/>
          <w:spacing w:val="-8"/>
          <w:w w:val="110"/>
        </w:rPr>
        <w:t> </w:t>
      </w:r>
      <w:r>
        <w:rPr>
          <w:color w:val="3A383A"/>
          <w:w w:val="110"/>
        </w:rPr>
        <w:t>Ruth</w:t>
      </w:r>
      <w:r>
        <w:rPr>
          <w:color w:val="3A383A"/>
          <w:spacing w:val="-2"/>
          <w:w w:val="110"/>
        </w:rPr>
        <w:t> </w:t>
      </w:r>
      <w:r>
        <w:rPr>
          <w:color w:val="3A383A"/>
          <w:w w:val="110"/>
        </w:rPr>
        <w:t>Bader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Ginsburg</w:t>
      </w:r>
      <w:r>
        <w:rPr>
          <w:color w:val="3A383A"/>
          <w:spacing w:val="-14"/>
          <w:w w:val="110"/>
        </w:rPr>
        <w:t> </w:t>
      </w:r>
      <w:r>
        <w:rPr>
          <w:color w:val="3A383A"/>
          <w:w w:val="110"/>
        </w:rPr>
        <w:t>advises</w:t>
      </w:r>
      <w:r>
        <w:rPr>
          <w:color w:val="3A383A"/>
          <w:spacing w:val="-14"/>
          <w:w w:val="110"/>
        </w:rPr>
        <w:t> </w:t>
      </w:r>
      <w:r>
        <w:rPr>
          <w:color w:val="3A383A"/>
          <w:w w:val="110"/>
        </w:rPr>
        <w:t>that</w:t>
      </w:r>
      <w:r>
        <w:rPr>
          <w:color w:val="3A383A"/>
          <w:spacing w:val="-13"/>
          <w:w w:val="110"/>
        </w:rPr>
        <w:t> </w:t>
      </w:r>
      <w:r>
        <w:rPr>
          <w:color w:val="3A383A"/>
          <w:w w:val="110"/>
        </w:rPr>
        <w:t>"[a]bove</w:t>
      </w:r>
      <w:r>
        <w:rPr>
          <w:color w:val="3A383A"/>
          <w:spacing w:val="-20"/>
          <w:w w:val="110"/>
        </w:rPr>
        <w:t> </w:t>
      </w:r>
      <w:r>
        <w:rPr>
          <w:color w:val="3A383A"/>
          <w:w w:val="110"/>
        </w:rPr>
        <w:t>all,</w:t>
      </w:r>
      <w:r>
        <w:rPr>
          <w:color w:val="3A383A"/>
          <w:spacing w:val="-20"/>
          <w:w w:val="110"/>
        </w:rPr>
        <w:t> </w:t>
      </w:r>
      <w:r>
        <w:rPr>
          <w:color w:val="3A383A"/>
          <w:w w:val="110"/>
        </w:rPr>
        <w:t>a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05"/>
        </w:rPr>
        <w:t>good</w:t>
      </w:r>
      <w:r>
        <w:rPr>
          <w:color w:val="3A383A"/>
          <w:spacing w:val="18"/>
          <w:w w:val="105"/>
        </w:rPr>
        <w:t> </w:t>
      </w:r>
      <w:r>
        <w:rPr>
          <w:color w:val="3A383A"/>
          <w:w w:val="105"/>
        </w:rPr>
        <w:t>brief</w:t>
      </w:r>
      <w:r>
        <w:rPr>
          <w:color w:val="3A383A"/>
          <w:spacing w:val="33"/>
          <w:w w:val="105"/>
        </w:rPr>
        <w:t> </w:t>
      </w:r>
      <w:r>
        <w:rPr>
          <w:color w:val="3A383A"/>
          <w:w w:val="105"/>
        </w:rPr>
        <w:t>is</w:t>
      </w:r>
      <w:r>
        <w:rPr>
          <w:color w:val="3A383A"/>
          <w:spacing w:val="24"/>
          <w:w w:val="105"/>
        </w:rPr>
        <w:t> </w:t>
      </w:r>
      <w:r>
        <w:rPr>
          <w:color w:val="3A383A"/>
          <w:w w:val="105"/>
        </w:rPr>
        <w:t>trustworthy.</w:t>
      </w:r>
      <w:r>
        <w:rPr>
          <w:color w:val="3A383A"/>
          <w:spacing w:val="20"/>
          <w:w w:val="105"/>
        </w:rPr>
        <w:t> </w:t>
      </w:r>
      <w:r>
        <w:rPr>
          <w:color w:val="3A383A"/>
          <w:w w:val="105"/>
        </w:rPr>
        <w:t>It</w:t>
      </w:r>
      <w:r>
        <w:rPr>
          <w:color w:val="3A383A"/>
          <w:spacing w:val="16"/>
          <w:w w:val="105"/>
        </w:rPr>
        <w:t> </w:t>
      </w:r>
      <w:r>
        <w:rPr>
          <w:color w:val="3A383A"/>
          <w:w w:val="105"/>
        </w:rPr>
        <w:t>states</w:t>
      </w:r>
      <w:r>
        <w:rPr>
          <w:color w:val="3A383A"/>
          <w:spacing w:val="25"/>
          <w:w w:val="105"/>
        </w:rPr>
        <w:t> </w:t>
      </w:r>
      <w:r>
        <w:rPr>
          <w:color w:val="3A383A"/>
          <w:w w:val="105"/>
        </w:rPr>
        <w:t>the</w:t>
      </w:r>
      <w:r>
        <w:rPr>
          <w:color w:val="3A383A"/>
          <w:spacing w:val="40"/>
          <w:w w:val="105"/>
        </w:rPr>
        <w:t> </w:t>
      </w:r>
      <w:r>
        <w:rPr>
          <w:color w:val="3A383A"/>
          <w:w w:val="105"/>
        </w:rPr>
        <w:t>facts</w:t>
      </w:r>
      <w:r>
        <w:rPr>
          <w:color w:val="3A383A"/>
          <w:spacing w:val="8"/>
          <w:w w:val="105"/>
        </w:rPr>
        <w:t> </w:t>
      </w:r>
      <w:r>
        <w:rPr>
          <w:color w:val="3A383A"/>
          <w:w w:val="105"/>
        </w:rPr>
        <w:t>honestly."</w:t>
      </w:r>
      <w:r>
        <w:rPr>
          <w:rFonts w:ascii="Arial"/>
          <w:color w:val="3A383A"/>
          <w:w w:val="105"/>
          <w:vertAlign w:val="superscript"/>
        </w:rPr>
        <w:t>11</w:t>
      </w:r>
      <w:r>
        <w:rPr>
          <w:rFonts w:ascii="Arial"/>
          <w:color w:val="3A383A"/>
          <w:spacing w:val="-31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Judge</w:t>
      </w:r>
      <w:r>
        <w:rPr>
          <w:color w:val="3A383A"/>
          <w:spacing w:val="14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Parker</w:t>
      </w:r>
      <w:r>
        <w:rPr>
          <w:color w:val="3A383A"/>
          <w:spacing w:val="27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notes</w:t>
      </w:r>
      <w:r>
        <w:rPr>
          <w:color w:val="3A383A"/>
          <w:spacing w:val="1"/>
          <w:w w:val="105"/>
          <w:vertAlign w:val="baseline"/>
        </w:rPr>
        <w:t> </w:t>
      </w:r>
      <w:r>
        <w:rPr>
          <w:color w:val="3A383A"/>
          <w:w w:val="110"/>
          <w:vertAlign w:val="baseline"/>
        </w:rPr>
        <w:t>that severe distortions of the facts "will actually make me stop reading the</w:t>
      </w:r>
      <w:r>
        <w:rPr>
          <w:color w:val="3A383A"/>
          <w:spacing w:val="-61"/>
          <w:w w:val="110"/>
          <w:vertAlign w:val="baseline"/>
        </w:rPr>
        <w:t> </w:t>
      </w:r>
      <w:r>
        <w:rPr>
          <w:color w:val="3A383A"/>
          <w:w w:val="105"/>
          <w:vertAlign w:val="baseline"/>
        </w:rPr>
        <w:t>brief</w:t>
      </w:r>
      <w:r>
        <w:rPr>
          <w:color w:val="3A383A"/>
          <w:spacing w:val="7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and</w:t>
      </w:r>
      <w:r>
        <w:rPr>
          <w:color w:val="3A383A"/>
          <w:spacing w:val="39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go</w:t>
      </w:r>
      <w:r>
        <w:rPr>
          <w:color w:val="3A383A"/>
          <w:spacing w:val="3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to</w:t>
      </w:r>
      <w:r>
        <w:rPr>
          <w:color w:val="3A383A"/>
          <w:spacing w:val="6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the</w:t>
      </w:r>
      <w:r>
        <w:rPr>
          <w:color w:val="3A383A"/>
          <w:spacing w:val="51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district</w:t>
      </w:r>
      <w:r>
        <w:rPr>
          <w:color w:val="3A383A"/>
          <w:spacing w:val="-2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court's</w:t>
      </w:r>
      <w:r>
        <w:rPr>
          <w:color w:val="3A383A"/>
          <w:spacing w:val="-15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opinion,</w:t>
      </w:r>
      <w:r>
        <w:rPr>
          <w:color w:val="3A383A"/>
          <w:spacing w:val="8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or</w:t>
      </w:r>
      <w:r>
        <w:rPr>
          <w:color w:val="3A383A"/>
          <w:spacing w:val="11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even</w:t>
      </w:r>
      <w:r>
        <w:rPr>
          <w:color w:val="3A383A"/>
          <w:spacing w:val="22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the</w:t>
      </w:r>
      <w:r>
        <w:rPr>
          <w:color w:val="3A383A"/>
          <w:spacing w:val="19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opposing</w:t>
      </w:r>
      <w:r>
        <w:rPr>
          <w:color w:val="3A383A"/>
          <w:spacing w:val="13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brief."</w:t>
      </w:r>
      <w:r>
        <w:rPr>
          <w:color w:val="3A383A"/>
          <w:spacing w:val="-8"/>
          <w:w w:val="105"/>
          <w:vertAlign w:val="baseline"/>
        </w:rPr>
        <w:t> </w:t>
      </w:r>
      <w:r>
        <w:rPr>
          <w:color w:val="3A383A"/>
          <w:w w:val="105"/>
          <w:vertAlign w:val="superscript"/>
        </w:rPr>
        <w:t>12</w:t>
      </w:r>
      <w:r>
        <w:rPr>
          <w:color w:val="3A383A"/>
          <w:spacing w:val="1"/>
          <w:w w:val="105"/>
          <w:vertAlign w:val="baseline"/>
        </w:rPr>
        <w:t> </w:t>
      </w:r>
      <w:r>
        <w:rPr>
          <w:color w:val="3A383A"/>
          <w:w w:val="110"/>
          <w:vertAlign w:val="baseline"/>
        </w:rPr>
        <w:t>Nevertheless,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you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can  use  persuasive writing techniques  to  tell  the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story from your point of view, to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highlight the facts that arein your favor,</w:t>
      </w:r>
      <w:r>
        <w:rPr>
          <w:color w:val="3A383A"/>
          <w:spacing w:val="-6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and</w:t>
      </w:r>
      <w:r>
        <w:rPr>
          <w:color w:val="3A383A"/>
          <w:spacing w:val="19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to</w:t>
      </w:r>
      <w:r>
        <w:rPr>
          <w:color w:val="3A383A"/>
          <w:spacing w:val="47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lead</w:t>
      </w:r>
      <w:r>
        <w:rPr>
          <w:color w:val="3A383A"/>
          <w:spacing w:val="42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the</w:t>
      </w:r>
      <w:r>
        <w:rPr>
          <w:color w:val="3A383A"/>
          <w:spacing w:val="7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reader</w:t>
      </w:r>
      <w:r>
        <w:rPr>
          <w:color w:val="3A383A"/>
          <w:spacing w:val="26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to</w:t>
      </w:r>
      <w:r>
        <w:rPr>
          <w:color w:val="3A383A"/>
          <w:spacing w:val="46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draw</w:t>
      </w:r>
      <w:r>
        <w:rPr>
          <w:color w:val="3A383A"/>
          <w:spacing w:val="30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honest</w:t>
      </w:r>
      <w:r>
        <w:rPr>
          <w:color w:val="3A383A"/>
          <w:spacing w:val="28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and</w:t>
      </w:r>
      <w:r>
        <w:rPr>
          <w:color w:val="3A383A"/>
          <w:spacing w:val="4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favorable</w:t>
      </w:r>
      <w:r>
        <w:rPr>
          <w:color w:val="3A383A"/>
          <w:spacing w:val="13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conclusions</w:t>
      </w:r>
      <w:r>
        <w:rPr>
          <w:color w:val="3A383A"/>
          <w:spacing w:val="30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about</w:t>
      </w:r>
    </w:p>
    <w:p>
      <w:pPr>
        <w:pStyle w:val="BodyText"/>
        <w:spacing w:line="256" w:lineRule="exact"/>
        <w:ind w:left="161"/>
        <w:jc w:val="both"/>
        <w:rPr>
          <w:rFonts w:ascii="Arial"/>
        </w:rPr>
      </w:pPr>
      <w:r>
        <w:rPr>
          <w:color w:val="3A383A"/>
          <w:spacing w:val="-1"/>
          <w:w w:val="105"/>
        </w:rPr>
        <w:t>your</w:t>
      </w:r>
      <w:r>
        <w:rPr>
          <w:color w:val="3A383A"/>
          <w:spacing w:val="-13"/>
          <w:w w:val="105"/>
        </w:rPr>
        <w:t> </w:t>
      </w:r>
      <w:r>
        <w:rPr>
          <w:color w:val="3A383A"/>
          <w:spacing w:val="-1"/>
          <w:w w:val="105"/>
        </w:rPr>
        <w:t>client's</w:t>
      </w:r>
      <w:r>
        <w:rPr>
          <w:color w:val="3A383A"/>
          <w:spacing w:val="-15"/>
          <w:w w:val="105"/>
        </w:rPr>
        <w:t> </w:t>
      </w:r>
      <w:r>
        <w:rPr>
          <w:color w:val="3A383A"/>
          <w:spacing w:val="-1"/>
          <w:w w:val="105"/>
        </w:rPr>
        <w:t>case.</w:t>
      </w:r>
      <w:r>
        <w:rPr>
          <w:rFonts w:ascii="Arial"/>
          <w:color w:val="3A383A"/>
          <w:spacing w:val="-1"/>
          <w:w w:val="105"/>
          <w:vertAlign w:val="superscript"/>
        </w:rPr>
        <w:t>13</w:t>
      </w:r>
    </w:p>
    <w:p>
      <w:pPr>
        <w:pStyle w:val="BodyText"/>
        <w:spacing w:line="232" w:lineRule="auto"/>
        <w:ind w:left="163" w:right="407" w:firstLine="314"/>
        <w:jc w:val="both"/>
      </w:pPr>
      <w:r>
        <w:rPr>
          <w:color w:val="3A383A"/>
          <w:w w:val="110"/>
        </w:rPr>
        <w:t>When drafting the fact statement, remember that your reader will not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bea</w:t>
      </w:r>
      <w:r>
        <w:rPr>
          <w:color w:val="3A383A"/>
          <w:spacing w:val="-3"/>
          <w:w w:val="110"/>
        </w:rPr>
        <w:t> </w:t>
      </w:r>
      <w:r>
        <w:rPr>
          <w:color w:val="3A383A"/>
          <w:w w:val="110"/>
        </w:rPr>
        <w:t>passive</w:t>
      </w:r>
      <w:r>
        <w:rPr>
          <w:color w:val="3A383A"/>
          <w:spacing w:val="-19"/>
          <w:w w:val="110"/>
        </w:rPr>
        <w:t> </w:t>
      </w:r>
      <w:r>
        <w:rPr>
          <w:color w:val="3A383A"/>
          <w:w w:val="110"/>
        </w:rPr>
        <w:t>recipient</w:t>
      </w:r>
      <w:r>
        <w:rPr>
          <w:color w:val="3A383A"/>
          <w:spacing w:val="-19"/>
          <w:w w:val="110"/>
        </w:rPr>
        <w:t> </w:t>
      </w:r>
      <w:r>
        <w:rPr>
          <w:color w:val="3A383A"/>
          <w:w w:val="110"/>
        </w:rPr>
        <w:t>of</w:t>
      </w:r>
      <w:r>
        <w:rPr>
          <w:color w:val="3A383A"/>
          <w:spacing w:val="-2"/>
          <w:w w:val="110"/>
        </w:rPr>
        <w:t> </w:t>
      </w:r>
      <w:r>
        <w:rPr>
          <w:color w:val="3A383A"/>
          <w:w w:val="110"/>
        </w:rPr>
        <w:t>information,</w:t>
      </w:r>
      <w:r>
        <w:rPr>
          <w:color w:val="3A383A"/>
          <w:spacing w:val="-9"/>
          <w:w w:val="110"/>
        </w:rPr>
        <w:t> </w:t>
      </w:r>
      <w:r>
        <w:rPr>
          <w:color w:val="3A383A"/>
          <w:w w:val="110"/>
        </w:rPr>
        <w:t>dutifully</w:t>
      </w:r>
      <w:r>
        <w:rPr>
          <w:color w:val="3A383A"/>
          <w:spacing w:val="-10"/>
          <w:w w:val="110"/>
        </w:rPr>
        <w:t> </w:t>
      </w:r>
      <w:r>
        <w:rPr>
          <w:color w:val="3A383A"/>
          <w:w w:val="110"/>
        </w:rPr>
        <w:t>taking</w:t>
      </w:r>
      <w:r>
        <w:rPr>
          <w:color w:val="3A383A"/>
          <w:spacing w:val="-13"/>
          <w:w w:val="110"/>
        </w:rPr>
        <w:t> </w:t>
      </w:r>
      <w:r>
        <w:rPr>
          <w:color w:val="3A383A"/>
          <w:w w:val="110"/>
        </w:rPr>
        <w:t>in</w:t>
      </w:r>
      <w:r>
        <w:rPr>
          <w:color w:val="3A383A"/>
          <w:spacing w:val="-9"/>
          <w:w w:val="110"/>
        </w:rPr>
        <w:t> </w:t>
      </w:r>
      <w:r>
        <w:rPr>
          <w:color w:val="3A383A"/>
          <w:w w:val="110"/>
        </w:rPr>
        <w:t>whatever</w:t>
      </w:r>
      <w:r>
        <w:rPr>
          <w:color w:val="3A383A"/>
          <w:spacing w:val="-16"/>
          <w:w w:val="110"/>
        </w:rPr>
        <w:t> </w:t>
      </w:r>
      <w:r>
        <w:rPr>
          <w:color w:val="3A383A"/>
          <w:w w:val="110"/>
        </w:rPr>
        <w:t>you</w:t>
      </w:r>
      <w:r>
        <w:rPr>
          <w:color w:val="3A383A"/>
          <w:spacing w:val="-3"/>
          <w:w w:val="110"/>
        </w:rPr>
        <w:t> </w:t>
      </w:r>
      <w:r>
        <w:rPr>
          <w:color w:val="3A383A"/>
          <w:w w:val="110"/>
        </w:rPr>
        <w:t>have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0"/>
        </w:rPr>
        <w:t>put on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pag</w:t>
      </w:r>
      <w:r>
        <w:rPr>
          <w:color w:val="565657"/>
          <w:w w:val="110"/>
        </w:rPr>
        <w:t>e </w:t>
      </w:r>
      <w:r>
        <w:rPr>
          <w:color w:val="3A383A"/>
          <w:w w:val="110"/>
        </w:rPr>
        <w:t>and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doing nothing more with it. Most readers-yourself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included-are constantly assessing, using inductive and deductive reason­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ing,</w:t>
      </w:r>
      <w:r>
        <w:rPr>
          <w:color w:val="3A383A"/>
          <w:spacing w:val="-13"/>
          <w:w w:val="110"/>
        </w:rPr>
        <w:t> </w:t>
      </w:r>
      <w:r>
        <w:rPr>
          <w:color w:val="3A383A"/>
          <w:w w:val="110"/>
        </w:rPr>
        <w:t>leaping</w:t>
      </w:r>
      <w:r>
        <w:rPr>
          <w:color w:val="3A383A"/>
          <w:spacing w:val="3"/>
          <w:w w:val="110"/>
        </w:rPr>
        <w:t> </w:t>
      </w:r>
      <w:r>
        <w:rPr>
          <w:color w:val="3A383A"/>
          <w:w w:val="110"/>
        </w:rPr>
        <w:t>to</w:t>
      </w:r>
      <w:r>
        <w:rPr>
          <w:color w:val="3A383A"/>
          <w:spacing w:val="12"/>
          <w:w w:val="110"/>
        </w:rPr>
        <w:t> </w:t>
      </w:r>
      <w:r>
        <w:rPr>
          <w:color w:val="3A383A"/>
          <w:w w:val="110"/>
        </w:rPr>
        <w:t>conclusions,</w:t>
      </w:r>
      <w:r>
        <w:rPr>
          <w:color w:val="3A383A"/>
          <w:spacing w:val="-4"/>
          <w:w w:val="110"/>
        </w:rPr>
        <w:t> </w:t>
      </w:r>
      <w:r>
        <w:rPr>
          <w:color w:val="3A383A"/>
          <w:w w:val="110"/>
        </w:rPr>
        <w:t>and,</w:t>
      </w:r>
      <w:r>
        <w:rPr>
          <w:color w:val="3A383A"/>
          <w:spacing w:val="3"/>
          <w:w w:val="110"/>
        </w:rPr>
        <w:t> </w:t>
      </w:r>
      <w:r>
        <w:rPr>
          <w:color w:val="3A383A"/>
          <w:w w:val="110"/>
        </w:rPr>
        <w:t>at</w:t>
      </w:r>
      <w:r>
        <w:rPr>
          <w:color w:val="3A383A"/>
          <w:spacing w:val="8"/>
          <w:w w:val="110"/>
        </w:rPr>
        <w:t> </w:t>
      </w:r>
      <w:r>
        <w:rPr>
          <w:color w:val="3A383A"/>
          <w:w w:val="110"/>
        </w:rPr>
        <w:t>times,</w:t>
      </w:r>
      <w:r>
        <w:rPr>
          <w:color w:val="3A383A"/>
          <w:spacing w:val="7"/>
          <w:w w:val="110"/>
        </w:rPr>
        <w:t> </w:t>
      </w:r>
      <w:r>
        <w:rPr>
          <w:color w:val="3A383A"/>
          <w:w w:val="110"/>
        </w:rPr>
        <w:t>leaving</w:t>
      </w:r>
      <w:r>
        <w:rPr>
          <w:color w:val="3A383A"/>
          <w:spacing w:val="13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36"/>
          <w:w w:val="110"/>
        </w:rPr>
        <w:t> </w:t>
      </w:r>
      <w:r>
        <w:rPr>
          <w:color w:val="3A383A"/>
          <w:w w:val="110"/>
        </w:rPr>
        <w:t>text</w:t>
      </w:r>
      <w:r>
        <w:rPr>
          <w:color w:val="3A383A"/>
          <w:spacing w:val="-3"/>
          <w:w w:val="110"/>
        </w:rPr>
        <w:t> </w:t>
      </w:r>
      <w:r>
        <w:rPr>
          <w:color w:val="3A383A"/>
          <w:w w:val="110"/>
        </w:rPr>
        <w:t>entirely.</w:t>
      </w:r>
      <w:r>
        <w:rPr>
          <w:color w:val="3A383A"/>
          <w:spacing w:val="-1"/>
          <w:w w:val="110"/>
        </w:rPr>
        <w:t> </w:t>
      </w:r>
      <w:r>
        <w:rPr>
          <w:color w:val="3A383A"/>
          <w:w w:val="110"/>
        </w:rPr>
        <w:t>In</w:t>
      </w:r>
      <w:r>
        <w:rPr>
          <w:color w:val="3A383A"/>
          <w:spacing w:val="29"/>
          <w:w w:val="110"/>
        </w:rPr>
        <w:t> </w:t>
      </w:r>
      <w:r>
        <w:rPr>
          <w:color w:val="3A383A"/>
          <w:w w:val="110"/>
        </w:rPr>
        <w:t>the</w:t>
      </w:r>
    </w:p>
    <w:p>
      <w:pPr>
        <w:pStyle w:val="BodyText"/>
        <w:rPr>
          <w:sz w:val="26"/>
        </w:rPr>
      </w:pPr>
    </w:p>
    <w:p>
      <w:pPr>
        <w:spacing w:line="189" w:lineRule="exact" w:before="156"/>
        <w:ind w:left="458" w:right="0" w:firstLine="0"/>
        <w:jc w:val="both"/>
        <w:rPr>
          <w:sz w:val="17"/>
        </w:rPr>
      </w:pPr>
      <w:r>
        <w:rPr>
          <w:i/>
          <w:color w:val="3A383A"/>
          <w:w w:val="110"/>
          <w:sz w:val="17"/>
        </w:rPr>
        <w:t>'See,</w:t>
      </w:r>
      <w:r>
        <w:rPr>
          <w:rFonts w:ascii="Arial"/>
          <w:b/>
          <w:i/>
          <w:color w:val="3A383A"/>
          <w:w w:val="110"/>
          <w:sz w:val="16"/>
        </w:rPr>
        <w:t>e</w:t>
      </w:r>
      <w:r>
        <w:rPr>
          <w:rFonts w:ascii="Arial"/>
          <w:b/>
          <w:i/>
          <w:color w:val="565657"/>
          <w:w w:val="110"/>
          <w:sz w:val="16"/>
        </w:rPr>
        <w:t>.</w:t>
      </w:r>
      <w:r>
        <w:rPr>
          <w:rFonts w:ascii="Arial"/>
          <w:b/>
          <w:i/>
          <w:color w:val="3A383A"/>
          <w:w w:val="110"/>
          <w:sz w:val="16"/>
        </w:rPr>
        <w:t>g</w:t>
      </w:r>
      <w:r>
        <w:rPr>
          <w:rFonts w:ascii="Arial"/>
          <w:b/>
          <w:i/>
          <w:color w:val="565657"/>
          <w:w w:val="110"/>
          <w:sz w:val="16"/>
        </w:rPr>
        <w:t>.</w:t>
      </w:r>
      <w:r>
        <w:rPr>
          <w:rFonts w:ascii="Arial"/>
          <w:b/>
          <w:i/>
          <w:color w:val="3A383A"/>
          <w:w w:val="110"/>
          <w:sz w:val="16"/>
        </w:rPr>
        <w:t>,</w:t>
      </w:r>
      <w:r>
        <w:rPr>
          <w:rFonts w:ascii="Arial"/>
          <w:b/>
          <w:i/>
          <w:color w:val="3A383A"/>
          <w:spacing w:val="17"/>
          <w:w w:val="110"/>
          <w:sz w:val="16"/>
        </w:rPr>
        <w:t> </w:t>
      </w:r>
      <w:r>
        <w:rPr>
          <w:color w:val="3A383A"/>
          <w:w w:val="110"/>
          <w:sz w:val="17"/>
        </w:rPr>
        <w:t>Parker</w:t>
      </w:r>
      <w:r>
        <w:rPr>
          <w:color w:val="565657"/>
          <w:w w:val="110"/>
          <w:sz w:val="17"/>
        </w:rPr>
        <w:t>,</w:t>
      </w:r>
      <w:r>
        <w:rPr>
          <w:color w:val="565657"/>
          <w:spacing w:val="17"/>
          <w:w w:val="110"/>
          <w:sz w:val="17"/>
        </w:rPr>
        <w:t> </w:t>
      </w:r>
      <w:r>
        <w:rPr>
          <w:i/>
          <w:color w:val="565657"/>
          <w:w w:val="110"/>
          <w:sz w:val="17"/>
        </w:rPr>
        <w:t>s</w:t>
      </w:r>
      <w:r>
        <w:rPr>
          <w:i/>
          <w:color w:val="3A383A"/>
          <w:w w:val="110"/>
          <w:sz w:val="17"/>
        </w:rPr>
        <w:t>upra</w:t>
      </w:r>
      <w:r>
        <w:rPr>
          <w:i/>
          <w:color w:val="3A383A"/>
          <w:spacing w:val="12"/>
          <w:w w:val="110"/>
          <w:sz w:val="17"/>
        </w:rPr>
        <w:t> </w:t>
      </w:r>
      <w:r>
        <w:rPr>
          <w:color w:val="3A383A"/>
          <w:w w:val="110"/>
          <w:sz w:val="17"/>
        </w:rPr>
        <w:t>note</w:t>
      </w:r>
      <w:r>
        <w:rPr>
          <w:color w:val="3A383A"/>
          <w:spacing w:val="-16"/>
          <w:w w:val="110"/>
          <w:sz w:val="17"/>
        </w:rPr>
        <w:t> </w:t>
      </w:r>
      <w:r>
        <w:rPr>
          <w:color w:val="3A383A"/>
          <w:w w:val="110"/>
          <w:sz w:val="17"/>
        </w:rPr>
        <w:t>S,</w:t>
      </w:r>
      <w:r>
        <w:rPr>
          <w:color w:val="3A383A"/>
          <w:spacing w:val="-21"/>
          <w:w w:val="110"/>
          <w:sz w:val="17"/>
        </w:rPr>
        <w:t> </w:t>
      </w:r>
      <w:r>
        <w:rPr>
          <w:b/>
          <w:color w:val="3A383A"/>
          <w:w w:val="110"/>
          <w:sz w:val="16"/>
        </w:rPr>
        <w:t>at</w:t>
      </w:r>
      <w:r>
        <w:rPr>
          <w:b/>
          <w:color w:val="3A383A"/>
          <w:spacing w:val="-10"/>
          <w:w w:val="110"/>
          <w:sz w:val="16"/>
        </w:rPr>
        <w:t> </w:t>
      </w:r>
      <w:r>
        <w:rPr>
          <w:color w:val="3A383A"/>
          <w:w w:val="110"/>
          <w:sz w:val="17"/>
        </w:rPr>
        <w:t>462.</w:t>
      </w:r>
    </w:p>
    <w:p>
      <w:pPr>
        <w:spacing w:line="201" w:lineRule="exact" w:before="0"/>
        <w:ind w:left="479" w:right="0" w:firstLine="0"/>
        <w:jc w:val="both"/>
        <w:rPr>
          <w:i/>
          <w:sz w:val="17"/>
        </w:rPr>
      </w:pPr>
      <w:r>
        <w:rPr>
          <w:color w:val="3A383A"/>
          <w:spacing w:val="-1"/>
          <w:w w:val="105"/>
          <w:position w:val="5"/>
          <w:sz w:val="10"/>
        </w:rPr>
        <w:t>10</w:t>
      </w:r>
      <w:r>
        <w:rPr>
          <w:color w:val="3A383A"/>
          <w:spacing w:val="-1"/>
          <w:w w:val="105"/>
          <w:sz w:val="17"/>
        </w:rPr>
        <w:t>Morey</w:t>
      </w:r>
      <w:r>
        <w:rPr>
          <w:color w:val="3A383A"/>
          <w:spacing w:val="4"/>
          <w:w w:val="105"/>
          <w:sz w:val="17"/>
        </w:rPr>
        <w:t> </w:t>
      </w:r>
      <w:r>
        <w:rPr>
          <w:rFonts w:ascii="Arial"/>
          <w:color w:val="3A383A"/>
          <w:spacing w:val="-1"/>
          <w:w w:val="105"/>
          <w:sz w:val="16"/>
        </w:rPr>
        <w:t>L.</w:t>
      </w:r>
      <w:r>
        <w:rPr>
          <w:rFonts w:ascii="Arial"/>
          <w:color w:val="3A383A"/>
          <w:w w:val="105"/>
          <w:sz w:val="16"/>
        </w:rPr>
        <w:t> </w:t>
      </w:r>
      <w:r>
        <w:rPr>
          <w:color w:val="3A383A"/>
          <w:spacing w:val="-1"/>
          <w:w w:val="105"/>
          <w:sz w:val="17"/>
        </w:rPr>
        <w:t>Sear,</w:t>
      </w:r>
      <w:r>
        <w:rPr>
          <w:color w:val="3A383A"/>
          <w:spacing w:val="13"/>
          <w:w w:val="105"/>
          <w:sz w:val="17"/>
        </w:rPr>
        <w:t> </w:t>
      </w:r>
      <w:r>
        <w:rPr>
          <w:i/>
          <w:color w:val="3A383A"/>
          <w:w w:val="105"/>
          <w:sz w:val="17"/>
        </w:rPr>
        <w:t>Bri</w:t>
      </w:r>
      <w:r>
        <w:rPr>
          <w:i/>
          <w:color w:val="565657"/>
          <w:w w:val="105"/>
          <w:sz w:val="17"/>
        </w:rPr>
        <w:t>e</w:t>
      </w:r>
      <w:r>
        <w:rPr>
          <w:i/>
          <w:color w:val="3A383A"/>
          <w:w w:val="105"/>
          <w:sz w:val="17"/>
        </w:rPr>
        <w:t>fing</w:t>
      </w:r>
      <w:r>
        <w:rPr>
          <w:i/>
          <w:color w:val="3A383A"/>
          <w:spacing w:val="8"/>
          <w:w w:val="105"/>
          <w:sz w:val="17"/>
        </w:rPr>
        <w:t> </w:t>
      </w:r>
      <w:r>
        <w:rPr>
          <w:i/>
          <w:color w:val="3A383A"/>
          <w:w w:val="105"/>
          <w:sz w:val="17"/>
        </w:rPr>
        <w:t>in</w:t>
      </w:r>
      <w:r>
        <w:rPr>
          <w:i/>
          <w:color w:val="3A383A"/>
          <w:spacing w:val="39"/>
          <w:w w:val="105"/>
          <w:sz w:val="17"/>
        </w:rPr>
        <w:t> </w:t>
      </w:r>
      <w:r>
        <w:rPr>
          <w:i/>
          <w:color w:val="3A383A"/>
          <w:w w:val="105"/>
          <w:sz w:val="18"/>
        </w:rPr>
        <w:t>the</w:t>
      </w:r>
      <w:r>
        <w:rPr>
          <w:i/>
          <w:color w:val="3A383A"/>
          <w:spacing w:val="-17"/>
          <w:w w:val="105"/>
          <w:sz w:val="18"/>
        </w:rPr>
        <w:t> </w:t>
      </w:r>
      <w:r>
        <w:rPr>
          <w:i/>
          <w:color w:val="3A383A"/>
          <w:w w:val="105"/>
          <w:sz w:val="17"/>
        </w:rPr>
        <w:t>United</w:t>
      </w:r>
      <w:r>
        <w:rPr>
          <w:i/>
          <w:color w:val="3A383A"/>
          <w:spacing w:val="14"/>
          <w:w w:val="105"/>
          <w:sz w:val="17"/>
        </w:rPr>
        <w:t> </w:t>
      </w:r>
      <w:r>
        <w:rPr>
          <w:i/>
          <w:color w:val="3A383A"/>
          <w:w w:val="105"/>
          <w:sz w:val="17"/>
        </w:rPr>
        <w:t>Stlltes</w:t>
      </w:r>
      <w:r>
        <w:rPr>
          <w:i/>
          <w:color w:val="3A383A"/>
          <w:spacing w:val="11"/>
          <w:w w:val="105"/>
          <w:sz w:val="17"/>
        </w:rPr>
        <w:t> </w:t>
      </w:r>
      <w:r>
        <w:rPr>
          <w:i/>
          <w:color w:val="3A383A"/>
          <w:w w:val="105"/>
          <w:sz w:val="17"/>
        </w:rPr>
        <w:t>District</w:t>
      </w:r>
      <w:r>
        <w:rPr>
          <w:i/>
          <w:color w:val="3A383A"/>
          <w:spacing w:val="3"/>
          <w:w w:val="105"/>
          <w:sz w:val="17"/>
        </w:rPr>
        <w:t> </w:t>
      </w:r>
      <w:r>
        <w:rPr>
          <w:i/>
          <w:color w:val="3A383A"/>
          <w:w w:val="105"/>
          <w:sz w:val="17"/>
        </w:rPr>
        <w:t>Court</w:t>
      </w:r>
      <w:r>
        <w:rPr>
          <w:i/>
          <w:color w:val="3A383A"/>
          <w:spacing w:val="34"/>
          <w:w w:val="105"/>
          <w:sz w:val="17"/>
        </w:rPr>
        <w:t> </w:t>
      </w:r>
      <w:r>
        <w:rPr>
          <w:i/>
          <w:color w:val="3A383A"/>
          <w:w w:val="105"/>
          <w:sz w:val="17"/>
        </w:rPr>
        <w:t>for</w:t>
      </w:r>
      <w:r>
        <w:rPr>
          <w:i/>
          <w:color w:val="3A383A"/>
          <w:spacing w:val="2"/>
          <w:w w:val="105"/>
          <w:sz w:val="17"/>
        </w:rPr>
        <w:t> </w:t>
      </w:r>
      <w:r>
        <w:rPr>
          <w:i/>
          <w:color w:val="3A383A"/>
          <w:w w:val="105"/>
          <w:sz w:val="17"/>
        </w:rPr>
        <w:t>tile</w:t>
      </w:r>
      <w:r>
        <w:rPr>
          <w:i/>
          <w:color w:val="3A383A"/>
          <w:spacing w:val="-2"/>
          <w:w w:val="105"/>
          <w:sz w:val="17"/>
        </w:rPr>
        <w:t> </w:t>
      </w:r>
      <w:r>
        <w:rPr>
          <w:i/>
          <w:color w:val="3A383A"/>
          <w:w w:val="105"/>
          <w:sz w:val="17"/>
        </w:rPr>
        <w:t>Ellstem</w:t>
      </w:r>
      <w:r>
        <w:rPr>
          <w:i/>
          <w:color w:val="3A383A"/>
          <w:spacing w:val="12"/>
          <w:w w:val="105"/>
          <w:sz w:val="17"/>
        </w:rPr>
        <w:t> </w:t>
      </w:r>
      <w:r>
        <w:rPr>
          <w:i/>
          <w:color w:val="3A383A"/>
          <w:w w:val="105"/>
          <w:sz w:val="17"/>
        </w:rPr>
        <w:t>District</w:t>
      </w:r>
      <w:r>
        <w:rPr>
          <w:i/>
          <w:color w:val="3A383A"/>
          <w:spacing w:val="5"/>
          <w:w w:val="105"/>
          <w:sz w:val="17"/>
        </w:rPr>
        <w:t> </w:t>
      </w:r>
      <w:r>
        <w:rPr>
          <w:i/>
          <w:color w:val="3A383A"/>
          <w:w w:val="105"/>
          <w:sz w:val="17"/>
        </w:rPr>
        <w:t>of</w:t>
      </w:r>
      <w:r>
        <w:rPr>
          <w:i/>
          <w:color w:val="3A383A"/>
          <w:spacing w:val="28"/>
          <w:w w:val="105"/>
          <w:sz w:val="17"/>
        </w:rPr>
        <w:t> </w:t>
      </w:r>
      <w:r>
        <w:rPr>
          <w:i/>
          <w:color w:val="3A383A"/>
          <w:w w:val="105"/>
          <w:sz w:val="17"/>
        </w:rPr>
        <w:t>Louisimra,</w:t>
      </w:r>
    </w:p>
    <w:p>
      <w:pPr>
        <w:spacing w:line="189" w:lineRule="exact" w:before="4"/>
        <w:ind w:left="175" w:right="0" w:firstLine="0"/>
        <w:jc w:val="both"/>
        <w:rPr>
          <w:sz w:val="17"/>
        </w:rPr>
      </w:pPr>
      <w:r>
        <w:rPr>
          <w:color w:val="3A383A"/>
          <w:w w:val="110"/>
          <w:sz w:val="17"/>
        </w:rPr>
        <w:t>70</w:t>
      </w:r>
      <w:r>
        <w:rPr>
          <w:color w:val="565657"/>
          <w:w w:val="110"/>
          <w:sz w:val="17"/>
        </w:rPr>
        <w:t>T</w:t>
      </w:r>
      <w:r>
        <w:rPr>
          <w:color w:val="3A383A"/>
          <w:w w:val="110"/>
          <w:sz w:val="17"/>
        </w:rPr>
        <w:t>ul.</w:t>
      </w:r>
      <w:r>
        <w:rPr>
          <w:color w:val="3A383A"/>
          <w:spacing w:val="-11"/>
          <w:w w:val="110"/>
          <w:sz w:val="17"/>
        </w:rPr>
        <w:t> </w:t>
      </w:r>
      <w:r>
        <w:rPr>
          <w:rFonts w:ascii="Arial"/>
          <w:color w:val="3A383A"/>
          <w:w w:val="110"/>
          <w:sz w:val="16"/>
        </w:rPr>
        <w:t>L</w:t>
      </w:r>
      <w:r>
        <w:rPr>
          <w:rFonts w:ascii="Arial"/>
          <w:color w:val="565657"/>
          <w:w w:val="110"/>
          <w:sz w:val="16"/>
        </w:rPr>
        <w:t>.</w:t>
      </w:r>
      <w:r>
        <w:rPr>
          <w:rFonts w:ascii="Arial"/>
          <w:color w:val="565657"/>
          <w:spacing w:val="2"/>
          <w:w w:val="110"/>
          <w:sz w:val="16"/>
        </w:rPr>
        <w:t> </w:t>
      </w:r>
      <w:r>
        <w:rPr>
          <w:color w:val="3A383A"/>
          <w:w w:val="110"/>
          <w:sz w:val="17"/>
        </w:rPr>
        <w:t>Rev.</w:t>
      </w:r>
      <w:r>
        <w:rPr>
          <w:color w:val="3A383A"/>
          <w:spacing w:val="-6"/>
          <w:w w:val="110"/>
          <w:sz w:val="17"/>
        </w:rPr>
        <w:t> </w:t>
      </w:r>
      <w:r>
        <w:rPr>
          <w:color w:val="3A383A"/>
          <w:w w:val="110"/>
          <w:sz w:val="17"/>
        </w:rPr>
        <w:t>207,219</w:t>
      </w:r>
      <w:r>
        <w:rPr>
          <w:color w:val="3A383A"/>
          <w:spacing w:val="-3"/>
          <w:w w:val="110"/>
          <w:sz w:val="17"/>
        </w:rPr>
        <w:t> </w:t>
      </w:r>
      <w:r>
        <w:rPr>
          <w:color w:val="3A383A"/>
          <w:w w:val="110"/>
          <w:sz w:val="17"/>
        </w:rPr>
        <w:t>(1995)</w:t>
      </w:r>
      <w:r>
        <w:rPr>
          <w:color w:val="565657"/>
          <w:w w:val="110"/>
          <w:sz w:val="17"/>
        </w:rPr>
        <w:t>.</w:t>
      </w:r>
    </w:p>
    <w:p>
      <w:pPr>
        <w:spacing w:line="230" w:lineRule="auto" w:before="1"/>
        <w:ind w:left="159" w:right="354" w:firstLine="328"/>
        <w:jc w:val="both"/>
        <w:rPr>
          <w:sz w:val="17"/>
        </w:rPr>
      </w:pPr>
      <w:r>
        <w:rPr>
          <w:color w:val="3A383A"/>
          <w:position w:val="5"/>
          <w:sz w:val="11"/>
        </w:rPr>
        <w:t>11</w:t>
      </w:r>
      <w:r>
        <w:rPr>
          <w:color w:val="3A383A"/>
          <w:sz w:val="17"/>
        </w:rPr>
        <w:t>Ruth</w:t>
      </w:r>
      <w:r>
        <w:rPr>
          <w:color w:val="3A383A"/>
          <w:spacing w:val="42"/>
          <w:sz w:val="17"/>
        </w:rPr>
        <w:t> </w:t>
      </w:r>
      <w:r>
        <w:rPr>
          <w:color w:val="3A383A"/>
          <w:sz w:val="17"/>
        </w:rPr>
        <w:t>Bader Ginsburg, </w:t>
      </w:r>
      <w:r>
        <w:rPr>
          <w:i/>
          <w:color w:val="3A383A"/>
          <w:sz w:val="18"/>
        </w:rPr>
        <w:t>Remarks </w:t>
      </w:r>
      <w:r>
        <w:rPr>
          <w:rFonts w:ascii="Arial"/>
          <w:i/>
          <w:color w:val="3A383A"/>
          <w:sz w:val="12"/>
        </w:rPr>
        <w:t>011 </w:t>
      </w:r>
      <w:r>
        <w:rPr>
          <w:i/>
          <w:color w:val="3A383A"/>
          <w:sz w:val="18"/>
        </w:rPr>
        <w:t>App</w:t>
      </w:r>
      <w:r>
        <w:rPr>
          <w:i/>
          <w:color w:val="565657"/>
          <w:sz w:val="18"/>
        </w:rPr>
        <w:t>e</w:t>
      </w:r>
      <w:r>
        <w:rPr>
          <w:i/>
          <w:color w:val="3A383A"/>
          <w:sz w:val="18"/>
        </w:rPr>
        <w:t>llate Advocacy, </w:t>
      </w:r>
      <w:r>
        <w:rPr>
          <w:rFonts w:ascii="Arial"/>
          <w:color w:val="3A383A"/>
          <w:sz w:val="16"/>
        </w:rPr>
        <w:t>SO</w:t>
      </w:r>
      <w:r>
        <w:rPr>
          <w:color w:val="3A383A"/>
          <w:sz w:val="17"/>
        </w:rPr>
        <w:t>S.C. </w:t>
      </w:r>
      <w:r>
        <w:rPr>
          <w:rFonts w:ascii="Arial"/>
          <w:color w:val="3A383A"/>
          <w:sz w:val="16"/>
        </w:rPr>
        <w:t>L. </w:t>
      </w:r>
      <w:r>
        <w:rPr>
          <w:color w:val="3A383A"/>
          <w:sz w:val="17"/>
        </w:rPr>
        <w:t>Rev. 567, 568</w:t>
      </w:r>
      <w:r>
        <w:rPr>
          <w:color w:val="3A383A"/>
          <w:spacing w:val="43"/>
          <w:sz w:val="17"/>
        </w:rPr>
        <w:t> </w:t>
      </w:r>
      <w:r>
        <w:rPr>
          <w:color w:val="3A383A"/>
          <w:sz w:val="17"/>
        </w:rPr>
        <w:t>(1999). </w:t>
      </w:r>
      <w:r>
        <w:rPr>
          <w:i/>
          <w:color w:val="3A383A"/>
          <w:sz w:val="18"/>
        </w:rPr>
        <w:t>Seealso</w:t>
      </w:r>
      <w:r>
        <w:rPr>
          <w:i/>
          <w:color w:val="3A383A"/>
          <w:spacing w:val="1"/>
          <w:sz w:val="18"/>
        </w:rPr>
        <w:t> </w:t>
      </w:r>
      <w:r>
        <w:rPr>
          <w:color w:val="3A383A"/>
          <w:sz w:val="17"/>
        </w:rPr>
        <w:t>Joe</w:t>
      </w:r>
      <w:r>
        <w:rPr>
          <w:color w:val="565657"/>
          <w:sz w:val="17"/>
        </w:rPr>
        <w:t>l </w:t>
      </w:r>
      <w:r>
        <w:rPr>
          <w:color w:val="3A383A"/>
          <w:sz w:val="17"/>
        </w:rPr>
        <w:t>F</w:t>
      </w:r>
      <w:r>
        <w:rPr>
          <w:color w:val="565657"/>
          <w:sz w:val="17"/>
        </w:rPr>
        <w:t>. </w:t>
      </w:r>
      <w:r>
        <w:rPr>
          <w:color w:val="3A383A"/>
          <w:sz w:val="17"/>
        </w:rPr>
        <w:t>Dub</w:t>
      </w:r>
      <w:r>
        <w:rPr>
          <w:color w:val="565657"/>
          <w:sz w:val="17"/>
        </w:rPr>
        <w:t>l</w:t>
      </w:r>
      <w:r>
        <w:rPr>
          <w:color w:val="3A383A"/>
          <w:sz w:val="17"/>
        </w:rPr>
        <w:t>na, </w:t>
      </w:r>
      <w:r>
        <w:rPr>
          <w:rFonts w:ascii="Arial"/>
          <w:i/>
          <w:color w:val="3A383A"/>
          <w:sz w:val="15"/>
        </w:rPr>
        <w:t>How </w:t>
      </w:r>
      <w:r>
        <w:rPr>
          <w:i/>
          <w:color w:val="3A383A"/>
          <w:sz w:val="18"/>
        </w:rPr>
        <w:t>to Liti</w:t>
      </w:r>
      <w:r>
        <w:rPr>
          <w:i/>
          <w:color w:val="565657"/>
          <w:sz w:val="18"/>
        </w:rPr>
        <w:t>g</w:t>
      </w:r>
      <w:r>
        <w:rPr>
          <w:i/>
          <w:color w:val="3A383A"/>
          <w:sz w:val="18"/>
        </w:rPr>
        <w:t>ate S11ccessfully </w:t>
      </w:r>
      <w:r>
        <w:rPr>
          <w:rFonts w:ascii="Arial"/>
          <w:i/>
          <w:color w:val="3A383A"/>
          <w:sz w:val="15"/>
        </w:rPr>
        <w:t>in</w:t>
      </w:r>
      <w:r>
        <w:rPr>
          <w:rFonts w:ascii="Arial"/>
          <w:i/>
          <w:color w:val="3A383A"/>
          <w:spacing w:val="1"/>
          <w:sz w:val="15"/>
        </w:rPr>
        <w:t> </w:t>
      </w:r>
      <w:r>
        <w:rPr>
          <w:i/>
          <w:color w:val="3A383A"/>
          <w:sz w:val="18"/>
        </w:rPr>
        <w:t>tile</w:t>
      </w:r>
      <w:r>
        <w:rPr>
          <w:rFonts w:ascii="Arial"/>
          <w:i/>
          <w:color w:val="3A383A"/>
          <w:sz w:val="15"/>
        </w:rPr>
        <w:t>United </w:t>
      </w:r>
      <w:r>
        <w:rPr>
          <w:i/>
          <w:color w:val="3A383A"/>
          <w:sz w:val="18"/>
        </w:rPr>
        <w:t>States Court </w:t>
      </w:r>
      <w:r>
        <w:rPr>
          <w:i/>
          <w:color w:val="565657"/>
          <w:sz w:val="18"/>
        </w:rPr>
        <w:t>o</w:t>
      </w:r>
      <w:r>
        <w:rPr>
          <w:i/>
          <w:color w:val="3A383A"/>
          <w:sz w:val="18"/>
        </w:rPr>
        <w:t>f App</w:t>
      </w:r>
      <w:r>
        <w:rPr>
          <w:i/>
          <w:color w:val="565657"/>
          <w:sz w:val="18"/>
        </w:rPr>
        <w:t>e</w:t>
      </w:r>
      <w:r>
        <w:rPr>
          <w:i/>
          <w:color w:val="3A383A"/>
          <w:sz w:val="18"/>
        </w:rPr>
        <w:t>al</w:t>
      </w:r>
      <w:r>
        <w:rPr>
          <w:i/>
          <w:color w:val="565657"/>
          <w:sz w:val="18"/>
        </w:rPr>
        <w:t>s </w:t>
      </w:r>
      <w:r>
        <w:rPr>
          <w:i/>
          <w:color w:val="3A383A"/>
          <w:sz w:val="18"/>
        </w:rPr>
        <w:t>for </w:t>
      </w:r>
      <w:r>
        <w:rPr>
          <w:rFonts w:ascii="Arial"/>
          <w:i/>
          <w:color w:val="3A383A"/>
          <w:sz w:val="15"/>
        </w:rPr>
        <w:t>tire Eleventh </w:t>
      </w:r>
      <w:r>
        <w:rPr>
          <w:color w:val="3A383A"/>
          <w:sz w:val="17"/>
        </w:rPr>
        <w:t>Circuit,</w:t>
      </w:r>
      <w:r>
        <w:rPr>
          <w:color w:val="3A383A"/>
          <w:spacing w:val="1"/>
          <w:sz w:val="17"/>
        </w:rPr>
        <w:t> </w:t>
      </w:r>
      <w:r>
        <w:rPr>
          <w:color w:val="3A383A"/>
          <w:sz w:val="17"/>
        </w:rPr>
        <w:t>20 Cumb. L. Rev</w:t>
      </w:r>
      <w:r>
        <w:rPr>
          <w:color w:val="565657"/>
          <w:sz w:val="17"/>
        </w:rPr>
        <w:t>. </w:t>
      </w:r>
      <w:r>
        <w:rPr>
          <w:color w:val="3A383A"/>
          <w:sz w:val="17"/>
        </w:rPr>
        <w:t>1,</w:t>
      </w:r>
      <w:r>
        <w:rPr>
          <w:color w:val="3A383A"/>
          <w:spacing w:val="42"/>
          <w:sz w:val="17"/>
        </w:rPr>
        <w:t> </w:t>
      </w:r>
      <w:r>
        <w:rPr>
          <w:color w:val="3A383A"/>
          <w:sz w:val="17"/>
        </w:rPr>
        <w:t>5 ( 1998/1999); Sarah B. Duncan, </w:t>
      </w:r>
      <w:r>
        <w:rPr>
          <w:i/>
          <w:color w:val="3A383A"/>
          <w:sz w:val="18"/>
        </w:rPr>
        <w:t>P11rs11i,is Q1mlity: Writi11g a</w:t>
      </w:r>
      <w:r>
        <w:rPr>
          <w:i/>
          <w:color w:val="3A383A"/>
          <w:spacing w:val="45"/>
          <w:sz w:val="18"/>
        </w:rPr>
        <w:t> </w:t>
      </w:r>
      <w:r>
        <w:rPr>
          <w:i/>
          <w:color w:val="3A383A"/>
          <w:sz w:val="18"/>
        </w:rPr>
        <w:t>Helpful </w:t>
      </w:r>
      <w:r>
        <w:rPr>
          <w:i/>
          <w:color w:val="3A383A"/>
          <w:sz w:val="17"/>
        </w:rPr>
        <w:t>Brief, </w:t>
      </w:r>
      <w:r>
        <w:rPr>
          <w:color w:val="3A383A"/>
          <w:sz w:val="17"/>
        </w:rPr>
        <w:t>30</w:t>
      </w:r>
      <w:r>
        <w:rPr>
          <w:color w:val="3A383A"/>
          <w:spacing w:val="1"/>
          <w:sz w:val="17"/>
        </w:rPr>
        <w:t> </w:t>
      </w:r>
      <w:r>
        <w:rPr>
          <w:color w:val="3A383A"/>
          <w:sz w:val="17"/>
        </w:rPr>
        <w:t>St.</w:t>
      </w:r>
      <w:r>
        <w:rPr>
          <w:color w:val="3A383A"/>
          <w:spacing w:val="-27"/>
          <w:sz w:val="17"/>
        </w:rPr>
        <w:t> </w:t>
      </w:r>
      <w:r>
        <w:rPr>
          <w:color w:val="3A383A"/>
          <w:sz w:val="17"/>
        </w:rPr>
        <w:t>Mary's</w:t>
      </w:r>
      <w:r>
        <w:rPr>
          <w:color w:val="3A383A"/>
          <w:spacing w:val="-11"/>
          <w:sz w:val="17"/>
        </w:rPr>
        <w:t> </w:t>
      </w:r>
      <w:r>
        <w:rPr>
          <w:rFonts w:ascii="Arial"/>
          <w:color w:val="3A383A"/>
          <w:sz w:val="16"/>
        </w:rPr>
        <w:t>L.J.</w:t>
      </w:r>
      <w:r>
        <w:rPr>
          <w:rFonts w:ascii="Arial"/>
          <w:color w:val="3A383A"/>
          <w:spacing w:val="-4"/>
          <w:sz w:val="16"/>
        </w:rPr>
        <w:t> </w:t>
      </w:r>
      <w:r>
        <w:rPr>
          <w:color w:val="3A383A"/>
          <w:sz w:val="17"/>
        </w:rPr>
        <w:t>1093</w:t>
      </w:r>
      <w:r>
        <w:rPr>
          <w:color w:val="565657"/>
          <w:sz w:val="17"/>
        </w:rPr>
        <w:t>,</w:t>
      </w:r>
      <w:r>
        <w:rPr>
          <w:color w:val="565657"/>
          <w:spacing w:val="13"/>
          <w:sz w:val="17"/>
        </w:rPr>
        <w:t> </w:t>
      </w:r>
      <w:r>
        <w:rPr>
          <w:color w:val="3A383A"/>
          <w:sz w:val="17"/>
        </w:rPr>
        <w:t>1101</w:t>
      </w:r>
      <w:r>
        <w:rPr>
          <w:color w:val="3A383A"/>
          <w:spacing w:val="-4"/>
          <w:sz w:val="17"/>
        </w:rPr>
        <w:t> </w:t>
      </w:r>
      <w:r>
        <w:rPr>
          <w:color w:val="3A383A"/>
          <w:sz w:val="17"/>
        </w:rPr>
        <w:t>(1999).</w:t>
      </w:r>
    </w:p>
    <w:p>
      <w:pPr>
        <w:spacing w:line="185" w:lineRule="exact" w:before="0"/>
        <w:ind w:left="487" w:right="0" w:firstLine="0"/>
        <w:jc w:val="both"/>
        <w:rPr>
          <w:sz w:val="17"/>
        </w:rPr>
      </w:pPr>
      <w:r>
        <w:rPr>
          <w:color w:val="565657"/>
          <w:position w:val="5"/>
          <w:sz w:val="11"/>
        </w:rPr>
        <w:t>12</w:t>
      </w:r>
      <w:r>
        <w:rPr>
          <w:color w:val="3A383A"/>
          <w:sz w:val="17"/>
        </w:rPr>
        <w:t>Parker,</w:t>
      </w:r>
      <w:r>
        <w:rPr>
          <w:color w:val="3A383A"/>
          <w:spacing w:val="11"/>
          <w:sz w:val="17"/>
        </w:rPr>
        <w:t> </w:t>
      </w:r>
      <w:r>
        <w:rPr>
          <w:i/>
          <w:color w:val="3A383A"/>
          <w:sz w:val="18"/>
        </w:rPr>
        <w:t>s11(Jra</w:t>
      </w:r>
      <w:r>
        <w:rPr>
          <w:i/>
          <w:color w:val="3A383A"/>
          <w:spacing w:val="18"/>
          <w:sz w:val="18"/>
        </w:rPr>
        <w:t> </w:t>
      </w:r>
      <w:r>
        <w:rPr>
          <w:color w:val="3A383A"/>
          <w:sz w:val="17"/>
        </w:rPr>
        <w:t>note</w:t>
      </w:r>
      <w:r>
        <w:rPr>
          <w:color w:val="3A383A"/>
          <w:spacing w:val="-3"/>
          <w:sz w:val="17"/>
        </w:rPr>
        <w:t> </w:t>
      </w:r>
      <w:r>
        <w:rPr>
          <w:color w:val="3A383A"/>
          <w:sz w:val="17"/>
        </w:rPr>
        <w:t>S,</w:t>
      </w:r>
      <w:r>
        <w:rPr>
          <w:color w:val="3A383A"/>
          <w:spacing w:val="-11"/>
          <w:sz w:val="17"/>
        </w:rPr>
        <w:t> </w:t>
      </w:r>
      <w:r>
        <w:rPr>
          <w:color w:val="3A383A"/>
          <w:sz w:val="17"/>
        </w:rPr>
        <w:t>at</w:t>
      </w:r>
      <w:r>
        <w:rPr>
          <w:color w:val="3A383A"/>
          <w:spacing w:val="17"/>
          <w:sz w:val="17"/>
        </w:rPr>
        <w:t> </w:t>
      </w:r>
      <w:r>
        <w:rPr>
          <w:color w:val="3A383A"/>
          <w:sz w:val="17"/>
        </w:rPr>
        <w:t>462</w:t>
      </w:r>
      <w:r>
        <w:rPr>
          <w:color w:val="565657"/>
          <w:sz w:val="17"/>
        </w:rPr>
        <w:t>.</w:t>
      </w:r>
    </w:p>
    <w:p>
      <w:pPr>
        <w:spacing w:line="235" w:lineRule="auto" w:before="0"/>
        <w:ind w:left="175" w:right="320" w:firstLine="319"/>
        <w:jc w:val="both"/>
        <w:rPr>
          <w:sz w:val="17"/>
        </w:rPr>
      </w:pPr>
      <w:r>
        <w:rPr>
          <w:color w:val="565657"/>
          <w:w w:val="110"/>
          <w:sz w:val="17"/>
        </w:rPr>
        <w:t>ll</w:t>
      </w:r>
      <w:r>
        <w:rPr>
          <w:color w:val="3A383A"/>
          <w:w w:val="110"/>
          <w:sz w:val="17"/>
        </w:rPr>
        <w:t>for an excellent di</w:t>
      </w:r>
      <w:r>
        <w:rPr>
          <w:color w:val="565657"/>
          <w:w w:val="110"/>
          <w:sz w:val="17"/>
        </w:rPr>
        <w:t>s</w:t>
      </w:r>
      <w:r>
        <w:rPr>
          <w:color w:val="3A383A"/>
          <w:w w:val="110"/>
          <w:sz w:val="17"/>
        </w:rPr>
        <w:t>cussion</w:t>
      </w:r>
      <w:r>
        <w:rPr>
          <w:color w:val="3A383A"/>
          <w:spacing w:val="1"/>
          <w:w w:val="110"/>
          <w:sz w:val="17"/>
        </w:rPr>
        <w:t> </w:t>
      </w:r>
      <w:r>
        <w:rPr>
          <w:color w:val="3A383A"/>
          <w:w w:val="110"/>
          <w:sz w:val="17"/>
        </w:rPr>
        <w:t>of  persuasive writing techniques In fact statements, </w:t>
      </w:r>
      <w:r>
        <w:rPr>
          <w:i/>
          <w:color w:val="3A383A"/>
          <w:w w:val="110"/>
          <w:sz w:val="18"/>
        </w:rPr>
        <w:t>se</w:t>
      </w:r>
      <w:r>
        <w:rPr>
          <w:i/>
          <w:color w:val="565657"/>
          <w:w w:val="110"/>
          <w:sz w:val="18"/>
        </w:rPr>
        <w:t>e </w:t>
      </w:r>
      <w:r>
        <w:rPr>
          <w:color w:val="3A383A"/>
          <w:w w:val="110"/>
          <w:sz w:val="17"/>
        </w:rPr>
        <w:t>Laurel</w:t>
      </w:r>
      <w:r>
        <w:rPr>
          <w:color w:val="3A383A"/>
          <w:spacing w:val="1"/>
          <w:w w:val="110"/>
          <w:sz w:val="17"/>
        </w:rPr>
        <w:t> </w:t>
      </w:r>
      <w:r>
        <w:rPr>
          <w:color w:val="3A383A"/>
          <w:w w:val="105"/>
          <w:sz w:val="17"/>
        </w:rPr>
        <w:t>Currie Oates</w:t>
      </w:r>
      <w:r>
        <w:rPr>
          <w:color w:val="3A383A"/>
          <w:spacing w:val="-18"/>
          <w:w w:val="105"/>
          <w:sz w:val="17"/>
        </w:rPr>
        <w:t> </w:t>
      </w:r>
      <w:r>
        <w:rPr>
          <w:color w:val="3A383A"/>
          <w:w w:val="105"/>
          <w:sz w:val="16"/>
        </w:rPr>
        <w:t>&amp;</w:t>
      </w:r>
      <w:r>
        <w:rPr>
          <w:color w:val="3A383A"/>
          <w:spacing w:val="19"/>
          <w:w w:val="105"/>
          <w:sz w:val="16"/>
        </w:rPr>
        <w:t> </w:t>
      </w:r>
      <w:r>
        <w:rPr>
          <w:color w:val="3A383A"/>
          <w:w w:val="105"/>
          <w:sz w:val="17"/>
        </w:rPr>
        <w:t>Ann</w:t>
      </w:r>
      <w:r>
        <w:rPr>
          <w:color w:val="565657"/>
          <w:w w:val="105"/>
          <w:sz w:val="17"/>
        </w:rPr>
        <w:t>e</w:t>
      </w:r>
      <w:r>
        <w:rPr>
          <w:color w:val="565657"/>
          <w:spacing w:val="28"/>
          <w:w w:val="105"/>
          <w:sz w:val="17"/>
        </w:rPr>
        <w:t> </w:t>
      </w:r>
      <w:r>
        <w:rPr>
          <w:color w:val="3A383A"/>
          <w:w w:val="105"/>
          <w:sz w:val="17"/>
        </w:rPr>
        <w:t>M.</w:t>
      </w:r>
      <w:r>
        <w:rPr>
          <w:color w:val="3A383A"/>
          <w:spacing w:val="18"/>
          <w:w w:val="105"/>
          <w:sz w:val="17"/>
        </w:rPr>
        <w:t> </w:t>
      </w:r>
      <w:r>
        <w:rPr>
          <w:color w:val="3A383A"/>
          <w:w w:val="105"/>
          <w:sz w:val="17"/>
        </w:rPr>
        <w:t>cnqulsl</w:t>
      </w:r>
      <w:r>
        <w:rPr>
          <w:color w:val="565657"/>
          <w:w w:val="105"/>
          <w:sz w:val="17"/>
        </w:rPr>
        <w:t>,</w:t>
      </w:r>
      <w:r>
        <w:rPr>
          <w:color w:val="565657"/>
          <w:spacing w:val="16"/>
          <w:w w:val="105"/>
          <w:sz w:val="17"/>
        </w:rPr>
        <w:t> </w:t>
      </w:r>
      <w:r>
        <w:rPr>
          <w:color w:val="3A383A"/>
          <w:w w:val="105"/>
          <w:sz w:val="16"/>
        </w:rPr>
        <w:t>Tire </w:t>
      </w:r>
      <w:r>
        <w:rPr>
          <w:i/>
          <w:color w:val="3A383A"/>
          <w:w w:val="105"/>
          <w:sz w:val="17"/>
        </w:rPr>
        <w:t>L</w:t>
      </w:r>
      <w:r>
        <w:rPr>
          <w:i/>
          <w:color w:val="565657"/>
          <w:w w:val="105"/>
          <w:sz w:val="17"/>
        </w:rPr>
        <w:t>e</w:t>
      </w:r>
      <w:r>
        <w:rPr>
          <w:i/>
          <w:color w:val="3A383A"/>
          <w:w w:val="105"/>
          <w:sz w:val="17"/>
        </w:rPr>
        <w:t>glll</w:t>
      </w:r>
      <w:r>
        <w:rPr>
          <w:i/>
          <w:color w:val="3A383A"/>
          <w:spacing w:val="13"/>
          <w:w w:val="105"/>
          <w:sz w:val="17"/>
        </w:rPr>
        <w:t> </w:t>
      </w:r>
      <w:r>
        <w:rPr>
          <w:i/>
          <w:color w:val="3A383A"/>
          <w:w w:val="105"/>
          <w:sz w:val="18"/>
        </w:rPr>
        <w:t>Writing</w:t>
      </w:r>
      <w:r>
        <w:rPr>
          <w:i/>
          <w:color w:val="3A383A"/>
          <w:spacing w:val="23"/>
          <w:w w:val="105"/>
          <w:sz w:val="18"/>
        </w:rPr>
        <w:t> </w:t>
      </w:r>
      <w:r>
        <w:rPr>
          <w:i/>
          <w:color w:val="3A383A"/>
          <w:w w:val="105"/>
          <w:sz w:val="18"/>
        </w:rPr>
        <w:t>Hm,dbook</w:t>
      </w:r>
      <w:r>
        <w:rPr>
          <w:i/>
          <w:color w:val="3A383A"/>
          <w:spacing w:val="13"/>
          <w:w w:val="105"/>
          <w:sz w:val="18"/>
        </w:rPr>
        <w:t> </w:t>
      </w:r>
      <w:r>
        <w:rPr>
          <w:color w:val="3A383A"/>
          <w:w w:val="105"/>
          <w:sz w:val="17"/>
        </w:rPr>
        <w:t>§§17</w:t>
      </w:r>
      <w:r>
        <w:rPr>
          <w:color w:val="565657"/>
          <w:w w:val="105"/>
          <w:sz w:val="17"/>
        </w:rPr>
        <w:t>.</w:t>
      </w:r>
      <w:r>
        <w:rPr>
          <w:color w:val="3A383A"/>
          <w:w w:val="105"/>
          <w:sz w:val="17"/>
        </w:rPr>
        <w:t>7,</w:t>
      </w:r>
      <w:r>
        <w:rPr>
          <w:color w:val="3A383A"/>
          <w:spacing w:val="22"/>
          <w:w w:val="105"/>
          <w:sz w:val="17"/>
        </w:rPr>
        <w:t> </w:t>
      </w:r>
      <w:r>
        <w:rPr>
          <w:color w:val="3A383A"/>
          <w:w w:val="105"/>
          <w:sz w:val="17"/>
        </w:rPr>
        <w:t>18.12</w:t>
      </w:r>
      <w:r>
        <w:rPr>
          <w:color w:val="3A383A"/>
          <w:spacing w:val="-1"/>
          <w:w w:val="105"/>
          <w:sz w:val="17"/>
        </w:rPr>
        <w:t> </w:t>
      </w:r>
      <w:r>
        <w:rPr>
          <w:color w:val="3A383A"/>
          <w:w w:val="105"/>
          <w:sz w:val="17"/>
        </w:rPr>
        <w:t>(5th</w:t>
      </w:r>
      <w:r>
        <w:rPr>
          <w:color w:val="3A383A"/>
          <w:spacing w:val="-14"/>
          <w:w w:val="105"/>
          <w:sz w:val="17"/>
        </w:rPr>
        <w:t> </w:t>
      </w:r>
      <w:r>
        <w:rPr>
          <w:color w:val="3A383A"/>
          <w:w w:val="105"/>
          <w:sz w:val="17"/>
        </w:rPr>
        <w:t>e&lt;.l</w:t>
      </w:r>
      <w:r>
        <w:rPr>
          <w:color w:val="565657"/>
          <w:w w:val="105"/>
          <w:sz w:val="17"/>
        </w:rPr>
        <w:t>.,</w:t>
      </w:r>
      <w:r>
        <w:rPr>
          <w:color w:val="565657"/>
          <w:spacing w:val="20"/>
          <w:w w:val="105"/>
          <w:sz w:val="17"/>
        </w:rPr>
        <w:t> </w:t>
      </w:r>
      <w:r>
        <w:rPr>
          <w:color w:val="3A383A"/>
          <w:w w:val="105"/>
          <w:sz w:val="17"/>
        </w:rPr>
        <w:t>Aspen</w:t>
      </w:r>
      <w:r>
        <w:rPr>
          <w:color w:val="3A383A"/>
          <w:spacing w:val="17"/>
          <w:w w:val="105"/>
          <w:sz w:val="17"/>
        </w:rPr>
        <w:t> </w:t>
      </w:r>
      <w:r>
        <w:rPr>
          <w:color w:val="3A383A"/>
          <w:w w:val="105"/>
          <w:sz w:val="17"/>
        </w:rPr>
        <w:t>2010).</w:t>
      </w:r>
    </w:p>
    <w:p>
      <w:pPr>
        <w:spacing w:after="0" w:line="235" w:lineRule="auto"/>
        <w:jc w:val="both"/>
        <w:rPr>
          <w:sz w:val="17"/>
        </w:rPr>
        <w:sectPr>
          <w:pgSz w:w="9730" w:h="13980"/>
          <w:pgMar w:header="601" w:footer="0" w:top="680" w:bottom="0" w:left="300" w:right="1340"/>
        </w:sectPr>
      </w:pPr>
    </w:p>
    <w:p>
      <w:pPr>
        <w:pStyle w:val="BodyText"/>
        <w:spacing w:line="235" w:lineRule="auto" w:before="85"/>
        <w:ind w:left="856" w:right="112" w:firstLine="3"/>
        <w:jc w:val="both"/>
      </w:pPr>
      <w:r>
        <w:rPr>
          <w:color w:val="3B3A3B"/>
          <w:w w:val="110"/>
        </w:rPr>
        <w:t>argument, you will be announcing your conclusions to the reader and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then, ideally, supporting them with your analysis. In the fact statement,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on the other hand, you can provide information that the reader can put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together to reach a conclusion. </w:t>
      </w:r>
      <w:r>
        <w:rPr>
          <w:rFonts w:ascii="Arial"/>
          <w:color w:val="3B3A3B"/>
          <w:w w:val="110"/>
          <w:sz w:val="22"/>
        </w:rPr>
        <w:t>If </w:t>
      </w:r>
      <w:r>
        <w:rPr>
          <w:color w:val="3B3A3B"/>
          <w:w w:val="110"/>
        </w:rPr>
        <w:t>you do it skillfully enough, the reader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will</w:t>
      </w:r>
      <w:r>
        <w:rPr>
          <w:color w:val="3B3A3B"/>
          <w:spacing w:val="-8"/>
          <w:w w:val="110"/>
        </w:rPr>
        <w:t> </w:t>
      </w:r>
      <w:r>
        <w:rPr>
          <w:color w:val="3B3A3B"/>
          <w:w w:val="110"/>
        </w:rPr>
        <w:t>have</w:t>
      </w:r>
      <w:r>
        <w:rPr>
          <w:color w:val="3B3A3B"/>
          <w:spacing w:val="-9"/>
          <w:w w:val="110"/>
        </w:rPr>
        <w:t> </w:t>
      </w:r>
      <w:r>
        <w:rPr>
          <w:color w:val="3B3A3B"/>
          <w:w w:val="110"/>
        </w:rPr>
        <w:t>drawn</w:t>
      </w:r>
      <w:r>
        <w:rPr>
          <w:color w:val="3B3A3B"/>
          <w:spacing w:val="-13"/>
          <w:w w:val="110"/>
        </w:rPr>
        <w:t> </w:t>
      </w:r>
      <w:r>
        <w:rPr>
          <w:color w:val="3B3A3B"/>
          <w:w w:val="110"/>
        </w:rPr>
        <w:t>a</w:t>
      </w:r>
      <w:r>
        <w:rPr>
          <w:color w:val="3B3A3B"/>
          <w:spacing w:val="-4"/>
          <w:w w:val="110"/>
        </w:rPr>
        <w:t> </w:t>
      </w:r>
      <w:r>
        <w:rPr>
          <w:color w:val="3B3A3B"/>
          <w:w w:val="110"/>
        </w:rPr>
        <w:t>conclusion</w:t>
      </w:r>
      <w:r>
        <w:rPr>
          <w:color w:val="3B3A3B"/>
          <w:spacing w:val="4"/>
          <w:w w:val="110"/>
        </w:rPr>
        <w:t> </w:t>
      </w:r>
      <w:r>
        <w:rPr>
          <w:color w:val="3B3A3B"/>
          <w:w w:val="110"/>
        </w:rPr>
        <w:t>in</w:t>
      </w:r>
      <w:r>
        <w:rPr>
          <w:color w:val="3B3A3B"/>
          <w:spacing w:val="15"/>
          <w:w w:val="110"/>
        </w:rPr>
        <w:t> </w:t>
      </w:r>
      <w:r>
        <w:rPr>
          <w:color w:val="3B3A3B"/>
          <w:w w:val="110"/>
        </w:rPr>
        <w:t>your</w:t>
      </w:r>
      <w:r>
        <w:rPr>
          <w:color w:val="3B3A3B"/>
          <w:spacing w:val="-12"/>
          <w:w w:val="110"/>
        </w:rPr>
        <w:t> </w:t>
      </w:r>
      <w:r>
        <w:rPr>
          <w:color w:val="3B3A3B"/>
          <w:w w:val="110"/>
        </w:rPr>
        <w:t>favor</w:t>
      </w:r>
      <w:r>
        <w:rPr>
          <w:color w:val="3B3A3B"/>
          <w:spacing w:val="-15"/>
          <w:w w:val="110"/>
        </w:rPr>
        <w:t> </w:t>
      </w:r>
      <w:r>
        <w:rPr>
          <w:color w:val="3B3A3B"/>
          <w:w w:val="110"/>
        </w:rPr>
        <w:t>even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before</w:t>
      </w:r>
      <w:r>
        <w:rPr>
          <w:color w:val="3B3A3B"/>
          <w:spacing w:val="-4"/>
          <w:w w:val="110"/>
        </w:rPr>
        <w:t> </w:t>
      </w:r>
      <w:r>
        <w:rPr>
          <w:color w:val="3B3A3B"/>
          <w:w w:val="110"/>
        </w:rPr>
        <w:t>reaching</w:t>
      </w:r>
      <w:r>
        <w:rPr>
          <w:color w:val="3B3A3B"/>
          <w:spacing w:val="2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-10"/>
          <w:w w:val="110"/>
        </w:rPr>
        <w:t> </w:t>
      </w:r>
      <w:r>
        <w:rPr>
          <w:color w:val="3B3A3B"/>
          <w:w w:val="110"/>
        </w:rPr>
        <w:t>first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10"/>
        </w:rPr>
        <w:t>page</w:t>
      </w:r>
      <w:r>
        <w:rPr>
          <w:color w:val="3B3A3B"/>
          <w:spacing w:val="-16"/>
          <w:w w:val="110"/>
        </w:rPr>
        <w:t> </w:t>
      </w:r>
      <w:r>
        <w:rPr>
          <w:color w:val="3B3A3B"/>
          <w:w w:val="110"/>
        </w:rPr>
        <w:t>of</w:t>
      </w:r>
      <w:r>
        <w:rPr>
          <w:color w:val="3B3A3B"/>
          <w:spacing w:val="10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33"/>
          <w:w w:val="110"/>
        </w:rPr>
        <w:t> </w:t>
      </w:r>
      <w:r>
        <w:rPr>
          <w:color w:val="3B3A3B"/>
          <w:w w:val="110"/>
        </w:rPr>
        <w:t>argument</w:t>
      </w:r>
      <w:r>
        <w:rPr>
          <w:color w:val="3B3A3B"/>
          <w:spacing w:val="-2"/>
          <w:w w:val="110"/>
        </w:rPr>
        <w:t> </w:t>
      </w:r>
      <w:r>
        <w:rPr>
          <w:color w:val="3B3A3B"/>
          <w:w w:val="110"/>
        </w:rPr>
        <w:t>section.</w:t>
      </w:r>
    </w:p>
    <w:p>
      <w:pPr>
        <w:pStyle w:val="BodyText"/>
        <w:spacing w:line="235" w:lineRule="auto"/>
        <w:ind w:left="845" w:right="116" w:firstLine="374"/>
        <w:jc w:val="both"/>
      </w:pPr>
      <w:r>
        <w:rPr>
          <w:color w:val="3B3A3B"/>
          <w:w w:val="110"/>
        </w:rPr>
        <w:t>For example, my father, who served in the Coast Guard in the early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1950s, tells this possibly apocryphal story about a captain and his first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mate-and</w:t>
      </w:r>
      <w:r>
        <w:rPr>
          <w:color w:val="3B3A3B"/>
          <w:spacing w:val="7"/>
          <w:w w:val="110"/>
        </w:rPr>
        <w:t> </w:t>
      </w:r>
      <w:r>
        <w:rPr>
          <w:color w:val="3B3A3B"/>
          <w:w w:val="110"/>
        </w:rPr>
        <w:t>at</w:t>
      </w:r>
      <w:r>
        <w:rPr>
          <w:color w:val="3B3A3B"/>
          <w:spacing w:val="-29"/>
          <w:w w:val="110"/>
        </w:rPr>
        <w:t> </w:t>
      </w:r>
      <w:r>
        <w:rPr>
          <w:color w:val="3B3A3B"/>
          <w:w w:val="110"/>
        </w:rPr>
        <w:t>least</w:t>
      </w:r>
      <w:r>
        <w:rPr>
          <w:color w:val="3B3A3B"/>
          <w:spacing w:val="-12"/>
          <w:w w:val="110"/>
        </w:rPr>
        <w:t> </w:t>
      </w:r>
      <w:r>
        <w:rPr>
          <w:color w:val="3B3A3B"/>
          <w:w w:val="110"/>
        </w:rPr>
        <w:t>one</w:t>
      </w:r>
      <w:r>
        <w:rPr>
          <w:color w:val="3B3A3B"/>
          <w:spacing w:val="19"/>
          <w:w w:val="110"/>
        </w:rPr>
        <w:t> </w:t>
      </w:r>
      <w:r>
        <w:rPr>
          <w:color w:val="3B3A3B"/>
          <w:w w:val="110"/>
        </w:rPr>
        <w:t>episode</w:t>
      </w:r>
      <w:r>
        <w:rPr>
          <w:color w:val="3B3A3B"/>
          <w:spacing w:val="-5"/>
          <w:w w:val="110"/>
        </w:rPr>
        <w:t> </w:t>
      </w:r>
      <w:r>
        <w:rPr>
          <w:color w:val="3B3A3B"/>
          <w:w w:val="110"/>
        </w:rPr>
        <w:t>of drunkenness</w:t>
      </w:r>
      <w:r>
        <w:rPr>
          <w:color w:val="5D5D5E"/>
          <w:w w:val="110"/>
        </w:rPr>
        <w:t>:</w:t>
      </w:r>
    </w:p>
    <w:p>
      <w:pPr>
        <w:spacing w:line="237" w:lineRule="auto" w:before="121"/>
        <w:ind w:left="1154" w:right="432" w:firstLine="42"/>
        <w:jc w:val="both"/>
        <w:rPr>
          <w:sz w:val="21"/>
        </w:rPr>
      </w:pPr>
      <w:r>
        <w:rPr>
          <w:color w:val="3B3A3B"/>
          <w:w w:val="110"/>
          <w:sz w:val="21"/>
        </w:rPr>
        <w:t>One</w:t>
      </w:r>
      <w:r>
        <w:rPr>
          <w:color w:val="3B3A3B"/>
          <w:spacing w:val="-17"/>
          <w:w w:val="110"/>
          <w:sz w:val="21"/>
        </w:rPr>
        <w:t> </w:t>
      </w:r>
      <w:r>
        <w:rPr>
          <w:color w:val="3B3A3B"/>
          <w:w w:val="110"/>
          <w:sz w:val="21"/>
        </w:rPr>
        <w:t>day,</w:t>
      </w:r>
      <w:r>
        <w:rPr>
          <w:color w:val="3B3A3B"/>
          <w:spacing w:val="-15"/>
          <w:w w:val="110"/>
          <w:sz w:val="21"/>
        </w:rPr>
        <w:t> </w:t>
      </w:r>
      <w:r>
        <w:rPr>
          <w:color w:val="3B3A3B"/>
          <w:w w:val="110"/>
          <w:sz w:val="21"/>
        </w:rPr>
        <w:t>when</w:t>
      </w:r>
      <w:r>
        <w:rPr>
          <w:color w:val="3B3A3B"/>
          <w:spacing w:val="-6"/>
          <w:w w:val="110"/>
          <w:sz w:val="21"/>
        </w:rPr>
        <w:t> </w:t>
      </w:r>
      <w:r>
        <w:rPr>
          <w:color w:val="3B3A3B"/>
          <w:w w:val="110"/>
          <w:sz w:val="21"/>
        </w:rPr>
        <w:t>the</w:t>
      </w:r>
      <w:r>
        <w:rPr>
          <w:color w:val="3B3A3B"/>
          <w:spacing w:val="-9"/>
          <w:w w:val="110"/>
          <w:sz w:val="21"/>
        </w:rPr>
        <w:t> </w:t>
      </w:r>
      <w:r>
        <w:rPr>
          <w:color w:val="3B3A3B"/>
          <w:w w:val="110"/>
          <w:sz w:val="21"/>
        </w:rPr>
        <w:t>sailors</w:t>
      </w:r>
      <w:r>
        <w:rPr>
          <w:color w:val="3B3A3B"/>
          <w:spacing w:val="-12"/>
          <w:w w:val="110"/>
          <w:sz w:val="21"/>
        </w:rPr>
        <w:t> </w:t>
      </w:r>
      <w:r>
        <w:rPr>
          <w:color w:val="3B3A3B"/>
          <w:w w:val="110"/>
          <w:sz w:val="21"/>
        </w:rPr>
        <w:t>took</w:t>
      </w:r>
      <w:r>
        <w:rPr>
          <w:color w:val="3B3A3B"/>
          <w:spacing w:val="-21"/>
          <w:w w:val="110"/>
          <w:sz w:val="21"/>
        </w:rPr>
        <w:t> </w:t>
      </w:r>
      <w:r>
        <w:rPr>
          <w:color w:val="3B3A3B"/>
          <w:w w:val="110"/>
          <w:sz w:val="21"/>
        </w:rPr>
        <w:t>shore</w:t>
      </w:r>
      <w:r>
        <w:rPr>
          <w:color w:val="3B3A3B"/>
          <w:spacing w:val="-15"/>
          <w:w w:val="110"/>
          <w:sz w:val="21"/>
        </w:rPr>
        <w:t> </w:t>
      </w:r>
      <w:r>
        <w:rPr>
          <w:color w:val="3B3A3B"/>
          <w:w w:val="110"/>
          <w:sz w:val="21"/>
        </w:rPr>
        <w:t>leave,</w:t>
      </w:r>
      <w:r>
        <w:rPr>
          <w:color w:val="3B3A3B"/>
          <w:spacing w:val="-7"/>
          <w:w w:val="110"/>
          <w:sz w:val="21"/>
        </w:rPr>
        <w:t> </w:t>
      </w:r>
      <w:r>
        <w:rPr>
          <w:color w:val="3B3A3B"/>
          <w:w w:val="110"/>
          <w:sz w:val="21"/>
        </w:rPr>
        <w:t>the</w:t>
      </w:r>
      <w:r>
        <w:rPr>
          <w:color w:val="3B3A3B"/>
          <w:spacing w:val="28"/>
          <w:w w:val="110"/>
          <w:sz w:val="21"/>
        </w:rPr>
        <w:t> </w:t>
      </w:r>
      <w:r>
        <w:rPr>
          <w:color w:val="3B3A3B"/>
          <w:w w:val="110"/>
          <w:sz w:val="21"/>
        </w:rPr>
        <w:t>first</w:t>
      </w:r>
      <w:r>
        <w:rPr>
          <w:color w:val="3B3A3B"/>
          <w:spacing w:val="7"/>
          <w:w w:val="110"/>
          <w:sz w:val="21"/>
        </w:rPr>
        <w:t> </w:t>
      </w:r>
      <w:r>
        <w:rPr>
          <w:color w:val="3B3A3B"/>
          <w:w w:val="110"/>
          <w:sz w:val="21"/>
        </w:rPr>
        <w:t>mate</w:t>
      </w:r>
      <w:r>
        <w:rPr>
          <w:color w:val="3B3A3B"/>
          <w:spacing w:val="-9"/>
          <w:w w:val="110"/>
          <w:sz w:val="21"/>
        </w:rPr>
        <w:t> </w:t>
      </w:r>
      <w:r>
        <w:rPr>
          <w:color w:val="3B3A3B"/>
          <w:w w:val="110"/>
          <w:sz w:val="21"/>
        </w:rPr>
        <w:t>returned</w:t>
      </w:r>
      <w:r>
        <w:rPr>
          <w:color w:val="3B3A3B"/>
          <w:spacing w:val="4"/>
          <w:w w:val="110"/>
          <w:sz w:val="21"/>
        </w:rPr>
        <w:t> </w:t>
      </w:r>
      <w:r>
        <w:rPr>
          <w:color w:val="3B3A3B"/>
          <w:w w:val="110"/>
          <w:sz w:val="21"/>
        </w:rPr>
        <w:t>to the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ship drunk. The Captain recorded this event, noting, "The first mate was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drunk</w:t>
      </w:r>
      <w:r>
        <w:rPr>
          <w:color w:val="3B3A3B"/>
          <w:spacing w:val="-20"/>
          <w:w w:val="110"/>
          <w:sz w:val="21"/>
        </w:rPr>
        <w:t> </w:t>
      </w:r>
      <w:r>
        <w:rPr>
          <w:color w:val="3B3A3B"/>
          <w:w w:val="110"/>
          <w:sz w:val="21"/>
        </w:rPr>
        <w:t>today"</w:t>
      </w:r>
      <w:r>
        <w:rPr>
          <w:color w:val="3B3A3B"/>
          <w:spacing w:val="-19"/>
          <w:w w:val="110"/>
          <w:sz w:val="21"/>
        </w:rPr>
        <w:t> </w:t>
      </w:r>
      <w:r>
        <w:rPr>
          <w:color w:val="3B3A3B"/>
          <w:w w:val="110"/>
          <w:sz w:val="21"/>
        </w:rPr>
        <w:t>in</w:t>
      </w:r>
      <w:r>
        <w:rPr>
          <w:color w:val="3B3A3B"/>
          <w:spacing w:val="7"/>
          <w:w w:val="110"/>
          <w:sz w:val="21"/>
        </w:rPr>
        <w:t> </w:t>
      </w:r>
      <w:r>
        <w:rPr>
          <w:color w:val="3B3A3B"/>
          <w:w w:val="110"/>
          <w:sz w:val="21"/>
        </w:rPr>
        <w:t>the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Captain's</w:t>
      </w:r>
      <w:r>
        <w:rPr>
          <w:color w:val="3B3A3B"/>
          <w:spacing w:val="-19"/>
          <w:w w:val="110"/>
          <w:sz w:val="21"/>
        </w:rPr>
        <w:t> </w:t>
      </w:r>
      <w:r>
        <w:rPr>
          <w:color w:val="3B3A3B"/>
          <w:w w:val="110"/>
          <w:sz w:val="21"/>
        </w:rPr>
        <w:t>log.</w:t>
      </w:r>
      <w:r>
        <w:rPr>
          <w:color w:val="3B3A3B"/>
          <w:spacing w:val="-35"/>
          <w:w w:val="110"/>
          <w:sz w:val="21"/>
        </w:rPr>
        <w:t> </w:t>
      </w:r>
      <w:r>
        <w:rPr>
          <w:color w:val="3B3A3B"/>
          <w:w w:val="110"/>
          <w:sz w:val="21"/>
        </w:rPr>
        <w:t>The</w:t>
      </w:r>
      <w:r>
        <w:rPr>
          <w:color w:val="3B3A3B"/>
          <w:spacing w:val="-3"/>
          <w:w w:val="110"/>
          <w:sz w:val="21"/>
        </w:rPr>
        <w:t> </w:t>
      </w:r>
      <w:r>
        <w:rPr>
          <w:color w:val="3B3A3B"/>
          <w:w w:val="110"/>
          <w:sz w:val="21"/>
        </w:rPr>
        <w:t>first</w:t>
      </w:r>
      <w:r>
        <w:rPr>
          <w:color w:val="3B3A3B"/>
          <w:spacing w:val="-1"/>
          <w:w w:val="110"/>
          <w:sz w:val="21"/>
        </w:rPr>
        <w:t> </w:t>
      </w:r>
      <w:r>
        <w:rPr>
          <w:color w:val="3B3A3B"/>
          <w:w w:val="110"/>
          <w:sz w:val="21"/>
        </w:rPr>
        <w:t>mate</w:t>
      </w:r>
      <w:r>
        <w:rPr>
          <w:color w:val="3B3A3B"/>
          <w:spacing w:val="-7"/>
          <w:w w:val="110"/>
          <w:sz w:val="21"/>
        </w:rPr>
        <w:t> </w:t>
      </w:r>
      <w:r>
        <w:rPr>
          <w:color w:val="3B3A3B"/>
          <w:w w:val="110"/>
          <w:sz w:val="21"/>
        </w:rPr>
        <w:t>has</w:t>
      </w:r>
      <w:r>
        <w:rPr>
          <w:color w:val="3B3A3B"/>
          <w:spacing w:val="-19"/>
          <w:w w:val="110"/>
          <w:sz w:val="21"/>
        </w:rPr>
        <w:t> </w:t>
      </w:r>
      <w:r>
        <w:rPr>
          <w:color w:val="3B3A3B"/>
          <w:w w:val="110"/>
          <w:sz w:val="21"/>
        </w:rPr>
        <w:t>the</w:t>
      </w:r>
      <w:r>
        <w:rPr>
          <w:color w:val="3B3A3B"/>
          <w:spacing w:val="2"/>
          <w:w w:val="110"/>
          <w:sz w:val="21"/>
        </w:rPr>
        <w:t> </w:t>
      </w:r>
      <w:r>
        <w:rPr>
          <w:color w:val="3B3A3B"/>
          <w:w w:val="110"/>
          <w:sz w:val="21"/>
        </w:rPr>
        <w:t>responsibility</w:t>
      </w:r>
      <w:r>
        <w:rPr>
          <w:color w:val="3B3A3B"/>
          <w:spacing w:val="-35"/>
          <w:w w:val="110"/>
          <w:sz w:val="21"/>
        </w:rPr>
        <w:t> </w:t>
      </w:r>
      <w:r>
        <w:rPr>
          <w:color w:val="3B3A3B"/>
          <w:w w:val="110"/>
          <w:sz w:val="21"/>
        </w:rPr>
        <w:t>for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05"/>
          <w:sz w:val="21"/>
        </w:rPr>
        <w:t>keeping the log when the Captain is off duty, so he soon saw the note. He</w:t>
      </w:r>
      <w:r>
        <w:rPr>
          <w:color w:val="3B3A3B"/>
          <w:spacing w:val="1"/>
          <w:w w:val="105"/>
          <w:sz w:val="21"/>
        </w:rPr>
        <w:t> </w:t>
      </w:r>
      <w:r>
        <w:rPr>
          <w:color w:val="3B3A3B"/>
          <w:w w:val="105"/>
          <w:sz w:val="21"/>
        </w:rPr>
        <w:t>was furious; he</w:t>
      </w:r>
      <w:r>
        <w:rPr>
          <w:color w:val="3B3A3B"/>
          <w:spacing w:val="1"/>
          <w:w w:val="105"/>
          <w:sz w:val="21"/>
        </w:rPr>
        <w:t> </w:t>
      </w:r>
      <w:r>
        <w:rPr>
          <w:color w:val="3B3A3B"/>
          <w:w w:val="105"/>
          <w:sz w:val="21"/>
        </w:rPr>
        <w:t>had  never been drunk before, he  had  been off duty when</w:t>
      </w:r>
      <w:r>
        <w:rPr>
          <w:color w:val="3B3A3B"/>
          <w:spacing w:val="1"/>
          <w:w w:val="105"/>
          <w:sz w:val="21"/>
        </w:rPr>
        <w:t> </w:t>
      </w:r>
      <w:r>
        <w:rPr>
          <w:color w:val="3B3A3B"/>
          <w:w w:val="105"/>
          <w:sz w:val="21"/>
        </w:rPr>
        <w:t>he was drunk, and he was one of a dozen drunken sailors</w:t>
      </w:r>
      <w:r>
        <w:rPr>
          <w:color w:val="5D5D5E"/>
          <w:w w:val="105"/>
          <w:sz w:val="21"/>
        </w:rPr>
        <w:t>, </w:t>
      </w:r>
      <w:r>
        <w:rPr>
          <w:color w:val="3B3A3B"/>
          <w:w w:val="105"/>
          <w:sz w:val="21"/>
        </w:rPr>
        <w:t>none of whose</w:t>
      </w:r>
      <w:r>
        <w:rPr>
          <w:color w:val="3B3A3B"/>
          <w:spacing w:val="1"/>
          <w:w w:val="105"/>
          <w:sz w:val="21"/>
        </w:rPr>
        <w:t> </w:t>
      </w:r>
      <w:r>
        <w:rPr>
          <w:color w:val="3B3A3B"/>
          <w:w w:val="105"/>
          <w:sz w:val="21"/>
        </w:rPr>
        <w:t>drunkenness was recorded in the log. He decided to retaliate. He knew he</w:t>
      </w:r>
      <w:r>
        <w:rPr>
          <w:color w:val="3B3A3B"/>
          <w:spacing w:val="1"/>
          <w:w w:val="105"/>
          <w:sz w:val="21"/>
        </w:rPr>
        <w:t> </w:t>
      </w:r>
      <w:r>
        <w:rPr>
          <w:color w:val="3B3A3B"/>
          <w:w w:val="110"/>
          <w:sz w:val="21"/>
        </w:rPr>
        <w:t>couldn't lie about the Captain, for the Captain would be seeing the log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spacing w:val="-1"/>
          <w:w w:val="110"/>
          <w:sz w:val="21"/>
        </w:rPr>
        <w:t>the very next day. So he </w:t>
      </w:r>
      <w:r>
        <w:rPr>
          <w:color w:val="3B3A3B"/>
          <w:w w:val="110"/>
          <w:sz w:val="21"/>
        </w:rPr>
        <w:t>wrote the simple truth: "The Captain was sober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today."</w:t>
      </w:r>
    </w:p>
    <w:p>
      <w:pPr>
        <w:pStyle w:val="BodyText"/>
        <w:spacing w:line="232" w:lineRule="auto" w:before="129"/>
        <w:ind w:left="701" w:right="122" w:firstLine="77"/>
        <w:jc w:val="both"/>
      </w:pPr>
      <w:r>
        <w:rPr>
          <w:rFonts w:ascii="Arial"/>
          <w:color w:val="3B3A3B"/>
          <w:w w:val="110"/>
          <w:sz w:val="22"/>
        </w:rPr>
        <w:t>If </w:t>
      </w:r>
      <w:r>
        <w:rPr>
          <w:color w:val="3B3A3B"/>
          <w:w w:val="110"/>
        </w:rPr>
        <w:t>you read that log without knowing the details, you would no doubt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jump to the conclusion that the Captain was </w:t>
      </w:r>
      <w:r>
        <w:rPr>
          <w:i/>
          <w:color w:val="3B3A3B"/>
          <w:w w:val="110"/>
        </w:rPr>
        <w:t>usually </w:t>
      </w:r>
      <w:r>
        <w:rPr>
          <w:color w:val="3B3A3B"/>
          <w:w w:val="110"/>
        </w:rPr>
        <w:t>drunk; thus, it was</w:t>
      </w:r>
      <w:r>
        <w:rPr>
          <w:color w:val="3B3A3B"/>
          <w:spacing w:val="1"/>
          <w:w w:val="110"/>
        </w:rPr>
        <w:t> </w:t>
      </w:r>
      <w:r>
        <w:rPr>
          <w:color w:val="3B3A3B"/>
          <w:spacing w:val="-1"/>
          <w:w w:val="110"/>
        </w:rPr>
        <w:t>worth recording </w:t>
      </w:r>
      <w:r>
        <w:rPr>
          <w:color w:val="3B3A3B"/>
          <w:w w:val="110"/>
        </w:rPr>
        <w:t>the rare occasion when he was sober. Scholars who study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10"/>
        </w:rPr>
        <w:t>narrative theory note that readers who  jump to conclusions probably do</w:t>
      </w:r>
      <w:r>
        <w:rPr>
          <w:color w:val="3B3A3B"/>
          <w:spacing w:val="1"/>
          <w:w w:val="110"/>
        </w:rPr>
        <w:t> </w:t>
      </w:r>
      <w:r>
        <w:rPr>
          <w:color w:val="3B3A3B"/>
          <w:spacing w:val="-1"/>
          <w:w w:val="110"/>
        </w:rPr>
        <w:t>so due to their conscious or unconscious </w:t>
      </w:r>
      <w:r>
        <w:rPr>
          <w:color w:val="3B3A3B"/>
          <w:w w:val="110"/>
        </w:rPr>
        <w:t>awareness of "stock stories," or</w:t>
      </w:r>
      <w:r>
        <w:rPr>
          <w:color w:val="3B3A3B"/>
          <w:spacing w:val="1"/>
          <w:w w:val="110"/>
        </w:rPr>
        <w:t> </w:t>
      </w:r>
      <w:r>
        <w:rPr>
          <w:color w:val="3B3A3B"/>
          <w:spacing w:val="-1"/>
          <w:w w:val="109"/>
        </w:rPr>
        <w:t>"schemas</w:t>
      </w:r>
      <w:r>
        <w:rPr>
          <w:color w:val="3B3A3B"/>
          <w:w w:val="109"/>
        </w:rPr>
        <w:t>"</w:t>
      </w:r>
      <w:r>
        <w:rPr>
          <w:color w:val="3B3A3B"/>
          <w:spacing w:val="15"/>
        </w:rPr>
        <w:t> </w:t>
      </w:r>
      <w:r>
        <w:rPr>
          <w:color w:val="3B3A3B"/>
          <w:spacing w:val="-1"/>
          <w:w w:val="118"/>
        </w:rPr>
        <w:t>tha</w:t>
      </w:r>
      <w:r>
        <w:rPr>
          <w:color w:val="3B3A3B"/>
          <w:w w:val="118"/>
        </w:rPr>
        <w:t>t</w:t>
      </w:r>
      <w:r>
        <w:rPr>
          <w:color w:val="3B3A3B"/>
          <w:spacing w:val="16"/>
        </w:rPr>
        <w:t> </w:t>
      </w:r>
      <w:r>
        <w:rPr>
          <w:color w:val="3B3A3B"/>
          <w:spacing w:val="-1"/>
          <w:w w:val="118"/>
        </w:rPr>
        <w:t>the</w:t>
      </w:r>
      <w:r>
        <w:rPr>
          <w:color w:val="3B3A3B"/>
          <w:w w:val="118"/>
        </w:rPr>
        <w:t>y</w:t>
      </w:r>
      <w:r>
        <w:rPr>
          <w:color w:val="3B3A3B"/>
          <w:spacing w:val="4"/>
        </w:rPr>
        <w:t> </w:t>
      </w:r>
      <w:r>
        <w:rPr>
          <w:color w:val="3B3A3B"/>
          <w:w w:val="113"/>
        </w:rPr>
        <w:t>have</w:t>
      </w:r>
      <w:r>
        <w:rPr>
          <w:color w:val="3B3A3B"/>
          <w:spacing w:val="11"/>
        </w:rPr>
        <w:t> </w:t>
      </w:r>
      <w:r>
        <w:rPr>
          <w:color w:val="3B3A3B"/>
          <w:w w:val="113"/>
        </w:rPr>
        <w:t>been</w:t>
      </w:r>
      <w:r>
        <w:rPr>
          <w:color w:val="3B3A3B"/>
          <w:spacing w:val="9"/>
        </w:rPr>
        <w:t> </w:t>
      </w:r>
      <w:r>
        <w:rPr>
          <w:color w:val="3B3A3B"/>
          <w:spacing w:val="-1"/>
          <w:w w:val="113"/>
        </w:rPr>
        <w:t>accumulatin</w:t>
      </w:r>
      <w:r>
        <w:rPr>
          <w:color w:val="3B3A3B"/>
          <w:w w:val="113"/>
        </w:rPr>
        <w:t>g</w:t>
      </w:r>
      <w:r>
        <w:rPr>
          <w:color w:val="3B3A3B"/>
          <w:spacing w:val="14"/>
        </w:rPr>
        <w:t> </w:t>
      </w:r>
      <w:r>
        <w:rPr>
          <w:color w:val="3B3A3B"/>
          <w:spacing w:val="-1"/>
          <w:w w:val="113"/>
        </w:rPr>
        <w:t>al</w:t>
      </w:r>
      <w:r>
        <w:rPr>
          <w:color w:val="3B3A3B"/>
          <w:w w:val="113"/>
        </w:rPr>
        <w:t>l</w:t>
      </w:r>
      <w:r>
        <w:rPr>
          <w:color w:val="3B3A3B"/>
          <w:spacing w:val="9"/>
        </w:rPr>
        <w:t> </w:t>
      </w:r>
      <w:r>
        <w:rPr>
          <w:color w:val="3B3A3B"/>
          <w:w w:val="105"/>
        </w:rPr>
        <w:t>of</w:t>
      </w:r>
      <w:r>
        <w:rPr>
          <w:color w:val="3B3A3B"/>
          <w:spacing w:val="25"/>
        </w:rPr>
        <w:t> </w:t>
      </w:r>
      <w:r>
        <w:rPr>
          <w:color w:val="3B3A3B"/>
          <w:spacing w:val="-1"/>
          <w:w w:val="117"/>
        </w:rPr>
        <w:t>thei</w:t>
      </w:r>
      <w:r>
        <w:rPr>
          <w:color w:val="3B3A3B"/>
          <w:w w:val="117"/>
        </w:rPr>
        <w:t>r</w:t>
      </w:r>
      <w:r>
        <w:rPr>
          <w:color w:val="3B3A3B"/>
          <w:spacing w:val="12"/>
        </w:rPr>
        <w:t> </w:t>
      </w:r>
      <w:r>
        <w:rPr>
          <w:color w:val="3B3A3B"/>
          <w:spacing w:val="-1"/>
          <w:w w:val="109"/>
        </w:rPr>
        <w:t>lives</w:t>
      </w:r>
      <w:r>
        <w:rPr>
          <w:color w:val="3B3A3B"/>
          <w:spacing w:val="-3"/>
          <w:w w:val="109"/>
        </w:rPr>
        <w:t>.</w:t>
      </w:r>
      <w:r>
        <w:rPr>
          <w:rFonts w:ascii="Arial"/>
          <w:color w:val="3B3A3B"/>
          <w:spacing w:val="-1"/>
          <w:w w:val="109"/>
          <w:position w:val="10"/>
          <w:sz w:val="11"/>
        </w:rPr>
        <w:t>1</w:t>
      </w:r>
      <w:r>
        <w:rPr>
          <w:rFonts w:ascii="Arial"/>
          <w:color w:val="3B3A3B"/>
          <w:w w:val="109"/>
          <w:position w:val="10"/>
          <w:sz w:val="11"/>
        </w:rPr>
        <w:t>4</w:t>
      </w:r>
      <w:r>
        <w:rPr>
          <w:rFonts w:ascii="Arial"/>
          <w:color w:val="3B3A3B"/>
          <w:position w:val="10"/>
          <w:sz w:val="11"/>
        </w:rPr>
        <w:t>  </w:t>
      </w:r>
      <w:r>
        <w:rPr>
          <w:rFonts w:ascii="Arial"/>
          <w:color w:val="3B3A3B"/>
          <w:spacing w:val="4"/>
          <w:position w:val="10"/>
          <w:sz w:val="11"/>
        </w:rPr>
        <w:t> </w:t>
      </w:r>
      <w:r>
        <w:rPr>
          <w:color w:val="3B3A3B"/>
          <w:spacing w:val="-1"/>
          <w:w w:val="95"/>
        </w:rPr>
        <w:t>Because </w:t>
      </w:r>
      <w:r>
        <w:rPr>
          <w:color w:val="3B3A3B"/>
          <w:w w:val="105"/>
        </w:rPr>
        <w:t>the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state of being sober is an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unremarkable fact for most people, a reader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10"/>
        </w:rPr>
        <w:t>subconsciously decides that if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mate wrote "the captain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was sober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today," he must have done so because the captain was usually </w:t>
      </w:r>
      <w:r>
        <w:rPr>
          <w:i/>
          <w:color w:val="3B3A3B"/>
          <w:w w:val="110"/>
        </w:rPr>
        <w:t>not </w:t>
      </w:r>
      <w:r>
        <w:rPr>
          <w:color w:val="3B3A3B"/>
          <w:w w:val="110"/>
        </w:rPr>
        <w:t>sober</w:t>
      </w:r>
      <w:r>
        <w:rPr>
          <w:color w:val="5D5D5E"/>
          <w:w w:val="110"/>
        </w:rPr>
        <w:t>.</w:t>
      </w:r>
      <w:r>
        <w:rPr>
          <w:color w:val="5D5D5E"/>
          <w:spacing w:val="1"/>
          <w:w w:val="110"/>
        </w:rPr>
        <w:t> </w:t>
      </w:r>
      <w:r>
        <w:rPr>
          <w:color w:val="3B3A3B"/>
          <w:w w:val="110"/>
        </w:rPr>
        <w:t>Narrative reasoning is logical reasoning. It consists of major and minor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premises,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just as traditional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reasoning does. The difference is that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premises are often  not  included explicitly in  the  written word; rather,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the writer relies on the reader's schemas to provide one or more of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relevant premises.</w:t>
      </w:r>
    </w:p>
    <w:p>
      <w:pPr>
        <w:pStyle w:val="BodyText"/>
        <w:spacing w:line="235" w:lineRule="auto" w:before="1"/>
        <w:ind w:left="666" w:right="154" w:firstLine="379"/>
        <w:jc w:val="both"/>
      </w:pPr>
      <w:r>
        <w:rPr>
          <w:color w:val="3B3A3B"/>
          <w:w w:val="110"/>
        </w:rPr>
        <w:t>Some schemas concern presumptions about howpeople communicate,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05"/>
        </w:rPr>
        <w:t>as</w:t>
      </w:r>
      <w:r>
        <w:rPr>
          <w:color w:val="3B3A3B"/>
          <w:spacing w:val="16"/>
          <w:w w:val="105"/>
        </w:rPr>
        <w:t> </w:t>
      </w:r>
      <w:r>
        <w:rPr>
          <w:color w:val="3B3A3B"/>
          <w:w w:val="105"/>
        </w:rPr>
        <w:t>in</w:t>
      </w:r>
      <w:r>
        <w:rPr>
          <w:color w:val="3B3A3B"/>
          <w:spacing w:val="37"/>
          <w:w w:val="105"/>
        </w:rPr>
        <w:t> </w:t>
      </w:r>
      <w:r>
        <w:rPr>
          <w:color w:val="3B3A3B"/>
          <w:w w:val="105"/>
        </w:rPr>
        <w:t>the</w:t>
      </w:r>
      <w:r>
        <w:rPr>
          <w:color w:val="3B3A3B"/>
          <w:spacing w:val="41"/>
          <w:w w:val="105"/>
        </w:rPr>
        <w:t> </w:t>
      </w:r>
      <w:r>
        <w:rPr>
          <w:color w:val="3B3A3B"/>
          <w:w w:val="105"/>
        </w:rPr>
        <w:t>first</w:t>
      </w:r>
      <w:r>
        <w:rPr>
          <w:color w:val="3B3A3B"/>
          <w:spacing w:val="16"/>
          <w:w w:val="105"/>
        </w:rPr>
        <w:t> </w:t>
      </w:r>
      <w:r>
        <w:rPr>
          <w:color w:val="3B3A3B"/>
          <w:w w:val="105"/>
        </w:rPr>
        <w:t>mate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story,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which</w:t>
      </w:r>
      <w:r>
        <w:rPr>
          <w:color w:val="3B3A3B"/>
          <w:spacing w:val="33"/>
          <w:w w:val="105"/>
        </w:rPr>
        <w:t> </w:t>
      </w:r>
      <w:r>
        <w:rPr>
          <w:color w:val="3B3A3B"/>
          <w:w w:val="105"/>
        </w:rPr>
        <w:t>we</w:t>
      </w:r>
      <w:r>
        <w:rPr>
          <w:color w:val="3B3A3B"/>
          <w:spacing w:val="-14"/>
          <w:w w:val="105"/>
        </w:rPr>
        <w:t> </w:t>
      </w:r>
      <w:r>
        <w:rPr>
          <w:color w:val="3B3A3B"/>
          <w:w w:val="105"/>
        </w:rPr>
        <w:t>can</w:t>
      </w:r>
      <w:r>
        <w:rPr>
          <w:color w:val="3B3A3B"/>
          <w:spacing w:val="43"/>
          <w:w w:val="105"/>
        </w:rPr>
        <w:t> </w:t>
      </w:r>
      <w:r>
        <w:rPr>
          <w:color w:val="3B3A3B"/>
          <w:w w:val="105"/>
        </w:rPr>
        <w:t>portray</w:t>
      </w:r>
      <w:r>
        <w:rPr>
          <w:color w:val="3B3A3B"/>
          <w:spacing w:val="8"/>
          <w:w w:val="105"/>
        </w:rPr>
        <w:t> </w:t>
      </w:r>
      <w:r>
        <w:rPr>
          <w:color w:val="3B3A3B"/>
          <w:w w:val="105"/>
        </w:rPr>
        <w:t>in</w:t>
      </w:r>
      <w:r>
        <w:rPr>
          <w:color w:val="3B3A3B"/>
          <w:spacing w:val="35"/>
          <w:w w:val="105"/>
        </w:rPr>
        <w:t> </w:t>
      </w:r>
      <w:r>
        <w:rPr>
          <w:color w:val="3B3A3B"/>
          <w:w w:val="105"/>
        </w:rPr>
        <w:t>a</w:t>
      </w:r>
      <w:r>
        <w:rPr>
          <w:color w:val="3B3A3B"/>
          <w:spacing w:val="8"/>
          <w:w w:val="105"/>
        </w:rPr>
        <w:t> </w:t>
      </w:r>
      <w:r>
        <w:rPr>
          <w:color w:val="3B3A3B"/>
          <w:w w:val="105"/>
        </w:rPr>
        <w:t>syllogism</w:t>
      </w:r>
      <w:r>
        <w:rPr>
          <w:color w:val="3B3A3B"/>
          <w:spacing w:val="41"/>
          <w:w w:val="105"/>
        </w:rPr>
        <w:t> </w:t>
      </w:r>
      <w:r>
        <w:rPr>
          <w:color w:val="3B3A3B"/>
          <w:w w:val="105"/>
        </w:rPr>
        <w:t>as</w:t>
      </w:r>
      <w:r>
        <w:rPr>
          <w:color w:val="3B3A3B"/>
          <w:spacing w:val="23"/>
          <w:w w:val="105"/>
        </w:rPr>
        <w:t> </w:t>
      </w:r>
      <w:r>
        <w:rPr>
          <w:color w:val="3B3A3B"/>
          <w:w w:val="105"/>
        </w:rPr>
        <w:t>follows: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spacing w:line="232" w:lineRule="auto" w:before="1"/>
        <w:ind w:left="564" w:right="132" w:firstLine="445"/>
        <w:jc w:val="both"/>
        <w:rPr>
          <w:sz w:val="18"/>
        </w:rPr>
      </w:pPr>
      <w:r>
        <w:rPr>
          <w:rFonts w:ascii="Arial" w:hAnsi="Arial"/>
          <w:color w:val="3B3A3B"/>
          <w:w w:val="105"/>
          <w:sz w:val="18"/>
          <w:vertAlign w:val="superscript"/>
        </w:rPr>
        <w:t>1</w:t>
      </w:r>
      <w:r>
        <w:rPr>
          <w:rFonts w:ascii="Arial" w:hAnsi="Arial"/>
          <w:color w:val="3B3A3B"/>
          <w:w w:val="105"/>
          <w:sz w:val="11"/>
          <w:vertAlign w:val="baseline"/>
        </w:rPr>
        <w:t>' </w:t>
      </w:r>
      <w:r>
        <w:rPr>
          <w:color w:val="3B3A3B"/>
          <w:w w:val="105"/>
          <w:sz w:val="18"/>
          <w:vertAlign w:val="baseline"/>
        </w:rPr>
        <w:t>Linda </w:t>
      </w:r>
      <w:r>
        <w:rPr>
          <w:color w:val="3B3A3B"/>
          <w:sz w:val="18"/>
          <w:vertAlign w:val="baseline"/>
        </w:rPr>
        <w:t>L</w:t>
      </w:r>
      <w:r>
        <w:rPr>
          <w:color w:val="757779"/>
          <w:sz w:val="18"/>
          <w:vertAlign w:val="baseline"/>
        </w:rPr>
        <w:t>. </w:t>
      </w:r>
      <w:r>
        <w:rPr>
          <w:color w:val="3B3A3B"/>
          <w:w w:val="105"/>
          <w:sz w:val="18"/>
          <w:vertAlign w:val="baseline"/>
        </w:rPr>
        <w:t>Berger, </w:t>
      </w:r>
      <w:r>
        <w:rPr>
          <w:i/>
          <w:color w:val="3B3A3B"/>
          <w:w w:val="105"/>
          <w:sz w:val="17"/>
          <w:vertAlign w:val="baseline"/>
        </w:rPr>
        <w:t>How Embedded Knowledge Stmctllres Affect fudlcial Decision </w:t>
      </w:r>
      <w:r>
        <w:rPr>
          <w:i/>
          <w:color w:val="3B3A3B"/>
          <w:sz w:val="17"/>
          <w:vertAlign w:val="baseline"/>
        </w:rPr>
        <w:t>Mak.l11g: </w:t>
      </w:r>
      <w:r>
        <w:rPr>
          <w:b/>
          <w:i/>
          <w:color w:val="3B3A3B"/>
          <w:sz w:val="16"/>
          <w:vertAlign w:val="baseline"/>
        </w:rPr>
        <w:t>A.</w:t>
      </w:r>
      <w:r>
        <w:rPr>
          <w:b/>
          <w:i/>
          <w:color w:val="3B3A3B"/>
          <w:spacing w:val="1"/>
          <w:sz w:val="16"/>
          <w:vertAlign w:val="baseline"/>
        </w:rPr>
        <w:t> </w:t>
      </w:r>
      <w:r>
        <w:rPr>
          <w:i/>
          <w:color w:val="3B3A3B"/>
          <w:w w:val="105"/>
          <w:sz w:val="17"/>
          <w:vertAlign w:val="baseline"/>
        </w:rPr>
        <w:t>Rhetorical Analysis of Metaphor, Narrative</w:t>
      </w:r>
      <w:r>
        <w:rPr>
          <w:i/>
          <w:color w:val="5D5D5E"/>
          <w:w w:val="105"/>
          <w:sz w:val="17"/>
          <w:vertAlign w:val="baseline"/>
        </w:rPr>
        <w:t>, </w:t>
      </w:r>
      <w:r>
        <w:rPr>
          <w:i/>
          <w:color w:val="3B3A3B"/>
          <w:w w:val="105"/>
          <w:sz w:val="17"/>
          <w:vertAlign w:val="baseline"/>
        </w:rPr>
        <w:t>and lmaginatio11 </w:t>
      </w:r>
      <w:r>
        <w:rPr>
          <w:color w:val="3B3A3B"/>
          <w:sz w:val="16"/>
          <w:vertAlign w:val="baseline"/>
        </w:rPr>
        <w:t>/11 </w:t>
      </w:r>
      <w:r>
        <w:rPr>
          <w:i/>
          <w:color w:val="3B3A3B"/>
          <w:w w:val="105"/>
          <w:sz w:val="17"/>
          <w:vertAlign w:val="baseline"/>
        </w:rPr>
        <w:t>Child Custody Disputes</w:t>
      </w:r>
      <w:r>
        <w:rPr>
          <w:i/>
          <w:color w:val="5D5D5E"/>
          <w:w w:val="105"/>
          <w:sz w:val="17"/>
          <w:vertAlign w:val="baseline"/>
        </w:rPr>
        <w:t>,</w:t>
      </w:r>
      <w:r>
        <w:rPr>
          <w:i/>
          <w:color w:val="5D5D5E"/>
          <w:spacing w:val="1"/>
          <w:w w:val="105"/>
          <w:sz w:val="17"/>
          <w:vertAlign w:val="baseline"/>
        </w:rPr>
        <w:t> </w:t>
      </w:r>
      <w:r>
        <w:rPr>
          <w:color w:val="3B3A3B"/>
          <w:w w:val="105"/>
          <w:sz w:val="17"/>
          <w:vertAlign w:val="baseline"/>
        </w:rPr>
        <w:t>18 S. </w:t>
      </w:r>
      <w:r>
        <w:rPr>
          <w:color w:val="3B3A3B"/>
          <w:w w:val="105"/>
          <w:sz w:val="16"/>
          <w:vertAlign w:val="baseline"/>
        </w:rPr>
        <w:t>Cal.</w:t>
      </w:r>
      <w:r>
        <w:rPr>
          <w:color w:val="3B3A3B"/>
          <w:spacing w:val="1"/>
          <w:w w:val="105"/>
          <w:sz w:val="16"/>
          <w:vertAlign w:val="baseline"/>
        </w:rPr>
        <w:t> </w:t>
      </w:r>
      <w:r>
        <w:rPr>
          <w:color w:val="3B3A3B"/>
          <w:spacing w:val="-1"/>
          <w:w w:val="110"/>
          <w:sz w:val="18"/>
          <w:vertAlign w:val="baseline"/>
        </w:rPr>
        <w:t>lnterdisc</w:t>
      </w:r>
      <w:r>
        <w:rPr>
          <w:color w:val="5D5D5E"/>
          <w:spacing w:val="-1"/>
          <w:w w:val="110"/>
          <w:sz w:val="18"/>
          <w:vertAlign w:val="baseline"/>
        </w:rPr>
        <w:t>. </w:t>
      </w:r>
      <w:r>
        <w:rPr>
          <w:color w:val="3B3A3B"/>
          <w:sz w:val="18"/>
          <w:vertAlign w:val="baseline"/>
        </w:rPr>
        <w:t>L.J</w:t>
      </w:r>
      <w:r>
        <w:rPr>
          <w:color w:val="5D5D5E"/>
          <w:sz w:val="18"/>
          <w:vertAlign w:val="baseline"/>
        </w:rPr>
        <w:t>. </w:t>
      </w:r>
      <w:r>
        <w:rPr>
          <w:color w:val="3B3A3B"/>
          <w:w w:val="110"/>
          <w:sz w:val="18"/>
          <w:vertAlign w:val="baseline"/>
        </w:rPr>
        <w:t>259, 263 </w:t>
      </w:r>
      <w:r>
        <w:rPr>
          <w:rFonts w:ascii="Arial" w:hAnsi="Arial"/>
          <w:i/>
          <w:color w:val="3B3A3B"/>
          <w:w w:val="110"/>
          <w:sz w:val="14"/>
          <w:vertAlign w:val="baseline"/>
        </w:rPr>
        <w:t>(2009) </w:t>
      </w:r>
      <w:r>
        <w:rPr>
          <w:color w:val="3B3A3B"/>
          <w:w w:val="110"/>
          <w:sz w:val="18"/>
          <w:vertAlign w:val="baseline"/>
        </w:rPr>
        <w:t>("We make sense out of new experiences by placing them Into cat­</w:t>
      </w:r>
      <w:r>
        <w:rPr>
          <w:color w:val="3B3A3B"/>
          <w:spacing w:val="-47"/>
          <w:w w:val="110"/>
          <w:sz w:val="18"/>
          <w:vertAlign w:val="baseline"/>
        </w:rPr>
        <w:t> </w:t>
      </w:r>
      <w:r>
        <w:rPr>
          <w:color w:val="3B3A3B"/>
          <w:w w:val="105"/>
          <w:sz w:val="18"/>
          <w:vertAlign w:val="baseline"/>
        </w:rPr>
        <w:t>egories and</w:t>
      </w:r>
      <w:r>
        <w:rPr>
          <w:color w:val="3B3A3B"/>
          <w:spacing w:val="1"/>
          <w:w w:val="105"/>
          <w:sz w:val="18"/>
          <w:vertAlign w:val="baseline"/>
        </w:rPr>
        <w:t> </w:t>
      </w:r>
      <w:r>
        <w:rPr>
          <w:color w:val="3B3A3B"/>
          <w:w w:val="105"/>
          <w:sz w:val="18"/>
          <w:vertAlign w:val="baseline"/>
        </w:rPr>
        <w:t>cognitive frames called schema or scripts that emerge from prior experience.") (cita­</w:t>
      </w:r>
      <w:r>
        <w:rPr>
          <w:color w:val="3B3A3B"/>
          <w:spacing w:val="1"/>
          <w:w w:val="105"/>
          <w:sz w:val="18"/>
          <w:vertAlign w:val="baseline"/>
        </w:rPr>
        <w:t> </w:t>
      </w:r>
      <w:r>
        <w:rPr>
          <w:color w:val="3B3A3B"/>
          <w:w w:val="110"/>
          <w:sz w:val="18"/>
          <w:vertAlign w:val="baseline"/>
        </w:rPr>
        <w:t>tionsomitted).</w:t>
      </w:r>
      <w:r>
        <w:rPr>
          <w:color w:val="3B3A3B"/>
          <w:spacing w:val="-15"/>
          <w:w w:val="110"/>
          <w:sz w:val="18"/>
          <w:vertAlign w:val="baseline"/>
        </w:rPr>
        <w:t> </w:t>
      </w:r>
      <w:r>
        <w:rPr>
          <w:color w:val="3B3A3B"/>
          <w:w w:val="110"/>
          <w:sz w:val="18"/>
          <w:vertAlign w:val="baseline"/>
        </w:rPr>
        <w:t>For</w:t>
      </w:r>
      <w:r>
        <w:rPr>
          <w:color w:val="3B3A3B"/>
          <w:spacing w:val="-20"/>
          <w:w w:val="110"/>
          <w:sz w:val="18"/>
          <w:vertAlign w:val="baseline"/>
        </w:rPr>
        <w:t> </w:t>
      </w:r>
      <w:r>
        <w:rPr>
          <w:color w:val="3B3A3B"/>
          <w:w w:val="110"/>
          <w:sz w:val="18"/>
          <w:vertAlign w:val="baseline"/>
        </w:rPr>
        <w:t>further</w:t>
      </w:r>
      <w:r>
        <w:rPr>
          <w:color w:val="3B3A3B"/>
          <w:spacing w:val="-16"/>
          <w:w w:val="110"/>
          <w:sz w:val="18"/>
          <w:vertAlign w:val="baseline"/>
        </w:rPr>
        <w:t> </w:t>
      </w:r>
      <w:r>
        <w:rPr>
          <w:color w:val="3B3A3B"/>
          <w:w w:val="110"/>
          <w:sz w:val="18"/>
          <w:vertAlign w:val="baseline"/>
        </w:rPr>
        <w:t>discussion</w:t>
      </w:r>
      <w:r>
        <w:rPr>
          <w:color w:val="3B3A3B"/>
          <w:spacing w:val="-2"/>
          <w:w w:val="110"/>
          <w:sz w:val="18"/>
          <w:vertAlign w:val="baseline"/>
        </w:rPr>
        <w:t> </w:t>
      </w:r>
      <w:r>
        <w:rPr>
          <w:color w:val="3B3A3B"/>
          <w:w w:val="110"/>
          <w:sz w:val="18"/>
          <w:vertAlign w:val="baseline"/>
        </w:rPr>
        <w:t>of</w:t>
      </w:r>
      <w:r>
        <w:rPr>
          <w:color w:val="3B3A3B"/>
          <w:spacing w:val="-5"/>
          <w:w w:val="110"/>
          <w:sz w:val="18"/>
          <w:vertAlign w:val="baseline"/>
        </w:rPr>
        <w:t> </w:t>
      </w:r>
      <w:r>
        <w:rPr>
          <w:color w:val="3B3A3B"/>
          <w:w w:val="110"/>
          <w:sz w:val="18"/>
          <w:vertAlign w:val="baseline"/>
        </w:rPr>
        <w:t>narrative</w:t>
      </w:r>
      <w:r>
        <w:rPr>
          <w:color w:val="3B3A3B"/>
          <w:spacing w:val="-13"/>
          <w:w w:val="110"/>
          <w:sz w:val="18"/>
          <w:vertAlign w:val="baseline"/>
        </w:rPr>
        <w:t> </w:t>
      </w:r>
      <w:r>
        <w:rPr>
          <w:color w:val="3B3A3B"/>
          <w:w w:val="110"/>
          <w:sz w:val="18"/>
          <w:vertAlign w:val="baseline"/>
        </w:rPr>
        <w:t>theory</w:t>
      </w:r>
      <w:r>
        <w:rPr>
          <w:color w:val="3B3A3B"/>
          <w:spacing w:val="-30"/>
          <w:w w:val="110"/>
          <w:sz w:val="18"/>
          <w:vertAlign w:val="baseline"/>
        </w:rPr>
        <w:t> </w:t>
      </w:r>
      <w:r>
        <w:rPr>
          <w:color w:val="3B3A3B"/>
          <w:w w:val="110"/>
          <w:sz w:val="18"/>
          <w:vertAlign w:val="baseline"/>
        </w:rPr>
        <w:t>and</w:t>
      </w:r>
      <w:r>
        <w:rPr>
          <w:color w:val="3B3A3B"/>
          <w:spacing w:val="-8"/>
          <w:w w:val="110"/>
          <w:sz w:val="18"/>
          <w:vertAlign w:val="baseline"/>
        </w:rPr>
        <w:t> </w:t>
      </w:r>
      <w:r>
        <w:rPr>
          <w:color w:val="3B3A3B"/>
          <w:w w:val="110"/>
          <w:sz w:val="18"/>
          <w:vertAlign w:val="baseline"/>
        </w:rPr>
        <w:t>other</w:t>
      </w:r>
      <w:r>
        <w:rPr>
          <w:color w:val="3B3A3B"/>
          <w:spacing w:val="-13"/>
          <w:w w:val="110"/>
          <w:sz w:val="18"/>
          <w:vertAlign w:val="baseline"/>
        </w:rPr>
        <w:t> </w:t>
      </w:r>
      <w:r>
        <w:rPr>
          <w:color w:val="3B3A3B"/>
          <w:w w:val="110"/>
          <w:sz w:val="18"/>
          <w:vertAlign w:val="baseline"/>
        </w:rPr>
        <w:t>persuasive</w:t>
      </w:r>
      <w:r>
        <w:rPr>
          <w:color w:val="3B3A3B"/>
          <w:spacing w:val="-13"/>
          <w:w w:val="110"/>
          <w:sz w:val="18"/>
          <w:vertAlign w:val="baseline"/>
        </w:rPr>
        <w:t> </w:t>
      </w:r>
      <w:r>
        <w:rPr>
          <w:color w:val="3B3A3B"/>
          <w:w w:val="110"/>
          <w:sz w:val="18"/>
          <w:vertAlign w:val="baseline"/>
        </w:rPr>
        <w:t>writing</w:t>
      </w:r>
      <w:r>
        <w:rPr>
          <w:color w:val="3B3A3B"/>
          <w:spacing w:val="-6"/>
          <w:w w:val="110"/>
          <w:sz w:val="18"/>
          <w:vertAlign w:val="baseline"/>
        </w:rPr>
        <w:t> </w:t>
      </w:r>
      <w:r>
        <w:rPr>
          <w:color w:val="3B3A3B"/>
          <w:w w:val="110"/>
          <w:sz w:val="18"/>
          <w:vertAlign w:val="baseline"/>
        </w:rPr>
        <w:t>techniques,</w:t>
      </w:r>
      <w:r>
        <w:rPr>
          <w:color w:val="3B3A3B"/>
          <w:spacing w:val="1"/>
          <w:w w:val="110"/>
          <w:sz w:val="18"/>
          <w:vertAlign w:val="baseline"/>
        </w:rPr>
        <w:t> </w:t>
      </w:r>
      <w:r>
        <w:rPr>
          <w:color w:val="3B3A3B"/>
          <w:sz w:val="18"/>
          <w:vertAlign w:val="baseline"/>
        </w:rPr>
        <w:t>see Michael R. Smith, </w:t>
      </w:r>
      <w:r>
        <w:rPr>
          <w:i/>
          <w:color w:val="3B3A3B"/>
          <w:sz w:val="17"/>
          <w:vertAlign w:val="baseline"/>
        </w:rPr>
        <w:t>Advanced</w:t>
      </w:r>
      <w:r>
        <w:rPr>
          <w:i/>
          <w:color w:val="3B3A3B"/>
          <w:spacing w:val="1"/>
          <w:sz w:val="17"/>
          <w:vertAlign w:val="baseline"/>
        </w:rPr>
        <w:t> </w:t>
      </w:r>
      <w:r>
        <w:rPr>
          <w:i/>
          <w:color w:val="3B3A3B"/>
          <w:sz w:val="17"/>
          <w:vertAlign w:val="baseline"/>
        </w:rPr>
        <w:t>Legal Writing: Theories and</w:t>
      </w:r>
      <w:r>
        <w:rPr>
          <w:i/>
          <w:color w:val="3B3A3B"/>
          <w:spacing w:val="1"/>
          <w:sz w:val="17"/>
          <w:vertAlign w:val="baseline"/>
        </w:rPr>
        <w:t> </w:t>
      </w:r>
      <w:r>
        <w:rPr>
          <w:i/>
          <w:color w:val="3B3A3B"/>
          <w:sz w:val="17"/>
          <w:vertAlign w:val="baseline"/>
        </w:rPr>
        <w:t>Strategies </w:t>
      </w:r>
      <w:r>
        <w:rPr>
          <w:i/>
          <w:color w:val="3B3A3B"/>
          <w:sz w:val="16"/>
          <w:vertAlign w:val="baseline"/>
        </w:rPr>
        <w:t>/11 </w:t>
      </w:r>
      <w:r>
        <w:rPr>
          <w:i/>
          <w:color w:val="3B3A3B"/>
          <w:sz w:val="17"/>
          <w:vertAlign w:val="baseline"/>
        </w:rPr>
        <w:t>Persuasive Writing </w:t>
      </w:r>
      <w:r>
        <w:rPr>
          <w:color w:val="3B3A3B"/>
          <w:sz w:val="18"/>
          <w:vertAlign w:val="baseline"/>
        </w:rPr>
        <w:t>(3d ed.</w:t>
      </w:r>
      <w:r>
        <w:rPr>
          <w:color w:val="5D5D5E"/>
          <w:sz w:val="18"/>
          <w:vertAlign w:val="baseline"/>
        </w:rPr>
        <w:t>,</w:t>
      </w:r>
      <w:r>
        <w:rPr>
          <w:color w:val="5D5D5E"/>
          <w:spacing w:val="1"/>
          <w:sz w:val="18"/>
          <w:vertAlign w:val="baseline"/>
        </w:rPr>
        <w:t> </w:t>
      </w:r>
      <w:r>
        <w:rPr>
          <w:color w:val="3B3A3B"/>
          <w:w w:val="105"/>
          <w:sz w:val="18"/>
          <w:vertAlign w:val="baseline"/>
        </w:rPr>
        <w:t>Aspen 2012); Ruth Anne Robbins, </w:t>
      </w:r>
      <w:r>
        <w:rPr>
          <w:i/>
          <w:color w:val="3B3A3B"/>
          <w:w w:val="105"/>
          <w:sz w:val="17"/>
          <w:vertAlign w:val="baseline"/>
        </w:rPr>
        <w:t>Steve </w:t>
      </w:r>
      <w:r>
        <w:rPr>
          <w:color w:val="3B3A3B"/>
          <w:w w:val="105"/>
          <w:sz w:val="18"/>
          <w:vertAlign w:val="baseline"/>
        </w:rPr>
        <w:t>Johansen </w:t>
      </w:r>
      <w:r>
        <w:rPr>
          <w:color w:val="3B3A3B"/>
          <w:w w:val="105"/>
          <w:sz w:val="16"/>
          <w:vertAlign w:val="baseline"/>
        </w:rPr>
        <w:t>&amp; </w:t>
      </w:r>
      <w:r>
        <w:rPr>
          <w:color w:val="3B3A3B"/>
          <w:w w:val="105"/>
          <w:sz w:val="18"/>
          <w:vertAlign w:val="baseline"/>
        </w:rPr>
        <w:t>Ken Chestek, </w:t>
      </w:r>
      <w:r>
        <w:rPr>
          <w:i/>
          <w:color w:val="3B3A3B"/>
          <w:w w:val="105"/>
          <w:sz w:val="17"/>
          <w:vertAlign w:val="baseline"/>
        </w:rPr>
        <w:t>Your Cli</w:t>
      </w:r>
      <w:r>
        <w:rPr>
          <w:i/>
          <w:color w:val="5D5D5E"/>
          <w:w w:val="105"/>
          <w:sz w:val="17"/>
          <w:vertAlign w:val="baseline"/>
        </w:rPr>
        <w:t>e</w:t>
      </w:r>
      <w:r>
        <w:rPr>
          <w:i/>
          <w:color w:val="3B3A3B"/>
          <w:w w:val="105"/>
          <w:sz w:val="17"/>
          <w:vertAlign w:val="baseline"/>
        </w:rPr>
        <w:t>nt's Story</w:t>
      </w:r>
      <w:r>
        <w:rPr>
          <w:i/>
          <w:color w:val="5D5D5E"/>
          <w:w w:val="105"/>
          <w:sz w:val="17"/>
          <w:vertAlign w:val="baseline"/>
        </w:rPr>
        <w:t>: </w:t>
      </w:r>
      <w:r>
        <w:rPr>
          <w:i/>
          <w:color w:val="3B3A3B"/>
          <w:sz w:val="17"/>
          <w:vertAlign w:val="baseline"/>
        </w:rPr>
        <w:t>Pers11asive</w:t>
      </w:r>
      <w:r>
        <w:rPr>
          <w:i/>
          <w:color w:val="3B3A3B"/>
          <w:spacing w:val="1"/>
          <w:sz w:val="17"/>
          <w:vertAlign w:val="baseline"/>
        </w:rPr>
        <w:t> </w:t>
      </w:r>
      <w:r>
        <w:rPr>
          <w:i/>
          <w:color w:val="3B3A3B"/>
          <w:w w:val="110"/>
          <w:sz w:val="17"/>
          <w:vertAlign w:val="baseline"/>
        </w:rPr>
        <w:t>Legal</w:t>
      </w:r>
      <w:r>
        <w:rPr>
          <w:i/>
          <w:color w:val="3B3A3B"/>
          <w:spacing w:val="-8"/>
          <w:w w:val="110"/>
          <w:sz w:val="17"/>
          <w:vertAlign w:val="baseline"/>
        </w:rPr>
        <w:t> </w:t>
      </w:r>
      <w:r>
        <w:rPr>
          <w:i/>
          <w:color w:val="3B3A3B"/>
          <w:w w:val="110"/>
          <w:sz w:val="17"/>
          <w:vertAlign w:val="baseline"/>
        </w:rPr>
        <w:t>Writing</w:t>
      </w:r>
      <w:r>
        <w:rPr>
          <w:i/>
          <w:color w:val="3B3A3B"/>
          <w:spacing w:val="-6"/>
          <w:w w:val="110"/>
          <w:sz w:val="17"/>
          <w:vertAlign w:val="baseline"/>
        </w:rPr>
        <w:t> </w:t>
      </w:r>
      <w:r>
        <w:rPr>
          <w:color w:val="3B3A3B"/>
          <w:w w:val="110"/>
          <w:sz w:val="18"/>
          <w:vertAlign w:val="baseline"/>
        </w:rPr>
        <w:t>(Aspen</w:t>
      </w:r>
      <w:r>
        <w:rPr>
          <w:color w:val="3B3A3B"/>
          <w:spacing w:val="3"/>
          <w:w w:val="110"/>
          <w:sz w:val="18"/>
          <w:vertAlign w:val="baseline"/>
        </w:rPr>
        <w:t> </w:t>
      </w:r>
      <w:r>
        <w:rPr>
          <w:color w:val="3B3A3B"/>
          <w:w w:val="110"/>
          <w:sz w:val="18"/>
          <w:vertAlign w:val="baseline"/>
        </w:rPr>
        <w:t>2012).</w:t>
      </w:r>
    </w:p>
    <w:p>
      <w:pPr>
        <w:spacing w:after="0" w:line="232" w:lineRule="auto"/>
        <w:jc w:val="both"/>
        <w:rPr>
          <w:sz w:val="18"/>
        </w:rPr>
        <w:sectPr>
          <w:headerReference w:type="even" r:id="rId232"/>
          <w:headerReference w:type="default" r:id="rId233"/>
          <w:pgSz w:w="9900" w:h="14020"/>
          <w:pgMar w:header="448" w:footer="0" w:top="1040" w:bottom="0" w:left="1380" w:right="200"/>
          <w:pgNumType w:start="204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9730" w:h="14020"/>
          <w:pgMar w:header="631" w:footer="0" w:top="840" w:bottom="280" w:left="300" w:right="1340"/>
        </w:sectPr>
      </w:pPr>
    </w:p>
    <w:p>
      <w:pPr>
        <w:pStyle w:val="BodyText"/>
        <w:spacing w:before="10"/>
        <w:rPr>
          <w:sz w:val="22"/>
        </w:rPr>
      </w:pPr>
    </w:p>
    <w:p>
      <w:pPr>
        <w:spacing w:line="263" w:lineRule="exact" w:before="0"/>
        <w:ind w:left="430" w:right="0" w:firstLine="0"/>
        <w:jc w:val="left"/>
        <w:rPr>
          <w:i/>
          <w:sz w:val="24"/>
        </w:rPr>
      </w:pPr>
      <w:r>
        <w:rPr>
          <w:i/>
          <w:color w:val="3A3838"/>
          <w:w w:val="95"/>
          <w:sz w:val="24"/>
        </w:rPr>
        <w:t>Issue:</w:t>
      </w:r>
    </w:p>
    <w:p>
      <w:pPr>
        <w:spacing w:line="263" w:lineRule="exact" w:before="0"/>
        <w:ind w:left="416" w:right="0" w:firstLine="0"/>
        <w:jc w:val="left"/>
        <w:rPr>
          <w:i/>
          <w:sz w:val="24"/>
        </w:rPr>
      </w:pPr>
      <w:r>
        <w:rPr>
          <w:i/>
          <w:color w:val="3A3838"/>
          <w:w w:val="90"/>
          <w:sz w:val="24"/>
        </w:rPr>
        <w:t>(Unstated)</w:t>
      </w:r>
      <w:r>
        <w:rPr>
          <w:i/>
          <w:color w:val="3A3838"/>
          <w:spacing w:val="5"/>
          <w:w w:val="90"/>
          <w:sz w:val="24"/>
        </w:rPr>
        <w:t> </w:t>
      </w:r>
      <w:r>
        <w:rPr>
          <w:i/>
          <w:color w:val="3A3838"/>
          <w:w w:val="90"/>
          <w:sz w:val="24"/>
        </w:rPr>
        <w:t>Major</w:t>
      </w:r>
      <w:r>
        <w:rPr>
          <w:i/>
          <w:color w:val="3A3838"/>
          <w:spacing w:val="50"/>
          <w:w w:val="90"/>
          <w:sz w:val="24"/>
        </w:rPr>
        <w:t> </w:t>
      </w:r>
      <w:r>
        <w:rPr>
          <w:i/>
          <w:color w:val="3A3838"/>
          <w:w w:val="90"/>
          <w:sz w:val="24"/>
        </w:rPr>
        <w:t>premise:</w:t>
      </w:r>
    </w:p>
    <w:p>
      <w:pPr>
        <w:pStyle w:val="BodyText"/>
        <w:rPr>
          <w:i/>
          <w:sz w:val="26"/>
        </w:rPr>
      </w:pPr>
    </w:p>
    <w:p>
      <w:pPr>
        <w:spacing w:line="453" w:lineRule="auto" w:before="206"/>
        <w:ind w:left="416" w:right="0" w:firstLine="6"/>
        <w:jc w:val="left"/>
        <w:rPr>
          <w:i/>
          <w:sz w:val="24"/>
        </w:rPr>
      </w:pPr>
      <w:r>
        <w:rPr>
          <w:i/>
          <w:color w:val="3A3838"/>
          <w:w w:val="90"/>
          <w:sz w:val="24"/>
        </w:rPr>
        <w:t>Minor</w:t>
      </w:r>
      <w:r>
        <w:rPr>
          <w:i/>
          <w:color w:val="3A3838"/>
          <w:spacing w:val="14"/>
          <w:w w:val="90"/>
          <w:sz w:val="24"/>
        </w:rPr>
        <w:t> </w:t>
      </w:r>
      <w:r>
        <w:rPr>
          <w:i/>
          <w:color w:val="3A3838"/>
          <w:w w:val="90"/>
          <w:sz w:val="24"/>
        </w:rPr>
        <w:t>premise:</w:t>
      </w:r>
      <w:r>
        <w:rPr>
          <w:i/>
          <w:color w:val="3A3838"/>
          <w:spacing w:val="-51"/>
          <w:w w:val="90"/>
          <w:sz w:val="24"/>
        </w:rPr>
        <w:t> </w:t>
      </w:r>
      <w:r>
        <w:rPr>
          <w:i/>
          <w:color w:val="3A3838"/>
          <w:sz w:val="24"/>
        </w:rPr>
        <w:t>Conclusion:</w:t>
      </w:r>
    </w:p>
    <w:p>
      <w:pPr>
        <w:spacing w:line="240" w:lineRule="auto" w:before="8"/>
        <w:rPr>
          <w:i/>
          <w:sz w:val="23"/>
        </w:rPr>
      </w:pPr>
      <w:r>
        <w:rPr/>
        <w:br w:type="column"/>
      </w:r>
      <w:r>
        <w:rPr>
          <w:i/>
          <w:sz w:val="23"/>
        </w:rPr>
      </w:r>
    </w:p>
    <w:p>
      <w:pPr>
        <w:pStyle w:val="BodyText"/>
        <w:ind w:left="201"/>
        <w:jc w:val="both"/>
      </w:pPr>
      <w:r>
        <w:rPr>
          <w:color w:val="3A3838"/>
          <w:w w:val="110"/>
        </w:rPr>
        <w:t>Is</w:t>
      </w:r>
      <w:r>
        <w:rPr>
          <w:color w:val="3A3838"/>
          <w:spacing w:val="-14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21"/>
          <w:w w:val="110"/>
        </w:rPr>
        <w:t> </w:t>
      </w:r>
      <w:r>
        <w:rPr>
          <w:color w:val="3A3838"/>
          <w:w w:val="110"/>
        </w:rPr>
        <w:t>captain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usually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drunk?</w:t>
      </w:r>
    </w:p>
    <w:p>
      <w:pPr>
        <w:pStyle w:val="BodyText"/>
        <w:spacing w:line="228" w:lineRule="auto" w:before="16"/>
        <w:ind w:left="195" w:right="582" w:firstLine="4"/>
        <w:jc w:val="both"/>
      </w:pPr>
      <w:r>
        <w:rPr>
          <w:color w:val="3A3838"/>
          <w:w w:val="110"/>
        </w:rPr>
        <w:t>Normal</w:t>
      </w:r>
      <w:r>
        <w:rPr>
          <w:color w:val="3A3838"/>
          <w:spacing w:val="-20"/>
          <w:w w:val="110"/>
        </w:rPr>
        <w:t> </w:t>
      </w:r>
      <w:r>
        <w:rPr>
          <w:color w:val="3A3838"/>
          <w:w w:val="110"/>
        </w:rPr>
        <w:t>states</w:t>
      </w:r>
      <w:r>
        <w:rPr>
          <w:color w:val="3A3838"/>
          <w:spacing w:val="-32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-5"/>
          <w:w w:val="110"/>
        </w:rPr>
        <w:t> </w:t>
      </w:r>
      <w:r>
        <w:rPr>
          <w:color w:val="3A3838"/>
          <w:w w:val="110"/>
        </w:rPr>
        <w:t>being</w:t>
      </w:r>
      <w:r>
        <w:rPr>
          <w:color w:val="3A3838"/>
          <w:spacing w:val="-40"/>
          <w:w w:val="110"/>
        </w:rPr>
        <w:t> </w:t>
      </w:r>
      <w:r>
        <w:rPr>
          <w:color w:val="3A3838"/>
          <w:w w:val="110"/>
        </w:rPr>
        <w:t>are</w:t>
      </w:r>
      <w:r>
        <w:rPr>
          <w:color w:val="3A3838"/>
          <w:spacing w:val="-15"/>
          <w:w w:val="110"/>
        </w:rPr>
        <w:t> </w:t>
      </w:r>
      <w:r>
        <w:rPr>
          <w:color w:val="3A3838"/>
          <w:w w:val="110"/>
        </w:rPr>
        <w:t>not</w:t>
      </w:r>
      <w:r>
        <w:rPr>
          <w:color w:val="3A3838"/>
          <w:spacing w:val="3"/>
          <w:w w:val="110"/>
        </w:rPr>
        <w:t> </w:t>
      </w:r>
      <w:r>
        <w:rPr>
          <w:color w:val="3A3838"/>
          <w:w w:val="110"/>
        </w:rPr>
        <w:t>worth</w:t>
      </w:r>
      <w:r>
        <w:rPr>
          <w:color w:val="3A3838"/>
          <w:spacing w:val="-13"/>
          <w:w w:val="110"/>
        </w:rPr>
        <w:t> </w:t>
      </w:r>
      <w:r>
        <w:rPr>
          <w:color w:val="3A3838"/>
          <w:w w:val="110"/>
        </w:rPr>
        <w:t>observ­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ing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recording;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only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unusual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behavior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should</w:t>
      </w:r>
      <w:r>
        <w:rPr>
          <w:color w:val="3A3838"/>
          <w:spacing w:val="-2"/>
          <w:w w:val="110"/>
        </w:rPr>
        <w:t> </w:t>
      </w:r>
      <w:r>
        <w:rPr>
          <w:color w:val="3A3838"/>
          <w:w w:val="110"/>
        </w:rPr>
        <w:t>be</w:t>
      </w:r>
      <w:r>
        <w:rPr>
          <w:color w:val="3A3838"/>
          <w:spacing w:val="-5"/>
          <w:w w:val="110"/>
        </w:rPr>
        <w:t> </w:t>
      </w:r>
      <w:r>
        <w:rPr>
          <w:color w:val="3A3838"/>
          <w:w w:val="110"/>
        </w:rPr>
        <w:t>recorded.</w:t>
      </w:r>
    </w:p>
    <w:p>
      <w:pPr>
        <w:pStyle w:val="BodyText"/>
        <w:spacing w:line="228" w:lineRule="auto" w:before="27"/>
        <w:ind w:left="199" w:right="568" w:hanging="9"/>
        <w:jc w:val="both"/>
      </w:pPr>
      <w:r>
        <w:rPr>
          <w:color w:val="3A3838"/>
          <w:w w:val="115"/>
        </w:rPr>
        <w:t>The first mate recorded the fact that the</w:t>
      </w:r>
      <w:r>
        <w:rPr>
          <w:color w:val="3A3838"/>
          <w:spacing w:val="1"/>
          <w:w w:val="115"/>
        </w:rPr>
        <w:t> </w:t>
      </w:r>
      <w:r>
        <w:rPr>
          <w:color w:val="3A3838"/>
          <w:spacing w:val="-1"/>
          <w:w w:val="110"/>
        </w:rPr>
        <w:t>captain</w:t>
      </w:r>
      <w:r>
        <w:rPr>
          <w:color w:val="3A3838"/>
          <w:spacing w:val="10"/>
          <w:w w:val="110"/>
        </w:rPr>
        <w:t> </w:t>
      </w:r>
      <w:r>
        <w:rPr>
          <w:color w:val="3A3838"/>
          <w:w w:val="110"/>
        </w:rPr>
        <w:t>was</w:t>
      </w:r>
      <w:r>
        <w:rPr>
          <w:color w:val="3A3838"/>
          <w:spacing w:val="-21"/>
          <w:w w:val="110"/>
        </w:rPr>
        <w:t> </w:t>
      </w:r>
      <w:r>
        <w:rPr>
          <w:color w:val="3A3838"/>
          <w:w w:val="110"/>
        </w:rPr>
        <w:t>sober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today.</w:t>
      </w:r>
    </w:p>
    <w:p>
      <w:pPr>
        <w:pStyle w:val="BodyText"/>
        <w:spacing w:line="228" w:lineRule="auto" w:before="18"/>
        <w:ind w:left="208" w:right="565" w:hanging="9"/>
        <w:jc w:val="both"/>
      </w:pPr>
      <w:r>
        <w:rPr>
          <w:color w:val="3A3838"/>
          <w:w w:val="110"/>
        </w:rPr>
        <w:t>Therefore, sobriety is not  his normal state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of being, and the captain must usually be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drunk.</w:t>
      </w:r>
    </w:p>
    <w:p>
      <w:pPr>
        <w:spacing w:after="0" w:line="228" w:lineRule="auto"/>
        <w:jc w:val="both"/>
        <w:sectPr>
          <w:type w:val="continuous"/>
          <w:pgSz w:w="9730" w:h="14020"/>
          <w:pgMar w:header="448" w:footer="0" w:top="340" w:bottom="280" w:left="300" w:right="1340"/>
          <w:cols w:num="2" w:equalWidth="0">
            <w:col w:w="2829" w:space="40"/>
            <w:col w:w="5221"/>
          </w:cols>
        </w:sectPr>
      </w:pPr>
    </w:p>
    <w:p>
      <w:pPr>
        <w:pStyle w:val="BodyText"/>
        <w:spacing w:before="8"/>
        <w:rPr>
          <w:sz w:val="12"/>
        </w:rPr>
      </w:pPr>
    </w:p>
    <w:p>
      <w:pPr>
        <w:pStyle w:val="BodyText"/>
        <w:spacing w:line="232" w:lineRule="auto" w:before="98"/>
        <w:ind w:left="103" w:right="527"/>
        <w:jc w:val="both"/>
      </w:pPr>
      <w:r>
        <w:rPr>
          <w:rFonts w:ascii="Arial" w:hAnsi="Arial"/>
          <w:color w:val="3A3838"/>
          <w:w w:val="110"/>
          <w:sz w:val="22"/>
        </w:rPr>
        <w:t>If </w:t>
      </w:r>
      <w:r>
        <w:rPr>
          <w:color w:val="3A3838"/>
          <w:w w:val="110"/>
        </w:rPr>
        <w:t>we can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assume that the captain was not actually a drunkard, the first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mate enlisted his readers and  had them tell themselves a lie on his behalf.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But even though the mate told the literal truth, he is not innocent of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lie: His knowledge of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human thought and behavior no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doubt told  him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how his readers would react, 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he wrote his truthful statement con­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scious</w:t>
      </w:r>
      <w:r>
        <w:rPr>
          <w:color w:val="3A3838"/>
          <w:spacing w:val="-19"/>
          <w:w w:val="105"/>
        </w:rPr>
        <w:t> </w:t>
      </w:r>
      <w:r>
        <w:rPr>
          <w:color w:val="3A3838"/>
          <w:w w:val="105"/>
        </w:rPr>
        <w:t>of</w:t>
      </w:r>
      <w:r>
        <w:rPr>
          <w:color w:val="3A3838"/>
          <w:spacing w:val="16"/>
          <w:w w:val="105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49"/>
          <w:w w:val="105"/>
        </w:rPr>
        <w:t> </w:t>
      </w:r>
      <w:r>
        <w:rPr>
          <w:color w:val="3A3838"/>
          <w:w w:val="105"/>
        </w:rPr>
        <w:t>untruth</w:t>
      </w:r>
      <w:r>
        <w:rPr>
          <w:color w:val="3A3838"/>
          <w:spacing w:val="6"/>
          <w:w w:val="105"/>
        </w:rPr>
        <w:t> </w:t>
      </w:r>
      <w:r>
        <w:rPr>
          <w:color w:val="3A3838"/>
          <w:w w:val="105"/>
        </w:rPr>
        <w:t>that</w:t>
      </w:r>
      <w:r>
        <w:rPr>
          <w:color w:val="3A3838"/>
          <w:spacing w:val="-5"/>
          <w:w w:val="105"/>
        </w:rPr>
        <w:t> </w:t>
      </w:r>
      <w:r>
        <w:rPr>
          <w:color w:val="3A3838"/>
          <w:w w:val="105"/>
        </w:rPr>
        <w:t>would</w:t>
      </w:r>
      <w:r>
        <w:rPr>
          <w:color w:val="3A3838"/>
          <w:spacing w:val="9"/>
          <w:w w:val="105"/>
        </w:rPr>
        <w:t> </w:t>
      </w:r>
      <w:r>
        <w:rPr>
          <w:color w:val="3A3838"/>
          <w:w w:val="105"/>
        </w:rPr>
        <w:t>result.</w:t>
      </w:r>
      <w:r>
        <w:rPr>
          <w:color w:val="3A3838"/>
          <w:w w:val="105"/>
          <w:vertAlign w:val="superscript"/>
        </w:rPr>
        <w:t>15</w:t>
      </w:r>
    </w:p>
    <w:p>
      <w:pPr>
        <w:pStyle w:val="BodyText"/>
        <w:spacing w:line="232" w:lineRule="auto" w:before="2"/>
        <w:ind w:left="107" w:right="483" w:firstLine="329"/>
        <w:jc w:val="both"/>
      </w:pPr>
      <w:r>
        <w:rPr>
          <w:color w:val="3A3838"/>
          <w:w w:val="110"/>
        </w:rPr>
        <w:t>I am not telling you this story so that youwill make your readers lie to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themselves; rather, I want you to realize that whenever people read, many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different thought processes come into play</w:t>
      </w:r>
      <w:r>
        <w:rPr>
          <w:color w:val="575759"/>
          <w:w w:val="110"/>
        </w:rPr>
        <w:t>: </w:t>
      </w:r>
      <w:r>
        <w:rPr>
          <w:color w:val="3A3838"/>
          <w:w w:val="110"/>
        </w:rPr>
        <w:t>They usedeductive and induc­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tive reasoning, arid their own knowledge and prejudices, to fill in details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0"/>
        </w:rPr>
        <w:t>and jump to conclusions. Readers jump to conclusions </w:t>
      </w:r>
      <w:r>
        <w:rPr>
          <w:color w:val="3A3838"/>
          <w:w w:val="110"/>
        </w:rPr>
        <w:t>based not only on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information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that is included, but also based on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information that is not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included. </w:t>
      </w:r>
      <w:r>
        <w:rPr>
          <w:rFonts w:ascii="Arial" w:hAnsi="Arial"/>
          <w:color w:val="3A3838"/>
          <w:w w:val="110"/>
          <w:sz w:val="21"/>
        </w:rPr>
        <w:t>For </w:t>
      </w:r>
      <w:r>
        <w:rPr>
          <w:color w:val="3A3838"/>
          <w:w w:val="110"/>
        </w:rPr>
        <w:t>example, while I was in the middle of reading a novel set </w:t>
      </w:r>
      <w:r>
        <w:rPr>
          <w:color w:val="3A3838"/>
          <w:w w:val="110"/>
          <w:sz w:val="21"/>
        </w:rPr>
        <w:t>in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</w:rPr>
        <w:t>and written in the nineteenth century, a new male character was described</w:t>
      </w:r>
      <w:r>
        <w:rPr>
          <w:color w:val="3A3838"/>
          <w:spacing w:val="-61"/>
          <w:w w:val="110"/>
        </w:rPr>
        <w:t> </w:t>
      </w:r>
      <w:r>
        <w:rPr>
          <w:color w:val="3A3838"/>
          <w:spacing w:val="-1"/>
          <w:w w:val="110"/>
        </w:rPr>
        <w:t>as"clean-shaven." I suddenly realized </w:t>
      </w:r>
      <w:r>
        <w:rPr>
          <w:color w:val="3A3838"/>
          <w:w w:val="110"/>
        </w:rPr>
        <w:t>that all of the </w:t>
      </w:r>
      <w:r>
        <w:rPr>
          <w:i/>
          <w:color w:val="3A3838"/>
          <w:w w:val="110"/>
          <w:sz w:val="24"/>
        </w:rPr>
        <w:t>other </w:t>
      </w:r>
      <w:r>
        <w:rPr>
          <w:color w:val="3A3838"/>
          <w:w w:val="110"/>
        </w:rPr>
        <w:t>male characters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must have had "whiskers." I had pictured them as dean-shaven because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that fit with my schema, or default image, of adult males: Presume no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facial hair unless told otherwise. The author did not believe that whiskers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were worth mentioning, for in her world whiskers were the default mode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for</w:t>
      </w:r>
      <w:r>
        <w:rPr>
          <w:color w:val="3A3838"/>
          <w:spacing w:val="-16"/>
          <w:w w:val="110"/>
        </w:rPr>
        <w:t> </w:t>
      </w:r>
      <w:r>
        <w:rPr>
          <w:color w:val="3A3838"/>
          <w:w w:val="110"/>
        </w:rPr>
        <w:t>adult</w:t>
      </w:r>
      <w:r>
        <w:rPr>
          <w:color w:val="3A3838"/>
          <w:spacing w:val="2"/>
          <w:w w:val="110"/>
        </w:rPr>
        <w:t> </w:t>
      </w:r>
      <w:r>
        <w:rPr>
          <w:color w:val="3A3838"/>
          <w:w w:val="110"/>
        </w:rPr>
        <w:t>men.</w:t>
      </w:r>
    </w:p>
    <w:p>
      <w:pPr>
        <w:pStyle w:val="BodyText"/>
        <w:spacing w:line="232" w:lineRule="auto" w:before="11"/>
        <w:ind w:left="122" w:right="430" w:firstLine="327"/>
        <w:jc w:val="both"/>
      </w:pPr>
      <w:r>
        <w:rPr>
          <w:color w:val="3A3838"/>
          <w:w w:val="110"/>
        </w:rPr>
        <w:t>Although narrative reasoning may rely on schemas about human com­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munication, it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may also rely on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schemas about human or institutional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behavior. For example, you may remember the economic crisis of October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2008. As it happened, my husband and I were in Paris that week</w:t>
      </w:r>
      <w:r>
        <w:rPr>
          <w:color w:val="575759"/>
          <w:w w:val="105"/>
        </w:rPr>
        <w:t>, </w:t>
      </w:r>
      <w:r>
        <w:rPr>
          <w:color w:val="3A3838"/>
          <w:w w:val="105"/>
        </w:rPr>
        <w:t>and it was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Interesting to observe the crisis as it was reported </w:t>
      </w:r>
      <w:r>
        <w:rPr>
          <w:rFonts w:ascii="Arial" w:hAnsi="Arial"/>
          <w:color w:val="3A3838"/>
          <w:w w:val="110"/>
          <w:sz w:val="22"/>
        </w:rPr>
        <w:t>by </w:t>
      </w:r>
      <w:r>
        <w:rPr>
          <w:color w:val="3A3838"/>
          <w:w w:val="110"/>
        </w:rPr>
        <w:t>French newspapers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(through  my  feeble translations)  and  on  CNN  International. Whenever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I tried to tell the story, however, I could see my listeners shut down as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soon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as</w:t>
      </w:r>
      <w:r>
        <w:rPr>
          <w:color w:val="3A3838"/>
          <w:spacing w:val="21"/>
          <w:w w:val="110"/>
        </w:rPr>
        <w:t> </w:t>
      </w:r>
      <w:r>
        <w:rPr>
          <w:color w:val="3A3838"/>
          <w:w w:val="110"/>
        </w:rPr>
        <w:t>I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said,</w:t>
      </w:r>
      <w:r>
        <w:rPr>
          <w:color w:val="3A3838"/>
          <w:spacing w:val="-5"/>
          <w:w w:val="110"/>
        </w:rPr>
        <w:t> </w:t>
      </w:r>
      <w:r>
        <w:rPr>
          <w:color w:val="3A3838"/>
          <w:w w:val="110"/>
        </w:rPr>
        <w:t>"My</w:t>
      </w:r>
      <w:r>
        <w:rPr>
          <w:color w:val="3A3838"/>
          <w:spacing w:val="19"/>
          <w:w w:val="110"/>
        </w:rPr>
        <w:t> </w:t>
      </w:r>
      <w:r>
        <w:rPr>
          <w:color w:val="3A3838"/>
          <w:w w:val="110"/>
        </w:rPr>
        <w:t>husband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and</w:t>
      </w:r>
      <w:r>
        <w:rPr>
          <w:color w:val="3A3838"/>
          <w:spacing w:val="35"/>
          <w:w w:val="110"/>
        </w:rPr>
        <w:t> </w:t>
      </w:r>
      <w:r>
        <w:rPr>
          <w:color w:val="3A3838"/>
          <w:w w:val="110"/>
        </w:rPr>
        <w:t>I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were</w:t>
      </w:r>
      <w:r>
        <w:rPr>
          <w:color w:val="3A3838"/>
          <w:spacing w:val="-3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12"/>
          <w:w w:val="110"/>
        </w:rPr>
        <w:t> </w:t>
      </w:r>
      <w:r>
        <w:rPr>
          <w:color w:val="3A3838"/>
          <w:w w:val="110"/>
        </w:rPr>
        <w:t>Paris,</w:t>
      </w:r>
      <w:r>
        <w:rPr>
          <w:color w:val="3A3838"/>
          <w:spacing w:val="-5"/>
          <w:w w:val="110"/>
        </w:rPr>
        <w:t> </w:t>
      </w:r>
      <w:r>
        <w:rPr>
          <w:color w:val="3A3838"/>
          <w:w w:val="110"/>
        </w:rPr>
        <w:t>and</w:t>
      </w:r>
      <w:r>
        <w:rPr>
          <w:color w:val="3A3838"/>
          <w:spacing w:val="57"/>
          <w:w w:val="110"/>
        </w:rPr>
        <w:t> </w:t>
      </w:r>
      <w:r>
        <w:rPr>
          <w:color w:val="3A3838"/>
          <w:w w:val="120"/>
        </w:rPr>
        <w:t>"Icould</w:t>
      </w:r>
      <w:r>
        <w:rPr>
          <w:color w:val="3A3838"/>
          <w:spacing w:val="-8"/>
          <w:w w:val="120"/>
        </w:rPr>
        <w:t> </w:t>
      </w:r>
      <w:r>
        <w:rPr>
          <w:color w:val="3A3838"/>
          <w:w w:val="110"/>
        </w:rPr>
        <w:t>almost</w:t>
      </w:r>
    </w:p>
    <w:p>
      <w:pPr>
        <w:pStyle w:val="BodyText"/>
        <w:spacing w:line="235" w:lineRule="auto"/>
        <w:ind w:left="125" w:right="417" w:firstLine="6"/>
        <w:jc w:val="both"/>
      </w:pPr>
      <w:r>
        <w:rPr>
          <w:color w:val="3A3838"/>
          <w:w w:val="110"/>
        </w:rPr>
        <w:t>hear them thinking, "must benice," and I hypothesize that their thoughts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could</w:t>
      </w:r>
      <w:r>
        <w:rPr>
          <w:color w:val="3A3838"/>
          <w:spacing w:val="10"/>
          <w:w w:val="105"/>
        </w:rPr>
        <w:t> </w:t>
      </w:r>
      <w:r>
        <w:rPr>
          <w:color w:val="3A3838"/>
          <w:w w:val="105"/>
        </w:rPr>
        <w:t>be</w:t>
      </w:r>
      <w:r>
        <w:rPr>
          <w:color w:val="3A3838"/>
          <w:spacing w:val="28"/>
          <w:w w:val="105"/>
        </w:rPr>
        <w:t> </w:t>
      </w:r>
      <w:r>
        <w:rPr>
          <w:color w:val="3A3838"/>
          <w:w w:val="105"/>
        </w:rPr>
        <w:t>put</w:t>
      </w:r>
      <w:r>
        <w:rPr>
          <w:color w:val="3A3838"/>
          <w:spacing w:val="2"/>
          <w:w w:val="105"/>
        </w:rPr>
        <w:t> </w:t>
      </w:r>
      <w:r>
        <w:rPr>
          <w:color w:val="3A3838"/>
          <w:w w:val="105"/>
        </w:rPr>
        <w:t>into</w:t>
      </w:r>
      <w:r>
        <w:rPr>
          <w:color w:val="3A3838"/>
          <w:spacing w:val="-14"/>
          <w:w w:val="105"/>
        </w:rPr>
        <w:t> </w:t>
      </w:r>
      <w:r>
        <w:rPr>
          <w:color w:val="3A3838"/>
          <w:w w:val="105"/>
        </w:rPr>
        <w:t>a</w:t>
      </w:r>
      <w:r>
        <w:rPr>
          <w:color w:val="3A3838"/>
          <w:spacing w:val="-4"/>
          <w:w w:val="105"/>
        </w:rPr>
        <w:t> </w:t>
      </w:r>
      <w:r>
        <w:rPr>
          <w:color w:val="3A3838"/>
          <w:w w:val="105"/>
        </w:rPr>
        <w:t>syllogism</w:t>
      </w:r>
      <w:r>
        <w:rPr>
          <w:color w:val="3A3838"/>
          <w:spacing w:val="14"/>
          <w:w w:val="105"/>
        </w:rPr>
        <w:t> </w:t>
      </w:r>
      <w:r>
        <w:rPr>
          <w:color w:val="3A3838"/>
          <w:w w:val="105"/>
        </w:rPr>
        <w:t>as</w:t>
      </w:r>
      <w:r>
        <w:rPr>
          <w:color w:val="3A3838"/>
          <w:spacing w:val="3"/>
          <w:w w:val="105"/>
        </w:rPr>
        <w:t> </w:t>
      </w:r>
      <w:r>
        <w:rPr>
          <w:color w:val="3A3838"/>
          <w:w w:val="105"/>
        </w:rPr>
        <w:t>follows: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4"/>
        </w:rPr>
      </w:pPr>
    </w:p>
    <w:p>
      <w:pPr>
        <w:spacing w:line="256" w:lineRule="exact" w:before="0"/>
        <w:ind w:left="458" w:right="0" w:firstLine="0"/>
        <w:jc w:val="left"/>
        <w:rPr>
          <w:sz w:val="17"/>
        </w:rPr>
      </w:pPr>
      <w:r>
        <w:rPr>
          <w:color w:val="575759"/>
          <w:spacing w:val="-1"/>
          <w:w w:val="110"/>
          <w:position w:val="4"/>
          <w:sz w:val="11"/>
        </w:rPr>
        <w:t>1</w:t>
      </w:r>
      <w:r>
        <w:rPr>
          <w:color w:val="3A3838"/>
          <w:spacing w:val="-1"/>
          <w:w w:val="110"/>
          <w:sz w:val="11"/>
        </w:rPr>
        <w:t>'</w:t>
      </w:r>
      <w:r>
        <w:rPr>
          <w:color w:val="3A3838"/>
          <w:spacing w:val="15"/>
          <w:w w:val="110"/>
          <w:sz w:val="11"/>
        </w:rPr>
        <w:t> </w:t>
      </w:r>
      <w:r>
        <w:rPr>
          <w:i/>
          <w:color w:val="3A3838"/>
          <w:spacing w:val="-1"/>
          <w:w w:val="110"/>
          <w:sz w:val="17"/>
        </w:rPr>
        <w:t>See</w:t>
      </w:r>
      <w:r>
        <w:rPr>
          <w:i/>
          <w:color w:val="3A3838"/>
          <w:spacing w:val="-26"/>
          <w:w w:val="110"/>
          <w:sz w:val="17"/>
        </w:rPr>
        <w:t> </w:t>
      </w:r>
      <w:r>
        <w:rPr>
          <w:color w:val="3A3838"/>
          <w:spacing w:val="-1"/>
          <w:w w:val="110"/>
          <w:sz w:val="17"/>
        </w:rPr>
        <w:t>Steven</w:t>
      </w:r>
      <w:r>
        <w:rPr>
          <w:color w:val="3A3838"/>
          <w:spacing w:val="-7"/>
          <w:w w:val="110"/>
          <w:sz w:val="17"/>
        </w:rPr>
        <w:t> </w:t>
      </w:r>
      <w:r>
        <w:rPr>
          <w:color w:val="3A3838"/>
          <w:spacing w:val="-1"/>
          <w:w w:val="110"/>
          <w:sz w:val="21"/>
        </w:rPr>
        <w:t>J.</w:t>
      </w:r>
      <w:r>
        <w:rPr>
          <w:color w:val="3A3838"/>
          <w:spacing w:val="-1"/>
          <w:w w:val="110"/>
          <w:sz w:val="17"/>
        </w:rPr>
        <w:t>Johansen</w:t>
      </w:r>
      <w:r>
        <w:rPr>
          <w:color w:val="575759"/>
          <w:spacing w:val="-1"/>
          <w:w w:val="110"/>
          <w:sz w:val="17"/>
        </w:rPr>
        <w:t>,</w:t>
      </w:r>
      <w:r>
        <w:rPr>
          <w:color w:val="575759"/>
          <w:spacing w:val="-4"/>
          <w:w w:val="110"/>
          <w:sz w:val="17"/>
        </w:rPr>
        <w:t> </w:t>
      </w:r>
      <w:r>
        <w:rPr>
          <w:i/>
          <w:color w:val="3A3838"/>
          <w:spacing w:val="-1"/>
          <w:w w:val="110"/>
          <w:sz w:val="17"/>
        </w:rPr>
        <w:t>This</w:t>
      </w:r>
      <w:r>
        <w:rPr>
          <w:i/>
          <w:color w:val="3A3838"/>
          <w:spacing w:val="-4"/>
          <w:w w:val="110"/>
          <w:sz w:val="17"/>
        </w:rPr>
        <w:t> </w:t>
      </w:r>
      <w:r>
        <w:rPr>
          <w:i/>
          <w:color w:val="3A3838"/>
          <w:spacing w:val="-1"/>
          <w:w w:val="110"/>
          <w:sz w:val="17"/>
        </w:rPr>
        <w:t>Is</w:t>
      </w:r>
      <w:r>
        <w:rPr>
          <w:i/>
          <w:color w:val="3A3838"/>
          <w:spacing w:val="-6"/>
          <w:w w:val="110"/>
          <w:sz w:val="17"/>
        </w:rPr>
        <w:t> </w:t>
      </w:r>
      <w:r>
        <w:rPr>
          <w:i/>
          <w:color w:val="3A3838"/>
          <w:spacing w:val="-1"/>
          <w:w w:val="110"/>
          <w:sz w:val="17"/>
        </w:rPr>
        <w:t>Not</w:t>
      </w:r>
      <w:r>
        <w:rPr>
          <w:i/>
          <w:color w:val="3A3838"/>
          <w:spacing w:val="5"/>
          <w:w w:val="110"/>
          <w:sz w:val="17"/>
        </w:rPr>
        <w:t> </w:t>
      </w:r>
      <w:r>
        <w:rPr>
          <w:i/>
          <w:color w:val="3A3838"/>
          <w:spacing w:val="-1"/>
          <w:w w:val="110"/>
          <w:sz w:val="17"/>
        </w:rPr>
        <w:t>tire</w:t>
      </w:r>
      <w:r>
        <w:rPr>
          <w:i/>
          <w:color w:val="3A3838"/>
          <w:spacing w:val="-18"/>
          <w:w w:val="110"/>
          <w:sz w:val="17"/>
        </w:rPr>
        <w:t> </w:t>
      </w:r>
      <w:r>
        <w:rPr>
          <w:i/>
          <w:color w:val="3A3838"/>
          <w:spacing w:val="-1"/>
          <w:w w:val="110"/>
          <w:sz w:val="17"/>
        </w:rPr>
        <w:t>Whole</w:t>
      </w:r>
      <w:r>
        <w:rPr>
          <w:i/>
          <w:color w:val="3A3838"/>
          <w:spacing w:val="-19"/>
          <w:w w:val="110"/>
          <w:sz w:val="17"/>
        </w:rPr>
        <w:t> </w:t>
      </w:r>
      <w:r>
        <w:rPr>
          <w:i/>
          <w:color w:val="3A3838"/>
          <w:spacing w:val="-1"/>
          <w:w w:val="110"/>
          <w:sz w:val="17"/>
        </w:rPr>
        <w:t>Trutlr</w:t>
      </w:r>
      <w:r>
        <w:rPr>
          <w:i/>
          <w:color w:val="575759"/>
          <w:spacing w:val="-1"/>
          <w:w w:val="110"/>
          <w:sz w:val="17"/>
        </w:rPr>
        <w:t>:</w:t>
      </w:r>
      <w:r>
        <w:rPr>
          <w:i/>
          <w:color w:val="575759"/>
          <w:spacing w:val="-18"/>
          <w:w w:val="110"/>
          <w:sz w:val="17"/>
        </w:rPr>
        <w:t> </w:t>
      </w:r>
      <w:r>
        <w:rPr>
          <w:i/>
          <w:color w:val="3A3838"/>
          <w:spacing w:val="-1"/>
          <w:w w:val="110"/>
          <w:sz w:val="17"/>
        </w:rPr>
        <w:t>Tir</w:t>
      </w:r>
      <w:r>
        <w:rPr>
          <w:i/>
          <w:color w:val="575759"/>
          <w:spacing w:val="-1"/>
          <w:w w:val="110"/>
          <w:sz w:val="17"/>
        </w:rPr>
        <w:t>e </w:t>
      </w:r>
      <w:r>
        <w:rPr>
          <w:i/>
          <w:color w:val="3A3838"/>
          <w:spacing w:val="-1"/>
          <w:w w:val="110"/>
          <w:sz w:val="17"/>
        </w:rPr>
        <w:t>Ethics</w:t>
      </w:r>
      <w:r>
        <w:rPr>
          <w:i/>
          <w:color w:val="3A3838"/>
          <w:spacing w:val="-7"/>
          <w:w w:val="110"/>
          <w:sz w:val="17"/>
        </w:rPr>
        <w:t> </w:t>
      </w:r>
      <w:r>
        <w:rPr>
          <w:i/>
          <w:color w:val="3A3838"/>
          <w:w w:val="110"/>
          <w:sz w:val="17"/>
        </w:rPr>
        <w:t>of</w:t>
      </w:r>
      <w:r>
        <w:rPr>
          <w:i/>
          <w:color w:val="3A3838"/>
          <w:spacing w:val="10"/>
          <w:w w:val="110"/>
          <w:sz w:val="17"/>
        </w:rPr>
        <w:t> </w:t>
      </w:r>
      <w:r>
        <w:rPr>
          <w:i/>
          <w:color w:val="3A3838"/>
          <w:w w:val="110"/>
          <w:sz w:val="17"/>
        </w:rPr>
        <w:t>Telling</w:t>
      </w:r>
      <w:r>
        <w:rPr>
          <w:i/>
          <w:color w:val="3A3838"/>
          <w:spacing w:val="-9"/>
          <w:w w:val="110"/>
          <w:sz w:val="17"/>
        </w:rPr>
        <w:t> </w:t>
      </w:r>
      <w:r>
        <w:rPr>
          <w:i/>
          <w:color w:val="3A3838"/>
          <w:w w:val="110"/>
          <w:sz w:val="17"/>
        </w:rPr>
        <w:t>Stories</w:t>
      </w:r>
      <w:r>
        <w:rPr>
          <w:i/>
          <w:color w:val="3A3838"/>
          <w:spacing w:val="-1"/>
          <w:w w:val="110"/>
          <w:sz w:val="17"/>
        </w:rPr>
        <w:t> </w:t>
      </w:r>
      <w:r>
        <w:rPr>
          <w:i/>
          <w:color w:val="3A3838"/>
          <w:w w:val="110"/>
          <w:sz w:val="17"/>
        </w:rPr>
        <w:t>to</w:t>
      </w:r>
      <w:r>
        <w:rPr>
          <w:i/>
          <w:color w:val="3A3838"/>
          <w:spacing w:val="5"/>
          <w:w w:val="110"/>
          <w:sz w:val="17"/>
        </w:rPr>
        <w:t> </w:t>
      </w:r>
      <w:r>
        <w:rPr>
          <w:i/>
          <w:color w:val="3A3838"/>
          <w:w w:val="110"/>
          <w:sz w:val="17"/>
        </w:rPr>
        <w:t>Clients,</w:t>
      </w:r>
      <w:r>
        <w:rPr>
          <w:color w:val="3A3838"/>
          <w:w w:val="110"/>
          <w:sz w:val="17"/>
        </w:rPr>
        <w:t>3</w:t>
      </w:r>
      <w:r>
        <w:rPr>
          <w:color w:val="3A3838"/>
          <w:w w:val="110"/>
          <w:position w:val="-4"/>
          <w:sz w:val="17"/>
        </w:rPr>
        <w:t>8</w:t>
      </w:r>
    </w:p>
    <w:p>
      <w:pPr>
        <w:spacing w:line="169" w:lineRule="exact" w:before="0"/>
        <w:ind w:left="134" w:right="0" w:firstLine="0"/>
        <w:jc w:val="both"/>
        <w:rPr>
          <w:sz w:val="17"/>
        </w:rPr>
      </w:pPr>
      <w:r>
        <w:rPr>
          <w:rFonts w:ascii="Arial" w:hAnsi="Arial"/>
          <w:color w:val="3A3838"/>
          <w:w w:val="110"/>
          <w:sz w:val="16"/>
        </w:rPr>
        <w:t>Ariz.</w:t>
      </w:r>
      <w:r>
        <w:rPr>
          <w:color w:val="3A3838"/>
          <w:w w:val="110"/>
          <w:sz w:val="17"/>
        </w:rPr>
        <w:t>St.</w:t>
      </w:r>
      <w:r>
        <w:rPr>
          <w:color w:val="3A3838"/>
          <w:spacing w:val="9"/>
          <w:w w:val="110"/>
          <w:sz w:val="17"/>
        </w:rPr>
        <w:t> </w:t>
      </w:r>
      <w:r>
        <w:rPr>
          <w:rFonts w:ascii="Arial" w:hAnsi="Arial"/>
          <w:color w:val="3A3838"/>
          <w:w w:val="110"/>
          <w:sz w:val="16"/>
        </w:rPr>
        <w:t>L.J</w:t>
      </w:r>
      <w:r>
        <w:rPr>
          <w:rFonts w:ascii="Arial" w:hAnsi="Arial"/>
          <w:color w:val="575759"/>
          <w:w w:val="110"/>
          <w:sz w:val="16"/>
        </w:rPr>
        <w:t>.</w:t>
      </w:r>
      <w:r>
        <w:rPr>
          <w:rFonts w:ascii="Arial" w:hAnsi="Arial"/>
          <w:color w:val="575759"/>
          <w:spacing w:val="-1"/>
          <w:w w:val="110"/>
          <w:sz w:val="16"/>
        </w:rPr>
        <w:t> </w:t>
      </w:r>
      <w:r>
        <w:rPr>
          <w:rFonts w:ascii="Arial" w:hAnsi="Arial"/>
          <w:color w:val="3A3838"/>
          <w:w w:val="110"/>
          <w:sz w:val="16"/>
        </w:rPr>
        <w:t>961,</w:t>
      </w:r>
      <w:r>
        <w:rPr>
          <w:rFonts w:ascii="Arial" w:hAnsi="Arial"/>
          <w:color w:val="3A3838"/>
          <w:spacing w:val="-11"/>
          <w:w w:val="110"/>
          <w:sz w:val="16"/>
        </w:rPr>
        <w:t> </w:t>
      </w:r>
      <w:r>
        <w:rPr>
          <w:rFonts w:ascii="Arial" w:hAnsi="Arial"/>
          <w:color w:val="3A3838"/>
          <w:w w:val="110"/>
          <w:sz w:val="16"/>
        </w:rPr>
        <w:t>992</w:t>
      </w:r>
      <w:r>
        <w:rPr>
          <w:rFonts w:ascii="Arial" w:hAnsi="Arial"/>
          <w:color w:val="3A3838"/>
          <w:spacing w:val="-11"/>
          <w:w w:val="110"/>
          <w:sz w:val="16"/>
        </w:rPr>
        <w:t> </w:t>
      </w:r>
      <w:r>
        <w:rPr>
          <w:rFonts w:ascii="Arial" w:hAnsi="Arial"/>
          <w:color w:val="3A3838"/>
          <w:w w:val="110"/>
          <w:sz w:val="16"/>
        </w:rPr>
        <w:t>(2006)</w:t>
      </w:r>
      <w:r>
        <w:rPr>
          <w:rFonts w:ascii="Arial" w:hAnsi="Arial"/>
          <w:color w:val="3A3838"/>
          <w:spacing w:val="-7"/>
          <w:w w:val="110"/>
          <w:sz w:val="16"/>
        </w:rPr>
        <w:t> </w:t>
      </w:r>
      <w:r>
        <w:rPr>
          <w:color w:val="3A3838"/>
          <w:w w:val="110"/>
          <w:sz w:val="17"/>
        </w:rPr>
        <w:t>("left</w:t>
      </w:r>
      <w:r>
        <w:rPr>
          <w:color w:val="3A3838"/>
          <w:spacing w:val="13"/>
          <w:w w:val="110"/>
          <w:sz w:val="17"/>
        </w:rPr>
        <w:t> </w:t>
      </w:r>
      <w:r>
        <w:rPr>
          <w:color w:val="3A3838"/>
          <w:w w:val="110"/>
          <w:sz w:val="17"/>
        </w:rPr>
        <w:t>unchecked        </w:t>
      </w:r>
      <w:r>
        <w:rPr>
          <w:color w:val="3A3838"/>
          <w:spacing w:val="6"/>
          <w:w w:val="110"/>
          <w:sz w:val="17"/>
        </w:rPr>
        <w:t> </w:t>
      </w:r>
      <w:r>
        <w:rPr>
          <w:color w:val="3A3838"/>
          <w:w w:val="110"/>
          <w:sz w:val="17"/>
        </w:rPr>
        <w:t>(the)</w:t>
      </w:r>
      <w:r>
        <w:rPr>
          <w:color w:val="3A3838"/>
          <w:spacing w:val="-7"/>
          <w:w w:val="110"/>
          <w:sz w:val="17"/>
        </w:rPr>
        <w:t> </w:t>
      </w:r>
      <w:r>
        <w:rPr>
          <w:color w:val="3A3838"/>
          <w:w w:val="110"/>
          <w:sz w:val="17"/>
        </w:rPr>
        <w:t>deception</w:t>
      </w:r>
      <w:r>
        <w:rPr>
          <w:color w:val="3A3838"/>
          <w:spacing w:val="15"/>
          <w:w w:val="110"/>
          <w:sz w:val="17"/>
        </w:rPr>
        <w:t> </w:t>
      </w:r>
      <w:r>
        <w:rPr>
          <w:color w:val="3A3838"/>
          <w:w w:val="110"/>
          <w:sz w:val="17"/>
        </w:rPr>
        <w:t>[of</w:t>
      </w:r>
      <w:r>
        <w:rPr>
          <w:color w:val="3A3838"/>
          <w:spacing w:val="22"/>
          <w:w w:val="110"/>
          <w:sz w:val="17"/>
        </w:rPr>
        <w:t> </w:t>
      </w:r>
      <w:r>
        <w:rPr>
          <w:color w:val="3A3838"/>
          <w:w w:val="110"/>
          <w:sz w:val="17"/>
        </w:rPr>
        <w:t>false</w:t>
      </w:r>
      <w:r>
        <w:rPr>
          <w:color w:val="3A3838"/>
          <w:spacing w:val="-9"/>
          <w:w w:val="110"/>
          <w:sz w:val="17"/>
        </w:rPr>
        <w:t> </w:t>
      </w:r>
      <w:r>
        <w:rPr>
          <w:color w:val="3A3838"/>
          <w:w w:val="110"/>
          <w:sz w:val="17"/>
        </w:rPr>
        <w:t>stories)</w:t>
      </w:r>
      <w:r>
        <w:rPr>
          <w:color w:val="3A3838"/>
          <w:spacing w:val="-5"/>
          <w:w w:val="110"/>
          <w:sz w:val="17"/>
        </w:rPr>
        <w:t> </w:t>
      </w:r>
      <w:r>
        <w:rPr>
          <w:color w:val="3A3838"/>
          <w:w w:val="110"/>
          <w:sz w:val="17"/>
        </w:rPr>
        <w:t>could</w:t>
      </w:r>
      <w:r>
        <w:rPr>
          <w:color w:val="3A3838"/>
          <w:spacing w:val="1"/>
          <w:w w:val="110"/>
          <w:sz w:val="17"/>
        </w:rPr>
        <w:t> </w:t>
      </w:r>
      <w:r>
        <w:rPr>
          <w:rFonts w:ascii="Arial" w:hAnsi="Arial"/>
          <w:color w:val="3A3838"/>
          <w:w w:val="110"/>
          <w:sz w:val="17"/>
        </w:rPr>
        <w:t>be</w:t>
      </w:r>
      <w:r>
        <w:rPr>
          <w:color w:val="3A3838"/>
          <w:w w:val="110"/>
          <w:sz w:val="17"/>
        </w:rPr>
        <w:t>disrup­</w:t>
      </w:r>
    </w:p>
    <w:p>
      <w:pPr>
        <w:spacing w:before="17"/>
        <w:ind w:left="132" w:right="0" w:firstLine="0"/>
        <w:jc w:val="both"/>
        <w:rPr>
          <w:sz w:val="17"/>
        </w:rPr>
      </w:pPr>
      <w:r>
        <w:rPr>
          <w:color w:val="3A3838"/>
          <w:spacing w:val="-1"/>
          <w:w w:val="110"/>
          <w:sz w:val="17"/>
        </w:rPr>
        <w:t>tive</w:t>
      </w:r>
      <w:r>
        <w:rPr>
          <w:color w:val="3A3838"/>
          <w:spacing w:val="-11"/>
          <w:w w:val="110"/>
          <w:sz w:val="17"/>
        </w:rPr>
        <w:t> </w:t>
      </w:r>
      <w:r>
        <w:rPr>
          <w:color w:val="3A3838"/>
          <w:spacing w:val="-1"/>
          <w:w w:val="110"/>
          <w:sz w:val="17"/>
        </w:rPr>
        <w:t>to</w:t>
      </w:r>
      <w:r>
        <w:rPr>
          <w:color w:val="3A3838"/>
          <w:spacing w:val="-3"/>
          <w:w w:val="110"/>
          <w:sz w:val="17"/>
        </w:rPr>
        <w:t> </w:t>
      </w:r>
      <w:r>
        <w:rPr>
          <w:color w:val="3A3838"/>
          <w:spacing w:val="-1"/>
          <w:w w:val="110"/>
          <w:sz w:val="17"/>
        </w:rPr>
        <w:t>our</w:t>
      </w:r>
      <w:r>
        <w:rPr>
          <w:color w:val="3A3838"/>
          <w:spacing w:val="29"/>
          <w:w w:val="110"/>
          <w:sz w:val="17"/>
        </w:rPr>
        <w:t> </w:t>
      </w:r>
      <w:r>
        <w:rPr>
          <w:color w:val="3A3838"/>
          <w:spacing w:val="-1"/>
          <w:w w:val="110"/>
          <w:sz w:val="17"/>
        </w:rPr>
        <w:t>legal</w:t>
      </w:r>
      <w:r>
        <w:rPr>
          <w:color w:val="3A3838"/>
          <w:spacing w:val="-4"/>
          <w:w w:val="110"/>
          <w:sz w:val="17"/>
        </w:rPr>
        <w:t> </w:t>
      </w:r>
      <w:r>
        <w:rPr>
          <w:color w:val="3A3838"/>
          <w:spacing w:val="-1"/>
          <w:w w:val="110"/>
          <w:sz w:val="17"/>
        </w:rPr>
        <w:t>system").</w:t>
      </w:r>
    </w:p>
    <w:p>
      <w:pPr>
        <w:spacing w:after="0"/>
        <w:jc w:val="both"/>
        <w:rPr>
          <w:sz w:val="17"/>
        </w:rPr>
        <w:sectPr>
          <w:type w:val="continuous"/>
          <w:pgSz w:w="9730" w:h="14020"/>
          <w:pgMar w:header="448" w:footer="0" w:top="340" w:bottom="280" w:left="300" w:right="1340"/>
        </w:sectPr>
      </w:pPr>
    </w:p>
    <w:p>
      <w:pPr>
        <w:spacing w:line="268" w:lineRule="exact" w:before="100"/>
        <w:ind w:left="1153" w:right="0" w:firstLine="0"/>
        <w:jc w:val="left"/>
        <w:rPr>
          <w:i/>
          <w:sz w:val="24"/>
        </w:rPr>
      </w:pPr>
      <w:r>
        <w:rPr>
          <w:i/>
          <w:color w:val="383638"/>
          <w:sz w:val="24"/>
        </w:rPr>
        <w:t>Issue:</w:t>
      </w:r>
    </w:p>
    <w:p>
      <w:pPr>
        <w:spacing w:line="268" w:lineRule="exact" w:before="0"/>
        <w:ind w:left="1138" w:right="0" w:firstLine="0"/>
        <w:jc w:val="left"/>
        <w:rPr>
          <w:i/>
          <w:sz w:val="24"/>
        </w:rPr>
      </w:pPr>
      <w:r>
        <w:rPr>
          <w:i/>
          <w:color w:val="383638"/>
          <w:spacing w:val="-1"/>
          <w:w w:val="95"/>
          <w:sz w:val="24"/>
        </w:rPr>
        <w:t>(Unstated)</w:t>
      </w:r>
      <w:r>
        <w:rPr>
          <w:i/>
          <w:color w:val="383638"/>
          <w:spacing w:val="-11"/>
          <w:w w:val="95"/>
          <w:sz w:val="24"/>
        </w:rPr>
        <w:t> </w:t>
      </w:r>
      <w:r>
        <w:rPr>
          <w:i/>
          <w:color w:val="383638"/>
          <w:w w:val="95"/>
          <w:sz w:val="24"/>
        </w:rPr>
        <w:t>Major</w:t>
      </w:r>
      <w:r>
        <w:rPr>
          <w:i/>
          <w:color w:val="383638"/>
          <w:spacing w:val="-7"/>
          <w:w w:val="95"/>
          <w:sz w:val="24"/>
        </w:rPr>
        <w:t> </w:t>
      </w:r>
      <w:r>
        <w:rPr>
          <w:i/>
          <w:color w:val="383638"/>
          <w:w w:val="95"/>
          <w:sz w:val="24"/>
        </w:rPr>
        <w:t>premise:</w:t>
      </w:r>
    </w:p>
    <w:p>
      <w:pPr>
        <w:pStyle w:val="BodyText"/>
        <w:spacing w:before="4"/>
        <w:rPr>
          <w:i/>
          <w:sz w:val="21"/>
        </w:rPr>
      </w:pPr>
    </w:p>
    <w:p>
      <w:pPr>
        <w:spacing w:line="228" w:lineRule="auto" w:before="0"/>
        <w:ind w:left="1129" w:right="-18" w:firstLine="0"/>
        <w:jc w:val="left"/>
        <w:rPr>
          <w:i/>
          <w:sz w:val="24"/>
        </w:rPr>
      </w:pPr>
      <w:r>
        <w:rPr>
          <w:i/>
          <w:color w:val="383638"/>
          <w:w w:val="95"/>
          <w:sz w:val="24"/>
        </w:rPr>
        <w:t>(Unstated) Major premise</w:t>
      </w:r>
      <w:r>
        <w:rPr>
          <w:i/>
          <w:color w:val="5B5B5D"/>
          <w:w w:val="95"/>
          <w:sz w:val="24"/>
        </w:rPr>
        <w:t>:</w:t>
      </w:r>
      <w:r>
        <w:rPr>
          <w:i/>
          <w:color w:val="5B5B5D"/>
          <w:spacing w:val="-55"/>
          <w:w w:val="95"/>
          <w:sz w:val="24"/>
        </w:rPr>
        <w:t> </w:t>
      </w:r>
      <w:r>
        <w:rPr>
          <w:i/>
          <w:color w:val="383638"/>
          <w:spacing w:val="-1"/>
          <w:w w:val="95"/>
          <w:sz w:val="24"/>
        </w:rPr>
        <w:t>(Unstated) </w:t>
      </w:r>
      <w:r>
        <w:rPr>
          <w:i/>
          <w:color w:val="383638"/>
          <w:w w:val="95"/>
          <w:sz w:val="24"/>
        </w:rPr>
        <w:t>Major premise:</w:t>
      </w:r>
      <w:r>
        <w:rPr>
          <w:i/>
          <w:color w:val="383638"/>
          <w:spacing w:val="-54"/>
          <w:w w:val="95"/>
          <w:sz w:val="24"/>
        </w:rPr>
        <w:t> </w:t>
      </w:r>
      <w:r>
        <w:rPr>
          <w:i/>
          <w:color w:val="383638"/>
          <w:sz w:val="24"/>
        </w:rPr>
        <w:t>Minor premise:</w:t>
      </w:r>
      <w:r>
        <w:rPr>
          <w:i/>
          <w:color w:val="383638"/>
          <w:spacing w:val="1"/>
          <w:sz w:val="24"/>
        </w:rPr>
        <w:t> </w:t>
      </w:r>
      <w:r>
        <w:rPr>
          <w:i/>
          <w:color w:val="383638"/>
          <w:sz w:val="24"/>
        </w:rPr>
        <w:t>Conclusion:</w:t>
      </w:r>
    </w:p>
    <w:p>
      <w:pPr>
        <w:pStyle w:val="BodyText"/>
        <w:spacing w:line="262" w:lineRule="exact" w:before="81"/>
        <w:ind w:left="223"/>
      </w:pPr>
      <w:r>
        <w:rPr/>
        <w:br w:type="column"/>
      </w:r>
      <w:r>
        <w:rPr>
          <w:color w:val="383638"/>
          <w:w w:val="105"/>
        </w:rPr>
        <w:t>Do I</w:t>
      </w:r>
      <w:r>
        <w:rPr>
          <w:color w:val="383638"/>
          <w:spacing w:val="8"/>
          <w:w w:val="105"/>
        </w:rPr>
        <w:t> </w:t>
      </w:r>
      <w:r>
        <w:rPr>
          <w:color w:val="383638"/>
          <w:w w:val="105"/>
        </w:rPr>
        <w:t>want</w:t>
      </w:r>
      <w:r>
        <w:rPr>
          <w:color w:val="383638"/>
          <w:spacing w:val="20"/>
          <w:w w:val="105"/>
        </w:rPr>
        <w:t> </w:t>
      </w:r>
      <w:r>
        <w:rPr>
          <w:color w:val="383638"/>
          <w:w w:val="105"/>
        </w:rPr>
        <w:t>to</w:t>
      </w:r>
      <w:r>
        <w:rPr>
          <w:color w:val="383638"/>
          <w:spacing w:val="5"/>
          <w:w w:val="105"/>
        </w:rPr>
        <w:t> </w:t>
      </w:r>
      <w:r>
        <w:rPr>
          <w:color w:val="383638"/>
          <w:w w:val="105"/>
        </w:rPr>
        <w:t>listen</w:t>
      </w:r>
      <w:r>
        <w:rPr>
          <w:color w:val="383638"/>
          <w:spacing w:val="16"/>
          <w:w w:val="105"/>
        </w:rPr>
        <w:t> </w:t>
      </w:r>
      <w:r>
        <w:rPr>
          <w:color w:val="383638"/>
          <w:w w:val="105"/>
        </w:rPr>
        <w:t>to</w:t>
      </w:r>
      <w:r>
        <w:rPr>
          <w:color w:val="383638"/>
          <w:spacing w:val="23"/>
          <w:w w:val="105"/>
        </w:rPr>
        <w:t> </w:t>
      </w:r>
      <w:r>
        <w:rPr>
          <w:color w:val="383638"/>
          <w:w w:val="105"/>
        </w:rPr>
        <w:t>Mary</w:t>
      </w:r>
      <w:r>
        <w:rPr>
          <w:color w:val="383638"/>
          <w:spacing w:val="15"/>
          <w:w w:val="105"/>
        </w:rPr>
        <w:t> </w:t>
      </w:r>
      <w:r>
        <w:rPr>
          <w:color w:val="383638"/>
          <w:w w:val="105"/>
        </w:rPr>
        <w:t>Beth's</w:t>
      </w:r>
      <w:r>
        <w:rPr>
          <w:color w:val="383638"/>
          <w:spacing w:val="3"/>
          <w:w w:val="105"/>
        </w:rPr>
        <w:t> </w:t>
      </w:r>
      <w:r>
        <w:rPr>
          <w:color w:val="383638"/>
          <w:w w:val="105"/>
        </w:rPr>
        <w:t>story?</w:t>
      </w:r>
    </w:p>
    <w:p>
      <w:pPr>
        <w:pStyle w:val="BodyText"/>
        <w:spacing w:line="244" w:lineRule="auto"/>
        <w:ind w:left="210" w:firstLine="1"/>
      </w:pPr>
      <w:r>
        <w:rPr>
          <w:color w:val="383638"/>
          <w:w w:val="110"/>
        </w:rPr>
        <w:t>I don't want to listen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her story if I don't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05"/>
        </w:rPr>
        <w:t>like</w:t>
      </w:r>
      <w:r>
        <w:rPr>
          <w:color w:val="383638"/>
          <w:spacing w:val="-14"/>
          <w:w w:val="105"/>
        </w:rPr>
        <w:t> </w:t>
      </w:r>
      <w:r>
        <w:rPr>
          <w:color w:val="383638"/>
          <w:w w:val="105"/>
        </w:rPr>
        <w:t>her.</w:t>
      </w:r>
    </w:p>
    <w:p>
      <w:pPr>
        <w:pStyle w:val="BodyText"/>
        <w:spacing w:line="243" w:lineRule="exact"/>
        <w:ind w:left="202"/>
      </w:pPr>
      <w:r>
        <w:rPr>
          <w:color w:val="383638"/>
          <w:w w:val="110"/>
        </w:rPr>
        <w:t>I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don't like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rich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people.</w:t>
      </w:r>
    </w:p>
    <w:p>
      <w:pPr>
        <w:pStyle w:val="BodyText"/>
        <w:spacing w:line="260" w:lineRule="exact"/>
        <w:ind w:left="204"/>
      </w:pPr>
      <w:r>
        <w:rPr>
          <w:color w:val="383638"/>
          <w:w w:val="105"/>
        </w:rPr>
        <w:t>People</w:t>
      </w:r>
      <w:r>
        <w:rPr>
          <w:color w:val="383638"/>
          <w:spacing w:val="5"/>
          <w:w w:val="105"/>
        </w:rPr>
        <w:t> </w:t>
      </w:r>
      <w:r>
        <w:rPr>
          <w:color w:val="383638"/>
          <w:w w:val="105"/>
        </w:rPr>
        <w:t>who</w:t>
      </w:r>
      <w:r>
        <w:rPr>
          <w:color w:val="383638"/>
          <w:spacing w:val="23"/>
          <w:w w:val="105"/>
        </w:rPr>
        <w:t> </w:t>
      </w:r>
      <w:r>
        <w:rPr>
          <w:color w:val="383638"/>
          <w:w w:val="105"/>
        </w:rPr>
        <w:t>go</w:t>
      </w:r>
      <w:r>
        <w:rPr>
          <w:color w:val="383638"/>
          <w:spacing w:val="16"/>
          <w:w w:val="105"/>
        </w:rPr>
        <w:t> </w:t>
      </w:r>
      <w:r>
        <w:rPr>
          <w:color w:val="383638"/>
          <w:w w:val="105"/>
        </w:rPr>
        <w:t>to</w:t>
      </w:r>
      <w:r>
        <w:rPr>
          <w:color w:val="383638"/>
          <w:spacing w:val="27"/>
          <w:w w:val="105"/>
        </w:rPr>
        <w:t> </w:t>
      </w:r>
      <w:r>
        <w:rPr>
          <w:color w:val="383638"/>
          <w:w w:val="105"/>
        </w:rPr>
        <w:t>Paris</w:t>
      </w:r>
      <w:r>
        <w:rPr>
          <w:color w:val="383638"/>
          <w:spacing w:val="-3"/>
          <w:w w:val="105"/>
        </w:rPr>
        <w:t> </w:t>
      </w:r>
      <w:r>
        <w:rPr>
          <w:color w:val="383638"/>
          <w:w w:val="105"/>
        </w:rPr>
        <w:t>are</w:t>
      </w:r>
      <w:r>
        <w:rPr>
          <w:color w:val="383638"/>
          <w:spacing w:val="16"/>
          <w:w w:val="105"/>
        </w:rPr>
        <w:t> </w:t>
      </w:r>
      <w:r>
        <w:rPr>
          <w:color w:val="383638"/>
          <w:w w:val="105"/>
        </w:rPr>
        <w:t>rich.</w:t>
      </w:r>
    </w:p>
    <w:p>
      <w:pPr>
        <w:pStyle w:val="BodyText"/>
        <w:spacing w:line="235" w:lineRule="auto"/>
        <w:ind w:left="171" w:right="70" w:firstLine="23"/>
      </w:pPr>
      <w:r>
        <w:rPr>
          <w:color w:val="383638"/>
          <w:w w:val="105"/>
        </w:rPr>
        <w:t>Mary Beth and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her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husband go to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Paris.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Mary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Beth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rich;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 don't like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her; and I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don't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want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to listen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her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story.</w:t>
      </w:r>
    </w:p>
    <w:p>
      <w:pPr>
        <w:spacing w:after="0" w:line="235" w:lineRule="auto"/>
        <w:sectPr>
          <w:headerReference w:type="even" r:id="rId234"/>
          <w:headerReference w:type="default" r:id="rId235"/>
          <w:pgSz w:w="9880" w:h="13970"/>
          <w:pgMar w:header="524" w:footer="0" w:top="1100" w:bottom="280" w:left="1380" w:right="240"/>
          <w:pgNumType w:start="206"/>
          <w:cols w:num="2" w:equalWidth="0">
            <w:col w:w="3588" w:space="40"/>
            <w:col w:w="4632"/>
          </w:cols>
        </w:sect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line="235" w:lineRule="auto" w:before="96"/>
        <w:ind w:left="704" w:right="113" w:firstLine="415"/>
        <w:jc w:val="both"/>
      </w:pPr>
      <w:r>
        <w:rPr>
          <w:color w:val="383638"/>
          <w:w w:val="110"/>
        </w:rPr>
        <w:t>I found, however, that </w:t>
      </w:r>
      <w:r>
        <w:rPr>
          <w:color w:val="383638"/>
          <w:w w:val="110"/>
          <w:sz w:val="22"/>
        </w:rPr>
        <w:t>if </w:t>
      </w:r>
      <w:r>
        <w:rPr>
          <w:color w:val="383638"/>
          <w:w w:val="110"/>
        </w:rPr>
        <w:t>I included one or two other details, I got a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completely different reaction from my listeners. Sometimes I started the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story by saying, "in honor of our twentieth </w:t>
      </w:r>
      <w:r>
        <w:rPr>
          <w:color w:val="383638"/>
          <w:w w:val="110"/>
        </w:rPr>
        <w:t>wedding anniversary, my hus­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band and I were in Paris last October." Instead of shutting down, people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almost invariably, said, "Aww! Did you have a good time?" And I was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able to go on  with my story. At other times, I added the detail that we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had  stayed in  the same hotel that I had stayed in when I visited Paris 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 backpacking trip in college. This detail also cut off the "must be nice"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reaction and enabled me to tell the story (and since I love telling stories,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that was very important to me). I hypothesize that adding these details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(which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were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true,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by</w:t>
      </w:r>
      <w:r>
        <w:rPr>
          <w:color w:val="383638"/>
          <w:spacing w:val="-24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way)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led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schemas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26"/>
          <w:w w:val="110"/>
        </w:rPr>
        <w:t> </w:t>
      </w:r>
      <w:r>
        <w:rPr>
          <w:color w:val="383638"/>
          <w:w w:val="110"/>
        </w:rPr>
        <w:t>changed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path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-11"/>
          <w:w w:val="110"/>
        </w:rPr>
        <w:t> </w:t>
      </w:r>
      <w:r>
        <w:rPr>
          <w:rFonts w:ascii="Arial" w:hAnsi="Arial"/>
          <w:color w:val="383638"/>
          <w:w w:val="110"/>
          <w:sz w:val="21"/>
        </w:rPr>
        <w:t>my</w:t>
      </w:r>
      <w:r>
        <w:rPr>
          <w:rFonts w:ascii="Arial" w:hAnsi="Arial"/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</w:rPr>
        <w:t>listeners'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thoughts</w:t>
      </w:r>
      <w:r>
        <w:rPr>
          <w:color w:val="5B5B5D"/>
          <w:w w:val="110"/>
        </w:rPr>
        <w:t>:</w:t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9880" w:h="13970"/>
          <w:pgMar w:header="495" w:footer="0" w:top="340" w:bottom="280" w:left="1380" w:right="240"/>
        </w:sectPr>
      </w:pPr>
    </w:p>
    <w:p>
      <w:pPr>
        <w:spacing w:line="263" w:lineRule="exact" w:before="101"/>
        <w:ind w:left="700" w:right="0" w:firstLine="0"/>
        <w:jc w:val="left"/>
        <w:rPr>
          <w:i/>
          <w:sz w:val="24"/>
        </w:rPr>
      </w:pPr>
      <w:r>
        <w:rPr>
          <w:i/>
          <w:color w:val="383638"/>
          <w:sz w:val="24"/>
        </w:rPr>
        <w:t>Issue:</w:t>
      </w:r>
    </w:p>
    <w:p>
      <w:pPr>
        <w:spacing w:line="230" w:lineRule="auto" w:before="0"/>
        <w:ind w:left="676" w:right="0" w:firstLine="9"/>
        <w:jc w:val="both"/>
        <w:rPr>
          <w:i/>
          <w:sz w:val="24"/>
        </w:rPr>
      </w:pPr>
      <w:r>
        <w:rPr>
          <w:i/>
          <w:color w:val="383638"/>
          <w:w w:val="90"/>
          <w:sz w:val="24"/>
        </w:rPr>
        <w:t>(Unstated) Major</w:t>
      </w:r>
      <w:r>
        <w:rPr>
          <w:i/>
          <w:color w:val="383638"/>
          <w:spacing w:val="1"/>
          <w:w w:val="90"/>
          <w:sz w:val="24"/>
        </w:rPr>
        <w:t> </w:t>
      </w:r>
      <w:r>
        <w:rPr>
          <w:i/>
          <w:color w:val="383638"/>
          <w:w w:val="90"/>
          <w:sz w:val="24"/>
        </w:rPr>
        <w:t>premise:</w:t>
      </w:r>
      <w:r>
        <w:rPr>
          <w:i/>
          <w:color w:val="383638"/>
          <w:spacing w:val="-51"/>
          <w:w w:val="90"/>
          <w:sz w:val="24"/>
        </w:rPr>
        <w:t> </w:t>
      </w:r>
      <w:r>
        <w:rPr>
          <w:i/>
          <w:color w:val="383638"/>
          <w:w w:val="90"/>
          <w:sz w:val="24"/>
        </w:rPr>
        <w:t>(Unstated) Major</w:t>
      </w:r>
      <w:r>
        <w:rPr>
          <w:i/>
          <w:color w:val="383638"/>
          <w:spacing w:val="1"/>
          <w:w w:val="90"/>
          <w:sz w:val="24"/>
        </w:rPr>
        <w:t> </w:t>
      </w:r>
      <w:r>
        <w:rPr>
          <w:i/>
          <w:color w:val="383638"/>
          <w:w w:val="90"/>
          <w:sz w:val="24"/>
        </w:rPr>
        <w:t>premise:</w:t>
      </w:r>
      <w:r>
        <w:rPr>
          <w:i/>
          <w:color w:val="383638"/>
          <w:spacing w:val="1"/>
          <w:w w:val="90"/>
          <w:sz w:val="24"/>
        </w:rPr>
        <w:t> </w:t>
      </w:r>
      <w:r>
        <w:rPr>
          <w:i/>
          <w:color w:val="383638"/>
          <w:w w:val="90"/>
          <w:sz w:val="24"/>
        </w:rPr>
        <w:t>(Unstated)</w:t>
      </w:r>
      <w:r>
        <w:rPr>
          <w:i/>
          <w:color w:val="383638"/>
          <w:spacing w:val="27"/>
          <w:w w:val="90"/>
          <w:sz w:val="24"/>
        </w:rPr>
        <w:t> </w:t>
      </w:r>
      <w:r>
        <w:rPr>
          <w:i/>
          <w:color w:val="383638"/>
          <w:w w:val="90"/>
          <w:sz w:val="24"/>
        </w:rPr>
        <w:t>Major</w:t>
      </w:r>
      <w:r>
        <w:rPr>
          <w:i/>
          <w:color w:val="383638"/>
          <w:spacing w:val="49"/>
          <w:w w:val="90"/>
          <w:sz w:val="24"/>
        </w:rPr>
        <w:t> </w:t>
      </w:r>
      <w:r>
        <w:rPr>
          <w:i/>
          <w:color w:val="383638"/>
          <w:w w:val="90"/>
          <w:sz w:val="24"/>
        </w:rPr>
        <w:t>premise:</w:t>
      </w:r>
    </w:p>
    <w:p>
      <w:pPr>
        <w:pStyle w:val="BodyText"/>
        <w:spacing w:before="1"/>
        <w:rPr>
          <w:i/>
          <w:sz w:val="21"/>
        </w:rPr>
      </w:pPr>
    </w:p>
    <w:p>
      <w:pPr>
        <w:spacing w:line="451" w:lineRule="auto" w:before="0"/>
        <w:ind w:left="628" w:right="1" w:firstLine="28"/>
        <w:jc w:val="left"/>
        <w:rPr>
          <w:i/>
          <w:sz w:val="24"/>
        </w:rPr>
      </w:pPr>
      <w:r>
        <w:rPr>
          <w:i/>
          <w:color w:val="383638"/>
          <w:w w:val="95"/>
          <w:sz w:val="24"/>
        </w:rPr>
        <w:t>(Unstated)</w:t>
      </w:r>
      <w:r>
        <w:rPr>
          <w:i/>
          <w:color w:val="383638"/>
          <w:spacing w:val="-16"/>
          <w:w w:val="95"/>
          <w:sz w:val="24"/>
        </w:rPr>
        <w:t> </w:t>
      </w:r>
      <w:r>
        <w:rPr>
          <w:i/>
          <w:color w:val="383638"/>
          <w:w w:val="95"/>
          <w:sz w:val="24"/>
        </w:rPr>
        <w:t>Major</w:t>
      </w:r>
      <w:r>
        <w:rPr>
          <w:i/>
          <w:color w:val="383638"/>
          <w:spacing w:val="-4"/>
          <w:w w:val="95"/>
          <w:sz w:val="24"/>
        </w:rPr>
        <w:t> </w:t>
      </w:r>
      <w:r>
        <w:rPr>
          <w:i/>
          <w:color w:val="383638"/>
          <w:w w:val="95"/>
          <w:sz w:val="24"/>
        </w:rPr>
        <w:t>premise:</w:t>
      </w:r>
      <w:r>
        <w:rPr>
          <w:i/>
          <w:color w:val="383638"/>
          <w:spacing w:val="-54"/>
          <w:w w:val="95"/>
          <w:sz w:val="24"/>
        </w:rPr>
        <w:t> </w:t>
      </w:r>
      <w:r>
        <w:rPr>
          <w:i/>
          <w:color w:val="383638"/>
          <w:sz w:val="24"/>
        </w:rPr>
        <w:t>Minor Premise:</w:t>
      </w:r>
      <w:r>
        <w:rPr>
          <w:i/>
          <w:color w:val="383638"/>
          <w:spacing w:val="1"/>
          <w:sz w:val="24"/>
        </w:rPr>
        <w:t> </w:t>
      </w:r>
      <w:r>
        <w:rPr>
          <w:i/>
          <w:color w:val="383638"/>
          <w:sz w:val="24"/>
        </w:rPr>
        <w:t>Conclusion:</w:t>
      </w:r>
    </w:p>
    <w:p>
      <w:pPr>
        <w:pStyle w:val="BodyText"/>
        <w:spacing w:line="235" w:lineRule="auto" w:before="96"/>
        <w:ind w:left="271" w:right="689" w:firstLine="1"/>
        <w:jc w:val="both"/>
      </w:pPr>
      <w:r>
        <w:rPr/>
        <w:br w:type="column"/>
      </w:r>
      <w:r>
        <w:rPr>
          <w:color w:val="383638"/>
          <w:w w:val="110"/>
        </w:rPr>
        <w:t>Do I want to listen to Mary Beth's story?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I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will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listen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her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story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if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I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like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her.</w:t>
      </w:r>
    </w:p>
    <w:p>
      <w:pPr>
        <w:pStyle w:val="BodyText"/>
        <w:spacing w:before="7"/>
        <w:ind w:left="261"/>
        <w:jc w:val="both"/>
      </w:pPr>
      <w:r>
        <w:rPr>
          <w:color w:val="383638"/>
          <w:w w:val="110"/>
        </w:rPr>
        <w:t>I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don't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like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rich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people.</w:t>
      </w:r>
    </w:p>
    <w:p>
      <w:pPr>
        <w:pStyle w:val="BodyText"/>
        <w:spacing w:line="228" w:lineRule="auto" w:before="16"/>
        <w:ind w:left="255" w:right="124" w:hanging="5"/>
        <w:jc w:val="both"/>
      </w:pPr>
      <w:r>
        <w:rPr>
          <w:color w:val="383638"/>
          <w:w w:val="105"/>
        </w:rPr>
        <w:t>Trips in honor of anniversaries are special trips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people</w:t>
      </w:r>
      <w:r>
        <w:rPr>
          <w:color w:val="383638"/>
          <w:spacing w:val="-21"/>
          <w:w w:val="110"/>
        </w:rPr>
        <w:t> </w:t>
      </w:r>
      <w:r>
        <w:rPr>
          <w:color w:val="383638"/>
          <w:w w:val="110"/>
        </w:rPr>
        <w:t>scrimp</w:t>
      </w:r>
      <w:r>
        <w:rPr>
          <w:color w:val="383638"/>
          <w:spacing w:val="-22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save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for.</w:t>
      </w:r>
    </w:p>
    <w:p>
      <w:pPr>
        <w:pStyle w:val="BodyText"/>
        <w:spacing w:line="235" w:lineRule="auto" w:before="1"/>
        <w:ind w:left="250" w:right="131" w:firstLine="12"/>
        <w:jc w:val="both"/>
      </w:pPr>
      <w:r>
        <w:rPr>
          <w:color w:val="383638"/>
          <w:w w:val="110"/>
        </w:rPr>
        <w:t>Hotels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college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students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stay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are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inexpensive.</w:t>
      </w:r>
    </w:p>
    <w:p>
      <w:pPr>
        <w:pStyle w:val="BodyText"/>
        <w:spacing w:line="230" w:lineRule="auto" w:before="16"/>
        <w:ind w:left="244" w:right="132" w:firstLine="9"/>
        <w:jc w:val="both"/>
      </w:pPr>
      <w:r>
        <w:rPr>
          <w:color w:val="383638"/>
          <w:w w:val="110"/>
        </w:rPr>
        <w:t>Mary Beth and her husband went to Paris </w:t>
      </w:r>
      <w:r>
        <w:rPr>
          <w:rFonts w:ascii="Arial" w:hAnsi="Arial"/>
          <w:color w:val="383638"/>
          <w:w w:val="110"/>
          <w:sz w:val="20"/>
        </w:rPr>
        <w:t>for</w:t>
      </w:r>
      <w:r>
        <w:rPr>
          <w:rFonts w:ascii="Arial" w:hAnsi="Arial"/>
          <w:color w:val="383638"/>
          <w:spacing w:val="1"/>
          <w:w w:val="110"/>
          <w:sz w:val="20"/>
        </w:rPr>
        <w:t> </w:t>
      </w:r>
      <w:r>
        <w:rPr>
          <w:color w:val="383638"/>
          <w:w w:val="110"/>
        </w:rPr>
        <w:t>their anniversary and stayed in a student hotel.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05"/>
        </w:rPr>
        <w:t>Mary Beth is not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rich, so I like her and will lis­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ten</w:t>
      </w:r>
      <w:r>
        <w:rPr>
          <w:color w:val="383638"/>
          <w:spacing w:val="52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29"/>
          <w:w w:val="110"/>
        </w:rPr>
        <w:t> </w:t>
      </w:r>
      <w:r>
        <w:rPr>
          <w:color w:val="383638"/>
          <w:w w:val="110"/>
        </w:rPr>
        <w:t>her</w:t>
      </w:r>
      <w:r>
        <w:rPr>
          <w:color w:val="383638"/>
          <w:spacing w:val="30"/>
          <w:w w:val="110"/>
        </w:rPr>
        <w:t> </w:t>
      </w:r>
      <w:r>
        <w:rPr>
          <w:color w:val="383638"/>
          <w:w w:val="110"/>
        </w:rPr>
        <w:t>story.</w:t>
      </w:r>
    </w:p>
    <w:p>
      <w:pPr>
        <w:spacing w:after="0" w:line="230" w:lineRule="auto"/>
        <w:jc w:val="both"/>
        <w:sectPr>
          <w:type w:val="continuous"/>
          <w:pgSz w:w="9880" w:h="13970"/>
          <w:pgMar w:header="495" w:footer="0" w:top="340" w:bottom="280" w:left="1380" w:right="240"/>
          <w:cols w:num="2" w:equalWidth="0">
            <w:col w:w="3114" w:space="40"/>
            <w:col w:w="5106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232" w:lineRule="auto" w:before="98"/>
        <w:ind w:left="516" w:right="135" w:firstLine="461"/>
        <w:jc w:val="both"/>
      </w:pPr>
      <w:r>
        <w:rPr>
          <w:color w:val="383638"/>
          <w:w w:val="110"/>
        </w:rPr>
        <w:t>When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are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writing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statement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facts,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are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trying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tell</w:t>
      </w:r>
      <w:r>
        <w:rPr>
          <w:color w:val="383638"/>
          <w:spacing w:val="-21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25"/>
          <w:w w:val="110"/>
        </w:rPr>
        <w:t> </w:t>
      </w:r>
      <w:r>
        <w:rPr>
          <w:color w:val="383638"/>
          <w:w w:val="110"/>
        </w:rPr>
        <w:t>story.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Recognize that including certain details may lead your readers to jump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conclusions-or  refer  to  schemas-that  mayhelp or  hurt  your  case.  Aim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tell the story in </w:t>
      </w:r>
      <w:r>
        <w:rPr>
          <w:b/>
          <w:color w:val="383638"/>
          <w:w w:val="110"/>
        </w:rPr>
        <w:t>a way </w:t>
      </w:r>
      <w:r>
        <w:rPr>
          <w:color w:val="383638"/>
          <w:w w:val="110"/>
        </w:rPr>
        <w:t>that is consistent with and promotes your legal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argument. As indicated above, readers sometimes jump to conclusions;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those conclusions may be factual conclusions or  legal ones. For example,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if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are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trying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persuade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-23"/>
          <w:w w:val="110"/>
        </w:rPr>
        <w:t> </w:t>
      </w:r>
      <w:r>
        <w:rPr>
          <w:color w:val="383638"/>
          <w:w w:val="110"/>
        </w:rPr>
        <w:t>reader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22"/>
          <w:w w:val="110"/>
        </w:rPr>
        <w:t> </w:t>
      </w:r>
      <w:r>
        <w:rPr>
          <w:color w:val="383638"/>
          <w:w w:val="110"/>
        </w:rPr>
        <w:t>certain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activities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were</w:t>
      </w:r>
      <w:r>
        <w:rPr>
          <w:color w:val="383638"/>
          <w:spacing w:val="-30"/>
          <w:w w:val="110"/>
        </w:rPr>
        <w:t> </w:t>
      </w:r>
      <w:r>
        <w:rPr>
          <w:color w:val="383638"/>
          <w:w w:val="110"/>
        </w:rPr>
        <w:t>or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were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not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within an employee's "scope of employment," you might tell the story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  <w:sz w:val="21"/>
        </w:rPr>
        <w:t>in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</w:rPr>
        <w:t>a way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that emphasizes the connection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between the  challenged activi­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ties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7"/>
          <w:w w:val="110"/>
        </w:rPr>
        <w:t> </w:t>
      </w:r>
      <w:r>
        <w:rPr>
          <w:color w:val="383638"/>
          <w:w w:val="110"/>
        </w:rPr>
        <w:t>job's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duties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49"/>
          <w:w w:val="110"/>
        </w:rPr>
        <w:t> </w:t>
      </w:r>
      <w:r>
        <w:rPr>
          <w:color w:val="383638"/>
          <w:w w:val="110"/>
        </w:rPr>
        <w:t>responsibilities.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34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extent</w:t>
      </w:r>
      <w:r>
        <w:rPr>
          <w:color w:val="383638"/>
          <w:spacing w:val="40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27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can</w:t>
      </w:r>
    </w:p>
    <w:p>
      <w:pPr>
        <w:spacing w:after="0" w:line="232" w:lineRule="auto"/>
        <w:jc w:val="both"/>
        <w:sectPr>
          <w:type w:val="continuous"/>
          <w:pgSz w:w="9880" w:h="13970"/>
          <w:pgMar w:header="495" w:footer="0" w:top="340" w:bottom="280" w:left="138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32" w:lineRule="auto" w:before="1"/>
        <w:ind w:left="117" w:right="417" w:firstLine="1"/>
        <w:jc w:val="right"/>
      </w:pPr>
      <w:r>
        <w:rPr>
          <w:color w:val="3A383A"/>
          <w:w w:val="110"/>
        </w:rPr>
        <w:t>get your reader to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conclude that the challenged  activities were "just part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05"/>
        </w:rPr>
        <w:t>of the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job," you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have gone a long way to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advance your "scope of employ­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10"/>
        </w:rPr>
        <w:t>ment" argument. Storytelling can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go beyond appealing  just to  "pathos,"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or</w:t>
      </w:r>
      <w:r>
        <w:rPr>
          <w:color w:val="3A383A"/>
          <w:spacing w:val="-16"/>
          <w:w w:val="115"/>
        </w:rPr>
        <w:t> </w:t>
      </w:r>
      <w:r>
        <w:rPr>
          <w:color w:val="3A383A"/>
          <w:w w:val="115"/>
        </w:rPr>
        <w:t>a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reader's</w:t>
      </w:r>
      <w:r>
        <w:rPr>
          <w:color w:val="3A383A"/>
          <w:spacing w:val="-5"/>
          <w:w w:val="115"/>
        </w:rPr>
        <w:t> </w:t>
      </w:r>
      <w:r>
        <w:rPr>
          <w:color w:val="3A383A"/>
          <w:w w:val="115"/>
        </w:rPr>
        <w:t>emotions.</w:t>
      </w:r>
      <w:r>
        <w:rPr>
          <w:color w:val="3A383A"/>
          <w:spacing w:val="9"/>
          <w:w w:val="115"/>
        </w:rPr>
        <w:t> </w:t>
      </w:r>
      <w:r>
        <w:rPr>
          <w:color w:val="3A383A"/>
          <w:w w:val="115"/>
        </w:rPr>
        <w:t>When</w:t>
      </w:r>
      <w:r>
        <w:rPr>
          <w:color w:val="3A383A"/>
          <w:spacing w:val="-2"/>
          <w:w w:val="115"/>
        </w:rPr>
        <w:t> </w:t>
      </w:r>
      <w:r>
        <w:rPr>
          <w:color w:val="3A383A"/>
          <w:w w:val="115"/>
        </w:rPr>
        <w:t>done well,</w:t>
      </w:r>
      <w:r>
        <w:rPr>
          <w:color w:val="3A383A"/>
          <w:spacing w:val="3"/>
          <w:w w:val="115"/>
        </w:rPr>
        <w:t> </w:t>
      </w:r>
      <w:r>
        <w:rPr>
          <w:color w:val="3A383A"/>
          <w:w w:val="115"/>
        </w:rPr>
        <w:t>it</w:t>
      </w:r>
      <w:r>
        <w:rPr>
          <w:color w:val="3A383A"/>
          <w:spacing w:val="15"/>
          <w:w w:val="115"/>
        </w:rPr>
        <w:t> </w:t>
      </w:r>
      <w:r>
        <w:rPr>
          <w:color w:val="3A383A"/>
          <w:w w:val="115"/>
        </w:rPr>
        <w:t>can</w:t>
      </w:r>
      <w:r>
        <w:rPr>
          <w:color w:val="3A383A"/>
          <w:spacing w:val="14"/>
          <w:w w:val="115"/>
        </w:rPr>
        <w:t> </w:t>
      </w:r>
      <w:r>
        <w:rPr>
          <w:color w:val="3A383A"/>
          <w:w w:val="115"/>
        </w:rPr>
        <w:t>enhance</w:t>
      </w:r>
      <w:r>
        <w:rPr>
          <w:color w:val="3A383A"/>
          <w:spacing w:val="9"/>
          <w:w w:val="115"/>
        </w:rPr>
        <w:t> </w:t>
      </w:r>
      <w:r>
        <w:rPr>
          <w:color w:val="3A383A"/>
          <w:w w:val="115"/>
        </w:rPr>
        <w:t>the</w:t>
      </w:r>
      <w:r>
        <w:rPr>
          <w:color w:val="3A383A"/>
          <w:spacing w:val="6"/>
          <w:w w:val="115"/>
        </w:rPr>
        <w:t> </w:t>
      </w:r>
      <w:r>
        <w:rPr>
          <w:color w:val="3A383A"/>
          <w:w w:val="115"/>
        </w:rPr>
        <w:t>credibility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0"/>
        </w:rPr>
        <w:t>of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writer (thus appealing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to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"ethos") and engage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reader's logical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thought processes as well ("logos").</w:t>
      </w:r>
      <w:r>
        <w:rPr>
          <w:color w:val="3A383A"/>
          <w:w w:val="110"/>
          <w:vertAlign w:val="superscript"/>
        </w:rPr>
        <w:t>16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Upon reading the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captain and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the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first mate story, after all, you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used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logical reasoning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to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reach your own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understanding of why the first mate wrote "the captain was sober today."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Legal writers can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use storytelling method to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help their readers under­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05"/>
          <w:vertAlign w:val="baseline"/>
        </w:rPr>
        <w:t>stand why certain</w:t>
      </w:r>
      <w:r>
        <w:rPr>
          <w:color w:val="3A383A"/>
          <w:spacing w:val="1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parties have</w:t>
      </w:r>
      <w:r>
        <w:rPr>
          <w:color w:val="3A383A"/>
          <w:spacing w:val="1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behaved</w:t>
      </w:r>
      <w:r>
        <w:rPr>
          <w:color w:val="3A383A"/>
          <w:spacing w:val="1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in</w:t>
      </w:r>
      <w:r>
        <w:rPr>
          <w:color w:val="3A383A"/>
          <w:spacing w:val="1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particular ways. Professor</w:t>
      </w:r>
      <w:r>
        <w:rPr>
          <w:color w:val="3A383A"/>
          <w:spacing w:val="1"/>
          <w:w w:val="105"/>
          <w:vertAlign w:val="baseline"/>
        </w:rPr>
        <w:t> </w:t>
      </w:r>
      <w:r>
        <w:rPr>
          <w:color w:val="3A383A"/>
          <w:w w:val="105"/>
          <w:vertAlign w:val="baseline"/>
        </w:rPr>
        <w:t>Ruth</w:t>
      </w:r>
      <w:r>
        <w:rPr>
          <w:color w:val="3A383A"/>
          <w:spacing w:val="1"/>
          <w:w w:val="105"/>
          <w:vertAlign w:val="baseline"/>
        </w:rPr>
        <w:t> </w:t>
      </w:r>
      <w:r>
        <w:rPr>
          <w:color w:val="3A383A"/>
          <w:w w:val="110"/>
          <w:vertAlign w:val="baseline"/>
        </w:rPr>
        <w:t>Anne Robbins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notes  that "people  respond-instinctively and  intuitively"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to certain schemas and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"character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archetypes,"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and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that lawyers should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spacing w:val="-1"/>
          <w:w w:val="110"/>
          <w:vertAlign w:val="baseline"/>
        </w:rPr>
        <w:t>"systematically and</w:t>
      </w:r>
      <w:r>
        <w:rPr>
          <w:color w:val="3A383A"/>
          <w:w w:val="110"/>
          <w:vertAlign w:val="baseline"/>
        </w:rPr>
        <w:t> </w:t>
      </w:r>
      <w:r>
        <w:rPr>
          <w:color w:val="3A383A"/>
          <w:spacing w:val="-1"/>
          <w:w w:val="110"/>
          <w:vertAlign w:val="baseline"/>
        </w:rPr>
        <w:t>deliberately </w:t>
      </w:r>
      <w:r>
        <w:rPr>
          <w:color w:val="3A383A"/>
          <w:w w:val="110"/>
          <w:vertAlign w:val="baseline"/>
        </w:rPr>
        <w:t>integrate into their storytelling the larger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picture of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their clients' goals by subtly portraying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their individual clients</w:t>
      </w:r>
      <w:r>
        <w:rPr>
          <w:color w:val="3A383A"/>
          <w:spacing w:val="-6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as heroes</w:t>
      </w:r>
      <w:r>
        <w:rPr>
          <w:color w:val="3A383A"/>
          <w:spacing w:val="1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on</w:t>
      </w:r>
      <w:r>
        <w:rPr>
          <w:color w:val="3A383A"/>
          <w:spacing w:val="48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a</w:t>
      </w:r>
      <w:r>
        <w:rPr>
          <w:color w:val="3A383A"/>
          <w:spacing w:val="38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particular</w:t>
      </w:r>
      <w:r>
        <w:rPr>
          <w:color w:val="3A383A"/>
          <w:spacing w:val="33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life</w:t>
      </w:r>
      <w:r>
        <w:rPr>
          <w:color w:val="3A383A"/>
          <w:spacing w:val="12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path</w:t>
      </w:r>
      <w:r>
        <w:rPr>
          <w:color w:val="5B5B5D"/>
          <w:w w:val="110"/>
          <w:vertAlign w:val="baseline"/>
        </w:rPr>
        <w:t>.</w:t>
      </w:r>
      <w:r>
        <w:rPr>
          <w:color w:val="3A383A"/>
          <w:w w:val="110"/>
          <w:vertAlign w:val="baseline"/>
        </w:rPr>
        <w:t>"</w:t>
      </w:r>
      <w:r>
        <w:rPr>
          <w:color w:val="3A383A"/>
          <w:w w:val="110"/>
          <w:vertAlign w:val="superscript"/>
        </w:rPr>
        <w:t>17</w:t>
      </w:r>
      <w:r>
        <w:rPr>
          <w:color w:val="3A383A"/>
          <w:spacing w:val="32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Professor</w:t>
      </w:r>
      <w:r>
        <w:rPr>
          <w:color w:val="3A383A"/>
          <w:spacing w:val="32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Robbins</w:t>
      </w:r>
      <w:r>
        <w:rPr>
          <w:color w:val="3A383A"/>
          <w:spacing w:val="1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advises</w:t>
      </w:r>
      <w:r>
        <w:rPr>
          <w:color w:val="3A383A"/>
          <w:spacing w:val="10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against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casting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the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client's opponent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(or other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antagonist)</w:t>
      </w:r>
      <w:r>
        <w:rPr>
          <w:color w:val="3A383A"/>
          <w:spacing w:val="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as </w:t>
      </w:r>
      <w:r>
        <w:rPr>
          <w:rFonts w:ascii="Arial" w:hAnsi="Arial"/>
          <w:color w:val="3A383A"/>
          <w:w w:val="110"/>
          <w:sz w:val="21"/>
          <w:vertAlign w:val="baseline"/>
        </w:rPr>
        <w:t>a </w:t>
      </w:r>
      <w:r>
        <w:rPr>
          <w:color w:val="3A383A"/>
          <w:w w:val="110"/>
          <w:vertAlign w:val="baseline"/>
        </w:rPr>
        <w:t>Voldemort-style</w:t>
      </w:r>
      <w:r>
        <w:rPr>
          <w:color w:val="3A383A"/>
          <w:spacing w:val="-6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villain</w:t>
      </w:r>
      <w:r>
        <w:rPr>
          <w:color w:val="5B5B5D"/>
          <w:w w:val="110"/>
          <w:vertAlign w:val="baseline"/>
        </w:rPr>
        <w:t>.</w:t>
      </w:r>
      <w:r>
        <w:rPr>
          <w:color w:val="3A383A"/>
          <w:w w:val="110"/>
          <w:vertAlign w:val="superscript"/>
        </w:rPr>
        <w:t>18</w:t>
      </w:r>
      <w:r>
        <w:rPr>
          <w:color w:val="3A383A"/>
          <w:spacing w:val="34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Instead,</w:t>
      </w:r>
      <w:r>
        <w:rPr>
          <w:color w:val="3A383A"/>
          <w:spacing w:val="6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she</w:t>
      </w:r>
      <w:r>
        <w:rPr>
          <w:color w:val="3A383A"/>
          <w:spacing w:val="23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recommends</w:t>
      </w:r>
      <w:r>
        <w:rPr>
          <w:color w:val="3A383A"/>
          <w:spacing w:val="19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a</w:t>
      </w:r>
      <w:r>
        <w:rPr>
          <w:color w:val="3A383A"/>
          <w:spacing w:val="14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more</w:t>
      </w:r>
      <w:r>
        <w:rPr>
          <w:color w:val="3A383A"/>
          <w:spacing w:val="-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benign</w:t>
      </w:r>
      <w:r>
        <w:rPr>
          <w:color w:val="3A383A"/>
          <w:spacing w:val="15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role:</w:t>
      </w:r>
      <w:r>
        <w:rPr>
          <w:color w:val="3A383A"/>
          <w:spacing w:val="-6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The</w:t>
      </w:r>
      <w:r>
        <w:rPr>
          <w:color w:val="3A383A"/>
          <w:spacing w:val="23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antagonist</w:t>
      </w:r>
      <w:r>
        <w:rPr>
          <w:color w:val="3A383A"/>
          <w:spacing w:val="18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is</w:t>
      </w:r>
      <w:r>
        <w:rPr>
          <w:color w:val="3A383A"/>
          <w:spacing w:val="-60"/>
          <w:w w:val="110"/>
          <w:vertAlign w:val="baseline"/>
        </w:rPr>
        <w:t> </w:t>
      </w:r>
      <w:r>
        <w:rPr>
          <w:color w:val="3A383A"/>
          <w:w w:val="115"/>
          <w:vertAlign w:val="baseline"/>
        </w:rPr>
        <w:t>someone</w:t>
      </w:r>
      <w:r>
        <w:rPr>
          <w:color w:val="3A383A"/>
          <w:spacing w:val="-15"/>
          <w:w w:val="115"/>
          <w:vertAlign w:val="baseline"/>
        </w:rPr>
        <w:t> </w:t>
      </w:r>
      <w:r>
        <w:rPr>
          <w:color w:val="3A383A"/>
          <w:w w:val="115"/>
          <w:vertAlign w:val="baseline"/>
        </w:rPr>
        <w:t>who</w:t>
      </w:r>
      <w:r>
        <w:rPr>
          <w:color w:val="3A383A"/>
          <w:spacing w:val="6"/>
          <w:w w:val="115"/>
          <w:vertAlign w:val="baseline"/>
        </w:rPr>
        <w:t> </w:t>
      </w:r>
      <w:r>
        <w:rPr>
          <w:color w:val="3A383A"/>
          <w:w w:val="115"/>
          <w:vertAlign w:val="baseline"/>
        </w:rPr>
        <w:t>is</w:t>
      </w:r>
      <w:r>
        <w:rPr>
          <w:color w:val="3A383A"/>
          <w:spacing w:val="-10"/>
          <w:w w:val="115"/>
          <w:vertAlign w:val="baseline"/>
        </w:rPr>
        <w:t> </w:t>
      </w:r>
      <w:r>
        <w:rPr>
          <w:color w:val="3A383A"/>
          <w:w w:val="115"/>
          <w:vertAlign w:val="baseline"/>
        </w:rPr>
        <w:t>frustrating</w:t>
      </w:r>
      <w:r>
        <w:rPr>
          <w:color w:val="3A383A"/>
          <w:spacing w:val="-12"/>
          <w:w w:val="115"/>
          <w:vertAlign w:val="baseline"/>
        </w:rPr>
        <w:t> </w:t>
      </w:r>
      <w:r>
        <w:rPr>
          <w:color w:val="3A383A"/>
          <w:w w:val="115"/>
          <w:vertAlign w:val="baseline"/>
        </w:rPr>
        <w:t>the</w:t>
      </w:r>
      <w:r>
        <w:rPr>
          <w:color w:val="3A383A"/>
          <w:spacing w:val="13"/>
          <w:w w:val="115"/>
          <w:vertAlign w:val="baseline"/>
        </w:rPr>
        <w:t> </w:t>
      </w:r>
      <w:r>
        <w:rPr>
          <w:color w:val="3A383A"/>
          <w:w w:val="115"/>
          <w:vertAlign w:val="baseline"/>
        </w:rPr>
        <w:t>hero,</w:t>
      </w:r>
      <w:r>
        <w:rPr>
          <w:color w:val="3A383A"/>
          <w:spacing w:val="-12"/>
          <w:w w:val="115"/>
          <w:vertAlign w:val="baseline"/>
        </w:rPr>
        <w:t> </w:t>
      </w:r>
      <w:r>
        <w:rPr>
          <w:color w:val="3A383A"/>
          <w:w w:val="115"/>
          <w:vertAlign w:val="baseline"/>
        </w:rPr>
        <w:t>barring</w:t>
      </w:r>
      <w:r>
        <w:rPr>
          <w:color w:val="3A383A"/>
          <w:spacing w:val="-7"/>
          <w:w w:val="115"/>
          <w:vertAlign w:val="baseline"/>
        </w:rPr>
        <w:t> </w:t>
      </w:r>
      <w:r>
        <w:rPr>
          <w:color w:val="3A383A"/>
          <w:w w:val="115"/>
          <w:vertAlign w:val="baseline"/>
        </w:rPr>
        <w:t>him</w:t>
      </w:r>
      <w:r>
        <w:rPr>
          <w:color w:val="3A383A"/>
          <w:spacing w:val="-10"/>
          <w:w w:val="115"/>
          <w:vertAlign w:val="baseline"/>
        </w:rPr>
        <w:t> </w:t>
      </w:r>
      <w:r>
        <w:rPr>
          <w:color w:val="3A383A"/>
          <w:w w:val="115"/>
          <w:vertAlign w:val="baseline"/>
        </w:rPr>
        <w:t>or</w:t>
      </w:r>
      <w:r>
        <w:rPr>
          <w:color w:val="3A383A"/>
          <w:spacing w:val="3"/>
          <w:w w:val="115"/>
          <w:vertAlign w:val="baseline"/>
        </w:rPr>
        <w:t> </w:t>
      </w:r>
      <w:r>
        <w:rPr>
          <w:color w:val="3A383A"/>
          <w:w w:val="115"/>
          <w:vertAlign w:val="baseline"/>
        </w:rPr>
        <w:t>her</w:t>
      </w:r>
      <w:r>
        <w:rPr>
          <w:color w:val="3A383A"/>
          <w:spacing w:val="-13"/>
          <w:w w:val="115"/>
          <w:vertAlign w:val="baseline"/>
        </w:rPr>
        <w:t> </w:t>
      </w:r>
      <w:r>
        <w:rPr>
          <w:color w:val="3A383A"/>
          <w:w w:val="115"/>
          <w:vertAlign w:val="baseline"/>
        </w:rPr>
        <w:t>from</w:t>
      </w:r>
      <w:r>
        <w:rPr>
          <w:color w:val="3A383A"/>
          <w:spacing w:val="-11"/>
          <w:w w:val="115"/>
          <w:vertAlign w:val="baseline"/>
        </w:rPr>
        <w:t> </w:t>
      </w:r>
      <w:r>
        <w:rPr>
          <w:color w:val="3A383A"/>
          <w:w w:val="115"/>
          <w:vertAlign w:val="baseline"/>
        </w:rPr>
        <w:t>achieving</w:t>
      </w:r>
    </w:p>
    <w:p>
      <w:pPr>
        <w:spacing w:line="258" w:lineRule="exact" w:before="18"/>
        <w:ind w:left="126" w:right="0" w:firstLine="0"/>
        <w:jc w:val="both"/>
        <w:rPr>
          <w:sz w:val="23"/>
        </w:rPr>
      </w:pPr>
      <w:r>
        <w:rPr>
          <w:color w:val="3A383A"/>
          <w:w w:val="95"/>
          <w:sz w:val="24"/>
        </w:rPr>
        <w:t>a</w:t>
      </w:r>
      <w:r>
        <w:rPr>
          <w:color w:val="3A383A"/>
          <w:spacing w:val="-20"/>
          <w:w w:val="95"/>
          <w:sz w:val="24"/>
        </w:rPr>
        <w:t> </w:t>
      </w:r>
      <w:r>
        <w:rPr>
          <w:color w:val="3A383A"/>
          <w:w w:val="95"/>
          <w:sz w:val="23"/>
        </w:rPr>
        <w:t>goal.</w:t>
      </w:r>
      <w:r>
        <w:rPr>
          <w:color w:val="3A383A"/>
          <w:w w:val="95"/>
          <w:sz w:val="23"/>
          <w:vertAlign w:val="superscript"/>
        </w:rPr>
        <w:t>19</w:t>
      </w:r>
    </w:p>
    <w:p>
      <w:pPr>
        <w:pStyle w:val="BodyText"/>
        <w:spacing w:line="235" w:lineRule="auto"/>
        <w:ind w:left="136" w:right="331" w:firstLine="324"/>
        <w:jc w:val="both"/>
      </w:pPr>
      <w:r>
        <w:rPr>
          <w:color w:val="3A383A"/>
          <w:w w:val="110"/>
        </w:rPr>
        <w:t>You may want to tell your story in terms of a quest.</w:t>
      </w:r>
      <w:r>
        <w:rPr>
          <w:rFonts w:ascii="Arial" w:hAnsi="Arial"/>
          <w:color w:val="3A383A"/>
          <w:w w:val="110"/>
          <w:position w:val="9"/>
          <w:sz w:val="12"/>
        </w:rPr>
        <w:t>20</w:t>
      </w:r>
      <w:r>
        <w:rPr>
          <w:rFonts w:ascii="Arial" w:hAnsi="Arial"/>
          <w:color w:val="3A383A"/>
          <w:spacing w:val="1"/>
          <w:w w:val="110"/>
          <w:position w:val="9"/>
          <w:sz w:val="12"/>
        </w:rPr>
        <w:t> </w:t>
      </w:r>
      <w:r>
        <w:rPr>
          <w:color w:val="3A383A"/>
          <w:w w:val="110"/>
        </w:rPr>
        <w:t>What does your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client seek? Rather than thinking in pure procedural term</w:t>
      </w:r>
      <w:r>
        <w:rPr>
          <w:color w:val="5B5B5D"/>
          <w:w w:val="115"/>
        </w:rPr>
        <w:t>s</w:t>
      </w:r>
      <w:r>
        <w:rPr>
          <w:color w:val="3A383A"/>
          <w:w w:val="115"/>
        </w:rPr>
        <w:t>-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that your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client wants the court to grant or deny a motion, or to affirm or reverse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a decision-think in terms of your theme. In the Coors Beer case, for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example, Coors wanted to give its customers truthful information about</w:t>
      </w:r>
      <w:r>
        <w:rPr>
          <w:color w:val="3A383A"/>
          <w:spacing w:val="-64"/>
          <w:w w:val="115"/>
        </w:rPr>
        <w:t> </w:t>
      </w:r>
      <w:r>
        <w:rPr>
          <w:color w:val="3A383A"/>
          <w:w w:val="110"/>
        </w:rPr>
        <w:t>the percentage of alcohol in its beers, but it was thwarted by an outdated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government regulation. The government, in contrast, sought to protect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0"/>
        </w:rPr>
        <w:t>its citizens from harmful binge drinking</w:t>
      </w:r>
      <w:r>
        <w:rPr>
          <w:color w:val="5B5B5D"/>
          <w:w w:val="110"/>
        </w:rPr>
        <w:t>, </w:t>
      </w:r>
      <w:r>
        <w:rPr>
          <w:color w:val="3A383A"/>
          <w:w w:val="110"/>
        </w:rPr>
        <w:t>and it was thwarted by greedy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corporations who wanted to make money by promoting excessive alcohol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consumption. In </w:t>
      </w:r>
      <w:r>
        <w:rPr>
          <w:rFonts w:ascii="Arial" w:hAnsi="Arial"/>
          <w:i/>
          <w:color w:val="3A383A"/>
          <w:w w:val="115"/>
          <w:sz w:val="21"/>
        </w:rPr>
        <w:t>Miller v. Albright, </w:t>
      </w:r>
      <w:r>
        <w:rPr>
          <w:color w:val="3A383A"/>
          <w:w w:val="115"/>
        </w:rPr>
        <w:t>the petitioner could have the goal of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establishing a relationship with her father, while the government seeks</w:t>
      </w:r>
      <w:r>
        <w:rPr>
          <w:color w:val="3A383A"/>
          <w:spacing w:val="1"/>
          <w:w w:val="115"/>
        </w:rPr>
        <w:t> </w:t>
      </w:r>
      <w:r>
        <w:rPr>
          <w:color w:val="3A383A"/>
          <w:spacing w:val="-1"/>
          <w:w w:val="115"/>
        </w:rPr>
        <w:t>the</w:t>
      </w:r>
      <w:r>
        <w:rPr>
          <w:color w:val="3A383A"/>
          <w:spacing w:val="-13"/>
          <w:w w:val="115"/>
        </w:rPr>
        <w:t> </w:t>
      </w:r>
      <w:r>
        <w:rPr>
          <w:color w:val="3A383A"/>
          <w:spacing w:val="-1"/>
          <w:w w:val="115"/>
        </w:rPr>
        <w:t>right</w:t>
      </w:r>
      <w:r>
        <w:rPr>
          <w:color w:val="3A383A"/>
          <w:spacing w:val="-5"/>
          <w:w w:val="115"/>
        </w:rPr>
        <w:t> </w:t>
      </w:r>
      <w:r>
        <w:rPr>
          <w:color w:val="3A383A"/>
          <w:w w:val="115"/>
        </w:rPr>
        <w:t>to</w:t>
      </w:r>
      <w:r>
        <w:rPr>
          <w:color w:val="3A383A"/>
          <w:spacing w:val="3"/>
          <w:w w:val="115"/>
        </w:rPr>
        <w:t> </w:t>
      </w:r>
      <w:r>
        <w:rPr>
          <w:color w:val="3A383A"/>
          <w:w w:val="115"/>
        </w:rPr>
        <w:t>control</w:t>
      </w:r>
      <w:r>
        <w:rPr>
          <w:color w:val="3A383A"/>
          <w:spacing w:val="-10"/>
          <w:w w:val="115"/>
        </w:rPr>
        <w:t> </w:t>
      </w:r>
      <w:r>
        <w:rPr>
          <w:color w:val="3A383A"/>
          <w:w w:val="115"/>
        </w:rPr>
        <w:t>its</w:t>
      </w:r>
      <w:r>
        <w:rPr>
          <w:color w:val="3A383A"/>
          <w:spacing w:val="-15"/>
          <w:w w:val="115"/>
        </w:rPr>
        <w:t> </w:t>
      </w:r>
      <w:r>
        <w:rPr>
          <w:color w:val="3A383A"/>
          <w:w w:val="115"/>
        </w:rPr>
        <w:t>borders</w:t>
      </w:r>
      <w:r>
        <w:rPr>
          <w:color w:val="3A383A"/>
          <w:spacing w:val="-14"/>
          <w:w w:val="115"/>
        </w:rPr>
        <w:t> </w:t>
      </w:r>
      <w:r>
        <w:rPr>
          <w:color w:val="3A383A"/>
          <w:w w:val="115"/>
        </w:rPr>
        <w:t>and</w:t>
      </w:r>
      <w:r>
        <w:rPr>
          <w:color w:val="3A383A"/>
          <w:spacing w:val="17"/>
          <w:w w:val="115"/>
        </w:rPr>
        <w:t> </w:t>
      </w:r>
      <w:r>
        <w:rPr>
          <w:color w:val="3A383A"/>
          <w:w w:val="115"/>
        </w:rPr>
        <w:t>to</w:t>
      </w:r>
      <w:r>
        <w:rPr>
          <w:color w:val="3A383A"/>
          <w:spacing w:val="6"/>
          <w:w w:val="115"/>
        </w:rPr>
        <w:t> </w:t>
      </w:r>
      <w:r>
        <w:rPr>
          <w:color w:val="3A383A"/>
          <w:w w:val="115"/>
        </w:rPr>
        <w:t>determine</w:t>
      </w:r>
      <w:r>
        <w:rPr>
          <w:color w:val="3A383A"/>
          <w:spacing w:val="-13"/>
          <w:w w:val="115"/>
        </w:rPr>
        <w:t> </w:t>
      </w:r>
      <w:r>
        <w:rPr>
          <w:color w:val="3A383A"/>
          <w:w w:val="115"/>
        </w:rPr>
        <w:t>who</w:t>
      </w:r>
      <w:r>
        <w:rPr>
          <w:color w:val="3A383A"/>
          <w:spacing w:val="-17"/>
          <w:w w:val="115"/>
        </w:rPr>
        <w:t> </w:t>
      </w:r>
      <w:r>
        <w:rPr>
          <w:color w:val="3A383A"/>
          <w:w w:val="115"/>
        </w:rPr>
        <w:t>is</w:t>
      </w:r>
      <w:r>
        <w:rPr>
          <w:color w:val="3A383A"/>
          <w:spacing w:val="-16"/>
          <w:w w:val="115"/>
        </w:rPr>
        <w:t> </w:t>
      </w:r>
      <w:r>
        <w:rPr>
          <w:color w:val="3A383A"/>
          <w:w w:val="115"/>
        </w:rPr>
        <w:t>eligible</w:t>
      </w:r>
      <w:r>
        <w:rPr>
          <w:color w:val="3A383A"/>
          <w:spacing w:val="-13"/>
          <w:w w:val="115"/>
        </w:rPr>
        <w:t> </w:t>
      </w:r>
      <w:r>
        <w:rPr>
          <w:color w:val="3A383A"/>
          <w:w w:val="115"/>
        </w:rPr>
        <w:t>for</w:t>
      </w:r>
      <w:r>
        <w:rPr>
          <w:color w:val="3A383A"/>
          <w:spacing w:val="-9"/>
          <w:w w:val="115"/>
        </w:rPr>
        <w:t> </w:t>
      </w:r>
      <w:r>
        <w:rPr>
          <w:color w:val="3A383A"/>
          <w:w w:val="115"/>
        </w:rPr>
        <w:t>auto­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0"/>
        </w:rPr>
        <w:t>matic citizenship. A more difficult case is the case of an employee who is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  <w:sz w:val="22"/>
        </w:rPr>
        <w:t>trying </w:t>
      </w:r>
      <w:r>
        <w:rPr>
          <w:color w:val="3A383A"/>
          <w:w w:val="115"/>
        </w:rPr>
        <w:t>to establish individual liability of supervisors so that she can sue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0"/>
        </w:rPr>
        <w:t>the person who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sexually harassed  her. Rather  than portraying her purely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as</w:t>
      </w:r>
      <w:r>
        <w:rPr>
          <w:color w:val="3A383A"/>
          <w:spacing w:val="-15"/>
          <w:w w:val="110"/>
        </w:rPr>
        <w:t> </w:t>
      </w:r>
      <w:r>
        <w:rPr>
          <w:color w:val="3A383A"/>
          <w:w w:val="110"/>
        </w:rPr>
        <w:t>a</w:t>
      </w:r>
      <w:r>
        <w:rPr>
          <w:color w:val="3A383A"/>
          <w:spacing w:val="19"/>
          <w:w w:val="110"/>
        </w:rPr>
        <w:t> </w:t>
      </w:r>
      <w:r>
        <w:rPr>
          <w:color w:val="3A383A"/>
          <w:w w:val="110"/>
        </w:rPr>
        <w:t>victim,</w:t>
      </w:r>
      <w:r>
        <w:rPr>
          <w:color w:val="3A383A"/>
          <w:w w:val="110"/>
          <w:vertAlign w:val="superscript"/>
        </w:rPr>
        <w:t>21</w:t>
      </w:r>
      <w:r>
        <w:rPr>
          <w:color w:val="3A383A"/>
          <w:spacing w:val="24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the</w:t>
      </w:r>
      <w:r>
        <w:rPr>
          <w:color w:val="3A383A"/>
          <w:spacing w:val="6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fact</w:t>
      </w:r>
      <w:r>
        <w:rPr>
          <w:color w:val="3A383A"/>
          <w:spacing w:val="17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statement</w:t>
      </w:r>
      <w:r>
        <w:rPr>
          <w:color w:val="3A383A"/>
          <w:spacing w:val="2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can</w:t>
      </w:r>
      <w:r>
        <w:rPr>
          <w:color w:val="3A383A"/>
          <w:spacing w:val="19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show</w:t>
      </w:r>
      <w:r>
        <w:rPr>
          <w:color w:val="3A383A"/>
          <w:spacing w:val="25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her</w:t>
      </w:r>
      <w:r>
        <w:rPr>
          <w:color w:val="3A383A"/>
          <w:spacing w:val="23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as</w:t>
      </w:r>
      <w:r>
        <w:rPr>
          <w:color w:val="3A383A"/>
          <w:spacing w:val="14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someone</w:t>
      </w:r>
      <w:r>
        <w:rPr>
          <w:color w:val="3A383A"/>
          <w:spacing w:val="19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who</w:t>
      </w:r>
      <w:r>
        <w:rPr>
          <w:color w:val="3A383A"/>
          <w:spacing w:val="26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wants</w:t>
      </w:r>
      <w:r>
        <w:rPr>
          <w:color w:val="3A383A"/>
          <w:spacing w:val="11"/>
          <w:w w:val="110"/>
          <w:vertAlign w:val="baseline"/>
        </w:rPr>
        <w:t> </w:t>
      </w:r>
      <w:r>
        <w:rPr>
          <w:color w:val="3A383A"/>
          <w:w w:val="110"/>
          <w:vertAlign w:val="baseline"/>
        </w:rPr>
        <w:t>to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spacing w:line="249" w:lineRule="auto" w:before="1"/>
        <w:ind w:left="157" w:right="332" w:firstLine="327"/>
        <w:jc w:val="both"/>
        <w:rPr>
          <w:sz w:val="17"/>
        </w:rPr>
      </w:pPr>
      <w:r>
        <w:rPr>
          <w:rFonts w:ascii="Arial" w:hAnsi="Arial"/>
          <w:b/>
          <w:color w:val="3A383A"/>
          <w:spacing w:val="-1"/>
          <w:w w:val="115"/>
          <w:position w:val="5"/>
          <w:sz w:val="9"/>
        </w:rPr>
        <w:t>16</w:t>
      </w:r>
      <w:r>
        <w:rPr>
          <w:b/>
          <w:color w:val="3A383A"/>
          <w:spacing w:val="-1"/>
          <w:w w:val="115"/>
          <w:sz w:val="17"/>
        </w:rPr>
        <w:t>See</w:t>
      </w:r>
      <w:r>
        <w:rPr>
          <w:b/>
          <w:color w:val="3A383A"/>
          <w:spacing w:val="-21"/>
          <w:w w:val="115"/>
          <w:sz w:val="17"/>
        </w:rPr>
        <w:t> </w:t>
      </w:r>
      <w:r>
        <w:rPr>
          <w:color w:val="3A383A"/>
          <w:spacing w:val="-1"/>
          <w:w w:val="115"/>
          <w:sz w:val="17"/>
        </w:rPr>
        <w:t>Jennifer</w:t>
      </w:r>
      <w:r>
        <w:rPr>
          <w:color w:val="3A383A"/>
          <w:spacing w:val="-10"/>
          <w:w w:val="115"/>
          <w:sz w:val="17"/>
        </w:rPr>
        <w:t> </w:t>
      </w:r>
      <w:r>
        <w:rPr>
          <w:color w:val="3A383A"/>
          <w:spacing w:val="-1"/>
          <w:w w:val="115"/>
          <w:sz w:val="17"/>
        </w:rPr>
        <w:t>Sheppard,</w:t>
      </w:r>
      <w:r>
        <w:rPr>
          <w:color w:val="3A383A"/>
          <w:spacing w:val="-4"/>
          <w:w w:val="115"/>
          <w:sz w:val="17"/>
        </w:rPr>
        <w:t> </w:t>
      </w:r>
      <w:r>
        <w:rPr>
          <w:rFonts w:ascii="Arial" w:hAnsi="Arial"/>
          <w:i/>
          <w:color w:val="3A383A"/>
          <w:spacing w:val="-1"/>
          <w:w w:val="115"/>
          <w:sz w:val="15"/>
        </w:rPr>
        <w:t>Once</w:t>
      </w:r>
      <w:r>
        <w:rPr>
          <w:rFonts w:ascii="Arial" w:hAnsi="Arial"/>
          <w:i/>
          <w:color w:val="3A383A"/>
          <w:spacing w:val="-15"/>
          <w:w w:val="115"/>
          <w:sz w:val="15"/>
        </w:rPr>
        <w:t> </w:t>
      </w:r>
      <w:r>
        <w:rPr>
          <w:rFonts w:ascii="Arial" w:hAnsi="Arial"/>
          <w:i/>
          <w:color w:val="3A383A"/>
          <w:w w:val="115"/>
          <w:sz w:val="15"/>
        </w:rPr>
        <w:t>Upon</w:t>
      </w:r>
      <w:r>
        <w:rPr>
          <w:rFonts w:ascii="Arial" w:hAnsi="Arial"/>
          <w:i/>
          <w:color w:val="3A383A"/>
          <w:spacing w:val="-15"/>
          <w:w w:val="115"/>
          <w:sz w:val="15"/>
        </w:rPr>
        <w:t> </w:t>
      </w:r>
      <w:r>
        <w:rPr>
          <w:rFonts w:ascii="Arial" w:hAnsi="Arial"/>
          <w:i/>
          <w:color w:val="3A383A"/>
          <w:w w:val="115"/>
          <w:sz w:val="15"/>
        </w:rPr>
        <w:t>n</w:t>
      </w:r>
      <w:r>
        <w:rPr>
          <w:rFonts w:ascii="Arial" w:hAnsi="Arial"/>
          <w:i/>
          <w:color w:val="3A383A"/>
          <w:spacing w:val="-3"/>
          <w:w w:val="115"/>
          <w:sz w:val="15"/>
        </w:rPr>
        <w:t> </w:t>
      </w:r>
      <w:r>
        <w:rPr>
          <w:rFonts w:ascii="Arial" w:hAnsi="Arial"/>
          <w:i/>
          <w:color w:val="3A383A"/>
          <w:w w:val="115"/>
          <w:sz w:val="15"/>
        </w:rPr>
        <w:t>Time,</w:t>
      </w:r>
      <w:r>
        <w:rPr>
          <w:rFonts w:ascii="Arial" w:hAnsi="Arial"/>
          <w:i/>
          <w:color w:val="3A383A"/>
          <w:spacing w:val="-22"/>
          <w:w w:val="115"/>
          <w:sz w:val="15"/>
        </w:rPr>
        <w:t> </w:t>
      </w:r>
      <w:r>
        <w:rPr>
          <w:rFonts w:ascii="Arial" w:hAnsi="Arial"/>
          <w:i/>
          <w:color w:val="3A383A"/>
          <w:w w:val="115"/>
          <w:sz w:val="15"/>
        </w:rPr>
        <w:t>Happily</w:t>
      </w:r>
      <w:r>
        <w:rPr>
          <w:rFonts w:ascii="Arial" w:hAnsi="Arial"/>
          <w:i/>
          <w:color w:val="3A383A"/>
          <w:spacing w:val="15"/>
          <w:w w:val="115"/>
          <w:sz w:val="15"/>
        </w:rPr>
        <w:t> </w:t>
      </w:r>
      <w:r>
        <w:rPr>
          <w:rFonts w:ascii="Arial" w:hAnsi="Arial"/>
          <w:i/>
          <w:color w:val="3A383A"/>
          <w:w w:val="115"/>
          <w:sz w:val="15"/>
        </w:rPr>
        <w:t>Ever</w:t>
      </w:r>
      <w:r>
        <w:rPr>
          <w:rFonts w:ascii="Arial" w:hAnsi="Arial"/>
          <w:i/>
          <w:color w:val="3A383A"/>
          <w:spacing w:val="-7"/>
          <w:w w:val="115"/>
          <w:sz w:val="15"/>
        </w:rPr>
        <w:t> </w:t>
      </w:r>
      <w:r>
        <w:rPr>
          <w:rFonts w:ascii="Arial" w:hAnsi="Arial"/>
          <w:i/>
          <w:color w:val="3A383A"/>
          <w:w w:val="115"/>
          <w:sz w:val="15"/>
        </w:rPr>
        <w:t>A</w:t>
      </w:r>
      <w:r>
        <w:rPr>
          <w:rFonts w:ascii="Arial" w:hAnsi="Arial"/>
          <w:i/>
          <w:color w:val="3A383A"/>
          <w:spacing w:val="6"/>
          <w:w w:val="115"/>
          <w:sz w:val="15"/>
        </w:rPr>
        <w:t> </w:t>
      </w:r>
      <w:r>
        <w:rPr>
          <w:rFonts w:ascii="Arial" w:hAnsi="Arial"/>
          <w:i/>
          <w:color w:val="3A383A"/>
          <w:w w:val="115"/>
          <w:sz w:val="15"/>
        </w:rPr>
        <w:t>er,</w:t>
      </w:r>
      <w:r>
        <w:rPr>
          <w:rFonts w:ascii="Arial" w:hAnsi="Arial"/>
          <w:i/>
          <w:color w:val="3A383A"/>
          <w:spacing w:val="-11"/>
          <w:w w:val="115"/>
          <w:sz w:val="15"/>
        </w:rPr>
        <w:t> </w:t>
      </w:r>
      <w:r>
        <w:rPr>
          <w:rFonts w:ascii="Arial" w:hAnsi="Arial"/>
          <w:i/>
          <w:color w:val="3A383A"/>
          <w:w w:val="115"/>
          <w:sz w:val="15"/>
        </w:rPr>
        <w:t>aml</w:t>
      </w:r>
      <w:r>
        <w:rPr>
          <w:rFonts w:ascii="Arial" w:hAnsi="Arial"/>
          <w:i/>
          <w:color w:val="3A383A"/>
          <w:spacing w:val="-27"/>
          <w:w w:val="115"/>
          <w:sz w:val="15"/>
        </w:rPr>
        <w:t> </w:t>
      </w:r>
      <w:r>
        <w:rPr>
          <w:rFonts w:ascii="Arial" w:hAnsi="Arial"/>
          <w:i/>
          <w:color w:val="3A383A"/>
          <w:w w:val="115"/>
          <w:sz w:val="15"/>
        </w:rPr>
        <w:t>in</w:t>
      </w:r>
      <w:r>
        <w:rPr>
          <w:rFonts w:ascii="Arial" w:hAnsi="Arial"/>
          <w:i/>
          <w:color w:val="3A383A"/>
          <w:spacing w:val="-12"/>
          <w:w w:val="115"/>
          <w:sz w:val="15"/>
        </w:rPr>
        <w:t> </w:t>
      </w:r>
      <w:r>
        <w:rPr>
          <w:rFonts w:ascii="Arial" w:hAnsi="Arial"/>
          <w:i/>
          <w:color w:val="3A383A"/>
          <w:w w:val="115"/>
          <w:sz w:val="15"/>
        </w:rPr>
        <w:t>a</w:t>
      </w:r>
      <w:r>
        <w:rPr>
          <w:rFonts w:ascii="Arial" w:hAnsi="Arial"/>
          <w:i/>
          <w:color w:val="3A383A"/>
          <w:spacing w:val="-12"/>
          <w:w w:val="115"/>
          <w:sz w:val="15"/>
        </w:rPr>
        <w:t> </w:t>
      </w:r>
      <w:r>
        <w:rPr>
          <w:rFonts w:ascii="Arial" w:hAnsi="Arial"/>
          <w:i/>
          <w:color w:val="3A383A"/>
          <w:w w:val="115"/>
          <w:sz w:val="15"/>
        </w:rPr>
        <w:t>Galn:ty Far,</w:t>
      </w:r>
      <w:r>
        <w:rPr>
          <w:rFonts w:ascii="Arial" w:hAnsi="Arial"/>
          <w:i/>
          <w:color w:val="3A383A"/>
          <w:spacing w:val="-10"/>
          <w:w w:val="115"/>
          <w:sz w:val="15"/>
        </w:rPr>
        <w:t> </w:t>
      </w:r>
      <w:r>
        <w:rPr>
          <w:rFonts w:ascii="Arial" w:hAnsi="Arial"/>
          <w:i/>
          <w:color w:val="3A383A"/>
          <w:w w:val="115"/>
          <w:sz w:val="15"/>
        </w:rPr>
        <w:t>Fnr</w:t>
      </w:r>
      <w:r>
        <w:rPr>
          <w:rFonts w:ascii="Arial" w:hAnsi="Arial"/>
          <w:i/>
          <w:color w:val="3A383A"/>
          <w:spacing w:val="17"/>
          <w:w w:val="115"/>
          <w:sz w:val="15"/>
        </w:rPr>
        <w:t> </w:t>
      </w:r>
      <w:r>
        <w:rPr>
          <w:rFonts w:ascii="Arial" w:hAnsi="Arial"/>
          <w:i/>
          <w:color w:val="3A383A"/>
          <w:w w:val="115"/>
          <w:sz w:val="15"/>
        </w:rPr>
        <w:t>Awny</w:t>
      </w:r>
      <w:r>
        <w:rPr>
          <w:rFonts w:ascii="Arial" w:hAnsi="Arial"/>
          <w:i/>
          <w:color w:val="5B5B5D"/>
          <w:w w:val="115"/>
          <w:sz w:val="15"/>
        </w:rPr>
        <w:t>:</w:t>
      </w:r>
      <w:r>
        <w:rPr>
          <w:rFonts w:ascii="Arial" w:hAnsi="Arial"/>
          <w:i/>
          <w:color w:val="5B5B5D"/>
          <w:spacing w:val="1"/>
          <w:w w:val="115"/>
          <w:sz w:val="15"/>
        </w:rPr>
        <w:t> </w:t>
      </w:r>
      <w:r>
        <w:rPr>
          <w:rFonts w:ascii="Arial" w:hAnsi="Arial"/>
          <w:i/>
          <w:color w:val="3A383A"/>
          <w:spacing w:val="-1"/>
          <w:w w:val="110"/>
          <w:sz w:val="15"/>
        </w:rPr>
        <w:t>Using </w:t>
      </w:r>
      <w:r>
        <w:rPr>
          <w:i/>
          <w:color w:val="3A383A"/>
          <w:spacing w:val="-1"/>
          <w:w w:val="110"/>
          <w:sz w:val="16"/>
        </w:rPr>
        <w:t>Narrative to </w:t>
      </w:r>
      <w:r>
        <w:rPr>
          <w:rFonts w:ascii="Arial" w:hAnsi="Arial"/>
          <w:i/>
          <w:color w:val="3A383A"/>
          <w:spacing w:val="-1"/>
          <w:w w:val="110"/>
          <w:sz w:val="15"/>
        </w:rPr>
        <w:t>Fill </w:t>
      </w:r>
      <w:r>
        <w:rPr>
          <w:i/>
          <w:color w:val="3A383A"/>
          <w:spacing w:val="-1"/>
          <w:w w:val="110"/>
          <w:sz w:val="16"/>
        </w:rPr>
        <w:t>theCognitive </w:t>
      </w:r>
      <w:r>
        <w:rPr>
          <w:rFonts w:ascii="Arial" w:hAnsi="Arial"/>
          <w:i/>
          <w:color w:val="3A383A"/>
          <w:w w:val="110"/>
          <w:sz w:val="15"/>
        </w:rPr>
        <w:t>Gap </w:t>
      </w:r>
      <w:r>
        <w:rPr>
          <w:i/>
          <w:color w:val="3A383A"/>
          <w:w w:val="110"/>
          <w:sz w:val="16"/>
        </w:rPr>
        <w:t>Le</w:t>
      </w:r>
      <w:r>
        <w:rPr>
          <w:i/>
          <w:color w:val="3A383A"/>
          <w:spacing w:val="1"/>
          <w:w w:val="110"/>
          <w:sz w:val="16"/>
        </w:rPr>
        <w:t> </w:t>
      </w:r>
      <w:r>
        <w:rPr>
          <w:rFonts w:ascii="Arial" w:hAnsi="Arial"/>
          <w:i/>
          <w:color w:val="3A383A"/>
          <w:w w:val="110"/>
          <w:sz w:val="15"/>
        </w:rPr>
        <w:t>Behind by </w:t>
      </w:r>
      <w:r>
        <w:rPr>
          <w:i/>
          <w:color w:val="3A383A"/>
          <w:w w:val="110"/>
          <w:sz w:val="16"/>
        </w:rPr>
        <w:t>01•errelitmce </w:t>
      </w:r>
      <w:r>
        <w:rPr>
          <w:rFonts w:ascii="Arial" w:hAnsi="Arial"/>
          <w:i/>
          <w:color w:val="3A383A"/>
          <w:w w:val="110"/>
          <w:sz w:val="11"/>
        </w:rPr>
        <w:t>011 </w:t>
      </w:r>
      <w:r>
        <w:rPr>
          <w:rFonts w:ascii="Arial" w:hAnsi="Arial"/>
          <w:i/>
          <w:color w:val="3A383A"/>
          <w:w w:val="110"/>
          <w:sz w:val="15"/>
        </w:rPr>
        <w:t>Pure Logic </w:t>
      </w:r>
      <w:r>
        <w:rPr>
          <w:i/>
          <w:color w:val="3A383A"/>
          <w:w w:val="110"/>
          <w:sz w:val="16"/>
        </w:rPr>
        <w:t>i11 Appdlc1te </w:t>
      </w:r>
      <w:r>
        <w:rPr>
          <w:rFonts w:ascii="Arial" w:hAnsi="Arial"/>
          <w:i/>
          <w:color w:val="3A383A"/>
          <w:w w:val="110"/>
          <w:sz w:val="15"/>
        </w:rPr>
        <w:t>Bri</w:t>
      </w:r>
      <w:r>
        <w:rPr>
          <w:rFonts w:ascii="Arial" w:hAnsi="Arial"/>
          <w:i/>
          <w:color w:val="5B5B5D"/>
          <w:w w:val="110"/>
          <w:sz w:val="15"/>
        </w:rPr>
        <w:t>e</w:t>
      </w:r>
      <w:r>
        <w:rPr>
          <w:rFonts w:ascii="Arial" w:hAnsi="Arial"/>
          <w:i/>
          <w:color w:val="3A383A"/>
          <w:w w:val="110"/>
          <w:sz w:val="15"/>
        </w:rPr>
        <w:t>fs</w:t>
      </w:r>
      <w:r>
        <w:rPr>
          <w:rFonts w:ascii="Arial" w:hAnsi="Arial"/>
          <w:i/>
          <w:color w:val="3A383A"/>
          <w:spacing w:val="-43"/>
          <w:w w:val="110"/>
          <w:sz w:val="15"/>
        </w:rPr>
        <w:t> </w:t>
      </w:r>
      <w:r>
        <w:rPr>
          <w:rFonts w:ascii="Arial" w:hAnsi="Arial"/>
          <w:i/>
          <w:color w:val="3A383A"/>
          <w:w w:val="110"/>
          <w:sz w:val="15"/>
        </w:rPr>
        <w:t>and</w:t>
      </w:r>
      <w:r>
        <w:rPr>
          <w:rFonts w:ascii="Arial" w:hAnsi="Arial"/>
          <w:i/>
          <w:color w:val="3A383A"/>
          <w:spacing w:val="-14"/>
          <w:w w:val="110"/>
          <w:sz w:val="15"/>
        </w:rPr>
        <w:t> </w:t>
      </w:r>
      <w:r>
        <w:rPr>
          <w:rFonts w:ascii="Arial" w:hAnsi="Arial"/>
          <w:i/>
          <w:color w:val="3A383A"/>
          <w:w w:val="110"/>
          <w:sz w:val="15"/>
        </w:rPr>
        <w:t>Motion</w:t>
      </w:r>
      <w:r>
        <w:rPr>
          <w:rFonts w:ascii="Arial" w:hAnsi="Arial"/>
          <w:i/>
          <w:color w:val="3A383A"/>
          <w:spacing w:val="-22"/>
          <w:w w:val="110"/>
          <w:sz w:val="15"/>
        </w:rPr>
        <w:t> </w:t>
      </w:r>
      <w:r>
        <w:rPr>
          <w:rFonts w:ascii="Arial" w:hAnsi="Arial"/>
          <w:i/>
          <w:color w:val="3A383A"/>
          <w:w w:val="110"/>
          <w:sz w:val="15"/>
        </w:rPr>
        <w:t>Memoranda,</w:t>
      </w:r>
      <w:r>
        <w:rPr>
          <w:rFonts w:ascii="Arial" w:hAnsi="Arial"/>
          <w:i/>
          <w:color w:val="3A383A"/>
          <w:spacing w:val="-5"/>
          <w:w w:val="110"/>
          <w:sz w:val="15"/>
        </w:rPr>
        <w:t> </w:t>
      </w:r>
      <w:r>
        <w:rPr>
          <w:color w:val="3A383A"/>
          <w:w w:val="110"/>
          <w:sz w:val="17"/>
        </w:rPr>
        <w:t>46</w:t>
      </w:r>
      <w:r>
        <w:rPr>
          <w:color w:val="3A383A"/>
          <w:spacing w:val="3"/>
          <w:w w:val="110"/>
          <w:sz w:val="17"/>
        </w:rPr>
        <w:t> </w:t>
      </w:r>
      <w:r>
        <w:rPr>
          <w:color w:val="3A383A"/>
          <w:w w:val="110"/>
          <w:sz w:val="17"/>
        </w:rPr>
        <w:t>Willamette</w:t>
      </w:r>
      <w:r>
        <w:rPr>
          <w:color w:val="3A383A"/>
          <w:spacing w:val="7"/>
          <w:w w:val="110"/>
          <w:sz w:val="17"/>
        </w:rPr>
        <w:t> </w:t>
      </w:r>
      <w:r>
        <w:rPr>
          <w:color w:val="3A383A"/>
          <w:w w:val="110"/>
          <w:sz w:val="17"/>
        </w:rPr>
        <w:t>L</w:t>
      </w:r>
      <w:r>
        <w:rPr>
          <w:color w:val="5B5B5D"/>
          <w:w w:val="110"/>
          <w:sz w:val="17"/>
        </w:rPr>
        <w:t>.</w:t>
      </w:r>
      <w:r>
        <w:rPr>
          <w:color w:val="5B5B5D"/>
          <w:spacing w:val="5"/>
          <w:w w:val="110"/>
          <w:sz w:val="17"/>
        </w:rPr>
        <w:t> </w:t>
      </w:r>
      <w:r>
        <w:rPr>
          <w:color w:val="3A383A"/>
          <w:w w:val="110"/>
          <w:sz w:val="17"/>
        </w:rPr>
        <w:t>Rev.</w:t>
      </w:r>
      <w:r>
        <w:rPr>
          <w:color w:val="3A383A"/>
          <w:spacing w:val="1"/>
          <w:w w:val="110"/>
          <w:sz w:val="17"/>
        </w:rPr>
        <w:t> </w:t>
      </w:r>
      <w:r>
        <w:rPr>
          <w:color w:val="3A383A"/>
          <w:w w:val="110"/>
          <w:sz w:val="17"/>
        </w:rPr>
        <w:t>255</w:t>
      </w:r>
      <w:r>
        <w:rPr>
          <w:color w:val="5B5B5D"/>
          <w:w w:val="110"/>
          <w:sz w:val="17"/>
        </w:rPr>
        <w:t>,</w:t>
      </w:r>
      <w:r>
        <w:rPr>
          <w:color w:val="5B5B5D"/>
          <w:spacing w:val="4"/>
          <w:w w:val="110"/>
          <w:sz w:val="17"/>
        </w:rPr>
        <w:t> </w:t>
      </w:r>
      <w:r>
        <w:rPr>
          <w:color w:val="3A383A"/>
          <w:w w:val="110"/>
          <w:sz w:val="17"/>
        </w:rPr>
        <w:t>256</w:t>
      </w:r>
      <w:r>
        <w:rPr>
          <w:color w:val="3A383A"/>
          <w:spacing w:val="-17"/>
          <w:w w:val="110"/>
          <w:sz w:val="17"/>
        </w:rPr>
        <w:t> </w:t>
      </w:r>
      <w:r>
        <w:rPr>
          <w:color w:val="3A383A"/>
          <w:w w:val="110"/>
          <w:sz w:val="17"/>
        </w:rPr>
        <w:t>{2009).</w:t>
      </w:r>
    </w:p>
    <w:p>
      <w:pPr>
        <w:spacing w:line="180" w:lineRule="exact" w:before="0"/>
        <w:ind w:left="488" w:right="0" w:firstLine="0"/>
        <w:jc w:val="both"/>
        <w:rPr>
          <w:rFonts w:ascii="Arial"/>
          <w:i/>
          <w:sz w:val="15"/>
        </w:rPr>
      </w:pPr>
      <w:r>
        <w:rPr>
          <w:color w:val="3A383A"/>
          <w:w w:val="105"/>
          <w:position w:val="4"/>
          <w:sz w:val="11"/>
        </w:rPr>
        <w:t>17</w:t>
      </w:r>
      <w:r>
        <w:rPr>
          <w:color w:val="3A383A"/>
          <w:w w:val="105"/>
          <w:sz w:val="17"/>
        </w:rPr>
        <w:t>Ruth </w:t>
      </w:r>
      <w:r>
        <w:rPr>
          <w:color w:val="3A383A"/>
          <w:spacing w:val="3"/>
          <w:w w:val="105"/>
          <w:sz w:val="17"/>
        </w:rPr>
        <w:t> </w:t>
      </w:r>
      <w:r>
        <w:rPr>
          <w:color w:val="3A383A"/>
          <w:w w:val="105"/>
          <w:sz w:val="17"/>
        </w:rPr>
        <w:t>Anne</w:t>
      </w:r>
      <w:r>
        <w:rPr>
          <w:color w:val="3A383A"/>
          <w:spacing w:val="28"/>
          <w:w w:val="105"/>
          <w:sz w:val="17"/>
        </w:rPr>
        <w:t> </w:t>
      </w:r>
      <w:r>
        <w:rPr>
          <w:color w:val="3A383A"/>
          <w:w w:val="105"/>
          <w:sz w:val="17"/>
        </w:rPr>
        <w:t>Robbins,</w:t>
      </w:r>
      <w:r>
        <w:rPr>
          <w:color w:val="3A383A"/>
          <w:spacing w:val="34"/>
          <w:w w:val="105"/>
          <w:sz w:val="17"/>
        </w:rPr>
        <w:t> </w:t>
      </w:r>
      <w:r>
        <w:rPr>
          <w:i/>
          <w:color w:val="3A383A"/>
          <w:w w:val="105"/>
          <w:sz w:val="19"/>
        </w:rPr>
        <w:t>H"rry</w:t>
      </w:r>
      <w:r>
        <w:rPr>
          <w:i/>
          <w:color w:val="3A383A"/>
          <w:spacing w:val="-7"/>
          <w:w w:val="105"/>
          <w:sz w:val="19"/>
        </w:rPr>
        <w:t> </w:t>
      </w:r>
      <w:r>
        <w:rPr>
          <w:rFonts w:ascii="Arial"/>
          <w:i/>
          <w:color w:val="3A383A"/>
          <w:w w:val="105"/>
          <w:sz w:val="15"/>
        </w:rPr>
        <w:t>Potter, Ruby</w:t>
      </w:r>
      <w:r>
        <w:rPr>
          <w:rFonts w:ascii="Arial"/>
          <w:i/>
          <w:color w:val="3A383A"/>
          <w:spacing w:val="1"/>
          <w:w w:val="105"/>
          <w:sz w:val="15"/>
        </w:rPr>
        <w:t> </w:t>
      </w:r>
      <w:r>
        <w:rPr>
          <w:rFonts w:ascii="Arial"/>
          <w:i/>
          <w:color w:val="3A383A"/>
          <w:w w:val="105"/>
          <w:sz w:val="15"/>
        </w:rPr>
        <w:t>Slippers</w:t>
      </w:r>
      <w:r>
        <w:rPr>
          <w:rFonts w:ascii="Arial"/>
          <w:i/>
          <w:color w:val="3A383A"/>
          <w:spacing w:val="12"/>
          <w:w w:val="105"/>
          <w:sz w:val="15"/>
        </w:rPr>
        <w:t> </w:t>
      </w:r>
      <w:r>
        <w:rPr>
          <w:rFonts w:ascii="Arial"/>
          <w:i/>
          <w:color w:val="3A383A"/>
          <w:w w:val="105"/>
          <w:sz w:val="15"/>
        </w:rPr>
        <w:t>mul </w:t>
      </w:r>
      <w:r>
        <w:rPr>
          <w:rFonts w:ascii="Arial"/>
          <w:i/>
          <w:color w:val="3A383A"/>
          <w:spacing w:val="6"/>
          <w:w w:val="105"/>
          <w:sz w:val="15"/>
        </w:rPr>
        <w:t> </w:t>
      </w:r>
      <w:r>
        <w:rPr>
          <w:rFonts w:ascii="Arial"/>
          <w:i/>
          <w:color w:val="3A383A"/>
          <w:w w:val="105"/>
          <w:sz w:val="15"/>
        </w:rPr>
        <w:t>Merli11:</w:t>
      </w:r>
      <w:r>
        <w:rPr>
          <w:rFonts w:ascii="Arial"/>
          <w:i/>
          <w:color w:val="3A383A"/>
          <w:spacing w:val="-10"/>
          <w:w w:val="105"/>
          <w:sz w:val="15"/>
        </w:rPr>
        <w:t> </w:t>
      </w:r>
      <w:r>
        <w:rPr>
          <w:rFonts w:ascii="Arial"/>
          <w:i/>
          <w:color w:val="3A383A"/>
          <w:w w:val="105"/>
          <w:sz w:val="15"/>
        </w:rPr>
        <w:t>T</w:t>
      </w:r>
      <w:r>
        <w:rPr>
          <w:rFonts w:ascii="Arial"/>
          <w:i/>
          <w:color w:val="5B5B5D"/>
          <w:w w:val="105"/>
          <w:sz w:val="15"/>
        </w:rPr>
        <w:t>e</w:t>
      </w:r>
      <w:r>
        <w:rPr>
          <w:rFonts w:ascii="Arial"/>
          <w:i/>
          <w:color w:val="3A383A"/>
          <w:w w:val="105"/>
          <w:sz w:val="15"/>
        </w:rPr>
        <w:t>lling</w:t>
      </w:r>
      <w:r>
        <w:rPr>
          <w:rFonts w:ascii="Arial"/>
          <w:i/>
          <w:color w:val="3A383A"/>
          <w:spacing w:val="43"/>
          <w:w w:val="105"/>
          <w:sz w:val="15"/>
        </w:rPr>
        <w:t> </w:t>
      </w:r>
      <w:r>
        <w:rPr>
          <w:rFonts w:ascii="Arial"/>
          <w:i/>
          <w:color w:val="3A383A"/>
          <w:w w:val="105"/>
          <w:sz w:val="15"/>
        </w:rPr>
        <w:t>the</w:t>
      </w:r>
      <w:r>
        <w:rPr>
          <w:rFonts w:ascii="Arial"/>
          <w:i/>
          <w:color w:val="3A383A"/>
          <w:spacing w:val="16"/>
          <w:w w:val="105"/>
          <w:sz w:val="15"/>
        </w:rPr>
        <w:t> </w:t>
      </w:r>
      <w:r>
        <w:rPr>
          <w:i/>
          <w:color w:val="3A383A"/>
          <w:w w:val="105"/>
          <w:sz w:val="16"/>
        </w:rPr>
        <w:t>Client's</w:t>
      </w:r>
      <w:r>
        <w:rPr>
          <w:i/>
          <w:color w:val="3A383A"/>
          <w:spacing w:val="-14"/>
          <w:w w:val="105"/>
          <w:sz w:val="16"/>
        </w:rPr>
        <w:t> </w:t>
      </w:r>
      <w:r>
        <w:rPr>
          <w:rFonts w:ascii="Arial"/>
          <w:i/>
          <w:color w:val="3A383A"/>
          <w:w w:val="105"/>
          <w:sz w:val="15"/>
        </w:rPr>
        <w:t>Story</w:t>
      </w:r>
      <w:r>
        <w:rPr>
          <w:rFonts w:ascii="Arial"/>
          <w:i/>
          <w:color w:val="3A383A"/>
          <w:spacing w:val="8"/>
          <w:w w:val="105"/>
          <w:sz w:val="15"/>
        </w:rPr>
        <w:t> </w:t>
      </w:r>
      <w:r>
        <w:rPr>
          <w:rFonts w:ascii="Arial"/>
          <w:i/>
          <w:color w:val="3A383A"/>
          <w:w w:val="105"/>
          <w:sz w:val="15"/>
        </w:rPr>
        <w:t>Using</w:t>
      </w:r>
      <w:r>
        <w:rPr>
          <w:rFonts w:ascii="Arial"/>
          <w:i/>
          <w:color w:val="3A383A"/>
          <w:spacing w:val="4"/>
          <w:w w:val="105"/>
          <w:sz w:val="15"/>
        </w:rPr>
        <w:t> </w:t>
      </w:r>
      <w:r>
        <w:rPr>
          <w:rFonts w:ascii="Arial"/>
          <w:i/>
          <w:color w:val="3A383A"/>
          <w:w w:val="105"/>
          <w:sz w:val="15"/>
        </w:rPr>
        <w:t>tire</w:t>
      </w:r>
    </w:p>
    <w:p>
      <w:pPr>
        <w:spacing w:before="2"/>
        <w:ind w:left="160" w:right="0" w:firstLine="0"/>
        <w:jc w:val="both"/>
        <w:rPr>
          <w:sz w:val="17"/>
        </w:rPr>
      </w:pPr>
      <w:r>
        <w:rPr>
          <w:rFonts w:ascii="Arial"/>
          <w:i/>
          <w:color w:val="3A383A"/>
          <w:w w:val="110"/>
          <w:sz w:val="15"/>
        </w:rPr>
        <w:t>C/rara</w:t>
      </w:r>
      <w:r>
        <w:rPr>
          <w:rFonts w:ascii="Arial"/>
          <w:i/>
          <w:color w:val="5B5B5D"/>
          <w:w w:val="110"/>
          <w:sz w:val="15"/>
        </w:rPr>
        <w:t>c</w:t>
      </w:r>
      <w:r>
        <w:rPr>
          <w:rFonts w:ascii="Arial"/>
          <w:i/>
          <w:color w:val="3A383A"/>
          <w:w w:val="110"/>
          <w:sz w:val="15"/>
        </w:rPr>
        <w:t>ters</w:t>
      </w:r>
      <w:r>
        <w:rPr>
          <w:rFonts w:ascii="Arial"/>
          <w:i/>
          <w:color w:val="3A383A"/>
          <w:spacing w:val="-11"/>
          <w:w w:val="110"/>
          <w:sz w:val="15"/>
        </w:rPr>
        <w:t> </w:t>
      </w:r>
      <w:r>
        <w:rPr>
          <w:rFonts w:ascii="Arial"/>
          <w:i/>
          <w:color w:val="3A383A"/>
          <w:w w:val="110"/>
          <w:sz w:val="15"/>
        </w:rPr>
        <w:t>arrd</w:t>
      </w:r>
      <w:r>
        <w:rPr>
          <w:rFonts w:ascii="Arial"/>
          <w:i/>
          <w:color w:val="3A383A"/>
          <w:spacing w:val="-22"/>
          <w:w w:val="110"/>
          <w:sz w:val="15"/>
        </w:rPr>
        <w:t> </w:t>
      </w:r>
      <w:r>
        <w:rPr>
          <w:rFonts w:ascii="Arial"/>
          <w:i/>
          <w:color w:val="3A383A"/>
          <w:w w:val="110"/>
          <w:sz w:val="15"/>
        </w:rPr>
        <w:t>Paradigm</w:t>
      </w:r>
      <w:r>
        <w:rPr>
          <w:rFonts w:ascii="Arial"/>
          <w:i/>
          <w:color w:val="3A383A"/>
          <w:spacing w:val="-16"/>
          <w:w w:val="110"/>
          <w:sz w:val="15"/>
        </w:rPr>
        <w:t> </w:t>
      </w:r>
      <w:r>
        <w:rPr>
          <w:rFonts w:ascii="Arial"/>
          <w:i/>
          <w:color w:val="3A383A"/>
          <w:w w:val="110"/>
          <w:sz w:val="15"/>
        </w:rPr>
        <w:t>o(the</w:t>
      </w:r>
      <w:r>
        <w:rPr>
          <w:rFonts w:ascii="Arial"/>
          <w:i/>
          <w:color w:val="3A383A"/>
          <w:spacing w:val="-22"/>
          <w:w w:val="110"/>
          <w:sz w:val="15"/>
        </w:rPr>
        <w:t> </w:t>
      </w:r>
      <w:r>
        <w:rPr>
          <w:rFonts w:ascii="Arial"/>
          <w:i/>
          <w:color w:val="3A383A"/>
          <w:w w:val="110"/>
          <w:sz w:val="15"/>
        </w:rPr>
        <w:t>Archetypal</w:t>
      </w:r>
      <w:r>
        <w:rPr>
          <w:rFonts w:ascii="Arial"/>
          <w:i/>
          <w:color w:val="3A383A"/>
          <w:spacing w:val="2"/>
          <w:w w:val="110"/>
          <w:sz w:val="15"/>
        </w:rPr>
        <w:t> </w:t>
      </w:r>
      <w:r>
        <w:rPr>
          <w:rFonts w:ascii="Arial"/>
          <w:i/>
          <w:color w:val="3A383A"/>
          <w:w w:val="110"/>
          <w:sz w:val="15"/>
        </w:rPr>
        <w:t>H</w:t>
      </w:r>
      <w:r>
        <w:rPr>
          <w:rFonts w:ascii="Arial"/>
          <w:i/>
          <w:color w:val="5B5B5D"/>
          <w:w w:val="110"/>
          <w:sz w:val="15"/>
        </w:rPr>
        <w:t>e</w:t>
      </w:r>
      <w:r>
        <w:rPr>
          <w:rFonts w:ascii="Arial"/>
          <w:i/>
          <w:color w:val="3A383A"/>
          <w:w w:val="110"/>
          <w:sz w:val="15"/>
        </w:rPr>
        <w:t>ro's</w:t>
      </w:r>
      <w:r>
        <w:rPr>
          <w:rFonts w:ascii="Arial"/>
          <w:i/>
          <w:color w:val="3A383A"/>
          <w:spacing w:val="-9"/>
          <w:w w:val="110"/>
          <w:sz w:val="15"/>
        </w:rPr>
        <w:t> </w:t>
      </w:r>
      <w:r>
        <w:rPr>
          <w:rFonts w:ascii="Arial"/>
          <w:i/>
          <w:color w:val="3A383A"/>
          <w:w w:val="110"/>
          <w:sz w:val="15"/>
        </w:rPr>
        <w:t>Joumey,</w:t>
      </w:r>
      <w:r>
        <w:rPr>
          <w:rFonts w:ascii="Arial"/>
          <w:i/>
          <w:color w:val="3A383A"/>
          <w:spacing w:val="-10"/>
          <w:w w:val="110"/>
          <w:sz w:val="15"/>
        </w:rPr>
        <w:t> </w:t>
      </w:r>
      <w:r>
        <w:rPr>
          <w:color w:val="3A383A"/>
          <w:w w:val="110"/>
          <w:sz w:val="17"/>
        </w:rPr>
        <w:t>29</w:t>
      </w:r>
      <w:r>
        <w:rPr>
          <w:color w:val="3A383A"/>
          <w:spacing w:val="-10"/>
          <w:w w:val="110"/>
          <w:sz w:val="17"/>
        </w:rPr>
        <w:t> </w:t>
      </w:r>
      <w:r>
        <w:rPr>
          <w:color w:val="3A383A"/>
          <w:w w:val="110"/>
          <w:sz w:val="17"/>
        </w:rPr>
        <w:t>Seattle</w:t>
      </w:r>
      <w:r>
        <w:rPr>
          <w:color w:val="3A383A"/>
          <w:spacing w:val="-7"/>
          <w:w w:val="110"/>
          <w:sz w:val="17"/>
        </w:rPr>
        <w:t> </w:t>
      </w:r>
      <w:r>
        <w:rPr>
          <w:color w:val="3A383A"/>
          <w:w w:val="110"/>
          <w:sz w:val="17"/>
        </w:rPr>
        <w:t>U.</w:t>
      </w:r>
      <w:r>
        <w:rPr>
          <w:color w:val="3A383A"/>
          <w:spacing w:val="-10"/>
          <w:w w:val="110"/>
          <w:sz w:val="17"/>
        </w:rPr>
        <w:t> </w:t>
      </w:r>
      <w:r>
        <w:rPr>
          <w:color w:val="3A383A"/>
          <w:w w:val="110"/>
          <w:sz w:val="17"/>
        </w:rPr>
        <w:t>L.</w:t>
      </w:r>
      <w:r>
        <w:rPr>
          <w:color w:val="3A383A"/>
          <w:spacing w:val="-12"/>
          <w:w w:val="110"/>
          <w:sz w:val="17"/>
        </w:rPr>
        <w:t> </w:t>
      </w:r>
      <w:r>
        <w:rPr>
          <w:color w:val="3A383A"/>
          <w:w w:val="110"/>
          <w:sz w:val="17"/>
        </w:rPr>
        <w:t>Rev</w:t>
      </w:r>
      <w:r>
        <w:rPr>
          <w:color w:val="5B5B5D"/>
          <w:w w:val="110"/>
          <w:sz w:val="17"/>
        </w:rPr>
        <w:t>.</w:t>
      </w:r>
      <w:r>
        <w:rPr>
          <w:color w:val="5B5B5D"/>
          <w:spacing w:val="10"/>
          <w:w w:val="110"/>
          <w:sz w:val="17"/>
        </w:rPr>
        <w:t> </w:t>
      </w:r>
      <w:r>
        <w:rPr>
          <w:color w:val="3A383A"/>
          <w:w w:val="110"/>
          <w:sz w:val="17"/>
        </w:rPr>
        <w:t>767,</w:t>
      </w:r>
      <w:r>
        <w:rPr>
          <w:color w:val="3A383A"/>
          <w:spacing w:val="-1"/>
          <w:w w:val="110"/>
          <w:sz w:val="17"/>
        </w:rPr>
        <w:t> </w:t>
      </w:r>
      <w:r>
        <w:rPr>
          <w:color w:val="3A383A"/>
          <w:w w:val="110"/>
          <w:sz w:val="17"/>
        </w:rPr>
        <w:t>768</w:t>
      </w:r>
      <w:r>
        <w:rPr>
          <w:color w:val="5B5B5D"/>
          <w:w w:val="110"/>
          <w:sz w:val="17"/>
        </w:rPr>
        <w:t>-</w:t>
      </w:r>
      <w:r>
        <w:rPr>
          <w:color w:val="3A383A"/>
          <w:w w:val="110"/>
          <w:sz w:val="17"/>
        </w:rPr>
        <w:t>69</w:t>
      </w:r>
      <w:r>
        <w:rPr>
          <w:color w:val="3A383A"/>
          <w:spacing w:val="17"/>
          <w:w w:val="110"/>
          <w:sz w:val="17"/>
        </w:rPr>
        <w:t> </w:t>
      </w:r>
      <w:r>
        <w:rPr>
          <w:color w:val="3A383A"/>
          <w:w w:val="110"/>
          <w:sz w:val="17"/>
        </w:rPr>
        <w:t>(2006).</w:t>
      </w:r>
    </w:p>
    <w:p>
      <w:pPr>
        <w:spacing w:before="7"/>
        <w:ind w:left="490" w:right="0" w:firstLine="0"/>
        <w:jc w:val="both"/>
        <w:rPr>
          <w:sz w:val="17"/>
        </w:rPr>
      </w:pPr>
      <w:r>
        <w:rPr>
          <w:rFonts w:ascii="Arial"/>
          <w:color w:val="3A383A"/>
          <w:spacing w:val="-1"/>
          <w:w w:val="115"/>
          <w:position w:val="5"/>
          <w:sz w:val="10"/>
        </w:rPr>
        <w:t>11</w:t>
      </w:r>
      <w:r>
        <w:rPr>
          <w:rFonts w:ascii="Arial"/>
          <w:i/>
          <w:color w:val="3A383A"/>
          <w:spacing w:val="-1"/>
          <w:w w:val="115"/>
          <w:sz w:val="16"/>
        </w:rPr>
        <w:t>Id.</w:t>
      </w:r>
      <w:r>
        <w:rPr>
          <w:rFonts w:ascii="Arial"/>
          <w:i/>
          <w:color w:val="3A383A"/>
          <w:spacing w:val="-26"/>
          <w:w w:val="115"/>
          <w:sz w:val="16"/>
        </w:rPr>
        <w:t> </w:t>
      </w:r>
      <w:r>
        <w:rPr>
          <w:color w:val="3A383A"/>
          <w:spacing w:val="-1"/>
          <w:w w:val="115"/>
          <w:sz w:val="17"/>
        </w:rPr>
        <w:t>at</w:t>
      </w:r>
      <w:r>
        <w:rPr>
          <w:color w:val="3A383A"/>
          <w:spacing w:val="9"/>
          <w:w w:val="115"/>
          <w:sz w:val="17"/>
        </w:rPr>
        <w:t> </w:t>
      </w:r>
      <w:r>
        <w:rPr>
          <w:color w:val="3A383A"/>
          <w:w w:val="115"/>
          <w:sz w:val="17"/>
        </w:rPr>
        <w:t>788.</w:t>
      </w:r>
    </w:p>
    <w:p>
      <w:pPr>
        <w:spacing w:before="22"/>
        <w:ind w:left="485" w:right="0" w:firstLine="0"/>
        <w:jc w:val="both"/>
        <w:rPr>
          <w:rFonts w:ascii="Arial"/>
          <w:i/>
          <w:sz w:val="15"/>
        </w:rPr>
      </w:pPr>
      <w:r>
        <w:rPr>
          <w:rFonts w:ascii="Arial"/>
          <w:i/>
          <w:color w:val="3A383A"/>
          <w:w w:val="90"/>
          <w:position w:val="4"/>
          <w:sz w:val="11"/>
        </w:rPr>
        <w:t>19</w:t>
      </w:r>
      <w:r>
        <w:rPr>
          <w:rFonts w:ascii="Arial"/>
          <w:i/>
          <w:color w:val="3A383A"/>
          <w:w w:val="90"/>
          <w:sz w:val="15"/>
        </w:rPr>
        <w:t>See</w:t>
      </w:r>
      <w:r>
        <w:rPr>
          <w:rFonts w:ascii="Arial"/>
          <w:i/>
          <w:color w:val="3A383A"/>
          <w:spacing w:val="-1"/>
          <w:w w:val="90"/>
          <w:sz w:val="15"/>
        </w:rPr>
        <w:t> </w:t>
      </w:r>
      <w:r>
        <w:rPr>
          <w:rFonts w:ascii="Arial"/>
          <w:i/>
          <w:color w:val="3A383A"/>
          <w:w w:val="90"/>
          <w:sz w:val="15"/>
        </w:rPr>
        <w:t>Id.</w:t>
      </w:r>
    </w:p>
    <w:p>
      <w:pPr>
        <w:spacing w:line="189" w:lineRule="exact" w:before="2"/>
        <w:ind w:left="496" w:right="0" w:firstLine="0"/>
        <w:jc w:val="left"/>
        <w:rPr>
          <w:sz w:val="17"/>
        </w:rPr>
      </w:pPr>
      <w:r>
        <w:rPr>
          <w:i/>
          <w:color w:val="3A383A"/>
          <w:sz w:val="8"/>
        </w:rPr>
        <w:t>11)</w:t>
      </w:r>
      <w:r>
        <w:rPr>
          <w:i/>
          <w:color w:val="3A383A"/>
          <w:spacing w:val="-7"/>
          <w:sz w:val="8"/>
        </w:rPr>
        <w:t> </w:t>
      </w:r>
      <w:r>
        <w:rPr>
          <w:rFonts w:ascii="Arial"/>
          <w:i/>
          <w:color w:val="3A383A"/>
          <w:sz w:val="15"/>
        </w:rPr>
        <w:t>See</w:t>
      </w:r>
      <w:r>
        <w:rPr>
          <w:rFonts w:ascii="Arial"/>
          <w:i/>
          <w:color w:val="3A383A"/>
          <w:spacing w:val="-17"/>
          <w:sz w:val="15"/>
        </w:rPr>
        <w:t> </w:t>
      </w:r>
      <w:r>
        <w:rPr>
          <w:rFonts w:ascii="Arial"/>
          <w:i/>
          <w:color w:val="3A383A"/>
          <w:sz w:val="15"/>
        </w:rPr>
        <w:t>Id.</w:t>
      </w:r>
      <w:r>
        <w:rPr>
          <w:rFonts w:ascii="Arial"/>
          <w:i/>
          <w:color w:val="3A383A"/>
          <w:spacing w:val="34"/>
          <w:sz w:val="15"/>
        </w:rPr>
        <w:t> </w:t>
      </w:r>
      <w:r>
        <w:rPr>
          <w:color w:val="3A383A"/>
          <w:sz w:val="17"/>
        </w:rPr>
        <w:t>at</w:t>
      </w:r>
      <w:r>
        <w:rPr>
          <w:color w:val="3A383A"/>
          <w:spacing w:val="66"/>
          <w:sz w:val="17"/>
        </w:rPr>
        <w:t> </w:t>
      </w:r>
      <w:r>
        <w:rPr>
          <w:color w:val="3A383A"/>
          <w:sz w:val="17"/>
        </w:rPr>
        <w:t>781-82.</w:t>
      </w:r>
    </w:p>
    <w:p>
      <w:pPr>
        <w:spacing w:line="189" w:lineRule="exact" w:before="0"/>
        <w:ind w:left="487" w:right="0" w:firstLine="0"/>
        <w:jc w:val="both"/>
        <w:rPr>
          <w:sz w:val="17"/>
        </w:rPr>
      </w:pPr>
      <w:r>
        <w:rPr>
          <w:color w:val="3A383A"/>
          <w:w w:val="110"/>
          <w:sz w:val="12"/>
        </w:rPr>
        <w:t>1</w:t>
      </w:r>
      <w:r>
        <w:rPr>
          <w:color w:val="3A383A"/>
          <w:w w:val="110"/>
          <w:position w:val="4"/>
          <w:sz w:val="12"/>
        </w:rPr>
        <w:t>1</w:t>
      </w:r>
      <w:r>
        <w:rPr>
          <w:rFonts w:ascii="Arial"/>
          <w:i/>
          <w:color w:val="3A383A"/>
          <w:w w:val="110"/>
          <w:sz w:val="16"/>
        </w:rPr>
        <w:t>See</w:t>
      </w:r>
      <w:r>
        <w:rPr>
          <w:rFonts w:ascii="Arial"/>
          <w:i/>
          <w:color w:val="3A383A"/>
          <w:spacing w:val="-25"/>
          <w:w w:val="110"/>
          <w:sz w:val="16"/>
        </w:rPr>
        <w:t> </w:t>
      </w:r>
      <w:r>
        <w:rPr>
          <w:i/>
          <w:color w:val="3A383A"/>
          <w:w w:val="110"/>
          <w:sz w:val="17"/>
        </w:rPr>
        <w:t>id.</w:t>
      </w:r>
      <w:r>
        <w:rPr>
          <w:i/>
          <w:color w:val="3A383A"/>
          <w:spacing w:val="35"/>
          <w:w w:val="110"/>
          <w:sz w:val="17"/>
        </w:rPr>
        <w:t> </w:t>
      </w:r>
      <w:r>
        <w:rPr>
          <w:color w:val="3A383A"/>
          <w:w w:val="110"/>
          <w:sz w:val="17"/>
        </w:rPr>
        <w:t>at </w:t>
      </w:r>
      <w:r>
        <w:rPr>
          <w:color w:val="3A383A"/>
          <w:spacing w:val="4"/>
          <w:w w:val="110"/>
          <w:sz w:val="17"/>
        </w:rPr>
        <w:t> </w:t>
      </w:r>
      <w:r>
        <w:rPr>
          <w:color w:val="3A383A"/>
          <w:w w:val="110"/>
          <w:sz w:val="17"/>
        </w:rPr>
        <w:t>779</w:t>
      </w:r>
      <w:r>
        <w:rPr>
          <w:color w:val="5B5B5D"/>
          <w:w w:val="110"/>
          <w:sz w:val="17"/>
        </w:rPr>
        <w:t>-</w:t>
      </w:r>
      <w:r>
        <w:rPr>
          <w:color w:val="3A383A"/>
          <w:w w:val="110"/>
          <w:sz w:val="17"/>
        </w:rPr>
        <w:t>80</w:t>
      </w:r>
      <w:r>
        <w:rPr>
          <w:color w:val="3A383A"/>
          <w:spacing w:val="17"/>
          <w:w w:val="110"/>
          <w:sz w:val="17"/>
        </w:rPr>
        <w:t> </w:t>
      </w:r>
      <w:r>
        <w:rPr>
          <w:color w:val="3A383A"/>
          <w:w w:val="110"/>
          <w:sz w:val="17"/>
        </w:rPr>
        <w:t>(advising</w:t>
      </w:r>
      <w:r>
        <w:rPr>
          <w:color w:val="3A383A"/>
          <w:spacing w:val="-7"/>
          <w:w w:val="110"/>
          <w:sz w:val="17"/>
        </w:rPr>
        <w:t> </w:t>
      </w:r>
      <w:r>
        <w:rPr>
          <w:color w:val="3A383A"/>
          <w:w w:val="110"/>
          <w:sz w:val="17"/>
        </w:rPr>
        <w:t>against</w:t>
      </w:r>
      <w:r>
        <w:rPr>
          <w:color w:val="3A383A"/>
          <w:spacing w:val="13"/>
          <w:w w:val="110"/>
          <w:sz w:val="17"/>
        </w:rPr>
        <w:t> </w:t>
      </w:r>
      <w:r>
        <w:rPr>
          <w:color w:val="3A383A"/>
          <w:w w:val="110"/>
          <w:sz w:val="17"/>
        </w:rPr>
        <w:t>portraying</w:t>
      </w:r>
      <w:r>
        <w:rPr>
          <w:color w:val="3A383A"/>
          <w:spacing w:val="-1"/>
          <w:w w:val="110"/>
          <w:sz w:val="17"/>
        </w:rPr>
        <w:t> </w:t>
      </w:r>
      <w:r>
        <w:rPr>
          <w:color w:val="3A383A"/>
          <w:w w:val="110"/>
          <w:sz w:val="17"/>
        </w:rPr>
        <w:t>client</w:t>
      </w:r>
      <w:r>
        <w:rPr>
          <w:color w:val="3A383A"/>
          <w:spacing w:val="3"/>
          <w:w w:val="110"/>
          <w:sz w:val="17"/>
        </w:rPr>
        <w:t> </w:t>
      </w:r>
      <w:r>
        <w:rPr>
          <w:color w:val="3A383A"/>
          <w:w w:val="110"/>
          <w:sz w:val="17"/>
        </w:rPr>
        <w:t>as</w:t>
      </w:r>
      <w:r>
        <w:rPr>
          <w:color w:val="3A383A"/>
          <w:spacing w:val="-11"/>
          <w:w w:val="110"/>
          <w:sz w:val="17"/>
        </w:rPr>
        <w:t> </w:t>
      </w:r>
      <w:r>
        <w:rPr>
          <w:color w:val="3A383A"/>
          <w:w w:val="110"/>
          <w:sz w:val="17"/>
        </w:rPr>
        <w:t>a</w:t>
      </w:r>
      <w:r>
        <w:rPr>
          <w:color w:val="3A383A"/>
          <w:spacing w:val="-5"/>
          <w:w w:val="110"/>
          <w:sz w:val="17"/>
        </w:rPr>
        <w:t> </w:t>
      </w:r>
      <w:r>
        <w:rPr>
          <w:color w:val="3A383A"/>
          <w:w w:val="110"/>
          <w:sz w:val="17"/>
        </w:rPr>
        <w:t>victim).</w:t>
      </w:r>
    </w:p>
    <w:p>
      <w:pPr>
        <w:spacing w:after="0" w:line="189" w:lineRule="exact"/>
        <w:jc w:val="both"/>
        <w:rPr>
          <w:sz w:val="17"/>
        </w:rPr>
        <w:sectPr>
          <w:pgSz w:w="9640" w:h="13970"/>
          <w:pgMar w:header="495" w:footer="0" w:top="700" w:bottom="0" w:left="260" w:right="1340"/>
        </w:sectPr>
      </w:pPr>
    </w:p>
    <w:p>
      <w:pPr>
        <w:pStyle w:val="BodyText"/>
        <w:spacing w:line="232" w:lineRule="auto" w:before="87"/>
        <w:ind w:left="904" w:right="102" w:hanging="1"/>
        <w:jc w:val="both"/>
      </w:pPr>
      <w:r>
        <w:rPr>
          <w:color w:val="383638"/>
          <w:w w:val="110"/>
        </w:rPr>
        <w:t>vindicate herself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prevent future harassment by suing her harasser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directly. The defendant, in contrast, could portray himself as someone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who</w:t>
      </w:r>
      <w:r>
        <w:rPr>
          <w:color w:val="383638"/>
          <w:spacing w:val="33"/>
          <w:w w:val="110"/>
        </w:rPr>
        <w:t> </w:t>
      </w:r>
      <w:r>
        <w:rPr>
          <w:color w:val="383638"/>
          <w:spacing w:val="-1"/>
          <w:w w:val="110"/>
        </w:rPr>
        <w:t>wants</w:t>
      </w:r>
      <w:r>
        <w:rPr>
          <w:color w:val="383638"/>
          <w:spacing w:val="-6"/>
          <w:w w:val="110"/>
        </w:rPr>
        <w:t> </w:t>
      </w:r>
      <w:r>
        <w:rPr>
          <w:color w:val="383638"/>
          <w:spacing w:val="-1"/>
          <w:w w:val="110"/>
        </w:rPr>
        <w:t>to</w:t>
      </w:r>
      <w:r>
        <w:rPr>
          <w:color w:val="383638"/>
          <w:spacing w:val="10"/>
          <w:w w:val="110"/>
        </w:rPr>
        <w:t> </w:t>
      </w:r>
      <w:r>
        <w:rPr>
          <w:color w:val="383638"/>
          <w:spacing w:val="-1"/>
          <w:w w:val="110"/>
        </w:rPr>
        <w:t>be</w:t>
      </w:r>
      <w:r>
        <w:rPr>
          <w:color w:val="383638"/>
          <w:spacing w:val="-10"/>
          <w:w w:val="110"/>
        </w:rPr>
        <w:t> </w:t>
      </w:r>
      <w:r>
        <w:rPr>
          <w:color w:val="383638"/>
          <w:spacing w:val="-1"/>
          <w:w w:val="110"/>
        </w:rPr>
        <w:t>treated as</w:t>
      </w:r>
      <w:r>
        <w:rPr>
          <w:color w:val="383638"/>
          <w:spacing w:val="-22"/>
          <w:w w:val="110"/>
        </w:rPr>
        <w:t> </w:t>
      </w:r>
      <w:r>
        <w:rPr>
          <w:color w:val="383638"/>
          <w:spacing w:val="-1"/>
          <w:w w:val="110"/>
        </w:rPr>
        <w:t>an</w:t>
      </w:r>
      <w:r>
        <w:rPr>
          <w:color w:val="383638"/>
          <w:spacing w:val="18"/>
          <w:w w:val="110"/>
        </w:rPr>
        <w:t> </w:t>
      </w:r>
      <w:r>
        <w:rPr>
          <w:color w:val="383638"/>
          <w:spacing w:val="-1"/>
          <w:w w:val="110"/>
        </w:rPr>
        <w:t>individual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not</w:t>
      </w:r>
      <w:r>
        <w:rPr>
          <w:color w:val="383638"/>
          <w:spacing w:val="32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corporation.</w:t>
      </w:r>
    </w:p>
    <w:p>
      <w:pPr>
        <w:pStyle w:val="BodyText"/>
        <w:spacing w:line="232" w:lineRule="auto" w:before="1"/>
        <w:ind w:left="889" w:right="105" w:firstLine="390"/>
        <w:jc w:val="both"/>
      </w:pPr>
      <w:r>
        <w:rPr>
          <w:color w:val="383638"/>
          <w:w w:val="105"/>
        </w:rPr>
        <w:t>Your fact statement can identify the hero or protagonist (perhaps your</w:t>
      </w:r>
      <w:r>
        <w:rPr>
          <w:color w:val="383638"/>
          <w:spacing w:val="1"/>
          <w:w w:val="105"/>
        </w:rPr>
        <w:t> </w:t>
      </w:r>
      <w:r>
        <w:rPr>
          <w:color w:val="383638"/>
          <w:spacing w:val="-1"/>
          <w:w w:val="110"/>
        </w:rPr>
        <w:t>client, perhaps a legislature, perhaps the constitution) </w:t>
      </w:r>
      <w:r>
        <w:rPr>
          <w:color w:val="383638"/>
          <w:w w:val="110"/>
        </w:rPr>
        <w:t>and the antagonists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(perhaps your opponent, or some agent of your opponent).</w:t>
      </w:r>
      <w:r>
        <w:rPr>
          <w:rFonts w:ascii="Arial" w:hAnsi="Arial"/>
          <w:color w:val="383638"/>
          <w:w w:val="110"/>
          <w:vertAlign w:val="superscript"/>
        </w:rPr>
        <w:t>22</w:t>
      </w:r>
      <w:r>
        <w:rPr>
          <w:rFonts w:ascii="Arial" w:hAnsi="Arial"/>
          <w:color w:val="383638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Your pro­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spacing w:val="-1"/>
          <w:w w:val="110"/>
          <w:vertAlign w:val="baseline"/>
        </w:rPr>
        <w:t>tagonist,</w:t>
      </w:r>
      <w:r>
        <w:rPr>
          <w:color w:val="383638"/>
          <w:spacing w:val="3"/>
          <w:w w:val="110"/>
          <w:vertAlign w:val="baseline"/>
        </w:rPr>
        <w:t> </w:t>
      </w:r>
      <w:r>
        <w:rPr>
          <w:color w:val="383638"/>
          <w:spacing w:val="-1"/>
          <w:w w:val="110"/>
          <w:vertAlign w:val="baseline"/>
        </w:rPr>
        <w:t>though,</w:t>
      </w:r>
      <w:r>
        <w:rPr>
          <w:color w:val="383638"/>
          <w:spacing w:val="-9"/>
          <w:w w:val="110"/>
          <w:vertAlign w:val="baseline"/>
        </w:rPr>
        <w:t> </w:t>
      </w:r>
      <w:r>
        <w:rPr>
          <w:color w:val="383638"/>
          <w:spacing w:val="-1"/>
          <w:w w:val="110"/>
          <w:vertAlign w:val="baseline"/>
        </w:rPr>
        <w:t>is</w:t>
      </w:r>
      <w:r>
        <w:rPr>
          <w:color w:val="383638"/>
          <w:spacing w:val="-17"/>
          <w:w w:val="110"/>
          <w:vertAlign w:val="baseline"/>
        </w:rPr>
        <w:t> </w:t>
      </w:r>
      <w:r>
        <w:rPr>
          <w:color w:val="383638"/>
          <w:spacing w:val="-1"/>
          <w:w w:val="110"/>
          <w:vertAlign w:val="baseline"/>
        </w:rPr>
        <w:t>frustrated;</w:t>
      </w:r>
      <w:r>
        <w:rPr>
          <w:color w:val="383638"/>
          <w:spacing w:val="-7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its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goal</w:t>
      </w:r>
      <w:r>
        <w:rPr>
          <w:color w:val="383638"/>
          <w:spacing w:val="-16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has</w:t>
      </w:r>
      <w:r>
        <w:rPr>
          <w:color w:val="383638"/>
          <w:spacing w:val="12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been thwarted by</w:t>
      </w:r>
      <w:r>
        <w:rPr>
          <w:color w:val="383638"/>
          <w:spacing w:val="-16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some</w:t>
      </w:r>
      <w:r>
        <w:rPr>
          <w:color w:val="383638"/>
          <w:spacing w:val="-23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outside</w:t>
      </w:r>
      <w:r>
        <w:rPr>
          <w:color w:val="383638"/>
          <w:spacing w:val="-6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actor or problem.</w:t>
      </w:r>
      <w:r>
        <w:rPr>
          <w:rFonts w:ascii="Arial" w:hAnsi="Arial"/>
          <w:color w:val="383638"/>
          <w:w w:val="110"/>
          <w:position w:val="8"/>
          <w:sz w:val="12"/>
          <w:vertAlign w:val="baseline"/>
        </w:rPr>
        <w:t>23</w:t>
      </w:r>
      <w:r>
        <w:rPr>
          <w:rFonts w:ascii="Arial" w:hAnsi="Arial"/>
          <w:color w:val="383638"/>
          <w:spacing w:val="1"/>
          <w:w w:val="110"/>
          <w:position w:val="8"/>
          <w:sz w:val="12"/>
          <w:vertAlign w:val="baseline"/>
        </w:rPr>
        <w:t> </w:t>
      </w:r>
      <w:r>
        <w:rPr>
          <w:color w:val="383638"/>
          <w:w w:val="110"/>
          <w:vertAlign w:val="baseline"/>
        </w:rPr>
        <w:t>Seen from this perspective, the antagonist can be a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person, a governmental body, or an "absurd" interpretation of a statute.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05"/>
          <w:vertAlign w:val="baseline"/>
        </w:rPr>
        <w:t>Your client's goal is not  merely a particular court decision; rather, the goal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spacing w:val="-1"/>
          <w:w w:val="105"/>
          <w:vertAlign w:val="baseline"/>
        </w:rPr>
        <w:t>is</w:t>
      </w:r>
      <w:r>
        <w:rPr>
          <w:color w:val="383638"/>
          <w:spacing w:val="4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an</w:t>
      </w:r>
      <w:r>
        <w:rPr>
          <w:color w:val="383638"/>
          <w:spacing w:val="40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experience</w:t>
      </w:r>
      <w:r>
        <w:rPr>
          <w:color w:val="383638"/>
          <w:spacing w:val="-10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or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status</w:t>
      </w:r>
      <w:r>
        <w:rPr>
          <w:color w:val="383638"/>
          <w:spacing w:val="-10"/>
          <w:w w:val="105"/>
          <w:vertAlign w:val="baseline"/>
        </w:rPr>
        <w:t> </w:t>
      </w:r>
      <w:r>
        <w:rPr>
          <w:rFonts w:ascii="Arial" w:hAnsi="Arial"/>
          <w:i/>
          <w:color w:val="383638"/>
          <w:w w:val="105"/>
          <w:sz w:val="21"/>
          <w:vertAlign w:val="baseline"/>
        </w:rPr>
        <w:t>made</w:t>
      </w:r>
      <w:r>
        <w:rPr>
          <w:rFonts w:ascii="Arial" w:hAnsi="Arial"/>
          <w:i/>
          <w:color w:val="383638"/>
          <w:spacing w:val="-16"/>
          <w:w w:val="105"/>
          <w:sz w:val="21"/>
          <w:vertAlign w:val="baseline"/>
        </w:rPr>
        <w:t> </w:t>
      </w:r>
      <w:r>
        <w:rPr>
          <w:rFonts w:ascii="Arial" w:hAnsi="Arial"/>
          <w:i/>
          <w:color w:val="383638"/>
          <w:w w:val="105"/>
          <w:sz w:val="21"/>
          <w:vertAlign w:val="baseline"/>
        </w:rPr>
        <w:t>possible</w:t>
      </w:r>
      <w:r>
        <w:rPr>
          <w:rFonts w:ascii="Arial" w:hAnsi="Arial"/>
          <w:i/>
          <w:color w:val="383638"/>
          <w:spacing w:val="-3"/>
          <w:w w:val="105"/>
          <w:sz w:val="21"/>
          <w:vertAlign w:val="baseline"/>
        </w:rPr>
        <w:t> </w:t>
      </w:r>
      <w:r>
        <w:rPr>
          <w:color w:val="383638"/>
          <w:w w:val="105"/>
          <w:vertAlign w:val="baseline"/>
        </w:rPr>
        <w:t>by</w:t>
      </w:r>
      <w:r>
        <w:rPr>
          <w:color w:val="383638"/>
          <w:spacing w:val="3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the</w:t>
      </w:r>
      <w:r>
        <w:rPr>
          <w:color w:val="383638"/>
          <w:spacing w:val="45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court's</w:t>
      </w:r>
      <w:r>
        <w:rPr>
          <w:color w:val="383638"/>
          <w:spacing w:val="-8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decision.</w:t>
      </w:r>
    </w:p>
    <w:p>
      <w:pPr>
        <w:pStyle w:val="BodyText"/>
        <w:spacing w:line="232" w:lineRule="auto"/>
        <w:ind w:left="835" w:right="105" w:firstLine="415"/>
        <w:jc w:val="both"/>
      </w:pPr>
      <w:r>
        <w:rPr>
          <w:color w:val="383638"/>
          <w:w w:val="105"/>
        </w:rPr>
        <w:t>Accordingly, when you are writing your statement of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facts, review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your theme and the legal conclusions you want the reader to draw,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consider how those legal conclusions relate to the facts</w:t>
      </w:r>
      <w:r>
        <w:rPr>
          <w:color w:val="646667"/>
          <w:w w:val="110"/>
        </w:rPr>
        <w:t>. </w:t>
      </w:r>
      <w:r>
        <w:rPr>
          <w:color w:val="383638"/>
          <w:w w:val="110"/>
        </w:rPr>
        <w:t>Recognize con­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clusions that you might want to lead your readers to, and  conclusions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 want the reader to avoid. Consider what presumptions, schemas, or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"default images," could be relevant to the case generally, and to people like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your client or your opponent </w:t>
      </w:r>
      <w:r>
        <w:rPr>
          <w:color w:val="383638"/>
          <w:w w:val="110"/>
          <w:sz w:val="20"/>
        </w:rPr>
        <w:t>in</w:t>
      </w:r>
      <w:r>
        <w:rPr>
          <w:color w:val="383638"/>
          <w:spacing w:val="1"/>
          <w:w w:val="110"/>
          <w:sz w:val="20"/>
        </w:rPr>
        <w:t> </w:t>
      </w:r>
      <w:r>
        <w:rPr>
          <w:color w:val="383638"/>
          <w:w w:val="110"/>
        </w:rPr>
        <w:t>particular. For example, has your client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had several drug arrests? Could your readers have certain presumptions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about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police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officers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or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corporate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executives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want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reinforce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or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05"/>
        </w:rPr>
        <w:t>rebut? As I did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with my Paris story, you might want to add certain details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will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lead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readers' thoughts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good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direction.</w:t>
      </w:r>
    </w:p>
    <w:p>
      <w:pPr>
        <w:pStyle w:val="BodyText"/>
        <w:spacing w:line="232" w:lineRule="auto" w:before="11"/>
        <w:ind w:left="675" w:right="102" w:firstLine="516"/>
        <w:jc w:val="both"/>
      </w:pPr>
      <w:r>
        <w:rPr>
          <w:color w:val="383638"/>
          <w:w w:val="110"/>
        </w:rPr>
        <w:t>For example, if you want the court to overturn your client's criminal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conviction, it might help the court to decide in your favor if it believes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both that your client was treated unfairly and that your client is essentially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an  innocent person who was in the  wrong place at the wrong time (a famil­</w:t>
      </w:r>
      <w:r>
        <w:rPr>
          <w:color w:val="383638"/>
          <w:spacing w:val="1"/>
          <w:w w:val="105"/>
        </w:rPr>
        <w:t> </w:t>
      </w:r>
      <w:r>
        <w:rPr>
          <w:color w:val="4D4D4D"/>
          <w:w w:val="110"/>
        </w:rPr>
        <w:t>iar </w:t>
      </w:r>
      <w:r>
        <w:rPr>
          <w:color w:val="383638"/>
          <w:w w:val="110"/>
        </w:rPr>
        <w:t>schema). Your fact </w:t>
      </w:r>
      <w:r>
        <w:rPr>
          <w:color w:val="4D4D4D"/>
          <w:w w:val="110"/>
        </w:rPr>
        <w:t>statement </w:t>
      </w:r>
      <w:r>
        <w:rPr>
          <w:color w:val="383638"/>
          <w:w w:val="110"/>
        </w:rPr>
        <w:t>can include the details that will help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reader reach these conclusions independently. In  </w:t>
      </w:r>
      <w:r>
        <w:rPr>
          <w:i/>
          <w:color w:val="383638"/>
          <w:w w:val="105"/>
          <w:sz w:val="22"/>
        </w:rPr>
        <w:t>Holloway v. United States,</w:t>
      </w:r>
      <w:r>
        <w:rPr>
          <w:i/>
          <w:color w:val="383638"/>
          <w:spacing w:val="1"/>
          <w:w w:val="105"/>
          <w:sz w:val="22"/>
        </w:rPr>
        <w:t> </w:t>
      </w:r>
      <w:r>
        <w:rPr>
          <w:color w:val="383638"/>
          <w:w w:val="105"/>
        </w:rPr>
        <w:t>526  U.S. 1 (1999), for example, counsel for Mr. Holloway had to convince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the  Court that it should overturn a conviction  under the federal carjack­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ing statute. </w:t>
      </w:r>
      <w:r>
        <w:rPr>
          <w:color w:val="383638"/>
          <w:w w:val="110"/>
        </w:rPr>
        <w:t>The controversy centered on whether Holloway's participation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in the carjacking constituted sufficient "intent to cause death or serious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bodily harm." Holloway (petitioner at the Supreme Court) admittedly had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been part of the carjackings, and a carjacking is a frightening crime to</w:t>
      </w:r>
      <w:r>
        <w:rPr>
          <w:color w:val="383638"/>
          <w:spacing w:val="1"/>
          <w:w w:val="115"/>
        </w:rPr>
        <w:t> </w:t>
      </w:r>
      <w:r>
        <w:rPr>
          <w:color w:val="383638"/>
          <w:spacing w:val="-1"/>
          <w:w w:val="115"/>
        </w:rPr>
        <w:t>most people. One (student) </w:t>
      </w:r>
      <w:r>
        <w:rPr>
          <w:color w:val="383638"/>
          <w:w w:val="115"/>
        </w:rPr>
        <w:t>counsel for Holloway tried to add details in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the facts that would contradict the presumption that someone who would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participate in a carjacking would be a violent person, and essentially tried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 portray the client as an innocent who was trying to make the best of a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bad</w:t>
      </w:r>
      <w:r>
        <w:rPr>
          <w:color w:val="383638"/>
          <w:spacing w:val="-12"/>
          <w:w w:val="115"/>
        </w:rPr>
        <w:t> </w:t>
      </w:r>
      <w:r>
        <w:rPr>
          <w:color w:val="383638"/>
          <w:w w:val="115"/>
        </w:rPr>
        <w:t>situation:</w:t>
      </w:r>
    </w:p>
    <w:p>
      <w:pPr>
        <w:pStyle w:val="BodyText"/>
        <w:rPr>
          <w:sz w:val="26"/>
        </w:rPr>
      </w:pPr>
    </w:p>
    <w:p>
      <w:pPr>
        <w:spacing w:line="205" w:lineRule="exact" w:before="217"/>
        <w:ind w:left="1006" w:right="0" w:firstLine="0"/>
        <w:jc w:val="left"/>
        <w:rPr>
          <w:sz w:val="18"/>
        </w:rPr>
      </w:pPr>
      <w:r>
        <w:rPr>
          <w:i/>
          <w:color w:val="383638"/>
          <w:sz w:val="18"/>
        </w:rPr>
        <w:t>u</w:t>
      </w:r>
      <w:r>
        <w:rPr>
          <w:i/>
          <w:color w:val="383638"/>
          <w:spacing w:val="6"/>
          <w:sz w:val="18"/>
        </w:rPr>
        <w:t> </w:t>
      </w:r>
      <w:r>
        <w:rPr>
          <w:color w:val="383638"/>
          <w:sz w:val="18"/>
        </w:rPr>
        <w:t>Kenneth</w:t>
      </w:r>
      <w:r>
        <w:rPr>
          <w:color w:val="383638"/>
          <w:spacing w:val="38"/>
          <w:sz w:val="18"/>
        </w:rPr>
        <w:t> </w:t>
      </w:r>
      <w:r>
        <w:rPr>
          <w:color w:val="383638"/>
          <w:sz w:val="18"/>
        </w:rPr>
        <w:t>D.</w:t>
      </w:r>
      <w:r>
        <w:rPr>
          <w:color w:val="383638"/>
          <w:spacing w:val="25"/>
          <w:sz w:val="18"/>
        </w:rPr>
        <w:t> </w:t>
      </w:r>
      <w:r>
        <w:rPr>
          <w:color w:val="4D4D4D"/>
          <w:sz w:val="18"/>
        </w:rPr>
        <w:t>Chestek,</w:t>
      </w:r>
      <w:r>
        <w:rPr>
          <w:color w:val="4D4D4D"/>
          <w:spacing w:val="27"/>
          <w:sz w:val="18"/>
        </w:rPr>
        <w:t> </w:t>
      </w:r>
      <w:r>
        <w:rPr>
          <w:i/>
          <w:color w:val="383638"/>
          <w:sz w:val="18"/>
        </w:rPr>
        <w:t>The</w:t>
      </w:r>
      <w:r>
        <w:rPr>
          <w:i/>
          <w:color w:val="383638"/>
          <w:spacing w:val="13"/>
          <w:sz w:val="18"/>
        </w:rPr>
        <w:t> </w:t>
      </w:r>
      <w:r>
        <w:rPr>
          <w:i/>
          <w:color w:val="4D4D4D"/>
          <w:sz w:val="18"/>
        </w:rPr>
        <w:t>Plot</w:t>
      </w:r>
      <w:r>
        <w:rPr>
          <w:i/>
          <w:color w:val="4D4D4D"/>
          <w:spacing w:val="12"/>
          <w:sz w:val="18"/>
        </w:rPr>
        <w:t> </w:t>
      </w:r>
      <w:r>
        <w:rPr>
          <w:i/>
          <w:color w:val="383638"/>
          <w:sz w:val="18"/>
        </w:rPr>
        <w:t>Thickens:</w:t>
      </w:r>
      <w:r>
        <w:rPr>
          <w:i/>
          <w:color w:val="383638"/>
          <w:spacing w:val="17"/>
          <w:sz w:val="18"/>
        </w:rPr>
        <w:t> </w:t>
      </w:r>
      <w:r>
        <w:rPr>
          <w:i/>
          <w:color w:val="383638"/>
          <w:sz w:val="18"/>
        </w:rPr>
        <w:t>Appellate</w:t>
      </w:r>
      <w:r>
        <w:rPr>
          <w:i/>
          <w:color w:val="383638"/>
          <w:spacing w:val="25"/>
          <w:sz w:val="18"/>
        </w:rPr>
        <w:t> </w:t>
      </w:r>
      <w:r>
        <w:rPr>
          <w:i/>
          <w:color w:val="383638"/>
          <w:sz w:val="18"/>
        </w:rPr>
        <w:t>Brief</w:t>
      </w:r>
      <w:r>
        <w:rPr>
          <w:i/>
          <w:color w:val="383638"/>
          <w:spacing w:val="3"/>
          <w:sz w:val="18"/>
        </w:rPr>
        <w:t> </w:t>
      </w:r>
      <w:r>
        <w:rPr>
          <w:i/>
          <w:color w:val="383638"/>
          <w:sz w:val="18"/>
        </w:rPr>
        <w:t>as</w:t>
      </w:r>
      <w:r>
        <w:rPr>
          <w:i/>
          <w:color w:val="383638"/>
          <w:spacing w:val="35"/>
          <w:sz w:val="18"/>
        </w:rPr>
        <w:t> </w:t>
      </w:r>
      <w:r>
        <w:rPr>
          <w:i/>
          <w:color w:val="383638"/>
          <w:sz w:val="18"/>
        </w:rPr>
        <w:t>Story,</w:t>
      </w:r>
      <w:r>
        <w:rPr>
          <w:i/>
          <w:color w:val="383638"/>
          <w:spacing w:val="-5"/>
          <w:sz w:val="18"/>
        </w:rPr>
        <w:t> </w:t>
      </w:r>
      <w:r>
        <w:rPr>
          <w:color w:val="383638"/>
          <w:sz w:val="18"/>
        </w:rPr>
        <w:t>14</w:t>
      </w:r>
      <w:r>
        <w:rPr>
          <w:color w:val="383638"/>
          <w:spacing w:val="50"/>
          <w:sz w:val="18"/>
        </w:rPr>
        <w:t> </w:t>
      </w:r>
      <w:r>
        <w:rPr>
          <w:color w:val="383638"/>
          <w:sz w:val="18"/>
        </w:rPr>
        <w:t>Legal</w:t>
      </w:r>
      <w:r>
        <w:rPr>
          <w:color w:val="383638"/>
          <w:spacing w:val="32"/>
          <w:sz w:val="18"/>
        </w:rPr>
        <w:t> </w:t>
      </w:r>
      <w:r>
        <w:rPr>
          <w:color w:val="383638"/>
          <w:sz w:val="18"/>
        </w:rPr>
        <w:t>Writ.</w:t>
      </w:r>
      <w:r>
        <w:rPr>
          <w:color w:val="383638"/>
          <w:spacing w:val="6"/>
          <w:sz w:val="18"/>
        </w:rPr>
        <w:t> </w:t>
      </w:r>
      <w:r>
        <w:rPr>
          <w:color w:val="383638"/>
          <w:sz w:val="18"/>
        </w:rPr>
        <w:t>127,</w:t>
      </w:r>
      <w:r>
        <w:rPr>
          <w:color w:val="383638"/>
          <w:spacing w:val="5"/>
          <w:sz w:val="18"/>
        </w:rPr>
        <w:t> </w:t>
      </w:r>
      <w:r>
        <w:rPr>
          <w:color w:val="383638"/>
          <w:sz w:val="18"/>
        </w:rPr>
        <w:t>152-53</w:t>
      </w:r>
    </w:p>
    <w:p>
      <w:pPr>
        <w:spacing w:line="198" w:lineRule="exact" w:before="0"/>
        <w:ind w:left="619" w:right="0" w:firstLine="0"/>
        <w:jc w:val="left"/>
        <w:rPr>
          <w:sz w:val="18"/>
        </w:rPr>
      </w:pPr>
      <w:r>
        <w:rPr>
          <w:color w:val="383638"/>
          <w:w w:val="110"/>
          <w:sz w:val="15"/>
        </w:rPr>
        <w:t>(2008)</w:t>
      </w:r>
      <w:r>
        <w:rPr>
          <w:color w:val="383638"/>
          <w:spacing w:val="6"/>
          <w:w w:val="110"/>
          <w:sz w:val="15"/>
        </w:rPr>
        <w:t> </w:t>
      </w:r>
      <w:r>
        <w:rPr>
          <w:color w:val="4D4D4D"/>
          <w:w w:val="110"/>
          <w:sz w:val="18"/>
        </w:rPr>
        <w:t>(describing</w:t>
      </w:r>
      <w:r>
        <w:rPr>
          <w:color w:val="4D4D4D"/>
          <w:spacing w:val="-5"/>
          <w:w w:val="110"/>
          <w:sz w:val="18"/>
        </w:rPr>
        <w:t> </w:t>
      </w:r>
      <w:r>
        <w:rPr>
          <w:color w:val="383638"/>
          <w:w w:val="110"/>
          <w:sz w:val="18"/>
        </w:rPr>
        <w:t>strategies</w:t>
      </w:r>
      <w:r>
        <w:rPr>
          <w:color w:val="383638"/>
          <w:spacing w:val="8"/>
          <w:w w:val="110"/>
          <w:sz w:val="18"/>
        </w:rPr>
        <w:t> </w:t>
      </w:r>
      <w:r>
        <w:rPr>
          <w:color w:val="383638"/>
          <w:w w:val="110"/>
          <w:sz w:val="18"/>
        </w:rPr>
        <w:t>for</w:t>
      </w:r>
      <w:r>
        <w:rPr>
          <w:color w:val="383638"/>
          <w:spacing w:val="-1"/>
          <w:w w:val="110"/>
          <w:sz w:val="18"/>
        </w:rPr>
        <w:t> </w:t>
      </w:r>
      <w:r>
        <w:rPr>
          <w:color w:val="383638"/>
          <w:w w:val="110"/>
          <w:sz w:val="18"/>
        </w:rPr>
        <w:t>choosing</w:t>
      </w:r>
      <w:r>
        <w:rPr>
          <w:color w:val="383638"/>
          <w:spacing w:val="5"/>
          <w:w w:val="110"/>
          <w:sz w:val="18"/>
        </w:rPr>
        <w:t> </w:t>
      </w:r>
      <w:r>
        <w:rPr>
          <w:color w:val="4D4D4D"/>
          <w:w w:val="110"/>
          <w:sz w:val="18"/>
        </w:rPr>
        <w:t>protagonists</w:t>
      </w:r>
      <w:r>
        <w:rPr>
          <w:color w:val="4D4D4D"/>
          <w:spacing w:val="2"/>
          <w:w w:val="110"/>
          <w:sz w:val="18"/>
        </w:rPr>
        <w:t> </w:t>
      </w:r>
      <w:r>
        <w:rPr>
          <w:color w:val="383638"/>
          <w:w w:val="110"/>
          <w:sz w:val="18"/>
        </w:rPr>
        <w:t>and</w:t>
      </w:r>
      <w:r>
        <w:rPr>
          <w:color w:val="383638"/>
          <w:spacing w:val="20"/>
          <w:w w:val="110"/>
          <w:sz w:val="18"/>
        </w:rPr>
        <w:t> </w:t>
      </w:r>
      <w:r>
        <w:rPr>
          <w:color w:val="383638"/>
          <w:w w:val="110"/>
          <w:sz w:val="18"/>
        </w:rPr>
        <w:t>antagonists).</w:t>
      </w:r>
    </w:p>
    <w:p>
      <w:pPr>
        <w:pStyle w:val="ListParagraph"/>
        <w:numPr>
          <w:ilvl w:val="0"/>
          <w:numId w:val="82"/>
        </w:numPr>
        <w:tabs>
          <w:tab w:pos="1021" w:val="left" w:leader="none"/>
        </w:tabs>
        <w:spacing w:line="200" w:lineRule="exact" w:before="0" w:after="0"/>
        <w:ind w:left="1020" w:right="0" w:hanging="88"/>
        <w:jc w:val="left"/>
        <w:rPr>
          <w:sz w:val="17"/>
        </w:rPr>
      </w:pPr>
      <w:r>
        <w:rPr>
          <w:color w:val="646667"/>
          <w:w w:val="110"/>
          <w:sz w:val="10"/>
        </w:rPr>
        <w:t>l</w:t>
      </w:r>
      <w:r>
        <w:rPr>
          <w:color w:val="646667"/>
          <w:spacing w:val="19"/>
          <w:w w:val="110"/>
          <w:sz w:val="10"/>
        </w:rPr>
        <w:t> </w:t>
      </w:r>
      <w:r>
        <w:rPr>
          <w:color w:val="383638"/>
          <w:w w:val="110"/>
          <w:sz w:val="18"/>
        </w:rPr>
        <w:t>Robbins,</w:t>
      </w:r>
      <w:r>
        <w:rPr>
          <w:color w:val="383638"/>
          <w:spacing w:val="-6"/>
          <w:w w:val="110"/>
          <w:sz w:val="18"/>
        </w:rPr>
        <w:t> </w:t>
      </w:r>
      <w:r>
        <w:rPr>
          <w:rFonts w:ascii="Arial" w:hAnsi="Arial"/>
          <w:i/>
          <w:color w:val="383638"/>
          <w:w w:val="110"/>
          <w:sz w:val="15"/>
        </w:rPr>
        <w:t>5upra</w:t>
      </w:r>
      <w:r>
        <w:rPr>
          <w:rFonts w:ascii="Arial" w:hAnsi="Arial"/>
          <w:i/>
          <w:color w:val="383638"/>
          <w:spacing w:val="1"/>
          <w:w w:val="110"/>
          <w:sz w:val="15"/>
        </w:rPr>
        <w:t> </w:t>
      </w:r>
      <w:r>
        <w:rPr>
          <w:color w:val="383638"/>
          <w:w w:val="110"/>
          <w:sz w:val="18"/>
        </w:rPr>
        <w:t>note</w:t>
      </w:r>
      <w:r>
        <w:rPr>
          <w:color w:val="383638"/>
          <w:spacing w:val="-1"/>
          <w:w w:val="110"/>
          <w:sz w:val="18"/>
        </w:rPr>
        <w:t> </w:t>
      </w:r>
      <w:r>
        <w:rPr>
          <w:color w:val="383638"/>
          <w:w w:val="110"/>
          <w:sz w:val="17"/>
        </w:rPr>
        <w:t>17,</w:t>
      </w:r>
      <w:r>
        <w:rPr>
          <w:color w:val="383638"/>
          <w:spacing w:val="4"/>
          <w:w w:val="110"/>
          <w:sz w:val="17"/>
        </w:rPr>
        <w:t> </w:t>
      </w:r>
      <w:r>
        <w:rPr>
          <w:color w:val="383638"/>
          <w:w w:val="110"/>
          <w:sz w:val="18"/>
        </w:rPr>
        <w:t>at</w:t>
      </w:r>
      <w:r>
        <w:rPr>
          <w:color w:val="383638"/>
          <w:spacing w:val="20"/>
          <w:w w:val="110"/>
          <w:sz w:val="18"/>
        </w:rPr>
        <w:t> </w:t>
      </w:r>
      <w:r>
        <w:rPr>
          <w:color w:val="4D4D4D"/>
          <w:w w:val="110"/>
          <w:sz w:val="17"/>
        </w:rPr>
        <w:t>778</w:t>
      </w:r>
      <w:r>
        <w:rPr>
          <w:color w:val="4D4D4D"/>
          <w:spacing w:val="-2"/>
          <w:w w:val="110"/>
          <w:sz w:val="17"/>
        </w:rPr>
        <w:t> </w:t>
      </w:r>
      <w:r>
        <w:rPr>
          <w:color w:val="383638"/>
          <w:w w:val="110"/>
          <w:sz w:val="18"/>
        </w:rPr>
        <w:t>(discussing</w:t>
      </w:r>
      <w:r>
        <w:rPr>
          <w:color w:val="383638"/>
          <w:spacing w:val="8"/>
          <w:w w:val="110"/>
          <w:sz w:val="18"/>
        </w:rPr>
        <w:t> </w:t>
      </w:r>
      <w:r>
        <w:rPr>
          <w:color w:val="383638"/>
          <w:w w:val="110"/>
          <w:sz w:val="18"/>
        </w:rPr>
        <w:t>dlfforent</w:t>
      </w:r>
      <w:r>
        <w:rPr>
          <w:color w:val="383638"/>
          <w:spacing w:val="11"/>
          <w:w w:val="110"/>
          <w:sz w:val="18"/>
        </w:rPr>
        <w:t> </w:t>
      </w:r>
      <w:r>
        <w:rPr>
          <w:color w:val="383638"/>
          <w:w w:val="110"/>
          <w:sz w:val="18"/>
        </w:rPr>
        <w:t>types</w:t>
      </w:r>
      <w:r>
        <w:rPr>
          <w:color w:val="383638"/>
          <w:spacing w:val="-5"/>
          <w:w w:val="110"/>
          <w:sz w:val="18"/>
        </w:rPr>
        <w:t> </w:t>
      </w:r>
      <w:r>
        <w:rPr>
          <w:color w:val="383638"/>
          <w:w w:val="110"/>
          <w:sz w:val="18"/>
        </w:rPr>
        <w:t>of</w:t>
      </w:r>
      <w:r>
        <w:rPr>
          <w:color w:val="383638"/>
          <w:spacing w:val="10"/>
          <w:w w:val="110"/>
          <w:sz w:val="18"/>
        </w:rPr>
        <w:t> </w:t>
      </w:r>
      <w:r>
        <w:rPr>
          <w:color w:val="383638"/>
          <w:w w:val="110"/>
          <w:sz w:val="18"/>
        </w:rPr>
        <w:t>heroes, from</w:t>
      </w:r>
      <w:r>
        <w:rPr>
          <w:color w:val="383638"/>
          <w:spacing w:val="14"/>
          <w:w w:val="110"/>
          <w:sz w:val="18"/>
        </w:rPr>
        <w:t> </w:t>
      </w:r>
      <w:r>
        <w:rPr>
          <w:color w:val="383638"/>
          <w:w w:val="110"/>
          <w:sz w:val="18"/>
        </w:rPr>
        <w:t>the</w:t>
      </w:r>
      <w:r>
        <w:rPr>
          <w:color w:val="383638"/>
          <w:spacing w:val="31"/>
          <w:w w:val="110"/>
          <w:sz w:val="18"/>
        </w:rPr>
        <w:t> </w:t>
      </w:r>
      <w:r>
        <w:rPr>
          <w:color w:val="383638"/>
          <w:w w:val="110"/>
          <w:sz w:val="18"/>
        </w:rPr>
        <w:t>Innocent</w:t>
      </w:r>
      <w:r>
        <w:rPr>
          <w:color w:val="383638"/>
          <w:spacing w:val="-3"/>
          <w:w w:val="110"/>
          <w:sz w:val="18"/>
        </w:rPr>
        <w:t> </w:t>
      </w:r>
      <w:r>
        <w:rPr>
          <w:color w:val="383638"/>
          <w:w w:val="110"/>
          <w:sz w:val="17"/>
        </w:rPr>
        <w:t>to</w:t>
      </w:r>
    </w:p>
    <w:p>
      <w:pPr>
        <w:spacing w:before="15"/>
        <w:ind w:left="605" w:right="0" w:firstLine="0"/>
        <w:jc w:val="left"/>
        <w:rPr>
          <w:sz w:val="18"/>
        </w:rPr>
      </w:pPr>
      <w:r>
        <w:rPr>
          <w:color w:val="383638"/>
          <w:w w:val="110"/>
          <w:sz w:val="18"/>
        </w:rPr>
        <w:t>the</w:t>
      </w:r>
      <w:r>
        <w:rPr>
          <w:color w:val="383638"/>
          <w:spacing w:val="8"/>
          <w:w w:val="110"/>
          <w:sz w:val="18"/>
        </w:rPr>
        <w:t> </w:t>
      </w:r>
      <w:r>
        <w:rPr>
          <w:color w:val="383638"/>
          <w:w w:val="110"/>
          <w:sz w:val="18"/>
        </w:rPr>
        <w:t>warrior).</w:t>
      </w:r>
    </w:p>
    <w:p>
      <w:pPr>
        <w:spacing w:after="0"/>
        <w:jc w:val="left"/>
        <w:rPr>
          <w:sz w:val="18"/>
        </w:rPr>
        <w:sectPr>
          <w:headerReference w:type="even" r:id="rId236"/>
          <w:headerReference w:type="default" r:id="rId237"/>
          <w:pgSz w:w="9980" w:h="14010"/>
          <w:pgMar w:header="485" w:footer="0" w:top="1080" w:bottom="0" w:left="1380" w:right="220"/>
          <w:pgNumType w:start="20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1"/>
        <w:ind w:left="124" w:right="0" w:firstLine="0"/>
        <w:jc w:val="both"/>
        <w:rPr>
          <w:sz w:val="16"/>
        </w:rPr>
      </w:pPr>
      <w:r>
        <w:rPr>
          <w:color w:val="3B383B"/>
          <w:sz w:val="16"/>
          <w:u w:val="thick" w:color="3B383B"/>
        </w:rPr>
        <w:t>_/\</w:t>
      </w:r>
      <w:r>
        <w:rPr>
          <w:color w:val="3B383B"/>
          <w:spacing w:val="50"/>
          <w:sz w:val="16"/>
          <w:u w:val="thick" w:color="3B383B"/>
        </w:rPr>
        <w:t> </w:t>
      </w:r>
      <w:r>
        <w:rPr>
          <w:color w:val="3B383B"/>
          <w:sz w:val="16"/>
          <w:u w:val="thick" w:color="3B383B"/>
        </w:rPr>
        <w:t>GOOD</w:t>
      </w:r>
      <w:r>
        <w:rPr>
          <w:color w:val="3B383B"/>
          <w:spacing w:val="-7"/>
          <w:sz w:val="16"/>
          <w:u w:val="thick" w:color="3B383B"/>
        </w:rPr>
        <w:t> </w:t>
      </w:r>
      <w:r>
        <w:rPr>
          <w:color w:val="3B383B"/>
          <w:sz w:val="16"/>
          <w:u w:val="thick" w:color="3B383B"/>
        </w:rPr>
        <w:t>E</w:t>
      </w:r>
      <w:r>
        <w:rPr>
          <w:color w:val="666669"/>
          <w:sz w:val="16"/>
          <w:u w:val="thick" w:color="3B383B"/>
        </w:rPr>
        <w:t>X</w:t>
      </w:r>
      <w:r>
        <w:rPr>
          <w:color w:val="3B383B"/>
          <w:sz w:val="16"/>
          <w:u w:val="thick" w:color="3B383B"/>
        </w:rPr>
        <w:t>A</w:t>
      </w:r>
      <w:r>
        <w:rPr>
          <w:color w:val="666669"/>
          <w:sz w:val="16"/>
          <w:u w:val="thick" w:color="3B383B"/>
        </w:rPr>
        <w:t>MP</w:t>
      </w:r>
      <w:r>
        <w:rPr>
          <w:color w:val="3B383B"/>
          <w:sz w:val="16"/>
          <w:u w:val="thick" w:color="3B383B"/>
        </w:rPr>
        <w:t>LE</w:t>
      </w:r>
    </w:p>
    <w:p>
      <w:pPr>
        <w:spacing w:line="236" w:lineRule="exact" w:before="106"/>
        <w:ind w:left="439" w:right="0" w:firstLine="0"/>
        <w:jc w:val="both"/>
        <w:rPr>
          <w:sz w:val="21"/>
        </w:rPr>
      </w:pPr>
      <w:r>
        <w:rPr>
          <w:color w:val="3B383B"/>
          <w:w w:val="115"/>
          <w:sz w:val="21"/>
        </w:rPr>
        <w:t>Vernon</w:t>
      </w:r>
      <w:r>
        <w:rPr>
          <w:color w:val="3B383B"/>
          <w:spacing w:val="31"/>
          <w:w w:val="115"/>
          <w:sz w:val="21"/>
        </w:rPr>
        <w:t> </w:t>
      </w:r>
      <w:r>
        <w:rPr>
          <w:color w:val="3B383B"/>
          <w:w w:val="115"/>
          <w:sz w:val="21"/>
        </w:rPr>
        <w:t>Lennon</w:t>
      </w:r>
      <w:r>
        <w:rPr>
          <w:color w:val="3B383B"/>
          <w:spacing w:val="42"/>
          <w:w w:val="115"/>
          <w:sz w:val="21"/>
        </w:rPr>
        <w:t> </w:t>
      </w:r>
      <w:r>
        <w:rPr>
          <w:color w:val="3B383B"/>
          <w:w w:val="115"/>
          <w:sz w:val="21"/>
        </w:rPr>
        <w:t>recruited</w:t>
      </w:r>
      <w:r>
        <w:rPr>
          <w:color w:val="3B383B"/>
          <w:spacing w:val="46"/>
          <w:w w:val="115"/>
          <w:sz w:val="21"/>
        </w:rPr>
        <w:t> </w:t>
      </w:r>
      <w:r>
        <w:rPr>
          <w:color w:val="3B383B"/>
          <w:w w:val="115"/>
          <w:sz w:val="21"/>
        </w:rPr>
        <w:t>Petitioner</w:t>
      </w:r>
      <w:r>
        <w:rPr>
          <w:color w:val="3B383B"/>
          <w:spacing w:val="30"/>
          <w:w w:val="115"/>
          <w:sz w:val="21"/>
        </w:rPr>
        <w:t> </w:t>
      </w:r>
      <w:r>
        <w:rPr>
          <w:color w:val="3B383B"/>
          <w:w w:val="115"/>
          <w:sz w:val="21"/>
        </w:rPr>
        <w:t>to</w:t>
      </w:r>
      <w:r>
        <w:rPr>
          <w:color w:val="3B383B"/>
          <w:spacing w:val="39"/>
          <w:w w:val="115"/>
          <w:sz w:val="21"/>
        </w:rPr>
        <w:t> </w:t>
      </w:r>
      <w:r>
        <w:rPr>
          <w:color w:val="3B383B"/>
          <w:w w:val="115"/>
          <w:sz w:val="21"/>
        </w:rPr>
        <w:t>steal</w:t>
      </w:r>
      <w:r>
        <w:rPr>
          <w:color w:val="3B383B"/>
          <w:spacing w:val="20"/>
          <w:w w:val="115"/>
          <w:sz w:val="21"/>
        </w:rPr>
        <w:t> </w:t>
      </w:r>
      <w:r>
        <w:rPr>
          <w:color w:val="3B383B"/>
          <w:w w:val="115"/>
          <w:sz w:val="21"/>
        </w:rPr>
        <w:t>cars</w:t>
      </w:r>
      <w:r>
        <w:rPr>
          <w:color w:val="3B383B"/>
          <w:spacing w:val="11"/>
          <w:w w:val="115"/>
          <w:sz w:val="21"/>
        </w:rPr>
        <w:t> </w:t>
      </w:r>
      <w:r>
        <w:rPr>
          <w:color w:val="3B383B"/>
          <w:w w:val="115"/>
          <w:sz w:val="21"/>
        </w:rPr>
        <w:t>with</w:t>
      </w:r>
      <w:r>
        <w:rPr>
          <w:color w:val="3B383B"/>
          <w:spacing w:val="38"/>
          <w:w w:val="115"/>
          <w:sz w:val="21"/>
        </w:rPr>
        <w:t> </w:t>
      </w:r>
      <w:r>
        <w:rPr>
          <w:color w:val="3B383B"/>
          <w:w w:val="115"/>
          <w:sz w:val="21"/>
        </w:rPr>
        <w:t>him.</w:t>
      </w:r>
      <w:r>
        <w:rPr>
          <w:color w:val="3B383B"/>
          <w:spacing w:val="20"/>
          <w:w w:val="115"/>
          <w:sz w:val="21"/>
        </w:rPr>
        <w:t> </w:t>
      </w:r>
      <w:r>
        <w:rPr>
          <w:color w:val="3B383B"/>
          <w:w w:val="115"/>
          <w:sz w:val="21"/>
        </w:rPr>
        <w:t>Record</w:t>
      </w:r>
    </w:p>
    <w:p>
      <w:pPr>
        <w:spacing w:line="235" w:lineRule="auto" w:before="0"/>
        <w:ind w:left="439" w:right="805" w:hanging="4"/>
        <w:jc w:val="both"/>
        <w:rPr>
          <w:sz w:val="21"/>
        </w:rPr>
      </w:pPr>
      <w:r>
        <w:rPr>
          <w:color w:val="3B383B"/>
          <w:w w:val="115"/>
          <w:sz w:val="21"/>
        </w:rPr>
        <w:t>156. Lennon  showed  Holloway  the  revolver that Lennon  planned</w:t>
      </w:r>
      <w:r>
        <w:rPr>
          <w:color w:val="3B383B"/>
          <w:spacing w:val="1"/>
          <w:w w:val="115"/>
          <w:sz w:val="21"/>
        </w:rPr>
        <w:t> </w:t>
      </w:r>
      <w:r>
        <w:rPr>
          <w:color w:val="3B383B"/>
          <w:w w:val="115"/>
          <w:sz w:val="21"/>
        </w:rPr>
        <w:t>to carry during the commission of the robberies. Apparently, it was</w:t>
      </w:r>
      <w:r>
        <w:rPr>
          <w:color w:val="3B383B"/>
          <w:spacing w:val="1"/>
          <w:w w:val="115"/>
          <w:sz w:val="21"/>
        </w:rPr>
        <w:t> </w:t>
      </w:r>
      <w:r>
        <w:rPr>
          <w:color w:val="3B383B"/>
          <w:w w:val="110"/>
          <w:sz w:val="21"/>
        </w:rPr>
        <w:t>Holloway's job to drive the "getaway" car. </w:t>
      </w:r>
      <w:r>
        <w:rPr>
          <w:rFonts w:ascii="Arial"/>
          <w:color w:val="3B383B"/>
          <w:w w:val="110"/>
          <w:sz w:val="22"/>
        </w:rPr>
        <w:t>W.. </w:t>
      </w:r>
      <w:r>
        <w:rPr>
          <w:color w:val="3B383B"/>
          <w:w w:val="110"/>
          <w:sz w:val="21"/>
        </w:rPr>
        <w:t>There is no evidence in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5"/>
          <w:sz w:val="21"/>
        </w:rPr>
        <w:t>the record that Lennon told Holloway that he planned to shoot the</w:t>
      </w:r>
      <w:r>
        <w:rPr>
          <w:color w:val="3B383B"/>
          <w:spacing w:val="1"/>
          <w:w w:val="115"/>
          <w:sz w:val="21"/>
        </w:rPr>
        <w:t> </w:t>
      </w:r>
      <w:r>
        <w:rPr>
          <w:color w:val="3B383B"/>
          <w:w w:val="115"/>
          <w:sz w:val="21"/>
        </w:rPr>
        <w:t>victims.</w:t>
      </w:r>
      <w:r>
        <w:rPr>
          <w:color w:val="3B383B"/>
          <w:spacing w:val="-9"/>
          <w:w w:val="115"/>
          <w:sz w:val="21"/>
        </w:rPr>
        <w:t> </w:t>
      </w:r>
      <w:r>
        <w:rPr>
          <w:color w:val="3B383B"/>
          <w:w w:val="115"/>
          <w:sz w:val="21"/>
        </w:rPr>
        <w:t>Holloway</w:t>
      </w:r>
      <w:r>
        <w:rPr>
          <w:color w:val="3B383B"/>
          <w:spacing w:val="15"/>
          <w:w w:val="115"/>
          <w:sz w:val="21"/>
        </w:rPr>
        <w:t> </w:t>
      </w:r>
      <w:r>
        <w:rPr>
          <w:color w:val="3B383B"/>
          <w:w w:val="115"/>
          <w:sz w:val="21"/>
        </w:rPr>
        <w:t>never</w:t>
      </w:r>
      <w:r>
        <w:rPr>
          <w:color w:val="3B383B"/>
          <w:spacing w:val="-17"/>
          <w:w w:val="115"/>
          <w:sz w:val="21"/>
        </w:rPr>
        <w:t> </w:t>
      </w:r>
      <w:r>
        <w:rPr>
          <w:color w:val="3B383B"/>
          <w:w w:val="115"/>
          <w:sz w:val="21"/>
        </w:rPr>
        <w:t>carried</w:t>
      </w:r>
      <w:r>
        <w:rPr>
          <w:color w:val="3B383B"/>
          <w:spacing w:val="-6"/>
          <w:w w:val="115"/>
          <w:sz w:val="21"/>
        </w:rPr>
        <w:t> </w:t>
      </w:r>
      <w:r>
        <w:rPr>
          <w:color w:val="3B383B"/>
          <w:w w:val="115"/>
          <w:sz w:val="21"/>
        </w:rPr>
        <w:t>a</w:t>
      </w:r>
      <w:r>
        <w:rPr>
          <w:color w:val="3B383B"/>
          <w:spacing w:val="5"/>
          <w:w w:val="115"/>
          <w:sz w:val="21"/>
        </w:rPr>
        <w:t> </w:t>
      </w:r>
      <w:r>
        <w:rPr>
          <w:color w:val="3B383B"/>
          <w:w w:val="115"/>
          <w:sz w:val="21"/>
        </w:rPr>
        <w:t>gun</w:t>
      </w:r>
      <w:r>
        <w:rPr>
          <w:color w:val="3B383B"/>
          <w:spacing w:val="1"/>
          <w:w w:val="115"/>
          <w:sz w:val="21"/>
        </w:rPr>
        <w:t> </w:t>
      </w:r>
      <w:r>
        <w:rPr>
          <w:color w:val="3B383B"/>
          <w:w w:val="115"/>
          <w:sz w:val="21"/>
        </w:rPr>
        <w:t>during</w:t>
      </w:r>
      <w:r>
        <w:rPr>
          <w:color w:val="3B383B"/>
          <w:spacing w:val="-13"/>
          <w:w w:val="115"/>
          <w:sz w:val="21"/>
        </w:rPr>
        <w:t> </w:t>
      </w:r>
      <w:r>
        <w:rPr>
          <w:color w:val="3B383B"/>
          <w:w w:val="115"/>
          <w:sz w:val="21"/>
        </w:rPr>
        <w:t>any</w:t>
      </w:r>
      <w:r>
        <w:rPr>
          <w:color w:val="3B383B"/>
          <w:spacing w:val="-3"/>
          <w:w w:val="115"/>
          <w:sz w:val="21"/>
        </w:rPr>
        <w:t> </w:t>
      </w:r>
      <w:r>
        <w:rPr>
          <w:color w:val="3B383B"/>
          <w:w w:val="115"/>
          <w:sz w:val="21"/>
        </w:rPr>
        <w:t>of</w:t>
      </w:r>
      <w:r>
        <w:rPr>
          <w:color w:val="3B383B"/>
          <w:spacing w:val="4"/>
          <w:w w:val="115"/>
          <w:sz w:val="21"/>
        </w:rPr>
        <w:t> </w:t>
      </w:r>
      <w:r>
        <w:rPr>
          <w:color w:val="3B383B"/>
          <w:w w:val="115"/>
          <w:sz w:val="21"/>
        </w:rPr>
        <w:t>the</w:t>
      </w:r>
      <w:r>
        <w:rPr>
          <w:color w:val="3B383B"/>
          <w:spacing w:val="35"/>
          <w:w w:val="115"/>
          <w:sz w:val="21"/>
        </w:rPr>
        <w:t> </w:t>
      </w:r>
      <w:r>
        <w:rPr>
          <w:color w:val="3B383B"/>
          <w:w w:val="115"/>
          <w:sz w:val="21"/>
        </w:rPr>
        <w:t>robberies.</w:t>
      </w:r>
    </w:p>
    <w:p>
      <w:pPr>
        <w:spacing w:line="228" w:lineRule="auto" w:before="139"/>
        <w:ind w:left="443" w:right="757" w:firstLine="0"/>
        <w:jc w:val="both"/>
        <w:rPr>
          <w:rFonts w:ascii="Arial" w:hAnsi="Arial"/>
          <w:sz w:val="23"/>
        </w:rPr>
      </w:pPr>
      <w:r>
        <w:rPr>
          <w:color w:val="3B383B"/>
          <w:w w:val="110"/>
          <w:sz w:val="21"/>
        </w:rPr>
        <w:t>On October 14, 1994, Lennon and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Holloway stole a car in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Queens.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Record 83-84. The car's owner sustained no injuries. The next day, the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two men stole a Toyota and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a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Mercedes-Benz. Record 84.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Holloway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never even approached the driver of the Toyota; like the first driver, he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escaped unharmed. </w:t>
      </w:r>
      <w:r>
        <w:rPr>
          <w:rFonts w:ascii="Arial" w:hAnsi="Arial"/>
          <w:color w:val="3B383B"/>
          <w:w w:val="110"/>
          <w:sz w:val="24"/>
        </w:rPr>
        <w:t>W.. </w:t>
      </w:r>
      <w:r>
        <w:rPr>
          <w:color w:val="3B383B"/>
          <w:w w:val="110"/>
          <w:sz w:val="21"/>
        </w:rPr>
        <w:t>Lennon and  Holloway both advanced toward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the driver of the Mercedes-Benz, and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Lennon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produced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his gun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and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threatened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to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shoot. Record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84.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When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the  driver hesitated  momen­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tarily, Holloway stepped in and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struck him once, before Lennon could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take any action. </w:t>
      </w:r>
      <w:r>
        <w:rPr>
          <w:rFonts w:ascii="Arial" w:hAnsi="Arial"/>
          <w:color w:val="3B383B"/>
          <w:w w:val="110"/>
          <w:sz w:val="23"/>
        </w:rPr>
        <w:t>W.. </w:t>
      </w:r>
      <w:r>
        <w:rPr>
          <w:color w:val="3B383B"/>
          <w:w w:val="110"/>
          <w:sz w:val="21"/>
        </w:rPr>
        <w:t>At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this point, the driver surrendered his keys and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fled,</w:t>
      </w:r>
      <w:r>
        <w:rPr>
          <w:color w:val="3B383B"/>
          <w:spacing w:val="-25"/>
          <w:w w:val="110"/>
          <w:sz w:val="21"/>
        </w:rPr>
        <w:t> </w:t>
      </w:r>
      <w:r>
        <w:rPr>
          <w:color w:val="3B383B"/>
          <w:w w:val="110"/>
          <w:sz w:val="21"/>
        </w:rPr>
        <w:t>essentially</w:t>
      </w:r>
      <w:r>
        <w:rPr>
          <w:color w:val="3B383B"/>
          <w:spacing w:val="8"/>
          <w:w w:val="110"/>
          <w:sz w:val="21"/>
        </w:rPr>
        <w:t> </w:t>
      </w:r>
      <w:r>
        <w:rPr>
          <w:color w:val="3B383B"/>
          <w:w w:val="110"/>
          <w:sz w:val="21"/>
        </w:rPr>
        <w:t>unharmed.</w:t>
      </w:r>
      <w:r>
        <w:rPr>
          <w:color w:val="3B383B"/>
          <w:spacing w:val="4"/>
          <w:w w:val="110"/>
          <w:sz w:val="21"/>
        </w:rPr>
        <w:t> </w:t>
      </w:r>
      <w:r>
        <w:rPr>
          <w:rFonts w:ascii="Arial" w:hAnsi="Arial"/>
          <w:color w:val="3B383B"/>
          <w:w w:val="110"/>
          <w:sz w:val="23"/>
        </w:rPr>
        <w:t>W..</w:t>
      </w:r>
    </w:p>
    <w:p>
      <w:pPr>
        <w:pStyle w:val="BodyText"/>
        <w:spacing w:line="235" w:lineRule="auto" w:before="147"/>
        <w:ind w:left="125" w:right="333" w:hanging="9"/>
        <w:jc w:val="both"/>
      </w:pPr>
      <w:r>
        <w:rPr>
          <w:color w:val="3B383B"/>
          <w:spacing w:val="-1"/>
          <w:w w:val="110"/>
        </w:rPr>
        <w:t>These details emphasize </w:t>
      </w:r>
      <w:r>
        <w:rPr>
          <w:color w:val="3B383B"/>
          <w:w w:val="110"/>
        </w:rPr>
        <w:t>that Holloway never carried a gun and that none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of the  victims were shot. In the last incident, Holloway seems to become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a legitimate hero; it appears that he prevented Lennon, his accomplice (or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perhaps, in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this telling, a bullying ringleader), from shooting one of 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victims.</w:t>
      </w:r>
    </w:p>
    <w:p>
      <w:pPr>
        <w:pStyle w:val="BodyText"/>
        <w:spacing w:line="232" w:lineRule="auto"/>
        <w:ind w:left="133" w:right="318" w:firstLine="325"/>
        <w:jc w:val="both"/>
      </w:pPr>
      <w:r>
        <w:rPr>
          <w:color w:val="3B383B"/>
          <w:w w:val="110"/>
        </w:rPr>
        <w:t>After you have considered your theme, the conclusions you want the</w:t>
      </w:r>
      <w:r>
        <w:rPr>
          <w:color w:val="3B383B"/>
          <w:spacing w:val="1"/>
          <w:w w:val="110"/>
        </w:rPr>
        <w:t> </w:t>
      </w:r>
      <w:r>
        <w:rPr>
          <w:color w:val="3B383B"/>
          <w:spacing w:val="-1"/>
          <w:w w:val="110"/>
        </w:rPr>
        <w:t>reader to draw, and </w:t>
      </w:r>
      <w:r>
        <w:rPr>
          <w:color w:val="3B383B"/>
          <w:w w:val="110"/>
        </w:rPr>
        <w:t>the schemas you might want to exploit, make a list of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05"/>
        </w:rPr>
        <w:t>all of the  facts that are relevant  to your case. You may  consult the abstract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10"/>
        </w:rPr>
        <w:t>of 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record, 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record itself, the lower court decisions, and even 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argument to come up with all of the legally (and emotionally) significant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05"/>
        </w:rPr>
        <w:t>facts. (Be certain, of course, not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to mischaracterize facts that were offered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10"/>
        </w:rPr>
        <w:t>into evidence and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rejected.) Perhaps divide your list into three parts: neu­</w:t>
      </w:r>
      <w:r>
        <w:rPr>
          <w:color w:val="3B383B"/>
          <w:spacing w:val="-61"/>
          <w:w w:val="110"/>
        </w:rPr>
        <w:t> </w:t>
      </w:r>
      <w:r>
        <w:rPr>
          <w:color w:val="3B383B"/>
          <w:w w:val="105"/>
        </w:rPr>
        <w:t>tral facts, positive facts, and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negative facts. As you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tell your story, you can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10"/>
        </w:rPr>
        <w:t>use some or all of 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following persuasive techniques to highlight 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05"/>
        </w:rPr>
        <w:t>positive</w:t>
      </w:r>
      <w:r>
        <w:rPr>
          <w:color w:val="3B383B"/>
          <w:spacing w:val="8"/>
          <w:w w:val="105"/>
        </w:rPr>
        <w:t> </w:t>
      </w:r>
      <w:r>
        <w:rPr>
          <w:color w:val="3B383B"/>
          <w:w w:val="105"/>
        </w:rPr>
        <w:t>facts</w:t>
      </w:r>
      <w:r>
        <w:rPr>
          <w:color w:val="3B383B"/>
          <w:spacing w:val="-12"/>
          <w:w w:val="105"/>
        </w:rPr>
        <w:t> </w:t>
      </w:r>
      <w:r>
        <w:rPr>
          <w:color w:val="3B383B"/>
          <w:w w:val="105"/>
        </w:rPr>
        <w:t>and</w:t>
      </w:r>
      <w:r>
        <w:rPr>
          <w:color w:val="3B383B"/>
          <w:spacing w:val="37"/>
          <w:w w:val="105"/>
        </w:rPr>
        <w:t> </w:t>
      </w:r>
      <w:r>
        <w:rPr>
          <w:color w:val="3B383B"/>
          <w:w w:val="105"/>
        </w:rPr>
        <w:t>"lowlight"</w:t>
      </w:r>
      <w:r>
        <w:rPr>
          <w:color w:val="3B383B"/>
          <w:spacing w:val="20"/>
          <w:w w:val="105"/>
        </w:rPr>
        <w:t> </w:t>
      </w:r>
      <w:r>
        <w:rPr>
          <w:color w:val="3B383B"/>
          <w:w w:val="105"/>
        </w:rPr>
        <w:t>the</w:t>
      </w:r>
      <w:r>
        <w:rPr>
          <w:color w:val="3B383B"/>
          <w:spacing w:val="35"/>
          <w:w w:val="105"/>
        </w:rPr>
        <w:t> </w:t>
      </w:r>
      <w:r>
        <w:rPr>
          <w:color w:val="3B383B"/>
          <w:w w:val="105"/>
        </w:rPr>
        <w:t>negative</w:t>
      </w:r>
      <w:r>
        <w:rPr>
          <w:color w:val="3B383B"/>
          <w:spacing w:val="13"/>
          <w:w w:val="105"/>
        </w:rPr>
        <w:t> </w:t>
      </w:r>
      <w:r>
        <w:rPr>
          <w:color w:val="3B383B"/>
          <w:w w:val="105"/>
        </w:rPr>
        <w:t>ones.</w:t>
      </w:r>
    </w:p>
    <w:p>
      <w:pPr>
        <w:pStyle w:val="BodyText"/>
        <w:spacing w:before="1"/>
        <w:rPr>
          <w:sz w:val="33"/>
        </w:rPr>
      </w:pPr>
    </w:p>
    <w:p>
      <w:pPr>
        <w:pStyle w:val="ListParagraph"/>
        <w:numPr>
          <w:ilvl w:val="0"/>
          <w:numId w:val="83"/>
        </w:numPr>
        <w:tabs>
          <w:tab w:pos="871" w:val="left" w:leader="none"/>
        </w:tabs>
        <w:spacing w:line="240" w:lineRule="auto" w:before="0" w:after="0"/>
        <w:ind w:left="870" w:right="0" w:hanging="391"/>
        <w:jc w:val="both"/>
        <w:rPr>
          <w:b/>
          <w:color w:val="3B383B"/>
          <w:sz w:val="21"/>
        </w:rPr>
      </w:pPr>
      <w:r>
        <w:rPr>
          <w:b/>
          <w:color w:val="666669"/>
          <w:w w:val="120"/>
          <w:sz w:val="21"/>
        </w:rPr>
        <w:t>Po</w:t>
      </w:r>
      <w:r>
        <w:rPr>
          <w:b/>
          <w:color w:val="8E9091"/>
          <w:w w:val="120"/>
          <w:sz w:val="21"/>
        </w:rPr>
        <w:t>sitions</w:t>
      </w:r>
      <w:r>
        <w:rPr>
          <w:b/>
          <w:color w:val="8E9091"/>
          <w:spacing w:val="15"/>
          <w:w w:val="120"/>
          <w:sz w:val="21"/>
        </w:rPr>
        <w:t> </w:t>
      </w:r>
      <w:r>
        <w:rPr>
          <w:b/>
          <w:color w:val="666669"/>
          <w:w w:val="120"/>
          <w:sz w:val="21"/>
        </w:rPr>
        <w:t>of</w:t>
      </w:r>
      <w:r>
        <w:rPr>
          <w:b/>
          <w:color w:val="666669"/>
          <w:spacing w:val="21"/>
          <w:w w:val="120"/>
          <w:sz w:val="21"/>
        </w:rPr>
        <w:t> </w:t>
      </w:r>
      <w:r>
        <w:rPr>
          <w:b/>
          <w:color w:val="7C7C80"/>
          <w:w w:val="120"/>
          <w:sz w:val="21"/>
        </w:rPr>
        <w:t>Emphasis</w:t>
      </w:r>
    </w:p>
    <w:p>
      <w:pPr>
        <w:pStyle w:val="BodyText"/>
        <w:spacing w:line="230" w:lineRule="auto" w:before="18"/>
        <w:ind w:left="143" w:right="248" w:firstLine="334"/>
        <w:jc w:val="both"/>
      </w:pPr>
      <w:r>
        <w:rPr>
          <w:color w:val="3B383B"/>
          <w:w w:val="115"/>
        </w:rPr>
        <w:t>An easy and effective way to highlight information is to put it into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0"/>
        </w:rPr>
        <w:t>positions of emphasis within the document. Readers subconsciously pay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5"/>
        </w:rPr>
        <w:t>more attention to information that appears before or after a mental or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physical break within the document. Thus, both the beginning and the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ending of the fact stat</w:t>
      </w:r>
      <w:r>
        <w:rPr>
          <w:color w:val="666669"/>
          <w:w w:val="115"/>
        </w:rPr>
        <w:t>e</w:t>
      </w:r>
      <w:r>
        <w:rPr>
          <w:color w:val="3B383B"/>
          <w:w w:val="115"/>
        </w:rPr>
        <w:t>ment are positions of emphasis, as are the begin­</w:t>
      </w:r>
      <w:r>
        <w:rPr>
          <w:color w:val="3B383B"/>
          <w:spacing w:val="-64"/>
          <w:w w:val="115"/>
        </w:rPr>
        <w:t> </w:t>
      </w:r>
      <w:r>
        <w:rPr>
          <w:color w:val="3B383B"/>
          <w:w w:val="110"/>
        </w:rPr>
        <w:t>nings and endings of any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heading sections within the facts, and even 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05"/>
        </w:rPr>
        <w:t>first</w:t>
      </w:r>
      <w:r>
        <w:rPr>
          <w:color w:val="3B383B"/>
          <w:spacing w:val="-12"/>
          <w:w w:val="105"/>
        </w:rPr>
        <w:t> </w:t>
      </w:r>
      <w:r>
        <w:rPr>
          <w:color w:val="3B383B"/>
          <w:w w:val="105"/>
        </w:rPr>
        <w:t>and</w:t>
      </w:r>
      <w:r>
        <w:rPr>
          <w:color w:val="3B383B"/>
          <w:spacing w:val="17"/>
          <w:w w:val="105"/>
        </w:rPr>
        <w:t> </w:t>
      </w:r>
      <w:r>
        <w:rPr>
          <w:color w:val="3B383B"/>
          <w:w w:val="105"/>
        </w:rPr>
        <w:t>last</w:t>
      </w:r>
      <w:r>
        <w:rPr>
          <w:color w:val="3B383B"/>
          <w:spacing w:val="-8"/>
          <w:w w:val="105"/>
        </w:rPr>
        <w:t> </w:t>
      </w:r>
      <w:r>
        <w:rPr>
          <w:color w:val="3B383B"/>
          <w:w w:val="105"/>
        </w:rPr>
        <w:t>sentences</w:t>
      </w:r>
      <w:r>
        <w:rPr>
          <w:color w:val="3B383B"/>
          <w:spacing w:val="-5"/>
          <w:w w:val="105"/>
        </w:rPr>
        <w:t> </w:t>
      </w:r>
      <w:r>
        <w:rPr>
          <w:color w:val="3B383B"/>
          <w:w w:val="105"/>
        </w:rPr>
        <w:t>of</w:t>
      </w:r>
      <w:r>
        <w:rPr>
          <w:color w:val="3B383B"/>
          <w:spacing w:val="28"/>
          <w:w w:val="105"/>
        </w:rPr>
        <w:t> </w:t>
      </w:r>
      <w:r>
        <w:rPr>
          <w:color w:val="3B383B"/>
          <w:w w:val="105"/>
        </w:rPr>
        <w:t>paragraphs.</w:t>
      </w:r>
    </w:p>
    <w:p>
      <w:pPr>
        <w:pStyle w:val="BodyText"/>
        <w:spacing w:line="230" w:lineRule="auto" w:before="4"/>
        <w:ind w:left="147" w:right="213" w:firstLine="339"/>
        <w:jc w:val="both"/>
      </w:pPr>
      <w:r>
        <w:rPr>
          <w:color w:val="3B383B"/>
          <w:w w:val="110"/>
        </w:rPr>
        <w:t>When writing your fact statement, strive to  put your "positive facts"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into positions of emphasis. You  may even create  positions of  emphasis</w:t>
      </w:r>
      <w:r>
        <w:rPr>
          <w:color w:val="3B383B"/>
          <w:spacing w:val="1"/>
          <w:w w:val="110"/>
        </w:rPr>
        <w:t> </w:t>
      </w:r>
      <w:r>
        <w:rPr>
          <w:rFonts w:ascii="Arial"/>
          <w:color w:val="3B383B"/>
          <w:w w:val="110"/>
        </w:rPr>
        <w:t>by</w:t>
      </w:r>
      <w:r>
        <w:rPr>
          <w:rFonts w:ascii="Arial"/>
          <w:color w:val="3B383B"/>
          <w:spacing w:val="-6"/>
          <w:w w:val="110"/>
        </w:rPr>
        <w:t> </w:t>
      </w:r>
      <w:r>
        <w:rPr>
          <w:color w:val="3B383B"/>
          <w:w w:val="110"/>
        </w:rPr>
        <w:t>inserting</w:t>
      </w:r>
      <w:r>
        <w:rPr>
          <w:color w:val="3B383B"/>
          <w:spacing w:val="33"/>
          <w:w w:val="110"/>
        </w:rPr>
        <w:t> </w:t>
      </w:r>
      <w:r>
        <w:rPr>
          <w:color w:val="3B383B"/>
          <w:w w:val="110"/>
        </w:rPr>
        <w:t>topical</w:t>
      </w:r>
      <w:r>
        <w:rPr>
          <w:color w:val="3B383B"/>
          <w:spacing w:val="53"/>
          <w:w w:val="110"/>
        </w:rPr>
        <w:t> </w:t>
      </w:r>
      <w:r>
        <w:rPr>
          <w:color w:val="3B383B"/>
          <w:w w:val="110"/>
        </w:rPr>
        <w:t>headings,</w:t>
      </w:r>
      <w:r>
        <w:rPr>
          <w:color w:val="3B383B"/>
          <w:spacing w:val="38"/>
          <w:w w:val="110"/>
        </w:rPr>
        <w:t> </w:t>
      </w:r>
      <w:r>
        <w:rPr>
          <w:color w:val="3B383B"/>
          <w:w w:val="110"/>
        </w:rPr>
        <w:t>by</w:t>
      </w:r>
      <w:r>
        <w:rPr>
          <w:color w:val="3B383B"/>
          <w:spacing w:val="9"/>
          <w:w w:val="110"/>
        </w:rPr>
        <w:t> </w:t>
      </w:r>
      <w:r>
        <w:rPr>
          <w:color w:val="3B383B"/>
          <w:w w:val="110"/>
        </w:rPr>
        <w:t>creating</w:t>
      </w:r>
      <w:r>
        <w:rPr>
          <w:color w:val="3B383B"/>
          <w:spacing w:val="25"/>
          <w:w w:val="110"/>
        </w:rPr>
        <w:t> </w:t>
      </w:r>
      <w:r>
        <w:rPr>
          <w:color w:val="3B383B"/>
          <w:w w:val="110"/>
        </w:rPr>
        <w:t>paragraph</w:t>
      </w:r>
      <w:r>
        <w:rPr>
          <w:color w:val="3B383B"/>
          <w:spacing w:val="43"/>
          <w:w w:val="110"/>
        </w:rPr>
        <w:t> </w:t>
      </w:r>
      <w:r>
        <w:rPr>
          <w:color w:val="3B383B"/>
          <w:w w:val="110"/>
        </w:rPr>
        <w:t>breaks,</w:t>
      </w:r>
      <w:r>
        <w:rPr>
          <w:color w:val="3B383B"/>
          <w:spacing w:val="30"/>
          <w:w w:val="110"/>
        </w:rPr>
        <w:t> </w:t>
      </w:r>
      <w:r>
        <w:rPr>
          <w:color w:val="3B383B"/>
          <w:w w:val="110"/>
        </w:rPr>
        <w:t>or</w:t>
      </w:r>
      <w:r>
        <w:rPr>
          <w:color w:val="3B383B"/>
          <w:spacing w:val="58"/>
          <w:w w:val="110"/>
        </w:rPr>
        <w:t> </w:t>
      </w:r>
      <w:r>
        <w:rPr>
          <w:color w:val="3B383B"/>
          <w:w w:val="110"/>
        </w:rPr>
        <w:t>by</w:t>
      </w:r>
      <w:r>
        <w:rPr>
          <w:color w:val="3B383B"/>
          <w:spacing w:val="34"/>
          <w:w w:val="110"/>
        </w:rPr>
        <w:t> </w:t>
      </w:r>
      <w:r>
        <w:rPr>
          <w:color w:val="3B383B"/>
          <w:w w:val="110"/>
        </w:rPr>
        <w:t>using</w:t>
      </w:r>
    </w:p>
    <w:p>
      <w:pPr>
        <w:spacing w:after="0" w:line="230" w:lineRule="auto"/>
        <w:jc w:val="both"/>
        <w:sectPr>
          <w:pgSz w:w="9630" w:h="14010"/>
          <w:pgMar w:header="640" w:footer="0" w:top="860" w:bottom="0" w:left="320" w:right="1340"/>
        </w:sectPr>
      </w:pPr>
    </w:p>
    <w:p>
      <w:pPr>
        <w:pStyle w:val="BodyText"/>
        <w:spacing w:before="81"/>
        <w:ind w:left="761" w:right="107" w:firstLine="19"/>
        <w:jc w:val="both"/>
      </w:pPr>
      <w:r>
        <w:rPr>
          <w:color w:val="3B383A"/>
          <w:spacing w:val="-1"/>
          <w:w w:val="110"/>
        </w:rPr>
        <w:t>headings </w:t>
      </w:r>
      <w:r>
        <w:rPr>
          <w:color w:val="3B383A"/>
          <w:w w:val="110"/>
        </w:rPr>
        <w:t>to </w:t>
      </w:r>
      <w:r>
        <w:rPr>
          <w:color w:val="545456"/>
          <w:w w:val="110"/>
        </w:rPr>
        <w:t>s</w:t>
      </w:r>
      <w:r>
        <w:rPr>
          <w:color w:val="3B383A"/>
          <w:w w:val="110"/>
        </w:rPr>
        <w:t>eparate the introduction from the fact statement or the fact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statement from the statement of the "case" (i.e</w:t>
      </w:r>
      <w:r>
        <w:rPr>
          <w:color w:val="545456"/>
          <w:w w:val="110"/>
        </w:rPr>
        <w:t>., </w:t>
      </w:r>
      <w:r>
        <w:rPr>
          <w:color w:val="3B383A"/>
          <w:w w:val="110"/>
        </w:rPr>
        <w:t>the de</w:t>
      </w:r>
      <w:r>
        <w:rPr>
          <w:color w:val="545456"/>
          <w:w w:val="110"/>
        </w:rPr>
        <w:t>s</w:t>
      </w:r>
      <w:r>
        <w:rPr>
          <w:color w:val="3B383A"/>
          <w:w w:val="110"/>
        </w:rPr>
        <w:t>cription of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proceed</w:t>
      </w:r>
      <w:r>
        <w:rPr>
          <w:color w:val="545456"/>
          <w:w w:val="110"/>
        </w:rPr>
        <w:t>i</w:t>
      </w:r>
      <w:r>
        <w:rPr>
          <w:color w:val="3B383A"/>
          <w:w w:val="110"/>
        </w:rPr>
        <w:t>ngs</w:t>
      </w:r>
      <w:r>
        <w:rPr>
          <w:color w:val="3B383A"/>
          <w:spacing w:val="-8"/>
          <w:w w:val="110"/>
        </w:rPr>
        <w:t> </w:t>
      </w:r>
      <w:r>
        <w:rPr>
          <w:color w:val="3B383A"/>
          <w:w w:val="110"/>
        </w:rPr>
        <w:t>below).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83"/>
        </w:numPr>
        <w:tabs>
          <w:tab w:pos="1510" w:val="left" w:leader="none"/>
        </w:tabs>
        <w:spacing w:line="233" w:lineRule="exact" w:before="0" w:after="0"/>
        <w:ind w:left="1510" w:right="0" w:hanging="405"/>
        <w:jc w:val="both"/>
        <w:rPr>
          <w:b/>
          <w:color w:val="545456"/>
          <w:sz w:val="22"/>
        </w:rPr>
      </w:pPr>
      <w:r>
        <w:rPr>
          <w:b/>
          <w:color w:val="545456"/>
          <w:w w:val="120"/>
          <w:sz w:val="22"/>
        </w:rPr>
        <w:t>Pointillism</w:t>
      </w:r>
    </w:p>
    <w:p>
      <w:pPr>
        <w:pStyle w:val="BodyText"/>
        <w:spacing w:line="242" w:lineRule="exact"/>
        <w:ind w:left="1121"/>
        <w:jc w:val="both"/>
      </w:pPr>
      <w:r>
        <w:rPr>
          <w:color w:val="3B383A"/>
          <w:spacing w:val="-1"/>
          <w:w w:val="110"/>
        </w:rPr>
        <w:t>One</w:t>
      </w:r>
      <w:r>
        <w:rPr>
          <w:color w:val="3B383A"/>
          <w:spacing w:val="-39"/>
          <w:w w:val="110"/>
        </w:rPr>
        <w:t> </w:t>
      </w:r>
      <w:r>
        <w:rPr>
          <w:color w:val="3B383A"/>
          <w:spacing w:val="-1"/>
          <w:w w:val="110"/>
        </w:rPr>
        <w:t>way</w:t>
      </w:r>
      <w:r>
        <w:rPr>
          <w:color w:val="3B383A"/>
          <w:spacing w:val="-23"/>
          <w:w w:val="110"/>
        </w:rPr>
        <w:t> </w:t>
      </w:r>
      <w:r>
        <w:rPr>
          <w:color w:val="3B383A"/>
          <w:spacing w:val="-1"/>
          <w:w w:val="110"/>
        </w:rPr>
        <w:t>to</w:t>
      </w:r>
      <w:r>
        <w:rPr>
          <w:color w:val="3B383A"/>
          <w:spacing w:val="-4"/>
          <w:w w:val="110"/>
        </w:rPr>
        <w:t> </w:t>
      </w:r>
      <w:r>
        <w:rPr>
          <w:color w:val="3B383A"/>
          <w:spacing w:val="-1"/>
          <w:w w:val="110"/>
        </w:rPr>
        <w:t>think</w:t>
      </w:r>
      <w:r>
        <w:rPr>
          <w:color w:val="3B383A"/>
          <w:spacing w:val="-22"/>
          <w:w w:val="110"/>
        </w:rPr>
        <w:t> </w:t>
      </w:r>
      <w:r>
        <w:rPr>
          <w:color w:val="3B383A"/>
          <w:spacing w:val="-1"/>
          <w:w w:val="110"/>
        </w:rPr>
        <w:t>about</w:t>
      </w:r>
      <w:r>
        <w:rPr>
          <w:color w:val="3B383A"/>
          <w:spacing w:val="-15"/>
          <w:w w:val="110"/>
        </w:rPr>
        <w:t> </w:t>
      </w:r>
      <w:r>
        <w:rPr>
          <w:color w:val="3B383A"/>
          <w:spacing w:val="-1"/>
          <w:w w:val="110"/>
        </w:rPr>
        <w:t>the</w:t>
      </w:r>
      <w:r>
        <w:rPr>
          <w:color w:val="3B383A"/>
          <w:spacing w:val="-6"/>
          <w:w w:val="110"/>
        </w:rPr>
        <w:t> </w:t>
      </w:r>
      <w:r>
        <w:rPr>
          <w:color w:val="3B383A"/>
          <w:spacing w:val="-1"/>
          <w:w w:val="110"/>
        </w:rPr>
        <w:t>power</w:t>
      </w:r>
      <w:r>
        <w:rPr>
          <w:color w:val="3B383A"/>
          <w:spacing w:val="-21"/>
          <w:w w:val="110"/>
        </w:rPr>
        <w:t> </w:t>
      </w:r>
      <w:r>
        <w:rPr>
          <w:color w:val="3B383A"/>
          <w:w w:val="110"/>
        </w:rPr>
        <w:t>of</w:t>
      </w:r>
      <w:r>
        <w:rPr>
          <w:color w:val="3B383A"/>
          <w:spacing w:val="-9"/>
          <w:w w:val="110"/>
        </w:rPr>
        <w:t> </w:t>
      </w:r>
      <w:r>
        <w:rPr>
          <w:color w:val="3B383A"/>
          <w:w w:val="110"/>
        </w:rPr>
        <w:t>narrative</w:t>
      </w:r>
      <w:r>
        <w:rPr>
          <w:color w:val="3B383A"/>
          <w:spacing w:val="-2"/>
          <w:w w:val="110"/>
        </w:rPr>
        <w:t> </w:t>
      </w:r>
      <w:r>
        <w:rPr>
          <w:color w:val="3B383A"/>
          <w:w w:val="110"/>
        </w:rPr>
        <w:t>reasoning</w:t>
      </w:r>
      <w:r>
        <w:rPr>
          <w:color w:val="3B383A"/>
          <w:spacing w:val="-16"/>
          <w:w w:val="110"/>
        </w:rPr>
        <w:t> </w:t>
      </w:r>
      <w:r>
        <w:rPr>
          <w:color w:val="3B383A"/>
          <w:w w:val="110"/>
        </w:rPr>
        <w:t>is</w:t>
      </w:r>
      <w:r>
        <w:rPr>
          <w:color w:val="3B383A"/>
          <w:spacing w:val="-15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-4"/>
          <w:w w:val="110"/>
        </w:rPr>
        <w:t> </w:t>
      </w:r>
      <w:r>
        <w:rPr>
          <w:color w:val="3B383A"/>
          <w:w w:val="110"/>
        </w:rPr>
        <w:t>compare</w:t>
      </w:r>
    </w:p>
    <w:p>
      <w:pPr>
        <w:pStyle w:val="BodyText"/>
        <w:spacing w:line="232" w:lineRule="auto" w:before="5"/>
        <w:ind w:left="684" w:right="117" w:firstLine="71"/>
        <w:jc w:val="both"/>
      </w:pPr>
      <w:r>
        <w:rPr>
          <w:color w:val="3B383A"/>
          <w:w w:val="110"/>
        </w:rPr>
        <w:t>it to pointillism</w:t>
      </w:r>
      <w:r>
        <w:rPr>
          <w:color w:val="545456"/>
          <w:w w:val="110"/>
        </w:rPr>
        <w:t>, </w:t>
      </w:r>
      <w:r>
        <w:rPr>
          <w:color w:val="3B383A"/>
          <w:w w:val="110"/>
        </w:rPr>
        <w:t>a painting technique developed in the ninet</w:t>
      </w:r>
      <w:r>
        <w:rPr>
          <w:color w:val="545456"/>
          <w:w w:val="110"/>
        </w:rPr>
        <w:t>e</w:t>
      </w:r>
      <w:r>
        <w:rPr>
          <w:color w:val="3B383A"/>
          <w:w w:val="110"/>
        </w:rPr>
        <w:t>enth cen­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tury by Georges S</w:t>
      </w:r>
      <w:r>
        <w:rPr>
          <w:color w:val="545456"/>
          <w:w w:val="105"/>
        </w:rPr>
        <w:t>e</w:t>
      </w:r>
      <w:r>
        <w:rPr>
          <w:color w:val="3B383A"/>
          <w:w w:val="105"/>
        </w:rPr>
        <w:t>urat. Instead of mixing red and  blue paint on his palette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to make purple paint, he painted red dots next to blue dots and allowed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the  viewer's eye to  "mix" the color. Legal writers can  practice pointillism</w:t>
      </w:r>
      <w:r>
        <w:rPr>
          <w:color w:val="3B383A"/>
          <w:spacing w:val="1"/>
          <w:w w:val="105"/>
        </w:rPr>
        <w:t> </w:t>
      </w:r>
      <w:r>
        <w:rPr>
          <w:color w:val="2B282A"/>
          <w:w w:val="110"/>
        </w:rPr>
        <w:t>to </w:t>
      </w:r>
      <w:r>
        <w:rPr>
          <w:color w:val="3B383A"/>
          <w:w w:val="110"/>
        </w:rPr>
        <w:t>try to control the way the reader sees information in the fact state</w:t>
      </w:r>
      <w:r>
        <w:rPr>
          <w:color w:val="545456"/>
          <w:w w:val="110"/>
        </w:rPr>
        <w:t>­</w:t>
      </w:r>
      <w:r>
        <w:rPr>
          <w:color w:val="545456"/>
          <w:spacing w:val="1"/>
          <w:w w:val="110"/>
        </w:rPr>
        <w:t> </w:t>
      </w:r>
      <w:r>
        <w:rPr>
          <w:color w:val="3B383A"/>
          <w:w w:val="105"/>
        </w:rPr>
        <w:t>ment. </w:t>
      </w:r>
      <w:r>
        <w:rPr>
          <w:color w:val="2B282A"/>
          <w:w w:val="105"/>
        </w:rPr>
        <w:t>If </w:t>
      </w:r>
      <w:r>
        <w:rPr>
          <w:color w:val="3B383A"/>
          <w:w w:val="105"/>
        </w:rPr>
        <w:t>you put certain facts next to certain other facts, the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reader's brain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may "mix" the information to draw the conclusion that you want. When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making your list of facts, try to identify facts that can be paired</w:t>
      </w:r>
      <w:r>
        <w:rPr>
          <w:color w:val="545456"/>
          <w:w w:val="110"/>
        </w:rPr>
        <w:t>, </w:t>
      </w:r>
      <w:r>
        <w:rPr>
          <w:color w:val="3B383A"/>
          <w:w w:val="110"/>
        </w:rPr>
        <w:t>either to</w:t>
      </w:r>
      <w:r>
        <w:rPr>
          <w:color w:val="3B383A"/>
          <w:spacing w:val="1"/>
          <w:w w:val="110"/>
        </w:rPr>
        <w:t> </w:t>
      </w:r>
      <w:r>
        <w:rPr>
          <w:color w:val="2B282A"/>
          <w:w w:val="110"/>
        </w:rPr>
        <w:t>lead the </w:t>
      </w:r>
      <w:r>
        <w:rPr>
          <w:color w:val="3B383A"/>
          <w:w w:val="110"/>
        </w:rPr>
        <w:t>reader to draw a good conclusion or to prevent </w:t>
      </w:r>
      <w:r>
        <w:rPr>
          <w:color w:val="545456"/>
          <w:w w:val="110"/>
        </w:rPr>
        <w:t>t</w:t>
      </w:r>
      <w:r>
        <w:rPr>
          <w:color w:val="3B383A"/>
          <w:w w:val="110"/>
        </w:rPr>
        <w:t>he reader from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drawing a bad one. For bad facts, use </w:t>
      </w:r>
      <w:r>
        <w:rPr>
          <w:color w:val="2B282A"/>
          <w:w w:val="105"/>
        </w:rPr>
        <w:t>the </w:t>
      </w:r>
      <w:r>
        <w:rPr>
          <w:color w:val="3B383A"/>
          <w:w w:val="105"/>
        </w:rPr>
        <w:t>"buddy system": Make sure that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every bad fact that is </w:t>
      </w:r>
      <w:r>
        <w:rPr>
          <w:color w:val="2B282A"/>
          <w:w w:val="110"/>
        </w:rPr>
        <w:t>included </w:t>
      </w:r>
      <w:r>
        <w:rPr>
          <w:color w:val="3B383A"/>
          <w:w w:val="110"/>
        </w:rPr>
        <w:t>in the statement is paired with a good fact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that explains (or </w:t>
      </w:r>
      <w:r>
        <w:rPr>
          <w:color w:val="2B282A"/>
          <w:w w:val="105"/>
        </w:rPr>
        <w:t>neutralizes) </w:t>
      </w:r>
      <w:r>
        <w:rPr>
          <w:color w:val="3B383A"/>
          <w:w w:val="105"/>
        </w:rPr>
        <w:t>its presence. Certain negative facts will </w:t>
      </w:r>
      <w:r>
        <w:rPr>
          <w:color w:val="2B282A"/>
          <w:w w:val="105"/>
        </w:rPr>
        <w:t>look</w:t>
      </w:r>
      <w:r>
        <w:rPr>
          <w:color w:val="2B282A"/>
          <w:spacing w:val="1"/>
          <w:w w:val="105"/>
        </w:rPr>
        <w:t> </w:t>
      </w:r>
      <w:r>
        <w:rPr>
          <w:color w:val="3B383A"/>
          <w:spacing w:val="-1"/>
          <w:w w:val="110"/>
        </w:rPr>
        <w:t>better if </w:t>
      </w:r>
      <w:r>
        <w:rPr>
          <w:color w:val="3B383A"/>
          <w:w w:val="110"/>
        </w:rPr>
        <w:t>they are juxtaposed with a good fact, or even a neutral fact that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readers can use to explain to themselves why the negative fact occurred or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why</w:t>
      </w:r>
      <w:r>
        <w:rPr>
          <w:color w:val="3B383A"/>
          <w:spacing w:val="11"/>
          <w:w w:val="105"/>
        </w:rPr>
        <w:t> </w:t>
      </w:r>
      <w:r>
        <w:rPr>
          <w:color w:val="3B383A"/>
          <w:w w:val="105"/>
        </w:rPr>
        <w:t>it</w:t>
      </w:r>
      <w:r>
        <w:rPr>
          <w:color w:val="3B383A"/>
          <w:spacing w:val="20"/>
          <w:w w:val="105"/>
        </w:rPr>
        <w:t> </w:t>
      </w:r>
      <w:r>
        <w:rPr>
          <w:color w:val="2B282A"/>
          <w:w w:val="105"/>
        </w:rPr>
        <w:t>is</w:t>
      </w:r>
      <w:r>
        <w:rPr>
          <w:color w:val="2B282A"/>
          <w:spacing w:val="15"/>
          <w:w w:val="105"/>
        </w:rPr>
        <w:t> </w:t>
      </w:r>
      <w:r>
        <w:rPr>
          <w:color w:val="2B282A"/>
          <w:w w:val="105"/>
        </w:rPr>
        <w:t>not</w:t>
      </w:r>
      <w:r>
        <w:rPr>
          <w:color w:val="2B282A"/>
          <w:spacing w:val="44"/>
          <w:w w:val="105"/>
        </w:rPr>
        <w:t> </w:t>
      </w:r>
      <w:r>
        <w:rPr>
          <w:color w:val="3B383A"/>
          <w:w w:val="105"/>
        </w:rPr>
        <w:t>significant.</w:t>
      </w:r>
      <w:r>
        <w:rPr>
          <w:color w:val="3B383A"/>
          <w:spacing w:val="36"/>
          <w:w w:val="105"/>
        </w:rPr>
        <w:t> </w:t>
      </w:r>
      <w:r>
        <w:rPr>
          <w:color w:val="3B383A"/>
          <w:w w:val="105"/>
        </w:rPr>
        <w:t>For</w:t>
      </w:r>
      <w:r>
        <w:rPr>
          <w:color w:val="3B383A"/>
          <w:spacing w:val="-1"/>
          <w:w w:val="105"/>
        </w:rPr>
        <w:t> </w:t>
      </w:r>
      <w:r>
        <w:rPr>
          <w:color w:val="3B383A"/>
          <w:w w:val="105"/>
        </w:rPr>
        <w:t>example,</w:t>
      </w:r>
      <w:r>
        <w:rPr>
          <w:color w:val="3B383A"/>
          <w:spacing w:val="17"/>
          <w:w w:val="105"/>
        </w:rPr>
        <w:t> </w:t>
      </w:r>
      <w:r>
        <w:rPr>
          <w:color w:val="3B383A"/>
          <w:w w:val="105"/>
        </w:rPr>
        <w:t>in</w:t>
      </w:r>
      <w:r>
        <w:rPr>
          <w:color w:val="3B383A"/>
          <w:spacing w:val="49"/>
          <w:w w:val="105"/>
        </w:rPr>
        <w:t> </w:t>
      </w:r>
      <w:r>
        <w:rPr>
          <w:color w:val="3B383A"/>
          <w:w w:val="105"/>
        </w:rPr>
        <w:t>the</w:t>
      </w:r>
      <w:r>
        <w:rPr>
          <w:color w:val="3B383A"/>
          <w:spacing w:val="40"/>
          <w:w w:val="105"/>
        </w:rPr>
        <w:t> </w:t>
      </w:r>
      <w:r>
        <w:rPr>
          <w:color w:val="3B383A"/>
          <w:w w:val="105"/>
        </w:rPr>
        <w:t>case</w:t>
      </w:r>
      <w:r>
        <w:rPr>
          <w:color w:val="3B383A"/>
          <w:spacing w:val="3"/>
          <w:w w:val="105"/>
        </w:rPr>
        <w:t> </w:t>
      </w:r>
      <w:r>
        <w:rPr>
          <w:color w:val="3B383A"/>
          <w:w w:val="105"/>
        </w:rPr>
        <w:t>of</w:t>
      </w:r>
      <w:r>
        <w:rPr>
          <w:color w:val="3B383A"/>
          <w:spacing w:val="21"/>
          <w:w w:val="105"/>
        </w:rPr>
        <w:t> </w:t>
      </w:r>
      <w:r>
        <w:rPr>
          <w:rFonts w:ascii="Arial" w:hAnsi="Arial"/>
          <w:i/>
          <w:color w:val="3B383A"/>
          <w:w w:val="105"/>
          <w:sz w:val="21"/>
        </w:rPr>
        <w:t>Miller</w:t>
      </w:r>
      <w:r>
        <w:rPr>
          <w:rFonts w:ascii="Arial" w:hAnsi="Arial"/>
          <w:i/>
          <w:color w:val="3B383A"/>
          <w:spacing w:val="15"/>
          <w:w w:val="105"/>
          <w:sz w:val="21"/>
        </w:rPr>
        <w:t> </w:t>
      </w:r>
      <w:r>
        <w:rPr>
          <w:rFonts w:ascii="Arial" w:hAnsi="Arial"/>
          <w:i/>
          <w:color w:val="3B383A"/>
          <w:w w:val="105"/>
          <w:sz w:val="21"/>
        </w:rPr>
        <w:t>v.</w:t>
      </w:r>
      <w:r>
        <w:rPr>
          <w:rFonts w:ascii="Arial" w:hAnsi="Arial"/>
          <w:i/>
          <w:color w:val="3B383A"/>
          <w:spacing w:val="-14"/>
          <w:w w:val="105"/>
          <w:sz w:val="21"/>
        </w:rPr>
        <w:t> </w:t>
      </w:r>
      <w:r>
        <w:rPr>
          <w:rFonts w:ascii="Arial" w:hAnsi="Arial"/>
          <w:i/>
          <w:color w:val="3B383A"/>
          <w:w w:val="105"/>
          <w:sz w:val="21"/>
        </w:rPr>
        <w:t>Albright,</w:t>
      </w:r>
      <w:r>
        <w:rPr>
          <w:rFonts w:ascii="Arial" w:hAnsi="Arial"/>
          <w:i/>
          <w:color w:val="3B383A"/>
          <w:spacing w:val="-11"/>
          <w:w w:val="105"/>
          <w:sz w:val="21"/>
        </w:rPr>
        <w:t> </w:t>
      </w:r>
      <w:r>
        <w:rPr>
          <w:color w:val="3B383A"/>
          <w:w w:val="105"/>
        </w:rPr>
        <w:t>523</w:t>
      </w:r>
    </w:p>
    <w:p>
      <w:pPr>
        <w:pStyle w:val="BodyText"/>
        <w:spacing w:line="235" w:lineRule="auto" w:before="14"/>
        <w:ind w:left="639" w:right="136" w:firstLine="54"/>
        <w:jc w:val="both"/>
      </w:pPr>
      <w:r>
        <w:rPr>
          <w:color w:val="3B383A"/>
          <w:w w:val="105"/>
        </w:rPr>
        <w:t>U.S. 420 (1998), Ms. Miller, who  was born 'in the  Philippines</w:t>
      </w:r>
      <w:r>
        <w:rPr>
          <w:color w:val="545456"/>
          <w:w w:val="105"/>
        </w:rPr>
        <w:t>, </w:t>
      </w:r>
      <w:r>
        <w:rPr>
          <w:color w:val="3B383A"/>
          <w:w w:val="105"/>
        </w:rPr>
        <w:t>was trying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to establish United States citizenship through her relationship </w:t>
      </w:r>
      <w:r>
        <w:rPr>
          <w:i/>
          <w:color w:val="3B383A"/>
          <w:w w:val="110"/>
        </w:rPr>
        <w:t>with </w:t>
      </w:r>
      <w:r>
        <w:rPr>
          <w:color w:val="3B383A"/>
          <w:w w:val="110"/>
        </w:rPr>
        <w:t>her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father,</w:t>
      </w:r>
      <w:r>
        <w:rPr>
          <w:color w:val="3B383A"/>
          <w:spacing w:val="-12"/>
          <w:w w:val="110"/>
        </w:rPr>
        <w:t> </w:t>
      </w:r>
      <w:r>
        <w:rPr>
          <w:color w:val="3B383A"/>
          <w:w w:val="110"/>
        </w:rPr>
        <w:t>a</w:t>
      </w:r>
      <w:r>
        <w:rPr>
          <w:color w:val="3B383A"/>
          <w:spacing w:val="3"/>
          <w:w w:val="110"/>
        </w:rPr>
        <w:t> </w:t>
      </w:r>
      <w:r>
        <w:rPr>
          <w:color w:val="3B383A"/>
          <w:w w:val="110"/>
        </w:rPr>
        <w:t>United</w:t>
      </w:r>
      <w:r>
        <w:rPr>
          <w:color w:val="3B383A"/>
          <w:spacing w:val="-15"/>
          <w:w w:val="110"/>
        </w:rPr>
        <w:t> </w:t>
      </w:r>
      <w:r>
        <w:rPr>
          <w:color w:val="3B383A"/>
          <w:w w:val="110"/>
        </w:rPr>
        <w:t>States</w:t>
      </w:r>
      <w:r>
        <w:rPr>
          <w:color w:val="3B383A"/>
          <w:spacing w:val="-16"/>
          <w:w w:val="110"/>
        </w:rPr>
        <w:t> </w:t>
      </w:r>
      <w:r>
        <w:rPr>
          <w:i/>
          <w:color w:val="3B383A"/>
          <w:w w:val="110"/>
        </w:rPr>
        <w:t>citizen.</w:t>
      </w:r>
      <w:r>
        <w:rPr>
          <w:i/>
          <w:color w:val="3B383A"/>
          <w:spacing w:val="-34"/>
          <w:w w:val="110"/>
        </w:rPr>
        <w:t> </w:t>
      </w:r>
      <w:r>
        <w:rPr>
          <w:color w:val="3B383A"/>
          <w:w w:val="110"/>
        </w:rPr>
        <w:t>One</w:t>
      </w:r>
      <w:r>
        <w:rPr>
          <w:color w:val="3B383A"/>
          <w:spacing w:val="-22"/>
          <w:w w:val="110"/>
        </w:rPr>
        <w:t> </w:t>
      </w:r>
      <w:r>
        <w:rPr>
          <w:color w:val="3B383A"/>
          <w:w w:val="110"/>
        </w:rPr>
        <w:t>reason</w:t>
      </w:r>
      <w:r>
        <w:rPr>
          <w:color w:val="3B383A"/>
          <w:spacing w:val="12"/>
          <w:w w:val="110"/>
        </w:rPr>
        <w:t> </w:t>
      </w:r>
      <w:r>
        <w:rPr>
          <w:color w:val="3B383A"/>
          <w:w w:val="110"/>
        </w:rPr>
        <w:t>that</w:t>
      </w:r>
      <w:r>
        <w:rPr>
          <w:color w:val="3B383A"/>
          <w:spacing w:val="-3"/>
          <w:w w:val="110"/>
        </w:rPr>
        <w:t> </w:t>
      </w:r>
      <w:r>
        <w:rPr>
          <w:color w:val="3B383A"/>
          <w:w w:val="110"/>
        </w:rPr>
        <w:t>had</w:t>
      </w:r>
      <w:r>
        <w:rPr>
          <w:color w:val="3B383A"/>
          <w:spacing w:val="-17"/>
          <w:w w:val="110"/>
        </w:rPr>
        <w:t> </w:t>
      </w:r>
      <w:r>
        <w:rPr>
          <w:color w:val="3B383A"/>
          <w:w w:val="110"/>
        </w:rPr>
        <w:t>been</w:t>
      </w:r>
      <w:r>
        <w:rPr>
          <w:color w:val="3B383A"/>
          <w:spacing w:val="-11"/>
          <w:w w:val="110"/>
        </w:rPr>
        <w:t> </w:t>
      </w:r>
      <w:r>
        <w:rPr>
          <w:color w:val="3B383A"/>
          <w:w w:val="110"/>
        </w:rPr>
        <w:t>given</w:t>
      </w:r>
      <w:r>
        <w:rPr>
          <w:color w:val="3B383A"/>
          <w:spacing w:val="-3"/>
          <w:w w:val="110"/>
        </w:rPr>
        <w:t> </w:t>
      </w:r>
      <w:r>
        <w:rPr>
          <w:color w:val="3B383A"/>
          <w:w w:val="110"/>
        </w:rPr>
        <w:t>for</w:t>
      </w:r>
      <w:r>
        <w:rPr>
          <w:color w:val="3B383A"/>
          <w:spacing w:val="-8"/>
          <w:w w:val="110"/>
        </w:rPr>
        <w:t> </w:t>
      </w:r>
      <w:r>
        <w:rPr>
          <w:color w:val="3B383A"/>
          <w:w w:val="110"/>
        </w:rPr>
        <w:t>limiting</w:t>
      </w:r>
      <w:r>
        <w:rPr>
          <w:color w:val="3B383A"/>
          <w:spacing w:val="1"/>
          <w:w w:val="110"/>
        </w:rPr>
        <w:t> </w:t>
      </w:r>
      <w:r>
        <w:rPr>
          <w:color w:val="3B383A"/>
          <w:spacing w:val="-1"/>
          <w:w w:val="110"/>
        </w:rPr>
        <w:t>the ability to establish citizenship </w:t>
      </w:r>
      <w:r>
        <w:rPr>
          <w:color w:val="3B383A"/>
          <w:w w:val="110"/>
        </w:rPr>
        <w:t>in this way was the prevention of fraud.</w:t>
      </w:r>
      <w:r>
        <w:rPr>
          <w:color w:val="3B383A"/>
          <w:spacing w:val="-61"/>
          <w:w w:val="110"/>
        </w:rPr>
        <w:t> </w:t>
      </w:r>
      <w:r>
        <w:rPr>
          <w:color w:val="3B383A"/>
          <w:w w:val="105"/>
        </w:rPr>
        <w:t>Ms. Miller's father had not been listed on her birth certificate, a "bad fact"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that needed to be addressed</w:t>
      </w:r>
      <w:r>
        <w:rPr>
          <w:color w:val="545456"/>
          <w:w w:val="110"/>
        </w:rPr>
        <w:t>. </w:t>
      </w:r>
      <w:r>
        <w:rPr>
          <w:color w:val="3B383A"/>
          <w:w w:val="110"/>
        </w:rPr>
        <w:t>One writer tried to put that fact into a good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context</w:t>
      </w:r>
      <w:r>
        <w:rPr>
          <w:color w:val="3B383A"/>
          <w:spacing w:val="-10"/>
          <w:w w:val="110"/>
        </w:rPr>
        <w:t> </w:t>
      </w:r>
      <w:r>
        <w:rPr>
          <w:color w:val="3B383A"/>
          <w:w w:val="110"/>
        </w:rPr>
        <w:t>in</w:t>
      </w:r>
      <w:r>
        <w:rPr>
          <w:color w:val="3B383A"/>
          <w:spacing w:val="17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7"/>
          <w:w w:val="110"/>
        </w:rPr>
        <w:t> </w:t>
      </w:r>
      <w:r>
        <w:rPr>
          <w:color w:val="3B383A"/>
          <w:w w:val="110"/>
        </w:rPr>
        <w:t>following</w:t>
      </w:r>
      <w:r>
        <w:rPr>
          <w:color w:val="3B383A"/>
          <w:spacing w:val="-4"/>
          <w:w w:val="110"/>
        </w:rPr>
        <w:t> </w:t>
      </w:r>
      <w:r>
        <w:rPr>
          <w:color w:val="3B383A"/>
          <w:w w:val="110"/>
        </w:rPr>
        <w:t>way:</w:t>
      </w:r>
    </w:p>
    <w:p>
      <w:pPr>
        <w:spacing w:before="221"/>
        <w:ind w:left="620" w:right="0" w:firstLine="0"/>
        <w:jc w:val="both"/>
        <w:rPr>
          <w:rFonts w:ascii="Arial"/>
          <w:sz w:val="14"/>
        </w:rPr>
      </w:pPr>
      <w:r>
        <w:rPr>
          <w:rFonts w:ascii="Arial"/>
          <w:color w:val="727275"/>
          <w:w w:val="110"/>
          <w:sz w:val="14"/>
        </w:rPr>
        <w:t>_/\  </w:t>
      </w:r>
      <w:r>
        <w:rPr>
          <w:rFonts w:ascii="Arial"/>
          <w:color w:val="727275"/>
          <w:spacing w:val="19"/>
          <w:w w:val="110"/>
          <w:sz w:val="14"/>
        </w:rPr>
        <w:t> </w:t>
      </w:r>
      <w:r>
        <w:rPr>
          <w:rFonts w:ascii="Arial"/>
          <w:color w:val="545456"/>
          <w:w w:val="110"/>
          <w:sz w:val="14"/>
          <w:u w:val="thick" w:color="545456"/>
        </w:rPr>
        <w:t>GOOD</w:t>
      </w:r>
      <w:r>
        <w:rPr>
          <w:rFonts w:ascii="Arial"/>
          <w:color w:val="545456"/>
          <w:spacing w:val="-1"/>
          <w:w w:val="110"/>
          <w:sz w:val="14"/>
          <w:u w:val="thick" w:color="545456"/>
        </w:rPr>
        <w:t> </w:t>
      </w:r>
      <w:r>
        <w:rPr>
          <w:rFonts w:ascii="Arial"/>
          <w:color w:val="3B383A"/>
          <w:w w:val="110"/>
          <w:sz w:val="14"/>
          <w:u w:val="thick" w:color="545456"/>
        </w:rPr>
        <w:t>E</w:t>
      </w:r>
      <w:r>
        <w:rPr>
          <w:rFonts w:ascii="Arial"/>
          <w:color w:val="545456"/>
          <w:w w:val="110"/>
          <w:sz w:val="14"/>
          <w:u w:val="thick" w:color="545456"/>
        </w:rPr>
        <w:t>XAMP</w:t>
      </w:r>
      <w:r>
        <w:rPr>
          <w:rFonts w:ascii="Arial"/>
          <w:color w:val="3B383A"/>
          <w:w w:val="110"/>
          <w:sz w:val="14"/>
          <w:u w:val="thick" w:color="545456"/>
        </w:rPr>
        <w:t>L</w:t>
      </w:r>
      <w:r>
        <w:rPr>
          <w:rFonts w:ascii="Arial"/>
          <w:color w:val="545456"/>
          <w:w w:val="110"/>
          <w:sz w:val="14"/>
          <w:u w:val="thick" w:color="545456"/>
        </w:rPr>
        <w:t>E</w:t>
      </w:r>
    </w:p>
    <w:p>
      <w:pPr>
        <w:spacing w:line="242" w:lineRule="auto" w:before="82"/>
        <w:ind w:left="959" w:right="473" w:firstLine="32"/>
        <w:jc w:val="both"/>
        <w:rPr>
          <w:sz w:val="20"/>
        </w:rPr>
      </w:pPr>
      <w:r>
        <w:rPr>
          <w:color w:val="3B383A"/>
          <w:w w:val="115"/>
          <w:sz w:val="20"/>
        </w:rPr>
        <w:t>Ms</w:t>
      </w:r>
      <w:r>
        <w:rPr>
          <w:color w:val="545456"/>
          <w:w w:val="115"/>
          <w:sz w:val="20"/>
        </w:rPr>
        <w:t>. </w:t>
      </w:r>
      <w:r>
        <w:rPr>
          <w:b/>
          <w:color w:val="3B383A"/>
          <w:w w:val="115"/>
          <w:sz w:val="21"/>
        </w:rPr>
        <w:t>MiJJer </w:t>
      </w:r>
      <w:r>
        <w:rPr>
          <w:color w:val="3B383A"/>
          <w:w w:val="115"/>
          <w:sz w:val="20"/>
        </w:rPr>
        <w:t>was</w:t>
      </w:r>
      <w:r>
        <w:rPr>
          <w:color w:val="3B383A"/>
          <w:spacing w:val="1"/>
          <w:w w:val="115"/>
          <w:sz w:val="20"/>
        </w:rPr>
        <w:t> </w:t>
      </w:r>
      <w:r>
        <w:rPr>
          <w:color w:val="3B383A"/>
          <w:w w:val="115"/>
          <w:sz w:val="20"/>
        </w:rPr>
        <w:t>born in the </w:t>
      </w:r>
      <w:r>
        <w:rPr>
          <w:color w:val="2B282A"/>
          <w:w w:val="115"/>
          <w:sz w:val="20"/>
        </w:rPr>
        <w:t>Philippines </w:t>
      </w:r>
      <w:r>
        <w:rPr>
          <w:color w:val="3B383A"/>
          <w:w w:val="115"/>
          <w:sz w:val="20"/>
        </w:rPr>
        <w:t>on June 20, 1970. </w:t>
      </w:r>
      <w:r>
        <w:rPr>
          <w:rFonts w:ascii="Arial" w:hAnsi="Arial"/>
          <w:i/>
          <w:color w:val="3B383A"/>
          <w:w w:val="115"/>
          <w:sz w:val="20"/>
        </w:rPr>
        <w:t>App. </w:t>
      </w:r>
      <w:r>
        <w:rPr>
          <w:color w:val="3B383A"/>
          <w:w w:val="115"/>
          <w:sz w:val="20"/>
        </w:rPr>
        <w:t>15.</w:t>
      </w:r>
      <w:r>
        <w:rPr>
          <w:color w:val="3B383A"/>
          <w:spacing w:val="1"/>
          <w:w w:val="115"/>
          <w:sz w:val="20"/>
        </w:rPr>
        <w:t> </w:t>
      </w:r>
      <w:r>
        <w:rPr>
          <w:color w:val="3B383A"/>
          <w:w w:val="120"/>
          <w:sz w:val="20"/>
        </w:rPr>
        <w:t>Although her birth record did not include h</w:t>
      </w:r>
      <w:r>
        <w:rPr>
          <w:color w:val="545456"/>
          <w:w w:val="120"/>
          <w:sz w:val="20"/>
        </w:rPr>
        <w:t>e</w:t>
      </w:r>
      <w:r>
        <w:rPr>
          <w:color w:val="3B383A"/>
          <w:w w:val="120"/>
          <w:sz w:val="20"/>
        </w:rPr>
        <w:t>r father's name, a volun­</w:t>
      </w:r>
      <w:r>
        <w:rPr>
          <w:color w:val="3B383A"/>
          <w:spacing w:val="1"/>
          <w:w w:val="120"/>
          <w:sz w:val="20"/>
        </w:rPr>
        <w:t> </w:t>
      </w:r>
      <w:r>
        <w:rPr>
          <w:color w:val="3B383A"/>
          <w:w w:val="120"/>
          <w:sz w:val="20"/>
        </w:rPr>
        <w:t>tary paternity decree issued on </w:t>
      </w:r>
      <w:r>
        <w:rPr>
          <w:color w:val="2B282A"/>
          <w:w w:val="120"/>
          <w:sz w:val="20"/>
        </w:rPr>
        <w:t>July </w:t>
      </w:r>
      <w:r>
        <w:rPr>
          <w:color w:val="3B383A"/>
          <w:w w:val="120"/>
          <w:sz w:val="20"/>
        </w:rPr>
        <w:t>27, </w:t>
      </w:r>
      <w:r>
        <w:rPr>
          <w:color w:val="2B282A"/>
          <w:w w:val="120"/>
          <w:sz w:val="20"/>
        </w:rPr>
        <w:t>1992</w:t>
      </w:r>
      <w:r>
        <w:rPr>
          <w:color w:val="545456"/>
          <w:w w:val="120"/>
          <w:sz w:val="20"/>
        </w:rPr>
        <w:t>, </w:t>
      </w:r>
      <w:r>
        <w:rPr>
          <w:color w:val="3B383A"/>
          <w:w w:val="120"/>
          <w:sz w:val="20"/>
        </w:rPr>
        <w:t>by a Texas state court</w:t>
      </w:r>
      <w:r>
        <w:rPr>
          <w:color w:val="3B383A"/>
          <w:spacing w:val="1"/>
          <w:w w:val="120"/>
          <w:sz w:val="20"/>
        </w:rPr>
        <w:t> </w:t>
      </w:r>
      <w:r>
        <w:rPr>
          <w:color w:val="3B383A"/>
          <w:w w:val="115"/>
          <w:sz w:val="20"/>
        </w:rPr>
        <w:t>established Charlie R. Miller, a United States citizen, a</w:t>
      </w:r>
      <w:r>
        <w:rPr>
          <w:color w:val="545456"/>
          <w:w w:val="115"/>
          <w:sz w:val="20"/>
        </w:rPr>
        <w:t>s </w:t>
      </w:r>
      <w:r>
        <w:rPr>
          <w:color w:val="2B282A"/>
          <w:w w:val="115"/>
          <w:sz w:val="20"/>
        </w:rPr>
        <w:t>her</w:t>
      </w:r>
      <w:r>
        <w:rPr>
          <w:color w:val="2B282A"/>
          <w:spacing w:val="1"/>
          <w:w w:val="115"/>
          <w:sz w:val="20"/>
        </w:rPr>
        <w:t> </w:t>
      </w:r>
      <w:r>
        <w:rPr>
          <w:color w:val="3B383A"/>
          <w:w w:val="115"/>
          <w:sz w:val="20"/>
        </w:rPr>
        <w:t>biological</w:t>
      </w:r>
      <w:r>
        <w:rPr>
          <w:color w:val="3B383A"/>
          <w:spacing w:val="1"/>
          <w:w w:val="115"/>
          <w:sz w:val="20"/>
        </w:rPr>
        <w:t> </w:t>
      </w:r>
      <w:r>
        <w:rPr>
          <w:b/>
          <w:color w:val="3B383A"/>
          <w:w w:val="120"/>
          <w:sz w:val="20"/>
        </w:rPr>
        <w:t>father.</w:t>
      </w:r>
      <w:r>
        <w:rPr>
          <w:b/>
          <w:color w:val="3B383A"/>
          <w:spacing w:val="-10"/>
          <w:w w:val="120"/>
          <w:sz w:val="20"/>
        </w:rPr>
        <w:t> </w:t>
      </w:r>
      <w:r>
        <w:rPr>
          <w:b/>
          <w:color w:val="3B383A"/>
          <w:w w:val="120"/>
          <w:sz w:val="20"/>
        </w:rPr>
        <w:t>Pet</w:t>
      </w:r>
      <w:r>
        <w:rPr>
          <w:b/>
          <w:color w:val="3B383A"/>
          <w:spacing w:val="-13"/>
          <w:w w:val="120"/>
          <w:sz w:val="20"/>
        </w:rPr>
        <w:t> </w:t>
      </w:r>
      <w:r>
        <w:rPr>
          <w:b/>
          <w:color w:val="3B383A"/>
          <w:w w:val="120"/>
          <w:sz w:val="20"/>
        </w:rPr>
        <w:t>App.</w:t>
      </w:r>
      <w:r>
        <w:rPr>
          <w:b/>
          <w:color w:val="3B383A"/>
          <w:spacing w:val="-14"/>
          <w:w w:val="120"/>
          <w:sz w:val="20"/>
        </w:rPr>
        <w:t> </w:t>
      </w:r>
      <w:r>
        <w:rPr>
          <w:color w:val="3B383A"/>
          <w:w w:val="120"/>
          <w:sz w:val="20"/>
        </w:rPr>
        <w:t>37.</w:t>
      </w:r>
    </w:p>
    <w:p>
      <w:pPr>
        <w:pStyle w:val="BodyText"/>
        <w:spacing w:line="232" w:lineRule="auto" w:before="145"/>
        <w:ind w:left="549" w:right="154" w:firstLine="23"/>
        <w:jc w:val="both"/>
      </w:pPr>
      <w:r>
        <w:rPr>
          <w:color w:val="3B383A"/>
          <w:w w:val="110"/>
        </w:rPr>
        <w:t>Thus,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reader</w:t>
      </w:r>
      <w:r>
        <w:rPr>
          <w:color w:val="3B383A"/>
          <w:spacing w:val="1"/>
          <w:w w:val="110"/>
        </w:rPr>
        <w:t> </w:t>
      </w:r>
      <w:r>
        <w:rPr>
          <w:color w:val="2B282A"/>
          <w:w w:val="110"/>
        </w:rPr>
        <w:t>learns </w:t>
      </w:r>
      <w:r>
        <w:rPr>
          <w:color w:val="3B383A"/>
          <w:w w:val="110"/>
        </w:rPr>
        <w:t>that even  though  the  father's name was not  on</w:t>
      </w:r>
      <w:r>
        <w:rPr>
          <w:color w:val="3B383A"/>
          <w:spacing w:val="1"/>
          <w:w w:val="110"/>
        </w:rPr>
        <w:t> </w:t>
      </w:r>
      <w:r>
        <w:rPr>
          <w:color w:val="3B383A"/>
          <w:spacing w:val="-1"/>
          <w:w w:val="110"/>
        </w:rPr>
        <w:t>the birth certificate, </w:t>
      </w:r>
      <w:r>
        <w:rPr>
          <w:color w:val="3B383A"/>
          <w:w w:val="110"/>
        </w:rPr>
        <w:t>he was willing to </w:t>
      </w:r>
      <w:r>
        <w:rPr>
          <w:color w:val="2B282A"/>
          <w:w w:val="110"/>
        </w:rPr>
        <w:t>have </w:t>
      </w:r>
      <w:r>
        <w:rPr>
          <w:color w:val="3B383A"/>
          <w:w w:val="110"/>
        </w:rPr>
        <w:t>paternity established by a vol­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untary paternity decree</w:t>
      </w:r>
      <w:r>
        <w:rPr>
          <w:color w:val="545456"/>
          <w:w w:val="110"/>
        </w:rPr>
        <w:t>. </w:t>
      </w:r>
      <w:r>
        <w:rPr>
          <w:color w:val="3B383A"/>
          <w:w w:val="110"/>
        </w:rPr>
        <w:t>This juxtaposition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would encourage readers to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conclude </w:t>
      </w:r>
      <w:r>
        <w:rPr>
          <w:color w:val="2B282A"/>
          <w:w w:val="110"/>
        </w:rPr>
        <w:t>that </w:t>
      </w:r>
      <w:r>
        <w:rPr>
          <w:color w:val="3B383A"/>
          <w:w w:val="110"/>
        </w:rPr>
        <w:t>their </w:t>
      </w:r>
      <w:r>
        <w:rPr>
          <w:color w:val="2B282A"/>
          <w:w w:val="110"/>
        </w:rPr>
        <w:t>relationship </w:t>
      </w:r>
      <w:r>
        <w:rPr>
          <w:color w:val="3B383A"/>
          <w:w w:val="110"/>
        </w:rPr>
        <w:t>was a legitimate one and  that fraud was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not</w:t>
      </w:r>
      <w:r>
        <w:rPr>
          <w:color w:val="3B383A"/>
          <w:spacing w:val="62"/>
          <w:w w:val="110"/>
        </w:rPr>
        <w:t> </w:t>
      </w:r>
      <w:r>
        <w:rPr>
          <w:color w:val="3B383A"/>
          <w:w w:val="110"/>
        </w:rPr>
        <w:t>an</w:t>
      </w:r>
      <w:r>
        <w:rPr>
          <w:color w:val="3B383A"/>
          <w:spacing w:val="58"/>
          <w:w w:val="110"/>
        </w:rPr>
        <w:t> </w:t>
      </w:r>
      <w:r>
        <w:rPr>
          <w:color w:val="3B383A"/>
          <w:w w:val="110"/>
        </w:rPr>
        <w:t>issue</w:t>
      </w:r>
      <w:r>
        <w:rPr>
          <w:color w:val="3B383A"/>
          <w:spacing w:val="-7"/>
          <w:w w:val="110"/>
        </w:rPr>
        <w:t> </w:t>
      </w:r>
      <w:r>
        <w:rPr>
          <w:color w:val="3B383A"/>
          <w:w w:val="110"/>
        </w:rPr>
        <w:t>here.</w:t>
      </w:r>
    </w:p>
    <w:p>
      <w:pPr>
        <w:pStyle w:val="BodyText"/>
        <w:spacing w:before="7"/>
        <w:rPr>
          <w:sz w:val="33"/>
        </w:rPr>
      </w:pPr>
    </w:p>
    <w:p>
      <w:pPr>
        <w:pStyle w:val="ListParagraph"/>
        <w:numPr>
          <w:ilvl w:val="0"/>
          <w:numId w:val="83"/>
        </w:numPr>
        <w:tabs>
          <w:tab w:pos="1264" w:val="left" w:leader="none"/>
        </w:tabs>
        <w:spacing w:line="232" w:lineRule="exact" w:before="0" w:after="0"/>
        <w:ind w:left="1263" w:right="0" w:hanging="383"/>
        <w:jc w:val="left"/>
        <w:rPr>
          <w:color w:val="545456"/>
          <w:sz w:val="21"/>
        </w:rPr>
      </w:pPr>
      <w:r>
        <w:rPr>
          <w:b/>
          <w:color w:val="545456"/>
          <w:w w:val="115"/>
          <w:sz w:val="21"/>
        </w:rPr>
        <w:t>S</w:t>
      </w:r>
      <w:r>
        <w:rPr>
          <w:b/>
          <w:color w:val="727275"/>
          <w:w w:val="115"/>
          <w:sz w:val="21"/>
        </w:rPr>
        <w:t>p-en</w:t>
      </w:r>
      <w:r>
        <w:rPr>
          <w:b/>
          <w:color w:val="545456"/>
          <w:w w:val="115"/>
          <w:sz w:val="21"/>
        </w:rPr>
        <w:t>ding</w:t>
      </w:r>
      <w:r>
        <w:rPr>
          <w:b/>
          <w:color w:val="545456"/>
          <w:spacing w:val="39"/>
          <w:w w:val="115"/>
          <w:sz w:val="21"/>
        </w:rPr>
        <w:t> </w:t>
      </w:r>
      <w:r>
        <w:rPr>
          <w:b/>
          <w:color w:val="545456"/>
          <w:w w:val="115"/>
          <w:sz w:val="21"/>
        </w:rPr>
        <w:t>the</w:t>
      </w:r>
      <w:r>
        <w:rPr>
          <w:b/>
          <w:color w:val="545456"/>
          <w:spacing w:val="53"/>
          <w:w w:val="115"/>
          <w:sz w:val="21"/>
        </w:rPr>
        <w:t> </w:t>
      </w:r>
      <w:r>
        <w:rPr>
          <w:b/>
          <w:color w:val="545456"/>
          <w:w w:val="115"/>
          <w:sz w:val="21"/>
        </w:rPr>
        <w:t>Rea</w:t>
      </w:r>
      <w:r>
        <w:rPr>
          <w:b/>
          <w:color w:val="3B383A"/>
          <w:w w:val="115"/>
          <w:sz w:val="21"/>
        </w:rPr>
        <w:t>d</w:t>
      </w:r>
      <w:r>
        <w:rPr>
          <w:b/>
          <w:color w:val="545456"/>
          <w:w w:val="115"/>
          <w:sz w:val="21"/>
        </w:rPr>
        <w:t>e</w:t>
      </w:r>
      <w:r>
        <w:rPr>
          <w:b/>
          <w:color w:val="3B383A"/>
          <w:w w:val="115"/>
          <w:sz w:val="21"/>
        </w:rPr>
        <w:t>r's</w:t>
      </w:r>
      <w:r>
        <w:rPr>
          <w:b/>
          <w:color w:val="3B383A"/>
          <w:spacing w:val="9"/>
          <w:w w:val="115"/>
          <w:sz w:val="21"/>
        </w:rPr>
        <w:t> </w:t>
      </w:r>
      <w:r>
        <w:rPr>
          <w:b/>
          <w:color w:val="3B383A"/>
          <w:w w:val="115"/>
          <w:sz w:val="21"/>
        </w:rPr>
        <w:t>Time,</w:t>
      </w:r>
      <w:r>
        <w:rPr>
          <w:b/>
          <w:color w:val="3B383A"/>
          <w:spacing w:val="-13"/>
          <w:w w:val="115"/>
          <w:sz w:val="21"/>
        </w:rPr>
        <w:t> </w:t>
      </w:r>
      <w:r>
        <w:rPr>
          <w:b/>
          <w:color w:val="3B383A"/>
          <w:w w:val="115"/>
          <w:sz w:val="21"/>
        </w:rPr>
        <w:t>Saving</w:t>
      </w:r>
      <w:r>
        <w:rPr>
          <w:b/>
          <w:color w:val="3B383A"/>
          <w:spacing w:val="-7"/>
          <w:w w:val="115"/>
          <w:sz w:val="21"/>
        </w:rPr>
        <w:t> </w:t>
      </w:r>
      <w:r>
        <w:rPr>
          <w:b/>
          <w:color w:val="3B383A"/>
          <w:w w:val="115"/>
          <w:sz w:val="21"/>
        </w:rPr>
        <w:t>the</w:t>
      </w:r>
      <w:r>
        <w:rPr>
          <w:b/>
          <w:color w:val="3B383A"/>
          <w:spacing w:val="18"/>
          <w:w w:val="115"/>
          <w:sz w:val="21"/>
        </w:rPr>
        <w:t> </w:t>
      </w:r>
      <w:r>
        <w:rPr>
          <w:b/>
          <w:color w:val="3B383A"/>
          <w:w w:val="115"/>
          <w:sz w:val="21"/>
        </w:rPr>
        <w:t>Reade</w:t>
      </w:r>
      <w:r>
        <w:rPr>
          <w:b/>
          <w:color w:val="545456"/>
          <w:w w:val="115"/>
          <w:sz w:val="21"/>
        </w:rPr>
        <w:t>r</w:t>
      </w:r>
      <w:r>
        <w:rPr>
          <w:b/>
          <w:color w:val="3B383A"/>
          <w:w w:val="115"/>
          <w:sz w:val="21"/>
        </w:rPr>
        <w:t>'s</w:t>
      </w:r>
      <w:r>
        <w:rPr>
          <w:b/>
          <w:color w:val="3B383A"/>
          <w:spacing w:val="21"/>
          <w:w w:val="115"/>
          <w:sz w:val="21"/>
        </w:rPr>
        <w:t> </w:t>
      </w:r>
      <w:r>
        <w:rPr>
          <w:b/>
          <w:color w:val="3B383A"/>
          <w:w w:val="115"/>
          <w:sz w:val="21"/>
        </w:rPr>
        <w:t>E</w:t>
      </w:r>
      <w:r>
        <w:rPr>
          <w:b/>
          <w:color w:val="545456"/>
          <w:w w:val="115"/>
          <w:sz w:val="21"/>
        </w:rPr>
        <w:t>n</w:t>
      </w:r>
      <w:r>
        <w:rPr>
          <w:b/>
          <w:color w:val="3B383A"/>
          <w:w w:val="115"/>
          <w:sz w:val="21"/>
        </w:rPr>
        <w:t>ergy</w:t>
      </w:r>
    </w:p>
    <w:p>
      <w:pPr>
        <w:pStyle w:val="BodyText"/>
        <w:spacing w:line="235" w:lineRule="auto"/>
        <w:ind w:left="494" w:firstLine="387"/>
      </w:pPr>
      <w:r>
        <w:rPr>
          <w:color w:val="3B383A"/>
          <w:w w:val="110"/>
        </w:rPr>
        <w:t>To</w:t>
      </w:r>
      <w:r>
        <w:rPr>
          <w:color w:val="3B383A"/>
          <w:spacing w:val="20"/>
          <w:w w:val="110"/>
        </w:rPr>
        <w:t> </w:t>
      </w:r>
      <w:r>
        <w:rPr>
          <w:color w:val="3B383A"/>
          <w:w w:val="110"/>
        </w:rPr>
        <w:t>make</w:t>
      </w:r>
      <w:r>
        <w:rPr>
          <w:color w:val="3B383A"/>
          <w:spacing w:val="17"/>
          <w:w w:val="110"/>
        </w:rPr>
        <w:t> </w:t>
      </w:r>
      <w:r>
        <w:rPr>
          <w:color w:val="3B383A"/>
          <w:w w:val="110"/>
        </w:rPr>
        <w:t>sure</w:t>
      </w:r>
      <w:r>
        <w:rPr>
          <w:color w:val="3B383A"/>
          <w:spacing w:val="32"/>
          <w:w w:val="110"/>
        </w:rPr>
        <w:t> </w:t>
      </w:r>
      <w:r>
        <w:rPr>
          <w:color w:val="3B383A"/>
          <w:w w:val="110"/>
        </w:rPr>
        <w:t>that</w:t>
      </w:r>
      <w:r>
        <w:rPr>
          <w:color w:val="3B383A"/>
          <w:spacing w:val="34"/>
          <w:w w:val="110"/>
        </w:rPr>
        <w:t> </w:t>
      </w:r>
      <w:r>
        <w:rPr>
          <w:color w:val="3B383A"/>
          <w:w w:val="110"/>
        </w:rPr>
        <w:t>your</w:t>
      </w:r>
      <w:r>
        <w:rPr>
          <w:color w:val="3B383A"/>
          <w:spacing w:val="36"/>
          <w:w w:val="110"/>
        </w:rPr>
        <w:t> </w:t>
      </w:r>
      <w:r>
        <w:rPr>
          <w:color w:val="3B383A"/>
          <w:w w:val="110"/>
        </w:rPr>
        <w:t>reader</w:t>
      </w:r>
      <w:r>
        <w:rPr>
          <w:color w:val="3B383A"/>
          <w:spacing w:val="41"/>
          <w:w w:val="110"/>
        </w:rPr>
        <w:t> </w:t>
      </w:r>
      <w:r>
        <w:rPr>
          <w:color w:val="3B383A"/>
          <w:w w:val="110"/>
        </w:rPr>
        <w:t>remembers</w:t>
      </w:r>
      <w:r>
        <w:rPr>
          <w:color w:val="3B383A"/>
          <w:spacing w:val="37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62"/>
          <w:w w:val="110"/>
        </w:rPr>
        <w:t> </w:t>
      </w:r>
      <w:r>
        <w:rPr>
          <w:color w:val="3B383A"/>
          <w:w w:val="110"/>
        </w:rPr>
        <w:t>positive</w:t>
      </w:r>
      <w:r>
        <w:rPr>
          <w:color w:val="3B383A"/>
          <w:spacing w:val="34"/>
          <w:w w:val="110"/>
        </w:rPr>
        <w:t> </w:t>
      </w:r>
      <w:r>
        <w:rPr>
          <w:color w:val="3B383A"/>
          <w:w w:val="110"/>
        </w:rPr>
        <w:t>facts</w:t>
      </w:r>
      <w:r>
        <w:rPr>
          <w:color w:val="3B383A"/>
          <w:spacing w:val="6"/>
          <w:w w:val="110"/>
        </w:rPr>
        <w:t> </w:t>
      </w:r>
      <w:r>
        <w:rPr>
          <w:color w:val="3B383A"/>
          <w:w w:val="110"/>
        </w:rPr>
        <w:t>in</w:t>
      </w:r>
      <w:r>
        <w:rPr>
          <w:color w:val="3B383A"/>
          <w:spacing w:val="47"/>
          <w:w w:val="110"/>
        </w:rPr>
        <w:t> </w:t>
      </w:r>
      <w:r>
        <w:rPr>
          <w:color w:val="3B383A"/>
          <w:w w:val="110"/>
        </w:rPr>
        <w:t>your</w:t>
      </w:r>
      <w:r>
        <w:rPr>
          <w:color w:val="3B383A"/>
          <w:spacing w:val="-60"/>
          <w:w w:val="110"/>
        </w:rPr>
        <w:t> </w:t>
      </w:r>
      <w:r>
        <w:rPr>
          <w:color w:val="3B383A"/>
          <w:w w:val="110"/>
        </w:rPr>
        <w:t>case,</w:t>
      </w:r>
      <w:r>
        <w:rPr>
          <w:color w:val="3B383A"/>
          <w:spacing w:val="43"/>
          <w:w w:val="110"/>
        </w:rPr>
        <w:t> </w:t>
      </w:r>
      <w:r>
        <w:rPr>
          <w:color w:val="3B383A"/>
          <w:w w:val="110"/>
        </w:rPr>
        <w:t>make</w:t>
      </w:r>
      <w:r>
        <w:rPr>
          <w:color w:val="3B383A"/>
          <w:spacing w:val="41"/>
          <w:w w:val="110"/>
        </w:rPr>
        <w:t> </w:t>
      </w:r>
      <w:r>
        <w:rPr>
          <w:color w:val="3B383A"/>
          <w:w w:val="110"/>
        </w:rPr>
        <w:t>him</w:t>
      </w:r>
      <w:r>
        <w:rPr>
          <w:color w:val="3B383A"/>
          <w:spacing w:val="50"/>
          <w:w w:val="110"/>
        </w:rPr>
        <w:t> </w:t>
      </w:r>
      <w:r>
        <w:rPr>
          <w:color w:val="3B383A"/>
          <w:w w:val="110"/>
        </w:rPr>
        <w:t>or</w:t>
      </w:r>
      <w:r>
        <w:rPr>
          <w:color w:val="3B383A"/>
          <w:spacing w:val="51"/>
          <w:w w:val="110"/>
        </w:rPr>
        <w:t> </w:t>
      </w:r>
      <w:r>
        <w:rPr>
          <w:color w:val="3B383A"/>
          <w:w w:val="110"/>
        </w:rPr>
        <w:t>her</w:t>
      </w:r>
      <w:r>
        <w:rPr>
          <w:color w:val="3B383A"/>
          <w:spacing w:val="32"/>
          <w:w w:val="110"/>
        </w:rPr>
        <w:t> </w:t>
      </w:r>
      <w:r>
        <w:rPr>
          <w:color w:val="3B383A"/>
          <w:w w:val="110"/>
        </w:rPr>
        <w:t>spend</w:t>
      </w:r>
      <w:r>
        <w:rPr>
          <w:color w:val="3B383A"/>
          <w:spacing w:val="49"/>
          <w:w w:val="110"/>
        </w:rPr>
        <w:t> </w:t>
      </w:r>
      <w:r>
        <w:rPr>
          <w:color w:val="3B383A"/>
          <w:w w:val="110"/>
        </w:rPr>
        <w:t>more</w:t>
      </w:r>
      <w:r>
        <w:rPr>
          <w:color w:val="3B383A"/>
          <w:spacing w:val="29"/>
          <w:w w:val="110"/>
        </w:rPr>
        <w:t> </w:t>
      </w:r>
      <w:r>
        <w:rPr>
          <w:color w:val="3B383A"/>
          <w:w w:val="110"/>
        </w:rPr>
        <w:t>time</w:t>
      </w:r>
      <w:r>
        <w:rPr>
          <w:color w:val="3B383A"/>
          <w:spacing w:val="21"/>
          <w:w w:val="110"/>
        </w:rPr>
        <w:t> </w:t>
      </w:r>
      <w:r>
        <w:rPr>
          <w:color w:val="3B383A"/>
          <w:w w:val="110"/>
        </w:rPr>
        <w:t>and</w:t>
      </w:r>
      <w:r>
        <w:rPr>
          <w:color w:val="3B383A"/>
          <w:spacing w:val="42"/>
          <w:w w:val="110"/>
        </w:rPr>
        <w:t> </w:t>
      </w:r>
      <w:r>
        <w:rPr>
          <w:color w:val="2B282A"/>
          <w:w w:val="110"/>
        </w:rPr>
        <w:t>less</w:t>
      </w:r>
      <w:r>
        <w:rPr>
          <w:color w:val="2B282A"/>
          <w:spacing w:val="18"/>
          <w:w w:val="110"/>
        </w:rPr>
        <w:t> </w:t>
      </w:r>
      <w:r>
        <w:rPr>
          <w:color w:val="3B383A"/>
          <w:w w:val="110"/>
        </w:rPr>
        <w:t>energy</w:t>
      </w:r>
      <w:r>
        <w:rPr>
          <w:color w:val="3B383A"/>
          <w:spacing w:val="22"/>
          <w:w w:val="110"/>
        </w:rPr>
        <w:t> </w:t>
      </w:r>
      <w:r>
        <w:rPr>
          <w:color w:val="3B383A"/>
          <w:w w:val="110"/>
        </w:rPr>
        <w:t>on</w:t>
      </w:r>
      <w:r>
        <w:rPr>
          <w:color w:val="3B383A"/>
          <w:spacing w:val="18"/>
          <w:w w:val="110"/>
        </w:rPr>
        <w:t> </w:t>
      </w:r>
      <w:r>
        <w:rPr>
          <w:color w:val="3B383A"/>
          <w:w w:val="110"/>
        </w:rPr>
        <w:t>them.</w:t>
      </w:r>
      <w:r>
        <w:rPr>
          <w:color w:val="3B383A"/>
          <w:spacing w:val="38"/>
          <w:w w:val="110"/>
        </w:rPr>
        <w:t> </w:t>
      </w:r>
      <w:r>
        <w:rPr>
          <w:color w:val="3B383A"/>
          <w:w w:val="110"/>
        </w:rPr>
        <w:t>Use</w:t>
      </w:r>
    </w:p>
    <w:p>
      <w:pPr>
        <w:spacing w:after="0" w:line="235" w:lineRule="auto"/>
        <w:sectPr>
          <w:headerReference w:type="even" r:id="rId238"/>
          <w:headerReference w:type="default" r:id="rId239"/>
          <w:pgSz w:w="9710" w:h="13960"/>
          <w:pgMar w:header="514" w:footer="0" w:top="1100" w:bottom="280" w:left="1340" w:right="140"/>
          <w:pgNumType w:start="21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32" w:lineRule="auto"/>
        <w:ind w:left="104" w:right="484" w:hanging="3"/>
        <w:jc w:val="both"/>
      </w:pPr>
      <w:r>
        <w:rPr>
          <w:color w:val="383638"/>
          <w:w w:val="115"/>
        </w:rPr>
        <w:t>several sentences to make a point instead of crowding the information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0"/>
        </w:rPr>
        <w:t>into one sentence?' Be as concrete as you can be when describing a posi­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tive fact so that the reader doesn't have to figure out what happened.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Conversely,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when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want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deemphasize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fact,</w:t>
      </w:r>
      <w:r>
        <w:rPr>
          <w:color w:val="383638"/>
          <w:spacing w:val="-25"/>
          <w:w w:val="110"/>
        </w:rPr>
        <w:t> </w:t>
      </w:r>
      <w:r>
        <w:rPr>
          <w:color w:val="383638"/>
          <w:w w:val="110"/>
        </w:rPr>
        <w:t>don't</w:t>
      </w:r>
      <w:r>
        <w:rPr>
          <w:color w:val="383638"/>
          <w:spacing w:val="-28"/>
          <w:w w:val="110"/>
        </w:rPr>
        <w:t> </w:t>
      </w:r>
      <w:r>
        <w:rPr>
          <w:color w:val="383638"/>
          <w:w w:val="110"/>
        </w:rPr>
        <w:t>spend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much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time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5"/>
        </w:rPr>
        <w:t>on it, don't go into a lot of detail, and don't use concrete language. For</w:t>
      </w:r>
      <w:r>
        <w:rPr>
          <w:color w:val="383638"/>
          <w:spacing w:val="-64"/>
          <w:w w:val="115"/>
        </w:rPr>
        <w:t> </w:t>
      </w:r>
      <w:r>
        <w:rPr>
          <w:color w:val="383638"/>
          <w:spacing w:val="-1"/>
          <w:w w:val="105"/>
        </w:rPr>
        <w:t>example, in </w:t>
      </w:r>
      <w:r>
        <w:rPr>
          <w:rFonts w:ascii="Arial" w:hAnsi="Arial"/>
          <w:i/>
          <w:color w:val="383638"/>
          <w:spacing w:val="-1"/>
          <w:w w:val="105"/>
          <w:sz w:val="21"/>
        </w:rPr>
        <w:t>City </w:t>
      </w:r>
      <w:r>
        <w:rPr>
          <w:i/>
          <w:color w:val="383638"/>
          <w:spacing w:val="-1"/>
          <w:w w:val="105"/>
        </w:rPr>
        <w:t>of </w:t>
      </w:r>
      <w:r>
        <w:rPr>
          <w:rFonts w:ascii="Arial" w:hAnsi="Arial"/>
          <w:i/>
          <w:color w:val="383638"/>
          <w:w w:val="105"/>
          <w:sz w:val="21"/>
        </w:rPr>
        <w:t>Indianapolis v. Edmond, </w:t>
      </w:r>
      <w:r>
        <w:rPr>
          <w:color w:val="383638"/>
          <w:w w:val="105"/>
        </w:rPr>
        <w:t>531 U.S. 32 (2000), a case about</w:t>
      </w:r>
      <w:r>
        <w:rPr>
          <w:color w:val="383638"/>
          <w:spacing w:val="-58"/>
          <w:w w:val="105"/>
        </w:rPr>
        <w:t> </w:t>
      </w:r>
      <w:r>
        <w:rPr>
          <w:color w:val="383638"/>
          <w:w w:val="110"/>
        </w:rPr>
        <w:t>the constitutionality of drug interdiction roadblocks, counsel for the city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of</w:t>
      </w:r>
      <w:r>
        <w:rPr>
          <w:color w:val="383638"/>
          <w:spacing w:val="6"/>
          <w:w w:val="105"/>
        </w:rPr>
        <w:t> </w:t>
      </w:r>
      <w:r>
        <w:rPr>
          <w:color w:val="383638"/>
          <w:w w:val="105"/>
        </w:rPr>
        <w:t>Indianapotis</w:t>
      </w:r>
      <w:r>
        <w:rPr>
          <w:color w:val="383638"/>
          <w:spacing w:val="9"/>
          <w:w w:val="105"/>
        </w:rPr>
        <w:t> </w:t>
      </w:r>
      <w:r>
        <w:rPr>
          <w:color w:val="383638"/>
          <w:w w:val="105"/>
        </w:rPr>
        <w:t>might</w:t>
      </w:r>
      <w:r>
        <w:rPr>
          <w:color w:val="383638"/>
          <w:spacing w:val="-4"/>
          <w:w w:val="105"/>
        </w:rPr>
        <w:t> </w:t>
      </w:r>
      <w:r>
        <w:rPr>
          <w:color w:val="383638"/>
          <w:w w:val="105"/>
        </w:rPr>
        <w:t>describe</w:t>
      </w:r>
      <w:r>
        <w:rPr>
          <w:color w:val="383638"/>
          <w:spacing w:val="8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46"/>
          <w:w w:val="105"/>
        </w:rPr>
        <w:t> </w:t>
      </w:r>
      <w:r>
        <w:rPr>
          <w:color w:val="383638"/>
          <w:w w:val="105"/>
        </w:rPr>
        <w:t>police</w:t>
      </w:r>
      <w:r>
        <w:rPr>
          <w:color w:val="383638"/>
          <w:spacing w:val="8"/>
          <w:w w:val="105"/>
        </w:rPr>
        <w:t> </w:t>
      </w:r>
      <w:r>
        <w:rPr>
          <w:color w:val="383638"/>
          <w:w w:val="105"/>
        </w:rPr>
        <w:t>procedure</w:t>
      </w:r>
      <w:r>
        <w:rPr>
          <w:color w:val="383638"/>
          <w:spacing w:val="8"/>
          <w:w w:val="105"/>
        </w:rPr>
        <w:t> </w:t>
      </w:r>
      <w:r>
        <w:rPr>
          <w:color w:val="383638"/>
          <w:w w:val="105"/>
        </w:rPr>
        <w:t>succinctly:</w:t>
      </w:r>
    </w:p>
    <w:p>
      <w:pPr>
        <w:spacing w:line="235" w:lineRule="auto" w:before="142"/>
        <w:ind w:left="427" w:right="813" w:hanging="4"/>
        <w:jc w:val="both"/>
        <w:rPr>
          <w:b/>
          <w:sz w:val="21"/>
        </w:rPr>
      </w:pPr>
      <w:r>
        <w:rPr>
          <w:b/>
          <w:color w:val="383638"/>
          <w:w w:val="110"/>
          <w:sz w:val="21"/>
        </w:rPr>
        <w:t>Traffic stops consist of two simple steps: Officers verify the driver's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05"/>
          <w:sz w:val="21"/>
        </w:rPr>
        <w:t>license and registration, and then conduct a quick walk-around of the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10"/>
          <w:sz w:val="21"/>
        </w:rPr>
        <w:t>car with a narcotics-sniffing dog. Record 57a. They conduct a more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thorough search </w:t>
      </w:r>
      <w:r>
        <w:rPr>
          <w:rFonts w:ascii="Arial"/>
          <w:b/>
          <w:i/>
          <w:color w:val="383638"/>
          <w:w w:val="110"/>
          <w:sz w:val="19"/>
        </w:rPr>
        <w:t>only </w:t>
      </w:r>
      <w:r>
        <w:rPr>
          <w:color w:val="383638"/>
          <w:w w:val="110"/>
          <w:sz w:val="20"/>
        </w:rPr>
        <w:t>if </w:t>
      </w:r>
      <w:r>
        <w:rPr>
          <w:b/>
          <w:color w:val="383638"/>
          <w:w w:val="110"/>
          <w:sz w:val="21"/>
        </w:rPr>
        <w:t>the narcotics dog, plain-view, or plain-smell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05"/>
          <w:sz w:val="21"/>
        </w:rPr>
        <w:t>observation reveals a suspicion of narcotics possession, or </w:t>
      </w:r>
      <w:r>
        <w:rPr>
          <w:color w:val="383638"/>
          <w:w w:val="105"/>
          <w:sz w:val="20"/>
        </w:rPr>
        <w:t>if </w:t>
      </w:r>
      <w:r>
        <w:rPr>
          <w:b/>
          <w:color w:val="383638"/>
          <w:w w:val="105"/>
          <w:sz w:val="21"/>
        </w:rPr>
        <w:t>the driver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10"/>
          <w:sz w:val="21"/>
        </w:rPr>
        <w:t>gives</w:t>
      </w:r>
      <w:r>
        <w:rPr>
          <w:b/>
          <w:color w:val="383638"/>
          <w:spacing w:val="-1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explicit</w:t>
      </w:r>
      <w:r>
        <w:rPr>
          <w:b/>
          <w:color w:val="383638"/>
          <w:spacing w:val="-20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consent</w:t>
      </w:r>
      <w:r>
        <w:rPr>
          <w:b/>
          <w:color w:val="383638"/>
          <w:spacing w:val="-1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to</w:t>
      </w:r>
      <w:r>
        <w:rPr>
          <w:b/>
          <w:color w:val="383638"/>
          <w:spacing w:val="-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search.</w:t>
      </w:r>
      <w:r>
        <w:rPr>
          <w:b/>
          <w:color w:val="383638"/>
          <w:spacing w:val="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Record</w:t>
      </w:r>
      <w:r>
        <w:rPr>
          <w:b/>
          <w:color w:val="383638"/>
          <w:spacing w:val="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57a,</w:t>
      </w:r>
      <w:r>
        <w:rPr>
          <w:b/>
          <w:color w:val="383638"/>
          <w:spacing w:val="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53a.</w:t>
      </w:r>
    </w:p>
    <w:p>
      <w:pPr>
        <w:pStyle w:val="BodyText"/>
        <w:spacing w:line="232" w:lineRule="auto" w:before="154"/>
        <w:ind w:left="105" w:right="414"/>
        <w:jc w:val="both"/>
      </w:pPr>
      <w:r>
        <w:rPr>
          <w:color w:val="383638"/>
          <w:w w:val="110"/>
        </w:rPr>
        <w:t>These</w:t>
      </w:r>
      <w:r>
        <w:rPr>
          <w:color w:val="383638"/>
          <w:spacing w:val="-23"/>
          <w:w w:val="110"/>
        </w:rPr>
        <w:t> </w:t>
      </w:r>
      <w:r>
        <w:rPr>
          <w:color w:val="383638"/>
          <w:w w:val="110"/>
        </w:rPr>
        <w:t>two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rather</w:t>
      </w:r>
      <w:r>
        <w:rPr>
          <w:color w:val="383638"/>
          <w:spacing w:val="-21"/>
          <w:w w:val="110"/>
        </w:rPr>
        <w:t> </w:t>
      </w:r>
      <w:r>
        <w:rPr>
          <w:color w:val="383638"/>
          <w:w w:val="110"/>
        </w:rPr>
        <w:t>long</w:t>
      </w:r>
      <w:r>
        <w:rPr>
          <w:color w:val="383638"/>
          <w:spacing w:val="-31"/>
          <w:w w:val="110"/>
        </w:rPr>
        <w:t> </w:t>
      </w:r>
      <w:r>
        <w:rPr>
          <w:color w:val="383638"/>
          <w:w w:val="110"/>
        </w:rPr>
        <w:t>sentences</w:t>
      </w:r>
      <w:r>
        <w:rPr>
          <w:color w:val="383638"/>
          <w:spacing w:val="-27"/>
          <w:w w:val="110"/>
        </w:rPr>
        <w:t> </w:t>
      </w:r>
      <w:r>
        <w:rPr>
          <w:color w:val="383638"/>
          <w:w w:val="110"/>
        </w:rPr>
        <w:t>givea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complete,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but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not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detailed,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account.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-13"/>
          <w:w w:val="115"/>
        </w:rPr>
        <w:t> </w:t>
      </w:r>
      <w:r>
        <w:rPr>
          <w:color w:val="383638"/>
          <w:w w:val="115"/>
        </w:rPr>
        <w:t>reader</w:t>
      </w:r>
      <w:r>
        <w:rPr>
          <w:color w:val="383638"/>
          <w:spacing w:val="-10"/>
          <w:w w:val="115"/>
        </w:rPr>
        <w:t> </w:t>
      </w:r>
      <w:r>
        <w:rPr>
          <w:color w:val="383638"/>
          <w:w w:val="115"/>
        </w:rPr>
        <w:t>would</w:t>
      </w:r>
      <w:r>
        <w:rPr>
          <w:color w:val="383638"/>
          <w:spacing w:val="-4"/>
          <w:w w:val="115"/>
        </w:rPr>
        <w:t> </w:t>
      </w:r>
      <w:r>
        <w:rPr>
          <w:color w:val="383638"/>
          <w:w w:val="115"/>
        </w:rPr>
        <w:t>have</w:t>
      </w:r>
      <w:r>
        <w:rPr>
          <w:color w:val="383638"/>
          <w:spacing w:val="-4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-8"/>
          <w:w w:val="115"/>
        </w:rPr>
        <w:t> </w:t>
      </w:r>
      <w:r>
        <w:rPr>
          <w:color w:val="383638"/>
          <w:w w:val="115"/>
        </w:rPr>
        <w:t>expend</w:t>
      </w:r>
      <w:r>
        <w:rPr>
          <w:color w:val="383638"/>
          <w:spacing w:val="-1"/>
          <w:w w:val="115"/>
        </w:rPr>
        <w:t> </w:t>
      </w:r>
      <w:r>
        <w:rPr>
          <w:color w:val="383638"/>
          <w:w w:val="115"/>
        </w:rPr>
        <w:t>energy</w:t>
      </w:r>
      <w:r>
        <w:rPr>
          <w:color w:val="383638"/>
          <w:spacing w:val="-13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3"/>
          <w:w w:val="115"/>
        </w:rPr>
        <w:t> </w:t>
      </w:r>
      <w:r>
        <w:rPr>
          <w:color w:val="383638"/>
          <w:w w:val="115"/>
        </w:rPr>
        <w:t>identify</w:t>
      </w:r>
      <w:r>
        <w:rPr>
          <w:color w:val="383638"/>
          <w:spacing w:val="-11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11"/>
          <w:w w:val="115"/>
        </w:rPr>
        <w:t> </w:t>
      </w:r>
      <w:r>
        <w:rPr>
          <w:color w:val="383638"/>
          <w:w w:val="115"/>
        </w:rPr>
        <w:t>details</w:t>
      </w:r>
      <w:r>
        <w:rPr>
          <w:color w:val="383638"/>
          <w:spacing w:val="-12"/>
          <w:w w:val="115"/>
        </w:rPr>
        <w:t> </w:t>
      </w:r>
      <w:r>
        <w:rPr>
          <w:color w:val="383638"/>
          <w:w w:val="115"/>
        </w:rPr>
        <w:t>that</w:t>
      </w:r>
      <w:r>
        <w:rPr>
          <w:color w:val="383638"/>
          <w:spacing w:val="-6"/>
          <w:w w:val="115"/>
        </w:rPr>
        <w:t> </w:t>
      </w:r>
      <w:r>
        <w:rPr>
          <w:color w:val="383638"/>
          <w:w w:val="115"/>
        </w:rPr>
        <w:t>this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0"/>
        </w:rPr>
        <w:t>brief description implies, and more than likely would not do so. Counsel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for the respondent, on the other hand, might describe the police proce­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dure</w:t>
      </w:r>
      <w:r>
        <w:rPr>
          <w:color w:val="383638"/>
          <w:spacing w:val="-27"/>
          <w:w w:val="115"/>
        </w:rPr>
        <w:t> </w:t>
      </w:r>
      <w:r>
        <w:rPr>
          <w:color w:val="383638"/>
          <w:w w:val="115"/>
        </w:rPr>
        <w:t>in</w:t>
      </w:r>
      <w:r>
        <w:rPr>
          <w:color w:val="383638"/>
          <w:spacing w:val="7"/>
          <w:w w:val="115"/>
        </w:rPr>
        <w:t> </w:t>
      </w:r>
      <w:r>
        <w:rPr>
          <w:color w:val="383638"/>
          <w:w w:val="115"/>
        </w:rPr>
        <w:t>greater</w:t>
      </w:r>
      <w:r>
        <w:rPr>
          <w:color w:val="383638"/>
          <w:spacing w:val="-15"/>
          <w:w w:val="115"/>
        </w:rPr>
        <w:t> </w:t>
      </w:r>
      <w:r>
        <w:rPr>
          <w:color w:val="383638"/>
          <w:w w:val="115"/>
        </w:rPr>
        <w:t>detail:</w:t>
      </w:r>
    </w:p>
    <w:p>
      <w:pPr>
        <w:spacing w:line="235" w:lineRule="auto" w:before="140"/>
        <w:ind w:left="442" w:right="699" w:firstLine="6"/>
        <w:jc w:val="both"/>
        <w:rPr>
          <w:b/>
          <w:sz w:val="21"/>
        </w:rPr>
      </w:pPr>
      <w:r>
        <w:rPr>
          <w:color w:val="383638"/>
          <w:w w:val="120"/>
          <w:sz w:val="21"/>
        </w:rPr>
        <w:t>Upon entering the checkpoint, an automobile's </w:t>
      </w:r>
      <w:r>
        <w:rPr>
          <w:b/>
          <w:color w:val="383638"/>
          <w:w w:val="120"/>
          <w:sz w:val="21"/>
        </w:rPr>
        <w:t>driver and </w:t>
      </w:r>
      <w:r>
        <w:rPr>
          <w:color w:val="383638"/>
          <w:w w:val="120"/>
          <w:sz w:val="21"/>
        </w:rPr>
        <w:t>occu­</w:t>
      </w:r>
      <w:r>
        <w:rPr>
          <w:color w:val="383638"/>
          <w:spacing w:val="1"/>
          <w:w w:val="120"/>
          <w:sz w:val="21"/>
        </w:rPr>
        <w:t> </w:t>
      </w:r>
      <w:r>
        <w:rPr>
          <w:color w:val="383638"/>
          <w:w w:val="120"/>
          <w:sz w:val="21"/>
        </w:rPr>
        <w:t>pants are subjected to a number of examinations, which are con­</w:t>
      </w:r>
      <w:r>
        <w:rPr>
          <w:color w:val="383638"/>
          <w:spacing w:val="1"/>
          <w:w w:val="120"/>
          <w:sz w:val="21"/>
        </w:rPr>
        <w:t> </w:t>
      </w:r>
      <w:r>
        <w:rPr>
          <w:color w:val="383638"/>
          <w:w w:val="115"/>
          <w:sz w:val="21"/>
        </w:rPr>
        <w:t>ducted </w:t>
      </w:r>
      <w:r>
        <w:rPr>
          <w:rFonts w:ascii="Arial" w:hAnsi="Arial"/>
          <w:color w:val="383638"/>
          <w:w w:val="115"/>
          <w:sz w:val="19"/>
        </w:rPr>
        <w:t>by</w:t>
      </w:r>
      <w:r>
        <w:rPr>
          <w:rFonts w:ascii="Arial" w:hAnsi="Arial"/>
          <w:color w:val="383638"/>
          <w:spacing w:val="1"/>
          <w:w w:val="115"/>
          <w:sz w:val="19"/>
        </w:rPr>
        <w:t> </w:t>
      </w:r>
      <w:r>
        <w:rPr>
          <w:color w:val="383638"/>
          <w:w w:val="115"/>
          <w:sz w:val="21"/>
        </w:rPr>
        <w:t>Indianapolis police officers. Record 57a. First, the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officers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20"/>
          <w:sz w:val="21"/>
        </w:rPr>
        <w:t>approach the</w:t>
      </w:r>
      <w:r>
        <w:rPr>
          <w:color w:val="383638"/>
          <w:spacing w:val="1"/>
          <w:w w:val="120"/>
          <w:sz w:val="21"/>
        </w:rPr>
        <w:t> </w:t>
      </w:r>
      <w:r>
        <w:rPr>
          <w:color w:val="383638"/>
          <w:w w:val="120"/>
          <w:sz w:val="21"/>
        </w:rPr>
        <w:t>vehicle, and  the  driver is asked to produce both a</w:t>
      </w:r>
      <w:r>
        <w:rPr>
          <w:color w:val="383638"/>
          <w:spacing w:val="1"/>
          <w:w w:val="120"/>
          <w:sz w:val="21"/>
        </w:rPr>
        <w:t> </w:t>
      </w:r>
      <w:r>
        <w:rPr>
          <w:color w:val="383638"/>
          <w:w w:val="120"/>
          <w:sz w:val="21"/>
        </w:rPr>
        <w:t>valid driver's license and</w:t>
      </w:r>
      <w:r>
        <w:rPr>
          <w:color w:val="383638"/>
          <w:spacing w:val="1"/>
          <w:w w:val="120"/>
          <w:sz w:val="21"/>
        </w:rPr>
        <w:t> </w:t>
      </w:r>
      <w:r>
        <w:rPr>
          <w:color w:val="383638"/>
          <w:w w:val="120"/>
          <w:sz w:val="21"/>
        </w:rPr>
        <w:t>the</w:t>
      </w:r>
      <w:r>
        <w:rPr>
          <w:color w:val="383638"/>
          <w:spacing w:val="1"/>
          <w:w w:val="120"/>
          <w:sz w:val="21"/>
        </w:rPr>
        <w:t> </w:t>
      </w:r>
      <w:r>
        <w:rPr>
          <w:color w:val="383638"/>
          <w:w w:val="120"/>
          <w:sz w:val="21"/>
        </w:rPr>
        <w:t>registration for the  vehicle. Record</w:t>
      </w:r>
      <w:r>
        <w:rPr>
          <w:color w:val="383638"/>
          <w:spacing w:val="1"/>
          <w:w w:val="120"/>
          <w:sz w:val="21"/>
        </w:rPr>
        <w:t> </w:t>
      </w:r>
      <w:r>
        <w:rPr>
          <w:color w:val="383638"/>
          <w:w w:val="120"/>
          <w:sz w:val="21"/>
        </w:rPr>
        <w:t>57a. After one</w:t>
      </w:r>
      <w:r>
        <w:rPr>
          <w:color w:val="383638"/>
          <w:spacing w:val="1"/>
          <w:w w:val="120"/>
          <w:sz w:val="21"/>
        </w:rPr>
        <w:t> </w:t>
      </w:r>
      <w:r>
        <w:rPr>
          <w:color w:val="383638"/>
          <w:w w:val="120"/>
          <w:sz w:val="21"/>
        </w:rPr>
        <w:t>officer examines and</w:t>
      </w:r>
      <w:r>
        <w:rPr>
          <w:color w:val="383638"/>
          <w:spacing w:val="1"/>
          <w:w w:val="120"/>
          <w:sz w:val="21"/>
        </w:rPr>
        <w:t> </w:t>
      </w:r>
      <w:r>
        <w:rPr>
          <w:color w:val="383638"/>
          <w:w w:val="120"/>
          <w:sz w:val="21"/>
        </w:rPr>
        <w:t>verifies this documentation,</w:t>
      </w:r>
      <w:r>
        <w:rPr>
          <w:color w:val="383638"/>
          <w:spacing w:val="1"/>
          <w:w w:val="120"/>
          <w:sz w:val="21"/>
        </w:rPr>
        <w:t> </w:t>
      </w:r>
      <w:r>
        <w:rPr>
          <w:color w:val="383638"/>
          <w:w w:val="120"/>
          <w:sz w:val="21"/>
        </w:rPr>
        <w:t>other officers scrutinize the vehicle in</w:t>
      </w:r>
      <w:r>
        <w:rPr>
          <w:color w:val="383638"/>
          <w:spacing w:val="1"/>
          <w:w w:val="120"/>
          <w:sz w:val="21"/>
        </w:rPr>
        <w:t> </w:t>
      </w:r>
      <w:r>
        <w:rPr>
          <w:color w:val="383638"/>
          <w:w w:val="120"/>
          <w:sz w:val="21"/>
        </w:rPr>
        <w:t>two ways. First, they use</w:t>
      </w:r>
      <w:r>
        <w:rPr>
          <w:color w:val="383638"/>
          <w:spacing w:val="1"/>
          <w:w w:val="120"/>
          <w:sz w:val="21"/>
        </w:rPr>
        <w:t> </w:t>
      </w:r>
      <w:r>
        <w:rPr>
          <w:color w:val="383638"/>
          <w:w w:val="120"/>
          <w:sz w:val="21"/>
        </w:rPr>
        <w:t>plain-view detection techniques, looking through the vehicle's win­</w:t>
      </w:r>
      <w:r>
        <w:rPr>
          <w:color w:val="383638"/>
          <w:spacing w:val="1"/>
          <w:w w:val="120"/>
          <w:sz w:val="21"/>
        </w:rPr>
        <w:t> </w:t>
      </w:r>
      <w:r>
        <w:rPr>
          <w:color w:val="383638"/>
          <w:w w:val="120"/>
          <w:sz w:val="21"/>
        </w:rPr>
        <w:t>dows. In addition, they use plain-smell</w:t>
      </w:r>
      <w:r>
        <w:rPr>
          <w:color w:val="383638"/>
          <w:spacing w:val="1"/>
          <w:w w:val="120"/>
          <w:sz w:val="21"/>
        </w:rPr>
        <w:t> </w:t>
      </w:r>
      <w:r>
        <w:rPr>
          <w:color w:val="383638"/>
          <w:w w:val="120"/>
          <w:sz w:val="21"/>
        </w:rPr>
        <w:t>methods, sniffing the air</w:t>
      </w:r>
      <w:r>
        <w:rPr>
          <w:color w:val="383638"/>
          <w:spacing w:val="1"/>
          <w:w w:val="120"/>
          <w:sz w:val="21"/>
        </w:rPr>
        <w:t> </w:t>
      </w:r>
      <w:r>
        <w:rPr>
          <w:b/>
          <w:color w:val="383638"/>
          <w:w w:val="120"/>
          <w:sz w:val="21"/>
        </w:rPr>
        <w:t>around the car as they walk around it. Both of these techniques</w:t>
      </w:r>
      <w:r>
        <w:rPr>
          <w:b/>
          <w:color w:val="383638"/>
          <w:spacing w:val="1"/>
          <w:w w:val="120"/>
          <w:sz w:val="21"/>
        </w:rPr>
        <w:t> </w:t>
      </w:r>
      <w:r>
        <w:rPr>
          <w:b/>
          <w:color w:val="383638"/>
          <w:w w:val="115"/>
          <w:sz w:val="21"/>
        </w:rPr>
        <w:t>are used to determine whether the officers can discover probable</w:t>
      </w:r>
      <w:r>
        <w:rPr>
          <w:b/>
          <w:color w:val="383638"/>
          <w:spacing w:val="1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cause that would allow them to conduct a more invasive search of</w:t>
      </w:r>
      <w:r>
        <w:rPr>
          <w:b/>
          <w:color w:val="383638"/>
          <w:spacing w:val="1"/>
          <w:w w:val="115"/>
          <w:sz w:val="21"/>
        </w:rPr>
        <w:t> </w:t>
      </w:r>
      <w:r>
        <w:rPr>
          <w:b/>
          <w:color w:val="383638"/>
          <w:w w:val="110"/>
          <w:sz w:val="21"/>
        </w:rPr>
        <w:t>the automobile and its occupants. Record 57a. Furthermore, </w:t>
      </w:r>
      <w:r>
        <w:rPr>
          <w:color w:val="383638"/>
          <w:w w:val="110"/>
          <w:sz w:val="20"/>
        </w:rPr>
        <w:t>if</w:t>
      </w:r>
      <w:r>
        <w:rPr>
          <w:color w:val="383638"/>
          <w:spacing w:val="1"/>
          <w:w w:val="110"/>
          <w:sz w:val="20"/>
        </w:rPr>
        <w:t> </w:t>
      </w:r>
      <w:r>
        <w:rPr>
          <w:color w:val="383638"/>
          <w:w w:val="110"/>
          <w:sz w:val="21"/>
        </w:rPr>
        <w:t>the</w:t>
      </w:r>
      <w:r>
        <w:rPr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20"/>
          <w:sz w:val="21"/>
        </w:rPr>
        <w:t>officers can persuade the driver to consent to a search, they can</w:t>
      </w:r>
      <w:r>
        <w:rPr>
          <w:b/>
          <w:color w:val="383638"/>
          <w:spacing w:val="1"/>
          <w:w w:val="120"/>
          <w:sz w:val="21"/>
        </w:rPr>
        <w:t> </w:t>
      </w:r>
      <w:r>
        <w:rPr>
          <w:b/>
          <w:color w:val="383638"/>
          <w:w w:val="115"/>
          <w:sz w:val="21"/>
        </w:rPr>
        <w:t>conduct an even more extensive search of the vehicle. Record 53a.</w:t>
      </w:r>
      <w:r>
        <w:rPr>
          <w:b/>
          <w:color w:val="383638"/>
          <w:spacing w:val="1"/>
          <w:w w:val="115"/>
          <w:sz w:val="21"/>
        </w:rPr>
        <w:t> </w:t>
      </w:r>
      <w:r>
        <w:rPr>
          <w:b/>
          <w:color w:val="383638"/>
          <w:w w:val="120"/>
          <w:sz w:val="21"/>
        </w:rPr>
        <w:t>One</w:t>
      </w:r>
      <w:r>
        <w:rPr>
          <w:b/>
          <w:color w:val="383638"/>
          <w:spacing w:val="-9"/>
          <w:w w:val="120"/>
          <w:sz w:val="21"/>
        </w:rPr>
        <w:t> </w:t>
      </w:r>
      <w:r>
        <w:rPr>
          <w:b/>
          <w:color w:val="383638"/>
          <w:w w:val="120"/>
          <w:sz w:val="21"/>
        </w:rPr>
        <w:t>other</w:t>
      </w:r>
      <w:r>
        <w:rPr>
          <w:b/>
          <w:color w:val="383638"/>
          <w:spacing w:val="-13"/>
          <w:w w:val="120"/>
          <w:sz w:val="21"/>
        </w:rPr>
        <w:t> </w:t>
      </w:r>
      <w:r>
        <w:rPr>
          <w:b/>
          <w:color w:val="383638"/>
          <w:w w:val="120"/>
          <w:sz w:val="21"/>
        </w:rPr>
        <w:t>method</w:t>
      </w:r>
      <w:r>
        <w:rPr>
          <w:b/>
          <w:color w:val="383638"/>
          <w:spacing w:val="-8"/>
          <w:w w:val="120"/>
          <w:sz w:val="21"/>
        </w:rPr>
        <w:t> </w:t>
      </w:r>
      <w:r>
        <w:rPr>
          <w:b/>
          <w:color w:val="383638"/>
          <w:w w:val="120"/>
          <w:sz w:val="21"/>
        </w:rPr>
        <w:t>of search</w:t>
      </w:r>
      <w:r>
        <w:rPr>
          <w:b/>
          <w:color w:val="383638"/>
          <w:spacing w:val="2"/>
          <w:w w:val="120"/>
          <w:sz w:val="21"/>
        </w:rPr>
        <w:t> </w:t>
      </w:r>
      <w:r>
        <w:rPr>
          <w:b/>
          <w:color w:val="383638"/>
          <w:w w:val="120"/>
          <w:sz w:val="21"/>
        </w:rPr>
        <w:t>is</w:t>
      </w:r>
      <w:r>
        <w:rPr>
          <w:b/>
          <w:color w:val="383638"/>
          <w:spacing w:val="-1"/>
          <w:w w:val="120"/>
          <w:sz w:val="21"/>
        </w:rPr>
        <w:t> </w:t>
      </w:r>
      <w:r>
        <w:rPr>
          <w:b/>
          <w:color w:val="383638"/>
          <w:w w:val="120"/>
          <w:sz w:val="21"/>
        </w:rPr>
        <w:t>used</w:t>
      </w:r>
      <w:r>
        <w:rPr>
          <w:b/>
          <w:color w:val="383638"/>
          <w:spacing w:val="-9"/>
          <w:w w:val="120"/>
          <w:sz w:val="21"/>
        </w:rPr>
        <w:t> </w:t>
      </w:r>
      <w:r>
        <w:rPr>
          <w:b/>
          <w:color w:val="383638"/>
          <w:w w:val="120"/>
          <w:sz w:val="21"/>
        </w:rPr>
        <w:t>during</w:t>
      </w:r>
      <w:r>
        <w:rPr>
          <w:b/>
          <w:color w:val="383638"/>
          <w:spacing w:val="-8"/>
          <w:w w:val="120"/>
          <w:sz w:val="21"/>
        </w:rPr>
        <w:t> </w:t>
      </w:r>
      <w:r>
        <w:rPr>
          <w:b/>
          <w:color w:val="383638"/>
          <w:w w:val="120"/>
          <w:sz w:val="21"/>
        </w:rPr>
        <w:t>even</w:t>
      </w:r>
      <w:r>
        <w:rPr>
          <w:b/>
          <w:color w:val="383638"/>
          <w:spacing w:val="-10"/>
          <w:w w:val="120"/>
          <w:sz w:val="21"/>
        </w:rPr>
        <w:t> </w:t>
      </w:r>
      <w:r>
        <w:rPr>
          <w:b/>
          <w:color w:val="383638"/>
          <w:w w:val="120"/>
          <w:sz w:val="21"/>
        </w:rPr>
        <w:t>routine</w:t>
      </w:r>
      <w:r>
        <w:rPr>
          <w:b/>
          <w:color w:val="383638"/>
          <w:spacing w:val="-4"/>
          <w:w w:val="120"/>
          <w:sz w:val="21"/>
        </w:rPr>
        <w:t> </w:t>
      </w:r>
      <w:r>
        <w:rPr>
          <w:b/>
          <w:color w:val="383638"/>
          <w:w w:val="120"/>
          <w:sz w:val="21"/>
        </w:rPr>
        <w:t>stops:</w:t>
      </w:r>
      <w:r>
        <w:rPr>
          <w:b/>
          <w:color w:val="383638"/>
          <w:spacing w:val="-5"/>
          <w:w w:val="120"/>
          <w:sz w:val="21"/>
        </w:rPr>
        <w:t> </w:t>
      </w:r>
      <w:r>
        <w:rPr>
          <w:b/>
          <w:color w:val="383638"/>
          <w:w w:val="120"/>
          <w:sz w:val="21"/>
        </w:rPr>
        <w:t>A</w:t>
      </w:r>
      <w:r>
        <w:rPr>
          <w:b/>
          <w:color w:val="383638"/>
          <w:spacing w:val="-61"/>
          <w:w w:val="120"/>
          <w:sz w:val="21"/>
        </w:rPr>
        <w:t> </w:t>
      </w:r>
      <w:r>
        <w:rPr>
          <w:b/>
          <w:color w:val="383638"/>
          <w:spacing w:val="-1"/>
          <w:w w:val="115"/>
          <w:sz w:val="21"/>
        </w:rPr>
        <w:t>narcotics</w:t>
      </w:r>
      <w:r>
        <w:rPr>
          <w:b/>
          <w:color w:val="383638"/>
          <w:spacing w:val="-10"/>
          <w:w w:val="115"/>
          <w:sz w:val="21"/>
        </w:rPr>
        <w:t> </w:t>
      </w:r>
      <w:r>
        <w:rPr>
          <w:b/>
          <w:color w:val="383638"/>
          <w:spacing w:val="-1"/>
          <w:w w:val="115"/>
          <w:sz w:val="21"/>
        </w:rPr>
        <w:t>detection</w:t>
      </w:r>
      <w:r>
        <w:rPr>
          <w:b/>
          <w:color w:val="383638"/>
          <w:spacing w:val="-16"/>
          <w:w w:val="115"/>
          <w:sz w:val="21"/>
        </w:rPr>
        <w:t> </w:t>
      </w:r>
      <w:r>
        <w:rPr>
          <w:b/>
          <w:color w:val="383638"/>
          <w:spacing w:val="-1"/>
          <w:w w:val="115"/>
          <w:sz w:val="21"/>
        </w:rPr>
        <w:t>dog</w:t>
      </w:r>
      <w:r>
        <w:rPr>
          <w:b/>
          <w:color w:val="383638"/>
          <w:spacing w:val="-9"/>
          <w:w w:val="115"/>
          <w:sz w:val="21"/>
        </w:rPr>
        <w:t> </w:t>
      </w:r>
      <w:r>
        <w:rPr>
          <w:b/>
          <w:color w:val="383638"/>
          <w:spacing w:val="-1"/>
          <w:w w:val="115"/>
          <w:sz w:val="21"/>
        </w:rPr>
        <w:t>is</w:t>
      </w:r>
      <w:r>
        <w:rPr>
          <w:b/>
          <w:color w:val="383638"/>
          <w:spacing w:val="-22"/>
          <w:w w:val="115"/>
          <w:sz w:val="21"/>
        </w:rPr>
        <w:t> </w:t>
      </w:r>
      <w:r>
        <w:rPr>
          <w:b/>
          <w:color w:val="383638"/>
          <w:spacing w:val="-1"/>
          <w:w w:val="115"/>
          <w:sz w:val="21"/>
        </w:rPr>
        <w:t>walked</w:t>
      </w:r>
      <w:r>
        <w:rPr>
          <w:b/>
          <w:color w:val="383638"/>
          <w:spacing w:val="-13"/>
          <w:w w:val="115"/>
          <w:sz w:val="21"/>
        </w:rPr>
        <w:t> </w:t>
      </w:r>
      <w:r>
        <w:rPr>
          <w:b/>
          <w:color w:val="383638"/>
          <w:spacing w:val="-1"/>
          <w:w w:val="115"/>
          <w:sz w:val="21"/>
        </w:rPr>
        <w:t>around</w:t>
      </w:r>
      <w:r>
        <w:rPr>
          <w:b/>
          <w:color w:val="383638"/>
          <w:spacing w:val="-9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the</w:t>
      </w:r>
      <w:r>
        <w:rPr>
          <w:b/>
          <w:color w:val="383638"/>
          <w:spacing w:val="-3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exterior</w:t>
      </w:r>
      <w:r>
        <w:rPr>
          <w:b/>
          <w:color w:val="383638"/>
          <w:spacing w:val="-22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of</w:t>
      </w:r>
      <w:r>
        <w:rPr>
          <w:b/>
          <w:color w:val="383638"/>
          <w:spacing w:val="2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the</w:t>
      </w:r>
      <w:r>
        <w:rPr>
          <w:b/>
          <w:color w:val="383638"/>
          <w:spacing w:val="3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vehicle,</w:t>
      </w:r>
      <w:r>
        <w:rPr>
          <w:b/>
          <w:color w:val="383638"/>
          <w:spacing w:val="1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in a final attempt to discover probable cause to search the vehicle</w:t>
      </w:r>
      <w:r>
        <w:rPr>
          <w:b/>
          <w:color w:val="383638"/>
          <w:spacing w:val="1"/>
          <w:w w:val="115"/>
          <w:sz w:val="21"/>
        </w:rPr>
        <w:t> </w:t>
      </w:r>
      <w:r>
        <w:rPr>
          <w:b/>
          <w:color w:val="383638"/>
          <w:w w:val="120"/>
          <w:sz w:val="21"/>
        </w:rPr>
        <w:t>for</w:t>
      </w:r>
      <w:r>
        <w:rPr>
          <w:b/>
          <w:color w:val="383638"/>
          <w:spacing w:val="-39"/>
          <w:w w:val="120"/>
          <w:sz w:val="21"/>
        </w:rPr>
        <w:t> </w:t>
      </w:r>
      <w:r>
        <w:rPr>
          <w:b/>
          <w:color w:val="383638"/>
          <w:w w:val="120"/>
          <w:sz w:val="21"/>
        </w:rPr>
        <w:t>narcotics.</w:t>
      </w:r>
      <w:r>
        <w:rPr>
          <w:b/>
          <w:color w:val="383638"/>
          <w:spacing w:val="2"/>
          <w:w w:val="120"/>
          <w:sz w:val="21"/>
        </w:rPr>
        <w:t> </w:t>
      </w:r>
      <w:r>
        <w:rPr>
          <w:b/>
          <w:color w:val="383638"/>
          <w:w w:val="120"/>
          <w:sz w:val="21"/>
        </w:rPr>
        <w:t>Record</w:t>
      </w:r>
      <w:r>
        <w:rPr>
          <w:b/>
          <w:color w:val="383638"/>
          <w:spacing w:val="1"/>
          <w:w w:val="120"/>
          <w:sz w:val="21"/>
        </w:rPr>
        <w:t> </w:t>
      </w:r>
      <w:r>
        <w:rPr>
          <w:b/>
          <w:color w:val="383638"/>
          <w:w w:val="120"/>
          <w:sz w:val="21"/>
        </w:rPr>
        <w:t>57a.</w:t>
      </w:r>
    </w:p>
    <w:p>
      <w:pPr>
        <w:pStyle w:val="BodyText"/>
        <w:spacing w:line="232" w:lineRule="auto" w:before="142"/>
        <w:ind w:left="133" w:right="274" w:firstLine="11"/>
        <w:jc w:val="both"/>
      </w:pPr>
      <w:r>
        <w:rPr>
          <w:color w:val="383638"/>
          <w:w w:val="115"/>
        </w:rPr>
        <w:t>Notice how the writer has unpacked the details to state explicitly infor­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mation that is implicit in the first example. In the first example, the offi­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cers</w:t>
      </w:r>
      <w:r>
        <w:rPr>
          <w:color w:val="383638"/>
          <w:spacing w:val="-24"/>
          <w:w w:val="110"/>
        </w:rPr>
        <w:t> </w:t>
      </w:r>
      <w:r>
        <w:rPr>
          <w:color w:val="383638"/>
          <w:w w:val="110"/>
        </w:rPr>
        <w:t>"verify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license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39"/>
          <w:w w:val="110"/>
        </w:rPr>
        <w:t> </w:t>
      </w:r>
      <w:r>
        <w:rPr>
          <w:color w:val="383638"/>
          <w:w w:val="110"/>
        </w:rPr>
        <w:t>registration."</w:t>
      </w:r>
      <w:r>
        <w:rPr>
          <w:color w:val="383638"/>
          <w:spacing w:val="-28"/>
          <w:w w:val="110"/>
        </w:rPr>
        <w:t> </w:t>
      </w:r>
      <w:r>
        <w:rPr>
          <w:color w:val="383638"/>
          <w:w w:val="110"/>
        </w:rPr>
        <w:t>These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words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imply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request,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retrieval,</w:t>
      </w:r>
    </w:p>
    <w:p>
      <w:pPr>
        <w:pStyle w:val="BodyText"/>
        <w:rPr>
          <w:sz w:val="26"/>
        </w:rPr>
      </w:pPr>
    </w:p>
    <w:p>
      <w:pPr>
        <w:spacing w:before="225"/>
        <w:ind w:left="473" w:right="0" w:firstLine="0"/>
        <w:jc w:val="both"/>
        <w:rPr>
          <w:sz w:val="18"/>
        </w:rPr>
      </w:pPr>
      <w:r>
        <w:rPr>
          <w:color w:val="383638"/>
          <w:spacing w:val="-1"/>
          <w:w w:val="110"/>
          <w:sz w:val="17"/>
        </w:rPr>
        <w:t>a,</w:t>
      </w:r>
      <w:r>
        <w:rPr>
          <w:rFonts w:ascii="Arial" w:hAnsi="Arial"/>
          <w:i/>
          <w:color w:val="383638"/>
          <w:spacing w:val="-1"/>
          <w:w w:val="110"/>
          <w:sz w:val="16"/>
        </w:rPr>
        <w:t>See</w:t>
      </w:r>
      <w:r>
        <w:rPr>
          <w:rFonts w:ascii="Arial" w:hAnsi="Arial"/>
          <w:i/>
          <w:color w:val="383638"/>
          <w:spacing w:val="-34"/>
          <w:w w:val="110"/>
          <w:sz w:val="16"/>
        </w:rPr>
        <w:t> </w:t>
      </w:r>
      <w:r>
        <w:rPr>
          <w:rFonts w:ascii="Arial" w:hAnsi="Arial"/>
          <w:i/>
          <w:color w:val="383638"/>
          <w:spacing w:val="-1"/>
          <w:w w:val="110"/>
          <w:sz w:val="16"/>
        </w:rPr>
        <w:t>also</w:t>
      </w:r>
      <w:r>
        <w:rPr>
          <w:rFonts w:ascii="Arial" w:hAnsi="Arial"/>
          <w:i/>
          <w:color w:val="383638"/>
          <w:spacing w:val="-13"/>
          <w:w w:val="110"/>
          <w:sz w:val="16"/>
        </w:rPr>
        <w:t> </w:t>
      </w:r>
      <w:r>
        <w:rPr>
          <w:color w:val="383638"/>
          <w:spacing w:val="-1"/>
          <w:w w:val="110"/>
          <w:sz w:val="18"/>
        </w:rPr>
        <w:t>Oates</w:t>
      </w:r>
      <w:r>
        <w:rPr>
          <w:color w:val="383638"/>
          <w:spacing w:val="-16"/>
          <w:w w:val="110"/>
          <w:sz w:val="18"/>
        </w:rPr>
        <w:t> </w:t>
      </w:r>
      <w:r>
        <w:rPr>
          <w:color w:val="383638"/>
          <w:spacing w:val="-1"/>
          <w:w w:val="110"/>
          <w:sz w:val="16"/>
        </w:rPr>
        <w:t>&amp;</w:t>
      </w:r>
      <w:r>
        <w:rPr>
          <w:color w:val="383638"/>
          <w:spacing w:val="14"/>
          <w:w w:val="110"/>
          <w:sz w:val="16"/>
        </w:rPr>
        <w:t> </w:t>
      </w:r>
      <w:r>
        <w:rPr>
          <w:color w:val="383638"/>
          <w:spacing w:val="-1"/>
          <w:w w:val="110"/>
          <w:sz w:val="18"/>
        </w:rPr>
        <w:t>Enqulst,</w:t>
      </w:r>
      <w:r>
        <w:rPr>
          <w:color w:val="383638"/>
          <w:spacing w:val="-18"/>
          <w:w w:val="110"/>
          <w:sz w:val="18"/>
        </w:rPr>
        <w:t> </w:t>
      </w:r>
      <w:r>
        <w:rPr>
          <w:rFonts w:ascii="Arial" w:hAnsi="Arial"/>
          <w:i/>
          <w:color w:val="383638"/>
          <w:spacing w:val="-1"/>
          <w:w w:val="110"/>
          <w:sz w:val="16"/>
        </w:rPr>
        <w:t>supra</w:t>
      </w:r>
      <w:r>
        <w:rPr>
          <w:rFonts w:ascii="Arial" w:hAnsi="Arial"/>
          <w:i/>
          <w:color w:val="383638"/>
          <w:spacing w:val="-12"/>
          <w:w w:val="110"/>
          <w:sz w:val="16"/>
        </w:rPr>
        <w:t> </w:t>
      </w:r>
      <w:r>
        <w:rPr>
          <w:color w:val="383638"/>
          <w:spacing w:val="-1"/>
          <w:w w:val="110"/>
          <w:sz w:val="18"/>
        </w:rPr>
        <w:t>note</w:t>
      </w:r>
      <w:r>
        <w:rPr>
          <w:color w:val="383638"/>
          <w:spacing w:val="-3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13,</w:t>
      </w:r>
      <w:r>
        <w:rPr>
          <w:color w:val="383638"/>
          <w:spacing w:val="-25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at</w:t>
      </w:r>
      <w:r>
        <w:rPr>
          <w:color w:val="383638"/>
          <w:spacing w:val="-15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§17.7.6</w:t>
      </w:r>
      <w:r>
        <w:rPr>
          <w:color w:val="383638"/>
          <w:spacing w:val="-9"/>
          <w:w w:val="110"/>
          <w:sz w:val="18"/>
        </w:rPr>
        <w:t> </w:t>
      </w:r>
      <w:r>
        <w:rPr>
          <w:color w:val="383638"/>
          <w:w w:val="110"/>
          <w:sz w:val="18"/>
        </w:rPr>
        <w:t>(discussing</w:t>
      </w:r>
      <w:r>
        <w:rPr>
          <w:color w:val="383638"/>
          <w:spacing w:val="-8"/>
          <w:w w:val="110"/>
          <w:sz w:val="18"/>
        </w:rPr>
        <w:t> </w:t>
      </w:r>
      <w:r>
        <w:rPr>
          <w:color w:val="383638"/>
          <w:w w:val="110"/>
          <w:sz w:val="18"/>
        </w:rPr>
        <w:t>"airtime"</w:t>
      </w:r>
      <w:r>
        <w:rPr>
          <w:color w:val="383638"/>
          <w:spacing w:val="-9"/>
          <w:w w:val="110"/>
          <w:sz w:val="18"/>
        </w:rPr>
        <w:t> </w:t>
      </w:r>
      <w:r>
        <w:rPr>
          <w:color w:val="383638"/>
          <w:w w:val="110"/>
          <w:sz w:val="18"/>
        </w:rPr>
        <w:t>and</w:t>
      </w:r>
      <w:r>
        <w:rPr>
          <w:color w:val="383638"/>
          <w:spacing w:val="14"/>
          <w:w w:val="110"/>
          <w:sz w:val="18"/>
        </w:rPr>
        <w:t> </w:t>
      </w:r>
      <w:r>
        <w:rPr>
          <w:color w:val="383638"/>
          <w:w w:val="110"/>
          <w:sz w:val="18"/>
        </w:rPr>
        <w:t>detail)</w:t>
      </w:r>
      <w:r>
        <w:rPr>
          <w:color w:val="646667"/>
          <w:w w:val="110"/>
          <w:sz w:val="18"/>
        </w:rPr>
        <w:t>.</w:t>
      </w:r>
    </w:p>
    <w:p>
      <w:pPr>
        <w:spacing w:after="0"/>
        <w:jc w:val="both"/>
        <w:rPr>
          <w:sz w:val="18"/>
        </w:rPr>
        <w:sectPr>
          <w:pgSz w:w="9730" w:h="13960"/>
          <w:pgMar w:header="591" w:footer="0" w:top="800" w:bottom="280" w:left="360" w:right="1340"/>
        </w:sectPr>
      </w:pPr>
    </w:p>
    <w:p>
      <w:pPr>
        <w:pStyle w:val="BodyText"/>
        <w:spacing w:line="232" w:lineRule="auto" w:before="87"/>
        <w:ind w:left="740" w:right="111" w:firstLine="28"/>
        <w:jc w:val="both"/>
      </w:pPr>
      <w:r>
        <w:rPr>
          <w:color w:val="3A383A"/>
          <w:w w:val="110"/>
        </w:rPr>
        <w:t>handing over, and inspection; the second example provides these details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to create an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impression of significant intrusion on the driver and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passengers. The writer provides every detail; the reader does not have to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spend any energy figuring out things on his or her own. The numerous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sentences, the level of detail, and the word choice all work to create an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image of a long, intrusive stop. </w:t>
      </w:r>
      <w:r>
        <w:rPr>
          <w:color w:val="3A383A"/>
          <w:w w:val="110"/>
          <w:sz w:val="22"/>
        </w:rPr>
        <w:t>If </w:t>
      </w:r>
      <w:r>
        <w:rPr>
          <w:color w:val="3A383A"/>
          <w:w w:val="110"/>
        </w:rPr>
        <w:t>the reader believes in minimal police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intrusion without probable cause, he or she could be halfway to a favor­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05"/>
        </w:rPr>
        <w:t>able conclusion merely after reading the statement of facts, for it will have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created a concrete picture in the reader's mind of precisely what a "routine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10"/>
        </w:rPr>
        <w:t>stop"</w:t>
      </w:r>
      <w:r>
        <w:rPr>
          <w:color w:val="3A383A"/>
          <w:spacing w:val="-24"/>
          <w:w w:val="110"/>
        </w:rPr>
        <w:t> </w:t>
      </w:r>
      <w:r>
        <w:rPr>
          <w:color w:val="3A383A"/>
          <w:w w:val="110"/>
        </w:rPr>
        <w:t>entails</w:t>
      </w:r>
      <w:r>
        <w:rPr>
          <w:color w:val="5B5B5D"/>
          <w:w w:val="110"/>
        </w:rPr>
        <w:t>.</w:t>
      </w:r>
    </w:p>
    <w:p>
      <w:pPr>
        <w:pStyle w:val="BodyText"/>
        <w:spacing w:line="235" w:lineRule="auto" w:before="3"/>
        <w:ind w:left="743" w:right="136" w:firstLine="356"/>
        <w:jc w:val="both"/>
      </w:pPr>
      <w:r>
        <w:rPr>
          <w:color w:val="3A383A"/>
          <w:w w:val="105"/>
        </w:rPr>
        <w:t>Of course, as  with any persuasive method, use good  judgment. If you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go overboard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in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either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direction,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you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will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hurt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rather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than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help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your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argument.</w:t>
      </w:r>
    </w:p>
    <w:p>
      <w:pPr>
        <w:pStyle w:val="BodyText"/>
        <w:spacing w:before="3"/>
        <w:rPr>
          <w:sz w:val="34"/>
        </w:rPr>
      </w:pPr>
    </w:p>
    <w:p>
      <w:pPr>
        <w:spacing w:before="1"/>
        <w:ind w:left="1077" w:right="0" w:firstLine="0"/>
        <w:jc w:val="left"/>
        <w:rPr>
          <w:sz w:val="29"/>
        </w:rPr>
      </w:pPr>
      <w:r>
        <w:rPr>
          <w:color w:val="5B5B5D"/>
          <w:w w:val="105"/>
          <w:sz w:val="29"/>
        </w:rPr>
        <w:t>9</w:t>
      </w:r>
      <w:r>
        <w:rPr>
          <w:color w:val="3A383A"/>
          <w:w w:val="105"/>
          <w:sz w:val="29"/>
        </w:rPr>
        <w:t>.</w:t>
      </w:r>
      <w:r>
        <w:rPr>
          <w:color w:val="5B5B5D"/>
          <w:w w:val="105"/>
          <w:sz w:val="29"/>
        </w:rPr>
        <w:t>2.4</w:t>
      </w:r>
    </w:p>
    <w:p>
      <w:pPr>
        <w:spacing w:before="11"/>
        <w:ind w:left="1079" w:right="0" w:firstLine="0"/>
        <w:jc w:val="left"/>
        <w:rPr>
          <w:rFonts w:ascii="Arial"/>
          <w:sz w:val="20"/>
        </w:rPr>
      </w:pPr>
      <w:r>
        <w:rPr>
          <w:rFonts w:ascii="Arial"/>
          <w:color w:val="5B5B5D"/>
          <w:w w:val="105"/>
          <w:sz w:val="20"/>
        </w:rPr>
        <w:t>SPECIAL</w:t>
      </w:r>
      <w:r>
        <w:rPr>
          <w:rFonts w:ascii="Arial"/>
          <w:color w:val="5B5B5D"/>
          <w:spacing w:val="18"/>
          <w:w w:val="105"/>
          <w:sz w:val="20"/>
        </w:rPr>
        <w:t> </w:t>
      </w:r>
      <w:r>
        <w:rPr>
          <w:rFonts w:ascii="Arial"/>
          <w:color w:val="3A383A"/>
          <w:w w:val="105"/>
          <w:sz w:val="20"/>
        </w:rPr>
        <w:t>C</w:t>
      </w:r>
      <w:r>
        <w:rPr>
          <w:rFonts w:ascii="Arial"/>
          <w:color w:val="5B5B5D"/>
          <w:w w:val="105"/>
          <w:sz w:val="20"/>
        </w:rPr>
        <w:t>ONSIDERATIONS</w:t>
      </w:r>
      <w:r>
        <w:rPr>
          <w:rFonts w:ascii="Arial"/>
          <w:color w:val="5B5B5D"/>
          <w:spacing w:val="10"/>
          <w:w w:val="105"/>
          <w:sz w:val="20"/>
        </w:rPr>
        <w:t> </w:t>
      </w:r>
      <w:r>
        <w:rPr>
          <w:rFonts w:ascii="Arial"/>
          <w:color w:val="3A383A"/>
          <w:w w:val="105"/>
          <w:sz w:val="20"/>
        </w:rPr>
        <w:t>F</w:t>
      </w:r>
      <w:r>
        <w:rPr>
          <w:rFonts w:ascii="Arial"/>
          <w:color w:val="5B5B5D"/>
          <w:w w:val="105"/>
          <w:sz w:val="20"/>
        </w:rPr>
        <w:t>OR</w:t>
      </w:r>
      <w:r>
        <w:rPr>
          <w:rFonts w:ascii="Arial"/>
          <w:color w:val="5B5B5D"/>
          <w:spacing w:val="34"/>
          <w:w w:val="105"/>
          <w:sz w:val="20"/>
        </w:rPr>
        <w:t> </w:t>
      </w:r>
      <w:r>
        <w:rPr>
          <w:b/>
          <w:color w:val="5B5B5D"/>
          <w:w w:val="105"/>
          <w:sz w:val="24"/>
        </w:rPr>
        <w:t>MOTION</w:t>
      </w:r>
      <w:r>
        <w:rPr>
          <w:b/>
          <w:color w:val="5B5B5D"/>
          <w:spacing w:val="48"/>
          <w:w w:val="105"/>
          <w:sz w:val="24"/>
        </w:rPr>
        <w:t> </w:t>
      </w:r>
      <w:r>
        <w:rPr>
          <w:rFonts w:ascii="Arial"/>
          <w:color w:val="727275"/>
          <w:w w:val="105"/>
          <w:sz w:val="20"/>
        </w:rPr>
        <w:t>BRIEF</w:t>
      </w:r>
      <w:r>
        <w:rPr>
          <w:rFonts w:ascii="Arial"/>
          <w:color w:val="727275"/>
          <w:spacing w:val="17"/>
          <w:w w:val="105"/>
          <w:sz w:val="20"/>
        </w:rPr>
        <w:t> </w:t>
      </w:r>
      <w:r>
        <w:rPr>
          <w:rFonts w:ascii="Arial"/>
          <w:color w:val="727275"/>
          <w:w w:val="105"/>
          <w:sz w:val="20"/>
        </w:rPr>
        <w:t>FACT</w:t>
      </w:r>
    </w:p>
    <w:p>
      <w:pPr>
        <w:spacing w:before="61"/>
        <w:ind w:left="1064" w:right="0" w:firstLine="0"/>
        <w:jc w:val="left"/>
        <w:rPr>
          <w:sz w:val="24"/>
        </w:rPr>
      </w:pPr>
      <w:r>
        <w:rPr>
          <w:color w:val="3A383A"/>
          <w:sz w:val="24"/>
        </w:rPr>
        <w:t>S</w:t>
      </w:r>
      <w:r>
        <w:rPr>
          <w:color w:val="5B5B5D"/>
          <w:sz w:val="24"/>
        </w:rPr>
        <w:t>TATEMENTS</w:t>
      </w:r>
    </w:p>
    <w:p>
      <w:pPr>
        <w:pStyle w:val="BodyText"/>
        <w:spacing w:line="235" w:lineRule="auto" w:before="113"/>
        <w:ind w:left="639" w:right="135" w:firstLine="428"/>
        <w:jc w:val="both"/>
      </w:pPr>
      <w:r>
        <w:rPr>
          <w:color w:val="3A383A"/>
          <w:w w:val="110"/>
        </w:rPr>
        <w:t>As noted previously, the writer of a motion brief faces some special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challenges. If you are writing a brief in support of a motion to dismiss,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you may be arguing about a question of law. Nevertheless, you cannot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  <w:sz w:val="21"/>
        </w:rPr>
        <w:t>ignore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the  facts in  the  complaint, even  though  they  may con</w:t>
      </w:r>
      <w:r>
        <w:rPr>
          <w:color w:val="5B5B5D"/>
          <w:w w:val="110"/>
          <w:sz w:val="21"/>
        </w:rPr>
        <w:t>s</w:t>
      </w:r>
      <w:r>
        <w:rPr>
          <w:color w:val="3A383A"/>
          <w:w w:val="110"/>
          <w:sz w:val="21"/>
        </w:rPr>
        <w:t>ist  of  nega­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</w:rPr>
        <w:t>tive characterizations of your client. The aforementioned techniques for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deemphasi</w:t>
      </w:r>
      <w:r>
        <w:rPr>
          <w:color w:val="5B5B5D"/>
          <w:w w:val="110"/>
        </w:rPr>
        <w:t>z</w:t>
      </w:r>
      <w:r>
        <w:rPr>
          <w:color w:val="3A383A"/>
          <w:w w:val="110"/>
        </w:rPr>
        <w:t>ing negative facts may be helpful, but you must always bat.</w:t>
      </w:r>
      <w:r>
        <w:rPr>
          <w:color w:val="3A383A"/>
          <w:spacing w:val="1"/>
          <w:w w:val="110"/>
        </w:rPr>
        <w:t> </w:t>
      </w:r>
      <w:r>
        <w:rPr>
          <w:color w:val="3A383A"/>
          <w:spacing w:val="-1"/>
          <w:w w:val="110"/>
        </w:rPr>
        <w:t>ance </w:t>
      </w:r>
      <w:r>
        <w:rPr>
          <w:color w:val="3A383A"/>
          <w:w w:val="110"/>
        </w:rPr>
        <w:t>the desire for persuasion with the need for credibility. lf you are too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05"/>
        </w:rPr>
        <w:t>abstract in your description of the und</w:t>
      </w:r>
      <w:r>
        <w:rPr>
          <w:color w:val="5B5B5D"/>
          <w:w w:val="105"/>
        </w:rPr>
        <w:t>e</w:t>
      </w:r>
      <w:r>
        <w:rPr>
          <w:color w:val="3A383A"/>
          <w:w w:val="105"/>
        </w:rPr>
        <w:t>rlying facts, the court may distrust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you. The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following  example comes from a  defendant's  brief  in  support of</w:t>
      </w:r>
      <w:r>
        <w:rPr>
          <w:color w:val="3A383A"/>
          <w:spacing w:val="-58"/>
          <w:w w:val="105"/>
        </w:rPr>
        <w:t> </w:t>
      </w:r>
      <w:r>
        <w:rPr>
          <w:color w:val="3A383A"/>
          <w:w w:val="110"/>
        </w:rPr>
        <w:t>a motion to dismiss. The defendant has been charged with sexual harass­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ment and has been accused of numerous instances of unwanted physical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contact with the  plaintiff</w:t>
      </w:r>
      <w:r>
        <w:rPr>
          <w:color w:val="5B5B5D"/>
          <w:w w:val="110"/>
        </w:rPr>
        <w:t>. </w:t>
      </w:r>
      <w:r>
        <w:rPr>
          <w:color w:val="3A383A"/>
          <w:w w:val="110"/>
        </w:rPr>
        <w:t>The description here is technically correct, but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  <w:sz w:val="21"/>
        </w:rPr>
        <w:t>it</w:t>
      </w:r>
      <w:r>
        <w:rPr>
          <w:color w:val="3A383A"/>
          <w:spacing w:val="37"/>
          <w:w w:val="110"/>
          <w:sz w:val="21"/>
        </w:rPr>
        <w:t> </w:t>
      </w:r>
      <w:r>
        <w:rPr>
          <w:color w:val="3A383A"/>
          <w:w w:val="110"/>
        </w:rPr>
        <w:t>would</w:t>
      </w:r>
      <w:r>
        <w:rPr>
          <w:color w:val="3A383A"/>
          <w:spacing w:val="14"/>
          <w:w w:val="110"/>
        </w:rPr>
        <w:t> </w:t>
      </w:r>
      <w:r>
        <w:rPr>
          <w:color w:val="3A383A"/>
          <w:w w:val="110"/>
        </w:rPr>
        <w:t>be</w:t>
      </w:r>
      <w:r>
        <w:rPr>
          <w:color w:val="3A383A"/>
          <w:spacing w:val="-12"/>
          <w:w w:val="110"/>
        </w:rPr>
        <w:t> </w:t>
      </w:r>
      <w:r>
        <w:rPr>
          <w:color w:val="3A383A"/>
          <w:w w:val="110"/>
        </w:rPr>
        <w:t>very</w:t>
      </w:r>
      <w:r>
        <w:rPr>
          <w:color w:val="3A383A"/>
          <w:spacing w:val="-8"/>
          <w:w w:val="110"/>
        </w:rPr>
        <w:t> </w:t>
      </w:r>
      <w:r>
        <w:rPr>
          <w:color w:val="3A383A"/>
          <w:w w:val="110"/>
        </w:rPr>
        <w:t>ineffective in</w:t>
      </w:r>
      <w:r>
        <w:rPr>
          <w:color w:val="3A383A"/>
          <w:spacing w:val="9"/>
          <w:w w:val="110"/>
        </w:rPr>
        <w:t> </w:t>
      </w:r>
      <w:r>
        <w:rPr>
          <w:color w:val="3A383A"/>
          <w:w w:val="110"/>
        </w:rPr>
        <w:t>a</w:t>
      </w:r>
      <w:r>
        <w:rPr>
          <w:color w:val="3A383A"/>
          <w:spacing w:val="5"/>
          <w:w w:val="110"/>
        </w:rPr>
        <w:t> </w:t>
      </w:r>
      <w:r>
        <w:rPr>
          <w:color w:val="3A383A"/>
          <w:w w:val="110"/>
        </w:rPr>
        <w:t>motion</w:t>
      </w:r>
      <w:r>
        <w:rPr>
          <w:color w:val="3A383A"/>
          <w:spacing w:val="6"/>
          <w:w w:val="110"/>
        </w:rPr>
        <w:t> </w:t>
      </w:r>
      <w:r>
        <w:rPr>
          <w:color w:val="3A383A"/>
          <w:w w:val="110"/>
        </w:rPr>
        <w:t>brief:</w:t>
      </w:r>
    </w:p>
    <w:p>
      <w:pPr>
        <w:pStyle w:val="BodyText"/>
        <w:spacing w:before="9"/>
        <w:rPr>
          <w:sz w:val="10"/>
        </w:rPr>
      </w:pPr>
    </w:p>
    <w:p>
      <w:pPr>
        <w:spacing w:before="95"/>
        <w:ind w:left="620" w:right="0" w:firstLine="0"/>
        <w:jc w:val="left"/>
        <w:rPr>
          <w:sz w:val="14"/>
        </w:rPr>
      </w:pPr>
      <w:r>
        <w:rPr>
          <w:color w:val="8A8C8E"/>
          <w:spacing w:val="-1"/>
          <w:w w:val="130"/>
          <w:sz w:val="14"/>
          <w:u w:val="thick" w:color="727275"/>
        </w:rPr>
        <w:t>-1/</w:t>
      </w:r>
      <w:r>
        <w:rPr>
          <w:color w:val="727275"/>
          <w:spacing w:val="-1"/>
          <w:w w:val="130"/>
          <w:sz w:val="14"/>
          <w:u w:val="thick" w:color="727275"/>
        </w:rPr>
        <w:t>BAD</w:t>
      </w:r>
      <w:r>
        <w:rPr>
          <w:color w:val="727275"/>
          <w:spacing w:val="1"/>
          <w:w w:val="130"/>
          <w:sz w:val="14"/>
        </w:rPr>
        <w:t> </w:t>
      </w:r>
      <w:r>
        <w:rPr>
          <w:color w:val="8A8C8E"/>
          <w:spacing w:val="-1"/>
          <w:w w:val="115"/>
          <w:sz w:val="14"/>
          <w:u w:val="thick" w:color="727275"/>
        </w:rPr>
        <w:t>E</w:t>
      </w:r>
      <w:r>
        <w:rPr>
          <w:color w:val="727275"/>
          <w:spacing w:val="-1"/>
          <w:w w:val="115"/>
          <w:sz w:val="14"/>
          <w:u w:val="thick" w:color="727275"/>
        </w:rPr>
        <w:t>XAMP</w:t>
      </w:r>
      <w:r>
        <w:rPr>
          <w:color w:val="8A8C8E"/>
          <w:spacing w:val="-1"/>
          <w:w w:val="115"/>
          <w:sz w:val="14"/>
          <w:u w:val="thick" w:color="727275"/>
        </w:rPr>
        <w:t>L</w:t>
      </w:r>
      <w:r>
        <w:rPr>
          <w:color w:val="727275"/>
          <w:spacing w:val="-1"/>
          <w:w w:val="115"/>
          <w:sz w:val="14"/>
          <w:u w:val="thick" w:color="727275"/>
        </w:rPr>
        <w:t>E</w:t>
      </w:r>
      <w:r>
        <w:rPr>
          <w:color w:val="727275"/>
          <w:spacing w:val="-8"/>
          <w:w w:val="115"/>
          <w:sz w:val="14"/>
          <w:u w:val="thick" w:color="727275"/>
        </w:rPr>
        <w:t> </w:t>
      </w:r>
      <w:r>
        <w:rPr>
          <w:color w:val="5B5B5D"/>
          <w:spacing w:val="-1"/>
          <w:w w:val="115"/>
          <w:sz w:val="14"/>
          <w:u w:val="thick" w:color="727275"/>
        </w:rPr>
        <w:t>FROM</w:t>
      </w:r>
      <w:r>
        <w:rPr>
          <w:color w:val="5B5B5D"/>
          <w:spacing w:val="1"/>
          <w:w w:val="115"/>
          <w:sz w:val="14"/>
          <w:u w:val="thick" w:color="727275"/>
        </w:rPr>
        <w:t> </w:t>
      </w:r>
      <w:r>
        <w:rPr>
          <w:color w:val="5B5B5D"/>
          <w:spacing w:val="-1"/>
          <w:w w:val="115"/>
          <w:sz w:val="14"/>
          <w:u w:val="thick" w:color="727275"/>
        </w:rPr>
        <w:t>DEFENDANT'S</w:t>
      </w:r>
      <w:r>
        <w:rPr>
          <w:color w:val="5B5B5D"/>
          <w:spacing w:val="9"/>
          <w:w w:val="115"/>
          <w:sz w:val="14"/>
          <w:u w:val="thick" w:color="727275"/>
        </w:rPr>
        <w:t> </w:t>
      </w:r>
      <w:r>
        <w:rPr>
          <w:color w:val="727275"/>
          <w:w w:val="115"/>
          <w:sz w:val="14"/>
          <w:u w:val="thick" w:color="727275"/>
        </w:rPr>
        <w:t>BRIEF</w:t>
      </w:r>
    </w:p>
    <w:p>
      <w:pPr>
        <w:spacing w:line="230" w:lineRule="auto" w:before="79"/>
        <w:ind w:left="985" w:right="503" w:firstLine="11"/>
        <w:jc w:val="both"/>
        <w:rPr>
          <w:b/>
          <w:sz w:val="21"/>
        </w:rPr>
      </w:pPr>
      <w:r>
        <w:rPr>
          <w:b/>
          <w:color w:val="3A383A"/>
          <w:w w:val="105"/>
          <w:sz w:val="21"/>
        </w:rPr>
        <w:t>Plaintiff, Lynda Garrett, claims that she experienced gender discrimi­</w:t>
      </w:r>
      <w:r>
        <w:rPr>
          <w:b/>
          <w:color w:val="3A383A"/>
          <w:spacing w:val="1"/>
          <w:w w:val="105"/>
          <w:sz w:val="21"/>
        </w:rPr>
        <w:t> </w:t>
      </w:r>
      <w:r>
        <w:rPr>
          <w:b/>
          <w:color w:val="3A383A"/>
          <w:spacing w:val="-1"/>
          <w:w w:val="110"/>
          <w:sz w:val="21"/>
        </w:rPr>
        <w:t>nation</w:t>
      </w:r>
      <w:r>
        <w:rPr>
          <w:b/>
          <w:color w:val="3A383A"/>
          <w:spacing w:val="-5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during</w:t>
      </w:r>
      <w:r>
        <w:rPr>
          <w:b/>
          <w:color w:val="3A383A"/>
          <w:spacing w:val="-8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her</w:t>
      </w:r>
      <w:r>
        <w:rPr>
          <w:b/>
          <w:color w:val="3A383A"/>
          <w:spacing w:val="-15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employment.</w:t>
      </w:r>
      <w:r>
        <w:rPr>
          <w:b/>
          <w:color w:val="3A383A"/>
          <w:spacing w:val="19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Compl.17.</w:t>
      </w:r>
    </w:p>
    <w:p>
      <w:pPr>
        <w:pStyle w:val="BodyText"/>
        <w:spacing w:line="228" w:lineRule="auto" w:before="156"/>
        <w:ind w:left="607" w:right="38" w:hanging="18"/>
      </w:pPr>
      <w:r>
        <w:rPr>
          <w:color w:val="3A383A"/>
          <w:w w:val="110"/>
        </w:rPr>
        <w:t>The court gets only a vague idea of what happened in the case and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would</w:t>
      </w:r>
      <w:r>
        <w:rPr>
          <w:color w:val="3A383A"/>
          <w:spacing w:val="-61"/>
          <w:w w:val="110"/>
        </w:rPr>
        <w:t> </w:t>
      </w:r>
      <w:r>
        <w:rPr>
          <w:color w:val="3A383A"/>
          <w:spacing w:val="-1"/>
          <w:w w:val="110"/>
        </w:rPr>
        <w:t>be</w:t>
      </w:r>
      <w:r>
        <w:rPr>
          <w:color w:val="3A383A"/>
          <w:spacing w:val="-20"/>
          <w:w w:val="110"/>
        </w:rPr>
        <w:t> </w:t>
      </w:r>
      <w:r>
        <w:rPr>
          <w:color w:val="3A383A"/>
          <w:w w:val="110"/>
        </w:rPr>
        <w:t>surprised</w:t>
      </w:r>
      <w:r>
        <w:rPr>
          <w:color w:val="3A383A"/>
          <w:spacing w:val="7"/>
          <w:w w:val="110"/>
        </w:rPr>
        <w:t> </w:t>
      </w:r>
      <w:r>
        <w:rPr>
          <w:color w:val="3A383A"/>
          <w:w w:val="110"/>
        </w:rPr>
        <w:t>when</w:t>
      </w:r>
      <w:r>
        <w:rPr>
          <w:color w:val="3A383A"/>
          <w:spacing w:val="6"/>
          <w:w w:val="110"/>
        </w:rPr>
        <w:t> </w:t>
      </w:r>
      <w:r>
        <w:rPr>
          <w:color w:val="3A383A"/>
          <w:w w:val="110"/>
        </w:rPr>
        <w:t>it</w:t>
      </w:r>
      <w:r>
        <w:rPr>
          <w:color w:val="3A383A"/>
          <w:spacing w:val="8"/>
          <w:w w:val="110"/>
        </w:rPr>
        <w:t> </w:t>
      </w:r>
      <w:r>
        <w:rPr>
          <w:color w:val="3A383A"/>
          <w:w w:val="110"/>
        </w:rPr>
        <w:t>reads</w:t>
      </w:r>
      <w:r>
        <w:rPr>
          <w:color w:val="3A383A"/>
          <w:spacing w:val="-8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18"/>
          <w:w w:val="110"/>
        </w:rPr>
        <w:t> </w:t>
      </w:r>
      <w:r>
        <w:rPr>
          <w:color w:val="3A383A"/>
          <w:w w:val="110"/>
        </w:rPr>
        <w:t>plaintiff's</w:t>
      </w:r>
      <w:r>
        <w:rPr>
          <w:color w:val="3A383A"/>
          <w:spacing w:val="2"/>
          <w:w w:val="110"/>
        </w:rPr>
        <w:t> </w:t>
      </w:r>
      <w:r>
        <w:rPr>
          <w:color w:val="3A383A"/>
          <w:w w:val="110"/>
        </w:rPr>
        <w:t>version</w:t>
      </w:r>
      <w:r>
        <w:rPr>
          <w:color w:val="3A383A"/>
          <w:spacing w:val="-1"/>
          <w:w w:val="110"/>
        </w:rPr>
        <w:t> </w:t>
      </w:r>
      <w:r>
        <w:rPr>
          <w:color w:val="3A383A"/>
          <w:w w:val="110"/>
        </w:rPr>
        <w:t>of</w:t>
      </w:r>
      <w:r>
        <w:rPr>
          <w:color w:val="3A383A"/>
          <w:spacing w:val="5"/>
          <w:w w:val="110"/>
        </w:rPr>
        <w:t> </w:t>
      </w:r>
      <w:r>
        <w:rPr>
          <w:color w:val="3A383A"/>
          <w:w w:val="110"/>
        </w:rPr>
        <w:t>events</w:t>
      </w:r>
      <w:r>
        <w:rPr>
          <w:color w:val="5B5B5D"/>
          <w:w w:val="110"/>
        </w:rPr>
        <w:t>:</w:t>
      </w:r>
    </w:p>
    <w:p>
      <w:pPr>
        <w:tabs>
          <w:tab w:pos="949" w:val="left" w:leader="none"/>
        </w:tabs>
        <w:spacing w:before="226"/>
        <w:ind w:left="572" w:right="0" w:firstLine="0"/>
        <w:jc w:val="left"/>
        <w:rPr>
          <w:sz w:val="14"/>
        </w:rPr>
      </w:pPr>
      <w:r>
        <w:rPr>
          <w:color w:val="5B5B5D"/>
          <w:w w:val="115"/>
          <w:sz w:val="14"/>
        </w:rPr>
        <w:t>-/'</w:t>
        <w:tab/>
      </w:r>
      <w:r>
        <w:rPr>
          <w:color w:val="727275"/>
          <w:w w:val="115"/>
          <w:sz w:val="14"/>
          <w:u w:val="thick" w:color="3A383A"/>
        </w:rPr>
        <w:t>GO</w:t>
      </w:r>
      <w:r>
        <w:rPr>
          <w:color w:val="8A8C8E"/>
          <w:w w:val="115"/>
          <w:sz w:val="14"/>
          <w:u w:val="thick" w:color="3A383A"/>
        </w:rPr>
        <w:t>O</w:t>
      </w:r>
      <w:r>
        <w:rPr>
          <w:color w:val="727275"/>
          <w:w w:val="115"/>
          <w:sz w:val="14"/>
          <w:u w:val="thick" w:color="3A383A"/>
        </w:rPr>
        <w:t>D</w:t>
      </w:r>
      <w:r>
        <w:rPr>
          <w:color w:val="727275"/>
          <w:spacing w:val="17"/>
          <w:w w:val="115"/>
          <w:sz w:val="14"/>
          <w:u w:val="thick" w:color="3A383A"/>
        </w:rPr>
        <w:t> </w:t>
      </w:r>
      <w:r>
        <w:rPr>
          <w:color w:val="727275"/>
          <w:w w:val="115"/>
          <w:sz w:val="14"/>
          <w:u w:val="thick" w:color="3A383A"/>
        </w:rPr>
        <w:t>EXAMPLE</w:t>
      </w:r>
      <w:r>
        <w:rPr>
          <w:color w:val="727275"/>
          <w:spacing w:val="14"/>
          <w:w w:val="115"/>
          <w:sz w:val="14"/>
          <w:u w:val="thick" w:color="3A383A"/>
        </w:rPr>
        <w:t> </w:t>
      </w:r>
      <w:r>
        <w:rPr>
          <w:color w:val="5B5B5D"/>
          <w:w w:val="115"/>
          <w:sz w:val="14"/>
          <w:u w:val="thick" w:color="3A383A"/>
        </w:rPr>
        <w:t>FROM</w:t>
      </w:r>
      <w:r>
        <w:rPr>
          <w:color w:val="5B5B5D"/>
          <w:spacing w:val="12"/>
          <w:w w:val="115"/>
          <w:sz w:val="14"/>
          <w:u w:val="thick" w:color="3A383A"/>
        </w:rPr>
        <w:t> </w:t>
      </w:r>
      <w:r>
        <w:rPr>
          <w:color w:val="5B5B5D"/>
          <w:w w:val="115"/>
          <w:sz w:val="14"/>
          <w:u w:val="thick" w:color="3A383A"/>
        </w:rPr>
        <w:t>PlA</w:t>
      </w:r>
      <w:r>
        <w:rPr>
          <w:color w:val="3A383A"/>
          <w:w w:val="115"/>
          <w:sz w:val="14"/>
          <w:u w:val="thick" w:color="3A383A"/>
        </w:rPr>
        <w:t>I</w:t>
      </w:r>
      <w:r>
        <w:rPr>
          <w:color w:val="727275"/>
          <w:w w:val="115"/>
          <w:sz w:val="14"/>
          <w:u w:val="thick" w:color="3A383A"/>
        </w:rPr>
        <w:t>NTlff'S</w:t>
      </w:r>
      <w:r>
        <w:rPr>
          <w:color w:val="727275"/>
          <w:spacing w:val="15"/>
          <w:w w:val="115"/>
          <w:sz w:val="14"/>
          <w:u w:val="thick" w:color="3A383A"/>
        </w:rPr>
        <w:t> </w:t>
      </w:r>
      <w:r>
        <w:rPr>
          <w:color w:val="5B5B5D"/>
          <w:w w:val="115"/>
          <w:sz w:val="14"/>
          <w:u w:val="thick" w:color="3A383A"/>
        </w:rPr>
        <w:t>BR</w:t>
      </w:r>
      <w:r>
        <w:rPr>
          <w:color w:val="3A383A"/>
          <w:w w:val="115"/>
          <w:sz w:val="14"/>
          <w:u w:val="thick" w:color="3A383A"/>
        </w:rPr>
        <w:t>I</w:t>
      </w:r>
      <w:r>
        <w:rPr>
          <w:color w:val="5B5B5D"/>
          <w:w w:val="115"/>
          <w:sz w:val="14"/>
          <w:u w:val="thick" w:color="3A383A"/>
        </w:rPr>
        <w:t>E</w:t>
      </w:r>
      <w:r>
        <w:rPr>
          <w:color w:val="3A383A"/>
          <w:w w:val="115"/>
          <w:sz w:val="14"/>
          <w:u w:val="thick" w:color="3A383A"/>
        </w:rPr>
        <w:t>F</w:t>
      </w:r>
    </w:p>
    <w:p>
      <w:pPr>
        <w:spacing w:line="232" w:lineRule="auto" w:before="78"/>
        <w:ind w:left="906" w:right="506" w:firstLine="36"/>
        <w:jc w:val="both"/>
        <w:rPr>
          <w:b/>
          <w:sz w:val="21"/>
        </w:rPr>
      </w:pPr>
      <w:r>
        <w:rPr>
          <w:b/>
          <w:color w:val="3A383A"/>
          <w:w w:val="110"/>
          <w:sz w:val="21"/>
        </w:rPr>
        <w:t>While Ms. Garrett was employed by Marvin</w:t>
      </w:r>
      <w:r>
        <w:rPr>
          <w:b/>
          <w:color w:val="5B5B5D"/>
          <w:w w:val="110"/>
          <w:sz w:val="21"/>
        </w:rPr>
        <w:t>-</w:t>
      </w:r>
      <w:r>
        <w:rPr>
          <w:b/>
          <w:color w:val="3A383A"/>
          <w:w w:val="110"/>
          <w:sz w:val="21"/>
        </w:rPr>
        <w:t>Kobacker, Defendant</w:t>
      </w:r>
      <w:r>
        <w:rPr>
          <w:b/>
          <w:color w:val="3A383A"/>
          <w:spacing w:val="1"/>
          <w:w w:val="110"/>
          <w:sz w:val="21"/>
        </w:rPr>
        <w:t> </w:t>
      </w:r>
      <w:r>
        <w:rPr>
          <w:b/>
          <w:color w:val="3A383A"/>
          <w:spacing w:val="-1"/>
          <w:w w:val="110"/>
          <w:sz w:val="21"/>
        </w:rPr>
        <w:t>Kirkby</w:t>
      </w:r>
      <w:r>
        <w:rPr>
          <w:b/>
          <w:color w:val="3A383A"/>
          <w:spacing w:val="-17"/>
          <w:w w:val="110"/>
          <w:sz w:val="21"/>
        </w:rPr>
        <w:t> </w:t>
      </w:r>
      <w:r>
        <w:rPr>
          <w:b/>
          <w:color w:val="3A383A"/>
          <w:spacing w:val="-1"/>
          <w:w w:val="110"/>
          <w:sz w:val="21"/>
        </w:rPr>
        <w:t>created</w:t>
      </w:r>
      <w:r>
        <w:rPr>
          <w:b/>
          <w:color w:val="3A383A"/>
          <w:spacing w:val="-24"/>
          <w:w w:val="110"/>
          <w:sz w:val="21"/>
        </w:rPr>
        <w:t> </w:t>
      </w:r>
      <w:r>
        <w:rPr>
          <w:b/>
          <w:color w:val="3A383A"/>
          <w:spacing w:val="-1"/>
          <w:w w:val="110"/>
          <w:sz w:val="21"/>
        </w:rPr>
        <w:t>a</w:t>
      </w:r>
      <w:r>
        <w:rPr>
          <w:b/>
          <w:color w:val="3A383A"/>
          <w:spacing w:val="3"/>
          <w:w w:val="110"/>
          <w:sz w:val="21"/>
        </w:rPr>
        <w:t> </w:t>
      </w:r>
      <w:r>
        <w:rPr>
          <w:b/>
          <w:color w:val="3A383A"/>
          <w:spacing w:val="-1"/>
          <w:w w:val="110"/>
          <w:sz w:val="21"/>
        </w:rPr>
        <w:t>hostile</w:t>
      </w:r>
      <w:r>
        <w:rPr>
          <w:b/>
          <w:color w:val="3A383A"/>
          <w:spacing w:val="-16"/>
          <w:w w:val="110"/>
          <w:sz w:val="21"/>
        </w:rPr>
        <w:t> </w:t>
      </w:r>
      <w:r>
        <w:rPr>
          <w:b/>
          <w:color w:val="3A383A"/>
          <w:spacing w:val="-1"/>
          <w:w w:val="110"/>
          <w:sz w:val="21"/>
        </w:rPr>
        <w:t>work</w:t>
      </w:r>
      <w:r>
        <w:rPr>
          <w:b/>
          <w:color w:val="3A383A"/>
          <w:spacing w:val="-16"/>
          <w:w w:val="110"/>
          <w:sz w:val="21"/>
        </w:rPr>
        <w:t> </w:t>
      </w:r>
      <w:r>
        <w:rPr>
          <w:b/>
          <w:color w:val="3A383A"/>
          <w:spacing w:val="-1"/>
          <w:w w:val="110"/>
          <w:sz w:val="21"/>
        </w:rPr>
        <w:t>environment</w:t>
      </w:r>
      <w:r>
        <w:rPr>
          <w:b/>
          <w:color w:val="3A383A"/>
          <w:spacing w:val="1"/>
          <w:w w:val="110"/>
          <w:sz w:val="21"/>
        </w:rPr>
        <w:t> </w:t>
      </w:r>
      <w:r>
        <w:rPr>
          <w:b/>
          <w:color w:val="3A383A"/>
          <w:spacing w:val="-1"/>
          <w:w w:val="110"/>
          <w:sz w:val="21"/>
        </w:rPr>
        <w:t>for</w:t>
      </w:r>
      <w:r>
        <w:rPr>
          <w:b/>
          <w:color w:val="3A383A"/>
          <w:spacing w:val="-27"/>
          <w:w w:val="110"/>
          <w:sz w:val="21"/>
        </w:rPr>
        <w:t> </w:t>
      </w:r>
      <w:r>
        <w:rPr>
          <w:b/>
          <w:color w:val="3A383A"/>
          <w:spacing w:val="-1"/>
          <w:w w:val="110"/>
          <w:sz w:val="21"/>
        </w:rPr>
        <w:t>her</w:t>
      </w:r>
      <w:r>
        <w:rPr>
          <w:b/>
          <w:color w:val="3A383A"/>
          <w:spacing w:val="-14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because</w:t>
      </w:r>
      <w:r>
        <w:rPr>
          <w:b/>
          <w:color w:val="3A383A"/>
          <w:spacing w:val="-27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of</w:t>
      </w:r>
      <w:r>
        <w:rPr>
          <w:b/>
          <w:color w:val="3A383A"/>
          <w:spacing w:val="11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her</w:t>
      </w:r>
      <w:r>
        <w:rPr>
          <w:b/>
          <w:color w:val="3A383A"/>
          <w:spacing w:val="-15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gen.</w:t>
      </w:r>
      <w:r>
        <w:rPr>
          <w:b/>
          <w:color w:val="3A383A"/>
          <w:spacing w:val="1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der. Compl.17. Kirkby </w:t>
      </w:r>
      <w:r>
        <w:rPr>
          <w:color w:val="3A383A"/>
          <w:w w:val="110"/>
          <w:sz w:val="21"/>
        </w:rPr>
        <w:t>continuously </w:t>
      </w:r>
      <w:r>
        <w:rPr>
          <w:b/>
          <w:color w:val="3A383A"/>
          <w:w w:val="110"/>
          <w:sz w:val="21"/>
        </w:rPr>
        <w:t>made sexual comments both to</w:t>
      </w:r>
      <w:r>
        <w:rPr>
          <w:b/>
          <w:color w:val="3A383A"/>
          <w:spacing w:val="1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and</w:t>
      </w:r>
      <w:r>
        <w:rPr>
          <w:b/>
          <w:color w:val="3A383A"/>
          <w:spacing w:val="24"/>
          <w:w w:val="110"/>
          <w:sz w:val="21"/>
        </w:rPr>
        <w:t> </w:t>
      </w:r>
      <w:r>
        <w:rPr>
          <w:b/>
          <w:color w:val="5B5B5D"/>
          <w:w w:val="110"/>
          <w:sz w:val="21"/>
        </w:rPr>
        <w:t>a</w:t>
      </w:r>
      <w:r>
        <w:rPr>
          <w:b/>
          <w:color w:val="3A383A"/>
          <w:w w:val="110"/>
          <w:sz w:val="21"/>
        </w:rPr>
        <w:t>bout</w:t>
      </w:r>
      <w:r>
        <w:rPr>
          <w:b/>
          <w:color w:val="3A383A"/>
          <w:spacing w:val="22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Ms</w:t>
      </w:r>
      <w:r>
        <w:rPr>
          <w:b/>
          <w:color w:val="5B5B5D"/>
          <w:w w:val="110"/>
          <w:sz w:val="21"/>
        </w:rPr>
        <w:t>.</w:t>
      </w:r>
      <w:r>
        <w:rPr>
          <w:b/>
          <w:color w:val="5B5B5D"/>
          <w:spacing w:val="15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Garrett</w:t>
      </w:r>
      <w:r>
        <w:rPr>
          <w:b/>
          <w:color w:val="727275"/>
          <w:w w:val="110"/>
          <w:sz w:val="21"/>
        </w:rPr>
        <w:t>.</w:t>
      </w:r>
      <w:r>
        <w:rPr>
          <w:b/>
          <w:color w:val="727275"/>
          <w:spacing w:val="8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Compl.17.</w:t>
      </w:r>
      <w:r>
        <w:rPr>
          <w:b/>
          <w:color w:val="3A383A"/>
          <w:spacing w:val="4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On</w:t>
      </w:r>
      <w:r>
        <w:rPr>
          <w:b/>
          <w:color w:val="3A383A"/>
          <w:spacing w:val="-1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an</w:t>
      </w:r>
      <w:r>
        <w:rPr>
          <w:b/>
          <w:color w:val="3A383A"/>
          <w:spacing w:val="14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almost</w:t>
      </w:r>
      <w:r>
        <w:rPr>
          <w:b/>
          <w:color w:val="3A383A"/>
          <w:spacing w:val="1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daily</w:t>
      </w:r>
      <w:r>
        <w:rPr>
          <w:b/>
          <w:color w:val="3A383A"/>
          <w:spacing w:val="8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basis,</w:t>
      </w:r>
      <w:r>
        <w:rPr>
          <w:b/>
          <w:color w:val="3A383A"/>
          <w:spacing w:val="23"/>
          <w:w w:val="110"/>
          <w:sz w:val="21"/>
        </w:rPr>
        <w:t> </w:t>
      </w:r>
      <w:r>
        <w:rPr>
          <w:b/>
          <w:color w:val="3A383A"/>
          <w:w w:val="110"/>
          <w:sz w:val="21"/>
        </w:rPr>
        <w:t>Kirkby</w:t>
      </w:r>
    </w:p>
    <w:p>
      <w:pPr>
        <w:spacing w:after="0" w:line="232" w:lineRule="auto"/>
        <w:jc w:val="both"/>
        <w:rPr>
          <w:sz w:val="21"/>
        </w:rPr>
        <w:sectPr>
          <w:headerReference w:type="even" r:id="rId240"/>
          <w:headerReference w:type="default" r:id="rId241"/>
          <w:pgSz w:w="9810" w:h="13990"/>
          <w:pgMar w:header="533" w:footer="0" w:top="1120" w:bottom="0" w:left="1360" w:right="200"/>
          <w:pgNumType w:start="212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spacing w:line="232" w:lineRule="auto" w:before="1"/>
        <w:ind w:left="434" w:right="902" w:hanging="4"/>
        <w:jc w:val="both"/>
        <w:rPr>
          <w:b/>
          <w:sz w:val="21"/>
        </w:rPr>
      </w:pPr>
      <w:r>
        <w:rPr>
          <w:color w:val="383638"/>
          <w:w w:val="115"/>
          <w:sz w:val="21"/>
        </w:rPr>
        <w:t>would ask Ms. Garrett to have intercourse with him, often using vul­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spacing w:val="-1"/>
          <w:w w:val="115"/>
          <w:sz w:val="21"/>
        </w:rPr>
        <w:t>gar language. CompJ.17a. Ms. Garrett initially </w:t>
      </w:r>
      <w:r>
        <w:rPr>
          <w:color w:val="383638"/>
          <w:w w:val="115"/>
          <w:sz w:val="21"/>
        </w:rPr>
        <w:t>ignored Kirkby's com­</w:t>
      </w:r>
      <w:r>
        <w:rPr>
          <w:color w:val="383638"/>
          <w:spacing w:val="-58"/>
          <w:w w:val="115"/>
          <w:sz w:val="21"/>
        </w:rPr>
        <w:t> </w:t>
      </w:r>
      <w:r>
        <w:rPr>
          <w:color w:val="383638"/>
          <w:w w:val="115"/>
          <w:sz w:val="21"/>
        </w:rPr>
        <w:t>ments and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then repeatedly pleaded with him to stop making such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comments</w:t>
      </w:r>
      <w:r>
        <w:rPr>
          <w:color w:val="5D5D60"/>
          <w:w w:val="115"/>
          <w:sz w:val="21"/>
        </w:rPr>
        <w:t>.</w:t>
      </w:r>
      <w:r>
        <w:rPr>
          <w:color w:val="5D5D60"/>
          <w:spacing w:val="-16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Compl.17a.</w:t>
      </w:r>
    </w:p>
    <w:p>
      <w:pPr>
        <w:pStyle w:val="BodyText"/>
        <w:spacing w:line="232" w:lineRule="auto" w:before="153"/>
        <w:ind w:left="107" w:right="515" w:firstLine="8"/>
        <w:jc w:val="both"/>
      </w:pPr>
      <w:r>
        <w:rPr>
          <w:color w:val="383638"/>
          <w:w w:val="110"/>
        </w:rPr>
        <w:t>On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other hand, the statements in the complaint are merely allega­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tions, even though they must be taken as true for purposes of the motion.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Thus, if you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are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counsel for the defendant, you </w:t>
      </w:r>
      <w:r>
        <w:rPr>
          <w:color w:val="4D4D4D"/>
          <w:w w:val="105"/>
        </w:rPr>
        <w:t>should </w:t>
      </w:r>
      <w:r>
        <w:rPr>
          <w:color w:val="383638"/>
          <w:w w:val="105"/>
        </w:rPr>
        <w:t>not write your fact</w:t>
      </w:r>
      <w:r>
        <w:rPr>
          <w:color w:val="383638"/>
          <w:spacing w:val="1"/>
          <w:w w:val="105"/>
        </w:rPr>
        <w:t> </w:t>
      </w:r>
      <w:r>
        <w:rPr>
          <w:color w:val="383638"/>
          <w:spacing w:val="-1"/>
          <w:w w:val="110"/>
        </w:rPr>
        <w:t>statement</w:t>
      </w:r>
      <w:r>
        <w:rPr>
          <w:color w:val="383638"/>
          <w:spacing w:val="-6"/>
          <w:w w:val="110"/>
        </w:rPr>
        <w:t> </w:t>
      </w:r>
      <w:r>
        <w:rPr>
          <w:color w:val="383638"/>
          <w:spacing w:val="-1"/>
          <w:w w:val="110"/>
        </w:rPr>
        <w:t>as</w:t>
      </w:r>
      <w:r>
        <w:rPr>
          <w:color w:val="383638"/>
          <w:spacing w:val="5"/>
          <w:w w:val="110"/>
        </w:rPr>
        <w:t> </w:t>
      </w:r>
      <w:r>
        <w:rPr>
          <w:color w:val="383638"/>
          <w:spacing w:val="-1"/>
          <w:w w:val="110"/>
        </w:rPr>
        <w:t>if</w:t>
      </w:r>
      <w:r>
        <w:rPr>
          <w:color w:val="383638"/>
          <w:spacing w:val="9"/>
          <w:w w:val="110"/>
        </w:rPr>
        <w:t> </w:t>
      </w:r>
      <w:r>
        <w:rPr>
          <w:color w:val="383638"/>
          <w:spacing w:val="-1"/>
          <w:w w:val="110"/>
        </w:rPr>
        <w:t>you</w:t>
      </w:r>
      <w:r>
        <w:rPr>
          <w:color w:val="383638"/>
          <w:spacing w:val="49"/>
          <w:w w:val="110"/>
        </w:rPr>
        <w:t> </w:t>
      </w:r>
      <w:r>
        <w:rPr>
          <w:color w:val="383638"/>
          <w:spacing w:val="-1"/>
          <w:w w:val="110"/>
        </w:rPr>
        <w:t>believe</w:t>
      </w:r>
      <w:r>
        <w:rPr>
          <w:color w:val="383638"/>
          <w:spacing w:val="-5"/>
          <w:w w:val="110"/>
        </w:rPr>
        <w:t> </w:t>
      </w:r>
      <w:r>
        <w:rPr>
          <w:color w:val="383638"/>
          <w:spacing w:val="-1"/>
          <w:w w:val="110"/>
        </w:rPr>
        <w:t>that</w:t>
      </w:r>
      <w:r>
        <w:rPr>
          <w:color w:val="383638"/>
          <w:w w:val="110"/>
        </w:rPr>
        <w:t> the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statements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are true:</w:t>
      </w:r>
    </w:p>
    <w:p>
      <w:pPr>
        <w:pStyle w:val="BodyText"/>
        <w:spacing w:before="11"/>
        <w:rPr>
          <w:sz w:val="14"/>
        </w:rPr>
      </w:pPr>
    </w:p>
    <w:p>
      <w:pPr>
        <w:spacing w:before="93"/>
        <w:ind w:left="117" w:right="0" w:firstLine="0"/>
        <w:jc w:val="left"/>
        <w:rPr>
          <w:sz w:val="16"/>
        </w:rPr>
      </w:pPr>
      <w:r>
        <w:rPr>
          <w:color w:val="383638"/>
          <w:spacing w:val="-1"/>
          <w:sz w:val="16"/>
          <w:u w:val="thick" w:color="383638"/>
        </w:rPr>
        <w:t>-VBAD</w:t>
      </w:r>
      <w:r>
        <w:rPr>
          <w:color w:val="383638"/>
          <w:spacing w:val="-4"/>
          <w:sz w:val="16"/>
        </w:rPr>
        <w:t> </w:t>
      </w:r>
      <w:r>
        <w:rPr>
          <w:color w:val="4D4D4D"/>
          <w:sz w:val="16"/>
          <w:u w:val="thick" w:color="5D5D60"/>
        </w:rPr>
        <w:t>EXAMP</w:t>
      </w:r>
      <w:r>
        <w:rPr>
          <w:color w:val="6E7072"/>
          <w:sz w:val="16"/>
          <w:u w:val="thick" w:color="5D5D60"/>
        </w:rPr>
        <w:t>L</w:t>
      </w:r>
      <w:r>
        <w:rPr>
          <w:color w:val="383638"/>
          <w:sz w:val="16"/>
          <w:u w:val="thick" w:color="5D5D60"/>
        </w:rPr>
        <w:t>E</w:t>
      </w:r>
      <w:r>
        <w:rPr>
          <w:color w:val="383638"/>
          <w:spacing w:val="-15"/>
          <w:sz w:val="16"/>
          <w:u w:val="thick" w:color="5D5D60"/>
        </w:rPr>
        <w:t> </w:t>
      </w:r>
      <w:r>
        <w:rPr>
          <w:color w:val="383638"/>
          <w:sz w:val="16"/>
          <w:u w:val="thick" w:color="5D5D60"/>
        </w:rPr>
        <w:t>F</w:t>
      </w:r>
      <w:r>
        <w:rPr>
          <w:color w:val="5D5D60"/>
          <w:sz w:val="16"/>
          <w:u w:val="thick" w:color="5D5D60"/>
        </w:rPr>
        <w:t>ROM</w:t>
      </w:r>
      <w:r>
        <w:rPr>
          <w:color w:val="5D5D60"/>
          <w:spacing w:val="18"/>
          <w:sz w:val="16"/>
          <w:u w:val="thick" w:color="5D5D60"/>
        </w:rPr>
        <w:t> </w:t>
      </w:r>
      <w:r>
        <w:rPr>
          <w:color w:val="4D4D4D"/>
          <w:sz w:val="16"/>
          <w:u w:val="thick" w:color="5D5D60"/>
        </w:rPr>
        <w:t>DEFENDANT'S</w:t>
      </w:r>
      <w:r>
        <w:rPr>
          <w:color w:val="4D4D4D"/>
          <w:spacing w:val="18"/>
          <w:sz w:val="16"/>
          <w:u w:val="thick" w:color="5D5D60"/>
        </w:rPr>
        <w:t> </w:t>
      </w:r>
      <w:r>
        <w:rPr>
          <w:color w:val="5D5D60"/>
          <w:sz w:val="16"/>
          <w:u w:val="thick" w:color="5D5D60"/>
        </w:rPr>
        <w:t>BRIEF</w:t>
      </w:r>
    </w:p>
    <w:p>
      <w:pPr>
        <w:spacing w:line="235" w:lineRule="auto" w:before="101"/>
        <w:ind w:left="442" w:right="854" w:firstLine="4"/>
        <w:jc w:val="both"/>
        <w:rPr>
          <w:b/>
          <w:sz w:val="21"/>
        </w:rPr>
      </w:pPr>
      <w:r>
        <w:rPr>
          <w:b/>
          <w:color w:val="383638"/>
          <w:w w:val="105"/>
          <w:sz w:val="21"/>
        </w:rPr>
        <w:t>Plaintiff, Lynda Garrett, experienced a hostile working environment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during her employment with Marvin-Kobacker. CompJ.Cf7. Defendant</w:t>
      </w:r>
      <w:r>
        <w:rPr>
          <w:b/>
          <w:color w:val="383638"/>
          <w:spacing w:val="-53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Kirkby assigned her to an area where she was required to work alone,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and he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made sexual comments and advances,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to  which she initially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made no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response.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Compl.Cf 6.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Kirkby touched her in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an offensive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manner and threatened to fire her if she complained about his behav­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ior.</w:t>
      </w:r>
      <w:r>
        <w:rPr>
          <w:b/>
          <w:color w:val="383638"/>
          <w:spacing w:val="-10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Compl.17b.</w:t>
      </w:r>
    </w:p>
    <w:p>
      <w:pPr>
        <w:pStyle w:val="BodyText"/>
        <w:spacing w:line="235" w:lineRule="auto" w:before="156"/>
        <w:ind w:left="130" w:right="184" w:hanging="4"/>
      </w:pPr>
      <w:r>
        <w:rPr>
          <w:color w:val="383638"/>
          <w:w w:val="110"/>
        </w:rPr>
        <w:t>Instead,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put</w:t>
      </w:r>
      <w:r>
        <w:rPr>
          <w:color w:val="383638"/>
          <w:spacing w:val="31"/>
          <w:w w:val="110"/>
        </w:rPr>
        <w:t> </w:t>
      </w:r>
      <w:r>
        <w:rPr>
          <w:color w:val="383638"/>
          <w:w w:val="110"/>
        </w:rPr>
        <w:t>these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allegations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plaintiff's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"mouth";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is,</w:t>
      </w:r>
      <w:r>
        <w:rPr>
          <w:color w:val="383638"/>
          <w:spacing w:val="-34"/>
          <w:w w:val="110"/>
        </w:rPr>
        <w:t> </w:t>
      </w:r>
      <w:r>
        <w:rPr>
          <w:color w:val="383638"/>
          <w:w w:val="110"/>
        </w:rPr>
        <w:t>make</w:t>
      </w:r>
      <w:r>
        <w:rPr>
          <w:color w:val="383638"/>
          <w:spacing w:val="-29"/>
          <w:w w:val="110"/>
        </w:rPr>
        <w:t> </w:t>
      </w:r>
      <w:r>
        <w:rPr>
          <w:color w:val="383638"/>
          <w:w w:val="110"/>
        </w:rPr>
        <w:t>clear</w:t>
      </w:r>
      <w:r>
        <w:rPr>
          <w:color w:val="383638"/>
          <w:spacing w:val="-60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these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are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allegations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complaint:</w:t>
      </w:r>
    </w:p>
    <w:p>
      <w:pPr>
        <w:pStyle w:val="BodyText"/>
        <w:spacing w:before="1"/>
        <w:rPr>
          <w:sz w:val="14"/>
        </w:rPr>
      </w:pPr>
    </w:p>
    <w:p>
      <w:pPr>
        <w:spacing w:before="94"/>
        <w:ind w:left="163" w:right="0" w:firstLine="0"/>
        <w:jc w:val="both"/>
        <w:rPr>
          <w:sz w:val="16"/>
        </w:rPr>
      </w:pPr>
      <w:r>
        <w:rPr>
          <w:color w:val="4D4D4D"/>
          <w:spacing w:val="-1"/>
          <w:sz w:val="16"/>
          <w:u w:val="thick" w:color="4D4D4D"/>
        </w:rPr>
        <w:t>_/\</w:t>
      </w:r>
      <w:r>
        <w:rPr>
          <w:color w:val="4D4D4D"/>
          <w:spacing w:val="11"/>
          <w:sz w:val="16"/>
          <w:u w:val="thick" w:color="4D4D4D"/>
        </w:rPr>
        <w:t> </w:t>
      </w:r>
      <w:r>
        <w:rPr>
          <w:color w:val="383638"/>
          <w:spacing w:val="-1"/>
          <w:sz w:val="16"/>
          <w:u w:val="thick" w:color="4D4D4D"/>
        </w:rPr>
        <w:t>G</w:t>
      </w:r>
      <w:r>
        <w:rPr>
          <w:color w:val="5D5D60"/>
          <w:spacing w:val="-1"/>
          <w:sz w:val="16"/>
          <w:u w:val="thick" w:color="4D4D4D"/>
        </w:rPr>
        <w:t>OOD</w:t>
      </w:r>
      <w:r>
        <w:rPr>
          <w:color w:val="5D5D60"/>
          <w:spacing w:val="-9"/>
          <w:sz w:val="16"/>
          <w:u w:val="thick" w:color="4D4D4D"/>
        </w:rPr>
        <w:t> </w:t>
      </w:r>
      <w:r>
        <w:rPr>
          <w:color w:val="6E7072"/>
          <w:spacing w:val="-1"/>
          <w:sz w:val="16"/>
          <w:u w:val="thick" w:color="4D4D4D"/>
        </w:rPr>
        <w:t>EXAMPLE</w:t>
      </w:r>
      <w:r>
        <w:rPr>
          <w:color w:val="6E7072"/>
          <w:spacing w:val="-4"/>
          <w:sz w:val="16"/>
          <w:u w:val="thick" w:color="4D4D4D"/>
        </w:rPr>
        <w:t> </w:t>
      </w:r>
      <w:r>
        <w:rPr>
          <w:color w:val="5D5D60"/>
          <w:spacing w:val="-1"/>
          <w:sz w:val="16"/>
          <w:u w:val="thick" w:color="4D4D4D"/>
        </w:rPr>
        <w:t>F</w:t>
      </w:r>
      <w:r>
        <w:rPr>
          <w:color w:val="828387"/>
          <w:spacing w:val="-1"/>
          <w:sz w:val="16"/>
          <w:u w:val="thick" w:color="4D4D4D"/>
        </w:rPr>
        <w:t>ROM</w:t>
      </w:r>
      <w:r>
        <w:rPr>
          <w:color w:val="828387"/>
          <w:sz w:val="16"/>
          <w:u w:val="thick" w:color="4D4D4D"/>
        </w:rPr>
        <w:t> </w:t>
      </w:r>
      <w:r>
        <w:rPr>
          <w:color w:val="5D5D60"/>
          <w:spacing w:val="-1"/>
          <w:sz w:val="16"/>
          <w:u w:val="thick" w:color="4D4D4D"/>
        </w:rPr>
        <w:t>DEFEND</w:t>
      </w:r>
      <w:r>
        <w:rPr>
          <w:color w:val="828387"/>
          <w:spacing w:val="-1"/>
          <w:sz w:val="16"/>
          <w:u w:val="thick" w:color="4D4D4D"/>
        </w:rPr>
        <w:t>A</w:t>
      </w:r>
      <w:r>
        <w:rPr>
          <w:color w:val="5D5D60"/>
          <w:spacing w:val="-1"/>
          <w:sz w:val="16"/>
          <w:u w:val="thick" w:color="4D4D4D"/>
        </w:rPr>
        <w:t>NT'S</w:t>
      </w:r>
      <w:r>
        <w:rPr>
          <w:color w:val="5D5D60"/>
          <w:spacing w:val="-3"/>
          <w:sz w:val="16"/>
          <w:u w:val="thick" w:color="4D4D4D"/>
        </w:rPr>
        <w:t> </w:t>
      </w:r>
      <w:r>
        <w:rPr>
          <w:color w:val="6E7072"/>
          <w:spacing w:val="-1"/>
          <w:sz w:val="16"/>
          <w:u w:val="thick" w:color="4D4D4D"/>
        </w:rPr>
        <w:t>BRIEF</w:t>
      </w:r>
    </w:p>
    <w:p>
      <w:pPr>
        <w:spacing w:line="237" w:lineRule="auto" w:before="108"/>
        <w:ind w:left="459" w:right="804" w:firstLine="7"/>
        <w:jc w:val="both"/>
        <w:rPr>
          <w:b/>
          <w:sz w:val="21"/>
        </w:rPr>
      </w:pPr>
      <w:r>
        <w:rPr>
          <w:color w:val="383638"/>
          <w:w w:val="115"/>
          <w:sz w:val="21"/>
        </w:rPr>
        <w:t>Plaintiff, Lynda Garrett, claims that she experienced gender discrimi­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nation during her employment that created a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hostile working envi­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ronment. Compl.17. She alleges that Kirkby assigned her to an area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where she was required to work alone. Compl.16. Garrett also accuses</w:t>
      </w:r>
      <w:r>
        <w:rPr>
          <w:color w:val="383638"/>
          <w:spacing w:val="-58"/>
          <w:w w:val="115"/>
          <w:sz w:val="21"/>
        </w:rPr>
        <w:t> </w:t>
      </w:r>
      <w:r>
        <w:rPr>
          <w:color w:val="383638"/>
          <w:w w:val="115"/>
          <w:sz w:val="21"/>
        </w:rPr>
        <w:t>Kirkby of making sexual comments and advances, to which she ini­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0"/>
          <w:sz w:val="21"/>
        </w:rPr>
        <w:t>tially made no response. </w:t>
      </w:r>
      <w:r>
        <w:rPr>
          <w:color w:val="383638"/>
          <w:w w:val="105"/>
          <w:sz w:val="21"/>
        </w:rPr>
        <w:t>Com</w:t>
      </w:r>
      <w:r>
        <w:rPr>
          <w:b/>
          <w:color w:val="383638"/>
          <w:w w:val="105"/>
          <w:sz w:val="21"/>
        </w:rPr>
        <w:t>pl.Cf</w:t>
      </w:r>
      <w:r>
        <w:rPr>
          <w:color w:val="383638"/>
          <w:w w:val="105"/>
          <w:sz w:val="21"/>
        </w:rPr>
        <w:t>6.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The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10"/>
          <w:sz w:val="21"/>
        </w:rPr>
        <w:t>complaint alleges that Kirkby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touched </w:t>
      </w:r>
      <w:r>
        <w:rPr>
          <w:b/>
          <w:color w:val="383638"/>
          <w:w w:val="110"/>
          <w:sz w:val="21"/>
        </w:rPr>
        <w:t>her </w:t>
      </w:r>
      <w:r>
        <w:rPr>
          <w:b/>
          <w:color w:val="383638"/>
          <w:w w:val="110"/>
          <w:sz w:val="20"/>
        </w:rPr>
        <w:t>in </w:t>
      </w:r>
      <w:r>
        <w:rPr>
          <w:b/>
          <w:color w:val="383638"/>
          <w:w w:val="110"/>
          <w:sz w:val="21"/>
        </w:rPr>
        <w:t>an offensive manner and threatened to fire her if she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complained</w:t>
      </w:r>
      <w:r>
        <w:rPr>
          <w:b/>
          <w:color w:val="383638"/>
          <w:spacing w:val="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about</w:t>
      </w:r>
      <w:r>
        <w:rPr>
          <w:b/>
          <w:color w:val="383638"/>
          <w:spacing w:val="-1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his behavior.</w:t>
      </w:r>
      <w:r>
        <w:rPr>
          <w:b/>
          <w:color w:val="383638"/>
          <w:spacing w:val="-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Compl.'f7b.</w:t>
      </w:r>
    </w:p>
    <w:p>
      <w:pPr>
        <w:pStyle w:val="BodyText"/>
        <w:spacing w:line="235" w:lineRule="auto" w:before="133"/>
        <w:ind w:left="131" w:right="409" w:hanging="6"/>
        <w:jc w:val="both"/>
      </w:pPr>
      <w:r>
        <w:rPr>
          <w:color w:val="383638"/>
          <w:w w:val="110"/>
        </w:rPr>
        <w:t>This paragraph does not hide the fact that the defendant is accused of</w:t>
      </w:r>
      <w:r>
        <w:rPr>
          <w:color w:val="383638"/>
          <w:spacing w:val="1"/>
          <w:w w:val="110"/>
        </w:rPr>
        <w:t> </w:t>
      </w:r>
      <w:r>
        <w:rPr>
          <w:color w:val="4D4D4D"/>
          <w:spacing w:val="-1"/>
          <w:w w:val="110"/>
        </w:rPr>
        <w:t>severe </w:t>
      </w:r>
      <w:r>
        <w:rPr>
          <w:color w:val="383638"/>
          <w:spacing w:val="-1"/>
          <w:w w:val="110"/>
        </w:rPr>
        <w:t>sexual harassment, </w:t>
      </w:r>
      <w:r>
        <w:rPr>
          <w:color w:val="383638"/>
          <w:w w:val="110"/>
        </w:rPr>
        <w:t>but </w:t>
      </w:r>
      <w:r>
        <w:rPr>
          <w:color w:val="383638"/>
          <w:w w:val="110"/>
          <w:sz w:val="21"/>
        </w:rPr>
        <w:t>it </w:t>
      </w:r>
      <w:r>
        <w:rPr>
          <w:color w:val="383638"/>
          <w:w w:val="110"/>
        </w:rPr>
        <w:t>characterizes the allegations as what they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are: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allegations.</w:t>
      </w:r>
    </w:p>
    <w:p>
      <w:pPr>
        <w:pStyle w:val="BodyText"/>
        <w:spacing w:line="235" w:lineRule="auto"/>
        <w:ind w:left="134" w:right="367" w:firstLine="339"/>
        <w:jc w:val="both"/>
      </w:pPr>
      <w:r>
        <w:rPr>
          <w:color w:val="383638"/>
          <w:w w:val="110"/>
        </w:rPr>
        <w:t>In addition to the controversial facts, there will likely be facts in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complaint that will help the court to understand the arguments, but which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both </w:t>
      </w:r>
      <w:r>
        <w:rPr>
          <w:color w:val="4D4D4D"/>
          <w:w w:val="110"/>
        </w:rPr>
        <w:t>sides </w:t>
      </w:r>
      <w:r>
        <w:rPr>
          <w:color w:val="383638"/>
          <w:w w:val="110"/>
        </w:rPr>
        <w:t>agree on. These facts can be stated without labeling them as the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allegations of one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party or another. Here is an example from the defen­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dant's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brief:</w:t>
      </w:r>
    </w:p>
    <w:p>
      <w:pPr>
        <w:pStyle w:val="BodyText"/>
        <w:spacing w:before="1"/>
        <w:rPr>
          <w:sz w:val="12"/>
        </w:rPr>
      </w:pPr>
    </w:p>
    <w:p>
      <w:pPr>
        <w:spacing w:before="94"/>
        <w:ind w:left="163" w:right="0" w:firstLine="0"/>
        <w:jc w:val="left"/>
        <w:rPr>
          <w:sz w:val="16"/>
        </w:rPr>
      </w:pPr>
      <w:r>
        <w:rPr>
          <w:color w:val="4D4D4D"/>
          <w:w w:val="105"/>
          <w:sz w:val="14"/>
          <w:u w:val="thick" w:color="4D4D4D"/>
        </w:rPr>
        <w:t>_/\    </w:t>
      </w:r>
      <w:r>
        <w:rPr>
          <w:color w:val="4D4D4D"/>
          <w:spacing w:val="12"/>
          <w:w w:val="105"/>
          <w:sz w:val="14"/>
          <w:u w:val="thick" w:color="4D4D4D"/>
        </w:rPr>
        <w:t> </w:t>
      </w:r>
      <w:r>
        <w:rPr>
          <w:color w:val="4D4D4D"/>
          <w:w w:val="110"/>
          <w:sz w:val="14"/>
          <w:u w:val="thick" w:color="4D4D4D"/>
        </w:rPr>
        <w:t>GOOD</w:t>
      </w:r>
      <w:r>
        <w:rPr>
          <w:color w:val="4D4D4D"/>
          <w:spacing w:val="1"/>
          <w:w w:val="110"/>
          <w:sz w:val="14"/>
        </w:rPr>
        <w:t> </w:t>
      </w:r>
      <w:r>
        <w:rPr>
          <w:color w:val="4D4D4D"/>
          <w:w w:val="110"/>
          <w:sz w:val="14"/>
          <w:u w:val="thick" w:color="6E7072"/>
        </w:rPr>
        <w:t>E</w:t>
      </w:r>
      <w:r>
        <w:rPr>
          <w:color w:val="6E7072"/>
          <w:w w:val="110"/>
          <w:sz w:val="14"/>
          <w:u w:val="thick" w:color="6E7072"/>
        </w:rPr>
        <w:t>XAMP</w:t>
      </w:r>
      <w:r>
        <w:rPr>
          <w:color w:val="4D4D4D"/>
          <w:w w:val="110"/>
          <w:sz w:val="14"/>
          <w:u w:val="thick" w:color="6E7072"/>
        </w:rPr>
        <w:t>LE</w:t>
      </w:r>
      <w:r>
        <w:rPr>
          <w:color w:val="4D4D4D"/>
          <w:spacing w:val="7"/>
          <w:w w:val="110"/>
          <w:sz w:val="14"/>
          <w:u w:val="thick" w:color="6E7072"/>
        </w:rPr>
        <w:t> </w:t>
      </w:r>
      <w:r>
        <w:rPr>
          <w:color w:val="5D5D60"/>
          <w:w w:val="110"/>
          <w:sz w:val="14"/>
          <w:u w:val="thick" w:color="6E7072"/>
        </w:rPr>
        <w:t>rROM</w:t>
      </w:r>
      <w:r>
        <w:rPr>
          <w:color w:val="5D5D60"/>
          <w:spacing w:val="22"/>
          <w:w w:val="110"/>
          <w:sz w:val="14"/>
          <w:u w:val="thick" w:color="6E7072"/>
        </w:rPr>
        <w:t> </w:t>
      </w:r>
      <w:r>
        <w:rPr>
          <w:color w:val="5D5D60"/>
          <w:w w:val="110"/>
          <w:sz w:val="14"/>
          <w:u w:val="thick" w:color="6E7072"/>
        </w:rPr>
        <w:t>DEFENDAN</w:t>
      </w:r>
      <w:r>
        <w:rPr>
          <w:color w:val="BFC1C3"/>
          <w:w w:val="110"/>
          <w:sz w:val="14"/>
          <w:u w:val="thick" w:color="6E7072"/>
        </w:rPr>
        <w:t>c</w:t>
      </w:r>
      <w:r>
        <w:rPr>
          <w:color w:val="5D5D60"/>
          <w:w w:val="110"/>
          <w:sz w:val="14"/>
          <w:u w:val="thick" w:color="6E7072"/>
        </w:rPr>
        <w:t>r'S</w:t>
      </w:r>
      <w:r>
        <w:rPr>
          <w:color w:val="5D5D60"/>
          <w:spacing w:val="11"/>
          <w:w w:val="110"/>
          <w:sz w:val="14"/>
          <w:u w:val="thick" w:color="6E7072"/>
        </w:rPr>
        <w:t> </w:t>
      </w:r>
      <w:r>
        <w:rPr>
          <w:color w:val="5D5D60"/>
          <w:w w:val="110"/>
          <w:sz w:val="16"/>
          <w:u w:val="thick" w:color="6E7072"/>
        </w:rPr>
        <w:t>llR</w:t>
      </w:r>
      <w:r>
        <w:rPr>
          <w:color w:val="383638"/>
          <w:w w:val="110"/>
          <w:sz w:val="16"/>
          <w:u w:val="thick" w:color="6E7072"/>
        </w:rPr>
        <w:t>I</w:t>
      </w:r>
      <w:r>
        <w:rPr>
          <w:color w:val="6E7072"/>
          <w:w w:val="110"/>
          <w:sz w:val="16"/>
          <w:u w:val="thick" w:color="6E7072"/>
        </w:rPr>
        <w:t>EF</w:t>
      </w:r>
    </w:p>
    <w:p>
      <w:pPr>
        <w:spacing w:line="235" w:lineRule="auto" w:before="100"/>
        <w:ind w:left="481" w:right="699" w:firstLine="3"/>
        <w:jc w:val="both"/>
        <w:rPr>
          <w:b/>
          <w:sz w:val="21"/>
        </w:rPr>
      </w:pPr>
      <w:r>
        <w:rPr>
          <w:b/>
          <w:color w:val="383638"/>
          <w:w w:val="110"/>
          <w:sz w:val="21"/>
        </w:rPr>
        <w:t>Both Kirkby and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Garrett were employed by Marvin-Kobacker dur­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ing the time of the alleged harassment. Compl.lf4. Marvin-Kobacker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employs over </w:t>
      </w:r>
      <w:r>
        <w:rPr>
          <w:b/>
          <w:color w:val="383638"/>
          <w:w w:val="110"/>
          <w:sz w:val="20"/>
        </w:rPr>
        <w:t>200</w:t>
      </w:r>
      <w:r>
        <w:rPr>
          <w:b/>
          <w:color w:val="383638"/>
          <w:spacing w:val="1"/>
          <w:w w:val="110"/>
          <w:sz w:val="20"/>
        </w:rPr>
        <w:t> </w:t>
      </w:r>
      <w:r>
        <w:rPr>
          <w:b/>
          <w:color w:val="383638"/>
          <w:w w:val="110"/>
          <w:sz w:val="21"/>
        </w:rPr>
        <w:t>individuals in its Foster, Rhode Island, location.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Compl.12.</w:t>
      </w:r>
    </w:p>
    <w:p>
      <w:pPr>
        <w:spacing w:after="0" w:line="235" w:lineRule="auto"/>
        <w:jc w:val="both"/>
        <w:rPr>
          <w:sz w:val="21"/>
        </w:rPr>
        <w:sectPr>
          <w:pgSz w:w="9750" w:h="13990"/>
          <w:pgMar w:header="650" w:footer="0" w:top="860" w:bottom="0" w:left="320" w:right="1360"/>
        </w:sectPr>
      </w:pPr>
    </w:p>
    <w:p>
      <w:pPr>
        <w:spacing w:before="81"/>
        <w:ind w:left="1234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A3838"/>
          <w:w w:val="110"/>
          <w:sz w:val="28"/>
        </w:rPr>
        <w:t>9.2.5</w:t>
      </w:r>
    </w:p>
    <w:p>
      <w:pPr>
        <w:spacing w:before="7"/>
        <w:ind w:left="1240" w:right="0" w:firstLine="0"/>
        <w:jc w:val="left"/>
        <w:rPr>
          <w:b/>
          <w:sz w:val="27"/>
        </w:rPr>
      </w:pPr>
      <w:r>
        <w:rPr>
          <w:b/>
          <w:color w:val="3A3838"/>
          <w:w w:val="95"/>
          <w:sz w:val="24"/>
        </w:rPr>
        <w:t>SUMMING</w:t>
      </w:r>
      <w:r>
        <w:rPr>
          <w:b/>
          <w:color w:val="3A3838"/>
          <w:spacing w:val="42"/>
          <w:w w:val="95"/>
          <w:sz w:val="24"/>
        </w:rPr>
        <w:t> </w:t>
      </w:r>
      <w:r>
        <w:rPr>
          <w:b/>
          <w:color w:val="3A3838"/>
          <w:w w:val="95"/>
          <w:sz w:val="27"/>
        </w:rPr>
        <w:t>UP</w:t>
      </w:r>
    </w:p>
    <w:p>
      <w:pPr>
        <w:pStyle w:val="BodyText"/>
        <w:spacing w:line="232" w:lineRule="auto" w:before="118"/>
        <w:ind w:left="839" w:right="111" w:firstLine="390"/>
        <w:jc w:val="both"/>
      </w:pPr>
      <w:r>
        <w:rPr>
          <w:color w:val="3A3838"/>
          <w:w w:val="110"/>
        </w:rPr>
        <w:t>When</w:t>
      </w:r>
      <w:r>
        <w:rPr>
          <w:color w:val="3A3838"/>
          <w:spacing w:val="-19"/>
          <w:w w:val="110"/>
        </w:rPr>
        <w:t> </w:t>
      </w:r>
      <w:r>
        <w:rPr>
          <w:color w:val="3A3838"/>
          <w:w w:val="110"/>
        </w:rPr>
        <w:t>writing</w:t>
      </w:r>
      <w:r>
        <w:rPr>
          <w:color w:val="3A3838"/>
          <w:spacing w:val="-5"/>
          <w:w w:val="110"/>
        </w:rPr>
        <w:t> </w:t>
      </w:r>
      <w:r>
        <w:rPr>
          <w:color w:val="4F4F50"/>
          <w:w w:val="110"/>
        </w:rPr>
        <w:t>your</w:t>
      </w:r>
      <w:r>
        <w:rPr>
          <w:color w:val="4F4F50"/>
          <w:spacing w:val="-12"/>
          <w:w w:val="110"/>
        </w:rPr>
        <w:t> </w:t>
      </w:r>
      <w:r>
        <w:rPr>
          <w:color w:val="3A3838"/>
          <w:w w:val="110"/>
        </w:rPr>
        <w:t>fact</w:t>
      </w:r>
      <w:r>
        <w:rPr>
          <w:color w:val="3A3838"/>
          <w:spacing w:val="-18"/>
          <w:w w:val="110"/>
        </w:rPr>
        <w:t> </w:t>
      </w:r>
      <w:r>
        <w:rPr>
          <w:color w:val="3A3838"/>
          <w:w w:val="110"/>
        </w:rPr>
        <w:t>statement,</w:t>
      </w:r>
      <w:r>
        <w:rPr>
          <w:color w:val="3A3838"/>
          <w:spacing w:val="2"/>
          <w:w w:val="110"/>
        </w:rPr>
        <w:t> </w:t>
      </w:r>
      <w:r>
        <w:rPr>
          <w:color w:val="3A3838"/>
          <w:w w:val="110"/>
        </w:rPr>
        <w:t>you</w:t>
      </w:r>
      <w:r>
        <w:rPr>
          <w:color w:val="3A3838"/>
          <w:spacing w:val="-20"/>
          <w:w w:val="110"/>
        </w:rPr>
        <w:t> </w:t>
      </w:r>
      <w:r>
        <w:rPr>
          <w:color w:val="3A3838"/>
          <w:w w:val="110"/>
        </w:rPr>
        <w:t>should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(1)</w:t>
      </w:r>
      <w:r>
        <w:rPr>
          <w:color w:val="3A3838"/>
          <w:spacing w:val="-30"/>
          <w:w w:val="110"/>
        </w:rPr>
        <w:t> </w:t>
      </w:r>
      <w:r>
        <w:rPr>
          <w:color w:val="3A3838"/>
          <w:w w:val="110"/>
        </w:rPr>
        <w:t>decide</w:t>
      </w:r>
      <w:r>
        <w:rPr>
          <w:color w:val="3A3838"/>
          <w:spacing w:val="-21"/>
          <w:w w:val="110"/>
        </w:rPr>
        <w:t> </w:t>
      </w:r>
      <w:r>
        <w:rPr>
          <w:color w:val="3A3838"/>
          <w:w w:val="110"/>
        </w:rPr>
        <w:t>what</w:t>
      </w:r>
      <w:r>
        <w:rPr>
          <w:color w:val="3A3838"/>
          <w:spacing w:val="-22"/>
          <w:w w:val="110"/>
        </w:rPr>
        <w:t> </w:t>
      </w:r>
      <w:r>
        <w:rPr>
          <w:color w:val="3A3838"/>
          <w:w w:val="110"/>
        </w:rPr>
        <w:t>conclu­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05"/>
        </w:rPr>
        <w:t>sions you want the reader to draw after reading the facts and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note which</w:t>
      </w:r>
      <w:r>
        <w:rPr>
          <w:color w:val="3A3838"/>
          <w:spacing w:val="1"/>
          <w:w w:val="105"/>
        </w:rPr>
        <w:t> </w:t>
      </w:r>
      <w:r>
        <w:rPr>
          <w:color w:val="3A3838"/>
          <w:spacing w:val="-1"/>
          <w:w w:val="110"/>
        </w:rPr>
        <w:t>presumptions the reader might bring </w:t>
      </w:r>
      <w:r>
        <w:rPr>
          <w:color w:val="3A3838"/>
          <w:w w:val="110"/>
        </w:rPr>
        <w:t>to the fact statement; (2) collect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facts, noting which facts are positive, negative, and neutral vis-a-vis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conclusions you want the reader to draw; (3) organize the  facts; (4) make</w:t>
      </w:r>
      <w:r>
        <w:rPr>
          <w:color w:val="3A3838"/>
          <w:spacing w:val="1"/>
          <w:w w:val="105"/>
        </w:rPr>
        <w:t> </w:t>
      </w:r>
      <w:r>
        <w:rPr>
          <w:color w:val="2A2828"/>
          <w:w w:val="105"/>
        </w:rPr>
        <w:t>the</w:t>
      </w:r>
      <w:r>
        <w:rPr>
          <w:color w:val="2A2828"/>
          <w:spacing w:val="1"/>
          <w:w w:val="105"/>
        </w:rPr>
        <w:t> </w:t>
      </w:r>
      <w:r>
        <w:rPr>
          <w:color w:val="3A3838"/>
          <w:w w:val="105"/>
        </w:rPr>
        <w:t>facts persuasive by exploiting positions of emphasis, context, level of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detail, and  specificity; (5) take care not to violate ethical or logical rules;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and</w:t>
      </w:r>
      <w:r>
        <w:rPr>
          <w:color w:val="3A3838"/>
          <w:spacing w:val="8"/>
          <w:w w:val="110"/>
        </w:rPr>
        <w:t> </w:t>
      </w:r>
      <w:r>
        <w:rPr>
          <w:color w:val="3A3838"/>
          <w:w w:val="110"/>
        </w:rPr>
        <w:t>(6)</w:t>
      </w:r>
      <w:r>
        <w:rPr>
          <w:color w:val="3A3838"/>
          <w:spacing w:val="-13"/>
          <w:w w:val="110"/>
        </w:rPr>
        <w:t> </w:t>
      </w:r>
      <w:r>
        <w:rPr>
          <w:color w:val="3A3838"/>
          <w:w w:val="110"/>
        </w:rPr>
        <w:t>make</w:t>
      </w:r>
      <w:r>
        <w:rPr>
          <w:color w:val="3A3838"/>
          <w:spacing w:val="-24"/>
          <w:w w:val="110"/>
        </w:rPr>
        <w:t> </w:t>
      </w:r>
      <w:r>
        <w:rPr>
          <w:color w:val="3A3838"/>
          <w:w w:val="110"/>
        </w:rPr>
        <w:t>sure</w:t>
      </w:r>
      <w:r>
        <w:rPr>
          <w:color w:val="3A3838"/>
          <w:spacing w:val="-9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you</w:t>
      </w:r>
      <w:r>
        <w:rPr>
          <w:color w:val="3A3838"/>
          <w:spacing w:val="-37"/>
          <w:w w:val="110"/>
        </w:rPr>
        <w:t> </w:t>
      </w:r>
      <w:r>
        <w:rPr>
          <w:color w:val="3A3838"/>
          <w:w w:val="110"/>
        </w:rPr>
        <w:t>cite</w:t>
      </w:r>
      <w:r>
        <w:rPr>
          <w:color w:val="3A3838"/>
          <w:spacing w:val="-9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5"/>
          <w:w w:val="110"/>
        </w:rPr>
        <w:t> </w:t>
      </w:r>
      <w:r>
        <w:rPr>
          <w:color w:val="3A3838"/>
          <w:w w:val="110"/>
        </w:rPr>
        <w:t>record</w:t>
      </w:r>
      <w:r>
        <w:rPr>
          <w:color w:val="3A3838"/>
          <w:spacing w:val="-3"/>
          <w:w w:val="110"/>
        </w:rPr>
        <w:t> </w:t>
      </w:r>
      <w:r>
        <w:rPr>
          <w:color w:val="3A3838"/>
          <w:w w:val="110"/>
        </w:rPr>
        <w:t>as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needed.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even" r:id="rId242"/>
          <w:headerReference w:type="default" r:id="rId243"/>
          <w:pgSz w:w="9900" w:h="14000"/>
          <w:pgMar w:header="543" w:footer="0" w:top="1140" w:bottom="0" w:left="1380" w:right="180"/>
          <w:pgNumType w:start="214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60" w:lineRule="exact"/>
        <w:jc w:val="right"/>
      </w:pPr>
      <w:r>
        <w:rPr>
          <w:color w:val="3A3838"/>
        </w:rPr>
        <w:t>and</w:t>
      </w:r>
    </w:p>
    <w:p>
      <w:pPr>
        <w:spacing w:before="265"/>
        <w:ind w:left="281" w:right="0" w:firstLine="0"/>
        <w:jc w:val="left"/>
        <w:rPr>
          <w:rFonts w:ascii="Arial"/>
          <w:b/>
          <w:sz w:val="32"/>
        </w:rPr>
      </w:pPr>
      <w:r>
        <w:rPr/>
        <w:br w:type="column"/>
      </w:r>
      <w:r>
        <w:rPr>
          <w:rFonts w:ascii="Arial"/>
          <w:b/>
          <w:color w:val="3A3838"/>
          <w:w w:val="110"/>
          <w:sz w:val="32"/>
        </w:rPr>
        <w:t>9.3</w:t>
      </w:r>
    </w:p>
    <w:p>
      <w:pPr>
        <w:spacing w:before="56"/>
        <w:ind w:left="264" w:right="0" w:firstLine="0"/>
        <w:jc w:val="left"/>
        <w:rPr>
          <w:sz w:val="28"/>
        </w:rPr>
      </w:pPr>
      <w:r>
        <w:rPr>
          <w:color w:val="3A3838"/>
          <w:sz w:val="28"/>
        </w:rPr>
        <w:t>SUMMARY</w:t>
      </w:r>
      <w:r>
        <w:rPr>
          <w:color w:val="3A3838"/>
          <w:spacing w:val="20"/>
          <w:sz w:val="28"/>
        </w:rPr>
        <w:t> </w:t>
      </w:r>
      <w:r>
        <w:rPr>
          <w:color w:val="3A3838"/>
          <w:sz w:val="28"/>
        </w:rPr>
        <w:t>OF</w:t>
      </w:r>
      <w:r>
        <w:rPr>
          <w:color w:val="3A3838"/>
          <w:spacing w:val="-16"/>
          <w:sz w:val="28"/>
        </w:rPr>
        <w:t> </w:t>
      </w:r>
      <w:r>
        <w:rPr>
          <w:color w:val="3A3838"/>
          <w:sz w:val="28"/>
        </w:rPr>
        <w:t>THE</w:t>
      </w:r>
      <w:r>
        <w:rPr>
          <w:color w:val="3A3838"/>
          <w:spacing w:val="-2"/>
          <w:sz w:val="28"/>
        </w:rPr>
        <w:t> </w:t>
      </w:r>
      <w:r>
        <w:rPr>
          <w:color w:val="3A3838"/>
          <w:sz w:val="28"/>
        </w:rPr>
        <w:t>ARGUMENT</w:t>
      </w:r>
    </w:p>
    <w:p>
      <w:pPr>
        <w:pStyle w:val="BodyText"/>
        <w:spacing w:line="235" w:lineRule="auto" w:before="246"/>
        <w:ind w:left="91" w:right="97" w:firstLine="144"/>
      </w:pPr>
      <w:r>
        <w:rPr>
          <w:color w:val="3A3838"/>
          <w:w w:val="110"/>
        </w:rPr>
        <w:t>The summary of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argument follows the  statement of  the  facts,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it</w:t>
      </w:r>
      <w:r>
        <w:rPr>
          <w:color w:val="3A3838"/>
          <w:spacing w:val="25"/>
          <w:w w:val="110"/>
        </w:rPr>
        <w:t> </w:t>
      </w:r>
      <w:r>
        <w:rPr>
          <w:color w:val="3A3838"/>
          <w:w w:val="110"/>
        </w:rPr>
        <w:t>signals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an</w:t>
      </w:r>
      <w:r>
        <w:rPr>
          <w:color w:val="3A3838"/>
          <w:spacing w:val="30"/>
          <w:w w:val="110"/>
        </w:rPr>
        <w:t> </w:t>
      </w:r>
      <w:r>
        <w:rPr>
          <w:color w:val="3A3838"/>
          <w:w w:val="110"/>
        </w:rPr>
        <w:t>abrupt</w:t>
      </w:r>
      <w:r>
        <w:rPr>
          <w:color w:val="3A3838"/>
          <w:spacing w:val="18"/>
          <w:w w:val="110"/>
        </w:rPr>
        <w:t> </w:t>
      </w:r>
      <w:r>
        <w:rPr>
          <w:color w:val="3A3838"/>
          <w:w w:val="110"/>
        </w:rPr>
        <w:t>change.</w:t>
      </w:r>
      <w:r>
        <w:rPr>
          <w:color w:val="3A3838"/>
          <w:spacing w:val="19"/>
          <w:w w:val="110"/>
        </w:rPr>
        <w:t> </w:t>
      </w:r>
      <w:r>
        <w:rPr>
          <w:color w:val="3A3838"/>
          <w:w w:val="110"/>
        </w:rPr>
        <w:t>Up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until</w:t>
      </w:r>
      <w:r>
        <w:rPr>
          <w:color w:val="3A3838"/>
          <w:spacing w:val="15"/>
          <w:w w:val="110"/>
        </w:rPr>
        <w:t> </w:t>
      </w:r>
      <w:r>
        <w:rPr>
          <w:color w:val="3A3838"/>
          <w:w w:val="110"/>
        </w:rPr>
        <w:t>this</w:t>
      </w:r>
      <w:r>
        <w:rPr>
          <w:color w:val="3A3838"/>
          <w:spacing w:val="5"/>
          <w:w w:val="110"/>
        </w:rPr>
        <w:t> </w:t>
      </w:r>
      <w:r>
        <w:rPr>
          <w:color w:val="3A3838"/>
          <w:w w:val="110"/>
        </w:rPr>
        <w:t>point,</w:t>
      </w:r>
      <w:r>
        <w:rPr>
          <w:color w:val="3A3838"/>
          <w:spacing w:val="22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23"/>
          <w:w w:val="110"/>
        </w:rPr>
        <w:t> </w:t>
      </w:r>
      <w:r>
        <w:rPr>
          <w:color w:val="3A3838"/>
          <w:w w:val="110"/>
        </w:rPr>
        <w:t>writer</w:t>
      </w:r>
      <w:r>
        <w:rPr>
          <w:color w:val="3A3838"/>
          <w:spacing w:val="25"/>
          <w:w w:val="110"/>
        </w:rPr>
        <w:t> </w:t>
      </w:r>
      <w:r>
        <w:rPr>
          <w:color w:val="3A3838"/>
          <w:w w:val="110"/>
        </w:rPr>
        <w:t>has</w:t>
      </w:r>
      <w:r>
        <w:rPr>
          <w:color w:val="3A3838"/>
          <w:spacing w:val="7"/>
          <w:w w:val="110"/>
        </w:rPr>
        <w:t> </w:t>
      </w:r>
      <w:r>
        <w:rPr>
          <w:color w:val="3A3838"/>
          <w:w w:val="110"/>
        </w:rPr>
        <w:t>been</w:t>
      </w:r>
    </w:p>
    <w:p>
      <w:pPr>
        <w:spacing w:after="0" w:line="235" w:lineRule="auto"/>
        <w:sectPr>
          <w:type w:val="continuous"/>
          <w:pgSz w:w="9900" w:h="14000"/>
          <w:pgMar w:header="675" w:footer="0" w:top="340" w:bottom="280" w:left="1380" w:right="180"/>
          <w:cols w:num="2" w:equalWidth="0">
            <w:col w:w="1115" w:space="40"/>
            <w:col w:w="7185"/>
          </w:cols>
        </w:sectPr>
      </w:pPr>
    </w:p>
    <w:p>
      <w:pPr>
        <w:pStyle w:val="BodyText"/>
        <w:spacing w:line="235" w:lineRule="auto"/>
        <w:ind w:left="812" w:right="129" w:hanging="11"/>
        <w:jc w:val="both"/>
      </w:pPr>
      <w:r>
        <w:rPr>
          <w:color w:val="3A3838"/>
          <w:w w:val="105"/>
        </w:rPr>
        <w:t>describing the case, including its issues, the opinions below, and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the facts.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Now</w:t>
      </w:r>
      <w:r>
        <w:rPr>
          <w:color w:val="3A3838"/>
          <w:spacing w:val="-9"/>
          <w:w w:val="105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33"/>
          <w:w w:val="105"/>
        </w:rPr>
        <w:t> </w:t>
      </w:r>
      <w:r>
        <w:rPr>
          <w:color w:val="3A3838"/>
          <w:w w:val="105"/>
        </w:rPr>
        <w:t>writer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begins</w:t>
      </w:r>
      <w:r>
        <w:rPr>
          <w:color w:val="3A3838"/>
          <w:spacing w:val="-1"/>
          <w:w w:val="105"/>
        </w:rPr>
        <w:t> </w:t>
      </w:r>
      <w:r>
        <w:rPr>
          <w:color w:val="3A3838"/>
          <w:w w:val="105"/>
        </w:rPr>
        <w:t>to</w:t>
      </w:r>
      <w:r>
        <w:rPr>
          <w:color w:val="3A3838"/>
          <w:spacing w:val="10"/>
          <w:w w:val="105"/>
        </w:rPr>
        <w:t> </w:t>
      </w:r>
      <w:r>
        <w:rPr>
          <w:color w:val="3A3838"/>
          <w:w w:val="105"/>
        </w:rPr>
        <w:t>argue.</w:t>
      </w:r>
    </w:p>
    <w:p>
      <w:pPr>
        <w:pStyle w:val="BodyText"/>
        <w:spacing w:line="262" w:lineRule="exact"/>
        <w:ind w:left="1142"/>
        <w:jc w:val="both"/>
      </w:pPr>
      <w:r>
        <w:rPr>
          <w:color w:val="3A3838"/>
          <w:w w:val="110"/>
        </w:rPr>
        <w:t>Supreme</w:t>
      </w:r>
      <w:r>
        <w:rPr>
          <w:color w:val="3A3838"/>
          <w:spacing w:val="-2"/>
          <w:w w:val="110"/>
        </w:rPr>
        <w:t> </w:t>
      </w:r>
      <w:r>
        <w:rPr>
          <w:color w:val="3A3838"/>
          <w:w w:val="110"/>
        </w:rPr>
        <w:t>Court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Rule</w:t>
      </w:r>
      <w:r>
        <w:rPr>
          <w:color w:val="3A3838"/>
          <w:spacing w:val="-9"/>
          <w:w w:val="110"/>
        </w:rPr>
        <w:t> </w:t>
      </w:r>
      <w:r>
        <w:rPr>
          <w:color w:val="3A3838"/>
          <w:w w:val="110"/>
        </w:rPr>
        <w:t>24.1(h)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provides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3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-5"/>
          <w:w w:val="110"/>
        </w:rPr>
        <w:t> </w:t>
      </w:r>
      <w:r>
        <w:rPr>
          <w:color w:val="3A3838"/>
          <w:w w:val="110"/>
        </w:rPr>
        <w:t>brief</w:t>
      </w:r>
      <w:r>
        <w:rPr>
          <w:color w:val="3A3838"/>
          <w:spacing w:val="17"/>
          <w:w w:val="110"/>
        </w:rPr>
        <w:t> </w:t>
      </w:r>
      <w:r>
        <w:rPr>
          <w:color w:val="3A3838"/>
          <w:w w:val="110"/>
        </w:rPr>
        <w:t>must</w:t>
      </w:r>
      <w:r>
        <w:rPr>
          <w:color w:val="3A3838"/>
          <w:spacing w:val="-13"/>
          <w:w w:val="110"/>
        </w:rPr>
        <w:t> </w:t>
      </w:r>
      <w:r>
        <w:rPr>
          <w:color w:val="3A3838"/>
          <w:w w:val="110"/>
        </w:rPr>
        <w:t>include</w:t>
      </w:r>
    </w:p>
    <w:p>
      <w:pPr>
        <w:spacing w:line="235" w:lineRule="auto" w:before="119"/>
        <w:ind w:left="1129" w:right="459" w:firstLine="19"/>
        <w:jc w:val="both"/>
        <w:rPr>
          <w:sz w:val="21"/>
        </w:rPr>
      </w:pPr>
      <w:r>
        <w:rPr>
          <w:color w:val="3A3838"/>
          <w:spacing w:val="-1"/>
          <w:w w:val="110"/>
          <w:sz w:val="21"/>
        </w:rPr>
        <w:t>[a]</w:t>
      </w:r>
      <w:r>
        <w:rPr>
          <w:color w:val="3A3838"/>
          <w:spacing w:val="-33"/>
          <w:w w:val="110"/>
          <w:sz w:val="21"/>
        </w:rPr>
        <w:t> </w:t>
      </w:r>
      <w:r>
        <w:rPr>
          <w:color w:val="3A3838"/>
          <w:spacing w:val="-1"/>
          <w:w w:val="110"/>
          <w:sz w:val="21"/>
        </w:rPr>
        <w:t>summary</w:t>
      </w:r>
      <w:r>
        <w:rPr>
          <w:color w:val="3A3838"/>
          <w:spacing w:val="-14"/>
          <w:w w:val="110"/>
          <w:sz w:val="21"/>
        </w:rPr>
        <w:t> </w:t>
      </w:r>
      <w:r>
        <w:rPr>
          <w:color w:val="3A3838"/>
          <w:spacing w:val="-1"/>
          <w:w w:val="110"/>
          <w:sz w:val="21"/>
        </w:rPr>
        <w:t>of</w:t>
      </w:r>
      <w:r>
        <w:rPr>
          <w:color w:val="3A3838"/>
          <w:spacing w:val="-6"/>
          <w:w w:val="110"/>
          <w:sz w:val="21"/>
        </w:rPr>
        <w:t> </w:t>
      </w:r>
      <w:r>
        <w:rPr>
          <w:color w:val="3A3838"/>
          <w:spacing w:val="-1"/>
          <w:w w:val="110"/>
          <w:sz w:val="21"/>
        </w:rPr>
        <w:t>the</w:t>
      </w:r>
      <w:r>
        <w:rPr>
          <w:color w:val="3A3838"/>
          <w:spacing w:val="14"/>
          <w:w w:val="110"/>
          <w:sz w:val="21"/>
        </w:rPr>
        <w:t> </w:t>
      </w:r>
      <w:r>
        <w:rPr>
          <w:color w:val="3A3838"/>
          <w:w w:val="110"/>
          <w:sz w:val="21"/>
        </w:rPr>
        <w:t>argument,</w:t>
      </w:r>
      <w:r>
        <w:rPr>
          <w:color w:val="3A3838"/>
          <w:spacing w:val="-16"/>
          <w:w w:val="110"/>
          <w:sz w:val="21"/>
        </w:rPr>
        <w:t> </w:t>
      </w:r>
      <w:r>
        <w:rPr>
          <w:color w:val="3A3838"/>
          <w:w w:val="110"/>
          <w:sz w:val="21"/>
        </w:rPr>
        <w:t>suitably</w:t>
      </w:r>
      <w:r>
        <w:rPr>
          <w:color w:val="3A3838"/>
          <w:spacing w:val="-10"/>
          <w:w w:val="110"/>
          <w:sz w:val="21"/>
        </w:rPr>
        <w:t> </w:t>
      </w:r>
      <w:r>
        <w:rPr>
          <w:color w:val="3A3838"/>
          <w:w w:val="110"/>
          <w:sz w:val="21"/>
        </w:rPr>
        <w:t>paragraphed.</w:t>
      </w:r>
      <w:r>
        <w:rPr>
          <w:color w:val="3A3838"/>
          <w:spacing w:val="-17"/>
          <w:w w:val="110"/>
          <w:sz w:val="21"/>
        </w:rPr>
        <w:t> </w:t>
      </w:r>
      <w:r>
        <w:rPr>
          <w:color w:val="3A3838"/>
          <w:w w:val="110"/>
          <w:sz w:val="21"/>
        </w:rPr>
        <w:t>The</w:t>
      </w:r>
      <w:r>
        <w:rPr>
          <w:color w:val="3A3838"/>
          <w:spacing w:val="-17"/>
          <w:w w:val="110"/>
          <w:sz w:val="21"/>
        </w:rPr>
        <w:t> </w:t>
      </w:r>
      <w:r>
        <w:rPr>
          <w:color w:val="3A3838"/>
          <w:w w:val="110"/>
          <w:sz w:val="21"/>
        </w:rPr>
        <w:t>summary</w:t>
      </w:r>
      <w:r>
        <w:rPr>
          <w:color w:val="3A3838"/>
          <w:spacing w:val="-19"/>
          <w:w w:val="110"/>
          <w:sz w:val="21"/>
        </w:rPr>
        <w:t> </w:t>
      </w:r>
      <w:r>
        <w:rPr>
          <w:color w:val="3A3838"/>
          <w:w w:val="110"/>
          <w:sz w:val="21"/>
        </w:rPr>
        <w:t>should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be a clear and  concise condensation of the  argument made </w:t>
      </w:r>
      <w:r>
        <w:rPr>
          <w:color w:val="2A2828"/>
          <w:w w:val="110"/>
          <w:sz w:val="21"/>
        </w:rPr>
        <w:t>in </w:t>
      </w:r>
      <w:r>
        <w:rPr>
          <w:color w:val="3A3838"/>
          <w:w w:val="110"/>
          <w:sz w:val="21"/>
        </w:rPr>
        <w:t>the body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of the brief; </w:t>
      </w:r>
      <w:r>
        <w:rPr>
          <w:color w:val="2A2828"/>
          <w:w w:val="110"/>
          <w:sz w:val="21"/>
        </w:rPr>
        <w:t>mere </w:t>
      </w:r>
      <w:r>
        <w:rPr>
          <w:color w:val="3A3838"/>
          <w:w w:val="110"/>
          <w:sz w:val="21"/>
        </w:rPr>
        <w:t>repetition of the headings under which the argument Is</w:t>
      </w:r>
      <w:r>
        <w:rPr>
          <w:color w:val="3A3838"/>
          <w:spacing w:val="-55"/>
          <w:w w:val="110"/>
          <w:sz w:val="21"/>
        </w:rPr>
        <w:t> </w:t>
      </w:r>
      <w:r>
        <w:rPr>
          <w:color w:val="3A3838"/>
          <w:w w:val="110"/>
          <w:sz w:val="21"/>
        </w:rPr>
        <w:t>arranged</w:t>
      </w:r>
      <w:r>
        <w:rPr>
          <w:color w:val="3A3838"/>
          <w:spacing w:val="9"/>
          <w:w w:val="110"/>
          <w:sz w:val="21"/>
        </w:rPr>
        <w:t> </w:t>
      </w:r>
      <w:r>
        <w:rPr>
          <w:color w:val="3A3838"/>
          <w:w w:val="110"/>
          <w:sz w:val="21"/>
        </w:rPr>
        <w:t>is</w:t>
      </w:r>
      <w:r>
        <w:rPr>
          <w:color w:val="3A3838"/>
          <w:spacing w:val="-10"/>
          <w:w w:val="110"/>
          <w:sz w:val="21"/>
        </w:rPr>
        <w:t> </w:t>
      </w:r>
      <w:r>
        <w:rPr>
          <w:color w:val="3A3838"/>
          <w:w w:val="110"/>
          <w:sz w:val="21"/>
        </w:rPr>
        <w:t>not</w:t>
      </w:r>
      <w:r>
        <w:rPr>
          <w:color w:val="3A3838"/>
          <w:spacing w:val="23"/>
          <w:w w:val="110"/>
          <w:sz w:val="21"/>
        </w:rPr>
        <w:t> </w:t>
      </w:r>
      <w:r>
        <w:rPr>
          <w:color w:val="3A3838"/>
          <w:w w:val="110"/>
          <w:sz w:val="21"/>
        </w:rPr>
        <w:t>sufficient.</w:t>
      </w:r>
    </w:p>
    <w:p>
      <w:pPr>
        <w:pStyle w:val="BodyText"/>
        <w:spacing w:line="232" w:lineRule="auto" w:before="155"/>
        <w:ind w:left="691" w:right="142" w:firstLine="61"/>
        <w:jc w:val="both"/>
      </w:pPr>
      <w:r>
        <w:rPr>
          <w:color w:val="3A3838"/>
          <w:w w:val="110"/>
        </w:rPr>
        <w:t>Only lengthy motion briefs require a summary of the argument, but they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are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required for almost all appellate briefs. In both motion briefs 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appe1late briefs, the summary of the argument can play two roles. First,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summary can serve as a roadmap to </w:t>
      </w:r>
      <w:r>
        <w:rPr>
          <w:color w:val="2A2828"/>
          <w:w w:val="110"/>
        </w:rPr>
        <w:t>the </w:t>
      </w:r>
      <w:r>
        <w:rPr>
          <w:color w:val="3A3838"/>
          <w:w w:val="110"/>
        </w:rPr>
        <w:t>argument as a whole.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writer should succinctly state the major arguments relied on  in the brief,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order in which they appear in the argument section. Second,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summary can be used to </w:t>
      </w:r>
      <w:r>
        <w:rPr>
          <w:color w:val="2A2828"/>
          <w:w w:val="110"/>
        </w:rPr>
        <w:t>present </w:t>
      </w:r>
      <w:r>
        <w:rPr>
          <w:color w:val="3A3838"/>
          <w:w w:val="110"/>
        </w:rPr>
        <w:t>a "holistic" picture of the case, focusing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more</w:t>
      </w:r>
      <w:r>
        <w:rPr>
          <w:color w:val="3A3838"/>
          <w:spacing w:val="-21"/>
          <w:w w:val="110"/>
        </w:rPr>
        <w:t> </w:t>
      </w:r>
      <w:r>
        <w:rPr>
          <w:color w:val="3A3838"/>
          <w:w w:val="110"/>
        </w:rPr>
        <w:t>on</w:t>
      </w:r>
      <w:r>
        <w:rPr>
          <w:color w:val="3A3838"/>
          <w:spacing w:val="21"/>
          <w:w w:val="110"/>
        </w:rPr>
        <w:t> </w:t>
      </w:r>
      <w:r>
        <w:rPr>
          <w:color w:val="3A3838"/>
          <w:w w:val="110"/>
        </w:rPr>
        <w:t>policy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and</w:t>
      </w:r>
      <w:r>
        <w:rPr>
          <w:color w:val="3A3838"/>
          <w:spacing w:val="25"/>
          <w:w w:val="110"/>
        </w:rPr>
        <w:t> </w:t>
      </w:r>
      <w:r>
        <w:rPr>
          <w:color w:val="3A3838"/>
          <w:w w:val="110"/>
        </w:rPr>
        <w:t>equity</w:t>
      </w:r>
      <w:r>
        <w:rPr>
          <w:color w:val="3A3838"/>
          <w:spacing w:val="5"/>
          <w:w w:val="110"/>
        </w:rPr>
        <w:t> </w:t>
      </w:r>
      <w:r>
        <w:rPr>
          <w:color w:val="3A3838"/>
          <w:w w:val="110"/>
        </w:rPr>
        <w:t>than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on</w:t>
      </w:r>
      <w:r>
        <w:rPr>
          <w:color w:val="3A3838"/>
          <w:spacing w:val="7"/>
          <w:w w:val="110"/>
        </w:rPr>
        <w:t> </w:t>
      </w:r>
      <w:r>
        <w:rPr>
          <w:color w:val="3A3838"/>
          <w:w w:val="110"/>
        </w:rPr>
        <w:t>black-letter</w:t>
      </w:r>
      <w:r>
        <w:rPr>
          <w:color w:val="3A3838"/>
          <w:spacing w:val="11"/>
          <w:w w:val="110"/>
        </w:rPr>
        <w:t> </w:t>
      </w:r>
      <w:r>
        <w:rPr>
          <w:color w:val="3A3838"/>
          <w:w w:val="110"/>
        </w:rPr>
        <w:t>law.</w:t>
      </w:r>
    </w:p>
    <w:p>
      <w:pPr>
        <w:pStyle w:val="BodyText"/>
        <w:spacing w:line="228" w:lineRule="auto" w:before="3"/>
        <w:ind w:left="666" w:right="163" w:firstLine="360"/>
        <w:jc w:val="both"/>
      </w:pPr>
      <w:r>
        <w:rPr>
          <w:color w:val="3A3838"/>
          <w:w w:val="110"/>
        </w:rPr>
        <w:t>Judge Hamilton notes that the summary of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argument is "signifi-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cant</w:t>
      </w:r>
      <w:r>
        <w:rPr>
          <w:color w:val="3A3838"/>
          <w:spacing w:val="-31"/>
          <w:w w:val="115"/>
        </w:rPr>
        <w:t> </w:t>
      </w:r>
      <w:r>
        <w:rPr>
          <w:color w:val="3A3838"/>
          <w:w w:val="115"/>
        </w:rPr>
        <w:t>on</w:t>
      </w:r>
      <w:r>
        <w:rPr>
          <w:color w:val="3A3838"/>
          <w:spacing w:val="-3"/>
          <w:w w:val="115"/>
        </w:rPr>
        <w:t> </w:t>
      </w:r>
      <w:r>
        <w:rPr>
          <w:color w:val="3A3838"/>
          <w:w w:val="115"/>
        </w:rPr>
        <w:t>several</w:t>
      </w:r>
      <w:r>
        <w:rPr>
          <w:color w:val="3A3838"/>
          <w:spacing w:val="-10"/>
          <w:w w:val="115"/>
        </w:rPr>
        <w:t> </w:t>
      </w:r>
      <w:r>
        <w:rPr>
          <w:color w:val="3A3838"/>
          <w:w w:val="115"/>
        </w:rPr>
        <w:t>levels":</w:t>
      </w:r>
    </w:p>
    <w:p>
      <w:pPr>
        <w:spacing w:line="230" w:lineRule="auto" w:before="149"/>
        <w:ind w:left="990" w:right="495" w:firstLine="46"/>
        <w:jc w:val="both"/>
        <w:rPr>
          <w:sz w:val="21"/>
        </w:rPr>
      </w:pPr>
      <w:r>
        <w:rPr>
          <w:color w:val="3A3838"/>
          <w:w w:val="110"/>
          <w:sz w:val="21"/>
        </w:rPr>
        <w:t>First, it is the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party's first opportunity to put a </w:t>
      </w:r>
      <w:r>
        <w:rPr>
          <w:color w:val="2A2828"/>
          <w:w w:val="110"/>
          <w:sz w:val="21"/>
        </w:rPr>
        <w:t>legal </w:t>
      </w:r>
      <w:r>
        <w:rPr>
          <w:color w:val="3A3838"/>
          <w:w w:val="110"/>
          <w:sz w:val="21"/>
        </w:rPr>
        <w:t>gloss on the facts.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Second, it is the party's first opportunity to orient the appellate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judges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assigned the appeal to the theme of the party's argument</w:t>
      </w:r>
      <w:r>
        <w:rPr>
          <w:color w:val="676769"/>
          <w:w w:val="110"/>
          <w:sz w:val="21"/>
        </w:rPr>
        <w:t>. </w:t>
      </w:r>
      <w:r>
        <w:rPr>
          <w:color w:val="3A3838"/>
          <w:w w:val="110"/>
          <w:sz w:val="21"/>
        </w:rPr>
        <w:t>Third, and most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spacing w:val="-1"/>
          <w:w w:val="110"/>
          <w:sz w:val="21"/>
        </w:rPr>
        <w:t>importantly, </w:t>
      </w:r>
      <w:r>
        <w:rPr>
          <w:i/>
          <w:color w:val="4F4F50"/>
          <w:w w:val="110"/>
          <w:sz w:val="22"/>
        </w:rPr>
        <w:t>it </w:t>
      </w:r>
      <w:r>
        <w:rPr>
          <w:color w:val="3A3838"/>
          <w:w w:val="110"/>
          <w:sz w:val="21"/>
        </w:rPr>
        <w:t>serves as the party's official opening statement, previewing</w:t>
      </w:r>
      <w:r>
        <w:rPr>
          <w:color w:val="3A3838"/>
          <w:spacing w:val="-55"/>
          <w:w w:val="110"/>
          <w:sz w:val="21"/>
        </w:rPr>
        <w:t> </w:t>
      </w:r>
      <w:r>
        <w:rPr>
          <w:color w:val="3A3838"/>
          <w:spacing w:val="-1"/>
          <w:w w:val="110"/>
          <w:sz w:val="21"/>
        </w:rPr>
        <w:t>and summarizing the key legal points the </w:t>
      </w:r>
      <w:r>
        <w:rPr>
          <w:color w:val="3A3838"/>
          <w:w w:val="110"/>
          <w:sz w:val="21"/>
        </w:rPr>
        <w:t>party wants to make in the argu­</w:t>
      </w:r>
      <w:r>
        <w:rPr>
          <w:color w:val="3A3838"/>
          <w:spacing w:val="-55"/>
          <w:w w:val="110"/>
          <w:sz w:val="21"/>
        </w:rPr>
        <w:t> </w:t>
      </w:r>
      <w:r>
        <w:rPr>
          <w:color w:val="3A3838"/>
          <w:w w:val="110"/>
          <w:sz w:val="21"/>
        </w:rPr>
        <w:t>ment</w:t>
      </w:r>
      <w:r>
        <w:rPr>
          <w:color w:val="3A3838"/>
          <w:spacing w:val="-7"/>
          <w:w w:val="110"/>
          <w:sz w:val="21"/>
        </w:rPr>
        <w:t> </w:t>
      </w:r>
      <w:r>
        <w:rPr>
          <w:color w:val="3A3838"/>
          <w:w w:val="110"/>
          <w:sz w:val="21"/>
        </w:rPr>
        <w:t>component</w:t>
      </w:r>
      <w:r>
        <w:rPr>
          <w:color w:val="3A3838"/>
          <w:spacing w:val="4"/>
          <w:w w:val="110"/>
          <w:sz w:val="21"/>
        </w:rPr>
        <w:t> </w:t>
      </w:r>
      <w:r>
        <w:rPr>
          <w:color w:val="3A3838"/>
          <w:w w:val="110"/>
          <w:sz w:val="21"/>
        </w:rPr>
        <w:t>of</w:t>
      </w:r>
      <w:r>
        <w:rPr>
          <w:color w:val="3A3838"/>
          <w:spacing w:val="5"/>
          <w:w w:val="110"/>
          <w:sz w:val="21"/>
        </w:rPr>
        <w:t> </w:t>
      </w:r>
      <w:r>
        <w:rPr>
          <w:color w:val="3A3838"/>
          <w:w w:val="110"/>
          <w:sz w:val="21"/>
        </w:rPr>
        <w:t>the</w:t>
      </w:r>
      <w:r>
        <w:rPr>
          <w:color w:val="3A3838"/>
          <w:spacing w:val="28"/>
          <w:w w:val="110"/>
          <w:sz w:val="21"/>
        </w:rPr>
        <w:t> </w:t>
      </w:r>
      <w:r>
        <w:rPr>
          <w:color w:val="3A3838"/>
          <w:w w:val="110"/>
          <w:sz w:val="21"/>
        </w:rPr>
        <w:t>brief.</w:t>
      </w:r>
      <w:r>
        <w:rPr>
          <w:color w:val="3A3838"/>
          <w:w w:val="110"/>
          <w:sz w:val="21"/>
          <w:vertAlign w:val="superscript"/>
        </w:rPr>
        <w:t>25</w:t>
      </w:r>
    </w:p>
    <w:p>
      <w:pPr>
        <w:pStyle w:val="BodyText"/>
        <w:spacing w:before="10"/>
        <w:rPr>
          <w:sz w:val="34"/>
        </w:rPr>
      </w:pPr>
    </w:p>
    <w:p>
      <w:pPr>
        <w:spacing w:before="0"/>
        <w:ind w:left="970" w:right="0" w:firstLine="0"/>
        <w:jc w:val="both"/>
        <w:rPr>
          <w:rFonts w:ascii="Arial"/>
          <w:i/>
          <w:sz w:val="17"/>
        </w:rPr>
      </w:pPr>
      <w:r>
        <w:rPr>
          <w:color w:val="4F4F50"/>
          <w:w w:val="105"/>
          <w:position w:val="6"/>
          <w:sz w:val="11"/>
        </w:rPr>
        <w:t>25</w:t>
      </w:r>
      <w:r>
        <w:rPr>
          <w:color w:val="4F4F50"/>
          <w:spacing w:val="-5"/>
          <w:w w:val="105"/>
          <w:position w:val="6"/>
          <w:sz w:val="11"/>
        </w:rPr>
        <w:t> </w:t>
      </w:r>
      <w:r>
        <w:rPr>
          <w:color w:val="3A3838"/>
          <w:w w:val="105"/>
          <w:sz w:val="18"/>
        </w:rPr>
        <w:t>Hamilton,</w:t>
      </w:r>
      <w:r>
        <w:rPr>
          <w:color w:val="3A3838"/>
          <w:spacing w:val="21"/>
          <w:w w:val="105"/>
          <w:sz w:val="18"/>
        </w:rPr>
        <w:t> </w:t>
      </w:r>
      <w:r>
        <w:rPr>
          <w:i/>
          <w:color w:val="3A3838"/>
          <w:w w:val="105"/>
          <w:sz w:val="19"/>
        </w:rPr>
        <w:t>supra</w:t>
      </w:r>
      <w:r>
        <w:rPr>
          <w:i/>
          <w:color w:val="3A3838"/>
          <w:spacing w:val="20"/>
          <w:w w:val="105"/>
          <w:sz w:val="19"/>
        </w:rPr>
        <w:t> </w:t>
      </w:r>
      <w:r>
        <w:rPr>
          <w:color w:val="3A3838"/>
          <w:w w:val="105"/>
          <w:sz w:val="18"/>
        </w:rPr>
        <w:t>note</w:t>
      </w:r>
      <w:r>
        <w:rPr>
          <w:color w:val="3A3838"/>
          <w:spacing w:val="-14"/>
          <w:w w:val="105"/>
          <w:sz w:val="18"/>
        </w:rPr>
        <w:t> </w:t>
      </w:r>
      <w:r>
        <w:rPr>
          <w:color w:val="3A3838"/>
          <w:w w:val="105"/>
          <w:sz w:val="18"/>
        </w:rPr>
        <w:t>8,</w:t>
      </w:r>
      <w:r>
        <w:rPr>
          <w:color w:val="3A3838"/>
          <w:spacing w:val="-1"/>
          <w:w w:val="105"/>
          <w:sz w:val="18"/>
        </w:rPr>
        <w:t> </w:t>
      </w:r>
      <w:r>
        <w:rPr>
          <w:color w:val="3A3838"/>
          <w:w w:val="105"/>
          <w:sz w:val="18"/>
        </w:rPr>
        <w:t>at</w:t>
      </w:r>
      <w:r>
        <w:rPr>
          <w:color w:val="3A3838"/>
          <w:spacing w:val="6"/>
          <w:w w:val="105"/>
          <w:sz w:val="18"/>
        </w:rPr>
        <w:t> </w:t>
      </w:r>
      <w:r>
        <w:rPr>
          <w:rFonts w:ascii="Arial"/>
          <w:i/>
          <w:color w:val="3A3838"/>
          <w:w w:val="105"/>
          <w:sz w:val="17"/>
        </w:rPr>
        <w:t>586-87.</w:t>
      </w:r>
    </w:p>
    <w:p>
      <w:pPr>
        <w:spacing w:after="0"/>
        <w:jc w:val="both"/>
        <w:rPr>
          <w:rFonts w:ascii="Arial"/>
          <w:sz w:val="17"/>
        </w:rPr>
        <w:sectPr>
          <w:type w:val="continuous"/>
          <w:pgSz w:w="9900" w:h="14000"/>
          <w:pgMar w:header="675" w:footer="0" w:top="340" w:bottom="280" w:left="1380" w:right="180"/>
        </w:sectPr>
      </w:pPr>
    </w:p>
    <w:p>
      <w:pPr>
        <w:pStyle w:val="BodyText"/>
        <w:spacing w:line="235" w:lineRule="auto" w:before="85"/>
        <w:ind w:left="218" w:right="505" w:firstLine="5"/>
        <w:jc w:val="both"/>
      </w:pPr>
      <w:r>
        <w:rPr>
          <w:color w:val="383638"/>
          <w:w w:val="110"/>
        </w:rPr>
        <w:t>A good summary should grab the reader's attention in its opening para­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graph. While the statement of facts should open with a somewhat objec­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tive statement of what the case is about, the summary of the  argument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can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be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more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dramatic,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identifying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underlying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issues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12"/>
          <w:w w:val="110"/>
        </w:rPr>
        <w:t> </w:t>
      </w:r>
      <w:r>
        <w:rPr>
          <w:color w:val="4D4D4D"/>
          <w:w w:val="110"/>
        </w:rPr>
        <w:t>case</w:t>
      </w:r>
      <w:r>
        <w:rPr>
          <w:color w:val="4D4D4D"/>
          <w:spacing w:val="-11"/>
          <w:w w:val="110"/>
        </w:rPr>
        <w:t> </w:t>
      </w:r>
      <w:r>
        <w:rPr>
          <w:color w:val="383638"/>
          <w:w w:val="110"/>
        </w:rPr>
        <w:t>pres­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05"/>
        </w:rPr>
        <w:t>ents. In the case of </w:t>
      </w:r>
      <w:r>
        <w:rPr>
          <w:i/>
          <w:color w:val="383638"/>
          <w:w w:val="105"/>
          <w:sz w:val="22"/>
        </w:rPr>
        <w:t>Rubin v. Coors Brewing Co., </w:t>
      </w:r>
      <w:r>
        <w:rPr>
          <w:color w:val="383638"/>
          <w:w w:val="105"/>
        </w:rPr>
        <w:t>for example, counsel for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United States (Rubin) might open the summary with a declarative state­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ment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about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result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being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sought:</w:t>
      </w:r>
    </w:p>
    <w:p>
      <w:pPr>
        <w:pStyle w:val="BodyText"/>
        <w:spacing w:before="10"/>
        <w:rPr>
          <w:sz w:val="15"/>
        </w:rPr>
      </w:pPr>
    </w:p>
    <w:p>
      <w:pPr>
        <w:spacing w:before="0"/>
        <w:ind w:left="254" w:right="0" w:firstLine="0"/>
        <w:jc w:val="both"/>
        <w:rPr>
          <w:sz w:val="16"/>
        </w:rPr>
      </w:pPr>
      <w:r>
        <w:rPr>
          <w:rFonts w:ascii="Arial"/>
          <w:b/>
          <w:color w:val="383638"/>
          <w:w w:val="100"/>
          <w:sz w:val="14"/>
          <w:u w:val="thick" w:color="383638"/>
        </w:rPr>
        <w:t> </w:t>
      </w:r>
      <w:r>
        <w:rPr>
          <w:rFonts w:ascii="Arial"/>
          <w:b/>
          <w:color w:val="383638"/>
          <w:spacing w:val="-8"/>
          <w:sz w:val="14"/>
          <w:u w:val="thick" w:color="383638"/>
        </w:rPr>
        <w:t> </w:t>
      </w:r>
      <w:r>
        <w:rPr>
          <w:rFonts w:ascii="Arial"/>
          <w:b/>
          <w:color w:val="383638"/>
          <w:w w:val="130"/>
          <w:sz w:val="14"/>
          <w:u w:val="thick" w:color="383638"/>
        </w:rPr>
        <w:t>BAD</w:t>
      </w:r>
      <w:r>
        <w:rPr>
          <w:rFonts w:ascii="Arial"/>
          <w:b/>
          <w:color w:val="383638"/>
          <w:spacing w:val="-11"/>
          <w:w w:val="130"/>
          <w:sz w:val="14"/>
          <w:u w:val="thick" w:color="383638"/>
        </w:rPr>
        <w:t> </w:t>
      </w:r>
      <w:r>
        <w:rPr>
          <w:color w:val="383638"/>
          <w:w w:val="105"/>
          <w:sz w:val="16"/>
          <w:u w:val="thick" w:color="383638"/>
        </w:rPr>
        <w:t>EX.AMPLE</w:t>
      </w:r>
    </w:p>
    <w:p>
      <w:pPr>
        <w:spacing w:line="240" w:lineRule="auto" w:before="97"/>
        <w:ind w:left="556" w:right="866" w:hanging="4"/>
        <w:jc w:val="both"/>
        <w:rPr>
          <w:b/>
          <w:sz w:val="20"/>
        </w:rPr>
      </w:pPr>
      <w:r>
        <w:rPr>
          <w:b/>
          <w:color w:val="383638"/>
          <w:w w:val="110"/>
          <w:sz w:val="20"/>
        </w:rPr>
        <w:t>Section </w:t>
      </w:r>
      <w:r>
        <w:rPr>
          <w:color w:val="383638"/>
          <w:w w:val="110"/>
          <w:sz w:val="20"/>
        </w:rPr>
        <w:t>205(e)(2) of </w:t>
      </w:r>
      <w:r>
        <w:rPr>
          <w:b/>
          <w:color w:val="383638"/>
          <w:w w:val="110"/>
          <w:sz w:val="20"/>
        </w:rPr>
        <w:t>the Federal Alcohol Administrative Act, prohibit­</w:t>
      </w:r>
      <w:r>
        <w:rPr>
          <w:b/>
          <w:color w:val="383638"/>
          <w:spacing w:val="1"/>
          <w:w w:val="110"/>
          <w:sz w:val="20"/>
        </w:rPr>
        <w:t> </w:t>
      </w:r>
      <w:r>
        <w:rPr>
          <w:color w:val="383638"/>
          <w:w w:val="115"/>
          <w:sz w:val="22"/>
        </w:rPr>
        <w:t>ing </w:t>
      </w:r>
      <w:r>
        <w:rPr>
          <w:color w:val="383638"/>
          <w:w w:val="115"/>
          <w:sz w:val="20"/>
        </w:rPr>
        <w:t>alcohol </w:t>
      </w:r>
      <w:r>
        <w:rPr>
          <w:b/>
          <w:color w:val="383638"/>
          <w:w w:val="115"/>
          <w:sz w:val="20"/>
        </w:rPr>
        <w:t>content disclosure on malt beverage labels, </w:t>
      </w:r>
      <w:r>
        <w:rPr>
          <w:color w:val="383638"/>
          <w:w w:val="115"/>
          <w:sz w:val="20"/>
        </w:rPr>
        <w:t>does </w:t>
      </w:r>
      <w:r>
        <w:rPr>
          <w:b/>
          <w:color w:val="383638"/>
          <w:w w:val="115"/>
          <w:sz w:val="20"/>
        </w:rPr>
        <w:t>not vio­</w:t>
      </w:r>
      <w:r>
        <w:rPr>
          <w:b/>
          <w:color w:val="383638"/>
          <w:spacing w:val="1"/>
          <w:w w:val="115"/>
          <w:sz w:val="20"/>
        </w:rPr>
        <w:t> </w:t>
      </w:r>
      <w:r>
        <w:rPr>
          <w:b/>
          <w:color w:val="383638"/>
          <w:w w:val="110"/>
          <w:sz w:val="20"/>
        </w:rPr>
        <w:t>late</w:t>
      </w:r>
      <w:r>
        <w:rPr>
          <w:b/>
          <w:color w:val="383638"/>
          <w:spacing w:val="-9"/>
          <w:w w:val="110"/>
          <w:sz w:val="20"/>
        </w:rPr>
        <w:t> </w:t>
      </w:r>
      <w:r>
        <w:rPr>
          <w:b/>
          <w:color w:val="383638"/>
          <w:w w:val="110"/>
          <w:sz w:val="20"/>
        </w:rPr>
        <w:t>the</w:t>
      </w:r>
      <w:r>
        <w:rPr>
          <w:b/>
          <w:color w:val="383638"/>
          <w:spacing w:val="39"/>
          <w:w w:val="110"/>
          <w:sz w:val="20"/>
        </w:rPr>
        <w:t> </w:t>
      </w:r>
      <w:r>
        <w:rPr>
          <w:b/>
          <w:color w:val="383638"/>
          <w:w w:val="110"/>
          <w:sz w:val="20"/>
        </w:rPr>
        <w:t>Free</w:t>
      </w:r>
      <w:r>
        <w:rPr>
          <w:b/>
          <w:color w:val="383638"/>
          <w:spacing w:val="-14"/>
          <w:w w:val="110"/>
          <w:sz w:val="20"/>
        </w:rPr>
        <w:t> </w:t>
      </w:r>
      <w:r>
        <w:rPr>
          <w:b/>
          <w:color w:val="383638"/>
          <w:w w:val="110"/>
          <w:sz w:val="20"/>
        </w:rPr>
        <w:t>Speech</w:t>
      </w:r>
      <w:r>
        <w:rPr>
          <w:b/>
          <w:color w:val="383638"/>
          <w:spacing w:val="-2"/>
          <w:w w:val="110"/>
          <w:sz w:val="20"/>
        </w:rPr>
        <w:t> </w:t>
      </w:r>
      <w:r>
        <w:rPr>
          <w:b/>
          <w:color w:val="383638"/>
          <w:w w:val="110"/>
          <w:sz w:val="20"/>
        </w:rPr>
        <w:t>Clause</w:t>
      </w:r>
      <w:r>
        <w:rPr>
          <w:b/>
          <w:color w:val="383638"/>
          <w:spacing w:val="-9"/>
          <w:w w:val="110"/>
          <w:sz w:val="20"/>
        </w:rPr>
        <w:t> </w:t>
      </w:r>
      <w:r>
        <w:rPr>
          <w:b/>
          <w:color w:val="383638"/>
          <w:w w:val="110"/>
          <w:sz w:val="20"/>
        </w:rPr>
        <w:t>of</w:t>
      </w:r>
      <w:r>
        <w:rPr>
          <w:b/>
          <w:color w:val="383638"/>
          <w:spacing w:val="22"/>
          <w:w w:val="110"/>
          <w:sz w:val="20"/>
        </w:rPr>
        <w:t> </w:t>
      </w:r>
      <w:r>
        <w:rPr>
          <w:b/>
          <w:color w:val="383638"/>
          <w:w w:val="110"/>
          <w:sz w:val="20"/>
        </w:rPr>
        <w:t>the</w:t>
      </w:r>
      <w:r>
        <w:rPr>
          <w:b/>
          <w:color w:val="383638"/>
          <w:spacing w:val="21"/>
          <w:w w:val="110"/>
          <w:sz w:val="20"/>
        </w:rPr>
        <w:t> </w:t>
      </w:r>
      <w:r>
        <w:rPr>
          <w:b/>
          <w:color w:val="383638"/>
          <w:w w:val="110"/>
          <w:sz w:val="20"/>
        </w:rPr>
        <w:t>First</w:t>
      </w:r>
      <w:r>
        <w:rPr>
          <w:b/>
          <w:color w:val="383638"/>
          <w:spacing w:val="-2"/>
          <w:w w:val="110"/>
          <w:sz w:val="20"/>
        </w:rPr>
        <w:t> </w:t>
      </w:r>
      <w:r>
        <w:rPr>
          <w:b/>
          <w:color w:val="383638"/>
          <w:w w:val="110"/>
          <w:sz w:val="20"/>
        </w:rPr>
        <w:t>Amendment.</w:t>
      </w:r>
    </w:p>
    <w:p>
      <w:pPr>
        <w:pStyle w:val="BodyText"/>
        <w:spacing w:line="235" w:lineRule="auto" w:before="140"/>
        <w:ind w:left="227" w:right="451" w:firstLine="13"/>
        <w:jc w:val="both"/>
      </w:pPr>
      <w:r>
        <w:rPr>
          <w:color w:val="383638"/>
          <w:w w:val="110"/>
        </w:rPr>
        <w:t>While this opening is appropriately argumentative, it doesn't grab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reader's attention. To create a more dramaticopening, counsel might begin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05"/>
        </w:rPr>
        <w:t>the summary by reminding the reader of the original purpose of §205(e)(2).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The statute was drafted shortly after Prohibition ended; the government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was seeking to prevent strength </w:t>
      </w:r>
      <w:r>
        <w:rPr>
          <w:color w:val="383638"/>
          <w:w w:val="110"/>
        </w:rPr>
        <w:t>wars among brewers and to prevent beer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drinkers from "forum shopping" for the most powerful beer. Counsel for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United States might bring that purpose up to date byopening the sum­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mary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argument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like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this:</w:t>
      </w:r>
    </w:p>
    <w:p>
      <w:pPr>
        <w:spacing w:before="53"/>
        <w:ind w:left="265" w:right="0" w:firstLine="0"/>
        <w:jc w:val="both"/>
        <w:rPr>
          <w:sz w:val="16"/>
        </w:rPr>
      </w:pPr>
      <w:r>
        <w:rPr>
          <w:i/>
          <w:color w:val="383638"/>
          <w:sz w:val="30"/>
          <w:u w:val="thick" w:color="383638"/>
        </w:rPr>
        <w:t>-I\</w:t>
      </w:r>
      <w:r>
        <w:rPr>
          <w:color w:val="383638"/>
          <w:sz w:val="16"/>
          <w:u w:val="thick" w:color="383638"/>
        </w:rPr>
        <w:t>GOOD</w:t>
      </w:r>
      <w:r>
        <w:rPr>
          <w:color w:val="383638"/>
          <w:spacing w:val="-4"/>
          <w:sz w:val="16"/>
          <w:u w:val="thick" w:color="383638"/>
        </w:rPr>
        <w:t> </w:t>
      </w:r>
      <w:r>
        <w:rPr>
          <w:color w:val="4D4D4D"/>
          <w:sz w:val="16"/>
          <w:u w:val="thick" w:color="383638"/>
        </w:rPr>
        <w:t>EXAMPLE</w:t>
      </w:r>
    </w:p>
    <w:p>
      <w:pPr>
        <w:spacing w:line="252" w:lineRule="auto" w:before="66"/>
        <w:ind w:left="574" w:right="791" w:firstLine="2"/>
        <w:jc w:val="both"/>
        <w:rPr>
          <w:b/>
          <w:sz w:val="20"/>
        </w:rPr>
      </w:pPr>
      <w:r>
        <w:rPr>
          <w:b/>
          <w:color w:val="383638"/>
          <w:w w:val="115"/>
          <w:sz w:val="20"/>
        </w:rPr>
        <w:t>Prohibition</w:t>
      </w:r>
      <w:r>
        <w:rPr>
          <w:b/>
          <w:color w:val="383638"/>
          <w:spacing w:val="13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is</w:t>
      </w:r>
      <w:r>
        <w:rPr>
          <w:b/>
          <w:color w:val="383638"/>
          <w:spacing w:val="-7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not</w:t>
      </w:r>
      <w:r>
        <w:rPr>
          <w:b/>
          <w:color w:val="383638"/>
          <w:spacing w:val="31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just</w:t>
      </w:r>
      <w:r>
        <w:rPr>
          <w:b/>
          <w:color w:val="383638"/>
          <w:spacing w:val="-23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a</w:t>
      </w:r>
      <w:r>
        <w:rPr>
          <w:b/>
          <w:color w:val="383638"/>
          <w:spacing w:val="3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time</w:t>
      </w:r>
      <w:r>
        <w:rPr>
          <w:b/>
          <w:color w:val="383638"/>
          <w:spacing w:val="-21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in</w:t>
      </w:r>
      <w:r>
        <w:rPr>
          <w:b/>
          <w:color w:val="383638"/>
          <w:spacing w:val="1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history</w:t>
      </w:r>
      <w:r>
        <w:rPr>
          <w:b/>
          <w:color w:val="383638"/>
          <w:spacing w:val="-6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that</w:t>
      </w:r>
      <w:r>
        <w:rPr>
          <w:b/>
          <w:color w:val="383638"/>
          <w:spacing w:val="-24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ended</w:t>
      </w:r>
      <w:r>
        <w:rPr>
          <w:b/>
          <w:color w:val="383638"/>
          <w:spacing w:val="-21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60</w:t>
      </w:r>
      <w:r>
        <w:rPr>
          <w:b/>
          <w:color w:val="383638"/>
          <w:spacing w:val="-5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years</w:t>
      </w:r>
      <w:r>
        <w:rPr>
          <w:b/>
          <w:color w:val="383638"/>
          <w:spacing w:val="-26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ago.</w:t>
      </w:r>
      <w:r>
        <w:rPr>
          <w:b/>
          <w:color w:val="383638"/>
          <w:spacing w:val="-18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Every</w:t>
      </w:r>
      <w:r>
        <w:rPr>
          <w:b/>
          <w:color w:val="383638"/>
          <w:spacing w:val="1"/>
          <w:w w:val="115"/>
          <w:sz w:val="20"/>
        </w:rPr>
        <w:t> </w:t>
      </w:r>
      <w:r>
        <w:rPr>
          <w:b/>
          <w:color w:val="383638"/>
          <w:spacing w:val="-1"/>
          <w:w w:val="115"/>
          <w:sz w:val="20"/>
        </w:rPr>
        <w:t>day</w:t>
      </w:r>
      <w:r>
        <w:rPr>
          <w:b/>
          <w:color w:val="383638"/>
          <w:spacing w:val="3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is</w:t>
      </w:r>
      <w:r>
        <w:rPr>
          <w:b/>
          <w:color w:val="383638"/>
          <w:spacing w:val="-19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the</w:t>
      </w:r>
      <w:r>
        <w:rPr>
          <w:b/>
          <w:color w:val="383638"/>
          <w:spacing w:val="15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end</w:t>
      </w:r>
      <w:r>
        <w:rPr>
          <w:b/>
          <w:color w:val="383638"/>
          <w:spacing w:val="20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of</w:t>
      </w:r>
      <w:r>
        <w:rPr>
          <w:b/>
          <w:color w:val="383638"/>
          <w:spacing w:val="14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Prohibition for</w:t>
      </w:r>
      <w:r>
        <w:rPr>
          <w:b/>
          <w:color w:val="383638"/>
          <w:spacing w:val="-37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someone</w:t>
      </w:r>
      <w:r>
        <w:rPr>
          <w:b/>
          <w:color w:val="383638"/>
          <w:spacing w:val="-16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who</w:t>
      </w:r>
      <w:r>
        <w:rPr>
          <w:b/>
          <w:color w:val="383638"/>
          <w:spacing w:val="-5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reaches</w:t>
      </w:r>
      <w:r>
        <w:rPr>
          <w:b/>
          <w:color w:val="383638"/>
          <w:spacing w:val="-22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the</w:t>
      </w:r>
      <w:r>
        <w:rPr>
          <w:b/>
          <w:color w:val="383638"/>
          <w:spacing w:val="-2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legal</w:t>
      </w:r>
      <w:r>
        <w:rPr>
          <w:b/>
          <w:color w:val="383638"/>
          <w:spacing w:val="-23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drink­</w:t>
      </w:r>
      <w:r>
        <w:rPr>
          <w:b/>
          <w:color w:val="383638"/>
          <w:spacing w:val="-55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ing</w:t>
      </w:r>
      <w:r>
        <w:rPr>
          <w:b/>
          <w:color w:val="383638"/>
          <w:spacing w:val="-22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age.</w:t>
      </w:r>
    </w:p>
    <w:p>
      <w:pPr>
        <w:pStyle w:val="BodyText"/>
        <w:spacing w:line="235" w:lineRule="auto" w:before="118"/>
        <w:ind w:left="249" w:right="370" w:firstLine="11"/>
        <w:jc w:val="both"/>
      </w:pPr>
      <w:r>
        <w:rPr>
          <w:color w:val="383638"/>
          <w:w w:val="110"/>
        </w:rPr>
        <w:t>You can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be both more dramatic and more argumentative in the summary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than you can in the fact statement. </w:t>
      </w:r>
      <w:r>
        <w:rPr>
          <w:i/>
          <w:color w:val="383638"/>
          <w:w w:val="110"/>
          <w:sz w:val="22"/>
        </w:rPr>
        <w:t>Miller v. Albright </w:t>
      </w:r>
      <w:r>
        <w:rPr>
          <w:color w:val="383638"/>
          <w:w w:val="110"/>
        </w:rPr>
        <w:t>addressed the citizen­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ship of children born outside of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United States to unmarried United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States citizens, when only one of the parents was a citizen. The issue was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whether a statute could constitutionally distinguish between children of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United States citizen fathers and  those of United States citizen mothers.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An attorney representing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Ms. Miller could have opened the </w:t>
      </w:r>
      <w:r>
        <w:rPr>
          <w:color w:val="4D4D4D"/>
          <w:w w:val="110"/>
        </w:rPr>
        <w:t>summary </w:t>
      </w:r>
      <w:r>
        <w:rPr>
          <w:color w:val="383638"/>
          <w:w w:val="110"/>
        </w:rPr>
        <w:t>of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argument by reminding the </w:t>
      </w:r>
      <w:r>
        <w:rPr>
          <w:color w:val="4D4D4D"/>
          <w:w w:val="110"/>
        </w:rPr>
        <w:t>Court </w:t>
      </w:r>
      <w:r>
        <w:rPr>
          <w:color w:val="383638"/>
          <w:w w:val="110"/>
        </w:rPr>
        <w:t>of the harsh reality of the statute's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distinction:</w:t>
      </w:r>
    </w:p>
    <w:p>
      <w:pPr>
        <w:pStyle w:val="BodyText"/>
        <w:spacing w:before="1"/>
        <w:rPr>
          <w:sz w:val="16"/>
        </w:rPr>
      </w:pPr>
    </w:p>
    <w:p>
      <w:pPr>
        <w:tabs>
          <w:tab w:pos="459" w:val="left" w:leader="none"/>
        </w:tabs>
        <w:spacing w:before="0"/>
        <w:ind w:left="106" w:right="0" w:firstLine="0"/>
        <w:jc w:val="left"/>
        <w:rPr>
          <w:sz w:val="16"/>
        </w:rPr>
      </w:pPr>
      <w:r>
        <w:rPr>
          <w:color w:val="383638"/>
          <w:w w:val="100"/>
          <w:sz w:val="16"/>
          <w:u w:val="thick" w:color="383638"/>
        </w:rPr>
        <w:t> </w:t>
      </w:r>
      <w:r>
        <w:rPr>
          <w:color w:val="383638"/>
          <w:sz w:val="16"/>
          <w:u w:val="thick" w:color="383638"/>
        </w:rPr>
        <w:tab/>
      </w:r>
      <w:r>
        <w:rPr>
          <w:color w:val="383638"/>
          <w:sz w:val="16"/>
        </w:rPr>
        <w:t>   </w:t>
      </w:r>
      <w:r>
        <w:rPr>
          <w:color w:val="383638"/>
          <w:spacing w:val="-2"/>
          <w:sz w:val="16"/>
        </w:rPr>
        <w:t> </w:t>
      </w:r>
      <w:r>
        <w:rPr>
          <w:color w:val="383638"/>
          <w:w w:val="90"/>
          <w:sz w:val="16"/>
          <w:u w:val="thick" w:color="4D4D4D"/>
        </w:rPr>
        <w:t>BAD</w:t>
      </w:r>
      <w:r>
        <w:rPr>
          <w:color w:val="383638"/>
          <w:spacing w:val="13"/>
          <w:w w:val="90"/>
          <w:sz w:val="16"/>
          <w:u w:val="thick" w:color="4D4D4D"/>
        </w:rPr>
        <w:t> </w:t>
      </w:r>
      <w:r>
        <w:rPr>
          <w:color w:val="4D4D4D"/>
          <w:w w:val="90"/>
          <w:sz w:val="16"/>
          <w:u w:val="thick" w:color="4D4D4D"/>
        </w:rPr>
        <w:t>EXAMPLE</w:t>
      </w:r>
    </w:p>
    <w:p>
      <w:pPr>
        <w:spacing w:before="87"/>
        <w:ind w:left="617" w:right="712" w:hanging="23"/>
        <w:jc w:val="both"/>
        <w:rPr>
          <w:b/>
          <w:sz w:val="20"/>
        </w:rPr>
      </w:pPr>
      <w:r>
        <w:rPr>
          <w:b/>
          <w:color w:val="383638"/>
          <w:w w:val="115"/>
          <w:sz w:val="20"/>
        </w:rPr>
        <w:t>The</w:t>
      </w:r>
      <w:r>
        <w:rPr>
          <w:b/>
          <w:color w:val="383638"/>
          <w:spacing w:val="1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issue before this Court is whether Congress may use an irrebut­</w:t>
      </w:r>
      <w:r>
        <w:rPr>
          <w:b/>
          <w:color w:val="383638"/>
          <w:spacing w:val="1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table gender </w:t>
      </w:r>
      <w:r>
        <w:rPr>
          <w:b/>
          <w:color w:val="4D4D4D"/>
          <w:w w:val="115"/>
          <w:sz w:val="20"/>
        </w:rPr>
        <w:t>stereotype </w:t>
      </w:r>
      <w:r>
        <w:rPr>
          <w:b/>
          <w:color w:val="383638"/>
          <w:w w:val="115"/>
          <w:sz w:val="20"/>
        </w:rPr>
        <w:t>to impose an arbitrary time limit on the rela­</w:t>
      </w:r>
      <w:r>
        <w:rPr>
          <w:b/>
          <w:color w:val="383638"/>
          <w:spacing w:val="1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tionship</w:t>
      </w:r>
      <w:r>
        <w:rPr>
          <w:b/>
          <w:color w:val="383638"/>
          <w:spacing w:val="-13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between</w:t>
      </w:r>
      <w:r>
        <w:rPr>
          <w:b/>
          <w:color w:val="383638"/>
          <w:spacing w:val="-2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a father</w:t>
      </w:r>
      <w:r>
        <w:rPr>
          <w:b/>
          <w:color w:val="383638"/>
          <w:spacing w:val="-13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and</w:t>
      </w:r>
      <w:r>
        <w:rPr>
          <w:b/>
          <w:color w:val="383638"/>
          <w:spacing w:val="13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his</w:t>
      </w:r>
      <w:r>
        <w:rPr>
          <w:b/>
          <w:color w:val="383638"/>
          <w:spacing w:val="-6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daughter.</w:t>
      </w:r>
    </w:p>
    <w:p>
      <w:pPr>
        <w:pStyle w:val="BodyText"/>
        <w:spacing w:before="139"/>
        <w:ind w:left="281" w:right="302" w:hanging="6"/>
        <w:jc w:val="both"/>
      </w:pPr>
      <w:r>
        <w:rPr>
          <w:color w:val="383638"/>
          <w:w w:val="110"/>
        </w:rPr>
        <w:t>This opening is not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horrible, but it states the issue objectively when it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should be arguing. Lopping off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objective opening and making a flat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statement of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writer's position creates a much more effective opening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sentence:</w:t>
      </w:r>
    </w:p>
    <w:p>
      <w:pPr>
        <w:spacing w:after="0"/>
        <w:jc w:val="both"/>
        <w:sectPr>
          <w:pgSz w:w="9740" w:h="14000"/>
          <w:pgMar w:header="675" w:footer="0" w:top="1260" w:bottom="280" w:left="180" w:right="1360"/>
        </w:sectPr>
      </w:pPr>
    </w:p>
    <w:p>
      <w:pPr>
        <w:spacing w:before="85"/>
        <w:ind w:left="737" w:right="0" w:firstLine="0"/>
        <w:jc w:val="left"/>
        <w:rPr>
          <w:rFonts w:ascii="Arial"/>
          <w:sz w:val="15"/>
        </w:rPr>
      </w:pPr>
      <w:r>
        <w:rPr>
          <w:rFonts w:ascii="Arial"/>
          <w:color w:val="3B383A"/>
          <w:w w:val="125"/>
          <w:sz w:val="15"/>
          <w:u w:val="thick" w:color="3B383A"/>
        </w:rPr>
        <w:t>.</w:t>
      </w:r>
      <w:r>
        <w:rPr>
          <w:rFonts w:ascii="Arial"/>
          <w:color w:val="565456"/>
          <w:w w:val="125"/>
          <w:sz w:val="15"/>
          <w:u w:val="thick" w:color="3B383A"/>
        </w:rPr>
        <w:t>/\</w:t>
      </w:r>
      <w:r>
        <w:rPr>
          <w:rFonts w:ascii="Arial"/>
          <w:color w:val="3B383A"/>
          <w:w w:val="125"/>
          <w:sz w:val="15"/>
          <w:u w:val="thick" w:color="3B383A"/>
        </w:rPr>
        <w:t>GOO</w:t>
      </w:r>
      <w:r>
        <w:rPr>
          <w:rFonts w:ascii="Arial"/>
          <w:color w:val="565456"/>
          <w:w w:val="125"/>
          <w:sz w:val="15"/>
          <w:u w:val="thick" w:color="3B383A"/>
        </w:rPr>
        <w:t>D</w:t>
      </w:r>
      <w:r>
        <w:rPr>
          <w:rFonts w:ascii="Arial"/>
          <w:color w:val="565456"/>
          <w:spacing w:val="-13"/>
          <w:w w:val="125"/>
          <w:sz w:val="15"/>
          <w:u w:val="thick" w:color="3B383A"/>
        </w:rPr>
        <w:t> </w:t>
      </w:r>
      <w:r>
        <w:rPr>
          <w:rFonts w:ascii="Arial"/>
          <w:color w:val="3B383A"/>
          <w:w w:val="120"/>
          <w:sz w:val="15"/>
          <w:u w:val="thick" w:color="3B383A"/>
        </w:rPr>
        <w:t>E</w:t>
      </w:r>
      <w:r>
        <w:rPr>
          <w:rFonts w:ascii="Arial"/>
          <w:color w:val="565456"/>
          <w:w w:val="120"/>
          <w:sz w:val="15"/>
          <w:u w:val="thick" w:color="3B383A"/>
        </w:rPr>
        <w:t>XA</w:t>
      </w:r>
      <w:r>
        <w:rPr>
          <w:rFonts w:ascii="Arial"/>
          <w:color w:val="3B383A"/>
          <w:w w:val="120"/>
          <w:sz w:val="15"/>
          <w:u w:val="thick" w:color="3B383A"/>
        </w:rPr>
        <w:t>M</w:t>
      </w:r>
      <w:r>
        <w:rPr>
          <w:rFonts w:ascii="Arial"/>
          <w:color w:val="565456"/>
          <w:w w:val="120"/>
          <w:sz w:val="15"/>
          <w:u w:val="thick" w:color="3B383A"/>
        </w:rPr>
        <w:t>P</w:t>
      </w:r>
      <w:r>
        <w:rPr>
          <w:rFonts w:ascii="Arial"/>
          <w:color w:val="3B383A"/>
          <w:w w:val="120"/>
          <w:sz w:val="15"/>
          <w:u w:val="thick" w:color="3B383A"/>
        </w:rPr>
        <w:t>LE</w:t>
      </w:r>
    </w:p>
    <w:p>
      <w:pPr>
        <w:spacing w:line="244" w:lineRule="auto" w:before="61"/>
        <w:ind w:left="1090" w:right="417" w:firstLine="0"/>
        <w:jc w:val="both"/>
        <w:rPr>
          <w:b/>
          <w:sz w:val="21"/>
        </w:rPr>
      </w:pPr>
      <w:r>
        <w:rPr>
          <w:color w:val="3B383A"/>
          <w:w w:val="120"/>
          <w:sz w:val="21"/>
        </w:rPr>
        <w:t>Congress may not use an irrebuttable gender stereotype to impose</w:t>
      </w:r>
      <w:r>
        <w:rPr>
          <w:color w:val="3B383A"/>
          <w:spacing w:val="1"/>
          <w:w w:val="120"/>
          <w:sz w:val="21"/>
        </w:rPr>
        <w:t> </w:t>
      </w:r>
      <w:r>
        <w:rPr>
          <w:color w:val="3B383A"/>
          <w:w w:val="120"/>
          <w:sz w:val="21"/>
        </w:rPr>
        <w:t>an arbitrary time limit on the relationship between a father and his</w:t>
      </w:r>
      <w:r>
        <w:rPr>
          <w:color w:val="3B383A"/>
          <w:spacing w:val="-60"/>
          <w:w w:val="120"/>
          <w:sz w:val="21"/>
        </w:rPr>
        <w:t> </w:t>
      </w:r>
      <w:r>
        <w:rPr>
          <w:b/>
          <w:color w:val="3B383A"/>
          <w:w w:val="120"/>
          <w:sz w:val="21"/>
        </w:rPr>
        <w:t>daughter</w:t>
      </w:r>
      <w:r>
        <w:rPr>
          <w:b/>
          <w:color w:val="565456"/>
          <w:w w:val="120"/>
          <w:sz w:val="21"/>
        </w:rPr>
        <w:t>.</w:t>
      </w:r>
    </w:p>
    <w:p>
      <w:pPr>
        <w:pStyle w:val="BodyText"/>
        <w:spacing w:line="232" w:lineRule="auto" w:before="116"/>
        <w:ind w:left="696" w:right="112" w:firstLine="406"/>
        <w:jc w:val="both"/>
      </w:pPr>
      <w:r>
        <w:rPr>
          <w:color w:val="3B383A"/>
          <w:w w:val="110"/>
        </w:rPr>
        <w:t>I think of a dramatic opening to the summary of the argument as a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"boom" opening, because it is meant to make a "noise" in the reader's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brain</w:t>
      </w:r>
      <w:r>
        <w:rPr>
          <w:color w:val="3B383A"/>
          <w:spacing w:val="-9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-8"/>
          <w:w w:val="110"/>
        </w:rPr>
        <w:t> </w:t>
      </w:r>
      <w:r>
        <w:rPr>
          <w:color w:val="3B383A"/>
          <w:w w:val="110"/>
        </w:rPr>
        <w:t>attract</w:t>
      </w:r>
      <w:r>
        <w:rPr>
          <w:color w:val="3B383A"/>
          <w:spacing w:val="-4"/>
          <w:w w:val="110"/>
        </w:rPr>
        <w:t> </w:t>
      </w:r>
      <w:r>
        <w:rPr>
          <w:color w:val="3B383A"/>
          <w:w w:val="110"/>
        </w:rPr>
        <w:t>attention</w:t>
      </w:r>
      <w:r>
        <w:rPr>
          <w:color w:val="69696B"/>
          <w:w w:val="110"/>
        </w:rPr>
        <w:t>.</w:t>
      </w:r>
      <w:r>
        <w:rPr>
          <w:color w:val="69696B"/>
          <w:spacing w:val="-8"/>
          <w:w w:val="110"/>
        </w:rPr>
        <w:t> </w:t>
      </w:r>
      <w:r>
        <w:rPr>
          <w:color w:val="3B383A"/>
          <w:w w:val="110"/>
        </w:rPr>
        <w:t>I</w:t>
      </w:r>
      <w:r>
        <w:rPr>
          <w:color w:val="3B383A"/>
          <w:spacing w:val="-19"/>
          <w:w w:val="110"/>
        </w:rPr>
        <w:t> </w:t>
      </w:r>
      <w:r>
        <w:rPr>
          <w:color w:val="3B383A"/>
          <w:w w:val="110"/>
        </w:rPr>
        <w:t>also</w:t>
      </w:r>
      <w:r>
        <w:rPr>
          <w:color w:val="3B383A"/>
          <w:spacing w:val="-5"/>
          <w:w w:val="110"/>
        </w:rPr>
        <w:t> </w:t>
      </w:r>
      <w:r>
        <w:rPr>
          <w:color w:val="3B383A"/>
          <w:w w:val="110"/>
        </w:rPr>
        <w:t>believe,</w:t>
      </w:r>
      <w:r>
        <w:rPr>
          <w:color w:val="3B383A"/>
          <w:spacing w:val="-7"/>
          <w:w w:val="110"/>
        </w:rPr>
        <w:t> </w:t>
      </w:r>
      <w:r>
        <w:rPr>
          <w:color w:val="3B383A"/>
          <w:w w:val="110"/>
        </w:rPr>
        <w:t>however,</w:t>
      </w:r>
      <w:r>
        <w:rPr>
          <w:color w:val="3B383A"/>
          <w:spacing w:val="-1"/>
          <w:w w:val="110"/>
        </w:rPr>
        <w:t> </w:t>
      </w:r>
      <w:r>
        <w:rPr>
          <w:color w:val="3B383A"/>
          <w:w w:val="110"/>
        </w:rPr>
        <w:t>that</w:t>
      </w:r>
      <w:r>
        <w:rPr>
          <w:color w:val="3B383A"/>
          <w:spacing w:val="-7"/>
          <w:w w:val="110"/>
        </w:rPr>
        <w:t> </w:t>
      </w:r>
      <w:r>
        <w:rPr>
          <w:color w:val="3B383A"/>
          <w:w w:val="110"/>
        </w:rPr>
        <w:t>not</w:t>
      </w:r>
      <w:r>
        <w:rPr>
          <w:color w:val="3B383A"/>
          <w:spacing w:val="-13"/>
          <w:w w:val="110"/>
        </w:rPr>
        <w:t> </w:t>
      </w:r>
      <w:r>
        <w:rPr>
          <w:color w:val="3B383A"/>
          <w:w w:val="110"/>
        </w:rPr>
        <w:t>every</w:t>
      </w:r>
      <w:r>
        <w:rPr>
          <w:color w:val="3B383A"/>
          <w:spacing w:val="-16"/>
          <w:w w:val="110"/>
        </w:rPr>
        <w:t> </w:t>
      </w:r>
      <w:r>
        <w:rPr>
          <w:color w:val="3B383A"/>
          <w:w w:val="110"/>
        </w:rPr>
        <w:t>summary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needs to have a boom opening. Sometimes, it can be effective to slow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things down and to make the reader think fora moment. In </w:t>
      </w:r>
      <w:r>
        <w:rPr>
          <w:i/>
          <w:color w:val="3B383A"/>
          <w:w w:val="105"/>
        </w:rPr>
        <w:t>United States v.</w:t>
      </w:r>
      <w:r>
        <w:rPr>
          <w:i/>
          <w:color w:val="3B383A"/>
          <w:spacing w:val="1"/>
          <w:w w:val="105"/>
        </w:rPr>
        <w:t> </w:t>
      </w:r>
      <w:r>
        <w:rPr>
          <w:i/>
          <w:color w:val="3B383A"/>
          <w:w w:val="105"/>
          <w:sz w:val="21"/>
        </w:rPr>
        <w:t>Stevens, </w:t>
      </w:r>
      <w:r>
        <w:rPr>
          <w:color w:val="3B383A"/>
          <w:w w:val="105"/>
        </w:rPr>
        <w:t>for example, the issue was the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constitutionality of a federal statute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that restricted creation and distribution of certain videos that included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depictions of violence between or  against animals. The statute was drafted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to stop the creation of a category of videos that depicted the murders of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puppies and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kittens. The statute was challenged as overbroad by Stevens, a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filmmaker whose films about pit bulls included some footage of dogfight­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ing,</w:t>
      </w:r>
      <w:r>
        <w:rPr>
          <w:color w:val="3B383A"/>
          <w:spacing w:val="-5"/>
          <w:w w:val="110"/>
        </w:rPr>
        <w:t> </w:t>
      </w:r>
      <w:r>
        <w:rPr>
          <w:color w:val="3B383A"/>
          <w:w w:val="110"/>
        </w:rPr>
        <w:t>which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he</w:t>
      </w:r>
      <w:r>
        <w:rPr>
          <w:color w:val="3B383A"/>
          <w:spacing w:val="3"/>
          <w:w w:val="110"/>
        </w:rPr>
        <w:t> </w:t>
      </w:r>
      <w:r>
        <w:rPr>
          <w:color w:val="3B383A"/>
          <w:w w:val="110"/>
        </w:rPr>
        <w:t>opposed</w:t>
      </w:r>
      <w:r>
        <w:rPr>
          <w:color w:val="565456"/>
          <w:w w:val="110"/>
        </w:rPr>
        <w:t>.</w:t>
      </w:r>
    </w:p>
    <w:p>
      <w:pPr>
        <w:pStyle w:val="BodyText"/>
        <w:spacing w:line="235" w:lineRule="auto" w:before="2"/>
        <w:ind w:left="685" w:right="122" w:firstLine="350"/>
        <w:jc w:val="both"/>
      </w:pPr>
      <w:r>
        <w:rPr>
          <w:color w:val="3B383A"/>
          <w:w w:val="110"/>
        </w:rPr>
        <w:t>Stevens could, no doubt, have started his summary of the argument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with a boom opening. Instead, he slowed the pace and isolated the dis­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agreement</w:t>
      </w:r>
      <w:r>
        <w:rPr>
          <w:color w:val="3B383A"/>
          <w:spacing w:val="6"/>
          <w:w w:val="110"/>
        </w:rPr>
        <w:t> </w:t>
      </w:r>
      <w:r>
        <w:rPr>
          <w:color w:val="3B383A"/>
          <w:w w:val="110"/>
        </w:rPr>
        <w:t>between</w:t>
      </w:r>
      <w:r>
        <w:rPr>
          <w:color w:val="3B383A"/>
          <w:spacing w:val="18"/>
          <w:w w:val="110"/>
        </w:rPr>
        <w:t> </w:t>
      </w:r>
      <w:r>
        <w:rPr>
          <w:color w:val="3B383A"/>
          <w:w w:val="110"/>
        </w:rPr>
        <w:t>himself</w:t>
      </w:r>
      <w:r>
        <w:rPr>
          <w:color w:val="3B383A"/>
          <w:spacing w:val="7"/>
          <w:w w:val="110"/>
        </w:rPr>
        <w:t> </w:t>
      </w:r>
      <w:r>
        <w:rPr>
          <w:color w:val="3B383A"/>
          <w:w w:val="110"/>
        </w:rPr>
        <w:t>and</w:t>
      </w:r>
      <w:r>
        <w:rPr>
          <w:color w:val="3B383A"/>
          <w:spacing w:val="38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15"/>
          <w:w w:val="110"/>
        </w:rPr>
        <w:t> </w:t>
      </w:r>
      <w:r>
        <w:rPr>
          <w:color w:val="3B383A"/>
          <w:w w:val="110"/>
        </w:rPr>
        <w:t>government:</w:t>
      </w:r>
    </w:p>
    <w:p>
      <w:pPr>
        <w:spacing w:line="237" w:lineRule="auto" w:before="125"/>
        <w:ind w:left="1014" w:right="449" w:firstLine="377"/>
        <w:jc w:val="both"/>
        <w:rPr>
          <w:sz w:val="21"/>
        </w:rPr>
      </w:pPr>
      <w:r>
        <w:rPr>
          <w:color w:val="3B383A"/>
          <w:w w:val="110"/>
          <w:sz w:val="21"/>
        </w:rPr>
        <w:t>This case is not</w:t>
      </w:r>
      <w:r>
        <w:rPr>
          <w:color w:val="3B383A"/>
          <w:spacing w:val="1"/>
          <w:w w:val="110"/>
          <w:sz w:val="21"/>
        </w:rPr>
        <w:t> </w:t>
      </w:r>
      <w:r>
        <w:rPr>
          <w:color w:val="3B383A"/>
          <w:w w:val="110"/>
          <w:sz w:val="21"/>
        </w:rPr>
        <w:t>about dogfighting or animal cruelty. The govern­</w:t>
      </w:r>
      <w:r>
        <w:rPr>
          <w:color w:val="3B383A"/>
          <w:spacing w:val="1"/>
          <w:w w:val="110"/>
          <w:sz w:val="21"/>
        </w:rPr>
        <w:t> </w:t>
      </w:r>
      <w:r>
        <w:rPr>
          <w:color w:val="3B383A"/>
          <w:w w:val="110"/>
          <w:sz w:val="21"/>
        </w:rPr>
        <w:t>ment and Stevens stand</w:t>
      </w:r>
      <w:r>
        <w:rPr>
          <w:color w:val="3B383A"/>
          <w:spacing w:val="1"/>
          <w:w w:val="110"/>
          <w:sz w:val="21"/>
        </w:rPr>
        <w:t> </w:t>
      </w:r>
      <w:r>
        <w:rPr>
          <w:color w:val="3B383A"/>
          <w:w w:val="110"/>
          <w:sz w:val="21"/>
        </w:rPr>
        <w:t>tog</w:t>
      </w:r>
      <w:r>
        <w:rPr>
          <w:color w:val="565456"/>
          <w:w w:val="110"/>
          <w:sz w:val="21"/>
        </w:rPr>
        <w:t>e</w:t>
      </w:r>
      <w:r>
        <w:rPr>
          <w:color w:val="3B383A"/>
          <w:w w:val="110"/>
          <w:sz w:val="21"/>
        </w:rPr>
        <w:t>ther opposing that. The question</w:t>
      </w:r>
      <w:r>
        <w:rPr>
          <w:color w:val="3B383A"/>
          <w:spacing w:val="1"/>
          <w:w w:val="110"/>
          <w:sz w:val="21"/>
        </w:rPr>
        <w:t> </w:t>
      </w:r>
      <w:r>
        <w:rPr>
          <w:color w:val="3B383A"/>
          <w:w w:val="110"/>
          <w:sz w:val="21"/>
        </w:rPr>
        <w:t>here is</w:t>
      </w:r>
      <w:r>
        <w:rPr>
          <w:color w:val="3B383A"/>
          <w:spacing w:val="1"/>
          <w:w w:val="110"/>
          <w:sz w:val="21"/>
        </w:rPr>
        <w:t> </w:t>
      </w:r>
      <w:r>
        <w:rPr>
          <w:color w:val="3B383A"/>
          <w:w w:val="110"/>
          <w:sz w:val="21"/>
        </w:rPr>
        <w:t>more fundamental: whether the government can send an  individual to</w:t>
      </w:r>
      <w:r>
        <w:rPr>
          <w:color w:val="3B383A"/>
          <w:spacing w:val="1"/>
          <w:w w:val="110"/>
          <w:sz w:val="21"/>
        </w:rPr>
        <w:t> </w:t>
      </w:r>
      <w:r>
        <w:rPr>
          <w:color w:val="3B383A"/>
          <w:w w:val="110"/>
          <w:sz w:val="21"/>
        </w:rPr>
        <w:t>jail for up to five years just for making films-films that are not obscene,</w:t>
      </w:r>
      <w:r>
        <w:rPr>
          <w:color w:val="3B383A"/>
          <w:spacing w:val="1"/>
          <w:w w:val="110"/>
          <w:sz w:val="21"/>
        </w:rPr>
        <w:t> </w:t>
      </w:r>
      <w:r>
        <w:rPr>
          <w:color w:val="3B383A"/>
          <w:w w:val="110"/>
          <w:sz w:val="21"/>
        </w:rPr>
        <w:t>pornographic, inflammatory, defamatory, or even untru</w:t>
      </w:r>
      <w:r>
        <w:rPr>
          <w:color w:val="565456"/>
          <w:w w:val="110"/>
          <w:sz w:val="21"/>
        </w:rPr>
        <w:t>t</w:t>
      </w:r>
      <w:r>
        <w:rPr>
          <w:color w:val="3B383A"/>
          <w:w w:val="110"/>
          <w:sz w:val="21"/>
        </w:rPr>
        <w:t>hful. They are</w:t>
      </w:r>
      <w:r>
        <w:rPr>
          <w:color w:val="3B383A"/>
          <w:spacing w:val="1"/>
          <w:w w:val="110"/>
          <w:sz w:val="21"/>
        </w:rPr>
        <w:t> </w:t>
      </w:r>
      <w:r>
        <w:rPr>
          <w:color w:val="3B383A"/>
          <w:w w:val="110"/>
          <w:sz w:val="21"/>
        </w:rPr>
        <w:t>controversial. But that is supposed to invigorate, not contract, the First</w:t>
      </w:r>
      <w:r>
        <w:rPr>
          <w:color w:val="3B383A"/>
          <w:spacing w:val="1"/>
          <w:w w:val="110"/>
          <w:sz w:val="21"/>
        </w:rPr>
        <w:t> </w:t>
      </w:r>
      <w:r>
        <w:rPr>
          <w:color w:val="3B383A"/>
          <w:w w:val="110"/>
          <w:sz w:val="21"/>
        </w:rPr>
        <w:t>Amendment's</w:t>
      </w:r>
      <w:r>
        <w:rPr>
          <w:color w:val="3B383A"/>
          <w:spacing w:val="9"/>
          <w:w w:val="110"/>
          <w:sz w:val="21"/>
        </w:rPr>
        <w:t> </w:t>
      </w:r>
      <w:r>
        <w:rPr>
          <w:color w:val="3B383A"/>
          <w:w w:val="110"/>
          <w:sz w:val="21"/>
        </w:rPr>
        <w:t>protection.</w:t>
      </w:r>
      <w:r>
        <w:rPr>
          <w:color w:val="3B383A"/>
          <w:w w:val="110"/>
          <w:sz w:val="21"/>
          <w:vertAlign w:val="superscript"/>
        </w:rPr>
        <w:t>26</w:t>
      </w:r>
    </w:p>
    <w:p>
      <w:pPr>
        <w:pStyle w:val="BodyText"/>
        <w:spacing w:line="232" w:lineRule="auto" w:before="142"/>
        <w:ind w:left="609" w:right="137" w:firstLine="385"/>
        <w:jc w:val="both"/>
      </w:pPr>
      <w:r>
        <w:rPr>
          <w:color w:val="3B383A"/>
          <w:spacing w:val="-1"/>
          <w:w w:val="110"/>
        </w:rPr>
        <w:t>This</w:t>
      </w:r>
      <w:r>
        <w:rPr>
          <w:color w:val="3B383A"/>
          <w:spacing w:val="-15"/>
          <w:w w:val="110"/>
        </w:rPr>
        <w:t> </w:t>
      </w:r>
      <w:r>
        <w:rPr>
          <w:color w:val="3B383A"/>
          <w:spacing w:val="-1"/>
          <w:w w:val="110"/>
        </w:rPr>
        <w:t>opening</w:t>
      </w:r>
      <w:r>
        <w:rPr>
          <w:color w:val="3B383A"/>
          <w:spacing w:val="-7"/>
          <w:w w:val="110"/>
        </w:rPr>
        <w:t> </w:t>
      </w:r>
      <w:r>
        <w:rPr>
          <w:color w:val="3B383A"/>
          <w:spacing w:val="-1"/>
          <w:w w:val="110"/>
        </w:rPr>
        <w:t>for</w:t>
      </w:r>
      <w:r>
        <w:rPr>
          <w:color w:val="3B383A"/>
          <w:spacing w:val="-16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11"/>
          <w:w w:val="110"/>
        </w:rPr>
        <w:t> </w:t>
      </w:r>
      <w:r>
        <w:rPr>
          <w:color w:val="3B383A"/>
          <w:w w:val="110"/>
        </w:rPr>
        <w:t>summary is</w:t>
      </w:r>
      <w:r>
        <w:rPr>
          <w:color w:val="3B383A"/>
          <w:spacing w:val="-24"/>
          <w:w w:val="110"/>
        </w:rPr>
        <w:t> </w:t>
      </w:r>
      <w:r>
        <w:rPr>
          <w:color w:val="3B383A"/>
          <w:w w:val="110"/>
        </w:rPr>
        <w:t>effective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because</w:t>
      </w:r>
      <w:r>
        <w:rPr>
          <w:color w:val="3B383A"/>
          <w:spacing w:val="-5"/>
          <w:w w:val="110"/>
        </w:rPr>
        <w:t> </w:t>
      </w:r>
      <w:r>
        <w:rPr>
          <w:color w:val="3B383A"/>
          <w:w w:val="110"/>
        </w:rPr>
        <w:t>it</w:t>
      </w:r>
      <w:r>
        <w:rPr>
          <w:color w:val="3B383A"/>
          <w:spacing w:val="11"/>
          <w:w w:val="110"/>
        </w:rPr>
        <w:t> </w:t>
      </w:r>
      <w:r>
        <w:rPr>
          <w:color w:val="3B383A"/>
          <w:w w:val="110"/>
        </w:rPr>
        <w:t>disarms</w:t>
      </w:r>
      <w:r>
        <w:rPr>
          <w:color w:val="3B383A"/>
          <w:spacing w:val="-5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emo­</w:t>
      </w:r>
      <w:r>
        <w:rPr>
          <w:color w:val="3B383A"/>
          <w:spacing w:val="-61"/>
          <w:w w:val="110"/>
        </w:rPr>
        <w:t> </w:t>
      </w:r>
      <w:r>
        <w:rPr>
          <w:color w:val="3B383A"/>
          <w:w w:val="110"/>
        </w:rPr>
        <w:t>tional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arguments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that  focus on  animal  cruelty and  puts  the  focus on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less emotional-but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equally important-issue of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First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Amendment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guarantees.</w:t>
      </w:r>
    </w:p>
    <w:p>
      <w:pPr>
        <w:pStyle w:val="BodyText"/>
        <w:spacing w:line="232" w:lineRule="auto" w:before="4"/>
        <w:ind w:left="575" w:right="134" w:firstLine="399"/>
        <w:jc w:val="both"/>
      </w:pPr>
      <w:r>
        <w:rPr>
          <w:color w:val="3B383A"/>
          <w:w w:val="110"/>
        </w:rPr>
        <w:t>Once the writer has written an appropriate opening, it is time to con­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centrate on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rest of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the summary. Many writers clog up  the summary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of the argument with too much detail. This part of the document is meant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to provide a </w:t>
      </w:r>
      <w:r>
        <w:rPr>
          <w:i/>
          <w:color w:val="3B383A"/>
          <w:w w:val="110"/>
        </w:rPr>
        <w:t>summary. </w:t>
      </w:r>
      <w:r>
        <w:rPr>
          <w:color w:val="3B383A"/>
          <w:w w:val="110"/>
          <w:sz w:val="22"/>
        </w:rPr>
        <w:t>It </w:t>
      </w:r>
      <w:r>
        <w:rPr>
          <w:color w:val="3B383A"/>
          <w:w w:val="110"/>
        </w:rPr>
        <w:t>should focus more on rules and how they apply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5"/>
        </w:rPr>
        <w:t>than</w:t>
      </w:r>
      <w:r>
        <w:rPr>
          <w:color w:val="3B383A"/>
          <w:spacing w:val="-9"/>
          <w:w w:val="115"/>
        </w:rPr>
        <w:t> </w:t>
      </w:r>
      <w:r>
        <w:rPr>
          <w:color w:val="3B383A"/>
          <w:w w:val="115"/>
        </w:rPr>
        <w:t>on</w:t>
      </w:r>
      <w:r>
        <w:rPr>
          <w:color w:val="3B383A"/>
          <w:spacing w:val="-6"/>
          <w:w w:val="115"/>
        </w:rPr>
        <w:t> </w:t>
      </w:r>
      <w:r>
        <w:rPr>
          <w:color w:val="3B383A"/>
          <w:w w:val="115"/>
        </w:rPr>
        <w:t>detailed</w:t>
      </w:r>
      <w:r>
        <w:rPr>
          <w:color w:val="3B383A"/>
          <w:spacing w:val="-6"/>
          <w:w w:val="115"/>
        </w:rPr>
        <w:t> </w:t>
      </w:r>
      <w:r>
        <w:rPr>
          <w:color w:val="3B383A"/>
          <w:w w:val="115"/>
        </w:rPr>
        <w:t>explanations.</w:t>
      </w:r>
    </w:p>
    <w:p>
      <w:pPr>
        <w:pStyle w:val="BodyText"/>
        <w:spacing w:line="228" w:lineRule="auto" w:before="3"/>
        <w:ind w:left="537" w:right="134" w:firstLine="401"/>
        <w:jc w:val="both"/>
      </w:pPr>
      <w:r>
        <w:rPr>
          <w:color w:val="3B383A"/>
          <w:w w:val="110"/>
        </w:rPr>
        <w:t>In the excerpt below, from the summary of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argument in a peti­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tioner's brief in </w:t>
      </w:r>
      <w:r>
        <w:rPr>
          <w:i/>
          <w:color w:val="3B383A"/>
          <w:w w:val="105"/>
          <w:sz w:val="24"/>
        </w:rPr>
        <w:t>Minnesota v.Carter, </w:t>
      </w:r>
      <w:r>
        <w:rPr>
          <w:color w:val="3B383A"/>
          <w:w w:val="105"/>
        </w:rPr>
        <w:t>the author summarized a 30-page argu­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ment in two pages. The case had two main points. After introducing those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points in the opening paragraph, the writer used one paragraph to Jay out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29"/>
          <w:w w:val="110"/>
        </w:rPr>
        <w:t> </w:t>
      </w:r>
      <w:r>
        <w:rPr>
          <w:color w:val="3B383A"/>
          <w:w w:val="110"/>
        </w:rPr>
        <w:t>first</w:t>
      </w:r>
      <w:r>
        <w:rPr>
          <w:color w:val="3B383A"/>
          <w:spacing w:val="12"/>
          <w:w w:val="110"/>
        </w:rPr>
        <w:t> </w:t>
      </w:r>
      <w:r>
        <w:rPr>
          <w:color w:val="3B383A"/>
          <w:w w:val="110"/>
        </w:rPr>
        <w:t>rule,</w:t>
      </w:r>
      <w:r>
        <w:rPr>
          <w:color w:val="3B383A"/>
          <w:spacing w:val="8"/>
          <w:w w:val="110"/>
        </w:rPr>
        <w:t> </w:t>
      </w:r>
      <w:r>
        <w:rPr>
          <w:color w:val="3B383A"/>
          <w:w w:val="110"/>
        </w:rPr>
        <w:t>then</w:t>
      </w:r>
      <w:r>
        <w:rPr>
          <w:color w:val="3B383A"/>
          <w:spacing w:val="11"/>
          <w:w w:val="110"/>
        </w:rPr>
        <w:t> </w:t>
      </w:r>
      <w:r>
        <w:rPr>
          <w:color w:val="3B383A"/>
          <w:w w:val="110"/>
        </w:rPr>
        <w:t>two</w:t>
      </w:r>
      <w:r>
        <w:rPr>
          <w:color w:val="3B383A"/>
          <w:spacing w:val="-12"/>
          <w:w w:val="110"/>
        </w:rPr>
        <w:t> </w:t>
      </w:r>
      <w:r>
        <w:rPr>
          <w:color w:val="3B383A"/>
          <w:w w:val="110"/>
        </w:rPr>
        <w:t>paragraphs</w:t>
      </w:r>
      <w:r>
        <w:rPr>
          <w:color w:val="3B383A"/>
          <w:spacing w:val="15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2"/>
          <w:w w:val="110"/>
        </w:rPr>
        <w:t> </w:t>
      </w:r>
      <w:r>
        <w:rPr>
          <w:color w:val="3B383A"/>
          <w:w w:val="110"/>
        </w:rPr>
        <w:t>apply</w:t>
      </w:r>
      <w:r>
        <w:rPr>
          <w:color w:val="3B383A"/>
          <w:spacing w:val="6"/>
          <w:w w:val="110"/>
        </w:rPr>
        <w:t> </w:t>
      </w:r>
      <w:r>
        <w:rPr>
          <w:color w:val="3B383A"/>
          <w:w w:val="110"/>
        </w:rPr>
        <w:t>it,</w:t>
      </w:r>
      <w:r>
        <w:rPr>
          <w:color w:val="3B383A"/>
          <w:spacing w:val="6"/>
          <w:w w:val="110"/>
        </w:rPr>
        <w:t> </w:t>
      </w:r>
      <w:r>
        <w:rPr>
          <w:color w:val="3B383A"/>
          <w:w w:val="110"/>
        </w:rPr>
        <w:t>followed</w:t>
      </w:r>
      <w:r>
        <w:rPr>
          <w:color w:val="3B383A"/>
          <w:spacing w:val="22"/>
          <w:w w:val="110"/>
        </w:rPr>
        <w:t> </w:t>
      </w:r>
      <w:r>
        <w:rPr>
          <w:color w:val="3B383A"/>
          <w:w w:val="110"/>
        </w:rPr>
        <w:t>by one</w:t>
      </w:r>
      <w:r>
        <w:rPr>
          <w:color w:val="3B383A"/>
          <w:spacing w:val="44"/>
          <w:w w:val="110"/>
        </w:rPr>
        <w:t> </w:t>
      </w:r>
      <w:r>
        <w:rPr>
          <w:color w:val="3B383A"/>
          <w:w w:val="110"/>
        </w:rPr>
        <w:t>paragraph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3"/>
        <w:ind w:left="862" w:right="0" w:firstLine="0"/>
        <w:jc w:val="left"/>
        <w:rPr>
          <w:sz w:val="17"/>
        </w:rPr>
      </w:pPr>
      <w:r>
        <w:rPr>
          <w:i/>
          <w:color w:val="3B383A"/>
          <w:spacing w:val="-1"/>
          <w:w w:val="110"/>
          <w:sz w:val="17"/>
        </w:rPr>
        <w:t>u</w:t>
      </w:r>
      <w:r>
        <w:rPr>
          <w:i/>
          <w:color w:val="3B383A"/>
          <w:spacing w:val="-4"/>
          <w:w w:val="110"/>
          <w:sz w:val="17"/>
        </w:rPr>
        <w:t> </w:t>
      </w:r>
      <w:r>
        <w:rPr>
          <w:i/>
          <w:color w:val="3B383A"/>
          <w:spacing w:val="-1"/>
          <w:w w:val="110"/>
          <w:sz w:val="17"/>
        </w:rPr>
        <w:t>Uni</w:t>
      </w:r>
      <w:r>
        <w:rPr>
          <w:i/>
          <w:color w:val="565456"/>
          <w:spacing w:val="-1"/>
          <w:w w:val="110"/>
          <w:sz w:val="17"/>
        </w:rPr>
        <w:t>t.e</w:t>
      </w:r>
      <w:r>
        <w:rPr>
          <w:i/>
          <w:color w:val="3B383A"/>
          <w:spacing w:val="-1"/>
          <w:w w:val="110"/>
          <w:sz w:val="17"/>
        </w:rPr>
        <w:t>d</w:t>
      </w:r>
      <w:r>
        <w:rPr>
          <w:i/>
          <w:color w:val="3B383A"/>
          <w:spacing w:val="3"/>
          <w:w w:val="110"/>
          <w:sz w:val="17"/>
        </w:rPr>
        <w:t> </w:t>
      </w:r>
      <w:r>
        <w:rPr>
          <w:i/>
          <w:color w:val="3B383A"/>
          <w:spacing w:val="-1"/>
          <w:w w:val="110"/>
          <w:sz w:val="17"/>
        </w:rPr>
        <w:t>Sta</w:t>
      </w:r>
      <w:r>
        <w:rPr>
          <w:i/>
          <w:color w:val="565456"/>
          <w:spacing w:val="-1"/>
          <w:w w:val="110"/>
          <w:sz w:val="17"/>
        </w:rPr>
        <w:t>t.es</w:t>
      </w:r>
      <w:r>
        <w:rPr>
          <w:i/>
          <w:color w:val="565456"/>
          <w:spacing w:val="10"/>
          <w:w w:val="110"/>
          <w:sz w:val="17"/>
        </w:rPr>
        <w:t> </w:t>
      </w:r>
      <w:r>
        <w:rPr>
          <w:i/>
          <w:color w:val="3B383A"/>
          <w:spacing w:val="-1"/>
          <w:w w:val="110"/>
          <w:sz w:val="17"/>
        </w:rPr>
        <w:t>v.</w:t>
      </w:r>
      <w:r>
        <w:rPr>
          <w:i/>
          <w:color w:val="3B383A"/>
          <w:spacing w:val="-4"/>
          <w:w w:val="110"/>
          <w:sz w:val="17"/>
        </w:rPr>
        <w:t> </w:t>
      </w:r>
      <w:r>
        <w:rPr>
          <w:i/>
          <w:color w:val="3B383A"/>
          <w:spacing w:val="-1"/>
          <w:w w:val="110"/>
          <w:sz w:val="17"/>
        </w:rPr>
        <w:t>Stevens,</w:t>
      </w:r>
      <w:r>
        <w:rPr>
          <w:i/>
          <w:color w:val="3B383A"/>
          <w:spacing w:val="-13"/>
          <w:w w:val="110"/>
          <w:sz w:val="17"/>
        </w:rPr>
        <w:t> </w:t>
      </w:r>
      <w:r>
        <w:rPr>
          <w:color w:val="3B383A"/>
          <w:spacing w:val="-1"/>
          <w:w w:val="110"/>
          <w:sz w:val="17"/>
        </w:rPr>
        <w:t>Respondent's</w:t>
      </w:r>
      <w:r>
        <w:rPr>
          <w:color w:val="3B383A"/>
          <w:spacing w:val="6"/>
          <w:w w:val="110"/>
          <w:sz w:val="17"/>
        </w:rPr>
        <w:t> </w:t>
      </w:r>
      <w:r>
        <w:rPr>
          <w:color w:val="3B383A"/>
          <w:w w:val="110"/>
          <w:sz w:val="17"/>
        </w:rPr>
        <w:t>Brief,</w:t>
      </w:r>
      <w:r>
        <w:rPr>
          <w:color w:val="3B383A"/>
          <w:spacing w:val="-17"/>
          <w:w w:val="110"/>
          <w:sz w:val="17"/>
        </w:rPr>
        <w:t> </w:t>
      </w:r>
      <w:r>
        <w:rPr>
          <w:color w:val="3B383A"/>
          <w:w w:val="110"/>
          <w:sz w:val="17"/>
        </w:rPr>
        <w:t>available</w:t>
      </w:r>
      <w:r>
        <w:rPr>
          <w:color w:val="3B383A"/>
          <w:spacing w:val="-6"/>
          <w:w w:val="110"/>
          <w:sz w:val="17"/>
        </w:rPr>
        <w:t> </w:t>
      </w:r>
      <w:r>
        <w:rPr>
          <w:color w:val="3B383A"/>
          <w:w w:val="110"/>
          <w:sz w:val="17"/>
        </w:rPr>
        <w:t>at</w:t>
      </w:r>
      <w:r>
        <w:rPr>
          <w:color w:val="3B383A"/>
          <w:spacing w:val="8"/>
          <w:w w:val="110"/>
          <w:sz w:val="17"/>
        </w:rPr>
        <w:t> </w:t>
      </w:r>
      <w:r>
        <w:rPr>
          <w:color w:val="3B383A"/>
          <w:w w:val="110"/>
          <w:sz w:val="17"/>
        </w:rPr>
        <w:t>2009</w:t>
      </w:r>
      <w:r>
        <w:rPr>
          <w:color w:val="3B383A"/>
          <w:spacing w:val="-5"/>
          <w:w w:val="110"/>
          <w:sz w:val="17"/>
        </w:rPr>
        <w:t> </w:t>
      </w:r>
      <w:r>
        <w:rPr>
          <w:color w:val="3B383A"/>
          <w:w w:val="110"/>
          <w:sz w:val="17"/>
        </w:rPr>
        <w:t>WL</w:t>
      </w:r>
      <w:r>
        <w:rPr>
          <w:color w:val="3B383A"/>
          <w:spacing w:val="-23"/>
          <w:w w:val="110"/>
          <w:sz w:val="17"/>
        </w:rPr>
        <w:t> </w:t>
      </w:r>
      <w:r>
        <w:rPr>
          <w:color w:val="3B383A"/>
          <w:w w:val="110"/>
          <w:sz w:val="17"/>
        </w:rPr>
        <w:t>2191081.</w:t>
      </w:r>
    </w:p>
    <w:p>
      <w:pPr>
        <w:spacing w:after="0"/>
        <w:jc w:val="left"/>
        <w:rPr>
          <w:sz w:val="17"/>
        </w:rPr>
        <w:sectPr>
          <w:headerReference w:type="even" r:id="rId244"/>
          <w:headerReference w:type="default" r:id="rId245"/>
          <w:pgSz w:w="9780" w:h="14000"/>
          <w:pgMar w:header="543" w:footer="0" w:top="1200" w:bottom="280" w:left="1360" w:right="200"/>
          <w:pgNumType w:start="216"/>
        </w:sectPr>
      </w:pPr>
    </w:p>
    <w:p>
      <w:pPr>
        <w:pStyle w:val="BodyText"/>
        <w:spacing w:line="258" w:lineRule="exact" w:before="81"/>
        <w:ind w:left="118"/>
      </w:pPr>
      <w:r>
        <w:rPr>
          <w:color w:val="363436"/>
          <w:w w:val="110"/>
          <w:sz w:val="22"/>
        </w:rPr>
        <w:t>on</w:t>
      </w:r>
      <w:r>
        <w:rPr>
          <w:color w:val="363436"/>
          <w:spacing w:val="-7"/>
          <w:w w:val="110"/>
          <w:sz w:val="22"/>
        </w:rPr>
        <w:t> </w:t>
      </w:r>
      <w:r>
        <w:rPr>
          <w:color w:val="363436"/>
          <w:w w:val="110"/>
          <w:sz w:val="22"/>
        </w:rPr>
        <w:t>the</w:t>
      </w:r>
      <w:r>
        <w:rPr>
          <w:color w:val="363436"/>
          <w:spacing w:val="-2"/>
          <w:w w:val="110"/>
          <w:sz w:val="22"/>
        </w:rPr>
        <w:t> </w:t>
      </w:r>
      <w:r>
        <w:rPr>
          <w:color w:val="464446"/>
          <w:w w:val="110"/>
        </w:rPr>
        <w:t>second</w:t>
      </w:r>
      <w:r>
        <w:rPr>
          <w:color w:val="464446"/>
          <w:spacing w:val="5"/>
          <w:w w:val="110"/>
        </w:rPr>
        <w:t> </w:t>
      </w:r>
      <w:r>
        <w:rPr>
          <w:color w:val="363436"/>
          <w:w w:val="110"/>
        </w:rPr>
        <w:t>rule,</w:t>
      </w:r>
      <w:r>
        <w:rPr>
          <w:color w:val="363436"/>
          <w:spacing w:val="-1"/>
          <w:w w:val="110"/>
        </w:rPr>
        <w:t> </w:t>
      </w:r>
      <w:r>
        <w:rPr>
          <w:color w:val="363436"/>
          <w:w w:val="110"/>
        </w:rPr>
        <w:t>and</w:t>
      </w:r>
      <w:r>
        <w:rPr>
          <w:color w:val="363436"/>
          <w:spacing w:val="21"/>
          <w:w w:val="110"/>
        </w:rPr>
        <w:t> </w:t>
      </w:r>
      <w:r>
        <w:rPr>
          <w:color w:val="363436"/>
          <w:w w:val="110"/>
        </w:rPr>
        <w:t>another</w:t>
      </w:r>
      <w:r>
        <w:rPr>
          <w:color w:val="363436"/>
          <w:spacing w:val="23"/>
          <w:w w:val="110"/>
        </w:rPr>
        <w:t> </w:t>
      </w:r>
      <w:r>
        <w:rPr>
          <w:color w:val="363436"/>
          <w:w w:val="110"/>
        </w:rPr>
        <w:t>paragraph</w:t>
      </w:r>
      <w:r>
        <w:rPr>
          <w:color w:val="363436"/>
          <w:spacing w:val="6"/>
          <w:w w:val="110"/>
        </w:rPr>
        <w:t> </w:t>
      </w:r>
      <w:r>
        <w:rPr>
          <w:color w:val="363436"/>
          <w:w w:val="110"/>
        </w:rPr>
        <w:t>to</w:t>
      </w:r>
      <w:r>
        <w:rPr>
          <w:color w:val="363436"/>
          <w:spacing w:val="15"/>
          <w:w w:val="110"/>
        </w:rPr>
        <w:t> </w:t>
      </w:r>
      <w:r>
        <w:rPr>
          <w:color w:val="363436"/>
          <w:w w:val="110"/>
        </w:rPr>
        <w:t>apply</w:t>
      </w:r>
      <w:r>
        <w:rPr>
          <w:color w:val="363436"/>
          <w:spacing w:val="-1"/>
          <w:w w:val="110"/>
        </w:rPr>
        <w:t> </w:t>
      </w:r>
      <w:r>
        <w:rPr>
          <w:color w:val="363436"/>
          <w:w w:val="110"/>
        </w:rPr>
        <w:t>that </w:t>
      </w:r>
      <w:r>
        <w:rPr>
          <w:color w:val="363436"/>
          <w:w w:val="110"/>
          <w:sz w:val="22"/>
        </w:rPr>
        <w:t>rule.</w:t>
      </w:r>
      <w:r>
        <w:rPr>
          <w:color w:val="363436"/>
          <w:spacing w:val="-25"/>
          <w:w w:val="110"/>
          <w:sz w:val="22"/>
        </w:rPr>
        <w:t> </w:t>
      </w:r>
      <w:r>
        <w:rPr>
          <w:color w:val="464446"/>
          <w:w w:val="110"/>
        </w:rPr>
        <w:t>She</w:t>
      </w:r>
      <w:r>
        <w:rPr>
          <w:color w:val="464446"/>
          <w:spacing w:val="-35"/>
          <w:w w:val="110"/>
        </w:rPr>
        <w:t> </w:t>
      </w:r>
      <w:r>
        <w:rPr>
          <w:color w:val="363436"/>
          <w:w w:val="110"/>
        </w:rPr>
        <w:t>ends</w:t>
      </w:r>
      <w:r>
        <w:rPr>
          <w:color w:val="363436"/>
          <w:spacing w:val="-5"/>
          <w:w w:val="110"/>
        </w:rPr>
        <w:t> </w:t>
      </w:r>
      <w:r>
        <w:rPr>
          <w:color w:val="363436"/>
          <w:w w:val="110"/>
        </w:rPr>
        <w:t>the</w:t>
      </w:r>
    </w:p>
    <w:p>
      <w:pPr>
        <w:pStyle w:val="BodyText"/>
        <w:spacing w:line="269" w:lineRule="exact"/>
        <w:ind w:left="124"/>
      </w:pPr>
      <w:r>
        <w:rPr>
          <w:color w:val="363436"/>
          <w:w w:val="105"/>
          <w:sz w:val="24"/>
        </w:rPr>
        <w:t>summary</w:t>
      </w:r>
      <w:r>
        <w:rPr>
          <w:color w:val="363436"/>
          <w:spacing w:val="17"/>
          <w:w w:val="105"/>
          <w:sz w:val="24"/>
        </w:rPr>
        <w:t> </w:t>
      </w:r>
      <w:r>
        <w:rPr>
          <w:color w:val="363436"/>
          <w:w w:val="105"/>
          <w:sz w:val="24"/>
        </w:rPr>
        <w:t>by</w:t>
      </w:r>
      <w:r>
        <w:rPr>
          <w:color w:val="363436"/>
          <w:spacing w:val="-1"/>
          <w:w w:val="105"/>
          <w:sz w:val="24"/>
        </w:rPr>
        <w:t> </w:t>
      </w:r>
      <w:r>
        <w:rPr>
          <w:color w:val="363436"/>
          <w:w w:val="105"/>
        </w:rPr>
        <w:t>telling</w:t>
      </w:r>
      <w:r>
        <w:rPr>
          <w:color w:val="363436"/>
          <w:spacing w:val="17"/>
          <w:w w:val="105"/>
        </w:rPr>
        <w:t> </w:t>
      </w:r>
      <w:r>
        <w:rPr>
          <w:color w:val="363436"/>
          <w:w w:val="105"/>
        </w:rPr>
        <w:t>the</w:t>
      </w:r>
      <w:r>
        <w:rPr>
          <w:color w:val="363436"/>
          <w:spacing w:val="30"/>
          <w:w w:val="105"/>
        </w:rPr>
        <w:t> </w:t>
      </w:r>
      <w:r>
        <w:rPr>
          <w:color w:val="363436"/>
          <w:w w:val="105"/>
        </w:rPr>
        <w:t>Court</w:t>
      </w:r>
      <w:r>
        <w:rPr>
          <w:color w:val="363436"/>
          <w:spacing w:val="24"/>
          <w:w w:val="105"/>
        </w:rPr>
        <w:t> </w:t>
      </w:r>
      <w:r>
        <w:rPr>
          <w:color w:val="363436"/>
          <w:w w:val="105"/>
        </w:rPr>
        <w:t>how</w:t>
      </w:r>
      <w:r>
        <w:rPr>
          <w:color w:val="363436"/>
          <w:spacing w:val="-9"/>
          <w:w w:val="105"/>
        </w:rPr>
        <w:t> </w:t>
      </w:r>
      <w:r>
        <w:rPr>
          <w:color w:val="464446"/>
          <w:w w:val="105"/>
        </w:rPr>
        <w:t>she</w:t>
      </w:r>
      <w:r>
        <w:rPr>
          <w:color w:val="464446"/>
          <w:spacing w:val="22"/>
          <w:w w:val="105"/>
        </w:rPr>
        <w:t> </w:t>
      </w:r>
      <w:r>
        <w:rPr>
          <w:color w:val="363436"/>
          <w:w w:val="105"/>
        </w:rPr>
        <w:t>wants</w:t>
      </w:r>
      <w:r>
        <w:rPr>
          <w:color w:val="363436"/>
          <w:spacing w:val="2"/>
          <w:w w:val="105"/>
        </w:rPr>
        <w:t> </w:t>
      </w:r>
      <w:r>
        <w:rPr>
          <w:color w:val="363436"/>
          <w:w w:val="105"/>
        </w:rPr>
        <w:t>it</w:t>
      </w:r>
      <w:r>
        <w:rPr>
          <w:color w:val="363436"/>
          <w:spacing w:val="29"/>
          <w:w w:val="105"/>
        </w:rPr>
        <w:t> </w:t>
      </w:r>
      <w:r>
        <w:rPr>
          <w:color w:val="363436"/>
          <w:w w:val="105"/>
        </w:rPr>
        <w:t>to</w:t>
      </w:r>
      <w:r>
        <w:rPr>
          <w:color w:val="363436"/>
          <w:spacing w:val="16"/>
          <w:w w:val="105"/>
        </w:rPr>
        <w:t> </w:t>
      </w:r>
      <w:r>
        <w:rPr>
          <w:color w:val="363436"/>
          <w:w w:val="105"/>
        </w:rPr>
        <w:t>decide</w:t>
      </w:r>
      <w:r>
        <w:rPr>
          <w:color w:val="363436"/>
          <w:spacing w:val="12"/>
          <w:w w:val="105"/>
        </w:rPr>
        <w:t> </w:t>
      </w:r>
      <w:r>
        <w:rPr>
          <w:color w:val="363436"/>
          <w:w w:val="105"/>
        </w:rPr>
        <w:t>the</w:t>
      </w:r>
      <w:r>
        <w:rPr>
          <w:color w:val="363436"/>
          <w:spacing w:val="34"/>
          <w:w w:val="105"/>
        </w:rPr>
        <w:t> </w:t>
      </w:r>
      <w:r>
        <w:rPr>
          <w:color w:val="363436"/>
          <w:w w:val="105"/>
        </w:rPr>
        <w:t>case:</w:t>
      </w:r>
    </w:p>
    <w:p>
      <w:pPr>
        <w:spacing w:before="128"/>
        <w:ind w:left="118" w:right="0" w:firstLine="0"/>
        <w:jc w:val="left"/>
        <w:rPr>
          <w:sz w:val="15"/>
        </w:rPr>
      </w:pPr>
      <w:r>
        <w:rPr>
          <w:i/>
          <w:color w:val="464446"/>
          <w:w w:val="90"/>
          <w:sz w:val="24"/>
        </w:rPr>
        <w:t>_/\.S&amp;2Q</w:t>
      </w:r>
      <w:r>
        <w:rPr>
          <w:i/>
          <w:color w:val="464446"/>
          <w:spacing w:val="1"/>
          <w:w w:val="90"/>
          <w:sz w:val="24"/>
        </w:rPr>
        <w:t> </w:t>
      </w:r>
      <w:r>
        <w:rPr>
          <w:color w:val="87898C"/>
          <w:w w:val="90"/>
          <w:sz w:val="15"/>
          <w:u w:val="thick" w:color="464446"/>
        </w:rPr>
        <w:t>E</w:t>
      </w:r>
      <w:r>
        <w:rPr>
          <w:color w:val="6B6B6E"/>
          <w:w w:val="90"/>
          <w:sz w:val="15"/>
          <w:u w:val="thick" w:color="464446"/>
        </w:rPr>
        <w:t>X/IM</w:t>
      </w:r>
      <w:r>
        <w:rPr>
          <w:color w:val="87898C"/>
          <w:w w:val="90"/>
          <w:sz w:val="15"/>
          <w:u w:val="thick" w:color="464446"/>
        </w:rPr>
        <w:t>P</w:t>
      </w:r>
      <w:r>
        <w:rPr>
          <w:color w:val="464446"/>
          <w:w w:val="90"/>
          <w:sz w:val="15"/>
          <w:u w:val="thick" w:color="464446"/>
        </w:rPr>
        <w:t>lf</w:t>
      </w:r>
      <w:r>
        <w:rPr>
          <w:color w:val="464446"/>
          <w:spacing w:val="1"/>
          <w:sz w:val="15"/>
          <w:u w:val="thick" w:color="464446"/>
        </w:rPr>
        <w:t> </w:t>
      </w:r>
    </w:p>
    <w:p>
      <w:pPr>
        <w:spacing w:line="235" w:lineRule="auto" w:before="64"/>
        <w:ind w:left="418" w:right="329" w:firstLine="360"/>
        <w:jc w:val="both"/>
        <w:rPr>
          <w:sz w:val="21"/>
        </w:rPr>
      </w:pPr>
      <w:r>
        <w:rPr>
          <w:color w:val="363436"/>
          <w:w w:val="115"/>
          <w:sz w:val="21"/>
        </w:rPr>
        <w:t>Respondents did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not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have a reasonable expectation of privacy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when  they bagged  cocaine in  front of a  partially covered  window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in </w:t>
      </w:r>
      <w:r>
        <w:rPr>
          <w:color w:val="464446"/>
          <w:w w:val="115"/>
          <w:sz w:val="21"/>
        </w:rPr>
        <w:t>a </w:t>
      </w:r>
      <w:r>
        <w:rPr>
          <w:color w:val="363436"/>
          <w:w w:val="115"/>
          <w:sz w:val="21"/>
        </w:rPr>
        <w:t>basement apartment. </w:t>
      </w:r>
      <w:r>
        <w:rPr>
          <w:color w:val="464446"/>
          <w:w w:val="115"/>
          <w:sz w:val="21"/>
        </w:rPr>
        <w:t>The </w:t>
      </w:r>
      <w:r>
        <w:rPr>
          <w:color w:val="363436"/>
          <w:w w:val="115"/>
          <w:sz w:val="21"/>
        </w:rPr>
        <w:t>Minnesota Supreme Court incorrectly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reversed the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trial court's denial of Respondents' motion to suppress.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First, it erroneously rnled that Respondents had </w:t>
      </w:r>
      <w:r>
        <w:rPr>
          <w:color w:val="464446"/>
          <w:w w:val="115"/>
          <w:sz w:val="21"/>
        </w:rPr>
        <w:t>a </w:t>
      </w:r>
      <w:r>
        <w:rPr>
          <w:color w:val="363436"/>
          <w:w w:val="115"/>
          <w:sz w:val="21"/>
        </w:rPr>
        <w:t>legitimate expecta­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tion of privacy while in another's apartment for the </w:t>
      </w:r>
      <w:r>
        <w:rPr>
          <w:color w:val="464446"/>
          <w:w w:val="115"/>
          <w:sz w:val="21"/>
        </w:rPr>
        <w:t>sole </w:t>
      </w:r>
      <w:r>
        <w:rPr>
          <w:color w:val="363436"/>
          <w:w w:val="115"/>
          <w:sz w:val="21"/>
        </w:rPr>
        <w:t>purpose of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illegally bagging cocaine. Second, it wrongly held that </w:t>
      </w:r>
      <w:r>
        <w:rPr>
          <w:color w:val="464446"/>
          <w:w w:val="115"/>
          <w:sz w:val="21"/>
        </w:rPr>
        <w:t>an </w:t>
      </w:r>
      <w:r>
        <w:rPr>
          <w:color w:val="363436"/>
          <w:w w:val="115"/>
          <w:sz w:val="21"/>
        </w:rPr>
        <w:t>officer </w:t>
      </w:r>
      <w:r>
        <w:rPr>
          <w:color w:val="464446"/>
          <w:w w:val="115"/>
          <w:sz w:val="21"/>
        </w:rPr>
        <w:t>con­</w:t>
      </w:r>
      <w:r>
        <w:rPr>
          <w:color w:val="464446"/>
          <w:spacing w:val="-58"/>
          <w:w w:val="115"/>
          <w:sz w:val="21"/>
        </w:rPr>
        <w:t> </w:t>
      </w:r>
      <w:r>
        <w:rPr>
          <w:color w:val="363436"/>
          <w:w w:val="115"/>
          <w:sz w:val="21"/>
        </w:rPr>
        <w:t>ducted a search when he merely observed </w:t>
      </w:r>
      <w:r>
        <w:rPr>
          <w:color w:val="464446"/>
          <w:w w:val="115"/>
          <w:sz w:val="21"/>
        </w:rPr>
        <w:t>criminal </w:t>
      </w:r>
      <w:r>
        <w:rPr>
          <w:color w:val="363436"/>
          <w:w w:val="115"/>
          <w:sz w:val="21"/>
        </w:rPr>
        <w:t>activity in plain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view</w:t>
      </w:r>
      <w:r>
        <w:rPr>
          <w:color w:val="363436"/>
          <w:spacing w:val="-4"/>
          <w:w w:val="115"/>
          <w:sz w:val="21"/>
        </w:rPr>
        <w:t> </w:t>
      </w:r>
      <w:r>
        <w:rPr>
          <w:color w:val="363436"/>
          <w:w w:val="115"/>
          <w:sz w:val="21"/>
        </w:rPr>
        <w:t>from an</w:t>
      </w:r>
      <w:r>
        <w:rPr>
          <w:color w:val="363436"/>
          <w:spacing w:val="26"/>
          <w:w w:val="115"/>
          <w:sz w:val="21"/>
        </w:rPr>
        <w:t> </w:t>
      </w:r>
      <w:r>
        <w:rPr>
          <w:color w:val="363436"/>
          <w:w w:val="115"/>
          <w:sz w:val="21"/>
        </w:rPr>
        <w:t>area</w:t>
      </w:r>
      <w:r>
        <w:rPr>
          <w:color w:val="363436"/>
          <w:spacing w:val="-4"/>
          <w:w w:val="115"/>
          <w:sz w:val="21"/>
        </w:rPr>
        <w:t> </w:t>
      </w:r>
      <w:r>
        <w:rPr>
          <w:color w:val="363436"/>
          <w:w w:val="115"/>
          <w:sz w:val="21"/>
        </w:rPr>
        <w:t>outside the</w:t>
      </w:r>
      <w:r>
        <w:rPr>
          <w:color w:val="363436"/>
          <w:spacing w:val="9"/>
          <w:w w:val="115"/>
          <w:sz w:val="21"/>
        </w:rPr>
        <w:t> </w:t>
      </w:r>
      <w:r>
        <w:rPr>
          <w:color w:val="363436"/>
          <w:w w:val="115"/>
          <w:sz w:val="21"/>
        </w:rPr>
        <w:t>apartment's</w:t>
      </w:r>
      <w:r>
        <w:rPr>
          <w:color w:val="363436"/>
          <w:spacing w:val="-7"/>
          <w:w w:val="115"/>
          <w:sz w:val="21"/>
        </w:rPr>
        <w:t> </w:t>
      </w:r>
      <w:r>
        <w:rPr>
          <w:color w:val="363436"/>
          <w:w w:val="115"/>
          <w:sz w:val="21"/>
        </w:rPr>
        <w:t>curtilage.</w:t>
      </w:r>
      <w:r>
        <w:rPr>
          <w:color w:val="363436"/>
          <w:spacing w:val="18"/>
          <w:w w:val="115"/>
          <w:sz w:val="21"/>
        </w:rPr>
        <w:t> </w:t>
      </w:r>
      <w:r>
        <w:rPr>
          <w:color w:val="363436"/>
          <w:w w:val="115"/>
          <w:sz w:val="21"/>
        </w:rPr>
        <w:t>1</w:t>
      </w:r>
    </w:p>
    <w:p>
      <w:pPr>
        <w:spacing w:line="235" w:lineRule="auto" w:before="0"/>
        <w:ind w:left="423" w:right="311" w:firstLine="333"/>
        <w:jc w:val="both"/>
        <w:rPr>
          <w:rFonts w:ascii="Arial" w:hAnsi="Arial"/>
          <w:sz w:val="16"/>
        </w:rPr>
      </w:pPr>
      <w:r>
        <w:rPr>
          <w:color w:val="363436"/>
          <w:w w:val="120"/>
          <w:sz w:val="21"/>
        </w:rPr>
        <w:t>This </w:t>
      </w:r>
      <w:r>
        <w:rPr>
          <w:color w:val="464446"/>
          <w:w w:val="120"/>
          <w:sz w:val="21"/>
        </w:rPr>
        <w:t>Court's</w:t>
      </w:r>
      <w:r>
        <w:rPr>
          <w:color w:val="464446"/>
          <w:spacing w:val="1"/>
          <w:w w:val="120"/>
          <w:sz w:val="21"/>
        </w:rPr>
        <w:t> </w:t>
      </w:r>
      <w:r>
        <w:rPr>
          <w:color w:val="363436"/>
          <w:w w:val="120"/>
          <w:sz w:val="21"/>
        </w:rPr>
        <w:t>Fourth</w:t>
      </w:r>
      <w:r>
        <w:rPr>
          <w:color w:val="363436"/>
          <w:spacing w:val="1"/>
          <w:w w:val="120"/>
          <w:sz w:val="21"/>
        </w:rPr>
        <w:t> </w:t>
      </w:r>
      <w:r>
        <w:rPr>
          <w:color w:val="363436"/>
          <w:w w:val="120"/>
          <w:sz w:val="21"/>
        </w:rPr>
        <w:t>Amendment</w:t>
      </w:r>
      <w:r>
        <w:rPr>
          <w:color w:val="363436"/>
          <w:spacing w:val="1"/>
          <w:w w:val="120"/>
          <w:sz w:val="21"/>
        </w:rPr>
        <w:t> </w:t>
      </w:r>
      <w:r>
        <w:rPr>
          <w:color w:val="363436"/>
          <w:w w:val="120"/>
          <w:sz w:val="21"/>
        </w:rPr>
        <w:t>jurisprudence</w:t>
      </w:r>
      <w:r>
        <w:rPr>
          <w:color w:val="363436"/>
          <w:spacing w:val="1"/>
          <w:w w:val="120"/>
          <w:sz w:val="21"/>
        </w:rPr>
        <w:t> </w:t>
      </w:r>
      <w:r>
        <w:rPr>
          <w:color w:val="363436"/>
          <w:w w:val="120"/>
          <w:sz w:val="21"/>
        </w:rPr>
        <w:t>demonstrates</w:t>
      </w:r>
      <w:r>
        <w:rPr>
          <w:color w:val="363436"/>
          <w:spacing w:val="1"/>
          <w:w w:val="120"/>
          <w:sz w:val="21"/>
        </w:rPr>
        <w:t> </w:t>
      </w:r>
      <w:r>
        <w:rPr>
          <w:color w:val="363436"/>
          <w:w w:val="115"/>
          <w:sz w:val="21"/>
        </w:rPr>
        <w:t>that the Minnesota  Supreme Court's  ruling was erroneous. In  order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spacing w:val="-1"/>
          <w:w w:val="120"/>
          <w:sz w:val="21"/>
        </w:rPr>
        <w:t>to invoke the Fourth </w:t>
      </w:r>
      <w:r>
        <w:rPr>
          <w:color w:val="363436"/>
          <w:w w:val="120"/>
          <w:sz w:val="21"/>
        </w:rPr>
        <w:t>Amendment's protections, an individual must</w:t>
      </w:r>
      <w:r>
        <w:rPr>
          <w:color w:val="363436"/>
          <w:spacing w:val="1"/>
          <w:w w:val="120"/>
          <w:sz w:val="21"/>
        </w:rPr>
        <w:t> </w:t>
      </w:r>
      <w:r>
        <w:rPr>
          <w:color w:val="363436"/>
          <w:spacing w:val="-1"/>
          <w:w w:val="120"/>
          <w:sz w:val="21"/>
        </w:rPr>
        <w:t>prove </w:t>
      </w:r>
      <w:r>
        <w:rPr>
          <w:color w:val="464446"/>
          <w:spacing w:val="-1"/>
          <w:w w:val="120"/>
          <w:sz w:val="21"/>
        </w:rPr>
        <w:t>that </w:t>
      </w:r>
      <w:r>
        <w:rPr>
          <w:color w:val="363436"/>
          <w:spacing w:val="-1"/>
          <w:w w:val="120"/>
          <w:sz w:val="21"/>
        </w:rPr>
        <w:t>he had a legitimate expectation of privacy. An individual</w:t>
      </w:r>
      <w:r>
        <w:rPr>
          <w:color w:val="363436"/>
          <w:spacing w:val="-60"/>
          <w:w w:val="120"/>
          <w:sz w:val="21"/>
        </w:rPr>
        <w:t> </w:t>
      </w:r>
      <w:r>
        <w:rPr>
          <w:color w:val="363436"/>
          <w:w w:val="115"/>
          <w:sz w:val="21"/>
        </w:rPr>
        <w:t>possesses a legitimate expectation of privacy when he demonstrates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that he has both a </w:t>
      </w:r>
      <w:r>
        <w:rPr>
          <w:color w:val="464446"/>
          <w:w w:val="115"/>
          <w:sz w:val="21"/>
        </w:rPr>
        <w:t>subjective expectation </w:t>
      </w:r>
      <w:r>
        <w:rPr>
          <w:color w:val="363436"/>
          <w:w w:val="115"/>
          <w:sz w:val="21"/>
        </w:rPr>
        <w:t>of privacy and an </w:t>
      </w:r>
      <w:r>
        <w:rPr>
          <w:color w:val="464446"/>
          <w:w w:val="115"/>
          <w:sz w:val="21"/>
        </w:rPr>
        <w:t>expecta­</w:t>
      </w:r>
      <w:r>
        <w:rPr>
          <w:color w:val="464446"/>
          <w:spacing w:val="1"/>
          <w:w w:val="115"/>
          <w:sz w:val="21"/>
        </w:rPr>
        <w:t> </w:t>
      </w:r>
      <w:r>
        <w:rPr>
          <w:color w:val="464446"/>
          <w:w w:val="115"/>
          <w:sz w:val="21"/>
        </w:rPr>
        <w:t>tion</w:t>
      </w:r>
      <w:r>
        <w:rPr>
          <w:color w:val="464446"/>
          <w:spacing w:val="-12"/>
          <w:w w:val="115"/>
          <w:sz w:val="21"/>
        </w:rPr>
        <w:t> </w:t>
      </w:r>
      <w:r>
        <w:rPr>
          <w:color w:val="363436"/>
          <w:w w:val="115"/>
          <w:sz w:val="21"/>
        </w:rPr>
        <w:t>of</w:t>
      </w:r>
      <w:r>
        <w:rPr>
          <w:color w:val="363436"/>
          <w:spacing w:val="20"/>
          <w:w w:val="115"/>
          <w:sz w:val="21"/>
        </w:rPr>
        <w:t> </w:t>
      </w:r>
      <w:r>
        <w:rPr>
          <w:color w:val="363436"/>
          <w:w w:val="115"/>
          <w:sz w:val="21"/>
        </w:rPr>
        <w:t>privacy</w:t>
      </w:r>
      <w:r>
        <w:rPr>
          <w:color w:val="363436"/>
          <w:spacing w:val="-13"/>
          <w:w w:val="115"/>
          <w:sz w:val="21"/>
        </w:rPr>
        <w:t> </w:t>
      </w:r>
      <w:r>
        <w:rPr>
          <w:color w:val="363436"/>
          <w:w w:val="115"/>
          <w:sz w:val="21"/>
        </w:rPr>
        <w:t>that</w:t>
      </w:r>
      <w:r>
        <w:rPr>
          <w:color w:val="363436"/>
          <w:spacing w:val="-24"/>
          <w:w w:val="115"/>
          <w:sz w:val="21"/>
        </w:rPr>
        <w:t> </w:t>
      </w:r>
      <w:r>
        <w:rPr>
          <w:color w:val="464446"/>
          <w:w w:val="115"/>
          <w:sz w:val="21"/>
        </w:rPr>
        <w:t>society</w:t>
      </w:r>
      <w:r>
        <w:rPr>
          <w:color w:val="46444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is</w:t>
      </w:r>
      <w:r>
        <w:rPr>
          <w:color w:val="363436"/>
          <w:spacing w:val="-13"/>
          <w:w w:val="115"/>
          <w:sz w:val="21"/>
        </w:rPr>
        <w:t> </w:t>
      </w:r>
      <w:r>
        <w:rPr>
          <w:color w:val="464446"/>
          <w:w w:val="115"/>
          <w:sz w:val="21"/>
        </w:rPr>
        <w:t>prepared</w:t>
      </w:r>
      <w:r>
        <w:rPr>
          <w:color w:val="464446"/>
          <w:spacing w:val="24"/>
          <w:w w:val="115"/>
          <w:sz w:val="21"/>
        </w:rPr>
        <w:t> </w:t>
      </w:r>
      <w:r>
        <w:rPr>
          <w:color w:val="363436"/>
          <w:w w:val="115"/>
          <w:sz w:val="21"/>
        </w:rPr>
        <w:t>to</w:t>
      </w:r>
      <w:r>
        <w:rPr>
          <w:color w:val="363436"/>
          <w:spacing w:val="3"/>
          <w:w w:val="115"/>
          <w:sz w:val="21"/>
        </w:rPr>
        <w:t> </w:t>
      </w:r>
      <w:r>
        <w:rPr>
          <w:color w:val="363436"/>
          <w:w w:val="115"/>
          <w:sz w:val="21"/>
        </w:rPr>
        <w:t>view</w:t>
      </w:r>
      <w:r>
        <w:rPr>
          <w:color w:val="363436"/>
          <w:spacing w:val="-9"/>
          <w:w w:val="115"/>
          <w:sz w:val="21"/>
        </w:rPr>
        <w:t> </w:t>
      </w:r>
      <w:r>
        <w:rPr>
          <w:color w:val="363436"/>
          <w:w w:val="115"/>
          <w:sz w:val="21"/>
        </w:rPr>
        <w:t>as</w:t>
      </w:r>
      <w:r>
        <w:rPr>
          <w:color w:val="363436"/>
          <w:spacing w:val="21"/>
          <w:w w:val="115"/>
          <w:sz w:val="21"/>
        </w:rPr>
        <w:t> </w:t>
      </w:r>
      <w:r>
        <w:rPr>
          <w:color w:val="363436"/>
          <w:w w:val="115"/>
          <w:sz w:val="21"/>
        </w:rPr>
        <w:t>reasonable.</w:t>
      </w:r>
      <w:r>
        <w:rPr>
          <w:color w:val="363436"/>
          <w:spacing w:val="51"/>
          <w:w w:val="115"/>
          <w:sz w:val="21"/>
        </w:rPr>
        <w:t> </w:t>
      </w:r>
      <w:r>
        <w:rPr>
          <w:rFonts w:ascii="Arial" w:hAnsi="Arial"/>
          <w:color w:val="363436"/>
          <w:w w:val="115"/>
          <w:sz w:val="16"/>
        </w:rPr>
        <w:t>2</w:t>
      </w:r>
    </w:p>
    <w:p>
      <w:pPr>
        <w:spacing w:line="235" w:lineRule="auto" w:before="9"/>
        <w:ind w:left="419" w:right="290" w:firstLine="359"/>
        <w:jc w:val="both"/>
        <w:rPr>
          <w:rFonts w:ascii="Arial" w:hAnsi="Arial"/>
          <w:sz w:val="15"/>
        </w:rPr>
      </w:pPr>
      <w:r>
        <w:rPr>
          <w:color w:val="363436"/>
          <w:w w:val="120"/>
          <w:sz w:val="21"/>
        </w:rPr>
        <w:t>Respondents </w:t>
      </w:r>
      <w:r>
        <w:rPr>
          <w:color w:val="464446"/>
          <w:w w:val="120"/>
          <w:sz w:val="21"/>
        </w:rPr>
        <w:t>were sitting at </w:t>
      </w:r>
      <w:r>
        <w:rPr>
          <w:color w:val="363436"/>
          <w:w w:val="120"/>
          <w:sz w:val="21"/>
        </w:rPr>
        <w:t>an illuminated</w:t>
      </w:r>
      <w:r>
        <w:rPr>
          <w:color w:val="363436"/>
          <w:spacing w:val="1"/>
          <w:w w:val="120"/>
          <w:sz w:val="21"/>
        </w:rPr>
        <w:t> </w:t>
      </w:r>
      <w:r>
        <w:rPr>
          <w:color w:val="363436"/>
          <w:w w:val="120"/>
          <w:sz w:val="21"/>
        </w:rPr>
        <w:t>kitchen  table fac­</w:t>
      </w:r>
      <w:r>
        <w:rPr>
          <w:color w:val="363436"/>
          <w:spacing w:val="1"/>
          <w:w w:val="120"/>
          <w:sz w:val="21"/>
        </w:rPr>
        <w:t> </w:t>
      </w:r>
      <w:r>
        <w:rPr>
          <w:color w:val="363436"/>
          <w:w w:val="120"/>
          <w:sz w:val="21"/>
        </w:rPr>
        <w:t>ing </w:t>
      </w:r>
      <w:r>
        <w:rPr>
          <w:color w:val="464446"/>
          <w:w w:val="120"/>
          <w:sz w:val="21"/>
        </w:rPr>
        <w:t>a </w:t>
      </w:r>
      <w:r>
        <w:rPr>
          <w:color w:val="363436"/>
          <w:w w:val="120"/>
          <w:sz w:val="21"/>
        </w:rPr>
        <w:t>window of a ground-floor apartment and packaging </w:t>
      </w:r>
      <w:r>
        <w:rPr>
          <w:color w:val="464446"/>
          <w:w w:val="120"/>
          <w:sz w:val="21"/>
        </w:rPr>
        <w:t>cocaine.</w:t>
      </w:r>
      <w:r>
        <w:rPr>
          <w:color w:val="464446"/>
          <w:spacing w:val="1"/>
          <w:w w:val="120"/>
          <w:sz w:val="21"/>
        </w:rPr>
        <w:t> </w:t>
      </w:r>
      <w:r>
        <w:rPr>
          <w:color w:val="363436"/>
          <w:w w:val="115"/>
          <w:sz w:val="21"/>
        </w:rPr>
        <w:t>Respondents should have realized that a </w:t>
      </w:r>
      <w:r>
        <w:rPr>
          <w:color w:val="464446"/>
          <w:w w:val="115"/>
          <w:sz w:val="21"/>
        </w:rPr>
        <w:t>passerby </w:t>
      </w:r>
      <w:r>
        <w:rPr>
          <w:color w:val="363436"/>
          <w:w w:val="115"/>
          <w:sz w:val="21"/>
        </w:rPr>
        <w:t>could have </w:t>
      </w:r>
      <w:r>
        <w:rPr>
          <w:color w:val="464446"/>
          <w:w w:val="115"/>
          <w:sz w:val="21"/>
        </w:rPr>
        <w:t>looked</w:t>
      </w:r>
      <w:r>
        <w:rPr>
          <w:color w:val="464446"/>
          <w:spacing w:val="1"/>
          <w:w w:val="115"/>
          <w:sz w:val="21"/>
        </w:rPr>
        <w:t> </w:t>
      </w:r>
      <w:r>
        <w:rPr>
          <w:color w:val="363436"/>
          <w:w w:val="120"/>
          <w:sz w:val="21"/>
        </w:rPr>
        <w:t>into the apartment and noticed the illegal activity </w:t>
      </w:r>
      <w:r>
        <w:rPr>
          <w:color w:val="464446"/>
          <w:w w:val="120"/>
          <w:sz w:val="21"/>
        </w:rPr>
        <w:t>occurring </w:t>
      </w:r>
      <w:r>
        <w:rPr>
          <w:color w:val="363436"/>
          <w:w w:val="120"/>
          <w:sz w:val="21"/>
        </w:rPr>
        <w:t>within</w:t>
      </w:r>
      <w:r>
        <w:rPr>
          <w:color w:val="363436"/>
          <w:spacing w:val="1"/>
          <w:w w:val="120"/>
          <w:sz w:val="21"/>
        </w:rPr>
        <w:t> </w:t>
      </w:r>
      <w:r>
        <w:rPr>
          <w:color w:val="363436"/>
          <w:w w:val="115"/>
          <w:sz w:val="21"/>
        </w:rPr>
        <w:t>the </w:t>
      </w:r>
      <w:r>
        <w:rPr>
          <w:color w:val="464446"/>
          <w:w w:val="115"/>
          <w:sz w:val="21"/>
        </w:rPr>
        <w:t>apartment. </w:t>
      </w:r>
      <w:r>
        <w:rPr>
          <w:color w:val="363436"/>
          <w:w w:val="115"/>
          <w:sz w:val="21"/>
        </w:rPr>
        <w:t>Thus, Respondents can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claim no subjective expecta­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20"/>
          <w:sz w:val="21"/>
        </w:rPr>
        <w:t>tion</w:t>
      </w:r>
      <w:r>
        <w:rPr>
          <w:color w:val="363436"/>
          <w:spacing w:val="-20"/>
          <w:w w:val="120"/>
          <w:sz w:val="21"/>
        </w:rPr>
        <w:t> </w:t>
      </w:r>
      <w:r>
        <w:rPr>
          <w:color w:val="363436"/>
          <w:w w:val="120"/>
          <w:sz w:val="21"/>
        </w:rPr>
        <w:t>of</w:t>
      </w:r>
      <w:r>
        <w:rPr>
          <w:color w:val="363436"/>
          <w:spacing w:val="2"/>
          <w:w w:val="120"/>
          <w:sz w:val="21"/>
        </w:rPr>
        <w:t> </w:t>
      </w:r>
      <w:r>
        <w:rPr>
          <w:color w:val="363436"/>
          <w:w w:val="120"/>
          <w:sz w:val="21"/>
        </w:rPr>
        <w:t>privacy.</w:t>
      </w:r>
      <w:r>
        <w:rPr>
          <w:color w:val="363436"/>
          <w:spacing w:val="25"/>
          <w:w w:val="120"/>
          <w:sz w:val="21"/>
        </w:rPr>
        <w:t> </w:t>
      </w:r>
      <w:r>
        <w:rPr>
          <w:rFonts w:ascii="Arial" w:hAnsi="Arial"/>
          <w:color w:val="363436"/>
          <w:w w:val="120"/>
          <w:sz w:val="15"/>
        </w:rPr>
        <w:t>3</w:t>
      </w:r>
    </w:p>
    <w:p>
      <w:pPr>
        <w:spacing w:line="235" w:lineRule="auto" w:before="6"/>
        <w:ind w:left="415" w:right="264" w:firstLine="355"/>
        <w:jc w:val="both"/>
        <w:rPr>
          <w:rFonts w:ascii="Arial" w:hAnsi="Arial"/>
          <w:b/>
          <w:sz w:val="15"/>
        </w:rPr>
      </w:pPr>
      <w:r>
        <w:rPr>
          <w:color w:val="363436"/>
          <w:spacing w:val="-1"/>
          <w:w w:val="120"/>
          <w:sz w:val="21"/>
        </w:rPr>
        <w:t>Additionally,</w:t>
      </w:r>
      <w:r>
        <w:rPr>
          <w:color w:val="363436"/>
          <w:spacing w:val="-12"/>
          <w:w w:val="120"/>
          <w:sz w:val="21"/>
        </w:rPr>
        <w:t> </w:t>
      </w:r>
      <w:r>
        <w:rPr>
          <w:color w:val="363436"/>
          <w:w w:val="120"/>
          <w:sz w:val="21"/>
        </w:rPr>
        <w:t>any</w:t>
      </w:r>
      <w:r>
        <w:rPr>
          <w:color w:val="363436"/>
          <w:spacing w:val="-2"/>
          <w:w w:val="120"/>
          <w:sz w:val="21"/>
        </w:rPr>
        <w:t> </w:t>
      </w:r>
      <w:r>
        <w:rPr>
          <w:color w:val="464446"/>
          <w:w w:val="120"/>
          <w:sz w:val="21"/>
        </w:rPr>
        <w:t>subjective</w:t>
      </w:r>
      <w:r>
        <w:rPr>
          <w:color w:val="464446"/>
          <w:spacing w:val="-15"/>
          <w:w w:val="120"/>
          <w:sz w:val="21"/>
        </w:rPr>
        <w:t> </w:t>
      </w:r>
      <w:r>
        <w:rPr>
          <w:color w:val="363436"/>
          <w:w w:val="120"/>
          <w:sz w:val="21"/>
        </w:rPr>
        <w:t>expectation</w:t>
      </w:r>
      <w:r>
        <w:rPr>
          <w:color w:val="363436"/>
          <w:spacing w:val="-5"/>
          <w:w w:val="120"/>
          <w:sz w:val="21"/>
        </w:rPr>
        <w:t> </w:t>
      </w:r>
      <w:r>
        <w:rPr>
          <w:color w:val="363436"/>
          <w:w w:val="120"/>
          <w:sz w:val="21"/>
        </w:rPr>
        <w:t>of</w:t>
      </w:r>
      <w:r>
        <w:rPr>
          <w:color w:val="363436"/>
          <w:spacing w:val="-5"/>
          <w:w w:val="120"/>
          <w:sz w:val="21"/>
        </w:rPr>
        <w:t> </w:t>
      </w:r>
      <w:r>
        <w:rPr>
          <w:color w:val="363436"/>
          <w:w w:val="120"/>
          <w:sz w:val="21"/>
        </w:rPr>
        <w:t>privacy</w:t>
      </w:r>
      <w:r>
        <w:rPr>
          <w:color w:val="363436"/>
          <w:spacing w:val="-4"/>
          <w:w w:val="120"/>
          <w:sz w:val="21"/>
        </w:rPr>
        <w:t> </w:t>
      </w:r>
      <w:r>
        <w:rPr>
          <w:color w:val="363436"/>
          <w:w w:val="120"/>
          <w:sz w:val="21"/>
        </w:rPr>
        <w:t>Respondents</w:t>
      </w:r>
      <w:r>
        <w:rPr>
          <w:color w:val="363436"/>
          <w:spacing w:val="-60"/>
          <w:w w:val="120"/>
          <w:sz w:val="21"/>
        </w:rPr>
        <w:t> </w:t>
      </w:r>
      <w:r>
        <w:rPr>
          <w:color w:val="363436"/>
          <w:w w:val="110"/>
          <w:sz w:val="21"/>
        </w:rPr>
        <w:t>possessed is not  one  that </w:t>
      </w:r>
      <w:r>
        <w:rPr>
          <w:color w:val="464446"/>
          <w:w w:val="110"/>
          <w:sz w:val="21"/>
        </w:rPr>
        <w:t>society </w:t>
      </w:r>
      <w:r>
        <w:rPr>
          <w:color w:val="363436"/>
          <w:w w:val="110"/>
          <w:sz w:val="21"/>
        </w:rPr>
        <w:t>is prepared to recognize as reasonable</w:t>
      </w:r>
      <w:r>
        <w:rPr>
          <w:color w:val="363436"/>
          <w:spacing w:val="1"/>
          <w:w w:val="110"/>
          <w:sz w:val="21"/>
        </w:rPr>
        <w:t> </w:t>
      </w:r>
      <w:r>
        <w:rPr>
          <w:color w:val="363436"/>
          <w:w w:val="115"/>
          <w:sz w:val="21"/>
        </w:rPr>
        <w:t>in light of longstanding social customs that serve functions recognized</w:t>
      </w:r>
      <w:r>
        <w:rPr>
          <w:color w:val="363436"/>
          <w:spacing w:val="-58"/>
          <w:w w:val="115"/>
          <w:sz w:val="21"/>
        </w:rPr>
        <w:t> </w:t>
      </w:r>
      <w:r>
        <w:rPr>
          <w:color w:val="363436"/>
          <w:w w:val="110"/>
          <w:sz w:val="21"/>
        </w:rPr>
        <w:t>as valuable by society. </w:t>
      </w:r>
      <w:r>
        <w:rPr>
          <w:color w:val="363436"/>
          <w:w w:val="110"/>
          <w:sz w:val="21"/>
          <w:u w:val="thick" w:color="363436"/>
        </w:rPr>
        <w:t>Minnesota </w:t>
      </w:r>
      <w:r>
        <w:rPr>
          <w:color w:val="464446"/>
          <w:w w:val="110"/>
          <w:sz w:val="21"/>
          <w:u w:val="thick" w:color="363436"/>
        </w:rPr>
        <w:t>v. </w:t>
      </w:r>
      <w:r>
        <w:rPr>
          <w:color w:val="363436"/>
          <w:w w:val="110"/>
          <w:sz w:val="21"/>
          <w:u w:val="thick" w:color="363436"/>
        </w:rPr>
        <w:t>Olson,</w:t>
      </w:r>
      <w:r>
        <w:rPr>
          <w:color w:val="363436"/>
          <w:w w:val="110"/>
          <w:sz w:val="21"/>
        </w:rPr>
        <w:t> 49S U.S. 91, 96-97 (1990).</w:t>
      </w:r>
      <w:r>
        <w:rPr>
          <w:color w:val="363436"/>
          <w:spacing w:val="1"/>
          <w:w w:val="110"/>
          <w:sz w:val="21"/>
        </w:rPr>
        <w:t> </w:t>
      </w:r>
      <w:r>
        <w:rPr>
          <w:color w:val="363436"/>
          <w:w w:val="115"/>
          <w:sz w:val="21"/>
        </w:rPr>
        <w:t>As non-overnight </w:t>
      </w:r>
      <w:r>
        <w:rPr>
          <w:color w:val="464446"/>
          <w:w w:val="115"/>
          <w:sz w:val="21"/>
        </w:rPr>
        <w:t>guests, </w:t>
      </w:r>
      <w:r>
        <w:rPr>
          <w:color w:val="363436"/>
          <w:w w:val="115"/>
          <w:sz w:val="21"/>
        </w:rPr>
        <w:t>they lacked the </w:t>
      </w:r>
      <w:r>
        <w:rPr>
          <w:color w:val="464446"/>
          <w:w w:val="115"/>
          <w:sz w:val="21"/>
        </w:rPr>
        <w:t>connection </w:t>
      </w:r>
      <w:r>
        <w:rPr>
          <w:color w:val="363436"/>
          <w:w w:val="115"/>
          <w:sz w:val="21"/>
        </w:rPr>
        <w:t>with the prem­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20"/>
          <w:sz w:val="21"/>
        </w:rPr>
        <w:t>ises that legitimizes an expectation of privacy. </w:t>
      </w:r>
      <w:r>
        <w:rPr>
          <w:color w:val="464446"/>
          <w:w w:val="120"/>
          <w:sz w:val="21"/>
        </w:rPr>
        <w:t>Even </w:t>
      </w:r>
      <w:r>
        <w:rPr>
          <w:color w:val="363436"/>
          <w:w w:val="120"/>
          <w:sz w:val="21"/>
        </w:rPr>
        <w:t>if shorter-term</w:t>
      </w:r>
      <w:r>
        <w:rPr>
          <w:color w:val="363436"/>
          <w:spacing w:val="1"/>
          <w:w w:val="120"/>
          <w:sz w:val="21"/>
        </w:rPr>
        <w:t> </w:t>
      </w:r>
      <w:r>
        <w:rPr>
          <w:color w:val="363436"/>
          <w:w w:val="115"/>
          <w:sz w:val="21"/>
        </w:rPr>
        <w:t>guests can claim the protection of the </w:t>
      </w:r>
      <w:r>
        <w:rPr>
          <w:color w:val="464446"/>
          <w:w w:val="115"/>
          <w:sz w:val="21"/>
        </w:rPr>
        <w:t>Fourth </w:t>
      </w:r>
      <w:r>
        <w:rPr>
          <w:color w:val="363436"/>
          <w:w w:val="115"/>
          <w:sz w:val="21"/>
        </w:rPr>
        <w:t>Amendment, only those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464446"/>
          <w:w w:val="120"/>
          <w:sz w:val="21"/>
        </w:rPr>
        <w:t>short-term </w:t>
      </w:r>
      <w:r>
        <w:rPr>
          <w:color w:val="363436"/>
          <w:w w:val="120"/>
          <w:sz w:val="21"/>
        </w:rPr>
        <w:t>guests who are present for socially permissible </w:t>
      </w:r>
      <w:r>
        <w:rPr>
          <w:color w:val="464446"/>
          <w:w w:val="120"/>
          <w:sz w:val="21"/>
        </w:rPr>
        <w:t>and </w:t>
      </w:r>
      <w:r>
        <w:rPr>
          <w:color w:val="363436"/>
          <w:w w:val="120"/>
          <w:sz w:val="21"/>
        </w:rPr>
        <w:t>valu­</w:t>
      </w:r>
      <w:r>
        <w:rPr>
          <w:color w:val="363436"/>
          <w:spacing w:val="-60"/>
          <w:w w:val="120"/>
          <w:sz w:val="21"/>
        </w:rPr>
        <w:t> </w:t>
      </w:r>
      <w:r>
        <w:rPr>
          <w:color w:val="464446"/>
          <w:w w:val="115"/>
          <w:sz w:val="21"/>
        </w:rPr>
        <w:t>able </w:t>
      </w:r>
      <w:r>
        <w:rPr>
          <w:color w:val="363436"/>
          <w:w w:val="115"/>
          <w:sz w:val="21"/>
        </w:rPr>
        <w:t>reasons qualify for Fourth Amendment protection. Respondents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20"/>
          <w:sz w:val="21"/>
        </w:rPr>
        <w:t>were present only to conduct </w:t>
      </w:r>
      <w:r>
        <w:rPr>
          <w:color w:val="464446"/>
          <w:w w:val="120"/>
          <w:sz w:val="21"/>
        </w:rPr>
        <w:t>criminal </w:t>
      </w:r>
      <w:r>
        <w:rPr>
          <w:color w:val="363436"/>
          <w:w w:val="120"/>
          <w:sz w:val="21"/>
        </w:rPr>
        <w:t>business activities and there­</w:t>
      </w:r>
      <w:r>
        <w:rPr>
          <w:color w:val="363436"/>
          <w:spacing w:val="1"/>
          <w:w w:val="120"/>
          <w:sz w:val="21"/>
        </w:rPr>
        <w:t> </w:t>
      </w:r>
      <w:r>
        <w:rPr>
          <w:color w:val="363436"/>
          <w:w w:val="115"/>
          <w:sz w:val="21"/>
        </w:rPr>
        <w:t>fore </w:t>
      </w:r>
      <w:r>
        <w:rPr>
          <w:color w:val="464446"/>
          <w:w w:val="115"/>
          <w:sz w:val="21"/>
        </w:rPr>
        <w:t>did</w:t>
      </w:r>
      <w:r>
        <w:rPr>
          <w:color w:val="46444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not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have </w:t>
      </w:r>
      <w:r>
        <w:rPr>
          <w:color w:val="464446"/>
          <w:w w:val="115"/>
          <w:sz w:val="21"/>
        </w:rPr>
        <w:t>an </w:t>
      </w:r>
      <w:r>
        <w:rPr>
          <w:color w:val="363436"/>
          <w:w w:val="115"/>
          <w:sz w:val="21"/>
        </w:rPr>
        <w:t>expectation  of privacy that was reasonable in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spacing w:val="-1"/>
          <w:w w:val="120"/>
          <w:sz w:val="21"/>
        </w:rPr>
        <w:t>light of longstanding </w:t>
      </w:r>
      <w:r>
        <w:rPr>
          <w:color w:val="363436"/>
          <w:w w:val="120"/>
          <w:sz w:val="21"/>
        </w:rPr>
        <w:t>social </w:t>
      </w:r>
      <w:r>
        <w:rPr>
          <w:color w:val="464446"/>
          <w:w w:val="120"/>
          <w:sz w:val="21"/>
        </w:rPr>
        <w:t>customs </w:t>
      </w:r>
      <w:r>
        <w:rPr>
          <w:color w:val="363436"/>
          <w:w w:val="120"/>
          <w:sz w:val="21"/>
        </w:rPr>
        <w:t>that </w:t>
      </w:r>
      <w:r>
        <w:rPr>
          <w:color w:val="464446"/>
          <w:w w:val="120"/>
          <w:sz w:val="21"/>
        </w:rPr>
        <w:t>serve functions </w:t>
      </w:r>
      <w:r>
        <w:rPr>
          <w:color w:val="363436"/>
          <w:w w:val="120"/>
          <w:sz w:val="21"/>
        </w:rPr>
        <w:t>recognized</w:t>
      </w:r>
      <w:r>
        <w:rPr>
          <w:color w:val="363436"/>
          <w:spacing w:val="-60"/>
          <w:w w:val="120"/>
          <w:sz w:val="21"/>
        </w:rPr>
        <w:t> </w:t>
      </w:r>
      <w:r>
        <w:rPr>
          <w:color w:val="363436"/>
          <w:w w:val="120"/>
          <w:sz w:val="21"/>
        </w:rPr>
        <w:t>as</w:t>
      </w:r>
      <w:r>
        <w:rPr>
          <w:color w:val="363436"/>
          <w:spacing w:val="-33"/>
          <w:w w:val="120"/>
          <w:sz w:val="21"/>
        </w:rPr>
        <w:t> </w:t>
      </w:r>
      <w:r>
        <w:rPr>
          <w:color w:val="464446"/>
          <w:w w:val="120"/>
          <w:sz w:val="21"/>
        </w:rPr>
        <w:t>valuable</w:t>
      </w:r>
      <w:r>
        <w:rPr>
          <w:color w:val="464446"/>
          <w:spacing w:val="-6"/>
          <w:w w:val="120"/>
          <w:sz w:val="21"/>
        </w:rPr>
        <w:t> </w:t>
      </w:r>
      <w:r>
        <w:rPr>
          <w:color w:val="464446"/>
          <w:w w:val="120"/>
          <w:sz w:val="21"/>
        </w:rPr>
        <w:t>by</w:t>
      </w:r>
      <w:r>
        <w:rPr>
          <w:color w:val="464446"/>
          <w:spacing w:val="-10"/>
          <w:w w:val="120"/>
          <w:sz w:val="21"/>
        </w:rPr>
        <w:t> </w:t>
      </w:r>
      <w:r>
        <w:rPr>
          <w:color w:val="464446"/>
          <w:w w:val="120"/>
          <w:sz w:val="21"/>
        </w:rPr>
        <w:t>society.</w:t>
      </w:r>
      <w:r>
        <w:rPr>
          <w:color w:val="464446"/>
          <w:spacing w:val="30"/>
          <w:w w:val="120"/>
          <w:sz w:val="21"/>
        </w:rPr>
        <w:t> </w:t>
      </w:r>
      <w:r>
        <w:rPr>
          <w:rFonts w:ascii="Arial" w:hAnsi="Arial"/>
          <w:b/>
          <w:color w:val="363436"/>
          <w:w w:val="120"/>
          <w:sz w:val="15"/>
        </w:rPr>
        <w:t>4</w:t>
      </w:r>
    </w:p>
    <w:p>
      <w:pPr>
        <w:spacing w:line="235" w:lineRule="auto" w:before="5"/>
        <w:ind w:left="424" w:right="144" w:firstLine="363"/>
        <w:jc w:val="both"/>
        <w:rPr>
          <w:sz w:val="21"/>
        </w:rPr>
      </w:pPr>
      <w:r>
        <w:rPr>
          <w:color w:val="363436"/>
          <w:w w:val="120"/>
          <w:sz w:val="21"/>
        </w:rPr>
        <w:t>Furthermore, </w:t>
      </w:r>
      <w:r>
        <w:rPr>
          <w:color w:val="464446"/>
          <w:w w:val="120"/>
          <w:sz w:val="21"/>
        </w:rPr>
        <w:t>even </w:t>
      </w:r>
      <w:r>
        <w:rPr>
          <w:color w:val="363436"/>
          <w:w w:val="120"/>
          <w:sz w:val="21"/>
        </w:rPr>
        <w:t>assuming that Respondents </w:t>
      </w:r>
      <w:r>
        <w:rPr>
          <w:color w:val="464446"/>
          <w:w w:val="120"/>
          <w:sz w:val="21"/>
        </w:rPr>
        <w:t>are entitled </w:t>
      </w:r>
      <w:r>
        <w:rPr>
          <w:color w:val="363436"/>
          <w:w w:val="120"/>
          <w:sz w:val="21"/>
        </w:rPr>
        <w:t>to</w:t>
      </w:r>
      <w:r>
        <w:rPr>
          <w:color w:val="363436"/>
          <w:spacing w:val="1"/>
          <w:w w:val="120"/>
          <w:sz w:val="21"/>
        </w:rPr>
        <w:t> </w:t>
      </w:r>
      <w:r>
        <w:rPr>
          <w:color w:val="363436"/>
          <w:w w:val="120"/>
          <w:sz w:val="21"/>
        </w:rPr>
        <w:t>Invoke the Fourth Amendment's protections, no Fourth Amendment</w:t>
      </w:r>
      <w:r>
        <w:rPr>
          <w:color w:val="363436"/>
          <w:spacing w:val="1"/>
          <w:w w:val="120"/>
          <w:sz w:val="21"/>
        </w:rPr>
        <w:t> </w:t>
      </w:r>
      <w:r>
        <w:rPr>
          <w:color w:val="464446"/>
          <w:w w:val="120"/>
          <w:sz w:val="21"/>
        </w:rPr>
        <w:t>search occurred. </w:t>
      </w:r>
      <w:r>
        <w:rPr>
          <w:color w:val="363436"/>
          <w:w w:val="120"/>
          <w:sz w:val="21"/>
        </w:rPr>
        <w:t>A search occurs </w:t>
      </w:r>
      <w:r>
        <w:rPr>
          <w:color w:val="464446"/>
          <w:w w:val="120"/>
          <w:sz w:val="21"/>
        </w:rPr>
        <w:t>only </w:t>
      </w:r>
      <w:r>
        <w:rPr>
          <w:color w:val="363436"/>
          <w:w w:val="120"/>
          <w:sz w:val="21"/>
        </w:rPr>
        <w:t>when governmental agents</w:t>
      </w:r>
      <w:r>
        <w:rPr>
          <w:color w:val="363436"/>
          <w:spacing w:val="1"/>
          <w:w w:val="120"/>
          <w:sz w:val="21"/>
        </w:rPr>
        <w:t> </w:t>
      </w:r>
      <w:r>
        <w:rPr>
          <w:color w:val="363436"/>
          <w:spacing w:val="-1"/>
          <w:w w:val="120"/>
          <w:sz w:val="21"/>
        </w:rPr>
        <w:t>intrude upon </w:t>
      </w:r>
      <w:r>
        <w:rPr>
          <w:color w:val="464446"/>
          <w:spacing w:val="-1"/>
          <w:w w:val="120"/>
          <w:sz w:val="21"/>
        </w:rPr>
        <w:t>an </w:t>
      </w:r>
      <w:r>
        <w:rPr>
          <w:color w:val="464446"/>
          <w:w w:val="120"/>
          <w:sz w:val="21"/>
        </w:rPr>
        <w:t>area </w:t>
      </w:r>
      <w:r>
        <w:rPr>
          <w:color w:val="363436"/>
          <w:w w:val="120"/>
          <w:sz w:val="21"/>
        </w:rPr>
        <w:t>in which an individual has a reasonable expec­</w:t>
      </w:r>
      <w:r>
        <w:rPr>
          <w:color w:val="363436"/>
          <w:spacing w:val="1"/>
          <w:w w:val="120"/>
          <w:sz w:val="21"/>
        </w:rPr>
        <w:t> </w:t>
      </w:r>
      <w:r>
        <w:rPr>
          <w:color w:val="363436"/>
          <w:w w:val="120"/>
          <w:sz w:val="21"/>
        </w:rPr>
        <w:t>tation of privacy. A reasonable </w:t>
      </w:r>
      <w:r>
        <w:rPr>
          <w:color w:val="464446"/>
          <w:w w:val="120"/>
          <w:sz w:val="21"/>
        </w:rPr>
        <w:t>expectation of </w:t>
      </w:r>
      <w:r>
        <w:rPr>
          <w:color w:val="363436"/>
          <w:w w:val="120"/>
          <w:sz w:val="21"/>
        </w:rPr>
        <w:t>privacy </w:t>
      </w:r>
      <w:r>
        <w:rPr>
          <w:color w:val="464446"/>
          <w:w w:val="120"/>
          <w:sz w:val="21"/>
        </w:rPr>
        <w:t>is </w:t>
      </w:r>
      <w:r>
        <w:rPr>
          <w:color w:val="363436"/>
          <w:w w:val="120"/>
          <w:sz w:val="21"/>
        </w:rPr>
        <w:t>violated</w:t>
      </w:r>
      <w:r>
        <w:rPr>
          <w:color w:val="363436"/>
          <w:spacing w:val="1"/>
          <w:w w:val="120"/>
          <w:sz w:val="21"/>
        </w:rPr>
        <w:t> </w:t>
      </w:r>
      <w:r>
        <w:rPr>
          <w:color w:val="363436"/>
          <w:w w:val="120"/>
          <w:sz w:val="21"/>
        </w:rPr>
        <w:t>when an officer intrudes upon the home or its </w:t>
      </w:r>
      <w:r>
        <w:rPr>
          <w:color w:val="464446"/>
          <w:w w:val="120"/>
          <w:sz w:val="21"/>
        </w:rPr>
        <w:t>curtilage, </w:t>
      </w:r>
      <w:r>
        <w:rPr>
          <w:color w:val="363436"/>
          <w:w w:val="120"/>
          <w:sz w:val="21"/>
        </w:rPr>
        <w:t>the</w:t>
      </w:r>
      <w:r>
        <w:rPr>
          <w:color w:val="363436"/>
          <w:spacing w:val="1"/>
          <w:w w:val="120"/>
          <w:sz w:val="21"/>
        </w:rPr>
        <w:t> </w:t>
      </w:r>
      <w:r>
        <w:rPr>
          <w:color w:val="363436"/>
          <w:w w:val="120"/>
          <w:sz w:val="21"/>
        </w:rPr>
        <w:t>area</w:t>
      </w:r>
      <w:r>
        <w:rPr>
          <w:color w:val="363436"/>
          <w:spacing w:val="1"/>
          <w:w w:val="120"/>
          <w:sz w:val="21"/>
        </w:rPr>
        <w:t> </w:t>
      </w:r>
      <w:r>
        <w:rPr>
          <w:color w:val="363436"/>
          <w:w w:val="120"/>
          <w:sz w:val="21"/>
        </w:rPr>
        <w:t>immediately</w:t>
      </w:r>
      <w:r>
        <w:rPr>
          <w:color w:val="363436"/>
          <w:spacing w:val="-9"/>
          <w:w w:val="120"/>
          <w:sz w:val="21"/>
        </w:rPr>
        <w:t> </w:t>
      </w:r>
      <w:r>
        <w:rPr>
          <w:color w:val="464446"/>
          <w:w w:val="120"/>
          <w:sz w:val="21"/>
        </w:rPr>
        <w:t>surrounding</w:t>
      </w:r>
      <w:r>
        <w:rPr>
          <w:color w:val="464446"/>
          <w:spacing w:val="-10"/>
          <w:w w:val="120"/>
          <w:sz w:val="21"/>
        </w:rPr>
        <w:t> </w:t>
      </w:r>
      <w:r>
        <w:rPr>
          <w:color w:val="363436"/>
          <w:w w:val="120"/>
          <w:sz w:val="21"/>
        </w:rPr>
        <w:t>the</w:t>
      </w:r>
      <w:r>
        <w:rPr>
          <w:color w:val="363436"/>
          <w:spacing w:val="8"/>
          <w:w w:val="120"/>
          <w:sz w:val="21"/>
        </w:rPr>
        <w:t> </w:t>
      </w:r>
      <w:r>
        <w:rPr>
          <w:color w:val="363436"/>
          <w:w w:val="120"/>
          <w:sz w:val="21"/>
        </w:rPr>
        <w:t>home</w:t>
      </w:r>
      <w:r>
        <w:rPr>
          <w:color w:val="363436"/>
          <w:spacing w:val="-8"/>
          <w:w w:val="120"/>
          <w:sz w:val="21"/>
        </w:rPr>
        <w:t> </w:t>
      </w:r>
      <w:r>
        <w:rPr>
          <w:color w:val="363436"/>
          <w:w w:val="120"/>
          <w:sz w:val="21"/>
        </w:rPr>
        <w:t>that</w:t>
      </w:r>
      <w:r>
        <w:rPr>
          <w:color w:val="363436"/>
          <w:spacing w:val="-14"/>
          <w:w w:val="120"/>
          <w:sz w:val="21"/>
        </w:rPr>
        <w:t> </w:t>
      </w:r>
      <w:r>
        <w:rPr>
          <w:color w:val="363436"/>
          <w:w w:val="120"/>
          <w:sz w:val="21"/>
        </w:rPr>
        <w:t>shares</w:t>
      </w:r>
      <w:r>
        <w:rPr>
          <w:color w:val="363436"/>
          <w:spacing w:val="-12"/>
          <w:w w:val="120"/>
          <w:sz w:val="21"/>
        </w:rPr>
        <w:t> </w:t>
      </w:r>
      <w:r>
        <w:rPr>
          <w:color w:val="363436"/>
          <w:w w:val="120"/>
          <w:sz w:val="21"/>
        </w:rPr>
        <w:t>the same</w:t>
      </w:r>
      <w:r>
        <w:rPr>
          <w:color w:val="363436"/>
          <w:spacing w:val="-10"/>
          <w:w w:val="120"/>
          <w:sz w:val="21"/>
        </w:rPr>
        <w:t> </w:t>
      </w:r>
      <w:r>
        <w:rPr>
          <w:color w:val="363436"/>
          <w:w w:val="120"/>
          <w:sz w:val="21"/>
        </w:rPr>
        <w:t>private</w:t>
      </w:r>
      <w:r>
        <w:rPr>
          <w:color w:val="363436"/>
          <w:spacing w:val="-22"/>
          <w:w w:val="120"/>
          <w:sz w:val="21"/>
        </w:rPr>
        <w:t> </w:t>
      </w:r>
      <w:r>
        <w:rPr>
          <w:color w:val="464446"/>
          <w:w w:val="120"/>
          <w:sz w:val="21"/>
        </w:rPr>
        <w:t>char­</w:t>
      </w:r>
      <w:r>
        <w:rPr>
          <w:color w:val="464446"/>
          <w:spacing w:val="1"/>
          <w:w w:val="120"/>
          <w:sz w:val="21"/>
        </w:rPr>
        <w:t> </w:t>
      </w:r>
      <w:r>
        <w:rPr>
          <w:color w:val="464446"/>
          <w:spacing w:val="-1"/>
          <w:w w:val="120"/>
          <w:sz w:val="21"/>
        </w:rPr>
        <w:t>acteristics </w:t>
      </w:r>
      <w:r>
        <w:rPr>
          <w:color w:val="363436"/>
          <w:spacing w:val="-1"/>
          <w:w w:val="120"/>
          <w:sz w:val="21"/>
        </w:rPr>
        <w:t>as the home. </w:t>
      </w:r>
      <w:r>
        <w:rPr>
          <w:color w:val="464446"/>
          <w:spacing w:val="-1"/>
          <w:w w:val="120"/>
          <w:sz w:val="21"/>
        </w:rPr>
        <w:t>Conversely, </w:t>
      </w:r>
      <w:r>
        <w:rPr>
          <w:color w:val="363436"/>
          <w:spacing w:val="-1"/>
          <w:w w:val="120"/>
          <w:sz w:val="21"/>
        </w:rPr>
        <w:t>there is no </w:t>
      </w:r>
      <w:r>
        <w:rPr>
          <w:color w:val="363436"/>
          <w:w w:val="120"/>
          <w:sz w:val="21"/>
        </w:rPr>
        <w:t>violation of </w:t>
      </w:r>
      <w:r>
        <w:rPr>
          <w:color w:val="464446"/>
          <w:w w:val="120"/>
          <w:sz w:val="21"/>
        </w:rPr>
        <w:t>a </w:t>
      </w:r>
      <w:r>
        <w:rPr>
          <w:color w:val="363436"/>
          <w:w w:val="120"/>
          <w:sz w:val="21"/>
        </w:rPr>
        <w:t>reason­</w:t>
      </w:r>
      <w:r>
        <w:rPr>
          <w:color w:val="363436"/>
          <w:spacing w:val="1"/>
          <w:w w:val="120"/>
          <w:sz w:val="21"/>
        </w:rPr>
        <w:t> </w:t>
      </w:r>
      <w:r>
        <w:rPr>
          <w:color w:val="464446"/>
          <w:w w:val="115"/>
          <w:sz w:val="21"/>
        </w:rPr>
        <w:t>able</w:t>
      </w:r>
      <w:r>
        <w:rPr>
          <w:color w:val="46444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expectation</w:t>
      </w:r>
      <w:r>
        <w:rPr>
          <w:color w:val="363436"/>
          <w:spacing w:val="42"/>
          <w:w w:val="115"/>
          <w:sz w:val="21"/>
        </w:rPr>
        <w:t> </w:t>
      </w:r>
      <w:r>
        <w:rPr>
          <w:color w:val="363436"/>
          <w:w w:val="115"/>
          <w:sz w:val="21"/>
        </w:rPr>
        <w:t>of</w:t>
      </w:r>
      <w:r>
        <w:rPr>
          <w:color w:val="363436"/>
          <w:spacing w:val="32"/>
          <w:w w:val="115"/>
          <w:sz w:val="21"/>
        </w:rPr>
        <w:t> </w:t>
      </w:r>
      <w:r>
        <w:rPr>
          <w:color w:val="464446"/>
          <w:w w:val="115"/>
          <w:sz w:val="21"/>
        </w:rPr>
        <w:t>privacy,</w:t>
      </w:r>
      <w:r>
        <w:rPr>
          <w:color w:val="464446"/>
          <w:spacing w:val="3"/>
          <w:w w:val="115"/>
          <w:sz w:val="21"/>
        </w:rPr>
        <w:t> </w:t>
      </w:r>
      <w:r>
        <w:rPr>
          <w:color w:val="363436"/>
          <w:w w:val="115"/>
          <w:sz w:val="21"/>
        </w:rPr>
        <w:t>and</w:t>
      </w:r>
      <w:r>
        <w:rPr>
          <w:color w:val="363436"/>
          <w:spacing w:val="22"/>
          <w:w w:val="115"/>
          <w:sz w:val="21"/>
        </w:rPr>
        <w:t> </w:t>
      </w:r>
      <w:r>
        <w:rPr>
          <w:color w:val="363436"/>
          <w:w w:val="115"/>
          <w:sz w:val="21"/>
        </w:rPr>
        <w:t>therefore</w:t>
      </w:r>
      <w:r>
        <w:rPr>
          <w:color w:val="363436"/>
          <w:spacing w:val="23"/>
          <w:w w:val="115"/>
          <w:sz w:val="21"/>
        </w:rPr>
        <w:t> </w:t>
      </w:r>
      <w:r>
        <w:rPr>
          <w:color w:val="363436"/>
          <w:w w:val="115"/>
          <w:sz w:val="21"/>
        </w:rPr>
        <w:t>no</w:t>
      </w:r>
      <w:r>
        <w:rPr>
          <w:color w:val="363436"/>
          <w:spacing w:val="23"/>
          <w:w w:val="115"/>
          <w:sz w:val="21"/>
        </w:rPr>
        <w:t> </w:t>
      </w:r>
      <w:r>
        <w:rPr>
          <w:i/>
          <w:color w:val="363436"/>
          <w:w w:val="115"/>
          <w:sz w:val="21"/>
        </w:rPr>
        <w:t>seardr,</w:t>
      </w:r>
      <w:r>
        <w:rPr>
          <w:i/>
          <w:color w:val="363436"/>
          <w:spacing w:val="-1"/>
          <w:w w:val="115"/>
          <w:sz w:val="21"/>
        </w:rPr>
        <w:t> </w:t>
      </w:r>
      <w:r>
        <w:rPr>
          <w:color w:val="464446"/>
          <w:w w:val="115"/>
          <w:sz w:val="21"/>
        </w:rPr>
        <w:t>when</w:t>
      </w:r>
      <w:r>
        <w:rPr>
          <w:color w:val="464446"/>
          <w:spacing w:val="16"/>
          <w:w w:val="115"/>
          <w:sz w:val="21"/>
        </w:rPr>
        <w:t> </w:t>
      </w:r>
      <w:r>
        <w:rPr>
          <w:color w:val="464446"/>
          <w:w w:val="115"/>
          <w:sz w:val="21"/>
        </w:rPr>
        <w:t>an</w:t>
      </w:r>
      <w:r>
        <w:rPr>
          <w:color w:val="464446"/>
          <w:spacing w:val="35"/>
          <w:w w:val="115"/>
          <w:sz w:val="21"/>
        </w:rPr>
        <w:t> </w:t>
      </w:r>
      <w:r>
        <w:rPr>
          <w:color w:val="464446"/>
          <w:w w:val="115"/>
          <w:sz w:val="21"/>
        </w:rPr>
        <w:t>officer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84"/>
        </w:numPr>
        <w:tabs>
          <w:tab w:pos="214" w:val="left" w:leader="none"/>
        </w:tabs>
        <w:spacing w:line="240" w:lineRule="auto" w:before="0" w:after="0"/>
        <w:ind w:left="213" w:right="0" w:hanging="188"/>
        <w:jc w:val="left"/>
        <w:rPr>
          <w:b/>
          <w:color w:val="363436"/>
          <w:sz w:val="17"/>
        </w:rPr>
      </w:pPr>
      <w:r>
        <w:rPr>
          <w:color w:val="363436"/>
          <w:w w:val="105"/>
          <w:sz w:val="15"/>
        </w:rPr>
        <w:t>Note</w:t>
      </w:r>
      <w:r>
        <w:rPr>
          <w:color w:val="363436"/>
          <w:spacing w:val="-7"/>
          <w:w w:val="105"/>
          <w:sz w:val="15"/>
        </w:rPr>
        <w:t> </w:t>
      </w:r>
      <w:r>
        <w:rPr>
          <w:color w:val="464446"/>
          <w:w w:val="105"/>
          <w:sz w:val="15"/>
        </w:rPr>
        <w:t>how</w:t>
      </w:r>
      <w:r>
        <w:rPr>
          <w:color w:val="464446"/>
          <w:spacing w:val="5"/>
          <w:w w:val="105"/>
          <w:sz w:val="15"/>
        </w:rPr>
        <w:t> </w:t>
      </w:r>
      <w:r>
        <w:rPr>
          <w:b/>
          <w:color w:val="363436"/>
          <w:w w:val="105"/>
          <w:sz w:val="14"/>
        </w:rPr>
        <w:t>the</w:t>
      </w:r>
    </w:p>
    <w:p>
      <w:pPr>
        <w:spacing w:line="254" w:lineRule="auto" w:before="7"/>
        <w:ind w:left="206" w:right="526" w:hanging="6"/>
        <w:jc w:val="left"/>
        <w:rPr>
          <w:sz w:val="15"/>
        </w:rPr>
      </w:pPr>
      <w:r>
        <w:rPr>
          <w:color w:val="464446"/>
          <w:sz w:val="15"/>
        </w:rPr>
        <w:t>writer lays</w:t>
      </w:r>
      <w:r>
        <w:rPr>
          <w:color w:val="464446"/>
          <w:spacing w:val="1"/>
          <w:sz w:val="15"/>
        </w:rPr>
        <w:t> </w:t>
      </w:r>
      <w:r>
        <w:rPr>
          <w:color w:val="464446"/>
          <w:sz w:val="15"/>
        </w:rPr>
        <w:t>out</w:t>
      </w:r>
      <w:r>
        <w:rPr>
          <w:color w:val="464446"/>
          <w:spacing w:val="16"/>
          <w:sz w:val="15"/>
        </w:rPr>
        <w:t> </w:t>
      </w:r>
      <w:r>
        <w:rPr>
          <w:color w:val="464446"/>
          <w:sz w:val="15"/>
        </w:rPr>
        <w:t>the</w:t>
      </w:r>
      <w:r>
        <w:rPr>
          <w:color w:val="464446"/>
          <w:spacing w:val="13"/>
          <w:sz w:val="15"/>
        </w:rPr>
        <w:t> </w:t>
      </w:r>
      <w:r>
        <w:rPr>
          <w:color w:val="464446"/>
          <w:sz w:val="15"/>
        </w:rPr>
        <w:t>two</w:t>
      </w:r>
    </w:p>
    <w:p>
      <w:pPr>
        <w:spacing w:line="247" w:lineRule="auto" w:before="0"/>
        <w:ind w:left="206" w:right="421" w:firstLine="0"/>
        <w:jc w:val="left"/>
        <w:rPr>
          <w:rFonts w:ascii="Arial"/>
          <w:sz w:val="14"/>
        </w:rPr>
      </w:pPr>
      <w:r>
        <w:rPr>
          <w:color w:val="464446"/>
          <w:w w:val="105"/>
          <w:sz w:val="15"/>
        </w:rPr>
        <w:t>issues </w:t>
      </w:r>
      <w:r>
        <w:rPr>
          <w:color w:val="363436"/>
          <w:w w:val="105"/>
          <w:sz w:val="15"/>
        </w:rPr>
        <w:t>that </w:t>
      </w:r>
      <w:r>
        <w:rPr>
          <w:color w:val="464446"/>
          <w:w w:val="105"/>
          <w:sz w:val="15"/>
        </w:rPr>
        <w:t>the</w:t>
      </w:r>
      <w:r>
        <w:rPr>
          <w:color w:val="464446"/>
          <w:spacing w:val="-37"/>
          <w:w w:val="105"/>
          <w:sz w:val="15"/>
        </w:rPr>
        <w:t> </w:t>
      </w:r>
      <w:r>
        <w:rPr>
          <w:color w:val="363436"/>
          <w:w w:val="110"/>
          <w:sz w:val="15"/>
        </w:rPr>
        <w:t>argument,</w:t>
      </w:r>
      <w:r>
        <w:rPr>
          <w:color w:val="363436"/>
          <w:spacing w:val="1"/>
          <w:w w:val="110"/>
          <w:sz w:val="15"/>
        </w:rPr>
        <w:t> </w:t>
      </w:r>
      <w:r>
        <w:rPr>
          <w:color w:val="464446"/>
          <w:spacing w:val="-1"/>
          <w:w w:val="110"/>
          <w:sz w:val="15"/>
        </w:rPr>
        <w:t>and</w:t>
      </w:r>
      <w:r>
        <w:rPr>
          <w:color w:val="464446"/>
          <w:spacing w:val="2"/>
          <w:w w:val="110"/>
          <w:sz w:val="15"/>
        </w:rPr>
        <w:t> </w:t>
      </w:r>
      <w:r>
        <w:rPr>
          <w:color w:val="363436"/>
          <w:spacing w:val="-1"/>
          <w:w w:val="110"/>
          <w:sz w:val="15"/>
        </w:rPr>
        <w:t>thus</w:t>
      </w:r>
      <w:r>
        <w:rPr>
          <w:color w:val="363436"/>
          <w:spacing w:val="-17"/>
          <w:w w:val="110"/>
          <w:sz w:val="15"/>
        </w:rPr>
        <w:t> </w:t>
      </w:r>
      <w:r>
        <w:rPr>
          <w:rFonts w:ascii="Arial"/>
          <w:color w:val="464446"/>
          <w:spacing w:val="-1"/>
          <w:w w:val="110"/>
          <w:sz w:val="14"/>
        </w:rPr>
        <w:t>the</w:t>
      </w:r>
    </w:p>
    <w:p>
      <w:pPr>
        <w:spacing w:line="179" w:lineRule="exact" w:before="0"/>
        <w:ind w:left="213" w:right="0" w:firstLine="0"/>
        <w:jc w:val="left"/>
        <w:rPr>
          <w:rFonts w:ascii="Arial"/>
          <w:sz w:val="20"/>
        </w:rPr>
      </w:pPr>
      <w:r>
        <w:rPr>
          <w:color w:val="464446"/>
          <w:spacing w:val="-1"/>
          <w:w w:val="95"/>
          <w:sz w:val="15"/>
        </w:rPr>
        <w:t>summary,</w:t>
      </w:r>
      <w:r>
        <w:rPr>
          <w:color w:val="464446"/>
          <w:spacing w:val="-6"/>
          <w:w w:val="95"/>
          <w:sz w:val="15"/>
        </w:rPr>
        <w:t> </w:t>
      </w:r>
      <w:r>
        <w:rPr>
          <w:rFonts w:ascii="Arial"/>
          <w:color w:val="464446"/>
          <w:w w:val="95"/>
          <w:sz w:val="20"/>
        </w:rPr>
        <w:t>wm</w:t>
      </w:r>
    </w:p>
    <w:p>
      <w:pPr>
        <w:spacing w:before="0"/>
        <w:ind w:left="215" w:right="0" w:firstLine="0"/>
        <w:jc w:val="left"/>
        <w:rPr>
          <w:sz w:val="15"/>
        </w:rPr>
      </w:pPr>
      <w:r>
        <w:rPr>
          <w:color w:val="363436"/>
          <w:w w:val="105"/>
          <w:sz w:val="15"/>
        </w:rPr>
        <w:t>address.</w:t>
      </w:r>
    </w:p>
    <w:p>
      <w:pPr>
        <w:pStyle w:val="ListParagraph"/>
        <w:numPr>
          <w:ilvl w:val="0"/>
          <w:numId w:val="84"/>
        </w:numPr>
        <w:tabs>
          <w:tab w:pos="218" w:val="left" w:leader="none"/>
        </w:tabs>
        <w:spacing w:line="240" w:lineRule="auto" w:before="59" w:after="0"/>
        <w:ind w:left="217" w:right="0" w:hanging="175"/>
        <w:jc w:val="left"/>
        <w:rPr>
          <w:rFonts w:ascii="Arial"/>
          <w:b/>
          <w:color w:val="363436"/>
          <w:sz w:val="15"/>
        </w:rPr>
      </w:pPr>
      <w:r>
        <w:rPr>
          <w:rFonts w:ascii="Arial"/>
          <w:color w:val="363436"/>
          <w:w w:val="110"/>
          <w:sz w:val="14"/>
        </w:rPr>
        <w:t>In</w:t>
      </w:r>
      <w:r>
        <w:rPr>
          <w:rFonts w:ascii="Arial"/>
          <w:color w:val="363436"/>
          <w:spacing w:val="1"/>
          <w:w w:val="110"/>
          <w:sz w:val="14"/>
        </w:rPr>
        <w:t> </w:t>
      </w:r>
      <w:r>
        <w:rPr>
          <w:color w:val="464446"/>
          <w:w w:val="110"/>
          <w:sz w:val="15"/>
        </w:rPr>
        <w:t>this</w:t>
      </w:r>
    </w:p>
    <w:p>
      <w:pPr>
        <w:spacing w:line="249" w:lineRule="auto" w:before="1"/>
        <w:ind w:left="229" w:right="337" w:firstLine="2"/>
        <w:jc w:val="left"/>
        <w:rPr>
          <w:rFonts w:ascii="Arial"/>
          <w:b/>
          <w:sz w:val="13"/>
        </w:rPr>
      </w:pPr>
      <w:r>
        <w:rPr>
          <w:color w:val="363436"/>
          <w:w w:val="110"/>
          <w:sz w:val="15"/>
        </w:rPr>
        <w:t>paragraph, </w:t>
      </w:r>
      <w:r>
        <w:rPr>
          <w:rFonts w:ascii="Arial"/>
          <w:b/>
          <w:color w:val="363436"/>
          <w:w w:val="110"/>
          <w:sz w:val="13"/>
        </w:rPr>
        <w:t>the</w:t>
      </w:r>
      <w:r>
        <w:rPr>
          <w:rFonts w:ascii="Arial"/>
          <w:b/>
          <w:color w:val="363436"/>
          <w:spacing w:val="-37"/>
          <w:w w:val="110"/>
          <w:sz w:val="13"/>
        </w:rPr>
        <w:t> </w:t>
      </w:r>
      <w:r>
        <w:rPr>
          <w:color w:val="464446"/>
          <w:sz w:val="15"/>
        </w:rPr>
        <w:t>writer lays out</w:t>
      </w:r>
      <w:r>
        <w:rPr>
          <w:color w:val="464446"/>
          <w:spacing w:val="1"/>
          <w:sz w:val="15"/>
        </w:rPr>
        <w:t> </w:t>
      </w:r>
      <w:r>
        <w:rPr>
          <w:color w:val="363436"/>
          <w:w w:val="105"/>
          <w:sz w:val="15"/>
        </w:rPr>
        <w:t>the</w:t>
      </w:r>
      <w:r>
        <w:rPr>
          <w:color w:val="363436"/>
          <w:spacing w:val="1"/>
          <w:w w:val="105"/>
          <w:sz w:val="15"/>
        </w:rPr>
        <w:t> </w:t>
      </w:r>
      <w:r>
        <w:rPr>
          <w:color w:val="464446"/>
          <w:w w:val="105"/>
          <w:sz w:val="15"/>
        </w:rPr>
        <w:t>basic </w:t>
      </w:r>
      <w:r>
        <w:rPr>
          <w:color w:val="363436"/>
          <w:w w:val="105"/>
          <w:sz w:val="15"/>
        </w:rPr>
        <w:t>,ule</w:t>
      </w:r>
      <w:r>
        <w:rPr>
          <w:color w:val="363436"/>
          <w:spacing w:val="1"/>
          <w:w w:val="105"/>
          <w:sz w:val="15"/>
        </w:rPr>
        <w:t> </w:t>
      </w:r>
      <w:r>
        <w:rPr>
          <w:color w:val="464446"/>
          <w:w w:val="110"/>
          <w:sz w:val="15"/>
        </w:rPr>
        <w:t>that govems</w:t>
      </w:r>
      <w:r>
        <w:rPr>
          <w:color w:val="464446"/>
          <w:spacing w:val="1"/>
          <w:w w:val="110"/>
          <w:sz w:val="15"/>
        </w:rPr>
        <w:t> </w:t>
      </w:r>
      <w:r>
        <w:rPr>
          <w:color w:val="363436"/>
          <w:sz w:val="15"/>
        </w:rPr>
        <w:t>the</w:t>
      </w:r>
      <w:r>
        <w:rPr>
          <w:color w:val="363436"/>
          <w:spacing w:val="6"/>
          <w:sz w:val="15"/>
        </w:rPr>
        <w:t> </w:t>
      </w:r>
      <w:r>
        <w:rPr>
          <w:color w:val="464446"/>
          <w:sz w:val="15"/>
        </w:rPr>
        <w:t>first</w:t>
      </w:r>
      <w:r>
        <w:rPr>
          <w:color w:val="464446"/>
          <w:spacing w:val="-5"/>
          <w:sz w:val="15"/>
        </w:rPr>
        <w:t> </w:t>
      </w:r>
      <w:r>
        <w:rPr>
          <w:color w:val="464446"/>
          <w:sz w:val="15"/>
        </w:rPr>
        <w:t>issue,</w:t>
      </w:r>
      <w:r>
        <w:rPr>
          <w:color w:val="464446"/>
          <w:spacing w:val="1"/>
          <w:sz w:val="15"/>
        </w:rPr>
        <w:t> </w:t>
      </w:r>
      <w:r>
        <w:rPr>
          <w:rFonts w:ascii="Arial"/>
          <w:color w:val="464446"/>
          <w:w w:val="105"/>
          <w:sz w:val="14"/>
        </w:rPr>
        <w:t>identifying</w:t>
      </w:r>
      <w:r>
        <w:rPr>
          <w:rFonts w:ascii="Arial"/>
          <w:color w:val="464446"/>
          <w:spacing w:val="6"/>
          <w:w w:val="105"/>
          <w:sz w:val="14"/>
        </w:rPr>
        <w:t> </w:t>
      </w:r>
      <w:r>
        <w:rPr>
          <w:rFonts w:ascii="Arial"/>
          <w:color w:val="363436"/>
          <w:w w:val="105"/>
          <w:sz w:val="14"/>
        </w:rPr>
        <w:t>two</w:t>
      </w:r>
      <w:r>
        <w:rPr>
          <w:rFonts w:ascii="Arial"/>
          <w:color w:val="363436"/>
          <w:spacing w:val="-38"/>
          <w:w w:val="105"/>
          <w:sz w:val="14"/>
        </w:rPr>
        <w:t> </w:t>
      </w:r>
      <w:r>
        <w:rPr>
          <w:color w:val="464446"/>
          <w:sz w:val="15"/>
        </w:rPr>
        <w:t>sub-issues. She</w:t>
      </w:r>
      <w:r>
        <w:rPr>
          <w:color w:val="464446"/>
          <w:spacing w:val="1"/>
          <w:sz w:val="15"/>
        </w:rPr>
        <w:t> </w:t>
      </w:r>
      <w:r>
        <w:rPr>
          <w:color w:val="464446"/>
          <w:w w:val="110"/>
          <w:sz w:val="15"/>
        </w:rPr>
        <w:t>does</w:t>
      </w:r>
      <w:r>
        <w:rPr>
          <w:color w:val="464446"/>
          <w:spacing w:val="11"/>
          <w:w w:val="110"/>
          <w:sz w:val="15"/>
        </w:rPr>
        <w:t> </w:t>
      </w:r>
      <w:r>
        <w:rPr>
          <w:color w:val="363436"/>
          <w:w w:val="110"/>
          <w:sz w:val="15"/>
        </w:rPr>
        <w:t>not</w:t>
      </w:r>
      <w:r>
        <w:rPr>
          <w:color w:val="363436"/>
          <w:spacing w:val="1"/>
          <w:w w:val="110"/>
          <w:sz w:val="15"/>
        </w:rPr>
        <w:t> </w:t>
      </w:r>
      <w:r>
        <w:rPr>
          <w:color w:val="363436"/>
          <w:w w:val="110"/>
          <w:sz w:val="15"/>
        </w:rPr>
        <w:t>cite</w:t>
      </w:r>
      <w:r>
        <w:rPr>
          <w:color w:val="363436"/>
          <w:spacing w:val="1"/>
          <w:w w:val="110"/>
          <w:sz w:val="15"/>
        </w:rPr>
        <w:t> </w:t>
      </w:r>
      <w:r>
        <w:rPr>
          <w:color w:val="464446"/>
          <w:w w:val="105"/>
          <w:sz w:val="15"/>
        </w:rPr>
        <w:t>to </w:t>
      </w:r>
      <w:r>
        <w:rPr>
          <w:color w:val="363436"/>
          <w:w w:val="105"/>
          <w:sz w:val="15"/>
        </w:rPr>
        <w:t>authority,</w:t>
      </w:r>
      <w:r>
        <w:rPr>
          <w:color w:val="363436"/>
          <w:spacing w:val="1"/>
          <w:w w:val="105"/>
          <w:sz w:val="15"/>
        </w:rPr>
        <w:t> </w:t>
      </w:r>
      <w:r>
        <w:rPr>
          <w:color w:val="464446"/>
          <w:spacing w:val="-1"/>
          <w:w w:val="105"/>
          <w:sz w:val="15"/>
        </w:rPr>
        <w:t>which </w:t>
      </w:r>
      <w:r>
        <w:rPr>
          <w:rFonts w:ascii="Arial"/>
          <w:color w:val="464446"/>
          <w:spacing w:val="-1"/>
          <w:w w:val="105"/>
          <w:sz w:val="15"/>
        </w:rPr>
        <w:t>is </w:t>
      </w:r>
      <w:r>
        <w:rPr>
          <w:color w:val="363436"/>
          <w:spacing w:val="-1"/>
          <w:w w:val="105"/>
          <w:sz w:val="15"/>
        </w:rPr>
        <w:t>an</w:t>
      </w:r>
      <w:r>
        <w:rPr>
          <w:color w:val="363436"/>
          <w:w w:val="105"/>
          <w:sz w:val="15"/>
        </w:rPr>
        <w:t> </w:t>
      </w:r>
      <w:r>
        <w:rPr>
          <w:color w:val="464446"/>
          <w:w w:val="110"/>
          <w:sz w:val="15"/>
        </w:rPr>
        <w:t>acceptable</w:t>
      </w:r>
      <w:r>
        <w:rPr>
          <w:color w:val="464446"/>
          <w:spacing w:val="1"/>
          <w:w w:val="110"/>
          <w:sz w:val="15"/>
        </w:rPr>
        <w:t> </w:t>
      </w:r>
      <w:r>
        <w:rPr>
          <w:rFonts w:ascii="Arial"/>
          <w:b/>
          <w:color w:val="464446"/>
          <w:sz w:val="13"/>
        </w:rPr>
        <w:t>convention</w:t>
      </w:r>
      <w:r>
        <w:rPr>
          <w:rFonts w:ascii="Arial"/>
          <w:b/>
          <w:color w:val="464446"/>
          <w:spacing w:val="-13"/>
          <w:sz w:val="13"/>
        </w:rPr>
        <w:t> </w:t>
      </w:r>
      <w:r>
        <w:rPr>
          <w:rFonts w:ascii="Arial"/>
          <w:b/>
          <w:color w:val="464446"/>
          <w:sz w:val="13"/>
        </w:rPr>
        <w:t>in</w:t>
      </w:r>
    </w:p>
    <w:p>
      <w:pPr>
        <w:spacing w:before="20"/>
        <w:ind w:left="267" w:right="194" w:firstLine="0"/>
        <w:jc w:val="left"/>
        <w:rPr>
          <w:sz w:val="15"/>
        </w:rPr>
      </w:pPr>
      <w:r>
        <w:rPr>
          <w:color w:val="363436"/>
          <w:sz w:val="15"/>
        </w:rPr>
        <w:t>the</w:t>
      </w:r>
      <w:r>
        <w:rPr>
          <w:color w:val="363436"/>
          <w:spacing w:val="1"/>
          <w:sz w:val="15"/>
        </w:rPr>
        <w:t> </w:t>
      </w:r>
      <w:r>
        <w:rPr>
          <w:color w:val="464446"/>
          <w:sz w:val="15"/>
        </w:rPr>
        <w:t>summary of</w:t>
      </w:r>
      <w:r>
        <w:rPr>
          <w:color w:val="464446"/>
          <w:spacing w:val="-35"/>
          <w:sz w:val="15"/>
        </w:rPr>
        <w:t> </w:t>
      </w:r>
      <w:r>
        <w:rPr>
          <w:color w:val="464446"/>
          <w:w w:val="105"/>
          <w:sz w:val="15"/>
        </w:rPr>
        <w:t>the</w:t>
      </w:r>
      <w:r>
        <w:rPr>
          <w:color w:val="464446"/>
          <w:spacing w:val="24"/>
          <w:w w:val="105"/>
          <w:sz w:val="15"/>
        </w:rPr>
        <w:t> </w:t>
      </w:r>
      <w:r>
        <w:rPr>
          <w:color w:val="464446"/>
          <w:w w:val="105"/>
          <w:sz w:val="15"/>
        </w:rPr>
        <w:t>argument.</w:t>
      </w:r>
    </w:p>
    <w:p>
      <w:pPr>
        <w:pStyle w:val="ListParagraph"/>
        <w:numPr>
          <w:ilvl w:val="0"/>
          <w:numId w:val="84"/>
        </w:numPr>
        <w:tabs>
          <w:tab w:pos="276" w:val="left" w:leader="none"/>
        </w:tabs>
        <w:spacing w:line="184" w:lineRule="exact" w:before="69" w:after="0"/>
        <w:ind w:left="275" w:right="0" w:hanging="187"/>
        <w:jc w:val="left"/>
        <w:rPr>
          <w:rFonts w:ascii="Arial"/>
          <w:b/>
          <w:color w:val="363436"/>
          <w:sz w:val="16"/>
        </w:rPr>
      </w:pPr>
      <w:r>
        <w:rPr>
          <w:color w:val="363436"/>
          <w:w w:val="105"/>
          <w:sz w:val="15"/>
        </w:rPr>
        <w:t>In</w:t>
      </w:r>
      <w:r>
        <w:rPr>
          <w:color w:val="363436"/>
          <w:spacing w:val="-11"/>
          <w:w w:val="105"/>
          <w:sz w:val="15"/>
        </w:rPr>
        <w:t> </w:t>
      </w:r>
      <w:r>
        <w:rPr>
          <w:color w:val="363436"/>
          <w:w w:val="105"/>
          <w:sz w:val="15"/>
        </w:rPr>
        <w:t>this</w:t>
      </w:r>
    </w:p>
    <w:p>
      <w:pPr>
        <w:spacing w:line="252" w:lineRule="auto" w:before="0"/>
        <w:ind w:left="264" w:right="239" w:firstLine="5"/>
        <w:jc w:val="left"/>
        <w:rPr>
          <w:sz w:val="15"/>
        </w:rPr>
      </w:pPr>
      <w:r>
        <w:rPr>
          <w:color w:val="363436"/>
          <w:w w:val="110"/>
          <w:sz w:val="15"/>
        </w:rPr>
        <w:t>paragraph, the</w:t>
      </w:r>
      <w:r>
        <w:rPr>
          <w:color w:val="363436"/>
          <w:spacing w:val="1"/>
          <w:w w:val="110"/>
          <w:sz w:val="15"/>
        </w:rPr>
        <w:t> </w:t>
      </w:r>
      <w:r>
        <w:rPr>
          <w:color w:val="464446"/>
          <w:sz w:val="15"/>
        </w:rPr>
        <w:t>writer</w:t>
      </w:r>
      <w:r>
        <w:rPr>
          <w:color w:val="464446"/>
          <w:spacing w:val="2"/>
          <w:sz w:val="15"/>
        </w:rPr>
        <w:t> </w:t>
      </w:r>
      <w:r>
        <w:rPr>
          <w:rFonts w:ascii="Arial"/>
          <w:color w:val="464446"/>
          <w:sz w:val="14"/>
        </w:rPr>
        <w:t>connects</w:t>
      </w:r>
      <w:r>
        <w:rPr>
          <w:rFonts w:ascii="Arial"/>
          <w:color w:val="464446"/>
          <w:spacing w:val="1"/>
          <w:sz w:val="14"/>
        </w:rPr>
        <w:t> </w:t>
      </w:r>
      <w:r>
        <w:rPr>
          <w:color w:val="464446"/>
          <w:w w:val="105"/>
          <w:sz w:val="15"/>
        </w:rPr>
        <w:t>the</w:t>
      </w:r>
      <w:r>
        <w:rPr>
          <w:color w:val="464446"/>
          <w:spacing w:val="1"/>
          <w:w w:val="105"/>
          <w:sz w:val="15"/>
        </w:rPr>
        <w:t> </w:t>
      </w:r>
      <w:r>
        <w:rPr>
          <w:rFonts w:ascii="Arial"/>
          <w:color w:val="464446"/>
          <w:w w:val="105"/>
          <w:sz w:val="13"/>
        </w:rPr>
        <w:t>facts </w:t>
      </w:r>
      <w:r>
        <w:rPr>
          <w:color w:val="363436"/>
          <w:w w:val="105"/>
          <w:sz w:val="15"/>
        </w:rPr>
        <w:t>to her</w:t>
      </w:r>
      <w:r>
        <w:rPr>
          <w:color w:val="363436"/>
          <w:spacing w:val="1"/>
          <w:w w:val="105"/>
          <w:sz w:val="15"/>
        </w:rPr>
        <w:t> </w:t>
      </w:r>
      <w:r>
        <w:rPr>
          <w:color w:val="363436"/>
          <w:spacing w:val="-1"/>
          <w:w w:val="105"/>
          <w:sz w:val="15"/>
        </w:rPr>
        <w:t>legal </w:t>
      </w:r>
      <w:r>
        <w:rPr>
          <w:color w:val="464446"/>
          <w:spacing w:val="-1"/>
          <w:w w:val="105"/>
          <w:sz w:val="15"/>
        </w:rPr>
        <w:t>conclusion</w:t>
      </w:r>
      <w:r>
        <w:rPr>
          <w:color w:val="464446"/>
          <w:spacing w:val="-37"/>
          <w:w w:val="105"/>
          <w:sz w:val="15"/>
        </w:rPr>
        <w:t> </w:t>
      </w:r>
      <w:r>
        <w:rPr>
          <w:rFonts w:ascii="Arial"/>
          <w:color w:val="464446"/>
          <w:w w:val="110"/>
          <w:sz w:val="14"/>
        </w:rPr>
        <w:t>that </w:t>
      </w:r>
      <w:r>
        <w:rPr>
          <w:rFonts w:ascii="Arial"/>
          <w:color w:val="363436"/>
          <w:w w:val="110"/>
          <w:sz w:val="14"/>
        </w:rPr>
        <w:t>the</w:t>
      </w:r>
      <w:r>
        <w:rPr>
          <w:rFonts w:ascii="Arial"/>
          <w:color w:val="363436"/>
          <w:spacing w:val="1"/>
          <w:w w:val="110"/>
          <w:sz w:val="14"/>
        </w:rPr>
        <w:t> </w:t>
      </w:r>
      <w:r>
        <w:rPr>
          <w:color w:val="363436"/>
          <w:w w:val="110"/>
          <w:sz w:val="15"/>
        </w:rPr>
        <w:t>Respondents</w:t>
      </w:r>
      <w:r>
        <w:rPr>
          <w:color w:val="363436"/>
          <w:spacing w:val="1"/>
          <w:w w:val="110"/>
          <w:sz w:val="15"/>
        </w:rPr>
        <w:t> </w:t>
      </w:r>
      <w:r>
        <w:rPr>
          <w:color w:val="464446"/>
          <w:w w:val="110"/>
          <w:sz w:val="15"/>
        </w:rPr>
        <w:t>can </w:t>
      </w:r>
      <w:r>
        <w:rPr>
          <w:color w:val="363436"/>
          <w:w w:val="110"/>
          <w:sz w:val="15"/>
        </w:rPr>
        <w:t>claim </w:t>
      </w:r>
      <w:r>
        <w:rPr>
          <w:color w:val="464446"/>
          <w:w w:val="110"/>
          <w:sz w:val="15"/>
        </w:rPr>
        <w:t>no</w:t>
      </w:r>
      <w:r>
        <w:rPr>
          <w:color w:val="464446"/>
          <w:spacing w:val="1"/>
          <w:w w:val="110"/>
          <w:sz w:val="15"/>
        </w:rPr>
        <w:t> </w:t>
      </w:r>
      <w:r>
        <w:rPr>
          <w:color w:val="363436"/>
          <w:w w:val="110"/>
          <w:sz w:val="15"/>
        </w:rPr>
        <w:t>subjective</w:t>
      </w:r>
      <w:r>
        <w:rPr>
          <w:color w:val="363436"/>
          <w:spacing w:val="1"/>
          <w:w w:val="110"/>
          <w:sz w:val="15"/>
        </w:rPr>
        <w:t> </w:t>
      </w:r>
      <w:r>
        <w:rPr>
          <w:color w:val="363436"/>
          <w:w w:val="110"/>
          <w:sz w:val="15"/>
        </w:rPr>
        <w:t>expectation </w:t>
      </w:r>
      <w:r>
        <w:rPr>
          <w:color w:val="464446"/>
          <w:w w:val="110"/>
          <w:sz w:val="15"/>
        </w:rPr>
        <w:t>of</w:t>
      </w:r>
      <w:r>
        <w:rPr>
          <w:color w:val="464446"/>
          <w:spacing w:val="1"/>
          <w:w w:val="110"/>
          <w:sz w:val="15"/>
        </w:rPr>
        <w:t> </w:t>
      </w:r>
      <w:r>
        <w:rPr>
          <w:color w:val="363436"/>
          <w:w w:val="110"/>
          <w:sz w:val="15"/>
        </w:rPr>
        <w:t>privacy.</w:t>
      </w:r>
    </w:p>
    <w:p>
      <w:pPr>
        <w:pStyle w:val="ListParagraph"/>
        <w:numPr>
          <w:ilvl w:val="0"/>
          <w:numId w:val="84"/>
        </w:numPr>
        <w:tabs>
          <w:tab w:pos="313" w:val="left" w:leader="none"/>
        </w:tabs>
        <w:spacing w:line="240" w:lineRule="auto" w:before="59" w:after="0"/>
        <w:ind w:left="312" w:right="0" w:hanging="192"/>
        <w:jc w:val="left"/>
        <w:rPr>
          <w:rFonts w:ascii="Arial"/>
          <w:b/>
          <w:color w:val="363436"/>
          <w:sz w:val="15"/>
        </w:rPr>
      </w:pPr>
      <w:r>
        <w:rPr>
          <w:color w:val="464446"/>
          <w:w w:val="115"/>
          <w:sz w:val="15"/>
        </w:rPr>
        <w:t>ln'this</w:t>
      </w:r>
    </w:p>
    <w:p>
      <w:pPr>
        <w:spacing w:line="249" w:lineRule="auto" w:before="1"/>
        <w:ind w:left="326" w:right="194" w:firstLine="1"/>
        <w:jc w:val="left"/>
        <w:rPr>
          <w:sz w:val="15"/>
        </w:rPr>
      </w:pPr>
      <w:r>
        <w:rPr>
          <w:color w:val="363436"/>
          <w:w w:val="110"/>
          <w:sz w:val="15"/>
        </w:rPr>
        <w:t>paragraph.</w:t>
      </w:r>
      <w:r>
        <w:rPr>
          <w:color w:val="363436"/>
          <w:spacing w:val="6"/>
          <w:w w:val="110"/>
          <w:sz w:val="15"/>
        </w:rPr>
        <w:t> </w:t>
      </w:r>
      <w:r>
        <w:rPr>
          <w:color w:val="363436"/>
          <w:w w:val="110"/>
          <w:sz w:val="15"/>
        </w:rPr>
        <w:t>the</w:t>
      </w:r>
      <w:r>
        <w:rPr>
          <w:color w:val="363436"/>
          <w:spacing w:val="1"/>
          <w:w w:val="110"/>
          <w:sz w:val="15"/>
        </w:rPr>
        <w:t> </w:t>
      </w:r>
      <w:r>
        <w:rPr>
          <w:color w:val="363436"/>
          <w:spacing w:val="-1"/>
          <w:w w:val="110"/>
          <w:sz w:val="15"/>
        </w:rPr>
        <w:t>writer</w:t>
      </w:r>
      <w:r>
        <w:rPr>
          <w:color w:val="363436"/>
          <w:spacing w:val="-10"/>
          <w:w w:val="110"/>
          <w:sz w:val="15"/>
        </w:rPr>
        <w:t> </w:t>
      </w:r>
      <w:r>
        <w:rPr>
          <w:color w:val="464446"/>
          <w:w w:val="110"/>
          <w:sz w:val="15"/>
        </w:rPr>
        <w:t>gives</w:t>
      </w:r>
      <w:r>
        <w:rPr>
          <w:color w:val="464446"/>
          <w:spacing w:val="-16"/>
          <w:w w:val="110"/>
          <w:sz w:val="15"/>
        </w:rPr>
        <w:t> </w:t>
      </w:r>
      <w:r>
        <w:rPr>
          <w:color w:val="363436"/>
          <w:w w:val="110"/>
          <w:sz w:val="15"/>
        </w:rPr>
        <w:t>the</w:t>
      </w:r>
      <w:r>
        <w:rPr>
          <w:color w:val="363436"/>
          <w:spacing w:val="-38"/>
          <w:w w:val="110"/>
          <w:sz w:val="15"/>
        </w:rPr>
        <w:t> </w:t>
      </w:r>
      <w:r>
        <w:rPr>
          <w:color w:val="464446"/>
          <w:w w:val="110"/>
          <w:sz w:val="15"/>
        </w:rPr>
        <w:t>factual details</w:t>
      </w:r>
      <w:r>
        <w:rPr>
          <w:color w:val="464446"/>
          <w:spacing w:val="1"/>
          <w:w w:val="110"/>
          <w:sz w:val="15"/>
        </w:rPr>
        <w:t> </w:t>
      </w:r>
      <w:r>
        <w:rPr>
          <w:color w:val="464446"/>
          <w:w w:val="115"/>
          <w:sz w:val="15"/>
        </w:rPr>
        <w:t>that</w:t>
      </w:r>
      <w:r>
        <w:rPr>
          <w:color w:val="464446"/>
          <w:spacing w:val="-19"/>
          <w:w w:val="115"/>
          <w:sz w:val="15"/>
        </w:rPr>
        <w:t> </w:t>
      </w:r>
      <w:r>
        <w:rPr>
          <w:color w:val="464446"/>
          <w:w w:val="115"/>
          <w:sz w:val="15"/>
        </w:rPr>
        <w:t>show</w:t>
      </w:r>
    </w:p>
    <w:p>
      <w:pPr>
        <w:spacing w:line="252" w:lineRule="auto" w:before="0"/>
        <w:ind w:left="364" w:right="250" w:hanging="10"/>
        <w:jc w:val="left"/>
        <w:rPr>
          <w:sz w:val="15"/>
        </w:rPr>
      </w:pPr>
      <w:r>
        <w:rPr>
          <w:color w:val="464446"/>
          <w:w w:val="105"/>
          <w:sz w:val="15"/>
        </w:rPr>
        <w:t>why</w:t>
      </w:r>
      <w:r>
        <w:rPr>
          <w:color w:val="464446"/>
          <w:spacing w:val="-8"/>
          <w:w w:val="105"/>
          <w:sz w:val="15"/>
        </w:rPr>
        <w:t> </w:t>
      </w:r>
      <w:r>
        <w:rPr>
          <w:color w:val="464446"/>
          <w:w w:val="105"/>
          <w:sz w:val="15"/>
        </w:rPr>
        <w:t>society</w:t>
      </w:r>
      <w:r>
        <w:rPr>
          <w:color w:val="464446"/>
          <w:spacing w:val="10"/>
          <w:w w:val="105"/>
          <w:sz w:val="15"/>
        </w:rPr>
        <w:t> </w:t>
      </w:r>
      <w:r>
        <w:rPr>
          <w:color w:val="464446"/>
          <w:w w:val="105"/>
          <w:sz w:val="15"/>
        </w:rPr>
        <w:t>is</w:t>
      </w:r>
      <w:r>
        <w:rPr>
          <w:color w:val="464446"/>
          <w:spacing w:val="-36"/>
          <w:w w:val="105"/>
          <w:sz w:val="15"/>
        </w:rPr>
        <w:t> </w:t>
      </w:r>
      <w:r>
        <w:rPr>
          <w:color w:val="464446"/>
          <w:w w:val="110"/>
          <w:sz w:val="15"/>
        </w:rPr>
        <w:t>not</w:t>
      </w:r>
      <w:r>
        <w:rPr>
          <w:color w:val="464446"/>
          <w:spacing w:val="1"/>
          <w:w w:val="110"/>
          <w:sz w:val="15"/>
        </w:rPr>
        <w:t> </w:t>
      </w:r>
      <w:r>
        <w:rPr>
          <w:color w:val="363436"/>
          <w:w w:val="110"/>
          <w:sz w:val="15"/>
        </w:rPr>
        <w:t>p</w:t>
      </w:r>
      <w:r>
        <w:rPr>
          <w:color w:val="6B6B6E"/>
          <w:w w:val="110"/>
          <w:sz w:val="15"/>
        </w:rPr>
        <w:t>r</w:t>
      </w:r>
      <w:r>
        <w:rPr>
          <w:color w:val="464446"/>
          <w:w w:val="110"/>
          <w:sz w:val="15"/>
        </w:rPr>
        <w:t>epared</w:t>
      </w:r>
      <w:r>
        <w:rPr>
          <w:color w:val="464446"/>
          <w:spacing w:val="1"/>
          <w:w w:val="110"/>
          <w:sz w:val="15"/>
        </w:rPr>
        <w:t> </w:t>
      </w:r>
      <w:r>
        <w:rPr>
          <w:color w:val="363436"/>
          <w:w w:val="110"/>
          <w:sz w:val="15"/>
        </w:rPr>
        <w:t>lo</w:t>
      </w:r>
      <w:r>
        <w:rPr>
          <w:color w:val="363436"/>
          <w:spacing w:val="1"/>
          <w:w w:val="110"/>
          <w:sz w:val="15"/>
        </w:rPr>
        <w:t> </w:t>
      </w:r>
      <w:r>
        <w:rPr>
          <w:color w:val="363436"/>
          <w:w w:val="110"/>
          <w:sz w:val="15"/>
        </w:rPr>
        <w:t>recognize</w:t>
      </w:r>
      <w:r>
        <w:rPr>
          <w:color w:val="363436"/>
          <w:spacing w:val="1"/>
          <w:w w:val="110"/>
          <w:sz w:val="15"/>
        </w:rPr>
        <w:t> </w:t>
      </w:r>
      <w:r>
        <w:rPr>
          <w:color w:val="464446"/>
          <w:w w:val="110"/>
          <w:sz w:val="15"/>
        </w:rPr>
        <w:t>Respondents'</w:t>
      </w:r>
      <w:r>
        <w:rPr>
          <w:color w:val="464446"/>
          <w:spacing w:val="1"/>
          <w:w w:val="110"/>
          <w:sz w:val="15"/>
        </w:rPr>
        <w:t> </w:t>
      </w:r>
      <w:r>
        <w:rPr>
          <w:rFonts w:ascii="Arial"/>
          <w:color w:val="464446"/>
          <w:w w:val="110"/>
          <w:sz w:val="14"/>
        </w:rPr>
        <w:t>expectation</w:t>
      </w:r>
      <w:r>
        <w:rPr>
          <w:rFonts w:ascii="Arial"/>
          <w:color w:val="464446"/>
          <w:spacing w:val="1"/>
          <w:w w:val="110"/>
          <w:sz w:val="14"/>
        </w:rPr>
        <w:t> </w:t>
      </w:r>
      <w:r>
        <w:rPr>
          <w:rFonts w:ascii="Arial"/>
          <w:color w:val="464446"/>
          <w:w w:val="105"/>
          <w:sz w:val="14"/>
        </w:rPr>
        <w:t>of </w:t>
      </w:r>
      <w:r>
        <w:rPr>
          <w:color w:val="464446"/>
          <w:w w:val="105"/>
          <w:sz w:val="15"/>
        </w:rPr>
        <w:t>privacy </w:t>
      </w:r>
      <w:r>
        <w:rPr>
          <w:rFonts w:ascii="Arial"/>
          <w:color w:val="464446"/>
          <w:w w:val="105"/>
          <w:sz w:val="11"/>
        </w:rPr>
        <w:t>.is</w:t>
      </w:r>
      <w:r>
        <w:rPr>
          <w:rFonts w:ascii="Arial"/>
          <w:color w:val="464446"/>
          <w:spacing w:val="1"/>
          <w:w w:val="105"/>
          <w:sz w:val="11"/>
        </w:rPr>
        <w:t> </w:t>
      </w:r>
      <w:r>
        <w:rPr>
          <w:color w:val="464446"/>
          <w:w w:val="110"/>
          <w:sz w:val="15"/>
        </w:rPr>
        <w:t>reasonable</w:t>
      </w:r>
      <w:r>
        <w:rPr>
          <w:color w:val="6B6B6E"/>
          <w:w w:val="110"/>
          <w:sz w:val="15"/>
        </w:rPr>
        <w:t>.</w:t>
      </w:r>
    </w:p>
    <w:p>
      <w:pPr>
        <w:spacing w:line="249" w:lineRule="auto" w:before="11"/>
        <w:ind w:left="418" w:right="0" w:hanging="19"/>
        <w:jc w:val="left"/>
        <w:rPr>
          <w:sz w:val="15"/>
        </w:rPr>
      </w:pPr>
      <w:r>
        <w:rPr>
          <w:color w:val="464446"/>
          <w:w w:val="110"/>
          <w:sz w:val="15"/>
        </w:rPr>
        <w:t>These </w:t>
      </w:r>
      <w:r>
        <w:rPr>
          <w:color w:val="363436"/>
          <w:w w:val="110"/>
          <w:sz w:val="15"/>
        </w:rPr>
        <w:t>reasons</w:t>
      </w:r>
      <w:r>
        <w:rPr>
          <w:color w:val="363436"/>
          <w:spacing w:val="1"/>
          <w:w w:val="110"/>
          <w:sz w:val="15"/>
        </w:rPr>
        <w:t> </w:t>
      </w:r>
      <w:r>
        <w:rPr>
          <w:color w:val="363436"/>
          <w:w w:val="110"/>
          <w:sz w:val="15"/>
        </w:rPr>
        <w:t>rellect </w:t>
      </w:r>
      <w:r>
        <w:rPr>
          <w:color w:val="464446"/>
          <w:w w:val="110"/>
          <w:sz w:val="15"/>
        </w:rPr>
        <w:t>the</w:t>
      </w:r>
      <w:r>
        <w:rPr>
          <w:color w:val="464446"/>
          <w:spacing w:val="1"/>
          <w:w w:val="110"/>
          <w:sz w:val="15"/>
        </w:rPr>
        <w:t> </w:t>
      </w:r>
      <w:r>
        <w:rPr>
          <w:color w:val="464446"/>
          <w:w w:val="115"/>
          <w:sz w:val="15"/>
        </w:rPr>
        <w:t>organ</w:t>
      </w:r>
      <w:r>
        <w:rPr>
          <w:color w:val="6B6B6E"/>
          <w:w w:val="115"/>
          <w:sz w:val="15"/>
        </w:rPr>
        <w:t>i</w:t>
      </w:r>
      <w:r>
        <w:rPr>
          <w:color w:val="363436"/>
          <w:w w:val="115"/>
          <w:sz w:val="15"/>
        </w:rPr>
        <w:t>l</w:t>
      </w:r>
      <w:r>
        <w:rPr>
          <w:color w:val="363436"/>
          <w:spacing w:val="9"/>
          <w:w w:val="115"/>
          <w:sz w:val="15"/>
        </w:rPr>
        <w:t> </w:t>
      </w:r>
      <w:r>
        <w:rPr>
          <w:color w:val="363436"/>
          <w:w w:val="115"/>
          <w:sz w:val="15"/>
        </w:rPr>
        <w:t>tion</w:t>
      </w:r>
      <w:r>
        <w:rPr>
          <w:color w:val="363436"/>
          <w:spacing w:val="-1"/>
          <w:w w:val="115"/>
          <w:sz w:val="15"/>
        </w:rPr>
        <w:t> </w:t>
      </w:r>
      <w:r>
        <w:rPr>
          <w:rFonts w:ascii="Arial"/>
          <w:color w:val="464446"/>
          <w:w w:val="115"/>
          <w:sz w:val="14"/>
        </w:rPr>
        <w:t>of</w:t>
      </w:r>
      <w:r>
        <w:rPr>
          <w:rFonts w:ascii="Arial"/>
          <w:color w:val="464446"/>
          <w:spacing w:val="-41"/>
          <w:w w:val="115"/>
          <w:sz w:val="14"/>
        </w:rPr>
        <w:t> </w:t>
      </w:r>
      <w:r>
        <w:rPr>
          <w:color w:val="464446"/>
          <w:w w:val="115"/>
          <w:sz w:val="15"/>
        </w:rPr>
        <w:t>her</w:t>
      </w:r>
      <w:r>
        <w:rPr>
          <w:color w:val="464446"/>
          <w:spacing w:val="-15"/>
          <w:w w:val="115"/>
          <w:sz w:val="15"/>
        </w:rPr>
        <w:t> </w:t>
      </w:r>
      <w:r>
        <w:rPr>
          <w:color w:val="363436"/>
          <w:w w:val="115"/>
          <w:sz w:val="15"/>
        </w:rPr>
        <w:t>argument.</w:t>
      </w:r>
    </w:p>
    <w:p>
      <w:pPr>
        <w:spacing w:after="0" w:line="249" w:lineRule="auto"/>
        <w:jc w:val="left"/>
        <w:rPr>
          <w:sz w:val="15"/>
        </w:rPr>
        <w:sectPr>
          <w:pgSz w:w="9760" w:h="14000"/>
          <w:pgMar w:header="510" w:footer="0" w:top="1100" w:bottom="0" w:left="240" w:right="420"/>
          <w:cols w:num="2" w:equalWidth="0">
            <w:col w:w="7525" w:space="40"/>
            <w:col w:w="1535"/>
          </w:cols>
        </w:sectPr>
      </w:pPr>
    </w:p>
    <w:p>
      <w:pPr>
        <w:spacing w:after="0" w:line="249" w:lineRule="auto"/>
        <w:jc w:val="left"/>
        <w:rPr>
          <w:sz w:val="15"/>
        </w:rPr>
        <w:sectPr>
          <w:type w:val="continuous"/>
          <w:pgSz w:w="9760" w:h="14000"/>
          <w:pgMar w:header="543" w:footer="0" w:top="340" w:bottom="280" w:left="240" w:right="420"/>
        </w:sectPr>
      </w:pPr>
    </w:p>
    <w:p>
      <w:pPr>
        <w:pStyle w:val="BodyText"/>
        <w:spacing w:before="1"/>
        <w:rPr>
          <w:sz w:val="16"/>
        </w:rPr>
      </w:pPr>
    </w:p>
    <w:p>
      <w:pPr>
        <w:tabs>
          <w:tab w:pos="725" w:val="left" w:leader="none"/>
        </w:tabs>
        <w:spacing w:line="244" w:lineRule="auto" w:before="0"/>
        <w:ind w:left="208" w:right="43" w:hanging="43"/>
        <w:jc w:val="right"/>
        <w:rPr>
          <w:sz w:val="15"/>
        </w:rPr>
      </w:pPr>
      <w:r>
        <w:rPr>
          <w:rFonts w:ascii="Arial"/>
          <w:b/>
          <w:color w:val="3A383A"/>
          <w:w w:val="105"/>
          <w:sz w:val="16"/>
        </w:rPr>
        <w:t>S</w:t>
      </w:r>
      <w:r>
        <w:rPr>
          <w:rFonts w:ascii="Arial"/>
          <w:b/>
          <w:color w:val="3A383A"/>
          <w:spacing w:val="1"/>
          <w:w w:val="105"/>
          <w:sz w:val="16"/>
        </w:rPr>
        <w:t> </w:t>
      </w:r>
      <w:r>
        <w:rPr>
          <w:color w:val="3A383A"/>
          <w:w w:val="105"/>
          <w:sz w:val="15"/>
        </w:rPr>
        <w:t>In thi</w:t>
      </w:r>
      <w:r>
        <w:rPr>
          <w:color w:val="565657"/>
          <w:w w:val="105"/>
          <w:sz w:val="15"/>
        </w:rPr>
        <w:t>s </w:t>
      </w:r>
      <w:r>
        <w:rPr>
          <w:color w:val="3A383A"/>
          <w:w w:val="105"/>
          <w:sz w:val="15"/>
        </w:rPr>
        <w:t>paragraph</w:t>
      </w:r>
      <w:r>
        <w:rPr>
          <w:color w:val="565657"/>
          <w:w w:val="105"/>
          <w:sz w:val="15"/>
        </w:rPr>
        <w:t>,</w:t>
      </w:r>
      <w:r>
        <w:rPr>
          <w:color w:val="565657"/>
          <w:spacing w:val="-37"/>
          <w:w w:val="105"/>
          <w:sz w:val="15"/>
        </w:rPr>
        <w:t> </w:t>
      </w:r>
      <w:r>
        <w:rPr>
          <w:color w:val="3A383A"/>
          <w:w w:val="105"/>
          <w:sz w:val="15"/>
        </w:rPr>
        <w:t>the</w:t>
      </w:r>
      <w:r>
        <w:rPr>
          <w:color w:val="3A383A"/>
          <w:spacing w:val="38"/>
          <w:w w:val="105"/>
          <w:sz w:val="15"/>
        </w:rPr>
        <w:t> </w:t>
      </w:r>
      <w:r>
        <w:rPr>
          <w:color w:val="3A383A"/>
          <w:w w:val="105"/>
          <w:sz w:val="15"/>
        </w:rPr>
        <w:t>writer</w:t>
      </w:r>
      <w:r>
        <w:rPr>
          <w:color w:val="3A383A"/>
          <w:spacing w:val="-19"/>
          <w:w w:val="105"/>
          <w:sz w:val="15"/>
        </w:rPr>
        <w:t> </w:t>
      </w:r>
      <w:r>
        <w:rPr>
          <w:rFonts w:ascii="Arial"/>
          <w:color w:val="3A383A"/>
          <w:w w:val="105"/>
          <w:sz w:val="13"/>
        </w:rPr>
        <w:t>la</w:t>
      </w:r>
      <w:r>
        <w:rPr>
          <w:rFonts w:ascii="Arial"/>
          <w:color w:val="3A383A"/>
          <w:spacing w:val="16"/>
          <w:w w:val="105"/>
          <w:sz w:val="13"/>
        </w:rPr>
        <w:t> </w:t>
      </w:r>
      <w:r>
        <w:rPr>
          <w:color w:val="3A383A"/>
          <w:w w:val="105"/>
          <w:sz w:val="15"/>
        </w:rPr>
        <w:t>out</w:t>
      </w:r>
      <w:r>
        <w:rPr>
          <w:color w:val="3A383A"/>
          <w:spacing w:val="8"/>
          <w:w w:val="105"/>
          <w:sz w:val="15"/>
        </w:rPr>
        <w:t> </w:t>
      </w:r>
      <w:r>
        <w:rPr>
          <w:color w:val="3A383A"/>
          <w:w w:val="105"/>
          <w:sz w:val="15"/>
        </w:rPr>
        <w:t>in</w:t>
      </w:r>
      <w:r>
        <w:rPr>
          <w:color w:val="3A383A"/>
          <w:spacing w:val="-37"/>
          <w:w w:val="105"/>
          <w:sz w:val="15"/>
        </w:rPr>
        <w:t> </w:t>
      </w:r>
      <w:r>
        <w:rPr>
          <w:color w:val="565657"/>
          <w:spacing w:val="-1"/>
          <w:w w:val="221"/>
          <w:sz w:val="15"/>
        </w:rPr>
        <w:t>t</w:t>
      </w:r>
      <w:r>
        <w:rPr>
          <w:color w:val="3A383A"/>
          <w:w w:val="221"/>
          <w:sz w:val="15"/>
        </w:rPr>
        <w:t>a</w:t>
      </w:r>
      <w:r>
        <w:rPr>
          <w:color w:val="3A383A"/>
          <w:spacing w:val="-1"/>
          <w:w w:val="221"/>
          <w:sz w:val="15"/>
        </w:rPr>
        <w:t>i</w:t>
      </w:r>
      <w:r>
        <w:rPr>
          <w:color w:val="3A383A"/>
          <w:w w:val="221"/>
          <w:sz w:val="15"/>
        </w:rPr>
        <w:t>l</w:t>
      </w:r>
      <w:r>
        <w:rPr>
          <w:color w:val="3A383A"/>
          <w:spacing w:val="-3"/>
          <w:sz w:val="15"/>
        </w:rPr>
        <w:t> </w:t>
      </w:r>
      <w:r>
        <w:rPr>
          <w:color w:val="3A383A"/>
          <w:spacing w:val="-1"/>
          <w:w w:val="221"/>
          <w:sz w:val="15"/>
        </w:rPr>
        <w:t>t</w:t>
      </w:r>
      <w:r>
        <w:rPr>
          <w:color w:val="3A383A"/>
          <w:spacing w:val="-17"/>
          <w:w w:val="221"/>
          <w:sz w:val="15"/>
        </w:rPr>
        <w:t>h</w:t>
      </w:r>
      <w:r>
        <w:rPr>
          <w:color w:val="3A383A"/>
          <w:spacing w:val="-34"/>
          <w:w w:val="98"/>
          <w:sz w:val="15"/>
        </w:rPr>
        <w:t>r</w:t>
      </w:r>
      <w:r>
        <w:rPr>
          <w:color w:val="3A383A"/>
          <w:spacing w:val="-114"/>
          <w:w w:val="221"/>
          <w:sz w:val="15"/>
        </w:rPr>
        <w:t>e</w:t>
      </w:r>
      <w:r>
        <w:rPr>
          <w:color w:val="3A383A"/>
          <w:w w:val="98"/>
          <w:sz w:val="15"/>
        </w:rPr>
        <w:t>u</w:t>
      </w:r>
      <w:r>
        <w:rPr>
          <w:color w:val="565657"/>
          <w:w w:val="98"/>
          <w:sz w:val="15"/>
        </w:rPr>
        <w:t>le</w:t>
      </w:r>
      <w:r>
        <w:rPr>
          <w:color w:val="565657"/>
          <w:spacing w:val="1"/>
          <w:sz w:val="15"/>
        </w:rPr>
        <w:t> </w:t>
      </w:r>
      <w:r>
        <w:rPr>
          <w:color w:val="3A383A"/>
          <w:w w:val="108"/>
          <w:sz w:val="15"/>
        </w:rPr>
        <w:t>tha</w:t>
      </w:r>
      <w:r>
        <w:rPr>
          <w:color w:val="565657"/>
          <w:w w:val="108"/>
          <w:sz w:val="15"/>
        </w:rPr>
        <w:t>t </w:t>
      </w:r>
      <w:r>
        <w:rPr>
          <w:color w:val="3A383A"/>
          <w:w w:val="115"/>
          <w:sz w:val="15"/>
        </w:rPr>
        <w:t>ms</w:t>
        <w:tab/>
      </w:r>
      <w:r>
        <w:rPr>
          <w:color w:val="3A383A"/>
          <w:w w:val="110"/>
          <w:sz w:val="15"/>
        </w:rPr>
        <w:t>the second</w:t>
      </w:r>
      <w:r>
        <w:rPr>
          <w:color w:val="3A383A"/>
          <w:spacing w:val="1"/>
          <w:w w:val="110"/>
          <w:sz w:val="15"/>
        </w:rPr>
        <w:t> </w:t>
      </w:r>
      <w:r>
        <w:rPr>
          <w:color w:val="3A383A"/>
          <w:sz w:val="15"/>
        </w:rPr>
        <w:t>ma</w:t>
      </w:r>
      <w:r>
        <w:rPr>
          <w:color w:val="565657"/>
          <w:sz w:val="15"/>
        </w:rPr>
        <w:t>i</w:t>
      </w:r>
      <w:r>
        <w:rPr>
          <w:color w:val="3A383A"/>
          <w:sz w:val="15"/>
        </w:rPr>
        <w:t>n</w:t>
      </w:r>
      <w:r>
        <w:rPr>
          <w:color w:val="3A383A"/>
          <w:spacing w:val="37"/>
          <w:sz w:val="15"/>
        </w:rPr>
        <w:t> </w:t>
      </w:r>
      <w:r>
        <w:rPr>
          <w:color w:val="3A383A"/>
          <w:sz w:val="16"/>
        </w:rPr>
        <w:t>issue</w:t>
      </w:r>
      <w:r>
        <w:rPr>
          <w:color w:val="565657"/>
          <w:sz w:val="16"/>
        </w:rPr>
        <w:t>. </w:t>
      </w:r>
      <w:r>
        <w:rPr>
          <w:b/>
          <w:color w:val="3A383A"/>
          <w:sz w:val="13"/>
        </w:rPr>
        <w:t>Aga</w:t>
      </w:r>
      <w:r>
        <w:rPr>
          <w:b/>
          <w:color w:val="565657"/>
          <w:sz w:val="13"/>
        </w:rPr>
        <w:t>in</w:t>
      </w:r>
      <w:r>
        <w:rPr>
          <w:b/>
          <w:color w:val="3A383A"/>
          <w:sz w:val="13"/>
        </w:rPr>
        <w:t>,</w:t>
      </w:r>
      <w:r>
        <w:rPr>
          <w:b/>
          <w:color w:val="3A383A"/>
          <w:spacing w:val="1"/>
          <w:sz w:val="13"/>
        </w:rPr>
        <w:t> </w:t>
      </w:r>
      <w:r>
        <w:rPr>
          <w:color w:val="3A383A"/>
          <w:w w:val="105"/>
          <w:sz w:val="15"/>
        </w:rPr>
        <w:t>she</w:t>
      </w:r>
      <w:r>
        <w:rPr>
          <w:color w:val="3A383A"/>
          <w:spacing w:val="5"/>
          <w:w w:val="105"/>
          <w:sz w:val="15"/>
        </w:rPr>
        <w:t> </w:t>
      </w:r>
      <w:r>
        <w:rPr>
          <w:color w:val="3A383A"/>
          <w:w w:val="105"/>
          <w:sz w:val="15"/>
        </w:rPr>
        <w:t>does</w:t>
      </w:r>
      <w:r>
        <w:rPr>
          <w:color w:val="3A383A"/>
          <w:spacing w:val="-9"/>
          <w:w w:val="105"/>
          <w:sz w:val="15"/>
        </w:rPr>
        <w:t> </w:t>
      </w:r>
      <w:r>
        <w:rPr>
          <w:color w:val="3A383A"/>
          <w:w w:val="105"/>
          <w:sz w:val="15"/>
        </w:rPr>
        <w:t>notc</w:t>
      </w:r>
      <w:r>
        <w:rPr>
          <w:color w:val="565657"/>
          <w:w w:val="105"/>
          <w:sz w:val="15"/>
        </w:rPr>
        <w:t>i</w:t>
      </w:r>
      <w:r>
        <w:rPr>
          <w:color w:val="3A383A"/>
          <w:w w:val="105"/>
          <w:sz w:val="15"/>
        </w:rPr>
        <w:t>te</w:t>
      </w:r>
    </w:p>
    <w:p>
      <w:pPr>
        <w:spacing w:line="247" w:lineRule="auto" w:before="1"/>
        <w:ind w:left="546" w:right="38" w:hanging="126"/>
        <w:jc w:val="right"/>
        <w:rPr>
          <w:sz w:val="15"/>
        </w:rPr>
      </w:pPr>
      <w:r>
        <w:rPr>
          <w:color w:val="3A383A"/>
          <w:w w:val="105"/>
          <w:sz w:val="15"/>
        </w:rPr>
        <w:t>to</w:t>
      </w:r>
      <w:r>
        <w:rPr>
          <w:color w:val="3A383A"/>
          <w:spacing w:val="15"/>
          <w:w w:val="105"/>
          <w:sz w:val="15"/>
        </w:rPr>
        <w:t> </w:t>
      </w:r>
      <w:r>
        <w:rPr>
          <w:color w:val="3A383A"/>
          <w:w w:val="105"/>
          <w:sz w:val="15"/>
        </w:rPr>
        <w:t>authority</w:t>
      </w:r>
      <w:r>
        <w:rPr>
          <w:color w:val="3A383A"/>
          <w:spacing w:val="-6"/>
          <w:w w:val="105"/>
          <w:sz w:val="15"/>
        </w:rPr>
        <w:t> </w:t>
      </w:r>
      <w:r>
        <w:rPr>
          <w:color w:val="3A383A"/>
          <w:w w:val="105"/>
          <w:sz w:val="15"/>
        </w:rPr>
        <w:t>other</w:t>
      </w:r>
      <w:r>
        <w:rPr>
          <w:color w:val="3A383A"/>
          <w:spacing w:val="-36"/>
          <w:w w:val="105"/>
          <w:sz w:val="15"/>
        </w:rPr>
        <w:t> </w:t>
      </w:r>
      <w:r>
        <w:rPr>
          <w:color w:val="3A383A"/>
          <w:w w:val="105"/>
          <w:sz w:val="15"/>
        </w:rPr>
        <w:t>than </w:t>
      </w:r>
      <w:r>
        <w:rPr>
          <w:color w:val="3A383A"/>
          <w:w w:val="105"/>
          <w:sz w:val="14"/>
        </w:rPr>
        <w:t>the</w:t>
      </w:r>
      <w:r>
        <w:rPr>
          <w:color w:val="3A383A"/>
          <w:spacing w:val="1"/>
          <w:w w:val="105"/>
          <w:sz w:val="14"/>
        </w:rPr>
        <w:t> </w:t>
      </w:r>
      <w:r>
        <w:rPr>
          <w:color w:val="3A383A"/>
          <w:w w:val="105"/>
          <w:sz w:val="15"/>
        </w:rPr>
        <w:t>Founh</w:t>
      </w:r>
      <w:r>
        <w:rPr>
          <w:color w:val="3A383A"/>
          <w:spacing w:val="-37"/>
          <w:w w:val="105"/>
          <w:sz w:val="15"/>
        </w:rPr>
        <w:t> </w:t>
      </w:r>
      <w:r>
        <w:rPr>
          <w:color w:val="3A383A"/>
          <w:w w:val="105"/>
          <w:sz w:val="15"/>
        </w:rPr>
        <w:t>Amendment</w:t>
      </w:r>
      <w:r>
        <w:rPr>
          <w:color w:val="565657"/>
          <w:w w:val="105"/>
          <w:sz w:val="15"/>
        </w:rPr>
        <w:t>.</w:t>
      </w:r>
    </w:p>
    <w:p>
      <w:pPr>
        <w:pStyle w:val="ListParagraph"/>
        <w:numPr>
          <w:ilvl w:val="0"/>
          <w:numId w:val="85"/>
        </w:numPr>
        <w:tabs>
          <w:tab w:pos="390" w:val="left" w:leader="none"/>
        </w:tabs>
        <w:spacing w:line="247" w:lineRule="auto" w:before="131" w:after="0"/>
        <w:ind w:left="421" w:right="38" w:hanging="304"/>
        <w:jc w:val="right"/>
        <w:rPr>
          <w:rFonts w:ascii="Arial"/>
          <w:sz w:val="13"/>
        </w:rPr>
      </w:pPr>
      <w:r>
        <w:rPr>
          <w:color w:val="3A383A"/>
          <w:w w:val="105"/>
          <w:sz w:val="15"/>
        </w:rPr>
        <w:t>In th</w:t>
      </w:r>
      <w:r>
        <w:rPr>
          <w:color w:val="565657"/>
          <w:w w:val="105"/>
          <w:sz w:val="15"/>
        </w:rPr>
        <w:t>i</w:t>
      </w:r>
      <w:r>
        <w:rPr>
          <w:color w:val="3A383A"/>
          <w:w w:val="105"/>
          <w:sz w:val="15"/>
        </w:rPr>
        <w:t>s</w:t>
      </w:r>
      <w:r>
        <w:rPr>
          <w:color w:val="3A383A"/>
          <w:spacing w:val="1"/>
          <w:w w:val="105"/>
          <w:sz w:val="15"/>
        </w:rPr>
        <w:t> </w:t>
      </w:r>
      <w:r>
        <w:rPr>
          <w:color w:val="3A383A"/>
          <w:w w:val="105"/>
          <w:sz w:val="15"/>
        </w:rPr>
        <w:t>paragraph,</w:t>
      </w:r>
      <w:r>
        <w:rPr>
          <w:color w:val="3A383A"/>
          <w:spacing w:val="-38"/>
          <w:w w:val="105"/>
          <w:sz w:val="15"/>
        </w:rPr>
        <w:t> </w:t>
      </w:r>
      <w:r>
        <w:rPr>
          <w:color w:val="3A383A"/>
          <w:w w:val="105"/>
          <w:sz w:val="15"/>
        </w:rPr>
        <w:t>th</w:t>
      </w:r>
      <w:r>
        <w:rPr>
          <w:color w:val="565657"/>
          <w:w w:val="105"/>
          <w:sz w:val="15"/>
        </w:rPr>
        <w:t>e</w:t>
      </w:r>
      <w:r>
        <w:rPr>
          <w:color w:val="565657"/>
          <w:spacing w:val="10"/>
          <w:w w:val="105"/>
          <w:sz w:val="15"/>
        </w:rPr>
        <w:t> </w:t>
      </w:r>
      <w:r>
        <w:rPr>
          <w:color w:val="3A383A"/>
          <w:w w:val="105"/>
          <w:sz w:val="15"/>
        </w:rPr>
        <w:t>wr</w:t>
      </w:r>
      <w:r>
        <w:rPr>
          <w:color w:val="565657"/>
          <w:w w:val="105"/>
          <w:sz w:val="15"/>
        </w:rPr>
        <w:t>ite</w:t>
      </w:r>
      <w:r>
        <w:rPr>
          <w:color w:val="3A383A"/>
          <w:w w:val="105"/>
          <w:sz w:val="15"/>
        </w:rPr>
        <w:t>r</w:t>
      </w:r>
      <w:r>
        <w:rPr>
          <w:color w:val="3A383A"/>
          <w:spacing w:val="-7"/>
          <w:w w:val="105"/>
          <w:sz w:val="15"/>
        </w:rPr>
        <w:t> </w:t>
      </w:r>
      <w:r>
        <w:rPr>
          <w:color w:val="3A383A"/>
          <w:w w:val="105"/>
          <w:sz w:val="15"/>
        </w:rPr>
        <w:t>applies</w:t>
      </w:r>
      <w:r>
        <w:rPr>
          <w:color w:val="3A383A"/>
          <w:spacing w:val="-37"/>
          <w:w w:val="105"/>
          <w:sz w:val="15"/>
        </w:rPr>
        <w:t> </w:t>
      </w:r>
      <w:r>
        <w:rPr>
          <w:rFonts w:ascii="Arial"/>
          <w:color w:val="3A383A"/>
          <w:w w:val="110"/>
          <w:sz w:val="13"/>
        </w:rPr>
        <w:t>the</w:t>
      </w:r>
      <w:r>
        <w:rPr>
          <w:rFonts w:ascii="Arial"/>
          <w:color w:val="3A383A"/>
          <w:spacing w:val="10"/>
          <w:w w:val="110"/>
          <w:sz w:val="13"/>
        </w:rPr>
        <w:t> </w:t>
      </w:r>
      <w:r>
        <w:rPr>
          <w:color w:val="3A383A"/>
          <w:w w:val="110"/>
          <w:sz w:val="15"/>
        </w:rPr>
        <w:t>secon</w:t>
      </w:r>
      <w:r>
        <w:rPr>
          <w:color w:val="565657"/>
          <w:w w:val="110"/>
          <w:sz w:val="15"/>
        </w:rPr>
        <w:t>d</w:t>
      </w:r>
      <w:r>
        <w:rPr>
          <w:color w:val="565657"/>
          <w:spacing w:val="6"/>
          <w:w w:val="110"/>
          <w:sz w:val="15"/>
        </w:rPr>
        <w:t> </w:t>
      </w:r>
      <w:r>
        <w:rPr>
          <w:rFonts w:ascii="Arial"/>
          <w:color w:val="3A383A"/>
          <w:w w:val="110"/>
          <w:sz w:val="13"/>
        </w:rPr>
        <w:t>rule</w:t>
      </w:r>
    </w:p>
    <w:p>
      <w:pPr>
        <w:spacing w:before="5"/>
        <w:ind w:left="0" w:right="85" w:firstLine="0"/>
        <w:jc w:val="right"/>
        <w:rPr>
          <w:sz w:val="15"/>
        </w:rPr>
      </w:pPr>
      <w:r>
        <w:rPr>
          <w:color w:val="3A383A"/>
          <w:w w:val="105"/>
          <w:sz w:val="15"/>
        </w:rPr>
        <w:t>to</w:t>
      </w:r>
      <w:r>
        <w:rPr>
          <w:color w:val="3A383A"/>
          <w:spacing w:val="10"/>
          <w:w w:val="105"/>
          <w:sz w:val="15"/>
        </w:rPr>
        <w:t> </w:t>
      </w:r>
      <w:r>
        <w:rPr>
          <w:color w:val="3A383A"/>
          <w:w w:val="105"/>
          <w:sz w:val="15"/>
        </w:rPr>
        <w:t>the</w:t>
      </w:r>
      <w:r>
        <w:rPr>
          <w:color w:val="3A383A"/>
          <w:spacing w:val="5"/>
          <w:w w:val="105"/>
          <w:sz w:val="15"/>
        </w:rPr>
        <w:t> </w:t>
      </w:r>
      <w:r>
        <w:rPr>
          <w:color w:val="3A383A"/>
          <w:w w:val="105"/>
          <w:sz w:val="15"/>
        </w:rPr>
        <w:t>factsof</w:t>
      </w:r>
      <w:r>
        <w:rPr>
          <w:color w:val="3A383A"/>
          <w:spacing w:val="20"/>
          <w:w w:val="105"/>
          <w:sz w:val="15"/>
        </w:rPr>
        <w:t> </w:t>
      </w:r>
      <w:r>
        <w:rPr>
          <w:color w:val="3A383A"/>
          <w:w w:val="105"/>
          <w:sz w:val="15"/>
        </w:rPr>
        <w:t>the</w:t>
      </w:r>
    </w:p>
    <w:p>
      <w:pPr>
        <w:spacing w:before="1"/>
        <w:ind w:left="0" w:right="53" w:firstLine="0"/>
        <w:jc w:val="right"/>
        <w:rPr>
          <w:sz w:val="15"/>
        </w:rPr>
      </w:pPr>
      <w:r>
        <w:rPr>
          <w:color w:val="565657"/>
          <w:w w:val="105"/>
          <w:sz w:val="15"/>
        </w:rPr>
        <w:t>c</w:t>
      </w:r>
      <w:r>
        <w:rPr>
          <w:color w:val="3A383A"/>
          <w:w w:val="105"/>
          <w:sz w:val="15"/>
        </w:rPr>
        <w:t>ase</w:t>
      </w:r>
      <w:r>
        <w:rPr>
          <w:color w:val="565657"/>
          <w:w w:val="105"/>
          <w:sz w:val="15"/>
        </w:rPr>
        <w:t>.</w:t>
      </w:r>
    </w:p>
    <w:p>
      <w:pPr>
        <w:pStyle w:val="ListParagraph"/>
        <w:numPr>
          <w:ilvl w:val="0"/>
          <w:numId w:val="85"/>
        </w:numPr>
        <w:tabs>
          <w:tab w:pos="381" w:val="left" w:leader="none"/>
        </w:tabs>
        <w:spacing w:line="252" w:lineRule="auto" w:before="141" w:after="0"/>
        <w:ind w:left="469" w:right="109" w:hanging="354"/>
        <w:jc w:val="right"/>
        <w:rPr>
          <w:sz w:val="15"/>
        </w:rPr>
      </w:pPr>
      <w:r>
        <w:rPr>
          <w:color w:val="3A383A"/>
          <w:sz w:val="15"/>
        </w:rPr>
        <w:t>In this paragrap</w:t>
      </w:r>
      <w:r>
        <w:rPr>
          <w:color w:val="565657"/>
          <w:sz w:val="15"/>
        </w:rPr>
        <w:t>h,</w:t>
      </w:r>
      <w:r>
        <w:rPr>
          <w:color w:val="565657"/>
          <w:spacing w:val="-35"/>
          <w:sz w:val="15"/>
        </w:rPr>
        <w:t> </w:t>
      </w:r>
      <w:r>
        <w:rPr>
          <w:color w:val="3A383A"/>
          <w:w w:val="105"/>
          <w:sz w:val="15"/>
        </w:rPr>
        <w:t>the</w:t>
      </w:r>
      <w:r>
        <w:rPr>
          <w:color w:val="3A383A"/>
          <w:spacing w:val="17"/>
          <w:w w:val="105"/>
          <w:sz w:val="15"/>
        </w:rPr>
        <w:t> </w:t>
      </w:r>
      <w:r>
        <w:rPr>
          <w:color w:val="3A383A"/>
          <w:w w:val="105"/>
          <w:sz w:val="15"/>
        </w:rPr>
        <w:t>writer</w:t>
      </w:r>
      <w:r>
        <w:rPr>
          <w:color w:val="3A383A"/>
          <w:spacing w:val="-4"/>
          <w:w w:val="105"/>
          <w:sz w:val="15"/>
        </w:rPr>
        <w:t> </w:t>
      </w:r>
      <w:r>
        <w:rPr>
          <w:color w:val="3A383A"/>
          <w:w w:val="105"/>
          <w:sz w:val="15"/>
        </w:rPr>
        <w:t>sums</w:t>
      </w:r>
    </w:p>
    <w:p>
      <w:pPr>
        <w:spacing w:line="249" w:lineRule="auto" w:before="81"/>
        <w:ind w:left="130" w:right="396" w:firstLine="14"/>
        <w:jc w:val="both"/>
        <w:rPr>
          <w:rFonts w:ascii="Arial"/>
          <w:b/>
          <w:sz w:val="16"/>
        </w:rPr>
      </w:pPr>
      <w:r>
        <w:rPr/>
        <w:br w:type="column"/>
      </w:r>
      <w:r>
        <w:rPr>
          <w:color w:val="3A383A"/>
          <w:w w:val="115"/>
          <w:sz w:val="21"/>
        </w:rPr>
        <w:t>merely stands outside the curtilage of a residence and observes what</w:t>
      </w:r>
      <w:r>
        <w:rPr>
          <w:color w:val="3A383A"/>
          <w:spacing w:val="1"/>
          <w:w w:val="115"/>
          <w:sz w:val="21"/>
        </w:rPr>
        <w:t> </w:t>
      </w:r>
      <w:r>
        <w:rPr>
          <w:color w:val="3A383A"/>
          <w:w w:val="115"/>
          <w:sz w:val="21"/>
        </w:rPr>
        <w:t>is</w:t>
      </w:r>
      <w:r>
        <w:rPr>
          <w:color w:val="3A383A"/>
          <w:spacing w:val="-2"/>
          <w:w w:val="115"/>
          <w:sz w:val="21"/>
        </w:rPr>
        <w:t> </w:t>
      </w:r>
      <w:r>
        <w:rPr>
          <w:color w:val="3A383A"/>
          <w:w w:val="115"/>
          <w:sz w:val="21"/>
        </w:rPr>
        <w:t>in</w:t>
      </w:r>
      <w:r>
        <w:rPr>
          <w:color w:val="3A383A"/>
          <w:spacing w:val="16"/>
          <w:w w:val="115"/>
          <w:sz w:val="21"/>
        </w:rPr>
        <w:t> </w:t>
      </w:r>
      <w:r>
        <w:rPr>
          <w:color w:val="3A383A"/>
          <w:w w:val="115"/>
          <w:sz w:val="21"/>
        </w:rPr>
        <w:t>plain</w:t>
      </w:r>
      <w:r>
        <w:rPr>
          <w:color w:val="3A383A"/>
          <w:spacing w:val="3"/>
          <w:w w:val="115"/>
          <w:sz w:val="21"/>
        </w:rPr>
        <w:t> </w:t>
      </w:r>
      <w:r>
        <w:rPr>
          <w:color w:val="3A383A"/>
          <w:w w:val="115"/>
          <w:sz w:val="21"/>
        </w:rPr>
        <w:t>view.</w:t>
      </w:r>
      <w:r>
        <w:rPr>
          <w:color w:val="3A383A"/>
          <w:spacing w:val="19"/>
          <w:w w:val="115"/>
          <w:sz w:val="21"/>
        </w:rPr>
        <w:t> </w:t>
      </w:r>
      <w:r>
        <w:rPr>
          <w:rFonts w:ascii="Arial"/>
          <w:b/>
          <w:color w:val="3A383A"/>
          <w:w w:val="115"/>
          <w:sz w:val="16"/>
        </w:rPr>
        <w:t>5</w:t>
      </w:r>
    </w:p>
    <w:p>
      <w:pPr>
        <w:spacing w:line="211" w:lineRule="exact" w:before="0"/>
        <w:ind w:left="517" w:right="0" w:firstLine="0"/>
        <w:jc w:val="both"/>
        <w:rPr>
          <w:sz w:val="21"/>
        </w:rPr>
      </w:pPr>
      <w:r>
        <w:rPr>
          <w:color w:val="3A383A"/>
          <w:w w:val="115"/>
          <w:sz w:val="21"/>
        </w:rPr>
        <w:t>In</w:t>
      </w:r>
      <w:r>
        <w:rPr>
          <w:color w:val="3A383A"/>
          <w:spacing w:val="43"/>
          <w:w w:val="115"/>
          <w:sz w:val="21"/>
        </w:rPr>
        <w:t> </w:t>
      </w:r>
      <w:r>
        <w:rPr>
          <w:color w:val="3A383A"/>
          <w:w w:val="115"/>
          <w:sz w:val="21"/>
        </w:rPr>
        <w:t>this</w:t>
      </w:r>
      <w:r>
        <w:rPr>
          <w:color w:val="3A383A"/>
          <w:spacing w:val="14"/>
          <w:w w:val="115"/>
          <w:sz w:val="21"/>
        </w:rPr>
        <w:t> </w:t>
      </w:r>
      <w:r>
        <w:rPr>
          <w:color w:val="3A383A"/>
          <w:w w:val="115"/>
          <w:sz w:val="21"/>
        </w:rPr>
        <w:t>case,</w:t>
      </w:r>
      <w:r>
        <w:rPr>
          <w:color w:val="3A383A"/>
          <w:spacing w:val="18"/>
          <w:w w:val="115"/>
          <w:sz w:val="21"/>
        </w:rPr>
        <w:t> </w:t>
      </w:r>
      <w:r>
        <w:rPr>
          <w:color w:val="3A383A"/>
          <w:w w:val="115"/>
          <w:sz w:val="21"/>
        </w:rPr>
        <w:t>the</w:t>
      </w:r>
      <w:r>
        <w:rPr>
          <w:color w:val="3A383A"/>
          <w:spacing w:val="44"/>
          <w:w w:val="115"/>
          <w:sz w:val="21"/>
        </w:rPr>
        <w:t> </w:t>
      </w:r>
      <w:r>
        <w:rPr>
          <w:color w:val="3A383A"/>
          <w:w w:val="115"/>
          <w:sz w:val="21"/>
        </w:rPr>
        <w:t>officer</w:t>
      </w:r>
      <w:r>
        <w:rPr>
          <w:color w:val="3A383A"/>
          <w:spacing w:val="10"/>
          <w:w w:val="115"/>
          <w:sz w:val="21"/>
        </w:rPr>
        <w:t> </w:t>
      </w:r>
      <w:r>
        <w:rPr>
          <w:color w:val="3A383A"/>
          <w:w w:val="115"/>
          <w:sz w:val="21"/>
        </w:rPr>
        <w:t>stood</w:t>
      </w:r>
      <w:r>
        <w:rPr>
          <w:color w:val="3A383A"/>
          <w:spacing w:val="27"/>
          <w:w w:val="115"/>
          <w:sz w:val="21"/>
        </w:rPr>
        <w:t> </w:t>
      </w:r>
      <w:r>
        <w:rPr>
          <w:color w:val="3A383A"/>
          <w:w w:val="115"/>
          <w:sz w:val="21"/>
        </w:rPr>
        <w:t>in</w:t>
      </w:r>
      <w:r>
        <w:rPr>
          <w:color w:val="3A383A"/>
          <w:spacing w:val="34"/>
          <w:w w:val="115"/>
          <w:sz w:val="21"/>
        </w:rPr>
        <w:t> </w:t>
      </w:r>
      <w:r>
        <w:rPr>
          <w:color w:val="3A383A"/>
          <w:w w:val="115"/>
          <w:sz w:val="21"/>
        </w:rPr>
        <w:t>a</w:t>
      </w:r>
      <w:r>
        <w:rPr>
          <w:color w:val="3A383A"/>
          <w:spacing w:val="40"/>
          <w:w w:val="115"/>
          <w:sz w:val="21"/>
        </w:rPr>
        <w:t> </w:t>
      </w:r>
      <w:r>
        <w:rPr>
          <w:color w:val="3A383A"/>
          <w:w w:val="115"/>
          <w:sz w:val="21"/>
        </w:rPr>
        <w:t>publicly</w:t>
      </w:r>
      <w:r>
        <w:rPr>
          <w:color w:val="3A383A"/>
          <w:spacing w:val="30"/>
          <w:w w:val="115"/>
          <w:sz w:val="21"/>
        </w:rPr>
        <w:t> </w:t>
      </w:r>
      <w:r>
        <w:rPr>
          <w:color w:val="3A383A"/>
          <w:w w:val="115"/>
          <w:sz w:val="21"/>
        </w:rPr>
        <w:t>accessible</w:t>
      </w:r>
      <w:r>
        <w:rPr>
          <w:color w:val="3A383A"/>
          <w:spacing w:val="16"/>
          <w:w w:val="115"/>
          <w:sz w:val="21"/>
        </w:rPr>
        <w:t> </w:t>
      </w:r>
      <w:r>
        <w:rPr>
          <w:color w:val="3A383A"/>
          <w:w w:val="115"/>
          <w:sz w:val="21"/>
        </w:rPr>
        <w:t>common</w:t>
      </w:r>
    </w:p>
    <w:p>
      <w:pPr>
        <w:spacing w:line="235" w:lineRule="auto" w:before="4"/>
        <w:ind w:left="119" w:right="391" w:firstLine="9"/>
        <w:jc w:val="both"/>
        <w:rPr>
          <w:rFonts w:ascii="Arial" w:hAnsi="Arial"/>
          <w:b/>
          <w:sz w:val="15"/>
        </w:rPr>
      </w:pPr>
      <w:r>
        <w:rPr>
          <w:color w:val="3A383A"/>
          <w:w w:val="115"/>
          <w:sz w:val="21"/>
        </w:rPr>
        <w:t>area outside the apartment's curtilage. The officer used only his natu­</w:t>
      </w:r>
      <w:r>
        <w:rPr>
          <w:color w:val="3A383A"/>
          <w:spacing w:val="1"/>
          <w:w w:val="115"/>
          <w:sz w:val="21"/>
        </w:rPr>
        <w:t> </w:t>
      </w:r>
      <w:r>
        <w:rPr>
          <w:b/>
          <w:color w:val="3A383A"/>
          <w:spacing w:val="-1"/>
          <w:w w:val="115"/>
          <w:sz w:val="20"/>
        </w:rPr>
        <w:t>ral </w:t>
      </w:r>
      <w:r>
        <w:rPr>
          <w:color w:val="3A383A"/>
          <w:spacing w:val="-1"/>
          <w:w w:val="115"/>
          <w:sz w:val="21"/>
        </w:rPr>
        <w:t>senses to observe </w:t>
      </w:r>
      <w:r>
        <w:rPr>
          <w:color w:val="3A383A"/>
          <w:w w:val="115"/>
          <w:sz w:val="21"/>
        </w:rPr>
        <w:t>what was in plain view. He conducted his obser­</w:t>
      </w:r>
      <w:r>
        <w:rPr>
          <w:color w:val="3A383A"/>
          <w:spacing w:val="-58"/>
          <w:w w:val="115"/>
          <w:sz w:val="21"/>
        </w:rPr>
        <w:t> </w:t>
      </w:r>
      <w:r>
        <w:rPr>
          <w:color w:val="3A383A"/>
          <w:w w:val="115"/>
          <w:sz w:val="21"/>
        </w:rPr>
        <w:t>vation</w:t>
      </w:r>
      <w:r>
        <w:rPr>
          <w:color w:val="3A383A"/>
          <w:spacing w:val="10"/>
          <w:w w:val="115"/>
          <w:sz w:val="21"/>
        </w:rPr>
        <w:t> </w:t>
      </w:r>
      <w:r>
        <w:rPr>
          <w:color w:val="3A383A"/>
          <w:w w:val="115"/>
          <w:sz w:val="21"/>
        </w:rPr>
        <w:t>without</w:t>
      </w:r>
      <w:r>
        <w:rPr>
          <w:color w:val="3A383A"/>
          <w:spacing w:val="14"/>
          <w:w w:val="115"/>
          <w:sz w:val="21"/>
        </w:rPr>
        <w:t> </w:t>
      </w:r>
      <w:r>
        <w:rPr>
          <w:color w:val="3A383A"/>
          <w:w w:val="115"/>
          <w:sz w:val="21"/>
        </w:rPr>
        <w:t>physical</w:t>
      </w:r>
      <w:r>
        <w:rPr>
          <w:color w:val="3A383A"/>
          <w:spacing w:val="1"/>
          <w:w w:val="115"/>
          <w:sz w:val="21"/>
        </w:rPr>
        <w:t> </w:t>
      </w:r>
      <w:r>
        <w:rPr>
          <w:color w:val="3A383A"/>
          <w:w w:val="115"/>
          <w:sz w:val="21"/>
        </w:rPr>
        <w:t>intrusion,</w:t>
      </w:r>
      <w:r>
        <w:rPr>
          <w:color w:val="3A383A"/>
          <w:spacing w:val="8"/>
          <w:w w:val="115"/>
          <w:sz w:val="21"/>
        </w:rPr>
        <w:t> </w:t>
      </w:r>
      <w:r>
        <w:rPr>
          <w:color w:val="3A383A"/>
          <w:w w:val="115"/>
          <w:sz w:val="21"/>
        </w:rPr>
        <w:t>without</w:t>
      </w:r>
      <w:r>
        <w:rPr>
          <w:color w:val="3A383A"/>
          <w:spacing w:val="3"/>
          <w:w w:val="115"/>
          <w:sz w:val="21"/>
        </w:rPr>
        <w:t> </w:t>
      </w:r>
      <w:r>
        <w:rPr>
          <w:color w:val="3A383A"/>
          <w:w w:val="115"/>
          <w:sz w:val="21"/>
        </w:rPr>
        <w:t>the</w:t>
      </w:r>
      <w:r>
        <w:rPr>
          <w:color w:val="3A383A"/>
          <w:spacing w:val="15"/>
          <w:w w:val="115"/>
          <w:sz w:val="21"/>
        </w:rPr>
        <w:t> </w:t>
      </w:r>
      <w:r>
        <w:rPr>
          <w:color w:val="3A383A"/>
          <w:w w:val="115"/>
          <w:sz w:val="21"/>
        </w:rPr>
        <w:t>useof</w:t>
      </w:r>
      <w:r>
        <w:rPr>
          <w:color w:val="3A383A"/>
          <w:spacing w:val="2"/>
          <w:w w:val="115"/>
          <w:sz w:val="21"/>
        </w:rPr>
        <w:t> </w:t>
      </w:r>
      <w:r>
        <w:rPr>
          <w:color w:val="3A383A"/>
          <w:w w:val="115"/>
          <w:sz w:val="21"/>
        </w:rPr>
        <w:t>any</w:t>
      </w:r>
      <w:r>
        <w:rPr>
          <w:color w:val="3A383A"/>
          <w:spacing w:val="4"/>
          <w:w w:val="115"/>
          <w:sz w:val="21"/>
        </w:rPr>
        <w:t> </w:t>
      </w:r>
      <w:r>
        <w:rPr>
          <w:color w:val="3A383A"/>
          <w:w w:val="115"/>
          <w:sz w:val="21"/>
        </w:rPr>
        <w:t>device</w:t>
      </w:r>
      <w:r>
        <w:rPr>
          <w:color w:val="565657"/>
          <w:w w:val="115"/>
          <w:sz w:val="21"/>
        </w:rPr>
        <w:t>,</w:t>
      </w:r>
      <w:r>
        <w:rPr>
          <w:color w:val="565657"/>
          <w:spacing w:val="10"/>
          <w:w w:val="115"/>
          <w:sz w:val="21"/>
        </w:rPr>
        <w:t> </w:t>
      </w:r>
      <w:r>
        <w:rPr>
          <w:color w:val="3A383A"/>
          <w:w w:val="115"/>
          <w:sz w:val="21"/>
        </w:rPr>
        <w:t>and</w:t>
      </w:r>
      <w:r>
        <w:rPr>
          <w:color w:val="3A383A"/>
          <w:spacing w:val="1"/>
          <w:w w:val="115"/>
          <w:sz w:val="21"/>
        </w:rPr>
        <w:t> </w:t>
      </w:r>
      <w:r>
        <w:rPr>
          <w:color w:val="3A383A"/>
          <w:w w:val="115"/>
          <w:sz w:val="21"/>
        </w:rPr>
        <w:t>in a manner that any member of the public could have employed. The</w:t>
      </w:r>
      <w:r>
        <w:rPr>
          <w:color w:val="3A383A"/>
          <w:spacing w:val="-58"/>
          <w:w w:val="115"/>
          <w:sz w:val="21"/>
        </w:rPr>
        <w:t> </w:t>
      </w:r>
      <w:r>
        <w:rPr>
          <w:color w:val="3A383A"/>
          <w:w w:val="115"/>
          <w:sz w:val="21"/>
        </w:rPr>
        <w:t>officer's conduct violated no reasonable expectation of privacy and</w:t>
      </w:r>
      <w:r>
        <w:rPr>
          <w:color w:val="3A383A"/>
          <w:spacing w:val="1"/>
          <w:w w:val="115"/>
          <w:sz w:val="21"/>
        </w:rPr>
        <w:t> </w:t>
      </w:r>
      <w:r>
        <w:rPr>
          <w:color w:val="3A383A"/>
          <w:w w:val="115"/>
          <w:sz w:val="21"/>
        </w:rPr>
        <w:t>therefore</w:t>
      </w:r>
      <w:r>
        <w:rPr>
          <w:color w:val="3A383A"/>
          <w:spacing w:val="-6"/>
          <w:w w:val="115"/>
          <w:sz w:val="21"/>
        </w:rPr>
        <w:t> </w:t>
      </w:r>
      <w:r>
        <w:rPr>
          <w:color w:val="3A383A"/>
          <w:w w:val="115"/>
          <w:sz w:val="21"/>
        </w:rPr>
        <w:t>was</w:t>
      </w:r>
      <w:r>
        <w:rPr>
          <w:color w:val="3A383A"/>
          <w:spacing w:val="-7"/>
          <w:w w:val="115"/>
          <w:sz w:val="21"/>
        </w:rPr>
        <w:t> </w:t>
      </w:r>
      <w:r>
        <w:rPr>
          <w:color w:val="3A383A"/>
          <w:w w:val="115"/>
          <w:sz w:val="21"/>
        </w:rPr>
        <w:t>not</w:t>
      </w:r>
      <w:r>
        <w:rPr>
          <w:color w:val="3A383A"/>
          <w:spacing w:val="-3"/>
          <w:w w:val="115"/>
          <w:sz w:val="21"/>
        </w:rPr>
        <w:t> </w:t>
      </w:r>
      <w:r>
        <w:rPr>
          <w:color w:val="3A383A"/>
          <w:w w:val="115"/>
          <w:sz w:val="21"/>
        </w:rPr>
        <w:t>a</w:t>
      </w:r>
      <w:r>
        <w:rPr>
          <w:color w:val="3A383A"/>
          <w:spacing w:val="18"/>
          <w:w w:val="115"/>
          <w:sz w:val="21"/>
        </w:rPr>
        <w:t> </w:t>
      </w:r>
      <w:r>
        <w:rPr>
          <w:color w:val="3A383A"/>
          <w:w w:val="115"/>
          <w:sz w:val="21"/>
        </w:rPr>
        <w:t>Fourth</w:t>
      </w:r>
      <w:r>
        <w:rPr>
          <w:color w:val="3A383A"/>
          <w:spacing w:val="5"/>
          <w:w w:val="115"/>
          <w:sz w:val="21"/>
        </w:rPr>
        <w:t> </w:t>
      </w:r>
      <w:r>
        <w:rPr>
          <w:color w:val="3A383A"/>
          <w:w w:val="115"/>
          <w:sz w:val="21"/>
        </w:rPr>
        <w:t>Amendment</w:t>
      </w:r>
      <w:r>
        <w:rPr>
          <w:color w:val="3A383A"/>
          <w:spacing w:val="-5"/>
          <w:w w:val="115"/>
          <w:sz w:val="21"/>
        </w:rPr>
        <w:t> </w:t>
      </w:r>
      <w:r>
        <w:rPr>
          <w:color w:val="3A383A"/>
          <w:w w:val="115"/>
          <w:sz w:val="21"/>
        </w:rPr>
        <w:t>search.</w:t>
      </w:r>
      <w:r>
        <w:rPr>
          <w:color w:val="3A383A"/>
          <w:spacing w:val="23"/>
          <w:w w:val="115"/>
          <w:sz w:val="21"/>
        </w:rPr>
        <w:t> </w:t>
      </w:r>
      <w:r>
        <w:rPr>
          <w:rFonts w:ascii="Arial" w:hAnsi="Arial"/>
          <w:b/>
          <w:color w:val="3A383A"/>
          <w:w w:val="115"/>
          <w:sz w:val="15"/>
        </w:rPr>
        <w:t>6</w:t>
      </w:r>
    </w:p>
    <w:p>
      <w:pPr>
        <w:spacing w:line="235" w:lineRule="auto" w:before="0"/>
        <w:ind w:left="115" w:right="419" w:firstLine="383"/>
        <w:jc w:val="both"/>
        <w:rPr>
          <w:rFonts w:ascii="Arial" w:hAnsi="Arial"/>
          <w:sz w:val="16"/>
        </w:rPr>
      </w:pPr>
      <w:r>
        <w:rPr>
          <w:color w:val="3A383A"/>
          <w:w w:val="115"/>
          <w:sz w:val="21"/>
        </w:rPr>
        <w:t>Forthese reasons, this Court should hold that Respondents had no</w:t>
      </w:r>
      <w:r>
        <w:rPr>
          <w:color w:val="3A383A"/>
          <w:spacing w:val="-58"/>
          <w:w w:val="115"/>
          <w:sz w:val="21"/>
        </w:rPr>
        <w:t> </w:t>
      </w:r>
      <w:r>
        <w:rPr>
          <w:color w:val="3A383A"/>
          <w:w w:val="115"/>
          <w:sz w:val="21"/>
        </w:rPr>
        <w:t>legitimate expectation of privacy in the apartment and that the obser­</w:t>
      </w:r>
      <w:r>
        <w:rPr>
          <w:color w:val="3A383A"/>
          <w:spacing w:val="-58"/>
          <w:w w:val="115"/>
          <w:sz w:val="21"/>
        </w:rPr>
        <w:t> </w:t>
      </w:r>
      <w:r>
        <w:rPr>
          <w:color w:val="3A383A"/>
          <w:w w:val="115"/>
          <w:sz w:val="21"/>
        </w:rPr>
        <w:t>vations of the officer did not constitute a search. This Court should</w:t>
      </w:r>
      <w:r>
        <w:rPr>
          <w:color w:val="3A383A"/>
          <w:spacing w:val="1"/>
          <w:w w:val="115"/>
          <w:sz w:val="21"/>
        </w:rPr>
        <w:t> </w:t>
      </w:r>
      <w:r>
        <w:rPr>
          <w:color w:val="3A383A"/>
          <w:w w:val="115"/>
          <w:sz w:val="21"/>
        </w:rPr>
        <w:t>reverse</w:t>
      </w:r>
      <w:r>
        <w:rPr>
          <w:color w:val="3A383A"/>
          <w:spacing w:val="-12"/>
          <w:w w:val="115"/>
          <w:sz w:val="21"/>
        </w:rPr>
        <w:t> </w:t>
      </w:r>
      <w:r>
        <w:rPr>
          <w:color w:val="3A383A"/>
          <w:w w:val="115"/>
          <w:sz w:val="21"/>
        </w:rPr>
        <w:t>the</w:t>
      </w:r>
      <w:r>
        <w:rPr>
          <w:color w:val="3A383A"/>
          <w:spacing w:val="24"/>
          <w:w w:val="115"/>
          <w:sz w:val="21"/>
        </w:rPr>
        <w:t> </w:t>
      </w:r>
      <w:r>
        <w:rPr>
          <w:color w:val="3A383A"/>
          <w:w w:val="115"/>
          <w:sz w:val="21"/>
        </w:rPr>
        <w:t>Minnesota</w:t>
      </w:r>
      <w:r>
        <w:rPr>
          <w:color w:val="3A383A"/>
          <w:spacing w:val="2"/>
          <w:w w:val="115"/>
          <w:sz w:val="21"/>
        </w:rPr>
        <w:t> </w:t>
      </w:r>
      <w:r>
        <w:rPr>
          <w:color w:val="3A383A"/>
          <w:w w:val="115"/>
          <w:sz w:val="21"/>
        </w:rPr>
        <w:t>Supreme</w:t>
      </w:r>
      <w:r>
        <w:rPr>
          <w:color w:val="3A383A"/>
          <w:spacing w:val="-14"/>
          <w:w w:val="115"/>
          <w:sz w:val="21"/>
        </w:rPr>
        <w:t> </w:t>
      </w:r>
      <w:r>
        <w:rPr>
          <w:color w:val="3A383A"/>
          <w:w w:val="115"/>
          <w:sz w:val="21"/>
        </w:rPr>
        <w:t>Court's</w:t>
      </w:r>
      <w:r>
        <w:rPr>
          <w:color w:val="3A383A"/>
          <w:spacing w:val="3"/>
          <w:w w:val="115"/>
          <w:sz w:val="21"/>
        </w:rPr>
        <w:t> </w:t>
      </w:r>
      <w:r>
        <w:rPr>
          <w:color w:val="3A383A"/>
          <w:w w:val="115"/>
          <w:sz w:val="21"/>
        </w:rPr>
        <w:t>judgment</w:t>
      </w:r>
      <w:r>
        <w:rPr>
          <w:color w:val="565657"/>
          <w:w w:val="115"/>
          <w:sz w:val="21"/>
        </w:rPr>
        <w:t>.</w:t>
      </w:r>
      <w:r>
        <w:rPr>
          <w:color w:val="565657"/>
          <w:spacing w:val="33"/>
          <w:w w:val="115"/>
          <w:sz w:val="21"/>
        </w:rPr>
        <w:t> </w:t>
      </w:r>
      <w:r>
        <w:rPr>
          <w:rFonts w:ascii="Arial" w:hAnsi="Arial"/>
          <w:color w:val="3A383A"/>
          <w:w w:val="115"/>
          <w:sz w:val="16"/>
        </w:rPr>
        <w:t>7</w:t>
      </w:r>
    </w:p>
    <w:p>
      <w:pPr>
        <w:spacing w:after="0" w:line="235" w:lineRule="auto"/>
        <w:jc w:val="both"/>
        <w:rPr>
          <w:rFonts w:ascii="Arial" w:hAnsi="Arial"/>
          <w:sz w:val="16"/>
        </w:rPr>
        <w:sectPr>
          <w:headerReference w:type="even" r:id="rId246"/>
          <w:headerReference w:type="default" r:id="rId247"/>
          <w:pgSz w:w="9760" w:h="13990"/>
          <w:pgMar w:header="524" w:footer="0" w:top="1100" w:bottom="0" w:left="600" w:right="140"/>
          <w:pgNumType w:start="218"/>
          <w:cols w:num="2" w:equalWidth="0">
            <w:col w:w="1576" w:space="186"/>
            <w:col w:w="7258"/>
          </w:cols>
        </w:sectPr>
      </w:pPr>
    </w:p>
    <w:p>
      <w:pPr>
        <w:pStyle w:val="BodyText"/>
        <w:tabs>
          <w:tab w:pos="1489" w:val="left" w:leader="none"/>
        </w:tabs>
        <w:spacing w:line="225" w:lineRule="exact"/>
        <w:ind w:right="123"/>
        <w:jc w:val="right"/>
      </w:pPr>
      <w:r>
        <w:rPr/>
        <w:pict>
          <v:shape style="position:absolute;margin-left:49.603931pt;margin-top:7.421414pt;width:386.75pt;height:16.45pt;mso-position-horizontal-relative:page;mso-position-vertical-relative:paragraph;z-index:-21596672" type="#_x0000_t202" id="docshape408" filled="false" stroked="false">
            <v:textbox inset="0,0,0,0">
              <w:txbxContent>
                <w:p>
                  <w:pPr>
                    <w:tabs>
                      <w:tab w:pos="2288" w:val="left" w:leader="none"/>
                      <w:tab w:pos="2625" w:val="left" w:leader="none"/>
                      <w:tab w:pos="3618" w:val="left" w:leader="none"/>
                      <w:tab w:pos="4041" w:val="left" w:leader="none"/>
                      <w:tab w:pos="4390" w:val="left" w:leader="none"/>
                      <w:tab w:pos="5470" w:val="left" w:leader="none"/>
                      <w:tab w:pos="6346" w:val="left" w:leader="none"/>
                      <w:tab w:pos="7693" w:val="left" w:leader="none"/>
                    </w:tabs>
                    <w:spacing w:line="230" w:lineRule="auto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3A383A"/>
                      <w:w w:val="95"/>
                      <w:position w:val="-9"/>
                      <w:sz w:val="15"/>
                    </w:rPr>
                    <w:t>to</w:t>
                  </w:r>
                  <w:r>
                    <w:rPr>
                      <w:color w:val="3A383A"/>
                      <w:spacing w:val="56"/>
                      <w:position w:val="-9"/>
                      <w:sz w:val="15"/>
                    </w:rPr>
                    <w:t> </w:t>
                  </w:r>
                  <w:r>
                    <w:rPr>
                      <w:color w:val="3A383A"/>
                      <w:w w:val="105"/>
                      <w:sz w:val="15"/>
                    </w:rPr>
                    <w:t>con</w:t>
                  </w:r>
                  <w:r>
                    <w:rPr>
                      <w:color w:val="565657"/>
                      <w:w w:val="105"/>
                      <w:sz w:val="15"/>
                    </w:rPr>
                    <w:t>cl</w:t>
                  </w:r>
                  <w:r>
                    <w:rPr>
                      <w:color w:val="3A383A"/>
                      <w:w w:val="105"/>
                      <w:sz w:val="15"/>
                    </w:rPr>
                    <w:t>us</w:t>
                  </w:r>
                  <w:r>
                    <w:rPr>
                      <w:color w:val="565657"/>
                      <w:w w:val="105"/>
                      <w:sz w:val="15"/>
                    </w:rPr>
                    <w:t>,</w:t>
                  </w:r>
                  <w:r>
                    <w:rPr>
                      <w:color w:val="3A383A"/>
                      <w:w w:val="105"/>
                      <w:sz w:val="15"/>
                    </w:rPr>
                    <w:t>om</w:t>
                  </w:r>
                  <w:r>
                    <w:rPr>
                      <w:b/>
                      <w:color w:val="565657"/>
                      <w:w w:val="105"/>
                      <w:sz w:val="13"/>
                    </w:rPr>
                    <w:t>a</w:t>
                  </w:r>
                  <w:r>
                    <w:rPr>
                      <w:b/>
                      <w:color w:val="3A383A"/>
                      <w:w w:val="105"/>
                      <w:sz w:val="13"/>
                    </w:rPr>
                    <w:t>s</w:t>
                    <w:tab/>
                  </w:r>
                  <w:r>
                    <w:rPr>
                      <w:color w:val="3A383A"/>
                      <w:w w:val="135"/>
                      <w:sz w:val="13"/>
                    </w:rPr>
                    <w:t>.</w:t>
                    <w:tab/>
                    <w:t>.</w:t>
                    <w:tab/>
                  </w:r>
                  <w:r>
                    <w:rPr>
                      <w:rFonts w:ascii="Arial" w:hAnsi="Arial"/>
                      <w:color w:val="3A383A"/>
                      <w:w w:val="105"/>
                      <w:sz w:val="21"/>
                    </w:rPr>
                    <w:t>h</w:t>
                    <w:tab/>
                    <w:t>•</w:t>
                    <w:tab/>
                    <w:t>Of</w:t>
                    <w:tab/>
                  </w:r>
                  <w:r>
                    <w:rPr>
                      <w:rFonts w:ascii="Arial" w:hAnsi="Arial"/>
                      <w:color w:val="3A383A"/>
                      <w:w w:val="105"/>
                      <w:sz w:val="22"/>
                    </w:rPr>
                    <w:t>"f</w:t>
                    <w:tab/>
                  </w:r>
                  <w:r>
                    <w:rPr>
                      <w:color w:val="3A383A"/>
                      <w:w w:val="95"/>
                      <w:sz w:val="22"/>
                    </w:rPr>
                    <w:t>t</w:t>
                    <w:tab/>
                  </w:r>
                  <w:r>
                    <w:rPr>
                      <w:color w:val="3A383A"/>
                      <w:spacing w:val="-20"/>
                      <w:w w:val="75"/>
                      <w:sz w:val="22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color w:val="3A383A"/>
          <w:w w:val="110"/>
          <w:sz w:val="15"/>
        </w:rPr>
        <w:t>up the</w:t>
      </w:r>
      <w:r>
        <w:rPr>
          <w:color w:val="3A383A"/>
          <w:spacing w:val="4"/>
          <w:w w:val="110"/>
          <w:sz w:val="15"/>
        </w:rPr>
        <w:t> </w:t>
      </w:r>
      <w:r>
        <w:rPr>
          <w:color w:val="3A383A"/>
          <w:w w:val="110"/>
          <w:sz w:val="14"/>
        </w:rPr>
        <w:t>two</w:t>
      </w:r>
      <w:r>
        <w:rPr>
          <w:color w:val="3A383A"/>
          <w:spacing w:val="16"/>
          <w:w w:val="110"/>
          <w:sz w:val="14"/>
        </w:rPr>
        <w:t> </w:t>
      </w:r>
      <w:r>
        <w:rPr>
          <w:color w:val="3A383A"/>
          <w:w w:val="110"/>
          <w:sz w:val="15"/>
        </w:rPr>
        <w:t>ma</w:t>
      </w:r>
      <w:r>
        <w:rPr>
          <w:color w:val="565657"/>
          <w:w w:val="110"/>
          <w:sz w:val="15"/>
        </w:rPr>
        <w:t>i</w:t>
      </w:r>
      <w:r>
        <w:rPr>
          <w:color w:val="3A383A"/>
          <w:w w:val="110"/>
          <w:sz w:val="15"/>
        </w:rPr>
        <w:t>n</w:t>
        <w:tab/>
      </w:r>
      <w:r>
        <w:rPr>
          <w:color w:val="3A383A"/>
          <w:w w:val="110"/>
        </w:rPr>
        <w:t>In</w:t>
      </w:r>
      <w:r>
        <w:rPr>
          <w:color w:val="3A383A"/>
          <w:spacing w:val="43"/>
          <w:w w:val="110"/>
        </w:rPr>
        <w:t> </w:t>
      </w:r>
      <w:r>
        <w:rPr>
          <w:color w:val="3A383A"/>
          <w:w w:val="110"/>
        </w:rPr>
        <w:t>most</w:t>
      </w:r>
      <w:r>
        <w:rPr>
          <w:color w:val="3A383A"/>
          <w:spacing w:val="15"/>
          <w:w w:val="110"/>
        </w:rPr>
        <w:t> </w:t>
      </w:r>
      <w:r>
        <w:rPr>
          <w:color w:val="3A383A"/>
          <w:w w:val="110"/>
        </w:rPr>
        <w:t>situations,</w:t>
      </w:r>
      <w:r>
        <w:rPr>
          <w:color w:val="3A383A"/>
          <w:spacing w:val="30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31"/>
          <w:w w:val="110"/>
        </w:rPr>
        <w:t> </w:t>
      </w:r>
      <w:r>
        <w:rPr>
          <w:color w:val="3A383A"/>
          <w:w w:val="110"/>
        </w:rPr>
        <w:t>summary</w:t>
      </w:r>
      <w:r>
        <w:rPr>
          <w:color w:val="3A383A"/>
          <w:spacing w:val="12"/>
          <w:w w:val="110"/>
        </w:rPr>
        <w:t> </w:t>
      </w:r>
      <w:r>
        <w:rPr>
          <w:color w:val="3A383A"/>
          <w:w w:val="110"/>
        </w:rPr>
        <w:t>of</w:t>
      </w:r>
      <w:r>
        <w:rPr>
          <w:color w:val="3A383A"/>
          <w:spacing w:val="32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41"/>
          <w:w w:val="110"/>
        </w:rPr>
        <w:t> </w:t>
      </w:r>
      <w:r>
        <w:rPr>
          <w:color w:val="3A383A"/>
          <w:w w:val="110"/>
        </w:rPr>
        <w:t>argument</w:t>
      </w:r>
      <w:r>
        <w:rPr>
          <w:color w:val="3A383A"/>
          <w:spacing w:val="41"/>
          <w:w w:val="110"/>
        </w:rPr>
        <w:t> </w:t>
      </w:r>
      <w:r>
        <w:rPr>
          <w:color w:val="3A383A"/>
          <w:w w:val="110"/>
        </w:rPr>
        <w:t>ne</w:t>
      </w:r>
      <w:r>
        <w:rPr>
          <w:color w:val="565657"/>
          <w:w w:val="110"/>
        </w:rPr>
        <w:t>e</w:t>
      </w:r>
      <w:r>
        <w:rPr>
          <w:color w:val="3A383A"/>
          <w:w w:val="110"/>
        </w:rPr>
        <w:t>d</w:t>
      </w:r>
      <w:r>
        <w:rPr>
          <w:color w:val="3A383A"/>
          <w:spacing w:val="45"/>
          <w:w w:val="110"/>
        </w:rPr>
        <w:t> </w:t>
      </w:r>
      <w:r>
        <w:rPr>
          <w:color w:val="3A383A"/>
          <w:w w:val="110"/>
        </w:rPr>
        <w:t>not</w:t>
      </w:r>
      <w:r>
        <w:rPr>
          <w:color w:val="3A383A"/>
          <w:spacing w:val="37"/>
          <w:w w:val="110"/>
        </w:rPr>
        <w:t> </w:t>
      </w:r>
      <w:r>
        <w:rPr>
          <w:color w:val="3A383A"/>
          <w:w w:val="110"/>
        </w:rPr>
        <w:t>contain</w:t>
      </w:r>
    </w:p>
    <w:p>
      <w:pPr>
        <w:tabs>
          <w:tab w:pos="4533" w:val="left" w:leader="none"/>
        </w:tabs>
        <w:spacing w:line="253" w:lineRule="exact" w:before="5"/>
        <w:ind w:left="0" w:right="108" w:firstLine="0"/>
        <w:jc w:val="right"/>
        <w:rPr>
          <w:sz w:val="23"/>
        </w:rPr>
      </w:pPr>
      <w:r>
        <w:rPr>
          <w:rFonts w:ascii="Arial"/>
          <w:i/>
          <w:color w:val="3A383A"/>
          <w:spacing w:val="-1"/>
          <w:w w:val="95"/>
          <w:sz w:val="13"/>
        </w:rPr>
        <w:t>the</w:t>
      </w:r>
      <w:r>
        <w:rPr>
          <w:rFonts w:ascii="Arial"/>
          <w:i/>
          <w:color w:val="3A383A"/>
          <w:spacing w:val="68"/>
          <w:sz w:val="13"/>
        </w:rPr>
        <w:t> </w:t>
      </w:r>
      <w:r>
        <w:rPr>
          <w:color w:val="676667"/>
          <w:w w:val="105"/>
          <w:sz w:val="15"/>
        </w:rPr>
        <w:t>i</w:t>
      </w:r>
      <w:r>
        <w:rPr>
          <w:color w:val="3A383A"/>
          <w:w w:val="105"/>
          <w:sz w:val="15"/>
        </w:rPr>
        <w:t>ssues</w:t>
      </w:r>
      <w:r>
        <w:rPr>
          <w:color w:val="3A383A"/>
          <w:spacing w:val="-6"/>
          <w:w w:val="105"/>
          <w:sz w:val="15"/>
        </w:rPr>
        <w:t> </w:t>
      </w:r>
      <w:r>
        <w:rPr>
          <w:color w:val="3A383A"/>
          <w:w w:val="105"/>
          <w:sz w:val="15"/>
        </w:rPr>
        <w:t>and</w:t>
      </w:r>
      <w:r>
        <w:rPr>
          <w:color w:val="3A383A"/>
          <w:spacing w:val="18"/>
          <w:w w:val="105"/>
          <w:sz w:val="15"/>
        </w:rPr>
        <w:t> </w:t>
      </w:r>
      <w:r>
        <w:rPr>
          <w:color w:val="3A383A"/>
          <w:w w:val="105"/>
          <w:sz w:val="23"/>
        </w:rPr>
        <w:t>numerous</w:t>
      </w:r>
      <w:r>
        <w:rPr>
          <w:color w:val="3A383A"/>
          <w:spacing w:val="-19"/>
          <w:w w:val="105"/>
          <w:sz w:val="23"/>
        </w:rPr>
        <w:t> </w:t>
      </w:r>
      <w:r>
        <w:rPr>
          <w:color w:val="3A383A"/>
          <w:w w:val="105"/>
          <w:sz w:val="23"/>
        </w:rPr>
        <w:t>c1tat1ons</w:t>
      </w:r>
      <w:r>
        <w:rPr>
          <w:color w:val="3A383A"/>
          <w:spacing w:val="-4"/>
          <w:w w:val="105"/>
          <w:sz w:val="23"/>
        </w:rPr>
        <w:t> </w:t>
      </w:r>
      <w:r>
        <w:rPr>
          <w:color w:val="3A383A"/>
          <w:w w:val="105"/>
          <w:sz w:val="23"/>
        </w:rPr>
        <w:t>to</w:t>
      </w:r>
      <w:r>
        <w:rPr>
          <w:color w:val="3A383A"/>
          <w:spacing w:val="5"/>
          <w:w w:val="105"/>
          <w:sz w:val="23"/>
        </w:rPr>
        <w:t> </w:t>
      </w:r>
      <w:r>
        <w:rPr>
          <w:color w:val="3A383A"/>
          <w:w w:val="105"/>
          <w:sz w:val="23"/>
        </w:rPr>
        <w:t>aut  </w:t>
      </w:r>
      <w:r>
        <w:rPr>
          <w:color w:val="3A383A"/>
          <w:spacing w:val="9"/>
          <w:w w:val="105"/>
          <w:sz w:val="23"/>
        </w:rPr>
        <w:t> </w:t>
      </w:r>
      <w:r>
        <w:rPr>
          <w:color w:val="3A383A"/>
          <w:w w:val="105"/>
          <w:sz w:val="23"/>
        </w:rPr>
        <w:t>onty</w:t>
      </w:r>
      <w:r>
        <w:rPr>
          <w:color w:val="565657"/>
          <w:w w:val="105"/>
          <w:sz w:val="23"/>
        </w:rPr>
        <w:t>.</w:t>
        <w:tab/>
      </w:r>
      <w:r>
        <w:rPr>
          <w:color w:val="3A383A"/>
          <w:w w:val="105"/>
          <w:sz w:val="23"/>
        </w:rPr>
        <w:t>course,</w:t>
      </w:r>
      <w:r>
        <w:rPr>
          <w:color w:val="3A383A"/>
          <w:spacing w:val="11"/>
          <w:w w:val="105"/>
          <w:sz w:val="23"/>
        </w:rPr>
        <w:t> </w:t>
      </w:r>
      <w:r>
        <w:rPr>
          <w:color w:val="3A383A"/>
          <w:w w:val="105"/>
          <w:sz w:val="17"/>
        </w:rPr>
        <w:t>I  </w:t>
      </w:r>
      <w:r>
        <w:rPr>
          <w:color w:val="3A383A"/>
          <w:spacing w:val="40"/>
          <w:w w:val="105"/>
          <w:sz w:val="17"/>
        </w:rPr>
        <w:t> </w:t>
      </w:r>
      <w:r>
        <w:rPr>
          <w:color w:val="3A383A"/>
          <w:w w:val="105"/>
          <w:sz w:val="23"/>
        </w:rPr>
        <w:t>a</w:t>
      </w:r>
      <w:r>
        <w:rPr>
          <w:color w:val="3A383A"/>
          <w:spacing w:val="-1"/>
          <w:w w:val="105"/>
          <w:sz w:val="23"/>
        </w:rPr>
        <w:t> </w:t>
      </w:r>
      <w:r>
        <w:rPr>
          <w:color w:val="3A383A"/>
          <w:w w:val="105"/>
          <w:sz w:val="23"/>
        </w:rPr>
        <w:t>case,</w:t>
      </w:r>
      <w:r>
        <w:rPr>
          <w:color w:val="3A383A"/>
          <w:spacing w:val="-17"/>
          <w:w w:val="105"/>
          <w:sz w:val="23"/>
        </w:rPr>
        <w:t> </w:t>
      </w:r>
      <w:r>
        <w:rPr>
          <w:color w:val="3A383A"/>
          <w:w w:val="105"/>
          <w:sz w:val="17"/>
        </w:rPr>
        <w:t>S </w:t>
      </w:r>
      <w:r>
        <w:rPr>
          <w:color w:val="3A383A"/>
          <w:spacing w:val="8"/>
          <w:w w:val="105"/>
          <w:sz w:val="17"/>
        </w:rPr>
        <w:t> </w:t>
      </w:r>
      <w:r>
        <w:rPr>
          <w:color w:val="3A383A"/>
          <w:w w:val="105"/>
          <w:sz w:val="23"/>
        </w:rPr>
        <w:t>atute,</w:t>
      </w:r>
      <w:r>
        <w:rPr>
          <w:color w:val="3A383A"/>
          <w:spacing w:val="1"/>
          <w:w w:val="105"/>
          <w:sz w:val="23"/>
        </w:rPr>
        <w:t> </w:t>
      </w:r>
      <w:r>
        <w:rPr>
          <w:color w:val="3A383A"/>
          <w:w w:val="105"/>
          <w:sz w:val="23"/>
        </w:rPr>
        <w:t>constitutional</w:t>
      </w:r>
    </w:p>
    <w:p>
      <w:pPr>
        <w:pStyle w:val="BodyText"/>
        <w:spacing w:line="200" w:lineRule="exact"/>
        <w:ind w:right="121"/>
        <w:jc w:val="right"/>
      </w:pPr>
      <w:r>
        <w:rPr>
          <w:color w:val="3A383A"/>
          <w:w w:val="110"/>
          <w:sz w:val="15"/>
        </w:rPr>
        <w:t>con</w:t>
      </w:r>
      <w:r>
        <w:rPr>
          <w:color w:val="565657"/>
          <w:w w:val="110"/>
          <w:sz w:val="15"/>
        </w:rPr>
        <w:t>n</w:t>
      </w:r>
      <w:r>
        <w:rPr>
          <w:color w:val="3A383A"/>
          <w:w w:val="110"/>
          <w:sz w:val="15"/>
        </w:rPr>
        <w:t>ec   those</w:t>
      </w:r>
      <w:r>
        <w:rPr>
          <w:color w:val="3A383A"/>
          <w:spacing w:val="4"/>
          <w:w w:val="110"/>
          <w:sz w:val="15"/>
        </w:rPr>
        <w:t> </w:t>
      </w:r>
      <w:r>
        <w:rPr>
          <w:color w:val="3A383A"/>
          <w:w w:val="110"/>
        </w:rPr>
        <w:t>provision,</w:t>
      </w:r>
      <w:r>
        <w:rPr>
          <w:color w:val="3A383A"/>
          <w:spacing w:val="3"/>
          <w:w w:val="110"/>
        </w:rPr>
        <w:t> </w:t>
      </w:r>
      <w:r>
        <w:rPr>
          <w:color w:val="3A383A"/>
          <w:w w:val="110"/>
        </w:rPr>
        <w:t>or</w:t>
      </w:r>
      <w:r>
        <w:rPr>
          <w:color w:val="3A383A"/>
          <w:spacing w:val="11"/>
          <w:w w:val="110"/>
        </w:rPr>
        <w:t> </w:t>
      </w:r>
      <w:r>
        <w:rPr>
          <w:color w:val="3A383A"/>
          <w:w w:val="110"/>
        </w:rPr>
        <w:t>other</w:t>
      </w:r>
      <w:r>
        <w:rPr>
          <w:color w:val="3A383A"/>
          <w:spacing w:val="-4"/>
          <w:w w:val="110"/>
        </w:rPr>
        <w:t> </w:t>
      </w:r>
      <w:r>
        <w:rPr>
          <w:color w:val="3A383A"/>
          <w:w w:val="110"/>
        </w:rPr>
        <w:t>authority</w:t>
      </w:r>
      <w:r>
        <w:rPr>
          <w:color w:val="3A383A"/>
          <w:spacing w:val="2"/>
          <w:w w:val="110"/>
        </w:rPr>
        <w:t> </w:t>
      </w:r>
      <w:r>
        <w:rPr>
          <w:color w:val="3A383A"/>
          <w:w w:val="110"/>
        </w:rPr>
        <w:t>is</w:t>
      </w:r>
      <w:r>
        <w:rPr>
          <w:color w:val="3A383A"/>
          <w:spacing w:val="-15"/>
          <w:w w:val="110"/>
        </w:rPr>
        <w:t> </w:t>
      </w:r>
      <w:r>
        <w:rPr>
          <w:color w:val="3A383A"/>
          <w:w w:val="110"/>
        </w:rPr>
        <w:t>at issue,</w:t>
      </w:r>
      <w:r>
        <w:rPr>
          <w:color w:val="3A383A"/>
          <w:spacing w:val="5"/>
          <w:w w:val="110"/>
        </w:rPr>
        <w:t> </w:t>
      </w:r>
      <w:r>
        <w:rPr>
          <w:color w:val="3A383A"/>
          <w:w w:val="110"/>
        </w:rPr>
        <w:t>it</w:t>
      </w:r>
      <w:r>
        <w:rPr>
          <w:color w:val="3A383A"/>
          <w:spacing w:val="18"/>
          <w:w w:val="110"/>
        </w:rPr>
        <w:t> </w:t>
      </w:r>
      <w:r>
        <w:rPr>
          <w:color w:val="3A383A"/>
          <w:w w:val="110"/>
        </w:rPr>
        <w:t>will</w:t>
      </w:r>
      <w:r>
        <w:rPr>
          <w:color w:val="3A383A"/>
          <w:spacing w:val="6"/>
          <w:w w:val="110"/>
        </w:rPr>
        <w:t> </w:t>
      </w:r>
      <w:r>
        <w:rPr>
          <w:color w:val="3A383A"/>
          <w:w w:val="110"/>
        </w:rPr>
        <w:t>be</w:t>
      </w:r>
      <w:r>
        <w:rPr>
          <w:color w:val="3A383A"/>
          <w:spacing w:val="13"/>
          <w:w w:val="110"/>
        </w:rPr>
        <w:t> </w:t>
      </w:r>
      <w:r>
        <w:rPr>
          <w:color w:val="3A383A"/>
          <w:w w:val="110"/>
        </w:rPr>
        <w:t>mentioned;</w:t>
      </w:r>
      <w:r>
        <w:rPr>
          <w:color w:val="3A383A"/>
          <w:spacing w:val="13"/>
          <w:w w:val="110"/>
        </w:rPr>
        <w:t> </w:t>
      </w:r>
      <w:r>
        <w:rPr>
          <w:color w:val="3A383A"/>
          <w:w w:val="110"/>
        </w:rPr>
        <w:t>likewise,</w:t>
      </w:r>
      <w:r>
        <w:rPr>
          <w:color w:val="3A383A"/>
          <w:spacing w:val="6"/>
          <w:w w:val="110"/>
        </w:rPr>
        <w:t> </w:t>
      </w:r>
      <w:r>
        <w:rPr>
          <w:color w:val="3A383A"/>
          <w:w w:val="105"/>
        </w:rPr>
        <w:t>if</w:t>
      </w:r>
    </w:p>
    <w:p>
      <w:pPr>
        <w:spacing w:line="318" w:lineRule="exact" w:before="0"/>
        <w:ind w:left="344" w:right="0" w:firstLine="0"/>
        <w:jc w:val="left"/>
        <w:rPr>
          <w:sz w:val="23"/>
        </w:rPr>
      </w:pPr>
      <w:r>
        <w:rPr>
          <w:color w:val="3A383A"/>
          <w:w w:val="70"/>
          <w:sz w:val="15"/>
        </w:rPr>
        <w:t>her</w:t>
      </w:r>
      <w:r>
        <w:rPr>
          <w:color w:val="3A383A"/>
          <w:spacing w:val="-8"/>
          <w:sz w:val="15"/>
        </w:rPr>
        <w:t> </w:t>
      </w:r>
      <w:r>
        <w:rPr>
          <w:color w:val="3A383A"/>
          <w:spacing w:val="-47"/>
          <w:w w:val="120"/>
          <w:sz w:val="15"/>
        </w:rPr>
        <w:t>a</w:t>
      </w:r>
      <w:r>
        <w:rPr>
          <w:color w:val="3A383A"/>
          <w:spacing w:val="-23"/>
          <w:w w:val="103"/>
          <w:position w:val="8"/>
          <w:sz w:val="15"/>
        </w:rPr>
        <w:t>c</w:t>
      </w:r>
      <w:r>
        <w:rPr>
          <w:color w:val="3A383A"/>
          <w:spacing w:val="-48"/>
          <w:w w:val="120"/>
          <w:sz w:val="15"/>
        </w:rPr>
        <w:t>s</w:t>
      </w:r>
      <w:r>
        <w:rPr>
          <w:color w:val="3A383A"/>
          <w:spacing w:val="-30"/>
          <w:w w:val="103"/>
          <w:position w:val="8"/>
          <w:sz w:val="15"/>
        </w:rPr>
        <w:t>o</w:t>
      </w:r>
      <w:r>
        <w:rPr>
          <w:color w:val="3A383A"/>
          <w:spacing w:val="-40"/>
          <w:w w:val="120"/>
          <w:sz w:val="15"/>
        </w:rPr>
        <w:t>s</w:t>
      </w:r>
      <w:r>
        <w:rPr>
          <w:color w:val="3A383A"/>
          <w:spacing w:val="-38"/>
          <w:w w:val="103"/>
          <w:position w:val="8"/>
          <w:sz w:val="15"/>
        </w:rPr>
        <w:t>n</w:t>
      </w:r>
      <w:r>
        <w:rPr>
          <w:color w:val="3A383A"/>
          <w:spacing w:val="-42"/>
          <w:w w:val="120"/>
          <w:sz w:val="15"/>
        </w:rPr>
        <w:t>e</w:t>
      </w:r>
      <w:r>
        <w:rPr>
          <w:color w:val="565657"/>
          <w:spacing w:val="-27"/>
          <w:w w:val="103"/>
          <w:position w:val="8"/>
          <w:sz w:val="15"/>
        </w:rPr>
        <w:t>c</w:t>
      </w:r>
      <w:r>
        <w:rPr>
          <w:color w:val="3A383A"/>
          <w:spacing w:val="-34"/>
          <w:w w:val="120"/>
          <w:sz w:val="15"/>
        </w:rPr>
        <w:t>r</w:t>
      </w:r>
      <w:r>
        <w:rPr>
          <w:color w:val="3A383A"/>
          <w:spacing w:val="-11"/>
          <w:w w:val="103"/>
          <w:position w:val="8"/>
          <w:sz w:val="15"/>
        </w:rPr>
        <w:t>l</w:t>
      </w:r>
      <w:r>
        <w:rPr>
          <w:color w:val="3A383A"/>
          <w:spacing w:val="-40"/>
          <w:w w:val="120"/>
          <w:sz w:val="15"/>
        </w:rPr>
        <w:t>t</w:t>
      </w:r>
      <w:r>
        <w:rPr>
          <w:color w:val="3A383A"/>
          <w:spacing w:val="-38"/>
          <w:w w:val="103"/>
          <w:position w:val="8"/>
          <w:sz w:val="15"/>
        </w:rPr>
        <w:t>u</w:t>
      </w:r>
      <w:r>
        <w:rPr>
          <w:color w:val="565657"/>
          <w:spacing w:val="-13"/>
          <w:w w:val="120"/>
          <w:sz w:val="15"/>
        </w:rPr>
        <w:t>i</w:t>
      </w:r>
      <w:r>
        <w:rPr>
          <w:color w:val="3A383A"/>
          <w:spacing w:val="-49"/>
          <w:w w:val="103"/>
          <w:position w:val="8"/>
          <w:sz w:val="15"/>
        </w:rPr>
        <w:t>s</w:t>
      </w:r>
      <w:r>
        <w:rPr>
          <w:color w:val="3A383A"/>
          <w:spacing w:val="-42"/>
          <w:w w:val="120"/>
          <w:sz w:val="15"/>
        </w:rPr>
        <w:t>o</w:t>
      </w:r>
      <w:r>
        <w:rPr>
          <w:color w:val="3A383A"/>
          <w:spacing w:val="-2"/>
          <w:w w:val="103"/>
          <w:position w:val="8"/>
          <w:sz w:val="15"/>
        </w:rPr>
        <w:t>i</w:t>
      </w:r>
      <w:r>
        <w:rPr>
          <w:color w:val="3A383A"/>
          <w:spacing w:val="-89"/>
          <w:w w:val="120"/>
          <w:sz w:val="15"/>
        </w:rPr>
        <w:t>n</w:t>
      </w:r>
      <w:r>
        <w:rPr>
          <w:color w:val="3A383A"/>
          <w:w w:val="103"/>
          <w:position w:val="8"/>
          <w:sz w:val="15"/>
        </w:rPr>
        <w:t>o</w:t>
      </w:r>
      <w:r>
        <w:rPr>
          <w:color w:val="3A383A"/>
          <w:spacing w:val="-27"/>
          <w:w w:val="103"/>
          <w:position w:val="8"/>
          <w:sz w:val="15"/>
        </w:rPr>
        <w:t>n</w:t>
      </w:r>
      <w:r>
        <w:rPr>
          <w:color w:val="3A383A"/>
          <w:spacing w:val="-21"/>
          <w:w w:val="114"/>
          <w:sz w:val="15"/>
        </w:rPr>
        <w:t>t</w:t>
      </w:r>
      <w:r>
        <w:rPr>
          <w:color w:val="3A383A"/>
          <w:spacing w:val="-40"/>
          <w:w w:val="103"/>
          <w:position w:val="8"/>
          <w:sz w:val="15"/>
        </w:rPr>
        <w:t>s</w:t>
      </w:r>
      <w:r>
        <w:rPr>
          <w:color w:val="3A383A"/>
          <w:spacing w:val="-9"/>
          <w:w w:val="114"/>
          <w:sz w:val="15"/>
        </w:rPr>
        <w:t>h</w:t>
      </w:r>
      <w:r>
        <w:rPr>
          <w:color w:val="3A383A"/>
          <w:spacing w:val="-36"/>
          <w:w w:val="103"/>
          <w:position w:val="8"/>
          <w:sz w:val="15"/>
        </w:rPr>
        <w:t>t</w:t>
      </w:r>
      <w:r>
        <w:rPr>
          <w:color w:val="3A383A"/>
          <w:spacing w:val="-42"/>
          <w:w w:val="114"/>
          <w:sz w:val="15"/>
        </w:rPr>
        <w:t>a</w:t>
      </w:r>
      <w:r>
        <w:rPr>
          <w:color w:val="3A383A"/>
          <w:spacing w:val="-37"/>
          <w:w w:val="103"/>
          <w:position w:val="8"/>
          <w:sz w:val="15"/>
        </w:rPr>
        <w:t>o</w:t>
      </w:r>
      <w:r>
        <w:rPr>
          <w:color w:val="3A383A"/>
          <w:w w:val="114"/>
          <w:sz w:val="15"/>
        </w:rPr>
        <w:t>t</w:t>
      </w:r>
      <w:r>
        <w:rPr>
          <w:color w:val="3A383A"/>
          <w:spacing w:val="7"/>
          <w:sz w:val="15"/>
        </w:rPr>
        <w:t> </w:t>
      </w:r>
      <w:r>
        <w:rPr>
          <w:color w:val="3A383A"/>
          <w:w w:val="114"/>
          <w:sz w:val="23"/>
        </w:rPr>
        <w:t>a</w:t>
      </w:r>
      <w:r>
        <w:rPr>
          <w:color w:val="3A383A"/>
          <w:sz w:val="23"/>
        </w:rPr>
        <w:t> </w:t>
      </w:r>
      <w:r>
        <w:rPr>
          <w:color w:val="3A383A"/>
          <w:spacing w:val="-21"/>
          <w:sz w:val="23"/>
        </w:rPr>
        <w:t> </w:t>
      </w:r>
      <w:r>
        <w:rPr>
          <w:color w:val="3A383A"/>
          <w:w w:val="106"/>
          <w:sz w:val="23"/>
        </w:rPr>
        <w:t>pa</w:t>
      </w:r>
      <w:r>
        <w:rPr>
          <w:color w:val="3A383A"/>
          <w:spacing w:val="-51"/>
          <w:w w:val="106"/>
          <w:sz w:val="23"/>
        </w:rPr>
        <w:t>r</w:t>
      </w:r>
      <w:r>
        <w:rPr>
          <w:color w:val="565657"/>
          <w:spacing w:val="11"/>
          <w:w w:val="103"/>
          <w:sz w:val="23"/>
          <w:vertAlign w:val="superscript"/>
        </w:rPr>
        <w:t>,</w:t>
      </w:r>
      <w:r>
        <w:rPr>
          <w:color w:val="3A383A"/>
          <w:w w:val="106"/>
          <w:sz w:val="23"/>
          <w:vertAlign w:val="baseline"/>
        </w:rPr>
        <w:t>tic</w:t>
      </w:r>
      <w:r>
        <w:rPr>
          <w:color w:val="3A383A"/>
          <w:spacing w:val="-64"/>
          <w:w w:val="106"/>
          <w:sz w:val="23"/>
          <w:vertAlign w:val="baseline"/>
        </w:rPr>
        <w:t>u</w:t>
      </w:r>
      <w:r>
        <w:rPr>
          <w:color w:val="3A383A"/>
          <w:w w:val="44"/>
          <w:position w:val="8"/>
          <w:sz w:val="23"/>
          <w:vertAlign w:val="baseline"/>
        </w:rPr>
        <w:t>I</w:t>
      </w:r>
      <w:r>
        <w:rPr>
          <w:color w:val="3A383A"/>
          <w:position w:val="8"/>
          <w:sz w:val="23"/>
          <w:vertAlign w:val="baseline"/>
        </w:rPr>
        <w:t> </w:t>
      </w:r>
      <w:r>
        <w:rPr>
          <w:color w:val="3A383A"/>
          <w:spacing w:val="-13"/>
          <w:position w:val="8"/>
          <w:sz w:val="23"/>
          <w:vertAlign w:val="baseline"/>
        </w:rPr>
        <w:t> </w:t>
      </w:r>
      <w:r>
        <w:rPr>
          <w:color w:val="3A383A"/>
          <w:spacing w:val="-1"/>
          <w:w w:val="106"/>
          <w:sz w:val="23"/>
          <w:vertAlign w:val="baseline"/>
        </w:rPr>
        <w:t>a</w:t>
      </w:r>
      <w:r>
        <w:rPr>
          <w:color w:val="3A383A"/>
          <w:w w:val="106"/>
          <w:sz w:val="23"/>
          <w:vertAlign w:val="baseline"/>
        </w:rPr>
        <w:t>r</w:t>
      </w:r>
      <w:r>
        <w:rPr>
          <w:color w:val="3A383A"/>
          <w:sz w:val="23"/>
          <w:vertAlign w:val="baseline"/>
        </w:rPr>
        <w:t> </w:t>
      </w:r>
      <w:r>
        <w:rPr>
          <w:color w:val="3A383A"/>
          <w:spacing w:val="-15"/>
          <w:sz w:val="23"/>
          <w:vertAlign w:val="baseline"/>
        </w:rPr>
        <w:t> </w:t>
      </w:r>
      <w:r>
        <w:rPr>
          <w:color w:val="3A383A"/>
          <w:spacing w:val="-70"/>
          <w:w w:val="108"/>
          <w:sz w:val="23"/>
          <w:vertAlign w:val="baseline"/>
        </w:rPr>
        <w:t>i</w:t>
      </w:r>
      <w:r>
        <w:rPr>
          <w:color w:val="3A383A"/>
          <w:w w:val="44"/>
          <w:position w:val="8"/>
          <w:sz w:val="23"/>
          <w:vertAlign w:val="baseline"/>
        </w:rPr>
        <w:t>.</w:t>
      </w:r>
      <w:r>
        <w:rPr>
          <w:color w:val="3A383A"/>
          <w:spacing w:val="-14"/>
          <w:position w:val="8"/>
          <w:sz w:val="23"/>
          <w:vertAlign w:val="baseline"/>
        </w:rPr>
        <w:t> </w:t>
      </w:r>
      <w:r>
        <w:rPr>
          <w:color w:val="3A383A"/>
          <w:spacing w:val="-1"/>
          <w:w w:val="108"/>
          <w:sz w:val="23"/>
          <w:vertAlign w:val="baseline"/>
        </w:rPr>
        <w:t>ssu</w:t>
      </w:r>
      <w:r>
        <w:rPr>
          <w:color w:val="3A383A"/>
          <w:w w:val="108"/>
          <w:sz w:val="23"/>
          <w:vertAlign w:val="baseline"/>
        </w:rPr>
        <w:t>e</w:t>
      </w:r>
      <w:r>
        <w:rPr>
          <w:color w:val="3A383A"/>
          <w:spacing w:val="3"/>
          <w:sz w:val="23"/>
          <w:vertAlign w:val="baseline"/>
        </w:rPr>
        <w:t> </w:t>
      </w:r>
      <w:r>
        <w:rPr>
          <w:color w:val="3A383A"/>
          <w:spacing w:val="-78"/>
          <w:w w:val="88"/>
          <w:sz w:val="23"/>
          <w:vertAlign w:val="baseline"/>
        </w:rPr>
        <w:t>1</w:t>
      </w:r>
      <w:r>
        <w:rPr>
          <w:color w:val="3A383A"/>
          <w:w w:val="66"/>
          <w:position w:val="8"/>
          <w:sz w:val="23"/>
          <w:vertAlign w:val="baseline"/>
        </w:rPr>
        <w:t>•</w:t>
      </w:r>
      <w:r>
        <w:rPr>
          <w:color w:val="3A383A"/>
          <w:spacing w:val="-33"/>
          <w:position w:val="8"/>
          <w:sz w:val="23"/>
          <w:vertAlign w:val="baseline"/>
        </w:rPr>
        <w:t> </w:t>
      </w:r>
      <w:r>
        <w:rPr>
          <w:color w:val="3A383A"/>
          <w:w w:val="88"/>
          <w:sz w:val="23"/>
          <w:vertAlign w:val="baseline"/>
        </w:rPr>
        <w:t>s</w:t>
      </w:r>
      <w:r>
        <w:rPr>
          <w:color w:val="3A383A"/>
          <w:w w:val="44"/>
          <w:position w:val="8"/>
          <w:sz w:val="23"/>
          <w:vertAlign w:val="baseline"/>
        </w:rPr>
        <w:t>I</w:t>
      </w:r>
      <w:r>
        <w:rPr>
          <w:color w:val="3A383A"/>
          <w:position w:val="8"/>
          <w:sz w:val="23"/>
          <w:vertAlign w:val="baseline"/>
        </w:rPr>
        <w:t> </w:t>
      </w:r>
      <w:r>
        <w:rPr>
          <w:color w:val="3A383A"/>
          <w:spacing w:val="-3"/>
          <w:position w:val="8"/>
          <w:sz w:val="23"/>
          <w:vertAlign w:val="baseline"/>
        </w:rPr>
        <w:t> </w:t>
      </w:r>
      <w:r>
        <w:rPr>
          <w:color w:val="3A383A"/>
          <w:spacing w:val="-1"/>
          <w:w w:val="109"/>
          <w:sz w:val="23"/>
          <w:vertAlign w:val="baseline"/>
        </w:rPr>
        <w:t>arg</w:t>
      </w:r>
      <w:r>
        <w:rPr>
          <w:color w:val="3A383A"/>
          <w:spacing w:val="-7"/>
          <w:w w:val="109"/>
          <w:sz w:val="23"/>
          <w:vertAlign w:val="baseline"/>
        </w:rPr>
        <w:t>e</w:t>
      </w:r>
      <w:r>
        <w:rPr>
          <w:color w:val="3A383A"/>
          <w:spacing w:val="-4"/>
          <w:w w:val="86"/>
          <w:position w:val="8"/>
          <w:sz w:val="23"/>
          <w:vertAlign w:val="baseline"/>
        </w:rPr>
        <w:t>I</w:t>
      </w:r>
      <w:r>
        <w:rPr>
          <w:color w:val="3A383A"/>
          <w:w w:val="109"/>
          <w:sz w:val="23"/>
          <w:vertAlign w:val="baseline"/>
        </w:rPr>
        <w:t>y</w:t>
      </w:r>
      <w:r>
        <w:rPr>
          <w:color w:val="3A383A"/>
          <w:spacing w:val="21"/>
          <w:sz w:val="23"/>
          <w:vertAlign w:val="baseline"/>
        </w:rPr>
        <w:t> </w:t>
      </w:r>
      <w:r>
        <w:rPr>
          <w:color w:val="3A383A"/>
          <w:spacing w:val="-1"/>
          <w:w w:val="109"/>
          <w:sz w:val="23"/>
          <w:vertAlign w:val="baseline"/>
        </w:rPr>
        <w:t>co</w:t>
      </w:r>
      <w:r>
        <w:rPr>
          <w:color w:val="3A383A"/>
          <w:spacing w:val="-82"/>
          <w:w w:val="109"/>
          <w:sz w:val="23"/>
          <w:vertAlign w:val="baseline"/>
        </w:rPr>
        <w:t>n</w:t>
      </w:r>
      <w:r>
        <w:rPr>
          <w:color w:val="3A383A"/>
          <w:w w:val="60"/>
          <w:position w:val="8"/>
          <w:sz w:val="23"/>
          <w:vertAlign w:val="baseline"/>
        </w:rPr>
        <w:t>t</w:t>
      </w:r>
      <w:r>
        <w:rPr>
          <w:color w:val="3A383A"/>
          <w:position w:val="8"/>
          <w:sz w:val="23"/>
          <w:vertAlign w:val="baseline"/>
        </w:rPr>
        <w:t>  </w:t>
      </w:r>
      <w:r>
        <w:rPr>
          <w:color w:val="3A383A"/>
          <w:spacing w:val="-24"/>
          <w:position w:val="8"/>
          <w:sz w:val="23"/>
          <w:vertAlign w:val="baseline"/>
        </w:rPr>
        <w:t> </w:t>
      </w:r>
      <w:r>
        <w:rPr>
          <w:color w:val="3A383A"/>
          <w:w w:val="109"/>
          <w:sz w:val="23"/>
          <w:vertAlign w:val="baseline"/>
        </w:rPr>
        <w:t>r</w:t>
      </w:r>
      <w:r>
        <w:rPr>
          <w:color w:val="3A383A"/>
          <w:spacing w:val="-19"/>
          <w:w w:val="109"/>
          <w:sz w:val="23"/>
          <w:vertAlign w:val="baseline"/>
        </w:rPr>
        <w:t>o</w:t>
      </w:r>
      <w:r>
        <w:rPr>
          <w:rFonts w:ascii="Arial" w:hAnsi="Arial"/>
          <w:color w:val="3A383A"/>
          <w:spacing w:val="-1"/>
          <w:w w:val="70"/>
          <w:position w:val="8"/>
          <w:sz w:val="21"/>
          <w:vertAlign w:val="baseline"/>
        </w:rPr>
        <w:t>1</w:t>
      </w:r>
      <w:r>
        <w:rPr>
          <w:rFonts w:ascii="Arial" w:hAnsi="Arial"/>
          <w:color w:val="3A383A"/>
          <w:spacing w:val="-25"/>
          <w:w w:val="70"/>
          <w:position w:val="8"/>
          <w:sz w:val="21"/>
          <w:vertAlign w:val="baseline"/>
        </w:rPr>
        <w:t>1</w:t>
      </w:r>
      <w:r>
        <w:rPr>
          <w:color w:val="3A383A"/>
          <w:spacing w:val="4"/>
          <w:w w:val="109"/>
          <w:sz w:val="23"/>
          <w:vertAlign w:val="baseline"/>
        </w:rPr>
        <w:t>e</w:t>
      </w:r>
      <w:r>
        <w:rPr>
          <w:color w:val="3A383A"/>
          <w:w w:val="70"/>
          <w:position w:val="8"/>
          <w:sz w:val="23"/>
          <w:vertAlign w:val="baseline"/>
        </w:rPr>
        <w:t>d</w:t>
      </w:r>
      <w:r>
        <w:rPr>
          <w:color w:val="3A383A"/>
          <w:position w:val="8"/>
          <w:sz w:val="23"/>
          <w:vertAlign w:val="baseline"/>
        </w:rPr>
        <w:t>  </w:t>
      </w:r>
      <w:r>
        <w:rPr>
          <w:color w:val="3A383A"/>
          <w:spacing w:val="-24"/>
          <w:position w:val="8"/>
          <w:sz w:val="23"/>
          <w:vertAlign w:val="baseline"/>
        </w:rPr>
        <w:t> </w:t>
      </w:r>
      <w:r>
        <w:rPr>
          <w:color w:val="3A383A"/>
          <w:w w:val="70"/>
          <w:position w:val="8"/>
          <w:sz w:val="23"/>
          <w:vertAlign w:val="baseline"/>
        </w:rPr>
        <w:t>b</w:t>
      </w:r>
      <w:r>
        <w:rPr>
          <w:color w:val="3A383A"/>
          <w:spacing w:val="-15"/>
          <w:position w:val="8"/>
          <w:sz w:val="23"/>
          <w:vertAlign w:val="baseline"/>
        </w:rPr>
        <w:t> </w:t>
      </w:r>
      <w:r>
        <w:rPr>
          <w:color w:val="3A383A"/>
          <w:w w:val="109"/>
          <w:sz w:val="23"/>
          <w:vertAlign w:val="baseline"/>
        </w:rPr>
        <w:t>y</w:t>
      </w:r>
      <w:r>
        <w:rPr>
          <w:color w:val="3A383A"/>
          <w:spacing w:val="21"/>
          <w:sz w:val="23"/>
          <w:vertAlign w:val="baseline"/>
        </w:rPr>
        <w:t> </w:t>
      </w:r>
      <w:r>
        <w:rPr>
          <w:color w:val="3A383A"/>
          <w:w w:val="109"/>
          <w:sz w:val="23"/>
          <w:vertAlign w:val="baseline"/>
        </w:rPr>
        <w:t>a</w:t>
      </w:r>
      <w:r>
        <w:rPr>
          <w:color w:val="3A383A"/>
          <w:spacing w:val="23"/>
          <w:sz w:val="23"/>
          <w:vertAlign w:val="baseline"/>
        </w:rPr>
        <w:t> </w:t>
      </w:r>
      <w:r>
        <w:rPr>
          <w:color w:val="3A383A"/>
          <w:spacing w:val="-1"/>
          <w:w w:val="109"/>
          <w:sz w:val="23"/>
          <w:vertAlign w:val="baseline"/>
        </w:rPr>
        <w:t>cas</w:t>
      </w:r>
      <w:r>
        <w:rPr>
          <w:color w:val="3A383A"/>
          <w:w w:val="109"/>
          <w:sz w:val="23"/>
          <w:vertAlign w:val="baseline"/>
        </w:rPr>
        <w:t>e</w:t>
      </w:r>
      <w:r>
        <w:rPr>
          <w:color w:val="3A383A"/>
          <w:spacing w:val="20"/>
          <w:sz w:val="23"/>
          <w:vertAlign w:val="baseline"/>
        </w:rPr>
        <w:t> </w:t>
      </w:r>
      <w:r>
        <w:rPr>
          <w:color w:val="3A383A"/>
          <w:w w:val="109"/>
          <w:sz w:val="23"/>
          <w:vertAlign w:val="baseline"/>
        </w:rPr>
        <w:t>or</w:t>
      </w:r>
      <w:r>
        <w:rPr>
          <w:color w:val="3A383A"/>
          <w:sz w:val="23"/>
          <w:vertAlign w:val="baseline"/>
        </w:rPr>
        <w:t> </w:t>
      </w:r>
      <w:r>
        <w:rPr>
          <w:color w:val="3A383A"/>
          <w:spacing w:val="-26"/>
          <w:sz w:val="23"/>
          <w:vertAlign w:val="baseline"/>
        </w:rPr>
        <w:t> </w:t>
      </w:r>
      <w:r>
        <w:rPr>
          <w:color w:val="3A383A"/>
          <w:spacing w:val="14"/>
          <w:w w:val="109"/>
          <w:sz w:val="23"/>
          <w:vertAlign w:val="baseline"/>
        </w:rPr>
        <w:t>o</w:t>
      </w:r>
      <w:r>
        <w:rPr>
          <w:color w:val="3A383A"/>
          <w:spacing w:val="-1"/>
          <w:w w:val="70"/>
          <w:position w:val="8"/>
          <w:sz w:val="23"/>
          <w:vertAlign w:val="baseline"/>
        </w:rPr>
        <w:t>t</w:t>
      </w:r>
      <w:r>
        <w:rPr>
          <w:color w:val="3A383A"/>
          <w:w w:val="70"/>
          <w:position w:val="8"/>
          <w:sz w:val="23"/>
          <w:vertAlign w:val="baseline"/>
        </w:rPr>
        <w:t>h</w:t>
      </w:r>
      <w:r>
        <w:rPr>
          <w:color w:val="3A383A"/>
          <w:position w:val="8"/>
          <w:sz w:val="23"/>
          <w:vertAlign w:val="baseline"/>
        </w:rPr>
        <w:t> </w:t>
      </w:r>
      <w:r>
        <w:rPr>
          <w:color w:val="3A383A"/>
          <w:spacing w:val="-26"/>
          <w:position w:val="8"/>
          <w:sz w:val="23"/>
          <w:vertAlign w:val="baseline"/>
        </w:rPr>
        <w:t> </w:t>
      </w:r>
      <w:r>
        <w:rPr>
          <w:color w:val="3A383A"/>
          <w:spacing w:val="-1"/>
          <w:w w:val="109"/>
          <w:sz w:val="23"/>
          <w:vertAlign w:val="baseline"/>
        </w:rPr>
        <w:t>e</w:t>
      </w:r>
      <w:r>
        <w:rPr>
          <w:color w:val="3A383A"/>
          <w:w w:val="109"/>
          <w:sz w:val="23"/>
          <w:vertAlign w:val="baseline"/>
        </w:rPr>
        <w:t>r</w:t>
      </w:r>
      <w:r>
        <w:rPr>
          <w:color w:val="3A383A"/>
          <w:sz w:val="23"/>
          <w:vertAlign w:val="baseline"/>
        </w:rPr>
        <w:t> </w:t>
      </w:r>
      <w:r>
        <w:rPr>
          <w:color w:val="3A383A"/>
          <w:spacing w:val="-21"/>
          <w:sz w:val="23"/>
          <w:vertAlign w:val="baseline"/>
        </w:rPr>
        <w:t> </w:t>
      </w:r>
      <w:r>
        <w:rPr>
          <w:color w:val="3A383A"/>
          <w:spacing w:val="-1"/>
          <w:w w:val="109"/>
          <w:sz w:val="23"/>
          <w:vertAlign w:val="baseline"/>
        </w:rPr>
        <w:t>a</w:t>
      </w:r>
      <w:r>
        <w:rPr>
          <w:color w:val="3A383A"/>
          <w:spacing w:val="19"/>
          <w:w w:val="109"/>
          <w:sz w:val="23"/>
          <w:vertAlign w:val="baseline"/>
        </w:rPr>
        <w:t>u</w:t>
      </w:r>
      <w:r>
        <w:rPr>
          <w:color w:val="3A383A"/>
          <w:spacing w:val="-1"/>
          <w:w w:val="70"/>
          <w:position w:val="8"/>
          <w:sz w:val="23"/>
          <w:vertAlign w:val="baseline"/>
        </w:rPr>
        <w:t>t</w:t>
      </w:r>
      <w:r>
        <w:rPr>
          <w:color w:val="3A383A"/>
          <w:w w:val="70"/>
          <w:position w:val="8"/>
          <w:sz w:val="23"/>
          <w:vertAlign w:val="baseline"/>
        </w:rPr>
        <w:t>h</w:t>
      </w:r>
      <w:r>
        <w:rPr>
          <w:color w:val="3A383A"/>
          <w:position w:val="8"/>
          <w:sz w:val="23"/>
          <w:vertAlign w:val="baseline"/>
        </w:rPr>
        <w:t> </w:t>
      </w:r>
      <w:r>
        <w:rPr>
          <w:color w:val="3A383A"/>
          <w:spacing w:val="-25"/>
          <w:position w:val="8"/>
          <w:sz w:val="23"/>
          <w:vertAlign w:val="baseline"/>
        </w:rPr>
        <w:t> </w:t>
      </w:r>
      <w:r>
        <w:rPr>
          <w:color w:val="3A383A"/>
          <w:w w:val="112"/>
          <w:sz w:val="23"/>
          <w:vertAlign w:val="baseline"/>
        </w:rPr>
        <w:t>o</w:t>
      </w:r>
      <w:r>
        <w:rPr>
          <w:color w:val="3A383A"/>
          <w:spacing w:val="-56"/>
          <w:w w:val="112"/>
          <w:sz w:val="23"/>
          <w:vertAlign w:val="baseline"/>
        </w:rPr>
        <w:t>n</w:t>
      </w:r>
      <w:r>
        <w:rPr>
          <w:color w:val="565657"/>
          <w:spacing w:val="1"/>
          <w:w w:val="70"/>
          <w:position w:val="8"/>
          <w:sz w:val="23"/>
          <w:vertAlign w:val="baseline"/>
        </w:rPr>
        <w:t>·</w:t>
      </w:r>
      <w:r>
        <w:rPr>
          <w:color w:val="3A383A"/>
          <w:w w:val="112"/>
          <w:sz w:val="23"/>
          <w:vertAlign w:val="baseline"/>
        </w:rPr>
        <w:t>ty,</w:t>
      </w:r>
      <w:r>
        <w:rPr>
          <w:color w:val="3A383A"/>
          <w:sz w:val="23"/>
          <w:vertAlign w:val="baseline"/>
        </w:rPr>
        <w:t> </w:t>
      </w:r>
      <w:r>
        <w:rPr>
          <w:color w:val="3A383A"/>
          <w:spacing w:val="-27"/>
          <w:sz w:val="23"/>
          <w:vertAlign w:val="baseline"/>
        </w:rPr>
        <w:t> </w:t>
      </w:r>
      <w:r>
        <w:rPr>
          <w:color w:val="3A383A"/>
          <w:spacing w:val="-1"/>
          <w:w w:val="102"/>
          <w:sz w:val="23"/>
          <w:vertAlign w:val="baseline"/>
        </w:rPr>
        <w:t>that</w:t>
      </w:r>
    </w:p>
    <w:p>
      <w:pPr>
        <w:pStyle w:val="BodyText"/>
        <w:spacing w:line="246" w:lineRule="exact"/>
        <w:ind w:right="122"/>
        <w:jc w:val="right"/>
      </w:pPr>
      <w:r>
        <w:rPr/>
        <w:pict>
          <v:shape style="position:absolute;margin-left:76.042793pt;margin-top:5.370365pt;width:26.05pt;height:21.7pt;mso-position-horizontal-relative:page;mso-position-vertical-relative:paragraph;z-index:-21596160" type="#_x0000_t202" id="docshape409" filled="false" stroked="false">
            <v:textbox inset="0,0,0,0">
              <w:txbxContent>
                <w:p>
                  <w:pPr>
                    <w:spacing w:line="433" w:lineRule="exact" w:before="0"/>
                    <w:ind w:left="0" w:right="0" w:firstLine="0"/>
                    <w:jc w:val="left"/>
                    <w:rPr>
                      <w:sz w:val="39"/>
                    </w:rPr>
                  </w:pPr>
                  <w:r>
                    <w:rPr>
                      <w:color w:val="3A383A"/>
                      <w:spacing w:val="-3"/>
                      <w:w w:val="75"/>
                      <w:sz w:val="39"/>
                    </w:rPr>
                    <w:t>d;</w:t>
                  </w:r>
                  <w:r>
                    <w:rPr>
                      <w:color w:val="3A383A"/>
                      <w:spacing w:val="12"/>
                      <w:w w:val="75"/>
                      <w:sz w:val="39"/>
                    </w:rPr>
                    <w:t> </w:t>
                  </w:r>
                  <w:r>
                    <w:rPr>
                      <w:color w:val="3A383A"/>
                      <w:spacing w:val="-2"/>
                      <w:w w:val="75"/>
                      <w:sz w:val="39"/>
                    </w:rPr>
                    <w:t>:'.</w:t>
                  </w:r>
                </w:p>
              </w:txbxContent>
            </v:textbox>
            <w10:wrap type="none"/>
          </v:shape>
        </w:pict>
      </w:r>
      <w:r>
        <w:rPr>
          <w:color w:val="3A383A"/>
          <w:w w:val="110"/>
          <w:sz w:val="14"/>
        </w:rPr>
        <w:t>the</w:t>
      </w:r>
      <w:r>
        <w:rPr>
          <w:color w:val="3A383A"/>
          <w:spacing w:val="28"/>
          <w:w w:val="110"/>
          <w:sz w:val="14"/>
        </w:rPr>
        <w:t> </w:t>
      </w:r>
      <w:r>
        <w:rPr>
          <w:color w:val="3A383A"/>
          <w:w w:val="110"/>
          <w:sz w:val="15"/>
        </w:rPr>
        <w:t>coun</w:t>
      </w:r>
      <w:r>
        <w:rPr>
          <w:color w:val="3A383A"/>
          <w:spacing w:val="-9"/>
          <w:w w:val="110"/>
          <w:sz w:val="15"/>
        </w:rPr>
        <w:t> </w:t>
      </w:r>
      <w:r>
        <w:rPr>
          <w:color w:val="3A383A"/>
          <w:w w:val="110"/>
          <w:sz w:val="15"/>
        </w:rPr>
        <w:t>s</w:t>
      </w:r>
      <w:r>
        <w:rPr>
          <w:color w:val="565657"/>
          <w:w w:val="110"/>
          <w:sz w:val="15"/>
        </w:rPr>
        <w:t>hou</w:t>
      </w:r>
      <w:r>
        <w:rPr>
          <w:color w:val="3A383A"/>
          <w:w w:val="110"/>
          <w:sz w:val="15"/>
        </w:rPr>
        <w:t>ld</w:t>
      </w:r>
      <w:r>
        <w:rPr>
          <w:color w:val="3A383A"/>
          <w:spacing w:val="7"/>
          <w:w w:val="110"/>
          <w:sz w:val="15"/>
        </w:rPr>
        <w:t> </w:t>
      </w:r>
      <w:r>
        <w:rPr>
          <w:color w:val="3A383A"/>
          <w:w w:val="110"/>
        </w:rPr>
        <w:t>authority</w:t>
      </w:r>
      <w:r>
        <w:rPr>
          <w:color w:val="3A383A"/>
          <w:spacing w:val="19"/>
          <w:w w:val="110"/>
        </w:rPr>
        <w:t> </w:t>
      </w:r>
      <w:r>
        <w:rPr>
          <w:color w:val="3A383A"/>
          <w:w w:val="110"/>
        </w:rPr>
        <w:t>may</w:t>
      </w:r>
      <w:r>
        <w:rPr>
          <w:color w:val="3A383A"/>
          <w:spacing w:val="16"/>
          <w:w w:val="110"/>
        </w:rPr>
        <w:t> </w:t>
      </w:r>
      <w:r>
        <w:rPr>
          <w:color w:val="3A383A"/>
          <w:w w:val="110"/>
        </w:rPr>
        <w:t>be</w:t>
      </w:r>
      <w:r>
        <w:rPr>
          <w:color w:val="3A383A"/>
          <w:spacing w:val="20"/>
          <w:w w:val="110"/>
        </w:rPr>
        <w:t> </w:t>
      </w:r>
      <w:r>
        <w:rPr>
          <w:color w:val="3A383A"/>
          <w:w w:val="110"/>
        </w:rPr>
        <w:t>mentioned</w:t>
      </w:r>
      <w:r>
        <w:rPr>
          <w:color w:val="3A383A"/>
          <w:spacing w:val="39"/>
          <w:w w:val="110"/>
        </w:rPr>
        <w:t> </w:t>
      </w:r>
      <w:r>
        <w:rPr>
          <w:color w:val="3A383A"/>
          <w:w w:val="110"/>
        </w:rPr>
        <w:t>as</w:t>
      </w:r>
      <w:r>
        <w:rPr>
          <w:color w:val="3A383A"/>
          <w:spacing w:val="12"/>
          <w:w w:val="110"/>
        </w:rPr>
        <w:t> </w:t>
      </w:r>
      <w:r>
        <w:rPr>
          <w:color w:val="3A383A"/>
          <w:w w:val="110"/>
        </w:rPr>
        <w:t>well.</w:t>
      </w:r>
      <w:r>
        <w:rPr>
          <w:color w:val="3A383A"/>
          <w:spacing w:val="18"/>
          <w:w w:val="110"/>
        </w:rPr>
        <w:t> </w:t>
      </w:r>
      <w:r>
        <w:rPr>
          <w:color w:val="3A383A"/>
          <w:w w:val="110"/>
        </w:rPr>
        <w:t>Usually,</w:t>
      </w:r>
      <w:r>
        <w:rPr>
          <w:color w:val="3A383A"/>
          <w:spacing w:val="37"/>
          <w:w w:val="110"/>
        </w:rPr>
        <w:t> </w:t>
      </w:r>
      <w:r>
        <w:rPr>
          <w:color w:val="3A383A"/>
          <w:w w:val="110"/>
        </w:rPr>
        <w:t>however,</w:t>
      </w:r>
      <w:r>
        <w:rPr>
          <w:color w:val="3A383A"/>
          <w:spacing w:val="30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55"/>
          <w:w w:val="110"/>
        </w:rPr>
        <w:t> </w:t>
      </w:r>
      <w:r>
        <w:rPr>
          <w:color w:val="3A383A"/>
          <w:w w:val="110"/>
        </w:rPr>
        <w:t>focus</w:t>
      </w:r>
      <w:r>
        <w:rPr>
          <w:color w:val="3A383A"/>
          <w:spacing w:val="11"/>
          <w:w w:val="110"/>
        </w:rPr>
        <w:t> </w:t>
      </w:r>
      <w:r>
        <w:rPr>
          <w:color w:val="3A383A"/>
          <w:w w:val="110"/>
        </w:rPr>
        <w:t>is</w:t>
      </w:r>
      <w:r>
        <w:rPr>
          <w:color w:val="3A383A"/>
          <w:spacing w:val="-4"/>
          <w:w w:val="110"/>
        </w:rPr>
        <w:t> </w:t>
      </w:r>
      <w:r>
        <w:rPr>
          <w:color w:val="3A383A"/>
          <w:w w:val="110"/>
        </w:rPr>
        <w:t>on</w:t>
      </w:r>
    </w:p>
    <w:p>
      <w:pPr>
        <w:pStyle w:val="BodyText"/>
        <w:tabs>
          <w:tab w:pos="1343" w:val="left" w:leader="none"/>
        </w:tabs>
        <w:spacing w:line="260" w:lineRule="exact"/>
        <w:ind w:right="111"/>
        <w:jc w:val="right"/>
      </w:pPr>
      <w:r>
        <w:rPr>
          <w:rFonts w:ascii="Arial"/>
          <w:b/>
          <w:color w:val="3A383A"/>
          <w:spacing w:val="-1"/>
          <w:w w:val="95"/>
          <w:sz w:val="15"/>
        </w:rPr>
        <w:t>reverse</w:t>
      </w:r>
      <w:r>
        <w:rPr>
          <w:rFonts w:ascii="Arial"/>
          <w:b/>
          <w:color w:val="3A383A"/>
          <w:spacing w:val="-11"/>
          <w:w w:val="95"/>
          <w:sz w:val="15"/>
        </w:rPr>
        <w:t> </w:t>
      </w:r>
      <w:r>
        <w:rPr>
          <w:b/>
          <w:color w:val="565657"/>
          <w:w w:val="95"/>
          <w:position w:val="8"/>
          <w:sz w:val="15"/>
        </w:rPr>
        <w:t>t</w:t>
      </w:r>
      <w:r>
        <w:rPr>
          <w:b/>
          <w:color w:val="3A383A"/>
          <w:w w:val="95"/>
          <w:position w:val="8"/>
          <w:sz w:val="15"/>
        </w:rPr>
        <w:t>h</w:t>
      </w:r>
      <w:r>
        <w:rPr>
          <w:rFonts w:ascii="Arial"/>
          <w:b/>
          <w:color w:val="3A383A"/>
          <w:w w:val="95"/>
          <w:sz w:val="15"/>
        </w:rPr>
        <w:t>e</w:t>
        <w:tab/>
      </w:r>
      <w:r>
        <w:rPr>
          <w:color w:val="3A383A"/>
          <w:w w:val="110"/>
        </w:rPr>
        <w:t>legal</w:t>
      </w:r>
      <w:r>
        <w:rPr>
          <w:color w:val="3A383A"/>
          <w:spacing w:val="19"/>
          <w:w w:val="110"/>
        </w:rPr>
        <w:t> </w:t>
      </w:r>
      <w:r>
        <w:rPr>
          <w:color w:val="3A383A"/>
          <w:w w:val="110"/>
        </w:rPr>
        <w:t>principles</w:t>
      </w:r>
      <w:r>
        <w:rPr>
          <w:color w:val="3A383A"/>
          <w:spacing w:val="11"/>
          <w:w w:val="110"/>
        </w:rPr>
        <w:t> </w:t>
      </w:r>
      <w:r>
        <w:rPr>
          <w:color w:val="3A383A"/>
          <w:w w:val="110"/>
        </w:rPr>
        <w:t>rather</w:t>
      </w:r>
      <w:r>
        <w:rPr>
          <w:color w:val="3A383A"/>
          <w:spacing w:val="12"/>
          <w:w w:val="110"/>
        </w:rPr>
        <w:t> </w:t>
      </w:r>
      <w:r>
        <w:rPr>
          <w:color w:val="3A383A"/>
          <w:w w:val="110"/>
        </w:rPr>
        <w:t>than</w:t>
      </w:r>
      <w:r>
        <w:rPr>
          <w:color w:val="3A383A"/>
          <w:spacing w:val="12"/>
          <w:w w:val="110"/>
        </w:rPr>
        <w:t> </w:t>
      </w:r>
      <w:r>
        <w:rPr>
          <w:color w:val="3A383A"/>
          <w:w w:val="110"/>
        </w:rPr>
        <w:t>on</w:t>
      </w:r>
      <w:r>
        <w:rPr>
          <w:color w:val="3A383A"/>
          <w:spacing w:val="18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-10"/>
          <w:w w:val="110"/>
        </w:rPr>
        <w:t> </w:t>
      </w:r>
      <w:r>
        <w:rPr>
          <w:color w:val="3A383A"/>
          <w:w w:val="110"/>
        </w:rPr>
        <w:t>authorities</w:t>
      </w:r>
      <w:r>
        <w:rPr>
          <w:color w:val="3A383A"/>
          <w:spacing w:val="20"/>
          <w:w w:val="110"/>
        </w:rPr>
        <w:t> </w:t>
      </w:r>
      <w:r>
        <w:rPr>
          <w:color w:val="3A383A"/>
          <w:w w:val="110"/>
        </w:rPr>
        <w:t>that</w:t>
      </w:r>
      <w:r>
        <w:rPr>
          <w:color w:val="3A383A"/>
          <w:spacing w:val="3"/>
          <w:w w:val="110"/>
        </w:rPr>
        <w:t> </w:t>
      </w:r>
      <w:r>
        <w:rPr>
          <w:color w:val="3A383A"/>
          <w:w w:val="110"/>
        </w:rPr>
        <w:t>are</w:t>
      </w:r>
      <w:r>
        <w:rPr>
          <w:color w:val="3A383A"/>
          <w:spacing w:val="-17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-12"/>
          <w:w w:val="110"/>
        </w:rPr>
        <w:t> </w:t>
      </w:r>
      <w:r>
        <w:rPr>
          <w:color w:val="3A383A"/>
          <w:w w:val="110"/>
        </w:rPr>
        <w:t>source</w:t>
      </w:r>
      <w:r>
        <w:rPr>
          <w:color w:val="3A383A"/>
          <w:spacing w:val="-2"/>
          <w:w w:val="110"/>
        </w:rPr>
        <w:t> </w:t>
      </w:r>
      <w:r>
        <w:rPr>
          <w:color w:val="3A383A"/>
          <w:w w:val="110"/>
        </w:rPr>
        <w:t>of</w:t>
      </w:r>
      <w:r>
        <w:rPr>
          <w:color w:val="3A383A"/>
          <w:spacing w:val="10"/>
          <w:w w:val="110"/>
        </w:rPr>
        <w:t> </w:t>
      </w:r>
      <w:r>
        <w:rPr>
          <w:color w:val="3A383A"/>
          <w:w w:val="110"/>
        </w:rPr>
        <w:t>those</w:t>
      </w:r>
    </w:p>
    <w:p>
      <w:pPr>
        <w:pStyle w:val="BodyText"/>
        <w:spacing w:line="253" w:lineRule="exact" w:before="15"/>
        <w:ind w:left="1503"/>
      </w:pPr>
      <w:r>
        <w:rPr>
          <w:color w:val="3A383A"/>
          <w:w w:val="105"/>
        </w:rPr>
        <w:t>principles.</w:t>
      </w:r>
    </w:p>
    <w:p>
      <w:pPr>
        <w:pStyle w:val="BodyText"/>
        <w:spacing w:line="235" w:lineRule="auto"/>
        <w:ind w:left="1465" w:right="114" w:firstLine="377"/>
        <w:jc w:val="both"/>
      </w:pPr>
      <w:r>
        <w:rPr>
          <w:color w:val="3A383A"/>
          <w:w w:val="115"/>
        </w:rPr>
        <w:t>To summarize, the summary of the argument should </w:t>
      </w:r>
      <w:r>
        <w:rPr>
          <w:rFonts w:ascii="Arial" w:hAnsi="Arial"/>
          <w:color w:val="3A383A"/>
          <w:w w:val="115"/>
          <w:sz w:val="20"/>
        </w:rPr>
        <w:t>(1) </w:t>
      </w:r>
      <w:r>
        <w:rPr>
          <w:color w:val="3A383A"/>
          <w:w w:val="115"/>
        </w:rPr>
        <w:t>signal the</w:t>
      </w:r>
      <w:r>
        <w:rPr>
          <w:color w:val="3A383A"/>
          <w:spacing w:val="1"/>
          <w:w w:val="115"/>
        </w:rPr>
        <w:t> </w:t>
      </w:r>
      <w:r>
        <w:rPr>
          <w:color w:val="3A383A"/>
          <w:spacing w:val="-1"/>
          <w:w w:val="115"/>
        </w:rPr>
        <w:t>writer's theme, (2) signal the writer's major arguments and </w:t>
      </w:r>
      <w:r>
        <w:rPr>
          <w:color w:val="3A383A"/>
          <w:w w:val="115"/>
        </w:rPr>
        <w:t>the order in</w:t>
      </w:r>
      <w:r>
        <w:rPr>
          <w:color w:val="3A383A"/>
          <w:spacing w:val="-64"/>
          <w:w w:val="115"/>
        </w:rPr>
        <w:t> </w:t>
      </w:r>
      <w:r>
        <w:rPr>
          <w:color w:val="3A383A"/>
          <w:w w:val="110"/>
        </w:rPr>
        <w:t>which those arguments will appear, (3) focus on rules and their applica­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tion rather than detailed explanations, and (4) avoid most citations to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authority.</w:t>
      </w:r>
    </w:p>
    <w:p>
      <w:pPr>
        <w:pStyle w:val="BodyText"/>
        <w:rPr>
          <w:sz w:val="26"/>
        </w:rPr>
      </w:pPr>
    </w:p>
    <w:p>
      <w:pPr>
        <w:spacing w:before="225"/>
        <w:ind w:left="0" w:right="6461" w:firstLine="0"/>
        <w:jc w:val="right"/>
        <w:rPr>
          <w:rFonts w:ascii="Arial"/>
          <w:b/>
          <w:sz w:val="32"/>
        </w:rPr>
      </w:pPr>
      <w:r>
        <w:rPr>
          <w:rFonts w:ascii="Arial"/>
          <w:b/>
          <w:color w:val="3A383A"/>
          <w:w w:val="110"/>
          <w:sz w:val="32"/>
        </w:rPr>
        <w:t>9.4</w:t>
      </w:r>
    </w:p>
    <w:p>
      <w:pPr>
        <w:spacing w:before="64"/>
        <w:ind w:left="1815" w:right="4330" w:firstLine="0"/>
        <w:jc w:val="center"/>
        <w:rPr>
          <w:rFonts w:ascii="Arial"/>
          <w:b/>
          <w:sz w:val="26"/>
        </w:rPr>
      </w:pPr>
      <w:r>
        <w:rPr>
          <w:rFonts w:ascii="Arial"/>
          <w:b/>
          <w:color w:val="3A383A"/>
          <w:w w:val="105"/>
          <w:sz w:val="26"/>
        </w:rPr>
        <w:t>POINT</w:t>
      </w:r>
      <w:r>
        <w:rPr>
          <w:rFonts w:ascii="Arial"/>
          <w:b/>
          <w:color w:val="3A383A"/>
          <w:spacing w:val="2"/>
          <w:w w:val="105"/>
          <w:sz w:val="26"/>
        </w:rPr>
        <w:t> </w:t>
      </w:r>
      <w:r>
        <w:rPr>
          <w:rFonts w:ascii="Arial"/>
          <w:b/>
          <w:color w:val="3A383A"/>
          <w:w w:val="105"/>
          <w:sz w:val="26"/>
        </w:rPr>
        <w:t>HEADINGS</w:t>
      </w:r>
    </w:p>
    <w:p>
      <w:pPr>
        <w:pStyle w:val="BodyText"/>
        <w:spacing w:before="5"/>
        <w:rPr>
          <w:rFonts w:ascii="Arial"/>
          <w:b/>
        </w:rPr>
      </w:pPr>
    </w:p>
    <w:p>
      <w:pPr>
        <w:spacing w:before="0"/>
        <w:ind w:left="0" w:right="6526" w:firstLine="0"/>
        <w:jc w:val="right"/>
        <w:rPr>
          <w:rFonts w:ascii="Arial"/>
          <w:b/>
          <w:sz w:val="28"/>
        </w:rPr>
      </w:pPr>
      <w:r>
        <w:rPr>
          <w:rFonts w:ascii="Arial"/>
          <w:b/>
          <w:color w:val="3A383A"/>
          <w:w w:val="110"/>
          <w:sz w:val="28"/>
        </w:rPr>
        <w:t>9</w:t>
      </w:r>
      <w:r>
        <w:rPr>
          <w:rFonts w:ascii="Arial"/>
          <w:b/>
          <w:color w:val="565657"/>
          <w:w w:val="110"/>
          <w:sz w:val="28"/>
        </w:rPr>
        <w:t>.</w:t>
      </w:r>
      <w:r>
        <w:rPr>
          <w:rFonts w:ascii="Arial"/>
          <w:b/>
          <w:color w:val="3A383A"/>
          <w:w w:val="110"/>
          <w:sz w:val="28"/>
        </w:rPr>
        <w:t>4.1</w:t>
      </w:r>
    </w:p>
    <w:p>
      <w:pPr>
        <w:spacing w:before="35"/>
        <w:ind w:left="1815" w:right="4388" w:firstLine="0"/>
        <w:jc w:val="center"/>
        <w:rPr>
          <w:b/>
          <w:sz w:val="23"/>
        </w:rPr>
      </w:pPr>
      <w:r>
        <w:rPr>
          <w:b/>
          <w:color w:val="3A383A"/>
          <w:w w:val="95"/>
          <w:sz w:val="23"/>
        </w:rPr>
        <w:t>FORMAT</w:t>
      </w:r>
      <w:r>
        <w:rPr>
          <w:b/>
          <w:color w:val="3A383A"/>
          <w:spacing w:val="30"/>
          <w:w w:val="95"/>
          <w:sz w:val="23"/>
        </w:rPr>
        <w:t> </w:t>
      </w:r>
      <w:r>
        <w:rPr>
          <w:b/>
          <w:color w:val="3A383A"/>
          <w:w w:val="95"/>
          <w:sz w:val="23"/>
        </w:rPr>
        <w:t>AND</w:t>
      </w:r>
      <w:r>
        <w:rPr>
          <w:b/>
          <w:color w:val="3A383A"/>
          <w:spacing w:val="27"/>
          <w:w w:val="95"/>
          <w:sz w:val="23"/>
        </w:rPr>
        <w:t> </w:t>
      </w:r>
      <w:r>
        <w:rPr>
          <w:b/>
          <w:color w:val="3A383A"/>
          <w:w w:val="95"/>
          <w:sz w:val="23"/>
        </w:rPr>
        <w:t>FUNCTION</w:t>
      </w:r>
    </w:p>
    <w:p>
      <w:pPr>
        <w:pStyle w:val="BodyText"/>
        <w:spacing w:line="232" w:lineRule="auto" w:before="146"/>
        <w:ind w:left="1349" w:right="144" w:firstLine="434"/>
        <w:jc w:val="both"/>
      </w:pPr>
      <w:r>
        <w:rPr>
          <w:color w:val="3A383A"/>
          <w:w w:val="110"/>
        </w:rPr>
        <w:t>Court</w:t>
      </w:r>
      <w:r>
        <w:rPr>
          <w:color w:val="3A383A"/>
          <w:spacing w:val="-5"/>
          <w:w w:val="110"/>
        </w:rPr>
        <w:t> </w:t>
      </w:r>
      <w:r>
        <w:rPr>
          <w:color w:val="3A383A"/>
          <w:w w:val="110"/>
        </w:rPr>
        <w:t>rules</w:t>
      </w:r>
      <w:r>
        <w:rPr>
          <w:color w:val="3A383A"/>
          <w:spacing w:val="-32"/>
          <w:w w:val="110"/>
        </w:rPr>
        <w:t> </w:t>
      </w:r>
      <w:r>
        <w:rPr>
          <w:color w:val="3A383A"/>
          <w:w w:val="110"/>
        </w:rPr>
        <w:t>do</w:t>
      </w:r>
      <w:r>
        <w:rPr>
          <w:color w:val="3A383A"/>
          <w:spacing w:val="16"/>
          <w:w w:val="110"/>
        </w:rPr>
        <w:t> </w:t>
      </w:r>
      <w:r>
        <w:rPr>
          <w:color w:val="3A383A"/>
          <w:w w:val="110"/>
        </w:rPr>
        <w:t>not</w:t>
      </w:r>
      <w:r>
        <w:rPr>
          <w:color w:val="3A383A"/>
          <w:spacing w:val="13"/>
          <w:w w:val="110"/>
        </w:rPr>
        <w:t> </w:t>
      </w:r>
      <w:r>
        <w:rPr>
          <w:color w:val="3A383A"/>
          <w:w w:val="110"/>
        </w:rPr>
        <w:t>give</w:t>
      </w:r>
      <w:r>
        <w:rPr>
          <w:color w:val="3A383A"/>
          <w:spacing w:val="-17"/>
          <w:w w:val="110"/>
        </w:rPr>
        <w:t> </w:t>
      </w:r>
      <w:r>
        <w:rPr>
          <w:color w:val="3A383A"/>
          <w:w w:val="110"/>
        </w:rPr>
        <w:t>much</w:t>
      </w:r>
      <w:r>
        <w:rPr>
          <w:color w:val="3A383A"/>
          <w:spacing w:val="-8"/>
          <w:w w:val="110"/>
        </w:rPr>
        <w:t> </w:t>
      </w:r>
      <w:r>
        <w:rPr>
          <w:color w:val="3A383A"/>
          <w:w w:val="110"/>
        </w:rPr>
        <w:t>guidance</w:t>
      </w:r>
      <w:r>
        <w:rPr>
          <w:color w:val="3A383A"/>
          <w:spacing w:val="-22"/>
          <w:w w:val="110"/>
        </w:rPr>
        <w:t> </w:t>
      </w:r>
      <w:r>
        <w:rPr>
          <w:color w:val="3A383A"/>
          <w:w w:val="110"/>
        </w:rPr>
        <w:t>about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point</w:t>
      </w:r>
      <w:r>
        <w:rPr>
          <w:color w:val="3A383A"/>
          <w:spacing w:val="9"/>
          <w:w w:val="110"/>
        </w:rPr>
        <w:t> </w:t>
      </w:r>
      <w:r>
        <w:rPr>
          <w:color w:val="3A383A"/>
          <w:w w:val="110"/>
        </w:rPr>
        <w:t>headings.</w:t>
      </w:r>
      <w:r>
        <w:rPr>
          <w:color w:val="3A383A"/>
          <w:spacing w:val="-26"/>
          <w:w w:val="110"/>
        </w:rPr>
        <w:t> </w:t>
      </w:r>
      <w:r>
        <w:rPr>
          <w:color w:val="3A383A"/>
          <w:w w:val="110"/>
        </w:rPr>
        <w:t>Supreme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0"/>
        </w:rPr>
        <w:t>Court Rule </w:t>
      </w:r>
      <w:r>
        <w:rPr>
          <w:color w:val="3A383A"/>
          <w:w w:val="110"/>
          <w:sz w:val="21"/>
        </w:rPr>
        <w:t>24.1</w:t>
      </w:r>
      <w:r>
        <w:rPr>
          <w:color w:val="3A383A"/>
          <w:w w:val="110"/>
        </w:rPr>
        <w:t>(h) mentions them in passing, noting that an effec</w:t>
      </w:r>
      <w:r>
        <w:rPr>
          <w:color w:val="565657"/>
          <w:w w:val="110"/>
        </w:rPr>
        <w:t>t</w:t>
      </w:r>
      <w:r>
        <w:rPr>
          <w:color w:val="3A383A"/>
          <w:w w:val="110"/>
        </w:rPr>
        <w:t>ive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summary of the argument should not merely repeat "the headings under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which the argument is arranged." They are rarely mentioned at all </w:t>
      </w:r>
      <w:r>
        <w:rPr>
          <w:color w:val="565657"/>
          <w:w w:val="110"/>
        </w:rPr>
        <w:t>i</w:t>
      </w:r>
      <w:r>
        <w:rPr>
          <w:color w:val="3A383A"/>
          <w:w w:val="110"/>
        </w:rPr>
        <w:t>n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limited court rules that guide motion briefs, and even then they are men.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tioned only in reference to related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material-for example,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pleading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standard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that applies to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 given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section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of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argument-and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not in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reference to the content of the heading itself. Nevertheless, well-drafted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point headings can help both the reader and the user get the maximum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benefit</w:t>
      </w:r>
      <w:r>
        <w:rPr>
          <w:color w:val="3A383A"/>
          <w:spacing w:val="-1"/>
          <w:w w:val="110"/>
        </w:rPr>
        <w:t> </w:t>
      </w:r>
      <w:r>
        <w:rPr>
          <w:color w:val="3A383A"/>
          <w:w w:val="110"/>
        </w:rPr>
        <w:t>from</w:t>
      </w:r>
      <w:r>
        <w:rPr>
          <w:color w:val="3A383A"/>
          <w:spacing w:val="9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19"/>
          <w:w w:val="110"/>
        </w:rPr>
        <w:t> </w:t>
      </w:r>
      <w:r>
        <w:rPr>
          <w:color w:val="3A383A"/>
          <w:w w:val="110"/>
        </w:rPr>
        <w:t>brief.</w:t>
      </w:r>
    </w:p>
    <w:p>
      <w:pPr>
        <w:spacing w:after="0" w:line="232" w:lineRule="auto"/>
        <w:jc w:val="both"/>
        <w:sectPr>
          <w:type w:val="continuous"/>
          <w:pgSz w:w="9760" w:h="13990"/>
          <w:pgMar w:header="578" w:footer="0" w:top="340" w:bottom="280" w:left="600" w:right="140"/>
        </w:sectPr>
      </w:pPr>
    </w:p>
    <w:p>
      <w:pPr>
        <w:pStyle w:val="BodyText"/>
        <w:rPr>
          <w:sz w:val="10"/>
        </w:rPr>
      </w:pPr>
    </w:p>
    <w:p>
      <w:pPr>
        <w:spacing w:line="242" w:lineRule="auto" w:before="93"/>
        <w:ind w:left="2609" w:right="3121" w:firstLine="0"/>
        <w:jc w:val="center"/>
        <w:rPr>
          <w:sz w:val="19"/>
        </w:rPr>
      </w:pPr>
      <w:r>
        <w:rPr>
          <w:color w:val="3D3B3D"/>
          <w:w w:val="115"/>
          <w:sz w:val="19"/>
        </w:rPr>
        <w:t>Format</w:t>
      </w:r>
      <w:r>
        <w:rPr>
          <w:color w:val="3D3B3D"/>
          <w:spacing w:val="1"/>
          <w:w w:val="115"/>
          <w:sz w:val="19"/>
        </w:rPr>
        <w:t> </w:t>
      </w:r>
      <w:r>
        <w:rPr>
          <w:color w:val="3D3B3D"/>
          <w:w w:val="115"/>
          <w:sz w:val="19"/>
        </w:rPr>
        <w:t>Requirements for</w:t>
      </w:r>
      <w:r>
        <w:rPr>
          <w:color w:val="3D3B3D"/>
          <w:spacing w:val="-52"/>
          <w:w w:val="115"/>
          <w:sz w:val="19"/>
        </w:rPr>
        <w:t> </w:t>
      </w:r>
      <w:r>
        <w:rPr>
          <w:color w:val="3D3B3D"/>
          <w:w w:val="120"/>
          <w:sz w:val="19"/>
        </w:rPr>
        <w:t>Point</w:t>
      </w:r>
      <w:r>
        <w:rPr>
          <w:color w:val="3D3B3D"/>
          <w:spacing w:val="1"/>
          <w:w w:val="120"/>
          <w:sz w:val="19"/>
        </w:rPr>
        <w:t> </w:t>
      </w:r>
      <w:r>
        <w:rPr>
          <w:color w:val="3D3B3D"/>
          <w:w w:val="120"/>
          <w:sz w:val="19"/>
        </w:rPr>
        <w:t>Headings</w:t>
      </w:r>
    </w:p>
    <w:p>
      <w:pPr>
        <w:spacing w:line="252" w:lineRule="auto" w:before="117"/>
        <w:ind w:left="637" w:right="714" w:firstLine="357"/>
        <w:jc w:val="left"/>
        <w:rPr>
          <w:sz w:val="18"/>
        </w:rPr>
      </w:pPr>
      <w:r>
        <w:rPr>
          <w:color w:val="3D3B3D"/>
          <w:w w:val="105"/>
          <w:sz w:val="18"/>
        </w:rPr>
        <w:t>Traditionally,</w:t>
      </w:r>
      <w:r>
        <w:rPr>
          <w:color w:val="3D3B3D"/>
          <w:spacing w:val="-29"/>
          <w:w w:val="105"/>
          <w:sz w:val="18"/>
        </w:rPr>
        <w:t> </w:t>
      </w:r>
      <w:r>
        <w:rPr>
          <w:color w:val="3D3B3D"/>
          <w:w w:val="105"/>
          <w:sz w:val="18"/>
        </w:rPr>
        <w:t>major</w:t>
      </w:r>
      <w:r>
        <w:rPr>
          <w:color w:val="3D3B3D"/>
          <w:spacing w:val="-15"/>
          <w:w w:val="105"/>
          <w:sz w:val="18"/>
        </w:rPr>
        <w:t> </w:t>
      </w:r>
      <w:r>
        <w:rPr>
          <w:color w:val="3D3B3D"/>
          <w:w w:val="105"/>
          <w:sz w:val="18"/>
        </w:rPr>
        <w:t>contentions</w:t>
      </w:r>
      <w:r>
        <w:rPr>
          <w:color w:val="3D3B3D"/>
          <w:spacing w:val="-3"/>
          <w:w w:val="105"/>
          <w:sz w:val="18"/>
        </w:rPr>
        <w:t> </w:t>
      </w:r>
      <w:r>
        <w:rPr>
          <w:color w:val="3D3B3D"/>
          <w:w w:val="105"/>
          <w:sz w:val="18"/>
        </w:rPr>
        <w:t>are</w:t>
      </w:r>
      <w:r>
        <w:rPr>
          <w:color w:val="3D3B3D"/>
          <w:spacing w:val="-6"/>
          <w:w w:val="105"/>
          <w:sz w:val="18"/>
        </w:rPr>
        <w:t> </w:t>
      </w:r>
      <w:r>
        <w:rPr>
          <w:color w:val="3D3B3D"/>
          <w:w w:val="105"/>
          <w:sz w:val="18"/>
        </w:rPr>
        <w:t>labeled</w:t>
      </w:r>
      <w:r>
        <w:rPr>
          <w:color w:val="3D3B3D"/>
          <w:spacing w:val="1"/>
          <w:w w:val="105"/>
          <w:sz w:val="18"/>
        </w:rPr>
        <w:t> </w:t>
      </w:r>
      <w:r>
        <w:rPr>
          <w:color w:val="3D3B3D"/>
          <w:w w:val="105"/>
          <w:sz w:val="18"/>
        </w:rPr>
        <w:t>with</w:t>
      </w:r>
      <w:r>
        <w:rPr>
          <w:color w:val="3D3B3D"/>
          <w:spacing w:val="-5"/>
          <w:w w:val="105"/>
          <w:sz w:val="18"/>
        </w:rPr>
        <w:t> </w:t>
      </w:r>
      <w:r>
        <w:rPr>
          <w:color w:val="3D3B3D"/>
          <w:w w:val="105"/>
          <w:sz w:val="18"/>
        </w:rPr>
        <w:t>roman</w:t>
      </w:r>
      <w:r>
        <w:rPr>
          <w:color w:val="3D3B3D"/>
          <w:spacing w:val="-1"/>
          <w:w w:val="105"/>
          <w:sz w:val="18"/>
        </w:rPr>
        <w:t> </w:t>
      </w:r>
      <w:r>
        <w:rPr>
          <w:color w:val="3D3B3D"/>
          <w:w w:val="105"/>
          <w:sz w:val="18"/>
        </w:rPr>
        <w:t>numerals</w:t>
      </w:r>
      <w:r>
        <w:rPr>
          <w:color w:val="5E5D60"/>
          <w:w w:val="105"/>
          <w:sz w:val="18"/>
        </w:rPr>
        <w:t>.</w:t>
      </w:r>
      <w:r>
        <w:rPr>
          <w:color w:val="5E5D60"/>
          <w:spacing w:val="-15"/>
          <w:w w:val="105"/>
          <w:sz w:val="18"/>
        </w:rPr>
        <w:t> </w:t>
      </w:r>
      <w:r>
        <w:rPr>
          <w:color w:val="3D3B3D"/>
          <w:w w:val="105"/>
          <w:sz w:val="18"/>
        </w:rPr>
        <w:t>Subpoints</w:t>
      </w:r>
      <w:r>
        <w:rPr>
          <w:color w:val="3D3B3D"/>
          <w:spacing w:val="-9"/>
          <w:w w:val="105"/>
          <w:sz w:val="18"/>
        </w:rPr>
        <w:t> </w:t>
      </w:r>
      <w:r>
        <w:rPr>
          <w:color w:val="3D3B3D"/>
          <w:w w:val="105"/>
          <w:sz w:val="18"/>
        </w:rPr>
        <w:t>under</w:t>
      </w:r>
      <w:r>
        <w:rPr>
          <w:color w:val="3D3B3D"/>
          <w:spacing w:val="1"/>
          <w:w w:val="105"/>
          <w:sz w:val="18"/>
        </w:rPr>
        <w:t> </w:t>
      </w:r>
      <w:r>
        <w:rPr>
          <w:color w:val="3D3B3D"/>
          <w:spacing w:val="-1"/>
          <w:w w:val="105"/>
          <w:sz w:val="18"/>
        </w:rPr>
        <w:t>roman numerals </w:t>
      </w:r>
      <w:r>
        <w:rPr>
          <w:color w:val="3D3B3D"/>
          <w:w w:val="105"/>
          <w:sz w:val="18"/>
        </w:rPr>
        <w:t>are labeled with capital letters. Subpoints under uppercase letters are</w:t>
      </w:r>
      <w:r>
        <w:rPr>
          <w:color w:val="3D3B3D"/>
          <w:spacing w:val="1"/>
          <w:w w:val="105"/>
          <w:sz w:val="18"/>
        </w:rPr>
        <w:t> </w:t>
      </w:r>
      <w:r>
        <w:rPr>
          <w:color w:val="3D3B3D"/>
          <w:spacing w:val="-1"/>
          <w:w w:val="105"/>
          <w:sz w:val="18"/>
        </w:rPr>
        <w:t>labeled with Arabic numerals. Subpoints under </w:t>
      </w:r>
      <w:r>
        <w:rPr>
          <w:color w:val="3D3B3D"/>
          <w:w w:val="105"/>
          <w:sz w:val="18"/>
        </w:rPr>
        <w:t>Arabic numerals are labeled with lower­</w:t>
      </w:r>
      <w:r>
        <w:rPr>
          <w:color w:val="3D3B3D"/>
          <w:spacing w:val="-45"/>
          <w:w w:val="105"/>
          <w:sz w:val="18"/>
        </w:rPr>
        <w:t> </w:t>
      </w:r>
      <w:r>
        <w:rPr>
          <w:color w:val="3D3B3D"/>
          <w:w w:val="105"/>
          <w:sz w:val="18"/>
        </w:rPr>
        <w:t>case</w:t>
      </w:r>
      <w:r>
        <w:rPr>
          <w:color w:val="3D3B3D"/>
          <w:spacing w:val="-17"/>
          <w:w w:val="105"/>
          <w:sz w:val="18"/>
        </w:rPr>
        <w:t> </w:t>
      </w:r>
      <w:r>
        <w:rPr>
          <w:color w:val="3D3B3D"/>
          <w:w w:val="105"/>
          <w:sz w:val="18"/>
        </w:rPr>
        <w:t>letters.</w:t>
      </w:r>
      <w:r>
        <w:rPr>
          <w:color w:val="3D3B3D"/>
          <w:spacing w:val="-17"/>
          <w:w w:val="105"/>
          <w:sz w:val="18"/>
        </w:rPr>
        <w:t> </w:t>
      </w:r>
      <w:r>
        <w:rPr>
          <w:color w:val="3D3B3D"/>
          <w:w w:val="105"/>
          <w:sz w:val="18"/>
        </w:rPr>
        <w:t>Thus:</w:t>
      </w:r>
    </w:p>
    <w:p>
      <w:pPr>
        <w:spacing w:line="187" w:lineRule="exact" w:before="26"/>
        <w:ind w:left="639" w:right="0" w:firstLine="0"/>
        <w:jc w:val="left"/>
        <w:rPr>
          <w:sz w:val="18"/>
        </w:rPr>
      </w:pPr>
      <w:r>
        <w:rPr>
          <w:color w:val="3D3B3D"/>
          <w:w w:val="110"/>
          <w:sz w:val="18"/>
        </w:rPr>
        <w:t>I.</w:t>
      </w:r>
    </w:p>
    <w:p>
      <w:pPr>
        <w:spacing w:line="238" w:lineRule="exact" w:before="0"/>
        <w:ind w:left="997" w:right="0" w:firstLine="0"/>
        <w:jc w:val="left"/>
        <w:rPr>
          <w:rFonts w:ascii="Courier New"/>
          <w:sz w:val="22"/>
        </w:rPr>
      </w:pPr>
      <w:r>
        <w:rPr>
          <w:rFonts w:ascii="Courier New"/>
          <w:color w:val="3D3B3D"/>
          <w:sz w:val="22"/>
        </w:rPr>
        <w:t>A</w:t>
      </w:r>
      <w:r>
        <w:rPr>
          <w:rFonts w:ascii="Courier New"/>
          <w:color w:val="5E5D60"/>
          <w:sz w:val="22"/>
        </w:rPr>
        <w:t>.</w:t>
      </w:r>
    </w:p>
    <w:p>
      <w:pPr>
        <w:spacing w:line="204" w:lineRule="exact" w:before="0"/>
        <w:ind w:left="1400" w:right="0" w:firstLine="0"/>
        <w:jc w:val="left"/>
        <w:rPr>
          <w:sz w:val="19"/>
        </w:rPr>
      </w:pPr>
      <w:r>
        <w:rPr>
          <w:color w:val="3D3B3D"/>
          <w:sz w:val="19"/>
        </w:rPr>
        <w:t>I.</w:t>
      </w:r>
    </w:p>
    <w:p>
      <w:pPr>
        <w:spacing w:line="215" w:lineRule="exact" w:before="0"/>
        <w:ind w:left="1745" w:right="0" w:firstLine="0"/>
        <w:jc w:val="left"/>
        <w:rPr>
          <w:sz w:val="19"/>
        </w:rPr>
      </w:pPr>
      <w:r>
        <w:rPr>
          <w:color w:val="3D3B3D"/>
          <w:sz w:val="19"/>
        </w:rPr>
        <w:t>a.</w:t>
      </w:r>
    </w:p>
    <w:p>
      <w:pPr>
        <w:spacing w:before="13"/>
        <w:ind w:left="1762" w:right="0" w:firstLine="0"/>
        <w:jc w:val="left"/>
        <w:rPr>
          <w:sz w:val="18"/>
        </w:rPr>
      </w:pPr>
      <w:r>
        <w:rPr>
          <w:color w:val="3D3B3D"/>
          <w:sz w:val="18"/>
        </w:rPr>
        <w:t>b.</w:t>
      </w:r>
    </w:p>
    <w:p>
      <w:pPr>
        <w:spacing w:line="228" w:lineRule="exact" w:before="7"/>
        <w:ind w:left="1368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3D3B3D"/>
          <w:w w:val="85"/>
          <w:sz w:val="21"/>
        </w:rPr>
        <w:t>2.</w:t>
      </w:r>
    </w:p>
    <w:p>
      <w:pPr>
        <w:spacing w:line="197" w:lineRule="exact" w:before="0"/>
        <w:ind w:left="1006" w:right="0" w:firstLine="0"/>
        <w:jc w:val="left"/>
        <w:rPr>
          <w:rFonts w:ascii="Arial"/>
          <w:sz w:val="18"/>
        </w:rPr>
      </w:pPr>
      <w:r>
        <w:rPr>
          <w:rFonts w:ascii="Arial"/>
          <w:color w:val="3D3B3D"/>
          <w:w w:val="85"/>
          <w:sz w:val="18"/>
        </w:rPr>
        <w:t>B.</w:t>
      </w:r>
    </w:p>
    <w:p>
      <w:pPr>
        <w:spacing w:before="9"/>
        <w:ind w:left="997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3D3B3D"/>
          <w:w w:val="105"/>
          <w:sz w:val="21"/>
        </w:rPr>
        <w:t>C</w:t>
      </w:r>
      <w:r>
        <w:rPr>
          <w:rFonts w:ascii="Courier New"/>
          <w:color w:val="5E5D60"/>
          <w:w w:val="105"/>
          <w:sz w:val="21"/>
        </w:rPr>
        <w:t>.</w:t>
      </w:r>
    </w:p>
    <w:p>
      <w:pPr>
        <w:spacing w:line="252" w:lineRule="auto" w:before="96"/>
        <w:ind w:left="645" w:right="712" w:firstLine="1"/>
        <w:jc w:val="left"/>
        <w:rPr>
          <w:sz w:val="18"/>
        </w:rPr>
      </w:pPr>
      <w:r>
        <w:rPr>
          <w:color w:val="3D3B3D"/>
          <w:w w:val="105"/>
          <w:sz w:val="18"/>
        </w:rPr>
        <w:t>Conventional wisdom is that you should never have a "I" without a "II," </w:t>
      </w:r>
      <w:r>
        <w:rPr>
          <w:rFonts w:ascii="Arial" w:hAnsi="Arial"/>
          <w:color w:val="3D3B3D"/>
          <w:w w:val="105"/>
          <w:sz w:val="16"/>
        </w:rPr>
        <w:t>an</w:t>
      </w:r>
      <w:r>
        <w:rPr>
          <w:color w:val="3D3B3D"/>
          <w:w w:val="105"/>
          <w:sz w:val="18"/>
        </w:rPr>
        <w:t>"A" with­</w:t>
      </w:r>
      <w:r>
        <w:rPr>
          <w:color w:val="3D3B3D"/>
          <w:spacing w:val="1"/>
          <w:w w:val="105"/>
          <w:sz w:val="18"/>
        </w:rPr>
        <w:t> </w:t>
      </w:r>
      <w:r>
        <w:rPr>
          <w:color w:val="3D3B3D"/>
          <w:w w:val="105"/>
          <w:sz w:val="18"/>
        </w:rPr>
        <w:t>out a </w:t>
      </w:r>
      <w:r>
        <w:rPr>
          <w:rFonts w:ascii="Arial" w:hAnsi="Arial"/>
          <w:color w:val="3D3B3D"/>
          <w:w w:val="105"/>
          <w:sz w:val="17"/>
        </w:rPr>
        <w:t>"B,</w:t>
      </w:r>
      <w:r>
        <w:rPr>
          <w:rFonts w:ascii="Arial" w:hAnsi="Arial"/>
          <w:color w:val="5E5D60"/>
          <w:w w:val="105"/>
          <w:sz w:val="17"/>
        </w:rPr>
        <w:t>"</w:t>
      </w:r>
      <w:r>
        <w:rPr>
          <w:rFonts w:ascii="Arial" w:hAnsi="Arial"/>
          <w:color w:val="5E5D60"/>
          <w:spacing w:val="1"/>
          <w:w w:val="105"/>
          <w:sz w:val="17"/>
        </w:rPr>
        <w:t> </w:t>
      </w:r>
      <w:r>
        <w:rPr>
          <w:color w:val="3D3B3D"/>
          <w:w w:val="105"/>
          <w:sz w:val="18"/>
        </w:rPr>
        <w:t>andso on. While this advice is valid (becauseyou cannot divide something</w:t>
      </w:r>
      <w:r>
        <w:rPr>
          <w:color w:val="3D3B3D"/>
          <w:spacing w:val="1"/>
          <w:w w:val="105"/>
          <w:sz w:val="18"/>
        </w:rPr>
        <w:t> </w:t>
      </w:r>
      <w:r>
        <w:rPr>
          <w:color w:val="3D3B3D"/>
          <w:w w:val="105"/>
          <w:sz w:val="18"/>
        </w:rPr>
        <w:t>into just one section), there is an exception in written advocacy. If your argument relies</w:t>
      </w:r>
      <w:r>
        <w:rPr>
          <w:color w:val="3D3B3D"/>
          <w:spacing w:val="-45"/>
          <w:w w:val="105"/>
          <w:sz w:val="18"/>
        </w:rPr>
        <w:t> </w:t>
      </w:r>
      <w:r>
        <w:rPr>
          <w:color w:val="3D3B3D"/>
          <w:w w:val="105"/>
          <w:sz w:val="18"/>
        </w:rPr>
        <w:t>on one dispositive point, that point can </w:t>
      </w:r>
      <w:r>
        <w:rPr>
          <w:b/>
          <w:color w:val="3D3B3D"/>
          <w:w w:val="105"/>
          <w:sz w:val="19"/>
        </w:rPr>
        <w:t>be </w:t>
      </w:r>
      <w:r>
        <w:rPr>
          <w:color w:val="3D3B3D"/>
          <w:w w:val="105"/>
          <w:sz w:val="18"/>
        </w:rPr>
        <w:t>labeled </w:t>
      </w:r>
      <w:r>
        <w:rPr>
          <w:color w:val="3D3B3D"/>
          <w:w w:val="105"/>
          <w:sz w:val="19"/>
        </w:rPr>
        <w:t>as </w:t>
      </w:r>
      <w:r>
        <w:rPr>
          <w:color w:val="3D3B3D"/>
          <w:w w:val="105"/>
          <w:sz w:val="18"/>
        </w:rPr>
        <w:t>a </w:t>
      </w:r>
      <w:r>
        <w:rPr>
          <w:rFonts w:ascii="Arial" w:hAnsi="Arial"/>
          <w:color w:val="3D3B3D"/>
          <w:w w:val="105"/>
          <w:sz w:val="17"/>
        </w:rPr>
        <w:t>"I"</w:t>
      </w:r>
      <w:r>
        <w:rPr>
          <w:rFonts w:ascii="Arial" w:hAnsi="Arial"/>
          <w:color w:val="3D3B3D"/>
          <w:spacing w:val="1"/>
          <w:w w:val="105"/>
          <w:sz w:val="17"/>
        </w:rPr>
        <w:t> </w:t>
      </w:r>
      <w:r>
        <w:rPr>
          <w:color w:val="3D3B3D"/>
          <w:w w:val="105"/>
          <w:sz w:val="18"/>
        </w:rPr>
        <w:t>even though there is no </w:t>
      </w:r>
      <w:r>
        <w:rPr>
          <w:rFonts w:ascii="Arial" w:hAnsi="Arial"/>
          <w:color w:val="3D3B3D"/>
          <w:w w:val="105"/>
          <w:sz w:val="17"/>
        </w:rPr>
        <w:t>"II."</w:t>
      </w:r>
      <w:r>
        <w:rPr>
          <w:rFonts w:ascii="Arial" w:hAnsi="Arial"/>
          <w:color w:val="3D3B3D"/>
          <w:spacing w:val="1"/>
          <w:w w:val="105"/>
          <w:sz w:val="17"/>
        </w:rPr>
        <w:t> </w:t>
      </w:r>
      <w:r>
        <w:rPr>
          <w:color w:val="3D3B3D"/>
          <w:w w:val="105"/>
          <w:sz w:val="18"/>
        </w:rPr>
        <w:t>(Some writers</w:t>
      </w:r>
      <w:r>
        <w:rPr>
          <w:color w:val="5E5D60"/>
          <w:w w:val="105"/>
          <w:sz w:val="18"/>
        </w:rPr>
        <w:t>, </w:t>
      </w:r>
      <w:r>
        <w:rPr>
          <w:color w:val="3D3B3D"/>
          <w:w w:val="105"/>
          <w:sz w:val="18"/>
        </w:rPr>
        <w:t>in the alternative, simply do not label their main argument with a roman</w:t>
      </w:r>
      <w:r>
        <w:rPr>
          <w:color w:val="3D3B3D"/>
          <w:spacing w:val="-45"/>
          <w:w w:val="105"/>
          <w:sz w:val="18"/>
        </w:rPr>
        <w:t> </w:t>
      </w:r>
      <w:r>
        <w:rPr>
          <w:color w:val="3D3B3D"/>
          <w:w w:val="105"/>
          <w:sz w:val="18"/>
        </w:rPr>
        <w:t>numeral at all.) Note that the </w:t>
      </w:r>
      <w:r>
        <w:rPr>
          <w:i/>
          <w:color w:val="3D3B3D"/>
          <w:w w:val="105"/>
          <w:sz w:val="18"/>
        </w:rPr>
        <w:t>only </w:t>
      </w:r>
      <w:r>
        <w:rPr>
          <w:color w:val="3D3B3D"/>
          <w:w w:val="105"/>
          <w:sz w:val="18"/>
        </w:rPr>
        <w:t>exception to this point is at the roman numeral stage.</w:t>
      </w:r>
      <w:r>
        <w:rPr>
          <w:color w:val="3D3B3D"/>
          <w:spacing w:val="-45"/>
          <w:w w:val="105"/>
          <w:sz w:val="18"/>
        </w:rPr>
        <w:t> </w:t>
      </w:r>
      <w:r>
        <w:rPr>
          <w:color w:val="3D3B3D"/>
          <w:w w:val="105"/>
          <w:sz w:val="18"/>
        </w:rPr>
        <w:t>You </w:t>
      </w:r>
      <w:r>
        <w:rPr>
          <w:i/>
          <w:color w:val="3D3B3D"/>
          <w:w w:val="105"/>
          <w:sz w:val="18"/>
        </w:rPr>
        <w:t>must </w:t>
      </w:r>
      <w:r>
        <w:rPr>
          <w:color w:val="3D3B3D"/>
          <w:w w:val="105"/>
          <w:sz w:val="18"/>
        </w:rPr>
        <w:t>have at least </w:t>
      </w:r>
      <w:r>
        <w:rPr>
          <w:rFonts w:ascii="Arial" w:hAnsi="Arial"/>
          <w:color w:val="3D3B3D"/>
          <w:w w:val="105"/>
          <w:sz w:val="16"/>
        </w:rPr>
        <w:t>a "B" </w:t>
      </w:r>
      <w:r>
        <w:rPr>
          <w:rFonts w:ascii="Arial" w:hAnsi="Arial"/>
          <w:color w:val="3D3B3D"/>
          <w:spacing w:val="1"/>
          <w:w w:val="105"/>
          <w:sz w:val="16"/>
        </w:rPr>
        <w:t> </w:t>
      </w:r>
      <w:r>
        <w:rPr>
          <w:color w:val="3D3B3D"/>
          <w:w w:val="105"/>
          <w:sz w:val="18"/>
        </w:rPr>
        <w:t>heading if you have </w:t>
      </w:r>
      <w:r>
        <w:rPr>
          <w:rFonts w:ascii="Arial" w:hAnsi="Arial"/>
          <w:color w:val="3D3B3D"/>
          <w:w w:val="105"/>
          <w:sz w:val="16"/>
        </w:rPr>
        <w:t>an "A"   </w:t>
      </w:r>
      <w:r>
        <w:rPr>
          <w:color w:val="3D3B3D"/>
          <w:w w:val="105"/>
          <w:sz w:val="18"/>
        </w:rPr>
        <w:t>heading, a </w:t>
      </w:r>
      <w:r>
        <w:rPr>
          <w:rFonts w:ascii="Arial" w:hAnsi="Arial"/>
          <w:color w:val="3D3B3D"/>
          <w:w w:val="105"/>
          <w:sz w:val="16"/>
        </w:rPr>
        <w:t>"2</w:t>
      </w:r>
      <w:r>
        <w:rPr>
          <w:rFonts w:ascii="Arial" w:hAnsi="Arial"/>
          <w:color w:val="5E5D60"/>
          <w:w w:val="105"/>
          <w:sz w:val="16"/>
        </w:rPr>
        <w:t>" </w:t>
      </w:r>
      <w:r>
        <w:rPr>
          <w:color w:val="3D3B3D"/>
          <w:w w:val="105"/>
          <w:sz w:val="18"/>
        </w:rPr>
        <w:t>if you have a</w:t>
      </w:r>
      <w:r>
        <w:rPr>
          <w:color w:val="3D3B3D"/>
          <w:spacing w:val="1"/>
          <w:w w:val="105"/>
          <w:sz w:val="18"/>
        </w:rPr>
        <w:t> </w:t>
      </w:r>
      <w:r>
        <w:rPr>
          <w:rFonts w:ascii="Arial" w:hAnsi="Arial"/>
          <w:color w:val="3D3B3D"/>
          <w:w w:val="115"/>
          <w:sz w:val="18"/>
        </w:rPr>
        <w:t>"I"</w:t>
      </w:r>
      <w:r>
        <w:rPr>
          <w:rFonts w:ascii="Arial" w:hAnsi="Arial"/>
          <w:color w:val="3D3B3D"/>
          <w:spacing w:val="55"/>
          <w:w w:val="115"/>
          <w:sz w:val="18"/>
        </w:rPr>
        <w:t> </w:t>
      </w:r>
      <w:r>
        <w:rPr>
          <w:color w:val="3D3B3D"/>
          <w:w w:val="115"/>
          <w:sz w:val="18"/>
        </w:rPr>
        <w:t>heading,</w:t>
      </w:r>
      <w:r>
        <w:rPr>
          <w:color w:val="3D3B3D"/>
          <w:spacing w:val="-19"/>
          <w:w w:val="115"/>
          <w:sz w:val="18"/>
        </w:rPr>
        <w:t> </w:t>
      </w:r>
      <w:r>
        <w:rPr>
          <w:color w:val="3D3B3D"/>
          <w:w w:val="115"/>
          <w:sz w:val="18"/>
        </w:rPr>
        <w:t>and</w:t>
      </w:r>
      <w:r>
        <w:rPr>
          <w:color w:val="3D3B3D"/>
          <w:spacing w:val="-18"/>
          <w:w w:val="115"/>
          <w:sz w:val="18"/>
        </w:rPr>
        <w:t> </w:t>
      </w:r>
      <w:r>
        <w:rPr>
          <w:color w:val="3D3B3D"/>
          <w:w w:val="115"/>
          <w:sz w:val="18"/>
        </w:rPr>
        <w:t>so</w:t>
      </w:r>
      <w:r>
        <w:rPr>
          <w:color w:val="3D3B3D"/>
          <w:spacing w:val="-3"/>
          <w:w w:val="115"/>
          <w:sz w:val="18"/>
        </w:rPr>
        <w:t> </w:t>
      </w:r>
      <w:r>
        <w:rPr>
          <w:color w:val="3D3B3D"/>
          <w:w w:val="115"/>
          <w:sz w:val="18"/>
        </w:rPr>
        <w:t>on.</w:t>
      </w:r>
    </w:p>
    <w:p>
      <w:pPr>
        <w:spacing w:line="244" w:lineRule="auto" w:before="1"/>
        <w:ind w:left="644" w:right="714" w:firstLine="383"/>
        <w:jc w:val="left"/>
        <w:rPr>
          <w:sz w:val="18"/>
        </w:rPr>
      </w:pPr>
      <w:r>
        <w:rPr>
          <w:color w:val="3D3B3D"/>
          <w:w w:val="105"/>
          <w:sz w:val="18"/>
        </w:rPr>
        <w:t>A recent piece in the </w:t>
      </w:r>
      <w:r>
        <w:rPr>
          <w:i/>
          <w:color w:val="3D3B3D"/>
          <w:w w:val="105"/>
          <w:sz w:val="18"/>
        </w:rPr>
        <w:t>Columbia Business </w:t>
      </w:r>
      <w:r>
        <w:rPr>
          <w:rFonts w:ascii="Arial"/>
          <w:i/>
          <w:color w:val="3D3B3D"/>
          <w:w w:val="105"/>
          <w:sz w:val="17"/>
        </w:rPr>
        <w:t>law</w:t>
      </w:r>
      <w:r>
        <w:rPr>
          <w:rFonts w:ascii="Arial"/>
          <w:i/>
          <w:color w:val="3D3B3D"/>
          <w:spacing w:val="1"/>
          <w:w w:val="105"/>
          <w:sz w:val="17"/>
        </w:rPr>
        <w:t> </w:t>
      </w:r>
      <w:r>
        <w:rPr>
          <w:i/>
          <w:color w:val="3D3B3D"/>
          <w:w w:val="105"/>
          <w:sz w:val="18"/>
        </w:rPr>
        <w:t>Review </w:t>
      </w:r>
      <w:r>
        <w:rPr>
          <w:color w:val="3D3B3D"/>
          <w:w w:val="105"/>
          <w:sz w:val="18"/>
        </w:rPr>
        <w:t>suggests that brief writers</w:t>
      </w:r>
      <w:r>
        <w:rPr>
          <w:color w:val="3D3B3D"/>
          <w:spacing w:val="-45"/>
          <w:w w:val="105"/>
          <w:sz w:val="18"/>
        </w:rPr>
        <w:t> </w:t>
      </w:r>
      <w:r>
        <w:rPr>
          <w:color w:val="3D3B3D"/>
          <w:w w:val="105"/>
          <w:sz w:val="18"/>
        </w:rPr>
        <w:t>should use</w:t>
      </w:r>
      <w:r>
        <w:rPr>
          <w:color w:val="3D3B3D"/>
          <w:spacing w:val="-19"/>
          <w:w w:val="105"/>
          <w:sz w:val="18"/>
        </w:rPr>
        <w:t> </w:t>
      </w:r>
      <w:r>
        <w:rPr>
          <w:color w:val="3D3B3D"/>
          <w:w w:val="105"/>
          <w:sz w:val="18"/>
        </w:rPr>
        <w:t>so-called</w:t>
      </w:r>
      <w:r>
        <w:rPr>
          <w:color w:val="3D3B3D"/>
          <w:spacing w:val="-16"/>
          <w:w w:val="105"/>
          <w:sz w:val="18"/>
        </w:rPr>
        <w:t> </w:t>
      </w:r>
      <w:r>
        <w:rPr>
          <w:color w:val="3D3B3D"/>
          <w:w w:val="105"/>
          <w:sz w:val="18"/>
        </w:rPr>
        <w:t>scientific</w:t>
      </w:r>
      <w:r>
        <w:rPr>
          <w:color w:val="3D3B3D"/>
          <w:spacing w:val="-5"/>
          <w:w w:val="105"/>
          <w:sz w:val="18"/>
        </w:rPr>
        <w:t> </w:t>
      </w:r>
      <w:r>
        <w:rPr>
          <w:color w:val="3D3B3D"/>
          <w:w w:val="105"/>
          <w:sz w:val="18"/>
        </w:rPr>
        <w:t>numbering,</w:t>
      </w:r>
      <w:r>
        <w:rPr>
          <w:color w:val="3D3B3D"/>
          <w:spacing w:val="-6"/>
          <w:w w:val="105"/>
          <w:sz w:val="18"/>
        </w:rPr>
        <w:t> </w:t>
      </w:r>
      <w:r>
        <w:rPr>
          <w:color w:val="3D3B3D"/>
          <w:w w:val="105"/>
          <w:sz w:val="19"/>
        </w:rPr>
        <w:t>as</w:t>
      </w:r>
      <w:r>
        <w:rPr>
          <w:color w:val="3D3B3D"/>
          <w:spacing w:val="1"/>
          <w:w w:val="105"/>
          <w:sz w:val="19"/>
        </w:rPr>
        <w:t> </w:t>
      </w:r>
      <w:r>
        <w:rPr>
          <w:color w:val="3D3B3D"/>
          <w:w w:val="105"/>
          <w:sz w:val="18"/>
        </w:rPr>
        <w:t>this</w:t>
      </w:r>
      <w:r>
        <w:rPr>
          <w:color w:val="3D3B3D"/>
          <w:spacing w:val="-14"/>
          <w:w w:val="105"/>
          <w:sz w:val="18"/>
        </w:rPr>
        <w:t> </w:t>
      </w:r>
      <w:r>
        <w:rPr>
          <w:color w:val="3D3B3D"/>
          <w:w w:val="105"/>
          <w:sz w:val="18"/>
        </w:rPr>
        <w:t>text</w:t>
      </w:r>
      <w:r>
        <w:rPr>
          <w:color w:val="3D3B3D"/>
          <w:spacing w:val="-7"/>
          <w:w w:val="105"/>
          <w:sz w:val="18"/>
        </w:rPr>
        <w:t> </w:t>
      </w:r>
      <w:r>
        <w:rPr>
          <w:color w:val="3D3B3D"/>
          <w:w w:val="105"/>
          <w:sz w:val="18"/>
        </w:rPr>
        <w:t>does.</w:t>
      </w:r>
      <w:r>
        <w:rPr>
          <w:color w:val="3D3B3D"/>
          <w:w w:val="105"/>
          <w:sz w:val="18"/>
          <w:vertAlign w:val="superscript"/>
        </w:rPr>
        <w:t>2</w:t>
      </w:r>
      <w:r>
        <w:rPr>
          <w:color w:val="3D3B3D"/>
          <w:w w:val="105"/>
          <w:sz w:val="11"/>
          <w:vertAlign w:val="baseline"/>
        </w:rPr>
        <w:t>'</w:t>
      </w:r>
      <w:r>
        <w:rPr>
          <w:color w:val="3D3B3D"/>
          <w:spacing w:val="16"/>
          <w:w w:val="105"/>
          <w:sz w:val="11"/>
          <w:vertAlign w:val="baseline"/>
        </w:rPr>
        <w:t> </w:t>
      </w:r>
      <w:r>
        <w:rPr>
          <w:color w:val="3D3B3D"/>
          <w:w w:val="105"/>
          <w:sz w:val="18"/>
          <w:vertAlign w:val="baseline"/>
        </w:rPr>
        <w:t>Thus:</w:t>
      </w:r>
    </w:p>
    <w:p>
      <w:pPr>
        <w:pStyle w:val="BodyText"/>
        <w:spacing w:before="5"/>
        <w:rPr>
          <w:sz w:val="14"/>
        </w:rPr>
      </w:pPr>
    </w:p>
    <w:p>
      <w:pPr>
        <w:spacing w:after="0"/>
        <w:rPr>
          <w:sz w:val="14"/>
        </w:rPr>
        <w:sectPr>
          <w:pgSz w:w="9640" w:h="13990"/>
          <w:pgMar w:header="578" w:footer="0" w:top="1280" w:bottom="280" w:left="320" w:right="1340"/>
        </w:sectPr>
      </w:pPr>
    </w:p>
    <w:p>
      <w:pPr>
        <w:spacing w:line="205" w:lineRule="exact" w:before="93"/>
        <w:ind w:left="677" w:right="0" w:firstLine="0"/>
        <w:jc w:val="left"/>
        <w:rPr>
          <w:sz w:val="18"/>
        </w:rPr>
      </w:pPr>
      <w:r>
        <w:rPr>
          <w:color w:val="3D3B3D"/>
          <w:w w:val="110"/>
          <w:sz w:val="18"/>
        </w:rPr>
        <w:t>I.</w:t>
      </w:r>
    </w:p>
    <w:p>
      <w:pPr>
        <w:spacing w:line="216" w:lineRule="exact" w:before="0"/>
        <w:ind w:left="1053" w:right="0" w:firstLine="0"/>
        <w:jc w:val="left"/>
        <w:rPr>
          <w:sz w:val="19"/>
        </w:rPr>
      </w:pPr>
      <w:r>
        <w:rPr>
          <w:color w:val="3D3B3D"/>
          <w:w w:val="110"/>
          <w:sz w:val="19"/>
        </w:rPr>
        <w:t>I.I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0"/>
        <w:ind w:left="1037" w:right="0" w:firstLine="0"/>
        <w:jc w:val="left"/>
        <w:rPr>
          <w:sz w:val="18"/>
        </w:rPr>
      </w:pPr>
      <w:r>
        <w:rPr>
          <w:color w:val="3D3B3D"/>
          <w:w w:val="105"/>
          <w:sz w:val="18"/>
        </w:rPr>
        <w:t>1.2</w:t>
      </w:r>
    </w:p>
    <w:p>
      <w:pPr>
        <w:spacing w:before="15"/>
        <w:ind w:left="1037" w:right="0" w:firstLine="0"/>
        <w:jc w:val="left"/>
        <w:rPr>
          <w:sz w:val="18"/>
        </w:rPr>
      </w:pPr>
      <w:r>
        <w:rPr>
          <w:color w:val="3D3B3D"/>
          <w:w w:val="110"/>
          <w:sz w:val="18"/>
        </w:rPr>
        <w:t>1.3</w:t>
      </w:r>
    </w:p>
    <w:p>
      <w:pPr>
        <w:spacing w:line="205" w:lineRule="exact" w:before="24"/>
        <w:ind w:left="659" w:right="0" w:firstLine="0"/>
        <w:jc w:val="left"/>
        <w:rPr>
          <w:sz w:val="18"/>
        </w:rPr>
      </w:pPr>
      <w:r>
        <w:rPr>
          <w:color w:val="3D3B3D"/>
          <w:w w:val="115"/>
          <w:sz w:val="18"/>
        </w:rPr>
        <w:t>2</w:t>
      </w:r>
      <w:r>
        <w:rPr>
          <w:color w:val="5E5D60"/>
          <w:w w:val="115"/>
          <w:sz w:val="18"/>
        </w:rPr>
        <w:t>.</w:t>
      </w:r>
    </w:p>
    <w:p>
      <w:pPr>
        <w:spacing w:line="205" w:lineRule="exact" w:before="0"/>
        <w:ind w:left="1035" w:right="0" w:firstLine="0"/>
        <w:jc w:val="left"/>
        <w:rPr>
          <w:sz w:val="18"/>
        </w:rPr>
      </w:pPr>
      <w:r>
        <w:rPr>
          <w:color w:val="3D3B3D"/>
          <w:w w:val="105"/>
          <w:sz w:val="18"/>
        </w:rPr>
        <w:t>2.1</w:t>
      </w:r>
    </w:p>
    <w:p>
      <w:pPr>
        <w:spacing w:before="14"/>
        <w:ind w:left="1035" w:right="0" w:firstLine="0"/>
        <w:jc w:val="left"/>
        <w:rPr>
          <w:sz w:val="18"/>
        </w:rPr>
      </w:pPr>
      <w:r>
        <w:rPr>
          <w:color w:val="3D3B3D"/>
          <w:w w:val="105"/>
          <w:sz w:val="18"/>
        </w:rPr>
        <w:t>2</w:t>
      </w:r>
      <w:r>
        <w:rPr>
          <w:color w:val="5E5D60"/>
          <w:w w:val="105"/>
          <w:sz w:val="18"/>
        </w:rPr>
        <w:t>.</w:t>
      </w:r>
      <w:r>
        <w:rPr>
          <w:color w:val="3D3B3D"/>
          <w:w w:val="105"/>
          <w:sz w:val="18"/>
        </w:rPr>
        <w:t>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spacing w:before="121"/>
        <w:ind w:left="274" w:right="0" w:firstLine="0"/>
        <w:jc w:val="left"/>
        <w:rPr>
          <w:rFonts w:ascii="Arial"/>
          <w:sz w:val="16"/>
        </w:rPr>
      </w:pPr>
      <w:r>
        <w:rPr>
          <w:rFonts w:ascii="Arial"/>
          <w:color w:val="3D3B3D"/>
          <w:w w:val="110"/>
          <w:sz w:val="16"/>
        </w:rPr>
        <w:t>1.1.1</w:t>
      </w:r>
    </w:p>
    <w:p>
      <w:pPr>
        <w:spacing w:before="9"/>
        <w:ind w:left="287" w:right="0" w:firstLine="0"/>
        <w:jc w:val="left"/>
        <w:rPr>
          <w:sz w:val="18"/>
        </w:rPr>
      </w:pPr>
      <w:r>
        <w:rPr>
          <w:color w:val="3D3B3D"/>
          <w:w w:val="110"/>
          <w:sz w:val="18"/>
        </w:rPr>
        <w:t>I.1.2</w:t>
      </w:r>
    </w:p>
    <w:p>
      <w:pPr>
        <w:spacing w:after="0"/>
        <w:jc w:val="left"/>
        <w:rPr>
          <w:sz w:val="18"/>
        </w:rPr>
        <w:sectPr>
          <w:type w:val="continuous"/>
          <w:pgSz w:w="9640" w:h="13990"/>
          <w:pgMar w:header="524" w:footer="0" w:top="340" w:bottom="280" w:left="320" w:right="1340"/>
          <w:cols w:num="2" w:equalWidth="0">
            <w:col w:w="1287" w:space="40"/>
            <w:col w:w="6653"/>
          </w:cols>
        </w:sectPr>
      </w:pPr>
    </w:p>
    <w:p>
      <w:pPr>
        <w:pStyle w:val="BodyText"/>
        <w:spacing w:before="3"/>
        <w:rPr>
          <w:sz w:val="13"/>
        </w:rPr>
      </w:pPr>
    </w:p>
    <w:p>
      <w:pPr>
        <w:spacing w:line="252" w:lineRule="auto" w:before="93"/>
        <w:ind w:left="666" w:right="599" w:hanging="9"/>
        <w:jc w:val="left"/>
        <w:rPr>
          <w:rFonts w:ascii="Arial" w:hAnsi="Arial"/>
          <w:sz w:val="10"/>
        </w:rPr>
      </w:pPr>
      <w:r>
        <w:rPr>
          <w:color w:val="3D3B3D"/>
          <w:w w:val="105"/>
          <w:sz w:val="18"/>
        </w:rPr>
        <w:t>The reason for this suggestion is th</w:t>
      </w:r>
      <w:r>
        <w:rPr>
          <w:color w:val="5E5D60"/>
          <w:w w:val="105"/>
          <w:sz w:val="18"/>
        </w:rPr>
        <w:t>a</w:t>
      </w:r>
      <w:r>
        <w:rPr>
          <w:color w:val="3D3B3D"/>
          <w:w w:val="105"/>
          <w:sz w:val="18"/>
        </w:rPr>
        <w:t>t this method of enumeration makes it easier for</w:t>
      </w:r>
      <w:r>
        <w:rPr>
          <w:color w:val="3D3B3D"/>
          <w:spacing w:val="1"/>
          <w:w w:val="105"/>
          <w:sz w:val="18"/>
        </w:rPr>
        <w:t> </w:t>
      </w:r>
      <w:r>
        <w:rPr>
          <w:color w:val="3D3B3D"/>
          <w:w w:val="105"/>
          <w:sz w:val="18"/>
        </w:rPr>
        <w:t>readers to be aware of their location within the document as a whole</w:t>
      </w:r>
      <w:r>
        <w:rPr>
          <w:color w:val="5E5D60"/>
          <w:w w:val="105"/>
          <w:sz w:val="18"/>
        </w:rPr>
        <w:t>.</w:t>
      </w:r>
      <w:r>
        <w:rPr>
          <w:color w:val="3D3B3D"/>
          <w:w w:val="105"/>
          <w:sz w:val="18"/>
        </w:rPr>
        <w:t>:</w:t>
      </w:r>
      <w:r>
        <w:rPr>
          <w:color w:val="5E5D60"/>
          <w:w w:val="105"/>
          <w:sz w:val="18"/>
        </w:rPr>
        <w:t>• </w:t>
      </w:r>
      <w:r>
        <w:rPr>
          <w:color w:val="3D3B3D"/>
          <w:w w:val="105"/>
          <w:sz w:val="18"/>
        </w:rPr>
        <w:t>Scientists have</w:t>
      </w:r>
      <w:r>
        <w:rPr>
          <w:color w:val="3D3B3D"/>
          <w:spacing w:val="1"/>
          <w:w w:val="105"/>
          <w:sz w:val="18"/>
        </w:rPr>
        <w:t> </w:t>
      </w:r>
      <w:r>
        <w:rPr>
          <w:color w:val="3D3B3D"/>
          <w:w w:val="105"/>
          <w:sz w:val="18"/>
        </w:rPr>
        <w:t>found that this awareness is more difficult for those who read documents on computers</w:t>
      </w:r>
      <w:r>
        <w:rPr>
          <w:color w:val="3D3B3D"/>
          <w:spacing w:val="-45"/>
          <w:w w:val="105"/>
          <w:sz w:val="18"/>
        </w:rPr>
        <w:t> </w:t>
      </w:r>
      <w:r>
        <w:rPr>
          <w:color w:val="3D3B3D"/>
          <w:w w:val="105"/>
          <w:sz w:val="18"/>
        </w:rPr>
        <w:t>or other digital devices, since they are not holding a set of pages that would provide </w:t>
      </w:r>
      <w:r>
        <w:rPr>
          <w:rFonts w:ascii="Arial" w:hAnsi="Arial"/>
          <w:b/>
          <w:color w:val="3D3B3D"/>
          <w:w w:val="105"/>
          <w:sz w:val="17"/>
        </w:rPr>
        <w:t>a</w:t>
      </w:r>
      <w:r>
        <w:rPr>
          <w:rFonts w:ascii="Arial" w:hAnsi="Arial"/>
          <w:b/>
          <w:color w:val="3D3B3D"/>
          <w:spacing w:val="1"/>
          <w:w w:val="105"/>
          <w:sz w:val="17"/>
        </w:rPr>
        <w:t> </w:t>
      </w:r>
      <w:r>
        <w:rPr>
          <w:color w:val="3D3B3D"/>
          <w:spacing w:val="-1"/>
          <w:w w:val="105"/>
          <w:sz w:val="18"/>
        </w:rPr>
        <w:t>physical</w:t>
      </w:r>
      <w:r>
        <w:rPr>
          <w:color w:val="3D3B3D"/>
          <w:spacing w:val="-10"/>
          <w:w w:val="105"/>
          <w:sz w:val="18"/>
        </w:rPr>
        <w:t> </w:t>
      </w:r>
      <w:r>
        <w:rPr>
          <w:color w:val="3D3B3D"/>
          <w:w w:val="105"/>
          <w:sz w:val="18"/>
        </w:rPr>
        <w:t>signal</w:t>
      </w:r>
      <w:r>
        <w:rPr>
          <w:color w:val="3D3B3D"/>
          <w:spacing w:val="-1"/>
          <w:w w:val="105"/>
          <w:sz w:val="18"/>
        </w:rPr>
        <w:t> </w:t>
      </w:r>
      <w:r>
        <w:rPr>
          <w:color w:val="3D3B3D"/>
          <w:w w:val="105"/>
          <w:sz w:val="18"/>
        </w:rPr>
        <w:t>of their</w:t>
      </w:r>
      <w:r>
        <w:rPr>
          <w:color w:val="3D3B3D"/>
          <w:spacing w:val="-7"/>
          <w:w w:val="105"/>
          <w:sz w:val="18"/>
        </w:rPr>
        <w:t> </w:t>
      </w:r>
      <w:r>
        <w:rPr>
          <w:color w:val="3D3B3D"/>
          <w:w w:val="105"/>
          <w:sz w:val="18"/>
        </w:rPr>
        <w:t>location</w:t>
      </w:r>
      <w:r>
        <w:rPr>
          <w:color w:val="3D3B3D"/>
          <w:spacing w:val="2"/>
          <w:w w:val="105"/>
          <w:sz w:val="18"/>
        </w:rPr>
        <w:t> </w:t>
      </w:r>
      <w:r>
        <w:rPr>
          <w:color w:val="3D3B3D"/>
          <w:w w:val="105"/>
          <w:sz w:val="18"/>
        </w:rPr>
        <w:t>within</w:t>
      </w:r>
      <w:r>
        <w:rPr>
          <w:color w:val="3D3B3D"/>
          <w:spacing w:val="6"/>
          <w:w w:val="105"/>
          <w:sz w:val="18"/>
        </w:rPr>
        <w:t> </w:t>
      </w:r>
      <w:r>
        <w:rPr>
          <w:color w:val="3D3B3D"/>
          <w:w w:val="105"/>
          <w:sz w:val="18"/>
        </w:rPr>
        <w:t>the</w:t>
      </w:r>
      <w:r>
        <w:rPr>
          <w:color w:val="3D3B3D"/>
          <w:spacing w:val="-13"/>
          <w:w w:val="105"/>
          <w:sz w:val="18"/>
        </w:rPr>
        <w:t> </w:t>
      </w:r>
      <w:r>
        <w:rPr>
          <w:color w:val="3D3B3D"/>
          <w:w w:val="105"/>
          <w:sz w:val="18"/>
        </w:rPr>
        <w:t>document</w:t>
      </w:r>
      <w:r>
        <w:rPr>
          <w:color w:val="5E5D60"/>
          <w:w w:val="105"/>
          <w:sz w:val="18"/>
        </w:rPr>
        <w:t>.</w:t>
      </w:r>
      <w:r>
        <w:rPr>
          <w:rFonts w:ascii="Arial" w:hAnsi="Arial"/>
          <w:color w:val="3D3B3D"/>
          <w:w w:val="105"/>
          <w:sz w:val="18"/>
          <w:vertAlign w:val="superscript"/>
        </w:rPr>
        <w:t>2</w:t>
      </w:r>
      <w:r>
        <w:rPr>
          <w:rFonts w:ascii="Arial" w:hAnsi="Arial"/>
          <w:color w:val="3D3B3D"/>
          <w:w w:val="105"/>
          <w:sz w:val="10"/>
          <w:vertAlign w:val="baseline"/>
        </w:rPr>
        <w:t>•</w:t>
      </w:r>
    </w:p>
    <w:p>
      <w:pPr>
        <w:spacing w:line="244" w:lineRule="auto" w:before="0"/>
        <w:ind w:left="676" w:right="599" w:firstLine="384"/>
        <w:jc w:val="left"/>
        <w:rPr>
          <w:b/>
          <w:sz w:val="17"/>
        </w:rPr>
      </w:pPr>
      <w:r>
        <w:rPr>
          <w:color w:val="3D3B3D"/>
          <w:w w:val="105"/>
          <w:sz w:val="18"/>
        </w:rPr>
        <w:t>Note that the same subpart advice applies to this </w:t>
      </w:r>
      <w:r>
        <w:rPr>
          <w:color w:val="3D3B3D"/>
          <w:w w:val="105"/>
          <w:sz w:val="17"/>
        </w:rPr>
        <w:t>type </w:t>
      </w:r>
      <w:r>
        <w:rPr>
          <w:color w:val="3D3B3D"/>
          <w:w w:val="105"/>
          <w:sz w:val="18"/>
        </w:rPr>
        <w:t>of numbering: You can't</w:t>
      </w:r>
      <w:r>
        <w:rPr>
          <w:color w:val="3D3B3D"/>
          <w:spacing w:val="1"/>
          <w:w w:val="105"/>
          <w:sz w:val="18"/>
        </w:rPr>
        <w:t> </w:t>
      </w:r>
      <w:r>
        <w:rPr>
          <w:color w:val="3D3B3D"/>
          <w:w w:val="105"/>
          <w:sz w:val="18"/>
        </w:rPr>
        <w:t>divide</w:t>
      </w:r>
      <w:r>
        <w:rPr>
          <w:color w:val="3D3B3D"/>
          <w:spacing w:val="-4"/>
          <w:w w:val="105"/>
          <w:sz w:val="18"/>
        </w:rPr>
        <w:t> </w:t>
      </w:r>
      <w:r>
        <w:rPr>
          <w:color w:val="3D3B3D"/>
          <w:w w:val="105"/>
          <w:sz w:val="18"/>
        </w:rPr>
        <w:t>something</w:t>
      </w:r>
      <w:r>
        <w:rPr>
          <w:color w:val="3D3B3D"/>
          <w:spacing w:val="24"/>
          <w:w w:val="105"/>
          <w:sz w:val="18"/>
        </w:rPr>
        <w:t> </w:t>
      </w:r>
      <w:r>
        <w:rPr>
          <w:color w:val="3D3B3D"/>
          <w:w w:val="105"/>
          <w:sz w:val="18"/>
        </w:rPr>
        <w:t>into</w:t>
      </w:r>
      <w:r>
        <w:rPr>
          <w:color w:val="3D3B3D"/>
          <w:spacing w:val="-19"/>
          <w:w w:val="105"/>
          <w:sz w:val="18"/>
        </w:rPr>
        <w:t> </w:t>
      </w:r>
      <w:r>
        <w:rPr>
          <w:color w:val="3D3B3D"/>
          <w:w w:val="105"/>
          <w:sz w:val="18"/>
        </w:rPr>
        <w:t>just</w:t>
      </w:r>
      <w:r>
        <w:rPr>
          <w:color w:val="3D3B3D"/>
          <w:spacing w:val="6"/>
          <w:w w:val="105"/>
          <w:sz w:val="18"/>
        </w:rPr>
        <w:t> </w:t>
      </w:r>
      <w:r>
        <w:rPr>
          <w:color w:val="3D3B3D"/>
          <w:w w:val="105"/>
          <w:sz w:val="18"/>
        </w:rPr>
        <w:t>one</w:t>
      </w:r>
      <w:r>
        <w:rPr>
          <w:color w:val="3D3B3D"/>
          <w:spacing w:val="16"/>
          <w:w w:val="105"/>
          <w:sz w:val="18"/>
        </w:rPr>
        <w:t> </w:t>
      </w:r>
      <w:r>
        <w:rPr>
          <w:color w:val="3D3B3D"/>
          <w:w w:val="105"/>
          <w:sz w:val="18"/>
        </w:rPr>
        <w:t>pan,</w:t>
      </w:r>
      <w:r>
        <w:rPr>
          <w:color w:val="3D3B3D"/>
          <w:spacing w:val="-17"/>
          <w:w w:val="105"/>
          <w:sz w:val="18"/>
        </w:rPr>
        <w:t> </w:t>
      </w:r>
      <w:r>
        <w:rPr>
          <w:color w:val="3D3B3D"/>
          <w:w w:val="105"/>
          <w:sz w:val="18"/>
        </w:rPr>
        <w:t>so</w:t>
      </w:r>
      <w:r>
        <w:rPr>
          <w:color w:val="3D3B3D"/>
          <w:spacing w:val="7"/>
          <w:w w:val="105"/>
          <w:sz w:val="18"/>
        </w:rPr>
        <w:t> </w:t>
      </w:r>
      <w:r>
        <w:rPr>
          <w:color w:val="3D3B3D"/>
          <w:w w:val="105"/>
          <w:sz w:val="18"/>
        </w:rPr>
        <w:t>if</w:t>
      </w:r>
      <w:r>
        <w:rPr>
          <w:color w:val="3D3B3D"/>
          <w:spacing w:val="7"/>
          <w:w w:val="105"/>
          <w:sz w:val="18"/>
        </w:rPr>
        <w:t> </w:t>
      </w:r>
      <w:r>
        <w:rPr>
          <w:color w:val="3D3B3D"/>
          <w:w w:val="105"/>
          <w:sz w:val="18"/>
        </w:rPr>
        <w:t>you</w:t>
      </w:r>
      <w:r>
        <w:rPr>
          <w:color w:val="3D3B3D"/>
          <w:spacing w:val="9"/>
          <w:w w:val="105"/>
          <w:sz w:val="18"/>
        </w:rPr>
        <w:t> </w:t>
      </w:r>
      <w:r>
        <w:rPr>
          <w:color w:val="3D3B3D"/>
          <w:w w:val="105"/>
          <w:sz w:val="18"/>
        </w:rPr>
        <w:t>havea</w:t>
      </w:r>
      <w:r>
        <w:rPr>
          <w:color w:val="3D3B3D"/>
          <w:spacing w:val="12"/>
          <w:w w:val="105"/>
          <w:sz w:val="18"/>
        </w:rPr>
        <w:t> </w:t>
      </w:r>
      <w:r>
        <w:rPr>
          <w:color w:val="3D3B3D"/>
          <w:w w:val="105"/>
          <w:sz w:val="18"/>
        </w:rPr>
        <w:t>section</w:t>
      </w:r>
      <w:r>
        <w:rPr>
          <w:color w:val="3D3B3D"/>
          <w:spacing w:val="-7"/>
          <w:w w:val="105"/>
          <w:sz w:val="18"/>
        </w:rPr>
        <w:t> </w:t>
      </w:r>
      <w:r>
        <w:rPr>
          <w:color w:val="3D3B3D"/>
          <w:w w:val="105"/>
          <w:sz w:val="18"/>
        </w:rPr>
        <w:t>2.1</w:t>
      </w:r>
      <w:r>
        <w:rPr>
          <w:color w:val="5E5D60"/>
          <w:w w:val="105"/>
          <w:sz w:val="18"/>
        </w:rPr>
        <w:t>,</w:t>
      </w:r>
      <w:r>
        <w:rPr>
          <w:color w:val="5E5D60"/>
          <w:spacing w:val="7"/>
          <w:w w:val="105"/>
          <w:sz w:val="18"/>
        </w:rPr>
        <w:t> </w:t>
      </w:r>
      <w:r>
        <w:rPr>
          <w:color w:val="3D3B3D"/>
          <w:w w:val="105"/>
          <w:sz w:val="18"/>
        </w:rPr>
        <w:t>you</w:t>
      </w:r>
      <w:r>
        <w:rPr>
          <w:color w:val="3D3B3D"/>
          <w:spacing w:val="-3"/>
          <w:w w:val="105"/>
          <w:sz w:val="18"/>
        </w:rPr>
        <w:t> </w:t>
      </w:r>
      <w:r>
        <w:rPr>
          <w:color w:val="3D3B3D"/>
          <w:w w:val="105"/>
          <w:sz w:val="18"/>
        </w:rPr>
        <w:t>should</w:t>
      </w:r>
      <w:r>
        <w:rPr>
          <w:color w:val="3D3B3D"/>
          <w:spacing w:val="8"/>
          <w:w w:val="105"/>
          <w:sz w:val="18"/>
        </w:rPr>
        <w:t> </w:t>
      </w:r>
      <w:r>
        <w:rPr>
          <w:color w:val="3D3B3D"/>
          <w:w w:val="105"/>
          <w:sz w:val="18"/>
        </w:rPr>
        <w:t>also</w:t>
      </w:r>
      <w:r>
        <w:rPr>
          <w:color w:val="3D3B3D"/>
          <w:spacing w:val="-2"/>
          <w:w w:val="105"/>
          <w:sz w:val="18"/>
        </w:rPr>
        <w:t> </w:t>
      </w:r>
      <w:r>
        <w:rPr>
          <w:color w:val="3D3B3D"/>
          <w:w w:val="105"/>
          <w:sz w:val="18"/>
        </w:rPr>
        <w:t>have</w:t>
      </w:r>
      <w:r>
        <w:rPr>
          <w:color w:val="3D3B3D"/>
          <w:spacing w:val="-3"/>
          <w:w w:val="105"/>
          <w:sz w:val="18"/>
        </w:rPr>
        <w:t> </w:t>
      </w:r>
      <w:r>
        <w:rPr>
          <w:b/>
          <w:color w:val="3D3B3D"/>
          <w:w w:val="105"/>
          <w:sz w:val="17"/>
        </w:rPr>
        <w:t>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spacing w:before="0"/>
        <w:ind w:left="430" w:right="0" w:firstLine="0"/>
        <w:jc w:val="left"/>
        <w:rPr>
          <w:sz w:val="18"/>
        </w:rPr>
      </w:pPr>
      <w:r>
        <w:rPr>
          <w:rFonts w:ascii="Arial"/>
          <w:color w:val="3D3B3D"/>
          <w:w w:val="95"/>
          <w:position w:val="4"/>
          <w:sz w:val="10"/>
        </w:rPr>
        <w:t>17</w:t>
      </w:r>
      <w:r>
        <w:rPr>
          <w:color w:val="3D3B3D"/>
          <w:w w:val="95"/>
          <w:sz w:val="18"/>
        </w:rPr>
        <w:t>Danlel</w:t>
      </w:r>
      <w:r>
        <w:rPr>
          <w:color w:val="3D3B3D"/>
          <w:spacing w:val="8"/>
          <w:w w:val="95"/>
          <w:sz w:val="18"/>
        </w:rPr>
        <w:t> </w:t>
      </w:r>
      <w:r>
        <w:rPr>
          <w:color w:val="3D3B3D"/>
          <w:w w:val="95"/>
          <w:sz w:val="18"/>
        </w:rPr>
        <w:t>Sockwell,</w:t>
      </w:r>
      <w:r>
        <w:rPr>
          <w:color w:val="3D3B3D"/>
          <w:spacing w:val="29"/>
          <w:w w:val="95"/>
          <w:sz w:val="18"/>
        </w:rPr>
        <w:t> </w:t>
      </w:r>
      <w:r>
        <w:rPr>
          <w:rFonts w:ascii="Arial"/>
          <w:i/>
          <w:color w:val="3D3B3D"/>
          <w:w w:val="95"/>
          <w:sz w:val="15"/>
        </w:rPr>
        <w:t>Writ/II</w:t>
      </w:r>
      <w:r>
        <w:rPr>
          <w:rFonts w:ascii="Arial"/>
          <w:i/>
          <w:color w:val="5E5D60"/>
          <w:w w:val="95"/>
          <w:sz w:val="15"/>
        </w:rPr>
        <w:t>,</w:t>
      </w:r>
      <w:r>
        <w:rPr>
          <w:rFonts w:ascii="Arial"/>
          <w:i/>
          <w:color w:val="3D3B3D"/>
          <w:w w:val="95"/>
          <w:sz w:val="15"/>
        </w:rPr>
        <w:t>'{</w:t>
      </w:r>
      <w:r>
        <w:rPr>
          <w:rFonts w:ascii="Arial"/>
          <w:i/>
          <w:color w:val="3D3B3D"/>
          <w:spacing w:val="56"/>
          <w:sz w:val="15"/>
        </w:rPr>
        <w:t> </w:t>
      </w:r>
      <w:r>
        <w:rPr>
          <w:i/>
          <w:color w:val="3D3B3D"/>
          <w:w w:val="95"/>
          <w:sz w:val="17"/>
        </w:rPr>
        <w:t>for</w:t>
      </w:r>
      <w:r>
        <w:rPr>
          <w:i/>
          <w:color w:val="3D3B3D"/>
          <w:spacing w:val="-2"/>
          <w:w w:val="95"/>
          <w:sz w:val="17"/>
        </w:rPr>
        <w:t> </w:t>
      </w:r>
      <w:r>
        <w:rPr>
          <w:rFonts w:ascii="Arial"/>
          <w:i/>
          <w:color w:val="3D3B3D"/>
          <w:w w:val="95"/>
          <w:sz w:val="15"/>
        </w:rPr>
        <w:t>tlle</w:t>
      </w:r>
      <w:r>
        <w:rPr>
          <w:rFonts w:ascii="Arial"/>
          <w:i/>
          <w:color w:val="3D3B3D"/>
          <w:spacing w:val="36"/>
          <w:w w:val="95"/>
          <w:sz w:val="15"/>
        </w:rPr>
        <w:t> </w:t>
      </w:r>
      <w:r>
        <w:rPr>
          <w:rFonts w:ascii="Arial"/>
          <w:i/>
          <w:color w:val="3D3B3D"/>
          <w:w w:val="95"/>
          <w:sz w:val="15"/>
        </w:rPr>
        <w:t>/Pad</w:t>
      </w:r>
      <w:r>
        <w:rPr>
          <w:rFonts w:ascii="Arial"/>
          <w:i/>
          <w:color w:val="3D3B3D"/>
          <w:spacing w:val="13"/>
          <w:w w:val="95"/>
          <w:sz w:val="15"/>
        </w:rPr>
        <w:t> </w:t>
      </w:r>
      <w:r>
        <w:rPr>
          <w:rFonts w:ascii="Arial"/>
          <w:i/>
          <w:color w:val="3D3B3D"/>
          <w:w w:val="95"/>
          <w:sz w:val="15"/>
        </w:rPr>
        <w:t>J11dge,</w:t>
      </w:r>
      <w:r>
        <w:rPr>
          <w:rFonts w:ascii="Arial"/>
          <w:i/>
          <w:color w:val="3D3B3D"/>
          <w:spacing w:val="38"/>
          <w:w w:val="95"/>
          <w:sz w:val="15"/>
        </w:rPr>
        <w:t> </w:t>
      </w:r>
      <w:r>
        <w:rPr>
          <w:i/>
          <w:color w:val="3D3B3D"/>
          <w:w w:val="95"/>
          <w:sz w:val="17"/>
        </w:rPr>
        <w:t>An1101111ce111ents,</w:t>
      </w:r>
      <w:r>
        <w:rPr>
          <w:i/>
          <w:color w:val="3D3B3D"/>
          <w:spacing w:val="-11"/>
          <w:w w:val="95"/>
          <w:sz w:val="17"/>
        </w:rPr>
        <w:t> </w:t>
      </w:r>
      <w:r>
        <w:rPr>
          <w:color w:val="3D3B3D"/>
          <w:w w:val="95"/>
          <w:sz w:val="18"/>
        </w:rPr>
        <w:t>Colum.</w:t>
      </w:r>
      <w:r>
        <w:rPr>
          <w:color w:val="3D3B3D"/>
          <w:spacing w:val="28"/>
          <w:w w:val="95"/>
          <w:sz w:val="18"/>
        </w:rPr>
        <w:t> </w:t>
      </w:r>
      <w:r>
        <w:rPr>
          <w:color w:val="3D3B3D"/>
          <w:w w:val="95"/>
          <w:sz w:val="18"/>
        </w:rPr>
        <w:t>Bus.</w:t>
      </w:r>
      <w:r>
        <w:rPr>
          <w:color w:val="3D3B3D"/>
          <w:spacing w:val="-6"/>
          <w:w w:val="95"/>
          <w:sz w:val="18"/>
        </w:rPr>
        <w:t> </w:t>
      </w:r>
      <w:r>
        <w:rPr>
          <w:color w:val="3D3B3D"/>
          <w:w w:val="95"/>
          <w:sz w:val="18"/>
        </w:rPr>
        <w:t>L.</w:t>
      </w:r>
      <w:r>
        <w:rPr>
          <w:color w:val="3D3B3D"/>
          <w:spacing w:val="21"/>
          <w:w w:val="95"/>
          <w:sz w:val="18"/>
        </w:rPr>
        <w:t> </w:t>
      </w:r>
      <w:r>
        <w:rPr>
          <w:color w:val="3D3B3D"/>
          <w:w w:val="95"/>
          <w:sz w:val="18"/>
        </w:rPr>
        <w:t>Rev</w:t>
      </w:r>
      <w:r>
        <w:rPr>
          <w:color w:val="5E5D60"/>
          <w:w w:val="95"/>
          <w:sz w:val="18"/>
        </w:rPr>
        <w:t>.</w:t>
      </w:r>
      <w:r>
        <w:rPr>
          <w:color w:val="5E5D60"/>
          <w:spacing w:val="8"/>
          <w:w w:val="95"/>
          <w:sz w:val="18"/>
        </w:rPr>
        <w:t> </w:t>
      </w:r>
      <w:r>
        <w:rPr>
          <w:color w:val="3D3B3D"/>
          <w:w w:val="95"/>
          <w:sz w:val="18"/>
        </w:rPr>
        <w:t>Online</w:t>
      </w:r>
      <w:r>
        <w:rPr>
          <w:color w:val="3D3B3D"/>
          <w:spacing w:val="9"/>
          <w:w w:val="95"/>
          <w:sz w:val="18"/>
        </w:rPr>
        <w:t> </w:t>
      </w:r>
      <w:r>
        <w:rPr>
          <w:color w:val="3D3B3D"/>
          <w:w w:val="95"/>
          <w:sz w:val="18"/>
        </w:rPr>
        <w:t>Oan.</w:t>
      </w:r>
    </w:p>
    <w:p>
      <w:pPr>
        <w:spacing w:line="189" w:lineRule="exact" w:before="5"/>
        <w:ind w:left="113" w:right="0" w:firstLine="0"/>
        <w:jc w:val="left"/>
        <w:rPr>
          <w:sz w:val="17"/>
        </w:rPr>
      </w:pPr>
      <w:r>
        <w:rPr>
          <w:color w:val="3D3B3D"/>
          <w:w w:val="110"/>
          <w:sz w:val="17"/>
        </w:rPr>
        <w:t>14,</w:t>
      </w:r>
      <w:r>
        <w:rPr>
          <w:color w:val="3D3B3D"/>
          <w:spacing w:val="-12"/>
          <w:w w:val="110"/>
          <w:sz w:val="17"/>
        </w:rPr>
        <w:t> </w:t>
      </w:r>
      <w:r>
        <w:rPr>
          <w:color w:val="3D3B3D"/>
          <w:w w:val="110"/>
          <w:sz w:val="17"/>
        </w:rPr>
        <w:t>2014)</w:t>
      </w:r>
      <w:r>
        <w:rPr>
          <w:color w:val="3D3B3D"/>
          <w:spacing w:val="5"/>
          <w:w w:val="110"/>
          <w:sz w:val="17"/>
        </w:rPr>
        <w:t> </w:t>
      </w:r>
      <w:r>
        <w:rPr>
          <w:color w:val="3D3B3D"/>
          <w:w w:val="110"/>
          <w:sz w:val="17"/>
        </w:rPr>
        <w:t>(available</w:t>
      </w:r>
      <w:r>
        <w:rPr>
          <w:color w:val="3D3B3D"/>
          <w:spacing w:val="1"/>
          <w:w w:val="110"/>
          <w:sz w:val="17"/>
        </w:rPr>
        <w:t> </w:t>
      </w:r>
      <w:r>
        <w:rPr>
          <w:color w:val="3D3B3D"/>
          <w:w w:val="110"/>
          <w:sz w:val="17"/>
        </w:rPr>
        <w:t>at</w:t>
      </w:r>
      <w:r>
        <w:rPr>
          <w:color w:val="3D3B3D"/>
          <w:spacing w:val="41"/>
          <w:w w:val="110"/>
          <w:sz w:val="17"/>
        </w:rPr>
        <w:t> </w:t>
      </w:r>
      <w:hyperlink r:id="rId248">
        <w:r>
          <w:rPr>
            <w:color w:val="3D3B3D"/>
            <w:w w:val="110"/>
            <w:sz w:val="17"/>
          </w:rPr>
          <w:t>http://cblr</w:t>
        </w:r>
        <w:r>
          <w:rPr>
            <w:color w:val="5E5D60"/>
            <w:w w:val="110"/>
            <w:sz w:val="17"/>
          </w:rPr>
          <w:t>.</w:t>
        </w:r>
        <w:r>
          <w:rPr>
            <w:color w:val="3D3B3D"/>
            <w:w w:val="110"/>
            <w:sz w:val="17"/>
          </w:rPr>
          <w:t>columbla.edu/archlves/</w:t>
        </w:r>
        <w:r>
          <w:rPr>
            <w:color w:val="3D3B3D"/>
            <w:spacing w:val="-22"/>
            <w:w w:val="110"/>
            <w:sz w:val="17"/>
          </w:rPr>
          <w:t> </w:t>
        </w:r>
      </w:hyperlink>
      <w:r>
        <w:rPr>
          <w:color w:val="3D3B3D"/>
          <w:w w:val="110"/>
          <w:sz w:val="17"/>
        </w:rPr>
        <w:t>12940)</w:t>
      </w:r>
      <w:r>
        <w:rPr>
          <w:color w:val="3D3B3D"/>
          <w:spacing w:val="1"/>
          <w:w w:val="110"/>
          <w:sz w:val="17"/>
        </w:rPr>
        <w:t> </w:t>
      </w:r>
      <w:r>
        <w:rPr>
          <w:color w:val="3D3B3D"/>
          <w:w w:val="110"/>
          <w:sz w:val="17"/>
        </w:rPr>
        <w:t>(last</w:t>
      </w:r>
      <w:r>
        <w:rPr>
          <w:color w:val="3D3B3D"/>
          <w:spacing w:val="-1"/>
          <w:w w:val="110"/>
          <w:sz w:val="17"/>
        </w:rPr>
        <w:t> </w:t>
      </w:r>
      <w:r>
        <w:rPr>
          <w:color w:val="3D3B3D"/>
          <w:w w:val="110"/>
          <w:sz w:val="17"/>
        </w:rPr>
        <w:t>accessed</w:t>
      </w:r>
      <w:r>
        <w:rPr>
          <w:color w:val="3D3B3D"/>
          <w:spacing w:val="9"/>
          <w:w w:val="110"/>
          <w:sz w:val="17"/>
        </w:rPr>
        <w:t> </w:t>
      </w:r>
      <w:r>
        <w:rPr>
          <w:color w:val="3D3B3D"/>
          <w:w w:val="110"/>
          <w:sz w:val="17"/>
        </w:rPr>
        <w:t>April</w:t>
      </w:r>
      <w:r>
        <w:rPr>
          <w:color w:val="3D3B3D"/>
          <w:spacing w:val="16"/>
          <w:w w:val="110"/>
          <w:sz w:val="17"/>
        </w:rPr>
        <w:t> </w:t>
      </w:r>
      <w:r>
        <w:rPr>
          <w:color w:val="3D3B3D"/>
          <w:w w:val="110"/>
          <w:sz w:val="17"/>
        </w:rPr>
        <w:t>13</w:t>
      </w:r>
      <w:r>
        <w:rPr>
          <w:color w:val="5E5D60"/>
          <w:w w:val="110"/>
          <w:sz w:val="17"/>
        </w:rPr>
        <w:t>,</w:t>
      </w:r>
      <w:r>
        <w:rPr>
          <w:color w:val="5E5D60"/>
          <w:spacing w:val="26"/>
          <w:w w:val="110"/>
          <w:sz w:val="17"/>
        </w:rPr>
        <w:t> </w:t>
      </w:r>
      <w:r>
        <w:rPr>
          <w:color w:val="3D3B3D"/>
          <w:w w:val="110"/>
          <w:sz w:val="17"/>
        </w:rPr>
        <w:t>2014).</w:t>
      </w:r>
    </w:p>
    <w:p>
      <w:pPr>
        <w:spacing w:line="194" w:lineRule="exact" w:before="0"/>
        <w:ind w:left="448" w:right="0" w:firstLine="0"/>
        <w:jc w:val="left"/>
        <w:rPr>
          <w:i/>
          <w:sz w:val="18"/>
        </w:rPr>
      </w:pPr>
      <w:r>
        <w:rPr>
          <w:i/>
          <w:color w:val="3D3B3D"/>
          <w:w w:val="70"/>
          <w:sz w:val="18"/>
        </w:rPr>
        <w:t>2.1111</w:t>
      </w:r>
      <w:r>
        <w:rPr>
          <w:i/>
          <w:color w:val="5E5D60"/>
          <w:w w:val="70"/>
          <w:sz w:val="18"/>
        </w:rPr>
        <w:t>.</w:t>
      </w:r>
    </w:p>
    <w:p>
      <w:pPr>
        <w:spacing w:line="223" w:lineRule="auto" w:before="4"/>
        <w:ind w:left="107" w:right="288" w:firstLine="340"/>
        <w:jc w:val="both"/>
        <w:rPr>
          <w:sz w:val="18"/>
        </w:rPr>
      </w:pPr>
      <w:r>
        <w:rPr>
          <w:color w:val="3D3B3D"/>
          <w:w w:val="110"/>
          <w:position w:val="4"/>
          <w:sz w:val="12"/>
        </w:rPr>
        <w:t>2</w:t>
      </w:r>
      <w:r>
        <w:rPr>
          <w:color w:val="3D3B3D"/>
          <w:w w:val="110"/>
          <w:sz w:val="12"/>
        </w:rPr>
        <w:t>• </w:t>
      </w:r>
      <w:r>
        <w:rPr>
          <w:i/>
          <w:color w:val="3D3B3D"/>
          <w:w w:val="110"/>
          <w:sz w:val="12"/>
        </w:rPr>
        <w:t>/{/.; </w:t>
      </w:r>
      <w:r>
        <w:rPr>
          <w:rFonts w:ascii="Arial" w:hAnsi="Arial"/>
          <w:i/>
          <w:color w:val="3D3B3D"/>
          <w:w w:val="110"/>
          <w:sz w:val="15"/>
        </w:rPr>
        <w:t>see also, </w:t>
      </w:r>
      <w:r>
        <w:rPr>
          <w:rFonts w:ascii="Arial" w:hAnsi="Arial"/>
          <w:b/>
          <w:i/>
          <w:color w:val="3D3B3D"/>
          <w:w w:val="110"/>
          <w:sz w:val="16"/>
        </w:rPr>
        <w:t>e.g., </w:t>
      </w:r>
      <w:r>
        <w:rPr>
          <w:color w:val="3D3B3D"/>
          <w:w w:val="110"/>
          <w:sz w:val="18"/>
        </w:rPr>
        <w:t>Ferris </w:t>
      </w:r>
      <w:r>
        <w:rPr>
          <w:color w:val="3D3B3D"/>
          <w:w w:val="110"/>
          <w:sz w:val="17"/>
        </w:rPr>
        <w:t>Jabr, </w:t>
      </w:r>
      <w:r>
        <w:rPr>
          <w:rFonts w:ascii="Arial" w:hAnsi="Arial"/>
          <w:i/>
          <w:color w:val="3D3B3D"/>
          <w:w w:val="110"/>
          <w:sz w:val="15"/>
        </w:rPr>
        <w:t>The Reillling Brain </w:t>
      </w:r>
      <w:r>
        <w:rPr>
          <w:rFonts w:ascii="Arial" w:hAnsi="Arial"/>
          <w:color w:val="3D3B3D"/>
          <w:w w:val="110"/>
          <w:sz w:val="15"/>
        </w:rPr>
        <w:t>;,, </w:t>
      </w:r>
      <w:r>
        <w:rPr>
          <w:rFonts w:ascii="Arial" w:hAnsi="Arial"/>
          <w:i/>
          <w:color w:val="3D3B3D"/>
          <w:w w:val="110"/>
          <w:sz w:val="15"/>
        </w:rPr>
        <w:t>the Digital Age: </w:t>
      </w:r>
      <w:r>
        <w:rPr>
          <w:color w:val="3D3B3D"/>
          <w:w w:val="110"/>
          <w:sz w:val="18"/>
        </w:rPr>
        <w:t>TT,e </w:t>
      </w:r>
      <w:r>
        <w:rPr>
          <w:rFonts w:ascii="Arial" w:hAnsi="Arial"/>
          <w:i/>
          <w:color w:val="3D3B3D"/>
          <w:w w:val="110"/>
          <w:sz w:val="15"/>
        </w:rPr>
        <w:t>Science of</w:t>
      </w:r>
      <w:r>
        <w:rPr>
          <w:rFonts w:ascii="Arial" w:hAnsi="Arial"/>
          <w:i/>
          <w:color w:val="3D3B3D"/>
          <w:spacing w:val="1"/>
          <w:w w:val="110"/>
          <w:sz w:val="15"/>
        </w:rPr>
        <w:t> </w:t>
      </w:r>
      <w:r>
        <w:rPr>
          <w:rFonts w:ascii="Arial" w:hAnsi="Arial"/>
          <w:i/>
          <w:color w:val="3D3B3D"/>
          <w:w w:val="110"/>
          <w:sz w:val="15"/>
        </w:rPr>
        <w:t>Paper</w:t>
      </w:r>
      <w:r>
        <w:rPr>
          <w:rFonts w:ascii="Arial" w:hAnsi="Arial"/>
          <w:i/>
          <w:color w:val="3D3B3D"/>
          <w:spacing w:val="1"/>
          <w:w w:val="110"/>
          <w:sz w:val="15"/>
        </w:rPr>
        <w:t> </w:t>
      </w:r>
      <w:r>
        <w:rPr>
          <w:i/>
          <w:color w:val="3D3B3D"/>
          <w:w w:val="110"/>
          <w:sz w:val="19"/>
        </w:rPr>
        <w:t>versus </w:t>
      </w:r>
      <w:r>
        <w:rPr>
          <w:rFonts w:ascii="Arial" w:hAnsi="Arial"/>
          <w:i/>
          <w:color w:val="3D3B3D"/>
          <w:w w:val="110"/>
          <w:sz w:val="15"/>
        </w:rPr>
        <w:t>Screens, </w:t>
      </w:r>
      <w:r>
        <w:rPr>
          <w:color w:val="3D3B3D"/>
          <w:w w:val="110"/>
          <w:sz w:val="17"/>
        </w:rPr>
        <w:t>Scientific American (Apr. 11,</w:t>
      </w:r>
      <w:r>
        <w:rPr>
          <w:color w:val="3D3B3D"/>
          <w:spacing w:val="1"/>
          <w:w w:val="110"/>
          <w:sz w:val="17"/>
        </w:rPr>
        <w:t> </w:t>
      </w:r>
      <w:r>
        <w:rPr>
          <w:color w:val="3D3B3D"/>
          <w:w w:val="110"/>
          <w:sz w:val="17"/>
        </w:rPr>
        <w:t>2013), </w:t>
      </w:r>
      <w:hyperlink r:id="rId249">
        <w:r>
          <w:rPr>
            <w:color w:val="3D3B3D"/>
            <w:w w:val="110"/>
            <w:sz w:val="17"/>
          </w:rPr>
          <w:t>http</w:t>
        </w:r>
        <w:r>
          <w:rPr>
            <w:color w:val="5E5D60"/>
            <w:w w:val="110"/>
            <w:sz w:val="17"/>
          </w:rPr>
          <w:t>:</w:t>
        </w:r>
        <w:r>
          <w:rPr>
            <w:color w:val="3D3B3D"/>
            <w:w w:val="110"/>
            <w:sz w:val="17"/>
          </w:rPr>
          <w:t>//www.sclentlflcamerlcan.com/artlcle.</w:t>
        </w:r>
      </w:hyperlink>
      <w:r>
        <w:rPr>
          <w:color w:val="3D3B3D"/>
          <w:spacing w:val="1"/>
          <w:w w:val="110"/>
          <w:sz w:val="17"/>
        </w:rPr>
        <w:t> </w:t>
      </w:r>
      <w:r>
        <w:rPr>
          <w:color w:val="3D3B3D"/>
          <w:w w:val="105"/>
          <w:sz w:val="18"/>
        </w:rPr>
        <w:t>dm?ld=rcadlng-paper-scrcens(discussing</w:t>
      </w:r>
      <w:r>
        <w:rPr>
          <w:color w:val="3D3B3D"/>
          <w:spacing w:val="20"/>
          <w:w w:val="105"/>
          <w:sz w:val="18"/>
        </w:rPr>
        <w:t> </w:t>
      </w:r>
      <w:r>
        <w:rPr>
          <w:color w:val="3D3B3D"/>
          <w:w w:val="105"/>
          <w:sz w:val="18"/>
        </w:rPr>
        <w:t>the</w:t>
      </w:r>
      <w:r>
        <w:rPr>
          <w:color w:val="3D3B3D"/>
          <w:spacing w:val="12"/>
          <w:w w:val="105"/>
          <w:sz w:val="18"/>
        </w:rPr>
        <w:t> </w:t>
      </w:r>
      <w:r>
        <w:rPr>
          <w:color w:val="3D3B3D"/>
          <w:w w:val="105"/>
          <w:sz w:val="18"/>
        </w:rPr>
        <w:t>physical</w:t>
      </w:r>
      <w:r>
        <w:rPr>
          <w:color w:val="3D3B3D"/>
          <w:spacing w:val="22"/>
          <w:w w:val="105"/>
          <w:sz w:val="18"/>
        </w:rPr>
        <w:t> </w:t>
      </w:r>
      <w:r>
        <w:rPr>
          <w:color w:val="3D3B3D"/>
          <w:w w:val="105"/>
          <w:sz w:val="18"/>
        </w:rPr>
        <w:t>#rhythm"</w:t>
      </w:r>
      <w:r>
        <w:rPr>
          <w:color w:val="3D3B3D"/>
          <w:spacing w:val="-4"/>
          <w:w w:val="105"/>
          <w:sz w:val="18"/>
        </w:rPr>
        <w:t> </w:t>
      </w:r>
      <w:r>
        <w:rPr>
          <w:color w:val="3D3B3D"/>
          <w:w w:val="105"/>
          <w:sz w:val="18"/>
        </w:rPr>
        <w:t>of</w:t>
      </w:r>
      <w:r>
        <w:rPr>
          <w:color w:val="3D3B3D"/>
          <w:spacing w:val="46"/>
          <w:w w:val="105"/>
          <w:sz w:val="18"/>
        </w:rPr>
        <w:t> </w:t>
      </w:r>
      <w:r>
        <w:rPr>
          <w:color w:val="3D3B3D"/>
          <w:w w:val="105"/>
          <w:sz w:val="18"/>
        </w:rPr>
        <w:t>reading</w:t>
      </w:r>
      <w:r>
        <w:rPr>
          <w:color w:val="3D3B3D"/>
          <w:spacing w:val="28"/>
          <w:w w:val="105"/>
          <w:sz w:val="18"/>
        </w:rPr>
        <w:t> </w:t>
      </w:r>
      <w:r>
        <w:rPr>
          <w:color w:val="3D3B3D"/>
          <w:w w:val="105"/>
          <w:sz w:val="18"/>
        </w:rPr>
        <w:t>hard-copy</w:t>
      </w:r>
      <w:r>
        <w:rPr>
          <w:color w:val="3D3B3D"/>
          <w:spacing w:val="16"/>
          <w:w w:val="105"/>
          <w:sz w:val="18"/>
        </w:rPr>
        <w:t> </w:t>
      </w:r>
      <w:r>
        <w:rPr>
          <w:color w:val="3D3B3D"/>
          <w:w w:val="105"/>
          <w:sz w:val="18"/>
        </w:rPr>
        <w:t>text).</w:t>
      </w:r>
    </w:p>
    <w:p>
      <w:pPr>
        <w:spacing w:after="0" w:line="223" w:lineRule="auto"/>
        <w:jc w:val="both"/>
        <w:rPr>
          <w:sz w:val="18"/>
        </w:rPr>
        <w:sectPr>
          <w:type w:val="continuous"/>
          <w:pgSz w:w="9640" w:h="13990"/>
          <w:pgMar w:header="524" w:footer="0" w:top="340" w:bottom="280" w:left="320" w:right="1340"/>
        </w:sectPr>
      </w:pPr>
    </w:p>
    <w:p>
      <w:pPr>
        <w:spacing w:line="256" w:lineRule="auto" w:before="83"/>
        <w:ind w:left="2010" w:right="436" w:hanging="3"/>
        <w:jc w:val="left"/>
        <w:rPr>
          <w:sz w:val="18"/>
        </w:rPr>
      </w:pPr>
      <w:r>
        <w:rPr>
          <w:color w:val="3D3B3D"/>
          <w:w w:val="105"/>
          <w:sz w:val="18"/>
        </w:rPr>
        <w:t>section</w:t>
      </w:r>
      <w:r>
        <w:rPr>
          <w:color w:val="3D3B3D"/>
          <w:spacing w:val="-4"/>
          <w:w w:val="105"/>
          <w:sz w:val="18"/>
        </w:rPr>
        <w:t> </w:t>
      </w:r>
      <w:r>
        <w:rPr>
          <w:color w:val="3D3B3D"/>
          <w:w w:val="105"/>
          <w:sz w:val="18"/>
        </w:rPr>
        <w:t>2</w:t>
      </w:r>
      <w:r>
        <w:rPr>
          <w:color w:val="5B5B5D"/>
          <w:w w:val="105"/>
          <w:sz w:val="18"/>
        </w:rPr>
        <w:t>.</w:t>
      </w:r>
      <w:r>
        <w:rPr>
          <w:color w:val="3D3B3D"/>
          <w:w w:val="105"/>
          <w:sz w:val="18"/>
        </w:rPr>
        <w:t>2.</w:t>
      </w:r>
      <w:r>
        <w:rPr>
          <w:color w:val="3D3B3D"/>
          <w:spacing w:val="-20"/>
          <w:w w:val="105"/>
          <w:sz w:val="18"/>
        </w:rPr>
        <w:t> </w:t>
      </w:r>
      <w:r>
        <w:rPr>
          <w:color w:val="3D3B3D"/>
          <w:w w:val="105"/>
          <w:sz w:val="18"/>
        </w:rPr>
        <w:t>Of</w:t>
      </w:r>
      <w:r>
        <w:rPr>
          <w:color w:val="3D3B3D"/>
          <w:spacing w:val="-3"/>
          <w:w w:val="105"/>
          <w:sz w:val="18"/>
        </w:rPr>
        <w:t> </w:t>
      </w:r>
      <w:r>
        <w:rPr>
          <w:color w:val="3D3B3D"/>
          <w:w w:val="105"/>
          <w:sz w:val="18"/>
        </w:rPr>
        <w:t>course</w:t>
      </w:r>
      <w:r>
        <w:rPr>
          <w:color w:val="5B5B5D"/>
          <w:w w:val="105"/>
          <w:sz w:val="18"/>
        </w:rPr>
        <w:t>,</w:t>
      </w:r>
      <w:r>
        <w:rPr>
          <w:color w:val="5B5B5D"/>
          <w:spacing w:val="10"/>
          <w:w w:val="105"/>
          <w:sz w:val="18"/>
        </w:rPr>
        <w:t> </w:t>
      </w:r>
      <w:r>
        <w:rPr>
          <w:color w:val="3D3B3D"/>
          <w:w w:val="105"/>
          <w:sz w:val="18"/>
        </w:rPr>
        <w:t>before</w:t>
      </w:r>
      <w:r>
        <w:rPr>
          <w:color w:val="3D3B3D"/>
          <w:spacing w:val="-5"/>
          <w:w w:val="105"/>
          <w:sz w:val="18"/>
        </w:rPr>
        <w:t> </w:t>
      </w:r>
      <w:r>
        <w:rPr>
          <w:color w:val="3D3B3D"/>
          <w:w w:val="105"/>
          <w:sz w:val="18"/>
        </w:rPr>
        <w:t>using</w:t>
      </w:r>
      <w:r>
        <w:rPr>
          <w:color w:val="3D3B3D"/>
          <w:spacing w:val="-4"/>
          <w:w w:val="105"/>
          <w:sz w:val="18"/>
        </w:rPr>
        <w:t> </w:t>
      </w:r>
      <w:r>
        <w:rPr>
          <w:color w:val="3D3B3D"/>
          <w:w w:val="105"/>
          <w:sz w:val="18"/>
        </w:rPr>
        <w:t>this</w:t>
      </w:r>
      <w:r>
        <w:rPr>
          <w:color w:val="3D3B3D"/>
          <w:spacing w:val="-21"/>
          <w:w w:val="105"/>
          <w:sz w:val="18"/>
        </w:rPr>
        <w:t> </w:t>
      </w:r>
      <w:r>
        <w:rPr>
          <w:color w:val="3D3B3D"/>
          <w:w w:val="105"/>
          <w:sz w:val="18"/>
        </w:rPr>
        <w:t>type</w:t>
      </w:r>
      <w:r>
        <w:rPr>
          <w:color w:val="3D3B3D"/>
          <w:spacing w:val="-13"/>
          <w:w w:val="105"/>
          <w:sz w:val="18"/>
        </w:rPr>
        <w:t> </w:t>
      </w:r>
      <w:r>
        <w:rPr>
          <w:color w:val="3D3B3D"/>
          <w:w w:val="105"/>
          <w:sz w:val="18"/>
        </w:rPr>
        <w:t>of</w:t>
      </w:r>
      <w:r>
        <w:rPr>
          <w:color w:val="3D3B3D"/>
          <w:spacing w:val="5"/>
          <w:w w:val="105"/>
          <w:sz w:val="18"/>
        </w:rPr>
        <w:t> </w:t>
      </w:r>
      <w:r>
        <w:rPr>
          <w:color w:val="3D3B3D"/>
          <w:w w:val="105"/>
          <w:sz w:val="18"/>
        </w:rPr>
        <w:t>numbering</w:t>
      </w:r>
      <w:r>
        <w:rPr>
          <w:color w:val="5B5B5D"/>
          <w:w w:val="105"/>
          <w:sz w:val="18"/>
        </w:rPr>
        <w:t>,</w:t>
      </w:r>
      <w:r>
        <w:rPr>
          <w:color w:val="5B5B5D"/>
          <w:spacing w:val="-1"/>
          <w:w w:val="105"/>
          <w:sz w:val="18"/>
        </w:rPr>
        <w:t> </w:t>
      </w:r>
      <w:r>
        <w:rPr>
          <w:color w:val="3D3B3D"/>
          <w:w w:val="105"/>
          <w:sz w:val="18"/>
        </w:rPr>
        <w:t>be</w:t>
      </w:r>
      <w:r>
        <w:rPr>
          <w:color w:val="3D3B3D"/>
          <w:spacing w:val="-15"/>
          <w:w w:val="105"/>
          <w:sz w:val="18"/>
        </w:rPr>
        <w:t> </w:t>
      </w:r>
      <w:r>
        <w:rPr>
          <w:color w:val="3D3B3D"/>
          <w:w w:val="105"/>
          <w:sz w:val="18"/>
        </w:rPr>
        <w:t>certa</w:t>
      </w:r>
      <w:r>
        <w:rPr>
          <w:color w:val="5B5B5D"/>
          <w:w w:val="105"/>
          <w:sz w:val="18"/>
        </w:rPr>
        <w:t>i</w:t>
      </w:r>
      <w:r>
        <w:rPr>
          <w:color w:val="3D3B3D"/>
          <w:w w:val="105"/>
          <w:sz w:val="18"/>
        </w:rPr>
        <w:t>n</w:t>
      </w:r>
      <w:r>
        <w:rPr>
          <w:color w:val="3D3B3D"/>
          <w:spacing w:val="2"/>
          <w:w w:val="105"/>
          <w:sz w:val="18"/>
        </w:rPr>
        <w:t> </w:t>
      </w:r>
      <w:r>
        <w:rPr>
          <w:color w:val="3D3B3D"/>
          <w:w w:val="105"/>
          <w:sz w:val="18"/>
        </w:rPr>
        <w:t>that</w:t>
      </w:r>
      <w:r>
        <w:rPr>
          <w:color w:val="3D3B3D"/>
          <w:spacing w:val="-6"/>
          <w:w w:val="105"/>
          <w:sz w:val="18"/>
        </w:rPr>
        <w:t> </w:t>
      </w:r>
      <w:r>
        <w:rPr>
          <w:color w:val="3D3B3D"/>
          <w:w w:val="105"/>
          <w:sz w:val="18"/>
        </w:rPr>
        <w:t>it</w:t>
      </w:r>
      <w:r>
        <w:rPr>
          <w:color w:val="3D3B3D"/>
          <w:spacing w:val="-45"/>
          <w:w w:val="105"/>
          <w:sz w:val="18"/>
        </w:rPr>
        <w:t> </w:t>
      </w:r>
      <w:r>
        <w:rPr>
          <w:color w:val="3D3B3D"/>
          <w:spacing w:val="-1"/>
          <w:w w:val="105"/>
          <w:sz w:val="18"/>
        </w:rPr>
        <w:t>does</w:t>
      </w:r>
      <w:r>
        <w:rPr>
          <w:color w:val="3D3B3D"/>
          <w:spacing w:val="-3"/>
          <w:w w:val="105"/>
          <w:sz w:val="18"/>
        </w:rPr>
        <w:t> </w:t>
      </w:r>
      <w:r>
        <w:rPr>
          <w:color w:val="3D3B3D"/>
          <w:spacing w:val="-1"/>
          <w:w w:val="105"/>
          <w:sz w:val="18"/>
        </w:rPr>
        <w:t>not</w:t>
      </w:r>
      <w:r>
        <w:rPr>
          <w:color w:val="3D3B3D"/>
          <w:spacing w:val="3"/>
          <w:w w:val="105"/>
          <w:sz w:val="18"/>
        </w:rPr>
        <w:t> </w:t>
      </w:r>
      <w:r>
        <w:rPr>
          <w:color w:val="3D3B3D"/>
          <w:spacing w:val="-1"/>
          <w:w w:val="105"/>
          <w:sz w:val="18"/>
        </w:rPr>
        <w:t>violate</w:t>
      </w:r>
      <w:r>
        <w:rPr>
          <w:color w:val="3D3B3D"/>
          <w:spacing w:val="1"/>
          <w:w w:val="105"/>
          <w:sz w:val="18"/>
        </w:rPr>
        <w:t> </w:t>
      </w:r>
      <w:r>
        <w:rPr>
          <w:color w:val="3D3B3D"/>
          <w:spacing w:val="-1"/>
          <w:w w:val="105"/>
          <w:sz w:val="18"/>
        </w:rPr>
        <w:t>local</w:t>
      </w:r>
      <w:r>
        <w:rPr>
          <w:color w:val="3D3B3D"/>
          <w:spacing w:val="3"/>
          <w:w w:val="105"/>
          <w:sz w:val="18"/>
        </w:rPr>
        <w:t> </w:t>
      </w:r>
      <w:r>
        <w:rPr>
          <w:color w:val="3D3B3D"/>
          <w:w w:val="105"/>
          <w:sz w:val="18"/>
        </w:rPr>
        <w:t>rules</w:t>
      </w:r>
      <w:r>
        <w:rPr>
          <w:color w:val="3D3B3D"/>
          <w:spacing w:val="-18"/>
          <w:w w:val="105"/>
          <w:sz w:val="18"/>
        </w:rPr>
        <w:t> </w:t>
      </w:r>
      <w:r>
        <w:rPr>
          <w:color w:val="3D3B3D"/>
          <w:w w:val="105"/>
          <w:sz w:val="18"/>
        </w:rPr>
        <w:t>or</w:t>
      </w:r>
      <w:r>
        <w:rPr>
          <w:color w:val="3D3B3D"/>
          <w:spacing w:val="-3"/>
          <w:w w:val="105"/>
          <w:sz w:val="18"/>
        </w:rPr>
        <w:t> </w:t>
      </w:r>
      <w:r>
        <w:rPr>
          <w:color w:val="3D3B3D"/>
          <w:w w:val="105"/>
          <w:sz w:val="18"/>
        </w:rPr>
        <w:t>entrenched</w:t>
      </w:r>
      <w:r>
        <w:rPr>
          <w:color w:val="3D3B3D"/>
          <w:spacing w:val="14"/>
          <w:w w:val="105"/>
          <w:sz w:val="18"/>
        </w:rPr>
        <w:t> </w:t>
      </w:r>
      <w:r>
        <w:rPr>
          <w:color w:val="3D3B3D"/>
          <w:w w:val="105"/>
          <w:sz w:val="18"/>
        </w:rPr>
        <w:t>local</w:t>
      </w:r>
      <w:r>
        <w:rPr>
          <w:color w:val="3D3B3D"/>
          <w:spacing w:val="-11"/>
          <w:w w:val="105"/>
          <w:sz w:val="18"/>
        </w:rPr>
        <w:t> </w:t>
      </w:r>
      <w:r>
        <w:rPr>
          <w:color w:val="3D3B3D"/>
          <w:w w:val="105"/>
          <w:sz w:val="18"/>
        </w:rPr>
        <w:t>culture</w:t>
      </w:r>
      <w:r>
        <w:rPr>
          <w:color w:val="5B5B5D"/>
          <w:w w:val="105"/>
          <w:sz w:val="18"/>
        </w:rPr>
        <w:t>.</w:t>
      </w:r>
    </w:p>
    <w:p>
      <w:pPr>
        <w:spacing w:line="254" w:lineRule="auto" w:before="0"/>
        <w:ind w:left="2019" w:right="567" w:firstLine="381"/>
        <w:jc w:val="left"/>
        <w:rPr>
          <w:sz w:val="18"/>
        </w:rPr>
      </w:pPr>
      <w:r>
        <w:rPr>
          <w:color w:val="3D3B3D"/>
          <w:spacing w:val="-1"/>
          <w:w w:val="105"/>
          <w:sz w:val="18"/>
        </w:rPr>
        <w:t>Although some traditionalists </w:t>
      </w:r>
      <w:r>
        <w:rPr>
          <w:color w:val="3D3B3D"/>
          <w:w w:val="105"/>
          <w:sz w:val="18"/>
        </w:rPr>
        <w:t>may use all capital letters for the text of</w:t>
      </w:r>
      <w:r>
        <w:rPr>
          <w:color w:val="3D3B3D"/>
          <w:spacing w:val="-45"/>
          <w:w w:val="105"/>
          <w:sz w:val="18"/>
        </w:rPr>
        <w:t> </w:t>
      </w:r>
      <w:r>
        <w:rPr>
          <w:color w:val="3D3B3D"/>
          <w:sz w:val="18"/>
        </w:rPr>
        <w:t>their roman</w:t>
      </w:r>
      <w:r>
        <w:rPr>
          <w:color w:val="3D3B3D"/>
          <w:spacing w:val="45"/>
          <w:sz w:val="18"/>
        </w:rPr>
        <w:t> </w:t>
      </w:r>
      <w:r>
        <w:rPr>
          <w:color w:val="3D3B3D"/>
          <w:sz w:val="18"/>
        </w:rPr>
        <w:t>numeral</w:t>
      </w:r>
      <w:r>
        <w:rPr>
          <w:color w:val="3D3B3D"/>
          <w:spacing w:val="45"/>
          <w:sz w:val="18"/>
        </w:rPr>
        <w:t> </w:t>
      </w:r>
      <w:r>
        <w:rPr>
          <w:color w:val="3D3B3D"/>
          <w:sz w:val="18"/>
        </w:rPr>
        <w:t>(or</w:t>
      </w:r>
      <w:r>
        <w:rPr>
          <w:color w:val="3D3B3D"/>
          <w:spacing w:val="45"/>
          <w:sz w:val="18"/>
        </w:rPr>
        <w:t> </w:t>
      </w:r>
      <w:r>
        <w:rPr>
          <w:color w:val="3D3B3D"/>
          <w:sz w:val="18"/>
        </w:rPr>
        <w:t>main) point headings and underline the</w:t>
      </w:r>
      <w:r>
        <w:rPr>
          <w:color w:val="3D3B3D"/>
          <w:spacing w:val="45"/>
          <w:sz w:val="18"/>
        </w:rPr>
        <w:t> </w:t>
      </w:r>
      <w:r>
        <w:rPr>
          <w:color w:val="3D3B3D"/>
          <w:sz w:val="18"/>
        </w:rPr>
        <w:t>next</w:t>
      </w:r>
      <w:r>
        <w:rPr>
          <w:color w:val="3D3B3D"/>
          <w:spacing w:val="45"/>
          <w:sz w:val="18"/>
        </w:rPr>
        <w:t> </w:t>
      </w:r>
      <w:r>
        <w:rPr>
          <w:color w:val="3D3B3D"/>
          <w:sz w:val="18"/>
        </w:rPr>
        <w:t>level</w:t>
      </w:r>
      <w:r>
        <w:rPr>
          <w:color w:val="3D3B3D"/>
          <w:spacing w:val="1"/>
          <w:sz w:val="18"/>
        </w:rPr>
        <w:t> </w:t>
      </w:r>
      <w:r>
        <w:rPr>
          <w:color w:val="3D3B3D"/>
          <w:spacing w:val="-1"/>
          <w:w w:val="105"/>
          <w:sz w:val="18"/>
        </w:rPr>
        <w:t>of </w:t>
      </w:r>
      <w:r>
        <w:rPr>
          <w:color w:val="3D3B3D"/>
          <w:w w:val="105"/>
          <w:sz w:val="18"/>
        </w:rPr>
        <w:t>point headings</w:t>
      </w:r>
      <w:r>
        <w:rPr>
          <w:color w:val="5B5B5D"/>
          <w:w w:val="105"/>
          <w:sz w:val="18"/>
        </w:rPr>
        <w:t>. </w:t>
      </w:r>
      <w:r>
        <w:rPr>
          <w:color w:val="3D3B3D"/>
          <w:w w:val="105"/>
          <w:sz w:val="18"/>
        </w:rPr>
        <w:t>these traditions no longer make </w:t>
      </w:r>
      <w:r>
        <w:rPr>
          <w:b/>
          <w:color w:val="3D3B3D"/>
          <w:w w:val="105"/>
          <w:sz w:val="17"/>
        </w:rPr>
        <w:t>sense. </w:t>
      </w:r>
      <w:r>
        <w:rPr>
          <w:color w:val="3D3B3D"/>
          <w:w w:val="105"/>
          <w:sz w:val="18"/>
        </w:rPr>
        <w:t>They come from</w:t>
      </w:r>
      <w:r>
        <w:rPr>
          <w:color w:val="3D3B3D"/>
          <w:spacing w:val="1"/>
          <w:w w:val="105"/>
          <w:sz w:val="18"/>
        </w:rPr>
        <w:t> </w:t>
      </w:r>
      <w:r>
        <w:rPr>
          <w:color w:val="3D3B3D"/>
          <w:sz w:val="18"/>
        </w:rPr>
        <w:t>the</w:t>
      </w:r>
      <w:r>
        <w:rPr>
          <w:color w:val="3D3B3D"/>
          <w:spacing w:val="14"/>
          <w:sz w:val="18"/>
        </w:rPr>
        <w:t> </w:t>
      </w:r>
      <w:r>
        <w:rPr>
          <w:color w:val="3D3B3D"/>
          <w:sz w:val="18"/>
        </w:rPr>
        <w:t>days</w:t>
      </w:r>
      <w:r>
        <w:rPr>
          <w:color w:val="3D3B3D"/>
          <w:spacing w:val="-6"/>
          <w:sz w:val="18"/>
        </w:rPr>
        <w:t> </w:t>
      </w:r>
      <w:r>
        <w:rPr>
          <w:color w:val="3D3B3D"/>
          <w:sz w:val="18"/>
        </w:rPr>
        <w:t>before</w:t>
      </w:r>
      <w:r>
        <w:rPr>
          <w:color w:val="3D3B3D"/>
          <w:spacing w:val="13"/>
          <w:sz w:val="18"/>
        </w:rPr>
        <w:t> </w:t>
      </w:r>
      <w:r>
        <w:rPr>
          <w:color w:val="3D3B3D"/>
          <w:sz w:val="18"/>
        </w:rPr>
        <w:t>word</w:t>
      </w:r>
      <w:r>
        <w:rPr>
          <w:color w:val="3D3B3D"/>
          <w:spacing w:val="8"/>
          <w:sz w:val="18"/>
        </w:rPr>
        <w:t> </w:t>
      </w:r>
      <w:r>
        <w:rPr>
          <w:color w:val="3D3B3D"/>
          <w:sz w:val="18"/>
        </w:rPr>
        <w:t>processors;</w:t>
      </w:r>
      <w:r>
        <w:rPr>
          <w:color w:val="3D3B3D"/>
          <w:spacing w:val="26"/>
          <w:sz w:val="18"/>
        </w:rPr>
        <w:t> </w:t>
      </w:r>
      <w:r>
        <w:rPr>
          <w:color w:val="3D3B3D"/>
          <w:sz w:val="18"/>
        </w:rPr>
        <w:t>typewriters</w:t>
      </w:r>
      <w:r>
        <w:rPr>
          <w:color w:val="3D3B3D"/>
          <w:spacing w:val="18"/>
          <w:sz w:val="18"/>
        </w:rPr>
        <w:t> </w:t>
      </w:r>
      <w:r>
        <w:rPr>
          <w:color w:val="3D3B3D"/>
          <w:sz w:val="18"/>
        </w:rPr>
        <w:t>did</w:t>
      </w:r>
      <w:r>
        <w:rPr>
          <w:color w:val="3D3B3D"/>
          <w:spacing w:val="17"/>
          <w:sz w:val="18"/>
        </w:rPr>
        <w:t> </w:t>
      </w:r>
      <w:r>
        <w:rPr>
          <w:color w:val="3D3B3D"/>
          <w:sz w:val="18"/>
        </w:rPr>
        <w:t>not</w:t>
      </w:r>
      <w:r>
        <w:rPr>
          <w:color w:val="3D3B3D"/>
          <w:spacing w:val="23"/>
          <w:sz w:val="18"/>
        </w:rPr>
        <w:t> </w:t>
      </w:r>
      <w:r>
        <w:rPr>
          <w:color w:val="3D3B3D"/>
          <w:sz w:val="18"/>
        </w:rPr>
        <w:t>allow</w:t>
      </w:r>
      <w:r>
        <w:rPr>
          <w:color w:val="3D3B3D"/>
          <w:spacing w:val="17"/>
          <w:sz w:val="18"/>
        </w:rPr>
        <w:t> </w:t>
      </w:r>
      <w:r>
        <w:rPr>
          <w:color w:val="3D3B3D"/>
          <w:sz w:val="18"/>
        </w:rPr>
        <w:t>much</w:t>
      </w:r>
      <w:r>
        <w:rPr>
          <w:color w:val="3D3B3D"/>
          <w:spacing w:val="27"/>
          <w:sz w:val="18"/>
        </w:rPr>
        <w:t> </w:t>
      </w:r>
      <w:r>
        <w:rPr>
          <w:color w:val="3D3B3D"/>
          <w:sz w:val="18"/>
        </w:rPr>
        <w:t>flexibility.</w:t>
      </w:r>
      <w:r>
        <w:rPr>
          <w:color w:val="3D3B3D"/>
          <w:spacing w:val="1"/>
          <w:sz w:val="18"/>
        </w:rPr>
        <w:t> </w:t>
      </w:r>
      <w:r>
        <w:rPr>
          <w:color w:val="3D3B3D"/>
          <w:w w:val="105"/>
          <w:sz w:val="18"/>
        </w:rPr>
        <w:t>Unless court rules require otherwise, you should consider putting </w:t>
      </w:r>
      <w:r>
        <w:rPr>
          <w:i/>
          <w:color w:val="3D3B3D"/>
          <w:w w:val="105"/>
          <w:sz w:val="18"/>
        </w:rPr>
        <w:t>all </w:t>
      </w:r>
      <w:r>
        <w:rPr>
          <w:color w:val="3D3B3D"/>
          <w:w w:val="105"/>
          <w:sz w:val="18"/>
        </w:rPr>
        <w:t>head­</w:t>
      </w:r>
      <w:r>
        <w:rPr>
          <w:color w:val="3D3B3D"/>
          <w:spacing w:val="-45"/>
          <w:w w:val="105"/>
          <w:sz w:val="18"/>
        </w:rPr>
        <w:t> </w:t>
      </w:r>
      <w:r>
        <w:rPr>
          <w:color w:val="3D3B3D"/>
          <w:w w:val="105"/>
          <w:sz w:val="18"/>
        </w:rPr>
        <w:t>ings (both point headings and section</w:t>
      </w:r>
      <w:r>
        <w:rPr>
          <w:color w:val="3D3B3D"/>
          <w:spacing w:val="1"/>
          <w:w w:val="105"/>
          <w:sz w:val="18"/>
        </w:rPr>
        <w:t> </w:t>
      </w:r>
      <w:r>
        <w:rPr>
          <w:color w:val="3D3B3D"/>
          <w:w w:val="105"/>
          <w:sz w:val="18"/>
        </w:rPr>
        <w:t>headings</w:t>
      </w:r>
      <w:r>
        <w:rPr>
          <w:color w:val="7C7C80"/>
          <w:w w:val="105"/>
          <w:sz w:val="18"/>
        </w:rPr>
        <w:t>-</w:t>
      </w:r>
      <w:r>
        <w:rPr>
          <w:color w:val="3D3B3D"/>
          <w:w w:val="105"/>
          <w:sz w:val="18"/>
        </w:rPr>
        <w:t>e</w:t>
      </w:r>
      <w:r>
        <w:rPr>
          <w:color w:val="5B5B5D"/>
          <w:w w:val="105"/>
          <w:sz w:val="18"/>
        </w:rPr>
        <w:t>.</w:t>
      </w:r>
      <w:r>
        <w:rPr>
          <w:color w:val="3D3B3D"/>
          <w:w w:val="105"/>
          <w:sz w:val="18"/>
        </w:rPr>
        <w:t>g</w:t>
      </w:r>
      <w:r>
        <w:rPr>
          <w:color w:val="5B5B5D"/>
          <w:w w:val="105"/>
          <w:sz w:val="18"/>
        </w:rPr>
        <w:t>.</w:t>
      </w:r>
      <w:r>
        <w:rPr>
          <w:color w:val="3D3B3D"/>
          <w:w w:val="105"/>
          <w:sz w:val="18"/>
        </w:rPr>
        <w:t>, TheSummary of</w:t>
      </w:r>
      <w:r>
        <w:rPr>
          <w:color w:val="3D3B3D"/>
          <w:spacing w:val="1"/>
          <w:w w:val="105"/>
          <w:sz w:val="18"/>
        </w:rPr>
        <w:t> </w:t>
      </w:r>
      <w:r>
        <w:rPr>
          <w:color w:val="3D3B3D"/>
          <w:w w:val="105"/>
          <w:sz w:val="18"/>
        </w:rPr>
        <w:t>the</w:t>
      </w:r>
      <w:r>
        <w:rPr>
          <w:color w:val="3D3B3D"/>
          <w:spacing w:val="1"/>
          <w:w w:val="105"/>
          <w:sz w:val="18"/>
        </w:rPr>
        <w:t> </w:t>
      </w:r>
      <w:r>
        <w:rPr>
          <w:color w:val="3D3B3D"/>
          <w:w w:val="105"/>
          <w:sz w:val="18"/>
        </w:rPr>
        <w:t>Argument) in boldfaced type to increase their visib</w:t>
      </w:r>
      <w:r>
        <w:rPr>
          <w:color w:val="5B5B5D"/>
          <w:w w:val="105"/>
          <w:sz w:val="18"/>
        </w:rPr>
        <w:t>i</w:t>
      </w:r>
      <w:r>
        <w:rPr>
          <w:color w:val="3D3B3D"/>
          <w:w w:val="105"/>
          <w:sz w:val="18"/>
        </w:rPr>
        <w:t>lity and thus help the</w:t>
      </w:r>
      <w:r>
        <w:rPr>
          <w:color w:val="3D3B3D"/>
          <w:spacing w:val="1"/>
          <w:w w:val="105"/>
          <w:sz w:val="18"/>
        </w:rPr>
        <w:t> </w:t>
      </w:r>
      <w:r>
        <w:rPr>
          <w:color w:val="3D3B3D"/>
          <w:sz w:val="18"/>
        </w:rPr>
        <w:t>u</w:t>
      </w:r>
      <w:r>
        <w:rPr>
          <w:color w:val="5B5B5D"/>
          <w:sz w:val="18"/>
        </w:rPr>
        <w:t>s</w:t>
      </w:r>
      <w:r>
        <w:rPr>
          <w:color w:val="3D3B3D"/>
          <w:sz w:val="18"/>
        </w:rPr>
        <w:t>er</w:t>
      </w:r>
      <w:r>
        <w:rPr>
          <w:color w:val="3D3B3D"/>
          <w:spacing w:val="1"/>
          <w:sz w:val="18"/>
        </w:rPr>
        <w:t> </w:t>
      </w:r>
      <w:r>
        <w:rPr>
          <w:color w:val="3D3B3D"/>
          <w:sz w:val="18"/>
        </w:rPr>
        <w:t>to</w:t>
      </w:r>
      <w:r>
        <w:rPr>
          <w:color w:val="3D3B3D"/>
          <w:spacing w:val="1"/>
          <w:sz w:val="18"/>
        </w:rPr>
        <w:t> </w:t>
      </w:r>
      <w:r>
        <w:rPr>
          <w:color w:val="3D3B3D"/>
          <w:sz w:val="18"/>
        </w:rPr>
        <w:t>find</w:t>
      </w:r>
      <w:r>
        <w:rPr>
          <w:color w:val="3D3B3D"/>
          <w:spacing w:val="3"/>
          <w:sz w:val="18"/>
        </w:rPr>
        <w:t> </w:t>
      </w:r>
      <w:r>
        <w:rPr>
          <w:color w:val="3D3B3D"/>
          <w:sz w:val="18"/>
        </w:rPr>
        <w:t>particular</w:t>
      </w:r>
      <w:r>
        <w:rPr>
          <w:color w:val="3D3B3D"/>
          <w:spacing w:val="-13"/>
          <w:sz w:val="18"/>
        </w:rPr>
        <w:t> </w:t>
      </w:r>
      <w:r>
        <w:rPr>
          <w:color w:val="3D3B3D"/>
          <w:sz w:val="18"/>
        </w:rPr>
        <w:t>segments</w:t>
      </w:r>
      <w:r>
        <w:rPr>
          <w:color w:val="3D3B3D"/>
          <w:spacing w:val="-14"/>
          <w:sz w:val="18"/>
        </w:rPr>
        <w:t> </w:t>
      </w:r>
      <w:r>
        <w:rPr>
          <w:color w:val="3D3B3D"/>
          <w:sz w:val="18"/>
        </w:rPr>
        <w:t>of</w:t>
      </w:r>
      <w:r>
        <w:rPr>
          <w:color w:val="3D3B3D"/>
          <w:spacing w:val="5"/>
          <w:sz w:val="18"/>
        </w:rPr>
        <w:t> </w:t>
      </w:r>
      <w:r>
        <w:rPr>
          <w:color w:val="3D3B3D"/>
          <w:sz w:val="18"/>
        </w:rPr>
        <w:t>the</w:t>
      </w:r>
      <w:r>
        <w:rPr>
          <w:color w:val="3D3B3D"/>
          <w:spacing w:val="7"/>
          <w:sz w:val="18"/>
        </w:rPr>
        <w:t> </w:t>
      </w:r>
      <w:r>
        <w:rPr>
          <w:color w:val="3D3B3D"/>
          <w:sz w:val="18"/>
        </w:rPr>
        <w:t>brief.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235" w:lineRule="auto" w:before="1"/>
        <w:ind w:left="725" w:right="103" w:firstLine="428"/>
        <w:jc w:val="both"/>
      </w:pPr>
      <w:r>
        <w:rPr>
          <w:color w:val="3D3B3D"/>
          <w:w w:val="105"/>
        </w:rPr>
        <w:t>Point headings are used as headings and subheadings within the argu­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10"/>
        </w:rPr>
        <w:t>ment section of a brief. They also appear in  the  table of contents; they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are useful there both as a concise summary of major points for the reader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05"/>
        </w:rPr>
        <w:t>and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as a tool to help the user find those points. Point headings serve three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functions in the body of the argument. First, they give the court easy access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10"/>
        </w:rPr>
        <w:t>to the  writer's basic argument. The point headings are thesis statements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05"/>
        </w:rPr>
        <w:t>of the writer's argument in each section and subsection of the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brief. Point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headings are particularly effective as concise statements of the writer's best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10"/>
        </w:rPr>
        <w:t>points because they occur in a position of emphasis within the document.</w:t>
      </w:r>
      <w:r>
        <w:rPr>
          <w:color w:val="3D3B3D"/>
          <w:spacing w:val="-61"/>
          <w:w w:val="110"/>
        </w:rPr>
        <w:t> </w:t>
      </w:r>
      <w:r>
        <w:rPr>
          <w:color w:val="3D3B3D"/>
          <w:w w:val="105"/>
        </w:rPr>
        <w:t>Anytime the reader takes a break between one segment of a document and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10"/>
        </w:rPr>
        <w:t>another (whether those segments are sentences, paragraphs, or sections)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his or her attention peaks. A boldfaced heading spikes the reader's atten­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tion and makes it likely that he or she will pay attention to the informa­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tion in the heading. The writer gains maximum benefit from this position</w:t>
      </w:r>
      <w:r>
        <w:rPr>
          <w:color w:val="3D3B3D"/>
          <w:spacing w:val="-61"/>
          <w:w w:val="110"/>
        </w:rPr>
        <w:t> </w:t>
      </w:r>
      <w:r>
        <w:rPr>
          <w:color w:val="3D3B3D"/>
          <w:w w:val="110"/>
        </w:rPr>
        <w:t>of</w:t>
      </w:r>
      <w:r>
        <w:rPr>
          <w:color w:val="3D3B3D"/>
          <w:spacing w:val="6"/>
          <w:w w:val="110"/>
        </w:rPr>
        <w:t> </w:t>
      </w:r>
      <w:r>
        <w:rPr>
          <w:color w:val="3D3B3D"/>
          <w:w w:val="110"/>
        </w:rPr>
        <w:t>emphasis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when</w:t>
      </w:r>
      <w:r>
        <w:rPr>
          <w:color w:val="3D3B3D"/>
          <w:spacing w:val="15"/>
          <w:w w:val="110"/>
        </w:rPr>
        <w:t> </w:t>
      </w:r>
      <w:r>
        <w:rPr>
          <w:color w:val="3D3B3D"/>
          <w:w w:val="110"/>
        </w:rPr>
        <w:t>his</w:t>
      </w:r>
      <w:r>
        <w:rPr>
          <w:color w:val="3D3B3D"/>
          <w:spacing w:val="-9"/>
          <w:w w:val="110"/>
        </w:rPr>
        <w:t> </w:t>
      </w:r>
      <w:r>
        <w:rPr>
          <w:color w:val="3D3B3D"/>
          <w:w w:val="110"/>
        </w:rPr>
        <w:t>or</w:t>
      </w:r>
      <w:r>
        <w:rPr>
          <w:color w:val="3D3B3D"/>
          <w:spacing w:val="12"/>
          <w:w w:val="110"/>
        </w:rPr>
        <w:t> </w:t>
      </w:r>
      <w:r>
        <w:rPr>
          <w:color w:val="3D3B3D"/>
          <w:w w:val="110"/>
        </w:rPr>
        <w:t>her</w:t>
      </w:r>
      <w:r>
        <w:rPr>
          <w:color w:val="3D3B3D"/>
          <w:spacing w:val="19"/>
          <w:w w:val="110"/>
        </w:rPr>
        <w:t> </w:t>
      </w:r>
      <w:r>
        <w:rPr>
          <w:color w:val="3D3B3D"/>
          <w:w w:val="110"/>
        </w:rPr>
        <w:t>major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contentions</w:t>
      </w:r>
      <w:r>
        <w:rPr>
          <w:color w:val="3D3B3D"/>
          <w:spacing w:val="-4"/>
          <w:w w:val="110"/>
        </w:rPr>
        <w:t> </w:t>
      </w:r>
      <w:r>
        <w:rPr>
          <w:color w:val="3D3B3D"/>
          <w:w w:val="110"/>
        </w:rPr>
        <w:t>appear</w:t>
      </w:r>
      <w:r>
        <w:rPr>
          <w:color w:val="3D3B3D"/>
          <w:spacing w:val="14"/>
          <w:w w:val="110"/>
        </w:rPr>
        <w:t> </w:t>
      </w:r>
      <w:r>
        <w:rPr>
          <w:color w:val="3D3B3D"/>
          <w:w w:val="110"/>
        </w:rPr>
        <w:t>in</w:t>
      </w:r>
      <w:r>
        <w:rPr>
          <w:color w:val="3D3B3D"/>
          <w:spacing w:val="21"/>
          <w:w w:val="110"/>
        </w:rPr>
        <w:t> </w:t>
      </w:r>
      <w:r>
        <w:rPr>
          <w:color w:val="3D3B3D"/>
          <w:w w:val="110"/>
        </w:rPr>
        <w:t>the</w:t>
      </w:r>
      <w:r>
        <w:rPr>
          <w:color w:val="3D3B3D"/>
          <w:spacing w:val="18"/>
          <w:w w:val="110"/>
        </w:rPr>
        <w:t> </w:t>
      </w:r>
      <w:r>
        <w:rPr>
          <w:color w:val="3D3B3D"/>
          <w:w w:val="110"/>
        </w:rPr>
        <w:t>headings.</w:t>
      </w:r>
    </w:p>
    <w:p>
      <w:pPr>
        <w:pStyle w:val="BodyText"/>
        <w:spacing w:line="243" w:lineRule="exact"/>
        <w:ind w:left="1083"/>
        <w:jc w:val="both"/>
      </w:pPr>
      <w:r>
        <w:rPr>
          <w:color w:val="3D3B3D"/>
          <w:w w:val="115"/>
        </w:rPr>
        <w:t>The</w:t>
      </w:r>
      <w:r>
        <w:rPr>
          <w:color w:val="3D3B3D"/>
          <w:spacing w:val="25"/>
          <w:w w:val="115"/>
        </w:rPr>
        <w:t> </w:t>
      </w:r>
      <w:r>
        <w:rPr>
          <w:color w:val="3D3B3D"/>
          <w:w w:val="115"/>
        </w:rPr>
        <w:t>second</w:t>
      </w:r>
      <w:r>
        <w:rPr>
          <w:color w:val="3D3B3D"/>
          <w:spacing w:val="39"/>
          <w:w w:val="115"/>
        </w:rPr>
        <w:t> </w:t>
      </w:r>
      <w:r>
        <w:rPr>
          <w:color w:val="3D3B3D"/>
          <w:w w:val="115"/>
        </w:rPr>
        <w:t>function</w:t>
      </w:r>
      <w:r>
        <w:rPr>
          <w:color w:val="3D3B3D"/>
          <w:spacing w:val="21"/>
          <w:w w:val="115"/>
        </w:rPr>
        <w:t> </w:t>
      </w:r>
      <w:r>
        <w:rPr>
          <w:color w:val="3D3B3D"/>
          <w:w w:val="115"/>
        </w:rPr>
        <w:t>of</w:t>
      </w:r>
      <w:r>
        <w:rPr>
          <w:color w:val="3D3B3D"/>
          <w:spacing w:val="34"/>
          <w:w w:val="115"/>
        </w:rPr>
        <w:t> </w:t>
      </w:r>
      <w:r>
        <w:rPr>
          <w:color w:val="3D3B3D"/>
          <w:w w:val="115"/>
        </w:rPr>
        <w:t>the</w:t>
      </w:r>
      <w:r>
        <w:rPr>
          <w:color w:val="3D3B3D"/>
          <w:spacing w:val="54"/>
          <w:w w:val="115"/>
        </w:rPr>
        <w:t> </w:t>
      </w:r>
      <w:r>
        <w:rPr>
          <w:color w:val="3D3B3D"/>
          <w:w w:val="115"/>
        </w:rPr>
        <w:t>point</w:t>
      </w:r>
      <w:r>
        <w:rPr>
          <w:color w:val="3D3B3D"/>
          <w:spacing w:val="37"/>
          <w:w w:val="115"/>
        </w:rPr>
        <w:t> </w:t>
      </w:r>
      <w:r>
        <w:rPr>
          <w:color w:val="3D3B3D"/>
          <w:w w:val="115"/>
        </w:rPr>
        <w:t>headings</w:t>
      </w:r>
      <w:r>
        <w:rPr>
          <w:color w:val="3D3B3D"/>
          <w:spacing w:val="28"/>
          <w:w w:val="115"/>
        </w:rPr>
        <w:t> </w:t>
      </w:r>
      <w:r>
        <w:rPr>
          <w:color w:val="3D3B3D"/>
          <w:w w:val="115"/>
        </w:rPr>
        <w:t>is</w:t>
      </w:r>
      <w:r>
        <w:rPr>
          <w:color w:val="3D3B3D"/>
          <w:spacing w:val="20"/>
          <w:w w:val="115"/>
        </w:rPr>
        <w:t> </w:t>
      </w:r>
      <w:r>
        <w:rPr>
          <w:color w:val="3D3B3D"/>
          <w:w w:val="115"/>
        </w:rPr>
        <w:t>organizational.</w:t>
      </w:r>
      <w:r>
        <w:rPr>
          <w:color w:val="3D3B3D"/>
          <w:spacing w:val="-7"/>
          <w:w w:val="115"/>
        </w:rPr>
        <w:t> </w:t>
      </w:r>
      <w:r>
        <w:rPr>
          <w:color w:val="3D3B3D"/>
          <w:w w:val="115"/>
        </w:rPr>
        <w:t>The</w:t>
      </w:r>
    </w:p>
    <w:p>
      <w:pPr>
        <w:pStyle w:val="BodyText"/>
        <w:spacing w:line="230" w:lineRule="auto" w:before="6"/>
        <w:ind w:left="663" w:right="127" w:firstLine="70"/>
        <w:jc w:val="both"/>
      </w:pPr>
      <w:r>
        <w:rPr>
          <w:color w:val="3D3B3D"/>
          <w:spacing w:val="-1"/>
          <w:w w:val="115"/>
        </w:rPr>
        <w:t>point</w:t>
      </w:r>
      <w:r>
        <w:rPr>
          <w:color w:val="3D3B3D"/>
          <w:spacing w:val="-10"/>
          <w:w w:val="115"/>
        </w:rPr>
        <w:t> </w:t>
      </w:r>
      <w:r>
        <w:rPr>
          <w:color w:val="3D3B3D"/>
          <w:w w:val="115"/>
        </w:rPr>
        <w:t>headings</w:t>
      </w:r>
      <w:r>
        <w:rPr>
          <w:color w:val="3D3B3D"/>
          <w:spacing w:val="-4"/>
          <w:w w:val="115"/>
        </w:rPr>
        <w:t> </w:t>
      </w:r>
      <w:r>
        <w:rPr>
          <w:color w:val="3D3B3D"/>
          <w:w w:val="115"/>
        </w:rPr>
        <w:t>help</w:t>
      </w:r>
      <w:r>
        <w:rPr>
          <w:color w:val="3D3B3D"/>
          <w:spacing w:val="-12"/>
          <w:w w:val="115"/>
        </w:rPr>
        <w:t> </w:t>
      </w:r>
      <w:r>
        <w:rPr>
          <w:color w:val="3D3B3D"/>
          <w:w w:val="115"/>
        </w:rPr>
        <w:t>the</w:t>
      </w:r>
      <w:r>
        <w:rPr>
          <w:color w:val="3D3B3D"/>
          <w:spacing w:val="-1"/>
          <w:w w:val="115"/>
        </w:rPr>
        <w:t> </w:t>
      </w:r>
      <w:r>
        <w:rPr>
          <w:color w:val="3D3B3D"/>
          <w:w w:val="115"/>
        </w:rPr>
        <w:t>reader</w:t>
      </w:r>
      <w:r>
        <w:rPr>
          <w:color w:val="3D3B3D"/>
          <w:spacing w:val="-8"/>
          <w:w w:val="115"/>
        </w:rPr>
        <w:t> </w:t>
      </w:r>
      <w:r>
        <w:rPr>
          <w:color w:val="3D3B3D"/>
          <w:w w:val="115"/>
        </w:rPr>
        <w:t>to</w:t>
      </w:r>
      <w:r>
        <w:rPr>
          <w:color w:val="3D3B3D"/>
          <w:spacing w:val="-3"/>
          <w:w w:val="115"/>
        </w:rPr>
        <w:t> </w:t>
      </w:r>
      <w:r>
        <w:rPr>
          <w:color w:val="3D3B3D"/>
          <w:w w:val="115"/>
        </w:rPr>
        <w:t>understand</w:t>
      </w:r>
      <w:r>
        <w:rPr>
          <w:color w:val="3D3B3D"/>
          <w:spacing w:val="9"/>
          <w:w w:val="115"/>
        </w:rPr>
        <w:t> </w:t>
      </w:r>
      <w:r>
        <w:rPr>
          <w:color w:val="3D3B3D"/>
          <w:w w:val="115"/>
        </w:rPr>
        <w:t>the</w:t>
      </w:r>
      <w:r>
        <w:rPr>
          <w:color w:val="3D3B3D"/>
          <w:spacing w:val="-1"/>
          <w:w w:val="115"/>
        </w:rPr>
        <w:t> </w:t>
      </w:r>
      <w:r>
        <w:rPr>
          <w:color w:val="3D3B3D"/>
          <w:w w:val="115"/>
        </w:rPr>
        <w:t>relationships</w:t>
      </w:r>
      <w:r>
        <w:rPr>
          <w:color w:val="3D3B3D"/>
          <w:spacing w:val="-10"/>
          <w:w w:val="115"/>
        </w:rPr>
        <w:t> </w:t>
      </w:r>
      <w:r>
        <w:rPr>
          <w:color w:val="3D3B3D"/>
          <w:w w:val="115"/>
        </w:rPr>
        <w:t>between</w:t>
      </w:r>
      <w:r>
        <w:rPr>
          <w:color w:val="3D3B3D"/>
          <w:spacing w:val="-64"/>
          <w:w w:val="115"/>
        </w:rPr>
        <w:t> </w:t>
      </w:r>
      <w:r>
        <w:rPr>
          <w:color w:val="3D3B3D"/>
          <w:spacing w:val="-1"/>
          <w:w w:val="110"/>
        </w:rPr>
        <w:t>and among the different </w:t>
      </w:r>
      <w:r>
        <w:rPr>
          <w:color w:val="3D3B3D"/>
          <w:w w:val="110"/>
        </w:rPr>
        <w:t>sections of the argument, for example, that these</w:t>
      </w:r>
      <w:r>
        <w:rPr>
          <w:color w:val="3D3B3D"/>
          <w:spacing w:val="1"/>
          <w:w w:val="110"/>
        </w:rPr>
        <w:t> </w:t>
      </w:r>
      <w:r>
        <w:rPr>
          <w:color w:val="3D3B3D"/>
          <w:spacing w:val="-1"/>
          <w:w w:val="110"/>
        </w:rPr>
        <w:t>subpoints are part of the argument </w:t>
      </w:r>
      <w:r>
        <w:rPr>
          <w:color w:val="3D3B3D"/>
          <w:w w:val="110"/>
        </w:rPr>
        <w:t>related to the related main point head­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5"/>
        </w:rPr>
        <w:t>ing, or that the writer has three main arguments as expressed in roman</w:t>
      </w:r>
      <w:r>
        <w:rPr>
          <w:color w:val="3D3B3D"/>
          <w:spacing w:val="-64"/>
          <w:w w:val="115"/>
        </w:rPr>
        <w:t> </w:t>
      </w:r>
      <w:r>
        <w:rPr>
          <w:color w:val="3D3B3D"/>
          <w:w w:val="105"/>
        </w:rPr>
        <w:t>numerals I, II, and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III (or Arabic numbers 1, 2, and 3). On a less substantive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15"/>
        </w:rPr>
        <w:t>but equally important note, the point headings help the user to find the</w:t>
      </w:r>
      <w:r>
        <w:rPr>
          <w:color w:val="3D3B3D"/>
          <w:spacing w:val="-64"/>
          <w:w w:val="115"/>
        </w:rPr>
        <w:t> </w:t>
      </w:r>
      <w:r>
        <w:rPr>
          <w:color w:val="3D3B3D"/>
          <w:w w:val="110"/>
        </w:rPr>
        <w:t>particular argument that he or she wants to read</w:t>
      </w:r>
      <w:r>
        <w:rPr>
          <w:color w:val="5B5B5D"/>
          <w:w w:val="110"/>
        </w:rPr>
        <w:t>. </w:t>
      </w:r>
      <w:r>
        <w:rPr>
          <w:color w:val="3D3B3D"/>
          <w:w w:val="110"/>
        </w:rPr>
        <w:t>Often, judges and their</w:t>
      </w:r>
      <w:r>
        <w:rPr>
          <w:color w:val="3D3B3D"/>
          <w:spacing w:val="1"/>
          <w:w w:val="110"/>
        </w:rPr>
        <w:t> </w:t>
      </w:r>
      <w:r>
        <w:rPr>
          <w:color w:val="3D3B3D"/>
          <w:spacing w:val="-1"/>
          <w:w w:val="110"/>
        </w:rPr>
        <w:t>clerks do not read through a brief </w:t>
      </w:r>
      <w:r>
        <w:rPr>
          <w:color w:val="3D3B3D"/>
          <w:w w:val="110"/>
        </w:rPr>
        <w:t>from beginning to end. Even if they do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once read the brief straight through, after that initial reading they may use</w:t>
      </w:r>
      <w:r>
        <w:rPr>
          <w:color w:val="3D3B3D"/>
          <w:spacing w:val="-61"/>
          <w:w w:val="110"/>
        </w:rPr>
        <w:t> </w:t>
      </w:r>
      <w:r>
        <w:rPr>
          <w:color w:val="3D3B3D"/>
          <w:w w:val="105"/>
        </w:rPr>
        <w:t>the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brief like a reference work, and they will use the point headings to help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10"/>
        </w:rPr>
        <w:t>them</w:t>
      </w:r>
      <w:r>
        <w:rPr>
          <w:color w:val="3D3B3D"/>
          <w:spacing w:val="9"/>
          <w:w w:val="110"/>
        </w:rPr>
        <w:t> </w:t>
      </w:r>
      <w:r>
        <w:rPr>
          <w:color w:val="3D3B3D"/>
          <w:w w:val="110"/>
        </w:rPr>
        <w:t>to</w:t>
      </w:r>
      <w:r>
        <w:rPr>
          <w:color w:val="3D3B3D"/>
          <w:spacing w:val="3"/>
          <w:w w:val="110"/>
        </w:rPr>
        <w:t> </w:t>
      </w:r>
      <w:r>
        <w:rPr>
          <w:color w:val="3D3B3D"/>
          <w:w w:val="110"/>
        </w:rPr>
        <w:t>find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what</w:t>
      </w:r>
      <w:r>
        <w:rPr>
          <w:color w:val="3D3B3D"/>
          <w:spacing w:val="3"/>
          <w:w w:val="110"/>
        </w:rPr>
        <w:t> </w:t>
      </w:r>
      <w:r>
        <w:rPr>
          <w:color w:val="3D3B3D"/>
          <w:w w:val="110"/>
        </w:rPr>
        <w:t>they</w:t>
      </w:r>
      <w:r>
        <w:rPr>
          <w:color w:val="3D3B3D"/>
          <w:spacing w:val="-18"/>
          <w:w w:val="110"/>
        </w:rPr>
        <w:t> </w:t>
      </w:r>
      <w:r>
        <w:rPr>
          <w:color w:val="3D3B3D"/>
          <w:w w:val="110"/>
        </w:rPr>
        <w:t>are</w:t>
      </w:r>
      <w:r>
        <w:rPr>
          <w:color w:val="3D3B3D"/>
          <w:spacing w:val="-13"/>
          <w:w w:val="110"/>
        </w:rPr>
        <w:t> </w:t>
      </w:r>
      <w:r>
        <w:rPr>
          <w:color w:val="3D3B3D"/>
          <w:w w:val="110"/>
        </w:rPr>
        <w:t>looking</w:t>
      </w:r>
      <w:r>
        <w:rPr>
          <w:color w:val="3D3B3D"/>
          <w:spacing w:val="-7"/>
          <w:w w:val="110"/>
        </w:rPr>
        <w:t> </w:t>
      </w:r>
      <w:r>
        <w:rPr>
          <w:color w:val="3D3B3D"/>
          <w:w w:val="110"/>
        </w:rPr>
        <w:t>for.</w:t>
      </w:r>
    </w:p>
    <w:p>
      <w:pPr>
        <w:pStyle w:val="BodyText"/>
        <w:spacing w:line="232" w:lineRule="auto" w:before="8"/>
        <w:ind w:left="608" w:right="138" w:firstLine="406"/>
        <w:jc w:val="both"/>
      </w:pPr>
      <w:r>
        <w:rPr>
          <w:color w:val="3D3B3D"/>
          <w:w w:val="110"/>
        </w:rPr>
        <w:t>The third function of the point heading is its simplest</w:t>
      </w:r>
      <w:r>
        <w:rPr>
          <w:color w:val="5B5B5D"/>
          <w:w w:val="110"/>
        </w:rPr>
        <w:t>: </w:t>
      </w:r>
      <w:r>
        <w:rPr>
          <w:color w:val="3D3B3D"/>
          <w:w w:val="110"/>
        </w:rPr>
        <w:t>The point head­</w:t>
      </w:r>
      <w:r>
        <w:rPr>
          <w:color w:val="3D3B3D"/>
          <w:spacing w:val="-61"/>
          <w:w w:val="110"/>
        </w:rPr>
        <w:t> </w:t>
      </w:r>
      <w:r>
        <w:rPr>
          <w:color w:val="3D3B3D"/>
          <w:w w:val="110"/>
        </w:rPr>
        <w:t>ing provides a graphic break for the reader between sections of the brief.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05"/>
        </w:rPr>
        <w:t>By inserting a heading or subheading, the writer tells the reader, "You are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10"/>
        </w:rPr>
        <w:t>finished with the previous point, and now you are moving on to the next</w:t>
      </w:r>
      <w:r>
        <w:rPr>
          <w:color w:val="3D3B3D"/>
          <w:spacing w:val="1"/>
          <w:w w:val="110"/>
        </w:rPr>
        <w:t> </w:t>
      </w:r>
      <w:r>
        <w:rPr>
          <w:color w:val="3D3B3D"/>
          <w:spacing w:val="-1"/>
          <w:w w:val="110"/>
        </w:rPr>
        <w:t>point."</w:t>
      </w:r>
      <w:r>
        <w:rPr>
          <w:color w:val="3D3B3D"/>
          <w:spacing w:val="-17"/>
          <w:w w:val="110"/>
        </w:rPr>
        <w:t> </w:t>
      </w:r>
      <w:r>
        <w:rPr>
          <w:color w:val="3D3B3D"/>
          <w:spacing w:val="-1"/>
          <w:w w:val="110"/>
        </w:rPr>
        <w:t>Because</w:t>
      </w:r>
      <w:r>
        <w:rPr>
          <w:color w:val="3D3B3D"/>
          <w:spacing w:val="-12"/>
          <w:w w:val="110"/>
        </w:rPr>
        <w:t> </w:t>
      </w:r>
      <w:r>
        <w:rPr>
          <w:color w:val="3D3B3D"/>
          <w:spacing w:val="-1"/>
          <w:w w:val="110"/>
        </w:rPr>
        <w:t>reading</w:t>
      </w:r>
      <w:r>
        <w:rPr>
          <w:color w:val="3D3B3D"/>
          <w:spacing w:val="-3"/>
          <w:w w:val="110"/>
        </w:rPr>
        <w:t> </w:t>
      </w:r>
      <w:r>
        <w:rPr>
          <w:color w:val="3D3B3D"/>
          <w:w w:val="110"/>
        </w:rPr>
        <w:t>briefs</w:t>
      </w:r>
      <w:r>
        <w:rPr>
          <w:color w:val="3D3B3D"/>
          <w:spacing w:val="-23"/>
          <w:w w:val="110"/>
        </w:rPr>
        <w:t> </w:t>
      </w:r>
      <w:r>
        <w:rPr>
          <w:color w:val="3D3B3D"/>
          <w:w w:val="110"/>
        </w:rPr>
        <w:t>can</w:t>
      </w:r>
      <w:r>
        <w:rPr>
          <w:color w:val="3D3B3D"/>
          <w:spacing w:val="21"/>
          <w:w w:val="110"/>
        </w:rPr>
        <w:t> </w:t>
      </w:r>
      <w:r>
        <w:rPr>
          <w:color w:val="3D3B3D"/>
          <w:w w:val="110"/>
        </w:rPr>
        <w:t>be</w:t>
      </w:r>
      <w:r>
        <w:rPr>
          <w:color w:val="3D3B3D"/>
          <w:spacing w:val="-24"/>
          <w:w w:val="110"/>
        </w:rPr>
        <w:t> </w:t>
      </w:r>
      <w:r>
        <w:rPr>
          <w:color w:val="3D3B3D"/>
          <w:w w:val="110"/>
        </w:rPr>
        <w:t>a</w:t>
      </w:r>
      <w:r>
        <w:rPr>
          <w:color w:val="3D3B3D"/>
          <w:spacing w:val="-7"/>
          <w:w w:val="110"/>
        </w:rPr>
        <w:t> </w:t>
      </w:r>
      <w:r>
        <w:rPr>
          <w:color w:val="3D3B3D"/>
          <w:w w:val="110"/>
        </w:rPr>
        <w:t>daunting</w:t>
      </w:r>
      <w:r>
        <w:rPr>
          <w:color w:val="3D3B3D"/>
          <w:spacing w:val="-11"/>
          <w:w w:val="110"/>
        </w:rPr>
        <w:t> </w:t>
      </w:r>
      <w:r>
        <w:rPr>
          <w:color w:val="3D3B3D"/>
          <w:w w:val="110"/>
        </w:rPr>
        <w:t>task,</w:t>
      </w:r>
      <w:r>
        <w:rPr>
          <w:color w:val="3D3B3D"/>
          <w:spacing w:val="-17"/>
          <w:w w:val="110"/>
        </w:rPr>
        <w:t> </w:t>
      </w:r>
      <w:r>
        <w:rPr>
          <w:color w:val="3D3B3D"/>
          <w:w w:val="110"/>
        </w:rPr>
        <w:t>effective</w:t>
      </w:r>
      <w:r>
        <w:rPr>
          <w:color w:val="3D3B3D"/>
          <w:spacing w:val="-9"/>
          <w:w w:val="110"/>
        </w:rPr>
        <w:t> </w:t>
      </w:r>
      <w:r>
        <w:rPr>
          <w:color w:val="3D3B3D"/>
          <w:w w:val="110"/>
        </w:rPr>
        <w:t>use</w:t>
      </w:r>
      <w:r>
        <w:rPr>
          <w:color w:val="3D3B3D"/>
          <w:spacing w:val="-24"/>
          <w:w w:val="110"/>
        </w:rPr>
        <w:t> </w:t>
      </w:r>
      <w:r>
        <w:rPr>
          <w:color w:val="3D3B3D"/>
          <w:w w:val="110"/>
        </w:rPr>
        <w:t>of</w:t>
      </w:r>
      <w:r>
        <w:rPr>
          <w:color w:val="3D3B3D"/>
          <w:spacing w:val="-6"/>
          <w:w w:val="110"/>
        </w:rPr>
        <w:t> </w:t>
      </w:r>
      <w:r>
        <w:rPr>
          <w:color w:val="3D3B3D"/>
          <w:w w:val="110"/>
        </w:rPr>
        <w:t>point</w:t>
      </w:r>
    </w:p>
    <w:p>
      <w:pPr>
        <w:spacing w:after="0" w:line="232" w:lineRule="auto"/>
        <w:jc w:val="both"/>
        <w:sectPr>
          <w:pgSz w:w="9760" w:h="13980"/>
          <w:pgMar w:header="524" w:footer="0" w:top="1180" w:bottom="0" w:left="1360" w:right="120"/>
        </w:sectPr>
      </w:pPr>
    </w:p>
    <w:p>
      <w:pPr>
        <w:spacing w:line="89" w:lineRule="exact" w:before="0"/>
        <w:ind w:left="-5" w:right="0" w:firstLine="0"/>
        <w:jc w:val="left"/>
        <w:rPr>
          <w:b/>
          <w:sz w:val="18"/>
        </w:rPr>
      </w:pPr>
      <w:r>
        <w:rPr>
          <w:b/>
          <w:color w:val="3B3A3B"/>
          <w:w w:val="105"/>
          <w:sz w:val="18"/>
          <w:u w:val="thick" w:color="3B3A3B"/>
        </w:rPr>
        <w:t>F"</w:t>
      </w:r>
    </w:p>
    <w:p>
      <w:pPr>
        <w:pStyle w:val="BodyText"/>
        <w:spacing w:before="3"/>
        <w:rPr>
          <w:b/>
          <w:sz w:val="29"/>
        </w:rPr>
      </w:pPr>
    </w:p>
    <w:p>
      <w:pPr>
        <w:tabs>
          <w:tab w:pos="8520" w:val="right" w:leader="none"/>
        </w:tabs>
        <w:spacing w:before="92"/>
        <w:ind w:left="6223" w:right="0" w:firstLine="0"/>
        <w:jc w:val="left"/>
        <w:rPr>
          <w:b/>
          <w:sz w:val="19"/>
        </w:rPr>
      </w:pPr>
      <w:r>
        <w:rPr>
          <w:rFonts w:ascii="Arial"/>
          <w:color w:val="3B3A3B"/>
          <w:w w:val="105"/>
          <w:sz w:val="17"/>
        </w:rPr>
        <w:t>9.4</w:t>
      </w:r>
      <w:r>
        <w:rPr>
          <w:rFonts w:ascii="Arial"/>
          <w:color w:val="3B3A3B"/>
          <w:spacing w:val="47"/>
          <w:w w:val="105"/>
          <w:sz w:val="17"/>
        </w:rPr>
        <w:t> </w:t>
      </w:r>
      <w:r>
        <w:rPr>
          <w:rFonts w:ascii="Arial"/>
          <w:color w:val="3B3A3B"/>
          <w:w w:val="105"/>
          <w:sz w:val="17"/>
        </w:rPr>
        <w:t>Point</w:t>
      </w:r>
      <w:r>
        <w:rPr>
          <w:rFonts w:ascii="Arial"/>
          <w:color w:val="3B3A3B"/>
          <w:spacing w:val="-9"/>
          <w:w w:val="105"/>
          <w:sz w:val="17"/>
        </w:rPr>
        <w:t> </w:t>
      </w:r>
      <w:r>
        <w:rPr>
          <w:rFonts w:ascii="Arial"/>
          <w:color w:val="3B3A3B"/>
          <w:w w:val="105"/>
          <w:sz w:val="17"/>
        </w:rPr>
        <w:t>Headings</w:t>
        <w:tab/>
      </w:r>
      <w:r>
        <w:rPr>
          <w:b/>
          <w:color w:val="3B3A3B"/>
          <w:w w:val="105"/>
          <w:sz w:val="19"/>
        </w:rPr>
        <w:t>221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spacing w:line="232" w:lineRule="auto"/>
        <w:ind w:left="386" w:right="815" w:firstLine="6"/>
        <w:jc w:val="both"/>
      </w:pPr>
      <w:r>
        <w:rPr>
          <w:color w:val="3B3A3B"/>
          <w:w w:val="110"/>
        </w:rPr>
        <w:t>headings can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help break a long argument up into easy-to-understand (or</w:t>
      </w:r>
      <w:r>
        <w:rPr>
          <w:color w:val="3B3A3B"/>
          <w:spacing w:val="1"/>
          <w:w w:val="110"/>
        </w:rPr>
        <w:t> </w:t>
      </w:r>
      <w:r>
        <w:rPr>
          <w:color w:val="3B3A3B"/>
          <w:spacing w:val="-1"/>
          <w:w w:val="110"/>
        </w:rPr>
        <w:t>easier-to-understand) segments. </w:t>
      </w:r>
      <w:r>
        <w:rPr>
          <w:color w:val="3B3A3B"/>
          <w:w w:val="110"/>
        </w:rPr>
        <w:t>Remember that judges are more likely to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05"/>
        </w:rPr>
        <w:t>be persuaded by briefs that they can easily understand. Therefore, to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pro­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10"/>
        </w:rPr>
        <w:t>mote understanding, try not to have more than three or four pages with­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out</w:t>
      </w:r>
      <w:r>
        <w:rPr>
          <w:color w:val="3B3A3B"/>
          <w:spacing w:val="-18"/>
          <w:w w:val="110"/>
        </w:rPr>
        <w:t> </w:t>
      </w:r>
      <w:r>
        <w:rPr>
          <w:color w:val="3B3A3B"/>
          <w:w w:val="110"/>
        </w:rPr>
        <w:t>a</w:t>
      </w:r>
      <w:r>
        <w:rPr>
          <w:color w:val="3B3A3B"/>
          <w:spacing w:val="5"/>
          <w:w w:val="110"/>
        </w:rPr>
        <w:t> </w:t>
      </w:r>
      <w:r>
        <w:rPr>
          <w:color w:val="3B3A3B"/>
          <w:w w:val="110"/>
        </w:rPr>
        <w:t>point</w:t>
      </w:r>
      <w:r>
        <w:rPr>
          <w:color w:val="3B3A3B"/>
          <w:spacing w:val="5"/>
          <w:w w:val="110"/>
        </w:rPr>
        <w:t> </w:t>
      </w:r>
      <w:r>
        <w:rPr>
          <w:color w:val="3B3A3B"/>
          <w:w w:val="110"/>
        </w:rPr>
        <w:t>heading</w:t>
      </w:r>
      <w:r>
        <w:rPr>
          <w:color w:val="3B3A3B"/>
          <w:spacing w:val="-17"/>
          <w:w w:val="110"/>
        </w:rPr>
        <w:t> </w:t>
      </w:r>
      <w:r>
        <w:rPr>
          <w:color w:val="3B3A3B"/>
          <w:w w:val="110"/>
        </w:rPr>
        <w:t>or</w:t>
      </w:r>
      <w:r>
        <w:rPr>
          <w:color w:val="3B3A3B"/>
          <w:spacing w:val="-6"/>
          <w:w w:val="110"/>
        </w:rPr>
        <w:t> </w:t>
      </w:r>
      <w:r>
        <w:rPr>
          <w:color w:val="3B3A3B"/>
          <w:w w:val="110"/>
        </w:rPr>
        <w:t>subheading.</w:t>
      </w:r>
    </w:p>
    <w:p>
      <w:pPr>
        <w:pStyle w:val="BodyText"/>
        <w:spacing w:line="232" w:lineRule="auto" w:before="8"/>
        <w:ind w:left="387" w:right="803" w:firstLine="324"/>
      </w:pPr>
      <w:r>
        <w:rPr>
          <w:color w:val="3B3A3B"/>
          <w:w w:val="110"/>
        </w:rPr>
        <w:t>At this stage of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writing process, you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should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have already identi­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10"/>
        </w:rPr>
        <w:t>fied</w:t>
      </w:r>
      <w:r>
        <w:rPr>
          <w:color w:val="3B3A3B"/>
          <w:spacing w:val="-11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51"/>
          <w:w w:val="110"/>
        </w:rPr>
        <w:t> </w:t>
      </w:r>
      <w:r>
        <w:rPr>
          <w:color w:val="3B3A3B"/>
          <w:w w:val="110"/>
        </w:rPr>
        <w:t>main</w:t>
      </w:r>
      <w:r>
        <w:rPr>
          <w:color w:val="3B3A3B"/>
          <w:spacing w:val="-11"/>
          <w:w w:val="110"/>
        </w:rPr>
        <w:t> </w:t>
      </w:r>
      <w:r>
        <w:rPr>
          <w:color w:val="3B3A3B"/>
          <w:w w:val="110"/>
        </w:rPr>
        <w:t>assertions</w:t>
      </w:r>
      <w:r>
        <w:rPr>
          <w:color w:val="3B3A3B"/>
          <w:spacing w:val="-8"/>
          <w:w w:val="110"/>
        </w:rPr>
        <w:t> </w:t>
      </w:r>
      <w:r>
        <w:rPr>
          <w:color w:val="3B3A3B"/>
          <w:w w:val="110"/>
        </w:rPr>
        <w:t>you</w:t>
      </w:r>
      <w:r>
        <w:rPr>
          <w:color w:val="3B3A3B"/>
          <w:spacing w:val="7"/>
          <w:w w:val="110"/>
        </w:rPr>
        <w:t> </w:t>
      </w:r>
      <w:r>
        <w:rPr>
          <w:color w:val="3B3A3B"/>
          <w:w w:val="110"/>
        </w:rPr>
        <w:t>plan</w:t>
      </w:r>
      <w:r>
        <w:rPr>
          <w:color w:val="3B3A3B"/>
          <w:spacing w:val="5"/>
          <w:w w:val="110"/>
        </w:rPr>
        <w:t> </w:t>
      </w:r>
      <w:r>
        <w:rPr>
          <w:color w:val="3B3A3B"/>
          <w:w w:val="110"/>
        </w:rPr>
        <w:t>to</w:t>
      </w:r>
      <w:r>
        <w:rPr>
          <w:color w:val="3B3A3B"/>
          <w:spacing w:val="2"/>
          <w:w w:val="110"/>
        </w:rPr>
        <w:t> </w:t>
      </w:r>
      <w:r>
        <w:rPr>
          <w:color w:val="3B3A3B"/>
          <w:w w:val="110"/>
        </w:rPr>
        <w:t>make</w:t>
      </w:r>
      <w:r>
        <w:rPr>
          <w:color w:val="3B3A3B"/>
          <w:spacing w:val="-8"/>
          <w:w w:val="110"/>
        </w:rPr>
        <w:t> </w:t>
      </w:r>
      <w:r>
        <w:rPr>
          <w:color w:val="3B3A3B"/>
          <w:w w:val="110"/>
        </w:rPr>
        <w:t>to convince</w:t>
      </w:r>
      <w:r>
        <w:rPr>
          <w:color w:val="3B3A3B"/>
          <w:spacing w:val="-9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7"/>
          <w:w w:val="110"/>
        </w:rPr>
        <w:t> </w:t>
      </w:r>
      <w:r>
        <w:rPr>
          <w:color w:val="3B3A3B"/>
          <w:w w:val="110"/>
        </w:rPr>
        <w:t>court</w:t>
      </w:r>
      <w:r>
        <w:rPr>
          <w:color w:val="3B3A3B"/>
          <w:spacing w:val="-12"/>
          <w:w w:val="110"/>
        </w:rPr>
        <w:t> </w:t>
      </w:r>
      <w:r>
        <w:rPr>
          <w:color w:val="3B3A3B"/>
          <w:w w:val="110"/>
        </w:rPr>
        <w:t>to</w:t>
      </w:r>
      <w:r>
        <w:rPr>
          <w:color w:val="3B3A3B"/>
          <w:spacing w:val="-1"/>
          <w:w w:val="110"/>
        </w:rPr>
        <w:t> </w:t>
      </w:r>
      <w:r>
        <w:rPr>
          <w:color w:val="3B3A3B"/>
          <w:w w:val="110"/>
        </w:rPr>
        <w:t>decide</w:t>
      </w:r>
      <w:r>
        <w:rPr>
          <w:color w:val="3B3A3B"/>
          <w:spacing w:val="-60"/>
          <w:w w:val="110"/>
        </w:rPr>
        <w:t> </w:t>
      </w:r>
      <w:r>
        <w:rPr>
          <w:color w:val="3B3A3B"/>
          <w:w w:val="110"/>
        </w:rPr>
        <w:t>in your favor. When deciding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how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to arrange these assertions into head­</w:t>
      </w:r>
      <w:r>
        <w:rPr>
          <w:color w:val="3B3A3B"/>
          <w:spacing w:val="-61"/>
          <w:w w:val="110"/>
        </w:rPr>
        <w:t> </w:t>
      </w:r>
      <w:r>
        <w:rPr>
          <w:color w:val="3B3A3B"/>
          <w:spacing w:val="-1"/>
          <w:w w:val="110"/>
        </w:rPr>
        <w:t>ings, identify the relationships </w:t>
      </w:r>
      <w:r>
        <w:rPr>
          <w:color w:val="3B3A3B"/>
          <w:w w:val="110"/>
        </w:rPr>
        <w:t>between and among those assertions. First,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10"/>
        </w:rPr>
        <w:t>group</w:t>
      </w:r>
      <w:r>
        <w:rPr>
          <w:color w:val="3B3A3B"/>
          <w:spacing w:val="-24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26"/>
          <w:w w:val="110"/>
        </w:rPr>
        <w:t> </w:t>
      </w:r>
      <w:r>
        <w:rPr>
          <w:color w:val="3B3A3B"/>
          <w:w w:val="110"/>
        </w:rPr>
        <w:t>assertions</w:t>
      </w:r>
      <w:r>
        <w:rPr>
          <w:color w:val="3B3A3B"/>
          <w:spacing w:val="-4"/>
          <w:w w:val="110"/>
        </w:rPr>
        <w:t> </w:t>
      </w:r>
      <w:r>
        <w:rPr>
          <w:color w:val="3B3A3B"/>
          <w:w w:val="110"/>
        </w:rPr>
        <w:t>that</w:t>
      </w:r>
      <w:r>
        <w:rPr>
          <w:color w:val="3B3A3B"/>
          <w:spacing w:val="-23"/>
          <w:w w:val="110"/>
        </w:rPr>
        <w:t> </w:t>
      </w:r>
      <w:r>
        <w:rPr>
          <w:color w:val="3B3A3B"/>
          <w:w w:val="110"/>
        </w:rPr>
        <w:t>are</w:t>
      </w:r>
      <w:r>
        <w:rPr>
          <w:color w:val="3B3A3B"/>
          <w:spacing w:val="-31"/>
          <w:w w:val="110"/>
        </w:rPr>
        <w:t> </w:t>
      </w:r>
      <w:r>
        <w:rPr>
          <w:color w:val="3B3A3B"/>
          <w:w w:val="110"/>
        </w:rPr>
        <w:t>related;</w:t>
      </w:r>
      <w:r>
        <w:rPr>
          <w:color w:val="3B3A3B"/>
          <w:spacing w:val="-17"/>
          <w:w w:val="110"/>
        </w:rPr>
        <w:t> </w:t>
      </w:r>
      <w:r>
        <w:rPr>
          <w:color w:val="3B3A3B"/>
          <w:w w:val="110"/>
        </w:rPr>
        <w:t>second,</w:t>
      </w:r>
      <w:r>
        <w:rPr>
          <w:color w:val="3B3A3B"/>
          <w:spacing w:val="-10"/>
          <w:w w:val="110"/>
        </w:rPr>
        <w:t> </w:t>
      </w:r>
      <w:r>
        <w:rPr>
          <w:color w:val="3B3A3B"/>
          <w:w w:val="110"/>
        </w:rPr>
        <w:t>identify</w:t>
      </w:r>
      <w:r>
        <w:rPr>
          <w:color w:val="3B3A3B"/>
          <w:spacing w:val="-17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13"/>
          <w:w w:val="110"/>
        </w:rPr>
        <w:t> </w:t>
      </w:r>
      <w:r>
        <w:rPr>
          <w:color w:val="3B3A3B"/>
          <w:w w:val="110"/>
        </w:rPr>
        <w:t>major</w:t>
      </w:r>
      <w:r>
        <w:rPr>
          <w:color w:val="3B3A3B"/>
          <w:spacing w:val="-9"/>
          <w:w w:val="110"/>
        </w:rPr>
        <w:t> </w:t>
      </w:r>
      <w:r>
        <w:rPr>
          <w:color w:val="3B3A3B"/>
          <w:w w:val="110"/>
        </w:rPr>
        <w:t>assertions.</w:t>
      </w:r>
      <w:r>
        <w:rPr>
          <w:color w:val="3B3A3B"/>
          <w:spacing w:val="-60"/>
          <w:w w:val="110"/>
        </w:rPr>
        <w:t> </w:t>
      </w:r>
      <w:r>
        <w:rPr>
          <w:color w:val="3B3A3B"/>
          <w:w w:val="110"/>
        </w:rPr>
        <w:t>In</w:t>
      </w:r>
      <w:r>
        <w:rPr>
          <w:color w:val="3B3A3B"/>
          <w:spacing w:val="22"/>
          <w:w w:val="110"/>
        </w:rPr>
        <w:t> </w:t>
      </w:r>
      <w:r>
        <w:rPr>
          <w:color w:val="3B3A3B"/>
          <w:w w:val="110"/>
        </w:rPr>
        <w:t>particular,</w:t>
      </w:r>
      <w:r>
        <w:rPr>
          <w:color w:val="3B3A3B"/>
          <w:spacing w:val="32"/>
          <w:w w:val="110"/>
        </w:rPr>
        <w:t> </w:t>
      </w:r>
      <w:r>
        <w:rPr>
          <w:color w:val="3B3A3B"/>
          <w:w w:val="110"/>
        </w:rPr>
        <w:t>identify</w:t>
      </w:r>
      <w:r>
        <w:rPr>
          <w:color w:val="3B3A3B"/>
          <w:spacing w:val="30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43"/>
          <w:w w:val="110"/>
        </w:rPr>
        <w:t> </w:t>
      </w:r>
      <w:r>
        <w:rPr>
          <w:color w:val="3B3A3B"/>
          <w:w w:val="110"/>
        </w:rPr>
        <w:t>assertions</w:t>
      </w:r>
      <w:r>
        <w:rPr>
          <w:color w:val="3B3A3B"/>
          <w:spacing w:val="36"/>
          <w:w w:val="110"/>
        </w:rPr>
        <w:t> </w:t>
      </w:r>
      <w:r>
        <w:rPr>
          <w:color w:val="3B3A3B"/>
          <w:w w:val="110"/>
        </w:rPr>
        <w:t>that</w:t>
      </w:r>
      <w:r>
        <w:rPr>
          <w:color w:val="3B3A3B"/>
          <w:spacing w:val="28"/>
          <w:w w:val="110"/>
        </w:rPr>
        <w:t> </w:t>
      </w:r>
      <w:r>
        <w:rPr>
          <w:color w:val="3B3A3B"/>
          <w:w w:val="110"/>
        </w:rPr>
        <w:t>are</w:t>
      </w:r>
      <w:r>
        <w:rPr>
          <w:color w:val="3B3A3B"/>
          <w:spacing w:val="-12"/>
          <w:w w:val="110"/>
        </w:rPr>
        <w:t> </w:t>
      </w:r>
      <w:r>
        <w:rPr>
          <w:color w:val="3B3A3B"/>
          <w:w w:val="110"/>
        </w:rPr>
        <w:t>dispositive:</w:t>
      </w:r>
      <w:r>
        <w:rPr>
          <w:color w:val="3B3A3B"/>
          <w:spacing w:val="14"/>
          <w:w w:val="110"/>
        </w:rPr>
        <w:t> </w:t>
      </w:r>
      <w:r>
        <w:rPr>
          <w:color w:val="3B3A3B"/>
          <w:w w:val="110"/>
        </w:rPr>
        <w:t>That</w:t>
      </w:r>
      <w:r>
        <w:rPr>
          <w:color w:val="3B3A3B"/>
          <w:spacing w:val="29"/>
          <w:w w:val="110"/>
        </w:rPr>
        <w:t> </w:t>
      </w:r>
      <w:r>
        <w:rPr>
          <w:color w:val="3B3A3B"/>
          <w:w w:val="110"/>
        </w:rPr>
        <w:t>is,</w:t>
      </w:r>
      <w:r>
        <w:rPr>
          <w:color w:val="3B3A3B"/>
          <w:spacing w:val="21"/>
          <w:w w:val="110"/>
        </w:rPr>
        <w:t> </w:t>
      </w:r>
      <w:r>
        <w:rPr>
          <w:color w:val="3B3A3B"/>
          <w:w w:val="110"/>
        </w:rPr>
        <w:t>if</w:t>
      </w:r>
      <w:r>
        <w:rPr>
          <w:color w:val="3B3A3B"/>
          <w:spacing w:val="41"/>
          <w:w w:val="110"/>
        </w:rPr>
        <w:t> </w:t>
      </w:r>
      <w:r>
        <w:rPr>
          <w:color w:val="2A282A"/>
          <w:w w:val="110"/>
        </w:rPr>
        <w:t>the</w:t>
      </w:r>
      <w:r>
        <w:rPr>
          <w:color w:val="2A282A"/>
          <w:spacing w:val="1"/>
          <w:w w:val="110"/>
        </w:rPr>
        <w:t> </w:t>
      </w:r>
      <w:r>
        <w:rPr>
          <w:color w:val="3B3A3B"/>
          <w:spacing w:val="-1"/>
          <w:w w:val="110"/>
        </w:rPr>
        <w:t>court</w:t>
      </w:r>
      <w:r>
        <w:rPr>
          <w:color w:val="3B3A3B"/>
          <w:spacing w:val="-12"/>
          <w:w w:val="110"/>
        </w:rPr>
        <w:t> </w:t>
      </w:r>
      <w:r>
        <w:rPr>
          <w:color w:val="3B3A3B"/>
          <w:spacing w:val="-1"/>
          <w:w w:val="110"/>
        </w:rPr>
        <w:t>agrees</w:t>
      </w:r>
      <w:r>
        <w:rPr>
          <w:color w:val="3B3A3B"/>
          <w:spacing w:val="-5"/>
          <w:w w:val="110"/>
        </w:rPr>
        <w:t> </w:t>
      </w:r>
      <w:r>
        <w:rPr>
          <w:color w:val="3B3A3B"/>
          <w:spacing w:val="-1"/>
          <w:w w:val="110"/>
        </w:rPr>
        <w:t>with</w:t>
      </w:r>
      <w:r>
        <w:rPr>
          <w:color w:val="3B3A3B"/>
          <w:spacing w:val="-2"/>
          <w:w w:val="110"/>
        </w:rPr>
        <w:t> </w:t>
      </w:r>
      <w:r>
        <w:rPr>
          <w:color w:val="3B3A3B"/>
          <w:spacing w:val="-1"/>
          <w:w w:val="110"/>
        </w:rPr>
        <w:t>this</w:t>
      </w:r>
      <w:r>
        <w:rPr>
          <w:color w:val="3B3A3B"/>
          <w:spacing w:val="-16"/>
          <w:w w:val="110"/>
        </w:rPr>
        <w:t> </w:t>
      </w:r>
      <w:r>
        <w:rPr>
          <w:color w:val="3B3A3B"/>
          <w:spacing w:val="-1"/>
          <w:w w:val="110"/>
        </w:rPr>
        <w:t>assertion,</w:t>
      </w:r>
      <w:r>
        <w:rPr>
          <w:color w:val="3B3A3B"/>
          <w:spacing w:val="5"/>
          <w:w w:val="110"/>
        </w:rPr>
        <w:t> </w:t>
      </w:r>
      <w:r>
        <w:rPr>
          <w:color w:val="3B3A3B"/>
          <w:w w:val="110"/>
        </w:rPr>
        <w:t>it</w:t>
      </w:r>
      <w:r>
        <w:rPr>
          <w:color w:val="3B3A3B"/>
          <w:spacing w:val="12"/>
          <w:w w:val="110"/>
        </w:rPr>
        <w:t> </w:t>
      </w:r>
      <w:r>
        <w:rPr>
          <w:color w:val="3B3A3B"/>
          <w:w w:val="110"/>
        </w:rPr>
        <w:t>must</w:t>
      </w:r>
      <w:r>
        <w:rPr>
          <w:color w:val="3B3A3B"/>
          <w:spacing w:val="-3"/>
          <w:w w:val="110"/>
        </w:rPr>
        <w:t> </w:t>
      </w:r>
      <w:r>
        <w:rPr>
          <w:color w:val="3B3A3B"/>
          <w:w w:val="110"/>
        </w:rPr>
        <w:t>decide</w:t>
      </w:r>
      <w:r>
        <w:rPr>
          <w:color w:val="3B3A3B"/>
          <w:spacing w:val="-4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13"/>
          <w:w w:val="110"/>
        </w:rPr>
        <w:t> </w:t>
      </w:r>
      <w:r>
        <w:rPr>
          <w:color w:val="3B3A3B"/>
          <w:w w:val="110"/>
        </w:rPr>
        <w:t>case</w:t>
      </w:r>
      <w:r>
        <w:rPr>
          <w:color w:val="3B3A3B"/>
          <w:spacing w:val="-3"/>
          <w:w w:val="110"/>
        </w:rPr>
        <w:t> </w:t>
      </w:r>
      <w:r>
        <w:rPr>
          <w:color w:val="3B3A3B"/>
          <w:w w:val="110"/>
        </w:rPr>
        <w:t>in</w:t>
      </w:r>
      <w:r>
        <w:rPr>
          <w:color w:val="3B3A3B"/>
          <w:spacing w:val="16"/>
          <w:w w:val="110"/>
        </w:rPr>
        <w:t> </w:t>
      </w:r>
      <w:r>
        <w:rPr>
          <w:color w:val="3B3A3B"/>
          <w:w w:val="110"/>
        </w:rPr>
        <w:t>your</w:t>
      </w:r>
      <w:r>
        <w:rPr>
          <w:color w:val="3B3A3B"/>
          <w:spacing w:val="-5"/>
          <w:w w:val="110"/>
        </w:rPr>
        <w:t> </w:t>
      </w:r>
      <w:r>
        <w:rPr>
          <w:color w:val="3B3A3B"/>
          <w:w w:val="110"/>
        </w:rPr>
        <w:t>favor.</w:t>
      </w:r>
    </w:p>
    <w:p>
      <w:pPr>
        <w:pStyle w:val="BodyText"/>
        <w:spacing w:line="232" w:lineRule="auto" w:before="6"/>
        <w:ind w:left="394" w:right="728" w:firstLine="325"/>
        <w:jc w:val="both"/>
      </w:pPr>
      <w:r>
        <w:rPr>
          <w:color w:val="3B3A3B"/>
          <w:w w:val="110"/>
        </w:rPr>
        <w:t>When you first try to identify the relationships between and among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your headings, your roman numeral, or main, point headings should be</w:t>
      </w:r>
      <w:r>
        <w:rPr>
          <w:color w:val="3B3A3B"/>
          <w:spacing w:val="1"/>
          <w:w w:val="110"/>
        </w:rPr>
        <w:t> </w:t>
      </w:r>
      <w:r>
        <w:rPr>
          <w:color w:val="3B3A3B"/>
          <w:spacing w:val="-1"/>
          <w:w w:val="110"/>
        </w:rPr>
        <w:t>only dispositive assertions. This method is the </w:t>
      </w:r>
      <w:r>
        <w:rPr>
          <w:color w:val="3B3A3B"/>
          <w:w w:val="110"/>
        </w:rPr>
        <w:t>most logical, and it is most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likely </w:t>
      </w:r>
      <w:r>
        <w:rPr>
          <w:color w:val="2A282A"/>
          <w:w w:val="110"/>
        </w:rPr>
        <w:t>to </w:t>
      </w:r>
      <w:r>
        <w:rPr>
          <w:color w:val="3B3A3B"/>
          <w:w w:val="110"/>
        </w:rPr>
        <w:t>display an argument whose main points track the brief's ques­</w:t>
      </w:r>
      <w:r>
        <w:rPr>
          <w:color w:val="3B3A3B"/>
          <w:spacing w:val="1"/>
          <w:w w:val="110"/>
        </w:rPr>
        <w:t> </w:t>
      </w:r>
      <w:r>
        <w:rPr>
          <w:color w:val="3B3A3B"/>
          <w:spacing w:val="-1"/>
          <w:w w:val="110"/>
        </w:rPr>
        <w:t>tions presented. Many </w:t>
      </w:r>
      <w:r>
        <w:rPr>
          <w:color w:val="3B3A3B"/>
          <w:w w:val="110"/>
        </w:rPr>
        <w:t>good attorneys do not foHow this advice, however.</w:t>
      </w:r>
      <w:r>
        <w:rPr>
          <w:color w:val="3B3A3B"/>
          <w:spacing w:val="-61"/>
          <w:w w:val="110"/>
        </w:rPr>
        <w:t> </w:t>
      </w:r>
      <w:r>
        <w:rPr>
          <w:rFonts w:ascii="Arial" w:hAnsi="Arial"/>
          <w:color w:val="3B3A3B"/>
          <w:w w:val="110"/>
          <w:sz w:val="22"/>
        </w:rPr>
        <w:t>If </w:t>
      </w:r>
      <w:r>
        <w:rPr>
          <w:color w:val="3B3A3B"/>
          <w:w w:val="110"/>
        </w:rPr>
        <w:t>a case is complex, with many sub-issues related to the one dispositive</w:t>
      </w:r>
      <w:r>
        <w:rPr>
          <w:color w:val="3B3A3B"/>
          <w:spacing w:val="1"/>
          <w:w w:val="110"/>
        </w:rPr>
        <w:t> </w:t>
      </w:r>
      <w:r>
        <w:rPr>
          <w:color w:val="3B3A3B"/>
          <w:spacing w:val="-1"/>
          <w:w w:val="110"/>
        </w:rPr>
        <w:t>assertion, the brief could end up with sub-sub-sub-subheads. </w:t>
      </w:r>
      <w:r>
        <w:rPr>
          <w:color w:val="3B3A3B"/>
          <w:w w:val="110"/>
        </w:rPr>
        <w:t>In that situa­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tion, it would be preferable to eliminate the single dispositive heading and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10"/>
        </w:rPr>
        <w:t>"promote" all of the other headings. Your starting point, however, should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always</w:t>
      </w:r>
      <w:r>
        <w:rPr>
          <w:color w:val="3B3A3B"/>
          <w:spacing w:val="-8"/>
          <w:w w:val="110"/>
        </w:rPr>
        <w:t> </w:t>
      </w:r>
      <w:r>
        <w:rPr>
          <w:color w:val="3B3A3B"/>
          <w:w w:val="110"/>
        </w:rPr>
        <w:t>be</w:t>
      </w:r>
      <w:r>
        <w:rPr>
          <w:color w:val="3B3A3B"/>
          <w:spacing w:val="25"/>
          <w:w w:val="110"/>
        </w:rPr>
        <w:t> </w:t>
      </w:r>
      <w:r>
        <w:rPr>
          <w:color w:val="3B3A3B"/>
          <w:w w:val="110"/>
        </w:rPr>
        <w:t>to</w:t>
      </w:r>
      <w:r>
        <w:rPr>
          <w:color w:val="3B3A3B"/>
          <w:spacing w:val="41"/>
          <w:w w:val="110"/>
        </w:rPr>
        <w:t> </w:t>
      </w:r>
      <w:r>
        <w:rPr>
          <w:color w:val="3B3A3B"/>
          <w:w w:val="110"/>
        </w:rPr>
        <w:t>identify</w:t>
      </w:r>
      <w:r>
        <w:rPr>
          <w:color w:val="3B3A3B"/>
          <w:spacing w:val="5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19"/>
          <w:w w:val="110"/>
        </w:rPr>
        <w:t> </w:t>
      </w:r>
      <w:r>
        <w:rPr>
          <w:color w:val="3B3A3B"/>
          <w:w w:val="110"/>
        </w:rPr>
        <w:t>points</w:t>
      </w:r>
      <w:r>
        <w:rPr>
          <w:color w:val="3B3A3B"/>
          <w:spacing w:val="-6"/>
          <w:w w:val="110"/>
        </w:rPr>
        <w:t> </w:t>
      </w:r>
      <w:r>
        <w:rPr>
          <w:color w:val="3B3A3B"/>
          <w:w w:val="110"/>
        </w:rPr>
        <w:t>that</w:t>
      </w:r>
      <w:r>
        <w:rPr>
          <w:color w:val="3B3A3B"/>
          <w:spacing w:val="-7"/>
          <w:w w:val="110"/>
        </w:rPr>
        <w:t> </w:t>
      </w:r>
      <w:r>
        <w:rPr>
          <w:color w:val="3B3A3B"/>
          <w:w w:val="110"/>
        </w:rPr>
        <w:t>aredispositive.</w:t>
      </w:r>
    </w:p>
    <w:p>
      <w:pPr>
        <w:pStyle w:val="BodyText"/>
        <w:spacing w:before="2"/>
        <w:rPr>
          <w:sz w:val="35"/>
        </w:rPr>
      </w:pPr>
    </w:p>
    <w:p>
      <w:pPr>
        <w:spacing w:before="0"/>
        <w:ind w:left="724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B3A3B"/>
          <w:w w:val="105"/>
          <w:sz w:val="28"/>
        </w:rPr>
        <w:t>9.4.</w:t>
      </w:r>
      <w:r>
        <w:rPr>
          <w:rFonts w:ascii="Arial"/>
          <w:b/>
          <w:color w:val="646467"/>
          <w:w w:val="105"/>
          <w:sz w:val="28"/>
        </w:rPr>
        <w:t>2</w:t>
      </w:r>
    </w:p>
    <w:p>
      <w:pPr>
        <w:spacing w:before="43"/>
        <w:ind w:left="736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3B3A3B"/>
          <w:w w:val="105"/>
          <w:sz w:val="22"/>
        </w:rPr>
        <w:t>D</w:t>
      </w:r>
      <w:r>
        <w:rPr>
          <w:rFonts w:ascii="Arial"/>
          <w:b/>
          <w:color w:val="646467"/>
          <w:w w:val="105"/>
          <w:sz w:val="22"/>
        </w:rPr>
        <w:t>RATTING</w:t>
      </w:r>
      <w:r>
        <w:rPr>
          <w:rFonts w:ascii="Arial"/>
          <w:b/>
          <w:color w:val="646467"/>
          <w:spacing w:val="17"/>
          <w:w w:val="105"/>
          <w:sz w:val="22"/>
        </w:rPr>
        <w:t> </w:t>
      </w:r>
      <w:r>
        <w:rPr>
          <w:rFonts w:ascii="Arial"/>
          <w:b/>
          <w:color w:val="646467"/>
          <w:w w:val="105"/>
          <w:sz w:val="21"/>
        </w:rPr>
        <w:t>THE</w:t>
      </w:r>
      <w:r>
        <w:rPr>
          <w:rFonts w:ascii="Arial"/>
          <w:b/>
          <w:color w:val="646467"/>
          <w:spacing w:val="9"/>
          <w:w w:val="105"/>
          <w:sz w:val="21"/>
        </w:rPr>
        <w:t> </w:t>
      </w:r>
      <w:r>
        <w:rPr>
          <w:rFonts w:ascii="Arial"/>
          <w:b/>
          <w:color w:val="757779"/>
          <w:w w:val="105"/>
          <w:sz w:val="22"/>
        </w:rPr>
        <w:t>POINT</w:t>
      </w:r>
      <w:r>
        <w:rPr>
          <w:rFonts w:ascii="Arial"/>
          <w:b/>
          <w:color w:val="757779"/>
          <w:spacing w:val="-4"/>
          <w:w w:val="105"/>
          <w:sz w:val="22"/>
        </w:rPr>
        <w:t> </w:t>
      </w:r>
      <w:r>
        <w:rPr>
          <w:rFonts w:ascii="Arial"/>
          <w:b/>
          <w:color w:val="757779"/>
          <w:w w:val="105"/>
          <w:sz w:val="22"/>
        </w:rPr>
        <w:t>HEADINGS</w:t>
      </w:r>
    </w:p>
    <w:p>
      <w:pPr>
        <w:pStyle w:val="BodyText"/>
        <w:spacing w:before="133"/>
        <w:ind w:left="740"/>
        <w:jc w:val="both"/>
      </w:pPr>
      <w:r>
        <w:rPr>
          <w:color w:val="3B3A3B"/>
          <w:w w:val="110"/>
        </w:rPr>
        <w:t>A</w:t>
      </w:r>
      <w:r>
        <w:rPr>
          <w:color w:val="3B3A3B"/>
          <w:spacing w:val="-20"/>
          <w:w w:val="110"/>
        </w:rPr>
        <w:t> </w:t>
      </w:r>
      <w:r>
        <w:rPr>
          <w:color w:val="3B3A3B"/>
          <w:w w:val="110"/>
        </w:rPr>
        <w:t>classic</w:t>
      </w:r>
      <w:r>
        <w:rPr>
          <w:color w:val="3B3A3B"/>
          <w:spacing w:val="-5"/>
          <w:w w:val="110"/>
        </w:rPr>
        <w:t> </w:t>
      </w:r>
      <w:r>
        <w:rPr>
          <w:color w:val="3B3A3B"/>
          <w:w w:val="110"/>
        </w:rPr>
        <w:t>point</w:t>
      </w:r>
      <w:r>
        <w:rPr>
          <w:color w:val="3B3A3B"/>
          <w:spacing w:val="6"/>
          <w:w w:val="110"/>
        </w:rPr>
        <w:t> </w:t>
      </w:r>
      <w:r>
        <w:rPr>
          <w:color w:val="3B3A3B"/>
          <w:w w:val="110"/>
        </w:rPr>
        <w:t>heading</w:t>
      </w:r>
      <w:r>
        <w:rPr>
          <w:color w:val="3B3A3B"/>
          <w:spacing w:val="-1"/>
          <w:w w:val="110"/>
        </w:rPr>
        <w:t> </w:t>
      </w:r>
      <w:r>
        <w:rPr>
          <w:color w:val="3B3A3B"/>
          <w:w w:val="110"/>
        </w:rPr>
        <w:t>is</w:t>
      </w:r>
      <w:r>
        <w:rPr>
          <w:color w:val="3B3A3B"/>
          <w:spacing w:val="-6"/>
          <w:w w:val="110"/>
        </w:rPr>
        <w:t> </w:t>
      </w:r>
      <w:r>
        <w:rPr>
          <w:color w:val="3B3A3B"/>
          <w:w w:val="110"/>
        </w:rPr>
        <w:t>a</w:t>
      </w:r>
      <w:r>
        <w:rPr>
          <w:color w:val="3B3A3B"/>
          <w:spacing w:val="4"/>
          <w:w w:val="110"/>
        </w:rPr>
        <w:t> </w:t>
      </w:r>
      <w:r>
        <w:rPr>
          <w:color w:val="3B3A3B"/>
          <w:w w:val="110"/>
        </w:rPr>
        <w:t>concise,</w:t>
      </w:r>
      <w:r>
        <w:rPr>
          <w:color w:val="3B3A3B"/>
          <w:spacing w:val="14"/>
          <w:w w:val="110"/>
        </w:rPr>
        <w:t> </w:t>
      </w:r>
      <w:r>
        <w:rPr>
          <w:color w:val="3B3A3B"/>
          <w:w w:val="110"/>
        </w:rPr>
        <w:t>persuasive</w:t>
      </w:r>
      <w:r>
        <w:rPr>
          <w:color w:val="3B3A3B"/>
          <w:spacing w:val="5"/>
          <w:w w:val="110"/>
        </w:rPr>
        <w:t> </w:t>
      </w:r>
      <w:r>
        <w:rPr>
          <w:color w:val="3B3A3B"/>
          <w:w w:val="110"/>
        </w:rPr>
        <w:t>statement</w:t>
      </w:r>
      <w:r>
        <w:rPr>
          <w:color w:val="3B3A3B"/>
          <w:spacing w:val="9"/>
          <w:w w:val="110"/>
        </w:rPr>
        <w:t> </w:t>
      </w:r>
      <w:r>
        <w:rPr>
          <w:color w:val="3B3A3B"/>
          <w:w w:val="110"/>
        </w:rPr>
        <w:t>of</w:t>
      </w:r>
    </w:p>
    <w:p>
      <w:pPr>
        <w:pStyle w:val="ListParagraph"/>
        <w:numPr>
          <w:ilvl w:val="1"/>
          <w:numId w:val="85"/>
        </w:numPr>
        <w:tabs>
          <w:tab w:pos="966" w:val="left" w:leader="none"/>
        </w:tabs>
        <w:spacing w:line="240" w:lineRule="auto" w:before="6" w:after="0"/>
        <w:ind w:left="965" w:right="0" w:hanging="241"/>
        <w:jc w:val="both"/>
        <w:rPr>
          <w:sz w:val="23"/>
        </w:rPr>
      </w:pPr>
      <w:r>
        <w:rPr>
          <w:color w:val="3B3A3B"/>
          <w:w w:val="115"/>
          <w:sz w:val="23"/>
        </w:rPr>
        <w:t>either</w:t>
      </w:r>
    </w:p>
    <w:p>
      <w:pPr>
        <w:pStyle w:val="ListParagraph"/>
        <w:numPr>
          <w:ilvl w:val="2"/>
          <w:numId w:val="85"/>
        </w:numPr>
        <w:tabs>
          <w:tab w:pos="1323" w:val="left" w:leader="none"/>
        </w:tabs>
        <w:spacing w:line="257" w:lineRule="exact" w:before="101" w:after="0"/>
        <w:ind w:left="1322" w:right="0" w:hanging="232"/>
        <w:jc w:val="both"/>
        <w:rPr>
          <w:rFonts w:ascii="Arial"/>
          <w:b/>
          <w:sz w:val="21"/>
        </w:rPr>
      </w:pPr>
      <w:r>
        <w:rPr>
          <w:color w:val="3B3A3B"/>
          <w:w w:val="115"/>
          <w:sz w:val="23"/>
        </w:rPr>
        <w:t>a</w:t>
      </w:r>
      <w:r>
        <w:rPr>
          <w:color w:val="3B3A3B"/>
          <w:spacing w:val="-5"/>
          <w:w w:val="115"/>
          <w:sz w:val="23"/>
        </w:rPr>
        <w:t> </w:t>
      </w:r>
      <w:r>
        <w:rPr>
          <w:color w:val="3B3A3B"/>
          <w:w w:val="115"/>
          <w:sz w:val="23"/>
        </w:rPr>
        <w:t>conclusion</w:t>
      </w:r>
      <w:r>
        <w:rPr>
          <w:color w:val="3B3A3B"/>
          <w:spacing w:val="20"/>
          <w:w w:val="115"/>
          <w:sz w:val="23"/>
        </w:rPr>
        <w:t> </w:t>
      </w:r>
      <w:r>
        <w:rPr>
          <w:color w:val="3B3A3B"/>
          <w:w w:val="115"/>
          <w:sz w:val="23"/>
        </w:rPr>
        <w:t>that</w:t>
      </w:r>
      <w:r>
        <w:rPr>
          <w:color w:val="3B3A3B"/>
          <w:spacing w:val="-9"/>
          <w:w w:val="115"/>
          <w:sz w:val="23"/>
        </w:rPr>
        <w:t> </w:t>
      </w:r>
      <w:r>
        <w:rPr>
          <w:color w:val="3B3A3B"/>
          <w:w w:val="115"/>
          <w:sz w:val="23"/>
        </w:rPr>
        <w:t>youwant</w:t>
      </w:r>
      <w:r>
        <w:rPr>
          <w:color w:val="3B3A3B"/>
          <w:spacing w:val="4"/>
          <w:w w:val="115"/>
          <w:sz w:val="23"/>
        </w:rPr>
        <w:t> </w:t>
      </w:r>
      <w:r>
        <w:rPr>
          <w:color w:val="3B3A3B"/>
          <w:w w:val="115"/>
          <w:sz w:val="23"/>
        </w:rPr>
        <w:t>the</w:t>
      </w:r>
      <w:r>
        <w:rPr>
          <w:color w:val="3B3A3B"/>
          <w:spacing w:val="9"/>
          <w:w w:val="115"/>
          <w:sz w:val="23"/>
        </w:rPr>
        <w:t> </w:t>
      </w:r>
      <w:r>
        <w:rPr>
          <w:color w:val="3B3A3B"/>
          <w:w w:val="115"/>
          <w:sz w:val="23"/>
        </w:rPr>
        <w:t>court</w:t>
      </w:r>
      <w:r>
        <w:rPr>
          <w:color w:val="3B3A3B"/>
          <w:spacing w:val="1"/>
          <w:w w:val="115"/>
          <w:sz w:val="23"/>
        </w:rPr>
        <w:t> </w:t>
      </w:r>
      <w:r>
        <w:rPr>
          <w:color w:val="3B3A3B"/>
          <w:w w:val="115"/>
          <w:sz w:val="23"/>
        </w:rPr>
        <w:t>to</w:t>
      </w:r>
      <w:r>
        <w:rPr>
          <w:color w:val="3B3A3B"/>
          <w:spacing w:val="3"/>
          <w:w w:val="115"/>
          <w:sz w:val="23"/>
        </w:rPr>
        <w:t> </w:t>
      </w:r>
      <w:r>
        <w:rPr>
          <w:color w:val="3B3A3B"/>
          <w:w w:val="115"/>
          <w:sz w:val="23"/>
        </w:rPr>
        <w:t>accept</w:t>
      </w:r>
      <w:r>
        <w:rPr>
          <w:color w:val="3B3A3B"/>
          <w:spacing w:val="-1"/>
          <w:w w:val="115"/>
          <w:sz w:val="23"/>
        </w:rPr>
        <w:t> </w:t>
      </w:r>
      <w:r>
        <w:rPr>
          <w:rFonts w:ascii="Arial"/>
          <w:b/>
          <w:color w:val="3B3A3B"/>
          <w:w w:val="115"/>
          <w:sz w:val="21"/>
        </w:rPr>
        <w:t>OR</w:t>
      </w:r>
    </w:p>
    <w:p>
      <w:pPr>
        <w:pStyle w:val="ListParagraph"/>
        <w:numPr>
          <w:ilvl w:val="2"/>
          <w:numId w:val="85"/>
        </w:numPr>
        <w:tabs>
          <w:tab w:pos="1343" w:val="left" w:leader="none"/>
        </w:tabs>
        <w:spacing w:line="257" w:lineRule="exact" w:before="0" w:after="0"/>
        <w:ind w:left="1342" w:right="0" w:hanging="243"/>
        <w:jc w:val="both"/>
        <w:rPr>
          <w:b/>
          <w:sz w:val="21"/>
        </w:rPr>
      </w:pPr>
      <w:r>
        <w:rPr>
          <w:color w:val="3B3A3B"/>
          <w:spacing w:val="-1"/>
          <w:w w:val="115"/>
          <w:sz w:val="23"/>
        </w:rPr>
        <w:t>an</w:t>
      </w:r>
      <w:r>
        <w:rPr>
          <w:color w:val="3B3A3B"/>
          <w:spacing w:val="7"/>
          <w:w w:val="115"/>
          <w:sz w:val="23"/>
        </w:rPr>
        <w:t> </w:t>
      </w:r>
      <w:r>
        <w:rPr>
          <w:color w:val="3B3A3B"/>
          <w:spacing w:val="-1"/>
          <w:w w:val="115"/>
          <w:sz w:val="23"/>
        </w:rPr>
        <w:t>action</w:t>
      </w:r>
      <w:r>
        <w:rPr>
          <w:color w:val="3B3A3B"/>
          <w:spacing w:val="14"/>
          <w:w w:val="115"/>
          <w:sz w:val="23"/>
        </w:rPr>
        <w:t> </w:t>
      </w:r>
      <w:r>
        <w:rPr>
          <w:color w:val="3B3A3B"/>
          <w:spacing w:val="-1"/>
          <w:w w:val="115"/>
          <w:sz w:val="23"/>
        </w:rPr>
        <w:t>that</w:t>
      </w:r>
      <w:r>
        <w:rPr>
          <w:color w:val="3B3A3B"/>
          <w:w w:val="115"/>
          <w:sz w:val="23"/>
        </w:rPr>
        <w:t> </w:t>
      </w:r>
      <w:r>
        <w:rPr>
          <w:color w:val="3B3A3B"/>
          <w:spacing w:val="-1"/>
          <w:w w:val="115"/>
          <w:sz w:val="23"/>
        </w:rPr>
        <w:t>you</w:t>
      </w:r>
      <w:r>
        <w:rPr>
          <w:color w:val="3B3A3B"/>
          <w:spacing w:val="-23"/>
          <w:w w:val="115"/>
          <w:sz w:val="23"/>
        </w:rPr>
        <w:t> </w:t>
      </w:r>
      <w:r>
        <w:rPr>
          <w:color w:val="3B3A3B"/>
          <w:spacing w:val="-1"/>
          <w:w w:val="115"/>
          <w:sz w:val="23"/>
        </w:rPr>
        <w:t>want</w:t>
      </w:r>
      <w:r>
        <w:rPr>
          <w:color w:val="3B3A3B"/>
          <w:spacing w:val="9"/>
          <w:w w:val="115"/>
          <w:sz w:val="23"/>
        </w:rPr>
        <w:t> </w:t>
      </w:r>
      <w:r>
        <w:rPr>
          <w:color w:val="3B3A3B"/>
          <w:spacing w:val="-1"/>
          <w:w w:val="115"/>
          <w:sz w:val="23"/>
        </w:rPr>
        <w:t>the</w:t>
      </w:r>
      <w:r>
        <w:rPr>
          <w:color w:val="3B3A3B"/>
          <w:spacing w:val="-3"/>
          <w:w w:val="115"/>
          <w:sz w:val="23"/>
        </w:rPr>
        <w:t> </w:t>
      </w:r>
      <w:r>
        <w:rPr>
          <w:color w:val="3B3A3B"/>
          <w:spacing w:val="-1"/>
          <w:w w:val="115"/>
          <w:sz w:val="23"/>
        </w:rPr>
        <w:t>court</w:t>
      </w:r>
      <w:r>
        <w:rPr>
          <w:color w:val="3B3A3B"/>
          <w:spacing w:val="-3"/>
          <w:w w:val="115"/>
          <w:sz w:val="23"/>
        </w:rPr>
        <w:t> </w:t>
      </w:r>
      <w:r>
        <w:rPr>
          <w:color w:val="3B3A3B"/>
          <w:spacing w:val="-1"/>
          <w:w w:val="115"/>
          <w:sz w:val="23"/>
        </w:rPr>
        <w:t>to</w:t>
      </w:r>
      <w:r>
        <w:rPr>
          <w:color w:val="3B3A3B"/>
          <w:spacing w:val="15"/>
          <w:w w:val="115"/>
          <w:sz w:val="23"/>
        </w:rPr>
        <w:t> </w:t>
      </w:r>
      <w:r>
        <w:rPr>
          <w:color w:val="3B3A3B"/>
          <w:spacing w:val="-1"/>
          <w:w w:val="115"/>
          <w:sz w:val="23"/>
        </w:rPr>
        <w:t>take,</w:t>
      </w:r>
      <w:r>
        <w:rPr>
          <w:color w:val="3B3A3B"/>
          <w:spacing w:val="-11"/>
          <w:w w:val="115"/>
          <w:sz w:val="23"/>
        </w:rPr>
        <w:t> </w:t>
      </w:r>
      <w:r>
        <w:rPr>
          <w:b/>
          <w:color w:val="3B3A3B"/>
          <w:w w:val="115"/>
          <w:sz w:val="21"/>
        </w:rPr>
        <w:t>PLUS</w:t>
      </w:r>
    </w:p>
    <w:p>
      <w:pPr>
        <w:pStyle w:val="ListParagraph"/>
        <w:numPr>
          <w:ilvl w:val="1"/>
          <w:numId w:val="85"/>
        </w:numPr>
        <w:tabs>
          <w:tab w:pos="982" w:val="left" w:leader="none"/>
        </w:tabs>
        <w:spacing w:line="244" w:lineRule="auto" w:before="121" w:after="0"/>
        <w:ind w:left="416" w:right="692" w:firstLine="331"/>
        <w:jc w:val="both"/>
        <w:rPr>
          <w:sz w:val="23"/>
        </w:rPr>
      </w:pPr>
      <w:r>
        <w:rPr>
          <w:color w:val="3B3A3B"/>
          <w:w w:val="115"/>
          <w:sz w:val="23"/>
        </w:rPr>
        <w:t>the reason that the court should take that action or agree with that</w:t>
      </w:r>
      <w:r>
        <w:rPr>
          <w:color w:val="3B3A3B"/>
          <w:spacing w:val="-64"/>
          <w:w w:val="115"/>
          <w:sz w:val="23"/>
        </w:rPr>
        <w:t> </w:t>
      </w:r>
      <w:r>
        <w:rPr>
          <w:color w:val="3B3A3B"/>
          <w:w w:val="115"/>
          <w:sz w:val="23"/>
        </w:rPr>
        <w:t>assertion.</w:t>
      </w:r>
    </w:p>
    <w:p>
      <w:pPr>
        <w:pStyle w:val="BodyText"/>
        <w:spacing w:line="233" w:lineRule="exact"/>
        <w:ind w:left="735"/>
        <w:jc w:val="both"/>
      </w:pPr>
      <w:r>
        <w:rPr>
          <w:color w:val="3B3A3B"/>
          <w:w w:val="110"/>
        </w:rPr>
        <w:t>To</w:t>
      </w:r>
      <w:r>
        <w:rPr>
          <w:color w:val="3B3A3B"/>
          <w:spacing w:val="-10"/>
          <w:w w:val="110"/>
        </w:rPr>
        <w:t> </w:t>
      </w:r>
      <w:r>
        <w:rPr>
          <w:color w:val="3B3A3B"/>
          <w:w w:val="110"/>
        </w:rPr>
        <w:t>draft</w:t>
      </w:r>
      <w:r>
        <w:rPr>
          <w:color w:val="3B3A3B"/>
          <w:spacing w:val="10"/>
          <w:w w:val="110"/>
        </w:rPr>
        <w:t> </w:t>
      </w:r>
      <w:r>
        <w:rPr>
          <w:color w:val="3B3A3B"/>
          <w:w w:val="110"/>
        </w:rPr>
        <w:t>your</w:t>
      </w:r>
      <w:r>
        <w:rPr>
          <w:color w:val="3B3A3B"/>
          <w:spacing w:val="40"/>
          <w:w w:val="110"/>
        </w:rPr>
        <w:t> </w:t>
      </w:r>
      <w:r>
        <w:rPr>
          <w:color w:val="3B3A3B"/>
          <w:w w:val="110"/>
        </w:rPr>
        <w:t>point</w:t>
      </w:r>
      <w:r>
        <w:rPr>
          <w:color w:val="3B3A3B"/>
          <w:spacing w:val="28"/>
          <w:w w:val="110"/>
        </w:rPr>
        <w:t> </w:t>
      </w:r>
      <w:r>
        <w:rPr>
          <w:color w:val="3B3A3B"/>
          <w:w w:val="110"/>
        </w:rPr>
        <w:t>headings,</w:t>
      </w:r>
      <w:r>
        <w:rPr>
          <w:color w:val="3B3A3B"/>
          <w:spacing w:val="30"/>
          <w:w w:val="110"/>
        </w:rPr>
        <w:t> </w:t>
      </w:r>
      <w:r>
        <w:rPr>
          <w:color w:val="3B3A3B"/>
          <w:w w:val="110"/>
        </w:rPr>
        <w:t>first</w:t>
      </w:r>
      <w:r>
        <w:rPr>
          <w:color w:val="3B3A3B"/>
          <w:spacing w:val="16"/>
          <w:w w:val="110"/>
        </w:rPr>
        <w:t> </w:t>
      </w:r>
      <w:r>
        <w:rPr>
          <w:color w:val="3B3A3B"/>
          <w:w w:val="110"/>
        </w:rPr>
        <w:t>consult</w:t>
      </w:r>
      <w:r>
        <w:rPr>
          <w:color w:val="3B3A3B"/>
          <w:spacing w:val="34"/>
          <w:w w:val="110"/>
        </w:rPr>
        <w:t> </w:t>
      </w:r>
      <w:r>
        <w:rPr>
          <w:color w:val="3B3A3B"/>
          <w:w w:val="110"/>
        </w:rPr>
        <w:t>your</w:t>
      </w:r>
      <w:r>
        <w:rPr>
          <w:color w:val="3B3A3B"/>
          <w:spacing w:val="18"/>
          <w:w w:val="110"/>
        </w:rPr>
        <w:t> </w:t>
      </w:r>
      <w:r>
        <w:rPr>
          <w:color w:val="3B3A3B"/>
          <w:w w:val="110"/>
        </w:rPr>
        <w:t>list</w:t>
      </w:r>
      <w:r>
        <w:rPr>
          <w:color w:val="3B3A3B"/>
          <w:spacing w:val="24"/>
          <w:w w:val="110"/>
        </w:rPr>
        <w:t> </w:t>
      </w:r>
      <w:r>
        <w:rPr>
          <w:color w:val="3B3A3B"/>
          <w:w w:val="110"/>
        </w:rPr>
        <w:t>of</w:t>
      </w:r>
      <w:r>
        <w:rPr>
          <w:color w:val="3B3A3B"/>
          <w:spacing w:val="49"/>
          <w:w w:val="110"/>
        </w:rPr>
        <w:t> </w:t>
      </w:r>
      <w:r>
        <w:rPr>
          <w:color w:val="3B3A3B"/>
          <w:w w:val="110"/>
        </w:rPr>
        <w:t>ultimate</w:t>
      </w:r>
      <w:r>
        <w:rPr>
          <w:color w:val="3B3A3B"/>
          <w:spacing w:val="17"/>
          <w:w w:val="110"/>
        </w:rPr>
        <w:t> </w:t>
      </w:r>
      <w:r>
        <w:rPr>
          <w:color w:val="3B3A3B"/>
          <w:w w:val="110"/>
        </w:rPr>
        <w:t>asser­</w:t>
      </w:r>
    </w:p>
    <w:p>
      <w:pPr>
        <w:pStyle w:val="BodyText"/>
        <w:spacing w:line="232" w:lineRule="auto" w:before="4"/>
        <w:ind w:left="416" w:right="618" w:firstLine="5"/>
        <w:jc w:val="both"/>
      </w:pPr>
      <w:r>
        <w:rPr>
          <w:color w:val="2A282A"/>
          <w:w w:val="110"/>
        </w:rPr>
        <w:t>tions </w:t>
      </w:r>
      <w:r>
        <w:rPr>
          <w:color w:val="3B3A3B"/>
          <w:w w:val="110"/>
        </w:rPr>
        <w:t>and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identify something you want the court to </w:t>
      </w:r>
      <w:r>
        <w:rPr>
          <w:rFonts w:ascii="Arial" w:hAnsi="Arial"/>
          <w:i/>
          <w:color w:val="3B3A3B"/>
          <w:w w:val="110"/>
          <w:sz w:val="21"/>
        </w:rPr>
        <w:t>do </w:t>
      </w:r>
      <w:r>
        <w:rPr>
          <w:color w:val="3B3A3B"/>
          <w:w w:val="110"/>
        </w:rPr>
        <w:t>or something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court must </w:t>
      </w:r>
      <w:r>
        <w:rPr>
          <w:rFonts w:ascii="Arial" w:hAnsi="Arial"/>
          <w:i/>
          <w:color w:val="3B3A3B"/>
          <w:w w:val="110"/>
          <w:sz w:val="20"/>
        </w:rPr>
        <w:t>conclude or agree with </w:t>
      </w:r>
      <w:r>
        <w:rPr>
          <w:color w:val="3B3A3B"/>
          <w:w w:val="110"/>
        </w:rPr>
        <w:t>to decide in your client's favor. Next,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identify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reasons that support taking those actions or reaching those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conclusions. </w:t>
      </w:r>
      <w:r>
        <w:rPr>
          <w:color w:val="2A282A"/>
          <w:w w:val="110"/>
        </w:rPr>
        <w:t>If </w:t>
      </w:r>
      <w:r>
        <w:rPr>
          <w:color w:val="3B3A3B"/>
          <w:w w:val="110"/>
        </w:rPr>
        <w:t>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reasons are the subparts of an argument, make each</w:t>
      </w:r>
      <w:r>
        <w:rPr>
          <w:color w:val="3B3A3B"/>
          <w:spacing w:val="1"/>
          <w:w w:val="110"/>
        </w:rPr>
        <w:t> </w:t>
      </w:r>
      <w:r>
        <w:rPr>
          <w:color w:val="2A282A"/>
          <w:w w:val="110"/>
        </w:rPr>
        <w:t>reason </w:t>
      </w:r>
      <w:r>
        <w:rPr>
          <w:color w:val="3B3A3B"/>
          <w:w w:val="110"/>
        </w:rPr>
        <w:t>a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separate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point  heading.  </w:t>
      </w:r>
      <w:r>
        <w:rPr>
          <w:color w:val="2A282A"/>
          <w:w w:val="110"/>
        </w:rPr>
        <w:t>If  </w:t>
      </w:r>
      <w:r>
        <w:rPr>
          <w:color w:val="3B3A3B"/>
          <w:w w:val="110"/>
        </w:rPr>
        <w:t>there are no  subparts  in  that  sec­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tion of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document, "add" the reason(s) to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assertion, often with a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"because."</w:t>
      </w:r>
    </w:p>
    <w:p>
      <w:pPr>
        <w:pStyle w:val="BodyText"/>
        <w:spacing w:line="223" w:lineRule="exact"/>
        <w:ind w:left="758"/>
        <w:jc w:val="both"/>
        <w:rPr>
          <w:rFonts w:ascii="Arial"/>
          <w:i/>
          <w:sz w:val="20"/>
        </w:rPr>
      </w:pPr>
      <w:r>
        <w:rPr>
          <w:color w:val="3B3A3B"/>
          <w:w w:val="110"/>
        </w:rPr>
        <w:t>For</w:t>
      </w:r>
      <w:r>
        <w:rPr>
          <w:color w:val="3B3A3B"/>
          <w:spacing w:val="-3"/>
          <w:w w:val="110"/>
        </w:rPr>
        <w:t> </w:t>
      </w:r>
      <w:r>
        <w:rPr>
          <w:color w:val="3B3A3B"/>
          <w:w w:val="110"/>
        </w:rPr>
        <w:t>example,</w:t>
      </w:r>
      <w:r>
        <w:rPr>
          <w:color w:val="3B3A3B"/>
          <w:spacing w:val="21"/>
          <w:w w:val="110"/>
        </w:rPr>
        <w:t> </w:t>
      </w:r>
      <w:r>
        <w:rPr>
          <w:color w:val="3B3A3B"/>
          <w:w w:val="110"/>
        </w:rPr>
        <w:t>this</w:t>
      </w:r>
      <w:r>
        <w:rPr>
          <w:color w:val="3B3A3B"/>
          <w:spacing w:val="7"/>
          <w:w w:val="110"/>
        </w:rPr>
        <w:t> </w:t>
      </w:r>
      <w:r>
        <w:rPr>
          <w:color w:val="3B3A3B"/>
          <w:w w:val="110"/>
        </w:rPr>
        <w:t>point</w:t>
      </w:r>
      <w:r>
        <w:rPr>
          <w:color w:val="3B3A3B"/>
          <w:spacing w:val="31"/>
          <w:w w:val="110"/>
        </w:rPr>
        <w:t> </w:t>
      </w:r>
      <w:r>
        <w:rPr>
          <w:color w:val="2A282A"/>
          <w:w w:val="110"/>
        </w:rPr>
        <w:t>heading,</w:t>
      </w:r>
      <w:r>
        <w:rPr>
          <w:color w:val="2A282A"/>
          <w:spacing w:val="15"/>
          <w:w w:val="110"/>
        </w:rPr>
        <w:t> </w:t>
      </w:r>
      <w:r>
        <w:rPr>
          <w:color w:val="3B3A3B"/>
          <w:w w:val="110"/>
        </w:rPr>
        <w:t>from</w:t>
      </w:r>
      <w:r>
        <w:rPr>
          <w:color w:val="3B3A3B"/>
          <w:spacing w:val="8"/>
          <w:w w:val="110"/>
        </w:rPr>
        <w:t> </w:t>
      </w:r>
      <w:r>
        <w:rPr>
          <w:color w:val="3B3A3B"/>
          <w:w w:val="110"/>
        </w:rPr>
        <w:t>a</w:t>
      </w:r>
      <w:r>
        <w:rPr>
          <w:color w:val="3B3A3B"/>
          <w:spacing w:val="28"/>
          <w:w w:val="110"/>
        </w:rPr>
        <w:t> </w:t>
      </w:r>
      <w:r>
        <w:rPr>
          <w:color w:val="3B3A3B"/>
          <w:w w:val="110"/>
        </w:rPr>
        <w:t>respondent's</w:t>
      </w:r>
      <w:r>
        <w:rPr>
          <w:color w:val="3B3A3B"/>
          <w:spacing w:val="27"/>
          <w:w w:val="110"/>
        </w:rPr>
        <w:t> </w:t>
      </w:r>
      <w:r>
        <w:rPr>
          <w:color w:val="3B3A3B"/>
          <w:w w:val="110"/>
        </w:rPr>
        <w:t>brief</w:t>
      </w:r>
      <w:r>
        <w:rPr>
          <w:color w:val="3B3A3B"/>
          <w:spacing w:val="37"/>
          <w:w w:val="110"/>
        </w:rPr>
        <w:t> </w:t>
      </w:r>
      <w:r>
        <w:rPr>
          <w:color w:val="3B3A3B"/>
          <w:w w:val="110"/>
        </w:rPr>
        <w:t>in</w:t>
      </w:r>
      <w:r>
        <w:rPr>
          <w:color w:val="3B3A3B"/>
          <w:spacing w:val="33"/>
          <w:w w:val="110"/>
        </w:rPr>
        <w:t> </w:t>
      </w:r>
      <w:r>
        <w:rPr>
          <w:rFonts w:ascii="Arial"/>
          <w:i/>
          <w:color w:val="3B3A3B"/>
          <w:w w:val="110"/>
          <w:sz w:val="20"/>
        </w:rPr>
        <w:t>Knowles</w:t>
      </w:r>
    </w:p>
    <w:p>
      <w:pPr>
        <w:pStyle w:val="ListParagraph"/>
        <w:numPr>
          <w:ilvl w:val="1"/>
          <w:numId w:val="71"/>
        </w:numPr>
        <w:tabs>
          <w:tab w:pos="616" w:val="left" w:leader="none"/>
        </w:tabs>
        <w:spacing w:line="252" w:lineRule="auto" w:before="0" w:after="0"/>
        <w:ind w:left="425" w:right="614" w:firstLine="12"/>
        <w:jc w:val="both"/>
        <w:rPr>
          <w:sz w:val="23"/>
        </w:rPr>
      </w:pPr>
      <w:r>
        <w:rPr>
          <w:rFonts w:ascii="Arial"/>
          <w:i/>
          <w:color w:val="2A282A"/>
          <w:w w:val="110"/>
          <w:sz w:val="20"/>
        </w:rPr>
        <w:t>Iowa, </w:t>
      </w:r>
      <w:r>
        <w:rPr>
          <w:color w:val="3B3A3B"/>
          <w:w w:val="110"/>
          <w:sz w:val="23"/>
        </w:rPr>
        <w:t>525 U.S. 113 (1998), ls hased on something the writer wants the</w:t>
      </w:r>
      <w:r>
        <w:rPr>
          <w:color w:val="3B3A3B"/>
          <w:spacing w:val="1"/>
          <w:w w:val="110"/>
          <w:sz w:val="23"/>
        </w:rPr>
        <w:t> </w:t>
      </w:r>
      <w:r>
        <w:rPr>
          <w:color w:val="3B3A3B"/>
          <w:w w:val="110"/>
          <w:sz w:val="23"/>
        </w:rPr>
        <w:t>court</w:t>
      </w:r>
      <w:r>
        <w:rPr>
          <w:color w:val="3B3A3B"/>
          <w:spacing w:val="-7"/>
          <w:w w:val="110"/>
          <w:sz w:val="23"/>
        </w:rPr>
        <w:t> </w:t>
      </w:r>
      <w:r>
        <w:rPr>
          <w:color w:val="3B3A3B"/>
          <w:w w:val="110"/>
          <w:sz w:val="23"/>
        </w:rPr>
        <w:t>to</w:t>
      </w:r>
      <w:r>
        <w:rPr>
          <w:color w:val="3B3A3B"/>
          <w:spacing w:val="6"/>
          <w:w w:val="110"/>
          <w:sz w:val="23"/>
        </w:rPr>
        <w:t> </w:t>
      </w:r>
      <w:r>
        <w:rPr>
          <w:color w:val="3B3A3B"/>
          <w:w w:val="110"/>
          <w:sz w:val="23"/>
        </w:rPr>
        <w:t>do:</w:t>
      </w:r>
    </w:p>
    <w:p>
      <w:pPr>
        <w:spacing w:after="0" w:line="252" w:lineRule="auto"/>
        <w:jc w:val="both"/>
        <w:rPr>
          <w:sz w:val="23"/>
        </w:rPr>
        <w:sectPr>
          <w:headerReference w:type="default" r:id="rId250"/>
          <w:pgSz w:w="9700" w:h="13980"/>
          <w:pgMar w:header="0" w:footer="0" w:top="0" w:bottom="0" w:left="0" w:right="1060"/>
        </w:sectPr>
      </w:pPr>
    </w:p>
    <w:p>
      <w:pPr>
        <w:pStyle w:val="ListParagraph"/>
        <w:numPr>
          <w:ilvl w:val="2"/>
          <w:numId w:val="71"/>
        </w:numPr>
        <w:tabs>
          <w:tab w:pos="1487" w:val="left" w:leader="none"/>
        </w:tabs>
        <w:spacing w:line="240" w:lineRule="auto" w:before="81" w:after="0"/>
        <w:ind w:left="1492" w:right="429" w:hanging="344"/>
        <w:jc w:val="both"/>
        <w:rPr>
          <w:b/>
          <w:sz w:val="21"/>
        </w:rPr>
      </w:pPr>
      <w:r>
        <w:rPr>
          <w:b/>
          <w:color w:val="3A3838"/>
          <w:w w:val="110"/>
          <w:sz w:val="21"/>
        </w:rPr>
        <w:t>This</w:t>
      </w:r>
      <w:r>
        <w:rPr>
          <w:b/>
          <w:color w:val="3A3838"/>
          <w:spacing w:val="-8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Court</w:t>
      </w:r>
      <w:r>
        <w:rPr>
          <w:b/>
          <w:color w:val="3A3838"/>
          <w:spacing w:val="-12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should</w:t>
      </w:r>
      <w:r>
        <w:rPr>
          <w:b/>
          <w:color w:val="3A3838"/>
          <w:spacing w:val="-10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extend</w:t>
      </w:r>
      <w:r>
        <w:rPr>
          <w:b/>
          <w:color w:val="3A3838"/>
          <w:spacing w:val="-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the</w:t>
      </w:r>
      <w:r>
        <w:rPr>
          <w:b/>
          <w:color w:val="3A3838"/>
          <w:spacing w:val="-6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search-incident-to</w:t>
      </w:r>
      <w:r>
        <w:rPr>
          <w:b/>
          <w:color w:val="595759"/>
          <w:w w:val="110"/>
          <w:sz w:val="21"/>
        </w:rPr>
        <w:t>-</w:t>
      </w:r>
      <w:r>
        <w:rPr>
          <w:b/>
          <w:color w:val="3A3838"/>
          <w:w w:val="110"/>
          <w:sz w:val="21"/>
        </w:rPr>
        <w:t>arrest exception</w:t>
      </w:r>
      <w:r>
        <w:rPr>
          <w:b/>
          <w:color w:val="3A3838"/>
          <w:spacing w:val="-56"/>
          <w:w w:val="110"/>
          <w:sz w:val="21"/>
        </w:rPr>
        <w:t> </w:t>
      </w:r>
      <w:r>
        <w:rPr>
          <w:b/>
          <w:color w:val="3A3838"/>
          <w:w w:val="105"/>
          <w:sz w:val="21"/>
        </w:rPr>
        <w:t>to the Fourth Amendment's warrant requirement to situations </w:t>
      </w:r>
      <w:r>
        <w:rPr>
          <w:color w:val="3A3838"/>
          <w:w w:val="105"/>
          <w:sz w:val="20"/>
        </w:rPr>
        <w:t>in</w:t>
      </w:r>
      <w:r>
        <w:rPr>
          <w:color w:val="3A3838"/>
          <w:spacing w:val="1"/>
          <w:w w:val="105"/>
          <w:sz w:val="20"/>
        </w:rPr>
        <w:t> </w:t>
      </w:r>
      <w:r>
        <w:rPr>
          <w:b/>
          <w:color w:val="3A3838"/>
          <w:w w:val="110"/>
          <w:sz w:val="21"/>
        </w:rPr>
        <w:t>which</w:t>
      </w:r>
      <w:r>
        <w:rPr>
          <w:b/>
          <w:color w:val="3A3838"/>
          <w:spacing w:val="-15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an</w:t>
      </w:r>
      <w:r>
        <w:rPr>
          <w:b/>
          <w:color w:val="3A3838"/>
          <w:spacing w:val="-4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officer</w:t>
      </w:r>
      <w:r>
        <w:rPr>
          <w:b/>
          <w:color w:val="3A3838"/>
          <w:spacing w:val="-18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is issuing</w:t>
      </w:r>
      <w:r>
        <w:rPr>
          <w:b/>
          <w:color w:val="3A3838"/>
          <w:spacing w:val="-18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a</w:t>
      </w:r>
      <w:r>
        <w:rPr>
          <w:b/>
          <w:color w:val="3A3838"/>
          <w:spacing w:val="2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citation</w:t>
      </w:r>
      <w:r>
        <w:rPr>
          <w:b/>
          <w:color w:val="3A3838"/>
          <w:spacing w:val="-9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in</w:t>
      </w:r>
      <w:r>
        <w:rPr>
          <w:b/>
          <w:color w:val="3A3838"/>
          <w:spacing w:val="6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lieu</w:t>
      </w:r>
      <w:r>
        <w:rPr>
          <w:b/>
          <w:color w:val="3A3838"/>
          <w:spacing w:val="-9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of</w:t>
      </w:r>
      <w:r>
        <w:rPr>
          <w:b/>
          <w:color w:val="3A3838"/>
          <w:spacing w:val="-8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arrest.</w:t>
      </w:r>
    </w:p>
    <w:p>
      <w:pPr>
        <w:pStyle w:val="BodyText"/>
        <w:spacing w:line="244" w:lineRule="auto" w:before="124"/>
        <w:ind w:left="787" w:right="107" w:firstLine="361"/>
        <w:jc w:val="both"/>
      </w:pPr>
      <w:r>
        <w:rPr>
          <w:color w:val="3A3838"/>
          <w:w w:val="105"/>
        </w:rPr>
        <w:t>The same point could be written </w:t>
      </w:r>
      <w:r>
        <w:rPr>
          <w:b/>
          <w:color w:val="3A3838"/>
          <w:w w:val="105"/>
          <w:sz w:val="22"/>
        </w:rPr>
        <w:t>in a </w:t>
      </w:r>
      <w:r>
        <w:rPr>
          <w:color w:val="3A3838"/>
          <w:w w:val="105"/>
        </w:rPr>
        <w:t>different way, as an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assertion that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40"/>
          <w:w w:val="110"/>
        </w:rPr>
        <w:t> </w:t>
      </w:r>
      <w:r>
        <w:rPr>
          <w:color w:val="3A3838"/>
          <w:w w:val="110"/>
        </w:rPr>
        <w:t>writer</w:t>
      </w:r>
      <w:r>
        <w:rPr>
          <w:color w:val="3A3838"/>
          <w:spacing w:val="6"/>
          <w:w w:val="110"/>
        </w:rPr>
        <w:t> </w:t>
      </w:r>
      <w:r>
        <w:rPr>
          <w:color w:val="3A3838"/>
          <w:w w:val="110"/>
        </w:rPr>
        <w:t>wants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3"/>
          <w:w w:val="110"/>
        </w:rPr>
        <w:t> </w:t>
      </w:r>
      <w:r>
        <w:rPr>
          <w:color w:val="3A3838"/>
          <w:w w:val="110"/>
        </w:rPr>
        <w:t>court</w:t>
      </w:r>
      <w:r>
        <w:rPr>
          <w:color w:val="3A3838"/>
          <w:spacing w:val="-9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agree</w:t>
      </w:r>
      <w:r>
        <w:rPr>
          <w:color w:val="3A3838"/>
          <w:spacing w:val="-13"/>
          <w:w w:val="110"/>
        </w:rPr>
        <w:t> </w:t>
      </w:r>
      <w:r>
        <w:rPr>
          <w:color w:val="3A3838"/>
          <w:w w:val="110"/>
        </w:rPr>
        <w:t>with:</w:t>
      </w:r>
    </w:p>
    <w:p>
      <w:pPr>
        <w:spacing w:line="240" w:lineRule="auto" w:before="114"/>
        <w:ind w:left="1481" w:right="415" w:hanging="333"/>
        <w:jc w:val="both"/>
        <w:rPr>
          <w:b/>
          <w:sz w:val="21"/>
        </w:rPr>
      </w:pPr>
      <w:r>
        <w:rPr>
          <w:rFonts w:ascii="Arial"/>
          <w:color w:val="3A3838"/>
          <w:w w:val="105"/>
          <w:sz w:val="19"/>
        </w:rPr>
        <w:t>I.</w:t>
      </w:r>
      <w:r>
        <w:rPr>
          <w:rFonts w:ascii="Arial"/>
          <w:color w:val="3A3838"/>
          <w:spacing w:val="1"/>
          <w:w w:val="105"/>
          <w:sz w:val="19"/>
        </w:rPr>
        <w:t> </w:t>
      </w:r>
      <w:r>
        <w:rPr>
          <w:b/>
          <w:color w:val="3A3838"/>
          <w:w w:val="105"/>
          <w:sz w:val="21"/>
        </w:rPr>
        <w:t>Thesearch-incident-to-arrestexception to the Fourth Amendment's</w:t>
      </w:r>
      <w:r>
        <w:rPr>
          <w:b/>
          <w:color w:val="3A3838"/>
          <w:spacing w:val="1"/>
          <w:w w:val="105"/>
          <w:sz w:val="21"/>
        </w:rPr>
        <w:t> </w:t>
      </w:r>
      <w:r>
        <w:rPr>
          <w:b/>
          <w:color w:val="3A3838"/>
          <w:spacing w:val="-1"/>
          <w:w w:val="110"/>
          <w:sz w:val="21"/>
        </w:rPr>
        <w:t>warrant</w:t>
      </w:r>
      <w:r>
        <w:rPr>
          <w:b/>
          <w:color w:val="3A3838"/>
          <w:spacing w:val="-12"/>
          <w:w w:val="110"/>
          <w:sz w:val="21"/>
        </w:rPr>
        <w:t> </w:t>
      </w:r>
      <w:r>
        <w:rPr>
          <w:b/>
          <w:color w:val="3A3838"/>
          <w:spacing w:val="-1"/>
          <w:w w:val="110"/>
          <w:sz w:val="21"/>
        </w:rPr>
        <w:t>requirement</w:t>
      </w:r>
      <w:r>
        <w:rPr>
          <w:b/>
          <w:color w:val="3A3838"/>
          <w:spacing w:val="-4"/>
          <w:w w:val="110"/>
          <w:sz w:val="21"/>
        </w:rPr>
        <w:t> </w:t>
      </w:r>
      <w:r>
        <w:rPr>
          <w:b/>
          <w:color w:val="3A3838"/>
          <w:spacing w:val="-1"/>
          <w:w w:val="110"/>
          <w:sz w:val="21"/>
        </w:rPr>
        <w:t>should</w:t>
      </w:r>
      <w:r>
        <w:rPr>
          <w:b/>
          <w:color w:val="3A3838"/>
          <w:spacing w:val="-19"/>
          <w:w w:val="110"/>
          <w:sz w:val="21"/>
        </w:rPr>
        <w:t> </w:t>
      </w:r>
      <w:r>
        <w:rPr>
          <w:b/>
          <w:color w:val="3A3838"/>
          <w:spacing w:val="-1"/>
          <w:w w:val="110"/>
          <w:sz w:val="21"/>
        </w:rPr>
        <w:t>include</w:t>
      </w:r>
      <w:r>
        <w:rPr>
          <w:b/>
          <w:color w:val="3A3838"/>
          <w:spacing w:val="-21"/>
          <w:w w:val="110"/>
          <w:sz w:val="21"/>
        </w:rPr>
        <w:t> </w:t>
      </w:r>
      <w:r>
        <w:rPr>
          <w:b/>
          <w:color w:val="3A3838"/>
          <w:spacing w:val="-1"/>
          <w:w w:val="110"/>
          <w:sz w:val="21"/>
        </w:rPr>
        <w:t>situations</w:t>
      </w:r>
      <w:r>
        <w:rPr>
          <w:b/>
          <w:color w:val="3A3838"/>
          <w:spacing w:val="-13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in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which</w:t>
      </w:r>
      <w:r>
        <w:rPr>
          <w:b/>
          <w:color w:val="3A3838"/>
          <w:spacing w:val="-25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an</w:t>
      </w:r>
      <w:r>
        <w:rPr>
          <w:b/>
          <w:color w:val="3A3838"/>
          <w:spacing w:val="-25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officer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rFonts w:ascii="Arial"/>
          <w:color w:val="3A3838"/>
          <w:w w:val="105"/>
          <w:sz w:val="19"/>
        </w:rPr>
        <w:t>is</w:t>
      </w:r>
      <w:r>
        <w:rPr>
          <w:rFonts w:ascii="Arial"/>
          <w:color w:val="3A3838"/>
          <w:spacing w:val="8"/>
          <w:w w:val="105"/>
          <w:sz w:val="19"/>
        </w:rPr>
        <w:t> </w:t>
      </w:r>
      <w:r>
        <w:rPr>
          <w:b/>
          <w:color w:val="3A3838"/>
          <w:w w:val="105"/>
          <w:sz w:val="21"/>
        </w:rPr>
        <w:t>issuing</w:t>
      </w:r>
      <w:r>
        <w:rPr>
          <w:b/>
          <w:color w:val="3A3838"/>
          <w:spacing w:val="-16"/>
          <w:w w:val="105"/>
          <w:sz w:val="21"/>
        </w:rPr>
        <w:t> </w:t>
      </w:r>
      <w:r>
        <w:rPr>
          <w:b/>
          <w:color w:val="3A3838"/>
          <w:w w:val="105"/>
          <w:sz w:val="21"/>
        </w:rPr>
        <w:t>a</w:t>
      </w:r>
      <w:r>
        <w:rPr>
          <w:b/>
          <w:color w:val="3A3838"/>
          <w:spacing w:val="3"/>
          <w:w w:val="105"/>
          <w:sz w:val="21"/>
        </w:rPr>
        <w:t> </w:t>
      </w:r>
      <w:r>
        <w:rPr>
          <w:b/>
          <w:color w:val="3A3838"/>
          <w:w w:val="105"/>
          <w:sz w:val="21"/>
        </w:rPr>
        <w:t>citation</w:t>
      </w:r>
      <w:r>
        <w:rPr>
          <w:b/>
          <w:color w:val="3A3838"/>
          <w:spacing w:val="4"/>
          <w:w w:val="105"/>
          <w:sz w:val="21"/>
        </w:rPr>
        <w:t> </w:t>
      </w:r>
      <w:r>
        <w:rPr>
          <w:color w:val="3A3838"/>
          <w:w w:val="105"/>
          <w:sz w:val="19"/>
        </w:rPr>
        <w:t>in</w:t>
      </w:r>
      <w:r>
        <w:rPr>
          <w:color w:val="3A3838"/>
          <w:spacing w:val="2"/>
          <w:w w:val="105"/>
          <w:sz w:val="19"/>
        </w:rPr>
        <w:t> </w:t>
      </w:r>
      <w:r>
        <w:rPr>
          <w:b/>
          <w:color w:val="3A3838"/>
          <w:w w:val="105"/>
          <w:sz w:val="21"/>
        </w:rPr>
        <w:t>Jieu</w:t>
      </w:r>
      <w:r>
        <w:rPr>
          <w:b/>
          <w:color w:val="3A3838"/>
          <w:spacing w:val="-4"/>
          <w:w w:val="105"/>
          <w:sz w:val="21"/>
        </w:rPr>
        <w:t> </w:t>
      </w:r>
      <w:r>
        <w:rPr>
          <w:b/>
          <w:color w:val="3A3838"/>
          <w:w w:val="105"/>
          <w:sz w:val="21"/>
        </w:rPr>
        <w:t>of</w:t>
      </w:r>
      <w:r>
        <w:rPr>
          <w:b/>
          <w:color w:val="3A3838"/>
          <w:spacing w:val="23"/>
          <w:w w:val="105"/>
          <w:sz w:val="21"/>
        </w:rPr>
        <w:t> </w:t>
      </w:r>
      <w:r>
        <w:rPr>
          <w:b/>
          <w:color w:val="3A3838"/>
          <w:w w:val="105"/>
          <w:sz w:val="21"/>
        </w:rPr>
        <w:t>arrest.</w:t>
      </w:r>
    </w:p>
    <w:p>
      <w:pPr>
        <w:pStyle w:val="BodyText"/>
        <w:spacing w:line="244" w:lineRule="auto" w:before="134"/>
        <w:ind w:left="782" w:right="116" w:firstLine="357"/>
        <w:jc w:val="both"/>
      </w:pPr>
      <w:r>
        <w:rPr>
          <w:color w:val="3A3838"/>
          <w:spacing w:val="-1"/>
          <w:w w:val="110"/>
        </w:rPr>
        <w:t>The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0"/>
        </w:rPr>
        <w:t>three</w:t>
      </w:r>
      <w:r>
        <w:rPr>
          <w:color w:val="3A3838"/>
          <w:spacing w:val="-33"/>
          <w:w w:val="110"/>
        </w:rPr>
        <w:t> </w:t>
      </w:r>
      <w:r>
        <w:rPr>
          <w:color w:val="3A3838"/>
          <w:spacing w:val="-1"/>
          <w:w w:val="110"/>
        </w:rPr>
        <w:t>subheadings</w:t>
      </w:r>
      <w:r>
        <w:rPr>
          <w:color w:val="3A3838"/>
          <w:spacing w:val="-16"/>
          <w:w w:val="110"/>
        </w:rPr>
        <w:t> </w:t>
      </w:r>
      <w:r>
        <w:rPr>
          <w:color w:val="3A3838"/>
          <w:spacing w:val="-1"/>
          <w:w w:val="110"/>
        </w:rPr>
        <w:t>below</w:t>
      </w:r>
      <w:r>
        <w:rPr>
          <w:color w:val="3A3838"/>
          <w:spacing w:val="-29"/>
          <w:w w:val="110"/>
        </w:rPr>
        <w:t> </w:t>
      </w:r>
      <w:r>
        <w:rPr>
          <w:color w:val="3A3838"/>
          <w:spacing w:val="-1"/>
          <w:w w:val="110"/>
        </w:rPr>
        <w:t>show</w:t>
      </w:r>
      <w:r>
        <w:rPr>
          <w:color w:val="3A3838"/>
          <w:spacing w:val="-22"/>
          <w:w w:val="110"/>
        </w:rPr>
        <w:t> </w:t>
      </w:r>
      <w:r>
        <w:rPr>
          <w:color w:val="3A3838"/>
          <w:spacing w:val="-1"/>
          <w:w w:val="110"/>
        </w:rPr>
        <w:t>the</w:t>
      </w:r>
      <w:r>
        <w:rPr>
          <w:color w:val="3A3838"/>
          <w:spacing w:val="7"/>
          <w:w w:val="110"/>
        </w:rPr>
        <w:t> </w:t>
      </w:r>
      <w:r>
        <w:rPr>
          <w:color w:val="3A3838"/>
          <w:spacing w:val="-1"/>
          <w:w w:val="110"/>
        </w:rPr>
        <w:t>reasons</w:t>
      </w:r>
      <w:r>
        <w:rPr>
          <w:color w:val="3A3838"/>
          <w:spacing w:val="-21"/>
          <w:w w:val="110"/>
        </w:rPr>
        <w:t> </w:t>
      </w:r>
      <w:r>
        <w:rPr>
          <w:color w:val="3A3838"/>
          <w:spacing w:val="-1"/>
          <w:w w:val="110"/>
        </w:rPr>
        <w:t>that</w:t>
      </w:r>
      <w:r>
        <w:rPr>
          <w:color w:val="3A3838"/>
          <w:spacing w:val="-28"/>
          <w:w w:val="110"/>
        </w:rPr>
        <w:t> </w:t>
      </w:r>
      <w:r>
        <w:rPr>
          <w:color w:val="3A3838"/>
          <w:spacing w:val="-1"/>
          <w:w w:val="110"/>
        </w:rPr>
        <w:t>support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-17"/>
          <w:w w:val="110"/>
        </w:rPr>
        <w:t> </w:t>
      </w:r>
      <w:r>
        <w:rPr>
          <w:color w:val="3A3838"/>
          <w:w w:val="110"/>
        </w:rPr>
        <w:t>writer's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assertion:</w:t>
      </w:r>
    </w:p>
    <w:p>
      <w:pPr>
        <w:pStyle w:val="ListParagraph"/>
        <w:numPr>
          <w:ilvl w:val="0"/>
          <w:numId w:val="86"/>
        </w:numPr>
        <w:tabs>
          <w:tab w:pos="1526" w:val="left" w:leader="none"/>
        </w:tabs>
        <w:spacing w:line="235" w:lineRule="auto" w:before="109" w:after="0"/>
        <w:ind w:left="1524" w:right="427" w:hanging="380"/>
        <w:jc w:val="both"/>
        <w:rPr>
          <w:b/>
          <w:sz w:val="21"/>
        </w:rPr>
      </w:pPr>
      <w:r>
        <w:rPr>
          <w:b/>
          <w:color w:val="3A3838"/>
          <w:w w:val="110"/>
          <w:sz w:val="21"/>
        </w:rPr>
        <w:t>The situation contemplated by Iowa Code §805.1(4), where an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spacing w:val="-1"/>
          <w:w w:val="110"/>
          <w:sz w:val="21"/>
        </w:rPr>
        <w:t>officer </w:t>
      </w:r>
      <w:r>
        <w:rPr>
          <w:b/>
          <w:color w:val="3A3838"/>
          <w:w w:val="110"/>
          <w:sz w:val="21"/>
        </w:rPr>
        <w:t>issues a citation in lieu of arrest, presents the same policy</w:t>
      </w:r>
      <w:r>
        <w:rPr>
          <w:b/>
          <w:color w:val="3A3838"/>
          <w:spacing w:val="-55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concerns</w:t>
      </w:r>
      <w:r>
        <w:rPr>
          <w:b/>
          <w:color w:val="3A3838"/>
          <w:spacing w:val="-12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as</w:t>
      </w:r>
      <w:r>
        <w:rPr>
          <w:b/>
          <w:color w:val="3A3838"/>
          <w:spacing w:val="-4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when</w:t>
      </w:r>
      <w:r>
        <w:rPr>
          <w:b/>
          <w:color w:val="3A3838"/>
          <w:spacing w:val="-7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an</w:t>
      </w:r>
      <w:r>
        <w:rPr>
          <w:b/>
          <w:color w:val="3A3838"/>
          <w:spacing w:val="-13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actual</w:t>
      </w:r>
      <w:r>
        <w:rPr>
          <w:b/>
          <w:color w:val="3A3838"/>
          <w:spacing w:val="-14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arrest</w:t>
      </w:r>
      <w:r>
        <w:rPr>
          <w:b/>
          <w:color w:val="3A3838"/>
          <w:spacing w:val="-6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takes</w:t>
      </w:r>
      <w:r>
        <w:rPr>
          <w:b/>
          <w:color w:val="3A3838"/>
          <w:spacing w:val="-14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place.</w:t>
      </w:r>
    </w:p>
    <w:p>
      <w:pPr>
        <w:pStyle w:val="ListParagraph"/>
        <w:numPr>
          <w:ilvl w:val="0"/>
          <w:numId w:val="86"/>
        </w:numPr>
        <w:tabs>
          <w:tab w:pos="1506" w:val="left" w:leader="none"/>
        </w:tabs>
        <w:spacing w:line="240" w:lineRule="auto" w:before="133" w:after="0"/>
        <w:ind w:left="1499" w:right="427" w:hanging="367"/>
        <w:jc w:val="both"/>
        <w:rPr>
          <w:b/>
          <w:sz w:val="21"/>
        </w:rPr>
      </w:pPr>
      <w:r>
        <w:rPr>
          <w:b/>
          <w:color w:val="3A3838"/>
          <w:spacing w:val="-1"/>
          <w:w w:val="110"/>
          <w:sz w:val="21"/>
        </w:rPr>
        <w:t>The public interests advanced by such a search </w:t>
      </w:r>
      <w:r>
        <w:rPr>
          <w:b/>
          <w:color w:val="3A3838"/>
          <w:w w:val="110"/>
          <w:sz w:val="21"/>
        </w:rPr>
        <w:t>substantially out­</w:t>
      </w:r>
      <w:r>
        <w:rPr>
          <w:b/>
          <w:color w:val="3A3838"/>
          <w:spacing w:val="-55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weigh the extent to which the search intrudes upon individual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privacy</w:t>
      </w:r>
      <w:r>
        <w:rPr>
          <w:b/>
          <w:color w:val="3A3838"/>
          <w:spacing w:val="-15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rights.</w:t>
      </w:r>
    </w:p>
    <w:p>
      <w:pPr>
        <w:pStyle w:val="ListParagraph"/>
        <w:numPr>
          <w:ilvl w:val="0"/>
          <w:numId w:val="86"/>
        </w:numPr>
        <w:tabs>
          <w:tab w:pos="1506" w:val="left" w:leader="none"/>
        </w:tabs>
        <w:spacing w:line="235" w:lineRule="auto" w:before="136" w:after="0"/>
        <w:ind w:left="1497" w:right="429" w:hanging="389"/>
        <w:jc w:val="both"/>
        <w:rPr>
          <w:b/>
          <w:sz w:val="21"/>
        </w:rPr>
      </w:pPr>
      <w:r>
        <w:rPr>
          <w:b/>
          <w:color w:val="3A3838"/>
          <w:w w:val="110"/>
          <w:sz w:val="21"/>
        </w:rPr>
        <w:t>Outlawing</w:t>
      </w:r>
      <w:r>
        <w:rPr>
          <w:b/>
          <w:color w:val="3A3838"/>
          <w:spacing w:val="-3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a</w:t>
      </w:r>
      <w:r>
        <w:rPr>
          <w:b/>
          <w:color w:val="3A3838"/>
          <w:spacing w:val="-1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warrant</w:t>
      </w:r>
      <w:r>
        <w:rPr>
          <w:b/>
          <w:color w:val="3A3838"/>
          <w:spacing w:val="-8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exception</w:t>
      </w:r>
      <w:r>
        <w:rPr>
          <w:b/>
          <w:color w:val="3A3838"/>
          <w:spacing w:val="2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for</w:t>
      </w:r>
      <w:r>
        <w:rPr>
          <w:b/>
          <w:color w:val="3A3838"/>
          <w:spacing w:val="-28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a</w:t>
      </w:r>
      <w:r>
        <w:rPr>
          <w:b/>
          <w:color w:val="3A3838"/>
          <w:spacing w:val="-12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search</w:t>
      </w:r>
      <w:r>
        <w:rPr>
          <w:b/>
          <w:color w:val="3A3838"/>
          <w:spacing w:val="-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incident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to</w:t>
      </w:r>
      <w:r>
        <w:rPr>
          <w:b/>
          <w:color w:val="3A3838"/>
          <w:spacing w:val="-12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a</w:t>
      </w:r>
      <w:r>
        <w:rPr>
          <w:b/>
          <w:color w:val="3A3838"/>
          <w:spacing w:val="-2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citation</w:t>
      </w:r>
      <w:r>
        <w:rPr>
          <w:b/>
          <w:color w:val="3A3838"/>
          <w:spacing w:val="-55"/>
          <w:w w:val="110"/>
          <w:sz w:val="21"/>
        </w:rPr>
        <w:t> </w:t>
      </w:r>
      <w:r>
        <w:rPr>
          <w:color w:val="3A3838"/>
          <w:w w:val="110"/>
          <w:sz w:val="20"/>
        </w:rPr>
        <w:t>in</w:t>
      </w:r>
      <w:r>
        <w:rPr>
          <w:color w:val="3A3838"/>
          <w:spacing w:val="1"/>
          <w:w w:val="110"/>
          <w:sz w:val="20"/>
        </w:rPr>
        <w:t> </w:t>
      </w:r>
      <w:r>
        <w:rPr>
          <w:b/>
          <w:color w:val="3A3838"/>
          <w:w w:val="110"/>
          <w:sz w:val="21"/>
        </w:rPr>
        <w:t>lieu of arrest would encourage police officers to arrest more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people</w:t>
      </w:r>
      <w:r>
        <w:rPr>
          <w:b/>
          <w:color w:val="3A3838"/>
          <w:spacing w:val="-17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in order</w:t>
      </w:r>
      <w:r>
        <w:rPr>
          <w:b/>
          <w:color w:val="3A3838"/>
          <w:spacing w:val="-19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to</w:t>
      </w:r>
      <w:r>
        <w:rPr>
          <w:b/>
          <w:color w:val="3A3838"/>
          <w:spacing w:val="-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conduct</w:t>
      </w:r>
      <w:r>
        <w:rPr>
          <w:b/>
          <w:color w:val="3A3838"/>
          <w:spacing w:val="-14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searches.</w:t>
      </w:r>
    </w:p>
    <w:p>
      <w:pPr>
        <w:pStyle w:val="BodyText"/>
        <w:spacing w:line="232" w:lineRule="auto" w:before="151"/>
        <w:ind w:left="724" w:right="118" w:firstLine="387"/>
        <w:jc w:val="both"/>
      </w:pPr>
      <w:r>
        <w:rPr>
          <w:color w:val="3A3838"/>
          <w:w w:val="115"/>
        </w:rPr>
        <w:t>Note, however, that many readers will skip point headings that are</w:t>
      </w:r>
      <w:r>
        <w:rPr>
          <w:color w:val="3A3838"/>
          <w:spacing w:val="-64"/>
          <w:w w:val="115"/>
        </w:rPr>
        <w:t> </w:t>
      </w:r>
      <w:r>
        <w:rPr>
          <w:color w:val="3A3838"/>
          <w:w w:val="110"/>
        </w:rPr>
        <w:t>more than three lines long, or even more than two lines long. An imper­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fect</w:t>
      </w:r>
      <w:r>
        <w:rPr>
          <w:color w:val="3A3838"/>
          <w:spacing w:val="-14"/>
          <w:w w:val="110"/>
        </w:rPr>
        <w:t> </w:t>
      </w:r>
      <w:r>
        <w:rPr>
          <w:color w:val="3A3838"/>
          <w:w w:val="110"/>
        </w:rPr>
        <w:t>short</w:t>
      </w:r>
      <w:r>
        <w:rPr>
          <w:color w:val="3A3838"/>
          <w:spacing w:val="7"/>
          <w:w w:val="110"/>
        </w:rPr>
        <w:t> </w:t>
      </w:r>
      <w:r>
        <w:rPr>
          <w:color w:val="3A3838"/>
          <w:w w:val="110"/>
        </w:rPr>
        <w:t>heading</w:t>
      </w:r>
      <w:r>
        <w:rPr>
          <w:color w:val="3A3838"/>
          <w:spacing w:val="13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2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33"/>
          <w:w w:val="110"/>
        </w:rPr>
        <w:t> </w:t>
      </w:r>
      <w:r>
        <w:rPr>
          <w:color w:val="3A3838"/>
          <w:w w:val="110"/>
        </w:rPr>
        <w:t>judge</w:t>
      </w:r>
      <w:r>
        <w:rPr>
          <w:color w:val="3A3838"/>
          <w:spacing w:val="15"/>
          <w:w w:val="110"/>
        </w:rPr>
        <w:t> </w:t>
      </w:r>
      <w:r>
        <w:rPr>
          <w:color w:val="3A3838"/>
          <w:w w:val="110"/>
        </w:rPr>
        <w:t>reads</w:t>
      </w:r>
      <w:r>
        <w:rPr>
          <w:color w:val="3A3838"/>
          <w:spacing w:val="6"/>
          <w:w w:val="110"/>
        </w:rPr>
        <w:t> </w:t>
      </w:r>
      <w:r>
        <w:rPr>
          <w:color w:val="3A3838"/>
          <w:w w:val="110"/>
        </w:rPr>
        <w:t>is</w:t>
      </w:r>
      <w:r>
        <w:rPr>
          <w:color w:val="3A3838"/>
          <w:spacing w:val="7"/>
          <w:w w:val="110"/>
        </w:rPr>
        <w:t> </w:t>
      </w:r>
      <w:r>
        <w:rPr>
          <w:color w:val="3A3838"/>
          <w:w w:val="110"/>
        </w:rPr>
        <w:t>better</w:t>
      </w:r>
      <w:r>
        <w:rPr>
          <w:color w:val="3A3838"/>
          <w:spacing w:val="14"/>
          <w:w w:val="110"/>
        </w:rPr>
        <w:t> </w:t>
      </w:r>
      <w:r>
        <w:rPr>
          <w:color w:val="3A3838"/>
          <w:w w:val="110"/>
        </w:rPr>
        <w:t>than</w:t>
      </w:r>
      <w:r>
        <w:rPr>
          <w:color w:val="3A3838"/>
          <w:spacing w:val="2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15"/>
          <w:w w:val="110"/>
        </w:rPr>
        <w:t> </w:t>
      </w:r>
      <w:r>
        <w:rPr>
          <w:color w:val="3A3838"/>
          <w:w w:val="110"/>
        </w:rPr>
        <w:t>perfect</w:t>
      </w:r>
      <w:r>
        <w:rPr>
          <w:color w:val="3A3838"/>
          <w:spacing w:val="13"/>
          <w:w w:val="110"/>
        </w:rPr>
        <w:t> </w:t>
      </w:r>
      <w:r>
        <w:rPr>
          <w:color w:val="3A3838"/>
          <w:w w:val="110"/>
        </w:rPr>
        <w:t>heading</w:t>
      </w:r>
      <w:r>
        <w:rPr>
          <w:color w:val="3A3838"/>
          <w:spacing w:val="10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-60"/>
          <w:w w:val="110"/>
        </w:rPr>
        <w:t> </w:t>
      </w:r>
      <w:r>
        <w:rPr>
          <w:color w:val="3A3838"/>
          <w:w w:val="105"/>
        </w:rPr>
        <w:t>a</w:t>
      </w:r>
      <w:r>
        <w:rPr>
          <w:color w:val="3A3838"/>
          <w:spacing w:val="33"/>
          <w:w w:val="105"/>
        </w:rPr>
        <w:t> </w:t>
      </w:r>
      <w:r>
        <w:rPr>
          <w:color w:val="3A3838"/>
          <w:w w:val="105"/>
        </w:rPr>
        <w:t>judge</w:t>
      </w:r>
      <w:r>
        <w:rPr>
          <w:color w:val="3A3838"/>
          <w:spacing w:val="-10"/>
          <w:w w:val="105"/>
        </w:rPr>
        <w:t> </w:t>
      </w:r>
      <w:r>
        <w:rPr>
          <w:color w:val="3A3838"/>
          <w:w w:val="105"/>
        </w:rPr>
        <w:t>skips</w:t>
      </w:r>
      <w:r>
        <w:rPr>
          <w:color w:val="3A3838"/>
          <w:spacing w:val="-2"/>
          <w:w w:val="105"/>
        </w:rPr>
        <w:t> </w:t>
      </w:r>
      <w:r>
        <w:rPr>
          <w:color w:val="3A3838"/>
          <w:w w:val="105"/>
        </w:rPr>
        <w:t>because</w:t>
      </w:r>
      <w:r>
        <w:rPr>
          <w:color w:val="3A3838"/>
          <w:spacing w:val="-1"/>
          <w:w w:val="105"/>
        </w:rPr>
        <w:t> </w:t>
      </w:r>
      <w:r>
        <w:rPr>
          <w:color w:val="3A3838"/>
          <w:w w:val="105"/>
        </w:rPr>
        <w:t>it</w:t>
      </w:r>
      <w:r>
        <w:rPr>
          <w:color w:val="3A3838"/>
          <w:spacing w:val="15"/>
          <w:w w:val="105"/>
        </w:rPr>
        <w:t> </w:t>
      </w:r>
      <w:r>
        <w:rPr>
          <w:color w:val="3A3838"/>
          <w:w w:val="105"/>
        </w:rPr>
        <w:t>is</w:t>
      </w:r>
      <w:r>
        <w:rPr>
          <w:color w:val="3A3838"/>
          <w:spacing w:val="-11"/>
          <w:w w:val="105"/>
        </w:rPr>
        <w:t> </w:t>
      </w:r>
      <w:r>
        <w:rPr>
          <w:color w:val="3A3838"/>
          <w:w w:val="105"/>
        </w:rPr>
        <w:t>too</w:t>
      </w:r>
      <w:r>
        <w:rPr>
          <w:color w:val="3A3838"/>
          <w:spacing w:val="20"/>
          <w:w w:val="105"/>
        </w:rPr>
        <w:t> </w:t>
      </w:r>
      <w:r>
        <w:rPr>
          <w:color w:val="3A3838"/>
          <w:w w:val="105"/>
        </w:rPr>
        <w:t>long</w:t>
      </w:r>
      <w:r>
        <w:rPr>
          <w:color w:val="595759"/>
          <w:w w:val="105"/>
        </w:rPr>
        <w:t>.</w:t>
      </w:r>
    </w:p>
    <w:p>
      <w:pPr>
        <w:pStyle w:val="BodyText"/>
        <w:spacing w:line="235" w:lineRule="auto"/>
        <w:ind w:left="730" w:right="126" w:firstLine="352"/>
        <w:jc w:val="both"/>
      </w:pPr>
      <w:r>
        <w:rPr>
          <w:color w:val="3A3838"/>
          <w:w w:val="110"/>
        </w:rPr>
        <w:t>Thus, when space permits, a good point heading should (1) indicate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58"/>
          <w:w w:val="110"/>
        </w:rPr>
        <w:t> </w:t>
      </w:r>
      <w:r>
        <w:rPr>
          <w:color w:val="3A3838"/>
          <w:w w:val="110"/>
        </w:rPr>
        <w:t>issue</w:t>
      </w:r>
      <w:r>
        <w:rPr>
          <w:color w:val="3A3838"/>
          <w:spacing w:val="30"/>
          <w:w w:val="110"/>
        </w:rPr>
        <w:t> </w:t>
      </w:r>
      <w:r>
        <w:rPr>
          <w:color w:val="3A3838"/>
          <w:w w:val="110"/>
        </w:rPr>
        <w:t>being</w:t>
      </w:r>
      <w:r>
        <w:rPr>
          <w:color w:val="3A3838"/>
          <w:spacing w:val="26"/>
          <w:w w:val="110"/>
        </w:rPr>
        <w:t> </w:t>
      </w:r>
      <w:r>
        <w:rPr>
          <w:color w:val="3A3838"/>
          <w:w w:val="110"/>
        </w:rPr>
        <w:t>discussed,</w:t>
      </w:r>
      <w:r>
        <w:rPr>
          <w:color w:val="3A3838"/>
          <w:spacing w:val="40"/>
          <w:w w:val="110"/>
        </w:rPr>
        <w:t> </w:t>
      </w:r>
      <w:r>
        <w:rPr>
          <w:color w:val="3A3838"/>
          <w:w w:val="110"/>
        </w:rPr>
        <w:t>(2)</w:t>
      </w:r>
      <w:r>
        <w:rPr>
          <w:color w:val="3A3838"/>
          <w:spacing w:val="27"/>
          <w:w w:val="110"/>
        </w:rPr>
        <w:t> </w:t>
      </w:r>
      <w:r>
        <w:rPr>
          <w:color w:val="3A3838"/>
          <w:w w:val="110"/>
        </w:rPr>
        <w:t>indicate</w:t>
      </w:r>
      <w:r>
        <w:rPr>
          <w:color w:val="3A3838"/>
          <w:spacing w:val="32"/>
          <w:w w:val="110"/>
        </w:rPr>
        <w:t> </w:t>
      </w:r>
      <w:r>
        <w:rPr>
          <w:color w:val="3A3838"/>
          <w:w w:val="110"/>
        </w:rPr>
        <w:t>your</w:t>
      </w:r>
      <w:r>
        <w:rPr>
          <w:color w:val="3A3838"/>
          <w:spacing w:val="31"/>
          <w:w w:val="110"/>
        </w:rPr>
        <w:t> </w:t>
      </w:r>
      <w:r>
        <w:rPr>
          <w:color w:val="3A3838"/>
          <w:w w:val="110"/>
        </w:rPr>
        <w:t>position</w:t>
      </w:r>
      <w:r>
        <w:rPr>
          <w:color w:val="3A3838"/>
          <w:spacing w:val="35"/>
          <w:w w:val="110"/>
        </w:rPr>
        <w:t> </w:t>
      </w:r>
      <w:r>
        <w:rPr>
          <w:color w:val="3A3838"/>
          <w:w w:val="110"/>
        </w:rPr>
        <w:t>on</w:t>
      </w:r>
      <w:r>
        <w:rPr>
          <w:color w:val="3A3838"/>
          <w:spacing w:val="2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2"/>
          <w:w w:val="110"/>
        </w:rPr>
        <w:t> </w:t>
      </w:r>
      <w:r>
        <w:rPr>
          <w:color w:val="3A3838"/>
          <w:w w:val="110"/>
        </w:rPr>
        <w:t>issue,</w:t>
      </w:r>
      <w:r>
        <w:rPr>
          <w:color w:val="3A3838"/>
          <w:spacing w:val="19"/>
          <w:w w:val="110"/>
        </w:rPr>
        <w:t> </w:t>
      </w:r>
      <w:r>
        <w:rPr>
          <w:color w:val="3A3838"/>
          <w:w w:val="110"/>
        </w:rPr>
        <w:t>and</w:t>
      </w:r>
    </w:p>
    <w:p>
      <w:pPr>
        <w:pStyle w:val="BodyText"/>
        <w:spacing w:line="232" w:lineRule="auto"/>
        <w:ind w:left="624" w:right="116" w:firstLine="98"/>
        <w:jc w:val="both"/>
      </w:pPr>
      <w:r>
        <w:rPr>
          <w:color w:val="3A3838"/>
          <w:spacing w:val="-1"/>
          <w:w w:val="110"/>
        </w:rPr>
        <w:t>(3)</w:t>
      </w:r>
      <w:r>
        <w:rPr>
          <w:color w:val="3A3838"/>
          <w:spacing w:val="-29"/>
          <w:w w:val="110"/>
        </w:rPr>
        <w:t> </w:t>
      </w:r>
      <w:r>
        <w:rPr>
          <w:color w:val="3A3838"/>
          <w:spacing w:val="-1"/>
          <w:w w:val="110"/>
        </w:rPr>
        <w:t>indicate</w:t>
      </w:r>
      <w:r>
        <w:rPr>
          <w:color w:val="3A3838"/>
          <w:spacing w:val="-9"/>
          <w:w w:val="110"/>
        </w:rPr>
        <w:t> </w:t>
      </w:r>
      <w:r>
        <w:rPr>
          <w:color w:val="3A3838"/>
          <w:spacing w:val="-1"/>
          <w:w w:val="110"/>
        </w:rPr>
        <w:t>the</w:t>
      </w:r>
      <w:r>
        <w:rPr>
          <w:color w:val="3A3838"/>
          <w:spacing w:val="20"/>
          <w:w w:val="110"/>
        </w:rPr>
        <w:t> </w:t>
      </w:r>
      <w:r>
        <w:rPr>
          <w:color w:val="3A3838"/>
          <w:spacing w:val="-1"/>
          <w:w w:val="110"/>
        </w:rPr>
        <w:t>basic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reason(s)</w:t>
      </w:r>
      <w:r>
        <w:rPr>
          <w:color w:val="3A3838"/>
          <w:spacing w:val="-13"/>
          <w:w w:val="110"/>
        </w:rPr>
        <w:t> </w:t>
      </w:r>
      <w:r>
        <w:rPr>
          <w:color w:val="3A3838"/>
          <w:w w:val="110"/>
        </w:rPr>
        <w:t>for</w:t>
      </w:r>
      <w:r>
        <w:rPr>
          <w:color w:val="3A3838"/>
          <w:spacing w:val="2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-7"/>
          <w:w w:val="110"/>
        </w:rPr>
        <w:t> </w:t>
      </w:r>
      <w:r>
        <w:rPr>
          <w:color w:val="3A3838"/>
          <w:w w:val="110"/>
        </w:rPr>
        <w:t>position</w:t>
      </w:r>
      <w:r>
        <w:rPr>
          <w:color w:val="595759"/>
          <w:w w:val="110"/>
        </w:rPr>
        <w:t>.</w:t>
      </w:r>
      <w:r>
        <w:rPr>
          <w:color w:val="595759"/>
          <w:spacing w:val="-16"/>
          <w:w w:val="110"/>
        </w:rPr>
        <w:t> </w:t>
      </w:r>
      <w:r>
        <w:rPr>
          <w:rFonts w:ascii="Arial" w:hAnsi="Arial"/>
          <w:color w:val="3A3838"/>
          <w:w w:val="110"/>
          <w:sz w:val="21"/>
        </w:rPr>
        <w:t>(If</w:t>
      </w:r>
      <w:r>
        <w:rPr>
          <w:rFonts w:ascii="Arial" w:hAnsi="Arial"/>
          <w:color w:val="3A3838"/>
          <w:spacing w:val="15"/>
          <w:w w:val="110"/>
          <w:sz w:val="21"/>
        </w:rPr>
        <w:t> </w:t>
      </w:r>
      <w:r>
        <w:rPr>
          <w:color w:val="3A3838"/>
          <w:w w:val="110"/>
        </w:rPr>
        <w:t>needed,</w:t>
      </w:r>
      <w:r>
        <w:rPr>
          <w:color w:val="3A3838"/>
          <w:spacing w:val="5"/>
          <w:w w:val="110"/>
        </w:rPr>
        <w:t> </w:t>
      </w:r>
      <w:r>
        <w:rPr>
          <w:color w:val="3A3838"/>
          <w:w w:val="110"/>
        </w:rPr>
        <w:t>you</w:t>
      </w:r>
      <w:r>
        <w:rPr>
          <w:color w:val="3A3838"/>
          <w:spacing w:val="-2"/>
          <w:w w:val="110"/>
        </w:rPr>
        <w:t> </w:t>
      </w:r>
      <w:r>
        <w:rPr>
          <w:color w:val="3A3838"/>
          <w:w w:val="110"/>
        </w:rPr>
        <w:t>can</w:t>
      </w:r>
      <w:r>
        <w:rPr>
          <w:color w:val="3A3838"/>
          <w:spacing w:val="-14"/>
          <w:w w:val="110"/>
        </w:rPr>
        <w:t> </w:t>
      </w:r>
      <w:r>
        <w:rPr>
          <w:color w:val="3A3838"/>
          <w:w w:val="110"/>
        </w:rPr>
        <w:t>elimi­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nate item (3) to keep the heading to a reasonable length.) Accordingly,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your point headings should  be full sentences,  not  phrases. They should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be statements about how the law applies to the people or entities in your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case, not abstract pronouncements about the law generally.</w:t>
      </w:r>
      <w:r>
        <w:rPr>
          <w:color w:val="3A3838"/>
          <w:w w:val="110"/>
          <w:vertAlign w:val="superscript"/>
        </w:rPr>
        <w:t>30</w:t>
      </w:r>
      <w:r>
        <w:rPr>
          <w:color w:val="3A3838"/>
          <w:w w:val="110"/>
          <w:vertAlign w:val="baseline"/>
        </w:rPr>
        <w:t> As a test, see</w:t>
      </w:r>
      <w:r>
        <w:rPr>
          <w:color w:val="3A3838"/>
          <w:spacing w:val="-6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if you could "recycle" your point heading in another brief on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the same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point. </w:t>
      </w:r>
      <w:r>
        <w:rPr>
          <w:rFonts w:ascii="Arial" w:hAnsi="Arial"/>
          <w:color w:val="3A3838"/>
          <w:w w:val="110"/>
          <w:sz w:val="21"/>
          <w:vertAlign w:val="baseline"/>
        </w:rPr>
        <w:t>If </w:t>
      </w:r>
      <w:r>
        <w:rPr>
          <w:color w:val="3A3838"/>
          <w:w w:val="110"/>
          <w:vertAlign w:val="baseline"/>
        </w:rPr>
        <w:t>so, you probably need to be more specific. In particular, you need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to be more specific if your point heading could be used in your opponent's</w:t>
      </w:r>
      <w:r>
        <w:rPr>
          <w:color w:val="3A3838"/>
          <w:spacing w:val="-6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brief.</w:t>
      </w:r>
      <w:r>
        <w:rPr>
          <w:color w:val="3A3838"/>
          <w:spacing w:val="-8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For</w:t>
      </w:r>
      <w:r>
        <w:rPr>
          <w:color w:val="3A3838"/>
          <w:spacing w:val="-25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example,</w:t>
      </w:r>
      <w:r>
        <w:rPr>
          <w:color w:val="3A3838"/>
          <w:spacing w:val="-8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don't</w:t>
      </w:r>
      <w:r>
        <w:rPr>
          <w:color w:val="3A3838"/>
          <w:spacing w:val="-20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write,</w:t>
      </w:r>
      <w:r>
        <w:rPr>
          <w:color w:val="3A3838"/>
          <w:spacing w:val="-26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"The</w:t>
      </w:r>
      <w:r>
        <w:rPr>
          <w:color w:val="3A3838"/>
          <w:spacing w:val="-18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First</w:t>
      </w:r>
      <w:r>
        <w:rPr>
          <w:color w:val="3A3838"/>
          <w:spacing w:val="-7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Amendment</w:t>
      </w:r>
      <w:r>
        <w:rPr>
          <w:color w:val="3A3838"/>
          <w:spacing w:val="14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protects</w:t>
      </w:r>
      <w:r>
        <w:rPr>
          <w:color w:val="3A3838"/>
          <w:spacing w:val="-22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freedom</w:t>
      </w:r>
      <w:r>
        <w:rPr>
          <w:color w:val="3A3838"/>
          <w:spacing w:val="-18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of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05"/>
          <w:vertAlign w:val="baseline"/>
        </w:rPr>
        <w:t>speech." Inst</w:t>
      </w:r>
      <w:r>
        <w:rPr>
          <w:color w:val="595759"/>
          <w:w w:val="105"/>
          <w:vertAlign w:val="baseline"/>
        </w:rPr>
        <w:t>e</w:t>
      </w:r>
      <w:r>
        <w:rPr>
          <w:color w:val="3A3838"/>
          <w:w w:val="105"/>
          <w:vertAlign w:val="baseline"/>
        </w:rPr>
        <w:t>ad write, "Because the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First Amendment protects freedom of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w w:val="110"/>
          <w:vertAlign w:val="baseline"/>
        </w:rPr>
        <w:t>speech, Mr. Johnson should be allowed to distribute homemade</w:t>
      </w:r>
      <w:r>
        <w:rPr>
          <w:color w:val="595759"/>
          <w:w w:val="110"/>
          <w:vertAlign w:val="baseline"/>
        </w:rPr>
        <w:t>, </w:t>
      </w:r>
      <w:r>
        <w:rPr>
          <w:color w:val="3A3838"/>
          <w:w w:val="110"/>
          <w:vertAlign w:val="baseline"/>
        </w:rPr>
        <w:t>anony­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mous</w:t>
      </w:r>
      <w:r>
        <w:rPr>
          <w:color w:val="3A3838"/>
          <w:spacing w:val="-3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leaflets</w:t>
      </w:r>
      <w:r>
        <w:rPr>
          <w:color w:val="3A3838"/>
          <w:spacing w:val="-8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at</w:t>
      </w:r>
      <w:r>
        <w:rPr>
          <w:color w:val="3A3838"/>
          <w:spacing w:val="15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</w:t>
      </w:r>
      <w:r>
        <w:rPr>
          <w:color w:val="3A3838"/>
          <w:spacing w:val="8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public</w:t>
      </w:r>
      <w:r>
        <w:rPr>
          <w:color w:val="3A3838"/>
          <w:spacing w:val="-14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rally."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1"/>
        </w:rPr>
      </w:pPr>
    </w:p>
    <w:p>
      <w:pPr>
        <w:spacing w:before="0"/>
        <w:ind w:left="944" w:right="0" w:firstLine="0"/>
        <w:jc w:val="left"/>
        <w:rPr>
          <w:sz w:val="16"/>
        </w:rPr>
      </w:pPr>
      <w:r>
        <w:rPr>
          <w:rFonts w:ascii="Arial" w:hAnsi="Arial"/>
          <w:i/>
          <w:color w:val="3A3838"/>
          <w:sz w:val="17"/>
        </w:rPr>
        <w:t>:i,oSee,</w:t>
      </w:r>
      <w:r>
        <w:rPr>
          <w:rFonts w:ascii="Arial" w:hAnsi="Arial"/>
          <w:i/>
          <w:color w:val="3A3838"/>
          <w:spacing w:val="-7"/>
          <w:sz w:val="17"/>
        </w:rPr>
        <w:t> </w:t>
      </w:r>
      <w:r>
        <w:rPr>
          <w:rFonts w:ascii="Arial" w:hAnsi="Arial"/>
          <w:b/>
          <w:i/>
          <w:color w:val="3A3838"/>
          <w:w w:val="105"/>
          <w:sz w:val="17"/>
        </w:rPr>
        <w:t>e.g</w:t>
      </w:r>
      <w:r>
        <w:rPr>
          <w:rFonts w:ascii="Arial" w:hAnsi="Arial"/>
          <w:b/>
          <w:i/>
          <w:color w:val="595759"/>
          <w:w w:val="105"/>
          <w:sz w:val="17"/>
        </w:rPr>
        <w:t>.</w:t>
      </w:r>
      <w:r>
        <w:rPr>
          <w:rFonts w:ascii="Arial" w:hAnsi="Arial"/>
          <w:b/>
          <w:i/>
          <w:color w:val="3A3838"/>
          <w:w w:val="105"/>
          <w:sz w:val="17"/>
        </w:rPr>
        <w:t>, </w:t>
      </w:r>
      <w:r>
        <w:rPr>
          <w:rFonts w:ascii="Arial" w:hAnsi="Arial"/>
          <w:color w:val="3A3838"/>
          <w:w w:val="105"/>
          <w:sz w:val="16"/>
        </w:rPr>
        <w:t>Lynn</w:t>
      </w:r>
      <w:r>
        <w:rPr>
          <w:rFonts w:ascii="Arial" w:hAnsi="Arial"/>
          <w:color w:val="3A3838"/>
          <w:spacing w:val="-9"/>
          <w:w w:val="105"/>
          <w:sz w:val="16"/>
        </w:rPr>
        <w:t> </w:t>
      </w:r>
      <w:r>
        <w:rPr>
          <w:rFonts w:ascii="Arial" w:hAnsi="Arial"/>
          <w:color w:val="3A3838"/>
          <w:w w:val="105"/>
          <w:sz w:val="16"/>
        </w:rPr>
        <w:t>Bahrych</w:t>
      </w:r>
      <w:r>
        <w:rPr>
          <w:rFonts w:ascii="Arial" w:hAnsi="Arial"/>
          <w:color w:val="3A3838"/>
          <w:spacing w:val="-7"/>
          <w:w w:val="105"/>
          <w:sz w:val="16"/>
        </w:rPr>
        <w:t> </w:t>
      </w:r>
      <w:r>
        <w:rPr>
          <w:color w:val="3A3838"/>
          <w:w w:val="105"/>
          <w:sz w:val="16"/>
        </w:rPr>
        <w:t>&amp;</w:t>
      </w:r>
      <w:r>
        <w:rPr>
          <w:color w:val="3A3838"/>
          <w:spacing w:val="3"/>
          <w:w w:val="105"/>
          <w:sz w:val="16"/>
        </w:rPr>
        <w:t> </w:t>
      </w:r>
      <w:r>
        <w:rPr>
          <w:rFonts w:ascii="Arial" w:hAnsi="Arial"/>
          <w:color w:val="3A3838"/>
          <w:w w:val="105"/>
          <w:sz w:val="16"/>
        </w:rPr>
        <w:t>Marjorie</w:t>
      </w:r>
      <w:r>
        <w:rPr>
          <w:rFonts w:ascii="Arial" w:hAnsi="Arial"/>
          <w:color w:val="3A3838"/>
          <w:spacing w:val="-9"/>
          <w:w w:val="105"/>
          <w:sz w:val="16"/>
        </w:rPr>
        <w:t> </w:t>
      </w:r>
      <w:r>
        <w:rPr>
          <w:rFonts w:ascii="Arial" w:hAnsi="Arial"/>
          <w:color w:val="3A3838"/>
          <w:w w:val="105"/>
          <w:sz w:val="16"/>
        </w:rPr>
        <w:t>Dick</w:t>
      </w:r>
      <w:r>
        <w:rPr>
          <w:rFonts w:ascii="Arial" w:hAnsi="Arial"/>
          <w:color w:val="3A3838"/>
          <w:spacing w:val="-19"/>
          <w:w w:val="105"/>
          <w:sz w:val="16"/>
        </w:rPr>
        <w:t> </w:t>
      </w:r>
      <w:r>
        <w:rPr>
          <w:rFonts w:ascii="Arial" w:hAnsi="Arial"/>
          <w:color w:val="3A3838"/>
          <w:w w:val="105"/>
          <w:sz w:val="16"/>
        </w:rPr>
        <w:t>Rombauer,</w:t>
      </w:r>
      <w:r>
        <w:rPr>
          <w:rFonts w:ascii="Arial" w:hAnsi="Arial"/>
          <w:color w:val="3A3838"/>
          <w:spacing w:val="-5"/>
          <w:w w:val="105"/>
          <w:sz w:val="16"/>
        </w:rPr>
        <w:t> </w:t>
      </w:r>
      <w:r>
        <w:rPr>
          <w:rFonts w:ascii="Arial" w:hAnsi="Arial"/>
          <w:i/>
          <w:color w:val="3A3838"/>
          <w:w w:val="105"/>
          <w:sz w:val="17"/>
        </w:rPr>
        <w:t>Legal</w:t>
      </w:r>
      <w:r>
        <w:rPr>
          <w:rFonts w:ascii="Arial" w:hAnsi="Arial"/>
          <w:i/>
          <w:color w:val="3A3838"/>
          <w:spacing w:val="2"/>
          <w:w w:val="105"/>
          <w:sz w:val="17"/>
        </w:rPr>
        <w:t> </w:t>
      </w:r>
      <w:r>
        <w:rPr>
          <w:rFonts w:ascii="Arial" w:hAnsi="Arial"/>
          <w:i/>
          <w:color w:val="3A3838"/>
          <w:w w:val="105"/>
          <w:sz w:val="17"/>
        </w:rPr>
        <w:t>Writfng</w:t>
      </w:r>
      <w:r>
        <w:rPr>
          <w:rFonts w:ascii="Arial" w:hAnsi="Arial"/>
          <w:i/>
          <w:color w:val="3A3838"/>
          <w:spacing w:val="-1"/>
          <w:w w:val="105"/>
          <w:sz w:val="17"/>
        </w:rPr>
        <w:t> </w:t>
      </w:r>
      <w:r>
        <w:rPr>
          <w:rFonts w:ascii="Arial" w:hAnsi="Arial"/>
          <w:i/>
          <w:color w:val="3A3838"/>
          <w:w w:val="105"/>
          <w:sz w:val="17"/>
        </w:rPr>
        <w:t>In</w:t>
      </w:r>
      <w:r>
        <w:rPr>
          <w:rFonts w:ascii="Arial" w:hAnsi="Arial"/>
          <w:i/>
          <w:color w:val="3A3838"/>
          <w:spacing w:val="-1"/>
          <w:w w:val="105"/>
          <w:sz w:val="17"/>
        </w:rPr>
        <w:t> </w:t>
      </w:r>
      <w:r>
        <w:rPr>
          <w:rFonts w:ascii="Arial" w:hAnsi="Arial"/>
          <w:i/>
          <w:color w:val="3A3838"/>
          <w:w w:val="105"/>
          <w:sz w:val="17"/>
        </w:rPr>
        <w:t>a</w:t>
      </w:r>
      <w:r>
        <w:rPr>
          <w:rFonts w:ascii="Arial" w:hAnsi="Arial"/>
          <w:i/>
          <w:color w:val="3A3838"/>
          <w:spacing w:val="-13"/>
          <w:w w:val="105"/>
          <w:sz w:val="17"/>
        </w:rPr>
        <w:t> </w:t>
      </w:r>
      <w:r>
        <w:rPr>
          <w:rFonts w:ascii="Arial" w:hAnsi="Arial"/>
          <w:i/>
          <w:color w:val="3A3838"/>
          <w:w w:val="105"/>
          <w:sz w:val="17"/>
        </w:rPr>
        <w:t>Nutshell</w:t>
      </w:r>
      <w:r>
        <w:rPr>
          <w:rFonts w:ascii="Arial" w:hAnsi="Arial"/>
          <w:i/>
          <w:color w:val="3A3838"/>
          <w:spacing w:val="11"/>
          <w:w w:val="105"/>
          <w:sz w:val="17"/>
        </w:rPr>
        <w:t> </w:t>
      </w:r>
      <w:r>
        <w:rPr>
          <w:i/>
          <w:color w:val="3A3838"/>
          <w:w w:val="105"/>
          <w:sz w:val="16"/>
        </w:rPr>
        <w:t>§9.S</w:t>
      </w:r>
      <w:r>
        <w:rPr>
          <w:i/>
          <w:color w:val="3A3838"/>
          <w:spacing w:val="10"/>
          <w:w w:val="105"/>
          <w:sz w:val="16"/>
        </w:rPr>
        <w:t> </w:t>
      </w:r>
      <w:r>
        <w:rPr>
          <w:rFonts w:ascii="Arial" w:hAnsi="Arial"/>
          <w:color w:val="595759"/>
          <w:w w:val="105"/>
          <w:sz w:val="16"/>
        </w:rPr>
        <w:t>(</w:t>
      </w:r>
      <w:r>
        <w:rPr>
          <w:rFonts w:ascii="Arial" w:hAnsi="Arial"/>
          <w:color w:val="3A3838"/>
          <w:w w:val="105"/>
          <w:sz w:val="16"/>
        </w:rPr>
        <w:t>3d</w:t>
      </w:r>
      <w:r>
        <w:rPr>
          <w:rFonts w:ascii="Arial" w:hAnsi="Arial"/>
          <w:color w:val="3A3838"/>
          <w:spacing w:val="4"/>
          <w:w w:val="105"/>
          <w:sz w:val="16"/>
        </w:rPr>
        <w:t> </w:t>
      </w:r>
      <w:r>
        <w:rPr>
          <w:color w:val="3A3838"/>
          <w:w w:val="105"/>
          <w:sz w:val="16"/>
        </w:rPr>
        <w:t>ed.,</w:t>
      </w:r>
    </w:p>
    <w:p>
      <w:pPr>
        <w:spacing w:before="26"/>
        <w:ind w:left="566" w:right="0" w:firstLine="0"/>
        <w:jc w:val="left"/>
        <w:rPr>
          <w:rFonts w:ascii="Arial"/>
          <w:i/>
          <w:sz w:val="17"/>
        </w:rPr>
      </w:pPr>
      <w:r>
        <w:rPr>
          <w:rFonts w:ascii="Arial"/>
          <w:color w:val="3A3838"/>
          <w:sz w:val="17"/>
        </w:rPr>
        <w:t>West</w:t>
      </w:r>
      <w:r>
        <w:rPr>
          <w:rFonts w:ascii="Arial"/>
          <w:color w:val="3A3838"/>
          <w:spacing w:val="4"/>
          <w:sz w:val="17"/>
        </w:rPr>
        <w:t> </w:t>
      </w:r>
      <w:r>
        <w:rPr>
          <w:rFonts w:ascii="Arial"/>
          <w:i/>
          <w:color w:val="3A3838"/>
          <w:sz w:val="17"/>
        </w:rPr>
        <w:t>2003)</w:t>
      </w:r>
      <w:r>
        <w:rPr>
          <w:rFonts w:ascii="Arial"/>
          <w:i/>
          <w:color w:val="595759"/>
          <w:sz w:val="17"/>
        </w:rPr>
        <w:t>.</w:t>
      </w:r>
    </w:p>
    <w:p>
      <w:pPr>
        <w:spacing w:after="0"/>
        <w:jc w:val="left"/>
        <w:rPr>
          <w:rFonts w:ascii="Arial"/>
          <w:sz w:val="17"/>
        </w:rPr>
        <w:sectPr>
          <w:headerReference w:type="even" r:id="rId251"/>
          <w:headerReference w:type="default" r:id="rId252"/>
          <w:pgSz w:w="9810" w:h="13980"/>
          <w:pgMar w:header="466" w:footer="0" w:top="1060" w:bottom="280" w:left="1360" w:right="160"/>
          <w:pgNumType w:start="222"/>
        </w:sectPr>
      </w:pPr>
    </w:p>
    <w:p>
      <w:pPr>
        <w:spacing w:before="82"/>
        <w:ind w:left="413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383636"/>
          <w:w w:val="105"/>
          <w:sz w:val="27"/>
        </w:rPr>
        <w:t>9.4.3</w:t>
      </w:r>
    </w:p>
    <w:p>
      <w:pPr>
        <w:spacing w:before="35"/>
        <w:ind w:left="407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383636"/>
          <w:sz w:val="23"/>
        </w:rPr>
        <w:t>THE</w:t>
      </w:r>
      <w:r>
        <w:rPr>
          <w:rFonts w:ascii="Arial"/>
          <w:b/>
          <w:color w:val="383636"/>
          <w:spacing w:val="-3"/>
          <w:sz w:val="23"/>
        </w:rPr>
        <w:t> </w:t>
      </w:r>
      <w:r>
        <w:rPr>
          <w:rFonts w:ascii="Arial"/>
          <w:b/>
          <w:color w:val="383636"/>
          <w:sz w:val="22"/>
        </w:rPr>
        <w:t>RELATIONSHIPS</w:t>
      </w:r>
      <w:r>
        <w:rPr>
          <w:rFonts w:ascii="Arial"/>
          <w:b/>
          <w:color w:val="383636"/>
          <w:spacing w:val="49"/>
          <w:sz w:val="22"/>
        </w:rPr>
        <w:t> </w:t>
      </w:r>
      <w:r>
        <w:rPr>
          <w:rFonts w:ascii="Arial"/>
          <w:b/>
          <w:color w:val="383636"/>
          <w:sz w:val="22"/>
        </w:rPr>
        <w:t>BETWEEN</w:t>
      </w:r>
      <w:r>
        <w:rPr>
          <w:rFonts w:ascii="Arial"/>
          <w:b/>
          <w:color w:val="383636"/>
          <w:spacing w:val="30"/>
          <w:sz w:val="22"/>
        </w:rPr>
        <w:t> </w:t>
      </w:r>
      <w:r>
        <w:rPr>
          <w:rFonts w:ascii="Arial"/>
          <w:b/>
          <w:color w:val="383636"/>
          <w:sz w:val="22"/>
        </w:rPr>
        <w:t>AND</w:t>
      </w:r>
      <w:r>
        <w:rPr>
          <w:rFonts w:ascii="Arial"/>
          <w:b/>
          <w:color w:val="383636"/>
          <w:spacing w:val="25"/>
          <w:sz w:val="22"/>
        </w:rPr>
        <w:t> </w:t>
      </w:r>
      <w:r>
        <w:rPr>
          <w:rFonts w:ascii="Arial"/>
          <w:b/>
          <w:color w:val="383636"/>
          <w:sz w:val="22"/>
        </w:rPr>
        <w:t>AMONG</w:t>
      </w:r>
      <w:r>
        <w:rPr>
          <w:rFonts w:ascii="Arial"/>
          <w:b/>
          <w:color w:val="383636"/>
          <w:spacing w:val="25"/>
          <w:sz w:val="22"/>
        </w:rPr>
        <w:t> </w:t>
      </w:r>
      <w:r>
        <w:rPr>
          <w:rFonts w:ascii="Arial"/>
          <w:b/>
          <w:color w:val="383636"/>
          <w:sz w:val="22"/>
        </w:rPr>
        <w:t>POINT</w:t>
      </w:r>
    </w:p>
    <w:p>
      <w:pPr>
        <w:spacing w:before="55"/>
        <w:ind w:left="427" w:right="0" w:firstLine="0"/>
        <w:jc w:val="left"/>
        <w:rPr>
          <w:b/>
          <w:sz w:val="23"/>
        </w:rPr>
      </w:pPr>
      <w:r>
        <w:rPr>
          <w:b/>
          <w:color w:val="383636"/>
          <w:sz w:val="23"/>
        </w:rPr>
        <w:t>HEADINGS</w:t>
      </w:r>
    </w:p>
    <w:p>
      <w:pPr>
        <w:pStyle w:val="BodyText"/>
        <w:spacing w:line="232" w:lineRule="auto" w:before="137"/>
        <w:ind w:left="105" w:right="570" w:firstLine="309"/>
        <w:jc w:val="both"/>
      </w:pPr>
      <w:r>
        <w:rPr>
          <w:color w:val="383636"/>
          <w:w w:val="105"/>
        </w:rPr>
        <w:t>There can be many different types of logical relationships between and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among point headings, but four are particularly common. One type of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relationship exists when the main heading describes a multipart test and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 subheadings discuss each of the parts in turn. For example, this set of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point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headings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for</w:t>
      </w:r>
      <w:r>
        <w:rPr>
          <w:color w:val="383636"/>
          <w:spacing w:val="-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30"/>
          <w:w w:val="110"/>
        </w:rPr>
        <w:t> </w:t>
      </w:r>
      <w:r>
        <w:rPr>
          <w:color w:val="383636"/>
          <w:w w:val="110"/>
        </w:rPr>
        <w:t>petitioner</w:t>
      </w:r>
      <w:r>
        <w:rPr>
          <w:color w:val="383636"/>
          <w:spacing w:val="-1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-6"/>
          <w:w w:val="110"/>
        </w:rPr>
        <w:t> </w:t>
      </w:r>
      <w:r>
        <w:rPr>
          <w:rFonts w:ascii="Arial"/>
          <w:i/>
          <w:color w:val="383636"/>
          <w:w w:val="110"/>
          <w:sz w:val="21"/>
        </w:rPr>
        <w:t>Miller</w:t>
      </w:r>
      <w:r>
        <w:rPr>
          <w:rFonts w:ascii="Arial"/>
          <w:i/>
          <w:color w:val="383636"/>
          <w:spacing w:val="-21"/>
          <w:w w:val="110"/>
          <w:sz w:val="21"/>
        </w:rPr>
        <w:t> </w:t>
      </w:r>
      <w:r>
        <w:rPr>
          <w:rFonts w:ascii="Arial"/>
          <w:i/>
          <w:color w:val="383636"/>
          <w:w w:val="110"/>
          <w:sz w:val="21"/>
        </w:rPr>
        <w:t>v.</w:t>
      </w:r>
      <w:r>
        <w:rPr>
          <w:rFonts w:ascii="Arial"/>
          <w:i/>
          <w:color w:val="383636"/>
          <w:spacing w:val="-39"/>
          <w:w w:val="110"/>
          <w:sz w:val="21"/>
        </w:rPr>
        <w:t> </w:t>
      </w:r>
      <w:r>
        <w:rPr>
          <w:rFonts w:ascii="Arial"/>
          <w:i/>
          <w:color w:val="383636"/>
          <w:w w:val="110"/>
          <w:sz w:val="21"/>
        </w:rPr>
        <w:t>Albright</w:t>
      </w:r>
      <w:r>
        <w:rPr>
          <w:rFonts w:ascii="Arial"/>
          <w:i/>
          <w:color w:val="383636"/>
          <w:spacing w:val="-8"/>
          <w:w w:val="110"/>
          <w:sz w:val="21"/>
        </w:rPr>
        <w:t> </w:t>
      </w:r>
      <w:r>
        <w:rPr>
          <w:color w:val="464446"/>
          <w:w w:val="110"/>
        </w:rPr>
        <w:t>shows</w:t>
      </w:r>
      <w:r>
        <w:rPr>
          <w:color w:val="464446"/>
          <w:spacing w:val="-5"/>
          <w:w w:val="110"/>
        </w:rPr>
        <w:t> </w:t>
      </w:r>
      <w:r>
        <w:rPr>
          <w:color w:val="383636"/>
          <w:w w:val="110"/>
        </w:rPr>
        <w:t>how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9"/>
          <w:w w:val="110"/>
        </w:rPr>
        <w:t> </w:t>
      </w:r>
      <w:r>
        <w:rPr>
          <w:color w:val="383636"/>
          <w:w w:val="110"/>
        </w:rPr>
        <w:t>writer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believes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that</w:t>
      </w:r>
      <w:r>
        <w:rPr>
          <w:color w:val="383636"/>
          <w:spacing w:val="-6"/>
          <w:w w:val="110"/>
        </w:rPr>
        <w:t> </w:t>
      </w:r>
      <w:r>
        <w:rPr>
          <w:color w:val="383636"/>
          <w:w w:val="110"/>
        </w:rPr>
        <w:t>two</w:t>
      </w:r>
      <w:r>
        <w:rPr>
          <w:color w:val="383636"/>
          <w:spacing w:val="-24"/>
          <w:w w:val="110"/>
        </w:rPr>
        <w:t> </w:t>
      </w:r>
      <w:r>
        <w:rPr>
          <w:color w:val="383636"/>
          <w:w w:val="110"/>
        </w:rPr>
        <w:t>parts</w:t>
      </w:r>
      <w:r>
        <w:rPr>
          <w:color w:val="383636"/>
          <w:spacing w:val="-24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13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25"/>
          <w:w w:val="110"/>
        </w:rPr>
        <w:t> </w:t>
      </w:r>
      <w:r>
        <w:rPr>
          <w:color w:val="383636"/>
          <w:w w:val="110"/>
        </w:rPr>
        <w:t>intermediate</w:t>
      </w:r>
      <w:r>
        <w:rPr>
          <w:color w:val="383636"/>
          <w:spacing w:val="4"/>
          <w:w w:val="110"/>
        </w:rPr>
        <w:t> </w:t>
      </w:r>
      <w:r>
        <w:rPr>
          <w:color w:val="464446"/>
          <w:w w:val="110"/>
        </w:rPr>
        <w:t>scrutiny</w:t>
      </w:r>
      <w:r>
        <w:rPr>
          <w:color w:val="464446"/>
          <w:spacing w:val="-6"/>
          <w:w w:val="110"/>
        </w:rPr>
        <w:t> </w:t>
      </w:r>
      <w:r>
        <w:rPr>
          <w:color w:val="464446"/>
          <w:w w:val="110"/>
        </w:rPr>
        <w:t>test</w:t>
      </w:r>
      <w:r>
        <w:rPr>
          <w:color w:val="464446"/>
          <w:spacing w:val="-18"/>
          <w:w w:val="110"/>
        </w:rPr>
        <w:t> </w:t>
      </w:r>
      <w:r>
        <w:rPr>
          <w:color w:val="383636"/>
          <w:w w:val="110"/>
        </w:rPr>
        <w:t>should</w:t>
      </w:r>
      <w:r>
        <w:rPr>
          <w:color w:val="383636"/>
          <w:spacing w:val="-9"/>
          <w:w w:val="110"/>
        </w:rPr>
        <w:t> </w:t>
      </w:r>
      <w:r>
        <w:rPr>
          <w:color w:val="383636"/>
          <w:w w:val="110"/>
        </w:rPr>
        <w:t>be</w:t>
      </w:r>
      <w:r>
        <w:rPr>
          <w:color w:val="383636"/>
          <w:spacing w:val="-20"/>
          <w:w w:val="110"/>
        </w:rPr>
        <w:t> </w:t>
      </w:r>
      <w:r>
        <w:rPr>
          <w:color w:val="383636"/>
          <w:w w:val="110"/>
        </w:rPr>
        <w:t>applied:</w:t>
      </w:r>
    </w:p>
    <w:p>
      <w:pPr>
        <w:pStyle w:val="ListParagraph"/>
        <w:numPr>
          <w:ilvl w:val="0"/>
          <w:numId w:val="87"/>
        </w:numPr>
        <w:tabs>
          <w:tab w:pos="774" w:val="left" w:leader="none"/>
        </w:tabs>
        <w:spacing w:line="235" w:lineRule="auto" w:before="115" w:after="0"/>
        <w:ind w:left="781" w:right="791" w:hanging="345"/>
        <w:jc w:val="both"/>
        <w:rPr>
          <w:b/>
          <w:sz w:val="21"/>
        </w:rPr>
      </w:pPr>
      <w:r>
        <w:rPr>
          <w:color w:val="383636"/>
          <w:w w:val="110"/>
          <w:sz w:val="21"/>
        </w:rPr>
        <w:t>The use of an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irrebuttable gender </w:t>
      </w:r>
      <w:r>
        <w:rPr>
          <w:color w:val="464446"/>
          <w:w w:val="110"/>
          <w:sz w:val="21"/>
        </w:rPr>
        <w:t>stereotype </w:t>
      </w:r>
      <w:r>
        <w:rPr>
          <w:color w:val="383636"/>
          <w:w w:val="110"/>
          <w:sz w:val="21"/>
        </w:rPr>
        <w:t>in 8 U.S.C. </w:t>
      </w:r>
      <w:r>
        <w:rPr>
          <w:rFonts w:ascii="Arial" w:hAnsi="Arial"/>
          <w:color w:val="383636"/>
          <w:w w:val="110"/>
          <w:sz w:val="17"/>
        </w:rPr>
        <w:t>§ </w:t>
      </w:r>
      <w:r>
        <w:rPr>
          <w:color w:val="383636"/>
          <w:w w:val="110"/>
          <w:sz w:val="21"/>
        </w:rPr>
        <w:t>1409(a) is</w:t>
      </w:r>
      <w:r>
        <w:rPr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05"/>
          <w:sz w:val="21"/>
        </w:rPr>
        <w:t>not </w:t>
      </w:r>
      <w:r>
        <w:rPr>
          <w:b/>
          <w:color w:val="464446"/>
          <w:w w:val="105"/>
          <w:sz w:val="21"/>
        </w:rPr>
        <w:t>"substantially </w:t>
      </w:r>
      <w:r>
        <w:rPr>
          <w:b/>
          <w:color w:val="383636"/>
          <w:w w:val="105"/>
          <w:sz w:val="21"/>
        </w:rPr>
        <w:t>related" to the achievement of the government's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objective, </w:t>
      </w:r>
      <w:r>
        <w:rPr>
          <w:b/>
          <w:color w:val="464446"/>
          <w:w w:val="105"/>
          <w:sz w:val="21"/>
        </w:rPr>
        <w:t>and </w:t>
      </w:r>
      <w:r>
        <w:rPr>
          <w:b/>
          <w:color w:val="383636"/>
          <w:w w:val="105"/>
          <w:sz w:val="21"/>
        </w:rPr>
        <w:t>there is no </w:t>
      </w:r>
      <w:r>
        <w:rPr>
          <w:b/>
          <w:color w:val="464446"/>
          <w:w w:val="105"/>
          <w:sz w:val="21"/>
        </w:rPr>
        <w:t>"exceedingly </w:t>
      </w:r>
      <w:r>
        <w:rPr>
          <w:b/>
          <w:color w:val="383636"/>
          <w:w w:val="105"/>
          <w:sz w:val="21"/>
        </w:rPr>
        <w:t>persuasive justification" for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b/>
          <w:color w:val="383636"/>
          <w:w w:val="110"/>
          <w:sz w:val="21"/>
        </w:rPr>
        <w:t>the</w:t>
      </w:r>
      <w:r>
        <w:rPr>
          <w:b/>
          <w:color w:val="383636"/>
          <w:spacing w:val="6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stereotype's</w:t>
      </w:r>
      <w:r>
        <w:rPr>
          <w:b/>
          <w:color w:val="383636"/>
          <w:spacing w:val="-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use.</w:t>
      </w:r>
    </w:p>
    <w:p>
      <w:pPr>
        <w:pStyle w:val="ListParagraph"/>
        <w:numPr>
          <w:ilvl w:val="1"/>
          <w:numId w:val="87"/>
        </w:numPr>
        <w:tabs>
          <w:tab w:pos="1158" w:val="left" w:leader="none"/>
        </w:tabs>
        <w:spacing w:line="235" w:lineRule="auto" w:before="123" w:after="0"/>
        <w:ind w:left="1156" w:right="529" w:hanging="360"/>
        <w:jc w:val="both"/>
        <w:rPr>
          <w:b/>
          <w:sz w:val="21"/>
        </w:rPr>
      </w:pPr>
      <w:r>
        <w:rPr>
          <w:b/>
          <w:color w:val="383636"/>
          <w:w w:val="110"/>
          <w:sz w:val="21"/>
        </w:rPr>
        <w:t>8 U.S.C. </w:t>
      </w:r>
      <w:r>
        <w:rPr>
          <w:b/>
          <w:color w:val="464446"/>
          <w:w w:val="110"/>
          <w:sz w:val="21"/>
        </w:rPr>
        <w:t>§1409(a) </w:t>
      </w:r>
      <w:r>
        <w:rPr>
          <w:b/>
          <w:color w:val="383636"/>
          <w:w w:val="110"/>
          <w:sz w:val="21"/>
        </w:rPr>
        <w:t>is unconstitutionally overinclusive and, there­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fore, is not "substantially related" to the achievement of the gov­</w:t>
      </w:r>
      <w:r>
        <w:rPr>
          <w:b/>
          <w:color w:val="383636"/>
          <w:spacing w:val="-55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ernment's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objective.</w:t>
      </w:r>
    </w:p>
    <w:p>
      <w:pPr>
        <w:spacing w:line="235" w:lineRule="auto" w:before="3"/>
        <w:ind w:left="1165" w:right="506" w:hanging="365"/>
        <w:jc w:val="both"/>
        <w:rPr>
          <w:b/>
          <w:sz w:val="21"/>
        </w:rPr>
      </w:pPr>
      <w:r>
        <w:rPr>
          <w:b/>
          <w:color w:val="383636"/>
          <w:w w:val="110"/>
          <w:sz w:val="21"/>
        </w:rPr>
        <w:t>8.   There is no "exceedingly persuasive justification" for the use of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an </w:t>
      </w:r>
      <w:r>
        <w:rPr>
          <w:b/>
          <w:color w:val="464446"/>
          <w:w w:val="110"/>
          <w:sz w:val="21"/>
        </w:rPr>
        <w:t>irrebuttable </w:t>
      </w:r>
      <w:r>
        <w:rPr>
          <w:b/>
          <w:color w:val="383636"/>
          <w:w w:val="110"/>
          <w:sz w:val="21"/>
        </w:rPr>
        <w:t>gender stereotype in 8 U.S.C. §1409(a) because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less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discriminatory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methods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would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achieve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the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government's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objective.</w:t>
      </w:r>
    </w:p>
    <w:p>
      <w:pPr>
        <w:pStyle w:val="BodyText"/>
        <w:spacing w:line="235" w:lineRule="auto" w:before="133"/>
        <w:ind w:left="125" w:right="476" w:firstLine="2"/>
        <w:jc w:val="both"/>
      </w:pPr>
      <w:r>
        <w:rPr>
          <w:color w:val="383636"/>
          <w:w w:val="110"/>
        </w:rPr>
        <w:t>In the </w:t>
      </w:r>
      <w:r>
        <w:rPr>
          <w:color w:val="464446"/>
          <w:w w:val="110"/>
        </w:rPr>
        <w:t>second </w:t>
      </w:r>
      <w:r>
        <w:rPr>
          <w:color w:val="383636"/>
          <w:w w:val="110"/>
        </w:rPr>
        <w:t>type </w:t>
      </w:r>
      <w:r>
        <w:rPr>
          <w:color w:val="464446"/>
          <w:w w:val="110"/>
        </w:rPr>
        <w:t>of </w:t>
      </w:r>
      <w:r>
        <w:rPr>
          <w:color w:val="383636"/>
          <w:w w:val="110"/>
        </w:rPr>
        <w:t>relationship, the main heading makes an assertion,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and the subheadings provide legal support that mayor may not be </w:t>
      </w:r>
      <w:r>
        <w:rPr>
          <w:color w:val="464446"/>
          <w:w w:val="110"/>
        </w:rPr>
        <w:t>formal</w:t>
      </w:r>
      <w:r>
        <w:rPr>
          <w:color w:val="464446"/>
          <w:spacing w:val="1"/>
          <w:w w:val="110"/>
        </w:rPr>
        <w:t> </w:t>
      </w:r>
      <w:r>
        <w:rPr>
          <w:color w:val="383636"/>
          <w:w w:val="110"/>
        </w:rPr>
        <w:t>"subparts"</w:t>
      </w:r>
      <w:r>
        <w:rPr>
          <w:color w:val="383636"/>
          <w:spacing w:val="-20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31"/>
          <w:w w:val="110"/>
        </w:rPr>
        <w:t> </w:t>
      </w:r>
      <w:r>
        <w:rPr>
          <w:color w:val="383636"/>
          <w:w w:val="110"/>
        </w:rPr>
        <w:t>main</w:t>
      </w:r>
      <w:r>
        <w:rPr>
          <w:color w:val="383636"/>
          <w:spacing w:val="-14"/>
          <w:w w:val="110"/>
        </w:rPr>
        <w:t> </w:t>
      </w:r>
      <w:r>
        <w:rPr>
          <w:color w:val="383636"/>
          <w:w w:val="110"/>
        </w:rPr>
        <w:t>assertion. In</w:t>
      </w:r>
      <w:r>
        <w:rPr>
          <w:color w:val="383636"/>
          <w:spacing w:val="-10"/>
          <w:w w:val="110"/>
        </w:rPr>
        <w:t> </w:t>
      </w:r>
      <w:r>
        <w:rPr>
          <w:color w:val="383636"/>
          <w:w w:val="110"/>
        </w:rPr>
        <w:t>this</w:t>
      </w:r>
      <w:r>
        <w:rPr>
          <w:color w:val="383636"/>
          <w:spacing w:val="-34"/>
          <w:w w:val="110"/>
        </w:rPr>
        <w:t> </w:t>
      </w:r>
      <w:r>
        <w:rPr>
          <w:color w:val="464446"/>
          <w:w w:val="110"/>
        </w:rPr>
        <w:t>excerpt</w:t>
      </w:r>
      <w:r>
        <w:rPr>
          <w:color w:val="464446"/>
          <w:spacing w:val="-18"/>
          <w:w w:val="110"/>
        </w:rPr>
        <w:t> </w:t>
      </w:r>
      <w:r>
        <w:rPr>
          <w:color w:val="383636"/>
          <w:w w:val="110"/>
        </w:rPr>
        <w:t>from</w:t>
      </w:r>
      <w:r>
        <w:rPr>
          <w:color w:val="383636"/>
          <w:spacing w:val="-13"/>
          <w:w w:val="110"/>
        </w:rPr>
        <w:t> </w:t>
      </w:r>
      <w:r>
        <w:rPr>
          <w:color w:val="383636"/>
          <w:w w:val="110"/>
        </w:rPr>
        <w:t>a</w:t>
      </w:r>
      <w:r>
        <w:rPr>
          <w:color w:val="383636"/>
          <w:spacing w:val="7"/>
          <w:w w:val="110"/>
        </w:rPr>
        <w:t> </w:t>
      </w:r>
      <w:r>
        <w:rPr>
          <w:color w:val="383636"/>
          <w:w w:val="110"/>
        </w:rPr>
        <w:t>petitioner's</w:t>
      </w:r>
      <w:r>
        <w:rPr>
          <w:color w:val="383636"/>
          <w:spacing w:val="-15"/>
          <w:w w:val="110"/>
        </w:rPr>
        <w:t> </w:t>
      </w:r>
      <w:r>
        <w:rPr>
          <w:color w:val="383636"/>
          <w:w w:val="110"/>
        </w:rPr>
        <w:t>brief</w:t>
      </w:r>
      <w:r>
        <w:rPr>
          <w:color w:val="383636"/>
          <w:spacing w:val="4"/>
          <w:w w:val="110"/>
        </w:rPr>
        <w:t> </w:t>
      </w:r>
      <w:r>
        <w:rPr>
          <w:color w:val="464446"/>
          <w:w w:val="110"/>
        </w:rPr>
        <w:t>in</w:t>
      </w:r>
      <w:r>
        <w:rPr>
          <w:color w:val="464446"/>
          <w:spacing w:val="1"/>
          <w:w w:val="110"/>
        </w:rPr>
        <w:t> </w:t>
      </w:r>
      <w:r>
        <w:rPr>
          <w:i/>
          <w:color w:val="383636"/>
          <w:spacing w:val="-1"/>
          <w:w w:val="110"/>
          <w:sz w:val="22"/>
        </w:rPr>
        <w:t>Minnesota v. </w:t>
      </w:r>
      <w:r>
        <w:rPr>
          <w:i/>
          <w:color w:val="464446"/>
          <w:spacing w:val="-1"/>
          <w:w w:val="110"/>
          <w:sz w:val="22"/>
        </w:rPr>
        <w:t>Carter, </w:t>
      </w:r>
      <w:r>
        <w:rPr>
          <w:color w:val="383636"/>
          <w:spacing w:val="-1"/>
          <w:w w:val="110"/>
        </w:rPr>
        <w:t>note how </w:t>
      </w:r>
      <w:r>
        <w:rPr>
          <w:color w:val="383636"/>
          <w:w w:val="110"/>
        </w:rPr>
        <w:t>the four lettered headings make legal argu­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ments that </w:t>
      </w:r>
      <w:r>
        <w:rPr>
          <w:color w:val="464446"/>
          <w:w w:val="110"/>
        </w:rPr>
        <w:t>support </w:t>
      </w:r>
      <w:r>
        <w:rPr>
          <w:color w:val="383636"/>
          <w:w w:val="110"/>
        </w:rPr>
        <w:t>heading </w:t>
      </w:r>
      <w:r>
        <w:rPr>
          <w:rFonts w:ascii="Arial" w:hAnsi="Arial"/>
          <w:color w:val="464446"/>
          <w:w w:val="110"/>
          <w:sz w:val="21"/>
        </w:rPr>
        <w:t>"I." </w:t>
      </w:r>
      <w:r>
        <w:rPr>
          <w:color w:val="383636"/>
          <w:w w:val="110"/>
        </w:rPr>
        <w:t>Although they are not all necessary sub­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parts of a </w:t>
      </w:r>
      <w:r>
        <w:rPr>
          <w:color w:val="464446"/>
          <w:w w:val="105"/>
        </w:rPr>
        <w:t>"reasonable </w:t>
      </w:r>
      <w:r>
        <w:rPr>
          <w:color w:val="383636"/>
          <w:w w:val="105"/>
        </w:rPr>
        <w:t>expectation of privacy" argument, the reader will be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more likely to agree with heading "I" if 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or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she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agrees with the lettered</w:t>
      </w:r>
      <w:r>
        <w:rPr>
          <w:color w:val="383636"/>
          <w:spacing w:val="1"/>
          <w:w w:val="105"/>
        </w:rPr>
        <w:t> </w:t>
      </w:r>
      <w:r>
        <w:rPr>
          <w:color w:val="464446"/>
          <w:w w:val="110"/>
        </w:rPr>
        <w:t>subheadings:</w:t>
      </w:r>
    </w:p>
    <w:p>
      <w:pPr>
        <w:pStyle w:val="ListParagraph"/>
        <w:numPr>
          <w:ilvl w:val="0"/>
          <w:numId w:val="88"/>
        </w:numPr>
        <w:tabs>
          <w:tab w:pos="817" w:val="left" w:leader="none"/>
        </w:tabs>
        <w:spacing w:line="240" w:lineRule="auto" w:before="90" w:after="0"/>
        <w:ind w:left="829" w:right="704" w:hanging="363"/>
        <w:jc w:val="both"/>
        <w:rPr>
          <w:b/>
          <w:color w:val="383636"/>
          <w:sz w:val="21"/>
        </w:rPr>
      </w:pPr>
      <w:r>
        <w:rPr>
          <w:b/>
          <w:color w:val="383636"/>
          <w:w w:val="110"/>
          <w:sz w:val="21"/>
        </w:rPr>
        <w:t>As temporary business invitees present in another's residence for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the sole purpose of packaging drugs, Respondents had no legiti­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mate</w:t>
      </w:r>
      <w:r>
        <w:rPr>
          <w:b/>
          <w:color w:val="383636"/>
          <w:spacing w:val="-27"/>
          <w:w w:val="110"/>
          <w:sz w:val="21"/>
        </w:rPr>
        <w:t> </w:t>
      </w:r>
      <w:r>
        <w:rPr>
          <w:b/>
          <w:color w:val="464446"/>
          <w:w w:val="110"/>
          <w:sz w:val="21"/>
        </w:rPr>
        <w:t>expectation</w:t>
      </w:r>
      <w:r>
        <w:rPr>
          <w:b/>
          <w:color w:val="464446"/>
          <w:spacing w:val="4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of</w:t>
      </w:r>
      <w:r>
        <w:rPr>
          <w:b/>
          <w:color w:val="383636"/>
          <w:spacing w:val="6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privacy.</w:t>
      </w:r>
    </w:p>
    <w:p>
      <w:pPr>
        <w:pStyle w:val="ListParagraph"/>
        <w:numPr>
          <w:ilvl w:val="1"/>
          <w:numId w:val="88"/>
        </w:numPr>
        <w:tabs>
          <w:tab w:pos="1200" w:val="left" w:leader="none"/>
        </w:tabs>
        <w:spacing w:line="232" w:lineRule="auto" w:before="119" w:after="0"/>
        <w:ind w:left="1194" w:right="433" w:hanging="359"/>
        <w:jc w:val="both"/>
        <w:rPr>
          <w:b/>
          <w:color w:val="383636"/>
          <w:sz w:val="21"/>
        </w:rPr>
      </w:pPr>
      <w:r>
        <w:rPr>
          <w:b/>
          <w:color w:val="383636"/>
          <w:w w:val="110"/>
          <w:sz w:val="21"/>
        </w:rPr>
        <w:t>Respondents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failed to meet  their burden of  proving that  they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had a legitimate expectation of privacy because they introduced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464446"/>
          <w:w w:val="110"/>
          <w:sz w:val="21"/>
        </w:rPr>
        <w:t>absolutely</w:t>
      </w:r>
      <w:r>
        <w:rPr>
          <w:b/>
          <w:color w:val="46444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no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evidence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regarding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their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status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in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464446"/>
          <w:w w:val="110"/>
          <w:sz w:val="21"/>
        </w:rPr>
        <w:t>Thompson's</w:t>
      </w:r>
      <w:r>
        <w:rPr>
          <w:b/>
          <w:color w:val="464446"/>
          <w:spacing w:val="1"/>
          <w:w w:val="110"/>
          <w:sz w:val="21"/>
        </w:rPr>
        <w:t> </w:t>
      </w:r>
      <w:r>
        <w:rPr>
          <w:b/>
          <w:color w:val="464446"/>
          <w:w w:val="110"/>
          <w:sz w:val="21"/>
        </w:rPr>
        <w:t>apartment.</w:t>
      </w:r>
    </w:p>
    <w:p>
      <w:pPr>
        <w:pStyle w:val="ListParagraph"/>
        <w:numPr>
          <w:ilvl w:val="1"/>
          <w:numId w:val="88"/>
        </w:numPr>
        <w:tabs>
          <w:tab w:pos="1212" w:val="left" w:leader="none"/>
        </w:tabs>
        <w:spacing w:line="235" w:lineRule="auto" w:before="0" w:after="0"/>
        <w:ind w:left="1209" w:right="406" w:hanging="377"/>
        <w:jc w:val="both"/>
        <w:rPr>
          <w:b/>
          <w:color w:val="383636"/>
          <w:sz w:val="21"/>
        </w:rPr>
      </w:pPr>
      <w:r>
        <w:rPr>
          <w:b/>
          <w:color w:val="383636"/>
          <w:w w:val="115"/>
          <w:sz w:val="21"/>
        </w:rPr>
        <w:t>Any subjective expectation Respondents might have had while</w:t>
      </w:r>
      <w:r>
        <w:rPr>
          <w:b/>
          <w:color w:val="383636"/>
          <w:spacing w:val="1"/>
          <w:w w:val="115"/>
          <w:sz w:val="21"/>
        </w:rPr>
        <w:t> </w:t>
      </w:r>
      <w:r>
        <w:rPr>
          <w:b/>
          <w:color w:val="383636"/>
          <w:w w:val="110"/>
          <w:sz w:val="21"/>
        </w:rPr>
        <w:t>temporarily in another's home for the sole purpose of conducting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illegal</w:t>
      </w:r>
      <w:r>
        <w:rPr>
          <w:b/>
          <w:color w:val="383636"/>
          <w:spacing w:val="-5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business</w:t>
      </w:r>
      <w:r>
        <w:rPr>
          <w:b/>
          <w:color w:val="383636"/>
          <w:spacing w:val="8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was</w:t>
      </w:r>
      <w:r>
        <w:rPr>
          <w:b/>
          <w:color w:val="383636"/>
          <w:spacing w:val="7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not</w:t>
      </w:r>
      <w:r>
        <w:rPr>
          <w:b/>
          <w:color w:val="383636"/>
          <w:spacing w:val="6"/>
          <w:w w:val="110"/>
          <w:sz w:val="21"/>
        </w:rPr>
        <w:t> </w:t>
      </w:r>
      <w:r>
        <w:rPr>
          <w:b/>
          <w:color w:val="464446"/>
          <w:w w:val="110"/>
          <w:sz w:val="21"/>
        </w:rPr>
        <w:t>one</w:t>
      </w:r>
      <w:r>
        <w:rPr>
          <w:b/>
          <w:color w:val="464446"/>
          <w:spacing w:val="20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society</w:t>
      </w:r>
      <w:r>
        <w:rPr>
          <w:b/>
          <w:color w:val="383636"/>
          <w:spacing w:val="4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recognizes</w:t>
      </w:r>
      <w:r>
        <w:rPr>
          <w:b/>
          <w:color w:val="383636"/>
          <w:spacing w:val="3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as</w:t>
      </w:r>
      <w:r>
        <w:rPr>
          <w:b/>
          <w:color w:val="383636"/>
          <w:spacing w:val="-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reasonable</w:t>
      </w:r>
      <w:r>
        <w:rPr>
          <w:b/>
          <w:color w:val="5D5D5E"/>
          <w:w w:val="110"/>
          <w:sz w:val="21"/>
        </w:rPr>
        <w:t>.</w:t>
      </w:r>
    </w:p>
    <w:p>
      <w:pPr>
        <w:pStyle w:val="ListParagraph"/>
        <w:numPr>
          <w:ilvl w:val="1"/>
          <w:numId w:val="88"/>
        </w:numPr>
        <w:tabs>
          <w:tab w:pos="1219" w:val="left" w:leader="none"/>
        </w:tabs>
        <w:spacing w:line="235" w:lineRule="auto" w:before="0" w:after="0"/>
        <w:ind w:left="1203" w:right="386" w:hanging="366"/>
        <w:jc w:val="both"/>
        <w:rPr>
          <w:b/>
          <w:color w:val="464446"/>
          <w:sz w:val="21"/>
        </w:rPr>
      </w:pPr>
      <w:r>
        <w:rPr>
          <w:b/>
          <w:color w:val="383636"/>
          <w:w w:val="110"/>
          <w:sz w:val="21"/>
        </w:rPr>
        <w:t>By engaging </w:t>
      </w:r>
      <w:r>
        <w:rPr>
          <w:b/>
          <w:color w:val="464446"/>
          <w:w w:val="110"/>
          <w:sz w:val="21"/>
        </w:rPr>
        <w:t>in </w:t>
      </w:r>
      <w:r>
        <w:rPr>
          <w:b/>
          <w:color w:val="383636"/>
          <w:w w:val="110"/>
          <w:sz w:val="21"/>
        </w:rPr>
        <w:t>criminal acts in a well-lit room, directly in front of</w:t>
      </w:r>
      <w:r>
        <w:rPr>
          <w:b/>
          <w:color w:val="383636"/>
          <w:spacing w:val="-55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a window facing a widely used </w:t>
      </w:r>
      <w:r>
        <w:rPr>
          <w:b/>
          <w:color w:val="464446"/>
          <w:w w:val="110"/>
          <w:sz w:val="21"/>
        </w:rPr>
        <w:t>common area, </w:t>
      </w:r>
      <w:r>
        <w:rPr>
          <w:b/>
          <w:color w:val="383636"/>
          <w:w w:val="110"/>
          <w:sz w:val="21"/>
        </w:rPr>
        <w:t>Respondents exhib­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5"/>
          <w:sz w:val="21"/>
        </w:rPr>
        <w:t>ited</w:t>
      </w:r>
      <w:r>
        <w:rPr>
          <w:b/>
          <w:color w:val="383636"/>
          <w:spacing w:val="-14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no</w:t>
      </w:r>
      <w:r>
        <w:rPr>
          <w:b/>
          <w:color w:val="383636"/>
          <w:spacing w:val="-2"/>
          <w:w w:val="115"/>
          <w:sz w:val="21"/>
        </w:rPr>
        <w:t> </w:t>
      </w:r>
      <w:r>
        <w:rPr>
          <w:b/>
          <w:color w:val="464446"/>
          <w:w w:val="115"/>
          <w:sz w:val="21"/>
        </w:rPr>
        <w:t>subjective</w:t>
      </w:r>
      <w:r>
        <w:rPr>
          <w:b/>
          <w:color w:val="464446"/>
          <w:spacing w:val="-14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expectation</w:t>
      </w:r>
      <w:r>
        <w:rPr>
          <w:b/>
          <w:color w:val="383636"/>
          <w:spacing w:val="-11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of privacy.</w:t>
      </w:r>
    </w:p>
    <w:p>
      <w:pPr>
        <w:pStyle w:val="ListParagraph"/>
        <w:numPr>
          <w:ilvl w:val="1"/>
          <w:numId w:val="88"/>
        </w:numPr>
        <w:tabs>
          <w:tab w:pos="1206" w:val="left" w:leader="none"/>
        </w:tabs>
        <w:spacing w:line="235" w:lineRule="auto" w:before="0" w:after="0"/>
        <w:ind w:left="1213" w:right="366" w:hanging="360"/>
        <w:jc w:val="both"/>
        <w:rPr>
          <w:b/>
          <w:color w:val="383636"/>
          <w:sz w:val="21"/>
        </w:rPr>
      </w:pPr>
      <w:r>
        <w:rPr>
          <w:b/>
          <w:color w:val="383636"/>
          <w:w w:val="110"/>
          <w:sz w:val="21"/>
        </w:rPr>
        <w:t>This </w:t>
      </w:r>
      <w:r>
        <w:rPr>
          <w:b/>
          <w:color w:val="464446"/>
          <w:w w:val="110"/>
          <w:sz w:val="21"/>
        </w:rPr>
        <w:t>Court </w:t>
      </w:r>
      <w:r>
        <w:rPr>
          <w:b/>
          <w:color w:val="383636"/>
          <w:w w:val="110"/>
          <w:sz w:val="21"/>
        </w:rPr>
        <w:t>should maintain its </w:t>
      </w:r>
      <w:r>
        <w:rPr>
          <w:b/>
          <w:color w:val="464446"/>
          <w:w w:val="110"/>
          <w:sz w:val="21"/>
        </w:rPr>
        <w:t>reluctance </w:t>
      </w:r>
      <w:r>
        <w:rPr>
          <w:b/>
          <w:color w:val="383636"/>
          <w:w w:val="110"/>
          <w:sz w:val="21"/>
        </w:rPr>
        <w:t>to </w:t>
      </w:r>
      <w:r>
        <w:rPr>
          <w:b/>
          <w:color w:val="464446"/>
          <w:w w:val="110"/>
          <w:sz w:val="21"/>
        </w:rPr>
        <w:t>expand </w:t>
      </w:r>
      <w:r>
        <w:rPr>
          <w:b/>
          <w:color w:val="383636"/>
          <w:w w:val="110"/>
          <w:sz w:val="21"/>
        </w:rPr>
        <w:t>the class of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5"/>
          <w:sz w:val="21"/>
        </w:rPr>
        <w:t>individuals who may claim </w:t>
      </w:r>
      <w:r>
        <w:rPr>
          <w:b/>
          <w:color w:val="464446"/>
          <w:w w:val="115"/>
          <w:sz w:val="21"/>
        </w:rPr>
        <w:t>a </w:t>
      </w:r>
      <w:r>
        <w:rPr>
          <w:b/>
          <w:color w:val="383636"/>
          <w:w w:val="115"/>
          <w:sz w:val="21"/>
        </w:rPr>
        <w:t>legitimate expectation of privacy</w:t>
      </w:r>
      <w:r>
        <w:rPr>
          <w:b/>
          <w:color w:val="383636"/>
          <w:spacing w:val="1"/>
          <w:w w:val="115"/>
          <w:sz w:val="21"/>
        </w:rPr>
        <w:t> </w:t>
      </w:r>
      <w:r>
        <w:rPr>
          <w:b/>
          <w:color w:val="383636"/>
          <w:w w:val="110"/>
          <w:sz w:val="21"/>
        </w:rPr>
        <w:t>and</w:t>
      </w:r>
      <w:r>
        <w:rPr>
          <w:b/>
          <w:color w:val="383636"/>
          <w:spacing w:val="15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invoke</w:t>
      </w:r>
      <w:r>
        <w:rPr>
          <w:b/>
          <w:color w:val="383636"/>
          <w:spacing w:val="-8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the</w:t>
      </w:r>
      <w:r>
        <w:rPr>
          <w:b/>
          <w:color w:val="383636"/>
          <w:spacing w:val="-12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exclusionary</w:t>
      </w:r>
      <w:r>
        <w:rPr>
          <w:b/>
          <w:color w:val="383636"/>
          <w:spacing w:val="3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rule.</w:t>
      </w:r>
    </w:p>
    <w:p>
      <w:pPr>
        <w:spacing w:after="0" w:line="235" w:lineRule="auto"/>
        <w:jc w:val="both"/>
        <w:rPr>
          <w:sz w:val="21"/>
        </w:rPr>
        <w:sectPr>
          <w:pgSz w:w="9790" w:h="13980"/>
          <w:pgMar w:header="515" w:footer="0" w:top="1140" w:bottom="0" w:left="320" w:right="1360"/>
        </w:sectPr>
      </w:pPr>
    </w:p>
    <w:p>
      <w:pPr>
        <w:pStyle w:val="BodyText"/>
        <w:spacing w:before="81"/>
        <w:ind w:left="820" w:right="113" w:firstLine="387"/>
        <w:jc w:val="both"/>
      </w:pPr>
      <w:r>
        <w:rPr>
          <w:color w:val="3A3838"/>
          <w:w w:val="110"/>
        </w:rPr>
        <w:t>In the third type of relationship, the main heading mak</w:t>
      </w:r>
      <w:r>
        <w:rPr>
          <w:color w:val="525254"/>
          <w:w w:val="110"/>
        </w:rPr>
        <w:t>e</w:t>
      </w:r>
      <w:r>
        <w:rPr>
          <w:color w:val="3A3838"/>
          <w:w w:val="110"/>
        </w:rPr>
        <w:t>s an asser­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0"/>
        </w:rPr>
        <w:t>tion, and </w:t>
      </w:r>
      <w:r>
        <w:rPr>
          <w:color w:val="3A3838"/>
          <w:w w:val="110"/>
        </w:rPr>
        <w:t>the subheadings focus on how particular facts support the main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assertion:</w:t>
      </w:r>
    </w:p>
    <w:p>
      <w:pPr>
        <w:pStyle w:val="ListParagraph"/>
        <w:numPr>
          <w:ilvl w:val="0"/>
          <w:numId w:val="88"/>
        </w:numPr>
        <w:tabs>
          <w:tab w:pos="1577" w:val="left" w:leader="none"/>
        </w:tabs>
        <w:spacing w:line="235" w:lineRule="auto" w:before="95" w:after="0"/>
        <w:ind w:left="1553" w:right="327" w:hanging="354"/>
        <w:jc w:val="both"/>
        <w:rPr>
          <w:color w:val="3A3838"/>
          <w:sz w:val="21"/>
        </w:rPr>
      </w:pPr>
      <w:r>
        <w:rPr>
          <w:color w:val="3A3838"/>
          <w:w w:val="110"/>
          <w:sz w:val="21"/>
        </w:rPr>
        <w:t>Even if the </w:t>
      </w:r>
      <w:r>
        <w:rPr>
          <w:color w:val="3A3838"/>
          <w:w w:val="110"/>
          <w:sz w:val="21"/>
          <w:u w:val="thick" w:color="3A3838"/>
        </w:rPr>
        <w:t>Olson</w:t>
      </w:r>
      <w:r>
        <w:rPr>
          <w:color w:val="3A3838"/>
          <w:w w:val="110"/>
          <w:sz w:val="21"/>
        </w:rPr>
        <w:t> ruleextends to non-overnight guests</w:t>
      </w:r>
      <w:r>
        <w:rPr>
          <w:color w:val="525254"/>
          <w:w w:val="110"/>
          <w:sz w:val="21"/>
        </w:rPr>
        <w:t>, </w:t>
      </w:r>
      <w:r>
        <w:rPr>
          <w:color w:val="3A3838"/>
          <w:w w:val="110"/>
          <w:sz w:val="21"/>
        </w:rPr>
        <w:t>Respondents'</w:t>
      </w:r>
      <w:r>
        <w:rPr>
          <w:color w:val="3A3838"/>
          <w:spacing w:val="-55"/>
          <w:w w:val="110"/>
          <w:sz w:val="21"/>
        </w:rPr>
        <w:t> </w:t>
      </w:r>
      <w:r>
        <w:rPr>
          <w:color w:val="3A3838"/>
          <w:w w:val="115"/>
          <w:sz w:val="21"/>
        </w:rPr>
        <w:t>expe</w:t>
      </w:r>
      <w:r>
        <w:rPr>
          <w:color w:val="525254"/>
          <w:w w:val="115"/>
          <w:sz w:val="21"/>
        </w:rPr>
        <w:t>c</w:t>
      </w:r>
      <w:r>
        <w:rPr>
          <w:color w:val="3A3838"/>
          <w:w w:val="115"/>
          <w:sz w:val="21"/>
        </w:rPr>
        <w:t>tation of privacy is unreasonable because they were present</w:t>
      </w:r>
      <w:r>
        <w:rPr>
          <w:color w:val="3A3838"/>
          <w:spacing w:val="1"/>
          <w:w w:val="115"/>
          <w:sz w:val="21"/>
        </w:rPr>
        <w:t> </w:t>
      </w:r>
      <w:r>
        <w:rPr>
          <w:color w:val="3A3838"/>
          <w:w w:val="115"/>
          <w:sz w:val="21"/>
        </w:rPr>
        <w:t>only</w:t>
      </w:r>
      <w:r>
        <w:rPr>
          <w:color w:val="3A3838"/>
          <w:spacing w:val="-16"/>
          <w:w w:val="115"/>
          <w:sz w:val="21"/>
        </w:rPr>
        <w:t> </w:t>
      </w:r>
      <w:r>
        <w:rPr>
          <w:color w:val="3A3838"/>
          <w:w w:val="115"/>
          <w:sz w:val="21"/>
        </w:rPr>
        <w:t>to</w:t>
      </w:r>
      <w:r>
        <w:rPr>
          <w:color w:val="3A3838"/>
          <w:spacing w:val="2"/>
          <w:w w:val="115"/>
          <w:sz w:val="21"/>
        </w:rPr>
        <w:t> </w:t>
      </w:r>
      <w:r>
        <w:rPr>
          <w:color w:val="3A3838"/>
          <w:w w:val="115"/>
          <w:sz w:val="21"/>
        </w:rPr>
        <w:t>conduct</w:t>
      </w:r>
      <w:r>
        <w:rPr>
          <w:color w:val="3A3838"/>
          <w:spacing w:val="-8"/>
          <w:w w:val="115"/>
          <w:sz w:val="21"/>
        </w:rPr>
        <w:t> </w:t>
      </w:r>
      <w:r>
        <w:rPr>
          <w:color w:val="3A3838"/>
          <w:w w:val="115"/>
          <w:sz w:val="21"/>
        </w:rPr>
        <w:t>illegal</w:t>
      </w:r>
      <w:r>
        <w:rPr>
          <w:color w:val="3A3838"/>
          <w:spacing w:val="-1"/>
          <w:w w:val="115"/>
          <w:sz w:val="21"/>
        </w:rPr>
        <w:t> </w:t>
      </w:r>
      <w:r>
        <w:rPr>
          <w:color w:val="3A3838"/>
          <w:w w:val="115"/>
          <w:sz w:val="21"/>
        </w:rPr>
        <w:t>business</w:t>
      </w:r>
      <w:r>
        <w:rPr>
          <w:color w:val="3A3838"/>
          <w:spacing w:val="1"/>
          <w:w w:val="115"/>
          <w:sz w:val="21"/>
        </w:rPr>
        <w:t> </w:t>
      </w:r>
      <w:r>
        <w:rPr>
          <w:color w:val="3A3838"/>
          <w:w w:val="115"/>
          <w:sz w:val="21"/>
        </w:rPr>
        <w:t>that</w:t>
      </w:r>
      <w:r>
        <w:rPr>
          <w:color w:val="3A3838"/>
          <w:spacing w:val="-6"/>
          <w:w w:val="115"/>
          <w:sz w:val="21"/>
        </w:rPr>
        <w:t> </w:t>
      </w:r>
      <w:r>
        <w:rPr>
          <w:color w:val="3A3838"/>
          <w:w w:val="115"/>
          <w:sz w:val="21"/>
        </w:rPr>
        <w:t>is</w:t>
      </w:r>
      <w:r>
        <w:rPr>
          <w:color w:val="3A3838"/>
          <w:spacing w:val="-28"/>
          <w:w w:val="115"/>
          <w:sz w:val="21"/>
        </w:rPr>
        <w:t> </w:t>
      </w:r>
      <w:r>
        <w:rPr>
          <w:color w:val="3A3838"/>
          <w:w w:val="115"/>
          <w:sz w:val="21"/>
        </w:rPr>
        <w:t>not</w:t>
      </w:r>
      <w:r>
        <w:rPr>
          <w:color w:val="3A3838"/>
          <w:spacing w:val="-1"/>
          <w:w w:val="115"/>
          <w:sz w:val="21"/>
        </w:rPr>
        <w:t> </w:t>
      </w:r>
      <w:r>
        <w:rPr>
          <w:color w:val="3A3838"/>
          <w:w w:val="115"/>
          <w:sz w:val="21"/>
        </w:rPr>
        <w:t>valuable</w:t>
      </w:r>
      <w:r>
        <w:rPr>
          <w:color w:val="3A3838"/>
          <w:spacing w:val="-15"/>
          <w:w w:val="115"/>
          <w:sz w:val="21"/>
        </w:rPr>
        <w:t> </w:t>
      </w:r>
      <w:r>
        <w:rPr>
          <w:color w:val="3A3838"/>
          <w:w w:val="115"/>
          <w:sz w:val="21"/>
        </w:rPr>
        <w:t>to</w:t>
      </w:r>
      <w:r>
        <w:rPr>
          <w:color w:val="3A3838"/>
          <w:spacing w:val="8"/>
          <w:w w:val="115"/>
          <w:sz w:val="21"/>
        </w:rPr>
        <w:t> </w:t>
      </w:r>
      <w:r>
        <w:rPr>
          <w:color w:val="3A3838"/>
          <w:w w:val="115"/>
          <w:sz w:val="21"/>
        </w:rPr>
        <w:t>society.</w:t>
      </w:r>
    </w:p>
    <w:p>
      <w:pPr>
        <w:pStyle w:val="ListParagraph"/>
        <w:numPr>
          <w:ilvl w:val="0"/>
          <w:numId w:val="89"/>
        </w:numPr>
        <w:tabs>
          <w:tab w:pos="2299" w:val="left" w:leader="none"/>
        </w:tabs>
        <w:spacing w:line="240" w:lineRule="auto" w:before="105" w:after="0"/>
        <w:ind w:left="2291" w:right="319" w:hanging="247"/>
        <w:jc w:val="both"/>
        <w:rPr>
          <w:sz w:val="21"/>
        </w:rPr>
      </w:pPr>
      <w:r>
        <w:rPr>
          <w:color w:val="3A3838"/>
          <w:w w:val="115"/>
          <w:sz w:val="21"/>
        </w:rPr>
        <w:t>Illegal drug distribution is not </w:t>
      </w:r>
      <w:r>
        <w:rPr>
          <w:rFonts w:ascii="Arial" w:hAnsi="Arial"/>
          <w:color w:val="3A3838"/>
          <w:w w:val="115"/>
          <w:sz w:val="19"/>
        </w:rPr>
        <w:t>a </w:t>
      </w:r>
      <w:r>
        <w:rPr>
          <w:color w:val="3A3838"/>
          <w:w w:val="115"/>
          <w:sz w:val="21"/>
        </w:rPr>
        <w:t>longstanding social cus­</w:t>
      </w:r>
      <w:r>
        <w:rPr>
          <w:color w:val="3A3838"/>
          <w:spacing w:val="1"/>
          <w:w w:val="115"/>
          <w:sz w:val="21"/>
        </w:rPr>
        <w:t> </w:t>
      </w:r>
      <w:r>
        <w:rPr>
          <w:color w:val="3A3838"/>
          <w:w w:val="110"/>
          <w:sz w:val="21"/>
        </w:rPr>
        <w:t>tom</w:t>
      </w:r>
      <w:r>
        <w:rPr>
          <w:color w:val="3A3838"/>
          <w:spacing w:val="48"/>
          <w:w w:val="110"/>
          <w:sz w:val="21"/>
        </w:rPr>
        <w:t> </w:t>
      </w:r>
      <w:r>
        <w:rPr>
          <w:color w:val="3A3838"/>
          <w:w w:val="110"/>
          <w:sz w:val="21"/>
        </w:rPr>
        <w:t>that</w:t>
      </w:r>
      <w:r>
        <w:rPr>
          <w:color w:val="3A3838"/>
          <w:spacing w:val="-13"/>
          <w:w w:val="110"/>
          <w:sz w:val="21"/>
        </w:rPr>
        <w:t> </w:t>
      </w:r>
      <w:r>
        <w:rPr>
          <w:color w:val="3A3838"/>
          <w:w w:val="110"/>
          <w:sz w:val="21"/>
        </w:rPr>
        <w:t>serves</w:t>
      </w:r>
      <w:r>
        <w:rPr>
          <w:color w:val="3A3838"/>
          <w:spacing w:val="-20"/>
          <w:w w:val="110"/>
          <w:sz w:val="21"/>
        </w:rPr>
        <w:t> </w:t>
      </w:r>
      <w:r>
        <w:rPr>
          <w:color w:val="3A3838"/>
          <w:w w:val="110"/>
          <w:sz w:val="21"/>
        </w:rPr>
        <w:t>functions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recognized</w:t>
      </w:r>
      <w:r>
        <w:rPr>
          <w:color w:val="3A3838"/>
          <w:spacing w:val="7"/>
          <w:w w:val="110"/>
          <w:sz w:val="21"/>
        </w:rPr>
        <w:t> </w:t>
      </w:r>
      <w:r>
        <w:rPr>
          <w:color w:val="3A3838"/>
          <w:w w:val="110"/>
          <w:sz w:val="21"/>
        </w:rPr>
        <w:t>as</w:t>
      </w:r>
      <w:r>
        <w:rPr>
          <w:color w:val="3A3838"/>
          <w:spacing w:val="21"/>
          <w:w w:val="110"/>
          <w:sz w:val="21"/>
        </w:rPr>
        <w:t> </w:t>
      </w:r>
      <w:r>
        <w:rPr>
          <w:color w:val="3A3838"/>
          <w:w w:val="110"/>
          <w:sz w:val="21"/>
        </w:rPr>
        <w:t>valuable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by</w:t>
      </w:r>
      <w:r>
        <w:rPr>
          <w:color w:val="3A3838"/>
          <w:spacing w:val="-15"/>
          <w:w w:val="110"/>
          <w:sz w:val="21"/>
        </w:rPr>
        <w:t> </w:t>
      </w:r>
      <w:r>
        <w:rPr>
          <w:color w:val="3A3838"/>
          <w:w w:val="110"/>
          <w:sz w:val="21"/>
        </w:rPr>
        <w:t>society.</w:t>
      </w:r>
    </w:p>
    <w:p>
      <w:pPr>
        <w:pStyle w:val="ListParagraph"/>
        <w:numPr>
          <w:ilvl w:val="0"/>
          <w:numId w:val="89"/>
        </w:numPr>
        <w:tabs>
          <w:tab w:pos="2291" w:val="left" w:leader="none"/>
        </w:tabs>
        <w:spacing w:line="235" w:lineRule="auto" w:before="127" w:after="0"/>
        <w:ind w:left="2265" w:right="327" w:hanging="222"/>
        <w:jc w:val="both"/>
        <w:rPr>
          <w:b/>
          <w:sz w:val="21"/>
        </w:rPr>
      </w:pPr>
      <w:r>
        <w:rPr>
          <w:color w:val="3A3838"/>
          <w:w w:val="110"/>
          <w:sz w:val="21"/>
        </w:rPr>
        <w:t>Respondents were present </w:t>
      </w:r>
      <w:r>
        <w:rPr>
          <w:b/>
          <w:color w:val="3A3838"/>
          <w:w w:val="110"/>
          <w:sz w:val="20"/>
        </w:rPr>
        <w:t>for a </w:t>
      </w:r>
      <w:r>
        <w:rPr>
          <w:color w:val="3A3838"/>
          <w:w w:val="110"/>
          <w:sz w:val="21"/>
        </w:rPr>
        <w:t>purely commercial purpose</w:t>
      </w:r>
      <w:r>
        <w:rPr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05"/>
          <w:sz w:val="21"/>
        </w:rPr>
        <w:t>and were not </w:t>
      </w:r>
      <w:r>
        <w:rPr>
          <w:b/>
          <w:color w:val="525254"/>
          <w:w w:val="105"/>
          <w:sz w:val="21"/>
        </w:rPr>
        <w:t>e</w:t>
      </w:r>
      <w:r>
        <w:rPr>
          <w:b/>
          <w:color w:val="3A3838"/>
          <w:w w:val="105"/>
          <w:sz w:val="21"/>
        </w:rPr>
        <w:t>ntitled to the Fourth Amendment </w:t>
      </w:r>
      <w:r>
        <w:rPr>
          <w:color w:val="3A3838"/>
          <w:w w:val="105"/>
          <w:sz w:val="21"/>
        </w:rPr>
        <w:t>protection</w:t>
      </w:r>
      <w:r>
        <w:rPr>
          <w:color w:val="3A3838"/>
          <w:spacing w:val="1"/>
          <w:w w:val="105"/>
          <w:sz w:val="21"/>
        </w:rPr>
        <w:t> </w:t>
      </w:r>
      <w:r>
        <w:rPr>
          <w:b/>
          <w:color w:val="3A3838"/>
          <w:w w:val="110"/>
          <w:sz w:val="21"/>
        </w:rPr>
        <w:t>as</w:t>
      </w:r>
      <w:r>
        <w:rPr>
          <w:b/>
          <w:color w:val="525254"/>
          <w:w w:val="110"/>
          <w:sz w:val="21"/>
        </w:rPr>
        <w:t>s</w:t>
      </w:r>
      <w:r>
        <w:rPr>
          <w:b/>
          <w:color w:val="3A3838"/>
          <w:w w:val="110"/>
          <w:sz w:val="21"/>
        </w:rPr>
        <w:t>ociated</w:t>
      </w:r>
      <w:r>
        <w:rPr>
          <w:b/>
          <w:color w:val="3A3838"/>
          <w:spacing w:val="19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with</w:t>
      </w:r>
      <w:r>
        <w:rPr>
          <w:b/>
          <w:color w:val="3A3838"/>
          <w:spacing w:val="-13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the</w:t>
      </w:r>
      <w:r>
        <w:rPr>
          <w:b/>
          <w:color w:val="3A3838"/>
          <w:spacing w:val="-6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home.</w:t>
      </w:r>
    </w:p>
    <w:p>
      <w:pPr>
        <w:pStyle w:val="BodyText"/>
        <w:spacing w:line="228" w:lineRule="auto" w:before="135"/>
        <w:ind w:left="783" w:right="115" w:firstLine="366"/>
        <w:jc w:val="both"/>
        <w:rPr>
          <w:i/>
          <w:sz w:val="24"/>
        </w:rPr>
      </w:pPr>
      <w:r>
        <w:rPr>
          <w:color w:val="3A3838"/>
          <w:w w:val="110"/>
        </w:rPr>
        <w:t>The fourth common type of relationship is a relationship between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"</w:t>
      </w:r>
      <w:r>
        <w:rPr>
          <w:color w:val="525254"/>
          <w:w w:val="110"/>
        </w:rPr>
        <w:t>e</w:t>
      </w:r>
      <w:r>
        <w:rPr>
          <w:color w:val="3A3838"/>
          <w:w w:val="110"/>
        </w:rPr>
        <w:t>qual" headings rather than between a main assertion and its subhead­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ings</w:t>
      </w:r>
      <w:r>
        <w:rPr>
          <w:color w:val="525254"/>
          <w:w w:val="110"/>
        </w:rPr>
        <w:t>. </w:t>
      </w:r>
      <w:r>
        <w:rPr>
          <w:color w:val="3A3838"/>
          <w:w w:val="110"/>
        </w:rPr>
        <w:t>In this relationship</w:t>
      </w:r>
      <w:r>
        <w:rPr>
          <w:color w:val="525254"/>
          <w:w w:val="110"/>
        </w:rPr>
        <w:t>, </w:t>
      </w:r>
      <w:r>
        <w:rPr>
          <w:color w:val="3A3838"/>
          <w:w w:val="110"/>
        </w:rPr>
        <w:t>the headin</w:t>
      </w:r>
      <w:r>
        <w:rPr>
          <w:color w:val="525254"/>
          <w:w w:val="110"/>
        </w:rPr>
        <w:t>g</w:t>
      </w:r>
      <w:r>
        <w:rPr>
          <w:color w:val="3A3838"/>
          <w:w w:val="110"/>
        </w:rPr>
        <w:t>s present alternative arguments, as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05"/>
        </w:rPr>
        <w:t>in</w:t>
      </w:r>
      <w:r>
        <w:rPr>
          <w:color w:val="3A3838"/>
          <w:spacing w:val="39"/>
          <w:w w:val="105"/>
        </w:rPr>
        <w:t> </w:t>
      </w:r>
      <w:r>
        <w:rPr>
          <w:color w:val="3A3838"/>
          <w:spacing w:val="-1"/>
          <w:w w:val="105"/>
        </w:rPr>
        <w:t>this</w:t>
      </w:r>
      <w:r>
        <w:rPr>
          <w:color w:val="3A3838"/>
          <w:spacing w:val="-13"/>
          <w:w w:val="105"/>
        </w:rPr>
        <w:t> </w:t>
      </w:r>
      <w:r>
        <w:rPr>
          <w:color w:val="3A3838"/>
          <w:w w:val="105"/>
        </w:rPr>
        <w:t>example</w:t>
      </w:r>
      <w:r>
        <w:rPr>
          <w:color w:val="3A3838"/>
          <w:spacing w:val="-14"/>
          <w:w w:val="105"/>
        </w:rPr>
        <w:t> </w:t>
      </w:r>
      <w:r>
        <w:rPr>
          <w:color w:val="3A3838"/>
          <w:w w:val="105"/>
        </w:rPr>
        <w:t>from</w:t>
      </w:r>
      <w:r>
        <w:rPr>
          <w:color w:val="3A3838"/>
          <w:spacing w:val="-3"/>
          <w:w w:val="105"/>
        </w:rPr>
        <w:t> </w:t>
      </w:r>
      <w:r>
        <w:rPr>
          <w:color w:val="3A3838"/>
          <w:w w:val="105"/>
        </w:rPr>
        <w:t>a</w:t>
      </w:r>
      <w:r>
        <w:rPr>
          <w:color w:val="3A3838"/>
          <w:spacing w:val="7"/>
          <w:w w:val="105"/>
        </w:rPr>
        <w:t> </w:t>
      </w:r>
      <w:r>
        <w:rPr>
          <w:color w:val="3A3838"/>
          <w:w w:val="105"/>
        </w:rPr>
        <w:t>petitioner's</w:t>
      </w:r>
      <w:r>
        <w:rPr>
          <w:color w:val="3A3838"/>
          <w:spacing w:val="15"/>
          <w:w w:val="105"/>
        </w:rPr>
        <w:t> </w:t>
      </w:r>
      <w:r>
        <w:rPr>
          <w:color w:val="3A3838"/>
          <w:w w:val="105"/>
        </w:rPr>
        <w:t>brief</w:t>
      </w:r>
      <w:r>
        <w:rPr>
          <w:color w:val="3A3838"/>
          <w:spacing w:val="2"/>
          <w:w w:val="105"/>
        </w:rPr>
        <w:t> </w:t>
      </w:r>
      <w:r>
        <w:rPr>
          <w:color w:val="525254"/>
          <w:w w:val="105"/>
        </w:rPr>
        <w:t>i</w:t>
      </w:r>
      <w:r>
        <w:rPr>
          <w:color w:val="3A3838"/>
          <w:w w:val="105"/>
        </w:rPr>
        <w:t>n</w:t>
      </w:r>
      <w:r>
        <w:rPr>
          <w:color w:val="3A3838"/>
          <w:spacing w:val="19"/>
          <w:w w:val="105"/>
        </w:rPr>
        <w:t> </w:t>
      </w:r>
      <w:r>
        <w:rPr>
          <w:i/>
          <w:color w:val="3A3838"/>
          <w:w w:val="105"/>
          <w:sz w:val="24"/>
        </w:rPr>
        <w:t>Minnesota</w:t>
      </w:r>
      <w:r>
        <w:rPr>
          <w:i/>
          <w:color w:val="3A3838"/>
          <w:spacing w:val="15"/>
          <w:w w:val="105"/>
          <w:sz w:val="24"/>
        </w:rPr>
        <w:t> </w:t>
      </w:r>
      <w:r>
        <w:rPr>
          <w:i/>
          <w:color w:val="3A3838"/>
          <w:w w:val="105"/>
          <w:sz w:val="24"/>
        </w:rPr>
        <w:t>v.</w:t>
      </w:r>
      <w:r>
        <w:rPr>
          <w:i/>
          <w:color w:val="3A3838"/>
          <w:spacing w:val="-28"/>
          <w:w w:val="105"/>
          <w:sz w:val="24"/>
        </w:rPr>
        <w:t> </w:t>
      </w:r>
      <w:r>
        <w:rPr>
          <w:i/>
          <w:color w:val="3A3838"/>
          <w:w w:val="105"/>
          <w:sz w:val="24"/>
        </w:rPr>
        <w:t>Carter</w:t>
      </w:r>
      <w:r>
        <w:rPr>
          <w:i/>
          <w:color w:val="525254"/>
          <w:w w:val="105"/>
          <w:sz w:val="24"/>
        </w:rPr>
        <w:t>:</w:t>
      </w:r>
    </w:p>
    <w:p>
      <w:pPr>
        <w:pStyle w:val="BodyText"/>
        <w:spacing w:before="6"/>
        <w:rPr>
          <w:i/>
          <w:sz w:val="9"/>
        </w:rPr>
      </w:pPr>
    </w:p>
    <w:p>
      <w:pPr>
        <w:spacing w:before="94"/>
        <w:ind w:left="781" w:right="0" w:firstLine="0"/>
        <w:jc w:val="left"/>
        <w:rPr>
          <w:sz w:val="15"/>
        </w:rPr>
      </w:pPr>
      <w:r>
        <w:rPr>
          <w:color w:val="666669"/>
          <w:w w:val="95"/>
          <w:sz w:val="15"/>
          <w:u w:val="thick" w:color="666669"/>
        </w:rPr>
        <w:t>_/\</w:t>
      </w:r>
      <w:r>
        <w:rPr>
          <w:color w:val="666669"/>
          <w:spacing w:val="35"/>
          <w:sz w:val="15"/>
          <w:u w:val="thick" w:color="666669"/>
        </w:rPr>
        <w:t>  </w:t>
      </w:r>
      <w:r>
        <w:rPr>
          <w:color w:val="666669"/>
          <w:spacing w:val="35"/>
          <w:sz w:val="15"/>
        </w:rPr>
        <w:t> </w:t>
      </w:r>
      <w:r>
        <w:rPr>
          <w:color w:val="525254"/>
          <w:sz w:val="15"/>
          <w:u w:val="thick" w:color="3A3838"/>
        </w:rPr>
        <w:t>GOOD</w:t>
      </w:r>
      <w:r>
        <w:rPr>
          <w:color w:val="525254"/>
          <w:spacing w:val="20"/>
          <w:sz w:val="15"/>
          <w:u w:val="thick" w:color="3A3838"/>
        </w:rPr>
        <w:t> </w:t>
      </w:r>
      <w:r>
        <w:rPr>
          <w:color w:val="3A3838"/>
          <w:sz w:val="15"/>
          <w:u w:val="thick" w:color="3A3838"/>
        </w:rPr>
        <w:t>E</w:t>
      </w:r>
      <w:r>
        <w:rPr>
          <w:color w:val="525254"/>
          <w:sz w:val="15"/>
          <w:u w:val="thick" w:color="3A3838"/>
        </w:rPr>
        <w:t>XAM</w:t>
      </w:r>
      <w:r>
        <w:rPr>
          <w:color w:val="3A3838"/>
          <w:sz w:val="15"/>
          <w:u w:val="thick" w:color="3A3838"/>
        </w:rPr>
        <w:t>PLE</w:t>
      </w:r>
    </w:p>
    <w:p>
      <w:pPr>
        <w:pStyle w:val="BodyText"/>
        <w:spacing w:before="11"/>
        <w:rPr>
          <w:sz w:val="18"/>
        </w:rPr>
      </w:pPr>
    </w:p>
    <w:p>
      <w:pPr>
        <w:spacing w:line="235" w:lineRule="auto" w:before="0"/>
        <w:ind w:left="1480" w:right="329" w:hanging="329"/>
        <w:jc w:val="both"/>
        <w:rPr>
          <w:b/>
          <w:sz w:val="21"/>
        </w:rPr>
      </w:pPr>
      <w:r>
        <w:rPr>
          <w:color w:val="3A3838"/>
          <w:w w:val="110"/>
          <w:sz w:val="20"/>
        </w:rPr>
        <w:t>I.</w:t>
      </w:r>
      <w:r>
        <w:rPr>
          <w:color w:val="3A3838"/>
          <w:spacing w:val="1"/>
          <w:w w:val="110"/>
          <w:sz w:val="20"/>
        </w:rPr>
        <w:t> </w:t>
      </w:r>
      <w:r>
        <w:rPr>
          <w:b/>
          <w:color w:val="3A3838"/>
          <w:w w:val="110"/>
          <w:sz w:val="21"/>
        </w:rPr>
        <w:t>The </w:t>
      </w:r>
      <w:r>
        <w:rPr>
          <w:b/>
          <w:color w:val="3A3838"/>
          <w:w w:val="110"/>
          <w:sz w:val="18"/>
        </w:rPr>
        <w:t>QlSQn </w:t>
      </w:r>
      <w:r>
        <w:rPr>
          <w:b/>
          <w:color w:val="3A3838"/>
          <w:w w:val="110"/>
          <w:sz w:val="21"/>
        </w:rPr>
        <w:t>rule dictates that only overnight guests have a connec­</w:t>
      </w:r>
      <w:r>
        <w:rPr>
          <w:b/>
          <w:color w:val="3A3838"/>
          <w:spacing w:val="-55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tion to a premises that gives rise to a legitimate expectation of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privacy.</w:t>
      </w:r>
    </w:p>
    <w:p>
      <w:pPr>
        <w:spacing w:line="235" w:lineRule="auto" w:before="118"/>
        <w:ind w:left="1466" w:right="339" w:hanging="354"/>
        <w:jc w:val="both"/>
        <w:rPr>
          <w:b/>
          <w:sz w:val="21"/>
        </w:rPr>
      </w:pPr>
      <w:r>
        <w:rPr>
          <w:b/>
          <w:color w:val="3A3838"/>
          <w:w w:val="105"/>
          <w:sz w:val="21"/>
        </w:rPr>
        <w:t>2</w:t>
      </w:r>
      <w:r>
        <w:rPr>
          <w:b/>
          <w:color w:val="525254"/>
          <w:w w:val="105"/>
          <w:sz w:val="21"/>
        </w:rPr>
        <w:t>.</w:t>
      </w:r>
      <w:r>
        <w:rPr>
          <w:b/>
          <w:color w:val="525254"/>
          <w:spacing w:val="1"/>
          <w:w w:val="105"/>
          <w:sz w:val="21"/>
        </w:rPr>
        <w:t> </w:t>
      </w:r>
      <w:r>
        <w:rPr>
          <w:b/>
          <w:color w:val="3A3838"/>
          <w:w w:val="105"/>
          <w:sz w:val="21"/>
        </w:rPr>
        <w:t>Even </w:t>
      </w:r>
      <w:r>
        <w:rPr>
          <w:color w:val="3A3838"/>
          <w:w w:val="105"/>
          <w:sz w:val="20"/>
        </w:rPr>
        <w:t>if </w:t>
      </w:r>
      <w:r>
        <w:rPr>
          <w:b/>
          <w:color w:val="3A3838"/>
          <w:w w:val="105"/>
          <w:sz w:val="21"/>
        </w:rPr>
        <w:t>the Olson ruleextends </w:t>
      </w:r>
      <w:r>
        <w:rPr>
          <w:color w:val="3A3838"/>
          <w:w w:val="105"/>
          <w:sz w:val="21"/>
        </w:rPr>
        <w:t>to </w:t>
      </w:r>
      <w:r>
        <w:rPr>
          <w:b/>
          <w:color w:val="3A3838"/>
          <w:w w:val="105"/>
          <w:sz w:val="21"/>
        </w:rPr>
        <w:t>non-overnight guests, Respondents'</w:t>
      </w:r>
      <w:r>
        <w:rPr>
          <w:b/>
          <w:color w:val="3A3838"/>
          <w:spacing w:val="-53"/>
          <w:w w:val="105"/>
          <w:sz w:val="21"/>
        </w:rPr>
        <w:t> </w:t>
      </w:r>
      <w:r>
        <w:rPr>
          <w:b/>
          <w:color w:val="3A3838"/>
          <w:w w:val="110"/>
          <w:sz w:val="21"/>
        </w:rPr>
        <w:t>expectation of privacy is unreasonable because they were present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only</w:t>
      </w:r>
      <w:r>
        <w:rPr>
          <w:b/>
          <w:color w:val="3A3838"/>
          <w:spacing w:val="-1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to</w:t>
      </w:r>
      <w:r>
        <w:rPr>
          <w:b/>
          <w:color w:val="3A3838"/>
          <w:spacing w:val="-3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conduct</w:t>
      </w:r>
      <w:r>
        <w:rPr>
          <w:b/>
          <w:color w:val="3A3838"/>
          <w:spacing w:val="-2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illegal</w:t>
      </w:r>
      <w:r>
        <w:rPr>
          <w:b/>
          <w:color w:val="3A3838"/>
          <w:spacing w:val="16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busine</w:t>
      </w:r>
      <w:r>
        <w:rPr>
          <w:b/>
          <w:color w:val="525254"/>
          <w:w w:val="110"/>
          <w:sz w:val="21"/>
        </w:rPr>
        <w:t>s</w:t>
      </w:r>
      <w:r>
        <w:rPr>
          <w:b/>
          <w:color w:val="3A3838"/>
          <w:w w:val="110"/>
          <w:sz w:val="21"/>
        </w:rPr>
        <w:t>s</w:t>
      </w:r>
      <w:r>
        <w:rPr>
          <w:b/>
          <w:color w:val="3A3838"/>
          <w:spacing w:val="5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that</w:t>
      </w:r>
      <w:r>
        <w:rPr>
          <w:b/>
          <w:color w:val="3A3838"/>
          <w:spacing w:val="2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is</w:t>
      </w:r>
      <w:r>
        <w:rPr>
          <w:b/>
          <w:color w:val="3A3838"/>
          <w:spacing w:val="-4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not</w:t>
      </w:r>
      <w:r>
        <w:rPr>
          <w:b/>
          <w:color w:val="3A3838"/>
          <w:spacing w:val="9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valuable to</w:t>
      </w:r>
      <w:r>
        <w:rPr>
          <w:b/>
          <w:color w:val="3A3838"/>
          <w:spacing w:val="6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society.</w:t>
      </w:r>
    </w:p>
    <w:p>
      <w:pPr>
        <w:pStyle w:val="BodyText"/>
        <w:spacing w:line="235" w:lineRule="auto" w:before="119"/>
        <w:ind w:left="733" w:right="130" w:firstLine="383"/>
        <w:jc w:val="both"/>
      </w:pPr>
      <w:r>
        <w:rPr>
          <w:color w:val="3A3838"/>
          <w:spacing w:val="-1"/>
          <w:w w:val="110"/>
        </w:rPr>
        <w:t>Using "even if" language in </w:t>
      </w:r>
      <w:r>
        <w:rPr>
          <w:color w:val="3A3838"/>
          <w:w w:val="110"/>
        </w:rPr>
        <w:t>th</w:t>
      </w:r>
      <w:r>
        <w:rPr>
          <w:color w:val="525254"/>
          <w:w w:val="110"/>
        </w:rPr>
        <w:t>e </w:t>
      </w:r>
      <w:r>
        <w:rPr>
          <w:color w:val="3A3838"/>
          <w:w w:val="110"/>
        </w:rPr>
        <w:t>s</w:t>
      </w:r>
      <w:r>
        <w:rPr>
          <w:color w:val="525254"/>
          <w:w w:val="110"/>
        </w:rPr>
        <w:t>e</w:t>
      </w:r>
      <w:r>
        <w:rPr>
          <w:color w:val="3A3838"/>
          <w:w w:val="110"/>
        </w:rPr>
        <w:t>cond alternative point h</w:t>
      </w:r>
      <w:r>
        <w:rPr>
          <w:color w:val="525254"/>
          <w:w w:val="110"/>
        </w:rPr>
        <w:t>e</w:t>
      </w:r>
      <w:r>
        <w:rPr>
          <w:color w:val="3A3838"/>
          <w:w w:val="110"/>
        </w:rPr>
        <w:t>ading can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0"/>
        </w:rPr>
        <w:t>help </w:t>
      </w:r>
      <w:r>
        <w:rPr>
          <w:color w:val="3A3838"/>
          <w:w w:val="110"/>
        </w:rPr>
        <w:t>the court to understand the relationships between the headings more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05"/>
        </w:rPr>
        <w:t>quickly. Despite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concerns of some stud</w:t>
      </w:r>
      <w:r>
        <w:rPr>
          <w:color w:val="525254"/>
          <w:w w:val="105"/>
        </w:rPr>
        <w:t>e</w:t>
      </w:r>
      <w:r>
        <w:rPr>
          <w:color w:val="3A3838"/>
          <w:w w:val="105"/>
        </w:rPr>
        <w:t>nts, alternative argumen</w:t>
      </w:r>
      <w:r>
        <w:rPr>
          <w:color w:val="525254"/>
          <w:w w:val="105"/>
        </w:rPr>
        <w:t>t</w:t>
      </w:r>
      <w:r>
        <w:rPr>
          <w:color w:val="3A3838"/>
          <w:w w:val="105"/>
        </w:rPr>
        <w:t>s are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perfectly acc</w:t>
      </w:r>
      <w:r>
        <w:rPr>
          <w:color w:val="525254"/>
          <w:w w:val="105"/>
        </w:rPr>
        <w:t>e</w:t>
      </w:r>
      <w:r>
        <w:rPr>
          <w:color w:val="3A3838"/>
          <w:w w:val="105"/>
        </w:rPr>
        <w:t>ptable</w:t>
      </w:r>
      <w:r>
        <w:rPr>
          <w:color w:val="525254"/>
          <w:w w:val="105"/>
        </w:rPr>
        <w:t>, </w:t>
      </w:r>
      <w:r>
        <w:rPr>
          <w:color w:val="3A3838"/>
          <w:w w:val="105"/>
        </w:rPr>
        <w:t>as long as the law and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the facts could </w:t>
      </w:r>
      <w:r>
        <w:rPr>
          <w:color w:val="525254"/>
          <w:w w:val="105"/>
        </w:rPr>
        <w:t>r</w:t>
      </w:r>
      <w:r>
        <w:rPr>
          <w:color w:val="3A3838"/>
          <w:w w:val="105"/>
        </w:rPr>
        <w:t>easonably sup­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port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both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arguments.</w:t>
      </w:r>
    </w:p>
    <w:p>
      <w:pPr>
        <w:pStyle w:val="BodyText"/>
        <w:spacing w:before="5"/>
        <w:rPr>
          <w:sz w:val="33"/>
        </w:rPr>
      </w:pPr>
    </w:p>
    <w:p>
      <w:pPr>
        <w:spacing w:before="0"/>
        <w:ind w:left="1089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525254"/>
          <w:w w:val="105"/>
          <w:sz w:val="27"/>
        </w:rPr>
        <w:t>9</w:t>
      </w:r>
      <w:r>
        <w:rPr>
          <w:rFonts w:ascii="Arial"/>
          <w:b/>
          <w:color w:val="3A3838"/>
          <w:w w:val="105"/>
          <w:sz w:val="27"/>
        </w:rPr>
        <w:t>.</w:t>
      </w:r>
      <w:r>
        <w:rPr>
          <w:rFonts w:ascii="Arial"/>
          <w:b/>
          <w:color w:val="666669"/>
          <w:w w:val="105"/>
          <w:sz w:val="27"/>
        </w:rPr>
        <w:t>4.4</w:t>
      </w:r>
    </w:p>
    <w:p>
      <w:pPr>
        <w:spacing w:line="295" w:lineRule="auto" w:before="36"/>
        <w:ind w:left="1083" w:right="0" w:firstLine="1"/>
        <w:jc w:val="left"/>
        <w:rPr>
          <w:rFonts w:ascii="Arial"/>
          <w:b/>
          <w:sz w:val="21"/>
        </w:rPr>
      </w:pPr>
      <w:r>
        <w:rPr>
          <w:rFonts w:ascii="Arial"/>
          <w:b/>
          <w:color w:val="525254"/>
          <w:sz w:val="21"/>
        </w:rPr>
        <w:t>THE</w:t>
      </w:r>
      <w:r>
        <w:rPr>
          <w:rFonts w:ascii="Arial"/>
          <w:b/>
          <w:color w:val="525254"/>
          <w:spacing w:val="26"/>
          <w:sz w:val="21"/>
        </w:rPr>
        <w:t> </w:t>
      </w:r>
      <w:r>
        <w:rPr>
          <w:rFonts w:ascii="Arial"/>
          <w:b/>
          <w:color w:val="525254"/>
          <w:sz w:val="21"/>
        </w:rPr>
        <w:t>RELATIONSHIP</w:t>
      </w:r>
      <w:r>
        <w:rPr>
          <w:rFonts w:ascii="Arial"/>
          <w:b/>
          <w:color w:val="525254"/>
          <w:spacing w:val="40"/>
          <w:sz w:val="21"/>
        </w:rPr>
        <w:t> </w:t>
      </w:r>
      <w:r>
        <w:rPr>
          <w:b/>
          <w:color w:val="666669"/>
          <w:sz w:val="23"/>
        </w:rPr>
        <w:t>BETWEEN</w:t>
      </w:r>
      <w:r>
        <w:rPr>
          <w:b/>
          <w:color w:val="666669"/>
          <w:spacing w:val="46"/>
          <w:sz w:val="23"/>
        </w:rPr>
        <w:t> </w:t>
      </w:r>
      <w:r>
        <w:rPr>
          <w:rFonts w:ascii="Arial"/>
          <w:b/>
          <w:color w:val="525254"/>
          <w:sz w:val="21"/>
        </w:rPr>
        <w:t>THE</w:t>
      </w:r>
      <w:r>
        <w:rPr>
          <w:rFonts w:ascii="Arial"/>
          <w:b/>
          <w:color w:val="525254"/>
          <w:spacing w:val="6"/>
          <w:sz w:val="21"/>
        </w:rPr>
        <w:t> </w:t>
      </w:r>
      <w:r>
        <w:rPr>
          <w:rFonts w:ascii="Arial"/>
          <w:b/>
          <w:color w:val="525254"/>
          <w:sz w:val="21"/>
        </w:rPr>
        <w:t>PO</w:t>
      </w:r>
      <w:r>
        <w:rPr>
          <w:rFonts w:ascii="Arial"/>
          <w:b/>
          <w:color w:val="3A3838"/>
          <w:sz w:val="21"/>
        </w:rPr>
        <w:t>I</w:t>
      </w:r>
      <w:r>
        <w:rPr>
          <w:rFonts w:ascii="Arial"/>
          <w:b/>
          <w:color w:val="525254"/>
          <w:sz w:val="21"/>
        </w:rPr>
        <w:t>N</w:t>
      </w:r>
      <w:r>
        <w:rPr>
          <w:rFonts w:ascii="Arial"/>
          <w:b/>
          <w:color w:val="3A3838"/>
          <w:sz w:val="21"/>
        </w:rPr>
        <w:t>T</w:t>
      </w:r>
      <w:r>
        <w:rPr>
          <w:rFonts w:ascii="Arial"/>
          <w:b/>
          <w:color w:val="3A3838"/>
          <w:spacing w:val="42"/>
          <w:sz w:val="21"/>
        </w:rPr>
        <w:t> </w:t>
      </w:r>
      <w:r>
        <w:rPr>
          <w:b/>
          <w:color w:val="666669"/>
          <w:sz w:val="23"/>
        </w:rPr>
        <w:t>HEAD</w:t>
      </w:r>
      <w:r>
        <w:rPr>
          <w:b/>
          <w:color w:val="3A3838"/>
          <w:sz w:val="23"/>
        </w:rPr>
        <w:t>I</w:t>
      </w:r>
      <w:r>
        <w:rPr>
          <w:b/>
          <w:color w:val="666669"/>
          <w:sz w:val="23"/>
        </w:rPr>
        <w:t>NG</w:t>
      </w:r>
      <w:r>
        <w:rPr>
          <w:b/>
          <w:color w:val="666669"/>
          <w:spacing w:val="23"/>
          <w:sz w:val="23"/>
        </w:rPr>
        <w:t> </w:t>
      </w:r>
      <w:r>
        <w:rPr>
          <w:b/>
          <w:color w:val="525254"/>
          <w:sz w:val="23"/>
        </w:rPr>
        <w:t>AN</w:t>
      </w:r>
      <w:r>
        <w:rPr>
          <w:b/>
          <w:color w:val="3A3838"/>
          <w:sz w:val="23"/>
        </w:rPr>
        <w:t>D</w:t>
      </w:r>
      <w:r>
        <w:rPr>
          <w:b/>
          <w:color w:val="3A3838"/>
          <w:spacing w:val="1"/>
          <w:sz w:val="23"/>
        </w:rPr>
        <w:t> </w:t>
      </w:r>
      <w:r>
        <w:rPr>
          <w:rFonts w:ascii="Arial"/>
          <w:b/>
          <w:color w:val="3A3838"/>
          <w:sz w:val="21"/>
        </w:rPr>
        <w:t>THE</w:t>
      </w:r>
      <w:r>
        <w:rPr>
          <w:rFonts w:ascii="Arial"/>
          <w:b/>
          <w:color w:val="3A3838"/>
          <w:spacing w:val="-56"/>
          <w:sz w:val="21"/>
        </w:rPr>
        <w:t> </w:t>
      </w:r>
      <w:r>
        <w:rPr>
          <w:rFonts w:ascii="Arial"/>
          <w:b/>
          <w:color w:val="666669"/>
          <w:w w:val="105"/>
          <w:sz w:val="21"/>
        </w:rPr>
        <w:t>PARAGRAPH</w:t>
      </w:r>
      <w:r>
        <w:rPr>
          <w:rFonts w:ascii="Arial"/>
          <w:b/>
          <w:color w:val="666669"/>
          <w:spacing w:val="20"/>
          <w:w w:val="105"/>
          <w:sz w:val="21"/>
        </w:rPr>
        <w:t> </w:t>
      </w:r>
      <w:r>
        <w:rPr>
          <w:rFonts w:ascii="Arial"/>
          <w:b/>
          <w:color w:val="525254"/>
          <w:w w:val="105"/>
          <w:sz w:val="21"/>
        </w:rPr>
        <w:t>IMMED</w:t>
      </w:r>
      <w:r>
        <w:rPr>
          <w:rFonts w:ascii="Arial"/>
          <w:b/>
          <w:color w:val="3A3838"/>
          <w:w w:val="105"/>
          <w:sz w:val="21"/>
        </w:rPr>
        <w:t>I</w:t>
      </w:r>
      <w:r>
        <w:rPr>
          <w:rFonts w:ascii="Arial"/>
          <w:b/>
          <w:color w:val="525254"/>
          <w:w w:val="105"/>
          <w:sz w:val="21"/>
        </w:rPr>
        <w:t>ATELY</w:t>
      </w:r>
      <w:r>
        <w:rPr>
          <w:rFonts w:ascii="Arial"/>
          <w:b/>
          <w:color w:val="525254"/>
          <w:spacing w:val="18"/>
          <w:w w:val="105"/>
          <w:sz w:val="21"/>
        </w:rPr>
        <w:t> </w:t>
      </w:r>
      <w:r>
        <w:rPr>
          <w:rFonts w:ascii="Arial"/>
          <w:b/>
          <w:color w:val="525254"/>
          <w:w w:val="105"/>
          <w:sz w:val="21"/>
        </w:rPr>
        <w:t>FOL</w:t>
      </w:r>
      <w:r>
        <w:rPr>
          <w:rFonts w:ascii="Arial"/>
          <w:b/>
          <w:color w:val="3A3838"/>
          <w:w w:val="105"/>
          <w:sz w:val="21"/>
        </w:rPr>
        <w:t>L</w:t>
      </w:r>
      <w:r>
        <w:rPr>
          <w:rFonts w:ascii="Arial"/>
          <w:b/>
          <w:color w:val="525254"/>
          <w:w w:val="105"/>
          <w:sz w:val="21"/>
        </w:rPr>
        <w:t>OWI</w:t>
      </w:r>
      <w:r>
        <w:rPr>
          <w:rFonts w:ascii="Arial"/>
          <w:b/>
          <w:color w:val="3A3838"/>
          <w:w w:val="105"/>
          <w:sz w:val="21"/>
        </w:rPr>
        <w:t>NG</w:t>
      </w:r>
    </w:p>
    <w:p>
      <w:pPr>
        <w:pStyle w:val="BodyText"/>
        <w:spacing w:line="230" w:lineRule="auto" w:before="109"/>
        <w:ind w:left="637" w:right="129" w:firstLine="436"/>
        <w:jc w:val="both"/>
      </w:pPr>
      <w:r>
        <w:rPr>
          <w:color w:val="3A3838"/>
          <w:w w:val="110"/>
        </w:rPr>
        <w:t>In the paragraph immediately following the point heading, you may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have a couple of jobs to do. If you are dividing this heading se</w:t>
      </w:r>
      <w:r>
        <w:rPr>
          <w:color w:val="525254"/>
          <w:w w:val="110"/>
        </w:rPr>
        <w:t>c</w:t>
      </w:r>
      <w:r>
        <w:rPr>
          <w:color w:val="3A3838"/>
          <w:w w:val="110"/>
        </w:rPr>
        <w:t>tion into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two or more subsections</w:t>
      </w:r>
      <w:r>
        <w:rPr>
          <w:color w:val="525254"/>
          <w:w w:val="110"/>
        </w:rPr>
        <w:t>, </w:t>
      </w:r>
      <w:r>
        <w:rPr>
          <w:color w:val="3A3838"/>
          <w:w w:val="110"/>
        </w:rPr>
        <w:t>this paragraph may need to contain legal back.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story and perhaps a roadmap (we'll discuss these requirements in Chap</w:t>
      </w:r>
      <w:r>
        <w:rPr>
          <w:color w:val="525254"/>
          <w:w w:val="110"/>
        </w:rPr>
        <w:t>t</w:t>
      </w:r>
      <w:r>
        <w:rPr>
          <w:color w:val="3A3838"/>
          <w:w w:val="110"/>
        </w:rPr>
        <w:t>er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Ten). Even if you are not further dividing this heading section, however,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0"/>
        </w:rPr>
        <w:t>the</w:t>
      </w:r>
      <w:r>
        <w:rPr>
          <w:color w:val="3A3838"/>
          <w:w w:val="110"/>
        </w:rPr>
        <w:t> </w:t>
      </w:r>
      <w:r>
        <w:rPr>
          <w:color w:val="3A3838"/>
          <w:spacing w:val="-1"/>
          <w:w w:val="110"/>
        </w:rPr>
        <w:t>paragraph </w:t>
      </w:r>
      <w:r>
        <w:rPr>
          <w:color w:val="3A3838"/>
          <w:w w:val="110"/>
        </w:rPr>
        <w:t>after the point heading must tell the reader what the section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is about. And it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needs to do so even th</w:t>
      </w:r>
      <w:r>
        <w:rPr>
          <w:color w:val="525254"/>
          <w:w w:val="110"/>
        </w:rPr>
        <w:t>o</w:t>
      </w:r>
      <w:r>
        <w:rPr>
          <w:color w:val="3A3838"/>
          <w:w w:val="110"/>
        </w:rPr>
        <w:t>ugh  your point heading should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also</w:t>
      </w:r>
      <w:r>
        <w:rPr>
          <w:color w:val="3A3838"/>
          <w:spacing w:val="-9"/>
          <w:w w:val="110"/>
        </w:rPr>
        <w:t> </w:t>
      </w:r>
      <w:r>
        <w:rPr>
          <w:color w:val="3A3838"/>
          <w:w w:val="110"/>
        </w:rPr>
        <w:t>have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accomplished</w:t>
      </w:r>
      <w:r>
        <w:rPr>
          <w:color w:val="3A3838"/>
          <w:spacing w:val="21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-13"/>
          <w:w w:val="110"/>
        </w:rPr>
        <w:t> </w:t>
      </w:r>
      <w:r>
        <w:rPr>
          <w:color w:val="3A3838"/>
          <w:w w:val="110"/>
        </w:rPr>
        <w:t>goal.</w:t>
      </w:r>
    </w:p>
    <w:p>
      <w:pPr>
        <w:spacing w:after="0" w:line="230" w:lineRule="auto"/>
        <w:jc w:val="both"/>
        <w:sectPr>
          <w:headerReference w:type="even" r:id="rId253"/>
          <w:headerReference w:type="default" r:id="rId254"/>
          <w:pgSz w:w="9690" w:h="13960"/>
          <w:pgMar w:header="532" w:footer="0" w:top="1100" w:bottom="280" w:left="1340" w:right="80"/>
          <w:pgNumType w:start="224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30" w:lineRule="auto"/>
        <w:ind w:left="129" w:right="460" w:firstLine="354"/>
        <w:jc w:val="both"/>
      </w:pPr>
      <w:r>
        <w:rPr>
          <w:color w:val="3A3838"/>
          <w:w w:val="110"/>
        </w:rPr>
        <w:t>Because headings that appear in briefs are complete sentences, it is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tempting to treat them as the first sentence of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paragraph that imme­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diately follows. Don't. Remember that you must write for both users 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readers. As you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know, some </w:t>
      </w:r>
      <w:r>
        <w:rPr>
          <w:i/>
          <w:color w:val="3A3838"/>
          <w:w w:val="105"/>
          <w:sz w:val="24"/>
        </w:rPr>
        <w:t>users </w:t>
      </w:r>
      <w:r>
        <w:rPr>
          <w:color w:val="3A3838"/>
          <w:w w:val="105"/>
        </w:rPr>
        <w:t>will read only the headings, and so each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heading must succinctly address the main point of that section. Because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some </w:t>
      </w:r>
      <w:r>
        <w:rPr>
          <w:i/>
          <w:color w:val="3A3838"/>
          <w:w w:val="105"/>
          <w:sz w:val="24"/>
        </w:rPr>
        <w:t>readers </w:t>
      </w:r>
      <w:r>
        <w:rPr>
          <w:color w:val="3A3838"/>
          <w:w w:val="105"/>
        </w:rPr>
        <w:t>will skip headings, however, the first sentence in the section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should also address that main point. However, that first sentence cannot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just repeat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heading word for word, because some readers will read both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the heading and the text. As contradictory as it may seem, your writing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must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accommodate</w:t>
      </w:r>
      <w:r>
        <w:rPr>
          <w:color w:val="3A3838"/>
          <w:spacing w:val="2"/>
          <w:w w:val="110"/>
        </w:rPr>
        <w:t> </w:t>
      </w:r>
      <w:r>
        <w:rPr>
          <w:color w:val="3A3838"/>
          <w:w w:val="110"/>
        </w:rPr>
        <w:t>all</w:t>
      </w:r>
      <w:r>
        <w:rPr>
          <w:color w:val="3A3838"/>
          <w:spacing w:val="-2"/>
          <w:w w:val="110"/>
        </w:rPr>
        <w:t> </w:t>
      </w:r>
      <w:r>
        <w:rPr>
          <w:color w:val="3A3838"/>
          <w:w w:val="110"/>
        </w:rPr>
        <w:t>three</w:t>
      </w:r>
      <w:r>
        <w:rPr>
          <w:color w:val="3A3838"/>
          <w:spacing w:val="-21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13"/>
          <w:w w:val="110"/>
        </w:rPr>
        <w:t> </w:t>
      </w:r>
      <w:r>
        <w:rPr>
          <w:color w:val="3A3838"/>
          <w:w w:val="110"/>
        </w:rPr>
        <w:t>these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concerns.</w:t>
      </w:r>
    </w:p>
    <w:p>
      <w:pPr>
        <w:pStyle w:val="BodyText"/>
        <w:spacing w:line="218" w:lineRule="auto" w:before="20"/>
        <w:ind w:left="133" w:right="438" w:firstLine="327"/>
        <w:jc w:val="both"/>
      </w:pPr>
      <w:r>
        <w:rPr>
          <w:color w:val="3A3838"/>
          <w:w w:val="105"/>
        </w:rPr>
        <w:t>This example treats the heading as if it is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first sentence of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para­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graph</w:t>
      </w:r>
      <w:r>
        <w:rPr>
          <w:color w:val="3A3838"/>
          <w:spacing w:val="-6"/>
          <w:w w:val="105"/>
        </w:rPr>
        <w:t> </w:t>
      </w:r>
      <w:r>
        <w:rPr>
          <w:color w:val="3A3838"/>
          <w:w w:val="105"/>
        </w:rPr>
        <w:t>that</w:t>
      </w:r>
      <w:r>
        <w:rPr>
          <w:color w:val="3A3838"/>
          <w:spacing w:val="-3"/>
          <w:w w:val="105"/>
        </w:rPr>
        <w:t> </w:t>
      </w:r>
      <w:r>
        <w:rPr>
          <w:color w:val="3A3838"/>
          <w:w w:val="105"/>
        </w:rPr>
        <w:t>follows:</w:t>
      </w:r>
    </w:p>
    <w:p>
      <w:pPr>
        <w:pStyle w:val="BodyText"/>
        <w:spacing w:before="11"/>
        <w:rPr>
          <w:sz w:val="10"/>
        </w:rPr>
      </w:pPr>
    </w:p>
    <w:p>
      <w:pPr>
        <w:spacing w:before="93"/>
        <w:ind w:left="114" w:right="0" w:firstLine="0"/>
        <w:jc w:val="both"/>
        <w:rPr>
          <w:sz w:val="16"/>
        </w:rPr>
      </w:pPr>
      <w:r>
        <w:rPr>
          <w:color w:val="3A3838"/>
          <w:w w:val="110"/>
          <w:sz w:val="16"/>
          <w:u w:val="thick" w:color="3A3838"/>
        </w:rPr>
        <w:t>-VBAD</w:t>
      </w:r>
      <w:r>
        <w:rPr>
          <w:color w:val="3A3838"/>
          <w:spacing w:val="13"/>
          <w:w w:val="110"/>
          <w:sz w:val="16"/>
          <w:u w:val="thick" w:color="3A3838"/>
        </w:rPr>
        <w:t> </w:t>
      </w:r>
      <w:r>
        <w:rPr>
          <w:color w:val="3A3838"/>
          <w:w w:val="110"/>
          <w:sz w:val="16"/>
          <w:u w:val="thick" w:color="3A3838"/>
        </w:rPr>
        <w:t>E</w:t>
      </w:r>
      <w:r>
        <w:rPr>
          <w:color w:val="5E5E60"/>
          <w:w w:val="110"/>
          <w:sz w:val="16"/>
          <w:u w:val="thick" w:color="3A3838"/>
        </w:rPr>
        <w:t>X</w:t>
      </w:r>
      <w:r>
        <w:rPr>
          <w:color w:val="3A3838"/>
          <w:w w:val="110"/>
          <w:sz w:val="16"/>
          <w:u w:val="thick" w:color="3A3838"/>
        </w:rPr>
        <w:t>AMP</w:t>
      </w:r>
      <w:r>
        <w:rPr>
          <w:color w:val="5E5E60"/>
          <w:w w:val="110"/>
          <w:sz w:val="16"/>
          <w:u w:val="thick" w:color="3A3838"/>
        </w:rPr>
        <w:t>L</w:t>
      </w:r>
      <w:r>
        <w:rPr>
          <w:color w:val="3A3838"/>
          <w:w w:val="110"/>
          <w:sz w:val="16"/>
          <w:u w:val="thick" w:color="3A3838"/>
        </w:rPr>
        <w:t>E</w:t>
      </w:r>
    </w:p>
    <w:p>
      <w:pPr>
        <w:spacing w:line="230" w:lineRule="auto" w:before="95"/>
        <w:ind w:left="840" w:right="440" w:hanging="366"/>
        <w:jc w:val="both"/>
        <w:rPr>
          <w:b/>
          <w:sz w:val="21"/>
        </w:rPr>
      </w:pPr>
      <w:r>
        <w:rPr>
          <w:color w:val="3A3838"/>
          <w:w w:val="115"/>
          <w:sz w:val="21"/>
        </w:rPr>
        <w:t>D.</w:t>
      </w:r>
      <w:r>
        <w:rPr>
          <w:color w:val="3A3838"/>
          <w:spacing w:val="1"/>
          <w:w w:val="115"/>
          <w:sz w:val="21"/>
        </w:rPr>
        <w:t> </w:t>
      </w:r>
      <w:r>
        <w:rPr>
          <w:color w:val="3A3838"/>
          <w:w w:val="115"/>
          <w:sz w:val="21"/>
        </w:rPr>
        <w:t>This Court should</w:t>
      </w:r>
      <w:r>
        <w:rPr>
          <w:color w:val="3A3838"/>
          <w:spacing w:val="1"/>
          <w:w w:val="115"/>
          <w:sz w:val="21"/>
        </w:rPr>
        <w:t> </w:t>
      </w:r>
      <w:r>
        <w:rPr>
          <w:color w:val="3A3838"/>
          <w:w w:val="115"/>
          <w:sz w:val="21"/>
        </w:rPr>
        <w:t>maintain</w:t>
      </w:r>
      <w:r>
        <w:rPr>
          <w:color w:val="3A3838"/>
          <w:spacing w:val="1"/>
          <w:w w:val="115"/>
          <w:sz w:val="21"/>
        </w:rPr>
        <w:t> </w:t>
      </w:r>
      <w:r>
        <w:rPr>
          <w:color w:val="3A3838"/>
          <w:w w:val="115"/>
          <w:sz w:val="20"/>
        </w:rPr>
        <w:t>its</w:t>
      </w:r>
      <w:r>
        <w:rPr>
          <w:color w:val="3A3838"/>
          <w:spacing w:val="1"/>
          <w:w w:val="115"/>
          <w:sz w:val="20"/>
        </w:rPr>
        <w:t> </w:t>
      </w:r>
      <w:r>
        <w:rPr>
          <w:color w:val="3A3838"/>
          <w:w w:val="115"/>
          <w:sz w:val="21"/>
        </w:rPr>
        <w:t>reluctance</w:t>
      </w:r>
      <w:r>
        <w:rPr>
          <w:color w:val="3A3838"/>
          <w:spacing w:val="1"/>
          <w:w w:val="115"/>
          <w:sz w:val="21"/>
        </w:rPr>
        <w:t> </w:t>
      </w:r>
      <w:r>
        <w:rPr>
          <w:color w:val="3A3838"/>
          <w:w w:val="115"/>
          <w:sz w:val="21"/>
        </w:rPr>
        <w:t>to expand</w:t>
      </w:r>
      <w:r>
        <w:rPr>
          <w:color w:val="3A3838"/>
          <w:spacing w:val="1"/>
          <w:w w:val="115"/>
          <w:sz w:val="21"/>
        </w:rPr>
        <w:t> </w:t>
      </w:r>
      <w:r>
        <w:rPr>
          <w:color w:val="3A3838"/>
          <w:w w:val="115"/>
          <w:sz w:val="21"/>
        </w:rPr>
        <w:t>the</w:t>
      </w:r>
      <w:r>
        <w:rPr>
          <w:color w:val="3A3838"/>
          <w:spacing w:val="1"/>
          <w:w w:val="115"/>
          <w:sz w:val="21"/>
        </w:rPr>
        <w:t> </w:t>
      </w:r>
      <w:r>
        <w:rPr>
          <w:color w:val="3A3838"/>
          <w:w w:val="115"/>
          <w:sz w:val="21"/>
        </w:rPr>
        <w:t>class of</w:t>
      </w:r>
      <w:r>
        <w:rPr>
          <w:color w:val="3A3838"/>
          <w:spacing w:val="1"/>
          <w:w w:val="115"/>
          <w:sz w:val="21"/>
        </w:rPr>
        <w:t> </w:t>
      </w:r>
      <w:r>
        <w:rPr>
          <w:b/>
          <w:color w:val="3A3838"/>
          <w:w w:val="110"/>
          <w:sz w:val="21"/>
        </w:rPr>
        <w:t>individuals who may claim a legitimate expectation of privacy and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5"/>
          <w:sz w:val="21"/>
        </w:rPr>
        <w:t>invoke</w:t>
      </w:r>
      <w:r>
        <w:rPr>
          <w:b/>
          <w:color w:val="3A3838"/>
          <w:spacing w:val="-2"/>
          <w:w w:val="115"/>
          <w:sz w:val="21"/>
        </w:rPr>
        <w:t> </w:t>
      </w:r>
      <w:r>
        <w:rPr>
          <w:b/>
          <w:color w:val="3A3838"/>
          <w:w w:val="115"/>
          <w:sz w:val="21"/>
        </w:rPr>
        <w:t>the</w:t>
      </w:r>
      <w:r>
        <w:rPr>
          <w:b/>
          <w:color w:val="3A3838"/>
          <w:spacing w:val="-3"/>
          <w:w w:val="115"/>
          <w:sz w:val="21"/>
        </w:rPr>
        <w:t> </w:t>
      </w:r>
      <w:r>
        <w:rPr>
          <w:b/>
          <w:color w:val="3A3838"/>
          <w:w w:val="115"/>
          <w:sz w:val="21"/>
        </w:rPr>
        <w:t>exclusionary</w:t>
      </w:r>
      <w:r>
        <w:rPr>
          <w:b/>
          <w:color w:val="3A3838"/>
          <w:spacing w:val="11"/>
          <w:w w:val="115"/>
          <w:sz w:val="21"/>
        </w:rPr>
        <w:t> </w:t>
      </w:r>
      <w:r>
        <w:rPr>
          <w:b/>
          <w:color w:val="3A3838"/>
          <w:w w:val="115"/>
          <w:sz w:val="21"/>
        </w:rPr>
        <w:t>rule.</w:t>
      </w:r>
    </w:p>
    <w:p>
      <w:pPr>
        <w:spacing w:before="144"/>
        <w:ind w:left="462" w:right="0" w:firstLine="0"/>
        <w:jc w:val="both"/>
        <w:rPr>
          <w:sz w:val="21"/>
        </w:rPr>
      </w:pPr>
      <w:r>
        <w:rPr>
          <w:color w:val="3A3838"/>
          <w:w w:val="115"/>
          <w:sz w:val="21"/>
        </w:rPr>
        <w:t>Therefore</w:t>
      </w:r>
      <w:r>
        <w:rPr>
          <w:color w:val="5E5E60"/>
          <w:w w:val="115"/>
          <w:sz w:val="21"/>
        </w:rPr>
        <w:t>,</w:t>
      </w:r>
      <w:r>
        <w:rPr>
          <w:color w:val="5E5E60"/>
          <w:spacing w:val="13"/>
          <w:w w:val="115"/>
          <w:sz w:val="21"/>
        </w:rPr>
        <w:t> </w:t>
      </w:r>
      <w:r>
        <w:rPr>
          <w:color w:val="3A3838"/>
          <w:w w:val="115"/>
          <w:sz w:val="21"/>
        </w:rPr>
        <w:t>the</w:t>
      </w:r>
      <w:r>
        <w:rPr>
          <w:color w:val="3A3838"/>
          <w:spacing w:val="17"/>
          <w:w w:val="115"/>
          <w:sz w:val="21"/>
        </w:rPr>
        <w:t> </w:t>
      </w:r>
      <w:r>
        <w:rPr>
          <w:color w:val="3A3838"/>
          <w:w w:val="115"/>
          <w:sz w:val="21"/>
        </w:rPr>
        <w:t>court</w:t>
      </w:r>
      <w:r>
        <w:rPr>
          <w:color w:val="3A3838"/>
          <w:spacing w:val="-25"/>
          <w:w w:val="115"/>
          <w:sz w:val="21"/>
        </w:rPr>
        <w:t> </w:t>
      </w:r>
      <w:r>
        <w:rPr>
          <w:color w:val="3A3838"/>
          <w:w w:val="115"/>
          <w:sz w:val="21"/>
        </w:rPr>
        <w:t>should</w:t>
      </w:r>
      <w:r>
        <w:rPr>
          <w:color w:val="3A3838"/>
          <w:spacing w:val="-2"/>
          <w:w w:val="115"/>
          <w:sz w:val="21"/>
        </w:rPr>
        <w:t> </w:t>
      </w:r>
      <w:r>
        <w:rPr>
          <w:color w:val="3A3838"/>
          <w:w w:val="115"/>
          <w:sz w:val="21"/>
        </w:rPr>
        <w:t>reverse</w:t>
      </w:r>
      <w:r>
        <w:rPr>
          <w:color w:val="3A3838"/>
          <w:spacing w:val="-12"/>
          <w:w w:val="115"/>
          <w:sz w:val="21"/>
        </w:rPr>
        <w:t> </w:t>
      </w:r>
      <w:r>
        <w:rPr>
          <w:color w:val="3A3838"/>
          <w:w w:val="115"/>
          <w:sz w:val="21"/>
        </w:rPr>
        <w:t>the</w:t>
      </w:r>
      <w:r>
        <w:rPr>
          <w:color w:val="3A3838"/>
          <w:spacing w:val="30"/>
          <w:w w:val="115"/>
          <w:sz w:val="21"/>
        </w:rPr>
        <w:t> </w:t>
      </w:r>
      <w:r>
        <w:rPr>
          <w:color w:val="3A3838"/>
          <w:w w:val="115"/>
          <w:sz w:val="21"/>
        </w:rPr>
        <w:t>case</w:t>
      </w:r>
      <w:r>
        <w:rPr>
          <w:color w:val="3A3838"/>
          <w:spacing w:val="-9"/>
          <w:w w:val="115"/>
          <w:sz w:val="21"/>
        </w:rPr>
        <w:t> </w:t>
      </w:r>
      <w:r>
        <w:rPr>
          <w:color w:val="3A3838"/>
          <w:w w:val="115"/>
          <w:sz w:val="21"/>
        </w:rPr>
        <w:t>at</w:t>
      </w:r>
      <w:r>
        <w:rPr>
          <w:color w:val="3A3838"/>
          <w:spacing w:val="17"/>
          <w:w w:val="115"/>
          <w:sz w:val="21"/>
        </w:rPr>
        <w:t> </w:t>
      </w:r>
      <w:r>
        <w:rPr>
          <w:color w:val="3A3838"/>
          <w:w w:val="115"/>
          <w:sz w:val="21"/>
        </w:rPr>
        <w:t>bar</w:t>
      </w:r>
      <w:r>
        <w:rPr>
          <w:color w:val="3A3838"/>
          <w:spacing w:val="21"/>
          <w:w w:val="115"/>
          <w:sz w:val="21"/>
        </w:rPr>
        <w:t> </w:t>
      </w:r>
      <w:r>
        <w:rPr>
          <w:color w:val="3A3838"/>
          <w:w w:val="115"/>
          <w:sz w:val="21"/>
        </w:rPr>
        <w:t>because</w:t>
      </w:r>
      <w:r>
        <w:rPr>
          <w:color w:val="3A3838"/>
          <w:spacing w:val="-21"/>
          <w:w w:val="115"/>
          <w:sz w:val="21"/>
        </w:rPr>
        <w:t> </w:t>
      </w:r>
      <w:r>
        <w:rPr>
          <w:color w:val="3A3838"/>
          <w:w w:val="115"/>
          <w:sz w:val="21"/>
        </w:rPr>
        <w:t>...</w:t>
      </w:r>
    </w:p>
    <w:p>
      <w:pPr>
        <w:pStyle w:val="BodyText"/>
        <w:spacing w:line="228" w:lineRule="auto" w:before="155"/>
        <w:ind w:left="129" w:right="389" w:firstLine="9"/>
        <w:jc w:val="both"/>
      </w:pPr>
      <w:r>
        <w:rPr>
          <w:color w:val="3A3838"/>
          <w:w w:val="105"/>
        </w:rPr>
        <w:t>A reader who  skipped  the  heading would have no  frame of  reference for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the word "therefore," and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would not  have a  basis for  the  inference. As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noted above, however, copying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heading word for word is not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a good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solution</w:t>
      </w:r>
      <w:r>
        <w:rPr>
          <w:color w:val="3A3838"/>
          <w:spacing w:val="9"/>
          <w:w w:val="105"/>
        </w:rPr>
        <w:t> </w:t>
      </w:r>
      <w:r>
        <w:rPr>
          <w:color w:val="3A3838"/>
          <w:w w:val="105"/>
        </w:rPr>
        <w:t>to</w:t>
      </w:r>
      <w:r>
        <w:rPr>
          <w:color w:val="3A3838"/>
          <w:spacing w:val="30"/>
          <w:w w:val="105"/>
        </w:rPr>
        <w:t> </w:t>
      </w:r>
      <w:r>
        <w:rPr>
          <w:color w:val="3A3838"/>
          <w:w w:val="105"/>
        </w:rPr>
        <w:t>this</w:t>
      </w:r>
      <w:r>
        <w:rPr>
          <w:color w:val="3A3838"/>
          <w:spacing w:val="-2"/>
          <w:w w:val="105"/>
        </w:rPr>
        <w:t> </w:t>
      </w:r>
      <w:r>
        <w:rPr>
          <w:color w:val="3A3838"/>
          <w:w w:val="105"/>
        </w:rPr>
        <w:t>problem:</w:t>
      </w:r>
    </w:p>
    <w:p>
      <w:pPr>
        <w:spacing w:before="73"/>
        <w:ind w:left="111" w:right="0" w:firstLine="0"/>
        <w:jc w:val="both"/>
        <w:rPr>
          <w:sz w:val="16"/>
        </w:rPr>
      </w:pPr>
      <w:r>
        <w:rPr>
          <w:rFonts w:ascii="Arial"/>
          <w:color w:val="3A3838"/>
          <w:w w:val="95"/>
          <w:sz w:val="32"/>
          <w:u w:val="thick" w:color="3A3838"/>
        </w:rPr>
        <w:t>-V</w:t>
      </w:r>
      <w:r>
        <w:rPr>
          <w:color w:val="3A3838"/>
          <w:w w:val="95"/>
          <w:sz w:val="16"/>
          <w:u w:val="thick" w:color="3A3838"/>
        </w:rPr>
        <w:t>B</w:t>
      </w:r>
      <w:r>
        <w:rPr>
          <w:color w:val="5E5E60"/>
          <w:w w:val="95"/>
          <w:sz w:val="16"/>
          <w:u w:val="thick" w:color="3A3838"/>
        </w:rPr>
        <w:t>A</w:t>
      </w:r>
      <w:r>
        <w:rPr>
          <w:color w:val="3A3838"/>
          <w:w w:val="95"/>
          <w:sz w:val="16"/>
          <w:u w:val="thick" w:color="3A3838"/>
        </w:rPr>
        <w:t>D</w:t>
      </w:r>
      <w:r>
        <w:rPr>
          <w:color w:val="3A3838"/>
          <w:spacing w:val="12"/>
          <w:w w:val="95"/>
          <w:sz w:val="16"/>
          <w:u w:val="thick" w:color="3A3838"/>
        </w:rPr>
        <w:t> </w:t>
      </w:r>
      <w:r>
        <w:rPr>
          <w:color w:val="3A3838"/>
          <w:w w:val="95"/>
          <w:sz w:val="16"/>
          <w:u w:val="thick" w:color="3A3838"/>
        </w:rPr>
        <w:t>E</w:t>
      </w:r>
      <w:r>
        <w:rPr>
          <w:color w:val="5E5E60"/>
          <w:w w:val="95"/>
          <w:sz w:val="16"/>
          <w:u w:val="thick" w:color="3A3838"/>
        </w:rPr>
        <w:t>X</w:t>
      </w:r>
      <w:r>
        <w:rPr>
          <w:color w:val="77797C"/>
          <w:w w:val="95"/>
          <w:sz w:val="16"/>
          <w:u w:val="thick" w:color="3A3838"/>
        </w:rPr>
        <w:t>AMP</w:t>
      </w:r>
      <w:r>
        <w:rPr>
          <w:color w:val="5E5E60"/>
          <w:w w:val="95"/>
          <w:sz w:val="16"/>
          <w:u w:val="thick" w:color="3A3838"/>
        </w:rPr>
        <w:t>LE</w:t>
      </w:r>
    </w:p>
    <w:p>
      <w:pPr>
        <w:spacing w:line="230" w:lineRule="auto" w:before="52"/>
        <w:ind w:left="838" w:right="390" w:hanging="364"/>
        <w:jc w:val="both"/>
        <w:rPr>
          <w:sz w:val="21"/>
        </w:rPr>
      </w:pPr>
      <w:r>
        <w:rPr>
          <w:color w:val="3A3838"/>
          <w:w w:val="115"/>
          <w:sz w:val="21"/>
        </w:rPr>
        <w:t>D.</w:t>
      </w:r>
      <w:r>
        <w:rPr>
          <w:color w:val="3A3838"/>
          <w:spacing w:val="1"/>
          <w:w w:val="115"/>
          <w:sz w:val="21"/>
        </w:rPr>
        <w:t> </w:t>
      </w:r>
      <w:r>
        <w:rPr>
          <w:color w:val="3A3838"/>
          <w:w w:val="115"/>
          <w:sz w:val="21"/>
        </w:rPr>
        <w:t>This Court should</w:t>
      </w:r>
      <w:r>
        <w:rPr>
          <w:color w:val="3A3838"/>
          <w:spacing w:val="1"/>
          <w:w w:val="115"/>
          <w:sz w:val="21"/>
        </w:rPr>
        <w:t> </w:t>
      </w:r>
      <w:r>
        <w:rPr>
          <w:color w:val="3A3838"/>
          <w:w w:val="115"/>
          <w:sz w:val="21"/>
        </w:rPr>
        <w:t>maintain</w:t>
      </w:r>
      <w:r>
        <w:rPr>
          <w:color w:val="3A3838"/>
          <w:spacing w:val="1"/>
          <w:w w:val="115"/>
          <w:sz w:val="21"/>
        </w:rPr>
        <w:t> </w:t>
      </w:r>
      <w:r>
        <w:rPr>
          <w:color w:val="3A3838"/>
          <w:w w:val="115"/>
          <w:sz w:val="21"/>
        </w:rPr>
        <w:t>its</w:t>
      </w:r>
      <w:r>
        <w:rPr>
          <w:color w:val="3A3838"/>
          <w:spacing w:val="1"/>
          <w:w w:val="115"/>
          <w:sz w:val="21"/>
        </w:rPr>
        <w:t> </w:t>
      </w:r>
      <w:r>
        <w:rPr>
          <w:color w:val="3A3838"/>
          <w:w w:val="115"/>
          <w:sz w:val="21"/>
        </w:rPr>
        <w:t>reluctance</w:t>
      </w:r>
      <w:r>
        <w:rPr>
          <w:color w:val="3A3838"/>
          <w:spacing w:val="1"/>
          <w:w w:val="115"/>
          <w:sz w:val="21"/>
        </w:rPr>
        <w:t> </w:t>
      </w:r>
      <w:r>
        <w:rPr>
          <w:color w:val="3A3838"/>
          <w:w w:val="115"/>
          <w:sz w:val="21"/>
        </w:rPr>
        <w:t>to</w:t>
      </w:r>
      <w:r>
        <w:rPr>
          <w:color w:val="3A3838"/>
          <w:spacing w:val="1"/>
          <w:w w:val="115"/>
          <w:sz w:val="21"/>
        </w:rPr>
        <w:t> </w:t>
      </w:r>
      <w:r>
        <w:rPr>
          <w:color w:val="3A3838"/>
          <w:w w:val="115"/>
          <w:sz w:val="21"/>
        </w:rPr>
        <w:t>expand</w:t>
      </w:r>
      <w:r>
        <w:rPr>
          <w:color w:val="3A3838"/>
          <w:spacing w:val="1"/>
          <w:w w:val="115"/>
          <w:sz w:val="21"/>
        </w:rPr>
        <w:t> </w:t>
      </w:r>
      <w:r>
        <w:rPr>
          <w:color w:val="3A3838"/>
          <w:w w:val="115"/>
          <w:sz w:val="21"/>
        </w:rPr>
        <w:t>the</w:t>
      </w:r>
      <w:r>
        <w:rPr>
          <w:color w:val="3A3838"/>
          <w:spacing w:val="1"/>
          <w:w w:val="115"/>
          <w:sz w:val="21"/>
        </w:rPr>
        <w:t> </w:t>
      </w:r>
      <w:r>
        <w:rPr>
          <w:color w:val="3A3838"/>
          <w:w w:val="115"/>
          <w:sz w:val="21"/>
        </w:rPr>
        <w:t>class of</w:t>
      </w:r>
      <w:r>
        <w:rPr>
          <w:color w:val="3A3838"/>
          <w:spacing w:val="1"/>
          <w:w w:val="115"/>
          <w:sz w:val="21"/>
        </w:rPr>
        <w:t> </w:t>
      </w:r>
      <w:r>
        <w:rPr>
          <w:b/>
          <w:color w:val="3A3838"/>
          <w:w w:val="115"/>
          <w:sz w:val="21"/>
        </w:rPr>
        <w:t>individuals who may claim a legitimate expectation of privacy and</w:t>
      </w:r>
      <w:r>
        <w:rPr>
          <w:b/>
          <w:color w:val="3A3838"/>
          <w:spacing w:val="-58"/>
          <w:w w:val="115"/>
          <w:sz w:val="21"/>
        </w:rPr>
        <w:t> </w:t>
      </w:r>
      <w:r>
        <w:rPr>
          <w:color w:val="3A3838"/>
          <w:w w:val="115"/>
          <w:sz w:val="21"/>
        </w:rPr>
        <w:t>invoke the</w:t>
      </w:r>
      <w:r>
        <w:rPr>
          <w:color w:val="3A3838"/>
          <w:spacing w:val="7"/>
          <w:w w:val="115"/>
          <w:sz w:val="21"/>
        </w:rPr>
        <w:t> </w:t>
      </w:r>
      <w:r>
        <w:rPr>
          <w:color w:val="3A3838"/>
          <w:w w:val="115"/>
          <w:sz w:val="21"/>
        </w:rPr>
        <w:t>exclusionary</w:t>
      </w:r>
      <w:r>
        <w:rPr>
          <w:color w:val="3A3838"/>
          <w:spacing w:val="20"/>
          <w:w w:val="115"/>
          <w:sz w:val="21"/>
        </w:rPr>
        <w:t> </w:t>
      </w:r>
      <w:r>
        <w:rPr>
          <w:color w:val="3A3838"/>
          <w:w w:val="115"/>
          <w:sz w:val="21"/>
        </w:rPr>
        <w:t>rule.</w:t>
      </w:r>
    </w:p>
    <w:p>
      <w:pPr>
        <w:spacing w:line="232" w:lineRule="auto" w:before="150"/>
        <w:ind w:left="470" w:right="749" w:hanging="10"/>
        <w:jc w:val="both"/>
        <w:rPr>
          <w:sz w:val="21"/>
        </w:rPr>
      </w:pPr>
      <w:r>
        <w:rPr>
          <w:b/>
          <w:color w:val="3A3838"/>
          <w:w w:val="115"/>
          <w:sz w:val="21"/>
        </w:rPr>
        <w:t>This Court should maintain its reluctance to expand the class of</w:t>
      </w:r>
      <w:r>
        <w:rPr>
          <w:b/>
          <w:color w:val="3A3838"/>
          <w:spacing w:val="1"/>
          <w:w w:val="115"/>
          <w:sz w:val="21"/>
        </w:rPr>
        <w:t> </w:t>
      </w:r>
      <w:r>
        <w:rPr>
          <w:b/>
          <w:color w:val="3A3838"/>
          <w:w w:val="115"/>
          <w:sz w:val="21"/>
        </w:rPr>
        <w:t>individuals who may claim a legitimate expectation of privacy and</w:t>
      </w:r>
      <w:r>
        <w:rPr>
          <w:b/>
          <w:color w:val="3A3838"/>
          <w:spacing w:val="-58"/>
          <w:w w:val="115"/>
          <w:sz w:val="21"/>
        </w:rPr>
        <w:t> </w:t>
      </w:r>
      <w:r>
        <w:rPr>
          <w:color w:val="3A3838"/>
          <w:w w:val="115"/>
          <w:sz w:val="21"/>
        </w:rPr>
        <w:t>invoke the exclusionary rule. Therefore, the court should reverse the</w:t>
      </w:r>
      <w:r>
        <w:rPr>
          <w:color w:val="3A3838"/>
          <w:spacing w:val="1"/>
          <w:w w:val="115"/>
          <w:sz w:val="21"/>
        </w:rPr>
        <w:t> </w:t>
      </w:r>
      <w:r>
        <w:rPr>
          <w:b/>
          <w:color w:val="3A3838"/>
          <w:w w:val="115"/>
          <w:sz w:val="21"/>
        </w:rPr>
        <w:t>case</w:t>
      </w:r>
      <w:r>
        <w:rPr>
          <w:b/>
          <w:color w:val="3A3838"/>
          <w:spacing w:val="-22"/>
          <w:w w:val="115"/>
          <w:sz w:val="21"/>
        </w:rPr>
        <w:t> </w:t>
      </w:r>
      <w:r>
        <w:rPr>
          <w:b/>
          <w:color w:val="3A3838"/>
          <w:w w:val="115"/>
          <w:sz w:val="21"/>
        </w:rPr>
        <w:t>at</w:t>
      </w:r>
      <w:r>
        <w:rPr>
          <w:b/>
          <w:color w:val="3A3838"/>
          <w:spacing w:val="-9"/>
          <w:w w:val="115"/>
          <w:sz w:val="21"/>
        </w:rPr>
        <w:t> </w:t>
      </w:r>
      <w:r>
        <w:rPr>
          <w:b/>
          <w:color w:val="3A3838"/>
          <w:w w:val="115"/>
          <w:sz w:val="21"/>
        </w:rPr>
        <w:t>bar</w:t>
      </w:r>
      <w:r>
        <w:rPr>
          <w:b/>
          <w:color w:val="3A3838"/>
          <w:spacing w:val="-15"/>
          <w:w w:val="115"/>
          <w:sz w:val="21"/>
        </w:rPr>
        <w:t> </w:t>
      </w:r>
      <w:r>
        <w:rPr>
          <w:b/>
          <w:color w:val="3A3838"/>
          <w:w w:val="115"/>
          <w:sz w:val="21"/>
        </w:rPr>
        <w:t>because</w:t>
      </w:r>
      <w:r>
        <w:rPr>
          <w:b/>
          <w:color w:val="3A3838"/>
          <w:spacing w:val="-9"/>
          <w:w w:val="115"/>
          <w:sz w:val="21"/>
        </w:rPr>
        <w:t> </w:t>
      </w:r>
      <w:r>
        <w:rPr>
          <w:color w:val="3A3838"/>
          <w:w w:val="115"/>
          <w:sz w:val="21"/>
        </w:rPr>
        <w:t>...</w:t>
      </w:r>
    </w:p>
    <w:p>
      <w:pPr>
        <w:pStyle w:val="BodyText"/>
        <w:spacing w:line="232" w:lineRule="auto" w:before="152"/>
        <w:ind w:left="129" w:right="317" w:firstLine="9"/>
        <w:jc w:val="both"/>
      </w:pPr>
      <w:r>
        <w:rPr>
          <w:color w:val="3A3838"/>
          <w:w w:val="115"/>
        </w:rPr>
        <w:t>A reader who read both the heading and the text would find this exact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repetition annoying. Instead of repeating the entire heading, follow the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heading with a sentence that uses different phrasing but still repeats the</w:t>
      </w:r>
      <w:r>
        <w:rPr>
          <w:color w:val="3A3838"/>
          <w:spacing w:val="-64"/>
          <w:w w:val="115"/>
        </w:rPr>
        <w:t> </w:t>
      </w:r>
      <w:r>
        <w:rPr>
          <w:color w:val="3A3838"/>
          <w:w w:val="115"/>
        </w:rPr>
        <w:t>same point. Note that not every word needs to be different; you can and</w:t>
      </w:r>
      <w:r>
        <w:rPr>
          <w:color w:val="3A3838"/>
          <w:spacing w:val="-64"/>
          <w:w w:val="115"/>
        </w:rPr>
        <w:t> </w:t>
      </w:r>
      <w:r>
        <w:rPr>
          <w:color w:val="3A3838"/>
          <w:w w:val="110"/>
        </w:rPr>
        <w:t>should use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phrases-that-pay and other important language in both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heading</w:t>
      </w:r>
      <w:r>
        <w:rPr>
          <w:color w:val="3A3838"/>
          <w:spacing w:val="-7"/>
          <w:w w:val="110"/>
        </w:rPr>
        <w:t> </w:t>
      </w:r>
      <w:r>
        <w:rPr>
          <w:color w:val="3A3838"/>
          <w:w w:val="110"/>
        </w:rPr>
        <w:t>and</w:t>
      </w:r>
      <w:r>
        <w:rPr>
          <w:color w:val="3A3838"/>
          <w:spacing w:val="43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37"/>
          <w:w w:val="110"/>
        </w:rPr>
        <w:t> </w:t>
      </w:r>
      <w:r>
        <w:rPr>
          <w:color w:val="3A3838"/>
          <w:w w:val="110"/>
        </w:rPr>
        <w:t>first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sentence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1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51"/>
          <w:w w:val="110"/>
        </w:rPr>
        <w:t> </w:t>
      </w:r>
      <w:r>
        <w:rPr>
          <w:color w:val="3A3838"/>
          <w:w w:val="110"/>
        </w:rPr>
        <w:t>paragraph</w:t>
      </w:r>
      <w:r>
        <w:rPr>
          <w:color w:val="3A3838"/>
          <w:spacing w:val="8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3"/>
          <w:w w:val="110"/>
        </w:rPr>
        <w:t> </w:t>
      </w:r>
      <w:r>
        <w:rPr>
          <w:color w:val="3A3838"/>
          <w:w w:val="110"/>
        </w:rPr>
        <w:t>follows:</w:t>
      </w:r>
    </w:p>
    <w:p>
      <w:pPr>
        <w:spacing w:before="55"/>
        <w:ind w:left="122" w:right="0" w:firstLine="0"/>
        <w:jc w:val="both"/>
        <w:rPr>
          <w:sz w:val="16"/>
        </w:rPr>
      </w:pPr>
      <w:r>
        <w:rPr>
          <w:i/>
          <w:color w:val="3A3838"/>
          <w:sz w:val="32"/>
          <w:u w:val="thick" w:color="3A3838"/>
        </w:rPr>
        <w:t>-I\</w:t>
      </w:r>
      <w:r>
        <w:rPr>
          <w:color w:val="3A3838"/>
          <w:sz w:val="16"/>
          <w:u w:val="thick" w:color="3A3838"/>
        </w:rPr>
        <w:t>GOOD</w:t>
      </w:r>
      <w:r>
        <w:rPr>
          <w:color w:val="3A3838"/>
          <w:spacing w:val="6"/>
          <w:sz w:val="16"/>
          <w:u w:val="thick" w:color="3A3838"/>
        </w:rPr>
        <w:t> </w:t>
      </w:r>
      <w:r>
        <w:rPr>
          <w:color w:val="3A3838"/>
          <w:sz w:val="16"/>
          <w:u w:val="thick" w:color="3A3838"/>
        </w:rPr>
        <w:t>EXAM</w:t>
      </w:r>
      <w:r>
        <w:rPr>
          <w:color w:val="5E5E60"/>
          <w:sz w:val="16"/>
          <w:u w:val="thick" w:color="3A3838"/>
        </w:rPr>
        <w:t>P</w:t>
      </w:r>
      <w:r>
        <w:rPr>
          <w:color w:val="3A3838"/>
          <w:sz w:val="16"/>
          <w:u w:val="thick" w:color="3A3838"/>
        </w:rPr>
        <w:t>LE</w:t>
      </w:r>
    </w:p>
    <w:p>
      <w:pPr>
        <w:spacing w:line="230" w:lineRule="auto" w:before="41"/>
        <w:ind w:left="850" w:right="304" w:hanging="356"/>
        <w:jc w:val="both"/>
        <w:rPr>
          <w:b/>
          <w:sz w:val="21"/>
        </w:rPr>
      </w:pPr>
      <w:r>
        <w:rPr>
          <w:b/>
          <w:color w:val="3A3838"/>
          <w:w w:val="110"/>
          <w:sz w:val="21"/>
        </w:rPr>
        <w:t>D.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This Court should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maintain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its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reluctance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to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expand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the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class of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individuals who may claim a legitimate expectation of privacy and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invoke</w:t>
      </w:r>
      <w:r>
        <w:rPr>
          <w:b/>
          <w:color w:val="3A3838"/>
          <w:spacing w:val="-5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the</w:t>
      </w:r>
      <w:r>
        <w:rPr>
          <w:b/>
          <w:color w:val="3A3838"/>
          <w:spacing w:val="-7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exclusionary</w:t>
      </w:r>
      <w:r>
        <w:rPr>
          <w:b/>
          <w:color w:val="3A3838"/>
          <w:spacing w:val="15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rule.</w:t>
      </w:r>
    </w:p>
    <w:p>
      <w:pPr>
        <w:spacing w:before="135"/>
        <w:ind w:left="479" w:right="637" w:firstLine="13"/>
        <w:jc w:val="both"/>
        <w:rPr>
          <w:b/>
          <w:sz w:val="21"/>
        </w:rPr>
      </w:pPr>
      <w:r>
        <w:rPr>
          <w:b/>
          <w:color w:val="3A3838"/>
          <w:w w:val="110"/>
          <w:sz w:val="21"/>
        </w:rPr>
        <w:t>Because</w:t>
      </w:r>
      <w:r>
        <w:rPr>
          <w:b/>
          <w:color w:val="3A3838"/>
          <w:spacing w:val="-6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the</w:t>
      </w:r>
      <w:r>
        <w:rPr>
          <w:b/>
          <w:color w:val="3A3838"/>
          <w:spacing w:val="28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arguments</w:t>
      </w:r>
      <w:r>
        <w:rPr>
          <w:b/>
          <w:color w:val="3A3838"/>
          <w:spacing w:val="-4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for</w:t>
      </w:r>
      <w:r>
        <w:rPr>
          <w:b/>
          <w:color w:val="3A3838"/>
          <w:spacing w:val="-17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limiting</w:t>
      </w:r>
      <w:r>
        <w:rPr>
          <w:b/>
          <w:color w:val="3A3838"/>
          <w:spacing w:val="-5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the</w:t>
      </w:r>
      <w:r>
        <w:rPr>
          <w:b/>
          <w:color w:val="3A3838"/>
          <w:spacing w:val="-13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use</w:t>
      </w:r>
      <w:r>
        <w:rPr>
          <w:b/>
          <w:color w:val="3A3838"/>
          <w:spacing w:val="-28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of</w:t>
      </w:r>
      <w:r>
        <w:rPr>
          <w:b/>
          <w:color w:val="3A3838"/>
          <w:spacing w:val="3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the</w:t>
      </w:r>
      <w:r>
        <w:rPr>
          <w:b/>
          <w:color w:val="3A3838"/>
          <w:spacing w:val="-15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exclusionary</w:t>
      </w:r>
      <w:r>
        <w:rPr>
          <w:b/>
          <w:color w:val="3A3838"/>
          <w:spacing w:val="-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rule</w:t>
      </w:r>
      <w:r>
        <w:rPr>
          <w:b/>
          <w:color w:val="3A3838"/>
          <w:spacing w:val="-25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are</w:t>
      </w:r>
      <w:r>
        <w:rPr>
          <w:b/>
          <w:color w:val="3A3838"/>
          <w:spacing w:val="-55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compelling,</w:t>
      </w:r>
      <w:r>
        <w:rPr>
          <w:b/>
          <w:color w:val="3A3838"/>
          <w:spacing w:val="54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this</w:t>
      </w:r>
      <w:r>
        <w:rPr>
          <w:b/>
          <w:color w:val="3A3838"/>
          <w:spacing w:val="-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Court</w:t>
      </w:r>
      <w:r>
        <w:rPr>
          <w:b/>
          <w:color w:val="3A3838"/>
          <w:spacing w:val="22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should</w:t>
      </w:r>
      <w:r>
        <w:rPr>
          <w:b/>
          <w:color w:val="3A3838"/>
          <w:spacing w:val="27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continue</w:t>
      </w:r>
      <w:r>
        <w:rPr>
          <w:b/>
          <w:color w:val="3A3838"/>
          <w:spacing w:val="32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its</w:t>
      </w:r>
      <w:r>
        <w:rPr>
          <w:b/>
          <w:color w:val="3A3838"/>
          <w:spacing w:val="30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reluctance</w:t>
      </w:r>
      <w:r>
        <w:rPr>
          <w:b/>
          <w:color w:val="3A3838"/>
          <w:spacing w:val="49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to</w:t>
      </w:r>
      <w:r>
        <w:rPr>
          <w:b/>
          <w:color w:val="3A3838"/>
          <w:spacing w:val="3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expand</w:t>
      </w:r>
      <w:r>
        <w:rPr>
          <w:b/>
          <w:color w:val="3A3838"/>
          <w:spacing w:val="30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the</w:t>
      </w:r>
    </w:p>
    <w:p>
      <w:pPr>
        <w:spacing w:after="0"/>
        <w:jc w:val="both"/>
        <w:rPr>
          <w:sz w:val="21"/>
        </w:rPr>
        <w:sectPr>
          <w:pgSz w:w="9780" w:h="13960"/>
          <w:pgMar w:header="558" w:footer="0" w:top="740" w:bottom="0" w:left="380" w:right="1360"/>
        </w:sectPr>
      </w:pPr>
    </w:p>
    <w:p>
      <w:pPr>
        <w:spacing w:before="81"/>
        <w:ind w:left="1133" w:right="436" w:hanging="4"/>
        <w:jc w:val="left"/>
        <w:rPr>
          <w:sz w:val="21"/>
        </w:rPr>
      </w:pPr>
      <w:r>
        <w:rPr>
          <w:b/>
          <w:color w:val="383638"/>
          <w:w w:val="110"/>
          <w:sz w:val="21"/>
        </w:rPr>
        <w:t>class of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persons that may invoke the rule</w:t>
      </w:r>
      <w:r>
        <w:rPr>
          <w:b/>
          <w:color w:val="525052"/>
          <w:w w:val="110"/>
          <w:sz w:val="21"/>
        </w:rPr>
        <w:t>. </w:t>
      </w:r>
      <w:r>
        <w:rPr>
          <w:b/>
          <w:color w:val="383638"/>
          <w:w w:val="110"/>
          <w:sz w:val="21"/>
        </w:rPr>
        <w:t>The Court should reverse</w:t>
      </w:r>
      <w:r>
        <w:rPr>
          <w:b/>
          <w:color w:val="383638"/>
          <w:spacing w:val="-55"/>
          <w:w w:val="110"/>
          <w:sz w:val="21"/>
        </w:rPr>
        <w:t> </w:t>
      </w:r>
      <w:r>
        <w:rPr>
          <w:b/>
          <w:color w:val="383638"/>
          <w:spacing w:val="-1"/>
          <w:w w:val="110"/>
          <w:sz w:val="21"/>
        </w:rPr>
        <w:t>the</w:t>
      </w:r>
      <w:r>
        <w:rPr>
          <w:b/>
          <w:color w:val="383638"/>
          <w:spacing w:val="32"/>
          <w:w w:val="110"/>
          <w:sz w:val="21"/>
        </w:rPr>
        <w:t> </w:t>
      </w:r>
      <w:r>
        <w:rPr>
          <w:b/>
          <w:color w:val="383638"/>
          <w:spacing w:val="-1"/>
          <w:w w:val="110"/>
          <w:sz w:val="21"/>
        </w:rPr>
        <w:t>case</w:t>
      </w:r>
      <w:r>
        <w:rPr>
          <w:b/>
          <w:color w:val="383638"/>
          <w:spacing w:val="-10"/>
          <w:w w:val="110"/>
          <w:sz w:val="21"/>
        </w:rPr>
        <w:t> </w:t>
      </w:r>
      <w:r>
        <w:rPr>
          <w:b/>
          <w:color w:val="383638"/>
          <w:spacing w:val="-1"/>
          <w:w w:val="110"/>
          <w:sz w:val="21"/>
        </w:rPr>
        <w:t>at</w:t>
      </w:r>
      <w:r>
        <w:rPr>
          <w:b/>
          <w:color w:val="383638"/>
          <w:spacing w:val="-11"/>
          <w:w w:val="110"/>
          <w:sz w:val="21"/>
        </w:rPr>
        <w:t> </w:t>
      </w:r>
      <w:r>
        <w:rPr>
          <w:b/>
          <w:color w:val="383638"/>
          <w:spacing w:val="-1"/>
          <w:w w:val="110"/>
          <w:sz w:val="21"/>
        </w:rPr>
        <w:t>bar</w:t>
      </w:r>
      <w:r>
        <w:rPr>
          <w:b/>
          <w:color w:val="383638"/>
          <w:spacing w:val="-20"/>
          <w:w w:val="110"/>
          <w:sz w:val="21"/>
        </w:rPr>
        <w:t> </w:t>
      </w:r>
      <w:r>
        <w:rPr>
          <w:b/>
          <w:color w:val="383638"/>
          <w:spacing w:val="-1"/>
          <w:w w:val="110"/>
          <w:sz w:val="21"/>
        </w:rPr>
        <w:t>because</w:t>
      </w:r>
      <w:r>
        <w:rPr>
          <w:b/>
          <w:color w:val="383638"/>
          <w:spacing w:val="-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doing</w:t>
      </w:r>
      <w:r>
        <w:rPr>
          <w:b/>
          <w:color w:val="383638"/>
          <w:spacing w:val="-1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so</w:t>
      </w:r>
      <w:r>
        <w:rPr>
          <w:b/>
          <w:color w:val="383638"/>
          <w:spacing w:val="-1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recognizes</w:t>
      </w:r>
      <w:r>
        <w:rPr>
          <w:b/>
          <w:color w:val="383638"/>
          <w:spacing w:val="-5"/>
          <w:w w:val="110"/>
          <w:sz w:val="21"/>
        </w:rPr>
        <w:t> </w:t>
      </w:r>
      <w:r>
        <w:rPr>
          <w:color w:val="383638"/>
          <w:w w:val="110"/>
          <w:sz w:val="21"/>
        </w:rPr>
        <w:t>...</w:t>
      </w:r>
    </w:p>
    <w:p>
      <w:pPr>
        <w:pStyle w:val="BodyText"/>
        <w:spacing w:line="230" w:lineRule="auto" w:before="143"/>
        <w:ind w:left="763" w:right="104" w:firstLine="3"/>
        <w:jc w:val="both"/>
      </w:pPr>
      <w:r>
        <w:rPr>
          <w:color w:val="383638"/>
          <w:spacing w:val="-1"/>
          <w:w w:val="110"/>
        </w:rPr>
        <w:t>By taking </w:t>
      </w:r>
      <w:r>
        <w:rPr>
          <w:color w:val="383638"/>
          <w:w w:val="110"/>
        </w:rPr>
        <w:t>a few minutes to consider an effective opening sentence to fol­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05"/>
        </w:rPr>
        <w:t>low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your headings, you can make sure that your headings are effective for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those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who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encounter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brief, in</w:t>
      </w:r>
      <w:r>
        <w:rPr>
          <w:color w:val="383638"/>
          <w:spacing w:val="31"/>
          <w:w w:val="110"/>
        </w:rPr>
        <w:t> </w:t>
      </w:r>
      <w:r>
        <w:rPr>
          <w:color w:val="383638"/>
          <w:w w:val="110"/>
        </w:rPr>
        <w:t>whatever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manner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they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encounter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it.</w:t>
      </w:r>
    </w:p>
    <w:p>
      <w:pPr>
        <w:pStyle w:val="BodyText"/>
        <w:spacing w:before="10"/>
        <w:rPr>
          <w:sz w:val="36"/>
        </w:rPr>
      </w:pPr>
    </w:p>
    <w:p>
      <w:pPr>
        <w:pStyle w:val="ListParagraph"/>
        <w:numPr>
          <w:ilvl w:val="2"/>
          <w:numId w:val="75"/>
        </w:numPr>
        <w:tabs>
          <w:tab w:pos="1803" w:val="left" w:leader="none"/>
        </w:tabs>
        <w:spacing w:line="321" w:lineRule="exact" w:before="0" w:after="0"/>
        <w:ind w:left="1802" w:right="0" w:hanging="665"/>
        <w:jc w:val="left"/>
        <w:rPr>
          <w:rFonts w:ascii="Arial"/>
          <w:b/>
          <w:color w:val="383638"/>
          <w:sz w:val="26"/>
        </w:rPr>
      </w:pPr>
    </w:p>
    <w:p>
      <w:pPr>
        <w:spacing w:line="321" w:lineRule="exact" w:before="0"/>
        <w:ind w:left="1144" w:right="0" w:firstLine="0"/>
        <w:jc w:val="left"/>
        <w:rPr>
          <w:b/>
          <w:sz w:val="28"/>
        </w:rPr>
      </w:pPr>
      <w:r>
        <w:rPr>
          <w:b/>
          <w:color w:val="383638"/>
          <w:w w:val="95"/>
          <w:sz w:val="24"/>
        </w:rPr>
        <w:t>SUMMING</w:t>
      </w:r>
      <w:r>
        <w:rPr>
          <w:b/>
          <w:color w:val="383638"/>
          <w:spacing w:val="38"/>
          <w:w w:val="95"/>
          <w:sz w:val="24"/>
        </w:rPr>
        <w:t> </w:t>
      </w:r>
      <w:r>
        <w:rPr>
          <w:b/>
          <w:color w:val="383638"/>
          <w:w w:val="95"/>
          <w:sz w:val="28"/>
        </w:rPr>
        <w:t>UP</w:t>
      </w:r>
    </w:p>
    <w:p>
      <w:pPr>
        <w:pStyle w:val="BodyText"/>
        <w:spacing w:line="228" w:lineRule="auto" w:before="102"/>
        <w:ind w:left="760" w:right="120" w:firstLine="373"/>
        <w:jc w:val="both"/>
      </w:pPr>
      <w:r>
        <w:rPr>
          <w:color w:val="383638"/>
          <w:w w:val="110"/>
        </w:rPr>
        <w:t>When drafting your point headings, </w:t>
      </w:r>
      <w:r>
        <w:rPr>
          <w:rFonts w:ascii="Arial"/>
          <w:color w:val="383638"/>
          <w:w w:val="110"/>
          <w:sz w:val="20"/>
        </w:rPr>
        <w:t>(1) </w:t>
      </w:r>
      <w:r>
        <w:rPr>
          <w:color w:val="383638"/>
          <w:w w:val="110"/>
        </w:rPr>
        <w:t>base the headings on actions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want</w:t>
      </w:r>
      <w:r>
        <w:rPr>
          <w:color w:val="383638"/>
          <w:spacing w:val="29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3"/>
          <w:w w:val="110"/>
        </w:rPr>
        <w:t> </w:t>
      </w:r>
      <w:r>
        <w:rPr>
          <w:color w:val="383638"/>
          <w:w w:val="110"/>
        </w:rPr>
        <w:t>court</w:t>
      </w:r>
      <w:r>
        <w:rPr>
          <w:color w:val="383638"/>
          <w:spacing w:val="28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30"/>
          <w:w w:val="110"/>
        </w:rPr>
        <w:t> </w:t>
      </w:r>
      <w:r>
        <w:rPr>
          <w:color w:val="383638"/>
          <w:w w:val="110"/>
        </w:rPr>
        <w:t>take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or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assertions</w:t>
      </w:r>
      <w:r>
        <w:rPr>
          <w:color w:val="383638"/>
          <w:spacing w:val="30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26"/>
          <w:w w:val="110"/>
        </w:rPr>
        <w:t> </w:t>
      </w:r>
      <w:r>
        <w:rPr>
          <w:color w:val="383638"/>
          <w:w w:val="110"/>
        </w:rPr>
        <w:t>want</w:t>
      </w:r>
      <w:r>
        <w:rPr>
          <w:color w:val="383638"/>
          <w:spacing w:val="30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3"/>
          <w:w w:val="110"/>
        </w:rPr>
        <w:t> </w:t>
      </w:r>
      <w:r>
        <w:rPr>
          <w:color w:val="383638"/>
          <w:w w:val="110"/>
        </w:rPr>
        <w:t>court</w:t>
      </w:r>
      <w:r>
        <w:rPr>
          <w:color w:val="383638"/>
          <w:spacing w:val="28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accept,</w:t>
      </w:r>
    </w:p>
    <w:p>
      <w:pPr>
        <w:pStyle w:val="ListParagraph"/>
        <w:numPr>
          <w:ilvl w:val="0"/>
          <w:numId w:val="90"/>
        </w:numPr>
        <w:tabs>
          <w:tab w:pos="1107" w:val="left" w:leader="none"/>
        </w:tabs>
        <w:spacing w:line="235" w:lineRule="auto" w:before="1" w:after="0"/>
        <w:ind w:left="763" w:right="121" w:firstLine="8"/>
        <w:jc w:val="both"/>
        <w:rPr>
          <w:sz w:val="23"/>
        </w:rPr>
      </w:pPr>
      <w:r>
        <w:rPr>
          <w:color w:val="383638"/>
          <w:w w:val="110"/>
          <w:sz w:val="23"/>
        </w:rPr>
        <w:t>make</w:t>
      </w:r>
      <w:r>
        <w:rPr>
          <w:color w:val="383638"/>
          <w:spacing w:val="-24"/>
          <w:w w:val="110"/>
          <w:sz w:val="23"/>
        </w:rPr>
        <w:t> </w:t>
      </w:r>
      <w:r>
        <w:rPr>
          <w:color w:val="383638"/>
          <w:w w:val="110"/>
          <w:sz w:val="23"/>
        </w:rPr>
        <w:t>sure</w:t>
      </w:r>
      <w:r>
        <w:rPr>
          <w:color w:val="383638"/>
          <w:spacing w:val="-20"/>
          <w:w w:val="110"/>
          <w:sz w:val="23"/>
        </w:rPr>
        <w:t> </w:t>
      </w:r>
      <w:r>
        <w:rPr>
          <w:color w:val="383638"/>
          <w:w w:val="110"/>
          <w:sz w:val="23"/>
        </w:rPr>
        <w:t>that</w:t>
      </w:r>
      <w:r>
        <w:rPr>
          <w:color w:val="383638"/>
          <w:spacing w:val="-8"/>
          <w:w w:val="110"/>
          <w:sz w:val="23"/>
        </w:rPr>
        <w:t> </w:t>
      </w:r>
      <w:r>
        <w:rPr>
          <w:color w:val="383638"/>
          <w:w w:val="110"/>
          <w:sz w:val="23"/>
        </w:rPr>
        <w:t>the</w:t>
      </w:r>
      <w:r>
        <w:rPr>
          <w:color w:val="383638"/>
          <w:spacing w:val="-25"/>
          <w:w w:val="110"/>
          <w:sz w:val="23"/>
        </w:rPr>
        <w:t> </w:t>
      </w:r>
      <w:r>
        <w:rPr>
          <w:color w:val="383638"/>
          <w:w w:val="110"/>
          <w:sz w:val="23"/>
        </w:rPr>
        <w:t>point</w:t>
      </w:r>
      <w:r>
        <w:rPr>
          <w:color w:val="383638"/>
          <w:spacing w:val="-13"/>
          <w:w w:val="110"/>
          <w:sz w:val="23"/>
        </w:rPr>
        <w:t> </w:t>
      </w:r>
      <w:r>
        <w:rPr>
          <w:color w:val="383638"/>
          <w:w w:val="110"/>
          <w:sz w:val="23"/>
        </w:rPr>
        <w:t>headings</w:t>
      </w:r>
      <w:r>
        <w:rPr>
          <w:color w:val="383638"/>
          <w:spacing w:val="-9"/>
          <w:w w:val="110"/>
          <w:sz w:val="23"/>
        </w:rPr>
        <w:t> </w:t>
      </w:r>
      <w:r>
        <w:rPr>
          <w:color w:val="383638"/>
          <w:w w:val="110"/>
          <w:sz w:val="23"/>
        </w:rPr>
        <w:t>reflect</w:t>
      </w:r>
      <w:r>
        <w:rPr>
          <w:color w:val="383638"/>
          <w:spacing w:val="-8"/>
          <w:w w:val="110"/>
          <w:sz w:val="23"/>
        </w:rPr>
        <w:t> </w:t>
      </w:r>
      <w:r>
        <w:rPr>
          <w:color w:val="383638"/>
          <w:w w:val="110"/>
          <w:sz w:val="23"/>
        </w:rPr>
        <w:t>logical</w:t>
      </w:r>
      <w:r>
        <w:rPr>
          <w:color w:val="383638"/>
          <w:spacing w:val="-12"/>
          <w:w w:val="110"/>
          <w:sz w:val="23"/>
        </w:rPr>
        <w:t> </w:t>
      </w:r>
      <w:r>
        <w:rPr>
          <w:color w:val="383638"/>
          <w:w w:val="110"/>
          <w:sz w:val="23"/>
        </w:rPr>
        <w:t>relationships</w:t>
      </w:r>
      <w:r>
        <w:rPr>
          <w:color w:val="383638"/>
          <w:spacing w:val="9"/>
          <w:w w:val="110"/>
          <w:sz w:val="23"/>
        </w:rPr>
        <w:t> </w:t>
      </w:r>
      <w:r>
        <w:rPr>
          <w:color w:val="383638"/>
          <w:w w:val="110"/>
          <w:sz w:val="23"/>
        </w:rPr>
        <w:t>between</w:t>
      </w:r>
      <w:r>
        <w:rPr>
          <w:color w:val="383638"/>
          <w:spacing w:val="-60"/>
          <w:w w:val="110"/>
          <w:sz w:val="23"/>
        </w:rPr>
        <w:t> </w:t>
      </w:r>
      <w:r>
        <w:rPr>
          <w:color w:val="383638"/>
          <w:w w:val="110"/>
          <w:sz w:val="23"/>
        </w:rPr>
        <w:t>and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among the issues in your case, and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(3) make your point headings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05"/>
          <w:sz w:val="23"/>
        </w:rPr>
        <w:t>concret</w:t>
      </w:r>
      <w:r>
        <w:rPr>
          <w:color w:val="525052"/>
          <w:w w:val="105"/>
          <w:sz w:val="23"/>
        </w:rPr>
        <w:t>e</w:t>
      </w:r>
      <w:r>
        <w:rPr>
          <w:color w:val="525052"/>
          <w:spacing w:val="10"/>
          <w:w w:val="105"/>
          <w:sz w:val="23"/>
        </w:rPr>
        <w:t> </w:t>
      </w:r>
      <w:r>
        <w:rPr>
          <w:color w:val="383638"/>
          <w:w w:val="105"/>
          <w:sz w:val="23"/>
        </w:rPr>
        <w:t>assertions</w:t>
      </w:r>
      <w:r>
        <w:rPr>
          <w:color w:val="383638"/>
          <w:spacing w:val="11"/>
          <w:w w:val="105"/>
          <w:sz w:val="23"/>
        </w:rPr>
        <w:t> </w:t>
      </w:r>
      <w:r>
        <w:rPr>
          <w:color w:val="383638"/>
          <w:w w:val="105"/>
          <w:sz w:val="23"/>
        </w:rPr>
        <w:t>that</w:t>
      </w:r>
      <w:r>
        <w:rPr>
          <w:color w:val="383638"/>
          <w:spacing w:val="3"/>
          <w:w w:val="105"/>
          <w:sz w:val="23"/>
        </w:rPr>
        <w:t> </w:t>
      </w:r>
      <w:r>
        <w:rPr>
          <w:color w:val="383638"/>
          <w:w w:val="105"/>
          <w:sz w:val="23"/>
        </w:rPr>
        <w:t>incorporate</w:t>
      </w:r>
      <w:r>
        <w:rPr>
          <w:color w:val="383638"/>
          <w:spacing w:val="23"/>
          <w:w w:val="105"/>
          <w:sz w:val="23"/>
        </w:rPr>
        <w:t> </w:t>
      </w:r>
      <w:r>
        <w:rPr>
          <w:color w:val="383638"/>
          <w:w w:val="105"/>
          <w:sz w:val="23"/>
        </w:rPr>
        <w:t>the</w:t>
      </w:r>
      <w:r>
        <w:rPr>
          <w:color w:val="383638"/>
          <w:spacing w:val="25"/>
          <w:w w:val="105"/>
          <w:sz w:val="23"/>
        </w:rPr>
        <w:t> </w:t>
      </w:r>
      <w:r>
        <w:rPr>
          <w:color w:val="383638"/>
          <w:w w:val="105"/>
          <w:sz w:val="23"/>
        </w:rPr>
        <w:t>facts</w:t>
      </w:r>
      <w:r>
        <w:rPr>
          <w:color w:val="383638"/>
          <w:spacing w:val="-14"/>
          <w:w w:val="105"/>
          <w:sz w:val="23"/>
        </w:rPr>
        <w:t> </w:t>
      </w:r>
      <w:r>
        <w:rPr>
          <w:color w:val="383638"/>
          <w:w w:val="105"/>
          <w:sz w:val="23"/>
        </w:rPr>
        <w:t>and</w:t>
      </w:r>
      <w:r>
        <w:rPr>
          <w:color w:val="383638"/>
          <w:spacing w:val="58"/>
          <w:w w:val="105"/>
          <w:sz w:val="23"/>
        </w:rPr>
        <w:t> </w:t>
      </w:r>
      <w:r>
        <w:rPr>
          <w:color w:val="383638"/>
          <w:w w:val="105"/>
          <w:sz w:val="23"/>
        </w:rPr>
        <w:t>law</w:t>
      </w:r>
      <w:r>
        <w:rPr>
          <w:color w:val="383638"/>
          <w:spacing w:val="-16"/>
          <w:w w:val="105"/>
          <w:sz w:val="23"/>
        </w:rPr>
        <w:t> </w:t>
      </w:r>
      <w:r>
        <w:rPr>
          <w:color w:val="383638"/>
          <w:w w:val="105"/>
          <w:sz w:val="23"/>
        </w:rPr>
        <w:t>at</w:t>
      </w:r>
      <w:r>
        <w:rPr>
          <w:color w:val="383638"/>
          <w:spacing w:val="34"/>
          <w:w w:val="105"/>
          <w:sz w:val="23"/>
        </w:rPr>
        <w:t> </w:t>
      </w:r>
      <w:r>
        <w:rPr>
          <w:color w:val="383638"/>
          <w:w w:val="105"/>
          <w:sz w:val="23"/>
        </w:rPr>
        <w:t>issue</w:t>
      </w:r>
      <w:r>
        <w:rPr>
          <w:color w:val="383638"/>
          <w:spacing w:val="-7"/>
          <w:w w:val="105"/>
          <w:sz w:val="23"/>
        </w:rPr>
        <w:t> </w:t>
      </w:r>
      <w:r>
        <w:rPr>
          <w:color w:val="383638"/>
          <w:w w:val="105"/>
          <w:sz w:val="23"/>
        </w:rPr>
        <w:t>in</w:t>
      </w:r>
      <w:r>
        <w:rPr>
          <w:color w:val="383638"/>
          <w:spacing w:val="41"/>
          <w:w w:val="105"/>
          <w:sz w:val="23"/>
        </w:rPr>
        <w:t> </w:t>
      </w:r>
      <w:r>
        <w:rPr>
          <w:color w:val="383638"/>
          <w:w w:val="105"/>
          <w:sz w:val="23"/>
        </w:rPr>
        <w:t>your</w:t>
      </w:r>
      <w:r>
        <w:rPr>
          <w:color w:val="383638"/>
          <w:spacing w:val="-7"/>
          <w:w w:val="105"/>
          <w:sz w:val="23"/>
        </w:rPr>
        <w:t> </w:t>
      </w:r>
      <w:r>
        <w:rPr>
          <w:color w:val="383638"/>
          <w:w w:val="105"/>
          <w:sz w:val="23"/>
        </w:rPr>
        <w:t>case.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0"/>
        <w:ind w:left="1354" w:right="0" w:firstLine="0"/>
        <w:jc w:val="left"/>
        <w:rPr>
          <w:b/>
          <w:i/>
          <w:sz w:val="33"/>
        </w:rPr>
      </w:pPr>
      <w:r>
        <w:rPr>
          <w:b/>
          <w:i/>
          <w:color w:val="383638"/>
          <w:sz w:val="33"/>
        </w:rPr>
        <w:t>9.5</w:t>
      </w:r>
    </w:p>
    <w:p>
      <w:pPr>
        <w:spacing w:before="43"/>
        <w:ind w:left="1354" w:right="0" w:firstLine="0"/>
        <w:jc w:val="left"/>
        <w:rPr>
          <w:b/>
          <w:sz w:val="28"/>
        </w:rPr>
      </w:pPr>
      <w:r>
        <w:rPr>
          <w:b/>
          <w:color w:val="383638"/>
          <w:sz w:val="28"/>
        </w:rPr>
        <w:t>SUMMARY</w:t>
      </w:r>
    </w:p>
    <w:p>
      <w:pPr>
        <w:pStyle w:val="BodyText"/>
        <w:spacing w:line="235" w:lineRule="auto" w:before="220"/>
        <w:ind w:left="730" w:right="124" w:firstLine="593"/>
        <w:jc w:val="both"/>
      </w:pPr>
      <w:r>
        <w:rPr>
          <w:color w:val="383638"/>
          <w:w w:val="105"/>
        </w:rPr>
        <w:t>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Issue Statement</w:t>
      </w:r>
      <w:r>
        <w:rPr>
          <w:color w:val="525052"/>
          <w:w w:val="105"/>
        </w:rPr>
        <w:t>, </w:t>
      </w:r>
      <w:r>
        <w:rPr>
          <w:color w:val="383638"/>
          <w:w w:val="105"/>
        </w:rPr>
        <w:t>the Statement of the Case, the Summary of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Argument, and Point Headings each hold a special place in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brief</w:t>
      </w:r>
      <w:r>
        <w:rPr>
          <w:color w:val="525052"/>
          <w:w w:val="105"/>
        </w:rPr>
        <w:t>. </w:t>
      </w:r>
      <w:r>
        <w:rPr>
          <w:color w:val="383638"/>
          <w:w w:val="105"/>
        </w:rPr>
        <w:t>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reader and user have different expectations and needs for these elements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than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they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have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Argument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Section.</w:t>
      </w:r>
    </w:p>
    <w:p>
      <w:pPr>
        <w:pStyle w:val="BodyText"/>
        <w:spacing w:line="232" w:lineRule="auto" w:before="5"/>
        <w:ind w:left="678" w:right="125" w:firstLine="416"/>
        <w:jc w:val="both"/>
      </w:pPr>
      <w:r>
        <w:rPr>
          <w:color w:val="383638"/>
          <w:w w:val="110"/>
        </w:rPr>
        <w:t>By writing a good question presented, a brief writer can focu</w:t>
      </w:r>
      <w:r>
        <w:rPr>
          <w:color w:val="525052"/>
          <w:w w:val="110"/>
        </w:rPr>
        <w:t>s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reader on an issue presented from the client</w:t>
      </w:r>
      <w:r>
        <w:rPr>
          <w:color w:val="525052"/>
          <w:w w:val="110"/>
        </w:rPr>
        <w:t>'</w:t>
      </w:r>
      <w:r>
        <w:rPr>
          <w:color w:val="383638"/>
          <w:w w:val="110"/>
        </w:rPr>
        <w:t>s point of view. </w:t>
      </w:r>
      <w:r>
        <w:rPr>
          <w:rFonts w:ascii="Arial" w:hAnsi="Arial"/>
          <w:i/>
          <w:color w:val="383638"/>
          <w:w w:val="110"/>
          <w:sz w:val="20"/>
        </w:rPr>
        <w:t>A </w:t>
      </w:r>
      <w:r>
        <w:rPr>
          <w:color w:val="383638"/>
          <w:w w:val="110"/>
        </w:rPr>
        <w:t>well-writ•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ten fact statement can lead the reader to draw favorable conclusions even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before the reader reaches the argument. An effective argument summary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can give the reader a complete picture of the writer</w:t>
      </w:r>
      <w:r>
        <w:rPr>
          <w:color w:val="525052"/>
          <w:w w:val="110"/>
        </w:rPr>
        <w:t>'</w:t>
      </w:r>
      <w:r>
        <w:rPr>
          <w:color w:val="383638"/>
          <w:w w:val="110"/>
        </w:rPr>
        <w:t>s argum</w:t>
      </w:r>
      <w:r>
        <w:rPr>
          <w:color w:val="525052"/>
          <w:w w:val="110"/>
        </w:rPr>
        <w:t>e</w:t>
      </w:r>
      <w:r>
        <w:rPr>
          <w:color w:val="383638"/>
          <w:w w:val="110"/>
        </w:rPr>
        <w:t>nt, and bet­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ter prepare the reader to absorb the details presented within the argument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it</w:t>
      </w:r>
      <w:r>
        <w:rPr>
          <w:color w:val="525052"/>
          <w:w w:val="110"/>
        </w:rPr>
        <w:t>s</w:t>
      </w:r>
      <w:r>
        <w:rPr>
          <w:color w:val="383638"/>
          <w:w w:val="110"/>
        </w:rPr>
        <w:t>elf. Finally, well-written point headings can help the user to find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reader to understand the writer's arguments. Paying attention to these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"special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team</w:t>
      </w:r>
      <w:r>
        <w:rPr>
          <w:color w:val="525052"/>
          <w:w w:val="110"/>
        </w:rPr>
        <w:t>s</w:t>
      </w:r>
      <w:r>
        <w:rPr>
          <w:color w:val="383638"/>
          <w:w w:val="110"/>
        </w:rPr>
        <w:t>" can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help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writer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craft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winning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brief.</w:t>
      </w:r>
    </w:p>
    <w:p>
      <w:pPr>
        <w:spacing w:after="0" w:line="232" w:lineRule="auto"/>
        <w:jc w:val="both"/>
        <w:sectPr>
          <w:headerReference w:type="even" r:id="rId255"/>
          <w:pgSz w:w="9840" w:h="13990"/>
          <w:pgMar w:header="495" w:footer="0" w:top="1080" w:bottom="0" w:left="1360" w:right="200"/>
          <w:pgNumType w:start="226"/>
        </w:sectPr>
      </w:pP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256"/>
          <w:pgSz w:w="9760" w:h="13990"/>
          <w:pgMar w:header="0" w:footer="0" w:top="240" w:bottom="0" w:left="340" w:right="1080"/>
        </w:sectPr>
      </w:pPr>
    </w:p>
    <w:p>
      <w:pPr>
        <w:pStyle w:val="BodyText"/>
        <w:spacing w:before="2"/>
        <w:rPr>
          <w:sz w:val="76"/>
        </w:rPr>
      </w:pPr>
    </w:p>
    <w:p>
      <w:pPr>
        <w:spacing w:line="677" w:lineRule="exact" w:before="0"/>
        <w:ind w:left="121" w:right="0" w:firstLine="0"/>
        <w:jc w:val="left"/>
        <w:rPr>
          <w:sz w:val="53"/>
        </w:rPr>
      </w:pPr>
      <w:r>
        <w:rPr>
          <w:color w:val="3B383A"/>
          <w:spacing w:val="-35"/>
          <w:w w:val="80"/>
          <w:position w:val="19"/>
          <w:sz w:val="53"/>
        </w:rPr>
        <w:t>!</w:t>
      </w:r>
      <w:r>
        <w:rPr>
          <w:color w:val="3B383A"/>
          <w:spacing w:val="-35"/>
          <w:w w:val="80"/>
          <w:sz w:val="53"/>
        </w:rPr>
        <w:t>..</w:t>
      </w:r>
    </w:p>
    <w:p>
      <w:pPr>
        <w:spacing w:line="387" w:lineRule="exact" w:before="0"/>
        <w:ind w:left="181" w:right="0" w:firstLine="0"/>
        <w:jc w:val="left"/>
        <w:rPr>
          <w:b/>
          <w:sz w:val="48"/>
        </w:rPr>
      </w:pPr>
      <w:r>
        <w:rPr>
          <w:b/>
          <w:color w:val="3B383A"/>
          <w:w w:val="64"/>
          <w:sz w:val="48"/>
        </w:rPr>
        <w:t>i</w:t>
      </w:r>
    </w:p>
    <w:p>
      <w:pPr>
        <w:spacing w:line="567" w:lineRule="exact" w:before="0"/>
        <w:ind w:left="151" w:right="0" w:firstLine="0"/>
        <w:jc w:val="left"/>
        <w:rPr>
          <w:rFonts w:ascii="Arial"/>
          <w:b/>
          <w:sz w:val="14"/>
        </w:rPr>
      </w:pPr>
      <w:r>
        <w:rPr>
          <w:b/>
          <w:color w:val="3B383A"/>
          <w:spacing w:val="-130"/>
          <w:w w:val="70"/>
          <w:position w:val="-34"/>
          <w:sz w:val="53"/>
        </w:rPr>
        <w:t>o</w:t>
      </w:r>
      <w:r>
        <w:rPr>
          <w:rFonts w:ascii="Arial"/>
          <w:b/>
          <w:color w:val="3B383A"/>
          <w:w w:val="101"/>
          <w:sz w:val="14"/>
        </w:rPr>
        <w:t>ftl</w:t>
      </w:r>
    </w:p>
    <w:p>
      <w:pPr>
        <w:spacing w:line="240" w:lineRule="auto" w:before="2"/>
        <w:rPr>
          <w:rFonts w:ascii="Arial"/>
          <w:b/>
          <w:sz w:val="41"/>
        </w:rPr>
      </w:pPr>
      <w:r>
        <w:rPr/>
        <w:br w:type="column"/>
      </w:r>
      <w:r>
        <w:rPr>
          <w:rFonts w:ascii="Arial"/>
          <w:b/>
          <w:sz w:val="41"/>
        </w:rPr>
      </w:r>
    </w:p>
    <w:p>
      <w:pPr>
        <w:spacing w:line="254" w:lineRule="auto" w:before="0"/>
        <w:ind w:left="121" w:right="0" w:firstLine="16"/>
        <w:jc w:val="left"/>
        <w:rPr>
          <w:b/>
          <w:sz w:val="44"/>
        </w:rPr>
      </w:pPr>
      <w:r>
        <w:rPr>
          <w:rFonts w:ascii="Arial"/>
          <w:b/>
          <w:color w:val="3B383A"/>
          <w:sz w:val="40"/>
        </w:rPr>
        <w:t>S</w:t>
      </w:r>
      <w:r>
        <w:rPr>
          <w:rFonts w:ascii="Arial"/>
          <w:b/>
          <w:color w:val="525052"/>
          <w:sz w:val="40"/>
        </w:rPr>
        <w:t>IX </w:t>
      </w:r>
      <w:r>
        <w:rPr>
          <w:rFonts w:ascii="Arial"/>
          <w:b/>
          <w:color w:val="3B383A"/>
          <w:sz w:val="40"/>
        </w:rPr>
        <w:t>D</w:t>
      </w:r>
      <w:r>
        <w:rPr>
          <w:rFonts w:ascii="Arial"/>
          <w:b/>
          <w:color w:val="646467"/>
          <w:sz w:val="40"/>
        </w:rPr>
        <w:t>E</w:t>
      </w:r>
      <w:r>
        <w:rPr>
          <w:rFonts w:ascii="Arial"/>
          <w:b/>
          <w:color w:val="3B383A"/>
          <w:sz w:val="40"/>
        </w:rPr>
        <w:t>G</w:t>
      </w:r>
      <w:r>
        <w:rPr>
          <w:rFonts w:ascii="Arial"/>
          <w:b/>
          <w:color w:val="646467"/>
          <w:sz w:val="40"/>
        </w:rPr>
        <w:t>REE</w:t>
      </w:r>
      <w:r>
        <w:rPr>
          <w:rFonts w:ascii="Arial"/>
          <w:b/>
          <w:color w:val="3B383A"/>
          <w:sz w:val="40"/>
        </w:rPr>
        <w:t>S O</w:t>
      </w:r>
      <w:r>
        <w:rPr>
          <w:rFonts w:ascii="Arial"/>
          <w:b/>
          <w:color w:val="525052"/>
          <w:sz w:val="40"/>
        </w:rPr>
        <w:t>F </w:t>
      </w:r>
      <w:r>
        <w:rPr>
          <w:rFonts w:ascii="Arial"/>
          <w:b/>
          <w:color w:val="3B383A"/>
          <w:sz w:val="40"/>
        </w:rPr>
        <w:t>L</w:t>
      </w:r>
      <w:r>
        <w:rPr>
          <w:rFonts w:ascii="Arial"/>
          <w:b/>
          <w:color w:val="525052"/>
          <w:sz w:val="40"/>
        </w:rPr>
        <w:t>E</w:t>
      </w:r>
      <w:r>
        <w:rPr>
          <w:rFonts w:ascii="Arial"/>
          <w:b/>
          <w:color w:val="3B383A"/>
          <w:sz w:val="40"/>
        </w:rPr>
        <w:t>G</w:t>
      </w:r>
      <w:r>
        <w:rPr>
          <w:rFonts w:ascii="Arial"/>
          <w:b/>
          <w:color w:val="525052"/>
          <w:sz w:val="40"/>
        </w:rPr>
        <w:t>A</w:t>
      </w:r>
      <w:r>
        <w:rPr>
          <w:rFonts w:ascii="Arial"/>
          <w:b/>
          <w:color w:val="3B383A"/>
          <w:sz w:val="40"/>
        </w:rPr>
        <w:t>L</w:t>
      </w:r>
      <w:r>
        <w:rPr>
          <w:rFonts w:ascii="Arial"/>
          <w:b/>
          <w:color w:val="3B383A"/>
          <w:spacing w:val="1"/>
          <w:sz w:val="40"/>
        </w:rPr>
        <w:t> </w:t>
      </w:r>
      <w:r>
        <w:rPr>
          <w:rFonts w:ascii="Arial"/>
          <w:b/>
          <w:color w:val="525052"/>
          <w:sz w:val="41"/>
        </w:rPr>
        <w:t>WRI</w:t>
      </w:r>
      <w:r>
        <w:rPr>
          <w:rFonts w:ascii="Arial"/>
          <w:b/>
          <w:color w:val="3B383A"/>
          <w:sz w:val="41"/>
        </w:rPr>
        <w:t>T</w:t>
      </w:r>
      <w:r>
        <w:rPr>
          <w:rFonts w:ascii="Arial"/>
          <w:b/>
          <w:color w:val="646467"/>
          <w:sz w:val="41"/>
        </w:rPr>
        <w:t>IN</w:t>
      </w:r>
      <w:r>
        <w:rPr>
          <w:rFonts w:ascii="Arial"/>
          <w:b/>
          <w:color w:val="3B383A"/>
          <w:sz w:val="41"/>
        </w:rPr>
        <w:t>G: </w:t>
      </w:r>
      <w:r>
        <w:rPr>
          <w:rFonts w:ascii="Arial"/>
          <w:b/>
          <w:color w:val="646467"/>
          <w:sz w:val="41"/>
        </w:rPr>
        <w:t>MAKIN</w:t>
      </w:r>
      <w:r>
        <w:rPr>
          <w:rFonts w:ascii="Arial"/>
          <w:b/>
          <w:color w:val="3B383A"/>
          <w:sz w:val="41"/>
        </w:rPr>
        <w:t>G</w:t>
      </w:r>
      <w:r>
        <w:rPr>
          <w:rFonts w:ascii="Arial"/>
          <w:b/>
          <w:color w:val="3B383A"/>
          <w:spacing w:val="1"/>
          <w:sz w:val="41"/>
        </w:rPr>
        <w:t> </w:t>
      </w:r>
      <w:r>
        <w:rPr>
          <w:rFonts w:ascii="Arial"/>
          <w:b/>
          <w:color w:val="3B383A"/>
          <w:sz w:val="41"/>
        </w:rPr>
        <w:t>Y</w:t>
      </w:r>
      <w:r>
        <w:rPr>
          <w:rFonts w:ascii="Arial"/>
          <w:b/>
          <w:color w:val="525052"/>
          <w:sz w:val="41"/>
        </w:rPr>
        <w:t>OUR</w:t>
      </w:r>
      <w:r>
        <w:rPr>
          <w:rFonts w:ascii="Arial"/>
          <w:b/>
          <w:color w:val="525052"/>
          <w:spacing w:val="1"/>
          <w:sz w:val="41"/>
        </w:rPr>
        <w:t> </w:t>
      </w:r>
      <w:r>
        <w:rPr>
          <w:b/>
          <w:color w:val="3B383A"/>
          <w:w w:val="95"/>
          <w:sz w:val="43"/>
        </w:rPr>
        <w:t>D</w:t>
      </w:r>
      <w:r>
        <w:rPr>
          <w:b/>
          <w:color w:val="525052"/>
          <w:w w:val="95"/>
          <w:sz w:val="43"/>
        </w:rPr>
        <w:t>O</w:t>
      </w:r>
      <w:r>
        <w:rPr>
          <w:b/>
          <w:color w:val="3B383A"/>
          <w:w w:val="95"/>
          <w:sz w:val="43"/>
        </w:rPr>
        <w:t>CU</w:t>
      </w:r>
      <w:r>
        <w:rPr>
          <w:b/>
          <w:color w:val="646467"/>
          <w:w w:val="95"/>
          <w:sz w:val="43"/>
        </w:rPr>
        <w:t>MEN</w:t>
      </w:r>
      <w:r>
        <w:rPr>
          <w:b/>
          <w:color w:val="3B383A"/>
          <w:w w:val="95"/>
          <w:sz w:val="43"/>
        </w:rPr>
        <w:t>T</w:t>
      </w:r>
      <w:r>
        <w:rPr>
          <w:b/>
          <w:color w:val="3B383A"/>
          <w:spacing w:val="1"/>
          <w:w w:val="95"/>
          <w:sz w:val="43"/>
        </w:rPr>
        <w:t> </w:t>
      </w:r>
      <w:r>
        <w:rPr>
          <w:rFonts w:ascii="Arial"/>
          <w:b/>
          <w:color w:val="646467"/>
          <w:w w:val="95"/>
          <w:sz w:val="40"/>
        </w:rPr>
        <w:t>READER</w:t>
      </w:r>
      <w:r>
        <w:rPr>
          <w:rFonts w:ascii="Arial"/>
          <w:b/>
          <w:color w:val="3B383A"/>
          <w:w w:val="95"/>
          <w:sz w:val="40"/>
        </w:rPr>
        <w:t>-</w:t>
      </w:r>
      <w:r>
        <w:rPr>
          <w:rFonts w:ascii="Arial"/>
          <w:b/>
          <w:color w:val="525052"/>
          <w:w w:val="95"/>
          <w:sz w:val="40"/>
        </w:rPr>
        <w:t>FRIENDL</w:t>
      </w:r>
      <w:r>
        <w:rPr>
          <w:rFonts w:ascii="Arial"/>
          <w:b/>
          <w:color w:val="3B383A"/>
          <w:w w:val="95"/>
          <w:sz w:val="40"/>
        </w:rPr>
        <w:t>Y</w:t>
      </w:r>
      <w:r>
        <w:rPr>
          <w:rFonts w:ascii="Arial"/>
          <w:b/>
          <w:color w:val="3B383A"/>
          <w:spacing w:val="1"/>
          <w:w w:val="95"/>
          <w:sz w:val="40"/>
        </w:rPr>
        <w:t> </w:t>
      </w:r>
      <w:r>
        <w:rPr>
          <w:b/>
          <w:color w:val="3B383A"/>
          <w:sz w:val="43"/>
        </w:rPr>
        <w:t>A</w:t>
      </w:r>
      <w:r>
        <w:rPr>
          <w:b/>
          <w:color w:val="525052"/>
          <w:sz w:val="43"/>
        </w:rPr>
        <w:t>ND</w:t>
      </w:r>
      <w:r>
        <w:rPr>
          <w:b/>
          <w:color w:val="525052"/>
          <w:spacing w:val="14"/>
          <w:sz w:val="43"/>
        </w:rPr>
        <w:t> </w:t>
      </w:r>
      <w:r>
        <w:rPr>
          <w:b/>
          <w:color w:val="3B383A"/>
          <w:sz w:val="44"/>
        </w:rPr>
        <w:t>U</w:t>
      </w:r>
      <w:r>
        <w:rPr>
          <w:b/>
          <w:color w:val="525052"/>
          <w:sz w:val="44"/>
        </w:rPr>
        <w:t>SER</w:t>
      </w:r>
      <w:r>
        <w:rPr>
          <w:b/>
          <w:color w:val="3B383A"/>
          <w:sz w:val="44"/>
        </w:rPr>
        <w:t>-</w:t>
      </w:r>
      <w:r>
        <w:rPr>
          <w:b/>
          <w:color w:val="525052"/>
          <w:sz w:val="44"/>
        </w:rPr>
        <w:t>FR</w:t>
      </w:r>
      <w:r>
        <w:rPr>
          <w:b/>
          <w:color w:val="525052"/>
          <w:spacing w:val="-18"/>
          <w:sz w:val="44"/>
        </w:rPr>
        <w:t> </w:t>
      </w:r>
      <w:r>
        <w:rPr>
          <w:b/>
          <w:color w:val="525052"/>
          <w:sz w:val="44"/>
        </w:rPr>
        <w:t>END</w:t>
      </w:r>
      <w:r>
        <w:rPr>
          <w:b/>
          <w:color w:val="3B383A"/>
          <w:sz w:val="44"/>
        </w:rPr>
        <w:t>LY</w:t>
      </w:r>
    </w:p>
    <w:p>
      <w:pPr>
        <w:pStyle w:val="BodyText"/>
        <w:spacing w:before="6"/>
        <w:rPr>
          <w:b/>
          <w:sz w:val="53"/>
        </w:rPr>
      </w:pPr>
    </w:p>
    <w:p>
      <w:pPr>
        <w:pStyle w:val="ListParagraph"/>
        <w:numPr>
          <w:ilvl w:val="1"/>
          <w:numId w:val="91"/>
        </w:numPr>
        <w:tabs>
          <w:tab w:pos="669" w:val="left" w:leader="none"/>
        </w:tabs>
        <w:spacing w:line="231" w:lineRule="exact" w:before="0" w:after="0"/>
        <w:ind w:left="668" w:right="0" w:hanging="496"/>
        <w:jc w:val="left"/>
        <w:rPr>
          <w:rFonts w:ascii="Arial"/>
          <w:b/>
          <w:color w:val="3B383A"/>
          <w:sz w:val="20"/>
        </w:rPr>
      </w:pPr>
      <w:r>
        <w:rPr>
          <w:color w:val="3B383A"/>
          <w:w w:val="105"/>
          <w:sz w:val="21"/>
        </w:rPr>
        <w:t>Find</w:t>
      </w:r>
      <w:r>
        <w:rPr>
          <w:color w:val="3B383A"/>
          <w:spacing w:val="2"/>
          <w:w w:val="105"/>
          <w:sz w:val="21"/>
        </w:rPr>
        <w:t> </w:t>
      </w:r>
      <w:r>
        <w:rPr>
          <w:color w:val="3B383A"/>
          <w:w w:val="105"/>
          <w:sz w:val="21"/>
        </w:rPr>
        <w:t>Your</w:t>
      </w:r>
      <w:r>
        <w:rPr>
          <w:color w:val="3B383A"/>
          <w:spacing w:val="-10"/>
          <w:w w:val="105"/>
          <w:sz w:val="21"/>
        </w:rPr>
        <w:t> </w:t>
      </w:r>
      <w:r>
        <w:rPr>
          <w:color w:val="3B383A"/>
          <w:w w:val="105"/>
          <w:sz w:val="21"/>
        </w:rPr>
        <w:t>"Kevin Bacon"</w:t>
      </w:r>
    </w:p>
    <w:p>
      <w:pPr>
        <w:pStyle w:val="ListParagraph"/>
        <w:numPr>
          <w:ilvl w:val="1"/>
          <w:numId w:val="91"/>
        </w:numPr>
        <w:tabs>
          <w:tab w:pos="677" w:val="left" w:leader="none"/>
        </w:tabs>
        <w:spacing w:line="221" w:lineRule="exact" w:before="0" w:after="0"/>
        <w:ind w:left="676" w:right="0" w:hanging="504"/>
        <w:jc w:val="left"/>
        <w:rPr>
          <w:rFonts w:ascii="Arial"/>
          <w:b/>
          <w:color w:val="3B383A"/>
          <w:sz w:val="20"/>
        </w:rPr>
      </w:pPr>
      <w:r>
        <w:rPr>
          <w:color w:val="3B383A"/>
          <w:w w:val="105"/>
          <w:sz w:val="21"/>
        </w:rPr>
        <w:t>Install</w:t>
      </w:r>
      <w:r>
        <w:rPr>
          <w:color w:val="3B383A"/>
          <w:spacing w:val="-10"/>
          <w:w w:val="105"/>
          <w:sz w:val="21"/>
        </w:rPr>
        <w:t> </w:t>
      </w:r>
      <w:r>
        <w:rPr>
          <w:color w:val="3B383A"/>
          <w:w w:val="105"/>
          <w:sz w:val="21"/>
        </w:rPr>
        <w:t>a</w:t>
      </w:r>
      <w:r>
        <w:rPr>
          <w:color w:val="3B383A"/>
          <w:spacing w:val="2"/>
          <w:w w:val="105"/>
          <w:sz w:val="21"/>
        </w:rPr>
        <w:t> </w:t>
      </w:r>
      <w:r>
        <w:rPr>
          <w:color w:val="3B383A"/>
          <w:w w:val="105"/>
          <w:sz w:val="21"/>
        </w:rPr>
        <w:t>Symbolic</w:t>
      </w:r>
      <w:r>
        <w:rPr>
          <w:color w:val="3B383A"/>
          <w:spacing w:val="-16"/>
          <w:w w:val="105"/>
          <w:sz w:val="21"/>
        </w:rPr>
        <w:t> </w:t>
      </w:r>
      <w:r>
        <w:rPr>
          <w:color w:val="3B383A"/>
          <w:w w:val="105"/>
          <w:sz w:val="21"/>
        </w:rPr>
        <w:t>Template</w:t>
      </w:r>
      <w:r>
        <w:rPr>
          <w:color w:val="3B383A"/>
          <w:spacing w:val="-3"/>
          <w:w w:val="105"/>
          <w:sz w:val="21"/>
        </w:rPr>
        <w:t> </w:t>
      </w:r>
      <w:r>
        <w:rPr>
          <w:color w:val="3B383A"/>
          <w:w w:val="105"/>
          <w:sz w:val="21"/>
        </w:rPr>
        <w:t>to</w:t>
      </w:r>
      <w:r>
        <w:rPr>
          <w:color w:val="3B383A"/>
          <w:spacing w:val="16"/>
          <w:w w:val="105"/>
          <w:sz w:val="21"/>
        </w:rPr>
        <w:t> </w:t>
      </w:r>
      <w:r>
        <w:rPr>
          <w:color w:val="3B383A"/>
          <w:w w:val="105"/>
          <w:sz w:val="21"/>
        </w:rPr>
        <w:t>Help</w:t>
      </w:r>
      <w:r>
        <w:rPr>
          <w:color w:val="3B383A"/>
          <w:spacing w:val="-9"/>
          <w:w w:val="105"/>
          <w:sz w:val="21"/>
        </w:rPr>
        <w:t> </w:t>
      </w:r>
      <w:r>
        <w:rPr>
          <w:color w:val="3B383A"/>
          <w:w w:val="105"/>
          <w:sz w:val="21"/>
        </w:rPr>
        <w:t>Your</w:t>
      </w:r>
      <w:r>
        <w:rPr>
          <w:color w:val="3B383A"/>
          <w:spacing w:val="-3"/>
          <w:w w:val="105"/>
          <w:sz w:val="21"/>
        </w:rPr>
        <w:t> </w:t>
      </w:r>
      <w:r>
        <w:rPr>
          <w:color w:val="3B383A"/>
          <w:w w:val="105"/>
          <w:sz w:val="21"/>
        </w:rPr>
        <w:t>Reader</w:t>
      </w:r>
      <w:r>
        <w:rPr>
          <w:color w:val="3B383A"/>
          <w:spacing w:val="-2"/>
          <w:w w:val="105"/>
          <w:sz w:val="21"/>
        </w:rPr>
        <w:t> </w:t>
      </w:r>
      <w:r>
        <w:rPr>
          <w:color w:val="3B383A"/>
          <w:w w:val="105"/>
          <w:sz w:val="21"/>
        </w:rPr>
        <w:t>and</w:t>
      </w:r>
      <w:r>
        <w:rPr>
          <w:color w:val="3B383A"/>
          <w:spacing w:val="45"/>
          <w:w w:val="105"/>
          <w:sz w:val="21"/>
        </w:rPr>
        <w:t> </w:t>
      </w:r>
      <w:r>
        <w:rPr>
          <w:color w:val="3B383A"/>
          <w:w w:val="105"/>
          <w:sz w:val="21"/>
        </w:rPr>
        <w:t>Your</w:t>
      </w:r>
      <w:r>
        <w:rPr>
          <w:color w:val="3B383A"/>
          <w:spacing w:val="-1"/>
          <w:w w:val="105"/>
          <w:sz w:val="21"/>
        </w:rPr>
        <w:t> </w:t>
      </w:r>
      <w:r>
        <w:rPr>
          <w:color w:val="3B383A"/>
          <w:w w:val="105"/>
          <w:sz w:val="21"/>
        </w:rPr>
        <w:t>User</w:t>
      </w:r>
    </w:p>
    <w:p>
      <w:pPr>
        <w:pStyle w:val="ListParagraph"/>
        <w:numPr>
          <w:ilvl w:val="2"/>
          <w:numId w:val="91"/>
        </w:numPr>
        <w:tabs>
          <w:tab w:pos="1351" w:val="left" w:leader="none"/>
        </w:tabs>
        <w:spacing w:line="207" w:lineRule="exact" w:before="0" w:after="0"/>
        <w:ind w:left="1350" w:right="0" w:hanging="686"/>
        <w:jc w:val="left"/>
        <w:rPr>
          <w:sz w:val="20"/>
        </w:rPr>
      </w:pPr>
      <w:r>
        <w:rPr>
          <w:color w:val="3B383A"/>
          <w:w w:val="105"/>
          <w:sz w:val="20"/>
        </w:rPr>
        <w:t>Topic</w:t>
      </w:r>
      <w:r>
        <w:rPr>
          <w:color w:val="3B383A"/>
          <w:spacing w:val="-15"/>
          <w:w w:val="105"/>
          <w:sz w:val="20"/>
        </w:rPr>
        <w:t> </w:t>
      </w:r>
      <w:r>
        <w:rPr>
          <w:color w:val="3B383A"/>
          <w:w w:val="105"/>
          <w:sz w:val="20"/>
        </w:rPr>
        <w:t>Sentences</w:t>
      </w:r>
    </w:p>
    <w:p>
      <w:pPr>
        <w:pStyle w:val="ListParagraph"/>
        <w:numPr>
          <w:ilvl w:val="3"/>
          <w:numId w:val="91"/>
        </w:numPr>
        <w:tabs>
          <w:tab w:pos="1698" w:val="left" w:leader="none"/>
        </w:tabs>
        <w:spacing w:line="224" w:lineRule="exact" w:before="0" w:after="0"/>
        <w:ind w:left="1697" w:right="0" w:hanging="342"/>
        <w:jc w:val="left"/>
        <w:rPr>
          <w:b/>
          <w:color w:val="3B383A"/>
          <w:sz w:val="22"/>
        </w:rPr>
      </w:pPr>
      <w:r>
        <w:rPr>
          <w:color w:val="3B383A"/>
          <w:w w:val="105"/>
          <w:sz w:val="20"/>
        </w:rPr>
        <w:t>including</w:t>
      </w:r>
      <w:r>
        <w:rPr>
          <w:color w:val="3B383A"/>
          <w:spacing w:val="5"/>
          <w:w w:val="105"/>
          <w:sz w:val="20"/>
        </w:rPr>
        <w:t> </w:t>
      </w:r>
      <w:r>
        <w:rPr>
          <w:color w:val="3B383A"/>
          <w:w w:val="105"/>
          <w:sz w:val="20"/>
        </w:rPr>
        <w:t>the</w:t>
      </w:r>
      <w:r>
        <w:rPr>
          <w:color w:val="3B383A"/>
          <w:spacing w:val="50"/>
          <w:w w:val="105"/>
          <w:sz w:val="20"/>
        </w:rPr>
        <w:t> </w:t>
      </w:r>
      <w:r>
        <w:rPr>
          <w:color w:val="3B383A"/>
          <w:w w:val="105"/>
          <w:sz w:val="20"/>
        </w:rPr>
        <w:t>Phrase-That-Pays</w:t>
      </w:r>
      <w:r>
        <w:rPr>
          <w:color w:val="3B383A"/>
          <w:spacing w:val="-14"/>
          <w:w w:val="105"/>
          <w:sz w:val="20"/>
        </w:rPr>
        <w:t> </w:t>
      </w:r>
      <w:r>
        <w:rPr>
          <w:color w:val="3B383A"/>
          <w:w w:val="105"/>
          <w:sz w:val="20"/>
        </w:rPr>
        <w:t>In</w:t>
      </w:r>
      <w:r>
        <w:rPr>
          <w:color w:val="3B383A"/>
          <w:spacing w:val="20"/>
          <w:w w:val="105"/>
          <w:sz w:val="20"/>
        </w:rPr>
        <w:t> </w:t>
      </w:r>
      <w:r>
        <w:rPr>
          <w:color w:val="3B383A"/>
          <w:w w:val="105"/>
          <w:sz w:val="20"/>
        </w:rPr>
        <w:t>Each</w:t>
      </w:r>
      <w:r>
        <w:rPr>
          <w:color w:val="3B383A"/>
          <w:spacing w:val="-2"/>
          <w:w w:val="105"/>
          <w:sz w:val="20"/>
        </w:rPr>
        <w:t> </w:t>
      </w:r>
      <w:r>
        <w:rPr>
          <w:color w:val="3B383A"/>
          <w:w w:val="105"/>
          <w:sz w:val="20"/>
        </w:rPr>
        <w:t>Topic</w:t>
      </w:r>
      <w:r>
        <w:rPr>
          <w:color w:val="3B383A"/>
          <w:spacing w:val="-3"/>
          <w:w w:val="105"/>
          <w:sz w:val="20"/>
        </w:rPr>
        <w:t> </w:t>
      </w:r>
      <w:r>
        <w:rPr>
          <w:color w:val="3B383A"/>
          <w:w w:val="105"/>
          <w:sz w:val="20"/>
        </w:rPr>
        <w:t>Sent</w:t>
      </w:r>
      <w:r>
        <w:rPr>
          <w:color w:val="525052"/>
          <w:w w:val="105"/>
          <w:sz w:val="20"/>
        </w:rPr>
        <w:t>e</w:t>
      </w:r>
      <w:r>
        <w:rPr>
          <w:color w:val="3B383A"/>
          <w:w w:val="105"/>
          <w:sz w:val="20"/>
        </w:rPr>
        <w:t>nce</w:t>
      </w:r>
    </w:p>
    <w:p>
      <w:pPr>
        <w:pStyle w:val="ListParagraph"/>
        <w:numPr>
          <w:ilvl w:val="3"/>
          <w:numId w:val="91"/>
        </w:numPr>
        <w:tabs>
          <w:tab w:pos="1703" w:val="left" w:leader="none"/>
        </w:tabs>
        <w:spacing w:line="220" w:lineRule="exact" w:before="0" w:after="0"/>
        <w:ind w:left="1702" w:right="0" w:hanging="342"/>
        <w:jc w:val="left"/>
        <w:rPr>
          <w:b/>
          <w:color w:val="3B383A"/>
          <w:sz w:val="21"/>
        </w:rPr>
      </w:pPr>
      <w:r>
        <w:rPr>
          <w:color w:val="3B383A"/>
          <w:w w:val="105"/>
          <w:sz w:val="20"/>
        </w:rPr>
        <w:t>Using Legally Significant</w:t>
      </w:r>
      <w:r>
        <w:rPr>
          <w:color w:val="3B383A"/>
          <w:spacing w:val="9"/>
          <w:w w:val="105"/>
          <w:sz w:val="20"/>
        </w:rPr>
        <w:t> </w:t>
      </w:r>
      <w:r>
        <w:rPr>
          <w:color w:val="3B383A"/>
          <w:w w:val="105"/>
          <w:sz w:val="20"/>
        </w:rPr>
        <w:t>Categories</w:t>
      </w:r>
      <w:r>
        <w:rPr>
          <w:color w:val="3B383A"/>
          <w:spacing w:val="2"/>
          <w:w w:val="105"/>
          <w:sz w:val="20"/>
        </w:rPr>
        <w:t> </w:t>
      </w:r>
      <w:r>
        <w:rPr>
          <w:color w:val="3B383A"/>
          <w:w w:val="105"/>
          <w:sz w:val="20"/>
        </w:rPr>
        <w:t>in</w:t>
      </w:r>
      <w:r>
        <w:rPr>
          <w:color w:val="3B383A"/>
          <w:spacing w:val="7"/>
          <w:w w:val="105"/>
          <w:sz w:val="20"/>
        </w:rPr>
        <w:t> </w:t>
      </w:r>
      <w:r>
        <w:rPr>
          <w:color w:val="3B383A"/>
          <w:w w:val="105"/>
          <w:sz w:val="20"/>
        </w:rPr>
        <w:t>Topic</w:t>
      </w:r>
      <w:r>
        <w:rPr>
          <w:color w:val="3B383A"/>
          <w:spacing w:val="-22"/>
          <w:w w:val="105"/>
          <w:sz w:val="20"/>
        </w:rPr>
        <w:t> </w:t>
      </w:r>
      <w:r>
        <w:rPr>
          <w:color w:val="3B383A"/>
          <w:w w:val="105"/>
          <w:sz w:val="20"/>
        </w:rPr>
        <w:t>Sent</w:t>
      </w:r>
      <w:r>
        <w:rPr>
          <w:color w:val="525052"/>
          <w:w w:val="105"/>
          <w:sz w:val="20"/>
        </w:rPr>
        <w:t>e</w:t>
      </w:r>
      <w:r>
        <w:rPr>
          <w:color w:val="3B383A"/>
          <w:w w:val="105"/>
          <w:sz w:val="20"/>
        </w:rPr>
        <w:t>nces</w:t>
      </w:r>
    </w:p>
    <w:p>
      <w:pPr>
        <w:pStyle w:val="ListParagraph"/>
        <w:numPr>
          <w:ilvl w:val="2"/>
          <w:numId w:val="91"/>
        </w:numPr>
        <w:tabs>
          <w:tab w:pos="1363" w:val="left" w:leader="none"/>
        </w:tabs>
        <w:spacing w:line="216" w:lineRule="exact" w:before="0" w:after="0"/>
        <w:ind w:left="1362" w:right="0" w:hanging="688"/>
        <w:jc w:val="left"/>
        <w:rPr>
          <w:sz w:val="20"/>
        </w:rPr>
      </w:pPr>
      <w:r>
        <w:rPr>
          <w:color w:val="3B383A"/>
          <w:w w:val="110"/>
          <w:sz w:val="20"/>
        </w:rPr>
        <w:t>Headings</w:t>
      </w:r>
    </w:p>
    <w:p>
      <w:pPr>
        <w:pStyle w:val="ListParagraph"/>
        <w:numPr>
          <w:ilvl w:val="2"/>
          <w:numId w:val="91"/>
        </w:numPr>
        <w:tabs>
          <w:tab w:pos="1364" w:val="left" w:leader="none"/>
        </w:tabs>
        <w:spacing w:line="217" w:lineRule="exact" w:before="0" w:after="0"/>
        <w:ind w:left="1363" w:right="0" w:hanging="689"/>
        <w:jc w:val="left"/>
        <w:rPr>
          <w:sz w:val="20"/>
        </w:rPr>
      </w:pPr>
      <w:r>
        <w:rPr>
          <w:color w:val="3B383A"/>
          <w:w w:val="105"/>
          <w:sz w:val="20"/>
        </w:rPr>
        <w:t>Providing</w:t>
      </w:r>
      <w:r>
        <w:rPr>
          <w:color w:val="3B383A"/>
          <w:spacing w:val="-8"/>
          <w:w w:val="105"/>
          <w:sz w:val="20"/>
        </w:rPr>
        <w:t> </w:t>
      </w:r>
      <w:r>
        <w:rPr>
          <w:color w:val="3B383A"/>
          <w:w w:val="105"/>
          <w:sz w:val="20"/>
        </w:rPr>
        <w:t>Context</w:t>
      </w:r>
      <w:r>
        <w:rPr>
          <w:color w:val="3B383A"/>
          <w:spacing w:val="4"/>
          <w:w w:val="105"/>
          <w:sz w:val="20"/>
        </w:rPr>
        <w:t> </w:t>
      </w:r>
      <w:r>
        <w:rPr>
          <w:color w:val="3B383A"/>
          <w:w w:val="105"/>
          <w:sz w:val="20"/>
        </w:rPr>
        <w:t>with</w:t>
      </w:r>
      <w:r>
        <w:rPr>
          <w:color w:val="3B383A"/>
          <w:spacing w:val="6"/>
          <w:w w:val="105"/>
          <w:sz w:val="20"/>
        </w:rPr>
        <w:t> </w:t>
      </w:r>
      <w:r>
        <w:rPr>
          <w:color w:val="3B383A"/>
          <w:w w:val="105"/>
          <w:sz w:val="20"/>
        </w:rPr>
        <w:t>Legal</w:t>
      </w:r>
      <w:r>
        <w:rPr>
          <w:color w:val="3B383A"/>
          <w:spacing w:val="17"/>
          <w:w w:val="105"/>
          <w:sz w:val="20"/>
        </w:rPr>
        <w:t> </w:t>
      </w:r>
      <w:r>
        <w:rPr>
          <w:color w:val="3B383A"/>
          <w:w w:val="105"/>
          <w:sz w:val="20"/>
        </w:rPr>
        <w:t>Backstory</w:t>
      </w:r>
      <w:r>
        <w:rPr>
          <w:color w:val="3B383A"/>
          <w:spacing w:val="16"/>
          <w:w w:val="105"/>
          <w:sz w:val="20"/>
        </w:rPr>
        <w:t> </w:t>
      </w:r>
      <w:r>
        <w:rPr>
          <w:color w:val="3B383A"/>
          <w:w w:val="105"/>
          <w:sz w:val="20"/>
        </w:rPr>
        <w:t>and</w:t>
      </w:r>
      <w:r>
        <w:rPr>
          <w:color w:val="3B383A"/>
          <w:spacing w:val="47"/>
          <w:w w:val="105"/>
          <w:sz w:val="20"/>
        </w:rPr>
        <w:t> </w:t>
      </w:r>
      <w:r>
        <w:rPr>
          <w:color w:val="3B383A"/>
          <w:w w:val="105"/>
          <w:sz w:val="20"/>
        </w:rPr>
        <w:t>a</w:t>
      </w:r>
      <w:r>
        <w:rPr>
          <w:color w:val="3B383A"/>
          <w:spacing w:val="25"/>
          <w:w w:val="105"/>
          <w:sz w:val="20"/>
        </w:rPr>
        <w:t> </w:t>
      </w:r>
      <w:r>
        <w:rPr>
          <w:color w:val="3B383A"/>
          <w:w w:val="105"/>
          <w:sz w:val="20"/>
        </w:rPr>
        <w:t>Roadmap</w:t>
      </w:r>
    </w:p>
    <w:p>
      <w:pPr>
        <w:pStyle w:val="ListParagraph"/>
        <w:numPr>
          <w:ilvl w:val="3"/>
          <w:numId w:val="91"/>
        </w:numPr>
        <w:tabs>
          <w:tab w:pos="1701" w:val="left" w:leader="none"/>
        </w:tabs>
        <w:spacing w:line="212" w:lineRule="exact" w:before="0" w:after="0"/>
        <w:ind w:left="1700" w:right="0" w:hanging="342"/>
        <w:jc w:val="left"/>
        <w:rPr>
          <w:rFonts w:ascii="Arial"/>
          <w:b/>
          <w:color w:val="3B383A"/>
          <w:sz w:val="20"/>
        </w:rPr>
      </w:pPr>
      <w:r>
        <w:rPr>
          <w:color w:val="3B383A"/>
          <w:w w:val="105"/>
          <w:sz w:val="20"/>
        </w:rPr>
        <w:t>What's</w:t>
      </w:r>
      <w:r>
        <w:rPr>
          <w:color w:val="3B383A"/>
          <w:spacing w:val="1"/>
          <w:w w:val="105"/>
          <w:sz w:val="20"/>
        </w:rPr>
        <w:t> </w:t>
      </w:r>
      <w:r>
        <w:rPr>
          <w:color w:val="3B383A"/>
          <w:w w:val="105"/>
          <w:sz w:val="20"/>
        </w:rPr>
        <w:t>Already</w:t>
      </w:r>
      <w:r>
        <w:rPr>
          <w:color w:val="3B383A"/>
          <w:spacing w:val="14"/>
          <w:w w:val="105"/>
          <w:sz w:val="20"/>
        </w:rPr>
        <w:t> </w:t>
      </w:r>
      <w:r>
        <w:rPr>
          <w:color w:val="3B383A"/>
          <w:w w:val="105"/>
          <w:sz w:val="20"/>
        </w:rPr>
        <w:t>Happened:</w:t>
      </w:r>
      <w:r>
        <w:rPr>
          <w:color w:val="3B383A"/>
          <w:spacing w:val="-10"/>
          <w:w w:val="105"/>
          <w:sz w:val="20"/>
        </w:rPr>
        <w:t> </w:t>
      </w:r>
      <w:r>
        <w:rPr>
          <w:color w:val="3B383A"/>
          <w:w w:val="105"/>
          <w:sz w:val="20"/>
        </w:rPr>
        <w:t>The</w:t>
      </w:r>
      <w:r>
        <w:rPr>
          <w:color w:val="3B383A"/>
          <w:spacing w:val="16"/>
          <w:w w:val="105"/>
          <w:sz w:val="20"/>
        </w:rPr>
        <w:t> </w:t>
      </w:r>
      <w:r>
        <w:rPr>
          <w:color w:val="3B383A"/>
          <w:w w:val="105"/>
          <w:sz w:val="20"/>
        </w:rPr>
        <w:t>Legal</w:t>
      </w:r>
      <w:r>
        <w:rPr>
          <w:color w:val="3B383A"/>
          <w:spacing w:val="9"/>
          <w:w w:val="105"/>
          <w:sz w:val="20"/>
        </w:rPr>
        <w:t> </w:t>
      </w:r>
      <w:r>
        <w:rPr>
          <w:color w:val="3B383A"/>
          <w:w w:val="105"/>
          <w:sz w:val="20"/>
        </w:rPr>
        <w:t>Backstory</w:t>
      </w:r>
    </w:p>
    <w:p>
      <w:pPr>
        <w:pStyle w:val="ListParagraph"/>
        <w:numPr>
          <w:ilvl w:val="3"/>
          <w:numId w:val="91"/>
        </w:numPr>
        <w:tabs>
          <w:tab w:pos="1701" w:val="left" w:leader="none"/>
        </w:tabs>
        <w:spacing w:line="227" w:lineRule="exact" w:before="0" w:after="0"/>
        <w:ind w:left="1700" w:right="0" w:hanging="330"/>
        <w:jc w:val="left"/>
        <w:rPr>
          <w:b/>
          <w:color w:val="3B383A"/>
          <w:sz w:val="21"/>
        </w:rPr>
      </w:pPr>
      <w:r>
        <w:rPr>
          <w:color w:val="3B383A"/>
          <w:w w:val="105"/>
          <w:sz w:val="20"/>
        </w:rPr>
        <w:t>What's</w:t>
      </w:r>
      <w:r>
        <w:rPr>
          <w:color w:val="3B383A"/>
          <w:spacing w:val="13"/>
          <w:w w:val="105"/>
          <w:sz w:val="20"/>
        </w:rPr>
        <w:t> </w:t>
      </w:r>
      <w:r>
        <w:rPr>
          <w:color w:val="3B383A"/>
          <w:w w:val="105"/>
          <w:sz w:val="20"/>
        </w:rPr>
        <w:t>Coming</w:t>
      </w:r>
      <w:r>
        <w:rPr>
          <w:color w:val="3B383A"/>
          <w:spacing w:val="29"/>
          <w:w w:val="105"/>
          <w:sz w:val="20"/>
        </w:rPr>
        <w:t> </w:t>
      </w:r>
      <w:r>
        <w:rPr>
          <w:color w:val="3B383A"/>
          <w:w w:val="105"/>
          <w:sz w:val="20"/>
        </w:rPr>
        <w:t>Next</w:t>
      </w:r>
      <w:r>
        <w:rPr>
          <w:color w:val="525052"/>
          <w:w w:val="105"/>
          <w:sz w:val="20"/>
        </w:rPr>
        <w:t>:</w:t>
      </w:r>
      <w:r>
        <w:rPr>
          <w:color w:val="525052"/>
          <w:spacing w:val="-1"/>
          <w:w w:val="105"/>
          <w:sz w:val="20"/>
        </w:rPr>
        <w:t> </w:t>
      </w:r>
      <w:r>
        <w:rPr>
          <w:color w:val="3B383A"/>
          <w:w w:val="105"/>
          <w:sz w:val="20"/>
        </w:rPr>
        <w:t>Th</w:t>
      </w:r>
      <w:r>
        <w:rPr>
          <w:color w:val="525052"/>
          <w:w w:val="105"/>
          <w:sz w:val="20"/>
        </w:rPr>
        <w:t>e</w:t>
      </w:r>
      <w:r>
        <w:rPr>
          <w:color w:val="525052"/>
          <w:spacing w:val="38"/>
          <w:w w:val="105"/>
          <w:sz w:val="20"/>
        </w:rPr>
        <w:t> </w:t>
      </w:r>
      <w:r>
        <w:rPr>
          <w:color w:val="3B383A"/>
          <w:w w:val="105"/>
          <w:sz w:val="20"/>
        </w:rPr>
        <w:t>Roadmap</w:t>
      </w:r>
    </w:p>
    <w:p>
      <w:pPr>
        <w:pStyle w:val="ListParagraph"/>
        <w:numPr>
          <w:ilvl w:val="2"/>
          <w:numId w:val="91"/>
        </w:numPr>
        <w:tabs>
          <w:tab w:pos="1372" w:val="left" w:leader="none"/>
        </w:tabs>
        <w:spacing w:line="216" w:lineRule="exact" w:before="0" w:after="0"/>
        <w:ind w:left="1371" w:right="0" w:hanging="697"/>
        <w:jc w:val="left"/>
        <w:rPr>
          <w:sz w:val="20"/>
        </w:rPr>
      </w:pPr>
      <w:r>
        <w:rPr>
          <w:color w:val="3B383A"/>
          <w:w w:val="110"/>
          <w:sz w:val="20"/>
        </w:rPr>
        <w:t>Explicit</w:t>
      </w:r>
      <w:r>
        <w:rPr>
          <w:color w:val="3B383A"/>
          <w:spacing w:val="-9"/>
          <w:w w:val="110"/>
          <w:sz w:val="20"/>
        </w:rPr>
        <w:t> </w:t>
      </w:r>
      <w:r>
        <w:rPr>
          <w:color w:val="3B383A"/>
          <w:w w:val="110"/>
          <w:sz w:val="20"/>
        </w:rPr>
        <w:t>Connection-Conclu</w:t>
      </w:r>
      <w:r>
        <w:rPr>
          <w:color w:val="525052"/>
          <w:w w:val="110"/>
          <w:sz w:val="20"/>
        </w:rPr>
        <w:t>s</w:t>
      </w:r>
      <w:r>
        <w:rPr>
          <w:color w:val="3B383A"/>
          <w:w w:val="110"/>
          <w:sz w:val="20"/>
        </w:rPr>
        <w:t>ion</w:t>
      </w:r>
      <w:r>
        <w:rPr>
          <w:color w:val="525052"/>
          <w:w w:val="110"/>
          <w:sz w:val="20"/>
        </w:rPr>
        <w:t>s</w:t>
      </w:r>
    </w:p>
    <w:p>
      <w:pPr>
        <w:pStyle w:val="ListParagraph"/>
        <w:numPr>
          <w:ilvl w:val="1"/>
          <w:numId w:val="91"/>
        </w:numPr>
        <w:tabs>
          <w:tab w:pos="679" w:val="left" w:leader="none"/>
        </w:tabs>
        <w:spacing w:line="227" w:lineRule="exact" w:before="0" w:after="0"/>
        <w:ind w:left="678" w:right="0" w:hanging="487"/>
        <w:jc w:val="left"/>
        <w:rPr>
          <w:rFonts w:ascii="Arial"/>
          <w:b/>
          <w:color w:val="3B383A"/>
          <w:sz w:val="21"/>
        </w:rPr>
      </w:pPr>
      <w:r>
        <w:rPr>
          <w:color w:val="3B383A"/>
          <w:w w:val="105"/>
          <w:sz w:val="21"/>
        </w:rPr>
        <w:t>Writing</w:t>
      </w:r>
      <w:r>
        <w:rPr>
          <w:color w:val="3B383A"/>
          <w:spacing w:val="-1"/>
          <w:w w:val="105"/>
          <w:sz w:val="21"/>
        </w:rPr>
        <w:t> </w:t>
      </w:r>
      <w:r>
        <w:rPr>
          <w:color w:val="3B383A"/>
          <w:w w:val="105"/>
          <w:sz w:val="21"/>
        </w:rPr>
        <w:t>for</w:t>
      </w:r>
      <w:r>
        <w:rPr>
          <w:color w:val="3B383A"/>
          <w:spacing w:val="9"/>
          <w:w w:val="105"/>
          <w:sz w:val="21"/>
        </w:rPr>
        <w:t> </w:t>
      </w:r>
      <w:r>
        <w:rPr>
          <w:color w:val="3B383A"/>
          <w:w w:val="105"/>
          <w:sz w:val="21"/>
        </w:rPr>
        <w:t>the</w:t>
      </w:r>
      <w:r>
        <w:rPr>
          <w:color w:val="3B383A"/>
          <w:spacing w:val="42"/>
          <w:w w:val="105"/>
          <w:sz w:val="21"/>
        </w:rPr>
        <w:t> </w:t>
      </w:r>
      <w:r>
        <w:rPr>
          <w:color w:val="3B383A"/>
          <w:w w:val="105"/>
          <w:sz w:val="21"/>
        </w:rPr>
        <w:t>Digital</w:t>
      </w:r>
      <w:r>
        <w:rPr>
          <w:color w:val="3B383A"/>
          <w:spacing w:val="13"/>
          <w:w w:val="105"/>
          <w:sz w:val="21"/>
        </w:rPr>
        <w:t> </w:t>
      </w:r>
      <w:r>
        <w:rPr>
          <w:color w:val="3B383A"/>
          <w:w w:val="105"/>
          <w:sz w:val="21"/>
        </w:rPr>
        <w:t>R</w:t>
      </w:r>
      <w:r>
        <w:rPr>
          <w:color w:val="525052"/>
          <w:w w:val="105"/>
          <w:sz w:val="21"/>
        </w:rPr>
        <w:t>e</w:t>
      </w:r>
      <w:r>
        <w:rPr>
          <w:color w:val="3B383A"/>
          <w:w w:val="105"/>
          <w:sz w:val="21"/>
        </w:rPr>
        <w:t>ader</w:t>
      </w:r>
    </w:p>
    <w:p>
      <w:pPr>
        <w:pStyle w:val="ListParagraph"/>
        <w:numPr>
          <w:ilvl w:val="1"/>
          <w:numId w:val="91"/>
        </w:numPr>
        <w:tabs>
          <w:tab w:pos="670" w:val="left" w:leader="none"/>
        </w:tabs>
        <w:spacing w:line="230" w:lineRule="exact" w:before="0" w:after="0"/>
        <w:ind w:left="669" w:right="0" w:hanging="477"/>
        <w:jc w:val="left"/>
        <w:rPr>
          <w:rFonts w:ascii="Arial"/>
          <w:b/>
          <w:color w:val="3B383A"/>
          <w:sz w:val="20"/>
        </w:rPr>
      </w:pPr>
      <w:r>
        <w:rPr>
          <w:color w:val="3B383A"/>
          <w:w w:val="115"/>
          <w:sz w:val="20"/>
        </w:rPr>
        <w:t>Summary</w:t>
      </w:r>
    </w:p>
    <w:p>
      <w:pPr>
        <w:spacing w:before="93"/>
        <w:ind w:left="121" w:right="0" w:firstLine="0"/>
        <w:jc w:val="left"/>
        <w:rPr>
          <w:sz w:val="19"/>
        </w:rPr>
      </w:pPr>
      <w:r>
        <w:rPr/>
        <w:br w:type="column"/>
      </w:r>
      <w:r>
        <w:rPr>
          <w:color w:val="3B383A"/>
          <w:w w:val="105"/>
          <w:sz w:val="19"/>
        </w:rPr>
        <w:t>227</w:t>
      </w:r>
    </w:p>
    <w:p>
      <w:pPr>
        <w:spacing w:after="0"/>
        <w:jc w:val="left"/>
        <w:rPr>
          <w:sz w:val="19"/>
        </w:rPr>
        <w:sectPr>
          <w:type w:val="continuous"/>
          <w:pgSz w:w="9760" w:h="13990"/>
          <w:pgMar w:header="0" w:footer="0" w:top="340" w:bottom="280" w:left="340" w:right="1080"/>
          <w:cols w:num="3" w:equalWidth="0">
            <w:col w:w="383" w:space="90"/>
            <w:col w:w="6633" w:space="693"/>
            <w:col w:w="541"/>
          </w:cols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35" w:lineRule="auto" w:before="95"/>
        <w:ind w:left="105" w:right="696" w:firstLine="555"/>
        <w:jc w:val="right"/>
      </w:pPr>
      <w:r>
        <w:rPr>
          <w:color w:val="3B383A"/>
          <w:w w:val="110"/>
        </w:rPr>
        <w:t>A</w:t>
      </w:r>
      <w:r>
        <w:rPr>
          <w:color w:val="3B383A"/>
          <w:spacing w:val="-22"/>
          <w:w w:val="110"/>
        </w:rPr>
        <w:t> </w:t>
      </w:r>
      <w:r>
        <w:rPr>
          <w:color w:val="3B383A"/>
          <w:w w:val="110"/>
        </w:rPr>
        <w:t>brief</w:t>
      </w:r>
      <w:r>
        <w:rPr>
          <w:color w:val="3B383A"/>
          <w:spacing w:val="12"/>
          <w:w w:val="110"/>
        </w:rPr>
        <w:t> </w:t>
      </w:r>
      <w:r>
        <w:rPr>
          <w:color w:val="3B383A"/>
          <w:w w:val="110"/>
        </w:rPr>
        <w:t>is</w:t>
      </w:r>
      <w:r>
        <w:rPr>
          <w:color w:val="3B383A"/>
          <w:spacing w:val="-28"/>
          <w:w w:val="110"/>
        </w:rPr>
        <w:t> </w:t>
      </w:r>
      <w:r>
        <w:rPr>
          <w:color w:val="3B383A"/>
          <w:w w:val="110"/>
        </w:rPr>
        <w:t>a functional</w:t>
      </w:r>
      <w:r>
        <w:rPr>
          <w:color w:val="3B383A"/>
          <w:spacing w:val="-10"/>
          <w:w w:val="110"/>
        </w:rPr>
        <w:t> </w:t>
      </w:r>
      <w:r>
        <w:rPr>
          <w:color w:val="3B383A"/>
          <w:w w:val="110"/>
        </w:rPr>
        <w:t>document,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and</w:t>
      </w:r>
      <w:r>
        <w:rPr>
          <w:color w:val="3B383A"/>
          <w:spacing w:val="-2"/>
          <w:w w:val="110"/>
        </w:rPr>
        <w:t> </w:t>
      </w:r>
      <w:r>
        <w:rPr>
          <w:color w:val="3B383A"/>
          <w:w w:val="110"/>
        </w:rPr>
        <w:t>it</w:t>
      </w:r>
      <w:r>
        <w:rPr>
          <w:color w:val="3B383A"/>
          <w:spacing w:val="4"/>
          <w:w w:val="110"/>
        </w:rPr>
        <w:t> </w:t>
      </w:r>
      <w:r>
        <w:rPr>
          <w:color w:val="3B383A"/>
          <w:w w:val="110"/>
        </w:rPr>
        <w:t>functions</w:t>
      </w:r>
      <w:r>
        <w:rPr>
          <w:color w:val="3B383A"/>
          <w:spacing w:val="-17"/>
          <w:w w:val="110"/>
        </w:rPr>
        <w:t> </w:t>
      </w:r>
      <w:r>
        <w:rPr>
          <w:color w:val="3B383A"/>
          <w:w w:val="110"/>
        </w:rPr>
        <w:t>in</w:t>
      </w:r>
      <w:r>
        <w:rPr>
          <w:color w:val="3B383A"/>
          <w:spacing w:val="-7"/>
          <w:w w:val="110"/>
        </w:rPr>
        <w:t> </w:t>
      </w:r>
      <w:r>
        <w:rPr>
          <w:color w:val="3B383A"/>
          <w:w w:val="110"/>
        </w:rPr>
        <w:t>different</w:t>
      </w:r>
      <w:r>
        <w:rPr>
          <w:color w:val="3B383A"/>
          <w:spacing w:val="-12"/>
          <w:w w:val="110"/>
        </w:rPr>
        <w:t> </w:t>
      </w:r>
      <w:r>
        <w:rPr>
          <w:color w:val="3B383A"/>
          <w:w w:val="110"/>
        </w:rPr>
        <w:t>ways</w:t>
      </w:r>
      <w:r>
        <w:rPr>
          <w:color w:val="3B383A"/>
          <w:spacing w:val="-22"/>
          <w:w w:val="110"/>
        </w:rPr>
        <w:t> </w:t>
      </w:r>
      <w:r>
        <w:rPr>
          <w:color w:val="3B383A"/>
          <w:w w:val="110"/>
        </w:rPr>
        <w:t>at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d</w:t>
      </w:r>
      <w:r>
        <w:rPr>
          <w:color w:val="525052"/>
          <w:w w:val="105"/>
        </w:rPr>
        <w:t>i</w:t>
      </w:r>
      <w:r>
        <w:rPr>
          <w:color w:val="3B383A"/>
          <w:w w:val="105"/>
        </w:rPr>
        <w:t>fferent stages in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the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decision-making process</w:t>
      </w:r>
      <w:r>
        <w:rPr>
          <w:color w:val="525052"/>
          <w:w w:val="105"/>
        </w:rPr>
        <w:t>. </w:t>
      </w:r>
      <w:r>
        <w:rPr>
          <w:color w:val="3B383A"/>
          <w:w w:val="105"/>
        </w:rPr>
        <w:t>As noted earlier, the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judges</w:t>
      </w:r>
      <w:r>
        <w:rPr>
          <w:color w:val="3B383A"/>
          <w:spacing w:val="-58"/>
          <w:w w:val="105"/>
        </w:rPr>
        <w:t> </w:t>
      </w:r>
      <w:r>
        <w:rPr>
          <w:color w:val="3B383A"/>
          <w:w w:val="105"/>
          <w:sz w:val="21"/>
        </w:rPr>
        <w:t>and</w:t>
      </w:r>
      <w:r>
        <w:rPr>
          <w:color w:val="3B383A"/>
          <w:spacing w:val="1"/>
          <w:w w:val="105"/>
          <w:sz w:val="21"/>
        </w:rPr>
        <w:t> </w:t>
      </w:r>
      <w:r>
        <w:rPr>
          <w:color w:val="3B383A"/>
          <w:w w:val="105"/>
        </w:rPr>
        <w:t>the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clerks who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see your brief wear two different hats</w:t>
      </w:r>
      <w:r>
        <w:rPr>
          <w:color w:val="525052"/>
          <w:w w:val="105"/>
        </w:rPr>
        <w:t>. </w:t>
      </w:r>
      <w:r>
        <w:rPr>
          <w:color w:val="3B383A"/>
          <w:w w:val="105"/>
        </w:rPr>
        <w:t>As "readers,</w:t>
      </w:r>
      <w:r>
        <w:rPr>
          <w:color w:val="525052"/>
          <w:w w:val="105"/>
        </w:rPr>
        <w:t>" </w:t>
      </w:r>
      <w:r>
        <w:rPr>
          <w:color w:val="3B383A"/>
          <w:w w:val="105"/>
        </w:rPr>
        <w:t>th</w:t>
      </w:r>
      <w:r>
        <w:rPr>
          <w:color w:val="525052"/>
          <w:w w:val="105"/>
        </w:rPr>
        <w:t>e</w:t>
      </w:r>
      <w:r>
        <w:rPr>
          <w:color w:val="3B383A"/>
          <w:w w:val="105"/>
        </w:rPr>
        <w:t>y</w:t>
      </w:r>
      <w:r>
        <w:rPr>
          <w:color w:val="3B383A"/>
          <w:spacing w:val="-58"/>
          <w:w w:val="105"/>
        </w:rPr>
        <w:t> </w:t>
      </w:r>
      <w:r>
        <w:rPr>
          <w:color w:val="3B383A"/>
          <w:w w:val="105"/>
        </w:rPr>
        <w:t>move through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pages</w:t>
      </w:r>
      <w:r>
        <w:rPr>
          <w:color w:val="525052"/>
          <w:w w:val="105"/>
        </w:rPr>
        <w:t>,</w:t>
      </w:r>
      <w:r>
        <w:rPr>
          <w:color w:val="525052"/>
          <w:spacing w:val="1"/>
          <w:w w:val="105"/>
        </w:rPr>
        <w:t> </w:t>
      </w:r>
      <w:r>
        <w:rPr>
          <w:color w:val="3B383A"/>
          <w:w w:val="105"/>
        </w:rPr>
        <w:t>paragraphs, and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sentences sequ</w:t>
      </w:r>
      <w:r>
        <w:rPr>
          <w:color w:val="525052"/>
          <w:w w:val="105"/>
        </w:rPr>
        <w:t>e</w:t>
      </w:r>
      <w:r>
        <w:rPr>
          <w:color w:val="3B383A"/>
          <w:w w:val="105"/>
        </w:rPr>
        <w:t>ntially, and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they need</w:t>
      </w:r>
      <w:r>
        <w:rPr>
          <w:color w:val="3B383A"/>
          <w:spacing w:val="-58"/>
          <w:w w:val="105"/>
        </w:rPr>
        <w:t> </w:t>
      </w:r>
      <w:r>
        <w:rPr>
          <w:color w:val="3B383A"/>
          <w:w w:val="105"/>
          <w:sz w:val="21"/>
        </w:rPr>
        <w:t>valid,</w:t>
      </w:r>
      <w:r>
        <w:rPr>
          <w:color w:val="3B383A"/>
          <w:spacing w:val="1"/>
          <w:w w:val="105"/>
          <w:sz w:val="21"/>
        </w:rPr>
        <w:t> </w:t>
      </w:r>
      <w:r>
        <w:rPr>
          <w:color w:val="3B383A"/>
          <w:w w:val="105"/>
        </w:rPr>
        <w:t>well-supported legal arguments;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a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reasonable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organizational scheme;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  <w:sz w:val="21"/>
        </w:rPr>
        <w:t>and</w:t>
      </w:r>
      <w:r>
        <w:rPr>
          <w:color w:val="3B383A"/>
          <w:spacing w:val="38"/>
          <w:w w:val="110"/>
          <w:sz w:val="21"/>
        </w:rPr>
        <w:t> </w:t>
      </w:r>
      <w:r>
        <w:rPr>
          <w:color w:val="3B383A"/>
          <w:w w:val="110"/>
        </w:rPr>
        <w:t>coherent</w:t>
      </w:r>
      <w:r>
        <w:rPr>
          <w:color w:val="3B383A"/>
          <w:spacing w:val="28"/>
          <w:w w:val="110"/>
        </w:rPr>
        <w:t> </w:t>
      </w:r>
      <w:r>
        <w:rPr>
          <w:color w:val="3B383A"/>
          <w:w w:val="110"/>
        </w:rPr>
        <w:t>sentence</w:t>
      </w:r>
      <w:r>
        <w:rPr>
          <w:color w:val="3B383A"/>
          <w:spacing w:val="21"/>
          <w:w w:val="110"/>
        </w:rPr>
        <w:t> </w:t>
      </w:r>
      <w:r>
        <w:rPr>
          <w:color w:val="3B383A"/>
          <w:w w:val="110"/>
        </w:rPr>
        <w:t>structures.</w:t>
      </w:r>
      <w:r>
        <w:rPr>
          <w:color w:val="3B383A"/>
          <w:spacing w:val="35"/>
          <w:w w:val="110"/>
        </w:rPr>
        <w:t> </w:t>
      </w:r>
      <w:r>
        <w:rPr>
          <w:color w:val="3B383A"/>
          <w:w w:val="110"/>
        </w:rPr>
        <w:t>As</w:t>
      </w:r>
      <w:r>
        <w:rPr>
          <w:color w:val="3B383A"/>
          <w:spacing w:val="5"/>
          <w:w w:val="110"/>
        </w:rPr>
        <w:t> </w:t>
      </w:r>
      <w:r>
        <w:rPr>
          <w:color w:val="3B383A"/>
          <w:w w:val="110"/>
        </w:rPr>
        <w:t>"users,"</w:t>
      </w:r>
      <w:r>
        <w:rPr>
          <w:color w:val="3B383A"/>
          <w:spacing w:val="25"/>
          <w:w w:val="110"/>
        </w:rPr>
        <w:t> </w:t>
      </w:r>
      <w:r>
        <w:rPr>
          <w:color w:val="3B383A"/>
          <w:w w:val="110"/>
        </w:rPr>
        <w:t>they</w:t>
      </w:r>
      <w:r>
        <w:rPr>
          <w:color w:val="3B383A"/>
          <w:spacing w:val="18"/>
          <w:w w:val="110"/>
        </w:rPr>
        <w:t> </w:t>
      </w:r>
      <w:r>
        <w:rPr>
          <w:color w:val="3B383A"/>
          <w:w w:val="110"/>
        </w:rPr>
        <w:t>scavenge</w:t>
      </w:r>
      <w:r>
        <w:rPr>
          <w:color w:val="3B383A"/>
          <w:spacing w:val="27"/>
          <w:w w:val="110"/>
        </w:rPr>
        <w:t> </w:t>
      </w:r>
      <w:r>
        <w:rPr>
          <w:color w:val="3B383A"/>
          <w:w w:val="110"/>
        </w:rPr>
        <w:t>through</w:t>
      </w:r>
      <w:r>
        <w:rPr>
          <w:color w:val="3B383A"/>
          <w:spacing w:val="36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document,</w:t>
      </w:r>
      <w:r>
        <w:rPr>
          <w:color w:val="3B383A"/>
          <w:spacing w:val="7"/>
          <w:w w:val="110"/>
        </w:rPr>
        <w:t> </w:t>
      </w:r>
      <w:r>
        <w:rPr>
          <w:color w:val="3B383A"/>
          <w:w w:val="110"/>
        </w:rPr>
        <w:t>searching</w:t>
      </w:r>
      <w:r>
        <w:rPr>
          <w:color w:val="3B383A"/>
          <w:spacing w:val="8"/>
          <w:w w:val="110"/>
        </w:rPr>
        <w:t> </w:t>
      </w:r>
      <w:r>
        <w:rPr>
          <w:color w:val="3B383A"/>
          <w:w w:val="110"/>
        </w:rPr>
        <w:t>for</w:t>
      </w:r>
      <w:r>
        <w:rPr>
          <w:color w:val="3B383A"/>
          <w:spacing w:val="8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50"/>
          <w:w w:val="110"/>
        </w:rPr>
        <w:t> </w:t>
      </w:r>
      <w:r>
        <w:rPr>
          <w:color w:val="3B383A"/>
          <w:w w:val="110"/>
        </w:rPr>
        <w:t>point</w:t>
      </w:r>
      <w:r>
        <w:rPr>
          <w:color w:val="3B383A"/>
          <w:spacing w:val="25"/>
          <w:w w:val="110"/>
        </w:rPr>
        <w:t> </w:t>
      </w:r>
      <w:r>
        <w:rPr>
          <w:color w:val="3B383A"/>
          <w:w w:val="110"/>
        </w:rPr>
        <w:t>they</w:t>
      </w:r>
      <w:r>
        <w:rPr>
          <w:color w:val="3B383A"/>
          <w:spacing w:val="4"/>
          <w:w w:val="110"/>
        </w:rPr>
        <w:t> </w:t>
      </w:r>
      <w:r>
        <w:rPr>
          <w:color w:val="3B383A"/>
          <w:w w:val="110"/>
        </w:rPr>
        <w:t>care</w:t>
      </w:r>
      <w:r>
        <w:rPr>
          <w:color w:val="3B383A"/>
          <w:spacing w:val="-2"/>
          <w:w w:val="110"/>
        </w:rPr>
        <w:t> </w:t>
      </w:r>
      <w:r>
        <w:rPr>
          <w:color w:val="3B383A"/>
          <w:w w:val="110"/>
        </w:rPr>
        <w:t>about,</w:t>
      </w:r>
      <w:r>
        <w:rPr>
          <w:color w:val="3B383A"/>
          <w:spacing w:val="2"/>
          <w:w w:val="110"/>
        </w:rPr>
        <w:t> </w:t>
      </w:r>
      <w:r>
        <w:rPr>
          <w:color w:val="3B383A"/>
          <w:w w:val="110"/>
        </w:rPr>
        <w:t>or</w:t>
      </w:r>
      <w:r>
        <w:rPr>
          <w:color w:val="3B383A"/>
          <w:spacing w:val="14"/>
          <w:w w:val="110"/>
        </w:rPr>
        <w:t> </w:t>
      </w:r>
      <w:r>
        <w:rPr>
          <w:color w:val="3B383A"/>
          <w:w w:val="110"/>
        </w:rPr>
        <w:t>trying</w:t>
      </w:r>
      <w:r>
        <w:rPr>
          <w:color w:val="3B383A"/>
          <w:spacing w:val="-1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14"/>
          <w:w w:val="110"/>
        </w:rPr>
        <w:t> </w:t>
      </w:r>
      <w:r>
        <w:rPr>
          <w:color w:val="3B383A"/>
          <w:w w:val="110"/>
        </w:rPr>
        <w:t>figure</w:t>
      </w:r>
      <w:r>
        <w:rPr>
          <w:color w:val="3B383A"/>
          <w:spacing w:val="-1"/>
          <w:w w:val="110"/>
        </w:rPr>
        <w:t> </w:t>
      </w:r>
      <w:r>
        <w:rPr>
          <w:color w:val="3B383A"/>
          <w:w w:val="110"/>
        </w:rPr>
        <w:t>out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what point is being made in a particular sentence, section, or paragraph so</w:t>
      </w:r>
      <w:r>
        <w:rPr>
          <w:color w:val="3B383A"/>
          <w:spacing w:val="-61"/>
          <w:w w:val="110"/>
        </w:rPr>
        <w:t> </w:t>
      </w:r>
      <w:r>
        <w:rPr>
          <w:color w:val="3B383A"/>
          <w:w w:val="110"/>
        </w:rPr>
        <w:t>they</w:t>
      </w:r>
      <w:r>
        <w:rPr>
          <w:color w:val="3B383A"/>
          <w:spacing w:val="-6"/>
          <w:w w:val="110"/>
        </w:rPr>
        <w:t> </w:t>
      </w:r>
      <w:r>
        <w:rPr>
          <w:color w:val="3B383A"/>
          <w:w w:val="110"/>
        </w:rPr>
        <w:t>can</w:t>
      </w:r>
      <w:r>
        <w:rPr>
          <w:color w:val="3B383A"/>
          <w:spacing w:val="42"/>
          <w:w w:val="110"/>
        </w:rPr>
        <w:t> </w:t>
      </w:r>
      <w:r>
        <w:rPr>
          <w:color w:val="3B383A"/>
          <w:w w:val="110"/>
        </w:rPr>
        <w:t>decide</w:t>
      </w:r>
      <w:r>
        <w:rPr>
          <w:color w:val="3B383A"/>
          <w:spacing w:val="3"/>
          <w:w w:val="110"/>
        </w:rPr>
        <w:t> </w:t>
      </w:r>
      <w:r>
        <w:rPr>
          <w:color w:val="3B383A"/>
          <w:w w:val="110"/>
        </w:rPr>
        <w:t>whether</w:t>
      </w:r>
      <w:r>
        <w:rPr>
          <w:color w:val="3B383A"/>
          <w:spacing w:val="19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19"/>
          <w:w w:val="110"/>
        </w:rPr>
        <w:t> </w:t>
      </w:r>
      <w:r>
        <w:rPr>
          <w:color w:val="3B383A"/>
          <w:w w:val="110"/>
        </w:rPr>
        <w:t>continue</w:t>
      </w:r>
      <w:r>
        <w:rPr>
          <w:color w:val="3B383A"/>
          <w:spacing w:val="24"/>
          <w:w w:val="110"/>
        </w:rPr>
        <w:t> </w:t>
      </w:r>
      <w:r>
        <w:rPr>
          <w:color w:val="3B383A"/>
          <w:w w:val="110"/>
        </w:rPr>
        <w:t>reading</w:t>
      </w:r>
      <w:r>
        <w:rPr>
          <w:color w:val="3B383A"/>
          <w:spacing w:val="9"/>
          <w:w w:val="110"/>
        </w:rPr>
        <w:t> </w:t>
      </w:r>
      <w:r>
        <w:rPr>
          <w:color w:val="3B383A"/>
          <w:w w:val="110"/>
        </w:rPr>
        <w:t>it</w:t>
      </w:r>
      <w:r>
        <w:rPr>
          <w:color w:val="646467"/>
          <w:w w:val="110"/>
        </w:rPr>
        <w:t>.</w:t>
      </w:r>
      <w:r>
        <w:rPr>
          <w:color w:val="646467"/>
          <w:spacing w:val="14"/>
          <w:w w:val="110"/>
        </w:rPr>
        <w:t> </w:t>
      </w:r>
      <w:r>
        <w:rPr>
          <w:color w:val="3B383A"/>
          <w:w w:val="110"/>
        </w:rPr>
        <w:t>Users</w:t>
      </w:r>
      <w:r>
        <w:rPr>
          <w:color w:val="3B383A"/>
          <w:spacing w:val="17"/>
          <w:w w:val="110"/>
        </w:rPr>
        <w:t> </w:t>
      </w:r>
      <w:r>
        <w:rPr>
          <w:color w:val="3B383A"/>
          <w:w w:val="110"/>
        </w:rPr>
        <w:t>need</w:t>
      </w:r>
      <w:r>
        <w:rPr>
          <w:color w:val="3B383A"/>
          <w:spacing w:val="15"/>
          <w:w w:val="110"/>
        </w:rPr>
        <w:t> </w:t>
      </w:r>
      <w:r>
        <w:rPr>
          <w:color w:val="3B383A"/>
          <w:w w:val="110"/>
        </w:rPr>
        <w:t>all</w:t>
      </w:r>
      <w:r>
        <w:rPr>
          <w:color w:val="3B383A"/>
          <w:spacing w:val="15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29"/>
          <w:w w:val="110"/>
        </w:rPr>
        <w:t> </w:t>
      </w:r>
      <w:r>
        <w:rPr>
          <w:color w:val="3B383A"/>
          <w:w w:val="110"/>
        </w:rPr>
        <w:t>things</w:t>
      </w:r>
      <w:r>
        <w:rPr>
          <w:color w:val="3B383A"/>
          <w:spacing w:val="-60"/>
          <w:w w:val="110"/>
        </w:rPr>
        <w:t> </w:t>
      </w:r>
      <w:r>
        <w:rPr>
          <w:color w:val="3B383A"/>
          <w:w w:val="105"/>
        </w:rPr>
        <w:t>that</w:t>
      </w:r>
      <w:r>
        <w:rPr>
          <w:color w:val="3B383A"/>
          <w:spacing w:val="15"/>
          <w:w w:val="105"/>
        </w:rPr>
        <w:t> </w:t>
      </w:r>
      <w:r>
        <w:rPr>
          <w:color w:val="3B383A"/>
          <w:w w:val="105"/>
        </w:rPr>
        <w:t>readers</w:t>
      </w:r>
      <w:r>
        <w:rPr>
          <w:color w:val="3B383A"/>
          <w:spacing w:val="22"/>
          <w:w w:val="105"/>
        </w:rPr>
        <w:t> </w:t>
      </w:r>
      <w:r>
        <w:rPr>
          <w:color w:val="3B383A"/>
          <w:w w:val="105"/>
        </w:rPr>
        <w:t>need,</w:t>
      </w:r>
      <w:r>
        <w:rPr>
          <w:color w:val="3B383A"/>
          <w:spacing w:val="18"/>
          <w:w w:val="105"/>
        </w:rPr>
        <w:t> </w:t>
      </w:r>
      <w:r>
        <w:rPr>
          <w:color w:val="3B383A"/>
          <w:w w:val="105"/>
        </w:rPr>
        <w:t>but</w:t>
      </w:r>
      <w:r>
        <w:rPr>
          <w:color w:val="3B383A"/>
          <w:spacing w:val="47"/>
          <w:w w:val="105"/>
        </w:rPr>
        <w:t> </w:t>
      </w:r>
      <w:r>
        <w:rPr>
          <w:color w:val="525052"/>
          <w:w w:val="105"/>
        </w:rPr>
        <w:t>t</w:t>
      </w:r>
      <w:r>
        <w:rPr>
          <w:color w:val="3B383A"/>
          <w:w w:val="105"/>
        </w:rPr>
        <w:t>hey</w:t>
      </w:r>
      <w:r>
        <w:rPr>
          <w:color w:val="3B383A"/>
          <w:spacing w:val="35"/>
          <w:w w:val="105"/>
        </w:rPr>
        <w:t> </w:t>
      </w:r>
      <w:r>
        <w:rPr>
          <w:color w:val="3B383A"/>
          <w:w w:val="105"/>
        </w:rPr>
        <w:t>need</w:t>
      </w:r>
      <w:r>
        <w:rPr>
          <w:color w:val="3B383A"/>
          <w:spacing w:val="18"/>
          <w:w w:val="105"/>
        </w:rPr>
        <w:t> </w:t>
      </w:r>
      <w:r>
        <w:rPr>
          <w:color w:val="3B383A"/>
          <w:w w:val="105"/>
        </w:rPr>
        <w:t>something</w:t>
      </w:r>
      <w:r>
        <w:rPr>
          <w:color w:val="3B383A"/>
          <w:spacing w:val="23"/>
          <w:w w:val="105"/>
        </w:rPr>
        <w:t> </w:t>
      </w:r>
      <w:r>
        <w:rPr>
          <w:color w:val="3B383A"/>
          <w:w w:val="105"/>
        </w:rPr>
        <w:t>more: Users</w:t>
      </w:r>
      <w:r>
        <w:rPr>
          <w:color w:val="3B383A"/>
          <w:spacing w:val="23"/>
          <w:w w:val="105"/>
        </w:rPr>
        <w:t> </w:t>
      </w:r>
      <w:r>
        <w:rPr>
          <w:color w:val="3B383A"/>
          <w:w w:val="105"/>
        </w:rPr>
        <w:t>need</w:t>
      </w:r>
      <w:r>
        <w:rPr>
          <w:color w:val="3B383A"/>
          <w:spacing w:val="20"/>
          <w:w w:val="105"/>
        </w:rPr>
        <w:t> </w:t>
      </w:r>
      <w:r>
        <w:rPr>
          <w:color w:val="3B383A"/>
          <w:w w:val="105"/>
        </w:rPr>
        <w:t>finding</w:t>
      </w:r>
      <w:r>
        <w:rPr>
          <w:color w:val="3B383A"/>
          <w:spacing w:val="21"/>
          <w:w w:val="105"/>
        </w:rPr>
        <w:t> </w:t>
      </w:r>
      <w:r>
        <w:rPr>
          <w:color w:val="3B383A"/>
          <w:w w:val="105"/>
        </w:rPr>
        <w:t>tools</w:t>
      </w:r>
      <w:r>
        <w:rPr>
          <w:color w:val="525052"/>
          <w:w w:val="105"/>
        </w:rPr>
        <w:t>,</w:t>
      </w:r>
      <w:r>
        <w:rPr>
          <w:color w:val="525052"/>
          <w:spacing w:val="1"/>
          <w:w w:val="105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-19"/>
          <w:w w:val="110"/>
        </w:rPr>
        <w:t> </w:t>
      </w:r>
      <w:r>
        <w:rPr>
          <w:color w:val="3B383A"/>
          <w:w w:val="110"/>
        </w:rPr>
        <w:t>signals</w:t>
      </w:r>
      <w:r>
        <w:rPr>
          <w:color w:val="3B383A"/>
          <w:spacing w:val="3"/>
          <w:w w:val="110"/>
        </w:rPr>
        <w:t> </w:t>
      </w:r>
      <w:r>
        <w:rPr>
          <w:color w:val="3B383A"/>
          <w:w w:val="110"/>
        </w:rPr>
        <w:t>that</w:t>
      </w:r>
      <w:r>
        <w:rPr>
          <w:color w:val="3B383A"/>
          <w:spacing w:val="-25"/>
          <w:w w:val="110"/>
        </w:rPr>
        <w:t> </w:t>
      </w:r>
      <w:r>
        <w:rPr>
          <w:color w:val="3B383A"/>
          <w:w w:val="110"/>
        </w:rPr>
        <w:t>announ</w:t>
      </w:r>
      <w:r>
        <w:rPr>
          <w:color w:val="525052"/>
          <w:w w:val="110"/>
        </w:rPr>
        <w:t>c</w:t>
      </w:r>
      <w:r>
        <w:rPr>
          <w:color w:val="3B383A"/>
          <w:w w:val="110"/>
        </w:rPr>
        <w:t>e</w:t>
      </w:r>
      <w:r>
        <w:rPr>
          <w:color w:val="3B383A"/>
          <w:spacing w:val="-7"/>
          <w:w w:val="110"/>
        </w:rPr>
        <w:t> </w:t>
      </w:r>
      <w:r>
        <w:rPr>
          <w:color w:val="3B383A"/>
          <w:w w:val="110"/>
        </w:rPr>
        <w:t>what</w:t>
      </w:r>
      <w:r>
        <w:rPr>
          <w:color w:val="3B383A"/>
          <w:spacing w:val="-21"/>
          <w:w w:val="110"/>
        </w:rPr>
        <w:t> </w:t>
      </w:r>
      <w:r>
        <w:rPr>
          <w:color w:val="3B383A"/>
          <w:w w:val="110"/>
        </w:rPr>
        <w:t>is</w:t>
      </w:r>
      <w:r>
        <w:rPr>
          <w:color w:val="3B383A"/>
          <w:spacing w:val="-31"/>
          <w:w w:val="110"/>
        </w:rPr>
        <w:t> </w:t>
      </w:r>
      <w:r>
        <w:rPr>
          <w:color w:val="3B383A"/>
          <w:w w:val="110"/>
        </w:rPr>
        <w:t>goingon</w:t>
      </w:r>
      <w:r>
        <w:rPr>
          <w:color w:val="3B383A"/>
          <w:spacing w:val="27"/>
          <w:w w:val="110"/>
        </w:rPr>
        <w:t> </w:t>
      </w:r>
      <w:r>
        <w:rPr>
          <w:color w:val="3B383A"/>
          <w:w w:val="110"/>
        </w:rPr>
        <w:t>in</w:t>
      </w:r>
      <w:r>
        <w:rPr>
          <w:color w:val="3B383A"/>
          <w:spacing w:val="-6"/>
          <w:w w:val="110"/>
        </w:rPr>
        <w:t> </w:t>
      </w:r>
      <w:r>
        <w:rPr>
          <w:color w:val="3B383A"/>
          <w:w w:val="110"/>
        </w:rPr>
        <w:t>various</w:t>
      </w:r>
      <w:r>
        <w:rPr>
          <w:color w:val="3B383A"/>
          <w:spacing w:val="-4"/>
          <w:w w:val="110"/>
        </w:rPr>
        <w:t> </w:t>
      </w:r>
      <w:r>
        <w:rPr>
          <w:color w:val="3B383A"/>
          <w:w w:val="110"/>
        </w:rPr>
        <w:t>partsof</w:t>
      </w:r>
      <w:r>
        <w:rPr>
          <w:color w:val="3B383A"/>
          <w:spacing w:val="8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6"/>
          <w:w w:val="110"/>
        </w:rPr>
        <w:t> </w:t>
      </w:r>
      <w:r>
        <w:rPr>
          <w:color w:val="3B383A"/>
          <w:w w:val="110"/>
        </w:rPr>
        <w:t>document</w:t>
      </w:r>
      <w:r>
        <w:rPr>
          <w:color w:val="525052"/>
          <w:w w:val="110"/>
        </w:rPr>
        <w:t>.</w:t>
      </w:r>
    </w:p>
    <w:p>
      <w:pPr>
        <w:pStyle w:val="BodyText"/>
        <w:spacing w:line="238" w:lineRule="exact"/>
        <w:ind w:right="696"/>
        <w:jc w:val="right"/>
      </w:pPr>
      <w:r>
        <w:rPr>
          <w:color w:val="3B383A"/>
          <w:w w:val="110"/>
        </w:rPr>
        <w:t>If</w:t>
      </w:r>
      <w:r>
        <w:rPr>
          <w:color w:val="3B383A"/>
          <w:spacing w:val="31"/>
          <w:w w:val="110"/>
        </w:rPr>
        <w:t> </w:t>
      </w:r>
      <w:r>
        <w:rPr>
          <w:color w:val="3B383A"/>
          <w:w w:val="110"/>
        </w:rPr>
        <w:t>there</w:t>
      </w:r>
      <w:r>
        <w:rPr>
          <w:color w:val="3B383A"/>
          <w:spacing w:val="16"/>
          <w:w w:val="110"/>
        </w:rPr>
        <w:t> </w:t>
      </w:r>
      <w:r>
        <w:rPr>
          <w:color w:val="3B383A"/>
          <w:w w:val="110"/>
        </w:rPr>
        <w:t>is</w:t>
      </w:r>
      <w:r>
        <w:rPr>
          <w:color w:val="3B383A"/>
          <w:spacing w:val="-1"/>
          <w:w w:val="110"/>
        </w:rPr>
        <w:t> </w:t>
      </w:r>
      <w:r>
        <w:rPr>
          <w:color w:val="3B383A"/>
          <w:w w:val="110"/>
        </w:rPr>
        <w:t>an</w:t>
      </w:r>
      <w:r>
        <w:rPr>
          <w:color w:val="3B383A"/>
          <w:spacing w:val="43"/>
          <w:w w:val="110"/>
        </w:rPr>
        <w:t> </w:t>
      </w:r>
      <w:r>
        <w:rPr>
          <w:color w:val="3B383A"/>
          <w:w w:val="110"/>
        </w:rPr>
        <w:t>oral</w:t>
      </w:r>
      <w:r>
        <w:rPr>
          <w:color w:val="3B383A"/>
          <w:spacing w:val="13"/>
          <w:w w:val="110"/>
        </w:rPr>
        <w:t> </w:t>
      </w:r>
      <w:r>
        <w:rPr>
          <w:color w:val="3B383A"/>
          <w:w w:val="110"/>
        </w:rPr>
        <w:t>argument,</w:t>
      </w:r>
      <w:r>
        <w:rPr>
          <w:color w:val="3B383A"/>
          <w:spacing w:val="27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61"/>
          <w:w w:val="110"/>
        </w:rPr>
        <w:t> </w:t>
      </w:r>
      <w:r>
        <w:rPr>
          <w:color w:val="3B383A"/>
          <w:w w:val="110"/>
        </w:rPr>
        <w:t>judges</w:t>
      </w:r>
      <w:r>
        <w:rPr>
          <w:color w:val="3B383A"/>
          <w:spacing w:val="21"/>
          <w:w w:val="110"/>
        </w:rPr>
        <w:t> </w:t>
      </w:r>
      <w:r>
        <w:rPr>
          <w:color w:val="3B383A"/>
          <w:w w:val="110"/>
        </w:rPr>
        <w:t>may</w:t>
      </w:r>
      <w:r>
        <w:rPr>
          <w:color w:val="3B383A"/>
          <w:spacing w:val="47"/>
          <w:w w:val="110"/>
        </w:rPr>
        <w:t> </w:t>
      </w:r>
      <w:r>
        <w:rPr>
          <w:color w:val="3B383A"/>
          <w:w w:val="110"/>
        </w:rPr>
        <w:t>review</w:t>
      </w:r>
      <w:r>
        <w:rPr>
          <w:color w:val="3B383A"/>
          <w:spacing w:val="27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50"/>
          <w:w w:val="110"/>
        </w:rPr>
        <w:t> </w:t>
      </w:r>
      <w:r>
        <w:rPr>
          <w:color w:val="3B383A"/>
          <w:w w:val="110"/>
        </w:rPr>
        <w:t>brief</w:t>
      </w:r>
      <w:r>
        <w:rPr>
          <w:color w:val="3B383A"/>
          <w:spacing w:val="44"/>
          <w:w w:val="110"/>
        </w:rPr>
        <w:t> </w:t>
      </w:r>
      <w:r>
        <w:rPr>
          <w:color w:val="3B383A"/>
          <w:w w:val="110"/>
        </w:rPr>
        <w:t>before</w:t>
      </w:r>
    </w:p>
    <w:p>
      <w:pPr>
        <w:pStyle w:val="BodyText"/>
        <w:spacing w:line="230" w:lineRule="auto" w:before="7"/>
        <w:ind w:left="106" w:right="632" w:firstLine="14"/>
        <w:jc w:val="both"/>
      </w:pPr>
      <w:r>
        <w:rPr>
          <w:color w:val="3B383A"/>
          <w:w w:val="110"/>
        </w:rPr>
        <w:t>the argument to unders</w:t>
      </w:r>
      <w:r>
        <w:rPr>
          <w:color w:val="525052"/>
          <w:w w:val="110"/>
        </w:rPr>
        <w:t>t</w:t>
      </w:r>
      <w:r>
        <w:rPr>
          <w:color w:val="3B383A"/>
          <w:w w:val="110"/>
        </w:rPr>
        <w:t>and how the law and the facts support that argu­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5"/>
        </w:rPr>
        <w:t>ment. After the  argument-or  if  there is no argument-one or more of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the judge</w:t>
      </w:r>
      <w:r>
        <w:rPr>
          <w:color w:val="525052"/>
          <w:w w:val="115"/>
        </w:rPr>
        <w:t>s </w:t>
      </w:r>
      <w:r>
        <w:rPr>
          <w:color w:val="3B383A"/>
          <w:w w:val="115"/>
        </w:rPr>
        <w:t>and clerks may </w:t>
      </w:r>
      <w:r>
        <w:rPr>
          <w:i/>
          <w:color w:val="3B383A"/>
          <w:w w:val="115"/>
          <w:sz w:val="24"/>
        </w:rPr>
        <w:t>use </w:t>
      </w:r>
      <w:r>
        <w:rPr>
          <w:color w:val="3B383A"/>
          <w:w w:val="115"/>
        </w:rPr>
        <w:t>the brief to help them write the opinion.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0"/>
        </w:rPr>
        <w:t>Thus, your audience </w:t>
      </w:r>
      <w:r>
        <w:rPr>
          <w:color w:val="3B383A"/>
          <w:w w:val="110"/>
          <w:sz w:val="22"/>
        </w:rPr>
        <w:t>will </w:t>
      </w:r>
      <w:r>
        <w:rPr>
          <w:color w:val="3B383A"/>
          <w:w w:val="110"/>
        </w:rPr>
        <w:t>have diff</w:t>
      </w:r>
      <w:r>
        <w:rPr>
          <w:color w:val="525052"/>
          <w:w w:val="110"/>
        </w:rPr>
        <w:t>e</w:t>
      </w:r>
      <w:r>
        <w:rPr>
          <w:color w:val="3B383A"/>
          <w:w w:val="110"/>
        </w:rPr>
        <w:t>rent ne</w:t>
      </w:r>
      <w:r>
        <w:rPr>
          <w:color w:val="525052"/>
          <w:w w:val="110"/>
        </w:rPr>
        <w:t>e</w:t>
      </w:r>
      <w:r>
        <w:rPr>
          <w:color w:val="3B383A"/>
          <w:w w:val="110"/>
        </w:rPr>
        <w:t>ds at different times, and your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brief must meet these different n</w:t>
      </w:r>
      <w:r>
        <w:rPr>
          <w:color w:val="525052"/>
          <w:w w:val="110"/>
        </w:rPr>
        <w:t>e</w:t>
      </w:r>
      <w:r>
        <w:rPr>
          <w:color w:val="3B383A"/>
          <w:w w:val="110"/>
        </w:rPr>
        <w:t>eds. The first tim</w:t>
      </w:r>
      <w:r>
        <w:rPr>
          <w:color w:val="525052"/>
          <w:w w:val="110"/>
        </w:rPr>
        <w:t>e </w:t>
      </w:r>
      <w:r>
        <w:rPr>
          <w:color w:val="3B383A"/>
          <w:w w:val="110"/>
        </w:rPr>
        <w:t>the brief is reviewed,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5"/>
        </w:rPr>
        <w:t>readers must be able to understand how the diff</w:t>
      </w:r>
      <w:r>
        <w:rPr>
          <w:color w:val="525052"/>
          <w:w w:val="115"/>
        </w:rPr>
        <w:t>e</w:t>
      </w:r>
      <w:r>
        <w:rPr>
          <w:color w:val="3B383A"/>
          <w:w w:val="115"/>
        </w:rPr>
        <w:t>rent p</w:t>
      </w:r>
      <w:r>
        <w:rPr>
          <w:color w:val="525052"/>
          <w:w w:val="115"/>
        </w:rPr>
        <w:t>a</w:t>
      </w:r>
      <w:r>
        <w:rPr>
          <w:color w:val="3B383A"/>
          <w:w w:val="115"/>
        </w:rPr>
        <w:t>rts of the argu­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ment work together to support the conclusion you want the court to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0"/>
        </w:rPr>
        <w:t>reach.</w:t>
      </w:r>
      <w:r>
        <w:rPr>
          <w:color w:val="3B383A"/>
          <w:spacing w:val="-5"/>
          <w:w w:val="110"/>
        </w:rPr>
        <w:t> </w:t>
      </w:r>
      <w:r>
        <w:rPr>
          <w:color w:val="3B383A"/>
          <w:w w:val="110"/>
        </w:rPr>
        <w:t>Later,</w:t>
      </w:r>
      <w:r>
        <w:rPr>
          <w:color w:val="3B383A"/>
          <w:spacing w:val="20"/>
          <w:w w:val="110"/>
        </w:rPr>
        <w:t> </w:t>
      </w:r>
      <w:r>
        <w:rPr>
          <w:color w:val="3B383A"/>
          <w:w w:val="110"/>
        </w:rPr>
        <w:t>users</w:t>
      </w:r>
      <w:r>
        <w:rPr>
          <w:color w:val="3B383A"/>
          <w:spacing w:val="8"/>
          <w:w w:val="110"/>
        </w:rPr>
        <w:t> </w:t>
      </w:r>
      <w:r>
        <w:rPr>
          <w:color w:val="3B383A"/>
          <w:w w:val="110"/>
        </w:rPr>
        <w:t>must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be</w:t>
      </w:r>
      <w:r>
        <w:rPr>
          <w:color w:val="3B383A"/>
          <w:spacing w:val="9"/>
          <w:w w:val="110"/>
        </w:rPr>
        <w:t> </w:t>
      </w:r>
      <w:r>
        <w:rPr>
          <w:color w:val="3B383A"/>
          <w:w w:val="110"/>
        </w:rPr>
        <w:t>able</w:t>
      </w:r>
      <w:r>
        <w:rPr>
          <w:color w:val="3B383A"/>
          <w:spacing w:val="-4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14"/>
          <w:w w:val="110"/>
        </w:rPr>
        <w:t> </w:t>
      </w:r>
      <w:r>
        <w:rPr>
          <w:color w:val="3B383A"/>
          <w:w w:val="110"/>
        </w:rPr>
        <w:t>find</w:t>
      </w:r>
      <w:r>
        <w:rPr>
          <w:color w:val="3B383A"/>
          <w:spacing w:val="19"/>
          <w:w w:val="110"/>
        </w:rPr>
        <w:t> </w:t>
      </w:r>
      <w:r>
        <w:rPr>
          <w:color w:val="3B383A"/>
          <w:w w:val="110"/>
        </w:rPr>
        <w:t>particular</w:t>
      </w:r>
      <w:r>
        <w:rPr>
          <w:color w:val="3B383A"/>
          <w:spacing w:val="33"/>
          <w:w w:val="110"/>
        </w:rPr>
        <w:t> </w:t>
      </w:r>
      <w:r>
        <w:rPr>
          <w:color w:val="3B383A"/>
          <w:w w:val="110"/>
        </w:rPr>
        <w:t>points</w:t>
      </w:r>
      <w:r>
        <w:rPr>
          <w:color w:val="3B383A"/>
          <w:spacing w:val="-9"/>
          <w:w w:val="110"/>
        </w:rPr>
        <w:t> </w:t>
      </w:r>
      <w:r>
        <w:rPr>
          <w:color w:val="3B383A"/>
          <w:w w:val="110"/>
        </w:rPr>
        <w:t>and</w:t>
      </w:r>
      <w:r>
        <w:rPr>
          <w:color w:val="3B383A"/>
          <w:spacing w:val="20"/>
          <w:w w:val="110"/>
        </w:rPr>
        <w:t> </w:t>
      </w:r>
      <w:r>
        <w:rPr>
          <w:color w:val="3B383A"/>
          <w:w w:val="110"/>
        </w:rPr>
        <w:t>authorities</w:t>
      </w:r>
      <w:r>
        <w:rPr>
          <w:color w:val="525052"/>
          <w:w w:val="110"/>
        </w:rPr>
        <w:t>.</w:t>
      </w:r>
    </w:p>
    <w:p>
      <w:pPr>
        <w:pStyle w:val="BodyText"/>
        <w:spacing w:line="243" w:lineRule="exact"/>
        <w:ind w:left="466"/>
        <w:jc w:val="both"/>
      </w:pPr>
      <w:r>
        <w:rPr>
          <w:color w:val="3B383A"/>
          <w:w w:val="115"/>
        </w:rPr>
        <w:t>Furthermore,</w:t>
      </w:r>
      <w:r>
        <w:rPr>
          <w:color w:val="3B383A"/>
          <w:spacing w:val="17"/>
          <w:w w:val="115"/>
        </w:rPr>
        <w:t> </w:t>
      </w:r>
      <w:r>
        <w:rPr>
          <w:color w:val="3B383A"/>
          <w:w w:val="115"/>
        </w:rPr>
        <w:t>your</w:t>
      </w:r>
      <w:r>
        <w:rPr>
          <w:color w:val="3B383A"/>
          <w:spacing w:val="-1"/>
          <w:w w:val="115"/>
        </w:rPr>
        <w:t> </w:t>
      </w:r>
      <w:r>
        <w:rPr>
          <w:color w:val="3B383A"/>
          <w:w w:val="115"/>
        </w:rPr>
        <w:t>audience</w:t>
      </w:r>
      <w:r>
        <w:rPr>
          <w:color w:val="3B383A"/>
          <w:spacing w:val="4"/>
          <w:w w:val="115"/>
        </w:rPr>
        <w:t> </w:t>
      </w:r>
      <w:r>
        <w:rPr>
          <w:color w:val="3B383A"/>
          <w:w w:val="115"/>
        </w:rPr>
        <w:t>will</w:t>
      </w:r>
      <w:r>
        <w:rPr>
          <w:color w:val="3B383A"/>
          <w:spacing w:val="15"/>
          <w:w w:val="115"/>
        </w:rPr>
        <w:t> </w:t>
      </w:r>
      <w:r>
        <w:rPr>
          <w:color w:val="3B383A"/>
          <w:w w:val="115"/>
        </w:rPr>
        <w:t>have</w:t>
      </w:r>
      <w:r>
        <w:rPr>
          <w:color w:val="3B383A"/>
          <w:spacing w:val="-16"/>
          <w:w w:val="115"/>
        </w:rPr>
        <w:t> </w:t>
      </w:r>
      <w:r>
        <w:rPr>
          <w:color w:val="3B383A"/>
          <w:w w:val="115"/>
        </w:rPr>
        <w:t>different</w:t>
      </w:r>
      <w:r>
        <w:rPr>
          <w:color w:val="3B383A"/>
          <w:spacing w:val="11"/>
          <w:w w:val="115"/>
        </w:rPr>
        <w:t> </w:t>
      </w:r>
      <w:r>
        <w:rPr>
          <w:color w:val="3B383A"/>
          <w:w w:val="115"/>
        </w:rPr>
        <w:t>needs</w:t>
      </w:r>
      <w:r>
        <w:rPr>
          <w:color w:val="3B383A"/>
          <w:spacing w:val="-16"/>
          <w:w w:val="115"/>
        </w:rPr>
        <w:t> </w:t>
      </w:r>
      <w:r>
        <w:rPr>
          <w:color w:val="3B383A"/>
          <w:w w:val="115"/>
        </w:rPr>
        <w:t>depending</w:t>
      </w:r>
      <w:r>
        <w:rPr>
          <w:color w:val="3B383A"/>
          <w:spacing w:val="14"/>
          <w:w w:val="115"/>
        </w:rPr>
        <w:t> </w:t>
      </w:r>
      <w:r>
        <w:rPr>
          <w:color w:val="3B383A"/>
          <w:w w:val="115"/>
        </w:rPr>
        <w:t>not</w:t>
      </w:r>
    </w:p>
    <w:p>
      <w:pPr>
        <w:pStyle w:val="BodyText"/>
        <w:spacing w:line="232" w:lineRule="auto" w:before="4"/>
        <w:ind w:left="124" w:right="575" w:hanging="10"/>
        <w:jc w:val="both"/>
      </w:pPr>
      <w:r>
        <w:rPr>
          <w:color w:val="3B383A"/>
          <w:w w:val="110"/>
        </w:rPr>
        <w:t>only on </w:t>
      </w:r>
      <w:r>
        <w:rPr>
          <w:rFonts w:ascii="Arial"/>
          <w:i/>
          <w:color w:val="3B383A"/>
          <w:w w:val="110"/>
          <w:sz w:val="21"/>
        </w:rPr>
        <w:t>when </w:t>
      </w:r>
      <w:r>
        <w:rPr>
          <w:color w:val="3B383A"/>
          <w:w w:val="110"/>
        </w:rPr>
        <w:t>they encounter the brief, but also on </w:t>
      </w:r>
      <w:r>
        <w:rPr>
          <w:rFonts w:ascii="Arial"/>
          <w:i/>
          <w:color w:val="3B383A"/>
          <w:w w:val="110"/>
          <w:sz w:val="21"/>
        </w:rPr>
        <w:t>how </w:t>
      </w:r>
      <w:r>
        <w:rPr>
          <w:color w:val="3B383A"/>
          <w:w w:val="110"/>
        </w:rPr>
        <w:t>they encount</w:t>
      </w:r>
      <w:r>
        <w:rPr>
          <w:color w:val="525052"/>
          <w:w w:val="110"/>
        </w:rPr>
        <w:t>e</w:t>
      </w:r>
      <w:r>
        <w:rPr>
          <w:color w:val="3B383A"/>
          <w:w w:val="110"/>
        </w:rPr>
        <w:t>r it</w:t>
      </w:r>
      <w:r>
        <w:rPr>
          <w:color w:val="525052"/>
          <w:w w:val="110"/>
        </w:rPr>
        <w:t>.</w:t>
      </w:r>
      <w:r>
        <w:rPr>
          <w:color w:val="525052"/>
          <w:spacing w:val="1"/>
          <w:w w:val="110"/>
        </w:rPr>
        <w:t> </w:t>
      </w:r>
      <w:r>
        <w:rPr>
          <w:color w:val="3B383A"/>
          <w:w w:val="110"/>
        </w:rPr>
        <w:t>Our brains work differently when we are re</w:t>
      </w:r>
      <w:r>
        <w:rPr>
          <w:color w:val="525052"/>
          <w:w w:val="110"/>
        </w:rPr>
        <w:t>a</w:t>
      </w:r>
      <w:r>
        <w:rPr>
          <w:color w:val="3B383A"/>
          <w:w w:val="110"/>
        </w:rPr>
        <w:t>ding digital docum</w:t>
      </w:r>
      <w:r>
        <w:rPr>
          <w:color w:val="525052"/>
          <w:w w:val="110"/>
        </w:rPr>
        <w:t>e</w:t>
      </w:r>
      <w:r>
        <w:rPr>
          <w:color w:val="3B383A"/>
          <w:w w:val="110"/>
        </w:rPr>
        <w:t>nts than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when we are reading hard copy. Accordingly, you should be sure that your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brief</w:t>
      </w:r>
      <w:r>
        <w:rPr>
          <w:color w:val="3B383A"/>
          <w:spacing w:val="15"/>
          <w:w w:val="110"/>
        </w:rPr>
        <w:t> </w:t>
      </w:r>
      <w:r>
        <w:rPr>
          <w:color w:val="3B383A"/>
          <w:w w:val="110"/>
        </w:rPr>
        <w:t>will</w:t>
      </w:r>
      <w:r>
        <w:rPr>
          <w:color w:val="3B383A"/>
          <w:spacing w:val="-6"/>
          <w:w w:val="110"/>
        </w:rPr>
        <w:t> </w:t>
      </w:r>
      <w:r>
        <w:rPr>
          <w:color w:val="3B383A"/>
          <w:w w:val="110"/>
        </w:rPr>
        <w:t>be</w:t>
      </w:r>
      <w:r>
        <w:rPr>
          <w:color w:val="3B383A"/>
          <w:spacing w:val="12"/>
          <w:w w:val="110"/>
        </w:rPr>
        <w:t> </w:t>
      </w:r>
      <w:r>
        <w:rPr>
          <w:color w:val="3B383A"/>
          <w:w w:val="110"/>
        </w:rPr>
        <w:t>readable</w:t>
      </w:r>
      <w:r>
        <w:rPr>
          <w:color w:val="3B383A"/>
          <w:spacing w:val="-4"/>
          <w:w w:val="110"/>
        </w:rPr>
        <w:t> </w:t>
      </w:r>
      <w:r>
        <w:rPr>
          <w:color w:val="3B383A"/>
          <w:w w:val="110"/>
        </w:rPr>
        <w:t>in</w:t>
      </w:r>
      <w:r>
        <w:rPr>
          <w:color w:val="3B383A"/>
          <w:spacing w:val="6"/>
          <w:w w:val="110"/>
        </w:rPr>
        <w:t> </w:t>
      </w:r>
      <w:r>
        <w:rPr>
          <w:color w:val="3B383A"/>
          <w:w w:val="110"/>
        </w:rPr>
        <w:t>any</w:t>
      </w:r>
      <w:r>
        <w:rPr>
          <w:color w:val="3B383A"/>
          <w:spacing w:val="30"/>
          <w:w w:val="110"/>
        </w:rPr>
        <w:t> </w:t>
      </w:r>
      <w:r>
        <w:rPr>
          <w:color w:val="3B383A"/>
          <w:w w:val="110"/>
        </w:rPr>
        <w:t>format</w:t>
      </w:r>
      <w:r>
        <w:rPr>
          <w:color w:val="525052"/>
          <w:w w:val="110"/>
        </w:rPr>
        <w:t>.</w:t>
      </w:r>
    </w:p>
    <w:p>
      <w:pPr>
        <w:spacing w:after="0" w:line="232" w:lineRule="auto"/>
        <w:jc w:val="both"/>
        <w:sectPr>
          <w:type w:val="continuous"/>
          <w:pgSz w:w="9760" w:h="13990"/>
          <w:pgMar w:header="0" w:footer="0" w:top="340" w:bottom="280" w:left="340" w:right="1080"/>
        </w:sectPr>
      </w:pPr>
    </w:p>
    <w:p>
      <w:pPr>
        <w:pStyle w:val="BodyText"/>
        <w:spacing w:line="228" w:lineRule="auto" w:before="91"/>
        <w:ind w:left="762" w:right="116" w:firstLine="391"/>
        <w:jc w:val="both"/>
      </w:pPr>
      <w:r>
        <w:rPr>
          <w:color w:val="3A383A"/>
          <w:w w:val="105"/>
        </w:rPr>
        <w:t>When most judges and clerks consult </w:t>
      </w:r>
      <w:r>
        <w:rPr>
          <w:color w:val="4B4B4D"/>
          <w:w w:val="105"/>
        </w:rPr>
        <w:t>your </w:t>
      </w:r>
      <w:r>
        <w:rPr>
          <w:color w:val="3A383A"/>
          <w:w w:val="105"/>
        </w:rPr>
        <w:t>brief, they will not be read­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ing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it  the  way you might read a favorite novel. Instead, they will be </w:t>
      </w:r>
      <w:r>
        <w:rPr>
          <w:color w:val="3A383A"/>
          <w:w w:val="105"/>
          <w:sz w:val="24"/>
        </w:rPr>
        <w:t>try­</w:t>
      </w:r>
      <w:r>
        <w:rPr>
          <w:color w:val="3A383A"/>
          <w:spacing w:val="1"/>
          <w:w w:val="105"/>
          <w:sz w:val="24"/>
        </w:rPr>
        <w:t> </w:t>
      </w:r>
      <w:r>
        <w:rPr>
          <w:color w:val="3A383A"/>
          <w:w w:val="105"/>
        </w:rPr>
        <w:t>ing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to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find the parts they care about. As one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commentator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noted in the</w:t>
      </w:r>
      <w:r>
        <w:rPr>
          <w:color w:val="3A383A"/>
          <w:spacing w:val="1"/>
          <w:w w:val="105"/>
        </w:rPr>
        <w:t> </w:t>
      </w:r>
      <w:r>
        <w:rPr>
          <w:i/>
          <w:color w:val="3A383A"/>
          <w:sz w:val="24"/>
        </w:rPr>
        <w:t>Harvard Law Review </w:t>
      </w:r>
      <w:r>
        <w:rPr>
          <w:color w:val="3A383A"/>
        </w:rPr>
        <w:t>back in 19S9, the</w:t>
      </w:r>
      <w:r>
        <w:rPr>
          <w:color w:val="3A383A"/>
          <w:spacing w:val="1"/>
        </w:rPr>
        <w:t> </w:t>
      </w:r>
      <w:r>
        <w:rPr>
          <w:color w:val="3A383A"/>
        </w:rPr>
        <w:t>brief-writer cannot expect the com­</w:t>
      </w:r>
      <w:r>
        <w:rPr>
          <w:color w:val="3A383A"/>
          <w:spacing w:val="1"/>
        </w:rPr>
        <w:t> </w:t>
      </w:r>
      <w:r>
        <w:rPr>
          <w:color w:val="3A383A"/>
          <w:w w:val="105"/>
        </w:rPr>
        <w:t>plete</w:t>
      </w:r>
      <w:r>
        <w:rPr>
          <w:color w:val="3A383A"/>
          <w:spacing w:val="-8"/>
          <w:w w:val="105"/>
        </w:rPr>
        <w:t> </w:t>
      </w:r>
      <w:r>
        <w:rPr>
          <w:color w:val="3A383A"/>
          <w:w w:val="105"/>
        </w:rPr>
        <w:t>and</w:t>
      </w:r>
      <w:r>
        <w:rPr>
          <w:color w:val="3A383A"/>
          <w:spacing w:val="32"/>
          <w:w w:val="105"/>
        </w:rPr>
        <w:t> </w:t>
      </w:r>
      <w:r>
        <w:rPr>
          <w:color w:val="3A383A"/>
          <w:w w:val="105"/>
        </w:rPr>
        <w:t>undivided</w:t>
      </w:r>
      <w:r>
        <w:rPr>
          <w:color w:val="3A383A"/>
          <w:spacing w:val="-3"/>
          <w:w w:val="105"/>
        </w:rPr>
        <w:t> </w:t>
      </w:r>
      <w:r>
        <w:rPr>
          <w:color w:val="3A383A"/>
          <w:w w:val="105"/>
        </w:rPr>
        <w:t>attention</w:t>
      </w:r>
      <w:r>
        <w:rPr>
          <w:color w:val="3A383A"/>
          <w:spacing w:val="8"/>
          <w:w w:val="105"/>
        </w:rPr>
        <w:t> </w:t>
      </w:r>
      <w:r>
        <w:rPr>
          <w:color w:val="3A383A"/>
          <w:w w:val="105"/>
        </w:rPr>
        <w:t>of every</w:t>
      </w:r>
      <w:r>
        <w:rPr>
          <w:color w:val="3A383A"/>
          <w:spacing w:val="18"/>
          <w:w w:val="105"/>
        </w:rPr>
        <w:t> </w:t>
      </w:r>
      <w:r>
        <w:rPr>
          <w:color w:val="3A383A"/>
          <w:w w:val="105"/>
        </w:rPr>
        <w:t>judge:</w:t>
      </w:r>
    </w:p>
    <w:p>
      <w:pPr>
        <w:spacing w:line="235" w:lineRule="auto" w:before="130"/>
        <w:ind w:left="1077" w:right="407" w:firstLine="42"/>
        <w:jc w:val="both"/>
        <w:rPr>
          <w:sz w:val="21"/>
        </w:rPr>
      </w:pPr>
      <w:r>
        <w:rPr>
          <w:color w:val="3A383A"/>
          <w:w w:val="110"/>
          <w:sz w:val="21"/>
        </w:rPr>
        <w:t>[WJritten arguments filed with the Court are not documents like law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review essays which the author </w:t>
      </w:r>
      <w:r>
        <w:rPr>
          <w:color w:val="4B4B4D"/>
          <w:w w:val="110"/>
          <w:sz w:val="21"/>
        </w:rPr>
        <w:t>is </w:t>
      </w:r>
      <w:r>
        <w:rPr>
          <w:color w:val="3A383A"/>
          <w:w w:val="110"/>
          <w:sz w:val="21"/>
        </w:rPr>
        <w:t>entitled </w:t>
      </w:r>
      <w:r>
        <w:rPr>
          <w:color w:val="4B4B4D"/>
          <w:w w:val="110"/>
          <w:sz w:val="21"/>
        </w:rPr>
        <w:t>to </w:t>
      </w:r>
      <w:r>
        <w:rPr>
          <w:color w:val="3A383A"/>
          <w:w w:val="110"/>
          <w:sz w:val="21"/>
        </w:rPr>
        <w:t>expect </w:t>
      </w:r>
      <w:r>
        <w:rPr>
          <w:color w:val="4B4B4D"/>
          <w:w w:val="110"/>
          <w:sz w:val="21"/>
        </w:rPr>
        <w:t>each </w:t>
      </w:r>
      <w:r>
        <w:rPr>
          <w:color w:val="3A383A"/>
          <w:w w:val="110"/>
          <w:sz w:val="21"/>
        </w:rPr>
        <w:t>of </w:t>
      </w:r>
      <w:r>
        <w:rPr>
          <w:color w:val="4B4B4D"/>
          <w:w w:val="110"/>
          <w:sz w:val="21"/>
        </w:rPr>
        <w:t>[the] </w:t>
      </w:r>
      <w:r>
        <w:rPr>
          <w:color w:val="3A383A"/>
          <w:w w:val="110"/>
          <w:sz w:val="21"/>
        </w:rPr>
        <w:t>read­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ers to peruse carefully and reflectively from beginning to end. Perhaps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05"/>
          <w:sz w:val="21"/>
        </w:rPr>
        <w:t>the  writer of an  opinion reads a brief this way. But for other members of</w:t>
      </w:r>
      <w:r>
        <w:rPr>
          <w:color w:val="3A383A"/>
          <w:spacing w:val="1"/>
          <w:w w:val="105"/>
          <w:sz w:val="21"/>
        </w:rPr>
        <w:t> </w:t>
      </w:r>
      <w:r>
        <w:rPr>
          <w:color w:val="3A383A"/>
          <w:w w:val="110"/>
          <w:sz w:val="21"/>
        </w:rPr>
        <w:t>the Court these documents necessarily </w:t>
      </w:r>
      <w:r>
        <w:rPr>
          <w:color w:val="4B4B4D"/>
          <w:w w:val="110"/>
          <w:sz w:val="21"/>
        </w:rPr>
        <w:t>serve </w:t>
      </w:r>
      <w:r>
        <w:rPr>
          <w:color w:val="3A383A"/>
          <w:w w:val="110"/>
          <w:sz w:val="21"/>
        </w:rPr>
        <w:t>a different function than the</w:t>
      </w:r>
      <w:r>
        <w:rPr>
          <w:color w:val="3A383A"/>
          <w:spacing w:val="-55"/>
          <w:w w:val="110"/>
          <w:sz w:val="21"/>
        </w:rPr>
        <w:t> </w:t>
      </w:r>
      <w:r>
        <w:rPr>
          <w:color w:val="3A383A"/>
          <w:w w:val="110"/>
          <w:sz w:val="21"/>
        </w:rPr>
        <w:t>communication simply of a connected line of thought. They are docu­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ments</w:t>
      </w:r>
      <w:r>
        <w:rPr>
          <w:color w:val="3A383A"/>
          <w:spacing w:val="-5"/>
          <w:w w:val="110"/>
          <w:sz w:val="21"/>
        </w:rPr>
        <w:t> </w:t>
      </w:r>
      <w:r>
        <w:rPr>
          <w:color w:val="3A383A"/>
          <w:w w:val="110"/>
          <w:sz w:val="21"/>
        </w:rPr>
        <w:t>from</w:t>
      </w:r>
      <w:r>
        <w:rPr>
          <w:color w:val="3A383A"/>
          <w:spacing w:val="14"/>
          <w:w w:val="110"/>
          <w:sz w:val="21"/>
        </w:rPr>
        <w:t> </w:t>
      </w:r>
      <w:r>
        <w:rPr>
          <w:color w:val="3A383A"/>
          <w:w w:val="110"/>
          <w:sz w:val="21"/>
        </w:rPr>
        <w:t>which</w:t>
      </w:r>
      <w:r>
        <w:rPr>
          <w:color w:val="3A383A"/>
          <w:spacing w:val="19"/>
          <w:w w:val="110"/>
          <w:sz w:val="21"/>
        </w:rPr>
        <w:t> </w:t>
      </w:r>
      <w:r>
        <w:rPr>
          <w:color w:val="3A383A"/>
          <w:w w:val="110"/>
          <w:sz w:val="21"/>
        </w:rPr>
        <w:t>busy</w:t>
      </w:r>
      <w:r>
        <w:rPr>
          <w:color w:val="3A383A"/>
          <w:spacing w:val="-2"/>
          <w:w w:val="110"/>
          <w:sz w:val="21"/>
        </w:rPr>
        <w:t> </w:t>
      </w:r>
      <w:r>
        <w:rPr>
          <w:color w:val="3A383A"/>
          <w:w w:val="110"/>
          <w:sz w:val="21"/>
        </w:rPr>
        <w:t>[people)</w:t>
      </w:r>
      <w:r>
        <w:rPr>
          <w:color w:val="3A383A"/>
          <w:spacing w:val="21"/>
          <w:w w:val="110"/>
          <w:sz w:val="21"/>
        </w:rPr>
        <w:t> </w:t>
      </w:r>
      <w:r>
        <w:rPr>
          <w:color w:val="3A383A"/>
          <w:w w:val="110"/>
          <w:sz w:val="21"/>
        </w:rPr>
        <w:t>have</w:t>
      </w:r>
      <w:r>
        <w:rPr>
          <w:color w:val="3A383A"/>
          <w:spacing w:val="6"/>
          <w:w w:val="110"/>
          <w:sz w:val="21"/>
        </w:rPr>
        <w:t> </w:t>
      </w:r>
      <w:r>
        <w:rPr>
          <w:color w:val="3A383A"/>
          <w:w w:val="110"/>
          <w:sz w:val="21"/>
        </w:rPr>
        <w:t>to</w:t>
      </w:r>
      <w:r>
        <w:rPr>
          <w:color w:val="3A383A"/>
          <w:spacing w:val="4"/>
          <w:w w:val="110"/>
          <w:sz w:val="21"/>
        </w:rPr>
        <w:t> </w:t>
      </w:r>
      <w:r>
        <w:rPr>
          <w:color w:val="3A383A"/>
          <w:w w:val="110"/>
          <w:sz w:val="21"/>
        </w:rPr>
        <w:t>extract</w:t>
      </w:r>
      <w:r>
        <w:rPr>
          <w:color w:val="3A383A"/>
          <w:spacing w:val="21"/>
          <w:w w:val="110"/>
          <w:sz w:val="21"/>
        </w:rPr>
        <w:t> </w:t>
      </w:r>
      <w:r>
        <w:rPr>
          <w:color w:val="3A383A"/>
          <w:w w:val="110"/>
          <w:sz w:val="21"/>
        </w:rPr>
        <w:t>the</w:t>
      </w:r>
      <w:r>
        <w:rPr>
          <w:color w:val="3A383A"/>
          <w:spacing w:val="17"/>
          <w:w w:val="110"/>
          <w:sz w:val="21"/>
        </w:rPr>
        <w:t> </w:t>
      </w:r>
      <w:r>
        <w:rPr>
          <w:color w:val="3A383A"/>
          <w:w w:val="110"/>
          <w:sz w:val="21"/>
        </w:rPr>
        <w:t>gist</w:t>
      </w:r>
      <w:r>
        <w:rPr>
          <w:color w:val="3A383A"/>
          <w:spacing w:val="9"/>
          <w:w w:val="110"/>
          <w:sz w:val="21"/>
        </w:rPr>
        <w:t> </w:t>
      </w:r>
      <w:r>
        <w:rPr>
          <w:color w:val="3A383A"/>
          <w:w w:val="110"/>
          <w:sz w:val="21"/>
        </w:rPr>
        <w:t>in</w:t>
      </w:r>
      <w:r>
        <w:rPr>
          <w:color w:val="3A383A"/>
          <w:spacing w:val="25"/>
          <w:w w:val="110"/>
          <w:sz w:val="21"/>
        </w:rPr>
        <w:t> </w:t>
      </w:r>
      <w:r>
        <w:rPr>
          <w:color w:val="3A383A"/>
          <w:w w:val="110"/>
          <w:sz w:val="21"/>
        </w:rPr>
        <w:t>a</w:t>
      </w:r>
      <w:r>
        <w:rPr>
          <w:color w:val="3A383A"/>
          <w:spacing w:val="31"/>
          <w:w w:val="110"/>
          <w:sz w:val="21"/>
        </w:rPr>
        <w:t> </w:t>
      </w:r>
      <w:r>
        <w:rPr>
          <w:color w:val="3A383A"/>
          <w:w w:val="140"/>
          <w:sz w:val="21"/>
        </w:rPr>
        <w:t>hurry....</w:t>
      </w:r>
    </w:p>
    <w:p>
      <w:pPr>
        <w:spacing w:line="240" w:lineRule="auto" w:before="0"/>
        <w:ind w:left="1048" w:right="445" w:firstLine="27"/>
        <w:jc w:val="both"/>
        <w:rPr>
          <w:sz w:val="21"/>
        </w:rPr>
      </w:pPr>
      <w:r>
        <w:rPr>
          <w:color w:val="3A383A"/>
          <w:w w:val="110"/>
          <w:sz w:val="21"/>
        </w:rPr>
        <w:t>Briefs on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the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merits need not only tell their story to one who takes the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4B4B4D"/>
          <w:w w:val="110"/>
          <w:sz w:val="21"/>
        </w:rPr>
        <w:t>time </w:t>
      </w:r>
      <w:r>
        <w:rPr>
          <w:color w:val="3A383A"/>
          <w:w w:val="110"/>
          <w:sz w:val="21"/>
        </w:rPr>
        <w:t>to read all the </w:t>
      </w:r>
      <w:r>
        <w:rPr>
          <w:color w:val="4B4B4D"/>
          <w:w w:val="110"/>
          <w:sz w:val="21"/>
        </w:rPr>
        <w:t>way </w:t>
      </w:r>
      <w:r>
        <w:rPr>
          <w:color w:val="3A383A"/>
          <w:w w:val="110"/>
          <w:sz w:val="21"/>
        </w:rPr>
        <w:t>through them, but to be so organized that they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4B4B4D"/>
          <w:w w:val="110"/>
          <w:sz w:val="21"/>
        </w:rPr>
        <w:t>can </w:t>
      </w:r>
      <w:r>
        <w:rPr>
          <w:color w:val="3A383A"/>
          <w:w w:val="110"/>
          <w:sz w:val="21"/>
        </w:rPr>
        <w:t>be used, like a book </w:t>
      </w:r>
      <w:r>
        <w:rPr>
          <w:color w:val="4B4B4D"/>
          <w:w w:val="110"/>
          <w:sz w:val="21"/>
        </w:rPr>
        <w:t>of </w:t>
      </w:r>
      <w:r>
        <w:rPr>
          <w:color w:val="3A383A"/>
          <w:w w:val="110"/>
          <w:sz w:val="21"/>
        </w:rPr>
        <w:t>reference, for quick illumination on any par­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5"/>
          <w:sz w:val="21"/>
        </w:rPr>
        <w:t>ticular</w:t>
      </w:r>
      <w:r>
        <w:rPr>
          <w:color w:val="3A383A"/>
          <w:spacing w:val="-12"/>
          <w:w w:val="115"/>
          <w:sz w:val="21"/>
        </w:rPr>
        <w:t> </w:t>
      </w:r>
      <w:r>
        <w:rPr>
          <w:color w:val="3A383A"/>
          <w:w w:val="115"/>
          <w:sz w:val="21"/>
        </w:rPr>
        <w:t>point</w:t>
      </w:r>
      <w:r>
        <w:rPr>
          <w:color w:val="3A383A"/>
          <w:spacing w:val="-13"/>
          <w:w w:val="115"/>
          <w:sz w:val="21"/>
        </w:rPr>
        <w:t> </w:t>
      </w:r>
      <w:r>
        <w:rPr>
          <w:color w:val="3A383A"/>
          <w:w w:val="115"/>
          <w:sz w:val="21"/>
        </w:rPr>
        <w:t>of</w:t>
      </w:r>
      <w:r>
        <w:rPr>
          <w:color w:val="3A383A"/>
          <w:spacing w:val="-5"/>
          <w:w w:val="115"/>
          <w:sz w:val="21"/>
        </w:rPr>
        <w:t> </w:t>
      </w:r>
      <w:r>
        <w:rPr>
          <w:color w:val="3A383A"/>
          <w:w w:val="115"/>
          <w:sz w:val="21"/>
        </w:rPr>
        <w:t>concern.'</w:t>
      </w:r>
    </w:p>
    <w:p>
      <w:pPr>
        <w:pStyle w:val="BodyText"/>
        <w:spacing w:line="235" w:lineRule="auto" w:before="123"/>
        <w:ind w:left="657" w:right="134" w:firstLine="378"/>
        <w:jc w:val="both"/>
      </w:pPr>
      <w:r>
        <w:rPr>
          <w:color w:val="3A383A"/>
          <w:w w:val="110"/>
        </w:rPr>
        <w:t>Because your document will be </w:t>
      </w:r>
      <w:r>
        <w:rPr>
          <w:rFonts w:ascii="Arial"/>
          <w:i/>
          <w:color w:val="3A383A"/>
          <w:w w:val="110"/>
          <w:sz w:val="21"/>
        </w:rPr>
        <w:t>used, </w:t>
      </w:r>
      <w:r>
        <w:rPr>
          <w:color w:val="3A383A"/>
          <w:w w:val="110"/>
        </w:rPr>
        <w:t>not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just </w:t>
      </w:r>
      <w:r>
        <w:rPr>
          <w:rFonts w:ascii="Arial"/>
          <w:i/>
          <w:color w:val="3A383A"/>
          <w:w w:val="110"/>
          <w:sz w:val="21"/>
        </w:rPr>
        <w:t>read, </w:t>
      </w:r>
      <w:r>
        <w:rPr>
          <w:color w:val="3A383A"/>
          <w:w w:val="110"/>
        </w:rPr>
        <w:t>it not only must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be forused and well organized, but it also must highlight that focus and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organization for those who are reading and  using the document </w:t>
      </w:r>
      <w:r>
        <w:rPr>
          <w:color w:val="3A383A"/>
          <w:w w:val="110"/>
          <w:sz w:val="21"/>
        </w:rPr>
        <w:t>in </w:t>
      </w:r>
      <w:r>
        <w:rPr>
          <w:color w:val="3A383A"/>
          <w:w w:val="110"/>
        </w:rPr>
        <w:t>both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its</w:t>
      </w:r>
      <w:r>
        <w:rPr>
          <w:color w:val="3A383A"/>
          <w:spacing w:val="-6"/>
          <w:w w:val="110"/>
        </w:rPr>
        <w:t> </w:t>
      </w:r>
      <w:r>
        <w:rPr>
          <w:color w:val="3A383A"/>
          <w:w w:val="110"/>
        </w:rPr>
        <w:t>hard-copy</w:t>
      </w:r>
      <w:r>
        <w:rPr>
          <w:color w:val="3A383A"/>
          <w:spacing w:val="-11"/>
          <w:w w:val="110"/>
        </w:rPr>
        <w:t> </w:t>
      </w:r>
      <w:r>
        <w:rPr>
          <w:color w:val="3A383A"/>
          <w:w w:val="110"/>
        </w:rPr>
        <w:t>and</w:t>
      </w:r>
      <w:r>
        <w:rPr>
          <w:color w:val="3A383A"/>
          <w:spacing w:val="26"/>
          <w:w w:val="110"/>
        </w:rPr>
        <w:t> </w:t>
      </w:r>
      <w:r>
        <w:rPr>
          <w:color w:val="3A383A"/>
          <w:w w:val="110"/>
        </w:rPr>
        <w:t>digital</w:t>
      </w:r>
      <w:r>
        <w:rPr>
          <w:color w:val="3A383A"/>
          <w:spacing w:val="-3"/>
          <w:w w:val="110"/>
        </w:rPr>
        <w:t> </w:t>
      </w:r>
      <w:r>
        <w:rPr>
          <w:color w:val="3A383A"/>
          <w:w w:val="110"/>
        </w:rPr>
        <w:t>forms.</w:t>
      </w:r>
    </w:p>
    <w:p>
      <w:pPr>
        <w:pStyle w:val="BodyText"/>
        <w:spacing w:line="232" w:lineRule="auto" w:before="6"/>
        <w:ind w:left="627" w:right="133" w:firstLine="389"/>
        <w:jc w:val="both"/>
      </w:pPr>
      <w:r>
        <w:rPr>
          <w:color w:val="3A383A"/>
          <w:w w:val="110"/>
        </w:rPr>
        <w:t>Even after you have written a complete draft that says what you want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0"/>
          <w:sz w:val="21"/>
        </w:rPr>
        <w:t>it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</w:rPr>
        <w:t>to say, it may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still be only a "writer-based" document. That is, it is a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document that only the writer can understand and use effectively. At this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05"/>
        </w:rPr>
        <w:t>stage of the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writing process, it is time to remember the lessons of the social</w:t>
      </w:r>
      <w:r>
        <w:rPr>
          <w:color w:val="3A383A"/>
          <w:spacing w:val="1"/>
          <w:w w:val="105"/>
        </w:rPr>
        <w:t> </w:t>
      </w:r>
      <w:r>
        <w:rPr>
          <w:color w:val="3A383A"/>
          <w:spacing w:val="-1"/>
          <w:w w:val="110"/>
        </w:rPr>
        <w:t>perspective school of writing theory: Consider the needs </w:t>
      </w:r>
      <w:r>
        <w:rPr>
          <w:color w:val="3A383A"/>
          <w:w w:val="110"/>
        </w:rPr>
        <w:t>of your audience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0"/>
        </w:rPr>
        <w:t>and make your document a </w:t>
      </w:r>
      <w:r>
        <w:rPr>
          <w:color w:val="4B4B4D"/>
          <w:w w:val="110"/>
        </w:rPr>
        <w:t>"reader-based" </w:t>
      </w:r>
      <w:r>
        <w:rPr>
          <w:color w:val="3A383A"/>
          <w:w w:val="110"/>
        </w:rPr>
        <w:t>and "user-based" document, a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document that is written and organized to promote understanding byoth­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ers,</w:t>
      </w:r>
      <w:r>
        <w:rPr>
          <w:color w:val="3A383A"/>
          <w:spacing w:val="4"/>
          <w:w w:val="110"/>
        </w:rPr>
        <w:t> </w:t>
      </w:r>
      <w:r>
        <w:rPr>
          <w:color w:val="3A383A"/>
          <w:w w:val="110"/>
        </w:rPr>
        <w:t>no</w:t>
      </w:r>
      <w:r>
        <w:rPr>
          <w:color w:val="3A383A"/>
          <w:spacing w:val="34"/>
          <w:w w:val="110"/>
        </w:rPr>
        <w:t> </w:t>
      </w:r>
      <w:r>
        <w:rPr>
          <w:color w:val="3A383A"/>
          <w:w w:val="110"/>
        </w:rPr>
        <w:t>matter</w:t>
      </w:r>
      <w:r>
        <w:rPr>
          <w:color w:val="3A383A"/>
          <w:spacing w:val="3"/>
          <w:w w:val="110"/>
        </w:rPr>
        <w:t> </w:t>
      </w:r>
      <w:r>
        <w:rPr>
          <w:color w:val="3A383A"/>
          <w:w w:val="110"/>
        </w:rPr>
        <w:t>when</w:t>
      </w:r>
      <w:r>
        <w:rPr>
          <w:color w:val="3A383A"/>
          <w:spacing w:val="3"/>
          <w:w w:val="110"/>
        </w:rPr>
        <w:t> </w:t>
      </w:r>
      <w:r>
        <w:rPr>
          <w:color w:val="3A383A"/>
          <w:w w:val="110"/>
        </w:rPr>
        <w:t>or</w:t>
      </w:r>
      <w:r>
        <w:rPr>
          <w:color w:val="3A383A"/>
          <w:spacing w:val="9"/>
          <w:w w:val="110"/>
        </w:rPr>
        <w:t> </w:t>
      </w:r>
      <w:r>
        <w:rPr>
          <w:color w:val="3A383A"/>
          <w:w w:val="110"/>
        </w:rPr>
        <w:t>how</w:t>
      </w:r>
      <w:r>
        <w:rPr>
          <w:color w:val="3A383A"/>
          <w:spacing w:val="-8"/>
          <w:w w:val="110"/>
        </w:rPr>
        <w:t> </w:t>
      </w:r>
      <w:r>
        <w:rPr>
          <w:color w:val="3A383A"/>
          <w:w w:val="110"/>
        </w:rPr>
        <w:t>they</w:t>
      </w:r>
      <w:r>
        <w:rPr>
          <w:color w:val="3A383A"/>
          <w:spacing w:val="-12"/>
          <w:w w:val="110"/>
        </w:rPr>
        <w:t> </w:t>
      </w:r>
      <w:r>
        <w:rPr>
          <w:color w:val="3A383A"/>
          <w:w w:val="110"/>
        </w:rPr>
        <w:t>are</w:t>
      </w:r>
      <w:r>
        <w:rPr>
          <w:color w:val="3A383A"/>
          <w:spacing w:val="-19"/>
          <w:w w:val="110"/>
        </w:rPr>
        <w:t> </w:t>
      </w:r>
      <w:r>
        <w:rPr>
          <w:color w:val="3A383A"/>
          <w:w w:val="110"/>
        </w:rPr>
        <w:t>encountering</w:t>
      </w:r>
      <w:r>
        <w:rPr>
          <w:color w:val="3A383A"/>
          <w:spacing w:val="17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15"/>
          <w:w w:val="110"/>
        </w:rPr>
        <w:t> </w:t>
      </w:r>
      <w:r>
        <w:rPr>
          <w:color w:val="3A383A"/>
          <w:w w:val="110"/>
        </w:rPr>
        <w:t>document.</w:t>
      </w:r>
    </w:p>
    <w:p>
      <w:pPr>
        <w:pStyle w:val="BodyText"/>
        <w:spacing w:line="230" w:lineRule="auto" w:before="10"/>
        <w:ind w:left="551" w:right="144" w:firstLine="424"/>
        <w:jc w:val="both"/>
      </w:pPr>
      <w:r>
        <w:rPr>
          <w:color w:val="3A383A"/>
          <w:w w:val="110"/>
        </w:rPr>
        <w:t>There</w:t>
      </w:r>
      <w:r>
        <w:rPr>
          <w:color w:val="3A383A"/>
          <w:spacing w:val="-19"/>
          <w:w w:val="110"/>
        </w:rPr>
        <w:t> </w:t>
      </w:r>
      <w:r>
        <w:rPr>
          <w:color w:val="3A383A"/>
          <w:w w:val="110"/>
        </w:rPr>
        <w:t>are</w:t>
      </w:r>
      <w:r>
        <w:rPr>
          <w:color w:val="3A383A"/>
          <w:spacing w:val="-5"/>
          <w:w w:val="110"/>
        </w:rPr>
        <w:t> </w:t>
      </w:r>
      <w:r>
        <w:rPr>
          <w:color w:val="3A383A"/>
          <w:w w:val="110"/>
        </w:rPr>
        <w:t>various</w:t>
      </w:r>
      <w:r>
        <w:rPr>
          <w:color w:val="3A383A"/>
          <w:spacing w:val="6"/>
          <w:w w:val="110"/>
        </w:rPr>
        <w:t> </w:t>
      </w:r>
      <w:r>
        <w:rPr>
          <w:color w:val="3A383A"/>
          <w:w w:val="110"/>
        </w:rPr>
        <w:t>techniques</w:t>
      </w:r>
      <w:r>
        <w:rPr>
          <w:color w:val="3A383A"/>
          <w:spacing w:val="6"/>
          <w:w w:val="110"/>
        </w:rPr>
        <w:t> </w:t>
      </w:r>
      <w:r>
        <w:rPr>
          <w:color w:val="3A383A"/>
          <w:w w:val="110"/>
        </w:rPr>
        <w:t>that</w:t>
      </w:r>
      <w:r>
        <w:rPr>
          <w:color w:val="3A383A"/>
          <w:spacing w:val="-15"/>
          <w:w w:val="110"/>
        </w:rPr>
        <w:t> </w:t>
      </w:r>
      <w:r>
        <w:rPr>
          <w:color w:val="3A383A"/>
          <w:w w:val="110"/>
        </w:rPr>
        <w:t>youcan</w:t>
      </w:r>
      <w:r>
        <w:rPr>
          <w:color w:val="3A383A"/>
          <w:spacing w:val="-17"/>
          <w:w w:val="110"/>
        </w:rPr>
        <w:t> </w:t>
      </w:r>
      <w:r>
        <w:rPr>
          <w:color w:val="3A383A"/>
          <w:w w:val="110"/>
        </w:rPr>
        <w:t>use</w:t>
      </w:r>
      <w:r>
        <w:rPr>
          <w:color w:val="3A383A"/>
          <w:spacing w:val="-3"/>
          <w:w w:val="110"/>
        </w:rPr>
        <w:t> </w:t>
      </w:r>
      <w:r>
        <w:rPr>
          <w:color w:val="3A383A"/>
          <w:w w:val="110"/>
        </w:rPr>
        <w:t>to</w:t>
      </w:r>
      <w:r>
        <w:rPr>
          <w:color w:val="3A383A"/>
          <w:spacing w:val="7"/>
          <w:w w:val="110"/>
        </w:rPr>
        <w:t> </w:t>
      </w:r>
      <w:r>
        <w:rPr>
          <w:color w:val="3A383A"/>
          <w:w w:val="110"/>
        </w:rPr>
        <w:t>make</w:t>
      </w:r>
      <w:r>
        <w:rPr>
          <w:color w:val="3A383A"/>
          <w:spacing w:val="-11"/>
          <w:w w:val="110"/>
        </w:rPr>
        <w:t> </w:t>
      </w:r>
      <w:r>
        <w:rPr>
          <w:color w:val="3A383A"/>
          <w:w w:val="110"/>
        </w:rPr>
        <w:t>your</w:t>
      </w:r>
      <w:r>
        <w:rPr>
          <w:color w:val="3A383A"/>
          <w:spacing w:val="-10"/>
          <w:w w:val="110"/>
        </w:rPr>
        <w:t> </w:t>
      </w:r>
      <w:r>
        <w:rPr>
          <w:color w:val="3A383A"/>
          <w:w w:val="110"/>
        </w:rPr>
        <w:t>documents</w:t>
      </w:r>
      <w:r>
        <w:rPr>
          <w:color w:val="3A383A"/>
          <w:spacing w:val="-61"/>
          <w:w w:val="110"/>
        </w:rPr>
        <w:t> </w:t>
      </w:r>
      <w:r>
        <w:rPr>
          <w:color w:val="3A383A"/>
          <w:spacing w:val="-1"/>
          <w:w w:val="110"/>
        </w:rPr>
        <w:t>both </w:t>
      </w:r>
      <w:r>
        <w:rPr>
          <w:color w:val="3A383A"/>
          <w:w w:val="110"/>
        </w:rPr>
        <w:t>reader-friendly and user-friendly. First, include explicit connections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so that the reader can understand how each part of the argument supports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your thesis. Second,  through this technique and  others, make sure that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05"/>
        </w:rPr>
        <w:t>you provide the reader with context when necessary. Finally, use headings,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10"/>
        </w:rPr>
        <w:t>topic sentences, and other techniques to make sure that </w:t>
      </w:r>
      <w:r>
        <w:rPr>
          <w:color w:val="4B4B4D"/>
          <w:w w:val="110"/>
        </w:rPr>
        <w:t>the </w:t>
      </w:r>
      <w:r>
        <w:rPr>
          <w:color w:val="3A383A"/>
          <w:w w:val="110"/>
        </w:rPr>
        <w:t>user can easily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0"/>
        </w:rPr>
        <w:t>find information within the document. As you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will </w:t>
      </w:r>
      <w:r>
        <w:rPr>
          <w:color w:val="4B4B4D"/>
          <w:w w:val="110"/>
        </w:rPr>
        <w:t>see, </w:t>
      </w:r>
      <w:r>
        <w:rPr>
          <w:color w:val="3A383A"/>
          <w:w w:val="110"/>
        </w:rPr>
        <w:t>these techniques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have substantive as well as organizational benefits to both hard-copy and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digital</w:t>
      </w:r>
      <w:r>
        <w:rPr>
          <w:color w:val="3A383A"/>
          <w:spacing w:val="6"/>
          <w:w w:val="110"/>
        </w:rPr>
        <w:t> </w:t>
      </w:r>
      <w:r>
        <w:rPr>
          <w:color w:val="3A383A"/>
          <w:w w:val="110"/>
        </w:rPr>
        <w:t>readers.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spacing w:line="228" w:lineRule="auto" w:before="0"/>
        <w:ind w:left="480" w:right="149" w:firstLine="404"/>
        <w:jc w:val="both"/>
        <w:rPr>
          <w:sz w:val="18"/>
        </w:rPr>
      </w:pPr>
      <w:r>
        <w:rPr>
          <w:color w:val="3A383A"/>
          <w:w w:val="105"/>
          <w:sz w:val="18"/>
          <w:vertAlign w:val="superscript"/>
        </w:rPr>
        <w:t>1</w:t>
      </w:r>
      <w:r>
        <w:rPr>
          <w:color w:val="3A383A"/>
          <w:spacing w:val="-26"/>
          <w:w w:val="105"/>
          <w:sz w:val="18"/>
          <w:vertAlign w:val="baseline"/>
        </w:rPr>
        <w:t> </w:t>
      </w:r>
      <w:r>
        <w:rPr>
          <w:color w:val="3A383A"/>
          <w:w w:val="105"/>
          <w:sz w:val="18"/>
          <w:vertAlign w:val="baseline"/>
        </w:rPr>
        <w:t>Henry</w:t>
      </w:r>
      <w:r>
        <w:rPr>
          <w:color w:val="3A383A"/>
          <w:spacing w:val="-9"/>
          <w:w w:val="105"/>
          <w:sz w:val="18"/>
          <w:vertAlign w:val="baseline"/>
        </w:rPr>
        <w:t> </w:t>
      </w:r>
      <w:r>
        <w:rPr>
          <w:color w:val="3A383A"/>
          <w:w w:val="105"/>
          <w:sz w:val="18"/>
          <w:vertAlign w:val="baseline"/>
        </w:rPr>
        <w:t>M.</w:t>
      </w:r>
      <w:r>
        <w:rPr>
          <w:color w:val="3A383A"/>
          <w:spacing w:val="-5"/>
          <w:w w:val="105"/>
          <w:sz w:val="18"/>
          <w:vertAlign w:val="baseline"/>
        </w:rPr>
        <w:t> </w:t>
      </w:r>
      <w:r>
        <w:rPr>
          <w:color w:val="3A383A"/>
          <w:w w:val="105"/>
          <w:sz w:val="18"/>
          <w:vertAlign w:val="baseline"/>
        </w:rPr>
        <w:t>Hart,</w:t>
      </w:r>
      <w:r>
        <w:rPr>
          <w:color w:val="3A383A"/>
          <w:spacing w:val="-23"/>
          <w:w w:val="105"/>
          <w:sz w:val="18"/>
          <w:vertAlign w:val="baseline"/>
        </w:rPr>
        <w:t> </w:t>
      </w:r>
      <w:r>
        <w:rPr>
          <w:i/>
          <w:color w:val="3A383A"/>
          <w:w w:val="105"/>
          <w:sz w:val="17"/>
          <w:vertAlign w:val="baseline"/>
        </w:rPr>
        <w:t>Jr.,</w:t>
      </w:r>
      <w:r>
        <w:rPr>
          <w:i/>
          <w:color w:val="3A383A"/>
          <w:spacing w:val="-14"/>
          <w:w w:val="105"/>
          <w:sz w:val="17"/>
          <w:vertAlign w:val="baseline"/>
        </w:rPr>
        <w:t> </w:t>
      </w:r>
      <w:r>
        <w:rPr>
          <w:i/>
          <w:color w:val="3A383A"/>
          <w:w w:val="105"/>
          <w:sz w:val="17"/>
          <w:vertAlign w:val="baseline"/>
        </w:rPr>
        <w:t>The</w:t>
      </w:r>
      <w:r>
        <w:rPr>
          <w:i/>
          <w:color w:val="3A383A"/>
          <w:spacing w:val="15"/>
          <w:w w:val="105"/>
          <w:sz w:val="17"/>
          <w:vertAlign w:val="baseline"/>
        </w:rPr>
        <w:t> </w:t>
      </w:r>
      <w:r>
        <w:rPr>
          <w:i/>
          <w:color w:val="3A383A"/>
          <w:w w:val="105"/>
          <w:sz w:val="17"/>
          <w:vertAlign w:val="baseline"/>
        </w:rPr>
        <w:t>Supreme</w:t>
      </w:r>
      <w:r>
        <w:rPr>
          <w:i/>
          <w:color w:val="3A383A"/>
          <w:spacing w:val="-14"/>
          <w:w w:val="105"/>
          <w:sz w:val="17"/>
          <w:vertAlign w:val="baseline"/>
        </w:rPr>
        <w:t> </w:t>
      </w:r>
      <w:r>
        <w:rPr>
          <w:i/>
          <w:color w:val="3A383A"/>
          <w:w w:val="105"/>
          <w:sz w:val="17"/>
          <w:vertAlign w:val="baseline"/>
        </w:rPr>
        <w:t>Court,</w:t>
      </w:r>
      <w:r>
        <w:rPr>
          <w:i/>
          <w:color w:val="3A383A"/>
          <w:spacing w:val="-20"/>
          <w:w w:val="105"/>
          <w:sz w:val="17"/>
          <w:vertAlign w:val="baseline"/>
        </w:rPr>
        <w:t> </w:t>
      </w:r>
      <w:r>
        <w:rPr>
          <w:i/>
          <w:color w:val="3A383A"/>
          <w:w w:val="105"/>
          <w:sz w:val="17"/>
          <w:vertAlign w:val="baseline"/>
        </w:rPr>
        <w:t>1958</w:t>
      </w:r>
      <w:r>
        <w:rPr>
          <w:i/>
          <w:color w:val="3A383A"/>
          <w:spacing w:val="-23"/>
          <w:w w:val="105"/>
          <w:sz w:val="17"/>
          <w:vertAlign w:val="baseline"/>
        </w:rPr>
        <w:t> </w:t>
      </w:r>
      <w:r>
        <w:rPr>
          <w:i/>
          <w:color w:val="3A383A"/>
          <w:w w:val="105"/>
          <w:sz w:val="17"/>
          <w:vertAlign w:val="baseline"/>
        </w:rPr>
        <w:t>Tenn,</w:t>
      </w:r>
      <w:r>
        <w:rPr>
          <w:i/>
          <w:color w:val="3A383A"/>
          <w:spacing w:val="-16"/>
          <w:w w:val="105"/>
          <w:sz w:val="17"/>
          <w:vertAlign w:val="baseline"/>
        </w:rPr>
        <w:t> </w:t>
      </w:r>
      <w:r>
        <w:rPr>
          <w:i/>
          <w:color w:val="3A383A"/>
          <w:w w:val="105"/>
          <w:sz w:val="17"/>
          <w:vertAlign w:val="baseline"/>
        </w:rPr>
        <w:t>Foreword:</w:t>
      </w:r>
      <w:r>
        <w:rPr>
          <w:i/>
          <w:color w:val="3A383A"/>
          <w:spacing w:val="-13"/>
          <w:w w:val="105"/>
          <w:sz w:val="17"/>
          <w:vertAlign w:val="baseline"/>
        </w:rPr>
        <w:t> </w:t>
      </w:r>
      <w:r>
        <w:rPr>
          <w:i/>
          <w:color w:val="3A383A"/>
          <w:w w:val="105"/>
          <w:sz w:val="17"/>
          <w:vertAlign w:val="baseline"/>
        </w:rPr>
        <w:t>The</w:t>
      </w:r>
      <w:r>
        <w:rPr>
          <w:i/>
          <w:color w:val="3A383A"/>
          <w:spacing w:val="32"/>
          <w:w w:val="105"/>
          <w:sz w:val="17"/>
          <w:vertAlign w:val="baseline"/>
        </w:rPr>
        <w:t> </w:t>
      </w:r>
      <w:r>
        <w:rPr>
          <w:i/>
          <w:color w:val="3A383A"/>
          <w:w w:val="105"/>
          <w:sz w:val="17"/>
          <w:vertAlign w:val="baseline"/>
        </w:rPr>
        <w:t>Time</w:t>
      </w:r>
      <w:r>
        <w:rPr>
          <w:i/>
          <w:color w:val="3A383A"/>
          <w:spacing w:val="-14"/>
          <w:w w:val="105"/>
          <w:sz w:val="17"/>
          <w:vertAlign w:val="baseline"/>
        </w:rPr>
        <w:t> </w:t>
      </w:r>
      <w:r>
        <w:rPr>
          <w:i/>
          <w:color w:val="3A383A"/>
          <w:w w:val="105"/>
          <w:sz w:val="17"/>
          <w:vertAlign w:val="baseline"/>
        </w:rPr>
        <w:t>Chart</w:t>
      </w:r>
      <w:r>
        <w:rPr>
          <w:i/>
          <w:color w:val="3A383A"/>
          <w:spacing w:val="-5"/>
          <w:w w:val="105"/>
          <w:sz w:val="17"/>
          <w:vertAlign w:val="baseline"/>
        </w:rPr>
        <w:t> </w:t>
      </w:r>
      <w:r>
        <w:rPr>
          <w:i/>
          <w:color w:val="3A383A"/>
          <w:w w:val="105"/>
          <w:sz w:val="17"/>
          <w:vertAlign w:val="baseline"/>
        </w:rPr>
        <w:t>of</w:t>
      </w:r>
      <w:r>
        <w:rPr>
          <w:i/>
          <w:color w:val="3A383A"/>
          <w:spacing w:val="6"/>
          <w:w w:val="105"/>
          <w:sz w:val="17"/>
          <w:vertAlign w:val="baseline"/>
        </w:rPr>
        <w:t> </w:t>
      </w:r>
      <w:r>
        <w:rPr>
          <w:i/>
          <w:color w:val="4B4B4D"/>
          <w:w w:val="105"/>
          <w:sz w:val="17"/>
          <w:vertAlign w:val="baseline"/>
        </w:rPr>
        <w:t>the</w:t>
      </w:r>
      <w:r>
        <w:rPr>
          <w:i/>
          <w:color w:val="4B4B4D"/>
          <w:spacing w:val="-5"/>
          <w:w w:val="105"/>
          <w:sz w:val="17"/>
          <w:vertAlign w:val="baseline"/>
        </w:rPr>
        <w:t> </w:t>
      </w:r>
      <w:r>
        <w:rPr>
          <w:i/>
          <w:color w:val="3A383A"/>
          <w:w w:val="105"/>
          <w:sz w:val="17"/>
          <w:vertAlign w:val="baseline"/>
        </w:rPr>
        <w:t>JusNces,</w:t>
      </w:r>
      <w:r>
        <w:rPr>
          <w:i/>
          <w:color w:val="3A383A"/>
          <w:spacing w:val="-19"/>
          <w:w w:val="105"/>
          <w:sz w:val="17"/>
          <w:vertAlign w:val="baseline"/>
        </w:rPr>
        <w:t> </w:t>
      </w:r>
      <w:r>
        <w:rPr>
          <w:i/>
          <w:color w:val="3A383A"/>
          <w:w w:val="105"/>
          <w:sz w:val="17"/>
          <w:vertAlign w:val="baseline"/>
        </w:rPr>
        <w:t>13</w:t>
      </w:r>
      <w:r>
        <w:rPr>
          <w:i/>
          <w:color w:val="3A383A"/>
          <w:spacing w:val="1"/>
          <w:w w:val="105"/>
          <w:sz w:val="17"/>
          <w:vertAlign w:val="baseline"/>
        </w:rPr>
        <w:t> </w:t>
      </w:r>
      <w:r>
        <w:rPr>
          <w:color w:val="3A383A"/>
          <w:spacing w:val="-1"/>
          <w:w w:val="105"/>
          <w:sz w:val="18"/>
          <w:vertAlign w:val="baseline"/>
        </w:rPr>
        <w:t>Harv. </w:t>
      </w:r>
      <w:r>
        <w:rPr>
          <w:rFonts w:ascii="Arial"/>
          <w:color w:val="3A383A"/>
          <w:spacing w:val="-1"/>
          <w:w w:val="105"/>
          <w:sz w:val="17"/>
          <w:vertAlign w:val="baseline"/>
        </w:rPr>
        <w:t>L. </w:t>
      </w:r>
      <w:r>
        <w:rPr>
          <w:color w:val="3A383A"/>
          <w:spacing w:val="-1"/>
          <w:w w:val="105"/>
          <w:sz w:val="18"/>
          <w:vertAlign w:val="baseline"/>
        </w:rPr>
        <w:t>Rev. 84, 94 </w:t>
      </w:r>
      <w:r>
        <w:rPr>
          <w:color w:val="4B4B4D"/>
          <w:spacing w:val="-1"/>
          <w:w w:val="105"/>
          <w:sz w:val="18"/>
          <w:vertAlign w:val="baseline"/>
        </w:rPr>
        <w:t>(</w:t>
      </w:r>
      <w:r>
        <w:rPr>
          <w:color w:val="3A383A"/>
          <w:spacing w:val="-1"/>
          <w:w w:val="105"/>
          <w:sz w:val="18"/>
          <w:vertAlign w:val="baseline"/>
        </w:rPr>
        <w:t>1959) </w:t>
      </w:r>
      <w:r>
        <w:rPr>
          <w:color w:val="4B4B4D"/>
          <w:spacing w:val="-1"/>
          <w:w w:val="105"/>
          <w:sz w:val="18"/>
          <w:vertAlign w:val="baseline"/>
        </w:rPr>
        <w:t>(cited </w:t>
      </w:r>
      <w:r>
        <w:rPr>
          <w:color w:val="3A383A"/>
          <w:spacing w:val="-1"/>
          <w:w w:val="105"/>
          <w:sz w:val="18"/>
          <w:vertAlign w:val="baseline"/>
        </w:rPr>
        <w:t>In James VanR</w:t>
      </w:r>
      <w:r>
        <w:rPr>
          <w:color w:val="5D5D60"/>
          <w:spacing w:val="-1"/>
          <w:w w:val="105"/>
          <w:sz w:val="18"/>
          <w:vertAlign w:val="baseline"/>
        </w:rPr>
        <w:t>. </w:t>
      </w:r>
      <w:r>
        <w:rPr>
          <w:color w:val="3A383A"/>
          <w:w w:val="105"/>
          <w:sz w:val="18"/>
          <w:vertAlign w:val="baseline"/>
        </w:rPr>
        <w:t>Springer, </w:t>
      </w:r>
      <w:r>
        <w:rPr>
          <w:i/>
          <w:color w:val="3A383A"/>
          <w:w w:val="105"/>
          <w:sz w:val="17"/>
          <w:vertAlign w:val="baseline"/>
        </w:rPr>
        <w:t>Symposium on Supreme </w:t>
      </w:r>
      <w:r>
        <w:rPr>
          <w:i/>
          <w:color w:val="4B4B4D"/>
          <w:w w:val="105"/>
          <w:sz w:val="17"/>
          <w:vertAlign w:val="baseline"/>
        </w:rPr>
        <w:t>Court </w:t>
      </w:r>
      <w:r>
        <w:rPr>
          <w:i/>
          <w:color w:val="3A383A"/>
          <w:w w:val="105"/>
          <w:sz w:val="17"/>
          <w:vertAlign w:val="baseline"/>
        </w:rPr>
        <w:t>Advocacy:</w:t>
      </w:r>
      <w:r>
        <w:rPr>
          <w:i/>
          <w:color w:val="3A383A"/>
          <w:spacing w:val="1"/>
          <w:w w:val="105"/>
          <w:sz w:val="17"/>
          <w:vertAlign w:val="baseline"/>
        </w:rPr>
        <w:t> </w:t>
      </w:r>
      <w:r>
        <w:rPr>
          <w:i/>
          <w:color w:val="3A383A"/>
          <w:w w:val="105"/>
          <w:sz w:val="17"/>
          <w:vertAlign w:val="baseline"/>
        </w:rPr>
        <w:t>Some Suggestions on Preparing Briefs </w:t>
      </w:r>
      <w:r>
        <w:rPr>
          <w:i/>
          <w:color w:val="4B4B4D"/>
          <w:w w:val="105"/>
          <w:sz w:val="17"/>
          <w:vertAlign w:val="baseline"/>
        </w:rPr>
        <w:t>on </w:t>
      </w:r>
      <w:r>
        <w:rPr>
          <w:i/>
          <w:color w:val="3A383A"/>
          <w:w w:val="105"/>
          <w:sz w:val="17"/>
          <w:vertAlign w:val="baseline"/>
        </w:rPr>
        <w:t>the Merits In the Supreme Court of the United States, </w:t>
      </w:r>
      <w:r>
        <w:rPr>
          <w:color w:val="3A383A"/>
          <w:w w:val="105"/>
          <w:sz w:val="17"/>
          <w:vertAlign w:val="baseline"/>
        </w:rPr>
        <w:t>33 Cath.</w:t>
      </w:r>
      <w:r>
        <w:rPr>
          <w:color w:val="3A383A"/>
          <w:spacing w:val="1"/>
          <w:w w:val="105"/>
          <w:sz w:val="17"/>
          <w:vertAlign w:val="baseline"/>
        </w:rPr>
        <w:t> </w:t>
      </w:r>
      <w:r>
        <w:rPr>
          <w:color w:val="3A383A"/>
          <w:w w:val="105"/>
          <w:sz w:val="18"/>
          <w:vertAlign w:val="baseline"/>
        </w:rPr>
        <w:t>U.</w:t>
      </w:r>
      <w:r>
        <w:rPr>
          <w:color w:val="3A383A"/>
          <w:spacing w:val="-22"/>
          <w:w w:val="105"/>
          <w:sz w:val="18"/>
          <w:vertAlign w:val="baseline"/>
        </w:rPr>
        <w:t> </w:t>
      </w:r>
      <w:r>
        <w:rPr>
          <w:rFonts w:ascii="Arial"/>
          <w:color w:val="3A383A"/>
          <w:w w:val="105"/>
          <w:sz w:val="18"/>
          <w:vertAlign w:val="baseline"/>
        </w:rPr>
        <w:t>L</w:t>
      </w:r>
      <w:r>
        <w:rPr>
          <w:rFonts w:ascii="Arial"/>
          <w:color w:val="5D5D60"/>
          <w:w w:val="105"/>
          <w:sz w:val="18"/>
          <w:vertAlign w:val="baseline"/>
        </w:rPr>
        <w:t>.</w:t>
      </w:r>
      <w:r>
        <w:rPr>
          <w:rFonts w:ascii="Arial"/>
          <w:color w:val="5D5D60"/>
          <w:spacing w:val="-8"/>
          <w:w w:val="105"/>
          <w:sz w:val="18"/>
          <w:vertAlign w:val="baseline"/>
        </w:rPr>
        <w:t> </w:t>
      </w:r>
      <w:r>
        <w:rPr>
          <w:color w:val="3A383A"/>
          <w:w w:val="105"/>
          <w:sz w:val="18"/>
          <w:vertAlign w:val="baseline"/>
        </w:rPr>
        <w:t>Rev</w:t>
      </w:r>
      <w:r>
        <w:rPr>
          <w:color w:val="5D5D60"/>
          <w:w w:val="105"/>
          <w:sz w:val="18"/>
          <w:vertAlign w:val="baseline"/>
        </w:rPr>
        <w:t>. </w:t>
      </w:r>
      <w:r>
        <w:rPr>
          <w:i/>
          <w:color w:val="3A383A"/>
          <w:w w:val="105"/>
          <w:sz w:val="17"/>
          <w:vertAlign w:val="baseline"/>
        </w:rPr>
        <w:t>593,</w:t>
      </w:r>
      <w:r>
        <w:rPr>
          <w:i/>
          <w:color w:val="3A383A"/>
          <w:spacing w:val="-22"/>
          <w:w w:val="105"/>
          <w:sz w:val="17"/>
          <w:vertAlign w:val="baseline"/>
        </w:rPr>
        <w:t> </w:t>
      </w:r>
      <w:r>
        <w:rPr>
          <w:i/>
          <w:color w:val="3A383A"/>
          <w:w w:val="105"/>
          <w:sz w:val="17"/>
          <w:vertAlign w:val="baseline"/>
        </w:rPr>
        <w:t>593-94</w:t>
      </w:r>
      <w:r>
        <w:rPr>
          <w:i/>
          <w:color w:val="3A383A"/>
          <w:spacing w:val="1"/>
          <w:w w:val="105"/>
          <w:sz w:val="17"/>
          <w:vertAlign w:val="baseline"/>
        </w:rPr>
        <w:t> </w:t>
      </w:r>
      <w:r>
        <w:rPr>
          <w:color w:val="4B4B4D"/>
          <w:w w:val="105"/>
          <w:sz w:val="18"/>
          <w:vertAlign w:val="baseline"/>
        </w:rPr>
        <w:t>(1984)).</w:t>
      </w:r>
    </w:p>
    <w:p>
      <w:pPr>
        <w:spacing w:after="0" w:line="228" w:lineRule="auto"/>
        <w:jc w:val="both"/>
        <w:rPr>
          <w:sz w:val="18"/>
        </w:rPr>
        <w:sectPr>
          <w:headerReference w:type="even" r:id="rId257"/>
          <w:pgSz w:w="9690" w:h="13960"/>
          <w:pgMar w:header="495" w:footer="0" w:top="1100" w:bottom="280" w:left="1340" w:right="140"/>
          <w:pgNumType w:start="22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92"/>
        </w:numPr>
        <w:tabs>
          <w:tab w:pos="5570" w:val="left" w:leader="none"/>
          <w:tab w:pos="7938" w:val="left" w:leader="none"/>
        </w:tabs>
        <w:spacing w:line="240" w:lineRule="auto" w:before="0" w:after="0"/>
        <w:ind w:left="5569" w:right="0" w:hanging="472"/>
        <w:jc w:val="left"/>
        <w:rPr>
          <w:color w:val="383638"/>
          <w:sz w:val="18"/>
        </w:rPr>
      </w:pPr>
      <w:r>
        <w:rPr>
          <w:color w:val="383638"/>
          <w:sz w:val="18"/>
        </w:rPr>
        <w:t>Find</w:t>
      </w:r>
      <w:r>
        <w:rPr>
          <w:color w:val="383638"/>
          <w:spacing w:val="23"/>
          <w:sz w:val="18"/>
        </w:rPr>
        <w:t> </w:t>
      </w:r>
      <w:r>
        <w:rPr>
          <w:color w:val="494849"/>
          <w:sz w:val="18"/>
        </w:rPr>
        <w:t>Your</w:t>
      </w:r>
      <w:r>
        <w:rPr>
          <w:color w:val="494849"/>
          <w:spacing w:val="14"/>
          <w:sz w:val="18"/>
        </w:rPr>
        <w:t> </w:t>
      </w:r>
      <w:r>
        <w:rPr>
          <w:color w:val="494849"/>
          <w:sz w:val="18"/>
        </w:rPr>
        <w:t>"Kevin</w:t>
      </w:r>
      <w:r>
        <w:rPr>
          <w:color w:val="494849"/>
          <w:spacing w:val="34"/>
          <w:sz w:val="18"/>
        </w:rPr>
        <w:t> </w:t>
      </w:r>
      <w:r>
        <w:rPr>
          <w:color w:val="383638"/>
          <w:sz w:val="18"/>
        </w:rPr>
        <w:t>Bacon"</w:t>
        <w:tab/>
      </w:r>
      <w:r>
        <w:rPr>
          <w:i/>
          <w:color w:val="383638"/>
          <w:sz w:val="20"/>
        </w:rPr>
        <w:t>'1.29</w:t>
      </w:r>
    </w:p>
    <w:p>
      <w:pPr>
        <w:pStyle w:val="BodyText"/>
        <w:rPr>
          <w:i/>
          <w:sz w:val="22"/>
        </w:rPr>
      </w:pPr>
    </w:p>
    <w:p>
      <w:pPr>
        <w:pStyle w:val="BodyText"/>
        <w:spacing w:before="1"/>
        <w:rPr>
          <w:i/>
          <w:sz w:val="21"/>
        </w:rPr>
      </w:pPr>
    </w:p>
    <w:p>
      <w:pPr>
        <w:spacing w:before="0"/>
        <w:ind w:left="665" w:right="0" w:firstLine="0"/>
        <w:jc w:val="left"/>
        <w:rPr>
          <w:rFonts w:ascii="Arial"/>
          <w:b/>
          <w:sz w:val="33"/>
        </w:rPr>
      </w:pPr>
      <w:r>
        <w:rPr>
          <w:rFonts w:ascii="Arial"/>
          <w:b/>
          <w:color w:val="383638"/>
          <w:w w:val="105"/>
          <w:sz w:val="33"/>
        </w:rPr>
        <w:t>10.1</w:t>
      </w:r>
    </w:p>
    <w:p>
      <w:pPr>
        <w:spacing w:before="72"/>
        <w:ind w:left="653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383638"/>
          <w:w w:val="105"/>
          <w:sz w:val="26"/>
        </w:rPr>
        <w:t>FIND</w:t>
      </w:r>
      <w:r>
        <w:rPr>
          <w:rFonts w:ascii="Arial"/>
          <w:b/>
          <w:color w:val="383638"/>
          <w:spacing w:val="2"/>
          <w:w w:val="105"/>
          <w:sz w:val="26"/>
        </w:rPr>
        <w:t> </w:t>
      </w:r>
      <w:r>
        <w:rPr>
          <w:rFonts w:ascii="Arial"/>
          <w:b/>
          <w:color w:val="383638"/>
          <w:w w:val="105"/>
          <w:sz w:val="26"/>
        </w:rPr>
        <w:t>YOUR</w:t>
      </w:r>
      <w:r>
        <w:rPr>
          <w:rFonts w:ascii="Arial"/>
          <w:b/>
          <w:color w:val="383638"/>
          <w:spacing w:val="19"/>
          <w:w w:val="105"/>
          <w:sz w:val="26"/>
        </w:rPr>
        <w:t> </w:t>
      </w:r>
      <w:r>
        <w:rPr>
          <w:rFonts w:ascii="Arial"/>
          <w:b/>
          <w:color w:val="383638"/>
          <w:w w:val="105"/>
          <w:sz w:val="26"/>
        </w:rPr>
        <w:t>"KEV</w:t>
      </w:r>
      <w:r>
        <w:rPr>
          <w:rFonts w:ascii="Arial"/>
          <w:b/>
          <w:color w:val="626264"/>
          <w:w w:val="105"/>
          <w:sz w:val="26"/>
        </w:rPr>
        <w:t>I</w:t>
      </w:r>
      <w:r>
        <w:rPr>
          <w:rFonts w:ascii="Arial"/>
          <w:b/>
          <w:color w:val="494849"/>
          <w:w w:val="105"/>
          <w:sz w:val="26"/>
        </w:rPr>
        <w:t>N</w:t>
      </w:r>
      <w:r>
        <w:rPr>
          <w:rFonts w:ascii="Arial"/>
          <w:b/>
          <w:color w:val="494849"/>
          <w:spacing w:val="28"/>
          <w:w w:val="105"/>
          <w:sz w:val="26"/>
        </w:rPr>
        <w:t> </w:t>
      </w:r>
      <w:r>
        <w:rPr>
          <w:rFonts w:ascii="Arial"/>
          <w:b/>
          <w:color w:val="494849"/>
          <w:w w:val="105"/>
          <w:sz w:val="26"/>
        </w:rPr>
        <w:t>BACON"</w:t>
      </w:r>
    </w:p>
    <w:p>
      <w:pPr>
        <w:pStyle w:val="BodyText"/>
        <w:spacing w:line="230" w:lineRule="auto" w:before="240"/>
        <w:ind w:left="102" w:right="849" w:firstLine="537"/>
        <w:jc w:val="both"/>
      </w:pPr>
      <w:r>
        <w:rPr>
          <w:color w:val="383638"/>
          <w:spacing w:val="-1"/>
          <w:w w:val="110"/>
        </w:rPr>
        <w:t>Several</w:t>
      </w:r>
      <w:r>
        <w:rPr>
          <w:color w:val="383638"/>
          <w:spacing w:val="-7"/>
          <w:w w:val="110"/>
        </w:rPr>
        <w:t> </w:t>
      </w:r>
      <w:r>
        <w:rPr>
          <w:color w:val="383638"/>
          <w:spacing w:val="-1"/>
          <w:w w:val="110"/>
        </w:rPr>
        <w:t>years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ago,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Craig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Fass,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Michael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Ginelli,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Brian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Turtle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cre­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ated the game "Six Degrees of Kevin Bacon." The game is based on the</w:t>
      </w:r>
      <w:r>
        <w:rPr>
          <w:color w:val="383638"/>
          <w:spacing w:val="1"/>
          <w:w w:val="110"/>
        </w:rPr>
        <w:t> </w:t>
      </w:r>
      <w:r>
        <w:rPr>
          <w:color w:val="383638"/>
        </w:rPr>
        <w:t>concept at the</w:t>
      </w:r>
      <w:r>
        <w:rPr>
          <w:color w:val="383638"/>
          <w:spacing w:val="1"/>
        </w:rPr>
        <w:t> </w:t>
      </w:r>
      <w:r>
        <w:rPr>
          <w:color w:val="383638"/>
        </w:rPr>
        <w:t>heart of the 1990John Guare play, </w:t>
      </w:r>
      <w:r>
        <w:rPr>
          <w:i/>
          <w:color w:val="383638"/>
          <w:sz w:val="24"/>
        </w:rPr>
        <w:t>Six Degrees of Separation:</w:t>
      </w:r>
      <w:r>
        <w:rPr>
          <w:i/>
          <w:color w:val="383638"/>
          <w:spacing w:val="1"/>
          <w:sz w:val="24"/>
        </w:rPr>
        <w:t> </w:t>
      </w:r>
      <w:r>
        <w:rPr>
          <w:color w:val="383638"/>
          <w:w w:val="110"/>
        </w:rPr>
        <w:t>We are all connected to everyone else in the world through no more than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six </w:t>
      </w:r>
      <w:r>
        <w:rPr>
          <w:color w:val="383638"/>
          <w:w w:val="110"/>
        </w:rPr>
        <w:t>people. The game's premise is that "Kevin Bacon is the </w:t>
      </w:r>
      <w:r>
        <w:rPr>
          <w:color w:val="494849"/>
          <w:w w:val="110"/>
        </w:rPr>
        <w:t>center </w:t>
      </w:r>
      <w:r>
        <w:rPr>
          <w:color w:val="383638"/>
          <w:w w:val="110"/>
        </w:rPr>
        <w:t>of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entertainment universe"</w:t>
      </w:r>
      <w:r>
        <w:rPr>
          <w:rFonts w:ascii="Arial" w:hAnsi="Arial"/>
          <w:color w:val="383638"/>
          <w:w w:val="110"/>
          <w:vertAlign w:val="superscript"/>
        </w:rPr>
        <w:t>2</w:t>
      </w:r>
      <w:r>
        <w:rPr>
          <w:rFonts w:ascii="Arial" w:hAnsi="Arial"/>
          <w:color w:val="383638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and that he </w:t>
      </w:r>
      <w:r>
        <w:rPr>
          <w:color w:val="494849"/>
          <w:w w:val="110"/>
          <w:vertAlign w:val="baseline"/>
        </w:rPr>
        <w:t>can </w:t>
      </w:r>
      <w:r>
        <w:rPr>
          <w:color w:val="383638"/>
          <w:w w:val="110"/>
          <w:vertAlign w:val="baseline"/>
        </w:rPr>
        <w:t>be connected to any other actor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through</w:t>
      </w:r>
      <w:r>
        <w:rPr>
          <w:color w:val="383638"/>
          <w:spacing w:val="3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no</w:t>
      </w:r>
      <w:r>
        <w:rPr>
          <w:color w:val="383638"/>
          <w:spacing w:val="22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more</w:t>
      </w:r>
      <w:r>
        <w:rPr>
          <w:color w:val="383638"/>
          <w:spacing w:val="-6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than</w:t>
      </w:r>
      <w:r>
        <w:rPr>
          <w:color w:val="383638"/>
          <w:spacing w:val="-18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six</w:t>
      </w:r>
      <w:r>
        <w:rPr>
          <w:color w:val="383638"/>
          <w:spacing w:val="-3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movies.</w:t>
      </w:r>
      <w:r>
        <w:rPr>
          <w:color w:val="383638"/>
          <w:spacing w:val="-3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For</w:t>
      </w:r>
      <w:r>
        <w:rPr>
          <w:color w:val="383638"/>
          <w:spacing w:val="-16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example:</w:t>
      </w:r>
    </w:p>
    <w:p>
      <w:pPr>
        <w:spacing w:line="223" w:lineRule="auto" w:before="126"/>
        <w:ind w:left="426" w:right="1826" w:firstLine="6"/>
        <w:jc w:val="left"/>
        <w:rPr>
          <w:sz w:val="23"/>
        </w:rPr>
      </w:pPr>
      <w:r>
        <w:rPr>
          <w:color w:val="383638"/>
          <w:spacing w:val="-1"/>
          <w:w w:val="105"/>
          <w:sz w:val="23"/>
        </w:rPr>
        <w:t>Oprah</w:t>
      </w:r>
      <w:r>
        <w:rPr>
          <w:color w:val="383638"/>
          <w:spacing w:val="11"/>
          <w:w w:val="105"/>
          <w:sz w:val="23"/>
        </w:rPr>
        <w:t> </w:t>
      </w:r>
      <w:r>
        <w:rPr>
          <w:color w:val="383638"/>
          <w:spacing w:val="-1"/>
          <w:w w:val="105"/>
          <w:sz w:val="23"/>
        </w:rPr>
        <w:t>Winfrey</w:t>
      </w:r>
      <w:r>
        <w:rPr>
          <w:color w:val="383638"/>
          <w:spacing w:val="13"/>
          <w:w w:val="105"/>
          <w:sz w:val="23"/>
        </w:rPr>
        <w:t> </w:t>
      </w:r>
      <w:r>
        <w:rPr>
          <w:color w:val="383638"/>
          <w:spacing w:val="-1"/>
          <w:w w:val="105"/>
          <w:sz w:val="23"/>
        </w:rPr>
        <w:t>was</w:t>
      </w:r>
      <w:r>
        <w:rPr>
          <w:color w:val="383638"/>
          <w:spacing w:val="-12"/>
          <w:w w:val="105"/>
          <w:sz w:val="23"/>
        </w:rPr>
        <w:t> </w:t>
      </w:r>
      <w:r>
        <w:rPr>
          <w:color w:val="383638"/>
          <w:spacing w:val="-1"/>
          <w:w w:val="105"/>
          <w:sz w:val="23"/>
        </w:rPr>
        <w:t>in</w:t>
      </w:r>
      <w:r>
        <w:rPr>
          <w:color w:val="383638"/>
          <w:spacing w:val="18"/>
          <w:w w:val="105"/>
          <w:sz w:val="23"/>
        </w:rPr>
        <w:t> </w:t>
      </w:r>
      <w:r>
        <w:rPr>
          <w:i/>
          <w:color w:val="383638"/>
          <w:spacing w:val="-1"/>
          <w:w w:val="105"/>
          <w:sz w:val="24"/>
        </w:rPr>
        <w:t>The</w:t>
      </w:r>
      <w:r>
        <w:rPr>
          <w:i/>
          <w:color w:val="383638"/>
          <w:spacing w:val="-18"/>
          <w:w w:val="105"/>
          <w:sz w:val="24"/>
        </w:rPr>
        <w:t> </w:t>
      </w:r>
      <w:r>
        <w:rPr>
          <w:i/>
          <w:color w:val="383638"/>
          <w:spacing w:val="-1"/>
          <w:w w:val="105"/>
          <w:sz w:val="24"/>
        </w:rPr>
        <w:t>Color</w:t>
      </w:r>
      <w:r>
        <w:rPr>
          <w:i/>
          <w:color w:val="383638"/>
          <w:w w:val="105"/>
          <w:sz w:val="24"/>
        </w:rPr>
        <w:t> Purple</w:t>
      </w:r>
      <w:r>
        <w:rPr>
          <w:i/>
          <w:color w:val="383638"/>
          <w:spacing w:val="-8"/>
          <w:w w:val="105"/>
          <w:sz w:val="24"/>
        </w:rPr>
        <w:t> </w:t>
      </w:r>
      <w:r>
        <w:rPr>
          <w:color w:val="383638"/>
          <w:w w:val="105"/>
          <w:sz w:val="23"/>
        </w:rPr>
        <w:t>with</w:t>
      </w:r>
      <w:r>
        <w:rPr>
          <w:color w:val="383638"/>
          <w:spacing w:val="8"/>
          <w:w w:val="105"/>
          <w:sz w:val="23"/>
        </w:rPr>
        <w:t> </w:t>
      </w:r>
      <w:r>
        <w:rPr>
          <w:color w:val="383638"/>
          <w:w w:val="105"/>
          <w:sz w:val="23"/>
        </w:rPr>
        <w:t>Danny</w:t>
      </w:r>
      <w:r>
        <w:rPr>
          <w:color w:val="383638"/>
          <w:spacing w:val="-10"/>
          <w:w w:val="105"/>
          <w:sz w:val="23"/>
        </w:rPr>
        <w:t> </w:t>
      </w:r>
      <w:r>
        <w:rPr>
          <w:color w:val="383638"/>
          <w:w w:val="105"/>
          <w:sz w:val="23"/>
        </w:rPr>
        <w:t>Glover,</w:t>
      </w:r>
      <w:r>
        <w:rPr>
          <w:color w:val="383638"/>
          <w:spacing w:val="-58"/>
          <w:w w:val="105"/>
          <w:sz w:val="23"/>
        </w:rPr>
        <w:t> </w:t>
      </w:r>
      <w:r>
        <w:rPr>
          <w:color w:val="383638"/>
          <w:spacing w:val="-1"/>
          <w:w w:val="105"/>
          <w:sz w:val="23"/>
        </w:rPr>
        <w:t>Danny Glover was in </w:t>
      </w:r>
      <w:r>
        <w:rPr>
          <w:i/>
          <w:color w:val="383638"/>
          <w:spacing w:val="-1"/>
          <w:w w:val="105"/>
          <w:sz w:val="24"/>
        </w:rPr>
        <w:t>Places in the Heart </w:t>
      </w:r>
      <w:r>
        <w:rPr>
          <w:color w:val="383638"/>
          <w:spacing w:val="-1"/>
          <w:w w:val="105"/>
          <w:sz w:val="23"/>
        </w:rPr>
        <w:t>with Sally </w:t>
      </w:r>
      <w:r>
        <w:rPr>
          <w:color w:val="494849"/>
          <w:spacing w:val="-1"/>
          <w:w w:val="105"/>
          <w:sz w:val="23"/>
        </w:rPr>
        <w:t>Field,</w:t>
      </w:r>
      <w:r>
        <w:rPr>
          <w:color w:val="494849"/>
          <w:w w:val="105"/>
          <w:sz w:val="23"/>
        </w:rPr>
        <w:t> </w:t>
      </w:r>
      <w:r>
        <w:rPr>
          <w:color w:val="383638"/>
          <w:w w:val="105"/>
          <w:sz w:val="23"/>
        </w:rPr>
        <w:t>Sally</w:t>
      </w:r>
      <w:r>
        <w:rPr>
          <w:color w:val="383638"/>
          <w:spacing w:val="-1"/>
          <w:w w:val="105"/>
          <w:sz w:val="23"/>
        </w:rPr>
        <w:t> </w:t>
      </w:r>
      <w:r>
        <w:rPr>
          <w:color w:val="383638"/>
          <w:w w:val="105"/>
          <w:sz w:val="23"/>
        </w:rPr>
        <w:t>Field</w:t>
      </w:r>
      <w:r>
        <w:rPr>
          <w:color w:val="383638"/>
          <w:spacing w:val="-13"/>
          <w:w w:val="105"/>
          <w:sz w:val="23"/>
        </w:rPr>
        <w:t> </w:t>
      </w:r>
      <w:r>
        <w:rPr>
          <w:color w:val="383638"/>
          <w:w w:val="105"/>
          <w:sz w:val="23"/>
        </w:rPr>
        <w:t>was</w:t>
      </w:r>
      <w:r>
        <w:rPr>
          <w:color w:val="383638"/>
          <w:spacing w:val="-12"/>
          <w:w w:val="105"/>
          <w:sz w:val="23"/>
        </w:rPr>
        <w:t> </w:t>
      </w:r>
      <w:r>
        <w:rPr>
          <w:color w:val="383638"/>
          <w:w w:val="105"/>
          <w:sz w:val="23"/>
        </w:rPr>
        <w:t>in</w:t>
      </w:r>
      <w:r>
        <w:rPr>
          <w:color w:val="383638"/>
          <w:spacing w:val="17"/>
          <w:w w:val="105"/>
          <w:sz w:val="23"/>
        </w:rPr>
        <w:t> </w:t>
      </w:r>
      <w:r>
        <w:rPr>
          <w:i/>
          <w:color w:val="383638"/>
          <w:w w:val="105"/>
          <w:sz w:val="24"/>
        </w:rPr>
        <w:t>Punchline</w:t>
      </w:r>
      <w:r>
        <w:rPr>
          <w:i/>
          <w:color w:val="383638"/>
          <w:spacing w:val="4"/>
          <w:w w:val="105"/>
          <w:sz w:val="24"/>
        </w:rPr>
        <w:t> </w:t>
      </w:r>
      <w:r>
        <w:rPr>
          <w:color w:val="383638"/>
          <w:w w:val="105"/>
          <w:sz w:val="23"/>
        </w:rPr>
        <w:t>with</w:t>
      </w:r>
      <w:r>
        <w:rPr>
          <w:color w:val="383638"/>
          <w:spacing w:val="-15"/>
          <w:w w:val="105"/>
          <w:sz w:val="23"/>
        </w:rPr>
        <w:t> </w:t>
      </w:r>
      <w:r>
        <w:rPr>
          <w:color w:val="383638"/>
          <w:w w:val="105"/>
          <w:sz w:val="23"/>
        </w:rPr>
        <w:t>Tom</w:t>
      </w:r>
      <w:r>
        <w:rPr>
          <w:color w:val="383638"/>
          <w:spacing w:val="1"/>
          <w:w w:val="105"/>
          <w:sz w:val="23"/>
        </w:rPr>
        <w:t> </w:t>
      </w:r>
      <w:r>
        <w:rPr>
          <w:color w:val="383638"/>
          <w:w w:val="105"/>
          <w:sz w:val="23"/>
        </w:rPr>
        <w:t>Hanks,</w:t>
      </w:r>
      <w:r>
        <w:rPr>
          <w:color w:val="383638"/>
          <w:spacing w:val="9"/>
          <w:w w:val="105"/>
          <w:sz w:val="23"/>
        </w:rPr>
        <w:t> </w:t>
      </w:r>
      <w:r>
        <w:rPr>
          <w:color w:val="383638"/>
          <w:w w:val="105"/>
          <w:sz w:val="23"/>
        </w:rPr>
        <w:t>and</w:t>
      </w:r>
    </w:p>
    <w:p>
      <w:pPr>
        <w:spacing w:line="261" w:lineRule="exact" w:before="0"/>
        <w:ind w:left="424" w:right="0" w:firstLine="0"/>
        <w:jc w:val="left"/>
        <w:rPr>
          <w:sz w:val="23"/>
        </w:rPr>
      </w:pPr>
      <w:r>
        <w:rPr>
          <w:color w:val="383638"/>
          <w:w w:val="105"/>
          <w:sz w:val="23"/>
        </w:rPr>
        <w:t>Tom</w:t>
      </w:r>
      <w:r>
        <w:rPr>
          <w:color w:val="383638"/>
          <w:spacing w:val="12"/>
          <w:w w:val="105"/>
          <w:sz w:val="23"/>
        </w:rPr>
        <w:t> </w:t>
      </w:r>
      <w:r>
        <w:rPr>
          <w:color w:val="383638"/>
          <w:w w:val="105"/>
          <w:sz w:val="23"/>
        </w:rPr>
        <w:t>Hanks</w:t>
      </w:r>
      <w:r>
        <w:rPr>
          <w:color w:val="383638"/>
          <w:spacing w:val="2"/>
          <w:w w:val="105"/>
          <w:sz w:val="23"/>
        </w:rPr>
        <w:t> </w:t>
      </w:r>
      <w:r>
        <w:rPr>
          <w:color w:val="383638"/>
          <w:w w:val="105"/>
          <w:sz w:val="23"/>
        </w:rPr>
        <w:t>was</w:t>
      </w:r>
      <w:r>
        <w:rPr>
          <w:color w:val="383638"/>
          <w:spacing w:val="-7"/>
          <w:w w:val="105"/>
          <w:sz w:val="23"/>
        </w:rPr>
        <w:t> </w:t>
      </w:r>
      <w:r>
        <w:rPr>
          <w:color w:val="383638"/>
          <w:w w:val="105"/>
          <w:sz w:val="23"/>
        </w:rPr>
        <w:t>in</w:t>
      </w:r>
      <w:r>
        <w:rPr>
          <w:color w:val="383638"/>
          <w:spacing w:val="20"/>
          <w:w w:val="105"/>
          <w:sz w:val="23"/>
        </w:rPr>
        <w:t> </w:t>
      </w:r>
      <w:r>
        <w:rPr>
          <w:i/>
          <w:color w:val="383638"/>
          <w:w w:val="105"/>
          <w:sz w:val="24"/>
        </w:rPr>
        <w:t>Apollo</w:t>
      </w:r>
      <w:r>
        <w:rPr>
          <w:i/>
          <w:color w:val="383638"/>
          <w:spacing w:val="-5"/>
          <w:w w:val="105"/>
          <w:sz w:val="24"/>
        </w:rPr>
        <w:t> </w:t>
      </w:r>
      <w:r>
        <w:rPr>
          <w:i/>
          <w:color w:val="383638"/>
          <w:w w:val="105"/>
          <w:sz w:val="24"/>
        </w:rPr>
        <w:t>13</w:t>
      </w:r>
      <w:r>
        <w:rPr>
          <w:i/>
          <w:color w:val="383638"/>
          <w:spacing w:val="-14"/>
          <w:w w:val="105"/>
          <w:sz w:val="24"/>
        </w:rPr>
        <w:t> </w:t>
      </w:r>
      <w:r>
        <w:rPr>
          <w:color w:val="383638"/>
          <w:w w:val="105"/>
          <w:sz w:val="23"/>
        </w:rPr>
        <w:t>with</w:t>
      </w:r>
      <w:r>
        <w:rPr>
          <w:color w:val="383638"/>
          <w:spacing w:val="13"/>
          <w:w w:val="105"/>
          <w:sz w:val="23"/>
        </w:rPr>
        <w:t> </w:t>
      </w:r>
      <w:r>
        <w:rPr>
          <w:color w:val="383638"/>
          <w:w w:val="105"/>
          <w:sz w:val="23"/>
        </w:rPr>
        <w:t>Kevin</w:t>
      </w:r>
      <w:r>
        <w:rPr>
          <w:color w:val="383638"/>
          <w:spacing w:val="7"/>
          <w:w w:val="105"/>
          <w:sz w:val="23"/>
        </w:rPr>
        <w:t> </w:t>
      </w:r>
      <w:r>
        <w:rPr>
          <w:color w:val="383638"/>
          <w:w w:val="105"/>
          <w:sz w:val="23"/>
        </w:rPr>
        <w:t>Bacon.</w:t>
      </w:r>
    </w:p>
    <w:p>
      <w:pPr>
        <w:pStyle w:val="BodyText"/>
        <w:spacing w:line="232" w:lineRule="auto" w:before="125"/>
        <w:ind w:left="124" w:right="787" w:firstLine="1"/>
        <w:jc w:val="both"/>
      </w:pPr>
      <w:r>
        <w:rPr>
          <w:color w:val="494849"/>
          <w:spacing w:val="-1"/>
          <w:w w:val="110"/>
        </w:rPr>
        <w:t>Now,</w:t>
      </w:r>
      <w:r>
        <w:rPr>
          <w:color w:val="494849"/>
          <w:spacing w:val="-19"/>
          <w:w w:val="110"/>
        </w:rPr>
        <w:t> </w:t>
      </w:r>
      <w:r>
        <w:rPr>
          <w:color w:val="383638"/>
          <w:spacing w:val="-1"/>
          <w:w w:val="110"/>
        </w:rPr>
        <w:t>what</w:t>
      </w:r>
      <w:r>
        <w:rPr>
          <w:color w:val="383638"/>
          <w:spacing w:val="-13"/>
          <w:w w:val="110"/>
        </w:rPr>
        <w:t> </w:t>
      </w:r>
      <w:r>
        <w:rPr>
          <w:color w:val="494849"/>
          <w:spacing w:val="-1"/>
          <w:w w:val="110"/>
        </w:rPr>
        <w:t>does</w:t>
      </w:r>
      <w:r>
        <w:rPr>
          <w:color w:val="494849"/>
          <w:spacing w:val="-26"/>
          <w:w w:val="110"/>
        </w:rPr>
        <w:t> </w:t>
      </w:r>
      <w:r>
        <w:rPr>
          <w:color w:val="383638"/>
          <w:spacing w:val="-1"/>
          <w:w w:val="110"/>
        </w:rPr>
        <w:t>all</w:t>
      </w:r>
      <w:r>
        <w:rPr>
          <w:color w:val="383638"/>
          <w:spacing w:val="-17"/>
          <w:w w:val="110"/>
        </w:rPr>
        <w:t> </w:t>
      </w:r>
      <w:r>
        <w:rPr>
          <w:color w:val="383638"/>
          <w:spacing w:val="-1"/>
          <w:w w:val="110"/>
        </w:rPr>
        <w:t>of</w:t>
      </w:r>
      <w:r>
        <w:rPr>
          <w:color w:val="383638"/>
          <w:spacing w:val="11"/>
          <w:w w:val="110"/>
        </w:rPr>
        <w:t> </w:t>
      </w:r>
      <w:r>
        <w:rPr>
          <w:color w:val="383638"/>
          <w:spacing w:val="-1"/>
          <w:w w:val="110"/>
        </w:rPr>
        <w:t>this</w:t>
      </w:r>
      <w:r>
        <w:rPr>
          <w:color w:val="383638"/>
          <w:spacing w:val="-9"/>
          <w:w w:val="110"/>
        </w:rPr>
        <w:t> </w:t>
      </w:r>
      <w:r>
        <w:rPr>
          <w:color w:val="383638"/>
          <w:spacing w:val="-1"/>
          <w:w w:val="110"/>
        </w:rPr>
        <w:t>have</w:t>
      </w:r>
      <w:r>
        <w:rPr>
          <w:color w:val="383638"/>
          <w:spacing w:val="-16"/>
          <w:w w:val="110"/>
        </w:rPr>
        <w:t> </w:t>
      </w:r>
      <w:r>
        <w:rPr>
          <w:color w:val="383638"/>
          <w:spacing w:val="-1"/>
          <w:w w:val="110"/>
        </w:rPr>
        <w:t>to do</w:t>
      </w:r>
      <w:r>
        <w:rPr>
          <w:color w:val="383638"/>
          <w:spacing w:val="10"/>
          <w:w w:val="110"/>
        </w:rPr>
        <w:t> </w:t>
      </w:r>
      <w:r>
        <w:rPr>
          <w:color w:val="383638"/>
          <w:spacing w:val="-1"/>
          <w:w w:val="110"/>
        </w:rPr>
        <w:t>with</w:t>
      </w:r>
      <w:r>
        <w:rPr>
          <w:color w:val="383638"/>
          <w:spacing w:val="-7"/>
          <w:w w:val="110"/>
        </w:rPr>
        <w:t> </w:t>
      </w:r>
      <w:r>
        <w:rPr>
          <w:color w:val="383638"/>
          <w:spacing w:val="-1"/>
          <w:w w:val="110"/>
        </w:rPr>
        <w:t>legal</w:t>
      </w:r>
      <w:r>
        <w:rPr>
          <w:color w:val="383638"/>
          <w:spacing w:val="-11"/>
          <w:w w:val="110"/>
        </w:rPr>
        <w:t> </w:t>
      </w:r>
      <w:r>
        <w:rPr>
          <w:color w:val="383638"/>
          <w:spacing w:val="-1"/>
          <w:w w:val="110"/>
        </w:rPr>
        <w:t>writing?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Every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legal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docu­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ment should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have </w:t>
      </w:r>
      <w:r>
        <w:rPr>
          <w:color w:val="494849"/>
          <w:w w:val="110"/>
        </w:rPr>
        <w:t>a </w:t>
      </w:r>
      <w:r>
        <w:rPr>
          <w:color w:val="383638"/>
          <w:w w:val="110"/>
        </w:rPr>
        <w:t>"Kevin  Bacon" element-something that is the </w:t>
      </w:r>
      <w:r>
        <w:rPr>
          <w:color w:val="494849"/>
          <w:w w:val="110"/>
        </w:rPr>
        <w:t>"cen­</w:t>
      </w:r>
      <w:r>
        <w:rPr>
          <w:color w:val="494849"/>
          <w:spacing w:val="1"/>
          <w:w w:val="110"/>
        </w:rPr>
        <w:t> </w:t>
      </w:r>
      <w:r>
        <w:rPr>
          <w:color w:val="383638"/>
          <w:w w:val="110"/>
        </w:rPr>
        <w:t>ter of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universe" to which everything else in the document connects.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With a  well-written  legal document, the  reader should be able to  throw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 dart at any sentence in the document and get back to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document's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focus </w:t>
      </w:r>
      <w:r>
        <w:rPr>
          <w:color w:val="494849"/>
          <w:w w:val="110"/>
        </w:rPr>
        <w:t>just </w:t>
      </w:r>
      <w:r>
        <w:rPr>
          <w:color w:val="383638"/>
          <w:w w:val="110"/>
        </w:rPr>
        <w:t>as </w:t>
      </w:r>
      <w:r>
        <w:rPr>
          <w:color w:val="494849"/>
          <w:w w:val="110"/>
        </w:rPr>
        <w:t>easily </w:t>
      </w:r>
      <w:r>
        <w:rPr>
          <w:color w:val="383638"/>
          <w:w w:val="110"/>
        </w:rPr>
        <w:t>as we moved from Oprah Winfrey to Kevin Bacon 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</w:t>
      </w:r>
      <w:r>
        <w:rPr>
          <w:color w:val="494849"/>
          <w:w w:val="110"/>
        </w:rPr>
        <w:t>previous </w:t>
      </w:r>
      <w:r>
        <w:rPr>
          <w:color w:val="383638"/>
          <w:w w:val="110"/>
        </w:rPr>
        <w:t>paragraph. When writing a brief, you </w:t>
      </w:r>
      <w:r>
        <w:rPr>
          <w:color w:val="494849"/>
          <w:w w:val="110"/>
        </w:rPr>
        <w:t>should decide </w:t>
      </w:r>
      <w:r>
        <w:rPr>
          <w:color w:val="383638"/>
          <w:w w:val="110"/>
        </w:rPr>
        <w:t>what the</w:t>
      </w:r>
      <w:r>
        <w:rPr>
          <w:color w:val="383638"/>
          <w:spacing w:val="-61"/>
          <w:w w:val="110"/>
        </w:rPr>
        <w:t> </w:t>
      </w:r>
      <w:r>
        <w:rPr>
          <w:color w:val="383638"/>
          <w:spacing w:val="-1"/>
          <w:w w:val="100"/>
        </w:rPr>
        <w:t>cente</w:t>
      </w:r>
      <w:r>
        <w:rPr>
          <w:color w:val="383638"/>
          <w:w w:val="100"/>
        </w:rPr>
        <w:t>r</w:t>
      </w:r>
      <w:r>
        <w:rPr>
          <w:color w:val="383638"/>
          <w:spacing w:val="-4"/>
        </w:rPr>
        <w:t> </w:t>
      </w:r>
      <w:r>
        <w:rPr>
          <w:color w:val="383638"/>
          <w:w w:val="100"/>
        </w:rPr>
        <w:t>of</w:t>
      </w:r>
      <w:r>
        <w:rPr>
          <w:color w:val="383638"/>
          <w:spacing w:val="7"/>
        </w:rPr>
        <w:t> </w:t>
      </w:r>
      <w:r>
        <w:rPr>
          <w:color w:val="383638"/>
          <w:w w:val="112"/>
        </w:rPr>
        <w:t>your</w:t>
      </w:r>
      <w:r>
        <w:rPr>
          <w:color w:val="383638"/>
          <w:spacing w:val="19"/>
        </w:rPr>
        <w:t> </w:t>
      </w:r>
      <w:r>
        <w:rPr>
          <w:color w:val="383638"/>
          <w:w w:val="107"/>
        </w:rPr>
        <w:t>brief's</w:t>
      </w:r>
      <w:r>
        <w:rPr>
          <w:color w:val="383638"/>
          <w:spacing w:val="-6"/>
        </w:rPr>
        <w:t> </w:t>
      </w:r>
      <w:r>
        <w:rPr>
          <w:color w:val="383638"/>
          <w:w w:val="111"/>
        </w:rPr>
        <w:t>"universe</w:t>
      </w:r>
      <w:r>
        <w:rPr>
          <w:rFonts w:ascii="Arial" w:hAnsi="Arial"/>
          <w:color w:val="383638"/>
          <w:spacing w:val="-1"/>
          <w:w w:val="111"/>
          <w:position w:val="9"/>
          <w:sz w:val="9"/>
        </w:rPr>
        <w:t>1</w:t>
      </w:r>
      <w:r>
        <w:rPr>
          <w:rFonts w:ascii="Arial" w:hAnsi="Arial"/>
          <w:color w:val="383638"/>
          <w:w w:val="111"/>
          <w:position w:val="9"/>
          <w:sz w:val="9"/>
        </w:rPr>
        <w:t>1</w:t>
      </w:r>
      <w:r>
        <w:rPr>
          <w:rFonts w:ascii="Arial" w:hAnsi="Arial"/>
          <w:color w:val="383638"/>
          <w:position w:val="9"/>
          <w:sz w:val="9"/>
        </w:rPr>
        <w:t> </w:t>
      </w:r>
      <w:r>
        <w:rPr>
          <w:rFonts w:ascii="Arial" w:hAnsi="Arial"/>
          <w:color w:val="383638"/>
          <w:spacing w:val="8"/>
          <w:position w:val="9"/>
          <w:sz w:val="9"/>
        </w:rPr>
        <w:t> </w:t>
      </w:r>
      <w:r>
        <w:rPr>
          <w:color w:val="494849"/>
          <w:spacing w:val="-1"/>
          <w:w w:val="111"/>
        </w:rPr>
        <w:t>is</w:t>
      </w:r>
      <w:r>
        <w:rPr>
          <w:color w:val="494849"/>
          <w:w w:val="111"/>
        </w:rPr>
        <w:t>:</w:t>
      </w:r>
      <w:r>
        <w:rPr>
          <w:color w:val="494849"/>
          <w:spacing w:val="-20"/>
        </w:rPr>
        <w:t> </w:t>
      </w:r>
      <w:r>
        <w:rPr>
          <w:color w:val="383638"/>
          <w:spacing w:val="-1"/>
          <w:w w:val="116"/>
        </w:rPr>
        <w:t>That'</w:t>
      </w:r>
      <w:r>
        <w:rPr>
          <w:color w:val="383638"/>
          <w:w w:val="116"/>
        </w:rPr>
        <w:t>s</w:t>
      </w:r>
      <w:r>
        <w:rPr>
          <w:color w:val="383638"/>
          <w:spacing w:val="-10"/>
        </w:rPr>
        <w:t> </w:t>
      </w:r>
      <w:r>
        <w:rPr>
          <w:color w:val="383638"/>
          <w:w w:val="114"/>
        </w:rPr>
        <w:t>your</w:t>
      </w:r>
      <w:r>
        <w:rPr>
          <w:color w:val="383638"/>
          <w:spacing w:val="-5"/>
        </w:rPr>
        <w:t> </w:t>
      </w:r>
      <w:r>
        <w:rPr>
          <w:color w:val="494849"/>
          <w:spacing w:val="-1"/>
          <w:w w:val="109"/>
        </w:rPr>
        <w:t>"Kevi</w:t>
      </w:r>
      <w:r>
        <w:rPr>
          <w:color w:val="494849"/>
          <w:w w:val="109"/>
        </w:rPr>
        <w:t>n</w:t>
      </w:r>
      <w:r>
        <w:rPr>
          <w:color w:val="494849"/>
          <w:spacing w:val="7"/>
        </w:rPr>
        <w:t> </w:t>
      </w:r>
      <w:r>
        <w:rPr>
          <w:color w:val="383638"/>
          <w:spacing w:val="-1"/>
          <w:w w:val="109"/>
        </w:rPr>
        <w:t>Bacon."</w:t>
      </w:r>
    </w:p>
    <w:p>
      <w:pPr>
        <w:pStyle w:val="BodyText"/>
        <w:spacing w:line="235" w:lineRule="auto"/>
        <w:ind w:left="139" w:right="747" w:firstLine="314"/>
        <w:jc w:val="both"/>
      </w:pPr>
      <w:r>
        <w:rPr>
          <w:color w:val="383638"/>
          <w:spacing w:val="-1"/>
          <w:w w:val="105"/>
        </w:rPr>
        <w:t>In </w:t>
      </w:r>
      <w:r>
        <w:rPr>
          <w:i/>
          <w:color w:val="383638"/>
          <w:spacing w:val="-1"/>
          <w:w w:val="105"/>
          <w:sz w:val="24"/>
        </w:rPr>
        <w:t>Minnesota v. </w:t>
      </w:r>
      <w:r>
        <w:rPr>
          <w:i/>
          <w:color w:val="383638"/>
          <w:w w:val="105"/>
          <w:sz w:val="24"/>
        </w:rPr>
        <w:t>Carter, </w:t>
      </w:r>
      <w:r>
        <w:rPr>
          <w:color w:val="383638"/>
          <w:w w:val="105"/>
        </w:rPr>
        <w:t>525 U.S. 83 (1998), for </w:t>
      </w:r>
      <w:r>
        <w:rPr>
          <w:color w:val="494849"/>
          <w:w w:val="105"/>
        </w:rPr>
        <w:t>example, one of </w:t>
      </w:r>
      <w:r>
        <w:rPr>
          <w:color w:val="383638"/>
          <w:w w:val="105"/>
        </w:rPr>
        <w:t>the peti­</w:t>
      </w:r>
      <w:r>
        <w:rPr>
          <w:color w:val="383638"/>
          <w:spacing w:val="1"/>
          <w:w w:val="105"/>
        </w:rPr>
        <w:t> </w:t>
      </w:r>
      <w:r>
        <w:rPr>
          <w:color w:val="494849"/>
          <w:w w:val="110"/>
        </w:rPr>
        <w:t>tioner's </w:t>
      </w:r>
      <w:r>
        <w:rPr>
          <w:color w:val="383638"/>
          <w:w w:val="110"/>
        </w:rPr>
        <w:t>dispositive arguments was that people who come to an apartment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for the sole purpose of bagging </w:t>
      </w:r>
      <w:r>
        <w:rPr>
          <w:color w:val="383638"/>
          <w:w w:val="110"/>
        </w:rPr>
        <w:t>cocaine cannot invoke Fourth Amendment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05"/>
        </w:rPr>
        <w:t>protections. The  focus of  that brief, as for all  petitioners' briefs, would be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the assertion that the decision below </w:t>
      </w:r>
      <w:r>
        <w:rPr>
          <w:color w:val="494849"/>
          <w:w w:val="110"/>
        </w:rPr>
        <w:t>should </w:t>
      </w:r>
      <w:r>
        <w:rPr>
          <w:color w:val="383638"/>
          <w:w w:val="110"/>
        </w:rPr>
        <w:t>be reversed. If we throw a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theoretical dart at the brief, we find the assertion that "the respondents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were in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apartment solely to conduct commercial activity." The reader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could use "Bacon links" to connect that point back to the ultimate asser­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tion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this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way:</w:t>
      </w:r>
    </w:p>
    <w:p>
      <w:pPr>
        <w:pStyle w:val="BodyText"/>
        <w:spacing w:line="235" w:lineRule="auto" w:before="102"/>
        <w:ind w:left="732" w:right="751" w:hanging="247"/>
        <w:jc w:val="both"/>
      </w:pPr>
      <w:r>
        <w:rPr>
          <w:color w:val="383638"/>
          <w:w w:val="110"/>
        </w:rPr>
        <w:t>Respondents were in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home only to conduct illegal </w:t>
      </w:r>
      <w:r>
        <w:rPr>
          <w:color w:val="494849"/>
          <w:w w:val="110"/>
        </w:rPr>
        <w:t>commercial</w:t>
      </w:r>
      <w:r>
        <w:rPr>
          <w:color w:val="494849"/>
          <w:spacing w:val="1"/>
          <w:w w:val="110"/>
        </w:rPr>
        <w:t> </w:t>
      </w:r>
      <w:r>
        <w:rPr>
          <w:color w:val="383638"/>
          <w:w w:val="110"/>
        </w:rPr>
        <w:t>activity;</w:t>
      </w:r>
    </w:p>
    <w:p>
      <w:pPr>
        <w:pStyle w:val="BodyText"/>
        <w:spacing w:line="218" w:lineRule="auto" w:before="7"/>
        <w:ind w:left="732" w:right="756" w:hanging="247"/>
        <w:jc w:val="both"/>
      </w:pPr>
      <w:r>
        <w:rPr>
          <w:color w:val="383638"/>
          <w:w w:val="110"/>
        </w:rPr>
        <w:t>Because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activity was an illegal commercial activity, it is not an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activity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6"/>
          <w:w w:val="110"/>
        </w:rPr>
        <w:t> </w:t>
      </w:r>
      <w:r>
        <w:rPr>
          <w:color w:val="494849"/>
          <w:w w:val="110"/>
        </w:rPr>
        <w:t>is</w:t>
      </w:r>
      <w:r>
        <w:rPr>
          <w:color w:val="494849"/>
          <w:spacing w:val="-22"/>
          <w:w w:val="110"/>
        </w:rPr>
        <w:t> </w:t>
      </w:r>
      <w:r>
        <w:rPr>
          <w:color w:val="383638"/>
          <w:w w:val="110"/>
        </w:rPr>
        <w:t>recognized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valuable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by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society;</w:t>
      </w:r>
    </w:p>
    <w:p>
      <w:pPr>
        <w:pStyle w:val="BodyText"/>
        <w:rPr>
          <w:sz w:val="36"/>
        </w:rPr>
      </w:pPr>
    </w:p>
    <w:p>
      <w:pPr>
        <w:spacing w:line="225" w:lineRule="auto" w:before="0"/>
        <w:ind w:left="157" w:right="672" w:firstLine="322"/>
        <w:jc w:val="both"/>
        <w:rPr>
          <w:sz w:val="18"/>
        </w:rPr>
      </w:pPr>
      <w:r>
        <w:rPr>
          <w:i/>
          <w:color w:val="494849"/>
          <w:w w:val="110"/>
          <w:sz w:val="18"/>
        </w:rPr>
        <w:t>iTo </w:t>
      </w:r>
      <w:r>
        <w:rPr>
          <w:color w:val="383638"/>
          <w:w w:val="110"/>
          <w:sz w:val="18"/>
        </w:rPr>
        <w:t>play the game </w:t>
      </w:r>
      <w:r>
        <w:rPr>
          <w:color w:val="494849"/>
          <w:w w:val="110"/>
          <w:sz w:val="18"/>
        </w:rPr>
        <w:t>and </w:t>
      </w:r>
      <w:r>
        <w:rPr>
          <w:color w:val="383638"/>
          <w:w w:val="110"/>
          <w:sz w:val="18"/>
        </w:rPr>
        <w:t>learn more </w:t>
      </w:r>
      <w:r>
        <w:rPr>
          <w:color w:val="494849"/>
          <w:w w:val="110"/>
          <w:sz w:val="18"/>
        </w:rPr>
        <w:t>about </w:t>
      </w:r>
      <w:r>
        <w:rPr>
          <w:color w:val="494849"/>
          <w:w w:val="110"/>
          <w:sz w:val="16"/>
        </w:rPr>
        <w:t>It, </w:t>
      </w:r>
      <w:r>
        <w:rPr>
          <w:color w:val="383638"/>
          <w:w w:val="110"/>
          <w:sz w:val="18"/>
        </w:rPr>
        <w:t>visit </w:t>
      </w:r>
      <w:r>
        <w:rPr>
          <w:color w:val="494849"/>
          <w:w w:val="110"/>
          <w:sz w:val="18"/>
        </w:rPr>
        <w:t>"The </w:t>
      </w:r>
      <w:r>
        <w:rPr>
          <w:color w:val="383638"/>
          <w:w w:val="110"/>
          <w:sz w:val="18"/>
        </w:rPr>
        <w:t>Oracle of Bacon" </w:t>
      </w:r>
      <w:r>
        <w:rPr>
          <w:color w:val="494849"/>
          <w:w w:val="110"/>
          <w:sz w:val="18"/>
        </w:rPr>
        <w:t>Web site </w:t>
      </w:r>
      <w:r>
        <w:rPr>
          <w:color w:val="383638"/>
          <w:w w:val="110"/>
          <w:sz w:val="18"/>
        </w:rPr>
        <w:t>at http://</w:t>
      </w:r>
      <w:r>
        <w:rPr>
          <w:color w:val="383638"/>
          <w:spacing w:val="1"/>
          <w:w w:val="110"/>
          <w:sz w:val="18"/>
        </w:rPr>
        <w:t> </w:t>
      </w:r>
      <w:r>
        <w:rPr>
          <w:color w:val="494849"/>
          <w:w w:val="110"/>
          <w:sz w:val="18"/>
        </w:rPr>
        <w:t>oracleofbacon.org/ack.php (last accessed </w:t>
      </w:r>
      <w:r>
        <w:rPr>
          <w:color w:val="383638"/>
          <w:w w:val="110"/>
          <w:sz w:val="18"/>
        </w:rPr>
        <w:t>Mar. 9, </w:t>
      </w:r>
      <w:r>
        <w:rPr>
          <w:color w:val="494849"/>
          <w:w w:val="110"/>
          <w:sz w:val="18"/>
        </w:rPr>
        <w:t>2014). </w:t>
      </w:r>
      <w:r>
        <w:rPr>
          <w:color w:val="383638"/>
          <w:w w:val="110"/>
          <w:sz w:val="18"/>
        </w:rPr>
        <w:t>Brett </w:t>
      </w:r>
      <w:r>
        <w:rPr>
          <w:color w:val="494849"/>
          <w:w w:val="110"/>
          <w:sz w:val="18"/>
        </w:rPr>
        <w:t>Tjaden </w:t>
      </w:r>
      <w:r>
        <w:rPr>
          <w:color w:val="383638"/>
          <w:w w:val="110"/>
          <w:sz w:val="18"/>
        </w:rPr>
        <w:t>founded </w:t>
      </w:r>
      <w:r>
        <w:rPr>
          <w:color w:val="494849"/>
          <w:w w:val="110"/>
          <w:sz w:val="18"/>
        </w:rPr>
        <w:t>the </w:t>
      </w:r>
      <w:r>
        <w:rPr>
          <w:color w:val="383638"/>
          <w:w w:val="110"/>
          <w:sz w:val="18"/>
        </w:rPr>
        <w:t>site in 1996;</w:t>
      </w:r>
      <w:r>
        <w:rPr>
          <w:color w:val="383638"/>
          <w:spacing w:val="1"/>
          <w:w w:val="110"/>
          <w:sz w:val="18"/>
        </w:rPr>
        <w:t> </w:t>
      </w:r>
      <w:r>
        <w:rPr>
          <w:color w:val="494849"/>
          <w:w w:val="110"/>
          <w:sz w:val="18"/>
        </w:rPr>
        <w:t>Patrick </w:t>
      </w:r>
      <w:r>
        <w:rPr>
          <w:color w:val="383638"/>
          <w:w w:val="110"/>
          <w:sz w:val="18"/>
        </w:rPr>
        <w:t>Reynolds has maintained </w:t>
      </w:r>
      <w:r>
        <w:rPr>
          <w:rFonts w:ascii="Arial" w:hAnsi="Arial"/>
          <w:color w:val="494849"/>
          <w:w w:val="110"/>
          <w:sz w:val="15"/>
        </w:rPr>
        <w:t>it </w:t>
      </w:r>
      <w:r>
        <w:rPr>
          <w:color w:val="494849"/>
          <w:w w:val="110"/>
          <w:sz w:val="18"/>
        </w:rPr>
        <w:t>since </w:t>
      </w:r>
      <w:r>
        <w:rPr>
          <w:color w:val="383638"/>
          <w:w w:val="110"/>
          <w:sz w:val="18"/>
        </w:rPr>
        <w:t>1999. </w:t>
      </w:r>
      <w:r>
        <w:rPr>
          <w:color w:val="494849"/>
          <w:w w:val="110"/>
          <w:sz w:val="18"/>
        </w:rPr>
        <w:t>When </w:t>
      </w:r>
      <w:r>
        <w:rPr>
          <w:color w:val="383638"/>
          <w:w w:val="110"/>
          <w:sz w:val="18"/>
        </w:rPr>
        <w:t>I </w:t>
      </w:r>
      <w:r>
        <w:rPr>
          <w:color w:val="494849"/>
          <w:w w:val="110"/>
          <w:sz w:val="18"/>
        </w:rPr>
        <w:t>submitted "Oprah </w:t>
      </w:r>
      <w:r>
        <w:rPr>
          <w:color w:val="383638"/>
          <w:w w:val="110"/>
          <w:sz w:val="18"/>
        </w:rPr>
        <w:t>Winfrey," I learned</w:t>
      </w:r>
      <w:r>
        <w:rPr>
          <w:color w:val="383638"/>
          <w:spacing w:val="1"/>
          <w:w w:val="110"/>
          <w:sz w:val="18"/>
        </w:rPr>
        <w:t> </w:t>
      </w:r>
      <w:r>
        <w:rPr>
          <w:color w:val="383638"/>
          <w:spacing w:val="-1"/>
          <w:w w:val="105"/>
          <w:sz w:val="18"/>
        </w:rPr>
        <w:t>that she has a Bacon </w:t>
      </w:r>
      <w:r>
        <w:rPr>
          <w:color w:val="494849"/>
          <w:spacing w:val="-1"/>
          <w:w w:val="105"/>
          <w:sz w:val="18"/>
        </w:rPr>
        <w:t>number of </w:t>
      </w:r>
      <w:r>
        <w:rPr>
          <w:color w:val="383638"/>
          <w:spacing w:val="-1"/>
          <w:w w:val="105"/>
          <w:sz w:val="18"/>
        </w:rPr>
        <w:t>two. </w:t>
      </w:r>
      <w:r>
        <w:rPr>
          <w:color w:val="494849"/>
          <w:w w:val="105"/>
          <w:sz w:val="18"/>
        </w:rPr>
        <w:t>(Oprah Winfrey </w:t>
      </w:r>
      <w:r>
        <w:rPr>
          <w:color w:val="383638"/>
          <w:w w:val="105"/>
          <w:sz w:val="18"/>
        </w:rPr>
        <w:t>was In </w:t>
      </w:r>
      <w:r>
        <w:rPr>
          <w:i/>
          <w:color w:val="494849"/>
          <w:w w:val="105"/>
          <w:sz w:val="18"/>
        </w:rPr>
        <w:t>The Princess amt </w:t>
      </w:r>
      <w:r>
        <w:rPr>
          <w:i/>
          <w:color w:val="383638"/>
          <w:w w:val="105"/>
          <w:sz w:val="18"/>
        </w:rPr>
        <w:t>tire Frog </w:t>
      </w:r>
      <w:r>
        <w:rPr>
          <w:color w:val="494849"/>
          <w:w w:val="105"/>
          <w:sz w:val="18"/>
        </w:rPr>
        <w:t>(2009) with</w:t>
      </w:r>
      <w:r>
        <w:rPr>
          <w:color w:val="494849"/>
          <w:spacing w:val="-45"/>
          <w:w w:val="105"/>
          <w:sz w:val="18"/>
        </w:rPr>
        <w:t> </w:t>
      </w:r>
      <w:r>
        <w:rPr>
          <w:color w:val="383638"/>
          <w:sz w:val="18"/>
        </w:rPr>
        <w:t>John </w:t>
      </w:r>
      <w:r>
        <w:rPr>
          <w:color w:val="494849"/>
          <w:sz w:val="18"/>
        </w:rPr>
        <w:t>Goodman; </w:t>
      </w:r>
      <w:r>
        <w:rPr>
          <w:color w:val="383638"/>
          <w:sz w:val="18"/>
        </w:rPr>
        <w:t>John </w:t>
      </w:r>
      <w:r>
        <w:rPr>
          <w:color w:val="494849"/>
          <w:sz w:val="18"/>
        </w:rPr>
        <w:t>Goodman was in</w:t>
      </w:r>
      <w:r>
        <w:rPr>
          <w:color w:val="494849"/>
          <w:spacing w:val="1"/>
          <w:sz w:val="18"/>
        </w:rPr>
        <w:t> </w:t>
      </w:r>
      <w:r>
        <w:rPr>
          <w:i/>
          <w:color w:val="494849"/>
          <w:sz w:val="18"/>
        </w:rPr>
        <w:t>Death Se11t,'llce </w:t>
      </w:r>
      <w:r>
        <w:rPr>
          <w:color w:val="494849"/>
          <w:sz w:val="18"/>
        </w:rPr>
        <w:t>(2007) with </w:t>
      </w:r>
      <w:r>
        <w:rPr>
          <w:color w:val="383638"/>
          <w:sz w:val="18"/>
        </w:rPr>
        <w:t>Kevin Bacon.) Because </w:t>
      </w:r>
      <w:r>
        <w:rPr>
          <w:color w:val="494849"/>
          <w:sz w:val="18"/>
        </w:rPr>
        <w:t>a </w:t>
      </w:r>
      <w:r>
        <w:rPr>
          <w:color w:val="383638"/>
          <w:sz w:val="18"/>
        </w:rPr>
        <w:t>Bacon</w:t>
      </w:r>
      <w:r>
        <w:rPr>
          <w:color w:val="383638"/>
          <w:spacing w:val="1"/>
          <w:sz w:val="18"/>
        </w:rPr>
        <w:t> </w:t>
      </w:r>
      <w:r>
        <w:rPr>
          <w:color w:val="383638"/>
          <w:w w:val="105"/>
          <w:sz w:val="18"/>
        </w:rPr>
        <w:t>number </w:t>
      </w:r>
      <w:r>
        <w:rPr>
          <w:color w:val="494849"/>
          <w:w w:val="105"/>
          <w:sz w:val="18"/>
        </w:rPr>
        <w:t>of four </w:t>
      </w:r>
      <w:r>
        <w:rPr>
          <w:color w:val="383638"/>
          <w:w w:val="105"/>
          <w:sz w:val="18"/>
        </w:rPr>
        <w:t>provides </w:t>
      </w:r>
      <w:r>
        <w:rPr>
          <w:color w:val="494849"/>
          <w:w w:val="105"/>
          <w:sz w:val="18"/>
        </w:rPr>
        <w:t>a </w:t>
      </w:r>
      <w:r>
        <w:rPr>
          <w:color w:val="383638"/>
          <w:w w:val="105"/>
          <w:sz w:val="18"/>
        </w:rPr>
        <w:t>better teaching </w:t>
      </w:r>
      <w:r>
        <w:rPr>
          <w:color w:val="494849"/>
          <w:w w:val="105"/>
          <w:sz w:val="18"/>
        </w:rPr>
        <w:t>tool, </w:t>
      </w:r>
      <w:r>
        <w:rPr>
          <w:color w:val="383638"/>
          <w:w w:val="105"/>
          <w:sz w:val="18"/>
        </w:rPr>
        <w:t>I have left </w:t>
      </w:r>
      <w:r>
        <w:rPr>
          <w:color w:val="494849"/>
          <w:w w:val="105"/>
          <w:sz w:val="18"/>
        </w:rPr>
        <w:t>my example as ls</w:t>
      </w:r>
      <w:r>
        <w:rPr>
          <w:color w:val="626264"/>
          <w:w w:val="105"/>
          <w:sz w:val="18"/>
        </w:rPr>
        <w:t>. </w:t>
      </w:r>
      <w:r>
        <w:rPr>
          <w:color w:val="383638"/>
          <w:w w:val="105"/>
          <w:sz w:val="18"/>
        </w:rPr>
        <w:t>Kevin Bacon has </w:t>
      </w:r>
      <w:r>
        <w:rPr>
          <w:color w:val="494849"/>
          <w:w w:val="105"/>
          <w:sz w:val="18"/>
        </w:rPr>
        <w:t>cre­</w:t>
      </w:r>
      <w:r>
        <w:rPr>
          <w:color w:val="494849"/>
          <w:spacing w:val="1"/>
          <w:w w:val="105"/>
          <w:sz w:val="18"/>
        </w:rPr>
        <w:t> </w:t>
      </w:r>
      <w:r>
        <w:rPr>
          <w:color w:val="383638"/>
          <w:w w:val="105"/>
          <w:sz w:val="18"/>
        </w:rPr>
        <w:t>ated </w:t>
      </w:r>
      <w:r>
        <w:rPr>
          <w:rFonts w:ascii="Arial" w:hAnsi="Arial"/>
          <w:b/>
          <w:color w:val="383638"/>
          <w:w w:val="105"/>
          <w:sz w:val="15"/>
        </w:rPr>
        <w:t>a </w:t>
      </w:r>
      <w:r>
        <w:rPr>
          <w:color w:val="494849"/>
          <w:w w:val="105"/>
          <w:sz w:val="18"/>
        </w:rPr>
        <w:t>charitable organization </w:t>
      </w:r>
      <w:r>
        <w:rPr>
          <w:color w:val="383638"/>
          <w:w w:val="105"/>
          <w:sz w:val="18"/>
        </w:rPr>
        <w:t>that links celebrities </w:t>
      </w:r>
      <w:r>
        <w:rPr>
          <w:color w:val="494849"/>
          <w:w w:val="105"/>
          <w:sz w:val="18"/>
        </w:rPr>
        <w:t>to </w:t>
      </w:r>
      <w:r>
        <w:rPr>
          <w:color w:val="383638"/>
          <w:w w:val="105"/>
          <w:sz w:val="18"/>
        </w:rPr>
        <w:t>worthy causes; If </w:t>
      </w:r>
      <w:r>
        <w:rPr>
          <w:color w:val="494849"/>
          <w:w w:val="105"/>
          <w:sz w:val="18"/>
        </w:rPr>
        <w:t>you</w:t>
      </w:r>
      <w:r>
        <w:rPr>
          <w:color w:val="494849"/>
          <w:spacing w:val="1"/>
          <w:w w:val="105"/>
          <w:sz w:val="18"/>
        </w:rPr>
        <w:t> </w:t>
      </w:r>
      <w:r>
        <w:rPr>
          <w:color w:val="494849"/>
          <w:w w:val="105"/>
          <w:sz w:val="18"/>
        </w:rPr>
        <w:t>wish </w:t>
      </w:r>
      <w:r>
        <w:rPr>
          <w:color w:val="383638"/>
          <w:w w:val="105"/>
          <w:sz w:val="18"/>
        </w:rPr>
        <w:t>to contribute </w:t>
      </w:r>
      <w:r>
        <w:rPr>
          <w:color w:val="494849"/>
          <w:w w:val="105"/>
          <w:sz w:val="18"/>
        </w:rPr>
        <w:t>or</w:t>
      </w:r>
      <w:r>
        <w:rPr>
          <w:color w:val="494849"/>
          <w:spacing w:val="1"/>
          <w:w w:val="105"/>
          <w:sz w:val="18"/>
        </w:rPr>
        <w:t> </w:t>
      </w:r>
      <w:r>
        <w:rPr>
          <w:color w:val="383638"/>
          <w:w w:val="105"/>
          <w:sz w:val="18"/>
        </w:rPr>
        <w:t>learn more</w:t>
      </w:r>
      <w:r>
        <w:rPr>
          <w:color w:val="383638"/>
          <w:spacing w:val="-9"/>
          <w:w w:val="105"/>
          <w:sz w:val="18"/>
        </w:rPr>
        <w:t> </w:t>
      </w:r>
      <w:r>
        <w:rPr>
          <w:color w:val="494849"/>
          <w:w w:val="105"/>
          <w:sz w:val="18"/>
        </w:rPr>
        <w:t>about</w:t>
      </w:r>
      <w:r>
        <w:rPr>
          <w:color w:val="494849"/>
          <w:spacing w:val="-3"/>
          <w:w w:val="105"/>
          <w:sz w:val="18"/>
        </w:rPr>
        <w:t> </w:t>
      </w:r>
      <w:r>
        <w:rPr>
          <w:color w:val="383638"/>
          <w:w w:val="105"/>
          <w:sz w:val="16"/>
        </w:rPr>
        <w:t>It,</w:t>
      </w:r>
      <w:r>
        <w:rPr>
          <w:color w:val="383638"/>
          <w:spacing w:val="15"/>
          <w:w w:val="105"/>
          <w:sz w:val="16"/>
        </w:rPr>
        <w:t> </w:t>
      </w:r>
      <w:r>
        <w:rPr>
          <w:color w:val="494849"/>
          <w:w w:val="105"/>
          <w:sz w:val="18"/>
        </w:rPr>
        <w:t>consult</w:t>
      </w:r>
      <w:r>
        <w:rPr>
          <w:color w:val="494849"/>
          <w:spacing w:val="4"/>
          <w:w w:val="105"/>
          <w:sz w:val="18"/>
        </w:rPr>
        <w:t> </w:t>
      </w:r>
      <w:hyperlink r:id="rId259">
        <w:r>
          <w:rPr>
            <w:color w:val="383638"/>
            <w:w w:val="105"/>
            <w:sz w:val="18"/>
          </w:rPr>
          <w:t>hllp://www.sixdegrees.org/</w:t>
        </w:r>
        <w:r>
          <w:rPr>
            <w:color w:val="383638"/>
            <w:spacing w:val="-17"/>
            <w:w w:val="105"/>
            <w:sz w:val="18"/>
          </w:rPr>
          <w:t> </w:t>
        </w:r>
      </w:hyperlink>
      <w:r>
        <w:rPr>
          <w:color w:val="383638"/>
          <w:w w:val="105"/>
          <w:sz w:val="18"/>
        </w:rPr>
        <w:t>(last</w:t>
      </w:r>
      <w:r>
        <w:rPr>
          <w:color w:val="383638"/>
          <w:spacing w:val="4"/>
          <w:w w:val="105"/>
          <w:sz w:val="18"/>
        </w:rPr>
        <w:t> </w:t>
      </w:r>
      <w:r>
        <w:rPr>
          <w:color w:val="494849"/>
          <w:w w:val="105"/>
          <w:sz w:val="18"/>
        </w:rPr>
        <w:t>a</w:t>
      </w:r>
      <w:r>
        <w:rPr>
          <w:color w:val="626264"/>
          <w:w w:val="105"/>
          <w:sz w:val="18"/>
        </w:rPr>
        <w:t>c</w:t>
      </w:r>
      <w:r>
        <w:rPr>
          <w:color w:val="494849"/>
          <w:w w:val="105"/>
          <w:sz w:val="18"/>
        </w:rPr>
        <w:t>cessed</w:t>
      </w:r>
      <w:r>
        <w:rPr>
          <w:color w:val="494849"/>
          <w:spacing w:val="21"/>
          <w:w w:val="105"/>
          <w:sz w:val="18"/>
        </w:rPr>
        <w:t> </w:t>
      </w:r>
      <w:r>
        <w:rPr>
          <w:color w:val="383638"/>
          <w:w w:val="105"/>
          <w:sz w:val="18"/>
        </w:rPr>
        <w:t>Mar.</w:t>
      </w:r>
      <w:r>
        <w:rPr>
          <w:color w:val="383638"/>
          <w:spacing w:val="-15"/>
          <w:w w:val="105"/>
          <w:sz w:val="18"/>
        </w:rPr>
        <w:t> </w:t>
      </w:r>
      <w:r>
        <w:rPr>
          <w:color w:val="494849"/>
          <w:w w:val="105"/>
          <w:sz w:val="18"/>
        </w:rPr>
        <w:t>10,</w:t>
      </w:r>
      <w:r>
        <w:rPr>
          <w:color w:val="494849"/>
          <w:spacing w:val="23"/>
          <w:w w:val="105"/>
          <w:sz w:val="18"/>
        </w:rPr>
        <w:t> </w:t>
      </w:r>
      <w:r>
        <w:rPr>
          <w:color w:val="494849"/>
          <w:w w:val="105"/>
          <w:sz w:val="18"/>
        </w:rPr>
        <w:t>2014).</w:t>
      </w:r>
    </w:p>
    <w:p>
      <w:pPr>
        <w:spacing w:after="0" w:line="225" w:lineRule="auto"/>
        <w:jc w:val="both"/>
        <w:rPr>
          <w:sz w:val="18"/>
        </w:rPr>
        <w:sectPr>
          <w:headerReference w:type="default" r:id="rId258"/>
          <w:pgSz w:w="9730" w:h="13960"/>
          <w:pgMar w:header="0" w:footer="0" w:top="0" w:bottom="0" w:left="340" w:right="980"/>
        </w:sectPr>
      </w:pPr>
    </w:p>
    <w:p>
      <w:pPr>
        <w:pStyle w:val="BodyText"/>
        <w:spacing w:line="232" w:lineRule="auto" w:before="87"/>
        <w:ind w:left="1428" w:right="116" w:hanging="247"/>
        <w:jc w:val="both"/>
      </w:pPr>
      <w:r>
        <w:rPr>
          <w:color w:val="3A3838"/>
          <w:w w:val="110"/>
        </w:rPr>
        <w:t>Because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their activity is not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recognized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valuable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by society,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Respondents can have no legitimate expectation of privacy when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conducting</w:t>
      </w:r>
      <w:r>
        <w:rPr>
          <w:color w:val="3A3838"/>
          <w:spacing w:val="10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-15"/>
          <w:w w:val="110"/>
        </w:rPr>
        <w:t> </w:t>
      </w:r>
      <w:r>
        <w:rPr>
          <w:color w:val="3A3838"/>
          <w:w w:val="110"/>
        </w:rPr>
        <w:t>activity;</w:t>
      </w:r>
    </w:p>
    <w:p>
      <w:pPr>
        <w:pStyle w:val="BodyText"/>
        <w:spacing w:line="232" w:lineRule="auto" w:before="1"/>
        <w:ind w:left="1415" w:right="128" w:hanging="253"/>
        <w:jc w:val="both"/>
      </w:pPr>
      <w:r>
        <w:rPr>
          <w:color w:val="3A3838"/>
          <w:w w:val="110"/>
        </w:rPr>
        <w:t>Because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Respondents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have no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legitimate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expectation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privacy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when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conducting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that activity,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they cannot invoke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Fourth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Amendment;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and</w:t>
      </w:r>
    </w:p>
    <w:p>
      <w:pPr>
        <w:pStyle w:val="BodyText"/>
        <w:spacing w:line="235" w:lineRule="auto"/>
        <w:ind w:left="1398" w:right="115" w:hanging="247"/>
        <w:jc w:val="both"/>
      </w:pPr>
      <w:r>
        <w:rPr>
          <w:color w:val="3A3838"/>
          <w:w w:val="110"/>
        </w:rPr>
        <w:t>Because Respondents cannot invoke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Fourth Amendment, this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Court must</w:t>
      </w:r>
      <w:r>
        <w:rPr>
          <w:color w:val="3A3838"/>
          <w:spacing w:val="2"/>
          <w:w w:val="110"/>
        </w:rPr>
        <w:t> </w:t>
      </w:r>
      <w:r>
        <w:rPr>
          <w:color w:val="3A3838"/>
          <w:w w:val="110"/>
        </w:rPr>
        <w:t>reverse.</w:t>
      </w:r>
    </w:p>
    <w:p>
      <w:pPr>
        <w:pStyle w:val="BodyText"/>
        <w:spacing w:line="232" w:lineRule="auto" w:before="108"/>
        <w:ind w:left="743" w:right="125" w:firstLine="377"/>
        <w:jc w:val="both"/>
      </w:pPr>
      <w:r>
        <w:rPr>
          <w:color w:val="3A3838"/>
          <w:w w:val="105"/>
        </w:rPr>
        <w:t>Thus, in a brief, the "Bacon links" in the Six Degrees of Legal Writing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game are the assertions that you are focusing on in the various sections of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your document, and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the main focus is your ultimate conclusion. Knowing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that the links are there is only half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battle, however. You must make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connections between the links explicit in the text of your brief so that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reader</w:t>
      </w:r>
      <w:r>
        <w:rPr>
          <w:color w:val="3A3838"/>
          <w:spacing w:val="4"/>
          <w:w w:val="105"/>
        </w:rPr>
        <w:t> </w:t>
      </w:r>
      <w:r>
        <w:rPr>
          <w:color w:val="3A3838"/>
          <w:w w:val="105"/>
        </w:rPr>
        <w:t>is</w:t>
      </w:r>
      <w:r>
        <w:rPr>
          <w:color w:val="3A3838"/>
          <w:spacing w:val="-15"/>
          <w:w w:val="105"/>
        </w:rPr>
        <w:t> </w:t>
      </w:r>
      <w:r>
        <w:rPr>
          <w:color w:val="3A3838"/>
          <w:w w:val="105"/>
        </w:rPr>
        <w:t>as</w:t>
      </w:r>
      <w:r>
        <w:rPr>
          <w:color w:val="3A3838"/>
          <w:spacing w:val="-15"/>
          <w:w w:val="105"/>
        </w:rPr>
        <w:t> </w:t>
      </w:r>
      <w:r>
        <w:rPr>
          <w:color w:val="3A3838"/>
          <w:w w:val="105"/>
        </w:rPr>
        <w:t>aware</w:t>
      </w:r>
      <w:r>
        <w:rPr>
          <w:color w:val="3A3838"/>
          <w:spacing w:val="-13"/>
          <w:w w:val="105"/>
        </w:rPr>
        <w:t> </w:t>
      </w:r>
      <w:r>
        <w:rPr>
          <w:color w:val="3A3838"/>
          <w:w w:val="105"/>
        </w:rPr>
        <w:t>of</w:t>
      </w:r>
      <w:r>
        <w:rPr>
          <w:color w:val="3A3838"/>
          <w:spacing w:val="9"/>
          <w:w w:val="105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25"/>
          <w:w w:val="105"/>
        </w:rPr>
        <w:t> </w:t>
      </w:r>
      <w:r>
        <w:rPr>
          <w:color w:val="3A3838"/>
          <w:w w:val="105"/>
        </w:rPr>
        <w:t>connections</w:t>
      </w:r>
      <w:r>
        <w:rPr>
          <w:color w:val="3A3838"/>
          <w:spacing w:val="-1"/>
          <w:w w:val="105"/>
        </w:rPr>
        <w:t> </w:t>
      </w:r>
      <w:r>
        <w:rPr>
          <w:color w:val="3A3838"/>
          <w:w w:val="105"/>
        </w:rPr>
        <w:t>as</w:t>
      </w:r>
      <w:r>
        <w:rPr>
          <w:color w:val="3A3838"/>
          <w:spacing w:val="-8"/>
          <w:w w:val="105"/>
        </w:rPr>
        <w:t> </w:t>
      </w:r>
      <w:r>
        <w:rPr>
          <w:color w:val="3A3838"/>
          <w:w w:val="105"/>
        </w:rPr>
        <w:t>you</w:t>
      </w:r>
      <w:r>
        <w:rPr>
          <w:color w:val="3A3838"/>
          <w:spacing w:val="7"/>
          <w:w w:val="105"/>
        </w:rPr>
        <w:t> </w:t>
      </w:r>
      <w:r>
        <w:rPr>
          <w:color w:val="3A3838"/>
          <w:w w:val="105"/>
        </w:rPr>
        <w:t>are.</w:t>
      </w:r>
    </w:p>
    <w:p>
      <w:pPr>
        <w:pStyle w:val="BodyText"/>
        <w:spacing w:line="253" w:lineRule="exact"/>
        <w:ind w:left="1085"/>
        <w:jc w:val="both"/>
        <w:rPr>
          <w:sz w:val="21"/>
        </w:rPr>
      </w:pPr>
      <w:r>
        <w:rPr>
          <w:color w:val="3A3838"/>
          <w:w w:val="110"/>
        </w:rPr>
        <w:t>For</w:t>
      </w:r>
      <w:r>
        <w:rPr>
          <w:color w:val="3A3838"/>
          <w:spacing w:val="32"/>
          <w:w w:val="110"/>
        </w:rPr>
        <w:t> </w:t>
      </w:r>
      <w:r>
        <w:rPr>
          <w:color w:val="3A3838"/>
          <w:w w:val="110"/>
        </w:rPr>
        <w:t>example,</w:t>
      </w:r>
      <w:r>
        <w:rPr>
          <w:color w:val="3A3838"/>
          <w:spacing w:val="50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1"/>
          <w:w w:val="110"/>
        </w:rPr>
        <w:t> </w:t>
      </w:r>
      <w:r>
        <w:rPr>
          <w:color w:val="3A3838"/>
          <w:w w:val="110"/>
        </w:rPr>
        <w:t>following</w:t>
      </w:r>
      <w:r>
        <w:rPr>
          <w:color w:val="3A3838"/>
          <w:spacing w:val="56"/>
          <w:w w:val="110"/>
        </w:rPr>
        <w:t> </w:t>
      </w:r>
      <w:r>
        <w:rPr>
          <w:color w:val="3A3838"/>
          <w:w w:val="110"/>
        </w:rPr>
        <w:t>paragraph</w:t>
      </w:r>
      <w:r>
        <w:rPr>
          <w:color w:val="3A3838"/>
          <w:spacing w:val="48"/>
          <w:w w:val="110"/>
        </w:rPr>
        <w:t> </w:t>
      </w:r>
      <w:r>
        <w:rPr>
          <w:color w:val="3A3838"/>
          <w:w w:val="110"/>
        </w:rPr>
        <w:t>from</w:t>
      </w:r>
      <w:r>
        <w:rPr>
          <w:color w:val="3A3838"/>
          <w:spacing w:val="42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61"/>
          <w:w w:val="110"/>
        </w:rPr>
        <w:t> </w:t>
      </w:r>
      <w:r>
        <w:rPr>
          <w:color w:val="3A3838"/>
          <w:w w:val="110"/>
        </w:rPr>
        <w:t>petitioner's</w:t>
      </w:r>
      <w:r>
        <w:rPr>
          <w:color w:val="3A3838"/>
          <w:spacing w:val="51"/>
          <w:w w:val="110"/>
        </w:rPr>
        <w:t> </w:t>
      </w:r>
      <w:r>
        <w:rPr>
          <w:color w:val="3A3838"/>
          <w:w w:val="110"/>
        </w:rPr>
        <w:t>brief</w:t>
      </w:r>
      <w:r>
        <w:rPr>
          <w:color w:val="3A3838"/>
          <w:spacing w:val="50"/>
          <w:w w:val="110"/>
        </w:rPr>
        <w:t> </w:t>
      </w:r>
      <w:r>
        <w:rPr>
          <w:color w:val="3A3838"/>
          <w:w w:val="110"/>
          <w:sz w:val="21"/>
        </w:rPr>
        <w:t>in</w:t>
      </w:r>
    </w:p>
    <w:p>
      <w:pPr>
        <w:spacing w:line="257" w:lineRule="exact" w:before="0"/>
        <w:ind w:left="722" w:right="0" w:firstLine="0"/>
        <w:jc w:val="both"/>
        <w:rPr>
          <w:sz w:val="23"/>
        </w:rPr>
      </w:pPr>
      <w:r>
        <w:rPr>
          <w:i/>
          <w:color w:val="3A3838"/>
          <w:w w:val="105"/>
          <w:sz w:val="23"/>
        </w:rPr>
        <w:t>Minnesota</w:t>
      </w:r>
      <w:r>
        <w:rPr>
          <w:i/>
          <w:color w:val="3A3838"/>
          <w:spacing w:val="18"/>
          <w:w w:val="105"/>
          <w:sz w:val="23"/>
        </w:rPr>
        <w:t> </w:t>
      </w:r>
      <w:r>
        <w:rPr>
          <w:i/>
          <w:color w:val="3A3838"/>
          <w:w w:val="105"/>
          <w:sz w:val="23"/>
        </w:rPr>
        <w:t>v.</w:t>
      </w:r>
      <w:r>
        <w:rPr>
          <w:i/>
          <w:color w:val="3A3838"/>
          <w:spacing w:val="-32"/>
          <w:w w:val="105"/>
          <w:sz w:val="23"/>
        </w:rPr>
        <w:t> </w:t>
      </w:r>
      <w:r>
        <w:rPr>
          <w:i/>
          <w:color w:val="3A3838"/>
          <w:w w:val="105"/>
          <w:sz w:val="23"/>
        </w:rPr>
        <w:t>Carter</w:t>
      </w:r>
      <w:r>
        <w:rPr>
          <w:i/>
          <w:color w:val="3A3838"/>
          <w:spacing w:val="-7"/>
          <w:w w:val="105"/>
          <w:sz w:val="23"/>
        </w:rPr>
        <w:t> </w:t>
      </w:r>
      <w:r>
        <w:rPr>
          <w:color w:val="3A3838"/>
          <w:w w:val="105"/>
          <w:sz w:val="23"/>
        </w:rPr>
        <w:t>does</w:t>
      </w:r>
      <w:r>
        <w:rPr>
          <w:color w:val="3A3838"/>
          <w:spacing w:val="-3"/>
          <w:w w:val="105"/>
          <w:sz w:val="23"/>
        </w:rPr>
        <w:t> </w:t>
      </w:r>
      <w:r>
        <w:rPr>
          <w:color w:val="3A3838"/>
          <w:w w:val="105"/>
          <w:sz w:val="23"/>
        </w:rPr>
        <w:t>not</w:t>
      </w:r>
      <w:r>
        <w:rPr>
          <w:color w:val="3A3838"/>
          <w:spacing w:val="30"/>
          <w:w w:val="105"/>
          <w:sz w:val="23"/>
        </w:rPr>
        <w:t> </w:t>
      </w:r>
      <w:r>
        <w:rPr>
          <w:color w:val="3A3838"/>
          <w:w w:val="105"/>
          <w:sz w:val="23"/>
        </w:rPr>
        <w:t>make</w:t>
      </w:r>
      <w:r>
        <w:rPr>
          <w:color w:val="3A3838"/>
          <w:spacing w:val="2"/>
          <w:w w:val="105"/>
          <w:sz w:val="23"/>
        </w:rPr>
        <w:t> </w:t>
      </w:r>
      <w:r>
        <w:rPr>
          <w:color w:val="3A3838"/>
          <w:w w:val="105"/>
          <w:sz w:val="23"/>
        </w:rPr>
        <w:t>the</w:t>
      </w:r>
      <w:r>
        <w:rPr>
          <w:color w:val="3A3838"/>
          <w:spacing w:val="10"/>
          <w:w w:val="105"/>
          <w:sz w:val="23"/>
        </w:rPr>
        <w:t> </w:t>
      </w:r>
      <w:r>
        <w:rPr>
          <w:color w:val="3A3838"/>
          <w:w w:val="105"/>
          <w:sz w:val="23"/>
        </w:rPr>
        <w:t>links</w:t>
      </w:r>
      <w:r>
        <w:rPr>
          <w:color w:val="3A3838"/>
          <w:spacing w:val="-9"/>
          <w:w w:val="105"/>
          <w:sz w:val="23"/>
        </w:rPr>
        <w:t> </w:t>
      </w:r>
      <w:r>
        <w:rPr>
          <w:color w:val="3A3838"/>
          <w:w w:val="105"/>
          <w:sz w:val="23"/>
        </w:rPr>
        <w:t>explicit:</w:t>
      </w:r>
    </w:p>
    <w:p>
      <w:pPr>
        <w:pStyle w:val="BodyText"/>
        <w:spacing w:before="7"/>
        <w:rPr>
          <w:sz w:val="10"/>
        </w:rPr>
      </w:pPr>
    </w:p>
    <w:p>
      <w:pPr>
        <w:tabs>
          <w:tab w:pos="860" w:val="left" w:leader="none"/>
        </w:tabs>
        <w:spacing w:before="93"/>
        <w:ind w:left="488" w:right="0" w:firstLine="0"/>
        <w:jc w:val="left"/>
        <w:rPr>
          <w:sz w:val="16"/>
        </w:rPr>
      </w:pPr>
      <w:r>
        <w:rPr>
          <w:color w:val="3A3838"/>
          <w:w w:val="100"/>
          <w:sz w:val="16"/>
          <w:u w:val="thick" w:color="3A3838"/>
        </w:rPr>
        <w:t> </w:t>
      </w:r>
      <w:r>
        <w:rPr>
          <w:color w:val="3A3838"/>
          <w:sz w:val="16"/>
          <w:u w:val="thick" w:color="3A3838"/>
        </w:rPr>
        <w:tab/>
      </w:r>
      <w:r>
        <w:rPr>
          <w:color w:val="3A3838"/>
          <w:sz w:val="16"/>
        </w:rPr>
        <w:t>   </w:t>
      </w:r>
      <w:r>
        <w:rPr>
          <w:color w:val="3A3838"/>
          <w:spacing w:val="17"/>
          <w:sz w:val="16"/>
        </w:rPr>
        <w:t> </w:t>
      </w:r>
      <w:r>
        <w:rPr>
          <w:color w:val="3A3838"/>
          <w:w w:val="90"/>
          <w:sz w:val="16"/>
          <w:u w:val="thick" w:color="3A3838"/>
        </w:rPr>
        <w:t>BAD</w:t>
      </w:r>
      <w:r>
        <w:rPr>
          <w:color w:val="3A3838"/>
          <w:spacing w:val="-1"/>
          <w:w w:val="90"/>
          <w:sz w:val="16"/>
          <w:u w:val="thick" w:color="3A3838"/>
        </w:rPr>
        <w:t> </w:t>
      </w:r>
      <w:r>
        <w:rPr>
          <w:color w:val="3A3838"/>
          <w:w w:val="90"/>
          <w:sz w:val="16"/>
          <w:u w:val="thick" w:color="3A3838"/>
        </w:rPr>
        <w:t>EXAMPLE</w:t>
      </w:r>
    </w:p>
    <w:p>
      <w:pPr>
        <w:spacing w:line="230" w:lineRule="auto" w:before="86"/>
        <w:ind w:left="1036" w:right="340" w:firstLine="9"/>
        <w:jc w:val="left"/>
        <w:rPr>
          <w:b/>
          <w:sz w:val="21"/>
        </w:rPr>
      </w:pPr>
      <w:r>
        <w:rPr>
          <w:b/>
          <w:color w:val="3A3838"/>
          <w:w w:val="105"/>
          <w:sz w:val="21"/>
        </w:rPr>
        <w:t>Because society does not value the Respondents'</w:t>
      </w:r>
      <w:r>
        <w:rPr>
          <w:b/>
          <w:color w:val="3A3838"/>
          <w:spacing w:val="1"/>
          <w:w w:val="105"/>
          <w:sz w:val="21"/>
        </w:rPr>
        <w:t> </w:t>
      </w:r>
      <w:r>
        <w:rPr>
          <w:b/>
          <w:color w:val="3A3838"/>
          <w:w w:val="105"/>
          <w:sz w:val="21"/>
        </w:rPr>
        <w:t>illegal</w:t>
      </w:r>
      <w:r>
        <w:rPr>
          <w:b/>
          <w:color w:val="3A3838"/>
          <w:spacing w:val="1"/>
          <w:w w:val="105"/>
          <w:sz w:val="21"/>
        </w:rPr>
        <w:t> </w:t>
      </w:r>
      <w:r>
        <w:rPr>
          <w:b/>
          <w:color w:val="3A3838"/>
          <w:w w:val="105"/>
          <w:sz w:val="21"/>
        </w:rPr>
        <w:t>business activ­</w:t>
      </w:r>
      <w:r>
        <w:rPr>
          <w:b/>
          <w:color w:val="3A3838"/>
          <w:spacing w:val="1"/>
          <w:w w:val="105"/>
          <w:sz w:val="21"/>
        </w:rPr>
        <w:t> </w:t>
      </w:r>
      <w:r>
        <w:rPr>
          <w:b/>
          <w:color w:val="3A3838"/>
          <w:w w:val="110"/>
          <w:sz w:val="21"/>
        </w:rPr>
        <w:t>ity,</w:t>
      </w:r>
      <w:r>
        <w:rPr>
          <w:b/>
          <w:color w:val="3A3838"/>
          <w:spacing w:val="2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this</w:t>
      </w:r>
      <w:r>
        <w:rPr>
          <w:b/>
          <w:color w:val="3A3838"/>
          <w:spacing w:val="-13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Court</w:t>
      </w:r>
      <w:r>
        <w:rPr>
          <w:b/>
          <w:color w:val="3A3838"/>
          <w:spacing w:val="-3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must</w:t>
      </w:r>
      <w:r>
        <w:rPr>
          <w:b/>
          <w:color w:val="3A3838"/>
          <w:spacing w:val="-3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reverse.</w:t>
      </w:r>
    </w:p>
    <w:p>
      <w:pPr>
        <w:pStyle w:val="BodyText"/>
        <w:spacing w:line="232" w:lineRule="auto" w:before="152"/>
        <w:ind w:left="653" w:right="155" w:firstLine="27"/>
        <w:jc w:val="both"/>
      </w:pPr>
      <w:r>
        <w:rPr>
          <w:color w:val="3A3838"/>
          <w:w w:val="110"/>
        </w:rPr>
        <w:t>Most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readers would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not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immediately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grasp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connection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between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respondents' illegal business activity and the conclusion that the court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must reverse. Instead of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making this unmoored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statement,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 writer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should connect the point about illegal business activity to the conclusion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-9"/>
          <w:w w:val="110"/>
        </w:rPr>
        <w:t> </w:t>
      </w:r>
      <w:r>
        <w:rPr>
          <w:color w:val="3A3838"/>
          <w:w w:val="110"/>
        </w:rPr>
        <w:t>court</w:t>
      </w:r>
      <w:r>
        <w:rPr>
          <w:color w:val="3A3838"/>
          <w:spacing w:val="3"/>
          <w:w w:val="110"/>
        </w:rPr>
        <w:t> </w:t>
      </w:r>
      <w:r>
        <w:rPr>
          <w:color w:val="3A3838"/>
          <w:w w:val="110"/>
        </w:rPr>
        <w:t>must</w:t>
      </w:r>
      <w:r>
        <w:rPr>
          <w:color w:val="3A3838"/>
          <w:spacing w:val="16"/>
          <w:w w:val="110"/>
        </w:rPr>
        <w:t> </w:t>
      </w:r>
      <w:r>
        <w:rPr>
          <w:color w:val="3A3838"/>
          <w:w w:val="110"/>
        </w:rPr>
        <w:t>reverse</w:t>
      </w:r>
      <w:r>
        <w:rPr>
          <w:color w:val="3A3838"/>
          <w:spacing w:val="3"/>
          <w:w w:val="110"/>
        </w:rPr>
        <w:t> </w:t>
      </w:r>
      <w:r>
        <w:rPr>
          <w:color w:val="3A3838"/>
          <w:w w:val="110"/>
        </w:rPr>
        <w:t>by</w:t>
      </w:r>
      <w:r>
        <w:rPr>
          <w:color w:val="3A3838"/>
          <w:spacing w:val="12"/>
          <w:w w:val="110"/>
        </w:rPr>
        <w:t> </w:t>
      </w:r>
      <w:r>
        <w:rPr>
          <w:color w:val="3A3838"/>
          <w:w w:val="110"/>
        </w:rPr>
        <w:t>making</w:t>
      </w:r>
      <w:r>
        <w:rPr>
          <w:color w:val="3A3838"/>
          <w:spacing w:val="8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9"/>
          <w:w w:val="110"/>
        </w:rPr>
        <w:t> </w:t>
      </w:r>
      <w:r>
        <w:rPr>
          <w:color w:val="3A3838"/>
          <w:w w:val="110"/>
        </w:rPr>
        <w:t>connections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explicit:</w:t>
      </w:r>
    </w:p>
    <w:p>
      <w:pPr>
        <w:pStyle w:val="BodyText"/>
        <w:spacing w:before="10"/>
        <w:rPr>
          <w:sz w:val="9"/>
        </w:rPr>
      </w:pPr>
    </w:p>
    <w:p>
      <w:pPr>
        <w:spacing w:before="96"/>
        <w:ind w:left="638" w:right="0" w:firstLine="0"/>
        <w:jc w:val="left"/>
        <w:rPr>
          <w:rFonts w:ascii="Arial"/>
          <w:b/>
          <w:sz w:val="14"/>
        </w:rPr>
      </w:pPr>
      <w:r>
        <w:rPr>
          <w:rFonts w:ascii="Arial"/>
          <w:color w:val="3A3838"/>
          <w:w w:val="115"/>
          <w:sz w:val="14"/>
          <w:u w:val="thick" w:color="3A3838"/>
        </w:rPr>
        <w:t>_/\.GOOD</w:t>
      </w:r>
      <w:r>
        <w:rPr>
          <w:rFonts w:ascii="Arial"/>
          <w:color w:val="3A3838"/>
          <w:spacing w:val="2"/>
          <w:w w:val="115"/>
          <w:sz w:val="14"/>
          <w:u w:val="thick" w:color="3A3838"/>
        </w:rPr>
        <w:t> </w:t>
      </w:r>
      <w:r>
        <w:rPr>
          <w:rFonts w:ascii="Arial"/>
          <w:b/>
          <w:color w:val="3A3838"/>
          <w:w w:val="115"/>
          <w:sz w:val="14"/>
          <w:u w:val="thick" w:color="3A3838"/>
        </w:rPr>
        <w:t>EXAMPLE</w:t>
      </w:r>
    </w:p>
    <w:p>
      <w:pPr>
        <w:spacing w:line="232" w:lineRule="auto" w:before="108"/>
        <w:ind w:left="902" w:right="482" w:firstLine="82"/>
        <w:jc w:val="both"/>
        <w:rPr>
          <w:b/>
          <w:sz w:val="21"/>
        </w:rPr>
      </w:pPr>
      <w:r>
        <w:rPr>
          <w:b/>
          <w:color w:val="3A3838"/>
          <w:w w:val="105"/>
          <w:sz w:val="21"/>
        </w:rPr>
        <w:t>Thus, Respondents, who</w:t>
      </w:r>
      <w:r>
        <w:rPr>
          <w:b/>
          <w:color w:val="3A3838"/>
          <w:spacing w:val="1"/>
          <w:w w:val="105"/>
          <w:sz w:val="21"/>
        </w:rPr>
        <w:t> </w:t>
      </w:r>
      <w:r>
        <w:rPr>
          <w:b/>
          <w:color w:val="3A3838"/>
          <w:w w:val="105"/>
          <w:sz w:val="21"/>
        </w:rPr>
        <w:t>were conducting a purely commercial activ­</w:t>
      </w:r>
      <w:r>
        <w:rPr>
          <w:b/>
          <w:color w:val="3A3838"/>
          <w:spacing w:val="1"/>
          <w:w w:val="105"/>
          <w:sz w:val="21"/>
        </w:rPr>
        <w:t> </w:t>
      </w:r>
      <w:r>
        <w:rPr>
          <w:b/>
          <w:color w:val="3A3838"/>
          <w:w w:val="110"/>
          <w:sz w:val="21"/>
        </w:rPr>
        <w:t>ity</w:t>
      </w:r>
      <w:r>
        <w:rPr>
          <w:b/>
          <w:color w:val="5D5D5E"/>
          <w:w w:val="110"/>
          <w:sz w:val="21"/>
        </w:rPr>
        <w:t>, </w:t>
      </w:r>
      <w:r>
        <w:rPr>
          <w:b/>
          <w:color w:val="3A3838"/>
          <w:w w:val="110"/>
          <w:sz w:val="21"/>
        </w:rPr>
        <w:t>were not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visitors to a "home" and were not engaging in long­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standing social  customs that serve functions recognized as valuable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by society. While Respondents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may have been legitimately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in the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apartment,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in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the sense that Thompson permitted their presence,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05"/>
          <w:sz w:val="21"/>
        </w:rPr>
        <w:t>Respondents did not</w:t>
      </w:r>
      <w:r>
        <w:rPr>
          <w:b/>
          <w:color w:val="3A3838"/>
          <w:spacing w:val="1"/>
          <w:w w:val="105"/>
          <w:sz w:val="21"/>
        </w:rPr>
        <w:t> </w:t>
      </w:r>
      <w:r>
        <w:rPr>
          <w:b/>
          <w:color w:val="3A3838"/>
          <w:w w:val="105"/>
          <w:sz w:val="21"/>
        </w:rPr>
        <w:t>have any legitimate expectation of privacy in the</w:t>
      </w:r>
      <w:r>
        <w:rPr>
          <w:b/>
          <w:color w:val="3A3838"/>
          <w:spacing w:val="1"/>
          <w:w w:val="105"/>
          <w:sz w:val="21"/>
        </w:rPr>
        <w:t> </w:t>
      </w:r>
      <w:r>
        <w:rPr>
          <w:b/>
          <w:color w:val="3A3838"/>
          <w:w w:val="110"/>
          <w:sz w:val="21"/>
        </w:rPr>
        <w:t>apartment because they were present only to conduct illegal business.</w:t>
      </w:r>
      <w:r>
        <w:rPr>
          <w:b/>
          <w:color w:val="3A3838"/>
          <w:spacing w:val="-55"/>
          <w:w w:val="110"/>
          <w:sz w:val="21"/>
        </w:rPr>
        <w:t> </w:t>
      </w:r>
      <w:r>
        <w:rPr>
          <w:b/>
          <w:color w:val="3A3838"/>
          <w:spacing w:val="-1"/>
          <w:w w:val="110"/>
          <w:sz w:val="21"/>
        </w:rPr>
        <w:t>Because Respondents' expectation of privacy was </w:t>
      </w:r>
      <w:r>
        <w:rPr>
          <w:b/>
          <w:color w:val="3A3838"/>
          <w:w w:val="110"/>
          <w:sz w:val="21"/>
        </w:rPr>
        <w:t>not one that society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spacing w:val="-1"/>
          <w:w w:val="110"/>
          <w:sz w:val="21"/>
        </w:rPr>
        <w:t>recognizes as reasonable, they cannot </w:t>
      </w:r>
      <w:r>
        <w:rPr>
          <w:b/>
          <w:color w:val="3A3838"/>
          <w:w w:val="110"/>
          <w:sz w:val="21"/>
        </w:rPr>
        <w:t>claim the Fourth Amendment's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protections,</w:t>
      </w:r>
      <w:r>
        <w:rPr>
          <w:b/>
          <w:color w:val="3A3838"/>
          <w:spacing w:val="13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and</w:t>
      </w:r>
      <w:r>
        <w:rPr>
          <w:b/>
          <w:color w:val="3A3838"/>
          <w:spacing w:val="16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this</w:t>
      </w:r>
      <w:r>
        <w:rPr>
          <w:b/>
          <w:color w:val="3A3838"/>
          <w:spacing w:val="-14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Court</w:t>
      </w:r>
      <w:r>
        <w:rPr>
          <w:b/>
          <w:color w:val="3A3838"/>
          <w:spacing w:val="-14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must</w:t>
      </w:r>
      <w:r>
        <w:rPr>
          <w:b/>
          <w:color w:val="3A3838"/>
          <w:spacing w:val="-3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reverse.</w:t>
      </w:r>
    </w:p>
    <w:p>
      <w:pPr>
        <w:pStyle w:val="BodyText"/>
        <w:spacing w:line="232" w:lineRule="auto" w:before="163"/>
        <w:ind w:left="431" w:right="186" w:firstLine="87"/>
        <w:jc w:val="both"/>
      </w:pPr>
      <w:r>
        <w:rPr>
          <w:color w:val="3A3838"/>
          <w:w w:val="110"/>
        </w:rPr>
        <w:t>Although the example above shows </w:t>
      </w:r>
      <w:r>
        <w:rPr>
          <w:rFonts w:ascii="Arial"/>
          <w:b/>
          <w:color w:val="3A3838"/>
          <w:w w:val="110"/>
          <w:sz w:val="21"/>
        </w:rPr>
        <w:t>a </w:t>
      </w:r>
      <w:r>
        <w:rPr>
          <w:color w:val="3A3838"/>
          <w:w w:val="110"/>
        </w:rPr>
        <w:t>connection-conclusion paragraph,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an equally important location for making links explicit is in the beginning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of a section or subsection. In the illustration below, notice how the </w:t>
      </w:r>
      <w:r>
        <w:rPr>
          <w:rFonts w:ascii="Arial"/>
          <w:b/>
          <w:color w:val="3A3838"/>
          <w:w w:val="110"/>
          <w:sz w:val="21"/>
        </w:rPr>
        <w:t>writer</w:t>
      </w:r>
      <w:r>
        <w:rPr>
          <w:rFonts w:ascii="Arial"/>
          <w:b/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</w:rPr>
        <w:t>connects subsection B.2 to subsection B.1 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to the "B" point heading.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5"/>
        </w:rPr>
        <w:t>She then provides </w:t>
      </w:r>
      <w:r>
        <w:rPr>
          <w:color w:val="3A3838"/>
          <w:w w:val="115"/>
        </w:rPr>
        <w:t>a roadmap to the two subpoints </w:t>
      </w:r>
      <w:r>
        <w:rPr>
          <w:i/>
          <w:color w:val="3A3838"/>
          <w:w w:val="115"/>
        </w:rPr>
        <w:t>to </w:t>
      </w:r>
      <w:r>
        <w:rPr>
          <w:color w:val="3A3838"/>
          <w:w w:val="115"/>
        </w:rPr>
        <w:t>section B. I have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included all of the relevant headings so you can see how the writer makes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the</w:t>
      </w:r>
      <w:r>
        <w:rPr>
          <w:color w:val="3A3838"/>
          <w:spacing w:val="47"/>
          <w:w w:val="115"/>
        </w:rPr>
        <w:t> </w:t>
      </w:r>
      <w:r>
        <w:rPr>
          <w:color w:val="3A3838"/>
          <w:w w:val="115"/>
        </w:rPr>
        <w:t>connections</w:t>
      </w:r>
      <w:r>
        <w:rPr>
          <w:color w:val="3A3838"/>
          <w:spacing w:val="-6"/>
          <w:w w:val="115"/>
        </w:rPr>
        <w:t> </w:t>
      </w:r>
      <w:r>
        <w:rPr>
          <w:color w:val="3A3838"/>
          <w:w w:val="115"/>
        </w:rPr>
        <w:t>clear:</w:t>
      </w:r>
    </w:p>
    <w:p>
      <w:pPr>
        <w:spacing w:after="0" w:line="232" w:lineRule="auto"/>
        <w:jc w:val="both"/>
        <w:sectPr>
          <w:headerReference w:type="even" r:id="rId260"/>
          <w:headerReference w:type="default" r:id="rId261"/>
          <w:pgSz w:w="9810" w:h="14020"/>
          <w:pgMar w:header="501" w:footer="0" w:top="1080" w:bottom="0" w:left="1360" w:right="220"/>
          <w:pgNumType w:start="23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line="235" w:lineRule="auto" w:before="0"/>
        <w:ind w:left="934" w:right="985" w:hanging="296"/>
        <w:jc w:val="both"/>
        <w:rPr>
          <w:sz w:val="21"/>
        </w:rPr>
      </w:pPr>
      <w:r>
        <w:rPr>
          <w:color w:val="383636"/>
          <w:w w:val="115"/>
          <w:sz w:val="21"/>
        </w:rPr>
        <w:t>B. Respondents had no legitimate expectation of privacy because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any subjective expectation they might have had while tempo­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rarily in another's home for the sole purpose of conducting ille­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gal</w:t>
      </w:r>
      <w:r>
        <w:rPr>
          <w:color w:val="383636"/>
          <w:spacing w:val="-7"/>
          <w:w w:val="115"/>
          <w:sz w:val="21"/>
        </w:rPr>
        <w:t> </w:t>
      </w:r>
      <w:r>
        <w:rPr>
          <w:color w:val="383636"/>
          <w:w w:val="115"/>
          <w:sz w:val="21"/>
        </w:rPr>
        <w:t>business</w:t>
      </w:r>
      <w:r>
        <w:rPr>
          <w:color w:val="383636"/>
          <w:spacing w:val="-8"/>
          <w:w w:val="115"/>
          <w:sz w:val="21"/>
        </w:rPr>
        <w:t> </w:t>
      </w:r>
      <w:r>
        <w:rPr>
          <w:color w:val="383636"/>
          <w:w w:val="115"/>
          <w:sz w:val="21"/>
        </w:rPr>
        <w:t>was</w:t>
      </w:r>
      <w:r>
        <w:rPr>
          <w:color w:val="383636"/>
          <w:spacing w:val="-10"/>
          <w:w w:val="115"/>
          <w:sz w:val="21"/>
        </w:rPr>
        <w:t> </w:t>
      </w:r>
      <w:r>
        <w:rPr>
          <w:color w:val="383636"/>
          <w:w w:val="115"/>
          <w:sz w:val="21"/>
        </w:rPr>
        <w:t>not</w:t>
      </w:r>
      <w:r>
        <w:rPr>
          <w:color w:val="383636"/>
          <w:spacing w:val="4"/>
          <w:w w:val="115"/>
          <w:sz w:val="21"/>
        </w:rPr>
        <w:t> </w:t>
      </w:r>
      <w:r>
        <w:rPr>
          <w:color w:val="383636"/>
          <w:w w:val="115"/>
          <w:sz w:val="21"/>
        </w:rPr>
        <w:t>one</w:t>
      </w:r>
      <w:r>
        <w:rPr>
          <w:color w:val="383636"/>
          <w:spacing w:val="15"/>
          <w:w w:val="115"/>
          <w:sz w:val="21"/>
        </w:rPr>
        <w:t> </w:t>
      </w:r>
      <w:r>
        <w:rPr>
          <w:color w:val="383636"/>
          <w:w w:val="115"/>
          <w:sz w:val="21"/>
        </w:rPr>
        <w:t>society</w:t>
      </w:r>
      <w:r>
        <w:rPr>
          <w:color w:val="383636"/>
          <w:spacing w:val="-2"/>
          <w:w w:val="115"/>
          <w:sz w:val="21"/>
        </w:rPr>
        <w:t> </w:t>
      </w:r>
      <w:r>
        <w:rPr>
          <w:color w:val="383636"/>
          <w:w w:val="115"/>
          <w:sz w:val="21"/>
        </w:rPr>
        <w:t>recognizes</w:t>
      </w:r>
      <w:r>
        <w:rPr>
          <w:color w:val="383636"/>
          <w:spacing w:val="-15"/>
          <w:w w:val="115"/>
          <w:sz w:val="21"/>
        </w:rPr>
        <w:t> </w:t>
      </w:r>
      <w:r>
        <w:rPr>
          <w:color w:val="383636"/>
          <w:w w:val="115"/>
          <w:sz w:val="21"/>
        </w:rPr>
        <w:t>as</w:t>
      </w:r>
      <w:r>
        <w:rPr>
          <w:color w:val="383636"/>
          <w:spacing w:val="-1"/>
          <w:w w:val="115"/>
          <w:sz w:val="21"/>
        </w:rPr>
        <w:t> </w:t>
      </w:r>
      <w:r>
        <w:rPr>
          <w:color w:val="383636"/>
          <w:w w:val="130"/>
          <w:sz w:val="21"/>
        </w:rPr>
        <w:t>reasonable....</w:t>
      </w:r>
    </w:p>
    <w:p>
      <w:pPr>
        <w:pStyle w:val="ListParagraph"/>
        <w:numPr>
          <w:ilvl w:val="0"/>
          <w:numId w:val="93"/>
        </w:numPr>
        <w:tabs>
          <w:tab w:pos="1268" w:val="left" w:leader="none"/>
        </w:tabs>
        <w:spacing w:line="230" w:lineRule="auto" w:before="145" w:after="0"/>
        <w:ind w:left="1252" w:right="970" w:hanging="313"/>
        <w:jc w:val="both"/>
        <w:rPr>
          <w:rFonts w:ascii="Arial" w:hAnsi="Arial"/>
          <w:color w:val="383636"/>
          <w:sz w:val="17"/>
        </w:rPr>
      </w:pPr>
      <w:r>
        <w:rPr>
          <w:color w:val="383636"/>
          <w:spacing w:val="-1"/>
          <w:w w:val="222"/>
          <w:sz w:val="21"/>
        </w:rPr>
        <w:t>T</w:t>
      </w:r>
      <w:r>
        <w:rPr>
          <w:color w:val="383636"/>
          <w:spacing w:val="-60"/>
          <w:w w:val="222"/>
          <w:sz w:val="21"/>
        </w:rPr>
        <w:t>h</w:t>
      </w:r>
      <w:r>
        <w:rPr>
          <w:rFonts w:ascii="Arial" w:hAnsi="Arial"/>
          <w:color w:val="383636"/>
          <w:spacing w:val="-140"/>
          <w:w w:val="121"/>
          <w:sz w:val="21"/>
        </w:rPr>
        <w:t>Q</w:t>
      </w:r>
      <w:r>
        <w:rPr>
          <w:color w:val="383636"/>
          <w:spacing w:val="-69"/>
          <w:w w:val="222"/>
          <w:sz w:val="21"/>
        </w:rPr>
        <w:t>e</w:t>
      </w:r>
      <w:r>
        <w:rPr>
          <w:rFonts w:ascii="Arial" w:hAnsi="Arial"/>
          <w:color w:val="383636"/>
          <w:spacing w:val="-1"/>
          <w:w w:val="121"/>
          <w:sz w:val="21"/>
        </w:rPr>
        <w:t>lm</w:t>
      </w:r>
      <w:r>
        <w:rPr>
          <w:rFonts w:ascii="Arial" w:hAnsi="Arial"/>
          <w:color w:val="383636"/>
          <w:w w:val="121"/>
          <w:sz w:val="21"/>
        </w:rPr>
        <w:t>n</w:t>
      </w:r>
      <w:r>
        <w:rPr>
          <w:rFonts w:ascii="Arial" w:hAnsi="Arial"/>
          <w:color w:val="383636"/>
          <w:spacing w:val="5"/>
          <w:sz w:val="21"/>
        </w:rPr>
        <w:t> </w:t>
      </w:r>
      <w:r>
        <w:rPr>
          <w:color w:val="383636"/>
          <w:w w:val="118"/>
          <w:sz w:val="21"/>
        </w:rPr>
        <w:t>rule</w:t>
      </w:r>
      <w:r>
        <w:rPr>
          <w:color w:val="383636"/>
          <w:spacing w:val="17"/>
          <w:sz w:val="21"/>
        </w:rPr>
        <w:t> </w:t>
      </w:r>
      <w:r>
        <w:rPr>
          <w:color w:val="383636"/>
          <w:w w:val="119"/>
          <w:sz w:val="21"/>
        </w:rPr>
        <w:t>dictates</w:t>
      </w:r>
      <w:r>
        <w:rPr>
          <w:color w:val="383636"/>
          <w:spacing w:val="24"/>
          <w:sz w:val="21"/>
        </w:rPr>
        <w:t> </w:t>
      </w:r>
      <w:r>
        <w:rPr>
          <w:color w:val="383636"/>
          <w:spacing w:val="-1"/>
          <w:w w:val="130"/>
          <w:sz w:val="21"/>
        </w:rPr>
        <w:t>tha</w:t>
      </w:r>
      <w:r>
        <w:rPr>
          <w:color w:val="383636"/>
          <w:w w:val="130"/>
          <w:sz w:val="21"/>
        </w:rPr>
        <w:t>t</w:t>
      </w:r>
      <w:r>
        <w:rPr>
          <w:color w:val="383636"/>
          <w:spacing w:val="23"/>
          <w:sz w:val="21"/>
        </w:rPr>
        <w:t> </w:t>
      </w:r>
      <w:r>
        <w:rPr>
          <w:color w:val="383636"/>
          <w:w w:val="124"/>
          <w:sz w:val="21"/>
        </w:rPr>
        <w:t>only</w:t>
      </w:r>
      <w:r>
        <w:rPr>
          <w:color w:val="383636"/>
          <w:spacing w:val="22"/>
          <w:sz w:val="21"/>
        </w:rPr>
        <w:t> </w:t>
      </w:r>
      <w:r>
        <w:rPr>
          <w:color w:val="383636"/>
          <w:w w:val="118"/>
          <w:sz w:val="21"/>
        </w:rPr>
        <w:t>overnight</w:t>
      </w:r>
      <w:r>
        <w:rPr>
          <w:color w:val="383636"/>
          <w:sz w:val="21"/>
        </w:rPr>
        <w:t> </w:t>
      </w:r>
      <w:r>
        <w:rPr>
          <w:color w:val="383636"/>
          <w:spacing w:val="-7"/>
          <w:sz w:val="21"/>
        </w:rPr>
        <w:t> </w:t>
      </w:r>
      <w:r>
        <w:rPr>
          <w:color w:val="383636"/>
          <w:w w:val="113"/>
          <w:sz w:val="21"/>
        </w:rPr>
        <w:t>guests</w:t>
      </w:r>
      <w:r>
        <w:rPr>
          <w:color w:val="383636"/>
          <w:spacing w:val="21"/>
          <w:sz w:val="21"/>
        </w:rPr>
        <w:t> </w:t>
      </w:r>
      <w:r>
        <w:rPr>
          <w:color w:val="383636"/>
          <w:w w:val="121"/>
          <w:sz w:val="21"/>
        </w:rPr>
        <w:t>have</w:t>
      </w:r>
      <w:r>
        <w:rPr>
          <w:color w:val="383636"/>
          <w:spacing w:val="19"/>
          <w:sz w:val="21"/>
        </w:rPr>
        <w:t> </w:t>
      </w:r>
      <w:r>
        <w:rPr>
          <w:color w:val="383636"/>
          <w:w w:val="121"/>
          <w:sz w:val="21"/>
        </w:rPr>
        <w:t>a </w:t>
      </w:r>
      <w:r>
        <w:rPr>
          <w:color w:val="383636"/>
          <w:w w:val="115"/>
          <w:sz w:val="21"/>
        </w:rPr>
        <w:t>connection to premises that gives rise to a legitimate expec­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20"/>
          <w:sz w:val="21"/>
        </w:rPr>
        <w:t>tation</w:t>
      </w:r>
      <w:r>
        <w:rPr>
          <w:color w:val="383636"/>
          <w:spacing w:val="-13"/>
          <w:w w:val="120"/>
          <w:sz w:val="21"/>
        </w:rPr>
        <w:t> </w:t>
      </w:r>
      <w:r>
        <w:rPr>
          <w:color w:val="383636"/>
          <w:w w:val="120"/>
          <w:sz w:val="21"/>
        </w:rPr>
        <w:t>of</w:t>
      </w:r>
      <w:r>
        <w:rPr>
          <w:color w:val="383636"/>
          <w:spacing w:val="-12"/>
          <w:w w:val="120"/>
          <w:sz w:val="21"/>
        </w:rPr>
        <w:t> </w:t>
      </w:r>
      <w:r>
        <w:rPr>
          <w:color w:val="383636"/>
          <w:w w:val="120"/>
          <w:sz w:val="21"/>
        </w:rPr>
        <w:t>privacy.</w:t>
      </w:r>
    </w:p>
    <w:p>
      <w:pPr>
        <w:pStyle w:val="ListParagraph"/>
        <w:numPr>
          <w:ilvl w:val="0"/>
          <w:numId w:val="93"/>
        </w:numPr>
        <w:tabs>
          <w:tab w:pos="1266" w:val="left" w:leader="none"/>
        </w:tabs>
        <w:spacing w:line="232" w:lineRule="auto" w:before="149" w:after="0"/>
        <w:ind w:left="1258" w:right="930" w:hanging="302"/>
        <w:jc w:val="both"/>
        <w:rPr>
          <w:color w:val="383636"/>
          <w:sz w:val="21"/>
        </w:rPr>
      </w:pPr>
      <w:r>
        <w:rPr>
          <w:color w:val="383636"/>
          <w:w w:val="120"/>
          <w:sz w:val="21"/>
        </w:rPr>
        <w:t>Even if the </w:t>
      </w:r>
      <w:r>
        <w:rPr>
          <w:rFonts w:ascii="Arial"/>
          <w:color w:val="383636"/>
          <w:w w:val="120"/>
          <w:sz w:val="21"/>
        </w:rPr>
        <w:t>Qrnm </w:t>
      </w:r>
      <w:r>
        <w:rPr>
          <w:color w:val="383636"/>
          <w:w w:val="120"/>
          <w:sz w:val="21"/>
        </w:rPr>
        <w:t>rule extends to non-overnight guests,</w:t>
      </w:r>
      <w:r>
        <w:rPr>
          <w:color w:val="383636"/>
          <w:spacing w:val="1"/>
          <w:w w:val="120"/>
          <w:sz w:val="21"/>
        </w:rPr>
        <w:t> </w:t>
      </w:r>
      <w:r>
        <w:rPr>
          <w:color w:val="383636"/>
          <w:w w:val="115"/>
          <w:sz w:val="21"/>
        </w:rPr>
        <w:t>Respondents' expectation of privacy is unreasonable because</w:t>
      </w:r>
      <w:r>
        <w:rPr>
          <w:color w:val="383636"/>
          <w:spacing w:val="-58"/>
          <w:w w:val="115"/>
          <w:sz w:val="21"/>
        </w:rPr>
        <w:t> </w:t>
      </w:r>
      <w:r>
        <w:rPr>
          <w:color w:val="383636"/>
          <w:w w:val="120"/>
          <w:sz w:val="21"/>
        </w:rPr>
        <w:t>they</w:t>
      </w:r>
      <w:r>
        <w:rPr>
          <w:color w:val="383636"/>
          <w:spacing w:val="-21"/>
          <w:w w:val="120"/>
          <w:sz w:val="21"/>
        </w:rPr>
        <w:t> </w:t>
      </w:r>
      <w:r>
        <w:rPr>
          <w:color w:val="383636"/>
          <w:w w:val="120"/>
          <w:sz w:val="21"/>
        </w:rPr>
        <w:t>were</w:t>
      </w:r>
      <w:r>
        <w:rPr>
          <w:color w:val="383636"/>
          <w:spacing w:val="-21"/>
          <w:w w:val="120"/>
          <w:sz w:val="21"/>
        </w:rPr>
        <w:t> </w:t>
      </w:r>
      <w:r>
        <w:rPr>
          <w:color w:val="383636"/>
          <w:w w:val="120"/>
          <w:sz w:val="21"/>
        </w:rPr>
        <w:t>present</w:t>
      </w:r>
      <w:r>
        <w:rPr>
          <w:color w:val="383636"/>
          <w:spacing w:val="-23"/>
          <w:w w:val="120"/>
          <w:sz w:val="21"/>
        </w:rPr>
        <w:t> </w:t>
      </w:r>
      <w:r>
        <w:rPr>
          <w:color w:val="383636"/>
          <w:w w:val="120"/>
          <w:sz w:val="21"/>
        </w:rPr>
        <w:t>only</w:t>
      </w:r>
      <w:r>
        <w:rPr>
          <w:color w:val="383636"/>
          <w:spacing w:val="-14"/>
          <w:w w:val="120"/>
          <w:sz w:val="21"/>
        </w:rPr>
        <w:t> </w:t>
      </w:r>
      <w:r>
        <w:rPr>
          <w:color w:val="383636"/>
          <w:w w:val="120"/>
          <w:sz w:val="21"/>
        </w:rPr>
        <w:t>to</w:t>
      </w:r>
      <w:r>
        <w:rPr>
          <w:color w:val="383636"/>
          <w:spacing w:val="-18"/>
          <w:w w:val="120"/>
          <w:sz w:val="21"/>
        </w:rPr>
        <w:t> </w:t>
      </w:r>
      <w:r>
        <w:rPr>
          <w:color w:val="383636"/>
          <w:w w:val="120"/>
          <w:sz w:val="21"/>
        </w:rPr>
        <w:t>conduct</w:t>
      </w:r>
      <w:r>
        <w:rPr>
          <w:color w:val="383636"/>
          <w:spacing w:val="-11"/>
          <w:w w:val="120"/>
          <w:sz w:val="21"/>
        </w:rPr>
        <w:t> </w:t>
      </w:r>
      <w:r>
        <w:rPr>
          <w:color w:val="383636"/>
          <w:w w:val="120"/>
          <w:sz w:val="21"/>
        </w:rPr>
        <w:t>illegal</w:t>
      </w:r>
      <w:r>
        <w:rPr>
          <w:color w:val="383636"/>
          <w:spacing w:val="-11"/>
          <w:w w:val="120"/>
          <w:sz w:val="21"/>
        </w:rPr>
        <w:t> </w:t>
      </w:r>
      <w:r>
        <w:rPr>
          <w:color w:val="383636"/>
          <w:w w:val="120"/>
          <w:sz w:val="21"/>
        </w:rPr>
        <w:t>business</w:t>
      </w:r>
      <w:r>
        <w:rPr>
          <w:color w:val="383636"/>
          <w:spacing w:val="-23"/>
          <w:w w:val="120"/>
          <w:sz w:val="21"/>
        </w:rPr>
        <w:t> </w:t>
      </w:r>
      <w:r>
        <w:rPr>
          <w:color w:val="383636"/>
          <w:w w:val="120"/>
          <w:sz w:val="21"/>
        </w:rPr>
        <w:t>that</w:t>
      </w:r>
      <w:r>
        <w:rPr>
          <w:color w:val="383636"/>
          <w:spacing w:val="-26"/>
          <w:w w:val="120"/>
          <w:sz w:val="21"/>
        </w:rPr>
        <w:t> </w:t>
      </w:r>
      <w:r>
        <w:rPr>
          <w:color w:val="383636"/>
          <w:w w:val="120"/>
          <w:sz w:val="21"/>
        </w:rPr>
        <w:t>is</w:t>
      </w:r>
      <w:r>
        <w:rPr>
          <w:color w:val="383636"/>
          <w:spacing w:val="-28"/>
          <w:w w:val="120"/>
          <w:sz w:val="21"/>
        </w:rPr>
        <w:t> </w:t>
      </w:r>
      <w:r>
        <w:rPr>
          <w:color w:val="383636"/>
          <w:w w:val="120"/>
          <w:sz w:val="21"/>
        </w:rPr>
        <w:t>not</w:t>
      </w:r>
      <w:r>
        <w:rPr>
          <w:color w:val="383636"/>
          <w:spacing w:val="-61"/>
          <w:w w:val="120"/>
          <w:sz w:val="21"/>
        </w:rPr>
        <w:t> </w:t>
      </w:r>
      <w:r>
        <w:rPr>
          <w:color w:val="383636"/>
          <w:w w:val="115"/>
          <w:sz w:val="21"/>
        </w:rPr>
        <w:t>valuable</w:t>
      </w:r>
      <w:r>
        <w:rPr>
          <w:color w:val="383636"/>
          <w:spacing w:val="-8"/>
          <w:w w:val="115"/>
          <w:sz w:val="21"/>
        </w:rPr>
        <w:t> </w:t>
      </w:r>
      <w:r>
        <w:rPr>
          <w:color w:val="383636"/>
          <w:w w:val="115"/>
          <w:sz w:val="21"/>
        </w:rPr>
        <w:t>to</w:t>
      </w:r>
      <w:r>
        <w:rPr>
          <w:color w:val="383636"/>
          <w:spacing w:val="-12"/>
          <w:w w:val="115"/>
          <w:sz w:val="21"/>
        </w:rPr>
        <w:t> </w:t>
      </w:r>
      <w:r>
        <w:rPr>
          <w:color w:val="383636"/>
          <w:w w:val="115"/>
          <w:sz w:val="21"/>
        </w:rPr>
        <w:t>society.</w:t>
      </w:r>
    </w:p>
    <w:p>
      <w:pPr>
        <w:spacing w:line="237" w:lineRule="auto" w:before="137"/>
        <w:ind w:left="1262" w:right="861" w:firstLine="378"/>
        <w:jc w:val="both"/>
        <w:rPr>
          <w:sz w:val="21"/>
        </w:rPr>
      </w:pPr>
      <w:r>
        <w:rPr>
          <w:color w:val="383636"/>
          <w:w w:val="120"/>
          <w:sz w:val="21"/>
        </w:rPr>
        <w:t>If </w:t>
      </w:r>
      <w:r>
        <w:rPr>
          <w:rFonts w:ascii="Arial" w:hAnsi="Arial"/>
          <w:color w:val="383636"/>
          <w:w w:val="120"/>
          <w:sz w:val="21"/>
        </w:rPr>
        <w:t>Qhiln </w:t>
      </w:r>
      <w:r>
        <w:rPr>
          <w:color w:val="383636"/>
          <w:w w:val="120"/>
          <w:sz w:val="21"/>
        </w:rPr>
        <w:t>does not stand for the proposition that only</w:t>
      </w:r>
      <w:r>
        <w:rPr>
          <w:color w:val="383636"/>
          <w:spacing w:val="1"/>
          <w:w w:val="120"/>
          <w:sz w:val="21"/>
        </w:rPr>
        <w:t> </w:t>
      </w:r>
      <w:r>
        <w:rPr>
          <w:color w:val="383636"/>
          <w:w w:val="115"/>
          <w:sz w:val="21"/>
        </w:rPr>
        <w:t>overnight guests may assert a  Fourth Amendment chall nge,</w:t>
      </w:r>
      <w:r>
        <w:rPr>
          <w:color w:val="383636"/>
          <w:spacing w:val="1"/>
          <w:w w:val="115"/>
          <w:sz w:val="21"/>
        </w:rPr>
        <w:t> </w:t>
      </w:r>
      <w:r>
        <w:rPr>
          <w:b/>
          <w:color w:val="383636"/>
          <w:w w:val="120"/>
          <w:sz w:val="20"/>
        </w:rPr>
        <w:t>it at </w:t>
      </w:r>
      <w:r>
        <w:rPr>
          <w:color w:val="383636"/>
          <w:w w:val="120"/>
          <w:sz w:val="21"/>
        </w:rPr>
        <w:t>least stands for the proposition that only a very limited</w:t>
      </w:r>
      <w:r>
        <w:rPr>
          <w:color w:val="383636"/>
          <w:spacing w:val="-61"/>
          <w:w w:val="120"/>
          <w:sz w:val="21"/>
        </w:rPr>
        <w:t> </w:t>
      </w:r>
      <w:r>
        <w:rPr>
          <w:color w:val="383636"/>
          <w:w w:val="115"/>
          <w:sz w:val="21"/>
        </w:rPr>
        <w:t>category of guests may do so. The limited category includes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20"/>
          <w:sz w:val="21"/>
        </w:rPr>
        <w:t>only those guests whose connections to the home give rise</w:t>
      </w:r>
      <w:r>
        <w:rPr>
          <w:color w:val="383636"/>
          <w:spacing w:val="1"/>
          <w:w w:val="120"/>
          <w:sz w:val="21"/>
        </w:rPr>
        <w:t> </w:t>
      </w:r>
      <w:r>
        <w:rPr>
          <w:color w:val="383636"/>
          <w:w w:val="120"/>
          <w:sz w:val="21"/>
        </w:rPr>
        <w:t>to an expectation of privacy that society is prepared to rec­</w:t>
      </w:r>
      <w:r>
        <w:rPr>
          <w:color w:val="383636"/>
          <w:spacing w:val="-60"/>
          <w:w w:val="120"/>
          <w:sz w:val="21"/>
        </w:rPr>
        <w:t> </w:t>
      </w:r>
      <w:r>
        <w:rPr>
          <w:color w:val="383636"/>
          <w:w w:val="120"/>
          <w:sz w:val="21"/>
        </w:rPr>
        <w:t>ognize as </w:t>
      </w:r>
      <w:r>
        <w:rPr>
          <w:color w:val="383636"/>
          <w:w w:val="135"/>
          <w:sz w:val="21"/>
        </w:rPr>
        <w:t>reasonable. </w:t>
      </w:r>
      <w:r>
        <w:rPr>
          <w:rFonts w:ascii="Arial" w:hAnsi="Arial"/>
          <w:color w:val="383636"/>
          <w:w w:val="120"/>
          <w:sz w:val="19"/>
        </w:rPr>
        <w:t>QhQn, </w:t>
      </w:r>
      <w:r>
        <w:rPr>
          <w:color w:val="383636"/>
          <w:w w:val="120"/>
          <w:sz w:val="21"/>
        </w:rPr>
        <w:t>495 U.S. at 95. Respondents</w:t>
      </w:r>
      <w:r>
        <w:rPr>
          <w:color w:val="383636"/>
          <w:spacing w:val="-60"/>
          <w:w w:val="120"/>
          <w:sz w:val="21"/>
        </w:rPr>
        <w:t> </w:t>
      </w:r>
      <w:r>
        <w:rPr>
          <w:color w:val="383636"/>
          <w:w w:val="120"/>
          <w:sz w:val="21"/>
        </w:rPr>
        <w:t>failed to demonstrate that their expectation of privacy was</w:t>
      </w:r>
      <w:r>
        <w:rPr>
          <w:color w:val="383636"/>
          <w:spacing w:val="1"/>
          <w:w w:val="120"/>
          <w:sz w:val="21"/>
        </w:rPr>
        <w:t> </w:t>
      </w:r>
      <w:r>
        <w:rPr>
          <w:color w:val="383636"/>
          <w:w w:val="115"/>
          <w:sz w:val="21"/>
        </w:rPr>
        <w:t>one</w:t>
      </w:r>
      <w:r>
        <w:rPr>
          <w:color w:val="383636"/>
          <w:spacing w:val="10"/>
          <w:w w:val="115"/>
          <w:sz w:val="21"/>
        </w:rPr>
        <w:t> </w:t>
      </w:r>
      <w:r>
        <w:rPr>
          <w:color w:val="383636"/>
          <w:w w:val="115"/>
          <w:sz w:val="21"/>
        </w:rPr>
        <w:t>society</w:t>
      </w:r>
      <w:r>
        <w:rPr>
          <w:color w:val="383636"/>
          <w:spacing w:val="2"/>
          <w:w w:val="115"/>
          <w:sz w:val="21"/>
        </w:rPr>
        <w:t> </w:t>
      </w:r>
      <w:r>
        <w:rPr>
          <w:color w:val="383636"/>
          <w:w w:val="115"/>
          <w:sz w:val="21"/>
        </w:rPr>
        <w:t>is</w:t>
      </w:r>
      <w:r>
        <w:rPr>
          <w:color w:val="383636"/>
          <w:spacing w:val="-11"/>
          <w:w w:val="115"/>
          <w:sz w:val="21"/>
        </w:rPr>
        <w:t> </w:t>
      </w:r>
      <w:r>
        <w:rPr>
          <w:color w:val="383636"/>
          <w:w w:val="115"/>
          <w:sz w:val="21"/>
        </w:rPr>
        <w:t>prepared</w:t>
      </w:r>
      <w:r>
        <w:rPr>
          <w:color w:val="383636"/>
          <w:spacing w:val="12"/>
          <w:w w:val="115"/>
          <w:sz w:val="21"/>
        </w:rPr>
        <w:t> </w:t>
      </w:r>
      <w:r>
        <w:rPr>
          <w:color w:val="383636"/>
          <w:w w:val="115"/>
          <w:sz w:val="21"/>
        </w:rPr>
        <w:t>to</w:t>
      </w:r>
      <w:r>
        <w:rPr>
          <w:color w:val="383636"/>
          <w:spacing w:val="11"/>
          <w:w w:val="115"/>
          <w:sz w:val="21"/>
        </w:rPr>
        <w:t> </w:t>
      </w:r>
      <w:r>
        <w:rPr>
          <w:color w:val="383636"/>
          <w:w w:val="115"/>
          <w:sz w:val="21"/>
        </w:rPr>
        <w:t>recognize</w:t>
      </w:r>
      <w:r>
        <w:rPr>
          <w:color w:val="383636"/>
          <w:spacing w:val="-13"/>
          <w:w w:val="115"/>
          <w:sz w:val="21"/>
        </w:rPr>
        <w:t> </w:t>
      </w:r>
      <w:r>
        <w:rPr>
          <w:color w:val="383636"/>
          <w:w w:val="115"/>
          <w:sz w:val="21"/>
        </w:rPr>
        <w:t>as</w:t>
      </w:r>
      <w:r>
        <w:rPr>
          <w:color w:val="383636"/>
          <w:spacing w:val="5"/>
          <w:w w:val="115"/>
          <w:sz w:val="21"/>
        </w:rPr>
        <w:t> </w:t>
      </w:r>
      <w:r>
        <w:rPr>
          <w:color w:val="383636"/>
          <w:w w:val="115"/>
          <w:sz w:val="21"/>
        </w:rPr>
        <w:t>reasonable.</w:t>
      </w:r>
    </w:p>
    <w:p>
      <w:pPr>
        <w:spacing w:line="235" w:lineRule="auto" w:before="0"/>
        <w:ind w:left="1282" w:right="831" w:firstLine="366"/>
        <w:jc w:val="both"/>
        <w:rPr>
          <w:sz w:val="21"/>
        </w:rPr>
      </w:pPr>
      <w:r>
        <w:rPr>
          <w:color w:val="383636"/>
          <w:w w:val="120"/>
          <w:sz w:val="21"/>
        </w:rPr>
        <w:t>The Minnesota Supreme Court found that Respondents</w:t>
      </w:r>
      <w:r>
        <w:rPr>
          <w:color w:val="383636"/>
          <w:spacing w:val="1"/>
          <w:w w:val="120"/>
          <w:sz w:val="21"/>
        </w:rPr>
        <w:t> </w:t>
      </w:r>
      <w:r>
        <w:rPr>
          <w:color w:val="383636"/>
          <w:w w:val="120"/>
          <w:sz w:val="21"/>
        </w:rPr>
        <w:t>demonstrated an expectation of privacy that society is pre­</w:t>
      </w:r>
      <w:r>
        <w:rPr>
          <w:color w:val="383636"/>
          <w:spacing w:val="1"/>
          <w:w w:val="120"/>
          <w:sz w:val="21"/>
        </w:rPr>
        <w:t> </w:t>
      </w:r>
      <w:r>
        <w:rPr>
          <w:color w:val="383636"/>
          <w:w w:val="115"/>
          <w:sz w:val="21"/>
        </w:rPr>
        <w:t>pared to recognize as reasonable because they were present in</w:t>
      </w:r>
      <w:r>
        <w:rPr>
          <w:color w:val="383636"/>
          <w:spacing w:val="-58"/>
          <w:w w:val="115"/>
          <w:sz w:val="21"/>
        </w:rPr>
        <w:t> </w:t>
      </w:r>
      <w:r>
        <w:rPr>
          <w:color w:val="383636"/>
          <w:w w:val="115"/>
          <w:sz w:val="21"/>
        </w:rPr>
        <w:t>the apartment "to conduct a common task." </w:t>
      </w:r>
      <w:r>
        <w:rPr>
          <w:color w:val="383636"/>
          <w:w w:val="115"/>
          <w:sz w:val="23"/>
          <w:u w:val="thick" w:color="545456"/>
        </w:rPr>
        <w:t>State </w:t>
      </w:r>
      <w:r>
        <w:rPr>
          <w:color w:val="383636"/>
          <w:w w:val="115"/>
          <w:sz w:val="21"/>
          <w:u w:val="thick" w:color="545456"/>
        </w:rPr>
        <w:t>v, </w:t>
      </w:r>
      <w:r>
        <w:rPr>
          <w:color w:val="383636"/>
          <w:w w:val="115"/>
          <w:sz w:val="23"/>
          <w:u w:val="thick" w:color="545456"/>
        </w:rPr>
        <w:t>Carter</w:t>
      </w:r>
      <w:r>
        <w:rPr>
          <w:color w:val="545456"/>
          <w:w w:val="115"/>
          <w:sz w:val="23"/>
        </w:rPr>
        <w:t>.</w:t>
      </w:r>
      <w:r>
        <w:rPr>
          <w:color w:val="545456"/>
          <w:spacing w:val="1"/>
          <w:w w:val="115"/>
          <w:sz w:val="23"/>
        </w:rPr>
        <w:t> </w:t>
      </w:r>
      <w:r>
        <w:rPr>
          <w:color w:val="383636"/>
          <w:w w:val="115"/>
          <w:sz w:val="21"/>
        </w:rPr>
        <w:t>569</w:t>
      </w:r>
      <w:r>
        <w:rPr>
          <w:color w:val="383636"/>
          <w:spacing w:val="35"/>
          <w:w w:val="115"/>
          <w:sz w:val="21"/>
        </w:rPr>
        <w:t> </w:t>
      </w:r>
      <w:r>
        <w:rPr>
          <w:color w:val="383636"/>
          <w:w w:val="115"/>
          <w:sz w:val="21"/>
        </w:rPr>
        <w:t>N.W.2d</w:t>
      </w:r>
      <w:r>
        <w:rPr>
          <w:color w:val="383636"/>
          <w:spacing w:val="-7"/>
          <w:w w:val="115"/>
          <w:sz w:val="21"/>
        </w:rPr>
        <w:t> </w:t>
      </w:r>
      <w:r>
        <w:rPr>
          <w:color w:val="383636"/>
          <w:w w:val="115"/>
          <w:sz w:val="21"/>
        </w:rPr>
        <w:t>169,</w:t>
      </w:r>
      <w:r>
        <w:rPr>
          <w:color w:val="383636"/>
          <w:spacing w:val="-34"/>
          <w:w w:val="115"/>
          <w:sz w:val="21"/>
        </w:rPr>
        <w:t> </w:t>
      </w:r>
      <w:r>
        <w:rPr>
          <w:color w:val="383636"/>
          <w:w w:val="115"/>
          <w:sz w:val="21"/>
        </w:rPr>
        <w:t>176</w:t>
      </w:r>
      <w:r>
        <w:rPr>
          <w:color w:val="383636"/>
          <w:spacing w:val="-2"/>
          <w:w w:val="115"/>
          <w:sz w:val="21"/>
        </w:rPr>
        <w:t> </w:t>
      </w:r>
      <w:r>
        <w:rPr>
          <w:color w:val="383636"/>
          <w:w w:val="115"/>
          <w:sz w:val="21"/>
        </w:rPr>
        <w:t>(Minn.</w:t>
      </w:r>
      <w:r>
        <w:rPr>
          <w:color w:val="383636"/>
          <w:spacing w:val="-31"/>
          <w:w w:val="115"/>
          <w:sz w:val="21"/>
        </w:rPr>
        <w:t> </w:t>
      </w:r>
      <w:r>
        <w:rPr>
          <w:color w:val="383636"/>
          <w:w w:val="115"/>
          <w:sz w:val="21"/>
        </w:rPr>
        <w:t>1997).</w:t>
      </w:r>
      <w:r>
        <w:rPr>
          <w:color w:val="383636"/>
          <w:spacing w:val="-38"/>
          <w:w w:val="115"/>
          <w:sz w:val="21"/>
        </w:rPr>
        <w:t> </w:t>
      </w:r>
      <w:r>
        <w:rPr>
          <w:color w:val="383636"/>
          <w:w w:val="115"/>
          <w:sz w:val="21"/>
        </w:rPr>
        <w:t>This</w:t>
      </w:r>
      <w:r>
        <w:rPr>
          <w:color w:val="383636"/>
          <w:spacing w:val="-33"/>
          <w:w w:val="115"/>
          <w:sz w:val="21"/>
        </w:rPr>
        <w:t> </w:t>
      </w:r>
      <w:r>
        <w:rPr>
          <w:color w:val="383636"/>
          <w:w w:val="115"/>
          <w:sz w:val="21"/>
        </w:rPr>
        <w:t>Court</w:t>
      </w:r>
      <w:r>
        <w:rPr>
          <w:color w:val="383636"/>
          <w:spacing w:val="-7"/>
          <w:w w:val="115"/>
          <w:sz w:val="21"/>
        </w:rPr>
        <w:t> </w:t>
      </w:r>
      <w:r>
        <w:rPr>
          <w:color w:val="383636"/>
          <w:w w:val="115"/>
          <w:sz w:val="21"/>
        </w:rPr>
        <w:t>should</w:t>
      </w:r>
      <w:r>
        <w:rPr>
          <w:color w:val="383636"/>
          <w:spacing w:val="-11"/>
          <w:w w:val="115"/>
          <w:sz w:val="21"/>
        </w:rPr>
        <w:t> </w:t>
      </w:r>
      <w:r>
        <w:rPr>
          <w:color w:val="383636"/>
          <w:w w:val="115"/>
          <w:sz w:val="21"/>
        </w:rPr>
        <w:t>reverse</w:t>
      </w:r>
      <w:r>
        <w:rPr>
          <w:color w:val="383636"/>
          <w:spacing w:val="-58"/>
          <w:w w:val="115"/>
          <w:sz w:val="21"/>
        </w:rPr>
        <w:t> </w:t>
      </w:r>
      <w:r>
        <w:rPr>
          <w:color w:val="383636"/>
          <w:w w:val="120"/>
          <w:sz w:val="21"/>
        </w:rPr>
        <w:t>the decision of the Minnesota Supreme Court because (1)</w:t>
      </w:r>
      <w:r>
        <w:rPr>
          <w:color w:val="383636"/>
          <w:spacing w:val="1"/>
          <w:w w:val="120"/>
          <w:sz w:val="21"/>
        </w:rPr>
        <w:t> </w:t>
      </w:r>
      <w:r>
        <w:rPr>
          <w:color w:val="383636"/>
          <w:w w:val="115"/>
          <w:sz w:val="21"/>
        </w:rPr>
        <w:t>the distribution of drugs is not a longstanding social custom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that</w:t>
      </w:r>
      <w:r>
        <w:rPr>
          <w:color w:val="383636"/>
          <w:spacing w:val="-8"/>
          <w:w w:val="115"/>
          <w:sz w:val="21"/>
        </w:rPr>
        <w:t> </w:t>
      </w:r>
      <w:r>
        <w:rPr>
          <w:color w:val="383636"/>
          <w:w w:val="115"/>
          <w:sz w:val="21"/>
        </w:rPr>
        <w:t>serves</w:t>
      </w:r>
      <w:r>
        <w:rPr>
          <w:color w:val="383636"/>
          <w:spacing w:val="15"/>
          <w:w w:val="115"/>
          <w:sz w:val="21"/>
        </w:rPr>
        <w:t> </w:t>
      </w:r>
      <w:r>
        <w:rPr>
          <w:color w:val="383636"/>
          <w:w w:val="115"/>
          <w:sz w:val="21"/>
        </w:rPr>
        <w:t>functions</w:t>
      </w:r>
      <w:r>
        <w:rPr>
          <w:color w:val="383636"/>
          <w:spacing w:val="21"/>
          <w:w w:val="115"/>
          <w:sz w:val="21"/>
        </w:rPr>
        <w:t> </w:t>
      </w:r>
      <w:r>
        <w:rPr>
          <w:color w:val="383636"/>
          <w:w w:val="115"/>
          <w:sz w:val="21"/>
        </w:rPr>
        <w:t>recognized</w:t>
      </w:r>
      <w:r>
        <w:rPr>
          <w:color w:val="383636"/>
          <w:spacing w:val="22"/>
          <w:w w:val="115"/>
          <w:sz w:val="21"/>
        </w:rPr>
        <w:t> </w:t>
      </w:r>
      <w:r>
        <w:rPr>
          <w:color w:val="383636"/>
          <w:w w:val="115"/>
          <w:sz w:val="21"/>
        </w:rPr>
        <w:t>as</w:t>
      </w:r>
      <w:r>
        <w:rPr>
          <w:color w:val="383636"/>
          <w:spacing w:val="26"/>
          <w:w w:val="115"/>
          <w:sz w:val="21"/>
        </w:rPr>
        <w:t> </w:t>
      </w:r>
      <w:r>
        <w:rPr>
          <w:color w:val="383636"/>
          <w:w w:val="115"/>
          <w:sz w:val="21"/>
        </w:rPr>
        <w:t>valuable</w:t>
      </w:r>
      <w:r>
        <w:rPr>
          <w:color w:val="383636"/>
          <w:spacing w:val="14"/>
          <w:w w:val="115"/>
          <w:sz w:val="21"/>
        </w:rPr>
        <w:t> </w:t>
      </w:r>
      <w:r>
        <w:rPr>
          <w:color w:val="383636"/>
          <w:w w:val="115"/>
          <w:sz w:val="21"/>
        </w:rPr>
        <w:t>by</w:t>
      </w:r>
      <w:r>
        <w:rPr>
          <w:color w:val="383636"/>
          <w:spacing w:val="5"/>
          <w:w w:val="115"/>
          <w:sz w:val="21"/>
        </w:rPr>
        <w:t> </w:t>
      </w:r>
      <w:r>
        <w:rPr>
          <w:color w:val="383636"/>
          <w:w w:val="115"/>
          <w:sz w:val="21"/>
        </w:rPr>
        <w:t>society,</w:t>
      </w:r>
      <w:r>
        <w:rPr>
          <w:color w:val="383636"/>
          <w:spacing w:val="7"/>
          <w:w w:val="115"/>
          <w:sz w:val="21"/>
        </w:rPr>
        <w:t> </w:t>
      </w:r>
      <w:r>
        <w:rPr>
          <w:color w:val="383636"/>
          <w:w w:val="115"/>
          <w:sz w:val="21"/>
        </w:rPr>
        <w:t>and</w:t>
      </w:r>
    </w:p>
    <w:p>
      <w:pPr>
        <w:spacing w:line="235" w:lineRule="auto" w:before="0"/>
        <w:ind w:left="1306" w:right="817" w:hanging="7"/>
        <w:jc w:val="both"/>
        <w:rPr>
          <w:sz w:val="21"/>
        </w:rPr>
      </w:pPr>
      <w:r>
        <w:rPr>
          <w:color w:val="383636"/>
          <w:w w:val="115"/>
          <w:sz w:val="21"/>
        </w:rPr>
        <w:t>(2) Respondents were not "guests" in a home but rather were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20"/>
          <w:sz w:val="21"/>
        </w:rPr>
        <w:t>business invitees on the property for a purely commercial</w:t>
      </w:r>
      <w:r>
        <w:rPr>
          <w:color w:val="383636"/>
          <w:spacing w:val="1"/>
          <w:w w:val="120"/>
          <w:sz w:val="21"/>
        </w:rPr>
        <w:t> </w:t>
      </w:r>
      <w:r>
        <w:rPr>
          <w:color w:val="383636"/>
          <w:w w:val="120"/>
          <w:sz w:val="21"/>
        </w:rPr>
        <w:t>purpose, and therefore lost the Fourth Amendment protec­</w:t>
      </w:r>
      <w:r>
        <w:rPr>
          <w:color w:val="383636"/>
          <w:spacing w:val="1"/>
          <w:w w:val="120"/>
          <w:sz w:val="21"/>
        </w:rPr>
        <w:t> </w:t>
      </w:r>
      <w:r>
        <w:rPr>
          <w:color w:val="383636"/>
          <w:w w:val="120"/>
          <w:sz w:val="21"/>
        </w:rPr>
        <w:t>tion</w:t>
      </w:r>
      <w:r>
        <w:rPr>
          <w:color w:val="383636"/>
          <w:spacing w:val="-13"/>
          <w:w w:val="120"/>
          <w:sz w:val="21"/>
        </w:rPr>
        <w:t> </w:t>
      </w:r>
      <w:r>
        <w:rPr>
          <w:color w:val="383636"/>
          <w:w w:val="120"/>
          <w:sz w:val="21"/>
        </w:rPr>
        <w:t>normally</w:t>
      </w:r>
      <w:r>
        <w:rPr>
          <w:color w:val="383636"/>
          <w:spacing w:val="-11"/>
          <w:w w:val="120"/>
          <w:sz w:val="21"/>
        </w:rPr>
        <w:t> </w:t>
      </w:r>
      <w:r>
        <w:rPr>
          <w:color w:val="383636"/>
          <w:w w:val="120"/>
          <w:sz w:val="21"/>
        </w:rPr>
        <w:t>associated</w:t>
      </w:r>
      <w:r>
        <w:rPr>
          <w:color w:val="383636"/>
          <w:spacing w:val="-1"/>
          <w:w w:val="120"/>
          <w:sz w:val="21"/>
        </w:rPr>
        <w:t> </w:t>
      </w:r>
      <w:r>
        <w:rPr>
          <w:color w:val="383636"/>
          <w:w w:val="120"/>
          <w:sz w:val="21"/>
        </w:rPr>
        <w:t>with</w:t>
      </w:r>
      <w:r>
        <w:rPr>
          <w:color w:val="383636"/>
          <w:spacing w:val="-2"/>
          <w:w w:val="120"/>
          <w:sz w:val="21"/>
        </w:rPr>
        <w:t> </w:t>
      </w:r>
      <w:r>
        <w:rPr>
          <w:color w:val="383636"/>
          <w:w w:val="120"/>
          <w:sz w:val="21"/>
        </w:rPr>
        <w:t>the</w:t>
      </w:r>
      <w:r>
        <w:rPr>
          <w:color w:val="383636"/>
          <w:spacing w:val="1"/>
          <w:w w:val="120"/>
          <w:sz w:val="21"/>
        </w:rPr>
        <w:t> </w:t>
      </w:r>
      <w:r>
        <w:rPr>
          <w:color w:val="383636"/>
          <w:w w:val="120"/>
          <w:sz w:val="21"/>
        </w:rPr>
        <w:t>home</w:t>
      </w:r>
      <w:r>
        <w:rPr>
          <w:color w:val="6D6E70"/>
          <w:w w:val="120"/>
          <w:sz w:val="21"/>
        </w:rPr>
        <w:t>.</w:t>
      </w:r>
    </w:p>
    <w:p>
      <w:pPr>
        <w:pStyle w:val="ListParagraph"/>
        <w:numPr>
          <w:ilvl w:val="1"/>
          <w:numId w:val="90"/>
        </w:numPr>
        <w:tabs>
          <w:tab w:pos="1313" w:val="left" w:leader="none"/>
        </w:tabs>
        <w:spacing w:line="240" w:lineRule="auto" w:before="127" w:after="0"/>
        <w:ind w:left="1315" w:right="807" w:hanging="324"/>
        <w:jc w:val="both"/>
        <w:rPr>
          <w:sz w:val="21"/>
        </w:rPr>
      </w:pPr>
      <w:r>
        <w:rPr>
          <w:color w:val="383636"/>
          <w:spacing w:val="-1"/>
          <w:w w:val="120"/>
          <w:sz w:val="21"/>
        </w:rPr>
        <w:t>Illegal</w:t>
      </w:r>
      <w:r>
        <w:rPr>
          <w:color w:val="383636"/>
          <w:spacing w:val="-9"/>
          <w:w w:val="120"/>
          <w:sz w:val="21"/>
        </w:rPr>
        <w:t> </w:t>
      </w:r>
      <w:r>
        <w:rPr>
          <w:color w:val="383636"/>
          <w:w w:val="120"/>
          <w:sz w:val="21"/>
        </w:rPr>
        <w:t>drug</w:t>
      </w:r>
      <w:r>
        <w:rPr>
          <w:color w:val="383636"/>
          <w:spacing w:val="-22"/>
          <w:w w:val="120"/>
          <w:sz w:val="21"/>
        </w:rPr>
        <w:t> </w:t>
      </w:r>
      <w:r>
        <w:rPr>
          <w:color w:val="383636"/>
          <w:w w:val="120"/>
          <w:sz w:val="21"/>
        </w:rPr>
        <w:t>distribution</w:t>
      </w:r>
      <w:r>
        <w:rPr>
          <w:color w:val="383636"/>
          <w:spacing w:val="5"/>
          <w:w w:val="120"/>
          <w:sz w:val="21"/>
        </w:rPr>
        <w:t> </w:t>
      </w:r>
      <w:r>
        <w:rPr>
          <w:color w:val="383636"/>
          <w:w w:val="120"/>
          <w:sz w:val="21"/>
        </w:rPr>
        <w:t>is</w:t>
      </w:r>
      <w:r>
        <w:rPr>
          <w:color w:val="383636"/>
          <w:spacing w:val="-6"/>
          <w:w w:val="120"/>
          <w:sz w:val="21"/>
        </w:rPr>
        <w:t> </w:t>
      </w:r>
      <w:r>
        <w:rPr>
          <w:color w:val="383636"/>
          <w:w w:val="120"/>
          <w:sz w:val="21"/>
        </w:rPr>
        <w:t>not a</w:t>
      </w:r>
      <w:r>
        <w:rPr>
          <w:color w:val="383636"/>
          <w:spacing w:val="8"/>
          <w:w w:val="120"/>
          <w:sz w:val="21"/>
        </w:rPr>
        <w:t> </w:t>
      </w:r>
      <w:r>
        <w:rPr>
          <w:color w:val="383636"/>
          <w:w w:val="120"/>
          <w:sz w:val="21"/>
        </w:rPr>
        <w:t>longstanding</w:t>
      </w:r>
      <w:r>
        <w:rPr>
          <w:color w:val="383636"/>
          <w:spacing w:val="-3"/>
          <w:w w:val="120"/>
          <w:sz w:val="21"/>
        </w:rPr>
        <w:t> </w:t>
      </w:r>
      <w:r>
        <w:rPr>
          <w:color w:val="383636"/>
          <w:w w:val="120"/>
          <w:sz w:val="21"/>
        </w:rPr>
        <w:t>social</w:t>
      </w:r>
      <w:r>
        <w:rPr>
          <w:color w:val="383636"/>
          <w:spacing w:val="-9"/>
          <w:w w:val="120"/>
          <w:sz w:val="21"/>
        </w:rPr>
        <w:t> </w:t>
      </w:r>
      <w:r>
        <w:rPr>
          <w:color w:val="383636"/>
          <w:w w:val="120"/>
          <w:sz w:val="21"/>
        </w:rPr>
        <w:t>custom</w:t>
      </w:r>
      <w:r>
        <w:rPr>
          <w:color w:val="383636"/>
          <w:spacing w:val="-60"/>
          <w:w w:val="120"/>
          <w:sz w:val="21"/>
        </w:rPr>
        <w:t> </w:t>
      </w:r>
      <w:r>
        <w:rPr>
          <w:color w:val="383636"/>
          <w:w w:val="115"/>
          <w:sz w:val="21"/>
        </w:rPr>
        <w:t>that</w:t>
      </w:r>
      <w:r>
        <w:rPr>
          <w:color w:val="383636"/>
          <w:spacing w:val="-10"/>
          <w:w w:val="115"/>
          <w:sz w:val="21"/>
        </w:rPr>
        <w:t> </w:t>
      </w:r>
      <w:r>
        <w:rPr>
          <w:color w:val="383636"/>
          <w:w w:val="115"/>
          <w:sz w:val="21"/>
        </w:rPr>
        <w:t>serves</w:t>
      </w:r>
      <w:r>
        <w:rPr>
          <w:color w:val="383636"/>
          <w:spacing w:val="-11"/>
          <w:w w:val="115"/>
          <w:sz w:val="21"/>
        </w:rPr>
        <w:t> </w:t>
      </w:r>
      <w:r>
        <w:rPr>
          <w:color w:val="383636"/>
          <w:w w:val="115"/>
          <w:sz w:val="21"/>
        </w:rPr>
        <w:t>functions</w:t>
      </w:r>
      <w:r>
        <w:rPr>
          <w:color w:val="383636"/>
          <w:spacing w:val="9"/>
          <w:w w:val="115"/>
          <w:sz w:val="21"/>
        </w:rPr>
        <w:t> </w:t>
      </w:r>
      <w:r>
        <w:rPr>
          <w:color w:val="383636"/>
          <w:w w:val="115"/>
          <w:sz w:val="21"/>
        </w:rPr>
        <w:t>recognized</w:t>
      </w:r>
      <w:r>
        <w:rPr>
          <w:color w:val="383636"/>
          <w:spacing w:val="8"/>
          <w:w w:val="115"/>
          <w:sz w:val="21"/>
        </w:rPr>
        <w:t> </w:t>
      </w:r>
      <w:r>
        <w:rPr>
          <w:color w:val="383636"/>
          <w:w w:val="115"/>
          <w:sz w:val="21"/>
        </w:rPr>
        <w:t>as</w:t>
      </w:r>
      <w:r>
        <w:rPr>
          <w:color w:val="383636"/>
          <w:spacing w:val="14"/>
          <w:w w:val="115"/>
          <w:sz w:val="21"/>
        </w:rPr>
        <w:t> </w:t>
      </w:r>
      <w:r>
        <w:rPr>
          <w:color w:val="383636"/>
          <w:w w:val="115"/>
          <w:sz w:val="21"/>
        </w:rPr>
        <w:t>valuable</w:t>
      </w:r>
      <w:r>
        <w:rPr>
          <w:color w:val="383636"/>
          <w:spacing w:val="-12"/>
          <w:w w:val="115"/>
          <w:sz w:val="21"/>
        </w:rPr>
        <w:t> </w:t>
      </w:r>
      <w:r>
        <w:rPr>
          <w:color w:val="383636"/>
          <w:w w:val="115"/>
          <w:sz w:val="21"/>
        </w:rPr>
        <w:t>by</w:t>
      </w:r>
      <w:r>
        <w:rPr>
          <w:color w:val="383636"/>
          <w:spacing w:val="3"/>
          <w:w w:val="115"/>
          <w:sz w:val="21"/>
        </w:rPr>
        <w:t> </w:t>
      </w:r>
      <w:r>
        <w:rPr>
          <w:color w:val="383636"/>
          <w:w w:val="115"/>
          <w:sz w:val="21"/>
        </w:rPr>
        <w:t>society.</w:t>
      </w:r>
    </w:p>
    <w:p>
      <w:pPr>
        <w:pStyle w:val="ListParagraph"/>
        <w:numPr>
          <w:ilvl w:val="1"/>
          <w:numId w:val="90"/>
        </w:numPr>
        <w:tabs>
          <w:tab w:pos="1315" w:val="left" w:leader="none"/>
        </w:tabs>
        <w:spacing w:line="230" w:lineRule="auto" w:before="142" w:after="0"/>
        <w:ind w:left="1310" w:right="786" w:hanging="311"/>
        <w:jc w:val="both"/>
        <w:rPr>
          <w:sz w:val="21"/>
        </w:rPr>
      </w:pPr>
      <w:r>
        <w:rPr>
          <w:color w:val="383636"/>
          <w:w w:val="120"/>
          <w:sz w:val="21"/>
        </w:rPr>
        <w:t>Respondents were present for a purely commercial purpose</w:t>
      </w:r>
      <w:r>
        <w:rPr>
          <w:color w:val="383636"/>
          <w:spacing w:val="-60"/>
          <w:w w:val="120"/>
          <w:sz w:val="21"/>
        </w:rPr>
        <w:t> </w:t>
      </w:r>
      <w:r>
        <w:rPr>
          <w:color w:val="383636"/>
          <w:w w:val="120"/>
          <w:sz w:val="21"/>
        </w:rPr>
        <w:t>and were not entitled to the Fourth Amendment protect</w:t>
      </w:r>
      <w:r>
        <w:rPr>
          <w:color w:val="545456"/>
          <w:w w:val="120"/>
          <w:sz w:val="21"/>
        </w:rPr>
        <w:t>i</w:t>
      </w:r>
      <w:r>
        <w:rPr>
          <w:color w:val="383636"/>
          <w:w w:val="120"/>
          <w:sz w:val="21"/>
        </w:rPr>
        <w:t>on</w:t>
      </w:r>
      <w:r>
        <w:rPr>
          <w:color w:val="383636"/>
          <w:spacing w:val="1"/>
          <w:w w:val="120"/>
          <w:sz w:val="21"/>
        </w:rPr>
        <w:t> </w:t>
      </w:r>
      <w:r>
        <w:rPr>
          <w:color w:val="383636"/>
          <w:w w:val="120"/>
          <w:sz w:val="21"/>
        </w:rPr>
        <w:t>associated</w:t>
      </w:r>
      <w:r>
        <w:rPr>
          <w:color w:val="383636"/>
          <w:spacing w:val="-1"/>
          <w:w w:val="120"/>
          <w:sz w:val="21"/>
        </w:rPr>
        <w:t> </w:t>
      </w:r>
      <w:r>
        <w:rPr>
          <w:color w:val="383636"/>
          <w:w w:val="120"/>
          <w:sz w:val="21"/>
        </w:rPr>
        <w:t>with</w:t>
      </w:r>
      <w:r>
        <w:rPr>
          <w:color w:val="383636"/>
          <w:spacing w:val="-13"/>
          <w:w w:val="120"/>
          <w:sz w:val="21"/>
        </w:rPr>
        <w:t> </w:t>
      </w:r>
      <w:r>
        <w:rPr>
          <w:color w:val="383636"/>
          <w:w w:val="120"/>
          <w:sz w:val="21"/>
        </w:rPr>
        <w:t>the</w:t>
      </w:r>
      <w:r>
        <w:rPr>
          <w:color w:val="383636"/>
          <w:spacing w:val="2"/>
          <w:w w:val="120"/>
          <w:sz w:val="21"/>
        </w:rPr>
        <w:t> </w:t>
      </w:r>
      <w:r>
        <w:rPr>
          <w:color w:val="383636"/>
          <w:w w:val="120"/>
          <w:sz w:val="21"/>
        </w:rPr>
        <w:t>home.</w:t>
      </w:r>
    </w:p>
    <w:p>
      <w:pPr>
        <w:pStyle w:val="BodyText"/>
        <w:spacing w:line="230" w:lineRule="auto" w:before="153"/>
        <w:ind w:left="124" w:right="339" w:hanging="5"/>
        <w:jc w:val="both"/>
      </w:pPr>
      <w:r>
        <w:rPr>
          <w:color w:val="383636"/>
          <w:w w:val="110"/>
        </w:rPr>
        <w:t>When you revise, consider how each section of your document relates to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 other sections and to your overall thesis. </w:t>
      </w:r>
      <w:r>
        <w:rPr>
          <w:color w:val="383636"/>
          <w:w w:val="110"/>
          <w:sz w:val="22"/>
        </w:rPr>
        <w:t>If </w:t>
      </w:r>
      <w:r>
        <w:rPr>
          <w:color w:val="383636"/>
          <w:w w:val="110"/>
        </w:rPr>
        <w:t>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connection is not obvi­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ous, see if you  can  make the  connection obvious by adding a sentence or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 paragraph in which you make the connection explicit. </w:t>
      </w:r>
      <w:r>
        <w:rPr>
          <w:color w:val="383636"/>
          <w:w w:val="110"/>
          <w:sz w:val="22"/>
        </w:rPr>
        <w:t>If </w:t>
      </w:r>
      <w:r>
        <w:rPr>
          <w:color w:val="383636"/>
          <w:w w:val="110"/>
        </w:rPr>
        <w:t>you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cannot fig­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ure out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how to connect the point to your overall thesis, consider whether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-17"/>
          <w:w w:val="110"/>
        </w:rPr>
        <w:t> </w:t>
      </w:r>
      <w:r>
        <w:rPr>
          <w:color w:val="383636"/>
          <w:w w:val="110"/>
        </w:rPr>
        <w:t>section</w:t>
      </w:r>
      <w:r>
        <w:rPr>
          <w:color w:val="383636"/>
          <w:spacing w:val="16"/>
          <w:w w:val="110"/>
        </w:rPr>
        <w:t> </w:t>
      </w:r>
      <w:r>
        <w:rPr>
          <w:color w:val="383636"/>
          <w:w w:val="110"/>
        </w:rPr>
        <w:t>really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belongs</w:t>
      </w:r>
      <w:r>
        <w:rPr>
          <w:color w:val="383636"/>
          <w:spacing w:val="-9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15"/>
          <w:w w:val="110"/>
        </w:rPr>
        <w:t> </w:t>
      </w:r>
      <w:r>
        <w:rPr>
          <w:color w:val="383636"/>
          <w:w w:val="110"/>
        </w:rPr>
        <w:t>your</w:t>
      </w:r>
      <w:r>
        <w:rPr>
          <w:color w:val="383636"/>
          <w:spacing w:val="-3"/>
          <w:w w:val="110"/>
        </w:rPr>
        <w:t> </w:t>
      </w:r>
      <w:r>
        <w:rPr>
          <w:color w:val="383636"/>
          <w:w w:val="110"/>
        </w:rPr>
        <w:t>argument.</w:t>
      </w:r>
    </w:p>
    <w:p>
      <w:pPr>
        <w:pStyle w:val="BodyText"/>
        <w:spacing w:line="235" w:lineRule="auto" w:before="4"/>
        <w:ind w:left="140" w:right="299" w:firstLine="330"/>
        <w:jc w:val="both"/>
      </w:pPr>
      <w:r>
        <w:rPr>
          <w:color w:val="383636"/>
          <w:w w:val="110"/>
        </w:rPr>
        <w:t>One of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most effective ways to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make connections explicit is by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repeating</w:t>
      </w:r>
      <w:r>
        <w:rPr>
          <w:color w:val="383636"/>
          <w:spacing w:val="38"/>
          <w:w w:val="110"/>
        </w:rPr>
        <w:t> </w:t>
      </w:r>
      <w:r>
        <w:rPr>
          <w:color w:val="383636"/>
          <w:w w:val="110"/>
        </w:rPr>
        <w:t>significant</w:t>
      </w:r>
      <w:r>
        <w:rPr>
          <w:color w:val="383636"/>
          <w:spacing w:val="44"/>
          <w:w w:val="110"/>
        </w:rPr>
        <w:t> </w:t>
      </w:r>
      <w:r>
        <w:rPr>
          <w:color w:val="383636"/>
          <w:w w:val="110"/>
        </w:rPr>
        <w:t>words</w:t>
      </w:r>
      <w:r>
        <w:rPr>
          <w:color w:val="383636"/>
          <w:spacing w:val="27"/>
          <w:w w:val="110"/>
        </w:rPr>
        <w:t> </w:t>
      </w:r>
      <w:r>
        <w:rPr>
          <w:color w:val="383636"/>
          <w:w w:val="110"/>
        </w:rPr>
        <w:t>and</w:t>
      </w:r>
      <w:r>
        <w:rPr>
          <w:color w:val="383636"/>
          <w:spacing w:val="12"/>
          <w:w w:val="110"/>
        </w:rPr>
        <w:t> </w:t>
      </w:r>
      <w:r>
        <w:rPr>
          <w:color w:val="383636"/>
          <w:w w:val="110"/>
        </w:rPr>
        <w:t>concepts.</w:t>
      </w:r>
      <w:r>
        <w:rPr>
          <w:color w:val="383636"/>
          <w:spacing w:val="16"/>
          <w:w w:val="110"/>
        </w:rPr>
        <w:t> </w:t>
      </w:r>
      <w:r>
        <w:rPr>
          <w:color w:val="383636"/>
          <w:w w:val="110"/>
        </w:rPr>
        <w:t>Just</w:t>
      </w:r>
      <w:r>
        <w:rPr>
          <w:color w:val="383636"/>
          <w:spacing w:val="46"/>
          <w:w w:val="110"/>
        </w:rPr>
        <w:t> </w:t>
      </w:r>
      <w:r>
        <w:rPr>
          <w:color w:val="383636"/>
          <w:w w:val="110"/>
        </w:rPr>
        <w:t>as</w:t>
      </w:r>
      <w:r>
        <w:rPr>
          <w:color w:val="383636"/>
          <w:spacing w:val="28"/>
          <w:w w:val="110"/>
        </w:rPr>
        <w:t> </w:t>
      </w:r>
      <w:r>
        <w:rPr>
          <w:color w:val="383636"/>
          <w:w w:val="110"/>
        </w:rPr>
        <w:t>you</w:t>
      </w:r>
      <w:r>
        <w:rPr>
          <w:color w:val="383636"/>
          <w:spacing w:val="56"/>
          <w:w w:val="110"/>
        </w:rPr>
        <w:t> </w:t>
      </w:r>
      <w:r>
        <w:rPr>
          <w:color w:val="383636"/>
          <w:w w:val="110"/>
        </w:rPr>
        <w:t>r</w:t>
      </w:r>
      <w:r>
        <w:rPr>
          <w:color w:val="545456"/>
          <w:w w:val="110"/>
        </w:rPr>
        <w:t>e</w:t>
      </w:r>
      <w:r>
        <w:rPr>
          <w:color w:val="383636"/>
          <w:w w:val="110"/>
        </w:rPr>
        <w:t>peat</w:t>
      </w:r>
      <w:r>
        <w:rPr>
          <w:color w:val="383636"/>
          <w:spacing w:val="8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9"/>
          <w:w w:val="110"/>
        </w:rPr>
        <w:t> </w:t>
      </w:r>
      <w:r>
        <w:rPr>
          <w:color w:val="383636"/>
          <w:w w:val="110"/>
        </w:rPr>
        <w:t>names</w:t>
      </w:r>
    </w:p>
    <w:p>
      <w:pPr>
        <w:spacing w:after="0" w:line="235" w:lineRule="auto"/>
        <w:jc w:val="both"/>
        <w:sectPr>
          <w:pgSz w:w="9800" w:h="14020"/>
          <w:pgMar w:header="627" w:footer="0" w:top="820" w:bottom="280" w:left="340" w:right="1360"/>
        </w:sectPr>
      </w:pPr>
    </w:p>
    <w:p>
      <w:pPr>
        <w:pStyle w:val="BodyText"/>
        <w:spacing w:line="230" w:lineRule="auto" w:before="89"/>
        <w:ind w:left="776" w:right="106" w:hanging="5"/>
        <w:jc w:val="both"/>
        <w:rPr>
          <w:rFonts w:ascii="Arial"/>
          <w:sz w:val="12"/>
        </w:rPr>
      </w:pPr>
      <w:r>
        <w:rPr>
          <w:color w:val="3B3A3B"/>
          <w:w w:val="110"/>
        </w:rPr>
        <w:t>of the various actors when you play the Kevin Bacon game, you should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repeat significant words (often, phrases-that-pay) when making Kevin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05"/>
        </w:rPr>
        <w:t>Bacon connections in your writing. Doing so makes it easy for your </w:t>
      </w:r>
      <w:r>
        <w:rPr>
          <w:color w:val="4D4D4D"/>
          <w:w w:val="105"/>
        </w:rPr>
        <w:t>reader</w:t>
      </w:r>
      <w:r>
        <w:rPr>
          <w:color w:val="4D4D4D"/>
          <w:spacing w:val="1"/>
          <w:w w:val="105"/>
        </w:rPr>
        <w:t> </w:t>
      </w:r>
      <w:r>
        <w:rPr>
          <w:color w:val="3B3A3B"/>
          <w:w w:val="110"/>
        </w:rPr>
        <w:t>to</w:t>
      </w:r>
      <w:r>
        <w:rPr>
          <w:color w:val="3B3A3B"/>
          <w:spacing w:val="29"/>
          <w:w w:val="110"/>
        </w:rPr>
        <w:t> </w:t>
      </w:r>
      <w:r>
        <w:rPr>
          <w:color w:val="2D2A2B"/>
          <w:w w:val="110"/>
        </w:rPr>
        <w:t>understand</w:t>
      </w:r>
      <w:r>
        <w:rPr>
          <w:color w:val="2D2A2B"/>
          <w:spacing w:val="26"/>
          <w:w w:val="110"/>
        </w:rPr>
        <w:t> </w:t>
      </w:r>
      <w:r>
        <w:rPr>
          <w:color w:val="3B3A3B"/>
          <w:w w:val="110"/>
        </w:rPr>
        <w:t>how</w:t>
      </w:r>
      <w:r>
        <w:rPr>
          <w:color w:val="3B3A3B"/>
          <w:spacing w:val="-12"/>
          <w:w w:val="110"/>
        </w:rPr>
        <w:t> </w:t>
      </w:r>
      <w:r>
        <w:rPr>
          <w:color w:val="3B3A3B"/>
          <w:w w:val="110"/>
        </w:rPr>
        <w:t>your</w:t>
      </w:r>
      <w:r>
        <w:rPr>
          <w:color w:val="3B3A3B"/>
          <w:spacing w:val="-13"/>
          <w:w w:val="110"/>
        </w:rPr>
        <w:t> </w:t>
      </w:r>
      <w:r>
        <w:rPr>
          <w:color w:val="3B3A3B"/>
          <w:w w:val="110"/>
        </w:rPr>
        <w:t>ideas</w:t>
      </w:r>
      <w:r>
        <w:rPr>
          <w:color w:val="3B3A3B"/>
          <w:spacing w:val="-22"/>
          <w:w w:val="110"/>
        </w:rPr>
        <w:t> </w:t>
      </w:r>
      <w:r>
        <w:rPr>
          <w:color w:val="3B3A3B"/>
          <w:w w:val="110"/>
        </w:rPr>
        <w:t>connect</w:t>
      </w:r>
      <w:r>
        <w:rPr>
          <w:color w:val="3B3A3B"/>
          <w:spacing w:val="11"/>
          <w:w w:val="110"/>
        </w:rPr>
        <w:t> </w:t>
      </w:r>
      <w:r>
        <w:rPr>
          <w:color w:val="3B3A3B"/>
          <w:w w:val="110"/>
        </w:rPr>
        <w:t>to</w:t>
      </w:r>
      <w:r>
        <w:rPr>
          <w:color w:val="3B3A3B"/>
          <w:spacing w:val="-12"/>
          <w:w w:val="110"/>
        </w:rPr>
        <w:t> </w:t>
      </w:r>
      <w:r>
        <w:rPr>
          <w:color w:val="3B3A3B"/>
          <w:w w:val="110"/>
        </w:rPr>
        <w:t>each</w:t>
      </w:r>
      <w:r>
        <w:rPr>
          <w:color w:val="3B3A3B"/>
          <w:spacing w:val="-10"/>
          <w:w w:val="110"/>
        </w:rPr>
        <w:t> </w:t>
      </w:r>
      <w:r>
        <w:rPr>
          <w:color w:val="3B3A3B"/>
          <w:w w:val="110"/>
        </w:rPr>
        <w:t>other.</w:t>
      </w:r>
      <w:r>
        <w:rPr>
          <w:rFonts w:ascii="Arial"/>
          <w:color w:val="3B3A3B"/>
          <w:w w:val="110"/>
          <w:position w:val="11"/>
          <w:sz w:val="12"/>
        </w:rPr>
        <w:t>3</w:t>
      </w:r>
    </w:p>
    <w:p>
      <w:pPr>
        <w:pStyle w:val="BodyText"/>
        <w:spacing w:line="235" w:lineRule="auto"/>
        <w:ind w:left="760" w:right="99" w:firstLine="380"/>
        <w:jc w:val="both"/>
      </w:pPr>
      <w:r>
        <w:rPr>
          <w:color w:val="3B3A3B"/>
          <w:w w:val="110"/>
        </w:rPr>
        <w:t>In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connection-conclusions,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for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example,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you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should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connect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points</w:t>
      </w:r>
      <w:r>
        <w:rPr>
          <w:color w:val="3B3A3B"/>
          <w:spacing w:val="-18"/>
          <w:w w:val="110"/>
        </w:rPr>
        <w:t> </w:t>
      </w:r>
      <w:r>
        <w:rPr>
          <w:color w:val="3B3A3B"/>
          <w:w w:val="110"/>
        </w:rPr>
        <w:t>in</w:t>
      </w:r>
      <w:r>
        <w:rPr>
          <w:color w:val="3B3A3B"/>
          <w:spacing w:val="-3"/>
          <w:w w:val="110"/>
        </w:rPr>
        <w:t> </w:t>
      </w:r>
      <w:r>
        <w:rPr>
          <w:color w:val="3B3A3B"/>
          <w:w w:val="110"/>
        </w:rPr>
        <w:t>each</w:t>
      </w:r>
      <w:r>
        <w:rPr>
          <w:color w:val="3B3A3B"/>
          <w:spacing w:val="-17"/>
          <w:w w:val="110"/>
        </w:rPr>
        <w:t> </w:t>
      </w:r>
      <w:r>
        <w:rPr>
          <w:color w:val="3B3A3B"/>
          <w:w w:val="110"/>
        </w:rPr>
        <w:t>section</w:t>
      </w:r>
      <w:r>
        <w:rPr>
          <w:color w:val="3B3A3B"/>
          <w:spacing w:val="-7"/>
          <w:w w:val="110"/>
        </w:rPr>
        <w:t> </w:t>
      </w:r>
      <w:r>
        <w:rPr>
          <w:color w:val="3B3A3B"/>
          <w:w w:val="110"/>
        </w:rPr>
        <w:t>to the</w:t>
      </w:r>
      <w:r>
        <w:rPr>
          <w:color w:val="3B3A3B"/>
          <w:spacing w:val="7"/>
          <w:w w:val="110"/>
        </w:rPr>
        <w:t> </w:t>
      </w:r>
      <w:r>
        <w:rPr>
          <w:color w:val="3B3A3B"/>
          <w:w w:val="110"/>
        </w:rPr>
        <w:t>other</w:t>
      </w:r>
      <w:r>
        <w:rPr>
          <w:color w:val="3B3A3B"/>
          <w:spacing w:val="-18"/>
          <w:w w:val="110"/>
        </w:rPr>
        <w:t> </w:t>
      </w:r>
      <w:r>
        <w:rPr>
          <w:color w:val="3B3A3B"/>
          <w:w w:val="110"/>
        </w:rPr>
        <w:t>relevant</w:t>
      </w:r>
      <w:r>
        <w:rPr>
          <w:color w:val="3B3A3B"/>
          <w:spacing w:val="-9"/>
          <w:w w:val="110"/>
        </w:rPr>
        <w:t> </w:t>
      </w:r>
      <w:r>
        <w:rPr>
          <w:color w:val="3B3A3B"/>
          <w:w w:val="110"/>
        </w:rPr>
        <w:t>points</w:t>
      </w:r>
      <w:r>
        <w:rPr>
          <w:color w:val="3B3A3B"/>
          <w:spacing w:val="-32"/>
          <w:w w:val="110"/>
        </w:rPr>
        <w:t> </w:t>
      </w:r>
      <w:r>
        <w:rPr>
          <w:color w:val="3B3A3B"/>
          <w:w w:val="110"/>
        </w:rPr>
        <w:t>and,</w:t>
      </w:r>
      <w:r>
        <w:rPr>
          <w:color w:val="3B3A3B"/>
          <w:spacing w:val="-23"/>
          <w:w w:val="110"/>
        </w:rPr>
        <w:t> </w:t>
      </w:r>
      <w:r>
        <w:rPr>
          <w:color w:val="3B3A3B"/>
          <w:w w:val="110"/>
        </w:rPr>
        <w:t>when</w:t>
      </w:r>
      <w:r>
        <w:rPr>
          <w:color w:val="3B3A3B"/>
          <w:spacing w:val="6"/>
          <w:w w:val="110"/>
        </w:rPr>
        <w:t> </w:t>
      </w:r>
      <w:r>
        <w:rPr>
          <w:color w:val="3B3A3B"/>
          <w:w w:val="110"/>
        </w:rPr>
        <w:t>necessary,</w:t>
      </w:r>
      <w:r>
        <w:rPr>
          <w:color w:val="3B3A3B"/>
          <w:spacing w:val="-5"/>
          <w:w w:val="110"/>
        </w:rPr>
        <w:t> </w:t>
      </w:r>
      <w:r>
        <w:rPr>
          <w:color w:val="3B3A3B"/>
          <w:w w:val="110"/>
        </w:rPr>
        <w:t>to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05"/>
        </w:rPr>
        <w:t>your overall thesis. By doing so, you save the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reader's time and effort and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10"/>
        </w:rPr>
        <w:t>increase</w:t>
      </w:r>
      <w:r>
        <w:rPr>
          <w:color w:val="3B3A3B"/>
          <w:spacing w:val="-1"/>
          <w:w w:val="110"/>
        </w:rPr>
        <w:t> </w:t>
      </w:r>
      <w:r>
        <w:rPr>
          <w:color w:val="3B3A3B"/>
          <w:w w:val="110"/>
        </w:rPr>
        <w:t>his</w:t>
      </w:r>
      <w:r>
        <w:rPr>
          <w:color w:val="3B3A3B"/>
          <w:spacing w:val="-9"/>
          <w:w w:val="110"/>
        </w:rPr>
        <w:t> </w:t>
      </w:r>
      <w:r>
        <w:rPr>
          <w:color w:val="3B3A3B"/>
          <w:w w:val="110"/>
        </w:rPr>
        <w:t>or</w:t>
      </w:r>
      <w:r>
        <w:rPr>
          <w:color w:val="3B3A3B"/>
          <w:spacing w:val="18"/>
          <w:w w:val="110"/>
        </w:rPr>
        <w:t> </w:t>
      </w:r>
      <w:r>
        <w:rPr>
          <w:color w:val="3B3A3B"/>
          <w:w w:val="110"/>
        </w:rPr>
        <w:t>her</w:t>
      </w:r>
      <w:r>
        <w:rPr>
          <w:color w:val="3B3A3B"/>
          <w:spacing w:val="20"/>
          <w:w w:val="110"/>
        </w:rPr>
        <w:t> </w:t>
      </w:r>
      <w:r>
        <w:rPr>
          <w:color w:val="3B3A3B"/>
          <w:w w:val="110"/>
        </w:rPr>
        <w:t>understanding</w:t>
      </w:r>
      <w:r>
        <w:rPr>
          <w:color w:val="3B3A3B"/>
          <w:spacing w:val="-5"/>
          <w:w w:val="110"/>
        </w:rPr>
        <w:t> </w:t>
      </w:r>
      <w:r>
        <w:rPr>
          <w:color w:val="3B3A3B"/>
          <w:w w:val="110"/>
        </w:rPr>
        <w:t>of</w:t>
      </w:r>
      <w:r>
        <w:rPr>
          <w:color w:val="3B3A3B"/>
          <w:spacing w:val="2"/>
          <w:w w:val="110"/>
        </w:rPr>
        <w:t> </w:t>
      </w:r>
      <w:r>
        <w:rPr>
          <w:color w:val="3B3A3B"/>
          <w:w w:val="110"/>
        </w:rPr>
        <w:t>your</w:t>
      </w:r>
      <w:r>
        <w:rPr>
          <w:color w:val="3B3A3B"/>
          <w:spacing w:val="-15"/>
          <w:w w:val="110"/>
        </w:rPr>
        <w:t> </w:t>
      </w:r>
      <w:r>
        <w:rPr>
          <w:color w:val="3B3A3B"/>
          <w:w w:val="110"/>
        </w:rPr>
        <w:t>argument.</w:t>
      </w:r>
    </w:p>
    <w:p>
      <w:pPr>
        <w:pStyle w:val="BodyText"/>
        <w:rPr>
          <w:sz w:val="26"/>
        </w:rPr>
      </w:pPr>
    </w:p>
    <w:p>
      <w:pPr>
        <w:spacing w:before="224"/>
        <w:ind w:left="1343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3B3A3B"/>
          <w:w w:val="110"/>
          <w:sz w:val="32"/>
        </w:rPr>
        <w:t>10.2</w:t>
      </w:r>
    </w:p>
    <w:p>
      <w:pPr>
        <w:spacing w:line="314" w:lineRule="auto" w:before="47"/>
        <w:ind w:left="1321" w:right="0" w:firstLine="10"/>
        <w:jc w:val="left"/>
        <w:rPr>
          <w:rFonts w:ascii="Arial"/>
          <w:b/>
          <w:sz w:val="25"/>
        </w:rPr>
      </w:pPr>
      <w:r>
        <w:rPr>
          <w:rFonts w:ascii="Arial"/>
          <w:b/>
          <w:color w:val="3B3A3B"/>
          <w:sz w:val="25"/>
        </w:rPr>
        <w:t>INSTALL</w:t>
      </w:r>
      <w:r>
        <w:rPr>
          <w:rFonts w:ascii="Arial"/>
          <w:b/>
          <w:color w:val="3B3A3B"/>
          <w:spacing w:val="9"/>
          <w:sz w:val="25"/>
        </w:rPr>
        <w:t> </w:t>
      </w:r>
      <w:r>
        <w:rPr>
          <w:rFonts w:ascii="Arial"/>
          <w:b/>
          <w:color w:val="3B3A3B"/>
          <w:sz w:val="25"/>
        </w:rPr>
        <w:t>A</w:t>
      </w:r>
      <w:r>
        <w:rPr>
          <w:rFonts w:ascii="Arial"/>
          <w:b/>
          <w:color w:val="3B3A3B"/>
          <w:spacing w:val="15"/>
          <w:sz w:val="25"/>
        </w:rPr>
        <w:t> </w:t>
      </w:r>
      <w:r>
        <w:rPr>
          <w:rFonts w:ascii="Arial"/>
          <w:b/>
          <w:color w:val="3B3A3B"/>
          <w:sz w:val="25"/>
        </w:rPr>
        <w:t>SYMBOLIC</w:t>
      </w:r>
      <w:r>
        <w:rPr>
          <w:rFonts w:ascii="Arial"/>
          <w:b/>
          <w:color w:val="3B3A3B"/>
          <w:spacing w:val="15"/>
          <w:sz w:val="25"/>
        </w:rPr>
        <w:t> </w:t>
      </w:r>
      <w:r>
        <w:rPr>
          <w:b/>
          <w:color w:val="2D2A2B"/>
          <w:sz w:val="28"/>
        </w:rPr>
        <w:t>TE</w:t>
      </w:r>
      <w:r>
        <w:rPr>
          <w:b/>
          <w:color w:val="4D4D4D"/>
          <w:sz w:val="28"/>
        </w:rPr>
        <w:t>MPLATE</w:t>
      </w:r>
      <w:r>
        <w:rPr>
          <w:rFonts w:ascii="Arial"/>
          <w:b/>
          <w:color w:val="3B3A3B"/>
          <w:sz w:val="25"/>
        </w:rPr>
        <w:t>TO</w:t>
      </w:r>
      <w:r>
        <w:rPr>
          <w:rFonts w:ascii="Arial"/>
          <w:b/>
          <w:color w:val="3B3A3B"/>
          <w:spacing w:val="31"/>
          <w:sz w:val="25"/>
        </w:rPr>
        <w:t> </w:t>
      </w:r>
      <w:r>
        <w:rPr>
          <w:rFonts w:ascii="Arial"/>
          <w:b/>
          <w:color w:val="4D4D4D"/>
          <w:sz w:val="25"/>
        </w:rPr>
        <w:t>HELP</w:t>
      </w:r>
      <w:r>
        <w:rPr>
          <w:rFonts w:ascii="Arial"/>
          <w:b/>
          <w:color w:val="4D4D4D"/>
          <w:spacing w:val="21"/>
          <w:sz w:val="25"/>
        </w:rPr>
        <w:t> </w:t>
      </w:r>
      <w:r>
        <w:rPr>
          <w:rFonts w:ascii="Arial"/>
          <w:b/>
          <w:color w:val="3B3A3B"/>
          <w:sz w:val="25"/>
        </w:rPr>
        <w:t>YOUR</w:t>
      </w:r>
      <w:r>
        <w:rPr>
          <w:rFonts w:ascii="Arial"/>
          <w:b/>
          <w:color w:val="3B3A3B"/>
          <w:spacing w:val="-67"/>
          <w:sz w:val="25"/>
        </w:rPr>
        <w:t> </w:t>
      </w:r>
      <w:r>
        <w:rPr>
          <w:rFonts w:ascii="Arial"/>
          <w:b/>
          <w:color w:val="4D4D4D"/>
          <w:sz w:val="25"/>
        </w:rPr>
        <w:t>READER</w:t>
      </w:r>
      <w:r>
        <w:rPr>
          <w:rFonts w:ascii="Arial"/>
          <w:b/>
          <w:color w:val="4D4D4D"/>
          <w:spacing w:val="18"/>
          <w:sz w:val="25"/>
        </w:rPr>
        <w:t> </w:t>
      </w:r>
      <w:r>
        <w:rPr>
          <w:rFonts w:ascii="Arial"/>
          <w:b/>
          <w:color w:val="3B3A3B"/>
          <w:sz w:val="25"/>
        </w:rPr>
        <w:t>AND</w:t>
      </w:r>
      <w:r>
        <w:rPr>
          <w:rFonts w:ascii="Arial"/>
          <w:b/>
          <w:color w:val="3B3A3B"/>
          <w:spacing w:val="47"/>
          <w:sz w:val="25"/>
        </w:rPr>
        <w:t> </w:t>
      </w:r>
      <w:r>
        <w:rPr>
          <w:rFonts w:ascii="Arial"/>
          <w:b/>
          <w:color w:val="3B3A3B"/>
          <w:sz w:val="25"/>
        </w:rPr>
        <w:t>YOUR</w:t>
      </w:r>
      <w:r>
        <w:rPr>
          <w:rFonts w:ascii="Arial"/>
          <w:b/>
          <w:color w:val="3B3A3B"/>
          <w:spacing w:val="29"/>
          <w:sz w:val="25"/>
        </w:rPr>
        <w:t> </w:t>
      </w:r>
      <w:r>
        <w:rPr>
          <w:rFonts w:ascii="Arial"/>
          <w:b/>
          <w:color w:val="3B3A3B"/>
          <w:sz w:val="25"/>
        </w:rPr>
        <w:t>USER</w:t>
      </w:r>
    </w:p>
    <w:p>
      <w:pPr>
        <w:pStyle w:val="BodyText"/>
        <w:spacing w:line="232" w:lineRule="auto" w:before="170"/>
        <w:ind w:left="635" w:right="106" w:firstLine="681"/>
        <w:jc w:val="both"/>
      </w:pPr>
      <w:r>
        <w:rPr>
          <w:color w:val="3B3A3B"/>
          <w:w w:val="110"/>
        </w:rPr>
        <w:t>When personal computers were new, they came with little plastic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templates that fit over </w:t>
      </w:r>
      <w:r>
        <w:rPr>
          <w:color w:val="2D2A2B"/>
          <w:w w:val="110"/>
        </w:rPr>
        <w:t>the </w:t>
      </w:r>
      <w:r>
        <w:rPr>
          <w:color w:val="3B3A3B"/>
          <w:w w:val="110"/>
        </w:rPr>
        <w:t>function keys to </w:t>
      </w:r>
      <w:r>
        <w:rPr>
          <w:color w:val="2D2A2B"/>
          <w:w w:val="110"/>
        </w:rPr>
        <w:t>label </w:t>
      </w:r>
      <w:r>
        <w:rPr>
          <w:color w:val="3B3A3B"/>
          <w:w w:val="110"/>
        </w:rPr>
        <w:t>the various purposes of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keys and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to help users find </w:t>
      </w:r>
      <w:r>
        <w:rPr>
          <w:color w:val="2D2A2B"/>
          <w:w w:val="110"/>
        </w:rPr>
        <w:t>the </w:t>
      </w:r>
      <w:r>
        <w:rPr>
          <w:color w:val="3B3A3B"/>
          <w:w w:val="110"/>
        </w:rPr>
        <w:t>correct one. </w:t>
      </w:r>
      <w:r>
        <w:rPr>
          <w:color w:val="2D2A2B"/>
          <w:w w:val="110"/>
        </w:rPr>
        <w:t>In </w:t>
      </w:r>
      <w:r>
        <w:rPr>
          <w:color w:val="3B3A3B"/>
          <w:w w:val="110"/>
        </w:rPr>
        <w:t>a brief, you can pro­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vide a symbolic </w:t>
      </w:r>
      <w:r>
        <w:rPr>
          <w:color w:val="2D2A2B"/>
          <w:w w:val="110"/>
        </w:rPr>
        <w:t>template </w:t>
      </w:r>
      <w:r>
        <w:rPr>
          <w:color w:val="3B3A3B"/>
          <w:w w:val="110"/>
        </w:rPr>
        <w:t>by using headings, roadmap paragraphs, and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topic sentences, and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by using effective connection-conclusions within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each CREXAC unit of discourse. A template of this kind helps in three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ways. First, creating the template forces you to break your argument </w:t>
      </w:r>
      <w:r>
        <w:rPr>
          <w:color w:val="2D2A2B"/>
          <w:w w:val="110"/>
        </w:rPr>
        <w:t>into</w:t>
      </w:r>
      <w:r>
        <w:rPr>
          <w:color w:val="2D2A2B"/>
          <w:spacing w:val="1"/>
          <w:w w:val="110"/>
        </w:rPr>
        <w:t> </w:t>
      </w:r>
      <w:r>
        <w:rPr>
          <w:color w:val="3B3A3B"/>
          <w:w w:val="110"/>
        </w:rPr>
        <w:t>smaller parts, and this lightens the reader's burden. Second, judges and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clerks can use the template to skip the parts of the document they don't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need and to find the parts they do need. Likewise, those who are </w:t>
      </w:r>
      <w:r>
        <w:rPr>
          <w:color w:val="2D2A2B"/>
          <w:w w:val="110"/>
        </w:rPr>
        <w:t>reading</w:t>
      </w:r>
      <w:r>
        <w:rPr>
          <w:color w:val="2D2A2B"/>
          <w:spacing w:val="1"/>
          <w:w w:val="110"/>
        </w:rPr>
        <w:t> </w:t>
      </w:r>
      <w:r>
        <w:rPr>
          <w:color w:val="3B3A3B"/>
          <w:w w:val="105"/>
        </w:rPr>
        <w:t>the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brief digitally will use headings and other signals both as finding tools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and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for information. Finally, </w:t>
      </w:r>
      <w:r>
        <w:rPr>
          <w:color w:val="2D2A2B"/>
          <w:w w:val="105"/>
        </w:rPr>
        <w:t>readers </w:t>
      </w:r>
      <w:r>
        <w:rPr>
          <w:color w:val="3B3A3B"/>
          <w:w w:val="105"/>
        </w:rPr>
        <w:t>will </w:t>
      </w:r>
      <w:r>
        <w:rPr>
          <w:color w:val="2D2A2B"/>
          <w:w w:val="105"/>
        </w:rPr>
        <w:t>look </w:t>
      </w:r>
      <w:r>
        <w:rPr>
          <w:color w:val="3B3A3B"/>
          <w:w w:val="105"/>
        </w:rPr>
        <w:t>for connections in the tem­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10"/>
        </w:rPr>
        <w:t>plate items </w:t>
      </w:r>
      <w:r>
        <w:rPr>
          <w:color w:val="4D4D4D"/>
          <w:w w:val="110"/>
        </w:rPr>
        <w:t>so </w:t>
      </w:r>
      <w:r>
        <w:rPr>
          <w:color w:val="3B3A3B"/>
          <w:w w:val="110"/>
        </w:rPr>
        <w:t>that they can understand how </w:t>
      </w:r>
      <w:r>
        <w:rPr>
          <w:color w:val="4D4D4D"/>
          <w:w w:val="110"/>
        </w:rPr>
        <w:t>each </w:t>
      </w:r>
      <w:r>
        <w:rPr>
          <w:color w:val="3B3A3B"/>
          <w:w w:val="110"/>
        </w:rPr>
        <w:t>section of the document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10"/>
        </w:rPr>
        <w:t>relates to the other sections or to your overall thesis, </w:t>
      </w:r>
      <w:r>
        <w:rPr>
          <w:color w:val="2D2A2B"/>
          <w:w w:val="110"/>
        </w:rPr>
        <w:t>thus increasing </w:t>
      </w:r>
      <w:r>
        <w:rPr>
          <w:color w:val="3B3A3B"/>
          <w:w w:val="110"/>
        </w:rPr>
        <w:t>their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understanding</w:t>
      </w:r>
      <w:r>
        <w:rPr>
          <w:color w:val="3B3A3B"/>
          <w:spacing w:val="6"/>
          <w:w w:val="110"/>
        </w:rPr>
        <w:t> </w:t>
      </w:r>
      <w:r>
        <w:rPr>
          <w:color w:val="3B3A3B"/>
          <w:w w:val="110"/>
        </w:rPr>
        <w:t>of</w:t>
      </w:r>
      <w:r>
        <w:rPr>
          <w:color w:val="3B3A3B"/>
          <w:spacing w:val="12"/>
          <w:w w:val="110"/>
        </w:rPr>
        <w:t> </w:t>
      </w:r>
      <w:r>
        <w:rPr>
          <w:color w:val="3B3A3B"/>
          <w:w w:val="110"/>
        </w:rPr>
        <w:t>your</w:t>
      </w:r>
      <w:r>
        <w:rPr>
          <w:color w:val="3B3A3B"/>
          <w:spacing w:val="-4"/>
          <w:w w:val="110"/>
        </w:rPr>
        <w:t> </w:t>
      </w:r>
      <w:r>
        <w:rPr>
          <w:color w:val="3B3A3B"/>
          <w:w w:val="110"/>
        </w:rPr>
        <w:t>arguments.</w:t>
      </w:r>
    </w:p>
    <w:p>
      <w:pPr>
        <w:pStyle w:val="BodyText"/>
        <w:spacing w:line="235" w:lineRule="auto" w:before="11"/>
        <w:ind w:left="569" w:right="126" w:firstLine="415"/>
        <w:jc w:val="both"/>
      </w:pPr>
      <w:r>
        <w:rPr>
          <w:color w:val="3B3A3B"/>
          <w:w w:val="110"/>
        </w:rPr>
        <w:t>The template </w:t>
      </w:r>
      <w:r>
        <w:rPr>
          <w:color w:val="4D4D4D"/>
          <w:w w:val="110"/>
        </w:rPr>
        <w:t>can </w:t>
      </w:r>
      <w:r>
        <w:rPr>
          <w:color w:val="3B3A3B"/>
          <w:w w:val="110"/>
        </w:rPr>
        <w:t>be </w:t>
      </w:r>
      <w:r>
        <w:rPr>
          <w:color w:val="4D4D4D"/>
          <w:w w:val="110"/>
        </w:rPr>
        <w:t>created </w:t>
      </w:r>
      <w:r>
        <w:rPr>
          <w:color w:val="3B3A3B"/>
          <w:w w:val="110"/>
        </w:rPr>
        <w:t>in a four-step process. First, identify or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write topic sentences for every paragraph. Second, identify your large­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scale organization and insert headings that reveal that </w:t>
      </w:r>
      <w:r>
        <w:rPr>
          <w:color w:val="2D2A2B"/>
          <w:w w:val="110"/>
        </w:rPr>
        <w:t>la</w:t>
      </w:r>
      <w:r>
        <w:rPr>
          <w:color w:val="4D4D4D"/>
          <w:w w:val="110"/>
        </w:rPr>
        <w:t>rge-sca</w:t>
      </w:r>
      <w:r>
        <w:rPr>
          <w:color w:val="2D2A2B"/>
          <w:w w:val="110"/>
        </w:rPr>
        <w:t>le </w:t>
      </w:r>
      <w:r>
        <w:rPr>
          <w:color w:val="3B3A3B"/>
          <w:w w:val="110"/>
        </w:rPr>
        <w:t>organi­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zation. Third, use the headings to create as many roadmap paragraphs as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are appropriate. Finally, </w:t>
      </w:r>
      <w:r>
        <w:rPr>
          <w:color w:val="2D2A2B"/>
          <w:w w:val="110"/>
        </w:rPr>
        <w:t>insert </w:t>
      </w:r>
      <w:r>
        <w:rPr>
          <w:color w:val="3B3A3B"/>
          <w:w w:val="110"/>
        </w:rPr>
        <w:t>connection-conclusions at </w:t>
      </w:r>
      <w:r>
        <w:rPr>
          <w:color w:val="2D2A2B"/>
          <w:w w:val="110"/>
        </w:rPr>
        <w:t>th</w:t>
      </w:r>
      <w:r>
        <w:rPr>
          <w:color w:val="4D4D4D"/>
          <w:w w:val="110"/>
        </w:rPr>
        <w:t>e </w:t>
      </w:r>
      <w:r>
        <w:rPr>
          <w:color w:val="3B3A3B"/>
          <w:w w:val="110"/>
        </w:rPr>
        <w:t>end of each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unit</w:t>
      </w:r>
      <w:r>
        <w:rPr>
          <w:color w:val="3B3A3B"/>
          <w:spacing w:val="-17"/>
          <w:w w:val="110"/>
        </w:rPr>
        <w:t> </w:t>
      </w:r>
      <w:r>
        <w:rPr>
          <w:color w:val="3B3A3B"/>
          <w:w w:val="110"/>
        </w:rPr>
        <w:t>of</w:t>
      </w:r>
      <w:r>
        <w:rPr>
          <w:color w:val="3B3A3B"/>
          <w:spacing w:val="-2"/>
          <w:w w:val="110"/>
        </w:rPr>
        <w:t> </w:t>
      </w:r>
      <w:r>
        <w:rPr>
          <w:color w:val="3B3A3B"/>
          <w:w w:val="110"/>
        </w:rPr>
        <w:t>discourse.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4"/>
        </w:rPr>
      </w:pPr>
    </w:p>
    <w:p>
      <w:pPr>
        <w:spacing w:line="230" w:lineRule="auto" w:before="0"/>
        <w:ind w:left="465" w:right="135" w:firstLine="452"/>
        <w:jc w:val="both"/>
        <w:rPr>
          <w:sz w:val="18"/>
        </w:rPr>
      </w:pPr>
      <w:r>
        <w:rPr>
          <w:i/>
          <w:color w:val="3B3A3B"/>
          <w:w w:val="105"/>
          <w:position w:val="6"/>
          <w:sz w:val="11"/>
        </w:rPr>
        <w:t>1</w:t>
      </w:r>
      <w:r>
        <w:rPr>
          <w:i/>
          <w:color w:val="3B3A3B"/>
          <w:w w:val="105"/>
          <w:sz w:val="18"/>
        </w:rPr>
        <w:t>£.g.,</w:t>
      </w:r>
      <w:r>
        <w:rPr>
          <w:i/>
          <w:color w:val="3B3A3B"/>
          <w:spacing w:val="1"/>
          <w:w w:val="105"/>
          <w:sz w:val="18"/>
        </w:rPr>
        <w:t> </w:t>
      </w:r>
      <w:r>
        <w:rPr>
          <w:color w:val="3B3A3B"/>
          <w:w w:val="105"/>
          <w:sz w:val="18"/>
        </w:rPr>
        <w:t>Rebekah</w:t>
      </w:r>
      <w:r>
        <w:rPr>
          <w:color w:val="3B3A3B"/>
          <w:spacing w:val="1"/>
          <w:w w:val="105"/>
          <w:sz w:val="18"/>
        </w:rPr>
        <w:t> </w:t>
      </w:r>
      <w:r>
        <w:rPr>
          <w:color w:val="3B3A3B"/>
          <w:w w:val="105"/>
          <w:sz w:val="18"/>
        </w:rPr>
        <w:t>George</w:t>
      </w:r>
      <w:r>
        <w:rPr>
          <w:color w:val="3B3A3B"/>
          <w:spacing w:val="1"/>
          <w:w w:val="105"/>
          <w:sz w:val="18"/>
        </w:rPr>
        <w:t> </w:t>
      </w:r>
      <w:r>
        <w:rPr>
          <w:color w:val="3B3A3B"/>
          <w:w w:val="105"/>
          <w:sz w:val="18"/>
        </w:rPr>
        <w:t>Benjamin,</w:t>
      </w:r>
      <w:r>
        <w:rPr>
          <w:color w:val="3B3A3B"/>
          <w:spacing w:val="1"/>
          <w:w w:val="105"/>
          <w:sz w:val="18"/>
        </w:rPr>
        <w:t> </w:t>
      </w:r>
      <w:r>
        <w:rPr>
          <w:i/>
          <w:color w:val="3B3A3B"/>
          <w:w w:val="105"/>
          <w:sz w:val="18"/>
        </w:rPr>
        <w:t>Reconstructing Readability:</w:t>
      </w:r>
      <w:r>
        <w:rPr>
          <w:i/>
          <w:color w:val="3B3A3B"/>
          <w:spacing w:val="1"/>
          <w:w w:val="105"/>
          <w:sz w:val="18"/>
        </w:rPr>
        <w:t> </w:t>
      </w:r>
      <w:r>
        <w:rPr>
          <w:i/>
          <w:color w:val="3B3A3B"/>
          <w:w w:val="105"/>
          <w:sz w:val="18"/>
        </w:rPr>
        <w:t>Recent</w:t>
      </w:r>
      <w:r>
        <w:rPr>
          <w:i/>
          <w:color w:val="3B3A3B"/>
          <w:spacing w:val="1"/>
          <w:w w:val="105"/>
          <w:sz w:val="18"/>
        </w:rPr>
        <w:t> </w:t>
      </w:r>
      <w:r>
        <w:rPr>
          <w:i/>
          <w:color w:val="3B3A3B"/>
          <w:w w:val="105"/>
          <w:sz w:val="18"/>
        </w:rPr>
        <w:t>Development.s </w:t>
      </w:r>
      <w:r>
        <w:rPr>
          <w:i/>
          <w:color w:val="3B3A3B"/>
          <w:w w:val="105"/>
          <w:sz w:val="17"/>
        </w:rPr>
        <w:t>and</w:t>
      </w:r>
      <w:r>
        <w:rPr>
          <w:i/>
          <w:color w:val="3B3A3B"/>
          <w:spacing w:val="1"/>
          <w:w w:val="105"/>
          <w:sz w:val="17"/>
        </w:rPr>
        <w:t> </w:t>
      </w:r>
      <w:r>
        <w:rPr>
          <w:i/>
          <w:color w:val="3B3A3B"/>
          <w:sz w:val="18"/>
        </w:rPr>
        <w:t>Recommendations in</w:t>
      </w:r>
      <w:r>
        <w:rPr>
          <w:i/>
          <w:color w:val="3B3A3B"/>
          <w:spacing w:val="45"/>
          <w:sz w:val="18"/>
        </w:rPr>
        <w:t> </w:t>
      </w:r>
      <w:r>
        <w:rPr>
          <w:i/>
          <w:color w:val="3B3A3B"/>
          <w:sz w:val="17"/>
        </w:rPr>
        <w:t>the</w:t>
      </w:r>
      <w:r>
        <w:rPr>
          <w:i/>
          <w:color w:val="3B3A3B"/>
          <w:spacing w:val="42"/>
          <w:sz w:val="17"/>
        </w:rPr>
        <w:t> </w:t>
      </w:r>
      <w:r>
        <w:rPr>
          <w:i/>
          <w:color w:val="3B3A3B"/>
          <w:sz w:val="18"/>
        </w:rPr>
        <w:t>Analysis of</w:t>
      </w:r>
      <w:r>
        <w:rPr>
          <w:i/>
          <w:color w:val="3B3A3B"/>
          <w:spacing w:val="45"/>
          <w:sz w:val="18"/>
        </w:rPr>
        <w:t> </w:t>
      </w:r>
      <w:r>
        <w:rPr>
          <w:i/>
          <w:color w:val="3B3A3B"/>
          <w:sz w:val="18"/>
        </w:rPr>
        <w:t>Text Difficulty, </w:t>
      </w:r>
      <w:r>
        <w:rPr>
          <w:color w:val="3B3A3B"/>
          <w:sz w:val="18"/>
        </w:rPr>
        <w:t>24 </w:t>
      </w:r>
      <w:r>
        <w:rPr>
          <w:rFonts w:ascii="Arial" w:hAnsi="Arial"/>
          <w:color w:val="3B3A3B"/>
          <w:sz w:val="17"/>
        </w:rPr>
        <w:t>Educ. </w:t>
      </w:r>
      <w:r>
        <w:rPr>
          <w:color w:val="3B3A3B"/>
          <w:sz w:val="18"/>
        </w:rPr>
        <w:t>Psycho). Rev. 63,</w:t>
      </w:r>
      <w:r>
        <w:rPr>
          <w:color w:val="3B3A3B"/>
          <w:spacing w:val="45"/>
          <w:sz w:val="18"/>
        </w:rPr>
        <w:t> </w:t>
      </w:r>
      <w:r>
        <w:rPr>
          <w:color w:val="4D4D4D"/>
          <w:sz w:val="18"/>
        </w:rPr>
        <w:t>70</w:t>
      </w:r>
      <w:r>
        <w:rPr>
          <w:color w:val="4D4D4D"/>
          <w:spacing w:val="45"/>
          <w:sz w:val="18"/>
        </w:rPr>
        <w:t> </w:t>
      </w:r>
      <w:r>
        <w:rPr>
          <w:color w:val="4D4D4D"/>
          <w:sz w:val="18"/>
        </w:rPr>
        <w:t>(20 </w:t>
      </w:r>
      <w:r>
        <w:rPr>
          <w:color w:val="3B3A3B"/>
          <w:sz w:val="17"/>
        </w:rPr>
        <w:t>J </w:t>
      </w:r>
      <w:r>
        <w:rPr>
          <w:color w:val="3B3A3B"/>
          <w:sz w:val="18"/>
        </w:rPr>
        <w:t>2) (noting</w:t>
      </w:r>
      <w:r>
        <w:rPr>
          <w:color w:val="3B3A3B"/>
          <w:spacing w:val="1"/>
          <w:sz w:val="18"/>
        </w:rPr>
        <w:t> </w:t>
      </w:r>
      <w:r>
        <w:rPr>
          <w:color w:val="3B3A3B"/>
          <w:w w:val="105"/>
          <w:sz w:val="18"/>
        </w:rPr>
        <w:t>that where </w:t>
      </w:r>
      <w:r>
        <w:rPr>
          <w:rFonts w:ascii="Arial" w:hAnsi="Arial"/>
          <w:i/>
          <w:color w:val="4D4D4D"/>
          <w:w w:val="105"/>
          <w:sz w:val="16"/>
        </w:rPr>
        <w:t>"there </w:t>
      </w:r>
      <w:r>
        <w:rPr>
          <w:color w:val="3B3A3B"/>
          <w:w w:val="105"/>
          <w:sz w:val="18"/>
        </w:rPr>
        <w:t>are</w:t>
      </w:r>
      <w:r>
        <w:rPr>
          <w:rFonts w:ascii="Arial" w:hAnsi="Arial"/>
          <w:i/>
          <w:color w:val="3B3A3B"/>
          <w:w w:val="105"/>
          <w:sz w:val="16"/>
        </w:rPr>
        <w:t>few </w:t>
      </w:r>
      <w:r>
        <w:rPr>
          <w:color w:val="3B3A3B"/>
          <w:w w:val="105"/>
          <w:sz w:val="18"/>
        </w:rPr>
        <w:t>or nogaps In overlap across sentences,</w:t>
      </w:r>
      <w:r>
        <w:rPr>
          <w:color w:val="3B3A3B"/>
          <w:spacing w:val="1"/>
          <w:w w:val="105"/>
          <w:sz w:val="18"/>
        </w:rPr>
        <w:t> </w:t>
      </w:r>
      <w:r>
        <w:rPr>
          <w:color w:val="3B3A3B"/>
          <w:w w:val="105"/>
          <w:sz w:val="18"/>
        </w:rPr>
        <w:t>then a </w:t>
      </w:r>
      <w:r>
        <w:rPr>
          <w:color w:val="2D2A2B"/>
          <w:w w:val="105"/>
          <w:sz w:val="18"/>
        </w:rPr>
        <w:t>te</w:t>
      </w:r>
      <w:r>
        <w:rPr>
          <w:color w:val="4D4D4D"/>
          <w:w w:val="105"/>
          <w:sz w:val="18"/>
        </w:rPr>
        <w:t>xt  </w:t>
      </w:r>
      <w:r>
        <w:rPr>
          <w:color w:val="3B3A3B"/>
          <w:w w:val="105"/>
          <w:sz w:val="18"/>
        </w:rPr>
        <w:t>Isseamlessly moving</w:t>
      </w:r>
      <w:r>
        <w:rPr>
          <w:color w:val="3B3A3B"/>
          <w:spacing w:val="1"/>
          <w:w w:val="105"/>
          <w:sz w:val="18"/>
        </w:rPr>
        <w:t> </w:t>
      </w:r>
      <w:r>
        <w:rPr>
          <w:color w:val="3B3A3B"/>
          <w:w w:val="105"/>
          <w:sz w:val="18"/>
        </w:rPr>
        <w:t>from  one  point of  </w:t>
      </w:r>
      <w:r>
        <w:rPr>
          <w:color w:val="4D4D4D"/>
          <w:w w:val="105"/>
          <w:sz w:val="18"/>
        </w:rPr>
        <w:t>information  </w:t>
      </w:r>
      <w:r>
        <w:rPr>
          <w:color w:val="3B3A3B"/>
          <w:w w:val="105"/>
          <w:sz w:val="18"/>
        </w:rPr>
        <w:t>to  another  while giving  the  reader all  the  help he  </w:t>
      </w:r>
      <w:r>
        <w:rPr>
          <w:color w:val="4D4D4D"/>
          <w:w w:val="105"/>
          <w:sz w:val="18"/>
        </w:rPr>
        <w:t>or </w:t>
      </w:r>
      <w:r>
        <w:rPr>
          <w:color w:val="3B3A3B"/>
          <w:w w:val="105"/>
          <w:sz w:val="18"/>
        </w:rPr>
        <w:t>she needs</w:t>
      </w:r>
      <w:r>
        <w:rPr>
          <w:color w:val="3B3A3B"/>
          <w:spacing w:val="1"/>
          <w:w w:val="105"/>
          <w:sz w:val="18"/>
        </w:rPr>
        <w:t> </w:t>
      </w:r>
      <w:r>
        <w:rPr>
          <w:color w:val="3B3A3B"/>
          <w:w w:val="105"/>
          <w:sz w:val="18"/>
        </w:rPr>
        <w:t>to build new knowledge"). </w:t>
      </w:r>
      <w:r>
        <w:rPr>
          <w:i/>
          <w:color w:val="3B3A3B"/>
          <w:w w:val="105"/>
          <w:sz w:val="18"/>
        </w:rPr>
        <w:t>See </w:t>
      </w:r>
      <w:r>
        <w:rPr>
          <w:rFonts w:ascii="Arial" w:hAnsi="Arial"/>
          <w:i/>
          <w:color w:val="3B3A3B"/>
          <w:w w:val="105"/>
          <w:sz w:val="16"/>
        </w:rPr>
        <w:t>also </w:t>
      </w:r>
      <w:r>
        <w:rPr>
          <w:color w:val="3B3A3B"/>
          <w:w w:val="105"/>
          <w:sz w:val="18"/>
        </w:rPr>
        <w:t>Anne Enquist &amp; Laurel </w:t>
      </w:r>
      <w:r>
        <w:rPr>
          <w:color w:val="4D4D4D"/>
          <w:w w:val="105"/>
          <w:sz w:val="18"/>
        </w:rPr>
        <w:t>Currie </w:t>
      </w:r>
      <w:r>
        <w:rPr>
          <w:color w:val="3B3A3B"/>
          <w:w w:val="105"/>
          <w:sz w:val="18"/>
        </w:rPr>
        <w:t>Oates, </w:t>
      </w:r>
      <w:r>
        <w:rPr>
          <w:rFonts w:ascii="Arial" w:hAnsi="Arial"/>
          <w:i/>
          <w:color w:val="3B3A3B"/>
          <w:w w:val="105"/>
          <w:sz w:val="16"/>
        </w:rPr>
        <w:t>fust </w:t>
      </w:r>
      <w:r>
        <w:rPr>
          <w:i/>
          <w:color w:val="3B3A3B"/>
          <w:w w:val="105"/>
          <w:sz w:val="18"/>
        </w:rPr>
        <w:t>Writlrrg </w:t>
      </w:r>
      <w:r>
        <w:rPr>
          <w:color w:val="3B3A3B"/>
          <w:w w:val="105"/>
          <w:sz w:val="18"/>
        </w:rPr>
        <w:t>62 (4th ed.,</w:t>
      </w:r>
      <w:r>
        <w:rPr>
          <w:color w:val="3B3A3B"/>
          <w:spacing w:val="1"/>
          <w:w w:val="105"/>
          <w:sz w:val="18"/>
        </w:rPr>
        <w:t> </w:t>
      </w:r>
      <w:r>
        <w:rPr>
          <w:color w:val="3B3A3B"/>
          <w:w w:val="105"/>
          <w:sz w:val="18"/>
        </w:rPr>
        <w:t>Aspen </w:t>
      </w:r>
      <w:r>
        <w:rPr>
          <w:color w:val="4D4D4D"/>
          <w:w w:val="105"/>
          <w:sz w:val="18"/>
        </w:rPr>
        <w:t>2013) </w:t>
      </w:r>
      <w:r>
        <w:rPr>
          <w:color w:val="3B3A3B"/>
          <w:w w:val="105"/>
          <w:sz w:val="18"/>
        </w:rPr>
        <w:t>(recommending</w:t>
      </w:r>
      <w:r>
        <w:rPr>
          <w:color w:val="3B3A3B"/>
          <w:spacing w:val="1"/>
          <w:w w:val="105"/>
          <w:sz w:val="18"/>
        </w:rPr>
        <w:t> </w:t>
      </w:r>
      <w:r>
        <w:rPr>
          <w:color w:val="3B3A3B"/>
          <w:w w:val="105"/>
          <w:sz w:val="18"/>
        </w:rPr>
        <w:t>"substantive transitions" In which  </w:t>
      </w:r>
      <w:r>
        <w:rPr>
          <w:color w:val="4D4D4D"/>
          <w:w w:val="105"/>
          <w:sz w:val="18"/>
        </w:rPr>
        <w:t>the  </w:t>
      </w:r>
      <w:r>
        <w:rPr>
          <w:color w:val="3B3A3B"/>
          <w:w w:val="105"/>
          <w:sz w:val="18"/>
        </w:rPr>
        <w:t>writer echoes a word or </w:t>
      </w:r>
      <w:r>
        <w:rPr>
          <w:rFonts w:ascii="Arial" w:hAnsi="Arial"/>
          <w:b/>
          <w:color w:val="3B3A3B"/>
          <w:w w:val="105"/>
          <w:sz w:val="17"/>
        </w:rPr>
        <w:t>a</w:t>
      </w:r>
      <w:r>
        <w:rPr>
          <w:rFonts w:ascii="Arial" w:hAnsi="Arial"/>
          <w:b/>
          <w:color w:val="3B3A3B"/>
          <w:spacing w:val="1"/>
          <w:w w:val="105"/>
          <w:sz w:val="17"/>
        </w:rPr>
        <w:t> </w:t>
      </w:r>
      <w:r>
        <w:rPr>
          <w:color w:val="3B3A3B"/>
          <w:w w:val="105"/>
          <w:sz w:val="18"/>
        </w:rPr>
        <w:t>phrase from a</w:t>
      </w:r>
      <w:r>
        <w:rPr>
          <w:color w:val="3B3A3B"/>
          <w:spacing w:val="1"/>
          <w:w w:val="105"/>
          <w:sz w:val="18"/>
        </w:rPr>
        <w:t> </w:t>
      </w:r>
      <w:r>
        <w:rPr>
          <w:color w:val="3B3A3B"/>
          <w:w w:val="105"/>
          <w:sz w:val="18"/>
        </w:rPr>
        <w:t>previous </w:t>
      </w:r>
      <w:r>
        <w:rPr>
          <w:rFonts w:ascii="Arial" w:hAnsi="Arial"/>
          <w:i/>
          <w:color w:val="4D4D4D"/>
          <w:w w:val="105"/>
          <w:sz w:val="16"/>
        </w:rPr>
        <w:t>sen</w:t>
      </w:r>
      <w:r>
        <w:rPr>
          <w:rFonts w:ascii="Arial" w:hAnsi="Arial"/>
          <w:i/>
          <w:color w:val="2D2A2B"/>
          <w:w w:val="105"/>
          <w:sz w:val="16"/>
        </w:rPr>
        <w:t>tence</w:t>
      </w:r>
      <w:r>
        <w:rPr>
          <w:rFonts w:ascii="Arial" w:hAnsi="Arial"/>
          <w:i/>
          <w:color w:val="4D4D4D"/>
          <w:w w:val="105"/>
          <w:sz w:val="16"/>
        </w:rPr>
        <w:t>,</w:t>
      </w:r>
      <w:r>
        <w:rPr>
          <w:rFonts w:ascii="Arial" w:hAnsi="Arial"/>
          <w:i/>
          <w:color w:val="4D4D4D"/>
          <w:spacing w:val="1"/>
          <w:w w:val="105"/>
          <w:sz w:val="16"/>
        </w:rPr>
        <w:t> </w:t>
      </w:r>
      <w:r>
        <w:rPr>
          <w:color w:val="3B3A3B"/>
          <w:w w:val="105"/>
          <w:sz w:val="18"/>
        </w:rPr>
        <w:t>noting that these transitions "(Interlock)</w:t>
      </w:r>
      <w:r>
        <w:rPr>
          <w:color w:val="3B3A3B"/>
          <w:spacing w:val="1"/>
          <w:w w:val="105"/>
          <w:sz w:val="18"/>
        </w:rPr>
        <w:t> </w:t>
      </w:r>
      <w:r>
        <w:rPr>
          <w:color w:val="3B3A3B"/>
          <w:w w:val="105"/>
          <w:sz w:val="18"/>
        </w:rPr>
        <w:t>Ideas by </w:t>
      </w:r>
      <w:r>
        <w:rPr>
          <w:color w:val="4D4D4D"/>
          <w:w w:val="105"/>
          <w:sz w:val="18"/>
        </w:rPr>
        <w:t>creating </w:t>
      </w:r>
      <w:r>
        <w:rPr>
          <w:color w:val="3B3A3B"/>
          <w:w w:val="105"/>
          <w:sz w:val="18"/>
        </w:rPr>
        <w:t>an</w:t>
      </w:r>
      <w:r>
        <w:rPr>
          <w:color w:val="3B3A3B"/>
          <w:spacing w:val="1"/>
          <w:w w:val="105"/>
          <w:sz w:val="18"/>
        </w:rPr>
        <w:t> </w:t>
      </w:r>
      <w:r>
        <w:rPr>
          <w:color w:val="3B3A3B"/>
          <w:w w:val="105"/>
          <w:sz w:val="18"/>
        </w:rPr>
        <w:t>overlapof</w:t>
      </w:r>
      <w:r>
        <w:rPr>
          <w:color w:val="3B3A3B"/>
          <w:spacing w:val="5"/>
          <w:w w:val="105"/>
          <w:sz w:val="18"/>
        </w:rPr>
        <w:t> </w:t>
      </w:r>
      <w:r>
        <w:rPr>
          <w:color w:val="3B3A3B"/>
          <w:w w:val="105"/>
          <w:sz w:val="18"/>
        </w:rPr>
        <w:t>language").</w:t>
      </w:r>
    </w:p>
    <w:p>
      <w:pPr>
        <w:spacing w:after="0" w:line="230" w:lineRule="auto"/>
        <w:jc w:val="both"/>
        <w:rPr>
          <w:sz w:val="18"/>
        </w:rPr>
        <w:sectPr>
          <w:headerReference w:type="even" r:id="rId262"/>
          <w:headerReference w:type="default" r:id="rId263"/>
          <w:pgSz w:w="9860" w:h="14020"/>
          <w:pgMar w:header="505" w:footer="0" w:top="1100" w:bottom="0" w:left="1360" w:right="280"/>
          <w:pgNumType w:start="232"/>
        </w:sectPr>
      </w:pPr>
    </w:p>
    <w:p>
      <w:pPr>
        <w:spacing w:before="81"/>
        <w:ind w:left="429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B383A"/>
          <w:w w:val="105"/>
          <w:sz w:val="28"/>
        </w:rPr>
        <w:t>10.2.1</w:t>
      </w:r>
    </w:p>
    <w:p>
      <w:pPr>
        <w:spacing w:before="35"/>
        <w:ind w:left="425" w:right="0" w:firstLine="0"/>
        <w:jc w:val="left"/>
        <w:rPr>
          <w:sz w:val="24"/>
        </w:rPr>
      </w:pPr>
      <w:r>
        <w:rPr>
          <w:color w:val="3B383A"/>
          <w:spacing w:val="-1"/>
          <w:sz w:val="23"/>
        </w:rPr>
        <w:t>TOPIC</w:t>
      </w:r>
      <w:r>
        <w:rPr>
          <w:color w:val="3B383A"/>
          <w:spacing w:val="-7"/>
          <w:sz w:val="23"/>
        </w:rPr>
        <w:t> </w:t>
      </w:r>
      <w:r>
        <w:rPr>
          <w:color w:val="3B383A"/>
          <w:spacing w:val="-1"/>
          <w:sz w:val="24"/>
        </w:rPr>
        <w:t>SENTENCES</w:t>
      </w:r>
    </w:p>
    <w:p>
      <w:pPr>
        <w:pStyle w:val="BodyText"/>
        <w:spacing w:line="232" w:lineRule="auto" w:before="154"/>
        <w:ind w:left="105" w:right="503" w:firstLine="343"/>
        <w:jc w:val="both"/>
      </w:pPr>
      <w:r>
        <w:rPr>
          <w:color w:val="3B383A"/>
          <w:w w:val="110"/>
        </w:rPr>
        <w:t>Although most of us learned in grade school that the topic sentence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could be the first, second, or last sentence in the paragraph, in legal writ­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ing</w:t>
      </w:r>
      <w:r>
        <w:rPr>
          <w:color w:val="3B383A"/>
          <w:spacing w:val="-23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20"/>
          <w:w w:val="110"/>
        </w:rPr>
        <w:t> </w:t>
      </w:r>
      <w:r>
        <w:rPr>
          <w:color w:val="3B383A"/>
          <w:w w:val="110"/>
        </w:rPr>
        <w:t>topic</w:t>
      </w:r>
      <w:r>
        <w:rPr>
          <w:color w:val="3B383A"/>
          <w:spacing w:val="-32"/>
          <w:w w:val="110"/>
        </w:rPr>
        <w:t> </w:t>
      </w:r>
      <w:r>
        <w:rPr>
          <w:color w:val="3B383A"/>
          <w:w w:val="110"/>
        </w:rPr>
        <w:t>sentence</w:t>
      </w:r>
      <w:r>
        <w:rPr>
          <w:color w:val="3B383A"/>
          <w:spacing w:val="-14"/>
          <w:w w:val="110"/>
        </w:rPr>
        <w:t> </w:t>
      </w:r>
      <w:r>
        <w:rPr>
          <w:color w:val="3B383A"/>
          <w:w w:val="110"/>
        </w:rPr>
        <w:t>should</w:t>
      </w:r>
      <w:r>
        <w:rPr>
          <w:color w:val="3B383A"/>
          <w:spacing w:val="-16"/>
          <w:w w:val="110"/>
        </w:rPr>
        <w:t> </w:t>
      </w:r>
      <w:r>
        <w:rPr>
          <w:color w:val="3B383A"/>
          <w:w w:val="110"/>
        </w:rPr>
        <w:t>always</w:t>
      </w:r>
      <w:r>
        <w:rPr>
          <w:color w:val="3B383A"/>
          <w:spacing w:val="-25"/>
          <w:w w:val="110"/>
        </w:rPr>
        <w:t> </w:t>
      </w:r>
      <w:r>
        <w:rPr>
          <w:color w:val="3B383A"/>
          <w:w w:val="110"/>
        </w:rPr>
        <w:t>come</w:t>
      </w:r>
      <w:r>
        <w:rPr>
          <w:color w:val="3B383A"/>
          <w:spacing w:val="-28"/>
          <w:w w:val="110"/>
        </w:rPr>
        <w:t> </w:t>
      </w:r>
      <w:r>
        <w:rPr>
          <w:color w:val="3B383A"/>
          <w:w w:val="110"/>
        </w:rPr>
        <w:t>first</w:t>
      </w:r>
      <w:r>
        <w:rPr>
          <w:color w:val="595759"/>
          <w:w w:val="110"/>
        </w:rPr>
        <w:t>.</w:t>
      </w:r>
      <w:r>
        <w:rPr>
          <w:color w:val="595759"/>
          <w:spacing w:val="-13"/>
          <w:w w:val="110"/>
        </w:rPr>
        <w:t> </w:t>
      </w:r>
      <w:r>
        <w:rPr>
          <w:color w:val="3B383A"/>
          <w:w w:val="110"/>
        </w:rPr>
        <w:t>Putting</w:t>
      </w:r>
      <w:r>
        <w:rPr>
          <w:color w:val="3B383A"/>
          <w:spacing w:val="-15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13"/>
          <w:w w:val="110"/>
        </w:rPr>
        <w:t> </w:t>
      </w:r>
      <w:r>
        <w:rPr>
          <w:color w:val="3B383A"/>
          <w:w w:val="110"/>
        </w:rPr>
        <w:t>topic</w:t>
      </w:r>
      <w:r>
        <w:rPr>
          <w:color w:val="3B383A"/>
          <w:spacing w:val="-21"/>
          <w:w w:val="110"/>
        </w:rPr>
        <w:t> </w:t>
      </w:r>
      <w:r>
        <w:rPr>
          <w:color w:val="3B383A"/>
          <w:w w:val="110"/>
        </w:rPr>
        <w:t>sentence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first is vital because most legal readers decide whether to read a paragraph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based on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its first sentence. If the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first sentence shows the readers how the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paragraph is relevant to the issue under discussion, they will continue. If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not, they may skip down to the next paragraph, looking for more relevant</w:t>
      </w:r>
      <w:r>
        <w:rPr>
          <w:color w:val="3B383A"/>
          <w:spacing w:val="-61"/>
          <w:w w:val="110"/>
        </w:rPr>
        <w:t> </w:t>
      </w:r>
      <w:r>
        <w:rPr>
          <w:color w:val="3B383A"/>
          <w:w w:val="107"/>
        </w:rPr>
        <w:t>information.</w:t>
      </w:r>
      <w:r>
        <w:rPr>
          <w:rFonts w:ascii="Arial" w:hAnsi="Arial"/>
          <w:color w:val="3B383A"/>
          <w:w w:val="107"/>
          <w:position w:val="10"/>
          <w:sz w:val="11"/>
        </w:rPr>
        <w:t>4</w:t>
      </w:r>
      <w:r>
        <w:rPr>
          <w:rFonts w:ascii="Arial" w:hAnsi="Arial"/>
          <w:color w:val="3B383A"/>
          <w:position w:val="10"/>
          <w:sz w:val="11"/>
        </w:rPr>
        <w:t>  </w:t>
      </w:r>
      <w:r>
        <w:rPr>
          <w:rFonts w:ascii="Arial" w:hAnsi="Arial"/>
          <w:color w:val="3B383A"/>
          <w:spacing w:val="-11"/>
          <w:position w:val="10"/>
          <w:sz w:val="11"/>
        </w:rPr>
        <w:t> </w:t>
      </w:r>
      <w:r>
        <w:rPr>
          <w:color w:val="3B383A"/>
          <w:spacing w:val="-1"/>
          <w:w w:val="109"/>
        </w:rPr>
        <w:t>Furthermore</w:t>
      </w:r>
      <w:r>
        <w:rPr>
          <w:color w:val="3B383A"/>
          <w:w w:val="109"/>
        </w:rPr>
        <w:t>,</w:t>
      </w:r>
      <w:r>
        <w:rPr>
          <w:color w:val="3B383A"/>
          <w:spacing w:val="12"/>
        </w:rPr>
        <w:t> </w:t>
      </w:r>
      <w:r>
        <w:rPr>
          <w:color w:val="3B383A"/>
          <w:spacing w:val="-1"/>
          <w:w w:val="116"/>
        </w:rPr>
        <w:t>whe</w:t>
      </w:r>
      <w:r>
        <w:rPr>
          <w:color w:val="3B383A"/>
          <w:w w:val="116"/>
        </w:rPr>
        <w:t>n</w:t>
      </w:r>
      <w:r>
        <w:rPr>
          <w:color w:val="3B383A"/>
          <w:spacing w:val="-2"/>
        </w:rPr>
        <w:t> </w:t>
      </w:r>
      <w:r>
        <w:rPr>
          <w:color w:val="3B383A"/>
          <w:w w:val="112"/>
        </w:rPr>
        <w:t>your</w:t>
      </w:r>
      <w:r>
        <w:rPr>
          <w:color w:val="3B383A"/>
          <w:spacing w:val="1"/>
        </w:rPr>
        <w:t> </w:t>
      </w:r>
      <w:r>
        <w:rPr>
          <w:color w:val="3B383A"/>
          <w:spacing w:val="-1"/>
          <w:w w:val="112"/>
        </w:rPr>
        <w:t>audienc</w:t>
      </w:r>
      <w:r>
        <w:rPr>
          <w:color w:val="3B383A"/>
          <w:w w:val="112"/>
        </w:rPr>
        <w:t>e</w:t>
      </w:r>
      <w:r>
        <w:rPr>
          <w:color w:val="3B383A"/>
          <w:spacing w:val="-1"/>
        </w:rPr>
        <w:t> </w:t>
      </w:r>
      <w:r>
        <w:rPr>
          <w:color w:val="3B383A"/>
          <w:spacing w:val="-1"/>
          <w:w w:val="112"/>
        </w:rPr>
        <w:t>i</w:t>
      </w:r>
      <w:r>
        <w:rPr>
          <w:color w:val="3B383A"/>
          <w:w w:val="112"/>
        </w:rPr>
        <w:t>s</w:t>
      </w:r>
      <w:r>
        <w:rPr>
          <w:color w:val="3B383A"/>
          <w:spacing w:val="-18"/>
        </w:rPr>
        <w:t> </w:t>
      </w:r>
      <w:r>
        <w:rPr>
          <w:color w:val="3B383A"/>
          <w:spacing w:val="-1"/>
          <w:w w:val="112"/>
        </w:rPr>
        <w:t>i</w:t>
      </w:r>
      <w:r>
        <w:rPr>
          <w:color w:val="3B383A"/>
          <w:w w:val="112"/>
        </w:rPr>
        <w:t>n</w:t>
      </w:r>
      <w:r>
        <w:rPr>
          <w:color w:val="3B383A"/>
          <w:spacing w:val="13"/>
        </w:rPr>
        <w:t> </w:t>
      </w:r>
      <w:r>
        <w:rPr>
          <w:color w:val="3B383A"/>
          <w:spacing w:val="-1"/>
          <w:w w:val="113"/>
        </w:rPr>
        <w:t>"user</w:t>
      </w:r>
      <w:r>
        <w:rPr>
          <w:color w:val="3B383A"/>
          <w:w w:val="113"/>
        </w:rPr>
        <w:t>"</w:t>
      </w:r>
      <w:r>
        <w:rPr>
          <w:color w:val="3B383A"/>
          <w:spacing w:val="1"/>
        </w:rPr>
        <w:t> </w:t>
      </w:r>
      <w:r>
        <w:rPr>
          <w:color w:val="3B383A"/>
          <w:spacing w:val="-1"/>
          <w:w w:val="111"/>
        </w:rPr>
        <w:t>mode</w:t>
      </w:r>
      <w:r>
        <w:rPr>
          <w:color w:val="3B383A"/>
          <w:w w:val="111"/>
        </w:rPr>
        <w:t>,</w:t>
      </w:r>
      <w:r>
        <w:rPr>
          <w:color w:val="3B383A"/>
          <w:spacing w:val="-2"/>
        </w:rPr>
        <w:t> </w:t>
      </w:r>
      <w:r>
        <w:rPr>
          <w:color w:val="3B383A"/>
          <w:spacing w:val="-1"/>
          <w:w w:val="111"/>
        </w:rPr>
        <w:t>i</w:t>
      </w:r>
      <w:r>
        <w:rPr>
          <w:color w:val="3B383A"/>
          <w:w w:val="111"/>
        </w:rPr>
        <w:t>t</w:t>
      </w:r>
      <w:r>
        <w:rPr>
          <w:color w:val="3B383A"/>
          <w:spacing w:val="17"/>
        </w:rPr>
        <w:t> </w:t>
      </w:r>
      <w:r>
        <w:rPr>
          <w:color w:val="3B383A"/>
          <w:spacing w:val="-1"/>
          <w:w w:val="108"/>
        </w:rPr>
        <w:t>may </w:t>
      </w:r>
      <w:r>
        <w:rPr>
          <w:color w:val="3B383A"/>
          <w:w w:val="110"/>
        </w:rPr>
        <w:t>scan the topic sentences, looking for paragraphs that address the point it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are</w:t>
      </w:r>
      <w:r>
        <w:rPr>
          <w:color w:val="3B383A"/>
          <w:spacing w:val="-15"/>
          <w:w w:val="110"/>
        </w:rPr>
        <w:t> </w:t>
      </w:r>
      <w:r>
        <w:rPr>
          <w:color w:val="3B383A"/>
          <w:w w:val="110"/>
        </w:rPr>
        <w:t>interested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in.</w:t>
      </w:r>
    </w:p>
    <w:p>
      <w:pPr>
        <w:pStyle w:val="BodyText"/>
        <w:spacing w:line="235" w:lineRule="auto"/>
        <w:ind w:left="121" w:right="439" w:firstLine="332"/>
        <w:jc w:val="both"/>
      </w:pPr>
      <w:r>
        <w:rPr>
          <w:color w:val="3B383A"/>
          <w:w w:val="110"/>
        </w:rPr>
        <w:t>Topic sentences can also help the legal writer: When well written, they</w:t>
      </w:r>
      <w:r>
        <w:rPr>
          <w:color w:val="3B383A"/>
          <w:spacing w:val="-61"/>
          <w:w w:val="110"/>
        </w:rPr>
        <w:t> </w:t>
      </w:r>
      <w:r>
        <w:rPr>
          <w:color w:val="3B383A"/>
          <w:w w:val="110"/>
        </w:rPr>
        <w:t>signal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document's organization and can be used to check organiza­</w:t>
      </w:r>
      <w:r>
        <w:rPr>
          <w:color w:val="3B383A"/>
          <w:spacing w:val="1"/>
          <w:w w:val="110"/>
        </w:rPr>
        <w:t> </w:t>
      </w:r>
      <w:r>
        <w:rPr>
          <w:color w:val="3B383A"/>
          <w:spacing w:val="-1"/>
          <w:w w:val="110"/>
        </w:rPr>
        <w:t>tional effectiveness. </w:t>
      </w:r>
      <w:r>
        <w:rPr>
          <w:color w:val="3B383A"/>
          <w:w w:val="110"/>
        </w:rPr>
        <w:t>After you have used the guidelines below to write an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effective topic sentence for each paragraph (and verified that each sen­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tence in the paragraph is connected to that topic), you can make a "topic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sentence outline" by copying and pasting the first sentence of each para­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graph</w:t>
      </w:r>
      <w:r>
        <w:rPr>
          <w:color w:val="3B383A"/>
          <w:spacing w:val="8"/>
          <w:w w:val="110"/>
        </w:rPr>
        <w:t> </w:t>
      </w:r>
      <w:r>
        <w:rPr>
          <w:color w:val="3B383A"/>
          <w:w w:val="110"/>
        </w:rPr>
        <w:t>into</w:t>
      </w:r>
      <w:r>
        <w:rPr>
          <w:color w:val="3B383A"/>
          <w:spacing w:val="-26"/>
          <w:w w:val="110"/>
        </w:rPr>
        <w:t> </w:t>
      </w:r>
      <w:r>
        <w:rPr>
          <w:color w:val="3B383A"/>
          <w:w w:val="110"/>
        </w:rPr>
        <w:t>a</w:t>
      </w:r>
      <w:r>
        <w:rPr>
          <w:color w:val="3B383A"/>
          <w:spacing w:val="4"/>
          <w:w w:val="110"/>
        </w:rPr>
        <w:t> </w:t>
      </w:r>
      <w:r>
        <w:rPr>
          <w:color w:val="3B383A"/>
          <w:w w:val="110"/>
        </w:rPr>
        <w:t>newdocument.</w:t>
      </w:r>
    </w:p>
    <w:p>
      <w:pPr>
        <w:pStyle w:val="BodyText"/>
        <w:spacing w:line="235" w:lineRule="auto"/>
        <w:ind w:left="131" w:right="408" w:firstLine="345"/>
        <w:jc w:val="both"/>
      </w:pPr>
      <w:r>
        <w:rPr>
          <w:color w:val="3B383A"/>
          <w:w w:val="115"/>
        </w:rPr>
        <w:t>When you review the topic sentence outline, you should see logical</w:t>
      </w:r>
      <w:r>
        <w:rPr>
          <w:color w:val="3B383A"/>
          <w:spacing w:val="-64"/>
          <w:w w:val="115"/>
        </w:rPr>
        <w:t> </w:t>
      </w:r>
      <w:r>
        <w:rPr>
          <w:color w:val="3B383A"/>
          <w:w w:val="110"/>
        </w:rPr>
        <w:t>groupings: First, you should find several topic sentences relevant to your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first point, then several topic sentences relevant to your second point, and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5"/>
        </w:rPr>
        <w:t>so on</w:t>
      </w:r>
      <w:r>
        <w:rPr>
          <w:color w:val="676769"/>
          <w:w w:val="115"/>
        </w:rPr>
        <w:t>. </w:t>
      </w:r>
      <w:r>
        <w:rPr>
          <w:color w:val="3B383A"/>
          <w:w w:val="115"/>
        </w:rPr>
        <w:t>To the extent that you find topic sentences that are out of place,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decide whether to fix the topic sentence, move the paragraph to a new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location,</w:t>
      </w:r>
      <w:r>
        <w:rPr>
          <w:color w:val="3B383A"/>
          <w:spacing w:val="-4"/>
          <w:w w:val="115"/>
        </w:rPr>
        <w:t> </w:t>
      </w:r>
      <w:r>
        <w:rPr>
          <w:color w:val="3B383A"/>
          <w:w w:val="115"/>
        </w:rPr>
        <w:t>or</w:t>
      </w:r>
      <w:r>
        <w:rPr>
          <w:color w:val="3B383A"/>
          <w:spacing w:val="10"/>
          <w:w w:val="115"/>
        </w:rPr>
        <w:t> </w:t>
      </w:r>
      <w:r>
        <w:rPr>
          <w:color w:val="3B383A"/>
          <w:w w:val="115"/>
        </w:rPr>
        <w:t>remove</w:t>
      </w:r>
      <w:r>
        <w:rPr>
          <w:color w:val="3B383A"/>
          <w:spacing w:val="-10"/>
          <w:w w:val="115"/>
        </w:rPr>
        <w:t> </w:t>
      </w:r>
      <w:r>
        <w:rPr>
          <w:color w:val="3B383A"/>
          <w:w w:val="115"/>
        </w:rPr>
        <w:t>the</w:t>
      </w:r>
      <w:r>
        <w:rPr>
          <w:color w:val="3B383A"/>
          <w:spacing w:val="14"/>
          <w:w w:val="115"/>
        </w:rPr>
        <w:t> </w:t>
      </w:r>
      <w:r>
        <w:rPr>
          <w:color w:val="3B383A"/>
          <w:w w:val="115"/>
        </w:rPr>
        <w:t>paragraph</w:t>
      </w:r>
      <w:r>
        <w:rPr>
          <w:color w:val="3B383A"/>
          <w:spacing w:val="3"/>
          <w:w w:val="115"/>
        </w:rPr>
        <w:t> </w:t>
      </w:r>
      <w:r>
        <w:rPr>
          <w:color w:val="3B383A"/>
          <w:w w:val="115"/>
        </w:rPr>
        <w:t>from</w:t>
      </w:r>
      <w:r>
        <w:rPr>
          <w:color w:val="3B383A"/>
          <w:spacing w:val="-7"/>
          <w:w w:val="115"/>
        </w:rPr>
        <w:t> </w:t>
      </w:r>
      <w:r>
        <w:rPr>
          <w:color w:val="3B383A"/>
          <w:w w:val="115"/>
        </w:rPr>
        <w:t>the</w:t>
      </w:r>
      <w:r>
        <w:rPr>
          <w:color w:val="3B383A"/>
          <w:spacing w:val="5"/>
          <w:w w:val="115"/>
        </w:rPr>
        <w:t> </w:t>
      </w:r>
      <w:r>
        <w:rPr>
          <w:color w:val="3B383A"/>
          <w:w w:val="115"/>
        </w:rPr>
        <w:t>brief.</w:t>
      </w:r>
    </w:p>
    <w:p>
      <w:pPr>
        <w:pStyle w:val="BodyText"/>
        <w:spacing w:line="235" w:lineRule="auto"/>
        <w:ind w:left="143" w:right="381" w:firstLine="329"/>
        <w:jc w:val="both"/>
      </w:pPr>
      <w:r>
        <w:rPr>
          <w:color w:val="3B383A"/>
          <w:w w:val="115"/>
        </w:rPr>
        <w:t>Two reminders can help you to write effective topic sentences in a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0"/>
        </w:rPr>
        <w:t>brief. First, whenever possible, use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phrase-that-pays within the topic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5"/>
        </w:rPr>
        <w:t>sentence. Second, focus particular attention on topic sentences for rule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explanation paragraphs. Those paragraphs lay the foundation for your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0"/>
        </w:rPr>
        <w:t>argument, and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the topic sentences provide an important substantive and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5"/>
        </w:rPr>
        <w:t>persuasive</w:t>
      </w:r>
      <w:r>
        <w:rPr>
          <w:color w:val="3B383A"/>
          <w:spacing w:val="-21"/>
          <w:w w:val="115"/>
        </w:rPr>
        <w:t> </w:t>
      </w:r>
      <w:r>
        <w:rPr>
          <w:color w:val="3B383A"/>
          <w:w w:val="115"/>
        </w:rPr>
        <w:t>opportunity.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94"/>
        </w:numPr>
        <w:tabs>
          <w:tab w:pos="872" w:val="left" w:leader="none"/>
        </w:tabs>
        <w:spacing w:line="240" w:lineRule="auto" w:before="0" w:after="0"/>
        <w:ind w:left="871" w:right="0" w:hanging="402"/>
        <w:jc w:val="both"/>
        <w:rPr>
          <w:b/>
          <w:color w:val="3B383A"/>
          <w:sz w:val="21"/>
        </w:rPr>
      </w:pPr>
      <w:r>
        <w:rPr>
          <w:b/>
          <w:color w:val="3B383A"/>
          <w:w w:val="120"/>
          <w:sz w:val="21"/>
        </w:rPr>
        <w:t>I</w:t>
      </w:r>
      <w:r>
        <w:rPr>
          <w:b/>
          <w:color w:val="676769"/>
          <w:w w:val="120"/>
          <w:sz w:val="21"/>
        </w:rPr>
        <w:t>ncludin</w:t>
      </w:r>
      <w:r>
        <w:rPr>
          <w:b/>
          <w:color w:val="3B383A"/>
          <w:w w:val="120"/>
          <w:sz w:val="21"/>
        </w:rPr>
        <w:t>g</w:t>
      </w:r>
      <w:r>
        <w:rPr>
          <w:b/>
          <w:color w:val="3B383A"/>
          <w:spacing w:val="13"/>
          <w:w w:val="120"/>
          <w:sz w:val="21"/>
        </w:rPr>
        <w:t> </w:t>
      </w:r>
      <w:r>
        <w:rPr>
          <w:b/>
          <w:color w:val="3B383A"/>
          <w:w w:val="120"/>
          <w:sz w:val="21"/>
        </w:rPr>
        <w:t>the</w:t>
      </w:r>
      <w:r>
        <w:rPr>
          <w:b/>
          <w:color w:val="3B383A"/>
          <w:spacing w:val="7"/>
          <w:w w:val="120"/>
          <w:sz w:val="21"/>
        </w:rPr>
        <w:t> </w:t>
      </w:r>
      <w:r>
        <w:rPr>
          <w:b/>
          <w:color w:val="595759"/>
          <w:w w:val="120"/>
          <w:sz w:val="21"/>
        </w:rPr>
        <w:t>Phr</w:t>
      </w:r>
      <w:r>
        <w:rPr>
          <w:b/>
          <w:color w:val="3B383A"/>
          <w:w w:val="120"/>
          <w:sz w:val="21"/>
        </w:rPr>
        <w:t>ase-</w:t>
      </w:r>
      <w:r>
        <w:rPr>
          <w:b/>
          <w:color w:val="595759"/>
          <w:w w:val="120"/>
          <w:sz w:val="21"/>
        </w:rPr>
        <w:t>T</w:t>
      </w:r>
      <w:r>
        <w:rPr>
          <w:b/>
          <w:color w:val="3B383A"/>
          <w:w w:val="120"/>
          <w:sz w:val="21"/>
        </w:rPr>
        <w:t>h</w:t>
      </w:r>
      <w:r>
        <w:rPr>
          <w:b/>
          <w:color w:val="595759"/>
          <w:w w:val="120"/>
          <w:sz w:val="21"/>
        </w:rPr>
        <w:t>a</w:t>
      </w:r>
      <w:r>
        <w:rPr>
          <w:b/>
          <w:color w:val="3B383A"/>
          <w:w w:val="120"/>
          <w:sz w:val="21"/>
        </w:rPr>
        <w:t>t-Pays</w:t>
      </w:r>
      <w:r>
        <w:rPr>
          <w:b/>
          <w:color w:val="3B383A"/>
          <w:spacing w:val="-1"/>
          <w:w w:val="120"/>
          <w:sz w:val="21"/>
        </w:rPr>
        <w:t> </w:t>
      </w:r>
      <w:r>
        <w:rPr>
          <w:b/>
          <w:color w:val="3B383A"/>
          <w:w w:val="120"/>
          <w:sz w:val="21"/>
        </w:rPr>
        <w:t>in</w:t>
      </w:r>
      <w:r>
        <w:rPr>
          <w:b/>
          <w:color w:val="3B383A"/>
          <w:spacing w:val="17"/>
          <w:w w:val="120"/>
          <w:sz w:val="21"/>
        </w:rPr>
        <w:t> </w:t>
      </w:r>
      <w:r>
        <w:rPr>
          <w:b/>
          <w:color w:val="3B383A"/>
          <w:w w:val="120"/>
          <w:sz w:val="21"/>
        </w:rPr>
        <w:t>Ea</w:t>
      </w:r>
      <w:r>
        <w:rPr>
          <w:b/>
          <w:color w:val="595759"/>
          <w:w w:val="120"/>
          <w:sz w:val="21"/>
        </w:rPr>
        <w:t>c</w:t>
      </w:r>
      <w:r>
        <w:rPr>
          <w:b/>
          <w:color w:val="3B383A"/>
          <w:w w:val="120"/>
          <w:sz w:val="21"/>
        </w:rPr>
        <w:t>h</w:t>
      </w:r>
      <w:r>
        <w:rPr>
          <w:b/>
          <w:color w:val="3B383A"/>
          <w:spacing w:val="8"/>
          <w:w w:val="120"/>
          <w:sz w:val="21"/>
        </w:rPr>
        <w:t> </w:t>
      </w:r>
      <w:r>
        <w:rPr>
          <w:b/>
          <w:color w:val="3B383A"/>
          <w:w w:val="120"/>
          <w:sz w:val="21"/>
        </w:rPr>
        <w:t>To</w:t>
      </w:r>
      <w:r>
        <w:rPr>
          <w:b/>
          <w:color w:val="676769"/>
          <w:w w:val="120"/>
          <w:sz w:val="21"/>
        </w:rPr>
        <w:t>p</w:t>
      </w:r>
      <w:r>
        <w:rPr>
          <w:b/>
          <w:color w:val="3B383A"/>
          <w:w w:val="120"/>
          <w:sz w:val="21"/>
        </w:rPr>
        <w:t>ic</w:t>
      </w:r>
      <w:r>
        <w:rPr>
          <w:b/>
          <w:color w:val="3B383A"/>
          <w:spacing w:val="18"/>
          <w:w w:val="120"/>
          <w:sz w:val="21"/>
        </w:rPr>
        <w:t> </w:t>
      </w:r>
      <w:r>
        <w:rPr>
          <w:b/>
          <w:color w:val="595759"/>
          <w:w w:val="120"/>
          <w:sz w:val="21"/>
        </w:rPr>
        <w:t>Se</w:t>
      </w:r>
      <w:r>
        <w:rPr>
          <w:b/>
          <w:color w:val="3B383A"/>
          <w:w w:val="120"/>
          <w:sz w:val="21"/>
        </w:rPr>
        <w:t>n</w:t>
      </w:r>
      <w:r>
        <w:rPr>
          <w:b/>
          <w:color w:val="595759"/>
          <w:w w:val="120"/>
          <w:sz w:val="21"/>
        </w:rPr>
        <w:t>t</w:t>
      </w:r>
      <w:r>
        <w:rPr>
          <w:b/>
          <w:color w:val="3B383A"/>
          <w:w w:val="120"/>
          <w:sz w:val="21"/>
        </w:rPr>
        <w:t>ence</w:t>
      </w:r>
    </w:p>
    <w:p>
      <w:pPr>
        <w:pStyle w:val="BodyText"/>
        <w:spacing w:line="230" w:lineRule="auto" w:before="28"/>
        <w:ind w:left="169" w:right="297" w:firstLine="331"/>
        <w:jc w:val="both"/>
      </w:pPr>
      <w:r>
        <w:rPr>
          <w:color w:val="3B383A"/>
          <w:w w:val="115"/>
        </w:rPr>
        <w:t>Oneobjective method you can use to check the effectiveness of your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0"/>
        </w:rPr>
        <w:t>topic sentences is to look for the phrase-that-pays. Using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phrase-that­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5"/>
        </w:rPr>
        <w:t>pays in each topic sentence tells the reader that the paragraph is worth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reading and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that it will provide more information about the word or</w:t>
      </w:r>
      <w:r>
        <w:rPr>
          <w:color w:val="3B383A"/>
          <w:spacing w:val="1"/>
          <w:w w:val="115"/>
        </w:rPr>
        <w:t> </w:t>
      </w:r>
      <w:r>
        <w:rPr>
          <w:color w:val="3B383A"/>
          <w:spacing w:val="-1"/>
          <w:w w:val="115"/>
        </w:rPr>
        <w:t>phrase</w:t>
      </w:r>
      <w:r>
        <w:rPr>
          <w:color w:val="3B383A"/>
          <w:spacing w:val="-7"/>
          <w:w w:val="115"/>
        </w:rPr>
        <w:t> </w:t>
      </w:r>
      <w:r>
        <w:rPr>
          <w:color w:val="3B383A"/>
          <w:w w:val="115"/>
        </w:rPr>
        <w:t>that</w:t>
      </w:r>
      <w:r>
        <w:rPr>
          <w:color w:val="3B383A"/>
          <w:spacing w:val="-9"/>
          <w:w w:val="115"/>
        </w:rPr>
        <w:t> </w:t>
      </w:r>
      <w:r>
        <w:rPr>
          <w:color w:val="3B383A"/>
          <w:w w:val="115"/>
        </w:rPr>
        <w:t>is</w:t>
      </w:r>
      <w:r>
        <w:rPr>
          <w:color w:val="3B383A"/>
          <w:spacing w:val="-30"/>
          <w:w w:val="115"/>
        </w:rPr>
        <w:t> </w:t>
      </w:r>
      <w:r>
        <w:rPr>
          <w:color w:val="3B383A"/>
          <w:w w:val="115"/>
        </w:rPr>
        <w:t>the</w:t>
      </w:r>
      <w:r>
        <w:rPr>
          <w:color w:val="3B383A"/>
          <w:spacing w:val="-28"/>
          <w:w w:val="115"/>
        </w:rPr>
        <w:t> </w:t>
      </w:r>
      <w:r>
        <w:rPr>
          <w:color w:val="3B383A"/>
          <w:w w:val="115"/>
        </w:rPr>
        <w:t>focus</w:t>
      </w:r>
      <w:r>
        <w:rPr>
          <w:color w:val="3B383A"/>
          <w:spacing w:val="-19"/>
          <w:w w:val="115"/>
        </w:rPr>
        <w:t> </w:t>
      </w:r>
      <w:r>
        <w:rPr>
          <w:color w:val="3B383A"/>
          <w:w w:val="115"/>
        </w:rPr>
        <w:t>of</w:t>
      </w:r>
      <w:r>
        <w:rPr>
          <w:color w:val="3B383A"/>
          <w:spacing w:val="17"/>
          <w:w w:val="115"/>
        </w:rPr>
        <w:t> </w:t>
      </w:r>
      <w:r>
        <w:rPr>
          <w:color w:val="3B383A"/>
          <w:w w:val="115"/>
        </w:rPr>
        <w:t>that</w:t>
      </w:r>
      <w:r>
        <w:rPr>
          <w:color w:val="3B383A"/>
          <w:spacing w:val="-12"/>
          <w:w w:val="115"/>
        </w:rPr>
        <w:t> </w:t>
      </w:r>
      <w:r>
        <w:rPr>
          <w:color w:val="3B383A"/>
          <w:w w:val="115"/>
        </w:rPr>
        <w:t>section</w:t>
      </w:r>
      <w:r>
        <w:rPr>
          <w:color w:val="3B383A"/>
          <w:spacing w:val="-8"/>
          <w:w w:val="115"/>
        </w:rPr>
        <w:t> </w:t>
      </w:r>
      <w:r>
        <w:rPr>
          <w:color w:val="3B383A"/>
          <w:w w:val="115"/>
        </w:rPr>
        <w:t>of</w:t>
      </w:r>
      <w:r>
        <w:rPr>
          <w:color w:val="3B383A"/>
          <w:spacing w:val="9"/>
          <w:w w:val="115"/>
        </w:rPr>
        <w:t> </w:t>
      </w:r>
      <w:r>
        <w:rPr>
          <w:color w:val="3B383A"/>
          <w:w w:val="115"/>
        </w:rPr>
        <w:t>the</w:t>
      </w:r>
      <w:r>
        <w:rPr>
          <w:color w:val="3B383A"/>
          <w:spacing w:val="26"/>
          <w:w w:val="115"/>
        </w:rPr>
        <w:t> </w:t>
      </w:r>
      <w:r>
        <w:rPr>
          <w:color w:val="3B383A"/>
          <w:w w:val="115"/>
        </w:rPr>
        <w:t>document.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95"/>
        </w:numPr>
        <w:tabs>
          <w:tab w:pos="595" w:val="left" w:leader="none"/>
        </w:tabs>
        <w:spacing w:line="225" w:lineRule="auto" w:before="1" w:after="0"/>
        <w:ind w:left="179" w:right="238" w:firstLine="338"/>
        <w:jc w:val="both"/>
        <w:rPr>
          <w:sz w:val="18"/>
        </w:rPr>
      </w:pPr>
      <w:r>
        <w:rPr>
          <w:i/>
          <w:color w:val="3B383A"/>
          <w:w w:val="95"/>
          <w:sz w:val="18"/>
        </w:rPr>
        <w:t>See, e.g., </w:t>
      </w:r>
      <w:r>
        <w:rPr>
          <w:color w:val="3B383A"/>
          <w:w w:val="95"/>
          <w:sz w:val="18"/>
        </w:rPr>
        <w:t>Geoffrey</w:t>
      </w:r>
      <w:r>
        <w:rPr>
          <w:color w:val="3B383A"/>
          <w:spacing w:val="40"/>
          <w:sz w:val="18"/>
        </w:rPr>
        <w:t> </w:t>
      </w:r>
      <w:r>
        <w:rPr>
          <w:color w:val="3B383A"/>
          <w:w w:val="95"/>
          <w:sz w:val="18"/>
        </w:rPr>
        <w:t>B. Duggan</w:t>
      </w:r>
      <w:r>
        <w:rPr>
          <w:color w:val="3B383A"/>
          <w:spacing w:val="41"/>
          <w:sz w:val="18"/>
        </w:rPr>
        <w:t> </w:t>
      </w:r>
      <w:r>
        <w:rPr>
          <w:rFonts w:ascii="Arial" w:hAnsi="Arial"/>
          <w:color w:val="3B383A"/>
          <w:w w:val="95"/>
          <w:sz w:val="16"/>
        </w:rPr>
        <w:t>&amp;. </w:t>
      </w:r>
      <w:r>
        <w:rPr>
          <w:color w:val="3B383A"/>
          <w:w w:val="95"/>
          <w:sz w:val="18"/>
        </w:rPr>
        <w:t>St</w:t>
      </w:r>
      <w:r>
        <w:rPr>
          <w:color w:val="595759"/>
          <w:w w:val="95"/>
          <w:sz w:val="18"/>
        </w:rPr>
        <w:t>e</w:t>
      </w:r>
      <w:r>
        <w:rPr>
          <w:color w:val="3B383A"/>
          <w:w w:val="95"/>
          <w:sz w:val="18"/>
        </w:rPr>
        <w:t>phen </w:t>
      </w:r>
      <w:r>
        <w:rPr>
          <w:color w:val="3B383A"/>
          <w:w w:val="95"/>
          <w:sz w:val="19"/>
        </w:rPr>
        <w:t>J.</w:t>
      </w:r>
      <w:r>
        <w:rPr>
          <w:color w:val="3B383A"/>
          <w:spacing w:val="42"/>
          <w:sz w:val="19"/>
        </w:rPr>
        <w:t> </w:t>
      </w:r>
      <w:r>
        <w:rPr>
          <w:color w:val="3B383A"/>
          <w:w w:val="95"/>
          <w:sz w:val="18"/>
        </w:rPr>
        <w:t>Payne</w:t>
      </w:r>
      <w:r>
        <w:rPr>
          <w:color w:val="595759"/>
          <w:w w:val="95"/>
          <w:sz w:val="18"/>
        </w:rPr>
        <w:t>, </w:t>
      </w:r>
      <w:r>
        <w:rPr>
          <w:i/>
          <w:color w:val="3B383A"/>
          <w:w w:val="95"/>
          <w:sz w:val="17"/>
        </w:rPr>
        <w:t>Skim </w:t>
      </w:r>
      <w:r>
        <w:rPr>
          <w:i/>
          <w:color w:val="3B383A"/>
          <w:w w:val="95"/>
          <w:sz w:val="18"/>
        </w:rPr>
        <w:t>Reaclin_i: </w:t>
      </w:r>
      <w:r>
        <w:rPr>
          <w:i/>
          <w:color w:val="3B383A"/>
          <w:w w:val="95"/>
          <w:sz w:val="17"/>
        </w:rPr>
        <w:t>by</w:t>
      </w:r>
      <w:r>
        <w:rPr>
          <w:i/>
          <w:color w:val="3B383A"/>
          <w:spacing w:val="79"/>
          <w:sz w:val="17"/>
        </w:rPr>
        <w:t> </w:t>
      </w:r>
      <w:r>
        <w:rPr>
          <w:i/>
          <w:color w:val="3B383A"/>
          <w:w w:val="95"/>
          <w:sz w:val="17"/>
        </w:rPr>
        <w:t>Sc1tis(ici11g: </w:t>
      </w:r>
      <w:r>
        <w:rPr>
          <w:i/>
          <w:color w:val="3B383A"/>
          <w:w w:val="95"/>
          <w:sz w:val="18"/>
        </w:rPr>
        <w:t>Evidenc</w:t>
      </w:r>
      <w:r>
        <w:rPr>
          <w:i/>
          <w:color w:val="595759"/>
          <w:w w:val="95"/>
          <w:sz w:val="18"/>
        </w:rPr>
        <w:t>e </w:t>
      </w:r>
      <w:r>
        <w:rPr>
          <w:color w:val="3B383A"/>
          <w:w w:val="95"/>
          <w:sz w:val="18"/>
        </w:rPr>
        <w:t>from</w:t>
      </w:r>
      <w:r>
        <w:rPr>
          <w:color w:val="3B383A"/>
          <w:spacing w:val="1"/>
          <w:w w:val="95"/>
          <w:sz w:val="18"/>
        </w:rPr>
        <w:t> </w:t>
      </w:r>
      <w:r>
        <w:rPr>
          <w:i/>
          <w:color w:val="3B383A"/>
          <w:w w:val="105"/>
          <w:sz w:val="17"/>
        </w:rPr>
        <w:t>Eye Tra</w:t>
      </w:r>
      <w:r>
        <w:rPr>
          <w:i/>
          <w:color w:val="595759"/>
          <w:w w:val="105"/>
          <w:sz w:val="17"/>
        </w:rPr>
        <w:t>c</w:t>
      </w:r>
      <w:r>
        <w:rPr>
          <w:i/>
          <w:color w:val="3B383A"/>
          <w:w w:val="105"/>
          <w:sz w:val="17"/>
        </w:rPr>
        <w:t>ki11</w:t>
      </w:r>
      <w:r>
        <w:rPr>
          <w:i/>
          <w:color w:val="595759"/>
          <w:w w:val="105"/>
          <w:sz w:val="17"/>
        </w:rPr>
        <w:t>g</w:t>
      </w:r>
      <w:r>
        <w:rPr>
          <w:i/>
          <w:color w:val="3B383A"/>
          <w:w w:val="105"/>
          <w:sz w:val="17"/>
        </w:rPr>
        <w:t>, </w:t>
      </w:r>
      <w:r>
        <w:rPr>
          <w:color w:val="3B383A"/>
          <w:w w:val="105"/>
          <w:sz w:val="18"/>
        </w:rPr>
        <w:t>Pro</w:t>
      </w:r>
      <w:r>
        <w:rPr>
          <w:color w:val="595759"/>
          <w:w w:val="105"/>
          <w:sz w:val="18"/>
        </w:rPr>
        <w:t>cee</w:t>
      </w:r>
      <w:r>
        <w:rPr>
          <w:color w:val="3B383A"/>
          <w:w w:val="105"/>
          <w:sz w:val="18"/>
        </w:rPr>
        <w:t>dings of the SIGCHI Conference on</w:t>
      </w:r>
      <w:r>
        <w:rPr>
          <w:color w:val="3B383A"/>
          <w:spacing w:val="1"/>
          <w:w w:val="105"/>
          <w:sz w:val="18"/>
        </w:rPr>
        <w:t> </w:t>
      </w:r>
      <w:r>
        <w:rPr>
          <w:color w:val="3B383A"/>
          <w:w w:val="105"/>
          <w:sz w:val="18"/>
        </w:rPr>
        <w:t>Human Factors In Computing S</w:t>
      </w:r>
      <w:r>
        <w:rPr>
          <w:color w:val="595759"/>
          <w:w w:val="105"/>
          <w:sz w:val="18"/>
        </w:rPr>
        <w:t>y</w:t>
      </w:r>
      <w:r>
        <w:rPr>
          <w:color w:val="3B383A"/>
          <w:w w:val="105"/>
          <w:sz w:val="18"/>
        </w:rPr>
        <w:t>stems</w:t>
      </w:r>
      <w:r>
        <w:rPr>
          <w:color w:val="3B383A"/>
          <w:spacing w:val="1"/>
          <w:w w:val="105"/>
          <w:sz w:val="18"/>
        </w:rPr>
        <w:t> </w:t>
      </w:r>
      <w:r>
        <w:rPr>
          <w:color w:val="3B383A"/>
          <w:w w:val="105"/>
          <w:sz w:val="18"/>
        </w:rPr>
        <w:t>1141-50</w:t>
      </w:r>
      <w:r>
        <w:rPr>
          <w:color w:val="595759"/>
          <w:w w:val="105"/>
          <w:sz w:val="18"/>
        </w:rPr>
        <w:t>, 1</w:t>
      </w:r>
      <w:r>
        <w:rPr>
          <w:color w:val="3B383A"/>
          <w:w w:val="105"/>
          <w:sz w:val="18"/>
        </w:rPr>
        <w:t>147 (2011</w:t>
      </w:r>
      <w:r>
        <w:rPr>
          <w:color w:val="595759"/>
          <w:w w:val="105"/>
          <w:sz w:val="18"/>
        </w:rPr>
        <w:t>) </w:t>
      </w:r>
      <w:r>
        <w:rPr>
          <w:color w:val="3B383A"/>
          <w:w w:val="105"/>
          <w:sz w:val="18"/>
        </w:rPr>
        <w:t>(agre</w:t>
      </w:r>
      <w:r>
        <w:rPr>
          <w:color w:val="595759"/>
          <w:w w:val="105"/>
          <w:sz w:val="18"/>
        </w:rPr>
        <w:t>e</w:t>
      </w:r>
      <w:r>
        <w:rPr>
          <w:color w:val="3B383A"/>
          <w:w w:val="105"/>
          <w:sz w:val="18"/>
        </w:rPr>
        <w:t>ing with a conclusion about </w:t>
      </w:r>
      <w:r>
        <w:rPr>
          <w:color w:val="595759"/>
          <w:w w:val="105"/>
          <w:sz w:val="18"/>
        </w:rPr>
        <w:t>e</w:t>
      </w:r>
      <w:r>
        <w:rPr>
          <w:color w:val="3B383A"/>
          <w:w w:val="105"/>
          <w:sz w:val="18"/>
        </w:rPr>
        <w:t>ye-tracking studies </w:t>
      </w:r>
      <w:r>
        <w:rPr>
          <w:color w:val="595759"/>
          <w:w w:val="105"/>
          <w:sz w:val="18"/>
        </w:rPr>
        <w:t>s</w:t>
      </w:r>
      <w:r>
        <w:rPr>
          <w:color w:val="3B383A"/>
          <w:w w:val="105"/>
          <w:sz w:val="18"/>
        </w:rPr>
        <w:t>howing that </w:t>
      </w:r>
      <w:r>
        <w:rPr>
          <w:color w:val="595759"/>
          <w:w w:val="105"/>
          <w:sz w:val="18"/>
        </w:rPr>
        <w:t>"</w:t>
      </w:r>
      <w:r>
        <w:rPr>
          <w:color w:val="3B383A"/>
          <w:w w:val="105"/>
          <w:sz w:val="18"/>
        </w:rPr>
        <w:t>skim­</w:t>
      </w:r>
      <w:r>
        <w:rPr>
          <w:color w:val="3B383A"/>
          <w:spacing w:val="1"/>
          <w:w w:val="105"/>
          <w:sz w:val="18"/>
        </w:rPr>
        <w:t> </w:t>
      </w:r>
      <w:r>
        <w:rPr>
          <w:color w:val="3B383A"/>
          <w:w w:val="105"/>
          <w:sz w:val="18"/>
        </w:rPr>
        <w:t>mers</w:t>
      </w:r>
      <w:r>
        <w:rPr>
          <w:color w:val="3B383A"/>
          <w:spacing w:val="14"/>
          <w:w w:val="105"/>
          <w:sz w:val="18"/>
        </w:rPr>
        <w:t> </w:t>
      </w:r>
      <w:r>
        <w:rPr>
          <w:color w:val="3B383A"/>
          <w:w w:val="105"/>
          <w:sz w:val="18"/>
        </w:rPr>
        <w:t>begin</w:t>
      </w:r>
      <w:r>
        <w:rPr>
          <w:color w:val="3B383A"/>
          <w:spacing w:val="25"/>
          <w:w w:val="105"/>
          <w:sz w:val="18"/>
        </w:rPr>
        <w:t> </w:t>
      </w:r>
      <w:r>
        <w:rPr>
          <w:color w:val="3B383A"/>
          <w:w w:val="105"/>
          <w:sz w:val="18"/>
        </w:rPr>
        <w:t>every</w:t>
      </w:r>
      <w:r>
        <w:rPr>
          <w:color w:val="3B383A"/>
          <w:spacing w:val="23"/>
          <w:w w:val="105"/>
          <w:sz w:val="18"/>
        </w:rPr>
        <w:t> </w:t>
      </w:r>
      <w:r>
        <w:rPr>
          <w:color w:val="3B383A"/>
          <w:w w:val="105"/>
          <w:sz w:val="18"/>
        </w:rPr>
        <w:t>paragraph</w:t>
      </w:r>
      <w:r>
        <w:rPr>
          <w:color w:val="3B383A"/>
          <w:spacing w:val="20"/>
          <w:w w:val="105"/>
          <w:sz w:val="18"/>
        </w:rPr>
        <w:t> </w:t>
      </w:r>
      <w:r>
        <w:rPr>
          <w:color w:val="3B383A"/>
          <w:w w:val="105"/>
          <w:sz w:val="18"/>
        </w:rPr>
        <w:t>and </w:t>
      </w:r>
      <w:r>
        <w:rPr>
          <w:color w:val="3B383A"/>
          <w:spacing w:val="1"/>
          <w:w w:val="105"/>
          <w:sz w:val="18"/>
        </w:rPr>
        <w:t> </w:t>
      </w:r>
      <w:r>
        <w:rPr>
          <w:color w:val="3B383A"/>
          <w:w w:val="105"/>
          <w:sz w:val="18"/>
        </w:rPr>
        <w:t>continue</w:t>
      </w:r>
      <w:r>
        <w:rPr>
          <w:color w:val="3B383A"/>
          <w:spacing w:val="37"/>
          <w:w w:val="105"/>
          <w:sz w:val="18"/>
        </w:rPr>
        <w:t> </w:t>
      </w:r>
      <w:r>
        <w:rPr>
          <w:color w:val="3B383A"/>
          <w:w w:val="105"/>
          <w:sz w:val="18"/>
        </w:rPr>
        <w:t>reading</w:t>
      </w:r>
      <w:r>
        <w:rPr>
          <w:color w:val="3B383A"/>
          <w:spacing w:val="22"/>
          <w:w w:val="105"/>
          <w:sz w:val="18"/>
        </w:rPr>
        <w:t> </w:t>
      </w:r>
      <w:r>
        <w:rPr>
          <w:color w:val="3B383A"/>
          <w:w w:val="105"/>
          <w:sz w:val="18"/>
        </w:rPr>
        <w:t>until</w:t>
      </w:r>
      <w:r>
        <w:rPr>
          <w:color w:val="3B383A"/>
          <w:spacing w:val="10"/>
          <w:w w:val="105"/>
          <w:sz w:val="18"/>
        </w:rPr>
        <w:t> </w:t>
      </w:r>
      <w:r>
        <w:rPr>
          <w:color w:val="3B383A"/>
          <w:w w:val="105"/>
          <w:sz w:val="18"/>
        </w:rPr>
        <w:t>the</w:t>
      </w:r>
      <w:r>
        <w:rPr>
          <w:color w:val="3B383A"/>
          <w:spacing w:val="38"/>
          <w:w w:val="105"/>
          <w:sz w:val="18"/>
        </w:rPr>
        <w:t> </w:t>
      </w:r>
      <w:r>
        <w:rPr>
          <w:color w:val="3B383A"/>
          <w:w w:val="105"/>
          <w:sz w:val="18"/>
        </w:rPr>
        <w:t>rate</w:t>
      </w:r>
      <w:r>
        <w:rPr>
          <w:color w:val="3B383A"/>
          <w:spacing w:val="16"/>
          <w:w w:val="105"/>
          <w:sz w:val="18"/>
        </w:rPr>
        <w:t> </w:t>
      </w:r>
      <w:r>
        <w:rPr>
          <w:color w:val="3B383A"/>
          <w:w w:val="105"/>
          <w:sz w:val="18"/>
        </w:rPr>
        <w:t>of</w:t>
      </w:r>
      <w:r>
        <w:rPr>
          <w:color w:val="3B383A"/>
          <w:spacing w:val="37"/>
          <w:w w:val="105"/>
          <w:sz w:val="18"/>
        </w:rPr>
        <w:t> </w:t>
      </w:r>
      <w:r>
        <w:rPr>
          <w:color w:val="3B383A"/>
          <w:w w:val="105"/>
          <w:sz w:val="18"/>
        </w:rPr>
        <w:t>Information</w:t>
      </w:r>
      <w:r>
        <w:rPr>
          <w:color w:val="3B383A"/>
          <w:spacing w:val="38"/>
          <w:w w:val="105"/>
          <w:sz w:val="18"/>
        </w:rPr>
        <w:t> </w:t>
      </w:r>
      <w:r>
        <w:rPr>
          <w:color w:val="3B383A"/>
          <w:w w:val="105"/>
          <w:sz w:val="18"/>
        </w:rPr>
        <w:t>gain</w:t>
      </w:r>
      <w:r>
        <w:rPr>
          <w:color w:val="3B383A"/>
          <w:spacing w:val="23"/>
          <w:w w:val="105"/>
          <w:sz w:val="18"/>
        </w:rPr>
        <w:t> </w:t>
      </w:r>
      <w:r>
        <w:rPr>
          <w:color w:val="3B383A"/>
          <w:w w:val="105"/>
          <w:sz w:val="18"/>
        </w:rPr>
        <w:t>drops</w:t>
      </w:r>
      <w:r>
        <w:rPr>
          <w:color w:val="3B383A"/>
          <w:spacing w:val="14"/>
          <w:w w:val="105"/>
          <w:sz w:val="18"/>
        </w:rPr>
        <w:t> </w:t>
      </w:r>
      <w:r>
        <w:rPr>
          <w:color w:val="3B383A"/>
          <w:w w:val="105"/>
          <w:sz w:val="18"/>
        </w:rPr>
        <w:t>below</w:t>
      </w:r>
      <w:r>
        <w:rPr>
          <w:color w:val="3B383A"/>
          <w:spacing w:val="1"/>
          <w:w w:val="105"/>
          <w:sz w:val="18"/>
        </w:rPr>
        <w:t> </w:t>
      </w:r>
      <w:r>
        <w:rPr>
          <w:color w:val="3B383A"/>
          <w:w w:val="105"/>
          <w:sz w:val="18"/>
        </w:rPr>
        <w:t>a</w:t>
      </w:r>
      <w:r>
        <w:rPr>
          <w:color w:val="3B383A"/>
          <w:spacing w:val="-9"/>
          <w:w w:val="105"/>
          <w:sz w:val="18"/>
        </w:rPr>
        <w:t> </w:t>
      </w:r>
      <w:r>
        <w:rPr>
          <w:color w:val="3B383A"/>
          <w:w w:val="105"/>
          <w:sz w:val="18"/>
        </w:rPr>
        <w:t>threshold</w:t>
      </w:r>
      <w:r>
        <w:rPr>
          <w:color w:val="3B383A"/>
          <w:spacing w:val="20"/>
          <w:w w:val="105"/>
          <w:sz w:val="18"/>
        </w:rPr>
        <w:t> </w:t>
      </w:r>
      <w:r>
        <w:rPr>
          <w:color w:val="3B383A"/>
          <w:w w:val="105"/>
          <w:sz w:val="18"/>
        </w:rPr>
        <w:t>whereupon</w:t>
      </w:r>
      <w:r>
        <w:rPr>
          <w:color w:val="3B383A"/>
          <w:spacing w:val="21"/>
          <w:w w:val="105"/>
          <w:sz w:val="18"/>
        </w:rPr>
        <w:t> </w:t>
      </w:r>
      <w:r>
        <w:rPr>
          <w:color w:val="3B383A"/>
          <w:w w:val="105"/>
          <w:sz w:val="18"/>
        </w:rPr>
        <w:t>they</w:t>
      </w:r>
      <w:r>
        <w:rPr>
          <w:color w:val="3B383A"/>
          <w:spacing w:val="-9"/>
          <w:w w:val="105"/>
          <w:sz w:val="18"/>
        </w:rPr>
        <w:t> </w:t>
      </w:r>
      <w:r>
        <w:rPr>
          <w:color w:val="3B383A"/>
          <w:w w:val="105"/>
          <w:sz w:val="18"/>
        </w:rPr>
        <w:t>skip</w:t>
      </w:r>
      <w:r>
        <w:rPr>
          <w:color w:val="3B383A"/>
          <w:spacing w:val="-10"/>
          <w:w w:val="105"/>
          <w:sz w:val="18"/>
        </w:rPr>
        <w:t> </w:t>
      </w:r>
      <w:r>
        <w:rPr>
          <w:color w:val="3B383A"/>
          <w:w w:val="105"/>
          <w:sz w:val="18"/>
        </w:rPr>
        <w:t>to</w:t>
      </w:r>
      <w:r>
        <w:rPr>
          <w:color w:val="3B383A"/>
          <w:spacing w:val="13"/>
          <w:w w:val="105"/>
          <w:sz w:val="18"/>
        </w:rPr>
        <w:t> </w:t>
      </w:r>
      <w:r>
        <w:rPr>
          <w:color w:val="3B383A"/>
          <w:w w:val="105"/>
          <w:sz w:val="18"/>
        </w:rPr>
        <w:t>the</w:t>
      </w:r>
      <w:r>
        <w:rPr>
          <w:color w:val="3B383A"/>
          <w:spacing w:val="21"/>
          <w:w w:val="105"/>
          <w:sz w:val="18"/>
        </w:rPr>
        <w:t> </w:t>
      </w:r>
      <w:r>
        <w:rPr>
          <w:color w:val="3B383A"/>
          <w:w w:val="105"/>
          <w:sz w:val="18"/>
        </w:rPr>
        <w:t>beginning</w:t>
      </w:r>
      <w:r>
        <w:rPr>
          <w:color w:val="3B383A"/>
          <w:spacing w:val="-1"/>
          <w:w w:val="105"/>
          <w:sz w:val="18"/>
        </w:rPr>
        <w:t> </w:t>
      </w:r>
      <w:r>
        <w:rPr>
          <w:color w:val="3B383A"/>
          <w:w w:val="105"/>
          <w:sz w:val="18"/>
        </w:rPr>
        <w:t>of</w:t>
      </w:r>
      <w:r>
        <w:rPr>
          <w:color w:val="3B383A"/>
          <w:spacing w:val="17"/>
          <w:w w:val="105"/>
          <w:sz w:val="18"/>
        </w:rPr>
        <w:t> </w:t>
      </w:r>
      <w:r>
        <w:rPr>
          <w:color w:val="3B383A"/>
          <w:w w:val="105"/>
          <w:sz w:val="18"/>
        </w:rPr>
        <w:t>the</w:t>
      </w:r>
      <w:r>
        <w:rPr>
          <w:color w:val="3B383A"/>
          <w:spacing w:val="23"/>
          <w:w w:val="105"/>
          <w:sz w:val="18"/>
        </w:rPr>
        <w:t> </w:t>
      </w:r>
      <w:r>
        <w:rPr>
          <w:color w:val="3B383A"/>
          <w:w w:val="105"/>
          <w:sz w:val="18"/>
        </w:rPr>
        <w:t>next</w:t>
      </w:r>
      <w:r>
        <w:rPr>
          <w:color w:val="3B383A"/>
          <w:spacing w:val="15"/>
          <w:w w:val="105"/>
          <w:sz w:val="18"/>
        </w:rPr>
        <w:t> </w:t>
      </w:r>
      <w:r>
        <w:rPr>
          <w:color w:val="3B383A"/>
          <w:w w:val="105"/>
          <w:sz w:val="18"/>
        </w:rPr>
        <w:t>paragraph").</w:t>
      </w:r>
    </w:p>
    <w:p>
      <w:pPr>
        <w:spacing w:after="0" w:line="225" w:lineRule="auto"/>
        <w:jc w:val="both"/>
        <w:rPr>
          <w:sz w:val="18"/>
        </w:rPr>
        <w:sectPr>
          <w:pgSz w:w="9760" w:h="14020"/>
          <w:pgMar w:header="665" w:footer="0" w:top="1240" w:bottom="280" w:left="320" w:right="1360"/>
        </w:sectPr>
      </w:pPr>
    </w:p>
    <w:p>
      <w:pPr>
        <w:pStyle w:val="BodyText"/>
        <w:spacing w:line="230" w:lineRule="auto" w:before="89"/>
        <w:ind w:left="830" w:right="102" w:firstLine="395"/>
        <w:jc w:val="both"/>
      </w:pPr>
      <w:r>
        <w:rPr>
          <w:color w:val="383638"/>
          <w:w w:val="110"/>
        </w:rPr>
        <w:t>Only rarely is it appropriate to use words other than the phrase-that­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05"/>
        </w:rPr>
        <w:t>pays to show the paragraph's focus on the key topic. In the example below,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from a section of a </w:t>
      </w:r>
      <w:r>
        <w:rPr>
          <w:i/>
          <w:color w:val="383638"/>
          <w:w w:val="105"/>
          <w:sz w:val="24"/>
        </w:rPr>
        <w:t>Minnesota v. Carter </w:t>
      </w:r>
      <w:r>
        <w:rPr>
          <w:color w:val="383638"/>
          <w:w w:val="105"/>
        </w:rPr>
        <w:t>petitioner's brief, the writer was</w:t>
      </w:r>
      <w:r>
        <w:rPr>
          <w:color w:val="383638"/>
          <w:spacing w:val="1"/>
          <w:w w:val="105"/>
        </w:rPr>
        <w:t> </w:t>
      </w:r>
      <w:r>
        <w:rPr>
          <w:color w:val="383638"/>
          <w:spacing w:val="-1"/>
          <w:w w:val="110"/>
        </w:rPr>
        <w:t>arguing</w:t>
      </w:r>
      <w:r>
        <w:rPr>
          <w:color w:val="383638"/>
          <w:spacing w:val="-16"/>
          <w:w w:val="110"/>
        </w:rPr>
        <w:t> </w:t>
      </w:r>
      <w:r>
        <w:rPr>
          <w:color w:val="383638"/>
          <w:spacing w:val="-1"/>
          <w:w w:val="110"/>
        </w:rPr>
        <w:t>that</w:t>
      </w:r>
      <w:r>
        <w:rPr>
          <w:color w:val="383638"/>
          <w:spacing w:val="-18"/>
          <w:w w:val="110"/>
        </w:rPr>
        <w:t> </w:t>
      </w:r>
      <w:r>
        <w:rPr>
          <w:color w:val="383638"/>
          <w:spacing w:val="-1"/>
          <w:w w:val="110"/>
        </w:rPr>
        <w:t>the</w:t>
      </w:r>
      <w:r>
        <w:rPr>
          <w:color w:val="383638"/>
          <w:spacing w:val="-20"/>
          <w:w w:val="110"/>
        </w:rPr>
        <w:t> </w:t>
      </w:r>
      <w:r>
        <w:rPr>
          <w:color w:val="383638"/>
          <w:spacing w:val="-1"/>
          <w:w w:val="110"/>
        </w:rPr>
        <w:t>respondents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did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not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have</w:t>
      </w:r>
      <w:r>
        <w:rPr>
          <w:color w:val="383638"/>
          <w:spacing w:val="-32"/>
          <w:w w:val="110"/>
        </w:rPr>
        <w:t> </w:t>
      </w:r>
      <w:r>
        <w:rPr>
          <w:color w:val="383638"/>
          <w:w w:val="110"/>
        </w:rPr>
        <w:t>an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expectation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privacy</w:t>
      </w:r>
      <w:r>
        <w:rPr>
          <w:color w:val="383638"/>
          <w:spacing w:val="-21"/>
          <w:w w:val="110"/>
        </w:rPr>
        <w:t> </w:t>
      </w:r>
      <w:r>
        <w:rPr>
          <w:color w:val="383638"/>
          <w:w w:val="110"/>
          <w:sz w:val="22"/>
        </w:rPr>
        <w:t>in</w:t>
      </w:r>
      <w:r>
        <w:rPr>
          <w:color w:val="383638"/>
          <w:spacing w:val="-13"/>
          <w:w w:val="110"/>
          <w:sz w:val="22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61"/>
          <w:w w:val="110"/>
        </w:rPr>
        <w:t> </w:t>
      </w:r>
      <w:r>
        <w:rPr>
          <w:color w:val="383638"/>
          <w:spacing w:val="-1"/>
          <w:w w:val="110"/>
        </w:rPr>
        <w:t>apartment</w:t>
      </w:r>
      <w:r>
        <w:rPr>
          <w:color w:val="383638"/>
          <w:spacing w:val="-16"/>
          <w:w w:val="110"/>
        </w:rPr>
        <w:t> </w:t>
      </w:r>
      <w:r>
        <w:rPr>
          <w:color w:val="383638"/>
          <w:spacing w:val="-1"/>
          <w:w w:val="110"/>
        </w:rPr>
        <w:t>in</w:t>
      </w:r>
      <w:r>
        <w:rPr>
          <w:color w:val="383638"/>
          <w:spacing w:val="2"/>
          <w:w w:val="110"/>
        </w:rPr>
        <w:t> </w:t>
      </w:r>
      <w:r>
        <w:rPr>
          <w:color w:val="383638"/>
          <w:spacing w:val="-1"/>
          <w:w w:val="110"/>
        </w:rPr>
        <w:t>which</w:t>
      </w:r>
      <w:r>
        <w:rPr>
          <w:color w:val="383638"/>
          <w:spacing w:val="2"/>
          <w:w w:val="110"/>
        </w:rPr>
        <w:t> </w:t>
      </w:r>
      <w:r>
        <w:rPr>
          <w:color w:val="383638"/>
          <w:spacing w:val="-1"/>
          <w:w w:val="110"/>
        </w:rPr>
        <w:t>they</w:t>
      </w:r>
      <w:r>
        <w:rPr>
          <w:color w:val="383638"/>
          <w:spacing w:val="-20"/>
          <w:w w:val="110"/>
        </w:rPr>
        <w:t> </w:t>
      </w:r>
      <w:r>
        <w:rPr>
          <w:color w:val="383638"/>
          <w:spacing w:val="-1"/>
          <w:w w:val="110"/>
        </w:rPr>
        <w:t>were</w:t>
      </w:r>
      <w:r>
        <w:rPr>
          <w:color w:val="383638"/>
          <w:spacing w:val="-11"/>
          <w:w w:val="110"/>
        </w:rPr>
        <w:t> </w:t>
      </w:r>
      <w:r>
        <w:rPr>
          <w:color w:val="383638"/>
          <w:spacing w:val="-1"/>
          <w:w w:val="110"/>
        </w:rPr>
        <w:t>bagging</w:t>
      </w:r>
      <w:r>
        <w:rPr>
          <w:color w:val="383638"/>
          <w:spacing w:val="-19"/>
          <w:w w:val="110"/>
        </w:rPr>
        <w:t> </w:t>
      </w:r>
      <w:r>
        <w:rPr>
          <w:color w:val="383638"/>
          <w:spacing w:val="-1"/>
          <w:w w:val="110"/>
        </w:rPr>
        <w:t>drugs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because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they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were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there</w:t>
      </w:r>
      <w:r>
        <w:rPr>
          <w:color w:val="383638"/>
          <w:spacing w:val="-40"/>
          <w:w w:val="110"/>
        </w:rPr>
        <w:t> </w:t>
      </w:r>
      <w:r>
        <w:rPr>
          <w:color w:val="383638"/>
          <w:w w:val="110"/>
          <w:sz w:val="21"/>
        </w:rPr>
        <w:t>only</w:t>
      </w:r>
      <w:r>
        <w:rPr>
          <w:color w:val="383638"/>
          <w:spacing w:val="-56"/>
          <w:w w:val="110"/>
          <w:sz w:val="21"/>
        </w:rPr>
        <w:t> </w:t>
      </w:r>
      <w:r>
        <w:rPr>
          <w:color w:val="383638"/>
          <w:w w:val="105"/>
        </w:rPr>
        <w:t>for a commercial purpose, so "commercial purpose" was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phrase-that­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pays. In the list of topic sentences below, the words "commercial purpose"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or</w:t>
      </w:r>
      <w:r>
        <w:rPr>
          <w:color w:val="383638"/>
          <w:spacing w:val="28"/>
          <w:w w:val="105"/>
        </w:rPr>
        <w:t> </w:t>
      </w:r>
      <w:r>
        <w:rPr>
          <w:color w:val="383638"/>
          <w:w w:val="105"/>
        </w:rPr>
        <w:t>their</w:t>
      </w:r>
      <w:r>
        <w:rPr>
          <w:color w:val="383638"/>
          <w:spacing w:val="-12"/>
          <w:w w:val="105"/>
        </w:rPr>
        <w:t> </w:t>
      </w:r>
      <w:r>
        <w:rPr>
          <w:color w:val="383638"/>
          <w:w w:val="105"/>
        </w:rPr>
        <w:t>substitutes</w:t>
      </w:r>
      <w:r>
        <w:rPr>
          <w:color w:val="383638"/>
          <w:spacing w:val="-11"/>
          <w:w w:val="105"/>
        </w:rPr>
        <w:t> </w:t>
      </w:r>
      <w:r>
        <w:rPr>
          <w:color w:val="383638"/>
          <w:w w:val="105"/>
        </w:rPr>
        <w:t>are</w:t>
      </w:r>
      <w:r>
        <w:rPr>
          <w:color w:val="383638"/>
          <w:spacing w:val="5"/>
          <w:w w:val="105"/>
        </w:rPr>
        <w:t> </w:t>
      </w:r>
      <w:r>
        <w:rPr>
          <w:color w:val="383638"/>
          <w:w w:val="105"/>
          <w:sz w:val="21"/>
        </w:rPr>
        <w:t>in</w:t>
      </w:r>
      <w:r>
        <w:rPr>
          <w:color w:val="383638"/>
          <w:spacing w:val="48"/>
          <w:w w:val="105"/>
          <w:sz w:val="21"/>
        </w:rPr>
        <w:t> </w:t>
      </w:r>
      <w:r>
        <w:rPr>
          <w:color w:val="383638"/>
          <w:w w:val="105"/>
        </w:rPr>
        <w:t>boldfaced</w:t>
      </w:r>
      <w:r>
        <w:rPr>
          <w:color w:val="383638"/>
          <w:spacing w:val="15"/>
          <w:w w:val="105"/>
        </w:rPr>
        <w:t> </w:t>
      </w:r>
      <w:r>
        <w:rPr>
          <w:color w:val="383638"/>
          <w:w w:val="105"/>
        </w:rPr>
        <w:t>type.</w:t>
      </w:r>
    </w:p>
    <w:p>
      <w:pPr>
        <w:spacing w:before="135"/>
        <w:ind w:left="1187" w:right="18" w:firstLine="5"/>
        <w:jc w:val="left"/>
        <w:rPr>
          <w:b/>
          <w:sz w:val="20"/>
        </w:rPr>
      </w:pPr>
      <w:r>
        <w:rPr>
          <w:color w:val="383638"/>
          <w:w w:val="105"/>
          <w:sz w:val="21"/>
        </w:rPr>
        <w:t>Respondents</w:t>
      </w:r>
      <w:r>
        <w:rPr>
          <w:color w:val="383638"/>
          <w:spacing w:val="26"/>
          <w:w w:val="105"/>
          <w:sz w:val="21"/>
        </w:rPr>
        <w:t> </w:t>
      </w:r>
      <w:r>
        <w:rPr>
          <w:color w:val="383638"/>
          <w:w w:val="105"/>
          <w:sz w:val="21"/>
        </w:rPr>
        <w:t>were</w:t>
      </w:r>
      <w:r>
        <w:rPr>
          <w:color w:val="383638"/>
          <w:spacing w:val="25"/>
          <w:w w:val="105"/>
          <w:sz w:val="21"/>
        </w:rPr>
        <w:t> </w:t>
      </w:r>
      <w:r>
        <w:rPr>
          <w:color w:val="383638"/>
          <w:w w:val="105"/>
          <w:sz w:val="21"/>
        </w:rPr>
        <w:t>not</w:t>
      </w:r>
      <w:r>
        <w:rPr>
          <w:color w:val="383638"/>
          <w:spacing w:val="24"/>
          <w:w w:val="105"/>
          <w:sz w:val="21"/>
        </w:rPr>
        <w:t> </w:t>
      </w:r>
      <w:r>
        <w:rPr>
          <w:color w:val="383638"/>
          <w:w w:val="105"/>
          <w:sz w:val="21"/>
        </w:rPr>
        <w:t>present</w:t>
      </w:r>
      <w:r>
        <w:rPr>
          <w:color w:val="383638"/>
          <w:spacing w:val="34"/>
          <w:w w:val="105"/>
          <w:sz w:val="21"/>
        </w:rPr>
        <w:t> </w:t>
      </w:r>
      <w:r>
        <w:rPr>
          <w:color w:val="383638"/>
          <w:w w:val="105"/>
          <w:sz w:val="21"/>
        </w:rPr>
        <w:t>in</w:t>
      </w:r>
      <w:r>
        <w:rPr>
          <w:color w:val="383638"/>
          <w:spacing w:val="50"/>
          <w:w w:val="105"/>
          <w:sz w:val="21"/>
        </w:rPr>
        <w:t> </w:t>
      </w:r>
      <w:r>
        <w:rPr>
          <w:color w:val="383638"/>
          <w:w w:val="105"/>
          <w:sz w:val="21"/>
        </w:rPr>
        <w:t>a</w:t>
      </w:r>
      <w:r>
        <w:rPr>
          <w:color w:val="383638"/>
          <w:spacing w:val="33"/>
          <w:w w:val="105"/>
          <w:sz w:val="21"/>
        </w:rPr>
        <w:t> </w:t>
      </w:r>
      <w:r>
        <w:rPr>
          <w:color w:val="383638"/>
          <w:w w:val="105"/>
          <w:sz w:val="21"/>
        </w:rPr>
        <w:t>"home,"</w:t>
      </w:r>
      <w:r>
        <w:rPr>
          <w:color w:val="383638"/>
          <w:spacing w:val="23"/>
          <w:w w:val="105"/>
          <w:sz w:val="21"/>
        </w:rPr>
        <w:t> </w:t>
      </w:r>
      <w:r>
        <w:rPr>
          <w:color w:val="383638"/>
          <w:w w:val="105"/>
          <w:sz w:val="21"/>
        </w:rPr>
        <w:t>but</w:t>
      </w:r>
      <w:r>
        <w:rPr>
          <w:color w:val="383638"/>
          <w:spacing w:val="33"/>
          <w:w w:val="105"/>
          <w:sz w:val="21"/>
        </w:rPr>
        <w:t> </w:t>
      </w:r>
      <w:r>
        <w:rPr>
          <w:color w:val="383638"/>
          <w:w w:val="105"/>
          <w:sz w:val="21"/>
        </w:rPr>
        <w:t>were</w:t>
      </w:r>
      <w:r>
        <w:rPr>
          <w:color w:val="383638"/>
          <w:spacing w:val="19"/>
          <w:w w:val="105"/>
          <w:sz w:val="21"/>
        </w:rPr>
        <w:t> </w:t>
      </w:r>
      <w:r>
        <w:rPr>
          <w:color w:val="383638"/>
          <w:w w:val="105"/>
          <w:sz w:val="21"/>
        </w:rPr>
        <w:t>on</w:t>
      </w:r>
      <w:r>
        <w:rPr>
          <w:color w:val="383638"/>
          <w:spacing w:val="19"/>
          <w:w w:val="105"/>
          <w:sz w:val="21"/>
        </w:rPr>
        <w:t> </w:t>
      </w:r>
      <w:r>
        <w:rPr>
          <w:color w:val="383638"/>
          <w:w w:val="105"/>
          <w:sz w:val="21"/>
        </w:rPr>
        <w:t>property</w:t>
      </w:r>
      <w:r>
        <w:rPr>
          <w:color w:val="383638"/>
          <w:spacing w:val="32"/>
          <w:w w:val="105"/>
          <w:sz w:val="21"/>
        </w:rPr>
        <w:t> </w:t>
      </w:r>
      <w:r>
        <w:rPr>
          <w:color w:val="383638"/>
          <w:w w:val="105"/>
          <w:sz w:val="21"/>
        </w:rPr>
        <w:t>for</w:t>
      </w:r>
      <w:r>
        <w:rPr>
          <w:color w:val="383638"/>
          <w:spacing w:val="-1"/>
          <w:w w:val="105"/>
          <w:sz w:val="21"/>
        </w:rPr>
        <w:t> </w:t>
      </w:r>
      <w:r>
        <w:rPr>
          <w:color w:val="383638"/>
          <w:w w:val="105"/>
          <w:sz w:val="21"/>
        </w:rPr>
        <w:t>a</w:t>
      </w:r>
      <w:r>
        <w:rPr>
          <w:color w:val="383638"/>
          <w:spacing w:val="-53"/>
          <w:w w:val="105"/>
          <w:sz w:val="21"/>
        </w:rPr>
        <w:t> </w:t>
      </w:r>
      <w:r>
        <w:rPr>
          <w:color w:val="383638"/>
          <w:w w:val="110"/>
          <w:sz w:val="21"/>
        </w:rPr>
        <w:t>purely</w:t>
      </w:r>
      <w:r>
        <w:rPr>
          <w:color w:val="383638"/>
          <w:spacing w:val="-20"/>
          <w:w w:val="110"/>
          <w:sz w:val="21"/>
        </w:rPr>
        <w:t> </w:t>
      </w:r>
      <w:r>
        <w:rPr>
          <w:b/>
          <w:color w:val="383638"/>
          <w:w w:val="110"/>
          <w:sz w:val="20"/>
        </w:rPr>
        <w:t>commercial</w:t>
      </w:r>
      <w:r>
        <w:rPr>
          <w:b/>
          <w:color w:val="383638"/>
          <w:spacing w:val="12"/>
          <w:w w:val="110"/>
          <w:sz w:val="20"/>
        </w:rPr>
        <w:t> </w:t>
      </w:r>
      <w:r>
        <w:rPr>
          <w:b/>
          <w:color w:val="383638"/>
          <w:w w:val="110"/>
          <w:sz w:val="20"/>
        </w:rPr>
        <w:t>purpose.</w:t>
      </w:r>
    </w:p>
    <w:p>
      <w:pPr>
        <w:spacing w:before="124"/>
        <w:ind w:left="1165" w:right="413" w:firstLine="352"/>
        <w:jc w:val="both"/>
        <w:rPr>
          <w:sz w:val="21"/>
        </w:rPr>
      </w:pPr>
      <w:r>
        <w:rPr>
          <w:color w:val="383638"/>
          <w:w w:val="110"/>
          <w:sz w:val="21"/>
        </w:rPr>
        <w:t>This Court has recognized that </w:t>
      </w:r>
      <w:r>
        <w:rPr>
          <w:b/>
          <w:color w:val="383638"/>
          <w:w w:val="110"/>
          <w:sz w:val="21"/>
        </w:rPr>
        <w:t>business premises </w:t>
      </w:r>
      <w:r>
        <w:rPr>
          <w:color w:val="383638"/>
          <w:w w:val="110"/>
          <w:sz w:val="21"/>
        </w:rPr>
        <w:t>invite lesser pri­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vacy</w:t>
      </w:r>
      <w:r>
        <w:rPr>
          <w:color w:val="383638"/>
          <w:spacing w:val="-32"/>
          <w:w w:val="110"/>
          <w:sz w:val="21"/>
        </w:rPr>
        <w:t> </w:t>
      </w:r>
      <w:r>
        <w:rPr>
          <w:color w:val="383638"/>
          <w:w w:val="110"/>
          <w:sz w:val="21"/>
        </w:rPr>
        <w:t>expectations</w:t>
      </w:r>
      <w:r>
        <w:rPr>
          <w:color w:val="383638"/>
          <w:spacing w:val="-4"/>
          <w:w w:val="110"/>
          <w:sz w:val="21"/>
        </w:rPr>
        <w:t> </w:t>
      </w:r>
      <w:r>
        <w:rPr>
          <w:color w:val="383638"/>
          <w:w w:val="110"/>
          <w:sz w:val="21"/>
        </w:rPr>
        <w:t>than</w:t>
      </w:r>
      <w:r>
        <w:rPr>
          <w:color w:val="383638"/>
          <w:spacing w:val="-13"/>
          <w:w w:val="110"/>
          <w:sz w:val="21"/>
        </w:rPr>
        <w:t> </w:t>
      </w:r>
      <w:r>
        <w:rPr>
          <w:color w:val="383638"/>
          <w:w w:val="110"/>
          <w:sz w:val="21"/>
        </w:rPr>
        <w:t>do</w:t>
      </w:r>
      <w:r>
        <w:rPr>
          <w:color w:val="383638"/>
          <w:spacing w:val="-5"/>
          <w:w w:val="110"/>
          <w:sz w:val="21"/>
        </w:rPr>
        <w:t> </w:t>
      </w:r>
      <w:r>
        <w:rPr>
          <w:color w:val="383638"/>
          <w:w w:val="110"/>
          <w:sz w:val="21"/>
        </w:rPr>
        <w:t>residences.</w:t>
      </w:r>
    </w:p>
    <w:p>
      <w:pPr>
        <w:tabs>
          <w:tab w:pos="2351" w:val="left" w:leader="none"/>
        </w:tabs>
        <w:spacing w:line="235" w:lineRule="auto" w:before="137"/>
        <w:ind w:left="1129" w:right="420" w:firstLine="379"/>
        <w:jc w:val="both"/>
        <w:rPr>
          <w:sz w:val="21"/>
        </w:rPr>
      </w:pPr>
      <w:r>
        <w:rPr>
          <w:color w:val="383638"/>
          <w:w w:val="110"/>
          <w:sz w:val="21"/>
        </w:rPr>
        <w:t>In</w:t>
        <w:tab/>
        <w:t>this Court held that a defendant who used his home for the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05"/>
          <w:sz w:val="21"/>
        </w:rPr>
        <w:t>felonious </w:t>
      </w:r>
      <w:r>
        <w:rPr>
          <w:b/>
          <w:color w:val="383638"/>
          <w:w w:val="105"/>
          <w:sz w:val="21"/>
        </w:rPr>
        <w:t>sale of narcotics </w:t>
      </w:r>
      <w:r>
        <w:rPr>
          <w:color w:val="383638"/>
          <w:w w:val="105"/>
          <w:sz w:val="21"/>
        </w:rPr>
        <w:t>could not claim a violation of any reasonable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10"/>
          <w:sz w:val="21"/>
        </w:rPr>
        <w:t>expectation of privacy when an undercover officer entered the home to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purchase</w:t>
      </w:r>
      <w:r>
        <w:rPr>
          <w:color w:val="383638"/>
          <w:spacing w:val="-2"/>
          <w:w w:val="110"/>
          <w:sz w:val="21"/>
        </w:rPr>
        <w:t> </w:t>
      </w:r>
      <w:r>
        <w:rPr>
          <w:color w:val="383638"/>
          <w:w w:val="110"/>
          <w:sz w:val="21"/>
        </w:rPr>
        <w:t>marijuana.</w:t>
      </w:r>
    </w:p>
    <w:p>
      <w:pPr>
        <w:spacing w:line="235" w:lineRule="auto" w:before="142"/>
        <w:ind w:left="1101" w:right="424" w:firstLine="362"/>
        <w:jc w:val="both"/>
        <w:rPr>
          <w:sz w:val="21"/>
        </w:rPr>
      </w:pPr>
      <w:r>
        <w:rPr>
          <w:color w:val="383638"/>
          <w:spacing w:val="-1"/>
          <w:w w:val="110"/>
          <w:sz w:val="21"/>
        </w:rPr>
        <w:t>Utilizing the same reasoning, the </w:t>
      </w:r>
      <w:r>
        <w:rPr>
          <w:color w:val="383638"/>
          <w:w w:val="110"/>
          <w:sz w:val="20"/>
        </w:rPr>
        <w:t>D.C. </w:t>
      </w:r>
      <w:r>
        <w:rPr>
          <w:color w:val="383638"/>
          <w:w w:val="110"/>
          <w:sz w:val="21"/>
        </w:rPr>
        <w:t>Circuit held that a visitor who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used another's apartment solely to conduct drug transactions could not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claim</w:t>
      </w:r>
      <w:r>
        <w:rPr>
          <w:color w:val="383638"/>
          <w:spacing w:val="3"/>
          <w:w w:val="110"/>
          <w:sz w:val="21"/>
        </w:rPr>
        <w:t> </w:t>
      </w:r>
      <w:r>
        <w:rPr>
          <w:color w:val="383638"/>
          <w:w w:val="110"/>
          <w:sz w:val="21"/>
        </w:rPr>
        <w:t>Fourth</w:t>
      </w:r>
      <w:r>
        <w:rPr>
          <w:color w:val="383638"/>
          <w:spacing w:val="6"/>
          <w:w w:val="110"/>
          <w:sz w:val="21"/>
        </w:rPr>
        <w:t> </w:t>
      </w:r>
      <w:r>
        <w:rPr>
          <w:color w:val="383638"/>
          <w:w w:val="110"/>
          <w:sz w:val="21"/>
        </w:rPr>
        <w:t>Amendment</w:t>
      </w:r>
      <w:r>
        <w:rPr>
          <w:color w:val="383638"/>
          <w:spacing w:val="2"/>
          <w:w w:val="110"/>
          <w:sz w:val="21"/>
        </w:rPr>
        <w:t> </w:t>
      </w:r>
      <w:r>
        <w:rPr>
          <w:color w:val="383638"/>
          <w:w w:val="110"/>
          <w:sz w:val="21"/>
        </w:rPr>
        <w:t>protection.</w:t>
      </w:r>
    </w:p>
    <w:p>
      <w:pPr>
        <w:spacing w:before="133"/>
        <w:ind w:left="1086" w:right="426" w:firstLine="364"/>
        <w:jc w:val="both"/>
        <w:rPr>
          <w:b/>
          <w:sz w:val="21"/>
        </w:rPr>
      </w:pPr>
      <w:r>
        <w:rPr>
          <w:color w:val="383638"/>
          <w:w w:val="110"/>
          <w:sz w:val="21"/>
        </w:rPr>
        <w:t>In the present case, Respondents, like the defendants in Lewis and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18"/>
        </w:rPr>
        <w:t>HKks., </w:t>
      </w:r>
      <w:r>
        <w:rPr>
          <w:color w:val="383638"/>
          <w:w w:val="110"/>
          <w:sz w:val="21"/>
        </w:rPr>
        <w:t>were present on property for the sole purpose </w:t>
      </w:r>
      <w:r>
        <w:rPr>
          <w:rFonts w:ascii="Arial" w:hAnsi="Arial"/>
          <w:color w:val="383638"/>
          <w:w w:val="110"/>
          <w:sz w:val="19"/>
        </w:rPr>
        <w:t>of </w:t>
      </w:r>
      <w:r>
        <w:rPr>
          <w:color w:val="383638"/>
          <w:w w:val="110"/>
          <w:sz w:val="21"/>
        </w:rPr>
        <w:t>conducting crimi­</w:t>
      </w:r>
      <w:r>
        <w:rPr>
          <w:color w:val="383638"/>
          <w:spacing w:val="-5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nal</w:t>
      </w:r>
      <w:r>
        <w:rPr>
          <w:b/>
          <w:color w:val="383638"/>
          <w:spacing w:val="-1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business.</w:t>
      </w:r>
    </w:p>
    <w:p>
      <w:pPr>
        <w:spacing w:line="232" w:lineRule="auto" w:before="129"/>
        <w:ind w:left="1069" w:right="438" w:firstLine="382"/>
        <w:jc w:val="both"/>
        <w:rPr>
          <w:sz w:val="21"/>
        </w:rPr>
      </w:pPr>
      <w:r>
        <w:rPr>
          <w:color w:val="383638"/>
          <w:spacing w:val="-1"/>
          <w:w w:val="95"/>
          <w:sz w:val="21"/>
        </w:rPr>
        <w:t>Lik</w:t>
      </w:r>
      <w:r>
        <w:rPr>
          <w:color w:val="383638"/>
          <w:w w:val="95"/>
          <w:sz w:val="21"/>
        </w:rPr>
        <w:t>e</w:t>
      </w:r>
      <w:r>
        <w:rPr>
          <w:color w:val="383638"/>
          <w:spacing w:val="16"/>
          <w:sz w:val="21"/>
        </w:rPr>
        <w:t> </w:t>
      </w:r>
      <w:r>
        <w:rPr>
          <w:color w:val="383638"/>
          <w:spacing w:val="-1"/>
          <w:w w:val="95"/>
          <w:sz w:val="21"/>
        </w:rPr>
        <w:t>th</w:t>
      </w:r>
      <w:r>
        <w:rPr>
          <w:color w:val="383638"/>
          <w:w w:val="95"/>
          <w:sz w:val="21"/>
        </w:rPr>
        <w:t>e</w:t>
      </w:r>
      <w:r>
        <w:rPr>
          <w:color w:val="383638"/>
          <w:sz w:val="21"/>
        </w:rPr>
        <w:t> </w:t>
      </w:r>
      <w:r>
        <w:rPr>
          <w:color w:val="383638"/>
          <w:spacing w:val="11"/>
          <w:sz w:val="21"/>
        </w:rPr>
        <w:t> </w:t>
      </w:r>
      <w:r>
        <w:rPr>
          <w:color w:val="383638"/>
          <w:spacing w:val="-1"/>
          <w:w w:val="115"/>
          <w:sz w:val="21"/>
        </w:rPr>
        <w:t>apartment</w:t>
      </w:r>
      <w:r>
        <w:rPr>
          <w:color w:val="383638"/>
          <w:w w:val="115"/>
          <w:sz w:val="21"/>
        </w:rPr>
        <w:t>s</w:t>
      </w:r>
      <w:r>
        <w:rPr>
          <w:color w:val="383638"/>
          <w:spacing w:val="4"/>
          <w:sz w:val="21"/>
        </w:rPr>
        <w:t> </w:t>
      </w:r>
      <w:r>
        <w:rPr>
          <w:color w:val="383638"/>
          <w:spacing w:val="-1"/>
          <w:w w:val="115"/>
          <w:sz w:val="21"/>
        </w:rPr>
        <w:t>i</w:t>
      </w:r>
      <w:r>
        <w:rPr>
          <w:color w:val="383638"/>
          <w:w w:val="115"/>
          <w:sz w:val="21"/>
        </w:rPr>
        <w:t>n</w:t>
      </w:r>
      <w:r>
        <w:rPr>
          <w:color w:val="383638"/>
          <w:spacing w:val="5"/>
          <w:sz w:val="21"/>
        </w:rPr>
        <w:t> </w:t>
      </w:r>
      <w:r>
        <w:rPr>
          <w:rFonts w:ascii="Arial"/>
          <w:color w:val="383638"/>
          <w:spacing w:val="-1"/>
          <w:w w:val="86"/>
          <w:sz w:val="22"/>
        </w:rPr>
        <w:t>I&amp;ID.</w:t>
      </w:r>
      <w:r>
        <w:rPr>
          <w:rFonts w:ascii="Arial"/>
          <w:color w:val="383638"/>
          <w:w w:val="86"/>
          <w:sz w:val="22"/>
        </w:rPr>
        <w:t>S</w:t>
      </w:r>
      <w:r>
        <w:rPr>
          <w:rFonts w:ascii="Arial"/>
          <w:color w:val="383638"/>
          <w:spacing w:val="-9"/>
          <w:sz w:val="22"/>
        </w:rPr>
        <w:t> </w:t>
      </w:r>
      <w:r>
        <w:rPr>
          <w:color w:val="383638"/>
          <w:spacing w:val="-1"/>
          <w:w w:val="330"/>
          <w:sz w:val="21"/>
        </w:rPr>
        <w:t>an</w:t>
      </w:r>
      <w:r>
        <w:rPr>
          <w:color w:val="383638"/>
          <w:w w:val="330"/>
          <w:sz w:val="21"/>
        </w:rPr>
        <w:t>d</w:t>
      </w:r>
      <w:r>
        <w:rPr>
          <w:color w:val="383638"/>
          <w:spacing w:val="3"/>
          <w:sz w:val="21"/>
        </w:rPr>
        <w:t> </w:t>
      </w:r>
      <w:r>
        <w:rPr>
          <w:color w:val="383638"/>
          <w:spacing w:val="-1"/>
          <w:w w:val="330"/>
          <w:sz w:val="21"/>
        </w:rPr>
        <w:t>t</w:t>
      </w:r>
      <w:r>
        <w:rPr>
          <w:color w:val="383638"/>
          <w:spacing w:val="-161"/>
          <w:w w:val="330"/>
          <w:sz w:val="21"/>
        </w:rPr>
        <w:t>h</w:t>
      </w:r>
      <w:r>
        <w:rPr>
          <w:color w:val="383638"/>
          <w:w w:val="111"/>
          <w:sz w:val="21"/>
        </w:rPr>
        <w:t>p</w:t>
      </w:r>
      <w:r>
        <w:rPr>
          <w:color w:val="383638"/>
          <w:spacing w:val="-36"/>
          <w:w w:val="111"/>
          <w:sz w:val="21"/>
        </w:rPr>
        <w:t>r</w:t>
      </w:r>
      <w:r>
        <w:rPr>
          <w:color w:val="383638"/>
          <w:spacing w:val="-273"/>
          <w:w w:val="330"/>
          <w:sz w:val="21"/>
        </w:rPr>
        <w:t>e</w:t>
      </w:r>
      <w:r>
        <w:rPr>
          <w:color w:val="383638"/>
          <w:w w:val="111"/>
          <w:sz w:val="21"/>
        </w:rPr>
        <w:t>operty</w:t>
      </w:r>
      <w:r>
        <w:rPr>
          <w:color w:val="383638"/>
          <w:spacing w:val="15"/>
          <w:sz w:val="21"/>
        </w:rPr>
        <w:t> </w:t>
      </w:r>
      <w:r>
        <w:rPr>
          <w:color w:val="383638"/>
          <w:spacing w:val="-1"/>
          <w:w w:val="111"/>
          <w:sz w:val="21"/>
        </w:rPr>
        <w:t>i</w:t>
      </w:r>
      <w:r>
        <w:rPr>
          <w:color w:val="383638"/>
          <w:w w:val="111"/>
          <w:sz w:val="21"/>
        </w:rPr>
        <w:t>n</w:t>
      </w:r>
      <w:r>
        <w:rPr>
          <w:color w:val="383638"/>
          <w:sz w:val="21"/>
        </w:rPr>
        <w:t> </w:t>
      </w:r>
      <w:r>
        <w:rPr>
          <w:color w:val="383638"/>
          <w:spacing w:val="-13"/>
          <w:sz w:val="21"/>
        </w:rPr>
        <w:t> </w:t>
      </w:r>
      <w:r>
        <w:rPr>
          <w:color w:val="383638"/>
          <w:spacing w:val="-1"/>
          <w:w w:val="111"/>
          <w:sz w:val="21"/>
        </w:rPr>
        <w:t>th</w:t>
      </w:r>
      <w:r>
        <w:rPr>
          <w:color w:val="383638"/>
          <w:w w:val="111"/>
          <w:sz w:val="21"/>
        </w:rPr>
        <w:t>e</w:t>
      </w:r>
      <w:r>
        <w:rPr>
          <w:color w:val="383638"/>
          <w:sz w:val="21"/>
        </w:rPr>
        <w:t> </w:t>
      </w:r>
      <w:r>
        <w:rPr>
          <w:color w:val="383638"/>
          <w:spacing w:val="-12"/>
          <w:sz w:val="21"/>
        </w:rPr>
        <w:t> </w:t>
      </w:r>
      <w:r>
        <w:rPr>
          <w:color w:val="383638"/>
          <w:w w:val="105"/>
          <w:sz w:val="21"/>
        </w:rPr>
        <w:t>present </w:t>
      </w:r>
      <w:r>
        <w:rPr>
          <w:color w:val="383638"/>
          <w:w w:val="115"/>
          <w:sz w:val="21"/>
        </w:rPr>
        <w:t>case had been converted into a commercial center to which outsiders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spacing w:val="-1"/>
          <w:w w:val="115"/>
          <w:sz w:val="21"/>
        </w:rPr>
        <w:t>were</w:t>
      </w:r>
      <w:r>
        <w:rPr>
          <w:color w:val="383638"/>
          <w:spacing w:val="-18"/>
          <w:w w:val="115"/>
          <w:sz w:val="21"/>
        </w:rPr>
        <w:t> </w:t>
      </w:r>
      <w:r>
        <w:rPr>
          <w:color w:val="383638"/>
          <w:w w:val="115"/>
          <w:sz w:val="21"/>
        </w:rPr>
        <w:t>invited</w:t>
      </w:r>
      <w:r>
        <w:rPr>
          <w:color w:val="383638"/>
          <w:spacing w:val="4"/>
          <w:w w:val="115"/>
          <w:sz w:val="21"/>
        </w:rPr>
        <w:t> </w:t>
      </w:r>
      <w:r>
        <w:rPr>
          <w:color w:val="383638"/>
          <w:w w:val="115"/>
          <w:sz w:val="21"/>
        </w:rPr>
        <w:t>for</w:t>
      </w:r>
      <w:r>
        <w:rPr>
          <w:color w:val="383638"/>
          <w:spacing w:val="-12"/>
          <w:w w:val="115"/>
          <w:sz w:val="21"/>
        </w:rPr>
        <w:t> </w:t>
      </w:r>
      <w:r>
        <w:rPr>
          <w:color w:val="383638"/>
          <w:w w:val="115"/>
          <w:sz w:val="21"/>
        </w:rPr>
        <w:t>purposes</w:t>
      </w:r>
      <w:r>
        <w:rPr>
          <w:color w:val="383638"/>
          <w:spacing w:val="-21"/>
          <w:w w:val="115"/>
          <w:sz w:val="21"/>
        </w:rPr>
        <w:t> </w:t>
      </w:r>
      <w:r>
        <w:rPr>
          <w:color w:val="383638"/>
          <w:w w:val="115"/>
          <w:sz w:val="21"/>
        </w:rPr>
        <w:t>of transacting</w:t>
      </w:r>
      <w:r>
        <w:rPr>
          <w:color w:val="383638"/>
          <w:spacing w:val="-1"/>
          <w:w w:val="115"/>
          <w:sz w:val="21"/>
        </w:rPr>
        <w:t> </w:t>
      </w:r>
      <w:r>
        <w:rPr>
          <w:color w:val="383638"/>
          <w:w w:val="115"/>
          <w:sz w:val="21"/>
        </w:rPr>
        <w:t>unlawful</w:t>
      </w:r>
      <w:r>
        <w:rPr>
          <w:color w:val="383638"/>
          <w:spacing w:val="-2"/>
          <w:w w:val="115"/>
          <w:sz w:val="21"/>
        </w:rPr>
        <w:t> </w:t>
      </w:r>
      <w:r>
        <w:rPr>
          <w:color w:val="383638"/>
          <w:w w:val="115"/>
          <w:sz w:val="21"/>
        </w:rPr>
        <w:t>business.</w:t>
      </w:r>
    </w:p>
    <w:p>
      <w:pPr>
        <w:spacing w:line="235" w:lineRule="auto" w:before="151"/>
        <w:ind w:left="1021" w:right="437" w:firstLine="399"/>
        <w:jc w:val="both"/>
        <w:rPr>
          <w:sz w:val="21"/>
        </w:rPr>
      </w:pPr>
      <w:r>
        <w:rPr>
          <w:color w:val="383638"/>
          <w:w w:val="110"/>
          <w:sz w:val="21"/>
        </w:rPr>
        <w:t>Thus, Respondents, who were conducting a purely commercial activ­</w:t>
      </w:r>
      <w:r>
        <w:rPr>
          <w:color w:val="383638"/>
          <w:spacing w:val="-56"/>
          <w:w w:val="110"/>
          <w:sz w:val="21"/>
        </w:rPr>
        <w:t> </w:t>
      </w:r>
      <w:r>
        <w:rPr>
          <w:color w:val="383638"/>
          <w:w w:val="110"/>
          <w:sz w:val="21"/>
        </w:rPr>
        <w:t>ity, were not visitors to a "home" and were not engaging in longstanding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social</w:t>
      </w:r>
      <w:r>
        <w:rPr>
          <w:color w:val="383638"/>
          <w:spacing w:val="-14"/>
          <w:w w:val="110"/>
          <w:sz w:val="21"/>
        </w:rPr>
        <w:t> </w:t>
      </w:r>
      <w:r>
        <w:rPr>
          <w:color w:val="383638"/>
          <w:w w:val="110"/>
          <w:sz w:val="21"/>
        </w:rPr>
        <w:t>customs</w:t>
      </w:r>
      <w:r>
        <w:rPr>
          <w:color w:val="383638"/>
          <w:spacing w:val="-6"/>
          <w:w w:val="110"/>
          <w:sz w:val="21"/>
        </w:rPr>
        <w:t> </w:t>
      </w:r>
      <w:r>
        <w:rPr>
          <w:color w:val="383638"/>
          <w:w w:val="110"/>
          <w:sz w:val="21"/>
        </w:rPr>
        <w:t>that</w:t>
      </w:r>
      <w:r>
        <w:rPr>
          <w:color w:val="383638"/>
          <w:spacing w:val="-5"/>
          <w:w w:val="110"/>
          <w:sz w:val="21"/>
        </w:rPr>
        <w:t> </w:t>
      </w:r>
      <w:r>
        <w:rPr>
          <w:color w:val="383638"/>
          <w:w w:val="110"/>
          <w:sz w:val="21"/>
        </w:rPr>
        <w:t>serve</w:t>
      </w:r>
      <w:r>
        <w:rPr>
          <w:color w:val="383638"/>
          <w:spacing w:val="-6"/>
          <w:w w:val="110"/>
          <w:sz w:val="21"/>
        </w:rPr>
        <w:t> </w:t>
      </w:r>
      <w:r>
        <w:rPr>
          <w:color w:val="383638"/>
          <w:w w:val="110"/>
          <w:sz w:val="21"/>
        </w:rPr>
        <w:t>functions</w:t>
      </w:r>
      <w:r>
        <w:rPr>
          <w:color w:val="383638"/>
          <w:spacing w:val="-3"/>
          <w:w w:val="110"/>
          <w:sz w:val="21"/>
        </w:rPr>
        <w:t> </w:t>
      </w:r>
      <w:r>
        <w:rPr>
          <w:color w:val="383638"/>
          <w:w w:val="110"/>
          <w:sz w:val="21"/>
        </w:rPr>
        <w:t>recognized</w:t>
      </w:r>
      <w:r>
        <w:rPr>
          <w:color w:val="383638"/>
          <w:spacing w:val="-4"/>
          <w:w w:val="110"/>
          <w:sz w:val="21"/>
        </w:rPr>
        <w:t> </w:t>
      </w:r>
      <w:r>
        <w:rPr>
          <w:color w:val="383638"/>
          <w:w w:val="110"/>
          <w:sz w:val="21"/>
        </w:rPr>
        <w:t>as</w:t>
      </w:r>
      <w:r>
        <w:rPr>
          <w:color w:val="383638"/>
          <w:spacing w:val="3"/>
          <w:w w:val="110"/>
          <w:sz w:val="21"/>
        </w:rPr>
        <w:t> </w:t>
      </w:r>
      <w:r>
        <w:rPr>
          <w:color w:val="383638"/>
          <w:w w:val="110"/>
          <w:sz w:val="21"/>
        </w:rPr>
        <w:t>valuable</w:t>
      </w:r>
      <w:r>
        <w:rPr>
          <w:color w:val="383638"/>
          <w:spacing w:val="-16"/>
          <w:w w:val="110"/>
          <w:sz w:val="21"/>
        </w:rPr>
        <w:t> </w:t>
      </w:r>
      <w:r>
        <w:rPr>
          <w:rFonts w:ascii="Arial" w:hAnsi="Arial"/>
          <w:color w:val="383638"/>
          <w:w w:val="110"/>
          <w:sz w:val="19"/>
        </w:rPr>
        <w:t>by</w:t>
      </w:r>
      <w:r>
        <w:rPr>
          <w:rFonts w:ascii="Arial" w:hAnsi="Arial"/>
          <w:color w:val="383638"/>
          <w:spacing w:val="2"/>
          <w:w w:val="110"/>
          <w:sz w:val="19"/>
        </w:rPr>
        <w:t> </w:t>
      </w:r>
      <w:r>
        <w:rPr>
          <w:color w:val="383638"/>
          <w:w w:val="110"/>
          <w:sz w:val="21"/>
        </w:rPr>
        <w:t>society.</w:t>
      </w:r>
    </w:p>
    <w:p>
      <w:pPr>
        <w:pStyle w:val="BodyText"/>
        <w:spacing w:line="232" w:lineRule="auto" w:before="141"/>
        <w:ind w:left="502" w:right="115" w:firstLine="516"/>
        <w:jc w:val="both"/>
      </w:pPr>
      <w:r>
        <w:rPr>
          <w:color w:val="383638"/>
          <w:w w:val="110"/>
        </w:rPr>
        <w:t>Whenever you substitute synonyms for the phrase-that-pays, you risk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confusing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alienating the reader or user. In  the  example shown here,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reader must do some work to recognize that "business," "sales,"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"drug transactions" are all related to the concept of "commercial pur­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poses." Although most people would be able to make this connection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with a little extra effort, your argument should not require the reader </w:t>
      </w:r>
      <w:r>
        <w:rPr>
          <w:color w:val="383638"/>
          <w:w w:val="110"/>
          <w:sz w:val="21"/>
        </w:rPr>
        <w:t>to</w:t>
      </w:r>
      <w:r>
        <w:rPr>
          <w:color w:val="383638"/>
          <w:spacing w:val="1"/>
          <w:w w:val="110"/>
          <w:sz w:val="21"/>
        </w:rPr>
        <w:t> </w:t>
      </w:r>
      <w:r>
        <w:rPr>
          <w:rFonts w:ascii="Arial" w:hAnsi="Arial"/>
          <w:i/>
          <w:color w:val="383638"/>
          <w:spacing w:val="-1"/>
          <w:w w:val="115"/>
          <w:sz w:val="20"/>
        </w:rPr>
        <w:t>make </w:t>
      </w:r>
      <w:r>
        <w:rPr>
          <w:color w:val="383638"/>
          <w:spacing w:val="-1"/>
          <w:w w:val="115"/>
        </w:rPr>
        <w:t>any extra effort. </w:t>
      </w:r>
      <w:r>
        <w:rPr>
          <w:rFonts w:ascii="Arial" w:hAnsi="Arial"/>
          <w:i/>
          <w:color w:val="383638"/>
          <w:spacing w:val="-1"/>
          <w:w w:val="115"/>
          <w:sz w:val="20"/>
        </w:rPr>
        <w:t>You </w:t>
      </w:r>
      <w:r>
        <w:rPr>
          <w:color w:val="383638"/>
          <w:spacing w:val="-1"/>
          <w:w w:val="115"/>
        </w:rPr>
        <w:t>should make the extra effort and incorporate</w:t>
      </w:r>
      <w:r>
        <w:rPr>
          <w:color w:val="383638"/>
          <w:w w:val="115"/>
        </w:rPr>
        <w:t> the phrase-that-pays </w:t>
      </w:r>
      <w:r>
        <w:rPr>
          <w:rFonts w:ascii="Arial" w:hAnsi="Arial"/>
          <w:i/>
          <w:color w:val="383638"/>
          <w:w w:val="115"/>
          <w:sz w:val="21"/>
        </w:rPr>
        <w:t>into </w:t>
      </w:r>
      <w:r>
        <w:rPr>
          <w:color w:val="383638"/>
          <w:w w:val="115"/>
        </w:rPr>
        <w:t>the topic sentence to signal that the paragraph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says something meaningful about the phrase-that-pays. In the list that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follows, notice how small revisions allow the writer to incorporate the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phrase-that-pays:</w:t>
      </w:r>
    </w:p>
    <w:p>
      <w:pPr>
        <w:spacing w:after="0" w:line="232" w:lineRule="auto"/>
        <w:jc w:val="both"/>
        <w:sectPr>
          <w:headerReference w:type="even" r:id="rId264"/>
          <w:pgSz w:w="9780" w:h="13990"/>
          <w:pgMar w:header="572" w:footer="0" w:top="1160" w:bottom="0" w:left="1360" w:right="160"/>
          <w:pgNumType w:start="234"/>
        </w:sectPr>
      </w:pPr>
    </w:p>
    <w:p>
      <w:pPr>
        <w:spacing w:line="347" w:lineRule="exact" w:before="0"/>
        <w:ind w:left="-12" w:right="0" w:firstLine="0"/>
        <w:jc w:val="left"/>
        <w:rPr>
          <w:sz w:val="46"/>
        </w:rPr>
      </w:pPr>
      <w:r>
        <w:rPr>
          <w:color w:val="3A3838"/>
          <w:w w:val="64"/>
          <w:sz w:val="46"/>
        </w:rPr>
        <w:t>I</w:t>
      </w:r>
    </w:p>
    <w:p>
      <w:pPr>
        <w:pStyle w:val="ListParagraph"/>
        <w:numPr>
          <w:ilvl w:val="1"/>
          <w:numId w:val="92"/>
        </w:numPr>
        <w:tabs>
          <w:tab w:pos="2869" w:val="left" w:leader="none"/>
          <w:tab w:pos="8457" w:val="right" w:leader="none"/>
        </w:tabs>
        <w:spacing w:line="240" w:lineRule="auto" w:before="147" w:after="0"/>
        <w:ind w:left="2868" w:right="0" w:hanging="438"/>
        <w:jc w:val="left"/>
        <w:rPr>
          <w:rFonts w:ascii="Arial"/>
          <w:color w:val="3A3838"/>
          <w:sz w:val="17"/>
        </w:rPr>
      </w:pPr>
      <w:r>
        <w:rPr>
          <w:rFonts w:ascii="Arial"/>
          <w:color w:val="3A3838"/>
          <w:sz w:val="17"/>
        </w:rPr>
        <w:t>Install</w:t>
      </w:r>
      <w:r>
        <w:rPr>
          <w:rFonts w:ascii="Arial"/>
          <w:color w:val="3A3838"/>
          <w:spacing w:val="-8"/>
          <w:sz w:val="17"/>
        </w:rPr>
        <w:t> </w:t>
      </w:r>
      <w:r>
        <w:rPr>
          <w:rFonts w:ascii="Arial"/>
          <w:color w:val="3A3838"/>
          <w:sz w:val="17"/>
        </w:rPr>
        <w:t>a</w:t>
      </w:r>
      <w:r>
        <w:rPr>
          <w:rFonts w:ascii="Arial"/>
          <w:color w:val="3A3838"/>
          <w:spacing w:val="-3"/>
          <w:sz w:val="17"/>
        </w:rPr>
        <w:t> </w:t>
      </w:r>
      <w:r>
        <w:rPr>
          <w:rFonts w:ascii="Arial"/>
          <w:color w:val="3A3838"/>
          <w:sz w:val="17"/>
        </w:rPr>
        <w:t>Symbolic</w:t>
      </w:r>
      <w:r>
        <w:rPr>
          <w:rFonts w:ascii="Arial"/>
          <w:color w:val="3A3838"/>
          <w:spacing w:val="-6"/>
          <w:sz w:val="17"/>
        </w:rPr>
        <w:t> </w:t>
      </w:r>
      <w:r>
        <w:rPr>
          <w:rFonts w:ascii="Arial"/>
          <w:color w:val="3A3838"/>
          <w:sz w:val="17"/>
        </w:rPr>
        <w:t>Template</w:t>
      </w:r>
      <w:r>
        <w:rPr>
          <w:rFonts w:ascii="Arial"/>
          <w:color w:val="3A3838"/>
          <w:spacing w:val="-3"/>
          <w:sz w:val="17"/>
        </w:rPr>
        <w:t> </w:t>
      </w:r>
      <w:r>
        <w:rPr>
          <w:rFonts w:ascii="Arial"/>
          <w:color w:val="3A3838"/>
          <w:sz w:val="17"/>
        </w:rPr>
        <w:t>to</w:t>
      </w:r>
      <w:r>
        <w:rPr>
          <w:rFonts w:ascii="Arial"/>
          <w:color w:val="3A3838"/>
          <w:spacing w:val="12"/>
          <w:sz w:val="17"/>
        </w:rPr>
        <w:t> </w:t>
      </w:r>
      <w:r>
        <w:rPr>
          <w:rFonts w:ascii="Arial"/>
          <w:color w:val="3A3838"/>
          <w:sz w:val="17"/>
        </w:rPr>
        <w:t>Help</w:t>
      </w:r>
      <w:r>
        <w:rPr>
          <w:rFonts w:ascii="Arial"/>
          <w:color w:val="3A3838"/>
          <w:spacing w:val="-22"/>
          <w:sz w:val="17"/>
        </w:rPr>
        <w:t> </w:t>
      </w:r>
      <w:r>
        <w:rPr>
          <w:rFonts w:ascii="Arial"/>
          <w:color w:val="3A3838"/>
          <w:sz w:val="17"/>
        </w:rPr>
        <w:t>Your</w:t>
      </w:r>
      <w:r>
        <w:rPr>
          <w:rFonts w:ascii="Arial"/>
          <w:color w:val="3A3838"/>
          <w:spacing w:val="-11"/>
          <w:sz w:val="17"/>
        </w:rPr>
        <w:t> </w:t>
      </w:r>
      <w:r>
        <w:rPr>
          <w:rFonts w:ascii="Arial"/>
          <w:color w:val="3A3838"/>
          <w:sz w:val="17"/>
        </w:rPr>
        <w:t>Reader</w:t>
      </w:r>
      <w:r>
        <w:rPr>
          <w:rFonts w:ascii="Arial"/>
          <w:color w:val="3A3838"/>
          <w:spacing w:val="3"/>
          <w:sz w:val="17"/>
        </w:rPr>
        <w:t> </w:t>
      </w:r>
      <w:r>
        <w:rPr>
          <w:rFonts w:ascii="Arial"/>
          <w:color w:val="3A3838"/>
          <w:sz w:val="17"/>
        </w:rPr>
        <w:t>and</w:t>
      </w:r>
      <w:r>
        <w:rPr>
          <w:rFonts w:ascii="Arial"/>
          <w:color w:val="3A3838"/>
          <w:spacing w:val="34"/>
          <w:sz w:val="17"/>
        </w:rPr>
        <w:t> </w:t>
      </w:r>
      <w:r>
        <w:rPr>
          <w:rFonts w:ascii="Arial"/>
          <w:color w:val="3A3838"/>
          <w:sz w:val="17"/>
        </w:rPr>
        <w:t>Your</w:t>
      </w:r>
      <w:r>
        <w:rPr>
          <w:rFonts w:ascii="Arial"/>
          <w:color w:val="3A3838"/>
          <w:spacing w:val="-3"/>
          <w:sz w:val="17"/>
        </w:rPr>
        <w:t> </w:t>
      </w:r>
      <w:r>
        <w:rPr>
          <w:rFonts w:ascii="Arial"/>
          <w:color w:val="3A3838"/>
          <w:sz w:val="17"/>
        </w:rPr>
        <w:t>User</w:t>
        <w:tab/>
      </w:r>
      <w:r>
        <w:rPr>
          <w:color w:val="3A3838"/>
          <w:sz w:val="20"/>
        </w:rPr>
        <w:t>235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0"/>
        </w:rPr>
      </w:pPr>
    </w:p>
    <w:p>
      <w:pPr>
        <w:spacing w:line="220" w:lineRule="auto" w:before="0"/>
        <w:ind w:left="695" w:right="857" w:firstLine="5"/>
        <w:jc w:val="left"/>
        <w:rPr>
          <w:sz w:val="21"/>
        </w:rPr>
      </w:pPr>
      <w:r>
        <w:rPr>
          <w:color w:val="3A3838"/>
          <w:w w:val="110"/>
          <w:sz w:val="21"/>
        </w:rPr>
        <w:t>Respondents</w:t>
      </w:r>
      <w:r>
        <w:rPr>
          <w:color w:val="3A3838"/>
          <w:spacing w:val="15"/>
          <w:w w:val="110"/>
          <w:sz w:val="21"/>
        </w:rPr>
        <w:t> </w:t>
      </w:r>
      <w:r>
        <w:rPr>
          <w:color w:val="3A3838"/>
          <w:w w:val="110"/>
          <w:sz w:val="21"/>
        </w:rPr>
        <w:t>were</w:t>
      </w:r>
      <w:r>
        <w:rPr>
          <w:color w:val="3A3838"/>
          <w:spacing w:val="13"/>
          <w:w w:val="110"/>
          <w:sz w:val="21"/>
        </w:rPr>
        <w:t> </w:t>
      </w:r>
      <w:r>
        <w:rPr>
          <w:color w:val="3A3838"/>
          <w:w w:val="110"/>
          <w:sz w:val="21"/>
        </w:rPr>
        <w:t>not</w:t>
      </w:r>
      <w:r>
        <w:rPr>
          <w:color w:val="3A3838"/>
          <w:spacing w:val="46"/>
          <w:w w:val="110"/>
          <w:sz w:val="21"/>
        </w:rPr>
        <w:t> </w:t>
      </w:r>
      <w:r>
        <w:rPr>
          <w:color w:val="3A3838"/>
          <w:w w:val="110"/>
          <w:sz w:val="21"/>
        </w:rPr>
        <w:t>present</w:t>
      </w:r>
      <w:r>
        <w:rPr>
          <w:color w:val="3A3838"/>
          <w:spacing w:val="17"/>
          <w:w w:val="110"/>
          <w:sz w:val="21"/>
        </w:rPr>
        <w:t> </w:t>
      </w:r>
      <w:r>
        <w:rPr>
          <w:color w:val="3A3838"/>
          <w:w w:val="110"/>
          <w:sz w:val="21"/>
        </w:rPr>
        <w:t>in</w:t>
      </w:r>
      <w:r>
        <w:rPr>
          <w:color w:val="3A3838"/>
          <w:spacing w:val="8"/>
          <w:w w:val="110"/>
          <w:sz w:val="21"/>
        </w:rPr>
        <w:t> </w:t>
      </w:r>
      <w:r>
        <w:rPr>
          <w:color w:val="3A3838"/>
          <w:w w:val="110"/>
          <w:sz w:val="21"/>
        </w:rPr>
        <w:t>a</w:t>
      </w:r>
      <w:r>
        <w:rPr>
          <w:color w:val="3A3838"/>
          <w:spacing w:val="11"/>
          <w:w w:val="110"/>
          <w:sz w:val="21"/>
        </w:rPr>
        <w:t> </w:t>
      </w:r>
      <w:r>
        <w:rPr>
          <w:color w:val="3A3838"/>
          <w:w w:val="110"/>
          <w:sz w:val="21"/>
        </w:rPr>
        <w:t>"home,"</w:t>
      </w:r>
      <w:r>
        <w:rPr>
          <w:color w:val="3A3838"/>
          <w:spacing w:val="10"/>
          <w:w w:val="110"/>
          <w:sz w:val="21"/>
        </w:rPr>
        <w:t> </w:t>
      </w:r>
      <w:r>
        <w:rPr>
          <w:color w:val="3A3838"/>
          <w:w w:val="110"/>
          <w:sz w:val="21"/>
        </w:rPr>
        <w:t>but</w:t>
      </w:r>
      <w:r>
        <w:rPr>
          <w:color w:val="3A3838"/>
          <w:spacing w:val="4"/>
          <w:w w:val="110"/>
          <w:sz w:val="21"/>
        </w:rPr>
        <w:t> </w:t>
      </w:r>
      <w:r>
        <w:rPr>
          <w:color w:val="3A3838"/>
          <w:w w:val="110"/>
          <w:sz w:val="21"/>
        </w:rPr>
        <w:t>were</w:t>
      </w:r>
      <w:r>
        <w:rPr>
          <w:color w:val="3A3838"/>
          <w:spacing w:val="-9"/>
          <w:w w:val="110"/>
          <w:sz w:val="21"/>
        </w:rPr>
        <w:t> </w:t>
      </w:r>
      <w:r>
        <w:rPr>
          <w:color w:val="3A3838"/>
          <w:w w:val="110"/>
          <w:sz w:val="21"/>
        </w:rPr>
        <w:t>on</w:t>
      </w:r>
      <w:r>
        <w:rPr>
          <w:color w:val="3A3838"/>
          <w:spacing w:val="42"/>
          <w:w w:val="110"/>
          <w:sz w:val="21"/>
        </w:rPr>
        <w:t> </w:t>
      </w:r>
      <w:r>
        <w:rPr>
          <w:color w:val="3A3838"/>
          <w:w w:val="110"/>
          <w:sz w:val="21"/>
        </w:rPr>
        <w:t>property</w:t>
      </w:r>
      <w:r>
        <w:rPr>
          <w:color w:val="3A3838"/>
          <w:spacing w:val="18"/>
          <w:w w:val="110"/>
          <w:sz w:val="21"/>
        </w:rPr>
        <w:t> </w:t>
      </w:r>
      <w:r>
        <w:rPr>
          <w:color w:val="3A3838"/>
          <w:w w:val="110"/>
          <w:sz w:val="21"/>
        </w:rPr>
        <w:t>for</w:t>
      </w:r>
      <w:r>
        <w:rPr>
          <w:color w:val="3A3838"/>
          <w:spacing w:val="5"/>
          <w:w w:val="110"/>
          <w:sz w:val="21"/>
        </w:rPr>
        <w:t> </w:t>
      </w:r>
      <w:r>
        <w:rPr>
          <w:color w:val="3A3838"/>
          <w:w w:val="110"/>
          <w:sz w:val="21"/>
        </w:rPr>
        <w:t>a</w:t>
      </w:r>
      <w:r>
        <w:rPr>
          <w:color w:val="3A3838"/>
          <w:spacing w:val="-54"/>
          <w:w w:val="110"/>
          <w:sz w:val="21"/>
        </w:rPr>
        <w:t> </w:t>
      </w:r>
      <w:r>
        <w:rPr>
          <w:color w:val="3A3838"/>
          <w:w w:val="110"/>
          <w:sz w:val="21"/>
        </w:rPr>
        <w:t>purely</w:t>
      </w:r>
      <w:r>
        <w:rPr>
          <w:color w:val="3A3838"/>
          <w:spacing w:val="-18"/>
          <w:w w:val="110"/>
          <w:sz w:val="21"/>
        </w:rPr>
        <w:t> </w:t>
      </w:r>
      <w:r>
        <w:rPr>
          <w:color w:val="3A3838"/>
          <w:w w:val="110"/>
          <w:sz w:val="21"/>
        </w:rPr>
        <w:t>commercial</w:t>
      </w:r>
      <w:r>
        <w:rPr>
          <w:color w:val="3A3838"/>
          <w:spacing w:val="5"/>
          <w:w w:val="110"/>
          <w:sz w:val="21"/>
        </w:rPr>
        <w:t> </w:t>
      </w:r>
      <w:r>
        <w:rPr>
          <w:color w:val="3A3838"/>
          <w:w w:val="110"/>
          <w:sz w:val="21"/>
        </w:rPr>
        <w:t>purpose.</w:t>
      </w:r>
    </w:p>
    <w:p>
      <w:pPr>
        <w:spacing w:line="230" w:lineRule="auto" w:before="155"/>
        <w:ind w:left="687" w:right="1174" w:firstLine="348"/>
        <w:jc w:val="both"/>
        <w:rPr>
          <w:sz w:val="21"/>
        </w:rPr>
      </w:pPr>
      <w:r>
        <w:rPr>
          <w:color w:val="3A3838"/>
          <w:w w:val="115"/>
          <w:sz w:val="21"/>
        </w:rPr>
        <w:t>This Court has recognized that business premises, which exist for</w:t>
      </w:r>
      <w:r>
        <w:rPr>
          <w:color w:val="3A3838"/>
          <w:spacing w:val="-58"/>
          <w:w w:val="115"/>
          <w:sz w:val="21"/>
        </w:rPr>
        <w:t> </w:t>
      </w:r>
      <w:r>
        <w:rPr>
          <w:color w:val="3A3838"/>
          <w:w w:val="110"/>
          <w:sz w:val="21"/>
        </w:rPr>
        <w:t>commercial rather than domestic activity, invite lesser privacy expecta­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5"/>
          <w:sz w:val="21"/>
        </w:rPr>
        <w:t>tions</w:t>
      </w:r>
      <w:r>
        <w:rPr>
          <w:color w:val="3A3838"/>
          <w:spacing w:val="-26"/>
          <w:w w:val="115"/>
          <w:sz w:val="21"/>
        </w:rPr>
        <w:t> </w:t>
      </w:r>
      <w:r>
        <w:rPr>
          <w:color w:val="3A3838"/>
          <w:w w:val="115"/>
          <w:sz w:val="21"/>
        </w:rPr>
        <w:t>than</w:t>
      </w:r>
      <w:r>
        <w:rPr>
          <w:color w:val="3A3838"/>
          <w:spacing w:val="-16"/>
          <w:w w:val="115"/>
          <w:sz w:val="21"/>
        </w:rPr>
        <w:t> </w:t>
      </w:r>
      <w:r>
        <w:rPr>
          <w:color w:val="3A3838"/>
          <w:w w:val="115"/>
          <w:sz w:val="21"/>
        </w:rPr>
        <w:t>do</w:t>
      </w:r>
      <w:r>
        <w:rPr>
          <w:color w:val="3A3838"/>
          <w:spacing w:val="-8"/>
          <w:w w:val="115"/>
          <w:sz w:val="21"/>
        </w:rPr>
        <w:t> </w:t>
      </w:r>
      <w:r>
        <w:rPr>
          <w:color w:val="3A3838"/>
          <w:w w:val="115"/>
          <w:sz w:val="21"/>
        </w:rPr>
        <w:t>residences.</w:t>
      </w:r>
    </w:p>
    <w:p>
      <w:pPr>
        <w:tabs>
          <w:tab w:pos="1917" w:val="left" w:leader="none"/>
        </w:tabs>
        <w:spacing w:line="232" w:lineRule="auto" w:before="150"/>
        <w:ind w:left="687" w:right="1152" w:firstLine="359"/>
        <w:jc w:val="both"/>
        <w:rPr>
          <w:sz w:val="21"/>
        </w:rPr>
      </w:pPr>
      <w:r>
        <w:rPr>
          <w:color w:val="3A3838"/>
          <w:w w:val="110"/>
          <w:sz w:val="21"/>
        </w:rPr>
        <w:t>In</w:t>
        <w:tab/>
        <w:t>this Court held that a defendant who used his home for the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commercial purpose of selling illegal narcotics could not claim a viola­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05"/>
          <w:sz w:val="21"/>
        </w:rPr>
        <w:t>tion of any</w:t>
      </w:r>
      <w:r>
        <w:rPr>
          <w:color w:val="3A3838"/>
          <w:spacing w:val="1"/>
          <w:w w:val="105"/>
          <w:sz w:val="21"/>
        </w:rPr>
        <w:t> </w:t>
      </w:r>
      <w:r>
        <w:rPr>
          <w:color w:val="3A3838"/>
          <w:w w:val="105"/>
          <w:sz w:val="21"/>
        </w:rPr>
        <w:t>reasonable expectation of privacy when an undercover officer</w:t>
      </w:r>
      <w:r>
        <w:rPr>
          <w:color w:val="3A3838"/>
          <w:spacing w:val="1"/>
          <w:w w:val="105"/>
          <w:sz w:val="21"/>
        </w:rPr>
        <w:t> </w:t>
      </w:r>
      <w:r>
        <w:rPr>
          <w:color w:val="3A3838"/>
          <w:w w:val="110"/>
          <w:sz w:val="21"/>
        </w:rPr>
        <w:t>entered</w:t>
      </w:r>
      <w:r>
        <w:rPr>
          <w:color w:val="3A3838"/>
          <w:spacing w:val="-3"/>
          <w:w w:val="110"/>
          <w:sz w:val="21"/>
        </w:rPr>
        <w:t> </w:t>
      </w:r>
      <w:r>
        <w:rPr>
          <w:color w:val="3A3838"/>
          <w:w w:val="110"/>
          <w:sz w:val="21"/>
        </w:rPr>
        <w:t>the</w:t>
      </w:r>
      <w:r>
        <w:rPr>
          <w:color w:val="3A3838"/>
          <w:spacing w:val="33"/>
          <w:w w:val="110"/>
          <w:sz w:val="21"/>
        </w:rPr>
        <w:t> </w:t>
      </w:r>
      <w:r>
        <w:rPr>
          <w:color w:val="3A3838"/>
          <w:w w:val="110"/>
          <w:sz w:val="21"/>
        </w:rPr>
        <w:t>home</w:t>
      </w:r>
      <w:r>
        <w:rPr>
          <w:color w:val="3A3838"/>
          <w:spacing w:val="-10"/>
          <w:w w:val="110"/>
          <w:sz w:val="21"/>
        </w:rPr>
        <w:t> </w:t>
      </w:r>
      <w:r>
        <w:rPr>
          <w:color w:val="3A3838"/>
          <w:w w:val="110"/>
          <w:sz w:val="21"/>
        </w:rPr>
        <w:t>to</w:t>
      </w:r>
      <w:r>
        <w:rPr>
          <w:color w:val="3A3838"/>
          <w:spacing w:val="9"/>
          <w:w w:val="110"/>
          <w:sz w:val="21"/>
        </w:rPr>
        <w:t> </w:t>
      </w:r>
      <w:r>
        <w:rPr>
          <w:color w:val="3A3838"/>
          <w:w w:val="110"/>
          <w:sz w:val="21"/>
        </w:rPr>
        <w:t>purchase marijuana.</w:t>
      </w:r>
    </w:p>
    <w:p>
      <w:pPr>
        <w:spacing w:line="235" w:lineRule="auto" w:before="150"/>
        <w:ind w:left="697" w:right="1130" w:firstLine="361"/>
        <w:jc w:val="both"/>
        <w:rPr>
          <w:sz w:val="21"/>
        </w:rPr>
      </w:pPr>
      <w:r>
        <w:rPr>
          <w:color w:val="3A3838"/>
          <w:w w:val="105"/>
          <w:sz w:val="21"/>
        </w:rPr>
        <w:t>Utilizing the same reasoning, the</w:t>
      </w:r>
      <w:r>
        <w:rPr>
          <w:color w:val="3A3838"/>
          <w:spacing w:val="1"/>
          <w:w w:val="105"/>
          <w:sz w:val="21"/>
        </w:rPr>
        <w:t> </w:t>
      </w:r>
      <w:r>
        <w:rPr>
          <w:color w:val="3A3838"/>
          <w:w w:val="105"/>
          <w:sz w:val="21"/>
        </w:rPr>
        <w:t>D.C. Circuit held that a visitor who</w:t>
      </w:r>
      <w:r>
        <w:rPr>
          <w:color w:val="3A3838"/>
          <w:spacing w:val="1"/>
          <w:w w:val="105"/>
          <w:sz w:val="21"/>
        </w:rPr>
        <w:t> </w:t>
      </w:r>
      <w:r>
        <w:rPr>
          <w:color w:val="3A3838"/>
          <w:w w:val="110"/>
          <w:sz w:val="21"/>
        </w:rPr>
        <w:t>used another's apartment solely for the commercial purpose of conduct­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ing</w:t>
      </w:r>
      <w:r>
        <w:rPr>
          <w:color w:val="3A3838"/>
          <w:spacing w:val="-9"/>
          <w:w w:val="110"/>
          <w:sz w:val="21"/>
        </w:rPr>
        <w:t> </w:t>
      </w:r>
      <w:r>
        <w:rPr>
          <w:rFonts w:ascii="Arial" w:hAnsi="Arial"/>
          <w:color w:val="3A3838"/>
          <w:w w:val="110"/>
          <w:sz w:val="20"/>
        </w:rPr>
        <w:t>drug</w:t>
      </w:r>
      <w:r>
        <w:rPr>
          <w:rFonts w:ascii="Arial" w:hAnsi="Arial"/>
          <w:color w:val="3A3838"/>
          <w:spacing w:val="-27"/>
          <w:w w:val="110"/>
          <w:sz w:val="20"/>
        </w:rPr>
        <w:t> </w:t>
      </w:r>
      <w:r>
        <w:rPr>
          <w:color w:val="3A3838"/>
          <w:w w:val="110"/>
          <w:sz w:val="21"/>
        </w:rPr>
        <w:t>transactions</w:t>
      </w:r>
      <w:r>
        <w:rPr>
          <w:color w:val="3A3838"/>
          <w:spacing w:val="-5"/>
          <w:w w:val="110"/>
          <w:sz w:val="21"/>
        </w:rPr>
        <w:t> </w:t>
      </w:r>
      <w:r>
        <w:rPr>
          <w:color w:val="3A3838"/>
          <w:w w:val="110"/>
          <w:sz w:val="21"/>
        </w:rPr>
        <w:t>could</w:t>
      </w:r>
      <w:r>
        <w:rPr>
          <w:color w:val="3A3838"/>
          <w:spacing w:val="13"/>
          <w:w w:val="110"/>
          <w:sz w:val="21"/>
        </w:rPr>
        <w:t> </w:t>
      </w:r>
      <w:r>
        <w:rPr>
          <w:color w:val="3A3838"/>
          <w:w w:val="110"/>
          <w:sz w:val="21"/>
        </w:rPr>
        <w:t>not</w:t>
      </w:r>
      <w:r>
        <w:rPr>
          <w:color w:val="3A3838"/>
          <w:spacing w:val="24"/>
          <w:w w:val="110"/>
          <w:sz w:val="21"/>
        </w:rPr>
        <w:t> </w:t>
      </w:r>
      <w:r>
        <w:rPr>
          <w:color w:val="3A3838"/>
          <w:w w:val="110"/>
          <w:sz w:val="21"/>
        </w:rPr>
        <w:t>claim</w:t>
      </w:r>
      <w:r>
        <w:rPr>
          <w:color w:val="3A3838"/>
          <w:spacing w:val="21"/>
          <w:w w:val="110"/>
          <w:sz w:val="21"/>
        </w:rPr>
        <w:t> </w:t>
      </w:r>
      <w:r>
        <w:rPr>
          <w:color w:val="3A3838"/>
          <w:w w:val="110"/>
          <w:sz w:val="21"/>
        </w:rPr>
        <w:t>Fourth</w:t>
      </w:r>
      <w:r>
        <w:rPr>
          <w:color w:val="3A3838"/>
          <w:spacing w:val="16"/>
          <w:w w:val="110"/>
          <w:sz w:val="21"/>
        </w:rPr>
        <w:t> </w:t>
      </w:r>
      <w:r>
        <w:rPr>
          <w:color w:val="3A3838"/>
          <w:w w:val="110"/>
          <w:sz w:val="21"/>
        </w:rPr>
        <w:t>Amendment</w:t>
      </w:r>
      <w:r>
        <w:rPr>
          <w:color w:val="3A3838"/>
          <w:spacing w:val="43"/>
          <w:w w:val="110"/>
          <w:sz w:val="21"/>
        </w:rPr>
        <w:t> </w:t>
      </w:r>
      <w:r>
        <w:rPr>
          <w:color w:val="3A3838"/>
          <w:w w:val="110"/>
          <w:sz w:val="21"/>
        </w:rPr>
        <w:t>protection.</w:t>
      </w:r>
    </w:p>
    <w:p>
      <w:pPr>
        <w:spacing w:line="225" w:lineRule="auto" w:before="137"/>
        <w:ind w:left="698" w:right="857" w:firstLine="356"/>
        <w:jc w:val="left"/>
        <w:rPr>
          <w:sz w:val="21"/>
        </w:rPr>
      </w:pPr>
      <w:r>
        <w:rPr>
          <w:color w:val="3A3838"/>
          <w:w w:val="110"/>
          <w:sz w:val="21"/>
        </w:rPr>
        <w:t>In the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present case, Respondents, like the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defendants </w:t>
      </w:r>
      <w:r>
        <w:rPr>
          <w:color w:val="3A3838"/>
          <w:w w:val="110"/>
          <w:sz w:val="19"/>
        </w:rPr>
        <w:t>in</w:t>
      </w:r>
      <w:r>
        <w:rPr>
          <w:color w:val="3A3838"/>
          <w:spacing w:val="1"/>
          <w:w w:val="110"/>
          <w:sz w:val="19"/>
        </w:rPr>
        <w:t> </w:t>
      </w:r>
      <w:r>
        <w:rPr>
          <w:rFonts w:ascii="Arial"/>
          <w:color w:val="3A3838"/>
          <w:w w:val="110"/>
          <w:sz w:val="22"/>
        </w:rPr>
        <w:t>l&amp;Y:fil </w:t>
      </w:r>
      <w:r>
        <w:rPr>
          <w:color w:val="3A3838"/>
          <w:w w:val="110"/>
          <w:sz w:val="21"/>
        </w:rPr>
        <w:t>and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5"/>
        </w:rPr>
        <w:t>Jikks,</w:t>
      </w:r>
      <w:r>
        <w:rPr>
          <w:color w:val="3A3838"/>
          <w:spacing w:val="24"/>
          <w:w w:val="110"/>
          <w:sz w:val="25"/>
        </w:rPr>
        <w:t> </w:t>
      </w:r>
      <w:r>
        <w:rPr>
          <w:color w:val="3A3838"/>
          <w:w w:val="110"/>
          <w:sz w:val="21"/>
        </w:rPr>
        <w:t>were</w:t>
      </w:r>
      <w:r>
        <w:rPr>
          <w:color w:val="3A3838"/>
          <w:spacing w:val="24"/>
          <w:w w:val="110"/>
          <w:sz w:val="21"/>
        </w:rPr>
        <w:t> </w:t>
      </w:r>
      <w:r>
        <w:rPr>
          <w:color w:val="3A3838"/>
          <w:w w:val="110"/>
          <w:sz w:val="21"/>
        </w:rPr>
        <w:t>using</w:t>
      </w:r>
      <w:r>
        <w:rPr>
          <w:color w:val="3A3838"/>
          <w:spacing w:val="32"/>
          <w:w w:val="110"/>
          <w:sz w:val="21"/>
        </w:rPr>
        <w:t> </w:t>
      </w:r>
      <w:r>
        <w:rPr>
          <w:color w:val="3A3838"/>
          <w:w w:val="110"/>
          <w:sz w:val="21"/>
        </w:rPr>
        <w:t>the</w:t>
      </w:r>
      <w:r>
        <w:rPr>
          <w:color w:val="3A3838"/>
          <w:spacing w:val="57"/>
          <w:w w:val="110"/>
          <w:sz w:val="21"/>
        </w:rPr>
        <w:t> </w:t>
      </w:r>
      <w:r>
        <w:rPr>
          <w:color w:val="3A3838"/>
          <w:w w:val="110"/>
          <w:sz w:val="21"/>
        </w:rPr>
        <w:t>property</w:t>
      </w:r>
      <w:r>
        <w:rPr>
          <w:color w:val="3A3838"/>
          <w:spacing w:val="29"/>
          <w:w w:val="110"/>
          <w:sz w:val="21"/>
        </w:rPr>
        <w:t> </w:t>
      </w:r>
      <w:r>
        <w:rPr>
          <w:color w:val="3A3838"/>
          <w:w w:val="110"/>
          <w:sz w:val="21"/>
        </w:rPr>
        <w:t>for</w:t>
      </w:r>
      <w:r>
        <w:rPr>
          <w:color w:val="3A3838"/>
          <w:spacing w:val="27"/>
          <w:w w:val="110"/>
          <w:sz w:val="21"/>
        </w:rPr>
        <w:t> </w:t>
      </w:r>
      <w:r>
        <w:rPr>
          <w:color w:val="3A3838"/>
          <w:w w:val="110"/>
          <w:sz w:val="24"/>
        </w:rPr>
        <w:t>a</w:t>
      </w:r>
      <w:r>
        <w:rPr>
          <w:color w:val="3A3838"/>
          <w:spacing w:val="16"/>
          <w:w w:val="110"/>
          <w:sz w:val="24"/>
        </w:rPr>
        <w:t> </w:t>
      </w:r>
      <w:r>
        <w:rPr>
          <w:color w:val="3A3838"/>
          <w:w w:val="110"/>
          <w:sz w:val="21"/>
        </w:rPr>
        <w:t>commercial</w:t>
      </w:r>
      <w:r>
        <w:rPr>
          <w:color w:val="3A3838"/>
          <w:spacing w:val="53"/>
          <w:w w:val="110"/>
          <w:sz w:val="21"/>
        </w:rPr>
        <w:t> </w:t>
      </w:r>
      <w:r>
        <w:rPr>
          <w:color w:val="3A3838"/>
          <w:w w:val="110"/>
          <w:sz w:val="21"/>
        </w:rPr>
        <w:t>purpose:</w:t>
      </w:r>
      <w:r>
        <w:rPr>
          <w:color w:val="3A3838"/>
          <w:spacing w:val="9"/>
          <w:w w:val="110"/>
          <w:sz w:val="21"/>
        </w:rPr>
        <w:t> </w:t>
      </w:r>
      <w:r>
        <w:rPr>
          <w:color w:val="3A3838"/>
          <w:w w:val="110"/>
          <w:sz w:val="21"/>
        </w:rPr>
        <w:t>They</w:t>
      </w:r>
      <w:r>
        <w:rPr>
          <w:color w:val="3A3838"/>
          <w:spacing w:val="25"/>
          <w:w w:val="110"/>
          <w:sz w:val="21"/>
        </w:rPr>
        <w:t> </w:t>
      </w:r>
      <w:r>
        <w:rPr>
          <w:color w:val="3A3838"/>
          <w:w w:val="110"/>
          <w:sz w:val="21"/>
        </w:rPr>
        <w:t>were</w:t>
      </w:r>
      <w:r>
        <w:rPr>
          <w:color w:val="3A3838"/>
          <w:spacing w:val="-55"/>
          <w:w w:val="110"/>
          <w:sz w:val="21"/>
        </w:rPr>
        <w:t> </w:t>
      </w:r>
      <w:r>
        <w:rPr>
          <w:color w:val="3A3838"/>
          <w:w w:val="110"/>
          <w:sz w:val="21"/>
        </w:rPr>
        <w:t>present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on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the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property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for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the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sole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purpose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of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conducting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criminal</w:t>
      </w:r>
      <w:r>
        <w:rPr>
          <w:color w:val="3A3838"/>
          <w:spacing w:val="-55"/>
          <w:w w:val="110"/>
          <w:sz w:val="21"/>
        </w:rPr>
        <w:t> </w:t>
      </w:r>
      <w:r>
        <w:rPr>
          <w:color w:val="3A3838"/>
          <w:w w:val="110"/>
          <w:sz w:val="21"/>
        </w:rPr>
        <w:t>business.</w:t>
      </w:r>
    </w:p>
    <w:p>
      <w:pPr>
        <w:spacing w:line="235" w:lineRule="auto" w:before="137"/>
        <w:ind w:left="696" w:right="1059" w:firstLine="369"/>
        <w:jc w:val="both"/>
        <w:rPr>
          <w:sz w:val="21"/>
        </w:rPr>
      </w:pPr>
      <w:r>
        <w:rPr>
          <w:color w:val="3A3838"/>
          <w:w w:val="110"/>
          <w:sz w:val="21"/>
        </w:rPr>
        <w:t>Like the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apartments in </w:t>
      </w:r>
      <w:r>
        <w:rPr>
          <w:rFonts w:ascii="Arial"/>
          <w:color w:val="3A3838"/>
          <w:w w:val="110"/>
          <w:sz w:val="21"/>
        </w:rPr>
        <w:t>Lfm.s </w:t>
      </w:r>
      <w:r>
        <w:rPr>
          <w:color w:val="3A3838"/>
          <w:w w:val="110"/>
          <w:sz w:val="21"/>
        </w:rPr>
        <w:t>and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0"/>
        </w:rPr>
        <w:t>H.iw, </w:t>
      </w:r>
      <w:r>
        <w:rPr>
          <w:color w:val="3A3838"/>
          <w:w w:val="110"/>
          <w:sz w:val="21"/>
        </w:rPr>
        <w:t>the property in the present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5"/>
          <w:sz w:val="21"/>
        </w:rPr>
        <w:t>case had been converted into a commercial center to which outsiders</w:t>
      </w:r>
      <w:r>
        <w:rPr>
          <w:color w:val="3A3838"/>
          <w:spacing w:val="1"/>
          <w:w w:val="115"/>
          <w:sz w:val="21"/>
        </w:rPr>
        <w:t> </w:t>
      </w:r>
      <w:r>
        <w:rPr>
          <w:color w:val="3A3838"/>
          <w:spacing w:val="-1"/>
          <w:w w:val="115"/>
          <w:sz w:val="21"/>
        </w:rPr>
        <w:t>were</w:t>
      </w:r>
      <w:r>
        <w:rPr>
          <w:color w:val="3A3838"/>
          <w:spacing w:val="-17"/>
          <w:w w:val="115"/>
          <w:sz w:val="21"/>
        </w:rPr>
        <w:t> </w:t>
      </w:r>
      <w:r>
        <w:rPr>
          <w:color w:val="3A3838"/>
          <w:spacing w:val="-1"/>
          <w:w w:val="115"/>
          <w:sz w:val="21"/>
        </w:rPr>
        <w:t>invited</w:t>
      </w:r>
      <w:r>
        <w:rPr>
          <w:color w:val="3A3838"/>
          <w:spacing w:val="2"/>
          <w:w w:val="115"/>
          <w:sz w:val="21"/>
        </w:rPr>
        <w:t> </w:t>
      </w:r>
      <w:r>
        <w:rPr>
          <w:color w:val="3A3838"/>
          <w:spacing w:val="-1"/>
          <w:w w:val="115"/>
          <w:sz w:val="21"/>
        </w:rPr>
        <w:t>for</w:t>
      </w:r>
      <w:r>
        <w:rPr>
          <w:color w:val="3A3838"/>
          <w:spacing w:val="3"/>
          <w:w w:val="115"/>
          <w:sz w:val="21"/>
        </w:rPr>
        <w:t> </w:t>
      </w:r>
      <w:r>
        <w:rPr>
          <w:color w:val="3A3838"/>
          <w:spacing w:val="-1"/>
          <w:w w:val="115"/>
          <w:sz w:val="21"/>
        </w:rPr>
        <w:t>purposes</w:t>
      </w:r>
      <w:r>
        <w:rPr>
          <w:color w:val="3A3838"/>
          <w:spacing w:val="-15"/>
          <w:w w:val="115"/>
          <w:sz w:val="21"/>
        </w:rPr>
        <w:t> </w:t>
      </w:r>
      <w:r>
        <w:rPr>
          <w:color w:val="3A3838"/>
          <w:w w:val="115"/>
          <w:sz w:val="21"/>
        </w:rPr>
        <w:t>of</w:t>
      </w:r>
      <w:r>
        <w:rPr>
          <w:color w:val="3A3838"/>
          <w:spacing w:val="3"/>
          <w:w w:val="115"/>
          <w:sz w:val="21"/>
        </w:rPr>
        <w:t> </w:t>
      </w:r>
      <w:r>
        <w:rPr>
          <w:color w:val="3A3838"/>
          <w:w w:val="115"/>
          <w:sz w:val="21"/>
        </w:rPr>
        <w:t>transacting</w:t>
      </w:r>
      <w:r>
        <w:rPr>
          <w:color w:val="3A3838"/>
          <w:spacing w:val="-1"/>
          <w:w w:val="115"/>
          <w:sz w:val="21"/>
        </w:rPr>
        <w:t> </w:t>
      </w:r>
      <w:r>
        <w:rPr>
          <w:color w:val="3A3838"/>
          <w:w w:val="115"/>
          <w:sz w:val="21"/>
        </w:rPr>
        <w:t>unlawful</w:t>
      </w:r>
      <w:r>
        <w:rPr>
          <w:color w:val="3A3838"/>
          <w:spacing w:val="10"/>
          <w:w w:val="115"/>
          <w:sz w:val="21"/>
        </w:rPr>
        <w:t> </w:t>
      </w:r>
      <w:r>
        <w:rPr>
          <w:color w:val="3A3838"/>
          <w:w w:val="115"/>
          <w:sz w:val="21"/>
        </w:rPr>
        <w:t>business.</w:t>
      </w:r>
    </w:p>
    <w:p>
      <w:pPr>
        <w:spacing w:line="240" w:lineRule="auto" w:before="134"/>
        <w:ind w:left="706" w:right="1053" w:firstLine="348"/>
        <w:jc w:val="both"/>
        <w:rPr>
          <w:sz w:val="21"/>
        </w:rPr>
      </w:pPr>
      <w:r>
        <w:rPr>
          <w:color w:val="3A3838"/>
          <w:w w:val="110"/>
          <w:sz w:val="21"/>
        </w:rPr>
        <w:t>Thus,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Respondents,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who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were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conducting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a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purely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commercial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activity, were not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visitors to a "home" and were not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engaging </w:t>
      </w:r>
      <w:r>
        <w:rPr>
          <w:color w:val="3A3838"/>
          <w:w w:val="110"/>
          <w:sz w:val="19"/>
        </w:rPr>
        <w:t>in</w:t>
      </w:r>
      <w:r>
        <w:rPr>
          <w:color w:val="3A3838"/>
          <w:spacing w:val="1"/>
          <w:w w:val="110"/>
          <w:sz w:val="19"/>
        </w:rPr>
        <w:t> </w:t>
      </w:r>
      <w:r>
        <w:rPr>
          <w:color w:val="3A3838"/>
          <w:w w:val="110"/>
          <w:sz w:val="21"/>
        </w:rPr>
        <w:t>long­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standing social customs that serve functions recognized as valuable by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society.</w:t>
      </w:r>
    </w:p>
    <w:p>
      <w:pPr>
        <w:pStyle w:val="BodyText"/>
        <w:spacing w:line="235" w:lineRule="auto" w:before="128"/>
        <w:ind w:left="397" w:right="647" w:hanging="10"/>
        <w:jc w:val="both"/>
      </w:pPr>
      <w:r>
        <w:rPr>
          <w:color w:val="3A3838"/>
          <w:w w:val="115"/>
        </w:rPr>
        <w:t>The small amount of work it will take to incorporate the phrase-that­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  <w:sz w:val="21"/>
        </w:rPr>
        <w:t>pays </w:t>
      </w:r>
      <w:r>
        <w:rPr>
          <w:color w:val="3A3838"/>
          <w:w w:val="110"/>
        </w:rPr>
        <w:t>is worth the trouble. Using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phrase-that-pays in a topic sentence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increases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likelihood that the reader will actually read the paragraph,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  <w:sz w:val="21"/>
        </w:rPr>
        <w:t>and </w:t>
      </w:r>
      <w:r>
        <w:rPr>
          <w:color w:val="3A3838"/>
          <w:w w:val="115"/>
        </w:rPr>
        <w:t>that the user will find the paragraph that he or she is looking for.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These topic sentences therefore increase the value of your argument by</w:t>
      </w:r>
      <w:r>
        <w:rPr>
          <w:color w:val="3A3838"/>
          <w:spacing w:val="-64"/>
          <w:w w:val="115"/>
        </w:rPr>
        <w:t> </w:t>
      </w:r>
      <w:r>
        <w:rPr>
          <w:color w:val="3A3838"/>
          <w:w w:val="115"/>
        </w:rPr>
        <w:t>making</w:t>
      </w:r>
      <w:r>
        <w:rPr>
          <w:color w:val="3A3838"/>
          <w:spacing w:val="-9"/>
          <w:w w:val="115"/>
        </w:rPr>
        <w:t> </w:t>
      </w:r>
      <w:r>
        <w:rPr>
          <w:color w:val="3A3838"/>
          <w:w w:val="115"/>
        </w:rPr>
        <w:t>it</w:t>
      </w:r>
      <w:r>
        <w:rPr>
          <w:color w:val="3A3838"/>
          <w:spacing w:val="2"/>
          <w:w w:val="115"/>
        </w:rPr>
        <w:t> </w:t>
      </w:r>
      <w:r>
        <w:rPr>
          <w:color w:val="3A3838"/>
          <w:w w:val="115"/>
        </w:rPr>
        <w:t>easier</w:t>
      </w:r>
      <w:r>
        <w:rPr>
          <w:color w:val="3A3838"/>
          <w:spacing w:val="-13"/>
          <w:w w:val="115"/>
        </w:rPr>
        <w:t> </w:t>
      </w:r>
      <w:r>
        <w:rPr>
          <w:color w:val="3A3838"/>
          <w:w w:val="115"/>
        </w:rPr>
        <w:t>to</w:t>
      </w:r>
      <w:r>
        <w:rPr>
          <w:color w:val="3A3838"/>
          <w:spacing w:val="12"/>
          <w:w w:val="115"/>
        </w:rPr>
        <w:t> </w:t>
      </w:r>
      <w:r>
        <w:rPr>
          <w:color w:val="3A3838"/>
          <w:w w:val="115"/>
        </w:rPr>
        <w:t>read</w:t>
      </w:r>
      <w:r>
        <w:rPr>
          <w:color w:val="3A3838"/>
          <w:spacing w:val="-12"/>
          <w:w w:val="115"/>
        </w:rPr>
        <w:t> </w:t>
      </w:r>
      <w:r>
        <w:rPr>
          <w:color w:val="3A3838"/>
          <w:w w:val="115"/>
        </w:rPr>
        <w:t>and</w:t>
      </w:r>
      <w:r>
        <w:rPr>
          <w:color w:val="3A3838"/>
          <w:spacing w:val="22"/>
          <w:w w:val="115"/>
        </w:rPr>
        <w:t> </w:t>
      </w:r>
      <w:r>
        <w:rPr>
          <w:color w:val="3A3838"/>
          <w:w w:val="115"/>
        </w:rPr>
        <w:t>easier</w:t>
      </w:r>
      <w:r>
        <w:rPr>
          <w:color w:val="3A3838"/>
          <w:spacing w:val="-5"/>
          <w:w w:val="115"/>
        </w:rPr>
        <w:t> </w:t>
      </w:r>
      <w:r>
        <w:rPr>
          <w:color w:val="3A3838"/>
          <w:w w:val="115"/>
        </w:rPr>
        <w:t>to</w:t>
      </w:r>
      <w:r>
        <w:rPr>
          <w:color w:val="3A3838"/>
          <w:spacing w:val="4"/>
          <w:w w:val="115"/>
        </w:rPr>
        <w:t> </w:t>
      </w:r>
      <w:r>
        <w:rPr>
          <w:color w:val="3A3838"/>
          <w:w w:val="115"/>
        </w:rPr>
        <w:t>use.</w:t>
      </w:r>
    </w:p>
    <w:p>
      <w:pPr>
        <w:pStyle w:val="BodyText"/>
        <w:spacing w:before="8"/>
        <w:rPr>
          <w:sz w:val="33"/>
        </w:rPr>
      </w:pPr>
    </w:p>
    <w:p>
      <w:pPr>
        <w:pStyle w:val="ListParagraph"/>
        <w:numPr>
          <w:ilvl w:val="0"/>
          <w:numId w:val="94"/>
        </w:numPr>
        <w:tabs>
          <w:tab w:pos="1134" w:val="left" w:leader="none"/>
        </w:tabs>
        <w:spacing w:line="242" w:lineRule="exact" w:before="0" w:after="0"/>
        <w:ind w:left="1133" w:right="0" w:hanging="387"/>
        <w:jc w:val="both"/>
        <w:rPr>
          <w:b/>
          <w:color w:val="3A3838"/>
          <w:sz w:val="21"/>
        </w:rPr>
      </w:pPr>
      <w:r>
        <w:rPr>
          <w:b/>
          <w:color w:val="3A3838"/>
          <w:w w:val="120"/>
          <w:sz w:val="21"/>
        </w:rPr>
        <w:t>Using</w:t>
      </w:r>
      <w:r>
        <w:rPr>
          <w:b/>
          <w:color w:val="3A3838"/>
          <w:spacing w:val="-5"/>
          <w:w w:val="120"/>
          <w:sz w:val="21"/>
        </w:rPr>
        <w:t> </w:t>
      </w:r>
      <w:r>
        <w:rPr>
          <w:b/>
          <w:color w:val="3A3838"/>
          <w:w w:val="120"/>
          <w:sz w:val="22"/>
        </w:rPr>
        <w:t>Legally</w:t>
      </w:r>
      <w:r>
        <w:rPr>
          <w:b/>
          <w:color w:val="3A3838"/>
          <w:spacing w:val="-5"/>
          <w:w w:val="120"/>
          <w:sz w:val="22"/>
        </w:rPr>
        <w:t> </w:t>
      </w:r>
      <w:r>
        <w:rPr>
          <w:b/>
          <w:color w:val="3A3838"/>
          <w:w w:val="120"/>
          <w:sz w:val="21"/>
        </w:rPr>
        <w:t>Significant Categories</w:t>
      </w:r>
      <w:r>
        <w:rPr>
          <w:b/>
          <w:color w:val="3A3838"/>
          <w:spacing w:val="-5"/>
          <w:w w:val="120"/>
          <w:sz w:val="21"/>
        </w:rPr>
        <w:t> </w:t>
      </w:r>
      <w:r>
        <w:rPr>
          <w:color w:val="3A3838"/>
          <w:w w:val="120"/>
          <w:sz w:val="21"/>
        </w:rPr>
        <w:t>in</w:t>
      </w:r>
      <w:r>
        <w:rPr>
          <w:color w:val="3A3838"/>
          <w:spacing w:val="49"/>
          <w:w w:val="120"/>
          <w:sz w:val="21"/>
        </w:rPr>
        <w:t> </w:t>
      </w:r>
      <w:r>
        <w:rPr>
          <w:b/>
          <w:color w:val="3A3838"/>
          <w:w w:val="120"/>
          <w:sz w:val="21"/>
        </w:rPr>
        <w:t>Topic</w:t>
      </w:r>
      <w:r>
        <w:rPr>
          <w:b/>
          <w:color w:val="3A3838"/>
          <w:spacing w:val="-1"/>
          <w:w w:val="120"/>
          <w:sz w:val="21"/>
        </w:rPr>
        <w:t> </w:t>
      </w:r>
      <w:r>
        <w:rPr>
          <w:b/>
          <w:color w:val="3A3838"/>
          <w:w w:val="120"/>
          <w:sz w:val="21"/>
        </w:rPr>
        <w:t>Sentences</w:t>
      </w:r>
    </w:p>
    <w:p>
      <w:pPr>
        <w:pStyle w:val="BodyText"/>
        <w:spacing w:line="232" w:lineRule="auto"/>
        <w:ind w:left="413" w:right="573" w:firstLine="313"/>
        <w:jc w:val="both"/>
      </w:pPr>
      <w:r>
        <w:rPr>
          <w:color w:val="3A3838"/>
          <w:w w:val="110"/>
        </w:rPr>
        <w:t>Topic sentences can be used effectively in the summary of the argu­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ment and the fact statement, but their effectiveness is crucial in the argu­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ment section. In particular,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topic sentences in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rule explanation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section have a job to do. At a minimum, an effective topic sentence in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rule explanation should tell the reader something about what the phrase­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626062"/>
          <w:w w:val="110"/>
        </w:rPr>
        <w:t>-</w:t>
      </w:r>
      <w:r>
        <w:rPr>
          <w:color w:val="3A3838"/>
          <w:w w:val="110"/>
        </w:rPr>
        <w:t>pays means, usually by showing how it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has been applied in  the  past.</w:t>
      </w:r>
      <w:r>
        <w:rPr>
          <w:color w:val="3A3838"/>
          <w:spacing w:val="-61"/>
          <w:w w:val="110"/>
        </w:rPr>
        <w:t> </w:t>
      </w:r>
      <w:r>
        <w:rPr>
          <w:rFonts w:ascii="Arial" w:hAnsi="Arial"/>
          <w:color w:val="3A3838"/>
          <w:w w:val="110"/>
          <w:sz w:val="22"/>
        </w:rPr>
        <w:t>A </w:t>
      </w:r>
      <w:r>
        <w:rPr>
          <w:color w:val="3A3838"/>
          <w:w w:val="110"/>
        </w:rPr>
        <w:t>formula for an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effective topic sentence in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 explanation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might be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expressed</w:t>
      </w:r>
      <w:r>
        <w:rPr>
          <w:color w:val="3A3838"/>
          <w:spacing w:val="7"/>
          <w:w w:val="110"/>
        </w:rPr>
        <w:t> </w:t>
      </w:r>
      <w:r>
        <w:rPr>
          <w:color w:val="3A3838"/>
          <w:w w:val="110"/>
        </w:rPr>
        <w:t>as:</w:t>
      </w:r>
    </w:p>
    <w:p>
      <w:pPr>
        <w:spacing w:after="0" w:line="232" w:lineRule="auto"/>
        <w:jc w:val="both"/>
        <w:sectPr>
          <w:headerReference w:type="default" r:id="rId265"/>
          <w:pgSz w:w="9730" w:h="13990"/>
          <w:pgMar w:header="0" w:footer="0" w:top="0" w:bottom="0" w:left="0" w:right="1160"/>
        </w:sectPr>
      </w:pPr>
    </w:p>
    <w:p>
      <w:pPr>
        <w:spacing w:line="230" w:lineRule="auto" w:before="89"/>
        <w:ind w:left="1215" w:right="420" w:firstLine="14"/>
        <w:jc w:val="both"/>
        <w:rPr>
          <w:sz w:val="24"/>
        </w:rPr>
      </w:pPr>
      <w:r>
        <w:rPr>
          <w:color w:val="3A3838"/>
          <w:w w:val="115"/>
          <w:sz w:val="21"/>
        </w:rPr>
        <w:t>Phrase-that-pays is established [or cannot be established] when cat­</w:t>
      </w:r>
      <w:r>
        <w:rPr>
          <w:color w:val="3A3838"/>
          <w:spacing w:val="1"/>
          <w:w w:val="115"/>
          <w:sz w:val="21"/>
        </w:rPr>
        <w:t> </w:t>
      </w:r>
      <w:r>
        <w:rPr>
          <w:color w:val="3A3838"/>
          <w:w w:val="110"/>
          <w:sz w:val="21"/>
        </w:rPr>
        <w:t>egory of facts or reasoning that reveals a new facet of the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phrase-that­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05"/>
          <w:sz w:val="21"/>
        </w:rPr>
        <w:t>pays</w:t>
      </w:r>
      <w:r>
        <w:rPr>
          <w:color w:val="3A3838"/>
          <w:spacing w:val="-17"/>
          <w:w w:val="105"/>
          <w:sz w:val="21"/>
        </w:rPr>
        <w:t> </w:t>
      </w:r>
      <w:r>
        <w:rPr>
          <w:color w:val="3A3838"/>
          <w:w w:val="105"/>
          <w:sz w:val="21"/>
        </w:rPr>
        <w:t>exists.</w:t>
      </w:r>
      <w:r>
        <w:rPr>
          <w:color w:val="3A3838"/>
          <w:spacing w:val="-21"/>
          <w:w w:val="105"/>
          <w:sz w:val="21"/>
        </w:rPr>
        <w:t> </w:t>
      </w:r>
      <w:r>
        <w:rPr>
          <w:color w:val="3A3838"/>
          <w:w w:val="105"/>
          <w:sz w:val="24"/>
          <w:u w:val="thick" w:color="3A3838"/>
        </w:rPr>
        <w:t>[Citation</w:t>
      </w:r>
      <w:r>
        <w:rPr>
          <w:color w:val="3A3838"/>
          <w:spacing w:val="9"/>
          <w:w w:val="105"/>
          <w:sz w:val="24"/>
          <w:u w:val="thick" w:color="3A3838"/>
        </w:rPr>
        <w:t> </w:t>
      </w:r>
      <w:r>
        <w:rPr>
          <w:color w:val="3A3838"/>
          <w:w w:val="105"/>
          <w:sz w:val="24"/>
          <w:u w:val="thick" w:color="3A3838"/>
        </w:rPr>
        <w:t>to</w:t>
      </w:r>
      <w:r>
        <w:rPr>
          <w:color w:val="3A3838"/>
          <w:spacing w:val="-17"/>
          <w:w w:val="105"/>
          <w:sz w:val="24"/>
          <w:u w:val="thick" w:color="3A3838"/>
        </w:rPr>
        <w:t> </w:t>
      </w:r>
      <w:r>
        <w:rPr>
          <w:color w:val="3A3838"/>
          <w:w w:val="105"/>
          <w:sz w:val="21"/>
          <w:u w:val="thick" w:color="3A3838"/>
        </w:rPr>
        <w:t>relevant</w:t>
      </w:r>
      <w:r>
        <w:rPr>
          <w:color w:val="3A3838"/>
          <w:spacing w:val="-3"/>
          <w:w w:val="105"/>
          <w:sz w:val="21"/>
          <w:u w:val="thick" w:color="3A3838"/>
        </w:rPr>
        <w:t> </w:t>
      </w:r>
      <w:r>
        <w:rPr>
          <w:color w:val="3A3838"/>
          <w:w w:val="105"/>
          <w:sz w:val="24"/>
          <w:u w:val="thick" w:color="3A3838"/>
        </w:rPr>
        <w:t>authority.]</w:t>
      </w:r>
    </w:p>
    <w:p>
      <w:pPr>
        <w:pStyle w:val="BodyText"/>
        <w:spacing w:line="232" w:lineRule="auto" w:before="118"/>
        <w:ind w:left="839" w:right="125" w:firstLine="370"/>
        <w:jc w:val="both"/>
      </w:pPr>
      <w:r>
        <w:rPr>
          <w:color w:val="3A3838"/>
          <w:w w:val="105"/>
        </w:rPr>
        <w:t>Many writers waste the beginning of a rule explanation paragraph with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a sentence about the facts of an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authority case, as in this example from a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brief</w:t>
      </w:r>
      <w:r>
        <w:rPr>
          <w:color w:val="3A3838"/>
          <w:spacing w:val="5"/>
          <w:w w:val="105"/>
        </w:rPr>
        <w:t> </w:t>
      </w:r>
      <w:r>
        <w:rPr>
          <w:color w:val="3A3838"/>
          <w:w w:val="105"/>
        </w:rPr>
        <w:t>about</w:t>
      </w:r>
      <w:r>
        <w:rPr>
          <w:color w:val="3A3838"/>
          <w:spacing w:val="-3"/>
          <w:w w:val="105"/>
        </w:rPr>
        <w:t> </w:t>
      </w:r>
      <w:r>
        <w:rPr>
          <w:i/>
          <w:color w:val="3A3838"/>
          <w:w w:val="105"/>
          <w:sz w:val="21"/>
        </w:rPr>
        <w:t>Rubin</w:t>
      </w:r>
      <w:r>
        <w:rPr>
          <w:i/>
          <w:color w:val="3A3838"/>
          <w:spacing w:val="2"/>
          <w:w w:val="105"/>
          <w:sz w:val="21"/>
        </w:rPr>
        <w:t> </w:t>
      </w:r>
      <w:r>
        <w:rPr>
          <w:i/>
          <w:color w:val="3A3838"/>
          <w:w w:val="105"/>
          <w:sz w:val="21"/>
        </w:rPr>
        <w:t>v.</w:t>
      </w:r>
      <w:r>
        <w:rPr>
          <w:i/>
          <w:color w:val="3A3838"/>
          <w:spacing w:val="-25"/>
          <w:w w:val="105"/>
          <w:sz w:val="21"/>
        </w:rPr>
        <w:t> </w:t>
      </w:r>
      <w:r>
        <w:rPr>
          <w:i/>
          <w:color w:val="3A3838"/>
          <w:w w:val="105"/>
          <w:sz w:val="21"/>
        </w:rPr>
        <w:t>Coors</w:t>
      </w:r>
      <w:r>
        <w:rPr>
          <w:i/>
          <w:color w:val="3A3838"/>
          <w:spacing w:val="-6"/>
          <w:w w:val="105"/>
          <w:sz w:val="21"/>
        </w:rPr>
        <w:t> </w:t>
      </w:r>
      <w:r>
        <w:rPr>
          <w:i/>
          <w:color w:val="3A3838"/>
          <w:w w:val="105"/>
          <w:sz w:val="21"/>
        </w:rPr>
        <w:t>Brewing</w:t>
      </w:r>
      <w:r>
        <w:rPr>
          <w:i/>
          <w:color w:val="3A3838"/>
          <w:spacing w:val="-9"/>
          <w:w w:val="105"/>
          <w:sz w:val="21"/>
        </w:rPr>
        <w:t> </w:t>
      </w:r>
      <w:r>
        <w:rPr>
          <w:i/>
          <w:color w:val="3A3838"/>
          <w:w w:val="105"/>
          <w:sz w:val="21"/>
        </w:rPr>
        <w:t>Co.,</w:t>
      </w:r>
      <w:r>
        <w:rPr>
          <w:i/>
          <w:color w:val="3A3838"/>
          <w:spacing w:val="-11"/>
          <w:w w:val="105"/>
          <w:sz w:val="21"/>
        </w:rPr>
        <w:t> </w:t>
      </w:r>
      <w:r>
        <w:rPr>
          <w:color w:val="3A3838"/>
          <w:w w:val="105"/>
        </w:rPr>
        <w:t>514</w:t>
      </w:r>
      <w:r>
        <w:rPr>
          <w:color w:val="3A3838"/>
          <w:spacing w:val="5"/>
          <w:w w:val="105"/>
        </w:rPr>
        <w:t> </w:t>
      </w:r>
      <w:r>
        <w:rPr>
          <w:color w:val="3A3838"/>
          <w:w w:val="105"/>
        </w:rPr>
        <w:t>U.S.</w:t>
      </w:r>
      <w:r>
        <w:rPr>
          <w:color w:val="3A3838"/>
          <w:spacing w:val="-3"/>
          <w:w w:val="105"/>
        </w:rPr>
        <w:t> </w:t>
      </w:r>
      <w:r>
        <w:rPr>
          <w:color w:val="3A3838"/>
          <w:w w:val="105"/>
        </w:rPr>
        <w:t>476</w:t>
      </w:r>
      <w:r>
        <w:rPr>
          <w:color w:val="3A3838"/>
          <w:spacing w:val="40"/>
          <w:w w:val="105"/>
        </w:rPr>
        <w:t> </w:t>
      </w:r>
      <w:r>
        <w:rPr>
          <w:color w:val="3A3838"/>
          <w:w w:val="105"/>
        </w:rPr>
        <w:t>(1995):</w:t>
      </w:r>
    </w:p>
    <w:p>
      <w:pPr>
        <w:pStyle w:val="BodyText"/>
        <w:spacing w:before="4"/>
        <w:rPr>
          <w:sz w:val="11"/>
        </w:rPr>
      </w:pPr>
    </w:p>
    <w:p>
      <w:pPr>
        <w:spacing w:before="93"/>
        <w:ind w:left="807" w:right="0" w:firstLine="0"/>
        <w:jc w:val="both"/>
        <w:rPr>
          <w:sz w:val="16"/>
        </w:rPr>
      </w:pPr>
      <w:r>
        <w:rPr>
          <w:color w:val="3A3838"/>
          <w:sz w:val="16"/>
          <w:u w:val="thick" w:color="3A3838"/>
        </w:rPr>
        <w:t>.,_\/</w:t>
      </w:r>
      <w:r>
        <w:rPr>
          <w:color w:val="3A3838"/>
          <w:spacing w:val="-6"/>
          <w:sz w:val="16"/>
          <w:u w:val="thick" w:color="3A3838"/>
        </w:rPr>
        <w:t> </w:t>
      </w:r>
      <w:r>
        <w:rPr>
          <w:color w:val="3A3838"/>
          <w:sz w:val="16"/>
          <w:u w:val="thick" w:color="3A3838"/>
        </w:rPr>
        <w:t>BAD</w:t>
      </w:r>
      <w:r>
        <w:rPr>
          <w:color w:val="3A3838"/>
          <w:spacing w:val="9"/>
          <w:sz w:val="16"/>
          <w:u w:val="thick" w:color="3A3838"/>
        </w:rPr>
        <w:t> </w:t>
      </w:r>
      <w:r>
        <w:rPr>
          <w:color w:val="3A3838"/>
          <w:sz w:val="16"/>
          <w:u w:val="thick" w:color="3A3838"/>
        </w:rPr>
        <w:t>EXAMP</w:t>
      </w:r>
      <w:r>
        <w:rPr>
          <w:color w:val="565657"/>
          <w:sz w:val="16"/>
          <w:u w:val="thick" w:color="3A3838"/>
        </w:rPr>
        <w:t>L</w:t>
      </w:r>
      <w:r>
        <w:rPr>
          <w:color w:val="3A3838"/>
          <w:sz w:val="16"/>
          <w:u w:val="thick" w:color="3A3838"/>
        </w:rPr>
        <w:t>E</w:t>
      </w:r>
    </w:p>
    <w:p>
      <w:pPr>
        <w:spacing w:line="230" w:lineRule="auto" w:before="67"/>
        <w:ind w:left="1196" w:right="0" w:firstLine="2"/>
        <w:jc w:val="left"/>
        <w:rPr>
          <w:sz w:val="21"/>
        </w:rPr>
      </w:pPr>
      <w:r>
        <w:rPr>
          <w:color w:val="3A3838"/>
          <w:w w:val="110"/>
          <w:sz w:val="21"/>
        </w:rPr>
        <w:t>In</w:t>
      </w:r>
      <w:r>
        <w:rPr>
          <w:color w:val="3A3838"/>
          <w:spacing w:val="22"/>
          <w:w w:val="110"/>
          <w:sz w:val="21"/>
        </w:rPr>
        <w:t> </w:t>
      </w:r>
      <w:r>
        <w:rPr>
          <w:color w:val="3A3838"/>
          <w:w w:val="110"/>
          <w:sz w:val="21"/>
          <w:u w:val="thick" w:color="3A3838"/>
        </w:rPr>
        <w:t>McGuffin.</w:t>
      </w:r>
      <w:r>
        <w:rPr>
          <w:color w:val="3A3838"/>
          <w:spacing w:val="2"/>
          <w:w w:val="110"/>
          <w:sz w:val="21"/>
        </w:rPr>
        <w:t> </w:t>
      </w:r>
      <w:r>
        <w:rPr>
          <w:color w:val="3A3838"/>
          <w:w w:val="110"/>
          <w:sz w:val="21"/>
        </w:rPr>
        <w:t>the</w:t>
      </w:r>
      <w:r>
        <w:rPr>
          <w:color w:val="3A3838"/>
          <w:spacing w:val="41"/>
          <w:w w:val="110"/>
          <w:sz w:val="21"/>
        </w:rPr>
        <w:t> </w:t>
      </w:r>
      <w:r>
        <w:rPr>
          <w:color w:val="3A3838"/>
          <w:w w:val="110"/>
          <w:sz w:val="21"/>
        </w:rPr>
        <w:t>owner</w:t>
      </w:r>
      <w:r>
        <w:rPr>
          <w:color w:val="3A3838"/>
          <w:spacing w:val="-13"/>
          <w:w w:val="110"/>
          <w:sz w:val="21"/>
        </w:rPr>
        <w:t> </w:t>
      </w:r>
      <w:r>
        <w:rPr>
          <w:color w:val="3A3838"/>
          <w:w w:val="110"/>
          <w:sz w:val="21"/>
        </w:rPr>
        <w:t>of</w:t>
      </w:r>
      <w:r>
        <w:rPr>
          <w:color w:val="3A3838"/>
          <w:spacing w:val="-1"/>
          <w:w w:val="110"/>
          <w:sz w:val="21"/>
        </w:rPr>
        <w:t> </w:t>
      </w:r>
      <w:r>
        <w:rPr>
          <w:color w:val="3A3838"/>
          <w:w w:val="110"/>
          <w:sz w:val="21"/>
        </w:rPr>
        <w:t>a casino</w:t>
      </w:r>
      <w:r>
        <w:rPr>
          <w:color w:val="3A3838"/>
          <w:spacing w:val="-2"/>
          <w:w w:val="110"/>
          <w:sz w:val="21"/>
        </w:rPr>
        <w:t> </w:t>
      </w:r>
      <w:r>
        <w:rPr>
          <w:color w:val="3A3838"/>
          <w:w w:val="110"/>
          <w:sz w:val="21"/>
        </w:rPr>
        <w:t>gambling</w:t>
      </w:r>
      <w:r>
        <w:rPr>
          <w:color w:val="3A3838"/>
          <w:spacing w:val="-4"/>
          <w:w w:val="110"/>
          <w:sz w:val="21"/>
        </w:rPr>
        <w:t> </w:t>
      </w:r>
      <w:r>
        <w:rPr>
          <w:color w:val="3A3838"/>
          <w:w w:val="110"/>
          <w:sz w:val="21"/>
        </w:rPr>
        <w:t>operation</w:t>
      </w:r>
      <w:r>
        <w:rPr>
          <w:color w:val="3A3838"/>
          <w:spacing w:val="8"/>
          <w:w w:val="110"/>
          <w:sz w:val="21"/>
        </w:rPr>
        <w:t> </w:t>
      </w:r>
      <w:r>
        <w:rPr>
          <w:color w:val="3A3838"/>
          <w:w w:val="110"/>
          <w:sz w:val="21"/>
        </w:rPr>
        <w:t>sued</w:t>
      </w:r>
      <w:r>
        <w:rPr>
          <w:color w:val="3A3838"/>
          <w:spacing w:val="-2"/>
          <w:w w:val="110"/>
          <w:sz w:val="21"/>
        </w:rPr>
        <w:t> </w:t>
      </w:r>
      <w:r>
        <w:rPr>
          <w:color w:val="3A3838"/>
          <w:w w:val="110"/>
          <w:sz w:val="21"/>
        </w:rPr>
        <w:t>to</w:t>
      </w:r>
      <w:r>
        <w:rPr>
          <w:color w:val="3A3838"/>
          <w:spacing w:val="15"/>
          <w:w w:val="110"/>
          <w:sz w:val="21"/>
        </w:rPr>
        <w:t> </w:t>
      </w:r>
      <w:r>
        <w:rPr>
          <w:color w:val="3A3838"/>
          <w:w w:val="110"/>
          <w:sz w:val="21"/>
        </w:rPr>
        <w:t>enjoin</w:t>
      </w:r>
      <w:r>
        <w:rPr>
          <w:color w:val="3A3838"/>
          <w:spacing w:val="-55"/>
          <w:w w:val="110"/>
          <w:sz w:val="21"/>
        </w:rPr>
        <w:t> </w:t>
      </w:r>
      <w:r>
        <w:rPr>
          <w:color w:val="3A3838"/>
          <w:w w:val="110"/>
          <w:sz w:val="21"/>
        </w:rPr>
        <w:t>enforcement</w:t>
      </w:r>
      <w:r>
        <w:rPr>
          <w:color w:val="3A3838"/>
          <w:spacing w:val="22"/>
          <w:w w:val="110"/>
          <w:sz w:val="21"/>
        </w:rPr>
        <w:t> </w:t>
      </w:r>
      <w:r>
        <w:rPr>
          <w:color w:val="3A3838"/>
          <w:w w:val="110"/>
          <w:sz w:val="21"/>
        </w:rPr>
        <w:t>of</w:t>
      </w:r>
      <w:r>
        <w:rPr>
          <w:color w:val="3A3838"/>
          <w:spacing w:val="6"/>
          <w:w w:val="110"/>
          <w:sz w:val="21"/>
        </w:rPr>
        <w:t> </w:t>
      </w:r>
      <w:r>
        <w:rPr>
          <w:color w:val="3A3838"/>
          <w:w w:val="110"/>
          <w:sz w:val="21"/>
        </w:rPr>
        <w:t>a</w:t>
      </w:r>
      <w:r>
        <w:rPr>
          <w:color w:val="3A3838"/>
          <w:spacing w:val="34"/>
          <w:w w:val="110"/>
          <w:sz w:val="21"/>
        </w:rPr>
        <w:t> </w:t>
      </w:r>
      <w:r>
        <w:rPr>
          <w:color w:val="3A3838"/>
          <w:w w:val="110"/>
          <w:sz w:val="21"/>
        </w:rPr>
        <w:t>restriction</w:t>
      </w:r>
      <w:r>
        <w:rPr>
          <w:color w:val="3A3838"/>
          <w:spacing w:val="8"/>
          <w:w w:val="110"/>
          <w:sz w:val="21"/>
        </w:rPr>
        <w:t> </w:t>
      </w:r>
      <w:r>
        <w:rPr>
          <w:color w:val="3A3838"/>
          <w:w w:val="110"/>
          <w:sz w:val="21"/>
        </w:rPr>
        <w:t>on</w:t>
      </w:r>
      <w:r>
        <w:rPr>
          <w:color w:val="3A3838"/>
          <w:spacing w:val="33"/>
          <w:w w:val="110"/>
          <w:sz w:val="21"/>
        </w:rPr>
        <w:t> </w:t>
      </w:r>
      <w:r>
        <w:rPr>
          <w:color w:val="3A3838"/>
          <w:w w:val="110"/>
          <w:sz w:val="21"/>
        </w:rPr>
        <w:t>casino</w:t>
      </w:r>
      <w:r>
        <w:rPr>
          <w:color w:val="3A3838"/>
          <w:spacing w:val="-7"/>
          <w:w w:val="110"/>
          <w:sz w:val="21"/>
        </w:rPr>
        <w:t> </w:t>
      </w:r>
      <w:r>
        <w:rPr>
          <w:color w:val="3A3838"/>
          <w:w w:val="110"/>
          <w:sz w:val="21"/>
        </w:rPr>
        <w:t>advertising.</w:t>
      </w:r>
      <w:r>
        <w:rPr>
          <w:color w:val="3A3838"/>
          <w:spacing w:val="-6"/>
          <w:w w:val="110"/>
          <w:sz w:val="21"/>
        </w:rPr>
        <w:t> </w:t>
      </w:r>
      <w:r>
        <w:rPr>
          <w:color w:val="3A3838"/>
          <w:w w:val="110"/>
          <w:sz w:val="21"/>
        </w:rPr>
        <w:t>101</w:t>
      </w:r>
      <w:r>
        <w:rPr>
          <w:color w:val="3A3838"/>
          <w:spacing w:val="14"/>
          <w:w w:val="110"/>
          <w:sz w:val="21"/>
        </w:rPr>
        <w:t> </w:t>
      </w:r>
      <w:r>
        <w:rPr>
          <w:color w:val="3A3838"/>
          <w:w w:val="110"/>
          <w:sz w:val="21"/>
        </w:rPr>
        <w:t>U.S.</w:t>
      </w:r>
      <w:r>
        <w:rPr>
          <w:color w:val="3A3838"/>
          <w:spacing w:val="-7"/>
          <w:w w:val="110"/>
          <w:sz w:val="21"/>
        </w:rPr>
        <w:t> </w:t>
      </w:r>
      <w:r>
        <w:rPr>
          <w:color w:val="3A3838"/>
          <w:w w:val="110"/>
          <w:sz w:val="21"/>
        </w:rPr>
        <w:t>at</w:t>
      </w:r>
      <w:r>
        <w:rPr>
          <w:color w:val="3A3838"/>
          <w:spacing w:val="50"/>
          <w:w w:val="110"/>
          <w:sz w:val="21"/>
        </w:rPr>
        <w:t> </w:t>
      </w:r>
      <w:r>
        <w:rPr>
          <w:color w:val="3A3838"/>
          <w:w w:val="110"/>
          <w:sz w:val="21"/>
        </w:rPr>
        <w:t>101.</w:t>
      </w:r>
    </w:p>
    <w:p>
      <w:pPr>
        <w:pStyle w:val="BodyText"/>
        <w:spacing w:line="232" w:lineRule="auto" w:before="152"/>
        <w:ind w:left="811" w:right="128" w:firstLine="9"/>
        <w:jc w:val="both"/>
      </w:pPr>
      <w:r>
        <w:rPr>
          <w:color w:val="3A3838"/>
          <w:w w:val="115"/>
        </w:rPr>
        <w:t>This sentence tells the reader that the paragraph is about the </w:t>
      </w:r>
      <w:r>
        <w:rPr>
          <w:i/>
          <w:color w:val="3A3838"/>
          <w:w w:val="115"/>
          <w:sz w:val="21"/>
        </w:rPr>
        <w:t>McGuffin</w:t>
      </w:r>
      <w:r>
        <w:rPr>
          <w:i/>
          <w:color w:val="3A3838"/>
          <w:spacing w:val="-58"/>
          <w:w w:val="115"/>
          <w:sz w:val="21"/>
        </w:rPr>
        <w:t> </w:t>
      </w:r>
      <w:r>
        <w:rPr>
          <w:color w:val="3A3838"/>
          <w:w w:val="105"/>
        </w:rPr>
        <w:t>case</w:t>
      </w:r>
      <w:r>
        <w:rPr>
          <w:color w:val="565657"/>
          <w:w w:val="105"/>
        </w:rPr>
        <w:t>. </w:t>
      </w:r>
      <w:r>
        <w:rPr>
          <w:color w:val="3A3838"/>
          <w:w w:val="105"/>
        </w:rPr>
        <w:t>While on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some level that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may be true</w:t>
      </w:r>
      <w:r>
        <w:rPr>
          <w:color w:val="565657"/>
          <w:w w:val="105"/>
        </w:rPr>
        <w:t>,</w:t>
      </w:r>
      <w:r>
        <w:rPr>
          <w:color w:val="565657"/>
          <w:spacing w:val="1"/>
          <w:w w:val="105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paragraph  is probably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really about the </w:t>
      </w:r>
      <w:r>
        <w:rPr>
          <w:i/>
          <w:color w:val="3A3838"/>
          <w:w w:val="110"/>
          <w:sz w:val="21"/>
        </w:rPr>
        <w:t>principle </w:t>
      </w:r>
      <w:r>
        <w:rPr>
          <w:color w:val="3A3838"/>
          <w:w w:val="110"/>
        </w:rPr>
        <w:t>from the </w:t>
      </w:r>
      <w:r>
        <w:rPr>
          <w:i/>
          <w:color w:val="3A3838"/>
          <w:w w:val="110"/>
          <w:sz w:val="21"/>
        </w:rPr>
        <w:t>McGuffm </w:t>
      </w:r>
      <w:r>
        <w:rPr>
          <w:color w:val="3A3838"/>
          <w:w w:val="110"/>
        </w:rPr>
        <w:t>case, 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that principle-and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its</w:t>
      </w:r>
      <w:r>
        <w:rPr>
          <w:color w:val="3A3838"/>
          <w:spacing w:val="-18"/>
          <w:w w:val="110"/>
        </w:rPr>
        <w:t> </w:t>
      </w:r>
      <w:r>
        <w:rPr>
          <w:color w:val="3A3838"/>
          <w:w w:val="110"/>
        </w:rPr>
        <w:t>phrase-that</w:t>
      </w:r>
      <w:r>
        <w:rPr>
          <w:color w:val="565657"/>
          <w:w w:val="110"/>
        </w:rPr>
        <w:t>-</w:t>
      </w:r>
      <w:r>
        <w:rPr>
          <w:color w:val="3A3838"/>
          <w:w w:val="110"/>
        </w:rPr>
        <w:t>pays-should</w:t>
      </w:r>
      <w:r>
        <w:rPr>
          <w:color w:val="3A3838"/>
          <w:spacing w:val="29"/>
          <w:w w:val="110"/>
        </w:rPr>
        <w:t> </w:t>
      </w:r>
      <w:r>
        <w:rPr>
          <w:color w:val="3A3838"/>
          <w:w w:val="110"/>
        </w:rPr>
        <w:t>be</w:t>
      </w:r>
      <w:r>
        <w:rPr>
          <w:color w:val="3A3838"/>
          <w:spacing w:val="-3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focus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12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38"/>
          <w:w w:val="110"/>
        </w:rPr>
        <w:t> </w:t>
      </w:r>
      <w:r>
        <w:rPr>
          <w:color w:val="3A3838"/>
          <w:w w:val="110"/>
        </w:rPr>
        <w:t>topic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sentence:</w:t>
      </w:r>
    </w:p>
    <w:p>
      <w:pPr>
        <w:spacing w:before="142"/>
        <w:ind w:left="830" w:right="0" w:firstLine="0"/>
        <w:jc w:val="both"/>
        <w:rPr>
          <w:b/>
          <w:sz w:val="15"/>
        </w:rPr>
      </w:pPr>
      <w:r>
        <w:rPr>
          <w:i/>
          <w:color w:val="3A3838"/>
          <w:w w:val="100"/>
          <w:sz w:val="24"/>
          <w:u w:val="double" w:color="3A3838"/>
        </w:rPr>
        <w:t> </w:t>
      </w:r>
      <w:r>
        <w:rPr>
          <w:i/>
          <w:color w:val="3A3838"/>
          <w:sz w:val="24"/>
          <w:u w:val="double" w:color="3A3838"/>
        </w:rPr>
        <w:t> </w:t>
      </w:r>
      <w:r>
        <w:rPr>
          <w:i/>
          <w:color w:val="3A3838"/>
          <w:spacing w:val="-19"/>
          <w:sz w:val="24"/>
          <w:u w:val="double" w:color="3A3838"/>
        </w:rPr>
        <w:t> </w:t>
      </w:r>
      <w:r>
        <w:rPr>
          <w:i/>
          <w:color w:val="3A3838"/>
          <w:spacing w:val="-2"/>
          <w:w w:val="95"/>
          <w:sz w:val="24"/>
          <w:u w:val="double" w:color="3A3838"/>
        </w:rPr>
        <w:t>f.,.</w:t>
      </w:r>
      <w:r>
        <w:rPr>
          <w:rFonts w:ascii="Arial"/>
          <w:color w:val="3A3838"/>
          <w:spacing w:val="-2"/>
          <w:w w:val="95"/>
          <w:sz w:val="14"/>
          <w:u w:val="double" w:color="3A3838"/>
        </w:rPr>
        <w:t>GOOD</w:t>
      </w:r>
      <w:r>
        <w:rPr>
          <w:rFonts w:ascii="Arial"/>
          <w:color w:val="3A3838"/>
          <w:spacing w:val="-5"/>
          <w:w w:val="95"/>
          <w:sz w:val="14"/>
          <w:u w:val="double" w:color="3A3838"/>
        </w:rPr>
        <w:t> </w:t>
      </w:r>
      <w:r>
        <w:rPr>
          <w:b/>
          <w:color w:val="3A3838"/>
          <w:spacing w:val="-1"/>
          <w:w w:val="95"/>
          <w:sz w:val="15"/>
          <w:u w:val="double" w:color="3A3838"/>
        </w:rPr>
        <w:t>EXAMPLE</w:t>
      </w:r>
    </w:p>
    <w:p>
      <w:pPr>
        <w:spacing w:line="206" w:lineRule="auto" w:before="78"/>
        <w:ind w:left="1147" w:right="252" w:firstLine="7"/>
        <w:jc w:val="left"/>
        <w:rPr>
          <w:b/>
          <w:sz w:val="21"/>
        </w:rPr>
      </w:pPr>
      <w:r>
        <w:rPr>
          <w:b/>
          <w:color w:val="3A3838"/>
          <w:w w:val="105"/>
          <w:sz w:val="21"/>
        </w:rPr>
        <w:t>State</w:t>
      </w:r>
      <w:r>
        <w:rPr>
          <w:b/>
          <w:color w:val="3A3838"/>
          <w:spacing w:val="1"/>
          <w:w w:val="105"/>
          <w:sz w:val="21"/>
        </w:rPr>
        <w:t> </w:t>
      </w:r>
      <w:r>
        <w:rPr>
          <w:b/>
          <w:color w:val="3A3838"/>
          <w:w w:val="105"/>
          <w:sz w:val="21"/>
        </w:rPr>
        <w:t>legislatures</w:t>
      </w:r>
      <w:r>
        <w:rPr>
          <w:b/>
          <w:color w:val="3A3838"/>
          <w:spacing w:val="1"/>
          <w:w w:val="105"/>
          <w:sz w:val="21"/>
        </w:rPr>
        <w:t> </w:t>
      </w:r>
      <w:r>
        <w:rPr>
          <w:b/>
          <w:color w:val="3A3838"/>
          <w:w w:val="105"/>
          <w:sz w:val="21"/>
        </w:rPr>
        <w:t>have more</w:t>
      </w:r>
      <w:r>
        <w:rPr>
          <w:b/>
          <w:color w:val="3A3838"/>
          <w:spacing w:val="1"/>
          <w:w w:val="105"/>
          <w:sz w:val="21"/>
        </w:rPr>
        <w:t> </w:t>
      </w:r>
      <w:r>
        <w:rPr>
          <w:b/>
          <w:color w:val="3A3838"/>
          <w:w w:val="105"/>
          <w:sz w:val="21"/>
        </w:rPr>
        <w:t>latitude</w:t>
      </w:r>
      <w:r>
        <w:rPr>
          <w:b/>
          <w:color w:val="3A3838"/>
          <w:spacing w:val="1"/>
          <w:w w:val="105"/>
          <w:sz w:val="21"/>
        </w:rPr>
        <w:t> </w:t>
      </w:r>
      <w:r>
        <w:rPr>
          <w:b/>
          <w:color w:val="3A3838"/>
          <w:w w:val="105"/>
          <w:sz w:val="21"/>
        </w:rPr>
        <w:t>to</w:t>
      </w:r>
      <w:r>
        <w:rPr>
          <w:b/>
          <w:color w:val="3A3838"/>
          <w:spacing w:val="1"/>
          <w:w w:val="105"/>
          <w:sz w:val="21"/>
        </w:rPr>
        <w:t> </w:t>
      </w:r>
      <w:r>
        <w:rPr>
          <w:b/>
          <w:color w:val="3A3838"/>
          <w:w w:val="105"/>
          <w:sz w:val="21"/>
        </w:rPr>
        <w:t>regulate</w:t>
      </w:r>
      <w:r>
        <w:rPr>
          <w:b/>
          <w:color w:val="3A3838"/>
          <w:spacing w:val="1"/>
          <w:w w:val="105"/>
          <w:sz w:val="21"/>
        </w:rPr>
        <w:t> </w:t>
      </w:r>
      <w:r>
        <w:rPr>
          <w:b/>
          <w:color w:val="3A3838"/>
          <w:w w:val="105"/>
          <w:sz w:val="21"/>
        </w:rPr>
        <w:t>speech</w:t>
      </w:r>
      <w:r>
        <w:rPr>
          <w:b/>
          <w:color w:val="3A3838"/>
          <w:spacing w:val="1"/>
          <w:w w:val="105"/>
          <w:sz w:val="21"/>
        </w:rPr>
        <w:t> </w:t>
      </w:r>
      <w:r>
        <w:rPr>
          <w:b/>
          <w:color w:val="3A3838"/>
          <w:w w:val="105"/>
          <w:sz w:val="21"/>
        </w:rPr>
        <w:t>in</w:t>
      </w:r>
      <w:r>
        <w:rPr>
          <w:b/>
          <w:color w:val="3A3838"/>
          <w:spacing w:val="1"/>
          <w:w w:val="105"/>
          <w:sz w:val="21"/>
        </w:rPr>
        <w:t> </w:t>
      </w:r>
      <w:r>
        <w:rPr>
          <w:b/>
          <w:color w:val="3A3838"/>
          <w:w w:val="105"/>
          <w:sz w:val="21"/>
        </w:rPr>
        <w:t>areas of</w:t>
      </w:r>
      <w:r>
        <w:rPr>
          <w:b/>
          <w:color w:val="3A3838"/>
          <w:spacing w:val="-53"/>
          <w:w w:val="105"/>
          <w:sz w:val="21"/>
        </w:rPr>
        <w:t> </w:t>
      </w:r>
      <w:r>
        <w:rPr>
          <w:b/>
          <w:color w:val="3A3838"/>
          <w:w w:val="105"/>
          <w:sz w:val="21"/>
        </w:rPr>
        <w:t>socially</w:t>
      </w:r>
      <w:r>
        <w:rPr>
          <w:b/>
          <w:color w:val="3A3838"/>
          <w:spacing w:val="-8"/>
          <w:w w:val="105"/>
          <w:sz w:val="21"/>
        </w:rPr>
        <w:t> </w:t>
      </w:r>
      <w:r>
        <w:rPr>
          <w:b/>
          <w:color w:val="3A3838"/>
          <w:w w:val="105"/>
          <w:sz w:val="21"/>
        </w:rPr>
        <w:t>harmful</w:t>
      </w:r>
      <w:r>
        <w:rPr>
          <w:b/>
          <w:color w:val="3A3838"/>
          <w:spacing w:val="-10"/>
          <w:w w:val="105"/>
          <w:sz w:val="21"/>
        </w:rPr>
        <w:t> </w:t>
      </w:r>
      <w:r>
        <w:rPr>
          <w:b/>
          <w:color w:val="3A3838"/>
          <w:w w:val="105"/>
          <w:sz w:val="21"/>
        </w:rPr>
        <w:t>activity.</w:t>
      </w:r>
      <w:r>
        <w:rPr>
          <w:b/>
          <w:color w:val="3A3838"/>
          <w:spacing w:val="-6"/>
          <w:w w:val="105"/>
          <w:sz w:val="21"/>
        </w:rPr>
        <w:t> </w:t>
      </w:r>
      <w:r>
        <w:rPr>
          <w:b/>
          <w:color w:val="3A3838"/>
          <w:w w:val="105"/>
          <w:sz w:val="25"/>
          <w:u w:val="thick" w:color="3A3838"/>
        </w:rPr>
        <w:t>McGuffin.</w:t>
      </w:r>
      <w:r>
        <w:rPr>
          <w:b/>
          <w:color w:val="3A3838"/>
          <w:spacing w:val="-6"/>
          <w:w w:val="105"/>
          <w:sz w:val="25"/>
        </w:rPr>
        <w:t> </w:t>
      </w:r>
      <w:r>
        <w:rPr>
          <w:b/>
          <w:color w:val="3A3838"/>
          <w:w w:val="105"/>
          <w:sz w:val="21"/>
        </w:rPr>
        <w:t>101</w:t>
      </w:r>
      <w:r>
        <w:rPr>
          <w:b/>
          <w:color w:val="3A3838"/>
          <w:spacing w:val="17"/>
          <w:w w:val="105"/>
          <w:sz w:val="21"/>
        </w:rPr>
        <w:t> </w:t>
      </w:r>
      <w:r>
        <w:rPr>
          <w:b/>
          <w:color w:val="3A3838"/>
          <w:w w:val="105"/>
          <w:sz w:val="21"/>
        </w:rPr>
        <w:t>U.S.</w:t>
      </w:r>
      <w:r>
        <w:rPr>
          <w:b/>
          <w:color w:val="3A3838"/>
          <w:spacing w:val="-12"/>
          <w:w w:val="105"/>
          <w:sz w:val="21"/>
        </w:rPr>
        <w:t> </w:t>
      </w:r>
      <w:r>
        <w:rPr>
          <w:b/>
          <w:color w:val="3A3838"/>
          <w:w w:val="105"/>
          <w:sz w:val="21"/>
        </w:rPr>
        <w:t>at</w:t>
      </w:r>
      <w:r>
        <w:rPr>
          <w:b/>
          <w:color w:val="3A3838"/>
          <w:spacing w:val="17"/>
          <w:w w:val="105"/>
          <w:sz w:val="21"/>
        </w:rPr>
        <w:t> </w:t>
      </w:r>
      <w:r>
        <w:rPr>
          <w:b/>
          <w:color w:val="3A3838"/>
          <w:w w:val="105"/>
          <w:sz w:val="21"/>
        </w:rPr>
        <w:t>101.</w:t>
      </w:r>
    </w:p>
    <w:p>
      <w:pPr>
        <w:pStyle w:val="BodyText"/>
        <w:spacing w:line="235" w:lineRule="auto" w:before="130"/>
        <w:ind w:left="749" w:right="111" w:firstLine="34"/>
        <w:jc w:val="right"/>
      </w:pPr>
      <w:r>
        <w:rPr>
          <w:color w:val="3A3838"/>
          <w:w w:val="110"/>
        </w:rPr>
        <w:t>In</w:t>
      </w:r>
      <w:r>
        <w:rPr>
          <w:color w:val="3A3838"/>
          <w:spacing w:val="24"/>
          <w:w w:val="110"/>
        </w:rPr>
        <w:t> </w:t>
      </w:r>
      <w:r>
        <w:rPr>
          <w:color w:val="3A3838"/>
          <w:w w:val="110"/>
        </w:rPr>
        <w:t>this</w:t>
      </w:r>
      <w:r>
        <w:rPr>
          <w:color w:val="3A3838"/>
          <w:spacing w:val="18"/>
          <w:w w:val="110"/>
        </w:rPr>
        <w:t> </w:t>
      </w:r>
      <w:r>
        <w:rPr>
          <w:color w:val="3A3838"/>
          <w:w w:val="110"/>
        </w:rPr>
        <w:t>way,</w:t>
      </w:r>
      <w:r>
        <w:rPr>
          <w:color w:val="3A3838"/>
          <w:spacing w:val="35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7"/>
          <w:w w:val="110"/>
        </w:rPr>
        <w:t> </w:t>
      </w:r>
      <w:r>
        <w:rPr>
          <w:color w:val="3A3838"/>
          <w:w w:val="110"/>
        </w:rPr>
        <w:t>writer</w:t>
      </w:r>
      <w:r>
        <w:rPr>
          <w:color w:val="3A3838"/>
          <w:spacing w:val="26"/>
          <w:w w:val="110"/>
        </w:rPr>
        <w:t> </w:t>
      </w:r>
      <w:r>
        <w:rPr>
          <w:color w:val="3A3838"/>
          <w:w w:val="110"/>
        </w:rPr>
        <w:t>focuses</w:t>
      </w:r>
      <w:r>
        <w:rPr>
          <w:color w:val="3A3838"/>
          <w:spacing w:val="2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54"/>
          <w:w w:val="110"/>
        </w:rPr>
        <w:t> </w:t>
      </w:r>
      <w:r>
        <w:rPr>
          <w:color w:val="3A3838"/>
          <w:w w:val="110"/>
        </w:rPr>
        <w:t>reader's</w:t>
      </w:r>
      <w:r>
        <w:rPr>
          <w:color w:val="3A3838"/>
          <w:spacing w:val="16"/>
          <w:w w:val="110"/>
        </w:rPr>
        <w:t> </w:t>
      </w:r>
      <w:r>
        <w:rPr>
          <w:color w:val="3A3838"/>
          <w:w w:val="110"/>
        </w:rPr>
        <w:t>attention</w:t>
      </w:r>
      <w:r>
        <w:rPr>
          <w:color w:val="3A3838"/>
          <w:spacing w:val="33"/>
          <w:w w:val="110"/>
        </w:rPr>
        <w:t> </w:t>
      </w:r>
      <w:r>
        <w:rPr>
          <w:color w:val="3A3838"/>
          <w:w w:val="110"/>
        </w:rPr>
        <w:t>on</w:t>
      </w:r>
      <w:r>
        <w:rPr>
          <w:color w:val="3A3838"/>
          <w:spacing w:val="43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35"/>
          <w:w w:val="110"/>
        </w:rPr>
        <w:t> </w:t>
      </w:r>
      <w:r>
        <w:rPr>
          <w:color w:val="3A3838"/>
          <w:w w:val="110"/>
        </w:rPr>
        <w:t>true</w:t>
      </w:r>
      <w:r>
        <w:rPr>
          <w:color w:val="3A3838"/>
          <w:spacing w:val="21"/>
          <w:w w:val="110"/>
        </w:rPr>
        <w:t> </w:t>
      </w:r>
      <w:r>
        <w:rPr>
          <w:color w:val="3A3838"/>
          <w:w w:val="110"/>
        </w:rPr>
        <w:t>point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17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47"/>
          <w:w w:val="110"/>
        </w:rPr>
        <w:t> </w:t>
      </w:r>
      <w:r>
        <w:rPr>
          <w:color w:val="3A3838"/>
          <w:w w:val="110"/>
        </w:rPr>
        <w:t>paragraph:</w:t>
      </w:r>
      <w:r>
        <w:rPr>
          <w:color w:val="3A3838"/>
          <w:spacing w:val="2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45"/>
          <w:w w:val="110"/>
        </w:rPr>
        <w:t> </w:t>
      </w:r>
      <w:r>
        <w:rPr>
          <w:color w:val="3A3838"/>
          <w:w w:val="110"/>
        </w:rPr>
        <w:t>legislature's</w:t>
      </w:r>
      <w:r>
        <w:rPr>
          <w:color w:val="3A3838"/>
          <w:spacing w:val="19"/>
          <w:w w:val="110"/>
        </w:rPr>
        <w:t> </w:t>
      </w:r>
      <w:r>
        <w:rPr>
          <w:color w:val="3A3838"/>
          <w:w w:val="110"/>
        </w:rPr>
        <w:t>ability</w:t>
      </w:r>
      <w:r>
        <w:rPr>
          <w:color w:val="3A3838"/>
          <w:spacing w:val="19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21"/>
          <w:w w:val="110"/>
        </w:rPr>
        <w:t> </w:t>
      </w:r>
      <w:r>
        <w:rPr>
          <w:color w:val="3A3838"/>
          <w:w w:val="110"/>
        </w:rPr>
        <w:t>"regulate</w:t>
      </w:r>
      <w:r>
        <w:rPr>
          <w:color w:val="3A3838"/>
          <w:spacing w:val="11"/>
          <w:w w:val="110"/>
        </w:rPr>
        <w:t> </w:t>
      </w:r>
      <w:r>
        <w:rPr>
          <w:color w:val="3A3838"/>
          <w:w w:val="110"/>
        </w:rPr>
        <w:t>speech,"</w:t>
      </w:r>
      <w:r>
        <w:rPr>
          <w:color w:val="3A3838"/>
          <w:spacing w:val="16"/>
          <w:w w:val="110"/>
        </w:rPr>
        <w:t> </w:t>
      </w:r>
      <w:r>
        <w:rPr>
          <w:color w:val="3A3838"/>
          <w:w w:val="110"/>
        </w:rPr>
        <w:t>which</w:t>
      </w:r>
      <w:r>
        <w:rPr>
          <w:color w:val="3A3838"/>
          <w:spacing w:val="-5"/>
          <w:w w:val="110"/>
        </w:rPr>
        <w:t> </w:t>
      </w:r>
      <w:r>
        <w:rPr>
          <w:color w:val="3A3838"/>
          <w:w w:val="110"/>
        </w:rPr>
        <w:t>is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43"/>
          <w:w w:val="110"/>
        </w:rPr>
        <w:t> </w:t>
      </w:r>
      <w:r>
        <w:rPr>
          <w:color w:val="3A3838"/>
          <w:w w:val="110"/>
        </w:rPr>
        <w:t>focus</w:t>
      </w:r>
      <w:r>
        <w:rPr>
          <w:color w:val="3A3838"/>
          <w:spacing w:val="8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34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14"/>
          <w:w w:val="110"/>
        </w:rPr>
        <w:t> </w:t>
      </w:r>
      <w:r>
        <w:rPr>
          <w:color w:val="3A3838"/>
          <w:w w:val="110"/>
        </w:rPr>
        <w:t>section</w:t>
      </w:r>
      <w:r>
        <w:rPr>
          <w:color w:val="3A3838"/>
          <w:spacing w:val="32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36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54"/>
          <w:w w:val="110"/>
        </w:rPr>
        <w:t> </w:t>
      </w:r>
      <w:r>
        <w:rPr>
          <w:color w:val="3A3838"/>
          <w:w w:val="110"/>
        </w:rPr>
        <w:t>document.</w:t>
      </w:r>
      <w:r>
        <w:rPr>
          <w:color w:val="3A3838"/>
          <w:spacing w:val="23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8"/>
          <w:w w:val="110"/>
        </w:rPr>
        <w:t> </w:t>
      </w:r>
      <w:r>
        <w:rPr>
          <w:color w:val="3A3838"/>
          <w:w w:val="110"/>
        </w:rPr>
        <w:t>reader</w:t>
      </w:r>
      <w:r>
        <w:rPr>
          <w:color w:val="3A3838"/>
          <w:spacing w:val="29"/>
          <w:w w:val="110"/>
        </w:rPr>
        <w:t> </w:t>
      </w:r>
      <w:r>
        <w:rPr>
          <w:color w:val="3A3838"/>
          <w:w w:val="110"/>
        </w:rPr>
        <w:t>then</w:t>
      </w:r>
      <w:r>
        <w:rPr>
          <w:color w:val="3A3838"/>
          <w:spacing w:val="44"/>
          <w:w w:val="110"/>
        </w:rPr>
        <w:t> </w:t>
      </w:r>
      <w:r>
        <w:rPr>
          <w:color w:val="3A3838"/>
          <w:w w:val="110"/>
        </w:rPr>
        <w:t>knows</w:t>
      </w:r>
      <w:r>
        <w:rPr>
          <w:color w:val="3A3838"/>
          <w:spacing w:val="8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this paragraph will explain some new facet of the conditions under which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states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may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regulate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speech: They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have more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authority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do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so when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socially</w:t>
      </w:r>
      <w:r>
        <w:rPr>
          <w:color w:val="3A3838"/>
          <w:spacing w:val="7"/>
          <w:w w:val="110"/>
        </w:rPr>
        <w:t> </w:t>
      </w:r>
      <w:r>
        <w:rPr>
          <w:color w:val="3A3838"/>
          <w:w w:val="110"/>
        </w:rPr>
        <w:t>harmful</w:t>
      </w:r>
      <w:r>
        <w:rPr>
          <w:color w:val="3A3838"/>
          <w:spacing w:val="9"/>
          <w:w w:val="110"/>
        </w:rPr>
        <w:t> </w:t>
      </w:r>
      <w:r>
        <w:rPr>
          <w:color w:val="3A3838"/>
          <w:w w:val="110"/>
        </w:rPr>
        <w:t>activity</w:t>
      </w:r>
      <w:r>
        <w:rPr>
          <w:color w:val="3A3838"/>
          <w:spacing w:val="6"/>
          <w:w w:val="110"/>
        </w:rPr>
        <w:t> </w:t>
      </w:r>
      <w:r>
        <w:rPr>
          <w:color w:val="3A3838"/>
          <w:w w:val="110"/>
        </w:rPr>
        <w:t>is</w:t>
      </w:r>
      <w:r>
        <w:rPr>
          <w:color w:val="3A3838"/>
          <w:spacing w:val="2"/>
          <w:w w:val="110"/>
        </w:rPr>
        <w:t> </w:t>
      </w:r>
      <w:r>
        <w:rPr>
          <w:color w:val="3A3838"/>
          <w:w w:val="110"/>
        </w:rPr>
        <w:t>at</w:t>
      </w:r>
      <w:r>
        <w:rPr>
          <w:color w:val="3A3838"/>
          <w:spacing w:val="19"/>
          <w:w w:val="110"/>
        </w:rPr>
        <w:t> </w:t>
      </w:r>
      <w:r>
        <w:rPr>
          <w:color w:val="3A3838"/>
          <w:w w:val="110"/>
        </w:rPr>
        <w:t>issue.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16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32"/>
          <w:w w:val="110"/>
        </w:rPr>
        <w:t> </w:t>
      </w:r>
      <w:r>
        <w:rPr>
          <w:color w:val="3A3838"/>
          <w:w w:val="110"/>
        </w:rPr>
        <w:t>first</w:t>
      </w:r>
      <w:r>
        <w:rPr>
          <w:color w:val="3A3838"/>
          <w:spacing w:val="10"/>
          <w:w w:val="110"/>
        </w:rPr>
        <w:t> </w:t>
      </w:r>
      <w:r>
        <w:rPr>
          <w:color w:val="3A3838"/>
          <w:w w:val="110"/>
        </w:rPr>
        <w:t>example,</w:t>
      </w:r>
      <w:r>
        <w:rPr>
          <w:color w:val="3A3838"/>
          <w:spacing w:val="23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13"/>
          <w:w w:val="110"/>
        </w:rPr>
        <w:t> </w:t>
      </w:r>
      <w:r>
        <w:rPr>
          <w:color w:val="3A3838"/>
          <w:w w:val="110"/>
        </w:rPr>
        <w:t>contrast.</w:t>
      </w:r>
      <w:r>
        <w:rPr>
          <w:color w:val="3A3838"/>
          <w:spacing w:val="-7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-60"/>
          <w:w w:val="110"/>
        </w:rPr>
        <w:t> </w:t>
      </w:r>
      <w:r>
        <w:rPr>
          <w:color w:val="3A3838"/>
          <w:w w:val="110"/>
        </w:rPr>
        <w:t>reader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knew</w:t>
      </w:r>
      <w:r>
        <w:rPr>
          <w:color w:val="3A3838"/>
          <w:spacing w:val="-26"/>
          <w:w w:val="110"/>
        </w:rPr>
        <w:t> </w:t>
      </w:r>
      <w:r>
        <w:rPr>
          <w:color w:val="3A3838"/>
          <w:w w:val="110"/>
        </w:rPr>
        <w:t>only</w:t>
      </w:r>
      <w:r>
        <w:rPr>
          <w:color w:val="3A3838"/>
          <w:spacing w:val="-23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-19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-26"/>
          <w:w w:val="110"/>
        </w:rPr>
        <w:t> </w:t>
      </w:r>
      <w:r>
        <w:rPr>
          <w:color w:val="3A3838"/>
          <w:w w:val="110"/>
        </w:rPr>
        <w:t>writer</w:t>
      </w:r>
      <w:r>
        <w:rPr>
          <w:color w:val="3A3838"/>
          <w:spacing w:val="-3"/>
          <w:w w:val="110"/>
        </w:rPr>
        <w:t> </w:t>
      </w:r>
      <w:r>
        <w:rPr>
          <w:color w:val="3A3838"/>
          <w:w w:val="110"/>
        </w:rPr>
        <w:t>would</w:t>
      </w:r>
      <w:r>
        <w:rPr>
          <w:color w:val="3A3838"/>
          <w:spacing w:val="11"/>
          <w:w w:val="110"/>
        </w:rPr>
        <w:t> </w:t>
      </w:r>
      <w:r>
        <w:rPr>
          <w:color w:val="3A3838"/>
          <w:w w:val="110"/>
        </w:rPr>
        <w:t>be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talking</w:t>
      </w:r>
      <w:r>
        <w:rPr>
          <w:color w:val="3A3838"/>
          <w:spacing w:val="-18"/>
          <w:w w:val="110"/>
        </w:rPr>
        <w:t> </w:t>
      </w:r>
      <w:r>
        <w:rPr>
          <w:color w:val="3A3838"/>
          <w:w w:val="110"/>
        </w:rPr>
        <w:t>about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3"/>
          <w:w w:val="110"/>
        </w:rPr>
        <w:t> </w:t>
      </w:r>
      <w:r>
        <w:rPr>
          <w:i/>
          <w:color w:val="3A3838"/>
          <w:w w:val="110"/>
          <w:sz w:val="21"/>
        </w:rPr>
        <w:t>McGuffin</w:t>
      </w:r>
      <w:r>
        <w:rPr>
          <w:i/>
          <w:color w:val="3A3838"/>
          <w:spacing w:val="-17"/>
          <w:w w:val="110"/>
          <w:sz w:val="21"/>
        </w:rPr>
        <w:t> </w:t>
      </w:r>
      <w:r>
        <w:rPr>
          <w:color w:val="3A3838"/>
          <w:w w:val="110"/>
        </w:rPr>
        <w:t>case.</w:t>
      </w:r>
    </w:p>
    <w:p>
      <w:pPr>
        <w:pStyle w:val="BodyText"/>
        <w:spacing w:line="230" w:lineRule="auto"/>
        <w:ind w:left="618" w:right="123" w:firstLine="494"/>
        <w:jc w:val="both"/>
      </w:pPr>
      <w:r>
        <w:rPr>
          <w:color w:val="3A3838"/>
          <w:w w:val="105"/>
        </w:rPr>
        <w:t>Being able to identify legally significant categories is an important skill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in  legal analysis, and  you can  use it </w:t>
      </w:r>
      <w:r>
        <w:rPr>
          <w:i/>
          <w:color w:val="3A3838"/>
          <w:w w:val="105"/>
          <w:sz w:val="24"/>
        </w:rPr>
        <w:t>to </w:t>
      </w:r>
      <w:r>
        <w:rPr>
          <w:color w:val="3A3838"/>
          <w:w w:val="105"/>
        </w:rPr>
        <w:t>your advantage in topic sentences.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For example, if you are planning to argue that the rule in the case(s) dis­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0"/>
        </w:rPr>
        <w:t>cussed in a particular </w:t>
      </w:r>
      <w:r>
        <w:rPr>
          <w:color w:val="3A3838"/>
          <w:w w:val="110"/>
        </w:rPr>
        <w:t>paragraph should apply in the same way to your </w:t>
      </w:r>
      <w:r>
        <w:rPr>
          <w:color w:val="3A3838"/>
          <w:w w:val="110"/>
          <w:sz w:val="22"/>
        </w:rPr>
        <w:t>cli­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15"/>
        </w:rPr>
        <w:t>ent's case, you will want </w:t>
      </w:r>
      <w:r>
        <w:rPr>
          <w:i/>
          <w:color w:val="3A3838"/>
          <w:w w:val="115"/>
          <w:sz w:val="24"/>
        </w:rPr>
        <w:t>to </w:t>
      </w:r>
      <w:r>
        <w:rPr>
          <w:color w:val="3A3838"/>
          <w:w w:val="115"/>
        </w:rPr>
        <w:t>look for categories-and use language-that</w:t>
      </w:r>
      <w:r>
        <w:rPr>
          <w:color w:val="3A3838"/>
          <w:spacing w:val="1"/>
          <w:w w:val="115"/>
        </w:rPr>
        <w:t> </w:t>
      </w:r>
      <w:r>
        <w:rPr>
          <w:color w:val="3A3838"/>
          <w:spacing w:val="-1"/>
          <w:w w:val="110"/>
        </w:rPr>
        <w:t>makes </w:t>
      </w:r>
      <w:r>
        <w:rPr>
          <w:color w:val="3A3838"/>
          <w:spacing w:val="-1"/>
          <w:w w:val="110"/>
          <w:sz w:val="21"/>
        </w:rPr>
        <w:t>it </w:t>
      </w:r>
      <w:r>
        <w:rPr>
          <w:color w:val="3A3838"/>
          <w:spacing w:val="-1"/>
          <w:w w:val="110"/>
        </w:rPr>
        <w:t>easier for the reader to see that connection. </w:t>
      </w:r>
      <w:r>
        <w:rPr>
          <w:color w:val="3A3838"/>
          <w:w w:val="110"/>
        </w:rPr>
        <w:t>In the example above</w:t>
      </w:r>
      <w:r>
        <w:rPr>
          <w:color w:val="565657"/>
          <w:w w:val="110"/>
        </w:rPr>
        <w:t>,</w:t>
      </w:r>
      <w:r>
        <w:rPr>
          <w:color w:val="565657"/>
          <w:spacing w:val="1"/>
          <w:w w:val="110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writer was advocating  for restrictions  on  beer adverti</w:t>
      </w:r>
      <w:r>
        <w:rPr>
          <w:color w:val="565657"/>
          <w:w w:val="105"/>
        </w:rPr>
        <w:t>s</w:t>
      </w:r>
      <w:r>
        <w:rPr>
          <w:color w:val="3A3838"/>
          <w:w w:val="105"/>
        </w:rPr>
        <w:t>ing  and  wanted</w:t>
      </w:r>
      <w:r>
        <w:rPr>
          <w:color w:val="3A3838"/>
          <w:spacing w:val="1"/>
          <w:w w:val="105"/>
        </w:rPr>
        <w:t> </w:t>
      </w:r>
      <w:r>
        <w:rPr>
          <w:i/>
          <w:color w:val="3A3838"/>
          <w:w w:val="110"/>
          <w:sz w:val="24"/>
        </w:rPr>
        <w:t>to </w:t>
      </w:r>
      <w:r>
        <w:rPr>
          <w:color w:val="3A3838"/>
          <w:w w:val="110"/>
        </w:rPr>
        <w:t>analogize those restrictions to restrictions on casino advertising. Rather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than talking about the specifics of casino advertising, she talked categori­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5"/>
        </w:rPr>
        <w:t>caJJy about </w:t>
      </w:r>
      <w:r>
        <w:rPr>
          <w:color w:val="3A3838"/>
          <w:w w:val="115"/>
        </w:rPr>
        <w:t>"socially harmful activity." If appropriate, the writer might</w:t>
      </w:r>
      <w:r>
        <w:rPr>
          <w:color w:val="3A3838"/>
          <w:spacing w:val="-64"/>
          <w:w w:val="115"/>
        </w:rPr>
        <w:t> </w:t>
      </w:r>
      <w:r>
        <w:rPr>
          <w:color w:val="3A3838"/>
          <w:w w:val="115"/>
        </w:rPr>
        <w:t>also find a way to  use a word-such as "broad," "general," "wide</w:t>
      </w:r>
      <w:r>
        <w:rPr>
          <w:color w:val="565657"/>
          <w:w w:val="115"/>
        </w:rPr>
        <w:t>,</w:t>
      </w:r>
      <w:r>
        <w:rPr>
          <w:color w:val="3A3838"/>
          <w:w w:val="115"/>
        </w:rPr>
        <w:t>" or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the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20"/>
        </w:rPr>
        <w:t>like-that </w:t>
      </w:r>
      <w:r>
        <w:rPr>
          <w:color w:val="3A3838"/>
          <w:w w:val="115"/>
        </w:rPr>
        <w:t>highlights the breadth of the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latitude allowed to state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legislatures:</w:t>
      </w:r>
    </w:p>
    <w:p>
      <w:pPr>
        <w:pStyle w:val="BodyText"/>
        <w:spacing w:before="3"/>
        <w:rPr>
          <w:sz w:val="12"/>
        </w:rPr>
      </w:pPr>
    </w:p>
    <w:p>
      <w:pPr>
        <w:spacing w:before="97"/>
        <w:ind w:left="579" w:right="0" w:firstLine="0"/>
        <w:jc w:val="left"/>
        <w:rPr>
          <w:rFonts w:ascii="Arial"/>
          <w:sz w:val="14"/>
        </w:rPr>
      </w:pPr>
      <w:r>
        <w:rPr>
          <w:rFonts w:ascii="Arial"/>
          <w:color w:val="3A3838"/>
          <w:w w:val="115"/>
          <w:sz w:val="14"/>
          <w:u w:val="thick" w:color="3A3838"/>
        </w:rPr>
        <w:t>_/</w:t>
      </w:r>
      <w:r>
        <w:rPr>
          <w:rFonts w:ascii="Arial"/>
          <w:color w:val="565657"/>
          <w:w w:val="115"/>
          <w:sz w:val="14"/>
          <w:u w:val="thick" w:color="3A3838"/>
        </w:rPr>
        <w:t>\    </w:t>
      </w:r>
      <w:r>
        <w:rPr>
          <w:rFonts w:ascii="Arial"/>
          <w:color w:val="3A3838"/>
          <w:w w:val="115"/>
          <w:sz w:val="14"/>
          <w:u w:val="thick" w:color="3A3838"/>
        </w:rPr>
        <w:t>GOOD</w:t>
      </w:r>
      <w:r>
        <w:rPr>
          <w:rFonts w:ascii="Arial"/>
          <w:color w:val="3A3838"/>
          <w:spacing w:val="-8"/>
          <w:w w:val="115"/>
          <w:sz w:val="14"/>
          <w:u w:val="thick" w:color="3A3838"/>
        </w:rPr>
        <w:t> </w:t>
      </w:r>
      <w:r>
        <w:rPr>
          <w:rFonts w:ascii="Arial"/>
          <w:color w:val="3A3838"/>
          <w:w w:val="115"/>
          <w:sz w:val="14"/>
          <w:u w:val="thick" w:color="3A3838"/>
        </w:rPr>
        <w:t>E</w:t>
      </w:r>
      <w:r>
        <w:rPr>
          <w:rFonts w:ascii="Arial"/>
          <w:color w:val="565657"/>
          <w:w w:val="115"/>
          <w:sz w:val="14"/>
          <w:u w:val="thick" w:color="3A3838"/>
        </w:rPr>
        <w:t>XAM</w:t>
      </w:r>
      <w:r>
        <w:rPr>
          <w:rFonts w:ascii="Arial"/>
          <w:color w:val="3A3838"/>
          <w:w w:val="115"/>
          <w:sz w:val="14"/>
          <w:u w:val="thick" w:color="3A3838"/>
        </w:rPr>
        <w:t>PLE</w:t>
      </w:r>
    </w:p>
    <w:p>
      <w:pPr>
        <w:spacing w:line="206" w:lineRule="auto" w:before="90"/>
        <w:ind w:left="954" w:right="252" w:firstLine="7"/>
        <w:jc w:val="left"/>
        <w:rPr>
          <w:b/>
          <w:sz w:val="21"/>
        </w:rPr>
      </w:pPr>
      <w:r>
        <w:rPr>
          <w:b/>
          <w:color w:val="3A3838"/>
          <w:w w:val="110"/>
          <w:sz w:val="21"/>
        </w:rPr>
        <w:t>State legislatures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have wider latitude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to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regulate speech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in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areas of</w:t>
      </w:r>
      <w:r>
        <w:rPr>
          <w:b/>
          <w:color w:val="3A3838"/>
          <w:spacing w:val="-55"/>
          <w:w w:val="110"/>
          <w:sz w:val="21"/>
        </w:rPr>
        <w:t> </w:t>
      </w:r>
      <w:r>
        <w:rPr>
          <w:b/>
          <w:color w:val="3A3838"/>
          <w:w w:val="105"/>
          <w:sz w:val="21"/>
        </w:rPr>
        <w:t>socially</w:t>
      </w:r>
      <w:r>
        <w:rPr>
          <w:b/>
          <w:color w:val="3A3838"/>
          <w:spacing w:val="-3"/>
          <w:w w:val="105"/>
          <w:sz w:val="21"/>
        </w:rPr>
        <w:t> </w:t>
      </w:r>
      <w:r>
        <w:rPr>
          <w:b/>
          <w:color w:val="3A3838"/>
          <w:w w:val="105"/>
          <w:sz w:val="21"/>
        </w:rPr>
        <w:t>harmful</w:t>
      </w:r>
      <w:r>
        <w:rPr>
          <w:b/>
          <w:color w:val="3A3838"/>
          <w:spacing w:val="2"/>
          <w:w w:val="105"/>
          <w:sz w:val="21"/>
        </w:rPr>
        <w:t> </w:t>
      </w:r>
      <w:r>
        <w:rPr>
          <w:b/>
          <w:color w:val="3A3838"/>
          <w:w w:val="105"/>
          <w:sz w:val="21"/>
        </w:rPr>
        <w:t>activity.</w:t>
      </w:r>
      <w:r>
        <w:rPr>
          <w:b/>
          <w:color w:val="3A3838"/>
          <w:spacing w:val="-2"/>
          <w:w w:val="105"/>
          <w:sz w:val="21"/>
        </w:rPr>
        <w:t> </w:t>
      </w:r>
      <w:r>
        <w:rPr>
          <w:b/>
          <w:color w:val="3A3838"/>
          <w:w w:val="105"/>
          <w:sz w:val="25"/>
          <w:u w:val="thick" w:color="3A3838"/>
        </w:rPr>
        <w:t>McGuffin.</w:t>
      </w:r>
      <w:r>
        <w:rPr>
          <w:b/>
          <w:color w:val="3A3838"/>
          <w:spacing w:val="6"/>
          <w:w w:val="105"/>
          <w:sz w:val="25"/>
        </w:rPr>
        <w:t> </w:t>
      </w:r>
      <w:r>
        <w:rPr>
          <w:b/>
          <w:color w:val="3A3838"/>
          <w:w w:val="105"/>
          <w:sz w:val="21"/>
        </w:rPr>
        <w:t>101</w:t>
      </w:r>
      <w:r>
        <w:rPr>
          <w:b/>
          <w:color w:val="3A3838"/>
          <w:spacing w:val="9"/>
          <w:w w:val="105"/>
          <w:sz w:val="21"/>
        </w:rPr>
        <w:t> </w:t>
      </w:r>
      <w:r>
        <w:rPr>
          <w:b/>
          <w:color w:val="3A3838"/>
          <w:w w:val="105"/>
          <w:sz w:val="21"/>
        </w:rPr>
        <w:t>U.S.</w:t>
      </w:r>
      <w:r>
        <w:rPr>
          <w:b/>
          <w:color w:val="3A3838"/>
          <w:spacing w:val="-11"/>
          <w:w w:val="105"/>
          <w:sz w:val="21"/>
        </w:rPr>
        <w:t> </w:t>
      </w:r>
      <w:r>
        <w:rPr>
          <w:b/>
          <w:color w:val="3A3838"/>
          <w:w w:val="105"/>
          <w:sz w:val="21"/>
        </w:rPr>
        <w:t>at</w:t>
      </w:r>
      <w:r>
        <w:rPr>
          <w:b/>
          <w:color w:val="3A3838"/>
          <w:spacing w:val="16"/>
          <w:w w:val="105"/>
          <w:sz w:val="21"/>
        </w:rPr>
        <w:t> </w:t>
      </w:r>
      <w:r>
        <w:rPr>
          <w:b/>
          <w:color w:val="3A3838"/>
          <w:w w:val="105"/>
          <w:sz w:val="21"/>
        </w:rPr>
        <w:t>101.</w:t>
      </w:r>
    </w:p>
    <w:p>
      <w:pPr>
        <w:pStyle w:val="BodyText"/>
        <w:spacing w:line="235" w:lineRule="auto" w:before="129"/>
        <w:ind w:left="547" w:right="147" w:firstLine="4"/>
      </w:pPr>
      <w:r>
        <w:rPr>
          <w:color w:val="3A3838"/>
          <w:w w:val="115"/>
        </w:rPr>
        <w:t>Thetopicsentenceconnectstheconceptofthephrase-that-pays-regulating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speech-to</w:t>
      </w:r>
      <w:r>
        <w:rPr>
          <w:color w:val="3A3838"/>
          <w:spacing w:val="-2"/>
          <w:w w:val="115"/>
        </w:rPr>
        <w:t> </w:t>
      </w:r>
      <w:r>
        <w:rPr>
          <w:color w:val="3A3838"/>
          <w:w w:val="115"/>
        </w:rPr>
        <w:t>a</w:t>
      </w:r>
      <w:r>
        <w:rPr>
          <w:color w:val="3A3838"/>
          <w:spacing w:val="-25"/>
          <w:w w:val="115"/>
        </w:rPr>
        <w:t> </w:t>
      </w:r>
      <w:r>
        <w:rPr>
          <w:color w:val="3A3838"/>
          <w:w w:val="115"/>
        </w:rPr>
        <w:t>legally</w:t>
      </w:r>
      <w:r>
        <w:rPr>
          <w:color w:val="3A3838"/>
          <w:spacing w:val="-12"/>
          <w:w w:val="115"/>
        </w:rPr>
        <w:t> </w:t>
      </w:r>
      <w:r>
        <w:rPr>
          <w:color w:val="3A3838"/>
          <w:w w:val="115"/>
        </w:rPr>
        <w:t>significant</w:t>
      </w:r>
      <w:r>
        <w:rPr>
          <w:color w:val="3A3838"/>
          <w:spacing w:val="5"/>
          <w:w w:val="115"/>
        </w:rPr>
        <w:t> </w:t>
      </w:r>
      <w:r>
        <w:rPr>
          <w:color w:val="3A3838"/>
          <w:w w:val="115"/>
        </w:rPr>
        <w:t>category</w:t>
      </w:r>
      <w:r>
        <w:rPr>
          <w:color w:val="3A3838"/>
          <w:spacing w:val="10"/>
          <w:w w:val="115"/>
        </w:rPr>
        <w:t> </w:t>
      </w:r>
      <w:r>
        <w:rPr>
          <w:color w:val="3A3838"/>
          <w:w w:val="115"/>
        </w:rPr>
        <w:t>from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an</w:t>
      </w:r>
      <w:r>
        <w:rPr>
          <w:color w:val="3A3838"/>
          <w:spacing w:val="29"/>
          <w:w w:val="115"/>
        </w:rPr>
        <w:t> </w:t>
      </w:r>
      <w:r>
        <w:rPr>
          <w:color w:val="3A3838"/>
          <w:w w:val="115"/>
        </w:rPr>
        <w:t>authority</w:t>
      </w:r>
      <w:r>
        <w:rPr>
          <w:color w:val="3A3838"/>
          <w:spacing w:val="12"/>
          <w:w w:val="115"/>
        </w:rPr>
        <w:t> </w:t>
      </w:r>
      <w:r>
        <w:rPr>
          <w:color w:val="3A3838"/>
          <w:w w:val="115"/>
        </w:rPr>
        <w:t>case-socially</w:t>
      </w:r>
    </w:p>
    <w:p>
      <w:pPr>
        <w:spacing w:after="0" w:line="235" w:lineRule="auto"/>
        <w:sectPr>
          <w:headerReference w:type="even" r:id="rId266"/>
          <w:headerReference w:type="default" r:id="rId267"/>
          <w:pgSz w:w="9830" w:h="13970"/>
          <w:pgMar w:header="549" w:footer="0" w:top="1140" w:bottom="280" w:left="1360" w:right="180"/>
          <w:pgNumType w:start="236"/>
        </w:sectPr>
      </w:pPr>
    </w:p>
    <w:p>
      <w:pPr>
        <w:pStyle w:val="BodyText"/>
        <w:spacing w:line="232" w:lineRule="auto" w:before="87"/>
        <w:ind w:left="121" w:right="596" w:firstLine="9"/>
        <w:jc w:val="both"/>
      </w:pPr>
      <w:r>
        <w:rPr>
          <w:color w:val="3B383A"/>
          <w:w w:val="110"/>
        </w:rPr>
        <w:t>harmful activity. Upon reading this sentence, the reader may instantly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realize that drinking beer is a socially harmful activity and decide that</w:t>
      </w:r>
      <w:r>
        <w:rPr>
          <w:color w:val="3B383A"/>
          <w:spacing w:val="1"/>
          <w:w w:val="110"/>
        </w:rPr>
        <w:t> </w:t>
      </w:r>
      <w:r>
        <w:rPr>
          <w:color w:val="3B383A"/>
          <w:spacing w:val="-1"/>
          <w:w w:val="110"/>
        </w:rPr>
        <w:t>state</w:t>
      </w:r>
      <w:r>
        <w:rPr>
          <w:color w:val="3B383A"/>
          <w:spacing w:val="-20"/>
          <w:w w:val="110"/>
        </w:rPr>
        <w:t> </w:t>
      </w:r>
      <w:r>
        <w:rPr>
          <w:color w:val="3B383A"/>
          <w:spacing w:val="-1"/>
          <w:w w:val="110"/>
        </w:rPr>
        <w:t>legislatures</w:t>
      </w:r>
      <w:r>
        <w:rPr>
          <w:color w:val="3B383A"/>
          <w:spacing w:val="-14"/>
          <w:w w:val="110"/>
        </w:rPr>
        <w:t> </w:t>
      </w:r>
      <w:r>
        <w:rPr>
          <w:color w:val="3B383A"/>
          <w:spacing w:val="-1"/>
          <w:w w:val="110"/>
        </w:rPr>
        <w:t>should</w:t>
      </w:r>
      <w:r>
        <w:rPr>
          <w:color w:val="3B383A"/>
          <w:spacing w:val="2"/>
          <w:w w:val="110"/>
        </w:rPr>
        <w:t> </w:t>
      </w:r>
      <w:r>
        <w:rPr>
          <w:color w:val="3B383A"/>
          <w:spacing w:val="-1"/>
          <w:w w:val="110"/>
        </w:rPr>
        <w:t>have</w:t>
      </w:r>
      <w:r>
        <w:rPr>
          <w:color w:val="3B383A"/>
          <w:spacing w:val="-4"/>
          <w:w w:val="110"/>
        </w:rPr>
        <w:t> </w:t>
      </w:r>
      <w:r>
        <w:rPr>
          <w:color w:val="3B383A"/>
          <w:spacing w:val="-1"/>
          <w:w w:val="110"/>
        </w:rPr>
        <w:t>more</w:t>
      </w:r>
      <w:r>
        <w:rPr>
          <w:color w:val="3B383A"/>
          <w:spacing w:val="-22"/>
          <w:w w:val="110"/>
        </w:rPr>
        <w:t> </w:t>
      </w:r>
      <w:r>
        <w:rPr>
          <w:color w:val="3B383A"/>
          <w:spacing w:val="-1"/>
          <w:w w:val="110"/>
        </w:rPr>
        <w:t>latitude</w:t>
      </w:r>
      <w:r>
        <w:rPr>
          <w:color w:val="3B383A"/>
          <w:spacing w:val="-2"/>
          <w:w w:val="110"/>
        </w:rPr>
        <w:t> </w:t>
      </w:r>
      <w:r>
        <w:rPr>
          <w:color w:val="3B383A"/>
          <w:spacing w:val="-1"/>
          <w:w w:val="110"/>
        </w:rPr>
        <w:t>to</w:t>
      </w:r>
      <w:r>
        <w:rPr>
          <w:color w:val="3B383A"/>
          <w:spacing w:val="-6"/>
          <w:w w:val="110"/>
        </w:rPr>
        <w:t> </w:t>
      </w:r>
      <w:r>
        <w:rPr>
          <w:color w:val="3B383A"/>
          <w:spacing w:val="-1"/>
          <w:w w:val="110"/>
        </w:rPr>
        <w:t>regulate</w:t>
      </w:r>
      <w:r>
        <w:rPr>
          <w:color w:val="3B383A"/>
          <w:spacing w:val="-14"/>
          <w:w w:val="110"/>
        </w:rPr>
        <w:t> </w:t>
      </w:r>
      <w:r>
        <w:rPr>
          <w:color w:val="3B383A"/>
          <w:w w:val="110"/>
        </w:rPr>
        <w:t>it.</w:t>
      </w:r>
      <w:r>
        <w:rPr>
          <w:color w:val="3B383A"/>
          <w:spacing w:val="-1"/>
          <w:w w:val="110"/>
        </w:rPr>
        <w:t> </w:t>
      </w:r>
      <w:r>
        <w:rPr>
          <w:color w:val="3B383A"/>
          <w:w w:val="110"/>
        </w:rPr>
        <w:t>When</w:t>
      </w:r>
      <w:r>
        <w:rPr>
          <w:color w:val="3B383A"/>
          <w:spacing w:val="3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writer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later argues this exact point, the reader may accept it more readily, believ­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ing</w:t>
      </w:r>
      <w:r>
        <w:rPr>
          <w:color w:val="3B383A"/>
          <w:spacing w:val="-15"/>
          <w:w w:val="110"/>
        </w:rPr>
        <w:t> </w:t>
      </w:r>
      <w:r>
        <w:rPr>
          <w:color w:val="3B383A"/>
          <w:w w:val="110"/>
        </w:rPr>
        <w:t>that he</w:t>
      </w:r>
      <w:r>
        <w:rPr>
          <w:color w:val="3B383A"/>
          <w:spacing w:val="-16"/>
          <w:w w:val="110"/>
        </w:rPr>
        <w:t> </w:t>
      </w:r>
      <w:r>
        <w:rPr>
          <w:color w:val="3B383A"/>
          <w:w w:val="110"/>
        </w:rPr>
        <w:t>or</w:t>
      </w:r>
      <w:r>
        <w:rPr>
          <w:color w:val="3B383A"/>
          <w:spacing w:val="-4"/>
          <w:w w:val="110"/>
        </w:rPr>
        <w:t> </w:t>
      </w:r>
      <w:r>
        <w:rPr>
          <w:color w:val="3B383A"/>
          <w:w w:val="110"/>
        </w:rPr>
        <w:t>she</w:t>
      </w:r>
      <w:r>
        <w:rPr>
          <w:color w:val="3B383A"/>
          <w:spacing w:val="-5"/>
          <w:w w:val="110"/>
        </w:rPr>
        <w:t> </w:t>
      </w:r>
      <w:r>
        <w:rPr>
          <w:color w:val="3B383A"/>
          <w:w w:val="110"/>
        </w:rPr>
        <w:t>reached it independently.</w:t>
      </w:r>
    </w:p>
    <w:p>
      <w:pPr>
        <w:pStyle w:val="BodyText"/>
        <w:spacing w:line="247" w:lineRule="exact"/>
        <w:ind w:left="455"/>
        <w:jc w:val="both"/>
      </w:pPr>
      <w:r>
        <w:rPr>
          <w:color w:val="3B383A"/>
          <w:w w:val="110"/>
        </w:rPr>
        <w:t>In</w:t>
      </w:r>
      <w:r>
        <w:rPr>
          <w:color w:val="3B383A"/>
          <w:spacing w:val="-6"/>
          <w:w w:val="110"/>
        </w:rPr>
        <w:t> </w:t>
      </w:r>
      <w:r>
        <w:rPr>
          <w:color w:val="3B383A"/>
          <w:w w:val="110"/>
        </w:rPr>
        <w:t>contrast,</w:t>
      </w:r>
      <w:r>
        <w:rPr>
          <w:color w:val="3B383A"/>
          <w:spacing w:val="6"/>
          <w:w w:val="110"/>
        </w:rPr>
        <w:t> </w:t>
      </w:r>
      <w:r>
        <w:rPr>
          <w:color w:val="3B383A"/>
          <w:w w:val="110"/>
        </w:rPr>
        <w:t>if</w:t>
      </w:r>
      <w:r>
        <w:rPr>
          <w:color w:val="3B383A"/>
          <w:spacing w:val="14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48"/>
          <w:w w:val="110"/>
        </w:rPr>
        <w:t> </w:t>
      </w:r>
      <w:r>
        <w:rPr>
          <w:color w:val="3B383A"/>
          <w:w w:val="110"/>
        </w:rPr>
        <w:t>writer</w:t>
      </w:r>
      <w:r>
        <w:rPr>
          <w:color w:val="3B383A"/>
          <w:spacing w:val="10"/>
          <w:w w:val="110"/>
        </w:rPr>
        <w:t> </w:t>
      </w:r>
      <w:r>
        <w:rPr>
          <w:color w:val="3B383A"/>
          <w:w w:val="110"/>
        </w:rPr>
        <w:t>were</w:t>
      </w:r>
      <w:r>
        <w:rPr>
          <w:color w:val="3B383A"/>
          <w:spacing w:val="-5"/>
          <w:w w:val="110"/>
        </w:rPr>
        <w:t> </w:t>
      </w:r>
      <w:r>
        <w:rPr>
          <w:color w:val="3B383A"/>
          <w:w w:val="110"/>
        </w:rPr>
        <w:t>arguing</w:t>
      </w:r>
      <w:r>
        <w:rPr>
          <w:color w:val="3B383A"/>
          <w:spacing w:val="2"/>
          <w:w w:val="110"/>
        </w:rPr>
        <w:t> </w:t>
      </w:r>
      <w:r>
        <w:rPr>
          <w:i/>
          <w:color w:val="3B383A"/>
          <w:w w:val="110"/>
          <w:sz w:val="22"/>
        </w:rPr>
        <w:t>against</w:t>
      </w:r>
      <w:r>
        <w:rPr>
          <w:i/>
          <w:color w:val="3B383A"/>
          <w:spacing w:val="-8"/>
          <w:w w:val="110"/>
          <w:sz w:val="22"/>
        </w:rPr>
        <w:t> </w:t>
      </w:r>
      <w:r>
        <w:rPr>
          <w:color w:val="3B383A"/>
          <w:w w:val="110"/>
        </w:rPr>
        <w:t>limits</w:t>
      </w:r>
      <w:r>
        <w:rPr>
          <w:color w:val="3B383A"/>
          <w:spacing w:val="-6"/>
          <w:w w:val="110"/>
        </w:rPr>
        <w:t> </w:t>
      </w:r>
      <w:r>
        <w:rPr>
          <w:color w:val="3B383A"/>
          <w:w w:val="110"/>
        </w:rPr>
        <w:t>on</w:t>
      </w:r>
      <w:r>
        <w:rPr>
          <w:color w:val="3B383A"/>
          <w:spacing w:val="25"/>
          <w:w w:val="110"/>
        </w:rPr>
        <w:t> </w:t>
      </w:r>
      <w:r>
        <w:rPr>
          <w:color w:val="3B383A"/>
          <w:w w:val="110"/>
        </w:rPr>
        <w:t>beer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advertis­</w:t>
      </w:r>
    </w:p>
    <w:p>
      <w:pPr>
        <w:pStyle w:val="BodyText"/>
        <w:spacing w:line="232" w:lineRule="auto" w:before="12"/>
        <w:ind w:left="118" w:right="547" w:firstLine="8"/>
        <w:jc w:val="both"/>
      </w:pPr>
      <w:r>
        <w:rPr>
          <w:color w:val="3B383A"/>
          <w:w w:val="105"/>
        </w:rPr>
        <w:t>ing, she might try to talk about the </w:t>
      </w:r>
      <w:r>
        <w:rPr>
          <w:i/>
          <w:color w:val="3B383A"/>
          <w:w w:val="105"/>
        </w:rPr>
        <w:t>McGuffin </w:t>
      </w:r>
      <w:r>
        <w:rPr>
          <w:color w:val="3B383A"/>
          <w:w w:val="105"/>
        </w:rPr>
        <w:t>case in a way that stressed its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differences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from  the  client's case. The  restriction  on  speech was allowed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in </w:t>
      </w:r>
      <w:r>
        <w:rPr>
          <w:i/>
          <w:color w:val="3B383A"/>
          <w:w w:val="110"/>
        </w:rPr>
        <w:t>McGuftin, </w:t>
      </w:r>
      <w:r>
        <w:rPr>
          <w:color w:val="3B383A"/>
          <w:w w:val="110"/>
        </w:rPr>
        <w:t>so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writer might first, if appropriate, use language like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"only," "narrow," "few," or "limits" to signal that a restriction of this type</w:t>
      </w:r>
      <w:r>
        <w:rPr>
          <w:color w:val="3B383A"/>
          <w:spacing w:val="-61"/>
          <w:w w:val="110"/>
        </w:rPr>
        <w:t> </w:t>
      </w:r>
      <w:r>
        <w:rPr>
          <w:color w:val="3B383A"/>
          <w:w w:val="110"/>
        </w:rPr>
        <w:t>is</w:t>
      </w:r>
      <w:r>
        <w:rPr>
          <w:color w:val="3B383A"/>
          <w:spacing w:val="-31"/>
          <w:w w:val="110"/>
        </w:rPr>
        <w:t> </w:t>
      </w:r>
      <w:r>
        <w:rPr>
          <w:color w:val="3B383A"/>
          <w:w w:val="110"/>
        </w:rPr>
        <w:t>unusual.</w:t>
      </w:r>
      <w:r>
        <w:rPr>
          <w:color w:val="3B383A"/>
          <w:spacing w:val="-1"/>
          <w:w w:val="110"/>
        </w:rPr>
        <w:t> </w:t>
      </w:r>
      <w:r>
        <w:rPr>
          <w:color w:val="3B383A"/>
          <w:w w:val="110"/>
        </w:rPr>
        <w:t>Furthermore,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instead</w:t>
      </w:r>
      <w:r>
        <w:rPr>
          <w:color w:val="3B383A"/>
          <w:spacing w:val="-8"/>
          <w:w w:val="110"/>
        </w:rPr>
        <w:t> </w:t>
      </w:r>
      <w:r>
        <w:rPr>
          <w:color w:val="3B383A"/>
          <w:w w:val="110"/>
        </w:rPr>
        <w:t>of</w:t>
      </w:r>
      <w:r>
        <w:rPr>
          <w:color w:val="3B383A"/>
          <w:spacing w:val="3"/>
          <w:w w:val="110"/>
        </w:rPr>
        <w:t> </w:t>
      </w:r>
      <w:r>
        <w:rPr>
          <w:color w:val="3B383A"/>
          <w:w w:val="110"/>
        </w:rPr>
        <w:t>usinga</w:t>
      </w:r>
      <w:r>
        <w:rPr>
          <w:color w:val="3B383A"/>
          <w:spacing w:val="-4"/>
          <w:w w:val="110"/>
        </w:rPr>
        <w:t> </w:t>
      </w:r>
      <w:r>
        <w:rPr>
          <w:color w:val="3B383A"/>
          <w:w w:val="110"/>
        </w:rPr>
        <w:t>category</w:t>
      </w:r>
      <w:r>
        <w:rPr>
          <w:color w:val="3B383A"/>
          <w:spacing w:val="-5"/>
          <w:w w:val="110"/>
        </w:rPr>
        <w:t> </w:t>
      </w:r>
      <w:r>
        <w:rPr>
          <w:color w:val="3B383A"/>
          <w:w w:val="110"/>
        </w:rPr>
        <w:t>that</w:t>
      </w:r>
      <w:r>
        <w:rPr>
          <w:color w:val="3B383A"/>
          <w:spacing w:val="-13"/>
          <w:w w:val="110"/>
        </w:rPr>
        <w:t> </w:t>
      </w:r>
      <w:r>
        <w:rPr>
          <w:color w:val="3B383A"/>
          <w:w w:val="110"/>
        </w:rPr>
        <w:t>is</w:t>
      </w:r>
      <w:r>
        <w:rPr>
          <w:color w:val="3B383A"/>
          <w:spacing w:val="-34"/>
          <w:w w:val="110"/>
        </w:rPr>
        <w:t> </w:t>
      </w:r>
      <w:r>
        <w:rPr>
          <w:color w:val="3B383A"/>
          <w:w w:val="110"/>
        </w:rPr>
        <w:t>easy</w:t>
      </w:r>
      <w:r>
        <w:rPr>
          <w:color w:val="3B383A"/>
          <w:spacing w:val="-9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connect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to beer </w:t>
      </w:r>
      <w:r>
        <w:rPr>
          <w:color w:val="3B383A"/>
          <w:w w:val="120"/>
        </w:rPr>
        <w:t>drinking- </w:t>
      </w:r>
      <w:r>
        <w:rPr>
          <w:color w:val="3B383A"/>
          <w:w w:val="110"/>
        </w:rPr>
        <w:t>"socially harmful activities"  </w:t>
      </w:r>
      <w:r>
        <w:rPr>
          <w:color w:val="3B383A"/>
          <w:w w:val="150"/>
        </w:rPr>
        <w:t>-the </w:t>
      </w:r>
      <w:r>
        <w:rPr>
          <w:color w:val="3B383A"/>
          <w:w w:val="110"/>
        </w:rPr>
        <w:t>writer could try to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be</w:t>
      </w:r>
      <w:r>
        <w:rPr>
          <w:color w:val="3B383A"/>
          <w:spacing w:val="-28"/>
          <w:w w:val="110"/>
        </w:rPr>
        <w:t> </w:t>
      </w:r>
      <w:r>
        <w:rPr>
          <w:color w:val="3B383A"/>
          <w:w w:val="110"/>
        </w:rPr>
        <w:t>more</w:t>
      </w:r>
      <w:r>
        <w:rPr>
          <w:color w:val="3B383A"/>
          <w:spacing w:val="-34"/>
          <w:w w:val="110"/>
        </w:rPr>
        <w:t> </w:t>
      </w:r>
      <w:r>
        <w:rPr>
          <w:color w:val="3B383A"/>
          <w:w w:val="110"/>
        </w:rPr>
        <w:t>specific</w:t>
      </w:r>
      <w:r>
        <w:rPr>
          <w:color w:val="3B383A"/>
          <w:spacing w:val="-29"/>
          <w:w w:val="110"/>
        </w:rPr>
        <w:t> </w:t>
      </w:r>
      <w:r>
        <w:rPr>
          <w:rFonts w:ascii="Arial"/>
          <w:i/>
          <w:color w:val="3B383A"/>
          <w:w w:val="110"/>
          <w:sz w:val="20"/>
        </w:rPr>
        <w:t>or</w:t>
      </w:r>
      <w:r>
        <w:rPr>
          <w:rFonts w:ascii="Arial"/>
          <w:i/>
          <w:color w:val="3B383A"/>
          <w:spacing w:val="10"/>
          <w:w w:val="110"/>
          <w:sz w:val="2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14"/>
          <w:w w:val="110"/>
        </w:rPr>
        <w:t> </w:t>
      </w:r>
      <w:r>
        <w:rPr>
          <w:color w:val="3B383A"/>
          <w:w w:val="110"/>
        </w:rPr>
        <w:t>identify</w:t>
      </w:r>
      <w:r>
        <w:rPr>
          <w:color w:val="3B383A"/>
          <w:spacing w:val="-20"/>
          <w:w w:val="110"/>
        </w:rPr>
        <w:t> </w:t>
      </w:r>
      <w:r>
        <w:rPr>
          <w:color w:val="3B383A"/>
          <w:w w:val="110"/>
        </w:rPr>
        <w:t>a</w:t>
      </w:r>
      <w:r>
        <w:rPr>
          <w:color w:val="3B383A"/>
          <w:spacing w:val="-10"/>
          <w:w w:val="110"/>
        </w:rPr>
        <w:t> </w:t>
      </w:r>
      <w:r>
        <w:rPr>
          <w:color w:val="3B383A"/>
          <w:w w:val="110"/>
        </w:rPr>
        <w:t>category</w:t>
      </w:r>
      <w:r>
        <w:rPr>
          <w:color w:val="3B383A"/>
          <w:spacing w:val="-11"/>
          <w:w w:val="110"/>
        </w:rPr>
        <w:t> </w:t>
      </w:r>
      <w:r>
        <w:rPr>
          <w:color w:val="3B383A"/>
          <w:w w:val="110"/>
        </w:rPr>
        <w:t>that</w:t>
      </w:r>
      <w:r>
        <w:rPr>
          <w:color w:val="3B383A"/>
          <w:spacing w:val="-6"/>
          <w:w w:val="110"/>
        </w:rPr>
        <w:t> </w:t>
      </w:r>
      <w:r>
        <w:rPr>
          <w:color w:val="3B383A"/>
          <w:w w:val="110"/>
        </w:rPr>
        <w:t>might</w:t>
      </w:r>
      <w:r>
        <w:rPr>
          <w:color w:val="3B383A"/>
          <w:spacing w:val="6"/>
          <w:w w:val="110"/>
        </w:rPr>
        <w:t> </w:t>
      </w:r>
      <w:r>
        <w:rPr>
          <w:color w:val="3B383A"/>
          <w:w w:val="110"/>
        </w:rPr>
        <w:t>not</w:t>
      </w:r>
      <w:r>
        <w:rPr>
          <w:color w:val="3B383A"/>
          <w:spacing w:val="-1"/>
          <w:w w:val="110"/>
        </w:rPr>
        <w:t> </w:t>
      </w:r>
      <w:r>
        <w:rPr>
          <w:color w:val="3B383A"/>
          <w:w w:val="110"/>
        </w:rPr>
        <w:t>connect</w:t>
      </w:r>
      <w:r>
        <w:rPr>
          <w:color w:val="3B383A"/>
          <w:spacing w:val="-10"/>
          <w:w w:val="110"/>
        </w:rPr>
        <w:t> </w:t>
      </w:r>
      <w:r>
        <w:rPr>
          <w:color w:val="3B383A"/>
          <w:w w:val="110"/>
        </w:rPr>
        <w:t>so</w:t>
      </w:r>
      <w:r>
        <w:rPr>
          <w:color w:val="3B383A"/>
          <w:spacing w:val="-17"/>
          <w:w w:val="110"/>
        </w:rPr>
        <w:t> </w:t>
      </w:r>
      <w:r>
        <w:rPr>
          <w:color w:val="3B383A"/>
          <w:w w:val="110"/>
        </w:rPr>
        <w:t>readily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-15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-5"/>
          <w:w w:val="110"/>
        </w:rPr>
        <w:t> </w:t>
      </w:r>
      <w:r>
        <w:rPr>
          <w:color w:val="3B383A"/>
          <w:w w:val="110"/>
        </w:rPr>
        <w:t>concept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of</w:t>
      </w:r>
      <w:r>
        <w:rPr>
          <w:color w:val="3B383A"/>
          <w:spacing w:val="-4"/>
          <w:w w:val="110"/>
        </w:rPr>
        <w:t> </w:t>
      </w:r>
      <w:r>
        <w:rPr>
          <w:color w:val="3B383A"/>
          <w:w w:val="110"/>
        </w:rPr>
        <w:t>drinking</w:t>
      </w:r>
      <w:r>
        <w:rPr>
          <w:color w:val="3B383A"/>
          <w:spacing w:val="5"/>
          <w:w w:val="110"/>
        </w:rPr>
        <w:t> </w:t>
      </w:r>
      <w:r>
        <w:rPr>
          <w:color w:val="3B383A"/>
          <w:w w:val="110"/>
        </w:rPr>
        <w:t>beer</w:t>
      </w:r>
      <w:r>
        <w:rPr>
          <w:color w:val="5D5D5E"/>
          <w:w w:val="110"/>
        </w:rPr>
        <w:t>:</w:t>
      </w:r>
    </w:p>
    <w:p>
      <w:pPr>
        <w:pStyle w:val="BodyText"/>
        <w:rPr>
          <w:sz w:val="10"/>
        </w:rPr>
      </w:pPr>
    </w:p>
    <w:p>
      <w:pPr>
        <w:spacing w:before="96"/>
        <w:ind w:left="101" w:right="0" w:firstLine="0"/>
        <w:jc w:val="both"/>
        <w:rPr>
          <w:rFonts w:ascii="Arial"/>
          <w:sz w:val="14"/>
        </w:rPr>
      </w:pPr>
      <w:r>
        <w:rPr>
          <w:rFonts w:ascii="Arial"/>
          <w:color w:val="3B383A"/>
          <w:w w:val="120"/>
          <w:sz w:val="14"/>
          <w:u w:val="thick" w:color="3B383A"/>
        </w:rPr>
        <w:t>../\GOOD</w:t>
      </w:r>
      <w:r>
        <w:rPr>
          <w:rFonts w:ascii="Arial"/>
          <w:color w:val="3B383A"/>
          <w:spacing w:val="1"/>
          <w:w w:val="120"/>
          <w:sz w:val="14"/>
          <w:u w:val="thick" w:color="3B383A"/>
        </w:rPr>
        <w:t> </w:t>
      </w:r>
      <w:r>
        <w:rPr>
          <w:rFonts w:ascii="Arial"/>
          <w:color w:val="3B383A"/>
          <w:w w:val="120"/>
          <w:sz w:val="14"/>
          <w:u w:val="thick" w:color="3B383A"/>
        </w:rPr>
        <w:t>EX</w:t>
      </w:r>
      <w:r>
        <w:rPr>
          <w:rFonts w:ascii="Arial"/>
          <w:color w:val="5D5D5E"/>
          <w:w w:val="120"/>
          <w:sz w:val="14"/>
          <w:u w:val="thick" w:color="3B383A"/>
        </w:rPr>
        <w:t>A</w:t>
      </w:r>
      <w:r>
        <w:rPr>
          <w:rFonts w:ascii="Arial"/>
          <w:color w:val="3B383A"/>
          <w:w w:val="120"/>
          <w:sz w:val="14"/>
          <w:u w:val="thick" w:color="3B383A"/>
        </w:rPr>
        <w:t>M</w:t>
      </w:r>
      <w:r>
        <w:rPr>
          <w:rFonts w:ascii="Arial"/>
          <w:color w:val="5D5D5E"/>
          <w:w w:val="120"/>
          <w:sz w:val="14"/>
          <w:u w:val="thick" w:color="3B383A"/>
        </w:rPr>
        <w:t>P</w:t>
      </w:r>
      <w:r>
        <w:rPr>
          <w:rFonts w:ascii="Arial"/>
          <w:color w:val="3B383A"/>
          <w:w w:val="120"/>
          <w:sz w:val="14"/>
          <w:u w:val="thick" w:color="3B383A"/>
        </w:rPr>
        <w:t>LE</w:t>
      </w:r>
    </w:p>
    <w:p>
      <w:pPr>
        <w:spacing w:line="235" w:lineRule="auto" w:before="96"/>
        <w:ind w:left="462" w:right="880" w:firstLine="0"/>
        <w:jc w:val="both"/>
        <w:rPr>
          <w:b/>
          <w:sz w:val="21"/>
        </w:rPr>
      </w:pPr>
      <w:r>
        <w:rPr>
          <w:b/>
          <w:color w:val="3B383A"/>
          <w:w w:val="110"/>
          <w:sz w:val="21"/>
        </w:rPr>
        <w:t>Only</w:t>
      </w:r>
      <w:r>
        <w:rPr>
          <w:b/>
          <w:color w:val="3B383A"/>
          <w:spacing w:val="1"/>
          <w:w w:val="110"/>
          <w:sz w:val="21"/>
        </w:rPr>
        <w:t> </w:t>
      </w:r>
      <w:r>
        <w:rPr>
          <w:b/>
          <w:color w:val="3B383A"/>
          <w:w w:val="110"/>
          <w:sz w:val="21"/>
        </w:rPr>
        <w:t>on</w:t>
      </w:r>
      <w:r>
        <w:rPr>
          <w:b/>
          <w:color w:val="3B383A"/>
          <w:spacing w:val="1"/>
          <w:w w:val="110"/>
          <w:sz w:val="21"/>
        </w:rPr>
        <w:t> </w:t>
      </w:r>
      <w:r>
        <w:rPr>
          <w:b/>
          <w:color w:val="3B383A"/>
          <w:w w:val="110"/>
          <w:sz w:val="21"/>
        </w:rPr>
        <w:t>rare occasions-such as when an</w:t>
      </w:r>
      <w:r>
        <w:rPr>
          <w:b/>
          <w:color w:val="3B383A"/>
          <w:spacing w:val="1"/>
          <w:w w:val="110"/>
          <w:sz w:val="21"/>
        </w:rPr>
        <w:t> </w:t>
      </w:r>
      <w:r>
        <w:rPr>
          <w:b/>
          <w:color w:val="3B383A"/>
          <w:w w:val="110"/>
          <w:sz w:val="21"/>
        </w:rPr>
        <w:t>activity operates within</w:t>
      </w:r>
      <w:r>
        <w:rPr>
          <w:b/>
          <w:color w:val="3B383A"/>
          <w:spacing w:val="1"/>
          <w:w w:val="110"/>
          <w:sz w:val="21"/>
        </w:rPr>
        <w:t> </w:t>
      </w:r>
      <w:r>
        <w:rPr>
          <w:b/>
          <w:color w:val="3B383A"/>
          <w:w w:val="110"/>
          <w:sz w:val="21"/>
        </w:rPr>
        <w:t>strict geographic parameters-has this court allowed states to regu­</w:t>
      </w:r>
      <w:r>
        <w:rPr>
          <w:b/>
          <w:color w:val="3B383A"/>
          <w:spacing w:val="1"/>
          <w:w w:val="110"/>
          <w:sz w:val="21"/>
        </w:rPr>
        <w:t> </w:t>
      </w:r>
      <w:r>
        <w:rPr>
          <w:b/>
          <w:color w:val="3B383A"/>
          <w:w w:val="105"/>
          <w:sz w:val="21"/>
        </w:rPr>
        <w:t>late</w:t>
      </w:r>
      <w:r>
        <w:rPr>
          <w:b/>
          <w:color w:val="3B383A"/>
          <w:spacing w:val="-12"/>
          <w:w w:val="105"/>
          <w:sz w:val="21"/>
        </w:rPr>
        <w:t> </w:t>
      </w:r>
      <w:r>
        <w:rPr>
          <w:b/>
          <w:color w:val="3B383A"/>
          <w:w w:val="105"/>
          <w:sz w:val="21"/>
        </w:rPr>
        <w:t>advertising-related</w:t>
      </w:r>
      <w:r>
        <w:rPr>
          <w:b/>
          <w:color w:val="3B383A"/>
          <w:spacing w:val="-7"/>
          <w:w w:val="105"/>
          <w:sz w:val="21"/>
        </w:rPr>
        <w:t> </w:t>
      </w:r>
      <w:r>
        <w:rPr>
          <w:b/>
          <w:color w:val="3B383A"/>
          <w:w w:val="105"/>
          <w:sz w:val="21"/>
        </w:rPr>
        <w:t>speech.</w:t>
      </w:r>
      <w:r>
        <w:rPr>
          <w:b/>
          <w:color w:val="3B383A"/>
          <w:spacing w:val="4"/>
          <w:w w:val="105"/>
          <w:sz w:val="21"/>
        </w:rPr>
        <w:t> </w:t>
      </w:r>
      <w:r>
        <w:rPr>
          <w:b/>
          <w:color w:val="3B383A"/>
          <w:w w:val="105"/>
          <w:sz w:val="21"/>
          <w:u w:val="thick" w:color="3B383A"/>
        </w:rPr>
        <w:t>McGuffin.</w:t>
      </w:r>
      <w:r>
        <w:rPr>
          <w:b/>
          <w:color w:val="3B383A"/>
          <w:spacing w:val="24"/>
          <w:w w:val="105"/>
          <w:sz w:val="21"/>
        </w:rPr>
        <w:t> </w:t>
      </w:r>
      <w:r>
        <w:rPr>
          <w:b/>
          <w:color w:val="3B383A"/>
          <w:w w:val="105"/>
          <w:sz w:val="21"/>
        </w:rPr>
        <w:t>101</w:t>
      </w:r>
      <w:r>
        <w:rPr>
          <w:b/>
          <w:color w:val="3B383A"/>
          <w:spacing w:val="28"/>
          <w:w w:val="105"/>
          <w:sz w:val="21"/>
        </w:rPr>
        <w:t> </w:t>
      </w:r>
      <w:r>
        <w:rPr>
          <w:b/>
          <w:color w:val="3B383A"/>
          <w:w w:val="105"/>
          <w:sz w:val="21"/>
        </w:rPr>
        <w:t>U.S.</w:t>
      </w:r>
      <w:r>
        <w:rPr>
          <w:b/>
          <w:color w:val="3B383A"/>
          <w:spacing w:val="-6"/>
          <w:w w:val="105"/>
          <w:sz w:val="21"/>
        </w:rPr>
        <w:t> </w:t>
      </w:r>
      <w:r>
        <w:rPr>
          <w:b/>
          <w:color w:val="3B383A"/>
          <w:w w:val="105"/>
          <w:sz w:val="21"/>
        </w:rPr>
        <w:t>at</w:t>
      </w:r>
      <w:r>
        <w:rPr>
          <w:b/>
          <w:color w:val="3B383A"/>
          <w:spacing w:val="23"/>
          <w:w w:val="105"/>
          <w:sz w:val="21"/>
        </w:rPr>
        <w:t> </w:t>
      </w:r>
      <w:r>
        <w:rPr>
          <w:b/>
          <w:color w:val="3B383A"/>
          <w:w w:val="105"/>
          <w:sz w:val="21"/>
        </w:rPr>
        <w:t>101.</w:t>
      </w:r>
    </w:p>
    <w:p>
      <w:pPr>
        <w:pStyle w:val="BodyText"/>
        <w:spacing w:line="232" w:lineRule="auto" w:before="150"/>
        <w:ind w:left="134" w:right="480" w:firstLine="4"/>
        <w:jc w:val="both"/>
      </w:pPr>
      <w:r>
        <w:rPr>
          <w:color w:val="3B383A"/>
          <w:w w:val="110"/>
        </w:rPr>
        <w:t>By categorizing casino gambling as an activity that operates within strict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geographic parameters, the writer can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lead the  reader to distinguish it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from beer drinking, which does not. Shemaythen have more success with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her argument that her client's situation does not represent one of the rare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occasions</w:t>
      </w:r>
      <w:r>
        <w:rPr>
          <w:color w:val="3B383A"/>
          <w:spacing w:val="-1"/>
          <w:w w:val="110"/>
        </w:rPr>
        <w:t> </w:t>
      </w:r>
      <w:r>
        <w:rPr>
          <w:color w:val="3B383A"/>
          <w:w w:val="110"/>
        </w:rPr>
        <w:t>that</w:t>
      </w:r>
      <w:r>
        <w:rPr>
          <w:color w:val="3B383A"/>
          <w:spacing w:val="-6"/>
          <w:w w:val="110"/>
        </w:rPr>
        <w:t> </w:t>
      </w:r>
      <w:r>
        <w:rPr>
          <w:color w:val="3B383A"/>
          <w:w w:val="110"/>
        </w:rPr>
        <w:t>call</w:t>
      </w:r>
      <w:r>
        <w:rPr>
          <w:color w:val="3B383A"/>
          <w:spacing w:val="-3"/>
          <w:w w:val="110"/>
        </w:rPr>
        <w:t> </w:t>
      </w:r>
      <w:r>
        <w:rPr>
          <w:color w:val="3B383A"/>
          <w:w w:val="110"/>
        </w:rPr>
        <w:t>for</w:t>
      </w:r>
      <w:r>
        <w:rPr>
          <w:color w:val="3B383A"/>
          <w:spacing w:val="6"/>
          <w:w w:val="110"/>
        </w:rPr>
        <w:t> </w:t>
      </w:r>
      <w:r>
        <w:rPr>
          <w:color w:val="3B383A"/>
          <w:w w:val="110"/>
        </w:rPr>
        <w:t>regulation</w:t>
      </w:r>
      <w:r>
        <w:rPr>
          <w:color w:val="3B383A"/>
          <w:spacing w:val="8"/>
          <w:w w:val="110"/>
        </w:rPr>
        <w:t> </w:t>
      </w:r>
      <w:r>
        <w:rPr>
          <w:color w:val="3B383A"/>
          <w:w w:val="110"/>
        </w:rPr>
        <w:t>of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speech.</w:t>
      </w:r>
    </w:p>
    <w:p>
      <w:pPr>
        <w:pStyle w:val="BodyText"/>
        <w:spacing w:line="232" w:lineRule="auto" w:before="8"/>
        <w:ind w:left="134" w:right="457" w:firstLine="329"/>
        <w:jc w:val="both"/>
      </w:pPr>
      <w:r>
        <w:rPr>
          <w:color w:val="3B383A"/>
          <w:spacing w:val="-1"/>
          <w:w w:val="115"/>
        </w:rPr>
        <w:t>Thus, in the rule explanation section, you can use the topic sentence</w:t>
      </w:r>
      <w:r>
        <w:rPr>
          <w:color w:val="3B383A"/>
          <w:w w:val="115"/>
        </w:rPr>
        <w:t> </w:t>
      </w:r>
      <w:r>
        <w:rPr>
          <w:color w:val="3B383A"/>
          <w:w w:val="105"/>
        </w:rPr>
        <w:t>as a tool to characterize the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law in a favorable way. Two caveats: First, be</w:t>
      </w:r>
      <w:r>
        <w:rPr>
          <w:color w:val="3B383A"/>
          <w:spacing w:val="1"/>
          <w:w w:val="105"/>
        </w:rPr>
        <w:t> </w:t>
      </w:r>
      <w:r>
        <w:rPr>
          <w:color w:val="3B383A"/>
          <w:spacing w:val="-1"/>
          <w:w w:val="110"/>
        </w:rPr>
        <w:t>sure</w:t>
      </w:r>
      <w:r>
        <w:rPr>
          <w:color w:val="3B383A"/>
          <w:spacing w:val="-19"/>
          <w:w w:val="110"/>
        </w:rPr>
        <w:t> </w:t>
      </w:r>
      <w:r>
        <w:rPr>
          <w:color w:val="3B383A"/>
          <w:w w:val="110"/>
        </w:rPr>
        <w:t>that</w:t>
      </w:r>
      <w:r>
        <w:rPr>
          <w:color w:val="3B383A"/>
          <w:spacing w:val="-8"/>
          <w:w w:val="110"/>
        </w:rPr>
        <w:t> </w:t>
      </w:r>
      <w:r>
        <w:rPr>
          <w:color w:val="3B383A"/>
          <w:w w:val="110"/>
        </w:rPr>
        <w:t>your</w:t>
      </w:r>
      <w:r>
        <w:rPr>
          <w:color w:val="3B383A"/>
          <w:spacing w:val="-4"/>
          <w:w w:val="110"/>
        </w:rPr>
        <w:t> </w:t>
      </w:r>
      <w:r>
        <w:rPr>
          <w:color w:val="3B383A"/>
          <w:w w:val="110"/>
        </w:rPr>
        <w:t>characterization</w:t>
      </w:r>
      <w:r>
        <w:rPr>
          <w:color w:val="3B383A"/>
          <w:spacing w:val="-10"/>
          <w:w w:val="110"/>
        </w:rPr>
        <w:t> </w:t>
      </w:r>
      <w:r>
        <w:rPr>
          <w:color w:val="3B383A"/>
          <w:w w:val="110"/>
        </w:rPr>
        <w:t>is</w:t>
      </w:r>
      <w:r>
        <w:rPr>
          <w:color w:val="3B383A"/>
          <w:spacing w:val="-11"/>
          <w:w w:val="110"/>
        </w:rPr>
        <w:t> </w:t>
      </w:r>
      <w:r>
        <w:rPr>
          <w:color w:val="3B383A"/>
          <w:w w:val="110"/>
        </w:rPr>
        <w:t>fair</w:t>
      </w:r>
      <w:r>
        <w:rPr>
          <w:color w:val="3B383A"/>
          <w:spacing w:val="-8"/>
          <w:w w:val="110"/>
        </w:rPr>
        <w:t> </w:t>
      </w:r>
      <w:r>
        <w:rPr>
          <w:color w:val="3B383A"/>
          <w:w w:val="110"/>
        </w:rPr>
        <w:t>as</w:t>
      </w:r>
      <w:r>
        <w:rPr>
          <w:color w:val="3B383A"/>
          <w:spacing w:val="-6"/>
          <w:w w:val="110"/>
        </w:rPr>
        <w:t> </w:t>
      </w:r>
      <w:r>
        <w:rPr>
          <w:color w:val="3B383A"/>
          <w:w w:val="110"/>
        </w:rPr>
        <w:t>well</w:t>
      </w:r>
      <w:r>
        <w:rPr>
          <w:color w:val="3B383A"/>
          <w:spacing w:val="-12"/>
          <w:w w:val="110"/>
        </w:rPr>
        <w:t> </w:t>
      </w:r>
      <w:r>
        <w:rPr>
          <w:color w:val="3B383A"/>
          <w:w w:val="110"/>
        </w:rPr>
        <w:t>as</w:t>
      </w:r>
      <w:r>
        <w:rPr>
          <w:color w:val="3B383A"/>
          <w:spacing w:val="5"/>
          <w:w w:val="110"/>
        </w:rPr>
        <w:t> </w:t>
      </w:r>
      <w:r>
        <w:rPr>
          <w:color w:val="3B383A"/>
          <w:w w:val="110"/>
        </w:rPr>
        <w:t>persuasive.</w:t>
      </w:r>
      <w:r>
        <w:rPr>
          <w:color w:val="3B383A"/>
          <w:spacing w:val="-8"/>
          <w:w w:val="110"/>
        </w:rPr>
        <w:t> </w:t>
      </w:r>
      <w:r>
        <w:rPr>
          <w:color w:val="3B383A"/>
          <w:w w:val="110"/>
        </w:rPr>
        <w:t>Second.</w:t>
      </w:r>
      <w:r>
        <w:rPr>
          <w:color w:val="3B383A"/>
          <w:spacing w:val="-12"/>
          <w:w w:val="110"/>
        </w:rPr>
        <w:t> </w:t>
      </w:r>
      <w:r>
        <w:rPr>
          <w:color w:val="3B383A"/>
          <w:w w:val="110"/>
        </w:rPr>
        <w:t>be</w:t>
      </w:r>
      <w:r>
        <w:rPr>
          <w:color w:val="3B383A"/>
          <w:spacing w:val="-3"/>
          <w:w w:val="110"/>
        </w:rPr>
        <w:t> </w:t>
      </w:r>
      <w:r>
        <w:rPr>
          <w:color w:val="3B383A"/>
          <w:w w:val="110"/>
        </w:rPr>
        <w:t>cer­</w:t>
      </w:r>
      <w:r>
        <w:rPr>
          <w:color w:val="3B383A"/>
          <w:spacing w:val="-61"/>
          <w:w w:val="110"/>
        </w:rPr>
        <w:t> </w:t>
      </w:r>
      <w:r>
        <w:rPr>
          <w:color w:val="3B383A"/>
          <w:w w:val="115"/>
        </w:rPr>
        <w:t>tain</w:t>
      </w:r>
      <w:r>
        <w:rPr>
          <w:color w:val="3B383A"/>
          <w:spacing w:val="-5"/>
          <w:w w:val="115"/>
        </w:rPr>
        <w:t> </w:t>
      </w:r>
      <w:r>
        <w:rPr>
          <w:color w:val="3B383A"/>
          <w:w w:val="115"/>
        </w:rPr>
        <w:t>that</w:t>
      </w:r>
      <w:r>
        <w:rPr>
          <w:color w:val="3B383A"/>
          <w:spacing w:val="-10"/>
          <w:w w:val="115"/>
        </w:rPr>
        <w:t> </w:t>
      </w:r>
      <w:r>
        <w:rPr>
          <w:color w:val="3B383A"/>
          <w:w w:val="115"/>
        </w:rPr>
        <w:t>the</w:t>
      </w:r>
      <w:r>
        <w:rPr>
          <w:color w:val="3B383A"/>
          <w:spacing w:val="-8"/>
          <w:w w:val="115"/>
        </w:rPr>
        <w:t> </w:t>
      </w:r>
      <w:r>
        <w:rPr>
          <w:color w:val="3B383A"/>
          <w:w w:val="115"/>
        </w:rPr>
        <w:t>case</w:t>
      </w:r>
      <w:r>
        <w:rPr>
          <w:color w:val="3B383A"/>
          <w:spacing w:val="-13"/>
          <w:w w:val="115"/>
        </w:rPr>
        <w:t> </w:t>
      </w:r>
      <w:r>
        <w:rPr>
          <w:color w:val="3B383A"/>
          <w:w w:val="115"/>
        </w:rPr>
        <w:t>description(s)</w:t>
      </w:r>
      <w:r>
        <w:rPr>
          <w:color w:val="3B383A"/>
          <w:spacing w:val="-13"/>
          <w:w w:val="115"/>
        </w:rPr>
        <w:t> </w:t>
      </w:r>
      <w:r>
        <w:rPr>
          <w:color w:val="3B383A"/>
          <w:w w:val="115"/>
        </w:rPr>
        <w:t>that</w:t>
      </w:r>
      <w:r>
        <w:rPr>
          <w:color w:val="3B383A"/>
          <w:spacing w:val="-8"/>
          <w:w w:val="115"/>
        </w:rPr>
        <w:t> </w:t>
      </w:r>
      <w:r>
        <w:rPr>
          <w:color w:val="3B383A"/>
          <w:w w:val="115"/>
        </w:rPr>
        <w:t>follows</w:t>
      </w:r>
      <w:r>
        <w:rPr>
          <w:color w:val="3B383A"/>
          <w:spacing w:val="-12"/>
          <w:w w:val="115"/>
        </w:rPr>
        <w:t> </w:t>
      </w:r>
      <w:r>
        <w:rPr>
          <w:color w:val="3B383A"/>
          <w:w w:val="115"/>
        </w:rPr>
        <w:t>the</w:t>
      </w:r>
      <w:r>
        <w:rPr>
          <w:color w:val="3B383A"/>
          <w:spacing w:val="24"/>
          <w:w w:val="115"/>
        </w:rPr>
        <w:t> </w:t>
      </w:r>
      <w:r>
        <w:rPr>
          <w:color w:val="3B383A"/>
          <w:w w:val="115"/>
        </w:rPr>
        <w:t>topic</w:t>
      </w:r>
      <w:r>
        <w:rPr>
          <w:color w:val="3B383A"/>
          <w:spacing w:val="-15"/>
          <w:w w:val="115"/>
        </w:rPr>
        <w:t> </w:t>
      </w:r>
      <w:r>
        <w:rPr>
          <w:color w:val="3B383A"/>
          <w:w w:val="115"/>
        </w:rPr>
        <w:t>sentence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provides</w:t>
      </w:r>
      <w:r>
        <w:rPr>
          <w:color w:val="3B383A"/>
          <w:spacing w:val="-64"/>
          <w:w w:val="115"/>
        </w:rPr>
        <w:t> </w:t>
      </w:r>
      <w:r>
        <w:rPr>
          <w:color w:val="3B383A"/>
          <w:w w:val="115"/>
        </w:rPr>
        <w:t>support for the characterization that appears there. (See Chapter Six to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0"/>
        </w:rPr>
        <w:t>review</w:t>
      </w:r>
      <w:r>
        <w:rPr>
          <w:color w:val="3B383A"/>
          <w:spacing w:val="-9"/>
          <w:w w:val="110"/>
        </w:rPr>
        <w:t> </w:t>
      </w:r>
      <w:r>
        <w:rPr>
          <w:color w:val="3B383A"/>
          <w:w w:val="110"/>
        </w:rPr>
        <w:t>techniques</w:t>
      </w:r>
      <w:r>
        <w:rPr>
          <w:color w:val="3B383A"/>
          <w:spacing w:val="-10"/>
          <w:w w:val="110"/>
        </w:rPr>
        <w:t> </w:t>
      </w:r>
      <w:r>
        <w:rPr>
          <w:color w:val="3B383A"/>
          <w:w w:val="110"/>
        </w:rPr>
        <w:t>for</w:t>
      </w:r>
      <w:r>
        <w:rPr>
          <w:color w:val="3B383A"/>
          <w:spacing w:val="-13"/>
          <w:w w:val="110"/>
        </w:rPr>
        <w:t> </w:t>
      </w:r>
      <w:r>
        <w:rPr>
          <w:color w:val="3B383A"/>
          <w:w w:val="110"/>
        </w:rPr>
        <w:t>effective</w:t>
      </w:r>
      <w:r>
        <w:rPr>
          <w:color w:val="3B383A"/>
          <w:spacing w:val="-9"/>
          <w:w w:val="110"/>
        </w:rPr>
        <w:t> </w:t>
      </w:r>
      <w:r>
        <w:rPr>
          <w:color w:val="3B383A"/>
          <w:w w:val="110"/>
        </w:rPr>
        <w:t>case</w:t>
      </w:r>
      <w:r>
        <w:rPr>
          <w:color w:val="3B383A"/>
          <w:spacing w:val="-14"/>
          <w:w w:val="110"/>
        </w:rPr>
        <w:t> </w:t>
      </w:r>
      <w:r>
        <w:rPr>
          <w:color w:val="3B383A"/>
          <w:w w:val="110"/>
        </w:rPr>
        <w:t>descriptions.)</w:t>
      </w:r>
    </w:p>
    <w:p>
      <w:pPr>
        <w:pStyle w:val="BodyText"/>
        <w:spacing w:line="235" w:lineRule="auto"/>
        <w:ind w:left="144" w:right="402" w:firstLine="340"/>
        <w:jc w:val="both"/>
      </w:pPr>
      <w:r>
        <w:rPr>
          <w:color w:val="3B383A"/>
          <w:w w:val="110"/>
        </w:rPr>
        <w:t>Effective topic sentences make it easier for you to check your organi­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zation. More importantly, they make it more likely that readers will keep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reading and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that users will find the paragraphs that they are looking for.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Finally, when you review authority cases for analogous or distinguishable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categories to use in your topic sentences, you may generate substance for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your</w:t>
      </w:r>
      <w:r>
        <w:rPr>
          <w:color w:val="3B383A"/>
          <w:spacing w:val="-3"/>
          <w:w w:val="110"/>
        </w:rPr>
        <w:t> </w:t>
      </w:r>
      <w:r>
        <w:rPr>
          <w:color w:val="3B383A"/>
          <w:w w:val="110"/>
        </w:rPr>
        <w:t>arguments.</w:t>
      </w:r>
    </w:p>
    <w:p>
      <w:pPr>
        <w:pStyle w:val="BodyText"/>
        <w:spacing w:before="8"/>
        <w:rPr>
          <w:sz w:val="32"/>
        </w:rPr>
      </w:pPr>
    </w:p>
    <w:p>
      <w:pPr>
        <w:spacing w:before="0"/>
        <w:ind w:left="468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3B383A"/>
          <w:w w:val="110"/>
          <w:sz w:val="27"/>
        </w:rPr>
        <w:t>10.2.2</w:t>
      </w:r>
    </w:p>
    <w:p>
      <w:pPr>
        <w:spacing w:before="46"/>
        <w:ind w:left="485" w:right="0" w:firstLine="0"/>
        <w:jc w:val="left"/>
        <w:rPr>
          <w:b/>
          <w:sz w:val="23"/>
        </w:rPr>
      </w:pPr>
      <w:r>
        <w:rPr>
          <w:b/>
          <w:color w:val="3B383A"/>
          <w:sz w:val="23"/>
        </w:rPr>
        <w:t>HEADINGS</w:t>
      </w:r>
    </w:p>
    <w:p>
      <w:pPr>
        <w:pStyle w:val="BodyText"/>
        <w:spacing w:line="232" w:lineRule="auto" w:before="127"/>
        <w:ind w:left="160" w:right="306" w:firstLine="343"/>
        <w:jc w:val="both"/>
      </w:pPr>
      <w:r>
        <w:rPr>
          <w:color w:val="3B383A"/>
          <w:w w:val="110"/>
        </w:rPr>
        <w:t>Effective point headings are discussed in  Chapter Nine. I raise them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here only as a practical matter. </w:t>
      </w:r>
      <w:r>
        <w:rPr>
          <w:rFonts w:ascii="Arial"/>
          <w:color w:val="3B383A"/>
          <w:w w:val="110"/>
          <w:sz w:val="21"/>
        </w:rPr>
        <w:t>By </w:t>
      </w:r>
      <w:r>
        <w:rPr>
          <w:color w:val="3B383A"/>
          <w:w w:val="110"/>
        </w:rPr>
        <w:t>this stage of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writing process, most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writers will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have identified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where their headings belong and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will have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begun to draft headings as well. On  those unusual occasions when you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must</w:t>
      </w:r>
      <w:r>
        <w:rPr>
          <w:color w:val="3B383A"/>
          <w:spacing w:val="5"/>
          <w:w w:val="110"/>
        </w:rPr>
        <w:t> </w:t>
      </w:r>
      <w:r>
        <w:rPr>
          <w:color w:val="3B383A"/>
          <w:w w:val="110"/>
        </w:rPr>
        <w:t>churn</w:t>
      </w:r>
      <w:r>
        <w:rPr>
          <w:color w:val="3B383A"/>
          <w:spacing w:val="15"/>
          <w:w w:val="110"/>
        </w:rPr>
        <w:t> </w:t>
      </w:r>
      <w:r>
        <w:rPr>
          <w:color w:val="3B383A"/>
          <w:w w:val="110"/>
        </w:rPr>
        <w:t>out</w:t>
      </w:r>
      <w:r>
        <w:rPr>
          <w:color w:val="3B383A"/>
          <w:spacing w:val="22"/>
          <w:w w:val="110"/>
        </w:rPr>
        <w:t> </w:t>
      </w:r>
      <w:r>
        <w:rPr>
          <w:color w:val="3B383A"/>
          <w:w w:val="110"/>
        </w:rPr>
        <w:t>a</w:t>
      </w:r>
      <w:r>
        <w:rPr>
          <w:color w:val="3B383A"/>
          <w:spacing w:val="11"/>
          <w:w w:val="110"/>
        </w:rPr>
        <w:t> </w:t>
      </w:r>
      <w:r>
        <w:rPr>
          <w:color w:val="3B383A"/>
          <w:w w:val="110"/>
        </w:rPr>
        <w:t>brief</w:t>
      </w:r>
      <w:r>
        <w:rPr>
          <w:color w:val="3B383A"/>
          <w:spacing w:val="32"/>
          <w:w w:val="110"/>
        </w:rPr>
        <w:t> </w:t>
      </w:r>
      <w:r>
        <w:rPr>
          <w:color w:val="3B383A"/>
          <w:w w:val="110"/>
        </w:rPr>
        <w:t>without</w:t>
      </w:r>
      <w:r>
        <w:rPr>
          <w:color w:val="3B383A"/>
          <w:spacing w:val="17"/>
          <w:w w:val="110"/>
        </w:rPr>
        <w:t> </w:t>
      </w:r>
      <w:r>
        <w:rPr>
          <w:color w:val="3B383A"/>
          <w:w w:val="110"/>
        </w:rPr>
        <w:t>time</w:t>
      </w:r>
      <w:r>
        <w:rPr>
          <w:color w:val="3B383A"/>
          <w:spacing w:val="6"/>
          <w:w w:val="110"/>
        </w:rPr>
        <w:t> </w:t>
      </w:r>
      <w:r>
        <w:rPr>
          <w:color w:val="3B383A"/>
          <w:w w:val="110"/>
        </w:rPr>
        <w:t>for</w:t>
      </w:r>
      <w:r>
        <w:rPr>
          <w:color w:val="3B383A"/>
          <w:spacing w:val="9"/>
          <w:w w:val="110"/>
        </w:rPr>
        <w:t> </w:t>
      </w:r>
      <w:r>
        <w:rPr>
          <w:color w:val="3B383A"/>
          <w:w w:val="110"/>
        </w:rPr>
        <w:t>revision,</w:t>
      </w:r>
      <w:r>
        <w:rPr>
          <w:color w:val="3B383A"/>
          <w:spacing w:val="36"/>
          <w:w w:val="110"/>
        </w:rPr>
        <w:t> </w:t>
      </w:r>
      <w:r>
        <w:rPr>
          <w:color w:val="3B383A"/>
          <w:w w:val="110"/>
        </w:rPr>
        <w:t>however,</w:t>
      </w:r>
      <w:r>
        <w:rPr>
          <w:color w:val="3B383A"/>
          <w:spacing w:val="15"/>
          <w:w w:val="110"/>
        </w:rPr>
        <w:t> </w:t>
      </w:r>
      <w:r>
        <w:rPr>
          <w:color w:val="3B383A"/>
          <w:w w:val="110"/>
        </w:rPr>
        <w:t>you</w:t>
      </w:r>
      <w:r>
        <w:rPr>
          <w:color w:val="3B383A"/>
          <w:spacing w:val="51"/>
          <w:w w:val="110"/>
        </w:rPr>
        <w:t> </w:t>
      </w:r>
      <w:r>
        <w:rPr>
          <w:color w:val="3B383A"/>
          <w:w w:val="110"/>
        </w:rPr>
        <w:t>might</w:t>
      </w:r>
      <w:r>
        <w:rPr>
          <w:color w:val="3B383A"/>
          <w:spacing w:val="23"/>
          <w:w w:val="110"/>
        </w:rPr>
        <w:t> </w:t>
      </w:r>
      <w:r>
        <w:rPr>
          <w:color w:val="3B383A"/>
          <w:w w:val="110"/>
        </w:rPr>
        <w:t>use</w:t>
      </w:r>
    </w:p>
    <w:p>
      <w:pPr>
        <w:spacing w:after="0" w:line="232" w:lineRule="auto"/>
        <w:jc w:val="both"/>
        <w:sectPr>
          <w:pgSz w:w="9810" w:h="13970"/>
          <w:pgMar w:header="560" w:footer="0" w:top="1160" w:bottom="280" w:left="320" w:right="1360"/>
        </w:sectPr>
      </w:pPr>
    </w:p>
    <w:p>
      <w:pPr>
        <w:pStyle w:val="BodyText"/>
        <w:spacing w:line="254" w:lineRule="auto" w:before="81"/>
        <w:ind w:left="861" w:right="117" w:firstLine="4"/>
        <w:jc w:val="both"/>
      </w:pPr>
      <w:r>
        <w:rPr>
          <w:color w:val="3B3B3B"/>
          <w:w w:val="105"/>
        </w:rPr>
        <w:t>the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template method to help you to turn a stream-of-consciousness draft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10"/>
        </w:rPr>
        <w:t>into</w:t>
      </w:r>
      <w:r>
        <w:rPr>
          <w:color w:val="3B3B3B"/>
          <w:spacing w:val="-27"/>
          <w:w w:val="110"/>
        </w:rPr>
        <w:t> </w:t>
      </w:r>
      <w:r>
        <w:rPr>
          <w:color w:val="3B3B3B"/>
          <w:w w:val="110"/>
        </w:rPr>
        <w:t>a</w:t>
      </w:r>
      <w:r>
        <w:rPr>
          <w:color w:val="3B3B3B"/>
          <w:spacing w:val="3"/>
          <w:w w:val="110"/>
        </w:rPr>
        <w:t> </w:t>
      </w:r>
      <w:r>
        <w:rPr>
          <w:color w:val="3B3B3B"/>
          <w:w w:val="110"/>
        </w:rPr>
        <w:t>readable</w:t>
      </w:r>
      <w:r>
        <w:rPr>
          <w:color w:val="3B3B3B"/>
          <w:spacing w:val="-3"/>
          <w:w w:val="110"/>
        </w:rPr>
        <w:t> </w:t>
      </w:r>
      <w:r>
        <w:rPr>
          <w:color w:val="3B3B3B"/>
          <w:w w:val="110"/>
        </w:rPr>
        <w:t>document.</w:t>
      </w:r>
    </w:p>
    <w:p>
      <w:pPr>
        <w:pStyle w:val="BodyText"/>
        <w:spacing w:line="212" w:lineRule="exact"/>
        <w:ind w:left="1229"/>
        <w:jc w:val="both"/>
      </w:pPr>
      <w:r>
        <w:rPr>
          <w:color w:val="3B3B3B"/>
          <w:w w:val="110"/>
        </w:rPr>
        <w:t>Inserting</w:t>
      </w:r>
      <w:r>
        <w:rPr>
          <w:color w:val="3B3B3B"/>
          <w:spacing w:val="19"/>
          <w:w w:val="110"/>
        </w:rPr>
        <w:t> </w:t>
      </w:r>
      <w:r>
        <w:rPr>
          <w:color w:val="3B3B3B"/>
          <w:w w:val="110"/>
        </w:rPr>
        <w:t>headings</w:t>
      </w:r>
      <w:r>
        <w:rPr>
          <w:color w:val="3B3B3B"/>
          <w:spacing w:val="26"/>
          <w:w w:val="110"/>
        </w:rPr>
        <w:t> </w:t>
      </w:r>
      <w:r>
        <w:rPr>
          <w:color w:val="3B3B3B"/>
          <w:w w:val="110"/>
        </w:rPr>
        <w:t>is</w:t>
      </w:r>
      <w:r>
        <w:rPr>
          <w:color w:val="3B3B3B"/>
          <w:spacing w:val="5"/>
          <w:w w:val="110"/>
        </w:rPr>
        <w:t> </w:t>
      </w:r>
      <w:r>
        <w:rPr>
          <w:color w:val="3B3B3B"/>
          <w:w w:val="110"/>
        </w:rPr>
        <w:t>one</w:t>
      </w:r>
      <w:r>
        <w:rPr>
          <w:color w:val="3B3B3B"/>
          <w:spacing w:val="33"/>
          <w:w w:val="110"/>
        </w:rPr>
        <w:t> </w:t>
      </w:r>
      <w:r>
        <w:rPr>
          <w:color w:val="3B3B3B"/>
          <w:w w:val="110"/>
        </w:rPr>
        <w:t>of</w:t>
      </w:r>
      <w:r>
        <w:rPr>
          <w:color w:val="3B3B3B"/>
          <w:spacing w:val="27"/>
          <w:w w:val="110"/>
        </w:rPr>
        <w:t> </w:t>
      </w:r>
      <w:r>
        <w:rPr>
          <w:color w:val="3B3B3B"/>
          <w:w w:val="110"/>
        </w:rPr>
        <w:t>the</w:t>
      </w:r>
      <w:r>
        <w:rPr>
          <w:color w:val="3B3B3B"/>
          <w:spacing w:val="42"/>
          <w:w w:val="110"/>
        </w:rPr>
        <w:t> </w:t>
      </w:r>
      <w:r>
        <w:rPr>
          <w:color w:val="3B3B3B"/>
          <w:w w:val="110"/>
        </w:rPr>
        <w:t>simplest</w:t>
      </w:r>
      <w:r>
        <w:rPr>
          <w:color w:val="3B3B3B"/>
          <w:spacing w:val="21"/>
          <w:w w:val="110"/>
        </w:rPr>
        <w:t> </w:t>
      </w:r>
      <w:r>
        <w:rPr>
          <w:color w:val="3B3B3B"/>
          <w:w w:val="110"/>
        </w:rPr>
        <w:t>steps a</w:t>
      </w:r>
      <w:r>
        <w:rPr>
          <w:color w:val="3B3B3B"/>
          <w:spacing w:val="25"/>
          <w:w w:val="110"/>
        </w:rPr>
        <w:t> </w:t>
      </w:r>
      <w:r>
        <w:rPr>
          <w:color w:val="3B3B3B"/>
          <w:w w:val="110"/>
        </w:rPr>
        <w:t>writer</w:t>
      </w:r>
      <w:r>
        <w:rPr>
          <w:color w:val="3B3B3B"/>
          <w:spacing w:val="24"/>
          <w:w w:val="110"/>
        </w:rPr>
        <w:t> </w:t>
      </w:r>
      <w:r>
        <w:rPr>
          <w:color w:val="3B3B3B"/>
          <w:w w:val="110"/>
        </w:rPr>
        <w:t>can</w:t>
      </w:r>
      <w:r>
        <w:rPr>
          <w:color w:val="3B3B3B"/>
          <w:spacing w:val="30"/>
          <w:w w:val="110"/>
        </w:rPr>
        <w:t> </w:t>
      </w:r>
      <w:r>
        <w:rPr>
          <w:color w:val="3B3B3B"/>
          <w:w w:val="110"/>
        </w:rPr>
        <w:t>take</w:t>
      </w:r>
      <w:r>
        <w:rPr>
          <w:color w:val="3B3B3B"/>
          <w:spacing w:val="11"/>
          <w:w w:val="110"/>
        </w:rPr>
        <w:t> </w:t>
      </w:r>
      <w:r>
        <w:rPr>
          <w:color w:val="3B3B3B"/>
          <w:w w:val="110"/>
        </w:rPr>
        <w:t>to</w:t>
      </w:r>
    </w:p>
    <w:p>
      <w:pPr>
        <w:pStyle w:val="BodyText"/>
        <w:spacing w:line="232" w:lineRule="auto" w:before="4"/>
        <w:ind w:left="827" w:right="108" w:firstLine="24"/>
        <w:jc w:val="both"/>
      </w:pPr>
      <w:r>
        <w:rPr>
          <w:color w:val="3B3B3B"/>
          <w:w w:val="105"/>
        </w:rPr>
        <w:t>improve the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brief's effectiveness because headings allow the  user to find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10"/>
        </w:rPr>
        <w:t>the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most important  parts of  the  document.  In an  objective document,</w:t>
      </w:r>
      <w:r>
        <w:rPr>
          <w:color w:val="3B3B3B"/>
          <w:spacing w:val="-61"/>
          <w:w w:val="110"/>
        </w:rPr>
        <w:t> </w:t>
      </w:r>
      <w:r>
        <w:rPr>
          <w:color w:val="3B3B3B"/>
          <w:w w:val="110"/>
        </w:rPr>
        <w:t>a heading can be simply a word or phrase that accurately describes the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subject of the section or subsection-for example, "Damages," "Breach of</w:t>
      </w:r>
      <w:r>
        <w:rPr>
          <w:color w:val="3B3B3B"/>
          <w:spacing w:val="-62"/>
          <w:w w:val="110"/>
        </w:rPr>
        <w:t> </w:t>
      </w:r>
      <w:r>
        <w:rPr>
          <w:color w:val="3B3B3B"/>
          <w:w w:val="105"/>
        </w:rPr>
        <w:t>duty to provide due care," and the like. Because the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writer is usually not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10"/>
        </w:rPr>
        <w:t>pushing</w:t>
      </w:r>
      <w:r>
        <w:rPr>
          <w:color w:val="3B3B3B"/>
          <w:spacing w:val="-27"/>
          <w:w w:val="110"/>
        </w:rPr>
        <w:t> </w:t>
      </w:r>
      <w:r>
        <w:rPr>
          <w:color w:val="3B3B3B"/>
          <w:w w:val="110"/>
        </w:rPr>
        <w:t>one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conclusion</w:t>
      </w:r>
      <w:r>
        <w:rPr>
          <w:color w:val="3B3B3B"/>
          <w:spacing w:val="5"/>
          <w:w w:val="110"/>
        </w:rPr>
        <w:t> </w:t>
      </w:r>
      <w:r>
        <w:rPr>
          <w:color w:val="3B3B3B"/>
          <w:w w:val="110"/>
        </w:rPr>
        <w:t>or</w:t>
      </w:r>
      <w:r>
        <w:rPr>
          <w:color w:val="3B3B3B"/>
          <w:spacing w:val="-5"/>
          <w:w w:val="110"/>
        </w:rPr>
        <w:t> </w:t>
      </w:r>
      <w:r>
        <w:rPr>
          <w:color w:val="3B3B3B"/>
          <w:w w:val="110"/>
        </w:rPr>
        <w:t>another,</w:t>
      </w:r>
      <w:r>
        <w:rPr>
          <w:color w:val="3B3B3B"/>
          <w:spacing w:val="-11"/>
          <w:w w:val="110"/>
        </w:rPr>
        <w:t> </w:t>
      </w:r>
      <w:r>
        <w:rPr>
          <w:color w:val="3B3B3B"/>
          <w:w w:val="110"/>
        </w:rPr>
        <w:t>the</w:t>
      </w:r>
      <w:r>
        <w:rPr>
          <w:color w:val="3B3B3B"/>
          <w:spacing w:val="-4"/>
          <w:w w:val="110"/>
        </w:rPr>
        <w:t> </w:t>
      </w:r>
      <w:r>
        <w:rPr>
          <w:color w:val="3B3B3B"/>
          <w:w w:val="110"/>
        </w:rPr>
        <w:t>headings</w:t>
      </w:r>
      <w:r>
        <w:rPr>
          <w:color w:val="3B3B3B"/>
          <w:spacing w:val="-15"/>
          <w:w w:val="110"/>
        </w:rPr>
        <w:t> </w:t>
      </w:r>
      <w:r>
        <w:rPr>
          <w:color w:val="525254"/>
          <w:w w:val="110"/>
        </w:rPr>
        <w:t>can</w:t>
      </w:r>
      <w:r>
        <w:rPr>
          <w:color w:val="525254"/>
          <w:spacing w:val="2"/>
          <w:w w:val="110"/>
        </w:rPr>
        <w:t> </w:t>
      </w:r>
      <w:r>
        <w:rPr>
          <w:color w:val="3B3B3B"/>
          <w:w w:val="110"/>
        </w:rPr>
        <w:t>be</w:t>
      </w:r>
      <w:r>
        <w:rPr>
          <w:color w:val="3B3B3B"/>
          <w:spacing w:val="-2"/>
          <w:w w:val="110"/>
        </w:rPr>
        <w:t> </w:t>
      </w:r>
      <w:r>
        <w:rPr>
          <w:color w:val="3B3B3B"/>
          <w:w w:val="110"/>
        </w:rPr>
        <w:t>merely</w:t>
      </w:r>
      <w:r>
        <w:rPr>
          <w:color w:val="3B3B3B"/>
          <w:spacing w:val="-21"/>
          <w:w w:val="110"/>
        </w:rPr>
        <w:t> </w:t>
      </w:r>
      <w:r>
        <w:rPr>
          <w:color w:val="3B3B3B"/>
          <w:w w:val="110"/>
        </w:rPr>
        <w:t>objective</w:t>
      </w:r>
      <w:r>
        <w:rPr>
          <w:color w:val="3B3B3B"/>
          <w:spacing w:val="1"/>
          <w:w w:val="110"/>
        </w:rPr>
        <w:t> </w:t>
      </w:r>
      <w:r>
        <w:rPr>
          <w:color w:val="3B3B3B"/>
          <w:spacing w:val="-1"/>
          <w:w w:val="110"/>
        </w:rPr>
        <w:t>labels. When writing an argument, however, resist the </w:t>
      </w:r>
      <w:r>
        <w:rPr>
          <w:color w:val="3B3B3B"/>
          <w:w w:val="110"/>
        </w:rPr>
        <w:t>temptation to take</w:t>
      </w:r>
      <w:r>
        <w:rPr>
          <w:color w:val="3B3B3B"/>
          <w:spacing w:val="-61"/>
          <w:w w:val="110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5"/>
          <w:w w:val="105"/>
        </w:rPr>
        <w:t> </w:t>
      </w:r>
      <w:r>
        <w:rPr>
          <w:color w:val="3B3B3B"/>
          <w:w w:val="105"/>
        </w:rPr>
        <w:t>easy</w:t>
      </w:r>
      <w:r>
        <w:rPr>
          <w:color w:val="3B3B3B"/>
          <w:spacing w:val="8"/>
          <w:w w:val="105"/>
        </w:rPr>
        <w:t> </w:t>
      </w:r>
      <w:r>
        <w:rPr>
          <w:color w:val="3B3B3B"/>
          <w:w w:val="105"/>
        </w:rPr>
        <w:t>way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out:</w:t>
      </w:r>
      <w:r>
        <w:rPr>
          <w:color w:val="3B3B3B"/>
          <w:spacing w:val="-6"/>
          <w:w w:val="105"/>
        </w:rPr>
        <w:t> </w:t>
      </w:r>
      <w:r>
        <w:rPr>
          <w:color w:val="3B3B3B"/>
          <w:w w:val="105"/>
        </w:rPr>
        <w:t>Take</w:t>
      </w:r>
      <w:r>
        <w:rPr>
          <w:color w:val="3B3B3B"/>
          <w:spacing w:val="26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18"/>
          <w:w w:val="105"/>
        </w:rPr>
        <w:t> </w:t>
      </w:r>
      <w:r>
        <w:rPr>
          <w:color w:val="3B3B3B"/>
          <w:w w:val="105"/>
        </w:rPr>
        <w:t>time</w:t>
      </w:r>
      <w:r>
        <w:rPr>
          <w:color w:val="3B3B3B"/>
          <w:spacing w:val="-2"/>
          <w:w w:val="105"/>
        </w:rPr>
        <w:t> </w:t>
      </w:r>
      <w:r>
        <w:rPr>
          <w:color w:val="3B3B3B"/>
          <w:w w:val="105"/>
        </w:rPr>
        <w:t>to</w:t>
      </w:r>
      <w:r>
        <w:rPr>
          <w:color w:val="3B3B3B"/>
          <w:spacing w:val="6"/>
          <w:w w:val="105"/>
        </w:rPr>
        <w:t> </w:t>
      </w:r>
      <w:r>
        <w:rPr>
          <w:color w:val="3B3B3B"/>
          <w:w w:val="105"/>
        </w:rPr>
        <w:t>draft</w:t>
      </w:r>
      <w:r>
        <w:rPr>
          <w:color w:val="3B3B3B"/>
          <w:spacing w:val="22"/>
          <w:w w:val="105"/>
        </w:rPr>
        <w:t> </w:t>
      </w:r>
      <w:r>
        <w:rPr>
          <w:color w:val="3B3B3B"/>
          <w:w w:val="105"/>
        </w:rPr>
        <w:t>argumentative</w:t>
      </w:r>
      <w:r>
        <w:rPr>
          <w:color w:val="3B3B3B"/>
          <w:spacing w:val="33"/>
          <w:w w:val="105"/>
        </w:rPr>
        <w:t> </w:t>
      </w:r>
      <w:r>
        <w:rPr>
          <w:color w:val="3B3B3B"/>
          <w:w w:val="105"/>
        </w:rPr>
        <w:t>point</w:t>
      </w:r>
      <w:r>
        <w:rPr>
          <w:color w:val="3B3B3B"/>
          <w:spacing w:val="26"/>
          <w:w w:val="105"/>
        </w:rPr>
        <w:t> </w:t>
      </w:r>
      <w:r>
        <w:rPr>
          <w:color w:val="3B3B3B"/>
          <w:w w:val="105"/>
        </w:rPr>
        <w:t>headings.</w:t>
      </w:r>
    </w:p>
    <w:p>
      <w:pPr>
        <w:pStyle w:val="BodyText"/>
        <w:spacing w:line="235" w:lineRule="auto"/>
        <w:ind w:left="793" w:right="122" w:firstLine="381"/>
        <w:jc w:val="both"/>
      </w:pPr>
      <w:r>
        <w:rPr>
          <w:color w:val="3B3B3B"/>
          <w:w w:val="105"/>
        </w:rPr>
        <w:t>Argumentative point headings are an important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part of your template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because they are so highly visible.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Further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this advantage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by choosing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highly visible typefaces and styles for your point headings. Boldfaced type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is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usually</w:t>
      </w:r>
      <w:r>
        <w:rPr>
          <w:color w:val="3B3B3B"/>
          <w:spacing w:val="-4"/>
          <w:w w:val="105"/>
        </w:rPr>
        <w:t> </w:t>
      </w:r>
      <w:r>
        <w:rPr>
          <w:color w:val="3B3B3B"/>
          <w:w w:val="105"/>
        </w:rPr>
        <w:t>an</w:t>
      </w:r>
      <w:r>
        <w:rPr>
          <w:color w:val="3B3B3B"/>
          <w:spacing w:val="24"/>
          <w:w w:val="105"/>
        </w:rPr>
        <w:t> </w:t>
      </w:r>
      <w:r>
        <w:rPr>
          <w:color w:val="3B3B3B"/>
          <w:w w:val="105"/>
        </w:rPr>
        <w:t>excellent</w:t>
      </w:r>
      <w:r>
        <w:rPr>
          <w:color w:val="3B3B3B"/>
          <w:spacing w:val="3"/>
          <w:w w:val="105"/>
        </w:rPr>
        <w:t> </w:t>
      </w:r>
      <w:r>
        <w:rPr>
          <w:color w:val="3B3B3B"/>
          <w:w w:val="105"/>
        </w:rPr>
        <w:t>choice,</w:t>
      </w:r>
      <w:r>
        <w:rPr>
          <w:color w:val="3B3B3B"/>
          <w:spacing w:val="11"/>
          <w:w w:val="105"/>
        </w:rPr>
        <w:t> </w:t>
      </w:r>
      <w:r>
        <w:rPr>
          <w:color w:val="3B3B3B"/>
          <w:w w:val="105"/>
        </w:rPr>
        <w:t>unless</w:t>
      </w:r>
      <w:r>
        <w:rPr>
          <w:color w:val="3B3B3B"/>
          <w:spacing w:val="-4"/>
          <w:w w:val="105"/>
        </w:rPr>
        <w:t> </w:t>
      </w:r>
      <w:r>
        <w:rPr>
          <w:color w:val="3B3B3B"/>
          <w:w w:val="105"/>
        </w:rPr>
        <w:t>local</w:t>
      </w:r>
      <w:r>
        <w:rPr>
          <w:color w:val="3B3B3B"/>
          <w:spacing w:val="6"/>
          <w:w w:val="105"/>
        </w:rPr>
        <w:t> </w:t>
      </w:r>
      <w:r>
        <w:rPr>
          <w:color w:val="3B3B3B"/>
          <w:w w:val="105"/>
        </w:rPr>
        <w:t>rules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forbid</w:t>
      </w:r>
      <w:r>
        <w:rPr>
          <w:color w:val="3B3B3B"/>
          <w:spacing w:val="5"/>
          <w:w w:val="105"/>
        </w:rPr>
        <w:t> </w:t>
      </w:r>
      <w:r>
        <w:rPr>
          <w:color w:val="3B3B3B"/>
          <w:w w:val="105"/>
        </w:rPr>
        <w:t>it.</w:t>
      </w:r>
    </w:p>
    <w:p>
      <w:pPr>
        <w:pStyle w:val="BodyText"/>
        <w:spacing w:line="235" w:lineRule="auto"/>
        <w:ind w:left="750" w:right="129" w:firstLine="394"/>
        <w:jc w:val="both"/>
      </w:pPr>
      <w:r>
        <w:rPr>
          <w:color w:val="3B3B3B"/>
          <w:w w:val="105"/>
        </w:rPr>
        <w:t>You may be told that local rules "require" all capital letters, but be sure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10"/>
        </w:rPr>
        <w:t>to check the rules yourself. Often, local practice has interpreted phrases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05"/>
        </w:rPr>
        <w:t>such as </w:t>
      </w:r>
      <w:r>
        <w:rPr>
          <w:color w:val="525254"/>
          <w:w w:val="105"/>
        </w:rPr>
        <w:t>"conspicuous </w:t>
      </w:r>
      <w:r>
        <w:rPr>
          <w:color w:val="3B3B3B"/>
          <w:w w:val="105"/>
        </w:rPr>
        <w:t>type" to mean "all capital letters."</w:t>
      </w:r>
      <w:r>
        <w:rPr>
          <w:rFonts w:ascii="Arial"/>
          <w:color w:val="3B3B3B"/>
          <w:w w:val="105"/>
          <w:vertAlign w:val="superscript"/>
        </w:rPr>
        <w:t>5</w:t>
      </w:r>
      <w:r>
        <w:rPr>
          <w:rFonts w:ascii="Arial"/>
          <w:color w:val="3B3B3B"/>
          <w:w w:val="105"/>
          <w:vertAlign w:val="baseline"/>
        </w:rPr>
        <w:t> </w:t>
      </w:r>
      <w:r>
        <w:rPr>
          <w:color w:val="3B3B3B"/>
          <w:w w:val="105"/>
          <w:vertAlign w:val="baseline"/>
        </w:rPr>
        <w:t>In the examples</w:t>
      </w:r>
      <w:r>
        <w:rPr>
          <w:color w:val="3B3B3B"/>
          <w:spacing w:val="1"/>
          <w:w w:val="105"/>
          <w:vertAlign w:val="baseline"/>
        </w:rPr>
        <w:t> </w:t>
      </w:r>
      <w:r>
        <w:rPr>
          <w:color w:val="3B3B3B"/>
          <w:w w:val="110"/>
          <w:vertAlign w:val="baseline"/>
        </w:rPr>
        <w:t>below,</w:t>
      </w:r>
      <w:r>
        <w:rPr>
          <w:color w:val="3B3B3B"/>
          <w:spacing w:val="2"/>
          <w:w w:val="110"/>
          <w:vertAlign w:val="baseline"/>
        </w:rPr>
        <w:t> </w:t>
      </w:r>
      <w:r>
        <w:rPr>
          <w:color w:val="3B3B3B"/>
          <w:w w:val="110"/>
          <w:vertAlign w:val="baseline"/>
        </w:rPr>
        <w:t>note</w:t>
      </w:r>
      <w:r>
        <w:rPr>
          <w:color w:val="3B3B3B"/>
          <w:spacing w:val="-9"/>
          <w:w w:val="110"/>
          <w:vertAlign w:val="baseline"/>
        </w:rPr>
        <w:t> </w:t>
      </w:r>
      <w:r>
        <w:rPr>
          <w:color w:val="3B3B3B"/>
          <w:w w:val="110"/>
          <w:vertAlign w:val="baseline"/>
        </w:rPr>
        <w:t>how</w:t>
      </w:r>
      <w:r>
        <w:rPr>
          <w:color w:val="3B3B3B"/>
          <w:spacing w:val="-19"/>
          <w:w w:val="110"/>
          <w:vertAlign w:val="baseline"/>
        </w:rPr>
        <w:t> </w:t>
      </w:r>
      <w:r>
        <w:rPr>
          <w:color w:val="3B3B3B"/>
          <w:w w:val="110"/>
          <w:vertAlign w:val="baseline"/>
        </w:rPr>
        <w:t>much</w:t>
      </w:r>
      <w:r>
        <w:rPr>
          <w:color w:val="3B3B3B"/>
          <w:spacing w:val="-2"/>
          <w:w w:val="110"/>
          <w:vertAlign w:val="baseline"/>
        </w:rPr>
        <w:t> </w:t>
      </w:r>
      <w:r>
        <w:rPr>
          <w:color w:val="3B3B3B"/>
          <w:w w:val="110"/>
          <w:vertAlign w:val="baseline"/>
        </w:rPr>
        <w:t>less</w:t>
      </w:r>
      <w:r>
        <w:rPr>
          <w:color w:val="3B3B3B"/>
          <w:spacing w:val="-11"/>
          <w:w w:val="110"/>
          <w:vertAlign w:val="baseline"/>
        </w:rPr>
        <w:t> </w:t>
      </w:r>
      <w:r>
        <w:rPr>
          <w:color w:val="3B3B3B"/>
          <w:w w:val="110"/>
          <w:vertAlign w:val="baseline"/>
        </w:rPr>
        <w:t>readable</w:t>
      </w:r>
      <w:r>
        <w:rPr>
          <w:color w:val="3B3B3B"/>
          <w:spacing w:val="7"/>
          <w:w w:val="110"/>
          <w:vertAlign w:val="baseline"/>
        </w:rPr>
        <w:t> </w:t>
      </w:r>
      <w:r>
        <w:rPr>
          <w:color w:val="3B3B3B"/>
          <w:w w:val="110"/>
          <w:vertAlign w:val="baseline"/>
        </w:rPr>
        <w:t>the</w:t>
      </w:r>
      <w:r>
        <w:rPr>
          <w:color w:val="3B3B3B"/>
          <w:spacing w:val="13"/>
          <w:w w:val="110"/>
          <w:vertAlign w:val="baseline"/>
        </w:rPr>
        <w:t> </w:t>
      </w:r>
      <w:r>
        <w:rPr>
          <w:color w:val="3B3B3B"/>
          <w:w w:val="110"/>
          <w:vertAlign w:val="baseline"/>
        </w:rPr>
        <w:t>all-caps</w:t>
      </w:r>
      <w:r>
        <w:rPr>
          <w:color w:val="3B3B3B"/>
          <w:spacing w:val="-5"/>
          <w:w w:val="110"/>
          <w:vertAlign w:val="baseline"/>
        </w:rPr>
        <w:t> </w:t>
      </w:r>
      <w:r>
        <w:rPr>
          <w:color w:val="3B3B3B"/>
          <w:w w:val="110"/>
          <w:vertAlign w:val="baseline"/>
        </w:rPr>
        <w:t>heading</w:t>
      </w:r>
      <w:r>
        <w:rPr>
          <w:color w:val="3B3B3B"/>
          <w:spacing w:val="-6"/>
          <w:w w:val="110"/>
          <w:vertAlign w:val="baseline"/>
        </w:rPr>
        <w:t> </w:t>
      </w:r>
      <w:r>
        <w:rPr>
          <w:color w:val="3B3B3B"/>
          <w:w w:val="110"/>
          <w:vertAlign w:val="baseline"/>
        </w:rPr>
        <w:t>is:</w:t>
      </w:r>
    </w:p>
    <w:p>
      <w:pPr>
        <w:pStyle w:val="BodyText"/>
        <w:rPr>
          <w:sz w:val="10"/>
        </w:rPr>
      </w:pPr>
    </w:p>
    <w:p>
      <w:pPr>
        <w:spacing w:before="94"/>
        <w:ind w:left="758" w:right="0" w:firstLine="0"/>
        <w:jc w:val="both"/>
        <w:rPr>
          <w:b/>
          <w:sz w:val="16"/>
        </w:rPr>
      </w:pPr>
      <w:r>
        <w:rPr>
          <w:b/>
          <w:color w:val="3B3B3B"/>
          <w:spacing w:val="-1"/>
          <w:w w:val="115"/>
          <w:sz w:val="16"/>
          <w:u w:val="thick" w:color="3B3B3B"/>
        </w:rPr>
        <w:t>-VBAD</w:t>
      </w:r>
      <w:r>
        <w:rPr>
          <w:b/>
          <w:color w:val="3B3B3B"/>
          <w:spacing w:val="-11"/>
          <w:w w:val="115"/>
          <w:sz w:val="16"/>
          <w:u w:val="thick" w:color="3B3B3B"/>
        </w:rPr>
        <w:t> </w:t>
      </w:r>
      <w:r>
        <w:rPr>
          <w:b/>
          <w:color w:val="3B3B3B"/>
          <w:w w:val="105"/>
          <w:sz w:val="16"/>
          <w:u w:val="thick" w:color="3B3B3B"/>
        </w:rPr>
        <w:t>EXAMPLE</w:t>
      </w:r>
    </w:p>
    <w:p>
      <w:pPr>
        <w:spacing w:line="264" w:lineRule="auto" w:before="77"/>
        <w:ind w:left="1089" w:right="443" w:firstLine="15"/>
        <w:jc w:val="both"/>
        <w:rPr>
          <w:b/>
          <w:sz w:val="19"/>
        </w:rPr>
      </w:pPr>
      <w:r>
        <w:rPr>
          <w:b/>
          <w:color w:val="3B3B3B"/>
          <w:w w:val="105"/>
          <w:sz w:val="19"/>
        </w:rPr>
        <w:t>ILLEGAL DRUG DISTRIBUTION IS NOT A LONGSTANDING SOCIAL</w:t>
      </w:r>
      <w:r>
        <w:rPr>
          <w:b/>
          <w:color w:val="3B3B3B"/>
          <w:spacing w:val="1"/>
          <w:w w:val="105"/>
          <w:sz w:val="19"/>
        </w:rPr>
        <w:t> </w:t>
      </w:r>
      <w:r>
        <w:rPr>
          <w:b/>
          <w:color w:val="3B3B3B"/>
          <w:w w:val="105"/>
          <w:sz w:val="19"/>
        </w:rPr>
        <w:t>CUSTOM THAT SERVES INTERESTS RECOGNIZED AS VALUABLE BY</w:t>
      </w:r>
      <w:r>
        <w:rPr>
          <w:b/>
          <w:color w:val="3B3B3B"/>
          <w:spacing w:val="1"/>
          <w:w w:val="105"/>
          <w:sz w:val="19"/>
        </w:rPr>
        <w:t> </w:t>
      </w:r>
      <w:r>
        <w:rPr>
          <w:b/>
          <w:color w:val="3B3B3B"/>
          <w:w w:val="105"/>
          <w:sz w:val="19"/>
        </w:rPr>
        <w:t>SOCIETY.</w:t>
      </w:r>
    </w:p>
    <w:p>
      <w:pPr>
        <w:pStyle w:val="BodyText"/>
        <w:spacing w:before="2"/>
        <w:rPr>
          <w:b/>
          <w:sz w:val="21"/>
        </w:rPr>
      </w:pPr>
    </w:p>
    <w:p>
      <w:pPr>
        <w:spacing w:before="94"/>
        <w:ind w:left="763" w:right="0" w:firstLine="0"/>
        <w:jc w:val="left"/>
        <w:rPr>
          <w:b/>
          <w:sz w:val="16"/>
        </w:rPr>
      </w:pPr>
      <w:r>
        <w:rPr>
          <w:color w:val="3B3B3B"/>
          <w:w w:val="95"/>
          <w:sz w:val="16"/>
          <w:u w:val="thick" w:color="3B3B3B"/>
        </w:rPr>
        <w:t>_/\</w:t>
      </w:r>
      <w:r>
        <w:rPr>
          <w:color w:val="3B3B3B"/>
          <w:spacing w:val="57"/>
          <w:sz w:val="16"/>
          <w:u w:val="thick" w:color="3B3B3B"/>
        </w:rPr>
        <w:t> </w:t>
      </w:r>
      <w:r>
        <w:rPr>
          <w:color w:val="3B3B3B"/>
          <w:spacing w:val="57"/>
          <w:sz w:val="16"/>
          <w:u w:val="thick" w:color="3B3B3B"/>
        </w:rPr>
        <w:t> </w:t>
      </w:r>
      <w:r>
        <w:rPr>
          <w:b/>
          <w:color w:val="3B3B3B"/>
          <w:w w:val="90"/>
          <w:sz w:val="16"/>
          <w:u w:val="thick" w:color="3B3B3B"/>
        </w:rPr>
        <w:t>GOOD</w:t>
      </w:r>
      <w:r>
        <w:rPr>
          <w:b/>
          <w:color w:val="3B3B3B"/>
          <w:spacing w:val="8"/>
          <w:w w:val="90"/>
          <w:sz w:val="16"/>
          <w:u w:val="thick" w:color="3B3B3B"/>
        </w:rPr>
        <w:t> </w:t>
      </w:r>
      <w:r>
        <w:rPr>
          <w:b/>
          <w:color w:val="3B3B3B"/>
          <w:w w:val="90"/>
          <w:sz w:val="16"/>
          <w:u w:val="thick" w:color="3B3B3B"/>
        </w:rPr>
        <w:t>EXAMPLE</w:t>
      </w:r>
    </w:p>
    <w:p>
      <w:pPr>
        <w:spacing w:line="230" w:lineRule="auto" w:before="76"/>
        <w:ind w:left="1062" w:right="0" w:firstLine="23"/>
        <w:jc w:val="left"/>
        <w:rPr>
          <w:b/>
          <w:sz w:val="21"/>
        </w:rPr>
      </w:pPr>
      <w:r>
        <w:rPr>
          <w:b/>
          <w:color w:val="3B3B3B"/>
          <w:w w:val="110"/>
          <w:sz w:val="21"/>
        </w:rPr>
        <w:t>Illegal</w:t>
      </w:r>
      <w:r>
        <w:rPr>
          <w:b/>
          <w:color w:val="3B3B3B"/>
          <w:spacing w:val="41"/>
          <w:w w:val="110"/>
          <w:sz w:val="21"/>
        </w:rPr>
        <w:t> </w:t>
      </w:r>
      <w:r>
        <w:rPr>
          <w:b/>
          <w:color w:val="3B3B3B"/>
          <w:w w:val="110"/>
          <w:sz w:val="21"/>
        </w:rPr>
        <w:t>drug</w:t>
      </w:r>
      <w:r>
        <w:rPr>
          <w:b/>
          <w:color w:val="3B3B3B"/>
          <w:spacing w:val="28"/>
          <w:w w:val="110"/>
          <w:sz w:val="21"/>
        </w:rPr>
        <w:t> </w:t>
      </w:r>
      <w:r>
        <w:rPr>
          <w:b/>
          <w:color w:val="3B3B3B"/>
          <w:w w:val="110"/>
          <w:sz w:val="21"/>
        </w:rPr>
        <w:t>distribution</w:t>
      </w:r>
      <w:r>
        <w:rPr>
          <w:b/>
          <w:color w:val="3B3B3B"/>
          <w:spacing w:val="50"/>
          <w:w w:val="110"/>
          <w:sz w:val="21"/>
        </w:rPr>
        <w:t> </w:t>
      </w:r>
      <w:r>
        <w:rPr>
          <w:b/>
          <w:color w:val="3B3B3B"/>
          <w:w w:val="110"/>
          <w:sz w:val="21"/>
        </w:rPr>
        <w:t>is</w:t>
      </w:r>
      <w:r>
        <w:rPr>
          <w:b/>
          <w:color w:val="3B3B3B"/>
          <w:spacing w:val="39"/>
          <w:w w:val="110"/>
          <w:sz w:val="21"/>
        </w:rPr>
        <w:t> </w:t>
      </w:r>
      <w:r>
        <w:rPr>
          <w:b/>
          <w:color w:val="3B3B3B"/>
          <w:w w:val="110"/>
          <w:sz w:val="21"/>
        </w:rPr>
        <w:t>not  a</w:t>
      </w:r>
      <w:r>
        <w:rPr>
          <w:b/>
          <w:color w:val="3B3B3B"/>
          <w:spacing w:val="48"/>
          <w:w w:val="110"/>
          <w:sz w:val="21"/>
        </w:rPr>
        <w:t> </w:t>
      </w:r>
      <w:r>
        <w:rPr>
          <w:b/>
          <w:color w:val="3B3B3B"/>
          <w:w w:val="110"/>
          <w:sz w:val="21"/>
        </w:rPr>
        <w:t>longstanding</w:t>
      </w:r>
      <w:r>
        <w:rPr>
          <w:b/>
          <w:color w:val="3B3B3B"/>
          <w:spacing w:val="43"/>
          <w:w w:val="110"/>
          <w:sz w:val="21"/>
        </w:rPr>
        <w:t> </w:t>
      </w:r>
      <w:r>
        <w:rPr>
          <w:b/>
          <w:color w:val="3B3B3B"/>
          <w:w w:val="110"/>
          <w:sz w:val="21"/>
        </w:rPr>
        <w:t>social</w:t>
      </w:r>
      <w:r>
        <w:rPr>
          <w:b/>
          <w:color w:val="3B3B3B"/>
          <w:spacing w:val="43"/>
          <w:w w:val="110"/>
          <w:sz w:val="21"/>
        </w:rPr>
        <w:t> </w:t>
      </w:r>
      <w:r>
        <w:rPr>
          <w:b/>
          <w:color w:val="3B3B3B"/>
          <w:w w:val="110"/>
          <w:sz w:val="21"/>
        </w:rPr>
        <w:t>custom</w:t>
      </w:r>
      <w:r>
        <w:rPr>
          <w:b/>
          <w:color w:val="3B3B3B"/>
          <w:spacing w:val="45"/>
          <w:w w:val="110"/>
          <w:sz w:val="21"/>
        </w:rPr>
        <w:t> </w:t>
      </w:r>
      <w:r>
        <w:rPr>
          <w:b/>
          <w:color w:val="3B3B3B"/>
          <w:w w:val="110"/>
          <w:sz w:val="21"/>
        </w:rPr>
        <w:t>that</w:t>
      </w:r>
      <w:r>
        <w:rPr>
          <w:b/>
          <w:color w:val="3B3B3B"/>
          <w:spacing w:val="-55"/>
          <w:w w:val="110"/>
          <w:sz w:val="21"/>
        </w:rPr>
        <w:t> </w:t>
      </w:r>
      <w:r>
        <w:rPr>
          <w:b/>
          <w:color w:val="3B3B3B"/>
          <w:spacing w:val="-1"/>
          <w:w w:val="110"/>
          <w:sz w:val="21"/>
        </w:rPr>
        <w:t>serves</w:t>
      </w:r>
      <w:r>
        <w:rPr>
          <w:b/>
          <w:color w:val="3B3B3B"/>
          <w:spacing w:val="-15"/>
          <w:w w:val="110"/>
          <w:sz w:val="21"/>
        </w:rPr>
        <w:t> </w:t>
      </w:r>
      <w:r>
        <w:rPr>
          <w:b/>
          <w:color w:val="3B3B3B"/>
          <w:spacing w:val="-1"/>
          <w:w w:val="110"/>
          <w:sz w:val="21"/>
        </w:rPr>
        <w:t>functions</w:t>
      </w:r>
      <w:r>
        <w:rPr>
          <w:b/>
          <w:color w:val="3B3B3B"/>
          <w:spacing w:val="2"/>
          <w:w w:val="110"/>
          <w:sz w:val="21"/>
        </w:rPr>
        <w:t> </w:t>
      </w:r>
      <w:r>
        <w:rPr>
          <w:b/>
          <w:color w:val="3B3B3B"/>
          <w:spacing w:val="-1"/>
          <w:w w:val="110"/>
          <w:sz w:val="21"/>
        </w:rPr>
        <w:t>recognized</w:t>
      </w:r>
      <w:r>
        <w:rPr>
          <w:b/>
          <w:color w:val="3B3B3B"/>
          <w:spacing w:val="1"/>
          <w:w w:val="110"/>
          <w:sz w:val="21"/>
        </w:rPr>
        <w:t> </w:t>
      </w:r>
      <w:r>
        <w:rPr>
          <w:b/>
          <w:color w:val="3B3B3B"/>
          <w:w w:val="110"/>
          <w:sz w:val="21"/>
        </w:rPr>
        <w:t>as</w:t>
      </w:r>
      <w:r>
        <w:rPr>
          <w:b/>
          <w:color w:val="3B3B3B"/>
          <w:spacing w:val="-4"/>
          <w:w w:val="110"/>
          <w:sz w:val="21"/>
        </w:rPr>
        <w:t> </w:t>
      </w:r>
      <w:r>
        <w:rPr>
          <w:b/>
          <w:color w:val="3B3B3B"/>
          <w:w w:val="110"/>
          <w:sz w:val="21"/>
        </w:rPr>
        <w:t>valuable</w:t>
      </w:r>
      <w:r>
        <w:rPr>
          <w:b/>
          <w:color w:val="3B3B3B"/>
          <w:spacing w:val="-5"/>
          <w:w w:val="110"/>
          <w:sz w:val="21"/>
        </w:rPr>
        <w:t> </w:t>
      </w:r>
      <w:r>
        <w:rPr>
          <w:b/>
          <w:color w:val="3B3B3B"/>
          <w:w w:val="110"/>
          <w:sz w:val="21"/>
        </w:rPr>
        <w:t>by</w:t>
      </w:r>
      <w:r>
        <w:rPr>
          <w:b/>
          <w:color w:val="3B3B3B"/>
          <w:spacing w:val="-6"/>
          <w:w w:val="110"/>
          <w:sz w:val="21"/>
        </w:rPr>
        <w:t> </w:t>
      </w:r>
      <w:r>
        <w:rPr>
          <w:b/>
          <w:color w:val="3B3B3B"/>
          <w:w w:val="110"/>
          <w:sz w:val="21"/>
        </w:rPr>
        <w:t>society.</w:t>
      </w:r>
    </w:p>
    <w:p>
      <w:pPr>
        <w:pStyle w:val="BodyText"/>
        <w:spacing w:line="232" w:lineRule="auto" w:before="142"/>
        <w:ind w:left="626" w:right="138" w:firstLine="64"/>
        <w:jc w:val="both"/>
      </w:pPr>
      <w:r>
        <w:rPr>
          <w:color w:val="3B3B3B"/>
          <w:w w:val="105"/>
        </w:rPr>
        <w:t>Many legal typeface customs evolved during the age of the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typewriter. Use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of all-caps and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underlining were common because boldfaced and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italicized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10"/>
        </w:rPr>
        <w:t>fonts did not exist. Judges welcome being able to find new point headings</w:t>
      </w:r>
      <w:r>
        <w:rPr>
          <w:color w:val="3B3B3B"/>
          <w:spacing w:val="-61"/>
          <w:w w:val="110"/>
        </w:rPr>
        <w:t> </w:t>
      </w:r>
      <w:r>
        <w:rPr>
          <w:color w:val="3B3B3B"/>
          <w:w w:val="110"/>
        </w:rPr>
        <w:t>easily as they page through the argument, and boldfaced headings will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help</w:t>
      </w:r>
      <w:r>
        <w:rPr>
          <w:color w:val="3B3B3B"/>
          <w:spacing w:val="-15"/>
          <w:w w:val="110"/>
        </w:rPr>
        <w:t> </w:t>
      </w:r>
      <w:r>
        <w:rPr>
          <w:color w:val="3B3B3B"/>
          <w:w w:val="110"/>
        </w:rPr>
        <w:t>them</w:t>
      </w:r>
      <w:r>
        <w:rPr>
          <w:color w:val="3B3B3B"/>
          <w:spacing w:val="-1"/>
          <w:w w:val="110"/>
        </w:rPr>
        <w:t> </w:t>
      </w:r>
      <w:r>
        <w:rPr>
          <w:color w:val="3B3B3B"/>
          <w:w w:val="110"/>
        </w:rPr>
        <w:t>do</w:t>
      </w:r>
      <w:r>
        <w:rPr>
          <w:color w:val="3B3B3B"/>
          <w:spacing w:val="2"/>
          <w:w w:val="110"/>
        </w:rPr>
        <w:t> </w:t>
      </w:r>
      <w:r>
        <w:rPr>
          <w:color w:val="3B3B3B"/>
          <w:w w:val="110"/>
        </w:rPr>
        <w:t>this.</w:t>
      </w:r>
      <w:r>
        <w:rPr>
          <w:color w:val="3B3B3B"/>
          <w:spacing w:val="4"/>
          <w:w w:val="110"/>
        </w:rPr>
        <w:t> </w:t>
      </w:r>
      <w:r>
        <w:rPr>
          <w:color w:val="3B3B3B"/>
          <w:w w:val="110"/>
        </w:rPr>
        <w:t>Headings</w:t>
      </w:r>
      <w:r>
        <w:rPr>
          <w:color w:val="3B3B3B"/>
          <w:spacing w:val="5"/>
          <w:w w:val="110"/>
        </w:rPr>
        <w:t> </w:t>
      </w:r>
      <w:r>
        <w:rPr>
          <w:color w:val="3B3B3B"/>
          <w:w w:val="110"/>
        </w:rPr>
        <w:t>made</w:t>
      </w:r>
      <w:r>
        <w:rPr>
          <w:color w:val="3B3B3B"/>
          <w:spacing w:val="-10"/>
          <w:w w:val="110"/>
        </w:rPr>
        <w:t> </w:t>
      </w:r>
      <w:r>
        <w:rPr>
          <w:color w:val="3B3B3B"/>
          <w:w w:val="110"/>
        </w:rPr>
        <w:t>up</w:t>
      </w:r>
      <w:r>
        <w:rPr>
          <w:color w:val="3B3B3B"/>
          <w:spacing w:val="-13"/>
          <w:w w:val="110"/>
        </w:rPr>
        <w:t> </w:t>
      </w:r>
      <w:r>
        <w:rPr>
          <w:color w:val="3B3B3B"/>
          <w:w w:val="110"/>
        </w:rPr>
        <w:t>of</w:t>
      </w:r>
      <w:r>
        <w:rPr>
          <w:color w:val="3B3B3B"/>
          <w:spacing w:val="-9"/>
          <w:w w:val="110"/>
        </w:rPr>
        <w:t> </w:t>
      </w:r>
      <w:r>
        <w:rPr>
          <w:color w:val="3B3B3B"/>
          <w:w w:val="110"/>
        </w:rPr>
        <w:t>all</w:t>
      </w:r>
      <w:r>
        <w:rPr>
          <w:color w:val="3B3B3B"/>
          <w:spacing w:val="-2"/>
          <w:w w:val="110"/>
        </w:rPr>
        <w:t> </w:t>
      </w:r>
      <w:r>
        <w:rPr>
          <w:color w:val="525254"/>
          <w:w w:val="110"/>
        </w:rPr>
        <w:t>capital</w:t>
      </w:r>
      <w:r>
        <w:rPr>
          <w:color w:val="525254"/>
          <w:spacing w:val="-4"/>
          <w:w w:val="110"/>
        </w:rPr>
        <w:t> </w:t>
      </w:r>
      <w:r>
        <w:rPr>
          <w:color w:val="3B3B3B"/>
          <w:w w:val="110"/>
        </w:rPr>
        <w:t>letters</w:t>
      </w:r>
      <w:r>
        <w:rPr>
          <w:color w:val="3B3B3B"/>
          <w:spacing w:val="-6"/>
          <w:w w:val="110"/>
        </w:rPr>
        <w:t> </w:t>
      </w:r>
      <w:r>
        <w:rPr>
          <w:color w:val="3B3B3B"/>
          <w:w w:val="110"/>
        </w:rPr>
        <w:t>are usually</w:t>
      </w:r>
      <w:r>
        <w:rPr>
          <w:color w:val="3B3B3B"/>
          <w:spacing w:val="-20"/>
          <w:w w:val="110"/>
        </w:rPr>
        <w:t> </w:t>
      </w:r>
      <w:r>
        <w:rPr>
          <w:color w:val="3B3B3B"/>
          <w:w w:val="110"/>
        </w:rPr>
        <w:t>diffi­</w:t>
      </w:r>
      <w:r>
        <w:rPr>
          <w:color w:val="3B3B3B"/>
          <w:spacing w:val="1"/>
          <w:w w:val="110"/>
        </w:rPr>
        <w:t> </w:t>
      </w:r>
      <w:r>
        <w:rPr>
          <w:color w:val="3B3B3B"/>
          <w:spacing w:val="-1"/>
          <w:w w:val="110"/>
        </w:rPr>
        <w:t>cult</w:t>
      </w:r>
      <w:r>
        <w:rPr>
          <w:color w:val="3B3B3B"/>
          <w:spacing w:val="-12"/>
          <w:w w:val="110"/>
        </w:rPr>
        <w:t> </w:t>
      </w:r>
      <w:r>
        <w:rPr>
          <w:color w:val="3B3B3B"/>
          <w:spacing w:val="-1"/>
          <w:w w:val="110"/>
        </w:rPr>
        <w:t>to</w:t>
      </w:r>
      <w:r>
        <w:rPr>
          <w:color w:val="3B3B3B"/>
          <w:spacing w:val="-9"/>
          <w:w w:val="110"/>
        </w:rPr>
        <w:t> </w:t>
      </w:r>
      <w:r>
        <w:rPr>
          <w:color w:val="3B3B3B"/>
          <w:spacing w:val="-1"/>
          <w:w w:val="110"/>
        </w:rPr>
        <w:t>read.</w:t>
      </w:r>
      <w:r>
        <w:rPr>
          <w:rFonts w:ascii="Arial" w:hAnsi="Arial"/>
          <w:color w:val="3B3B3B"/>
          <w:spacing w:val="-1"/>
          <w:w w:val="110"/>
          <w:position w:val="9"/>
          <w:sz w:val="12"/>
        </w:rPr>
        <w:t>6</w:t>
      </w:r>
      <w:r>
        <w:rPr>
          <w:rFonts w:ascii="Arial" w:hAnsi="Arial"/>
          <w:color w:val="3B3B3B"/>
          <w:spacing w:val="21"/>
          <w:w w:val="110"/>
          <w:position w:val="9"/>
          <w:sz w:val="12"/>
        </w:rPr>
        <w:t> </w:t>
      </w:r>
      <w:r>
        <w:rPr>
          <w:color w:val="3B3B3B"/>
          <w:spacing w:val="-1"/>
          <w:w w:val="110"/>
        </w:rPr>
        <w:t>Accordingly,</w:t>
      </w:r>
      <w:r>
        <w:rPr>
          <w:color w:val="3B3B3B"/>
          <w:w w:val="110"/>
        </w:rPr>
        <w:t> you</w:t>
      </w:r>
      <w:r>
        <w:rPr>
          <w:color w:val="3B3B3B"/>
          <w:spacing w:val="-12"/>
          <w:w w:val="110"/>
        </w:rPr>
        <w:t> </w:t>
      </w:r>
      <w:r>
        <w:rPr>
          <w:color w:val="3B3B3B"/>
          <w:w w:val="110"/>
        </w:rPr>
        <w:t>should</w:t>
      </w:r>
      <w:r>
        <w:rPr>
          <w:color w:val="3B3B3B"/>
          <w:spacing w:val="-13"/>
          <w:w w:val="110"/>
        </w:rPr>
        <w:t> </w:t>
      </w:r>
      <w:r>
        <w:rPr>
          <w:color w:val="3B3B3B"/>
          <w:w w:val="110"/>
        </w:rPr>
        <w:t>never</w:t>
      </w:r>
      <w:r>
        <w:rPr>
          <w:color w:val="3B3B3B"/>
          <w:spacing w:val="-6"/>
          <w:w w:val="110"/>
        </w:rPr>
        <w:t> </w:t>
      </w:r>
      <w:r>
        <w:rPr>
          <w:color w:val="3B3B3B"/>
          <w:w w:val="110"/>
        </w:rPr>
        <w:t>use</w:t>
      </w:r>
      <w:r>
        <w:rPr>
          <w:color w:val="3B3B3B"/>
          <w:spacing w:val="-25"/>
          <w:w w:val="110"/>
        </w:rPr>
        <w:t> </w:t>
      </w:r>
      <w:r>
        <w:rPr>
          <w:color w:val="3B3B3B"/>
          <w:w w:val="110"/>
        </w:rPr>
        <w:t>all</w:t>
      </w:r>
      <w:r>
        <w:rPr>
          <w:color w:val="3B3B3B"/>
          <w:spacing w:val="-11"/>
          <w:w w:val="110"/>
        </w:rPr>
        <w:t> </w:t>
      </w:r>
      <w:r>
        <w:rPr>
          <w:color w:val="3B3B3B"/>
          <w:w w:val="110"/>
        </w:rPr>
        <w:t>caps</w:t>
      </w:r>
      <w:r>
        <w:rPr>
          <w:color w:val="3B3B3B"/>
          <w:spacing w:val="-18"/>
          <w:w w:val="110"/>
        </w:rPr>
        <w:t> </w:t>
      </w:r>
      <w:r>
        <w:rPr>
          <w:color w:val="3B3B3B"/>
          <w:w w:val="110"/>
        </w:rPr>
        <w:t>for</w:t>
      </w:r>
      <w:r>
        <w:rPr>
          <w:color w:val="3B3B3B"/>
          <w:spacing w:val="-16"/>
          <w:w w:val="110"/>
        </w:rPr>
        <w:t> </w:t>
      </w:r>
      <w:r>
        <w:rPr>
          <w:color w:val="3B3B3B"/>
          <w:w w:val="110"/>
        </w:rPr>
        <w:t>point</w:t>
      </w:r>
      <w:r>
        <w:rPr>
          <w:color w:val="3B3B3B"/>
          <w:spacing w:val="-4"/>
          <w:w w:val="110"/>
        </w:rPr>
        <w:t> </w:t>
      </w:r>
      <w:r>
        <w:rPr>
          <w:color w:val="3B3B3B"/>
          <w:w w:val="110"/>
        </w:rPr>
        <w:t>headings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unless</w:t>
      </w:r>
      <w:r>
        <w:rPr>
          <w:color w:val="3B3B3B"/>
          <w:spacing w:val="-7"/>
          <w:w w:val="110"/>
        </w:rPr>
        <w:t> </w:t>
      </w:r>
      <w:r>
        <w:rPr>
          <w:color w:val="3B3B3B"/>
          <w:w w:val="110"/>
        </w:rPr>
        <w:t>the</w:t>
      </w:r>
      <w:r>
        <w:rPr>
          <w:color w:val="3B3B3B"/>
          <w:spacing w:val="27"/>
          <w:w w:val="110"/>
        </w:rPr>
        <w:t> </w:t>
      </w:r>
      <w:r>
        <w:rPr>
          <w:color w:val="3B3B3B"/>
          <w:w w:val="110"/>
        </w:rPr>
        <w:t>court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requires</w:t>
      </w:r>
      <w:r>
        <w:rPr>
          <w:color w:val="3B3B3B"/>
          <w:spacing w:val="-7"/>
          <w:w w:val="110"/>
        </w:rPr>
        <w:t> </w:t>
      </w:r>
      <w:r>
        <w:rPr>
          <w:color w:val="3B3B3B"/>
          <w:w w:val="110"/>
        </w:rPr>
        <w:t>it.</w:t>
      </w:r>
    </w:p>
    <w:p>
      <w:pPr>
        <w:pStyle w:val="BodyText"/>
        <w:spacing w:line="228" w:lineRule="auto" w:before="10"/>
        <w:ind w:left="591" w:right="148" w:firstLine="387"/>
        <w:jc w:val="both"/>
      </w:pPr>
      <w:r>
        <w:rPr>
          <w:color w:val="3B3B3B"/>
          <w:w w:val="115"/>
        </w:rPr>
        <w:t>In addition to typeface concerns, consider placement of your head­</w:t>
      </w:r>
      <w:r>
        <w:rPr>
          <w:color w:val="3B3B3B"/>
          <w:spacing w:val="1"/>
          <w:w w:val="115"/>
        </w:rPr>
        <w:t> </w:t>
      </w:r>
      <w:r>
        <w:rPr>
          <w:color w:val="3B3B3B"/>
          <w:w w:val="110"/>
        </w:rPr>
        <w:t>ings</w:t>
      </w:r>
      <w:r>
        <w:rPr>
          <w:color w:val="3B3B3B"/>
          <w:spacing w:val="-14"/>
          <w:w w:val="110"/>
        </w:rPr>
        <w:t> </w:t>
      </w:r>
      <w:r>
        <w:rPr>
          <w:color w:val="3B3B3B"/>
          <w:w w:val="110"/>
        </w:rPr>
        <w:t>as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well.</w:t>
      </w:r>
      <w:r>
        <w:rPr>
          <w:color w:val="3B3B3B"/>
          <w:spacing w:val="-4"/>
          <w:w w:val="110"/>
        </w:rPr>
        <w:t> </w:t>
      </w:r>
      <w:r>
        <w:rPr>
          <w:color w:val="3B3B3B"/>
          <w:w w:val="110"/>
        </w:rPr>
        <w:t>Although</w:t>
      </w:r>
      <w:r>
        <w:rPr>
          <w:color w:val="3B3B3B"/>
          <w:spacing w:val="41"/>
          <w:w w:val="110"/>
        </w:rPr>
        <w:t> </w:t>
      </w:r>
      <w:r>
        <w:rPr>
          <w:color w:val="3B3B3B"/>
          <w:w w:val="110"/>
        </w:rPr>
        <w:t>by</w:t>
      </w:r>
      <w:r>
        <w:rPr>
          <w:color w:val="3B3B3B"/>
          <w:spacing w:val="10"/>
          <w:w w:val="110"/>
        </w:rPr>
        <w:t> </w:t>
      </w:r>
      <w:r>
        <w:rPr>
          <w:color w:val="3B3B3B"/>
          <w:w w:val="110"/>
        </w:rPr>
        <w:t>now</w:t>
      </w:r>
      <w:r>
        <w:rPr>
          <w:color w:val="3B3B3B"/>
          <w:spacing w:val="9"/>
          <w:w w:val="110"/>
        </w:rPr>
        <w:t> </w:t>
      </w:r>
      <w:r>
        <w:rPr>
          <w:color w:val="3B3B3B"/>
          <w:w w:val="110"/>
        </w:rPr>
        <w:t>you</w:t>
      </w:r>
      <w:r>
        <w:rPr>
          <w:color w:val="3B3B3B"/>
          <w:spacing w:val="28"/>
          <w:w w:val="110"/>
        </w:rPr>
        <w:t> </w:t>
      </w:r>
      <w:r>
        <w:rPr>
          <w:color w:val="3B3B3B"/>
          <w:w w:val="110"/>
        </w:rPr>
        <w:t>have probably</w:t>
      </w:r>
      <w:r>
        <w:rPr>
          <w:color w:val="3B3B3B"/>
          <w:spacing w:val="14"/>
          <w:w w:val="110"/>
        </w:rPr>
        <w:t> </w:t>
      </w:r>
      <w:r>
        <w:rPr>
          <w:color w:val="3B3B3B"/>
          <w:w w:val="110"/>
        </w:rPr>
        <w:t>broken</w:t>
      </w:r>
      <w:r>
        <w:rPr>
          <w:color w:val="3B3B3B"/>
          <w:spacing w:val="10"/>
          <w:w w:val="110"/>
        </w:rPr>
        <w:t> </w:t>
      </w:r>
      <w:r>
        <w:rPr>
          <w:color w:val="3B3B3B"/>
          <w:w w:val="110"/>
        </w:rPr>
        <w:t>your</w:t>
      </w:r>
      <w:r>
        <w:rPr>
          <w:color w:val="3B3B3B"/>
          <w:spacing w:val="2"/>
          <w:w w:val="110"/>
        </w:rPr>
        <w:t> </w:t>
      </w:r>
      <w:r>
        <w:rPr>
          <w:color w:val="3B3B3B"/>
          <w:w w:val="110"/>
        </w:rPr>
        <w:t>document</w:t>
      </w:r>
    </w:p>
    <w:p>
      <w:pPr>
        <w:pStyle w:val="BodyText"/>
        <w:spacing w:before="10"/>
        <w:rPr>
          <w:sz w:val="34"/>
        </w:rPr>
      </w:pPr>
    </w:p>
    <w:p>
      <w:pPr>
        <w:spacing w:line="211" w:lineRule="auto" w:before="1"/>
        <w:ind w:left="536" w:right="143" w:firstLine="401"/>
        <w:jc w:val="both"/>
        <w:rPr>
          <w:sz w:val="18"/>
        </w:rPr>
      </w:pPr>
      <w:r>
        <w:rPr>
          <w:rFonts w:ascii="Arial"/>
          <w:i/>
          <w:color w:val="525254"/>
          <w:w w:val="105"/>
          <w:position w:val="6"/>
          <w:sz w:val="11"/>
        </w:rPr>
        <w:t>5</w:t>
      </w:r>
      <w:r>
        <w:rPr>
          <w:i/>
          <w:color w:val="525254"/>
          <w:w w:val="105"/>
          <w:sz w:val="18"/>
        </w:rPr>
        <w:t>See </w:t>
      </w:r>
      <w:r>
        <w:rPr>
          <w:i/>
          <w:color w:val="3B3B3B"/>
          <w:w w:val="105"/>
          <w:sz w:val="18"/>
        </w:rPr>
        <w:t>generally </w:t>
      </w:r>
      <w:r>
        <w:rPr>
          <w:color w:val="3B3B3B"/>
          <w:w w:val="105"/>
          <w:sz w:val="18"/>
        </w:rPr>
        <w:t>Mary Beth Beazley, </w:t>
      </w:r>
      <w:r>
        <w:rPr>
          <w:i/>
          <w:color w:val="3B3B3B"/>
          <w:w w:val="105"/>
          <w:sz w:val="18"/>
        </w:rPr>
        <w:t>Hiding In Plain Sight: "Conspicuous TypeN Standards </w:t>
      </w:r>
      <w:r>
        <w:rPr>
          <w:i/>
          <w:color w:val="525254"/>
          <w:w w:val="105"/>
          <w:sz w:val="18"/>
        </w:rPr>
        <w:t>in</w:t>
      </w:r>
      <w:r>
        <w:rPr>
          <w:i/>
          <w:color w:val="525254"/>
          <w:spacing w:val="1"/>
          <w:w w:val="105"/>
          <w:sz w:val="18"/>
        </w:rPr>
        <w:t> </w:t>
      </w:r>
      <w:r>
        <w:rPr>
          <w:i/>
          <w:color w:val="3B3B3B"/>
          <w:sz w:val="18"/>
        </w:rPr>
        <w:t>Mandated </w:t>
      </w:r>
      <w:r>
        <w:rPr>
          <w:i/>
          <w:color w:val="525254"/>
          <w:sz w:val="18"/>
        </w:rPr>
        <w:t>Communication </w:t>
      </w:r>
      <w:r>
        <w:rPr>
          <w:i/>
          <w:color w:val="3B3B3B"/>
          <w:sz w:val="18"/>
        </w:rPr>
        <w:t>Statutes</w:t>
      </w:r>
      <w:r>
        <w:rPr>
          <w:i/>
          <w:color w:val="3B3B3B"/>
          <w:spacing w:val="1"/>
          <w:sz w:val="18"/>
        </w:rPr>
        <w:t> </w:t>
      </w:r>
      <w:r>
        <w:rPr>
          <w:i/>
          <w:color w:val="3B3B3B"/>
          <w:sz w:val="18"/>
        </w:rPr>
        <w:t>forthcoming </w:t>
      </w:r>
      <w:r>
        <w:rPr>
          <w:color w:val="3B3B3B"/>
          <w:sz w:val="21"/>
        </w:rPr>
        <w:t>J. </w:t>
      </w:r>
      <w:r>
        <w:rPr>
          <w:color w:val="3B3B3B"/>
          <w:sz w:val="18"/>
        </w:rPr>
        <w:t>Legls. </w:t>
      </w:r>
      <w:r>
        <w:rPr>
          <w:color w:val="525254"/>
          <w:sz w:val="18"/>
        </w:rPr>
        <w:t>(2014) </w:t>
      </w:r>
      <w:r>
        <w:rPr>
          <w:color w:val="3B3B3B"/>
          <w:sz w:val="18"/>
        </w:rPr>
        <w:t>(describing</w:t>
      </w:r>
      <w:r>
        <w:rPr>
          <w:color w:val="3B3B3B"/>
          <w:spacing w:val="1"/>
          <w:sz w:val="18"/>
        </w:rPr>
        <w:t> </w:t>
      </w:r>
      <w:r>
        <w:rPr>
          <w:color w:val="3B3B3B"/>
          <w:sz w:val="18"/>
        </w:rPr>
        <w:t>how</w:t>
      </w:r>
      <w:r>
        <w:rPr>
          <w:color w:val="3B3B3B"/>
          <w:spacing w:val="1"/>
          <w:sz w:val="18"/>
        </w:rPr>
        <w:t> </w:t>
      </w:r>
      <w:r>
        <w:rPr>
          <w:color w:val="3B3B3B"/>
          <w:sz w:val="18"/>
        </w:rPr>
        <w:t>various courts and</w:t>
      </w:r>
      <w:r>
        <w:rPr>
          <w:color w:val="3B3B3B"/>
          <w:spacing w:val="1"/>
          <w:sz w:val="18"/>
        </w:rPr>
        <w:t> </w:t>
      </w:r>
      <w:r>
        <w:rPr>
          <w:color w:val="3B3B3B"/>
          <w:w w:val="105"/>
          <w:sz w:val="18"/>
        </w:rPr>
        <w:t>Jegislatures</w:t>
      </w:r>
      <w:r>
        <w:rPr>
          <w:color w:val="3B3B3B"/>
          <w:spacing w:val="13"/>
          <w:w w:val="105"/>
          <w:sz w:val="18"/>
        </w:rPr>
        <w:t> </w:t>
      </w:r>
      <w:r>
        <w:rPr>
          <w:color w:val="3B3B3B"/>
          <w:w w:val="105"/>
          <w:sz w:val="18"/>
        </w:rPr>
        <w:t>have</w:t>
      </w:r>
      <w:r>
        <w:rPr>
          <w:color w:val="3B3B3B"/>
          <w:spacing w:val="-3"/>
          <w:w w:val="105"/>
          <w:sz w:val="18"/>
        </w:rPr>
        <w:t> </w:t>
      </w:r>
      <w:r>
        <w:rPr>
          <w:color w:val="3B3B3B"/>
          <w:w w:val="105"/>
          <w:sz w:val="18"/>
        </w:rPr>
        <w:t>mandated</w:t>
      </w:r>
      <w:r>
        <w:rPr>
          <w:color w:val="3B3B3B"/>
          <w:spacing w:val="19"/>
          <w:w w:val="105"/>
          <w:sz w:val="18"/>
        </w:rPr>
        <w:t> </w:t>
      </w:r>
      <w:r>
        <w:rPr>
          <w:color w:val="3B3B3B"/>
          <w:w w:val="105"/>
          <w:sz w:val="18"/>
        </w:rPr>
        <w:t>all</w:t>
      </w:r>
      <w:r>
        <w:rPr>
          <w:color w:val="3B3B3B"/>
          <w:spacing w:val="-9"/>
          <w:w w:val="105"/>
          <w:sz w:val="18"/>
        </w:rPr>
        <w:t> </w:t>
      </w:r>
      <w:r>
        <w:rPr>
          <w:color w:val="3B3B3B"/>
          <w:w w:val="105"/>
          <w:sz w:val="18"/>
        </w:rPr>
        <w:t>capital</w:t>
      </w:r>
      <w:r>
        <w:rPr>
          <w:color w:val="3B3B3B"/>
          <w:spacing w:val="17"/>
          <w:w w:val="105"/>
          <w:sz w:val="18"/>
        </w:rPr>
        <w:t> </w:t>
      </w:r>
      <w:r>
        <w:rPr>
          <w:color w:val="3B3B3B"/>
          <w:w w:val="105"/>
          <w:sz w:val="18"/>
        </w:rPr>
        <w:t>letters wlth</w:t>
      </w:r>
      <w:r>
        <w:rPr>
          <w:color w:val="3B3B3B"/>
          <w:spacing w:val="11"/>
          <w:w w:val="105"/>
          <w:sz w:val="18"/>
        </w:rPr>
        <w:t> </w:t>
      </w:r>
      <w:r>
        <w:rPr>
          <w:color w:val="525254"/>
          <w:w w:val="105"/>
          <w:sz w:val="18"/>
        </w:rPr>
        <w:t>the</w:t>
      </w:r>
      <w:r>
        <w:rPr>
          <w:color w:val="525254"/>
          <w:spacing w:val="14"/>
          <w:w w:val="105"/>
          <w:sz w:val="18"/>
        </w:rPr>
        <w:t> </w:t>
      </w:r>
      <w:r>
        <w:rPr>
          <w:color w:val="3B3B3B"/>
          <w:w w:val="105"/>
          <w:sz w:val="18"/>
        </w:rPr>
        <w:t>phrase</w:t>
      </w:r>
      <w:r>
        <w:rPr>
          <w:color w:val="3B3B3B"/>
          <w:spacing w:val="-10"/>
          <w:w w:val="105"/>
          <w:sz w:val="18"/>
        </w:rPr>
        <w:t> </w:t>
      </w:r>
      <w:r>
        <w:rPr>
          <w:color w:val="525254"/>
          <w:w w:val="105"/>
          <w:sz w:val="18"/>
        </w:rPr>
        <w:t>"conspicuous</w:t>
      </w:r>
      <w:r>
        <w:rPr>
          <w:color w:val="525254"/>
          <w:spacing w:val="16"/>
          <w:w w:val="105"/>
          <w:sz w:val="18"/>
        </w:rPr>
        <w:t> </w:t>
      </w:r>
      <w:r>
        <w:rPr>
          <w:color w:val="3B3B3B"/>
          <w:w w:val="105"/>
          <w:sz w:val="18"/>
        </w:rPr>
        <w:t>type").</w:t>
      </w:r>
    </w:p>
    <w:p>
      <w:pPr>
        <w:spacing w:line="232" w:lineRule="auto" w:before="5"/>
        <w:ind w:left="467" w:right="159" w:firstLine="445"/>
        <w:jc w:val="both"/>
        <w:rPr>
          <w:sz w:val="18"/>
        </w:rPr>
      </w:pPr>
      <w:r>
        <w:rPr>
          <w:rFonts w:ascii="Arial" w:hAnsi="Arial"/>
          <w:color w:val="525254"/>
          <w:position w:val="6"/>
          <w:sz w:val="11"/>
        </w:rPr>
        <w:t>6</w:t>
      </w:r>
      <w:r>
        <w:rPr>
          <w:i/>
          <w:color w:val="3B3B3B"/>
          <w:sz w:val="18"/>
        </w:rPr>
        <w:t>E</w:t>
      </w:r>
      <w:r>
        <w:rPr>
          <w:i/>
          <w:color w:val="6B6B6E"/>
          <w:sz w:val="18"/>
        </w:rPr>
        <w:t>.</w:t>
      </w:r>
      <w:r>
        <w:rPr>
          <w:i/>
          <w:color w:val="3B3B3B"/>
          <w:sz w:val="18"/>
        </w:rPr>
        <w:t>g.,</w:t>
      </w:r>
      <w:r>
        <w:rPr>
          <w:i/>
          <w:color w:val="3B3B3B"/>
          <w:spacing w:val="1"/>
          <w:sz w:val="18"/>
        </w:rPr>
        <w:t> </w:t>
      </w:r>
      <w:r>
        <w:rPr>
          <w:color w:val="3B3B3B"/>
          <w:sz w:val="18"/>
        </w:rPr>
        <w:t>Ralf Herrmann,</w:t>
      </w:r>
      <w:r>
        <w:rPr>
          <w:color w:val="3B3B3B"/>
          <w:spacing w:val="1"/>
          <w:sz w:val="18"/>
        </w:rPr>
        <w:t> </w:t>
      </w:r>
      <w:r>
        <w:rPr>
          <w:i/>
          <w:color w:val="3B3B3B"/>
          <w:sz w:val="18"/>
        </w:rPr>
        <w:t>How Do We Read Words and How Should We</w:t>
      </w:r>
      <w:r>
        <w:rPr>
          <w:i/>
          <w:color w:val="3B3B3B"/>
          <w:spacing w:val="1"/>
          <w:sz w:val="18"/>
        </w:rPr>
        <w:t> </w:t>
      </w:r>
      <w:r>
        <w:rPr>
          <w:i/>
          <w:color w:val="3B3B3B"/>
          <w:sz w:val="18"/>
        </w:rPr>
        <w:t>Set Them? </w:t>
      </w:r>
      <w:r>
        <w:rPr>
          <w:color w:val="3B3B3B"/>
          <w:sz w:val="18"/>
        </w:rPr>
        <w:t>Wayfindlng </w:t>
      </w:r>
      <w:r>
        <w:rPr>
          <w:rFonts w:ascii="Arial" w:hAnsi="Arial"/>
          <w:color w:val="3B3B3B"/>
          <w:sz w:val="16"/>
        </w:rPr>
        <w:t>&amp;</w:t>
      </w:r>
      <w:r>
        <w:rPr>
          <w:rFonts w:ascii="Arial" w:hAnsi="Arial"/>
          <w:color w:val="3B3B3B"/>
          <w:spacing w:val="1"/>
          <w:sz w:val="16"/>
        </w:rPr>
        <w:t> </w:t>
      </w:r>
      <w:r>
        <w:rPr>
          <w:color w:val="3B3B3B"/>
          <w:spacing w:val="-1"/>
          <w:w w:val="110"/>
          <w:sz w:val="18"/>
        </w:rPr>
        <w:t>Typography (June </w:t>
      </w:r>
      <w:r>
        <w:rPr>
          <w:color w:val="525254"/>
          <w:spacing w:val="-1"/>
          <w:w w:val="110"/>
          <w:sz w:val="18"/>
        </w:rPr>
        <w:t>14, </w:t>
      </w:r>
      <w:r>
        <w:rPr>
          <w:color w:val="3B3B3B"/>
          <w:spacing w:val="-1"/>
          <w:w w:val="110"/>
          <w:sz w:val="18"/>
        </w:rPr>
        <w:t>2011), available at </w:t>
      </w:r>
      <w:hyperlink r:id="rId270">
        <w:r>
          <w:rPr>
            <w:color w:val="3B3B3B"/>
            <w:w w:val="110"/>
            <w:sz w:val="18"/>
          </w:rPr>
          <w:t>http://opentype.info/blog/201l/06/14/how-do-we-read­</w:t>
        </w:r>
      </w:hyperlink>
      <w:r>
        <w:rPr>
          <w:color w:val="3B3B3B"/>
          <w:spacing w:val="1"/>
          <w:w w:val="110"/>
          <w:sz w:val="18"/>
        </w:rPr>
        <w:t> </w:t>
      </w:r>
      <w:r>
        <w:rPr>
          <w:color w:val="3B3B3B"/>
          <w:w w:val="110"/>
          <w:sz w:val="18"/>
        </w:rPr>
        <w:t>words-and-how-should-we-ret-them.</w:t>
      </w:r>
      <w:r>
        <w:rPr>
          <w:color w:val="3B3B3B"/>
          <w:spacing w:val="-24"/>
          <w:w w:val="110"/>
          <w:sz w:val="18"/>
        </w:rPr>
        <w:t> </w:t>
      </w:r>
      <w:r>
        <w:rPr>
          <w:color w:val="3B3B3B"/>
          <w:w w:val="110"/>
          <w:sz w:val="18"/>
        </w:rPr>
        <w:t>This</w:t>
      </w:r>
      <w:r>
        <w:rPr>
          <w:color w:val="3B3B3B"/>
          <w:spacing w:val="-28"/>
          <w:w w:val="110"/>
          <w:sz w:val="18"/>
        </w:rPr>
        <w:t> </w:t>
      </w:r>
      <w:r>
        <w:rPr>
          <w:color w:val="3B3B3B"/>
          <w:w w:val="110"/>
          <w:sz w:val="18"/>
        </w:rPr>
        <w:t>essay</w:t>
      </w:r>
      <w:r>
        <w:rPr>
          <w:color w:val="3B3B3B"/>
          <w:spacing w:val="-23"/>
          <w:w w:val="110"/>
          <w:sz w:val="18"/>
        </w:rPr>
        <w:t> </w:t>
      </w:r>
      <w:r>
        <w:rPr>
          <w:color w:val="3B3B3B"/>
          <w:w w:val="110"/>
          <w:sz w:val="18"/>
        </w:rPr>
        <w:t>explains</w:t>
      </w:r>
      <w:r>
        <w:rPr>
          <w:color w:val="3B3B3B"/>
          <w:spacing w:val="-6"/>
          <w:w w:val="110"/>
          <w:sz w:val="18"/>
        </w:rPr>
        <w:t> </w:t>
      </w:r>
      <w:r>
        <w:rPr>
          <w:color w:val="3B3B3B"/>
          <w:w w:val="110"/>
          <w:sz w:val="18"/>
        </w:rPr>
        <w:t>that</w:t>
      </w:r>
      <w:r>
        <w:rPr>
          <w:color w:val="3B3B3B"/>
          <w:spacing w:val="-8"/>
          <w:w w:val="110"/>
          <w:sz w:val="18"/>
        </w:rPr>
        <w:t> </w:t>
      </w:r>
      <w:r>
        <w:rPr>
          <w:color w:val="3B3B3B"/>
          <w:w w:val="110"/>
          <w:sz w:val="18"/>
        </w:rPr>
        <w:t>we</w:t>
      </w:r>
      <w:r>
        <w:rPr>
          <w:color w:val="3B3B3B"/>
          <w:spacing w:val="-18"/>
          <w:w w:val="110"/>
          <w:sz w:val="18"/>
        </w:rPr>
        <w:t> </w:t>
      </w:r>
      <w:r>
        <w:rPr>
          <w:color w:val="3B3B3B"/>
          <w:w w:val="110"/>
          <w:sz w:val="18"/>
        </w:rPr>
        <w:t>can see</w:t>
      </w:r>
      <w:r>
        <w:rPr>
          <w:color w:val="3B3B3B"/>
          <w:spacing w:val="-12"/>
          <w:w w:val="110"/>
          <w:sz w:val="18"/>
        </w:rPr>
        <w:t> </w:t>
      </w:r>
      <w:r>
        <w:rPr>
          <w:color w:val="3B3B3B"/>
          <w:w w:val="110"/>
          <w:sz w:val="18"/>
        </w:rPr>
        <w:t>clearly</w:t>
      </w:r>
      <w:r>
        <w:rPr>
          <w:color w:val="3B3B3B"/>
          <w:spacing w:val="-22"/>
          <w:w w:val="110"/>
          <w:sz w:val="18"/>
        </w:rPr>
        <w:t> </w:t>
      </w:r>
      <w:r>
        <w:rPr>
          <w:color w:val="3B3B3B"/>
          <w:w w:val="110"/>
          <w:sz w:val="18"/>
        </w:rPr>
        <w:t>onlya</w:t>
      </w:r>
      <w:r>
        <w:rPr>
          <w:color w:val="3B3B3B"/>
          <w:spacing w:val="-2"/>
          <w:w w:val="110"/>
          <w:sz w:val="18"/>
        </w:rPr>
        <w:t> </w:t>
      </w:r>
      <w:r>
        <w:rPr>
          <w:rFonts w:ascii="Arial" w:hAnsi="Arial"/>
          <w:color w:val="3B3B3B"/>
          <w:w w:val="110"/>
          <w:sz w:val="15"/>
        </w:rPr>
        <w:t>few</w:t>
      </w:r>
      <w:r>
        <w:rPr>
          <w:rFonts w:ascii="Arial" w:hAnsi="Arial"/>
          <w:color w:val="3B3B3B"/>
          <w:spacing w:val="-11"/>
          <w:w w:val="110"/>
          <w:sz w:val="15"/>
        </w:rPr>
        <w:t> </w:t>
      </w:r>
      <w:r>
        <w:rPr>
          <w:color w:val="3B3B3B"/>
          <w:w w:val="110"/>
          <w:sz w:val="18"/>
        </w:rPr>
        <w:t>letters</w:t>
      </w:r>
      <w:r>
        <w:rPr>
          <w:color w:val="3B3B3B"/>
          <w:spacing w:val="1"/>
          <w:w w:val="110"/>
          <w:sz w:val="18"/>
        </w:rPr>
        <w:t> </w:t>
      </w:r>
      <w:r>
        <w:rPr>
          <w:color w:val="3B3B3B"/>
          <w:w w:val="110"/>
          <w:sz w:val="18"/>
        </w:rPr>
        <w:t>at a time, and that we useour more blurry peripheral vision to pre-read and decipher upcoming</w:t>
      </w:r>
      <w:r>
        <w:rPr>
          <w:color w:val="3B3B3B"/>
          <w:spacing w:val="1"/>
          <w:w w:val="110"/>
          <w:sz w:val="18"/>
        </w:rPr>
        <w:t> </w:t>
      </w:r>
      <w:r>
        <w:rPr>
          <w:color w:val="3B3B3B"/>
          <w:w w:val="110"/>
          <w:sz w:val="18"/>
        </w:rPr>
        <w:t>letters. </w:t>
      </w:r>
      <w:r>
        <w:rPr>
          <w:i/>
          <w:color w:val="3B3B3B"/>
          <w:w w:val="110"/>
          <w:sz w:val="18"/>
        </w:rPr>
        <w:t>It </w:t>
      </w:r>
      <w:r>
        <w:rPr>
          <w:color w:val="3B3B3B"/>
          <w:w w:val="110"/>
          <w:sz w:val="18"/>
        </w:rPr>
        <w:t>alsoshows that all-caps letters are indistinguishable when blurry and that useof all-caps</w:t>
      </w:r>
      <w:r>
        <w:rPr>
          <w:color w:val="3B3B3B"/>
          <w:spacing w:val="-47"/>
          <w:w w:val="110"/>
          <w:sz w:val="18"/>
        </w:rPr>
        <w:t> </w:t>
      </w:r>
      <w:r>
        <w:rPr>
          <w:color w:val="3B3B3B"/>
          <w:w w:val="110"/>
          <w:sz w:val="18"/>
        </w:rPr>
        <w:t>lettering</w:t>
      </w:r>
      <w:r>
        <w:rPr>
          <w:color w:val="3B3B3B"/>
          <w:spacing w:val="2"/>
          <w:w w:val="110"/>
          <w:sz w:val="18"/>
        </w:rPr>
        <w:t> </w:t>
      </w:r>
      <w:r>
        <w:rPr>
          <w:color w:val="3B3B3B"/>
          <w:w w:val="110"/>
          <w:sz w:val="18"/>
        </w:rPr>
        <w:t>therefore</w:t>
      </w:r>
      <w:r>
        <w:rPr>
          <w:color w:val="3B3B3B"/>
          <w:spacing w:val="-4"/>
          <w:w w:val="110"/>
          <w:sz w:val="18"/>
        </w:rPr>
        <w:t> </w:t>
      </w:r>
      <w:r>
        <w:rPr>
          <w:color w:val="525254"/>
          <w:w w:val="110"/>
          <w:sz w:val="18"/>
        </w:rPr>
        <w:t>slows</w:t>
      </w:r>
      <w:r>
        <w:rPr>
          <w:color w:val="525254"/>
          <w:spacing w:val="-18"/>
          <w:w w:val="110"/>
          <w:sz w:val="18"/>
        </w:rPr>
        <w:t> </w:t>
      </w:r>
      <w:r>
        <w:rPr>
          <w:color w:val="3B3B3B"/>
          <w:w w:val="110"/>
          <w:sz w:val="18"/>
        </w:rPr>
        <w:t>comprehension.</w:t>
      </w:r>
    </w:p>
    <w:p>
      <w:pPr>
        <w:spacing w:after="0" w:line="232" w:lineRule="auto"/>
        <w:jc w:val="both"/>
        <w:rPr>
          <w:sz w:val="18"/>
        </w:rPr>
        <w:sectPr>
          <w:headerReference w:type="even" r:id="rId268"/>
          <w:headerReference w:type="default" r:id="rId269"/>
          <w:pgSz w:w="9760" w:h="13980"/>
          <w:pgMar w:header="505" w:footer="0" w:top="1100" w:bottom="0" w:left="1360" w:right="120"/>
          <w:pgNumType w:start="23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32" w:lineRule="auto"/>
        <w:ind w:left="101" w:right="537" w:firstLine="4"/>
        <w:jc w:val="both"/>
      </w:pPr>
      <w:r>
        <w:rPr>
          <w:color w:val="3A3838"/>
          <w:w w:val="110"/>
        </w:rPr>
        <w:t>into sections, on some emergency projects, creating a template may help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you to identify appropriate subsections. One way to identify sections and</w:t>
      </w:r>
      <w:r>
        <w:rPr>
          <w:color w:val="3A3838"/>
          <w:spacing w:val="-61"/>
          <w:w w:val="110"/>
        </w:rPr>
        <w:t> </w:t>
      </w:r>
      <w:r>
        <w:rPr>
          <w:color w:val="3A3838"/>
          <w:spacing w:val="-1"/>
          <w:w w:val="110"/>
        </w:rPr>
        <w:t>subsections</w:t>
      </w:r>
      <w:r>
        <w:rPr>
          <w:color w:val="3A3838"/>
          <w:spacing w:val="-9"/>
          <w:w w:val="110"/>
        </w:rPr>
        <w:t> </w:t>
      </w:r>
      <w:r>
        <w:rPr>
          <w:color w:val="3A3838"/>
          <w:spacing w:val="-1"/>
          <w:w w:val="110"/>
        </w:rPr>
        <w:t>is</w:t>
      </w:r>
      <w:r>
        <w:rPr>
          <w:color w:val="3A3838"/>
          <w:spacing w:val="-25"/>
          <w:w w:val="110"/>
        </w:rPr>
        <w:t> </w:t>
      </w:r>
      <w:r>
        <w:rPr>
          <w:color w:val="3A3838"/>
          <w:spacing w:val="-1"/>
          <w:w w:val="110"/>
        </w:rPr>
        <w:t>to</w:t>
      </w:r>
      <w:r>
        <w:rPr>
          <w:color w:val="3A3838"/>
          <w:spacing w:val="-15"/>
          <w:w w:val="110"/>
        </w:rPr>
        <w:t> </w:t>
      </w:r>
      <w:r>
        <w:rPr>
          <w:color w:val="3A3838"/>
          <w:spacing w:val="-1"/>
          <w:w w:val="110"/>
        </w:rPr>
        <w:t>consult</w:t>
      </w:r>
      <w:r>
        <w:rPr>
          <w:color w:val="3A3838"/>
          <w:spacing w:val="-25"/>
          <w:w w:val="110"/>
        </w:rPr>
        <w:t> </w:t>
      </w:r>
      <w:r>
        <w:rPr>
          <w:color w:val="3A3838"/>
          <w:spacing w:val="-1"/>
          <w:w w:val="110"/>
        </w:rPr>
        <w:t>your</w:t>
      </w:r>
      <w:r>
        <w:rPr>
          <w:color w:val="3A3838"/>
          <w:spacing w:val="-9"/>
          <w:w w:val="110"/>
        </w:rPr>
        <w:t> </w:t>
      </w:r>
      <w:r>
        <w:rPr>
          <w:color w:val="3A3838"/>
          <w:spacing w:val="-1"/>
          <w:w w:val="110"/>
        </w:rPr>
        <w:t>topic</w:t>
      </w:r>
      <w:r>
        <w:rPr>
          <w:color w:val="3A3838"/>
          <w:spacing w:val="-25"/>
          <w:w w:val="110"/>
        </w:rPr>
        <w:t> </w:t>
      </w:r>
      <w:r>
        <w:rPr>
          <w:color w:val="3A3838"/>
          <w:spacing w:val="-1"/>
          <w:w w:val="110"/>
        </w:rPr>
        <w:t>sentence</w:t>
      </w:r>
      <w:r>
        <w:rPr>
          <w:color w:val="3A3838"/>
          <w:spacing w:val="-23"/>
          <w:w w:val="110"/>
        </w:rPr>
        <w:t> </w:t>
      </w:r>
      <w:r>
        <w:rPr>
          <w:color w:val="3A3838"/>
          <w:spacing w:val="-1"/>
          <w:w w:val="110"/>
        </w:rPr>
        <w:t>list.</w:t>
      </w:r>
      <w:r>
        <w:rPr>
          <w:color w:val="3A3838"/>
          <w:spacing w:val="-30"/>
          <w:w w:val="110"/>
        </w:rPr>
        <w:t> </w:t>
      </w:r>
      <w:r>
        <w:rPr>
          <w:color w:val="3A3838"/>
          <w:spacing w:val="-1"/>
          <w:w w:val="110"/>
        </w:rPr>
        <w:t>As</w:t>
      </w:r>
      <w:r>
        <w:rPr>
          <w:color w:val="3A3838"/>
          <w:spacing w:val="-21"/>
          <w:w w:val="110"/>
        </w:rPr>
        <w:t> </w:t>
      </w:r>
      <w:r>
        <w:rPr>
          <w:color w:val="3A3838"/>
          <w:w w:val="110"/>
        </w:rPr>
        <w:t>noted</w:t>
      </w:r>
      <w:r>
        <w:rPr>
          <w:color w:val="3A3838"/>
          <w:spacing w:val="-14"/>
          <w:w w:val="110"/>
        </w:rPr>
        <w:t> </w:t>
      </w:r>
      <w:r>
        <w:rPr>
          <w:color w:val="3A3838"/>
          <w:w w:val="110"/>
        </w:rPr>
        <w:t>above,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10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-5"/>
          <w:w w:val="110"/>
        </w:rPr>
        <w:t> </w:t>
      </w:r>
      <w:r>
        <w:rPr>
          <w:color w:val="3A3838"/>
          <w:w w:val="110"/>
        </w:rPr>
        <w:t>well­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organized document, you should see several paragraphs about one issue,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then several paragraphs about the next issue, and so on. When your topic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sentences indicate that you have shifted to  a new topic, it's time to insert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-20"/>
          <w:w w:val="110"/>
        </w:rPr>
        <w:t> </w:t>
      </w:r>
      <w:r>
        <w:rPr>
          <w:color w:val="3A3838"/>
          <w:w w:val="110"/>
        </w:rPr>
        <w:t>new</w:t>
      </w:r>
      <w:r>
        <w:rPr>
          <w:color w:val="3A3838"/>
          <w:spacing w:val="-13"/>
          <w:w w:val="110"/>
        </w:rPr>
        <w:t> </w:t>
      </w:r>
      <w:r>
        <w:rPr>
          <w:color w:val="3A3838"/>
          <w:w w:val="110"/>
        </w:rPr>
        <w:t>heading</w:t>
      </w:r>
      <w:r>
        <w:rPr>
          <w:color w:val="565657"/>
          <w:w w:val="110"/>
        </w:rPr>
        <w:t>.</w:t>
      </w:r>
    </w:p>
    <w:p>
      <w:pPr>
        <w:pStyle w:val="BodyText"/>
        <w:spacing w:before="3"/>
        <w:rPr>
          <w:sz w:val="34"/>
        </w:rPr>
      </w:pPr>
    </w:p>
    <w:p>
      <w:pPr>
        <w:spacing w:before="1"/>
        <w:ind w:left="476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A3838"/>
          <w:w w:val="105"/>
          <w:sz w:val="28"/>
        </w:rPr>
        <w:t>10.2.3</w:t>
      </w:r>
    </w:p>
    <w:p>
      <w:pPr>
        <w:spacing w:line="302" w:lineRule="auto" w:before="42"/>
        <w:ind w:left="473" w:right="722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3A3838"/>
          <w:sz w:val="22"/>
        </w:rPr>
        <w:t>PROV</w:t>
      </w:r>
      <w:r>
        <w:rPr>
          <w:rFonts w:ascii="Arial"/>
          <w:b/>
          <w:color w:val="565657"/>
          <w:sz w:val="22"/>
        </w:rPr>
        <w:t>I</w:t>
      </w:r>
      <w:r>
        <w:rPr>
          <w:rFonts w:ascii="Arial"/>
          <w:b/>
          <w:color w:val="3A3838"/>
          <w:sz w:val="22"/>
        </w:rPr>
        <w:t>DING</w:t>
      </w:r>
      <w:r>
        <w:rPr>
          <w:rFonts w:ascii="Arial"/>
          <w:b/>
          <w:color w:val="3A3838"/>
          <w:spacing w:val="41"/>
          <w:sz w:val="22"/>
        </w:rPr>
        <w:t> </w:t>
      </w:r>
      <w:r>
        <w:rPr>
          <w:rFonts w:ascii="Arial"/>
          <w:color w:val="3A3838"/>
          <w:sz w:val="22"/>
        </w:rPr>
        <w:t>CONTEXT</w:t>
      </w:r>
      <w:r>
        <w:rPr>
          <w:rFonts w:ascii="Arial"/>
          <w:color w:val="3A3838"/>
          <w:spacing w:val="23"/>
          <w:sz w:val="22"/>
        </w:rPr>
        <w:t> </w:t>
      </w:r>
      <w:r>
        <w:rPr>
          <w:rFonts w:ascii="Arial"/>
          <w:b/>
          <w:color w:val="3A3838"/>
          <w:sz w:val="22"/>
        </w:rPr>
        <w:t>WITH</w:t>
      </w:r>
      <w:r>
        <w:rPr>
          <w:rFonts w:ascii="Arial"/>
          <w:b/>
          <w:color w:val="3A3838"/>
          <w:spacing w:val="25"/>
          <w:sz w:val="22"/>
        </w:rPr>
        <w:t> </w:t>
      </w:r>
      <w:r>
        <w:rPr>
          <w:rFonts w:ascii="Arial"/>
          <w:b/>
          <w:color w:val="3A3838"/>
          <w:sz w:val="22"/>
        </w:rPr>
        <w:t>LEGAL</w:t>
      </w:r>
      <w:r>
        <w:rPr>
          <w:rFonts w:ascii="Arial"/>
          <w:b/>
          <w:color w:val="3A3838"/>
          <w:spacing w:val="22"/>
          <w:sz w:val="22"/>
        </w:rPr>
        <w:t> </w:t>
      </w:r>
      <w:r>
        <w:rPr>
          <w:rFonts w:ascii="Arial"/>
          <w:b/>
          <w:color w:val="565657"/>
          <w:sz w:val="22"/>
        </w:rPr>
        <w:t>BA</w:t>
      </w:r>
      <w:r>
        <w:rPr>
          <w:rFonts w:ascii="Arial"/>
          <w:b/>
          <w:color w:val="3A3838"/>
          <w:sz w:val="22"/>
        </w:rPr>
        <w:t>C</w:t>
      </w:r>
      <w:r>
        <w:rPr>
          <w:rFonts w:ascii="Arial"/>
          <w:b/>
          <w:color w:val="565657"/>
          <w:sz w:val="22"/>
        </w:rPr>
        <w:t>K</w:t>
      </w:r>
      <w:r>
        <w:rPr>
          <w:rFonts w:ascii="Arial"/>
          <w:b/>
          <w:color w:val="3A3838"/>
          <w:sz w:val="22"/>
        </w:rPr>
        <w:t>STO</w:t>
      </w:r>
      <w:r>
        <w:rPr>
          <w:rFonts w:ascii="Arial"/>
          <w:b/>
          <w:color w:val="565657"/>
          <w:sz w:val="22"/>
        </w:rPr>
        <w:t>R</w:t>
      </w:r>
      <w:r>
        <w:rPr>
          <w:rFonts w:ascii="Arial"/>
          <w:b/>
          <w:color w:val="3A3838"/>
          <w:sz w:val="22"/>
        </w:rPr>
        <w:t>Y</w:t>
      </w:r>
      <w:r>
        <w:rPr>
          <w:rFonts w:ascii="Arial"/>
          <w:b/>
          <w:color w:val="3A3838"/>
          <w:spacing w:val="52"/>
          <w:sz w:val="22"/>
        </w:rPr>
        <w:t> </w:t>
      </w:r>
      <w:r>
        <w:rPr>
          <w:rFonts w:ascii="Arial"/>
          <w:b/>
          <w:color w:val="3A3838"/>
          <w:sz w:val="22"/>
        </w:rPr>
        <w:t>AND</w:t>
      </w:r>
      <w:r>
        <w:rPr>
          <w:rFonts w:ascii="Arial"/>
          <w:b/>
          <w:color w:val="3A3838"/>
          <w:spacing w:val="35"/>
          <w:sz w:val="22"/>
        </w:rPr>
        <w:t> </w:t>
      </w:r>
      <w:r>
        <w:rPr>
          <w:rFonts w:ascii="Arial"/>
          <w:b/>
          <w:color w:val="3A3838"/>
          <w:sz w:val="22"/>
        </w:rPr>
        <w:t>A</w:t>
      </w:r>
      <w:r>
        <w:rPr>
          <w:rFonts w:ascii="Arial"/>
          <w:b/>
          <w:color w:val="3A3838"/>
          <w:spacing w:val="-58"/>
          <w:sz w:val="22"/>
        </w:rPr>
        <w:t> </w:t>
      </w:r>
      <w:r>
        <w:rPr>
          <w:rFonts w:ascii="Arial"/>
          <w:b/>
          <w:color w:val="3A3838"/>
          <w:w w:val="105"/>
          <w:sz w:val="22"/>
        </w:rPr>
        <w:t>ROAD</w:t>
      </w:r>
      <w:r>
        <w:rPr>
          <w:rFonts w:ascii="Arial"/>
          <w:b/>
          <w:color w:val="565657"/>
          <w:w w:val="105"/>
          <w:sz w:val="22"/>
        </w:rPr>
        <w:t>M</w:t>
      </w:r>
      <w:r>
        <w:rPr>
          <w:rFonts w:ascii="Arial"/>
          <w:b/>
          <w:color w:val="3A3838"/>
          <w:w w:val="105"/>
          <w:sz w:val="22"/>
        </w:rPr>
        <w:t>AP</w:t>
      </w:r>
    </w:p>
    <w:p>
      <w:pPr>
        <w:pStyle w:val="BodyText"/>
        <w:spacing w:line="232" w:lineRule="auto" w:before="83"/>
        <w:ind w:left="106" w:right="467" w:firstLine="341"/>
        <w:jc w:val="both"/>
      </w:pPr>
      <w:r>
        <w:rPr>
          <w:color w:val="3A3838"/>
          <w:w w:val="110"/>
        </w:rPr>
        <w:t>When one of my daughters was in the fourth grade, she wrote a paper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on the Ottawa people. Her teacher told her she had to begin with an intro­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duction, so she wrote, "Hello, here is my paper on the Ottawa people."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 introductory material that you provide </w:t>
      </w:r>
      <w:r>
        <w:rPr>
          <w:color w:val="3A3838"/>
          <w:w w:val="110"/>
          <w:sz w:val="21"/>
        </w:rPr>
        <w:t>in </w:t>
      </w:r>
      <w:r>
        <w:rPr>
          <w:color w:val="3A3838"/>
          <w:w w:val="110"/>
        </w:rPr>
        <w:t>a brief to a court is not as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0"/>
        </w:rPr>
        <w:t>simple,</w:t>
      </w:r>
      <w:r>
        <w:rPr>
          <w:color w:val="3A3838"/>
          <w:spacing w:val="-6"/>
          <w:w w:val="110"/>
        </w:rPr>
        <w:t> </w:t>
      </w:r>
      <w:r>
        <w:rPr>
          <w:color w:val="3A3838"/>
          <w:spacing w:val="-1"/>
          <w:w w:val="110"/>
        </w:rPr>
        <w:t>but</w:t>
      </w:r>
      <w:r>
        <w:rPr>
          <w:color w:val="3A3838"/>
          <w:spacing w:val="33"/>
          <w:w w:val="110"/>
        </w:rPr>
        <w:t> </w:t>
      </w:r>
      <w:r>
        <w:rPr>
          <w:color w:val="3A3838"/>
          <w:spacing w:val="-1"/>
          <w:w w:val="110"/>
        </w:rPr>
        <w:t>it</w:t>
      </w:r>
      <w:r>
        <w:rPr>
          <w:color w:val="3A3838"/>
          <w:spacing w:val="13"/>
          <w:w w:val="110"/>
        </w:rPr>
        <w:t> </w:t>
      </w:r>
      <w:r>
        <w:rPr>
          <w:color w:val="3A3838"/>
          <w:spacing w:val="-1"/>
          <w:w w:val="110"/>
        </w:rPr>
        <w:t>should</w:t>
      </w:r>
      <w:r>
        <w:rPr>
          <w:color w:val="3A3838"/>
          <w:spacing w:val="8"/>
          <w:w w:val="110"/>
        </w:rPr>
        <w:t> </w:t>
      </w:r>
      <w:r>
        <w:rPr>
          <w:color w:val="3A3838"/>
          <w:w w:val="110"/>
        </w:rPr>
        <w:t>be</w:t>
      </w:r>
      <w:r>
        <w:rPr>
          <w:color w:val="3A3838"/>
          <w:spacing w:val="-21"/>
          <w:w w:val="110"/>
        </w:rPr>
        <w:t> </w:t>
      </w:r>
      <w:r>
        <w:rPr>
          <w:color w:val="3A3838"/>
          <w:w w:val="110"/>
        </w:rPr>
        <w:t>almost</w:t>
      </w:r>
      <w:r>
        <w:rPr>
          <w:color w:val="3A3838"/>
          <w:spacing w:val="-3"/>
          <w:w w:val="110"/>
        </w:rPr>
        <w:t> </w:t>
      </w:r>
      <w:r>
        <w:rPr>
          <w:color w:val="3A3838"/>
          <w:w w:val="110"/>
        </w:rPr>
        <w:t>as</w:t>
      </w:r>
      <w:r>
        <w:rPr>
          <w:color w:val="3A3838"/>
          <w:spacing w:val="-13"/>
          <w:w w:val="110"/>
        </w:rPr>
        <w:t> </w:t>
      </w:r>
      <w:r>
        <w:rPr>
          <w:color w:val="3A3838"/>
          <w:w w:val="110"/>
        </w:rPr>
        <w:t>direct.</w:t>
      </w:r>
    </w:p>
    <w:p>
      <w:pPr>
        <w:pStyle w:val="BodyText"/>
        <w:spacing w:line="232" w:lineRule="auto"/>
        <w:ind w:left="115" w:right="411" w:firstLine="341"/>
        <w:jc w:val="both"/>
      </w:pPr>
      <w:r>
        <w:rPr>
          <w:color w:val="3A3838"/>
          <w:w w:val="110"/>
        </w:rPr>
        <w:t>Professor Linda Edwards has used the term </w:t>
      </w:r>
      <w:r>
        <w:rPr>
          <w:rFonts w:ascii="Arial"/>
          <w:i/>
          <w:color w:val="3A3838"/>
          <w:w w:val="110"/>
          <w:sz w:val="21"/>
        </w:rPr>
        <w:t>umbrella paragraphs </w:t>
      </w:r>
      <w:r>
        <w:rPr>
          <w:color w:val="3A3838"/>
          <w:w w:val="110"/>
        </w:rPr>
        <w:t>to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describe</w:t>
      </w:r>
      <w:r>
        <w:rPr>
          <w:color w:val="3A3838"/>
          <w:spacing w:val="-25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21"/>
          <w:w w:val="110"/>
        </w:rPr>
        <w:t> </w:t>
      </w:r>
      <w:r>
        <w:rPr>
          <w:color w:val="3A3838"/>
          <w:w w:val="110"/>
        </w:rPr>
        <w:t>combination</w:t>
      </w:r>
      <w:r>
        <w:rPr>
          <w:color w:val="3A3838"/>
          <w:spacing w:val="-13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-18"/>
          <w:w w:val="110"/>
        </w:rPr>
        <w:t> </w:t>
      </w:r>
      <w:r>
        <w:rPr>
          <w:color w:val="3A3838"/>
          <w:w w:val="110"/>
        </w:rPr>
        <w:t>introductory</w:t>
      </w:r>
      <w:r>
        <w:rPr>
          <w:color w:val="3A3838"/>
          <w:spacing w:val="-27"/>
          <w:w w:val="110"/>
        </w:rPr>
        <w:t> </w:t>
      </w:r>
      <w:r>
        <w:rPr>
          <w:color w:val="3A3838"/>
          <w:w w:val="110"/>
        </w:rPr>
        <w:t>material</w:t>
      </w:r>
      <w:r>
        <w:rPr>
          <w:color w:val="3A3838"/>
          <w:spacing w:val="-28"/>
          <w:w w:val="110"/>
        </w:rPr>
        <w:t> </w:t>
      </w:r>
      <w:r>
        <w:rPr>
          <w:color w:val="3A3838"/>
          <w:w w:val="110"/>
        </w:rPr>
        <w:t>and</w:t>
      </w:r>
      <w:r>
        <w:rPr>
          <w:color w:val="3A3838"/>
          <w:spacing w:val="2"/>
          <w:w w:val="110"/>
        </w:rPr>
        <w:t> </w:t>
      </w:r>
      <w:r>
        <w:rPr>
          <w:color w:val="3A3838"/>
          <w:w w:val="110"/>
        </w:rPr>
        <w:t>roadmap</w:t>
      </w:r>
      <w:r>
        <w:rPr>
          <w:color w:val="3A3838"/>
          <w:spacing w:val="-25"/>
          <w:w w:val="110"/>
        </w:rPr>
        <w:t> </w:t>
      </w:r>
      <w:r>
        <w:rPr>
          <w:color w:val="3A3838"/>
          <w:w w:val="110"/>
        </w:rPr>
        <w:t>paragraphs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that appear-or  should  appear-at  the beginning  of  most  arguments.</w:t>
      </w:r>
      <w:r>
        <w:rPr>
          <w:rFonts w:ascii="Arial"/>
          <w:color w:val="3A3838"/>
          <w:w w:val="115"/>
          <w:position w:val="9"/>
          <w:sz w:val="12"/>
        </w:rPr>
        <w:t>7</w:t>
      </w:r>
      <w:r>
        <w:rPr>
          <w:rFonts w:ascii="Arial"/>
          <w:color w:val="3A3838"/>
          <w:spacing w:val="1"/>
          <w:w w:val="115"/>
          <w:position w:val="9"/>
          <w:sz w:val="12"/>
        </w:rPr>
        <w:t> </w:t>
      </w:r>
      <w:r>
        <w:rPr>
          <w:color w:val="3A3838"/>
          <w:w w:val="115"/>
        </w:rPr>
        <w:t>In introductory material, the writer generally includes any information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that is needed to provide context, that is common to all of the  subpoints,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or that will connect the subpoints to the writer's thesis. Illustration 10.1</w:t>
      </w:r>
      <w:r>
        <w:rPr>
          <w:color w:val="3A3838"/>
          <w:spacing w:val="-64"/>
          <w:w w:val="115"/>
        </w:rPr>
        <w:t> </w:t>
      </w:r>
      <w:r>
        <w:rPr>
          <w:color w:val="3A3838"/>
          <w:spacing w:val="-1"/>
          <w:w w:val="110"/>
        </w:rPr>
        <w:t>shows </w:t>
      </w:r>
      <w:r>
        <w:rPr>
          <w:color w:val="3A3838"/>
          <w:w w:val="110"/>
        </w:rPr>
        <w:t>where the umbrella paragraphs should appear. Generally, any time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you break a section down into further subsections, you should provide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some</w:t>
      </w:r>
      <w:r>
        <w:rPr>
          <w:color w:val="3A3838"/>
          <w:spacing w:val="-4"/>
          <w:w w:val="115"/>
        </w:rPr>
        <w:t> </w:t>
      </w:r>
      <w:r>
        <w:rPr>
          <w:color w:val="3A3838"/>
          <w:w w:val="115"/>
        </w:rPr>
        <w:t>sort</w:t>
      </w:r>
      <w:r>
        <w:rPr>
          <w:color w:val="3A3838"/>
          <w:spacing w:val="4"/>
          <w:w w:val="115"/>
        </w:rPr>
        <w:t> </w:t>
      </w:r>
      <w:r>
        <w:rPr>
          <w:color w:val="3A3838"/>
          <w:w w:val="115"/>
        </w:rPr>
        <w:t>of</w:t>
      </w:r>
      <w:r>
        <w:rPr>
          <w:color w:val="3A3838"/>
          <w:spacing w:val="16"/>
          <w:w w:val="115"/>
        </w:rPr>
        <w:t> </w:t>
      </w:r>
      <w:r>
        <w:rPr>
          <w:color w:val="3A3838"/>
          <w:w w:val="115"/>
        </w:rPr>
        <w:t>introduction</w:t>
      </w:r>
      <w:r>
        <w:rPr>
          <w:color w:val="3A3838"/>
          <w:spacing w:val="24"/>
          <w:w w:val="115"/>
        </w:rPr>
        <w:t> </w:t>
      </w:r>
      <w:r>
        <w:rPr>
          <w:color w:val="3A3838"/>
          <w:w w:val="115"/>
        </w:rPr>
        <w:t>and</w:t>
      </w:r>
      <w:r>
        <w:rPr>
          <w:color w:val="3A3838"/>
          <w:spacing w:val="26"/>
          <w:w w:val="115"/>
        </w:rPr>
        <w:t> </w:t>
      </w:r>
      <w:r>
        <w:rPr>
          <w:color w:val="3A3838"/>
          <w:w w:val="115"/>
        </w:rPr>
        <w:t>roadmap.</w:t>
      </w:r>
      <w:r>
        <w:rPr>
          <w:color w:val="3A3838"/>
          <w:spacing w:val="-1"/>
          <w:w w:val="115"/>
        </w:rPr>
        <w:t> </w:t>
      </w:r>
      <w:r>
        <w:rPr>
          <w:color w:val="3A3838"/>
          <w:w w:val="115"/>
        </w:rPr>
        <w:t>Sometimes</w:t>
      </w:r>
      <w:r>
        <w:rPr>
          <w:color w:val="3A3838"/>
          <w:spacing w:val="15"/>
          <w:w w:val="115"/>
        </w:rPr>
        <w:t> </w:t>
      </w:r>
      <w:r>
        <w:rPr>
          <w:color w:val="3A3838"/>
          <w:w w:val="115"/>
        </w:rPr>
        <w:t>these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items can</w:t>
      </w:r>
      <w:r>
        <w:rPr>
          <w:color w:val="3A3838"/>
          <w:spacing w:val="12"/>
          <w:w w:val="115"/>
        </w:rPr>
        <w:t> </w:t>
      </w:r>
      <w:r>
        <w:rPr>
          <w:color w:val="3A3838"/>
          <w:w w:val="115"/>
        </w:rPr>
        <w:t>be</w:t>
      </w:r>
    </w:p>
    <w:p>
      <w:pPr>
        <w:pStyle w:val="BodyText"/>
        <w:spacing w:before="5"/>
        <w:ind w:left="4877"/>
        <w:jc w:val="both"/>
      </w:pPr>
      <w:r>
        <w:rPr>
          <w:color w:val="3A3838"/>
          <w:w w:val="110"/>
        </w:rPr>
        <w:t>combined  </w:t>
      </w:r>
      <w:r>
        <w:rPr>
          <w:color w:val="3A3838"/>
          <w:spacing w:val="38"/>
          <w:w w:val="110"/>
        </w:rPr>
        <w:t> </w:t>
      </w:r>
      <w:r>
        <w:rPr>
          <w:color w:val="3A3838"/>
          <w:w w:val="110"/>
        </w:rPr>
        <w:t>in  </w:t>
      </w:r>
      <w:r>
        <w:rPr>
          <w:color w:val="3A3838"/>
          <w:spacing w:val="42"/>
          <w:w w:val="110"/>
        </w:rPr>
        <w:t> </w:t>
      </w:r>
      <w:r>
        <w:rPr>
          <w:color w:val="3A3838"/>
          <w:w w:val="110"/>
        </w:rPr>
        <w:t>one  </w:t>
      </w:r>
      <w:r>
        <w:rPr>
          <w:color w:val="3A3838"/>
          <w:spacing w:val="41"/>
          <w:w w:val="110"/>
        </w:rPr>
        <w:t> </w:t>
      </w:r>
      <w:r>
        <w:rPr>
          <w:color w:val="3A3838"/>
          <w:w w:val="110"/>
        </w:rPr>
        <w:t>para­</w:t>
      </w:r>
    </w:p>
    <w:p>
      <w:pPr>
        <w:spacing w:after="0"/>
        <w:jc w:val="both"/>
        <w:sectPr>
          <w:pgSz w:w="9780" w:h="13980"/>
          <w:pgMar w:header="540" w:footer="0" w:top="740" w:bottom="280" w:left="340" w:right="1360"/>
        </w:sectPr>
      </w:pPr>
    </w:p>
    <w:p>
      <w:pPr>
        <w:pStyle w:val="ListParagraph"/>
        <w:numPr>
          <w:ilvl w:val="1"/>
          <w:numId w:val="94"/>
        </w:numPr>
        <w:tabs>
          <w:tab w:pos="1150" w:val="left" w:leader="none"/>
          <w:tab w:pos="1151" w:val="left" w:leader="none"/>
        </w:tabs>
        <w:spacing w:line="215" w:lineRule="exact" w:before="148" w:after="0"/>
        <w:ind w:left="1150" w:right="0" w:hanging="435"/>
        <w:jc w:val="left"/>
        <w:rPr>
          <w:color w:val="3A3838"/>
          <w:sz w:val="18"/>
        </w:rPr>
      </w:pPr>
      <w:r>
        <w:rPr>
          <w:b/>
          <w:color w:val="3A3838"/>
          <w:w w:val="105"/>
          <w:position w:val="1"/>
          <w:sz w:val="18"/>
        </w:rPr>
        <w:t>First</w:t>
      </w:r>
      <w:r>
        <w:rPr>
          <w:b/>
          <w:color w:val="3A3838"/>
          <w:spacing w:val="-5"/>
          <w:w w:val="105"/>
          <w:position w:val="1"/>
          <w:sz w:val="18"/>
        </w:rPr>
        <w:t> </w:t>
      </w:r>
      <w:r>
        <w:rPr>
          <w:b/>
          <w:color w:val="3A3838"/>
          <w:w w:val="105"/>
          <w:position w:val="1"/>
          <w:sz w:val="18"/>
        </w:rPr>
        <w:t>Major</w:t>
      </w:r>
      <w:r>
        <w:rPr>
          <w:b/>
          <w:color w:val="3A3838"/>
          <w:spacing w:val="-4"/>
          <w:w w:val="105"/>
          <w:position w:val="1"/>
          <w:sz w:val="18"/>
        </w:rPr>
        <w:t> </w:t>
      </w:r>
      <w:r>
        <w:rPr>
          <w:b/>
          <w:color w:val="3A3838"/>
          <w:w w:val="105"/>
          <w:position w:val="1"/>
          <w:sz w:val="18"/>
        </w:rPr>
        <w:t>Point</w:t>
      </w:r>
    </w:p>
    <w:p>
      <w:pPr>
        <w:spacing w:line="242" w:lineRule="auto" w:before="0"/>
        <w:ind w:left="1153" w:right="-9" w:hanging="14"/>
        <w:jc w:val="left"/>
        <w:rPr>
          <w:rFonts w:ascii="Arial"/>
          <w:sz w:val="18"/>
        </w:rPr>
      </w:pPr>
      <w:r>
        <w:rPr>
          <w:color w:val="3A3838"/>
          <w:w w:val="105"/>
          <w:sz w:val="18"/>
        </w:rPr>
        <w:t>[legal</w:t>
      </w:r>
      <w:r>
        <w:rPr>
          <w:color w:val="3A3838"/>
          <w:spacing w:val="-4"/>
          <w:w w:val="105"/>
          <w:sz w:val="18"/>
        </w:rPr>
        <w:t> </w:t>
      </w:r>
      <w:r>
        <w:rPr>
          <w:color w:val="3A3838"/>
          <w:w w:val="105"/>
          <w:sz w:val="18"/>
        </w:rPr>
        <w:t>backstory</w:t>
      </w:r>
      <w:r>
        <w:rPr>
          <w:color w:val="3A3838"/>
          <w:spacing w:val="4"/>
          <w:w w:val="105"/>
          <w:sz w:val="18"/>
        </w:rPr>
        <w:t> </w:t>
      </w:r>
      <w:r>
        <w:rPr>
          <w:color w:val="3A3838"/>
          <w:w w:val="105"/>
          <w:sz w:val="18"/>
        </w:rPr>
        <w:t>relevant</w:t>
      </w:r>
      <w:r>
        <w:rPr>
          <w:color w:val="3A3838"/>
          <w:spacing w:val="3"/>
          <w:w w:val="105"/>
          <w:sz w:val="18"/>
        </w:rPr>
        <w:t> </w:t>
      </w:r>
      <w:r>
        <w:rPr>
          <w:color w:val="3A3838"/>
          <w:w w:val="105"/>
          <w:sz w:val="18"/>
        </w:rPr>
        <w:t>to</w:t>
      </w:r>
      <w:r>
        <w:rPr>
          <w:color w:val="3A3838"/>
          <w:spacing w:val="-10"/>
          <w:w w:val="105"/>
          <w:sz w:val="18"/>
        </w:rPr>
        <w:t> </w:t>
      </w:r>
      <w:r>
        <w:rPr>
          <w:color w:val="3A3838"/>
          <w:w w:val="105"/>
          <w:sz w:val="18"/>
        </w:rPr>
        <w:t>A,</w:t>
      </w:r>
      <w:r>
        <w:rPr>
          <w:color w:val="3A3838"/>
          <w:spacing w:val="10"/>
          <w:w w:val="105"/>
          <w:sz w:val="18"/>
        </w:rPr>
        <w:t> </w:t>
      </w:r>
      <w:r>
        <w:rPr>
          <w:color w:val="3A3838"/>
          <w:w w:val="105"/>
          <w:sz w:val="18"/>
        </w:rPr>
        <w:t>B.</w:t>
      </w:r>
      <w:r>
        <w:rPr>
          <w:color w:val="3A3838"/>
          <w:spacing w:val="-1"/>
          <w:w w:val="105"/>
          <w:sz w:val="18"/>
        </w:rPr>
        <w:t> </w:t>
      </w:r>
      <w:r>
        <w:rPr>
          <w:color w:val="3A3838"/>
          <w:w w:val="105"/>
          <w:sz w:val="19"/>
        </w:rPr>
        <w:t>&amp;</w:t>
      </w:r>
      <w:r>
        <w:rPr>
          <w:color w:val="3A3838"/>
          <w:spacing w:val="-13"/>
          <w:w w:val="105"/>
          <w:sz w:val="19"/>
        </w:rPr>
        <w:t> </w:t>
      </w:r>
      <w:r>
        <w:rPr>
          <w:color w:val="3A3838"/>
          <w:w w:val="105"/>
          <w:sz w:val="18"/>
        </w:rPr>
        <w:t>C</w:t>
      </w:r>
      <w:r>
        <w:rPr>
          <w:color w:val="3A3838"/>
          <w:spacing w:val="1"/>
          <w:w w:val="105"/>
          <w:sz w:val="18"/>
        </w:rPr>
        <w:t> </w:t>
      </w:r>
      <w:r>
        <w:rPr>
          <w:color w:val="3A3838"/>
          <w:w w:val="105"/>
          <w:sz w:val="18"/>
        </w:rPr>
        <w:t>and</w:t>
      </w:r>
      <w:r>
        <w:rPr>
          <w:color w:val="3A3838"/>
          <w:spacing w:val="-44"/>
          <w:w w:val="105"/>
          <w:sz w:val="18"/>
        </w:rPr>
        <w:t> </w:t>
      </w:r>
      <w:r>
        <w:rPr>
          <w:color w:val="3A3838"/>
          <w:w w:val="105"/>
          <w:sz w:val="18"/>
        </w:rPr>
        <w:t>roadmap</w:t>
      </w:r>
      <w:r>
        <w:rPr>
          <w:color w:val="3A3838"/>
          <w:spacing w:val="-8"/>
          <w:w w:val="105"/>
          <w:sz w:val="18"/>
        </w:rPr>
        <w:t> </w:t>
      </w:r>
      <w:r>
        <w:rPr>
          <w:color w:val="3A3838"/>
          <w:w w:val="105"/>
          <w:sz w:val="18"/>
        </w:rPr>
        <w:t>foreshadowing</w:t>
      </w:r>
      <w:r>
        <w:rPr>
          <w:color w:val="3A3838"/>
          <w:spacing w:val="-1"/>
          <w:w w:val="105"/>
          <w:sz w:val="18"/>
        </w:rPr>
        <w:t> </w:t>
      </w:r>
      <w:r>
        <w:rPr>
          <w:color w:val="3A3838"/>
          <w:w w:val="105"/>
          <w:sz w:val="18"/>
        </w:rPr>
        <w:t>A,</w:t>
      </w:r>
      <w:r>
        <w:rPr>
          <w:color w:val="3A3838"/>
          <w:spacing w:val="-7"/>
          <w:w w:val="105"/>
          <w:sz w:val="18"/>
        </w:rPr>
        <w:t> </w:t>
      </w:r>
      <w:r>
        <w:rPr>
          <w:color w:val="3A3838"/>
          <w:w w:val="105"/>
          <w:sz w:val="18"/>
        </w:rPr>
        <w:t>B,</w:t>
      </w:r>
      <w:r>
        <w:rPr>
          <w:color w:val="3A3838"/>
          <w:spacing w:val="-8"/>
          <w:w w:val="105"/>
          <w:sz w:val="18"/>
        </w:rPr>
        <w:t> </w:t>
      </w:r>
      <w:r>
        <w:rPr>
          <w:color w:val="3A3838"/>
          <w:w w:val="105"/>
          <w:sz w:val="18"/>
        </w:rPr>
        <w:t>&amp;</w:t>
      </w:r>
      <w:r>
        <w:rPr>
          <w:color w:val="3A3838"/>
          <w:spacing w:val="-8"/>
          <w:w w:val="105"/>
          <w:sz w:val="18"/>
        </w:rPr>
        <w:t> </w:t>
      </w:r>
      <w:r>
        <w:rPr>
          <w:rFonts w:ascii="Arial"/>
          <w:color w:val="3A3838"/>
          <w:w w:val="105"/>
          <w:sz w:val="18"/>
        </w:rPr>
        <w:t>C)</w:t>
      </w:r>
    </w:p>
    <w:p>
      <w:pPr>
        <w:spacing w:line="219" w:lineRule="exact" w:before="21"/>
        <w:ind w:left="1158" w:right="0" w:firstLine="0"/>
        <w:jc w:val="left"/>
        <w:rPr>
          <w:rFonts w:ascii="Courier New"/>
          <w:b/>
          <w:sz w:val="20"/>
        </w:rPr>
      </w:pPr>
      <w:r>
        <w:rPr>
          <w:rFonts w:ascii="Courier New"/>
          <w:b/>
          <w:color w:val="3A3838"/>
          <w:sz w:val="20"/>
        </w:rPr>
        <w:t>A.</w:t>
      </w:r>
    </w:p>
    <w:p>
      <w:pPr>
        <w:spacing w:line="206" w:lineRule="exact" w:before="0"/>
        <w:ind w:left="1161" w:right="0" w:firstLine="0"/>
        <w:jc w:val="left"/>
        <w:rPr>
          <w:rFonts w:ascii="Courier New"/>
          <w:b/>
          <w:sz w:val="20"/>
        </w:rPr>
      </w:pPr>
      <w:r>
        <w:rPr>
          <w:rFonts w:ascii="Courier New"/>
          <w:b/>
          <w:color w:val="3A3838"/>
          <w:sz w:val="20"/>
        </w:rPr>
        <w:t>B.</w:t>
      </w:r>
    </w:p>
    <w:p>
      <w:pPr>
        <w:spacing w:line="206" w:lineRule="exact" w:before="0"/>
        <w:ind w:left="1134" w:right="301" w:firstLine="0"/>
        <w:jc w:val="center"/>
        <w:rPr>
          <w:sz w:val="18"/>
        </w:rPr>
      </w:pPr>
      <w:r>
        <w:rPr>
          <w:color w:val="3A3838"/>
          <w:w w:val="105"/>
          <w:sz w:val="18"/>
        </w:rPr>
        <w:t>[legal</w:t>
      </w:r>
      <w:r>
        <w:rPr>
          <w:color w:val="3A3838"/>
          <w:spacing w:val="-2"/>
          <w:w w:val="105"/>
          <w:sz w:val="18"/>
        </w:rPr>
        <w:t> </w:t>
      </w:r>
      <w:r>
        <w:rPr>
          <w:color w:val="3A3838"/>
          <w:w w:val="105"/>
          <w:sz w:val="18"/>
        </w:rPr>
        <w:t>backstory</w:t>
      </w:r>
      <w:r>
        <w:rPr>
          <w:color w:val="3A3838"/>
          <w:spacing w:val="14"/>
          <w:w w:val="105"/>
          <w:sz w:val="18"/>
        </w:rPr>
        <w:t> </w:t>
      </w:r>
      <w:r>
        <w:rPr>
          <w:color w:val="3A3838"/>
          <w:w w:val="105"/>
          <w:sz w:val="18"/>
        </w:rPr>
        <w:t>relevant</w:t>
      </w:r>
      <w:r>
        <w:rPr>
          <w:color w:val="3A3838"/>
          <w:spacing w:val="-7"/>
          <w:w w:val="105"/>
          <w:sz w:val="18"/>
        </w:rPr>
        <w:t> </w:t>
      </w:r>
      <w:r>
        <w:rPr>
          <w:color w:val="3A3838"/>
          <w:w w:val="105"/>
          <w:sz w:val="18"/>
        </w:rPr>
        <w:t>to</w:t>
      </w:r>
      <w:r>
        <w:rPr>
          <w:color w:val="3A3838"/>
          <w:spacing w:val="9"/>
          <w:w w:val="105"/>
          <w:sz w:val="18"/>
        </w:rPr>
        <w:t> </w:t>
      </w:r>
      <w:r>
        <w:rPr>
          <w:color w:val="3A3838"/>
          <w:w w:val="105"/>
          <w:sz w:val="18"/>
        </w:rPr>
        <w:t>1</w:t>
      </w:r>
      <w:r>
        <w:rPr>
          <w:color w:val="3A3838"/>
          <w:spacing w:val="-12"/>
          <w:w w:val="105"/>
          <w:sz w:val="18"/>
        </w:rPr>
        <w:t> </w:t>
      </w:r>
      <w:r>
        <w:rPr>
          <w:color w:val="3A3838"/>
          <w:w w:val="105"/>
          <w:sz w:val="19"/>
        </w:rPr>
        <w:t>&amp;</w:t>
      </w:r>
      <w:r>
        <w:rPr>
          <w:color w:val="3A3838"/>
          <w:spacing w:val="1"/>
          <w:w w:val="105"/>
          <w:sz w:val="19"/>
        </w:rPr>
        <w:t> </w:t>
      </w:r>
      <w:r>
        <w:rPr>
          <w:color w:val="3A3838"/>
          <w:w w:val="105"/>
          <w:sz w:val="18"/>
        </w:rPr>
        <w:t>2</w:t>
      </w:r>
      <w:r>
        <w:rPr>
          <w:color w:val="3A3838"/>
          <w:spacing w:val="2"/>
          <w:w w:val="105"/>
          <w:sz w:val="18"/>
        </w:rPr>
        <w:t> </w:t>
      </w:r>
      <w:r>
        <w:rPr>
          <w:color w:val="3A3838"/>
          <w:w w:val="105"/>
          <w:sz w:val="18"/>
        </w:rPr>
        <w:t>and</w:t>
      </w:r>
    </w:p>
    <w:p>
      <w:pPr>
        <w:spacing w:before="13"/>
        <w:ind w:left="1062" w:right="301" w:firstLine="0"/>
        <w:jc w:val="center"/>
        <w:rPr>
          <w:sz w:val="18"/>
        </w:rPr>
      </w:pPr>
      <w:r>
        <w:rPr>
          <w:color w:val="3A3838"/>
          <w:w w:val="105"/>
          <w:sz w:val="18"/>
        </w:rPr>
        <w:t>mini-roadmap</w:t>
      </w:r>
      <w:r>
        <w:rPr>
          <w:color w:val="3A3838"/>
          <w:spacing w:val="4"/>
          <w:w w:val="105"/>
          <w:sz w:val="18"/>
        </w:rPr>
        <w:t> </w:t>
      </w:r>
      <w:r>
        <w:rPr>
          <w:color w:val="3A3838"/>
          <w:w w:val="105"/>
          <w:sz w:val="18"/>
        </w:rPr>
        <w:t>foreshadowing</w:t>
      </w:r>
      <w:r>
        <w:rPr>
          <w:color w:val="3A3838"/>
          <w:spacing w:val="8"/>
          <w:w w:val="105"/>
          <w:sz w:val="18"/>
        </w:rPr>
        <w:t> </w:t>
      </w:r>
      <w:r>
        <w:rPr>
          <w:color w:val="3A3838"/>
          <w:w w:val="105"/>
          <w:sz w:val="18"/>
        </w:rPr>
        <w:t>1</w:t>
      </w:r>
      <w:r>
        <w:rPr>
          <w:color w:val="3A3838"/>
          <w:spacing w:val="-2"/>
          <w:w w:val="105"/>
          <w:sz w:val="18"/>
        </w:rPr>
        <w:t> </w:t>
      </w:r>
      <w:r>
        <w:rPr>
          <w:color w:val="3A3838"/>
          <w:w w:val="105"/>
          <w:sz w:val="18"/>
        </w:rPr>
        <w:t>&amp;</w:t>
      </w:r>
      <w:r>
        <w:rPr>
          <w:color w:val="3A3838"/>
          <w:spacing w:val="2"/>
          <w:w w:val="105"/>
          <w:sz w:val="18"/>
        </w:rPr>
        <w:t> </w:t>
      </w:r>
      <w:r>
        <w:rPr>
          <w:color w:val="3A3838"/>
          <w:w w:val="105"/>
          <w:sz w:val="18"/>
        </w:rPr>
        <w:t>2]</w:t>
      </w:r>
    </w:p>
    <w:p>
      <w:pPr>
        <w:spacing w:before="23"/>
        <w:ind w:left="1134" w:right="1635" w:firstLine="0"/>
        <w:jc w:val="center"/>
        <w:rPr>
          <w:b/>
          <w:sz w:val="17"/>
        </w:rPr>
      </w:pPr>
      <w:r>
        <w:rPr>
          <w:b/>
          <w:color w:val="3A3838"/>
          <w:w w:val="105"/>
          <w:sz w:val="17"/>
        </w:rPr>
        <w:t>1.</w:t>
      </w:r>
    </w:p>
    <w:p>
      <w:pPr>
        <w:spacing w:before="17"/>
        <w:ind w:left="1134" w:right="1640" w:firstLine="0"/>
        <w:jc w:val="center"/>
        <w:rPr>
          <w:b/>
          <w:sz w:val="17"/>
        </w:rPr>
      </w:pPr>
      <w:r>
        <w:rPr>
          <w:b/>
          <w:color w:val="3A3838"/>
          <w:w w:val="105"/>
          <w:sz w:val="17"/>
        </w:rPr>
        <w:t>2.</w:t>
      </w:r>
    </w:p>
    <w:p>
      <w:pPr>
        <w:spacing w:line="194" w:lineRule="exact" w:before="17"/>
        <w:ind w:left="1156" w:right="0" w:firstLine="0"/>
        <w:jc w:val="left"/>
        <w:rPr>
          <w:b/>
          <w:sz w:val="18"/>
        </w:rPr>
      </w:pPr>
      <w:r>
        <w:rPr>
          <w:b/>
          <w:color w:val="3A3838"/>
          <w:w w:val="105"/>
          <w:sz w:val="18"/>
        </w:rPr>
        <w:t>C.</w:t>
      </w:r>
    </w:p>
    <w:p>
      <w:pPr>
        <w:pStyle w:val="BodyText"/>
        <w:spacing w:line="232" w:lineRule="auto" w:before="2"/>
        <w:ind w:left="490" w:right="409" w:hanging="5"/>
        <w:jc w:val="both"/>
      </w:pPr>
      <w:r>
        <w:rPr/>
        <w:br w:type="column"/>
      </w:r>
      <w:r>
        <w:rPr>
          <w:color w:val="3A3838"/>
          <w:w w:val="110"/>
        </w:rPr>
        <w:t>graph, 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while 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at 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other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times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you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may  need  two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or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three paragraphs.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Note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that it would be extremely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unusual</w:t>
      </w:r>
      <w:r>
        <w:rPr>
          <w:color w:val="3A3838"/>
          <w:spacing w:val="12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27"/>
          <w:w w:val="110"/>
        </w:rPr>
        <w:t> </w:t>
      </w:r>
      <w:r>
        <w:rPr>
          <w:color w:val="3A3838"/>
          <w:w w:val="110"/>
        </w:rPr>
        <w:t>need</w:t>
      </w:r>
      <w:r>
        <w:rPr>
          <w:color w:val="3A3838"/>
          <w:spacing w:val="27"/>
          <w:w w:val="110"/>
        </w:rPr>
        <w:t> </w:t>
      </w:r>
      <w:r>
        <w:rPr>
          <w:color w:val="3A3838"/>
          <w:w w:val="110"/>
        </w:rPr>
        <w:t>more than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2"/>
          <w:w w:val="110"/>
        </w:rPr>
        <w:t> </w:t>
      </w:r>
      <w:r>
        <w:rPr>
          <w:color w:val="3A3838"/>
          <w:w w:val="110"/>
        </w:rPr>
        <w:t>page</w:t>
      </w:r>
      <w:r>
        <w:rPr>
          <w:color w:val="3A3838"/>
          <w:spacing w:val="-7"/>
          <w:w w:val="110"/>
        </w:rPr>
        <w:t> </w:t>
      </w:r>
      <w:r>
        <w:rPr>
          <w:color w:val="3A3838"/>
          <w:w w:val="110"/>
        </w:rPr>
        <w:t>for</w:t>
      </w:r>
      <w:r>
        <w:rPr>
          <w:color w:val="3A3838"/>
          <w:spacing w:val="11"/>
          <w:w w:val="110"/>
        </w:rPr>
        <w:t> </w:t>
      </w:r>
      <w:r>
        <w:rPr>
          <w:color w:val="3A3838"/>
          <w:w w:val="110"/>
        </w:rPr>
        <w:t>your umbrella.</w:t>
      </w:r>
    </w:p>
    <w:p>
      <w:pPr>
        <w:pStyle w:val="BodyText"/>
        <w:spacing w:line="232" w:lineRule="auto"/>
        <w:ind w:left="520" w:right="373" w:firstLine="383"/>
        <w:jc w:val="both"/>
      </w:pPr>
      <w:r>
        <w:rPr>
          <w:color w:val="3A3838"/>
          <w:w w:val="110"/>
        </w:rPr>
        <w:t>Many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brief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writers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mistakenly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believe-con­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sciously</w:t>
      </w:r>
      <w:r>
        <w:rPr>
          <w:color w:val="3A3838"/>
          <w:spacing w:val="11"/>
          <w:w w:val="110"/>
        </w:rPr>
        <w:t> </w:t>
      </w:r>
      <w:r>
        <w:rPr>
          <w:color w:val="3A3838"/>
          <w:w w:val="110"/>
        </w:rPr>
        <w:t>or</w:t>
      </w:r>
      <w:r>
        <w:rPr>
          <w:color w:val="3A3838"/>
          <w:spacing w:val="37"/>
          <w:w w:val="110"/>
        </w:rPr>
        <w:t> </w:t>
      </w:r>
      <w:r>
        <w:rPr>
          <w:color w:val="3A3838"/>
          <w:w w:val="110"/>
        </w:rPr>
        <w:t>subcon­</w:t>
      </w:r>
    </w:p>
    <w:p>
      <w:pPr>
        <w:spacing w:after="0" w:line="232" w:lineRule="auto"/>
        <w:jc w:val="both"/>
        <w:sectPr>
          <w:type w:val="continuous"/>
          <w:pgSz w:w="9780" w:h="13980"/>
          <w:pgMar w:header="505" w:footer="0" w:top="340" w:bottom="280" w:left="340" w:right="1360"/>
          <w:cols w:num="2" w:equalWidth="0">
            <w:col w:w="4353" w:space="40"/>
            <w:col w:w="3687"/>
          </w:cols>
        </w:sectPr>
      </w:pPr>
    </w:p>
    <w:p>
      <w:pPr>
        <w:pStyle w:val="ListParagraph"/>
        <w:numPr>
          <w:ilvl w:val="1"/>
          <w:numId w:val="94"/>
        </w:numPr>
        <w:tabs>
          <w:tab w:pos="926" w:val="left" w:leader="none"/>
        </w:tabs>
        <w:spacing w:line="240" w:lineRule="auto" w:before="23" w:after="0"/>
        <w:ind w:left="925" w:right="0" w:hanging="213"/>
        <w:jc w:val="left"/>
        <w:rPr>
          <w:rFonts w:ascii="Arial"/>
          <w:color w:val="3A3838"/>
          <w:sz w:val="16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before="173"/>
        <w:ind w:left="723" w:right="0" w:firstLine="0"/>
        <w:jc w:val="left"/>
        <w:rPr>
          <w:rFonts w:ascii="Arial"/>
          <w:sz w:val="18"/>
        </w:rPr>
      </w:pPr>
      <w:r>
        <w:rPr>
          <w:rFonts w:ascii="Arial"/>
          <w:color w:val="3A3838"/>
          <w:spacing w:val="-1"/>
          <w:w w:val="180"/>
          <w:sz w:val="18"/>
        </w:rPr>
        <w:t>Ill.</w:t>
      </w:r>
    </w:p>
    <w:p>
      <w:pPr>
        <w:spacing w:before="14"/>
        <w:ind w:left="67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3A3838"/>
          <w:w w:val="105"/>
          <w:sz w:val="18"/>
        </w:rPr>
        <w:t>Second</w:t>
      </w:r>
      <w:r>
        <w:rPr>
          <w:b/>
          <w:color w:val="3A3838"/>
          <w:spacing w:val="17"/>
          <w:w w:val="105"/>
          <w:sz w:val="18"/>
        </w:rPr>
        <w:t> </w:t>
      </w:r>
      <w:r>
        <w:rPr>
          <w:b/>
          <w:color w:val="3A3838"/>
          <w:w w:val="105"/>
          <w:sz w:val="18"/>
        </w:rPr>
        <w:t>Major</w:t>
      </w:r>
      <w:r>
        <w:rPr>
          <w:b/>
          <w:color w:val="3A3838"/>
          <w:spacing w:val="-7"/>
          <w:w w:val="105"/>
          <w:sz w:val="18"/>
        </w:rPr>
        <w:t> </w:t>
      </w:r>
      <w:r>
        <w:rPr>
          <w:b/>
          <w:color w:val="3A3838"/>
          <w:w w:val="105"/>
          <w:sz w:val="18"/>
        </w:rPr>
        <w:t>Point</w:t>
      </w:r>
    </w:p>
    <w:p>
      <w:pPr>
        <w:spacing w:line="235" w:lineRule="auto" w:before="18"/>
        <w:ind w:left="75" w:right="33" w:hanging="14"/>
        <w:jc w:val="left"/>
        <w:rPr>
          <w:sz w:val="18"/>
        </w:rPr>
      </w:pPr>
      <w:r>
        <w:rPr>
          <w:color w:val="3A3838"/>
          <w:w w:val="105"/>
          <w:sz w:val="18"/>
        </w:rPr>
        <w:t>[legal</w:t>
      </w:r>
      <w:r>
        <w:rPr>
          <w:color w:val="3A3838"/>
          <w:spacing w:val="7"/>
          <w:w w:val="105"/>
          <w:sz w:val="18"/>
        </w:rPr>
        <w:t> </w:t>
      </w:r>
      <w:r>
        <w:rPr>
          <w:color w:val="3A3838"/>
          <w:w w:val="105"/>
          <w:sz w:val="18"/>
        </w:rPr>
        <w:t>back</w:t>
      </w:r>
      <w:r>
        <w:rPr>
          <w:color w:val="565657"/>
          <w:w w:val="105"/>
          <w:sz w:val="18"/>
        </w:rPr>
        <w:t>s</w:t>
      </w:r>
      <w:r>
        <w:rPr>
          <w:color w:val="3A3838"/>
          <w:w w:val="105"/>
          <w:sz w:val="18"/>
        </w:rPr>
        <w:t>tory</w:t>
      </w:r>
      <w:r>
        <w:rPr>
          <w:color w:val="3A3838"/>
          <w:spacing w:val="9"/>
          <w:w w:val="105"/>
          <w:sz w:val="18"/>
        </w:rPr>
        <w:t> </w:t>
      </w:r>
      <w:r>
        <w:rPr>
          <w:color w:val="3A3838"/>
          <w:w w:val="105"/>
          <w:sz w:val="18"/>
        </w:rPr>
        <w:t>relevant</w:t>
      </w:r>
      <w:r>
        <w:rPr>
          <w:color w:val="3A3838"/>
          <w:spacing w:val="2"/>
          <w:w w:val="105"/>
          <w:sz w:val="18"/>
        </w:rPr>
        <w:t> </w:t>
      </w:r>
      <w:r>
        <w:rPr>
          <w:color w:val="3A3838"/>
          <w:w w:val="105"/>
          <w:sz w:val="18"/>
        </w:rPr>
        <w:t>to</w:t>
      </w:r>
      <w:r>
        <w:rPr>
          <w:color w:val="3A3838"/>
          <w:spacing w:val="-2"/>
          <w:w w:val="105"/>
          <w:sz w:val="18"/>
        </w:rPr>
        <w:t> </w:t>
      </w:r>
      <w:r>
        <w:rPr>
          <w:color w:val="3A3838"/>
          <w:w w:val="105"/>
          <w:sz w:val="18"/>
        </w:rPr>
        <w:t>A</w:t>
      </w:r>
      <w:r>
        <w:rPr>
          <w:color w:val="3A3838"/>
          <w:spacing w:val="-14"/>
          <w:w w:val="105"/>
          <w:sz w:val="18"/>
        </w:rPr>
        <w:t> </w:t>
      </w:r>
      <w:r>
        <w:rPr>
          <w:color w:val="3A3838"/>
          <w:w w:val="105"/>
          <w:sz w:val="18"/>
        </w:rPr>
        <w:t>&amp;</w:t>
      </w:r>
      <w:r>
        <w:rPr>
          <w:color w:val="3A3838"/>
          <w:spacing w:val="14"/>
          <w:w w:val="105"/>
          <w:sz w:val="18"/>
        </w:rPr>
        <w:t> </w:t>
      </w:r>
      <w:r>
        <w:rPr>
          <w:color w:val="3A3838"/>
          <w:w w:val="105"/>
          <w:sz w:val="18"/>
        </w:rPr>
        <w:t>B</w:t>
      </w:r>
      <w:r>
        <w:rPr>
          <w:color w:val="3A3838"/>
          <w:spacing w:val="-11"/>
          <w:w w:val="105"/>
          <w:sz w:val="18"/>
        </w:rPr>
        <w:t> </w:t>
      </w:r>
      <w:r>
        <w:rPr>
          <w:color w:val="3A3838"/>
          <w:w w:val="105"/>
          <w:sz w:val="18"/>
        </w:rPr>
        <w:t>and</w:t>
      </w:r>
      <w:r>
        <w:rPr>
          <w:color w:val="3A3838"/>
          <w:spacing w:val="-44"/>
          <w:w w:val="105"/>
          <w:sz w:val="18"/>
        </w:rPr>
        <w:t> </w:t>
      </w:r>
      <w:r>
        <w:rPr>
          <w:color w:val="3A3838"/>
          <w:w w:val="105"/>
          <w:sz w:val="18"/>
        </w:rPr>
        <w:t>roadmap</w:t>
      </w:r>
      <w:r>
        <w:rPr>
          <w:color w:val="3A3838"/>
          <w:spacing w:val="1"/>
          <w:w w:val="105"/>
          <w:sz w:val="18"/>
        </w:rPr>
        <w:t> </w:t>
      </w:r>
      <w:r>
        <w:rPr>
          <w:color w:val="3A3838"/>
          <w:w w:val="105"/>
          <w:sz w:val="18"/>
        </w:rPr>
        <w:t>foreshadowing</w:t>
      </w:r>
      <w:r>
        <w:rPr>
          <w:color w:val="3A3838"/>
          <w:spacing w:val="-12"/>
          <w:w w:val="105"/>
          <w:sz w:val="18"/>
        </w:rPr>
        <w:t> </w:t>
      </w:r>
      <w:r>
        <w:rPr>
          <w:color w:val="3A3838"/>
          <w:w w:val="105"/>
          <w:sz w:val="18"/>
        </w:rPr>
        <w:t>A</w:t>
      </w:r>
      <w:r>
        <w:rPr>
          <w:color w:val="3A3838"/>
          <w:spacing w:val="-17"/>
          <w:w w:val="105"/>
          <w:sz w:val="18"/>
        </w:rPr>
        <w:t> </w:t>
      </w:r>
      <w:r>
        <w:rPr>
          <w:color w:val="3A3838"/>
          <w:w w:val="105"/>
          <w:sz w:val="19"/>
        </w:rPr>
        <w:t>&amp;</w:t>
      </w:r>
      <w:r>
        <w:rPr>
          <w:color w:val="3A3838"/>
          <w:spacing w:val="11"/>
          <w:w w:val="105"/>
          <w:sz w:val="19"/>
        </w:rPr>
        <w:t> </w:t>
      </w:r>
      <w:r>
        <w:rPr>
          <w:color w:val="3A3838"/>
          <w:w w:val="105"/>
          <w:sz w:val="18"/>
        </w:rPr>
        <w:t>B]</w:t>
      </w:r>
    </w:p>
    <w:p>
      <w:pPr>
        <w:spacing w:line="219" w:lineRule="exact" w:before="15"/>
        <w:ind w:left="80" w:right="0" w:firstLine="0"/>
        <w:jc w:val="left"/>
        <w:rPr>
          <w:rFonts w:ascii="Courier New"/>
          <w:b/>
          <w:sz w:val="20"/>
        </w:rPr>
      </w:pPr>
      <w:r>
        <w:rPr>
          <w:rFonts w:ascii="Courier New"/>
          <w:b/>
          <w:color w:val="3A3838"/>
          <w:sz w:val="20"/>
        </w:rPr>
        <w:t>A.</w:t>
      </w:r>
    </w:p>
    <w:p>
      <w:pPr>
        <w:spacing w:line="211" w:lineRule="exact" w:before="0"/>
        <w:ind w:left="83" w:right="0" w:firstLine="0"/>
        <w:jc w:val="left"/>
        <w:rPr>
          <w:rFonts w:ascii="Courier New"/>
          <w:b/>
          <w:sz w:val="20"/>
        </w:rPr>
      </w:pPr>
      <w:r>
        <w:rPr>
          <w:rFonts w:ascii="Courier New"/>
          <w:b/>
          <w:color w:val="3A3838"/>
          <w:sz w:val="20"/>
        </w:rPr>
        <w:t>B.</w:t>
      </w:r>
    </w:p>
    <w:p>
      <w:pPr>
        <w:spacing w:line="199" w:lineRule="exact" w:before="0"/>
        <w:ind w:left="70" w:right="0" w:firstLine="0"/>
        <w:jc w:val="left"/>
        <w:rPr>
          <w:b/>
          <w:sz w:val="18"/>
        </w:rPr>
      </w:pPr>
      <w:r>
        <w:rPr>
          <w:b/>
          <w:color w:val="3A3838"/>
          <w:w w:val="105"/>
          <w:sz w:val="18"/>
        </w:rPr>
        <w:t>Third</w:t>
      </w:r>
      <w:r>
        <w:rPr>
          <w:b/>
          <w:color w:val="3A3838"/>
          <w:spacing w:val="-3"/>
          <w:w w:val="105"/>
          <w:sz w:val="18"/>
        </w:rPr>
        <w:t> </w:t>
      </w:r>
      <w:r>
        <w:rPr>
          <w:b/>
          <w:color w:val="3A3838"/>
          <w:w w:val="105"/>
          <w:sz w:val="18"/>
        </w:rPr>
        <w:t>Major</w:t>
      </w:r>
      <w:r>
        <w:rPr>
          <w:b/>
          <w:color w:val="3A3838"/>
          <w:spacing w:val="5"/>
          <w:w w:val="105"/>
          <w:sz w:val="18"/>
        </w:rPr>
        <w:t> </w:t>
      </w:r>
      <w:r>
        <w:rPr>
          <w:b/>
          <w:color w:val="3A3838"/>
          <w:w w:val="105"/>
          <w:sz w:val="18"/>
        </w:rPr>
        <w:t>Point</w:t>
      </w:r>
    </w:p>
    <w:p>
      <w:pPr>
        <w:pStyle w:val="BodyText"/>
        <w:spacing w:line="230" w:lineRule="auto"/>
        <w:ind w:left="716" w:right="343" w:hanging="4"/>
        <w:jc w:val="both"/>
      </w:pPr>
      <w:r>
        <w:rPr/>
        <w:br w:type="column"/>
      </w:r>
      <w:r>
        <w:rPr>
          <w:color w:val="3A3838"/>
          <w:w w:val="115"/>
        </w:rPr>
        <w:t>sciously-that  </w:t>
      </w:r>
      <w:r>
        <w:rPr>
          <w:color w:val="3A3838"/>
          <w:spacing w:val="67"/>
          <w:w w:val="115"/>
        </w:rPr>
        <w:t> </w:t>
      </w:r>
      <w:r>
        <w:rPr>
          <w:color w:val="3A3838"/>
          <w:w w:val="115"/>
        </w:rPr>
        <w:t>they  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do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not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need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to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provide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the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court with an introduction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within the argument. The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court knows the law, they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believe,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and</w:t>
      </w:r>
      <w:r>
        <w:rPr>
          <w:color w:val="3A3838"/>
          <w:spacing w:val="28"/>
          <w:w w:val="110"/>
        </w:rPr>
        <w:t> </w:t>
      </w:r>
      <w:r>
        <w:rPr>
          <w:color w:val="3A3838"/>
          <w:w w:val="110"/>
        </w:rPr>
        <w:t>it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can</w:t>
      </w:r>
      <w:r>
        <w:rPr>
          <w:color w:val="3A3838"/>
          <w:spacing w:val="37"/>
          <w:w w:val="110"/>
        </w:rPr>
        <w:t> </w:t>
      </w:r>
      <w:r>
        <w:rPr>
          <w:color w:val="3A3838"/>
          <w:w w:val="110"/>
        </w:rPr>
        <w:t>read</w:t>
      </w:r>
      <w:r>
        <w:rPr>
          <w:color w:val="3A3838"/>
          <w:spacing w:val="-5"/>
          <w:w w:val="110"/>
        </w:rPr>
        <w:t> </w:t>
      </w:r>
      <w:r>
        <w:rPr>
          <w:color w:val="3A3838"/>
          <w:w w:val="110"/>
        </w:rPr>
        <w:t>the</w:t>
      </w:r>
    </w:p>
    <w:p>
      <w:pPr>
        <w:spacing w:after="0" w:line="230" w:lineRule="auto"/>
        <w:jc w:val="both"/>
        <w:sectPr>
          <w:type w:val="continuous"/>
          <w:pgSz w:w="9780" w:h="13980"/>
          <w:pgMar w:header="505" w:footer="0" w:top="340" w:bottom="280" w:left="340" w:right="1360"/>
          <w:cols w:num="3" w:equalWidth="0">
            <w:col w:w="1048" w:space="40"/>
            <w:col w:w="3053" w:space="59"/>
            <w:col w:w="3880"/>
          </w:cols>
        </w:sectPr>
      </w:pPr>
    </w:p>
    <w:p>
      <w:pPr>
        <w:pStyle w:val="BodyText"/>
        <w:spacing w:before="8"/>
        <w:rPr>
          <w:sz w:val="25"/>
        </w:rPr>
      </w:pPr>
    </w:p>
    <w:p>
      <w:pPr>
        <w:spacing w:before="93"/>
        <w:ind w:left="481" w:right="0" w:firstLine="0"/>
        <w:jc w:val="left"/>
        <w:rPr>
          <w:sz w:val="18"/>
        </w:rPr>
      </w:pPr>
      <w:r>
        <w:rPr>
          <w:color w:val="3A3838"/>
          <w:spacing w:val="-1"/>
          <w:w w:val="105"/>
          <w:sz w:val="18"/>
        </w:rPr>
        <w:t>'Linda Holdeman</w:t>
      </w:r>
      <w:r>
        <w:rPr>
          <w:color w:val="3A3838"/>
          <w:spacing w:val="16"/>
          <w:w w:val="105"/>
          <w:sz w:val="18"/>
        </w:rPr>
        <w:t> </w:t>
      </w:r>
      <w:r>
        <w:rPr>
          <w:color w:val="3A3838"/>
          <w:spacing w:val="-1"/>
          <w:w w:val="105"/>
          <w:sz w:val="18"/>
        </w:rPr>
        <w:t>Edwards,</w:t>
      </w:r>
      <w:r>
        <w:rPr>
          <w:color w:val="3A3838"/>
          <w:spacing w:val="6"/>
          <w:w w:val="105"/>
          <w:sz w:val="18"/>
        </w:rPr>
        <w:t> </w:t>
      </w:r>
      <w:r>
        <w:rPr>
          <w:rFonts w:ascii="Arial"/>
          <w:i/>
          <w:color w:val="3A3838"/>
          <w:w w:val="105"/>
          <w:sz w:val="16"/>
        </w:rPr>
        <w:t>Legal</w:t>
      </w:r>
      <w:r>
        <w:rPr>
          <w:rFonts w:ascii="Arial"/>
          <w:i/>
          <w:color w:val="3A3838"/>
          <w:spacing w:val="3"/>
          <w:w w:val="105"/>
          <w:sz w:val="16"/>
        </w:rPr>
        <w:t> </w:t>
      </w:r>
      <w:r>
        <w:rPr>
          <w:rFonts w:ascii="Arial"/>
          <w:i/>
          <w:color w:val="3A3838"/>
          <w:w w:val="105"/>
          <w:sz w:val="16"/>
        </w:rPr>
        <w:t>Writing:</w:t>
      </w:r>
      <w:r>
        <w:rPr>
          <w:rFonts w:ascii="Arial"/>
          <w:i/>
          <w:color w:val="3A3838"/>
          <w:spacing w:val="-12"/>
          <w:w w:val="105"/>
          <w:sz w:val="16"/>
        </w:rPr>
        <w:t> </w:t>
      </w:r>
      <w:r>
        <w:rPr>
          <w:rFonts w:ascii="Arial"/>
          <w:i/>
          <w:color w:val="3A3838"/>
          <w:w w:val="105"/>
          <w:sz w:val="16"/>
        </w:rPr>
        <w:t>Process,</w:t>
      </w:r>
      <w:r>
        <w:rPr>
          <w:rFonts w:ascii="Arial"/>
          <w:i/>
          <w:color w:val="3A3838"/>
          <w:spacing w:val="9"/>
          <w:w w:val="105"/>
          <w:sz w:val="16"/>
        </w:rPr>
        <w:t> </w:t>
      </w:r>
      <w:r>
        <w:rPr>
          <w:rFonts w:ascii="Arial"/>
          <w:i/>
          <w:color w:val="3A3838"/>
          <w:w w:val="105"/>
          <w:sz w:val="16"/>
        </w:rPr>
        <w:t>Anal</w:t>
      </w:r>
      <w:r>
        <w:rPr>
          <w:rFonts w:ascii="Arial"/>
          <w:i/>
          <w:color w:val="565657"/>
          <w:w w:val="105"/>
          <w:sz w:val="16"/>
        </w:rPr>
        <w:t>y</w:t>
      </w:r>
      <w:r>
        <w:rPr>
          <w:rFonts w:ascii="Arial"/>
          <w:i/>
          <w:color w:val="3A3838"/>
          <w:w w:val="105"/>
          <w:sz w:val="16"/>
        </w:rPr>
        <w:t>sis,</w:t>
      </w:r>
      <w:r>
        <w:rPr>
          <w:rFonts w:ascii="Arial"/>
          <w:i/>
          <w:color w:val="3A3838"/>
          <w:spacing w:val="14"/>
          <w:w w:val="105"/>
          <w:sz w:val="16"/>
        </w:rPr>
        <w:t> </w:t>
      </w:r>
      <w:r>
        <w:rPr>
          <w:rFonts w:ascii="Arial"/>
          <w:i/>
          <w:color w:val="3A3838"/>
          <w:w w:val="105"/>
          <w:sz w:val="16"/>
        </w:rPr>
        <w:t>and</w:t>
      </w:r>
      <w:r>
        <w:rPr>
          <w:rFonts w:ascii="Arial"/>
          <w:i/>
          <w:color w:val="3A3838"/>
          <w:spacing w:val="-5"/>
          <w:w w:val="105"/>
          <w:sz w:val="16"/>
        </w:rPr>
        <w:t> </w:t>
      </w:r>
      <w:r>
        <w:rPr>
          <w:rFonts w:ascii="Arial"/>
          <w:i/>
          <w:color w:val="3A3838"/>
          <w:w w:val="105"/>
          <w:sz w:val="16"/>
        </w:rPr>
        <w:t>Orgm1izatio11</w:t>
      </w:r>
      <w:r>
        <w:rPr>
          <w:rFonts w:ascii="Arial"/>
          <w:i/>
          <w:color w:val="3A3838"/>
          <w:spacing w:val="7"/>
          <w:w w:val="105"/>
          <w:sz w:val="16"/>
        </w:rPr>
        <w:t> </w:t>
      </w:r>
      <w:r>
        <w:rPr>
          <w:color w:val="3A3838"/>
          <w:w w:val="105"/>
          <w:sz w:val="18"/>
        </w:rPr>
        <w:t>69-74,</w:t>
      </w:r>
      <w:r>
        <w:rPr>
          <w:color w:val="3A3838"/>
          <w:spacing w:val="13"/>
          <w:w w:val="105"/>
          <w:sz w:val="18"/>
        </w:rPr>
        <w:t> </w:t>
      </w:r>
      <w:r>
        <w:rPr>
          <w:color w:val="3A3838"/>
          <w:w w:val="105"/>
          <w:sz w:val="18"/>
        </w:rPr>
        <w:t>133-37,</w:t>
      </w:r>
    </w:p>
    <w:p>
      <w:pPr>
        <w:spacing w:before="5"/>
        <w:ind w:left="151" w:right="0" w:firstLine="0"/>
        <w:jc w:val="left"/>
        <w:rPr>
          <w:rFonts w:ascii="Arial"/>
          <w:sz w:val="17"/>
        </w:rPr>
      </w:pPr>
      <w:r>
        <w:rPr>
          <w:color w:val="3A3838"/>
          <w:w w:val="105"/>
          <w:sz w:val="17"/>
        </w:rPr>
        <w:t>160</w:t>
      </w:r>
      <w:r>
        <w:rPr>
          <w:color w:val="565657"/>
          <w:w w:val="105"/>
          <w:sz w:val="17"/>
        </w:rPr>
        <w:t>-</w:t>
      </w:r>
      <w:r>
        <w:rPr>
          <w:color w:val="3A3838"/>
          <w:w w:val="105"/>
          <w:sz w:val="17"/>
        </w:rPr>
        <w:t>61</w:t>
      </w:r>
      <w:r>
        <w:rPr>
          <w:color w:val="3A3838"/>
          <w:spacing w:val="-6"/>
          <w:w w:val="105"/>
          <w:sz w:val="17"/>
        </w:rPr>
        <w:t> </w:t>
      </w:r>
      <w:r>
        <w:rPr>
          <w:color w:val="565657"/>
          <w:w w:val="105"/>
          <w:sz w:val="17"/>
        </w:rPr>
        <w:t>(</w:t>
      </w:r>
      <w:r>
        <w:rPr>
          <w:color w:val="3A3838"/>
          <w:w w:val="105"/>
          <w:sz w:val="17"/>
        </w:rPr>
        <w:t>5th</w:t>
      </w:r>
      <w:r>
        <w:rPr>
          <w:color w:val="3A3838"/>
          <w:spacing w:val="17"/>
          <w:w w:val="105"/>
          <w:sz w:val="17"/>
        </w:rPr>
        <w:t> </w:t>
      </w:r>
      <w:r>
        <w:rPr>
          <w:color w:val="3A3838"/>
          <w:w w:val="105"/>
          <w:sz w:val="18"/>
        </w:rPr>
        <w:t>ed</w:t>
      </w:r>
      <w:r>
        <w:rPr>
          <w:color w:val="565657"/>
          <w:w w:val="105"/>
          <w:sz w:val="18"/>
        </w:rPr>
        <w:t>.</w:t>
      </w:r>
      <w:r>
        <w:rPr>
          <w:color w:val="3A3838"/>
          <w:w w:val="105"/>
          <w:sz w:val="18"/>
        </w:rPr>
        <w:t>,</w:t>
      </w:r>
      <w:r>
        <w:rPr>
          <w:color w:val="3A3838"/>
          <w:spacing w:val="11"/>
          <w:w w:val="105"/>
          <w:sz w:val="18"/>
        </w:rPr>
        <w:t> </w:t>
      </w:r>
      <w:r>
        <w:rPr>
          <w:rFonts w:ascii="Arial"/>
          <w:color w:val="3A3838"/>
          <w:w w:val="105"/>
          <w:sz w:val="17"/>
        </w:rPr>
        <w:t>Aspen</w:t>
      </w:r>
      <w:r>
        <w:rPr>
          <w:rFonts w:ascii="Arial"/>
          <w:color w:val="3A3838"/>
          <w:spacing w:val="-15"/>
          <w:w w:val="105"/>
          <w:sz w:val="17"/>
        </w:rPr>
        <w:t> </w:t>
      </w:r>
      <w:r>
        <w:rPr>
          <w:rFonts w:ascii="Arial"/>
          <w:color w:val="3A3838"/>
          <w:w w:val="105"/>
          <w:sz w:val="17"/>
        </w:rPr>
        <w:t>2010).</w:t>
      </w:r>
    </w:p>
    <w:p>
      <w:pPr>
        <w:spacing w:after="0"/>
        <w:jc w:val="left"/>
        <w:rPr>
          <w:rFonts w:ascii="Arial"/>
          <w:sz w:val="17"/>
        </w:rPr>
        <w:sectPr>
          <w:type w:val="continuous"/>
          <w:pgSz w:w="9780" w:h="13980"/>
          <w:pgMar w:header="505" w:footer="0" w:top="340" w:bottom="280" w:left="340" w:right="1360"/>
        </w:sectPr>
      </w:pPr>
    </w:p>
    <w:p>
      <w:pPr>
        <w:pStyle w:val="BodyText"/>
        <w:spacing w:line="232" w:lineRule="auto" w:before="87"/>
        <w:ind w:left="779" w:right="135" w:firstLine="13"/>
        <w:jc w:val="both"/>
      </w:pPr>
      <w:r>
        <w:rPr>
          <w:color w:val="383638"/>
          <w:w w:val="105"/>
        </w:rPr>
        <w:t>facts and  then figure out  how this case fits in  the scheme of things. And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one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level they are right; the court could figure it out, with enough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time. But good legal writing doesn't make readers figure things out: </w:t>
      </w:r>
      <w:r>
        <w:rPr>
          <w:color w:val="383638"/>
          <w:w w:val="105"/>
          <w:sz w:val="22"/>
        </w:rPr>
        <w:t>It </w:t>
      </w:r>
      <w:r>
        <w:rPr>
          <w:color w:val="383638"/>
          <w:w w:val="105"/>
        </w:rPr>
        <w:t>pro•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vides them with the information they need when they need it. And at the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beginning of the argument, legal readers need two things: They need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know what's already happened, and they need to know what's coming.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 must write the legal backstory to tell them what has already hap­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pened,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roadmap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tell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them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what's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coming.</w:t>
      </w:r>
    </w:p>
    <w:p>
      <w:pPr>
        <w:pStyle w:val="BodyText"/>
        <w:spacing w:before="10"/>
        <w:rPr>
          <w:sz w:val="32"/>
        </w:rPr>
      </w:pPr>
    </w:p>
    <w:p>
      <w:pPr>
        <w:pStyle w:val="ListParagraph"/>
        <w:numPr>
          <w:ilvl w:val="2"/>
          <w:numId w:val="94"/>
        </w:numPr>
        <w:tabs>
          <w:tab w:pos="1514" w:val="left" w:leader="none"/>
        </w:tabs>
        <w:spacing w:line="247" w:lineRule="exact" w:before="0" w:after="0"/>
        <w:ind w:left="1513" w:right="0" w:hanging="395"/>
        <w:jc w:val="both"/>
        <w:rPr>
          <w:b/>
          <w:color w:val="383638"/>
          <w:sz w:val="22"/>
        </w:rPr>
      </w:pPr>
      <w:r>
        <w:rPr>
          <w:b/>
          <w:color w:val="383638"/>
          <w:w w:val="110"/>
          <w:sz w:val="22"/>
        </w:rPr>
        <w:t>What's</w:t>
      </w:r>
      <w:r>
        <w:rPr>
          <w:b/>
          <w:color w:val="383638"/>
          <w:spacing w:val="15"/>
          <w:w w:val="110"/>
          <w:sz w:val="22"/>
        </w:rPr>
        <w:t> </w:t>
      </w:r>
      <w:r>
        <w:rPr>
          <w:b/>
          <w:color w:val="383638"/>
          <w:w w:val="110"/>
          <w:sz w:val="22"/>
        </w:rPr>
        <w:t>Already</w:t>
      </w:r>
      <w:r>
        <w:rPr>
          <w:b/>
          <w:color w:val="383638"/>
          <w:spacing w:val="14"/>
          <w:w w:val="110"/>
          <w:sz w:val="22"/>
        </w:rPr>
        <w:t> </w:t>
      </w:r>
      <w:r>
        <w:rPr>
          <w:b/>
          <w:color w:val="383638"/>
          <w:w w:val="110"/>
          <w:sz w:val="22"/>
        </w:rPr>
        <w:t>Happened:</w:t>
      </w:r>
      <w:r>
        <w:rPr>
          <w:b/>
          <w:color w:val="383638"/>
          <w:spacing w:val="-4"/>
          <w:w w:val="110"/>
          <w:sz w:val="22"/>
        </w:rPr>
        <w:t> </w:t>
      </w:r>
      <w:r>
        <w:rPr>
          <w:b/>
          <w:color w:val="383638"/>
          <w:w w:val="110"/>
          <w:sz w:val="22"/>
        </w:rPr>
        <w:t>The</w:t>
      </w:r>
      <w:r>
        <w:rPr>
          <w:b/>
          <w:color w:val="383638"/>
          <w:spacing w:val="32"/>
          <w:w w:val="110"/>
          <w:sz w:val="22"/>
        </w:rPr>
        <w:t> </w:t>
      </w:r>
      <w:r>
        <w:rPr>
          <w:b/>
          <w:color w:val="383638"/>
          <w:w w:val="110"/>
          <w:sz w:val="22"/>
        </w:rPr>
        <w:t>Legal</w:t>
      </w:r>
      <w:r>
        <w:rPr>
          <w:b/>
          <w:color w:val="383638"/>
          <w:spacing w:val="15"/>
          <w:w w:val="110"/>
          <w:sz w:val="22"/>
        </w:rPr>
        <w:t> </w:t>
      </w:r>
      <w:r>
        <w:rPr>
          <w:b/>
          <w:color w:val="383638"/>
          <w:w w:val="110"/>
          <w:sz w:val="22"/>
        </w:rPr>
        <w:t>Backstory</w:t>
      </w:r>
    </w:p>
    <w:p>
      <w:pPr>
        <w:pStyle w:val="BodyText"/>
        <w:spacing w:line="235" w:lineRule="auto"/>
        <w:ind w:left="747" w:right="117" w:firstLine="385"/>
        <w:jc w:val="both"/>
      </w:pPr>
      <w:r>
        <w:rPr>
          <w:color w:val="383638"/>
          <w:w w:val="105"/>
        </w:rPr>
        <w:t>"What's already happened" is not  just the  facts and  the  procedure in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case (although certainly, readers do need this information, which you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have no doubt supplied in the Fact Statement). I'm talking about what has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already happened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"in  the  law." Where did  this issue come from? How has</w:t>
      </w:r>
      <w:r>
        <w:rPr>
          <w:color w:val="383638"/>
          <w:spacing w:val="-58"/>
          <w:w w:val="105"/>
        </w:rPr>
        <w:t> </w:t>
      </w:r>
      <w:r>
        <w:rPr>
          <w:color w:val="383638"/>
          <w:w w:val="105"/>
        </w:rPr>
        <w:t>it been spending its time? If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law is a seamless web, what part of the web</w:t>
      </w:r>
      <w:r>
        <w:rPr>
          <w:color w:val="383638"/>
          <w:spacing w:val="-58"/>
          <w:w w:val="105"/>
        </w:rPr>
        <w:t> </w:t>
      </w:r>
      <w:r>
        <w:rPr>
          <w:color w:val="383638"/>
          <w:w w:val="110"/>
        </w:rPr>
        <w:t>are we looking at  right now? Perhaps, rather than thinking of the law as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a seamless web, you </w:t>
      </w:r>
      <w:r>
        <w:rPr>
          <w:color w:val="383638"/>
          <w:w w:val="110"/>
        </w:rPr>
        <w:t>should think of it as a complicated movie</w:t>
      </w:r>
      <w:r>
        <w:rPr>
          <w:color w:val="5B5B5D"/>
          <w:w w:val="110"/>
        </w:rPr>
        <w:t>. </w:t>
      </w:r>
      <w:r>
        <w:rPr>
          <w:color w:val="383638"/>
          <w:w w:val="110"/>
        </w:rPr>
        <w:t>Thus, the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05"/>
        </w:rPr>
        <w:t>beginning of any argument can be thought of as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middle of the movie.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And the court just came in late, sat down next to you, and whispered,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"What's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happened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so far?"</w:t>
      </w:r>
    </w:p>
    <w:p>
      <w:pPr>
        <w:pStyle w:val="BodyText"/>
        <w:spacing w:line="228" w:lineRule="auto"/>
        <w:ind w:left="744" w:right="123" w:firstLine="349"/>
        <w:jc w:val="both"/>
        <w:rPr>
          <w:rFonts w:ascii="Arial"/>
          <w:sz w:val="22"/>
        </w:rPr>
      </w:pPr>
      <w:r>
        <w:rPr>
          <w:color w:val="383638"/>
          <w:w w:val="110"/>
        </w:rPr>
        <w:t>To explain what has happened "so far," you need to provide the legal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backstory, as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succinctly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possible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31"/>
          <w:w w:val="110"/>
        </w:rPr>
        <w:t> </w:t>
      </w:r>
      <w:r>
        <w:rPr>
          <w:color w:val="383638"/>
          <w:w w:val="110"/>
        </w:rPr>
        <w:t>with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citations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appropriate.</w:t>
      </w:r>
      <w:r>
        <w:rPr>
          <w:color w:val="383638"/>
          <w:spacing w:val="-8"/>
          <w:w w:val="110"/>
        </w:rPr>
        <w:t> </w:t>
      </w:r>
      <w:r>
        <w:rPr>
          <w:rFonts w:ascii="Arial"/>
          <w:color w:val="383638"/>
          <w:w w:val="110"/>
          <w:sz w:val="22"/>
        </w:rPr>
        <w:t>By</w:t>
      </w:r>
    </w:p>
    <w:p>
      <w:pPr>
        <w:pStyle w:val="BodyText"/>
        <w:spacing w:line="235" w:lineRule="auto"/>
        <w:ind w:left="678" w:right="109" w:firstLine="47"/>
        <w:jc w:val="both"/>
      </w:pPr>
      <w:r>
        <w:rPr>
          <w:color w:val="383638"/>
          <w:w w:val="110"/>
        </w:rPr>
        <w:t>doing so, you provide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reader with vital context for the rest of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argument. </w:t>
      </w:r>
      <w:r>
        <w:rPr>
          <w:color w:val="383638"/>
          <w:w w:val="110"/>
          <w:sz w:val="22"/>
        </w:rPr>
        <w:t>If </w:t>
      </w:r>
      <w:r>
        <w:rPr>
          <w:color w:val="383638"/>
          <w:w w:val="110"/>
        </w:rPr>
        <w:t>you are saying that the defendant did not have a reasonable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expectation of privacy, don't dive into the reasonable expectation of pri­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vacy analysis, presuming that the reader knows how it is relevant to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plaintiff's rights. Instead, set the argument in the context of the Fourth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Amendment. Likewise,  if you  are  arguing that the public policy exception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employment-at-will</w:t>
      </w:r>
      <w:r>
        <w:rPr>
          <w:color w:val="383638"/>
          <w:spacing w:val="-22"/>
          <w:w w:val="110"/>
        </w:rPr>
        <w:t> </w:t>
      </w:r>
      <w:r>
        <w:rPr>
          <w:color w:val="383638"/>
          <w:w w:val="110"/>
        </w:rPr>
        <w:t>doctrine</w:t>
      </w:r>
      <w:r>
        <w:rPr>
          <w:color w:val="383638"/>
          <w:spacing w:val="-27"/>
          <w:w w:val="110"/>
        </w:rPr>
        <w:t> </w:t>
      </w:r>
      <w:r>
        <w:rPr>
          <w:color w:val="383638"/>
          <w:w w:val="110"/>
        </w:rPr>
        <w:t>does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not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apply,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make</w:t>
      </w:r>
      <w:r>
        <w:rPr>
          <w:color w:val="383638"/>
          <w:spacing w:val="-24"/>
          <w:w w:val="110"/>
        </w:rPr>
        <w:t> </w:t>
      </w:r>
      <w:r>
        <w:rPr>
          <w:color w:val="383638"/>
          <w:w w:val="110"/>
        </w:rPr>
        <w:t>sure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tell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the reader what the </w:t>
      </w:r>
      <w:r>
        <w:rPr>
          <w:color w:val="383638"/>
          <w:w w:val="110"/>
        </w:rPr>
        <w:t>employment-at-will doctrine is. Furthermore, if there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is a split in the circuits, don't make the court figure that out five pages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later;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tell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important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detail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right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away.</w:t>
      </w:r>
    </w:p>
    <w:p>
      <w:pPr>
        <w:pStyle w:val="BodyText"/>
        <w:spacing w:line="238" w:lineRule="exact"/>
        <w:ind w:left="1048"/>
        <w:jc w:val="both"/>
      </w:pPr>
      <w:r>
        <w:rPr>
          <w:color w:val="383638"/>
          <w:w w:val="110"/>
        </w:rPr>
        <w:t>Broadly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stated,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reader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should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be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able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glean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four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elements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from</w:t>
      </w:r>
    </w:p>
    <w:p>
      <w:pPr>
        <w:pStyle w:val="BodyText"/>
        <w:spacing w:line="262" w:lineRule="exact"/>
        <w:ind w:left="663"/>
        <w:jc w:val="both"/>
      </w:pPr>
      <w:r>
        <w:rPr>
          <w:color w:val="383638"/>
          <w:w w:val="105"/>
        </w:rPr>
        <w:t>the</w:t>
      </w:r>
      <w:r>
        <w:rPr>
          <w:color w:val="383638"/>
          <w:spacing w:val="58"/>
          <w:w w:val="105"/>
        </w:rPr>
        <w:t> </w:t>
      </w:r>
      <w:r>
        <w:rPr>
          <w:color w:val="383638"/>
          <w:w w:val="105"/>
        </w:rPr>
        <w:t>legal</w:t>
      </w:r>
      <w:r>
        <w:rPr>
          <w:color w:val="383638"/>
          <w:spacing w:val="22"/>
          <w:w w:val="105"/>
        </w:rPr>
        <w:t> </w:t>
      </w:r>
      <w:r>
        <w:rPr>
          <w:color w:val="383638"/>
          <w:w w:val="105"/>
        </w:rPr>
        <w:t>backstory:</w:t>
      </w:r>
    </w:p>
    <w:p>
      <w:pPr>
        <w:pStyle w:val="ListParagraph"/>
        <w:numPr>
          <w:ilvl w:val="0"/>
          <w:numId w:val="96"/>
        </w:numPr>
        <w:tabs>
          <w:tab w:pos="1305" w:val="left" w:leader="none"/>
        </w:tabs>
        <w:spacing w:line="230" w:lineRule="auto" w:before="106" w:after="0"/>
        <w:ind w:left="1257" w:right="109" w:hanging="241"/>
        <w:jc w:val="both"/>
        <w:rPr>
          <w:color w:val="383638"/>
          <w:sz w:val="22"/>
        </w:rPr>
      </w:pPr>
      <w:r>
        <w:rPr/>
        <w:tab/>
      </w:r>
      <w:r>
        <w:rPr>
          <w:b/>
          <w:color w:val="383638"/>
          <w:w w:val="110"/>
          <w:sz w:val="23"/>
        </w:rPr>
        <w:t>The question that this part of</w:t>
      </w:r>
      <w:r>
        <w:rPr>
          <w:b/>
          <w:color w:val="383638"/>
          <w:spacing w:val="1"/>
          <w:w w:val="110"/>
          <w:sz w:val="23"/>
        </w:rPr>
        <w:t> </w:t>
      </w:r>
      <w:r>
        <w:rPr>
          <w:b/>
          <w:color w:val="383638"/>
          <w:w w:val="110"/>
          <w:sz w:val="23"/>
        </w:rPr>
        <w:t>the  document  is answering. </w:t>
      </w:r>
      <w:r>
        <w:rPr>
          <w:color w:val="383638"/>
          <w:w w:val="110"/>
          <w:sz w:val="22"/>
        </w:rPr>
        <w:t>If</w:t>
      </w:r>
      <w:r>
        <w:rPr>
          <w:color w:val="383638"/>
          <w:spacing w:val="1"/>
          <w:w w:val="110"/>
          <w:sz w:val="22"/>
        </w:rPr>
        <w:t> </w:t>
      </w:r>
      <w:r>
        <w:rPr>
          <w:color w:val="383638"/>
          <w:w w:val="110"/>
          <w:sz w:val="23"/>
        </w:rPr>
        <w:t>you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are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writing the backstory for the whole argument, you should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address the question that the whole document is answering. </w:t>
      </w:r>
      <w:r>
        <w:rPr>
          <w:color w:val="383638"/>
          <w:w w:val="110"/>
          <w:sz w:val="22"/>
        </w:rPr>
        <w:t>If </w:t>
      </w:r>
      <w:r>
        <w:rPr>
          <w:color w:val="383638"/>
          <w:w w:val="110"/>
          <w:sz w:val="23"/>
        </w:rPr>
        <w:t>you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are  providing backstory for  just one  part of the  argument, focus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on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that part alone. In almost every situation, you should state this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question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as an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argumentative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declaration, as in,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"The plaintiff's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complaint should be dismissed because supervisors cannot be held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individually</w:t>
      </w:r>
      <w:r>
        <w:rPr>
          <w:color w:val="383638"/>
          <w:spacing w:val="16"/>
          <w:w w:val="110"/>
          <w:sz w:val="23"/>
        </w:rPr>
        <w:t> </w:t>
      </w:r>
      <w:r>
        <w:rPr>
          <w:color w:val="383638"/>
          <w:w w:val="110"/>
          <w:sz w:val="23"/>
        </w:rPr>
        <w:t>liable</w:t>
      </w:r>
      <w:r>
        <w:rPr>
          <w:color w:val="383638"/>
          <w:spacing w:val="-12"/>
          <w:w w:val="110"/>
          <w:sz w:val="23"/>
        </w:rPr>
        <w:t> </w:t>
      </w:r>
      <w:r>
        <w:rPr>
          <w:color w:val="383638"/>
          <w:w w:val="110"/>
          <w:sz w:val="23"/>
        </w:rPr>
        <w:t>under</w:t>
      </w:r>
      <w:r>
        <w:rPr>
          <w:color w:val="383638"/>
          <w:spacing w:val="-21"/>
          <w:w w:val="110"/>
          <w:sz w:val="23"/>
        </w:rPr>
        <w:t> </w:t>
      </w:r>
      <w:r>
        <w:rPr>
          <w:color w:val="383638"/>
          <w:w w:val="110"/>
          <w:sz w:val="23"/>
        </w:rPr>
        <w:t>Title</w:t>
      </w:r>
      <w:r>
        <w:rPr>
          <w:color w:val="383638"/>
          <w:spacing w:val="-7"/>
          <w:w w:val="110"/>
          <w:sz w:val="23"/>
        </w:rPr>
        <w:t> </w:t>
      </w:r>
      <w:r>
        <w:rPr>
          <w:color w:val="383638"/>
          <w:w w:val="110"/>
          <w:sz w:val="23"/>
        </w:rPr>
        <w:t>VII."</w:t>
      </w:r>
    </w:p>
    <w:p>
      <w:pPr>
        <w:pStyle w:val="ListParagraph"/>
        <w:numPr>
          <w:ilvl w:val="0"/>
          <w:numId w:val="96"/>
        </w:numPr>
        <w:tabs>
          <w:tab w:pos="1239" w:val="left" w:leader="none"/>
        </w:tabs>
        <w:spacing w:line="235" w:lineRule="auto" w:before="7" w:after="0"/>
        <w:ind w:left="1236" w:right="99" w:hanging="364"/>
        <w:jc w:val="both"/>
        <w:rPr>
          <w:color w:val="383638"/>
          <w:sz w:val="23"/>
        </w:rPr>
      </w:pPr>
      <w:r>
        <w:rPr>
          <w:color w:val="383638"/>
          <w:w w:val="120"/>
          <w:sz w:val="23"/>
        </w:rPr>
        <w:t>The legal rule or standard that is at the root </w:t>
      </w:r>
      <w:r>
        <w:rPr>
          <w:rFonts w:ascii="Arial"/>
          <w:color w:val="383638"/>
          <w:w w:val="120"/>
          <w:sz w:val="21"/>
        </w:rPr>
        <w:t>of </w:t>
      </w:r>
      <w:r>
        <w:rPr>
          <w:color w:val="383638"/>
          <w:w w:val="120"/>
          <w:sz w:val="23"/>
        </w:rPr>
        <w:t>the issue being</w:t>
      </w:r>
      <w:r>
        <w:rPr>
          <w:color w:val="383638"/>
          <w:spacing w:val="1"/>
          <w:w w:val="120"/>
          <w:sz w:val="23"/>
        </w:rPr>
        <w:t> </w:t>
      </w:r>
      <w:r>
        <w:rPr>
          <w:color w:val="383638"/>
          <w:w w:val="115"/>
          <w:sz w:val="23"/>
        </w:rPr>
        <w:t>addressed</w:t>
      </w:r>
      <w:r>
        <w:rPr>
          <w:color w:val="383638"/>
          <w:spacing w:val="-8"/>
          <w:w w:val="115"/>
          <w:sz w:val="23"/>
        </w:rPr>
        <w:t> </w:t>
      </w:r>
      <w:r>
        <w:rPr>
          <w:color w:val="383638"/>
          <w:w w:val="115"/>
          <w:sz w:val="23"/>
        </w:rPr>
        <w:t>in</w:t>
      </w:r>
      <w:r>
        <w:rPr>
          <w:color w:val="383638"/>
          <w:spacing w:val="32"/>
          <w:w w:val="115"/>
          <w:sz w:val="23"/>
        </w:rPr>
        <w:t> </w:t>
      </w:r>
      <w:r>
        <w:rPr>
          <w:color w:val="383638"/>
          <w:w w:val="115"/>
          <w:sz w:val="23"/>
        </w:rPr>
        <w:t>that</w:t>
      </w:r>
      <w:r>
        <w:rPr>
          <w:color w:val="383638"/>
          <w:spacing w:val="5"/>
          <w:w w:val="115"/>
          <w:sz w:val="23"/>
        </w:rPr>
        <w:t> </w:t>
      </w:r>
      <w:r>
        <w:rPr>
          <w:color w:val="383638"/>
          <w:w w:val="115"/>
          <w:sz w:val="23"/>
        </w:rPr>
        <w:t>part</w:t>
      </w:r>
      <w:r>
        <w:rPr>
          <w:color w:val="383638"/>
          <w:spacing w:val="-17"/>
          <w:w w:val="115"/>
          <w:sz w:val="23"/>
        </w:rPr>
        <w:t> </w:t>
      </w:r>
      <w:r>
        <w:rPr>
          <w:color w:val="383638"/>
          <w:w w:val="115"/>
          <w:sz w:val="23"/>
        </w:rPr>
        <w:t>of</w:t>
      </w:r>
      <w:r>
        <w:rPr>
          <w:color w:val="383638"/>
          <w:spacing w:val="-13"/>
          <w:w w:val="115"/>
          <w:sz w:val="23"/>
        </w:rPr>
        <w:t> </w:t>
      </w:r>
      <w:r>
        <w:rPr>
          <w:color w:val="383638"/>
          <w:w w:val="115"/>
          <w:sz w:val="23"/>
        </w:rPr>
        <w:t>the</w:t>
      </w:r>
      <w:r>
        <w:rPr>
          <w:color w:val="383638"/>
          <w:spacing w:val="-11"/>
          <w:w w:val="115"/>
          <w:sz w:val="23"/>
        </w:rPr>
        <w:t> </w:t>
      </w:r>
      <w:r>
        <w:rPr>
          <w:color w:val="383638"/>
          <w:w w:val="115"/>
          <w:sz w:val="23"/>
        </w:rPr>
        <w:t>document.</w:t>
      </w:r>
      <w:r>
        <w:rPr>
          <w:color w:val="383638"/>
          <w:spacing w:val="-9"/>
          <w:w w:val="115"/>
          <w:sz w:val="23"/>
        </w:rPr>
        <w:t> </w:t>
      </w:r>
      <w:r>
        <w:rPr>
          <w:color w:val="383638"/>
          <w:w w:val="115"/>
          <w:sz w:val="23"/>
        </w:rPr>
        <w:t>Many</w:t>
      </w:r>
      <w:r>
        <w:rPr>
          <w:color w:val="383638"/>
          <w:spacing w:val="-4"/>
          <w:w w:val="115"/>
          <w:sz w:val="23"/>
        </w:rPr>
        <w:t> </w:t>
      </w:r>
      <w:r>
        <w:rPr>
          <w:color w:val="383638"/>
          <w:w w:val="115"/>
          <w:sz w:val="23"/>
        </w:rPr>
        <w:t>legal arguments</w:t>
      </w:r>
      <w:r>
        <w:rPr>
          <w:color w:val="383638"/>
          <w:spacing w:val="-14"/>
          <w:w w:val="115"/>
          <w:sz w:val="23"/>
        </w:rPr>
        <w:t> </w:t>
      </w:r>
      <w:r>
        <w:rPr>
          <w:color w:val="383638"/>
          <w:w w:val="115"/>
          <w:sz w:val="23"/>
        </w:rPr>
        <w:t>are</w:t>
      </w:r>
    </w:p>
    <w:p>
      <w:pPr>
        <w:spacing w:after="0" w:line="235" w:lineRule="auto"/>
        <w:jc w:val="both"/>
        <w:rPr>
          <w:sz w:val="23"/>
        </w:rPr>
        <w:sectPr>
          <w:headerReference w:type="even" r:id="rId271"/>
          <w:headerReference w:type="default" r:id="rId272"/>
          <w:pgSz w:w="9730" w:h="13980"/>
          <w:pgMar w:header="486" w:footer="0" w:top="1080" w:bottom="0" w:left="1340" w:right="120"/>
          <w:pgNumType w:start="24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9710" w:h="13980"/>
          <w:pgMar w:header="502" w:footer="0" w:top="700" w:bottom="0" w:left="400" w:right="60"/>
        </w:sect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32" w:lineRule="auto"/>
        <w:ind w:left="672" w:right="98"/>
        <w:jc w:val="both"/>
      </w:pPr>
      <w:r>
        <w:rPr>
          <w:color w:val="383638"/>
          <w:w w:val="110"/>
        </w:rPr>
        <w:t>about the meaning of a particular word or phrase within a consti­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tutional provision, statute, or legal rule. Even when there is a thick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layer of judicial gloss on the original rule-as there is, for example,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5"/>
        </w:rPr>
        <w:t>on </w:t>
      </w:r>
      <w:r>
        <w:rPr>
          <w:color w:val="383638"/>
          <w:w w:val="115"/>
        </w:rPr>
        <w:t>the First Amendment-you should still note (or quote) the per­</w:t>
      </w:r>
      <w:r>
        <w:rPr>
          <w:color w:val="383638"/>
          <w:spacing w:val="-64"/>
          <w:w w:val="115"/>
        </w:rPr>
        <w:t> </w:t>
      </w:r>
      <w:r>
        <w:rPr>
          <w:color w:val="383638"/>
          <w:spacing w:val="-1"/>
          <w:w w:val="115"/>
        </w:rPr>
        <w:t>tinent part of the First Amendment before moving </w:t>
      </w:r>
      <w:r>
        <w:rPr>
          <w:color w:val="383638"/>
          <w:w w:val="115"/>
        </w:rPr>
        <w:t>to the concept</w:t>
      </w:r>
      <w:r>
        <w:rPr>
          <w:color w:val="383638"/>
          <w:spacing w:val="-64"/>
          <w:w w:val="115"/>
        </w:rPr>
        <w:t> </w:t>
      </w:r>
      <w:r>
        <w:rPr>
          <w:color w:val="383638"/>
          <w:spacing w:val="-1"/>
          <w:w w:val="110"/>
        </w:rPr>
        <w:t>of,</w:t>
      </w:r>
      <w:r>
        <w:rPr>
          <w:color w:val="383638"/>
          <w:spacing w:val="-29"/>
          <w:w w:val="110"/>
        </w:rPr>
        <w:t> </w:t>
      </w:r>
      <w:r>
        <w:rPr>
          <w:color w:val="383638"/>
          <w:spacing w:val="-1"/>
          <w:w w:val="110"/>
        </w:rPr>
        <w:t>for</w:t>
      </w:r>
      <w:r>
        <w:rPr>
          <w:color w:val="383638"/>
          <w:spacing w:val="-30"/>
          <w:w w:val="110"/>
        </w:rPr>
        <w:t> </w:t>
      </w:r>
      <w:r>
        <w:rPr>
          <w:color w:val="383638"/>
          <w:spacing w:val="-1"/>
          <w:w w:val="110"/>
        </w:rPr>
        <w:t>example,</w:t>
      </w:r>
      <w:r>
        <w:rPr>
          <w:color w:val="383638"/>
          <w:spacing w:val="-6"/>
          <w:w w:val="110"/>
        </w:rPr>
        <w:t> </w:t>
      </w:r>
      <w:r>
        <w:rPr>
          <w:color w:val="383638"/>
          <w:spacing w:val="-1"/>
          <w:w w:val="110"/>
        </w:rPr>
        <w:t>the</w:t>
      </w:r>
      <w:r>
        <w:rPr>
          <w:color w:val="383638"/>
          <w:spacing w:val="6"/>
          <w:w w:val="110"/>
        </w:rPr>
        <w:t> </w:t>
      </w:r>
      <w:r>
        <w:rPr>
          <w:color w:val="383638"/>
          <w:spacing w:val="-1"/>
          <w:w w:val="110"/>
        </w:rPr>
        <w:t>existence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chilling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effect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particular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case.</w:t>
      </w:r>
    </w:p>
    <w:p>
      <w:pPr>
        <w:pStyle w:val="ListParagraph"/>
        <w:numPr>
          <w:ilvl w:val="0"/>
          <w:numId w:val="96"/>
        </w:numPr>
        <w:tabs>
          <w:tab w:pos="687" w:val="left" w:leader="none"/>
        </w:tabs>
        <w:spacing w:line="232" w:lineRule="auto" w:before="2" w:after="0"/>
        <w:ind w:left="681" w:right="86" w:hanging="358"/>
        <w:jc w:val="both"/>
        <w:rPr>
          <w:color w:val="383638"/>
          <w:sz w:val="23"/>
        </w:rPr>
      </w:pPr>
      <w:r>
        <w:rPr>
          <w:color w:val="383638"/>
          <w:w w:val="115"/>
          <w:sz w:val="23"/>
        </w:rPr>
        <w:t>How the</w:t>
      </w:r>
      <w:r>
        <w:rPr>
          <w:color w:val="383638"/>
          <w:spacing w:val="1"/>
          <w:w w:val="115"/>
          <w:sz w:val="23"/>
        </w:rPr>
        <w:t> </w:t>
      </w:r>
      <w:r>
        <w:rPr>
          <w:color w:val="383638"/>
          <w:w w:val="115"/>
          <w:sz w:val="23"/>
        </w:rPr>
        <w:t>legal issue in</w:t>
      </w:r>
      <w:r>
        <w:rPr>
          <w:color w:val="383638"/>
          <w:spacing w:val="1"/>
          <w:w w:val="115"/>
          <w:sz w:val="23"/>
        </w:rPr>
        <w:t> </w:t>
      </w:r>
      <w:r>
        <w:rPr>
          <w:color w:val="383638"/>
          <w:w w:val="115"/>
          <w:sz w:val="23"/>
        </w:rPr>
        <w:t>this case (or section of the argument)</w:t>
      </w:r>
      <w:r>
        <w:rPr>
          <w:color w:val="383638"/>
          <w:spacing w:val="1"/>
          <w:w w:val="115"/>
          <w:sz w:val="23"/>
        </w:rPr>
        <w:t> </w:t>
      </w:r>
      <w:r>
        <w:rPr>
          <w:color w:val="383638"/>
          <w:w w:val="110"/>
          <w:sz w:val="23"/>
        </w:rPr>
        <w:t>relates to the rule. After stating the rule that is at the root of your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controversy,  move from that rule to the  rule or sub-rule currently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at issue. The concept of the "rule cluster," which was discussed in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5"/>
          <w:sz w:val="23"/>
        </w:rPr>
        <w:t>Chapter Five, may be appropriate here, as there may be a direct</w:t>
      </w:r>
      <w:r>
        <w:rPr>
          <w:color w:val="383638"/>
          <w:spacing w:val="1"/>
          <w:w w:val="115"/>
          <w:sz w:val="23"/>
        </w:rPr>
        <w:t> </w:t>
      </w:r>
      <w:r>
        <w:rPr>
          <w:color w:val="383638"/>
          <w:w w:val="110"/>
          <w:sz w:val="23"/>
        </w:rPr>
        <w:t>progression from one rule to the next. In contrast, the legal issue in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your</w:t>
      </w:r>
      <w:r>
        <w:rPr>
          <w:color w:val="383638"/>
          <w:spacing w:val="-12"/>
          <w:w w:val="110"/>
          <w:sz w:val="23"/>
        </w:rPr>
        <w:t> </w:t>
      </w:r>
      <w:r>
        <w:rPr>
          <w:color w:val="383638"/>
          <w:w w:val="110"/>
          <w:sz w:val="23"/>
        </w:rPr>
        <w:t>case</w:t>
      </w:r>
      <w:r>
        <w:rPr>
          <w:color w:val="383638"/>
          <w:spacing w:val="-7"/>
          <w:w w:val="110"/>
          <w:sz w:val="23"/>
        </w:rPr>
        <w:t> </w:t>
      </w:r>
      <w:r>
        <w:rPr>
          <w:color w:val="383638"/>
          <w:w w:val="110"/>
          <w:sz w:val="23"/>
        </w:rPr>
        <w:t>may</w:t>
      </w:r>
      <w:r>
        <w:rPr>
          <w:color w:val="383638"/>
          <w:spacing w:val="8"/>
          <w:w w:val="110"/>
          <w:sz w:val="23"/>
        </w:rPr>
        <w:t> </w:t>
      </w:r>
      <w:r>
        <w:rPr>
          <w:color w:val="383638"/>
          <w:w w:val="110"/>
          <w:sz w:val="23"/>
        </w:rPr>
        <w:t>be</w:t>
      </w:r>
      <w:r>
        <w:rPr>
          <w:color w:val="383638"/>
          <w:spacing w:val="-10"/>
          <w:w w:val="110"/>
          <w:sz w:val="23"/>
        </w:rPr>
        <w:t> </w:t>
      </w:r>
      <w:r>
        <w:rPr>
          <w:color w:val="383638"/>
          <w:w w:val="110"/>
          <w:sz w:val="23"/>
        </w:rPr>
        <w:t>a</w:t>
      </w:r>
      <w:r>
        <w:rPr>
          <w:color w:val="383638"/>
          <w:spacing w:val="-4"/>
          <w:w w:val="110"/>
          <w:sz w:val="23"/>
        </w:rPr>
        <w:t> </w:t>
      </w:r>
      <w:r>
        <w:rPr>
          <w:color w:val="383638"/>
          <w:w w:val="110"/>
          <w:sz w:val="23"/>
        </w:rPr>
        <w:t>subpart</w:t>
      </w:r>
      <w:r>
        <w:rPr>
          <w:color w:val="383638"/>
          <w:spacing w:val="-2"/>
          <w:w w:val="110"/>
          <w:sz w:val="23"/>
        </w:rPr>
        <w:t> </w:t>
      </w:r>
      <w:r>
        <w:rPr>
          <w:color w:val="383638"/>
          <w:w w:val="110"/>
          <w:sz w:val="23"/>
        </w:rPr>
        <w:t>of</w:t>
      </w:r>
      <w:r>
        <w:rPr>
          <w:color w:val="383638"/>
          <w:spacing w:val="3"/>
          <w:w w:val="110"/>
          <w:sz w:val="23"/>
        </w:rPr>
        <w:t> </w:t>
      </w:r>
      <w:r>
        <w:rPr>
          <w:color w:val="383638"/>
          <w:w w:val="110"/>
          <w:sz w:val="23"/>
        </w:rPr>
        <w:t>the</w:t>
      </w:r>
      <w:r>
        <w:rPr>
          <w:color w:val="383638"/>
          <w:spacing w:val="36"/>
          <w:w w:val="110"/>
          <w:sz w:val="23"/>
        </w:rPr>
        <w:t> </w:t>
      </w:r>
      <w:r>
        <w:rPr>
          <w:color w:val="383638"/>
          <w:w w:val="110"/>
          <w:sz w:val="23"/>
        </w:rPr>
        <w:t>main rule.</w:t>
      </w:r>
    </w:p>
    <w:p>
      <w:pPr>
        <w:pStyle w:val="ListParagraph"/>
        <w:numPr>
          <w:ilvl w:val="0"/>
          <w:numId w:val="96"/>
        </w:numPr>
        <w:tabs>
          <w:tab w:pos="684" w:val="left" w:leader="none"/>
        </w:tabs>
        <w:spacing w:line="232" w:lineRule="auto" w:before="0" w:after="0"/>
        <w:ind w:left="688" w:right="0" w:hanging="340"/>
        <w:jc w:val="both"/>
        <w:rPr>
          <w:color w:val="383638"/>
          <w:sz w:val="23"/>
        </w:rPr>
      </w:pPr>
      <w:r>
        <w:rPr>
          <w:color w:val="383638"/>
          <w:w w:val="110"/>
          <w:sz w:val="23"/>
        </w:rPr>
        <w:t>The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current status of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that issue in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the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relevant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jurisdiction,  </w:t>
      </w:r>
      <w:r>
        <w:rPr>
          <w:color w:val="383638"/>
          <w:w w:val="110"/>
          <w:sz w:val="22"/>
        </w:rPr>
        <w:t>if</w:t>
      </w:r>
      <w:r>
        <w:rPr>
          <w:color w:val="383638"/>
          <w:spacing w:val="1"/>
          <w:w w:val="110"/>
          <w:sz w:val="22"/>
        </w:rPr>
        <w:t> </w:t>
      </w:r>
      <w:r>
        <w:rPr>
          <w:b/>
          <w:color w:val="383638"/>
          <w:w w:val="105"/>
          <w:sz w:val="23"/>
        </w:rPr>
        <w:t>needed. </w:t>
      </w:r>
      <w:r>
        <w:rPr>
          <w:color w:val="383638"/>
          <w:w w:val="105"/>
          <w:sz w:val="23"/>
        </w:rPr>
        <w:t>Although this piece of the umbrella is not always needed, for</w:t>
      </w:r>
      <w:r>
        <w:rPr>
          <w:color w:val="383638"/>
          <w:spacing w:val="1"/>
          <w:w w:val="105"/>
          <w:sz w:val="23"/>
        </w:rPr>
        <w:t> </w:t>
      </w:r>
      <w:r>
        <w:rPr>
          <w:color w:val="383638"/>
          <w:w w:val="105"/>
          <w:sz w:val="23"/>
        </w:rPr>
        <w:t>some cases its inclusion is crucial. Most umbrellas will make evident</w:t>
      </w:r>
      <w:r>
        <w:rPr>
          <w:color w:val="383638"/>
          <w:spacing w:val="1"/>
          <w:w w:val="105"/>
          <w:sz w:val="23"/>
        </w:rPr>
        <w:t> </w:t>
      </w:r>
      <w:r>
        <w:rPr>
          <w:color w:val="383638"/>
          <w:w w:val="105"/>
          <w:sz w:val="23"/>
        </w:rPr>
        <w:t>how the rule operates in general. Include more details about the rule's</w:t>
      </w:r>
      <w:r>
        <w:rPr>
          <w:color w:val="383638"/>
          <w:spacing w:val="1"/>
          <w:w w:val="105"/>
          <w:sz w:val="23"/>
        </w:rPr>
        <w:t> </w:t>
      </w:r>
      <w:r>
        <w:rPr>
          <w:color w:val="383638"/>
          <w:w w:val="110"/>
          <w:sz w:val="23"/>
        </w:rPr>
        <w:t>status</w:t>
      </w:r>
      <w:r>
        <w:rPr>
          <w:color w:val="383638"/>
          <w:spacing w:val="-18"/>
          <w:w w:val="110"/>
          <w:sz w:val="23"/>
        </w:rPr>
        <w:t> </w:t>
      </w:r>
      <w:r>
        <w:rPr>
          <w:color w:val="383638"/>
          <w:w w:val="110"/>
          <w:sz w:val="23"/>
        </w:rPr>
        <w:t>if</w:t>
      </w:r>
      <w:r>
        <w:rPr>
          <w:color w:val="383638"/>
          <w:spacing w:val="-6"/>
          <w:w w:val="110"/>
          <w:sz w:val="23"/>
        </w:rPr>
        <w:t> </w:t>
      </w:r>
      <w:r>
        <w:rPr>
          <w:color w:val="383638"/>
          <w:w w:val="110"/>
          <w:sz w:val="23"/>
        </w:rPr>
        <w:t>there</w:t>
      </w:r>
      <w:r>
        <w:rPr>
          <w:color w:val="383638"/>
          <w:spacing w:val="-29"/>
          <w:w w:val="110"/>
          <w:sz w:val="23"/>
        </w:rPr>
        <w:t> </w:t>
      </w:r>
      <w:r>
        <w:rPr>
          <w:color w:val="383638"/>
          <w:w w:val="110"/>
          <w:sz w:val="23"/>
        </w:rPr>
        <w:t>are</w:t>
      </w:r>
      <w:r>
        <w:rPr>
          <w:color w:val="383638"/>
          <w:spacing w:val="-23"/>
          <w:w w:val="110"/>
          <w:sz w:val="23"/>
        </w:rPr>
        <w:t> </w:t>
      </w:r>
      <w:r>
        <w:rPr>
          <w:color w:val="383638"/>
          <w:w w:val="110"/>
          <w:sz w:val="23"/>
        </w:rPr>
        <w:t>any</w:t>
      </w:r>
      <w:r>
        <w:rPr>
          <w:color w:val="383638"/>
          <w:spacing w:val="-12"/>
          <w:w w:val="110"/>
          <w:sz w:val="23"/>
        </w:rPr>
        <w:t> </w:t>
      </w:r>
      <w:r>
        <w:rPr>
          <w:color w:val="383638"/>
          <w:w w:val="110"/>
          <w:sz w:val="23"/>
        </w:rPr>
        <w:t>controversies</w:t>
      </w:r>
      <w:r>
        <w:rPr>
          <w:color w:val="383638"/>
          <w:spacing w:val="-6"/>
          <w:w w:val="110"/>
          <w:sz w:val="23"/>
        </w:rPr>
        <w:t> </w:t>
      </w:r>
      <w:r>
        <w:rPr>
          <w:color w:val="383638"/>
          <w:w w:val="110"/>
          <w:sz w:val="23"/>
        </w:rPr>
        <w:t>about</w:t>
      </w:r>
      <w:r>
        <w:rPr>
          <w:color w:val="383638"/>
          <w:spacing w:val="-12"/>
          <w:w w:val="110"/>
          <w:sz w:val="23"/>
        </w:rPr>
        <w:t> </w:t>
      </w:r>
      <w:r>
        <w:rPr>
          <w:color w:val="383638"/>
          <w:w w:val="110"/>
          <w:sz w:val="23"/>
        </w:rPr>
        <w:t>this</w:t>
      </w:r>
      <w:r>
        <w:rPr>
          <w:color w:val="383638"/>
          <w:spacing w:val="-15"/>
          <w:w w:val="110"/>
          <w:sz w:val="23"/>
        </w:rPr>
        <w:t> </w:t>
      </w:r>
      <w:r>
        <w:rPr>
          <w:color w:val="383638"/>
          <w:w w:val="110"/>
          <w:sz w:val="23"/>
        </w:rPr>
        <w:t>rule</w:t>
      </w:r>
      <w:r>
        <w:rPr>
          <w:color w:val="383638"/>
          <w:spacing w:val="-15"/>
          <w:w w:val="110"/>
          <w:sz w:val="23"/>
        </w:rPr>
        <w:t> </w:t>
      </w:r>
      <w:r>
        <w:rPr>
          <w:color w:val="383638"/>
          <w:w w:val="110"/>
          <w:sz w:val="23"/>
        </w:rPr>
        <w:t>that</w:t>
      </w:r>
      <w:r>
        <w:rPr>
          <w:color w:val="383638"/>
          <w:spacing w:val="-12"/>
          <w:w w:val="110"/>
          <w:sz w:val="23"/>
        </w:rPr>
        <w:t> </w:t>
      </w:r>
      <w:r>
        <w:rPr>
          <w:color w:val="383638"/>
          <w:w w:val="110"/>
          <w:sz w:val="23"/>
        </w:rPr>
        <w:t>arerelevant</w:t>
      </w:r>
      <w:r>
        <w:rPr>
          <w:color w:val="383638"/>
          <w:spacing w:val="-8"/>
          <w:w w:val="110"/>
          <w:sz w:val="23"/>
        </w:rPr>
        <w:t> </w:t>
      </w:r>
      <w:r>
        <w:rPr>
          <w:color w:val="383638"/>
          <w:w w:val="110"/>
          <w:sz w:val="23"/>
        </w:rPr>
        <w:t>to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your argument. For example, perhaps you are arguing that the court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should allow an exception to a particular rule when circumstance C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spacing w:val="-1"/>
          <w:w w:val="110"/>
          <w:sz w:val="23"/>
        </w:rPr>
        <w:t>exists. To identify </w:t>
      </w:r>
      <w:r>
        <w:rPr>
          <w:color w:val="383638"/>
          <w:w w:val="110"/>
          <w:sz w:val="23"/>
        </w:rPr>
        <w:t>the current status of the rule, you might point out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that the court has previously created exceptions for circumstance </w:t>
      </w:r>
      <w:r>
        <w:rPr>
          <w:rFonts w:ascii="Arial"/>
          <w:i/>
          <w:color w:val="383638"/>
          <w:w w:val="110"/>
          <w:sz w:val="20"/>
        </w:rPr>
        <w:t>A</w:t>
      </w:r>
      <w:r>
        <w:rPr>
          <w:rFonts w:ascii="Arial"/>
          <w:i/>
          <w:color w:val="383638"/>
          <w:spacing w:val="1"/>
          <w:w w:val="110"/>
          <w:sz w:val="20"/>
        </w:rPr>
        <w:t> </w:t>
      </w:r>
      <w:r>
        <w:rPr>
          <w:color w:val="383638"/>
          <w:w w:val="110"/>
          <w:sz w:val="23"/>
        </w:rPr>
        <w:t>and circumstance </w:t>
      </w:r>
      <w:r>
        <w:rPr>
          <w:rFonts w:ascii="Arial"/>
          <w:i/>
          <w:color w:val="383638"/>
          <w:w w:val="110"/>
          <w:sz w:val="20"/>
        </w:rPr>
        <w:t>B</w:t>
      </w:r>
      <w:r>
        <w:rPr>
          <w:rFonts w:ascii="Arial"/>
          <w:i/>
          <w:color w:val="59595B"/>
          <w:w w:val="110"/>
          <w:sz w:val="20"/>
        </w:rPr>
        <w:t>. </w:t>
      </w:r>
      <w:r>
        <w:rPr>
          <w:color w:val="383638"/>
          <w:w w:val="110"/>
          <w:sz w:val="23"/>
        </w:rPr>
        <w:t>In addition or </w:t>
      </w:r>
      <w:r>
        <w:rPr>
          <w:color w:val="383638"/>
          <w:w w:val="110"/>
          <w:sz w:val="21"/>
        </w:rPr>
        <w:t>in  </w:t>
      </w:r>
      <w:r>
        <w:rPr>
          <w:color w:val="383638"/>
          <w:w w:val="110"/>
          <w:sz w:val="23"/>
        </w:rPr>
        <w:t>the alternative, there might </w:t>
      </w:r>
      <w:r>
        <w:rPr>
          <w:rFonts w:ascii="Arial"/>
          <w:color w:val="383638"/>
          <w:w w:val="110"/>
          <w:sz w:val="20"/>
        </w:rPr>
        <w:t>be</w:t>
      </w:r>
      <w:r>
        <w:rPr>
          <w:rFonts w:ascii="Arial"/>
          <w:color w:val="383638"/>
          <w:spacing w:val="-59"/>
          <w:w w:val="110"/>
          <w:sz w:val="20"/>
        </w:rPr>
        <w:t> </w:t>
      </w:r>
      <w:r>
        <w:rPr>
          <w:color w:val="383638"/>
          <w:w w:val="105"/>
          <w:sz w:val="23"/>
        </w:rPr>
        <w:t>a split in the circuits as to the issue. If you</w:t>
      </w:r>
      <w:r>
        <w:rPr>
          <w:color w:val="383638"/>
          <w:spacing w:val="1"/>
          <w:w w:val="105"/>
          <w:sz w:val="23"/>
        </w:rPr>
        <w:t> </w:t>
      </w:r>
      <w:r>
        <w:rPr>
          <w:color w:val="383638"/>
          <w:w w:val="105"/>
          <w:sz w:val="23"/>
        </w:rPr>
        <w:t>are writing to a court other</w:t>
      </w:r>
      <w:r>
        <w:rPr>
          <w:color w:val="383638"/>
          <w:spacing w:val="1"/>
          <w:w w:val="105"/>
          <w:sz w:val="23"/>
        </w:rPr>
        <w:t> </w:t>
      </w:r>
      <w:r>
        <w:rPr>
          <w:color w:val="383638"/>
          <w:w w:val="110"/>
          <w:sz w:val="23"/>
        </w:rPr>
        <w:t>than the United States Supreme Court, it might be appropriate to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05"/>
          <w:position w:val="-6"/>
          <w:sz w:val="23"/>
        </w:rPr>
        <w:t>P</w:t>
      </w:r>
      <w:r>
        <w:rPr>
          <w:color w:val="383638"/>
          <w:w w:val="105"/>
          <w:sz w:val="23"/>
        </w:rPr>
        <w:t>oint</w:t>
      </w:r>
      <w:r>
        <w:rPr>
          <w:color w:val="383638"/>
          <w:spacing w:val="31"/>
          <w:w w:val="105"/>
          <w:sz w:val="23"/>
        </w:rPr>
        <w:t> </w:t>
      </w:r>
      <w:r>
        <w:rPr>
          <w:color w:val="383638"/>
          <w:w w:val="105"/>
          <w:sz w:val="23"/>
        </w:rPr>
        <w:t>out</w:t>
      </w:r>
      <w:r>
        <w:rPr>
          <w:color w:val="383638"/>
          <w:spacing w:val="13"/>
          <w:w w:val="105"/>
          <w:sz w:val="23"/>
        </w:rPr>
        <w:t> </w:t>
      </w:r>
      <w:r>
        <w:rPr>
          <w:color w:val="383638"/>
          <w:w w:val="105"/>
          <w:sz w:val="23"/>
        </w:rPr>
        <w:t>that</w:t>
      </w:r>
      <w:r>
        <w:rPr>
          <w:color w:val="383638"/>
          <w:spacing w:val="19"/>
          <w:w w:val="105"/>
          <w:sz w:val="23"/>
        </w:rPr>
        <w:t> </w:t>
      </w:r>
      <w:r>
        <w:rPr>
          <w:color w:val="383638"/>
          <w:w w:val="105"/>
          <w:sz w:val="23"/>
        </w:rPr>
        <w:t>sister</w:t>
      </w:r>
      <w:r>
        <w:rPr>
          <w:color w:val="383638"/>
          <w:spacing w:val="10"/>
          <w:w w:val="105"/>
          <w:sz w:val="23"/>
        </w:rPr>
        <w:t> </w:t>
      </w:r>
      <w:r>
        <w:rPr>
          <w:color w:val="383638"/>
          <w:w w:val="105"/>
          <w:sz w:val="23"/>
        </w:rPr>
        <w:t>states</w:t>
      </w:r>
      <w:r>
        <w:rPr>
          <w:color w:val="383638"/>
          <w:spacing w:val="15"/>
          <w:w w:val="105"/>
          <w:sz w:val="23"/>
        </w:rPr>
        <w:t> </w:t>
      </w:r>
      <w:r>
        <w:rPr>
          <w:color w:val="383638"/>
          <w:w w:val="105"/>
          <w:sz w:val="23"/>
        </w:rPr>
        <w:t>or</w:t>
      </w:r>
      <w:r>
        <w:rPr>
          <w:color w:val="383638"/>
          <w:spacing w:val="22"/>
          <w:w w:val="105"/>
          <w:sz w:val="23"/>
        </w:rPr>
        <w:t> </w:t>
      </w:r>
      <w:r>
        <w:rPr>
          <w:color w:val="383638"/>
          <w:w w:val="105"/>
          <w:sz w:val="23"/>
        </w:rPr>
        <w:t>sister</w:t>
      </w:r>
      <w:r>
        <w:rPr>
          <w:color w:val="383638"/>
          <w:spacing w:val="14"/>
          <w:w w:val="105"/>
          <w:sz w:val="23"/>
        </w:rPr>
        <w:t> </w:t>
      </w:r>
      <w:r>
        <w:rPr>
          <w:color w:val="383638"/>
          <w:w w:val="105"/>
          <w:sz w:val="23"/>
        </w:rPr>
        <w:t>circuits</w:t>
      </w:r>
      <w:r>
        <w:rPr>
          <w:color w:val="383638"/>
          <w:spacing w:val="22"/>
          <w:w w:val="105"/>
          <w:sz w:val="23"/>
        </w:rPr>
        <w:t> </w:t>
      </w:r>
      <w:r>
        <w:rPr>
          <w:color w:val="383638"/>
          <w:w w:val="105"/>
          <w:sz w:val="23"/>
        </w:rPr>
        <w:t>have adopted</w:t>
      </w:r>
      <w:r>
        <w:rPr>
          <w:color w:val="383638"/>
          <w:spacing w:val="16"/>
          <w:w w:val="105"/>
          <w:sz w:val="23"/>
        </w:rPr>
        <w:t> </w:t>
      </w:r>
      <w:r>
        <w:rPr>
          <w:color w:val="383638"/>
          <w:w w:val="105"/>
          <w:sz w:val="23"/>
        </w:rPr>
        <w:t>a</w:t>
      </w:r>
      <w:r>
        <w:rPr>
          <w:color w:val="383638"/>
          <w:spacing w:val="34"/>
          <w:w w:val="105"/>
          <w:sz w:val="23"/>
        </w:rPr>
        <w:t> </w:t>
      </w:r>
      <w:r>
        <w:rPr>
          <w:color w:val="383638"/>
          <w:w w:val="105"/>
          <w:sz w:val="23"/>
        </w:rPr>
        <w:t>particular</w:t>
      </w:r>
    </w:p>
    <w:p>
      <w:pPr>
        <w:pStyle w:val="BodyText"/>
        <w:spacing w:line="205" w:lineRule="exact"/>
        <w:ind w:left="727"/>
        <w:jc w:val="both"/>
      </w:pPr>
      <w:r>
        <w:rPr>
          <w:color w:val="383638"/>
          <w:w w:val="108"/>
        </w:rPr>
        <w:t>rule</w:t>
      </w:r>
      <w:r>
        <w:rPr>
          <w:color w:val="383638"/>
          <w:spacing w:val="-10"/>
        </w:rPr>
        <w:t> </w:t>
      </w:r>
      <w:r>
        <w:rPr>
          <w:color w:val="383638"/>
          <w:w w:val="108"/>
        </w:rPr>
        <w:t>but</w:t>
      </w:r>
      <w:r>
        <w:rPr>
          <w:color w:val="383638"/>
          <w:spacing w:val="16"/>
        </w:rPr>
        <w:t> </w:t>
      </w:r>
      <w:r>
        <w:rPr>
          <w:color w:val="383638"/>
          <w:spacing w:val="-1"/>
          <w:w w:val="121"/>
        </w:rPr>
        <w:t>tha</w:t>
      </w:r>
      <w:r>
        <w:rPr>
          <w:color w:val="383638"/>
          <w:w w:val="121"/>
        </w:rPr>
        <w:t>t</w:t>
      </w:r>
      <w:r>
        <w:rPr>
          <w:color w:val="383638"/>
          <w:spacing w:val="-12"/>
        </w:rPr>
        <w:t> </w:t>
      </w:r>
      <w:r>
        <w:rPr>
          <w:color w:val="383638"/>
          <w:w w:val="112"/>
        </w:rPr>
        <w:t>your</w:t>
      </w:r>
      <w:r>
        <w:rPr>
          <w:color w:val="383638"/>
        </w:rPr>
        <w:t> </w:t>
      </w:r>
      <w:r>
        <w:rPr>
          <w:color w:val="383638"/>
          <w:w w:val="108"/>
        </w:rPr>
        <w:t>part</w:t>
      </w:r>
      <w:r>
        <w:rPr>
          <w:color w:val="383638"/>
          <w:spacing w:val="-64"/>
          <w:w w:val="108"/>
        </w:rPr>
        <w:t>i</w:t>
      </w:r>
      <w:r>
        <w:rPr>
          <w:color w:val="383638"/>
          <w:w w:val="104"/>
          <w:position w:val="14"/>
          <w:sz w:val="15"/>
        </w:rPr>
        <w:t>.</w:t>
      </w:r>
      <w:r>
        <w:rPr>
          <w:color w:val="383638"/>
          <w:spacing w:val="-13"/>
          <w:position w:val="14"/>
          <w:sz w:val="15"/>
        </w:rPr>
        <w:t> </w:t>
      </w:r>
      <w:r>
        <w:rPr>
          <w:color w:val="383638"/>
          <w:w w:val="108"/>
        </w:rPr>
        <w:t>cular</w:t>
      </w:r>
      <w:r>
        <w:rPr>
          <w:color w:val="383638"/>
          <w:spacing w:val="3"/>
        </w:rPr>
        <w:t> </w:t>
      </w:r>
      <w:r>
        <w:rPr>
          <w:color w:val="383638"/>
          <w:spacing w:val="-86"/>
          <w:w w:val="99"/>
        </w:rPr>
        <w:t>J</w:t>
      </w:r>
      <w:r>
        <w:rPr>
          <w:color w:val="383638"/>
          <w:w w:val="104"/>
          <w:position w:val="14"/>
          <w:sz w:val="15"/>
        </w:rPr>
        <w:t>.</w:t>
      </w:r>
      <w:r>
        <w:rPr>
          <w:color w:val="383638"/>
          <w:spacing w:val="8"/>
          <w:position w:val="14"/>
          <w:sz w:val="15"/>
        </w:rPr>
        <w:t> </w:t>
      </w:r>
      <w:r>
        <w:rPr>
          <w:color w:val="383638"/>
          <w:spacing w:val="-1"/>
          <w:w w:val="99"/>
        </w:rPr>
        <w:t>U</w:t>
      </w:r>
      <w:r>
        <w:rPr>
          <w:color w:val="383638"/>
          <w:spacing w:val="-86"/>
          <w:w w:val="99"/>
        </w:rPr>
        <w:t>n</w:t>
      </w:r>
      <w:r>
        <w:rPr>
          <w:color w:val="59595B"/>
          <w:w w:val="104"/>
          <w:position w:val="14"/>
          <w:sz w:val="15"/>
        </w:rPr>
        <w:t>.</w:t>
      </w:r>
      <w:r>
        <w:rPr>
          <w:color w:val="59595B"/>
          <w:spacing w:val="8"/>
          <w:position w:val="14"/>
          <w:sz w:val="15"/>
        </w:rPr>
        <w:t> </w:t>
      </w:r>
      <w:r>
        <w:rPr>
          <w:color w:val="383638"/>
          <w:spacing w:val="-1"/>
          <w:w w:val="99"/>
        </w:rPr>
        <w:t>s</w:t>
      </w:r>
      <w:r>
        <w:rPr>
          <w:color w:val="383638"/>
          <w:spacing w:val="-9"/>
          <w:w w:val="99"/>
        </w:rPr>
        <w:t>d</w:t>
      </w:r>
      <w:r>
        <w:rPr>
          <w:color w:val="59595B"/>
          <w:spacing w:val="-31"/>
          <w:w w:val="104"/>
          <w:position w:val="14"/>
          <w:sz w:val="15"/>
        </w:rPr>
        <w:t>.</w:t>
      </w:r>
      <w:r>
        <w:rPr>
          <w:color w:val="383638"/>
          <w:spacing w:val="-1"/>
          <w:w w:val="99"/>
        </w:rPr>
        <w:t>1c</w:t>
      </w:r>
      <w:r>
        <w:rPr>
          <w:color w:val="383638"/>
          <w:spacing w:val="-38"/>
          <w:w w:val="99"/>
        </w:rPr>
        <w:t>t</w:t>
      </w:r>
      <w:r>
        <w:rPr>
          <w:color w:val="383638"/>
          <w:spacing w:val="-2"/>
          <w:w w:val="104"/>
          <w:position w:val="14"/>
          <w:sz w:val="15"/>
        </w:rPr>
        <w:t>.</w:t>
      </w:r>
      <w:r>
        <w:rPr>
          <w:color w:val="383638"/>
          <w:spacing w:val="-1"/>
          <w:w w:val="99"/>
        </w:rPr>
        <w:t>io</w:t>
      </w:r>
      <w:r>
        <w:rPr>
          <w:color w:val="383638"/>
          <w:w w:val="99"/>
        </w:rPr>
        <w:t>n</w:t>
      </w:r>
      <w:r>
        <w:rPr>
          <w:color w:val="383638"/>
          <w:spacing w:val="17"/>
        </w:rPr>
        <w:t> </w:t>
      </w:r>
      <w:r>
        <w:rPr>
          <w:color w:val="383638"/>
          <w:w w:val="99"/>
        </w:rPr>
        <w:t>has</w:t>
      </w:r>
      <w:r>
        <w:rPr>
          <w:color w:val="383638"/>
        </w:rPr>
        <w:t> </w:t>
      </w:r>
      <w:r>
        <w:rPr>
          <w:color w:val="383638"/>
          <w:spacing w:val="-25"/>
        </w:rPr>
        <w:t> </w:t>
      </w:r>
      <w:r>
        <w:rPr>
          <w:color w:val="383638"/>
          <w:w w:val="99"/>
        </w:rPr>
        <w:t>not</w:t>
      </w:r>
      <w:r>
        <w:rPr>
          <w:color w:val="383638"/>
        </w:rPr>
        <w:t> </w:t>
      </w:r>
      <w:r>
        <w:rPr>
          <w:color w:val="383638"/>
          <w:spacing w:val="-2"/>
        </w:rPr>
        <w:t> </w:t>
      </w:r>
      <w:r>
        <w:rPr>
          <w:color w:val="383638"/>
          <w:w w:val="99"/>
        </w:rPr>
        <w:t>yet</w:t>
      </w:r>
      <w:r>
        <w:rPr>
          <w:color w:val="383638"/>
          <w:spacing w:val="23"/>
        </w:rPr>
        <w:t> </w:t>
      </w:r>
      <w:r>
        <w:rPr>
          <w:color w:val="383638"/>
          <w:w w:val="118"/>
        </w:rPr>
        <w:t>done</w:t>
      </w:r>
      <w:r>
        <w:rPr>
          <w:color w:val="383638"/>
          <w:spacing w:val="-23"/>
        </w:rPr>
        <w:t> </w:t>
      </w:r>
      <w:r>
        <w:rPr>
          <w:color w:val="383638"/>
          <w:spacing w:val="-1"/>
          <w:w w:val="118"/>
        </w:rPr>
        <w:t>so.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21"/>
        </w:rPr>
      </w:pPr>
    </w:p>
    <w:p>
      <w:pPr>
        <w:spacing w:line="201" w:lineRule="auto" w:before="0"/>
        <w:ind w:left="176" w:right="0" w:hanging="183"/>
        <w:jc w:val="left"/>
        <w:rPr>
          <w:sz w:val="15"/>
        </w:rPr>
      </w:pPr>
      <w:r>
        <w:rPr>
          <w:b/>
          <w:color w:val="383638"/>
          <w:w w:val="105"/>
          <w:sz w:val="15"/>
        </w:rPr>
        <w:t>1</w:t>
      </w:r>
      <w:r>
        <w:rPr>
          <w:b/>
          <w:color w:val="383638"/>
          <w:spacing w:val="24"/>
          <w:w w:val="105"/>
          <w:sz w:val="15"/>
        </w:rPr>
        <w:t> </w:t>
      </w:r>
      <w:r>
        <w:rPr>
          <w:color w:val="383638"/>
          <w:w w:val="105"/>
          <w:sz w:val="15"/>
        </w:rPr>
        <w:t>This</w:t>
      </w:r>
      <w:r>
        <w:rPr>
          <w:color w:val="383638"/>
          <w:spacing w:val="-16"/>
          <w:w w:val="105"/>
          <w:sz w:val="15"/>
        </w:rPr>
        <w:t> </w:t>
      </w:r>
      <w:r>
        <w:rPr>
          <w:color w:val="383638"/>
          <w:w w:val="105"/>
          <w:sz w:val="15"/>
        </w:rPr>
        <w:t>sentence</w:t>
      </w:r>
      <w:r>
        <w:rPr>
          <w:color w:val="383638"/>
          <w:spacing w:val="-3"/>
          <w:w w:val="105"/>
          <w:sz w:val="15"/>
        </w:rPr>
        <w:t> </w:t>
      </w:r>
      <w:r>
        <w:rPr>
          <w:color w:val="383638"/>
          <w:w w:val="105"/>
          <w:sz w:val="15"/>
        </w:rPr>
        <w:t>tells</w:t>
      </w:r>
      <w:r>
        <w:rPr>
          <w:color w:val="383638"/>
          <w:spacing w:val="-37"/>
          <w:w w:val="105"/>
          <w:sz w:val="15"/>
        </w:rPr>
        <w:t> </w:t>
      </w:r>
      <w:r>
        <w:rPr>
          <w:color w:val="383638"/>
          <w:w w:val="110"/>
          <w:sz w:val="15"/>
        </w:rPr>
        <w:t>theco</w:t>
      </w:r>
      <w:r>
        <w:rPr>
          <w:color w:val="59595B"/>
          <w:w w:val="110"/>
          <w:sz w:val="15"/>
        </w:rPr>
        <w:t>u</w:t>
      </w:r>
      <w:r>
        <w:rPr>
          <w:color w:val="383638"/>
          <w:w w:val="110"/>
          <w:sz w:val="15"/>
        </w:rPr>
        <w:t>rt</w:t>
      </w:r>
      <w:r>
        <w:rPr>
          <w:color w:val="383638"/>
          <w:spacing w:val="14"/>
          <w:w w:val="110"/>
          <w:sz w:val="15"/>
        </w:rPr>
        <w:t> </w:t>
      </w:r>
      <w:r>
        <w:rPr>
          <w:color w:val="383638"/>
          <w:w w:val="110"/>
          <w:sz w:val="15"/>
        </w:rPr>
        <w:t>the</w:t>
      </w:r>
    </w:p>
    <w:p>
      <w:pPr>
        <w:spacing w:line="89" w:lineRule="exact" w:before="44"/>
        <w:ind w:left="173" w:right="0" w:firstLine="0"/>
        <w:jc w:val="left"/>
        <w:rPr>
          <w:sz w:val="15"/>
        </w:rPr>
      </w:pPr>
      <w:r>
        <w:rPr>
          <w:color w:val="383638"/>
          <w:spacing w:val="-1"/>
          <w:w w:val="115"/>
          <w:sz w:val="15"/>
        </w:rPr>
        <w:t>quest</w:t>
      </w:r>
      <w:r>
        <w:rPr>
          <w:color w:val="59595B"/>
          <w:spacing w:val="-1"/>
          <w:w w:val="115"/>
          <w:sz w:val="15"/>
        </w:rPr>
        <w:t>i</w:t>
      </w:r>
      <w:r>
        <w:rPr>
          <w:color w:val="383638"/>
          <w:spacing w:val="-1"/>
          <w:w w:val="115"/>
          <w:sz w:val="15"/>
        </w:rPr>
        <w:t>on</w:t>
      </w:r>
      <w:r>
        <w:rPr>
          <w:color w:val="383638"/>
          <w:spacing w:val="-3"/>
          <w:w w:val="115"/>
          <w:sz w:val="15"/>
        </w:rPr>
        <w:t> </w:t>
      </w:r>
      <w:r>
        <w:rPr>
          <w:color w:val="383638"/>
          <w:w w:val="115"/>
          <w:sz w:val="15"/>
        </w:rPr>
        <w:t>th•t</w:t>
      </w:r>
      <w:r>
        <w:rPr>
          <w:color w:val="383638"/>
          <w:spacing w:val="-10"/>
          <w:w w:val="115"/>
          <w:sz w:val="15"/>
        </w:rPr>
        <w:t> </w:t>
      </w:r>
      <w:r>
        <w:rPr>
          <w:color w:val="383638"/>
          <w:w w:val="115"/>
          <w:sz w:val="15"/>
        </w:rPr>
        <w:t>the</w:t>
      </w:r>
    </w:p>
    <w:p>
      <w:pPr>
        <w:spacing w:after="0" w:line="89" w:lineRule="exact"/>
        <w:jc w:val="left"/>
        <w:rPr>
          <w:sz w:val="15"/>
        </w:rPr>
        <w:sectPr>
          <w:type w:val="continuous"/>
          <w:pgSz w:w="9710" w:h="13980"/>
          <w:pgMar w:header="486" w:footer="0" w:top="340" w:bottom="280" w:left="400" w:right="60"/>
          <w:cols w:num="2" w:equalWidth="0">
            <w:col w:w="7611" w:space="40"/>
            <w:col w:w="1599"/>
          </w:cols>
        </w:sectPr>
      </w:pPr>
    </w:p>
    <w:p>
      <w:pPr>
        <w:pStyle w:val="BodyText"/>
        <w:tabs>
          <w:tab w:pos="7823" w:val="left" w:leader="none"/>
        </w:tabs>
        <w:spacing w:line="232" w:lineRule="auto"/>
        <w:ind w:left="103" w:right="212" w:firstLine="351"/>
        <w:rPr>
          <w:sz w:val="15"/>
        </w:rPr>
      </w:pPr>
      <w:r>
        <w:rPr>
          <w:color w:val="383638"/>
          <w:spacing w:val="-1"/>
          <w:w w:val="110"/>
        </w:rPr>
        <w:t>Be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honest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28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legal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backstory.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example,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if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there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-21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split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the</w:t>
        <w:tab/>
      </w:r>
      <w:r>
        <w:rPr>
          <w:color w:val="383638"/>
          <w:w w:val="105"/>
          <w:sz w:val="15"/>
        </w:rPr>
        <w:t>document will</w:t>
      </w:r>
      <w:r>
        <w:rPr>
          <w:color w:val="383638"/>
          <w:spacing w:val="1"/>
          <w:w w:val="105"/>
          <w:sz w:val="15"/>
        </w:rPr>
        <w:t> </w:t>
      </w:r>
      <w:r>
        <w:rPr>
          <w:color w:val="383638"/>
          <w:w w:val="110"/>
        </w:rPr>
        <w:t>circuits,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might be tempting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point out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only that certain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other courts  </w:t>
      </w:r>
      <w:r>
        <w:rPr>
          <w:color w:val="383638"/>
          <w:w w:val="110"/>
          <w:sz w:val="15"/>
        </w:rPr>
        <w:t>u</w:t>
      </w:r>
      <w:r>
        <w:rPr>
          <w:color w:val="59595B"/>
          <w:w w:val="110"/>
          <w:sz w:val="15"/>
        </w:rPr>
        <w:t>l</w:t>
      </w:r>
      <w:r>
        <w:rPr>
          <w:color w:val="383638"/>
          <w:w w:val="110"/>
          <w:sz w:val="15"/>
        </w:rPr>
        <w:t>tim•tely •nswec-.</w:t>
      </w:r>
      <w:r>
        <w:rPr>
          <w:color w:val="383638"/>
          <w:spacing w:val="-39"/>
          <w:w w:val="110"/>
          <w:sz w:val="15"/>
        </w:rPr>
        <w:t> </w:t>
      </w:r>
      <w:r>
        <w:rPr>
          <w:color w:val="383638"/>
          <w:w w:val="105"/>
        </w:rPr>
        <w:t>have decided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case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same way you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want the court to decide this one.</w:t>
      </w:r>
      <w:r>
        <w:rPr>
          <w:rFonts w:ascii="Arial" w:hAnsi="Arial"/>
          <w:b/>
          <w:color w:val="383638"/>
          <w:w w:val="105"/>
          <w:sz w:val="15"/>
        </w:rPr>
        <w:t>2</w:t>
      </w:r>
      <w:r>
        <w:rPr>
          <w:rFonts w:ascii="Arial" w:hAnsi="Arial"/>
          <w:b/>
          <w:color w:val="383638"/>
          <w:spacing w:val="1"/>
          <w:w w:val="105"/>
          <w:sz w:val="15"/>
        </w:rPr>
        <w:t> </w:t>
      </w:r>
      <w:r>
        <w:rPr>
          <w:rFonts w:ascii="Arial" w:hAnsi="Arial"/>
          <w:color w:val="383638"/>
          <w:w w:val="105"/>
          <w:sz w:val="15"/>
        </w:rPr>
        <w:t>Hereistt-.elegal</w:t>
      </w:r>
      <w:r>
        <w:rPr>
          <w:b/>
          <w:color w:val="383638"/>
          <w:w w:val="105"/>
          <w:sz w:val="16"/>
        </w:rPr>
        <w:t>ru1e</w:t>
      </w:r>
      <w:r>
        <w:rPr>
          <w:b/>
          <w:color w:val="383638"/>
          <w:spacing w:val="-39"/>
          <w:w w:val="105"/>
          <w:sz w:val="16"/>
        </w:rPr>
        <w:t> </w:t>
      </w:r>
      <w:r>
        <w:rPr>
          <w:color w:val="383638"/>
          <w:spacing w:val="-1"/>
          <w:w w:val="110"/>
        </w:rPr>
        <w:t>Your credibility would suffer</w:t>
      </w:r>
      <w:r>
        <w:rPr>
          <w:color w:val="59595B"/>
          <w:spacing w:val="-1"/>
          <w:w w:val="110"/>
        </w:rPr>
        <w:t>,</w:t>
      </w:r>
      <w:r>
        <w:rPr>
          <w:color w:val="59595B"/>
          <w:w w:val="110"/>
        </w:rPr>
        <w:t> </w:t>
      </w:r>
      <w:r>
        <w:rPr>
          <w:color w:val="383638"/>
          <w:spacing w:val="-1"/>
          <w:w w:val="110"/>
        </w:rPr>
        <w:t>however,</w:t>
      </w:r>
      <w:r>
        <w:rPr>
          <w:color w:val="383638"/>
          <w:w w:val="110"/>
        </w:rPr>
        <w:t> when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court reads your oppo-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  <w:sz w:val="15"/>
        </w:rPr>
        <w:t>at the root of </w:t>
      </w:r>
      <w:r>
        <w:rPr>
          <w:b/>
          <w:color w:val="383638"/>
          <w:w w:val="110"/>
          <w:position w:val="6"/>
          <w:sz w:val="15"/>
        </w:rPr>
        <w:t>th</w:t>
      </w:r>
      <w:r>
        <w:rPr>
          <w:rFonts w:ascii="Arial" w:hAnsi="Arial"/>
          <w:b/>
          <w:color w:val="383638"/>
          <w:w w:val="110"/>
          <w:sz w:val="14"/>
        </w:rPr>
        <w:t>e</w:t>
      </w:r>
      <w:r>
        <w:rPr>
          <w:rFonts w:ascii="Arial" w:hAnsi="Arial"/>
          <w:b/>
          <w:color w:val="383638"/>
          <w:spacing w:val="1"/>
          <w:w w:val="110"/>
          <w:sz w:val="14"/>
        </w:rPr>
        <w:t> </w:t>
      </w:r>
      <w:r>
        <w:rPr>
          <w:color w:val="383638"/>
          <w:w w:val="110"/>
        </w:rPr>
        <w:t>nent's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brief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50"/>
          <w:w w:val="110"/>
        </w:rPr>
        <w:t> </w:t>
      </w:r>
      <w:r>
        <w:rPr>
          <w:color w:val="383638"/>
          <w:w w:val="110"/>
        </w:rPr>
        <w:t>discovers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9"/>
          <w:w w:val="110"/>
        </w:rPr>
        <w:t> </w:t>
      </w:r>
      <w:r>
        <w:rPr>
          <w:color w:val="383638"/>
          <w:w w:val="110"/>
        </w:rPr>
        <w:t>truth.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contrast,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if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41"/>
          <w:w w:val="110"/>
        </w:rPr>
        <w:t> </w:t>
      </w:r>
      <w:r>
        <w:rPr>
          <w:color w:val="383638"/>
          <w:w w:val="110"/>
        </w:rPr>
        <w:t>begin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by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laying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out</w:t>
      </w:r>
      <w:r>
        <w:rPr>
          <w:color w:val="383638"/>
          <w:spacing w:val="44"/>
          <w:w w:val="110"/>
        </w:rPr>
        <w:t> </w:t>
      </w:r>
      <w:r>
        <w:rPr>
          <w:color w:val="383638"/>
          <w:w w:val="110"/>
          <w:sz w:val="15"/>
        </w:rPr>
        <w:t>issue</w:t>
      </w:r>
      <w:r>
        <w:rPr>
          <w:color w:val="59595B"/>
          <w:w w:val="110"/>
          <w:sz w:val="15"/>
        </w:rPr>
        <w:t>.</w:t>
      </w:r>
    </w:p>
    <w:p>
      <w:pPr>
        <w:pStyle w:val="BodyText"/>
        <w:spacing w:line="207" w:lineRule="exact"/>
        <w:ind w:left="128"/>
        <w:rPr>
          <w:sz w:val="15"/>
        </w:rPr>
      </w:pPr>
      <w:r>
        <w:rPr>
          <w:color w:val="383638"/>
          <w:w w:val="110"/>
        </w:rPr>
        <w:t>the</w:t>
      </w:r>
      <w:r>
        <w:rPr>
          <w:color w:val="383638"/>
          <w:spacing w:val="-23"/>
          <w:w w:val="110"/>
        </w:rPr>
        <w:t> </w:t>
      </w:r>
      <w:r>
        <w:rPr>
          <w:color w:val="383638"/>
          <w:w w:val="110"/>
        </w:rPr>
        <w:t>complete backstory,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will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do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much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help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court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burnish</w:t>
      </w:r>
      <w:r>
        <w:rPr>
          <w:color w:val="383638"/>
          <w:spacing w:val="-15"/>
          <w:w w:val="110"/>
        </w:rPr>
        <w:t> </w:t>
      </w:r>
      <w:r>
        <w:rPr>
          <w:rFonts w:ascii="Arial"/>
          <w:b/>
          <w:color w:val="383638"/>
          <w:w w:val="110"/>
          <w:sz w:val="15"/>
        </w:rPr>
        <w:t>3</w:t>
      </w:r>
      <w:r>
        <w:rPr>
          <w:rFonts w:ascii="Arial"/>
          <w:b/>
          <w:color w:val="383638"/>
          <w:spacing w:val="28"/>
          <w:w w:val="110"/>
          <w:sz w:val="15"/>
        </w:rPr>
        <w:t> </w:t>
      </w:r>
      <w:r>
        <w:rPr>
          <w:color w:val="383638"/>
          <w:w w:val="110"/>
          <w:sz w:val="15"/>
        </w:rPr>
        <w:t>This</w:t>
      </w:r>
      <w:r>
        <w:rPr>
          <w:color w:val="383638"/>
          <w:spacing w:val="-11"/>
          <w:w w:val="110"/>
          <w:sz w:val="15"/>
        </w:rPr>
        <w:t> </w:t>
      </w:r>
      <w:r>
        <w:rPr>
          <w:color w:val="383638"/>
          <w:w w:val="110"/>
          <w:sz w:val="15"/>
        </w:rPr>
        <w:t>sentence</w:t>
      </w:r>
    </w:p>
    <w:p>
      <w:pPr>
        <w:spacing w:after="0" w:line="207" w:lineRule="exact"/>
        <w:rPr>
          <w:sz w:val="15"/>
        </w:rPr>
        <w:sectPr>
          <w:type w:val="continuous"/>
          <w:pgSz w:w="9710" w:h="13980"/>
          <w:pgMar w:header="486" w:footer="0" w:top="340" w:bottom="280" w:left="400" w:right="60"/>
        </w:sectPr>
      </w:pPr>
    </w:p>
    <w:p>
      <w:pPr>
        <w:pStyle w:val="BodyText"/>
        <w:spacing w:line="250" w:lineRule="exact" w:before="62"/>
        <w:ind w:left="119"/>
      </w:pPr>
      <w:r>
        <w:rPr>
          <w:color w:val="383638"/>
          <w:w w:val="105"/>
        </w:rPr>
        <w:t>your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own </w:t>
      </w:r>
      <w:r>
        <w:rPr>
          <w:color w:val="383638"/>
          <w:spacing w:val="9"/>
          <w:w w:val="105"/>
        </w:rPr>
        <w:t> </w:t>
      </w:r>
      <w:r>
        <w:rPr>
          <w:color w:val="383638"/>
          <w:w w:val="105"/>
        </w:rPr>
        <w:t>image</w:t>
      </w:r>
      <w:r>
        <w:rPr>
          <w:color w:val="383638"/>
          <w:spacing w:val="8"/>
          <w:w w:val="105"/>
        </w:rPr>
        <w:t> </w:t>
      </w:r>
      <w:r>
        <w:rPr>
          <w:color w:val="383638"/>
          <w:w w:val="105"/>
        </w:rPr>
        <w:t>as</w:t>
      </w:r>
      <w:r>
        <w:rPr>
          <w:color w:val="383638"/>
          <w:spacing w:val="14"/>
          <w:w w:val="105"/>
        </w:rPr>
        <w:t> </w:t>
      </w:r>
      <w:r>
        <w:rPr>
          <w:color w:val="383638"/>
          <w:w w:val="105"/>
        </w:rPr>
        <w:t>an</w:t>
      </w:r>
      <w:r>
        <w:rPr>
          <w:color w:val="383638"/>
          <w:spacing w:val="59"/>
          <w:w w:val="105"/>
        </w:rPr>
        <w:t> </w:t>
      </w:r>
      <w:r>
        <w:rPr>
          <w:color w:val="383638"/>
          <w:w w:val="105"/>
        </w:rPr>
        <w:t>honest</w:t>
      </w:r>
      <w:r>
        <w:rPr>
          <w:color w:val="383638"/>
          <w:spacing w:val="18"/>
          <w:w w:val="105"/>
        </w:rPr>
        <w:t> </w:t>
      </w:r>
      <w:r>
        <w:rPr>
          <w:color w:val="383638"/>
          <w:w w:val="105"/>
        </w:rPr>
        <w:t>dealer.</w:t>
      </w:r>
    </w:p>
    <w:p>
      <w:pPr>
        <w:spacing w:line="201" w:lineRule="auto" w:before="14"/>
        <w:ind w:left="126" w:right="313" w:hanging="7"/>
        <w:jc w:val="left"/>
        <w:rPr>
          <w:sz w:val="15"/>
        </w:rPr>
      </w:pPr>
      <w:r>
        <w:rPr/>
        <w:br w:type="column"/>
      </w:r>
      <w:r>
        <w:rPr>
          <w:color w:val="383638"/>
          <w:spacing w:val="-1"/>
          <w:w w:val="105"/>
          <w:sz w:val="15"/>
        </w:rPr>
        <w:t>tells </w:t>
      </w:r>
      <w:r>
        <w:rPr>
          <w:color w:val="383638"/>
          <w:w w:val="105"/>
          <w:sz w:val="15"/>
        </w:rPr>
        <w:t>how</w:t>
      </w:r>
      <w:r>
        <w:rPr>
          <w:color w:val="383638"/>
          <w:spacing w:val="1"/>
          <w:w w:val="105"/>
          <w:sz w:val="15"/>
        </w:rPr>
        <w:t> </w:t>
      </w:r>
      <w:r>
        <w:rPr>
          <w:color w:val="383638"/>
          <w:w w:val="105"/>
          <w:sz w:val="15"/>
        </w:rPr>
        <w:t>the</w:t>
      </w:r>
      <w:r>
        <w:rPr>
          <w:color w:val="383638"/>
          <w:spacing w:val="1"/>
          <w:w w:val="105"/>
          <w:sz w:val="15"/>
        </w:rPr>
        <w:t> </w:t>
      </w:r>
      <w:r>
        <w:rPr>
          <w:color w:val="383638"/>
          <w:sz w:val="15"/>
        </w:rPr>
        <w:t>legal</w:t>
      </w:r>
      <w:r>
        <w:rPr>
          <w:color w:val="383638"/>
          <w:spacing w:val="4"/>
          <w:sz w:val="15"/>
        </w:rPr>
        <w:t> </w:t>
      </w:r>
      <w:r>
        <w:rPr>
          <w:color w:val="383638"/>
          <w:sz w:val="15"/>
        </w:rPr>
        <w:t>issue</w:t>
      </w:r>
      <w:r>
        <w:rPr>
          <w:color w:val="383638"/>
          <w:spacing w:val="-9"/>
          <w:sz w:val="15"/>
        </w:rPr>
        <w:t> </w:t>
      </w:r>
      <w:r>
        <w:rPr>
          <w:color w:val="59595B"/>
          <w:sz w:val="15"/>
        </w:rPr>
        <w:t>i</w:t>
      </w:r>
      <w:r>
        <w:rPr>
          <w:color w:val="383638"/>
          <w:sz w:val="15"/>
        </w:rPr>
        <w:t>n</w:t>
      </w:r>
      <w:r>
        <w:rPr>
          <w:color w:val="383638"/>
          <w:spacing w:val="21"/>
          <w:sz w:val="15"/>
        </w:rPr>
        <w:t> </w:t>
      </w:r>
      <w:r>
        <w:rPr>
          <w:color w:val="383638"/>
          <w:sz w:val="15"/>
        </w:rPr>
        <w:t>the</w:t>
      </w:r>
    </w:p>
    <w:p>
      <w:pPr>
        <w:spacing w:after="0" w:line="201" w:lineRule="auto"/>
        <w:jc w:val="left"/>
        <w:rPr>
          <w:sz w:val="15"/>
        </w:rPr>
        <w:sectPr>
          <w:type w:val="continuous"/>
          <w:pgSz w:w="9710" w:h="13980"/>
          <w:pgMar w:header="486" w:footer="0" w:top="340" w:bottom="280" w:left="400" w:right="60"/>
          <w:cols w:num="2" w:equalWidth="0">
            <w:col w:w="3871" w:space="3875"/>
            <w:col w:w="1504"/>
          </w:cols>
        </w:sectPr>
      </w:pPr>
    </w:p>
    <w:p>
      <w:pPr>
        <w:pStyle w:val="BodyText"/>
        <w:tabs>
          <w:tab w:pos="7875" w:val="left" w:leader="none"/>
        </w:tabs>
        <w:spacing w:line="235" w:lineRule="exact"/>
        <w:ind w:left="471"/>
        <w:rPr>
          <w:sz w:val="15"/>
        </w:rPr>
      </w:pPr>
      <w:r>
        <w:rPr>
          <w:color w:val="383638"/>
          <w:w w:val="110"/>
        </w:rPr>
        <w:t>Note</w:t>
      </w:r>
      <w:r>
        <w:rPr>
          <w:color w:val="383638"/>
          <w:spacing w:val="46"/>
          <w:w w:val="110"/>
        </w:rPr>
        <w:t> </w:t>
      </w:r>
      <w:r>
        <w:rPr>
          <w:color w:val="383638"/>
          <w:w w:val="110"/>
        </w:rPr>
        <w:t>how 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this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writer</w:t>
      </w:r>
      <w:r>
        <w:rPr>
          <w:color w:val="383638"/>
          <w:spacing w:val="37"/>
          <w:w w:val="110"/>
        </w:rPr>
        <w:t> </w:t>
      </w:r>
      <w:r>
        <w:rPr>
          <w:color w:val="383638"/>
          <w:w w:val="110"/>
        </w:rPr>
        <w:t>accurately</w:t>
      </w:r>
      <w:r>
        <w:rPr>
          <w:color w:val="383638"/>
          <w:spacing w:val="55"/>
          <w:w w:val="110"/>
        </w:rPr>
        <w:t> </w:t>
      </w:r>
      <w:r>
        <w:rPr>
          <w:color w:val="383638"/>
          <w:w w:val="110"/>
        </w:rPr>
        <w:t>identifies</w:t>
      </w:r>
      <w:r>
        <w:rPr>
          <w:color w:val="383638"/>
          <w:spacing w:val="34"/>
          <w:w w:val="110"/>
        </w:rPr>
        <w:t> </w:t>
      </w:r>
      <w:r>
        <w:rPr>
          <w:color w:val="383638"/>
          <w:w w:val="110"/>
        </w:rPr>
        <w:t>contrasting</w:t>
      </w:r>
      <w:r>
        <w:rPr>
          <w:color w:val="383638"/>
          <w:spacing w:val="42"/>
          <w:w w:val="110"/>
        </w:rPr>
        <w:t> </w:t>
      </w:r>
      <w:r>
        <w:rPr>
          <w:color w:val="383638"/>
          <w:w w:val="110"/>
        </w:rPr>
        <w:t>authorities</w:t>
      </w:r>
      <w:r>
        <w:rPr>
          <w:color w:val="383638"/>
          <w:spacing w:val="45"/>
          <w:w w:val="110"/>
        </w:rPr>
        <w:t> </w:t>
      </w:r>
      <w:r>
        <w:rPr>
          <w:color w:val="383638"/>
          <w:w w:val="110"/>
        </w:rPr>
        <w:t>in</w:t>
        <w:tab/>
      </w:r>
      <w:r>
        <w:rPr>
          <w:color w:val="383638"/>
          <w:spacing w:val="-1"/>
          <w:w w:val="110"/>
          <w:sz w:val="15"/>
        </w:rPr>
        <w:t>me</w:t>
      </w:r>
      <w:r>
        <w:rPr>
          <w:color w:val="383638"/>
          <w:spacing w:val="27"/>
          <w:w w:val="110"/>
          <w:sz w:val="15"/>
        </w:rPr>
        <w:t> </w:t>
      </w:r>
      <w:r>
        <w:rPr>
          <w:color w:val="383638"/>
          <w:w w:val="110"/>
          <w:sz w:val="15"/>
        </w:rPr>
        <w:t>relates</w:t>
      </w:r>
      <w:r>
        <w:rPr>
          <w:color w:val="383638"/>
          <w:spacing w:val="-14"/>
          <w:w w:val="110"/>
          <w:sz w:val="15"/>
        </w:rPr>
        <w:t> </w:t>
      </w:r>
      <w:r>
        <w:rPr>
          <w:color w:val="383638"/>
          <w:w w:val="110"/>
          <w:sz w:val="15"/>
        </w:rPr>
        <w:t>to</w:t>
      </w:r>
    </w:p>
    <w:p>
      <w:pPr>
        <w:spacing w:after="0" w:line="235" w:lineRule="exact"/>
        <w:rPr>
          <w:sz w:val="15"/>
        </w:rPr>
        <w:sectPr>
          <w:type w:val="continuous"/>
          <w:pgSz w:w="9710" w:h="13980"/>
          <w:pgMar w:header="486" w:footer="0" w:top="340" w:bottom="280" w:left="400" w:right="60"/>
        </w:sectPr>
      </w:pPr>
    </w:p>
    <w:p>
      <w:pPr>
        <w:pStyle w:val="BodyText"/>
        <w:spacing w:before="44"/>
        <w:ind w:left="128"/>
      </w:pPr>
      <w:r>
        <w:rPr>
          <w:color w:val="383638"/>
          <w:w w:val="105"/>
        </w:rPr>
        <w:t>tht</w:t>
      </w:r>
      <w:r>
        <w:rPr>
          <w:color w:val="383638"/>
          <w:w w:val="105"/>
          <w:vertAlign w:val="superscript"/>
        </w:rPr>
        <w:t>·</w:t>
      </w:r>
      <w:r>
        <w:rPr>
          <w:color w:val="383638"/>
          <w:w w:val="105"/>
          <w:vertAlign w:val="baseline"/>
        </w:rPr>
        <w:t>s</w:t>
      </w:r>
      <w:r>
        <w:rPr>
          <w:color w:val="383638"/>
          <w:spacing w:val="-2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legal</w:t>
      </w:r>
      <w:r>
        <w:rPr>
          <w:color w:val="383638"/>
          <w:spacing w:val="3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backstory:</w:t>
      </w:r>
    </w:p>
    <w:p>
      <w:pPr>
        <w:spacing w:before="74"/>
        <w:ind w:left="130" w:right="0" w:firstLine="0"/>
        <w:jc w:val="left"/>
        <w:rPr>
          <w:sz w:val="15"/>
        </w:rPr>
      </w:pPr>
      <w:r>
        <w:rPr>
          <w:i/>
          <w:color w:val="59595B"/>
          <w:sz w:val="28"/>
          <w:u w:val="thick" w:color="59595B"/>
        </w:rPr>
        <w:t>..b.</w:t>
      </w:r>
      <w:r>
        <w:rPr>
          <w:i/>
          <w:color w:val="59595B"/>
          <w:sz w:val="28"/>
        </w:rPr>
        <w:t>,</w:t>
      </w:r>
      <w:r>
        <w:rPr>
          <w:color w:val="383638"/>
          <w:w w:val="105"/>
          <w:sz w:val="15"/>
        </w:rPr>
        <w:t>G</w:t>
      </w:r>
      <w:r>
        <w:rPr>
          <w:color w:val="59595B"/>
          <w:w w:val="105"/>
          <w:sz w:val="15"/>
        </w:rPr>
        <w:t>OO</w:t>
      </w:r>
      <w:r>
        <w:rPr>
          <w:color w:val="383638"/>
          <w:w w:val="105"/>
          <w:sz w:val="15"/>
        </w:rPr>
        <w:t>D</w:t>
      </w:r>
      <w:r>
        <w:rPr>
          <w:color w:val="383638"/>
          <w:spacing w:val="-3"/>
          <w:w w:val="105"/>
          <w:sz w:val="15"/>
        </w:rPr>
        <w:t> </w:t>
      </w:r>
      <w:r>
        <w:rPr>
          <w:color w:val="59595B"/>
          <w:w w:val="105"/>
          <w:sz w:val="15"/>
        </w:rPr>
        <w:t>[X</w:t>
      </w:r>
      <w:r>
        <w:rPr>
          <w:color w:val="383638"/>
          <w:w w:val="105"/>
          <w:sz w:val="15"/>
        </w:rPr>
        <w:t>A</w:t>
      </w:r>
      <w:r>
        <w:rPr>
          <w:color w:val="59595B"/>
          <w:w w:val="105"/>
          <w:sz w:val="15"/>
        </w:rPr>
        <w:t>Ml'</w:t>
      </w:r>
      <w:r>
        <w:rPr>
          <w:color w:val="383638"/>
          <w:w w:val="105"/>
          <w:sz w:val="15"/>
        </w:rPr>
        <w:t>U</w:t>
      </w:r>
    </w:p>
    <w:p>
      <w:pPr>
        <w:spacing w:line="230" w:lineRule="auto" w:before="31"/>
        <w:ind w:left="470" w:right="38" w:firstLine="0"/>
        <w:jc w:val="both"/>
        <w:rPr>
          <w:sz w:val="23"/>
        </w:rPr>
      </w:pPr>
      <w:r>
        <w:rPr>
          <w:color w:val="383638"/>
          <w:w w:val="120"/>
          <w:sz w:val="21"/>
        </w:rPr>
        <w:t>Gary Kirkby cannot be found individually liable as an employer</w:t>
      </w:r>
      <w:r>
        <w:rPr>
          <w:color w:val="383638"/>
          <w:spacing w:val="1"/>
          <w:w w:val="120"/>
          <w:sz w:val="21"/>
        </w:rPr>
        <w:t> </w:t>
      </w:r>
      <w:r>
        <w:rPr>
          <w:color w:val="383638"/>
          <w:w w:val="115"/>
          <w:sz w:val="21"/>
        </w:rPr>
        <w:t>under Title </w:t>
      </w:r>
      <w:r>
        <w:rPr>
          <w:b/>
          <w:color w:val="383638"/>
          <w:w w:val="115"/>
          <w:sz w:val="19"/>
        </w:rPr>
        <w:t>VII.</w:t>
      </w:r>
      <w:r>
        <w:rPr>
          <w:b/>
          <w:color w:val="383638"/>
          <w:spacing w:val="1"/>
          <w:w w:val="115"/>
          <w:sz w:val="19"/>
        </w:rPr>
        <w:t> </w:t>
      </w:r>
      <w:r>
        <w:rPr>
          <w:b/>
          <w:color w:val="383638"/>
          <w:w w:val="115"/>
          <w:sz w:val="15"/>
        </w:rPr>
        <w:t>1  </w:t>
      </w:r>
      <w:r>
        <w:rPr>
          <w:color w:val="383638"/>
          <w:w w:val="115"/>
          <w:sz w:val="21"/>
        </w:rPr>
        <w:t>Title VII defines an employer as "a person engaged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20"/>
          <w:sz w:val="21"/>
        </w:rPr>
        <w:t>in an industry affecting commerce who has fifteen or more employ­</w:t>
      </w:r>
      <w:r>
        <w:rPr>
          <w:color w:val="383638"/>
          <w:spacing w:val="1"/>
          <w:w w:val="120"/>
          <w:sz w:val="21"/>
        </w:rPr>
        <w:t> </w:t>
      </w:r>
      <w:r>
        <w:rPr>
          <w:color w:val="383638"/>
          <w:w w:val="115"/>
          <w:sz w:val="21"/>
        </w:rPr>
        <w:t>ees...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and any agent of such a person." 42 U.S.C. §2000e(b) (2001). </w:t>
      </w:r>
      <w:r>
        <w:rPr>
          <w:rFonts w:ascii="Arial" w:hAnsi="Arial"/>
          <w:color w:val="383638"/>
          <w:w w:val="115"/>
          <w:sz w:val="16"/>
        </w:rPr>
        <w:t>2</w:t>
      </w:r>
      <w:r>
        <w:rPr>
          <w:rFonts w:ascii="Arial" w:hAnsi="Arial"/>
          <w:color w:val="383638"/>
          <w:spacing w:val="1"/>
          <w:w w:val="115"/>
          <w:sz w:val="16"/>
        </w:rPr>
        <w:t> </w:t>
      </w:r>
      <w:r>
        <w:rPr>
          <w:color w:val="383638"/>
          <w:w w:val="115"/>
          <w:sz w:val="21"/>
        </w:rPr>
        <w:t>Neither the Supreme Court nor the First Circuit has addressed the spe­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spacing w:val="-1"/>
          <w:w w:val="120"/>
          <w:sz w:val="21"/>
        </w:rPr>
        <w:t>cific question of whether a supervisor </w:t>
      </w:r>
      <w:r>
        <w:rPr>
          <w:color w:val="383638"/>
          <w:w w:val="120"/>
          <w:sz w:val="21"/>
        </w:rPr>
        <w:t>is an "employer" for purposes</w:t>
      </w:r>
      <w:r>
        <w:rPr>
          <w:color w:val="383638"/>
          <w:spacing w:val="1"/>
          <w:w w:val="120"/>
          <w:sz w:val="21"/>
        </w:rPr>
        <w:t> </w:t>
      </w:r>
      <w:r>
        <w:rPr>
          <w:color w:val="383638"/>
          <w:w w:val="110"/>
          <w:sz w:val="21"/>
        </w:rPr>
        <w:t>of</w:t>
      </w:r>
      <w:r>
        <w:rPr>
          <w:color w:val="383638"/>
          <w:spacing w:val="6"/>
          <w:w w:val="110"/>
          <w:sz w:val="21"/>
        </w:rPr>
        <w:t> </w:t>
      </w:r>
      <w:r>
        <w:rPr>
          <w:color w:val="383638"/>
          <w:w w:val="110"/>
          <w:sz w:val="21"/>
        </w:rPr>
        <w:t>individual</w:t>
      </w:r>
      <w:r>
        <w:rPr>
          <w:color w:val="383638"/>
          <w:spacing w:val="14"/>
          <w:w w:val="110"/>
          <w:sz w:val="21"/>
        </w:rPr>
        <w:t> </w:t>
      </w:r>
      <w:r>
        <w:rPr>
          <w:color w:val="383638"/>
          <w:w w:val="110"/>
          <w:sz w:val="21"/>
        </w:rPr>
        <w:t>liability</w:t>
      </w:r>
      <w:r>
        <w:rPr>
          <w:color w:val="383638"/>
          <w:spacing w:val="4"/>
          <w:w w:val="110"/>
          <w:sz w:val="21"/>
        </w:rPr>
        <w:t> </w:t>
      </w:r>
      <w:r>
        <w:rPr>
          <w:color w:val="383638"/>
          <w:w w:val="110"/>
          <w:sz w:val="21"/>
        </w:rPr>
        <w:t>under</w:t>
      </w:r>
      <w:r>
        <w:rPr>
          <w:color w:val="383638"/>
          <w:spacing w:val="-10"/>
          <w:w w:val="110"/>
          <w:sz w:val="21"/>
        </w:rPr>
        <w:t> </w:t>
      </w:r>
      <w:r>
        <w:rPr>
          <w:color w:val="383638"/>
          <w:w w:val="110"/>
          <w:sz w:val="21"/>
        </w:rPr>
        <w:t>Title</w:t>
      </w:r>
      <w:r>
        <w:rPr>
          <w:color w:val="383638"/>
          <w:spacing w:val="-7"/>
          <w:w w:val="110"/>
          <w:sz w:val="21"/>
        </w:rPr>
        <w:t> </w:t>
      </w:r>
      <w:r>
        <w:rPr>
          <w:color w:val="383638"/>
          <w:w w:val="110"/>
          <w:sz w:val="21"/>
        </w:rPr>
        <w:t>VII.</w:t>
      </w:r>
      <w:r>
        <w:rPr>
          <w:color w:val="383638"/>
          <w:spacing w:val="24"/>
          <w:w w:val="110"/>
          <w:sz w:val="21"/>
        </w:rPr>
        <w:t> </w:t>
      </w:r>
      <w:r>
        <w:rPr>
          <w:color w:val="383638"/>
          <w:w w:val="110"/>
          <w:sz w:val="21"/>
        </w:rPr>
        <w:t>s</w:t>
      </w:r>
      <w:r>
        <w:rPr>
          <w:color w:val="383638"/>
          <w:spacing w:val="17"/>
          <w:w w:val="110"/>
          <w:sz w:val="21"/>
        </w:rPr>
        <w:t> </w:t>
      </w:r>
      <w:r>
        <w:rPr>
          <w:color w:val="383638"/>
          <w:w w:val="110"/>
          <w:sz w:val="23"/>
          <w:u w:val="thick" w:color="383638"/>
        </w:rPr>
        <w:t>Morrison</w:t>
      </w:r>
      <w:r>
        <w:rPr>
          <w:color w:val="383638"/>
          <w:spacing w:val="19"/>
          <w:w w:val="110"/>
          <w:sz w:val="23"/>
          <w:u w:val="thick" w:color="383638"/>
        </w:rPr>
        <w:t> </w:t>
      </w:r>
      <w:r>
        <w:rPr>
          <w:color w:val="383638"/>
          <w:w w:val="110"/>
          <w:sz w:val="21"/>
          <w:u w:val="thick" w:color="383638"/>
        </w:rPr>
        <w:t>Y,</w:t>
      </w:r>
      <w:r>
        <w:rPr>
          <w:color w:val="383638"/>
          <w:spacing w:val="-17"/>
          <w:w w:val="110"/>
          <w:sz w:val="21"/>
          <w:u w:val="thick" w:color="383638"/>
        </w:rPr>
        <w:t> </w:t>
      </w:r>
      <w:r>
        <w:rPr>
          <w:color w:val="383638"/>
          <w:w w:val="110"/>
          <w:sz w:val="23"/>
          <w:u w:val="thick" w:color="383638"/>
        </w:rPr>
        <w:t>Carleton</w:t>
      </w:r>
      <w:r>
        <w:rPr>
          <w:color w:val="383638"/>
          <w:spacing w:val="16"/>
          <w:w w:val="110"/>
          <w:sz w:val="23"/>
          <w:u w:val="thick" w:color="383638"/>
        </w:rPr>
        <w:t> </w:t>
      </w:r>
      <w:r>
        <w:rPr>
          <w:color w:val="383638"/>
          <w:w w:val="110"/>
          <w:sz w:val="23"/>
          <w:u w:val="thick" w:color="383638"/>
        </w:rPr>
        <w:t>Woolen</w:t>
      </w:r>
    </w:p>
    <w:p>
      <w:pPr>
        <w:spacing w:line="143" w:lineRule="exact" w:before="0"/>
        <w:ind w:left="128" w:right="0" w:firstLine="0"/>
        <w:jc w:val="left"/>
        <w:rPr>
          <w:sz w:val="14"/>
        </w:rPr>
      </w:pPr>
      <w:r>
        <w:rPr/>
        <w:br w:type="column"/>
      </w:r>
      <w:r>
        <w:rPr>
          <w:color w:val="383638"/>
          <w:spacing w:val="-1"/>
          <w:w w:val="110"/>
          <w:sz w:val="15"/>
        </w:rPr>
        <w:t>the </w:t>
      </w:r>
      <w:r>
        <w:rPr>
          <w:color w:val="383638"/>
          <w:w w:val="110"/>
          <w:sz w:val="15"/>
        </w:rPr>
        <w:t>lt9al</w:t>
      </w:r>
      <w:r>
        <w:rPr>
          <w:color w:val="383638"/>
          <w:spacing w:val="-10"/>
          <w:w w:val="110"/>
          <w:sz w:val="15"/>
        </w:rPr>
        <w:t> </w:t>
      </w:r>
      <w:r>
        <w:rPr>
          <w:color w:val="383638"/>
          <w:w w:val="110"/>
          <w:sz w:val="15"/>
        </w:rPr>
        <w:t>ru</w:t>
      </w:r>
      <w:r>
        <w:rPr>
          <w:color w:val="59595B"/>
          <w:w w:val="110"/>
          <w:sz w:val="15"/>
        </w:rPr>
        <w:t>l</w:t>
      </w:r>
      <w:r>
        <w:rPr>
          <w:color w:val="383638"/>
          <w:w w:val="110"/>
          <w:sz w:val="15"/>
        </w:rPr>
        <w:t>e:</w:t>
      </w:r>
      <w:r>
        <w:rPr>
          <w:color w:val="383638"/>
          <w:spacing w:val="-5"/>
          <w:w w:val="110"/>
          <w:sz w:val="15"/>
        </w:rPr>
        <w:t> </w:t>
      </w:r>
      <w:r>
        <w:rPr>
          <w:color w:val="383638"/>
          <w:w w:val="110"/>
          <w:sz w:val="14"/>
        </w:rPr>
        <w:t>the</w:t>
      </w:r>
    </w:p>
    <w:p>
      <w:pPr>
        <w:spacing w:line="149" w:lineRule="exact" w:before="0"/>
        <w:ind w:left="134" w:right="0" w:firstLine="0"/>
        <w:jc w:val="left"/>
        <w:rPr>
          <w:sz w:val="15"/>
        </w:rPr>
      </w:pPr>
      <w:r>
        <w:rPr>
          <w:color w:val="383638"/>
          <w:w w:val="120"/>
          <w:sz w:val="15"/>
        </w:rPr>
        <w:t>iuueisabout</w:t>
      </w:r>
      <w:r>
        <w:rPr>
          <w:color w:val="383638"/>
          <w:spacing w:val="11"/>
          <w:w w:val="120"/>
          <w:sz w:val="15"/>
        </w:rPr>
        <w:t> </w:t>
      </w:r>
      <w:r>
        <w:rPr>
          <w:color w:val="383638"/>
          <w:w w:val="120"/>
          <w:sz w:val="15"/>
        </w:rPr>
        <w:t>the</w:t>
      </w:r>
    </w:p>
    <w:p>
      <w:pPr>
        <w:spacing w:line="249" w:lineRule="auto" w:before="39"/>
        <w:ind w:left="138" w:right="97" w:hanging="1"/>
        <w:jc w:val="left"/>
        <w:rPr>
          <w:sz w:val="15"/>
        </w:rPr>
      </w:pPr>
      <w:r>
        <w:rPr>
          <w:color w:val="383638"/>
          <w:w w:val="110"/>
          <w:sz w:val="15"/>
        </w:rPr>
        <w:t>mean</w:t>
      </w:r>
      <w:r>
        <w:rPr>
          <w:color w:val="59595B"/>
          <w:w w:val="110"/>
          <w:sz w:val="15"/>
        </w:rPr>
        <w:t>i</w:t>
      </w:r>
      <w:r>
        <w:rPr>
          <w:color w:val="383638"/>
          <w:w w:val="110"/>
          <w:sz w:val="15"/>
        </w:rPr>
        <w:t>ng of the</w:t>
      </w:r>
      <w:r>
        <w:rPr>
          <w:color w:val="383638"/>
          <w:spacing w:val="1"/>
          <w:w w:val="110"/>
          <w:sz w:val="15"/>
        </w:rPr>
        <w:t> </w:t>
      </w:r>
      <w:r>
        <w:rPr>
          <w:color w:val="383638"/>
          <w:w w:val="110"/>
          <w:sz w:val="15"/>
        </w:rPr>
        <w:t>word -employer"'</w:t>
      </w:r>
      <w:r>
        <w:rPr>
          <w:color w:val="383638"/>
          <w:spacing w:val="1"/>
          <w:w w:val="110"/>
          <w:sz w:val="15"/>
        </w:rPr>
        <w:t> </w:t>
      </w:r>
      <w:r>
        <w:rPr>
          <w:color w:val="383638"/>
          <w:w w:val="105"/>
          <w:sz w:val="15"/>
        </w:rPr>
        <w:t>as It re</w:t>
      </w:r>
      <w:r>
        <w:rPr>
          <w:color w:val="59595B"/>
          <w:w w:val="105"/>
          <w:sz w:val="15"/>
        </w:rPr>
        <w:t>l</w:t>
      </w:r>
      <w:r>
        <w:rPr>
          <w:color w:val="383638"/>
          <w:w w:val="105"/>
          <w:sz w:val="15"/>
        </w:rPr>
        <w:t>ales to</w:t>
      </w:r>
      <w:r>
        <w:rPr>
          <w:color w:val="383638"/>
          <w:spacing w:val="1"/>
          <w:w w:val="105"/>
          <w:sz w:val="15"/>
        </w:rPr>
        <w:t> </w:t>
      </w:r>
      <w:r>
        <w:rPr>
          <w:color w:val="383638"/>
          <w:w w:val="105"/>
          <w:sz w:val="15"/>
        </w:rPr>
        <w:t>supervison</w:t>
      </w:r>
      <w:r>
        <w:rPr>
          <w:color w:val="59595B"/>
          <w:w w:val="105"/>
          <w:sz w:val="15"/>
        </w:rPr>
        <w:t>. </w:t>
      </w:r>
      <w:r>
        <w:rPr>
          <w:rFonts w:ascii="Arial"/>
          <w:color w:val="383638"/>
          <w:w w:val="105"/>
          <w:sz w:val="14"/>
        </w:rPr>
        <w:t>The</w:t>
      </w:r>
      <w:r>
        <w:rPr>
          <w:rFonts w:ascii="Arial"/>
          <w:color w:val="383638"/>
          <w:spacing w:val="1"/>
          <w:w w:val="105"/>
          <w:sz w:val="14"/>
        </w:rPr>
        <w:t> </w:t>
      </w:r>
      <w:r>
        <w:rPr>
          <w:color w:val="383638"/>
          <w:w w:val="110"/>
          <w:sz w:val="15"/>
        </w:rPr>
        <w:t>sentence also</w:t>
      </w:r>
      <w:r>
        <w:rPr>
          <w:color w:val="383638"/>
          <w:spacing w:val="1"/>
          <w:w w:val="110"/>
          <w:sz w:val="15"/>
        </w:rPr>
        <w:t> </w:t>
      </w:r>
      <w:r>
        <w:rPr>
          <w:color w:val="383638"/>
          <w:w w:val="110"/>
          <w:sz w:val="15"/>
        </w:rPr>
        <w:t>beg</w:t>
      </w:r>
      <w:r>
        <w:rPr>
          <w:color w:val="59595B"/>
          <w:w w:val="110"/>
          <w:sz w:val="15"/>
        </w:rPr>
        <w:t>i</w:t>
      </w:r>
      <w:r>
        <w:rPr>
          <w:color w:val="383638"/>
          <w:w w:val="110"/>
          <w:sz w:val="15"/>
        </w:rPr>
        <w:t>ns to tell the</w:t>
      </w:r>
      <w:r>
        <w:rPr>
          <w:color w:val="383638"/>
          <w:spacing w:val="1"/>
          <w:w w:val="110"/>
          <w:sz w:val="15"/>
        </w:rPr>
        <w:t> </w:t>
      </w:r>
      <w:r>
        <w:rPr>
          <w:color w:val="383638"/>
          <w:w w:val="110"/>
          <w:sz w:val="15"/>
        </w:rPr>
        <w:t>reade</w:t>
      </w:r>
      <w:r>
        <w:rPr>
          <w:color w:val="59595B"/>
          <w:w w:val="110"/>
          <w:sz w:val="15"/>
        </w:rPr>
        <w:t>r </w:t>
      </w:r>
      <w:r>
        <w:rPr>
          <w:color w:val="383638"/>
          <w:w w:val="110"/>
          <w:sz w:val="15"/>
        </w:rPr>
        <w:t>the</w:t>
      </w:r>
      <w:r>
        <w:rPr>
          <w:color w:val="383638"/>
          <w:spacing w:val="1"/>
          <w:w w:val="110"/>
          <w:sz w:val="15"/>
        </w:rPr>
        <w:t> </w:t>
      </w:r>
      <w:r>
        <w:rPr>
          <w:color w:val="383638"/>
          <w:w w:val="110"/>
          <w:sz w:val="15"/>
        </w:rPr>
        <w:t>current</w:t>
      </w:r>
      <w:r>
        <w:rPr>
          <w:color w:val="383638"/>
          <w:spacing w:val="-39"/>
          <w:w w:val="110"/>
          <w:sz w:val="15"/>
        </w:rPr>
        <w:t> </w:t>
      </w:r>
      <w:r>
        <w:rPr>
          <w:color w:val="383638"/>
          <w:w w:val="110"/>
          <w:sz w:val="15"/>
        </w:rPr>
        <w:t>status of the</w:t>
      </w:r>
      <w:r>
        <w:rPr>
          <w:color w:val="383638"/>
          <w:spacing w:val="1"/>
          <w:w w:val="110"/>
          <w:sz w:val="15"/>
        </w:rPr>
        <w:t> </w:t>
      </w:r>
      <w:r>
        <w:rPr>
          <w:color w:val="383638"/>
          <w:w w:val="110"/>
          <w:sz w:val="15"/>
        </w:rPr>
        <w:t>issue</w:t>
      </w:r>
      <w:r>
        <w:rPr>
          <w:color w:val="383638"/>
          <w:spacing w:val="-39"/>
          <w:w w:val="110"/>
          <w:sz w:val="15"/>
        </w:rPr>
        <w:t> </w:t>
      </w:r>
      <w:r>
        <w:rPr>
          <w:color w:val="383638"/>
          <w:w w:val="110"/>
          <w:sz w:val="15"/>
        </w:rPr>
        <w:t>in the relevant</w:t>
      </w:r>
      <w:r>
        <w:rPr>
          <w:color w:val="383638"/>
          <w:spacing w:val="1"/>
          <w:w w:val="110"/>
          <w:sz w:val="15"/>
        </w:rPr>
        <w:t> </w:t>
      </w:r>
      <w:r>
        <w:rPr>
          <w:color w:val="383638"/>
          <w:w w:val="105"/>
          <w:sz w:val="15"/>
        </w:rPr>
        <w:t>lurisdict</w:t>
      </w:r>
      <w:r>
        <w:rPr>
          <w:w w:val="105"/>
          <w:sz w:val="15"/>
        </w:rPr>
        <w:t>.</w:t>
      </w:r>
      <w:r>
        <w:rPr>
          <w:color w:val="383638"/>
          <w:w w:val="105"/>
          <w:sz w:val="15"/>
        </w:rPr>
        <w:t>ion</w:t>
      </w:r>
      <w:r>
        <w:rPr>
          <w:color w:val="59595B"/>
          <w:w w:val="105"/>
          <w:sz w:val="15"/>
        </w:rPr>
        <w:t>: </w:t>
      </w:r>
      <w:r>
        <w:rPr>
          <w:color w:val="383638"/>
          <w:w w:val="105"/>
          <w:sz w:val="15"/>
        </w:rPr>
        <w:t>the</w:t>
      </w:r>
      <w:r>
        <w:rPr>
          <w:color w:val="383638"/>
          <w:spacing w:val="1"/>
          <w:w w:val="105"/>
          <w:sz w:val="15"/>
        </w:rPr>
        <w:t> </w:t>
      </w:r>
      <w:r>
        <w:rPr>
          <w:color w:val="383638"/>
          <w:w w:val="110"/>
          <w:sz w:val="15"/>
        </w:rPr>
        <w:t>court </w:t>
      </w:r>
      <w:r>
        <w:rPr>
          <w:color w:val="59595B"/>
          <w:w w:val="110"/>
          <w:sz w:val="15"/>
        </w:rPr>
        <w:t>h</w:t>
      </w:r>
      <w:r>
        <w:rPr>
          <w:color w:val="383638"/>
          <w:w w:val="110"/>
          <w:sz w:val="15"/>
        </w:rPr>
        <w:t>u</w:t>
      </w:r>
      <w:r>
        <w:rPr>
          <w:color w:val="383638"/>
          <w:spacing w:val="1"/>
          <w:w w:val="110"/>
          <w:sz w:val="15"/>
        </w:rPr>
        <w:t> </w:t>
      </w:r>
      <w:r>
        <w:rPr>
          <w:color w:val="383638"/>
          <w:w w:val="110"/>
          <w:sz w:val="15"/>
        </w:rPr>
        <w:t>not</w:t>
      </w:r>
      <w:r>
        <w:rPr>
          <w:color w:val="383638"/>
          <w:spacing w:val="1"/>
          <w:w w:val="110"/>
          <w:sz w:val="15"/>
        </w:rPr>
        <w:t> </w:t>
      </w:r>
      <w:r>
        <w:rPr>
          <w:color w:val="383638"/>
          <w:w w:val="110"/>
          <w:sz w:val="14"/>
        </w:rPr>
        <w:t>decided</w:t>
      </w:r>
      <w:r>
        <w:rPr>
          <w:color w:val="383638"/>
          <w:spacing w:val="-3"/>
          <w:w w:val="110"/>
          <w:sz w:val="14"/>
        </w:rPr>
        <w:t> </w:t>
      </w:r>
      <w:r>
        <w:rPr>
          <w:color w:val="59595B"/>
          <w:w w:val="110"/>
          <w:sz w:val="15"/>
        </w:rPr>
        <w:t>i</w:t>
      </w:r>
      <w:r>
        <w:rPr>
          <w:color w:val="383638"/>
          <w:w w:val="110"/>
          <w:sz w:val="15"/>
        </w:rPr>
        <w:t>t</w:t>
      </w:r>
      <w:r>
        <w:rPr>
          <w:color w:val="383638"/>
          <w:spacing w:val="24"/>
          <w:w w:val="110"/>
          <w:sz w:val="15"/>
        </w:rPr>
        <w:t> </w:t>
      </w:r>
      <w:r>
        <w:rPr>
          <w:color w:val="383638"/>
          <w:w w:val="110"/>
          <w:sz w:val="15"/>
        </w:rPr>
        <w:t>yet.</w:t>
      </w:r>
    </w:p>
    <w:p>
      <w:pPr>
        <w:spacing w:after="0" w:line="249" w:lineRule="auto"/>
        <w:jc w:val="left"/>
        <w:rPr>
          <w:sz w:val="15"/>
        </w:rPr>
        <w:sectPr>
          <w:type w:val="continuous"/>
          <w:pgSz w:w="9710" w:h="13980"/>
          <w:pgMar w:header="486" w:footer="0" w:top="340" w:bottom="280" w:left="400" w:right="60"/>
          <w:cols w:num="2" w:equalWidth="0">
            <w:col w:w="7403" w:space="354"/>
            <w:col w:w="1493"/>
          </w:cols>
        </w:sectPr>
      </w:pPr>
    </w:p>
    <w:p>
      <w:pPr>
        <w:pStyle w:val="BodyText"/>
        <w:spacing w:before="7"/>
        <w:rPr>
          <w:sz w:val="18"/>
        </w:rPr>
      </w:pPr>
    </w:p>
    <w:p>
      <w:pPr>
        <w:spacing w:line="244" w:lineRule="auto" w:before="0"/>
        <w:ind w:left="493" w:right="38" w:hanging="28"/>
        <w:jc w:val="right"/>
        <w:rPr>
          <w:sz w:val="15"/>
        </w:rPr>
      </w:pPr>
      <w:r>
        <w:rPr>
          <w:rFonts w:ascii="Arial"/>
          <w:b/>
          <w:color w:val="363436"/>
          <w:w w:val="105"/>
          <w:sz w:val="15"/>
        </w:rPr>
        <w:t>4</w:t>
      </w:r>
      <w:r>
        <w:rPr>
          <w:rFonts w:ascii="Arial"/>
          <w:b/>
          <w:color w:val="363436"/>
          <w:spacing w:val="5"/>
          <w:w w:val="105"/>
          <w:sz w:val="15"/>
        </w:rPr>
        <w:t> </w:t>
      </w:r>
      <w:r>
        <w:rPr>
          <w:color w:val="363436"/>
          <w:w w:val="105"/>
          <w:sz w:val="15"/>
        </w:rPr>
        <w:t>Ht'fe</w:t>
      </w:r>
      <w:r>
        <w:rPr>
          <w:color w:val="606062"/>
          <w:w w:val="105"/>
          <w:sz w:val="15"/>
        </w:rPr>
        <w:t>,</w:t>
      </w:r>
      <w:r>
        <w:rPr>
          <w:color w:val="606062"/>
          <w:spacing w:val="-4"/>
          <w:w w:val="105"/>
          <w:sz w:val="15"/>
        </w:rPr>
        <w:t> </w:t>
      </w:r>
      <w:r>
        <w:rPr>
          <w:color w:val="363436"/>
          <w:w w:val="105"/>
          <w:sz w:val="15"/>
        </w:rPr>
        <w:t>the</w:t>
      </w:r>
      <w:r>
        <w:rPr>
          <w:color w:val="363436"/>
          <w:spacing w:val="9"/>
          <w:w w:val="105"/>
          <w:sz w:val="15"/>
        </w:rPr>
        <w:t> </w:t>
      </w:r>
      <w:r>
        <w:rPr>
          <w:color w:val="464648"/>
          <w:w w:val="105"/>
          <w:sz w:val="13"/>
        </w:rPr>
        <w:t>wnte&lt;</w:t>
      </w:r>
      <w:r>
        <w:rPr>
          <w:color w:val="464648"/>
          <w:spacing w:val="-32"/>
          <w:w w:val="105"/>
          <w:sz w:val="13"/>
        </w:rPr>
        <w:t> </w:t>
      </w:r>
      <w:r>
        <w:rPr>
          <w:color w:val="464648"/>
          <w:w w:val="150"/>
          <w:sz w:val="15"/>
        </w:rPr>
        <w:t>pr</w:t>
      </w:r>
      <w:r>
        <w:rPr>
          <w:color w:val="464648"/>
          <w:spacing w:val="1"/>
          <w:w w:val="150"/>
          <w:sz w:val="15"/>
        </w:rPr>
        <w:t> </w:t>
      </w:r>
      <w:r>
        <w:rPr>
          <w:color w:val="464648"/>
          <w:w w:val="150"/>
          <w:sz w:val="15"/>
        </w:rPr>
        <w:t>smore</w:t>
      </w:r>
      <w:r>
        <w:rPr>
          <w:color w:val="464648"/>
          <w:spacing w:val="1"/>
          <w:w w:val="150"/>
          <w:sz w:val="15"/>
        </w:rPr>
        <w:t> </w:t>
      </w:r>
      <w:r>
        <w:rPr>
          <w:color w:val="606062"/>
          <w:w w:val="105"/>
          <w:sz w:val="15"/>
        </w:rPr>
        <w:t>i</w:t>
      </w:r>
      <w:r>
        <w:rPr>
          <w:color w:val="363436"/>
          <w:w w:val="105"/>
          <w:sz w:val="15"/>
        </w:rPr>
        <w:t>nfo,mation about</w:t>
      </w:r>
      <w:r>
        <w:rPr>
          <w:color w:val="363436"/>
          <w:spacing w:val="-37"/>
          <w:w w:val="105"/>
          <w:sz w:val="15"/>
        </w:rPr>
        <w:t> </w:t>
      </w:r>
      <w:r>
        <w:rPr>
          <w:color w:val="464648"/>
          <w:spacing w:val="-1"/>
          <w:w w:val="105"/>
          <w:sz w:val="15"/>
        </w:rPr>
        <w:t>current status</w:t>
      </w:r>
      <w:r>
        <w:rPr>
          <w:color w:val="464648"/>
          <w:spacing w:val="-25"/>
          <w:w w:val="105"/>
          <w:sz w:val="15"/>
        </w:rPr>
        <w:t> </w:t>
      </w:r>
      <w:r>
        <w:rPr>
          <w:color w:val="464648"/>
          <w:w w:val="105"/>
          <w:sz w:val="15"/>
        </w:rPr>
        <w:t>of</w:t>
      </w:r>
    </w:p>
    <w:p>
      <w:pPr>
        <w:spacing w:before="9"/>
        <w:ind w:left="312" w:right="62" w:hanging="76"/>
        <w:jc w:val="right"/>
        <w:rPr>
          <w:sz w:val="14"/>
        </w:rPr>
      </w:pPr>
      <w:r>
        <w:rPr>
          <w:rFonts w:ascii="Arial"/>
          <w:b/>
          <w:color w:val="363436"/>
          <w:w w:val="105"/>
          <w:sz w:val="13"/>
        </w:rPr>
        <w:t>lhe   </w:t>
      </w:r>
      <w:r>
        <w:rPr>
          <w:color w:val="464648"/>
          <w:w w:val="105"/>
          <w:sz w:val="15"/>
        </w:rPr>
        <w:t>al     </w:t>
      </w:r>
      <w:r>
        <w:rPr>
          <w:color w:val="464648"/>
          <w:w w:val="105"/>
          <w:sz w:val="14"/>
        </w:rPr>
        <w:t>iuue, </w:t>
      </w:r>
      <w:r>
        <w:rPr>
          <w:color w:val="363436"/>
          <w:w w:val="105"/>
          <w:sz w:val="15"/>
        </w:rPr>
        <w:t>no</w:t>
      </w:r>
      <w:r>
        <w:rPr>
          <w:color w:val="606062"/>
          <w:w w:val="105"/>
          <w:sz w:val="15"/>
        </w:rPr>
        <w:t>ti</w:t>
      </w:r>
      <w:r>
        <w:rPr>
          <w:color w:val="464648"/>
          <w:w w:val="105"/>
          <w:sz w:val="15"/>
        </w:rPr>
        <w:t>ng</w:t>
      </w:r>
      <w:r>
        <w:rPr>
          <w:color w:val="464648"/>
          <w:spacing w:val="-37"/>
          <w:w w:val="105"/>
          <w:sz w:val="15"/>
        </w:rPr>
        <w:t> </w:t>
      </w:r>
      <w:r>
        <w:rPr>
          <w:color w:val="363436"/>
          <w:w w:val="105"/>
          <w:sz w:val="15"/>
        </w:rPr>
        <w:t>that</w:t>
      </w:r>
      <w:r>
        <w:rPr>
          <w:color w:val="363436"/>
          <w:spacing w:val="-7"/>
          <w:w w:val="105"/>
          <w:sz w:val="15"/>
        </w:rPr>
        <w:t> </w:t>
      </w:r>
      <w:r>
        <w:rPr>
          <w:color w:val="363436"/>
          <w:w w:val="105"/>
          <w:sz w:val="14"/>
        </w:rPr>
        <w:t>there</w:t>
      </w:r>
      <w:r>
        <w:rPr>
          <w:color w:val="363436"/>
          <w:spacing w:val="-1"/>
          <w:w w:val="105"/>
          <w:sz w:val="14"/>
        </w:rPr>
        <w:t> </w:t>
      </w:r>
      <w:r>
        <w:rPr>
          <w:color w:val="464648"/>
          <w:w w:val="105"/>
          <w:sz w:val="15"/>
        </w:rPr>
        <w:t>is</w:t>
      </w:r>
      <w:r>
        <w:rPr>
          <w:b/>
          <w:color w:val="464648"/>
          <w:w w:val="105"/>
          <w:sz w:val="15"/>
        </w:rPr>
        <w:t>a</w:t>
      </w:r>
      <w:r>
        <w:rPr>
          <w:b/>
          <w:color w:val="464648"/>
          <w:spacing w:val="16"/>
          <w:w w:val="105"/>
          <w:sz w:val="15"/>
        </w:rPr>
        <w:t> </w:t>
      </w:r>
      <w:r>
        <w:rPr>
          <w:color w:val="464648"/>
          <w:w w:val="105"/>
          <w:sz w:val="14"/>
        </w:rPr>
        <w:t>spli</w:t>
      </w:r>
      <w:r>
        <w:rPr>
          <w:color w:val="606062"/>
          <w:w w:val="105"/>
          <w:sz w:val="14"/>
        </w:rPr>
        <w:t>t</w:t>
      </w:r>
      <w:r>
        <w:rPr>
          <w:color w:val="606062"/>
          <w:spacing w:val="31"/>
          <w:w w:val="105"/>
          <w:sz w:val="14"/>
        </w:rPr>
        <w:t> </w:t>
      </w:r>
      <w:r>
        <w:rPr>
          <w:color w:val="606062"/>
          <w:w w:val="105"/>
          <w:sz w:val="14"/>
        </w:rPr>
        <w:t>i</w:t>
      </w:r>
      <w:r>
        <w:rPr>
          <w:color w:val="464648"/>
          <w:w w:val="105"/>
          <w:sz w:val="14"/>
        </w:rPr>
        <w:t>n</w:t>
      </w:r>
    </w:p>
    <w:p>
      <w:pPr>
        <w:spacing w:before="2"/>
        <w:ind w:left="0" w:right="51" w:firstLine="0"/>
        <w:jc w:val="right"/>
        <w:rPr>
          <w:sz w:val="15"/>
        </w:rPr>
      </w:pPr>
      <w:r>
        <w:rPr>
          <w:color w:val="464648"/>
          <w:spacing w:val="-1"/>
          <w:sz w:val="15"/>
        </w:rPr>
        <w:t>the</w:t>
      </w:r>
      <w:r>
        <w:rPr>
          <w:color w:val="464648"/>
          <w:sz w:val="15"/>
        </w:rPr>
        <w:t> </w:t>
      </w:r>
      <w:r>
        <w:rPr>
          <w:color w:val="464648"/>
          <w:spacing w:val="-1"/>
          <w:sz w:val="15"/>
        </w:rPr>
        <w:t>circuits.</w:t>
      </w:r>
    </w:p>
    <w:p>
      <w:pPr>
        <w:spacing w:before="97"/>
        <w:ind w:left="0" w:right="84" w:firstLine="0"/>
        <w:jc w:val="right"/>
        <w:rPr>
          <w:sz w:val="15"/>
        </w:rPr>
      </w:pPr>
      <w:r>
        <w:rPr>
          <w:rFonts w:ascii="Arial"/>
          <w:b/>
          <w:color w:val="363436"/>
          <w:spacing w:val="-1"/>
          <w:w w:val="115"/>
          <w:sz w:val="13"/>
        </w:rPr>
        <w:t>S</w:t>
      </w:r>
      <w:r>
        <w:rPr>
          <w:rFonts w:ascii="Arial"/>
          <w:b/>
          <w:color w:val="363436"/>
          <w:spacing w:val="65"/>
          <w:w w:val="115"/>
          <w:sz w:val="13"/>
        </w:rPr>
        <w:t> </w:t>
      </w:r>
      <w:r>
        <w:rPr>
          <w:color w:val="363436"/>
          <w:spacing w:val="-1"/>
          <w:w w:val="115"/>
          <w:sz w:val="15"/>
        </w:rPr>
        <w:t>Note</w:t>
      </w:r>
      <w:r>
        <w:rPr>
          <w:color w:val="363436"/>
          <w:spacing w:val="-24"/>
          <w:w w:val="115"/>
          <w:sz w:val="15"/>
        </w:rPr>
        <w:t> </w:t>
      </w:r>
      <w:r>
        <w:rPr>
          <w:color w:val="464648"/>
          <w:spacing w:val="-1"/>
          <w:w w:val="115"/>
          <w:sz w:val="15"/>
        </w:rPr>
        <w:t>that.</w:t>
      </w:r>
    </w:p>
    <w:p>
      <w:pPr>
        <w:spacing w:line="244" w:lineRule="auto" w:before="1"/>
        <w:ind w:left="332" w:right="97" w:firstLine="642"/>
        <w:jc w:val="right"/>
        <w:rPr>
          <w:sz w:val="15"/>
        </w:rPr>
      </w:pPr>
      <w:r>
        <w:rPr>
          <w:color w:val="363436"/>
          <w:w w:val="110"/>
          <w:sz w:val="15"/>
        </w:rPr>
        <w:t>although</w:t>
      </w:r>
      <w:r>
        <w:rPr>
          <w:color w:val="363436"/>
          <w:spacing w:val="-39"/>
          <w:w w:val="110"/>
          <w:sz w:val="15"/>
        </w:rPr>
        <w:t> </w:t>
      </w:r>
      <w:r>
        <w:rPr>
          <w:color w:val="363436"/>
          <w:w w:val="105"/>
          <w:sz w:val="15"/>
        </w:rPr>
        <w:t>the</w:t>
      </w:r>
      <w:r>
        <w:rPr>
          <w:color w:val="363436"/>
          <w:spacing w:val="1"/>
          <w:w w:val="105"/>
          <w:sz w:val="15"/>
        </w:rPr>
        <w:t> </w:t>
      </w:r>
      <w:r>
        <w:rPr>
          <w:color w:val="363436"/>
          <w:w w:val="105"/>
          <w:sz w:val="15"/>
        </w:rPr>
        <w:t>writer honestly</w:t>
      </w:r>
      <w:r>
        <w:rPr>
          <w:color w:val="363436"/>
          <w:spacing w:val="-37"/>
          <w:w w:val="105"/>
          <w:sz w:val="15"/>
        </w:rPr>
        <w:t> </w:t>
      </w:r>
      <w:r>
        <w:rPr>
          <w:color w:val="464648"/>
          <w:w w:val="130"/>
          <w:sz w:val="15"/>
        </w:rPr>
        <w:t>portra   </w:t>
      </w:r>
      <w:r>
        <w:rPr>
          <w:color w:val="464648"/>
          <w:w w:val="115"/>
          <w:sz w:val="15"/>
        </w:rPr>
        <w:t>the</w:t>
      </w:r>
      <w:r>
        <w:rPr>
          <w:color w:val="363436"/>
          <w:w w:val="115"/>
          <w:sz w:val="15"/>
        </w:rPr>
        <w:t>split</w:t>
      </w:r>
      <w:r>
        <w:rPr>
          <w:color w:val="363436"/>
          <w:spacing w:val="1"/>
          <w:w w:val="115"/>
          <w:sz w:val="15"/>
        </w:rPr>
        <w:t> </w:t>
      </w:r>
      <w:r>
        <w:rPr>
          <w:color w:val="464648"/>
          <w:w w:val="105"/>
          <w:sz w:val="15"/>
        </w:rPr>
        <w:t>in</w:t>
      </w:r>
      <w:r>
        <w:rPr>
          <w:color w:val="464648"/>
          <w:spacing w:val="6"/>
          <w:w w:val="105"/>
          <w:sz w:val="15"/>
        </w:rPr>
        <w:t> </w:t>
      </w:r>
      <w:r>
        <w:rPr>
          <w:color w:val="464648"/>
          <w:w w:val="105"/>
          <w:sz w:val="15"/>
        </w:rPr>
        <w:t>the</w:t>
      </w:r>
      <w:r>
        <w:rPr>
          <w:color w:val="464648"/>
          <w:spacing w:val="7"/>
          <w:w w:val="105"/>
          <w:sz w:val="15"/>
        </w:rPr>
        <w:t> </w:t>
      </w:r>
      <w:r>
        <w:rPr>
          <w:color w:val="464648"/>
          <w:w w:val="105"/>
          <w:sz w:val="15"/>
        </w:rPr>
        <w:t>circuits</w:t>
      </w:r>
      <w:r>
        <w:rPr>
          <w:color w:val="606062"/>
          <w:w w:val="105"/>
          <w:sz w:val="15"/>
        </w:rPr>
        <w:t>,</w:t>
      </w:r>
      <w:r>
        <w:rPr>
          <w:color w:val="606062"/>
          <w:spacing w:val="-3"/>
          <w:w w:val="105"/>
          <w:sz w:val="15"/>
        </w:rPr>
        <w:t> </w:t>
      </w:r>
      <w:r>
        <w:rPr>
          <w:color w:val="464648"/>
          <w:w w:val="105"/>
          <w:sz w:val="15"/>
        </w:rPr>
        <w:t>she</w:t>
      </w:r>
      <w:r>
        <w:rPr>
          <w:color w:val="464648"/>
          <w:spacing w:val="1"/>
          <w:w w:val="105"/>
          <w:sz w:val="15"/>
        </w:rPr>
        <w:t> </w:t>
      </w:r>
      <w:r>
        <w:rPr>
          <w:color w:val="464648"/>
          <w:w w:val="105"/>
          <w:sz w:val="15"/>
        </w:rPr>
        <w:t>is app</w:t>
      </w:r>
      <w:r>
        <w:rPr>
          <w:color w:val="606062"/>
          <w:w w:val="105"/>
          <w:sz w:val="15"/>
        </w:rPr>
        <w:t>r</w:t>
      </w:r>
      <w:r>
        <w:rPr>
          <w:color w:val="464648"/>
          <w:w w:val="105"/>
          <w:sz w:val="15"/>
        </w:rPr>
        <w:t>opriately</w:t>
      </w:r>
      <w:r>
        <w:rPr>
          <w:color w:val="464648"/>
          <w:spacing w:val="1"/>
          <w:w w:val="105"/>
          <w:sz w:val="15"/>
        </w:rPr>
        <w:t> </w:t>
      </w:r>
      <w:r>
        <w:rPr>
          <w:color w:val="464648"/>
          <w:w w:val="115"/>
          <w:sz w:val="15"/>
        </w:rPr>
        <w:t>a,gumentative</w:t>
      </w:r>
      <w:r>
        <w:rPr>
          <w:color w:val="606062"/>
          <w:w w:val="115"/>
          <w:sz w:val="15"/>
        </w:rPr>
        <w:t>,</w:t>
      </w:r>
      <w:r>
        <w:rPr>
          <w:color w:val="606062"/>
          <w:spacing w:val="1"/>
          <w:w w:val="115"/>
          <w:sz w:val="15"/>
        </w:rPr>
        <w:t> </w:t>
      </w:r>
      <w:r>
        <w:rPr>
          <w:color w:val="464648"/>
          <w:w w:val="115"/>
          <w:sz w:val="15"/>
        </w:rPr>
        <w:t>ending</w:t>
      </w:r>
      <w:r>
        <w:rPr>
          <w:color w:val="464648"/>
          <w:spacing w:val="-13"/>
          <w:w w:val="115"/>
          <w:sz w:val="15"/>
        </w:rPr>
        <w:t> </w:t>
      </w:r>
      <w:r>
        <w:rPr>
          <w:color w:val="363436"/>
          <w:w w:val="115"/>
          <w:sz w:val="15"/>
        </w:rPr>
        <w:t>the</w:t>
      </w:r>
    </w:p>
    <w:p>
      <w:pPr>
        <w:spacing w:line="244" w:lineRule="auto" w:before="12"/>
        <w:ind w:left="366" w:right="107" w:hanging="144"/>
        <w:jc w:val="right"/>
        <w:rPr>
          <w:sz w:val="15"/>
        </w:rPr>
      </w:pPr>
      <w:r>
        <w:rPr>
          <w:color w:val="363436"/>
          <w:w w:val="125"/>
          <w:sz w:val="15"/>
        </w:rPr>
        <w:t>ragraph</w:t>
      </w:r>
      <w:r>
        <w:rPr>
          <w:color w:val="363436"/>
          <w:spacing w:val="4"/>
          <w:w w:val="125"/>
          <w:sz w:val="15"/>
        </w:rPr>
        <w:t> </w:t>
      </w:r>
      <w:r>
        <w:rPr>
          <w:color w:val="464648"/>
          <w:w w:val="115"/>
          <w:sz w:val="15"/>
        </w:rPr>
        <w:t>bynoti</w:t>
      </w:r>
      <w:r>
        <w:rPr>
          <w:color w:val="606062"/>
          <w:w w:val="115"/>
          <w:sz w:val="15"/>
        </w:rPr>
        <w:t>n</w:t>
      </w:r>
      <w:r>
        <w:rPr>
          <w:color w:val="363436"/>
          <w:w w:val="115"/>
          <w:sz w:val="15"/>
        </w:rPr>
        <w:t>g</w:t>
      </w:r>
      <w:r>
        <w:rPr>
          <w:color w:val="363436"/>
          <w:spacing w:val="1"/>
          <w:w w:val="115"/>
          <w:sz w:val="15"/>
        </w:rPr>
        <w:t> </w:t>
      </w:r>
      <w:r>
        <w:rPr>
          <w:color w:val="464648"/>
          <w:w w:val="110"/>
          <w:sz w:val="15"/>
        </w:rPr>
        <w:t>that </w:t>
      </w:r>
      <w:r>
        <w:rPr>
          <w:color w:val="363436"/>
          <w:w w:val="110"/>
          <w:sz w:val="15"/>
        </w:rPr>
        <w:t>more </w:t>
      </w:r>
      <w:r>
        <w:rPr>
          <w:color w:val="464648"/>
          <w:w w:val="110"/>
          <w:sz w:val="15"/>
        </w:rPr>
        <w:t>of the</w:t>
      </w:r>
      <w:r>
        <w:rPr>
          <w:color w:val="464648"/>
          <w:spacing w:val="1"/>
          <w:w w:val="110"/>
          <w:sz w:val="15"/>
        </w:rPr>
        <w:t> </w:t>
      </w:r>
      <w:r>
        <w:rPr>
          <w:color w:val="363436"/>
          <w:w w:val="105"/>
          <w:sz w:val="15"/>
        </w:rPr>
        <w:t>circuits</w:t>
      </w:r>
      <w:r>
        <w:rPr>
          <w:color w:val="363436"/>
          <w:spacing w:val="-10"/>
          <w:w w:val="105"/>
          <w:sz w:val="15"/>
        </w:rPr>
        <w:t> </w:t>
      </w:r>
      <w:r>
        <w:rPr>
          <w:color w:val="464648"/>
          <w:w w:val="105"/>
          <w:sz w:val="15"/>
        </w:rPr>
        <w:t>a</w:t>
      </w:r>
      <w:r>
        <w:rPr>
          <w:color w:val="606062"/>
          <w:w w:val="105"/>
          <w:sz w:val="15"/>
        </w:rPr>
        <w:t>r</w:t>
      </w:r>
      <w:r>
        <w:rPr>
          <w:color w:val="363436"/>
          <w:w w:val="105"/>
          <w:sz w:val="15"/>
        </w:rPr>
        <w:t>e</w:t>
      </w:r>
      <w:r>
        <w:rPr>
          <w:color w:val="363436"/>
          <w:spacing w:val="21"/>
          <w:w w:val="105"/>
          <w:sz w:val="15"/>
        </w:rPr>
        <w:t> </w:t>
      </w:r>
      <w:r>
        <w:rPr>
          <w:color w:val="464648"/>
          <w:w w:val="105"/>
          <w:sz w:val="15"/>
        </w:rPr>
        <w:t>on</w:t>
      </w:r>
      <w:r>
        <w:rPr>
          <w:color w:val="464648"/>
          <w:spacing w:val="22"/>
          <w:w w:val="105"/>
          <w:sz w:val="15"/>
        </w:rPr>
        <w:t> </w:t>
      </w:r>
      <w:r>
        <w:rPr>
          <w:color w:val="464648"/>
          <w:w w:val="105"/>
          <w:sz w:val="15"/>
        </w:rPr>
        <w:t>her</w:t>
      </w:r>
      <w:r>
        <w:rPr>
          <w:color w:val="464648"/>
          <w:spacing w:val="-36"/>
          <w:w w:val="105"/>
          <w:sz w:val="15"/>
        </w:rPr>
        <w:t> </w:t>
      </w:r>
      <w:r>
        <w:rPr>
          <w:color w:val="464648"/>
          <w:spacing w:val="-1"/>
          <w:w w:val="110"/>
          <w:sz w:val="15"/>
        </w:rPr>
        <w:t>side.</w:t>
      </w:r>
      <w:r>
        <w:rPr>
          <w:color w:val="464648"/>
          <w:spacing w:val="-14"/>
          <w:w w:val="110"/>
          <w:sz w:val="15"/>
        </w:rPr>
        <w:t> </w:t>
      </w:r>
      <w:r>
        <w:rPr>
          <w:color w:val="363436"/>
          <w:spacing w:val="-1"/>
          <w:w w:val="110"/>
          <w:sz w:val="15"/>
        </w:rPr>
        <w:t>This</w:t>
      </w:r>
      <w:r>
        <w:rPr>
          <w:color w:val="363436"/>
          <w:spacing w:val="-26"/>
          <w:w w:val="110"/>
          <w:sz w:val="15"/>
        </w:rPr>
        <w:t> </w:t>
      </w:r>
      <w:r>
        <w:rPr>
          <w:color w:val="464648"/>
          <w:spacing w:val="-1"/>
          <w:w w:val="110"/>
          <w:sz w:val="15"/>
        </w:rPr>
        <w:t>case</w:t>
      </w:r>
      <w:r>
        <w:rPr>
          <w:color w:val="464648"/>
          <w:spacing w:val="-18"/>
          <w:w w:val="110"/>
          <w:sz w:val="15"/>
        </w:rPr>
        <w:t> </w:t>
      </w:r>
      <w:r>
        <w:rPr>
          <w:color w:val="464648"/>
          <w:w w:val="110"/>
          <w:sz w:val="15"/>
        </w:rPr>
        <w:t>is</w:t>
      </w:r>
    </w:p>
    <w:p>
      <w:pPr>
        <w:spacing w:line="247" w:lineRule="auto" w:before="5"/>
        <w:ind w:left="263" w:right="127" w:hanging="25"/>
        <w:jc w:val="right"/>
        <w:rPr>
          <w:sz w:val="15"/>
        </w:rPr>
      </w:pPr>
      <w:r>
        <w:rPr>
          <w:color w:val="464648"/>
          <w:w w:val="105"/>
          <w:sz w:val="15"/>
        </w:rPr>
        <w:t>st-t</w:t>
      </w:r>
      <w:r>
        <w:rPr>
          <w:color w:val="464648"/>
          <w:spacing w:val="-6"/>
          <w:w w:val="105"/>
          <w:sz w:val="15"/>
        </w:rPr>
        <w:t> </w:t>
      </w:r>
      <w:r>
        <w:rPr>
          <w:color w:val="363436"/>
          <w:w w:val="105"/>
          <w:sz w:val="15"/>
        </w:rPr>
        <w:t>in</w:t>
      </w:r>
      <w:r>
        <w:rPr>
          <w:color w:val="363436"/>
          <w:spacing w:val="-6"/>
          <w:w w:val="105"/>
          <w:sz w:val="15"/>
        </w:rPr>
        <w:t> </w:t>
      </w:r>
      <w:r>
        <w:rPr>
          <w:color w:val="363436"/>
          <w:w w:val="105"/>
          <w:sz w:val="15"/>
        </w:rPr>
        <w:t>the</w:t>
      </w:r>
      <w:r>
        <w:rPr>
          <w:color w:val="363436"/>
          <w:spacing w:val="12"/>
          <w:w w:val="105"/>
          <w:sz w:val="15"/>
        </w:rPr>
        <w:t> </w:t>
      </w:r>
      <w:r>
        <w:rPr>
          <w:color w:val="464648"/>
          <w:w w:val="105"/>
          <w:sz w:val="15"/>
        </w:rPr>
        <w:t>D</w:t>
      </w:r>
      <w:r>
        <w:rPr>
          <w:color w:val="606062"/>
          <w:w w:val="105"/>
          <w:sz w:val="15"/>
        </w:rPr>
        <w:t>i</w:t>
      </w:r>
      <w:r>
        <w:rPr>
          <w:color w:val="464648"/>
          <w:w w:val="105"/>
          <w:sz w:val="15"/>
        </w:rPr>
        <w:t>strict</w:t>
      </w:r>
      <w:r>
        <w:rPr>
          <w:color w:val="464648"/>
          <w:spacing w:val="5"/>
          <w:w w:val="105"/>
          <w:sz w:val="15"/>
        </w:rPr>
        <w:t> </w:t>
      </w:r>
      <w:r>
        <w:rPr>
          <w:color w:val="464648"/>
          <w:w w:val="105"/>
          <w:sz w:val="15"/>
        </w:rPr>
        <w:t>of</w:t>
      </w:r>
      <w:r>
        <w:rPr>
          <w:color w:val="464648"/>
          <w:spacing w:val="-36"/>
          <w:w w:val="105"/>
          <w:sz w:val="15"/>
        </w:rPr>
        <w:t> </w:t>
      </w:r>
      <w:r>
        <w:rPr>
          <w:color w:val="363436"/>
          <w:sz w:val="15"/>
        </w:rPr>
        <w:t>Rhode</w:t>
      </w:r>
      <w:r>
        <w:rPr>
          <w:color w:val="363436"/>
          <w:spacing w:val="-7"/>
          <w:sz w:val="15"/>
        </w:rPr>
        <w:t> </w:t>
      </w:r>
      <w:r>
        <w:rPr>
          <w:color w:val="464648"/>
          <w:sz w:val="15"/>
        </w:rPr>
        <w:t>Island</w:t>
      </w:r>
      <w:r>
        <w:rPr>
          <w:color w:val="606062"/>
          <w:sz w:val="15"/>
        </w:rPr>
        <w:t>;</w:t>
      </w:r>
      <w:r>
        <w:rPr>
          <w:color w:val="606062"/>
          <w:spacing w:val="10"/>
          <w:sz w:val="15"/>
        </w:rPr>
        <w:t> </w:t>
      </w:r>
      <w:r>
        <w:rPr>
          <w:color w:val="606062"/>
          <w:sz w:val="15"/>
        </w:rPr>
        <w:t>i</w:t>
      </w:r>
      <w:r>
        <w:rPr>
          <w:color w:val="464648"/>
          <w:sz w:val="15"/>
        </w:rPr>
        <w:t>f</w:t>
      </w:r>
      <w:r>
        <w:rPr>
          <w:color w:val="464648"/>
          <w:spacing w:val="-2"/>
          <w:sz w:val="15"/>
        </w:rPr>
        <w:t> </w:t>
      </w:r>
      <w:r>
        <w:rPr>
          <w:color w:val="464648"/>
          <w:sz w:val="15"/>
        </w:rPr>
        <w:t>she</w:t>
      </w:r>
      <w:r>
        <w:rPr>
          <w:color w:val="464648"/>
          <w:spacing w:val="1"/>
          <w:sz w:val="15"/>
        </w:rPr>
        <w:t> </w:t>
      </w:r>
      <w:r>
        <w:rPr>
          <w:color w:val="363436"/>
          <w:w w:val="105"/>
          <w:sz w:val="15"/>
        </w:rPr>
        <w:t>were</w:t>
      </w:r>
      <w:r>
        <w:rPr>
          <w:color w:val="363436"/>
          <w:spacing w:val="-4"/>
          <w:w w:val="105"/>
          <w:sz w:val="15"/>
        </w:rPr>
        <w:t> </w:t>
      </w:r>
      <w:r>
        <w:rPr>
          <w:color w:val="464648"/>
          <w:w w:val="105"/>
          <w:sz w:val="15"/>
        </w:rPr>
        <w:t>on</w:t>
      </w:r>
      <w:r>
        <w:rPr>
          <w:color w:val="464648"/>
          <w:spacing w:val="33"/>
          <w:w w:val="105"/>
          <w:sz w:val="15"/>
        </w:rPr>
        <w:t> </w:t>
      </w:r>
      <w:r>
        <w:rPr>
          <w:color w:val="464648"/>
          <w:w w:val="105"/>
          <w:sz w:val="15"/>
        </w:rPr>
        <w:t>t</w:t>
      </w:r>
      <w:r>
        <w:rPr>
          <w:color w:val="606062"/>
          <w:w w:val="105"/>
          <w:sz w:val="15"/>
        </w:rPr>
        <w:t>h</w:t>
      </w:r>
      <w:r>
        <w:rPr>
          <w:color w:val="464648"/>
          <w:w w:val="105"/>
          <w:sz w:val="15"/>
        </w:rPr>
        <w:t>e</w:t>
      </w:r>
      <w:r>
        <w:rPr>
          <w:color w:val="464648"/>
          <w:spacing w:val="10"/>
          <w:w w:val="105"/>
          <w:sz w:val="15"/>
        </w:rPr>
        <w:t> </w:t>
      </w:r>
      <w:r>
        <w:rPr>
          <w:color w:val="464648"/>
          <w:w w:val="105"/>
          <w:sz w:val="15"/>
        </w:rPr>
        <w:t>other</w:t>
      </w:r>
    </w:p>
    <w:p>
      <w:pPr>
        <w:spacing w:line="244" w:lineRule="auto" w:before="81"/>
        <w:ind w:left="236" w:right="445" w:firstLine="29"/>
        <w:jc w:val="both"/>
        <w:rPr>
          <w:sz w:val="20"/>
        </w:rPr>
      </w:pPr>
      <w:r>
        <w:rPr/>
        <w:br w:type="column"/>
      </w:r>
      <w:r>
        <w:rPr>
          <w:color w:val="363436"/>
          <w:w w:val="115"/>
          <w:sz w:val="21"/>
          <w:u w:val="thick" w:color="464648"/>
        </w:rPr>
        <w:t>Mills. </w:t>
      </w:r>
      <w:r>
        <w:rPr>
          <w:color w:val="363436"/>
          <w:w w:val="115"/>
          <w:sz w:val="20"/>
          <w:u w:val="thick" w:color="464648"/>
        </w:rPr>
        <w:t>Inc </w:t>
      </w:r>
      <w:r>
        <w:rPr>
          <w:color w:val="464648"/>
          <w:w w:val="115"/>
          <w:sz w:val="20"/>
          <w:u w:val="thick" w:color="464648"/>
        </w:rPr>
        <w:t>.•</w:t>
      </w:r>
      <w:r>
        <w:rPr>
          <w:color w:val="464648"/>
          <w:w w:val="115"/>
          <w:sz w:val="20"/>
        </w:rPr>
        <w:t> </w:t>
      </w:r>
      <w:r>
        <w:rPr>
          <w:color w:val="363436"/>
          <w:w w:val="115"/>
          <w:sz w:val="20"/>
        </w:rPr>
        <w:t>108</w:t>
      </w:r>
      <w:r>
        <w:rPr>
          <w:color w:val="363436"/>
          <w:spacing w:val="1"/>
          <w:w w:val="115"/>
          <w:sz w:val="20"/>
        </w:rPr>
        <w:t> </w:t>
      </w:r>
      <w:r>
        <w:rPr>
          <w:color w:val="363436"/>
          <w:w w:val="115"/>
          <w:sz w:val="20"/>
        </w:rPr>
        <w:t>F.3d 429, </w:t>
      </w:r>
      <w:r>
        <w:rPr>
          <w:i/>
          <w:color w:val="363436"/>
          <w:w w:val="115"/>
          <w:sz w:val="20"/>
        </w:rPr>
        <w:t>444 </w:t>
      </w:r>
      <w:r>
        <w:rPr>
          <w:color w:val="363436"/>
          <w:w w:val="115"/>
          <w:sz w:val="20"/>
        </w:rPr>
        <w:t>(1st Cir. 1997) </w:t>
      </w:r>
      <w:r>
        <w:rPr>
          <w:color w:val="464648"/>
          <w:w w:val="115"/>
          <w:sz w:val="20"/>
        </w:rPr>
        <w:t>(declining </w:t>
      </w:r>
      <w:r>
        <w:rPr>
          <w:color w:val="363436"/>
          <w:w w:val="115"/>
          <w:sz w:val="20"/>
        </w:rPr>
        <w:t>to consider</w:t>
      </w:r>
      <w:r>
        <w:rPr>
          <w:color w:val="363436"/>
          <w:spacing w:val="1"/>
          <w:w w:val="115"/>
          <w:sz w:val="20"/>
        </w:rPr>
        <w:t> </w:t>
      </w:r>
      <w:r>
        <w:rPr>
          <w:color w:val="363436"/>
          <w:spacing w:val="-1"/>
          <w:w w:val="120"/>
          <w:sz w:val="20"/>
        </w:rPr>
        <w:t>whether</w:t>
      </w:r>
      <w:r>
        <w:rPr>
          <w:color w:val="363436"/>
          <w:spacing w:val="-22"/>
          <w:w w:val="120"/>
          <w:sz w:val="20"/>
        </w:rPr>
        <w:t> </w:t>
      </w:r>
      <w:r>
        <w:rPr>
          <w:color w:val="363436"/>
          <w:spacing w:val="-1"/>
          <w:w w:val="120"/>
          <w:sz w:val="20"/>
        </w:rPr>
        <w:t>Title</w:t>
      </w:r>
      <w:r>
        <w:rPr>
          <w:color w:val="363436"/>
          <w:spacing w:val="-27"/>
          <w:w w:val="120"/>
          <w:sz w:val="20"/>
        </w:rPr>
        <w:t> </w:t>
      </w:r>
      <w:r>
        <w:rPr>
          <w:color w:val="363436"/>
          <w:spacing w:val="-1"/>
          <w:w w:val="120"/>
          <w:sz w:val="20"/>
        </w:rPr>
        <w:t>VII</w:t>
      </w:r>
      <w:r>
        <w:rPr>
          <w:color w:val="363436"/>
          <w:spacing w:val="-12"/>
          <w:w w:val="120"/>
          <w:sz w:val="20"/>
        </w:rPr>
        <w:t> </w:t>
      </w:r>
      <w:r>
        <w:rPr>
          <w:color w:val="363436"/>
          <w:spacing w:val="-1"/>
          <w:w w:val="120"/>
          <w:sz w:val="20"/>
        </w:rPr>
        <w:t>provides</w:t>
      </w:r>
      <w:r>
        <w:rPr>
          <w:color w:val="363436"/>
          <w:spacing w:val="-17"/>
          <w:w w:val="120"/>
          <w:sz w:val="20"/>
        </w:rPr>
        <w:t> </w:t>
      </w:r>
      <w:r>
        <w:rPr>
          <w:color w:val="363436"/>
          <w:spacing w:val="-1"/>
          <w:w w:val="120"/>
          <w:sz w:val="20"/>
        </w:rPr>
        <w:t>for</w:t>
      </w:r>
      <w:r>
        <w:rPr>
          <w:color w:val="363436"/>
          <w:spacing w:val="-7"/>
          <w:w w:val="120"/>
          <w:sz w:val="20"/>
        </w:rPr>
        <w:t> </w:t>
      </w:r>
      <w:r>
        <w:rPr>
          <w:color w:val="363436"/>
          <w:spacing w:val="-1"/>
          <w:w w:val="120"/>
          <w:sz w:val="20"/>
        </w:rPr>
        <w:t>individual</w:t>
      </w:r>
      <w:r>
        <w:rPr>
          <w:color w:val="363436"/>
          <w:spacing w:val="-10"/>
          <w:w w:val="120"/>
          <w:sz w:val="20"/>
        </w:rPr>
        <w:t> </w:t>
      </w:r>
      <w:r>
        <w:rPr>
          <w:color w:val="363436"/>
          <w:w w:val="120"/>
          <w:sz w:val="20"/>
        </w:rPr>
        <w:t>liability);</w:t>
      </w:r>
      <w:r>
        <w:rPr>
          <w:color w:val="363436"/>
          <w:spacing w:val="-26"/>
          <w:w w:val="120"/>
          <w:sz w:val="20"/>
        </w:rPr>
        <w:t> </w:t>
      </w:r>
      <w:r>
        <w:rPr>
          <w:color w:val="363436"/>
          <w:w w:val="120"/>
          <w:sz w:val="20"/>
          <w:u w:val="thick" w:color="464648"/>
        </w:rPr>
        <w:t>Scarfo</w:t>
      </w:r>
      <w:r>
        <w:rPr>
          <w:color w:val="363436"/>
          <w:spacing w:val="-7"/>
          <w:w w:val="120"/>
          <w:sz w:val="20"/>
          <w:u w:val="thick" w:color="464648"/>
        </w:rPr>
        <w:t> </w:t>
      </w:r>
      <w:r>
        <w:rPr>
          <w:i/>
          <w:color w:val="363436"/>
          <w:w w:val="120"/>
          <w:sz w:val="21"/>
          <w:u w:val="thick" w:color="464648"/>
        </w:rPr>
        <w:t>v.</w:t>
      </w:r>
      <w:r>
        <w:rPr>
          <w:i/>
          <w:color w:val="363436"/>
          <w:spacing w:val="-32"/>
          <w:w w:val="120"/>
          <w:sz w:val="21"/>
          <w:u w:val="thick" w:color="464648"/>
        </w:rPr>
        <w:t> </w:t>
      </w:r>
      <w:r>
        <w:rPr>
          <w:color w:val="464648"/>
          <w:w w:val="120"/>
          <w:sz w:val="20"/>
          <w:u w:val="thick" w:color="464648"/>
        </w:rPr>
        <w:t>Cabletron</w:t>
      </w:r>
      <w:r>
        <w:rPr>
          <w:color w:val="464648"/>
          <w:spacing w:val="1"/>
          <w:w w:val="120"/>
          <w:sz w:val="20"/>
        </w:rPr>
        <w:t> </w:t>
      </w:r>
      <w:r>
        <w:rPr>
          <w:color w:val="363436"/>
          <w:w w:val="120"/>
          <w:sz w:val="21"/>
          <w:u w:val="thick" w:color="363436"/>
        </w:rPr>
        <w:t>Sys.</w:t>
      </w:r>
      <w:r>
        <w:rPr>
          <w:color w:val="363436"/>
          <w:spacing w:val="-9"/>
          <w:w w:val="120"/>
          <w:sz w:val="21"/>
          <w:u w:val="thick" w:color="363436"/>
        </w:rPr>
        <w:t> </w:t>
      </w:r>
      <w:r>
        <w:rPr>
          <w:color w:val="363436"/>
          <w:w w:val="120"/>
          <w:sz w:val="20"/>
          <w:u w:val="thick" w:color="363436"/>
        </w:rPr>
        <w:t>Inc.•</w:t>
      </w:r>
      <w:r>
        <w:rPr>
          <w:color w:val="363436"/>
          <w:spacing w:val="-5"/>
          <w:w w:val="120"/>
          <w:sz w:val="20"/>
        </w:rPr>
        <w:t> </w:t>
      </w:r>
      <w:r>
        <w:rPr>
          <w:color w:val="363436"/>
          <w:w w:val="120"/>
          <w:sz w:val="20"/>
        </w:rPr>
        <w:t>54</w:t>
      </w:r>
      <w:r>
        <w:rPr>
          <w:color w:val="363436"/>
          <w:spacing w:val="11"/>
          <w:w w:val="120"/>
          <w:sz w:val="20"/>
        </w:rPr>
        <w:t> </w:t>
      </w:r>
      <w:r>
        <w:rPr>
          <w:color w:val="363436"/>
          <w:w w:val="120"/>
          <w:sz w:val="20"/>
        </w:rPr>
        <w:t>F.3d</w:t>
      </w:r>
      <w:r>
        <w:rPr>
          <w:color w:val="363436"/>
          <w:spacing w:val="-6"/>
          <w:w w:val="120"/>
          <w:sz w:val="20"/>
        </w:rPr>
        <w:t> </w:t>
      </w:r>
      <w:r>
        <w:rPr>
          <w:color w:val="363436"/>
          <w:w w:val="120"/>
          <w:sz w:val="20"/>
        </w:rPr>
        <w:t>931.</w:t>
      </w:r>
      <w:r>
        <w:rPr>
          <w:color w:val="363436"/>
          <w:spacing w:val="-14"/>
          <w:w w:val="120"/>
          <w:sz w:val="20"/>
        </w:rPr>
        <w:t> </w:t>
      </w:r>
      <w:r>
        <w:rPr>
          <w:color w:val="363436"/>
          <w:w w:val="120"/>
          <w:sz w:val="20"/>
        </w:rPr>
        <w:t>951-52</w:t>
      </w:r>
      <w:r>
        <w:rPr>
          <w:color w:val="363436"/>
          <w:spacing w:val="-14"/>
          <w:w w:val="120"/>
          <w:sz w:val="20"/>
        </w:rPr>
        <w:t> </w:t>
      </w:r>
      <w:r>
        <w:rPr>
          <w:color w:val="363436"/>
          <w:w w:val="120"/>
          <w:sz w:val="20"/>
        </w:rPr>
        <w:t>(1st</w:t>
      </w:r>
      <w:r>
        <w:rPr>
          <w:color w:val="363436"/>
          <w:spacing w:val="-9"/>
          <w:w w:val="120"/>
          <w:sz w:val="20"/>
        </w:rPr>
        <w:t> </w:t>
      </w:r>
      <w:r>
        <w:rPr>
          <w:color w:val="464648"/>
          <w:w w:val="120"/>
          <w:sz w:val="20"/>
        </w:rPr>
        <w:t>Cir.</w:t>
      </w:r>
      <w:r>
        <w:rPr>
          <w:color w:val="464648"/>
          <w:spacing w:val="-9"/>
          <w:w w:val="120"/>
          <w:sz w:val="20"/>
        </w:rPr>
        <w:t> </w:t>
      </w:r>
      <w:r>
        <w:rPr>
          <w:color w:val="363436"/>
          <w:w w:val="120"/>
          <w:sz w:val="20"/>
        </w:rPr>
        <w:t>1995)</w:t>
      </w:r>
      <w:r>
        <w:rPr>
          <w:color w:val="363436"/>
          <w:spacing w:val="-8"/>
          <w:w w:val="120"/>
          <w:sz w:val="20"/>
        </w:rPr>
        <w:t> </w:t>
      </w:r>
      <w:r>
        <w:rPr>
          <w:color w:val="363436"/>
          <w:w w:val="120"/>
          <w:sz w:val="20"/>
        </w:rPr>
        <w:t>(because</w:t>
      </w:r>
      <w:r>
        <w:rPr>
          <w:color w:val="363436"/>
          <w:spacing w:val="-14"/>
          <w:w w:val="120"/>
          <w:sz w:val="20"/>
        </w:rPr>
        <w:t> </w:t>
      </w:r>
      <w:r>
        <w:rPr>
          <w:color w:val="363436"/>
          <w:w w:val="120"/>
          <w:sz w:val="20"/>
        </w:rPr>
        <w:t>the</w:t>
      </w:r>
      <w:r>
        <w:rPr>
          <w:color w:val="363436"/>
          <w:spacing w:val="20"/>
          <w:w w:val="120"/>
          <w:sz w:val="20"/>
        </w:rPr>
        <w:t> </w:t>
      </w:r>
      <w:r>
        <w:rPr>
          <w:color w:val="363436"/>
          <w:w w:val="120"/>
          <w:sz w:val="20"/>
        </w:rPr>
        <w:t>law</w:t>
      </w:r>
      <w:r>
        <w:rPr>
          <w:color w:val="363436"/>
          <w:spacing w:val="-4"/>
          <w:w w:val="120"/>
          <w:sz w:val="20"/>
        </w:rPr>
        <w:t> </w:t>
      </w:r>
      <w:r>
        <w:rPr>
          <w:color w:val="363436"/>
          <w:w w:val="120"/>
          <w:sz w:val="20"/>
        </w:rPr>
        <w:t>on</w:t>
      </w:r>
      <w:r>
        <w:rPr>
          <w:color w:val="363436"/>
          <w:spacing w:val="8"/>
          <w:w w:val="120"/>
          <w:sz w:val="20"/>
        </w:rPr>
        <w:t> </w:t>
      </w:r>
      <w:r>
        <w:rPr>
          <w:color w:val="363436"/>
          <w:w w:val="120"/>
          <w:sz w:val="20"/>
        </w:rPr>
        <w:t>the</w:t>
      </w:r>
      <w:r>
        <w:rPr>
          <w:color w:val="363436"/>
          <w:spacing w:val="-57"/>
          <w:w w:val="120"/>
          <w:sz w:val="20"/>
        </w:rPr>
        <w:t> </w:t>
      </w:r>
      <w:r>
        <w:rPr>
          <w:color w:val="363436"/>
          <w:w w:val="120"/>
          <w:sz w:val="20"/>
        </w:rPr>
        <w:t>point of individual liability has not been decided in the First Circuit,</w:t>
      </w:r>
      <w:r>
        <w:rPr>
          <w:color w:val="363436"/>
          <w:spacing w:val="1"/>
          <w:w w:val="120"/>
          <w:sz w:val="20"/>
        </w:rPr>
        <w:t> </w:t>
      </w:r>
      <w:r>
        <w:rPr>
          <w:color w:val="363436"/>
          <w:w w:val="120"/>
          <w:sz w:val="20"/>
        </w:rPr>
        <w:t>the</w:t>
      </w:r>
      <w:r>
        <w:rPr>
          <w:color w:val="363436"/>
          <w:spacing w:val="1"/>
          <w:w w:val="120"/>
          <w:sz w:val="20"/>
        </w:rPr>
        <w:t> </w:t>
      </w:r>
      <w:r>
        <w:rPr>
          <w:color w:val="363436"/>
          <w:w w:val="120"/>
          <w:sz w:val="20"/>
        </w:rPr>
        <w:t>district court did</w:t>
      </w:r>
      <w:r>
        <w:rPr>
          <w:color w:val="363436"/>
          <w:spacing w:val="1"/>
          <w:w w:val="120"/>
          <w:sz w:val="20"/>
        </w:rPr>
        <w:t> </w:t>
      </w:r>
      <w:r>
        <w:rPr>
          <w:color w:val="363436"/>
          <w:w w:val="120"/>
          <w:sz w:val="20"/>
        </w:rPr>
        <w:t>not commit</w:t>
      </w:r>
      <w:r>
        <w:rPr>
          <w:color w:val="363436"/>
          <w:spacing w:val="1"/>
          <w:w w:val="120"/>
          <w:sz w:val="20"/>
        </w:rPr>
        <w:t> </w:t>
      </w:r>
      <w:r>
        <w:rPr>
          <w:color w:val="363436"/>
          <w:w w:val="120"/>
          <w:sz w:val="20"/>
        </w:rPr>
        <w:t>plain</w:t>
      </w:r>
      <w:r>
        <w:rPr>
          <w:color w:val="363436"/>
          <w:spacing w:val="1"/>
          <w:w w:val="120"/>
          <w:sz w:val="20"/>
        </w:rPr>
        <w:t> </w:t>
      </w:r>
      <w:r>
        <w:rPr>
          <w:color w:val="363436"/>
          <w:w w:val="120"/>
          <w:sz w:val="20"/>
        </w:rPr>
        <w:t>error when</w:t>
      </w:r>
      <w:r>
        <w:rPr>
          <w:color w:val="363436"/>
          <w:spacing w:val="1"/>
          <w:w w:val="120"/>
          <w:sz w:val="20"/>
        </w:rPr>
        <w:t> </w:t>
      </w:r>
      <w:r>
        <w:rPr>
          <w:color w:val="363436"/>
          <w:w w:val="120"/>
          <w:sz w:val="20"/>
        </w:rPr>
        <w:t>it</w:t>
      </w:r>
      <w:r>
        <w:rPr>
          <w:color w:val="363436"/>
          <w:spacing w:val="1"/>
          <w:w w:val="120"/>
          <w:sz w:val="20"/>
        </w:rPr>
        <w:t> </w:t>
      </w:r>
      <w:r>
        <w:rPr>
          <w:color w:val="363436"/>
          <w:w w:val="120"/>
          <w:sz w:val="20"/>
        </w:rPr>
        <w:t>held</w:t>
      </w:r>
      <w:r>
        <w:rPr>
          <w:color w:val="363436"/>
          <w:spacing w:val="1"/>
          <w:w w:val="120"/>
          <w:sz w:val="20"/>
        </w:rPr>
        <w:t> </w:t>
      </w:r>
      <w:r>
        <w:rPr>
          <w:color w:val="363436"/>
          <w:w w:val="120"/>
          <w:sz w:val="20"/>
        </w:rPr>
        <w:t>that a</w:t>
      </w:r>
      <w:r>
        <w:rPr>
          <w:color w:val="363436"/>
          <w:spacing w:val="1"/>
          <w:w w:val="120"/>
          <w:sz w:val="20"/>
        </w:rPr>
        <w:t> </w:t>
      </w:r>
      <w:r>
        <w:rPr>
          <w:color w:val="464648"/>
          <w:w w:val="120"/>
          <w:sz w:val="20"/>
        </w:rPr>
        <w:t>supervisor</w:t>
      </w:r>
      <w:r>
        <w:rPr>
          <w:color w:val="464648"/>
          <w:spacing w:val="-9"/>
          <w:w w:val="120"/>
          <w:sz w:val="20"/>
        </w:rPr>
        <w:t> </w:t>
      </w:r>
      <w:r>
        <w:rPr>
          <w:color w:val="363436"/>
          <w:w w:val="120"/>
          <w:sz w:val="20"/>
        </w:rPr>
        <w:t>could</w:t>
      </w:r>
      <w:r>
        <w:rPr>
          <w:color w:val="363436"/>
          <w:spacing w:val="-3"/>
          <w:w w:val="120"/>
          <w:sz w:val="20"/>
        </w:rPr>
        <w:t> </w:t>
      </w:r>
      <w:r>
        <w:rPr>
          <w:color w:val="363436"/>
          <w:w w:val="120"/>
          <w:sz w:val="20"/>
        </w:rPr>
        <w:t>be</w:t>
      </w:r>
      <w:r>
        <w:rPr>
          <w:color w:val="363436"/>
          <w:spacing w:val="-11"/>
          <w:w w:val="120"/>
          <w:sz w:val="20"/>
        </w:rPr>
        <w:t> </w:t>
      </w:r>
      <w:r>
        <w:rPr>
          <w:color w:val="363436"/>
          <w:w w:val="120"/>
          <w:sz w:val="20"/>
        </w:rPr>
        <w:t>liable)</w:t>
      </w:r>
      <w:r>
        <w:rPr>
          <w:color w:val="606062"/>
          <w:w w:val="120"/>
          <w:sz w:val="20"/>
        </w:rPr>
        <w:t>.</w:t>
      </w:r>
    </w:p>
    <w:p>
      <w:pPr>
        <w:spacing w:line="242" w:lineRule="auto" w:before="128"/>
        <w:ind w:left="223" w:right="442" w:firstLine="32"/>
        <w:jc w:val="right"/>
        <w:rPr>
          <w:sz w:val="20"/>
        </w:rPr>
      </w:pPr>
      <w:r>
        <w:rPr>
          <w:b/>
          <w:color w:val="363436"/>
          <w:w w:val="110"/>
          <w:sz w:val="20"/>
        </w:rPr>
        <w:t>Differing</w:t>
      </w:r>
      <w:r>
        <w:rPr>
          <w:b/>
          <w:color w:val="363436"/>
          <w:spacing w:val="23"/>
          <w:w w:val="110"/>
          <w:sz w:val="20"/>
        </w:rPr>
        <w:t> </w:t>
      </w:r>
      <w:r>
        <w:rPr>
          <w:b/>
          <w:color w:val="363436"/>
          <w:w w:val="110"/>
          <w:sz w:val="20"/>
        </w:rPr>
        <w:t>interpretations</w:t>
      </w:r>
      <w:r>
        <w:rPr>
          <w:b/>
          <w:color w:val="363436"/>
          <w:spacing w:val="-12"/>
          <w:w w:val="110"/>
          <w:sz w:val="20"/>
        </w:rPr>
        <w:t> </w:t>
      </w:r>
      <w:r>
        <w:rPr>
          <w:b/>
          <w:color w:val="363436"/>
          <w:w w:val="110"/>
          <w:sz w:val="20"/>
        </w:rPr>
        <w:t>of</w:t>
      </w:r>
      <w:r>
        <w:rPr>
          <w:b/>
          <w:color w:val="363436"/>
          <w:spacing w:val="41"/>
          <w:w w:val="110"/>
          <w:sz w:val="20"/>
        </w:rPr>
        <w:t> </w:t>
      </w:r>
      <w:r>
        <w:rPr>
          <w:b/>
          <w:color w:val="363436"/>
          <w:w w:val="110"/>
          <w:sz w:val="20"/>
        </w:rPr>
        <w:t>the</w:t>
      </w:r>
      <w:r>
        <w:rPr>
          <w:b/>
          <w:color w:val="363436"/>
          <w:spacing w:val="40"/>
          <w:w w:val="110"/>
          <w:sz w:val="20"/>
        </w:rPr>
        <w:t> </w:t>
      </w:r>
      <w:r>
        <w:rPr>
          <w:b/>
          <w:color w:val="363436"/>
          <w:w w:val="110"/>
          <w:sz w:val="20"/>
        </w:rPr>
        <w:t>phrase</w:t>
      </w:r>
      <w:r>
        <w:rPr>
          <w:b/>
          <w:color w:val="363436"/>
          <w:spacing w:val="4"/>
          <w:w w:val="110"/>
          <w:sz w:val="20"/>
        </w:rPr>
        <w:t> </w:t>
      </w:r>
      <w:r>
        <w:rPr>
          <w:b/>
          <w:color w:val="363436"/>
          <w:w w:val="110"/>
          <w:sz w:val="20"/>
        </w:rPr>
        <w:t>"and</w:t>
      </w:r>
      <w:r>
        <w:rPr>
          <w:b/>
          <w:color w:val="363436"/>
          <w:spacing w:val="-2"/>
          <w:w w:val="110"/>
          <w:sz w:val="20"/>
        </w:rPr>
        <w:t> </w:t>
      </w:r>
      <w:r>
        <w:rPr>
          <w:b/>
          <w:color w:val="363436"/>
          <w:w w:val="110"/>
          <w:sz w:val="20"/>
        </w:rPr>
        <w:t>any</w:t>
      </w:r>
      <w:r>
        <w:rPr>
          <w:b/>
          <w:color w:val="363436"/>
          <w:spacing w:val="27"/>
          <w:w w:val="110"/>
          <w:sz w:val="20"/>
        </w:rPr>
        <w:t> </w:t>
      </w:r>
      <w:r>
        <w:rPr>
          <w:b/>
          <w:color w:val="363436"/>
          <w:w w:val="110"/>
          <w:sz w:val="20"/>
        </w:rPr>
        <w:t>agent"</w:t>
      </w:r>
      <w:r>
        <w:rPr>
          <w:b/>
          <w:color w:val="363436"/>
          <w:spacing w:val="-4"/>
          <w:w w:val="110"/>
          <w:sz w:val="20"/>
        </w:rPr>
        <w:t> </w:t>
      </w:r>
      <w:r>
        <w:rPr>
          <w:b/>
          <w:color w:val="363436"/>
          <w:w w:val="110"/>
          <w:sz w:val="20"/>
        </w:rPr>
        <w:t>in</w:t>
      </w:r>
      <w:r>
        <w:rPr>
          <w:b/>
          <w:color w:val="363436"/>
          <w:spacing w:val="27"/>
          <w:w w:val="110"/>
          <w:sz w:val="20"/>
        </w:rPr>
        <w:t> </w:t>
      </w:r>
      <w:r>
        <w:rPr>
          <w:b/>
          <w:color w:val="363436"/>
          <w:w w:val="110"/>
          <w:sz w:val="20"/>
        </w:rPr>
        <w:t>the</w:t>
      </w:r>
      <w:r>
        <w:rPr>
          <w:b/>
          <w:color w:val="363436"/>
          <w:spacing w:val="7"/>
          <w:w w:val="110"/>
          <w:sz w:val="20"/>
        </w:rPr>
        <w:t> </w:t>
      </w:r>
      <w:r>
        <w:rPr>
          <w:b/>
          <w:color w:val="363436"/>
          <w:w w:val="110"/>
          <w:sz w:val="20"/>
        </w:rPr>
        <w:t>defini•</w:t>
      </w:r>
      <w:r>
        <w:rPr>
          <w:b/>
          <w:color w:val="363436"/>
          <w:spacing w:val="1"/>
          <w:w w:val="110"/>
          <w:sz w:val="20"/>
        </w:rPr>
        <w:t> </w:t>
      </w:r>
      <w:r>
        <w:rPr>
          <w:b/>
          <w:color w:val="363436"/>
          <w:w w:val="110"/>
          <w:sz w:val="20"/>
        </w:rPr>
        <w:t>tion of employer have engendered a split </w:t>
      </w:r>
      <w:r>
        <w:rPr>
          <w:b/>
          <w:color w:val="464648"/>
          <w:w w:val="110"/>
          <w:sz w:val="20"/>
        </w:rPr>
        <w:t>in </w:t>
      </w:r>
      <w:r>
        <w:rPr>
          <w:b/>
          <w:color w:val="363436"/>
          <w:w w:val="110"/>
          <w:sz w:val="20"/>
        </w:rPr>
        <w:t>the federal circuits regard­</w:t>
      </w:r>
      <w:r>
        <w:rPr>
          <w:b/>
          <w:color w:val="363436"/>
          <w:spacing w:val="1"/>
          <w:w w:val="110"/>
          <w:sz w:val="20"/>
        </w:rPr>
        <w:t> </w:t>
      </w:r>
      <w:r>
        <w:rPr>
          <w:b/>
          <w:color w:val="363436"/>
          <w:spacing w:val="-1"/>
          <w:w w:val="110"/>
          <w:sz w:val="20"/>
        </w:rPr>
        <w:t>ing</w:t>
      </w:r>
      <w:r>
        <w:rPr>
          <w:b/>
          <w:color w:val="363436"/>
          <w:w w:val="110"/>
          <w:sz w:val="20"/>
        </w:rPr>
        <w:t> whether </w:t>
      </w:r>
      <w:r>
        <w:rPr>
          <w:color w:val="363436"/>
          <w:w w:val="110"/>
          <w:sz w:val="20"/>
        </w:rPr>
        <w:t>Title </w:t>
      </w:r>
      <w:r>
        <w:rPr>
          <w:b/>
          <w:color w:val="363436"/>
          <w:w w:val="110"/>
          <w:sz w:val="20"/>
        </w:rPr>
        <w:t>VII provides for individual liability. </w:t>
      </w:r>
      <w:r>
        <w:rPr>
          <w:b/>
          <w:color w:val="464648"/>
          <w:w w:val="90"/>
          <w:sz w:val="20"/>
        </w:rPr>
        <w:t>.E.,_g,_, </w:t>
      </w:r>
      <w:r>
        <w:rPr>
          <w:b/>
          <w:color w:val="363436"/>
          <w:w w:val="110"/>
          <w:sz w:val="20"/>
          <w:u w:val="thick" w:color="363436"/>
        </w:rPr>
        <w:t>Tomka v</w:t>
      </w:r>
      <w:r>
        <w:rPr>
          <w:b/>
          <w:color w:val="363436"/>
          <w:w w:val="110"/>
          <w:sz w:val="20"/>
        </w:rPr>
        <w:t>.</w:t>
      </w:r>
      <w:r>
        <w:rPr>
          <w:b/>
          <w:color w:val="363436"/>
          <w:spacing w:val="-52"/>
          <w:w w:val="110"/>
          <w:sz w:val="20"/>
        </w:rPr>
        <w:t> </w:t>
      </w:r>
      <w:r>
        <w:rPr>
          <w:color w:val="363436"/>
          <w:w w:val="115"/>
          <w:sz w:val="20"/>
          <w:u w:val="thick" w:color="464648"/>
        </w:rPr>
        <w:t>Seiler </w:t>
      </w:r>
      <w:r>
        <w:rPr>
          <w:color w:val="464648"/>
          <w:w w:val="115"/>
          <w:sz w:val="23"/>
          <w:u w:val="thick" w:color="464648"/>
        </w:rPr>
        <w:t>Corp.</w:t>
      </w:r>
      <w:r>
        <w:rPr>
          <w:color w:val="464648"/>
          <w:w w:val="115"/>
          <w:sz w:val="23"/>
        </w:rPr>
        <w:t>. </w:t>
      </w:r>
      <w:r>
        <w:rPr>
          <w:color w:val="363436"/>
          <w:w w:val="115"/>
          <w:sz w:val="20"/>
        </w:rPr>
        <w:t>66</w:t>
      </w:r>
      <w:r>
        <w:rPr>
          <w:color w:val="363436"/>
          <w:spacing w:val="1"/>
          <w:w w:val="115"/>
          <w:sz w:val="20"/>
        </w:rPr>
        <w:t> </w:t>
      </w:r>
      <w:r>
        <w:rPr>
          <w:color w:val="363436"/>
          <w:w w:val="115"/>
          <w:sz w:val="20"/>
        </w:rPr>
        <w:t>F.3d</w:t>
      </w:r>
      <w:r>
        <w:rPr>
          <w:color w:val="363436"/>
          <w:spacing w:val="1"/>
          <w:w w:val="115"/>
          <w:sz w:val="20"/>
        </w:rPr>
        <w:t> </w:t>
      </w:r>
      <w:r>
        <w:rPr>
          <w:b/>
          <w:color w:val="363436"/>
          <w:w w:val="115"/>
          <w:sz w:val="20"/>
        </w:rPr>
        <w:t>1295, 1313 </w:t>
      </w:r>
      <w:r>
        <w:rPr>
          <w:color w:val="363436"/>
          <w:w w:val="115"/>
          <w:sz w:val="20"/>
        </w:rPr>
        <w:t>(2d </w:t>
      </w:r>
      <w:r>
        <w:rPr>
          <w:b/>
          <w:color w:val="363436"/>
          <w:w w:val="115"/>
          <w:sz w:val="20"/>
        </w:rPr>
        <w:t>Cir. 1995) (concluding </w:t>
      </w:r>
      <w:r>
        <w:rPr>
          <w:b/>
          <w:color w:val="464648"/>
          <w:w w:val="115"/>
          <w:sz w:val="20"/>
        </w:rPr>
        <w:t>Title </w:t>
      </w:r>
      <w:r>
        <w:rPr>
          <w:b/>
          <w:color w:val="363436"/>
          <w:w w:val="90"/>
          <w:sz w:val="20"/>
        </w:rPr>
        <w:t>VII</w:t>
      </w:r>
      <w:r>
        <w:rPr>
          <w:b/>
          <w:color w:val="363436"/>
          <w:spacing w:val="-42"/>
          <w:w w:val="90"/>
          <w:sz w:val="20"/>
        </w:rPr>
        <w:t> </w:t>
      </w:r>
      <w:r>
        <w:rPr>
          <w:color w:val="363436"/>
          <w:w w:val="115"/>
          <w:sz w:val="20"/>
        </w:rPr>
        <w:t>does</w:t>
      </w:r>
      <w:r>
        <w:rPr>
          <w:color w:val="363436"/>
          <w:spacing w:val="1"/>
          <w:w w:val="115"/>
          <w:sz w:val="20"/>
        </w:rPr>
        <w:t> </w:t>
      </w:r>
      <w:r>
        <w:rPr>
          <w:color w:val="363436"/>
          <w:w w:val="115"/>
          <w:sz w:val="20"/>
        </w:rPr>
        <w:t>not</w:t>
      </w:r>
      <w:r>
        <w:rPr>
          <w:color w:val="363436"/>
          <w:spacing w:val="1"/>
          <w:w w:val="115"/>
          <w:sz w:val="20"/>
        </w:rPr>
        <w:t> </w:t>
      </w:r>
      <w:r>
        <w:rPr>
          <w:color w:val="363436"/>
          <w:w w:val="115"/>
          <w:sz w:val="20"/>
        </w:rPr>
        <w:t>provide for individual</w:t>
      </w:r>
      <w:r>
        <w:rPr>
          <w:color w:val="363436"/>
          <w:spacing w:val="1"/>
          <w:w w:val="115"/>
          <w:sz w:val="20"/>
        </w:rPr>
        <w:t> </w:t>
      </w:r>
      <w:r>
        <w:rPr>
          <w:color w:val="363436"/>
          <w:w w:val="115"/>
          <w:sz w:val="20"/>
        </w:rPr>
        <w:t>liability); </w:t>
      </w:r>
      <w:r>
        <w:rPr>
          <w:b/>
          <w:color w:val="363436"/>
          <w:w w:val="115"/>
          <w:sz w:val="20"/>
          <w:u w:val="thick" w:color="464648"/>
        </w:rPr>
        <w:t>Wyss  v.  </w:t>
      </w:r>
      <w:r>
        <w:rPr>
          <w:color w:val="464648"/>
          <w:w w:val="115"/>
          <w:sz w:val="20"/>
          <w:u w:val="thick" w:color="464648"/>
        </w:rPr>
        <w:t>General  Dynamics</w:t>
      </w:r>
      <w:r>
        <w:rPr>
          <w:color w:val="464648"/>
          <w:spacing w:val="-55"/>
          <w:w w:val="115"/>
          <w:sz w:val="20"/>
        </w:rPr>
        <w:t> </w:t>
      </w:r>
      <w:r>
        <w:rPr>
          <w:color w:val="363436"/>
          <w:w w:val="115"/>
          <w:sz w:val="20"/>
        </w:rPr>
        <w:t>24  </w:t>
      </w:r>
      <w:r>
        <w:rPr>
          <w:color w:val="464648"/>
          <w:w w:val="90"/>
          <w:sz w:val="20"/>
        </w:rPr>
        <w:t>F. </w:t>
      </w:r>
      <w:r>
        <w:rPr>
          <w:b/>
          <w:color w:val="363436"/>
          <w:w w:val="115"/>
          <w:sz w:val="20"/>
        </w:rPr>
        <w:t>Supp. </w:t>
      </w:r>
      <w:r>
        <w:rPr>
          <w:b/>
          <w:color w:val="464648"/>
          <w:w w:val="115"/>
          <w:sz w:val="20"/>
        </w:rPr>
        <w:t>2d,  </w:t>
      </w:r>
      <w:r>
        <w:rPr>
          <w:color w:val="363436"/>
          <w:w w:val="115"/>
          <w:sz w:val="20"/>
        </w:rPr>
        <w:t>202, </w:t>
      </w:r>
      <w:r>
        <w:rPr>
          <w:b/>
          <w:color w:val="363436"/>
          <w:w w:val="115"/>
          <w:sz w:val="20"/>
        </w:rPr>
        <w:t>206 (D.R.I. 1998) (finding that individual</w:t>
      </w:r>
      <w:r>
        <w:rPr>
          <w:b/>
          <w:color w:val="363436"/>
          <w:spacing w:val="1"/>
          <w:w w:val="115"/>
          <w:sz w:val="20"/>
        </w:rPr>
        <w:t> </w:t>
      </w:r>
      <w:r>
        <w:rPr>
          <w:color w:val="363436"/>
          <w:w w:val="115"/>
          <w:sz w:val="20"/>
        </w:rPr>
        <w:t>liability is appropriate under Title VII).</w:t>
      </w:r>
      <w:r>
        <w:rPr>
          <w:color w:val="363436"/>
          <w:spacing w:val="1"/>
          <w:w w:val="115"/>
          <w:sz w:val="20"/>
        </w:rPr>
        <w:t> </w:t>
      </w:r>
      <w:r>
        <w:rPr>
          <w:rFonts w:ascii="Arial" w:hAnsi="Arial"/>
          <w:b/>
          <w:color w:val="363436"/>
          <w:w w:val="115"/>
          <w:sz w:val="15"/>
        </w:rPr>
        <w:t>4</w:t>
      </w:r>
      <w:r>
        <w:rPr>
          <w:rFonts w:ascii="Arial" w:hAnsi="Arial"/>
          <w:b/>
          <w:color w:val="363436"/>
          <w:spacing w:val="1"/>
          <w:w w:val="115"/>
          <w:sz w:val="15"/>
        </w:rPr>
        <w:t> </w:t>
      </w:r>
      <w:r>
        <w:rPr>
          <w:color w:val="363436"/>
          <w:w w:val="115"/>
          <w:sz w:val="20"/>
        </w:rPr>
        <w:t>The</w:t>
      </w:r>
      <w:r>
        <w:rPr>
          <w:color w:val="363436"/>
          <w:spacing w:val="1"/>
          <w:w w:val="115"/>
          <w:sz w:val="20"/>
        </w:rPr>
        <w:t> </w:t>
      </w:r>
      <w:r>
        <w:rPr>
          <w:color w:val="464648"/>
          <w:w w:val="115"/>
          <w:sz w:val="20"/>
        </w:rPr>
        <w:t>vast </w:t>
      </w:r>
      <w:r>
        <w:rPr>
          <w:color w:val="363436"/>
          <w:w w:val="115"/>
          <w:sz w:val="20"/>
        </w:rPr>
        <w:t>majority of circuits</w:t>
      </w:r>
      <w:r>
        <w:rPr>
          <w:color w:val="363436"/>
          <w:spacing w:val="1"/>
          <w:w w:val="115"/>
          <w:sz w:val="20"/>
        </w:rPr>
        <w:t> </w:t>
      </w:r>
      <w:r>
        <w:rPr>
          <w:color w:val="363436"/>
          <w:w w:val="115"/>
          <w:sz w:val="20"/>
        </w:rPr>
        <w:t>deciding this issue</w:t>
      </w:r>
      <w:r>
        <w:rPr>
          <w:color w:val="363436"/>
          <w:spacing w:val="1"/>
          <w:w w:val="115"/>
          <w:sz w:val="20"/>
        </w:rPr>
        <w:t> </w:t>
      </w:r>
      <w:r>
        <w:rPr>
          <w:color w:val="363436"/>
          <w:w w:val="115"/>
          <w:sz w:val="20"/>
        </w:rPr>
        <w:t>have </w:t>
      </w:r>
      <w:r>
        <w:rPr>
          <w:color w:val="464648"/>
          <w:w w:val="115"/>
          <w:sz w:val="20"/>
        </w:rPr>
        <w:t>determined  </w:t>
      </w:r>
      <w:r>
        <w:rPr>
          <w:color w:val="363436"/>
          <w:w w:val="115"/>
          <w:sz w:val="20"/>
        </w:rPr>
        <w:t>that  Title VII  was </w:t>
      </w:r>
      <w:r>
        <w:rPr>
          <w:color w:val="363436"/>
          <w:spacing w:val="1"/>
          <w:w w:val="115"/>
          <w:sz w:val="20"/>
        </w:rPr>
        <w:t> </w:t>
      </w:r>
      <w:r>
        <w:rPr>
          <w:color w:val="363436"/>
          <w:w w:val="115"/>
          <w:sz w:val="20"/>
        </w:rPr>
        <w:t>intended  only</w:t>
      </w:r>
      <w:r>
        <w:rPr>
          <w:color w:val="363436"/>
          <w:spacing w:val="-55"/>
          <w:w w:val="115"/>
          <w:sz w:val="20"/>
        </w:rPr>
        <w:t> </w:t>
      </w:r>
      <w:r>
        <w:rPr>
          <w:color w:val="363436"/>
          <w:w w:val="115"/>
          <w:sz w:val="20"/>
        </w:rPr>
        <w:t>to</w:t>
      </w:r>
      <w:r>
        <w:rPr>
          <w:color w:val="363436"/>
          <w:spacing w:val="55"/>
          <w:w w:val="115"/>
          <w:sz w:val="20"/>
        </w:rPr>
        <w:t> </w:t>
      </w:r>
      <w:r>
        <w:rPr>
          <w:color w:val="363436"/>
          <w:w w:val="115"/>
          <w:sz w:val="20"/>
        </w:rPr>
        <w:t>impose</w:t>
      </w:r>
      <w:r>
        <w:rPr>
          <w:color w:val="363436"/>
          <w:spacing w:val="44"/>
          <w:w w:val="115"/>
          <w:sz w:val="20"/>
        </w:rPr>
        <w:t> </w:t>
      </w:r>
      <w:r>
        <w:rPr>
          <w:color w:val="363436"/>
          <w:w w:val="115"/>
          <w:sz w:val="20"/>
        </w:rPr>
        <w:t>vicarious</w:t>
      </w:r>
      <w:r>
        <w:rPr>
          <w:color w:val="363436"/>
          <w:spacing w:val="39"/>
          <w:w w:val="115"/>
          <w:sz w:val="20"/>
        </w:rPr>
        <w:t> </w:t>
      </w:r>
      <w:r>
        <w:rPr>
          <w:color w:val="363436"/>
          <w:w w:val="115"/>
          <w:sz w:val="20"/>
        </w:rPr>
        <w:t>liability</w:t>
      </w:r>
      <w:r>
        <w:rPr>
          <w:color w:val="363436"/>
          <w:spacing w:val="35"/>
          <w:w w:val="115"/>
          <w:sz w:val="20"/>
        </w:rPr>
        <w:t> </w:t>
      </w:r>
      <w:r>
        <w:rPr>
          <w:color w:val="363436"/>
          <w:w w:val="115"/>
          <w:sz w:val="20"/>
        </w:rPr>
        <w:t>on  </w:t>
      </w:r>
      <w:r>
        <w:rPr>
          <w:color w:val="464648"/>
          <w:w w:val="115"/>
          <w:sz w:val="20"/>
        </w:rPr>
        <w:t>employers.</w:t>
      </w:r>
      <w:r>
        <w:rPr>
          <w:color w:val="464648"/>
          <w:spacing w:val="33"/>
          <w:w w:val="115"/>
          <w:sz w:val="20"/>
        </w:rPr>
        <w:t> </w:t>
      </w:r>
      <w:r>
        <w:rPr>
          <w:rFonts w:ascii="Arial" w:hAnsi="Arial"/>
          <w:color w:val="363436"/>
          <w:w w:val="115"/>
          <w:sz w:val="19"/>
        </w:rPr>
        <w:t>E.g.,</w:t>
      </w:r>
      <w:r>
        <w:rPr>
          <w:rFonts w:ascii="Arial" w:hAnsi="Arial"/>
          <w:color w:val="363436"/>
          <w:spacing w:val="26"/>
          <w:w w:val="115"/>
          <w:sz w:val="19"/>
        </w:rPr>
        <w:t> </w:t>
      </w:r>
      <w:r>
        <w:rPr>
          <w:color w:val="363436"/>
          <w:w w:val="115"/>
          <w:sz w:val="20"/>
          <w:u w:val="thick" w:color="363436"/>
        </w:rPr>
        <w:t>Tomka</w:t>
      </w:r>
      <w:r>
        <w:rPr>
          <w:color w:val="363436"/>
          <w:w w:val="115"/>
          <w:sz w:val="20"/>
        </w:rPr>
        <w:t>.</w:t>
      </w:r>
      <w:r>
        <w:rPr>
          <w:color w:val="363436"/>
          <w:spacing w:val="37"/>
          <w:w w:val="115"/>
          <w:sz w:val="20"/>
        </w:rPr>
        <w:t> </w:t>
      </w:r>
      <w:r>
        <w:rPr>
          <w:color w:val="363436"/>
          <w:w w:val="115"/>
          <w:sz w:val="20"/>
        </w:rPr>
        <w:t>66</w:t>
      </w:r>
      <w:r>
        <w:rPr>
          <w:color w:val="363436"/>
          <w:spacing w:val="5"/>
          <w:w w:val="115"/>
          <w:sz w:val="20"/>
        </w:rPr>
        <w:t> </w:t>
      </w:r>
      <w:r>
        <w:rPr>
          <w:color w:val="363436"/>
          <w:w w:val="115"/>
          <w:sz w:val="20"/>
        </w:rPr>
        <w:t>F.3d</w:t>
      </w:r>
      <w:r>
        <w:rPr>
          <w:color w:val="363436"/>
          <w:spacing w:val="33"/>
          <w:w w:val="115"/>
          <w:sz w:val="20"/>
        </w:rPr>
        <w:t> </w:t>
      </w:r>
      <w:r>
        <w:rPr>
          <w:color w:val="363436"/>
          <w:w w:val="115"/>
          <w:sz w:val="20"/>
        </w:rPr>
        <w:t>at</w:t>
      </w:r>
    </w:p>
    <w:p>
      <w:pPr>
        <w:spacing w:before="33"/>
        <w:ind w:left="226" w:right="0" w:firstLine="0"/>
        <w:jc w:val="both"/>
        <w:rPr>
          <w:rFonts w:ascii="Arial"/>
          <w:b/>
          <w:sz w:val="15"/>
        </w:rPr>
      </w:pPr>
      <w:r>
        <w:rPr>
          <w:b/>
          <w:color w:val="363436"/>
          <w:w w:val="120"/>
          <w:sz w:val="20"/>
        </w:rPr>
        <w:t>1313.</w:t>
      </w:r>
      <w:r>
        <w:rPr>
          <w:b/>
          <w:color w:val="363436"/>
          <w:spacing w:val="26"/>
          <w:w w:val="120"/>
          <w:sz w:val="20"/>
        </w:rPr>
        <w:t> </w:t>
      </w:r>
      <w:r>
        <w:rPr>
          <w:rFonts w:ascii="Arial"/>
          <w:b/>
          <w:color w:val="363436"/>
          <w:w w:val="120"/>
          <w:sz w:val="15"/>
        </w:rPr>
        <w:t>5</w:t>
      </w:r>
    </w:p>
    <w:p>
      <w:pPr>
        <w:spacing w:after="0"/>
        <w:jc w:val="both"/>
        <w:rPr>
          <w:rFonts w:ascii="Arial"/>
          <w:sz w:val="15"/>
        </w:rPr>
        <w:sectPr>
          <w:headerReference w:type="even" r:id="rId273"/>
          <w:headerReference w:type="default" r:id="rId274"/>
          <w:pgSz w:w="9750" w:h="14070"/>
          <w:pgMar w:header="472" w:footer="0" w:top="1040" w:bottom="0" w:left="380" w:right="260"/>
          <w:pgNumType w:start="242"/>
          <w:cols w:num="2" w:equalWidth="0">
            <w:col w:w="1663" w:space="61"/>
            <w:col w:w="7386"/>
          </w:cols>
        </w:sectPr>
      </w:pPr>
    </w:p>
    <w:p>
      <w:pPr>
        <w:spacing w:line="210" w:lineRule="exact" w:before="0"/>
        <w:ind w:left="0" w:right="123" w:firstLine="0"/>
        <w:jc w:val="right"/>
        <w:rPr>
          <w:sz w:val="23"/>
        </w:rPr>
      </w:pPr>
      <w:r>
        <w:rPr/>
        <w:pict>
          <v:shape style="position:absolute;margin-left:29.045719pt;margin-top:7.14835pt;width:343.4pt;height:11.8pt;mso-position-horizontal-relative:page;mso-position-vertical-relative:paragraph;z-index:-21594112" type="#_x0000_t202" id="docshape443" filled="false" stroked="false">
            <v:textbox inset="0,0,0,0">
              <w:txbxContent>
                <w:p>
                  <w:pPr>
                    <w:tabs>
                      <w:tab w:pos="2002" w:val="left" w:leader="none"/>
                      <w:tab w:pos="4947" w:val="left" w:leader="none"/>
                      <w:tab w:pos="5561" w:val="left" w:leader="none"/>
                      <w:tab w:pos="6757" w:val="left" w:leader="none"/>
                    </w:tabs>
                    <w:spacing w:line="235" w:lineRule="exact" w:before="0"/>
                    <w:ind w:left="0" w:right="0" w:firstLine="0"/>
                    <w:jc w:val="left"/>
                    <w:rPr>
                      <w:rFonts w:ascii="Arial" w:hAnsi="Arial"/>
                      <w:sz w:val="21"/>
                    </w:rPr>
                  </w:pPr>
                  <w:r>
                    <w:rPr>
                      <w:color w:val="363436"/>
                      <w:w w:val="105"/>
                      <w:sz w:val="15"/>
                    </w:rPr>
                    <w:t>she </w:t>
                  </w:r>
                  <w:r>
                    <w:rPr>
                      <w:color w:val="363436"/>
                      <w:spacing w:val="34"/>
                      <w:w w:val="105"/>
                      <w:sz w:val="15"/>
                    </w:rPr>
                    <w:t> </w:t>
                  </w:r>
                  <w:r>
                    <w:rPr>
                      <w:color w:val="363436"/>
                      <w:w w:val="105"/>
                      <w:sz w:val="15"/>
                    </w:rPr>
                    <w:t>might</w:t>
                  </w:r>
                  <w:r>
                    <w:rPr>
                      <w:color w:val="363436"/>
                      <w:spacing w:val="15"/>
                      <w:w w:val="105"/>
                      <w:sz w:val="15"/>
                    </w:rPr>
                    <w:t> </w:t>
                  </w:r>
                  <w:r>
                    <w:rPr>
                      <w:color w:val="464648"/>
                      <w:w w:val="105"/>
                      <w:sz w:val="15"/>
                    </w:rPr>
                    <w:t>note</w:t>
                  </w:r>
                  <w:r>
                    <w:rPr>
                      <w:color w:val="464648"/>
                      <w:spacing w:val="-5"/>
                      <w:w w:val="105"/>
                      <w:sz w:val="15"/>
                    </w:rPr>
                    <w:t> </w:t>
                  </w:r>
                  <w:r>
                    <w:rPr>
                      <w:color w:val="464648"/>
                      <w:w w:val="105"/>
                      <w:sz w:val="15"/>
                    </w:rPr>
                    <w:t>that</w:t>
                    <w:tab/>
                  </w:r>
                  <w:r>
                    <w:rPr>
                      <w:color w:val="363436"/>
                      <w:w w:val="105"/>
                      <w:sz w:val="15"/>
                    </w:rPr>
                    <w:t>.</w:t>
                    <w:tab/>
                  </w:r>
                  <w:r>
                    <w:rPr>
                      <w:color w:val="464648"/>
                      <w:w w:val="105"/>
                      <w:sz w:val="15"/>
                    </w:rPr>
                    <w:t>·</w:t>
                    <w:tab/>
                  </w:r>
                  <w:r>
                    <w:rPr>
                      <w:rFonts w:ascii="Arial" w:hAnsi="Arial"/>
                      <w:color w:val="363436"/>
                      <w:w w:val="105"/>
                      <w:sz w:val="21"/>
                    </w:rPr>
                    <w:t>h</w:t>
                  </w:r>
                  <w:r>
                    <w:rPr>
                      <w:rFonts w:ascii="Arial" w:hAnsi="Arial"/>
                      <w:color w:val="363436"/>
                      <w:spacing w:val="20"/>
                      <w:w w:val="105"/>
                      <w:sz w:val="21"/>
                    </w:rPr>
                    <w:t> </w:t>
                  </w:r>
                  <w:r>
                    <w:rPr>
                      <w:rFonts w:ascii="Arial" w:hAnsi="Arial"/>
                      <w:color w:val="464648"/>
                      <w:w w:val="105"/>
                      <w:sz w:val="21"/>
                    </w:rPr>
                    <w:t>·</w:t>
                    <w:tab/>
                  </w:r>
                  <w:r>
                    <w:rPr>
                      <w:rFonts w:ascii="Arial" w:hAnsi="Arial"/>
                      <w:color w:val="363436"/>
                      <w:spacing w:val="-19"/>
                      <w:w w:val="105"/>
                      <w:sz w:val="21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>
          <w:color w:val="464648"/>
          <w:spacing w:val="-1"/>
          <w:w w:val="110"/>
          <w:sz w:val="15"/>
        </w:rPr>
        <w:t>side</w:t>
      </w:r>
      <w:r>
        <w:rPr>
          <w:color w:val="464648"/>
          <w:spacing w:val="-20"/>
          <w:w w:val="110"/>
          <w:sz w:val="15"/>
        </w:rPr>
        <w:t> </w:t>
      </w:r>
      <w:r>
        <w:rPr>
          <w:color w:val="363436"/>
          <w:spacing w:val="-1"/>
          <w:w w:val="110"/>
          <w:sz w:val="15"/>
        </w:rPr>
        <w:t>of</w:t>
      </w:r>
      <w:r>
        <w:rPr>
          <w:color w:val="363436"/>
          <w:spacing w:val="5"/>
          <w:w w:val="110"/>
          <w:sz w:val="15"/>
        </w:rPr>
        <w:t> </w:t>
      </w:r>
      <w:r>
        <w:rPr>
          <w:color w:val="464648"/>
          <w:spacing w:val="-1"/>
          <w:w w:val="110"/>
          <w:sz w:val="15"/>
        </w:rPr>
        <w:t>the</w:t>
      </w:r>
      <w:r>
        <w:rPr>
          <w:color w:val="464648"/>
          <w:spacing w:val="13"/>
          <w:w w:val="110"/>
          <w:sz w:val="15"/>
        </w:rPr>
        <w:t> </w:t>
      </w:r>
      <w:r>
        <w:rPr>
          <w:color w:val="464648"/>
          <w:spacing w:val="-1"/>
          <w:w w:val="110"/>
          <w:sz w:val="15"/>
        </w:rPr>
        <w:t>case.</w:t>
      </w:r>
      <w:r>
        <w:rPr>
          <w:color w:val="464648"/>
          <w:spacing w:val="-26"/>
          <w:w w:val="110"/>
          <w:sz w:val="15"/>
        </w:rPr>
        <w:t> </w:t>
      </w:r>
      <w:r>
        <w:rPr>
          <w:color w:val="464648"/>
          <w:spacing w:val="-1"/>
          <w:w w:val="110"/>
          <w:sz w:val="23"/>
        </w:rPr>
        <w:t>The</w:t>
      </w:r>
      <w:r>
        <w:rPr>
          <w:color w:val="464648"/>
          <w:spacing w:val="9"/>
          <w:w w:val="110"/>
          <w:sz w:val="23"/>
        </w:rPr>
        <w:t> </w:t>
      </w:r>
      <w:r>
        <w:rPr>
          <w:color w:val="363436"/>
          <w:spacing w:val="-1"/>
          <w:w w:val="110"/>
          <w:sz w:val="23"/>
        </w:rPr>
        <w:t>backstory </w:t>
      </w:r>
      <w:r>
        <w:rPr>
          <w:color w:val="363436"/>
          <w:w w:val="110"/>
          <w:sz w:val="23"/>
        </w:rPr>
        <w:t>for</w:t>
      </w:r>
      <w:r>
        <w:rPr>
          <w:color w:val="363436"/>
          <w:spacing w:val="-9"/>
          <w:w w:val="110"/>
          <w:sz w:val="23"/>
        </w:rPr>
        <w:t> </w:t>
      </w:r>
      <w:r>
        <w:rPr>
          <w:color w:val="464648"/>
          <w:w w:val="110"/>
          <w:sz w:val="23"/>
        </w:rPr>
        <w:t>subsections</w:t>
      </w:r>
      <w:r>
        <w:rPr>
          <w:color w:val="464648"/>
          <w:spacing w:val="1"/>
          <w:w w:val="110"/>
          <w:sz w:val="23"/>
        </w:rPr>
        <w:t> </w:t>
      </w:r>
      <w:r>
        <w:rPr>
          <w:color w:val="363436"/>
          <w:w w:val="110"/>
          <w:sz w:val="23"/>
        </w:rPr>
        <w:t>within the</w:t>
      </w:r>
      <w:r>
        <w:rPr>
          <w:color w:val="363436"/>
          <w:spacing w:val="2"/>
          <w:w w:val="110"/>
          <w:sz w:val="23"/>
        </w:rPr>
        <w:t> </w:t>
      </w:r>
      <w:r>
        <w:rPr>
          <w:color w:val="464648"/>
          <w:w w:val="110"/>
          <w:sz w:val="23"/>
        </w:rPr>
        <w:t>argument</w:t>
      </w:r>
      <w:r>
        <w:rPr>
          <w:color w:val="464648"/>
          <w:spacing w:val="19"/>
          <w:w w:val="110"/>
          <w:sz w:val="23"/>
        </w:rPr>
        <w:t> </w:t>
      </w:r>
      <w:r>
        <w:rPr>
          <w:color w:val="363436"/>
          <w:w w:val="110"/>
          <w:sz w:val="23"/>
        </w:rPr>
        <w:t>may</w:t>
      </w:r>
      <w:r>
        <w:rPr>
          <w:color w:val="363436"/>
          <w:spacing w:val="-8"/>
          <w:w w:val="110"/>
          <w:sz w:val="23"/>
        </w:rPr>
        <w:t> </w:t>
      </w:r>
      <w:r>
        <w:rPr>
          <w:color w:val="363436"/>
          <w:w w:val="110"/>
          <w:sz w:val="23"/>
        </w:rPr>
        <w:t>be</w:t>
      </w:r>
      <w:r>
        <w:rPr>
          <w:color w:val="363436"/>
          <w:spacing w:val="-4"/>
          <w:w w:val="110"/>
          <w:sz w:val="23"/>
        </w:rPr>
        <w:t> </w:t>
      </w:r>
      <w:r>
        <w:rPr>
          <w:color w:val="363436"/>
          <w:w w:val="110"/>
          <w:sz w:val="23"/>
        </w:rPr>
        <w:t>much shorter.</w:t>
      </w:r>
    </w:p>
    <w:p>
      <w:pPr>
        <w:pStyle w:val="BodyText"/>
        <w:spacing w:line="232" w:lineRule="auto" w:before="21"/>
        <w:ind w:left="278" w:right="124" w:firstLine="2"/>
        <w:jc w:val="right"/>
      </w:pPr>
      <w:r>
        <w:rPr/>
        <w:pict>
          <v:shape style="position:absolute;margin-left:46.774536pt;margin-top:16.873699pt;width:46.2pt;height:25.05pt;mso-position-horizontal-relative:page;mso-position-vertical-relative:paragraph;z-index:-21595648" type="#_x0000_t202" id="docshape444" filled="false" stroked="false">
            <v:textbox inset="0,0,0,0">
              <w:txbxContent>
                <w:p>
                  <w:pPr>
                    <w:spacing w:line="500" w:lineRule="exact" w:before="0"/>
                    <w:ind w:left="0" w:right="0" w:firstLine="0"/>
                    <w:jc w:val="left"/>
                    <w:rPr>
                      <w:sz w:val="45"/>
                    </w:rPr>
                  </w:pPr>
                  <w:r>
                    <w:rPr>
                      <w:color w:val="363436"/>
                      <w:spacing w:val="-3"/>
                      <w:w w:val="60"/>
                      <w:sz w:val="45"/>
                    </w:rPr>
                    <w:t>t:t</w:t>
                  </w:r>
                  <w:r>
                    <w:rPr>
                      <w:color w:val="363436"/>
                      <w:spacing w:val="4"/>
                      <w:w w:val="60"/>
                      <w:sz w:val="45"/>
                    </w:rPr>
                    <w:t> </w:t>
                  </w:r>
                  <w:r>
                    <w:rPr>
                      <w:color w:val="363436"/>
                      <w:spacing w:val="-2"/>
                      <w:w w:val="60"/>
                      <w:sz w:val="45"/>
                    </w:rPr>
                    <w:t>t</w:t>
                  </w:r>
                  <w:r>
                    <w:rPr>
                      <w:color w:val="363436"/>
                      <w:spacing w:val="33"/>
                      <w:sz w:val="45"/>
                    </w:rPr>
                    <w:t> </w:t>
                  </w:r>
                  <w:r>
                    <w:rPr>
                      <w:color w:val="363436"/>
                      <w:spacing w:val="-2"/>
                      <w:w w:val="60"/>
                      <w:sz w:val="45"/>
                    </w:rPr>
                    <w:t>C:::</w:t>
                  </w:r>
                </w:p>
              </w:txbxContent>
            </v:textbox>
            <w10:wrap type="none"/>
          </v:shape>
        </w:pict>
      </w:r>
      <w:r>
        <w:rPr>
          <w:color w:val="363436"/>
          <w:spacing w:val="-1"/>
          <w:w w:val="117"/>
          <w:sz w:val="15"/>
        </w:rPr>
        <w:t>althoug</w:t>
      </w:r>
      <w:r>
        <w:rPr>
          <w:color w:val="363436"/>
          <w:w w:val="117"/>
          <w:sz w:val="15"/>
        </w:rPr>
        <w:t>h</w:t>
      </w:r>
      <w:r>
        <w:rPr>
          <w:color w:val="363436"/>
          <w:spacing w:val="6"/>
          <w:sz w:val="15"/>
        </w:rPr>
        <w:t> </w:t>
      </w:r>
      <w:r>
        <w:rPr>
          <w:color w:val="363436"/>
          <w:spacing w:val="-1"/>
          <w:w w:val="116"/>
          <w:sz w:val="15"/>
        </w:rPr>
        <w:t>ther</w:t>
      </w:r>
      <w:r>
        <w:rPr>
          <w:color w:val="363436"/>
          <w:w w:val="116"/>
          <w:sz w:val="15"/>
        </w:rPr>
        <w:t>e</w:t>
      </w:r>
      <w:r>
        <w:rPr>
          <w:color w:val="363436"/>
          <w:spacing w:val="-14"/>
          <w:sz w:val="15"/>
        </w:rPr>
        <w:t> </w:t>
      </w:r>
      <w:r>
        <w:rPr>
          <w:color w:val="464648"/>
          <w:spacing w:val="-1"/>
          <w:w w:val="116"/>
          <w:sz w:val="15"/>
        </w:rPr>
        <w:t>i</w:t>
      </w:r>
      <w:r>
        <w:rPr>
          <w:color w:val="464648"/>
          <w:spacing w:val="-65"/>
          <w:w w:val="116"/>
          <w:sz w:val="15"/>
        </w:rPr>
        <w:t>s</w:t>
      </w:r>
      <w:r>
        <w:rPr>
          <w:color w:val="363436"/>
          <w:w w:val="107"/>
          <w:sz w:val="15"/>
        </w:rPr>
        <w:t>a</w:t>
      </w:r>
      <w:r>
        <w:rPr>
          <w:color w:val="363436"/>
          <w:sz w:val="15"/>
        </w:rPr>
        <w:t>  </w:t>
      </w:r>
      <w:r>
        <w:rPr>
          <w:color w:val="363436"/>
          <w:spacing w:val="4"/>
          <w:sz w:val="15"/>
        </w:rPr>
        <w:t> </w:t>
      </w:r>
      <w:r>
        <w:rPr>
          <w:color w:val="464648"/>
          <w:spacing w:val="-1"/>
          <w:w w:val="108"/>
        </w:rPr>
        <w:t>Sometimes</w:t>
      </w:r>
      <w:r>
        <w:rPr>
          <w:color w:val="464648"/>
          <w:w w:val="108"/>
        </w:rPr>
        <w:t>,</w:t>
      </w:r>
      <w:r>
        <w:rPr>
          <w:color w:val="464648"/>
          <w:spacing w:val="8"/>
        </w:rPr>
        <w:t> </w:t>
      </w:r>
      <w:r>
        <w:rPr>
          <w:color w:val="363436"/>
          <w:spacing w:val="-1"/>
          <w:w w:val="108"/>
        </w:rPr>
        <w:t>th</w:t>
      </w:r>
      <w:r>
        <w:rPr>
          <w:color w:val="363436"/>
          <w:w w:val="108"/>
        </w:rPr>
        <w:t>e</w:t>
      </w:r>
      <w:r>
        <w:rPr>
          <w:color w:val="363436"/>
        </w:rPr>
        <w:t> </w:t>
      </w:r>
      <w:r>
        <w:rPr>
          <w:color w:val="363436"/>
          <w:spacing w:val="-22"/>
        </w:rPr>
        <w:t> </w:t>
      </w:r>
      <w:r>
        <w:rPr>
          <w:color w:val="464648"/>
          <w:w w:val="106"/>
        </w:rPr>
        <w:t>backstory</w:t>
      </w:r>
      <w:r>
        <w:rPr>
          <w:color w:val="464648"/>
        </w:rPr>
        <w:t> </w:t>
      </w:r>
      <w:r>
        <w:rPr>
          <w:color w:val="363436"/>
          <w:spacing w:val="-1"/>
          <w:w w:val="106"/>
        </w:rPr>
        <w:t>ma</w:t>
      </w:r>
      <w:r>
        <w:rPr>
          <w:color w:val="363436"/>
          <w:w w:val="106"/>
        </w:rPr>
        <w:t>y</w:t>
      </w:r>
      <w:r>
        <w:rPr>
          <w:color w:val="363436"/>
          <w:spacing w:val="23"/>
        </w:rPr>
        <w:t> </w:t>
      </w:r>
      <w:r>
        <w:rPr>
          <w:color w:val="363436"/>
          <w:w w:val="110"/>
        </w:rPr>
        <w:t>require</w:t>
      </w:r>
      <w:r>
        <w:rPr>
          <w:color w:val="363436"/>
          <w:spacing w:val="-6"/>
        </w:rPr>
        <w:t> </w:t>
      </w:r>
      <w:r>
        <w:rPr>
          <w:color w:val="363436"/>
          <w:w w:val="110"/>
        </w:rPr>
        <w:t>not</w:t>
      </w:r>
      <w:r>
        <w:rPr>
          <w:color w:val="363436"/>
        </w:rPr>
        <w:t>  </w:t>
      </w:r>
      <w:r>
        <w:rPr>
          <w:color w:val="363436"/>
          <w:spacing w:val="3"/>
        </w:rPr>
        <w:t> </w:t>
      </w:r>
      <w:r>
        <w:rPr>
          <w:color w:val="363436"/>
          <w:spacing w:val="-1"/>
          <w:w w:val="110"/>
        </w:rPr>
        <w:t>m</w:t>
      </w:r>
      <w:r>
        <w:rPr>
          <w:color w:val="363436"/>
          <w:w w:val="110"/>
        </w:rPr>
        <w:t>g</w:t>
      </w:r>
      <w:r>
        <w:rPr>
          <w:color w:val="363436"/>
          <w:spacing w:val="3"/>
        </w:rPr>
        <w:t> </w:t>
      </w:r>
      <w:r>
        <w:rPr>
          <w:color w:val="363436"/>
          <w:spacing w:val="-1"/>
          <w:w w:val="112"/>
        </w:rPr>
        <w:t>mor</w:t>
      </w:r>
      <w:r>
        <w:rPr>
          <w:color w:val="363436"/>
          <w:w w:val="112"/>
        </w:rPr>
        <w:t>e</w:t>
      </w:r>
      <w:r>
        <w:rPr>
          <w:color w:val="363436"/>
          <w:spacing w:val="-1"/>
        </w:rPr>
        <w:t> </w:t>
      </w:r>
      <w:r>
        <w:rPr>
          <w:color w:val="363436"/>
          <w:w w:val="112"/>
        </w:rPr>
        <w:t>t</w:t>
      </w:r>
      <w:r>
        <w:rPr>
          <w:color w:val="363436"/>
        </w:rPr>
        <w:t>  </w:t>
      </w:r>
      <w:r>
        <w:rPr>
          <w:color w:val="363436"/>
          <w:spacing w:val="-29"/>
        </w:rPr>
        <w:t> </w:t>
      </w:r>
      <w:r>
        <w:rPr>
          <w:color w:val="363436"/>
          <w:spacing w:val="-1"/>
          <w:w w:val="112"/>
        </w:rPr>
        <w:t>a</w:t>
      </w:r>
      <w:r>
        <w:rPr>
          <w:color w:val="363436"/>
          <w:w w:val="112"/>
        </w:rPr>
        <w:t>n</w:t>
      </w:r>
      <w:r>
        <w:rPr>
          <w:color w:val="363436"/>
          <w:spacing w:val="7"/>
        </w:rPr>
        <w:t> </w:t>
      </w:r>
      <w:r>
        <w:rPr>
          <w:color w:val="363436"/>
          <w:w w:val="112"/>
        </w:rPr>
        <w:t>a</w:t>
      </w:r>
      <w:r>
        <w:rPr>
          <w:color w:val="363436"/>
          <w:spacing w:val="-2"/>
        </w:rPr>
        <w:t> </w:t>
      </w:r>
      <w:r>
        <w:rPr>
          <w:color w:val="363436"/>
          <w:spacing w:val="-1"/>
          <w:w w:val="111"/>
        </w:rPr>
        <w:t>sentence</w:t>
      </w:r>
      <w:r>
        <w:rPr>
          <w:color w:val="363436"/>
          <w:w w:val="111"/>
        </w:rPr>
        <w:t>.</w:t>
      </w:r>
      <w:r>
        <w:rPr>
          <w:color w:val="363436"/>
          <w:spacing w:val="-3"/>
        </w:rPr>
        <w:t> </w:t>
      </w:r>
      <w:r>
        <w:rPr>
          <w:color w:val="363436"/>
          <w:spacing w:val="-1"/>
          <w:w w:val="83"/>
        </w:rPr>
        <w:t>You </w:t>
      </w:r>
      <w:r>
        <w:rPr>
          <w:color w:val="464648"/>
          <w:w w:val="105"/>
          <w:sz w:val="15"/>
        </w:rPr>
        <w:t>spl</w:t>
      </w:r>
      <w:r>
        <w:rPr>
          <w:color w:val="606062"/>
          <w:w w:val="105"/>
          <w:sz w:val="15"/>
        </w:rPr>
        <w:t>i</w:t>
      </w:r>
      <w:r>
        <w:rPr>
          <w:color w:val="464648"/>
          <w:w w:val="105"/>
          <w:sz w:val="15"/>
        </w:rPr>
        <w:t>t in the </w:t>
      </w:r>
      <w:r>
        <w:rPr>
          <w:color w:val="606062"/>
          <w:w w:val="105"/>
          <w:sz w:val="15"/>
        </w:rPr>
        <w:t>c</w:t>
      </w:r>
      <w:r>
        <w:rPr>
          <w:color w:val="464648"/>
          <w:w w:val="105"/>
          <w:sz w:val="15"/>
        </w:rPr>
        <w:t>ircu</w:t>
      </w:r>
      <w:r>
        <w:rPr>
          <w:color w:val="606062"/>
          <w:w w:val="105"/>
          <w:sz w:val="15"/>
        </w:rPr>
        <w:t>i</w:t>
      </w:r>
      <w:r>
        <w:rPr>
          <w:color w:val="464648"/>
          <w:w w:val="105"/>
          <w:sz w:val="15"/>
        </w:rPr>
        <w:t>ts,</w:t>
      </w:r>
      <w:r>
        <w:rPr>
          <w:color w:val="464648"/>
          <w:spacing w:val="1"/>
          <w:w w:val="105"/>
          <w:sz w:val="15"/>
        </w:rPr>
        <w:t> </w:t>
      </w:r>
      <w:r>
        <w:rPr>
          <w:color w:val="363436"/>
          <w:w w:val="105"/>
        </w:rPr>
        <w:t>may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need </w:t>
      </w:r>
      <w:r>
        <w:rPr>
          <w:color w:val="464648"/>
          <w:w w:val="105"/>
        </w:rPr>
        <w:t>slightly </w:t>
      </w:r>
      <w:r>
        <w:rPr>
          <w:color w:val="363436"/>
          <w:w w:val="105"/>
        </w:rPr>
        <w:t>more detail if, for example,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you are analyzing a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part </w:t>
      </w:r>
      <w:r>
        <w:rPr>
          <w:color w:val="464648"/>
          <w:w w:val="105"/>
        </w:rPr>
        <w:t>of </w:t>
      </w:r>
      <w:r>
        <w:rPr>
          <w:color w:val="363436"/>
          <w:w w:val="105"/>
        </w:rPr>
        <w:t>a</w:t>
      </w:r>
      <w:r>
        <w:rPr>
          <w:color w:val="363436"/>
          <w:spacing w:val="-58"/>
          <w:w w:val="105"/>
        </w:rPr>
        <w:t> </w:t>
      </w:r>
      <w:r>
        <w:rPr>
          <w:color w:val="363436"/>
          <w:w w:val="105"/>
        </w:rPr>
        <w:t>rule</w:t>
      </w:r>
      <w:r>
        <w:rPr>
          <w:color w:val="363436"/>
          <w:spacing w:val="-12"/>
          <w:w w:val="105"/>
        </w:rPr>
        <w:t> </w:t>
      </w:r>
      <w:r>
        <w:rPr>
          <w:color w:val="363436"/>
          <w:w w:val="105"/>
        </w:rPr>
        <w:t>that</w:t>
      </w:r>
      <w:r>
        <w:rPr>
          <w:color w:val="363436"/>
          <w:spacing w:val="-7"/>
          <w:w w:val="105"/>
        </w:rPr>
        <w:t> </w:t>
      </w:r>
      <w:r>
        <w:rPr>
          <w:color w:val="363436"/>
          <w:w w:val="105"/>
        </w:rPr>
        <w:t>itself</w:t>
      </w:r>
      <w:r>
        <w:rPr>
          <w:color w:val="363436"/>
          <w:spacing w:val="18"/>
          <w:w w:val="105"/>
        </w:rPr>
        <w:t> </w:t>
      </w:r>
      <w:r>
        <w:rPr>
          <w:color w:val="363436"/>
          <w:w w:val="105"/>
        </w:rPr>
        <w:t>has</w:t>
      </w:r>
      <w:r>
        <w:rPr>
          <w:color w:val="363436"/>
          <w:spacing w:val="14"/>
          <w:w w:val="105"/>
        </w:rPr>
        <w:t> </w:t>
      </w:r>
      <w:r>
        <w:rPr>
          <w:color w:val="363436"/>
          <w:w w:val="105"/>
        </w:rPr>
        <w:t>multiple parts.</w:t>
      </w:r>
      <w:r>
        <w:rPr>
          <w:color w:val="363436"/>
          <w:spacing w:val="-25"/>
          <w:w w:val="105"/>
        </w:rPr>
        <w:t> </w:t>
      </w:r>
      <w:r>
        <w:rPr>
          <w:color w:val="363436"/>
          <w:w w:val="105"/>
        </w:rPr>
        <w:t>The</w:t>
      </w:r>
      <w:r>
        <w:rPr>
          <w:color w:val="363436"/>
          <w:spacing w:val="-17"/>
          <w:w w:val="105"/>
        </w:rPr>
        <w:t> </w:t>
      </w:r>
      <w:r>
        <w:rPr>
          <w:color w:val="363436"/>
          <w:w w:val="105"/>
        </w:rPr>
        <w:t>following</w:t>
      </w:r>
      <w:r>
        <w:rPr>
          <w:color w:val="363436"/>
          <w:spacing w:val="-14"/>
          <w:w w:val="105"/>
        </w:rPr>
        <w:t> </w:t>
      </w:r>
      <w:r>
        <w:rPr>
          <w:color w:val="464648"/>
          <w:w w:val="105"/>
        </w:rPr>
        <w:t>example</w:t>
      </w:r>
      <w:r>
        <w:rPr>
          <w:color w:val="464648"/>
          <w:spacing w:val="-15"/>
          <w:w w:val="105"/>
        </w:rPr>
        <w:t> </w:t>
      </w:r>
      <w:r>
        <w:rPr>
          <w:color w:val="464648"/>
          <w:w w:val="105"/>
        </w:rPr>
        <w:t>of</w:t>
      </w:r>
      <w:r>
        <w:rPr>
          <w:color w:val="464648"/>
          <w:spacing w:val="4"/>
          <w:w w:val="105"/>
        </w:rPr>
        <w:t> </w:t>
      </w:r>
      <w:r>
        <w:rPr>
          <w:color w:val="464648"/>
          <w:w w:val="105"/>
        </w:rPr>
        <w:t>legal</w:t>
      </w:r>
      <w:r>
        <w:rPr>
          <w:color w:val="464648"/>
          <w:spacing w:val="8"/>
          <w:w w:val="105"/>
        </w:rPr>
        <w:t> </w:t>
      </w:r>
      <w:r>
        <w:rPr>
          <w:color w:val="363436"/>
          <w:w w:val="105"/>
        </w:rPr>
        <w:t>backstory</w:t>
      </w:r>
    </w:p>
    <w:p>
      <w:pPr>
        <w:pStyle w:val="BodyText"/>
        <w:spacing w:line="232" w:lineRule="auto"/>
        <w:ind w:left="444" w:right="111" w:hanging="19"/>
        <w:jc w:val="right"/>
      </w:pPr>
      <w:r>
        <w:rPr>
          <w:color w:val="363436"/>
          <w:w w:val="105"/>
          <w:sz w:val="15"/>
        </w:rPr>
        <w:t>Is</w:t>
      </w:r>
      <w:r>
        <w:rPr>
          <w:color w:val="606062"/>
          <w:w w:val="105"/>
          <w:sz w:val="15"/>
        </w:rPr>
        <w:t>l</w:t>
      </w:r>
      <w:r>
        <w:rPr>
          <w:color w:val="464648"/>
          <w:w w:val="105"/>
          <w:sz w:val="15"/>
        </w:rPr>
        <w:t>and</w:t>
      </w:r>
      <w:r>
        <w:rPr>
          <w:color w:val="464648"/>
          <w:spacing w:val="1"/>
          <w:w w:val="105"/>
          <w:sz w:val="15"/>
        </w:rPr>
        <w:t> </w:t>
      </w:r>
      <w:r>
        <w:rPr>
          <w:color w:val="363436"/>
          <w:w w:val="105"/>
          <w:sz w:val="15"/>
        </w:rPr>
        <w:t>are</w:t>
      </w:r>
      <w:r>
        <w:rPr>
          <w:color w:val="363436"/>
          <w:spacing w:val="1"/>
          <w:w w:val="105"/>
          <w:sz w:val="15"/>
        </w:rPr>
        <w:t> </w:t>
      </w:r>
      <w:r>
        <w:rPr>
          <w:color w:val="464648"/>
          <w:w w:val="105"/>
          <w:sz w:val="15"/>
        </w:rPr>
        <w:t>on</w:t>
      </w:r>
      <w:r>
        <w:rPr>
          <w:color w:val="464648"/>
          <w:spacing w:val="1"/>
          <w:w w:val="105"/>
          <w:sz w:val="15"/>
        </w:rPr>
        <w:t> </w:t>
      </w:r>
      <w:r>
        <w:rPr>
          <w:color w:val="363436"/>
          <w:w w:val="105"/>
          <w:sz w:val="15"/>
        </w:rPr>
        <w:t>h,:r </w:t>
      </w:r>
      <w:r>
        <w:rPr>
          <w:color w:val="464648"/>
          <w:w w:val="105"/>
        </w:rPr>
        <w:t>comes </w:t>
      </w:r>
      <w:r>
        <w:rPr>
          <w:color w:val="363436"/>
          <w:w w:val="105"/>
        </w:rPr>
        <w:t>from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a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motion  to dismiss a  negligence cause </w:t>
      </w:r>
      <w:r>
        <w:rPr>
          <w:color w:val="464648"/>
          <w:w w:val="105"/>
        </w:rPr>
        <w:t>of </w:t>
      </w:r>
      <w:r>
        <w:rPr>
          <w:color w:val="363436"/>
          <w:w w:val="105"/>
        </w:rPr>
        <w:t>action. ]n the main</w:t>
      </w:r>
      <w:r>
        <w:rPr>
          <w:color w:val="363436"/>
          <w:spacing w:val="-58"/>
          <w:w w:val="105"/>
        </w:rPr>
        <w:t> </w:t>
      </w:r>
      <w:r>
        <w:rPr>
          <w:color w:val="464648"/>
          <w:w w:val="110"/>
          <w:sz w:val="15"/>
        </w:rPr>
        <w:t>side</w:t>
      </w:r>
      <w:r>
        <w:rPr>
          <w:color w:val="606062"/>
          <w:w w:val="110"/>
          <w:sz w:val="15"/>
        </w:rPr>
        <w:t>. </w:t>
      </w:r>
      <w:r>
        <w:rPr>
          <w:color w:val="363436"/>
          <w:w w:val="105"/>
        </w:rPr>
        <w:t>backstory,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the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writer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had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laid </w:t>
      </w:r>
      <w:r>
        <w:rPr>
          <w:color w:val="464648"/>
          <w:w w:val="105"/>
        </w:rPr>
        <w:t>out</w:t>
      </w:r>
      <w:r>
        <w:rPr>
          <w:color w:val="464648"/>
          <w:spacing w:val="1"/>
          <w:w w:val="105"/>
        </w:rPr>
        <w:t> </w:t>
      </w:r>
      <w:r>
        <w:rPr>
          <w:color w:val="363436"/>
          <w:w w:val="105"/>
        </w:rPr>
        <w:t>the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four-part  test  for negligence  </w:t>
      </w:r>
      <w:r>
        <w:rPr>
          <w:color w:val="464648"/>
          <w:w w:val="105"/>
        </w:rPr>
        <w:t>in </w:t>
      </w:r>
      <w:r>
        <w:rPr>
          <w:color w:val="363436"/>
          <w:w w:val="105"/>
        </w:rPr>
        <w:t>the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  <w:sz w:val="15"/>
        </w:rPr>
        <w:t>ltThll</w:t>
      </w:r>
      <w:r>
        <w:rPr>
          <w:color w:val="464648"/>
          <w:w w:val="105"/>
          <w:sz w:val="15"/>
        </w:rPr>
        <w:t>ishsentendce</w:t>
      </w:r>
      <w:r>
        <w:rPr>
          <w:color w:val="464648"/>
          <w:spacing w:val="13"/>
          <w:w w:val="105"/>
          <w:sz w:val="15"/>
        </w:rPr>
        <w:t> </w:t>
      </w:r>
      <w:r>
        <w:rPr>
          <w:color w:val="363436"/>
          <w:w w:val="105"/>
        </w:rPr>
        <w:t>relevant </w:t>
      </w:r>
      <w:r>
        <w:rPr>
          <w:color w:val="363436"/>
          <w:spacing w:val="35"/>
          <w:w w:val="105"/>
        </w:rPr>
        <w:t> </w:t>
      </w:r>
      <w:r>
        <w:rPr>
          <w:color w:val="363436"/>
          <w:w w:val="105"/>
        </w:rPr>
        <w:t>jurisdiction</w:t>
      </w:r>
      <w:r>
        <w:rPr>
          <w:color w:val="363436"/>
          <w:spacing w:val="54"/>
          <w:w w:val="105"/>
        </w:rPr>
        <w:t> </w:t>
      </w:r>
      <w:r>
        <w:rPr>
          <w:color w:val="464648"/>
          <w:w w:val="105"/>
        </w:rPr>
        <w:t>(duty,</w:t>
      </w:r>
      <w:r>
        <w:rPr>
          <w:color w:val="464648"/>
          <w:spacing w:val="47"/>
          <w:w w:val="105"/>
        </w:rPr>
        <w:t> </w:t>
      </w:r>
      <w:r>
        <w:rPr>
          <w:color w:val="363436"/>
          <w:w w:val="105"/>
        </w:rPr>
        <w:t>breach,</w:t>
      </w:r>
      <w:r>
        <w:rPr>
          <w:color w:val="363436"/>
          <w:spacing w:val="29"/>
          <w:w w:val="105"/>
        </w:rPr>
        <w:t> </w:t>
      </w:r>
      <w:r>
        <w:rPr>
          <w:color w:val="363436"/>
          <w:w w:val="105"/>
        </w:rPr>
        <w:t>causation,</w:t>
      </w:r>
      <w:r>
        <w:rPr>
          <w:color w:val="363436"/>
          <w:spacing w:val="49"/>
          <w:w w:val="105"/>
        </w:rPr>
        <w:t> </w:t>
      </w:r>
      <w:r>
        <w:rPr>
          <w:color w:val="363436"/>
          <w:w w:val="105"/>
        </w:rPr>
        <w:t>damages)</w:t>
      </w:r>
      <w:r>
        <w:rPr>
          <w:color w:val="363436"/>
          <w:spacing w:val="44"/>
          <w:w w:val="105"/>
        </w:rPr>
        <w:t> </w:t>
      </w:r>
      <w:r>
        <w:rPr>
          <w:color w:val="363436"/>
          <w:w w:val="105"/>
        </w:rPr>
        <w:t>and </w:t>
      </w:r>
      <w:r>
        <w:rPr>
          <w:color w:val="363436"/>
          <w:spacing w:val="22"/>
          <w:w w:val="105"/>
        </w:rPr>
        <w:t> </w:t>
      </w:r>
      <w:r>
        <w:rPr>
          <w:color w:val="464648"/>
          <w:w w:val="105"/>
        </w:rPr>
        <w:t>then</w:t>
      </w:r>
      <w:r>
        <w:rPr>
          <w:color w:val="464648"/>
          <w:spacing w:val="53"/>
          <w:w w:val="105"/>
        </w:rPr>
        <w:t> </w:t>
      </w:r>
      <w:r>
        <w:rPr>
          <w:color w:val="363436"/>
          <w:w w:val="105"/>
        </w:rPr>
        <w:t>noted</w:t>
      </w:r>
    </w:p>
    <w:p>
      <w:pPr>
        <w:spacing w:line="46" w:lineRule="exact" w:before="0"/>
        <w:ind w:left="598" w:right="0" w:firstLine="0"/>
        <w:jc w:val="left"/>
        <w:rPr>
          <w:rFonts w:ascii="Arial"/>
          <w:i/>
          <w:sz w:val="14"/>
        </w:rPr>
      </w:pPr>
      <w:r>
        <w:rPr>
          <w:color w:val="464648"/>
          <w:w w:val="105"/>
          <w:sz w:val="15"/>
        </w:rPr>
        <w:t>e</w:t>
      </w:r>
      <w:r>
        <w:rPr>
          <w:color w:val="464648"/>
          <w:spacing w:val="34"/>
          <w:w w:val="105"/>
          <w:sz w:val="15"/>
        </w:rPr>
        <w:t> </w:t>
      </w:r>
      <w:r>
        <w:rPr>
          <w:color w:val="363436"/>
          <w:w w:val="105"/>
          <w:sz w:val="15"/>
        </w:rPr>
        <w:t>st </w:t>
      </w:r>
      <w:r>
        <w:rPr>
          <w:color w:val="363436"/>
          <w:spacing w:val="13"/>
          <w:w w:val="105"/>
          <w:sz w:val="15"/>
        </w:rPr>
        <w:t> </w:t>
      </w:r>
      <w:r>
        <w:rPr>
          <w:color w:val="464648"/>
          <w:w w:val="105"/>
          <w:sz w:val="15"/>
        </w:rPr>
        <w:t>e</w:t>
      </w:r>
      <w:r>
        <w:rPr>
          <w:color w:val="464648"/>
          <w:spacing w:val="22"/>
          <w:w w:val="105"/>
          <w:sz w:val="15"/>
        </w:rPr>
        <w:t> </w:t>
      </w:r>
      <w:r>
        <w:rPr>
          <w:color w:val="464648"/>
          <w:w w:val="105"/>
          <w:sz w:val="15"/>
        </w:rPr>
        <w:t>rea</w:t>
      </w:r>
      <w:r>
        <w:rPr>
          <w:color w:val="464648"/>
          <w:spacing w:val="33"/>
          <w:w w:val="105"/>
          <w:sz w:val="15"/>
        </w:rPr>
        <w:t> </w:t>
      </w:r>
      <w:r>
        <w:rPr>
          <w:rFonts w:ascii="Arial"/>
          <w:i/>
          <w:color w:val="464648"/>
          <w:w w:val="105"/>
          <w:sz w:val="14"/>
        </w:rPr>
        <w:t>e</w:t>
      </w:r>
      <w:r>
        <w:rPr>
          <w:rFonts w:ascii="Arial"/>
          <w:i/>
          <w:color w:val="606062"/>
          <w:w w:val="105"/>
          <w:sz w:val="14"/>
        </w:rPr>
        <w:t>r</w:t>
      </w:r>
    </w:p>
    <w:p>
      <w:pPr>
        <w:pStyle w:val="BodyText"/>
        <w:spacing w:line="211" w:lineRule="exact"/>
        <w:ind w:right="107"/>
        <w:jc w:val="right"/>
      </w:pPr>
      <w:r>
        <w:rPr>
          <w:color w:val="363436"/>
          <w:w w:val="105"/>
          <w:sz w:val="15"/>
        </w:rPr>
        <w:t>the </w:t>
      </w:r>
      <w:r>
        <w:rPr>
          <w:color w:val="363436"/>
          <w:spacing w:val="31"/>
          <w:w w:val="105"/>
          <w:sz w:val="15"/>
        </w:rPr>
        <w:t> </w:t>
      </w:r>
      <w:r>
        <w:rPr>
          <w:color w:val="464648"/>
          <w:w w:val="105"/>
          <w:sz w:val="15"/>
        </w:rPr>
        <w:t>q</w:t>
      </w:r>
      <w:r>
        <w:rPr>
          <w:color w:val="606062"/>
          <w:w w:val="105"/>
          <w:sz w:val="15"/>
        </w:rPr>
        <w:t>u</w:t>
      </w:r>
      <w:r>
        <w:rPr>
          <w:color w:val="363436"/>
          <w:w w:val="105"/>
          <w:sz w:val="15"/>
        </w:rPr>
        <w:t>est</w:t>
      </w:r>
      <w:r>
        <w:rPr>
          <w:color w:val="606062"/>
          <w:w w:val="105"/>
          <w:sz w:val="15"/>
        </w:rPr>
        <w:t>i</w:t>
      </w:r>
      <w:r>
        <w:rPr>
          <w:color w:val="464648"/>
          <w:w w:val="105"/>
          <w:sz w:val="15"/>
        </w:rPr>
        <w:t>on</w:t>
      </w:r>
      <w:r>
        <w:rPr>
          <w:color w:val="464648"/>
          <w:spacing w:val="26"/>
          <w:w w:val="105"/>
          <w:sz w:val="15"/>
        </w:rPr>
        <w:t> </w:t>
      </w:r>
      <w:r>
        <w:rPr>
          <w:color w:val="363436"/>
          <w:w w:val="105"/>
          <w:sz w:val="15"/>
        </w:rPr>
        <w:t>that</w:t>
      </w:r>
      <w:r>
        <w:rPr>
          <w:color w:val="363436"/>
          <w:spacing w:val="13"/>
          <w:w w:val="105"/>
          <w:sz w:val="15"/>
        </w:rPr>
        <w:t> </w:t>
      </w:r>
      <w:r>
        <w:rPr>
          <w:color w:val="363436"/>
          <w:w w:val="105"/>
        </w:rPr>
        <w:t>that</w:t>
      </w:r>
      <w:r>
        <w:rPr>
          <w:color w:val="363436"/>
          <w:spacing w:val="22"/>
          <w:w w:val="105"/>
        </w:rPr>
        <w:t> </w:t>
      </w:r>
      <w:r>
        <w:rPr>
          <w:color w:val="464648"/>
          <w:w w:val="105"/>
        </w:rPr>
        <w:t>there</w:t>
      </w:r>
      <w:r>
        <w:rPr>
          <w:color w:val="464648"/>
          <w:spacing w:val="16"/>
          <w:w w:val="105"/>
        </w:rPr>
        <w:t> </w:t>
      </w:r>
      <w:r>
        <w:rPr>
          <w:color w:val="363436"/>
          <w:w w:val="105"/>
        </w:rPr>
        <w:t>were</w:t>
      </w:r>
      <w:r>
        <w:rPr>
          <w:color w:val="363436"/>
          <w:spacing w:val="28"/>
          <w:w w:val="105"/>
        </w:rPr>
        <w:t> </w:t>
      </w:r>
      <w:r>
        <w:rPr>
          <w:color w:val="363436"/>
          <w:w w:val="105"/>
        </w:rPr>
        <w:t>two</w:t>
      </w:r>
      <w:r>
        <w:rPr>
          <w:color w:val="363436"/>
          <w:spacing w:val="2"/>
          <w:w w:val="105"/>
        </w:rPr>
        <w:t> </w:t>
      </w:r>
      <w:r>
        <w:rPr>
          <w:color w:val="363436"/>
          <w:w w:val="105"/>
        </w:rPr>
        <w:t>grounds</w:t>
      </w:r>
      <w:r>
        <w:rPr>
          <w:color w:val="363436"/>
          <w:spacing w:val="19"/>
          <w:w w:val="105"/>
        </w:rPr>
        <w:t> </w:t>
      </w:r>
      <w:r>
        <w:rPr>
          <w:color w:val="363436"/>
          <w:w w:val="105"/>
        </w:rPr>
        <w:t>for</w:t>
      </w:r>
      <w:r>
        <w:rPr>
          <w:color w:val="363436"/>
          <w:spacing w:val="13"/>
          <w:w w:val="105"/>
        </w:rPr>
        <w:t> </w:t>
      </w:r>
      <w:r>
        <w:rPr>
          <w:color w:val="363436"/>
          <w:w w:val="105"/>
        </w:rPr>
        <w:t>dismissal:</w:t>
      </w:r>
      <w:r>
        <w:rPr>
          <w:color w:val="363436"/>
          <w:spacing w:val="38"/>
          <w:w w:val="105"/>
        </w:rPr>
        <w:t> </w:t>
      </w:r>
      <w:r>
        <w:rPr>
          <w:color w:val="363436"/>
          <w:w w:val="105"/>
        </w:rPr>
        <w:t>First,</w:t>
      </w:r>
      <w:r>
        <w:rPr>
          <w:color w:val="363436"/>
          <w:spacing w:val="17"/>
          <w:w w:val="105"/>
        </w:rPr>
        <w:t> </w:t>
      </w:r>
      <w:r>
        <w:rPr>
          <w:color w:val="363436"/>
          <w:w w:val="105"/>
        </w:rPr>
        <w:t>the </w:t>
      </w:r>
      <w:r>
        <w:rPr>
          <w:color w:val="363436"/>
          <w:spacing w:val="25"/>
          <w:w w:val="105"/>
        </w:rPr>
        <w:t> </w:t>
      </w:r>
      <w:r>
        <w:rPr>
          <w:color w:val="363436"/>
          <w:w w:val="105"/>
        </w:rPr>
        <w:t>defendant</w:t>
      </w:r>
      <w:r>
        <w:rPr>
          <w:color w:val="363436"/>
          <w:spacing w:val="31"/>
          <w:w w:val="105"/>
        </w:rPr>
        <w:t> </w:t>
      </w:r>
      <w:r>
        <w:rPr>
          <w:color w:val="363436"/>
          <w:w w:val="105"/>
        </w:rPr>
        <w:t>in</w:t>
      </w:r>
      <w:r>
        <w:rPr>
          <w:color w:val="363436"/>
          <w:spacing w:val="31"/>
          <w:w w:val="105"/>
        </w:rPr>
        <w:t> </w:t>
      </w:r>
      <w:r>
        <w:rPr>
          <w:color w:val="363436"/>
          <w:w w:val="105"/>
        </w:rPr>
        <w:t>the</w:t>
      </w:r>
      <w:r>
        <w:rPr>
          <w:color w:val="363436"/>
          <w:spacing w:val="15"/>
          <w:w w:val="105"/>
        </w:rPr>
        <w:t> </w:t>
      </w:r>
      <w:r>
        <w:rPr>
          <w:color w:val="464648"/>
          <w:w w:val="105"/>
        </w:rPr>
        <w:t>case</w:t>
      </w:r>
    </w:p>
    <w:p>
      <w:pPr>
        <w:pStyle w:val="BodyText"/>
        <w:spacing w:line="253" w:lineRule="exact"/>
        <w:ind w:right="104"/>
        <w:jc w:val="right"/>
      </w:pPr>
      <w:r>
        <w:rPr/>
        <w:pict>
          <v:shape style="position:absolute;margin-left:28.684059pt;margin-top:9.70112pt;width:65.3pt;height:8.35pt;mso-position-horizontal-relative:page;mso-position-vertical-relative:paragraph;z-index:-21595136" type="#_x0000_t202" id="docshape445" filled="false" stroked="false">
            <v:textbox inset="0,0,0,0">
              <w:txbxContent>
                <w:p>
                  <w:pPr>
                    <w:spacing w:line="167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464648"/>
                      <w:spacing w:val="-2"/>
                      <w:w w:val="115"/>
                      <w:sz w:val="15"/>
                    </w:rPr>
                    <w:t>document</w:t>
                  </w:r>
                  <w:r>
                    <w:rPr>
                      <w:color w:val="464648"/>
                      <w:spacing w:val="-9"/>
                      <w:w w:val="115"/>
                      <w:sz w:val="15"/>
                    </w:rPr>
                    <w:t> </w:t>
                  </w:r>
                  <w:r>
                    <w:rPr>
                      <w:color w:val="363436"/>
                      <w:spacing w:val="-1"/>
                      <w:w w:val="115"/>
                      <w:sz w:val="15"/>
                    </w:rPr>
                    <w:t>answers.</w:t>
                  </w:r>
                </w:p>
              </w:txbxContent>
            </v:textbox>
            <w10:wrap type="none"/>
          </v:shape>
        </w:pict>
      </w:r>
      <w:r>
        <w:rPr>
          <w:color w:val="464648"/>
          <w:w w:val="110"/>
          <w:position w:val="5"/>
          <w:sz w:val="15"/>
        </w:rPr>
        <w:t>th</w:t>
      </w:r>
      <w:r>
        <w:rPr>
          <w:color w:val="606062"/>
          <w:w w:val="110"/>
          <w:sz w:val="15"/>
        </w:rPr>
        <w:t>i</w:t>
      </w:r>
      <w:r>
        <w:rPr>
          <w:color w:val="464648"/>
          <w:w w:val="110"/>
          <w:sz w:val="15"/>
        </w:rPr>
        <w:t>s</w:t>
      </w:r>
      <w:r>
        <w:rPr>
          <w:color w:val="464648"/>
          <w:spacing w:val="10"/>
          <w:w w:val="110"/>
          <w:sz w:val="15"/>
        </w:rPr>
        <w:t> </w:t>
      </w:r>
      <w:r>
        <w:rPr>
          <w:color w:val="464648"/>
          <w:w w:val="110"/>
          <w:sz w:val="15"/>
        </w:rPr>
        <w:t>part</w:t>
      </w:r>
      <w:r>
        <w:rPr>
          <w:color w:val="464648"/>
          <w:spacing w:val="-12"/>
          <w:w w:val="110"/>
          <w:sz w:val="15"/>
        </w:rPr>
        <w:t> </w:t>
      </w:r>
      <w:r>
        <w:rPr>
          <w:color w:val="464648"/>
          <w:w w:val="110"/>
          <w:sz w:val="15"/>
        </w:rPr>
        <w:t>of</w:t>
      </w:r>
      <w:r>
        <w:rPr>
          <w:color w:val="464648"/>
          <w:spacing w:val="7"/>
          <w:w w:val="110"/>
          <w:sz w:val="15"/>
        </w:rPr>
        <w:t> </w:t>
      </w:r>
      <w:r>
        <w:rPr>
          <w:color w:val="464648"/>
          <w:w w:val="110"/>
          <w:position w:val="5"/>
          <w:sz w:val="15"/>
        </w:rPr>
        <w:t>the</w:t>
      </w:r>
      <w:r>
        <w:rPr>
          <w:color w:val="464648"/>
          <w:spacing w:val="2"/>
          <w:w w:val="110"/>
          <w:position w:val="5"/>
          <w:sz w:val="15"/>
        </w:rPr>
        <w:t> </w:t>
      </w:r>
      <w:r>
        <w:rPr>
          <w:color w:val="363436"/>
          <w:w w:val="110"/>
        </w:rPr>
        <w:t>owed</w:t>
      </w:r>
      <w:r>
        <w:rPr>
          <w:color w:val="363436"/>
          <w:spacing w:val="14"/>
          <w:w w:val="110"/>
        </w:rPr>
        <w:t> </w:t>
      </w:r>
      <w:r>
        <w:rPr>
          <w:color w:val="363436"/>
          <w:w w:val="110"/>
        </w:rPr>
        <w:t>no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duty</w:t>
      </w:r>
      <w:r>
        <w:rPr>
          <w:color w:val="363436"/>
          <w:spacing w:val="-9"/>
          <w:w w:val="110"/>
        </w:rPr>
        <w:t> </w:t>
      </w:r>
      <w:r>
        <w:rPr>
          <w:color w:val="363436"/>
          <w:w w:val="110"/>
        </w:rPr>
        <w:t>to</w:t>
      </w:r>
      <w:r>
        <w:rPr>
          <w:color w:val="363436"/>
          <w:spacing w:val="-13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-4"/>
          <w:w w:val="110"/>
        </w:rPr>
        <w:t> </w:t>
      </w:r>
      <w:r>
        <w:rPr>
          <w:color w:val="363436"/>
          <w:w w:val="110"/>
        </w:rPr>
        <w:t>plaintiff</w:t>
      </w:r>
      <w:r>
        <w:rPr>
          <w:color w:val="363436"/>
          <w:spacing w:val="20"/>
          <w:w w:val="110"/>
        </w:rPr>
        <w:t> </w:t>
      </w:r>
      <w:r>
        <w:rPr>
          <w:color w:val="363436"/>
          <w:w w:val="110"/>
        </w:rPr>
        <w:t>under</w:t>
      </w:r>
      <w:r>
        <w:rPr>
          <w:color w:val="363436"/>
          <w:spacing w:val="-1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circumstances.Second,</w:t>
      </w:r>
      <w:r>
        <w:rPr>
          <w:color w:val="363436"/>
          <w:spacing w:val="-8"/>
          <w:w w:val="110"/>
        </w:rPr>
        <w:t> </w:t>
      </w:r>
      <w:r>
        <w:rPr>
          <w:color w:val="464648"/>
          <w:w w:val="110"/>
        </w:rPr>
        <w:t>even</w:t>
      </w:r>
      <w:r>
        <w:rPr>
          <w:color w:val="464648"/>
          <w:spacing w:val="-4"/>
          <w:w w:val="110"/>
        </w:rPr>
        <w:t> </w:t>
      </w:r>
      <w:r>
        <w:rPr>
          <w:color w:val="363436"/>
          <w:w w:val="110"/>
        </w:rPr>
        <w:t>if</w:t>
      </w:r>
      <w:r>
        <w:rPr>
          <w:color w:val="363436"/>
          <w:spacing w:val="11"/>
          <w:w w:val="110"/>
        </w:rPr>
        <w:t> </w:t>
      </w:r>
      <w:r>
        <w:rPr>
          <w:color w:val="363436"/>
          <w:w w:val="110"/>
        </w:rPr>
        <w:t>the</w:t>
      </w:r>
    </w:p>
    <w:p>
      <w:pPr>
        <w:pStyle w:val="BodyText"/>
        <w:spacing w:line="257" w:lineRule="exact"/>
        <w:ind w:right="109"/>
        <w:jc w:val="right"/>
      </w:pPr>
      <w:r>
        <w:rPr>
          <w:color w:val="363436"/>
          <w:w w:val="110"/>
          <w:sz w:val="15"/>
        </w:rPr>
        <w:t>Note</w:t>
      </w:r>
      <w:r>
        <w:rPr>
          <w:color w:val="363436"/>
          <w:spacing w:val="-11"/>
          <w:w w:val="110"/>
          <w:sz w:val="15"/>
        </w:rPr>
        <w:t> </w:t>
      </w:r>
      <w:r>
        <w:rPr>
          <w:color w:val="363436"/>
          <w:w w:val="110"/>
          <w:sz w:val="15"/>
        </w:rPr>
        <w:t>how</w:t>
      </w:r>
      <w:r>
        <w:rPr>
          <w:color w:val="363436"/>
          <w:spacing w:val="-22"/>
          <w:w w:val="110"/>
          <w:sz w:val="15"/>
        </w:rPr>
        <w:t> </w:t>
      </w:r>
      <w:r>
        <w:rPr>
          <w:color w:val="363436"/>
          <w:w w:val="110"/>
          <w:sz w:val="15"/>
        </w:rPr>
        <w:t>it</w:t>
      </w:r>
      <w:r>
        <w:rPr>
          <w:color w:val="363436"/>
          <w:spacing w:val="-12"/>
          <w:w w:val="110"/>
          <w:sz w:val="15"/>
        </w:rPr>
        <w:t> </w:t>
      </w:r>
      <w:r>
        <w:rPr>
          <w:color w:val="464648"/>
          <w:w w:val="110"/>
          <w:sz w:val="15"/>
        </w:rPr>
        <w:t>als</w:t>
      </w:r>
      <w:r>
        <w:rPr>
          <w:color w:val="606062"/>
          <w:w w:val="110"/>
          <w:sz w:val="15"/>
        </w:rPr>
        <w:t>o</w:t>
      </w:r>
      <w:r>
        <w:rPr>
          <w:color w:val="606062"/>
          <w:spacing w:val="7"/>
          <w:w w:val="110"/>
          <w:sz w:val="15"/>
        </w:rPr>
        <w:t> </w:t>
      </w:r>
      <w:r>
        <w:rPr>
          <w:color w:val="363436"/>
          <w:w w:val="110"/>
        </w:rPr>
        <w:t>defendant</w:t>
      </w:r>
      <w:r>
        <w:rPr>
          <w:color w:val="363436"/>
          <w:spacing w:val="26"/>
          <w:w w:val="110"/>
        </w:rPr>
        <w:t> </w:t>
      </w:r>
      <w:r>
        <w:rPr>
          <w:color w:val="363436"/>
          <w:w w:val="110"/>
        </w:rPr>
        <w:t>did</w:t>
      </w:r>
      <w:r>
        <w:rPr>
          <w:color w:val="363436"/>
          <w:spacing w:val="4"/>
          <w:w w:val="110"/>
        </w:rPr>
        <w:t> </w:t>
      </w:r>
      <w:r>
        <w:rPr>
          <w:color w:val="363436"/>
          <w:w w:val="110"/>
        </w:rPr>
        <w:t>owe</w:t>
      </w:r>
      <w:r>
        <w:rPr>
          <w:color w:val="363436"/>
          <w:spacing w:val="-11"/>
          <w:w w:val="110"/>
        </w:rPr>
        <w:t> </w:t>
      </w:r>
      <w:r>
        <w:rPr>
          <w:color w:val="363436"/>
          <w:w w:val="110"/>
        </w:rPr>
        <w:t>a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duty,</w:t>
      </w:r>
      <w:r>
        <w:rPr>
          <w:color w:val="363436"/>
          <w:spacing w:val="24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19"/>
          <w:w w:val="110"/>
        </w:rPr>
        <w:t> </w:t>
      </w:r>
      <w:r>
        <w:rPr>
          <w:color w:val="464648"/>
          <w:w w:val="110"/>
        </w:rPr>
        <w:t>complaint</w:t>
      </w:r>
      <w:r>
        <w:rPr>
          <w:color w:val="464648"/>
          <w:spacing w:val="12"/>
          <w:w w:val="110"/>
        </w:rPr>
        <w:t> </w:t>
      </w:r>
      <w:r>
        <w:rPr>
          <w:color w:val="363436"/>
          <w:w w:val="110"/>
        </w:rPr>
        <w:t>did</w:t>
      </w:r>
      <w:r>
        <w:rPr>
          <w:color w:val="363436"/>
          <w:spacing w:val="30"/>
          <w:w w:val="110"/>
        </w:rPr>
        <w:t> </w:t>
      </w:r>
      <w:r>
        <w:rPr>
          <w:color w:val="363436"/>
          <w:w w:val="110"/>
        </w:rPr>
        <w:t>not</w:t>
      </w:r>
      <w:r>
        <w:rPr>
          <w:color w:val="363436"/>
          <w:spacing w:val="37"/>
          <w:w w:val="110"/>
        </w:rPr>
        <w:t> </w:t>
      </w:r>
      <w:r>
        <w:rPr>
          <w:color w:val="363436"/>
          <w:w w:val="110"/>
        </w:rPr>
        <w:t>plead</w:t>
      </w:r>
      <w:r>
        <w:rPr>
          <w:color w:val="363436"/>
          <w:spacing w:val="8"/>
          <w:w w:val="110"/>
        </w:rPr>
        <w:t> </w:t>
      </w:r>
      <w:r>
        <w:rPr>
          <w:color w:val="464648"/>
          <w:w w:val="110"/>
        </w:rPr>
        <w:t>sufficient</w:t>
      </w:r>
      <w:r>
        <w:rPr>
          <w:color w:val="464648"/>
          <w:spacing w:val="30"/>
          <w:w w:val="110"/>
        </w:rPr>
        <w:t> </w:t>
      </w:r>
      <w:r>
        <w:rPr>
          <w:color w:val="363436"/>
          <w:w w:val="110"/>
        </w:rPr>
        <w:t>facts</w:t>
      </w:r>
      <w:r>
        <w:rPr>
          <w:color w:val="363436"/>
          <w:spacing w:val="-20"/>
          <w:w w:val="110"/>
        </w:rPr>
        <w:t> </w:t>
      </w:r>
      <w:r>
        <w:rPr>
          <w:color w:val="363436"/>
          <w:w w:val="110"/>
        </w:rPr>
        <w:t>as</w:t>
      </w:r>
    </w:p>
    <w:p>
      <w:pPr>
        <w:spacing w:line="232" w:lineRule="auto" w:before="0"/>
        <w:ind w:left="148" w:right="119" w:firstLine="80"/>
        <w:jc w:val="both"/>
        <w:rPr>
          <w:sz w:val="23"/>
        </w:rPr>
      </w:pPr>
      <w:r>
        <w:rPr/>
        <w:pict>
          <v:shape style="position:absolute;margin-left:37.205639pt;margin-top:10.027492pt;width:385.5pt;height:11.8pt;mso-position-horizontal-relative:page;mso-position-vertical-relative:paragraph;z-index:-21593088" type="#_x0000_t202" id="docshape446" filled="false" stroked="false">
            <v:textbox inset="0,0,0,0">
              <w:txbxContent>
                <w:p>
                  <w:pPr>
                    <w:tabs>
                      <w:tab w:pos="1800" w:val="left" w:leader="none"/>
                      <w:tab w:pos="2746" w:val="left" w:leader="none"/>
                      <w:tab w:pos="3662" w:val="left" w:leader="none"/>
                      <w:tab w:pos="4307" w:val="left" w:leader="none"/>
                      <w:tab w:pos="4646" w:val="left" w:leader="none"/>
                      <w:tab w:pos="5523" w:val="left" w:leader="none"/>
                      <w:tab w:pos="6070" w:val="left" w:leader="none"/>
                      <w:tab w:pos="6497" w:val="left" w:leader="none"/>
                      <w:tab w:pos="7037" w:val="left" w:leader="none"/>
                      <w:tab w:pos="7606" w:val="left" w:leader="none"/>
                    </w:tabs>
                    <w:spacing w:line="235" w:lineRule="exact" w:before="0"/>
                    <w:ind w:left="0" w:right="0" w:firstLine="0"/>
                    <w:jc w:val="left"/>
                    <w:rPr>
                      <w:rFonts w:ascii="Arial" w:hAnsi="Arial"/>
                      <w:sz w:val="21"/>
                    </w:rPr>
                  </w:pPr>
                  <w:r>
                    <w:rPr>
                      <w:color w:val="363436"/>
                      <w:w w:val="105"/>
                      <w:sz w:val="15"/>
                    </w:rPr>
                    <w:t>,ssueconnectsto</w:t>
                    <w:tab/>
                    <w:t>.•</w:t>
                    <w:tab/>
                  </w:r>
                  <w:r>
                    <w:rPr>
                      <w:rFonts w:ascii="Arial" w:hAnsi="Arial"/>
                      <w:color w:val="464648"/>
                      <w:w w:val="80"/>
                      <w:sz w:val="21"/>
                    </w:rPr>
                    <w:t>B</w:t>
                    <w:tab/>
                    <w:t>h</w:t>
                    <w:tab/>
                  </w:r>
                  <w:r>
                    <w:rPr>
                      <w:rFonts w:ascii="Arial" w:hAnsi="Arial"/>
                      <w:color w:val="606062"/>
                      <w:w w:val="80"/>
                      <w:sz w:val="21"/>
                    </w:rPr>
                    <w:t>•</w:t>
                    <w:tab/>
                  </w:r>
                  <w:r>
                    <w:rPr>
                      <w:rFonts w:ascii="Arial" w:hAnsi="Arial"/>
                      <w:color w:val="363436"/>
                      <w:w w:val="80"/>
                      <w:sz w:val="21"/>
                    </w:rPr>
                    <w:t>h</w:t>
                    <w:tab/>
                    <w:t>d</w:t>
                    <w:tab/>
                    <w:t>1·</w:t>
                    <w:tab/>
                    <w:t>h</w:t>
                    <w:tab/>
                    <w:t>I</w:t>
                    <w:tab/>
                    <w:t>h</w:t>
                  </w:r>
                </w:p>
              </w:txbxContent>
            </v:textbox>
            <w10:wrap type="none"/>
          </v:shape>
        </w:pict>
      </w:r>
      <w:r>
        <w:rPr>
          <w:color w:val="606062"/>
          <w:w w:val="105"/>
          <w:sz w:val="15"/>
        </w:rPr>
        <w:t>.       </w:t>
      </w:r>
      <w:r>
        <w:rPr>
          <w:color w:val="464648"/>
          <w:w w:val="105"/>
          <w:sz w:val="15"/>
        </w:rPr>
        <w:t>shows </w:t>
      </w:r>
      <w:r>
        <w:rPr>
          <w:color w:val="363436"/>
          <w:w w:val="105"/>
          <w:sz w:val="15"/>
        </w:rPr>
        <w:t>how </w:t>
      </w:r>
      <w:r>
        <w:rPr>
          <w:color w:val="464648"/>
          <w:w w:val="105"/>
          <w:sz w:val="15"/>
        </w:rPr>
        <w:t>this </w:t>
      </w:r>
      <w:r>
        <w:rPr>
          <w:color w:val="363436"/>
          <w:w w:val="105"/>
          <w:sz w:val="23"/>
        </w:rPr>
        <w:t>to  the  causation  issue. </w:t>
      </w:r>
      <w:r>
        <w:rPr>
          <w:color w:val="464648"/>
          <w:w w:val="105"/>
          <w:sz w:val="23"/>
        </w:rPr>
        <w:t>The  </w:t>
      </w:r>
      <w:r>
        <w:rPr>
          <w:color w:val="363436"/>
          <w:w w:val="105"/>
          <w:sz w:val="23"/>
        </w:rPr>
        <w:t>excerpt  below provides the  backstory for the</w:t>
      </w:r>
      <w:r>
        <w:rPr>
          <w:color w:val="363436"/>
          <w:spacing w:val="1"/>
          <w:w w:val="105"/>
          <w:sz w:val="23"/>
        </w:rPr>
        <w:t> </w:t>
      </w:r>
      <w:r>
        <w:rPr>
          <w:color w:val="464648"/>
          <w:spacing w:val="-1"/>
          <w:w w:val="95"/>
          <w:sz w:val="15"/>
        </w:rPr>
        <w:t>the</w:t>
      </w:r>
      <w:r>
        <w:rPr>
          <w:color w:val="464648"/>
          <w:spacing w:val="66"/>
          <w:sz w:val="15"/>
        </w:rPr>
        <w:t> </w:t>
      </w:r>
      <w:r>
        <w:rPr>
          <w:color w:val="464648"/>
          <w:w w:val="95"/>
          <w:sz w:val="15"/>
        </w:rPr>
        <w:t>previous</w:t>
      </w:r>
      <w:r>
        <w:rPr>
          <w:color w:val="606062"/>
          <w:w w:val="95"/>
          <w:sz w:val="15"/>
        </w:rPr>
        <w:t>i</w:t>
      </w:r>
      <w:r>
        <w:rPr>
          <w:color w:val="363436"/>
          <w:w w:val="95"/>
          <w:sz w:val="15"/>
        </w:rPr>
        <w:t>ssue</w:t>
      </w:r>
      <w:r>
        <w:rPr>
          <w:color w:val="606062"/>
          <w:w w:val="95"/>
          <w:sz w:val="15"/>
        </w:rPr>
        <w:t>: </w:t>
      </w:r>
      <w:r>
        <w:rPr>
          <w:color w:val="363436"/>
          <w:w w:val="95"/>
          <w:sz w:val="23"/>
        </w:rPr>
        <w:t>CaUSat1on</w:t>
      </w:r>
      <w:r>
        <w:rPr>
          <w:color w:val="363436"/>
          <w:spacing w:val="52"/>
          <w:sz w:val="23"/>
        </w:rPr>
        <w:t> </w:t>
      </w:r>
      <w:r>
        <w:rPr>
          <w:color w:val="363436"/>
          <w:w w:val="95"/>
          <w:sz w:val="23"/>
        </w:rPr>
        <w:t>ISSUe</w:t>
      </w:r>
      <w:r>
        <w:rPr>
          <w:color w:val="606062"/>
          <w:w w:val="95"/>
          <w:sz w:val="23"/>
        </w:rPr>
        <w:t>.</w:t>
      </w:r>
      <w:r>
        <w:rPr>
          <w:color w:val="606062"/>
          <w:spacing w:val="106"/>
          <w:sz w:val="23"/>
        </w:rPr>
        <w:t> </w:t>
      </w:r>
      <w:r>
        <w:rPr>
          <w:color w:val="464648"/>
          <w:w w:val="95"/>
          <w:sz w:val="23"/>
        </w:rPr>
        <w:t>eCaUSe </w:t>
      </w:r>
      <w:r>
        <w:rPr>
          <w:color w:val="363436"/>
          <w:w w:val="95"/>
          <w:sz w:val="23"/>
        </w:rPr>
        <w:t>t</w:t>
      </w:r>
      <w:r>
        <w:rPr>
          <w:color w:val="363436"/>
          <w:spacing w:val="106"/>
          <w:sz w:val="23"/>
        </w:rPr>
        <w:t> </w:t>
      </w:r>
      <w:r>
        <w:rPr>
          <w:rFonts w:ascii="Arial" w:hAnsi="Arial"/>
          <w:color w:val="363436"/>
          <w:w w:val="95"/>
          <w:sz w:val="15"/>
        </w:rPr>
        <w:t>€</w:t>
      </w:r>
      <w:r>
        <w:rPr>
          <w:rFonts w:ascii="Arial" w:hAnsi="Arial"/>
          <w:color w:val="363436"/>
          <w:spacing w:val="38"/>
          <w:sz w:val="15"/>
        </w:rPr>
        <w:t> </w:t>
      </w:r>
      <w:r>
        <w:rPr>
          <w:color w:val="363436"/>
          <w:w w:val="95"/>
          <w:sz w:val="23"/>
        </w:rPr>
        <w:t>WTlter</w:t>
      </w:r>
      <w:r>
        <w:rPr>
          <w:color w:val="363436"/>
          <w:spacing w:val="108"/>
          <w:sz w:val="23"/>
        </w:rPr>
        <w:t> </w:t>
      </w:r>
      <w:r>
        <w:rPr>
          <w:color w:val="363436"/>
          <w:w w:val="95"/>
          <w:sz w:val="23"/>
        </w:rPr>
        <w:t>as</w:t>
      </w:r>
      <w:r>
        <w:rPr>
          <w:color w:val="363436"/>
          <w:spacing w:val="52"/>
          <w:sz w:val="23"/>
        </w:rPr>
        <w:t> </w:t>
      </w:r>
      <w:r>
        <w:rPr>
          <w:color w:val="464648"/>
          <w:w w:val="95"/>
          <w:sz w:val="23"/>
        </w:rPr>
        <w:t>State</w:t>
      </w:r>
      <w:r>
        <w:rPr>
          <w:color w:val="464648"/>
          <w:spacing w:val="106"/>
          <w:sz w:val="23"/>
        </w:rPr>
        <w:t> </w:t>
      </w:r>
      <w:r>
        <w:rPr>
          <w:color w:val="464648"/>
          <w:w w:val="95"/>
          <w:sz w:val="23"/>
        </w:rPr>
        <w:t>ear </w:t>
      </w:r>
      <w:r>
        <w:rPr>
          <w:color w:val="363436"/>
          <w:w w:val="95"/>
          <w:sz w:val="23"/>
        </w:rPr>
        <w:t>1er t</w:t>
      </w:r>
      <w:r>
        <w:rPr>
          <w:color w:val="363436"/>
          <w:spacing w:val="106"/>
          <w:sz w:val="23"/>
        </w:rPr>
        <w:t> </w:t>
      </w:r>
      <w:r>
        <w:rPr>
          <w:color w:val="464648"/>
          <w:w w:val="95"/>
          <w:sz w:val="23"/>
        </w:rPr>
        <w:t>e </w:t>
      </w:r>
      <w:r>
        <w:rPr>
          <w:color w:val="363436"/>
          <w:w w:val="95"/>
          <w:sz w:val="17"/>
        </w:rPr>
        <w:t>TU </w:t>
      </w:r>
      <w:r>
        <w:rPr>
          <w:color w:val="464648"/>
          <w:w w:val="95"/>
          <w:sz w:val="23"/>
        </w:rPr>
        <w:t>eat</w:t>
      </w:r>
      <w:r>
        <w:rPr>
          <w:color w:val="464648"/>
          <w:spacing w:val="107"/>
          <w:sz w:val="23"/>
        </w:rPr>
        <w:t> </w:t>
      </w:r>
      <w:r>
        <w:rPr>
          <w:color w:val="363436"/>
          <w:w w:val="95"/>
          <w:sz w:val="23"/>
        </w:rPr>
        <w:t>t</w:t>
      </w:r>
      <w:r>
        <w:rPr>
          <w:color w:val="363436"/>
          <w:spacing w:val="106"/>
          <w:sz w:val="23"/>
        </w:rPr>
        <w:t> </w:t>
      </w:r>
      <w:r>
        <w:rPr>
          <w:color w:val="464648"/>
          <w:w w:val="95"/>
          <w:sz w:val="23"/>
        </w:rPr>
        <w:t>e </w:t>
      </w:r>
      <w:r>
        <w:rPr>
          <w:color w:val="363436"/>
          <w:w w:val="95"/>
          <w:sz w:val="23"/>
        </w:rPr>
        <w:t>root </w:t>
      </w:r>
      <w:r>
        <w:rPr>
          <w:color w:val="363436"/>
          <w:w w:val="95"/>
          <w:sz w:val="17"/>
        </w:rPr>
        <w:t>Of</w:t>
      </w:r>
      <w:r>
        <w:rPr>
          <w:color w:val="363436"/>
          <w:spacing w:val="1"/>
          <w:w w:val="95"/>
          <w:sz w:val="17"/>
        </w:rPr>
        <w:t> </w:t>
      </w:r>
      <w:r>
        <w:rPr>
          <w:color w:val="464648"/>
          <w:w w:val="105"/>
          <w:sz w:val="15"/>
        </w:rPr>
        <w:t>these</w:t>
      </w:r>
      <w:r>
        <w:rPr>
          <w:color w:val="464648"/>
          <w:spacing w:val="-14"/>
          <w:w w:val="105"/>
          <w:sz w:val="15"/>
        </w:rPr>
        <w:t> </w:t>
      </w:r>
      <w:r>
        <w:rPr>
          <w:color w:val="464648"/>
          <w:w w:val="105"/>
          <w:sz w:val="15"/>
        </w:rPr>
        <w:t>arealtemat</w:t>
      </w:r>
      <w:r>
        <w:rPr>
          <w:w w:val="105"/>
          <w:sz w:val="15"/>
        </w:rPr>
        <w:t>.</w:t>
      </w:r>
      <w:r>
        <w:rPr>
          <w:color w:val="464648"/>
          <w:w w:val="105"/>
          <w:sz w:val="15"/>
        </w:rPr>
        <w:t>ive</w:t>
      </w:r>
      <w:r>
        <w:rPr>
          <w:color w:val="464648"/>
          <w:spacing w:val="11"/>
          <w:w w:val="105"/>
          <w:sz w:val="15"/>
        </w:rPr>
        <w:t> </w:t>
      </w:r>
      <w:r>
        <w:rPr>
          <w:color w:val="363436"/>
          <w:w w:val="105"/>
          <w:sz w:val="23"/>
        </w:rPr>
        <w:t>the</w:t>
      </w:r>
      <w:r>
        <w:rPr>
          <w:color w:val="363436"/>
          <w:spacing w:val="44"/>
          <w:w w:val="105"/>
          <w:sz w:val="23"/>
        </w:rPr>
        <w:t> </w:t>
      </w:r>
      <w:r>
        <w:rPr>
          <w:color w:val="464648"/>
          <w:w w:val="105"/>
          <w:sz w:val="23"/>
        </w:rPr>
        <w:t>case,</w:t>
      </w:r>
      <w:r>
        <w:rPr>
          <w:color w:val="464648"/>
          <w:spacing w:val="12"/>
          <w:w w:val="105"/>
          <w:sz w:val="23"/>
        </w:rPr>
        <w:t> </w:t>
      </w:r>
      <w:r>
        <w:rPr>
          <w:color w:val="363436"/>
          <w:w w:val="105"/>
          <w:sz w:val="23"/>
        </w:rPr>
        <w:t>the</w:t>
      </w:r>
      <w:r>
        <w:rPr>
          <w:color w:val="363436"/>
          <w:spacing w:val="42"/>
          <w:w w:val="105"/>
          <w:sz w:val="23"/>
        </w:rPr>
        <w:t> </w:t>
      </w:r>
      <w:r>
        <w:rPr>
          <w:color w:val="363436"/>
          <w:w w:val="105"/>
          <w:sz w:val="23"/>
        </w:rPr>
        <w:t>backstory</w:t>
      </w:r>
      <w:r>
        <w:rPr>
          <w:color w:val="363436"/>
          <w:spacing w:val="11"/>
          <w:w w:val="105"/>
          <w:sz w:val="23"/>
        </w:rPr>
        <w:t> </w:t>
      </w:r>
      <w:r>
        <w:rPr>
          <w:color w:val="363436"/>
          <w:w w:val="105"/>
          <w:sz w:val="23"/>
        </w:rPr>
        <w:t>here need</w:t>
      </w:r>
      <w:r>
        <w:rPr>
          <w:color w:val="363436"/>
          <w:spacing w:val="2"/>
          <w:w w:val="105"/>
          <w:sz w:val="23"/>
        </w:rPr>
        <w:t> </w:t>
      </w:r>
      <w:r>
        <w:rPr>
          <w:color w:val="363436"/>
          <w:w w:val="105"/>
          <w:sz w:val="23"/>
        </w:rPr>
        <w:t>only</w:t>
      </w:r>
      <w:r>
        <w:rPr>
          <w:color w:val="363436"/>
          <w:spacing w:val="14"/>
          <w:w w:val="105"/>
          <w:sz w:val="23"/>
        </w:rPr>
        <w:t> </w:t>
      </w:r>
      <w:r>
        <w:rPr>
          <w:color w:val="363436"/>
          <w:w w:val="105"/>
          <w:sz w:val="23"/>
        </w:rPr>
        <w:t>refer</w:t>
      </w:r>
      <w:r>
        <w:rPr>
          <w:color w:val="363436"/>
          <w:spacing w:val="19"/>
          <w:w w:val="105"/>
          <w:sz w:val="23"/>
        </w:rPr>
        <w:t> </w:t>
      </w:r>
      <w:r>
        <w:rPr>
          <w:color w:val="363436"/>
          <w:w w:val="105"/>
          <w:sz w:val="23"/>
        </w:rPr>
        <w:t>to</w:t>
      </w:r>
      <w:r>
        <w:rPr>
          <w:color w:val="363436"/>
          <w:spacing w:val="23"/>
          <w:w w:val="105"/>
          <w:sz w:val="23"/>
        </w:rPr>
        <w:t> </w:t>
      </w:r>
      <w:r>
        <w:rPr>
          <w:color w:val="363436"/>
          <w:w w:val="105"/>
          <w:sz w:val="23"/>
        </w:rPr>
        <w:t>it:</w:t>
      </w:r>
    </w:p>
    <w:p>
      <w:pPr>
        <w:spacing w:line="128" w:lineRule="exact" w:before="0"/>
        <w:ind w:left="0" w:right="7613" w:firstLine="0"/>
        <w:jc w:val="right"/>
        <w:rPr>
          <w:sz w:val="15"/>
        </w:rPr>
      </w:pPr>
      <w:r>
        <w:rPr>
          <w:color w:val="464648"/>
          <w:spacing w:val="-1"/>
          <w:w w:val="115"/>
          <w:sz w:val="15"/>
        </w:rPr>
        <w:t>grou</w:t>
      </w:r>
      <w:r>
        <w:rPr>
          <w:color w:val="606062"/>
          <w:spacing w:val="-1"/>
          <w:w w:val="115"/>
          <w:sz w:val="15"/>
        </w:rPr>
        <w:t>n</w:t>
      </w:r>
      <w:r>
        <w:rPr>
          <w:color w:val="464648"/>
          <w:spacing w:val="-1"/>
          <w:w w:val="115"/>
          <w:sz w:val="15"/>
        </w:rPr>
        <w:t>ds</w:t>
      </w:r>
      <w:r>
        <w:rPr>
          <w:color w:val="464648"/>
          <w:spacing w:val="-19"/>
          <w:w w:val="115"/>
          <w:sz w:val="15"/>
        </w:rPr>
        <w:t> </w:t>
      </w:r>
      <w:r>
        <w:rPr>
          <w:color w:val="464648"/>
          <w:w w:val="115"/>
          <w:sz w:val="15"/>
        </w:rPr>
        <w:t>on</w:t>
      </w:r>
      <w:r>
        <w:rPr>
          <w:color w:val="464648"/>
          <w:spacing w:val="-6"/>
          <w:w w:val="115"/>
          <w:sz w:val="15"/>
        </w:rPr>
        <w:t> </w:t>
      </w:r>
      <w:r>
        <w:rPr>
          <w:color w:val="464648"/>
          <w:w w:val="115"/>
          <w:sz w:val="15"/>
        </w:rPr>
        <w:t>which</w:t>
      </w:r>
    </w:p>
    <w:p>
      <w:pPr>
        <w:tabs>
          <w:tab w:pos="1694" w:val="left" w:leader="none"/>
        </w:tabs>
        <w:spacing w:line="223" w:lineRule="exact" w:before="0"/>
        <w:ind w:left="0" w:right="453" w:firstLine="0"/>
        <w:jc w:val="right"/>
        <w:rPr>
          <w:sz w:val="20"/>
        </w:rPr>
      </w:pPr>
      <w:r>
        <w:rPr>
          <w:color w:val="464648"/>
          <w:w w:val="110"/>
          <w:sz w:val="15"/>
        </w:rPr>
        <w:t>the</w:t>
      </w:r>
      <w:r>
        <w:rPr>
          <w:color w:val="464648"/>
          <w:spacing w:val="34"/>
          <w:w w:val="110"/>
          <w:sz w:val="15"/>
        </w:rPr>
        <w:t> </w:t>
      </w:r>
      <w:r>
        <w:rPr>
          <w:color w:val="464648"/>
          <w:w w:val="110"/>
          <w:sz w:val="15"/>
        </w:rPr>
        <w:t>court</w:t>
      </w:r>
      <w:r>
        <w:rPr>
          <w:color w:val="464648"/>
          <w:spacing w:val="1"/>
          <w:w w:val="110"/>
          <w:sz w:val="15"/>
        </w:rPr>
        <w:t> </w:t>
      </w:r>
      <w:r>
        <w:rPr>
          <w:color w:val="464648"/>
          <w:w w:val="110"/>
          <w:sz w:val="15"/>
        </w:rPr>
        <w:t>can</w:t>
      </w:r>
      <w:r>
        <w:rPr>
          <w:color w:val="464648"/>
          <w:spacing w:val="-9"/>
          <w:w w:val="110"/>
          <w:sz w:val="15"/>
        </w:rPr>
        <w:t> </w:t>
      </w:r>
      <w:r>
        <w:rPr>
          <w:color w:val="464648"/>
          <w:w w:val="110"/>
          <w:sz w:val="15"/>
        </w:rPr>
        <w:t>g</w:t>
      </w:r>
      <w:r>
        <w:rPr>
          <w:color w:val="606062"/>
          <w:w w:val="110"/>
          <w:sz w:val="15"/>
        </w:rPr>
        <w:t>r</w:t>
      </w:r>
      <w:r>
        <w:rPr>
          <w:color w:val="363436"/>
          <w:w w:val="110"/>
          <w:sz w:val="15"/>
        </w:rPr>
        <w:t>ant</w:t>
        <w:tab/>
      </w:r>
      <w:r>
        <w:rPr>
          <w:color w:val="363436"/>
          <w:w w:val="120"/>
          <w:sz w:val="20"/>
        </w:rPr>
        <w:t>Even</w:t>
      </w:r>
      <w:r>
        <w:rPr>
          <w:color w:val="363436"/>
          <w:spacing w:val="25"/>
          <w:w w:val="120"/>
          <w:sz w:val="20"/>
        </w:rPr>
        <w:t> </w:t>
      </w:r>
      <w:r>
        <w:rPr>
          <w:color w:val="363436"/>
          <w:w w:val="120"/>
          <w:sz w:val="20"/>
        </w:rPr>
        <w:t>if</w:t>
      </w:r>
      <w:r>
        <w:rPr>
          <w:color w:val="363436"/>
          <w:spacing w:val="23"/>
          <w:w w:val="120"/>
          <w:sz w:val="20"/>
        </w:rPr>
        <w:t> </w:t>
      </w:r>
      <w:r>
        <w:rPr>
          <w:color w:val="363436"/>
          <w:w w:val="120"/>
          <w:sz w:val="20"/>
        </w:rPr>
        <w:t>this</w:t>
      </w:r>
      <w:r>
        <w:rPr>
          <w:color w:val="363436"/>
          <w:spacing w:val="-7"/>
          <w:w w:val="120"/>
          <w:sz w:val="20"/>
        </w:rPr>
        <w:t> </w:t>
      </w:r>
      <w:r>
        <w:rPr>
          <w:color w:val="464648"/>
          <w:w w:val="120"/>
          <w:sz w:val="20"/>
        </w:rPr>
        <w:t>court</w:t>
      </w:r>
      <w:r>
        <w:rPr>
          <w:color w:val="464648"/>
          <w:spacing w:val="1"/>
          <w:w w:val="120"/>
          <w:sz w:val="20"/>
        </w:rPr>
        <w:t> </w:t>
      </w:r>
      <w:r>
        <w:rPr>
          <w:color w:val="363436"/>
          <w:w w:val="120"/>
          <w:sz w:val="20"/>
        </w:rPr>
        <w:t>finds</w:t>
      </w:r>
      <w:r>
        <w:rPr>
          <w:color w:val="363436"/>
          <w:spacing w:val="-5"/>
          <w:w w:val="120"/>
          <w:sz w:val="20"/>
        </w:rPr>
        <w:t> </w:t>
      </w:r>
      <w:r>
        <w:rPr>
          <w:color w:val="363436"/>
          <w:w w:val="120"/>
          <w:sz w:val="20"/>
        </w:rPr>
        <w:t>that</w:t>
      </w:r>
      <w:r>
        <w:rPr>
          <w:color w:val="363436"/>
          <w:spacing w:val="9"/>
          <w:w w:val="120"/>
          <w:sz w:val="20"/>
        </w:rPr>
        <w:t> </w:t>
      </w:r>
      <w:r>
        <w:rPr>
          <w:color w:val="363436"/>
          <w:w w:val="120"/>
          <w:sz w:val="20"/>
        </w:rPr>
        <w:t>plaintiff</w:t>
      </w:r>
      <w:r>
        <w:rPr>
          <w:color w:val="363436"/>
          <w:spacing w:val="30"/>
          <w:w w:val="120"/>
          <w:sz w:val="20"/>
        </w:rPr>
        <w:t> </w:t>
      </w:r>
      <w:r>
        <w:rPr>
          <w:color w:val="363436"/>
          <w:w w:val="120"/>
          <w:sz w:val="23"/>
        </w:rPr>
        <w:t>will</w:t>
      </w:r>
      <w:r>
        <w:rPr>
          <w:color w:val="363436"/>
          <w:spacing w:val="16"/>
          <w:w w:val="120"/>
          <w:sz w:val="23"/>
        </w:rPr>
        <w:t> </w:t>
      </w:r>
      <w:r>
        <w:rPr>
          <w:color w:val="363436"/>
          <w:w w:val="120"/>
          <w:sz w:val="20"/>
        </w:rPr>
        <w:t>be</w:t>
      </w:r>
      <w:r>
        <w:rPr>
          <w:color w:val="363436"/>
          <w:spacing w:val="41"/>
          <w:w w:val="120"/>
          <w:sz w:val="20"/>
        </w:rPr>
        <w:t> </w:t>
      </w:r>
      <w:r>
        <w:rPr>
          <w:color w:val="363436"/>
          <w:w w:val="120"/>
          <w:sz w:val="20"/>
        </w:rPr>
        <w:t>able</w:t>
      </w:r>
      <w:r>
        <w:rPr>
          <w:color w:val="363436"/>
          <w:spacing w:val="-1"/>
          <w:w w:val="120"/>
          <w:sz w:val="20"/>
        </w:rPr>
        <w:t> </w:t>
      </w:r>
      <w:r>
        <w:rPr>
          <w:color w:val="363436"/>
          <w:w w:val="120"/>
          <w:sz w:val="20"/>
        </w:rPr>
        <w:t>to</w:t>
      </w:r>
      <w:r>
        <w:rPr>
          <w:color w:val="363436"/>
          <w:spacing w:val="12"/>
          <w:w w:val="120"/>
          <w:sz w:val="20"/>
        </w:rPr>
        <w:t> </w:t>
      </w:r>
      <w:r>
        <w:rPr>
          <w:color w:val="464648"/>
          <w:w w:val="120"/>
          <w:sz w:val="20"/>
        </w:rPr>
        <w:t>establish</w:t>
      </w:r>
      <w:r>
        <w:rPr>
          <w:color w:val="464648"/>
          <w:spacing w:val="19"/>
          <w:w w:val="120"/>
          <w:sz w:val="20"/>
        </w:rPr>
        <w:t> </w:t>
      </w:r>
      <w:r>
        <w:rPr>
          <w:color w:val="363436"/>
          <w:w w:val="120"/>
          <w:sz w:val="20"/>
        </w:rPr>
        <w:t>a</w:t>
      </w:r>
      <w:r>
        <w:rPr>
          <w:color w:val="363436"/>
          <w:spacing w:val="21"/>
          <w:w w:val="120"/>
          <w:sz w:val="20"/>
        </w:rPr>
        <w:t> </w:t>
      </w:r>
      <w:r>
        <w:rPr>
          <w:color w:val="363436"/>
          <w:w w:val="120"/>
          <w:sz w:val="20"/>
        </w:rPr>
        <w:t>legal</w:t>
      </w:r>
    </w:p>
    <w:p>
      <w:pPr>
        <w:tabs>
          <w:tab w:pos="1152" w:val="left" w:leader="none"/>
        </w:tabs>
        <w:spacing w:line="238" w:lineRule="exact" w:before="0"/>
        <w:ind w:left="0" w:right="443" w:firstLine="0"/>
        <w:jc w:val="right"/>
        <w:rPr>
          <w:sz w:val="20"/>
        </w:rPr>
      </w:pPr>
      <w:r>
        <w:rPr>
          <w:color w:val="363436"/>
          <w:w w:val="125"/>
          <w:position w:val="9"/>
          <w:sz w:val="15"/>
        </w:rPr>
        <w:t>th</w:t>
      </w:r>
      <w:r>
        <w:rPr>
          <w:rFonts w:ascii="Arial"/>
          <w:color w:val="363436"/>
          <w:w w:val="125"/>
          <w:sz w:val="14"/>
        </w:rPr>
        <w:t>e</w:t>
      </w:r>
      <w:r>
        <w:rPr>
          <w:color w:val="464648"/>
          <w:w w:val="125"/>
          <w:sz w:val="15"/>
        </w:rPr>
        <w:t>motion</w:t>
      </w:r>
      <w:r>
        <w:rPr>
          <w:color w:val="606062"/>
          <w:w w:val="125"/>
          <w:sz w:val="15"/>
        </w:rPr>
        <w:t>.</w:t>
        <w:tab/>
      </w:r>
      <w:r>
        <w:rPr>
          <w:color w:val="363436"/>
          <w:w w:val="120"/>
          <w:sz w:val="20"/>
        </w:rPr>
        <w:t>duty,</w:t>
      </w:r>
      <w:r>
        <w:rPr>
          <w:color w:val="363436"/>
          <w:spacing w:val="-4"/>
          <w:w w:val="120"/>
          <w:sz w:val="20"/>
        </w:rPr>
        <w:t> </w:t>
      </w:r>
      <w:r>
        <w:rPr>
          <w:color w:val="363436"/>
          <w:w w:val="120"/>
          <w:sz w:val="20"/>
        </w:rPr>
        <w:t>it</w:t>
      </w:r>
      <w:r>
        <w:rPr>
          <w:color w:val="363436"/>
          <w:spacing w:val="-2"/>
          <w:w w:val="120"/>
          <w:sz w:val="20"/>
        </w:rPr>
        <w:t> </w:t>
      </w:r>
      <w:r>
        <w:rPr>
          <w:color w:val="464648"/>
          <w:w w:val="120"/>
          <w:sz w:val="20"/>
        </w:rPr>
        <w:t>should</w:t>
      </w:r>
      <w:r>
        <w:rPr>
          <w:color w:val="464648"/>
          <w:spacing w:val="4"/>
          <w:w w:val="120"/>
          <w:sz w:val="20"/>
        </w:rPr>
        <w:t> </w:t>
      </w:r>
      <w:r>
        <w:rPr>
          <w:color w:val="363436"/>
          <w:w w:val="120"/>
          <w:sz w:val="20"/>
        </w:rPr>
        <w:t>dismiss</w:t>
      </w:r>
      <w:r>
        <w:rPr>
          <w:color w:val="363436"/>
          <w:spacing w:val="-4"/>
          <w:w w:val="120"/>
          <w:sz w:val="20"/>
        </w:rPr>
        <w:t> </w:t>
      </w:r>
      <w:r>
        <w:rPr>
          <w:color w:val="363436"/>
          <w:w w:val="120"/>
          <w:sz w:val="20"/>
        </w:rPr>
        <w:t>the</w:t>
      </w:r>
      <w:r>
        <w:rPr>
          <w:color w:val="363436"/>
          <w:spacing w:val="18"/>
          <w:w w:val="120"/>
          <w:sz w:val="20"/>
        </w:rPr>
        <w:t> </w:t>
      </w:r>
      <w:r>
        <w:rPr>
          <w:color w:val="363436"/>
          <w:w w:val="120"/>
          <w:sz w:val="20"/>
        </w:rPr>
        <w:t>complaint</w:t>
      </w:r>
      <w:r>
        <w:rPr>
          <w:color w:val="363436"/>
          <w:spacing w:val="14"/>
          <w:w w:val="120"/>
          <w:sz w:val="20"/>
        </w:rPr>
        <w:t> </w:t>
      </w:r>
      <w:r>
        <w:rPr>
          <w:color w:val="363436"/>
          <w:w w:val="120"/>
          <w:sz w:val="20"/>
        </w:rPr>
        <w:t>because</w:t>
      </w:r>
      <w:r>
        <w:rPr>
          <w:color w:val="363436"/>
          <w:spacing w:val="1"/>
          <w:w w:val="120"/>
          <w:sz w:val="20"/>
        </w:rPr>
        <w:t> </w:t>
      </w:r>
      <w:r>
        <w:rPr>
          <w:color w:val="363436"/>
          <w:w w:val="120"/>
          <w:sz w:val="20"/>
        </w:rPr>
        <w:t>the</w:t>
      </w:r>
      <w:r>
        <w:rPr>
          <w:color w:val="363436"/>
          <w:spacing w:val="46"/>
          <w:w w:val="120"/>
          <w:sz w:val="20"/>
        </w:rPr>
        <w:t> </w:t>
      </w:r>
      <w:r>
        <w:rPr>
          <w:color w:val="363436"/>
          <w:w w:val="120"/>
          <w:sz w:val="20"/>
        </w:rPr>
        <w:t>plaintiff</w:t>
      </w:r>
      <w:r>
        <w:rPr>
          <w:color w:val="363436"/>
          <w:spacing w:val="33"/>
          <w:w w:val="120"/>
          <w:sz w:val="20"/>
        </w:rPr>
        <w:t> </w:t>
      </w:r>
      <w:r>
        <w:rPr>
          <w:color w:val="363436"/>
          <w:w w:val="120"/>
          <w:sz w:val="20"/>
        </w:rPr>
        <w:t>will</w:t>
      </w:r>
      <w:r>
        <w:rPr>
          <w:color w:val="363436"/>
          <w:spacing w:val="7"/>
          <w:w w:val="120"/>
          <w:sz w:val="20"/>
        </w:rPr>
        <w:t> </w:t>
      </w:r>
      <w:r>
        <w:rPr>
          <w:color w:val="363436"/>
          <w:w w:val="120"/>
          <w:sz w:val="20"/>
        </w:rPr>
        <w:t>not</w:t>
      </w:r>
      <w:r>
        <w:rPr>
          <w:color w:val="363436"/>
          <w:spacing w:val="22"/>
          <w:w w:val="120"/>
          <w:sz w:val="20"/>
        </w:rPr>
        <w:t> </w:t>
      </w:r>
      <w:r>
        <w:rPr>
          <w:color w:val="363436"/>
          <w:w w:val="120"/>
          <w:sz w:val="20"/>
        </w:rPr>
        <w:t>be</w:t>
      </w:r>
    </w:p>
    <w:p>
      <w:pPr>
        <w:tabs>
          <w:tab w:pos="1481" w:val="left" w:leader="none"/>
        </w:tabs>
        <w:spacing w:line="218" w:lineRule="exact" w:before="0"/>
        <w:ind w:left="0" w:right="436" w:firstLine="0"/>
        <w:jc w:val="right"/>
        <w:rPr>
          <w:sz w:val="20"/>
        </w:rPr>
      </w:pPr>
      <w:r>
        <w:rPr>
          <w:color w:val="363436"/>
          <w:w w:val="115"/>
          <w:position w:val="6"/>
          <w:sz w:val="17"/>
        </w:rPr>
        <w:t>2</w:t>
      </w:r>
      <w:r>
        <w:rPr>
          <w:color w:val="363436"/>
          <w:spacing w:val="2"/>
          <w:w w:val="115"/>
          <w:position w:val="6"/>
          <w:sz w:val="17"/>
        </w:rPr>
        <w:t> </w:t>
      </w:r>
      <w:r>
        <w:rPr>
          <w:color w:val="363436"/>
          <w:w w:val="115"/>
          <w:sz w:val="15"/>
        </w:rPr>
        <w:t>Th</w:t>
      </w:r>
      <w:r>
        <w:rPr>
          <w:color w:val="606062"/>
          <w:w w:val="115"/>
          <w:sz w:val="15"/>
        </w:rPr>
        <w:t>i</w:t>
      </w:r>
      <w:r>
        <w:rPr>
          <w:color w:val="464648"/>
          <w:w w:val="115"/>
          <w:sz w:val="15"/>
        </w:rPr>
        <w:t>s</w:t>
      </w:r>
      <w:r>
        <w:rPr>
          <w:color w:val="464648"/>
          <w:spacing w:val="-5"/>
          <w:w w:val="115"/>
          <w:sz w:val="15"/>
        </w:rPr>
        <w:t> </w:t>
      </w:r>
      <w:r>
        <w:rPr>
          <w:color w:val="464648"/>
          <w:w w:val="115"/>
          <w:sz w:val="15"/>
        </w:rPr>
        <w:t>sentence</w:t>
        <w:tab/>
      </w:r>
      <w:r>
        <w:rPr>
          <w:color w:val="363436"/>
          <w:spacing w:val="-1"/>
          <w:w w:val="125"/>
          <w:sz w:val="20"/>
        </w:rPr>
        <w:t>able</w:t>
      </w:r>
      <w:r>
        <w:rPr>
          <w:color w:val="363436"/>
          <w:spacing w:val="-29"/>
          <w:w w:val="125"/>
          <w:sz w:val="20"/>
        </w:rPr>
        <w:t> </w:t>
      </w:r>
      <w:r>
        <w:rPr>
          <w:color w:val="363436"/>
          <w:spacing w:val="-1"/>
          <w:w w:val="125"/>
          <w:sz w:val="20"/>
        </w:rPr>
        <w:t>to</w:t>
      </w:r>
      <w:r>
        <w:rPr>
          <w:color w:val="363436"/>
          <w:spacing w:val="-26"/>
          <w:w w:val="125"/>
          <w:sz w:val="20"/>
        </w:rPr>
        <w:t> </w:t>
      </w:r>
      <w:r>
        <w:rPr>
          <w:color w:val="363436"/>
          <w:spacing w:val="-1"/>
          <w:w w:val="125"/>
          <w:sz w:val="20"/>
        </w:rPr>
        <w:t>establish</w:t>
      </w:r>
      <w:r>
        <w:rPr>
          <w:color w:val="363436"/>
          <w:spacing w:val="-12"/>
          <w:w w:val="125"/>
          <w:sz w:val="20"/>
        </w:rPr>
        <w:t> </w:t>
      </w:r>
      <w:r>
        <w:rPr>
          <w:color w:val="464648"/>
          <w:spacing w:val="-1"/>
          <w:w w:val="125"/>
          <w:sz w:val="20"/>
        </w:rPr>
        <w:t>causation.</w:t>
      </w:r>
      <w:r>
        <w:rPr>
          <w:color w:val="464648"/>
          <w:spacing w:val="15"/>
          <w:w w:val="125"/>
          <w:sz w:val="20"/>
        </w:rPr>
        <w:t> </w:t>
      </w:r>
      <w:r>
        <w:rPr>
          <w:color w:val="363436"/>
          <w:spacing w:val="-1"/>
          <w:w w:val="125"/>
          <w:sz w:val="17"/>
        </w:rPr>
        <w:t>1</w:t>
      </w:r>
      <w:r>
        <w:rPr>
          <w:color w:val="363436"/>
          <w:spacing w:val="37"/>
          <w:w w:val="125"/>
          <w:sz w:val="17"/>
        </w:rPr>
        <w:t> </w:t>
      </w:r>
      <w:r>
        <w:rPr>
          <w:color w:val="363436"/>
          <w:spacing w:val="-1"/>
          <w:w w:val="125"/>
          <w:sz w:val="20"/>
        </w:rPr>
        <w:t>Tosurvive</w:t>
      </w:r>
      <w:r>
        <w:rPr>
          <w:color w:val="363436"/>
          <w:spacing w:val="-41"/>
          <w:w w:val="125"/>
          <w:sz w:val="20"/>
        </w:rPr>
        <w:t> </w:t>
      </w:r>
      <w:r>
        <w:rPr>
          <w:color w:val="363436"/>
          <w:spacing w:val="-1"/>
          <w:w w:val="125"/>
          <w:sz w:val="20"/>
        </w:rPr>
        <w:t>a</w:t>
      </w:r>
      <w:r>
        <w:rPr>
          <w:color w:val="363436"/>
          <w:spacing w:val="6"/>
          <w:w w:val="125"/>
          <w:sz w:val="20"/>
        </w:rPr>
        <w:t> </w:t>
      </w:r>
      <w:r>
        <w:rPr>
          <w:color w:val="363436"/>
          <w:spacing w:val="-1"/>
          <w:w w:val="125"/>
          <w:sz w:val="20"/>
        </w:rPr>
        <w:t>motion</w:t>
      </w:r>
      <w:r>
        <w:rPr>
          <w:color w:val="363436"/>
          <w:spacing w:val="-8"/>
          <w:w w:val="125"/>
          <w:sz w:val="20"/>
        </w:rPr>
        <w:t> </w:t>
      </w:r>
      <w:r>
        <w:rPr>
          <w:color w:val="363436"/>
          <w:spacing w:val="-1"/>
          <w:w w:val="125"/>
          <w:sz w:val="20"/>
        </w:rPr>
        <w:t>to</w:t>
      </w:r>
      <w:r>
        <w:rPr>
          <w:color w:val="363436"/>
          <w:spacing w:val="-23"/>
          <w:w w:val="125"/>
          <w:sz w:val="20"/>
        </w:rPr>
        <w:t> </w:t>
      </w:r>
      <w:r>
        <w:rPr>
          <w:color w:val="363436"/>
          <w:spacing w:val="-1"/>
          <w:w w:val="125"/>
          <w:sz w:val="20"/>
        </w:rPr>
        <w:t>dismiss</w:t>
      </w:r>
      <w:r>
        <w:rPr>
          <w:color w:val="363436"/>
          <w:spacing w:val="-33"/>
          <w:w w:val="125"/>
          <w:sz w:val="20"/>
        </w:rPr>
        <w:t> </w:t>
      </w:r>
      <w:r>
        <w:rPr>
          <w:color w:val="363436"/>
          <w:w w:val="125"/>
          <w:sz w:val="20"/>
        </w:rPr>
        <w:t>as</w:t>
      </w:r>
      <w:r>
        <w:rPr>
          <w:color w:val="363436"/>
          <w:spacing w:val="-13"/>
          <w:w w:val="125"/>
          <w:sz w:val="20"/>
        </w:rPr>
        <w:t> </w:t>
      </w:r>
      <w:r>
        <w:rPr>
          <w:color w:val="363436"/>
          <w:w w:val="125"/>
          <w:sz w:val="20"/>
        </w:rPr>
        <w:t>to</w:t>
      </w:r>
      <w:r>
        <w:rPr>
          <w:color w:val="363436"/>
          <w:spacing w:val="-18"/>
          <w:w w:val="125"/>
          <w:sz w:val="20"/>
        </w:rPr>
        <w:t> </w:t>
      </w:r>
      <w:r>
        <w:rPr>
          <w:color w:val="464648"/>
          <w:w w:val="125"/>
          <w:sz w:val="20"/>
        </w:rPr>
        <w:t>cau-</w:t>
      </w:r>
    </w:p>
    <w:p>
      <w:pPr>
        <w:spacing w:line="97" w:lineRule="exact" w:before="0"/>
        <w:ind w:left="515" w:right="0" w:firstLine="0"/>
        <w:jc w:val="left"/>
        <w:rPr>
          <w:sz w:val="15"/>
        </w:rPr>
      </w:pPr>
      <w:r>
        <w:rPr>
          <w:color w:val="464648"/>
          <w:w w:val="105"/>
          <w:sz w:val="15"/>
        </w:rPr>
        <w:t>tells</w:t>
      </w:r>
      <w:r>
        <w:rPr>
          <w:color w:val="464648"/>
          <w:spacing w:val="-2"/>
          <w:w w:val="105"/>
          <w:sz w:val="15"/>
        </w:rPr>
        <w:t> </w:t>
      </w:r>
      <w:r>
        <w:rPr>
          <w:color w:val="464648"/>
          <w:w w:val="105"/>
          <w:sz w:val="15"/>
        </w:rPr>
        <w:t>the</w:t>
      </w:r>
      <w:r>
        <w:rPr>
          <w:color w:val="464648"/>
          <w:spacing w:val="22"/>
          <w:w w:val="105"/>
          <w:sz w:val="15"/>
        </w:rPr>
        <w:t> </w:t>
      </w:r>
      <w:r>
        <w:rPr>
          <w:color w:val="464648"/>
          <w:w w:val="105"/>
          <w:sz w:val="15"/>
        </w:rPr>
        <w:t>reader</w:t>
      </w:r>
    </w:p>
    <w:p>
      <w:pPr>
        <w:tabs>
          <w:tab w:pos="1866" w:val="left" w:leader="none"/>
        </w:tabs>
        <w:spacing w:line="165" w:lineRule="exact" w:before="0"/>
        <w:ind w:left="525" w:right="0" w:firstLine="0"/>
        <w:jc w:val="left"/>
        <w:rPr>
          <w:sz w:val="20"/>
        </w:rPr>
      </w:pPr>
      <w:r>
        <w:rPr>
          <w:color w:val="363436"/>
          <w:spacing w:val="-1"/>
          <w:w w:val="115"/>
          <w:sz w:val="15"/>
        </w:rPr>
        <w:t>how</w:t>
      </w:r>
      <w:r>
        <w:rPr>
          <w:color w:val="363436"/>
          <w:spacing w:val="-10"/>
          <w:w w:val="115"/>
          <w:sz w:val="15"/>
        </w:rPr>
        <w:t> </w:t>
      </w:r>
      <w:r>
        <w:rPr>
          <w:color w:val="464648"/>
          <w:spacing w:val="-1"/>
          <w:w w:val="115"/>
          <w:sz w:val="15"/>
        </w:rPr>
        <w:t>the</w:t>
      </w:r>
      <w:r>
        <w:rPr>
          <w:color w:val="464648"/>
          <w:spacing w:val="-8"/>
          <w:w w:val="115"/>
          <w:sz w:val="15"/>
        </w:rPr>
        <w:t> </w:t>
      </w:r>
      <w:r>
        <w:rPr>
          <w:color w:val="464648"/>
          <w:spacing w:val="-1"/>
          <w:w w:val="115"/>
          <w:sz w:val="15"/>
        </w:rPr>
        <w:t>issues</w:t>
        <w:tab/>
      </w:r>
      <w:r>
        <w:rPr>
          <w:color w:val="464648"/>
          <w:w w:val="120"/>
          <w:sz w:val="20"/>
        </w:rPr>
        <w:t>sation,</w:t>
      </w:r>
      <w:r>
        <w:rPr>
          <w:color w:val="464648"/>
          <w:spacing w:val="20"/>
          <w:w w:val="120"/>
          <w:sz w:val="20"/>
        </w:rPr>
        <w:t> </w:t>
      </w:r>
      <w:r>
        <w:rPr>
          <w:color w:val="464648"/>
          <w:w w:val="120"/>
          <w:sz w:val="20"/>
        </w:rPr>
        <w:t>a</w:t>
      </w:r>
      <w:r>
        <w:rPr>
          <w:color w:val="464648"/>
          <w:spacing w:val="20"/>
          <w:w w:val="120"/>
          <w:sz w:val="20"/>
        </w:rPr>
        <w:t> </w:t>
      </w:r>
      <w:r>
        <w:rPr>
          <w:color w:val="363436"/>
          <w:w w:val="120"/>
          <w:sz w:val="20"/>
        </w:rPr>
        <w:t>complaint</w:t>
      </w:r>
      <w:r>
        <w:rPr>
          <w:color w:val="363436"/>
          <w:spacing w:val="47"/>
          <w:w w:val="120"/>
          <w:sz w:val="20"/>
        </w:rPr>
        <w:t> </w:t>
      </w:r>
      <w:r>
        <w:rPr>
          <w:color w:val="363436"/>
          <w:w w:val="120"/>
          <w:sz w:val="20"/>
        </w:rPr>
        <w:t>must</w:t>
      </w:r>
      <w:r>
        <w:rPr>
          <w:color w:val="363436"/>
          <w:spacing w:val="39"/>
          <w:w w:val="120"/>
          <w:sz w:val="20"/>
        </w:rPr>
        <w:t> </w:t>
      </w:r>
      <w:r>
        <w:rPr>
          <w:color w:val="363436"/>
          <w:w w:val="120"/>
          <w:sz w:val="20"/>
        </w:rPr>
        <w:t>plead</w:t>
      </w:r>
      <w:r>
        <w:rPr>
          <w:color w:val="363436"/>
          <w:spacing w:val="24"/>
          <w:w w:val="120"/>
          <w:sz w:val="20"/>
        </w:rPr>
        <w:t> </w:t>
      </w:r>
      <w:r>
        <w:rPr>
          <w:color w:val="464648"/>
          <w:w w:val="120"/>
          <w:sz w:val="20"/>
        </w:rPr>
        <w:t>sufficient</w:t>
      </w:r>
      <w:r>
        <w:rPr>
          <w:color w:val="464648"/>
          <w:spacing w:val="32"/>
          <w:w w:val="120"/>
          <w:sz w:val="20"/>
        </w:rPr>
        <w:t> </w:t>
      </w:r>
      <w:r>
        <w:rPr>
          <w:color w:val="363436"/>
          <w:w w:val="120"/>
          <w:sz w:val="20"/>
        </w:rPr>
        <w:t>facts</w:t>
      </w:r>
      <w:r>
        <w:rPr>
          <w:color w:val="363436"/>
          <w:spacing w:val="-1"/>
          <w:w w:val="120"/>
          <w:sz w:val="20"/>
        </w:rPr>
        <w:t> </w:t>
      </w:r>
      <w:r>
        <w:rPr>
          <w:color w:val="464648"/>
          <w:w w:val="120"/>
          <w:sz w:val="20"/>
        </w:rPr>
        <w:t>for</w:t>
      </w:r>
      <w:r>
        <w:rPr>
          <w:color w:val="464648"/>
          <w:spacing w:val="32"/>
          <w:w w:val="120"/>
          <w:sz w:val="20"/>
        </w:rPr>
        <w:t> </w:t>
      </w:r>
      <w:r>
        <w:rPr>
          <w:color w:val="363436"/>
          <w:w w:val="120"/>
          <w:sz w:val="20"/>
        </w:rPr>
        <w:t>both</w:t>
      </w:r>
      <w:r>
        <w:rPr>
          <w:color w:val="363436"/>
          <w:spacing w:val="23"/>
          <w:w w:val="120"/>
          <w:sz w:val="20"/>
        </w:rPr>
        <w:t> </w:t>
      </w:r>
      <w:r>
        <w:rPr>
          <w:color w:val="363436"/>
          <w:w w:val="120"/>
          <w:sz w:val="20"/>
        </w:rPr>
        <w:t>causation</w:t>
      </w:r>
      <w:r>
        <w:rPr>
          <w:color w:val="363436"/>
          <w:spacing w:val="44"/>
          <w:w w:val="120"/>
          <w:sz w:val="20"/>
        </w:rPr>
        <w:t> </w:t>
      </w:r>
      <w:r>
        <w:rPr>
          <w:color w:val="363436"/>
          <w:w w:val="120"/>
          <w:sz w:val="20"/>
        </w:rPr>
        <w:t>in</w:t>
      </w:r>
    </w:p>
    <w:p>
      <w:pPr>
        <w:tabs>
          <w:tab w:pos="1496" w:val="left" w:leader="none"/>
        </w:tabs>
        <w:spacing w:line="253" w:lineRule="exact" w:before="0"/>
        <w:ind w:left="0" w:right="461" w:firstLine="0"/>
        <w:jc w:val="right"/>
        <w:rPr>
          <w:sz w:val="20"/>
        </w:rPr>
      </w:pPr>
      <w:r>
        <w:rPr>
          <w:color w:val="363436"/>
          <w:w w:val="105"/>
          <w:sz w:val="15"/>
        </w:rPr>
        <w:t>under</w:t>
      </w:r>
      <w:r>
        <w:rPr>
          <w:color w:val="363436"/>
          <w:spacing w:val="9"/>
          <w:w w:val="105"/>
          <w:sz w:val="15"/>
        </w:rPr>
        <w:t> </w:t>
      </w:r>
      <w:r>
        <w:rPr>
          <w:color w:val="464648"/>
          <w:w w:val="110"/>
          <w:sz w:val="15"/>
        </w:rPr>
        <w:t>dismsion</w:t>
        <w:tab/>
      </w:r>
      <w:r>
        <w:rPr>
          <w:color w:val="363436"/>
          <w:w w:val="105"/>
          <w:sz w:val="20"/>
        </w:rPr>
        <w:t>fact</w:t>
      </w:r>
      <w:r>
        <w:rPr>
          <w:color w:val="363436"/>
          <w:spacing w:val="10"/>
          <w:w w:val="105"/>
          <w:sz w:val="20"/>
        </w:rPr>
        <w:t> </w:t>
      </w:r>
      <w:r>
        <w:rPr>
          <w:color w:val="464648"/>
          <w:w w:val="105"/>
          <w:sz w:val="20"/>
        </w:rPr>
        <w:t>and </w:t>
      </w:r>
      <w:r>
        <w:rPr>
          <w:color w:val="464648"/>
          <w:spacing w:val="17"/>
          <w:w w:val="105"/>
          <w:sz w:val="20"/>
        </w:rPr>
        <w:t> </w:t>
      </w:r>
      <w:r>
        <w:rPr>
          <w:color w:val="363436"/>
          <w:w w:val="105"/>
          <w:sz w:val="20"/>
        </w:rPr>
        <w:t>legal</w:t>
      </w:r>
      <w:r>
        <w:rPr>
          <w:color w:val="363436"/>
          <w:spacing w:val="7"/>
          <w:w w:val="105"/>
          <w:sz w:val="20"/>
        </w:rPr>
        <w:t> </w:t>
      </w:r>
      <w:r>
        <w:rPr>
          <w:color w:val="363436"/>
          <w:w w:val="110"/>
          <w:sz w:val="20"/>
        </w:rPr>
        <w:t>cause.</w:t>
      </w:r>
      <w:r>
        <w:rPr>
          <w:color w:val="363436"/>
          <w:spacing w:val="8"/>
          <w:w w:val="110"/>
          <w:sz w:val="20"/>
        </w:rPr>
        <w:t> </w:t>
      </w:r>
      <w:r>
        <w:rPr>
          <w:color w:val="363436"/>
          <w:w w:val="105"/>
          <w:sz w:val="20"/>
          <w:u w:val="thick" w:color="464648"/>
        </w:rPr>
        <w:t>McGuffin </w:t>
      </w:r>
      <w:r>
        <w:rPr>
          <w:color w:val="363436"/>
          <w:spacing w:val="12"/>
          <w:w w:val="105"/>
          <w:sz w:val="20"/>
          <w:u w:val="thick" w:color="464648"/>
        </w:rPr>
        <w:t> </w:t>
      </w:r>
      <w:r>
        <w:rPr>
          <w:color w:val="464648"/>
          <w:w w:val="105"/>
          <w:sz w:val="19"/>
          <w:u w:val="thick" w:color="464648"/>
        </w:rPr>
        <w:t>Yr</w:t>
      </w:r>
      <w:r>
        <w:rPr>
          <w:color w:val="464648"/>
          <w:spacing w:val="47"/>
          <w:w w:val="105"/>
          <w:sz w:val="19"/>
        </w:rPr>
        <w:t> </w:t>
      </w:r>
      <w:r>
        <w:rPr>
          <w:color w:val="464648"/>
          <w:w w:val="105"/>
          <w:sz w:val="25"/>
          <w:u w:val="thick" w:color="464648"/>
        </w:rPr>
        <w:t>Restrepo.</w:t>
      </w:r>
      <w:r>
        <w:rPr>
          <w:color w:val="464648"/>
          <w:spacing w:val="4"/>
          <w:w w:val="105"/>
          <w:sz w:val="25"/>
        </w:rPr>
        <w:t> </w:t>
      </w:r>
      <w:r>
        <w:rPr>
          <w:color w:val="363436"/>
          <w:w w:val="105"/>
          <w:sz w:val="20"/>
        </w:rPr>
        <w:t>426  </w:t>
      </w:r>
      <w:r>
        <w:rPr>
          <w:color w:val="363436"/>
          <w:spacing w:val="6"/>
          <w:w w:val="105"/>
          <w:sz w:val="20"/>
        </w:rPr>
        <w:t> </w:t>
      </w:r>
      <w:r>
        <w:rPr>
          <w:color w:val="363436"/>
          <w:w w:val="105"/>
          <w:sz w:val="19"/>
        </w:rPr>
        <w:t>S.E.2d</w:t>
      </w:r>
      <w:r>
        <w:rPr>
          <w:color w:val="363436"/>
          <w:spacing w:val="12"/>
          <w:w w:val="105"/>
          <w:sz w:val="19"/>
        </w:rPr>
        <w:t> </w:t>
      </w:r>
      <w:r>
        <w:rPr>
          <w:color w:val="363436"/>
          <w:w w:val="105"/>
          <w:sz w:val="20"/>
        </w:rPr>
        <w:t>802, 804</w:t>
      </w:r>
      <w:r>
        <w:rPr>
          <w:color w:val="363436"/>
          <w:spacing w:val="22"/>
          <w:w w:val="105"/>
          <w:sz w:val="20"/>
        </w:rPr>
        <w:t> </w:t>
      </w:r>
      <w:r>
        <w:rPr>
          <w:color w:val="363436"/>
          <w:w w:val="105"/>
          <w:sz w:val="20"/>
        </w:rPr>
        <w:t>(Vanita</w:t>
      </w:r>
    </w:p>
    <w:p>
      <w:pPr>
        <w:tabs>
          <w:tab w:pos="1862" w:val="left" w:leader="none"/>
          <w:tab w:pos="6975" w:val="left" w:leader="none"/>
        </w:tabs>
        <w:spacing w:line="189" w:lineRule="exact" w:before="0"/>
        <w:ind w:left="288" w:right="0" w:firstLine="0"/>
        <w:jc w:val="left"/>
        <w:rPr>
          <w:b/>
          <w:sz w:val="17"/>
        </w:rPr>
      </w:pPr>
      <w:r>
        <w:rPr>
          <w:color w:val="363436"/>
          <w:w w:val="120"/>
          <w:sz w:val="13"/>
        </w:rPr>
        <w:t>(cau</w:t>
      </w:r>
      <w:r>
        <w:rPr>
          <w:color w:val="363436"/>
          <w:w w:val="120"/>
          <w:position w:val="7"/>
          <w:sz w:val="13"/>
        </w:rPr>
        <w:t>sat,0</w:t>
      </w:r>
      <w:r>
        <w:rPr>
          <w:color w:val="363436"/>
          <w:w w:val="120"/>
          <w:sz w:val="15"/>
        </w:rPr>
        <w:t>n</w:t>
      </w:r>
      <w:r>
        <w:rPr>
          <w:color w:val="363436"/>
          <w:spacing w:val="7"/>
          <w:w w:val="120"/>
          <w:sz w:val="15"/>
        </w:rPr>
        <w:t> </w:t>
      </w:r>
      <w:r>
        <w:rPr>
          <w:color w:val="464648"/>
          <w:w w:val="120"/>
          <w:sz w:val="15"/>
        </w:rPr>
        <w:t>in</w:t>
      </w:r>
      <w:r>
        <w:rPr>
          <w:color w:val="464648"/>
          <w:spacing w:val="-8"/>
          <w:w w:val="120"/>
          <w:sz w:val="15"/>
        </w:rPr>
        <w:t> </w:t>
      </w:r>
      <w:r>
        <w:rPr>
          <w:color w:val="363436"/>
          <w:w w:val="120"/>
          <w:sz w:val="15"/>
        </w:rPr>
        <w:t>fact</w:t>
        <w:tab/>
      </w:r>
      <w:r>
        <w:rPr>
          <w:color w:val="363436"/>
          <w:w w:val="120"/>
          <w:sz w:val="20"/>
        </w:rPr>
        <w:t>1993).</w:t>
      </w:r>
      <w:r>
        <w:rPr>
          <w:color w:val="363436"/>
          <w:spacing w:val="45"/>
          <w:w w:val="120"/>
          <w:sz w:val="20"/>
        </w:rPr>
        <w:t> </w:t>
      </w:r>
      <w:r>
        <w:rPr>
          <w:b/>
          <w:color w:val="363436"/>
          <w:w w:val="120"/>
          <w:sz w:val="17"/>
        </w:rPr>
        <w:t>2 </w:t>
      </w:r>
      <w:r>
        <w:rPr>
          <w:b/>
          <w:color w:val="363436"/>
          <w:spacing w:val="11"/>
          <w:w w:val="120"/>
          <w:sz w:val="17"/>
        </w:rPr>
        <w:t> </w:t>
      </w:r>
      <w:r>
        <w:rPr>
          <w:color w:val="363436"/>
          <w:w w:val="120"/>
          <w:sz w:val="20"/>
        </w:rPr>
        <w:t>This</w:t>
      </w:r>
      <w:r>
        <w:rPr>
          <w:color w:val="363436"/>
          <w:spacing w:val="-15"/>
          <w:w w:val="120"/>
          <w:sz w:val="20"/>
        </w:rPr>
        <w:t> </w:t>
      </w:r>
      <w:r>
        <w:rPr>
          <w:color w:val="363436"/>
          <w:w w:val="120"/>
          <w:sz w:val="20"/>
        </w:rPr>
        <w:t>complaint</w:t>
      </w:r>
      <w:r>
        <w:rPr>
          <w:color w:val="363436"/>
          <w:spacing w:val="26"/>
          <w:w w:val="120"/>
          <w:sz w:val="20"/>
        </w:rPr>
        <w:t> </w:t>
      </w:r>
      <w:r>
        <w:rPr>
          <w:color w:val="363436"/>
          <w:w w:val="120"/>
          <w:sz w:val="20"/>
        </w:rPr>
        <w:t>has</w:t>
      </w:r>
      <w:r>
        <w:rPr>
          <w:color w:val="363436"/>
          <w:spacing w:val="7"/>
          <w:w w:val="120"/>
          <w:sz w:val="20"/>
        </w:rPr>
        <w:t> </w:t>
      </w:r>
      <w:r>
        <w:rPr>
          <w:color w:val="363436"/>
          <w:w w:val="120"/>
          <w:sz w:val="20"/>
        </w:rPr>
        <w:t>not</w:t>
      </w:r>
      <w:r>
        <w:rPr>
          <w:color w:val="363436"/>
          <w:spacing w:val="4"/>
          <w:w w:val="120"/>
          <w:sz w:val="20"/>
        </w:rPr>
        <w:t> </w:t>
      </w:r>
      <w:r>
        <w:rPr>
          <w:color w:val="363436"/>
          <w:w w:val="120"/>
          <w:sz w:val="20"/>
        </w:rPr>
        <w:t>done</w:t>
      </w:r>
      <w:r>
        <w:rPr>
          <w:color w:val="363436"/>
          <w:spacing w:val="-21"/>
          <w:w w:val="120"/>
          <w:sz w:val="20"/>
        </w:rPr>
        <w:t> </w:t>
      </w:r>
      <w:r>
        <w:rPr>
          <w:color w:val="464648"/>
          <w:w w:val="120"/>
          <w:sz w:val="20"/>
        </w:rPr>
        <w:t>so.</w:t>
      </w:r>
      <w:r>
        <w:rPr>
          <w:color w:val="464648"/>
          <w:spacing w:val="-9"/>
          <w:w w:val="120"/>
          <w:sz w:val="20"/>
        </w:rPr>
        <w:t> </w:t>
      </w:r>
      <w:r>
        <w:rPr>
          <w:color w:val="363436"/>
          <w:w w:val="120"/>
          <w:sz w:val="20"/>
        </w:rPr>
        <w:t>First</w:t>
      </w:r>
      <w:r>
        <w:rPr>
          <w:color w:val="363436"/>
          <w:spacing w:val="2"/>
          <w:w w:val="120"/>
          <w:sz w:val="20"/>
        </w:rPr>
        <w:t> </w:t>
      </w:r>
      <w:r>
        <w:rPr>
          <w:color w:val="363436"/>
          <w:w w:val="120"/>
          <w:sz w:val="20"/>
        </w:rPr>
        <w:t>,</w:t>
      </w:r>
      <w:r>
        <w:rPr>
          <w:color w:val="363436"/>
          <w:spacing w:val="3"/>
          <w:w w:val="120"/>
          <w:sz w:val="20"/>
        </w:rPr>
        <w:t> </w:t>
      </w:r>
      <w:r>
        <w:rPr>
          <w:color w:val="363436"/>
          <w:w w:val="120"/>
          <w:sz w:val="20"/>
        </w:rPr>
        <w:t>...</w:t>
        <w:tab/>
      </w:r>
      <w:r>
        <w:rPr>
          <w:b/>
          <w:color w:val="363436"/>
          <w:w w:val="120"/>
          <w:sz w:val="17"/>
        </w:rPr>
        <w:t>3</w:t>
      </w:r>
    </w:p>
    <w:p>
      <w:pPr>
        <w:spacing w:line="139" w:lineRule="exact" w:before="0"/>
        <w:ind w:left="0" w:right="7626" w:firstLine="0"/>
        <w:jc w:val="right"/>
        <w:rPr>
          <w:sz w:val="15"/>
        </w:rPr>
      </w:pPr>
      <w:r>
        <w:rPr/>
        <w:pict>
          <v:shape style="position:absolute;margin-left:24.161819pt;margin-top:5.377371pt;width:263pt;height:11.25pt;mso-position-horizontal-relative:page;mso-position-vertical-relative:paragraph;z-index:-21593600" type="#_x0000_t202" id="docshape447" filled="false" stroked="false">
            <v:textbox inset="0,0,0,0">
              <w:txbxContent>
                <w:p>
                  <w:pPr>
                    <w:tabs>
                      <w:tab w:pos="2264" w:val="left" w:leader="none"/>
                      <w:tab w:pos="3103" w:val="left" w:leader="none"/>
                      <w:tab w:pos="5198" w:val="left" w:leader="none"/>
                    </w:tabs>
                    <w:spacing w:line="224" w:lineRule="exact" w:before="0"/>
                    <w:ind w:left="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b/>
                      <w:color w:val="464648"/>
                      <w:w w:val="110"/>
                      <w:sz w:val="13"/>
                    </w:rPr>
                    <w:t>rel.ate</w:t>
                  </w:r>
                  <w:r>
                    <w:rPr>
                      <w:rFonts w:ascii="Arial"/>
                      <w:b/>
                      <w:color w:val="464648"/>
                      <w:spacing w:val="-5"/>
                      <w:w w:val="110"/>
                      <w:sz w:val="13"/>
                    </w:rPr>
                    <w:t> </w:t>
                  </w:r>
                  <w:r>
                    <w:rPr>
                      <w:color w:val="363436"/>
                      <w:w w:val="110"/>
                      <w:sz w:val="15"/>
                    </w:rPr>
                    <w:t>to</w:t>
                  </w:r>
                  <w:r>
                    <w:rPr>
                      <w:color w:val="363436"/>
                      <w:spacing w:val="1"/>
                      <w:w w:val="110"/>
                      <w:sz w:val="15"/>
                    </w:rPr>
                    <w:t> </w:t>
                  </w:r>
                  <w:r>
                    <w:rPr>
                      <w:color w:val="464648"/>
                      <w:w w:val="110"/>
                      <w:sz w:val="15"/>
                    </w:rPr>
                    <w:t>the</w:t>
                  </w:r>
                  <w:r>
                    <w:rPr>
                      <w:color w:val="464648"/>
                      <w:spacing w:val="3"/>
                      <w:w w:val="110"/>
                      <w:sz w:val="15"/>
                    </w:rPr>
                    <w:t> </w:t>
                  </w:r>
                  <w:r>
                    <w:rPr>
                      <w:color w:val="464648"/>
                      <w:w w:val="110"/>
                      <w:sz w:val="15"/>
                    </w:rPr>
                    <w:t>general</w:t>
                    <w:tab/>
                    <w:t>.</w:t>
                    <w:tab/>
                  </w:r>
                  <w:r>
                    <w:rPr>
                      <w:color w:val="464648"/>
                      <w:w w:val="105"/>
                      <w:sz w:val="15"/>
                    </w:rPr>
                    <w:t>.</w:t>
                  </w:r>
                  <w:r>
                    <w:rPr>
                      <w:color w:val="464648"/>
                      <w:spacing w:val="-14"/>
                      <w:w w:val="105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color w:val="363436"/>
                      <w:w w:val="105"/>
                      <w:sz w:val="20"/>
                    </w:rPr>
                    <w:t>f'</w:t>
                    <w:tab/>
                  </w:r>
                  <w:r>
                    <w:rPr>
                      <w:rFonts w:ascii="Arial"/>
                      <w:color w:val="464648"/>
                      <w:spacing w:val="-7"/>
                      <w:w w:val="110"/>
                      <w:sz w:val="2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363436"/>
          <w:spacing w:val="-1"/>
          <w:w w:val="110"/>
          <w:sz w:val="15"/>
        </w:rPr>
        <w:t>and</w:t>
      </w:r>
      <w:r>
        <w:rPr>
          <w:color w:val="363436"/>
          <w:spacing w:val="20"/>
          <w:w w:val="110"/>
          <w:sz w:val="15"/>
        </w:rPr>
        <w:t> </w:t>
      </w:r>
      <w:r>
        <w:rPr>
          <w:color w:val="363436"/>
          <w:w w:val="110"/>
          <w:sz w:val="15"/>
        </w:rPr>
        <w:t>legal</w:t>
      </w:r>
      <w:r>
        <w:rPr>
          <w:color w:val="363436"/>
          <w:spacing w:val="-15"/>
          <w:w w:val="110"/>
          <w:sz w:val="15"/>
        </w:rPr>
        <w:t> </w:t>
      </w:r>
      <w:r>
        <w:rPr>
          <w:color w:val="363436"/>
          <w:w w:val="110"/>
          <w:sz w:val="15"/>
        </w:rPr>
        <w:t>cause)</w:t>
      </w:r>
    </w:p>
    <w:p>
      <w:pPr>
        <w:pStyle w:val="BodyText"/>
        <w:spacing w:line="253" w:lineRule="exact" w:before="48"/>
        <w:ind w:right="106"/>
        <w:jc w:val="right"/>
      </w:pPr>
      <w:r>
        <w:rPr>
          <w:color w:val="363436"/>
          <w:w w:val="105"/>
          <w:sz w:val="15"/>
        </w:rPr>
        <w:t>rulerega</w:t>
      </w:r>
      <w:r>
        <w:rPr>
          <w:color w:val="606062"/>
          <w:w w:val="105"/>
          <w:sz w:val="15"/>
        </w:rPr>
        <w:t>r</w:t>
      </w:r>
      <w:r>
        <w:rPr>
          <w:color w:val="464648"/>
          <w:w w:val="105"/>
          <w:sz w:val="15"/>
        </w:rPr>
        <w:t>di</w:t>
      </w:r>
      <w:r>
        <w:rPr>
          <w:color w:val="606062"/>
          <w:w w:val="105"/>
          <w:sz w:val="15"/>
        </w:rPr>
        <w:t>n</w:t>
      </w:r>
      <w:r>
        <w:rPr>
          <w:color w:val="464648"/>
          <w:w w:val="105"/>
          <w:sz w:val="15"/>
        </w:rPr>
        <w:t>g</w:t>
      </w:r>
      <w:r>
        <w:rPr>
          <w:color w:val="464648"/>
          <w:spacing w:val="31"/>
          <w:w w:val="105"/>
          <w:sz w:val="15"/>
        </w:rPr>
        <w:t> </w:t>
      </w:r>
      <w:r>
        <w:rPr>
          <w:color w:val="363436"/>
          <w:w w:val="105"/>
        </w:rPr>
        <w:t>By</w:t>
      </w:r>
      <w:r>
        <w:rPr>
          <w:color w:val="363436"/>
          <w:spacing w:val="13"/>
          <w:w w:val="105"/>
        </w:rPr>
        <w:t> </w:t>
      </w:r>
      <w:r>
        <w:rPr>
          <w:color w:val="363436"/>
          <w:w w:val="105"/>
        </w:rPr>
        <w:t>referring</w:t>
      </w:r>
      <w:r>
        <w:rPr>
          <w:color w:val="363436"/>
          <w:spacing w:val="24"/>
          <w:w w:val="105"/>
        </w:rPr>
        <w:t> </w:t>
      </w:r>
      <w:r>
        <w:rPr>
          <w:color w:val="464648"/>
          <w:w w:val="105"/>
        </w:rPr>
        <w:t>spec1</w:t>
      </w:r>
      <w:r>
        <w:rPr>
          <w:color w:val="464648"/>
          <w:spacing w:val="-4"/>
          <w:w w:val="105"/>
        </w:rPr>
        <w:t> </w:t>
      </w:r>
      <w:r>
        <w:rPr>
          <w:color w:val="363436"/>
          <w:w w:val="105"/>
        </w:rPr>
        <w:t>JCally</w:t>
      </w:r>
      <w:r>
        <w:rPr>
          <w:color w:val="363436"/>
          <w:spacing w:val="30"/>
          <w:w w:val="105"/>
        </w:rPr>
        <w:t> </w:t>
      </w:r>
      <w:r>
        <w:rPr>
          <w:color w:val="363436"/>
          <w:w w:val="105"/>
        </w:rPr>
        <w:t>to</w:t>
      </w:r>
      <w:r>
        <w:rPr>
          <w:color w:val="363436"/>
          <w:spacing w:val="60"/>
          <w:w w:val="105"/>
        </w:rPr>
        <w:t> </w:t>
      </w:r>
      <w:r>
        <w:rPr>
          <w:color w:val="363436"/>
          <w:w w:val="105"/>
        </w:rPr>
        <w:t>the </w:t>
      </w:r>
      <w:r>
        <w:rPr>
          <w:color w:val="363436"/>
          <w:spacing w:val="25"/>
          <w:w w:val="105"/>
        </w:rPr>
        <w:t> </w:t>
      </w:r>
      <w:r>
        <w:rPr>
          <w:color w:val="363436"/>
          <w:w w:val="105"/>
        </w:rPr>
        <w:t>causation</w:t>
      </w:r>
      <w:r>
        <w:rPr>
          <w:color w:val="363436"/>
          <w:spacing w:val="29"/>
          <w:w w:val="105"/>
        </w:rPr>
        <w:t> </w:t>
      </w:r>
      <w:r>
        <w:rPr>
          <w:color w:val="464648"/>
          <w:w w:val="105"/>
        </w:rPr>
        <w:t>element</w:t>
      </w:r>
      <w:r>
        <w:rPr>
          <w:color w:val="464648"/>
          <w:spacing w:val="24"/>
          <w:w w:val="105"/>
        </w:rPr>
        <w:t> </w:t>
      </w:r>
      <w:r>
        <w:rPr>
          <w:color w:val="464648"/>
          <w:w w:val="105"/>
        </w:rPr>
        <w:t>(and</w:t>
      </w:r>
      <w:r>
        <w:rPr>
          <w:color w:val="464648"/>
          <w:spacing w:val="17"/>
          <w:w w:val="105"/>
        </w:rPr>
        <w:t> </w:t>
      </w:r>
      <w:r>
        <w:rPr>
          <w:color w:val="363436"/>
          <w:w w:val="105"/>
        </w:rPr>
        <w:t>the</w:t>
      </w:r>
      <w:r>
        <w:rPr>
          <w:color w:val="363436"/>
          <w:spacing w:val="35"/>
          <w:w w:val="105"/>
        </w:rPr>
        <w:t> </w:t>
      </w:r>
      <w:r>
        <w:rPr>
          <w:color w:val="363436"/>
          <w:w w:val="105"/>
        </w:rPr>
        <w:t>legal</w:t>
      </w:r>
      <w:r>
        <w:rPr>
          <w:color w:val="363436"/>
          <w:spacing w:val="17"/>
          <w:w w:val="105"/>
        </w:rPr>
        <w:t> </w:t>
      </w:r>
      <w:r>
        <w:rPr>
          <w:color w:val="363436"/>
          <w:w w:val="105"/>
        </w:rPr>
        <w:t>duty</w:t>
      </w:r>
      <w:r>
        <w:rPr>
          <w:color w:val="363436"/>
          <w:spacing w:val="-5"/>
          <w:w w:val="105"/>
        </w:rPr>
        <w:t> </w:t>
      </w:r>
      <w:r>
        <w:rPr>
          <w:color w:val="464648"/>
          <w:w w:val="105"/>
        </w:rPr>
        <w:t>ele</w:t>
      </w:r>
      <w:r>
        <w:rPr>
          <w:color w:val="606062"/>
          <w:w w:val="105"/>
        </w:rPr>
        <w:t>-</w:t>
      </w:r>
    </w:p>
    <w:p>
      <w:pPr>
        <w:spacing w:line="253" w:lineRule="exact" w:before="0"/>
        <w:ind w:left="0" w:right="138" w:firstLine="0"/>
        <w:jc w:val="right"/>
        <w:rPr>
          <w:sz w:val="23"/>
        </w:rPr>
      </w:pPr>
      <w:r>
        <w:rPr>
          <w:color w:val="464648"/>
          <w:w w:val="110"/>
          <w:sz w:val="15"/>
        </w:rPr>
        <w:t>causation</w:t>
      </w:r>
      <w:r>
        <w:rPr>
          <w:color w:val="606062"/>
          <w:w w:val="110"/>
          <w:sz w:val="15"/>
        </w:rPr>
        <w:t>,</w:t>
      </w:r>
      <w:r>
        <w:rPr>
          <w:color w:val="606062"/>
          <w:spacing w:val="7"/>
          <w:w w:val="110"/>
          <w:sz w:val="15"/>
        </w:rPr>
        <w:t> </w:t>
      </w:r>
      <w:r>
        <w:rPr>
          <w:color w:val="363436"/>
          <w:w w:val="110"/>
          <w:sz w:val="15"/>
        </w:rPr>
        <w:t>and</w:t>
      </w:r>
      <w:r>
        <w:rPr>
          <w:color w:val="363436"/>
          <w:spacing w:val="10"/>
          <w:w w:val="110"/>
          <w:sz w:val="15"/>
        </w:rPr>
        <w:t> </w:t>
      </w:r>
      <w:r>
        <w:rPr>
          <w:color w:val="363436"/>
          <w:w w:val="110"/>
          <w:sz w:val="15"/>
        </w:rPr>
        <w:t>how</w:t>
      </w:r>
      <w:r>
        <w:rPr>
          <w:color w:val="363436"/>
          <w:spacing w:val="-4"/>
          <w:w w:val="110"/>
          <w:sz w:val="15"/>
        </w:rPr>
        <w:t> </w:t>
      </w:r>
      <w:r>
        <w:rPr>
          <w:color w:val="363436"/>
          <w:w w:val="110"/>
          <w:sz w:val="23"/>
        </w:rPr>
        <w:t>ment),</w:t>
      </w:r>
      <w:r>
        <w:rPr>
          <w:color w:val="363436"/>
          <w:spacing w:val="24"/>
          <w:w w:val="110"/>
          <w:sz w:val="23"/>
        </w:rPr>
        <w:t> </w:t>
      </w:r>
      <w:r>
        <w:rPr>
          <w:color w:val="363436"/>
          <w:w w:val="110"/>
          <w:sz w:val="23"/>
        </w:rPr>
        <w:t>the</w:t>
      </w:r>
      <w:r>
        <w:rPr>
          <w:color w:val="363436"/>
          <w:spacing w:val="48"/>
          <w:w w:val="110"/>
          <w:sz w:val="23"/>
        </w:rPr>
        <w:t> </w:t>
      </w:r>
      <w:r>
        <w:rPr>
          <w:color w:val="363436"/>
          <w:w w:val="110"/>
          <w:sz w:val="23"/>
        </w:rPr>
        <w:t>writer</w:t>
      </w:r>
      <w:r>
        <w:rPr>
          <w:color w:val="363436"/>
          <w:spacing w:val="21"/>
          <w:w w:val="110"/>
          <w:sz w:val="23"/>
        </w:rPr>
        <w:t> </w:t>
      </w:r>
      <w:r>
        <w:rPr>
          <w:color w:val="363436"/>
          <w:w w:val="110"/>
          <w:sz w:val="23"/>
        </w:rPr>
        <w:t>has</w:t>
      </w:r>
      <w:r>
        <w:rPr>
          <w:color w:val="363436"/>
          <w:spacing w:val="22"/>
          <w:w w:val="110"/>
          <w:sz w:val="23"/>
        </w:rPr>
        <w:t> </w:t>
      </w:r>
      <w:r>
        <w:rPr>
          <w:color w:val="363436"/>
          <w:w w:val="110"/>
          <w:sz w:val="23"/>
        </w:rPr>
        <w:t>ensured</w:t>
      </w:r>
      <w:r>
        <w:rPr>
          <w:color w:val="363436"/>
          <w:spacing w:val="45"/>
          <w:w w:val="110"/>
          <w:sz w:val="23"/>
        </w:rPr>
        <w:t> </w:t>
      </w:r>
      <w:r>
        <w:rPr>
          <w:color w:val="363436"/>
          <w:w w:val="110"/>
          <w:sz w:val="23"/>
        </w:rPr>
        <w:t>that</w:t>
      </w:r>
      <w:r>
        <w:rPr>
          <w:color w:val="363436"/>
          <w:spacing w:val="27"/>
          <w:w w:val="110"/>
          <w:sz w:val="23"/>
        </w:rPr>
        <w:t> </w:t>
      </w:r>
      <w:r>
        <w:rPr>
          <w:color w:val="363436"/>
          <w:w w:val="110"/>
          <w:sz w:val="23"/>
        </w:rPr>
        <w:t>the</w:t>
      </w:r>
      <w:r>
        <w:rPr>
          <w:color w:val="363436"/>
          <w:spacing w:val="17"/>
          <w:w w:val="110"/>
          <w:sz w:val="23"/>
        </w:rPr>
        <w:t> </w:t>
      </w:r>
      <w:r>
        <w:rPr>
          <w:color w:val="363436"/>
          <w:w w:val="110"/>
          <w:sz w:val="23"/>
        </w:rPr>
        <w:t>reader</w:t>
      </w:r>
      <w:r>
        <w:rPr>
          <w:color w:val="363436"/>
          <w:spacing w:val="34"/>
          <w:w w:val="110"/>
          <w:sz w:val="23"/>
        </w:rPr>
        <w:t> </w:t>
      </w:r>
      <w:r>
        <w:rPr>
          <w:color w:val="363436"/>
          <w:w w:val="110"/>
          <w:sz w:val="23"/>
        </w:rPr>
        <w:t>will</w:t>
      </w:r>
      <w:r>
        <w:rPr>
          <w:color w:val="363436"/>
          <w:spacing w:val="32"/>
          <w:w w:val="110"/>
          <w:sz w:val="23"/>
        </w:rPr>
        <w:t> </w:t>
      </w:r>
      <w:r>
        <w:rPr>
          <w:color w:val="363436"/>
          <w:w w:val="110"/>
          <w:sz w:val="23"/>
        </w:rPr>
        <w:t>be</w:t>
      </w:r>
      <w:r>
        <w:rPr>
          <w:color w:val="363436"/>
          <w:spacing w:val="8"/>
          <w:w w:val="110"/>
          <w:sz w:val="23"/>
        </w:rPr>
        <w:t> </w:t>
      </w:r>
      <w:r>
        <w:rPr>
          <w:color w:val="464648"/>
          <w:w w:val="110"/>
          <w:sz w:val="23"/>
        </w:rPr>
        <w:t>able</w:t>
      </w:r>
      <w:r>
        <w:rPr>
          <w:color w:val="464648"/>
          <w:spacing w:val="7"/>
          <w:w w:val="110"/>
          <w:sz w:val="23"/>
        </w:rPr>
        <w:t> </w:t>
      </w:r>
      <w:r>
        <w:rPr>
          <w:color w:val="363436"/>
          <w:w w:val="110"/>
          <w:sz w:val="23"/>
        </w:rPr>
        <w:t>to</w:t>
      </w:r>
      <w:r>
        <w:rPr>
          <w:color w:val="363436"/>
          <w:spacing w:val="39"/>
          <w:w w:val="110"/>
          <w:sz w:val="23"/>
        </w:rPr>
        <w:t> </w:t>
      </w:r>
      <w:r>
        <w:rPr>
          <w:color w:val="363436"/>
          <w:w w:val="110"/>
          <w:sz w:val="23"/>
        </w:rPr>
        <w:t>understand</w:t>
      </w:r>
    </w:p>
    <w:p>
      <w:pPr>
        <w:pStyle w:val="BodyText"/>
        <w:spacing w:line="257" w:lineRule="exact" w:before="5"/>
        <w:ind w:right="113"/>
        <w:jc w:val="right"/>
      </w:pPr>
      <w:r>
        <w:rPr>
          <w:color w:val="464648"/>
          <w:w w:val="140"/>
          <w:sz w:val="15"/>
        </w:rPr>
        <w:t>;:</w:t>
      </w:r>
      <w:r>
        <w:rPr>
          <w:color w:val="464648"/>
          <w:spacing w:val="16"/>
          <w:w w:val="140"/>
          <w:sz w:val="15"/>
        </w:rPr>
        <w:t> </w:t>
      </w:r>
      <w:r>
        <w:rPr>
          <w:color w:val="464648"/>
          <w:w w:val="140"/>
          <w:sz w:val="15"/>
        </w:rPr>
        <w:t>:7</w:t>
      </w:r>
      <w:r>
        <w:rPr>
          <w:color w:val="464648"/>
          <w:spacing w:val="17"/>
          <w:w w:val="140"/>
          <w:sz w:val="15"/>
        </w:rPr>
        <w:t> </w:t>
      </w:r>
      <w:r>
        <w:rPr>
          <w:color w:val="464648"/>
          <w:w w:val="140"/>
          <w:sz w:val="15"/>
        </w:rPr>
        <w:t>a;</w:t>
      </w:r>
      <w:r>
        <w:rPr>
          <w:color w:val="464648"/>
          <w:spacing w:val="17"/>
          <w:w w:val="140"/>
          <w:sz w:val="15"/>
        </w:rPr>
        <w:t> </w:t>
      </w:r>
      <w:r>
        <w:rPr>
          <w:color w:val="464648"/>
          <w:w w:val="140"/>
          <w:sz w:val="15"/>
        </w:rPr>
        <w:t>:t'.:</w:t>
      </w:r>
      <w:r>
        <w:rPr>
          <w:color w:val="363436"/>
          <w:w w:val="140"/>
        </w:rPr>
        <w:t>what</w:t>
      </w:r>
      <w:r>
        <w:rPr>
          <w:color w:val="363436"/>
          <w:spacing w:val="-17"/>
          <w:w w:val="140"/>
        </w:rPr>
        <w:t> </w:t>
      </w:r>
      <w:r>
        <w:rPr>
          <w:color w:val="363436"/>
          <w:w w:val="120"/>
        </w:rPr>
        <w:t>rule</w:t>
      </w:r>
      <w:r>
        <w:rPr>
          <w:color w:val="363436"/>
          <w:spacing w:val="-9"/>
          <w:w w:val="120"/>
        </w:rPr>
        <w:t> </w:t>
      </w:r>
      <w:r>
        <w:rPr>
          <w:color w:val="363436"/>
          <w:w w:val="120"/>
        </w:rPr>
        <w:t>is</w:t>
      </w:r>
      <w:r>
        <w:rPr>
          <w:color w:val="363436"/>
          <w:spacing w:val="-16"/>
          <w:w w:val="120"/>
        </w:rPr>
        <w:t> </w:t>
      </w:r>
      <w:r>
        <w:rPr>
          <w:color w:val="464648"/>
          <w:w w:val="120"/>
        </w:rPr>
        <w:t>at</w:t>
      </w:r>
      <w:r>
        <w:rPr>
          <w:color w:val="464648"/>
          <w:spacing w:val="18"/>
          <w:w w:val="120"/>
        </w:rPr>
        <w:t> </w:t>
      </w:r>
      <w:r>
        <w:rPr>
          <w:color w:val="363436"/>
          <w:w w:val="120"/>
        </w:rPr>
        <w:t>the</w:t>
      </w:r>
      <w:r>
        <w:rPr>
          <w:color w:val="363436"/>
          <w:spacing w:val="22"/>
          <w:w w:val="120"/>
        </w:rPr>
        <w:t> </w:t>
      </w:r>
      <w:r>
        <w:rPr>
          <w:color w:val="464648"/>
          <w:w w:val="120"/>
        </w:rPr>
        <w:t>root</w:t>
      </w:r>
      <w:r>
        <w:rPr>
          <w:color w:val="464648"/>
          <w:spacing w:val="-4"/>
          <w:w w:val="120"/>
        </w:rPr>
        <w:t> </w:t>
      </w:r>
      <w:r>
        <w:rPr>
          <w:color w:val="464648"/>
          <w:w w:val="120"/>
        </w:rPr>
        <w:t>of</w:t>
      </w:r>
      <w:r>
        <w:rPr>
          <w:color w:val="464648"/>
          <w:spacing w:val="1"/>
          <w:w w:val="120"/>
        </w:rPr>
        <w:t> </w:t>
      </w:r>
      <w:r>
        <w:rPr>
          <w:color w:val="363436"/>
          <w:w w:val="120"/>
        </w:rPr>
        <w:t>the</w:t>
      </w:r>
      <w:r>
        <w:rPr>
          <w:color w:val="363436"/>
          <w:spacing w:val="26"/>
          <w:w w:val="120"/>
        </w:rPr>
        <w:t> </w:t>
      </w:r>
      <w:r>
        <w:rPr>
          <w:color w:val="464648"/>
          <w:w w:val="120"/>
        </w:rPr>
        <w:t>controversy for</w:t>
      </w:r>
      <w:r>
        <w:rPr>
          <w:color w:val="464648"/>
          <w:spacing w:val="2"/>
          <w:w w:val="120"/>
        </w:rPr>
        <w:t> </w:t>
      </w:r>
      <w:r>
        <w:rPr>
          <w:color w:val="464648"/>
          <w:w w:val="120"/>
        </w:rPr>
        <w:t>this</w:t>
      </w:r>
      <w:r>
        <w:rPr>
          <w:color w:val="464648"/>
          <w:spacing w:val="-4"/>
          <w:w w:val="120"/>
        </w:rPr>
        <w:t> </w:t>
      </w:r>
      <w:r>
        <w:rPr>
          <w:color w:val="363436"/>
          <w:w w:val="120"/>
        </w:rPr>
        <w:t>part</w:t>
      </w:r>
      <w:r>
        <w:rPr>
          <w:color w:val="363436"/>
          <w:spacing w:val="-13"/>
          <w:w w:val="120"/>
        </w:rPr>
        <w:t> </w:t>
      </w:r>
      <w:r>
        <w:rPr>
          <w:color w:val="464648"/>
          <w:w w:val="120"/>
        </w:rPr>
        <w:t>of</w:t>
      </w:r>
      <w:r>
        <w:rPr>
          <w:color w:val="464648"/>
          <w:spacing w:val="2"/>
          <w:w w:val="120"/>
        </w:rPr>
        <w:t> </w:t>
      </w:r>
      <w:r>
        <w:rPr>
          <w:color w:val="363436"/>
          <w:w w:val="120"/>
        </w:rPr>
        <w:t>the</w:t>
      </w:r>
      <w:r>
        <w:rPr>
          <w:color w:val="363436"/>
          <w:spacing w:val="17"/>
          <w:w w:val="120"/>
        </w:rPr>
        <w:t> </w:t>
      </w:r>
      <w:r>
        <w:rPr>
          <w:color w:val="363436"/>
          <w:w w:val="120"/>
        </w:rPr>
        <w:t>argument.</w:t>
      </w:r>
    </w:p>
    <w:p>
      <w:pPr>
        <w:pStyle w:val="BodyText"/>
        <w:spacing w:line="255" w:lineRule="exact"/>
        <w:ind w:right="108"/>
        <w:jc w:val="right"/>
      </w:pPr>
      <w:r>
        <w:rPr>
          <w:color w:val="363436"/>
          <w:w w:val="105"/>
          <w:sz w:val="15"/>
        </w:rPr>
        <w:t>to </w:t>
      </w:r>
      <w:r>
        <w:rPr>
          <w:color w:val="464648"/>
          <w:w w:val="105"/>
          <w:sz w:val="15"/>
        </w:rPr>
        <w:t>d,smiss</w:t>
      </w:r>
      <w:r>
        <w:rPr>
          <w:color w:val="606062"/>
          <w:w w:val="105"/>
          <w:sz w:val="15"/>
        </w:rPr>
        <w:t>.</w:t>
      </w:r>
      <w:r>
        <w:rPr>
          <w:color w:val="606062"/>
          <w:spacing w:val="-10"/>
          <w:w w:val="105"/>
          <w:sz w:val="15"/>
        </w:rPr>
        <w:t> </w:t>
      </w:r>
      <w:r>
        <w:rPr>
          <w:color w:val="363436"/>
          <w:w w:val="105"/>
        </w:rPr>
        <w:t>The</w:t>
      </w:r>
      <w:r>
        <w:rPr>
          <w:color w:val="363436"/>
          <w:spacing w:val="21"/>
          <w:w w:val="105"/>
        </w:rPr>
        <w:t> </w:t>
      </w:r>
      <w:r>
        <w:rPr>
          <w:color w:val="464648"/>
          <w:w w:val="105"/>
        </w:rPr>
        <w:t>status</w:t>
      </w:r>
      <w:r>
        <w:rPr>
          <w:color w:val="464648"/>
          <w:spacing w:val="1"/>
          <w:w w:val="105"/>
        </w:rPr>
        <w:t> </w:t>
      </w:r>
      <w:r>
        <w:rPr>
          <w:color w:val="363436"/>
          <w:w w:val="105"/>
        </w:rPr>
        <w:t>of</w:t>
      </w:r>
      <w:r>
        <w:rPr>
          <w:color w:val="363436"/>
          <w:spacing w:val="43"/>
          <w:w w:val="105"/>
        </w:rPr>
        <w:t> </w:t>
      </w:r>
      <w:r>
        <w:rPr>
          <w:color w:val="363436"/>
          <w:w w:val="105"/>
        </w:rPr>
        <w:t>the </w:t>
      </w:r>
      <w:r>
        <w:rPr>
          <w:color w:val="363436"/>
          <w:spacing w:val="4"/>
          <w:w w:val="105"/>
        </w:rPr>
        <w:t> </w:t>
      </w:r>
      <w:r>
        <w:rPr>
          <w:color w:val="363436"/>
          <w:w w:val="105"/>
        </w:rPr>
        <w:t>rule</w:t>
      </w:r>
      <w:r>
        <w:rPr>
          <w:color w:val="363436"/>
          <w:spacing w:val="13"/>
          <w:w w:val="105"/>
        </w:rPr>
        <w:t> </w:t>
      </w:r>
      <w:r>
        <w:rPr>
          <w:color w:val="363436"/>
          <w:w w:val="105"/>
        </w:rPr>
        <w:t>is</w:t>
      </w:r>
      <w:r>
        <w:rPr>
          <w:color w:val="363436"/>
          <w:spacing w:val="15"/>
          <w:w w:val="105"/>
        </w:rPr>
        <w:t> </w:t>
      </w:r>
      <w:r>
        <w:rPr>
          <w:color w:val="464648"/>
          <w:w w:val="105"/>
        </w:rPr>
        <w:t>not</w:t>
      </w:r>
      <w:r>
        <w:rPr>
          <w:color w:val="464648"/>
          <w:spacing w:val="46"/>
          <w:w w:val="105"/>
        </w:rPr>
        <w:t> </w:t>
      </w:r>
      <w:r>
        <w:rPr>
          <w:color w:val="363436"/>
          <w:w w:val="105"/>
        </w:rPr>
        <w:t>controversial,</w:t>
      </w:r>
      <w:r>
        <w:rPr>
          <w:color w:val="363436"/>
          <w:spacing w:val="-5"/>
          <w:w w:val="105"/>
        </w:rPr>
        <w:t> </w:t>
      </w:r>
      <w:r>
        <w:rPr>
          <w:color w:val="464648"/>
          <w:w w:val="105"/>
        </w:rPr>
        <w:t>and</w:t>
      </w:r>
      <w:r>
        <w:rPr>
          <w:color w:val="464648"/>
          <w:spacing w:val="47"/>
          <w:w w:val="105"/>
        </w:rPr>
        <w:t> </w:t>
      </w:r>
      <w:r>
        <w:rPr>
          <w:color w:val="464648"/>
          <w:w w:val="105"/>
        </w:rPr>
        <w:t>so</w:t>
      </w:r>
      <w:r>
        <w:rPr>
          <w:color w:val="464648"/>
          <w:spacing w:val="13"/>
          <w:w w:val="105"/>
        </w:rPr>
        <w:t> </w:t>
      </w:r>
      <w:r>
        <w:rPr>
          <w:color w:val="363436"/>
          <w:w w:val="105"/>
        </w:rPr>
        <w:t>the</w:t>
      </w:r>
      <w:r>
        <w:rPr>
          <w:color w:val="363436"/>
          <w:spacing w:val="40"/>
          <w:w w:val="105"/>
        </w:rPr>
        <w:t> </w:t>
      </w:r>
      <w:r>
        <w:rPr>
          <w:color w:val="363436"/>
          <w:w w:val="105"/>
        </w:rPr>
        <w:t>writer</w:t>
      </w:r>
      <w:r>
        <w:rPr>
          <w:color w:val="363436"/>
          <w:spacing w:val="39"/>
          <w:w w:val="105"/>
        </w:rPr>
        <w:t> </w:t>
      </w:r>
      <w:r>
        <w:rPr>
          <w:color w:val="363436"/>
          <w:w w:val="105"/>
        </w:rPr>
        <w:t>merely</w:t>
      </w:r>
      <w:r>
        <w:rPr>
          <w:color w:val="363436"/>
          <w:spacing w:val="28"/>
          <w:w w:val="105"/>
        </w:rPr>
        <w:t> </w:t>
      </w:r>
      <w:r>
        <w:rPr>
          <w:color w:val="363436"/>
          <w:w w:val="105"/>
        </w:rPr>
        <w:t>relates</w:t>
      </w:r>
    </w:p>
    <w:p>
      <w:pPr>
        <w:spacing w:line="251" w:lineRule="exact" w:before="0"/>
        <w:ind w:left="405" w:right="0" w:firstLine="0"/>
        <w:jc w:val="left"/>
        <w:rPr>
          <w:sz w:val="23"/>
        </w:rPr>
      </w:pPr>
      <w:r>
        <w:rPr>
          <w:rFonts w:ascii="Arial"/>
          <w:b/>
          <w:color w:val="363436"/>
          <w:w w:val="110"/>
          <w:sz w:val="15"/>
        </w:rPr>
        <w:t>3</w:t>
      </w:r>
      <w:r>
        <w:rPr>
          <w:rFonts w:ascii="Arial"/>
          <w:b/>
          <w:color w:val="363436"/>
          <w:spacing w:val="23"/>
          <w:w w:val="110"/>
          <w:sz w:val="15"/>
        </w:rPr>
        <w:t> </w:t>
      </w:r>
      <w:r>
        <w:rPr>
          <w:rFonts w:ascii="Arial"/>
          <w:color w:val="464648"/>
          <w:w w:val="110"/>
          <w:sz w:val="13"/>
        </w:rPr>
        <w:t>At</w:t>
      </w:r>
      <w:r>
        <w:rPr>
          <w:rFonts w:ascii="Arial"/>
          <w:color w:val="464648"/>
          <w:spacing w:val="15"/>
          <w:w w:val="110"/>
          <w:sz w:val="13"/>
        </w:rPr>
        <w:t> </w:t>
      </w:r>
      <w:r>
        <w:rPr>
          <w:color w:val="464648"/>
          <w:w w:val="110"/>
          <w:sz w:val="15"/>
        </w:rPr>
        <w:t>this</w:t>
      </w:r>
      <w:r>
        <w:rPr>
          <w:color w:val="464648"/>
          <w:spacing w:val="-13"/>
          <w:w w:val="110"/>
          <w:sz w:val="15"/>
        </w:rPr>
        <w:t> </w:t>
      </w:r>
      <w:r>
        <w:rPr>
          <w:color w:val="464648"/>
          <w:w w:val="110"/>
          <w:sz w:val="15"/>
        </w:rPr>
        <w:t>point,</w:t>
      </w:r>
      <w:r>
        <w:rPr>
          <w:color w:val="464648"/>
          <w:spacing w:val="-6"/>
          <w:w w:val="110"/>
          <w:sz w:val="15"/>
        </w:rPr>
        <w:t> </w:t>
      </w:r>
      <w:r>
        <w:rPr>
          <w:color w:val="363436"/>
          <w:w w:val="110"/>
          <w:sz w:val="23"/>
        </w:rPr>
        <w:t>the</w:t>
      </w:r>
      <w:r>
        <w:rPr>
          <w:color w:val="363436"/>
          <w:spacing w:val="20"/>
          <w:w w:val="110"/>
          <w:sz w:val="23"/>
        </w:rPr>
        <w:t> </w:t>
      </w:r>
      <w:r>
        <w:rPr>
          <w:color w:val="363436"/>
          <w:w w:val="110"/>
          <w:sz w:val="23"/>
        </w:rPr>
        <w:t>two</w:t>
      </w:r>
      <w:r>
        <w:rPr>
          <w:color w:val="363436"/>
          <w:spacing w:val="9"/>
          <w:w w:val="110"/>
          <w:sz w:val="23"/>
        </w:rPr>
        <w:t> </w:t>
      </w:r>
      <w:r>
        <w:rPr>
          <w:color w:val="363436"/>
          <w:w w:val="110"/>
          <w:sz w:val="23"/>
        </w:rPr>
        <w:t>parts</w:t>
      </w:r>
      <w:r>
        <w:rPr>
          <w:color w:val="363436"/>
          <w:spacing w:val="-16"/>
          <w:w w:val="110"/>
          <w:sz w:val="23"/>
        </w:rPr>
        <w:t> </w:t>
      </w:r>
      <w:r>
        <w:rPr>
          <w:color w:val="363436"/>
          <w:w w:val="110"/>
          <w:sz w:val="23"/>
        </w:rPr>
        <w:t>of</w:t>
      </w:r>
      <w:r>
        <w:rPr>
          <w:color w:val="363436"/>
          <w:spacing w:val="11"/>
          <w:w w:val="110"/>
          <w:sz w:val="23"/>
        </w:rPr>
        <w:t> </w:t>
      </w:r>
      <w:r>
        <w:rPr>
          <w:color w:val="363436"/>
          <w:w w:val="110"/>
          <w:sz w:val="23"/>
        </w:rPr>
        <w:t>her</w:t>
      </w:r>
      <w:r>
        <w:rPr>
          <w:color w:val="363436"/>
          <w:spacing w:val="16"/>
          <w:w w:val="110"/>
          <w:sz w:val="23"/>
        </w:rPr>
        <w:t> </w:t>
      </w:r>
      <w:r>
        <w:rPr>
          <w:color w:val="363436"/>
          <w:w w:val="110"/>
          <w:sz w:val="23"/>
        </w:rPr>
        <w:t>analysis</w:t>
      </w:r>
      <w:r>
        <w:rPr>
          <w:color w:val="363436"/>
          <w:spacing w:val="-4"/>
          <w:w w:val="110"/>
          <w:sz w:val="23"/>
        </w:rPr>
        <w:t> </w:t>
      </w:r>
      <w:r>
        <w:rPr>
          <w:color w:val="363436"/>
          <w:w w:val="110"/>
          <w:sz w:val="23"/>
        </w:rPr>
        <w:t>to</w:t>
      </w:r>
      <w:r>
        <w:rPr>
          <w:color w:val="363436"/>
          <w:spacing w:val="7"/>
          <w:w w:val="110"/>
          <w:sz w:val="23"/>
        </w:rPr>
        <w:t> </w:t>
      </w:r>
      <w:r>
        <w:rPr>
          <w:color w:val="363436"/>
          <w:w w:val="110"/>
          <w:sz w:val="23"/>
        </w:rPr>
        <w:t>the</w:t>
      </w:r>
      <w:r>
        <w:rPr>
          <w:color w:val="363436"/>
          <w:spacing w:val="14"/>
          <w:w w:val="110"/>
          <w:sz w:val="23"/>
        </w:rPr>
        <w:t> </w:t>
      </w:r>
      <w:r>
        <w:rPr>
          <w:color w:val="464648"/>
          <w:w w:val="110"/>
          <w:sz w:val="23"/>
        </w:rPr>
        <w:t>causation</w:t>
      </w:r>
      <w:r>
        <w:rPr>
          <w:color w:val="464648"/>
          <w:spacing w:val="28"/>
          <w:w w:val="110"/>
          <w:sz w:val="23"/>
        </w:rPr>
        <w:t> </w:t>
      </w:r>
      <w:r>
        <w:rPr>
          <w:color w:val="363436"/>
          <w:w w:val="110"/>
          <w:sz w:val="23"/>
        </w:rPr>
        <w:t>rule.</w:t>
      </w:r>
    </w:p>
    <w:p>
      <w:pPr>
        <w:tabs>
          <w:tab w:pos="1844" w:val="left" w:leader="none"/>
        </w:tabs>
        <w:spacing w:line="253" w:lineRule="exact" w:before="0"/>
        <w:ind w:left="123" w:right="0" w:firstLine="0"/>
        <w:jc w:val="left"/>
        <w:rPr>
          <w:sz w:val="21"/>
        </w:rPr>
      </w:pPr>
      <w:r>
        <w:rPr/>
        <w:pict>
          <v:shape style="position:absolute;margin-left:31.758751pt;margin-top:8.795861pt;width:205.2pt;height:11.8pt;mso-position-horizontal-relative:page;mso-position-vertical-relative:paragraph;z-index:-21594624" type="#_x0000_t202" id="docshape448" filled="false" stroked="false">
            <v:textbox inset="0,0,0,0">
              <w:txbxContent>
                <w:p>
                  <w:pPr>
                    <w:tabs>
                      <w:tab w:pos="3327" w:val="left" w:leader="none"/>
                      <w:tab w:pos="4080" w:val="left" w:leader="none"/>
                    </w:tabs>
                    <w:spacing w:line="235" w:lineRule="exact" w:before="0"/>
                    <w:ind w:left="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363436"/>
                      <w:sz w:val="15"/>
                    </w:rPr>
                    <w:t>from</w:t>
                  </w:r>
                  <w:r>
                    <w:rPr>
                      <w:rFonts w:ascii="Arial"/>
                      <w:color w:val="363436"/>
                      <w:spacing w:val="4"/>
                      <w:sz w:val="15"/>
                    </w:rPr>
                    <w:t> </w:t>
                  </w:r>
                  <w:r>
                    <w:rPr>
                      <w:color w:val="464648"/>
                      <w:sz w:val="15"/>
                    </w:rPr>
                    <w:t>backstory</w:t>
                  </w:r>
                  <w:r>
                    <w:rPr>
                      <w:color w:val="464648"/>
                      <w:spacing w:val="20"/>
                      <w:sz w:val="15"/>
                    </w:rPr>
                    <w:t> </w:t>
                  </w:r>
                  <w:r>
                    <w:rPr>
                      <w:color w:val="464648"/>
                      <w:sz w:val="15"/>
                    </w:rPr>
                    <w:t>to</w:t>
                    <w:tab/>
                  </w:r>
                  <w:r>
                    <w:rPr>
                      <w:rFonts w:ascii="Arial"/>
                      <w:color w:val="363436"/>
                      <w:sz w:val="21"/>
                    </w:rPr>
                    <w:t>d</w:t>
                  </w:r>
                  <w:r>
                    <w:rPr>
                      <w:rFonts w:ascii="Arial"/>
                      <w:color w:val="363436"/>
                      <w:spacing w:val="62"/>
                      <w:sz w:val="21"/>
                    </w:rPr>
                    <w:t> </w:t>
                  </w:r>
                  <w:r>
                    <w:rPr>
                      <w:rFonts w:ascii="Arial"/>
                      <w:color w:val="363436"/>
                      <w:sz w:val="21"/>
                    </w:rPr>
                    <w:t>h</w:t>
                  </w:r>
                  <w:r>
                    <w:rPr>
                      <w:rFonts w:ascii="Arial"/>
                      <w:color w:val="363436"/>
                      <w:spacing w:val="70"/>
                      <w:sz w:val="21"/>
                    </w:rPr>
                    <w:t> </w:t>
                  </w:r>
                  <w:r>
                    <w:rPr>
                      <w:rFonts w:ascii="Arial"/>
                      <w:color w:val="363436"/>
                      <w:w w:val="80"/>
                      <w:sz w:val="21"/>
                    </w:rPr>
                    <w:t>I</w:t>
                    <w:tab/>
                  </w:r>
                  <w:r>
                    <w:rPr>
                      <w:rFonts w:ascii="Arial"/>
                      <w:color w:val="464648"/>
                      <w:spacing w:val="-19"/>
                      <w:w w:val="60"/>
                      <w:sz w:val="21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363436"/>
          <w:w w:val="105"/>
          <w:sz w:val="14"/>
        </w:rPr>
        <w:t>the</w:t>
      </w:r>
      <w:r>
        <w:rPr>
          <w:rFonts w:ascii="Arial"/>
          <w:i/>
          <w:color w:val="363436"/>
          <w:spacing w:val="13"/>
          <w:w w:val="105"/>
          <w:sz w:val="14"/>
        </w:rPr>
        <w:t> </w:t>
      </w:r>
      <w:r>
        <w:rPr>
          <w:color w:val="363436"/>
          <w:w w:val="105"/>
          <w:sz w:val="15"/>
        </w:rPr>
        <w:t>writer</w:t>
      </w:r>
      <w:r>
        <w:rPr>
          <w:color w:val="363436"/>
          <w:spacing w:val="3"/>
          <w:w w:val="105"/>
          <w:sz w:val="15"/>
        </w:rPr>
        <w:t> </w:t>
      </w:r>
      <w:r>
        <w:rPr>
          <w:color w:val="464648"/>
          <w:w w:val="105"/>
          <w:sz w:val="15"/>
        </w:rPr>
        <w:t>is</w:t>
      </w:r>
      <w:r>
        <w:rPr>
          <w:color w:val="464648"/>
          <w:spacing w:val="-21"/>
          <w:w w:val="105"/>
          <w:sz w:val="15"/>
        </w:rPr>
        <w:t> </w:t>
      </w:r>
      <w:r>
        <w:rPr>
          <w:color w:val="464648"/>
          <w:w w:val="105"/>
          <w:sz w:val="15"/>
        </w:rPr>
        <w:t>shift</w:t>
      </w:r>
      <w:r>
        <w:rPr>
          <w:color w:val="606062"/>
          <w:w w:val="105"/>
          <w:sz w:val="15"/>
        </w:rPr>
        <w:t>i</w:t>
      </w:r>
      <w:r>
        <w:rPr>
          <w:color w:val="363436"/>
          <w:w w:val="105"/>
          <w:sz w:val="15"/>
        </w:rPr>
        <w:t>ng</w:t>
        <w:tab/>
      </w:r>
      <w:r>
        <w:rPr>
          <w:color w:val="464648"/>
          <w:w w:val="110"/>
          <w:sz w:val="23"/>
        </w:rPr>
        <w:t>Whether</w:t>
      </w:r>
      <w:r>
        <w:rPr>
          <w:color w:val="464648"/>
          <w:spacing w:val="43"/>
          <w:w w:val="110"/>
          <w:sz w:val="23"/>
        </w:rPr>
        <w:t> </w:t>
      </w:r>
      <w:r>
        <w:rPr>
          <w:color w:val="464648"/>
          <w:w w:val="110"/>
          <w:sz w:val="23"/>
        </w:rPr>
        <w:t>your</w:t>
      </w:r>
      <w:r>
        <w:rPr>
          <w:color w:val="464648"/>
          <w:spacing w:val="20"/>
          <w:w w:val="110"/>
          <w:sz w:val="23"/>
        </w:rPr>
        <w:t> </w:t>
      </w:r>
      <w:r>
        <w:rPr>
          <w:color w:val="363436"/>
          <w:w w:val="110"/>
          <w:sz w:val="23"/>
        </w:rPr>
        <w:t>legal</w:t>
      </w:r>
      <w:r>
        <w:rPr>
          <w:color w:val="363436"/>
          <w:spacing w:val="20"/>
          <w:w w:val="110"/>
          <w:sz w:val="23"/>
        </w:rPr>
        <w:t> </w:t>
      </w:r>
      <w:r>
        <w:rPr>
          <w:color w:val="363436"/>
          <w:w w:val="110"/>
          <w:sz w:val="23"/>
        </w:rPr>
        <w:t>backstory</w:t>
      </w:r>
      <w:r>
        <w:rPr>
          <w:color w:val="363436"/>
          <w:spacing w:val="21"/>
          <w:w w:val="110"/>
          <w:sz w:val="23"/>
        </w:rPr>
        <w:t> </w:t>
      </w:r>
      <w:r>
        <w:rPr>
          <w:color w:val="363436"/>
          <w:w w:val="110"/>
          <w:sz w:val="23"/>
        </w:rPr>
        <w:t>is</w:t>
      </w:r>
      <w:r>
        <w:rPr>
          <w:color w:val="363436"/>
          <w:spacing w:val="-3"/>
          <w:w w:val="110"/>
          <w:sz w:val="23"/>
        </w:rPr>
        <w:t> </w:t>
      </w:r>
      <w:r>
        <w:rPr>
          <w:color w:val="363436"/>
          <w:w w:val="110"/>
          <w:sz w:val="23"/>
        </w:rPr>
        <w:t>simple</w:t>
      </w:r>
      <w:r>
        <w:rPr>
          <w:color w:val="363436"/>
          <w:spacing w:val="6"/>
          <w:w w:val="110"/>
          <w:sz w:val="23"/>
        </w:rPr>
        <w:t> </w:t>
      </w:r>
      <w:r>
        <w:rPr>
          <w:color w:val="464648"/>
          <w:w w:val="110"/>
          <w:sz w:val="23"/>
        </w:rPr>
        <w:t>or</w:t>
      </w:r>
      <w:r>
        <w:rPr>
          <w:color w:val="464648"/>
          <w:spacing w:val="19"/>
          <w:w w:val="110"/>
          <w:sz w:val="23"/>
        </w:rPr>
        <w:t> </w:t>
      </w:r>
      <w:r>
        <w:rPr>
          <w:color w:val="363436"/>
          <w:w w:val="110"/>
          <w:sz w:val="23"/>
        </w:rPr>
        <w:t>complex,</w:t>
      </w:r>
      <w:r>
        <w:rPr>
          <w:color w:val="363436"/>
          <w:spacing w:val="32"/>
          <w:w w:val="110"/>
          <w:sz w:val="23"/>
        </w:rPr>
        <w:t> </w:t>
      </w:r>
      <w:r>
        <w:rPr>
          <w:color w:val="363436"/>
          <w:w w:val="110"/>
          <w:sz w:val="23"/>
        </w:rPr>
        <w:t>providing</w:t>
      </w:r>
      <w:r>
        <w:rPr>
          <w:color w:val="363436"/>
          <w:spacing w:val="23"/>
          <w:w w:val="110"/>
          <w:sz w:val="23"/>
        </w:rPr>
        <w:t> </w:t>
      </w:r>
      <w:r>
        <w:rPr>
          <w:color w:val="363436"/>
          <w:w w:val="110"/>
          <w:sz w:val="23"/>
        </w:rPr>
        <w:t>it</w:t>
      </w:r>
      <w:r>
        <w:rPr>
          <w:color w:val="363436"/>
          <w:spacing w:val="14"/>
          <w:w w:val="110"/>
          <w:sz w:val="23"/>
        </w:rPr>
        <w:t> </w:t>
      </w:r>
      <w:r>
        <w:rPr>
          <w:color w:val="363436"/>
          <w:w w:val="110"/>
          <w:sz w:val="21"/>
        </w:rPr>
        <w:t>will</w:t>
      </w:r>
    </w:p>
    <w:p>
      <w:pPr>
        <w:pStyle w:val="BodyText"/>
        <w:tabs>
          <w:tab w:pos="4018" w:val="left" w:leader="none"/>
        </w:tabs>
        <w:spacing w:line="235" w:lineRule="auto" w:before="10"/>
        <w:ind w:left="1453" w:right="129" w:hanging="666"/>
      </w:pPr>
      <w:r>
        <w:rPr>
          <w:color w:val="606062"/>
          <w:w w:val="110"/>
          <w:sz w:val="15"/>
        </w:rPr>
        <w:t>,</w:t>
      </w:r>
      <w:r>
        <w:rPr>
          <w:color w:val="464648"/>
          <w:w w:val="110"/>
          <w:sz w:val="15"/>
        </w:rPr>
        <w:t>oadmap</w:t>
      </w:r>
      <w:r>
        <w:rPr>
          <w:color w:val="606062"/>
          <w:w w:val="110"/>
          <w:sz w:val="15"/>
        </w:rPr>
        <w:t>.</w:t>
      </w:r>
      <w:r>
        <w:rPr>
          <w:color w:val="606062"/>
          <w:spacing w:val="-4"/>
          <w:w w:val="110"/>
          <w:sz w:val="15"/>
        </w:rPr>
        <w:t> </w:t>
      </w:r>
      <w:r>
        <w:rPr>
          <w:color w:val="464648"/>
          <w:w w:val="110"/>
        </w:rPr>
        <w:t>go</w:t>
      </w:r>
      <w:r>
        <w:rPr>
          <w:color w:val="464648"/>
          <w:spacing w:val="17"/>
          <w:w w:val="110"/>
        </w:rPr>
        <w:t> </w:t>
      </w:r>
      <w:r>
        <w:rPr>
          <w:color w:val="363436"/>
          <w:w w:val="110"/>
        </w:rPr>
        <w:t>a</w:t>
      </w:r>
      <w:r>
        <w:rPr>
          <w:color w:val="363436"/>
          <w:spacing w:val="42"/>
          <w:w w:val="110"/>
        </w:rPr>
        <w:t> </w:t>
      </w:r>
      <w:r>
        <w:rPr>
          <w:color w:val="363436"/>
          <w:w w:val="110"/>
        </w:rPr>
        <w:t>long</w:t>
      </w:r>
      <w:r>
        <w:rPr>
          <w:color w:val="363436"/>
          <w:spacing w:val="34"/>
          <w:w w:val="110"/>
        </w:rPr>
        <w:t> </w:t>
      </w:r>
      <w:r>
        <w:rPr>
          <w:color w:val="363436"/>
          <w:w w:val="110"/>
        </w:rPr>
        <w:t>way</w:t>
      </w:r>
      <w:r>
        <w:rPr>
          <w:color w:val="363436"/>
          <w:spacing w:val="45"/>
          <w:w w:val="110"/>
        </w:rPr>
        <w:t> </w:t>
      </w:r>
      <w:r>
        <w:rPr>
          <w:color w:val="363436"/>
          <w:w w:val="110"/>
        </w:rPr>
        <w:t>towar</w:t>
        <w:tab/>
      </w:r>
      <w:r>
        <w:rPr>
          <w:color w:val="464648"/>
          <w:w w:val="110"/>
        </w:rPr>
        <w:t>e </w:t>
      </w:r>
      <w:r>
        <w:rPr>
          <w:color w:val="363436"/>
          <w:w w:val="110"/>
        </w:rPr>
        <w:t>ping the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reader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to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understand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rest of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-61"/>
          <w:w w:val="110"/>
        </w:rPr>
        <w:t> </w:t>
      </w:r>
      <w:r>
        <w:rPr>
          <w:color w:val="363436"/>
          <w:w w:val="110"/>
        </w:rPr>
        <w:t>argument.</w:t>
      </w:r>
    </w:p>
    <w:p>
      <w:pPr>
        <w:spacing w:after="0" w:line="235" w:lineRule="auto"/>
        <w:sectPr>
          <w:type w:val="continuous"/>
          <w:pgSz w:w="9750" w:h="14070"/>
          <w:pgMar w:header="742" w:footer="0" w:top="340" w:bottom="280" w:left="38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2"/>
          <w:numId w:val="94"/>
        </w:numPr>
        <w:tabs>
          <w:tab w:pos="835" w:val="left" w:leader="none"/>
        </w:tabs>
        <w:spacing w:line="240" w:lineRule="auto" w:before="0" w:after="0"/>
        <w:ind w:left="834" w:right="0" w:hanging="389"/>
        <w:jc w:val="both"/>
        <w:rPr>
          <w:b/>
          <w:color w:val="3A3838"/>
          <w:sz w:val="21"/>
        </w:rPr>
      </w:pPr>
      <w:r>
        <w:rPr>
          <w:b/>
          <w:color w:val="3A3838"/>
          <w:w w:val="115"/>
          <w:sz w:val="21"/>
        </w:rPr>
        <w:t>What's</w:t>
      </w:r>
      <w:r>
        <w:rPr>
          <w:b/>
          <w:color w:val="3A3838"/>
          <w:spacing w:val="4"/>
          <w:w w:val="115"/>
          <w:sz w:val="21"/>
        </w:rPr>
        <w:t> </w:t>
      </w:r>
      <w:r>
        <w:rPr>
          <w:b/>
          <w:color w:val="3A3838"/>
          <w:w w:val="115"/>
          <w:sz w:val="21"/>
        </w:rPr>
        <w:t>Coming</w:t>
      </w:r>
      <w:r>
        <w:rPr>
          <w:b/>
          <w:color w:val="3A3838"/>
          <w:spacing w:val="-14"/>
          <w:w w:val="115"/>
          <w:sz w:val="21"/>
        </w:rPr>
        <w:t> </w:t>
      </w:r>
      <w:r>
        <w:rPr>
          <w:b/>
          <w:color w:val="3A3838"/>
          <w:w w:val="115"/>
          <w:sz w:val="21"/>
        </w:rPr>
        <w:t>Next:</w:t>
      </w:r>
      <w:r>
        <w:rPr>
          <w:b/>
          <w:color w:val="3A3838"/>
          <w:spacing w:val="-5"/>
          <w:w w:val="115"/>
          <w:sz w:val="21"/>
        </w:rPr>
        <w:t> </w:t>
      </w:r>
      <w:r>
        <w:rPr>
          <w:b/>
          <w:color w:val="3A3838"/>
          <w:w w:val="115"/>
          <w:sz w:val="21"/>
        </w:rPr>
        <w:t>The</w:t>
      </w:r>
      <w:r>
        <w:rPr>
          <w:b/>
          <w:color w:val="3A3838"/>
          <w:spacing w:val="42"/>
          <w:w w:val="115"/>
          <w:sz w:val="21"/>
        </w:rPr>
        <w:t> </w:t>
      </w:r>
      <w:r>
        <w:rPr>
          <w:b/>
          <w:color w:val="3A3838"/>
          <w:w w:val="115"/>
          <w:sz w:val="21"/>
        </w:rPr>
        <w:t>Roadmap</w:t>
      </w:r>
    </w:p>
    <w:p>
      <w:pPr>
        <w:pStyle w:val="BodyText"/>
        <w:spacing w:line="232" w:lineRule="auto" w:before="16"/>
        <w:ind w:left="106" w:right="490" w:firstLine="340"/>
        <w:jc w:val="both"/>
        <w:rPr>
          <w:rFonts w:ascii="Arial" w:hAnsi="Arial"/>
          <w:sz w:val="12"/>
        </w:rPr>
      </w:pPr>
      <w:r>
        <w:rPr>
          <w:color w:val="3A3838"/>
          <w:w w:val="110"/>
        </w:rPr>
        <w:t>Roadmap paragraphs follow the </w:t>
      </w:r>
      <w:r>
        <w:rPr>
          <w:color w:val="2A282A"/>
          <w:w w:val="110"/>
        </w:rPr>
        <w:t>legal </w:t>
      </w:r>
      <w:r>
        <w:rPr>
          <w:color w:val="3A3838"/>
          <w:w w:val="110"/>
        </w:rPr>
        <w:t>backstory. And roadmaps are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 opposite of what you whisper to </w:t>
      </w:r>
      <w:r>
        <w:rPr>
          <w:color w:val="4B4B4B"/>
          <w:w w:val="110"/>
        </w:rPr>
        <w:t>someone </w:t>
      </w:r>
      <w:r>
        <w:rPr>
          <w:color w:val="3A3838"/>
          <w:w w:val="110"/>
        </w:rPr>
        <w:t>who wants to know what's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going on </w:t>
      </w:r>
      <w:r>
        <w:rPr>
          <w:color w:val="3A3838"/>
          <w:w w:val="105"/>
          <w:sz w:val="21"/>
        </w:rPr>
        <w:t>in</w:t>
      </w:r>
      <w:r>
        <w:rPr>
          <w:color w:val="3A3838"/>
          <w:spacing w:val="1"/>
          <w:w w:val="105"/>
          <w:sz w:val="21"/>
        </w:rPr>
        <w:t> </w:t>
      </w:r>
      <w:r>
        <w:rPr>
          <w:color w:val="3A3838"/>
          <w:w w:val="105"/>
        </w:rPr>
        <w:t>a movie because a good roadmap will be full of spoilers; it will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tell the reader exactly what's going to happen in the argument. For pur­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poses of narrative reasoning, roadmaps are important because the back­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0"/>
        </w:rPr>
        <w:t>story has set up a problem: The </w:t>
      </w:r>
      <w:r>
        <w:rPr>
          <w:color w:val="2A282A"/>
          <w:spacing w:val="-1"/>
          <w:w w:val="110"/>
        </w:rPr>
        <w:t>roadmap </w:t>
      </w:r>
      <w:r>
        <w:rPr>
          <w:color w:val="3A3838"/>
          <w:spacing w:val="-1"/>
          <w:w w:val="110"/>
        </w:rPr>
        <w:t>literally shows the </w:t>
      </w:r>
      <w:r>
        <w:rPr>
          <w:color w:val="4B4B4B"/>
          <w:spacing w:val="-1"/>
          <w:w w:val="110"/>
        </w:rPr>
        <w:t>court </w:t>
      </w:r>
      <w:r>
        <w:rPr>
          <w:color w:val="2A282A"/>
          <w:w w:val="110"/>
        </w:rPr>
        <w:t>how </w:t>
      </w:r>
      <w:r>
        <w:rPr>
          <w:color w:val="3A3838"/>
          <w:w w:val="110"/>
        </w:rPr>
        <w:t>it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can</w:t>
      </w:r>
      <w:r>
        <w:rPr>
          <w:color w:val="3A3838"/>
          <w:spacing w:val="-22"/>
          <w:w w:val="110"/>
        </w:rPr>
        <w:t> </w:t>
      </w:r>
      <w:r>
        <w:rPr>
          <w:color w:val="3A3838"/>
          <w:w w:val="110"/>
        </w:rPr>
        <w:t>solve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33"/>
          <w:w w:val="110"/>
        </w:rPr>
        <w:t> </w:t>
      </w:r>
      <w:r>
        <w:rPr>
          <w:color w:val="3A3838"/>
          <w:w w:val="110"/>
        </w:rPr>
        <w:t>problem.</w:t>
      </w:r>
      <w:r>
        <w:rPr>
          <w:rFonts w:ascii="Arial" w:hAnsi="Arial"/>
          <w:color w:val="3A3838"/>
          <w:w w:val="110"/>
          <w:position w:val="10"/>
          <w:sz w:val="12"/>
        </w:rPr>
        <w:t>8</w:t>
      </w:r>
    </w:p>
    <w:p>
      <w:pPr>
        <w:pStyle w:val="BodyText"/>
        <w:spacing w:line="235" w:lineRule="auto"/>
        <w:ind w:left="115" w:right="434" w:firstLine="341"/>
        <w:jc w:val="both"/>
      </w:pPr>
      <w:r>
        <w:rPr>
          <w:color w:val="3A3838"/>
          <w:w w:val="110"/>
        </w:rPr>
        <w:t>Roadmap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paragraphs</w:t>
      </w:r>
      <w:r>
        <w:rPr>
          <w:color w:val="3A3838"/>
          <w:spacing w:val="1"/>
          <w:w w:val="110"/>
        </w:rPr>
        <w:t> </w:t>
      </w:r>
      <w:r>
        <w:rPr>
          <w:color w:val="4B4B4B"/>
          <w:w w:val="110"/>
        </w:rPr>
        <w:t>are</w:t>
      </w:r>
      <w:r>
        <w:rPr>
          <w:color w:val="4B4B4B"/>
          <w:spacing w:val="1"/>
          <w:w w:val="110"/>
        </w:rPr>
        <w:t> </w:t>
      </w:r>
      <w:r>
        <w:rPr>
          <w:color w:val="4B4B4B"/>
          <w:w w:val="110"/>
        </w:rPr>
        <w:t>important</w:t>
      </w:r>
      <w:r>
        <w:rPr>
          <w:color w:val="4B4B4B"/>
          <w:spacing w:val="1"/>
          <w:w w:val="110"/>
        </w:rPr>
        <w:t> </w:t>
      </w:r>
      <w:r>
        <w:rPr>
          <w:color w:val="3A3838"/>
          <w:w w:val="110"/>
        </w:rPr>
        <w:t>in  the  template  because  they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help confirm, and sometimes establish, the reader's expectations for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document. A good roadmap </w:t>
      </w:r>
      <w:r>
        <w:rPr>
          <w:color w:val="3A3838"/>
          <w:w w:val="110"/>
          <w:sz w:val="22"/>
        </w:rPr>
        <w:t>will </w:t>
      </w:r>
      <w:r>
        <w:rPr>
          <w:color w:val="3A3838"/>
          <w:w w:val="110"/>
        </w:rPr>
        <w:t>also reveal the writer's position on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points to be addressed in the relevant sections or subsections. </w:t>
      </w:r>
      <w:r>
        <w:rPr>
          <w:rFonts w:ascii="Arial" w:hAnsi="Arial"/>
          <w:color w:val="3A3838"/>
          <w:w w:val="110"/>
          <w:sz w:val="21"/>
        </w:rPr>
        <w:t>By </w:t>
      </w:r>
      <w:r>
        <w:rPr>
          <w:color w:val="3A3838"/>
          <w:w w:val="110"/>
        </w:rPr>
        <w:t>writing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0"/>
        </w:rPr>
        <w:t>an effective roadmap, the writer </w:t>
      </w:r>
      <w:r>
        <w:rPr>
          <w:color w:val="3A3838"/>
          <w:w w:val="110"/>
        </w:rPr>
        <w:t>tells the reader how </w:t>
      </w:r>
      <w:r>
        <w:rPr>
          <w:color w:val="4B4B4B"/>
          <w:w w:val="110"/>
        </w:rPr>
        <w:t>"far" </w:t>
      </w:r>
      <w:r>
        <w:rPr>
          <w:color w:val="3A3838"/>
          <w:w w:val="110"/>
        </w:rPr>
        <w:t>this part of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document extends-how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many points does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writer talk about before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stopping? In addition, an effective roadmap lays out the document's large­</w:t>
      </w:r>
      <w:r>
        <w:rPr>
          <w:color w:val="3A3838"/>
          <w:spacing w:val="-62"/>
          <w:w w:val="110"/>
        </w:rPr>
        <w:t> </w:t>
      </w:r>
      <w:r>
        <w:rPr>
          <w:color w:val="3A3838"/>
          <w:w w:val="110"/>
        </w:rPr>
        <w:t>scale organization by telling the reader the order in which the writer will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address the</w:t>
      </w:r>
      <w:r>
        <w:rPr>
          <w:color w:val="3A3838"/>
          <w:spacing w:val="61"/>
          <w:w w:val="105"/>
        </w:rPr>
        <w:t> </w:t>
      </w:r>
      <w:r>
        <w:rPr>
          <w:color w:val="3A3838"/>
          <w:w w:val="105"/>
        </w:rPr>
        <w:t>main  points. Even a  </w:t>
      </w:r>
      <w:r>
        <w:rPr>
          <w:color w:val="2A282A"/>
          <w:w w:val="105"/>
        </w:rPr>
        <w:t>poorly </w:t>
      </w:r>
      <w:r>
        <w:rPr>
          <w:color w:val="3A3838"/>
          <w:w w:val="105"/>
        </w:rPr>
        <w:t>organized document will be easier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understand</w:t>
      </w:r>
      <w:r>
        <w:rPr>
          <w:color w:val="3A3838"/>
          <w:spacing w:val="21"/>
          <w:w w:val="110"/>
        </w:rPr>
        <w:t> </w:t>
      </w:r>
      <w:r>
        <w:rPr>
          <w:color w:val="3A3838"/>
          <w:w w:val="110"/>
          <w:sz w:val="22"/>
        </w:rPr>
        <w:t>if</w:t>
      </w:r>
      <w:r>
        <w:rPr>
          <w:color w:val="3A3838"/>
          <w:spacing w:val="13"/>
          <w:w w:val="110"/>
          <w:sz w:val="22"/>
        </w:rPr>
        <w:t> </w:t>
      </w:r>
      <w:r>
        <w:rPr>
          <w:color w:val="2A282A"/>
          <w:w w:val="110"/>
        </w:rPr>
        <w:t>the</w:t>
      </w:r>
      <w:r>
        <w:rPr>
          <w:color w:val="2A282A"/>
          <w:spacing w:val="42"/>
          <w:w w:val="110"/>
        </w:rPr>
        <w:t> </w:t>
      </w:r>
      <w:r>
        <w:rPr>
          <w:color w:val="3A3838"/>
          <w:w w:val="110"/>
        </w:rPr>
        <w:t>writer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has</w:t>
      </w:r>
      <w:r>
        <w:rPr>
          <w:color w:val="3A3838"/>
          <w:spacing w:val="6"/>
          <w:w w:val="110"/>
        </w:rPr>
        <w:t> </w:t>
      </w:r>
      <w:r>
        <w:rPr>
          <w:color w:val="3A3838"/>
          <w:w w:val="110"/>
        </w:rPr>
        <w:t>provided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-2"/>
          <w:w w:val="110"/>
        </w:rPr>
        <w:t> </w:t>
      </w:r>
      <w:r>
        <w:rPr>
          <w:color w:val="3A3838"/>
          <w:w w:val="110"/>
        </w:rPr>
        <w:t>good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roadmap.</w:t>
      </w:r>
    </w:p>
    <w:p>
      <w:pPr>
        <w:pStyle w:val="BodyText"/>
        <w:spacing w:line="232" w:lineRule="auto"/>
        <w:ind w:left="133" w:right="373" w:firstLine="340"/>
        <w:jc w:val="both"/>
      </w:pPr>
      <w:r>
        <w:rPr>
          <w:color w:val="3A3838"/>
          <w:w w:val="110"/>
        </w:rPr>
        <w:t>It is tempting to skip this step, but providing this material makes your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brief more effective by reducing the  reader's suspense. </w:t>
      </w:r>
      <w:r>
        <w:rPr>
          <w:color w:val="3A3838"/>
          <w:w w:val="110"/>
          <w:sz w:val="22"/>
        </w:rPr>
        <w:t>If  </w:t>
      </w:r>
      <w:r>
        <w:rPr>
          <w:color w:val="3A3838"/>
          <w:w w:val="110"/>
        </w:rPr>
        <w:t>the  reader </w:t>
      </w:r>
      <w:r>
        <w:rPr>
          <w:color w:val="4B4B4B"/>
          <w:w w:val="110"/>
        </w:rPr>
        <w:t>sees</w:t>
      </w:r>
      <w:r>
        <w:rPr>
          <w:color w:val="4B4B4B"/>
          <w:spacing w:val="1"/>
          <w:w w:val="110"/>
        </w:rPr>
        <w:t> </w:t>
      </w:r>
      <w:r>
        <w:rPr>
          <w:color w:val="3A3838"/>
          <w:w w:val="110"/>
          <w:sz w:val="24"/>
        </w:rPr>
        <w:t>a </w:t>
      </w:r>
      <w:r>
        <w:rPr>
          <w:color w:val="3A3838"/>
          <w:w w:val="110"/>
        </w:rPr>
        <w:t>"I" heading, followed immediately by an </w:t>
      </w:r>
      <w:r>
        <w:rPr>
          <w:color w:val="4B4B4B"/>
          <w:w w:val="110"/>
        </w:rPr>
        <w:t>"A" </w:t>
      </w:r>
      <w:r>
        <w:rPr>
          <w:color w:val="3A3838"/>
          <w:w w:val="110"/>
        </w:rPr>
        <w:t>heading, for example, 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or she does not know how many subheadings will follow or how the sub­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headings connect </w:t>
      </w:r>
      <w:r>
        <w:rPr>
          <w:color w:val="2A282A"/>
          <w:w w:val="110"/>
        </w:rPr>
        <w:t>to </w:t>
      </w:r>
      <w:r>
        <w:rPr>
          <w:color w:val="3A3838"/>
          <w:w w:val="110"/>
        </w:rPr>
        <w:t>the writer's main point. By writing </w:t>
      </w:r>
      <w:r>
        <w:rPr>
          <w:rFonts w:ascii="Arial" w:hAnsi="Arial"/>
          <w:color w:val="3A3838"/>
          <w:w w:val="110"/>
          <w:sz w:val="19"/>
        </w:rPr>
        <w:t>a </w:t>
      </w:r>
      <w:r>
        <w:rPr>
          <w:color w:val="3A3838"/>
          <w:w w:val="110"/>
        </w:rPr>
        <w:t>backstory and a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roadmap, the writer provides </w:t>
      </w:r>
      <w:r>
        <w:rPr>
          <w:color w:val="4B4B4B"/>
          <w:w w:val="110"/>
        </w:rPr>
        <w:t>"Bacon </w:t>
      </w:r>
      <w:r>
        <w:rPr>
          <w:color w:val="3A3838"/>
          <w:w w:val="110"/>
        </w:rPr>
        <w:t>links" for the reader so that the con­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nections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are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obvious.</w:t>
      </w:r>
    </w:p>
    <w:p>
      <w:pPr>
        <w:pStyle w:val="BodyText"/>
        <w:spacing w:line="235" w:lineRule="auto"/>
        <w:ind w:left="143" w:right="360" w:firstLine="343"/>
        <w:jc w:val="both"/>
      </w:pPr>
      <w:r>
        <w:rPr>
          <w:color w:val="3A3838"/>
          <w:w w:val="110"/>
        </w:rPr>
        <w:t>Although many writers are familiar with </w:t>
      </w:r>
      <w:r>
        <w:rPr>
          <w:color w:val="2A282A"/>
          <w:w w:val="110"/>
        </w:rPr>
        <w:t>the law </w:t>
      </w:r>
      <w:r>
        <w:rPr>
          <w:color w:val="3A3838"/>
          <w:w w:val="110"/>
        </w:rPr>
        <w:t>review style of road­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map paragraphs (e.g., "this article </w:t>
      </w:r>
      <w:r>
        <w:rPr>
          <w:color w:val="3A3838"/>
          <w:w w:val="110"/>
          <w:sz w:val="22"/>
        </w:rPr>
        <w:t>will </w:t>
      </w:r>
      <w:r>
        <w:rPr>
          <w:color w:val="3A3838"/>
          <w:w w:val="110"/>
        </w:rPr>
        <w:t>address three issues"), roadmaps in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court documents </w:t>
      </w:r>
      <w:r>
        <w:rPr>
          <w:color w:val="4B4B4B"/>
          <w:w w:val="110"/>
        </w:rPr>
        <w:t>can </w:t>
      </w:r>
      <w:r>
        <w:rPr>
          <w:color w:val="3A3838"/>
          <w:w w:val="110"/>
        </w:rPr>
        <w:t>and should be more sophisticated. </w:t>
      </w:r>
      <w:r>
        <w:rPr>
          <w:color w:val="2A282A"/>
          <w:w w:val="110"/>
        </w:rPr>
        <w:t>A </w:t>
      </w:r>
      <w:r>
        <w:rPr>
          <w:color w:val="3A3838"/>
          <w:w w:val="110"/>
        </w:rPr>
        <w:t>simple tech</w:t>
      </w:r>
      <w:r>
        <w:rPr>
          <w:color w:val="5B5B5D"/>
          <w:w w:val="110"/>
        </w:rPr>
        <w:t>­</w:t>
      </w:r>
      <w:r>
        <w:rPr>
          <w:color w:val="5B5B5D"/>
          <w:spacing w:val="1"/>
          <w:w w:val="110"/>
        </w:rPr>
        <w:t> </w:t>
      </w:r>
      <w:r>
        <w:rPr>
          <w:color w:val="3A3838"/>
          <w:w w:val="110"/>
        </w:rPr>
        <w:t>nique is to provide </w:t>
      </w:r>
      <w:r>
        <w:rPr>
          <w:color w:val="2A282A"/>
          <w:w w:val="110"/>
        </w:rPr>
        <w:t>the </w:t>
      </w:r>
      <w:r>
        <w:rPr>
          <w:color w:val="3A3838"/>
          <w:w w:val="110"/>
        </w:rPr>
        <w:t>legal backstory and then use the decision maker's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needs as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focus of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roadmap,9 as in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the following example based on</w:t>
      </w:r>
      <w:r>
        <w:rPr>
          <w:color w:val="3A3838"/>
          <w:spacing w:val="1"/>
          <w:w w:val="105"/>
        </w:rPr>
        <w:t> </w:t>
      </w:r>
      <w:r>
        <w:rPr>
          <w:rFonts w:ascii="Arial" w:hAnsi="Arial"/>
          <w:i/>
          <w:color w:val="3A3838"/>
          <w:w w:val="105"/>
          <w:sz w:val="21"/>
        </w:rPr>
        <w:t>Miller</w:t>
      </w:r>
      <w:r>
        <w:rPr>
          <w:rFonts w:ascii="Arial" w:hAnsi="Arial"/>
          <w:i/>
          <w:color w:val="3A3838"/>
          <w:spacing w:val="-3"/>
          <w:w w:val="105"/>
          <w:sz w:val="21"/>
        </w:rPr>
        <w:t> </w:t>
      </w:r>
      <w:r>
        <w:rPr>
          <w:rFonts w:ascii="Arial" w:hAnsi="Arial"/>
          <w:i/>
          <w:color w:val="3A3838"/>
          <w:w w:val="105"/>
          <w:sz w:val="21"/>
        </w:rPr>
        <w:t>v.</w:t>
      </w:r>
      <w:r>
        <w:rPr>
          <w:rFonts w:ascii="Arial" w:hAnsi="Arial"/>
          <w:i/>
          <w:color w:val="3A3838"/>
          <w:spacing w:val="-14"/>
          <w:w w:val="105"/>
          <w:sz w:val="21"/>
        </w:rPr>
        <w:t> </w:t>
      </w:r>
      <w:r>
        <w:rPr>
          <w:rFonts w:ascii="Arial" w:hAnsi="Arial"/>
          <w:i/>
          <w:color w:val="3A3838"/>
          <w:w w:val="105"/>
          <w:sz w:val="21"/>
        </w:rPr>
        <w:t>Albright,</w:t>
      </w:r>
      <w:r>
        <w:rPr>
          <w:rFonts w:ascii="Arial" w:hAnsi="Arial"/>
          <w:i/>
          <w:color w:val="3A3838"/>
          <w:spacing w:val="-15"/>
          <w:w w:val="105"/>
          <w:sz w:val="21"/>
        </w:rPr>
        <w:t> </w:t>
      </w:r>
      <w:r>
        <w:rPr>
          <w:color w:val="3A3838"/>
          <w:w w:val="105"/>
        </w:rPr>
        <w:t>523</w:t>
      </w:r>
      <w:r>
        <w:rPr>
          <w:color w:val="3A3838"/>
          <w:spacing w:val="5"/>
          <w:w w:val="105"/>
        </w:rPr>
        <w:t> </w:t>
      </w:r>
      <w:r>
        <w:rPr>
          <w:color w:val="3A3838"/>
          <w:w w:val="105"/>
        </w:rPr>
        <w:t>U.S.</w:t>
      </w:r>
      <w:r>
        <w:rPr>
          <w:color w:val="3A3838"/>
          <w:spacing w:val="-5"/>
          <w:w w:val="105"/>
        </w:rPr>
        <w:t> </w:t>
      </w:r>
      <w:r>
        <w:rPr>
          <w:color w:val="3A3838"/>
          <w:w w:val="105"/>
        </w:rPr>
        <w:t>420</w:t>
      </w:r>
      <w:r>
        <w:rPr>
          <w:color w:val="3A3838"/>
          <w:spacing w:val="28"/>
          <w:w w:val="105"/>
        </w:rPr>
        <w:t> </w:t>
      </w:r>
      <w:r>
        <w:rPr>
          <w:color w:val="3A3838"/>
          <w:w w:val="105"/>
        </w:rPr>
        <w:t>(1998):</w:t>
      </w:r>
    </w:p>
    <w:p>
      <w:pPr>
        <w:pStyle w:val="ListParagraph"/>
        <w:numPr>
          <w:ilvl w:val="3"/>
          <w:numId w:val="94"/>
        </w:numPr>
        <w:tabs>
          <w:tab w:pos="1017" w:val="left" w:leader="none"/>
        </w:tabs>
        <w:spacing w:line="240" w:lineRule="auto" w:before="95" w:after="0"/>
        <w:ind w:left="491" w:right="700" w:firstLine="368"/>
        <w:jc w:val="both"/>
        <w:rPr>
          <w:sz w:val="21"/>
        </w:rPr>
      </w:pPr>
      <w:r>
        <w:rPr>
          <w:color w:val="3A3838"/>
          <w:spacing w:val="-1"/>
          <w:w w:val="110"/>
          <w:sz w:val="21"/>
        </w:rPr>
        <w:t>Section</w:t>
      </w:r>
      <w:r>
        <w:rPr>
          <w:color w:val="3A3838"/>
          <w:spacing w:val="-4"/>
          <w:w w:val="110"/>
          <w:sz w:val="21"/>
        </w:rPr>
        <w:t> </w:t>
      </w:r>
      <w:r>
        <w:rPr>
          <w:color w:val="3A3838"/>
          <w:w w:val="110"/>
          <w:sz w:val="21"/>
        </w:rPr>
        <w:t>1409(a)</w:t>
      </w:r>
      <w:r>
        <w:rPr>
          <w:color w:val="3A3838"/>
          <w:spacing w:val="-11"/>
          <w:w w:val="110"/>
          <w:sz w:val="21"/>
        </w:rPr>
        <w:t> </w:t>
      </w:r>
      <w:r>
        <w:rPr>
          <w:color w:val="3A3838"/>
          <w:w w:val="110"/>
          <w:sz w:val="21"/>
        </w:rPr>
        <w:t>Is</w:t>
      </w:r>
      <w:r>
        <w:rPr>
          <w:color w:val="3A3838"/>
          <w:spacing w:val="-19"/>
          <w:w w:val="110"/>
          <w:sz w:val="21"/>
        </w:rPr>
        <w:t> </w:t>
      </w:r>
      <w:r>
        <w:rPr>
          <w:color w:val="3A3838"/>
          <w:w w:val="110"/>
          <w:sz w:val="21"/>
        </w:rPr>
        <w:t>an</w:t>
      </w:r>
      <w:r>
        <w:rPr>
          <w:color w:val="3A3838"/>
          <w:spacing w:val="17"/>
          <w:w w:val="110"/>
          <w:sz w:val="21"/>
        </w:rPr>
        <w:t> </w:t>
      </w:r>
      <w:r>
        <w:rPr>
          <w:color w:val="3A3838"/>
          <w:w w:val="110"/>
          <w:sz w:val="21"/>
        </w:rPr>
        <w:t>Unconstitutional</w:t>
      </w:r>
      <w:r>
        <w:rPr>
          <w:color w:val="3A3838"/>
          <w:spacing w:val="-23"/>
          <w:w w:val="110"/>
          <w:sz w:val="21"/>
        </w:rPr>
        <w:t> </w:t>
      </w:r>
      <w:r>
        <w:rPr>
          <w:color w:val="3A3838"/>
          <w:w w:val="110"/>
          <w:sz w:val="21"/>
        </w:rPr>
        <w:t>Denial</w:t>
      </w:r>
      <w:r>
        <w:rPr>
          <w:color w:val="3A3838"/>
          <w:spacing w:val="-9"/>
          <w:w w:val="110"/>
          <w:sz w:val="21"/>
        </w:rPr>
        <w:t> </w:t>
      </w:r>
      <w:r>
        <w:rPr>
          <w:color w:val="3A3838"/>
          <w:w w:val="110"/>
          <w:sz w:val="21"/>
        </w:rPr>
        <w:t>of</w:t>
      </w:r>
      <w:r>
        <w:rPr>
          <w:color w:val="3A3838"/>
          <w:spacing w:val="2"/>
          <w:w w:val="110"/>
          <w:sz w:val="21"/>
        </w:rPr>
        <w:t> </w:t>
      </w:r>
      <w:r>
        <w:rPr>
          <w:color w:val="4B4B4B"/>
          <w:w w:val="110"/>
          <w:sz w:val="21"/>
        </w:rPr>
        <w:t>Equal</w:t>
      </w:r>
      <w:r>
        <w:rPr>
          <w:color w:val="4B4B4B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Protection</w:t>
      </w:r>
      <w:r>
        <w:rPr>
          <w:color w:val="3A3838"/>
          <w:spacing w:val="-13"/>
          <w:w w:val="110"/>
          <w:sz w:val="21"/>
        </w:rPr>
        <w:t> </w:t>
      </w:r>
      <w:r>
        <w:rPr>
          <w:color w:val="3A3838"/>
          <w:w w:val="110"/>
          <w:sz w:val="21"/>
        </w:rPr>
        <w:t>as</w:t>
      </w:r>
      <w:r>
        <w:rPr>
          <w:color w:val="3A3838"/>
          <w:spacing w:val="-56"/>
          <w:w w:val="110"/>
          <w:sz w:val="21"/>
        </w:rPr>
        <w:t> </w:t>
      </w:r>
      <w:r>
        <w:rPr>
          <w:color w:val="3A3838"/>
          <w:spacing w:val="-1"/>
          <w:w w:val="110"/>
          <w:sz w:val="21"/>
        </w:rPr>
        <w:t>Guaranteed</w:t>
      </w:r>
      <w:r>
        <w:rPr>
          <w:color w:val="3A3838"/>
          <w:spacing w:val="5"/>
          <w:w w:val="110"/>
          <w:sz w:val="21"/>
        </w:rPr>
        <w:t> </w:t>
      </w:r>
      <w:r>
        <w:rPr>
          <w:rFonts w:ascii="Arial"/>
          <w:color w:val="3A3838"/>
          <w:spacing w:val="-1"/>
          <w:w w:val="110"/>
          <w:sz w:val="19"/>
        </w:rPr>
        <w:t>by</w:t>
      </w:r>
      <w:r>
        <w:rPr>
          <w:rFonts w:ascii="Arial"/>
          <w:color w:val="3A3838"/>
          <w:spacing w:val="10"/>
          <w:w w:val="110"/>
          <w:sz w:val="19"/>
        </w:rPr>
        <w:t> </w:t>
      </w:r>
      <w:r>
        <w:rPr>
          <w:color w:val="3A3838"/>
          <w:spacing w:val="-1"/>
          <w:w w:val="110"/>
          <w:sz w:val="21"/>
        </w:rPr>
        <w:t>the</w:t>
      </w:r>
      <w:r>
        <w:rPr>
          <w:color w:val="3A3838"/>
          <w:spacing w:val="33"/>
          <w:w w:val="110"/>
          <w:sz w:val="21"/>
        </w:rPr>
        <w:t> </w:t>
      </w:r>
      <w:r>
        <w:rPr>
          <w:color w:val="3A3838"/>
          <w:spacing w:val="-1"/>
          <w:w w:val="110"/>
          <w:sz w:val="21"/>
        </w:rPr>
        <w:t>Fifth</w:t>
      </w:r>
      <w:r>
        <w:rPr>
          <w:color w:val="3A3838"/>
          <w:spacing w:val="3"/>
          <w:w w:val="110"/>
          <w:sz w:val="21"/>
        </w:rPr>
        <w:t> </w:t>
      </w:r>
      <w:r>
        <w:rPr>
          <w:color w:val="3A3838"/>
          <w:spacing w:val="-1"/>
          <w:w w:val="110"/>
          <w:sz w:val="21"/>
        </w:rPr>
        <w:t>Amendment's</w:t>
      </w:r>
      <w:r>
        <w:rPr>
          <w:color w:val="3A3838"/>
          <w:spacing w:val="-4"/>
          <w:w w:val="110"/>
          <w:sz w:val="21"/>
        </w:rPr>
        <w:t> </w:t>
      </w:r>
      <w:r>
        <w:rPr>
          <w:color w:val="3A3838"/>
          <w:spacing w:val="-1"/>
          <w:w w:val="110"/>
          <w:sz w:val="21"/>
        </w:rPr>
        <w:t>Due</w:t>
      </w:r>
      <w:r>
        <w:rPr>
          <w:color w:val="3A3838"/>
          <w:spacing w:val="-2"/>
          <w:w w:val="110"/>
          <w:sz w:val="21"/>
        </w:rPr>
        <w:t> </w:t>
      </w:r>
      <w:r>
        <w:rPr>
          <w:color w:val="3A3838"/>
          <w:w w:val="110"/>
          <w:sz w:val="21"/>
        </w:rPr>
        <w:t>Process</w:t>
      </w:r>
      <w:r>
        <w:rPr>
          <w:color w:val="3A3838"/>
          <w:spacing w:val="-16"/>
          <w:w w:val="110"/>
          <w:sz w:val="21"/>
        </w:rPr>
        <w:t> </w:t>
      </w:r>
      <w:r>
        <w:rPr>
          <w:color w:val="3A3838"/>
          <w:w w:val="110"/>
          <w:sz w:val="21"/>
        </w:rPr>
        <w:t>Clause.</w:t>
      </w:r>
    </w:p>
    <w:p>
      <w:pPr>
        <w:spacing w:line="228" w:lineRule="auto" w:before="0"/>
        <w:ind w:left="499" w:right="674" w:firstLine="349"/>
        <w:jc w:val="both"/>
        <w:rPr>
          <w:sz w:val="21"/>
        </w:rPr>
      </w:pPr>
      <w:r>
        <w:rPr>
          <w:color w:val="3A3838"/>
          <w:spacing w:val="-1"/>
          <w:w w:val="110"/>
          <w:sz w:val="21"/>
        </w:rPr>
        <w:t>The statute </w:t>
      </w:r>
      <w:r>
        <w:rPr>
          <w:color w:val="4B4B4B"/>
          <w:spacing w:val="-1"/>
          <w:w w:val="110"/>
          <w:sz w:val="21"/>
        </w:rPr>
        <w:t>at </w:t>
      </w:r>
      <w:r>
        <w:rPr>
          <w:color w:val="3A3838"/>
          <w:spacing w:val="-1"/>
          <w:w w:val="110"/>
          <w:sz w:val="21"/>
        </w:rPr>
        <w:t>issue in this case, </w:t>
      </w:r>
      <w:r>
        <w:rPr>
          <w:color w:val="3A3838"/>
          <w:w w:val="110"/>
          <w:sz w:val="21"/>
        </w:rPr>
        <w:t>8 U.S.C. §1409(a), classifies foreign­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5"/>
          <w:sz w:val="21"/>
        </w:rPr>
        <w:t>born children </w:t>
      </w:r>
      <w:r>
        <w:rPr>
          <w:color w:val="3A3838"/>
          <w:w w:val="115"/>
          <w:sz w:val="23"/>
        </w:rPr>
        <w:t>of </w:t>
      </w:r>
      <w:r>
        <w:rPr>
          <w:color w:val="3A3838"/>
          <w:w w:val="115"/>
          <w:sz w:val="21"/>
        </w:rPr>
        <w:t>a</w:t>
      </w:r>
      <w:r>
        <w:rPr>
          <w:color w:val="3A3838"/>
          <w:spacing w:val="1"/>
          <w:w w:val="115"/>
          <w:sz w:val="21"/>
        </w:rPr>
        <w:t> </w:t>
      </w:r>
      <w:r>
        <w:rPr>
          <w:color w:val="3A3838"/>
          <w:w w:val="115"/>
          <w:sz w:val="21"/>
        </w:rPr>
        <w:t>United States citizen and</w:t>
      </w:r>
      <w:r>
        <w:rPr>
          <w:color w:val="3A3838"/>
          <w:spacing w:val="1"/>
          <w:w w:val="115"/>
          <w:sz w:val="21"/>
        </w:rPr>
        <w:t> </w:t>
      </w:r>
      <w:r>
        <w:rPr>
          <w:color w:val="3A3838"/>
          <w:w w:val="115"/>
          <w:sz w:val="21"/>
        </w:rPr>
        <w:t>a noncitizen into three</w:t>
      </w:r>
      <w:r>
        <w:rPr>
          <w:color w:val="3A3838"/>
          <w:spacing w:val="1"/>
          <w:w w:val="115"/>
          <w:sz w:val="21"/>
        </w:rPr>
        <w:t> </w:t>
      </w:r>
      <w:r>
        <w:rPr>
          <w:color w:val="3A3838"/>
          <w:w w:val="115"/>
          <w:sz w:val="21"/>
        </w:rPr>
        <w:t>groups: (a) those whose parents are married, (b) those whose parents</w:t>
      </w:r>
      <w:r>
        <w:rPr>
          <w:color w:val="3A3838"/>
          <w:spacing w:val="1"/>
          <w:w w:val="115"/>
          <w:sz w:val="21"/>
        </w:rPr>
        <w:t> </w:t>
      </w:r>
      <w:r>
        <w:rPr>
          <w:color w:val="3A3838"/>
          <w:w w:val="115"/>
          <w:sz w:val="21"/>
        </w:rPr>
        <w:t>are</w:t>
      </w:r>
      <w:r>
        <w:rPr>
          <w:color w:val="3A3838"/>
          <w:spacing w:val="-6"/>
          <w:w w:val="115"/>
          <w:sz w:val="21"/>
        </w:rPr>
        <w:t> </w:t>
      </w:r>
      <w:r>
        <w:rPr>
          <w:color w:val="3A3838"/>
          <w:w w:val="115"/>
          <w:sz w:val="21"/>
        </w:rPr>
        <w:t>unmarried</w:t>
      </w:r>
      <w:r>
        <w:rPr>
          <w:color w:val="3A3838"/>
          <w:spacing w:val="12"/>
          <w:w w:val="115"/>
          <w:sz w:val="21"/>
        </w:rPr>
        <w:t> </w:t>
      </w:r>
      <w:r>
        <w:rPr>
          <w:color w:val="3A3838"/>
          <w:w w:val="115"/>
          <w:sz w:val="21"/>
        </w:rPr>
        <w:t>and</w:t>
      </w:r>
      <w:r>
        <w:rPr>
          <w:color w:val="3A3838"/>
          <w:spacing w:val="33"/>
          <w:w w:val="115"/>
          <w:sz w:val="21"/>
        </w:rPr>
        <w:t> </w:t>
      </w:r>
      <w:r>
        <w:rPr>
          <w:color w:val="3A3838"/>
          <w:w w:val="115"/>
          <w:sz w:val="21"/>
        </w:rPr>
        <w:t>who</w:t>
      </w:r>
      <w:r>
        <w:rPr>
          <w:color w:val="3A3838"/>
          <w:spacing w:val="22"/>
          <w:w w:val="115"/>
          <w:sz w:val="21"/>
        </w:rPr>
        <w:t> </w:t>
      </w:r>
      <w:r>
        <w:rPr>
          <w:color w:val="3A3838"/>
          <w:w w:val="115"/>
          <w:sz w:val="21"/>
        </w:rPr>
        <w:t>have</w:t>
      </w:r>
      <w:r>
        <w:rPr>
          <w:color w:val="3A3838"/>
          <w:spacing w:val="1"/>
          <w:w w:val="115"/>
          <w:sz w:val="21"/>
        </w:rPr>
        <w:t> </w:t>
      </w:r>
      <w:r>
        <w:rPr>
          <w:color w:val="3A3838"/>
          <w:w w:val="115"/>
          <w:sz w:val="21"/>
        </w:rPr>
        <w:t>a</w:t>
      </w:r>
      <w:r>
        <w:rPr>
          <w:color w:val="3A3838"/>
          <w:spacing w:val="20"/>
          <w:w w:val="115"/>
          <w:sz w:val="21"/>
        </w:rPr>
        <w:t> </w:t>
      </w:r>
      <w:r>
        <w:rPr>
          <w:color w:val="3A3838"/>
          <w:w w:val="115"/>
          <w:sz w:val="21"/>
        </w:rPr>
        <w:t>United</w:t>
      </w:r>
      <w:r>
        <w:rPr>
          <w:color w:val="3A3838"/>
          <w:spacing w:val="12"/>
          <w:w w:val="115"/>
          <w:sz w:val="21"/>
        </w:rPr>
        <w:t> </w:t>
      </w:r>
      <w:r>
        <w:rPr>
          <w:color w:val="3A3838"/>
          <w:w w:val="115"/>
          <w:sz w:val="21"/>
        </w:rPr>
        <w:t>States citizen</w:t>
      </w:r>
      <w:r>
        <w:rPr>
          <w:color w:val="3A3838"/>
          <w:spacing w:val="9"/>
          <w:w w:val="115"/>
          <w:sz w:val="21"/>
        </w:rPr>
        <w:t> </w:t>
      </w:r>
      <w:r>
        <w:rPr>
          <w:color w:val="3A3838"/>
          <w:w w:val="115"/>
          <w:sz w:val="21"/>
        </w:rPr>
        <w:t>for</w:t>
      </w:r>
      <w:r>
        <w:rPr>
          <w:color w:val="3A3838"/>
          <w:spacing w:val="5"/>
          <w:w w:val="115"/>
          <w:sz w:val="21"/>
        </w:rPr>
        <w:t> </w:t>
      </w:r>
      <w:r>
        <w:rPr>
          <w:color w:val="3A3838"/>
          <w:w w:val="115"/>
          <w:sz w:val="21"/>
        </w:rPr>
        <w:t>a</w:t>
      </w:r>
      <w:r>
        <w:rPr>
          <w:color w:val="3A3838"/>
          <w:spacing w:val="21"/>
          <w:w w:val="115"/>
          <w:sz w:val="21"/>
        </w:rPr>
        <w:t> </w:t>
      </w:r>
      <w:r>
        <w:rPr>
          <w:color w:val="3A3838"/>
          <w:w w:val="115"/>
          <w:sz w:val="21"/>
        </w:rPr>
        <w:t>mother,</w:t>
      </w:r>
      <w:r>
        <w:rPr>
          <w:color w:val="3A3838"/>
          <w:spacing w:val="9"/>
          <w:w w:val="115"/>
          <w:sz w:val="21"/>
        </w:rPr>
        <w:t> </w:t>
      </w:r>
      <w:r>
        <w:rPr>
          <w:color w:val="3A3838"/>
          <w:w w:val="115"/>
          <w:sz w:val="21"/>
        </w:rPr>
        <w:t>and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97"/>
        </w:numPr>
        <w:tabs>
          <w:tab w:pos="576" w:val="left" w:leader="none"/>
        </w:tabs>
        <w:spacing w:line="228" w:lineRule="auto" w:before="192" w:after="0"/>
        <w:ind w:left="173" w:right="257" w:firstLine="325"/>
        <w:jc w:val="both"/>
        <w:rPr>
          <w:sz w:val="18"/>
        </w:rPr>
      </w:pPr>
      <w:r>
        <w:rPr>
          <w:i/>
          <w:color w:val="4B4B4B"/>
          <w:sz w:val="18"/>
        </w:rPr>
        <w:t>See </w:t>
      </w:r>
      <w:r>
        <w:rPr>
          <w:color w:val="3A3838"/>
          <w:sz w:val="18"/>
        </w:rPr>
        <w:t>Kenneth D. </w:t>
      </w:r>
      <w:r>
        <w:rPr>
          <w:color w:val="4B4B4B"/>
          <w:sz w:val="18"/>
        </w:rPr>
        <w:t>Chestek, </w:t>
      </w:r>
      <w:r>
        <w:rPr>
          <w:i/>
          <w:color w:val="3A3838"/>
          <w:sz w:val="18"/>
        </w:rPr>
        <w:t>Tire Plot 11,ickens: Appellate Brief as </w:t>
      </w:r>
      <w:r>
        <w:rPr>
          <w:i/>
          <w:color w:val="4B4B4B"/>
          <w:sz w:val="18"/>
        </w:rPr>
        <w:t>Story, </w:t>
      </w:r>
      <w:r>
        <w:rPr>
          <w:color w:val="2A282A"/>
          <w:sz w:val="18"/>
        </w:rPr>
        <w:t>1</w:t>
      </w:r>
      <w:r>
        <w:rPr>
          <w:color w:val="4B4B4B"/>
          <w:sz w:val="18"/>
        </w:rPr>
        <w:t>4 </w:t>
      </w:r>
      <w:r>
        <w:rPr>
          <w:color w:val="3A3838"/>
          <w:sz w:val="18"/>
        </w:rPr>
        <w:t>Legal Writ. 127, 155-S6</w:t>
      </w:r>
      <w:r>
        <w:rPr>
          <w:color w:val="3A3838"/>
          <w:spacing w:val="1"/>
          <w:sz w:val="18"/>
        </w:rPr>
        <w:t> </w:t>
      </w:r>
      <w:r>
        <w:rPr>
          <w:color w:val="4B4B4B"/>
          <w:w w:val="105"/>
          <w:sz w:val="18"/>
        </w:rPr>
        <w:t>(2008) ("The </w:t>
      </w:r>
      <w:r>
        <w:rPr>
          <w:color w:val="3A3838"/>
          <w:w w:val="105"/>
          <w:sz w:val="18"/>
        </w:rPr>
        <w:t>'road map' paragraphs </w:t>
      </w:r>
      <w:r>
        <w:rPr>
          <w:color w:val="5B5B5D"/>
          <w:w w:val="105"/>
          <w:sz w:val="18"/>
        </w:rPr>
        <w:t>...</w:t>
      </w:r>
      <w:r>
        <w:rPr>
          <w:color w:val="5B5B5D"/>
          <w:spacing w:val="1"/>
          <w:w w:val="105"/>
          <w:sz w:val="18"/>
        </w:rPr>
        <w:t> </w:t>
      </w:r>
      <w:r>
        <w:rPr>
          <w:color w:val="3A3838"/>
          <w:w w:val="105"/>
          <w:sz w:val="18"/>
        </w:rPr>
        <w:t>describe where the </w:t>
      </w:r>
      <w:r>
        <w:rPr>
          <w:color w:val="4B4B4B"/>
          <w:w w:val="105"/>
          <w:sz w:val="18"/>
        </w:rPr>
        <w:t>legal </w:t>
      </w:r>
      <w:r>
        <w:rPr>
          <w:color w:val="3A3838"/>
          <w:w w:val="105"/>
          <w:sz w:val="18"/>
        </w:rPr>
        <w:t>Issues will be </w:t>
      </w:r>
      <w:r>
        <w:rPr>
          <w:color w:val="4B4B4B"/>
          <w:w w:val="105"/>
          <w:sz w:val="18"/>
        </w:rPr>
        <w:t>encountered </w:t>
      </w:r>
      <w:r>
        <w:rPr>
          <w:color w:val="3A3838"/>
          <w:w w:val="105"/>
          <w:sz w:val="18"/>
        </w:rPr>
        <w:t>in </w:t>
      </w:r>
      <w:r>
        <w:rPr>
          <w:color w:val="4B4B4B"/>
          <w:w w:val="105"/>
          <w:sz w:val="18"/>
        </w:rPr>
        <w:t>the</w:t>
      </w:r>
      <w:r>
        <w:rPr>
          <w:color w:val="4B4B4B"/>
          <w:spacing w:val="1"/>
          <w:w w:val="105"/>
          <w:sz w:val="18"/>
        </w:rPr>
        <w:t> </w:t>
      </w:r>
      <w:r>
        <w:rPr>
          <w:color w:val="3A3838"/>
          <w:w w:val="105"/>
          <w:sz w:val="18"/>
        </w:rPr>
        <w:t>remainder of the</w:t>
      </w:r>
      <w:r>
        <w:rPr>
          <w:color w:val="3A3838"/>
          <w:spacing w:val="1"/>
          <w:w w:val="105"/>
          <w:sz w:val="18"/>
        </w:rPr>
        <w:t> </w:t>
      </w:r>
      <w:r>
        <w:rPr>
          <w:color w:val="3A3838"/>
          <w:w w:val="105"/>
          <w:sz w:val="18"/>
        </w:rPr>
        <w:t>brief</w:t>
      </w:r>
      <w:r>
        <w:rPr>
          <w:color w:val="6E6E70"/>
          <w:w w:val="105"/>
          <w:sz w:val="18"/>
        </w:rPr>
        <w:t>. </w:t>
      </w:r>
      <w:r>
        <w:rPr>
          <w:color w:val="3A3838"/>
          <w:w w:val="105"/>
          <w:sz w:val="18"/>
        </w:rPr>
        <w:t>They serve both </w:t>
      </w:r>
      <w:r>
        <w:rPr>
          <w:color w:val="4B4B4B"/>
          <w:w w:val="105"/>
          <w:sz w:val="18"/>
        </w:rPr>
        <w:t>as 'foreshadowing</w:t>
      </w:r>
      <w:r>
        <w:rPr>
          <w:color w:val="6E6E70"/>
          <w:w w:val="105"/>
          <w:sz w:val="18"/>
        </w:rPr>
        <w:t>' </w:t>
      </w:r>
      <w:r>
        <w:rPr>
          <w:color w:val="4B4B4B"/>
          <w:w w:val="105"/>
          <w:sz w:val="18"/>
        </w:rPr>
        <w:t>of </w:t>
      </w:r>
      <w:r>
        <w:rPr>
          <w:color w:val="3A3838"/>
          <w:w w:val="105"/>
          <w:sz w:val="18"/>
        </w:rPr>
        <w:t>the </w:t>
      </w:r>
      <w:r>
        <w:rPr>
          <w:color w:val="4B4B4B"/>
          <w:w w:val="105"/>
          <w:sz w:val="18"/>
        </w:rPr>
        <w:t>conflict </w:t>
      </w:r>
      <w:r>
        <w:rPr>
          <w:color w:val="3A3838"/>
          <w:w w:val="105"/>
          <w:sz w:val="18"/>
        </w:rPr>
        <w:t>to</w:t>
      </w:r>
      <w:r>
        <w:rPr>
          <w:color w:val="3A3838"/>
          <w:spacing w:val="1"/>
          <w:w w:val="105"/>
          <w:sz w:val="18"/>
        </w:rPr>
        <w:t> </w:t>
      </w:r>
      <w:r>
        <w:rPr>
          <w:color w:val="3A3838"/>
          <w:w w:val="105"/>
          <w:sz w:val="18"/>
        </w:rPr>
        <w:t>raise in the </w:t>
      </w:r>
      <w:r>
        <w:rPr>
          <w:color w:val="4B4B4B"/>
          <w:w w:val="105"/>
          <w:sz w:val="18"/>
        </w:rPr>
        <w:t>coming</w:t>
      </w:r>
      <w:r>
        <w:rPr>
          <w:color w:val="4B4B4B"/>
          <w:spacing w:val="1"/>
          <w:w w:val="105"/>
          <w:sz w:val="18"/>
        </w:rPr>
        <w:t> </w:t>
      </w:r>
      <w:r>
        <w:rPr>
          <w:color w:val="3A3838"/>
          <w:w w:val="105"/>
          <w:sz w:val="18"/>
        </w:rPr>
        <w:t>pages</w:t>
      </w:r>
      <w:r>
        <w:rPr>
          <w:color w:val="3A3838"/>
          <w:spacing w:val="-11"/>
          <w:w w:val="105"/>
          <w:sz w:val="18"/>
        </w:rPr>
        <w:t> </w:t>
      </w:r>
      <w:r>
        <w:rPr>
          <w:color w:val="3A3838"/>
          <w:w w:val="105"/>
          <w:sz w:val="18"/>
        </w:rPr>
        <w:t>and</w:t>
      </w:r>
      <w:r>
        <w:rPr>
          <w:color w:val="3A3838"/>
          <w:spacing w:val="45"/>
          <w:w w:val="105"/>
          <w:sz w:val="18"/>
        </w:rPr>
        <w:t> </w:t>
      </w:r>
      <w:r>
        <w:rPr>
          <w:color w:val="3A3838"/>
          <w:w w:val="105"/>
          <w:sz w:val="18"/>
        </w:rPr>
        <w:t>as</w:t>
      </w:r>
      <w:r>
        <w:rPr>
          <w:color w:val="3A3838"/>
          <w:spacing w:val="14"/>
          <w:w w:val="105"/>
          <w:sz w:val="18"/>
        </w:rPr>
        <w:t> </w:t>
      </w:r>
      <w:r>
        <w:rPr>
          <w:color w:val="3A3838"/>
          <w:w w:val="105"/>
          <w:sz w:val="18"/>
        </w:rPr>
        <w:t>a</w:t>
      </w:r>
      <w:r>
        <w:rPr>
          <w:color w:val="3A3838"/>
          <w:spacing w:val="20"/>
          <w:w w:val="105"/>
          <w:sz w:val="18"/>
        </w:rPr>
        <w:t> </w:t>
      </w:r>
      <w:r>
        <w:rPr>
          <w:color w:val="3A3838"/>
          <w:w w:val="105"/>
          <w:sz w:val="18"/>
        </w:rPr>
        <w:t>neat</w:t>
      </w:r>
      <w:r>
        <w:rPr>
          <w:color w:val="3A3838"/>
          <w:spacing w:val="5"/>
          <w:w w:val="105"/>
          <w:sz w:val="18"/>
        </w:rPr>
        <w:t> </w:t>
      </w:r>
      <w:r>
        <w:rPr>
          <w:color w:val="3A3838"/>
          <w:w w:val="105"/>
          <w:sz w:val="18"/>
        </w:rPr>
        <w:t>transition</w:t>
      </w:r>
      <w:r>
        <w:rPr>
          <w:color w:val="3A3838"/>
          <w:spacing w:val="4"/>
          <w:w w:val="105"/>
          <w:sz w:val="18"/>
        </w:rPr>
        <w:t> </w:t>
      </w:r>
      <w:r>
        <w:rPr>
          <w:color w:val="3A3838"/>
          <w:w w:val="105"/>
          <w:sz w:val="18"/>
        </w:rPr>
        <w:t>to</w:t>
      </w:r>
      <w:r>
        <w:rPr>
          <w:color w:val="3A3838"/>
          <w:spacing w:val="8"/>
          <w:w w:val="105"/>
          <w:sz w:val="18"/>
        </w:rPr>
        <w:t> </w:t>
      </w:r>
      <w:r>
        <w:rPr>
          <w:color w:val="3A3838"/>
          <w:w w:val="105"/>
          <w:sz w:val="18"/>
        </w:rPr>
        <w:t>the</w:t>
      </w:r>
      <w:r>
        <w:rPr>
          <w:color w:val="3A3838"/>
          <w:spacing w:val="8"/>
          <w:w w:val="105"/>
          <w:sz w:val="18"/>
        </w:rPr>
        <w:t> </w:t>
      </w:r>
      <w:r>
        <w:rPr>
          <w:color w:val="2A282A"/>
          <w:w w:val="105"/>
          <w:sz w:val="18"/>
        </w:rPr>
        <w:t>'risin</w:t>
      </w:r>
      <w:r>
        <w:rPr>
          <w:color w:val="4B4B4B"/>
          <w:w w:val="105"/>
          <w:sz w:val="18"/>
        </w:rPr>
        <w:t>g</w:t>
      </w:r>
      <w:r>
        <w:rPr>
          <w:color w:val="4B4B4B"/>
          <w:spacing w:val="5"/>
          <w:w w:val="105"/>
          <w:sz w:val="18"/>
        </w:rPr>
        <w:t> </w:t>
      </w:r>
      <w:r>
        <w:rPr>
          <w:color w:val="3A3838"/>
          <w:w w:val="105"/>
          <w:sz w:val="18"/>
        </w:rPr>
        <w:t>action'</w:t>
      </w:r>
      <w:r>
        <w:rPr>
          <w:color w:val="3A3838"/>
          <w:spacing w:val="6"/>
          <w:w w:val="105"/>
          <w:sz w:val="18"/>
        </w:rPr>
        <w:t> </w:t>
      </w:r>
      <w:r>
        <w:rPr>
          <w:color w:val="3A3838"/>
          <w:w w:val="105"/>
          <w:sz w:val="18"/>
        </w:rPr>
        <w:t>portion</w:t>
      </w:r>
      <w:r>
        <w:rPr>
          <w:color w:val="3A3838"/>
          <w:spacing w:val="-7"/>
          <w:w w:val="105"/>
          <w:sz w:val="18"/>
        </w:rPr>
        <w:t> </w:t>
      </w:r>
      <w:r>
        <w:rPr>
          <w:color w:val="3A3838"/>
          <w:w w:val="105"/>
          <w:sz w:val="18"/>
        </w:rPr>
        <w:t>of</w:t>
      </w:r>
      <w:r>
        <w:rPr>
          <w:color w:val="3A3838"/>
          <w:spacing w:val="13"/>
          <w:w w:val="105"/>
          <w:sz w:val="18"/>
        </w:rPr>
        <w:t> </w:t>
      </w:r>
      <w:r>
        <w:rPr>
          <w:color w:val="3A3838"/>
          <w:w w:val="105"/>
          <w:sz w:val="18"/>
        </w:rPr>
        <w:t>th</w:t>
      </w:r>
      <w:r>
        <w:rPr>
          <w:color w:val="3A3838"/>
          <w:spacing w:val="25"/>
          <w:w w:val="105"/>
          <w:sz w:val="18"/>
        </w:rPr>
        <w:t> </w:t>
      </w:r>
      <w:r>
        <w:rPr>
          <w:color w:val="3A3838"/>
          <w:w w:val="105"/>
          <w:sz w:val="18"/>
        </w:rPr>
        <w:t>J?lot</w:t>
      </w:r>
      <w:r>
        <w:rPr>
          <w:color w:val="6E6E70"/>
          <w:w w:val="105"/>
          <w:sz w:val="18"/>
        </w:rPr>
        <w:t>.</w:t>
      </w:r>
      <w:r>
        <w:rPr>
          <w:color w:val="4B4B4B"/>
          <w:w w:val="105"/>
          <w:sz w:val="18"/>
        </w:rPr>
        <w:t>").</w:t>
      </w:r>
    </w:p>
    <w:p>
      <w:pPr>
        <w:spacing w:line="192" w:lineRule="exact" w:before="0"/>
        <w:ind w:left="498" w:right="0" w:firstLine="0"/>
        <w:jc w:val="both"/>
        <w:rPr>
          <w:sz w:val="17"/>
        </w:rPr>
      </w:pPr>
      <w:r>
        <w:rPr>
          <w:rFonts w:ascii="Arial" w:hAnsi="Arial"/>
          <w:i/>
          <w:color w:val="3A3838"/>
          <w:w w:val="105"/>
          <w:sz w:val="16"/>
        </w:rPr>
        <w:t>'See</w:t>
      </w:r>
      <w:r>
        <w:rPr>
          <w:rFonts w:ascii="Arial" w:hAnsi="Arial"/>
          <w:i/>
          <w:color w:val="3A3838"/>
          <w:spacing w:val="13"/>
          <w:w w:val="105"/>
          <w:sz w:val="16"/>
        </w:rPr>
        <w:t> </w:t>
      </w:r>
      <w:r>
        <w:rPr>
          <w:color w:val="4B4B4B"/>
          <w:w w:val="105"/>
          <w:sz w:val="18"/>
        </w:rPr>
        <w:t>Laurel</w:t>
      </w:r>
      <w:r>
        <w:rPr>
          <w:color w:val="4B4B4B"/>
          <w:spacing w:val="25"/>
          <w:w w:val="105"/>
          <w:sz w:val="18"/>
        </w:rPr>
        <w:t> </w:t>
      </w:r>
      <w:r>
        <w:rPr>
          <w:color w:val="4B4B4B"/>
          <w:w w:val="105"/>
          <w:sz w:val="18"/>
        </w:rPr>
        <w:t>Currie</w:t>
      </w:r>
      <w:r>
        <w:rPr>
          <w:color w:val="4B4B4B"/>
          <w:spacing w:val="11"/>
          <w:w w:val="105"/>
          <w:sz w:val="18"/>
        </w:rPr>
        <w:t> </w:t>
      </w:r>
      <w:r>
        <w:rPr>
          <w:color w:val="4B4B4B"/>
          <w:w w:val="105"/>
          <w:sz w:val="18"/>
        </w:rPr>
        <w:t>Oates</w:t>
      </w:r>
      <w:r>
        <w:rPr>
          <w:color w:val="4B4B4B"/>
          <w:spacing w:val="12"/>
          <w:w w:val="105"/>
          <w:sz w:val="18"/>
        </w:rPr>
        <w:t> </w:t>
      </w:r>
      <w:r>
        <w:rPr>
          <w:color w:val="4B4B4B"/>
          <w:w w:val="105"/>
          <w:sz w:val="16"/>
        </w:rPr>
        <w:t>&amp;</w:t>
      </w:r>
      <w:r>
        <w:rPr>
          <w:color w:val="4B4B4B"/>
          <w:spacing w:val="36"/>
          <w:w w:val="105"/>
          <w:sz w:val="16"/>
        </w:rPr>
        <w:t> </w:t>
      </w:r>
      <w:r>
        <w:rPr>
          <w:color w:val="3A3838"/>
          <w:w w:val="105"/>
          <w:sz w:val="18"/>
        </w:rPr>
        <w:t>Anne</w:t>
      </w:r>
      <w:r>
        <w:rPr>
          <w:color w:val="3A3838"/>
          <w:spacing w:val="26"/>
          <w:w w:val="105"/>
          <w:sz w:val="18"/>
        </w:rPr>
        <w:t> </w:t>
      </w:r>
      <w:r>
        <w:rPr>
          <w:color w:val="3A3838"/>
          <w:w w:val="105"/>
          <w:sz w:val="18"/>
        </w:rPr>
        <w:t>M.</w:t>
      </w:r>
      <w:r>
        <w:rPr>
          <w:color w:val="3A3838"/>
          <w:spacing w:val="24"/>
          <w:w w:val="105"/>
          <w:sz w:val="18"/>
        </w:rPr>
        <w:t> </w:t>
      </w:r>
      <w:r>
        <w:rPr>
          <w:color w:val="3A3838"/>
          <w:w w:val="105"/>
          <w:sz w:val="18"/>
        </w:rPr>
        <w:t>Enqulst,</w:t>
      </w:r>
      <w:r>
        <w:rPr>
          <w:color w:val="3A3838"/>
          <w:spacing w:val="15"/>
          <w:w w:val="105"/>
          <w:sz w:val="18"/>
        </w:rPr>
        <w:t> </w:t>
      </w:r>
      <w:r>
        <w:rPr>
          <w:rFonts w:ascii="Arial" w:hAnsi="Arial"/>
          <w:i/>
          <w:color w:val="3A3838"/>
          <w:w w:val="105"/>
          <w:sz w:val="16"/>
        </w:rPr>
        <w:t>11,e</w:t>
      </w:r>
      <w:r>
        <w:rPr>
          <w:rFonts w:ascii="Arial" w:hAnsi="Arial"/>
          <w:i/>
          <w:color w:val="3A3838"/>
          <w:spacing w:val="-9"/>
          <w:w w:val="105"/>
          <w:sz w:val="16"/>
        </w:rPr>
        <w:t> </w:t>
      </w:r>
      <w:r>
        <w:rPr>
          <w:rFonts w:ascii="Arial" w:hAnsi="Arial"/>
          <w:i/>
          <w:color w:val="3A3838"/>
          <w:w w:val="105"/>
          <w:sz w:val="16"/>
        </w:rPr>
        <w:t>Legal</w:t>
      </w:r>
      <w:r>
        <w:rPr>
          <w:rFonts w:ascii="Arial" w:hAnsi="Arial"/>
          <w:i/>
          <w:color w:val="3A3838"/>
          <w:spacing w:val="25"/>
          <w:w w:val="105"/>
          <w:sz w:val="16"/>
        </w:rPr>
        <w:t> </w:t>
      </w:r>
      <w:r>
        <w:rPr>
          <w:rFonts w:ascii="Arial" w:hAnsi="Arial"/>
          <w:i/>
          <w:color w:val="3A3838"/>
          <w:w w:val="105"/>
          <w:sz w:val="16"/>
        </w:rPr>
        <w:t>Wntmg</w:t>
      </w:r>
      <w:r>
        <w:rPr>
          <w:rFonts w:ascii="Arial" w:hAnsi="Arial"/>
          <w:i/>
          <w:color w:val="3A3838"/>
          <w:spacing w:val="10"/>
          <w:w w:val="105"/>
          <w:sz w:val="16"/>
        </w:rPr>
        <w:t> </w:t>
      </w:r>
      <w:r>
        <w:rPr>
          <w:rFonts w:ascii="Arial" w:hAnsi="Arial"/>
          <w:i/>
          <w:color w:val="3A3838"/>
          <w:w w:val="105"/>
          <w:sz w:val="16"/>
        </w:rPr>
        <w:t>Hamllx&gt;ok</w:t>
      </w:r>
      <w:r>
        <w:rPr>
          <w:rFonts w:ascii="Arial" w:hAnsi="Arial"/>
          <w:i/>
          <w:color w:val="3A3838"/>
          <w:spacing w:val="31"/>
          <w:w w:val="105"/>
          <w:sz w:val="16"/>
        </w:rPr>
        <w:t> </w:t>
      </w:r>
      <w:r>
        <w:rPr>
          <w:color w:val="4B4B4B"/>
          <w:w w:val="105"/>
          <w:sz w:val="18"/>
        </w:rPr>
        <w:t>§2</w:t>
      </w:r>
      <w:r>
        <w:rPr>
          <w:color w:val="2A282A"/>
          <w:w w:val="105"/>
          <w:sz w:val="18"/>
        </w:rPr>
        <w:t>1.</w:t>
      </w:r>
      <w:r>
        <w:rPr>
          <w:color w:val="4B4B4B"/>
          <w:w w:val="105"/>
          <w:sz w:val="18"/>
        </w:rPr>
        <w:t>2.1</w:t>
      </w:r>
      <w:r>
        <w:rPr>
          <w:color w:val="4B4B4B"/>
          <w:spacing w:val="18"/>
          <w:w w:val="105"/>
          <w:sz w:val="18"/>
        </w:rPr>
        <w:t> </w:t>
      </w:r>
      <w:r>
        <w:rPr>
          <w:color w:val="4B4B4B"/>
          <w:w w:val="105"/>
          <w:sz w:val="18"/>
        </w:rPr>
        <w:t>(</w:t>
      </w:r>
      <w:r>
        <w:rPr>
          <w:color w:val="2A282A"/>
          <w:w w:val="105"/>
          <w:sz w:val="18"/>
        </w:rPr>
        <w:t>4th</w:t>
      </w:r>
      <w:r>
        <w:rPr>
          <w:color w:val="2A282A"/>
          <w:spacing w:val="40"/>
          <w:w w:val="105"/>
          <w:sz w:val="18"/>
        </w:rPr>
        <w:t> </w:t>
      </w:r>
      <w:r>
        <w:rPr>
          <w:color w:val="4B4B4B"/>
          <w:w w:val="105"/>
          <w:sz w:val="17"/>
        </w:rPr>
        <w:t>ed</w:t>
      </w:r>
      <w:r>
        <w:rPr>
          <w:color w:val="6E6E70"/>
          <w:w w:val="105"/>
          <w:sz w:val="17"/>
        </w:rPr>
        <w:t>.</w:t>
      </w:r>
      <w:r>
        <w:rPr>
          <w:color w:val="4B4B4B"/>
          <w:w w:val="105"/>
          <w:sz w:val="17"/>
        </w:rPr>
        <w:t>,</w:t>
      </w:r>
    </w:p>
    <w:p>
      <w:pPr>
        <w:spacing w:before="14"/>
        <w:ind w:left="179" w:right="0" w:firstLine="0"/>
        <w:jc w:val="both"/>
        <w:rPr>
          <w:sz w:val="17"/>
        </w:rPr>
      </w:pPr>
      <w:r>
        <w:rPr>
          <w:color w:val="3A3838"/>
          <w:w w:val="105"/>
          <w:sz w:val="17"/>
        </w:rPr>
        <w:t>Aspen</w:t>
      </w:r>
      <w:r>
        <w:rPr>
          <w:color w:val="3A3838"/>
          <w:spacing w:val="4"/>
          <w:w w:val="105"/>
          <w:sz w:val="17"/>
        </w:rPr>
        <w:t> </w:t>
      </w:r>
      <w:r>
        <w:rPr>
          <w:color w:val="3A3838"/>
          <w:w w:val="105"/>
          <w:sz w:val="17"/>
        </w:rPr>
        <w:t>2006)</w:t>
      </w:r>
      <w:r>
        <w:rPr>
          <w:color w:val="5B5B5D"/>
          <w:w w:val="105"/>
          <w:sz w:val="17"/>
        </w:rPr>
        <w:t>.</w:t>
      </w:r>
    </w:p>
    <w:p>
      <w:pPr>
        <w:spacing w:after="0"/>
        <w:jc w:val="both"/>
        <w:rPr>
          <w:sz w:val="17"/>
        </w:rPr>
        <w:sectPr>
          <w:pgSz w:w="9730" w:h="14070"/>
          <w:pgMar w:header="742" w:footer="0" w:top="940" w:bottom="280" w:left="340" w:right="1340"/>
        </w:sectPr>
      </w:pPr>
    </w:p>
    <w:p>
      <w:pPr>
        <w:pStyle w:val="BodyText"/>
        <w:rPr>
          <w:sz w:val="16"/>
        </w:rPr>
      </w:pPr>
    </w:p>
    <w:p>
      <w:pPr>
        <w:spacing w:line="249" w:lineRule="auto" w:before="137"/>
        <w:ind w:left="443" w:right="38" w:hanging="259"/>
        <w:jc w:val="left"/>
        <w:rPr>
          <w:rFonts w:ascii="Arial" w:hAnsi="Arial"/>
          <w:sz w:val="14"/>
        </w:rPr>
      </w:pPr>
      <w:r>
        <w:rPr>
          <w:b/>
          <w:color w:val="2A2628"/>
          <w:sz w:val="17"/>
        </w:rPr>
        <w:t>1  </w:t>
      </w:r>
      <w:r>
        <w:rPr>
          <w:b/>
          <w:color w:val="2A2628"/>
          <w:spacing w:val="5"/>
          <w:sz w:val="17"/>
        </w:rPr>
        <w:t> </w:t>
      </w:r>
      <w:r>
        <w:rPr>
          <w:color w:val="3A383A"/>
          <w:sz w:val="16"/>
        </w:rPr>
        <w:t>H,re</w:t>
      </w:r>
      <w:r>
        <w:rPr>
          <w:color w:val="3A383A"/>
          <w:spacing w:val="-2"/>
          <w:sz w:val="16"/>
        </w:rPr>
        <w:t> </w:t>
      </w:r>
      <w:r>
        <w:rPr>
          <w:color w:val="3A383A"/>
          <w:sz w:val="16"/>
        </w:rPr>
        <w:t>Is</w:t>
      </w:r>
      <w:r>
        <w:rPr>
          <w:color w:val="3A383A"/>
          <w:spacing w:val="-7"/>
          <w:sz w:val="16"/>
        </w:rPr>
        <w:t> </w:t>
      </w:r>
      <w:r>
        <w:rPr>
          <w:i/>
          <w:color w:val="3A383A"/>
          <w:sz w:val="14"/>
        </w:rPr>
        <w:t>th,   </w:t>
      </w:r>
      <w:r>
        <w:rPr>
          <w:i/>
          <w:color w:val="3A383A"/>
          <w:spacing w:val="5"/>
          <w:sz w:val="14"/>
        </w:rPr>
        <w:t> </w:t>
      </w:r>
      <w:r>
        <w:rPr>
          <w:color w:val="3A383A"/>
          <w:sz w:val="15"/>
        </w:rPr>
        <w:t>rul</w:t>
      </w:r>
      <w:r>
        <w:rPr>
          <w:color w:val="525254"/>
          <w:sz w:val="15"/>
        </w:rPr>
        <w:t>e</w:t>
      </w:r>
      <w:r>
        <w:rPr>
          <w:color w:val="3A383A"/>
          <w:sz w:val="15"/>
        </w:rPr>
        <w:t>­</w:t>
      </w:r>
      <w:r>
        <w:rPr>
          <w:color w:val="3A383A"/>
          <w:spacing w:val="1"/>
          <w:sz w:val="15"/>
        </w:rPr>
        <w:t> </w:t>
      </w:r>
      <w:r>
        <w:rPr>
          <w:rFonts w:ascii="Arial" w:hAnsi="Arial"/>
          <w:b/>
          <w:color w:val="3A383A"/>
          <w:w w:val="115"/>
          <w:sz w:val="16"/>
        </w:rPr>
        <w:t>a </w:t>
      </w:r>
      <w:r>
        <w:rPr>
          <w:color w:val="3A383A"/>
          <w:w w:val="115"/>
          <w:sz w:val="16"/>
        </w:rPr>
        <w:t>stat</w:t>
      </w:r>
      <w:r>
        <w:rPr>
          <w:color w:val="525254"/>
          <w:w w:val="115"/>
          <w:sz w:val="16"/>
        </w:rPr>
        <w:t>u</w:t>
      </w:r>
      <w:r>
        <w:rPr>
          <w:color w:val="3A383A"/>
          <w:w w:val="115"/>
          <w:sz w:val="16"/>
        </w:rPr>
        <w:t>te-tNt</w:t>
      </w:r>
      <w:r>
        <w:rPr>
          <w:color w:val="3A383A"/>
          <w:spacing w:val="1"/>
          <w:w w:val="115"/>
          <w:sz w:val="16"/>
        </w:rPr>
        <w:t> </w:t>
      </w:r>
      <w:r>
        <w:rPr>
          <w:color w:val="3A383A"/>
          <w:w w:val="115"/>
          <w:sz w:val="14"/>
        </w:rPr>
        <w:t>Isthe</w:t>
      </w:r>
      <w:r>
        <w:rPr>
          <w:color w:val="3A383A"/>
          <w:spacing w:val="-2"/>
          <w:w w:val="115"/>
          <w:sz w:val="14"/>
        </w:rPr>
        <w:t> </w:t>
      </w:r>
      <w:r>
        <w:rPr>
          <w:color w:val="3A383A"/>
          <w:w w:val="115"/>
          <w:sz w:val="14"/>
        </w:rPr>
        <w:t>root</w:t>
      </w:r>
      <w:r>
        <w:rPr>
          <w:color w:val="3A383A"/>
          <w:spacing w:val="10"/>
          <w:w w:val="115"/>
          <w:sz w:val="14"/>
        </w:rPr>
        <w:t> </w:t>
      </w:r>
      <w:r>
        <w:rPr>
          <w:rFonts w:ascii="Arial" w:hAnsi="Arial"/>
          <w:color w:val="3A383A"/>
          <w:w w:val="115"/>
          <w:sz w:val="14"/>
        </w:rPr>
        <w:t>of</w:t>
      </w:r>
      <w:r>
        <w:rPr>
          <w:rFonts w:ascii="Arial" w:hAnsi="Arial"/>
          <w:color w:val="3A383A"/>
          <w:spacing w:val="16"/>
          <w:w w:val="115"/>
          <w:sz w:val="14"/>
        </w:rPr>
        <w:t> </w:t>
      </w:r>
      <w:r>
        <w:rPr>
          <w:rFonts w:ascii="Arial" w:hAnsi="Arial"/>
          <w:color w:val="3A383A"/>
          <w:w w:val="115"/>
          <w:sz w:val="14"/>
        </w:rPr>
        <w:t>the</w:t>
      </w:r>
    </w:p>
    <w:p>
      <w:pPr>
        <w:spacing w:line="169" w:lineRule="exact" w:before="0"/>
        <w:ind w:left="0" w:right="70" w:firstLine="0"/>
        <w:jc w:val="right"/>
        <w:rPr>
          <w:sz w:val="16"/>
        </w:rPr>
      </w:pPr>
      <w:r>
        <w:rPr>
          <w:color w:val="3A383A"/>
          <w:sz w:val="16"/>
        </w:rPr>
        <w:t>controveny</w:t>
      </w:r>
      <w:r>
        <w:rPr>
          <w:color w:val="525254"/>
          <w:sz w:val="16"/>
        </w:rPr>
        <w:t>.</w:t>
      </w:r>
    </w:p>
    <w:p>
      <w:pPr>
        <w:spacing w:line="242" w:lineRule="auto" w:before="47"/>
        <w:ind w:left="186" w:right="44" w:firstLine="699"/>
        <w:jc w:val="right"/>
        <w:rPr>
          <w:sz w:val="14"/>
        </w:rPr>
      </w:pPr>
      <w:r>
        <w:rPr>
          <w:rFonts w:ascii="Arial"/>
          <w:b/>
          <w:color w:val="3A383A"/>
          <w:spacing w:val="-1"/>
          <w:w w:val="110"/>
          <w:sz w:val="16"/>
        </w:rPr>
        <w:t>2</w:t>
      </w:r>
      <w:r>
        <w:rPr>
          <w:rFonts w:ascii="Arial"/>
          <w:b/>
          <w:color w:val="3A383A"/>
          <w:spacing w:val="1"/>
          <w:w w:val="110"/>
          <w:sz w:val="16"/>
        </w:rPr>
        <w:t> </w:t>
      </w:r>
      <w:r>
        <w:rPr>
          <w:rFonts w:ascii="Arial"/>
          <w:color w:val="3A383A"/>
          <w:spacing w:val="-1"/>
          <w:w w:val="110"/>
          <w:sz w:val="13"/>
        </w:rPr>
        <w:t>Here</w:t>
      </w:r>
      <w:r>
        <w:rPr>
          <w:rFonts w:ascii="Arial"/>
          <w:color w:val="3A383A"/>
          <w:spacing w:val="-25"/>
          <w:w w:val="110"/>
          <w:sz w:val="13"/>
        </w:rPr>
        <w:t> </w:t>
      </w:r>
      <w:r>
        <w:rPr>
          <w:rFonts w:ascii="Arial"/>
          <w:color w:val="3A383A"/>
          <w:spacing w:val="-1"/>
          <w:w w:val="110"/>
          <w:sz w:val="15"/>
        </w:rPr>
        <w:t>is</w:t>
      </w:r>
      <w:r>
        <w:rPr>
          <w:rFonts w:ascii="Arial"/>
          <w:color w:val="3A383A"/>
          <w:spacing w:val="-43"/>
          <w:w w:val="110"/>
          <w:sz w:val="15"/>
        </w:rPr>
        <w:t> </w:t>
      </w:r>
      <w:r>
        <w:rPr>
          <w:color w:val="3A383A"/>
          <w:w w:val="110"/>
          <w:sz w:val="15"/>
        </w:rPr>
        <w:t>lnfonnation about</w:t>
      </w:r>
      <w:r>
        <w:rPr>
          <w:color w:val="3A383A"/>
          <w:spacing w:val="1"/>
          <w:w w:val="110"/>
          <w:sz w:val="15"/>
        </w:rPr>
        <w:t> </w:t>
      </w:r>
      <w:r>
        <w:rPr>
          <w:rFonts w:ascii="Arial"/>
          <w:color w:val="3A383A"/>
          <w:w w:val="110"/>
          <w:sz w:val="15"/>
        </w:rPr>
        <w:t>the </w:t>
      </w:r>
      <w:r>
        <w:rPr>
          <w:color w:val="3A383A"/>
          <w:w w:val="110"/>
          <w:sz w:val="14"/>
        </w:rPr>
        <w:t>curren</w:t>
      </w:r>
      <w:r>
        <w:rPr>
          <w:color w:val="525254"/>
          <w:w w:val="110"/>
          <w:sz w:val="14"/>
        </w:rPr>
        <w:t>t</w:t>
      </w:r>
      <w:r>
        <w:rPr>
          <w:color w:val="525254"/>
          <w:spacing w:val="39"/>
          <w:w w:val="110"/>
          <w:sz w:val="14"/>
        </w:rPr>
        <w:t> </w:t>
      </w:r>
      <w:r>
        <w:rPr>
          <w:color w:val="3A383A"/>
          <w:w w:val="110"/>
          <w:sz w:val="14"/>
        </w:rPr>
        <w:t>status</w:t>
      </w:r>
      <w:r>
        <w:rPr>
          <w:i/>
          <w:color w:val="3A383A"/>
          <w:w w:val="110"/>
          <w:sz w:val="16"/>
        </w:rPr>
        <w:t>ol</w:t>
      </w:r>
      <w:r>
        <w:rPr>
          <w:i/>
          <w:color w:val="3A383A"/>
          <w:spacing w:val="-41"/>
          <w:w w:val="110"/>
          <w:sz w:val="16"/>
        </w:rPr>
        <w:t> </w:t>
      </w:r>
      <w:r>
        <w:rPr>
          <w:rFonts w:ascii="Arial"/>
          <w:color w:val="3A383A"/>
          <w:w w:val="110"/>
          <w:sz w:val="14"/>
        </w:rPr>
        <w:t>the</w:t>
      </w:r>
      <w:r>
        <w:rPr>
          <w:color w:val="3A383A"/>
          <w:w w:val="110"/>
          <w:sz w:val="15"/>
        </w:rPr>
        <w:t>legal rule</w:t>
      </w:r>
      <w:r>
        <w:rPr>
          <w:color w:val="525254"/>
          <w:w w:val="110"/>
          <w:sz w:val="15"/>
        </w:rPr>
        <w:t>, i.</w:t>
      </w:r>
      <w:r>
        <w:rPr>
          <w:color w:val="3A383A"/>
          <w:w w:val="110"/>
          <w:sz w:val="15"/>
        </w:rPr>
        <w:t>e</w:t>
      </w:r>
      <w:r>
        <w:rPr>
          <w:color w:val="525254"/>
          <w:w w:val="110"/>
          <w:sz w:val="15"/>
        </w:rPr>
        <w:t>.</w:t>
      </w:r>
      <w:r>
        <w:rPr>
          <w:color w:val="3A383A"/>
          <w:w w:val="110"/>
          <w:sz w:val="15"/>
        </w:rPr>
        <w:t>,</w:t>
      </w:r>
      <w:r>
        <w:rPr>
          <w:color w:val="3A383A"/>
          <w:spacing w:val="1"/>
          <w:w w:val="110"/>
          <w:sz w:val="15"/>
        </w:rPr>
        <w:t> </w:t>
      </w:r>
      <w:r>
        <w:rPr>
          <w:rFonts w:ascii="Arial"/>
          <w:color w:val="3A383A"/>
          <w:w w:val="105"/>
          <w:sz w:val="14"/>
        </w:rPr>
        <w:t>how</w:t>
      </w:r>
      <w:r>
        <w:rPr>
          <w:rFonts w:ascii="Arial"/>
          <w:color w:val="3A383A"/>
          <w:spacing w:val="1"/>
          <w:w w:val="105"/>
          <w:sz w:val="14"/>
        </w:rPr>
        <w:t> </w:t>
      </w:r>
      <w:r>
        <w:rPr>
          <w:color w:val="3A383A"/>
          <w:w w:val="105"/>
          <w:sz w:val="14"/>
        </w:rPr>
        <w:t>it </w:t>
      </w:r>
      <w:r>
        <w:rPr>
          <w:rFonts w:ascii="Arial"/>
          <w:color w:val="3A383A"/>
          <w:w w:val="105"/>
          <w:sz w:val="15"/>
        </w:rPr>
        <w:t>is </w:t>
      </w:r>
      <w:r>
        <w:rPr>
          <w:color w:val="3A383A"/>
          <w:w w:val="105"/>
          <w:sz w:val="12"/>
        </w:rPr>
        <w:t>CUlT"1tly</w:t>
      </w:r>
      <w:r>
        <w:rPr>
          <w:color w:val="3A383A"/>
          <w:spacing w:val="1"/>
          <w:w w:val="105"/>
          <w:sz w:val="12"/>
        </w:rPr>
        <w:t> </w:t>
      </w:r>
      <w:r>
        <w:rPr>
          <w:color w:val="3A383A"/>
          <w:w w:val="105"/>
          <w:sz w:val="14"/>
        </w:rPr>
        <w:t>be</w:t>
      </w:r>
      <w:r>
        <w:rPr>
          <w:color w:val="525254"/>
          <w:w w:val="105"/>
          <w:sz w:val="14"/>
        </w:rPr>
        <w:t>i</w:t>
      </w:r>
      <w:r>
        <w:rPr>
          <w:color w:val="3A383A"/>
          <w:w w:val="105"/>
          <w:sz w:val="14"/>
        </w:rPr>
        <w:t>ng</w:t>
      </w:r>
      <w:r>
        <w:rPr>
          <w:color w:val="3A383A"/>
          <w:spacing w:val="23"/>
          <w:w w:val="105"/>
          <w:sz w:val="14"/>
        </w:rPr>
        <w:t> </w:t>
      </w:r>
      <w:r>
        <w:rPr>
          <w:color w:val="3A383A"/>
          <w:w w:val="105"/>
          <w:sz w:val="16"/>
        </w:rPr>
        <w:t>Interpreted</w:t>
      </w:r>
      <w:r>
        <w:rPr>
          <w:color w:val="3A383A"/>
          <w:spacing w:val="-6"/>
          <w:w w:val="105"/>
          <w:sz w:val="16"/>
        </w:rPr>
        <w:t> </w:t>
      </w:r>
      <w:r>
        <w:rPr>
          <w:color w:val="3A383A"/>
          <w:w w:val="105"/>
          <w:sz w:val="14"/>
        </w:rPr>
        <w:t>by</w:t>
      </w:r>
    </w:p>
    <w:p>
      <w:pPr>
        <w:spacing w:line="268" w:lineRule="auto" w:before="8"/>
        <w:ind w:left="345" w:right="55" w:firstLine="514"/>
        <w:jc w:val="right"/>
        <w:rPr>
          <w:sz w:val="15"/>
        </w:rPr>
      </w:pPr>
      <w:r>
        <w:rPr>
          <w:color w:val="3A383A"/>
          <w:w w:val="115"/>
          <w:sz w:val="14"/>
        </w:rPr>
        <w:t>the</w:t>
      </w:r>
      <w:r>
        <w:rPr>
          <w:color w:val="3A383A"/>
          <w:spacing w:val="13"/>
          <w:w w:val="115"/>
          <w:sz w:val="14"/>
        </w:rPr>
        <w:t> </w:t>
      </w:r>
      <w:r>
        <w:rPr>
          <w:color w:val="3A383A"/>
          <w:w w:val="115"/>
          <w:sz w:val="14"/>
        </w:rPr>
        <w:t>Court.</w:t>
      </w:r>
      <w:r>
        <w:rPr>
          <w:color w:val="3A383A"/>
          <w:spacing w:val="-37"/>
          <w:w w:val="115"/>
          <w:sz w:val="14"/>
        </w:rPr>
        <w:t> </w:t>
      </w:r>
      <w:r>
        <w:rPr>
          <w:b/>
          <w:color w:val="3A383A"/>
          <w:w w:val="115"/>
          <w:sz w:val="16"/>
        </w:rPr>
        <w:t>S</w:t>
      </w:r>
      <w:r>
        <w:rPr>
          <w:b/>
          <w:color w:val="3A383A"/>
          <w:spacing w:val="1"/>
          <w:w w:val="115"/>
          <w:sz w:val="16"/>
        </w:rPr>
        <w:t> </w:t>
      </w:r>
      <w:r>
        <w:rPr>
          <w:rFonts w:ascii="Arial"/>
          <w:color w:val="3A383A"/>
          <w:w w:val="115"/>
          <w:sz w:val="13"/>
        </w:rPr>
        <w:t>Hereisrn&lt;&gt;tt</w:t>
      </w:r>
      <w:r>
        <w:rPr>
          <w:rFonts w:ascii="Arial"/>
          <w:color w:val="3A383A"/>
          <w:spacing w:val="1"/>
          <w:w w:val="115"/>
          <w:sz w:val="13"/>
        </w:rPr>
        <w:t> </w:t>
      </w:r>
      <w:r>
        <w:rPr>
          <w:color w:val="3A383A"/>
          <w:spacing w:val="-1"/>
          <w:w w:val="110"/>
          <w:sz w:val="15"/>
        </w:rPr>
        <w:t>infonnation</w:t>
      </w:r>
      <w:r>
        <w:rPr>
          <w:color w:val="3A383A"/>
          <w:spacing w:val="-7"/>
          <w:w w:val="110"/>
          <w:sz w:val="15"/>
        </w:rPr>
        <w:t> </w:t>
      </w:r>
      <w:r>
        <w:rPr>
          <w:color w:val="3A383A"/>
          <w:w w:val="110"/>
          <w:sz w:val="15"/>
        </w:rPr>
        <w:t>about</w:t>
      </w:r>
    </w:p>
    <w:p>
      <w:pPr>
        <w:spacing w:line="154" w:lineRule="exact" w:before="0"/>
        <w:ind w:left="0" w:right="80" w:firstLine="0"/>
        <w:jc w:val="right"/>
        <w:rPr>
          <w:rFonts w:ascii="Arial"/>
          <w:sz w:val="14"/>
        </w:rPr>
      </w:pPr>
      <w:r>
        <w:rPr>
          <w:b/>
          <w:color w:val="3A383A"/>
          <w:sz w:val="16"/>
        </w:rPr>
        <w:t>the</w:t>
      </w:r>
      <w:r>
        <w:rPr>
          <w:b/>
          <w:color w:val="3A383A"/>
          <w:spacing w:val="-5"/>
          <w:sz w:val="16"/>
        </w:rPr>
        <w:t> </w:t>
      </w:r>
      <w:r>
        <w:rPr>
          <w:color w:val="3A383A"/>
          <w:sz w:val="16"/>
        </w:rPr>
        <w:t>status</w:t>
      </w:r>
      <w:r>
        <w:rPr>
          <w:rFonts w:ascii="Arial"/>
          <w:color w:val="3A383A"/>
          <w:sz w:val="14"/>
        </w:rPr>
        <w:t>of</w:t>
      </w:r>
      <w:r>
        <w:rPr>
          <w:rFonts w:ascii="Arial"/>
          <w:color w:val="3A383A"/>
          <w:spacing w:val="32"/>
          <w:sz w:val="14"/>
        </w:rPr>
        <w:t> </w:t>
      </w:r>
      <w:r>
        <w:rPr>
          <w:rFonts w:ascii="Arial"/>
          <w:color w:val="3A383A"/>
          <w:sz w:val="14"/>
        </w:rPr>
        <w:t>the</w:t>
      </w:r>
    </w:p>
    <w:p>
      <w:pPr>
        <w:spacing w:before="18"/>
        <w:ind w:left="0" w:right="75" w:firstLine="0"/>
        <w:jc w:val="right"/>
        <w:rPr>
          <w:sz w:val="14"/>
        </w:rPr>
      </w:pPr>
      <w:r>
        <w:rPr>
          <w:color w:val="3A383A"/>
          <w:w w:val="105"/>
          <w:sz w:val="14"/>
        </w:rPr>
        <w:t>legal</w:t>
      </w:r>
      <w:r>
        <w:rPr>
          <w:color w:val="3A383A"/>
          <w:spacing w:val="4"/>
          <w:w w:val="105"/>
          <w:sz w:val="14"/>
        </w:rPr>
        <w:t> </w:t>
      </w:r>
      <w:r>
        <w:rPr>
          <w:color w:val="3A383A"/>
          <w:w w:val="105"/>
          <w:sz w:val="14"/>
        </w:rPr>
        <w:t>n</w:t>
      </w:r>
      <w:r>
        <w:rPr>
          <w:color w:val="525254"/>
          <w:w w:val="105"/>
          <w:sz w:val="14"/>
        </w:rPr>
        <w:t>.</w:t>
      </w:r>
      <w:r>
        <w:rPr>
          <w:color w:val="3A383A"/>
          <w:w w:val="105"/>
          <w:sz w:val="14"/>
        </w:rPr>
        <w:t>de.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34"/>
        <w:ind w:left="0" w:right="123" w:firstLine="0"/>
        <w:jc w:val="right"/>
        <w:rPr>
          <w:sz w:val="14"/>
        </w:rPr>
      </w:pPr>
      <w:r>
        <w:rPr>
          <w:rFonts w:ascii="Arial"/>
          <w:b/>
          <w:color w:val="2A2628"/>
          <w:w w:val="101"/>
          <w:sz w:val="15"/>
        </w:rPr>
        <w:t>4</w:t>
      </w:r>
      <w:r>
        <w:rPr>
          <w:rFonts w:ascii="Arial"/>
          <w:b/>
          <w:color w:val="2A2628"/>
          <w:sz w:val="15"/>
        </w:rPr>
        <w:t>  </w:t>
      </w:r>
      <w:r>
        <w:rPr>
          <w:rFonts w:ascii="Arial"/>
          <w:b/>
          <w:color w:val="2A2628"/>
          <w:spacing w:val="-8"/>
          <w:sz w:val="15"/>
        </w:rPr>
        <w:t> </w:t>
      </w:r>
      <w:r>
        <w:rPr>
          <w:color w:val="3A383A"/>
          <w:w w:val="101"/>
          <w:sz w:val="14"/>
        </w:rPr>
        <w:t>In</w:t>
      </w:r>
      <w:r>
        <w:rPr>
          <w:color w:val="3A383A"/>
          <w:sz w:val="14"/>
        </w:rPr>
        <w:t> </w:t>
      </w:r>
      <w:r>
        <w:rPr>
          <w:color w:val="3A383A"/>
          <w:spacing w:val="-13"/>
          <w:sz w:val="14"/>
        </w:rPr>
        <w:t> </w:t>
      </w:r>
      <w:r>
        <w:rPr>
          <w:color w:val="3A383A"/>
          <w:spacing w:val="-1"/>
          <w:w w:val="121"/>
          <w:sz w:val="14"/>
        </w:rPr>
        <w:t>thi</w:t>
      </w:r>
      <w:r>
        <w:rPr>
          <w:color w:val="3A383A"/>
          <w:spacing w:val="-62"/>
          <w:w w:val="121"/>
          <w:sz w:val="14"/>
        </w:rPr>
        <w:t>s</w:t>
      </w:r>
      <w:r>
        <w:rPr>
          <w:color w:val="3A383A"/>
          <w:w w:val="167"/>
          <w:sz w:val="14"/>
        </w:rPr>
        <w:t>ragraph</w:t>
      </w:r>
      <w:r>
        <w:rPr>
          <w:color w:val="525254"/>
          <w:w w:val="167"/>
          <w:sz w:val="14"/>
        </w:rPr>
        <w:t>,</w:t>
      </w:r>
    </w:p>
    <w:p>
      <w:pPr>
        <w:spacing w:line="256" w:lineRule="auto" w:before="11"/>
        <w:ind w:left="255" w:right="111" w:firstLine="459"/>
        <w:jc w:val="right"/>
        <w:rPr>
          <w:sz w:val="14"/>
        </w:rPr>
      </w:pPr>
      <w:r>
        <w:rPr>
          <w:color w:val="3A383A"/>
          <w:w w:val="115"/>
          <w:sz w:val="14"/>
        </w:rPr>
        <w:t>thew</w:t>
      </w:r>
      <w:r>
        <w:rPr>
          <w:color w:val="525254"/>
          <w:w w:val="115"/>
          <w:sz w:val="14"/>
        </w:rPr>
        <w:t>ri</w:t>
      </w:r>
      <w:r>
        <w:rPr>
          <w:color w:val="3A383A"/>
          <w:w w:val="115"/>
          <w:sz w:val="14"/>
        </w:rPr>
        <w:t>ter</w:t>
      </w:r>
      <w:r>
        <w:rPr>
          <w:color w:val="3A383A"/>
          <w:spacing w:val="7"/>
          <w:w w:val="115"/>
          <w:sz w:val="14"/>
        </w:rPr>
        <w:t> </w:t>
      </w:r>
      <w:r>
        <w:rPr>
          <w:color w:val="525254"/>
          <w:w w:val="115"/>
          <w:sz w:val="14"/>
        </w:rPr>
        <w:t>i</w:t>
      </w:r>
      <w:r>
        <w:rPr>
          <w:color w:val="3A383A"/>
          <w:w w:val="115"/>
          <w:sz w:val="14"/>
        </w:rPr>
        <w:t>s</w:t>
      </w:r>
      <w:r>
        <w:rPr>
          <w:color w:val="3A383A"/>
          <w:spacing w:val="-38"/>
          <w:w w:val="115"/>
          <w:sz w:val="14"/>
        </w:rPr>
        <w:t> </w:t>
      </w:r>
      <w:r>
        <w:rPr>
          <w:color w:val="3A383A"/>
          <w:w w:val="110"/>
          <w:sz w:val="14"/>
        </w:rPr>
        <w:t>Identifying </w:t>
      </w:r>
      <w:r>
        <w:rPr>
          <w:rFonts w:ascii="Arial"/>
          <w:color w:val="3A383A"/>
          <w:w w:val="110"/>
          <w:sz w:val="13"/>
        </w:rPr>
        <w:t>a</w:t>
      </w:r>
      <w:r>
        <w:rPr>
          <w:rFonts w:ascii="Arial"/>
          <w:color w:val="3A383A"/>
          <w:spacing w:val="1"/>
          <w:w w:val="110"/>
          <w:sz w:val="13"/>
        </w:rPr>
        <w:t> </w:t>
      </w:r>
      <w:r>
        <w:rPr>
          <w:color w:val="3A383A"/>
          <w:spacing w:val="-1"/>
          <w:w w:val="115"/>
          <w:sz w:val="15"/>
        </w:rPr>
        <w:t>second</w:t>
      </w:r>
      <w:r>
        <w:rPr>
          <w:color w:val="3A383A"/>
          <w:spacing w:val="-7"/>
          <w:w w:val="115"/>
          <w:sz w:val="15"/>
        </w:rPr>
        <w:t> </w:t>
      </w:r>
      <w:r>
        <w:rPr>
          <w:color w:val="3A383A"/>
          <w:spacing w:val="-1"/>
          <w:w w:val="115"/>
          <w:sz w:val="15"/>
        </w:rPr>
        <w:t>rule</w:t>
      </w:r>
      <w:r>
        <w:rPr>
          <w:color w:val="3A383A"/>
          <w:spacing w:val="-17"/>
          <w:w w:val="115"/>
          <w:sz w:val="15"/>
        </w:rPr>
        <w:t> </w:t>
      </w:r>
      <w:r>
        <w:rPr>
          <w:color w:val="3A383A"/>
          <w:spacing w:val="-1"/>
          <w:w w:val="115"/>
          <w:sz w:val="15"/>
        </w:rPr>
        <w:t>that</w:t>
      </w:r>
      <w:r>
        <w:rPr>
          <w:color w:val="3A383A"/>
          <w:spacing w:val="-13"/>
          <w:w w:val="115"/>
          <w:sz w:val="15"/>
        </w:rPr>
        <w:t> </w:t>
      </w:r>
      <w:r>
        <w:rPr>
          <w:color w:val="3A383A"/>
          <w:w w:val="115"/>
          <w:sz w:val="15"/>
        </w:rPr>
        <w:t>is</w:t>
      </w:r>
      <w:r>
        <w:rPr>
          <w:color w:val="3A383A"/>
          <w:spacing w:val="-40"/>
          <w:w w:val="115"/>
          <w:sz w:val="15"/>
        </w:rPr>
        <w:t> </w:t>
      </w:r>
      <w:r>
        <w:rPr>
          <w:rFonts w:ascii="Arial"/>
          <w:color w:val="3A383A"/>
          <w:w w:val="115"/>
          <w:sz w:val="14"/>
        </w:rPr>
        <w:t>at theroot of th</w:t>
      </w:r>
      <w:r>
        <w:rPr>
          <w:rFonts w:ascii="Arial"/>
          <w:color w:val="525254"/>
          <w:w w:val="115"/>
          <w:sz w:val="14"/>
        </w:rPr>
        <w:t>e</w:t>
      </w:r>
      <w:r>
        <w:rPr>
          <w:rFonts w:ascii="Arial"/>
          <w:color w:val="525254"/>
          <w:spacing w:val="1"/>
          <w:w w:val="115"/>
          <w:sz w:val="14"/>
        </w:rPr>
        <w:t> </w:t>
      </w:r>
      <w:r>
        <w:rPr>
          <w:color w:val="3A383A"/>
          <w:w w:val="110"/>
          <w:sz w:val="15"/>
        </w:rPr>
        <w:t>conttover</w:t>
      </w:r>
      <w:r>
        <w:rPr>
          <w:color w:val="525254"/>
          <w:w w:val="110"/>
          <w:sz w:val="15"/>
        </w:rPr>
        <w:t>s</w:t>
      </w:r>
      <w:r>
        <w:rPr>
          <w:color w:val="3A383A"/>
          <w:w w:val="110"/>
          <w:sz w:val="15"/>
        </w:rPr>
        <w:t>y: </w:t>
      </w:r>
      <w:r>
        <w:rPr>
          <w:rFonts w:ascii="Arial"/>
          <w:color w:val="3A383A"/>
          <w:w w:val="110"/>
          <w:sz w:val="14"/>
        </w:rPr>
        <w:t>the</w:t>
      </w:r>
      <w:r>
        <w:rPr>
          <w:rFonts w:ascii="Arial"/>
          <w:color w:val="3A383A"/>
          <w:spacing w:val="1"/>
          <w:w w:val="110"/>
          <w:sz w:val="14"/>
        </w:rPr>
        <w:t> </w:t>
      </w:r>
      <w:r>
        <w:rPr>
          <w:color w:val="3A383A"/>
          <w:spacing w:val="-1"/>
          <w:w w:val="115"/>
          <w:sz w:val="15"/>
        </w:rPr>
        <w:t>rule </w:t>
      </w:r>
      <w:r>
        <w:rPr>
          <w:color w:val="3A383A"/>
          <w:w w:val="115"/>
          <w:sz w:val="15"/>
        </w:rPr>
        <w:t>about </w:t>
      </w:r>
      <w:r>
        <w:rPr>
          <w:rFonts w:ascii="Arial"/>
          <w:color w:val="3A383A"/>
          <w:w w:val="115"/>
          <w:sz w:val="14"/>
        </w:rPr>
        <w:t>how </w:t>
      </w:r>
      <w:r>
        <w:rPr>
          <w:color w:val="3A383A"/>
          <w:w w:val="115"/>
          <w:sz w:val="15"/>
        </w:rPr>
        <w:t>to</w:t>
      </w:r>
      <w:r>
        <w:rPr>
          <w:color w:val="3A383A"/>
          <w:spacing w:val="-41"/>
          <w:w w:val="115"/>
          <w:sz w:val="15"/>
        </w:rPr>
        <w:t> </w:t>
      </w:r>
      <w:r>
        <w:rPr>
          <w:color w:val="2A2628"/>
          <w:w w:val="115"/>
          <w:sz w:val="14"/>
        </w:rPr>
        <w:t>interpret</w:t>
      </w:r>
      <w:r>
        <w:rPr>
          <w:color w:val="2A2628"/>
          <w:spacing w:val="5"/>
          <w:w w:val="115"/>
          <w:sz w:val="14"/>
        </w:rPr>
        <w:t> </w:t>
      </w:r>
      <w:r>
        <w:rPr>
          <w:color w:val="3A383A"/>
          <w:w w:val="115"/>
          <w:sz w:val="14"/>
        </w:rPr>
        <w:t>statutts</w:t>
      </w:r>
    </w:p>
    <w:p>
      <w:pPr>
        <w:spacing w:line="160" w:lineRule="exact" w:before="0"/>
        <w:ind w:left="0" w:right="177" w:firstLine="0"/>
        <w:jc w:val="right"/>
        <w:rPr>
          <w:sz w:val="14"/>
        </w:rPr>
      </w:pPr>
      <w:r>
        <w:rPr>
          <w:color w:val="3A383A"/>
          <w:w w:val="110"/>
          <w:sz w:val="16"/>
        </w:rPr>
        <w:t>that</w:t>
      </w:r>
      <w:r>
        <w:rPr>
          <w:color w:val="3A383A"/>
          <w:spacing w:val="15"/>
          <w:w w:val="110"/>
          <w:sz w:val="16"/>
        </w:rPr>
        <w:t> </w:t>
      </w:r>
      <w:r>
        <w:rPr>
          <w:color w:val="3A383A"/>
          <w:w w:val="110"/>
          <w:sz w:val="14"/>
        </w:rPr>
        <w:t>discriminate</w:t>
      </w:r>
      <w:r>
        <w:rPr>
          <w:color w:val="3A383A"/>
          <w:spacing w:val="13"/>
          <w:w w:val="110"/>
          <w:sz w:val="14"/>
        </w:rPr>
        <w:t> </w:t>
      </w:r>
      <w:r>
        <w:rPr>
          <w:color w:val="3A383A"/>
          <w:w w:val="110"/>
          <w:sz w:val="14"/>
        </w:rPr>
        <w:t>on</w:t>
      </w:r>
    </w:p>
    <w:p>
      <w:pPr>
        <w:spacing w:line="174" w:lineRule="exact" w:before="0"/>
        <w:ind w:left="125" w:right="0" w:firstLine="0"/>
        <w:jc w:val="left"/>
        <w:rPr>
          <w:rFonts w:ascii="Arial"/>
          <w:b/>
          <w:sz w:val="14"/>
        </w:rPr>
      </w:pPr>
      <w:r>
        <w:rPr>
          <w:rFonts w:ascii="Arial"/>
          <w:color w:val="3A383A"/>
          <w:w w:val="105"/>
          <w:sz w:val="15"/>
        </w:rPr>
        <w:t>tJ</w:t>
      </w:r>
      <w:r>
        <w:rPr>
          <w:rFonts w:ascii="Arial"/>
          <w:b/>
          <w:color w:val="3A383A"/>
          <w:w w:val="105"/>
          <w:sz w:val="17"/>
        </w:rPr>
        <w:t>5 </w:t>
      </w:r>
      <w:r>
        <w:rPr>
          <w:rFonts w:ascii="Arial"/>
          <w:b/>
          <w:color w:val="3A383A"/>
          <w:spacing w:val="23"/>
          <w:w w:val="105"/>
          <w:sz w:val="17"/>
        </w:rPr>
        <w:t> </w:t>
      </w:r>
      <w:r>
        <w:rPr>
          <w:rFonts w:ascii="Arial"/>
          <w:b/>
          <w:color w:val="3A383A"/>
          <w:w w:val="105"/>
          <w:sz w:val="16"/>
        </w:rPr>
        <w:t>tftllill</w:t>
      </w:r>
      <w:r>
        <w:rPr>
          <w:rFonts w:ascii="Arial"/>
          <w:b/>
          <w:color w:val="3A383A"/>
          <w:w w:val="105"/>
          <w:sz w:val="14"/>
        </w:rPr>
        <w:t>Of'lg41(</w:t>
      </w:r>
    </w:p>
    <w:p>
      <w:pPr>
        <w:spacing w:line="166" w:lineRule="exact" w:before="0"/>
        <w:ind w:left="0" w:right="169" w:firstLine="0"/>
        <w:jc w:val="right"/>
        <w:rPr>
          <w:sz w:val="15"/>
        </w:rPr>
      </w:pPr>
      <w:r>
        <w:rPr>
          <w:color w:val="525254"/>
          <w:w w:val="110"/>
          <w:sz w:val="15"/>
        </w:rPr>
        <w:t>r</w:t>
      </w:r>
      <w:r>
        <w:rPr>
          <w:color w:val="3A383A"/>
          <w:w w:val="110"/>
          <w:sz w:val="15"/>
        </w:rPr>
        <w:t>oadmap.</w:t>
      </w:r>
    </w:p>
    <w:p>
      <w:pPr>
        <w:pStyle w:val="BodyText"/>
        <w:rPr>
          <w:sz w:val="16"/>
        </w:rPr>
      </w:pPr>
    </w:p>
    <w:p>
      <w:pPr>
        <w:spacing w:before="135"/>
        <w:ind w:left="0" w:right="216" w:firstLine="0"/>
        <w:jc w:val="right"/>
        <w:rPr>
          <w:rFonts w:ascii="Arial"/>
          <w:sz w:val="14"/>
        </w:rPr>
      </w:pPr>
      <w:r>
        <w:rPr>
          <w:rFonts w:ascii="Arial"/>
          <w:b/>
          <w:color w:val="3A383A"/>
          <w:w w:val="95"/>
          <w:sz w:val="16"/>
        </w:rPr>
        <w:t>6</w:t>
      </w:r>
      <w:r>
        <w:rPr>
          <w:rFonts w:ascii="Arial"/>
          <w:b/>
          <w:color w:val="3A383A"/>
          <w:spacing w:val="65"/>
          <w:sz w:val="16"/>
        </w:rPr>
        <w:t> </w:t>
      </w:r>
      <w:r>
        <w:rPr>
          <w:b/>
          <w:color w:val="3A383A"/>
          <w:w w:val="95"/>
          <w:sz w:val="15"/>
        </w:rPr>
        <w:t>Part</w:t>
      </w:r>
      <w:r>
        <w:rPr>
          <w:b/>
          <w:color w:val="3A383A"/>
          <w:spacing w:val="-4"/>
          <w:w w:val="95"/>
          <w:sz w:val="15"/>
        </w:rPr>
        <w:t> </w:t>
      </w:r>
      <w:r>
        <w:rPr>
          <w:color w:val="3A383A"/>
          <w:w w:val="95"/>
          <w:sz w:val="15"/>
        </w:rPr>
        <w:t>two</w:t>
      </w:r>
      <w:r>
        <w:rPr>
          <w:color w:val="3A383A"/>
          <w:spacing w:val="29"/>
          <w:w w:val="95"/>
          <w:sz w:val="15"/>
        </w:rPr>
        <w:t> </w:t>
      </w:r>
      <w:r>
        <w:rPr>
          <w:rFonts w:ascii="Arial"/>
          <w:color w:val="3A383A"/>
          <w:w w:val="95"/>
          <w:sz w:val="14"/>
        </w:rPr>
        <w:t>of</w:t>
      </w:r>
      <w:r>
        <w:rPr>
          <w:rFonts w:ascii="Arial"/>
          <w:color w:val="3A383A"/>
          <w:spacing w:val="29"/>
          <w:w w:val="95"/>
          <w:sz w:val="14"/>
        </w:rPr>
        <w:t> </w:t>
      </w:r>
      <w:r>
        <w:rPr>
          <w:rFonts w:ascii="Arial"/>
          <w:color w:val="3A383A"/>
          <w:w w:val="95"/>
          <w:sz w:val="14"/>
        </w:rPr>
        <w:t>the</w:t>
      </w:r>
    </w:p>
    <w:p>
      <w:pPr>
        <w:spacing w:before="9"/>
        <w:ind w:left="0" w:right="189" w:firstLine="0"/>
        <w:jc w:val="right"/>
        <w:rPr>
          <w:sz w:val="15"/>
        </w:rPr>
      </w:pPr>
      <w:r>
        <w:rPr>
          <w:color w:val="3A383A"/>
          <w:w w:val="110"/>
          <w:sz w:val="15"/>
        </w:rPr>
        <w:t>roadmap.</w:t>
      </w:r>
    </w:p>
    <w:p>
      <w:pPr>
        <w:pStyle w:val="ListParagraph"/>
        <w:numPr>
          <w:ilvl w:val="0"/>
          <w:numId w:val="72"/>
        </w:numPr>
        <w:tabs>
          <w:tab w:pos="537" w:val="left" w:leader="none"/>
        </w:tabs>
        <w:spacing w:line="237" w:lineRule="auto" w:before="83" w:after="0"/>
        <w:ind w:left="229" w:right="409" w:firstLine="11"/>
        <w:jc w:val="both"/>
        <w:rPr>
          <w:color w:val="3A383A"/>
          <w:sz w:val="21"/>
        </w:rPr>
      </w:pPr>
      <w:r>
        <w:rPr>
          <w:color w:val="3A383A"/>
          <w:spacing w:val="-1"/>
          <w:w w:val="113"/>
          <w:sz w:val="21"/>
        </w:rPr>
        <w:br w:type="column"/>
      </w:r>
      <w:r>
        <w:rPr>
          <w:color w:val="3A383A"/>
          <w:w w:val="110"/>
          <w:sz w:val="21"/>
        </w:rPr>
        <w:t>those</w:t>
      </w:r>
      <w:r>
        <w:rPr>
          <w:color w:val="3A383A"/>
          <w:spacing w:val="-11"/>
          <w:w w:val="110"/>
          <w:sz w:val="21"/>
        </w:rPr>
        <w:t> </w:t>
      </w:r>
      <w:r>
        <w:rPr>
          <w:color w:val="3A383A"/>
          <w:w w:val="110"/>
          <w:sz w:val="21"/>
        </w:rPr>
        <w:t>whose</w:t>
      </w:r>
      <w:r>
        <w:rPr>
          <w:color w:val="3A383A"/>
          <w:spacing w:val="3"/>
          <w:w w:val="110"/>
          <w:sz w:val="21"/>
        </w:rPr>
        <w:t> </w:t>
      </w:r>
      <w:r>
        <w:rPr>
          <w:color w:val="3A383A"/>
          <w:w w:val="110"/>
          <w:sz w:val="21"/>
        </w:rPr>
        <w:t>parents</w:t>
      </w:r>
      <w:r>
        <w:rPr>
          <w:color w:val="3A383A"/>
          <w:spacing w:val="-16"/>
          <w:w w:val="110"/>
          <w:sz w:val="21"/>
        </w:rPr>
        <w:t> </w:t>
      </w:r>
      <w:r>
        <w:rPr>
          <w:color w:val="3A383A"/>
          <w:w w:val="110"/>
          <w:sz w:val="21"/>
        </w:rPr>
        <w:t>are</w:t>
      </w:r>
      <w:r>
        <w:rPr>
          <w:color w:val="3A383A"/>
          <w:spacing w:val="-11"/>
          <w:w w:val="110"/>
          <w:sz w:val="21"/>
        </w:rPr>
        <w:t> </w:t>
      </w:r>
      <w:r>
        <w:rPr>
          <w:color w:val="3A383A"/>
          <w:w w:val="110"/>
          <w:sz w:val="21"/>
        </w:rPr>
        <w:t>unmarried</w:t>
      </w:r>
      <w:r>
        <w:rPr>
          <w:color w:val="3A383A"/>
          <w:spacing w:val="2"/>
          <w:w w:val="110"/>
          <w:sz w:val="21"/>
        </w:rPr>
        <w:t> </w:t>
      </w:r>
      <w:r>
        <w:rPr>
          <w:color w:val="3A383A"/>
          <w:w w:val="110"/>
          <w:sz w:val="21"/>
        </w:rPr>
        <w:t>and</w:t>
      </w:r>
      <w:r>
        <w:rPr>
          <w:color w:val="3A383A"/>
          <w:spacing w:val="18"/>
          <w:w w:val="110"/>
          <w:sz w:val="21"/>
        </w:rPr>
        <w:t> </w:t>
      </w:r>
      <w:r>
        <w:rPr>
          <w:color w:val="3A383A"/>
          <w:w w:val="110"/>
          <w:sz w:val="21"/>
        </w:rPr>
        <w:t>who</w:t>
      </w:r>
      <w:r>
        <w:rPr>
          <w:color w:val="3A383A"/>
          <w:spacing w:val="5"/>
          <w:w w:val="110"/>
          <w:sz w:val="21"/>
        </w:rPr>
        <w:t> </w:t>
      </w:r>
      <w:r>
        <w:rPr>
          <w:color w:val="3A383A"/>
          <w:w w:val="110"/>
          <w:sz w:val="21"/>
        </w:rPr>
        <w:t>have</w:t>
      </w:r>
      <w:r>
        <w:rPr>
          <w:color w:val="3A383A"/>
          <w:spacing w:val="-18"/>
          <w:w w:val="110"/>
          <w:sz w:val="21"/>
        </w:rPr>
        <w:t> </w:t>
      </w:r>
      <w:r>
        <w:rPr>
          <w:color w:val="3A383A"/>
          <w:w w:val="110"/>
          <w:sz w:val="21"/>
        </w:rPr>
        <w:t>a</w:t>
      </w:r>
      <w:r>
        <w:rPr>
          <w:color w:val="3A383A"/>
          <w:spacing w:val="7"/>
          <w:w w:val="110"/>
          <w:sz w:val="21"/>
        </w:rPr>
        <w:t> </w:t>
      </w:r>
      <w:r>
        <w:rPr>
          <w:color w:val="3A383A"/>
          <w:w w:val="110"/>
          <w:sz w:val="21"/>
        </w:rPr>
        <w:t>United</w:t>
      </w:r>
      <w:r>
        <w:rPr>
          <w:color w:val="3A383A"/>
          <w:spacing w:val="-12"/>
          <w:w w:val="110"/>
          <w:sz w:val="21"/>
        </w:rPr>
        <w:t> </w:t>
      </w:r>
      <w:r>
        <w:rPr>
          <w:color w:val="3A383A"/>
          <w:w w:val="110"/>
          <w:sz w:val="21"/>
        </w:rPr>
        <w:t>States</w:t>
      </w:r>
      <w:r>
        <w:rPr>
          <w:color w:val="3A383A"/>
          <w:spacing w:val="-27"/>
          <w:w w:val="110"/>
          <w:sz w:val="21"/>
        </w:rPr>
        <w:t> </w:t>
      </w:r>
      <w:r>
        <w:rPr>
          <w:color w:val="3A383A"/>
          <w:w w:val="110"/>
          <w:sz w:val="21"/>
        </w:rPr>
        <w:t>citi­</w:t>
      </w:r>
      <w:r>
        <w:rPr>
          <w:color w:val="3A383A"/>
          <w:spacing w:val="-55"/>
          <w:w w:val="110"/>
          <w:sz w:val="21"/>
        </w:rPr>
        <w:t> </w:t>
      </w:r>
      <w:r>
        <w:rPr>
          <w:color w:val="3A383A"/>
          <w:w w:val="110"/>
          <w:sz w:val="21"/>
        </w:rPr>
        <w:t>zen for a father. </w:t>
      </w:r>
      <w:r>
        <w:rPr>
          <w:b/>
          <w:color w:val="3A383A"/>
          <w:w w:val="110"/>
          <w:sz w:val="17"/>
        </w:rPr>
        <w:t>1</w:t>
      </w:r>
      <w:r>
        <w:rPr>
          <w:b/>
          <w:color w:val="3A383A"/>
          <w:spacing w:val="1"/>
          <w:w w:val="110"/>
          <w:sz w:val="17"/>
        </w:rPr>
        <w:t> </w:t>
      </w:r>
      <w:r>
        <w:rPr>
          <w:color w:val="3A383A"/>
          <w:w w:val="110"/>
          <w:sz w:val="21"/>
        </w:rPr>
        <w:t>Children in the first two groups-those whose parents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are married and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those with a United States citizen mother-are United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spacing w:val="-1"/>
          <w:w w:val="110"/>
          <w:sz w:val="21"/>
        </w:rPr>
        <w:t>States </w:t>
      </w:r>
      <w:r>
        <w:rPr>
          <w:color w:val="3A383A"/>
          <w:w w:val="110"/>
          <w:sz w:val="21"/>
        </w:rPr>
        <w:t>citizens by birthright</w:t>
      </w:r>
      <w:r>
        <w:rPr>
          <w:color w:val="525254"/>
          <w:w w:val="110"/>
          <w:sz w:val="21"/>
        </w:rPr>
        <w:t>. </w:t>
      </w:r>
      <w:r>
        <w:rPr>
          <w:color w:val="3A383A"/>
          <w:w w:val="110"/>
          <w:sz w:val="21"/>
        </w:rPr>
        <w:t>See 8 U.S.C. §1401(g). Children in the </w:t>
      </w:r>
      <w:r>
        <w:rPr>
          <w:color w:val="2A2628"/>
          <w:w w:val="110"/>
          <w:sz w:val="21"/>
        </w:rPr>
        <w:t>last</w:t>
      </w:r>
      <w:r>
        <w:rPr>
          <w:color w:val="2A2628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group-those whose parents are unmarried and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who have United States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citizen fathers-may receive their fathers' citizenship only after clearing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several</w:t>
      </w:r>
      <w:r>
        <w:rPr>
          <w:color w:val="3A383A"/>
          <w:spacing w:val="-17"/>
          <w:w w:val="110"/>
          <w:sz w:val="21"/>
        </w:rPr>
        <w:t> </w:t>
      </w:r>
      <w:r>
        <w:rPr>
          <w:color w:val="3A383A"/>
          <w:w w:val="110"/>
          <w:sz w:val="21"/>
        </w:rPr>
        <w:t>statutory</w:t>
      </w:r>
      <w:r>
        <w:rPr>
          <w:color w:val="3A383A"/>
          <w:spacing w:val="-3"/>
          <w:w w:val="110"/>
          <w:sz w:val="21"/>
        </w:rPr>
        <w:t> </w:t>
      </w:r>
      <w:r>
        <w:rPr>
          <w:color w:val="3A383A"/>
          <w:w w:val="110"/>
          <w:sz w:val="21"/>
        </w:rPr>
        <w:t>hurdles.</w:t>
      </w:r>
      <w:r>
        <w:rPr>
          <w:color w:val="3A383A"/>
          <w:spacing w:val="40"/>
          <w:w w:val="110"/>
          <w:sz w:val="21"/>
        </w:rPr>
        <w:t> </w:t>
      </w:r>
      <w:r>
        <w:rPr>
          <w:rFonts w:ascii="Arial" w:hAnsi="Arial"/>
          <w:color w:val="3A383A"/>
          <w:w w:val="110"/>
          <w:sz w:val="16"/>
        </w:rPr>
        <w:t>2</w:t>
      </w:r>
    </w:p>
    <w:p>
      <w:pPr>
        <w:spacing w:line="223" w:lineRule="exact" w:before="0"/>
        <w:ind w:left="611" w:right="0" w:firstLine="0"/>
        <w:jc w:val="both"/>
        <w:rPr>
          <w:sz w:val="21"/>
        </w:rPr>
      </w:pPr>
      <w:r>
        <w:rPr>
          <w:color w:val="3A383A"/>
          <w:w w:val="110"/>
          <w:sz w:val="21"/>
        </w:rPr>
        <w:t>Even</w:t>
      </w:r>
      <w:r>
        <w:rPr>
          <w:color w:val="3A383A"/>
          <w:spacing w:val="7"/>
          <w:w w:val="110"/>
          <w:sz w:val="21"/>
        </w:rPr>
        <w:t> </w:t>
      </w:r>
      <w:r>
        <w:rPr>
          <w:color w:val="3A383A"/>
          <w:w w:val="110"/>
          <w:sz w:val="21"/>
        </w:rPr>
        <w:t>when</w:t>
      </w:r>
      <w:r>
        <w:rPr>
          <w:color w:val="3A383A"/>
          <w:spacing w:val="10"/>
          <w:w w:val="110"/>
          <w:sz w:val="21"/>
        </w:rPr>
        <w:t> </w:t>
      </w:r>
      <w:r>
        <w:rPr>
          <w:color w:val="3A383A"/>
          <w:w w:val="110"/>
          <w:sz w:val="21"/>
        </w:rPr>
        <w:t>paternity</w:t>
      </w:r>
      <w:r>
        <w:rPr>
          <w:color w:val="3A383A"/>
          <w:spacing w:val="8"/>
          <w:w w:val="110"/>
          <w:sz w:val="21"/>
        </w:rPr>
        <w:t> </w:t>
      </w:r>
      <w:r>
        <w:rPr>
          <w:color w:val="3A383A"/>
          <w:w w:val="110"/>
          <w:sz w:val="21"/>
        </w:rPr>
        <w:t>has</w:t>
      </w:r>
      <w:r>
        <w:rPr>
          <w:color w:val="3A383A"/>
          <w:spacing w:val="2"/>
          <w:w w:val="110"/>
          <w:sz w:val="21"/>
        </w:rPr>
        <w:t> </w:t>
      </w:r>
      <w:r>
        <w:rPr>
          <w:color w:val="3A383A"/>
          <w:w w:val="110"/>
          <w:sz w:val="21"/>
        </w:rPr>
        <w:t>been</w:t>
      </w:r>
      <w:r>
        <w:rPr>
          <w:color w:val="3A383A"/>
          <w:spacing w:val="2"/>
          <w:w w:val="110"/>
          <w:sz w:val="21"/>
        </w:rPr>
        <w:t> </w:t>
      </w:r>
      <w:r>
        <w:rPr>
          <w:color w:val="3A383A"/>
          <w:w w:val="110"/>
          <w:sz w:val="21"/>
        </w:rPr>
        <w:t>established</w:t>
      </w:r>
      <w:r>
        <w:rPr>
          <w:color w:val="3A383A"/>
          <w:spacing w:val="22"/>
          <w:w w:val="110"/>
          <w:sz w:val="21"/>
        </w:rPr>
        <w:t> </w:t>
      </w:r>
      <w:r>
        <w:rPr>
          <w:color w:val="3A383A"/>
          <w:w w:val="110"/>
          <w:sz w:val="21"/>
        </w:rPr>
        <w:t>by</w:t>
      </w:r>
      <w:r>
        <w:rPr>
          <w:color w:val="3A383A"/>
          <w:spacing w:val="-6"/>
          <w:w w:val="110"/>
          <w:sz w:val="21"/>
        </w:rPr>
        <w:t> </w:t>
      </w:r>
      <w:r>
        <w:rPr>
          <w:color w:val="3A383A"/>
          <w:w w:val="110"/>
          <w:sz w:val="21"/>
        </w:rPr>
        <w:t>"clear</w:t>
      </w:r>
      <w:r>
        <w:rPr>
          <w:color w:val="3A383A"/>
          <w:spacing w:val="-4"/>
          <w:w w:val="110"/>
          <w:sz w:val="21"/>
        </w:rPr>
        <w:t> </w:t>
      </w:r>
      <w:r>
        <w:rPr>
          <w:color w:val="3A383A"/>
          <w:w w:val="110"/>
          <w:sz w:val="21"/>
        </w:rPr>
        <w:t>and</w:t>
      </w:r>
      <w:r>
        <w:rPr>
          <w:color w:val="3A383A"/>
          <w:spacing w:val="23"/>
          <w:w w:val="110"/>
          <w:sz w:val="21"/>
        </w:rPr>
        <w:t> </w:t>
      </w:r>
      <w:r>
        <w:rPr>
          <w:color w:val="3A383A"/>
          <w:w w:val="110"/>
          <w:sz w:val="21"/>
        </w:rPr>
        <w:t>convincing</w:t>
      </w:r>
    </w:p>
    <w:p>
      <w:pPr>
        <w:spacing w:line="232" w:lineRule="auto" w:before="6"/>
        <w:ind w:left="222" w:right="418" w:firstLine="9"/>
        <w:jc w:val="both"/>
        <w:rPr>
          <w:b/>
          <w:sz w:val="16"/>
        </w:rPr>
      </w:pPr>
      <w:r>
        <w:rPr>
          <w:color w:val="3A383A"/>
          <w:w w:val="110"/>
          <w:sz w:val="21"/>
        </w:rPr>
        <w:t>evidence," and even assuming that the father was a United States citi­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zen at  the time of the  child's birth, a child in  this third group will still</w:t>
      </w:r>
      <w:r>
        <w:rPr>
          <w:color w:val="3A383A"/>
          <w:spacing w:val="1"/>
          <w:w w:val="110"/>
          <w:sz w:val="21"/>
        </w:rPr>
        <w:t> </w:t>
      </w:r>
      <w:r>
        <w:rPr>
          <w:rFonts w:ascii="Arial" w:hAnsi="Arial"/>
          <w:color w:val="3A383A"/>
          <w:w w:val="110"/>
          <w:sz w:val="19"/>
        </w:rPr>
        <w:t>be </w:t>
      </w:r>
      <w:r>
        <w:rPr>
          <w:color w:val="3A383A"/>
          <w:w w:val="110"/>
          <w:sz w:val="21"/>
        </w:rPr>
        <w:t>denied citizenship unless (a) the father agrees in writing to support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that child until age 18, </w:t>
      </w:r>
      <w:r>
        <w:rPr>
          <w:rFonts w:ascii="Arial" w:hAnsi="Arial"/>
          <w:i/>
          <w:color w:val="3A383A"/>
          <w:w w:val="110"/>
          <w:sz w:val="19"/>
        </w:rPr>
        <w:t>and </w:t>
      </w:r>
      <w:r>
        <w:rPr>
          <w:rFonts w:ascii="Arial" w:hAnsi="Arial"/>
          <w:color w:val="3A383A"/>
          <w:w w:val="110"/>
          <w:sz w:val="18"/>
        </w:rPr>
        <w:t>(b) </w:t>
      </w:r>
      <w:r>
        <w:rPr>
          <w:color w:val="3A383A"/>
          <w:w w:val="110"/>
          <w:sz w:val="21"/>
        </w:rPr>
        <w:t>the child is "legitimated" before </w:t>
      </w:r>
      <w:r>
        <w:rPr>
          <w:color w:val="2A2628"/>
          <w:w w:val="110"/>
          <w:sz w:val="21"/>
        </w:rPr>
        <w:t>he </w:t>
      </w:r>
      <w:r>
        <w:rPr>
          <w:color w:val="3A383A"/>
          <w:w w:val="110"/>
          <w:sz w:val="21"/>
        </w:rPr>
        <w:t>or she</w:t>
      </w:r>
      <w:r>
        <w:rPr>
          <w:color w:val="3A383A"/>
          <w:spacing w:val="-55"/>
          <w:w w:val="110"/>
          <w:sz w:val="21"/>
        </w:rPr>
        <w:t> </w:t>
      </w:r>
      <w:r>
        <w:rPr>
          <w:color w:val="3A383A"/>
          <w:w w:val="110"/>
          <w:sz w:val="21"/>
        </w:rPr>
        <w:t>reaches the age of 18, </w:t>
      </w:r>
      <w:r>
        <w:rPr>
          <w:i/>
          <w:color w:val="3A383A"/>
          <w:w w:val="110"/>
          <w:sz w:val="22"/>
        </w:rPr>
        <w:t>or </w:t>
      </w:r>
      <w:r>
        <w:rPr>
          <w:color w:val="3A383A"/>
          <w:w w:val="110"/>
          <w:sz w:val="21"/>
        </w:rPr>
        <w:t>the father acknowledges paternity before the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05"/>
          <w:sz w:val="21"/>
        </w:rPr>
        <w:t>child reaches the age of 18</w:t>
      </w:r>
      <w:r>
        <w:rPr>
          <w:color w:val="525254"/>
          <w:w w:val="105"/>
          <w:sz w:val="21"/>
        </w:rPr>
        <w:t>, </w:t>
      </w:r>
      <w:r>
        <w:rPr>
          <w:i/>
          <w:color w:val="3A383A"/>
          <w:w w:val="105"/>
          <w:sz w:val="22"/>
        </w:rPr>
        <w:t>or </w:t>
      </w:r>
      <w:r>
        <w:rPr>
          <w:color w:val="3A383A"/>
          <w:w w:val="105"/>
          <w:sz w:val="21"/>
        </w:rPr>
        <w:t>the</w:t>
      </w:r>
      <w:r>
        <w:rPr>
          <w:color w:val="3A383A"/>
          <w:spacing w:val="1"/>
          <w:w w:val="105"/>
          <w:sz w:val="21"/>
        </w:rPr>
        <w:t> </w:t>
      </w:r>
      <w:r>
        <w:rPr>
          <w:color w:val="3A383A"/>
          <w:w w:val="105"/>
          <w:sz w:val="21"/>
        </w:rPr>
        <w:t>father's paternity is established by adju­</w:t>
      </w:r>
      <w:r>
        <w:rPr>
          <w:color w:val="3A383A"/>
          <w:spacing w:val="1"/>
          <w:w w:val="105"/>
          <w:sz w:val="21"/>
        </w:rPr>
        <w:t> </w:t>
      </w:r>
      <w:r>
        <w:rPr>
          <w:color w:val="3A383A"/>
          <w:w w:val="110"/>
          <w:sz w:val="21"/>
        </w:rPr>
        <w:t>dication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before</w:t>
      </w:r>
      <w:r>
        <w:rPr>
          <w:color w:val="3A383A"/>
          <w:spacing w:val="-10"/>
          <w:w w:val="110"/>
          <w:sz w:val="21"/>
        </w:rPr>
        <w:t> </w:t>
      </w:r>
      <w:r>
        <w:rPr>
          <w:color w:val="3A383A"/>
          <w:w w:val="110"/>
          <w:sz w:val="21"/>
        </w:rPr>
        <w:t>the</w:t>
      </w:r>
      <w:r>
        <w:rPr>
          <w:color w:val="3A383A"/>
          <w:spacing w:val="16"/>
          <w:w w:val="110"/>
          <w:sz w:val="21"/>
        </w:rPr>
        <w:t> </w:t>
      </w:r>
      <w:r>
        <w:rPr>
          <w:color w:val="3A383A"/>
          <w:w w:val="110"/>
          <w:sz w:val="21"/>
        </w:rPr>
        <w:t>child</w:t>
      </w:r>
      <w:r>
        <w:rPr>
          <w:color w:val="3A383A"/>
          <w:spacing w:val="4"/>
          <w:w w:val="110"/>
          <w:sz w:val="21"/>
        </w:rPr>
        <w:t> </w:t>
      </w:r>
      <w:r>
        <w:rPr>
          <w:color w:val="3A383A"/>
          <w:w w:val="110"/>
          <w:sz w:val="21"/>
        </w:rPr>
        <w:t>reaches</w:t>
      </w:r>
      <w:r>
        <w:rPr>
          <w:color w:val="3A383A"/>
          <w:spacing w:val="-10"/>
          <w:w w:val="110"/>
          <w:sz w:val="21"/>
        </w:rPr>
        <w:t> </w:t>
      </w:r>
      <w:r>
        <w:rPr>
          <w:color w:val="3A383A"/>
          <w:w w:val="110"/>
          <w:sz w:val="21"/>
        </w:rPr>
        <w:t>the</w:t>
      </w:r>
      <w:r>
        <w:rPr>
          <w:color w:val="3A383A"/>
          <w:spacing w:val="5"/>
          <w:w w:val="110"/>
          <w:sz w:val="21"/>
        </w:rPr>
        <w:t> </w:t>
      </w:r>
      <w:r>
        <w:rPr>
          <w:color w:val="3A383A"/>
          <w:w w:val="110"/>
          <w:sz w:val="21"/>
        </w:rPr>
        <w:t>age</w:t>
      </w:r>
      <w:r>
        <w:rPr>
          <w:color w:val="3A383A"/>
          <w:spacing w:val="-8"/>
          <w:w w:val="110"/>
          <w:sz w:val="21"/>
        </w:rPr>
        <w:t> </w:t>
      </w:r>
      <w:r>
        <w:rPr>
          <w:color w:val="3A383A"/>
          <w:w w:val="110"/>
          <w:sz w:val="21"/>
        </w:rPr>
        <w:t>of 18</w:t>
      </w:r>
      <w:r>
        <w:rPr>
          <w:color w:val="525254"/>
          <w:w w:val="110"/>
          <w:sz w:val="21"/>
        </w:rPr>
        <w:t>.</w:t>
      </w:r>
      <w:r>
        <w:rPr>
          <w:color w:val="525254"/>
          <w:spacing w:val="32"/>
          <w:w w:val="110"/>
          <w:sz w:val="21"/>
        </w:rPr>
        <w:t> </w:t>
      </w:r>
      <w:r>
        <w:rPr>
          <w:b/>
          <w:color w:val="3A383A"/>
          <w:w w:val="110"/>
          <w:sz w:val="16"/>
        </w:rPr>
        <w:t>J</w:t>
      </w:r>
    </w:p>
    <w:p>
      <w:pPr>
        <w:spacing w:line="228" w:lineRule="auto" w:before="0"/>
        <w:ind w:left="199" w:right="417" w:firstLine="374"/>
        <w:jc w:val="both"/>
        <w:rPr>
          <w:sz w:val="21"/>
        </w:rPr>
      </w:pPr>
      <w:r>
        <w:rPr>
          <w:color w:val="3A383A"/>
          <w:w w:val="110"/>
          <w:sz w:val="21"/>
        </w:rPr>
        <w:t>Section 1409(a) illegally discriminates against children of United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05"/>
          <w:sz w:val="21"/>
        </w:rPr>
        <w:t>States citizens based on  the  marital status of  their parents and on  the sex</w:t>
      </w:r>
      <w:r>
        <w:rPr>
          <w:color w:val="3A383A"/>
          <w:spacing w:val="1"/>
          <w:w w:val="105"/>
          <w:sz w:val="21"/>
        </w:rPr>
        <w:t> </w:t>
      </w:r>
      <w:r>
        <w:rPr>
          <w:color w:val="3A383A"/>
          <w:w w:val="110"/>
          <w:sz w:val="21"/>
        </w:rPr>
        <w:t>of</w:t>
      </w:r>
      <w:r>
        <w:rPr>
          <w:color w:val="3A383A"/>
          <w:spacing w:val="-1"/>
          <w:w w:val="110"/>
          <w:sz w:val="21"/>
        </w:rPr>
        <w:t> </w:t>
      </w:r>
      <w:r>
        <w:rPr>
          <w:color w:val="3A383A"/>
          <w:w w:val="110"/>
          <w:sz w:val="21"/>
        </w:rPr>
        <w:t>their</w:t>
      </w:r>
      <w:r>
        <w:rPr>
          <w:color w:val="3A383A"/>
          <w:spacing w:val="-23"/>
          <w:w w:val="110"/>
          <w:sz w:val="21"/>
        </w:rPr>
        <w:t> </w:t>
      </w:r>
      <w:r>
        <w:rPr>
          <w:color w:val="3A383A"/>
          <w:w w:val="110"/>
          <w:sz w:val="21"/>
        </w:rPr>
        <w:t>citizen</w:t>
      </w:r>
      <w:r>
        <w:rPr>
          <w:color w:val="3A383A"/>
          <w:spacing w:val="7"/>
          <w:w w:val="110"/>
          <w:sz w:val="21"/>
        </w:rPr>
        <w:t> </w:t>
      </w:r>
      <w:r>
        <w:rPr>
          <w:color w:val="3A383A"/>
          <w:w w:val="110"/>
          <w:sz w:val="21"/>
        </w:rPr>
        <w:t>parent.</w:t>
      </w:r>
      <w:r>
        <w:rPr>
          <w:color w:val="3A383A"/>
          <w:spacing w:val="-3"/>
          <w:w w:val="110"/>
          <w:sz w:val="21"/>
        </w:rPr>
        <w:t> </w:t>
      </w:r>
      <w:r>
        <w:rPr>
          <w:color w:val="3A383A"/>
          <w:w w:val="110"/>
          <w:sz w:val="21"/>
        </w:rPr>
        <w:t>For</w:t>
      </w:r>
      <w:r>
        <w:rPr>
          <w:color w:val="3A383A"/>
          <w:spacing w:val="-20"/>
          <w:w w:val="110"/>
          <w:sz w:val="21"/>
        </w:rPr>
        <w:t> </w:t>
      </w:r>
      <w:r>
        <w:rPr>
          <w:color w:val="3A383A"/>
          <w:w w:val="110"/>
          <w:sz w:val="21"/>
        </w:rPr>
        <w:t>more</w:t>
      </w:r>
      <w:r>
        <w:rPr>
          <w:color w:val="3A383A"/>
          <w:spacing w:val="-7"/>
          <w:w w:val="110"/>
          <w:sz w:val="21"/>
        </w:rPr>
        <w:t> </w:t>
      </w:r>
      <w:r>
        <w:rPr>
          <w:color w:val="3A383A"/>
          <w:w w:val="110"/>
          <w:sz w:val="21"/>
        </w:rPr>
        <w:t>than</w:t>
      </w:r>
      <w:r>
        <w:rPr>
          <w:color w:val="3A383A"/>
          <w:spacing w:val="-14"/>
          <w:w w:val="110"/>
          <w:sz w:val="21"/>
        </w:rPr>
        <w:t> </w:t>
      </w:r>
      <w:r>
        <w:rPr>
          <w:color w:val="3A383A"/>
          <w:w w:val="110"/>
          <w:sz w:val="21"/>
        </w:rPr>
        <w:t>25</w:t>
      </w:r>
      <w:r>
        <w:rPr>
          <w:color w:val="3A383A"/>
          <w:spacing w:val="-23"/>
          <w:w w:val="110"/>
          <w:sz w:val="21"/>
        </w:rPr>
        <w:t> </w:t>
      </w:r>
      <w:r>
        <w:rPr>
          <w:color w:val="3A383A"/>
          <w:w w:val="110"/>
          <w:sz w:val="21"/>
        </w:rPr>
        <w:t>years,</w:t>
      </w:r>
      <w:r>
        <w:rPr>
          <w:color w:val="3A383A"/>
          <w:spacing w:val="-8"/>
          <w:w w:val="110"/>
          <w:sz w:val="21"/>
        </w:rPr>
        <w:t> </w:t>
      </w:r>
      <w:r>
        <w:rPr>
          <w:color w:val="3A383A"/>
          <w:w w:val="110"/>
          <w:sz w:val="21"/>
        </w:rPr>
        <w:t>this</w:t>
      </w:r>
      <w:r>
        <w:rPr>
          <w:color w:val="3A383A"/>
          <w:spacing w:val="-27"/>
          <w:w w:val="110"/>
          <w:sz w:val="21"/>
        </w:rPr>
        <w:t> </w:t>
      </w:r>
      <w:r>
        <w:rPr>
          <w:color w:val="3A383A"/>
          <w:w w:val="110"/>
          <w:sz w:val="21"/>
        </w:rPr>
        <w:t>Court</w:t>
      </w:r>
      <w:r>
        <w:rPr>
          <w:color w:val="3A383A"/>
          <w:spacing w:val="-4"/>
          <w:w w:val="110"/>
          <w:sz w:val="21"/>
        </w:rPr>
        <w:t> </w:t>
      </w:r>
      <w:r>
        <w:rPr>
          <w:color w:val="3A383A"/>
          <w:w w:val="110"/>
          <w:sz w:val="21"/>
        </w:rPr>
        <w:t>has</w:t>
      </w:r>
      <w:r>
        <w:rPr>
          <w:color w:val="3A383A"/>
          <w:spacing w:val="-14"/>
          <w:w w:val="110"/>
          <w:sz w:val="21"/>
        </w:rPr>
        <w:t> </w:t>
      </w:r>
      <w:r>
        <w:rPr>
          <w:color w:val="3A383A"/>
          <w:w w:val="110"/>
          <w:sz w:val="21"/>
        </w:rPr>
        <w:t>consistently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applied a heightened scrutiny to state statutes or state constitutional pro­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sz w:val="21"/>
        </w:rPr>
        <w:t>visions which have classified persons based on</w:t>
      </w:r>
      <w:r>
        <w:rPr>
          <w:color w:val="3A383A"/>
          <w:spacing w:val="1"/>
          <w:sz w:val="21"/>
        </w:rPr>
        <w:t> </w:t>
      </w:r>
      <w:r>
        <w:rPr>
          <w:color w:val="3A383A"/>
          <w:sz w:val="21"/>
        </w:rPr>
        <w:t>gender. </w:t>
      </w:r>
      <w:r>
        <w:rPr>
          <w:color w:val="3A383A"/>
          <w:sz w:val="25"/>
          <w:u w:val="thick" w:color="525254"/>
        </w:rPr>
        <w:t>See, e.g., J,E.B</w:t>
      </w:r>
      <w:r>
        <w:rPr>
          <w:color w:val="525254"/>
          <w:sz w:val="25"/>
        </w:rPr>
        <w:t>. </w:t>
      </w:r>
      <w:r>
        <w:rPr>
          <w:color w:val="3A383A"/>
          <w:sz w:val="21"/>
          <w:u w:val="thick" w:color="3A383A"/>
        </w:rPr>
        <w:t>v</w:t>
      </w:r>
      <w:r>
        <w:rPr>
          <w:color w:val="3A383A"/>
          <w:sz w:val="21"/>
        </w:rPr>
        <w:t>.</w:t>
      </w:r>
      <w:r>
        <w:rPr>
          <w:color w:val="3A383A"/>
          <w:spacing w:val="1"/>
          <w:sz w:val="21"/>
        </w:rPr>
        <w:t> </w:t>
      </w:r>
      <w:r>
        <w:rPr>
          <w:color w:val="3A383A"/>
          <w:w w:val="105"/>
          <w:sz w:val="21"/>
          <w:u w:val="thick" w:color="3A383A"/>
        </w:rPr>
        <w:t>Alabama,</w:t>
      </w:r>
      <w:r>
        <w:rPr>
          <w:color w:val="3A383A"/>
          <w:spacing w:val="14"/>
          <w:w w:val="105"/>
          <w:sz w:val="21"/>
        </w:rPr>
        <w:t> </w:t>
      </w:r>
      <w:r>
        <w:rPr>
          <w:rFonts w:ascii="Arial" w:hAnsi="Arial"/>
          <w:color w:val="3A383A"/>
          <w:w w:val="105"/>
          <w:sz w:val="20"/>
        </w:rPr>
        <w:t>511</w:t>
      </w:r>
      <w:r>
        <w:rPr>
          <w:rFonts w:ascii="Arial" w:hAnsi="Arial"/>
          <w:color w:val="3A383A"/>
          <w:spacing w:val="13"/>
          <w:w w:val="105"/>
          <w:sz w:val="20"/>
        </w:rPr>
        <w:t> </w:t>
      </w:r>
      <w:r>
        <w:rPr>
          <w:color w:val="3A383A"/>
          <w:w w:val="105"/>
          <w:sz w:val="21"/>
        </w:rPr>
        <w:t>U.S.</w:t>
      </w:r>
      <w:r>
        <w:rPr>
          <w:color w:val="3A383A"/>
          <w:spacing w:val="-3"/>
          <w:w w:val="105"/>
          <w:sz w:val="21"/>
        </w:rPr>
        <w:t> </w:t>
      </w:r>
      <w:r>
        <w:rPr>
          <w:color w:val="3A383A"/>
          <w:w w:val="105"/>
          <w:sz w:val="21"/>
        </w:rPr>
        <w:t>127,</w:t>
      </w:r>
      <w:r>
        <w:rPr>
          <w:color w:val="3A383A"/>
          <w:spacing w:val="3"/>
          <w:w w:val="105"/>
          <w:sz w:val="21"/>
        </w:rPr>
        <w:t> </w:t>
      </w:r>
      <w:r>
        <w:rPr>
          <w:color w:val="3A383A"/>
          <w:w w:val="105"/>
          <w:sz w:val="21"/>
        </w:rPr>
        <w:t>140</w:t>
      </w:r>
      <w:r>
        <w:rPr>
          <w:color w:val="3A383A"/>
          <w:spacing w:val="1"/>
          <w:w w:val="105"/>
          <w:sz w:val="21"/>
        </w:rPr>
        <w:t> </w:t>
      </w:r>
      <w:r>
        <w:rPr>
          <w:color w:val="3A383A"/>
          <w:w w:val="105"/>
          <w:sz w:val="21"/>
        </w:rPr>
        <w:t>(1994)</w:t>
      </w:r>
      <w:r>
        <w:rPr>
          <w:color w:val="3A383A"/>
          <w:spacing w:val="11"/>
          <w:w w:val="105"/>
          <w:sz w:val="21"/>
        </w:rPr>
        <w:t> </w:t>
      </w:r>
      <w:r>
        <w:rPr>
          <w:color w:val="3A383A"/>
          <w:w w:val="105"/>
          <w:sz w:val="21"/>
        </w:rPr>
        <w:t>(citing</w:t>
      </w:r>
      <w:r>
        <w:rPr>
          <w:color w:val="3A383A"/>
          <w:spacing w:val="-3"/>
          <w:w w:val="105"/>
          <w:sz w:val="21"/>
        </w:rPr>
        <w:t> </w:t>
      </w:r>
      <w:r>
        <w:rPr>
          <w:color w:val="3A383A"/>
          <w:w w:val="105"/>
          <w:sz w:val="21"/>
        </w:rPr>
        <w:t>cases).</w:t>
      </w:r>
      <w:r>
        <w:rPr>
          <w:color w:val="3A383A"/>
          <w:spacing w:val="-12"/>
          <w:w w:val="105"/>
          <w:sz w:val="21"/>
        </w:rPr>
        <w:t> </w:t>
      </w:r>
      <w:r>
        <w:rPr>
          <w:color w:val="3A383A"/>
          <w:w w:val="105"/>
          <w:sz w:val="21"/>
        </w:rPr>
        <w:t>Similarly,</w:t>
      </w:r>
      <w:r>
        <w:rPr>
          <w:color w:val="3A383A"/>
          <w:spacing w:val="24"/>
          <w:w w:val="105"/>
          <w:sz w:val="21"/>
        </w:rPr>
        <w:t> </w:t>
      </w:r>
      <w:r>
        <w:rPr>
          <w:color w:val="3A383A"/>
          <w:w w:val="105"/>
          <w:sz w:val="21"/>
        </w:rPr>
        <w:t>for</w:t>
      </w:r>
      <w:r>
        <w:rPr>
          <w:color w:val="3A383A"/>
          <w:spacing w:val="12"/>
          <w:w w:val="105"/>
          <w:sz w:val="21"/>
        </w:rPr>
        <w:t> </w:t>
      </w:r>
      <w:r>
        <w:rPr>
          <w:color w:val="3A383A"/>
          <w:w w:val="105"/>
          <w:sz w:val="21"/>
        </w:rPr>
        <w:t>almost</w:t>
      </w:r>
      <w:r>
        <w:rPr>
          <w:color w:val="3A383A"/>
          <w:spacing w:val="16"/>
          <w:w w:val="105"/>
          <w:sz w:val="21"/>
        </w:rPr>
        <w:t> </w:t>
      </w:r>
      <w:r>
        <w:rPr>
          <w:color w:val="3A383A"/>
          <w:w w:val="105"/>
          <w:sz w:val="21"/>
        </w:rPr>
        <w:t>20</w:t>
      </w:r>
    </w:p>
    <w:p>
      <w:pPr>
        <w:spacing w:line="216" w:lineRule="auto" w:before="15"/>
        <w:ind w:left="173" w:right="424" w:firstLine="26"/>
        <w:jc w:val="both"/>
        <w:rPr>
          <w:rFonts w:ascii="Arial" w:hAnsi="Arial"/>
          <w:b/>
          <w:sz w:val="15"/>
        </w:rPr>
      </w:pPr>
      <w:r>
        <w:rPr>
          <w:color w:val="3A383A"/>
          <w:w w:val="105"/>
          <w:sz w:val="21"/>
        </w:rPr>
        <w:t>years,</w:t>
      </w:r>
      <w:r>
        <w:rPr>
          <w:color w:val="3A383A"/>
          <w:spacing w:val="1"/>
          <w:w w:val="105"/>
          <w:sz w:val="21"/>
        </w:rPr>
        <w:t> </w:t>
      </w:r>
      <w:r>
        <w:rPr>
          <w:color w:val="3A383A"/>
          <w:w w:val="105"/>
          <w:sz w:val="21"/>
        </w:rPr>
        <w:t>this Court  has applied  a  </w:t>
      </w:r>
      <w:r>
        <w:rPr>
          <w:color w:val="2A2628"/>
          <w:w w:val="105"/>
          <w:sz w:val="21"/>
        </w:rPr>
        <w:t>heightened  </w:t>
      </w:r>
      <w:r>
        <w:rPr>
          <w:color w:val="3A383A"/>
          <w:w w:val="105"/>
          <w:sz w:val="21"/>
        </w:rPr>
        <w:t>scrutiny  to  those state stat­</w:t>
      </w:r>
      <w:r>
        <w:rPr>
          <w:color w:val="3A383A"/>
          <w:spacing w:val="1"/>
          <w:w w:val="105"/>
          <w:sz w:val="21"/>
        </w:rPr>
        <w:t> </w:t>
      </w:r>
      <w:r>
        <w:rPr>
          <w:color w:val="3A383A"/>
          <w:w w:val="105"/>
          <w:sz w:val="21"/>
        </w:rPr>
        <w:t>utes which have classified persons based on their "legitimacy." </w:t>
      </w:r>
      <w:r>
        <w:rPr>
          <w:color w:val="3A383A"/>
          <w:w w:val="105"/>
          <w:sz w:val="25"/>
          <w:u w:val="thick" w:color="3A383A"/>
        </w:rPr>
        <w:t>S</w:t>
      </w:r>
      <w:r>
        <w:rPr>
          <w:color w:val="525254"/>
          <w:w w:val="105"/>
          <w:sz w:val="25"/>
          <w:u w:val="thick" w:color="3A383A"/>
        </w:rPr>
        <w:t>e</w:t>
      </w:r>
      <w:r>
        <w:rPr>
          <w:color w:val="3A383A"/>
          <w:w w:val="105"/>
          <w:sz w:val="25"/>
          <w:u w:val="thick" w:color="3A383A"/>
        </w:rPr>
        <w:t>e. e</w:t>
      </w:r>
      <w:r>
        <w:rPr>
          <w:color w:val="525254"/>
          <w:w w:val="105"/>
          <w:sz w:val="25"/>
          <w:u w:val="thick" w:color="3A383A"/>
        </w:rPr>
        <w:t>.</w:t>
      </w:r>
      <w:r>
        <w:rPr>
          <w:color w:val="3A383A"/>
          <w:w w:val="105"/>
          <w:sz w:val="25"/>
          <w:u w:val="thick" w:color="3A383A"/>
        </w:rPr>
        <w:t>g.</w:t>
      </w:r>
      <w:r>
        <w:rPr>
          <w:color w:val="3A383A"/>
          <w:w w:val="105"/>
          <w:sz w:val="25"/>
        </w:rPr>
        <w:t>.</w:t>
      </w:r>
      <w:r>
        <w:rPr>
          <w:color w:val="3A383A"/>
          <w:spacing w:val="1"/>
          <w:w w:val="105"/>
          <w:sz w:val="25"/>
        </w:rPr>
        <w:t> </w:t>
      </w:r>
      <w:r>
        <w:rPr>
          <w:color w:val="3A383A"/>
          <w:sz w:val="24"/>
          <w:u w:val="thick" w:color="3A383A"/>
        </w:rPr>
        <w:t>Pickett </w:t>
      </w:r>
      <w:r>
        <w:rPr>
          <w:color w:val="3A383A"/>
          <w:sz w:val="21"/>
          <w:u w:val="thick" w:color="3A383A"/>
        </w:rPr>
        <w:t>v. Brown.</w:t>
      </w:r>
      <w:r>
        <w:rPr>
          <w:color w:val="3A383A"/>
          <w:sz w:val="21"/>
        </w:rPr>
        <w:t> 426 U</w:t>
      </w:r>
      <w:r>
        <w:rPr>
          <w:color w:val="525254"/>
          <w:sz w:val="21"/>
        </w:rPr>
        <w:t>.</w:t>
      </w:r>
      <w:r>
        <w:rPr>
          <w:color w:val="3A383A"/>
          <w:sz w:val="21"/>
        </w:rPr>
        <w:t>S. 1, 6</w:t>
      </w:r>
      <w:r>
        <w:rPr>
          <w:color w:val="525254"/>
          <w:sz w:val="21"/>
        </w:rPr>
        <w:t>-</w:t>
      </w:r>
      <w:r>
        <w:rPr>
          <w:color w:val="3A383A"/>
          <w:sz w:val="21"/>
        </w:rPr>
        <w:t>9 (1983) (citing cases)</w:t>
      </w:r>
      <w:r>
        <w:rPr>
          <w:color w:val="525254"/>
          <w:sz w:val="21"/>
        </w:rPr>
        <w:t>. </w:t>
      </w:r>
      <w:r>
        <w:rPr>
          <w:color w:val="3A383A"/>
          <w:sz w:val="21"/>
        </w:rPr>
        <w:t>In reviewing federal</w:t>
      </w:r>
      <w:r>
        <w:rPr>
          <w:color w:val="3A383A"/>
          <w:spacing w:val="1"/>
          <w:sz w:val="21"/>
        </w:rPr>
        <w:t> </w:t>
      </w:r>
      <w:r>
        <w:rPr>
          <w:color w:val="3A383A"/>
          <w:w w:val="105"/>
          <w:sz w:val="21"/>
        </w:rPr>
        <w:t>legislation, this Court</w:t>
      </w:r>
      <w:r>
        <w:rPr>
          <w:color w:val="3A383A"/>
          <w:spacing w:val="1"/>
          <w:w w:val="105"/>
          <w:sz w:val="21"/>
        </w:rPr>
        <w:t> </w:t>
      </w:r>
      <w:r>
        <w:rPr>
          <w:color w:val="3A383A"/>
          <w:w w:val="105"/>
          <w:sz w:val="21"/>
        </w:rPr>
        <w:t>has also demanded</w:t>
      </w:r>
      <w:r>
        <w:rPr>
          <w:color w:val="3A383A"/>
          <w:spacing w:val="1"/>
          <w:w w:val="105"/>
          <w:sz w:val="21"/>
        </w:rPr>
        <w:t> </w:t>
      </w:r>
      <w:r>
        <w:rPr>
          <w:color w:val="3A383A"/>
          <w:w w:val="105"/>
          <w:sz w:val="21"/>
        </w:rPr>
        <w:t>that Congress satisfy a</w:t>
      </w:r>
      <w:r>
        <w:rPr>
          <w:color w:val="3A383A"/>
          <w:spacing w:val="1"/>
          <w:w w:val="105"/>
          <w:sz w:val="21"/>
        </w:rPr>
        <w:t> </w:t>
      </w:r>
      <w:r>
        <w:rPr>
          <w:color w:val="3A383A"/>
          <w:w w:val="105"/>
          <w:sz w:val="21"/>
        </w:rPr>
        <w:t>h</w:t>
      </w:r>
      <w:r>
        <w:rPr>
          <w:color w:val="525254"/>
          <w:w w:val="105"/>
          <w:sz w:val="21"/>
        </w:rPr>
        <w:t>i</w:t>
      </w:r>
      <w:r>
        <w:rPr>
          <w:color w:val="3A383A"/>
          <w:w w:val="105"/>
          <w:sz w:val="21"/>
        </w:rPr>
        <w:t>gher</w:t>
      </w:r>
      <w:r>
        <w:rPr>
          <w:color w:val="3A383A"/>
          <w:spacing w:val="1"/>
          <w:w w:val="105"/>
          <w:sz w:val="21"/>
        </w:rPr>
        <w:t> </w:t>
      </w:r>
      <w:r>
        <w:rPr>
          <w:color w:val="3A383A"/>
          <w:w w:val="105"/>
          <w:sz w:val="21"/>
        </w:rPr>
        <w:t>standard than </w:t>
      </w:r>
      <w:r>
        <w:rPr>
          <w:color w:val="2A2628"/>
          <w:w w:val="105"/>
          <w:sz w:val="21"/>
        </w:rPr>
        <w:t>the </w:t>
      </w:r>
      <w:r>
        <w:rPr>
          <w:color w:val="3A383A"/>
          <w:w w:val="105"/>
          <w:sz w:val="21"/>
        </w:rPr>
        <w:t>traditionally deferential one</w:t>
      </w:r>
      <w:r>
        <w:rPr>
          <w:color w:val="3A383A"/>
          <w:spacing w:val="1"/>
          <w:w w:val="105"/>
          <w:sz w:val="21"/>
        </w:rPr>
        <w:t> </w:t>
      </w:r>
      <w:r>
        <w:rPr>
          <w:color w:val="3A383A"/>
          <w:w w:val="105"/>
          <w:sz w:val="21"/>
        </w:rPr>
        <w:t>for classifications based on</w:t>
      </w:r>
      <w:r>
        <w:rPr>
          <w:color w:val="3A383A"/>
          <w:spacing w:val="1"/>
          <w:w w:val="105"/>
          <w:sz w:val="21"/>
        </w:rPr>
        <w:t> </w:t>
      </w:r>
      <w:r>
        <w:rPr>
          <w:color w:val="3A383A"/>
          <w:sz w:val="21"/>
        </w:rPr>
        <w:t>either legitimacy</w:t>
      </w:r>
      <w:r>
        <w:rPr>
          <w:color w:val="525254"/>
          <w:sz w:val="21"/>
        </w:rPr>
        <w:t>,       </w:t>
      </w:r>
      <w:r>
        <w:rPr>
          <w:color w:val="3A383A"/>
          <w:sz w:val="19"/>
        </w:rPr>
        <w:t>iQ.. </w:t>
      </w:r>
      <w:r>
        <w:rPr>
          <w:color w:val="3A383A"/>
          <w:sz w:val="21"/>
        </w:rPr>
        <w:t>at</w:t>
      </w:r>
      <w:r>
        <w:rPr>
          <w:color w:val="3A383A"/>
          <w:spacing w:val="52"/>
          <w:sz w:val="21"/>
        </w:rPr>
        <w:t> </w:t>
      </w:r>
      <w:r>
        <w:rPr>
          <w:color w:val="3A383A"/>
          <w:sz w:val="21"/>
        </w:rPr>
        <w:t>8 (quoting </w:t>
      </w:r>
      <w:r>
        <w:rPr>
          <w:color w:val="3A383A"/>
          <w:sz w:val="24"/>
          <w:u w:val="thick" w:color="3A383A"/>
        </w:rPr>
        <w:t>Trimble </w:t>
      </w:r>
      <w:r>
        <w:rPr>
          <w:rFonts w:ascii="Arial" w:hAnsi="Arial"/>
          <w:color w:val="3A383A"/>
          <w:sz w:val="23"/>
          <w:u w:val="thick" w:color="3A383A"/>
        </w:rPr>
        <w:t>v. </w:t>
      </w:r>
      <w:r>
        <w:rPr>
          <w:color w:val="3A383A"/>
          <w:sz w:val="24"/>
          <w:u w:val="thick" w:color="3A383A"/>
        </w:rPr>
        <w:t>Gordon.</w:t>
      </w:r>
      <w:r>
        <w:rPr>
          <w:color w:val="3A383A"/>
          <w:sz w:val="24"/>
        </w:rPr>
        <w:t> </w:t>
      </w:r>
      <w:r>
        <w:rPr>
          <w:color w:val="3A383A"/>
          <w:sz w:val="21"/>
        </w:rPr>
        <w:t>430</w:t>
      </w:r>
      <w:r>
        <w:rPr>
          <w:color w:val="3A383A"/>
          <w:spacing w:val="53"/>
          <w:sz w:val="21"/>
        </w:rPr>
        <w:t> </w:t>
      </w:r>
      <w:r>
        <w:rPr>
          <w:color w:val="3A383A"/>
          <w:sz w:val="21"/>
        </w:rPr>
        <w:t>U</w:t>
      </w:r>
      <w:r>
        <w:rPr>
          <w:color w:val="525254"/>
          <w:sz w:val="21"/>
        </w:rPr>
        <w:t>.</w:t>
      </w:r>
      <w:r>
        <w:rPr>
          <w:color w:val="3A383A"/>
          <w:sz w:val="21"/>
        </w:rPr>
        <w:t>S. 762,</w:t>
      </w:r>
      <w:r>
        <w:rPr>
          <w:color w:val="3A383A"/>
          <w:spacing w:val="1"/>
          <w:sz w:val="21"/>
        </w:rPr>
        <w:t> </w:t>
      </w:r>
      <w:r>
        <w:rPr>
          <w:color w:val="3A383A"/>
          <w:sz w:val="21"/>
        </w:rPr>
        <w:t>767 (1977))</w:t>
      </w:r>
      <w:r>
        <w:rPr>
          <w:color w:val="525254"/>
          <w:sz w:val="21"/>
        </w:rPr>
        <w:t>, </w:t>
      </w:r>
      <w:r>
        <w:rPr>
          <w:color w:val="3A383A"/>
          <w:sz w:val="21"/>
        </w:rPr>
        <w:t>or based on gender. </w:t>
      </w:r>
      <w:r>
        <w:rPr>
          <w:color w:val="3A383A"/>
          <w:sz w:val="24"/>
          <w:u w:val="thick" w:color="3A383A"/>
        </w:rPr>
        <w:t>See. e. .. Rostker </w:t>
      </w:r>
      <w:r>
        <w:rPr>
          <w:color w:val="3A383A"/>
          <w:sz w:val="21"/>
          <w:u w:val="thick" w:color="3A383A"/>
        </w:rPr>
        <w:t>v. </w:t>
      </w:r>
      <w:r>
        <w:rPr>
          <w:color w:val="3A383A"/>
          <w:sz w:val="24"/>
          <w:u w:val="thick" w:color="3A383A"/>
        </w:rPr>
        <w:t>Goldberg.</w:t>
      </w:r>
      <w:r>
        <w:rPr>
          <w:color w:val="3A383A"/>
          <w:sz w:val="24"/>
        </w:rPr>
        <w:t> </w:t>
      </w:r>
      <w:r>
        <w:rPr>
          <w:color w:val="3A383A"/>
          <w:sz w:val="21"/>
        </w:rPr>
        <w:t>453</w:t>
      </w:r>
      <w:r>
        <w:rPr>
          <w:color w:val="3A383A"/>
          <w:spacing w:val="52"/>
          <w:sz w:val="21"/>
        </w:rPr>
        <w:t> </w:t>
      </w:r>
      <w:r>
        <w:rPr>
          <w:color w:val="3A383A"/>
          <w:sz w:val="21"/>
        </w:rPr>
        <w:t>U.S.</w:t>
      </w:r>
      <w:r>
        <w:rPr>
          <w:color w:val="3A383A"/>
          <w:spacing w:val="1"/>
          <w:sz w:val="21"/>
        </w:rPr>
        <w:t> </w:t>
      </w:r>
      <w:r>
        <w:rPr>
          <w:i/>
          <w:color w:val="3A383A"/>
          <w:w w:val="105"/>
          <w:sz w:val="22"/>
        </w:rPr>
        <w:t>57,</w:t>
      </w:r>
      <w:r>
        <w:rPr>
          <w:i/>
          <w:color w:val="3A383A"/>
          <w:spacing w:val="10"/>
          <w:w w:val="105"/>
          <w:sz w:val="22"/>
        </w:rPr>
        <w:t> </w:t>
      </w:r>
      <w:r>
        <w:rPr>
          <w:color w:val="3A383A"/>
          <w:w w:val="105"/>
          <w:sz w:val="21"/>
        </w:rPr>
        <w:t>66-70</w:t>
      </w:r>
      <w:r>
        <w:rPr>
          <w:color w:val="3A383A"/>
          <w:spacing w:val="-8"/>
          <w:w w:val="105"/>
          <w:sz w:val="21"/>
        </w:rPr>
        <w:t> </w:t>
      </w:r>
      <w:r>
        <w:rPr>
          <w:color w:val="3A383A"/>
          <w:w w:val="105"/>
          <w:sz w:val="21"/>
        </w:rPr>
        <w:t>(1981).</w:t>
      </w:r>
      <w:r>
        <w:rPr>
          <w:color w:val="3A383A"/>
          <w:spacing w:val="31"/>
          <w:w w:val="105"/>
          <w:sz w:val="21"/>
        </w:rPr>
        <w:t> </w:t>
      </w:r>
      <w:r>
        <w:rPr>
          <w:rFonts w:ascii="Arial" w:hAnsi="Arial"/>
          <w:b/>
          <w:color w:val="2A2628"/>
          <w:w w:val="105"/>
          <w:sz w:val="15"/>
        </w:rPr>
        <w:t>4</w:t>
      </w:r>
    </w:p>
    <w:p>
      <w:pPr>
        <w:spacing w:line="235" w:lineRule="auto" w:before="0"/>
        <w:ind w:left="123" w:right="428" w:firstLine="421"/>
        <w:jc w:val="both"/>
        <w:rPr>
          <w:sz w:val="21"/>
        </w:rPr>
      </w:pPr>
      <w:r>
        <w:rPr>
          <w:color w:val="3A383A"/>
          <w:w w:val="110"/>
          <w:sz w:val="21"/>
        </w:rPr>
        <w:t>Because of its questionable classifications, §1409(a) should be sub­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jected  to  a heightened  scrutiny despite the  great def</w:t>
      </w:r>
      <w:r>
        <w:rPr>
          <w:color w:val="525254"/>
          <w:w w:val="110"/>
          <w:sz w:val="21"/>
        </w:rPr>
        <w:t>e</w:t>
      </w:r>
      <w:r>
        <w:rPr>
          <w:color w:val="3A383A"/>
          <w:w w:val="110"/>
          <w:sz w:val="21"/>
        </w:rPr>
        <w:t>rence  normally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due congressional authority to enact immigration legislation</w:t>
      </w:r>
      <w:r>
        <w:rPr>
          <w:color w:val="525254"/>
          <w:w w:val="110"/>
          <w:sz w:val="21"/>
        </w:rPr>
        <w:t>. </w:t>
      </w:r>
      <w:r>
        <w:rPr>
          <w:rFonts w:ascii="Arial" w:hAnsi="Arial"/>
          <w:color w:val="2A2628"/>
          <w:w w:val="110"/>
          <w:sz w:val="19"/>
        </w:rPr>
        <w:t>s </w:t>
      </w:r>
      <w:r>
        <w:rPr>
          <w:color w:val="3A383A"/>
          <w:w w:val="110"/>
          <w:sz w:val="21"/>
        </w:rPr>
        <w:t>Section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1409(a) cannot survive this level of scrutiny because neith</w:t>
      </w:r>
      <w:r>
        <w:rPr>
          <w:color w:val="525254"/>
          <w:w w:val="110"/>
          <w:sz w:val="21"/>
        </w:rPr>
        <w:t>e</w:t>
      </w:r>
      <w:r>
        <w:rPr>
          <w:color w:val="3A383A"/>
          <w:w w:val="110"/>
          <w:sz w:val="21"/>
        </w:rPr>
        <w:t>r its gend</w:t>
      </w:r>
      <w:r>
        <w:rPr>
          <w:color w:val="525254"/>
          <w:w w:val="110"/>
          <w:sz w:val="21"/>
        </w:rPr>
        <w:t>e</w:t>
      </w:r>
      <w:r>
        <w:rPr>
          <w:color w:val="3A383A"/>
          <w:w w:val="110"/>
          <w:sz w:val="21"/>
        </w:rPr>
        <w:t>r­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05"/>
          <w:sz w:val="21"/>
        </w:rPr>
        <w:t>based classifications </w:t>
      </w:r>
      <w:r>
        <w:rPr>
          <w:rFonts w:ascii="Arial" w:hAnsi="Arial"/>
          <w:b/>
          <w:color w:val="3A383A"/>
          <w:w w:val="105"/>
          <w:sz w:val="16"/>
        </w:rPr>
        <w:t>6</w:t>
      </w:r>
      <w:r>
        <w:rPr>
          <w:rFonts w:ascii="Arial" w:hAnsi="Arial"/>
          <w:b/>
          <w:color w:val="3A383A"/>
          <w:spacing w:val="1"/>
          <w:w w:val="105"/>
          <w:sz w:val="16"/>
        </w:rPr>
        <w:t> </w:t>
      </w:r>
      <w:r>
        <w:rPr>
          <w:color w:val="3A383A"/>
          <w:w w:val="105"/>
          <w:sz w:val="21"/>
        </w:rPr>
        <w:t>nor its legitimacy classifications are supported by</w:t>
      </w:r>
      <w:r>
        <w:rPr>
          <w:color w:val="3A383A"/>
          <w:spacing w:val="1"/>
          <w:w w:val="105"/>
          <w:sz w:val="21"/>
        </w:rPr>
        <w:t> </w:t>
      </w:r>
      <w:r>
        <w:rPr>
          <w:color w:val="3A383A"/>
          <w:w w:val="105"/>
          <w:sz w:val="21"/>
        </w:rPr>
        <w:t>"exceedingly persuasive"</w:t>
      </w:r>
      <w:r>
        <w:rPr>
          <w:color w:val="3A383A"/>
          <w:spacing w:val="1"/>
          <w:w w:val="105"/>
          <w:sz w:val="21"/>
        </w:rPr>
        <w:t> </w:t>
      </w:r>
      <w:r>
        <w:rPr>
          <w:color w:val="2A2628"/>
          <w:w w:val="105"/>
          <w:sz w:val="21"/>
        </w:rPr>
        <w:t>justifications</w:t>
      </w:r>
      <w:r>
        <w:rPr>
          <w:color w:val="525254"/>
          <w:w w:val="105"/>
          <w:sz w:val="21"/>
        </w:rPr>
        <w:t>, </w:t>
      </w:r>
      <w:r>
        <w:rPr>
          <w:color w:val="3A383A"/>
          <w:w w:val="105"/>
          <w:sz w:val="21"/>
        </w:rPr>
        <w:t>nor does either classification sub­</w:t>
      </w:r>
      <w:r>
        <w:rPr>
          <w:color w:val="3A383A"/>
          <w:spacing w:val="1"/>
          <w:w w:val="105"/>
          <w:sz w:val="21"/>
        </w:rPr>
        <w:t> </w:t>
      </w:r>
      <w:r>
        <w:rPr>
          <w:color w:val="3A383A"/>
          <w:w w:val="110"/>
          <w:sz w:val="21"/>
        </w:rPr>
        <w:t>stantially</w:t>
      </w:r>
      <w:r>
        <w:rPr>
          <w:color w:val="3A383A"/>
          <w:spacing w:val="-4"/>
          <w:w w:val="110"/>
          <w:sz w:val="21"/>
        </w:rPr>
        <w:t> </w:t>
      </w:r>
      <w:r>
        <w:rPr>
          <w:color w:val="3A383A"/>
          <w:w w:val="110"/>
          <w:sz w:val="21"/>
        </w:rPr>
        <w:t>further</w:t>
      </w:r>
      <w:r>
        <w:rPr>
          <w:color w:val="3A383A"/>
          <w:spacing w:val="-6"/>
          <w:w w:val="110"/>
          <w:sz w:val="21"/>
        </w:rPr>
        <w:t> </w:t>
      </w:r>
      <w:r>
        <w:rPr>
          <w:color w:val="3A383A"/>
          <w:w w:val="110"/>
          <w:sz w:val="21"/>
        </w:rPr>
        <w:t>an</w:t>
      </w:r>
      <w:r>
        <w:rPr>
          <w:color w:val="3A383A"/>
          <w:spacing w:val="18"/>
          <w:w w:val="110"/>
          <w:sz w:val="21"/>
        </w:rPr>
        <w:t> </w:t>
      </w:r>
      <w:r>
        <w:rPr>
          <w:color w:val="3A383A"/>
          <w:w w:val="110"/>
          <w:sz w:val="21"/>
        </w:rPr>
        <w:t>important</w:t>
      </w:r>
      <w:r>
        <w:rPr>
          <w:color w:val="3A383A"/>
          <w:spacing w:val="2"/>
          <w:w w:val="110"/>
          <w:sz w:val="21"/>
        </w:rPr>
        <w:t> </w:t>
      </w:r>
      <w:r>
        <w:rPr>
          <w:color w:val="3A383A"/>
          <w:w w:val="110"/>
          <w:sz w:val="21"/>
        </w:rPr>
        <w:t>governmental</w:t>
      </w:r>
      <w:r>
        <w:rPr>
          <w:color w:val="3A383A"/>
          <w:spacing w:val="17"/>
          <w:w w:val="110"/>
          <w:sz w:val="21"/>
        </w:rPr>
        <w:t> </w:t>
      </w:r>
      <w:r>
        <w:rPr>
          <w:color w:val="3A383A"/>
          <w:w w:val="110"/>
          <w:sz w:val="21"/>
        </w:rPr>
        <w:t>interest.</w:t>
      </w:r>
    </w:p>
    <w:p>
      <w:pPr>
        <w:pStyle w:val="BodyText"/>
        <w:spacing w:line="260" w:lineRule="exact" w:before="121"/>
        <w:ind w:left="107"/>
        <w:jc w:val="both"/>
      </w:pPr>
      <w:r>
        <w:rPr>
          <w:color w:val="3A383A"/>
          <w:w w:val="110"/>
        </w:rPr>
        <w:t>This</w:t>
      </w:r>
      <w:r>
        <w:rPr>
          <w:color w:val="3A383A"/>
          <w:spacing w:val="7"/>
          <w:w w:val="110"/>
        </w:rPr>
        <w:t> </w:t>
      </w:r>
      <w:r>
        <w:rPr>
          <w:color w:val="3A383A"/>
          <w:w w:val="110"/>
        </w:rPr>
        <w:t>roadmap</w:t>
      </w:r>
      <w:r>
        <w:rPr>
          <w:color w:val="3A383A"/>
          <w:spacing w:val="30"/>
          <w:w w:val="110"/>
        </w:rPr>
        <w:t> </w:t>
      </w:r>
      <w:r>
        <w:rPr>
          <w:color w:val="3A383A"/>
          <w:w w:val="110"/>
        </w:rPr>
        <w:t>paragraph</w:t>
      </w:r>
      <w:r>
        <w:rPr>
          <w:color w:val="3A383A"/>
          <w:spacing w:val="32"/>
          <w:w w:val="110"/>
        </w:rPr>
        <w:t> </w:t>
      </w:r>
      <w:r>
        <w:rPr>
          <w:color w:val="3A383A"/>
          <w:w w:val="110"/>
        </w:rPr>
        <w:t>does</w:t>
      </w:r>
      <w:r>
        <w:rPr>
          <w:color w:val="3A383A"/>
          <w:spacing w:val="18"/>
          <w:w w:val="110"/>
        </w:rPr>
        <w:t> </w:t>
      </w:r>
      <w:r>
        <w:rPr>
          <w:color w:val="3A383A"/>
          <w:w w:val="110"/>
        </w:rPr>
        <w:t>not</w:t>
      </w:r>
      <w:r>
        <w:rPr>
          <w:color w:val="3A383A"/>
          <w:spacing w:val="46"/>
          <w:w w:val="110"/>
        </w:rPr>
        <w:t> </w:t>
      </w:r>
      <w:r>
        <w:rPr>
          <w:color w:val="3A383A"/>
          <w:w w:val="110"/>
        </w:rPr>
        <w:t>include</w:t>
      </w:r>
      <w:r>
        <w:rPr>
          <w:color w:val="3A383A"/>
          <w:spacing w:val="11"/>
          <w:w w:val="110"/>
        </w:rPr>
        <w:t> </w:t>
      </w:r>
      <w:r>
        <w:rPr>
          <w:color w:val="3A383A"/>
          <w:w w:val="110"/>
        </w:rPr>
        <w:t>enumeration</w:t>
      </w:r>
      <w:r>
        <w:rPr>
          <w:color w:val="3A383A"/>
          <w:spacing w:val="53"/>
          <w:w w:val="110"/>
        </w:rPr>
        <w:t> </w:t>
      </w:r>
      <w:r>
        <w:rPr>
          <w:color w:val="3A383A"/>
          <w:w w:val="110"/>
        </w:rPr>
        <w:t>but</w:t>
      </w:r>
      <w:r>
        <w:rPr>
          <w:color w:val="3A383A"/>
          <w:spacing w:val="27"/>
          <w:w w:val="110"/>
        </w:rPr>
        <w:t> </w:t>
      </w:r>
      <w:r>
        <w:rPr>
          <w:color w:val="3A383A"/>
          <w:w w:val="110"/>
        </w:rPr>
        <w:t>Indicates</w:t>
      </w:r>
    </w:p>
    <w:p>
      <w:pPr>
        <w:spacing w:after="0" w:line="260" w:lineRule="exact"/>
        <w:jc w:val="both"/>
        <w:sectPr>
          <w:headerReference w:type="even" r:id="rId275"/>
          <w:headerReference w:type="default" r:id="rId276"/>
          <w:pgSz w:w="9780" w:h="14020"/>
          <w:pgMar w:header="506" w:footer="0" w:top="1100" w:bottom="0" w:left="460" w:right="320"/>
          <w:pgNumType w:start="244"/>
          <w:cols w:num="2" w:equalWidth="0">
            <w:col w:w="1581" w:space="53"/>
            <w:col w:w="7366"/>
          </w:cols>
        </w:sectPr>
      </w:pPr>
    </w:p>
    <w:p>
      <w:pPr>
        <w:pStyle w:val="BodyText"/>
        <w:spacing w:line="232" w:lineRule="auto"/>
        <w:ind w:left="1331" w:right="107" w:firstLine="28"/>
        <w:jc w:val="both"/>
      </w:pPr>
      <w:r>
        <w:rPr>
          <w:color w:val="3A383A"/>
          <w:w w:val="115"/>
        </w:rPr>
        <w:t>that the writer will first address which test applies and </w:t>
      </w:r>
      <w:r>
        <w:rPr>
          <w:color w:val="2A2628"/>
          <w:w w:val="115"/>
        </w:rPr>
        <w:t>then </w:t>
      </w:r>
      <w:r>
        <w:rPr>
          <w:color w:val="3A383A"/>
          <w:w w:val="115"/>
        </w:rPr>
        <w:t>address the</w:t>
      </w:r>
      <w:r>
        <w:rPr>
          <w:color w:val="3A383A"/>
          <w:spacing w:val="-64"/>
          <w:w w:val="115"/>
        </w:rPr>
        <w:t> </w:t>
      </w:r>
      <w:r>
        <w:rPr>
          <w:color w:val="3A383A"/>
          <w:w w:val="115"/>
        </w:rPr>
        <w:t>argument that neither classification within the statute-the classification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based on gender nor the classification based on legitimacy-can survive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0"/>
        </w:rPr>
        <w:t>the test</w:t>
      </w:r>
      <w:r>
        <w:rPr>
          <w:color w:val="525254"/>
          <w:w w:val="110"/>
        </w:rPr>
        <w:t>. </w:t>
      </w:r>
      <w:r>
        <w:rPr>
          <w:color w:val="3A383A"/>
          <w:w w:val="110"/>
        </w:rPr>
        <w:t>Notice </w:t>
      </w:r>
      <w:r>
        <w:rPr>
          <w:color w:val="2A2628"/>
          <w:w w:val="110"/>
        </w:rPr>
        <w:t>how </w:t>
      </w:r>
      <w:r>
        <w:rPr>
          <w:color w:val="3A383A"/>
          <w:w w:val="110"/>
        </w:rPr>
        <w:t>the roadmap foreshadows the points made under </w:t>
      </w:r>
      <w:r>
        <w:rPr>
          <w:color w:val="3A383A"/>
          <w:w w:val="110"/>
          <w:sz w:val="21"/>
        </w:rPr>
        <w:t>the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</w:rPr>
        <w:t>three</w:t>
      </w:r>
      <w:r>
        <w:rPr>
          <w:color w:val="3A383A"/>
          <w:spacing w:val="-10"/>
          <w:w w:val="110"/>
        </w:rPr>
        <w:t> </w:t>
      </w:r>
      <w:r>
        <w:rPr>
          <w:color w:val="3A383A"/>
          <w:w w:val="110"/>
        </w:rPr>
        <w:t>subheadings</w:t>
      </w:r>
      <w:r>
        <w:rPr>
          <w:color w:val="3A383A"/>
          <w:spacing w:val="11"/>
          <w:w w:val="110"/>
        </w:rPr>
        <w:t> </w:t>
      </w:r>
      <w:r>
        <w:rPr>
          <w:color w:val="3A383A"/>
          <w:w w:val="110"/>
        </w:rPr>
        <w:t>within</w:t>
      </w:r>
      <w:r>
        <w:rPr>
          <w:color w:val="3A383A"/>
          <w:spacing w:val="9"/>
          <w:w w:val="110"/>
        </w:rPr>
        <w:t> </w:t>
      </w:r>
      <w:r>
        <w:rPr>
          <w:color w:val="3A383A"/>
          <w:w w:val="110"/>
        </w:rPr>
        <w:t>that</w:t>
      </w:r>
      <w:r>
        <w:rPr>
          <w:color w:val="3A383A"/>
          <w:spacing w:val="-5"/>
          <w:w w:val="110"/>
        </w:rPr>
        <w:t> </w:t>
      </w:r>
      <w:r>
        <w:rPr>
          <w:color w:val="3A383A"/>
          <w:w w:val="110"/>
        </w:rPr>
        <w:t>section</w:t>
      </w:r>
      <w:r>
        <w:rPr>
          <w:color w:val="3A383A"/>
          <w:spacing w:val="2"/>
          <w:w w:val="110"/>
        </w:rPr>
        <w:t> </w:t>
      </w:r>
      <w:r>
        <w:rPr>
          <w:color w:val="3A383A"/>
          <w:w w:val="110"/>
        </w:rPr>
        <w:t>of</w:t>
      </w:r>
      <w:r>
        <w:rPr>
          <w:color w:val="3A383A"/>
          <w:spacing w:val="16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38"/>
          <w:w w:val="110"/>
        </w:rPr>
        <w:t> </w:t>
      </w:r>
      <w:r>
        <w:rPr>
          <w:color w:val="3A383A"/>
          <w:w w:val="110"/>
        </w:rPr>
        <w:t>document:</w:t>
      </w:r>
    </w:p>
    <w:p>
      <w:pPr>
        <w:pStyle w:val="ListParagraph"/>
        <w:numPr>
          <w:ilvl w:val="1"/>
          <w:numId w:val="72"/>
        </w:numPr>
        <w:tabs>
          <w:tab w:pos="2264" w:val="left" w:leader="none"/>
        </w:tabs>
        <w:spacing w:line="240" w:lineRule="auto" w:before="124" w:after="0"/>
        <w:ind w:left="2253" w:right="463" w:hanging="304"/>
        <w:jc w:val="both"/>
        <w:rPr>
          <w:color w:val="3A383A"/>
          <w:sz w:val="21"/>
        </w:rPr>
      </w:pPr>
      <w:r>
        <w:rPr>
          <w:color w:val="3A383A"/>
          <w:w w:val="120"/>
          <w:sz w:val="21"/>
        </w:rPr>
        <w:t>This Court should apply a</w:t>
      </w:r>
      <w:r>
        <w:rPr>
          <w:color w:val="3A383A"/>
          <w:spacing w:val="1"/>
          <w:w w:val="120"/>
          <w:sz w:val="21"/>
        </w:rPr>
        <w:t> </w:t>
      </w:r>
      <w:r>
        <w:rPr>
          <w:color w:val="3A383A"/>
          <w:w w:val="120"/>
          <w:sz w:val="21"/>
        </w:rPr>
        <w:t>heightened scrutiny to §1409(a)</w:t>
      </w:r>
      <w:r>
        <w:rPr>
          <w:color w:val="3A383A"/>
          <w:spacing w:val="1"/>
          <w:w w:val="120"/>
          <w:sz w:val="21"/>
        </w:rPr>
        <w:t> </w:t>
      </w:r>
      <w:r>
        <w:rPr>
          <w:color w:val="3A383A"/>
          <w:w w:val="120"/>
          <w:sz w:val="21"/>
        </w:rPr>
        <w:t>consistent</w:t>
      </w:r>
      <w:r>
        <w:rPr>
          <w:color w:val="3A383A"/>
          <w:spacing w:val="1"/>
          <w:w w:val="120"/>
          <w:sz w:val="21"/>
        </w:rPr>
        <w:t> </w:t>
      </w:r>
      <w:r>
        <w:rPr>
          <w:color w:val="3A383A"/>
          <w:w w:val="120"/>
          <w:sz w:val="21"/>
        </w:rPr>
        <w:t>with</w:t>
      </w:r>
      <w:r>
        <w:rPr>
          <w:color w:val="3A383A"/>
          <w:spacing w:val="1"/>
          <w:w w:val="120"/>
          <w:sz w:val="21"/>
        </w:rPr>
        <w:t> </w:t>
      </w:r>
      <w:r>
        <w:rPr>
          <w:color w:val="3A383A"/>
          <w:w w:val="120"/>
          <w:sz w:val="21"/>
        </w:rPr>
        <w:t>the</w:t>
      </w:r>
      <w:r>
        <w:rPr>
          <w:color w:val="3A383A"/>
          <w:spacing w:val="1"/>
          <w:w w:val="120"/>
          <w:sz w:val="21"/>
        </w:rPr>
        <w:t> </w:t>
      </w:r>
      <w:r>
        <w:rPr>
          <w:color w:val="3A383A"/>
          <w:w w:val="120"/>
          <w:sz w:val="21"/>
        </w:rPr>
        <w:t>Fifth</w:t>
      </w:r>
      <w:r>
        <w:rPr>
          <w:color w:val="3A383A"/>
          <w:spacing w:val="1"/>
          <w:w w:val="120"/>
          <w:sz w:val="21"/>
        </w:rPr>
        <w:t> </w:t>
      </w:r>
      <w:r>
        <w:rPr>
          <w:color w:val="3A383A"/>
          <w:w w:val="120"/>
          <w:sz w:val="21"/>
        </w:rPr>
        <w:t>Amendment's</w:t>
      </w:r>
      <w:r>
        <w:rPr>
          <w:color w:val="3A383A"/>
          <w:spacing w:val="1"/>
          <w:w w:val="120"/>
          <w:sz w:val="21"/>
        </w:rPr>
        <w:t> </w:t>
      </w:r>
      <w:r>
        <w:rPr>
          <w:color w:val="3A383A"/>
          <w:w w:val="120"/>
          <w:sz w:val="21"/>
        </w:rPr>
        <w:t>equal</w:t>
      </w:r>
      <w:r>
        <w:rPr>
          <w:color w:val="3A383A"/>
          <w:spacing w:val="1"/>
          <w:w w:val="120"/>
          <w:sz w:val="21"/>
        </w:rPr>
        <w:t> </w:t>
      </w:r>
      <w:r>
        <w:rPr>
          <w:color w:val="3A383A"/>
          <w:w w:val="120"/>
          <w:sz w:val="21"/>
        </w:rPr>
        <w:t>protection</w:t>
      </w:r>
      <w:r>
        <w:rPr>
          <w:color w:val="3A383A"/>
          <w:spacing w:val="1"/>
          <w:w w:val="120"/>
          <w:sz w:val="21"/>
        </w:rPr>
        <w:t> </w:t>
      </w:r>
      <w:r>
        <w:rPr>
          <w:color w:val="3A383A"/>
          <w:w w:val="120"/>
          <w:sz w:val="21"/>
        </w:rPr>
        <w:t>guarantee.</w:t>
      </w:r>
    </w:p>
    <w:p>
      <w:pPr>
        <w:spacing w:after="0" w:line="240" w:lineRule="auto"/>
        <w:jc w:val="both"/>
        <w:rPr>
          <w:sz w:val="21"/>
        </w:rPr>
        <w:sectPr>
          <w:type w:val="continuous"/>
          <w:pgSz w:w="9780" w:h="14020"/>
          <w:pgMar w:header="716" w:footer="0" w:top="340" w:bottom="280" w:left="460" w:right="320"/>
        </w:sectPr>
      </w:pPr>
    </w:p>
    <w:p>
      <w:pPr>
        <w:pStyle w:val="ListParagraph"/>
        <w:numPr>
          <w:ilvl w:val="1"/>
          <w:numId w:val="72"/>
        </w:numPr>
        <w:tabs>
          <w:tab w:pos="953" w:val="left" w:leader="none"/>
        </w:tabs>
        <w:spacing w:line="240" w:lineRule="auto" w:before="81" w:after="0"/>
        <w:ind w:left="952" w:right="0" w:hanging="302"/>
        <w:jc w:val="left"/>
        <w:rPr>
          <w:rFonts w:ascii="Arial"/>
          <w:b/>
          <w:color w:val="383436"/>
          <w:sz w:val="20"/>
        </w:rPr>
      </w:pPr>
      <w:r>
        <w:rPr>
          <w:color w:val="383436"/>
          <w:w w:val="120"/>
          <w:sz w:val="21"/>
        </w:rPr>
        <w:t>Section</w:t>
      </w:r>
      <w:r>
        <w:rPr>
          <w:color w:val="383436"/>
          <w:spacing w:val="-12"/>
          <w:w w:val="120"/>
          <w:sz w:val="21"/>
        </w:rPr>
        <w:t> </w:t>
      </w:r>
      <w:r>
        <w:rPr>
          <w:color w:val="383436"/>
          <w:w w:val="120"/>
          <w:sz w:val="21"/>
        </w:rPr>
        <w:t>1409(a)</w:t>
      </w:r>
      <w:r>
        <w:rPr>
          <w:color w:val="383436"/>
          <w:spacing w:val="-4"/>
          <w:w w:val="120"/>
          <w:sz w:val="21"/>
        </w:rPr>
        <w:t> </w:t>
      </w:r>
      <w:r>
        <w:rPr>
          <w:color w:val="383436"/>
          <w:w w:val="120"/>
          <w:sz w:val="21"/>
        </w:rPr>
        <w:t>does</w:t>
      </w:r>
      <w:r>
        <w:rPr>
          <w:color w:val="383436"/>
          <w:spacing w:val="-1"/>
          <w:w w:val="120"/>
          <w:sz w:val="21"/>
        </w:rPr>
        <w:t> </w:t>
      </w:r>
      <w:r>
        <w:rPr>
          <w:color w:val="383436"/>
          <w:w w:val="120"/>
          <w:sz w:val="21"/>
        </w:rPr>
        <w:t>not</w:t>
      </w:r>
      <w:r>
        <w:rPr>
          <w:color w:val="383436"/>
          <w:spacing w:val="13"/>
          <w:w w:val="120"/>
          <w:sz w:val="21"/>
        </w:rPr>
        <w:t> </w:t>
      </w:r>
      <w:r>
        <w:rPr>
          <w:color w:val="383436"/>
          <w:w w:val="120"/>
          <w:sz w:val="21"/>
        </w:rPr>
        <w:t>survive</w:t>
      </w:r>
      <w:r>
        <w:rPr>
          <w:color w:val="383436"/>
          <w:spacing w:val="-6"/>
          <w:w w:val="120"/>
          <w:sz w:val="21"/>
        </w:rPr>
        <w:t> </w:t>
      </w:r>
      <w:r>
        <w:rPr>
          <w:color w:val="383436"/>
          <w:w w:val="120"/>
          <w:sz w:val="21"/>
        </w:rPr>
        <w:t>the</w:t>
      </w:r>
      <w:r>
        <w:rPr>
          <w:color w:val="383436"/>
          <w:spacing w:val="18"/>
          <w:w w:val="120"/>
          <w:sz w:val="21"/>
        </w:rPr>
        <w:t> </w:t>
      </w:r>
      <w:r>
        <w:rPr>
          <w:color w:val="383436"/>
          <w:w w:val="120"/>
          <w:sz w:val="21"/>
        </w:rPr>
        <w:t>heightened</w:t>
      </w:r>
      <w:r>
        <w:rPr>
          <w:color w:val="383436"/>
          <w:spacing w:val="9"/>
          <w:w w:val="120"/>
          <w:sz w:val="21"/>
        </w:rPr>
        <w:t> </w:t>
      </w:r>
      <w:r>
        <w:rPr>
          <w:color w:val="383436"/>
          <w:w w:val="120"/>
          <w:sz w:val="21"/>
        </w:rPr>
        <w:t>scrutiny that</w:t>
      </w:r>
    </w:p>
    <w:p>
      <w:pPr>
        <w:spacing w:before="9"/>
        <w:ind w:left="961" w:right="0" w:firstLine="0"/>
        <w:jc w:val="left"/>
        <w:rPr>
          <w:b/>
          <w:sz w:val="20"/>
        </w:rPr>
      </w:pPr>
      <w:r>
        <w:rPr>
          <w:b/>
          <w:color w:val="383436"/>
          <w:w w:val="115"/>
          <w:sz w:val="20"/>
        </w:rPr>
        <w:t>this</w:t>
      </w:r>
      <w:r>
        <w:rPr>
          <w:b/>
          <w:color w:val="383436"/>
          <w:spacing w:val="-31"/>
          <w:w w:val="115"/>
          <w:sz w:val="20"/>
        </w:rPr>
        <w:t> </w:t>
      </w:r>
      <w:r>
        <w:rPr>
          <w:b/>
          <w:color w:val="383436"/>
          <w:w w:val="115"/>
          <w:sz w:val="20"/>
        </w:rPr>
        <w:t>Court</w:t>
      </w:r>
      <w:r>
        <w:rPr>
          <w:b/>
          <w:color w:val="383436"/>
          <w:spacing w:val="-16"/>
          <w:w w:val="115"/>
          <w:sz w:val="20"/>
        </w:rPr>
        <w:t> </w:t>
      </w:r>
      <w:r>
        <w:rPr>
          <w:b/>
          <w:color w:val="383436"/>
          <w:w w:val="115"/>
          <w:sz w:val="20"/>
        </w:rPr>
        <w:t>has</w:t>
      </w:r>
      <w:r>
        <w:rPr>
          <w:b/>
          <w:color w:val="383436"/>
          <w:spacing w:val="-8"/>
          <w:w w:val="115"/>
          <w:sz w:val="20"/>
        </w:rPr>
        <w:t> </w:t>
      </w:r>
      <w:r>
        <w:rPr>
          <w:b/>
          <w:color w:val="383436"/>
          <w:w w:val="115"/>
          <w:sz w:val="20"/>
        </w:rPr>
        <w:t>applied</w:t>
      </w:r>
      <w:r>
        <w:rPr>
          <w:b/>
          <w:color w:val="383436"/>
          <w:spacing w:val="-13"/>
          <w:w w:val="115"/>
          <w:sz w:val="20"/>
        </w:rPr>
        <w:t> </w:t>
      </w:r>
      <w:r>
        <w:rPr>
          <w:b/>
          <w:color w:val="383436"/>
          <w:w w:val="115"/>
          <w:sz w:val="20"/>
        </w:rPr>
        <w:t>to</w:t>
      </w:r>
      <w:r>
        <w:rPr>
          <w:b/>
          <w:color w:val="383436"/>
          <w:spacing w:val="18"/>
          <w:w w:val="115"/>
          <w:sz w:val="20"/>
        </w:rPr>
        <w:t> </w:t>
      </w:r>
      <w:r>
        <w:rPr>
          <w:b/>
          <w:color w:val="383436"/>
          <w:w w:val="115"/>
          <w:sz w:val="20"/>
        </w:rPr>
        <w:t>gender-based</w:t>
      </w:r>
      <w:r>
        <w:rPr>
          <w:b/>
          <w:color w:val="383436"/>
          <w:spacing w:val="-11"/>
          <w:w w:val="115"/>
          <w:sz w:val="20"/>
        </w:rPr>
        <w:t> </w:t>
      </w:r>
      <w:r>
        <w:rPr>
          <w:b/>
          <w:color w:val="383436"/>
          <w:w w:val="115"/>
          <w:sz w:val="20"/>
        </w:rPr>
        <w:t>classifications.</w:t>
      </w:r>
    </w:p>
    <w:p>
      <w:pPr>
        <w:pStyle w:val="ListParagraph"/>
        <w:numPr>
          <w:ilvl w:val="1"/>
          <w:numId w:val="72"/>
        </w:numPr>
        <w:tabs>
          <w:tab w:pos="955" w:val="left" w:leader="none"/>
        </w:tabs>
        <w:spacing w:line="252" w:lineRule="auto" w:before="126" w:after="0"/>
        <w:ind w:left="971" w:right="868" w:hanging="313"/>
        <w:jc w:val="left"/>
        <w:rPr>
          <w:b/>
          <w:color w:val="383436"/>
          <w:sz w:val="20"/>
        </w:rPr>
      </w:pPr>
      <w:r>
        <w:rPr>
          <w:b/>
          <w:color w:val="383436"/>
          <w:spacing w:val="-1"/>
          <w:w w:val="120"/>
          <w:sz w:val="20"/>
        </w:rPr>
        <w:t>Section</w:t>
      </w:r>
      <w:r>
        <w:rPr>
          <w:b/>
          <w:color w:val="383436"/>
          <w:spacing w:val="2"/>
          <w:w w:val="120"/>
          <w:sz w:val="20"/>
        </w:rPr>
        <w:t> </w:t>
      </w:r>
      <w:r>
        <w:rPr>
          <w:b/>
          <w:color w:val="383436"/>
          <w:spacing w:val="-1"/>
          <w:w w:val="120"/>
          <w:sz w:val="20"/>
        </w:rPr>
        <w:t>1409(a)</w:t>
      </w:r>
      <w:r>
        <w:rPr>
          <w:b/>
          <w:color w:val="383436"/>
          <w:spacing w:val="-5"/>
          <w:w w:val="120"/>
          <w:sz w:val="20"/>
        </w:rPr>
        <w:t> </w:t>
      </w:r>
      <w:r>
        <w:rPr>
          <w:b/>
          <w:color w:val="383436"/>
          <w:spacing w:val="-1"/>
          <w:w w:val="120"/>
          <w:sz w:val="20"/>
        </w:rPr>
        <w:t>does</w:t>
      </w:r>
      <w:r>
        <w:rPr>
          <w:b/>
          <w:color w:val="383436"/>
          <w:spacing w:val="-13"/>
          <w:w w:val="120"/>
          <w:sz w:val="20"/>
        </w:rPr>
        <w:t> </w:t>
      </w:r>
      <w:r>
        <w:rPr>
          <w:b/>
          <w:color w:val="383436"/>
          <w:spacing w:val="-1"/>
          <w:w w:val="120"/>
          <w:sz w:val="20"/>
        </w:rPr>
        <w:t>not</w:t>
      </w:r>
      <w:r>
        <w:rPr>
          <w:b/>
          <w:color w:val="383436"/>
          <w:spacing w:val="12"/>
          <w:w w:val="120"/>
          <w:sz w:val="20"/>
        </w:rPr>
        <w:t> </w:t>
      </w:r>
      <w:r>
        <w:rPr>
          <w:b/>
          <w:color w:val="383436"/>
          <w:spacing w:val="-1"/>
          <w:w w:val="120"/>
          <w:sz w:val="20"/>
        </w:rPr>
        <w:t>survive</w:t>
      </w:r>
      <w:r>
        <w:rPr>
          <w:b/>
          <w:color w:val="383436"/>
          <w:spacing w:val="-4"/>
          <w:w w:val="120"/>
          <w:sz w:val="20"/>
        </w:rPr>
        <w:t> </w:t>
      </w:r>
      <w:r>
        <w:rPr>
          <w:b/>
          <w:color w:val="383436"/>
          <w:w w:val="120"/>
          <w:sz w:val="20"/>
        </w:rPr>
        <w:t>the</w:t>
      </w:r>
      <w:r>
        <w:rPr>
          <w:b/>
          <w:color w:val="383436"/>
          <w:spacing w:val="16"/>
          <w:w w:val="120"/>
          <w:sz w:val="20"/>
        </w:rPr>
        <w:t> </w:t>
      </w:r>
      <w:r>
        <w:rPr>
          <w:b/>
          <w:color w:val="383436"/>
          <w:w w:val="120"/>
          <w:sz w:val="20"/>
        </w:rPr>
        <w:t>heightened</w:t>
      </w:r>
      <w:r>
        <w:rPr>
          <w:b/>
          <w:color w:val="383436"/>
          <w:spacing w:val="-3"/>
          <w:w w:val="120"/>
          <w:sz w:val="20"/>
        </w:rPr>
        <w:t> </w:t>
      </w:r>
      <w:r>
        <w:rPr>
          <w:b/>
          <w:color w:val="383436"/>
          <w:w w:val="120"/>
          <w:sz w:val="20"/>
        </w:rPr>
        <w:t>scrutiny</w:t>
      </w:r>
      <w:r>
        <w:rPr>
          <w:b/>
          <w:color w:val="383436"/>
          <w:spacing w:val="-1"/>
          <w:w w:val="120"/>
          <w:sz w:val="20"/>
        </w:rPr>
        <w:t> </w:t>
      </w:r>
      <w:r>
        <w:rPr>
          <w:b/>
          <w:color w:val="383436"/>
          <w:w w:val="120"/>
          <w:sz w:val="20"/>
        </w:rPr>
        <w:t>that</w:t>
      </w:r>
      <w:r>
        <w:rPr>
          <w:b/>
          <w:color w:val="383436"/>
          <w:spacing w:val="-57"/>
          <w:w w:val="120"/>
          <w:sz w:val="20"/>
        </w:rPr>
        <w:t> </w:t>
      </w:r>
      <w:r>
        <w:rPr>
          <w:b/>
          <w:color w:val="383436"/>
          <w:w w:val="115"/>
          <w:sz w:val="20"/>
        </w:rPr>
        <w:t>this</w:t>
      </w:r>
      <w:r>
        <w:rPr>
          <w:b/>
          <w:color w:val="383436"/>
          <w:spacing w:val="-22"/>
          <w:w w:val="115"/>
          <w:sz w:val="20"/>
        </w:rPr>
        <w:t> </w:t>
      </w:r>
      <w:r>
        <w:rPr>
          <w:b/>
          <w:color w:val="383436"/>
          <w:w w:val="115"/>
          <w:sz w:val="20"/>
        </w:rPr>
        <w:t>Court</w:t>
      </w:r>
      <w:r>
        <w:rPr>
          <w:b/>
          <w:color w:val="383436"/>
          <w:spacing w:val="-17"/>
          <w:w w:val="115"/>
          <w:sz w:val="20"/>
        </w:rPr>
        <w:t> </w:t>
      </w:r>
      <w:r>
        <w:rPr>
          <w:b/>
          <w:color w:val="383436"/>
          <w:w w:val="115"/>
          <w:sz w:val="20"/>
        </w:rPr>
        <w:t>has</w:t>
      </w:r>
      <w:r>
        <w:rPr>
          <w:b/>
          <w:color w:val="383436"/>
          <w:spacing w:val="-10"/>
          <w:w w:val="115"/>
          <w:sz w:val="20"/>
        </w:rPr>
        <w:t> </w:t>
      </w:r>
      <w:r>
        <w:rPr>
          <w:b/>
          <w:color w:val="383436"/>
          <w:w w:val="115"/>
          <w:sz w:val="20"/>
        </w:rPr>
        <w:t>applied</w:t>
      </w:r>
      <w:r>
        <w:rPr>
          <w:b/>
          <w:color w:val="383436"/>
          <w:spacing w:val="-4"/>
          <w:w w:val="115"/>
          <w:sz w:val="20"/>
        </w:rPr>
        <w:t> </w:t>
      </w:r>
      <w:r>
        <w:rPr>
          <w:b/>
          <w:color w:val="383436"/>
          <w:w w:val="115"/>
          <w:sz w:val="20"/>
        </w:rPr>
        <w:t>to</w:t>
      </w:r>
      <w:r>
        <w:rPr>
          <w:b/>
          <w:color w:val="383436"/>
          <w:spacing w:val="9"/>
          <w:w w:val="115"/>
          <w:sz w:val="20"/>
        </w:rPr>
        <w:t> </w:t>
      </w:r>
      <w:r>
        <w:rPr>
          <w:b/>
          <w:color w:val="383436"/>
          <w:w w:val="115"/>
          <w:sz w:val="20"/>
        </w:rPr>
        <w:t>legitimacy-based</w:t>
      </w:r>
      <w:r>
        <w:rPr>
          <w:b/>
          <w:color w:val="383436"/>
          <w:spacing w:val="-15"/>
          <w:w w:val="115"/>
          <w:sz w:val="20"/>
        </w:rPr>
        <w:t> </w:t>
      </w:r>
      <w:r>
        <w:rPr>
          <w:b/>
          <w:color w:val="383436"/>
          <w:w w:val="115"/>
          <w:sz w:val="20"/>
        </w:rPr>
        <w:t>classifications.</w:t>
      </w:r>
    </w:p>
    <w:p>
      <w:pPr>
        <w:pStyle w:val="BodyText"/>
        <w:spacing w:line="232" w:lineRule="auto" w:before="131"/>
        <w:ind w:left="105" w:right="432" w:firstLine="315"/>
        <w:jc w:val="both"/>
      </w:pPr>
      <w:r>
        <w:rPr>
          <w:color w:val="383436"/>
          <w:w w:val="115"/>
        </w:rPr>
        <w:t>Some writers provide a roadmap to the entire argument within the</w:t>
      </w:r>
      <w:r>
        <w:rPr>
          <w:color w:val="383436"/>
          <w:spacing w:val="1"/>
          <w:w w:val="115"/>
        </w:rPr>
        <w:t> </w:t>
      </w:r>
      <w:r>
        <w:rPr>
          <w:color w:val="383436"/>
          <w:w w:val="115"/>
        </w:rPr>
        <w:t>summary of the argument. They then provide mini-roadmaps-as the</w:t>
      </w:r>
      <w:r>
        <w:rPr>
          <w:color w:val="383436"/>
          <w:spacing w:val="1"/>
          <w:w w:val="115"/>
        </w:rPr>
        <w:t> </w:t>
      </w:r>
      <w:r>
        <w:rPr>
          <w:color w:val="383436"/>
          <w:w w:val="110"/>
        </w:rPr>
        <w:t>writer in the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previous example has done-to each complex section of the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document (i.e., each section of the document that has further subparts)</w:t>
      </w:r>
      <w:r>
        <w:rPr>
          <w:color w:val="525254"/>
          <w:w w:val="110"/>
        </w:rPr>
        <w:t>.</w:t>
      </w:r>
      <w:r>
        <w:rPr>
          <w:color w:val="525254"/>
          <w:spacing w:val="1"/>
          <w:w w:val="110"/>
        </w:rPr>
        <w:t> </w:t>
      </w:r>
      <w:r>
        <w:rPr>
          <w:color w:val="383436"/>
          <w:w w:val="115"/>
        </w:rPr>
        <w:t>The structure of the headings </w:t>
      </w:r>
      <w:r>
        <w:rPr>
          <w:color w:val="383436"/>
          <w:w w:val="115"/>
          <w:sz w:val="22"/>
        </w:rPr>
        <w:t>will </w:t>
      </w:r>
      <w:r>
        <w:rPr>
          <w:color w:val="383436"/>
          <w:w w:val="115"/>
        </w:rPr>
        <w:t>dictate the structure of the roadmap</w:t>
      </w:r>
      <w:r>
        <w:rPr>
          <w:color w:val="383436"/>
          <w:spacing w:val="1"/>
          <w:w w:val="115"/>
        </w:rPr>
        <w:t> </w:t>
      </w:r>
      <w:r>
        <w:rPr>
          <w:color w:val="383436"/>
          <w:w w:val="110"/>
        </w:rPr>
        <w:t>paragraphs. </w:t>
      </w:r>
      <w:r>
        <w:rPr>
          <w:rFonts w:ascii="Arial" w:hAnsi="Arial"/>
          <w:color w:val="383436"/>
          <w:w w:val="110"/>
          <w:sz w:val="21"/>
        </w:rPr>
        <w:t>If</w:t>
      </w:r>
      <w:r>
        <w:rPr>
          <w:rFonts w:ascii="Arial" w:hAnsi="Arial"/>
          <w:color w:val="383436"/>
          <w:spacing w:val="1"/>
          <w:w w:val="110"/>
          <w:sz w:val="21"/>
        </w:rPr>
        <w:t> </w:t>
      </w:r>
      <w:r>
        <w:rPr>
          <w:color w:val="383436"/>
          <w:w w:val="110"/>
        </w:rPr>
        <w:t>there are two main headings, there should be two points in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the overall roadmap. </w:t>
      </w:r>
      <w:r>
        <w:rPr>
          <w:rFonts w:ascii="Arial" w:hAnsi="Arial"/>
          <w:color w:val="383436"/>
          <w:w w:val="110"/>
          <w:sz w:val="21"/>
        </w:rPr>
        <w:t>If </w:t>
      </w:r>
      <w:r>
        <w:rPr>
          <w:color w:val="383436"/>
          <w:w w:val="110"/>
        </w:rPr>
        <w:t>a main heading section contains three subsections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5"/>
        </w:rPr>
        <w:t>with subheadings, then the mini-roadmap that introduces that section</w:t>
      </w:r>
      <w:r>
        <w:rPr>
          <w:color w:val="383436"/>
          <w:spacing w:val="1"/>
          <w:w w:val="115"/>
        </w:rPr>
        <w:t> </w:t>
      </w:r>
      <w:r>
        <w:rPr>
          <w:color w:val="383436"/>
          <w:w w:val="110"/>
        </w:rPr>
        <w:t>should have three points. Do not provide too much detail </w:t>
      </w:r>
      <w:r>
        <w:rPr>
          <w:color w:val="383436"/>
          <w:w w:val="110"/>
          <w:sz w:val="21"/>
        </w:rPr>
        <w:t>in </w:t>
      </w:r>
      <w:r>
        <w:rPr>
          <w:color w:val="383436"/>
          <w:w w:val="110"/>
        </w:rPr>
        <w:t>a roadmap</w:t>
      </w:r>
      <w:r>
        <w:rPr>
          <w:color w:val="525254"/>
          <w:w w:val="110"/>
        </w:rPr>
        <w:t>.</w:t>
      </w:r>
      <w:r>
        <w:rPr>
          <w:color w:val="525254"/>
          <w:spacing w:val="1"/>
          <w:w w:val="110"/>
        </w:rPr>
        <w:t> </w:t>
      </w:r>
      <w:r>
        <w:rPr>
          <w:color w:val="383436"/>
          <w:w w:val="110"/>
        </w:rPr>
        <w:t>For </w:t>
      </w:r>
      <w:r>
        <w:rPr>
          <w:color w:val="383436"/>
          <w:w w:val="115"/>
        </w:rPr>
        <w:t>example, if your main roadmap lays out the elements of duty and</w:t>
      </w:r>
      <w:r>
        <w:rPr>
          <w:color w:val="383436"/>
          <w:spacing w:val="1"/>
          <w:w w:val="115"/>
        </w:rPr>
        <w:t> </w:t>
      </w:r>
      <w:r>
        <w:rPr>
          <w:color w:val="383436"/>
          <w:spacing w:val="-1"/>
          <w:w w:val="110"/>
        </w:rPr>
        <w:t>causation, do not include subparts of the causation issue in </w:t>
      </w:r>
      <w:r>
        <w:rPr>
          <w:color w:val="383436"/>
          <w:w w:val="110"/>
        </w:rPr>
        <w:t>the main road­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5"/>
        </w:rPr>
        <w:t>map; they are properly included in the mini-roadmap to the causation</w:t>
      </w:r>
      <w:r>
        <w:rPr>
          <w:color w:val="383436"/>
          <w:spacing w:val="1"/>
          <w:w w:val="115"/>
        </w:rPr>
        <w:t> </w:t>
      </w:r>
      <w:r>
        <w:rPr>
          <w:color w:val="383436"/>
          <w:w w:val="115"/>
        </w:rPr>
        <w:t>section.</w:t>
      </w:r>
    </w:p>
    <w:p>
      <w:pPr>
        <w:pStyle w:val="BodyText"/>
        <w:spacing w:line="235" w:lineRule="auto"/>
        <w:ind w:left="129" w:right="408" w:firstLine="332"/>
        <w:jc w:val="both"/>
      </w:pPr>
      <w:r>
        <w:rPr>
          <w:color w:val="383436"/>
          <w:w w:val="110"/>
        </w:rPr>
        <w:t>Although the writer in the example above chose not to use enumera­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tion </w:t>
      </w:r>
      <w:r>
        <w:rPr>
          <w:color w:val="525254"/>
          <w:w w:val="110"/>
        </w:rPr>
        <w:t>(</w:t>
      </w:r>
      <w:r>
        <w:rPr>
          <w:color w:val="383436"/>
          <w:w w:val="110"/>
        </w:rPr>
        <w:t>perhaps because there had been several other sentences with enu­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meration in the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backstory), enumeration almost always makes roadmap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paragraphs more effective. The user's eye is drawn to numbers on a page,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and it is easy for the  reader to see how the  points relate to each other</w:t>
      </w:r>
      <w:r>
        <w:rPr>
          <w:color w:val="525254"/>
          <w:w w:val="110"/>
        </w:rPr>
        <w:t>.</w:t>
      </w:r>
      <w:r>
        <w:rPr>
          <w:color w:val="525254"/>
          <w:spacing w:val="1"/>
          <w:w w:val="110"/>
        </w:rPr>
        <w:t> </w:t>
      </w:r>
      <w:r>
        <w:rPr>
          <w:color w:val="383436"/>
          <w:w w:val="110"/>
        </w:rPr>
        <w:t>The previous roadmap paragraph could be enumerated with a few simple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changes:</w:t>
      </w:r>
    </w:p>
    <w:p>
      <w:pPr>
        <w:spacing w:before="120"/>
        <w:ind w:left="466" w:right="0" w:firstLine="0"/>
        <w:jc w:val="both"/>
        <w:rPr>
          <w:b/>
          <w:sz w:val="20"/>
        </w:rPr>
      </w:pPr>
      <w:r>
        <w:rPr>
          <w:b/>
          <w:color w:val="383436"/>
          <w:w w:val="115"/>
          <w:sz w:val="20"/>
        </w:rPr>
        <w:t>This</w:t>
      </w:r>
      <w:r>
        <w:rPr>
          <w:b/>
          <w:color w:val="383436"/>
          <w:spacing w:val="50"/>
          <w:w w:val="115"/>
          <w:sz w:val="20"/>
        </w:rPr>
        <w:t> </w:t>
      </w:r>
      <w:r>
        <w:rPr>
          <w:b/>
          <w:color w:val="383436"/>
          <w:w w:val="115"/>
          <w:sz w:val="20"/>
        </w:rPr>
        <w:t>Court</w:t>
      </w:r>
      <w:r>
        <w:rPr>
          <w:b/>
          <w:color w:val="383436"/>
          <w:spacing w:val="5"/>
          <w:w w:val="115"/>
          <w:sz w:val="20"/>
        </w:rPr>
        <w:t> </w:t>
      </w:r>
      <w:r>
        <w:rPr>
          <w:b/>
          <w:color w:val="383436"/>
          <w:w w:val="115"/>
          <w:sz w:val="20"/>
        </w:rPr>
        <w:t>should </w:t>
      </w:r>
      <w:r>
        <w:rPr>
          <w:b/>
          <w:color w:val="383436"/>
          <w:spacing w:val="2"/>
          <w:w w:val="115"/>
          <w:sz w:val="20"/>
        </w:rPr>
        <w:t> </w:t>
      </w:r>
      <w:r>
        <w:rPr>
          <w:b/>
          <w:color w:val="383436"/>
          <w:w w:val="115"/>
          <w:sz w:val="20"/>
        </w:rPr>
        <w:t>reverse </w:t>
      </w:r>
      <w:r>
        <w:rPr>
          <w:b/>
          <w:color w:val="383436"/>
          <w:spacing w:val="8"/>
          <w:w w:val="115"/>
          <w:sz w:val="20"/>
        </w:rPr>
        <w:t> </w:t>
      </w:r>
      <w:r>
        <w:rPr>
          <w:b/>
          <w:color w:val="383436"/>
          <w:w w:val="115"/>
          <w:sz w:val="20"/>
        </w:rPr>
        <w:t>the </w:t>
      </w:r>
      <w:r>
        <w:rPr>
          <w:b/>
          <w:color w:val="383436"/>
          <w:spacing w:val="37"/>
          <w:w w:val="115"/>
          <w:sz w:val="20"/>
        </w:rPr>
        <w:t> </w:t>
      </w:r>
      <w:r>
        <w:rPr>
          <w:b/>
          <w:color w:val="383436"/>
          <w:w w:val="115"/>
          <w:sz w:val="20"/>
        </w:rPr>
        <w:t>decision </w:t>
      </w:r>
      <w:r>
        <w:rPr>
          <w:b/>
          <w:color w:val="383436"/>
          <w:spacing w:val="4"/>
          <w:w w:val="115"/>
          <w:sz w:val="20"/>
        </w:rPr>
        <w:t> </w:t>
      </w:r>
      <w:r>
        <w:rPr>
          <w:b/>
          <w:color w:val="383436"/>
          <w:w w:val="115"/>
          <w:sz w:val="20"/>
        </w:rPr>
        <w:t>below </w:t>
      </w:r>
      <w:r>
        <w:rPr>
          <w:b/>
          <w:color w:val="383436"/>
          <w:spacing w:val="2"/>
          <w:w w:val="115"/>
          <w:sz w:val="20"/>
        </w:rPr>
        <w:t> </w:t>
      </w:r>
      <w:r>
        <w:rPr>
          <w:b/>
          <w:color w:val="383436"/>
          <w:w w:val="115"/>
          <w:sz w:val="20"/>
        </w:rPr>
        <w:t>for</w:t>
      </w:r>
      <w:r>
        <w:rPr>
          <w:b/>
          <w:color w:val="383436"/>
          <w:spacing w:val="54"/>
          <w:w w:val="115"/>
          <w:sz w:val="20"/>
        </w:rPr>
        <w:t> </w:t>
      </w:r>
      <w:r>
        <w:rPr>
          <w:b/>
          <w:color w:val="383436"/>
          <w:w w:val="115"/>
          <w:sz w:val="20"/>
        </w:rPr>
        <w:t>three </w:t>
      </w:r>
      <w:r>
        <w:rPr>
          <w:b/>
          <w:color w:val="383436"/>
          <w:spacing w:val="10"/>
          <w:w w:val="115"/>
          <w:sz w:val="20"/>
        </w:rPr>
        <w:t> </w:t>
      </w:r>
      <w:r>
        <w:rPr>
          <w:b/>
          <w:color w:val="383436"/>
          <w:w w:val="115"/>
          <w:sz w:val="20"/>
        </w:rPr>
        <w:t>reasons:</w:t>
      </w:r>
    </w:p>
    <w:p>
      <w:pPr>
        <w:spacing w:line="247" w:lineRule="auto" w:before="11"/>
        <w:ind w:left="476" w:right="749" w:firstLine="8"/>
        <w:jc w:val="both"/>
        <w:rPr>
          <w:b/>
          <w:sz w:val="20"/>
        </w:rPr>
      </w:pPr>
      <w:r>
        <w:rPr>
          <w:b/>
          <w:color w:val="383436"/>
          <w:w w:val="115"/>
          <w:sz w:val="20"/>
        </w:rPr>
        <w:t>(1) because of its questionable classifications, §1409(a) should </w:t>
      </w:r>
      <w:r>
        <w:rPr>
          <w:rFonts w:ascii="Arial" w:hAnsi="Arial"/>
          <w:b/>
          <w:color w:val="383436"/>
          <w:w w:val="115"/>
          <w:sz w:val="19"/>
        </w:rPr>
        <w:t>be</w:t>
      </w:r>
      <w:r>
        <w:rPr>
          <w:b/>
          <w:color w:val="383436"/>
          <w:w w:val="115"/>
          <w:sz w:val="20"/>
        </w:rPr>
        <w:t>sub­</w:t>
      </w:r>
      <w:r>
        <w:rPr>
          <w:b/>
          <w:color w:val="383436"/>
          <w:spacing w:val="1"/>
          <w:w w:val="115"/>
          <w:sz w:val="20"/>
        </w:rPr>
        <w:t> </w:t>
      </w:r>
      <w:r>
        <w:rPr>
          <w:b/>
          <w:color w:val="383436"/>
          <w:w w:val="115"/>
          <w:sz w:val="20"/>
        </w:rPr>
        <w:t>jected to a heightened scrutiny despite the great deference normally</w:t>
      </w:r>
      <w:r>
        <w:rPr>
          <w:b/>
          <w:color w:val="383436"/>
          <w:spacing w:val="1"/>
          <w:w w:val="115"/>
          <w:sz w:val="20"/>
        </w:rPr>
        <w:t> </w:t>
      </w:r>
      <w:r>
        <w:rPr>
          <w:color w:val="383436"/>
          <w:w w:val="115"/>
          <w:sz w:val="21"/>
        </w:rPr>
        <w:t>due congressional authority to enact immigration legislation; (2) the</w:t>
      </w:r>
      <w:r>
        <w:rPr>
          <w:color w:val="383436"/>
          <w:spacing w:val="1"/>
          <w:w w:val="115"/>
          <w:sz w:val="21"/>
        </w:rPr>
        <w:t> </w:t>
      </w:r>
      <w:r>
        <w:rPr>
          <w:b/>
          <w:color w:val="383436"/>
          <w:w w:val="120"/>
          <w:sz w:val="20"/>
        </w:rPr>
        <w:t>gender based classifications in §1409(a) cannot survive heightened</w:t>
      </w:r>
      <w:r>
        <w:rPr>
          <w:b/>
          <w:color w:val="383436"/>
          <w:spacing w:val="-57"/>
          <w:w w:val="120"/>
          <w:sz w:val="20"/>
        </w:rPr>
        <w:t> </w:t>
      </w:r>
      <w:r>
        <w:rPr>
          <w:b/>
          <w:color w:val="383436"/>
          <w:spacing w:val="-1"/>
          <w:w w:val="115"/>
          <w:sz w:val="20"/>
        </w:rPr>
        <w:t>scrutiny; and (3) </w:t>
      </w:r>
      <w:r>
        <w:rPr>
          <w:b/>
          <w:color w:val="383436"/>
          <w:w w:val="115"/>
          <w:sz w:val="20"/>
        </w:rPr>
        <w:t>the legitimacy-based classifications in §1409(a) can­</w:t>
      </w:r>
      <w:r>
        <w:rPr>
          <w:b/>
          <w:color w:val="383436"/>
          <w:spacing w:val="1"/>
          <w:w w:val="115"/>
          <w:sz w:val="20"/>
        </w:rPr>
        <w:t> </w:t>
      </w:r>
      <w:r>
        <w:rPr>
          <w:b/>
          <w:color w:val="383436"/>
          <w:w w:val="115"/>
          <w:sz w:val="20"/>
        </w:rPr>
        <w:t>not</w:t>
      </w:r>
      <w:r>
        <w:rPr>
          <w:b/>
          <w:color w:val="383436"/>
          <w:spacing w:val="-14"/>
          <w:w w:val="115"/>
          <w:sz w:val="20"/>
        </w:rPr>
        <w:t> </w:t>
      </w:r>
      <w:r>
        <w:rPr>
          <w:b/>
          <w:color w:val="383436"/>
          <w:w w:val="115"/>
          <w:sz w:val="20"/>
        </w:rPr>
        <w:t>survive heightened</w:t>
      </w:r>
      <w:r>
        <w:rPr>
          <w:b/>
          <w:color w:val="383436"/>
          <w:spacing w:val="-7"/>
          <w:w w:val="115"/>
          <w:sz w:val="20"/>
        </w:rPr>
        <w:t> </w:t>
      </w:r>
      <w:r>
        <w:rPr>
          <w:b/>
          <w:color w:val="383436"/>
          <w:w w:val="115"/>
          <w:sz w:val="20"/>
        </w:rPr>
        <w:t>scrutiny.</w:t>
      </w:r>
    </w:p>
    <w:p>
      <w:pPr>
        <w:pStyle w:val="BodyText"/>
        <w:spacing w:line="230" w:lineRule="auto" w:before="136"/>
        <w:ind w:left="166" w:right="292" w:firstLine="323"/>
        <w:jc w:val="both"/>
      </w:pPr>
      <w:r>
        <w:rPr>
          <w:color w:val="383436"/>
          <w:w w:val="115"/>
        </w:rPr>
        <w:t>Whether</w:t>
      </w:r>
      <w:r>
        <w:rPr>
          <w:color w:val="383436"/>
          <w:spacing w:val="1"/>
          <w:w w:val="115"/>
        </w:rPr>
        <w:t> </w:t>
      </w:r>
      <w:r>
        <w:rPr>
          <w:color w:val="383436"/>
          <w:w w:val="115"/>
        </w:rPr>
        <w:t>you</w:t>
      </w:r>
      <w:r>
        <w:rPr>
          <w:color w:val="383436"/>
          <w:spacing w:val="1"/>
          <w:w w:val="115"/>
        </w:rPr>
        <w:t> </w:t>
      </w:r>
      <w:r>
        <w:rPr>
          <w:color w:val="383436"/>
          <w:w w:val="115"/>
        </w:rPr>
        <w:t>use enumeration</w:t>
      </w:r>
      <w:r>
        <w:rPr>
          <w:color w:val="383436"/>
          <w:spacing w:val="1"/>
          <w:w w:val="115"/>
        </w:rPr>
        <w:t> </w:t>
      </w:r>
      <w:r>
        <w:rPr>
          <w:color w:val="383436"/>
          <w:w w:val="115"/>
        </w:rPr>
        <w:t>or</w:t>
      </w:r>
      <w:r>
        <w:rPr>
          <w:color w:val="383436"/>
          <w:spacing w:val="1"/>
          <w:w w:val="115"/>
        </w:rPr>
        <w:t> </w:t>
      </w:r>
      <w:r>
        <w:rPr>
          <w:color w:val="383436"/>
          <w:w w:val="115"/>
        </w:rPr>
        <w:t>not, your</w:t>
      </w:r>
      <w:r>
        <w:rPr>
          <w:color w:val="383436"/>
          <w:spacing w:val="1"/>
          <w:w w:val="115"/>
        </w:rPr>
        <w:t> </w:t>
      </w:r>
      <w:r>
        <w:rPr>
          <w:color w:val="383436"/>
          <w:w w:val="115"/>
        </w:rPr>
        <w:t>roadmap should</w:t>
      </w:r>
      <w:r>
        <w:rPr>
          <w:color w:val="383436"/>
          <w:spacing w:val="1"/>
          <w:w w:val="115"/>
        </w:rPr>
        <w:t> </w:t>
      </w:r>
      <w:r>
        <w:rPr>
          <w:color w:val="383436"/>
          <w:w w:val="115"/>
        </w:rPr>
        <w:t>be</w:t>
      </w:r>
      <w:r>
        <w:rPr>
          <w:color w:val="383436"/>
          <w:spacing w:val="1"/>
          <w:w w:val="115"/>
        </w:rPr>
        <w:t> </w:t>
      </w:r>
      <w:r>
        <w:rPr>
          <w:color w:val="383436"/>
          <w:w w:val="115"/>
        </w:rPr>
        <w:t>argumentative</w:t>
      </w:r>
      <w:r>
        <w:rPr>
          <w:color w:val="525254"/>
          <w:w w:val="115"/>
        </w:rPr>
        <w:t>. </w:t>
      </w:r>
      <w:r>
        <w:rPr>
          <w:color w:val="383436"/>
          <w:w w:val="115"/>
        </w:rPr>
        <w:t>An ineffective roadmap will say, in essence, "this court</w:t>
      </w:r>
      <w:r>
        <w:rPr>
          <w:color w:val="383436"/>
          <w:spacing w:val="1"/>
          <w:w w:val="115"/>
        </w:rPr>
        <w:t> </w:t>
      </w:r>
      <w:r>
        <w:rPr>
          <w:color w:val="383436"/>
          <w:w w:val="115"/>
        </w:rPr>
        <w:t>must decide three issues: (1) whether to rule for or against my client as</w:t>
      </w:r>
      <w:r>
        <w:rPr>
          <w:color w:val="383436"/>
          <w:spacing w:val="1"/>
          <w:w w:val="115"/>
        </w:rPr>
        <w:t> </w:t>
      </w:r>
      <w:r>
        <w:rPr>
          <w:color w:val="383436"/>
          <w:spacing w:val="-1"/>
          <w:w w:val="118"/>
        </w:rPr>
        <w:t>t</w:t>
      </w:r>
      <w:r>
        <w:rPr>
          <w:color w:val="383436"/>
          <w:w w:val="118"/>
        </w:rPr>
        <w:t>o</w:t>
      </w:r>
      <w:r>
        <w:rPr>
          <w:color w:val="383436"/>
          <w:spacing w:val="-24"/>
        </w:rPr>
        <w:t> </w:t>
      </w:r>
      <w:r>
        <w:rPr>
          <w:color w:val="383436"/>
          <w:spacing w:val="-1"/>
          <w:w w:val="106"/>
        </w:rPr>
        <w:t>issu</w:t>
      </w:r>
      <w:r>
        <w:rPr>
          <w:color w:val="383436"/>
          <w:w w:val="106"/>
        </w:rPr>
        <w:t>e</w:t>
      </w:r>
      <w:r>
        <w:rPr>
          <w:color w:val="383436"/>
          <w:spacing w:val="2"/>
        </w:rPr>
        <w:t> </w:t>
      </w:r>
      <w:r>
        <w:rPr>
          <w:color w:val="383436"/>
          <w:w w:val="106"/>
        </w:rPr>
        <w:t>one</w:t>
      </w:r>
      <w:r>
        <w:rPr>
          <w:color w:val="383436"/>
        </w:rPr>
        <w:t> </w:t>
      </w:r>
      <w:r>
        <w:rPr>
          <w:color w:val="383436"/>
          <w:spacing w:val="14"/>
        </w:rPr>
        <w:t> </w:t>
      </w:r>
      <w:r>
        <w:rPr>
          <w:color w:val="383436"/>
          <w:w w:val="252"/>
        </w:rPr>
        <w:t>...</w:t>
      </w:r>
      <w:r>
        <w:rPr>
          <w:color w:val="383436"/>
          <w:spacing w:val="-58"/>
          <w:w w:val="252"/>
        </w:rPr>
        <w:t>.</w:t>
      </w:r>
      <w:r>
        <w:rPr>
          <w:color w:val="383436"/>
          <w:spacing w:val="-33"/>
          <w:w w:val="252"/>
        </w:rPr>
        <w:t>"</w:t>
      </w:r>
      <w:r>
        <w:rPr>
          <w:color w:val="383436"/>
          <w:spacing w:val="-1"/>
          <w:w w:val="106"/>
        </w:rPr>
        <w:t>Becaus</w:t>
      </w:r>
      <w:r>
        <w:rPr>
          <w:color w:val="383436"/>
          <w:w w:val="106"/>
        </w:rPr>
        <w:t>e</w:t>
      </w:r>
      <w:r>
        <w:rPr>
          <w:color w:val="383436"/>
          <w:spacing w:val="27"/>
        </w:rPr>
        <w:t> </w:t>
      </w:r>
      <w:r>
        <w:rPr>
          <w:color w:val="383436"/>
          <w:w w:val="106"/>
        </w:rPr>
        <w:t>you</w:t>
      </w:r>
      <w:r>
        <w:rPr>
          <w:color w:val="383436"/>
        </w:rPr>
        <w:t> </w:t>
      </w:r>
      <w:r>
        <w:rPr>
          <w:color w:val="383436"/>
          <w:spacing w:val="8"/>
        </w:rPr>
        <w:t> </w:t>
      </w:r>
      <w:r>
        <w:rPr>
          <w:color w:val="383436"/>
          <w:w w:val="115"/>
        </w:rPr>
        <w:t>know</w:t>
      </w:r>
      <w:r>
        <w:rPr>
          <w:color w:val="383436"/>
          <w:spacing w:val="27"/>
        </w:rPr>
        <w:t> </w:t>
      </w:r>
      <w:r>
        <w:rPr>
          <w:color w:val="383436"/>
          <w:w w:val="115"/>
        </w:rPr>
        <w:t>how</w:t>
      </w:r>
      <w:r>
        <w:rPr>
          <w:color w:val="383436"/>
          <w:spacing w:val="25"/>
        </w:rPr>
        <w:t> </w:t>
      </w:r>
      <w:r>
        <w:rPr>
          <w:color w:val="383436"/>
          <w:w w:val="115"/>
        </w:rPr>
        <w:t>you</w:t>
      </w:r>
      <w:r>
        <w:rPr>
          <w:color w:val="383436"/>
          <w:spacing w:val="15"/>
        </w:rPr>
        <w:t> </w:t>
      </w:r>
      <w:r>
        <w:rPr>
          <w:color w:val="383436"/>
          <w:spacing w:val="-1"/>
          <w:w w:val="118"/>
        </w:rPr>
        <w:t>thin</w:t>
      </w:r>
      <w:r>
        <w:rPr>
          <w:color w:val="383436"/>
          <w:w w:val="118"/>
        </w:rPr>
        <w:t>k</w:t>
      </w:r>
      <w:r>
        <w:rPr>
          <w:color w:val="383436"/>
        </w:rPr>
        <w:t> </w:t>
      </w:r>
      <w:r>
        <w:rPr>
          <w:color w:val="383436"/>
          <w:spacing w:val="-29"/>
        </w:rPr>
        <w:t> </w:t>
      </w:r>
      <w:r>
        <w:rPr>
          <w:color w:val="383436"/>
          <w:spacing w:val="-1"/>
          <w:w w:val="118"/>
        </w:rPr>
        <w:t>th</w:t>
      </w:r>
      <w:r>
        <w:rPr>
          <w:color w:val="383436"/>
          <w:w w:val="118"/>
        </w:rPr>
        <w:t>e</w:t>
      </w:r>
      <w:r>
        <w:rPr>
          <w:color w:val="383436"/>
          <w:spacing w:val="28"/>
        </w:rPr>
        <w:t> </w:t>
      </w:r>
      <w:r>
        <w:rPr>
          <w:color w:val="383436"/>
          <w:spacing w:val="-1"/>
          <w:w w:val="120"/>
        </w:rPr>
        <w:t>cour</w:t>
      </w:r>
      <w:r>
        <w:rPr>
          <w:color w:val="383436"/>
          <w:w w:val="120"/>
        </w:rPr>
        <w:t>t</w:t>
      </w:r>
      <w:r>
        <w:rPr>
          <w:color w:val="383436"/>
          <w:spacing w:val="7"/>
        </w:rPr>
        <w:t> </w:t>
      </w:r>
      <w:r>
        <w:rPr>
          <w:color w:val="383436"/>
          <w:spacing w:val="-1"/>
          <w:w w:val="119"/>
        </w:rPr>
        <w:t>should </w:t>
      </w:r>
      <w:r>
        <w:rPr>
          <w:color w:val="383436"/>
          <w:w w:val="115"/>
        </w:rPr>
        <w:t>come out, make that hoped-for result the  premise of your roadmap, as</w:t>
      </w:r>
      <w:r>
        <w:rPr>
          <w:color w:val="383436"/>
          <w:spacing w:val="1"/>
          <w:w w:val="115"/>
        </w:rPr>
        <w:t> </w:t>
      </w:r>
      <w:r>
        <w:rPr>
          <w:color w:val="383436"/>
          <w:spacing w:val="-1"/>
          <w:w w:val="115"/>
        </w:rPr>
        <w:t>in the previous examples, </w:t>
      </w:r>
      <w:r>
        <w:rPr>
          <w:color w:val="383436"/>
          <w:w w:val="115"/>
        </w:rPr>
        <w:t>saying in essence: "This Court should rule in</w:t>
      </w:r>
      <w:r>
        <w:rPr>
          <w:color w:val="383436"/>
          <w:spacing w:val="1"/>
          <w:w w:val="115"/>
        </w:rPr>
        <w:t> </w:t>
      </w:r>
      <w:r>
        <w:rPr>
          <w:color w:val="383436"/>
          <w:w w:val="110"/>
        </w:rPr>
        <w:t>favor of my client for three reasons</w:t>
      </w:r>
      <w:r>
        <w:rPr>
          <w:color w:val="525254"/>
          <w:w w:val="110"/>
        </w:rPr>
        <w:t>.</w:t>
      </w:r>
      <w:r>
        <w:rPr>
          <w:color w:val="383436"/>
          <w:w w:val="110"/>
        </w:rPr>
        <w:t>" You should also review your head­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5"/>
        </w:rPr>
        <w:t>ings and</w:t>
      </w:r>
      <w:r>
        <w:rPr>
          <w:color w:val="383436"/>
          <w:spacing w:val="1"/>
          <w:w w:val="115"/>
        </w:rPr>
        <w:t> </w:t>
      </w:r>
      <w:r>
        <w:rPr>
          <w:color w:val="383436"/>
          <w:w w:val="115"/>
        </w:rPr>
        <w:t>roadmaps to make sure that the roadmaps predict exa</w:t>
      </w:r>
      <w:r>
        <w:rPr>
          <w:color w:val="525254"/>
          <w:w w:val="115"/>
        </w:rPr>
        <w:t>c</w:t>
      </w:r>
      <w:r>
        <w:rPr>
          <w:color w:val="383436"/>
          <w:w w:val="115"/>
        </w:rPr>
        <w:t>tly the</w:t>
      </w:r>
      <w:r>
        <w:rPr>
          <w:color w:val="383436"/>
          <w:spacing w:val="1"/>
          <w:w w:val="115"/>
        </w:rPr>
        <w:t> </w:t>
      </w:r>
      <w:r>
        <w:rPr>
          <w:color w:val="383436"/>
          <w:w w:val="115"/>
        </w:rPr>
        <w:t>points you will address and echo language that you will use when you</w:t>
      </w:r>
      <w:r>
        <w:rPr>
          <w:color w:val="383436"/>
          <w:spacing w:val="1"/>
          <w:w w:val="115"/>
        </w:rPr>
        <w:t> </w:t>
      </w:r>
      <w:r>
        <w:rPr>
          <w:color w:val="383436"/>
          <w:w w:val="115"/>
        </w:rPr>
        <w:t>address each point. You should not copy and paste your exact headings</w:t>
      </w:r>
      <w:r>
        <w:rPr>
          <w:color w:val="383436"/>
          <w:spacing w:val="-64"/>
          <w:w w:val="115"/>
        </w:rPr>
        <w:t> </w:t>
      </w:r>
      <w:r>
        <w:rPr>
          <w:color w:val="383436"/>
          <w:w w:val="115"/>
        </w:rPr>
        <w:t>into</w:t>
      </w:r>
      <w:r>
        <w:rPr>
          <w:color w:val="383436"/>
          <w:spacing w:val="-2"/>
          <w:w w:val="115"/>
        </w:rPr>
        <w:t> </w:t>
      </w:r>
      <w:r>
        <w:rPr>
          <w:color w:val="383436"/>
          <w:w w:val="115"/>
        </w:rPr>
        <w:t>the</w:t>
      </w:r>
      <w:r>
        <w:rPr>
          <w:color w:val="383436"/>
          <w:spacing w:val="29"/>
          <w:w w:val="115"/>
        </w:rPr>
        <w:t> </w:t>
      </w:r>
      <w:r>
        <w:rPr>
          <w:color w:val="383436"/>
          <w:w w:val="115"/>
        </w:rPr>
        <w:t>roadmap,</w:t>
      </w:r>
      <w:r>
        <w:rPr>
          <w:color w:val="383436"/>
          <w:spacing w:val="12"/>
          <w:w w:val="115"/>
        </w:rPr>
        <w:t> </w:t>
      </w:r>
      <w:r>
        <w:rPr>
          <w:color w:val="383436"/>
          <w:w w:val="115"/>
        </w:rPr>
        <w:t>but</w:t>
      </w:r>
      <w:r>
        <w:rPr>
          <w:color w:val="383436"/>
          <w:spacing w:val="23"/>
          <w:w w:val="115"/>
        </w:rPr>
        <w:t> </w:t>
      </w:r>
      <w:r>
        <w:rPr>
          <w:color w:val="383436"/>
          <w:w w:val="115"/>
        </w:rPr>
        <w:t>the</w:t>
      </w:r>
      <w:r>
        <w:rPr>
          <w:color w:val="383436"/>
          <w:spacing w:val="23"/>
          <w:w w:val="115"/>
        </w:rPr>
        <w:t> </w:t>
      </w:r>
      <w:r>
        <w:rPr>
          <w:color w:val="383436"/>
          <w:w w:val="115"/>
        </w:rPr>
        <w:t>roadmap</w:t>
      </w:r>
      <w:r>
        <w:rPr>
          <w:color w:val="383436"/>
          <w:spacing w:val="-7"/>
          <w:w w:val="115"/>
        </w:rPr>
        <w:t> </w:t>
      </w:r>
      <w:r>
        <w:rPr>
          <w:color w:val="383436"/>
          <w:w w:val="115"/>
        </w:rPr>
        <w:t>should</w:t>
      </w:r>
      <w:r>
        <w:rPr>
          <w:color w:val="383436"/>
          <w:spacing w:val="5"/>
          <w:w w:val="115"/>
        </w:rPr>
        <w:t> </w:t>
      </w:r>
      <w:r>
        <w:rPr>
          <w:color w:val="383436"/>
          <w:w w:val="115"/>
        </w:rPr>
        <w:t>certainly</w:t>
      </w:r>
      <w:r>
        <w:rPr>
          <w:color w:val="383436"/>
          <w:spacing w:val="-1"/>
          <w:w w:val="115"/>
        </w:rPr>
        <w:t> </w:t>
      </w:r>
      <w:r>
        <w:rPr>
          <w:color w:val="383436"/>
          <w:w w:val="115"/>
        </w:rPr>
        <w:t>include</w:t>
      </w:r>
      <w:r>
        <w:rPr>
          <w:color w:val="383436"/>
          <w:spacing w:val="6"/>
          <w:w w:val="115"/>
        </w:rPr>
        <w:t> </w:t>
      </w:r>
      <w:r>
        <w:rPr>
          <w:color w:val="383436"/>
          <w:w w:val="115"/>
        </w:rPr>
        <w:t>words</w:t>
      </w:r>
      <w:r>
        <w:rPr>
          <w:color w:val="383436"/>
          <w:spacing w:val="-4"/>
          <w:w w:val="115"/>
        </w:rPr>
        <w:t> </w:t>
      </w:r>
      <w:r>
        <w:rPr>
          <w:color w:val="383436"/>
          <w:w w:val="115"/>
        </w:rPr>
        <w:t>and</w:t>
      </w:r>
    </w:p>
    <w:p>
      <w:pPr>
        <w:spacing w:after="0" w:line="230" w:lineRule="auto"/>
        <w:jc w:val="both"/>
        <w:sectPr>
          <w:pgSz w:w="9630" w:h="14020"/>
          <w:pgMar w:header="716" w:footer="0" w:top="1320" w:bottom="0" w:left="240" w:right="1340"/>
        </w:sectPr>
      </w:pPr>
    </w:p>
    <w:p>
      <w:pPr>
        <w:pStyle w:val="BodyText"/>
        <w:spacing w:line="232" w:lineRule="auto" w:before="87"/>
        <w:ind w:left="813" w:right="125" w:firstLine="17"/>
        <w:jc w:val="both"/>
      </w:pPr>
      <w:r>
        <w:rPr>
          <w:color w:val="383636"/>
          <w:w w:val="110"/>
        </w:rPr>
        <w:t>phrases-particularly 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phrases-that-pay-that  appear 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in 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   headings.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 roadmap will create expectations in the reader; by using similar lan­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guage in the roadmap and the headings, you can reassure the reader that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you are fulfilling those expectations and make it easier for the user to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find</w:t>
      </w:r>
      <w:r>
        <w:rPr>
          <w:color w:val="383636"/>
          <w:spacing w:val="10"/>
          <w:w w:val="110"/>
        </w:rPr>
        <w:t> </w:t>
      </w:r>
      <w:r>
        <w:rPr>
          <w:color w:val="383636"/>
          <w:w w:val="110"/>
        </w:rPr>
        <w:t>needed</w:t>
      </w:r>
      <w:r>
        <w:rPr>
          <w:color w:val="383636"/>
          <w:spacing w:val="12"/>
          <w:w w:val="110"/>
        </w:rPr>
        <w:t> </w:t>
      </w:r>
      <w:r>
        <w:rPr>
          <w:color w:val="383636"/>
          <w:w w:val="110"/>
        </w:rPr>
        <w:t>information</w:t>
      </w:r>
      <w:r>
        <w:rPr>
          <w:color w:val="565656"/>
          <w:w w:val="110"/>
        </w:rPr>
        <w:t>.</w:t>
      </w:r>
    </w:p>
    <w:p>
      <w:pPr>
        <w:pStyle w:val="BodyText"/>
        <w:spacing w:before="3"/>
        <w:rPr>
          <w:sz w:val="35"/>
        </w:rPr>
      </w:pPr>
    </w:p>
    <w:p>
      <w:pPr>
        <w:spacing w:before="1"/>
        <w:ind w:left="1194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565656"/>
          <w:w w:val="105"/>
          <w:sz w:val="27"/>
        </w:rPr>
        <w:t>10</w:t>
      </w:r>
      <w:r>
        <w:rPr>
          <w:rFonts w:ascii="Arial"/>
          <w:b/>
          <w:color w:val="383636"/>
          <w:w w:val="105"/>
          <w:sz w:val="27"/>
        </w:rPr>
        <w:t>.2</w:t>
      </w:r>
      <w:r>
        <w:rPr>
          <w:rFonts w:ascii="Arial"/>
          <w:b/>
          <w:color w:val="565656"/>
          <w:w w:val="105"/>
          <w:sz w:val="27"/>
        </w:rPr>
        <w:t>.4</w:t>
      </w:r>
    </w:p>
    <w:p>
      <w:pPr>
        <w:spacing w:before="35"/>
        <w:ind w:left="1179" w:right="0" w:firstLine="0"/>
        <w:jc w:val="left"/>
        <w:rPr>
          <w:rFonts w:ascii="Arial"/>
          <w:sz w:val="22"/>
        </w:rPr>
      </w:pPr>
      <w:r>
        <w:rPr>
          <w:rFonts w:ascii="Arial"/>
          <w:color w:val="565656"/>
          <w:sz w:val="22"/>
        </w:rPr>
        <w:t>EX</w:t>
      </w:r>
      <w:r>
        <w:rPr>
          <w:rFonts w:ascii="Arial"/>
          <w:color w:val="383636"/>
          <w:sz w:val="22"/>
        </w:rPr>
        <w:t>PLICIT</w:t>
      </w:r>
      <w:r>
        <w:rPr>
          <w:rFonts w:ascii="Arial"/>
          <w:color w:val="383636"/>
          <w:spacing w:val="102"/>
          <w:sz w:val="22"/>
        </w:rPr>
        <w:t> </w:t>
      </w:r>
      <w:r>
        <w:rPr>
          <w:rFonts w:ascii="Arial"/>
          <w:color w:val="383636"/>
          <w:sz w:val="22"/>
        </w:rPr>
        <w:t>CONNECTION-CONCLUS</w:t>
      </w:r>
      <w:r>
        <w:rPr>
          <w:rFonts w:ascii="Arial"/>
          <w:color w:val="565656"/>
          <w:sz w:val="22"/>
        </w:rPr>
        <w:t>I</w:t>
      </w:r>
      <w:r>
        <w:rPr>
          <w:rFonts w:ascii="Arial"/>
          <w:color w:val="383636"/>
          <w:sz w:val="22"/>
        </w:rPr>
        <w:t>ONS</w:t>
      </w:r>
    </w:p>
    <w:p>
      <w:pPr>
        <w:pStyle w:val="BodyText"/>
        <w:spacing w:line="235" w:lineRule="auto" w:before="138"/>
        <w:ind w:left="754" w:right="120" w:firstLine="389"/>
        <w:jc w:val="both"/>
      </w:pPr>
      <w:r>
        <w:rPr>
          <w:color w:val="383636"/>
          <w:w w:val="115"/>
        </w:rPr>
        <w:t>Just as the headings help the writer to craft any needed roadmap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paragraphs, they can also help the writer to check for explicit connec­</w:t>
      </w:r>
      <w:r>
        <w:rPr>
          <w:color w:val="383636"/>
          <w:spacing w:val="-64"/>
          <w:w w:val="115"/>
        </w:rPr>
        <w:t> </w:t>
      </w:r>
      <w:r>
        <w:rPr>
          <w:color w:val="383636"/>
          <w:w w:val="115"/>
        </w:rPr>
        <w:t>tion-conclusions. The last paragraph before a</w:t>
      </w:r>
      <w:r>
        <w:rPr>
          <w:color w:val="B5B6B8"/>
          <w:w w:val="115"/>
        </w:rPr>
        <w:t>.</w:t>
      </w:r>
      <w:r>
        <w:rPr>
          <w:color w:val="383636"/>
          <w:w w:val="115"/>
        </w:rPr>
        <w:t>newheading is a strong</w:t>
      </w:r>
      <w:r>
        <w:rPr>
          <w:color w:val="383636"/>
          <w:spacing w:val="1"/>
          <w:w w:val="115"/>
        </w:rPr>
        <w:t> </w:t>
      </w:r>
      <w:r>
        <w:rPr>
          <w:color w:val="383636"/>
          <w:spacing w:val="-1"/>
          <w:w w:val="115"/>
        </w:rPr>
        <w:t>position of emphasis, and </w:t>
      </w:r>
      <w:r>
        <w:rPr>
          <w:color w:val="383636"/>
          <w:w w:val="115"/>
        </w:rPr>
        <w:t>stating an explicit connection-conclusion is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a good way to exploit that position of emphasis. The writer can easily</w:t>
      </w:r>
      <w:r>
        <w:rPr>
          <w:color w:val="383636"/>
          <w:spacing w:val="-64"/>
          <w:w w:val="115"/>
        </w:rPr>
        <w:t> </w:t>
      </w:r>
      <w:r>
        <w:rPr>
          <w:color w:val="383636"/>
          <w:w w:val="115"/>
        </w:rPr>
        <w:t>check for connection-conclusions by looking for each new heading or</w:t>
      </w:r>
      <w:r>
        <w:rPr>
          <w:color w:val="383636"/>
          <w:spacing w:val="-64"/>
          <w:w w:val="115"/>
        </w:rPr>
        <w:t> </w:t>
      </w:r>
      <w:r>
        <w:rPr>
          <w:color w:val="383636"/>
          <w:w w:val="110"/>
        </w:rPr>
        <w:t>subheading and  then checking the paragraph above that heading; unless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it is a roadmap, the paragraph should end on the writer's explicit conclu­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sion as to the point under discussion within that heading or subheading,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and it should connect that point as needed to any other points in the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argument.</w:t>
      </w:r>
    </w:p>
    <w:p>
      <w:pPr>
        <w:pStyle w:val="BodyText"/>
        <w:spacing w:line="228" w:lineRule="auto"/>
        <w:ind w:left="760" w:right="131" w:firstLine="357"/>
        <w:jc w:val="both"/>
      </w:pPr>
      <w:r>
        <w:rPr>
          <w:color w:val="383636"/>
          <w:w w:val="105"/>
        </w:rPr>
        <w:t>Although some writers end  a point heading section by foreshadowing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56"/>
          <w:w w:val="105"/>
        </w:rPr>
        <w:t> </w:t>
      </w:r>
      <w:r>
        <w:rPr>
          <w:color w:val="383636"/>
          <w:w w:val="105"/>
        </w:rPr>
        <w:t>next</w:t>
      </w:r>
      <w:r>
        <w:rPr>
          <w:color w:val="383636"/>
          <w:spacing w:val="4"/>
          <w:w w:val="105"/>
        </w:rPr>
        <w:t> </w:t>
      </w:r>
      <w:r>
        <w:rPr>
          <w:color w:val="383636"/>
          <w:w w:val="105"/>
        </w:rPr>
        <w:t>issue,</w:t>
      </w:r>
      <w:r>
        <w:rPr>
          <w:color w:val="383636"/>
          <w:spacing w:val="11"/>
          <w:w w:val="105"/>
        </w:rPr>
        <w:t> </w:t>
      </w:r>
      <w:r>
        <w:rPr>
          <w:color w:val="383636"/>
          <w:w w:val="105"/>
        </w:rPr>
        <w:t>this</w:t>
      </w:r>
      <w:r>
        <w:rPr>
          <w:color w:val="383636"/>
          <w:spacing w:val="12"/>
          <w:w w:val="105"/>
        </w:rPr>
        <w:t> </w:t>
      </w:r>
      <w:r>
        <w:rPr>
          <w:color w:val="383636"/>
          <w:w w:val="105"/>
        </w:rPr>
        <w:t>technique</w:t>
      </w:r>
      <w:r>
        <w:rPr>
          <w:color w:val="383636"/>
          <w:spacing w:val="25"/>
          <w:w w:val="105"/>
        </w:rPr>
        <w:t> </w:t>
      </w:r>
      <w:r>
        <w:rPr>
          <w:color w:val="383636"/>
          <w:w w:val="105"/>
        </w:rPr>
        <w:t>is</w:t>
      </w:r>
      <w:r>
        <w:rPr>
          <w:color w:val="383636"/>
          <w:spacing w:val="-3"/>
          <w:w w:val="105"/>
        </w:rPr>
        <w:t> </w:t>
      </w:r>
      <w:r>
        <w:rPr>
          <w:color w:val="383636"/>
          <w:w w:val="105"/>
        </w:rPr>
        <w:t>usually</w:t>
      </w:r>
      <w:r>
        <w:rPr>
          <w:color w:val="383636"/>
          <w:spacing w:val="33"/>
          <w:w w:val="105"/>
        </w:rPr>
        <w:t> </w:t>
      </w:r>
      <w:r>
        <w:rPr>
          <w:color w:val="383636"/>
          <w:w w:val="105"/>
        </w:rPr>
        <w:t>not</w:t>
      </w:r>
      <w:r>
        <w:rPr>
          <w:color w:val="383636"/>
          <w:spacing w:val="9"/>
          <w:w w:val="105"/>
        </w:rPr>
        <w:t> </w:t>
      </w:r>
      <w:r>
        <w:rPr>
          <w:color w:val="383636"/>
          <w:w w:val="105"/>
        </w:rPr>
        <w:t>necessary</w:t>
      </w:r>
      <w:r>
        <w:rPr>
          <w:color w:val="383636"/>
          <w:spacing w:val="15"/>
          <w:w w:val="105"/>
        </w:rPr>
        <w:t> </w:t>
      </w:r>
      <w:r>
        <w:rPr>
          <w:color w:val="383636"/>
          <w:w w:val="105"/>
        </w:rPr>
        <w:t>in</w:t>
      </w:r>
      <w:r>
        <w:rPr>
          <w:color w:val="383636"/>
          <w:spacing w:val="44"/>
          <w:w w:val="105"/>
        </w:rPr>
        <w:t> </w:t>
      </w:r>
      <w:r>
        <w:rPr>
          <w:color w:val="383636"/>
          <w:w w:val="105"/>
        </w:rPr>
        <w:t>a</w:t>
      </w:r>
      <w:r>
        <w:rPr>
          <w:color w:val="383636"/>
          <w:spacing w:val="26"/>
          <w:w w:val="105"/>
        </w:rPr>
        <w:t> </w:t>
      </w:r>
      <w:r>
        <w:rPr>
          <w:color w:val="383636"/>
          <w:w w:val="105"/>
        </w:rPr>
        <w:t>document</w:t>
      </w:r>
      <w:r>
        <w:rPr>
          <w:color w:val="383636"/>
          <w:spacing w:val="28"/>
          <w:w w:val="105"/>
        </w:rPr>
        <w:t> </w:t>
      </w:r>
      <w:r>
        <w:rPr>
          <w:color w:val="383636"/>
          <w:w w:val="105"/>
        </w:rPr>
        <w:t>with</w:t>
      </w:r>
    </w:p>
    <w:p>
      <w:pPr>
        <w:pStyle w:val="BodyText"/>
        <w:spacing w:line="232" w:lineRule="auto"/>
        <w:ind w:left="731" w:right="121" w:firstLine="19"/>
        <w:jc w:val="both"/>
      </w:pPr>
      <w:r>
        <w:rPr>
          <w:color w:val="383636"/>
          <w:w w:val="110"/>
        </w:rPr>
        <w:t>headings. If making the connection between the points in two sections or</w:t>
      </w:r>
      <w:r>
        <w:rPr>
          <w:color w:val="383636"/>
          <w:spacing w:val="-61"/>
          <w:w w:val="110"/>
        </w:rPr>
        <w:t> </w:t>
      </w:r>
      <w:r>
        <w:rPr>
          <w:color w:val="383636"/>
          <w:spacing w:val="-1"/>
          <w:w w:val="110"/>
        </w:rPr>
        <w:t>subsections</w:t>
      </w:r>
      <w:r>
        <w:rPr>
          <w:color w:val="383636"/>
          <w:spacing w:val="-15"/>
          <w:w w:val="110"/>
        </w:rPr>
        <w:t> </w:t>
      </w:r>
      <w:r>
        <w:rPr>
          <w:color w:val="383636"/>
          <w:spacing w:val="-1"/>
          <w:w w:val="110"/>
        </w:rPr>
        <w:t>is</w:t>
      </w:r>
      <w:r>
        <w:rPr>
          <w:color w:val="383636"/>
          <w:spacing w:val="-20"/>
          <w:w w:val="110"/>
        </w:rPr>
        <w:t> </w:t>
      </w:r>
      <w:r>
        <w:rPr>
          <w:color w:val="383636"/>
          <w:spacing w:val="-1"/>
          <w:w w:val="110"/>
        </w:rPr>
        <w:t>important,</w:t>
      </w:r>
      <w:r>
        <w:rPr>
          <w:color w:val="383636"/>
          <w:spacing w:val="1"/>
          <w:w w:val="110"/>
        </w:rPr>
        <w:t> </w:t>
      </w:r>
      <w:r>
        <w:rPr>
          <w:color w:val="383636"/>
          <w:spacing w:val="-1"/>
          <w:w w:val="110"/>
        </w:rPr>
        <w:t>try</w:t>
      </w:r>
      <w:r>
        <w:rPr>
          <w:color w:val="383636"/>
          <w:spacing w:val="-8"/>
          <w:w w:val="110"/>
        </w:rPr>
        <w:t> </w:t>
      </w:r>
      <w:r>
        <w:rPr>
          <w:color w:val="383636"/>
          <w:w w:val="110"/>
        </w:rPr>
        <w:t>reaching</w:t>
      </w:r>
      <w:r>
        <w:rPr>
          <w:color w:val="383636"/>
          <w:spacing w:val="-17"/>
          <w:w w:val="110"/>
        </w:rPr>
        <w:t> </w:t>
      </w:r>
      <w:r>
        <w:rPr>
          <w:color w:val="383636"/>
          <w:w w:val="110"/>
        </w:rPr>
        <w:t>back</w:t>
      </w:r>
      <w:r>
        <w:rPr>
          <w:color w:val="383636"/>
          <w:spacing w:val="-16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12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2"/>
          <w:w w:val="110"/>
        </w:rPr>
        <w:t> </w:t>
      </w:r>
      <w:r>
        <w:rPr>
          <w:color w:val="383636"/>
          <w:w w:val="110"/>
        </w:rPr>
        <w:t>earlier</w:t>
      </w:r>
      <w:r>
        <w:rPr>
          <w:color w:val="383636"/>
          <w:spacing w:val="-14"/>
          <w:w w:val="110"/>
        </w:rPr>
        <w:t> </w:t>
      </w:r>
      <w:r>
        <w:rPr>
          <w:color w:val="383636"/>
          <w:w w:val="110"/>
        </w:rPr>
        <w:t>section</w:t>
      </w:r>
      <w:r>
        <w:rPr>
          <w:color w:val="383636"/>
          <w:spacing w:val="-10"/>
          <w:w w:val="110"/>
        </w:rPr>
        <w:t> </w:t>
      </w:r>
      <w:r>
        <w:rPr>
          <w:color w:val="383636"/>
          <w:w w:val="110"/>
        </w:rPr>
        <w:t>instead</w:t>
      </w:r>
      <w:r>
        <w:rPr>
          <w:color w:val="383636"/>
          <w:spacing w:val="-22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reaching</w:t>
      </w:r>
      <w:r>
        <w:rPr>
          <w:color w:val="383636"/>
          <w:spacing w:val="-9"/>
          <w:w w:val="110"/>
        </w:rPr>
        <w:t> </w:t>
      </w:r>
      <w:r>
        <w:rPr>
          <w:color w:val="383636"/>
          <w:w w:val="110"/>
        </w:rPr>
        <w:t>forward</w:t>
      </w:r>
      <w:r>
        <w:rPr>
          <w:color w:val="383636"/>
          <w:spacing w:val="6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26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28"/>
          <w:w w:val="110"/>
        </w:rPr>
        <w:t> </w:t>
      </w:r>
      <w:r>
        <w:rPr>
          <w:color w:val="383636"/>
          <w:w w:val="110"/>
        </w:rPr>
        <w:t>later</w:t>
      </w:r>
      <w:r>
        <w:rPr>
          <w:color w:val="383636"/>
          <w:spacing w:val="-10"/>
          <w:w w:val="110"/>
        </w:rPr>
        <w:t> </w:t>
      </w:r>
      <w:r>
        <w:rPr>
          <w:color w:val="383636"/>
          <w:w w:val="110"/>
        </w:rPr>
        <w:t>section.</w:t>
      </w:r>
    </w:p>
    <w:p>
      <w:pPr>
        <w:pStyle w:val="BodyText"/>
        <w:spacing w:line="232" w:lineRule="auto"/>
        <w:ind w:left="591" w:right="115" w:firstLine="514"/>
        <w:jc w:val="both"/>
      </w:pPr>
      <w:r>
        <w:rPr>
          <w:color w:val="383636"/>
          <w:w w:val="110"/>
        </w:rPr>
        <w:t>For example, in a subsection about part one of a two-part test, some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writers will end  the subsection by saying, in essence, "Petitioner meets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part one of the  test</w:t>
      </w:r>
      <w:r>
        <w:rPr>
          <w:color w:val="565656"/>
          <w:w w:val="110"/>
        </w:rPr>
        <w:t>. </w:t>
      </w:r>
      <w:r>
        <w:rPr>
          <w:color w:val="383636"/>
          <w:w w:val="110"/>
        </w:rPr>
        <w:t>Next, it will be shown that petitioner  meets part two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of the test." To use positions of emphasis more effectively, the writer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could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end  the  first subsection  by saying, "Petitioner  meets part one of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test</w:t>
      </w:r>
      <w:r>
        <w:rPr>
          <w:color w:val="565656"/>
          <w:w w:val="110"/>
        </w:rPr>
        <w:t>.</w:t>
      </w:r>
      <w:r>
        <w:rPr>
          <w:color w:val="383636"/>
          <w:w w:val="110"/>
        </w:rPr>
        <w:t>" After an appropriate, persuasive point heading, the next sub­</w:t>
      </w:r>
      <w:r>
        <w:rPr>
          <w:color w:val="383636"/>
          <w:spacing w:val="1"/>
          <w:w w:val="110"/>
        </w:rPr>
        <w:t> </w:t>
      </w:r>
      <w:r>
        <w:rPr>
          <w:color w:val="383636"/>
          <w:spacing w:val="-1"/>
          <w:w w:val="115"/>
        </w:rPr>
        <w:t>section's text can begin by saying, </w:t>
      </w:r>
      <w:r>
        <w:rPr>
          <w:color w:val="383636"/>
          <w:w w:val="115"/>
        </w:rPr>
        <w:t>e.g., "In addition to meeting part one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09"/>
        </w:rPr>
        <w:t>of</w:t>
      </w:r>
      <w:r>
        <w:rPr>
          <w:color w:val="383636"/>
          <w:spacing w:val="27"/>
        </w:rPr>
        <w:t> </w:t>
      </w:r>
      <w:r>
        <w:rPr>
          <w:color w:val="383636"/>
          <w:spacing w:val="-1"/>
          <w:w w:val="109"/>
        </w:rPr>
        <w:t>th</w:t>
      </w:r>
      <w:r>
        <w:rPr>
          <w:color w:val="383636"/>
          <w:w w:val="109"/>
        </w:rPr>
        <w:t>e</w:t>
      </w:r>
      <w:r>
        <w:rPr>
          <w:color w:val="383636"/>
        </w:rPr>
        <w:t> </w:t>
      </w:r>
      <w:r>
        <w:rPr>
          <w:color w:val="383636"/>
          <w:spacing w:val="2"/>
        </w:rPr>
        <w:t> </w:t>
      </w:r>
      <w:r>
        <w:rPr>
          <w:color w:val="383636"/>
          <w:spacing w:val="-1"/>
          <w:w w:val="117"/>
        </w:rPr>
        <w:t>test</w:t>
      </w:r>
      <w:r>
        <w:rPr>
          <w:color w:val="383636"/>
          <w:w w:val="117"/>
        </w:rPr>
        <w:t>,</w:t>
      </w:r>
      <w:r>
        <w:rPr>
          <w:color w:val="383636"/>
        </w:rPr>
        <w:t> </w:t>
      </w:r>
      <w:r>
        <w:rPr>
          <w:color w:val="383636"/>
          <w:spacing w:val="-29"/>
        </w:rPr>
        <w:t> </w:t>
      </w:r>
      <w:r>
        <w:rPr>
          <w:color w:val="383636"/>
          <w:spacing w:val="-1"/>
          <w:w w:val="114"/>
        </w:rPr>
        <w:t>Petitione</w:t>
      </w:r>
      <w:r>
        <w:rPr>
          <w:color w:val="383636"/>
          <w:w w:val="114"/>
        </w:rPr>
        <w:t>r</w:t>
      </w:r>
      <w:r>
        <w:rPr>
          <w:color w:val="383636"/>
          <w:spacing w:val="23"/>
        </w:rPr>
        <w:t> </w:t>
      </w:r>
      <w:r>
        <w:rPr>
          <w:color w:val="383636"/>
          <w:spacing w:val="-1"/>
          <w:w w:val="117"/>
        </w:rPr>
        <w:t>als</w:t>
      </w:r>
      <w:r>
        <w:rPr>
          <w:color w:val="383636"/>
          <w:w w:val="117"/>
        </w:rPr>
        <w:t>o</w:t>
      </w:r>
      <w:r>
        <w:rPr>
          <w:color w:val="383636"/>
          <w:spacing w:val="15"/>
        </w:rPr>
        <w:t> </w:t>
      </w:r>
      <w:r>
        <w:rPr>
          <w:color w:val="383636"/>
          <w:spacing w:val="-1"/>
          <w:w w:val="113"/>
        </w:rPr>
        <w:t>meet</w:t>
      </w:r>
      <w:r>
        <w:rPr>
          <w:color w:val="383636"/>
          <w:w w:val="113"/>
        </w:rPr>
        <w:t>s</w:t>
      </w:r>
      <w:r>
        <w:rPr>
          <w:color w:val="383636"/>
          <w:spacing w:val="22"/>
        </w:rPr>
        <w:t> </w:t>
      </w:r>
      <w:r>
        <w:rPr>
          <w:color w:val="383636"/>
          <w:w w:val="118"/>
        </w:rPr>
        <w:t>part</w:t>
      </w:r>
      <w:r>
        <w:rPr>
          <w:color w:val="383636"/>
          <w:spacing w:val="16"/>
        </w:rPr>
        <w:t> </w:t>
      </w:r>
      <w:r>
        <w:rPr>
          <w:color w:val="383636"/>
          <w:spacing w:val="-1"/>
          <w:w w:val="118"/>
        </w:rPr>
        <w:t>tw</w:t>
      </w:r>
      <w:r>
        <w:rPr>
          <w:color w:val="383636"/>
          <w:w w:val="118"/>
        </w:rPr>
        <w:t>o</w:t>
      </w:r>
      <w:r>
        <w:rPr>
          <w:color w:val="383636"/>
          <w:spacing w:val="2"/>
        </w:rPr>
        <w:t> </w:t>
      </w:r>
      <w:r>
        <w:rPr>
          <w:color w:val="383636"/>
          <w:w w:val="242"/>
        </w:rPr>
        <w:t>...</w:t>
      </w:r>
      <w:r>
        <w:rPr>
          <w:color w:val="383636"/>
          <w:spacing w:val="-64"/>
          <w:w w:val="242"/>
        </w:rPr>
        <w:t>.</w:t>
      </w:r>
      <w:r>
        <w:rPr>
          <w:color w:val="383636"/>
          <w:spacing w:val="-45"/>
          <w:w w:val="242"/>
        </w:rPr>
        <w:t>"</w:t>
      </w:r>
      <w:r>
        <w:rPr>
          <w:color w:val="383636"/>
          <w:w w:val="242"/>
        </w:rPr>
        <w:t>I</w:t>
      </w:r>
      <w:r>
        <w:rPr>
          <w:color w:val="383636"/>
          <w:spacing w:val="-152"/>
          <w:w w:val="242"/>
        </w:rPr>
        <w:t>n</w:t>
      </w:r>
      <w:r>
        <w:rPr>
          <w:color w:val="383636"/>
          <w:spacing w:val="-1"/>
          <w:w w:val="123"/>
        </w:rPr>
        <w:t>thi</w:t>
      </w:r>
      <w:r>
        <w:rPr>
          <w:color w:val="383636"/>
          <w:w w:val="123"/>
        </w:rPr>
        <w:t>s</w:t>
      </w:r>
      <w:r>
        <w:rPr>
          <w:color w:val="383636"/>
          <w:spacing w:val="6"/>
        </w:rPr>
        <w:t> </w:t>
      </w:r>
      <w:r>
        <w:rPr>
          <w:color w:val="383636"/>
          <w:spacing w:val="-1"/>
          <w:w w:val="106"/>
        </w:rPr>
        <w:t>way</w:t>
      </w:r>
      <w:r>
        <w:rPr>
          <w:color w:val="383636"/>
          <w:w w:val="106"/>
        </w:rPr>
        <w:t>,</w:t>
      </w:r>
      <w:r>
        <w:rPr>
          <w:color w:val="383636"/>
          <w:spacing w:val="22"/>
        </w:rPr>
        <w:t> </w:t>
      </w:r>
      <w:r>
        <w:rPr>
          <w:color w:val="383636"/>
          <w:spacing w:val="-1"/>
          <w:w w:val="106"/>
        </w:rPr>
        <w:t>th</w:t>
      </w:r>
      <w:r>
        <w:rPr>
          <w:color w:val="383636"/>
          <w:w w:val="106"/>
        </w:rPr>
        <w:t>e</w:t>
      </w:r>
      <w:r>
        <w:rPr>
          <w:color w:val="383636"/>
        </w:rPr>
        <w:t> </w:t>
      </w:r>
      <w:r>
        <w:rPr>
          <w:color w:val="383636"/>
          <w:spacing w:val="1"/>
        </w:rPr>
        <w:t> </w:t>
      </w:r>
      <w:r>
        <w:rPr>
          <w:color w:val="383636"/>
          <w:spacing w:val="-1"/>
          <w:w w:val="101"/>
        </w:rPr>
        <w:t>writer </w:t>
      </w:r>
      <w:r>
        <w:rPr>
          <w:color w:val="383636"/>
          <w:w w:val="110"/>
        </w:rPr>
        <w:t>shows a connection  between the  two parts of the  test, but also exploits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the position of emphasis at the end of the first subsection by focusing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on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the  point made in that subsection. This technique can also be use­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ful as a way to support digital readers, who may be jumping to that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portion of the document and would otherwise have no context for the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information</w:t>
      </w:r>
      <w:r>
        <w:rPr>
          <w:color w:val="565656"/>
          <w:w w:val="115"/>
        </w:rPr>
        <w:t>.</w:t>
      </w:r>
    </w:p>
    <w:p>
      <w:pPr>
        <w:pStyle w:val="BodyText"/>
        <w:spacing w:line="232" w:lineRule="auto"/>
        <w:ind w:left="532" w:right="127" w:firstLine="425"/>
        <w:jc w:val="both"/>
      </w:pPr>
      <w:r>
        <w:rPr>
          <w:color w:val="383636"/>
          <w:w w:val="110"/>
        </w:rPr>
        <w:t>The guidelines are slightly different if the  point is dispositive, that Is,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  <w:sz w:val="24"/>
        </w:rPr>
        <w:t>if</w:t>
      </w:r>
      <w:r>
        <w:rPr>
          <w:color w:val="383636"/>
          <w:spacing w:val="3"/>
          <w:w w:val="115"/>
          <w:sz w:val="24"/>
        </w:rPr>
        <w:t> </w:t>
      </w:r>
      <w:r>
        <w:rPr>
          <w:color w:val="383636"/>
          <w:w w:val="115"/>
        </w:rPr>
        <w:t>that</w:t>
      </w:r>
      <w:r>
        <w:rPr>
          <w:color w:val="383636"/>
          <w:spacing w:val="-21"/>
          <w:w w:val="115"/>
        </w:rPr>
        <w:t> </w:t>
      </w:r>
      <w:r>
        <w:rPr>
          <w:color w:val="383636"/>
          <w:w w:val="115"/>
        </w:rPr>
        <w:t>point</w:t>
      </w:r>
      <w:r>
        <w:rPr>
          <w:color w:val="383636"/>
          <w:spacing w:val="-19"/>
          <w:w w:val="115"/>
        </w:rPr>
        <w:t> </w:t>
      </w:r>
      <w:r>
        <w:rPr>
          <w:color w:val="383636"/>
          <w:w w:val="115"/>
        </w:rPr>
        <w:t>alone</w:t>
      </w:r>
      <w:r>
        <w:rPr>
          <w:color w:val="383636"/>
          <w:spacing w:val="-14"/>
          <w:w w:val="115"/>
        </w:rPr>
        <w:t> </w:t>
      </w:r>
      <w:r>
        <w:rPr>
          <w:color w:val="383636"/>
          <w:w w:val="115"/>
        </w:rPr>
        <w:t>can</w:t>
      </w:r>
      <w:r>
        <w:rPr>
          <w:color w:val="383636"/>
          <w:spacing w:val="2"/>
          <w:w w:val="115"/>
        </w:rPr>
        <w:t> </w:t>
      </w:r>
      <w:r>
        <w:rPr>
          <w:color w:val="383636"/>
          <w:w w:val="115"/>
        </w:rPr>
        <w:t>result</w:t>
      </w:r>
      <w:r>
        <w:rPr>
          <w:color w:val="383636"/>
          <w:spacing w:val="-15"/>
          <w:w w:val="115"/>
        </w:rPr>
        <w:t> </w:t>
      </w:r>
      <w:r>
        <w:rPr>
          <w:color w:val="383636"/>
          <w:w w:val="115"/>
        </w:rPr>
        <w:t>in</w:t>
      </w:r>
      <w:r>
        <w:rPr>
          <w:color w:val="383636"/>
          <w:spacing w:val="9"/>
          <w:w w:val="115"/>
        </w:rPr>
        <w:t> </w:t>
      </w:r>
      <w:r>
        <w:rPr>
          <w:color w:val="383636"/>
          <w:w w:val="115"/>
        </w:rPr>
        <w:t>a</w:t>
      </w:r>
      <w:r>
        <w:rPr>
          <w:color w:val="383636"/>
          <w:spacing w:val="6"/>
          <w:w w:val="115"/>
        </w:rPr>
        <w:t> </w:t>
      </w:r>
      <w:r>
        <w:rPr>
          <w:color w:val="383636"/>
          <w:w w:val="115"/>
        </w:rPr>
        <w:t>victory</w:t>
      </w:r>
      <w:r>
        <w:rPr>
          <w:color w:val="383636"/>
          <w:spacing w:val="-18"/>
          <w:w w:val="115"/>
        </w:rPr>
        <w:t> </w:t>
      </w:r>
      <w:r>
        <w:rPr>
          <w:color w:val="383636"/>
          <w:w w:val="115"/>
        </w:rPr>
        <w:t>for</w:t>
      </w:r>
      <w:r>
        <w:rPr>
          <w:color w:val="383636"/>
          <w:spacing w:val="-11"/>
          <w:w w:val="115"/>
        </w:rPr>
        <w:t> </w:t>
      </w:r>
      <w:r>
        <w:rPr>
          <w:color w:val="383636"/>
          <w:w w:val="115"/>
        </w:rPr>
        <w:t>your</w:t>
      </w:r>
      <w:r>
        <w:rPr>
          <w:color w:val="383636"/>
          <w:spacing w:val="-17"/>
          <w:w w:val="115"/>
        </w:rPr>
        <w:t> </w:t>
      </w:r>
      <w:r>
        <w:rPr>
          <w:color w:val="383636"/>
          <w:w w:val="115"/>
        </w:rPr>
        <w:t>client.</w:t>
      </w:r>
      <w:r>
        <w:rPr>
          <w:color w:val="383636"/>
          <w:spacing w:val="-15"/>
          <w:w w:val="115"/>
        </w:rPr>
        <w:t> </w:t>
      </w:r>
      <w:r>
        <w:rPr>
          <w:color w:val="383636"/>
          <w:w w:val="115"/>
        </w:rPr>
        <w:t>In</w:t>
      </w:r>
      <w:r>
        <w:rPr>
          <w:color w:val="383636"/>
          <w:spacing w:val="-5"/>
          <w:w w:val="115"/>
        </w:rPr>
        <w:t> </w:t>
      </w:r>
      <w:r>
        <w:rPr>
          <w:color w:val="383636"/>
          <w:w w:val="115"/>
        </w:rPr>
        <w:t>that</w:t>
      </w:r>
      <w:r>
        <w:rPr>
          <w:color w:val="383636"/>
          <w:spacing w:val="-12"/>
          <w:w w:val="115"/>
        </w:rPr>
        <w:t> </w:t>
      </w:r>
      <w:r>
        <w:rPr>
          <w:color w:val="383636"/>
          <w:w w:val="115"/>
        </w:rPr>
        <w:t>situation,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you  may  want to include terms in your connection-conclusion that serve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as </w:t>
      </w:r>
      <w:r>
        <w:rPr>
          <w:color w:val="565656"/>
          <w:w w:val="115"/>
        </w:rPr>
        <w:t>"</w:t>
      </w:r>
      <w:r>
        <w:rPr>
          <w:color w:val="383636"/>
          <w:w w:val="115"/>
        </w:rPr>
        <w:t>Bacon links" to connect the point to your overall thesis and tell the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court</w:t>
      </w:r>
      <w:r>
        <w:rPr>
          <w:color w:val="383636"/>
          <w:spacing w:val="-1"/>
          <w:w w:val="115"/>
        </w:rPr>
        <w:t> </w:t>
      </w:r>
      <w:r>
        <w:rPr>
          <w:color w:val="383636"/>
          <w:w w:val="115"/>
        </w:rPr>
        <w:t>what</w:t>
      </w:r>
      <w:r>
        <w:rPr>
          <w:color w:val="383636"/>
          <w:spacing w:val="-8"/>
          <w:w w:val="115"/>
        </w:rPr>
        <w:t> </w:t>
      </w:r>
      <w:r>
        <w:rPr>
          <w:color w:val="383636"/>
          <w:w w:val="115"/>
        </w:rPr>
        <w:t>it</w:t>
      </w:r>
      <w:r>
        <w:rPr>
          <w:color w:val="383636"/>
          <w:spacing w:val="-2"/>
          <w:w w:val="115"/>
        </w:rPr>
        <w:t> </w:t>
      </w:r>
      <w:r>
        <w:rPr>
          <w:color w:val="383636"/>
          <w:w w:val="115"/>
        </w:rPr>
        <w:t>must</w:t>
      </w:r>
      <w:r>
        <w:rPr>
          <w:color w:val="383636"/>
          <w:spacing w:val="-8"/>
          <w:w w:val="115"/>
        </w:rPr>
        <w:t> </w:t>
      </w:r>
      <w:r>
        <w:rPr>
          <w:color w:val="383636"/>
          <w:w w:val="115"/>
        </w:rPr>
        <w:t>do:</w:t>
      </w:r>
    </w:p>
    <w:p>
      <w:pPr>
        <w:spacing w:after="0" w:line="232" w:lineRule="auto"/>
        <w:jc w:val="both"/>
        <w:sectPr>
          <w:headerReference w:type="even" r:id="rId277"/>
          <w:headerReference w:type="default" r:id="rId278"/>
          <w:pgSz w:w="9860" w:h="14000"/>
          <w:pgMar w:header="524" w:footer="0" w:top="1120" w:bottom="0" w:left="1360" w:right="200"/>
          <w:pgNumType w:start="246"/>
        </w:sectPr>
      </w:pPr>
    </w:p>
    <w:p>
      <w:pPr>
        <w:tabs>
          <w:tab w:pos="433" w:val="left" w:leader="none"/>
        </w:tabs>
        <w:spacing w:before="86"/>
        <w:ind w:left="110" w:right="0" w:firstLine="0"/>
        <w:jc w:val="left"/>
        <w:rPr>
          <w:rFonts w:ascii="Arial"/>
          <w:sz w:val="14"/>
        </w:rPr>
      </w:pPr>
      <w:r>
        <w:rPr>
          <w:rFonts w:ascii="Arial"/>
          <w:color w:val="383638"/>
          <w:w w:val="100"/>
          <w:sz w:val="14"/>
          <w:u w:val="thick" w:color="606062"/>
        </w:rPr>
        <w:t> </w:t>
      </w:r>
      <w:r>
        <w:rPr>
          <w:rFonts w:ascii="Arial"/>
          <w:color w:val="383638"/>
          <w:sz w:val="14"/>
          <w:u w:val="thick" w:color="606062"/>
        </w:rPr>
        <w:tab/>
      </w:r>
      <w:r>
        <w:rPr>
          <w:rFonts w:ascii="Arial"/>
          <w:color w:val="383638"/>
          <w:sz w:val="14"/>
        </w:rPr>
        <w:t>   </w:t>
      </w:r>
      <w:r>
        <w:rPr>
          <w:rFonts w:ascii="Arial"/>
          <w:color w:val="383638"/>
          <w:spacing w:val="7"/>
          <w:sz w:val="14"/>
        </w:rPr>
        <w:t> </w:t>
      </w:r>
      <w:r>
        <w:rPr>
          <w:rFonts w:ascii="Arial"/>
          <w:color w:val="383638"/>
          <w:w w:val="105"/>
          <w:sz w:val="14"/>
          <w:u w:val="thick" w:color="383638"/>
        </w:rPr>
        <w:t>GOOD</w:t>
      </w:r>
      <w:r>
        <w:rPr>
          <w:rFonts w:ascii="Arial"/>
          <w:color w:val="383638"/>
          <w:spacing w:val="7"/>
          <w:w w:val="105"/>
          <w:sz w:val="14"/>
          <w:u w:val="thick" w:color="383638"/>
        </w:rPr>
        <w:t> </w:t>
      </w:r>
      <w:r>
        <w:rPr>
          <w:rFonts w:ascii="Arial"/>
          <w:color w:val="383638"/>
          <w:w w:val="105"/>
          <w:sz w:val="14"/>
          <w:u w:val="thick" w:color="383638"/>
        </w:rPr>
        <w:t>EXAMPLE</w:t>
      </w:r>
    </w:p>
    <w:p>
      <w:pPr>
        <w:spacing w:line="235" w:lineRule="auto" w:before="105"/>
        <w:ind w:left="613" w:right="901" w:hanging="6"/>
        <w:jc w:val="both"/>
        <w:rPr>
          <w:sz w:val="21"/>
        </w:rPr>
      </w:pPr>
      <w:r>
        <w:rPr>
          <w:color w:val="383638"/>
          <w:w w:val="115"/>
          <w:sz w:val="21"/>
        </w:rPr>
        <w:t>Thus, Respondents, who were conducting a purely commercial activ­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20"/>
          <w:sz w:val="21"/>
        </w:rPr>
        <w:t>ity, were not visitors to a "home" and were not engaging in </w:t>
      </w:r>
      <w:r>
        <w:rPr>
          <w:color w:val="2A2628"/>
          <w:w w:val="120"/>
          <w:sz w:val="21"/>
        </w:rPr>
        <w:t>long­</w:t>
      </w:r>
      <w:r>
        <w:rPr>
          <w:color w:val="2A2628"/>
          <w:spacing w:val="1"/>
          <w:w w:val="120"/>
          <w:sz w:val="21"/>
        </w:rPr>
        <w:t> </w:t>
      </w:r>
      <w:r>
        <w:rPr>
          <w:color w:val="383638"/>
          <w:w w:val="120"/>
          <w:sz w:val="21"/>
        </w:rPr>
        <w:t>standing</w:t>
      </w:r>
      <w:r>
        <w:rPr>
          <w:color w:val="383638"/>
          <w:spacing w:val="-13"/>
          <w:w w:val="120"/>
          <w:sz w:val="21"/>
        </w:rPr>
        <w:t> </w:t>
      </w:r>
      <w:r>
        <w:rPr>
          <w:color w:val="383638"/>
          <w:w w:val="120"/>
          <w:sz w:val="21"/>
        </w:rPr>
        <w:t>social</w:t>
      </w:r>
      <w:r>
        <w:rPr>
          <w:color w:val="383638"/>
          <w:spacing w:val="-11"/>
          <w:w w:val="120"/>
          <w:sz w:val="21"/>
        </w:rPr>
        <w:t> </w:t>
      </w:r>
      <w:r>
        <w:rPr>
          <w:color w:val="383638"/>
          <w:w w:val="120"/>
          <w:sz w:val="21"/>
        </w:rPr>
        <w:t>customs</w:t>
      </w:r>
      <w:r>
        <w:rPr>
          <w:color w:val="383638"/>
          <w:spacing w:val="-5"/>
          <w:w w:val="120"/>
          <w:sz w:val="21"/>
        </w:rPr>
        <w:t> </w:t>
      </w:r>
      <w:r>
        <w:rPr>
          <w:color w:val="383638"/>
          <w:w w:val="120"/>
          <w:sz w:val="21"/>
        </w:rPr>
        <w:t>that</w:t>
      </w:r>
      <w:r>
        <w:rPr>
          <w:color w:val="383638"/>
          <w:spacing w:val="-13"/>
          <w:w w:val="120"/>
          <w:sz w:val="21"/>
        </w:rPr>
        <w:t> </w:t>
      </w:r>
      <w:r>
        <w:rPr>
          <w:color w:val="383638"/>
          <w:w w:val="120"/>
          <w:sz w:val="21"/>
        </w:rPr>
        <w:t>serve</w:t>
      </w:r>
      <w:r>
        <w:rPr>
          <w:color w:val="383638"/>
          <w:spacing w:val="-14"/>
          <w:w w:val="120"/>
          <w:sz w:val="21"/>
        </w:rPr>
        <w:t> </w:t>
      </w:r>
      <w:r>
        <w:rPr>
          <w:color w:val="383638"/>
          <w:w w:val="120"/>
          <w:sz w:val="21"/>
        </w:rPr>
        <w:t>functions</w:t>
      </w:r>
      <w:r>
        <w:rPr>
          <w:color w:val="383638"/>
          <w:spacing w:val="-8"/>
          <w:w w:val="120"/>
          <w:sz w:val="21"/>
        </w:rPr>
        <w:t> </w:t>
      </w:r>
      <w:r>
        <w:rPr>
          <w:color w:val="2A2628"/>
          <w:w w:val="120"/>
          <w:sz w:val="21"/>
        </w:rPr>
        <w:t>recognized </w:t>
      </w:r>
      <w:r>
        <w:rPr>
          <w:color w:val="383638"/>
          <w:w w:val="120"/>
          <w:sz w:val="21"/>
        </w:rPr>
        <w:t>as</w:t>
      </w:r>
      <w:r>
        <w:rPr>
          <w:color w:val="383638"/>
          <w:spacing w:val="4"/>
          <w:w w:val="120"/>
          <w:sz w:val="21"/>
        </w:rPr>
        <w:t> </w:t>
      </w:r>
      <w:r>
        <w:rPr>
          <w:color w:val="383638"/>
          <w:w w:val="120"/>
          <w:sz w:val="21"/>
        </w:rPr>
        <w:t>valuable</w:t>
      </w:r>
      <w:r>
        <w:rPr>
          <w:color w:val="383638"/>
          <w:spacing w:val="-60"/>
          <w:w w:val="120"/>
          <w:sz w:val="21"/>
        </w:rPr>
        <w:t> </w:t>
      </w:r>
      <w:r>
        <w:rPr>
          <w:color w:val="383638"/>
          <w:w w:val="120"/>
          <w:sz w:val="21"/>
        </w:rPr>
        <w:t>by society. While Respondents may have been legitimately in the</w:t>
      </w:r>
      <w:r>
        <w:rPr>
          <w:color w:val="383638"/>
          <w:spacing w:val="1"/>
          <w:w w:val="120"/>
          <w:sz w:val="21"/>
        </w:rPr>
        <w:t> </w:t>
      </w:r>
      <w:r>
        <w:rPr>
          <w:color w:val="383638"/>
          <w:w w:val="120"/>
          <w:sz w:val="21"/>
        </w:rPr>
        <w:t>apartment, </w:t>
      </w:r>
      <w:r>
        <w:rPr>
          <w:color w:val="383638"/>
          <w:w w:val="120"/>
          <w:sz w:val="19"/>
        </w:rPr>
        <w:t>in</w:t>
      </w:r>
      <w:r>
        <w:rPr>
          <w:color w:val="383638"/>
          <w:spacing w:val="1"/>
          <w:w w:val="120"/>
          <w:sz w:val="19"/>
        </w:rPr>
        <w:t> </w:t>
      </w:r>
      <w:r>
        <w:rPr>
          <w:color w:val="383638"/>
          <w:w w:val="120"/>
          <w:sz w:val="21"/>
        </w:rPr>
        <w:t>the sense that Thompson permitted their presence,</w:t>
      </w:r>
      <w:r>
        <w:rPr>
          <w:color w:val="383638"/>
          <w:spacing w:val="1"/>
          <w:w w:val="120"/>
          <w:sz w:val="21"/>
        </w:rPr>
        <w:t> </w:t>
      </w:r>
      <w:r>
        <w:rPr>
          <w:color w:val="383638"/>
          <w:w w:val="115"/>
          <w:sz w:val="21"/>
        </w:rPr>
        <w:t>Respondents did not have any legitimate expectation of privacy in the</w:t>
      </w:r>
      <w:r>
        <w:rPr>
          <w:color w:val="383638"/>
          <w:spacing w:val="-58"/>
          <w:w w:val="115"/>
          <w:sz w:val="21"/>
        </w:rPr>
        <w:t> </w:t>
      </w:r>
      <w:r>
        <w:rPr>
          <w:color w:val="383638"/>
          <w:w w:val="115"/>
          <w:sz w:val="21"/>
        </w:rPr>
        <w:t>apartment because they were present only </w:t>
      </w:r>
      <w:r>
        <w:rPr>
          <w:color w:val="2A2628"/>
          <w:w w:val="115"/>
          <w:sz w:val="21"/>
        </w:rPr>
        <w:t>to </w:t>
      </w:r>
      <w:r>
        <w:rPr>
          <w:color w:val="383638"/>
          <w:w w:val="115"/>
          <w:sz w:val="21"/>
        </w:rPr>
        <w:t>conduct illegal business.</w:t>
      </w:r>
      <w:r>
        <w:rPr>
          <w:color w:val="383638"/>
          <w:spacing w:val="-58"/>
          <w:w w:val="115"/>
          <w:sz w:val="21"/>
        </w:rPr>
        <w:t> </w:t>
      </w:r>
      <w:r>
        <w:rPr>
          <w:color w:val="383638"/>
          <w:w w:val="115"/>
          <w:sz w:val="21"/>
        </w:rPr>
        <w:t>Because Respondents' expectation of privacy was not one that society</w:t>
      </w:r>
      <w:r>
        <w:rPr>
          <w:color w:val="383638"/>
          <w:spacing w:val="-58"/>
          <w:w w:val="115"/>
          <w:sz w:val="21"/>
        </w:rPr>
        <w:t> </w:t>
      </w:r>
      <w:r>
        <w:rPr>
          <w:color w:val="383638"/>
          <w:w w:val="115"/>
          <w:sz w:val="21"/>
        </w:rPr>
        <w:t>recognizes as reasonable, they cannot claim the Fourth Amendment's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protections,</w:t>
      </w:r>
      <w:r>
        <w:rPr>
          <w:color w:val="383638"/>
          <w:spacing w:val="-2"/>
          <w:w w:val="115"/>
          <w:sz w:val="21"/>
        </w:rPr>
        <w:t> </w:t>
      </w:r>
      <w:r>
        <w:rPr>
          <w:color w:val="383638"/>
          <w:w w:val="115"/>
          <w:sz w:val="21"/>
        </w:rPr>
        <w:t>and</w:t>
      </w:r>
      <w:r>
        <w:rPr>
          <w:color w:val="383638"/>
          <w:spacing w:val="34"/>
          <w:w w:val="115"/>
          <w:sz w:val="21"/>
        </w:rPr>
        <w:t> </w:t>
      </w:r>
      <w:r>
        <w:rPr>
          <w:color w:val="383638"/>
          <w:w w:val="115"/>
          <w:sz w:val="21"/>
        </w:rPr>
        <w:t>this</w:t>
      </w:r>
      <w:r>
        <w:rPr>
          <w:color w:val="383638"/>
          <w:spacing w:val="-13"/>
          <w:w w:val="115"/>
          <w:sz w:val="21"/>
        </w:rPr>
        <w:t> </w:t>
      </w:r>
      <w:r>
        <w:rPr>
          <w:color w:val="383638"/>
          <w:w w:val="115"/>
          <w:sz w:val="21"/>
        </w:rPr>
        <w:t>Court</w:t>
      </w:r>
      <w:r>
        <w:rPr>
          <w:color w:val="383638"/>
          <w:spacing w:val="6"/>
          <w:w w:val="115"/>
          <w:sz w:val="21"/>
        </w:rPr>
        <w:t> </w:t>
      </w:r>
      <w:r>
        <w:rPr>
          <w:color w:val="383638"/>
          <w:w w:val="115"/>
          <w:sz w:val="21"/>
        </w:rPr>
        <w:t>must</w:t>
      </w:r>
      <w:r>
        <w:rPr>
          <w:color w:val="383638"/>
          <w:spacing w:val="6"/>
          <w:w w:val="115"/>
          <w:sz w:val="21"/>
        </w:rPr>
        <w:t> </w:t>
      </w:r>
      <w:r>
        <w:rPr>
          <w:color w:val="383638"/>
          <w:w w:val="115"/>
          <w:sz w:val="21"/>
        </w:rPr>
        <w:t>reverse.</w:t>
      </w:r>
    </w:p>
    <w:p>
      <w:pPr>
        <w:pStyle w:val="BodyText"/>
        <w:spacing w:line="232" w:lineRule="auto" w:before="141"/>
        <w:ind w:left="302" w:right="517" w:hanging="19"/>
        <w:jc w:val="both"/>
      </w:pPr>
      <w:r>
        <w:rPr>
          <w:rFonts w:ascii="Arial" w:hAnsi="Arial"/>
          <w:color w:val="383638"/>
          <w:w w:val="110"/>
          <w:sz w:val="22"/>
        </w:rPr>
        <w:t>If </w:t>
      </w:r>
      <w:r>
        <w:rPr>
          <w:color w:val="383638"/>
          <w:w w:val="110"/>
        </w:rPr>
        <w:t>the point is not dispositive, exploit the position of emphasis that a sec­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tion ending provides to articulate a connection-conclusion that hammers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home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3"/>
          <w:w w:val="110"/>
        </w:rPr>
        <w:t> </w:t>
      </w:r>
      <w:r>
        <w:rPr>
          <w:color w:val="383638"/>
          <w:w w:val="110"/>
        </w:rPr>
        <w:t>point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-24"/>
          <w:w w:val="110"/>
        </w:rPr>
        <w:t> </w:t>
      </w:r>
      <w:r>
        <w:rPr>
          <w:color w:val="383638"/>
          <w:w w:val="110"/>
        </w:rPr>
        <w:t>wish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make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26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section.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92"/>
        </w:numPr>
        <w:tabs>
          <w:tab w:pos="1496" w:val="left" w:leader="none"/>
        </w:tabs>
        <w:spacing w:line="240" w:lineRule="auto" w:before="209" w:after="0"/>
        <w:ind w:left="1495" w:right="0" w:hanging="662"/>
        <w:jc w:val="left"/>
        <w:rPr>
          <w:color w:val="383638"/>
          <w:sz w:val="32"/>
        </w:rPr>
      </w:pPr>
    </w:p>
    <w:p>
      <w:pPr>
        <w:spacing w:before="68"/>
        <w:ind w:left="832" w:right="0" w:firstLine="0"/>
        <w:jc w:val="left"/>
        <w:rPr>
          <w:rFonts w:ascii="Arial"/>
          <w:sz w:val="24"/>
        </w:rPr>
      </w:pPr>
      <w:r>
        <w:rPr>
          <w:rFonts w:ascii="Arial"/>
          <w:color w:val="4B494B"/>
          <w:w w:val="105"/>
          <w:sz w:val="26"/>
        </w:rPr>
        <w:t>W</w:t>
      </w:r>
      <w:r>
        <w:rPr>
          <w:rFonts w:ascii="Arial"/>
          <w:color w:val="727475"/>
          <w:w w:val="105"/>
          <w:sz w:val="26"/>
        </w:rPr>
        <w:t>RITIN</w:t>
      </w:r>
      <w:r>
        <w:rPr>
          <w:rFonts w:ascii="Arial"/>
          <w:color w:val="4B494B"/>
          <w:w w:val="105"/>
          <w:sz w:val="26"/>
        </w:rPr>
        <w:t>G</w:t>
      </w:r>
      <w:r>
        <w:rPr>
          <w:rFonts w:ascii="Arial"/>
          <w:color w:val="4B494B"/>
          <w:spacing w:val="48"/>
          <w:w w:val="105"/>
          <w:sz w:val="26"/>
        </w:rPr>
        <w:t> </w:t>
      </w:r>
      <w:r>
        <w:rPr>
          <w:rFonts w:ascii="Arial"/>
          <w:color w:val="383638"/>
          <w:w w:val="105"/>
          <w:sz w:val="24"/>
        </w:rPr>
        <w:t>FOR</w:t>
      </w:r>
      <w:r>
        <w:rPr>
          <w:rFonts w:ascii="Arial"/>
          <w:color w:val="383638"/>
          <w:spacing w:val="25"/>
          <w:w w:val="105"/>
          <w:sz w:val="24"/>
        </w:rPr>
        <w:t> </w:t>
      </w:r>
      <w:r>
        <w:rPr>
          <w:rFonts w:ascii="Arial"/>
          <w:color w:val="2A2628"/>
          <w:w w:val="105"/>
          <w:sz w:val="26"/>
        </w:rPr>
        <w:t>T</w:t>
      </w:r>
      <w:r>
        <w:rPr>
          <w:rFonts w:ascii="Arial"/>
          <w:color w:val="4B494B"/>
          <w:w w:val="105"/>
          <w:sz w:val="26"/>
        </w:rPr>
        <w:t>HE</w:t>
      </w:r>
      <w:r>
        <w:rPr>
          <w:rFonts w:ascii="Arial"/>
          <w:color w:val="4B494B"/>
          <w:spacing w:val="-19"/>
          <w:w w:val="105"/>
          <w:sz w:val="26"/>
        </w:rPr>
        <w:t> </w:t>
      </w:r>
      <w:r>
        <w:rPr>
          <w:rFonts w:ascii="Arial"/>
          <w:color w:val="4B494B"/>
          <w:w w:val="105"/>
          <w:sz w:val="26"/>
        </w:rPr>
        <w:t>DIGITAL</w:t>
      </w:r>
      <w:r>
        <w:rPr>
          <w:rFonts w:ascii="Arial"/>
          <w:color w:val="4B494B"/>
          <w:spacing w:val="21"/>
          <w:w w:val="105"/>
          <w:sz w:val="26"/>
        </w:rPr>
        <w:t> </w:t>
      </w:r>
      <w:r>
        <w:rPr>
          <w:rFonts w:ascii="Arial"/>
          <w:color w:val="383638"/>
          <w:w w:val="105"/>
          <w:sz w:val="24"/>
        </w:rPr>
        <w:t>READER</w:t>
      </w:r>
    </w:p>
    <w:p>
      <w:pPr>
        <w:pStyle w:val="BodyText"/>
        <w:spacing w:before="2"/>
        <w:rPr>
          <w:rFonts w:ascii="Arial"/>
        </w:rPr>
      </w:pPr>
    </w:p>
    <w:p>
      <w:pPr>
        <w:pStyle w:val="BodyText"/>
        <w:spacing w:line="232" w:lineRule="auto"/>
        <w:ind w:left="312" w:right="470" w:firstLine="547"/>
        <w:jc w:val="both"/>
      </w:pPr>
      <w:r>
        <w:rPr>
          <w:color w:val="383638"/>
          <w:w w:val="110"/>
        </w:rPr>
        <w:t>Lawyers,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perhaps more than those 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any other profession,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have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benefitted from the information revolution. We can now access </w:t>
      </w:r>
      <w:r>
        <w:rPr>
          <w:color w:val="383638"/>
          <w:w w:val="110"/>
          <w:sz w:val="21"/>
        </w:rPr>
        <w:t>informa­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</w:rPr>
        <w:t>tion almost anywhere, and at almost any time, thanks not only to smart­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phones, </w:t>
      </w:r>
      <w:r>
        <w:rPr>
          <w:color w:val="2A2628"/>
          <w:w w:val="110"/>
        </w:rPr>
        <w:t>laptops, </w:t>
      </w:r>
      <w:r>
        <w:rPr>
          <w:color w:val="383638"/>
          <w:w w:val="110"/>
        </w:rPr>
        <w:t>and tablets, but also to computer research databases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wireless access to those databases. Furthermore, once we have access </w:t>
      </w:r>
      <w:r>
        <w:rPr>
          <w:color w:val="2A2628"/>
          <w:w w:val="105"/>
        </w:rPr>
        <w:t>to </w:t>
      </w:r>
      <w:r>
        <w:rPr>
          <w:color w:val="383638"/>
          <w:w w:val="105"/>
        </w:rPr>
        <w:t>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information, we can use a variety of search mechanisms to find words or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statute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numbers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weare</w:t>
      </w:r>
      <w:r>
        <w:rPr>
          <w:color w:val="383638"/>
          <w:spacing w:val="-26"/>
          <w:w w:val="110"/>
        </w:rPr>
        <w:t> </w:t>
      </w:r>
      <w:r>
        <w:rPr>
          <w:color w:val="383638"/>
          <w:w w:val="110"/>
        </w:rPr>
        <w:t>interested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in.</w:t>
      </w:r>
    </w:p>
    <w:p>
      <w:pPr>
        <w:pStyle w:val="BodyText"/>
        <w:tabs>
          <w:tab w:pos="4876" w:val="left" w:leader="none"/>
        </w:tabs>
        <w:spacing w:line="232" w:lineRule="auto" w:before="6"/>
        <w:ind w:left="325" w:right="429" w:firstLine="323"/>
        <w:jc w:val="both"/>
        <w:rPr>
          <w:rFonts w:ascii="Arial" w:hAnsi="Arial"/>
          <w:sz w:val="12"/>
        </w:rPr>
      </w:pPr>
      <w:r>
        <w:rPr>
          <w:color w:val="383638"/>
          <w:w w:val="110"/>
        </w:rPr>
        <w:t>But easy access comes with costs as well as benefits, and scientific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research is beginning to show that digital readers do not read or compre­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hend information as effectively as readers of hard-copy documents.•</w:t>
      </w:r>
      <w:r>
        <w:rPr>
          <w:rFonts w:ascii="Arial" w:hAnsi="Arial"/>
          <w:color w:val="383638"/>
          <w:w w:val="110"/>
          <w:position w:val="7"/>
          <w:sz w:val="13"/>
        </w:rPr>
        <w:t>0</w:t>
      </w:r>
      <w:r>
        <w:rPr>
          <w:rFonts w:ascii="Arial" w:hAnsi="Arial"/>
          <w:color w:val="383638"/>
          <w:spacing w:val="1"/>
          <w:w w:val="110"/>
          <w:position w:val="7"/>
          <w:sz w:val="13"/>
        </w:rPr>
        <w:t> </w:t>
      </w:r>
      <w:r>
        <w:rPr>
          <w:color w:val="383638"/>
          <w:w w:val="110"/>
        </w:rPr>
        <w:t>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first glance, this </w:t>
      </w:r>
      <w:r>
        <w:rPr>
          <w:color w:val="4B494B"/>
          <w:w w:val="110"/>
        </w:rPr>
        <w:t>result </w:t>
      </w:r>
      <w:r>
        <w:rPr>
          <w:color w:val="383638"/>
          <w:w w:val="110"/>
        </w:rPr>
        <w:t>seems surprising. After all, judges and clerks read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both digital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paper documents </w:t>
      </w:r>
      <w:r>
        <w:rPr>
          <w:color w:val="2A2628"/>
          <w:w w:val="110"/>
        </w:rPr>
        <w:t>by </w:t>
      </w:r>
      <w:r>
        <w:rPr>
          <w:color w:val="383638"/>
          <w:w w:val="110"/>
        </w:rPr>
        <w:t>deciphering the same 26 letters, by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using </w:t>
      </w:r>
      <w:r>
        <w:rPr>
          <w:color w:val="2A2628"/>
          <w:w w:val="110"/>
        </w:rPr>
        <w:t>thei</w:t>
      </w:r>
      <w:r>
        <w:rPr>
          <w:color w:val="4B494B"/>
          <w:w w:val="110"/>
        </w:rPr>
        <w:t>r </w:t>
      </w:r>
      <w:r>
        <w:rPr>
          <w:color w:val="383638"/>
          <w:w w:val="110"/>
        </w:rPr>
        <w:t>eyes to read those letters, and by moving their eyes from left to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right across the line of text</w:t>
      </w:r>
      <w:r>
        <w:rPr>
          <w:color w:val="606062"/>
          <w:w w:val="110"/>
        </w:rPr>
        <w:t>. </w:t>
      </w:r>
      <w:r>
        <w:rPr>
          <w:color w:val="383638"/>
          <w:w w:val="110"/>
        </w:rPr>
        <w:t>But it turns out that </w:t>
      </w:r>
      <w:r>
        <w:rPr>
          <w:color w:val="2A2628"/>
          <w:w w:val="110"/>
        </w:rPr>
        <w:t>the </w:t>
      </w:r>
      <w:r>
        <w:rPr>
          <w:color w:val="383638"/>
          <w:w w:val="110"/>
        </w:rPr>
        <w:t>medium in which we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encounter the written word has an </w:t>
      </w:r>
      <w:r>
        <w:rPr>
          <w:color w:val="4B494B"/>
          <w:w w:val="110"/>
        </w:rPr>
        <w:t>effect </w:t>
      </w:r>
      <w:r>
        <w:rPr>
          <w:color w:val="383638"/>
          <w:w w:val="110"/>
        </w:rPr>
        <w:t>on how well we comprehend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information</w:t>
      </w:r>
      <w:r>
        <w:rPr>
          <w:color w:val="383638"/>
          <w:spacing w:val="25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we</w:t>
      </w:r>
      <w:r>
        <w:rPr>
          <w:color w:val="383638"/>
          <w:spacing w:val="-31"/>
          <w:w w:val="110"/>
        </w:rPr>
        <w:t> </w:t>
      </w:r>
      <w:r>
        <w:rPr>
          <w:color w:val="383638"/>
          <w:w w:val="110"/>
        </w:rPr>
        <w:t>read.</w:t>
      </w:r>
      <w:r>
        <w:rPr>
          <w:rFonts w:ascii="Arial" w:hAnsi="Arial"/>
          <w:color w:val="383638"/>
          <w:w w:val="110"/>
          <w:position w:val="10"/>
          <w:sz w:val="12"/>
        </w:rPr>
        <w:t>11</w:t>
        <w:tab/>
      </w:r>
      <w:r>
        <w:rPr>
          <w:rFonts w:ascii="Arial" w:hAnsi="Arial"/>
          <w:color w:val="606062"/>
          <w:w w:val="110"/>
          <w:sz w:val="12"/>
        </w:rPr>
        <w:t>·</w:t>
      </w:r>
    </w:p>
    <w:p>
      <w:pPr>
        <w:pStyle w:val="BodyText"/>
        <w:spacing w:line="228" w:lineRule="auto"/>
        <w:ind w:left="371" w:right="424" w:firstLine="287"/>
        <w:jc w:val="both"/>
      </w:pPr>
      <w:r>
        <w:rPr>
          <w:color w:val="383638"/>
          <w:w w:val="115"/>
        </w:rPr>
        <w:t>First, </w:t>
      </w:r>
      <w:r>
        <w:rPr>
          <w:color w:val="2A2628"/>
          <w:w w:val="115"/>
        </w:rPr>
        <w:t>judges </w:t>
      </w:r>
      <w:r>
        <w:rPr>
          <w:color w:val="383638"/>
          <w:w w:val="115"/>
        </w:rPr>
        <w:t>and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clerks-like all readers-are reading with more than</w:t>
      </w:r>
      <w:r>
        <w:rPr>
          <w:color w:val="383638"/>
          <w:spacing w:val="1"/>
          <w:w w:val="115"/>
        </w:rPr>
        <w:t> </w:t>
      </w:r>
      <w:r>
        <w:rPr>
          <w:color w:val="4B494B"/>
          <w:w w:val="115"/>
        </w:rPr>
        <w:t>just</w:t>
      </w:r>
      <w:r>
        <w:rPr>
          <w:color w:val="4B494B"/>
          <w:spacing w:val="-2"/>
          <w:w w:val="115"/>
        </w:rPr>
        <w:t> </w:t>
      </w:r>
      <w:r>
        <w:rPr>
          <w:color w:val="383638"/>
          <w:w w:val="115"/>
        </w:rPr>
        <w:t>their</w:t>
      </w:r>
      <w:r>
        <w:rPr>
          <w:color w:val="383638"/>
          <w:spacing w:val="-2"/>
          <w:w w:val="115"/>
        </w:rPr>
        <w:t> </w:t>
      </w:r>
      <w:r>
        <w:rPr>
          <w:color w:val="383638"/>
          <w:w w:val="115"/>
        </w:rPr>
        <w:t>eyes.</w:t>
      </w:r>
      <w:r>
        <w:rPr>
          <w:color w:val="383638"/>
          <w:spacing w:val="-1"/>
          <w:w w:val="115"/>
        </w:rPr>
        <w:t> </w:t>
      </w:r>
      <w:r>
        <w:rPr>
          <w:color w:val="383638"/>
          <w:w w:val="115"/>
          <w:sz w:val="22"/>
        </w:rPr>
        <w:t>If</w:t>
      </w:r>
      <w:r>
        <w:rPr>
          <w:color w:val="383638"/>
          <w:spacing w:val="24"/>
          <w:w w:val="115"/>
          <w:sz w:val="22"/>
        </w:rPr>
        <w:t> </w:t>
      </w:r>
      <w:r>
        <w:rPr>
          <w:color w:val="383638"/>
          <w:w w:val="115"/>
        </w:rPr>
        <w:t>they</w:t>
      </w:r>
      <w:r>
        <w:rPr>
          <w:color w:val="383638"/>
          <w:spacing w:val="7"/>
          <w:w w:val="115"/>
        </w:rPr>
        <w:t> </w:t>
      </w:r>
      <w:r>
        <w:rPr>
          <w:color w:val="383638"/>
          <w:w w:val="115"/>
        </w:rPr>
        <w:t>are</w:t>
      </w:r>
      <w:r>
        <w:rPr>
          <w:color w:val="383638"/>
          <w:spacing w:val="2"/>
          <w:w w:val="115"/>
        </w:rPr>
        <w:t> </w:t>
      </w:r>
      <w:r>
        <w:rPr>
          <w:color w:val="383638"/>
          <w:w w:val="115"/>
        </w:rPr>
        <w:t>reading</w:t>
      </w:r>
      <w:r>
        <w:rPr>
          <w:color w:val="383638"/>
          <w:spacing w:val="9"/>
          <w:w w:val="115"/>
        </w:rPr>
        <w:t> </w:t>
      </w:r>
      <w:r>
        <w:rPr>
          <w:color w:val="383638"/>
          <w:w w:val="115"/>
        </w:rPr>
        <w:t>a</w:t>
      </w:r>
      <w:r>
        <w:rPr>
          <w:color w:val="383638"/>
          <w:spacing w:val="16"/>
          <w:w w:val="115"/>
        </w:rPr>
        <w:t> </w:t>
      </w:r>
      <w:r>
        <w:rPr>
          <w:color w:val="383638"/>
          <w:w w:val="115"/>
        </w:rPr>
        <w:t>hard-copy</w:t>
      </w:r>
      <w:r>
        <w:rPr>
          <w:color w:val="383638"/>
          <w:spacing w:val="14"/>
          <w:w w:val="115"/>
        </w:rPr>
        <w:t> </w:t>
      </w:r>
      <w:r>
        <w:rPr>
          <w:color w:val="383638"/>
          <w:w w:val="115"/>
        </w:rPr>
        <w:t>brief,</w:t>
      </w:r>
      <w:r>
        <w:rPr>
          <w:color w:val="383638"/>
          <w:spacing w:val="13"/>
          <w:w w:val="115"/>
        </w:rPr>
        <w:t> </w:t>
      </w:r>
      <w:r>
        <w:rPr>
          <w:color w:val="383638"/>
          <w:w w:val="115"/>
        </w:rPr>
        <w:t>they are</w:t>
      </w:r>
      <w:r>
        <w:rPr>
          <w:color w:val="383638"/>
          <w:spacing w:val="-4"/>
          <w:w w:val="115"/>
        </w:rPr>
        <w:t> </w:t>
      </w:r>
      <w:r>
        <w:rPr>
          <w:color w:val="383638"/>
          <w:w w:val="115"/>
        </w:rPr>
        <w:t>aware</w:t>
      </w:r>
      <w:r>
        <w:rPr>
          <w:color w:val="383638"/>
          <w:spacing w:val="-1"/>
          <w:w w:val="115"/>
        </w:rPr>
        <w:t> </w:t>
      </w:r>
      <w:r>
        <w:rPr>
          <w:color w:val="383638"/>
          <w:w w:val="115"/>
        </w:rPr>
        <w:t>of</w:t>
      </w:r>
    </w:p>
    <w:p>
      <w:pPr>
        <w:pStyle w:val="BodyText"/>
        <w:spacing w:before="10"/>
        <w:rPr>
          <w:sz w:val="38"/>
        </w:rPr>
      </w:pPr>
    </w:p>
    <w:p>
      <w:pPr>
        <w:spacing w:line="196" w:lineRule="auto" w:before="0"/>
        <w:ind w:left="349" w:right="388" w:firstLine="310"/>
        <w:jc w:val="both"/>
        <w:rPr>
          <w:rFonts w:ascii="Arial"/>
          <w:sz w:val="16"/>
        </w:rPr>
      </w:pPr>
      <w:r>
        <w:rPr>
          <w:color w:val="383638"/>
          <w:w w:val="105"/>
          <w:position w:val="5"/>
          <w:sz w:val="10"/>
        </w:rPr>
        <w:t>10 </w:t>
      </w:r>
      <w:r>
        <w:rPr>
          <w:i/>
          <w:color w:val="383638"/>
          <w:w w:val="105"/>
          <w:sz w:val="17"/>
        </w:rPr>
        <w:t>E.g., </w:t>
      </w:r>
      <w:r>
        <w:rPr>
          <w:color w:val="383638"/>
          <w:w w:val="105"/>
          <w:sz w:val="18"/>
        </w:rPr>
        <w:t>Anne Mangen, Bente R. Walgermo </w:t>
      </w:r>
      <w:r>
        <w:rPr>
          <w:color w:val="383638"/>
          <w:w w:val="105"/>
          <w:sz w:val="17"/>
        </w:rPr>
        <w:t>&amp; </w:t>
      </w:r>
      <w:r>
        <w:rPr>
          <w:color w:val="383638"/>
          <w:w w:val="105"/>
          <w:sz w:val="18"/>
        </w:rPr>
        <w:t>Kolbjom Bronnlck, </w:t>
      </w:r>
      <w:r>
        <w:rPr>
          <w:i/>
          <w:color w:val="383638"/>
          <w:w w:val="105"/>
          <w:sz w:val="17"/>
        </w:rPr>
        <w:t>Reading Linear Texts </w:t>
      </w:r>
      <w:r>
        <w:rPr>
          <w:rFonts w:ascii="Arial"/>
          <w:i/>
          <w:color w:val="383638"/>
          <w:w w:val="105"/>
          <w:sz w:val="11"/>
        </w:rPr>
        <w:t>011 </w:t>
      </w:r>
      <w:r>
        <w:rPr>
          <w:i/>
          <w:color w:val="383638"/>
          <w:w w:val="105"/>
          <w:sz w:val="17"/>
        </w:rPr>
        <w:t>Paper</w:t>
      </w:r>
      <w:r>
        <w:rPr>
          <w:i/>
          <w:color w:val="383638"/>
          <w:spacing w:val="1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vmus</w:t>
      </w:r>
      <w:r>
        <w:rPr>
          <w:i/>
          <w:color w:val="383638"/>
          <w:spacing w:val="-7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Computer</w:t>
      </w:r>
      <w:r>
        <w:rPr>
          <w:i/>
          <w:color w:val="383638"/>
          <w:spacing w:val="-1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Screen:</w:t>
      </w:r>
      <w:r>
        <w:rPr>
          <w:i/>
          <w:color w:val="383638"/>
          <w:spacing w:val="2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Effects</w:t>
      </w:r>
      <w:r>
        <w:rPr>
          <w:i/>
          <w:color w:val="383638"/>
          <w:spacing w:val="4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on</w:t>
      </w:r>
      <w:r>
        <w:rPr>
          <w:i/>
          <w:color w:val="383638"/>
          <w:spacing w:val="27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Reading </w:t>
      </w:r>
      <w:r>
        <w:rPr>
          <w:i/>
          <w:color w:val="4B494B"/>
          <w:w w:val="105"/>
          <w:sz w:val="17"/>
        </w:rPr>
        <w:t>Comprehms/011,</w:t>
      </w:r>
      <w:r>
        <w:rPr>
          <w:i/>
          <w:color w:val="4B494B"/>
          <w:spacing w:val="-14"/>
          <w:w w:val="105"/>
          <w:sz w:val="17"/>
        </w:rPr>
        <w:t> </w:t>
      </w:r>
      <w:r>
        <w:rPr>
          <w:color w:val="383638"/>
          <w:w w:val="105"/>
          <w:sz w:val="18"/>
        </w:rPr>
        <w:t>58</w:t>
      </w:r>
      <w:r>
        <w:rPr>
          <w:color w:val="383638"/>
          <w:spacing w:val="30"/>
          <w:w w:val="105"/>
          <w:sz w:val="18"/>
        </w:rPr>
        <w:t> </w:t>
      </w:r>
      <w:r>
        <w:rPr>
          <w:color w:val="2A2628"/>
          <w:w w:val="105"/>
          <w:sz w:val="18"/>
        </w:rPr>
        <w:t>Intl.</w:t>
      </w:r>
      <w:r>
        <w:rPr>
          <w:color w:val="2A2628"/>
          <w:spacing w:val="-14"/>
          <w:w w:val="105"/>
          <w:sz w:val="18"/>
        </w:rPr>
        <w:t> </w:t>
      </w:r>
      <w:r>
        <w:rPr>
          <w:color w:val="383638"/>
          <w:w w:val="105"/>
          <w:sz w:val="21"/>
        </w:rPr>
        <w:t>J.</w:t>
      </w:r>
      <w:r>
        <w:rPr>
          <w:color w:val="383638"/>
          <w:spacing w:val="-15"/>
          <w:w w:val="105"/>
          <w:sz w:val="21"/>
        </w:rPr>
        <w:t> </w:t>
      </w:r>
      <w:r>
        <w:rPr>
          <w:color w:val="383638"/>
          <w:w w:val="105"/>
          <w:sz w:val="18"/>
        </w:rPr>
        <w:t>Educ.</w:t>
      </w:r>
      <w:r>
        <w:rPr>
          <w:color w:val="383638"/>
          <w:spacing w:val="4"/>
          <w:w w:val="105"/>
          <w:sz w:val="18"/>
        </w:rPr>
        <w:t> </w:t>
      </w:r>
      <w:r>
        <w:rPr>
          <w:color w:val="383638"/>
          <w:w w:val="105"/>
          <w:sz w:val="18"/>
        </w:rPr>
        <w:t>Re</w:t>
      </w:r>
      <w:r>
        <w:rPr>
          <w:color w:val="606062"/>
          <w:w w:val="105"/>
          <w:sz w:val="18"/>
        </w:rPr>
        <w:t>s</w:t>
      </w:r>
      <w:r>
        <w:rPr>
          <w:color w:val="383638"/>
          <w:w w:val="105"/>
          <w:sz w:val="18"/>
        </w:rPr>
        <w:t>earch</w:t>
      </w:r>
      <w:r>
        <w:rPr>
          <w:color w:val="383638"/>
          <w:spacing w:val="32"/>
          <w:w w:val="105"/>
          <w:sz w:val="18"/>
        </w:rPr>
        <w:t> </w:t>
      </w:r>
      <w:r>
        <w:rPr>
          <w:rFonts w:ascii="Arial"/>
          <w:color w:val="383638"/>
          <w:w w:val="105"/>
          <w:sz w:val="16"/>
        </w:rPr>
        <w:t>61-68</w:t>
      </w:r>
      <w:r>
        <w:rPr>
          <w:rFonts w:ascii="Arial"/>
          <w:color w:val="383638"/>
          <w:spacing w:val="2"/>
          <w:w w:val="105"/>
          <w:sz w:val="16"/>
        </w:rPr>
        <w:t> </w:t>
      </w:r>
      <w:r>
        <w:rPr>
          <w:rFonts w:ascii="Arial"/>
          <w:color w:val="383638"/>
          <w:w w:val="105"/>
          <w:sz w:val="16"/>
        </w:rPr>
        <w:t>(2013).</w:t>
      </w:r>
    </w:p>
    <w:p>
      <w:pPr>
        <w:spacing w:line="211" w:lineRule="auto" w:before="17"/>
        <w:ind w:left="351" w:right="408" w:hanging="9"/>
        <w:jc w:val="both"/>
        <w:rPr>
          <w:sz w:val="18"/>
        </w:rPr>
      </w:pPr>
      <w:r>
        <w:rPr>
          <w:color w:val="4B494B"/>
          <w:w w:val="105"/>
          <w:sz w:val="18"/>
        </w:rPr>
        <w:t>•subjects </w:t>
      </w:r>
      <w:r>
        <w:rPr>
          <w:color w:val="383638"/>
          <w:w w:val="105"/>
          <w:sz w:val="18"/>
        </w:rPr>
        <w:t>who</w:t>
      </w:r>
      <w:r>
        <w:rPr>
          <w:color w:val="383638"/>
          <w:spacing w:val="1"/>
          <w:w w:val="105"/>
          <w:sz w:val="18"/>
        </w:rPr>
        <w:t> </w:t>
      </w:r>
      <w:r>
        <w:rPr>
          <w:color w:val="383638"/>
          <w:w w:val="105"/>
          <w:sz w:val="18"/>
        </w:rPr>
        <w:t>read the texts on paper performed significantly better [on reading comprehension</w:t>
      </w:r>
      <w:r>
        <w:rPr>
          <w:color w:val="383638"/>
          <w:spacing w:val="1"/>
          <w:w w:val="105"/>
          <w:sz w:val="18"/>
        </w:rPr>
        <w:t> </w:t>
      </w:r>
      <w:r>
        <w:rPr>
          <w:color w:val="383638"/>
          <w:w w:val="105"/>
          <w:sz w:val="18"/>
        </w:rPr>
        <w:t>tests)</w:t>
      </w:r>
      <w:r>
        <w:rPr>
          <w:color w:val="383638"/>
          <w:spacing w:val="2"/>
          <w:w w:val="105"/>
          <w:sz w:val="18"/>
        </w:rPr>
        <w:t> </w:t>
      </w:r>
      <w:r>
        <w:rPr>
          <w:color w:val="4B494B"/>
          <w:w w:val="105"/>
          <w:sz w:val="18"/>
        </w:rPr>
        <w:t>than</w:t>
      </w:r>
      <w:r>
        <w:rPr>
          <w:color w:val="4B494B"/>
          <w:spacing w:val="-12"/>
          <w:w w:val="105"/>
          <w:sz w:val="18"/>
        </w:rPr>
        <w:t> </w:t>
      </w:r>
      <w:r>
        <w:rPr>
          <w:color w:val="4B494B"/>
          <w:w w:val="105"/>
          <w:sz w:val="18"/>
        </w:rPr>
        <w:t>subjects</w:t>
      </w:r>
      <w:r>
        <w:rPr>
          <w:color w:val="4B494B"/>
          <w:spacing w:val="4"/>
          <w:w w:val="105"/>
          <w:sz w:val="18"/>
        </w:rPr>
        <w:t> </w:t>
      </w:r>
      <w:r>
        <w:rPr>
          <w:color w:val="383638"/>
          <w:w w:val="105"/>
          <w:sz w:val="18"/>
        </w:rPr>
        <w:t>who</w:t>
      </w:r>
      <w:r>
        <w:rPr>
          <w:color w:val="383638"/>
          <w:spacing w:val="12"/>
          <w:w w:val="105"/>
          <w:sz w:val="18"/>
        </w:rPr>
        <w:t> </w:t>
      </w:r>
      <w:r>
        <w:rPr>
          <w:color w:val="383638"/>
          <w:w w:val="105"/>
          <w:sz w:val="18"/>
        </w:rPr>
        <w:t>read</w:t>
      </w:r>
      <w:r>
        <w:rPr>
          <w:color w:val="383638"/>
          <w:spacing w:val="-3"/>
          <w:w w:val="105"/>
          <w:sz w:val="18"/>
        </w:rPr>
        <w:t> </w:t>
      </w:r>
      <w:r>
        <w:rPr>
          <w:color w:val="383638"/>
          <w:w w:val="105"/>
          <w:sz w:val="18"/>
        </w:rPr>
        <w:t>the</w:t>
      </w:r>
      <w:r>
        <w:rPr>
          <w:color w:val="383638"/>
          <w:spacing w:val="23"/>
          <w:w w:val="105"/>
          <w:sz w:val="18"/>
        </w:rPr>
        <w:t> </w:t>
      </w:r>
      <w:r>
        <w:rPr>
          <w:color w:val="383638"/>
          <w:w w:val="105"/>
          <w:sz w:val="18"/>
        </w:rPr>
        <w:t>texts</w:t>
      </w:r>
      <w:r>
        <w:rPr>
          <w:color w:val="383638"/>
          <w:spacing w:val="-25"/>
          <w:w w:val="105"/>
          <w:sz w:val="18"/>
        </w:rPr>
        <w:t> </w:t>
      </w:r>
      <w:r>
        <w:rPr>
          <w:color w:val="383638"/>
          <w:w w:val="105"/>
          <w:sz w:val="18"/>
        </w:rPr>
        <w:t>on</w:t>
      </w:r>
      <w:r>
        <w:rPr>
          <w:color w:val="383638"/>
          <w:spacing w:val="26"/>
          <w:w w:val="105"/>
          <w:sz w:val="18"/>
        </w:rPr>
        <w:t> </w:t>
      </w:r>
      <w:r>
        <w:rPr>
          <w:color w:val="383638"/>
          <w:w w:val="105"/>
          <w:sz w:val="18"/>
        </w:rPr>
        <w:t>the</w:t>
      </w:r>
      <w:r>
        <w:rPr>
          <w:color w:val="383638"/>
          <w:spacing w:val="-2"/>
          <w:w w:val="105"/>
          <w:sz w:val="18"/>
        </w:rPr>
        <w:t> </w:t>
      </w:r>
      <w:r>
        <w:rPr>
          <w:color w:val="4B494B"/>
          <w:w w:val="105"/>
          <w:sz w:val="18"/>
        </w:rPr>
        <w:t>compute</w:t>
      </w:r>
      <w:r>
        <w:rPr>
          <w:color w:val="2A2628"/>
          <w:w w:val="105"/>
          <w:sz w:val="18"/>
        </w:rPr>
        <w:t>r</w:t>
      </w:r>
      <w:r>
        <w:rPr>
          <w:color w:val="2A2628"/>
          <w:spacing w:val="4"/>
          <w:w w:val="105"/>
          <w:sz w:val="18"/>
        </w:rPr>
        <w:t> </w:t>
      </w:r>
      <w:r>
        <w:rPr>
          <w:color w:val="383638"/>
          <w:w w:val="105"/>
          <w:sz w:val="18"/>
        </w:rPr>
        <w:t>screen.•</w:t>
      </w:r>
      <w:r>
        <w:rPr>
          <w:color w:val="383638"/>
          <w:spacing w:val="-8"/>
          <w:w w:val="105"/>
          <w:sz w:val="18"/>
        </w:rPr>
        <w:t> </w:t>
      </w:r>
      <w:r>
        <w:rPr>
          <w:rFonts w:ascii="Arial" w:hAnsi="Arial"/>
          <w:i/>
          <w:color w:val="383638"/>
          <w:w w:val="105"/>
          <w:sz w:val="17"/>
        </w:rPr>
        <w:t>Id.</w:t>
      </w:r>
      <w:r>
        <w:rPr>
          <w:rFonts w:ascii="Arial" w:hAnsi="Arial"/>
          <w:i/>
          <w:color w:val="383638"/>
          <w:spacing w:val="-12"/>
          <w:w w:val="105"/>
          <w:sz w:val="17"/>
        </w:rPr>
        <w:t> </w:t>
      </w:r>
      <w:r>
        <w:rPr>
          <w:color w:val="383638"/>
          <w:w w:val="105"/>
          <w:sz w:val="18"/>
        </w:rPr>
        <w:t>at</w:t>
      </w:r>
      <w:r>
        <w:rPr>
          <w:color w:val="383638"/>
          <w:spacing w:val="5"/>
          <w:w w:val="105"/>
          <w:sz w:val="18"/>
        </w:rPr>
        <w:t> </w:t>
      </w:r>
      <w:r>
        <w:rPr>
          <w:color w:val="383638"/>
          <w:w w:val="105"/>
          <w:sz w:val="18"/>
        </w:rPr>
        <w:t>65.</w:t>
      </w:r>
    </w:p>
    <w:p>
      <w:pPr>
        <w:spacing w:line="228" w:lineRule="auto" w:before="9"/>
        <w:ind w:left="348" w:right="374" w:firstLine="311"/>
        <w:jc w:val="both"/>
        <w:rPr>
          <w:sz w:val="18"/>
        </w:rPr>
      </w:pPr>
      <w:r>
        <w:rPr>
          <w:color w:val="383638"/>
          <w:w w:val="110"/>
          <w:position w:val="4"/>
          <w:sz w:val="10"/>
        </w:rPr>
        <w:t>11 </w:t>
      </w:r>
      <w:r>
        <w:rPr>
          <w:color w:val="383638"/>
          <w:w w:val="110"/>
          <w:sz w:val="18"/>
        </w:rPr>
        <w:t>furthermore, the package that gives us those accessible documents-whether It ls a desk­</w:t>
      </w:r>
      <w:r>
        <w:rPr>
          <w:color w:val="383638"/>
          <w:spacing w:val="1"/>
          <w:w w:val="110"/>
          <w:sz w:val="18"/>
        </w:rPr>
        <w:t> </w:t>
      </w:r>
      <w:r>
        <w:rPr>
          <w:color w:val="4B494B"/>
          <w:w w:val="110"/>
          <w:sz w:val="18"/>
        </w:rPr>
        <w:t>top, </w:t>
      </w:r>
      <w:r>
        <w:rPr>
          <w:color w:val="383638"/>
          <w:w w:val="110"/>
          <w:sz w:val="18"/>
        </w:rPr>
        <w:t>a laptop, a tablet, or an !Phone-also brings with It a host of distractions that can affoct our</w:t>
      </w:r>
      <w:r>
        <w:rPr>
          <w:color w:val="383638"/>
          <w:spacing w:val="1"/>
          <w:w w:val="110"/>
          <w:sz w:val="18"/>
        </w:rPr>
        <w:t> </w:t>
      </w:r>
      <w:r>
        <w:rPr>
          <w:color w:val="383638"/>
          <w:w w:val="110"/>
          <w:sz w:val="17"/>
        </w:rPr>
        <w:t>iblllty</w:t>
      </w:r>
      <w:r>
        <w:rPr>
          <w:color w:val="383638"/>
          <w:spacing w:val="-16"/>
          <w:w w:val="110"/>
          <w:sz w:val="17"/>
        </w:rPr>
        <w:t> </w:t>
      </w:r>
      <w:r>
        <w:rPr>
          <w:color w:val="383638"/>
          <w:w w:val="110"/>
          <w:sz w:val="18"/>
        </w:rPr>
        <w:t>to read</w:t>
      </w:r>
      <w:r>
        <w:rPr>
          <w:color w:val="383638"/>
          <w:spacing w:val="-2"/>
          <w:w w:val="110"/>
          <w:sz w:val="18"/>
        </w:rPr>
        <w:t> </w:t>
      </w:r>
      <w:r>
        <w:rPr>
          <w:color w:val="383638"/>
          <w:w w:val="110"/>
          <w:sz w:val="18"/>
        </w:rPr>
        <w:t>and</w:t>
      </w:r>
      <w:r>
        <w:rPr>
          <w:color w:val="383638"/>
          <w:spacing w:val="32"/>
          <w:w w:val="110"/>
          <w:sz w:val="18"/>
        </w:rPr>
        <w:t> </w:t>
      </w:r>
      <w:r>
        <w:rPr>
          <w:color w:val="383638"/>
          <w:w w:val="110"/>
          <w:sz w:val="18"/>
        </w:rPr>
        <w:t>retain</w:t>
      </w:r>
      <w:r>
        <w:rPr>
          <w:color w:val="383638"/>
          <w:spacing w:val="1"/>
          <w:w w:val="110"/>
          <w:sz w:val="18"/>
        </w:rPr>
        <w:t> </w:t>
      </w:r>
      <w:r>
        <w:rPr>
          <w:color w:val="383638"/>
          <w:w w:val="110"/>
          <w:sz w:val="18"/>
        </w:rPr>
        <w:t>the</w:t>
      </w:r>
      <w:r>
        <w:rPr>
          <w:color w:val="383638"/>
          <w:spacing w:val="-6"/>
          <w:w w:val="110"/>
          <w:sz w:val="18"/>
        </w:rPr>
        <w:t> </w:t>
      </w:r>
      <w:r>
        <w:rPr>
          <w:color w:val="383638"/>
          <w:w w:val="110"/>
          <w:sz w:val="18"/>
        </w:rPr>
        <w:t>lnformatlon</w:t>
      </w:r>
      <w:r>
        <w:rPr>
          <w:color w:val="383638"/>
          <w:spacing w:val="4"/>
          <w:w w:val="110"/>
          <w:sz w:val="18"/>
        </w:rPr>
        <w:t> </w:t>
      </w:r>
      <w:r>
        <w:rPr>
          <w:color w:val="383638"/>
          <w:w w:val="110"/>
          <w:sz w:val="18"/>
        </w:rPr>
        <w:t>that</w:t>
      </w:r>
      <w:r>
        <w:rPr>
          <w:color w:val="383638"/>
          <w:spacing w:val="1"/>
          <w:w w:val="110"/>
          <w:sz w:val="18"/>
        </w:rPr>
        <w:t> </w:t>
      </w:r>
      <w:r>
        <w:rPr>
          <w:color w:val="383638"/>
          <w:w w:val="110"/>
          <w:sz w:val="18"/>
        </w:rPr>
        <w:t>we</w:t>
      </w:r>
      <w:r>
        <w:rPr>
          <w:color w:val="383638"/>
          <w:spacing w:val="-3"/>
          <w:w w:val="110"/>
          <w:sz w:val="18"/>
        </w:rPr>
        <w:t> </w:t>
      </w:r>
      <w:r>
        <w:rPr>
          <w:color w:val="383638"/>
          <w:w w:val="110"/>
          <w:sz w:val="18"/>
        </w:rPr>
        <w:t>read.</w:t>
      </w:r>
    </w:p>
    <w:p>
      <w:pPr>
        <w:spacing w:after="0" w:line="228" w:lineRule="auto"/>
        <w:jc w:val="both"/>
        <w:rPr>
          <w:sz w:val="18"/>
        </w:rPr>
        <w:sectPr>
          <w:pgSz w:w="9730" w:h="14000"/>
          <w:pgMar w:header="688" w:footer="0" w:top="1320" w:bottom="280" w:left="100" w:right="1340"/>
        </w:sectPr>
      </w:pPr>
    </w:p>
    <w:p>
      <w:pPr>
        <w:pStyle w:val="BodyText"/>
        <w:spacing w:line="230" w:lineRule="auto" w:before="89"/>
        <w:ind w:left="752" w:right="127" w:firstLine="25"/>
        <w:jc w:val="both"/>
      </w:pP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heft of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document, and of where they are within </w:t>
      </w:r>
      <w:r>
        <w:rPr>
          <w:color w:val="383638"/>
          <w:w w:val="135"/>
        </w:rPr>
        <w:t>it-the </w:t>
      </w:r>
      <w:r>
        <w:rPr>
          <w:color w:val="383638"/>
          <w:w w:val="110"/>
        </w:rPr>
        <w:t>begin­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ning,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middle,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or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end.</w:t>
      </w:r>
      <w:r>
        <w:rPr>
          <w:color w:val="383638"/>
          <w:spacing w:val="-36"/>
          <w:w w:val="110"/>
        </w:rPr>
        <w:t> </w:t>
      </w:r>
      <w:r>
        <w:rPr>
          <w:color w:val="383638"/>
          <w:w w:val="110"/>
        </w:rPr>
        <w:t>They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have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this</w:t>
      </w:r>
      <w:r>
        <w:rPr>
          <w:color w:val="383638"/>
          <w:spacing w:val="-26"/>
          <w:w w:val="110"/>
        </w:rPr>
        <w:t> </w:t>
      </w:r>
      <w:r>
        <w:rPr>
          <w:color w:val="383638"/>
          <w:w w:val="110"/>
        </w:rPr>
        <w:t>awareness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without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making</w:t>
      </w:r>
      <w:r>
        <w:rPr>
          <w:color w:val="383638"/>
          <w:spacing w:val="-24"/>
          <w:w w:val="110"/>
        </w:rPr>
        <w:t> </w:t>
      </w:r>
      <w:r>
        <w:rPr>
          <w:color w:val="383638"/>
          <w:w w:val="110"/>
        </w:rPr>
        <w:t>conscious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effort, without even glancing around for a page number. In other words,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they encounter the information physically as well as visually, and </w:t>
      </w:r>
      <w:r>
        <w:rPr>
          <w:color w:val="383638"/>
          <w:w w:val="110"/>
          <w:sz w:val="24"/>
        </w:rPr>
        <w:t>they</w:t>
      </w:r>
      <w:r>
        <w:rPr>
          <w:color w:val="383638"/>
          <w:spacing w:val="1"/>
          <w:w w:val="110"/>
          <w:sz w:val="24"/>
        </w:rPr>
        <w:t> </w:t>
      </w:r>
      <w:r>
        <w:rPr>
          <w:color w:val="383638"/>
          <w:w w:val="110"/>
        </w:rPr>
        <w:t>maintain a subconscious image of the </w:t>
      </w:r>
      <w:r>
        <w:rPr>
          <w:color w:val="4B4B4B"/>
          <w:w w:val="110"/>
        </w:rPr>
        <w:t>complete </w:t>
      </w:r>
      <w:r>
        <w:rPr>
          <w:color w:val="383638"/>
          <w:w w:val="110"/>
        </w:rPr>
        <w:t>document. Even as </w:t>
      </w:r>
      <w:r>
        <w:rPr>
          <w:color w:val="383638"/>
          <w:w w:val="110"/>
          <w:sz w:val="24"/>
        </w:rPr>
        <w:t>they</w:t>
      </w:r>
      <w:r>
        <w:rPr>
          <w:color w:val="383638"/>
          <w:spacing w:val="1"/>
          <w:w w:val="110"/>
          <w:sz w:val="24"/>
        </w:rPr>
        <w:t> </w:t>
      </w:r>
      <w:r>
        <w:rPr>
          <w:color w:val="383638"/>
          <w:w w:val="105"/>
        </w:rPr>
        <w:t>focus on one page, one sentence, or one word, they subconsciously imag­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ine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physical context of the words they are reading, often retaining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both the location within the document and the location on the page or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pair of pages.</w:t>
      </w:r>
      <w:r>
        <w:rPr>
          <w:color w:val="383638"/>
          <w:w w:val="105"/>
          <w:vertAlign w:val="superscript"/>
        </w:rPr>
        <w:t>12</w:t>
      </w:r>
      <w:r>
        <w:rPr>
          <w:color w:val="383638"/>
          <w:w w:val="105"/>
          <w:vertAlign w:val="baseline"/>
        </w:rPr>
        <w:t> Because they have this spatial concept of how the pieces of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10"/>
          <w:vertAlign w:val="baseline"/>
        </w:rPr>
        <w:t>information fit into the document, they can more easily grasp both large­</w:t>
      </w:r>
      <w:r>
        <w:rPr>
          <w:color w:val="383638"/>
          <w:spacing w:val="-6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and</w:t>
      </w:r>
      <w:r>
        <w:rPr>
          <w:color w:val="383638"/>
          <w:spacing w:val="58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small-scale</w:t>
      </w:r>
      <w:r>
        <w:rPr>
          <w:color w:val="383638"/>
          <w:spacing w:val="-4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organization.</w:t>
      </w:r>
    </w:p>
    <w:p>
      <w:pPr>
        <w:pStyle w:val="BodyText"/>
        <w:spacing w:line="235" w:lineRule="auto"/>
        <w:ind w:left="700" w:right="113" w:firstLine="413"/>
        <w:jc w:val="right"/>
      </w:pPr>
      <w:r>
        <w:rPr>
          <w:color w:val="383638"/>
          <w:w w:val="110"/>
        </w:rPr>
        <w:t>When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people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read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digital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documents,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33"/>
          <w:w w:val="110"/>
        </w:rPr>
        <w:t> </w:t>
      </w:r>
      <w:r>
        <w:rPr>
          <w:color w:val="383638"/>
          <w:w w:val="110"/>
        </w:rPr>
        <w:t>contrast,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it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more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difficult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for them to conceptualize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parts they are not reading. They know that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an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electronic</w:t>
      </w:r>
      <w:r>
        <w:rPr>
          <w:color w:val="383638"/>
          <w:spacing w:val="-14"/>
          <w:w w:val="110"/>
        </w:rPr>
        <w:t> </w:t>
      </w:r>
      <w:r>
        <w:rPr>
          <w:color w:val="383638"/>
          <w:spacing w:val="-1"/>
          <w:w w:val="110"/>
        </w:rPr>
        <w:t>brief</w:t>
      </w:r>
      <w:r>
        <w:rPr>
          <w:color w:val="383638"/>
          <w:w w:val="110"/>
        </w:rPr>
        <w:t> </w:t>
      </w:r>
      <w:r>
        <w:rPr>
          <w:color w:val="383638"/>
          <w:spacing w:val="-1"/>
          <w:w w:val="110"/>
        </w:rPr>
        <w:t>does</w:t>
      </w:r>
      <w:r>
        <w:rPr>
          <w:color w:val="383638"/>
          <w:spacing w:val="-29"/>
          <w:w w:val="110"/>
        </w:rPr>
        <w:t> </w:t>
      </w:r>
      <w:r>
        <w:rPr>
          <w:color w:val="383638"/>
          <w:spacing w:val="-1"/>
          <w:w w:val="110"/>
        </w:rPr>
        <w:t>not</w:t>
      </w:r>
      <w:r>
        <w:rPr>
          <w:color w:val="383638"/>
          <w:spacing w:val="8"/>
          <w:w w:val="110"/>
        </w:rPr>
        <w:t> </w:t>
      </w:r>
      <w:r>
        <w:rPr>
          <w:color w:val="383638"/>
          <w:spacing w:val="-1"/>
          <w:w w:val="110"/>
        </w:rPr>
        <w:t>exist</w:t>
      </w:r>
      <w:r>
        <w:rPr>
          <w:color w:val="383638"/>
          <w:spacing w:val="-25"/>
          <w:w w:val="110"/>
        </w:rPr>
        <w:t> </w:t>
      </w:r>
      <w:r>
        <w:rPr>
          <w:color w:val="383638"/>
          <w:spacing w:val="-1"/>
          <w:w w:val="110"/>
        </w:rPr>
        <w:t>inside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computer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-21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physical</w:t>
      </w:r>
      <w:r>
        <w:rPr>
          <w:color w:val="383638"/>
          <w:spacing w:val="-28"/>
          <w:w w:val="110"/>
        </w:rPr>
        <w:t> </w:t>
      </w:r>
      <w:r>
        <w:rPr>
          <w:color w:val="383638"/>
          <w:w w:val="110"/>
        </w:rPr>
        <w:t>stack</w:t>
      </w:r>
      <w:r>
        <w:rPr>
          <w:color w:val="383638"/>
          <w:spacing w:val="-34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pages; even if their electronic device simulates the </w:t>
      </w:r>
      <w:r>
        <w:rPr>
          <w:color w:val="383638"/>
          <w:w w:val="110"/>
        </w:rPr>
        <w:t>sound of pages turning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as they read, they never perceive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physical movement from the begin­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ning of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document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end: physically,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they perceive every page</w:t>
      </w:r>
      <w:r>
        <w:rPr>
          <w:color w:val="383638"/>
          <w:spacing w:val="-61"/>
          <w:w w:val="110"/>
        </w:rPr>
        <w:t> </w:t>
      </w:r>
      <w:r>
        <w:rPr>
          <w:color w:val="383638"/>
          <w:spacing w:val="-1"/>
          <w:w w:val="110"/>
        </w:rPr>
        <w:t>identically. Comprehension suffers even more </w:t>
      </w:r>
      <w:r>
        <w:rPr>
          <w:color w:val="383638"/>
          <w:w w:val="110"/>
        </w:rPr>
        <w:t>if they must scroll through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document-a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common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occurrence-because 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even 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that 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identical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physical</w:t>
      </w:r>
      <w:r>
        <w:rPr>
          <w:color w:val="383638"/>
          <w:spacing w:val="-14"/>
          <w:w w:val="110"/>
        </w:rPr>
        <w:t> </w:t>
      </w:r>
      <w:r>
        <w:rPr>
          <w:color w:val="383638"/>
          <w:spacing w:val="-1"/>
          <w:w w:val="110"/>
        </w:rPr>
        <w:t>context</w:t>
      </w:r>
      <w:r>
        <w:rPr>
          <w:color w:val="383638"/>
          <w:spacing w:val="-9"/>
          <w:w w:val="110"/>
        </w:rPr>
        <w:t> </w:t>
      </w:r>
      <w:r>
        <w:rPr>
          <w:color w:val="383638"/>
          <w:spacing w:val="-1"/>
          <w:w w:val="110"/>
        </w:rPr>
        <w:t>is</w:t>
      </w:r>
      <w:r>
        <w:rPr>
          <w:color w:val="383638"/>
          <w:spacing w:val="-29"/>
          <w:w w:val="110"/>
        </w:rPr>
        <w:t> </w:t>
      </w:r>
      <w:r>
        <w:rPr>
          <w:color w:val="383638"/>
          <w:spacing w:val="-1"/>
          <w:w w:val="110"/>
        </w:rPr>
        <w:t>impermanent,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words</w:t>
      </w:r>
      <w:r>
        <w:rPr>
          <w:color w:val="383638"/>
          <w:spacing w:val="-23"/>
          <w:w w:val="110"/>
        </w:rPr>
        <w:t> </w:t>
      </w:r>
      <w:r>
        <w:rPr>
          <w:color w:val="383638"/>
          <w:w w:val="110"/>
        </w:rPr>
        <w:t>rise</w:t>
      </w:r>
      <w:r>
        <w:rPr>
          <w:color w:val="383638"/>
          <w:spacing w:val="-26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fall</w:t>
      </w:r>
      <w:r>
        <w:rPr>
          <w:color w:val="383638"/>
          <w:spacing w:val="-23"/>
          <w:w w:val="110"/>
        </w:rPr>
        <w:t> </w:t>
      </w:r>
      <w:r>
        <w:rPr>
          <w:color w:val="383638"/>
          <w:w w:val="110"/>
        </w:rPr>
        <w:t>on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screen.</w:t>
      </w:r>
      <w:r>
        <w:rPr>
          <w:color w:val="383638"/>
          <w:w w:val="110"/>
          <w:position w:val="5"/>
          <w:sz w:val="14"/>
        </w:rPr>
        <w:t>13</w:t>
      </w:r>
      <w:r>
        <w:rPr>
          <w:color w:val="383638"/>
          <w:spacing w:val="1"/>
          <w:w w:val="110"/>
          <w:position w:val="5"/>
          <w:sz w:val="14"/>
        </w:rPr>
        <w:t> </w:t>
      </w:r>
      <w:r>
        <w:rPr>
          <w:color w:val="383638"/>
          <w:spacing w:val="-1"/>
          <w:w w:val="110"/>
        </w:rPr>
        <w:t>Accordingly, when reading </w:t>
      </w:r>
      <w:r>
        <w:rPr>
          <w:color w:val="383638"/>
          <w:w w:val="110"/>
        </w:rPr>
        <w:t>digital documents, readers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users must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work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harder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25"/>
          <w:w w:val="110"/>
        </w:rPr>
        <w:t> </w:t>
      </w:r>
      <w:r>
        <w:rPr>
          <w:color w:val="383638"/>
          <w:w w:val="110"/>
        </w:rPr>
        <w:t>understand</w:t>
      </w:r>
      <w:r>
        <w:rPr>
          <w:color w:val="383638"/>
          <w:spacing w:val="30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content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organization</w:t>
      </w:r>
      <w:r>
        <w:rPr>
          <w:color w:val="383638"/>
          <w:spacing w:val="29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25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49"/>
          <w:w w:val="110"/>
        </w:rPr>
        <w:t> </w:t>
      </w:r>
      <w:r>
        <w:rPr>
          <w:color w:val="383638"/>
          <w:w w:val="110"/>
        </w:rPr>
        <w:t>informa­</w:t>
      </w:r>
      <w:r>
        <w:rPr>
          <w:color w:val="383638"/>
          <w:spacing w:val="-60"/>
          <w:w w:val="110"/>
        </w:rPr>
        <w:t> </w:t>
      </w:r>
      <w:r>
        <w:rPr>
          <w:color w:val="383638"/>
          <w:w w:val="110"/>
        </w:rPr>
        <w:t>tion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brief.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This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requirement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creates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problem,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course: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We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can't</w:t>
      </w:r>
    </w:p>
    <w:p>
      <w:pPr>
        <w:pStyle w:val="BodyText"/>
        <w:spacing w:line="239" w:lineRule="exact"/>
        <w:ind w:left="703"/>
        <w:jc w:val="both"/>
      </w:pPr>
      <w:r>
        <w:rPr>
          <w:color w:val="383638"/>
          <w:w w:val="110"/>
        </w:rPr>
        <w:t>be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sure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our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readers will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do</w:t>
      </w:r>
      <w:r>
        <w:rPr>
          <w:color w:val="383638"/>
          <w:spacing w:val="26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8"/>
          <w:w w:val="110"/>
        </w:rPr>
        <w:t> </w:t>
      </w:r>
      <w:r>
        <w:rPr>
          <w:color w:val="383638"/>
          <w:w w:val="110"/>
        </w:rPr>
        <w:t>extra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work.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So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what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should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we</w:t>
      </w:r>
      <w:r>
        <w:rPr>
          <w:color w:val="383638"/>
          <w:spacing w:val="-24"/>
          <w:w w:val="110"/>
        </w:rPr>
        <w:t> </w:t>
      </w:r>
      <w:r>
        <w:rPr>
          <w:color w:val="383638"/>
          <w:w w:val="110"/>
        </w:rPr>
        <w:t>do?</w:t>
      </w:r>
    </w:p>
    <w:p>
      <w:pPr>
        <w:pStyle w:val="BodyText"/>
        <w:spacing w:line="232" w:lineRule="auto"/>
        <w:ind w:left="655" w:right="127" w:firstLine="392"/>
        <w:jc w:val="both"/>
        <w:rPr>
          <w:rFonts w:ascii="Arial" w:hAnsi="Arial"/>
          <w:sz w:val="12"/>
        </w:rPr>
      </w:pPr>
      <w:r>
        <w:rPr>
          <w:color w:val="383638"/>
          <w:w w:val="110"/>
        </w:rPr>
        <w:t>Alas, we cannot force hard copies into the hands of judges and clerks;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digital documents are here to stay. Instead of getting rid of digital docu­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ments, we must use writing and presentation techniques that compensate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8"/>
          <w:w w:val="110"/>
        </w:rPr>
        <w:t> </w:t>
      </w:r>
      <w:r>
        <w:rPr>
          <w:color w:val="383638"/>
          <w:w w:val="110"/>
        </w:rPr>
        <w:t>hard-copy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benefits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are</w:t>
      </w:r>
      <w:r>
        <w:rPr>
          <w:color w:val="383638"/>
          <w:spacing w:val="-34"/>
          <w:w w:val="110"/>
        </w:rPr>
        <w:t> </w:t>
      </w:r>
      <w:r>
        <w:rPr>
          <w:color w:val="383638"/>
          <w:w w:val="110"/>
        </w:rPr>
        <w:t>lost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digital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documents.</w:t>
      </w:r>
      <w:r>
        <w:rPr>
          <w:rFonts w:ascii="Arial" w:hAnsi="Arial"/>
          <w:color w:val="383638"/>
          <w:w w:val="110"/>
          <w:position w:val="8"/>
          <w:sz w:val="12"/>
        </w:rPr>
        <w:t>14</w:t>
      </w:r>
    </w:p>
    <w:p>
      <w:pPr>
        <w:pStyle w:val="BodyText"/>
        <w:spacing w:line="232" w:lineRule="auto" w:before="1"/>
        <w:ind w:left="605" w:right="131" w:firstLine="422"/>
        <w:jc w:val="both"/>
      </w:pPr>
      <w:r>
        <w:rPr>
          <w:color w:val="383638"/>
          <w:w w:val="115"/>
        </w:rPr>
        <w:t>First, use enumeration and headings to provide digital readers with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0"/>
        </w:rPr>
        <w:t>finding</w:t>
      </w:r>
      <w:r>
        <w:rPr>
          <w:color w:val="383638"/>
          <w:spacing w:val="-27"/>
          <w:w w:val="110"/>
        </w:rPr>
        <w:t> </w:t>
      </w:r>
      <w:r>
        <w:rPr>
          <w:color w:val="383638"/>
          <w:w w:val="110"/>
        </w:rPr>
        <w:t>tools</w:t>
      </w:r>
      <w:r>
        <w:rPr>
          <w:color w:val="383638"/>
          <w:spacing w:val="-27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signals.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know</w:t>
      </w:r>
      <w:r>
        <w:rPr>
          <w:color w:val="383638"/>
          <w:spacing w:val="-21"/>
          <w:w w:val="110"/>
        </w:rPr>
        <w:t> </w:t>
      </w:r>
      <w:r>
        <w:rPr>
          <w:color w:val="383638"/>
          <w:w w:val="110"/>
        </w:rPr>
        <w:t>from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own</w:t>
      </w:r>
      <w:r>
        <w:rPr>
          <w:color w:val="383638"/>
          <w:spacing w:val="27"/>
          <w:w w:val="110"/>
        </w:rPr>
        <w:t> </w:t>
      </w:r>
      <w:r>
        <w:rPr>
          <w:color w:val="383638"/>
          <w:w w:val="110"/>
        </w:rPr>
        <w:t>behavior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-29"/>
          <w:w w:val="110"/>
        </w:rPr>
        <w:t> </w:t>
      </w:r>
      <w:r>
        <w:rPr>
          <w:color w:val="4B4B4B"/>
          <w:w w:val="110"/>
        </w:rPr>
        <w:t>a</w:t>
      </w:r>
      <w:r>
        <w:rPr>
          <w:color w:val="4B4B4B"/>
          <w:spacing w:val="-1"/>
          <w:w w:val="110"/>
        </w:rPr>
        <w:t> </w:t>
      </w:r>
      <w:r>
        <w:rPr>
          <w:color w:val="383638"/>
          <w:w w:val="110"/>
        </w:rPr>
        <w:t>digi­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tal researcher, digital readers may </w:t>
      </w:r>
      <w:r>
        <w:rPr>
          <w:color w:val="4B4B4B"/>
          <w:w w:val="110"/>
        </w:rPr>
        <w:t>skip </w:t>
      </w:r>
      <w:r>
        <w:rPr>
          <w:color w:val="383638"/>
          <w:w w:val="110"/>
        </w:rPr>
        <w:t>around in a document and have lit­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tle idea where they have landed most recently. Thus, </w:t>
      </w:r>
      <w:r>
        <w:rPr>
          <w:color w:val="4B4B4B"/>
          <w:w w:val="110"/>
        </w:rPr>
        <w:t>you </w:t>
      </w:r>
      <w:r>
        <w:rPr>
          <w:color w:val="383638"/>
          <w:w w:val="110"/>
        </w:rPr>
        <w:t>may want to use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labels on your headings to let them know where they are. Traditional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roman/alphabet</w:t>
      </w:r>
      <w:r>
        <w:rPr>
          <w:color w:val="383638"/>
          <w:spacing w:val="-28"/>
          <w:w w:val="110"/>
        </w:rPr>
        <w:t> </w:t>
      </w:r>
      <w:r>
        <w:rPr>
          <w:color w:val="383638"/>
          <w:w w:val="110"/>
        </w:rPr>
        <w:t>labels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may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not</w:t>
      </w:r>
      <w:r>
        <w:rPr>
          <w:color w:val="383638"/>
          <w:spacing w:val="39"/>
          <w:w w:val="110"/>
        </w:rPr>
        <w:t> </w:t>
      </w:r>
      <w:r>
        <w:rPr>
          <w:color w:val="383638"/>
          <w:w w:val="110"/>
        </w:rPr>
        <w:t>be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helpful: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8"/>
        </w:rPr>
      </w:pPr>
    </w:p>
    <w:p>
      <w:pPr>
        <w:spacing w:line="228" w:lineRule="auto" w:before="0"/>
        <w:ind w:left="552" w:right="145" w:firstLine="405"/>
        <w:jc w:val="both"/>
        <w:rPr>
          <w:sz w:val="18"/>
        </w:rPr>
      </w:pPr>
      <w:r>
        <w:rPr>
          <w:i/>
          <w:color w:val="383638"/>
          <w:w w:val="105"/>
          <w:sz w:val="19"/>
        </w:rPr>
        <w:t>usee </w:t>
      </w:r>
      <w:r>
        <w:rPr>
          <w:color w:val="383638"/>
          <w:w w:val="105"/>
          <w:sz w:val="18"/>
        </w:rPr>
        <w:t>Mangen </w:t>
      </w:r>
      <w:r>
        <w:rPr>
          <w:color w:val="383638"/>
          <w:w w:val="105"/>
          <w:sz w:val="17"/>
        </w:rPr>
        <w:t>et</w:t>
      </w:r>
      <w:r>
        <w:rPr>
          <w:color w:val="383638"/>
          <w:spacing w:val="1"/>
          <w:w w:val="105"/>
          <w:sz w:val="17"/>
        </w:rPr>
        <w:t> </w:t>
      </w:r>
      <w:r>
        <w:rPr>
          <w:color w:val="4B4B4B"/>
          <w:w w:val="105"/>
          <w:sz w:val="18"/>
        </w:rPr>
        <w:t>al., </w:t>
      </w:r>
      <w:r>
        <w:rPr>
          <w:i/>
          <w:color w:val="383638"/>
          <w:w w:val="105"/>
          <w:sz w:val="19"/>
        </w:rPr>
        <w:t>supra </w:t>
      </w:r>
      <w:r>
        <w:rPr>
          <w:color w:val="383638"/>
          <w:w w:val="105"/>
          <w:sz w:val="18"/>
        </w:rPr>
        <w:t>note 10, at 65-66 ("Evidence suggests that readers often recall</w:t>
      </w:r>
      <w:r>
        <w:rPr>
          <w:color w:val="383638"/>
          <w:spacing w:val="1"/>
          <w:w w:val="105"/>
          <w:sz w:val="18"/>
        </w:rPr>
        <w:t> </w:t>
      </w:r>
      <w:r>
        <w:rPr>
          <w:color w:val="383638"/>
          <w:w w:val="105"/>
          <w:sz w:val="18"/>
        </w:rPr>
        <w:t>where in a text some particular pieceof </w:t>
      </w:r>
      <w:r>
        <w:rPr>
          <w:color w:val="4B4B4B"/>
          <w:w w:val="105"/>
          <w:sz w:val="18"/>
        </w:rPr>
        <w:t>Information  </w:t>
      </w:r>
      <w:r>
        <w:rPr>
          <w:color w:val="383638"/>
          <w:w w:val="105"/>
          <w:sz w:val="18"/>
        </w:rPr>
        <w:t>appeared  (e.g., toward the  upper right comer</w:t>
      </w:r>
      <w:r>
        <w:rPr>
          <w:color w:val="383638"/>
          <w:spacing w:val="1"/>
          <w:w w:val="105"/>
          <w:sz w:val="18"/>
        </w:rPr>
        <w:t> </w:t>
      </w:r>
      <w:r>
        <w:rPr>
          <w:color w:val="383638"/>
          <w:spacing w:val="-1"/>
          <w:w w:val="110"/>
          <w:sz w:val="18"/>
        </w:rPr>
        <w:t>or</w:t>
      </w:r>
      <w:r>
        <w:rPr>
          <w:color w:val="383638"/>
          <w:spacing w:val="5"/>
          <w:w w:val="110"/>
          <w:sz w:val="18"/>
        </w:rPr>
        <w:t> </w:t>
      </w:r>
      <w:r>
        <w:rPr>
          <w:color w:val="4B4B4B"/>
          <w:spacing w:val="-1"/>
          <w:w w:val="110"/>
          <w:sz w:val="18"/>
        </w:rPr>
        <w:t>at</w:t>
      </w:r>
      <w:r>
        <w:rPr>
          <w:color w:val="4B4B4B"/>
          <w:spacing w:val="22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the</w:t>
      </w:r>
      <w:r>
        <w:rPr>
          <w:color w:val="383638"/>
          <w:spacing w:val="21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bottom</w:t>
      </w:r>
      <w:r>
        <w:rPr>
          <w:color w:val="383638"/>
          <w:spacing w:val="-9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of</w:t>
      </w:r>
      <w:r>
        <w:rPr>
          <w:color w:val="383638"/>
          <w:spacing w:val="-17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the</w:t>
      </w:r>
      <w:r>
        <w:rPr>
          <w:color w:val="383638"/>
          <w:spacing w:val="8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page)</w:t>
      </w:r>
      <w:r>
        <w:rPr>
          <w:color w:val="383638"/>
          <w:spacing w:val="11"/>
          <w:w w:val="110"/>
          <w:sz w:val="18"/>
        </w:rPr>
        <w:t> </w:t>
      </w:r>
      <w:r>
        <w:rPr>
          <w:color w:val="383638"/>
          <w:w w:val="110"/>
          <w:sz w:val="18"/>
        </w:rPr>
        <w:t>{Tjhe</w:t>
      </w:r>
      <w:r>
        <w:rPr>
          <w:color w:val="383638"/>
          <w:spacing w:val="-29"/>
          <w:w w:val="110"/>
          <w:sz w:val="18"/>
        </w:rPr>
        <w:t> </w:t>
      </w:r>
      <w:r>
        <w:rPr>
          <w:color w:val="383638"/>
          <w:w w:val="110"/>
          <w:sz w:val="18"/>
        </w:rPr>
        <w:t>fixity</w:t>
      </w:r>
      <w:r>
        <w:rPr>
          <w:color w:val="383638"/>
          <w:spacing w:val="-22"/>
          <w:w w:val="110"/>
          <w:sz w:val="18"/>
        </w:rPr>
        <w:t> </w:t>
      </w:r>
      <w:r>
        <w:rPr>
          <w:color w:val="4B4B4B"/>
          <w:w w:val="110"/>
          <w:sz w:val="18"/>
        </w:rPr>
        <w:t>of </w:t>
      </w:r>
      <w:r>
        <w:rPr>
          <w:color w:val="383638"/>
          <w:w w:val="110"/>
          <w:sz w:val="18"/>
        </w:rPr>
        <w:t>text</w:t>
      </w:r>
      <w:r>
        <w:rPr>
          <w:color w:val="383638"/>
          <w:spacing w:val="-7"/>
          <w:w w:val="110"/>
          <w:sz w:val="18"/>
        </w:rPr>
        <w:t> </w:t>
      </w:r>
      <w:r>
        <w:rPr>
          <w:color w:val="383638"/>
          <w:w w:val="110"/>
          <w:sz w:val="18"/>
        </w:rPr>
        <w:t>printed</w:t>
      </w:r>
      <w:r>
        <w:rPr>
          <w:color w:val="383638"/>
          <w:spacing w:val="-18"/>
          <w:w w:val="110"/>
          <w:sz w:val="18"/>
        </w:rPr>
        <w:t> </w:t>
      </w:r>
      <w:r>
        <w:rPr>
          <w:color w:val="383638"/>
          <w:w w:val="110"/>
          <w:sz w:val="18"/>
        </w:rPr>
        <w:t>on</w:t>
      </w:r>
      <w:r>
        <w:rPr>
          <w:color w:val="383638"/>
          <w:spacing w:val="16"/>
          <w:w w:val="110"/>
          <w:sz w:val="18"/>
        </w:rPr>
        <w:t> </w:t>
      </w:r>
      <w:r>
        <w:rPr>
          <w:color w:val="383638"/>
          <w:w w:val="110"/>
          <w:sz w:val="18"/>
        </w:rPr>
        <w:t>paper</w:t>
      </w:r>
      <w:r>
        <w:rPr>
          <w:color w:val="383638"/>
          <w:spacing w:val="-20"/>
          <w:w w:val="110"/>
          <w:sz w:val="18"/>
        </w:rPr>
        <w:t> </w:t>
      </w:r>
      <w:r>
        <w:rPr>
          <w:color w:val="383638"/>
          <w:w w:val="110"/>
          <w:sz w:val="18"/>
        </w:rPr>
        <w:t>supports</w:t>
      </w:r>
      <w:r>
        <w:rPr>
          <w:color w:val="383638"/>
          <w:spacing w:val="-12"/>
          <w:w w:val="110"/>
          <w:sz w:val="18"/>
        </w:rPr>
        <w:t> </w:t>
      </w:r>
      <w:r>
        <w:rPr>
          <w:color w:val="383638"/>
          <w:w w:val="110"/>
          <w:sz w:val="18"/>
        </w:rPr>
        <w:t>reader's</w:t>
      </w:r>
      <w:r>
        <w:rPr>
          <w:color w:val="383638"/>
          <w:spacing w:val="-31"/>
          <w:w w:val="110"/>
          <w:sz w:val="18"/>
        </w:rPr>
        <w:t> </w:t>
      </w:r>
      <w:r>
        <w:rPr>
          <w:color w:val="4B4B4B"/>
          <w:w w:val="110"/>
          <w:sz w:val="18"/>
        </w:rPr>
        <w:t>construe.</w:t>
      </w:r>
    </w:p>
    <w:p>
      <w:pPr>
        <w:spacing w:line="235" w:lineRule="auto" w:before="0"/>
        <w:ind w:left="547" w:right="141" w:firstLine="9"/>
        <w:jc w:val="both"/>
        <w:rPr>
          <w:sz w:val="18"/>
        </w:rPr>
      </w:pPr>
      <w:r>
        <w:rPr>
          <w:color w:val="383638"/>
          <w:w w:val="110"/>
          <w:sz w:val="18"/>
        </w:rPr>
        <w:t>tion </w:t>
      </w:r>
      <w:r>
        <w:rPr>
          <w:color w:val="4B4B4B"/>
          <w:w w:val="110"/>
          <w:sz w:val="18"/>
        </w:rPr>
        <w:t>of </w:t>
      </w:r>
      <w:r>
        <w:rPr>
          <w:color w:val="383638"/>
          <w:w w:val="110"/>
          <w:sz w:val="18"/>
        </w:rPr>
        <w:t>the spatial representation of the text by providing unequivocal and fixed spatial cues for</w:t>
      </w:r>
      <w:r>
        <w:rPr>
          <w:color w:val="383638"/>
          <w:spacing w:val="-47"/>
          <w:w w:val="110"/>
          <w:sz w:val="18"/>
        </w:rPr>
        <w:t> </w:t>
      </w:r>
      <w:r>
        <w:rPr>
          <w:color w:val="383638"/>
          <w:w w:val="115"/>
          <w:sz w:val="18"/>
        </w:rPr>
        <w:t>text</w:t>
      </w:r>
      <w:r>
        <w:rPr>
          <w:color w:val="383638"/>
          <w:spacing w:val="-11"/>
          <w:w w:val="115"/>
          <w:sz w:val="18"/>
        </w:rPr>
        <w:t> </w:t>
      </w:r>
      <w:r>
        <w:rPr>
          <w:color w:val="383638"/>
          <w:w w:val="115"/>
          <w:sz w:val="18"/>
        </w:rPr>
        <w:t>memory</w:t>
      </w:r>
      <w:r>
        <w:rPr>
          <w:color w:val="383638"/>
          <w:spacing w:val="-18"/>
          <w:w w:val="115"/>
          <w:sz w:val="18"/>
        </w:rPr>
        <w:t> </w:t>
      </w:r>
      <w:r>
        <w:rPr>
          <w:color w:val="383638"/>
          <w:w w:val="115"/>
          <w:sz w:val="18"/>
        </w:rPr>
        <w:t>and</w:t>
      </w:r>
      <w:r>
        <w:rPr>
          <w:color w:val="383638"/>
          <w:spacing w:val="16"/>
          <w:w w:val="115"/>
          <w:sz w:val="18"/>
        </w:rPr>
        <w:t> </w:t>
      </w:r>
      <w:r>
        <w:rPr>
          <w:color w:val="383638"/>
          <w:w w:val="115"/>
          <w:sz w:val="18"/>
        </w:rPr>
        <w:t>recall.")</w:t>
      </w:r>
      <w:r>
        <w:rPr>
          <w:color w:val="383638"/>
          <w:spacing w:val="-11"/>
          <w:w w:val="115"/>
          <w:sz w:val="18"/>
        </w:rPr>
        <w:t> </w:t>
      </w:r>
      <w:r>
        <w:rPr>
          <w:color w:val="4B4B4B"/>
          <w:w w:val="115"/>
          <w:sz w:val="18"/>
        </w:rPr>
        <w:t>(citations</w:t>
      </w:r>
      <w:r>
        <w:rPr>
          <w:color w:val="4B4B4B"/>
          <w:spacing w:val="-27"/>
          <w:w w:val="115"/>
          <w:sz w:val="18"/>
        </w:rPr>
        <w:t> </w:t>
      </w:r>
      <w:r>
        <w:rPr>
          <w:color w:val="383638"/>
          <w:w w:val="115"/>
          <w:sz w:val="18"/>
        </w:rPr>
        <w:t>omitted).</w:t>
      </w:r>
    </w:p>
    <w:p>
      <w:pPr>
        <w:spacing w:line="223" w:lineRule="auto" w:before="0"/>
        <w:ind w:left="518" w:right="139" w:firstLine="299"/>
        <w:jc w:val="both"/>
        <w:rPr>
          <w:sz w:val="18"/>
        </w:rPr>
      </w:pPr>
      <w:r>
        <w:rPr>
          <w:color w:val="383638"/>
          <w:w w:val="105"/>
          <w:sz w:val="18"/>
        </w:rPr>
        <w:t>u</w:t>
      </w:r>
      <w:r>
        <w:rPr>
          <w:color w:val="383638"/>
          <w:spacing w:val="1"/>
          <w:w w:val="105"/>
          <w:sz w:val="18"/>
        </w:rPr>
        <w:t> </w:t>
      </w:r>
      <w:r>
        <w:rPr>
          <w:i/>
          <w:color w:val="383638"/>
          <w:w w:val="105"/>
          <w:sz w:val="19"/>
        </w:rPr>
        <w:t>See </w:t>
      </w:r>
      <w:r>
        <w:rPr>
          <w:color w:val="383638"/>
          <w:w w:val="105"/>
          <w:sz w:val="18"/>
        </w:rPr>
        <w:t>Mangen et al., </w:t>
      </w:r>
      <w:r>
        <w:rPr>
          <w:i/>
          <w:color w:val="383638"/>
          <w:w w:val="105"/>
          <w:sz w:val="19"/>
        </w:rPr>
        <w:t>supra </w:t>
      </w:r>
      <w:r>
        <w:rPr>
          <w:color w:val="383638"/>
          <w:w w:val="105"/>
          <w:sz w:val="18"/>
        </w:rPr>
        <w:t>note 10, at 65 </w:t>
      </w:r>
      <w:r>
        <w:rPr>
          <w:color w:val="4B4B4B"/>
          <w:w w:val="105"/>
          <w:sz w:val="18"/>
        </w:rPr>
        <w:t>("Scrolling </w:t>
      </w:r>
      <w:r>
        <w:rPr>
          <w:color w:val="383638"/>
          <w:w w:val="105"/>
          <w:sz w:val="18"/>
        </w:rPr>
        <w:t>Is known to hamper the process of read.</w:t>
      </w:r>
      <w:r>
        <w:rPr>
          <w:color w:val="383638"/>
          <w:spacing w:val="1"/>
          <w:w w:val="105"/>
          <w:sz w:val="18"/>
        </w:rPr>
        <w:t> </w:t>
      </w:r>
      <w:r>
        <w:rPr>
          <w:color w:val="383638"/>
          <w:w w:val="105"/>
          <w:sz w:val="18"/>
        </w:rPr>
        <w:t>Ing, by </w:t>
      </w:r>
      <w:r>
        <w:rPr>
          <w:color w:val="4B4B4B"/>
          <w:w w:val="105"/>
          <w:sz w:val="18"/>
        </w:rPr>
        <w:t>Jmposing </w:t>
      </w:r>
      <w:r>
        <w:rPr>
          <w:color w:val="383638"/>
          <w:w w:val="105"/>
          <w:sz w:val="18"/>
        </w:rPr>
        <w:t>a spatial lnstabiJJty which may negatively affect the reader's mental </w:t>
      </w:r>
      <w:r>
        <w:rPr>
          <w:color w:val="4B4B4B"/>
          <w:w w:val="105"/>
          <w:sz w:val="18"/>
        </w:rPr>
        <w:t>representa•</w:t>
      </w:r>
      <w:r>
        <w:rPr>
          <w:color w:val="4B4B4B"/>
          <w:spacing w:val="1"/>
          <w:w w:val="105"/>
          <w:sz w:val="18"/>
        </w:rPr>
        <w:t> </w:t>
      </w:r>
      <w:r>
        <w:rPr>
          <w:color w:val="383638"/>
          <w:w w:val="110"/>
          <w:sz w:val="18"/>
        </w:rPr>
        <w:t>tlon</w:t>
      </w:r>
      <w:r>
        <w:rPr>
          <w:color w:val="383638"/>
          <w:spacing w:val="-10"/>
          <w:w w:val="110"/>
          <w:sz w:val="18"/>
        </w:rPr>
        <w:t> </w:t>
      </w:r>
      <w:r>
        <w:rPr>
          <w:color w:val="383638"/>
          <w:w w:val="110"/>
          <w:sz w:val="18"/>
        </w:rPr>
        <w:t>of</w:t>
      </w:r>
      <w:r>
        <w:rPr>
          <w:color w:val="383638"/>
          <w:spacing w:val="1"/>
          <w:w w:val="110"/>
          <w:sz w:val="18"/>
        </w:rPr>
        <w:t> </w:t>
      </w:r>
      <w:r>
        <w:rPr>
          <w:color w:val="383638"/>
          <w:w w:val="110"/>
          <w:sz w:val="18"/>
        </w:rPr>
        <w:t>the</w:t>
      </w:r>
      <w:r>
        <w:rPr>
          <w:color w:val="383638"/>
          <w:spacing w:val="1"/>
          <w:w w:val="110"/>
          <w:sz w:val="18"/>
        </w:rPr>
        <w:t> </w:t>
      </w:r>
      <w:r>
        <w:rPr>
          <w:color w:val="383638"/>
          <w:w w:val="110"/>
          <w:sz w:val="18"/>
        </w:rPr>
        <w:t>text</w:t>
      </w:r>
      <w:r>
        <w:rPr>
          <w:color w:val="383638"/>
          <w:spacing w:val="-9"/>
          <w:w w:val="110"/>
          <w:sz w:val="18"/>
        </w:rPr>
        <w:t> </w:t>
      </w:r>
      <w:r>
        <w:rPr>
          <w:color w:val="4B4B4B"/>
          <w:w w:val="110"/>
          <w:sz w:val="18"/>
        </w:rPr>
        <w:t>and,</w:t>
      </w:r>
      <w:r>
        <w:rPr>
          <w:color w:val="4B4B4B"/>
          <w:spacing w:val="9"/>
          <w:w w:val="110"/>
          <w:sz w:val="18"/>
        </w:rPr>
        <w:t> </w:t>
      </w:r>
      <w:r>
        <w:rPr>
          <w:color w:val="383638"/>
          <w:w w:val="110"/>
          <w:sz w:val="18"/>
        </w:rPr>
        <w:t>by</w:t>
      </w:r>
      <w:r>
        <w:rPr>
          <w:color w:val="383638"/>
          <w:spacing w:val="-10"/>
          <w:w w:val="110"/>
          <w:sz w:val="18"/>
        </w:rPr>
        <w:t> </w:t>
      </w:r>
      <w:r>
        <w:rPr>
          <w:color w:val="383638"/>
          <w:w w:val="110"/>
          <w:sz w:val="18"/>
        </w:rPr>
        <w:t>Implication, comprehension.")</w:t>
      </w:r>
      <w:r>
        <w:rPr>
          <w:color w:val="383638"/>
          <w:spacing w:val="-26"/>
          <w:w w:val="110"/>
          <w:sz w:val="18"/>
        </w:rPr>
        <w:t> </w:t>
      </w:r>
      <w:r>
        <w:rPr>
          <w:color w:val="383638"/>
          <w:w w:val="110"/>
          <w:sz w:val="18"/>
        </w:rPr>
        <w:t>(citations</w:t>
      </w:r>
      <w:r>
        <w:rPr>
          <w:color w:val="383638"/>
          <w:spacing w:val="-20"/>
          <w:w w:val="110"/>
          <w:sz w:val="18"/>
        </w:rPr>
        <w:t> </w:t>
      </w:r>
      <w:r>
        <w:rPr>
          <w:color w:val="383638"/>
          <w:w w:val="110"/>
          <w:sz w:val="18"/>
        </w:rPr>
        <w:t>omitted)</w:t>
      </w:r>
      <w:r>
        <w:rPr>
          <w:color w:val="5B595B"/>
          <w:w w:val="110"/>
          <w:sz w:val="18"/>
        </w:rPr>
        <w:t>.</w:t>
      </w:r>
    </w:p>
    <w:p>
      <w:pPr>
        <w:spacing w:line="223" w:lineRule="auto" w:before="0"/>
        <w:ind w:left="487" w:right="149" w:firstLine="412"/>
        <w:jc w:val="both"/>
        <w:rPr>
          <w:sz w:val="18"/>
        </w:rPr>
      </w:pPr>
      <w:r>
        <w:rPr>
          <w:i/>
          <w:color w:val="383638"/>
          <w:w w:val="95"/>
          <w:position w:val="6"/>
          <w:sz w:val="10"/>
        </w:rPr>
        <w:t>14 </w:t>
      </w:r>
      <w:r>
        <w:rPr>
          <w:i/>
          <w:color w:val="383638"/>
          <w:w w:val="95"/>
          <w:sz w:val="19"/>
        </w:rPr>
        <w:t>See, e.g.</w:t>
      </w:r>
      <w:r>
        <w:rPr>
          <w:i/>
          <w:color w:val="5B595B"/>
          <w:w w:val="95"/>
          <w:sz w:val="19"/>
        </w:rPr>
        <w:t>, </w:t>
      </w:r>
      <w:r>
        <w:rPr>
          <w:color w:val="383638"/>
          <w:w w:val="95"/>
          <w:sz w:val="18"/>
        </w:rPr>
        <w:t>Robert</w:t>
      </w:r>
      <w:r>
        <w:rPr>
          <w:color w:val="383638"/>
          <w:spacing w:val="1"/>
          <w:w w:val="95"/>
          <w:sz w:val="18"/>
        </w:rPr>
        <w:t> </w:t>
      </w:r>
      <w:r>
        <w:rPr>
          <w:color w:val="383638"/>
          <w:w w:val="95"/>
          <w:sz w:val="18"/>
        </w:rPr>
        <w:t>Dubose, </w:t>
      </w:r>
      <w:r>
        <w:rPr>
          <w:i/>
          <w:color w:val="383638"/>
          <w:w w:val="95"/>
          <w:sz w:val="19"/>
        </w:rPr>
        <w:t>Writing Appellat.e Briefs</w:t>
      </w:r>
      <w:r>
        <w:rPr>
          <w:i/>
          <w:color w:val="383638"/>
          <w:spacing w:val="1"/>
          <w:w w:val="95"/>
          <w:sz w:val="19"/>
        </w:rPr>
        <w:t> </w:t>
      </w:r>
      <w:r>
        <w:rPr>
          <w:i/>
          <w:color w:val="383638"/>
          <w:w w:val="95"/>
          <w:sz w:val="19"/>
        </w:rPr>
        <w:t>for Tablet Readers, </w:t>
      </w:r>
      <w:r>
        <w:rPr>
          <w:color w:val="383638"/>
          <w:w w:val="95"/>
          <w:sz w:val="18"/>
        </w:rPr>
        <w:t>Appellate Issues (Spring</w:t>
      </w:r>
      <w:r>
        <w:rPr>
          <w:color w:val="383638"/>
          <w:spacing w:val="1"/>
          <w:w w:val="95"/>
          <w:sz w:val="18"/>
        </w:rPr>
        <w:t> </w:t>
      </w:r>
      <w:r>
        <w:rPr>
          <w:color w:val="383638"/>
          <w:w w:val="105"/>
          <w:sz w:val="18"/>
        </w:rPr>
        <w:t>2012)</w:t>
      </w:r>
      <w:r>
        <w:rPr>
          <w:color w:val="5B595B"/>
          <w:w w:val="105"/>
          <w:sz w:val="18"/>
        </w:rPr>
        <w:t>,</w:t>
      </w:r>
      <w:r>
        <w:rPr>
          <w:color w:val="5B595B"/>
          <w:spacing w:val="1"/>
          <w:w w:val="105"/>
          <w:sz w:val="18"/>
        </w:rPr>
        <w:t> </w:t>
      </w:r>
      <w:r>
        <w:rPr>
          <w:color w:val="383638"/>
          <w:w w:val="105"/>
          <w:sz w:val="18"/>
        </w:rPr>
        <w:t>available</w:t>
      </w:r>
      <w:r>
        <w:rPr>
          <w:color w:val="383638"/>
          <w:spacing w:val="1"/>
          <w:w w:val="105"/>
          <w:sz w:val="18"/>
        </w:rPr>
        <w:t> </w:t>
      </w:r>
      <w:r>
        <w:rPr>
          <w:b/>
          <w:color w:val="383638"/>
          <w:w w:val="105"/>
          <w:sz w:val="17"/>
        </w:rPr>
        <w:t>at</w:t>
      </w:r>
      <w:r>
        <w:rPr>
          <w:b/>
          <w:color w:val="383638"/>
          <w:spacing w:val="1"/>
          <w:w w:val="105"/>
          <w:sz w:val="17"/>
        </w:rPr>
        <w:t> </w:t>
      </w:r>
      <w:hyperlink r:id="rId281">
        <w:r>
          <w:rPr>
            <w:color w:val="383638"/>
            <w:w w:val="105"/>
            <w:sz w:val="18"/>
          </w:rPr>
          <w:t>http://www.amerlcanbar.org/content/dam/aba/publlcatlons/appellate_</w:t>
        </w:r>
      </w:hyperlink>
      <w:r>
        <w:rPr>
          <w:color w:val="383638"/>
          <w:spacing w:val="1"/>
          <w:w w:val="105"/>
          <w:sz w:val="18"/>
        </w:rPr>
        <w:t> </w:t>
      </w:r>
      <w:r>
        <w:rPr>
          <w:color w:val="383638"/>
          <w:w w:val="105"/>
          <w:sz w:val="18"/>
        </w:rPr>
        <w:t>Jssues/2012spmg_al.authcheckdam.pdf)</w:t>
      </w:r>
      <w:r>
        <w:rPr>
          <w:color w:val="383638"/>
          <w:spacing w:val="-12"/>
          <w:w w:val="105"/>
          <w:sz w:val="18"/>
        </w:rPr>
        <w:t> </w:t>
      </w:r>
      <w:r>
        <w:rPr>
          <w:color w:val="383638"/>
          <w:w w:val="105"/>
          <w:sz w:val="18"/>
        </w:rPr>
        <w:t>(last</w:t>
      </w:r>
      <w:r>
        <w:rPr>
          <w:color w:val="383638"/>
          <w:spacing w:val="-7"/>
          <w:w w:val="105"/>
          <w:sz w:val="18"/>
        </w:rPr>
        <w:t> </w:t>
      </w:r>
      <w:r>
        <w:rPr>
          <w:color w:val="383638"/>
          <w:w w:val="105"/>
          <w:sz w:val="18"/>
        </w:rPr>
        <w:t>accessed</w:t>
      </w:r>
      <w:r>
        <w:rPr>
          <w:color w:val="383638"/>
          <w:spacing w:val="17"/>
          <w:w w:val="105"/>
          <w:sz w:val="18"/>
        </w:rPr>
        <w:t> </w:t>
      </w:r>
      <w:r>
        <w:rPr>
          <w:color w:val="383638"/>
          <w:w w:val="105"/>
          <w:sz w:val="18"/>
        </w:rPr>
        <w:t>Mar.</w:t>
      </w:r>
      <w:r>
        <w:rPr>
          <w:color w:val="383638"/>
          <w:spacing w:val="-16"/>
          <w:w w:val="105"/>
          <w:sz w:val="18"/>
        </w:rPr>
        <w:t> </w:t>
      </w:r>
      <w:r>
        <w:rPr>
          <w:color w:val="383638"/>
          <w:w w:val="105"/>
          <w:sz w:val="18"/>
        </w:rPr>
        <w:t>11,</w:t>
      </w:r>
      <w:r>
        <w:rPr>
          <w:color w:val="383638"/>
          <w:spacing w:val="3"/>
          <w:w w:val="105"/>
          <w:sz w:val="18"/>
        </w:rPr>
        <w:t> </w:t>
      </w:r>
      <w:r>
        <w:rPr>
          <w:color w:val="383638"/>
          <w:w w:val="105"/>
          <w:sz w:val="18"/>
        </w:rPr>
        <w:t>2014).</w:t>
      </w:r>
    </w:p>
    <w:p>
      <w:pPr>
        <w:spacing w:after="0" w:line="223" w:lineRule="auto"/>
        <w:jc w:val="both"/>
        <w:rPr>
          <w:sz w:val="18"/>
        </w:rPr>
        <w:sectPr>
          <w:headerReference w:type="even" r:id="rId279"/>
          <w:headerReference w:type="default" r:id="rId280"/>
          <w:pgSz w:w="9830" w:h="13980"/>
          <w:pgMar w:header="572" w:footer="0" w:top="1160" w:bottom="0" w:left="1360" w:right="200"/>
          <w:pgNumType w:start="248"/>
        </w:sectPr>
      </w:pPr>
    </w:p>
    <w:p>
      <w:pPr>
        <w:spacing w:before="86"/>
        <w:ind w:left="107" w:right="0" w:firstLine="0"/>
        <w:jc w:val="both"/>
        <w:rPr>
          <w:rFonts w:ascii="Arial"/>
          <w:sz w:val="14"/>
        </w:rPr>
      </w:pPr>
      <w:r>
        <w:rPr>
          <w:rFonts w:ascii="Arial"/>
          <w:color w:val="383638"/>
          <w:w w:val="100"/>
          <w:sz w:val="14"/>
          <w:u w:val="thick" w:color="383638"/>
        </w:rPr>
        <w:t> </w:t>
      </w:r>
      <w:r>
        <w:rPr>
          <w:rFonts w:ascii="Arial"/>
          <w:color w:val="383638"/>
          <w:spacing w:val="-20"/>
          <w:sz w:val="14"/>
          <w:u w:val="thick" w:color="383638"/>
        </w:rPr>
        <w:t> </w:t>
      </w:r>
      <w:r>
        <w:rPr>
          <w:rFonts w:ascii="Arial"/>
          <w:color w:val="383638"/>
          <w:spacing w:val="-1"/>
          <w:w w:val="110"/>
          <w:sz w:val="14"/>
          <w:u w:val="thick" w:color="383638"/>
        </w:rPr>
        <w:t>HEADING</w:t>
      </w:r>
      <w:r>
        <w:rPr>
          <w:rFonts w:ascii="Arial"/>
          <w:color w:val="383638"/>
          <w:spacing w:val="4"/>
          <w:w w:val="110"/>
          <w:sz w:val="14"/>
          <w:u w:val="thick" w:color="383638"/>
        </w:rPr>
        <w:t> </w:t>
      </w:r>
      <w:r>
        <w:rPr>
          <w:rFonts w:ascii="Arial"/>
          <w:color w:val="383638"/>
          <w:spacing w:val="-1"/>
          <w:w w:val="110"/>
          <w:sz w:val="14"/>
          <w:u w:val="thick" w:color="383638"/>
        </w:rPr>
        <w:t>LABEL</w:t>
      </w:r>
      <w:r>
        <w:rPr>
          <w:rFonts w:ascii="Arial"/>
          <w:color w:val="383638"/>
          <w:spacing w:val="-2"/>
          <w:w w:val="110"/>
          <w:sz w:val="14"/>
          <w:u w:val="thick" w:color="383638"/>
        </w:rPr>
        <w:t> </w:t>
      </w:r>
      <w:r>
        <w:rPr>
          <w:rFonts w:ascii="Arial"/>
          <w:color w:val="383638"/>
          <w:spacing w:val="-1"/>
          <w:w w:val="110"/>
          <w:sz w:val="14"/>
          <w:u w:val="thick" w:color="383638"/>
        </w:rPr>
        <w:t>THAT</w:t>
      </w:r>
      <w:r>
        <w:rPr>
          <w:rFonts w:ascii="Arial"/>
          <w:color w:val="383638"/>
          <w:spacing w:val="-9"/>
          <w:w w:val="110"/>
          <w:sz w:val="14"/>
          <w:u w:val="thick" w:color="383638"/>
        </w:rPr>
        <w:t> </w:t>
      </w:r>
      <w:r>
        <w:rPr>
          <w:rFonts w:ascii="Arial"/>
          <w:color w:val="383638"/>
          <w:spacing w:val="-1"/>
          <w:w w:val="110"/>
          <w:sz w:val="14"/>
          <w:u w:val="thick" w:color="383638"/>
        </w:rPr>
        <w:t>IS</w:t>
      </w:r>
      <w:r>
        <w:rPr>
          <w:rFonts w:ascii="Arial"/>
          <w:color w:val="383638"/>
          <w:spacing w:val="-9"/>
          <w:w w:val="110"/>
          <w:sz w:val="14"/>
          <w:u w:val="thick" w:color="383638"/>
        </w:rPr>
        <w:t> </w:t>
      </w:r>
      <w:r>
        <w:rPr>
          <w:rFonts w:ascii="Arial"/>
          <w:color w:val="383638"/>
          <w:spacing w:val="-1"/>
          <w:w w:val="110"/>
          <w:sz w:val="14"/>
          <w:u w:val="thick" w:color="383638"/>
        </w:rPr>
        <w:t>LESS</w:t>
      </w:r>
      <w:r>
        <w:rPr>
          <w:rFonts w:ascii="Arial"/>
          <w:color w:val="383638"/>
          <w:spacing w:val="-18"/>
          <w:w w:val="110"/>
          <w:sz w:val="14"/>
          <w:u w:val="thick" w:color="383638"/>
        </w:rPr>
        <w:t> </w:t>
      </w:r>
      <w:r>
        <w:rPr>
          <w:rFonts w:ascii="Arial"/>
          <w:color w:val="383638"/>
          <w:spacing w:val="-1"/>
          <w:w w:val="110"/>
          <w:sz w:val="14"/>
          <w:u w:val="thick" w:color="383638"/>
        </w:rPr>
        <w:t>EFFECTIVE</w:t>
      </w:r>
      <w:r>
        <w:rPr>
          <w:rFonts w:ascii="Arial"/>
          <w:color w:val="383638"/>
          <w:w w:val="110"/>
          <w:sz w:val="14"/>
          <w:u w:val="thick" w:color="383638"/>
        </w:rPr>
        <w:t> </w:t>
      </w:r>
      <w:r>
        <w:rPr>
          <w:rFonts w:ascii="Arial"/>
          <w:color w:val="383638"/>
          <w:spacing w:val="-1"/>
          <w:w w:val="110"/>
          <w:sz w:val="14"/>
          <w:u w:val="thick" w:color="383638"/>
        </w:rPr>
        <w:t>FOR</w:t>
      </w:r>
      <w:r>
        <w:rPr>
          <w:rFonts w:ascii="Arial"/>
          <w:color w:val="383638"/>
          <w:spacing w:val="-11"/>
          <w:w w:val="110"/>
          <w:sz w:val="14"/>
          <w:u w:val="thick" w:color="383638"/>
        </w:rPr>
        <w:t> </w:t>
      </w:r>
      <w:r>
        <w:rPr>
          <w:rFonts w:ascii="Arial"/>
          <w:color w:val="383638"/>
          <w:spacing w:val="-1"/>
          <w:w w:val="110"/>
          <w:sz w:val="14"/>
          <w:u w:val="thick" w:color="383638"/>
        </w:rPr>
        <w:t>DIGITAL</w:t>
      </w:r>
      <w:r>
        <w:rPr>
          <w:rFonts w:ascii="Arial"/>
          <w:color w:val="383638"/>
          <w:spacing w:val="-10"/>
          <w:w w:val="110"/>
          <w:sz w:val="14"/>
          <w:u w:val="thick" w:color="383638"/>
        </w:rPr>
        <w:t> </w:t>
      </w:r>
      <w:r>
        <w:rPr>
          <w:rFonts w:ascii="Arial"/>
          <w:color w:val="383638"/>
          <w:spacing w:val="-1"/>
          <w:w w:val="110"/>
          <w:sz w:val="14"/>
          <w:u w:val="thick" w:color="383638"/>
        </w:rPr>
        <w:t>RE.ADER</w:t>
      </w:r>
    </w:p>
    <w:p>
      <w:pPr>
        <w:pStyle w:val="BodyText"/>
        <w:spacing w:before="6"/>
        <w:rPr>
          <w:rFonts w:ascii="Arial"/>
          <w:sz w:val="20"/>
        </w:rPr>
      </w:pPr>
    </w:p>
    <w:p>
      <w:pPr>
        <w:spacing w:line="227" w:lineRule="exact" w:before="0"/>
        <w:ind w:left="673" w:right="0" w:firstLine="0"/>
        <w:jc w:val="left"/>
        <w:rPr>
          <w:sz w:val="21"/>
        </w:rPr>
      </w:pPr>
      <w:r>
        <w:rPr>
          <w:color w:val="383638"/>
          <w:w w:val="120"/>
          <w:sz w:val="21"/>
        </w:rPr>
        <w:t>B.</w:t>
      </w:r>
      <w:r>
        <w:rPr>
          <w:color w:val="383638"/>
          <w:spacing w:val="28"/>
          <w:w w:val="120"/>
          <w:sz w:val="21"/>
        </w:rPr>
        <w:t> </w:t>
      </w:r>
      <w:r>
        <w:rPr>
          <w:color w:val="383638"/>
          <w:w w:val="120"/>
          <w:sz w:val="21"/>
        </w:rPr>
        <w:t>Plaintiff's</w:t>
      </w:r>
      <w:r>
        <w:rPr>
          <w:color w:val="383638"/>
          <w:spacing w:val="1"/>
          <w:w w:val="120"/>
          <w:sz w:val="21"/>
        </w:rPr>
        <w:t> </w:t>
      </w:r>
      <w:r>
        <w:rPr>
          <w:color w:val="383638"/>
          <w:w w:val="120"/>
          <w:sz w:val="21"/>
        </w:rPr>
        <w:t>complaint</w:t>
      </w:r>
      <w:r>
        <w:rPr>
          <w:color w:val="383638"/>
          <w:spacing w:val="15"/>
          <w:w w:val="120"/>
          <w:sz w:val="21"/>
        </w:rPr>
        <w:t> </w:t>
      </w:r>
      <w:r>
        <w:rPr>
          <w:color w:val="383638"/>
          <w:w w:val="120"/>
          <w:sz w:val="21"/>
        </w:rPr>
        <w:t>has</w:t>
      </w:r>
      <w:r>
        <w:rPr>
          <w:color w:val="383638"/>
          <w:spacing w:val="4"/>
          <w:w w:val="120"/>
          <w:sz w:val="21"/>
        </w:rPr>
        <w:t> </w:t>
      </w:r>
      <w:r>
        <w:rPr>
          <w:color w:val="383638"/>
          <w:w w:val="120"/>
          <w:sz w:val="21"/>
        </w:rPr>
        <w:t>not</w:t>
      </w:r>
      <w:r>
        <w:rPr>
          <w:color w:val="383638"/>
          <w:spacing w:val="10"/>
          <w:w w:val="120"/>
          <w:sz w:val="21"/>
        </w:rPr>
        <w:t> </w:t>
      </w:r>
      <w:r>
        <w:rPr>
          <w:color w:val="383638"/>
          <w:w w:val="120"/>
          <w:sz w:val="21"/>
        </w:rPr>
        <w:t>alleged</w:t>
      </w:r>
      <w:r>
        <w:rPr>
          <w:color w:val="383638"/>
          <w:spacing w:val="5"/>
          <w:w w:val="120"/>
          <w:sz w:val="21"/>
        </w:rPr>
        <w:t> </w:t>
      </w:r>
      <w:r>
        <w:rPr>
          <w:color w:val="383638"/>
          <w:w w:val="120"/>
          <w:sz w:val="21"/>
        </w:rPr>
        <w:t>sufficient</w:t>
      </w:r>
      <w:r>
        <w:rPr>
          <w:color w:val="383638"/>
          <w:spacing w:val="6"/>
          <w:w w:val="120"/>
          <w:sz w:val="21"/>
        </w:rPr>
        <w:t> </w:t>
      </w:r>
      <w:r>
        <w:rPr>
          <w:color w:val="383638"/>
          <w:w w:val="120"/>
          <w:sz w:val="20"/>
        </w:rPr>
        <w:t>facts</w:t>
      </w:r>
      <w:r>
        <w:rPr>
          <w:color w:val="383638"/>
          <w:spacing w:val="-7"/>
          <w:w w:val="120"/>
          <w:sz w:val="20"/>
        </w:rPr>
        <w:t> </w:t>
      </w:r>
      <w:r>
        <w:rPr>
          <w:color w:val="383638"/>
          <w:w w:val="120"/>
          <w:sz w:val="21"/>
        </w:rPr>
        <w:t>as</w:t>
      </w:r>
      <w:r>
        <w:rPr>
          <w:color w:val="383638"/>
          <w:spacing w:val="3"/>
          <w:w w:val="120"/>
          <w:sz w:val="21"/>
        </w:rPr>
        <w:t> </w:t>
      </w:r>
      <w:r>
        <w:rPr>
          <w:color w:val="383638"/>
          <w:w w:val="120"/>
          <w:sz w:val="21"/>
        </w:rPr>
        <w:t>to</w:t>
      </w:r>
      <w:r>
        <w:rPr>
          <w:color w:val="383638"/>
          <w:spacing w:val="11"/>
          <w:w w:val="120"/>
          <w:sz w:val="21"/>
        </w:rPr>
        <w:t> </w:t>
      </w:r>
      <w:r>
        <w:rPr>
          <w:color w:val="383638"/>
          <w:w w:val="120"/>
          <w:sz w:val="21"/>
        </w:rPr>
        <w:t>the</w:t>
      </w:r>
    </w:p>
    <w:p>
      <w:pPr>
        <w:spacing w:line="238" w:lineRule="exact" w:before="0"/>
        <w:ind w:left="970" w:right="0" w:firstLine="0"/>
        <w:jc w:val="left"/>
        <w:rPr>
          <w:b/>
          <w:sz w:val="21"/>
        </w:rPr>
      </w:pPr>
      <w:r>
        <w:rPr>
          <w:b/>
          <w:i/>
          <w:color w:val="383638"/>
          <w:w w:val="105"/>
          <w:sz w:val="22"/>
        </w:rPr>
        <w:t>causation</w:t>
      </w:r>
      <w:r>
        <w:rPr>
          <w:b/>
          <w:i/>
          <w:color w:val="383638"/>
          <w:spacing w:val="7"/>
          <w:w w:val="105"/>
          <w:sz w:val="22"/>
        </w:rPr>
        <w:t> </w:t>
      </w:r>
      <w:r>
        <w:rPr>
          <w:b/>
          <w:color w:val="383638"/>
          <w:w w:val="105"/>
          <w:sz w:val="21"/>
        </w:rPr>
        <w:t>element.</w:t>
      </w:r>
    </w:p>
    <w:p>
      <w:pPr>
        <w:pStyle w:val="BodyText"/>
        <w:spacing w:line="232" w:lineRule="auto" w:before="149"/>
        <w:ind w:left="119" w:right="628" w:hanging="9"/>
        <w:jc w:val="both"/>
      </w:pPr>
      <w:r>
        <w:rPr>
          <w:color w:val="383638"/>
          <w:w w:val="110"/>
        </w:rPr>
        <w:t>This label tells the reader only that he or she has landed at "B," presum­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ably</w:t>
      </w:r>
      <w:r>
        <w:rPr>
          <w:color w:val="383638"/>
          <w:spacing w:val="-27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7"/>
          <w:w w:val="110"/>
        </w:rPr>
        <w:t> </w:t>
      </w:r>
      <w:r>
        <w:rPr>
          <w:color w:val="383638"/>
          <w:w w:val="110"/>
        </w:rPr>
        <w:t>second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subpart</w:t>
      </w:r>
      <w:r>
        <w:rPr>
          <w:color w:val="383638"/>
          <w:spacing w:val="-26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some</w:t>
      </w:r>
      <w:r>
        <w:rPr>
          <w:color w:val="383638"/>
          <w:spacing w:val="-30"/>
          <w:w w:val="110"/>
        </w:rPr>
        <w:t> </w:t>
      </w:r>
      <w:r>
        <w:rPr>
          <w:color w:val="383638"/>
          <w:w w:val="110"/>
        </w:rPr>
        <w:t>argument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within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document.</w:t>
      </w:r>
      <w:r>
        <w:rPr>
          <w:color w:val="383638"/>
          <w:spacing w:val="-27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label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does not reveal, however, whether that "B" is a subpart of argument "I,"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argument "II," or even argument "IX." By using scientific numbering,</w:t>
      </w:r>
      <w:r>
        <w:rPr>
          <w:color w:val="383638"/>
          <w:spacing w:val="-64"/>
          <w:w w:val="115"/>
        </w:rPr>
        <w:t> </w:t>
      </w:r>
      <w:r>
        <w:rPr>
          <w:color w:val="383638"/>
          <w:spacing w:val="-1"/>
          <w:w w:val="110"/>
        </w:rPr>
        <w:t>however,</w:t>
      </w:r>
      <w:r>
        <w:rPr>
          <w:color w:val="383638"/>
          <w:spacing w:val="-1"/>
          <w:w w:val="110"/>
          <w:vertAlign w:val="superscript"/>
        </w:rPr>
        <w:t>15</w:t>
      </w:r>
      <w:r>
        <w:rPr>
          <w:color w:val="383638"/>
          <w:spacing w:val="11"/>
          <w:w w:val="110"/>
          <w:vertAlign w:val="baseline"/>
        </w:rPr>
        <w:t> </w:t>
      </w:r>
      <w:r>
        <w:rPr>
          <w:color w:val="383638"/>
          <w:spacing w:val="-1"/>
          <w:w w:val="110"/>
          <w:vertAlign w:val="baseline"/>
        </w:rPr>
        <w:t>the</w:t>
      </w:r>
      <w:r>
        <w:rPr>
          <w:color w:val="383638"/>
          <w:spacing w:val="44"/>
          <w:w w:val="110"/>
          <w:vertAlign w:val="baseline"/>
        </w:rPr>
        <w:t> </w:t>
      </w:r>
      <w:r>
        <w:rPr>
          <w:color w:val="383638"/>
          <w:spacing w:val="-1"/>
          <w:w w:val="110"/>
          <w:vertAlign w:val="baseline"/>
        </w:rPr>
        <w:t>writer</w:t>
      </w:r>
      <w:r>
        <w:rPr>
          <w:color w:val="383638"/>
          <w:spacing w:val="-15"/>
          <w:w w:val="110"/>
          <w:vertAlign w:val="baseline"/>
        </w:rPr>
        <w:t> </w:t>
      </w:r>
      <w:r>
        <w:rPr>
          <w:color w:val="383638"/>
          <w:spacing w:val="-1"/>
          <w:w w:val="110"/>
          <w:vertAlign w:val="baseline"/>
        </w:rPr>
        <w:t>can</w:t>
      </w:r>
      <w:r>
        <w:rPr>
          <w:color w:val="383638"/>
          <w:spacing w:val="2"/>
          <w:w w:val="110"/>
          <w:vertAlign w:val="baseline"/>
        </w:rPr>
        <w:t> </w:t>
      </w:r>
      <w:r>
        <w:rPr>
          <w:color w:val="383638"/>
          <w:spacing w:val="-1"/>
          <w:w w:val="110"/>
          <w:vertAlign w:val="baseline"/>
        </w:rPr>
        <w:t>signal</w:t>
      </w:r>
      <w:r>
        <w:rPr>
          <w:color w:val="383638"/>
          <w:spacing w:val="-9"/>
          <w:w w:val="110"/>
          <w:vertAlign w:val="baseline"/>
        </w:rPr>
        <w:t> </w:t>
      </w:r>
      <w:r>
        <w:rPr>
          <w:color w:val="383638"/>
          <w:spacing w:val="-1"/>
          <w:w w:val="110"/>
          <w:vertAlign w:val="baseline"/>
        </w:rPr>
        <w:t>the</w:t>
      </w:r>
      <w:r>
        <w:rPr>
          <w:color w:val="383638"/>
          <w:spacing w:val="3"/>
          <w:w w:val="110"/>
          <w:vertAlign w:val="baseline"/>
        </w:rPr>
        <w:t> </w:t>
      </w:r>
      <w:r>
        <w:rPr>
          <w:color w:val="383638"/>
          <w:spacing w:val="-1"/>
          <w:w w:val="110"/>
          <w:vertAlign w:val="baseline"/>
        </w:rPr>
        <w:t>argument's</w:t>
      </w:r>
      <w:r>
        <w:rPr>
          <w:color w:val="383638"/>
          <w:spacing w:val="-5"/>
          <w:w w:val="110"/>
          <w:vertAlign w:val="baseline"/>
        </w:rPr>
        <w:t> </w:t>
      </w:r>
      <w:r>
        <w:rPr>
          <w:color w:val="383638"/>
          <w:spacing w:val="-1"/>
          <w:w w:val="110"/>
          <w:vertAlign w:val="baseline"/>
        </w:rPr>
        <w:t>approximate</w:t>
      </w:r>
      <w:r>
        <w:rPr>
          <w:color w:val="383638"/>
          <w:spacing w:val="-7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location:</w:t>
      </w:r>
    </w:p>
    <w:p>
      <w:pPr>
        <w:spacing w:before="118"/>
        <w:ind w:left="130" w:right="0" w:firstLine="0"/>
        <w:jc w:val="both"/>
        <w:rPr>
          <w:rFonts w:ascii="Arial"/>
          <w:sz w:val="14"/>
        </w:rPr>
      </w:pPr>
      <w:r>
        <w:rPr>
          <w:i/>
          <w:color w:val="383638"/>
          <w:w w:val="105"/>
          <w:sz w:val="25"/>
          <w:u w:val="thick" w:color="383638"/>
        </w:rPr>
        <w:t>-f:\</w:t>
      </w:r>
      <w:r>
        <w:rPr>
          <w:rFonts w:ascii="Arial"/>
          <w:color w:val="383638"/>
          <w:w w:val="105"/>
          <w:sz w:val="14"/>
          <w:u w:val="thick" w:color="383638"/>
        </w:rPr>
        <w:t>HEADING</w:t>
      </w:r>
      <w:r>
        <w:rPr>
          <w:rFonts w:ascii="Arial"/>
          <w:color w:val="383638"/>
          <w:spacing w:val="-13"/>
          <w:w w:val="105"/>
          <w:sz w:val="14"/>
          <w:u w:val="thick" w:color="383638"/>
        </w:rPr>
        <w:t> </w:t>
      </w:r>
      <w:r>
        <w:rPr>
          <w:rFonts w:ascii="Arial"/>
          <w:color w:val="383638"/>
          <w:w w:val="105"/>
          <w:sz w:val="14"/>
          <w:u w:val="thick" w:color="383638"/>
        </w:rPr>
        <w:t>I.ABEL</w:t>
      </w:r>
      <w:r>
        <w:rPr>
          <w:rFonts w:ascii="Arial"/>
          <w:color w:val="383638"/>
          <w:spacing w:val="-9"/>
          <w:w w:val="105"/>
          <w:sz w:val="14"/>
          <w:u w:val="thick" w:color="383638"/>
        </w:rPr>
        <w:t> </w:t>
      </w:r>
      <w:r>
        <w:rPr>
          <w:rFonts w:ascii="Arial"/>
          <w:color w:val="383638"/>
          <w:w w:val="105"/>
          <w:sz w:val="14"/>
          <w:u w:val="thick" w:color="383638"/>
        </w:rPr>
        <w:t>THAT</w:t>
      </w:r>
      <w:r>
        <w:rPr>
          <w:rFonts w:ascii="Arial"/>
          <w:color w:val="383638"/>
          <w:spacing w:val="-20"/>
          <w:w w:val="105"/>
          <w:sz w:val="14"/>
          <w:u w:val="thick" w:color="383638"/>
        </w:rPr>
        <w:t> </w:t>
      </w:r>
      <w:r>
        <w:rPr>
          <w:rFonts w:ascii="Arial"/>
          <w:color w:val="383638"/>
          <w:w w:val="105"/>
          <w:sz w:val="14"/>
          <w:u w:val="thick" w:color="383638"/>
        </w:rPr>
        <w:t>IS MORE</w:t>
      </w:r>
      <w:r>
        <w:rPr>
          <w:rFonts w:ascii="Arial"/>
          <w:color w:val="383638"/>
          <w:spacing w:val="-11"/>
          <w:w w:val="105"/>
          <w:sz w:val="14"/>
          <w:u w:val="thick" w:color="383638"/>
        </w:rPr>
        <w:t> </w:t>
      </w:r>
      <w:r>
        <w:rPr>
          <w:rFonts w:ascii="Arial"/>
          <w:color w:val="383638"/>
          <w:w w:val="105"/>
          <w:sz w:val="14"/>
          <w:u w:val="thick" w:color="383638"/>
        </w:rPr>
        <w:t>EFFECTIVE</w:t>
      </w:r>
      <w:r>
        <w:rPr>
          <w:rFonts w:ascii="Arial"/>
          <w:color w:val="383638"/>
          <w:spacing w:val="-6"/>
          <w:w w:val="105"/>
          <w:sz w:val="14"/>
          <w:u w:val="thick" w:color="383638"/>
        </w:rPr>
        <w:t> </w:t>
      </w:r>
      <w:r>
        <w:rPr>
          <w:rFonts w:ascii="Arial"/>
          <w:color w:val="383638"/>
          <w:w w:val="105"/>
          <w:sz w:val="14"/>
          <w:u w:val="thick" w:color="383638"/>
        </w:rPr>
        <w:t>FOR</w:t>
      </w:r>
      <w:r>
        <w:rPr>
          <w:rFonts w:ascii="Arial"/>
          <w:color w:val="383638"/>
          <w:spacing w:val="-9"/>
          <w:w w:val="105"/>
          <w:sz w:val="14"/>
          <w:u w:val="thick" w:color="383638"/>
        </w:rPr>
        <w:t> </w:t>
      </w:r>
      <w:r>
        <w:rPr>
          <w:rFonts w:ascii="Arial"/>
          <w:color w:val="383638"/>
          <w:w w:val="105"/>
          <w:sz w:val="14"/>
          <w:u w:val="thick" w:color="383638"/>
        </w:rPr>
        <w:t>D</w:t>
      </w:r>
      <w:r>
        <w:rPr>
          <w:rFonts w:ascii="Arial"/>
          <w:color w:val="565657"/>
          <w:w w:val="105"/>
          <w:sz w:val="14"/>
          <w:u w:val="thick" w:color="383638"/>
        </w:rPr>
        <w:t>I</w:t>
      </w:r>
      <w:r>
        <w:rPr>
          <w:rFonts w:ascii="Arial"/>
          <w:color w:val="383638"/>
          <w:w w:val="105"/>
          <w:sz w:val="14"/>
          <w:u w:val="thick" w:color="383638"/>
        </w:rPr>
        <w:t>GITAL</w:t>
      </w:r>
      <w:r>
        <w:rPr>
          <w:rFonts w:ascii="Arial"/>
          <w:color w:val="383638"/>
          <w:spacing w:val="2"/>
          <w:w w:val="105"/>
          <w:sz w:val="14"/>
          <w:u w:val="thick" w:color="383638"/>
        </w:rPr>
        <w:t> </w:t>
      </w:r>
      <w:r>
        <w:rPr>
          <w:rFonts w:ascii="Arial"/>
          <w:color w:val="383638"/>
          <w:w w:val="105"/>
          <w:sz w:val="14"/>
          <w:u w:val="thick" w:color="383638"/>
        </w:rPr>
        <w:t>RE.ADER</w:t>
      </w:r>
    </w:p>
    <w:p>
      <w:pPr>
        <w:spacing w:line="211" w:lineRule="auto" w:before="84"/>
        <w:ind w:left="841" w:right="969" w:hanging="433"/>
        <w:jc w:val="left"/>
        <w:rPr>
          <w:b/>
          <w:sz w:val="21"/>
        </w:rPr>
      </w:pPr>
      <w:r>
        <w:rPr>
          <w:color w:val="383638"/>
          <w:w w:val="110"/>
          <w:sz w:val="20"/>
        </w:rPr>
        <w:t>3.2. </w:t>
      </w:r>
      <w:r>
        <w:rPr>
          <w:b/>
          <w:color w:val="383638"/>
          <w:w w:val="110"/>
          <w:sz w:val="21"/>
        </w:rPr>
        <w:t>Plaintiff's complaint has not alleged sufficient facts as to the </w:t>
      </w:r>
      <w:r>
        <w:rPr>
          <w:b/>
          <w:i/>
          <w:color w:val="383638"/>
          <w:w w:val="110"/>
          <w:sz w:val="22"/>
        </w:rPr>
        <w:t>cau-</w:t>
      </w:r>
      <w:r>
        <w:rPr>
          <w:b/>
          <w:i/>
          <w:color w:val="383638"/>
          <w:spacing w:val="-58"/>
          <w:w w:val="110"/>
          <w:sz w:val="22"/>
        </w:rPr>
        <w:t> </w:t>
      </w:r>
      <w:r>
        <w:rPr>
          <w:b/>
          <w:i/>
          <w:color w:val="383638"/>
          <w:w w:val="110"/>
          <w:sz w:val="22"/>
        </w:rPr>
        <w:t>sation</w:t>
      </w:r>
      <w:r>
        <w:rPr>
          <w:b/>
          <w:i/>
          <w:color w:val="383638"/>
          <w:spacing w:val="-21"/>
          <w:w w:val="110"/>
          <w:sz w:val="22"/>
        </w:rPr>
        <w:t> </w:t>
      </w:r>
      <w:r>
        <w:rPr>
          <w:b/>
          <w:color w:val="383638"/>
          <w:w w:val="110"/>
          <w:sz w:val="21"/>
        </w:rPr>
        <w:t>element.</w:t>
      </w:r>
    </w:p>
    <w:p>
      <w:pPr>
        <w:pStyle w:val="BodyText"/>
        <w:spacing w:line="235" w:lineRule="auto" w:before="151"/>
        <w:ind w:left="134" w:right="585"/>
        <w:jc w:val="both"/>
      </w:pPr>
      <w:r>
        <w:rPr>
          <w:color w:val="383638"/>
          <w:w w:val="110"/>
        </w:rPr>
        <w:t>Unlike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label on the previous example, this label tells the reader that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this argument is the second subpart within the third section of the argu­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ment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whole.</w:t>
      </w:r>
    </w:p>
    <w:p>
      <w:pPr>
        <w:pStyle w:val="BodyText"/>
        <w:spacing w:line="235" w:lineRule="auto" w:before="3"/>
        <w:ind w:left="134" w:right="543" w:firstLine="324"/>
        <w:jc w:val="both"/>
      </w:pPr>
      <w:r>
        <w:rPr>
          <w:color w:val="383638"/>
          <w:w w:val="110"/>
        </w:rPr>
        <w:t>In addition to effective enumeration, of course, you should use effec­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tive substantive headings, following </w:t>
      </w:r>
      <w:r>
        <w:rPr>
          <w:color w:val="383638"/>
          <w:w w:val="110"/>
        </w:rPr>
        <w:t>the guidelines in Chapter Nine. Make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sure you use language that will signal  both the  issue under discussion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and your position on the issue. Likewise, use boldfaced or other contrast­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ing type that will allow users to see your headings as they scroll or scan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through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document</w:t>
      </w:r>
      <w:r>
        <w:rPr>
          <w:color w:val="565657"/>
          <w:w w:val="110"/>
        </w:rPr>
        <w:t>.</w:t>
      </w:r>
    </w:p>
    <w:p>
      <w:pPr>
        <w:pStyle w:val="BodyText"/>
        <w:spacing w:line="232" w:lineRule="auto"/>
        <w:ind w:left="138" w:right="519" w:firstLine="312"/>
        <w:jc w:val="both"/>
      </w:pPr>
      <w:r>
        <w:rPr>
          <w:color w:val="383638"/>
          <w:w w:val="110"/>
        </w:rPr>
        <w:t>Second,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use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"template,"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phrases-that-pay,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Kevin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Bacon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connections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provide digital readers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with contextual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and  organiza­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tional cues. As 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know from  reading this chapter,  headings are one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part of a symbolic "template" that youcan install to help provide context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for your reader</w:t>
      </w:r>
      <w:r>
        <w:rPr>
          <w:color w:val="565657"/>
          <w:w w:val="110"/>
        </w:rPr>
        <w:t>. </w:t>
      </w:r>
      <w:r>
        <w:rPr>
          <w:color w:val="383638"/>
          <w:w w:val="110"/>
        </w:rPr>
        <w:t>Headings, topic sentences, and roadmap paragraphs can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all provide context and finding tools for digital readers. As noted above,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eye-tracking research shows that readers scan the first parts of pages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paragraphs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look for information that is useful to them.</w:t>
      </w:r>
      <w:r>
        <w:rPr>
          <w:color w:val="383638"/>
          <w:w w:val="110"/>
          <w:vertAlign w:val="superscript"/>
        </w:rPr>
        <w:t>16</w:t>
      </w:r>
      <w:r>
        <w:rPr>
          <w:color w:val="383638"/>
          <w:w w:val="110"/>
          <w:vertAlign w:val="baseline"/>
        </w:rPr>
        <w:t> You should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therefore</w:t>
      </w:r>
      <w:r>
        <w:rPr>
          <w:color w:val="383638"/>
          <w:spacing w:val="-3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exploit</w:t>
      </w:r>
      <w:r>
        <w:rPr>
          <w:color w:val="383638"/>
          <w:spacing w:val="-4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those</w:t>
      </w:r>
      <w:r>
        <w:rPr>
          <w:color w:val="383638"/>
          <w:spacing w:val="-12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locations.</w:t>
      </w:r>
    </w:p>
    <w:p>
      <w:pPr>
        <w:pStyle w:val="BodyText"/>
        <w:spacing w:line="232" w:lineRule="auto"/>
        <w:ind w:left="154" w:right="455" w:firstLine="327"/>
        <w:jc w:val="both"/>
      </w:pPr>
      <w:r>
        <w:rPr>
          <w:color w:val="383638"/>
          <w:w w:val="110"/>
        </w:rPr>
        <w:t>Asyou know from yourown research behaviors, readersoften usesearch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terms to lead them to the most significant part of documents. Be sure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use phrases-that-pay appropriately</w:t>
      </w:r>
      <w:r>
        <w:rPr>
          <w:color w:val="565657"/>
          <w:w w:val="110"/>
        </w:rPr>
        <w:t>, </w:t>
      </w:r>
      <w:r>
        <w:rPr>
          <w:color w:val="383638"/>
          <w:w w:val="110"/>
        </w:rPr>
        <w:t>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 do so in a way that promotes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searching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finding. Furthermore, because new headings may draw a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digital reader's focus in the same way that the top of a new page does</w:t>
      </w:r>
      <w:r>
        <w:rPr>
          <w:color w:val="565657"/>
          <w:w w:val="110"/>
        </w:rPr>
        <w:t>, </w:t>
      </w:r>
      <w:r>
        <w:rPr>
          <w:color w:val="383638"/>
          <w:w w:val="110"/>
        </w:rPr>
        <w:t>be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sure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37"/>
          <w:w w:val="110"/>
        </w:rPr>
        <w:t> </w:t>
      </w:r>
      <w:r>
        <w:rPr>
          <w:color w:val="383638"/>
          <w:w w:val="110"/>
        </w:rPr>
        <w:t>place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context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cues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51"/>
          <w:w w:val="110"/>
        </w:rPr>
        <w:t> </w:t>
      </w:r>
      <w:r>
        <w:rPr>
          <w:color w:val="383638"/>
          <w:w w:val="110"/>
        </w:rPr>
        <w:t>these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high-focus</w:t>
      </w:r>
      <w:r>
        <w:rPr>
          <w:color w:val="383638"/>
          <w:spacing w:val="28"/>
          <w:w w:val="110"/>
        </w:rPr>
        <w:t> </w:t>
      </w:r>
      <w:r>
        <w:rPr>
          <w:color w:val="383638"/>
          <w:w w:val="110"/>
        </w:rPr>
        <w:t>locations.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example,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by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spacing w:line="205" w:lineRule="exact" w:before="0"/>
        <w:ind w:left="503" w:right="0" w:firstLine="0"/>
        <w:jc w:val="both"/>
        <w:rPr>
          <w:sz w:val="18"/>
        </w:rPr>
      </w:pPr>
      <w:r>
        <w:rPr>
          <w:color w:val="383638"/>
          <w:sz w:val="18"/>
        </w:rPr>
        <w:t>uoanlel</w:t>
      </w:r>
      <w:r>
        <w:rPr>
          <w:color w:val="383638"/>
          <w:spacing w:val="-9"/>
          <w:sz w:val="18"/>
        </w:rPr>
        <w:t> </w:t>
      </w:r>
      <w:r>
        <w:rPr>
          <w:color w:val="383638"/>
          <w:sz w:val="18"/>
        </w:rPr>
        <w:t>Sockwell</w:t>
      </w:r>
      <w:r>
        <w:rPr>
          <w:color w:val="565657"/>
          <w:sz w:val="18"/>
        </w:rPr>
        <w:t>,</w:t>
      </w:r>
      <w:r>
        <w:rPr>
          <w:color w:val="565657"/>
          <w:spacing w:val="2"/>
          <w:sz w:val="18"/>
        </w:rPr>
        <w:t> </w:t>
      </w:r>
      <w:r>
        <w:rPr>
          <w:rFonts w:ascii="Arial"/>
          <w:i/>
          <w:color w:val="383638"/>
          <w:sz w:val="16"/>
        </w:rPr>
        <w:t>Wrltf11g</w:t>
      </w:r>
      <w:r>
        <w:rPr>
          <w:rFonts w:ascii="Arial"/>
          <w:i/>
          <w:color w:val="383638"/>
          <w:spacing w:val="-7"/>
          <w:sz w:val="16"/>
        </w:rPr>
        <w:t> </w:t>
      </w:r>
      <w:r>
        <w:rPr>
          <w:rFonts w:ascii="Arial"/>
          <w:i/>
          <w:color w:val="383638"/>
          <w:sz w:val="16"/>
        </w:rPr>
        <w:t>for</w:t>
      </w:r>
      <w:r>
        <w:rPr>
          <w:rFonts w:ascii="Arial"/>
          <w:i/>
          <w:color w:val="383638"/>
          <w:spacing w:val="35"/>
          <w:sz w:val="16"/>
        </w:rPr>
        <w:t> </w:t>
      </w:r>
      <w:r>
        <w:rPr>
          <w:rFonts w:ascii="Arial"/>
          <w:i/>
          <w:color w:val="383638"/>
          <w:sz w:val="16"/>
        </w:rPr>
        <w:t>the</w:t>
      </w:r>
      <w:r>
        <w:rPr>
          <w:rFonts w:ascii="Arial"/>
          <w:i/>
          <w:color w:val="383638"/>
          <w:spacing w:val="40"/>
          <w:sz w:val="16"/>
        </w:rPr>
        <w:t> </w:t>
      </w:r>
      <w:r>
        <w:rPr>
          <w:rFonts w:ascii="Arial"/>
          <w:i/>
          <w:color w:val="383638"/>
          <w:sz w:val="14"/>
        </w:rPr>
        <w:t>/Pad</w:t>
      </w:r>
      <w:r>
        <w:rPr>
          <w:rFonts w:ascii="Arial"/>
          <w:i/>
          <w:color w:val="383638"/>
          <w:spacing w:val="7"/>
          <w:sz w:val="14"/>
        </w:rPr>
        <w:t> </w:t>
      </w:r>
      <w:r>
        <w:rPr>
          <w:rFonts w:ascii="Arial"/>
          <w:i/>
          <w:color w:val="383638"/>
          <w:sz w:val="16"/>
        </w:rPr>
        <w:t>/11dge,</w:t>
      </w:r>
      <w:r>
        <w:rPr>
          <w:rFonts w:ascii="Arial"/>
          <w:i/>
          <w:color w:val="383638"/>
          <w:spacing w:val="-13"/>
          <w:sz w:val="16"/>
        </w:rPr>
        <w:t> </w:t>
      </w:r>
      <w:r>
        <w:rPr>
          <w:rFonts w:ascii="Arial"/>
          <w:i/>
          <w:color w:val="383638"/>
          <w:sz w:val="16"/>
        </w:rPr>
        <w:t>A11no1mce,nents,</w:t>
      </w:r>
      <w:r>
        <w:rPr>
          <w:rFonts w:ascii="Arial"/>
          <w:i/>
          <w:color w:val="383638"/>
          <w:spacing w:val="-9"/>
          <w:sz w:val="16"/>
        </w:rPr>
        <w:t> </w:t>
      </w:r>
      <w:r>
        <w:rPr>
          <w:color w:val="383638"/>
          <w:sz w:val="18"/>
        </w:rPr>
        <w:t>Colum.</w:t>
      </w:r>
      <w:r>
        <w:rPr>
          <w:color w:val="383638"/>
          <w:spacing w:val="-2"/>
          <w:sz w:val="18"/>
        </w:rPr>
        <w:t> </w:t>
      </w:r>
      <w:r>
        <w:rPr>
          <w:color w:val="383638"/>
          <w:sz w:val="18"/>
        </w:rPr>
        <w:t>Bus.</w:t>
      </w:r>
      <w:r>
        <w:rPr>
          <w:color w:val="383638"/>
          <w:spacing w:val="-4"/>
          <w:sz w:val="18"/>
        </w:rPr>
        <w:t> </w:t>
      </w:r>
      <w:r>
        <w:rPr>
          <w:color w:val="383638"/>
          <w:sz w:val="17"/>
        </w:rPr>
        <w:t>L.</w:t>
      </w:r>
      <w:r>
        <w:rPr>
          <w:color w:val="383638"/>
          <w:spacing w:val="-3"/>
          <w:sz w:val="17"/>
        </w:rPr>
        <w:t> </w:t>
      </w:r>
      <w:r>
        <w:rPr>
          <w:color w:val="383638"/>
          <w:sz w:val="18"/>
        </w:rPr>
        <w:t>Rev.</w:t>
      </w:r>
      <w:r>
        <w:rPr>
          <w:color w:val="383638"/>
          <w:spacing w:val="-14"/>
          <w:sz w:val="18"/>
        </w:rPr>
        <w:t> </w:t>
      </w:r>
      <w:r>
        <w:rPr>
          <w:color w:val="383638"/>
          <w:sz w:val="18"/>
        </w:rPr>
        <w:t>Online</w:t>
      </w:r>
      <w:r>
        <w:rPr>
          <w:color w:val="383638"/>
          <w:spacing w:val="-5"/>
          <w:sz w:val="18"/>
        </w:rPr>
        <w:t> </w:t>
      </w:r>
      <w:r>
        <w:rPr>
          <w:color w:val="383638"/>
          <w:sz w:val="18"/>
        </w:rPr>
        <w:t>(Jan.</w:t>
      </w:r>
    </w:p>
    <w:p>
      <w:pPr>
        <w:spacing w:line="198" w:lineRule="exact" w:before="0"/>
        <w:ind w:left="164" w:right="0" w:firstLine="0"/>
        <w:jc w:val="both"/>
        <w:rPr>
          <w:sz w:val="18"/>
        </w:rPr>
      </w:pPr>
      <w:r>
        <w:rPr>
          <w:color w:val="383638"/>
          <w:w w:val="105"/>
          <w:sz w:val="18"/>
        </w:rPr>
        <w:t>14,</w:t>
      </w:r>
      <w:r>
        <w:rPr>
          <w:color w:val="383638"/>
          <w:spacing w:val="-20"/>
          <w:w w:val="105"/>
          <w:sz w:val="18"/>
        </w:rPr>
        <w:t> </w:t>
      </w:r>
      <w:r>
        <w:rPr>
          <w:color w:val="383638"/>
          <w:w w:val="105"/>
          <w:sz w:val="18"/>
        </w:rPr>
        <w:t>2014)</w:t>
      </w:r>
      <w:r>
        <w:rPr>
          <w:color w:val="383638"/>
          <w:spacing w:val="9"/>
          <w:w w:val="105"/>
          <w:sz w:val="18"/>
        </w:rPr>
        <w:t> </w:t>
      </w:r>
      <w:r>
        <w:rPr>
          <w:color w:val="383638"/>
          <w:w w:val="105"/>
          <w:sz w:val="18"/>
        </w:rPr>
        <w:t>(available</w:t>
      </w:r>
      <w:r>
        <w:rPr>
          <w:color w:val="383638"/>
          <w:spacing w:val="3"/>
          <w:w w:val="105"/>
          <w:sz w:val="18"/>
        </w:rPr>
        <w:t> </w:t>
      </w:r>
      <w:r>
        <w:rPr>
          <w:color w:val="383638"/>
          <w:w w:val="105"/>
          <w:sz w:val="18"/>
        </w:rPr>
        <w:t>at </w:t>
      </w:r>
      <w:r>
        <w:rPr>
          <w:color w:val="383638"/>
          <w:spacing w:val="1"/>
          <w:w w:val="105"/>
          <w:sz w:val="18"/>
        </w:rPr>
        <w:t> </w:t>
      </w:r>
      <w:hyperlink r:id="rId282">
        <w:r>
          <w:rPr>
            <w:color w:val="383638"/>
            <w:w w:val="105"/>
            <w:sz w:val="18"/>
          </w:rPr>
          <w:t>http</w:t>
        </w:r>
        <w:r>
          <w:rPr>
            <w:color w:val="565657"/>
            <w:w w:val="105"/>
            <w:sz w:val="18"/>
          </w:rPr>
          <w:t>:</w:t>
        </w:r>
        <w:r>
          <w:rPr>
            <w:color w:val="383638"/>
            <w:w w:val="105"/>
            <w:sz w:val="18"/>
          </w:rPr>
          <w:t>//cblr</w:t>
        </w:r>
        <w:r>
          <w:rPr>
            <w:color w:val="565657"/>
            <w:w w:val="105"/>
            <w:sz w:val="18"/>
          </w:rPr>
          <w:t>.</w:t>
        </w:r>
        <w:r>
          <w:rPr>
            <w:color w:val="383638"/>
            <w:w w:val="105"/>
            <w:sz w:val="18"/>
          </w:rPr>
          <w:t>columb</w:t>
        </w:r>
        <w:r>
          <w:rPr>
            <w:color w:val="565657"/>
            <w:w w:val="105"/>
            <w:sz w:val="18"/>
          </w:rPr>
          <w:t>l</w:t>
        </w:r>
        <w:r>
          <w:rPr>
            <w:color w:val="383638"/>
            <w:w w:val="105"/>
            <w:sz w:val="18"/>
          </w:rPr>
          <w:t>a</w:t>
        </w:r>
        <w:r>
          <w:rPr>
            <w:color w:val="565657"/>
            <w:w w:val="105"/>
            <w:sz w:val="18"/>
          </w:rPr>
          <w:t>.</w:t>
        </w:r>
        <w:r>
          <w:rPr>
            <w:color w:val="383638"/>
            <w:w w:val="105"/>
            <w:sz w:val="18"/>
          </w:rPr>
          <w:t>edu/archlves/t2940)</w:t>
        </w:r>
        <w:r>
          <w:rPr>
            <w:color w:val="383638"/>
            <w:spacing w:val="6"/>
            <w:w w:val="105"/>
            <w:sz w:val="18"/>
          </w:rPr>
          <w:t> </w:t>
        </w:r>
      </w:hyperlink>
      <w:r>
        <w:rPr>
          <w:color w:val="383638"/>
          <w:w w:val="105"/>
          <w:sz w:val="18"/>
        </w:rPr>
        <w:t>(last</w:t>
      </w:r>
      <w:r>
        <w:rPr>
          <w:color w:val="383638"/>
          <w:spacing w:val="5"/>
          <w:w w:val="105"/>
          <w:sz w:val="18"/>
        </w:rPr>
        <w:t> </w:t>
      </w:r>
      <w:r>
        <w:rPr>
          <w:color w:val="383638"/>
          <w:w w:val="105"/>
          <w:sz w:val="18"/>
        </w:rPr>
        <w:t>accessed</w:t>
      </w:r>
      <w:r>
        <w:rPr>
          <w:color w:val="383638"/>
          <w:spacing w:val="33"/>
          <w:w w:val="105"/>
          <w:sz w:val="18"/>
        </w:rPr>
        <w:t> </w:t>
      </w:r>
      <w:r>
        <w:rPr>
          <w:color w:val="383638"/>
          <w:w w:val="105"/>
          <w:sz w:val="18"/>
        </w:rPr>
        <w:t>April</w:t>
      </w:r>
      <w:r>
        <w:rPr>
          <w:color w:val="383638"/>
          <w:spacing w:val="9"/>
          <w:w w:val="105"/>
          <w:sz w:val="18"/>
        </w:rPr>
        <w:t> </w:t>
      </w:r>
      <w:r>
        <w:rPr>
          <w:color w:val="383638"/>
          <w:w w:val="105"/>
          <w:sz w:val="17"/>
        </w:rPr>
        <w:t>13, </w:t>
      </w:r>
      <w:r>
        <w:rPr>
          <w:color w:val="383638"/>
          <w:spacing w:val="27"/>
          <w:w w:val="105"/>
          <w:sz w:val="17"/>
        </w:rPr>
        <w:t> </w:t>
      </w:r>
      <w:r>
        <w:rPr>
          <w:color w:val="383638"/>
          <w:w w:val="105"/>
          <w:sz w:val="18"/>
        </w:rPr>
        <w:t>2014)</w:t>
      </w:r>
      <w:r>
        <w:rPr>
          <w:color w:val="565657"/>
          <w:w w:val="105"/>
          <w:sz w:val="18"/>
        </w:rPr>
        <w:t>.</w:t>
      </w:r>
    </w:p>
    <w:p>
      <w:pPr>
        <w:spacing w:line="223" w:lineRule="auto" w:before="5"/>
        <w:ind w:left="173" w:right="403" w:firstLine="327"/>
        <w:jc w:val="both"/>
        <w:rPr>
          <w:sz w:val="18"/>
        </w:rPr>
      </w:pPr>
      <w:r>
        <w:rPr>
          <w:color w:val="383638"/>
          <w:w w:val="110"/>
          <w:position w:val="5"/>
          <w:sz w:val="10"/>
        </w:rPr>
        <w:t>16</w:t>
      </w:r>
      <w:r>
        <w:rPr>
          <w:color w:val="383638"/>
          <w:w w:val="110"/>
          <w:sz w:val="18"/>
        </w:rPr>
        <w:t>£.g.</w:t>
      </w:r>
      <w:r>
        <w:rPr>
          <w:color w:val="565657"/>
          <w:w w:val="110"/>
          <w:sz w:val="18"/>
        </w:rPr>
        <w:t>, </w:t>
      </w:r>
      <w:r>
        <w:rPr>
          <w:color w:val="383638"/>
          <w:w w:val="110"/>
          <w:sz w:val="18"/>
        </w:rPr>
        <w:t>Duggan et al., </w:t>
      </w:r>
      <w:r>
        <w:rPr>
          <w:rFonts w:ascii="Arial" w:hAnsi="Arial"/>
          <w:i/>
          <w:color w:val="383638"/>
          <w:w w:val="110"/>
          <w:sz w:val="17"/>
        </w:rPr>
        <w:t>supra </w:t>
      </w:r>
      <w:r>
        <w:rPr>
          <w:color w:val="383638"/>
          <w:w w:val="110"/>
          <w:sz w:val="18"/>
        </w:rPr>
        <w:t>note 4, at 1146</w:t>
      </w:r>
      <w:r>
        <w:rPr>
          <w:color w:val="565657"/>
          <w:w w:val="110"/>
          <w:sz w:val="18"/>
        </w:rPr>
        <w:t>, </w:t>
      </w:r>
      <w:r>
        <w:rPr>
          <w:color w:val="383638"/>
          <w:w w:val="110"/>
          <w:sz w:val="18"/>
        </w:rPr>
        <w:t>1147 (agreeing with a conclusion about eye­</w:t>
      </w:r>
      <w:r>
        <w:rPr>
          <w:color w:val="383638"/>
          <w:spacing w:val="1"/>
          <w:w w:val="110"/>
          <w:sz w:val="18"/>
        </w:rPr>
        <w:t> </w:t>
      </w:r>
      <w:r>
        <w:rPr>
          <w:color w:val="383638"/>
          <w:w w:val="110"/>
          <w:sz w:val="18"/>
        </w:rPr>
        <w:t>tracklng studies showing that "skimmers begin every paragraph and continue reading until the</w:t>
      </w:r>
      <w:r>
        <w:rPr>
          <w:color w:val="383638"/>
          <w:spacing w:val="1"/>
          <w:w w:val="110"/>
          <w:sz w:val="18"/>
        </w:rPr>
        <w:t> </w:t>
      </w:r>
      <w:r>
        <w:rPr>
          <w:color w:val="383638"/>
          <w:w w:val="110"/>
          <w:sz w:val="18"/>
        </w:rPr>
        <w:t>rate of Information ga</w:t>
      </w:r>
      <w:r>
        <w:rPr>
          <w:color w:val="565657"/>
          <w:w w:val="110"/>
          <w:sz w:val="18"/>
        </w:rPr>
        <w:t>i</w:t>
      </w:r>
      <w:r>
        <w:rPr>
          <w:color w:val="383638"/>
          <w:w w:val="110"/>
          <w:sz w:val="18"/>
        </w:rPr>
        <w:t>n drops below a thr</w:t>
      </w:r>
      <w:r>
        <w:rPr>
          <w:color w:val="565657"/>
          <w:w w:val="110"/>
          <w:sz w:val="18"/>
        </w:rPr>
        <w:t>e</w:t>
      </w:r>
      <w:r>
        <w:rPr>
          <w:color w:val="383638"/>
          <w:w w:val="110"/>
          <w:sz w:val="18"/>
        </w:rPr>
        <w:t>shold whereupon they skip to the beginning of the</w:t>
      </w:r>
      <w:r>
        <w:rPr>
          <w:color w:val="383638"/>
          <w:spacing w:val="1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next paragraph.'' </w:t>
      </w:r>
      <w:r>
        <w:rPr>
          <w:color w:val="383638"/>
          <w:w w:val="110"/>
          <w:sz w:val="18"/>
        </w:rPr>
        <w:t>and explaining research results showing that "lines towards the top of the page</w:t>
      </w:r>
      <w:r>
        <w:rPr>
          <w:color w:val="383638"/>
          <w:spacing w:val="1"/>
          <w:w w:val="110"/>
          <w:sz w:val="18"/>
        </w:rPr>
        <w:t> </w:t>
      </w:r>
      <w:r>
        <w:rPr>
          <w:color w:val="383638"/>
          <w:w w:val="105"/>
          <w:sz w:val="19"/>
        </w:rPr>
        <w:t>were</w:t>
      </w:r>
      <w:r>
        <w:rPr>
          <w:color w:val="383638"/>
          <w:spacing w:val="-7"/>
          <w:w w:val="105"/>
          <w:sz w:val="19"/>
        </w:rPr>
        <w:t> </w:t>
      </w:r>
      <w:r>
        <w:rPr>
          <w:color w:val="383638"/>
          <w:w w:val="105"/>
          <w:sz w:val="18"/>
        </w:rPr>
        <w:t>more</w:t>
      </w:r>
      <w:r>
        <w:rPr>
          <w:color w:val="383638"/>
          <w:spacing w:val="1"/>
          <w:w w:val="105"/>
          <w:sz w:val="18"/>
        </w:rPr>
        <w:t> </w:t>
      </w:r>
      <w:r>
        <w:rPr>
          <w:color w:val="383638"/>
          <w:w w:val="105"/>
          <w:sz w:val="18"/>
        </w:rPr>
        <w:t>likely</w:t>
      </w:r>
      <w:r>
        <w:rPr>
          <w:color w:val="383638"/>
          <w:spacing w:val="1"/>
          <w:w w:val="105"/>
          <w:sz w:val="18"/>
        </w:rPr>
        <w:t> </w:t>
      </w:r>
      <w:r>
        <w:rPr>
          <w:color w:val="383638"/>
          <w:w w:val="105"/>
          <w:sz w:val="18"/>
        </w:rPr>
        <w:t>to</w:t>
      </w:r>
      <w:r>
        <w:rPr>
          <w:color w:val="383638"/>
          <w:spacing w:val="14"/>
          <w:w w:val="105"/>
          <w:sz w:val="18"/>
        </w:rPr>
        <w:t> </w:t>
      </w:r>
      <w:r>
        <w:rPr>
          <w:rFonts w:ascii="Arial" w:hAnsi="Arial"/>
          <w:color w:val="383638"/>
          <w:w w:val="105"/>
          <w:sz w:val="16"/>
        </w:rPr>
        <w:t>be</w:t>
      </w:r>
      <w:r>
        <w:rPr>
          <w:rFonts w:ascii="Arial" w:hAnsi="Arial"/>
          <w:color w:val="383638"/>
          <w:spacing w:val="-5"/>
          <w:w w:val="105"/>
          <w:sz w:val="16"/>
        </w:rPr>
        <w:t> </w:t>
      </w:r>
      <w:r>
        <w:rPr>
          <w:color w:val="383638"/>
          <w:w w:val="105"/>
          <w:sz w:val="18"/>
        </w:rPr>
        <w:t>fixated</w:t>
      </w:r>
      <w:r>
        <w:rPr>
          <w:color w:val="383638"/>
          <w:spacing w:val="4"/>
          <w:w w:val="105"/>
          <w:sz w:val="18"/>
        </w:rPr>
        <w:t> </w:t>
      </w:r>
      <w:r>
        <w:rPr>
          <w:color w:val="383638"/>
          <w:w w:val="105"/>
          <w:sz w:val="18"/>
        </w:rPr>
        <w:t>upon</w:t>
      </w:r>
      <w:r>
        <w:rPr>
          <w:color w:val="383638"/>
          <w:spacing w:val="9"/>
          <w:w w:val="105"/>
          <w:sz w:val="18"/>
        </w:rPr>
        <w:t> </w:t>
      </w:r>
      <w:r>
        <w:rPr>
          <w:color w:val="383638"/>
          <w:w w:val="105"/>
          <w:sz w:val="18"/>
        </w:rPr>
        <w:t>than</w:t>
      </w:r>
      <w:r>
        <w:rPr>
          <w:color w:val="383638"/>
          <w:spacing w:val="4"/>
          <w:w w:val="105"/>
          <w:sz w:val="18"/>
        </w:rPr>
        <w:t> </w:t>
      </w:r>
      <w:r>
        <w:rPr>
          <w:color w:val="383638"/>
          <w:w w:val="105"/>
          <w:sz w:val="18"/>
        </w:rPr>
        <w:t>lines</w:t>
      </w:r>
      <w:r>
        <w:rPr>
          <w:color w:val="383638"/>
          <w:spacing w:val="-7"/>
          <w:w w:val="105"/>
          <w:sz w:val="18"/>
        </w:rPr>
        <w:t> </w:t>
      </w:r>
      <w:r>
        <w:rPr>
          <w:color w:val="383638"/>
          <w:w w:val="105"/>
          <w:sz w:val="18"/>
        </w:rPr>
        <w:t>towards</w:t>
      </w:r>
      <w:r>
        <w:rPr>
          <w:color w:val="383638"/>
          <w:spacing w:val="10"/>
          <w:w w:val="105"/>
          <w:sz w:val="18"/>
        </w:rPr>
        <w:t> </w:t>
      </w:r>
      <w:r>
        <w:rPr>
          <w:color w:val="383638"/>
          <w:w w:val="105"/>
          <w:sz w:val="18"/>
        </w:rPr>
        <w:t>the</w:t>
      </w:r>
      <w:r>
        <w:rPr>
          <w:color w:val="383638"/>
          <w:spacing w:val="18"/>
          <w:w w:val="105"/>
          <w:sz w:val="18"/>
        </w:rPr>
        <w:t> </w:t>
      </w:r>
      <w:r>
        <w:rPr>
          <w:color w:val="383638"/>
          <w:w w:val="105"/>
          <w:sz w:val="18"/>
        </w:rPr>
        <w:t>bottom</w:t>
      </w:r>
      <w:r>
        <w:rPr>
          <w:color w:val="383638"/>
          <w:spacing w:val="-3"/>
          <w:w w:val="105"/>
          <w:sz w:val="18"/>
        </w:rPr>
        <w:t> </w:t>
      </w:r>
      <w:r>
        <w:rPr>
          <w:color w:val="383638"/>
          <w:w w:val="105"/>
          <w:sz w:val="18"/>
        </w:rPr>
        <w:t>of</w:t>
      </w:r>
      <w:r>
        <w:rPr>
          <w:color w:val="383638"/>
          <w:spacing w:val="11"/>
          <w:w w:val="105"/>
          <w:sz w:val="18"/>
        </w:rPr>
        <w:t> </w:t>
      </w:r>
      <w:r>
        <w:rPr>
          <w:color w:val="383638"/>
          <w:w w:val="105"/>
          <w:sz w:val="18"/>
        </w:rPr>
        <w:t>the</w:t>
      </w:r>
      <w:r>
        <w:rPr>
          <w:color w:val="383638"/>
          <w:spacing w:val="15"/>
          <w:w w:val="105"/>
          <w:sz w:val="18"/>
        </w:rPr>
        <w:t> </w:t>
      </w:r>
      <w:r>
        <w:rPr>
          <w:color w:val="383638"/>
          <w:w w:val="105"/>
          <w:sz w:val="18"/>
        </w:rPr>
        <w:t>page•)</w:t>
      </w:r>
      <w:r>
        <w:rPr>
          <w:color w:val="565657"/>
          <w:w w:val="105"/>
          <w:sz w:val="18"/>
        </w:rPr>
        <w:t>.</w:t>
      </w:r>
    </w:p>
    <w:p>
      <w:pPr>
        <w:spacing w:after="0" w:line="223" w:lineRule="auto"/>
        <w:jc w:val="both"/>
        <w:rPr>
          <w:sz w:val="18"/>
        </w:rPr>
        <w:sectPr>
          <w:pgSz w:w="9760" w:h="13980"/>
          <w:pgMar w:header="572" w:footer="0" w:top="1200" w:bottom="0" w:left="220" w:right="1360"/>
        </w:sectPr>
      </w:pPr>
    </w:p>
    <w:p>
      <w:pPr>
        <w:pStyle w:val="BodyText"/>
        <w:spacing w:line="235" w:lineRule="auto" w:before="85"/>
        <w:ind w:left="763" w:right="117" w:firstLine="15"/>
        <w:jc w:val="both"/>
      </w:pPr>
      <w:r>
        <w:rPr>
          <w:color w:val="383636"/>
          <w:w w:val="105"/>
        </w:rPr>
        <w:t>making explicit Kevin Bacon connections at the beginning of a new sec­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tion, you can make it easier for the digital reader to understand how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different</w:t>
      </w:r>
      <w:r>
        <w:rPr>
          <w:color w:val="383636"/>
          <w:spacing w:val="7"/>
          <w:w w:val="110"/>
        </w:rPr>
        <w:t> </w:t>
      </w:r>
      <w:r>
        <w:rPr>
          <w:color w:val="383636"/>
          <w:w w:val="110"/>
        </w:rPr>
        <w:t>pieces</w:t>
      </w:r>
      <w:r>
        <w:rPr>
          <w:color w:val="383636"/>
          <w:spacing w:val="-18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4"/>
          <w:w w:val="110"/>
        </w:rPr>
        <w:t> </w:t>
      </w:r>
      <w:r>
        <w:rPr>
          <w:color w:val="383636"/>
          <w:w w:val="110"/>
        </w:rPr>
        <w:t>your</w:t>
      </w:r>
      <w:r>
        <w:rPr>
          <w:color w:val="383636"/>
          <w:spacing w:val="-15"/>
          <w:w w:val="110"/>
        </w:rPr>
        <w:t> </w:t>
      </w:r>
      <w:r>
        <w:rPr>
          <w:color w:val="383636"/>
          <w:w w:val="110"/>
        </w:rPr>
        <w:t>argument</w:t>
      </w:r>
      <w:r>
        <w:rPr>
          <w:color w:val="383636"/>
          <w:spacing w:val="2"/>
          <w:w w:val="110"/>
        </w:rPr>
        <w:t> </w:t>
      </w:r>
      <w:r>
        <w:rPr>
          <w:color w:val="383636"/>
          <w:w w:val="110"/>
        </w:rPr>
        <w:t>fit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together.</w:t>
      </w:r>
    </w:p>
    <w:p>
      <w:pPr>
        <w:pStyle w:val="BodyText"/>
        <w:spacing w:line="225" w:lineRule="auto" w:before="1"/>
        <w:ind w:left="750" w:right="114" w:firstLine="403"/>
        <w:jc w:val="both"/>
      </w:pPr>
      <w:r>
        <w:rPr>
          <w:color w:val="383636"/>
          <w:w w:val="110"/>
        </w:rPr>
        <w:t>Finally, be thoughtful </w:t>
      </w:r>
      <w:r>
        <w:rPr>
          <w:color w:val="383636"/>
          <w:w w:val="110"/>
          <w:sz w:val="21"/>
        </w:rPr>
        <w:t>in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</w:rPr>
        <w:t>how you choose and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use your software.</w:t>
      </w:r>
      <w:r>
        <w:rPr>
          <w:color w:val="383636"/>
          <w:spacing w:val="1"/>
          <w:w w:val="110"/>
        </w:rPr>
        <w:t> </w:t>
      </w:r>
      <w:r>
        <w:rPr>
          <w:color w:val="383636"/>
          <w:spacing w:val="-1"/>
          <w:w w:val="110"/>
        </w:rPr>
        <w:t>Specific</w:t>
      </w:r>
      <w:r>
        <w:rPr>
          <w:color w:val="383636"/>
          <w:spacing w:val="-19"/>
          <w:w w:val="110"/>
        </w:rPr>
        <w:t> </w:t>
      </w:r>
      <w:r>
        <w:rPr>
          <w:color w:val="383636"/>
          <w:w w:val="110"/>
        </w:rPr>
        <w:t>recommendationsas</w:t>
      </w:r>
      <w:r>
        <w:rPr>
          <w:color w:val="383636"/>
          <w:spacing w:val="-35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-16"/>
          <w:w w:val="110"/>
        </w:rPr>
        <w:t> </w:t>
      </w:r>
      <w:r>
        <w:rPr>
          <w:color w:val="383636"/>
          <w:w w:val="110"/>
        </w:rPr>
        <w:t>software</w:t>
      </w:r>
      <w:r>
        <w:rPr>
          <w:color w:val="383636"/>
          <w:spacing w:val="-22"/>
          <w:w w:val="110"/>
        </w:rPr>
        <w:t> </w:t>
      </w:r>
      <w:r>
        <w:rPr>
          <w:color w:val="383636"/>
          <w:w w:val="110"/>
        </w:rPr>
        <w:t>are</w:t>
      </w:r>
      <w:r>
        <w:rPr>
          <w:color w:val="383636"/>
          <w:spacing w:val="-12"/>
          <w:w w:val="110"/>
        </w:rPr>
        <w:t> </w:t>
      </w:r>
      <w:r>
        <w:rPr>
          <w:color w:val="383636"/>
          <w:w w:val="110"/>
        </w:rPr>
        <w:t>beyond</w:t>
      </w:r>
      <w:r>
        <w:rPr>
          <w:color w:val="383636"/>
          <w:spacing w:val="-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2"/>
          <w:w w:val="110"/>
        </w:rPr>
        <w:t> </w:t>
      </w:r>
      <w:r>
        <w:rPr>
          <w:color w:val="383636"/>
          <w:w w:val="110"/>
        </w:rPr>
        <w:t>scopeof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this</w:t>
      </w:r>
      <w:r>
        <w:rPr>
          <w:color w:val="383636"/>
          <w:spacing w:val="-35"/>
          <w:w w:val="110"/>
        </w:rPr>
        <w:t> </w:t>
      </w:r>
      <w:r>
        <w:rPr>
          <w:color w:val="383636"/>
          <w:w w:val="110"/>
        </w:rPr>
        <w:t>book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(and the expertise of this author). When choosing software, however, </w:t>
      </w:r>
      <w:r>
        <w:rPr>
          <w:color w:val="383636"/>
          <w:w w:val="110"/>
          <w:sz w:val="24"/>
        </w:rPr>
        <w:t>be</w:t>
      </w:r>
      <w:r>
        <w:rPr>
          <w:color w:val="383636"/>
          <w:spacing w:val="1"/>
          <w:w w:val="110"/>
          <w:sz w:val="24"/>
        </w:rPr>
        <w:t> </w:t>
      </w:r>
      <w:r>
        <w:rPr>
          <w:color w:val="383636"/>
          <w:w w:val="105"/>
        </w:rPr>
        <w:t>mindful of both court rules and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the devices that judges and  clerks use to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read their briefs. </w:t>
      </w:r>
      <w:r>
        <w:rPr>
          <w:color w:val="383636"/>
          <w:w w:val="105"/>
          <w:sz w:val="22"/>
        </w:rPr>
        <w:t>If </w:t>
      </w:r>
      <w:r>
        <w:rPr>
          <w:color w:val="383636"/>
          <w:w w:val="105"/>
        </w:rPr>
        <w:t>possible, use software that creates fixed pages; likewise,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look for software that sends structural signals to your reader.</w:t>
      </w:r>
      <w:r>
        <w:rPr>
          <w:color w:val="383636"/>
          <w:w w:val="105"/>
          <w:vertAlign w:val="superscript"/>
        </w:rPr>
        <w:t>17</w:t>
      </w:r>
      <w:r>
        <w:rPr>
          <w:color w:val="383636"/>
          <w:w w:val="105"/>
          <w:vertAlign w:val="baseline"/>
        </w:rPr>
        <w:t> Some </w:t>
      </w:r>
      <w:r>
        <w:rPr>
          <w:color w:val="383636"/>
          <w:w w:val="105"/>
          <w:sz w:val="26"/>
          <w:vertAlign w:val="baseline"/>
        </w:rPr>
        <w:t>cur­</w:t>
      </w:r>
      <w:r>
        <w:rPr>
          <w:color w:val="383636"/>
          <w:spacing w:val="1"/>
          <w:w w:val="105"/>
          <w:sz w:val="26"/>
          <w:vertAlign w:val="baseline"/>
        </w:rPr>
        <w:t> </w:t>
      </w:r>
      <w:r>
        <w:rPr>
          <w:color w:val="383636"/>
          <w:w w:val="110"/>
          <w:vertAlign w:val="baseline"/>
        </w:rPr>
        <w:t>rent software, for example, runs a table of contents down the left-hand</w:t>
      </w:r>
      <w:r>
        <w:rPr>
          <w:color w:val="383636"/>
          <w:spacing w:val="1"/>
          <w:w w:val="110"/>
          <w:vertAlign w:val="baseline"/>
        </w:rPr>
        <w:t> </w:t>
      </w:r>
      <w:r>
        <w:rPr>
          <w:color w:val="383636"/>
          <w:w w:val="105"/>
          <w:vertAlign w:val="baseline"/>
        </w:rPr>
        <w:t>side of the screen, giving readers context as well as allowing them to move</w:t>
      </w:r>
      <w:r>
        <w:rPr>
          <w:color w:val="383636"/>
          <w:spacing w:val="1"/>
          <w:w w:val="105"/>
          <w:vertAlign w:val="baseline"/>
        </w:rPr>
        <w:t> </w:t>
      </w:r>
      <w:r>
        <w:rPr>
          <w:color w:val="383636"/>
          <w:w w:val="110"/>
          <w:vertAlign w:val="baseline"/>
        </w:rPr>
        <w:t>easily</w:t>
      </w:r>
      <w:r>
        <w:rPr>
          <w:color w:val="383636"/>
          <w:spacing w:val="-16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from</w:t>
      </w:r>
      <w:r>
        <w:rPr>
          <w:color w:val="383636"/>
          <w:spacing w:val="-7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one</w:t>
      </w:r>
      <w:r>
        <w:rPr>
          <w:color w:val="383636"/>
          <w:spacing w:val="1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section</w:t>
      </w:r>
      <w:r>
        <w:rPr>
          <w:color w:val="383636"/>
          <w:spacing w:val="-2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of</w:t>
      </w:r>
      <w:r>
        <w:rPr>
          <w:color w:val="383636"/>
          <w:spacing w:val="1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the</w:t>
      </w:r>
      <w:r>
        <w:rPr>
          <w:color w:val="383636"/>
          <w:spacing w:val="22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document</w:t>
      </w:r>
      <w:r>
        <w:rPr>
          <w:color w:val="383636"/>
          <w:spacing w:val="13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to</w:t>
      </w:r>
      <w:r>
        <w:rPr>
          <w:color w:val="383636"/>
          <w:spacing w:val="-3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another.</w:t>
      </w:r>
    </w:p>
    <w:p>
      <w:pPr>
        <w:pStyle w:val="BodyText"/>
        <w:spacing w:line="232" w:lineRule="auto" w:before="15"/>
        <w:ind w:left="715" w:right="128" w:firstLine="397"/>
        <w:jc w:val="both"/>
      </w:pPr>
      <w:r>
        <w:rPr>
          <w:color w:val="383636"/>
          <w:w w:val="110"/>
        </w:rPr>
        <w:t>It is tempting to take advantage of all of the bells and whistles that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your software offers, but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be mindful of the impact of your decisions. Hot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links can be useful, for example, but they can also take the reader away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from your document and into another document. </w:t>
      </w:r>
      <w:r>
        <w:rPr>
          <w:color w:val="383636"/>
          <w:w w:val="110"/>
          <w:sz w:val="24"/>
        </w:rPr>
        <w:t>If </w:t>
      </w:r>
      <w:r>
        <w:rPr>
          <w:color w:val="383636"/>
          <w:w w:val="110"/>
        </w:rPr>
        <w:t>that document also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has hot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links, the reader may soon be many documents away from your</w:t>
      </w:r>
      <w:r>
        <w:rPr>
          <w:color w:val="383636"/>
          <w:spacing w:val="1"/>
          <w:w w:val="110"/>
        </w:rPr>
        <w:t> </w:t>
      </w:r>
      <w:r>
        <w:rPr>
          <w:color w:val="49494B"/>
          <w:w w:val="110"/>
        </w:rPr>
        <w:t>well-crafted </w:t>
      </w:r>
      <w:r>
        <w:rPr>
          <w:color w:val="383636"/>
          <w:w w:val="110"/>
        </w:rPr>
        <w:t>argument. If you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believe that the court would benefit from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hot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links, it may be better to include them in a table of authorities or an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appendix</w:t>
      </w:r>
      <w:r>
        <w:rPr>
          <w:color w:val="383636"/>
          <w:spacing w:val="10"/>
          <w:w w:val="110"/>
        </w:rPr>
        <w:t> </w:t>
      </w:r>
      <w:r>
        <w:rPr>
          <w:color w:val="383636"/>
          <w:w w:val="110"/>
        </w:rPr>
        <w:t>rather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than</w:t>
      </w:r>
      <w:r>
        <w:rPr>
          <w:color w:val="383636"/>
          <w:spacing w:val="-3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-8"/>
          <w:w w:val="110"/>
        </w:rPr>
        <w:t> </w:t>
      </w:r>
      <w:r>
        <w:rPr>
          <w:color w:val="383636"/>
          <w:w w:val="110"/>
        </w:rPr>
        <w:t>body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15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26"/>
          <w:w w:val="110"/>
        </w:rPr>
        <w:t> </w:t>
      </w:r>
      <w:r>
        <w:rPr>
          <w:color w:val="383636"/>
          <w:w w:val="110"/>
        </w:rPr>
        <w:t>argument</w:t>
      </w:r>
      <w:r>
        <w:rPr>
          <w:color w:val="383636"/>
          <w:spacing w:val="20"/>
          <w:w w:val="110"/>
        </w:rPr>
        <w:t> </w:t>
      </w:r>
      <w:r>
        <w:rPr>
          <w:color w:val="383636"/>
          <w:w w:val="110"/>
        </w:rPr>
        <w:t>itself.</w:t>
      </w:r>
    </w:p>
    <w:p>
      <w:pPr>
        <w:pStyle w:val="BodyText"/>
        <w:spacing w:line="235" w:lineRule="auto"/>
        <w:ind w:left="701" w:right="130" w:firstLine="371"/>
        <w:jc w:val="both"/>
      </w:pPr>
      <w:r>
        <w:rPr>
          <w:color w:val="383636"/>
          <w:w w:val="110"/>
        </w:rPr>
        <w:t>Thankfully, hard-copy readers have many of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finding and com­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prehension needs that digital readers do. Although sensing </w:t>
      </w:r>
      <w:r>
        <w:rPr>
          <w:color w:val="49494B"/>
          <w:w w:val="110"/>
        </w:rPr>
        <w:t>structure </w:t>
      </w:r>
      <w:r>
        <w:rPr>
          <w:color w:val="383636"/>
          <w:w w:val="110"/>
        </w:rPr>
        <w:t>and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making connections may be easier for hard-copy readers than for digital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readers, you will likely enhance the comprehension of all readers by using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these</w:t>
      </w:r>
      <w:r>
        <w:rPr>
          <w:color w:val="383636"/>
          <w:spacing w:val="-14"/>
          <w:w w:val="110"/>
        </w:rPr>
        <w:t> </w:t>
      </w:r>
      <w:r>
        <w:rPr>
          <w:color w:val="383636"/>
          <w:w w:val="110"/>
        </w:rPr>
        <w:t>user-friendly</w:t>
      </w:r>
      <w:r>
        <w:rPr>
          <w:color w:val="383636"/>
          <w:spacing w:val="17"/>
          <w:w w:val="110"/>
        </w:rPr>
        <w:t> </w:t>
      </w:r>
      <w:r>
        <w:rPr>
          <w:color w:val="383636"/>
          <w:w w:val="110"/>
        </w:rPr>
        <w:t>techniques.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92"/>
        </w:numPr>
        <w:tabs>
          <w:tab w:pos="1974" w:val="left" w:leader="none"/>
        </w:tabs>
        <w:spacing w:line="240" w:lineRule="auto" w:before="208" w:after="0"/>
        <w:ind w:left="1973" w:right="0" w:hanging="699"/>
        <w:jc w:val="left"/>
        <w:rPr>
          <w:rFonts w:ascii="Arial"/>
          <w:b/>
          <w:color w:val="383636"/>
          <w:sz w:val="31"/>
        </w:rPr>
      </w:pPr>
    </w:p>
    <w:p>
      <w:pPr>
        <w:spacing w:before="35"/>
        <w:ind w:left="1257" w:right="0" w:firstLine="0"/>
        <w:jc w:val="left"/>
        <w:rPr>
          <w:b/>
          <w:sz w:val="29"/>
        </w:rPr>
      </w:pPr>
      <w:r>
        <w:rPr>
          <w:b/>
          <w:color w:val="383636"/>
          <w:sz w:val="29"/>
        </w:rPr>
        <w:t>SUMMARY</w:t>
      </w:r>
    </w:p>
    <w:p>
      <w:pPr>
        <w:pStyle w:val="BodyText"/>
        <w:spacing w:line="232" w:lineRule="auto" w:before="269"/>
        <w:ind w:left="586" w:right="121" w:firstLine="669"/>
        <w:jc w:val="both"/>
      </w:pPr>
      <w:r>
        <w:rPr>
          <w:color w:val="383636"/>
          <w:w w:val="110"/>
        </w:rPr>
        <w:t>To make your document reader-friendly and user-friendly, first be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sure that you understand how the parts of your argument fit together.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Then, make sure to </w:t>
      </w:r>
      <w:r>
        <w:rPr>
          <w:color w:val="49494B"/>
          <w:w w:val="110"/>
        </w:rPr>
        <w:t>show </w:t>
      </w:r>
      <w:r>
        <w:rPr>
          <w:color w:val="383636"/>
          <w:w w:val="110"/>
        </w:rPr>
        <w:t>explicitly how the  pieces fit together, and make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it easy for all readers to find the various </w:t>
      </w:r>
      <w:r>
        <w:rPr>
          <w:color w:val="49494B"/>
          <w:w w:val="110"/>
        </w:rPr>
        <w:t>sections </w:t>
      </w:r>
      <w:r>
        <w:rPr>
          <w:color w:val="383636"/>
          <w:w w:val="110"/>
        </w:rPr>
        <w:t>of your argument. Use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roadmaps,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headings,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topic sentences, and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connection-conclusions to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show hard-copy and digital readers and users both where each section of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4"/>
          <w:w w:val="110"/>
        </w:rPr>
        <w:t> </w:t>
      </w:r>
      <w:r>
        <w:rPr>
          <w:color w:val="383636"/>
          <w:w w:val="110"/>
        </w:rPr>
        <w:t>argument</w:t>
      </w:r>
      <w:r>
        <w:rPr>
          <w:color w:val="383636"/>
          <w:spacing w:val="-1"/>
          <w:w w:val="110"/>
        </w:rPr>
        <w:t> </w:t>
      </w:r>
      <w:r>
        <w:rPr>
          <w:color w:val="383636"/>
          <w:w w:val="110"/>
        </w:rPr>
        <w:t>is</w:t>
      </w:r>
      <w:r>
        <w:rPr>
          <w:color w:val="383636"/>
          <w:spacing w:val="-9"/>
          <w:w w:val="110"/>
        </w:rPr>
        <w:t> </w:t>
      </w:r>
      <w:r>
        <w:rPr>
          <w:color w:val="383636"/>
          <w:w w:val="110"/>
        </w:rPr>
        <w:t>and</w:t>
      </w:r>
      <w:r>
        <w:rPr>
          <w:color w:val="383636"/>
          <w:spacing w:val="12"/>
          <w:w w:val="110"/>
        </w:rPr>
        <w:t> </w:t>
      </w:r>
      <w:r>
        <w:rPr>
          <w:color w:val="383636"/>
          <w:w w:val="110"/>
        </w:rPr>
        <w:t>how</w:t>
      </w:r>
      <w:r>
        <w:rPr>
          <w:color w:val="383636"/>
          <w:spacing w:val="-9"/>
          <w:w w:val="110"/>
        </w:rPr>
        <w:t> </w:t>
      </w:r>
      <w:r>
        <w:rPr>
          <w:color w:val="383636"/>
          <w:w w:val="110"/>
        </w:rPr>
        <w:t>each</w:t>
      </w:r>
      <w:r>
        <w:rPr>
          <w:color w:val="383636"/>
          <w:spacing w:val="-19"/>
          <w:w w:val="110"/>
        </w:rPr>
        <w:t> </w:t>
      </w:r>
      <w:r>
        <w:rPr>
          <w:color w:val="49494B"/>
          <w:w w:val="110"/>
        </w:rPr>
        <w:t>section</w:t>
      </w:r>
      <w:r>
        <w:rPr>
          <w:color w:val="49494B"/>
          <w:spacing w:val="3"/>
          <w:w w:val="110"/>
        </w:rPr>
        <w:t> </w:t>
      </w:r>
      <w:r>
        <w:rPr>
          <w:color w:val="383636"/>
          <w:w w:val="110"/>
        </w:rPr>
        <w:t>relates</w:t>
      </w:r>
      <w:r>
        <w:rPr>
          <w:color w:val="383636"/>
          <w:spacing w:val="4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14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29"/>
          <w:w w:val="110"/>
        </w:rPr>
        <w:t> </w:t>
      </w:r>
      <w:r>
        <w:rPr>
          <w:color w:val="383636"/>
          <w:w w:val="110"/>
        </w:rPr>
        <w:t>whole.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25" w:lineRule="exact" w:before="169"/>
        <w:ind w:left="910" w:right="0" w:firstLine="0"/>
        <w:jc w:val="left"/>
        <w:rPr>
          <w:sz w:val="17"/>
        </w:rPr>
      </w:pPr>
      <w:r>
        <w:rPr>
          <w:rFonts w:ascii="Arial"/>
          <w:i/>
          <w:color w:val="383636"/>
          <w:w w:val="105"/>
          <w:position w:val="6"/>
          <w:sz w:val="10"/>
        </w:rPr>
        <w:t>11</w:t>
      </w:r>
      <w:r>
        <w:rPr>
          <w:i/>
          <w:color w:val="383636"/>
          <w:w w:val="105"/>
          <w:sz w:val="20"/>
        </w:rPr>
        <w:t>See,</w:t>
      </w:r>
      <w:r>
        <w:rPr>
          <w:i/>
          <w:color w:val="383636"/>
          <w:spacing w:val="-13"/>
          <w:w w:val="105"/>
          <w:sz w:val="20"/>
        </w:rPr>
        <w:t> </w:t>
      </w:r>
      <w:r>
        <w:rPr>
          <w:i/>
          <w:color w:val="383636"/>
          <w:w w:val="105"/>
          <w:sz w:val="20"/>
        </w:rPr>
        <w:t>e.g.,</w:t>
      </w:r>
      <w:r>
        <w:rPr>
          <w:i/>
          <w:color w:val="383636"/>
          <w:spacing w:val="-21"/>
          <w:w w:val="105"/>
          <w:sz w:val="20"/>
        </w:rPr>
        <w:t> </w:t>
      </w:r>
      <w:r>
        <w:rPr>
          <w:rFonts w:ascii="Arial"/>
          <w:color w:val="383636"/>
          <w:w w:val="105"/>
          <w:sz w:val="17"/>
        </w:rPr>
        <w:t>Dubose</w:t>
      </w:r>
      <w:r>
        <w:rPr>
          <w:rFonts w:ascii="Arial"/>
          <w:color w:val="5B5B5D"/>
          <w:w w:val="105"/>
          <w:sz w:val="17"/>
        </w:rPr>
        <w:t>,</w:t>
      </w:r>
      <w:r>
        <w:rPr>
          <w:rFonts w:ascii="Arial"/>
          <w:color w:val="5B5B5D"/>
          <w:spacing w:val="28"/>
          <w:w w:val="105"/>
          <w:sz w:val="17"/>
        </w:rPr>
        <w:t> </w:t>
      </w:r>
      <w:r>
        <w:rPr>
          <w:i/>
          <w:color w:val="383636"/>
          <w:w w:val="105"/>
          <w:sz w:val="20"/>
        </w:rPr>
        <w:t>supra</w:t>
      </w:r>
      <w:r>
        <w:rPr>
          <w:i/>
          <w:color w:val="383636"/>
          <w:spacing w:val="-2"/>
          <w:w w:val="105"/>
          <w:sz w:val="20"/>
        </w:rPr>
        <w:t> </w:t>
      </w:r>
      <w:r>
        <w:rPr>
          <w:color w:val="383636"/>
          <w:w w:val="105"/>
          <w:sz w:val="18"/>
        </w:rPr>
        <w:t>note</w:t>
      </w:r>
      <w:r>
        <w:rPr>
          <w:color w:val="383636"/>
          <w:spacing w:val="-6"/>
          <w:w w:val="105"/>
          <w:sz w:val="18"/>
        </w:rPr>
        <w:t> </w:t>
      </w:r>
      <w:r>
        <w:rPr>
          <w:color w:val="383636"/>
          <w:w w:val="105"/>
          <w:sz w:val="18"/>
        </w:rPr>
        <w:t>14</w:t>
      </w:r>
      <w:r>
        <w:rPr>
          <w:color w:val="383636"/>
          <w:spacing w:val="-8"/>
          <w:w w:val="105"/>
          <w:sz w:val="18"/>
        </w:rPr>
        <w:t> </w:t>
      </w:r>
      <w:r>
        <w:rPr>
          <w:color w:val="383636"/>
          <w:w w:val="105"/>
          <w:sz w:val="18"/>
        </w:rPr>
        <w:t>(making</w:t>
      </w:r>
      <w:r>
        <w:rPr>
          <w:color w:val="383636"/>
          <w:spacing w:val="17"/>
          <w:w w:val="105"/>
          <w:sz w:val="18"/>
        </w:rPr>
        <w:t> </w:t>
      </w:r>
      <w:r>
        <w:rPr>
          <w:color w:val="383636"/>
          <w:w w:val="105"/>
          <w:sz w:val="18"/>
        </w:rPr>
        <w:t>recommendationsabout</w:t>
      </w:r>
      <w:r>
        <w:rPr>
          <w:color w:val="383636"/>
          <w:spacing w:val="33"/>
          <w:w w:val="105"/>
          <w:sz w:val="18"/>
        </w:rPr>
        <w:t> </w:t>
      </w:r>
      <w:r>
        <w:rPr>
          <w:color w:val="383636"/>
          <w:w w:val="105"/>
          <w:sz w:val="18"/>
        </w:rPr>
        <w:t>highlighting</w:t>
      </w:r>
      <w:r>
        <w:rPr>
          <w:color w:val="383636"/>
          <w:spacing w:val="3"/>
          <w:w w:val="105"/>
          <w:sz w:val="18"/>
        </w:rPr>
        <w:t> </w:t>
      </w:r>
      <w:r>
        <w:rPr>
          <w:color w:val="49494B"/>
          <w:w w:val="105"/>
          <w:sz w:val="17"/>
        </w:rPr>
        <w:t>structure</w:t>
      </w:r>
      <w:r>
        <w:rPr>
          <w:color w:val="49494B"/>
          <w:spacing w:val="11"/>
          <w:w w:val="105"/>
          <w:sz w:val="17"/>
        </w:rPr>
        <w:t> </w:t>
      </w:r>
      <w:r>
        <w:rPr>
          <w:color w:val="383636"/>
          <w:w w:val="105"/>
          <w:sz w:val="17"/>
        </w:rPr>
        <w:t>for</w:t>
      </w:r>
    </w:p>
    <w:p>
      <w:pPr>
        <w:spacing w:line="202" w:lineRule="exact" w:before="0"/>
        <w:ind w:left="514" w:right="0" w:firstLine="0"/>
        <w:jc w:val="left"/>
        <w:rPr>
          <w:rFonts w:ascii="Arial"/>
          <w:sz w:val="17"/>
        </w:rPr>
      </w:pPr>
      <w:r>
        <w:rPr>
          <w:color w:val="383636"/>
          <w:w w:val="105"/>
          <w:sz w:val="18"/>
        </w:rPr>
        <w:t>digital</w:t>
      </w:r>
      <w:r>
        <w:rPr>
          <w:color w:val="383636"/>
          <w:spacing w:val="-12"/>
          <w:w w:val="105"/>
          <w:sz w:val="18"/>
        </w:rPr>
        <w:t> </w:t>
      </w:r>
      <w:r>
        <w:rPr>
          <w:rFonts w:ascii="Arial"/>
          <w:color w:val="383636"/>
          <w:w w:val="105"/>
          <w:sz w:val="17"/>
        </w:rPr>
        <w:t>readers).</w:t>
      </w:r>
    </w:p>
    <w:p>
      <w:pPr>
        <w:spacing w:after="0" w:line="202" w:lineRule="exact"/>
        <w:jc w:val="left"/>
        <w:rPr>
          <w:rFonts w:ascii="Arial"/>
          <w:sz w:val="17"/>
        </w:rPr>
        <w:sectPr>
          <w:headerReference w:type="even" r:id="rId283"/>
          <w:pgSz w:w="9750" w:h="14020"/>
          <w:pgMar w:header="559" w:footer="0" w:top="1140" w:bottom="0" w:left="1360" w:right="120"/>
          <w:pgNumType w:start="250"/>
        </w:sectPr>
      </w:pPr>
    </w:p>
    <w:p>
      <w:pPr>
        <w:spacing w:before="80"/>
        <w:ind w:left="0" w:right="107" w:firstLine="0"/>
        <w:jc w:val="right"/>
        <w:rPr>
          <w:b/>
          <w:sz w:val="19"/>
        </w:rPr>
      </w:pPr>
      <w:r>
        <w:rPr>
          <w:b/>
          <w:color w:val="383636"/>
          <w:sz w:val="19"/>
        </w:rPr>
        <w:t>251</w:t>
      </w:r>
    </w:p>
    <w:p>
      <w:pPr>
        <w:pStyle w:val="BodyText"/>
        <w:spacing w:before="6"/>
        <w:rPr>
          <w:b/>
          <w:sz w:val="24"/>
        </w:rPr>
      </w:pPr>
    </w:p>
    <w:p>
      <w:pPr>
        <w:spacing w:after="0"/>
        <w:rPr>
          <w:sz w:val="24"/>
        </w:rPr>
        <w:sectPr>
          <w:headerReference w:type="default" r:id="rId284"/>
          <w:pgSz w:w="9810" w:h="14020"/>
          <w:pgMar w:header="0" w:footer="0" w:top="480" w:bottom="280" w:left="0" w:right="1300"/>
        </w:sectPr>
      </w:pPr>
    </w:p>
    <w:p>
      <w:pPr>
        <w:spacing w:line="158" w:lineRule="exact" w:before="95"/>
        <w:ind w:left="436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383636"/>
          <w:w w:val="102"/>
          <w:sz w:val="15"/>
        </w:rPr>
        <w:t>C</w:t>
      </w:r>
    </w:p>
    <w:p>
      <w:pPr>
        <w:spacing w:line="135" w:lineRule="exact" w:before="0"/>
        <w:ind w:left="437" w:right="0" w:firstLine="0"/>
        <w:jc w:val="left"/>
        <w:rPr>
          <w:rFonts w:ascii="Arial"/>
          <w:b/>
          <w:sz w:val="13"/>
        </w:rPr>
      </w:pPr>
      <w:r>
        <w:rPr/>
        <w:pict>
          <v:shape style="position:absolute;margin-left:21.951099pt;margin-top:3.799665pt;width:4.650pt;height:16.850pt;mso-position-horizontal-relative:page;mso-position-vertical-relative:paragraph;z-index:-21592576" type="#_x0000_t202" id="docshape461" filled="false" stroked="false">
            <v:textbox inset="0,0,0,0">
              <w:txbxContent>
                <w:p>
                  <w:pPr>
                    <w:spacing w:line="336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30"/>
                    </w:rPr>
                  </w:pPr>
                  <w:r>
                    <w:rPr>
                      <w:rFonts w:ascii="Arial"/>
                      <w:b/>
                      <w:color w:val="383636"/>
                      <w:w w:val="92"/>
                      <w:sz w:val="30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383636"/>
          <w:sz w:val="13"/>
        </w:rPr>
        <w:t>QI</w:t>
      </w:r>
    </w:p>
    <w:p>
      <w:pPr>
        <w:spacing w:line="531" w:lineRule="exact" w:before="71"/>
        <w:ind w:left="404" w:right="0" w:firstLine="0"/>
        <w:jc w:val="left"/>
        <w:rPr>
          <w:rFonts w:ascii="Arial"/>
          <w:b/>
          <w:sz w:val="19"/>
        </w:rPr>
      </w:pPr>
      <w:r>
        <w:rPr/>
        <w:pict>
          <v:shape style="position:absolute;margin-left:20.26321pt;margin-top:22.953835pt;width:4.25pt;height:27.25pt;mso-position-horizontal-relative:page;mso-position-vertical-relative:paragraph;z-index:-21592064" type="#_x0000_t202" id="docshape462" filled="false" stroked="false">
            <v:textbox inset="0,0,0,0">
              <w:txbxContent>
                <w:p>
                  <w:pPr>
                    <w:spacing w:line="544" w:lineRule="exact" w:before="0"/>
                    <w:ind w:left="0" w:right="0" w:firstLine="0"/>
                    <w:jc w:val="left"/>
                    <w:rPr>
                      <w:b/>
                      <w:sz w:val="49"/>
                    </w:rPr>
                  </w:pPr>
                  <w:r>
                    <w:rPr>
                      <w:b/>
                      <w:color w:val="383636"/>
                      <w:w w:val="62"/>
                      <w:sz w:val="4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383636"/>
          <w:spacing w:val="-83"/>
          <w:w w:val="58"/>
          <w:sz w:val="19"/>
        </w:rPr>
        <w:t>w</w:t>
      </w:r>
      <w:r>
        <w:rPr>
          <w:color w:val="383636"/>
          <w:w w:val="62"/>
          <w:position w:val="-17"/>
          <w:sz w:val="50"/>
        </w:rPr>
        <w:t>.</w:t>
      </w:r>
      <w:r>
        <w:rPr>
          <w:color w:val="383636"/>
          <w:spacing w:val="-74"/>
          <w:w w:val="62"/>
          <w:position w:val="-17"/>
          <w:sz w:val="50"/>
        </w:rPr>
        <w:t>.</w:t>
      </w:r>
      <w:r>
        <w:rPr>
          <w:rFonts w:ascii="Arial"/>
          <w:b/>
          <w:color w:val="383636"/>
          <w:spacing w:val="-1"/>
          <w:w w:val="58"/>
          <w:sz w:val="19"/>
        </w:rPr>
        <w:t>:;</w:t>
      </w:r>
    </w:p>
    <w:p>
      <w:pPr>
        <w:spacing w:line="1014" w:lineRule="exact" w:before="0"/>
        <w:ind w:left="117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color w:val="383636"/>
          <w:w w:val="65"/>
          <w:position w:val="-38"/>
          <w:sz w:val="92"/>
        </w:rPr>
        <w:t>°</w:t>
      </w:r>
      <w:r>
        <w:rPr>
          <w:rFonts w:ascii="Arial" w:hAnsi="Arial"/>
          <w:color w:val="383636"/>
          <w:spacing w:val="-64"/>
          <w:w w:val="65"/>
          <w:position w:val="-38"/>
          <w:sz w:val="92"/>
        </w:rPr>
        <w:t> </w:t>
      </w:r>
      <w:r>
        <w:rPr>
          <w:rFonts w:ascii="Arial" w:hAnsi="Arial"/>
          <w:b/>
          <w:color w:val="383636"/>
          <w:w w:val="65"/>
          <w:sz w:val="14"/>
        </w:rPr>
        <w:t>tO</w:t>
      </w:r>
    </w:p>
    <w:p>
      <w:pPr>
        <w:spacing w:line="240" w:lineRule="auto" w:before="0"/>
        <w:rPr>
          <w:rFonts w:ascii="Arial"/>
          <w:b/>
          <w:sz w:val="42"/>
        </w:rPr>
      </w:pPr>
      <w:r>
        <w:rPr/>
        <w:br w:type="column"/>
      </w:r>
      <w:r>
        <w:rPr>
          <w:rFonts w:ascii="Arial"/>
          <w:b/>
          <w:sz w:val="42"/>
        </w:rPr>
      </w:r>
    </w:p>
    <w:p>
      <w:pPr>
        <w:pStyle w:val="BodyText"/>
        <w:spacing w:before="9"/>
        <w:rPr>
          <w:rFonts w:ascii="Arial"/>
          <w:b/>
          <w:sz w:val="38"/>
        </w:rPr>
      </w:pPr>
    </w:p>
    <w:p>
      <w:pPr>
        <w:pStyle w:val="Heading6"/>
        <w:spacing w:line="290" w:lineRule="auto"/>
        <w:ind w:left="117" w:right="1032"/>
      </w:pPr>
      <w:r>
        <w:rPr>
          <w:color w:val="383636"/>
          <w:w w:val="105"/>
        </w:rPr>
        <w:t>EXPLOITING</w:t>
      </w:r>
      <w:r>
        <w:rPr>
          <w:color w:val="383636"/>
          <w:spacing w:val="20"/>
          <w:w w:val="105"/>
        </w:rPr>
        <w:t> </w:t>
      </w:r>
      <w:r>
        <w:rPr>
          <w:color w:val="4B4B4B"/>
          <w:w w:val="105"/>
        </w:rPr>
        <w:t>OPPORTUNITIES</w:t>
      </w:r>
      <w:r>
        <w:rPr>
          <w:color w:val="4B4B4B"/>
          <w:spacing w:val="-108"/>
          <w:w w:val="105"/>
        </w:rPr>
        <w:t> </w:t>
      </w:r>
      <w:r>
        <w:rPr>
          <w:color w:val="383636"/>
          <w:w w:val="105"/>
        </w:rPr>
        <w:t>FO</w:t>
      </w:r>
      <w:r>
        <w:rPr>
          <w:color w:val="676769"/>
          <w:w w:val="105"/>
        </w:rPr>
        <w:t>R</w:t>
      </w:r>
      <w:r>
        <w:rPr>
          <w:color w:val="676769"/>
          <w:spacing w:val="-15"/>
          <w:w w:val="105"/>
        </w:rPr>
        <w:t> </w:t>
      </w:r>
      <w:r>
        <w:rPr>
          <w:color w:val="4B4B4B"/>
          <w:w w:val="105"/>
        </w:rPr>
        <w:t>PERSUASION</w:t>
      </w:r>
    </w:p>
    <w:p>
      <w:pPr>
        <w:pStyle w:val="BodyText"/>
        <w:spacing w:before="8"/>
        <w:rPr>
          <w:rFonts w:ascii="Arial"/>
          <w:b/>
          <w:sz w:val="46"/>
        </w:rPr>
      </w:pPr>
    </w:p>
    <w:p>
      <w:pPr>
        <w:pStyle w:val="ListParagraph"/>
        <w:numPr>
          <w:ilvl w:val="1"/>
          <w:numId w:val="98"/>
        </w:numPr>
        <w:tabs>
          <w:tab w:pos="784" w:val="left" w:leader="none"/>
        </w:tabs>
        <w:spacing w:line="237" w:lineRule="exact" w:before="0" w:after="0"/>
        <w:ind w:left="783" w:right="0" w:hanging="608"/>
        <w:jc w:val="left"/>
        <w:rPr>
          <w:rFonts w:ascii="Arial"/>
          <w:b/>
          <w:color w:val="383636"/>
          <w:sz w:val="21"/>
        </w:rPr>
      </w:pPr>
      <w:r>
        <w:rPr>
          <w:color w:val="383636"/>
          <w:w w:val="110"/>
          <w:sz w:val="21"/>
        </w:rPr>
        <w:t>Opportunities</w:t>
      </w:r>
      <w:r>
        <w:rPr>
          <w:color w:val="383636"/>
          <w:spacing w:val="-13"/>
          <w:w w:val="110"/>
          <w:sz w:val="21"/>
        </w:rPr>
        <w:t> </w:t>
      </w:r>
      <w:r>
        <w:rPr>
          <w:color w:val="383636"/>
          <w:w w:val="110"/>
          <w:sz w:val="21"/>
        </w:rPr>
        <w:t>for</w:t>
      </w:r>
      <w:r>
        <w:rPr>
          <w:color w:val="383636"/>
          <w:spacing w:val="-8"/>
          <w:w w:val="110"/>
          <w:sz w:val="21"/>
        </w:rPr>
        <w:t> </w:t>
      </w:r>
      <w:r>
        <w:rPr>
          <w:color w:val="383636"/>
          <w:w w:val="110"/>
          <w:sz w:val="21"/>
        </w:rPr>
        <w:t>Persuasion</w:t>
      </w:r>
    </w:p>
    <w:p>
      <w:pPr>
        <w:pStyle w:val="ListParagraph"/>
        <w:numPr>
          <w:ilvl w:val="1"/>
          <w:numId w:val="98"/>
        </w:numPr>
        <w:tabs>
          <w:tab w:pos="788" w:val="left" w:leader="none"/>
        </w:tabs>
        <w:spacing w:line="237" w:lineRule="exact" w:before="0" w:after="0"/>
        <w:ind w:left="787" w:right="0" w:hanging="612"/>
        <w:jc w:val="left"/>
        <w:rPr>
          <w:rFonts w:ascii="Arial"/>
          <w:b/>
          <w:color w:val="282426"/>
          <w:sz w:val="21"/>
        </w:rPr>
      </w:pPr>
      <w:r>
        <w:rPr>
          <w:color w:val="383636"/>
          <w:spacing w:val="-1"/>
          <w:w w:val="110"/>
          <w:sz w:val="21"/>
        </w:rPr>
        <w:t>How</w:t>
      </w:r>
      <w:r>
        <w:rPr>
          <w:color w:val="383636"/>
          <w:spacing w:val="-10"/>
          <w:w w:val="110"/>
          <w:sz w:val="21"/>
        </w:rPr>
        <w:t> </w:t>
      </w:r>
      <w:r>
        <w:rPr>
          <w:color w:val="383636"/>
          <w:spacing w:val="-1"/>
          <w:w w:val="110"/>
          <w:sz w:val="21"/>
        </w:rPr>
        <w:t>Not</w:t>
      </w:r>
      <w:r>
        <w:rPr>
          <w:color w:val="383636"/>
          <w:spacing w:val="-12"/>
          <w:w w:val="110"/>
          <w:sz w:val="21"/>
        </w:rPr>
        <w:t> </w:t>
      </w:r>
      <w:r>
        <w:rPr>
          <w:color w:val="383636"/>
          <w:spacing w:val="-1"/>
          <w:w w:val="110"/>
          <w:sz w:val="21"/>
        </w:rPr>
        <w:t>to</w:t>
      </w:r>
      <w:r>
        <w:rPr>
          <w:color w:val="383636"/>
          <w:spacing w:val="12"/>
          <w:w w:val="110"/>
          <w:sz w:val="21"/>
        </w:rPr>
        <w:t> </w:t>
      </w:r>
      <w:r>
        <w:rPr>
          <w:color w:val="383636"/>
          <w:spacing w:val="-1"/>
          <w:w w:val="110"/>
          <w:sz w:val="21"/>
        </w:rPr>
        <w:t>Persuade</w:t>
      </w:r>
    </w:p>
    <w:p>
      <w:pPr>
        <w:pStyle w:val="ListParagraph"/>
        <w:numPr>
          <w:ilvl w:val="1"/>
          <w:numId w:val="98"/>
        </w:numPr>
        <w:tabs>
          <w:tab w:pos="784" w:val="left" w:leader="none"/>
        </w:tabs>
        <w:spacing w:line="237" w:lineRule="exact" w:before="8" w:after="0"/>
        <w:ind w:left="783" w:right="0" w:hanging="608"/>
        <w:jc w:val="left"/>
        <w:rPr>
          <w:rFonts w:ascii="Arial"/>
          <w:b/>
          <w:color w:val="282426"/>
          <w:sz w:val="21"/>
        </w:rPr>
      </w:pPr>
      <w:r>
        <w:rPr>
          <w:color w:val="383636"/>
          <w:w w:val="105"/>
          <w:sz w:val="21"/>
        </w:rPr>
        <w:t>Choosing</w:t>
      </w:r>
      <w:r>
        <w:rPr>
          <w:color w:val="383636"/>
          <w:spacing w:val="11"/>
          <w:w w:val="105"/>
          <w:sz w:val="21"/>
        </w:rPr>
        <w:t> </w:t>
      </w:r>
      <w:r>
        <w:rPr>
          <w:color w:val="383636"/>
          <w:w w:val="105"/>
          <w:sz w:val="21"/>
        </w:rPr>
        <w:t>Issues</w:t>
      </w:r>
      <w:r>
        <w:rPr>
          <w:color w:val="383636"/>
          <w:spacing w:val="19"/>
          <w:w w:val="105"/>
          <w:sz w:val="21"/>
        </w:rPr>
        <w:t> </w:t>
      </w:r>
      <w:r>
        <w:rPr>
          <w:color w:val="383636"/>
          <w:w w:val="105"/>
          <w:sz w:val="21"/>
        </w:rPr>
        <w:t>Responsibly</w:t>
      </w:r>
    </w:p>
    <w:p>
      <w:pPr>
        <w:pStyle w:val="ListParagraph"/>
        <w:numPr>
          <w:ilvl w:val="1"/>
          <w:numId w:val="98"/>
        </w:numPr>
        <w:tabs>
          <w:tab w:pos="797" w:val="left" w:leader="none"/>
        </w:tabs>
        <w:spacing w:line="236" w:lineRule="exact" w:before="0" w:after="0"/>
        <w:ind w:left="796" w:right="0" w:hanging="621"/>
        <w:jc w:val="left"/>
        <w:rPr>
          <w:rFonts w:ascii="Arial"/>
          <w:b/>
          <w:color w:val="383636"/>
          <w:sz w:val="21"/>
        </w:rPr>
      </w:pPr>
      <w:r>
        <w:rPr>
          <w:color w:val="383636"/>
          <w:w w:val="105"/>
          <w:sz w:val="21"/>
        </w:rPr>
        <w:t>Exploiting</w:t>
      </w:r>
      <w:r>
        <w:rPr>
          <w:color w:val="383636"/>
          <w:spacing w:val="28"/>
          <w:w w:val="105"/>
          <w:sz w:val="21"/>
        </w:rPr>
        <w:t> </w:t>
      </w:r>
      <w:r>
        <w:rPr>
          <w:color w:val="4B4B4B"/>
          <w:w w:val="105"/>
          <w:sz w:val="21"/>
        </w:rPr>
        <w:t>Positions</w:t>
      </w:r>
      <w:r>
        <w:rPr>
          <w:color w:val="4B4B4B"/>
          <w:spacing w:val="1"/>
          <w:w w:val="105"/>
          <w:sz w:val="21"/>
        </w:rPr>
        <w:t> </w:t>
      </w:r>
      <w:r>
        <w:rPr>
          <w:color w:val="383636"/>
          <w:w w:val="105"/>
          <w:sz w:val="21"/>
        </w:rPr>
        <w:t>of</w:t>
      </w:r>
      <w:r>
        <w:rPr>
          <w:color w:val="383636"/>
          <w:spacing w:val="25"/>
          <w:w w:val="105"/>
          <w:sz w:val="21"/>
        </w:rPr>
        <w:t> </w:t>
      </w:r>
      <w:r>
        <w:rPr>
          <w:color w:val="4B4B4B"/>
          <w:w w:val="105"/>
          <w:sz w:val="21"/>
        </w:rPr>
        <w:t>Emphasis</w:t>
      </w:r>
    </w:p>
    <w:p>
      <w:pPr>
        <w:pStyle w:val="ListParagraph"/>
        <w:numPr>
          <w:ilvl w:val="2"/>
          <w:numId w:val="98"/>
        </w:numPr>
        <w:tabs>
          <w:tab w:pos="1694" w:val="left" w:leader="none"/>
          <w:tab w:pos="1695" w:val="left" w:leader="none"/>
        </w:tabs>
        <w:spacing w:line="235" w:lineRule="exact" w:before="0" w:after="0"/>
        <w:ind w:left="1694" w:right="0" w:hanging="902"/>
        <w:jc w:val="left"/>
        <w:rPr>
          <w:rFonts w:ascii="Arial"/>
          <w:b/>
          <w:color w:val="383636"/>
          <w:sz w:val="21"/>
        </w:rPr>
      </w:pPr>
      <w:r>
        <w:rPr>
          <w:color w:val="383636"/>
          <w:w w:val="105"/>
          <w:sz w:val="20"/>
        </w:rPr>
        <w:t>Persuading</w:t>
      </w:r>
      <w:r>
        <w:rPr>
          <w:color w:val="383636"/>
          <w:spacing w:val="5"/>
          <w:w w:val="105"/>
          <w:sz w:val="20"/>
        </w:rPr>
        <w:t> </w:t>
      </w:r>
      <w:r>
        <w:rPr>
          <w:color w:val="383636"/>
          <w:w w:val="105"/>
          <w:sz w:val="20"/>
        </w:rPr>
        <w:t>with</w:t>
      </w:r>
      <w:r>
        <w:rPr>
          <w:color w:val="383636"/>
          <w:spacing w:val="18"/>
          <w:w w:val="105"/>
          <w:sz w:val="20"/>
        </w:rPr>
        <w:t> </w:t>
      </w:r>
      <w:r>
        <w:rPr>
          <w:color w:val="383636"/>
          <w:w w:val="105"/>
          <w:sz w:val="20"/>
        </w:rPr>
        <w:t>Large-Scale</w:t>
      </w:r>
      <w:r>
        <w:rPr>
          <w:color w:val="383636"/>
          <w:spacing w:val="-6"/>
          <w:w w:val="105"/>
          <w:sz w:val="20"/>
        </w:rPr>
        <w:t> </w:t>
      </w:r>
      <w:r>
        <w:rPr>
          <w:color w:val="383636"/>
          <w:w w:val="105"/>
          <w:sz w:val="20"/>
        </w:rPr>
        <w:t>Organization</w:t>
      </w:r>
    </w:p>
    <w:p>
      <w:pPr>
        <w:pStyle w:val="ListParagraph"/>
        <w:numPr>
          <w:ilvl w:val="2"/>
          <w:numId w:val="98"/>
        </w:numPr>
        <w:tabs>
          <w:tab w:pos="1694" w:val="left" w:leader="none"/>
          <w:tab w:pos="1695" w:val="left" w:leader="none"/>
        </w:tabs>
        <w:spacing w:line="236" w:lineRule="exact" w:before="0" w:after="0"/>
        <w:ind w:left="1694" w:right="0" w:hanging="902"/>
        <w:jc w:val="left"/>
        <w:rPr>
          <w:rFonts w:ascii="Arial"/>
          <w:b/>
          <w:color w:val="282426"/>
          <w:sz w:val="21"/>
        </w:rPr>
      </w:pPr>
      <w:r>
        <w:rPr>
          <w:color w:val="383636"/>
          <w:spacing w:val="-1"/>
          <w:w w:val="110"/>
          <w:sz w:val="20"/>
        </w:rPr>
        <w:t>Persuading</w:t>
      </w:r>
      <w:r>
        <w:rPr>
          <w:color w:val="383636"/>
          <w:spacing w:val="-12"/>
          <w:w w:val="110"/>
          <w:sz w:val="20"/>
        </w:rPr>
        <w:t> </w:t>
      </w:r>
      <w:r>
        <w:rPr>
          <w:color w:val="383636"/>
          <w:w w:val="110"/>
          <w:sz w:val="20"/>
        </w:rPr>
        <w:t>Within</w:t>
      </w:r>
      <w:r>
        <w:rPr>
          <w:color w:val="383636"/>
          <w:spacing w:val="-8"/>
          <w:w w:val="110"/>
          <w:sz w:val="20"/>
        </w:rPr>
        <w:t> </w:t>
      </w:r>
      <w:r>
        <w:rPr>
          <w:color w:val="383636"/>
          <w:w w:val="110"/>
          <w:sz w:val="20"/>
        </w:rPr>
        <w:t>Each</w:t>
      </w:r>
      <w:r>
        <w:rPr>
          <w:color w:val="383636"/>
          <w:spacing w:val="-11"/>
          <w:w w:val="110"/>
          <w:sz w:val="20"/>
        </w:rPr>
        <w:t> </w:t>
      </w:r>
      <w:r>
        <w:rPr>
          <w:color w:val="383636"/>
          <w:w w:val="110"/>
          <w:sz w:val="20"/>
        </w:rPr>
        <w:t>Issue</w:t>
      </w:r>
    </w:p>
    <w:p>
      <w:pPr>
        <w:pStyle w:val="ListParagraph"/>
        <w:numPr>
          <w:ilvl w:val="2"/>
          <w:numId w:val="98"/>
        </w:numPr>
        <w:tabs>
          <w:tab w:pos="1694" w:val="left" w:leader="none"/>
          <w:tab w:pos="1695" w:val="left" w:leader="none"/>
        </w:tabs>
        <w:spacing w:line="241" w:lineRule="exact" w:before="0" w:after="0"/>
        <w:ind w:left="1694" w:right="0" w:hanging="902"/>
        <w:jc w:val="left"/>
        <w:rPr>
          <w:rFonts w:ascii="Arial"/>
          <w:b/>
          <w:color w:val="282426"/>
          <w:sz w:val="21"/>
        </w:rPr>
      </w:pPr>
      <w:r>
        <w:rPr>
          <w:color w:val="383636"/>
          <w:w w:val="105"/>
          <w:sz w:val="20"/>
        </w:rPr>
        <w:t>Persuasive</w:t>
      </w:r>
      <w:r>
        <w:rPr>
          <w:color w:val="383636"/>
          <w:spacing w:val="14"/>
          <w:w w:val="105"/>
          <w:sz w:val="20"/>
        </w:rPr>
        <w:t> </w:t>
      </w:r>
      <w:r>
        <w:rPr>
          <w:color w:val="383636"/>
          <w:w w:val="105"/>
          <w:sz w:val="20"/>
        </w:rPr>
        <w:t>Paragraph</w:t>
      </w:r>
      <w:r>
        <w:rPr>
          <w:color w:val="383636"/>
          <w:spacing w:val="6"/>
          <w:w w:val="105"/>
          <w:sz w:val="20"/>
        </w:rPr>
        <w:t> </w:t>
      </w:r>
      <w:r>
        <w:rPr>
          <w:color w:val="383636"/>
          <w:w w:val="105"/>
          <w:sz w:val="20"/>
        </w:rPr>
        <w:t>Structure</w:t>
      </w:r>
    </w:p>
    <w:p>
      <w:pPr>
        <w:pStyle w:val="ListParagraph"/>
        <w:numPr>
          <w:ilvl w:val="2"/>
          <w:numId w:val="98"/>
        </w:numPr>
        <w:tabs>
          <w:tab w:pos="1703" w:val="left" w:leader="none"/>
          <w:tab w:pos="1704" w:val="left" w:leader="none"/>
        </w:tabs>
        <w:spacing w:line="241" w:lineRule="exact" w:before="0" w:after="0"/>
        <w:ind w:left="1703" w:right="0" w:hanging="911"/>
        <w:jc w:val="left"/>
        <w:rPr>
          <w:rFonts w:ascii="Arial"/>
          <w:b/>
          <w:color w:val="282426"/>
          <w:sz w:val="21"/>
        </w:rPr>
      </w:pPr>
      <w:r>
        <w:rPr>
          <w:color w:val="383636"/>
          <w:spacing w:val="-1"/>
          <w:w w:val="110"/>
          <w:sz w:val="20"/>
        </w:rPr>
        <w:t>Persuading</w:t>
      </w:r>
      <w:r>
        <w:rPr>
          <w:color w:val="383636"/>
          <w:spacing w:val="5"/>
          <w:w w:val="110"/>
          <w:sz w:val="20"/>
        </w:rPr>
        <w:t> </w:t>
      </w:r>
      <w:r>
        <w:rPr>
          <w:color w:val="383636"/>
          <w:spacing w:val="-1"/>
          <w:w w:val="110"/>
          <w:sz w:val="20"/>
        </w:rPr>
        <w:t>with</w:t>
      </w:r>
      <w:r>
        <w:rPr>
          <w:color w:val="383636"/>
          <w:spacing w:val="-13"/>
          <w:w w:val="110"/>
          <w:sz w:val="20"/>
        </w:rPr>
        <w:t> </w:t>
      </w:r>
      <w:r>
        <w:rPr>
          <w:color w:val="383636"/>
          <w:spacing w:val="-1"/>
          <w:w w:val="110"/>
          <w:sz w:val="20"/>
        </w:rPr>
        <w:t>Sentence</w:t>
      </w:r>
      <w:r>
        <w:rPr>
          <w:color w:val="383636"/>
          <w:spacing w:val="-13"/>
          <w:w w:val="110"/>
          <w:sz w:val="20"/>
        </w:rPr>
        <w:t> </w:t>
      </w:r>
      <w:r>
        <w:rPr>
          <w:color w:val="383636"/>
          <w:spacing w:val="-1"/>
          <w:w w:val="110"/>
          <w:sz w:val="20"/>
        </w:rPr>
        <w:t>Structure</w:t>
      </w:r>
    </w:p>
    <w:p>
      <w:pPr>
        <w:pStyle w:val="ListParagraph"/>
        <w:numPr>
          <w:ilvl w:val="3"/>
          <w:numId w:val="98"/>
        </w:numPr>
        <w:tabs>
          <w:tab w:pos="1955" w:val="left" w:leader="none"/>
        </w:tabs>
        <w:spacing w:line="240" w:lineRule="auto" w:before="11" w:after="0"/>
        <w:ind w:left="1954" w:right="0" w:hanging="258"/>
        <w:jc w:val="left"/>
        <w:rPr>
          <w:b/>
          <w:color w:val="383636"/>
          <w:sz w:val="22"/>
        </w:rPr>
      </w:pPr>
      <w:r>
        <w:rPr>
          <w:color w:val="383636"/>
          <w:spacing w:val="-1"/>
          <w:w w:val="110"/>
          <w:sz w:val="20"/>
        </w:rPr>
        <w:t>Subject-Verb</w:t>
      </w:r>
      <w:r>
        <w:rPr>
          <w:color w:val="383636"/>
          <w:spacing w:val="-12"/>
          <w:w w:val="110"/>
          <w:sz w:val="20"/>
        </w:rPr>
        <w:t> </w:t>
      </w:r>
      <w:r>
        <w:rPr>
          <w:color w:val="383636"/>
          <w:spacing w:val="-1"/>
          <w:w w:val="110"/>
          <w:sz w:val="20"/>
        </w:rPr>
        <w:t>Combinations</w:t>
      </w:r>
    </w:p>
    <w:p>
      <w:pPr>
        <w:pStyle w:val="ListParagraph"/>
        <w:numPr>
          <w:ilvl w:val="4"/>
          <w:numId w:val="98"/>
        </w:numPr>
        <w:tabs>
          <w:tab w:pos="2297" w:val="left" w:leader="none"/>
          <w:tab w:pos="2298" w:val="left" w:leader="none"/>
        </w:tabs>
        <w:spacing w:line="240" w:lineRule="auto" w:before="16" w:after="0"/>
        <w:ind w:left="2297" w:right="0" w:hanging="328"/>
        <w:jc w:val="left"/>
        <w:rPr>
          <w:sz w:val="20"/>
        </w:rPr>
      </w:pPr>
      <w:r>
        <w:rPr>
          <w:color w:val="383636"/>
          <w:w w:val="110"/>
          <w:sz w:val="20"/>
        </w:rPr>
        <w:t>Nominalizations</w:t>
      </w:r>
    </w:p>
    <w:p>
      <w:pPr>
        <w:spacing w:before="19"/>
        <w:ind w:left="1966" w:right="0" w:firstLine="0"/>
        <w:jc w:val="left"/>
        <w:rPr>
          <w:sz w:val="20"/>
        </w:rPr>
      </w:pPr>
      <w:r>
        <w:rPr>
          <w:rFonts w:ascii="Arial"/>
          <w:color w:val="383636"/>
          <w:sz w:val="21"/>
        </w:rPr>
        <w:t>Ii.</w:t>
      </w:r>
      <w:r>
        <w:rPr>
          <w:rFonts w:ascii="Arial"/>
          <w:color w:val="383636"/>
          <w:spacing w:val="113"/>
          <w:sz w:val="21"/>
        </w:rPr>
        <w:t> </w:t>
      </w:r>
      <w:r>
        <w:rPr>
          <w:color w:val="383636"/>
          <w:sz w:val="20"/>
        </w:rPr>
        <w:t>Active</w:t>
      </w:r>
      <w:r>
        <w:rPr>
          <w:color w:val="383636"/>
          <w:spacing w:val="-9"/>
          <w:sz w:val="20"/>
        </w:rPr>
        <w:t> </w:t>
      </w:r>
      <w:r>
        <w:rPr>
          <w:color w:val="383636"/>
          <w:sz w:val="20"/>
        </w:rPr>
        <w:t>and</w:t>
      </w:r>
      <w:r>
        <w:rPr>
          <w:color w:val="383636"/>
          <w:spacing w:val="65"/>
          <w:sz w:val="20"/>
        </w:rPr>
        <w:t> </w:t>
      </w:r>
      <w:r>
        <w:rPr>
          <w:color w:val="383636"/>
          <w:sz w:val="20"/>
        </w:rPr>
        <w:t>Passive</w:t>
      </w:r>
      <w:r>
        <w:rPr>
          <w:color w:val="383636"/>
          <w:spacing w:val="9"/>
          <w:sz w:val="20"/>
        </w:rPr>
        <w:t> </w:t>
      </w:r>
      <w:r>
        <w:rPr>
          <w:color w:val="383636"/>
          <w:sz w:val="20"/>
        </w:rPr>
        <w:t>Voice</w:t>
      </w:r>
    </w:p>
    <w:p>
      <w:pPr>
        <w:pStyle w:val="ListParagraph"/>
        <w:numPr>
          <w:ilvl w:val="3"/>
          <w:numId w:val="98"/>
        </w:numPr>
        <w:tabs>
          <w:tab w:pos="1982" w:val="left" w:leader="none"/>
        </w:tabs>
        <w:spacing w:line="240" w:lineRule="auto" w:before="1" w:after="0"/>
        <w:ind w:left="1981" w:right="0" w:hanging="271"/>
        <w:jc w:val="left"/>
        <w:rPr>
          <w:b/>
          <w:color w:val="282426"/>
          <w:sz w:val="23"/>
        </w:rPr>
      </w:pPr>
      <w:r>
        <w:rPr>
          <w:color w:val="383636"/>
          <w:w w:val="110"/>
          <w:sz w:val="20"/>
        </w:rPr>
        <w:t>Independent</w:t>
      </w:r>
      <w:r>
        <w:rPr>
          <w:color w:val="383636"/>
          <w:spacing w:val="15"/>
          <w:w w:val="110"/>
          <w:sz w:val="20"/>
        </w:rPr>
        <w:t> </w:t>
      </w:r>
      <w:r>
        <w:rPr>
          <w:color w:val="383636"/>
          <w:w w:val="110"/>
          <w:sz w:val="20"/>
        </w:rPr>
        <w:t>and</w:t>
      </w:r>
      <w:r>
        <w:rPr>
          <w:color w:val="383636"/>
          <w:spacing w:val="26"/>
          <w:w w:val="110"/>
          <w:sz w:val="20"/>
        </w:rPr>
        <w:t> </w:t>
      </w:r>
      <w:r>
        <w:rPr>
          <w:color w:val="383636"/>
          <w:w w:val="110"/>
          <w:sz w:val="20"/>
        </w:rPr>
        <w:t>Dependent</w:t>
      </w:r>
      <w:r>
        <w:rPr>
          <w:color w:val="383636"/>
          <w:spacing w:val="16"/>
          <w:w w:val="110"/>
          <w:sz w:val="20"/>
        </w:rPr>
        <w:t> </w:t>
      </w:r>
      <w:r>
        <w:rPr>
          <w:color w:val="383636"/>
          <w:w w:val="110"/>
          <w:sz w:val="20"/>
        </w:rPr>
        <w:t>Clauses</w:t>
      </w:r>
    </w:p>
    <w:p>
      <w:pPr>
        <w:pStyle w:val="ListParagraph"/>
        <w:numPr>
          <w:ilvl w:val="3"/>
          <w:numId w:val="98"/>
        </w:numPr>
        <w:tabs>
          <w:tab w:pos="1986" w:val="left" w:leader="none"/>
        </w:tabs>
        <w:spacing w:line="227" w:lineRule="exact" w:before="24" w:after="0"/>
        <w:ind w:left="1985" w:right="0" w:hanging="277"/>
        <w:jc w:val="left"/>
        <w:rPr>
          <w:color w:val="383636"/>
          <w:sz w:val="20"/>
        </w:rPr>
      </w:pPr>
      <w:r>
        <w:rPr>
          <w:color w:val="383636"/>
          <w:w w:val="105"/>
          <w:sz w:val="20"/>
        </w:rPr>
        <w:t>Using</w:t>
      </w:r>
      <w:r>
        <w:rPr>
          <w:color w:val="383636"/>
          <w:spacing w:val="-12"/>
          <w:w w:val="105"/>
          <w:sz w:val="20"/>
        </w:rPr>
        <w:t> </w:t>
      </w:r>
      <w:r>
        <w:rPr>
          <w:color w:val="383636"/>
          <w:w w:val="105"/>
          <w:sz w:val="20"/>
        </w:rPr>
        <w:t>Short</w:t>
      </w:r>
      <w:r>
        <w:rPr>
          <w:color w:val="383636"/>
          <w:spacing w:val="6"/>
          <w:w w:val="105"/>
          <w:sz w:val="20"/>
        </w:rPr>
        <w:t> </w:t>
      </w:r>
      <w:r>
        <w:rPr>
          <w:color w:val="4B4B4B"/>
          <w:w w:val="105"/>
          <w:sz w:val="20"/>
        </w:rPr>
        <w:t>Sentences</w:t>
      </w:r>
      <w:r>
        <w:rPr>
          <w:color w:val="4B4B4B"/>
          <w:spacing w:val="13"/>
          <w:w w:val="105"/>
          <w:sz w:val="20"/>
        </w:rPr>
        <w:t> </w:t>
      </w:r>
      <w:r>
        <w:rPr>
          <w:color w:val="383636"/>
          <w:w w:val="105"/>
          <w:sz w:val="19"/>
        </w:rPr>
        <w:t>for</w:t>
      </w:r>
      <w:r>
        <w:rPr>
          <w:color w:val="383636"/>
          <w:spacing w:val="43"/>
          <w:w w:val="105"/>
          <w:sz w:val="19"/>
        </w:rPr>
        <w:t> </w:t>
      </w:r>
      <w:r>
        <w:rPr>
          <w:color w:val="383636"/>
          <w:w w:val="105"/>
          <w:sz w:val="20"/>
        </w:rPr>
        <w:t>Emphasis</w:t>
      </w:r>
    </w:p>
    <w:p>
      <w:pPr>
        <w:spacing w:after="0" w:line="227" w:lineRule="exact"/>
        <w:jc w:val="left"/>
        <w:rPr>
          <w:sz w:val="20"/>
        </w:rPr>
        <w:sectPr>
          <w:type w:val="continuous"/>
          <w:pgSz w:w="9810" w:h="14020"/>
          <w:pgMar w:header="0" w:footer="0" w:top="340" w:bottom="280" w:left="0" w:right="1300"/>
          <w:cols w:num="2" w:equalWidth="0">
            <w:col w:w="605" w:space="127"/>
            <w:col w:w="7778"/>
          </w:cols>
        </w:sectPr>
      </w:pPr>
    </w:p>
    <w:p>
      <w:pPr>
        <w:pStyle w:val="ListParagraph"/>
        <w:numPr>
          <w:ilvl w:val="2"/>
          <w:numId w:val="98"/>
        </w:numPr>
        <w:tabs>
          <w:tab w:pos="2445" w:val="left" w:leader="none"/>
          <w:tab w:pos="2446" w:val="left" w:leader="none"/>
        </w:tabs>
        <w:spacing w:line="235" w:lineRule="exact" w:before="0" w:after="0"/>
        <w:ind w:left="2445" w:right="0" w:hanging="911"/>
        <w:jc w:val="left"/>
        <w:rPr>
          <w:rFonts w:ascii="Arial"/>
          <w:b/>
          <w:color w:val="383636"/>
          <w:sz w:val="21"/>
        </w:rPr>
      </w:pPr>
      <w:r>
        <w:rPr>
          <w:color w:val="383636"/>
          <w:w w:val="105"/>
          <w:sz w:val="20"/>
        </w:rPr>
        <w:t>Effective</w:t>
      </w:r>
      <w:r>
        <w:rPr>
          <w:color w:val="383636"/>
          <w:spacing w:val="6"/>
          <w:w w:val="105"/>
          <w:sz w:val="20"/>
        </w:rPr>
        <w:t> </w:t>
      </w:r>
      <w:r>
        <w:rPr>
          <w:color w:val="383636"/>
          <w:w w:val="105"/>
          <w:sz w:val="20"/>
        </w:rPr>
        <w:t>Word</w:t>
      </w:r>
      <w:r>
        <w:rPr>
          <w:color w:val="383636"/>
          <w:spacing w:val="3"/>
          <w:w w:val="105"/>
          <w:sz w:val="20"/>
        </w:rPr>
        <w:t> </w:t>
      </w:r>
      <w:r>
        <w:rPr>
          <w:color w:val="383636"/>
          <w:w w:val="105"/>
          <w:sz w:val="20"/>
        </w:rPr>
        <w:t>Choice</w:t>
      </w:r>
    </w:p>
    <w:p>
      <w:pPr>
        <w:pStyle w:val="ListParagraph"/>
        <w:numPr>
          <w:ilvl w:val="2"/>
          <w:numId w:val="98"/>
        </w:numPr>
        <w:tabs>
          <w:tab w:pos="2455" w:val="left" w:leader="none"/>
          <w:tab w:pos="2456" w:val="left" w:leader="none"/>
        </w:tabs>
        <w:spacing w:line="241" w:lineRule="exact" w:before="0" w:after="0"/>
        <w:ind w:left="2455" w:right="0" w:hanging="921"/>
        <w:jc w:val="left"/>
        <w:rPr>
          <w:rFonts w:ascii="Arial"/>
          <w:b/>
          <w:color w:val="282426"/>
          <w:sz w:val="21"/>
        </w:rPr>
      </w:pPr>
      <w:r>
        <w:rPr>
          <w:color w:val="383636"/>
          <w:w w:val="105"/>
          <w:sz w:val="20"/>
        </w:rPr>
        <w:t>Persuasive</w:t>
      </w:r>
      <w:r>
        <w:rPr>
          <w:color w:val="383636"/>
          <w:spacing w:val="18"/>
          <w:w w:val="105"/>
          <w:sz w:val="20"/>
        </w:rPr>
        <w:t> </w:t>
      </w:r>
      <w:r>
        <w:rPr>
          <w:color w:val="383636"/>
          <w:w w:val="105"/>
          <w:sz w:val="20"/>
        </w:rPr>
        <w:t>Punctuation</w:t>
      </w:r>
    </w:p>
    <w:p>
      <w:pPr>
        <w:pStyle w:val="ListParagraph"/>
        <w:numPr>
          <w:ilvl w:val="3"/>
          <w:numId w:val="98"/>
        </w:numPr>
        <w:tabs>
          <w:tab w:pos="2714" w:val="left" w:leader="none"/>
        </w:tabs>
        <w:spacing w:line="240" w:lineRule="auto" w:before="10" w:after="0"/>
        <w:ind w:left="2713" w:right="0" w:hanging="275"/>
        <w:jc w:val="left"/>
        <w:rPr>
          <w:b/>
          <w:color w:val="383636"/>
          <w:sz w:val="22"/>
        </w:rPr>
      </w:pPr>
      <w:r>
        <w:rPr>
          <w:color w:val="383636"/>
          <w:w w:val="105"/>
          <w:sz w:val="20"/>
        </w:rPr>
        <w:t>The</w:t>
      </w:r>
      <w:r>
        <w:rPr>
          <w:color w:val="383636"/>
          <w:spacing w:val="2"/>
          <w:w w:val="105"/>
          <w:sz w:val="20"/>
        </w:rPr>
        <w:t> </w:t>
      </w:r>
      <w:r>
        <w:rPr>
          <w:color w:val="383636"/>
          <w:w w:val="105"/>
          <w:sz w:val="20"/>
        </w:rPr>
        <w:t>Semicolon</w:t>
      </w:r>
    </w:p>
    <w:p>
      <w:pPr>
        <w:pStyle w:val="ListParagraph"/>
        <w:numPr>
          <w:ilvl w:val="3"/>
          <w:numId w:val="98"/>
        </w:numPr>
        <w:tabs>
          <w:tab w:pos="2713" w:val="left" w:leader="none"/>
        </w:tabs>
        <w:spacing w:line="247" w:lineRule="exact" w:before="7" w:after="0"/>
        <w:ind w:left="2712" w:right="0" w:hanging="259"/>
        <w:jc w:val="left"/>
        <w:rPr>
          <w:b/>
          <w:color w:val="282426"/>
          <w:sz w:val="22"/>
        </w:rPr>
      </w:pPr>
      <w:r>
        <w:rPr>
          <w:color w:val="383636"/>
          <w:w w:val="110"/>
          <w:sz w:val="21"/>
        </w:rPr>
        <w:t>The</w:t>
      </w:r>
      <w:r>
        <w:rPr>
          <w:color w:val="383636"/>
          <w:spacing w:val="-14"/>
          <w:w w:val="110"/>
          <w:sz w:val="21"/>
        </w:rPr>
        <w:t> </w:t>
      </w:r>
      <w:r>
        <w:rPr>
          <w:color w:val="383636"/>
          <w:w w:val="110"/>
          <w:sz w:val="20"/>
        </w:rPr>
        <w:t>Dash</w:t>
      </w:r>
    </w:p>
    <w:p>
      <w:pPr>
        <w:pStyle w:val="ListParagraph"/>
        <w:numPr>
          <w:ilvl w:val="3"/>
          <w:numId w:val="98"/>
        </w:numPr>
        <w:tabs>
          <w:tab w:pos="2714" w:val="left" w:leader="none"/>
        </w:tabs>
        <w:spacing w:line="256" w:lineRule="exact" w:before="0" w:after="0"/>
        <w:ind w:left="2713" w:right="0" w:hanging="264"/>
        <w:jc w:val="left"/>
        <w:rPr>
          <w:b/>
          <w:color w:val="383636"/>
          <w:sz w:val="23"/>
        </w:rPr>
      </w:pPr>
      <w:r>
        <w:rPr>
          <w:color w:val="383636"/>
          <w:w w:val="110"/>
          <w:sz w:val="20"/>
        </w:rPr>
        <w:t>The</w:t>
      </w:r>
      <w:r>
        <w:rPr>
          <w:color w:val="383636"/>
          <w:spacing w:val="3"/>
          <w:w w:val="110"/>
          <w:sz w:val="20"/>
        </w:rPr>
        <w:t> </w:t>
      </w:r>
      <w:r>
        <w:rPr>
          <w:color w:val="4B4B4B"/>
          <w:w w:val="110"/>
          <w:sz w:val="20"/>
        </w:rPr>
        <w:t>Colon</w:t>
      </w:r>
    </w:p>
    <w:p>
      <w:pPr>
        <w:spacing w:line="239" w:lineRule="exact" w:before="0"/>
        <w:ind w:left="928" w:right="0" w:firstLine="0"/>
        <w:jc w:val="left"/>
        <w:rPr>
          <w:sz w:val="21"/>
        </w:rPr>
      </w:pPr>
      <w:r>
        <w:rPr>
          <w:rFonts w:ascii="Arial"/>
          <w:b/>
          <w:color w:val="383636"/>
          <w:w w:val="105"/>
          <w:sz w:val="21"/>
        </w:rPr>
        <w:t>11.S  </w:t>
      </w:r>
      <w:r>
        <w:rPr>
          <w:rFonts w:ascii="Arial"/>
          <w:b/>
          <w:color w:val="383636"/>
          <w:spacing w:val="29"/>
          <w:w w:val="105"/>
          <w:sz w:val="21"/>
        </w:rPr>
        <w:t> </w:t>
      </w:r>
      <w:r>
        <w:rPr>
          <w:color w:val="383636"/>
          <w:w w:val="105"/>
          <w:sz w:val="21"/>
        </w:rPr>
        <w:t>Avoiding</w:t>
      </w:r>
      <w:r>
        <w:rPr>
          <w:color w:val="383636"/>
          <w:spacing w:val="2"/>
          <w:w w:val="105"/>
          <w:sz w:val="21"/>
        </w:rPr>
        <w:t> </w:t>
      </w:r>
      <w:r>
        <w:rPr>
          <w:color w:val="4B4B4B"/>
          <w:w w:val="105"/>
          <w:sz w:val="21"/>
        </w:rPr>
        <w:t>Spelling,</w:t>
      </w:r>
      <w:r>
        <w:rPr>
          <w:color w:val="4B4B4B"/>
          <w:spacing w:val="22"/>
          <w:w w:val="105"/>
          <w:sz w:val="21"/>
        </w:rPr>
        <w:t> </w:t>
      </w:r>
      <w:r>
        <w:rPr>
          <w:color w:val="383636"/>
          <w:w w:val="105"/>
          <w:sz w:val="21"/>
        </w:rPr>
        <w:t>Grammatical,</w:t>
      </w:r>
      <w:r>
        <w:rPr>
          <w:color w:val="383636"/>
          <w:spacing w:val="20"/>
          <w:w w:val="105"/>
          <w:sz w:val="21"/>
        </w:rPr>
        <w:t> </w:t>
      </w:r>
      <w:r>
        <w:rPr>
          <w:color w:val="383636"/>
          <w:w w:val="105"/>
          <w:sz w:val="21"/>
        </w:rPr>
        <w:t>and</w:t>
      </w:r>
      <w:r>
        <w:rPr>
          <w:color w:val="383636"/>
          <w:spacing w:val="32"/>
          <w:w w:val="105"/>
          <w:sz w:val="21"/>
        </w:rPr>
        <w:t> </w:t>
      </w:r>
      <w:r>
        <w:rPr>
          <w:color w:val="383636"/>
          <w:w w:val="105"/>
          <w:sz w:val="21"/>
        </w:rPr>
        <w:t>Typographical</w:t>
      </w:r>
      <w:r>
        <w:rPr>
          <w:color w:val="383636"/>
          <w:spacing w:val="27"/>
          <w:w w:val="105"/>
          <w:sz w:val="21"/>
        </w:rPr>
        <w:t> </w:t>
      </w:r>
      <w:r>
        <w:rPr>
          <w:color w:val="383636"/>
          <w:w w:val="105"/>
          <w:sz w:val="21"/>
        </w:rPr>
        <w:t>Errors</w:t>
      </w:r>
    </w:p>
    <w:p>
      <w:pPr>
        <w:pStyle w:val="ListParagraph"/>
        <w:numPr>
          <w:ilvl w:val="1"/>
          <w:numId w:val="99"/>
        </w:numPr>
        <w:tabs>
          <w:tab w:pos="1545" w:val="left" w:leader="none"/>
        </w:tabs>
        <w:spacing w:line="240" w:lineRule="exact" w:before="0" w:after="0"/>
        <w:ind w:left="1544" w:right="0" w:hanging="607"/>
        <w:jc w:val="left"/>
        <w:rPr>
          <w:rFonts w:ascii="Arial"/>
          <w:b/>
          <w:color w:val="383636"/>
          <w:sz w:val="20"/>
        </w:rPr>
      </w:pPr>
      <w:r>
        <w:rPr>
          <w:color w:val="383636"/>
          <w:w w:val="110"/>
          <w:sz w:val="21"/>
        </w:rPr>
        <w:t>Credibility</w:t>
      </w:r>
      <w:r>
        <w:rPr>
          <w:color w:val="383636"/>
          <w:spacing w:val="-5"/>
          <w:w w:val="110"/>
          <w:sz w:val="21"/>
        </w:rPr>
        <w:t> </w:t>
      </w:r>
      <w:r>
        <w:rPr>
          <w:color w:val="383636"/>
          <w:w w:val="110"/>
          <w:sz w:val="21"/>
        </w:rPr>
        <w:t>Through</w:t>
      </w:r>
      <w:r>
        <w:rPr>
          <w:color w:val="383636"/>
          <w:spacing w:val="3"/>
          <w:w w:val="110"/>
          <w:sz w:val="21"/>
        </w:rPr>
        <w:t> </w:t>
      </w:r>
      <w:r>
        <w:rPr>
          <w:color w:val="383636"/>
          <w:w w:val="110"/>
          <w:sz w:val="21"/>
        </w:rPr>
        <w:t>Document</w:t>
      </w:r>
      <w:r>
        <w:rPr>
          <w:color w:val="383636"/>
          <w:spacing w:val="9"/>
          <w:w w:val="110"/>
          <w:sz w:val="21"/>
        </w:rPr>
        <w:t> </w:t>
      </w:r>
      <w:r>
        <w:rPr>
          <w:color w:val="383636"/>
          <w:w w:val="110"/>
          <w:sz w:val="21"/>
        </w:rPr>
        <w:t>Design</w:t>
      </w:r>
    </w:p>
    <w:p>
      <w:pPr>
        <w:pStyle w:val="ListParagraph"/>
        <w:numPr>
          <w:ilvl w:val="2"/>
          <w:numId w:val="99"/>
        </w:numPr>
        <w:tabs>
          <w:tab w:pos="2443" w:val="left" w:leader="none"/>
          <w:tab w:pos="2444" w:val="left" w:leader="none"/>
        </w:tabs>
        <w:spacing w:line="230" w:lineRule="exact" w:before="0" w:after="0"/>
        <w:ind w:left="2443" w:right="0" w:hanging="889"/>
        <w:jc w:val="left"/>
        <w:rPr>
          <w:rFonts w:ascii="Arial"/>
          <w:b/>
          <w:color w:val="282426"/>
          <w:sz w:val="20"/>
        </w:rPr>
      </w:pPr>
      <w:r>
        <w:rPr>
          <w:color w:val="383636"/>
          <w:w w:val="105"/>
          <w:sz w:val="20"/>
        </w:rPr>
        <w:t>Typeface</w:t>
      </w:r>
    </w:p>
    <w:p>
      <w:pPr>
        <w:pStyle w:val="ListParagraph"/>
        <w:numPr>
          <w:ilvl w:val="2"/>
          <w:numId w:val="99"/>
        </w:numPr>
        <w:tabs>
          <w:tab w:pos="2451" w:val="left" w:leader="none"/>
          <w:tab w:pos="2452" w:val="left" w:leader="none"/>
        </w:tabs>
        <w:spacing w:line="237" w:lineRule="exact" w:before="10" w:after="0"/>
        <w:ind w:left="2451" w:right="0" w:hanging="897"/>
        <w:jc w:val="left"/>
        <w:rPr>
          <w:rFonts w:ascii="Arial"/>
          <w:b/>
          <w:color w:val="282426"/>
          <w:sz w:val="21"/>
        </w:rPr>
      </w:pPr>
      <w:r>
        <w:rPr>
          <w:color w:val="383636"/>
          <w:spacing w:val="-1"/>
          <w:w w:val="110"/>
          <w:sz w:val="20"/>
        </w:rPr>
        <w:t>Citations</w:t>
      </w:r>
      <w:r>
        <w:rPr>
          <w:color w:val="383636"/>
          <w:spacing w:val="-5"/>
          <w:w w:val="110"/>
          <w:sz w:val="20"/>
        </w:rPr>
        <w:t> </w:t>
      </w:r>
      <w:r>
        <w:rPr>
          <w:color w:val="383636"/>
          <w:spacing w:val="-1"/>
          <w:w w:val="110"/>
          <w:sz w:val="20"/>
        </w:rPr>
        <w:t>and</w:t>
      </w:r>
      <w:r>
        <w:rPr>
          <w:color w:val="383636"/>
          <w:spacing w:val="15"/>
          <w:w w:val="110"/>
          <w:sz w:val="20"/>
        </w:rPr>
        <w:t> </w:t>
      </w:r>
      <w:r>
        <w:rPr>
          <w:color w:val="383636"/>
          <w:spacing w:val="-1"/>
          <w:w w:val="110"/>
          <w:sz w:val="20"/>
        </w:rPr>
        <w:t>Emphatic</w:t>
      </w:r>
      <w:r>
        <w:rPr>
          <w:color w:val="383636"/>
          <w:spacing w:val="-26"/>
          <w:w w:val="110"/>
          <w:sz w:val="20"/>
        </w:rPr>
        <w:t> </w:t>
      </w:r>
      <w:r>
        <w:rPr>
          <w:color w:val="383636"/>
          <w:w w:val="110"/>
          <w:sz w:val="20"/>
        </w:rPr>
        <w:t>Text:</w:t>
      </w:r>
      <w:r>
        <w:rPr>
          <w:color w:val="383636"/>
          <w:spacing w:val="-25"/>
          <w:w w:val="110"/>
          <w:sz w:val="20"/>
        </w:rPr>
        <w:t> </w:t>
      </w:r>
      <w:r>
        <w:rPr>
          <w:rFonts w:ascii="Arial"/>
          <w:color w:val="383636"/>
          <w:w w:val="110"/>
          <w:sz w:val="21"/>
          <w:u w:val="thick" w:color="383636"/>
        </w:rPr>
        <w:t>Underlinio</w:t>
      </w:r>
      <w:r>
        <w:rPr>
          <w:rFonts w:ascii="Arial"/>
          <w:color w:val="383636"/>
          <w:spacing w:val="3"/>
          <w:w w:val="110"/>
          <w:sz w:val="21"/>
          <w:u w:val="thick" w:color="383636"/>
        </w:rPr>
        <w:t> </w:t>
      </w:r>
      <w:r>
        <w:rPr>
          <w:rFonts w:ascii="Arial"/>
          <w:color w:val="383636"/>
          <w:w w:val="110"/>
          <w:sz w:val="21"/>
          <w:u w:val="thick" w:color="383636"/>
        </w:rPr>
        <w:t>-</w:t>
      </w:r>
      <w:r>
        <w:rPr>
          <w:rFonts w:ascii="Arial"/>
          <w:color w:val="383636"/>
          <w:w w:val="110"/>
          <w:sz w:val="21"/>
        </w:rPr>
        <w:t> </w:t>
      </w:r>
      <w:r>
        <w:rPr>
          <w:i/>
          <w:color w:val="383636"/>
          <w:w w:val="110"/>
          <w:sz w:val="19"/>
        </w:rPr>
        <w:t>Italics,</w:t>
      </w:r>
    </w:p>
    <w:p>
      <w:pPr>
        <w:spacing w:line="236" w:lineRule="exact" w:before="0"/>
        <w:ind w:left="2459" w:right="2499" w:firstLine="0"/>
        <w:jc w:val="center"/>
        <w:rPr>
          <w:sz w:val="20"/>
        </w:rPr>
      </w:pPr>
      <w:r>
        <w:rPr>
          <w:b/>
          <w:color w:val="383636"/>
          <w:spacing w:val="-1"/>
          <w:w w:val="105"/>
          <w:sz w:val="19"/>
        </w:rPr>
        <w:t>Boldfaced</w:t>
      </w:r>
      <w:r>
        <w:rPr>
          <w:b/>
          <w:color w:val="383636"/>
          <w:spacing w:val="-12"/>
          <w:w w:val="105"/>
          <w:sz w:val="19"/>
        </w:rPr>
        <w:t> </w:t>
      </w:r>
      <w:r>
        <w:rPr>
          <w:b/>
          <w:color w:val="383636"/>
          <w:w w:val="105"/>
          <w:sz w:val="19"/>
        </w:rPr>
        <w:t>Type,</w:t>
      </w:r>
      <w:r>
        <w:rPr>
          <w:b/>
          <w:color w:val="383636"/>
          <w:spacing w:val="-10"/>
          <w:w w:val="105"/>
          <w:sz w:val="19"/>
        </w:rPr>
        <w:t> </w:t>
      </w:r>
      <w:r>
        <w:rPr>
          <w:color w:val="383636"/>
          <w:w w:val="105"/>
          <w:sz w:val="21"/>
        </w:rPr>
        <w:t>and</w:t>
      </w:r>
      <w:r>
        <w:rPr>
          <w:color w:val="383636"/>
          <w:spacing w:val="-5"/>
          <w:w w:val="105"/>
          <w:sz w:val="21"/>
        </w:rPr>
        <w:t> </w:t>
      </w:r>
      <w:r>
        <w:rPr>
          <w:color w:val="383636"/>
          <w:w w:val="105"/>
          <w:sz w:val="20"/>
        </w:rPr>
        <w:t>CAPITALIZATION</w:t>
      </w:r>
    </w:p>
    <w:p>
      <w:pPr>
        <w:pStyle w:val="ListParagraph"/>
        <w:numPr>
          <w:ilvl w:val="2"/>
          <w:numId w:val="99"/>
        </w:numPr>
        <w:tabs>
          <w:tab w:pos="2444" w:val="left" w:leader="none"/>
          <w:tab w:pos="2445" w:val="left" w:leader="none"/>
        </w:tabs>
        <w:spacing w:line="241" w:lineRule="exact" w:before="0" w:after="0"/>
        <w:ind w:left="2444" w:right="0" w:hanging="890"/>
        <w:jc w:val="left"/>
        <w:rPr>
          <w:rFonts w:ascii="Arial"/>
          <w:b/>
          <w:color w:val="282426"/>
          <w:sz w:val="21"/>
        </w:rPr>
      </w:pPr>
      <w:r>
        <w:rPr>
          <w:color w:val="282426"/>
          <w:w w:val="105"/>
          <w:sz w:val="21"/>
        </w:rPr>
        <w:t>Justification</w:t>
      </w:r>
    </w:p>
    <w:p>
      <w:pPr>
        <w:pStyle w:val="ListParagraph"/>
        <w:numPr>
          <w:ilvl w:val="2"/>
          <w:numId w:val="99"/>
        </w:numPr>
        <w:tabs>
          <w:tab w:pos="2464" w:val="left" w:leader="none"/>
          <w:tab w:pos="2465" w:val="left" w:leader="none"/>
        </w:tabs>
        <w:spacing w:line="240" w:lineRule="exact" w:before="0" w:after="0"/>
        <w:ind w:left="2464" w:right="0" w:hanging="910"/>
        <w:jc w:val="left"/>
        <w:rPr>
          <w:rFonts w:ascii="Arial"/>
          <w:b/>
          <w:color w:val="383636"/>
          <w:sz w:val="21"/>
        </w:rPr>
      </w:pPr>
      <w:r>
        <w:rPr>
          <w:color w:val="383636"/>
          <w:sz w:val="20"/>
        </w:rPr>
        <w:t>Effective</w:t>
      </w:r>
      <w:r>
        <w:rPr>
          <w:color w:val="383636"/>
          <w:spacing w:val="6"/>
          <w:sz w:val="20"/>
        </w:rPr>
        <w:t> </w:t>
      </w:r>
      <w:r>
        <w:rPr>
          <w:color w:val="383636"/>
          <w:sz w:val="20"/>
        </w:rPr>
        <w:t>Tables</w:t>
      </w:r>
    </w:p>
    <w:p>
      <w:pPr>
        <w:pStyle w:val="ListParagraph"/>
        <w:numPr>
          <w:ilvl w:val="1"/>
          <w:numId w:val="99"/>
        </w:numPr>
        <w:tabs>
          <w:tab w:pos="1540" w:val="left" w:leader="none"/>
        </w:tabs>
        <w:spacing w:line="241" w:lineRule="exact" w:before="0" w:after="0"/>
        <w:ind w:left="1539" w:right="0" w:hanging="603"/>
        <w:jc w:val="left"/>
        <w:rPr>
          <w:rFonts w:ascii="Arial"/>
          <w:b/>
          <w:color w:val="282426"/>
          <w:sz w:val="21"/>
        </w:rPr>
      </w:pPr>
      <w:r>
        <w:rPr>
          <w:color w:val="383636"/>
          <w:w w:val="120"/>
          <w:sz w:val="20"/>
        </w:rPr>
        <w:t>Summary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0"/>
        <w:ind w:left="909" w:right="0" w:firstLine="0"/>
        <w:jc w:val="left"/>
        <w:rPr>
          <w:rFonts w:ascii="Arial"/>
          <w:b/>
          <w:sz w:val="33"/>
        </w:rPr>
      </w:pPr>
      <w:r>
        <w:rPr>
          <w:rFonts w:ascii="Arial"/>
          <w:b/>
          <w:color w:val="383636"/>
          <w:w w:val="105"/>
          <w:sz w:val="33"/>
        </w:rPr>
        <w:t>11.1</w:t>
      </w:r>
    </w:p>
    <w:p>
      <w:pPr>
        <w:spacing w:before="52"/>
        <w:ind w:left="914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383636"/>
          <w:sz w:val="26"/>
        </w:rPr>
        <w:t>OPPORTUNITIES</w:t>
      </w:r>
      <w:r>
        <w:rPr>
          <w:rFonts w:ascii="Arial"/>
          <w:b/>
          <w:color w:val="383636"/>
          <w:spacing w:val="46"/>
          <w:sz w:val="26"/>
        </w:rPr>
        <w:t> </w:t>
      </w:r>
      <w:r>
        <w:rPr>
          <w:rFonts w:ascii="Arial"/>
          <w:b/>
          <w:color w:val="383636"/>
          <w:sz w:val="26"/>
        </w:rPr>
        <w:t>FOR</w:t>
      </w:r>
      <w:r>
        <w:rPr>
          <w:rFonts w:ascii="Arial"/>
          <w:b/>
          <w:color w:val="383636"/>
          <w:spacing w:val="14"/>
          <w:sz w:val="26"/>
        </w:rPr>
        <w:t> </w:t>
      </w:r>
      <w:r>
        <w:rPr>
          <w:rFonts w:ascii="Arial"/>
          <w:b/>
          <w:color w:val="383636"/>
          <w:sz w:val="26"/>
        </w:rPr>
        <w:t>PERSUASION</w:t>
      </w:r>
    </w:p>
    <w:p>
      <w:pPr>
        <w:pStyle w:val="BodyText"/>
        <w:spacing w:line="232" w:lineRule="auto" w:before="247"/>
        <w:ind w:left="367" w:right="551" w:firstLine="542"/>
        <w:jc w:val="both"/>
      </w:pPr>
      <w:r>
        <w:rPr>
          <w:color w:val="383636"/>
          <w:w w:val="110"/>
          <w:sz w:val="21"/>
        </w:rPr>
        <w:t>In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282426"/>
          <w:w w:val="110"/>
        </w:rPr>
        <w:t>the</w:t>
      </w:r>
      <w:r>
        <w:rPr>
          <w:color w:val="282426"/>
          <w:spacing w:val="1"/>
          <w:w w:val="110"/>
        </w:rPr>
        <w:t> </w:t>
      </w:r>
      <w:r>
        <w:rPr>
          <w:color w:val="383636"/>
          <w:w w:val="110"/>
        </w:rPr>
        <w:t>game of Scrabble, players use letter tiles to spell words in </w:t>
      </w:r>
      <w:r>
        <w:rPr>
          <w:color w:val="383636"/>
          <w:w w:val="110"/>
          <w:sz w:val="21"/>
        </w:rPr>
        <w:t>a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</w:rPr>
        <w:t>crossword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puzzle pattern on a game board. They score points based on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which letter tiles they use: The infrequently used "X" is worth 8 points,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while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more common "T" is worth only I point. Players earn bonuses,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however, if a  </w:t>
      </w:r>
      <w:r>
        <w:rPr>
          <w:color w:val="282426"/>
          <w:w w:val="105"/>
        </w:rPr>
        <w:t>letter </w:t>
      </w:r>
      <w:r>
        <w:rPr>
          <w:color w:val="383636"/>
          <w:w w:val="105"/>
        </w:rPr>
        <w:t>is placed on a special space on the  board: Some </w:t>
      </w:r>
      <w:r>
        <w:rPr>
          <w:color w:val="4B4B4B"/>
          <w:w w:val="105"/>
        </w:rPr>
        <w:t>spaces</w:t>
      </w:r>
      <w:r>
        <w:rPr>
          <w:color w:val="4B4B4B"/>
          <w:spacing w:val="1"/>
          <w:w w:val="105"/>
        </w:rPr>
        <w:t> </w:t>
      </w:r>
      <w:r>
        <w:rPr>
          <w:color w:val="383636"/>
          <w:w w:val="110"/>
        </w:rPr>
        <w:t>are</w:t>
      </w:r>
      <w:r>
        <w:rPr>
          <w:color w:val="383636"/>
          <w:spacing w:val="3"/>
          <w:w w:val="110"/>
        </w:rPr>
        <w:t> </w:t>
      </w:r>
      <w:r>
        <w:rPr>
          <w:color w:val="4B4B4B"/>
          <w:w w:val="110"/>
        </w:rPr>
        <w:t>"double</w:t>
      </w:r>
      <w:r>
        <w:rPr>
          <w:color w:val="4B4B4B"/>
          <w:spacing w:val="32"/>
          <w:w w:val="110"/>
        </w:rPr>
        <w:t> </w:t>
      </w:r>
      <w:r>
        <w:rPr>
          <w:color w:val="383636"/>
          <w:w w:val="110"/>
        </w:rPr>
        <w:t>letter</w:t>
      </w:r>
      <w:r>
        <w:rPr>
          <w:color w:val="383636"/>
          <w:spacing w:val="32"/>
          <w:w w:val="110"/>
        </w:rPr>
        <w:t> </w:t>
      </w:r>
      <w:r>
        <w:rPr>
          <w:color w:val="383636"/>
          <w:w w:val="110"/>
        </w:rPr>
        <w:t>score"</w:t>
      </w:r>
      <w:r>
        <w:rPr>
          <w:color w:val="383636"/>
          <w:spacing w:val="23"/>
          <w:w w:val="110"/>
        </w:rPr>
        <w:t> </w:t>
      </w:r>
      <w:r>
        <w:rPr>
          <w:color w:val="383636"/>
          <w:w w:val="110"/>
        </w:rPr>
        <w:t>or</w:t>
      </w:r>
      <w:r>
        <w:rPr>
          <w:color w:val="383636"/>
          <w:spacing w:val="39"/>
          <w:w w:val="110"/>
        </w:rPr>
        <w:t> </w:t>
      </w:r>
      <w:r>
        <w:rPr>
          <w:color w:val="4B4B4B"/>
          <w:w w:val="110"/>
        </w:rPr>
        <w:t>"trip</w:t>
      </w:r>
      <w:r>
        <w:rPr>
          <w:color w:val="282426"/>
          <w:w w:val="110"/>
        </w:rPr>
        <w:t>l</w:t>
      </w:r>
      <w:r>
        <w:rPr>
          <w:color w:val="4B4B4B"/>
          <w:w w:val="110"/>
        </w:rPr>
        <w:t>e</w:t>
      </w:r>
      <w:r>
        <w:rPr>
          <w:color w:val="4B4B4B"/>
          <w:spacing w:val="41"/>
          <w:w w:val="110"/>
        </w:rPr>
        <w:t> </w:t>
      </w:r>
      <w:r>
        <w:rPr>
          <w:color w:val="383636"/>
          <w:w w:val="110"/>
        </w:rPr>
        <w:t>letter</w:t>
      </w:r>
      <w:r>
        <w:rPr>
          <w:color w:val="383636"/>
          <w:spacing w:val="21"/>
          <w:w w:val="110"/>
        </w:rPr>
        <w:t> </w:t>
      </w:r>
      <w:r>
        <w:rPr>
          <w:color w:val="383636"/>
          <w:w w:val="110"/>
        </w:rPr>
        <w:t>score"</w:t>
      </w:r>
      <w:r>
        <w:rPr>
          <w:color w:val="383636"/>
          <w:spacing w:val="20"/>
          <w:w w:val="110"/>
        </w:rPr>
        <w:t> </w:t>
      </w:r>
      <w:r>
        <w:rPr>
          <w:color w:val="383636"/>
          <w:w w:val="110"/>
        </w:rPr>
        <w:t>spaces,</w:t>
      </w:r>
      <w:r>
        <w:rPr>
          <w:color w:val="383636"/>
          <w:spacing w:val="39"/>
          <w:w w:val="110"/>
        </w:rPr>
        <w:t> </w:t>
      </w:r>
      <w:r>
        <w:rPr>
          <w:color w:val="383636"/>
          <w:w w:val="110"/>
        </w:rPr>
        <w:t>which</w:t>
      </w:r>
      <w:r>
        <w:rPr>
          <w:color w:val="383636"/>
          <w:spacing w:val="40"/>
          <w:w w:val="110"/>
        </w:rPr>
        <w:t> </w:t>
      </w:r>
      <w:r>
        <w:rPr>
          <w:color w:val="383636"/>
          <w:w w:val="110"/>
        </w:rPr>
        <w:t>allow</w:t>
      </w:r>
      <w:r>
        <w:rPr>
          <w:color w:val="383636"/>
          <w:spacing w:val="47"/>
          <w:w w:val="110"/>
        </w:rPr>
        <w:t> </w:t>
      </w:r>
      <w:r>
        <w:rPr>
          <w:color w:val="383636"/>
          <w:w w:val="110"/>
        </w:rPr>
        <w:t>the</w:t>
      </w:r>
    </w:p>
    <w:p>
      <w:pPr>
        <w:spacing w:after="0" w:line="232" w:lineRule="auto"/>
        <w:jc w:val="both"/>
        <w:sectPr>
          <w:type w:val="continuous"/>
          <w:pgSz w:w="9810" w:h="14020"/>
          <w:pgMar w:header="0" w:footer="0" w:top="340" w:bottom="280" w:left="0" w:right="1300"/>
        </w:sectPr>
      </w:pPr>
    </w:p>
    <w:p>
      <w:pPr>
        <w:pStyle w:val="BodyText"/>
        <w:spacing w:line="228" w:lineRule="auto" w:before="91"/>
        <w:ind w:left="827" w:right="134" w:firstLine="12"/>
        <w:jc w:val="both"/>
      </w:pPr>
      <w:r>
        <w:rPr>
          <w:color w:val="383636"/>
          <w:w w:val="105"/>
        </w:rPr>
        <w:t>player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to double or triple the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points of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the  letter on  that square. Even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better, some spaces are "double word score" or "triple word score" spaces,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which</w:t>
      </w:r>
      <w:r>
        <w:rPr>
          <w:color w:val="383636"/>
          <w:spacing w:val="16"/>
          <w:w w:val="105"/>
        </w:rPr>
        <w:t> </w:t>
      </w:r>
      <w:r>
        <w:rPr>
          <w:color w:val="383636"/>
          <w:w w:val="105"/>
        </w:rPr>
        <w:t>allow</w:t>
      </w:r>
      <w:r>
        <w:rPr>
          <w:color w:val="383636"/>
          <w:spacing w:val="10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48"/>
          <w:w w:val="105"/>
        </w:rPr>
        <w:t> </w:t>
      </w:r>
      <w:r>
        <w:rPr>
          <w:color w:val="383636"/>
          <w:w w:val="105"/>
        </w:rPr>
        <w:t>doubling</w:t>
      </w:r>
      <w:r>
        <w:rPr>
          <w:color w:val="383636"/>
          <w:spacing w:val="7"/>
          <w:w w:val="105"/>
        </w:rPr>
        <w:t> </w:t>
      </w:r>
      <w:r>
        <w:rPr>
          <w:color w:val="383636"/>
          <w:w w:val="105"/>
        </w:rPr>
        <w:t>or</w:t>
      </w:r>
      <w:r>
        <w:rPr>
          <w:color w:val="383636"/>
          <w:spacing w:val="20"/>
          <w:w w:val="105"/>
        </w:rPr>
        <w:t> </w:t>
      </w:r>
      <w:r>
        <w:rPr>
          <w:color w:val="383636"/>
          <w:w w:val="105"/>
        </w:rPr>
        <w:t>tripling</w:t>
      </w:r>
      <w:r>
        <w:rPr>
          <w:color w:val="383636"/>
          <w:spacing w:val="6"/>
          <w:w w:val="105"/>
        </w:rPr>
        <w:t> </w:t>
      </w:r>
      <w:r>
        <w:rPr>
          <w:color w:val="383636"/>
          <w:w w:val="105"/>
        </w:rPr>
        <w:t>of</w:t>
      </w:r>
      <w:r>
        <w:rPr>
          <w:color w:val="383636"/>
          <w:spacing w:val="35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2"/>
          <w:w w:val="105"/>
        </w:rPr>
        <w:t> </w:t>
      </w:r>
      <w:r>
        <w:rPr>
          <w:color w:val="383636"/>
          <w:w w:val="105"/>
        </w:rPr>
        <w:t>points</w:t>
      </w:r>
      <w:r>
        <w:rPr>
          <w:color w:val="383636"/>
          <w:spacing w:val="3"/>
          <w:w w:val="105"/>
        </w:rPr>
        <w:t> </w:t>
      </w:r>
      <w:r>
        <w:rPr>
          <w:color w:val="383636"/>
          <w:w w:val="105"/>
        </w:rPr>
        <w:t>for</w:t>
      </w:r>
      <w:r>
        <w:rPr>
          <w:color w:val="383636"/>
          <w:spacing w:val="-7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29"/>
          <w:w w:val="105"/>
        </w:rPr>
        <w:t> </w:t>
      </w:r>
      <w:r>
        <w:rPr>
          <w:color w:val="383636"/>
          <w:w w:val="105"/>
        </w:rPr>
        <w:t>whole</w:t>
      </w:r>
      <w:r>
        <w:rPr>
          <w:color w:val="383636"/>
          <w:spacing w:val="2"/>
          <w:w w:val="105"/>
        </w:rPr>
        <w:t> </w:t>
      </w:r>
      <w:r>
        <w:rPr>
          <w:color w:val="383636"/>
          <w:w w:val="105"/>
        </w:rPr>
        <w:t>word.</w:t>
      </w:r>
    </w:p>
    <w:p>
      <w:pPr>
        <w:pStyle w:val="BodyText"/>
        <w:spacing w:line="232" w:lineRule="auto" w:before="4"/>
        <w:ind w:left="818" w:right="118" w:firstLine="383"/>
        <w:jc w:val="both"/>
      </w:pPr>
      <w:r>
        <w:rPr>
          <w:color w:val="383636"/>
          <w:w w:val="105"/>
        </w:rPr>
        <w:t>When you write a brief, you will "score points" with your reader just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based on your "tiles"-the strength of the arguments you make about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law or the facts. In addition, however, there will be opportunities for per­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suasion that arise at various times as you write the brief. These opportuni­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ties for persuasion, like the colored squares on the Scrabble board, allow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you</w:t>
      </w:r>
      <w:r>
        <w:rPr>
          <w:color w:val="383636"/>
          <w:spacing w:val="-3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18"/>
          <w:w w:val="110"/>
        </w:rPr>
        <w:t> </w:t>
      </w:r>
      <w:r>
        <w:rPr>
          <w:color w:val="383636"/>
          <w:w w:val="110"/>
        </w:rPr>
        <w:t>make</w:t>
      </w:r>
      <w:r>
        <w:rPr>
          <w:color w:val="383636"/>
          <w:spacing w:val="-5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24"/>
          <w:w w:val="110"/>
        </w:rPr>
        <w:t> </w:t>
      </w:r>
      <w:r>
        <w:rPr>
          <w:color w:val="383636"/>
          <w:w w:val="110"/>
        </w:rPr>
        <w:t>most</w:t>
      </w:r>
      <w:r>
        <w:rPr>
          <w:color w:val="383636"/>
          <w:spacing w:val="-13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what</w:t>
      </w:r>
      <w:r>
        <w:rPr>
          <w:color w:val="383636"/>
          <w:spacing w:val="-6"/>
          <w:w w:val="110"/>
        </w:rPr>
        <w:t> </w:t>
      </w:r>
      <w:r>
        <w:rPr>
          <w:color w:val="49494B"/>
          <w:w w:val="110"/>
        </w:rPr>
        <w:t>you</w:t>
      </w:r>
      <w:r>
        <w:rPr>
          <w:color w:val="49494B"/>
          <w:spacing w:val="-2"/>
          <w:w w:val="110"/>
        </w:rPr>
        <w:t> </w:t>
      </w:r>
      <w:r>
        <w:rPr>
          <w:color w:val="383636"/>
          <w:w w:val="110"/>
        </w:rPr>
        <w:t>have.</w:t>
      </w:r>
    </w:p>
    <w:p>
      <w:pPr>
        <w:pStyle w:val="BodyText"/>
        <w:spacing w:line="235" w:lineRule="auto"/>
        <w:ind w:left="764" w:right="113" w:firstLine="414"/>
        <w:jc w:val="both"/>
      </w:pPr>
      <w:r>
        <w:rPr>
          <w:color w:val="383636"/>
          <w:w w:val="110"/>
        </w:rPr>
        <w:t>The opportunities for persuasion addressed in this chapter are based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on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knowledge about how people read and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use legal documents. Practical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advocates exploit this knowledge and base their writing decisions on </w:t>
      </w:r>
      <w:r>
        <w:rPr>
          <w:color w:val="49494B"/>
          <w:w w:val="110"/>
        </w:rPr>
        <w:t>it.</w:t>
      </w:r>
      <w:r>
        <w:rPr>
          <w:color w:val="49494B"/>
          <w:spacing w:val="1"/>
          <w:w w:val="110"/>
        </w:rPr>
        <w:t> </w:t>
      </w:r>
      <w:r>
        <w:rPr>
          <w:color w:val="383636"/>
          <w:w w:val="110"/>
        </w:rPr>
        <w:t>Every writing decision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you make-from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which issues to  argue, to how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you structure your sentences, to what typeface to </w:t>
      </w:r>
      <w:r>
        <w:rPr>
          <w:color w:val="383636"/>
          <w:w w:val="120"/>
        </w:rPr>
        <w:t>use-can </w:t>
      </w:r>
      <w:r>
        <w:rPr>
          <w:color w:val="383636"/>
          <w:w w:val="110"/>
        </w:rPr>
        <w:t>affect how the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reader understands and perceives your </w:t>
      </w:r>
      <w:r>
        <w:rPr>
          <w:color w:val="49494B"/>
          <w:w w:val="110"/>
        </w:rPr>
        <w:t>argument, </w:t>
      </w:r>
      <w:r>
        <w:rPr>
          <w:color w:val="383636"/>
          <w:w w:val="110"/>
        </w:rPr>
        <w:t>or how easily a user </w:t>
      </w:r>
      <w:r>
        <w:rPr>
          <w:rFonts w:ascii="Arial" w:hAnsi="Arial"/>
          <w:color w:val="383636"/>
          <w:w w:val="110"/>
          <w:sz w:val="21"/>
        </w:rPr>
        <w:t>is</w:t>
      </w:r>
      <w:r>
        <w:rPr>
          <w:rFonts w:ascii="Arial" w:hAnsi="Arial"/>
          <w:color w:val="383636"/>
          <w:spacing w:val="1"/>
          <w:w w:val="110"/>
          <w:sz w:val="21"/>
        </w:rPr>
        <w:t> </w:t>
      </w:r>
      <w:r>
        <w:rPr>
          <w:color w:val="383636"/>
          <w:w w:val="105"/>
        </w:rPr>
        <w:t>able to find the argument. Some decisions will affect the reader's impres­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sions of you as a credible advocate and  a reliable reporter of  the law and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the facts. Others will affect the user's ability to find the most relevant or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important</w:t>
      </w:r>
      <w:r>
        <w:rPr>
          <w:color w:val="383636"/>
          <w:spacing w:val="-1"/>
          <w:w w:val="110"/>
        </w:rPr>
        <w:t> </w:t>
      </w:r>
      <w:r>
        <w:rPr>
          <w:color w:val="383636"/>
          <w:w w:val="110"/>
        </w:rPr>
        <w:t>partsof</w:t>
      </w:r>
      <w:r>
        <w:rPr>
          <w:color w:val="383636"/>
          <w:spacing w:val="5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-1"/>
          <w:w w:val="110"/>
        </w:rPr>
        <w:t> </w:t>
      </w:r>
      <w:r>
        <w:rPr>
          <w:color w:val="383636"/>
          <w:w w:val="110"/>
        </w:rPr>
        <w:t>argument.</w:t>
      </w:r>
      <w:r>
        <w:rPr>
          <w:color w:val="383636"/>
          <w:spacing w:val="-10"/>
          <w:w w:val="110"/>
        </w:rPr>
        <w:t> </w:t>
      </w:r>
      <w:r>
        <w:rPr>
          <w:color w:val="383636"/>
          <w:w w:val="110"/>
        </w:rPr>
        <w:t>All</w:t>
      </w:r>
      <w:r>
        <w:rPr>
          <w:color w:val="383636"/>
          <w:spacing w:val="-22"/>
          <w:w w:val="110"/>
        </w:rPr>
        <w:t> </w:t>
      </w:r>
      <w:r>
        <w:rPr>
          <w:color w:val="383636"/>
          <w:w w:val="110"/>
        </w:rPr>
        <w:t>must</w:t>
      </w:r>
      <w:r>
        <w:rPr>
          <w:color w:val="383636"/>
          <w:spacing w:val="5"/>
          <w:w w:val="110"/>
        </w:rPr>
        <w:t> </w:t>
      </w:r>
      <w:r>
        <w:rPr>
          <w:color w:val="383636"/>
          <w:w w:val="110"/>
        </w:rPr>
        <w:t>be</w:t>
      </w:r>
      <w:r>
        <w:rPr>
          <w:color w:val="383636"/>
          <w:spacing w:val="-20"/>
          <w:w w:val="110"/>
        </w:rPr>
        <w:t> </w:t>
      </w:r>
      <w:r>
        <w:rPr>
          <w:color w:val="383636"/>
          <w:w w:val="110"/>
        </w:rPr>
        <w:t>made</w:t>
      </w:r>
      <w:r>
        <w:rPr>
          <w:color w:val="383636"/>
          <w:spacing w:val="-20"/>
          <w:w w:val="110"/>
        </w:rPr>
        <w:t> </w:t>
      </w:r>
      <w:r>
        <w:rPr>
          <w:color w:val="383636"/>
          <w:w w:val="110"/>
        </w:rPr>
        <w:t>with</w:t>
      </w:r>
      <w:r>
        <w:rPr>
          <w:color w:val="383636"/>
          <w:spacing w:val="-10"/>
          <w:w w:val="110"/>
        </w:rPr>
        <w:t> </w:t>
      </w:r>
      <w:r>
        <w:rPr>
          <w:color w:val="383636"/>
          <w:w w:val="110"/>
        </w:rPr>
        <w:t>care,</w:t>
      </w:r>
      <w:r>
        <w:rPr>
          <w:color w:val="383636"/>
          <w:spacing w:val="-24"/>
          <w:w w:val="110"/>
        </w:rPr>
        <w:t> </w:t>
      </w:r>
      <w:r>
        <w:rPr>
          <w:color w:val="383636"/>
          <w:w w:val="110"/>
        </w:rPr>
        <w:t>and</w:t>
      </w:r>
      <w:r>
        <w:rPr>
          <w:color w:val="383636"/>
          <w:spacing w:val="21"/>
          <w:w w:val="110"/>
        </w:rPr>
        <w:t> </w:t>
      </w:r>
      <w:r>
        <w:rPr>
          <w:color w:val="383636"/>
          <w:w w:val="110"/>
        </w:rPr>
        <w:t>with</w:t>
      </w:r>
      <w:r>
        <w:rPr>
          <w:color w:val="383636"/>
          <w:spacing w:val="-12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reader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and</w:t>
      </w:r>
      <w:r>
        <w:rPr>
          <w:color w:val="383636"/>
          <w:spacing w:val="37"/>
          <w:w w:val="110"/>
        </w:rPr>
        <w:t> </w:t>
      </w:r>
      <w:r>
        <w:rPr>
          <w:color w:val="383636"/>
          <w:w w:val="110"/>
        </w:rPr>
        <w:t>user</w:t>
      </w:r>
      <w:r>
        <w:rPr>
          <w:color w:val="383636"/>
          <w:spacing w:val="-14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26"/>
          <w:w w:val="110"/>
        </w:rPr>
        <w:t> </w:t>
      </w:r>
      <w:r>
        <w:rPr>
          <w:color w:val="383636"/>
          <w:w w:val="110"/>
        </w:rPr>
        <w:t>mind.</w:t>
      </w:r>
    </w:p>
    <w:p>
      <w:pPr>
        <w:pStyle w:val="BodyText"/>
        <w:rPr>
          <w:sz w:val="26"/>
        </w:rPr>
      </w:pPr>
    </w:p>
    <w:p>
      <w:pPr>
        <w:spacing w:before="210"/>
        <w:ind w:left="1352" w:right="0" w:firstLine="0"/>
        <w:jc w:val="left"/>
        <w:rPr>
          <w:rFonts w:ascii="Arial"/>
          <w:b/>
          <w:sz w:val="33"/>
        </w:rPr>
      </w:pPr>
      <w:r>
        <w:rPr>
          <w:rFonts w:ascii="Arial"/>
          <w:b/>
          <w:color w:val="383636"/>
          <w:w w:val="110"/>
          <w:sz w:val="33"/>
        </w:rPr>
        <w:t>11.2</w:t>
      </w:r>
    </w:p>
    <w:p>
      <w:pPr>
        <w:spacing w:before="54"/>
        <w:ind w:left="1363" w:right="0" w:firstLine="0"/>
        <w:jc w:val="left"/>
        <w:rPr>
          <w:b/>
          <w:sz w:val="28"/>
        </w:rPr>
      </w:pPr>
      <w:r>
        <w:rPr>
          <w:b/>
          <w:color w:val="383636"/>
          <w:w w:val="95"/>
          <w:sz w:val="28"/>
        </w:rPr>
        <w:t>HOW</w:t>
      </w:r>
      <w:r>
        <w:rPr>
          <w:b/>
          <w:color w:val="383636"/>
          <w:spacing w:val="41"/>
          <w:w w:val="95"/>
          <w:sz w:val="28"/>
        </w:rPr>
        <w:t> </w:t>
      </w:r>
      <w:r>
        <w:rPr>
          <w:b/>
          <w:color w:val="383636"/>
          <w:w w:val="95"/>
          <w:sz w:val="28"/>
        </w:rPr>
        <w:t>NOT</w:t>
      </w:r>
      <w:r>
        <w:rPr>
          <w:b/>
          <w:color w:val="383636"/>
          <w:spacing w:val="-8"/>
          <w:w w:val="95"/>
          <w:sz w:val="28"/>
        </w:rPr>
        <w:t> </w:t>
      </w:r>
      <w:r>
        <w:rPr>
          <w:b/>
          <w:color w:val="383636"/>
          <w:w w:val="95"/>
          <w:sz w:val="28"/>
        </w:rPr>
        <w:t>TO</w:t>
      </w:r>
      <w:r>
        <w:rPr>
          <w:b/>
          <w:color w:val="383636"/>
          <w:spacing w:val="44"/>
          <w:w w:val="95"/>
          <w:sz w:val="28"/>
        </w:rPr>
        <w:t> </w:t>
      </w:r>
      <w:r>
        <w:rPr>
          <w:b/>
          <w:color w:val="383636"/>
          <w:w w:val="95"/>
          <w:sz w:val="28"/>
        </w:rPr>
        <w:t>PERSUADE</w:t>
      </w:r>
    </w:p>
    <w:p>
      <w:pPr>
        <w:pStyle w:val="BodyText"/>
        <w:spacing w:line="235" w:lineRule="auto" w:before="249"/>
        <w:ind w:left="731" w:right="111" w:firstLine="601"/>
        <w:jc w:val="both"/>
      </w:pPr>
      <w:r>
        <w:rPr>
          <w:color w:val="383636"/>
          <w:w w:val="110"/>
        </w:rPr>
        <w:t>The first and most important point to make is that persuasion </w:t>
      </w:r>
      <w:r>
        <w:rPr>
          <w:color w:val="49494B"/>
          <w:w w:val="110"/>
        </w:rPr>
        <w:t>is </w:t>
      </w:r>
      <w:r>
        <w:rPr>
          <w:color w:val="383636"/>
          <w:w w:val="110"/>
        </w:rPr>
        <w:t>not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05"/>
        </w:rPr>
        <w:t>about lying. There are two reasons not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to misstate the facts or the law </w:t>
      </w:r>
      <w:r>
        <w:rPr>
          <w:rFonts w:ascii="Arial"/>
          <w:color w:val="383636"/>
          <w:w w:val="105"/>
          <w:sz w:val="21"/>
        </w:rPr>
        <w:t>1n</w:t>
      </w:r>
      <w:r>
        <w:rPr>
          <w:rFonts w:ascii="Arial"/>
          <w:color w:val="383636"/>
          <w:spacing w:val="1"/>
          <w:w w:val="105"/>
          <w:sz w:val="21"/>
        </w:rPr>
        <w:t> </w:t>
      </w:r>
      <w:r>
        <w:rPr>
          <w:color w:val="49494B"/>
          <w:spacing w:val="-1"/>
          <w:w w:val="110"/>
        </w:rPr>
        <w:t>your</w:t>
      </w:r>
      <w:r>
        <w:rPr>
          <w:color w:val="49494B"/>
          <w:spacing w:val="-3"/>
          <w:w w:val="110"/>
        </w:rPr>
        <w:t> </w:t>
      </w:r>
      <w:r>
        <w:rPr>
          <w:color w:val="383636"/>
          <w:spacing w:val="-1"/>
          <w:w w:val="110"/>
        </w:rPr>
        <w:t>case.</w:t>
      </w:r>
      <w:r>
        <w:rPr>
          <w:color w:val="383636"/>
          <w:spacing w:val="-15"/>
          <w:w w:val="110"/>
        </w:rPr>
        <w:t> </w:t>
      </w:r>
      <w:r>
        <w:rPr>
          <w:color w:val="383636"/>
          <w:spacing w:val="-1"/>
          <w:w w:val="110"/>
        </w:rPr>
        <w:t>The</w:t>
      </w:r>
      <w:r>
        <w:rPr>
          <w:color w:val="383636"/>
          <w:spacing w:val="18"/>
          <w:w w:val="110"/>
        </w:rPr>
        <w:t> </w:t>
      </w:r>
      <w:r>
        <w:rPr>
          <w:color w:val="383636"/>
          <w:spacing w:val="-1"/>
          <w:w w:val="110"/>
        </w:rPr>
        <w:t>first</w:t>
      </w:r>
      <w:r>
        <w:rPr>
          <w:color w:val="383636"/>
          <w:spacing w:val="9"/>
          <w:w w:val="110"/>
        </w:rPr>
        <w:t> </w:t>
      </w:r>
      <w:r>
        <w:rPr>
          <w:color w:val="383636"/>
          <w:spacing w:val="-1"/>
          <w:w w:val="110"/>
        </w:rPr>
        <w:t>reason</w:t>
      </w:r>
      <w:r>
        <w:rPr>
          <w:color w:val="383636"/>
          <w:spacing w:val="14"/>
          <w:w w:val="110"/>
        </w:rPr>
        <w:t> </w:t>
      </w:r>
      <w:r>
        <w:rPr>
          <w:color w:val="383636"/>
          <w:spacing w:val="-1"/>
          <w:w w:val="110"/>
        </w:rPr>
        <w:t>is</w:t>
      </w:r>
      <w:r>
        <w:rPr>
          <w:color w:val="383636"/>
          <w:spacing w:val="-6"/>
          <w:w w:val="110"/>
        </w:rPr>
        <w:t> </w:t>
      </w:r>
      <w:r>
        <w:rPr>
          <w:color w:val="383636"/>
          <w:spacing w:val="-1"/>
          <w:w w:val="110"/>
        </w:rPr>
        <w:t>simply</w:t>
      </w:r>
      <w:r>
        <w:rPr>
          <w:color w:val="383636"/>
          <w:spacing w:val="11"/>
          <w:w w:val="110"/>
        </w:rPr>
        <w:t> </w:t>
      </w:r>
      <w:r>
        <w:rPr>
          <w:color w:val="383636"/>
          <w:spacing w:val="-1"/>
          <w:w w:val="110"/>
        </w:rPr>
        <w:t>because</w:t>
      </w:r>
      <w:r>
        <w:rPr>
          <w:color w:val="383636"/>
          <w:spacing w:val="3"/>
          <w:w w:val="110"/>
        </w:rPr>
        <w:t> </w:t>
      </w:r>
      <w:r>
        <w:rPr>
          <w:color w:val="383636"/>
          <w:w w:val="110"/>
        </w:rPr>
        <w:t>it</w:t>
      </w:r>
      <w:r>
        <w:rPr>
          <w:color w:val="383636"/>
          <w:spacing w:val="29"/>
          <w:w w:val="110"/>
        </w:rPr>
        <w:t> </w:t>
      </w:r>
      <w:r>
        <w:rPr>
          <w:color w:val="383636"/>
          <w:w w:val="110"/>
        </w:rPr>
        <w:t>is</w:t>
      </w:r>
      <w:r>
        <w:rPr>
          <w:color w:val="383636"/>
          <w:spacing w:val="-2"/>
          <w:w w:val="110"/>
        </w:rPr>
        <w:t> </w:t>
      </w:r>
      <w:r>
        <w:rPr>
          <w:color w:val="383636"/>
          <w:w w:val="110"/>
        </w:rPr>
        <w:t>wrong.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-9"/>
          <w:w w:val="110"/>
        </w:rPr>
        <w:t> </w:t>
      </w:r>
      <w:r>
        <w:rPr>
          <w:color w:val="383636"/>
          <w:w w:val="110"/>
        </w:rPr>
        <w:t>ethical</w:t>
      </w:r>
      <w:r>
        <w:rPr>
          <w:color w:val="383636"/>
          <w:spacing w:val="-1"/>
          <w:w w:val="110"/>
        </w:rPr>
        <w:t> </w:t>
      </w:r>
      <w:r>
        <w:rPr>
          <w:color w:val="383636"/>
          <w:w w:val="110"/>
        </w:rPr>
        <w:t>can.</w:t>
      </w:r>
    </w:p>
    <w:p>
      <w:pPr>
        <w:pStyle w:val="BodyText"/>
        <w:spacing w:line="228" w:lineRule="auto" w:before="10"/>
        <w:ind w:left="719" w:hanging="5"/>
      </w:pPr>
      <w:r>
        <w:rPr>
          <w:color w:val="383636"/>
          <w:w w:val="105"/>
        </w:rPr>
        <w:t>ons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in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every state forbid it.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For example,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Rule 3.3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of the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Illinois Rules of</w:t>
      </w:r>
      <w:r>
        <w:rPr>
          <w:color w:val="383636"/>
          <w:spacing w:val="-58"/>
          <w:w w:val="105"/>
        </w:rPr>
        <w:t> </w:t>
      </w:r>
      <w:r>
        <w:rPr>
          <w:color w:val="383636"/>
          <w:w w:val="105"/>
        </w:rPr>
        <w:t>Professional</w:t>
      </w:r>
      <w:r>
        <w:rPr>
          <w:color w:val="383636"/>
          <w:spacing w:val="10"/>
          <w:w w:val="105"/>
        </w:rPr>
        <w:t> </w:t>
      </w:r>
      <w:r>
        <w:rPr>
          <w:color w:val="383636"/>
          <w:w w:val="105"/>
        </w:rPr>
        <w:t>Conduct</w:t>
      </w:r>
      <w:r>
        <w:rPr>
          <w:color w:val="383636"/>
          <w:spacing w:val="17"/>
          <w:w w:val="105"/>
        </w:rPr>
        <w:t> </w:t>
      </w:r>
      <w:r>
        <w:rPr>
          <w:color w:val="383636"/>
          <w:w w:val="105"/>
        </w:rPr>
        <w:t>provides</w:t>
      </w:r>
      <w:r>
        <w:rPr>
          <w:color w:val="383636"/>
          <w:spacing w:val="10"/>
          <w:w w:val="105"/>
        </w:rPr>
        <w:t> </w:t>
      </w:r>
      <w:r>
        <w:rPr>
          <w:color w:val="383636"/>
          <w:w w:val="105"/>
        </w:rPr>
        <w:t>in</w:t>
      </w:r>
      <w:r>
        <w:rPr>
          <w:color w:val="383636"/>
          <w:spacing w:val="26"/>
          <w:w w:val="105"/>
        </w:rPr>
        <w:t> </w:t>
      </w:r>
      <w:r>
        <w:rPr>
          <w:color w:val="383636"/>
          <w:w w:val="105"/>
        </w:rPr>
        <w:t>part:</w:t>
      </w:r>
    </w:p>
    <w:p>
      <w:pPr>
        <w:pStyle w:val="BodyText"/>
        <w:spacing w:before="2"/>
      </w:pPr>
    </w:p>
    <w:p>
      <w:pPr>
        <w:spacing w:before="0"/>
        <w:ind w:left="2445" w:right="0" w:firstLine="0"/>
        <w:jc w:val="left"/>
        <w:rPr>
          <w:b/>
          <w:sz w:val="21"/>
        </w:rPr>
      </w:pPr>
      <w:r>
        <w:rPr>
          <w:b/>
          <w:color w:val="383636"/>
          <w:w w:val="115"/>
          <w:sz w:val="21"/>
        </w:rPr>
        <w:t>Rule</w:t>
      </w:r>
      <w:r>
        <w:rPr>
          <w:b/>
          <w:color w:val="383636"/>
          <w:spacing w:val="13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3.3</w:t>
      </w:r>
      <w:r>
        <w:rPr>
          <w:b/>
          <w:color w:val="383636"/>
          <w:spacing w:val="12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Candor</w:t>
      </w:r>
      <w:r>
        <w:rPr>
          <w:b/>
          <w:color w:val="383636"/>
          <w:spacing w:val="-1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Toward</w:t>
      </w:r>
      <w:r>
        <w:rPr>
          <w:b/>
          <w:color w:val="383636"/>
          <w:spacing w:val="2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the</w:t>
      </w:r>
      <w:r>
        <w:rPr>
          <w:b/>
          <w:color w:val="383636"/>
          <w:spacing w:val="40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Tribunal</w:t>
      </w:r>
    </w:p>
    <w:p>
      <w:pPr>
        <w:pStyle w:val="ListParagraph"/>
        <w:numPr>
          <w:ilvl w:val="0"/>
          <w:numId w:val="100"/>
        </w:numPr>
        <w:tabs>
          <w:tab w:pos="1358" w:val="left" w:leader="none"/>
        </w:tabs>
        <w:spacing w:line="241" w:lineRule="exact" w:before="124" w:after="0"/>
        <w:ind w:left="1358" w:right="0" w:hanging="297"/>
        <w:jc w:val="both"/>
        <w:rPr>
          <w:sz w:val="21"/>
        </w:rPr>
      </w:pPr>
      <w:r>
        <w:rPr>
          <w:color w:val="383636"/>
          <w:spacing w:val="-1"/>
          <w:w w:val="110"/>
          <w:sz w:val="21"/>
        </w:rPr>
        <w:t>A</w:t>
      </w:r>
      <w:r>
        <w:rPr>
          <w:color w:val="383636"/>
          <w:spacing w:val="-16"/>
          <w:w w:val="110"/>
          <w:sz w:val="21"/>
        </w:rPr>
        <w:t> </w:t>
      </w:r>
      <w:r>
        <w:rPr>
          <w:color w:val="383636"/>
          <w:spacing w:val="-1"/>
          <w:w w:val="110"/>
          <w:sz w:val="21"/>
        </w:rPr>
        <w:t>lawyer</w:t>
      </w:r>
      <w:r>
        <w:rPr>
          <w:color w:val="383636"/>
          <w:spacing w:val="-15"/>
          <w:w w:val="110"/>
          <w:sz w:val="21"/>
        </w:rPr>
        <w:t> </w:t>
      </w:r>
      <w:r>
        <w:rPr>
          <w:color w:val="383636"/>
          <w:w w:val="110"/>
          <w:sz w:val="21"/>
        </w:rPr>
        <w:t>shall</w:t>
      </w:r>
      <w:r>
        <w:rPr>
          <w:color w:val="383636"/>
          <w:spacing w:val="-1"/>
          <w:w w:val="110"/>
          <w:sz w:val="21"/>
        </w:rPr>
        <w:t> </w:t>
      </w:r>
      <w:r>
        <w:rPr>
          <w:color w:val="383636"/>
          <w:w w:val="110"/>
          <w:sz w:val="21"/>
        </w:rPr>
        <w:t>not</w:t>
      </w:r>
      <w:r>
        <w:rPr>
          <w:color w:val="383636"/>
          <w:spacing w:val="11"/>
          <w:w w:val="110"/>
          <w:sz w:val="21"/>
        </w:rPr>
        <w:t> </w:t>
      </w:r>
      <w:r>
        <w:rPr>
          <w:color w:val="383636"/>
          <w:w w:val="110"/>
          <w:sz w:val="21"/>
        </w:rPr>
        <w:t>knowingly:</w:t>
      </w:r>
    </w:p>
    <w:p>
      <w:pPr>
        <w:pStyle w:val="ListParagraph"/>
        <w:numPr>
          <w:ilvl w:val="1"/>
          <w:numId w:val="100"/>
        </w:numPr>
        <w:tabs>
          <w:tab w:pos="2197" w:val="left" w:leader="none"/>
        </w:tabs>
        <w:spacing w:line="235" w:lineRule="auto" w:before="4" w:after="0"/>
        <w:ind w:left="1458" w:right="433" w:firstLine="403"/>
        <w:jc w:val="both"/>
        <w:rPr>
          <w:sz w:val="21"/>
        </w:rPr>
      </w:pPr>
      <w:r>
        <w:rPr>
          <w:color w:val="383636"/>
          <w:w w:val="115"/>
          <w:sz w:val="21"/>
        </w:rPr>
        <w:t>make a false statement of fact or law to a tribunal or </w:t>
      </w:r>
      <w:r>
        <w:rPr>
          <w:color w:val="383636"/>
          <w:w w:val="115"/>
          <w:sz w:val="19"/>
        </w:rPr>
        <w:t>fail </w:t>
      </w:r>
      <w:r>
        <w:rPr>
          <w:color w:val="383636"/>
          <w:w w:val="115"/>
          <w:sz w:val="21"/>
        </w:rPr>
        <w:t>to</w:t>
      </w:r>
      <w:r>
        <w:rPr>
          <w:color w:val="383636"/>
          <w:spacing w:val="-58"/>
          <w:w w:val="115"/>
          <w:sz w:val="21"/>
        </w:rPr>
        <w:t> </w:t>
      </w:r>
      <w:r>
        <w:rPr>
          <w:color w:val="383636"/>
          <w:w w:val="110"/>
          <w:sz w:val="21"/>
        </w:rPr>
        <w:t>correct a false statement of material fact or law previously made to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5"/>
          <w:sz w:val="21"/>
        </w:rPr>
        <w:t>the</w:t>
      </w:r>
      <w:r>
        <w:rPr>
          <w:color w:val="383636"/>
          <w:spacing w:val="21"/>
          <w:w w:val="115"/>
          <w:sz w:val="21"/>
        </w:rPr>
        <w:t> </w:t>
      </w:r>
      <w:r>
        <w:rPr>
          <w:color w:val="383636"/>
          <w:w w:val="115"/>
          <w:sz w:val="21"/>
        </w:rPr>
        <w:t>tribunal</w:t>
      </w:r>
      <w:r>
        <w:rPr>
          <w:color w:val="383636"/>
          <w:spacing w:val="7"/>
          <w:w w:val="115"/>
          <w:sz w:val="21"/>
        </w:rPr>
        <w:t> </w:t>
      </w:r>
      <w:r>
        <w:rPr>
          <w:color w:val="383636"/>
          <w:w w:val="115"/>
          <w:sz w:val="21"/>
        </w:rPr>
        <w:t>by</w:t>
      </w:r>
      <w:r>
        <w:rPr>
          <w:color w:val="383636"/>
          <w:spacing w:val="-28"/>
          <w:w w:val="115"/>
          <w:sz w:val="21"/>
        </w:rPr>
        <w:t> </w:t>
      </w:r>
      <w:r>
        <w:rPr>
          <w:color w:val="383636"/>
          <w:w w:val="115"/>
          <w:sz w:val="21"/>
        </w:rPr>
        <w:t>the</w:t>
      </w:r>
      <w:r>
        <w:rPr>
          <w:color w:val="383636"/>
          <w:spacing w:val="4"/>
          <w:w w:val="115"/>
          <w:sz w:val="21"/>
        </w:rPr>
        <w:t> </w:t>
      </w:r>
      <w:r>
        <w:rPr>
          <w:color w:val="383636"/>
          <w:w w:val="115"/>
          <w:sz w:val="21"/>
        </w:rPr>
        <w:t>lawyer;</w:t>
      </w:r>
    </w:p>
    <w:p>
      <w:pPr>
        <w:pStyle w:val="ListParagraph"/>
        <w:numPr>
          <w:ilvl w:val="1"/>
          <w:numId w:val="100"/>
        </w:numPr>
        <w:tabs>
          <w:tab w:pos="2172" w:val="left" w:leader="none"/>
        </w:tabs>
        <w:spacing w:line="228" w:lineRule="auto" w:before="9" w:after="0"/>
        <w:ind w:left="1447" w:right="449" w:firstLine="395"/>
        <w:jc w:val="both"/>
        <w:rPr>
          <w:sz w:val="21"/>
        </w:rPr>
      </w:pPr>
      <w:r>
        <w:rPr>
          <w:color w:val="383636"/>
          <w:w w:val="110"/>
          <w:sz w:val="21"/>
        </w:rPr>
        <w:t>fail to disclose to the tribunal legal authority in the control­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ling jurisdiction known to the lawyer to be directly adverse </w:t>
      </w:r>
      <w:r>
        <w:rPr>
          <w:i/>
          <w:color w:val="383636"/>
          <w:w w:val="110"/>
          <w:sz w:val="22"/>
        </w:rPr>
        <w:t>to </w:t>
      </w:r>
      <w:r>
        <w:rPr>
          <w:color w:val="383636"/>
          <w:w w:val="110"/>
          <w:sz w:val="21"/>
        </w:rPr>
        <w:t>the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position</w:t>
      </w:r>
      <w:r>
        <w:rPr>
          <w:color w:val="383636"/>
          <w:spacing w:val="8"/>
          <w:w w:val="110"/>
          <w:sz w:val="21"/>
        </w:rPr>
        <w:t> </w:t>
      </w:r>
      <w:r>
        <w:rPr>
          <w:color w:val="383636"/>
          <w:w w:val="110"/>
          <w:sz w:val="21"/>
        </w:rPr>
        <w:t>of</w:t>
      </w:r>
      <w:r>
        <w:rPr>
          <w:color w:val="383636"/>
          <w:spacing w:val="18"/>
          <w:w w:val="110"/>
          <w:sz w:val="21"/>
        </w:rPr>
        <w:t> </w:t>
      </w:r>
      <w:r>
        <w:rPr>
          <w:color w:val="49494B"/>
          <w:w w:val="110"/>
          <w:sz w:val="21"/>
        </w:rPr>
        <w:t>the</w:t>
      </w:r>
      <w:r>
        <w:rPr>
          <w:color w:val="49494B"/>
          <w:spacing w:val="14"/>
          <w:w w:val="110"/>
          <w:sz w:val="21"/>
        </w:rPr>
        <w:t> </w:t>
      </w:r>
      <w:r>
        <w:rPr>
          <w:color w:val="383636"/>
          <w:w w:val="110"/>
          <w:sz w:val="21"/>
        </w:rPr>
        <w:t>client</w:t>
      </w:r>
      <w:r>
        <w:rPr>
          <w:color w:val="383636"/>
          <w:spacing w:val="-15"/>
          <w:w w:val="110"/>
          <w:sz w:val="21"/>
        </w:rPr>
        <w:t> </w:t>
      </w:r>
      <w:r>
        <w:rPr>
          <w:color w:val="383636"/>
          <w:w w:val="110"/>
          <w:sz w:val="21"/>
        </w:rPr>
        <w:t>and</w:t>
      </w:r>
      <w:r>
        <w:rPr>
          <w:color w:val="383636"/>
          <w:spacing w:val="27"/>
          <w:w w:val="110"/>
          <w:sz w:val="21"/>
        </w:rPr>
        <w:t> </w:t>
      </w:r>
      <w:r>
        <w:rPr>
          <w:color w:val="383636"/>
          <w:w w:val="110"/>
          <w:sz w:val="21"/>
        </w:rPr>
        <w:t>not</w:t>
      </w:r>
      <w:r>
        <w:rPr>
          <w:color w:val="383636"/>
          <w:spacing w:val="5"/>
          <w:w w:val="110"/>
          <w:sz w:val="21"/>
        </w:rPr>
        <w:t> </w:t>
      </w:r>
      <w:r>
        <w:rPr>
          <w:color w:val="383636"/>
          <w:w w:val="110"/>
          <w:sz w:val="21"/>
        </w:rPr>
        <w:t>disclosed</w:t>
      </w:r>
      <w:r>
        <w:rPr>
          <w:color w:val="383636"/>
          <w:spacing w:val="9"/>
          <w:w w:val="110"/>
          <w:sz w:val="21"/>
        </w:rPr>
        <w:t> </w:t>
      </w:r>
      <w:r>
        <w:rPr>
          <w:color w:val="383636"/>
          <w:w w:val="110"/>
          <w:sz w:val="21"/>
        </w:rPr>
        <w:t>by</w:t>
      </w:r>
      <w:r>
        <w:rPr>
          <w:color w:val="383636"/>
          <w:spacing w:val="3"/>
          <w:w w:val="110"/>
          <w:sz w:val="21"/>
        </w:rPr>
        <w:t> </w:t>
      </w:r>
      <w:r>
        <w:rPr>
          <w:color w:val="383636"/>
          <w:w w:val="110"/>
          <w:sz w:val="21"/>
        </w:rPr>
        <w:t>opposing</w:t>
      </w:r>
      <w:r>
        <w:rPr>
          <w:color w:val="383636"/>
          <w:spacing w:val="-6"/>
          <w:w w:val="110"/>
          <w:sz w:val="21"/>
        </w:rPr>
        <w:t> </w:t>
      </w:r>
      <w:r>
        <w:rPr>
          <w:color w:val="383636"/>
          <w:w w:val="110"/>
          <w:sz w:val="21"/>
        </w:rPr>
        <w:t>counsel.</w:t>
      </w:r>
      <w:r>
        <w:rPr>
          <w:color w:val="383636"/>
          <w:spacing w:val="-6"/>
          <w:w w:val="110"/>
          <w:sz w:val="21"/>
        </w:rPr>
        <w:t> </w:t>
      </w:r>
      <w:r>
        <w:rPr>
          <w:color w:val="49494B"/>
          <w:w w:val="110"/>
          <w:sz w:val="21"/>
        </w:rPr>
        <w:t>...</w:t>
      </w:r>
    </w:p>
    <w:p>
      <w:pPr>
        <w:pStyle w:val="BodyText"/>
        <w:spacing w:line="232" w:lineRule="auto" w:before="146"/>
        <w:ind w:left="589" w:right="132" w:firstLine="33"/>
        <w:jc w:val="both"/>
      </w:pPr>
      <w:r>
        <w:rPr>
          <w:color w:val="383636"/>
          <w:w w:val="105"/>
        </w:rPr>
        <w:t>Furthermore,  Rule 46(c) of the  Federal Rules of Appellate Procedure allows</w:t>
      </w:r>
      <w:r>
        <w:rPr>
          <w:color w:val="383636"/>
          <w:spacing w:val="-58"/>
          <w:w w:val="105"/>
        </w:rPr>
        <w:t> </w:t>
      </w:r>
      <w:r>
        <w:rPr>
          <w:color w:val="383636"/>
          <w:w w:val="110"/>
        </w:rPr>
        <w:t>a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court of appeals to discipline attorneys for </w:t>
      </w:r>
      <w:r>
        <w:rPr>
          <w:color w:val="49494B"/>
          <w:w w:val="110"/>
        </w:rPr>
        <w:t>"for </w:t>
      </w:r>
      <w:r>
        <w:rPr>
          <w:color w:val="383636"/>
          <w:w w:val="110"/>
        </w:rPr>
        <w:t>failure to comply with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any</w:t>
      </w:r>
      <w:r>
        <w:rPr>
          <w:color w:val="383636"/>
          <w:spacing w:val="22"/>
          <w:w w:val="110"/>
        </w:rPr>
        <w:t> </w:t>
      </w:r>
      <w:r>
        <w:rPr>
          <w:color w:val="383636"/>
          <w:w w:val="110"/>
        </w:rPr>
        <w:t>court</w:t>
      </w:r>
      <w:r>
        <w:rPr>
          <w:color w:val="383636"/>
          <w:spacing w:val="23"/>
          <w:w w:val="110"/>
        </w:rPr>
        <w:t> </w:t>
      </w:r>
      <w:r>
        <w:rPr>
          <w:color w:val="383636"/>
          <w:w w:val="110"/>
        </w:rPr>
        <w:t>rule,"</w:t>
      </w:r>
      <w:r>
        <w:rPr>
          <w:color w:val="383636"/>
          <w:spacing w:val="9"/>
          <w:w w:val="110"/>
        </w:rPr>
        <w:t> </w:t>
      </w:r>
      <w:r>
        <w:rPr>
          <w:color w:val="383636"/>
          <w:w w:val="110"/>
        </w:rPr>
        <w:t>and</w:t>
      </w:r>
      <w:r>
        <w:rPr>
          <w:color w:val="383636"/>
          <w:spacing w:val="48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40"/>
          <w:w w:val="110"/>
        </w:rPr>
        <w:t> </w:t>
      </w:r>
      <w:r>
        <w:rPr>
          <w:color w:val="383636"/>
          <w:w w:val="110"/>
        </w:rPr>
        <w:t>local</w:t>
      </w:r>
      <w:r>
        <w:rPr>
          <w:color w:val="383636"/>
          <w:spacing w:val="16"/>
          <w:w w:val="110"/>
        </w:rPr>
        <w:t> </w:t>
      </w:r>
      <w:r>
        <w:rPr>
          <w:color w:val="383636"/>
          <w:w w:val="110"/>
        </w:rPr>
        <w:t>rules</w:t>
      </w:r>
      <w:r>
        <w:rPr>
          <w:color w:val="383636"/>
          <w:spacing w:val="17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36"/>
          <w:w w:val="110"/>
        </w:rPr>
        <w:t> </w:t>
      </w:r>
      <w:r>
        <w:rPr>
          <w:color w:val="383636"/>
          <w:w w:val="110"/>
        </w:rPr>
        <w:t>many</w:t>
      </w:r>
      <w:r>
        <w:rPr>
          <w:color w:val="383636"/>
          <w:spacing w:val="18"/>
          <w:w w:val="110"/>
        </w:rPr>
        <w:t> </w:t>
      </w:r>
      <w:r>
        <w:rPr>
          <w:color w:val="383636"/>
          <w:w w:val="110"/>
        </w:rPr>
        <w:t>courts</w:t>
      </w:r>
      <w:r>
        <w:rPr>
          <w:color w:val="383636"/>
          <w:spacing w:val="19"/>
          <w:w w:val="110"/>
        </w:rPr>
        <w:t> </w:t>
      </w:r>
      <w:r>
        <w:rPr>
          <w:color w:val="383636"/>
          <w:w w:val="110"/>
        </w:rPr>
        <w:t>specifically</w:t>
      </w:r>
      <w:r>
        <w:rPr>
          <w:color w:val="383636"/>
          <w:spacing w:val="39"/>
          <w:w w:val="110"/>
        </w:rPr>
        <w:t> </w:t>
      </w:r>
      <w:r>
        <w:rPr>
          <w:color w:val="383636"/>
          <w:w w:val="110"/>
        </w:rPr>
        <w:t>prohibit</w:t>
      </w:r>
    </w:p>
    <w:p>
      <w:pPr>
        <w:spacing w:after="0" w:line="232" w:lineRule="auto"/>
        <w:jc w:val="both"/>
        <w:sectPr>
          <w:headerReference w:type="even" r:id="rId285"/>
          <w:headerReference w:type="default" r:id="rId286"/>
          <w:pgSz w:w="9750" w:h="13980"/>
          <w:pgMar w:header="486" w:footer="0" w:top="1080" w:bottom="280" w:left="1360" w:right="100"/>
          <w:pgNumType w:start="252"/>
        </w:sectPr>
      </w:pPr>
    </w:p>
    <w:p>
      <w:pPr>
        <w:pStyle w:val="BodyText"/>
        <w:spacing w:line="230" w:lineRule="auto" w:before="89"/>
        <w:ind w:left="105" w:right="578" w:firstLine="9"/>
        <w:jc w:val="both"/>
      </w:pPr>
      <w:r>
        <w:rPr>
          <w:color w:val="383638"/>
          <w:w w:val="110"/>
        </w:rPr>
        <w:t>misrepresenting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law or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facts. Furthermore,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Rule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25"/>
          <w:sz w:val="21"/>
        </w:rPr>
        <w:t>ll(b) </w:t>
      </w:r>
      <w:r>
        <w:rPr>
          <w:color w:val="383638"/>
          <w:w w:val="110"/>
        </w:rPr>
        <w:t>of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Federal Rules of Civil Procedure provides that when an attorney presents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a motion, a brief, or any other document to a court, the attorney gives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several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assurances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court,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including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following:</w:t>
      </w:r>
    </w:p>
    <w:p>
      <w:pPr>
        <w:pStyle w:val="ListParagraph"/>
        <w:numPr>
          <w:ilvl w:val="0"/>
          <w:numId w:val="101"/>
        </w:numPr>
        <w:tabs>
          <w:tab w:pos="835" w:val="left" w:leader="none"/>
        </w:tabs>
        <w:spacing w:line="235" w:lineRule="auto" w:before="136" w:after="0"/>
        <w:ind w:left="823" w:right="943" w:hanging="339"/>
        <w:jc w:val="both"/>
        <w:rPr>
          <w:sz w:val="21"/>
        </w:rPr>
      </w:pPr>
      <w:r>
        <w:rPr>
          <w:color w:val="383638"/>
          <w:w w:val="105"/>
          <w:sz w:val="21"/>
        </w:rPr>
        <w:t>it is not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being presented for any improper purpose, such as to harass,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spacing w:val="-1"/>
          <w:w w:val="110"/>
          <w:sz w:val="21"/>
        </w:rPr>
        <w:t>cause unnecessary delay, or needlessly increase the </w:t>
      </w:r>
      <w:r>
        <w:rPr>
          <w:color w:val="383638"/>
          <w:w w:val="110"/>
          <w:sz w:val="21"/>
        </w:rPr>
        <w:t>cost of litigation;</w:t>
      </w:r>
      <w:r>
        <w:rPr>
          <w:color w:val="383638"/>
          <w:spacing w:val="-55"/>
          <w:w w:val="110"/>
          <w:sz w:val="21"/>
        </w:rPr>
        <w:t> </w:t>
      </w:r>
      <w:r>
        <w:rPr>
          <w:color w:val="383638"/>
          <w:w w:val="110"/>
          <w:sz w:val="21"/>
        </w:rPr>
        <w:t>[and]</w:t>
      </w:r>
    </w:p>
    <w:p>
      <w:pPr>
        <w:pStyle w:val="ListParagraph"/>
        <w:numPr>
          <w:ilvl w:val="0"/>
          <w:numId w:val="101"/>
        </w:numPr>
        <w:tabs>
          <w:tab w:pos="839" w:val="left" w:leader="none"/>
        </w:tabs>
        <w:spacing w:line="235" w:lineRule="auto" w:before="3" w:after="0"/>
        <w:ind w:left="832" w:right="941" w:hanging="349"/>
        <w:jc w:val="both"/>
        <w:rPr>
          <w:sz w:val="21"/>
        </w:rPr>
      </w:pPr>
      <w:r>
        <w:rPr>
          <w:color w:val="383638"/>
          <w:w w:val="110"/>
          <w:sz w:val="21"/>
        </w:rPr>
        <w:t>the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claims, defenses, and other legal contentions are warranted by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existing</w:t>
      </w:r>
      <w:r>
        <w:rPr>
          <w:color w:val="383638"/>
          <w:spacing w:val="-27"/>
          <w:w w:val="110"/>
          <w:sz w:val="21"/>
        </w:rPr>
        <w:t> </w:t>
      </w:r>
      <w:r>
        <w:rPr>
          <w:color w:val="383638"/>
          <w:w w:val="110"/>
          <w:sz w:val="21"/>
        </w:rPr>
        <w:t>law</w:t>
      </w:r>
      <w:r>
        <w:rPr>
          <w:color w:val="383638"/>
          <w:spacing w:val="-22"/>
          <w:w w:val="110"/>
          <w:sz w:val="21"/>
        </w:rPr>
        <w:t> </w:t>
      </w:r>
      <w:r>
        <w:rPr>
          <w:color w:val="383638"/>
          <w:w w:val="110"/>
          <w:sz w:val="21"/>
        </w:rPr>
        <w:t>or</w:t>
      </w:r>
      <w:r>
        <w:rPr>
          <w:color w:val="383638"/>
          <w:spacing w:val="3"/>
          <w:w w:val="110"/>
          <w:sz w:val="21"/>
        </w:rPr>
        <w:t> </w:t>
      </w:r>
      <w:r>
        <w:rPr>
          <w:color w:val="383638"/>
          <w:w w:val="110"/>
          <w:sz w:val="21"/>
        </w:rPr>
        <w:t>by</w:t>
      </w:r>
      <w:r>
        <w:rPr>
          <w:color w:val="383638"/>
          <w:spacing w:val="-25"/>
          <w:w w:val="110"/>
          <w:sz w:val="21"/>
        </w:rPr>
        <w:t> </w:t>
      </w:r>
      <w:r>
        <w:rPr>
          <w:color w:val="383638"/>
          <w:w w:val="110"/>
          <w:sz w:val="21"/>
        </w:rPr>
        <w:t>a</w:t>
      </w:r>
      <w:r>
        <w:rPr>
          <w:color w:val="383638"/>
          <w:spacing w:val="3"/>
          <w:w w:val="110"/>
          <w:sz w:val="21"/>
        </w:rPr>
        <w:t> </w:t>
      </w:r>
      <w:r>
        <w:rPr>
          <w:color w:val="383638"/>
          <w:w w:val="110"/>
          <w:sz w:val="21"/>
        </w:rPr>
        <w:t>nonfrivolous</w:t>
      </w:r>
      <w:r>
        <w:rPr>
          <w:color w:val="383638"/>
          <w:spacing w:val="-14"/>
          <w:w w:val="110"/>
          <w:sz w:val="21"/>
        </w:rPr>
        <w:t> </w:t>
      </w:r>
      <w:r>
        <w:rPr>
          <w:color w:val="383638"/>
          <w:w w:val="110"/>
          <w:sz w:val="21"/>
        </w:rPr>
        <w:t>argument</w:t>
      </w:r>
      <w:r>
        <w:rPr>
          <w:color w:val="383638"/>
          <w:spacing w:val="-12"/>
          <w:w w:val="110"/>
          <w:sz w:val="21"/>
        </w:rPr>
        <w:t> </w:t>
      </w:r>
      <w:r>
        <w:rPr>
          <w:color w:val="383638"/>
          <w:w w:val="110"/>
          <w:sz w:val="21"/>
        </w:rPr>
        <w:t>for</w:t>
      </w:r>
      <w:r>
        <w:rPr>
          <w:color w:val="383638"/>
          <w:spacing w:val="-13"/>
          <w:w w:val="110"/>
          <w:sz w:val="21"/>
        </w:rPr>
        <w:t> </w:t>
      </w:r>
      <w:r>
        <w:rPr>
          <w:color w:val="383638"/>
          <w:w w:val="110"/>
          <w:sz w:val="21"/>
        </w:rPr>
        <w:t>extending,</w:t>
      </w:r>
      <w:r>
        <w:rPr>
          <w:color w:val="383638"/>
          <w:spacing w:val="-5"/>
          <w:w w:val="110"/>
          <w:sz w:val="21"/>
        </w:rPr>
        <w:t> </w:t>
      </w:r>
      <w:r>
        <w:rPr>
          <w:color w:val="383638"/>
          <w:w w:val="110"/>
          <w:sz w:val="21"/>
        </w:rPr>
        <w:t>modifying,</w:t>
      </w:r>
      <w:r>
        <w:rPr>
          <w:color w:val="383638"/>
          <w:spacing w:val="-55"/>
          <w:w w:val="110"/>
          <w:sz w:val="21"/>
        </w:rPr>
        <w:t> </w:t>
      </w:r>
      <w:r>
        <w:rPr>
          <w:color w:val="383638"/>
          <w:w w:val="105"/>
          <w:sz w:val="21"/>
        </w:rPr>
        <w:t>or</w:t>
      </w:r>
      <w:r>
        <w:rPr>
          <w:color w:val="383638"/>
          <w:spacing w:val="13"/>
          <w:w w:val="105"/>
          <w:sz w:val="21"/>
        </w:rPr>
        <w:t> </w:t>
      </w:r>
      <w:r>
        <w:rPr>
          <w:color w:val="383638"/>
          <w:w w:val="105"/>
          <w:sz w:val="21"/>
        </w:rPr>
        <w:t>reversing</w:t>
      </w:r>
      <w:r>
        <w:rPr>
          <w:color w:val="383638"/>
          <w:spacing w:val="-3"/>
          <w:w w:val="105"/>
          <w:sz w:val="21"/>
        </w:rPr>
        <w:t> </w:t>
      </w:r>
      <w:r>
        <w:rPr>
          <w:color w:val="383638"/>
          <w:w w:val="105"/>
          <w:sz w:val="21"/>
        </w:rPr>
        <w:t>existing law</w:t>
      </w:r>
      <w:r>
        <w:rPr>
          <w:color w:val="383638"/>
          <w:spacing w:val="-10"/>
          <w:w w:val="105"/>
          <w:sz w:val="21"/>
        </w:rPr>
        <w:t> </w:t>
      </w:r>
      <w:r>
        <w:rPr>
          <w:color w:val="383638"/>
          <w:w w:val="105"/>
          <w:sz w:val="21"/>
        </w:rPr>
        <w:t>or</w:t>
      </w:r>
      <w:r>
        <w:rPr>
          <w:color w:val="383638"/>
          <w:spacing w:val="13"/>
          <w:w w:val="105"/>
          <w:sz w:val="21"/>
        </w:rPr>
        <w:t> </w:t>
      </w:r>
      <w:r>
        <w:rPr>
          <w:color w:val="383638"/>
          <w:w w:val="105"/>
          <w:sz w:val="21"/>
        </w:rPr>
        <w:t>for</w:t>
      </w:r>
      <w:r>
        <w:rPr>
          <w:color w:val="383638"/>
          <w:spacing w:val="6"/>
          <w:w w:val="105"/>
          <w:sz w:val="21"/>
        </w:rPr>
        <w:t> </w:t>
      </w:r>
      <w:r>
        <w:rPr>
          <w:color w:val="383638"/>
          <w:w w:val="105"/>
          <w:sz w:val="21"/>
        </w:rPr>
        <w:t>establishing</w:t>
      </w:r>
      <w:r>
        <w:rPr>
          <w:color w:val="383638"/>
          <w:spacing w:val="16"/>
          <w:w w:val="105"/>
          <w:sz w:val="21"/>
        </w:rPr>
        <w:t> </w:t>
      </w:r>
      <w:r>
        <w:rPr>
          <w:color w:val="383638"/>
          <w:w w:val="105"/>
          <w:sz w:val="21"/>
        </w:rPr>
        <w:t>new law.</w:t>
      </w:r>
    </w:p>
    <w:p>
      <w:pPr>
        <w:pStyle w:val="BodyText"/>
        <w:spacing w:line="262" w:lineRule="exact" w:before="144"/>
        <w:ind w:left="127"/>
        <w:rPr>
          <w:sz w:val="13"/>
        </w:rPr>
      </w:pPr>
      <w:r>
        <w:rPr>
          <w:color w:val="383638"/>
          <w:spacing w:val="-1"/>
          <w:w w:val="110"/>
        </w:rPr>
        <w:t>Courts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will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sanction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counsel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misrepresentations</w:t>
      </w:r>
      <w:r>
        <w:rPr>
          <w:color w:val="383638"/>
          <w:spacing w:val="-27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law and</w:t>
      </w:r>
      <w:r>
        <w:rPr>
          <w:color w:val="383638"/>
          <w:spacing w:val="40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  <w:sz w:val="22"/>
        </w:rPr>
        <w:t>fact.</w:t>
      </w:r>
      <w:r>
        <w:rPr>
          <w:color w:val="383638"/>
          <w:w w:val="110"/>
          <w:position w:val="7"/>
          <w:sz w:val="13"/>
        </w:rPr>
        <w:t>1</w:t>
      </w:r>
    </w:p>
    <w:p>
      <w:pPr>
        <w:pStyle w:val="BodyText"/>
        <w:tabs>
          <w:tab w:pos="6703" w:val="left" w:leader="none"/>
        </w:tabs>
        <w:spacing w:line="232" w:lineRule="auto" w:before="4"/>
        <w:ind w:left="128" w:right="479" w:firstLine="309"/>
        <w:rPr>
          <w:rFonts w:ascii="Arial" w:hAnsi="Arial"/>
          <w:sz w:val="12"/>
        </w:rPr>
      </w:pPr>
      <w:r>
        <w:rPr>
          <w:color w:val="383638"/>
          <w:w w:val="110"/>
        </w:rPr>
        <w:t>The second reason not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lie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court is that it hurts your credibil­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  <w:sz w:val="22"/>
        </w:rPr>
        <w:t>ity. </w:t>
      </w:r>
      <w:r>
        <w:rPr>
          <w:color w:val="383638"/>
          <w:w w:val="110"/>
        </w:rPr>
        <w:t>After an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academic life filled with anonymous grading, many law stu­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dents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forget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practice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law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not</w:t>
      </w:r>
      <w:r>
        <w:rPr>
          <w:color w:val="383638"/>
          <w:spacing w:val="49"/>
          <w:w w:val="110"/>
        </w:rPr>
        <w:t> </w:t>
      </w:r>
      <w:r>
        <w:rPr>
          <w:color w:val="383638"/>
          <w:w w:val="110"/>
        </w:rPr>
        <w:t>anonymous.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Judges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remember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attorneys who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have lied to them, and so an attorney's credibility with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court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valuable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asset.</w:t>
      </w:r>
      <w:r>
        <w:rPr>
          <w:color w:val="383638"/>
          <w:spacing w:val="-24"/>
          <w:w w:val="110"/>
        </w:rPr>
        <w:t> </w:t>
      </w:r>
      <w:r>
        <w:rPr>
          <w:color w:val="383638"/>
          <w:w w:val="110"/>
        </w:rPr>
        <w:t>Judge Parker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notes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that an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attorney's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clients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suf­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fer from the attorney's </w:t>
      </w:r>
      <w:r>
        <w:rPr>
          <w:color w:val="383638"/>
          <w:w w:val="110"/>
        </w:rPr>
        <w:t>loss of credibility, because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loss "ultimately ...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inhibits</w:t>
      </w:r>
      <w:r>
        <w:rPr>
          <w:color w:val="383638"/>
          <w:spacing w:val="3"/>
          <w:w w:val="115"/>
        </w:rPr>
        <w:t> </w:t>
      </w:r>
      <w:r>
        <w:rPr>
          <w:color w:val="383638"/>
          <w:w w:val="115"/>
        </w:rPr>
        <w:t>that advocate's</w:t>
      </w:r>
      <w:r>
        <w:rPr>
          <w:color w:val="383638"/>
          <w:spacing w:val="4"/>
          <w:w w:val="115"/>
        </w:rPr>
        <w:t> </w:t>
      </w:r>
      <w:r>
        <w:rPr>
          <w:color w:val="383638"/>
          <w:w w:val="115"/>
        </w:rPr>
        <w:t>ability</w:t>
      </w:r>
      <w:r>
        <w:rPr>
          <w:color w:val="383638"/>
          <w:spacing w:val="-2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18"/>
          <w:w w:val="115"/>
        </w:rPr>
        <w:t> </w:t>
      </w:r>
      <w:r>
        <w:rPr>
          <w:color w:val="383638"/>
          <w:w w:val="115"/>
        </w:rPr>
        <w:t>persuade."</w:t>
      </w:r>
      <w:r>
        <w:rPr>
          <w:rFonts w:ascii="Arial" w:hAnsi="Arial"/>
          <w:color w:val="383638"/>
          <w:w w:val="115"/>
          <w:vertAlign w:val="superscript"/>
        </w:rPr>
        <w:t>2</w:t>
      </w:r>
      <w:r>
        <w:rPr>
          <w:rFonts w:ascii="Arial" w:hAnsi="Arial"/>
          <w:color w:val="383638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In</w:t>
      </w:r>
      <w:r>
        <w:rPr>
          <w:color w:val="383638"/>
          <w:spacing w:val="15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contrast,</w:t>
      </w:r>
      <w:r>
        <w:rPr>
          <w:color w:val="383638"/>
          <w:spacing w:val="1"/>
          <w:w w:val="115"/>
          <w:vertAlign w:val="baseline"/>
        </w:rPr>
        <w:t> </w:t>
      </w:r>
      <w:r>
        <w:rPr>
          <w:color w:val="383638"/>
          <w:w w:val="115"/>
          <w:sz w:val="21"/>
          <w:vertAlign w:val="baseline"/>
        </w:rPr>
        <w:t>if</w:t>
      </w:r>
      <w:r>
        <w:rPr>
          <w:color w:val="383638"/>
          <w:spacing w:val="6"/>
          <w:w w:val="115"/>
          <w:sz w:val="21"/>
          <w:vertAlign w:val="baseline"/>
        </w:rPr>
        <w:t> </w:t>
      </w:r>
      <w:r>
        <w:rPr>
          <w:color w:val="383638"/>
          <w:w w:val="115"/>
          <w:vertAlign w:val="baseline"/>
        </w:rPr>
        <w:t>you</w:t>
      </w:r>
      <w:r>
        <w:rPr>
          <w:color w:val="383638"/>
          <w:spacing w:val="-3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write</w:t>
      </w:r>
      <w:r>
        <w:rPr>
          <w:color w:val="383638"/>
          <w:spacing w:val="-14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a</w:t>
      </w:r>
      <w:r>
        <w:rPr>
          <w:color w:val="383638"/>
          <w:spacing w:val="-63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strong,</w:t>
      </w:r>
      <w:r>
        <w:rPr>
          <w:color w:val="383638"/>
          <w:spacing w:val="17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reliable</w:t>
      </w:r>
      <w:r>
        <w:rPr>
          <w:color w:val="383638"/>
          <w:spacing w:val="11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brief,</w:t>
      </w:r>
      <w:r>
        <w:rPr>
          <w:color w:val="383638"/>
          <w:spacing w:val="12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you</w:t>
      </w:r>
      <w:r>
        <w:rPr>
          <w:color w:val="383638"/>
          <w:spacing w:val="28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help</w:t>
      </w:r>
      <w:r>
        <w:rPr>
          <w:color w:val="383638"/>
          <w:spacing w:val="7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not</w:t>
      </w:r>
      <w:r>
        <w:rPr>
          <w:color w:val="383638"/>
          <w:spacing w:val="12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only</w:t>
      </w:r>
      <w:r>
        <w:rPr>
          <w:color w:val="383638"/>
          <w:spacing w:val="1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your</w:t>
      </w:r>
      <w:r>
        <w:rPr>
          <w:color w:val="383638"/>
          <w:spacing w:val="9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current</w:t>
      </w:r>
      <w:r>
        <w:rPr>
          <w:color w:val="383638"/>
          <w:spacing w:val="15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client,</w:t>
      </w:r>
      <w:r>
        <w:rPr>
          <w:color w:val="383638"/>
          <w:spacing w:val="16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but</w:t>
      </w:r>
      <w:r>
        <w:rPr>
          <w:color w:val="383638"/>
          <w:spacing w:val="23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future</w:t>
      </w:r>
      <w:r>
        <w:rPr>
          <w:color w:val="383638"/>
          <w:spacing w:val="-63"/>
          <w:w w:val="115"/>
          <w:vertAlign w:val="baseline"/>
        </w:rPr>
        <w:t> </w:t>
      </w:r>
      <w:r>
        <w:rPr>
          <w:color w:val="383638"/>
          <w:spacing w:val="-1"/>
          <w:w w:val="115"/>
          <w:vertAlign w:val="baseline"/>
        </w:rPr>
        <w:t>clients</w:t>
      </w:r>
      <w:r>
        <w:rPr>
          <w:color w:val="383638"/>
          <w:spacing w:val="-23"/>
          <w:w w:val="115"/>
          <w:vertAlign w:val="baseline"/>
        </w:rPr>
        <w:t> </w:t>
      </w:r>
      <w:r>
        <w:rPr>
          <w:color w:val="383638"/>
          <w:spacing w:val="-1"/>
          <w:w w:val="115"/>
          <w:vertAlign w:val="baseline"/>
        </w:rPr>
        <w:t>as</w:t>
      </w:r>
      <w:r>
        <w:rPr>
          <w:color w:val="383638"/>
          <w:spacing w:val="-11"/>
          <w:w w:val="115"/>
          <w:vertAlign w:val="baseline"/>
        </w:rPr>
        <w:t> </w:t>
      </w:r>
      <w:r>
        <w:rPr>
          <w:color w:val="383638"/>
          <w:spacing w:val="-1"/>
          <w:w w:val="115"/>
          <w:vertAlign w:val="baseline"/>
        </w:rPr>
        <w:t>well.</w:t>
      </w:r>
      <w:r>
        <w:rPr>
          <w:color w:val="383638"/>
          <w:spacing w:val="-40"/>
          <w:w w:val="115"/>
          <w:vertAlign w:val="baseline"/>
        </w:rPr>
        <w:t> </w:t>
      </w:r>
      <w:r>
        <w:rPr>
          <w:color w:val="383638"/>
          <w:spacing w:val="-1"/>
          <w:w w:val="115"/>
          <w:vertAlign w:val="baseline"/>
        </w:rPr>
        <w:t>Judge</w:t>
      </w:r>
      <w:r>
        <w:rPr>
          <w:color w:val="383638"/>
          <w:spacing w:val="-18"/>
          <w:w w:val="115"/>
          <w:vertAlign w:val="baseline"/>
        </w:rPr>
        <w:t> </w:t>
      </w:r>
      <w:r>
        <w:rPr>
          <w:color w:val="383638"/>
          <w:spacing w:val="-1"/>
          <w:w w:val="115"/>
          <w:vertAlign w:val="baseline"/>
        </w:rPr>
        <w:t>Duncan</w:t>
      </w:r>
      <w:r>
        <w:rPr>
          <w:color w:val="383638"/>
          <w:spacing w:val="-14"/>
          <w:w w:val="115"/>
          <w:vertAlign w:val="baseline"/>
        </w:rPr>
        <w:t> </w:t>
      </w:r>
      <w:r>
        <w:rPr>
          <w:color w:val="383638"/>
          <w:spacing w:val="-1"/>
          <w:w w:val="115"/>
          <w:vertAlign w:val="baseline"/>
        </w:rPr>
        <w:t>notes</w:t>
      </w:r>
      <w:r>
        <w:rPr>
          <w:color w:val="383638"/>
          <w:spacing w:val="-21"/>
          <w:w w:val="115"/>
          <w:vertAlign w:val="baseline"/>
        </w:rPr>
        <w:t> </w:t>
      </w:r>
      <w:r>
        <w:rPr>
          <w:color w:val="383638"/>
          <w:spacing w:val="-1"/>
          <w:w w:val="115"/>
          <w:vertAlign w:val="baseline"/>
        </w:rPr>
        <w:t>that</w:t>
      </w:r>
      <w:r>
        <w:rPr>
          <w:color w:val="383638"/>
          <w:spacing w:val="-16"/>
          <w:w w:val="115"/>
          <w:vertAlign w:val="baseline"/>
        </w:rPr>
        <w:t> </w:t>
      </w:r>
      <w:r>
        <w:rPr>
          <w:color w:val="383638"/>
          <w:spacing w:val="-1"/>
          <w:w w:val="115"/>
          <w:vertAlign w:val="baseline"/>
        </w:rPr>
        <w:t>"a</w:t>
      </w:r>
      <w:r>
        <w:rPr>
          <w:color w:val="383638"/>
          <w:spacing w:val="-27"/>
          <w:w w:val="115"/>
          <w:vertAlign w:val="baseline"/>
        </w:rPr>
        <w:t> </w:t>
      </w:r>
      <w:r>
        <w:rPr>
          <w:color w:val="383638"/>
          <w:spacing w:val="-1"/>
          <w:w w:val="115"/>
          <w:vertAlign w:val="baseline"/>
        </w:rPr>
        <w:t>Quality</w:t>
      </w:r>
      <w:r>
        <w:rPr>
          <w:color w:val="383638"/>
          <w:spacing w:val="-14"/>
          <w:w w:val="115"/>
          <w:vertAlign w:val="baseline"/>
        </w:rPr>
        <w:t> </w:t>
      </w:r>
      <w:r>
        <w:rPr>
          <w:color w:val="383638"/>
          <w:w w:val="120"/>
          <w:vertAlign w:val="baseline"/>
        </w:rPr>
        <w:t>brief-that</w:t>
      </w:r>
      <w:r>
        <w:rPr>
          <w:color w:val="383638"/>
          <w:spacing w:val="-10"/>
          <w:w w:val="120"/>
          <w:vertAlign w:val="baseline"/>
        </w:rPr>
        <w:t> </w:t>
      </w:r>
      <w:r>
        <w:rPr>
          <w:color w:val="383638"/>
          <w:w w:val="115"/>
          <w:vertAlign w:val="baseline"/>
        </w:rPr>
        <w:t>is,</w:t>
      </w:r>
      <w:r>
        <w:rPr>
          <w:color w:val="383638"/>
          <w:spacing w:val="-27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one</w:t>
      </w:r>
      <w:r>
        <w:rPr>
          <w:color w:val="383638"/>
          <w:spacing w:val="23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that</w:t>
      </w:r>
      <w:r>
        <w:rPr>
          <w:color w:val="383638"/>
          <w:spacing w:val="1"/>
          <w:w w:val="115"/>
          <w:vertAlign w:val="baseline"/>
        </w:rPr>
        <w:t> </w:t>
      </w:r>
      <w:r>
        <w:rPr>
          <w:color w:val="383638"/>
          <w:w w:val="110"/>
          <w:vertAlign w:val="baseline"/>
        </w:rPr>
        <w:t>is</w:t>
      </w:r>
      <w:r>
        <w:rPr>
          <w:color w:val="383638"/>
          <w:spacing w:val="-14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accurate,</w:t>
      </w:r>
      <w:r>
        <w:rPr>
          <w:color w:val="383638"/>
          <w:spacing w:val="25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concise,</w:t>
      </w:r>
      <w:r>
        <w:rPr>
          <w:color w:val="383638"/>
          <w:spacing w:val="19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and</w:t>
      </w:r>
      <w:r>
        <w:rPr>
          <w:color w:val="383638"/>
          <w:spacing w:val="46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logically</w:t>
      </w:r>
      <w:r>
        <w:rPr>
          <w:color w:val="383638"/>
          <w:spacing w:val="1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analyzed</w:t>
      </w:r>
      <w:r>
        <w:rPr>
          <w:color w:val="383638"/>
          <w:spacing w:val="15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and</w:t>
      </w:r>
      <w:r>
        <w:rPr>
          <w:color w:val="383638"/>
          <w:spacing w:val="34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organized</w:t>
      </w:r>
      <w:r>
        <w:rPr>
          <w:color w:val="383638"/>
          <w:spacing w:val="27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...</w:t>
        <w:tab/>
      </w:r>
      <w:r>
        <w:rPr>
          <w:color w:val="383638"/>
          <w:w w:val="115"/>
          <w:vertAlign w:val="baseline"/>
        </w:rPr>
        <w:t>not</w:t>
      </w:r>
      <w:r>
        <w:rPr>
          <w:color w:val="383638"/>
          <w:spacing w:val="1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only</w:t>
      </w:r>
      <w:r>
        <w:rPr>
          <w:color w:val="383638"/>
          <w:spacing w:val="-64"/>
          <w:w w:val="115"/>
          <w:vertAlign w:val="baseline"/>
        </w:rPr>
        <w:t> </w:t>
      </w:r>
      <w:r>
        <w:rPr>
          <w:color w:val="383638"/>
          <w:w w:val="110"/>
          <w:vertAlign w:val="baseline"/>
        </w:rPr>
        <w:t>increases a lawyer's chance of winning an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appeal, but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(more important in</w:t>
      </w:r>
      <w:r>
        <w:rPr>
          <w:color w:val="383638"/>
          <w:spacing w:val="-61"/>
          <w:w w:val="110"/>
          <w:vertAlign w:val="baseline"/>
        </w:rPr>
        <w:t> </w:t>
      </w:r>
      <w:r>
        <w:rPr>
          <w:color w:val="383638"/>
          <w:w w:val="115"/>
          <w:vertAlign w:val="baseline"/>
        </w:rPr>
        <w:t>the</w:t>
      </w:r>
      <w:r>
        <w:rPr>
          <w:color w:val="383638"/>
          <w:spacing w:val="-16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long</w:t>
      </w:r>
      <w:r>
        <w:rPr>
          <w:color w:val="383638"/>
          <w:spacing w:val="-6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run)</w:t>
      </w:r>
      <w:r>
        <w:rPr>
          <w:color w:val="383638"/>
          <w:spacing w:val="4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transforms</w:t>
      </w:r>
      <w:r>
        <w:rPr>
          <w:color w:val="383638"/>
          <w:spacing w:val="12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that</w:t>
      </w:r>
      <w:r>
        <w:rPr>
          <w:color w:val="383638"/>
          <w:spacing w:val="1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lawyer</w:t>
      </w:r>
      <w:r>
        <w:rPr>
          <w:color w:val="383638"/>
          <w:spacing w:val="10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into</w:t>
      </w:r>
      <w:r>
        <w:rPr>
          <w:color w:val="383638"/>
          <w:spacing w:val="-3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becoming</w:t>
      </w:r>
      <w:r>
        <w:rPr>
          <w:color w:val="383638"/>
          <w:spacing w:val="3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a</w:t>
      </w:r>
      <w:r>
        <w:rPr>
          <w:color w:val="383638"/>
          <w:spacing w:val="9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permanent</w:t>
      </w:r>
      <w:r>
        <w:rPr>
          <w:color w:val="383638"/>
          <w:spacing w:val="-2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friend</w:t>
      </w:r>
      <w:r>
        <w:rPr>
          <w:color w:val="383638"/>
          <w:spacing w:val="-64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of</w:t>
      </w:r>
      <w:r>
        <w:rPr>
          <w:color w:val="383638"/>
          <w:spacing w:val="-7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the</w:t>
      </w:r>
      <w:r>
        <w:rPr>
          <w:color w:val="383638"/>
          <w:spacing w:val="26"/>
          <w:w w:val="115"/>
          <w:vertAlign w:val="baseline"/>
        </w:rPr>
        <w:t> </w:t>
      </w:r>
      <w:r>
        <w:rPr>
          <w:color w:val="383638"/>
          <w:w w:val="115"/>
          <w:vertAlign w:val="baseline"/>
        </w:rPr>
        <w:t>court."</w:t>
      </w:r>
      <w:r>
        <w:rPr>
          <w:rFonts w:ascii="Arial" w:hAnsi="Arial"/>
          <w:color w:val="383638"/>
          <w:w w:val="115"/>
          <w:position w:val="11"/>
          <w:sz w:val="12"/>
          <w:vertAlign w:val="baseline"/>
        </w:rPr>
        <w:t>3</w:t>
      </w:r>
    </w:p>
    <w:p>
      <w:pPr>
        <w:pStyle w:val="BodyText"/>
        <w:spacing w:line="235" w:lineRule="auto"/>
        <w:ind w:left="162" w:right="479" w:firstLine="286"/>
      </w:pPr>
      <w:r>
        <w:rPr>
          <w:color w:val="383638"/>
          <w:w w:val="110"/>
        </w:rPr>
        <w:t>Judge</w:t>
      </w:r>
      <w:r>
        <w:rPr>
          <w:color w:val="383638"/>
          <w:spacing w:val="-34"/>
          <w:w w:val="110"/>
        </w:rPr>
        <w:t> </w:t>
      </w:r>
      <w:r>
        <w:rPr>
          <w:color w:val="383638"/>
          <w:w w:val="110"/>
        </w:rPr>
        <w:t>Saufley</w:t>
      </w:r>
      <w:r>
        <w:rPr>
          <w:color w:val="383638"/>
          <w:spacing w:val="-28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Maine</w:t>
      </w:r>
      <w:r>
        <w:rPr>
          <w:color w:val="383638"/>
          <w:spacing w:val="-34"/>
          <w:w w:val="110"/>
        </w:rPr>
        <w:t> </w:t>
      </w:r>
      <w:r>
        <w:rPr>
          <w:color w:val="383638"/>
          <w:w w:val="110"/>
        </w:rPr>
        <w:t>Supreme</w:t>
      </w:r>
      <w:r>
        <w:rPr>
          <w:color w:val="383638"/>
          <w:spacing w:val="-28"/>
          <w:w w:val="110"/>
        </w:rPr>
        <w:t> </w:t>
      </w:r>
      <w:r>
        <w:rPr>
          <w:color w:val="383638"/>
          <w:w w:val="110"/>
        </w:rPr>
        <w:t>Judicial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Court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warns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attorneys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not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-36"/>
          <w:w w:val="110"/>
        </w:rPr>
        <w:t> </w:t>
      </w:r>
      <w:r>
        <w:rPr>
          <w:color w:val="383638"/>
          <w:w w:val="110"/>
        </w:rPr>
        <w:t>"squander"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their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credibility:</w:t>
      </w:r>
    </w:p>
    <w:p>
      <w:pPr>
        <w:spacing w:line="230" w:lineRule="auto" w:before="138"/>
        <w:ind w:left="473" w:right="825" w:firstLine="6"/>
        <w:jc w:val="both"/>
        <w:rPr>
          <w:sz w:val="22"/>
        </w:rPr>
      </w:pPr>
      <w:r>
        <w:rPr>
          <w:color w:val="383638"/>
          <w:w w:val="110"/>
          <w:sz w:val="21"/>
        </w:rPr>
        <w:t>Do not ever misquote cases or the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record. Be absolutely vigilant about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05"/>
          <w:sz w:val="21"/>
        </w:rPr>
        <w:t>such practices in your office. Failure to do so may lose much for your cli­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10"/>
          <w:sz w:val="21"/>
        </w:rPr>
        <w:t>ents</w:t>
      </w:r>
      <w:r>
        <w:rPr>
          <w:color w:val="383638"/>
          <w:spacing w:val="-19"/>
          <w:w w:val="110"/>
          <w:sz w:val="21"/>
        </w:rPr>
        <w:t> </w:t>
      </w:r>
      <w:r>
        <w:rPr>
          <w:color w:val="383638"/>
          <w:w w:val="110"/>
          <w:sz w:val="21"/>
        </w:rPr>
        <w:t>and</w:t>
      </w:r>
      <w:r>
        <w:rPr>
          <w:color w:val="383638"/>
          <w:spacing w:val="7"/>
          <w:w w:val="110"/>
          <w:sz w:val="21"/>
        </w:rPr>
        <w:t> </w:t>
      </w:r>
      <w:r>
        <w:rPr>
          <w:color w:val="383638"/>
          <w:w w:val="110"/>
          <w:sz w:val="21"/>
        </w:rPr>
        <w:t>your</w:t>
      </w:r>
      <w:r>
        <w:rPr>
          <w:color w:val="383638"/>
          <w:spacing w:val="8"/>
          <w:w w:val="110"/>
          <w:sz w:val="21"/>
        </w:rPr>
        <w:t> </w:t>
      </w:r>
      <w:r>
        <w:rPr>
          <w:color w:val="383638"/>
          <w:w w:val="110"/>
          <w:sz w:val="21"/>
        </w:rPr>
        <w:t>reputation.</w:t>
      </w:r>
      <w:r>
        <w:rPr>
          <w:color w:val="383638"/>
          <w:spacing w:val="-7"/>
          <w:w w:val="110"/>
          <w:sz w:val="21"/>
        </w:rPr>
        <w:t> </w:t>
      </w:r>
      <w:r>
        <w:rPr>
          <w:color w:val="383638"/>
          <w:w w:val="110"/>
          <w:sz w:val="21"/>
        </w:rPr>
        <w:t>It</w:t>
      </w:r>
      <w:r>
        <w:rPr>
          <w:color w:val="383638"/>
          <w:spacing w:val="-4"/>
          <w:w w:val="110"/>
          <w:sz w:val="21"/>
        </w:rPr>
        <w:t> </w:t>
      </w:r>
      <w:r>
        <w:rPr>
          <w:color w:val="383638"/>
          <w:w w:val="110"/>
          <w:sz w:val="21"/>
        </w:rPr>
        <w:t>is</w:t>
      </w:r>
      <w:r>
        <w:rPr>
          <w:color w:val="383638"/>
          <w:spacing w:val="-11"/>
          <w:w w:val="110"/>
          <w:sz w:val="21"/>
        </w:rPr>
        <w:t> </w:t>
      </w:r>
      <w:r>
        <w:rPr>
          <w:color w:val="383638"/>
          <w:w w:val="110"/>
          <w:sz w:val="21"/>
        </w:rPr>
        <w:t>never</w:t>
      </w:r>
      <w:r>
        <w:rPr>
          <w:color w:val="383638"/>
          <w:spacing w:val="-8"/>
          <w:w w:val="110"/>
          <w:sz w:val="21"/>
        </w:rPr>
        <w:t> </w:t>
      </w:r>
      <w:r>
        <w:rPr>
          <w:color w:val="383638"/>
          <w:w w:val="110"/>
          <w:sz w:val="21"/>
        </w:rPr>
        <w:t>worth</w:t>
      </w:r>
      <w:r>
        <w:rPr>
          <w:color w:val="383638"/>
          <w:spacing w:val="4"/>
          <w:w w:val="110"/>
          <w:sz w:val="21"/>
        </w:rPr>
        <w:t> </w:t>
      </w:r>
      <w:r>
        <w:rPr>
          <w:color w:val="383638"/>
          <w:w w:val="110"/>
          <w:sz w:val="22"/>
        </w:rPr>
        <w:t>it.4</w:t>
      </w:r>
    </w:p>
    <w:p>
      <w:pPr>
        <w:pStyle w:val="BodyText"/>
        <w:spacing w:line="235" w:lineRule="auto" w:before="138"/>
        <w:ind w:left="163" w:right="389" w:firstLine="327"/>
        <w:jc w:val="both"/>
      </w:pPr>
      <w:r>
        <w:rPr>
          <w:color w:val="383638"/>
          <w:w w:val="110"/>
        </w:rPr>
        <w:t>Another "persuasive" tactic that usually fails is an attack on opposing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counsel or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judges in the court(s) below. Because law students do not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usually fall into this trap, given their hypothetical cases and clients, law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school may be the best time to learn that judges are not persuaded by ad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hominem arguments. Judge Pregerson notes that attorneys injure them­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selves</w:t>
      </w:r>
      <w:r>
        <w:rPr>
          <w:color w:val="383638"/>
          <w:spacing w:val="-26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th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ir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clients'</w:t>
      </w:r>
      <w:r>
        <w:rPr>
          <w:color w:val="383638"/>
          <w:spacing w:val="-22"/>
          <w:w w:val="110"/>
        </w:rPr>
        <w:t> </w:t>
      </w:r>
      <w:r>
        <w:rPr>
          <w:color w:val="383638"/>
          <w:w w:val="110"/>
        </w:rPr>
        <w:t>cases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if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they</w:t>
      </w:r>
      <w:r>
        <w:rPr>
          <w:color w:val="383638"/>
          <w:spacing w:val="-21"/>
          <w:w w:val="110"/>
        </w:rPr>
        <w:t> </w:t>
      </w:r>
      <w:r>
        <w:rPr>
          <w:color w:val="383638"/>
          <w:w w:val="110"/>
        </w:rPr>
        <w:t>"vilify</w:t>
      </w:r>
      <w:r>
        <w:rPr>
          <w:color w:val="383638"/>
          <w:spacing w:val="-22"/>
          <w:w w:val="110"/>
        </w:rPr>
        <w:t> </w:t>
      </w:r>
      <w:r>
        <w:rPr>
          <w:color w:val="383638"/>
          <w:w w:val="110"/>
        </w:rPr>
        <w:t>or belittle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[their]</w:t>
      </w:r>
      <w:r>
        <w:rPr>
          <w:color w:val="383638"/>
          <w:spacing w:val="-26"/>
          <w:w w:val="110"/>
        </w:rPr>
        <w:t> </w:t>
      </w:r>
      <w:r>
        <w:rPr>
          <w:color w:val="383638"/>
          <w:w w:val="125"/>
        </w:rPr>
        <w:t>opponents....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</w:pPr>
    </w:p>
    <w:p>
      <w:pPr>
        <w:spacing w:line="228" w:lineRule="auto" w:before="0"/>
        <w:ind w:left="202" w:right="0" w:firstLine="297"/>
        <w:jc w:val="left"/>
        <w:rPr>
          <w:sz w:val="17"/>
        </w:rPr>
      </w:pPr>
      <w:r>
        <w:rPr>
          <w:color w:val="383638"/>
          <w:spacing w:val="-40"/>
          <w:w w:val="197"/>
          <w:position w:val="4"/>
          <w:sz w:val="11"/>
        </w:rPr>
        <w:t>1</w:t>
      </w:r>
      <w:r>
        <w:rPr>
          <w:i/>
          <w:color w:val="383638"/>
          <w:w w:val="93"/>
          <w:sz w:val="17"/>
        </w:rPr>
        <w:t>See</w:t>
      </w:r>
      <w:r>
        <w:rPr>
          <w:i/>
          <w:color w:val="383638"/>
          <w:spacing w:val="-16"/>
          <w:sz w:val="17"/>
        </w:rPr>
        <w:t> </w:t>
      </w:r>
      <w:r>
        <w:rPr>
          <w:i/>
          <w:color w:val="383638"/>
          <w:w w:val="102"/>
          <w:sz w:val="17"/>
        </w:rPr>
        <w:t>generally</w:t>
      </w:r>
      <w:r>
        <w:rPr>
          <w:i/>
          <w:color w:val="383638"/>
          <w:spacing w:val="5"/>
          <w:sz w:val="17"/>
        </w:rPr>
        <w:t> </w:t>
      </w:r>
      <w:r>
        <w:rPr>
          <w:color w:val="383638"/>
          <w:spacing w:val="-1"/>
          <w:w w:val="113"/>
          <w:sz w:val="17"/>
        </w:rPr>
        <w:t>Raymon</w:t>
      </w:r>
      <w:r>
        <w:rPr>
          <w:color w:val="383638"/>
          <w:w w:val="113"/>
          <w:sz w:val="17"/>
        </w:rPr>
        <w:t>d</w:t>
      </w:r>
      <w:r>
        <w:rPr>
          <w:color w:val="383638"/>
          <w:spacing w:val="-4"/>
          <w:sz w:val="17"/>
        </w:rPr>
        <w:t> </w:t>
      </w:r>
      <w:r>
        <w:rPr>
          <w:color w:val="383638"/>
          <w:spacing w:val="-1"/>
          <w:w w:val="113"/>
          <w:sz w:val="17"/>
        </w:rPr>
        <w:t>T</w:t>
      </w:r>
      <w:r>
        <w:rPr>
          <w:color w:val="383638"/>
          <w:w w:val="113"/>
          <w:sz w:val="17"/>
        </w:rPr>
        <w:t>.</w:t>
      </w:r>
      <w:r>
        <w:rPr>
          <w:color w:val="383638"/>
          <w:spacing w:val="5"/>
          <w:sz w:val="17"/>
        </w:rPr>
        <w:t> </w:t>
      </w:r>
      <w:r>
        <w:rPr>
          <w:color w:val="383638"/>
          <w:spacing w:val="-1"/>
          <w:w w:val="110"/>
          <w:sz w:val="17"/>
        </w:rPr>
        <w:t>Elllgett</w:t>
      </w:r>
      <w:r>
        <w:rPr>
          <w:color w:val="383638"/>
          <w:w w:val="110"/>
          <w:sz w:val="17"/>
        </w:rPr>
        <w:t>,</w:t>
      </w:r>
      <w:r>
        <w:rPr>
          <w:color w:val="383638"/>
          <w:spacing w:val="-16"/>
          <w:sz w:val="17"/>
        </w:rPr>
        <w:t> </w:t>
      </w:r>
      <w:r>
        <w:rPr>
          <w:color w:val="383638"/>
          <w:spacing w:val="-1"/>
          <w:w w:val="102"/>
          <w:sz w:val="20"/>
        </w:rPr>
        <w:t>Jr</w:t>
      </w:r>
      <w:r>
        <w:rPr>
          <w:color w:val="383638"/>
          <w:w w:val="102"/>
          <w:sz w:val="20"/>
        </w:rPr>
        <w:t>.</w:t>
      </w:r>
      <w:r>
        <w:rPr>
          <w:color w:val="383638"/>
          <w:spacing w:val="-20"/>
          <w:sz w:val="20"/>
        </w:rPr>
        <w:t> </w:t>
      </w:r>
      <w:r>
        <w:rPr>
          <w:color w:val="383638"/>
          <w:w w:val="102"/>
          <w:sz w:val="17"/>
        </w:rPr>
        <w:t>&amp;</w:t>
      </w:r>
      <w:r>
        <w:rPr>
          <w:color w:val="383638"/>
          <w:spacing w:val="-2"/>
          <w:sz w:val="17"/>
        </w:rPr>
        <w:t> </w:t>
      </w:r>
      <w:r>
        <w:rPr>
          <w:color w:val="383638"/>
          <w:spacing w:val="-1"/>
          <w:w w:val="125"/>
          <w:sz w:val="17"/>
        </w:rPr>
        <w:t>Joh</w:t>
      </w:r>
      <w:r>
        <w:rPr>
          <w:color w:val="383638"/>
          <w:w w:val="125"/>
          <w:sz w:val="17"/>
        </w:rPr>
        <w:t>n</w:t>
      </w:r>
      <w:r>
        <w:rPr>
          <w:color w:val="383638"/>
          <w:spacing w:val="8"/>
          <w:sz w:val="17"/>
        </w:rPr>
        <w:t> </w:t>
      </w:r>
      <w:r>
        <w:rPr>
          <w:color w:val="383638"/>
          <w:spacing w:val="-1"/>
          <w:w w:val="125"/>
          <w:sz w:val="17"/>
        </w:rPr>
        <w:t>M</w:t>
      </w:r>
      <w:r>
        <w:rPr>
          <w:color w:val="383638"/>
          <w:spacing w:val="9"/>
          <w:w w:val="125"/>
          <w:sz w:val="17"/>
        </w:rPr>
        <w:t>.</w:t>
      </w:r>
      <w:r>
        <w:rPr>
          <w:color w:val="383638"/>
          <w:spacing w:val="-1"/>
          <w:w w:val="112"/>
          <w:sz w:val="17"/>
        </w:rPr>
        <w:t>Scheb</w:t>
      </w:r>
      <w:r>
        <w:rPr>
          <w:color w:val="383638"/>
          <w:w w:val="112"/>
          <w:sz w:val="17"/>
        </w:rPr>
        <w:t>,</w:t>
      </w:r>
      <w:r>
        <w:rPr>
          <w:color w:val="383638"/>
          <w:spacing w:val="6"/>
          <w:sz w:val="17"/>
        </w:rPr>
        <w:t> </w:t>
      </w:r>
      <w:r>
        <w:rPr>
          <w:i/>
          <w:color w:val="383638"/>
          <w:spacing w:val="-1"/>
          <w:w w:val="101"/>
          <w:sz w:val="17"/>
        </w:rPr>
        <w:t>Professiona</w:t>
      </w:r>
      <w:r>
        <w:rPr>
          <w:i/>
          <w:color w:val="383638"/>
          <w:w w:val="101"/>
          <w:sz w:val="17"/>
        </w:rPr>
        <w:t>l</w:t>
      </w:r>
      <w:r>
        <w:rPr>
          <w:i/>
          <w:color w:val="383638"/>
          <w:spacing w:val="12"/>
          <w:sz w:val="17"/>
        </w:rPr>
        <w:t> </w:t>
      </w:r>
      <w:r>
        <w:rPr>
          <w:i/>
          <w:color w:val="383638"/>
          <w:spacing w:val="-1"/>
          <w:w w:val="107"/>
          <w:sz w:val="17"/>
        </w:rPr>
        <w:t>Responsibilit</w:t>
      </w:r>
      <w:r>
        <w:rPr>
          <w:i/>
          <w:color w:val="383638"/>
          <w:w w:val="107"/>
          <w:sz w:val="17"/>
        </w:rPr>
        <w:t>y</w:t>
      </w:r>
      <w:r>
        <w:rPr>
          <w:i/>
          <w:color w:val="383638"/>
          <w:spacing w:val="-15"/>
          <w:sz w:val="17"/>
        </w:rPr>
        <w:t> </w:t>
      </w:r>
      <w:r>
        <w:rPr>
          <w:i/>
          <w:color w:val="383638"/>
          <w:w w:val="107"/>
          <w:sz w:val="17"/>
        </w:rPr>
        <w:t>of</w:t>
      </w:r>
      <w:r>
        <w:rPr>
          <w:i/>
          <w:color w:val="383638"/>
          <w:sz w:val="17"/>
        </w:rPr>
        <w:t> </w:t>
      </w:r>
      <w:r>
        <w:rPr>
          <w:i/>
          <w:color w:val="383638"/>
          <w:spacing w:val="-21"/>
          <w:sz w:val="17"/>
        </w:rPr>
        <w:t> </w:t>
      </w:r>
      <w:r>
        <w:rPr>
          <w:i/>
          <w:color w:val="383638"/>
          <w:spacing w:val="-1"/>
          <w:w w:val="106"/>
          <w:sz w:val="17"/>
        </w:rPr>
        <w:t>Appellate</w:t>
      </w:r>
      <w:r>
        <w:rPr>
          <w:i/>
          <w:color w:val="383638"/>
          <w:spacing w:val="-1"/>
          <w:w w:val="106"/>
          <w:sz w:val="17"/>
        </w:rPr>
        <w:t> </w:t>
      </w:r>
      <w:r>
        <w:rPr>
          <w:i/>
          <w:color w:val="383638"/>
          <w:w w:val="110"/>
          <w:sz w:val="17"/>
        </w:rPr>
        <w:t>Advocates</w:t>
      </w:r>
      <w:r>
        <w:rPr>
          <w:i/>
          <w:color w:val="565456"/>
          <w:w w:val="110"/>
          <w:sz w:val="17"/>
        </w:rPr>
        <w:t>,</w:t>
      </w:r>
      <w:r>
        <w:rPr>
          <w:i/>
          <w:color w:val="565456"/>
          <w:spacing w:val="6"/>
          <w:w w:val="110"/>
          <w:sz w:val="17"/>
        </w:rPr>
        <w:t> </w:t>
      </w:r>
      <w:r>
        <w:rPr>
          <w:color w:val="383638"/>
          <w:w w:val="110"/>
          <w:sz w:val="16"/>
        </w:rPr>
        <w:t>1</w:t>
      </w:r>
      <w:r>
        <w:rPr>
          <w:color w:val="383638"/>
          <w:spacing w:val="23"/>
          <w:w w:val="110"/>
          <w:sz w:val="16"/>
        </w:rPr>
        <w:t> </w:t>
      </w:r>
      <w:r>
        <w:rPr>
          <w:color w:val="383638"/>
          <w:w w:val="110"/>
          <w:sz w:val="17"/>
        </w:rPr>
        <w:t>Fla.</w:t>
      </w:r>
      <w:r>
        <w:rPr>
          <w:color w:val="383638"/>
          <w:spacing w:val="-15"/>
          <w:w w:val="110"/>
          <w:sz w:val="17"/>
        </w:rPr>
        <w:t> </w:t>
      </w:r>
      <w:r>
        <w:rPr>
          <w:color w:val="383638"/>
          <w:w w:val="110"/>
          <w:sz w:val="17"/>
        </w:rPr>
        <w:t>Coastal</w:t>
      </w:r>
      <w:r>
        <w:rPr>
          <w:color w:val="383638"/>
          <w:spacing w:val="-6"/>
          <w:w w:val="110"/>
          <w:sz w:val="17"/>
        </w:rPr>
        <w:t> </w:t>
      </w:r>
      <w:r>
        <w:rPr>
          <w:rFonts w:ascii="Arial"/>
          <w:color w:val="383638"/>
          <w:w w:val="110"/>
          <w:sz w:val="16"/>
        </w:rPr>
        <w:t>L.J</w:t>
      </w:r>
      <w:r>
        <w:rPr>
          <w:rFonts w:ascii="Arial"/>
          <w:color w:val="565456"/>
          <w:w w:val="110"/>
          <w:sz w:val="16"/>
        </w:rPr>
        <w:t>.</w:t>
      </w:r>
      <w:r>
        <w:rPr>
          <w:rFonts w:ascii="Arial"/>
          <w:color w:val="565456"/>
          <w:spacing w:val="-18"/>
          <w:w w:val="110"/>
          <w:sz w:val="16"/>
        </w:rPr>
        <w:t> </w:t>
      </w:r>
      <w:r>
        <w:rPr>
          <w:color w:val="383638"/>
          <w:w w:val="110"/>
          <w:sz w:val="17"/>
        </w:rPr>
        <w:t>101</w:t>
      </w:r>
      <w:r>
        <w:rPr>
          <w:color w:val="383638"/>
          <w:spacing w:val="36"/>
          <w:w w:val="110"/>
          <w:sz w:val="17"/>
        </w:rPr>
        <w:t> </w:t>
      </w:r>
      <w:r>
        <w:rPr>
          <w:color w:val="383638"/>
          <w:w w:val="110"/>
          <w:sz w:val="17"/>
        </w:rPr>
        <w:t>(1999)</w:t>
      </w:r>
      <w:r>
        <w:rPr>
          <w:color w:val="383638"/>
          <w:spacing w:val="-17"/>
          <w:w w:val="110"/>
          <w:sz w:val="17"/>
        </w:rPr>
        <w:t> </w:t>
      </w:r>
      <w:r>
        <w:rPr>
          <w:color w:val="383638"/>
          <w:w w:val="110"/>
          <w:sz w:val="17"/>
        </w:rPr>
        <w:t>(citing</w:t>
      </w:r>
      <w:r>
        <w:rPr>
          <w:color w:val="383638"/>
          <w:spacing w:val="-14"/>
          <w:w w:val="110"/>
          <w:sz w:val="17"/>
        </w:rPr>
        <w:t> </w:t>
      </w:r>
      <w:r>
        <w:rPr>
          <w:color w:val="383638"/>
          <w:w w:val="110"/>
          <w:sz w:val="17"/>
        </w:rPr>
        <w:t>cases)</w:t>
      </w:r>
      <w:r>
        <w:rPr>
          <w:color w:val="565456"/>
          <w:w w:val="110"/>
          <w:sz w:val="17"/>
        </w:rPr>
        <w:t>.</w:t>
      </w:r>
    </w:p>
    <w:p>
      <w:pPr>
        <w:spacing w:line="198" w:lineRule="exact" w:before="0"/>
        <w:ind w:left="510" w:right="0" w:firstLine="0"/>
        <w:jc w:val="left"/>
        <w:rPr>
          <w:sz w:val="17"/>
        </w:rPr>
      </w:pPr>
      <w:r>
        <w:rPr>
          <w:color w:val="383638"/>
          <w:position w:val="3"/>
          <w:sz w:val="11"/>
        </w:rPr>
        <w:t>2</w:t>
      </w:r>
      <w:r>
        <w:rPr>
          <w:rFonts w:ascii="Arial"/>
          <w:color w:val="383638"/>
          <w:sz w:val="16"/>
        </w:rPr>
        <w:t>Fred</w:t>
      </w:r>
      <w:r>
        <w:rPr>
          <w:rFonts w:ascii="Arial"/>
          <w:color w:val="383638"/>
          <w:spacing w:val="-7"/>
          <w:sz w:val="16"/>
        </w:rPr>
        <w:t> </w:t>
      </w:r>
      <w:r>
        <w:rPr>
          <w:color w:val="383638"/>
          <w:sz w:val="18"/>
        </w:rPr>
        <w:t>I.</w:t>
      </w:r>
      <w:r>
        <w:rPr>
          <w:color w:val="383638"/>
          <w:spacing w:val="6"/>
          <w:sz w:val="18"/>
        </w:rPr>
        <w:t> </w:t>
      </w:r>
      <w:r>
        <w:rPr>
          <w:rFonts w:ascii="Arial"/>
          <w:color w:val="383638"/>
          <w:sz w:val="16"/>
        </w:rPr>
        <w:t>Parker,</w:t>
      </w:r>
      <w:r>
        <w:rPr>
          <w:rFonts w:ascii="Arial"/>
          <w:color w:val="383638"/>
          <w:spacing w:val="11"/>
          <w:sz w:val="16"/>
        </w:rPr>
        <w:t> </w:t>
      </w:r>
      <w:r>
        <w:rPr>
          <w:i/>
          <w:color w:val="383638"/>
          <w:sz w:val="17"/>
        </w:rPr>
        <w:t>Appellate</w:t>
      </w:r>
      <w:r>
        <w:rPr>
          <w:i/>
          <w:color w:val="383638"/>
          <w:spacing w:val="11"/>
          <w:sz w:val="17"/>
        </w:rPr>
        <w:t> </w:t>
      </w:r>
      <w:r>
        <w:rPr>
          <w:i/>
          <w:color w:val="383638"/>
          <w:sz w:val="17"/>
        </w:rPr>
        <w:t>Advocacy</w:t>
      </w:r>
      <w:r>
        <w:rPr>
          <w:i/>
          <w:color w:val="383638"/>
          <w:spacing w:val="11"/>
          <w:sz w:val="17"/>
        </w:rPr>
        <w:t> </w:t>
      </w:r>
      <w:r>
        <w:rPr>
          <w:i/>
          <w:color w:val="383638"/>
          <w:sz w:val="17"/>
        </w:rPr>
        <w:t>and</w:t>
      </w:r>
      <w:r>
        <w:rPr>
          <w:i/>
          <w:color w:val="383638"/>
          <w:spacing w:val="38"/>
          <w:sz w:val="17"/>
        </w:rPr>
        <w:t> </w:t>
      </w:r>
      <w:r>
        <w:rPr>
          <w:i/>
          <w:color w:val="383638"/>
          <w:sz w:val="17"/>
        </w:rPr>
        <w:t>Practice</w:t>
      </w:r>
      <w:r>
        <w:rPr>
          <w:i/>
          <w:color w:val="383638"/>
          <w:spacing w:val="5"/>
          <w:sz w:val="17"/>
        </w:rPr>
        <w:t> </w:t>
      </w:r>
      <w:r>
        <w:rPr>
          <w:i/>
          <w:color w:val="383638"/>
          <w:sz w:val="17"/>
        </w:rPr>
        <w:t>in</w:t>
      </w:r>
      <w:r>
        <w:rPr>
          <w:i/>
          <w:color w:val="383638"/>
          <w:spacing w:val="40"/>
          <w:sz w:val="17"/>
        </w:rPr>
        <w:t> </w:t>
      </w:r>
      <w:r>
        <w:rPr>
          <w:i/>
          <w:color w:val="383638"/>
          <w:sz w:val="17"/>
        </w:rPr>
        <w:t>tl1e</w:t>
      </w:r>
      <w:r>
        <w:rPr>
          <w:i/>
          <w:color w:val="383638"/>
          <w:spacing w:val="-2"/>
          <w:sz w:val="17"/>
        </w:rPr>
        <w:t> </w:t>
      </w:r>
      <w:r>
        <w:rPr>
          <w:i/>
          <w:color w:val="383638"/>
          <w:sz w:val="17"/>
        </w:rPr>
        <w:t>Second</w:t>
      </w:r>
      <w:r>
        <w:rPr>
          <w:i/>
          <w:color w:val="383638"/>
          <w:spacing w:val="12"/>
          <w:sz w:val="17"/>
        </w:rPr>
        <w:t> </w:t>
      </w:r>
      <w:r>
        <w:rPr>
          <w:i/>
          <w:color w:val="383638"/>
          <w:sz w:val="17"/>
        </w:rPr>
        <w:t>Circuit,</w:t>
      </w:r>
      <w:r>
        <w:rPr>
          <w:i/>
          <w:color w:val="383638"/>
          <w:spacing w:val="-2"/>
          <w:sz w:val="17"/>
        </w:rPr>
        <w:t> </w:t>
      </w:r>
      <w:r>
        <w:rPr>
          <w:rFonts w:ascii="Arial"/>
          <w:color w:val="383638"/>
          <w:sz w:val="16"/>
        </w:rPr>
        <w:t>64</w:t>
      </w:r>
      <w:r>
        <w:rPr>
          <w:rFonts w:ascii="Arial"/>
          <w:color w:val="383638"/>
          <w:spacing w:val="14"/>
          <w:sz w:val="16"/>
        </w:rPr>
        <w:t> </w:t>
      </w:r>
      <w:r>
        <w:rPr>
          <w:rFonts w:ascii="Arial"/>
          <w:color w:val="383638"/>
          <w:sz w:val="16"/>
        </w:rPr>
        <w:t>Brook.</w:t>
      </w:r>
      <w:r>
        <w:rPr>
          <w:rFonts w:ascii="Arial"/>
          <w:color w:val="383638"/>
          <w:spacing w:val="3"/>
          <w:sz w:val="16"/>
        </w:rPr>
        <w:t> </w:t>
      </w:r>
      <w:r>
        <w:rPr>
          <w:rFonts w:ascii="Arial"/>
          <w:color w:val="383638"/>
          <w:sz w:val="16"/>
        </w:rPr>
        <w:t>L.</w:t>
      </w:r>
      <w:r>
        <w:rPr>
          <w:rFonts w:ascii="Arial"/>
          <w:color w:val="383638"/>
          <w:spacing w:val="19"/>
          <w:sz w:val="16"/>
        </w:rPr>
        <w:t> </w:t>
      </w:r>
      <w:r>
        <w:rPr>
          <w:color w:val="383638"/>
          <w:sz w:val="17"/>
        </w:rPr>
        <w:t>Rev</w:t>
      </w:r>
      <w:r>
        <w:rPr>
          <w:color w:val="565456"/>
          <w:sz w:val="17"/>
        </w:rPr>
        <w:t>.</w:t>
      </w:r>
      <w:r>
        <w:rPr>
          <w:color w:val="565456"/>
          <w:spacing w:val="13"/>
          <w:sz w:val="17"/>
        </w:rPr>
        <w:t> </w:t>
      </w:r>
      <w:r>
        <w:rPr>
          <w:color w:val="383638"/>
          <w:sz w:val="17"/>
        </w:rPr>
        <w:t>4S7,</w:t>
      </w:r>
      <w:r>
        <w:rPr>
          <w:color w:val="383638"/>
          <w:spacing w:val="45"/>
          <w:sz w:val="17"/>
        </w:rPr>
        <w:t> </w:t>
      </w:r>
      <w:r>
        <w:rPr>
          <w:color w:val="383638"/>
          <w:sz w:val="17"/>
        </w:rPr>
        <w:t>462</w:t>
      </w:r>
    </w:p>
    <w:p>
      <w:pPr>
        <w:spacing w:line="175" w:lineRule="exact" w:before="34"/>
        <w:ind w:left="196" w:right="0" w:firstLine="0"/>
        <w:jc w:val="left"/>
        <w:rPr>
          <w:sz w:val="17"/>
        </w:rPr>
      </w:pPr>
      <w:r>
        <w:rPr>
          <w:color w:val="383638"/>
          <w:sz w:val="17"/>
        </w:rPr>
        <w:t>(1998).</w:t>
      </w:r>
    </w:p>
    <w:p>
      <w:pPr>
        <w:spacing w:line="184" w:lineRule="exact" w:before="0"/>
        <w:ind w:left="499" w:right="0" w:firstLine="0"/>
        <w:jc w:val="left"/>
        <w:rPr>
          <w:sz w:val="17"/>
        </w:rPr>
      </w:pPr>
      <w:r>
        <w:rPr>
          <w:color w:val="383638"/>
          <w:w w:val="110"/>
          <w:position w:val="4"/>
          <w:sz w:val="11"/>
        </w:rPr>
        <w:t>1</w:t>
      </w:r>
      <w:r>
        <w:rPr>
          <w:color w:val="383638"/>
          <w:w w:val="110"/>
          <w:sz w:val="17"/>
        </w:rPr>
        <w:t>Sarah</w:t>
      </w:r>
      <w:r>
        <w:rPr>
          <w:color w:val="383638"/>
          <w:spacing w:val="5"/>
          <w:w w:val="110"/>
          <w:sz w:val="17"/>
        </w:rPr>
        <w:t> </w:t>
      </w:r>
      <w:r>
        <w:rPr>
          <w:color w:val="383638"/>
          <w:w w:val="110"/>
          <w:sz w:val="17"/>
        </w:rPr>
        <w:t>8.</w:t>
      </w:r>
      <w:r>
        <w:rPr>
          <w:color w:val="383638"/>
          <w:spacing w:val="11"/>
          <w:w w:val="110"/>
          <w:sz w:val="17"/>
        </w:rPr>
        <w:t> </w:t>
      </w:r>
      <w:r>
        <w:rPr>
          <w:color w:val="383638"/>
          <w:w w:val="110"/>
          <w:sz w:val="17"/>
        </w:rPr>
        <w:t>Duncan</w:t>
      </w:r>
      <w:r>
        <w:rPr>
          <w:color w:val="676667"/>
          <w:w w:val="110"/>
          <w:sz w:val="17"/>
        </w:rPr>
        <w:t>,</w:t>
      </w:r>
      <w:r>
        <w:rPr>
          <w:color w:val="676667"/>
          <w:spacing w:val="-6"/>
          <w:w w:val="110"/>
          <w:sz w:val="17"/>
        </w:rPr>
        <w:t> </w:t>
      </w:r>
      <w:r>
        <w:rPr>
          <w:i/>
          <w:color w:val="383638"/>
          <w:w w:val="110"/>
          <w:sz w:val="17"/>
        </w:rPr>
        <w:t>Pursuing</w:t>
      </w:r>
      <w:r>
        <w:rPr>
          <w:i/>
          <w:color w:val="383638"/>
          <w:spacing w:val="-18"/>
          <w:w w:val="110"/>
          <w:sz w:val="17"/>
        </w:rPr>
        <w:t> </w:t>
      </w:r>
      <w:r>
        <w:rPr>
          <w:i/>
          <w:color w:val="383638"/>
          <w:w w:val="110"/>
          <w:sz w:val="17"/>
        </w:rPr>
        <w:t>Quality:Writinga</w:t>
      </w:r>
      <w:r>
        <w:rPr>
          <w:i/>
          <w:color w:val="383638"/>
          <w:spacing w:val="3"/>
          <w:w w:val="110"/>
          <w:sz w:val="17"/>
        </w:rPr>
        <w:t> </w:t>
      </w:r>
      <w:r>
        <w:rPr>
          <w:i/>
          <w:color w:val="383638"/>
          <w:w w:val="110"/>
          <w:sz w:val="17"/>
        </w:rPr>
        <w:t>Helpful</w:t>
      </w:r>
      <w:r>
        <w:rPr>
          <w:i/>
          <w:color w:val="383638"/>
          <w:spacing w:val="-9"/>
          <w:w w:val="110"/>
          <w:sz w:val="17"/>
        </w:rPr>
        <w:t> </w:t>
      </w:r>
      <w:r>
        <w:rPr>
          <w:i/>
          <w:color w:val="383638"/>
          <w:w w:val="110"/>
          <w:sz w:val="17"/>
        </w:rPr>
        <w:t>Brief,</w:t>
      </w:r>
      <w:r>
        <w:rPr>
          <w:i/>
          <w:color w:val="383638"/>
          <w:spacing w:val="-30"/>
          <w:w w:val="110"/>
          <w:sz w:val="17"/>
        </w:rPr>
        <w:t> </w:t>
      </w:r>
      <w:r>
        <w:rPr>
          <w:color w:val="383638"/>
          <w:w w:val="110"/>
          <w:sz w:val="17"/>
        </w:rPr>
        <w:t>30</w:t>
      </w:r>
      <w:r>
        <w:rPr>
          <w:color w:val="383638"/>
          <w:spacing w:val="-9"/>
          <w:w w:val="110"/>
          <w:sz w:val="17"/>
        </w:rPr>
        <w:t> </w:t>
      </w:r>
      <w:r>
        <w:rPr>
          <w:color w:val="383638"/>
          <w:w w:val="110"/>
          <w:sz w:val="17"/>
        </w:rPr>
        <w:t>St.</w:t>
      </w:r>
      <w:r>
        <w:rPr>
          <w:color w:val="383638"/>
          <w:spacing w:val="-3"/>
          <w:w w:val="110"/>
          <w:sz w:val="17"/>
        </w:rPr>
        <w:t> </w:t>
      </w:r>
      <w:r>
        <w:rPr>
          <w:color w:val="383638"/>
          <w:w w:val="110"/>
          <w:sz w:val="18"/>
        </w:rPr>
        <w:t>Mary's</w:t>
      </w:r>
      <w:r>
        <w:rPr>
          <w:color w:val="383638"/>
          <w:spacing w:val="-20"/>
          <w:w w:val="110"/>
          <w:sz w:val="18"/>
        </w:rPr>
        <w:t> </w:t>
      </w:r>
      <w:r>
        <w:rPr>
          <w:color w:val="383638"/>
          <w:w w:val="110"/>
          <w:sz w:val="18"/>
        </w:rPr>
        <w:t>LJ</w:t>
      </w:r>
      <w:r>
        <w:rPr>
          <w:color w:val="565456"/>
          <w:w w:val="110"/>
          <w:sz w:val="18"/>
        </w:rPr>
        <w:t>.</w:t>
      </w:r>
      <w:r>
        <w:rPr>
          <w:color w:val="565456"/>
          <w:spacing w:val="-16"/>
          <w:w w:val="110"/>
          <w:sz w:val="18"/>
        </w:rPr>
        <w:t> </w:t>
      </w:r>
      <w:r>
        <w:rPr>
          <w:color w:val="383638"/>
          <w:w w:val="110"/>
          <w:sz w:val="17"/>
        </w:rPr>
        <w:t>1093,</w:t>
      </w:r>
      <w:r>
        <w:rPr>
          <w:color w:val="383638"/>
          <w:spacing w:val="-14"/>
          <w:w w:val="110"/>
          <w:sz w:val="17"/>
        </w:rPr>
        <w:t> </w:t>
      </w:r>
      <w:r>
        <w:rPr>
          <w:color w:val="383638"/>
          <w:w w:val="110"/>
          <w:sz w:val="17"/>
        </w:rPr>
        <w:t>1101(1999)</w:t>
      </w:r>
      <w:r>
        <w:rPr>
          <w:color w:val="565456"/>
          <w:w w:val="110"/>
          <w:sz w:val="17"/>
        </w:rPr>
        <w:t>.</w:t>
      </w:r>
    </w:p>
    <w:p>
      <w:pPr>
        <w:spacing w:line="193" w:lineRule="exact" w:before="0"/>
        <w:ind w:left="505" w:right="0" w:firstLine="0"/>
        <w:jc w:val="left"/>
        <w:rPr>
          <w:sz w:val="17"/>
        </w:rPr>
      </w:pPr>
      <w:r>
        <w:rPr>
          <w:color w:val="383638"/>
          <w:w w:val="105"/>
          <w:sz w:val="17"/>
        </w:rPr>
        <w:t>'Leigh</w:t>
      </w:r>
      <w:r>
        <w:rPr>
          <w:color w:val="383638"/>
          <w:spacing w:val="14"/>
          <w:w w:val="105"/>
          <w:sz w:val="17"/>
        </w:rPr>
        <w:t> </w:t>
      </w:r>
      <w:r>
        <w:rPr>
          <w:color w:val="383638"/>
          <w:w w:val="105"/>
          <w:sz w:val="17"/>
        </w:rPr>
        <w:t>Ingalls</w:t>
      </w:r>
      <w:r>
        <w:rPr>
          <w:color w:val="383638"/>
          <w:spacing w:val="-23"/>
          <w:w w:val="105"/>
          <w:sz w:val="17"/>
        </w:rPr>
        <w:t> </w:t>
      </w:r>
      <w:r>
        <w:rPr>
          <w:color w:val="383638"/>
          <w:w w:val="105"/>
          <w:sz w:val="17"/>
        </w:rPr>
        <w:t>Saufley,</w:t>
      </w:r>
      <w:r>
        <w:rPr>
          <w:color w:val="383638"/>
          <w:spacing w:val="2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Ampliiblans</w:t>
      </w:r>
      <w:r>
        <w:rPr>
          <w:i/>
          <w:color w:val="383638"/>
          <w:spacing w:val="10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a11d</w:t>
      </w:r>
      <w:r>
        <w:rPr>
          <w:i/>
          <w:color w:val="383638"/>
          <w:spacing w:val="25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Appellate</w:t>
      </w:r>
      <w:r>
        <w:rPr>
          <w:i/>
          <w:color w:val="383638"/>
          <w:spacing w:val="-12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Courts,</w:t>
      </w:r>
      <w:r>
        <w:rPr>
          <w:i/>
          <w:color w:val="383638"/>
          <w:spacing w:val="-12"/>
          <w:w w:val="105"/>
          <w:sz w:val="17"/>
        </w:rPr>
        <w:t> </w:t>
      </w:r>
      <w:r>
        <w:rPr>
          <w:color w:val="383638"/>
          <w:w w:val="105"/>
          <w:sz w:val="17"/>
        </w:rPr>
        <w:t>St </w:t>
      </w:r>
      <w:r>
        <w:rPr>
          <w:color w:val="383638"/>
          <w:spacing w:val="25"/>
          <w:w w:val="105"/>
          <w:sz w:val="17"/>
        </w:rPr>
        <w:t> </w:t>
      </w:r>
      <w:r>
        <w:rPr>
          <w:color w:val="383638"/>
          <w:w w:val="105"/>
          <w:sz w:val="17"/>
        </w:rPr>
        <w:t>Me.</w:t>
      </w:r>
      <w:r>
        <w:rPr>
          <w:color w:val="383638"/>
          <w:spacing w:val="8"/>
          <w:w w:val="105"/>
          <w:sz w:val="17"/>
        </w:rPr>
        <w:t> </w:t>
      </w:r>
      <w:r>
        <w:rPr>
          <w:rFonts w:ascii="Arial"/>
          <w:color w:val="383638"/>
          <w:w w:val="105"/>
          <w:sz w:val="16"/>
        </w:rPr>
        <w:t>L.</w:t>
      </w:r>
      <w:r>
        <w:rPr>
          <w:rFonts w:ascii="Arial"/>
          <w:color w:val="383638"/>
          <w:spacing w:val="22"/>
          <w:w w:val="105"/>
          <w:sz w:val="16"/>
        </w:rPr>
        <w:t> </w:t>
      </w:r>
      <w:r>
        <w:rPr>
          <w:color w:val="383638"/>
          <w:w w:val="105"/>
          <w:sz w:val="17"/>
        </w:rPr>
        <w:t>Rev.</w:t>
      </w:r>
      <w:r>
        <w:rPr>
          <w:color w:val="383638"/>
          <w:spacing w:val="-4"/>
          <w:w w:val="105"/>
          <w:sz w:val="17"/>
        </w:rPr>
        <w:t> </w:t>
      </w:r>
      <w:r>
        <w:rPr>
          <w:color w:val="383638"/>
          <w:w w:val="105"/>
          <w:sz w:val="17"/>
        </w:rPr>
        <w:t>18,</w:t>
      </w:r>
      <w:r>
        <w:rPr>
          <w:color w:val="383638"/>
          <w:spacing w:val="40"/>
          <w:w w:val="105"/>
          <w:sz w:val="17"/>
        </w:rPr>
        <w:t> </w:t>
      </w:r>
      <w:r>
        <w:rPr>
          <w:color w:val="383638"/>
          <w:w w:val="105"/>
          <w:sz w:val="17"/>
        </w:rPr>
        <w:t>22</w:t>
      </w:r>
      <w:r>
        <w:rPr>
          <w:color w:val="383638"/>
          <w:spacing w:val="37"/>
          <w:w w:val="105"/>
          <w:sz w:val="17"/>
        </w:rPr>
        <w:t> </w:t>
      </w:r>
      <w:r>
        <w:rPr>
          <w:color w:val="383638"/>
          <w:w w:val="105"/>
          <w:sz w:val="17"/>
        </w:rPr>
        <w:t>(1999).</w:t>
      </w:r>
    </w:p>
    <w:p>
      <w:pPr>
        <w:spacing w:after="0" w:line="193" w:lineRule="exact"/>
        <w:jc w:val="left"/>
        <w:rPr>
          <w:sz w:val="17"/>
        </w:rPr>
        <w:sectPr>
          <w:pgSz w:w="9710" w:h="13980"/>
          <w:pgMar w:header="501" w:footer="0" w:top="1080" w:bottom="0" w:left="240" w:right="1340"/>
        </w:sectPr>
      </w:pPr>
    </w:p>
    <w:p>
      <w:pPr>
        <w:pStyle w:val="BodyText"/>
        <w:spacing w:line="232" w:lineRule="auto" w:before="104"/>
        <w:ind w:left="807" w:right="101" w:firstLine="38"/>
        <w:jc w:val="both"/>
      </w:pPr>
      <w:r>
        <w:rPr>
          <w:color w:val="3A3838"/>
          <w:w w:val="105"/>
        </w:rPr>
        <w:t>A shrill tone in a brief diminishes its persuasive force."</w:t>
      </w:r>
      <w:r>
        <w:rPr>
          <w:rFonts w:ascii="Arial" w:hAnsi="Arial"/>
          <w:color w:val="3A3838"/>
          <w:w w:val="105"/>
          <w:vertAlign w:val="superscript"/>
        </w:rPr>
        <w:t>5</w:t>
      </w:r>
      <w:r>
        <w:rPr>
          <w:color w:val="3A3838"/>
          <w:w w:val="105"/>
          <w:vertAlign w:val="baseline"/>
        </w:rPr>
        <w:t>Judge Saufley wor­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w w:val="110"/>
          <w:vertAlign w:val="baseline"/>
        </w:rPr>
        <w:t>ries that too many attorneys rely on  the old adage: </w:t>
      </w:r>
      <w:r>
        <w:rPr>
          <w:rFonts w:ascii="Arial" w:hAnsi="Arial"/>
          <w:color w:val="3A3838"/>
          <w:w w:val="110"/>
          <w:sz w:val="22"/>
          <w:vertAlign w:val="baseline"/>
        </w:rPr>
        <w:t>"If  </w:t>
      </w:r>
      <w:r>
        <w:rPr>
          <w:color w:val="3A3838"/>
          <w:w w:val="110"/>
          <w:vertAlign w:val="baseline"/>
        </w:rPr>
        <w:t>the law is with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you, argue the law; if </w:t>
      </w:r>
      <w:r>
        <w:rPr>
          <w:color w:val="2A2828"/>
          <w:w w:val="110"/>
          <w:vertAlign w:val="baseline"/>
        </w:rPr>
        <w:t>the </w:t>
      </w:r>
      <w:r>
        <w:rPr>
          <w:color w:val="3A3838"/>
          <w:w w:val="110"/>
          <w:vertAlign w:val="baseline"/>
        </w:rPr>
        <w:t>facts are with you, argue the facts; if neither Is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with you, call the  other guy names</w:t>
      </w:r>
      <w:r>
        <w:rPr>
          <w:color w:val="545456"/>
          <w:w w:val="110"/>
          <w:vertAlign w:val="baseline"/>
        </w:rPr>
        <w:t>.</w:t>
      </w:r>
      <w:r>
        <w:rPr>
          <w:color w:val="3A3838"/>
          <w:w w:val="110"/>
          <w:vertAlign w:val="baseline"/>
        </w:rPr>
        <w:t>" She points out  that name-calling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05"/>
          <w:vertAlign w:val="baseline"/>
        </w:rPr>
        <w:t>has a negative effect on the brief writer: "As soon as I see an attack of any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w w:val="110"/>
          <w:vertAlign w:val="baseline"/>
        </w:rPr>
        <w:t>kind on the other party, opposing counsel, or the trial judge, I begin to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05"/>
          <w:vertAlign w:val="baseline"/>
        </w:rPr>
        <w:t>discount the merits of the argument."</w:t>
      </w:r>
      <w:r>
        <w:rPr>
          <w:rFonts w:ascii="Arial" w:hAnsi="Arial"/>
          <w:color w:val="3A3838"/>
          <w:w w:val="105"/>
          <w:vertAlign w:val="superscript"/>
        </w:rPr>
        <w:t>6</w:t>
      </w:r>
      <w:r>
        <w:rPr>
          <w:rFonts w:ascii="Arial" w:hAnsi="Arial"/>
          <w:color w:val="3A3838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Supreme Court </w:t>
      </w:r>
      <w:r>
        <w:rPr>
          <w:color w:val="2A2828"/>
          <w:w w:val="105"/>
          <w:vertAlign w:val="baseline"/>
        </w:rPr>
        <w:t>Justice </w:t>
      </w:r>
      <w:r>
        <w:rPr>
          <w:color w:val="3A3838"/>
          <w:w w:val="105"/>
          <w:vertAlign w:val="baseline"/>
        </w:rPr>
        <w:t>Ruth Bader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spacing w:val="-1"/>
          <w:w w:val="110"/>
          <w:vertAlign w:val="baseline"/>
        </w:rPr>
        <w:t>Ginsburg </w:t>
      </w:r>
      <w:r>
        <w:rPr>
          <w:color w:val="3A3838"/>
          <w:w w:val="110"/>
          <w:vertAlign w:val="baseline"/>
        </w:rPr>
        <w:t>notes that a "top-quality brief" "scratches put-downs and indig­</w:t>
      </w:r>
      <w:r>
        <w:rPr>
          <w:color w:val="3A3838"/>
          <w:spacing w:val="-6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nant remarks about one's adversary or the first instance decision-maker"</w:t>
      </w:r>
      <w:r>
        <w:rPr>
          <w:color w:val="AEAFB1"/>
          <w:w w:val="110"/>
          <w:vertAlign w:val="baseline"/>
        </w:rPr>
        <w:t>·</w:t>
      </w:r>
      <w:r>
        <w:rPr>
          <w:color w:val="AEAFB1"/>
          <w:spacing w:val="-6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because they will "more likely annoy than make points with the bench."</w:t>
      </w:r>
      <w:r>
        <w:rPr>
          <w:color w:val="3A3838"/>
          <w:w w:val="110"/>
          <w:vertAlign w:val="superscript"/>
        </w:rPr>
        <w:t>7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05"/>
          <w:vertAlign w:val="baseline"/>
        </w:rPr>
        <w:t>Persuasion is a subtle art. It consists of creating an image of yourself as a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w w:val="110"/>
          <w:vertAlign w:val="baseline"/>
        </w:rPr>
        <w:t>competent, credible, helpful, </w:t>
      </w:r>
      <w:r>
        <w:rPr>
          <w:color w:val="2A2828"/>
          <w:w w:val="110"/>
          <w:vertAlign w:val="baseline"/>
        </w:rPr>
        <w:t>reliable </w:t>
      </w:r>
      <w:r>
        <w:rPr>
          <w:color w:val="3A3838"/>
          <w:w w:val="110"/>
          <w:vertAlign w:val="baseline"/>
        </w:rPr>
        <w:t>advocate-the kind of person whose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brief </w:t>
      </w:r>
      <w:r>
        <w:rPr>
          <w:color w:val="2A2828"/>
          <w:w w:val="110"/>
          <w:vertAlign w:val="baseline"/>
        </w:rPr>
        <w:t>the </w:t>
      </w:r>
      <w:r>
        <w:rPr>
          <w:color w:val="3A3838"/>
          <w:w w:val="110"/>
          <w:vertAlign w:val="baseline"/>
        </w:rPr>
        <w:t>court can't wait to read. It also consists of taking advantage of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05"/>
          <w:vertAlign w:val="baseline"/>
        </w:rPr>
        <w:t>opportunities at every stage of the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brief-writing process to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highlight your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spacing w:val="-1"/>
          <w:w w:val="110"/>
          <w:vertAlign w:val="baseline"/>
        </w:rPr>
        <w:t>strengths</w:t>
      </w:r>
      <w:r>
        <w:rPr>
          <w:color w:val="3A3838"/>
          <w:spacing w:val="-22"/>
          <w:w w:val="110"/>
          <w:vertAlign w:val="baseline"/>
        </w:rPr>
        <w:t> </w:t>
      </w:r>
      <w:r>
        <w:rPr>
          <w:color w:val="3A3838"/>
          <w:spacing w:val="-1"/>
          <w:w w:val="110"/>
          <w:vertAlign w:val="baseline"/>
        </w:rPr>
        <w:t>and</w:t>
      </w:r>
      <w:r>
        <w:rPr>
          <w:color w:val="3A3838"/>
          <w:spacing w:val="12"/>
          <w:w w:val="110"/>
          <w:vertAlign w:val="baseline"/>
        </w:rPr>
        <w:t> </w:t>
      </w:r>
      <w:r>
        <w:rPr>
          <w:color w:val="3A3838"/>
          <w:spacing w:val="-1"/>
          <w:w w:val="110"/>
          <w:vertAlign w:val="baseline"/>
        </w:rPr>
        <w:t>"low-light</w:t>
      </w:r>
      <w:r>
        <w:rPr>
          <w:color w:val="545456"/>
          <w:spacing w:val="-1"/>
          <w:w w:val="110"/>
          <w:vertAlign w:val="baseline"/>
        </w:rPr>
        <w:t>"</w:t>
      </w:r>
      <w:r>
        <w:rPr>
          <w:color w:val="545456"/>
          <w:spacing w:val="7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your</w:t>
      </w:r>
      <w:r>
        <w:rPr>
          <w:color w:val="3A3838"/>
          <w:spacing w:val="-7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weaknesses</w:t>
      </w:r>
      <w:r>
        <w:rPr>
          <w:color w:val="545456"/>
          <w:w w:val="110"/>
          <w:vertAlign w:val="baseline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4"/>
        </w:rPr>
      </w:pPr>
    </w:p>
    <w:p>
      <w:pPr>
        <w:spacing w:before="0"/>
        <w:ind w:left="1381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3A3838"/>
          <w:w w:val="105"/>
          <w:sz w:val="32"/>
        </w:rPr>
        <w:t>11.3</w:t>
      </w:r>
    </w:p>
    <w:p>
      <w:pPr>
        <w:spacing w:before="37"/>
        <w:ind w:left="1367" w:right="0" w:firstLine="0"/>
        <w:jc w:val="left"/>
        <w:rPr>
          <w:b/>
          <w:sz w:val="28"/>
        </w:rPr>
      </w:pPr>
      <w:r>
        <w:rPr>
          <w:b/>
          <w:color w:val="3A3838"/>
          <w:spacing w:val="-1"/>
          <w:w w:val="95"/>
          <w:sz w:val="28"/>
        </w:rPr>
        <w:t>CHOOSING</w:t>
      </w:r>
      <w:r>
        <w:rPr>
          <w:b/>
          <w:color w:val="3A3838"/>
          <w:spacing w:val="25"/>
          <w:w w:val="95"/>
          <w:sz w:val="28"/>
        </w:rPr>
        <w:t> </w:t>
      </w:r>
      <w:r>
        <w:rPr>
          <w:b/>
          <w:color w:val="3A3838"/>
          <w:w w:val="95"/>
          <w:sz w:val="28"/>
        </w:rPr>
        <w:t>ISSUES</w:t>
      </w:r>
      <w:r>
        <w:rPr>
          <w:b/>
          <w:color w:val="3A3838"/>
          <w:spacing w:val="6"/>
          <w:w w:val="95"/>
          <w:sz w:val="28"/>
        </w:rPr>
        <w:t> </w:t>
      </w:r>
      <w:r>
        <w:rPr>
          <w:b/>
          <w:color w:val="3A3838"/>
          <w:w w:val="95"/>
          <w:sz w:val="28"/>
        </w:rPr>
        <w:t>RESPONSIBLY</w:t>
      </w:r>
    </w:p>
    <w:p>
      <w:pPr>
        <w:pStyle w:val="BodyText"/>
        <w:spacing w:line="235" w:lineRule="auto" w:before="230"/>
        <w:ind w:left="742" w:right="115" w:firstLine="627"/>
        <w:jc w:val="both"/>
      </w:pPr>
      <w:r>
        <w:rPr>
          <w:color w:val="3A3838"/>
          <w:w w:val="105"/>
        </w:rPr>
        <w:t>One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of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first ways that advocates establish their credibility is by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5"/>
        </w:rPr>
        <w:t>arguing only those issues</w:t>
      </w:r>
      <w:r>
        <w:rPr>
          <w:color w:val="545456"/>
          <w:w w:val="115"/>
        </w:rPr>
        <w:t>-</w:t>
      </w:r>
      <w:r>
        <w:rPr>
          <w:color w:val="3A3838"/>
          <w:w w:val="115"/>
        </w:rPr>
        <w:t>and cases-that areworthy of argument. </w:t>
      </w:r>
      <w:r>
        <w:rPr>
          <w:color w:val="3A3838"/>
          <w:w w:val="110"/>
        </w:rPr>
        <w:t>Most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law students cannot choose which issues </w:t>
      </w:r>
      <w:r>
        <w:rPr>
          <w:color w:val="2A2828"/>
          <w:w w:val="110"/>
        </w:rPr>
        <w:t>to </w:t>
      </w:r>
      <w:r>
        <w:rPr>
          <w:color w:val="3A3838"/>
          <w:w w:val="110"/>
        </w:rPr>
        <w:t>argue, but they can choose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how </w:t>
      </w:r>
      <w:r>
        <w:rPr>
          <w:color w:val="3A3838"/>
          <w:w w:val="115"/>
        </w:rPr>
        <w:t>many arguments to make. Soon, they </w:t>
      </w:r>
      <w:r>
        <w:rPr>
          <w:color w:val="3A3838"/>
          <w:w w:val="110"/>
        </w:rPr>
        <w:t>wilJ </w:t>
      </w:r>
      <w:r>
        <w:rPr>
          <w:color w:val="3A3838"/>
          <w:w w:val="115"/>
        </w:rPr>
        <w:t>be choosing the </w:t>
      </w:r>
      <w:r>
        <w:rPr>
          <w:color w:val="3A3838"/>
          <w:w w:val="110"/>
        </w:rPr>
        <w:t>issues,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as well as deciding whether a case or a motion is worth filing or whether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an appeal is worth pursuing. You should appeal any case and make any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argument that has a credible chance of a positive result, but use good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0"/>
        </w:rPr>
        <w:t>judgment when making </w:t>
      </w:r>
      <w:r>
        <w:rPr>
          <w:color w:val="3A3838"/>
          <w:w w:val="110"/>
        </w:rPr>
        <w:t>those decisions, and remember the busy courts to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whom you </w:t>
      </w:r>
      <w:r>
        <w:rPr>
          <w:color w:val="2A2828"/>
          <w:w w:val="105"/>
        </w:rPr>
        <w:t>are </w:t>
      </w:r>
      <w:r>
        <w:rPr>
          <w:color w:val="3A3838"/>
          <w:w w:val="105"/>
        </w:rPr>
        <w:t>arguing. A marginal argument weakens the advocate's pres­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ent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and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future credibility; </w:t>
      </w:r>
      <w:r>
        <w:rPr>
          <w:color w:val="2A2828"/>
          <w:w w:val="105"/>
        </w:rPr>
        <w:t>a </w:t>
      </w:r>
      <w:r>
        <w:rPr>
          <w:color w:val="3A3838"/>
          <w:w w:val="105"/>
        </w:rPr>
        <w:t>brief that addresses fewer issues argued well is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better</w:t>
      </w:r>
      <w:r>
        <w:rPr>
          <w:color w:val="3A3838"/>
          <w:spacing w:val="5"/>
          <w:w w:val="110"/>
        </w:rPr>
        <w:t> </w:t>
      </w:r>
      <w:r>
        <w:rPr>
          <w:color w:val="3A3838"/>
          <w:w w:val="110"/>
        </w:rPr>
        <w:t>than</w:t>
      </w:r>
      <w:r>
        <w:rPr>
          <w:color w:val="3A3838"/>
          <w:spacing w:val="-5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6"/>
          <w:w w:val="110"/>
        </w:rPr>
        <w:t> </w:t>
      </w:r>
      <w:r>
        <w:rPr>
          <w:color w:val="3A3838"/>
          <w:w w:val="110"/>
        </w:rPr>
        <w:t>brief</w:t>
      </w:r>
      <w:r>
        <w:rPr>
          <w:color w:val="3A3838"/>
          <w:spacing w:val="16"/>
          <w:w w:val="110"/>
        </w:rPr>
        <w:t> </w:t>
      </w:r>
      <w:r>
        <w:rPr>
          <w:color w:val="3A3838"/>
          <w:w w:val="110"/>
        </w:rPr>
        <w:t>with</w:t>
      </w:r>
      <w:r>
        <w:rPr>
          <w:color w:val="3A3838"/>
          <w:spacing w:val="8"/>
          <w:w w:val="110"/>
        </w:rPr>
        <w:t> </w:t>
      </w:r>
      <w:r>
        <w:rPr>
          <w:color w:val="3A3838"/>
          <w:w w:val="110"/>
        </w:rPr>
        <w:t>many</w:t>
      </w:r>
      <w:r>
        <w:rPr>
          <w:color w:val="3A3838"/>
          <w:spacing w:val="-11"/>
          <w:w w:val="110"/>
        </w:rPr>
        <w:t> </w:t>
      </w:r>
      <w:r>
        <w:rPr>
          <w:color w:val="3A3838"/>
          <w:w w:val="110"/>
        </w:rPr>
        <w:t>issues</w:t>
      </w:r>
      <w:r>
        <w:rPr>
          <w:color w:val="3A3838"/>
          <w:spacing w:val="-13"/>
          <w:w w:val="110"/>
        </w:rPr>
        <w:t> </w:t>
      </w:r>
      <w:r>
        <w:rPr>
          <w:color w:val="3A3838"/>
          <w:w w:val="110"/>
        </w:rPr>
        <w:t>argued</w:t>
      </w:r>
      <w:r>
        <w:rPr>
          <w:color w:val="3A3838"/>
          <w:spacing w:val="17"/>
          <w:w w:val="110"/>
        </w:rPr>
        <w:t> </w:t>
      </w:r>
      <w:r>
        <w:rPr>
          <w:color w:val="3A3838"/>
          <w:w w:val="110"/>
        </w:rPr>
        <w:t>poorly.</w:t>
      </w:r>
    </w:p>
    <w:p>
      <w:pPr>
        <w:pStyle w:val="BodyText"/>
        <w:spacing w:line="238" w:lineRule="exact"/>
        <w:ind w:left="1074"/>
        <w:jc w:val="both"/>
      </w:pPr>
      <w:r>
        <w:rPr>
          <w:color w:val="2A2828"/>
          <w:w w:val="110"/>
        </w:rPr>
        <w:t>Judge</w:t>
      </w:r>
      <w:r>
        <w:rPr>
          <w:color w:val="2A2828"/>
          <w:spacing w:val="27"/>
          <w:w w:val="110"/>
        </w:rPr>
        <w:t> </w:t>
      </w:r>
      <w:r>
        <w:rPr>
          <w:color w:val="3A3838"/>
          <w:w w:val="110"/>
        </w:rPr>
        <w:t>Patricia</w:t>
      </w:r>
      <w:r>
        <w:rPr>
          <w:color w:val="3A3838"/>
          <w:spacing w:val="47"/>
          <w:w w:val="110"/>
        </w:rPr>
        <w:t> </w:t>
      </w:r>
      <w:r>
        <w:rPr>
          <w:color w:val="3A3838"/>
          <w:w w:val="110"/>
        </w:rPr>
        <w:t>Wald,</w:t>
      </w:r>
      <w:r>
        <w:rPr>
          <w:color w:val="3A3838"/>
          <w:spacing w:val="40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45"/>
          <w:w w:val="110"/>
        </w:rPr>
        <w:t> </w:t>
      </w:r>
      <w:r>
        <w:rPr>
          <w:color w:val="2A2828"/>
          <w:w w:val="110"/>
        </w:rPr>
        <w:t>the</w:t>
      </w:r>
      <w:r>
        <w:rPr>
          <w:color w:val="2A2828"/>
          <w:spacing w:val="57"/>
          <w:w w:val="110"/>
        </w:rPr>
        <w:t> </w:t>
      </w:r>
      <w:r>
        <w:rPr>
          <w:color w:val="3A3838"/>
          <w:w w:val="110"/>
        </w:rPr>
        <w:t>United</w:t>
      </w:r>
      <w:r>
        <w:rPr>
          <w:color w:val="3A3838"/>
          <w:spacing w:val="25"/>
          <w:w w:val="110"/>
        </w:rPr>
        <w:t> </w:t>
      </w:r>
      <w:r>
        <w:rPr>
          <w:color w:val="3A3838"/>
          <w:w w:val="110"/>
        </w:rPr>
        <w:t>States</w:t>
      </w:r>
      <w:r>
        <w:rPr>
          <w:color w:val="3A3838"/>
          <w:spacing w:val="29"/>
          <w:w w:val="110"/>
        </w:rPr>
        <w:t> </w:t>
      </w:r>
      <w:r>
        <w:rPr>
          <w:color w:val="3A3838"/>
          <w:w w:val="110"/>
        </w:rPr>
        <w:t>Court</w:t>
      </w:r>
      <w:r>
        <w:rPr>
          <w:color w:val="3A3838"/>
          <w:spacing w:val="32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45"/>
          <w:w w:val="110"/>
        </w:rPr>
        <w:t> </w:t>
      </w:r>
      <w:r>
        <w:rPr>
          <w:color w:val="3A3838"/>
          <w:w w:val="110"/>
        </w:rPr>
        <w:t>Appeals</w:t>
      </w:r>
      <w:r>
        <w:rPr>
          <w:color w:val="3A3838"/>
          <w:spacing w:val="27"/>
          <w:w w:val="110"/>
        </w:rPr>
        <w:t> </w:t>
      </w:r>
      <w:r>
        <w:rPr>
          <w:color w:val="3A3838"/>
          <w:w w:val="110"/>
        </w:rPr>
        <w:t>for</w:t>
      </w:r>
      <w:r>
        <w:rPr>
          <w:color w:val="3A3838"/>
          <w:spacing w:val="23"/>
          <w:w w:val="110"/>
        </w:rPr>
        <w:t> </w:t>
      </w:r>
      <w:r>
        <w:rPr>
          <w:color w:val="3A3838"/>
          <w:w w:val="110"/>
        </w:rPr>
        <w:t>the</w:t>
      </w:r>
    </w:p>
    <w:p>
      <w:pPr>
        <w:pStyle w:val="BodyText"/>
        <w:spacing w:line="230" w:lineRule="auto" w:before="6"/>
        <w:ind w:left="686" w:right="113" w:firstLine="32"/>
        <w:jc w:val="both"/>
      </w:pPr>
      <w:r>
        <w:rPr>
          <w:color w:val="3A3838"/>
          <w:w w:val="115"/>
        </w:rPr>
        <w:t>District of Columbia Circuit</w:t>
      </w:r>
      <w:r>
        <w:rPr>
          <w:color w:val="545456"/>
          <w:w w:val="115"/>
        </w:rPr>
        <w:t>, </w:t>
      </w:r>
      <w:r>
        <w:rPr>
          <w:color w:val="3A3838"/>
          <w:w w:val="115"/>
        </w:rPr>
        <w:t>notes: "Confident counsel should almost</w:t>
      </w:r>
      <w:r>
        <w:rPr>
          <w:color w:val="3A3838"/>
          <w:spacing w:val="1"/>
          <w:w w:val="115"/>
        </w:rPr>
        <w:t> </w:t>
      </w:r>
      <w:r>
        <w:rPr>
          <w:color w:val="3A3838"/>
          <w:spacing w:val="-1"/>
          <w:w w:val="115"/>
        </w:rPr>
        <w:t>always </w:t>
      </w:r>
      <w:r>
        <w:rPr>
          <w:color w:val="3A3838"/>
          <w:w w:val="115"/>
        </w:rPr>
        <w:t>go for broke and rely on their one or two best arguments, aban­</w:t>
      </w:r>
      <w:r>
        <w:rPr>
          <w:color w:val="3A3838"/>
          <w:spacing w:val="-64"/>
          <w:w w:val="115"/>
        </w:rPr>
        <w:t> </w:t>
      </w:r>
      <w:r>
        <w:rPr>
          <w:color w:val="3A3838"/>
          <w:w w:val="119"/>
        </w:rPr>
        <w:t>doning</w:t>
      </w:r>
      <w:r>
        <w:rPr>
          <w:color w:val="3A3838"/>
          <w:spacing w:val="-6"/>
        </w:rPr>
        <w:t> </w:t>
      </w:r>
      <w:r>
        <w:rPr>
          <w:color w:val="3A3838"/>
          <w:spacing w:val="-1"/>
          <w:w w:val="119"/>
        </w:rPr>
        <w:t>th</w:t>
      </w:r>
      <w:r>
        <w:rPr>
          <w:color w:val="3A3838"/>
          <w:w w:val="119"/>
        </w:rPr>
        <w:t>e</w:t>
      </w:r>
      <w:r>
        <w:rPr>
          <w:color w:val="3A3838"/>
          <w:spacing w:val="-13"/>
        </w:rPr>
        <w:t> </w:t>
      </w:r>
      <w:r>
        <w:rPr>
          <w:color w:val="3A3838"/>
          <w:w w:val="122"/>
        </w:rPr>
        <w:t>other</w:t>
      </w:r>
      <w:r>
        <w:rPr>
          <w:color w:val="3A3838"/>
          <w:spacing w:val="-11"/>
        </w:rPr>
        <w:t> </w:t>
      </w:r>
      <w:r>
        <w:rPr>
          <w:color w:val="3A3838"/>
          <w:w w:val="112"/>
        </w:rPr>
        <w:t>9-10</w:t>
      </w:r>
      <w:r>
        <w:rPr>
          <w:color w:val="3A3838"/>
          <w:spacing w:val="-13"/>
        </w:rPr>
        <w:t> </w:t>
      </w:r>
      <w:r>
        <w:rPr>
          <w:color w:val="3A3838"/>
          <w:spacing w:val="-1"/>
          <w:w w:val="108"/>
        </w:rPr>
        <w:t>wish-lis</w:t>
      </w:r>
      <w:r>
        <w:rPr>
          <w:color w:val="3A3838"/>
          <w:w w:val="108"/>
        </w:rPr>
        <w:t>t</w:t>
      </w:r>
      <w:r>
        <w:rPr>
          <w:color w:val="3A3838"/>
          <w:spacing w:val="-8"/>
        </w:rPr>
        <w:t> </w:t>
      </w:r>
      <w:r>
        <w:rPr>
          <w:color w:val="3A3838"/>
          <w:spacing w:val="-1"/>
          <w:w w:val="114"/>
        </w:rPr>
        <w:t>entries</w:t>
      </w:r>
      <w:r>
        <w:rPr>
          <w:color w:val="3A3838"/>
          <w:w w:val="100"/>
        </w:rPr>
        <w:t> </w:t>
      </w:r>
      <w:r>
        <w:rPr>
          <w:color w:val="3A3838"/>
        </w:rPr>
        <w:t>      </w:t>
      </w:r>
      <w:r>
        <w:rPr>
          <w:color w:val="3A3838"/>
          <w:spacing w:val="-12"/>
        </w:rPr>
        <w:t> </w:t>
      </w:r>
      <w:r>
        <w:rPr>
          <w:color w:val="3A3838"/>
          <w:spacing w:val="-1"/>
          <w:w w:val="181"/>
        </w:rPr>
        <w:t>T</w:t>
      </w:r>
      <w:r>
        <w:rPr>
          <w:color w:val="3A3838"/>
          <w:spacing w:val="-13"/>
          <w:w w:val="181"/>
        </w:rPr>
        <w:t>h</w:t>
      </w:r>
      <w:r>
        <w:rPr>
          <w:color w:val="3A3838"/>
          <w:spacing w:val="-70"/>
          <w:w w:val="106"/>
        </w:rPr>
        <w:t>f</w:t>
      </w:r>
      <w:r>
        <w:rPr>
          <w:color w:val="3A3838"/>
          <w:spacing w:val="-117"/>
          <w:w w:val="181"/>
        </w:rPr>
        <w:t>e</w:t>
      </w:r>
      <w:r>
        <w:rPr>
          <w:color w:val="3A3838"/>
          <w:w w:val="106"/>
        </w:rPr>
        <w:t>ewer</w:t>
      </w:r>
      <w:r>
        <w:rPr>
          <w:color w:val="3A3838"/>
          <w:spacing w:val="-7"/>
        </w:rPr>
        <w:t> </w:t>
      </w:r>
      <w:r>
        <w:rPr>
          <w:color w:val="3A3838"/>
          <w:spacing w:val="-1"/>
          <w:w w:val="113"/>
        </w:rPr>
        <w:t>argument</w:t>
      </w:r>
      <w:r>
        <w:rPr>
          <w:color w:val="3A3838"/>
          <w:w w:val="113"/>
        </w:rPr>
        <w:t>s</w:t>
      </w:r>
      <w:r>
        <w:rPr>
          <w:color w:val="3A3838"/>
          <w:spacing w:val="-8"/>
        </w:rPr>
        <w:t> </w:t>
      </w:r>
      <w:r>
        <w:rPr>
          <w:color w:val="3A3838"/>
          <w:w w:val="110"/>
        </w:rPr>
        <w:t>you</w:t>
      </w:r>
      <w:r>
        <w:rPr>
          <w:color w:val="3A3838"/>
          <w:spacing w:val="-6"/>
        </w:rPr>
        <w:t> </w:t>
      </w:r>
      <w:r>
        <w:rPr>
          <w:color w:val="3A3838"/>
          <w:spacing w:val="-1"/>
          <w:w w:val="100"/>
        </w:rPr>
        <w:t>make</w:t>
      </w:r>
    </w:p>
    <w:p>
      <w:pPr>
        <w:pStyle w:val="BodyText"/>
        <w:ind w:left="691"/>
        <w:jc w:val="both"/>
      </w:pPr>
      <w:r>
        <w:rPr>
          <w:color w:val="3A3838"/>
          <w:w w:val="110"/>
        </w:rPr>
        <w:t>the </w:t>
      </w:r>
      <w:r>
        <w:rPr>
          <w:color w:val="3A3838"/>
          <w:spacing w:val="26"/>
          <w:w w:val="110"/>
        </w:rPr>
        <w:t> </w:t>
      </w:r>
      <w:r>
        <w:rPr>
          <w:color w:val="3A3838"/>
          <w:w w:val="110"/>
        </w:rPr>
        <w:t>more</w:t>
      </w:r>
      <w:r>
        <w:rPr>
          <w:color w:val="3A3838"/>
          <w:spacing w:val="22"/>
          <w:w w:val="110"/>
        </w:rPr>
        <w:t> </w:t>
      </w:r>
      <w:r>
        <w:rPr>
          <w:color w:val="3A3838"/>
          <w:w w:val="110"/>
        </w:rPr>
        <w:t>attention</w:t>
      </w:r>
      <w:r>
        <w:rPr>
          <w:color w:val="3A3838"/>
          <w:spacing w:val="43"/>
          <w:w w:val="110"/>
        </w:rPr>
        <w:t> </w:t>
      </w:r>
      <w:r>
        <w:rPr>
          <w:color w:val="3A3838"/>
          <w:w w:val="110"/>
        </w:rPr>
        <w:t>they</w:t>
      </w:r>
      <w:r>
        <w:rPr>
          <w:color w:val="3A3838"/>
          <w:spacing w:val="27"/>
          <w:w w:val="110"/>
        </w:rPr>
        <w:t> </w:t>
      </w:r>
      <w:r>
        <w:rPr>
          <w:color w:val="3A3838"/>
          <w:w w:val="110"/>
        </w:rPr>
        <w:t>will</w:t>
      </w:r>
      <w:r>
        <w:rPr>
          <w:color w:val="3A3838"/>
          <w:spacing w:val="14"/>
          <w:w w:val="110"/>
        </w:rPr>
        <w:t> </w:t>
      </w:r>
      <w:r>
        <w:rPr>
          <w:color w:val="3A3838"/>
          <w:w w:val="110"/>
        </w:rPr>
        <w:t>get</w:t>
      </w:r>
      <w:r>
        <w:rPr>
          <w:color w:val="3A3838"/>
          <w:spacing w:val="46"/>
          <w:w w:val="110"/>
        </w:rPr>
        <w:t> </w:t>
      </w:r>
      <w:r>
        <w:rPr>
          <w:color w:val="3A3838"/>
          <w:w w:val="110"/>
        </w:rPr>
        <w:t>from</w:t>
      </w:r>
      <w:r>
        <w:rPr>
          <w:color w:val="3A3838"/>
          <w:spacing w:val="37"/>
          <w:w w:val="110"/>
        </w:rPr>
        <w:t> </w:t>
      </w:r>
      <w:r>
        <w:rPr>
          <w:color w:val="3A3838"/>
          <w:w w:val="110"/>
        </w:rPr>
        <w:t>us</w:t>
      </w:r>
      <w:r>
        <w:rPr>
          <w:color w:val="3A3838"/>
          <w:spacing w:val="13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61"/>
          <w:w w:val="110"/>
        </w:rPr>
        <w:t> </w:t>
      </w:r>
      <w:r>
        <w:rPr>
          <w:color w:val="3A3838"/>
          <w:w w:val="110"/>
        </w:rPr>
        <w:t>preparing</w:t>
      </w:r>
      <w:r>
        <w:rPr>
          <w:color w:val="3A3838"/>
          <w:spacing w:val="22"/>
          <w:w w:val="110"/>
        </w:rPr>
        <w:t> </w:t>
      </w:r>
      <w:r>
        <w:rPr>
          <w:color w:val="3A3838"/>
          <w:w w:val="110"/>
        </w:rPr>
        <w:t>and</w:t>
      </w:r>
      <w:r>
        <w:rPr>
          <w:color w:val="3A3838"/>
          <w:spacing w:val="43"/>
          <w:w w:val="110"/>
        </w:rPr>
        <w:t> </w:t>
      </w:r>
      <w:r>
        <w:rPr>
          <w:color w:val="3A3838"/>
          <w:w w:val="110"/>
        </w:rPr>
        <w:t>disposing</w:t>
      </w:r>
      <w:r>
        <w:rPr>
          <w:color w:val="3A3838"/>
          <w:spacing w:val="16"/>
          <w:w w:val="110"/>
        </w:rPr>
        <w:t> </w:t>
      </w:r>
      <w:r>
        <w:rPr>
          <w:color w:val="3A3838"/>
          <w:w w:val="110"/>
        </w:rPr>
        <w:t>of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0"/>
        </w:rPr>
      </w:pPr>
    </w:p>
    <w:p>
      <w:pPr>
        <w:spacing w:before="0"/>
        <w:ind w:left="1022" w:right="0" w:firstLine="0"/>
        <w:jc w:val="left"/>
        <w:rPr>
          <w:sz w:val="17"/>
        </w:rPr>
      </w:pPr>
      <w:r>
        <w:rPr>
          <w:color w:val="3A3838"/>
          <w:w w:val="95"/>
          <w:sz w:val="17"/>
        </w:rPr>
        <w:t>$Harry</w:t>
      </w:r>
      <w:r>
        <w:rPr>
          <w:color w:val="3A3838"/>
          <w:spacing w:val="32"/>
          <w:w w:val="95"/>
          <w:sz w:val="17"/>
        </w:rPr>
        <w:t> </w:t>
      </w:r>
      <w:r>
        <w:rPr>
          <w:color w:val="3A3838"/>
          <w:w w:val="95"/>
          <w:sz w:val="19"/>
        </w:rPr>
        <w:t>Pregerson</w:t>
      </w:r>
      <w:r>
        <w:rPr>
          <w:color w:val="545456"/>
          <w:w w:val="95"/>
          <w:sz w:val="19"/>
        </w:rPr>
        <w:t>,</w:t>
      </w:r>
      <w:r>
        <w:rPr>
          <w:color w:val="545456"/>
          <w:spacing w:val="35"/>
          <w:w w:val="95"/>
          <w:sz w:val="19"/>
        </w:rPr>
        <w:t> </w:t>
      </w:r>
      <w:r>
        <w:rPr>
          <w:i/>
          <w:color w:val="3A3838"/>
          <w:w w:val="95"/>
          <w:sz w:val="19"/>
        </w:rPr>
        <w:t>Appe/late</w:t>
      </w:r>
      <w:r>
        <w:rPr>
          <w:i/>
          <w:color w:val="3A3838"/>
          <w:spacing w:val="32"/>
          <w:w w:val="95"/>
          <w:sz w:val="19"/>
        </w:rPr>
        <w:t> </w:t>
      </w:r>
      <w:r>
        <w:rPr>
          <w:i/>
          <w:color w:val="3A3838"/>
          <w:w w:val="95"/>
          <w:sz w:val="19"/>
        </w:rPr>
        <w:t>Brief</w:t>
      </w:r>
      <w:r>
        <w:rPr>
          <w:i/>
          <w:color w:val="3A3838"/>
          <w:spacing w:val="8"/>
          <w:w w:val="95"/>
          <w:sz w:val="19"/>
        </w:rPr>
        <w:t> </w:t>
      </w:r>
      <w:r>
        <w:rPr>
          <w:i/>
          <w:color w:val="3A3838"/>
          <w:w w:val="95"/>
          <w:sz w:val="19"/>
        </w:rPr>
        <w:t>Writi</w:t>
      </w:r>
      <w:r>
        <w:rPr>
          <w:i/>
          <w:color w:val="545456"/>
          <w:w w:val="95"/>
          <w:sz w:val="19"/>
        </w:rPr>
        <w:t>n</w:t>
      </w:r>
      <w:r>
        <w:rPr>
          <w:i/>
          <w:color w:val="3A3838"/>
          <w:w w:val="95"/>
          <w:sz w:val="19"/>
        </w:rPr>
        <w:t>g</w:t>
      </w:r>
      <w:r>
        <w:rPr>
          <w:i/>
          <w:color w:val="3A3838"/>
          <w:spacing w:val="33"/>
          <w:w w:val="95"/>
          <w:sz w:val="19"/>
        </w:rPr>
        <w:t> </w:t>
      </w:r>
      <w:r>
        <w:rPr>
          <w:i/>
          <w:color w:val="3A3838"/>
          <w:w w:val="95"/>
          <w:sz w:val="19"/>
        </w:rPr>
        <w:t>and</w:t>
      </w:r>
      <w:r>
        <w:rPr>
          <w:i/>
          <w:color w:val="3A3838"/>
          <w:spacing w:val="18"/>
          <w:w w:val="95"/>
          <w:sz w:val="19"/>
        </w:rPr>
        <w:t> </w:t>
      </w:r>
      <w:r>
        <w:rPr>
          <w:i/>
          <w:color w:val="3A3838"/>
          <w:w w:val="95"/>
          <w:sz w:val="19"/>
        </w:rPr>
        <w:t>Other</w:t>
      </w:r>
      <w:r>
        <w:rPr>
          <w:i/>
          <w:color w:val="3A3838"/>
          <w:spacing w:val="-6"/>
          <w:w w:val="95"/>
          <w:sz w:val="19"/>
        </w:rPr>
        <w:t> </w:t>
      </w:r>
      <w:r>
        <w:rPr>
          <w:i/>
          <w:color w:val="3A3838"/>
          <w:w w:val="95"/>
          <w:sz w:val="19"/>
        </w:rPr>
        <w:t>Transgressions,</w:t>
      </w:r>
      <w:r>
        <w:rPr>
          <w:i/>
          <w:color w:val="3A3838"/>
          <w:spacing w:val="2"/>
          <w:w w:val="95"/>
          <w:sz w:val="19"/>
        </w:rPr>
        <w:t> </w:t>
      </w:r>
      <w:r>
        <w:rPr>
          <w:color w:val="3A3838"/>
          <w:w w:val="95"/>
          <w:sz w:val="17"/>
        </w:rPr>
        <w:t>34</w:t>
      </w:r>
      <w:r>
        <w:rPr>
          <w:color w:val="3A3838"/>
          <w:spacing w:val="92"/>
          <w:sz w:val="17"/>
        </w:rPr>
        <w:t> </w:t>
      </w:r>
      <w:r>
        <w:rPr>
          <w:color w:val="3A3838"/>
          <w:w w:val="95"/>
          <w:sz w:val="17"/>
        </w:rPr>
        <w:t>UCLA</w:t>
      </w:r>
      <w:r>
        <w:rPr>
          <w:color w:val="3A3838"/>
          <w:spacing w:val="44"/>
          <w:sz w:val="17"/>
        </w:rPr>
        <w:t> </w:t>
      </w:r>
      <w:r>
        <w:rPr>
          <w:color w:val="3A3838"/>
          <w:w w:val="95"/>
          <w:sz w:val="18"/>
        </w:rPr>
        <w:t>L.</w:t>
      </w:r>
      <w:r>
        <w:rPr>
          <w:color w:val="3A3838"/>
          <w:spacing w:val="18"/>
          <w:w w:val="95"/>
          <w:sz w:val="18"/>
        </w:rPr>
        <w:t> </w:t>
      </w:r>
      <w:r>
        <w:rPr>
          <w:color w:val="3A3838"/>
          <w:w w:val="95"/>
          <w:sz w:val="17"/>
        </w:rPr>
        <w:t>Rev</w:t>
      </w:r>
      <w:r>
        <w:rPr>
          <w:color w:val="545456"/>
          <w:w w:val="95"/>
          <w:sz w:val="17"/>
        </w:rPr>
        <w:t>.</w:t>
      </w:r>
      <w:r>
        <w:rPr>
          <w:color w:val="545456"/>
          <w:spacing w:val="17"/>
          <w:w w:val="95"/>
          <w:sz w:val="17"/>
        </w:rPr>
        <w:t> </w:t>
      </w:r>
      <w:r>
        <w:rPr>
          <w:color w:val="3A3838"/>
          <w:w w:val="95"/>
          <w:sz w:val="17"/>
        </w:rPr>
        <w:t>431,</w:t>
      </w:r>
      <w:r>
        <w:rPr>
          <w:color w:val="3A3838"/>
          <w:spacing w:val="15"/>
          <w:w w:val="95"/>
          <w:sz w:val="17"/>
        </w:rPr>
        <w:t> </w:t>
      </w:r>
      <w:r>
        <w:rPr>
          <w:color w:val="3A3838"/>
          <w:w w:val="95"/>
          <w:sz w:val="17"/>
        </w:rPr>
        <w:t>436</w:t>
      </w:r>
    </w:p>
    <w:p>
      <w:pPr>
        <w:spacing w:line="170" w:lineRule="exact" w:before="30"/>
        <w:ind w:left="622" w:right="0" w:firstLine="0"/>
        <w:jc w:val="left"/>
        <w:rPr>
          <w:rFonts w:ascii="Arial"/>
          <w:i/>
          <w:sz w:val="16"/>
        </w:rPr>
      </w:pPr>
      <w:r>
        <w:rPr>
          <w:rFonts w:ascii="Arial"/>
          <w:i/>
          <w:color w:val="3A3838"/>
          <w:w w:val="110"/>
          <w:sz w:val="16"/>
        </w:rPr>
        <w:t>(1986)</w:t>
      </w:r>
      <w:r>
        <w:rPr>
          <w:rFonts w:ascii="Arial"/>
          <w:i/>
          <w:color w:val="545456"/>
          <w:w w:val="110"/>
          <w:sz w:val="16"/>
        </w:rPr>
        <w:t>.</w:t>
      </w:r>
    </w:p>
    <w:p>
      <w:pPr>
        <w:spacing w:line="187" w:lineRule="exact" w:before="0"/>
        <w:ind w:left="998" w:right="0" w:firstLine="0"/>
        <w:jc w:val="left"/>
        <w:rPr>
          <w:sz w:val="17"/>
        </w:rPr>
      </w:pPr>
      <w:r>
        <w:rPr>
          <w:rFonts w:ascii="Arial"/>
          <w:color w:val="545456"/>
          <w:w w:val="110"/>
          <w:position w:val="5"/>
          <w:sz w:val="10"/>
        </w:rPr>
        <w:t>6</w:t>
      </w:r>
      <w:r>
        <w:rPr>
          <w:color w:val="3A3838"/>
          <w:w w:val="110"/>
          <w:sz w:val="17"/>
        </w:rPr>
        <w:t>Saufley</w:t>
      </w:r>
      <w:r>
        <w:rPr>
          <w:color w:val="545456"/>
          <w:w w:val="110"/>
          <w:sz w:val="17"/>
        </w:rPr>
        <w:t>,</w:t>
      </w:r>
      <w:r>
        <w:rPr>
          <w:color w:val="545456"/>
          <w:spacing w:val="13"/>
          <w:w w:val="110"/>
          <w:sz w:val="17"/>
        </w:rPr>
        <w:t> </w:t>
      </w:r>
      <w:r>
        <w:rPr>
          <w:i/>
          <w:color w:val="3A3838"/>
          <w:w w:val="110"/>
          <w:sz w:val="19"/>
        </w:rPr>
        <w:t>supra</w:t>
      </w:r>
      <w:r>
        <w:rPr>
          <w:i/>
          <w:color w:val="3A3838"/>
          <w:spacing w:val="-4"/>
          <w:w w:val="110"/>
          <w:sz w:val="19"/>
        </w:rPr>
        <w:t> </w:t>
      </w:r>
      <w:r>
        <w:rPr>
          <w:color w:val="3A3838"/>
          <w:w w:val="110"/>
          <w:sz w:val="17"/>
        </w:rPr>
        <w:t>note</w:t>
      </w:r>
      <w:r>
        <w:rPr>
          <w:color w:val="3A3838"/>
          <w:spacing w:val="-11"/>
          <w:w w:val="110"/>
          <w:sz w:val="17"/>
        </w:rPr>
        <w:t> </w:t>
      </w:r>
      <w:r>
        <w:rPr>
          <w:rFonts w:ascii="Arial"/>
          <w:b/>
          <w:color w:val="3A3838"/>
          <w:w w:val="110"/>
          <w:sz w:val="16"/>
        </w:rPr>
        <w:t>4</w:t>
      </w:r>
      <w:r>
        <w:rPr>
          <w:rFonts w:ascii="Arial"/>
          <w:b/>
          <w:color w:val="545456"/>
          <w:w w:val="110"/>
          <w:sz w:val="16"/>
        </w:rPr>
        <w:t>, </w:t>
      </w:r>
      <w:r>
        <w:rPr>
          <w:b/>
          <w:color w:val="3A3838"/>
          <w:w w:val="110"/>
          <w:sz w:val="16"/>
        </w:rPr>
        <w:t>at</w:t>
      </w:r>
      <w:r>
        <w:rPr>
          <w:b/>
          <w:color w:val="3A3838"/>
          <w:spacing w:val="14"/>
          <w:w w:val="110"/>
          <w:sz w:val="16"/>
        </w:rPr>
        <w:t> </w:t>
      </w:r>
      <w:r>
        <w:rPr>
          <w:color w:val="3A3838"/>
          <w:w w:val="110"/>
          <w:sz w:val="17"/>
        </w:rPr>
        <w:t>23.</w:t>
      </w:r>
    </w:p>
    <w:p>
      <w:pPr>
        <w:spacing w:line="201" w:lineRule="exact" w:before="0"/>
        <w:ind w:left="995" w:right="0" w:firstLine="0"/>
        <w:jc w:val="left"/>
        <w:rPr>
          <w:sz w:val="19"/>
        </w:rPr>
      </w:pPr>
      <w:r>
        <w:rPr>
          <w:color w:val="545456"/>
          <w:sz w:val="17"/>
        </w:rPr>
        <w:t>'</w:t>
      </w:r>
      <w:r>
        <w:rPr>
          <w:color w:val="3A3838"/>
          <w:sz w:val="17"/>
        </w:rPr>
        <w:t>Ruth</w:t>
      </w:r>
      <w:r>
        <w:rPr>
          <w:color w:val="3A3838"/>
          <w:spacing w:val="15"/>
          <w:sz w:val="17"/>
        </w:rPr>
        <w:t> </w:t>
      </w:r>
      <w:r>
        <w:rPr>
          <w:color w:val="3A3838"/>
          <w:sz w:val="17"/>
        </w:rPr>
        <w:t>Bader</w:t>
      </w:r>
      <w:r>
        <w:rPr>
          <w:color w:val="3A3838"/>
          <w:spacing w:val="-7"/>
          <w:sz w:val="17"/>
        </w:rPr>
        <w:t> </w:t>
      </w:r>
      <w:r>
        <w:rPr>
          <w:color w:val="3A3838"/>
          <w:sz w:val="19"/>
        </w:rPr>
        <w:t>Ginsburg,</w:t>
      </w:r>
      <w:r>
        <w:rPr>
          <w:color w:val="3A3838"/>
          <w:spacing w:val="16"/>
          <w:sz w:val="19"/>
        </w:rPr>
        <w:t> </w:t>
      </w:r>
      <w:r>
        <w:rPr>
          <w:i/>
          <w:color w:val="3A3838"/>
          <w:sz w:val="19"/>
        </w:rPr>
        <w:t>Remarks</w:t>
      </w:r>
      <w:r>
        <w:rPr>
          <w:i/>
          <w:color w:val="3A3838"/>
          <w:spacing w:val="-9"/>
          <w:sz w:val="19"/>
        </w:rPr>
        <w:t> </w:t>
      </w:r>
      <w:r>
        <w:rPr>
          <w:i/>
          <w:color w:val="3A3838"/>
          <w:sz w:val="19"/>
        </w:rPr>
        <w:t>on</w:t>
      </w:r>
      <w:r>
        <w:rPr>
          <w:i/>
          <w:color w:val="3A3838"/>
          <w:spacing w:val="24"/>
          <w:sz w:val="19"/>
        </w:rPr>
        <w:t> </w:t>
      </w:r>
      <w:r>
        <w:rPr>
          <w:i/>
          <w:color w:val="3A3838"/>
          <w:sz w:val="19"/>
        </w:rPr>
        <w:t>Appellate</w:t>
      </w:r>
      <w:r>
        <w:rPr>
          <w:i/>
          <w:color w:val="3A3838"/>
          <w:spacing w:val="-3"/>
          <w:sz w:val="19"/>
        </w:rPr>
        <w:t> </w:t>
      </w:r>
      <w:r>
        <w:rPr>
          <w:i/>
          <w:color w:val="3A3838"/>
          <w:sz w:val="19"/>
        </w:rPr>
        <w:t>Advocacy,</w:t>
      </w:r>
      <w:r>
        <w:rPr>
          <w:i/>
          <w:color w:val="3A3838"/>
          <w:spacing w:val="-7"/>
          <w:sz w:val="19"/>
        </w:rPr>
        <w:t> </w:t>
      </w:r>
      <w:r>
        <w:rPr>
          <w:color w:val="3A3838"/>
          <w:sz w:val="17"/>
        </w:rPr>
        <w:t>SO</w:t>
      </w:r>
      <w:r>
        <w:rPr>
          <w:color w:val="3A3838"/>
          <w:spacing w:val="-26"/>
          <w:sz w:val="17"/>
        </w:rPr>
        <w:t> </w:t>
      </w:r>
      <w:r>
        <w:rPr>
          <w:color w:val="3A3838"/>
          <w:sz w:val="17"/>
        </w:rPr>
        <w:t>S</w:t>
      </w:r>
      <w:r>
        <w:rPr>
          <w:color w:val="545456"/>
          <w:sz w:val="17"/>
        </w:rPr>
        <w:t>.</w:t>
      </w:r>
      <w:r>
        <w:rPr>
          <w:color w:val="3A3838"/>
          <w:sz w:val="17"/>
        </w:rPr>
        <w:t>C.</w:t>
      </w:r>
      <w:r>
        <w:rPr>
          <w:color w:val="3A3838"/>
          <w:spacing w:val="15"/>
          <w:sz w:val="17"/>
        </w:rPr>
        <w:t> </w:t>
      </w:r>
      <w:r>
        <w:rPr>
          <w:color w:val="2A2828"/>
          <w:sz w:val="19"/>
        </w:rPr>
        <w:t>L.</w:t>
      </w:r>
      <w:r>
        <w:rPr>
          <w:color w:val="2A2828"/>
          <w:spacing w:val="4"/>
          <w:sz w:val="19"/>
        </w:rPr>
        <w:t> </w:t>
      </w:r>
      <w:r>
        <w:rPr>
          <w:color w:val="3A3838"/>
          <w:sz w:val="17"/>
        </w:rPr>
        <w:t>Rev</w:t>
      </w:r>
      <w:r>
        <w:rPr>
          <w:color w:val="545456"/>
          <w:sz w:val="17"/>
        </w:rPr>
        <w:t>.</w:t>
      </w:r>
      <w:r>
        <w:rPr>
          <w:color w:val="545456"/>
          <w:spacing w:val="9"/>
          <w:sz w:val="17"/>
        </w:rPr>
        <w:t> </w:t>
      </w:r>
      <w:r>
        <w:rPr>
          <w:color w:val="3A3838"/>
          <w:sz w:val="19"/>
        </w:rPr>
        <w:t>567,568 (1999).</w:t>
      </w:r>
    </w:p>
    <w:p>
      <w:pPr>
        <w:spacing w:after="0" w:line="201" w:lineRule="exact"/>
        <w:jc w:val="left"/>
        <w:rPr>
          <w:sz w:val="19"/>
        </w:rPr>
        <w:sectPr>
          <w:headerReference w:type="even" r:id="rId287"/>
          <w:headerReference w:type="default" r:id="rId288"/>
          <w:pgSz w:w="9810" w:h="13990"/>
          <w:pgMar w:header="504" w:footer="0" w:top="1060" w:bottom="280" w:left="1360" w:right="120"/>
          <w:pgNumType w:start="254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32" w:lineRule="auto"/>
        <w:ind w:left="100" w:right="536" w:firstLine="13"/>
        <w:jc w:val="both"/>
      </w:pPr>
      <w:r>
        <w:rPr>
          <w:color w:val="383638"/>
          <w:w w:val="105"/>
        </w:rPr>
        <w:t>your case."</w:t>
      </w:r>
      <w:r>
        <w:rPr>
          <w:rFonts w:ascii="Arial" w:hAnsi="Arial"/>
          <w:color w:val="383638"/>
          <w:w w:val="105"/>
          <w:vertAlign w:val="superscript"/>
        </w:rPr>
        <w:t>8</w:t>
      </w:r>
      <w:r>
        <w:rPr>
          <w:rFonts w:ascii="Arial" w:hAnsi="Arial"/>
          <w:color w:val="383638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Judge Pierce notes that trial judges make "relatively few mis­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takes" and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that a brief that asserts a half-dozen or mor</w:t>
      </w:r>
      <w:r>
        <w:rPr>
          <w:color w:val="4F4F50"/>
          <w:w w:val="105"/>
          <w:vertAlign w:val="baseline"/>
        </w:rPr>
        <w:t>e </w:t>
      </w:r>
      <w:r>
        <w:rPr>
          <w:color w:val="383638"/>
          <w:w w:val="105"/>
          <w:vertAlign w:val="baseline"/>
        </w:rPr>
        <w:t>key points of error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may "needlessly divert" the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judge</w:t>
      </w:r>
      <w:r>
        <w:rPr>
          <w:color w:val="4F4F50"/>
          <w:w w:val="105"/>
          <w:vertAlign w:val="baseline"/>
        </w:rPr>
        <w:t>'</w:t>
      </w:r>
      <w:r>
        <w:rPr>
          <w:color w:val="383638"/>
          <w:w w:val="105"/>
          <w:vertAlign w:val="baseline"/>
        </w:rPr>
        <w:t>s attention from the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more compelling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grounds, with the  </w:t>
      </w:r>
      <w:r>
        <w:rPr>
          <w:color w:val="4F4F50"/>
          <w:w w:val="105"/>
          <w:vertAlign w:val="baseline"/>
        </w:rPr>
        <w:t>r</w:t>
      </w:r>
      <w:r>
        <w:rPr>
          <w:color w:val="383638"/>
          <w:w w:val="105"/>
          <w:vertAlign w:val="baseline"/>
        </w:rPr>
        <w:t>e</w:t>
      </w:r>
      <w:r>
        <w:rPr>
          <w:color w:val="4F4F50"/>
          <w:w w:val="105"/>
          <w:vertAlign w:val="baseline"/>
        </w:rPr>
        <w:t>s</w:t>
      </w:r>
      <w:r>
        <w:rPr>
          <w:color w:val="383638"/>
          <w:w w:val="105"/>
          <w:vertAlign w:val="baseline"/>
        </w:rPr>
        <w:t>ult that the court's ability to recognize the  validity of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any one of the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grounds "decreases significantly."</w:t>
      </w:r>
      <w:r>
        <w:rPr>
          <w:rFonts w:ascii="Arial" w:hAnsi="Arial"/>
          <w:color w:val="383638"/>
          <w:w w:val="105"/>
          <w:vertAlign w:val="superscript"/>
        </w:rPr>
        <w:t>9</w:t>
      </w:r>
      <w:r>
        <w:rPr>
          <w:rFonts w:ascii="Arial" w:hAnsi="Arial"/>
          <w:color w:val="383638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Similarly, former Chief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Justice Burger has  noted that "a brief that raises every colorable issue runs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the risk of burying good arguments."</w:t>
      </w:r>
      <w:r>
        <w:rPr>
          <w:color w:val="383638"/>
          <w:w w:val="105"/>
          <w:vertAlign w:val="superscript"/>
        </w:rPr>
        <w:t>10</w:t>
      </w:r>
      <w:r>
        <w:rPr>
          <w:color w:val="383638"/>
          <w:w w:val="105"/>
          <w:vertAlign w:val="baseline"/>
        </w:rPr>
        <w:t> Judge Wiener advises that counsel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should "[d]ecide which  legal arguments are key to  resol</w:t>
      </w:r>
      <w:r>
        <w:rPr>
          <w:color w:val="4F4F50"/>
          <w:w w:val="105"/>
          <w:vertAlign w:val="baseline"/>
        </w:rPr>
        <w:t>v</w:t>
      </w:r>
      <w:r>
        <w:rPr>
          <w:color w:val="383638"/>
          <w:w w:val="105"/>
          <w:vertAlign w:val="baseline"/>
        </w:rPr>
        <w:t>ing the  issues of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the case in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your client's favor," and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should "[f]orce" themselves to "omit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fringe issues and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far-out theories</w:t>
      </w:r>
      <w:r>
        <w:rPr>
          <w:color w:val="4F4F50"/>
          <w:w w:val="105"/>
          <w:vertAlign w:val="baseline"/>
        </w:rPr>
        <w:t>; </w:t>
      </w:r>
      <w:r>
        <w:rPr>
          <w:color w:val="383638"/>
          <w:w w:val="105"/>
          <w:vertAlign w:val="baseline"/>
        </w:rPr>
        <w:t>they will only dull the  thrust of  your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appeal and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obscure the potentially winn</w:t>
      </w:r>
      <w:r>
        <w:rPr>
          <w:color w:val="4F4F50"/>
          <w:w w:val="105"/>
          <w:vertAlign w:val="baseline"/>
        </w:rPr>
        <w:t>i</w:t>
      </w:r>
      <w:r>
        <w:rPr>
          <w:color w:val="383638"/>
          <w:w w:val="105"/>
          <w:vertAlign w:val="baseline"/>
        </w:rPr>
        <w:t>ng points.'</w:t>
      </w:r>
      <w:r>
        <w:rPr>
          <w:color w:val="383638"/>
          <w:w w:val="105"/>
          <w:vertAlign w:val="superscript"/>
        </w:rPr>
        <w:t>111</w:t>
      </w:r>
      <w:r>
        <w:rPr>
          <w:color w:val="383638"/>
          <w:w w:val="105"/>
          <w:vertAlign w:val="baseline"/>
        </w:rPr>
        <w:t> Finally, Judge Parker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notes that you do a disservice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to  your client  when  you raise too  many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issues on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appeal, noting that if you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raise 20 issues and give them all "equal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[time)-and  therefore,  short-shrift," you  may fail  to  convince  the   court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that the district court "committed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just one error which  justifies some relief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for</w:t>
      </w:r>
      <w:r>
        <w:rPr>
          <w:color w:val="383638"/>
          <w:spacing w:val="-16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your</w:t>
      </w:r>
      <w:r>
        <w:rPr>
          <w:color w:val="383638"/>
          <w:spacing w:val="-10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client."</w:t>
      </w:r>
      <w:r>
        <w:rPr>
          <w:color w:val="383638"/>
          <w:w w:val="105"/>
          <w:vertAlign w:val="superscript"/>
        </w:rPr>
        <w:t>12</w:t>
      </w:r>
    </w:p>
    <w:p>
      <w:pPr>
        <w:pStyle w:val="BodyText"/>
        <w:spacing w:line="232" w:lineRule="auto" w:before="7"/>
        <w:ind w:left="126" w:right="456" w:firstLine="319"/>
        <w:jc w:val="both"/>
      </w:pPr>
      <w:r>
        <w:rPr>
          <w:color w:val="383638"/>
          <w:w w:val="110"/>
        </w:rPr>
        <w:t>Thus, when choosing issues and arguments, restrict your brief to those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that are best supported by both the lawand the facts. Not every error is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worthy of appeal, or even of argument. Before arguing about an error </w:t>
      </w:r>
      <w:r>
        <w:rPr>
          <w:color w:val="383638"/>
          <w:w w:val="110"/>
          <w:sz w:val="20"/>
        </w:rPr>
        <w:t>in</w:t>
      </w:r>
      <w:r>
        <w:rPr>
          <w:color w:val="383638"/>
          <w:spacing w:val="1"/>
          <w:w w:val="110"/>
          <w:sz w:val="20"/>
        </w:rPr>
        <w:t> </w:t>
      </w:r>
      <w:r>
        <w:rPr>
          <w:color w:val="383638"/>
          <w:w w:val="110"/>
        </w:rPr>
        <w:t>the trial court, identify a cau</w:t>
      </w:r>
      <w:r>
        <w:rPr>
          <w:color w:val="4F4F50"/>
          <w:w w:val="110"/>
        </w:rPr>
        <w:t>s</w:t>
      </w:r>
      <w:r>
        <w:rPr>
          <w:color w:val="383638"/>
          <w:w w:val="110"/>
        </w:rPr>
        <w:t>al link between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error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court's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judgment against yow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client; without that link, the error is irrel</w:t>
      </w:r>
      <w:r>
        <w:rPr>
          <w:color w:val="4F4F50"/>
          <w:w w:val="110"/>
        </w:rPr>
        <w:t>e</w:t>
      </w:r>
      <w:r>
        <w:rPr>
          <w:color w:val="383638"/>
          <w:w w:val="110"/>
        </w:rPr>
        <w:t>vant.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Before filing a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motion, identify a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valid  purpose for that  motion. While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 may sometimes file a motion as a method of narrowing issues rather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than in a bona fide attempt to dispose of the whole case, be sure that 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are not wasting the court's time. Furthermore, remember that the validity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of each individual argument has an impact on the whole brief. Every spe­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cious argument chips </w:t>
      </w:r>
      <w:r>
        <w:rPr>
          <w:rFonts w:ascii="Arial" w:hAnsi="Arial"/>
          <w:b/>
          <w:color w:val="383638"/>
          <w:spacing w:val="-1"/>
          <w:w w:val="110"/>
          <w:sz w:val="22"/>
        </w:rPr>
        <w:t>away </w:t>
      </w:r>
      <w:r>
        <w:rPr>
          <w:color w:val="383638"/>
          <w:spacing w:val="-1"/>
          <w:w w:val="110"/>
        </w:rPr>
        <w:t>at your </w:t>
      </w:r>
      <w:r>
        <w:rPr>
          <w:color w:val="383638"/>
          <w:w w:val="110"/>
        </w:rPr>
        <w:t>overall credibility. When all the argu­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ments are legitimate, on the other hand, the stock of the whole brief rises,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along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with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counsel.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</w:pPr>
    </w:p>
    <w:p>
      <w:pPr>
        <w:spacing w:before="0"/>
        <w:ind w:left="716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383638"/>
          <w:w w:val="105"/>
          <w:sz w:val="32"/>
        </w:rPr>
        <w:t>11.</w:t>
      </w:r>
      <w:r>
        <w:rPr>
          <w:rFonts w:ascii="Arial"/>
          <w:b/>
          <w:color w:val="4F4F50"/>
          <w:w w:val="105"/>
          <w:sz w:val="32"/>
        </w:rPr>
        <w:t>4</w:t>
      </w:r>
    </w:p>
    <w:p>
      <w:pPr>
        <w:spacing w:before="73"/>
        <w:ind w:left="723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383638"/>
          <w:w w:val="105"/>
          <w:sz w:val="26"/>
        </w:rPr>
        <w:t>EXP</w:t>
      </w:r>
      <w:r>
        <w:rPr>
          <w:rFonts w:ascii="Arial"/>
          <w:b/>
          <w:color w:val="4F4F50"/>
          <w:w w:val="105"/>
          <w:sz w:val="26"/>
        </w:rPr>
        <w:t>LO</w:t>
      </w:r>
      <w:r>
        <w:rPr>
          <w:rFonts w:ascii="Arial"/>
          <w:b/>
          <w:color w:val="383638"/>
          <w:w w:val="105"/>
          <w:sz w:val="26"/>
        </w:rPr>
        <w:t>ITING</w:t>
      </w:r>
      <w:r>
        <w:rPr>
          <w:rFonts w:ascii="Arial"/>
          <w:b/>
          <w:color w:val="383638"/>
          <w:spacing w:val="43"/>
          <w:w w:val="105"/>
          <w:sz w:val="26"/>
        </w:rPr>
        <w:t> </w:t>
      </w:r>
      <w:r>
        <w:rPr>
          <w:rFonts w:ascii="Arial"/>
          <w:b/>
          <w:color w:val="383638"/>
          <w:w w:val="105"/>
          <w:sz w:val="26"/>
        </w:rPr>
        <w:t>PO</w:t>
      </w:r>
      <w:r>
        <w:rPr>
          <w:rFonts w:ascii="Arial"/>
          <w:b/>
          <w:color w:val="4F4F50"/>
          <w:w w:val="105"/>
          <w:sz w:val="26"/>
        </w:rPr>
        <w:t>SI</w:t>
      </w:r>
      <w:r>
        <w:rPr>
          <w:rFonts w:ascii="Arial"/>
          <w:b/>
          <w:color w:val="383638"/>
          <w:w w:val="105"/>
          <w:sz w:val="26"/>
        </w:rPr>
        <w:t>T</w:t>
      </w:r>
      <w:r>
        <w:rPr>
          <w:rFonts w:ascii="Arial"/>
          <w:b/>
          <w:color w:val="4F4F50"/>
          <w:w w:val="105"/>
          <w:sz w:val="26"/>
        </w:rPr>
        <w:t>I</w:t>
      </w:r>
      <w:r>
        <w:rPr>
          <w:rFonts w:ascii="Arial"/>
          <w:b/>
          <w:color w:val="383638"/>
          <w:w w:val="105"/>
          <w:sz w:val="26"/>
        </w:rPr>
        <w:t>ONS</w:t>
      </w:r>
      <w:r>
        <w:rPr>
          <w:rFonts w:ascii="Arial"/>
          <w:b/>
          <w:color w:val="383638"/>
          <w:spacing w:val="-23"/>
          <w:w w:val="105"/>
          <w:sz w:val="26"/>
        </w:rPr>
        <w:t> </w:t>
      </w:r>
      <w:r>
        <w:rPr>
          <w:rFonts w:ascii="Arial"/>
          <w:b/>
          <w:color w:val="383638"/>
          <w:w w:val="105"/>
          <w:sz w:val="26"/>
        </w:rPr>
        <w:t>OF</w:t>
      </w:r>
      <w:r>
        <w:rPr>
          <w:rFonts w:ascii="Arial"/>
          <w:b/>
          <w:color w:val="383638"/>
          <w:spacing w:val="11"/>
          <w:w w:val="105"/>
          <w:sz w:val="26"/>
        </w:rPr>
        <w:t> </w:t>
      </w:r>
      <w:r>
        <w:rPr>
          <w:rFonts w:ascii="Arial"/>
          <w:b/>
          <w:color w:val="383638"/>
          <w:w w:val="105"/>
          <w:sz w:val="26"/>
        </w:rPr>
        <w:t>EM</w:t>
      </w:r>
      <w:r>
        <w:rPr>
          <w:rFonts w:ascii="Arial"/>
          <w:b/>
          <w:color w:val="4F4F50"/>
          <w:w w:val="105"/>
          <w:sz w:val="26"/>
        </w:rPr>
        <w:t>P</w:t>
      </w:r>
      <w:r>
        <w:rPr>
          <w:rFonts w:ascii="Arial"/>
          <w:b/>
          <w:color w:val="383638"/>
          <w:w w:val="105"/>
          <w:sz w:val="26"/>
        </w:rPr>
        <w:t>HASIS</w:t>
      </w: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pStyle w:val="BodyText"/>
        <w:spacing w:line="228" w:lineRule="auto"/>
        <w:ind w:left="151" w:firstLine="548"/>
      </w:pPr>
      <w:r>
        <w:rPr>
          <w:color w:val="383638"/>
          <w:w w:val="110"/>
        </w:rPr>
        <w:t>Within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4"/>
          <w:w w:val="110"/>
        </w:rPr>
        <w:t> </w:t>
      </w:r>
      <w:r>
        <w:rPr>
          <w:color w:val="383638"/>
          <w:w w:val="110"/>
        </w:rPr>
        <w:t>brief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itself,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43"/>
          <w:w w:val="110"/>
        </w:rPr>
        <w:t> </w:t>
      </w:r>
      <w:r>
        <w:rPr>
          <w:color w:val="383638"/>
          <w:w w:val="110"/>
        </w:rPr>
        <w:t>practical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advocate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exploits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physical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posi­</w:t>
      </w:r>
      <w:r>
        <w:rPr>
          <w:color w:val="383638"/>
          <w:spacing w:val="-60"/>
          <w:w w:val="110"/>
        </w:rPr>
        <w:t> </w:t>
      </w:r>
      <w:r>
        <w:rPr>
          <w:color w:val="383638"/>
          <w:w w:val="110"/>
        </w:rPr>
        <w:t>tions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emphasis</w:t>
      </w:r>
      <w:r>
        <w:rPr>
          <w:color w:val="4F4F50"/>
          <w:w w:val="110"/>
        </w:rPr>
        <w:t>.</w:t>
      </w:r>
      <w:r>
        <w:rPr>
          <w:color w:val="4F4F50"/>
          <w:spacing w:val="1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words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  <w:sz w:val="22"/>
        </w:rPr>
        <w:t>will</w:t>
      </w:r>
      <w:r>
        <w:rPr>
          <w:color w:val="383638"/>
          <w:spacing w:val="17"/>
          <w:w w:val="110"/>
          <w:sz w:val="22"/>
        </w:rPr>
        <w:t> </w:t>
      </w:r>
      <w:r>
        <w:rPr>
          <w:color w:val="383638"/>
          <w:w w:val="110"/>
        </w:rPr>
        <w:t>have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more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imp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ct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if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place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them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in</w:t>
      </w:r>
    </w:p>
    <w:p>
      <w:pPr>
        <w:pStyle w:val="BodyText"/>
        <w:spacing w:before="4"/>
        <w:rPr>
          <w:sz w:val="37"/>
        </w:rPr>
      </w:pPr>
    </w:p>
    <w:p>
      <w:pPr>
        <w:spacing w:line="210" w:lineRule="atLeast" w:before="0"/>
        <w:ind w:left="147" w:right="386" w:firstLine="327"/>
        <w:jc w:val="both"/>
        <w:rPr>
          <w:sz w:val="17"/>
        </w:rPr>
      </w:pPr>
      <w:r>
        <w:rPr>
          <w:color w:val="383638"/>
          <w:sz w:val="18"/>
        </w:rPr>
        <w:t>'Patricia </w:t>
      </w:r>
      <w:r>
        <w:rPr>
          <w:color w:val="383638"/>
          <w:sz w:val="17"/>
        </w:rPr>
        <w:t>M. </w:t>
      </w:r>
      <w:r>
        <w:rPr>
          <w:color w:val="383638"/>
          <w:sz w:val="18"/>
        </w:rPr>
        <w:t>Wald, </w:t>
      </w:r>
      <w:r>
        <w:rPr>
          <w:i/>
          <w:color w:val="383638"/>
          <w:sz w:val="17"/>
        </w:rPr>
        <w:t>19 Tips </w:t>
      </w:r>
      <w:r>
        <w:rPr>
          <w:rFonts w:ascii="Arial"/>
          <w:i/>
          <w:color w:val="383638"/>
          <w:sz w:val="21"/>
        </w:rPr>
        <w:t>from </w:t>
      </w:r>
      <w:r>
        <w:rPr>
          <w:i/>
          <w:color w:val="383638"/>
          <w:sz w:val="17"/>
        </w:rPr>
        <w:t>19</w:t>
      </w:r>
      <w:r>
        <w:rPr>
          <w:i/>
          <w:color w:val="383638"/>
          <w:spacing w:val="1"/>
          <w:sz w:val="17"/>
        </w:rPr>
        <w:t> </w:t>
      </w:r>
      <w:r>
        <w:rPr>
          <w:i/>
          <w:color w:val="383638"/>
          <w:sz w:val="17"/>
        </w:rPr>
        <w:t>Years 011 the</w:t>
      </w:r>
      <w:r>
        <w:rPr>
          <w:i/>
          <w:color w:val="383638"/>
          <w:spacing w:val="1"/>
          <w:sz w:val="17"/>
        </w:rPr>
        <w:t> </w:t>
      </w:r>
      <w:r>
        <w:rPr>
          <w:i/>
          <w:color w:val="383638"/>
          <w:sz w:val="17"/>
        </w:rPr>
        <w:t>Appellate Bench</w:t>
      </w:r>
      <w:r>
        <w:rPr>
          <w:i/>
          <w:color w:val="4F4F50"/>
          <w:sz w:val="17"/>
        </w:rPr>
        <w:t>, </w:t>
      </w:r>
      <w:r>
        <w:rPr>
          <w:color w:val="383638"/>
          <w:sz w:val="17"/>
        </w:rPr>
        <w:t>1 </w:t>
      </w:r>
      <w:r>
        <w:rPr>
          <w:color w:val="383638"/>
          <w:sz w:val="19"/>
        </w:rPr>
        <w:t>J</w:t>
      </w:r>
      <w:r>
        <w:rPr>
          <w:color w:val="4F4F50"/>
          <w:sz w:val="19"/>
        </w:rPr>
        <w:t>. </w:t>
      </w:r>
      <w:r>
        <w:rPr>
          <w:color w:val="383638"/>
          <w:sz w:val="17"/>
        </w:rPr>
        <w:t>App</w:t>
      </w:r>
      <w:r>
        <w:rPr>
          <w:color w:val="4F4F50"/>
          <w:sz w:val="17"/>
        </w:rPr>
        <w:t>. </w:t>
      </w:r>
      <w:r>
        <w:rPr>
          <w:color w:val="383638"/>
          <w:sz w:val="18"/>
        </w:rPr>
        <w:t>Prac</w:t>
      </w:r>
      <w:r>
        <w:rPr>
          <w:color w:val="4F4F50"/>
          <w:sz w:val="18"/>
        </w:rPr>
        <w:t>. </w:t>
      </w:r>
      <w:r>
        <w:rPr>
          <w:color w:val="383638"/>
          <w:sz w:val="16"/>
        </w:rPr>
        <w:t>&amp; </w:t>
      </w:r>
      <w:r>
        <w:rPr>
          <w:color w:val="383638"/>
          <w:sz w:val="18"/>
        </w:rPr>
        <w:t>Process </w:t>
      </w:r>
      <w:r>
        <w:rPr>
          <w:color w:val="383638"/>
          <w:sz w:val="17"/>
        </w:rPr>
        <w:t>7</w:t>
      </w:r>
      <w:r>
        <w:rPr>
          <w:color w:val="4F4F50"/>
          <w:sz w:val="17"/>
        </w:rPr>
        <w:t>, </w:t>
      </w:r>
      <w:r>
        <w:rPr>
          <w:color w:val="383638"/>
          <w:sz w:val="17"/>
        </w:rPr>
        <w:t>11</w:t>
      </w:r>
      <w:r>
        <w:rPr>
          <w:color w:val="383638"/>
          <w:spacing w:val="1"/>
          <w:sz w:val="17"/>
        </w:rPr>
        <w:t> </w:t>
      </w:r>
      <w:r>
        <w:rPr>
          <w:color w:val="383638"/>
          <w:w w:val="105"/>
          <w:sz w:val="17"/>
        </w:rPr>
        <w:t>(1999).</w:t>
      </w:r>
    </w:p>
    <w:p>
      <w:pPr>
        <w:spacing w:line="184" w:lineRule="exact" w:before="0"/>
        <w:ind w:left="477" w:right="0" w:firstLine="0"/>
        <w:jc w:val="left"/>
        <w:rPr>
          <w:sz w:val="17"/>
        </w:rPr>
      </w:pPr>
      <w:r>
        <w:rPr>
          <w:rFonts w:ascii="Arial"/>
          <w:color w:val="383638"/>
          <w:position w:val="4"/>
          <w:sz w:val="10"/>
        </w:rPr>
        <w:t>9</w:t>
      </w:r>
      <w:r>
        <w:rPr>
          <w:rFonts w:ascii="Arial"/>
          <w:color w:val="383638"/>
          <w:spacing w:val="-3"/>
          <w:position w:val="4"/>
          <w:sz w:val="10"/>
        </w:rPr>
        <w:t> </w:t>
      </w:r>
      <w:r>
        <w:rPr>
          <w:color w:val="383638"/>
          <w:sz w:val="18"/>
        </w:rPr>
        <w:t>Lawrence</w:t>
      </w:r>
      <w:r>
        <w:rPr>
          <w:color w:val="383638"/>
          <w:spacing w:val="28"/>
          <w:sz w:val="18"/>
        </w:rPr>
        <w:t> </w:t>
      </w:r>
      <w:r>
        <w:rPr>
          <w:color w:val="383638"/>
          <w:sz w:val="18"/>
        </w:rPr>
        <w:t>W.</w:t>
      </w:r>
      <w:r>
        <w:rPr>
          <w:color w:val="383638"/>
          <w:spacing w:val="15"/>
          <w:sz w:val="18"/>
        </w:rPr>
        <w:t> </w:t>
      </w:r>
      <w:r>
        <w:rPr>
          <w:color w:val="383638"/>
          <w:sz w:val="18"/>
        </w:rPr>
        <w:t>Pierce,</w:t>
      </w:r>
      <w:r>
        <w:rPr>
          <w:color w:val="383638"/>
          <w:spacing w:val="13"/>
          <w:sz w:val="18"/>
        </w:rPr>
        <w:t> </w:t>
      </w:r>
      <w:r>
        <w:rPr>
          <w:i/>
          <w:color w:val="383638"/>
          <w:sz w:val="17"/>
        </w:rPr>
        <w:t>Appell</w:t>
      </w:r>
      <w:r>
        <w:rPr>
          <w:i/>
          <w:color w:val="4F4F50"/>
          <w:sz w:val="17"/>
        </w:rPr>
        <w:t>a</w:t>
      </w:r>
      <w:r>
        <w:rPr>
          <w:i/>
          <w:color w:val="383638"/>
          <w:sz w:val="17"/>
        </w:rPr>
        <w:t>te</w:t>
      </w:r>
      <w:r>
        <w:rPr>
          <w:i/>
          <w:color w:val="383638"/>
          <w:spacing w:val="22"/>
          <w:sz w:val="17"/>
        </w:rPr>
        <w:t> </w:t>
      </w:r>
      <w:r>
        <w:rPr>
          <w:i/>
          <w:color w:val="383638"/>
          <w:sz w:val="17"/>
        </w:rPr>
        <w:t>Advocacy:</w:t>
      </w:r>
      <w:r>
        <w:rPr>
          <w:i/>
          <w:color w:val="383638"/>
          <w:spacing w:val="-7"/>
          <w:sz w:val="17"/>
        </w:rPr>
        <w:t> </w:t>
      </w:r>
      <w:r>
        <w:rPr>
          <w:i/>
          <w:color w:val="383638"/>
          <w:sz w:val="17"/>
        </w:rPr>
        <w:t>Some</w:t>
      </w:r>
      <w:r>
        <w:rPr>
          <w:i/>
          <w:color w:val="383638"/>
          <w:spacing w:val="17"/>
          <w:sz w:val="17"/>
        </w:rPr>
        <w:t> </w:t>
      </w:r>
      <w:r>
        <w:rPr>
          <w:i/>
          <w:color w:val="383638"/>
          <w:sz w:val="17"/>
        </w:rPr>
        <w:t>R</w:t>
      </w:r>
      <w:r>
        <w:rPr>
          <w:i/>
          <w:color w:val="4F4F50"/>
          <w:sz w:val="17"/>
        </w:rPr>
        <w:t>e</w:t>
      </w:r>
      <w:r>
        <w:rPr>
          <w:i/>
          <w:color w:val="383638"/>
          <w:sz w:val="17"/>
        </w:rPr>
        <w:t>fle</w:t>
      </w:r>
      <w:r>
        <w:rPr>
          <w:i/>
          <w:color w:val="4F4F50"/>
          <w:sz w:val="17"/>
        </w:rPr>
        <w:t>c</w:t>
      </w:r>
      <w:r>
        <w:rPr>
          <w:i/>
          <w:color w:val="383638"/>
          <w:sz w:val="17"/>
        </w:rPr>
        <w:t>tions</w:t>
      </w:r>
      <w:r>
        <w:rPr>
          <w:i/>
          <w:color w:val="383638"/>
          <w:spacing w:val="41"/>
          <w:sz w:val="17"/>
        </w:rPr>
        <w:t> </w:t>
      </w:r>
      <w:r>
        <w:rPr>
          <w:rFonts w:ascii="Arial"/>
          <w:i/>
          <w:color w:val="383638"/>
          <w:sz w:val="21"/>
        </w:rPr>
        <w:t>from</w:t>
      </w:r>
      <w:r>
        <w:rPr>
          <w:rFonts w:ascii="Arial"/>
          <w:i/>
          <w:color w:val="383638"/>
          <w:spacing w:val="4"/>
          <w:sz w:val="21"/>
        </w:rPr>
        <w:t> </w:t>
      </w:r>
      <w:r>
        <w:rPr>
          <w:i/>
          <w:color w:val="383638"/>
          <w:sz w:val="17"/>
        </w:rPr>
        <w:t>tire</w:t>
      </w:r>
      <w:r>
        <w:rPr>
          <w:i/>
          <w:color w:val="383638"/>
          <w:spacing w:val="14"/>
          <w:sz w:val="17"/>
        </w:rPr>
        <w:t> </w:t>
      </w:r>
      <w:r>
        <w:rPr>
          <w:i/>
          <w:color w:val="383638"/>
          <w:sz w:val="17"/>
        </w:rPr>
        <w:t>Bench,</w:t>
      </w:r>
      <w:r>
        <w:rPr>
          <w:i/>
          <w:color w:val="383638"/>
          <w:spacing w:val="-6"/>
          <w:sz w:val="17"/>
        </w:rPr>
        <w:t> </w:t>
      </w:r>
      <w:r>
        <w:rPr>
          <w:color w:val="383638"/>
          <w:sz w:val="17"/>
        </w:rPr>
        <w:t>61</w:t>
      </w:r>
      <w:r>
        <w:rPr>
          <w:color w:val="383638"/>
          <w:spacing w:val="59"/>
          <w:sz w:val="17"/>
        </w:rPr>
        <w:t> </w:t>
      </w:r>
      <w:r>
        <w:rPr>
          <w:color w:val="383638"/>
          <w:sz w:val="18"/>
        </w:rPr>
        <w:t>Fordham</w:t>
      </w:r>
      <w:r>
        <w:rPr>
          <w:color w:val="383638"/>
          <w:spacing w:val="28"/>
          <w:sz w:val="18"/>
        </w:rPr>
        <w:t> </w:t>
      </w:r>
      <w:r>
        <w:rPr>
          <w:color w:val="383638"/>
          <w:sz w:val="17"/>
        </w:rPr>
        <w:t>L</w:t>
      </w:r>
      <w:r>
        <w:rPr>
          <w:color w:val="646466"/>
          <w:sz w:val="17"/>
        </w:rPr>
        <w:t>.</w:t>
      </w:r>
      <w:r>
        <w:rPr>
          <w:color w:val="646466"/>
          <w:spacing w:val="24"/>
          <w:sz w:val="17"/>
        </w:rPr>
        <w:t> </w:t>
      </w:r>
      <w:r>
        <w:rPr>
          <w:color w:val="383638"/>
          <w:sz w:val="17"/>
        </w:rPr>
        <w:t>Rev.</w:t>
      </w:r>
    </w:p>
    <w:p>
      <w:pPr>
        <w:spacing w:line="194" w:lineRule="exact" w:before="0"/>
        <w:ind w:left="143" w:right="0" w:firstLine="0"/>
        <w:jc w:val="both"/>
        <w:rPr>
          <w:sz w:val="17"/>
        </w:rPr>
      </w:pPr>
      <w:r>
        <w:rPr>
          <w:color w:val="383638"/>
          <w:w w:val="110"/>
          <w:sz w:val="17"/>
        </w:rPr>
        <w:t>829,</w:t>
      </w:r>
      <w:r>
        <w:rPr>
          <w:color w:val="383638"/>
          <w:spacing w:val="-21"/>
          <w:w w:val="110"/>
          <w:sz w:val="17"/>
        </w:rPr>
        <w:t> </w:t>
      </w:r>
      <w:r>
        <w:rPr>
          <w:color w:val="383638"/>
          <w:w w:val="110"/>
          <w:sz w:val="17"/>
        </w:rPr>
        <w:t>835-36</w:t>
      </w:r>
      <w:r>
        <w:rPr>
          <w:color w:val="383638"/>
          <w:spacing w:val="-15"/>
          <w:w w:val="110"/>
          <w:sz w:val="17"/>
        </w:rPr>
        <w:t> </w:t>
      </w:r>
      <w:r>
        <w:rPr>
          <w:color w:val="383638"/>
          <w:w w:val="110"/>
          <w:sz w:val="17"/>
        </w:rPr>
        <w:t>(1993</w:t>
      </w:r>
      <w:r>
        <w:rPr>
          <w:color w:val="4F4F50"/>
          <w:w w:val="110"/>
          <w:sz w:val="17"/>
        </w:rPr>
        <w:t>)</w:t>
      </w:r>
      <w:r>
        <w:rPr>
          <w:color w:val="383638"/>
          <w:w w:val="110"/>
          <w:sz w:val="17"/>
        </w:rPr>
        <w:t>.</w:t>
      </w:r>
    </w:p>
    <w:p>
      <w:pPr>
        <w:spacing w:line="173" w:lineRule="exact" w:before="0"/>
        <w:ind w:left="478" w:right="0" w:firstLine="0"/>
        <w:jc w:val="left"/>
        <w:rPr>
          <w:sz w:val="17"/>
        </w:rPr>
      </w:pPr>
      <w:r>
        <w:rPr>
          <w:rFonts w:ascii="Arial"/>
          <w:i/>
          <w:color w:val="4F4F50"/>
          <w:w w:val="105"/>
          <w:position w:val="5"/>
          <w:sz w:val="9"/>
        </w:rPr>
        <w:t>1</w:t>
      </w:r>
      <w:r>
        <w:rPr>
          <w:rFonts w:ascii="Arial"/>
          <w:i/>
          <w:color w:val="383638"/>
          <w:w w:val="105"/>
          <w:position w:val="5"/>
          <w:sz w:val="9"/>
        </w:rPr>
        <w:t>0</w:t>
      </w:r>
      <w:r>
        <w:rPr>
          <w:i/>
          <w:color w:val="383638"/>
          <w:w w:val="105"/>
          <w:sz w:val="17"/>
        </w:rPr>
        <w:t>/ones</w:t>
      </w:r>
      <w:r>
        <w:rPr>
          <w:i/>
          <w:color w:val="383638"/>
          <w:spacing w:val="31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v</w:t>
      </w:r>
      <w:r>
        <w:rPr>
          <w:i/>
          <w:color w:val="4F4F50"/>
          <w:w w:val="105"/>
          <w:sz w:val="17"/>
        </w:rPr>
        <w:t>.</w:t>
      </w:r>
      <w:r>
        <w:rPr>
          <w:i/>
          <w:color w:val="4F4F50"/>
          <w:spacing w:val="21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Bames, </w:t>
      </w:r>
      <w:r>
        <w:rPr>
          <w:color w:val="383638"/>
          <w:w w:val="105"/>
          <w:sz w:val="17"/>
        </w:rPr>
        <w:t>463</w:t>
      </w:r>
      <w:r>
        <w:rPr>
          <w:color w:val="383638"/>
          <w:spacing w:val="25"/>
          <w:w w:val="105"/>
          <w:sz w:val="17"/>
        </w:rPr>
        <w:t> </w:t>
      </w:r>
      <w:r>
        <w:rPr>
          <w:color w:val="383638"/>
          <w:w w:val="105"/>
          <w:sz w:val="17"/>
        </w:rPr>
        <w:t>U.S</w:t>
      </w:r>
      <w:r>
        <w:rPr>
          <w:color w:val="646466"/>
          <w:w w:val="105"/>
          <w:sz w:val="17"/>
        </w:rPr>
        <w:t>.</w:t>
      </w:r>
      <w:r>
        <w:rPr>
          <w:color w:val="646466"/>
          <w:spacing w:val="19"/>
          <w:w w:val="105"/>
          <w:sz w:val="17"/>
        </w:rPr>
        <w:t> </w:t>
      </w:r>
      <w:r>
        <w:rPr>
          <w:color w:val="383638"/>
          <w:w w:val="105"/>
          <w:sz w:val="17"/>
        </w:rPr>
        <w:t>745</w:t>
      </w:r>
      <w:r>
        <w:rPr>
          <w:color w:val="4F4F50"/>
          <w:w w:val="105"/>
          <w:sz w:val="17"/>
        </w:rPr>
        <w:t>,</w:t>
      </w:r>
      <w:r>
        <w:rPr>
          <w:color w:val="4F4F50"/>
          <w:spacing w:val="33"/>
          <w:w w:val="105"/>
          <w:sz w:val="17"/>
        </w:rPr>
        <w:t> </w:t>
      </w:r>
      <w:r>
        <w:rPr>
          <w:color w:val="383638"/>
          <w:w w:val="105"/>
          <w:sz w:val="17"/>
        </w:rPr>
        <w:t>751-</w:t>
      </w:r>
      <w:r>
        <w:rPr>
          <w:color w:val="4F4F50"/>
          <w:w w:val="105"/>
          <w:sz w:val="17"/>
        </w:rPr>
        <w:t>5</w:t>
      </w:r>
      <w:r>
        <w:rPr>
          <w:color w:val="383638"/>
          <w:w w:val="105"/>
          <w:sz w:val="17"/>
        </w:rPr>
        <w:t>2</w:t>
      </w:r>
      <w:r>
        <w:rPr>
          <w:color w:val="383638"/>
          <w:spacing w:val="28"/>
          <w:w w:val="105"/>
          <w:sz w:val="17"/>
        </w:rPr>
        <w:t> </w:t>
      </w:r>
      <w:r>
        <w:rPr>
          <w:color w:val="383638"/>
          <w:w w:val="105"/>
          <w:sz w:val="17"/>
        </w:rPr>
        <w:t>(1983)</w:t>
      </w:r>
      <w:r>
        <w:rPr>
          <w:color w:val="4F4F50"/>
          <w:w w:val="105"/>
          <w:sz w:val="17"/>
        </w:rPr>
        <w:t>.</w:t>
      </w:r>
    </w:p>
    <w:p>
      <w:pPr>
        <w:spacing w:line="220" w:lineRule="exact" w:before="0"/>
        <w:ind w:left="490" w:right="0" w:firstLine="0"/>
        <w:jc w:val="left"/>
        <w:rPr>
          <w:i/>
          <w:sz w:val="17"/>
        </w:rPr>
      </w:pPr>
      <w:r>
        <w:rPr>
          <w:rFonts w:ascii="Arial"/>
          <w:color w:val="383638"/>
          <w:position w:val="4"/>
          <w:sz w:val="10"/>
        </w:rPr>
        <w:t>11</w:t>
      </w:r>
      <w:r>
        <w:rPr>
          <w:color w:val="383638"/>
          <w:sz w:val="18"/>
        </w:rPr>
        <w:t>Jacques</w:t>
      </w:r>
      <w:r>
        <w:rPr>
          <w:color w:val="383638"/>
          <w:spacing w:val="-1"/>
          <w:sz w:val="18"/>
        </w:rPr>
        <w:t> </w:t>
      </w:r>
      <w:r>
        <w:rPr>
          <w:color w:val="383638"/>
          <w:sz w:val="18"/>
        </w:rPr>
        <w:t>L</w:t>
      </w:r>
      <w:r>
        <w:rPr>
          <w:color w:val="4F4F50"/>
          <w:sz w:val="18"/>
        </w:rPr>
        <w:t>. </w:t>
      </w:r>
      <w:r>
        <w:rPr>
          <w:color w:val="383638"/>
          <w:sz w:val="18"/>
        </w:rPr>
        <w:t>Wien</w:t>
      </w:r>
      <w:r>
        <w:rPr>
          <w:color w:val="4F4F50"/>
          <w:sz w:val="18"/>
        </w:rPr>
        <w:t>e</w:t>
      </w:r>
      <w:r>
        <w:rPr>
          <w:color w:val="383638"/>
          <w:sz w:val="18"/>
        </w:rPr>
        <w:t>r,</w:t>
      </w:r>
      <w:r>
        <w:rPr>
          <w:color w:val="383638"/>
          <w:spacing w:val="-24"/>
          <w:sz w:val="18"/>
        </w:rPr>
        <w:t> </w:t>
      </w:r>
      <w:r>
        <w:rPr>
          <w:color w:val="383638"/>
          <w:sz w:val="18"/>
        </w:rPr>
        <w:t>Jr</w:t>
      </w:r>
      <w:r>
        <w:rPr>
          <w:color w:val="646466"/>
          <w:sz w:val="18"/>
        </w:rPr>
        <w:t>.,</w:t>
      </w:r>
      <w:r>
        <w:rPr>
          <w:color w:val="646466"/>
          <w:spacing w:val="7"/>
          <w:sz w:val="18"/>
        </w:rPr>
        <w:t> </w:t>
      </w:r>
      <w:r>
        <w:rPr>
          <w:i/>
          <w:color w:val="383638"/>
          <w:sz w:val="17"/>
        </w:rPr>
        <w:t>R11mi1111tions</w:t>
      </w:r>
      <w:r>
        <w:rPr>
          <w:rFonts w:ascii="Arial"/>
          <w:i/>
          <w:color w:val="383638"/>
          <w:sz w:val="21"/>
        </w:rPr>
        <w:t>from</w:t>
      </w:r>
      <w:r>
        <w:rPr>
          <w:rFonts w:ascii="Arial"/>
          <w:i/>
          <w:color w:val="383638"/>
          <w:spacing w:val="-29"/>
          <w:sz w:val="21"/>
        </w:rPr>
        <w:t> </w:t>
      </w:r>
      <w:r>
        <w:rPr>
          <w:i/>
          <w:color w:val="383638"/>
          <w:sz w:val="17"/>
        </w:rPr>
        <w:t>tire</w:t>
      </w:r>
      <w:r>
        <w:rPr>
          <w:i/>
          <w:color w:val="383638"/>
          <w:spacing w:val="-15"/>
          <w:sz w:val="17"/>
        </w:rPr>
        <w:t> </w:t>
      </w:r>
      <w:r>
        <w:rPr>
          <w:i/>
          <w:color w:val="383638"/>
          <w:sz w:val="17"/>
        </w:rPr>
        <w:t>B</w:t>
      </w:r>
      <w:r>
        <w:rPr>
          <w:i/>
          <w:color w:val="4F4F50"/>
          <w:sz w:val="17"/>
        </w:rPr>
        <w:t>e</w:t>
      </w:r>
      <w:r>
        <w:rPr>
          <w:i/>
          <w:color w:val="383638"/>
          <w:sz w:val="17"/>
        </w:rPr>
        <w:t>11ch:</w:t>
      </w:r>
      <w:r>
        <w:rPr>
          <w:i/>
          <w:color w:val="383638"/>
          <w:spacing w:val="-4"/>
          <w:sz w:val="17"/>
        </w:rPr>
        <w:t> </w:t>
      </w:r>
      <w:r>
        <w:rPr>
          <w:i/>
          <w:color w:val="383638"/>
          <w:sz w:val="17"/>
        </w:rPr>
        <w:t>Brief</w:t>
      </w:r>
      <w:r>
        <w:rPr>
          <w:i/>
          <w:color w:val="383638"/>
          <w:spacing w:val="-21"/>
          <w:sz w:val="17"/>
        </w:rPr>
        <w:t> </w:t>
      </w:r>
      <w:r>
        <w:rPr>
          <w:i/>
          <w:color w:val="383638"/>
          <w:sz w:val="17"/>
        </w:rPr>
        <w:t>Writing</w:t>
      </w:r>
      <w:r>
        <w:rPr>
          <w:i/>
          <w:color w:val="383638"/>
          <w:spacing w:val="-15"/>
          <w:sz w:val="17"/>
        </w:rPr>
        <w:t> </w:t>
      </w:r>
      <w:r>
        <w:rPr>
          <w:i/>
          <w:color w:val="383638"/>
          <w:sz w:val="17"/>
        </w:rPr>
        <w:t>and</w:t>
      </w:r>
      <w:r>
        <w:rPr>
          <w:i/>
          <w:color w:val="383638"/>
          <w:spacing w:val="-7"/>
          <w:sz w:val="17"/>
        </w:rPr>
        <w:t> </w:t>
      </w:r>
      <w:r>
        <w:rPr>
          <w:i/>
          <w:color w:val="383638"/>
          <w:sz w:val="17"/>
        </w:rPr>
        <w:t>Oral</w:t>
      </w:r>
      <w:r>
        <w:rPr>
          <w:i/>
          <w:color w:val="383638"/>
          <w:spacing w:val="8"/>
          <w:sz w:val="17"/>
        </w:rPr>
        <w:t> </w:t>
      </w:r>
      <w:r>
        <w:rPr>
          <w:i/>
          <w:color w:val="383638"/>
          <w:sz w:val="17"/>
        </w:rPr>
        <w:t>Argum</w:t>
      </w:r>
      <w:r>
        <w:rPr>
          <w:i/>
          <w:color w:val="4F4F50"/>
          <w:sz w:val="17"/>
        </w:rPr>
        <w:t>e</w:t>
      </w:r>
      <w:r>
        <w:rPr>
          <w:i/>
          <w:color w:val="383638"/>
          <w:sz w:val="17"/>
        </w:rPr>
        <w:t>nt</w:t>
      </w:r>
      <w:r>
        <w:rPr>
          <w:i/>
          <w:color w:val="383638"/>
          <w:spacing w:val="3"/>
          <w:sz w:val="17"/>
        </w:rPr>
        <w:t> </w:t>
      </w:r>
      <w:r>
        <w:rPr>
          <w:i/>
          <w:color w:val="383638"/>
          <w:sz w:val="17"/>
        </w:rPr>
        <w:t>in</w:t>
      </w:r>
      <w:r>
        <w:rPr>
          <w:i/>
          <w:color w:val="383638"/>
          <w:spacing w:val="14"/>
          <w:sz w:val="17"/>
        </w:rPr>
        <w:t> </w:t>
      </w:r>
      <w:r>
        <w:rPr>
          <w:i/>
          <w:color w:val="383638"/>
          <w:sz w:val="17"/>
        </w:rPr>
        <w:t>th</w:t>
      </w:r>
      <w:r>
        <w:rPr>
          <w:i/>
          <w:color w:val="4F4F50"/>
          <w:sz w:val="17"/>
        </w:rPr>
        <w:t>e</w:t>
      </w:r>
      <w:r>
        <w:rPr>
          <w:i/>
          <w:color w:val="4F4F50"/>
          <w:spacing w:val="8"/>
          <w:sz w:val="17"/>
        </w:rPr>
        <w:t> </w:t>
      </w:r>
      <w:r>
        <w:rPr>
          <w:i/>
          <w:color w:val="383638"/>
          <w:sz w:val="17"/>
        </w:rPr>
        <w:t>Fi</w:t>
      </w:r>
      <w:r>
        <w:rPr>
          <w:i/>
          <w:color w:val="383638"/>
          <w:spacing w:val="18"/>
          <w:sz w:val="17"/>
        </w:rPr>
        <w:t> </w:t>
      </w:r>
      <w:r>
        <w:rPr>
          <w:i/>
          <w:color w:val="383638"/>
          <w:sz w:val="17"/>
        </w:rPr>
        <w:t>h</w:t>
      </w:r>
    </w:p>
    <w:p>
      <w:pPr>
        <w:spacing w:line="189" w:lineRule="exact" w:before="0"/>
        <w:ind w:left="152" w:right="4996" w:firstLine="0"/>
        <w:jc w:val="center"/>
        <w:rPr>
          <w:sz w:val="17"/>
        </w:rPr>
      </w:pPr>
      <w:r>
        <w:rPr>
          <w:i/>
          <w:color w:val="383638"/>
          <w:w w:val="110"/>
          <w:sz w:val="16"/>
        </w:rPr>
        <w:t>Clm.tlt</w:t>
      </w:r>
      <w:r>
        <w:rPr>
          <w:i/>
          <w:color w:val="4F4F50"/>
          <w:w w:val="110"/>
          <w:sz w:val="16"/>
        </w:rPr>
        <w:t>,</w:t>
      </w:r>
      <w:r>
        <w:rPr>
          <w:i/>
          <w:color w:val="4F4F50"/>
          <w:spacing w:val="21"/>
          <w:w w:val="110"/>
          <w:sz w:val="16"/>
        </w:rPr>
        <w:t> </w:t>
      </w:r>
      <w:r>
        <w:rPr>
          <w:color w:val="383638"/>
          <w:w w:val="110"/>
          <w:sz w:val="17"/>
        </w:rPr>
        <w:t>70Tul.</w:t>
      </w:r>
      <w:r>
        <w:rPr>
          <w:color w:val="383638"/>
          <w:spacing w:val="-1"/>
          <w:w w:val="110"/>
          <w:sz w:val="17"/>
        </w:rPr>
        <w:t> </w:t>
      </w:r>
      <w:r>
        <w:rPr>
          <w:color w:val="383638"/>
          <w:w w:val="110"/>
          <w:sz w:val="17"/>
        </w:rPr>
        <w:t>L.</w:t>
      </w:r>
      <w:r>
        <w:rPr>
          <w:color w:val="383638"/>
          <w:spacing w:val="-1"/>
          <w:w w:val="110"/>
          <w:sz w:val="17"/>
        </w:rPr>
        <w:t> </w:t>
      </w:r>
      <w:r>
        <w:rPr>
          <w:color w:val="383638"/>
          <w:w w:val="110"/>
          <w:sz w:val="17"/>
        </w:rPr>
        <w:t>Rev.</w:t>
      </w:r>
      <w:r>
        <w:rPr>
          <w:color w:val="383638"/>
          <w:spacing w:val="-6"/>
          <w:w w:val="110"/>
          <w:sz w:val="17"/>
        </w:rPr>
        <w:t> </w:t>
      </w:r>
      <w:r>
        <w:rPr>
          <w:color w:val="383638"/>
          <w:w w:val="110"/>
          <w:sz w:val="17"/>
        </w:rPr>
        <w:t>187,</w:t>
      </w:r>
      <w:r>
        <w:rPr>
          <w:color w:val="383638"/>
          <w:spacing w:val="-11"/>
          <w:w w:val="110"/>
          <w:sz w:val="17"/>
        </w:rPr>
        <w:t> </w:t>
      </w:r>
      <w:r>
        <w:rPr>
          <w:color w:val="383638"/>
          <w:w w:val="110"/>
          <w:sz w:val="17"/>
        </w:rPr>
        <w:t>194</w:t>
      </w:r>
      <w:r>
        <w:rPr>
          <w:color w:val="383638"/>
          <w:spacing w:val="-13"/>
          <w:w w:val="110"/>
          <w:sz w:val="17"/>
        </w:rPr>
        <w:t> </w:t>
      </w:r>
      <w:r>
        <w:rPr>
          <w:color w:val="383638"/>
          <w:w w:val="110"/>
          <w:sz w:val="17"/>
        </w:rPr>
        <w:t>(1995).</w:t>
      </w:r>
    </w:p>
    <w:p>
      <w:pPr>
        <w:spacing w:line="201" w:lineRule="exact" w:before="0"/>
        <w:ind w:left="150" w:right="4996" w:firstLine="0"/>
        <w:jc w:val="center"/>
        <w:rPr>
          <w:sz w:val="18"/>
        </w:rPr>
      </w:pPr>
      <w:r>
        <w:rPr>
          <w:rFonts w:ascii="Arial"/>
          <w:color w:val="383638"/>
          <w:spacing w:val="-1"/>
          <w:w w:val="110"/>
          <w:sz w:val="10"/>
        </w:rPr>
        <w:t>'</w:t>
      </w:r>
      <w:r>
        <w:rPr>
          <w:rFonts w:ascii="Arial"/>
          <w:color w:val="383638"/>
          <w:spacing w:val="-1"/>
          <w:w w:val="110"/>
          <w:position w:val="5"/>
          <w:sz w:val="10"/>
        </w:rPr>
        <w:t>2</w:t>
      </w:r>
      <w:r>
        <w:rPr>
          <w:color w:val="383638"/>
          <w:spacing w:val="-1"/>
          <w:w w:val="110"/>
          <w:sz w:val="18"/>
        </w:rPr>
        <w:t>Park</w:t>
      </w:r>
      <w:r>
        <w:rPr>
          <w:color w:val="4F4F50"/>
          <w:spacing w:val="-1"/>
          <w:w w:val="110"/>
          <w:sz w:val="18"/>
        </w:rPr>
        <w:t>e</w:t>
      </w:r>
      <w:r>
        <w:rPr>
          <w:color w:val="383638"/>
          <w:spacing w:val="-1"/>
          <w:w w:val="110"/>
          <w:sz w:val="18"/>
        </w:rPr>
        <w:t>r</w:t>
      </w:r>
      <w:r>
        <w:rPr>
          <w:color w:val="4F4F50"/>
          <w:spacing w:val="-1"/>
          <w:w w:val="110"/>
          <w:sz w:val="18"/>
        </w:rPr>
        <w:t>,</w:t>
      </w:r>
      <w:r>
        <w:rPr>
          <w:color w:val="4F4F50"/>
          <w:spacing w:val="3"/>
          <w:w w:val="110"/>
          <w:sz w:val="18"/>
        </w:rPr>
        <w:t> </w:t>
      </w:r>
      <w:r>
        <w:rPr>
          <w:i/>
          <w:color w:val="383638"/>
          <w:w w:val="110"/>
          <w:sz w:val="17"/>
        </w:rPr>
        <w:t>supra</w:t>
      </w:r>
      <w:r>
        <w:rPr>
          <w:i/>
          <w:color w:val="383638"/>
          <w:spacing w:val="10"/>
          <w:w w:val="110"/>
          <w:sz w:val="17"/>
        </w:rPr>
        <w:t> </w:t>
      </w:r>
      <w:r>
        <w:rPr>
          <w:color w:val="383638"/>
          <w:w w:val="110"/>
          <w:sz w:val="18"/>
        </w:rPr>
        <w:t>note</w:t>
      </w:r>
      <w:r>
        <w:rPr>
          <w:color w:val="383638"/>
          <w:spacing w:val="-6"/>
          <w:w w:val="110"/>
          <w:sz w:val="18"/>
        </w:rPr>
        <w:t> </w:t>
      </w:r>
      <w:r>
        <w:rPr>
          <w:color w:val="383638"/>
          <w:w w:val="110"/>
          <w:sz w:val="18"/>
        </w:rPr>
        <w:t>2,</w:t>
      </w:r>
      <w:r>
        <w:rPr>
          <w:color w:val="383638"/>
          <w:spacing w:val="-15"/>
          <w:w w:val="110"/>
          <w:sz w:val="18"/>
        </w:rPr>
        <w:t> </w:t>
      </w:r>
      <w:r>
        <w:rPr>
          <w:color w:val="383638"/>
          <w:w w:val="110"/>
          <w:sz w:val="18"/>
        </w:rPr>
        <w:t>at</w:t>
      </w:r>
      <w:r>
        <w:rPr>
          <w:color w:val="383638"/>
          <w:spacing w:val="-3"/>
          <w:w w:val="110"/>
          <w:sz w:val="18"/>
        </w:rPr>
        <w:t> </w:t>
      </w:r>
      <w:r>
        <w:rPr>
          <w:color w:val="383638"/>
          <w:w w:val="110"/>
          <w:sz w:val="18"/>
        </w:rPr>
        <w:t>460.</w:t>
      </w:r>
    </w:p>
    <w:p>
      <w:pPr>
        <w:spacing w:after="0" w:line="201" w:lineRule="exact"/>
        <w:jc w:val="center"/>
        <w:rPr>
          <w:sz w:val="18"/>
        </w:rPr>
        <w:sectPr>
          <w:pgSz w:w="9780" w:h="13990"/>
          <w:pgMar w:header="504" w:footer="0" w:top="700" w:bottom="0" w:left="280" w:right="1360"/>
        </w:sectPr>
      </w:pPr>
    </w:p>
    <w:p>
      <w:pPr>
        <w:pStyle w:val="BodyText"/>
        <w:spacing w:line="235" w:lineRule="auto" w:before="85"/>
        <w:ind w:left="632" w:right="109" w:firstLine="15"/>
        <w:jc w:val="both"/>
      </w:pPr>
      <w:r>
        <w:rPr>
          <w:color w:val="3A3838"/>
          <w:w w:val="105"/>
        </w:rPr>
        <w:t>certain physical locations within the brief.Scientists called psycholinguists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have learned that readers pay more attention to certain physical positions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 document. Any time there is extra white space in a document-at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beginning or ending of a paragraph, for example, or more importantly, at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the beginning or ending of a document element such </w:t>
      </w:r>
      <w:r>
        <w:rPr>
          <w:rFonts w:ascii="Arial"/>
          <w:b/>
          <w:color w:val="3A3838"/>
          <w:w w:val="110"/>
          <w:sz w:val="22"/>
        </w:rPr>
        <w:t>as a </w:t>
      </w:r>
      <w:r>
        <w:rPr>
          <w:color w:val="3A3838"/>
          <w:w w:val="110"/>
        </w:rPr>
        <w:t>point head</w:t>
      </w:r>
      <w:r>
        <w:rPr>
          <w:color w:val="565657"/>
          <w:w w:val="110"/>
        </w:rPr>
        <w:t>i</w:t>
      </w:r>
      <w:r>
        <w:rPr>
          <w:color w:val="3A3838"/>
          <w:w w:val="110"/>
        </w:rPr>
        <w:t>ng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section, a statement of the case, or a summary of the argument-readers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0"/>
        </w:rPr>
        <w:t>subconsciously</w:t>
      </w:r>
      <w:r>
        <w:rPr>
          <w:color w:val="3A3838"/>
          <w:spacing w:val="-9"/>
          <w:w w:val="110"/>
        </w:rPr>
        <w:t> </w:t>
      </w:r>
      <w:r>
        <w:rPr>
          <w:color w:val="3A3838"/>
          <w:spacing w:val="-1"/>
          <w:w w:val="110"/>
        </w:rPr>
        <w:t>pay</w:t>
      </w:r>
      <w:r>
        <w:rPr>
          <w:color w:val="3A3838"/>
          <w:spacing w:val="-6"/>
          <w:w w:val="110"/>
        </w:rPr>
        <w:t> </w:t>
      </w:r>
      <w:r>
        <w:rPr>
          <w:color w:val="3A3838"/>
          <w:spacing w:val="-1"/>
          <w:w w:val="110"/>
        </w:rPr>
        <w:t>more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attention.</w:t>
      </w:r>
      <w:r>
        <w:rPr>
          <w:color w:val="3A3838"/>
          <w:w w:val="110"/>
          <w:vertAlign w:val="superscript"/>
        </w:rPr>
        <w:t>13</w:t>
      </w:r>
      <w:r>
        <w:rPr>
          <w:color w:val="3A3838"/>
          <w:spacing w:val="-17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Just</w:t>
      </w:r>
      <w:r>
        <w:rPr>
          <w:color w:val="3A3838"/>
          <w:spacing w:val="-7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as</w:t>
      </w:r>
      <w:r>
        <w:rPr>
          <w:color w:val="3A3838"/>
          <w:spacing w:val="-3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Scrabble</w:t>
      </w:r>
      <w:r>
        <w:rPr>
          <w:color w:val="3A3838"/>
          <w:spacing w:val="13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players</w:t>
      </w:r>
      <w:r>
        <w:rPr>
          <w:color w:val="3A3838"/>
          <w:spacing w:val="-22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angle</w:t>
      </w:r>
      <w:r>
        <w:rPr>
          <w:color w:val="3A3838"/>
          <w:spacing w:val="-4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to</w:t>
      </w:r>
      <w:r>
        <w:rPr>
          <w:color w:val="3A3838"/>
          <w:spacing w:val="-19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put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spacing w:val="-1"/>
          <w:w w:val="110"/>
          <w:vertAlign w:val="baseline"/>
        </w:rPr>
        <w:t>certain</w:t>
      </w:r>
      <w:r>
        <w:rPr>
          <w:color w:val="3A3838"/>
          <w:spacing w:val="-23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letters</w:t>
      </w:r>
      <w:r>
        <w:rPr>
          <w:color w:val="3A3838"/>
          <w:spacing w:val="-29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or</w:t>
      </w:r>
      <w:r>
        <w:rPr>
          <w:color w:val="3A3838"/>
          <w:spacing w:val="-13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words</w:t>
      </w:r>
      <w:r>
        <w:rPr>
          <w:color w:val="3A3838"/>
          <w:spacing w:val="-18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in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certain</w:t>
      </w:r>
      <w:r>
        <w:rPr>
          <w:color w:val="3A3838"/>
          <w:spacing w:val="-5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positions</w:t>
      </w:r>
      <w:r>
        <w:rPr>
          <w:color w:val="3A3838"/>
          <w:spacing w:val="-24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on</w:t>
      </w:r>
      <w:r>
        <w:rPr>
          <w:color w:val="3A3838"/>
          <w:spacing w:val="14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the</w:t>
      </w:r>
      <w:r>
        <w:rPr>
          <w:color w:val="3A3838"/>
          <w:spacing w:val="5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game</w:t>
      </w:r>
      <w:r>
        <w:rPr>
          <w:color w:val="3A3838"/>
          <w:spacing w:val="-24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board,</w:t>
      </w:r>
      <w:r>
        <w:rPr>
          <w:color w:val="3A3838"/>
          <w:spacing w:val="-15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you</w:t>
      </w:r>
      <w:r>
        <w:rPr>
          <w:color w:val="3A3838"/>
          <w:spacing w:val="-2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should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angle to put your strongest arguments and statements in certain positions</w:t>
      </w:r>
      <w:r>
        <w:rPr>
          <w:color w:val="3A3838"/>
          <w:spacing w:val="-61"/>
          <w:w w:val="110"/>
          <w:vertAlign w:val="baseline"/>
        </w:rPr>
        <w:t> </w:t>
      </w:r>
      <w:r>
        <w:rPr>
          <w:rFonts w:ascii="Arial"/>
          <w:color w:val="3A3838"/>
          <w:w w:val="110"/>
          <w:sz w:val="21"/>
          <w:vertAlign w:val="baseline"/>
        </w:rPr>
        <w:t>in</w:t>
      </w:r>
      <w:r>
        <w:rPr>
          <w:rFonts w:ascii="Arial"/>
          <w:color w:val="3A3838"/>
          <w:spacing w:val="51"/>
          <w:w w:val="110"/>
          <w:sz w:val="21"/>
          <w:vertAlign w:val="baseline"/>
        </w:rPr>
        <w:t> </w:t>
      </w:r>
      <w:r>
        <w:rPr>
          <w:color w:val="3A3838"/>
          <w:w w:val="110"/>
          <w:vertAlign w:val="baseline"/>
        </w:rPr>
        <w:t>your</w:t>
      </w:r>
      <w:r>
        <w:rPr>
          <w:color w:val="3A3838"/>
          <w:spacing w:val="-3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brief.</w:t>
      </w:r>
    </w:p>
    <w:p>
      <w:pPr>
        <w:pStyle w:val="BodyText"/>
        <w:spacing w:line="228" w:lineRule="exact"/>
        <w:ind w:left="1001"/>
        <w:jc w:val="both"/>
      </w:pPr>
      <w:r>
        <w:rPr>
          <w:color w:val="3A3838"/>
          <w:w w:val="110"/>
        </w:rPr>
        <w:t>A</w:t>
      </w:r>
      <w:r>
        <w:rPr>
          <w:color w:val="3A3838"/>
          <w:spacing w:val="8"/>
          <w:w w:val="110"/>
        </w:rPr>
        <w:t> </w:t>
      </w:r>
      <w:r>
        <w:rPr>
          <w:color w:val="3A3838"/>
          <w:w w:val="110"/>
        </w:rPr>
        <w:t>reader's</w:t>
      </w:r>
      <w:r>
        <w:rPr>
          <w:color w:val="3A3838"/>
          <w:spacing w:val="5"/>
          <w:w w:val="110"/>
        </w:rPr>
        <w:t> </w:t>
      </w:r>
      <w:r>
        <w:rPr>
          <w:color w:val="3A3838"/>
          <w:w w:val="110"/>
        </w:rPr>
        <w:t>attention</w:t>
      </w:r>
      <w:r>
        <w:rPr>
          <w:color w:val="3A3838"/>
          <w:spacing w:val="37"/>
          <w:w w:val="110"/>
        </w:rPr>
        <w:t> </w:t>
      </w:r>
      <w:r>
        <w:rPr>
          <w:color w:val="3A3838"/>
          <w:w w:val="110"/>
        </w:rPr>
        <w:t>peaks</w:t>
      </w:r>
      <w:r>
        <w:rPr>
          <w:color w:val="3A3838"/>
          <w:spacing w:val="16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28"/>
          <w:w w:val="110"/>
        </w:rPr>
        <w:t> </w:t>
      </w:r>
      <w:r>
        <w:rPr>
          <w:color w:val="3A3838"/>
          <w:w w:val="110"/>
        </w:rPr>
        <w:t>varying</w:t>
      </w:r>
      <w:r>
        <w:rPr>
          <w:color w:val="3A3838"/>
          <w:spacing w:val="18"/>
          <w:w w:val="110"/>
        </w:rPr>
        <w:t> </w:t>
      </w:r>
      <w:r>
        <w:rPr>
          <w:color w:val="3A3838"/>
          <w:w w:val="110"/>
        </w:rPr>
        <w:t>degrees</w:t>
      </w:r>
      <w:r>
        <w:rPr>
          <w:color w:val="3A3838"/>
          <w:spacing w:val="14"/>
          <w:w w:val="110"/>
        </w:rPr>
        <w:t> </w:t>
      </w:r>
      <w:r>
        <w:rPr>
          <w:color w:val="3A3838"/>
          <w:w w:val="110"/>
        </w:rPr>
        <w:t>when</w:t>
      </w:r>
      <w:r>
        <w:rPr>
          <w:color w:val="3A3838"/>
          <w:spacing w:val="26"/>
          <w:w w:val="110"/>
        </w:rPr>
        <w:t> </w:t>
      </w:r>
      <w:r>
        <w:rPr>
          <w:color w:val="3A3838"/>
          <w:w w:val="110"/>
        </w:rPr>
        <w:t>reading</w:t>
      </w:r>
      <w:r>
        <w:rPr>
          <w:color w:val="3A3838"/>
          <w:spacing w:val="13"/>
          <w:w w:val="110"/>
        </w:rPr>
        <w:t> </w:t>
      </w:r>
      <w:r>
        <w:rPr>
          <w:color w:val="3A3838"/>
          <w:w w:val="110"/>
        </w:rPr>
        <w:t>all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titles</w:t>
      </w:r>
    </w:p>
    <w:p>
      <w:pPr>
        <w:pStyle w:val="BodyText"/>
        <w:spacing w:line="218" w:lineRule="auto" w:before="17"/>
        <w:ind w:left="629" w:right="115" w:firstLine="9"/>
        <w:jc w:val="both"/>
      </w:pPr>
      <w:r>
        <w:rPr>
          <w:color w:val="3A3838"/>
          <w:w w:val="110"/>
        </w:rPr>
        <w:t>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headings, as well as when reading the first and last paragraphs </w:t>
      </w:r>
      <w:r>
        <w:rPr>
          <w:color w:val="3A3838"/>
          <w:w w:val="110"/>
          <w:sz w:val="21"/>
        </w:rPr>
        <w:t>in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</w:rPr>
        <w:t>document segments (e.g., the statement </w:t>
      </w:r>
      <w:r>
        <w:rPr>
          <w:rFonts w:ascii="Arial" w:hAnsi="Arial"/>
          <w:i/>
          <w:color w:val="3A3838"/>
          <w:w w:val="110"/>
          <w:sz w:val="28"/>
        </w:rPr>
        <w:t>of </w:t>
      </w:r>
      <w:r>
        <w:rPr>
          <w:color w:val="3A3838"/>
          <w:w w:val="110"/>
        </w:rPr>
        <w:t>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case, the argument),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first and last paragraphs </w:t>
      </w:r>
      <w:r>
        <w:rPr>
          <w:rFonts w:ascii="Arial" w:hAnsi="Arial"/>
          <w:color w:val="3A3838"/>
          <w:w w:val="110"/>
          <w:sz w:val="21"/>
        </w:rPr>
        <w:t>in </w:t>
      </w:r>
      <w:r>
        <w:rPr>
          <w:color w:val="3A3838"/>
          <w:w w:val="110"/>
        </w:rPr>
        <w:t>point heading sections, and even the first 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last</w:t>
      </w:r>
      <w:r>
        <w:rPr>
          <w:color w:val="3A3838"/>
          <w:spacing w:val="6"/>
          <w:w w:val="105"/>
        </w:rPr>
        <w:t> </w:t>
      </w:r>
      <w:r>
        <w:rPr>
          <w:color w:val="3A3838"/>
          <w:w w:val="105"/>
        </w:rPr>
        <w:t>sentences</w:t>
      </w:r>
      <w:r>
        <w:rPr>
          <w:color w:val="3A3838"/>
          <w:spacing w:val="17"/>
          <w:w w:val="105"/>
        </w:rPr>
        <w:t> </w:t>
      </w:r>
      <w:r>
        <w:rPr>
          <w:color w:val="3A3838"/>
          <w:w w:val="105"/>
        </w:rPr>
        <w:t>in  paragraphs.</w:t>
      </w:r>
      <w:r>
        <w:rPr>
          <w:color w:val="3A3838"/>
          <w:spacing w:val="14"/>
          <w:w w:val="105"/>
        </w:rPr>
        <w:t> </w:t>
      </w:r>
      <w:r>
        <w:rPr>
          <w:color w:val="3A3838"/>
          <w:w w:val="105"/>
        </w:rPr>
        <w:t>To</w:t>
      </w:r>
      <w:r>
        <w:rPr>
          <w:color w:val="3A3838"/>
          <w:spacing w:val="10"/>
          <w:w w:val="105"/>
        </w:rPr>
        <w:t> </w:t>
      </w:r>
      <w:r>
        <w:rPr>
          <w:color w:val="3A3838"/>
          <w:w w:val="105"/>
        </w:rPr>
        <w:t>a</w:t>
      </w:r>
      <w:r>
        <w:rPr>
          <w:color w:val="3A3838"/>
          <w:spacing w:val="36"/>
          <w:w w:val="105"/>
        </w:rPr>
        <w:t> </w:t>
      </w:r>
      <w:r>
        <w:rPr>
          <w:color w:val="3A3838"/>
          <w:w w:val="105"/>
        </w:rPr>
        <w:t>lesser</w:t>
      </w:r>
      <w:r>
        <w:rPr>
          <w:color w:val="3A3838"/>
          <w:spacing w:val="18"/>
          <w:w w:val="105"/>
        </w:rPr>
        <w:t> </w:t>
      </w:r>
      <w:r>
        <w:rPr>
          <w:color w:val="3A3838"/>
          <w:w w:val="105"/>
        </w:rPr>
        <w:t>degree,</w:t>
      </w:r>
      <w:r>
        <w:rPr>
          <w:color w:val="3A3838"/>
          <w:spacing w:val="12"/>
          <w:w w:val="105"/>
        </w:rPr>
        <w:t> </w:t>
      </w:r>
      <w:r>
        <w:rPr>
          <w:color w:val="3A3838"/>
          <w:w w:val="105"/>
        </w:rPr>
        <w:t>information</w:t>
      </w:r>
      <w:r>
        <w:rPr>
          <w:color w:val="3A3838"/>
          <w:spacing w:val="41"/>
          <w:w w:val="105"/>
        </w:rPr>
        <w:t> </w:t>
      </w:r>
      <w:r>
        <w:rPr>
          <w:color w:val="3A3838"/>
          <w:w w:val="105"/>
        </w:rPr>
        <w:t>at</w:t>
      </w:r>
      <w:r>
        <w:rPr>
          <w:color w:val="3A3838"/>
          <w:spacing w:val="37"/>
          <w:w w:val="105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26"/>
          <w:w w:val="105"/>
        </w:rPr>
        <w:t> </w:t>
      </w:r>
      <w:r>
        <w:rPr>
          <w:color w:val="3A3838"/>
          <w:w w:val="105"/>
        </w:rPr>
        <w:t>begin­</w:t>
      </w:r>
    </w:p>
    <w:p>
      <w:pPr>
        <w:pStyle w:val="BodyText"/>
        <w:spacing w:line="232" w:lineRule="auto" w:before="3"/>
        <w:ind w:left="609" w:right="114" w:firstLine="16"/>
        <w:jc w:val="both"/>
        <w:rPr>
          <w:sz w:val="20"/>
        </w:rPr>
      </w:pPr>
      <w:r>
        <w:rPr>
          <w:color w:val="3A3838"/>
          <w:w w:val="110"/>
        </w:rPr>
        <w:t>ningor</w:t>
      </w:r>
      <w:r>
        <w:rPr>
          <w:color w:val="3A3838"/>
          <w:spacing w:val="-33"/>
          <w:w w:val="110"/>
        </w:rPr>
        <w:t> </w:t>
      </w:r>
      <w:r>
        <w:rPr>
          <w:color w:val="3A3838"/>
          <w:w w:val="110"/>
        </w:rPr>
        <w:t>ending</w:t>
      </w:r>
      <w:r>
        <w:rPr>
          <w:color w:val="3A3838"/>
          <w:spacing w:val="-25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sentence</w:t>
      </w:r>
      <w:r>
        <w:rPr>
          <w:color w:val="3A3838"/>
          <w:spacing w:val="-21"/>
          <w:w w:val="110"/>
        </w:rPr>
        <w:t> </w:t>
      </w:r>
      <w:r>
        <w:rPr>
          <w:color w:val="3A3838"/>
          <w:w w:val="110"/>
        </w:rPr>
        <w:t>is</w:t>
      </w:r>
      <w:r>
        <w:rPr>
          <w:color w:val="3A3838"/>
          <w:spacing w:val="-24"/>
          <w:w w:val="110"/>
        </w:rPr>
        <w:t> </w:t>
      </w:r>
      <w:r>
        <w:rPr>
          <w:color w:val="3A3838"/>
          <w:w w:val="110"/>
        </w:rPr>
        <w:t>also</w:t>
      </w:r>
      <w:r>
        <w:rPr>
          <w:color w:val="3A3838"/>
          <w:spacing w:val="-23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-3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-2"/>
          <w:w w:val="110"/>
        </w:rPr>
        <w:t> </w:t>
      </w:r>
      <w:r>
        <w:rPr>
          <w:color w:val="3A3838"/>
          <w:w w:val="110"/>
        </w:rPr>
        <w:t>position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-2"/>
          <w:w w:val="110"/>
        </w:rPr>
        <w:t> </w:t>
      </w:r>
      <w:r>
        <w:rPr>
          <w:color w:val="3A3838"/>
          <w:w w:val="110"/>
        </w:rPr>
        <w:t>emphasis,</w:t>
      </w:r>
      <w:r>
        <w:rPr>
          <w:color w:val="3A3838"/>
          <w:w w:val="110"/>
          <w:vertAlign w:val="superscript"/>
        </w:rPr>
        <w:t>1</w:t>
      </w:r>
      <w:r>
        <w:rPr>
          <w:color w:val="3A3838"/>
          <w:w w:val="110"/>
          <w:sz w:val="13"/>
          <w:vertAlign w:val="baseline"/>
        </w:rPr>
        <w:t>•</w:t>
      </w:r>
      <w:r>
        <w:rPr>
          <w:color w:val="3A3838"/>
          <w:spacing w:val="16"/>
          <w:w w:val="110"/>
          <w:sz w:val="13"/>
          <w:vertAlign w:val="baseline"/>
        </w:rPr>
        <w:t> </w:t>
      </w:r>
      <w:r>
        <w:rPr>
          <w:color w:val="3A3838"/>
          <w:w w:val="110"/>
          <w:vertAlign w:val="baseline"/>
        </w:rPr>
        <w:t>as</w:t>
      </w:r>
      <w:r>
        <w:rPr>
          <w:color w:val="3A3838"/>
          <w:spacing w:val="5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is</w:t>
      </w:r>
      <w:r>
        <w:rPr>
          <w:color w:val="3A3838"/>
          <w:spacing w:val="-28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</w:t>
      </w:r>
      <w:r>
        <w:rPr>
          <w:color w:val="3A3838"/>
          <w:spacing w:val="-3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short</w:t>
      </w:r>
      <w:r>
        <w:rPr>
          <w:color w:val="3A3838"/>
          <w:spacing w:val="-61"/>
          <w:w w:val="110"/>
          <w:vertAlign w:val="baseline"/>
        </w:rPr>
        <w:t> </w:t>
      </w:r>
      <w:r>
        <w:rPr>
          <w:color w:val="3A3838"/>
          <w:spacing w:val="-1"/>
          <w:w w:val="110"/>
          <w:vertAlign w:val="baseline"/>
        </w:rPr>
        <w:t>sentence,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spacing w:val="-1"/>
          <w:w w:val="110"/>
          <w:vertAlign w:val="baseline"/>
        </w:rPr>
        <w:t>particularly</w:t>
      </w:r>
      <w:r>
        <w:rPr>
          <w:color w:val="3A3838"/>
          <w:spacing w:val="-1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when</w:t>
      </w:r>
      <w:r>
        <w:rPr>
          <w:color w:val="3A3838"/>
          <w:spacing w:val="-12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it</w:t>
      </w:r>
      <w:r>
        <w:rPr>
          <w:color w:val="3A3838"/>
          <w:spacing w:val="-8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is</w:t>
      </w:r>
      <w:r>
        <w:rPr>
          <w:color w:val="3A3838"/>
          <w:spacing w:val="-28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placed</w:t>
      </w:r>
      <w:r>
        <w:rPr>
          <w:color w:val="3A3838"/>
          <w:spacing w:val="-16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within</w:t>
      </w:r>
      <w:r>
        <w:rPr>
          <w:color w:val="3A3838"/>
          <w:spacing w:val="-22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</w:t>
      </w:r>
      <w:r>
        <w:rPr>
          <w:color w:val="3A3838"/>
          <w:spacing w:val="-17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group</w:t>
      </w:r>
      <w:r>
        <w:rPr>
          <w:color w:val="3A3838"/>
          <w:spacing w:val="-24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of</w:t>
      </w:r>
      <w:r>
        <w:rPr>
          <w:color w:val="3A3838"/>
          <w:spacing w:val="-4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longer</w:t>
      </w:r>
      <w:r>
        <w:rPr>
          <w:color w:val="3A3838"/>
          <w:spacing w:val="-24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sentences.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Finally, within a sentence itself, the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reader pays more attention to the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information expressed in the subject-verb combination, with particular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emphasis</w:t>
      </w:r>
      <w:r>
        <w:rPr>
          <w:color w:val="3A3838"/>
          <w:spacing w:val="-17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on</w:t>
      </w:r>
      <w:r>
        <w:rPr>
          <w:color w:val="3A3838"/>
          <w:spacing w:val="20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the</w:t>
      </w:r>
      <w:r>
        <w:rPr>
          <w:color w:val="3A3838"/>
          <w:spacing w:val="27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verb.</w:t>
      </w:r>
      <w:r>
        <w:rPr>
          <w:color w:val="3A3838"/>
          <w:w w:val="110"/>
          <w:sz w:val="20"/>
          <w:vertAlign w:val="baseline"/>
        </w:rPr>
        <w:t>is</w:t>
      </w:r>
    </w:p>
    <w:p>
      <w:pPr>
        <w:pStyle w:val="BodyText"/>
        <w:spacing w:line="235" w:lineRule="auto" w:before="5"/>
        <w:ind w:left="573" w:right="110" w:firstLine="397"/>
        <w:jc w:val="both"/>
      </w:pPr>
      <w:r>
        <w:rPr>
          <w:color w:val="3A3838"/>
          <w:w w:val="110"/>
        </w:rPr>
        <w:t>Positions of deemphasis are positions that are away from white space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and away from the natural breaks that the reader takes while reading. In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other words, "middles"</w:t>
      </w:r>
      <w:r>
        <w:rPr>
          <w:color w:val="565657"/>
          <w:w w:val="110"/>
        </w:rPr>
        <w:t>: </w:t>
      </w:r>
      <w:r>
        <w:rPr>
          <w:color w:val="3A3838"/>
          <w:w w:val="110"/>
        </w:rPr>
        <w:t>the middle of a point heading section, a para­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graph,</w:t>
      </w:r>
      <w:r>
        <w:rPr>
          <w:color w:val="3A3838"/>
          <w:spacing w:val="-16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document.</w:t>
      </w:r>
      <w:r>
        <w:rPr>
          <w:color w:val="3A3838"/>
          <w:spacing w:val="-3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-26"/>
          <w:w w:val="110"/>
        </w:rPr>
        <w:t> </w:t>
      </w:r>
      <w:r>
        <w:rPr>
          <w:color w:val="3A3838"/>
          <w:w w:val="110"/>
        </w:rPr>
        <w:t>series</w:t>
      </w:r>
      <w:r>
        <w:rPr>
          <w:color w:val="3A3838"/>
          <w:spacing w:val="-21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long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sentences</w:t>
      </w:r>
      <w:r>
        <w:rPr>
          <w:color w:val="3A3838"/>
          <w:spacing w:val="-22"/>
          <w:w w:val="110"/>
        </w:rPr>
        <w:t> </w:t>
      </w:r>
      <w:r>
        <w:rPr>
          <w:color w:val="3A3838"/>
          <w:w w:val="110"/>
        </w:rPr>
        <w:t>slows</w:t>
      </w:r>
      <w:r>
        <w:rPr>
          <w:color w:val="3A3838"/>
          <w:spacing w:val="-20"/>
          <w:w w:val="110"/>
        </w:rPr>
        <w:t> </w:t>
      </w:r>
      <w:r>
        <w:rPr>
          <w:color w:val="3A3838"/>
          <w:w w:val="110"/>
        </w:rPr>
        <w:t>down</w:t>
      </w:r>
      <w:r>
        <w:rPr>
          <w:color w:val="3A3838"/>
          <w:spacing w:val="-13"/>
          <w:w w:val="110"/>
        </w:rPr>
        <w:t> </w:t>
      </w:r>
      <w:r>
        <w:rPr>
          <w:color w:val="3A3838"/>
          <w:w w:val="110"/>
        </w:rPr>
        <w:t>comprehension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by making the reader work harder to assemble the information in the sen­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tences</w:t>
      </w:r>
      <w:r>
        <w:rPr>
          <w:color w:val="565657"/>
          <w:w w:val="110"/>
        </w:rPr>
        <w:t>. </w:t>
      </w:r>
      <w:r>
        <w:rPr>
          <w:color w:val="3A3838"/>
          <w:w w:val="110"/>
        </w:rPr>
        <w:t>Within a sentence, moving information from a verb to a noun, or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using passive voice to remove an actor (that is, the person or thing that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"verbed")</w:t>
      </w:r>
      <w:r>
        <w:rPr>
          <w:color w:val="565657"/>
          <w:w w:val="110"/>
        </w:rPr>
        <w:t>,</w:t>
      </w:r>
      <w:r>
        <w:rPr>
          <w:color w:val="565657"/>
          <w:spacing w:val="-12"/>
          <w:w w:val="110"/>
        </w:rPr>
        <w:t> </w:t>
      </w:r>
      <w:r>
        <w:rPr>
          <w:color w:val="3A3838"/>
          <w:w w:val="110"/>
        </w:rPr>
        <w:t>also</w:t>
      </w:r>
      <w:r>
        <w:rPr>
          <w:color w:val="3A3838"/>
          <w:spacing w:val="-16"/>
          <w:w w:val="110"/>
        </w:rPr>
        <w:t> </w:t>
      </w:r>
      <w:r>
        <w:rPr>
          <w:color w:val="3A3838"/>
          <w:w w:val="110"/>
        </w:rPr>
        <w:t>deemphasizes</w:t>
      </w:r>
      <w:r>
        <w:rPr>
          <w:color w:val="3A3838"/>
          <w:spacing w:val="11"/>
          <w:w w:val="110"/>
        </w:rPr>
        <w:t> </w:t>
      </w:r>
      <w:r>
        <w:rPr>
          <w:color w:val="3A3838"/>
          <w:w w:val="110"/>
        </w:rPr>
        <w:t>information.</w:t>
      </w:r>
    </w:p>
    <w:p>
      <w:pPr>
        <w:pStyle w:val="BodyText"/>
        <w:spacing w:line="241" w:lineRule="exact"/>
        <w:ind w:left="938"/>
        <w:jc w:val="both"/>
      </w:pPr>
      <w:r>
        <w:rPr>
          <w:color w:val="3A3838"/>
          <w:w w:val="105"/>
        </w:rPr>
        <w:t>Thus,</w:t>
      </w:r>
      <w:r>
        <w:rPr>
          <w:color w:val="3A3838"/>
          <w:spacing w:val="14"/>
          <w:w w:val="105"/>
        </w:rPr>
        <w:t> </w:t>
      </w:r>
      <w:r>
        <w:rPr>
          <w:color w:val="3A3838"/>
          <w:w w:val="105"/>
        </w:rPr>
        <w:t>to</w:t>
      </w:r>
      <w:r>
        <w:rPr>
          <w:color w:val="3A3838"/>
          <w:spacing w:val="36"/>
          <w:w w:val="105"/>
        </w:rPr>
        <w:t> </w:t>
      </w:r>
      <w:r>
        <w:rPr>
          <w:color w:val="3A3838"/>
          <w:w w:val="105"/>
        </w:rPr>
        <w:t>make</w:t>
      </w:r>
      <w:r>
        <w:rPr>
          <w:color w:val="3A3838"/>
          <w:spacing w:val="-3"/>
          <w:w w:val="105"/>
        </w:rPr>
        <w:t> </w:t>
      </w:r>
      <w:r>
        <w:rPr>
          <w:color w:val="3A3838"/>
          <w:w w:val="105"/>
        </w:rPr>
        <w:t>your</w:t>
      </w:r>
      <w:r>
        <w:rPr>
          <w:color w:val="3A3838"/>
          <w:spacing w:val="10"/>
          <w:w w:val="105"/>
        </w:rPr>
        <w:t> </w:t>
      </w:r>
      <w:r>
        <w:rPr>
          <w:color w:val="3A3838"/>
          <w:w w:val="105"/>
        </w:rPr>
        <w:t>brief</w:t>
      </w:r>
      <w:r>
        <w:rPr>
          <w:color w:val="3A3838"/>
          <w:spacing w:val="41"/>
          <w:w w:val="105"/>
        </w:rPr>
        <w:t> </w:t>
      </w:r>
      <w:r>
        <w:rPr>
          <w:color w:val="3A3838"/>
          <w:w w:val="105"/>
        </w:rPr>
        <w:t>more</w:t>
      </w:r>
      <w:r>
        <w:rPr>
          <w:color w:val="3A3838"/>
          <w:spacing w:val="-2"/>
          <w:w w:val="105"/>
        </w:rPr>
        <w:t> </w:t>
      </w:r>
      <w:r>
        <w:rPr>
          <w:color w:val="3A3838"/>
          <w:w w:val="105"/>
        </w:rPr>
        <w:t>persuasive,</w:t>
      </w:r>
      <w:r>
        <w:rPr>
          <w:color w:val="3A3838"/>
          <w:spacing w:val="13"/>
          <w:w w:val="105"/>
        </w:rPr>
        <w:t> </w:t>
      </w:r>
      <w:r>
        <w:rPr>
          <w:color w:val="3A3838"/>
          <w:w w:val="105"/>
        </w:rPr>
        <w:t>focus</w:t>
      </w:r>
      <w:r>
        <w:rPr>
          <w:color w:val="3A3838"/>
          <w:spacing w:val="4"/>
          <w:w w:val="105"/>
        </w:rPr>
        <w:t> </w:t>
      </w:r>
      <w:r>
        <w:rPr>
          <w:color w:val="3A3838"/>
          <w:w w:val="105"/>
        </w:rPr>
        <w:t>your</w:t>
      </w:r>
      <w:r>
        <w:rPr>
          <w:color w:val="3A3838"/>
          <w:spacing w:val="10"/>
          <w:w w:val="105"/>
        </w:rPr>
        <w:t> </w:t>
      </w:r>
      <w:r>
        <w:rPr>
          <w:color w:val="3A3838"/>
          <w:w w:val="105"/>
        </w:rPr>
        <w:t>attention.</w:t>
      </w:r>
      <w:r>
        <w:rPr>
          <w:color w:val="3A3838"/>
          <w:spacing w:val="18"/>
          <w:w w:val="105"/>
        </w:rPr>
        <w:t> </w:t>
      </w:r>
      <w:r>
        <w:rPr>
          <w:color w:val="3A3838"/>
          <w:w w:val="105"/>
        </w:rPr>
        <w:t>Decide</w:t>
      </w:r>
    </w:p>
    <w:p>
      <w:pPr>
        <w:pStyle w:val="ListParagraph"/>
        <w:numPr>
          <w:ilvl w:val="1"/>
          <w:numId w:val="101"/>
        </w:numPr>
        <w:tabs>
          <w:tab w:pos="925" w:val="left" w:leader="none"/>
        </w:tabs>
        <w:spacing w:line="232" w:lineRule="auto" w:before="0" w:after="0"/>
        <w:ind w:left="541" w:right="98" w:firstLine="28"/>
        <w:jc w:val="both"/>
        <w:rPr>
          <w:sz w:val="23"/>
        </w:rPr>
      </w:pPr>
      <w:r>
        <w:rPr>
          <w:color w:val="3A3838"/>
          <w:w w:val="110"/>
          <w:sz w:val="23"/>
        </w:rPr>
        <w:t>what information  </w:t>
      </w:r>
      <w:r>
        <w:rPr>
          <w:i/>
          <w:color w:val="3A3838"/>
          <w:w w:val="110"/>
          <w:sz w:val="24"/>
        </w:rPr>
        <w:t>you </w:t>
      </w:r>
      <w:r>
        <w:rPr>
          <w:color w:val="3A3838"/>
          <w:w w:val="110"/>
          <w:sz w:val="23"/>
        </w:rPr>
        <w:t>want to emphasize and (b) what information</w:t>
      </w:r>
      <w:r>
        <w:rPr>
          <w:color w:val="3A3838"/>
          <w:spacing w:val="1"/>
          <w:w w:val="110"/>
          <w:sz w:val="23"/>
        </w:rPr>
        <w:t> </w:t>
      </w:r>
      <w:r>
        <w:rPr>
          <w:color w:val="3A3838"/>
          <w:w w:val="110"/>
          <w:sz w:val="23"/>
        </w:rPr>
        <w:t>you want to deemphasize</w:t>
      </w:r>
      <w:r>
        <w:rPr>
          <w:color w:val="565657"/>
          <w:w w:val="110"/>
          <w:sz w:val="23"/>
        </w:rPr>
        <w:t>. </w:t>
      </w:r>
      <w:r>
        <w:rPr>
          <w:color w:val="3A3838"/>
          <w:w w:val="110"/>
          <w:sz w:val="23"/>
        </w:rPr>
        <w:t>Exploit the</w:t>
      </w:r>
      <w:r>
        <w:rPr>
          <w:color w:val="3A3838"/>
          <w:spacing w:val="1"/>
          <w:w w:val="110"/>
          <w:sz w:val="23"/>
        </w:rPr>
        <w:t> </w:t>
      </w:r>
      <w:r>
        <w:rPr>
          <w:color w:val="3A3838"/>
          <w:w w:val="110"/>
          <w:sz w:val="23"/>
        </w:rPr>
        <w:t>positions of emphasis by making</w:t>
      </w:r>
      <w:r>
        <w:rPr>
          <w:color w:val="3A3838"/>
          <w:spacing w:val="1"/>
          <w:w w:val="110"/>
          <w:sz w:val="23"/>
        </w:rPr>
        <w:t> </w:t>
      </w:r>
      <w:r>
        <w:rPr>
          <w:color w:val="3A3838"/>
          <w:w w:val="110"/>
          <w:sz w:val="23"/>
        </w:rPr>
        <w:t>sure that you fill them  with  the  information  that is most important  to</w:t>
      </w:r>
      <w:r>
        <w:rPr>
          <w:color w:val="3A3838"/>
          <w:spacing w:val="1"/>
          <w:w w:val="110"/>
          <w:sz w:val="23"/>
        </w:rPr>
        <w:t> </w:t>
      </w:r>
      <w:r>
        <w:rPr>
          <w:color w:val="3A3838"/>
          <w:w w:val="110"/>
          <w:sz w:val="23"/>
        </w:rPr>
        <w:t>the case and/or the reader. Lessen the impact of negative information </w:t>
      </w:r>
      <w:r>
        <w:rPr>
          <w:rFonts w:ascii="Arial"/>
          <w:color w:val="3A3838"/>
          <w:w w:val="110"/>
          <w:sz w:val="21"/>
        </w:rPr>
        <w:t>by</w:t>
      </w:r>
      <w:r>
        <w:rPr>
          <w:rFonts w:ascii="Arial"/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3"/>
        </w:rPr>
        <w:t>placing it in positions of deemphasis. The various positions of emphasis</w:t>
      </w:r>
      <w:r>
        <w:rPr>
          <w:color w:val="3A3838"/>
          <w:spacing w:val="1"/>
          <w:w w:val="110"/>
          <w:sz w:val="23"/>
        </w:rPr>
        <w:t> </w:t>
      </w:r>
      <w:r>
        <w:rPr>
          <w:color w:val="3A3838"/>
          <w:w w:val="110"/>
          <w:sz w:val="23"/>
        </w:rPr>
        <w:t>present</w:t>
      </w:r>
      <w:r>
        <w:rPr>
          <w:color w:val="3A3838"/>
          <w:spacing w:val="2"/>
          <w:w w:val="110"/>
          <w:sz w:val="23"/>
        </w:rPr>
        <w:t> </w:t>
      </w:r>
      <w:r>
        <w:rPr>
          <w:color w:val="3A3838"/>
          <w:w w:val="110"/>
          <w:sz w:val="23"/>
        </w:rPr>
        <w:t>many</w:t>
      </w:r>
      <w:r>
        <w:rPr>
          <w:color w:val="3A3838"/>
          <w:spacing w:val="-12"/>
          <w:w w:val="110"/>
          <w:sz w:val="23"/>
        </w:rPr>
        <w:t> </w:t>
      </w:r>
      <w:r>
        <w:rPr>
          <w:color w:val="3A3838"/>
          <w:w w:val="110"/>
          <w:sz w:val="23"/>
        </w:rPr>
        <w:t>opportunities</w:t>
      </w:r>
      <w:r>
        <w:rPr>
          <w:color w:val="3A3838"/>
          <w:spacing w:val="15"/>
          <w:w w:val="110"/>
          <w:sz w:val="23"/>
        </w:rPr>
        <w:t> </w:t>
      </w:r>
      <w:r>
        <w:rPr>
          <w:color w:val="3A3838"/>
          <w:w w:val="110"/>
          <w:sz w:val="23"/>
        </w:rPr>
        <w:t>for</w:t>
      </w:r>
      <w:r>
        <w:rPr>
          <w:color w:val="3A3838"/>
          <w:spacing w:val="5"/>
          <w:w w:val="110"/>
          <w:sz w:val="23"/>
        </w:rPr>
        <w:t> </w:t>
      </w:r>
      <w:r>
        <w:rPr>
          <w:color w:val="3A3838"/>
          <w:w w:val="110"/>
          <w:sz w:val="23"/>
        </w:rPr>
        <w:t>persuasion</w:t>
      </w:r>
      <w:r>
        <w:rPr>
          <w:color w:val="3A3838"/>
          <w:spacing w:val="11"/>
          <w:w w:val="110"/>
          <w:sz w:val="23"/>
        </w:rPr>
        <w:t> </w:t>
      </w:r>
      <w:r>
        <w:rPr>
          <w:color w:val="3A3838"/>
          <w:w w:val="110"/>
          <w:sz w:val="23"/>
        </w:rPr>
        <w:t>in</w:t>
      </w:r>
      <w:r>
        <w:rPr>
          <w:color w:val="3A3838"/>
          <w:spacing w:val="20"/>
          <w:w w:val="110"/>
          <w:sz w:val="23"/>
        </w:rPr>
        <w:t> </w:t>
      </w:r>
      <w:r>
        <w:rPr>
          <w:color w:val="3A3838"/>
          <w:w w:val="110"/>
          <w:sz w:val="23"/>
        </w:rPr>
        <w:t>your</w:t>
      </w:r>
      <w:r>
        <w:rPr>
          <w:color w:val="3A3838"/>
          <w:spacing w:val="7"/>
          <w:w w:val="110"/>
          <w:sz w:val="23"/>
        </w:rPr>
        <w:t> </w:t>
      </w:r>
      <w:r>
        <w:rPr>
          <w:color w:val="3A3838"/>
          <w:w w:val="110"/>
          <w:sz w:val="23"/>
        </w:rPr>
        <w:t>brief.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00" w:lineRule="exact" w:before="164"/>
        <w:ind w:left="805" w:right="0" w:firstLine="0"/>
        <w:jc w:val="both"/>
        <w:rPr>
          <w:i/>
          <w:sz w:val="18"/>
        </w:rPr>
      </w:pPr>
      <w:r>
        <w:rPr>
          <w:color w:val="3A3838"/>
          <w:sz w:val="17"/>
        </w:rPr>
        <w:t>u</w:t>
      </w:r>
      <w:r>
        <w:rPr>
          <w:color w:val="3A3838"/>
          <w:spacing w:val="60"/>
          <w:sz w:val="17"/>
        </w:rPr>
        <w:t> </w:t>
      </w:r>
      <w:r>
        <w:rPr>
          <w:i/>
          <w:color w:val="3A3838"/>
          <w:sz w:val="18"/>
        </w:rPr>
        <w:t>Su</w:t>
      </w:r>
      <w:r>
        <w:rPr>
          <w:i/>
          <w:color w:val="3A3838"/>
          <w:spacing w:val="42"/>
          <w:sz w:val="18"/>
        </w:rPr>
        <w:t> </w:t>
      </w:r>
      <w:r>
        <w:rPr>
          <w:i/>
          <w:color w:val="3A3838"/>
          <w:sz w:val="18"/>
        </w:rPr>
        <w:t>generally</w:t>
      </w:r>
      <w:r>
        <w:rPr>
          <w:i/>
          <w:color w:val="3A3838"/>
          <w:spacing w:val="20"/>
          <w:sz w:val="18"/>
        </w:rPr>
        <w:t> </w:t>
      </w:r>
      <w:r>
        <w:rPr>
          <w:color w:val="3A3838"/>
          <w:sz w:val="17"/>
        </w:rPr>
        <w:t>Robert</w:t>
      </w:r>
      <w:r>
        <w:rPr>
          <w:color w:val="3A3838"/>
          <w:spacing w:val="16"/>
          <w:sz w:val="17"/>
        </w:rPr>
        <w:t> </w:t>
      </w:r>
      <w:r>
        <w:rPr>
          <w:color w:val="3A3838"/>
          <w:sz w:val="17"/>
        </w:rPr>
        <w:t>P.</w:t>
      </w:r>
      <w:r>
        <w:rPr>
          <w:color w:val="3A3838"/>
          <w:spacing w:val="4"/>
          <w:sz w:val="17"/>
        </w:rPr>
        <w:t> </w:t>
      </w:r>
      <w:r>
        <w:rPr>
          <w:color w:val="3A3838"/>
          <w:sz w:val="17"/>
        </w:rPr>
        <w:t>Charrow</w:t>
      </w:r>
      <w:r>
        <w:rPr>
          <w:color w:val="3A3838"/>
          <w:spacing w:val="14"/>
          <w:sz w:val="17"/>
        </w:rPr>
        <w:t> </w:t>
      </w:r>
      <w:r>
        <w:rPr>
          <w:color w:val="3A3838"/>
          <w:sz w:val="17"/>
        </w:rPr>
        <w:t>&amp;</w:t>
      </w:r>
      <w:r>
        <w:rPr>
          <w:color w:val="3A3838"/>
          <w:spacing w:val="4"/>
          <w:sz w:val="17"/>
        </w:rPr>
        <w:t> </w:t>
      </w:r>
      <w:r>
        <w:rPr>
          <w:color w:val="3A3838"/>
          <w:sz w:val="17"/>
        </w:rPr>
        <w:t>Veda</w:t>
      </w:r>
      <w:r>
        <w:rPr>
          <w:color w:val="3A3838"/>
          <w:spacing w:val="23"/>
          <w:sz w:val="17"/>
        </w:rPr>
        <w:t> </w:t>
      </w:r>
      <w:r>
        <w:rPr>
          <w:color w:val="3A3838"/>
          <w:sz w:val="17"/>
        </w:rPr>
        <w:t>R</w:t>
      </w:r>
      <w:r>
        <w:rPr>
          <w:color w:val="565657"/>
          <w:sz w:val="17"/>
        </w:rPr>
        <w:t>.</w:t>
      </w:r>
      <w:r>
        <w:rPr>
          <w:color w:val="565657"/>
          <w:spacing w:val="10"/>
          <w:sz w:val="17"/>
        </w:rPr>
        <w:t> </w:t>
      </w:r>
      <w:r>
        <w:rPr>
          <w:color w:val="3A3838"/>
          <w:sz w:val="17"/>
        </w:rPr>
        <w:t>Charrow</w:t>
      </w:r>
      <w:r>
        <w:rPr>
          <w:color w:val="565657"/>
          <w:sz w:val="17"/>
        </w:rPr>
        <w:t>,</w:t>
      </w:r>
      <w:r>
        <w:rPr>
          <w:color w:val="565657"/>
          <w:spacing w:val="28"/>
          <w:sz w:val="17"/>
        </w:rPr>
        <w:t> </w:t>
      </w:r>
      <w:r>
        <w:rPr>
          <w:i/>
          <w:color w:val="3A3838"/>
          <w:sz w:val="18"/>
        </w:rPr>
        <w:t>Making</w:t>
      </w:r>
      <w:r>
        <w:rPr>
          <w:i/>
          <w:color w:val="3A3838"/>
          <w:spacing w:val="11"/>
          <w:sz w:val="18"/>
        </w:rPr>
        <w:t> </w:t>
      </w:r>
      <w:r>
        <w:rPr>
          <w:i/>
          <w:color w:val="3A3838"/>
          <w:sz w:val="18"/>
        </w:rPr>
        <w:t>Le</w:t>
      </w:r>
      <w:r>
        <w:rPr>
          <w:i/>
          <w:color w:val="565657"/>
          <w:sz w:val="18"/>
        </w:rPr>
        <w:t>g</w:t>
      </w:r>
      <w:r>
        <w:rPr>
          <w:i/>
          <w:color w:val="3A3838"/>
          <w:sz w:val="18"/>
        </w:rPr>
        <w:t>al</w:t>
      </w:r>
      <w:r>
        <w:rPr>
          <w:i/>
          <w:color w:val="3A3838"/>
          <w:spacing w:val="3"/>
          <w:sz w:val="18"/>
        </w:rPr>
        <w:t> </w:t>
      </w:r>
      <w:r>
        <w:rPr>
          <w:i/>
          <w:color w:val="3A3838"/>
          <w:sz w:val="18"/>
        </w:rPr>
        <w:t>Language</w:t>
      </w:r>
      <w:r>
        <w:rPr>
          <w:i/>
          <w:color w:val="3A3838"/>
          <w:spacing w:val="-14"/>
          <w:sz w:val="18"/>
        </w:rPr>
        <w:t> </w:t>
      </w:r>
      <w:r>
        <w:rPr>
          <w:i/>
          <w:color w:val="3A3838"/>
          <w:sz w:val="18"/>
        </w:rPr>
        <w:t>Understar1dablt</w:t>
      </w:r>
      <w:r>
        <w:rPr>
          <w:i/>
          <w:color w:val="565657"/>
          <w:sz w:val="18"/>
        </w:rPr>
        <w:t>:</w:t>
      </w:r>
    </w:p>
    <w:p>
      <w:pPr>
        <w:spacing w:line="197" w:lineRule="exact" w:before="0"/>
        <w:ind w:left="494" w:right="0" w:firstLine="0"/>
        <w:jc w:val="both"/>
        <w:rPr>
          <w:sz w:val="17"/>
        </w:rPr>
      </w:pPr>
      <w:r>
        <w:rPr>
          <w:rFonts w:ascii="Arial"/>
          <w:b/>
          <w:i/>
          <w:color w:val="3A3838"/>
          <w:spacing w:val="-1"/>
          <w:w w:val="105"/>
          <w:sz w:val="17"/>
        </w:rPr>
        <w:t>A</w:t>
      </w:r>
      <w:r>
        <w:rPr>
          <w:rFonts w:ascii="Arial"/>
          <w:b/>
          <w:i/>
          <w:color w:val="3A3838"/>
          <w:spacing w:val="13"/>
          <w:w w:val="105"/>
          <w:sz w:val="17"/>
        </w:rPr>
        <w:t> </w:t>
      </w:r>
      <w:r>
        <w:rPr>
          <w:i/>
          <w:color w:val="3A3838"/>
          <w:spacing w:val="-1"/>
          <w:w w:val="105"/>
          <w:sz w:val="18"/>
        </w:rPr>
        <w:t>Psycholinguistic</w:t>
      </w:r>
      <w:r>
        <w:rPr>
          <w:i/>
          <w:color w:val="3A3838"/>
          <w:spacing w:val="-21"/>
          <w:w w:val="105"/>
          <w:sz w:val="18"/>
        </w:rPr>
        <w:t> </w:t>
      </w:r>
      <w:r>
        <w:rPr>
          <w:i/>
          <w:color w:val="3A3838"/>
          <w:spacing w:val="-1"/>
          <w:w w:val="105"/>
          <w:sz w:val="18"/>
        </w:rPr>
        <w:t>Study</w:t>
      </w:r>
      <w:r>
        <w:rPr>
          <w:i/>
          <w:color w:val="3A3838"/>
          <w:spacing w:val="-16"/>
          <w:w w:val="105"/>
          <w:sz w:val="18"/>
        </w:rPr>
        <w:t> </w:t>
      </w:r>
      <w:r>
        <w:rPr>
          <w:i/>
          <w:color w:val="3A3838"/>
          <w:spacing w:val="-1"/>
          <w:w w:val="105"/>
          <w:sz w:val="18"/>
        </w:rPr>
        <w:t>of</w:t>
      </w:r>
      <w:r>
        <w:rPr>
          <w:i/>
          <w:color w:val="3A3838"/>
          <w:spacing w:val="-14"/>
          <w:w w:val="105"/>
          <w:sz w:val="18"/>
        </w:rPr>
        <w:t> </w:t>
      </w:r>
      <w:r>
        <w:rPr>
          <w:rFonts w:ascii="Arial"/>
          <w:i/>
          <w:color w:val="3A3838"/>
          <w:w w:val="105"/>
          <w:sz w:val="16"/>
        </w:rPr>
        <w:t>fury</w:t>
      </w:r>
      <w:r>
        <w:rPr>
          <w:rFonts w:ascii="Arial"/>
          <w:i/>
          <w:color w:val="3A3838"/>
          <w:spacing w:val="2"/>
          <w:w w:val="105"/>
          <w:sz w:val="16"/>
        </w:rPr>
        <w:t> </w:t>
      </w:r>
      <w:r>
        <w:rPr>
          <w:i/>
          <w:color w:val="3A3838"/>
          <w:w w:val="105"/>
          <w:sz w:val="18"/>
        </w:rPr>
        <w:t>Instructions</w:t>
      </w:r>
      <w:r>
        <w:rPr>
          <w:i/>
          <w:color w:val="565657"/>
          <w:w w:val="105"/>
          <w:sz w:val="18"/>
        </w:rPr>
        <w:t>,</w:t>
      </w:r>
      <w:r>
        <w:rPr>
          <w:i/>
          <w:color w:val="565657"/>
          <w:spacing w:val="8"/>
          <w:w w:val="105"/>
          <w:sz w:val="18"/>
        </w:rPr>
        <w:t> </w:t>
      </w:r>
      <w:r>
        <w:rPr>
          <w:color w:val="3A3838"/>
          <w:w w:val="105"/>
          <w:sz w:val="17"/>
        </w:rPr>
        <w:t>79</w:t>
      </w:r>
      <w:r>
        <w:rPr>
          <w:color w:val="3A3838"/>
          <w:spacing w:val="30"/>
          <w:w w:val="105"/>
          <w:sz w:val="17"/>
        </w:rPr>
        <w:t> </w:t>
      </w:r>
      <w:r>
        <w:rPr>
          <w:color w:val="3A3838"/>
          <w:w w:val="105"/>
          <w:sz w:val="17"/>
        </w:rPr>
        <w:t>Colum.</w:t>
      </w:r>
      <w:r>
        <w:rPr>
          <w:color w:val="3A3838"/>
          <w:spacing w:val="-4"/>
          <w:w w:val="105"/>
          <w:sz w:val="17"/>
        </w:rPr>
        <w:t> </w:t>
      </w:r>
      <w:r>
        <w:rPr>
          <w:color w:val="3A3838"/>
          <w:w w:val="105"/>
          <w:sz w:val="17"/>
        </w:rPr>
        <w:t>L.</w:t>
      </w:r>
      <w:r>
        <w:rPr>
          <w:color w:val="3A3838"/>
          <w:spacing w:val="-9"/>
          <w:w w:val="105"/>
          <w:sz w:val="17"/>
        </w:rPr>
        <w:t> </w:t>
      </w:r>
      <w:r>
        <w:rPr>
          <w:rFonts w:ascii="Arial"/>
          <w:b/>
          <w:color w:val="3A3838"/>
          <w:w w:val="105"/>
          <w:sz w:val="16"/>
        </w:rPr>
        <w:t>Rev.</w:t>
      </w:r>
      <w:r>
        <w:rPr>
          <w:rFonts w:ascii="Arial"/>
          <w:b/>
          <w:color w:val="3A3838"/>
          <w:spacing w:val="-5"/>
          <w:w w:val="105"/>
          <w:sz w:val="16"/>
        </w:rPr>
        <w:t> </w:t>
      </w:r>
      <w:r>
        <w:rPr>
          <w:color w:val="3A3838"/>
          <w:w w:val="105"/>
          <w:sz w:val="17"/>
        </w:rPr>
        <w:t>1306</w:t>
      </w:r>
      <w:r>
        <w:rPr>
          <w:color w:val="3A3838"/>
          <w:spacing w:val="-17"/>
          <w:w w:val="105"/>
          <w:sz w:val="17"/>
        </w:rPr>
        <w:t> </w:t>
      </w:r>
      <w:r>
        <w:rPr>
          <w:color w:val="3A3838"/>
          <w:w w:val="105"/>
          <w:sz w:val="17"/>
        </w:rPr>
        <w:t>(1979).</w:t>
      </w:r>
    </w:p>
    <w:p>
      <w:pPr>
        <w:spacing w:line="223" w:lineRule="auto" w:before="10"/>
        <w:ind w:left="485" w:right="116" w:firstLine="402"/>
        <w:jc w:val="both"/>
        <w:rPr>
          <w:sz w:val="17"/>
        </w:rPr>
      </w:pPr>
      <w:r>
        <w:rPr>
          <w:color w:val="3A3838"/>
          <w:w w:val="105"/>
          <w:sz w:val="18"/>
        </w:rPr>
        <w:t>,.</w:t>
      </w:r>
      <w:r>
        <w:rPr>
          <w:color w:val="3A3838"/>
          <w:spacing w:val="-16"/>
          <w:w w:val="105"/>
          <w:sz w:val="18"/>
        </w:rPr>
        <w:t> </w:t>
      </w:r>
      <w:r>
        <w:rPr>
          <w:i/>
          <w:color w:val="3A3838"/>
          <w:w w:val="105"/>
          <w:sz w:val="18"/>
        </w:rPr>
        <w:t>See,</w:t>
      </w:r>
      <w:r>
        <w:rPr>
          <w:rFonts w:ascii="Arial" w:hAnsi="Arial"/>
          <w:b/>
          <w:i/>
          <w:color w:val="3A3838"/>
          <w:w w:val="105"/>
          <w:sz w:val="17"/>
        </w:rPr>
        <w:t>e.g.,</w:t>
      </w:r>
      <w:r>
        <w:rPr>
          <w:color w:val="3A3838"/>
          <w:w w:val="105"/>
          <w:sz w:val="17"/>
        </w:rPr>
        <w:t>Joseph M</w:t>
      </w:r>
      <w:r>
        <w:rPr>
          <w:color w:val="565657"/>
          <w:w w:val="105"/>
          <w:sz w:val="17"/>
        </w:rPr>
        <w:t>.</w:t>
      </w:r>
      <w:r>
        <w:rPr>
          <w:color w:val="565657"/>
          <w:spacing w:val="1"/>
          <w:w w:val="105"/>
          <w:sz w:val="17"/>
        </w:rPr>
        <w:t> </w:t>
      </w:r>
      <w:r>
        <w:rPr>
          <w:color w:val="3A3838"/>
          <w:w w:val="105"/>
          <w:sz w:val="17"/>
        </w:rPr>
        <w:t>WIiiiams</w:t>
      </w:r>
      <w:r>
        <w:rPr>
          <w:color w:val="3A3838"/>
          <w:spacing w:val="-14"/>
          <w:w w:val="105"/>
          <w:sz w:val="17"/>
        </w:rPr>
        <w:t> </w:t>
      </w:r>
      <w:r>
        <w:rPr>
          <w:color w:val="3A3838"/>
          <w:w w:val="105"/>
          <w:sz w:val="16"/>
        </w:rPr>
        <w:t>&amp;</w:t>
      </w:r>
      <w:r>
        <w:rPr>
          <w:color w:val="3A3838"/>
          <w:spacing w:val="5"/>
          <w:w w:val="105"/>
          <w:sz w:val="16"/>
        </w:rPr>
        <w:t> </w:t>
      </w:r>
      <w:r>
        <w:rPr>
          <w:color w:val="3A3838"/>
          <w:w w:val="105"/>
          <w:sz w:val="17"/>
        </w:rPr>
        <w:t>Gregory</w:t>
      </w:r>
      <w:r>
        <w:rPr>
          <w:color w:val="3A3838"/>
          <w:spacing w:val="-8"/>
          <w:w w:val="105"/>
          <w:sz w:val="17"/>
        </w:rPr>
        <w:t> </w:t>
      </w:r>
      <w:r>
        <w:rPr>
          <w:color w:val="3A3838"/>
          <w:w w:val="105"/>
          <w:sz w:val="17"/>
        </w:rPr>
        <w:t>G.</w:t>
      </w:r>
      <w:r>
        <w:rPr>
          <w:color w:val="3A3838"/>
          <w:spacing w:val="6"/>
          <w:w w:val="105"/>
          <w:sz w:val="17"/>
        </w:rPr>
        <w:t> </w:t>
      </w:r>
      <w:r>
        <w:rPr>
          <w:color w:val="3A3838"/>
          <w:w w:val="105"/>
          <w:sz w:val="17"/>
        </w:rPr>
        <w:t>Colomb,</w:t>
      </w:r>
      <w:r>
        <w:rPr>
          <w:color w:val="3A3838"/>
          <w:spacing w:val="-4"/>
          <w:w w:val="105"/>
          <w:sz w:val="17"/>
        </w:rPr>
        <w:t> </w:t>
      </w:r>
      <w:r>
        <w:rPr>
          <w:i/>
          <w:color w:val="3A3838"/>
          <w:w w:val="105"/>
          <w:sz w:val="18"/>
        </w:rPr>
        <w:t>Style</w:t>
      </w:r>
      <w:r>
        <w:rPr>
          <w:i/>
          <w:color w:val="565657"/>
          <w:w w:val="105"/>
          <w:sz w:val="18"/>
        </w:rPr>
        <w:t>:</w:t>
      </w:r>
      <w:r>
        <w:rPr>
          <w:i/>
          <w:color w:val="565657"/>
          <w:spacing w:val="-11"/>
          <w:w w:val="105"/>
          <w:sz w:val="18"/>
        </w:rPr>
        <w:t> </w:t>
      </w:r>
      <w:r>
        <w:rPr>
          <w:i/>
          <w:color w:val="3A3838"/>
          <w:w w:val="105"/>
          <w:sz w:val="18"/>
        </w:rPr>
        <w:t>L</w:t>
      </w:r>
      <w:r>
        <w:rPr>
          <w:i/>
          <w:color w:val="565657"/>
          <w:w w:val="105"/>
          <w:sz w:val="18"/>
        </w:rPr>
        <w:t>e</w:t>
      </w:r>
      <w:r>
        <w:rPr>
          <w:i/>
          <w:color w:val="3A3838"/>
          <w:w w:val="105"/>
          <w:sz w:val="18"/>
        </w:rPr>
        <w:t>ssons</w:t>
      </w:r>
      <w:r>
        <w:rPr>
          <w:i/>
          <w:color w:val="3A3838"/>
          <w:spacing w:val="4"/>
          <w:w w:val="105"/>
          <w:sz w:val="18"/>
        </w:rPr>
        <w:t> </w:t>
      </w:r>
      <w:r>
        <w:rPr>
          <w:i/>
          <w:color w:val="3A3838"/>
          <w:w w:val="105"/>
          <w:sz w:val="18"/>
        </w:rPr>
        <w:t>in</w:t>
      </w:r>
      <w:r>
        <w:rPr>
          <w:i/>
          <w:color w:val="3A3838"/>
          <w:spacing w:val="4"/>
          <w:w w:val="105"/>
          <w:sz w:val="18"/>
        </w:rPr>
        <w:t> </w:t>
      </w:r>
      <w:r>
        <w:rPr>
          <w:i/>
          <w:color w:val="3A3838"/>
          <w:w w:val="105"/>
          <w:sz w:val="18"/>
        </w:rPr>
        <w:t>Clarity</w:t>
      </w:r>
      <w:r>
        <w:rPr>
          <w:i/>
          <w:color w:val="3A3838"/>
          <w:spacing w:val="-20"/>
          <w:w w:val="105"/>
          <w:sz w:val="18"/>
        </w:rPr>
        <w:t> </w:t>
      </w:r>
      <w:r>
        <w:rPr>
          <w:i/>
          <w:color w:val="3A3838"/>
          <w:w w:val="105"/>
          <w:sz w:val="18"/>
        </w:rPr>
        <w:t>and</w:t>
      </w:r>
      <w:r>
        <w:rPr>
          <w:i/>
          <w:color w:val="3A3838"/>
          <w:spacing w:val="-17"/>
          <w:w w:val="105"/>
          <w:sz w:val="18"/>
        </w:rPr>
        <w:t> </w:t>
      </w:r>
      <w:r>
        <w:rPr>
          <w:i/>
          <w:color w:val="3A3838"/>
          <w:w w:val="105"/>
          <w:sz w:val="18"/>
        </w:rPr>
        <w:t>Grace</w:t>
      </w:r>
      <w:r>
        <w:rPr>
          <w:i/>
          <w:color w:val="3A3838"/>
          <w:spacing w:val="-15"/>
          <w:w w:val="105"/>
          <w:sz w:val="18"/>
        </w:rPr>
        <w:t> </w:t>
      </w:r>
      <w:r>
        <w:rPr>
          <w:b/>
          <w:color w:val="3A3838"/>
          <w:w w:val="105"/>
          <w:sz w:val="16"/>
        </w:rPr>
        <w:t>82-86,</w:t>
      </w:r>
      <w:r>
        <w:rPr>
          <w:b/>
          <w:color w:val="3A3838"/>
          <w:spacing w:val="1"/>
          <w:w w:val="105"/>
          <w:sz w:val="16"/>
        </w:rPr>
        <w:t> </w:t>
      </w:r>
      <w:r>
        <w:rPr>
          <w:color w:val="3A3838"/>
          <w:w w:val="110"/>
          <w:sz w:val="17"/>
        </w:rPr>
        <w:t>91-94</w:t>
      </w:r>
      <w:r>
        <w:rPr>
          <w:color w:val="3A3838"/>
          <w:spacing w:val="-11"/>
          <w:w w:val="110"/>
          <w:sz w:val="17"/>
        </w:rPr>
        <w:t> </w:t>
      </w:r>
      <w:r>
        <w:rPr>
          <w:color w:val="3A3838"/>
          <w:w w:val="110"/>
          <w:sz w:val="17"/>
        </w:rPr>
        <w:t>(10th</w:t>
      </w:r>
      <w:r>
        <w:rPr>
          <w:color w:val="3A3838"/>
          <w:spacing w:val="-2"/>
          <w:w w:val="110"/>
          <w:sz w:val="17"/>
        </w:rPr>
        <w:t> </w:t>
      </w:r>
      <w:r>
        <w:rPr>
          <w:color w:val="3A3838"/>
          <w:w w:val="110"/>
          <w:sz w:val="17"/>
        </w:rPr>
        <w:t>ed.,</w:t>
      </w:r>
      <w:r>
        <w:rPr>
          <w:color w:val="3A3838"/>
          <w:spacing w:val="-27"/>
          <w:w w:val="110"/>
          <w:sz w:val="17"/>
        </w:rPr>
        <w:t> </w:t>
      </w:r>
      <w:r>
        <w:rPr>
          <w:color w:val="3A3838"/>
          <w:w w:val="110"/>
          <w:sz w:val="17"/>
        </w:rPr>
        <w:t>Longman</w:t>
      </w:r>
      <w:r>
        <w:rPr>
          <w:color w:val="3A3838"/>
          <w:spacing w:val="-4"/>
          <w:w w:val="110"/>
          <w:sz w:val="17"/>
        </w:rPr>
        <w:t> </w:t>
      </w:r>
      <w:r>
        <w:rPr>
          <w:color w:val="3A3838"/>
          <w:w w:val="110"/>
          <w:sz w:val="17"/>
        </w:rPr>
        <w:t>2010)</w:t>
      </w:r>
      <w:r>
        <w:rPr>
          <w:color w:val="565657"/>
          <w:w w:val="110"/>
          <w:sz w:val="17"/>
        </w:rPr>
        <w:t>.</w:t>
      </w:r>
      <w:r>
        <w:rPr>
          <w:color w:val="565657"/>
          <w:spacing w:val="-19"/>
          <w:w w:val="110"/>
          <w:sz w:val="17"/>
        </w:rPr>
        <w:t> </w:t>
      </w:r>
      <w:r>
        <w:rPr>
          <w:i/>
          <w:color w:val="3A3838"/>
          <w:w w:val="110"/>
          <w:sz w:val="18"/>
        </w:rPr>
        <w:t>Seealso</w:t>
      </w:r>
      <w:r>
        <w:rPr>
          <w:color w:val="3A3838"/>
          <w:w w:val="110"/>
          <w:sz w:val="17"/>
        </w:rPr>
        <w:t>Laurel</w:t>
      </w:r>
      <w:r>
        <w:rPr>
          <w:color w:val="3A3838"/>
          <w:spacing w:val="-14"/>
          <w:w w:val="110"/>
          <w:sz w:val="17"/>
        </w:rPr>
        <w:t> </w:t>
      </w:r>
      <w:r>
        <w:rPr>
          <w:color w:val="3A3838"/>
          <w:w w:val="110"/>
          <w:sz w:val="17"/>
        </w:rPr>
        <w:t>Currie</w:t>
      </w:r>
      <w:r>
        <w:rPr>
          <w:color w:val="3A3838"/>
          <w:spacing w:val="-17"/>
          <w:w w:val="110"/>
          <w:sz w:val="17"/>
        </w:rPr>
        <w:t> </w:t>
      </w:r>
      <w:r>
        <w:rPr>
          <w:color w:val="3A3838"/>
          <w:w w:val="110"/>
          <w:sz w:val="17"/>
        </w:rPr>
        <w:t>Oates</w:t>
      </w:r>
      <w:r>
        <w:rPr>
          <w:color w:val="3A3838"/>
          <w:spacing w:val="-21"/>
          <w:w w:val="110"/>
          <w:sz w:val="17"/>
        </w:rPr>
        <w:t> </w:t>
      </w:r>
      <w:r>
        <w:rPr>
          <w:color w:val="3A3838"/>
          <w:w w:val="110"/>
          <w:sz w:val="16"/>
        </w:rPr>
        <w:t>&amp;</w:t>
      </w:r>
      <w:r>
        <w:rPr>
          <w:color w:val="3A3838"/>
          <w:spacing w:val="-5"/>
          <w:w w:val="110"/>
          <w:sz w:val="16"/>
        </w:rPr>
        <w:t> </w:t>
      </w:r>
      <w:r>
        <w:rPr>
          <w:color w:val="3A3838"/>
          <w:w w:val="110"/>
          <w:sz w:val="17"/>
        </w:rPr>
        <w:t>Anne</w:t>
      </w:r>
      <w:r>
        <w:rPr>
          <w:color w:val="3A3838"/>
          <w:spacing w:val="-13"/>
          <w:w w:val="110"/>
          <w:sz w:val="17"/>
        </w:rPr>
        <w:t> </w:t>
      </w:r>
      <w:r>
        <w:rPr>
          <w:color w:val="3A3838"/>
          <w:w w:val="110"/>
          <w:sz w:val="17"/>
        </w:rPr>
        <w:t>M.</w:t>
      </w:r>
      <w:r>
        <w:rPr>
          <w:color w:val="3A3838"/>
          <w:spacing w:val="-21"/>
          <w:w w:val="110"/>
          <w:sz w:val="17"/>
        </w:rPr>
        <w:t> </w:t>
      </w:r>
      <w:r>
        <w:rPr>
          <w:color w:val="3A3838"/>
          <w:w w:val="110"/>
          <w:sz w:val="17"/>
        </w:rPr>
        <w:t>Enqulst,</w:t>
      </w:r>
      <w:r>
        <w:rPr>
          <w:color w:val="3A3838"/>
          <w:spacing w:val="-2"/>
          <w:w w:val="110"/>
          <w:sz w:val="17"/>
        </w:rPr>
        <w:t> </w:t>
      </w:r>
      <w:r>
        <w:rPr>
          <w:i/>
          <w:color w:val="3A3838"/>
          <w:w w:val="110"/>
          <w:sz w:val="18"/>
        </w:rPr>
        <w:t>The</w:t>
      </w:r>
      <w:r>
        <w:rPr>
          <w:i/>
          <w:color w:val="3A3838"/>
          <w:spacing w:val="-17"/>
          <w:w w:val="110"/>
          <w:sz w:val="18"/>
        </w:rPr>
        <w:t> </w:t>
      </w:r>
      <w:r>
        <w:rPr>
          <w:i/>
          <w:color w:val="3A3838"/>
          <w:w w:val="110"/>
          <w:sz w:val="18"/>
        </w:rPr>
        <w:t>Legal</w:t>
      </w:r>
      <w:r>
        <w:rPr>
          <w:i/>
          <w:color w:val="3A3838"/>
          <w:spacing w:val="-18"/>
          <w:w w:val="110"/>
          <w:sz w:val="18"/>
        </w:rPr>
        <w:t> </w:t>
      </w:r>
      <w:r>
        <w:rPr>
          <w:i/>
          <w:color w:val="3A3838"/>
          <w:w w:val="110"/>
          <w:sz w:val="18"/>
        </w:rPr>
        <w:t>Writing</w:t>
      </w:r>
      <w:r>
        <w:rPr>
          <w:i/>
          <w:color w:val="3A3838"/>
          <w:spacing w:val="1"/>
          <w:w w:val="110"/>
          <w:sz w:val="18"/>
        </w:rPr>
        <w:t> </w:t>
      </w:r>
      <w:r>
        <w:rPr>
          <w:i/>
          <w:color w:val="3A3838"/>
          <w:w w:val="105"/>
          <w:sz w:val="18"/>
        </w:rPr>
        <w:t>Handbook</w:t>
      </w:r>
      <w:r>
        <w:rPr>
          <w:i/>
          <w:color w:val="3A3838"/>
          <w:spacing w:val="3"/>
          <w:w w:val="105"/>
          <w:sz w:val="18"/>
        </w:rPr>
        <w:t> </w:t>
      </w:r>
      <w:r>
        <w:rPr>
          <w:color w:val="3A3838"/>
          <w:w w:val="105"/>
          <w:sz w:val="17"/>
        </w:rPr>
        <w:t>§§l</w:t>
      </w:r>
      <w:r>
        <w:rPr>
          <w:color w:val="3A3838"/>
          <w:spacing w:val="37"/>
          <w:w w:val="105"/>
          <w:sz w:val="17"/>
        </w:rPr>
        <w:t> </w:t>
      </w:r>
      <w:r>
        <w:rPr>
          <w:color w:val="3A3838"/>
          <w:w w:val="105"/>
          <w:sz w:val="17"/>
        </w:rPr>
        <w:t>7</w:t>
      </w:r>
      <w:r>
        <w:rPr>
          <w:color w:val="6B6B6D"/>
          <w:w w:val="105"/>
          <w:sz w:val="17"/>
        </w:rPr>
        <w:t>.</w:t>
      </w:r>
      <w:r>
        <w:rPr>
          <w:color w:val="3A3838"/>
          <w:w w:val="105"/>
          <w:sz w:val="17"/>
        </w:rPr>
        <w:t>7.6(c),</w:t>
      </w:r>
      <w:r>
        <w:rPr>
          <w:color w:val="3A3838"/>
          <w:spacing w:val="11"/>
          <w:w w:val="105"/>
          <w:sz w:val="17"/>
        </w:rPr>
        <w:t> </w:t>
      </w:r>
      <w:r>
        <w:rPr>
          <w:color w:val="3A3838"/>
          <w:w w:val="105"/>
          <w:sz w:val="17"/>
        </w:rPr>
        <w:t>18.12</w:t>
      </w:r>
      <w:r>
        <w:rPr>
          <w:color w:val="565657"/>
          <w:w w:val="105"/>
          <w:sz w:val="17"/>
        </w:rPr>
        <w:t>.</w:t>
      </w:r>
      <w:r>
        <w:rPr>
          <w:color w:val="3A3838"/>
          <w:w w:val="105"/>
          <w:sz w:val="17"/>
        </w:rPr>
        <w:t>5,</w:t>
      </w:r>
      <w:r>
        <w:rPr>
          <w:color w:val="3A3838"/>
          <w:spacing w:val="7"/>
          <w:w w:val="105"/>
          <w:sz w:val="17"/>
        </w:rPr>
        <w:t> </w:t>
      </w:r>
      <w:r>
        <w:rPr>
          <w:color w:val="3A3838"/>
          <w:w w:val="105"/>
          <w:sz w:val="17"/>
        </w:rPr>
        <w:t>and</w:t>
      </w:r>
      <w:r>
        <w:rPr>
          <w:color w:val="3A3838"/>
          <w:spacing w:val="2"/>
          <w:w w:val="105"/>
          <w:sz w:val="17"/>
        </w:rPr>
        <w:t> </w:t>
      </w:r>
      <w:r>
        <w:rPr>
          <w:color w:val="3A3838"/>
          <w:w w:val="105"/>
          <w:sz w:val="17"/>
        </w:rPr>
        <w:t>24</w:t>
      </w:r>
      <w:r>
        <w:rPr>
          <w:color w:val="565657"/>
          <w:w w:val="105"/>
          <w:sz w:val="17"/>
        </w:rPr>
        <w:t>.</w:t>
      </w:r>
      <w:r>
        <w:rPr>
          <w:color w:val="3A3838"/>
          <w:w w:val="105"/>
          <w:sz w:val="17"/>
        </w:rPr>
        <w:t>6</w:t>
      </w:r>
      <w:r>
        <w:rPr>
          <w:color w:val="565657"/>
          <w:w w:val="105"/>
          <w:sz w:val="17"/>
        </w:rPr>
        <w:t>.</w:t>
      </w:r>
      <w:r>
        <w:rPr>
          <w:color w:val="3A3838"/>
          <w:w w:val="105"/>
          <w:sz w:val="17"/>
        </w:rPr>
        <w:t>3</w:t>
      </w:r>
      <w:r>
        <w:rPr>
          <w:color w:val="3A3838"/>
          <w:spacing w:val="13"/>
          <w:w w:val="105"/>
          <w:sz w:val="17"/>
        </w:rPr>
        <w:t> </w:t>
      </w:r>
      <w:r>
        <w:rPr>
          <w:color w:val="3A3838"/>
          <w:w w:val="105"/>
          <w:sz w:val="17"/>
        </w:rPr>
        <w:t>(5th</w:t>
      </w:r>
      <w:r>
        <w:rPr>
          <w:color w:val="3A3838"/>
          <w:spacing w:val="-9"/>
          <w:w w:val="105"/>
          <w:sz w:val="17"/>
        </w:rPr>
        <w:t> </w:t>
      </w:r>
      <w:r>
        <w:rPr>
          <w:color w:val="3A3838"/>
          <w:w w:val="105"/>
          <w:sz w:val="17"/>
        </w:rPr>
        <w:t>ed</w:t>
      </w:r>
      <w:r>
        <w:rPr>
          <w:color w:val="565657"/>
          <w:w w:val="105"/>
          <w:sz w:val="17"/>
        </w:rPr>
        <w:t>.,</w:t>
      </w:r>
      <w:r>
        <w:rPr>
          <w:color w:val="565657"/>
          <w:spacing w:val="11"/>
          <w:w w:val="105"/>
          <w:sz w:val="17"/>
        </w:rPr>
        <w:t> </w:t>
      </w:r>
      <w:r>
        <w:rPr>
          <w:color w:val="3A3838"/>
          <w:w w:val="105"/>
          <w:sz w:val="17"/>
        </w:rPr>
        <w:t>Aspen</w:t>
      </w:r>
      <w:r>
        <w:rPr>
          <w:color w:val="3A3838"/>
          <w:spacing w:val="10"/>
          <w:w w:val="105"/>
          <w:sz w:val="17"/>
        </w:rPr>
        <w:t> </w:t>
      </w:r>
      <w:r>
        <w:rPr>
          <w:color w:val="3A3838"/>
          <w:w w:val="105"/>
          <w:sz w:val="17"/>
        </w:rPr>
        <w:t>2010).</w:t>
      </w:r>
    </w:p>
    <w:p>
      <w:pPr>
        <w:spacing w:line="230" w:lineRule="auto" w:before="5"/>
        <w:ind w:left="452" w:right="108" w:firstLine="425"/>
        <w:jc w:val="both"/>
        <w:rPr>
          <w:sz w:val="17"/>
        </w:rPr>
      </w:pPr>
      <w:r>
        <w:rPr>
          <w:color w:val="3A3838"/>
          <w:w w:val="110"/>
          <w:sz w:val="17"/>
        </w:rPr>
        <w:t>uThls point ls now a staple for most legal writing teachers</w:t>
      </w:r>
      <w:r>
        <w:rPr>
          <w:color w:val="6B6B6D"/>
          <w:w w:val="110"/>
          <w:sz w:val="17"/>
        </w:rPr>
        <w:t>. </w:t>
      </w:r>
      <w:r>
        <w:rPr>
          <w:color w:val="3A3838"/>
          <w:w w:val="110"/>
          <w:sz w:val="17"/>
        </w:rPr>
        <w:t>It was famou</w:t>
      </w:r>
      <w:r>
        <w:rPr>
          <w:color w:val="565657"/>
          <w:w w:val="110"/>
          <w:sz w:val="17"/>
        </w:rPr>
        <w:t>s</w:t>
      </w:r>
      <w:r>
        <w:rPr>
          <w:color w:val="3A3838"/>
          <w:w w:val="110"/>
          <w:sz w:val="17"/>
        </w:rPr>
        <w:t>ly</w:t>
      </w:r>
      <w:r>
        <w:rPr>
          <w:color w:val="3A3838"/>
          <w:spacing w:val="1"/>
          <w:w w:val="110"/>
          <w:sz w:val="17"/>
        </w:rPr>
        <w:t> </w:t>
      </w:r>
      <w:r>
        <w:rPr>
          <w:color w:val="3A3838"/>
          <w:w w:val="110"/>
          <w:sz w:val="17"/>
        </w:rPr>
        <w:t>articulated </w:t>
      </w:r>
      <w:r>
        <w:rPr>
          <w:color w:val="3A3838"/>
          <w:w w:val="110"/>
          <w:sz w:val="18"/>
        </w:rPr>
        <w:t>by</w:t>
      </w:r>
      <w:r>
        <w:rPr>
          <w:color w:val="3A3838"/>
          <w:spacing w:val="1"/>
          <w:w w:val="110"/>
          <w:sz w:val="18"/>
        </w:rPr>
        <w:t> </w:t>
      </w:r>
      <w:r>
        <w:rPr>
          <w:color w:val="3A3838"/>
          <w:spacing w:val="-1"/>
          <w:w w:val="110"/>
          <w:sz w:val="17"/>
        </w:rPr>
        <w:t>RJchard Wydick In a Jaw review article that later became </w:t>
      </w:r>
      <w:r>
        <w:rPr>
          <w:rFonts w:ascii="Arial"/>
          <w:b/>
          <w:color w:val="3A3838"/>
          <w:spacing w:val="-1"/>
          <w:w w:val="110"/>
          <w:sz w:val="15"/>
        </w:rPr>
        <w:t>a </w:t>
      </w:r>
      <w:r>
        <w:rPr>
          <w:color w:val="3A3838"/>
          <w:spacing w:val="-1"/>
          <w:w w:val="110"/>
          <w:sz w:val="17"/>
        </w:rPr>
        <w:t>book: </w:t>
      </w:r>
      <w:r>
        <w:rPr>
          <w:color w:val="3A3838"/>
          <w:w w:val="110"/>
          <w:sz w:val="17"/>
        </w:rPr>
        <w:t>RJchard C</w:t>
      </w:r>
      <w:r>
        <w:rPr>
          <w:color w:val="565657"/>
          <w:w w:val="110"/>
          <w:sz w:val="17"/>
        </w:rPr>
        <w:t>. </w:t>
      </w:r>
      <w:r>
        <w:rPr>
          <w:color w:val="3A3838"/>
          <w:w w:val="110"/>
          <w:sz w:val="17"/>
        </w:rPr>
        <w:t>Wydlck</w:t>
      </w:r>
      <w:r>
        <w:rPr>
          <w:color w:val="565657"/>
          <w:w w:val="110"/>
          <w:sz w:val="17"/>
        </w:rPr>
        <w:t>, </w:t>
      </w:r>
      <w:r>
        <w:rPr>
          <w:i/>
          <w:color w:val="3A3838"/>
          <w:w w:val="110"/>
          <w:sz w:val="18"/>
        </w:rPr>
        <w:t>Plain Engl/Jh</w:t>
      </w:r>
      <w:r>
        <w:rPr>
          <w:i/>
          <w:color w:val="3A3838"/>
          <w:spacing w:val="-47"/>
          <w:w w:val="110"/>
          <w:sz w:val="18"/>
        </w:rPr>
        <w:t> </w:t>
      </w:r>
      <w:r>
        <w:rPr>
          <w:i/>
          <w:color w:val="3A3838"/>
          <w:spacing w:val="-1"/>
          <w:w w:val="110"/>
          <w:sz w:val="18"/>
        </w:rPr>
        <w:t>for Lawyers </w:t>
      </w:r>
      <w:r>
        <w:rPr>
          <w:color w:val="3A3838"/>
          <w:spacing w:val="-1"/>
          <w:w w:val="110"/>
          <w:sz w:val="17"/>
        </w:rPr>
        <w:t>chs. 3-4 (5th </w:t>
      </w:r>
      <w:r>
        <w:rPr>
          <w:color w:val="3A3838"/>
          <w:w w:val="110"/>
          <w:sz w:val="17"/>
        </w:rPr>
        <w:t>ed</w:t>
      </w:r>
      <w:r>
        <w:rPr>
          <w:color w:val="565657"/>
          <w:w w:val="110"/>
          <w:sz w:val="17"/>
        </w:rPr>
        <w:t>.</w:t>
      </w:r>
      <w:r>
        <w:rPr>
          <w:color w:val="3A3838"/>
          <w:w w:val="110"/>
          <w:sz w:val="17"/>
        </w:rPr>
        <w:t>, Carolina Academic Pr</w:t>
      </w:r>
      <w:r>
        <w:rPr>
          <w:color w:val="565657"/>
          <w:w w:val="110"/>
          <w:sz w:val="17"/>
        </w:rPr>
        <w:t>e</w:t>
      </w:r>
      <w:r>
        <w:rPr>
          <w:color w:val="3A3838"/>
          <w:w w:val="110"/>
          <w:sz w:val="17"/>
        </w:rPr>
        <w:t>ss 2005). </w:t>
      </w:r>
      <w:r>
        <w:rPr>
          <w:i/>
          <w:color w:val="3A3838"/>
          <w:w w:val="110"/>
          <w:sz w:val="18"/>
        </w:rPr>
        <w:t>See also </w:t>
      </w:r>
      <w:r>
        <w:rPr>
          <w:color w:val="3A3838"/>
          <w:w w:val="110"/>
          <w:sz w:val="17"/>
        </w:rPr>
        <w:t>Wllllams </w:t>
      </w:r>
      <w:r>
        <w:rPr>
          <w:color w:val="3A3838"/>
          <w:w w:val="110"/>
          <w:sz w:val="16"/>
        </w:rPr>
        <w:t>&amp; </w:t>
      </w:r>
      <w:r>
        <w:rPr>
          <w:color w:val="3A3838"/>
          <w:w w:val="110"/>
          <w:sz w:val="17"/>
        </w:rPr>
        <w:t>Colomb, </w:t>
      </w:r>
      <w:r>
        <w:rPr>
          <w:i/>
          <w:color w:val="3A3838"/>
          <w:w w:val="110"/>
          <w:sz w:val="18"/>
        </w:rPr>
        <w:t>supra</w:t>
      </w:r>
      <w:r>
        <w:rPr>
          <w:i/>
          <w:color w:val="3A3838"/>
          <w:spacing w:val="1"/>
          <w:w w:val="110"/>
          <w:sz w:val="18"/>
        </w:rPr>
        <w:t> </w:t>
      </w:r>
      <w:r>
        <w:rPr>
          <w:color w:val="3A3838"/>
          <w:w w:val="110"/>
          <w:sz w:val="17"/>
        </w:rPr>
        <w:t>note</w:t>
      </w:r>
      <w:r>
        <w:rPr>
          <w:color w:val="3A3838"/>
          <w:spacing w:val="-6"/>
          <w:w w:val="110"/>
          <w:sz w:val="17"/>
        </w:rPr>
        <w:t> </w:t>
      </w:r>
      <w:r>
        <w:rPr>
          <w:color w:val="3A3838"/>
          <w:w w:val="110"/>
          <w:sz w:val="17"/>
        </w:rPr>
        <w:t>14,at Lesson</w:t>
      </w:r>
      <w:r>
        <w:rPr>
          <w:color w:val="3A3838"/>
          <w:spacing w:val="8"/>
          <w:w w:val="110"/>
          <w:sz w:val="17"/>
        </w:rPr>
        <w:t> </w:t>
      </w:r>
      <w:r>
        <w:rPr>
          <w:color w:val="3A3838"/>
          <w:w w:val="110"/>
          <w:sz w:val="17"/>
        </w:rPr>
        <w:t>3.</w:t>
      </w:r>
      <w:r>
        <w:rPr>
          <w:color w:val="3A3838"/>
          <w:spacing w:val="15"/>
          <w:w w:val="110"/>
          <w:sz w:val="17"/>
        </w:rPr>
        <w:t> </w:t>
      </w:r>
      <w:r>
        <w:rPr>
          <w:i/>
          <w:color w:val="3A3838"/>
          <w:w w:val="110"/>
          <w:sz w:val="17"/>
        </w:rPr>
        <w:t>See</w:t>
      </w:r>
      <w:r>
        <w:rPr>
          <w:i/>
          <w:color w:val="3A3838"/>
          <w:spacing w:val="-17"/>
          <w:w w:val="110"/>
          <w:sz w:val="17"/>
        </w:rPr>
        <w:t> </w:t>
      </w:r>
      <w:r>
        <w:rPr>
          <w:color w:val="3A3838"/>
          <w:w w:val="110"/>
          <w:sz w:val="17"/>
        </w:rPr>
        <w:t>Section</w:t>
      </w:r>
      <w:r>
        <w:rPr>
          <w:color w:val="3A3838"/>
          <w:spacing w:val="28"/>
          <w:w w:val="110"/>
          <w:sz w:val="17"/>
        </w:rPr>
        <w:t> </w:t>
      </w:r>
      <w:r>
        <w:rPr>
          <w:color w:val="3A3838"/>
          <w:w w:val="110"/>
          <w:sz w:val="17"/>
        </w:rPr>
        <w:t>l</w:t>
      </w:r>
      <w:r>
        <w:rPr>
          <w:color w:val="3A3838"/>
          <w:spacing w:val="-1"/>
          <w:w w:val="110"/>
          <w:sz w:val="17"/>
        </w:rPr>
        <w:t> </w:t>
      </w:r>
      <w:r>
        <w:rPr>
          <w:color w:val="3A3838"/>
          <w:w w:val="110"/>
          <w:sz w:val="17"/>
        </w:rPr>
        <w:t>l.4.4(a) below</w:t>
      </w:r>
      <w:r>
        <w:rPr>
          <w:color w:val="3A3838"/>
          <w:spacing w:val="-5"/>
          <w:w w:val="110"/>
          <w:sz w:val="17"/>
        </w:rPr>
        <w:t> </w:t>
      </w:r>
      <w:r>
        <w:rPr>
          <w:color w:val="3A3838"/>
          <w:w w:val="110"/>
          <w:sz w:val="17"/>
        </w:rPr>
        <w:t>for</w:t>
      </w:r>
      <w:r>
        <w:rPr>
          <w:color w:val="3A3838"/>
          <w:spacing w:val="-12"/>
          <w:w w:val="110"/>
          <w:sz w:val="17"/>
        </w:rPr>
        <w:t> </w:t>
      </w:r>
      <w:r>
        <w:rPr>
          <w:color w:val="3A3838"/>
          <w:w w:val="110"/>
          <w:sz w:val="17"/>
        </w:rPr>
        <w:t>specific</w:t>
      </w:r>
      <w:r>
        <w:rPr>
          <w:color w:val="3A3838"/>
          <w:spacing w:val="-20"/>
          <w:w w:val="110"/>
          <w:sz w:val="17"/>
        </w:rPr>
        <w:t> </w:t>
      </w:r>
      <w:r>
        <w:rPr>
          <w:color w:val="3A3838"/>
          <w:w w:val="110"/>
          <w:sz w:val="17"/>
        </w:rPr>
        <w:t>examples.</w:t>
      </w:r>
    </w:p>
    <w:p>
      <w:pPr>
        <w:spacing w:after="0" w:line="230" w:lineRule="auto"/>
        <w:jc w:val="both"/>
        <w:rPr>
          <w:sz w:val="17"/>
        </w:rPr>
        <w:sectPr>
          <w:headerReference w:type="even" r:id="rId289"/>
          <w:headerReference w:type="default" r:id="rId290"/>
          <w:pgSz w:w="9720" w:h="14020"/>
          <w:pgMar w:header="504" w:footer="0" w:top="1080" w:bottom="0" w:left="1340" w:right="220"/>
          <w:pgNumType w:start="256"/>
        </w:sectPr>
      </w:pPr>
    </w:p>
    <w:p>
      <w:pPr>
        <w:pStyle w:val="BodyText"/>
        <w:rPr>
          <w:sz w:val="20"/>
        </w:rPr>
      </w:pPr>
    </w:p>
    <w:p>
      <w:pPr>
        <w:spacing w:before="237"/>
        <w:ind w:left="416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3A3838"/>
          <w:w w:val="105"/>
          <w:sz w:val="27"/>
        </w:rPr>
        <w:t>11.4.1</w:t>
      </w:r>
    </w:p>
    <w:p>
      <w:pPr>
        <w:spacing w:before="27"/>
        <w:ind w:left="424" w:right="0" w:firstLine="0"/>
        <w:jc w:val="left"/>
        <w:rPr>
          <w:sz w:val="24"/>
        </w:rPr>
      </w:pPr>
      <w:r>
        <w:rPr>
          <w:color w:val="3A3838"/>
          <w:w w:val="95"/>
          <w:sz w:val="24"/>
        </w:rPr>
        <w:t>PERSU</w:t>
      </w:r>
      <w:r>
        <w:rPr>
          <w:color w:val="59595B"/>
          <w:w w:val="95"/>
          <w:sz w:val="24"/>
        </w:rPr>
        <w:t>A</w:t>
      </w:r>
      <w:r>
        <w:rPr>
          <w:color w:val="3A3838"/>
          <w:w w:val="95"/>
          <w:sz w:val="24"/>
        </w:rPr>
        <w:t>DING</w:t>
      </w:r>
      <w:r>
        <w:rPr>
          <w:color w:val="3A3838"/>
          <w:spacing w:val="12"/>
          <w:w w:val="95"/>
          <w:sz w:val="24"/>
        </w:rPr>
        <w:t> </w:t>
      </w:r>
      <w:r>
        <w:rPr>
          <w:color w:val="3A3838"/>
          <w:w w:val="95"/>
          <w:sz w:val="24"/>
        </w:rPr>
        <w:t>WITH</w:t>
      </w:r>
      <w:r>
        <w:rPr>
          <w:color w:val="3A3838"/>
          <w:spacing w:val="27"/>
          <w:w w:val="95"/>
          <w:sz w:val="24"/>
        </w:rPr>
        <w:t> </w:t>
      </w:r>
      <w:r>
        <w:rPr>
          <w:color w:val="3A3838"/>
          <w:w w:val="95"/>
          <w:sz w:val="24"/>
        </w:rPr>
        <w:t>LAR</w:t>
      </w:r>
      <w:r>
        <w:rPr>
          <w:color w:val="59595B"/>
          <w:w w:val="95"/>
          <w:sz w:val="24"/>
        </w:rPr>
        <w:t>G</w:t>
      </w:r>
      <w:r>
        <w:rPr>
          <w:color w:val="3A3838"/>
          <w:w w:val="95"/>
          <w:sz w:val="24"/>
        </w:rPr>
        <w:t>E-SCALE</w:t>
      </w:r>
      <w:r>
        <w:rPr>
          <w:color w:val="3A3838"/>
          <w:spacing w:val="-16"/>
          <w:w w:val="95"/>
          <w:sz w:val="24"/>
        </w:rPr>
        <w:t> </w:t>
      </w:r>
      <w:r>
        <w:rPr>
          <w:color w:val="3A3838"/>
          <w:w w:val="95"/>
          <w:sz w:val="24"/>
        </w:rPr>
        <w:t>ORGANIZATIO</w:t>
      </w:r>
      <w:r>
        <w:rPr>
          <w:color w:val="59595B"/>
          <w:w w:val="95"/>
          <w:sz w:val="24"/>
        </w:rPr>
        <w:t>N</w:t>
      </w:r>
    </w:p>
    <w:p>
      <w:pPr>
        <w:pStyle w:val="BodyText"/>
        <w:spacing w:line="232" w:lineRule="auto" w:before="163"/>
        <w:ind w:left="108" w:right="652" w:firstLine="312"/>
        <w:jc w:val="both"/>
      </w:pPr>
      <w:r>
        <w:rPr>
          <w:color w:val="3A3838"/>
          <w:w w:val="110"/>
        </w:rPr>
        <w:t>To exploit the reader's peak attention at the beginning of the argument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section, begin with your best point rather than starting with a weak point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and leading up to a strong point.Judge Coleman advises you to "[p]resent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05"/>
        </w:rPr>
        <w:t>your strongest points first to </w:t>
      </w:r>
      <w:r>
        <w:rPr>
          <w:color w:val="3A3838"/>
          <w:w w:val="105"/>
          <w:sz w:val="22"/>
        </w:rPr>
        <w:t>try</w:t>
      </w:r>
      <w:r>
        <w:rPr>
          <w:color w:val="3A3838"/>
          <w:spacing w:val="1"/>
          <w:w w:val="105"/>
          <w:sz w:val="22"/>
        </w:rPr>
        <w:t> </w:t>
      </w:r>
      <w:r>
        <w:rPr>
          <w:color w:val="3A3838"/>
          <w:w w:val="105"/>
        </w:rPr>
        <w:t>to capture votes early."</w:t>
      </w:r>
      <w:r>
        <w:rPr>
          <w:color w:val="3A3838"/>
          <w:w w:val="105"/>
          <w:vertAlign w:val="superscript"/>
        </w:rPr>
        <w:t>16</w:t>
      </w:r>
      <w:r>
        <w:rPr>
          <w:color w:val="3A3838"/>
          <w:w w:val="105"/>
          <w:vertAlign w:val="baseline"/>
        </w:rPr>
        <w:t> When you start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w w:val="110"/>
          <w:vertAlign w:val="baseline"/>
        </w:rPr>
        <w:t>your argument with a weak point, your reader may think, "Is this the best</w:t>
      </w:r>
      <w:r>
        <w:rPr>
          <w:color w:val="3A3838"/>
          <w:spacing w:val="-6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they can do?</w:t>
      </w:r>
      <w:r>
        <w:rPr>
          <w:color w:val="59595B"/>
          <w:w w:val="110"/>
          <w:vertAlign w:val="baseline"/>
        </w:rPr>
        <w:t>" </w:t>
      </w:r>
      <w:r>
        <w:rPr>
          <w:color w:val="3A3838"/>
          <w:w w:val="110"/>
          <w:vertAlign w:val="baseline"/>
        </w:rPr>
        <w:t>That bad impression can taint the rest of the argument. On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the other hand, when you start your argument with a strong point, the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reader</w:t>
      </w:r>
      <w:r>
        <w:rPr>
          <w:color w:val="59595B"/>
          <w:w w:val="110"/>
          <w:vertAlign w:val="baseline"/>
        </w:rPr>
        <w:t>'</w:t>
      </w:r>
      <w:r>
        <w:rPr>
          <w:color w:val="3A3838"/>
          <w:w w:val="110"/>
          <w:vertAlign w:val="baseline"/>
        </w:rPr>
        <w:t>s first thought is "This is a good argument," and that impression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can</w:t>
      </w:r>
      <w:r>
        <w:rPr>
          <w:color w:val="3A3838"/>
          <w:spacing w:val="-17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carry</w:t>
      </w:r>
      <w:r>
        <w:rPr>
          <w:color w:val="3A3838"/>
          <w:spacing w:val="-15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over</w:t>
      </w:r>
      <w:r>
        <w:rPr>
          <w:color w:val="3A3838"/>
          <w:spacing w:val="-9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to</w:t>
      </w:r>
      <w:r>
        <w:rPr>
          <w:color w:val="3A3838"/>
          <w:spacing w:val="5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the</w:t>
      </w:r>
      <w:r>
        <w:rPr>
          <w:color w:val="3A3838"/>
          <w:spacing w:val="27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rest</w:t>
      </w:r>
      <w:r>
        <w:rPr>
          <w:color w:val="3A3838"/>
          <w:spacing w:val="-4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of</w:t>
      </w:r>
      <w:r>
        <w:rPr>
          <w:color w:val="3A3838"/>
          <w:spacing w:val="12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the</w:t>
      </w:r>
      <w:r>
        <w:rPr>
          <w:color w:val="3A3838"/>
          <w:spacing w:val="42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points</w:t>
      </w:r>
      <w:r>
        <w:rPr>
          <w:color w:val="3A3838"/>
          <w:spacing w:val="-17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that</w:t>
      </w:r>
      <w:r>
        <w:rPr>
          <w:color w:val="3A3838"/>
          <w:spacing w:val="2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youmake.</w:t>
      </w:r>
    </w:p>
    <w:p>
      <w:pPr>
        <w:pStyle w:val="BodyText"/>
        <w:spacing w:line="232" w:lineRule="auto" w:before="3"/>
        <w:ind w:left="120" w:right="598" w:firstLine="318"/>
        <w:jc w:val="both"/>
      </w:pPr>
      <w:r>
        <w:rPr>
          <w:color w:val="3A3838"/>
          <w:w w:val="110"/>
        </w:rPr>
        <w:t>One exception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to  this guideline  is a  case that could  be governed  by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a threshold issue. </w:t>
      </w:r>
      <w:r>
        <w:rPr>
          <w:color w:val="3A3838"/>
          <w:w w:val="110"/>
          <w:sz w:val="24"/>
        </w:rPr>
        <w:t>If </w:t>
      </w:r>
      <w:r>
        <w:rPr>
          <w:color w:val="3A3838"/>
          <w:w w:val="110"/>
        </w:rPr>
        <w:t>you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are arguing a standing or jurisdictional issue in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addition to a substantive issue, for example</w:t>
      </w:r>
      <w:r>
        <w:rPr>
          <w:color w:val="59595B"/>
          <w:w w:val="110"/>
        </w:rPr>
        <w:t>, </w:t>
      </w:r>
      <w:r>
        <w:rPr>
          <w:color w:val="3A3838"/>
          <w:w w:val="110"/>
        </w:rPr>
        <w:t>logic dictates that youshould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place the substantive issue second. It could be ludicrous to argue for sev­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eral pages about a legal error as to one of  the  case's issues, and  then move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-18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point</w:t>
      </w:r>
      <w:r>
        <w:rPr>
          <w:color w:val="3A3838"/>
          <w:spacing w:val="12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court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should</w:t>
      </w:r>
      <w:r>
        <w:rPr>
          <w:color w:val="3A3838"/>
          <w:spacing w:val="15"/>
          <w:w w:val="110"/>
        </w:rPr>
        <w:t> </w:t>
      </w:r>
      <w:r>
        <w:rPr>
          <w:color w:val="3A3838"/>
          <w:w w:val="110"/>
        </w:rPr>
        <w:t>not</w:t>
      </w:r>
      <w:r>
        <w:rPr>
          <w:color w:val="3A3838"/>
          <w:spacing w:val="26"/>
          <w:w w:val="110"/>
        </w:rPr>
        <w:t> </w:t>
      </w:r>
      <w:r>
        <w:rPr>
          <w:color w:val="3A3838"/>
          <w:w w:val="110"/>
        </w:rPr>
        <w:t>be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hearing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9"/>
          <w:w w:val="110"/>
        </w:rPr>
        <w:t> </w:t>
      </w:r>
      <w:r>
        <w:rPr>
          <w:color w:val="3A3838"/>
          <w:w w:val="110"/>
        </w:rPr>
        <w:t>case</w:t>
      </w:r>
      <w:r>
        <w:rPr>
          <w:color w:val="3A3838"/>
          <w:spacing w:val="-7"/>
          <w:w w:val="110"/>
        </w:rPr>
        <w:t> </w:t>
      </w:r>
      <w:r>
        <w:rPr>
          <w:color w:val="3A3838"/>
          <w:w w:val="110"/>
        </w:rPr>
        <w:t>at</w:t>
      </w:r>
      <w:r>
        <w:rPr>
          <w:color w:val="3A3838"/>
          <w:spacing w:val="20"/>
          <w:w w:val="110"/>
        </w:rPr>
        <w:t> </w:t>
      </w:r>
      <w:r>
        <w:rPr>
          <w:color w:val="3A3838"/>
          <w:w w:val="110"/>
        </w:rPr>
        <w:t>all.</w:t>
      </w:r>
    </w:p>
    <w:p>
      <w:pPr>
        <w:pStyle w:val="BodyText"/>
        <w:spacing w:line="232" w:lineRule="auto"/>
        <w:ind w:left="121" w:right="568" w:firstLine="332"/>
        <w:jc w:val="both"/>
      </w:pPr>
      <w:r>
        <w:rPr>
          <w:color w:val="3A3838"/>
          <w:w w:val="110"/>
        </w:rPr>
        <w:t>Particularly in a lengthy brief, your last argument is also in a position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5"/>
        </w:rPr>
        <w:t>of emphasis. For example, if you have decided </w:t>
      </w:r>
      <w:r>
        <w:rPr>
          <w:color w:val="3A3838"/>
          <w:w w:val="115"/>
        </w:rPr>
        <w:t>that you must include a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desperation argument in your brief, you may </w:t>
      </w:r>
      <w:r>
        <w:rPr>
          <w:i/>
          <w:color w:val="3A3838"/>
          <w:w w:val="115"/>
        </w:rPr>
        <w:t>not </w:t>
      </w:r>
      <w:r>
        <w:rPr>
          <w:color w:val="3A3838"/>
          <w:w w:val="115"/>
        </w:rPr>
        <w:t>want it to be the last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thing the  court reads. Just as you want to start with a good impression,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you also want to leave the court with a good taste in its mouth. Whenever</w:t>
      </w:r>
      <w:r>
        <w:rPr>
          <w:color w:val="3A3838"/>
          <w:spacing w:val="-61"/>
          <w:w w:val="110"/>
        </w:rPr>
        <w:t> </w:t>
      </w:r>
      <w:r>
        <w:rPr>
          <w:color w:val="3A3838"/>
          <w:spacing w:val="-1"/>
          <w:w w:val="115"/>
        </w:rPr>
        <w:t>possible,</w:t>
      </w:r>
      <w:r>
        <w:rPr>
          <w:color w:val="3A3838"/>
          <w:spacing w:val="-8"/>
          <w:w w:val="115"/>
        </w:rPr>
        <w:t> </w:t>
      </w:r>
      <w:r>
        <w:rPr>
          <w:color w:val="3A3838"/>
          <w:w w:val="115"/>
        </w:rPr>
        <w:t>move</w:t>
      </w:r>
      <w:r>
        <w:rPr>
          <w:color w:val="3A3838"/>
          <w:spacing w:val="-16"/>
          <w:w w:val="115"/>
        </w:rPr>
        <w:t> </w:t>
      </w:r>
      <w:r>
        <w:rPr>
          <w:color w:val="3A3838"/>
          <w:w w:val="115"/>
        </w:rPr>
        <w:t>that</w:t>
      </w:r>
      <w:r>
        <w:rPr>
          <w:color w:val="3A3838"/>
          <w:spacing w:val="-12"/>
          <w:w w:val="115"/>
        </w:rPr>
        <w:t> </w:t>
      </w:r>
      <w:r>
        <w:rPr>
          <w:color w:val="3A3838"/>
          <w:w w:val="115"/>
        </w:rPr>
        <w:t>weak</w:t>
      </w:r>
      <w:r>
        <w:rPr>
          <w:color w:val="3A3838"/>
          <w:spacing w:val="-14"/>
          <w:w w:val="115"/>
        </w:rPr>
        <w:t> </w:t>
      </w:r>
      <w:r>
        <w:rPr>
          <w:color w:val="3A3838"/>
          <w:w w:val="115"/>
        </w:rPr>
        <w:t>argument</w:t>
      </w:r>
      <w:r>
        <w:rPr>
          <w:color w:val="3A3838"/>
          <w:spacing w:val="-7"/>
          <w:w w:val="115"/>
        </w:rPr>
        <w:t> </w:t>
      </w:r>
      <w:r>
        <w:rPr>
          <w:color w:val="3A3838"/>
          <w:w w:val="115"/>
        </w:rPr>
        <w:t>to</w:t>
      </w:r>
      <w:r>
        <w:rPr>
          <w:color w:val="3A3838"/>
          <w:spacing w:val="-9"/>
          <w:w w:val="115"/>
        </w:rPr>
        <w:t> </w:t>
      </w:r>
      <w:r>
        <w:rPr>
          <w:color w:val="3A3838"/>
          <w:w w:val="115"/>
        </w:rPr>
        <w:t>the</w:t>
      </w:r>
      <w:r>
        <w:rPr>
          <w:color w:val="3A3838"/>
          <w:spacing w:val="-3"/>
          <w:w w:val="115"/>
        </w:rPr>
        <w:t> </w:t>
      </w:r>
      <w:r>
        <w:rPr>
          <w:color w:val="3A3838"/>
          <w:w w:val="115"/>
        </w:rPr>
        <w:t>second-to-the-last</w:t>
      </w:r>
      <w:r>
        <w:rPr>
          <w:color w:val="3A3838"/>
          <w:spacing w:val="-13"/>
          <w:w w:val="115"/>
        </w:rPr>
        <w:t> </w:t>
      </w:r>
      <w:r>
        <w:rPr>
          <w:color w:val="3A3838"/>
          <w:w w:val="115"/>
        </w:rPr>
        <w:t>position</w:t>
      </w:r>
      <w:r>
        <w:rPr>
          <w:color w:val="3A3838"/>
          <w:spacing w:val="-7"/>
          <w:w w:val="115"/>
        </w:rPr>
        <w:t> </w:t>
      </w:r>
      <w:r>
        <w:rPr>
          <w:color w:val="3A3838"/>
          <w:w w:val="115"/>
        </w:rPr>
        <w:t>to</w:t>
      </w:r>
      <w:r>
        <w:rPr>
          <w:color w:val="3A3838"/>
          <w:spacing w:val="-64"/>
          <w:w w:val="115"/>
        </w:rPr>
        <w:t> </w:t>
      </w:r>
      <w:r>
        <w:rPr>
          <w:color w:val="3A3838"/>
          <w:w w:val="105"/>
        </w:rPr>
        <w:t>help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keep</w:t>
      </w:r>
      <w:r>
        <w:rPr>
          <w:color w:val="3A3838"/>
          <w:spacing w:val="-7"/>
          <w:w w:val="105"/>
        </w:rPr>
        <w:t> </w:t>
      </w:r>
      <w:r>
        <w:rPr>
          <w:color w:val="3A3838"/>
          <w:w w:val="105"/>
        </w:rPr>
        <w:t>your</w:t>
      </w:r>
      <w:r>
        <w:rPr>
          <w:color w:val="3A3838"/>
          <w:spacing w:val="4"/>
          <w:w w:val="105"/>
        </w:rPr>
        <w:t> </w:t>
      </w:r>
      <w:r>
        <w:rPr>
          <w:color w:val="3A3838"/>
          <w:w w:val="105"/>
        </w:rPr>
        <w:t>image</w:t>
      </w:r>
      <w:r>
        <w:rPr>
          <w:color w:val="3A3838"/>
          <w:spacing w:val="-4"/>
          <w:w w:val="105"/>
        </w:rPr>
        <w:t> </w:t>
      </w:r>
      <w:r>
        <w:rPr>
          <w:color w:val="3A3838"/>
          <w:w w:val="105"/>
        </w:rPr>
        <w:t>as</w:t>
      </w:r>
      <w:r>
        <w:rPr>
          <w:color w:val="3A3838"/>
          <w:spacing w:val="-12"/>
          <w:w w:val="105"/>
        </w:rPr>
        <w:t> </w:t>
      </w:r>
      <w:r>
        <w:rPr>
          <w:color w:val="3A3838"/>
          <w:w w:val="105"/>
        </w:rPr>
        <w:t>a</w:t>
      </w:r>
      <w:r>
        <w:rPr>
          <w:color w:val="3A3838"/>
          <w:spacing w:val="14"/>
          <w:w w:val="105"/>
        </w:rPr>
        <w:t> </w:t>
      </w:r>
      <w:r>
        <w:rPr>
          <w:color w:val="3A3838"/>
          <w:w w:val="105"/>
        </w:rPr>
        <w:t>credible,</w:t>
      </w:r>
      <w:r>
        <w:rPr>
          <w:color w:val="3A3838"/>
          <w:spacing w:val="15"/>
          <w:w w:val="105"/>
        </w:rPr>
        <w:t> </w:t>
      </w:r>
      <w:r>
        <w:rPr>
          <w:color w:val="3A3838"/>
          <w:w w:val="105"/>
        </w:rPr>
        <w:t>responsible</w:t>
      </w:r>
      <w:r>
        <w:rPr>
          <w:color w:val="3A3838"/>
          <w:spacing w:val="6"/>
          <w:w w:val="105"/>
        </w:rPr>
        <w:t> </w:t>
      </w:r>
      <w:r>
        <w:rPr>
          <w:color w:val="3A3838"/>
          <w:w w:val="105"/>
        </w:rPr>
        <w:t>advocate.</w:t>
      </w:r>
    </w:p>
    <w:p>
      <w:pPr>
        <w:pStyle w:val="BodyText"/>
        <w:spacing w:before="3"/>
        <w:rPr>
          <w:sz w:val="34"/>
        </w:rPr>
      </w:pPr>
    </w:p>
    <w:p>
      <w:pPr>
        <w:spacing w:before="0"/>
        <w:ind w:left="445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3A3838"/>
          <w:w w:val="105"/>
          <w:sz w:val="27"/>
        </w:rPr>
        <w:t>11</w:t>
      </w:r>
      <w:r>
        <w:rPr>
          <w:rFonts w:ascii="Arial"/>
          <w:b/>
          <w:color w:val="59595B"/>
          <w:w w:val="105"/>
          <w:sz w:val="27"/>
        </w:rPr>
        <w:t>.4.2</w:t>
      </w:r>
    </w:p>
    <w:p>
      <w:pPr>
        <w:spacing w:before="27"/>
        <w:ind w:left="453" w:right="0" w:firstLine="0"/>
        <w:jc w:val="left"/>
        <w:rPr>
          <w:sz w:val="24"/>
        </w:rPr>
      </w:pPr>
      <w:r>
        <w:rPr>
          <w:color w:val="3A3838"/>
          <w:sz w:val="24"/>
        </w:rPr>
        <w:t>P</w:t>
      </w:r>
      <w:r>
        <w:rPr>
          <w:color w:val="59595B"/>
          <w:sz w:val="24"/>
        </w:rPr>
        <w:t>E</w:t>
      </w:r>
      <w:r>
        <w:rPr>
          <w:color w:val="3A3838"/>
          <w:sz w:val="24"/>
        </w:rPr>
        <w:t>R</w:t>
      </w:r>
      <w:r>
        <w:rPr>
          <w:color w:val="6B6D6E"/>
          <w:sz w:val="24"/>
        </w:rPr>
        <w:t>SUADING</w:t>
      </w:r>
      <w:r>
        <w:rPr>
          <w:color w:val="6B6D6E"/>
          <w:spacing w:val="32"/>
          <w:sz w:val="24"/>
        </w:rPr>
        <w:t> </w:t>
      </w:r>
      <w:r>
        <w:rPr>
          <w:rFonts w:ascii="Arial"/>
          <w:color w:val="6B6D6E"/>
          <w:sz w:val="22"/>
        </w:rPr>
        <w:t>WITHIN</w:t>
      </w:r>
      <w:r>
        <w:rPr>
          <w:rFonts w:ascii="Arial"/>
          <w:color w:val="6B6D6E"/>
          <w:spacing w:val="10"/>
          <w:sz w:val="22"/>
        </w:rPr>
        <w:t> </w:t>
      </w:r>
      <w:r>
        <w:rPr>
          <w:rFonts w:ascii="Arial"/>
          <w:color w:val="59595B"/>
          <w:sz w:val="22"/>
        </w:rPr>
        <w:t>EACH</w:t>
      </w:r>
      <w:r>
        <w:rPr>
          <w:rFonts w:ascii="Arial"/>
          <w:color w:val="59595B"/>
          <w:spacing w:val="23"/>
          <w:sz w:val="22"/>
        </w:rPr>
        <w:t> </w:t>
      </w:r>
      <w:r>
        <w:rPr>
          <w:color w:val="59595B"/>
          <w:sz w:val="24"/>
        </w:rPr>
        <w:t>ISSUE</w:t>
      </w:r>
    </w:p>
    <w:p>
      <w:pPr>
        <w:pStyle w:val="BodyText"/>
        <w:spacing w:line="232" w:lineRule="auto" w:before="163"/>
        <w:ind w:left="134" w:right="497" w:firstLine="327"/>
        <w:jc w:val="both"/>
      </w:pPr>
      <w:r>
        <w:rPr>
          <w:color w:val="3A3838"/>
          <w:w w:val="115"/>
        </w:rPr>
        <w:t>Exploit natural positions of emphasis within each unit of discourse</w:t>
      </w:r>
      <w:r>
        <w:rPr>
          <w:color w:val="3A3838"/>
          <w:spacing w:val="1"/>
          <w:w w:val="115"/>
        </w:rPr>
        <w:t> </w:t>
      </w:r>
      <w:r>
        <w:rPr>
          <w:color w:val="3A3838"/>
          <w:spacing w:val="-1"/>
          <w:w w:val="115"/>
        </w:rPr>
        <w:t>as well. Make sure that the first paragraph in the </w:t>
      </w:r>
      <w:r>
        <w:rPr>
          <w:color w:val="3A3838"/>
          <w:w w:val="115"/>
        </w:rPr>
        <w:t>section articulates the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point you are proving in that section. The CREXAC formula recom­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mends using the  first paragraph in  the section to state your conclu­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sion as to  the  issue addressed in that section. Similarly, end  the section</w:t>
      </w:r>
      <w:r>
        <w:rPr>
          <w:color w:val="3A3838"/>
          <w:spacing w:val="1"/>
          <w:w w:val="110"/>
        </w:rPr>
        <w:t> </w:t>
      </w:r>
      <w:r>
        <w:rPr>
          <w:rFonts w:ascii="Arial" w:hAnsi="Arial"/>
          <w:color w:val="3A3838"/>
          <w:w w:val="115"/>
          <w:sz w:val="22"/>
        </w:rPr>
        <w:t>by </w:t>
      </w:r>
      <w:r>
        <w:rPr>
          <w:color w:val="3A3838"/>
          <w:w w:val="115"/>
        </w:rPr>
        <w:t>using the connection-conclusion to restate your main assertion and</w:t>
      </w:r>
      <w:r>
        <w:rPr>
          <w:color w:val="3A3838"/>
          <w:spacing w:val="1"/>
          <w:w w:val="115"/>
        </w:rPr>
        <w:t> </w:t>
      </w:r>
      <w:r>
        <w:rPr>
          <w:color w:val="3A3838"/>
          <w:spacing w:val="-1"/>
          <w:w w:val="115"/>
        </w:rPr>
        <w:t>connect </w:t>
      </w:r>
      <w:r>
        <w:rPr>
          <w:color w:val="3A3838"/>
          <w:w w:val="115"/>
        </w:rPr>
        <w:t>it to your argument. In this way, your point is driven home in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the precise locations where the reader is likely to be paying the most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attention.</w:t>
      </w:r>
    </w:p>
    <w:p>
      <w:pPr>
        <w:pStyle w:val="BodyText"/>
        <w:spacing w:line="232" w:lineRule="auto"/>
        <w:ind w:left="159" w:right="480" w:firstLine="310"/>
        <w:jc w:val="both"/>
      </w:pPr>
      <w:r>
        <w:rPr>
          <w:color w:val="3A3838"/>
          <w:w w:val="110"/>
        </w:rPr>
        <w:t>In general, state your conclusion as if it is the truth, not as if it is one of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many possible ways for the court to rule. Do not begin any section of your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argument</w:t>
      </w:r>
      <w:r>
        <w:rPr>
          <w:color w:val="3A3838"/>
          <w:spacing w:val="15"/>
          <w:w w:val="110"/>
        </w:rPr>
        <w:t> </w:t>
      </w:r>
      <w:r>
        <w:rPr>
          <w:color w:val="3A3838"/>
          <w:w w:val="110"/>
        </w:rPr>
        <w:t>by</w:t>
      </w:r>
      <w:r>
        <w:rPr>
          <w:color w:val="3A3838"/>
          <w:spacing w:val="11"/>
          <w:w w:val="110"/>
        </w:rPr>
        <w:t> </w:t>
      </w:r>
      <w:r>
        <w:rPr>
          <w:color w:val="3A3838"/>
          <w:w w:val="110"/>
        </w:rPr>
        <w:t>stating the</w:t>
      </w:r>
      <w:r>
        <w:rPr>
          <w:color w:val="3A3838"/>
          <w:spacing w:val="11"/>
          <w:w w:val="110"/>
        </w:rPr>
        <w:t> </w:t>
      </w:r>
      <w:r>
        <w:rPr>
          <w:color w:val="3A3838"/>
          <w:w w:val="110"/>
        </w:rPr>
        <w:t>issue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as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11"/>
          <w:w w:val="110"/>
        </w:rPr>
        <w:t> </w:t>
      </w:r>
      <w:r>
        <w:rPr>
          <w:color w:val="3A3838"/>
          <w:w w:val="110"/>
        </w:rPr>
        <w:t>question</w:t>
      </w:r>
      <w:r>
        <w:rPr>
          <w:color w:val="3A3838"/>
          <w:spacing w:val="9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3"/>
          <w:w w:val="110"/>
        </w:rPr>
        <w:t> </w:t>
      </w:r>
      <w:r>
        <w:rPr>
          <w:color w:val="3A3838"/>
          <w:w w:val="110"/>
        </w:rPr>
        <w:t>must</w:t>
      </w:r>
      <w:r>
        <w:rPr>
          <w:color w:val="3A3838"/>
          <w:spacing w:val="10"/>
          <w:w w:val="110"/>
        </w:rPr>
        <w:t> </w:t>
      </w:r>
      <w:r>
        <w:rPr>
          <w:color w:val="3A3838"/>
          <w:w w:val="110"/>
        </w:rPr>
        <w:t>be</w:t>
      </w:r>
      <w:r>
        <w:rPr>
          <w:color w:val="3A3838"/>
          <w:spacing w:val="7"/>
          <w:w w:val="110"/>
        </w:rPr>
        <w:t> </w:t>
      </w:r>
      <w:r>
        <w:rPr>
          <w:color w:val="3A3838"/>
          <w:w w:val="110"/>
        </w:rPr>
        <w:t>resolved:</w:t>
      </w:r>
    </w:p>
    <w:p>
      <w:pPr>
        <w:pStyle w:val="BodyText"/>
        <w:rPr>
          <w:sz w:val="26"/>
        </w:rPr>
      </w:pPr>
    </w:p>
    <w:p>
      <w:pPr>
        <w:spacing w:before="169"/>
        <w:ind w:left="476" w:right="0" w:firstLine="0"/>
        <w:jc w:val="left"/>
        <w:rPr>
          <w:i/>
          <w:sz w:val="18"/>
        </w:rPr>
      </w:pPr>
      <w:r>
        <w:rPr>
          <w:rFonts w:ascii="Arial"/>
          <w:color w:val="3A3838"/>
          <w:w w:val="95"/>
          <w:position w:val="4"/>
          <w:sz w:val="9"/>
        </w:rPr>
        <w:t>16</w:t>
      </w:r>
      <w:r>
        <w:rPr>
          <w:color w:val="3A3838"/>
          <w:w w:val="95"/>
          <w:sz w:val="18"/>
        </w:rPr>
        <w:t>Jame</w:t>
      </w:r>
      <w:r>
        <w:rPr>
          <w:color w:val="59595B"/>
          <w:w w:val="95"/>
          <w:sz w:val="18"/>
        </w:rPr>
        <w:t>s</w:t>
      </w:r>
      <w:r>
        <w:rPr>
          <w:color w:val="59595B"/>
          <w:spacing w:val="9"/>
          <w:w w:val="95"/>
          <w:sz w:val="18"/>
        </w:rPr>
        <w:t> </w:t>
      </w:r>
      <w:r>
        <w:rPr>
          <w:color w:val="3A3838"/>
          <w:w w:val="95"/>
          <w:sz w:val="18"/>
        </w:rPr>
        <w:t>H</w:t>
      </w:r>
      <w:r>
        <w:rPr>
          <w:color w:val="59595B"/>
          <w:w w:val="95"/>
          <w:sz w:val="18"/>
        </w:rPr>
        <w:t>.</w:t>
      </w:r>
      <w:r>
        <w:rPr>
          <w:color w:val="59595B"/>
          <w:spacing w:val="-2"/>
          <w:w w:val="95"/>
          <w:sz w:val="18"/>
        </w:rPr>
        <w:t> </w:t>
      </w:r>
      <w:r>
        <w:rPr>
          <w:color w:val="3A3838"/>
          <w:w w:val="95"/>
          <w:sz w:val="18"/>
        </w:rPr>
        <w:t>Coleman,</w:t>
      </w:r>
      <w:r>
        <w:rPr>
          <w:color w:val="3A3838"/>
          <w:spacing w:val="-9"/>
          <w:w w:val="95"/>
          <w:sz w:val="18"/>
        </w:rPr>
        <w:t> </w:t>
      </w:r>
      <w:r>
        <w:rPr>
          <w:color w:val="3A3838"/>
          <w:w w:val="95"/>
          <w:sz w:val="18"/>
        </w:rPr>
        <w:t>Jr</w:t>
      </w:r>
      <w:r>
        <w:rPr>
          <w:color w:val="59595B"/>
          <w:w w:val="95"/>
          <w:sz w:val="18"/>
        </w:rPr>
        <w:t>.</w:t>
      </w:r>
      <w:r>
        <w:rPr>
          <w:color w:val="3A3838"/>
          <w:w w:val="95"/>
          <w:sz w:val="18"/>
        </w:rPr>
        <w:t>,</w:t>
      </w:r>
      <w:r>
        <w:rPr>
          <w:color w:val="3A3838"/>
          <w:spacing w:val="18"/>
          <w:w w:val="95"/>
          <w:sz w:val="18"/>
        </w:rPr>
        <w:t> </w:t>
      </w:r>
      <w:r>
        <w:rPr>
          <w:i/>
          <w:color w:val="3A3838"/>
          <w:w w:val="95"/>
          <w:sz w:val="18"/>
        </w:rPr>
        <w:t>Appellate</w:t>
      </w:r>
      <w:r>
        <w:rPr>
          <w:i/>
          <w:color w:val="3A3838"/>
          <w:spacing w:val="14"/>
          <w:w w:val="95"/>
          <w:sz w:val="18"/>
        </w:rPr>
        <w:t> </w:t>
      </w:r>
      <w:r>
        <w:rPr>
          <w:i/>
          <w:color w:val="3A3838"/>
          <w:w w:val="95"/>
          <w:sz w:val="18"/>
        </w:rPr>
        <w:t>Advocacy</w:t>
      </w:r>
      <w:r>
        <w:rPr>
          <w:i/>
          <w:color w:val="3A3838"/>
          <w:spacing w:val="-14"/>
          <w:w w:val="95"/>
          <w:sz w:val="18"/>
        </w:rPr>
        <w:t> </w:t>
      </w:r>
      <w:r>
        <w:rPr>
          <w:i/>
          <w:color w:val="3A3838"/>
          <w:w w:val="95"/>
          <w:sz w:val="18"/>
        </w:rPr>
        <w:t>ancl</w:t>
      </w:r>
      <w:r>
        <w:rPr>
          <w:i/>
          <w:color w:val="3A3838"/>
          <w:spacing w:val="11"/>
          <w:w w:val="95"/>
          <w:sz w:val="18"/>
        </w:rPr>
        <w:t> </w:t>
      </w:r>
      <w:r>
        <w:rPr>
          <w:i/>
          <w:color w:val="3A3838"/>
          <w:w w:val="95"/>
          <w:sz w:val="18"/>
        </w:rPr>
        <w:t>Deci</w:t>
      </w:r>
      <w:r>
        <w:rPr>
          <w:i/>
          <w:color w:val="59595B"/>
          <w:w w:val="95"/>
          <w:sz w:val="18"/>
        </w:rPr>
        <w:t>s</w:t>
      </w:r>
      <w:r>
        <w:rPr>
          <w:i/>
          <w:color w:val="3A3838"/>
          <w:w w:val="95"/>
          <w:sz w:val="18"/>
        </w:rPr>
        <w:t>/011111aki11g</w:t>
      </w:r>
      <w:r>
        <w:rPr>
          <w:i/>
          <w:color w:val="3A3838"/>
          <w:spacing w:val="12"/>
          <w:w w:val="95"/>
          <w:sz w:val="18"/>
        </w:rPr>
        <w:t> </w:t>
      </w:r>
      <w:r>
        <w:rPr>
          <w:i/>
          <w:color w:val="3A3838"/>
          <w:w w:val="95"/>
          <w:sz w:val="18"/>
        </w:rPr>
        <w:t>in</w:t>
      </w:r>
      <w:r>
        <w:rPr>
          <w:i/>
          <w:color w:val="3A3838"/>
          <w:spacing w:val="64"/>
          <w:sz w:val="18"/>
        </w:rPr>
        <w:t> </w:t>
      </w:r>
      <w:r>
        <w:rPr>
          <w:i/>
          <w:color w:val="3A3838"/>
          <w:w w:val="95"/>
          <w:sz w:val="18"/>
        </w:rPr>
        <w:t>St,lt</w:t>
      </w:r>
      <w:r>
        <w:rPr>
          <w:i/>
          <w:color w:val="59595B"/>
          <w:w w:val="95"/>
          <w:sz w:val="18"/>
        </w:rPr>
        <w:t>e</w:t>
      </w:r>
      <w:r>
        <w:rPr>
          <w:i/>
          <w:color w:val="59595B"/>
          <w:spacing w:val="11"/>
          <w:w w:val="95"/>
          <w:sz w:val="18"/>
        </w:rPr>
        <w:t> </w:t>
      </w:r>
      <w:r>
        <w:rPr>
          <w:i/>
          <w:color w:val="3A3838"/>
          <w:w w:val="95"/>
          <w:sz w:val="18"/>
        </w:rPr>
        <w:t>App</w:t>
      </w:r>
      <w:r>
        <w:rPr>
          <w:i/>
          <w:color w:val="59595B"/>
          <w:w w:val="95"/>
          <w:sz w:val="18"/>
        </w:rPr>
        <w:t>e</w:t>
      </w:r>
      <w:r>
        <w:rPr>
          <w:i/>
          <w:color w:val="3A3838"/>
          <w:w w:val="95"/>
          <w:sz w:val="18"/>
        </w:rPr>
        <w:t>ll</w:t>
      </w:r>
      <w:r>
        <w:rPr>
          <w:i/>
          <w:color w:val="59595B"/>
          <w:w w:val="95"/>
          <w:sz w:val="18"/>
        </w:rPr>
        <w:t>a</w:t>
      </w:r>
      <w:r>
        <w:rPr>
          <w:i/>
          <w:color w:val="3A3838"/>
          <w:w w:val="95"/>
          <w:sz w:val="18"/>
        </w:rPr>
        <w:t>te</w:t>
      </w:r>
      <w:r>
        <w:rPr>
          <w:i/>
          <w:color w:val="3A3838"/>
          <w:spacing w:val="-2"/>
          <w:w w:val="95"/>
          <w:sz w:val="18"/>
        </w:rPr>
        <w:t> </w:t>
      </w:r>
      <w:r>
        <w:rPr>
          <w:i/>
          <w:color w:val="3A3838"/>
          <w:w w:val="95"/>
          <w:sz w:val="18"/>
        </w:rPr>
        <w:t>Courts</w:t>
      </w:r>
      <w:r>
        <w:rPr>
          <w:i/>
          <w:color w:val="3A3838"/>
          <w:spacing w:val="11"/>
          <w:w w:val="95"/>
          <w:sz w:val="18"/>
        </w:rPr>
        <w:t> </w:t>
      </w:r>
      <w:r>
        <w:rPr>
          <w:color w:val="3A3838"/>
          <w:w w:val="95"/>
          <w:sz w:val="18"/>
        </w:rPr>
        <w:t>in</w:t>
      </w:r>
      <w:r>
        <w:rPr>
          <w:color w:val="3A3838"/>
          <w:spacing w:val="6"/>
          <w:w w:val="95"/>
          <w:sz w:val="18"/>
        </w:rPr>
        <w:t> </w:t>
      </w:r>
      <w:r>
        <w:rPr>
          <w:i/>
          <w:color w:val="3A3838"/>
          <w:w w:val="95"/>
          <w:sz w:val="18"/>
        </w:rPr>
        <w:t>the</w:t>
      </w:r>
    </w:p>
    <w:p>
      <w:pPr>
        <w:spacing w:before="4"/>
        <w:ind w:left="143" w:right="0" w:firstLine="0"/>
        <w:jc w:val="left"/>
        <w:rPr>
          <w:sz w:val="17"/>
        </w:rPr>
      </w:pPr>
      <w:r>
        <w:rPr>
          <w:rFonts w:ascii="Arial"/>
          <w:i/>
          <w:color w:val="3A3838"/>
          <w:spacing w:val="-1"/>
          <w:w w:val="105"/>
          <w:sz w:val="16"/>
        </w:rPr>
        <w:t>1wenty-Flrst</w:t>
      </w:r>
      <w:r>
        <w:rPr>
          <w:rFonts w:ascii="Arial"/>
          <w:i/>
          <w:color w:val="3A3838"/>
          <w:spacing w:val="-6"/>
          <w:w w:val="105"/>
          <w:sz w:val="16"/>
        </w:rPr>
        <w:t> </w:t>
      </w:r>
      <w:r>
        <w:rPr>
          <w:i/>
          <w:color w:val="3A3838"/>
          <w:spacing w:val="-1"/>
          <w:sz w:val="17"/>
        </w:rPr>
        <w:t>Ce11t11ry,</w:t>
      </w:r>
      <w:r>
        <w:rPr>
          <w:i/>
          <w:color w:val="3A3838"/>
          <w:spacing w:val="-2"/>
          <w:sz w:val="17"/>
        </w:rPr>
        <w:t> </w:t>
      </w:r>
      <w:r>
        <w:rPr>
          <w:color w:val="3A3838"/>
          <w:w w:val="105"/>
          <w:sz w:val="17"/>
        </w:rPr>
        <w:t>28</w:t>
      </w:r>
      <w:r>
        <w:rPr>
          <w:color w:val="3A3838"/>
          <w:spacing w:val="37"/>
          <w:w w:val="105"/>
          <w:sz w:val="17"/>
        </w:rPr>
        <w:t> </w:t>
      </w:r>
      <w:r>
        <w:rPr>
          <w:color w:val="3A3838"/>
          <w:w w:val="105"/>
          <w:sz w:val="17"/>
        </w:rPr>
        <w:t>Seton</w:t>
      </w:r>
      <w:r>
        <w:rPr>
          <w:color w:val="3A3838"/>
          <w:spacing w:val="7"/>
          <w:w w:val="105"/>
          <w:sz w:val="17"/>
        </w:rPr>
        <w:t> </w:t>
      </w:r>
      <w:r>
        <w:rPr>
          <w:color w:val="3A3838"/>
          <w:w w:val="105"/>
          <w:sz w:val="17"/>
        </w:rPr>
        <w:t>Hall</w:t>
      </w:r>
      <w:r>
        <w:rPr>
          <w:color w:val="3A3838"/>
          <w:spacing w:val="-5"/>
          <w:w w:val="105"/>
          <w:sz w:val="17"/>
        </w:rPr>
        <w:t> </w:t>
      </w:r>
      <w:r>
        <w:rPr>
          <w:color w:val="3A3838"/>
          <w:w w:val="105"/>
          <w:sz w:val="16"/>
        </w:rPr>
        <w:t>L.</w:t>
      </w:r>
      <w:r>
        <w:rPr>
          <w:color w:val="3A3838"/>
          <w:spacing w:val="3"/>
          <w:w w:val="105"/>
          <w:sz w:val="16"/>
        </w:rPr>
        <w:t> </w:t>
      </w:r>
      <w:r>
        <w:rPr>
          <w:color w:val="3A3838"/>
          <w:w w:val="105"/>
          <w:sz w:val="17"/>
        </w:rPr>
        <w:t>R</w:t>
      </w:r>
      <w:r>
        <w:rPr>
          <w:color w:val="59595B"/>
          <w:w w:val="105"/>
          <w:sz w:val="17"/>
        </w:rPr>
        <w:t>e</w:t>
      </w:r>
      <w:r>
        <w:rPr>
          <w:color w:val="3A3838"/>
          <w:w w:val="105"/>
          <w:sz w:val="17"/>
        </w:rPr>
        <w:t>v</w:t>
      </w:r>
      <w:r>
        <w:rPr>
          <w:color w:val="59595B"/>
          <w:w w:val="105"/>
          <w:sz w:val="17"/>
        </w:rPr>
        <w:t>.</w:t>
      </w:r>
      <w:r>
        <w:rPr>
          <w:color w:val="59595B"/>
          <w:spacing w:val="10"/>
          <w:w w:val="105"/>
          <w:sz w:val="17"/>
        </w:rPr>
        <w:t> </w:t>
      </w:r>
      <w:r>
        <w:rPr>
          <w:color w:val="3A3838"/>
          <w:w w:val="105"/>
          <w:sz w:val="17"/>
        </w:rPr>
        <w:t>1061,</w:t>
      </w:r>
      <w:r>
        <w:rPr>
          <w:color w:val="3A3838"/>
          <w:spacing w:val="-10"/>
          <w:w w:val="105"/>
          <w:sz w:val="17"/>
        </w:rPr>
        <w:t> </w:t>
      </w:r>
      <w:r>
        <w:rPr>
          <w:color w:val="3A3838"/>
          <w:w w:val="105"/>
          <w:sz w:val="17"/>
        </w:rPr>
        <w:t>1083(1998).</w:t>
      </w:r>
    </w:p>
    <w:p>
      <w:pPr>
        <w:spacing w:after="0"/>
        <w:jc w:val="left"/>
        <w:rPr>
          <w:sz w:val="17"/>
        </w:rPr>
        <w:sectPr>
          <w:pgSz w:w="9690" w:h="14020"/>
          <w:pgMar w:header="646" w:footer="0" w:top="840" w:bottom="280" w:left="160" w:right="1340"/>
        </w:sectPr>
      </w:pPr>
    </w:p>
    <w:p>
      <w:pPr>
        <w:spacing w:before="86"/>
        <w:ind w:left="758" w:right="0" w:firstLine="0"/>
        <w:jc w:val="both"/>
        <w:rPr>
          <w:rFonts w:ascii="Arial"/>
          <w:sz w:val="14"/>
        </w:rPr>
      </w:pPr>
      <w:r>
        <w:rPr>
          <w:rFonts w:ascii="Arial"/>
          <w:color w:val="383638"/>
          <w:sz w:val="14"/>
          <w:u w:val="thick" w:color="383638"/>
        </w:rPr>
        <w:t>-\/     </w:t>
      </w:r>
      <w:r>
        <w:rPr>
          <w:rFonts w:ascii="Arial"/>
          <w:color w:val="383638"/>
          <w:spacing w:val="32"/>
          <w:sz w:val="14"/>
          <w:u w:val="thick" w:color="383638"/>
        </w:rPr>
        <w:t> </w:t>
      </w:r>
      <w:r>
        <w:rPr>
          <w:rFonts w:ascii="Arial"/>
          <w:color w:val="383638"/>
          <w:sz w:val="14"/>
          <w:u w:val="thick" w:color="383638"/>
        </w:rPr>
        <w:t>BAO</w:t>
      </w:r>
      <w:r>
        <w:rPr>
          <w:rFonts w:ascii="Arial"/>
          <w:color w:val="383638"/>
          <w:spacing w:val="42"/>
          <w:sz w:val="14"/>
          <w:u w:val="thick" w:color="383638"/>
        </w:rPr>
        <w:t> </w:t>
      </w:r>
      <w:r>
        <w:rPr>
          <w:rFonts w:ascii="Arial"/>
          <w:color w:val="383638"/>
          <w:sz w:val="14"/>
          <w:u w:val="thick" w:color="383638"/>
        </w:rPr>
        <w:t>EXAMPLE</w:t>
      </w:r>
    </w:p>
    <w:p>
      <w:pPr>
        <w:spacing w:line="240" w:lineRule="auto" w:before="53"/>
        <w:ind w:left="1160" w:right="420" w:firstLine="1"/>
        <w:jc w:val="both"/>
        <w:rPr>
          <w:sz w:val="21"/>
        </w:rPr>
      </w:pPr>
      <w:r>
        <w:rPr>
          <w:color w:val="383638"/>
          <w:w w:val="115"/>
          <w:sz w:val="21"/>
        </w:rPr>
        <w:t>The</w:t>
      </w:r>
      <w:r>
        <w:rPr>
          <w:color w:val="383638"/>
          <w:spacing w:val="39"/>
          <w:w w:val="115"/>
          <w:sz w:val="21"/>
        </w:rPr>
        <w:t> </w:t>
      </w:r>
      <w:r>
        <w:rPr>
          <w:color w:val="383638"/>
          <w:w w:val="115"/>
          <w:sz w:val="21"/>
        </w:rPr>
        <w:t>next</w:t>
      </w:r>
      <w:r>
        <w:rPr>
          <w:color w:val="383638"/>
          <w:spacing w:val="-15"/>
          <w:w w:val="115"/>
          <w:sz w:val="21"/>
        </w:rPr>
        <w:t> </w:t>
      </w:r>
      <w:r>
        <w:rPr>
          <w:color w:val="383638"/>
          <w:w w:val="115"/>
          <w:sz w:val="21"/>
        </w:rPr>
        <w:t>issue</w:t>
      </w:r>
      <w:r>
        <w:rPr>
          <w:color w:val="383638"/>
          <w:spacing w:val="-20"/>
          <w:w w:val="115"/>
          <w:sz w:val="21"/>
        </w:rPr>
        <w:t> </w:t>
      </w:r>
      <w:r>
        <w:rPr>
          <w:color w:val="383638"/>
          <w:w w:val="115"/>
          <w:sz w:val="21"/>
        </w:rPr>
        <w:t>turns</w:t>
      </w:r>
      <w:r>
        <w:rPr>
          <w:color w:val="383638"/>
          <w:spacing w:val="-26"/>
          <w:w w:val="115"/>
          <w:sz w:val="21"/>
        </w:rPr>
        <w:t> </w:t>
      </w:r>
      <w:r>
        <w:rPr>
          <w:color w:val="383638"/>
          <w:w w:val="115"/>
          <w:sz w:val="21"/>
        </w:rPr>
        <w:t>on</w:t>
      </w:r>
      <w:r>
        <w:rPr>
          <w:color w:val="383638"/>
          <w:spacing w:val="3"/>
          <w:w w:val="115"/>
          <w:sz w:val="21"/>
        </w:rPr>
        <w:t> </w:t>
      </w:r>
      <w:r>
        <w:rPr>
          <w:color w:val="383638"/>
          <w:w w:val="115"/>
          <w:sz w:val="21"/>
        </w:rPr>
        <w:t>whether</w:t>
      </w:r>
      <w:r>
        <w:rPr>
          <w:color w:val="383638"/>
          <w:spacing w:val="-7"/>
          <w:w w:val="115"/>
          <w:sz w:val="21"/>
        </w:rPr>
        <w:t> </w:t>
      </w:r>
      <w:r>
        <w:rPr>
          <w:color w:val="383638"/>
          <w:w w:val="115"/>
          <w:sz w:val="21"/>
        </w:rPr>
        <w:t>an</w:t>
      </w:r>
      <w:r>
        <w:rPr>
          <w:color w:val="383638"/>
          <w:spacing w:val="14"/>
          <w:w w:val="115"/>
          <w:sz w:val="21"/>
        </w:rPr>
        <w:t> </w:t>
      </w:r>
      <w:r>
        <w:rPr>
          <w:color w:val="383638"/>
          <w:w w:val="115"/>
          <w:sz w:val="21"/>
        </w:rPr>
        <w:t>officer</w:t>
      </w:r>
      <w:r>
        <w:rPr>
          <w:color w:val="383638"/>
          <w:spacing w:val="-21"/>
          <w:w w:val="115"/>
          <w:sz w:val="21"/>
        </w:rPr>
        <w:t> </w:t>
      </w:r>
      <w:r>
        <w:rPr>
          <w:color w:val="383638"/>
          <w:w w:val="115"/>
          <w:sz w:val="21"/>
        </w:rPr>
        <w:t>issuing</w:t>
      </w:r>
      <w:r>
        <w:rPr>
          <w:color w:val="383638"/>
          <w:spacing w:val="-20"/>
          <w:w w:val="115"/>
          <w:sz w:val="21"/>
        </w:rPr>
        <w:t> </w:t>
      </w:r>
      <w:r>
        <w:rPr>
          <w:color w:val="383638"/>
          <w:w w:val="115"/>
          <w:sz w:val="21"/>
        </w:rPr>
        <w:t>a</w:t>
      </w:r>
      <w:r>
        <w:rPr>
          <w:color w:val="383638"/>
          <w:spacing w:val="-1"/>
          <w:w w:val="115"/>
          <w:sz w:val="21"/>
        </w:rPr>
        <w:t> </w:t>
      </w:r>
      <w:r>
        <w:rPr>
          <w:color w:val="383638"/>
          <w:w w:val="115"/>
          <w:sz w:val="21"/>
        </w:rPr>
        <w:t>citation</w:t>
      </w:r>
      <w:r>
        <w:rPr>
          <w:color w:val="383638"/>
          <w:spacing w:val="-4"/>
          <w:w w:val="115"/>
          <w:sz w:val="21"/>
        </w:rPr>
        <w:t> </w:t>
      </w:r>
      <w:r>
        <w:rPr>
          <w:color w:val="383638"/>
          <w:w w:val="115"/>
          <w:sz w:val="21"/>
        </w:rPr>
        <w:t>in</w:t>
      </w:r>
      <w:r>
        <w:rPr>
          <w:color w:val="383638"/>
          <w:spacing w:val="-3"/>
          <w:w w:val="115"/>
          <w:sz w:val="21"/>
        </w:rPr>
        <w:t> </w:t>
      </w:r>
      <w:r>
        <w:rPr>
          <w:color w:val="383638"/>
          <w:w w:val="115"/>
          <w:sz w:val="21"/>
        </w:rPr>
        <w:t>lieu</w:t>
      </w:r>
      <w:r>
        <w:rPr>
          <w:color w:val="383638"/>
          <w:spacing w:val="-18"/>
          <w:w w:val="115"/>
          <w:sz w:val="21"/>
        </w:rPr>
        <w:t> </w:t>
      </w:r>
      <w:r>
        <w:rPr>
          <w:color w:val="383638"/>
          <w:w w:val="115"/>
          <w:sz w:val="21"/>
        </w:rPr>
        <w:t>of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arrest should have the same authority to search as an officer who is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placing</w:t>
      </w:r>
      <w:r>
        <w:rPr>
          <w:color w:val="383638"/>
          <w:spacing w:val="-21"/>
          <w:w w:val="115"/>
          <w:sz w:val="21"/>
        </w:rPr>
        <w:t> </w:t>
      </w:r>
      <w:r>
        <w:rPr>
          <w:color w:val="383638"/>
          <w:w w:val="115"/>
          <w:sz w:val="21"/>
        </w:rPr>
        <w:t>a</w:t>
      </w:r>
      <w:r>
        <w:rPr>
          <w:color w:val="383638"/>
          <w:spacing w:val="-9"/>
          <w:w w:val="115"/>
          <w:sz w:val="21"/>
        </w:rPr>
        <w:t> </w:t>
      </w:r>
      <w:r>
        <w:rPr>
          <w:color w:val="383638"/>
          <w:w w:val="115"/>
          <w:sz w:val="21"/>
        </w:rPr>
        <w:t>suspect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under</w:t>
      </w:r>
      <w:r>
        <w:rPr>
          <w:color w:val="383638"/>
          <w:spacing w:val="-18"/>
          <w:w w:val="115"/>
          <w:sz w:val="21"/>
        </w:rPr>
        <w:t> </w:t>
      </w:r>
      <w:r>
        <w:rPr>
          <w:color w:val="383638"/>
          <w:w w:val="115"/>
          <w:sz w:val="21"/>
        </w:rPr>
        <w:t>arrest.</w:t>
      </w:r>
    </w:p>
    <w:p>
      <w:pPr>
        <w:pStyle w:val="BodyText"/>
        <w:spacing w:before="134"/>
        <w:ind w:left="795"/>
        <w:jc w:val="both"/>
      </w:pPr>
      <w:r>
        <w:rPr>
          <w:color w:val="383638"/>
          <w:w w:val="105"/>
        </w:rPr>
        <w:t>Instead,</w:t>
      </w:r>
      <w:r>
        <w:rPr>
          <w:color w:val="383638"/>
          <w:spacing w:val="18"/>
          <w:w w:val="105"/>
        </w:rPr>
        <w:t> </w:t>
      </w:r>
      <w:r>
        <w:rPr>
          <w:color w:val="383638"/>
          <w:w w:val="105"/>
        </w:rPr>
        <w:t>articulate</w:t>
      </w:r>
      <w:r>
        <w:rPr>
          <w:color w:val="383638"/>
          <w:spacing w:val="12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38"/>
          <w:w w:val="105"/>
        </w:rPr>
        <w:t> </w:t>
      </w:r>
      <w:r>
        <w:rPr>
          <w:color w:val="383638"/>
          <w:w w:val="105"/>
        </w:rPr>
        <w:t>issue</w:t>
      </w:r>
      <w:r>
        <w:rPr>
          <w:color w:val="383638"/>
          <w:spacing w:val="2"/>
          <w:w w:val="105"/>
        </w:rPr>
        <w:t> </w:t>
      </w:r>
      <w:r>
        <w:rPr>
          <w:color w:val="383638"/>
          <w:w w:val="105"/>
        </w:rPr>
        <w:t>as</w:t>
      </w:r>
      <w:r>
        <w:rPr>
          <w:color w:val="383638"/>
          <w:spacing w:val="11"/>
          <w:w w:val="105"/>
        </w:rPr>
        <w:t> </w:t>
      </w:r>
      <w:r>
        <w:rPr>
          <w:color w:val="383638"/>
          <w:w w:val="105"/>
        </w:rPr>
        <w:t>an</w:t>
      </w:r>
      <w:r>
        <w:rPr>
          <w:color w:val="383638"/>
          <w:spacing w:val="50"/>
          <w:w w:val="105"/>
        </w:rPr>
        <w:t> </w:t>
      </w:r>
      <w:r>
        <w:rPr>
          <w:color w:val="383638"/>
          <w:w w:val="105"/>
        </w:rPr>
        <w:t>assertion:</w:t>
      </w:r>
    </w:p>
    <w:p>
      <w:pPr>
        <w:pStyle w:val="BodyText"/>
        <w:rPr>
          <w:sz w:val="26"/>
        </w:rPr>
      </w:pPr>
    </w:p>
    <w:p>
      <w:pPr>
        <w:spacing w:before="158"/>
        <w:ind w:left="1140" w:right="436" w:firstLine="9"/>
        <w:jc w:val="both"/>
        <w:rPr>
          <w:sz w:val="21"/>
        </w:rPr>
      </w:pPr>
      <w:r>
        <w:rPr>
          <w:color w:val="383638"/>
          <w:spacing w:val="-1"/>
          <w:w w:val="120"/>
          <w:sz w:val="21"/>
        </w:rPr>
        <w:t>Officers</w:t>
      </w:r>
      <w:r>
        <w:rPr>
          <w:color w:val="383638"/>
          <w:spacing w:val="-4"/>
          <w:w w:val="120"/>
          <w:sz w:val="21"/>
        </w:rPr>
        <w:t> </w:t>
      </w:r>
      <w:r>
        <w:rPr>
          <w:color w:val="383638"/>
          <w:spacing w:val="-1"/>
          <w:w w:val="120"/>
          <w:sz w:val="21"/>
        </w:rPr>
        <w:t>who</w:t>
      </w:r>
      <w:r>
        <w:rPr>
          <w:color w:val="383638"/>
          <w:spacing w:val="10"/>
          <w:w w:val="120"/>
          <w:sz w:val="21"/>
        </w:rPr>
        <w:t> </w:t>
      </w:r>
      <w:r>
        <w:rPr>
          <w:color w:val="383638"/>
          <w:spacing w:val="-1"/>
          <w:w w:val="120"/>
          <w:sz w:val="21"/>
        </w:rPr>
        <w:t>issue</w:t>
      </w:r>
      <w:r>
        <w:rPr>
          <w:color w:val="383638"/>
          <w:spacing w:val="-12"/>
          <w:w w:val="120"/>
          <w:sz w:val="21"/>
        </w:rPr>
        <w:t> </w:t>
      </w:r>
      <w:r>
        <w:rPr>
          <w:color w:val="383638"/>
          <w:w w:val="120"/>
          <w:sz w:val="21"/>
        </w:rPr>
        <w:t>citations</w:t>
      </w:r>
      <w:r>
        <w:rPr>
          <w:color w:val="383638"/>
          <w:spacing w:val="-7"/>
          <w:w w:val="120"/>
          <w:sz w:val="21"/>
        </w:rPr>
        <w:t> </w:t>
      </w:r>
      <w:r>
        <w:rPr>
          <w:color w:val="383638"/>
          <w:w w:val="120"/>
          <w:sz w:val="21"/>
        </w:rPr>
        <w:t>in</w:t>
      </w:r>
      <w:r>
        <w:rPr>
          <w:color w:val="383638"/>
          <w:spacing w:val="5"/>
          <w:w w:val="120"/>
          <w:sz w:val="21"/>
        </w:rPr>
        <w:t> </w:t>
      </w:r>
      <w:r>
        <w:rPr>
          <w:color w:val="383638"/>
          <w:w w:val="120"/>
          <w:sz w:val="21"/>
        </w:rPr>
        <w:t>lieu</w:t>
      </w:r>
      <w:r>
        <w:rPr>
          <w:color w:val="383638"/>
          <w:spacing w:val="-10"/>
          <w:w w:val="120"/>
          <w:sz w:val="21"/>
        </w:rPr>
        <w:t> </w:t>
      </w:r>
      <w:r>
        <w:rPr>
          <w:color w:val="383638"/>
          <w:w w:val="120"/>
          <w:sz w:val="21"/>
        </w:rPr>
        <w:t>of</w:t>
      </w:r>
      <w:r>
        <w:rPr>
          <w:color w:val="383638"/>
          <w:spacing w:val="-10"/>
          <w:w w:val="120"/>
          <w:sz w:val="21"/>
        </w:rPr>
        <w:t> </w:t>
      </w:r>
      <w:r>
        <w:rPr>
          <w:color w:val="383638"/>
          <w:w w:val="120"/>
          <w:sz w:val="21"/>
        </w:rPr>
        <w:t>arrest</w:t>
      </w:r>
      <w:r>
        <w:rPr>
          <w:color w:val="383638"/>
          <w:spacing w:val="-12"/>
          <w:w w:val="120"/>
          <w:sz w:val="21"/>
        </w:rPr>
        <w:t> </w:t>
      </w:r>
      <w:r>
        <w:rPr>
          <w:color w:val="383638"/>
          <w:w w:val="120"/>
          <w:sz w:val="21"/>
        </w:rPr>
        <w:t>and</w:t>
      </w:r>
      <w:r>
        <w:rPr>
          <w:color w:val="383638"/>
          <w:spacing w:val="5"/>
          <w:w w:val="120"/>
          <w:sz w:val="21"/>
        </w:rPr>
        <w:t> </w:t>
      </w:r>
      <w:r>
        <w:rPr>
          <w:color w:val="383638"/>
          <w:w w:val="120"/>
          <w:sz w:val="21"/>
        </w:rPr>
        <w:t>officers</w:t>
      </w:r>
      <w:r>
        <w:rPr>
          <w:color w:val="383638"/>
          <w:spacing w:val="-15"/>
          <w:w w:val="120"/>
          <w:sz w:val="21"/>
        </w:rPr>
        <w:t> </w:t>
      </w:r>
      <w:r>
        <w:rPr>
          <w:color w:val="383638"/>
          <w:w w:val="120"/>
          <w:sz w:val="21"/>
        </w:rPr>
        <w:t>who actu­</w:t>
      </w:r>
      <w:r>
        <w:rPr>
          <w:color w:val="383638"/>
          <w:spacing w:val="-61"/>
          <w:w w:val="120"/>
          <w:sz w:val="21"/>
        </w:rPr>
        <w:t> </w:t>
      </w:r>
      <w:r>
        <w:rPr>
          <w:color w:val="383638"/>
          <w:w w:val="115"/>
          <w:sz w:val="21"/>
        </w:rPr>
        <w:t>ally arrest should have the same authority to search for weapons that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20"/>
          <w:sz w:val="21"/>
        </w:rPr>
        <w:t>might</w:t>
      </w:r>
      <w:r>
        <w:rPr>
          <w:color w:val="383638"/>
          <w:spacing w:val="-28"/>
          <w:w w:val="120"/>
          <w:sz w:val="21"/>
        </w:rPr>
        <w:t> </w:t>
      </w:r>
      <w:r>
        <w:rPr>
          <w:rFonts w:ascii="Arial" w:hAnsi="Arial"/>
          <w:color w:val="383638"/>
          <w:w w:val="120"/>
          <w:sz w:val="19"/>
        </w:rPr>
        <w:t>be</w:t>
      </w:r>
      <w:r>
        <w:rPr>
          <w:rFonts w:ascii="Arial" w:hAnsi="Arial"/>
          <w:color w:val="383638"/>
          <w:spacing w:val="-27"/>
          <w:w w:val="120"/>
          <w:sz w:val="19"/>
        </w:rPr>
        <w:t> </w:t>
      </w:r>
      <w:r>
        <w:rPr>
          <w:color w:val="383638"/>
          <w:w w:val="120"/>
          <w:sz w:val="21"/>
        </w:rPr>
        <w:t>used</w:t>
      </w:r>
      <w:r>
        <w:rPr>
          <w:color w:val="383638"/>
          <w:spacing w:val="-5"/>
          <w:w w:val="120"/>
          <w:sz w:val="21"/>
        </w:rPr>
        <w:t> </w:t>
      </w:r>
      <w:r>
        <w:rPr>
          <w:color w:val="383638"/>
          <w:w w:val="120"/>
          <w:sz w:val="21"/>
        </w:rPr>
        <w:t>against</w:t>
      </w:r>
      <w:r>
        <w:rPr>
          <w:color w:val="383638"/>
          <w:spacing w:val="-14"/>
          <w:w w:val="120"/>
          <w:sz w:val="21"/>
        </w:rPr>
        <w:t> </w:t>
      </w:r>
      <w:r>
        <w:rPr>
          <w:color w:val="383638"/>
          <w:w w:val="120"/>
          <w:sz w:val="21"/>
        </w:rPr>
        <w:t>them.</w:t>
      </w:r>
    </w:p>
    <w:p>
      <w:pPr>
        <w:pStyle w:val="BodyText"/>
        <w:spacing w:line="232" w:lineRule="auto" w:before="140"/>
        <w:ind w:left="746" w:right="127" w:firstLine="11"/>
        <w:jc w:val="both"/>
      </w:pPr>
      <w:r>
        <w:rPr>
          <w:color w:val="383638"/>
          <w:w w:val="105"/>
        </w:rPr>
        <w:t>Similarly, do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not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label your arguments as your arguments. The petitioner</w:t>
      </w:r>
      <w:r>
        <w:rPr>
          <w:color w:val="383638"/>
          <w:spacing w:val="1"/>
          <w:w w:val="105"/>
        </w:rPr>
        <w:t> </w:t>
      </w:r>
      <w:r>
        <w:rPr>
          <w:color w:val="383638"/>
          <w:spacing w:val="-1"/>
          <w:w w:val="111"/>
        </w:rPr>
        <w:t>shoul</w:t>
      </w:r>
      <w:r>
        <w:rPr>
          <w:color w:val="383638"/>
          <w:w w:val="111"/>
        </w:rPr>
        <w:t>d</w:t>
      </w:r>
      <w:r>
        <w:rPr>
          <w:color w:val="383638"/>
          <w:spacing w:val="14"/>
        </w:rPr>
        <w:t> </w:t>
      </w:r>
      <w:r>
        <w:rPr>
          <w:color w:val="383638"/>
          <w:spacing w:val="-1"/>
          <w:w w:val="107"/>
        </w:rPr>
        <w:t>avoi</w:t>
      </w:r>
      <w:r>
        <w:rPr>
          <w:color w:val="383638"/>
          <w:w w:val="107"/>
        </w:rPr>
        <w:t>d</w:t>
      </w:r>
      <w:r>
        <w:rPr>
          <w:color w:val="383638"/>
          <w:spacing w:val="17"/>
        </w:rPr>
        <w:t> </w:t>
      </w:r>
      <w:r>
        <w:rPr>
          <w:color w:val="383638"/>
          <w:spacing w:val="-1"/>
          <w:w w:val="113"/>
        </w:rPr>
        <w:t>statement</w:t>
      </w:r>
      <w:r>
        <w:rPr>
          <w:color w:val="383638"/>
          <w:w w:val="113"/>
        </w:rPr>
        <w:t>s</w:t>
      </w:r>
      <w:r>
        <w:rPr>
          <w:color w:val="383638"/>
          <w:spacing w:val="11"/>
        </w:rPr>
        <w:t> </w:t>
      </w:r>
      <w:r>
        <w:rPr>
          <w:color w:val="383638"/>
          <w:spacing w:val="-1"/>
          <w:w w:val="111"/>
        </w:rPr>
        <w:t>lik</w:t>
      </w:r>
      <w:r>
        <w:rPr>
          <w:color w:val="383638"/>
          <w:w w:val="111"/>
        </w:rPr>
        <w:t>e</w:t>
      </w:r>
      <w:r>
        <w:rPr>
          <w:color w:val="383638"/>
          <w:spacing w:val="3"/>
        </w:rPr>
        <w:t> </w:t>
      </w:r>
      <w:r>
        <w:rPr>
          <w:color w:val="383638"/>
          <w:spacing w:val="-1"/>
          <w:w w:val="112"/>
        </w:rPr>
        <w:t>"Th</w:t>
      </w:r>
      <w:r>
        <w:rPr>
          <w:color w:val="383638"/>
          <w:w w:val="112"/>
        </w:rPr>
        <w:t>e</w:t>
      </w:r>
      <w:r>
        <w:rPr>
          <w:color w:val="383638"/>
          <w:spacing w:val="24"/>
        </w:rPr>
        <w:t> </w:t>
      </w:r>
      <w:r>
        <w:rPr>
          <w:color w:val="383638"/>
          <w:spacing w:val="-1"/>
          <w:w w:val="109"/>
        </w:rPr>
        <w:t>Petitione</w:t>
      </w:r>
      <w:r>
        <w:rPr>
          <w:color w:val="383638"/>
          <w:w w:val="109"/>
        </w:rPr>
        <w:t>r</w:t>
      </w:r>
      <w:r>
        <w:rPr>
          <w:color w:val="383638"/>
          <w:spacing w:val="20"/>
        </w:rPr>
        <w:t> </w:t>
      </w:r>
      <w:r>
        <w:rPr>
          <w:color w:val="383638"/>
          <w:spacing w:val="-1"/>
          <w:w w:val="111"/>
        </w:rPr>
        <w:t>argue</w:t>
      </w:r>
      <w:r>
        <w:rPr>
          <w:color w:val="383638"/>
          <w:w w:val="111"/>
        </w:rPr>
        <w:t>s</w:t>
      </w:r>
      <w:r>
        <w:rPr>
          <w:color w:val="383638"/>
          <w:spacing w:val="8"/>
        </w:rPr>
        <w:t> </w:t>
      </w:r>
      <w:r>
        <w:rPr>
          <w:color w:val="383638"/>
          <w:w w:val="242"/>
        </w:rPr>
        <w:t>...</w:t>
      </w:r>
      <w:r>
        <w:rPr>
          <w:color w:val="383638"/>
          <w:spacing w:val="-64"/>
          <w:w w:val="242"/>
        </w:rPr>
        <w:t>.</w:t>
      </w:r>
      <w:r>
        <w:rPr>
          <w:color w:val="383638"/>
          <w:spacing w:val="-35"/>
          <w:w w:val="242"/>
        </w:rPr>
        <w:t>"</w:t>
      </w:r>
      <w:r>
        <w:rPr>
          <w:color w:val="383638"/>
          <w:w w:val="94"/>
        </w:rPr>
        <w:t>If</w:t>
      </w:r>
      <w:r>
        <w:rPr>
          <w:color w:val="383638"/>
          <w:spacing w:val="24"/>
        </w:rPr>
        <w:t> </w:t>
      </w:r>
      <w:r>
        <w:rPr>
          <w:color w:val="383638"/>
          <w:w w:val="107"/>
        </w:rPr>
        <w:t>you</w:t>
      </w:r>
      <w:r>
        <w:rPr>
          <w:color w:val="383638"/>
          <w:spacing w:val="18"/>
        </w:rPr>
        <w:t> </w:t>
      </w:r>
      <w:r>
        <w:rPr>
          <w:color w:val="383638"/>
          <w:w w:val="107"/>
        </w:rPr>
        <w:t>do</w:t>
      </w:r>
      <w:r>
        <w:rPr>
          <w:color w:val="383638"/>
          <w:spacing w:val="9"/>
        </w:rPr>
        <w:t> </w:t>
      </w:r>
      <w:r>
        <w:rPr>
          <w:color w:val="383638"/>
          <w:spacing w:val="-1"/>
          <w:w w:val="100"/>
        </w:rPr>
        <w:t>this </w:t>
      </w:r>
      <w:r>
        <w:rPr>
          <w:color w:val="383638"/>
          <w:w w:val="110"/>
        </w:rPr>
        <w:t>with</w:t>
      </w:r>
      <w:r>
        <w:rPr>
          <w:color w:val="383638"/>
          <w:spacing w:val="-27"/>
          <w:w w:val="110"/>
        </w:rPr>
        <w:t> </w:t>
      </w:r>
      <w:r>
        <w:rPr>
          <w:color w:val="383638"/>
          <w:w w:val="110"/>
        </w:rPr>
        <w:t>any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argument,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might</w:t>
      </w:r>
      <w:r>
        <w:rPr>
          <w:color w:val="383638"/>
          <w:spacing w:val="-21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-25"/>
          <w:w w:val="110"/>
        </w:rPr>
        <w:t> </w:t>
      </w:r>
      <w:r>
        <w:rPr>
          <w:color w:val="383638"/>
          <w:w w:val="110"/>
        </w:rPr>
        <w:t>well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start</w:t>
      </w:r>
      <w:r>
        <w:rPr>
          <w:color w:val="383638"/>
          <w:spacing w:val="-24"/>
          <w:w w:val="110"/>
        </w:rPr>
        <w:t> </w:t>
      </w:r>
      <w:r>
        <w:rPr>
          <w:color w:val="383638"/>
          <w:w w:val="110"/>
        </w:rPr>
        <w:t>every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argument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with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38"/>
          <w:w w:val="110"/>
        </w:rPr>
        <w:t> </w:t>
      </w:r>
      <w:r>
        <w:rPr>
          <w:color w:val="383638"/>
          <w:w w:val="110"/>
        </w:rPr>
        <w:t>state­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ment, for each argument in the brief is one of the  petitioner's arguments.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The entire document is labeled as "Brief for the Petitioner," so the court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knows that it will be made up of petitioner's arguments. Do not remind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the court of </w:t>
      </w:r>
      <w:r>
        <w:rPr>
          <w:color w:val="383638"/>
          <w:w w:val="110"/>
        </w:rPr>
        <w:t>your partisan slant by labeling individual arguments Within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51"/>
          <w:w w:val="110"/>
        </w:rPr>
        <w:t> </w:t>
      </w:r>
      <w:r>
        <w:rPr>
          <w:color w:val="383638"/>
          <w:w w:val="110"/>
        </w:rPr>
        <w:t>brief.</w:t>
      </w:r>
    </w:p>
    <w:p>
      <w:pPr>
        <w:pStyle w:val="BodyText"/>
        <w:spacing w:line="230" w:lineRule="auto" w:before="11"/>
        <w:ind w:left="683" w:right="117" w:firstLine="412"/>
        <w:jc w:val="both"/>
      </w:pPr>
      <w:r>
        <w:rPr>
          <w:color w:val="383638"/>
          <w:w w:val="105"/>
        </w:rPr>
        <w:t>Finally, if practical or ethical requirements require you to discuss cases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or arguments that do not support your client's case, you may decide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deemphasize them by including them in the middle of a point heading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section rather than highlighting them in a separate section. For example,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 the excerpt below, the writer of a respondent's brief in </w:t>
      </w:r>
      <w:r>
        <w:rPr>
          <w:i/>
          <w:color w:val="383638"/>
          <w:w w:val="110"/>
          <w:sz w:val="24"/>
        </w:rPr>
        <w:t>Minnesota v.</w:t>
      </w:r>
      <w:r>
        <w:rPr>
          <w:i/>
          <w:color w:val="383638"/>
          <w:spacing w:val="1"/>
          <w:w w:val="110"/>
          <w:sz w:val="24"/>
        </w:rPr>
        <w:t> </w:t>
      </w:r>
      <w:r>
        <w:rPr>
          <w:i/>
          <w:color w:val="383638"/>
          <w:w w:val="105"/>
          <w:sz w:val="24"/>
        </w:rPr>
        <w:t>Carter, </w:t>
      </w:r>
      <w:r>
        <w:rPr>
          <w:color w:val="383638"/>
          <w:w w:val="105"/>
        </w:rPr>
        <w:t>525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U.S. 83 (1998), is trying to emphasize connections to cases </w:t>
      </w:r>
      <w:r>
        <w:rPr>
          <w:rFonts w:ascii="Arial"/>
          <w:color w:val="383638"/>
          <w:w w:val="105"/>
          <w:sz w:val="22"/>
        </w:rPr>
        <w:t>in</w:t>
      </w:r>
      <w:r>
        <w:rPr>
          <w:rFonts w:ascii="Arial"/>
          <w:color w:val="383638"/>
          <w:spacing w:val="1"/>
          <w:w w:val="105"/>
          <w:sz w:val="22"/>
        </w:rPr>
        <w:t> </w:t>
      </w:r>
      <w:r>
        <w:rPr>
          <w:color w:val="383638"/>
          <w:w w:val="110"/>
        </w:rPr>
        <w:t>which the Court found that a privacy right existed and to deemphasize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cases in which the privacy right was found not to exist. Notice how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topic sentence (the first sentence in the paragraph) states the rule in a way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that is favorable to her clients before the paragraph discusses a case </w:t>
      </w:r>
      <w:r>
        <w:rPr>
          <w:rFonts w:ascii="Arial"/>
          <w:color w:val="383638"/>
          <w:w w:val="110"/>
          <w:sz w:val="22"/>
        </w:rPr>
        <w:t>in</w:t>
      </w:r>
      <w:r>
        <w:rPr>
          <w:rFonts w:ascii="Arial"/>
          <w:color w:val="383638"/>
          <w:spacing w:val="1"/>
          <w:w w:val="110"/>
          <w:sz w:val="22"/>
        </w:rPr>
        <w:t> </w:t>
      </w:r>
      <w:r>
        <w:rPr>
          <w:color w:val="383638"/>
          <w:w w:val="110"/>
        </w:rPr>
        <w:t>which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Court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found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no expectation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privacy:</w:t>
      </w:r>
    </w:p>
    <w:p>
      <w:pPr>
        <w:spacing w:line="230" w:lineRule="auto" w:before="161"/>
        <w:ind w:left="970" w:right="455" w:firstLine="75"/>
        <w:jc w:val="both"/>
        <w:rPr>
          <w:sz w:val="21"/>
        </w:rPr>
      </w:pPr>
      <w:r>
        <w:rPr>
          <w:color w:val="383638"/>
          <w:w w:val="115"/>
          <w:sz w:val="21"/>
        </w:rPr>
        <w:t>Indeed, this Court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has consistently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found  that legitimate expecta­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tions of privacy exist outside the home, as long as the circumstances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are those in which most people would normally expect to enjoy a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feeling of privacy. </w:t>
      </w:r>
      <w:r>
        <w:rPr>
          <w:rFonts w:ascii="Arial" w:hAnsi="Arial"/>
          <w:color w:val="383638"/>
          <w:w w:val="115"/>
          <w:sz w:val="19"/>
        </w:rPr>
        <w:t>QhQn, </w:t>
      </w:r>
      <w:r>
        <w:rPr>
          <w:color w:val="383638"/>
          <w:w w:val="115"/>
          <w:sz w:val="21"/>
        </w:rPr>
        <w:t>496 U</w:t>
      </w:r>
      <w:r>
        <w:rPr>
          <w:color w:val="6B6B6E"/>
          <w:w w:val="115"/>
          <w:sz w:val="21"/>
        </w:rPr>
        <w:t>.</w:t>
      </w:r>
      <w:r>
        <w:rPr>
          <w:color w:val="383638"/>
          <w:w w:val="115"/>
          <w:sz w:val="21"/>
        </w:rPr>
        <w:t>S. at 96-97. Accordingly, this Court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has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found that defendants did not have a legitimate expectation of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privacy in the contents of a car in which they were merely passen­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gers, and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where they had expressed no expectation of privacy in the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0"/>
          <w:sz w:val="21"/>
        </w:rPr>
        <w:t>areas</w:t>
      </w:r>
      <w:r>
        <w:rPr>
          <w:color w:val="383638"/>
          <w:spacing w:val="-13"/>
          <w:w w:val="110"/>
          <w:sz w:val="21"/>
        </w:rPr>
        <w:t> </w:t>
      </w:r>
      <w:r>
        <w:rPr>
          <w:color w:val="383638"/>
          <w:w w:val="110"/>
          <w:sz w:val="21"/>
        </w:rPr>
        <w:t>of the</w:t>
      </w:r>
      <w:r>
        <w:rPr>
          <w:color w:val="383638"/>
          <w:spacing w:val="21"/>
          <w:w w:val="110"/>
          <w:sz w:val="21"/>
        </w:rPr>
        <w:t> </w:t>
      </w:r>
      <w:r>
        <w:rPr>
          <w:color w:val="383638"/>
          <w:w w:val="110"/>
          <w:sz w:val="21"/>
        </w:rPr>
        <w:t>car</w:t>
      </w:r>
      <w:r>
        <w:rPr>
          <w:color w:val="383638"/>
          <w:spacing w:val="-10"/>
          <w:w w:val="110"/>
          <w:sz w:val="21"/>
        </w:rPr>
        <w:t> </w:t>
      </w:r>
      <w:r>
        <w:rPr>
          <w:color w:val="383638"/>
          <w:w w:val="110"/>
          <w:sz w:val="21"/>
        </w:rPr>
        <w:t>searched.</w:t>
      </w:r>
      <w:r>
        <w:rPr>
          <w:color w:val="383638"/>
          <w:spacing w:val="-11"/>
          <w:w w:val="110"/>
          <w:sz w:val="21"/>
        </w:rPr>
        <w:t> </w:t>
      </w:r>
      <w:r>
        <w:rPr>
          <w:color w:val="383638"/>
          <w:w w:val="110"/>
          <w:sz w:val="23"/>
          <w:u w:val="thick" w:color="383638"/>
        </w:rPr>
        <w:t>Rakas</w:t>
      </w:r>
      <w:r>
        <w:rPr>
          <w:color w:val="383638"/>
          <w:spacing w:val="-5"/>
          <w:w w:val="110"/>
          <w:sz w:val="23"/>
          <w:u w:val="thick" w:color="383638"/>
        </w:rPr>
        <w:t> </w:t>
      </w:r>
      <w:r>
        <w:rPr>
          <w:color w:val="383638"/>
          <w:w w:val="110"/>
          <w:sz w:val="21"/>
          <w:u w:val="thick" w:color="383638"/>
        </w:rPr>
        <w:t>v.</w:t>
      </w:r>
      <w:r>
        <w:rPr>
          <w:color w:val="383638"/>
          <w:spacing w:val="-3"/>
          <w:w w:val="110"/>
          <w:sz w:val="21"/>
          <w:u w:val="thick" w:color="383638"/>
        </w:rPr>
        <w:t> </w:t>
      </w:r>
      <w:r>
        <w:rPr>
          <w:color w:val="383638"/>
          <w:w w:val="110"/>
          <w:sz w:val="23"/>
          <w:u w:val="thick" w:color="383638"/>
        </w:rPr>
        <w:t>Illinois,</w:t>
      </w:r>
      <w:r>
        <w:rPr>
          <w:color w:val="383638"/>
          <w:spacing w:val="-19"/>
          <w:w w:val="110"/>
          <w:sz w:val="23"/>
        </w:rPr>
        <w:t> </w:t>
      </w:r>
      <w:r>
        <w:rPr>
          <w:color w:val="383638"/>
          <w:w w:val="110"/>
          <w:sz w:val="21"/>
        </w:rPr>
        <w:t>439</w:t>
      </w:r>
      <w:r>
        <w:rPr>
          <w:color w:val="383638"/>
          <w:spacing w:val="38"/>
          <w:w w:val="110"/>
          <w:sz w:val="21"/>
        </w:rPr>
        <w:t> </w:t>
      </w:r>
      <w:r>
        <w:rPr>
          <w:color w:val="383638"/>
          <w:w w:val="110"/>
          <w:sz w:val="21"/>
        </w:rPr>
        <w:t>U.S.</w:t>
      </w:r>
      <w:r>
        <w:rPr>
          <w:color w:val="383638"/>
          <w:spacing w:val="-26"/>
          <w:w w:val="110"/>
          <w:sz w:val="21"/>
        </w:rPr>
        <w:t> </w:t>
      </w:r>
      <w:r>
        <w:rPr>
          <w:color w:val="383638"/>
          <w:w w:val="110"/>
          <w:sz w:val="21"/>
        </w:rPr>
        <w:t>128,</w:t>
      </w:r>
      <w:r>
        <w:rPr>
          <w:color w:val="383638"/>
          <w:spacing w:val="-30"/>
          <w:w w:val="110"/>
          <w:sz w:val="21"/>
        </w:rPr>
        <w:t> </w:t>
      </w:r>
      <w:r>
        <w:rPr>
          <w:color w:val="383638"/>
          <w:w w:val="110"/>
          <w:sz w:val="21"/>
        </w:rPr>
        <w:t>148-49</w:t>
      </w:r>
      <w:r>
        <w:rPr>
          <w:color w:val="383638"/>
          <w:spacing w:val="-12"/>
          <w:w w:val="110"/>
          <w:sz w:val="21"/>
        </w:rPr>
        <w:t> </w:t>
      </w:r>
      <w:r>
        <w:rPr>
          <w:color w:val="383638"/>
          <w:w w:val="110"/>
          <w:sz w:val="21"/>
        </w:rPr>
        <w:t>(1978).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spacing w:val="-1"/>
          <w:w w:val="115"/>
          <w:sz w:val="21"/>
        </w:rPr>
        <w:t>The </w:t>
      </w:r>
      <w:r>
        <w:rPr>
          <w:color w:val="383638"/>
          <w:spacing w:val="-1"/>
          <w:w w:val="115"/>
          <w:sz w:val="22"/>
        </w:rPr>
        <w:t>.Raki!s </w:t>
      </w:r>
      <w:r>
        <w:rPr>
          <w:color w:val="383638"/>
          <w:spacing w:val="-1"/>
          <w:w w:val="115"/>
          <w:sz w:val="21"/>
        </w:rPr>
        <w:t>Court specifically </w:t>
      </w:r>
      <w:r>
        <w:rPr>
          <w:color w:val="383638"/>
          <w:w w:val="115"/>
          <w:sz w:val="21"/>
        </w:rPr>
        <w:t>refused to make a finding as to whether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guests in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houses or apartments would </w:t>
      </w:r>
      <w:r>
        <w:rPr>
          <w:rFonts w:ascii="Arial" w:hAnsi="Arial"/>
          <w:color w:val="383638"/>
          <w:w w:val="115"/>
          <w:sz w:val="19"/>
        </w:rPr>
        <w:t>be </w:t>
      </w:r>
      <w:r>
        <w:rPr>
          <w:color w:val="383638"/>
          <w:w w:val="115"/>
          <w:sz w:val="21"/>
        </w:rPr>
        <w:t>treated similarly, noting that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"cars are not to be treated identically with houses or apartments for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Fourth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Amendment</w:t>
      </w:r>
      <w:r>
        <w:rPr>
          <w:color w:val="383638"/>
          <w:spacing w:val="18"/>
          <w:w w:val="115"/>
          <w:sz w:val="21"/>
        </w:rPr>
        <w:t> </w:t>
      </w:r>
      <w:r>
        <w:rPr>
          <w:color w:val="383638"/>
          <w:w w:val="115"/>
          <w:sz w:val="21"/>
        </w:rPr>
        <w:t>purposes."</w:t>
      </w:r>
      <w:r>
        <w:rPr>
          <w:color w:val="383638"/>
          <w:spacing w:val="-29"/>
          <w:w w:val="115"/>
          <w:sz w:val="21"/>
        </w:rPr>
        <w:t> </w:t>
      </w:r>
      <w:r>
        <w:rPr>
          <w:rFonts w:ascii="Arial" w:hAnsi="Arial"/>
          <w:color w:val="383638"/>
          <w:w w:val="115"/>
          <w:sz w:val="22"/>
        </w:rPr>
        <w:t>Isl.</w:t>
      </w:r>
      <w:r>
        <w:rPr>
          <w:rFonts w:ascii="Arial" w:hAnsi="Arial"/>
          <w:color w:val="383638"/>
          <w:spacing w:val="-35"/>
          <w:w w:val="115"/>
          <w:sz w:val="22"/>
        </w:rPr>
        <w:t> </w:t>
      </w:r>
      <w:r>
        <w:rPr>
          <w:b/>
          <w:color w:val="383638"/>
          <w:w w:val="115"/>
          <w:sz w:val="19"/>
        </w:rPr>
        <w:t>at</w:t>
      </w:r>
      <w:r>
        <w:rPr>
          <w:b/>
          <w:color w:val="383638"/>
          <w:spacing w:val="35"/>
          <w:w w:val="115"/>
          <w:sz w:val="19"/>
        </w:rPr>
        <w:t> </w:t>
      </w:r>
      <w:r>
        <w:rPr>
          <w:b/>
          <w:color w:val="383638"/>
          <w:w w:val="115"/>
          <w:sz w:val="20"/>
        </w:rPr>
        <w:t>148</w:t>
      </w:r>
      <w:r>
        <w:rPr>
          <w:b/>
          <w:color w:val="383638"/>
          <w:spacing w:val="31"/>
          <w:w w:val="115"/>
          <w:sz w:val="20"/>
        </w:rPr>
        <w:t> </w:t>
      </w:r>
      <w:r>
        <w:rPr>
          <w:color w:val="383638"/>
          <w:w w:val="115"/>
          <w:sz w:val="21"/>
        </w:rPr>
        <w:t>(citations</w:t>
      </w:r>
      <w:r>
        <w:rPr>
          <w:color w:val="383638"/>
          <w:spacing w:val="-5"/>
          <w:w w:val="115"/>
          <w:sz w:val="21"/>
        </w:rPr>
        <w:t> </w:t>
      </w:r>
      <w:r>
        <w:rPr>
          <w:color w:val="383638"/>
          <w:w w:val="115"/>
          <w:sz w:val="21"/>
        </w:rPr>
        <w:t>omitted).</w:t>
      </w:r>
    </w:p>
    <w:p>
      <w:pPr>
        <w:pStyle w:val="BodyText"/>
        <w:spacing w:line="232" w:lineRule="auto" w:before="140"/>
        <w:ind w:left="558" w:right="135" w:firstLine="12"/>
        <w:jc w:val="both"/>
      </w:pPr>
      <w:r>
        <w:rPr>
          <w:color w:val="383638"/>
          <w:w w:val="110"/>
        </w:rPr>
        <w:t>Of  course, "hiding" a contrary authority  in  the  middle  of  a  paragraph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or section will not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turn a losing case into a winner</w:t>
      </w:r>
      <w:r>
        <w:rPr>
          <w:color w:val="5B5B5D"/>
          <w:w w:val="110"/>
        </w:rPr>
        <w:t>. </w:t>
      </w:r>
      <w:r>
        <w:rPr>
          <w:color w:val="383638"/>
          <w:w w:val="110"/>
        </w:rPr>
        <w:t>You must also show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why</w:t>
      </w:r>
      <w:r>
        <w:rPr>
          <w:color w:val="383638"/>
          <w:spacing w:val="44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40"/>
          <w:w w:val="110"/>
        </w:rPr>
        <w:t> </w:t>
      </w:r>
      <w:r>
        <w:rPr>
          <w:color w:val="383638"/>
          <w:w w:val="110"/>
        </w:rPr>
        <w:t>substance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argument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more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effective.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Using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positions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of</w:t>
      </w:r>
    </w:p>
    <w:p>
      <w:pPr>
        <w:spacing w:after="0" w:line="232" w:lineRule="auto"/>
        <w:jc w:val="both"/>
        <w:sectPr>
          <w:headerReference w:type="even" r:id="rId291"/>
          <w:pgSz w:w="9700" w:h="13980"/>
          <w:pgMar w:header="582" w:footer="0" w:top="1220" w:bottom="0" w:left="1340" w:right="80"/>
          <w:pgNumType w:start="258"/>
        </w:sectPr>
      </w:pPr>
    </w:p>
    <w:p>
      <w:pPr>
        <w:spacing w:line="426" w:lineRule="exact" w:before="0"/>
        <w:ind w:left="-10" w:right="0" w:firstLine="0"/>
        <w:jc w:val="left"/>
        <w:rPr>
          <w:rFonts w:ascii="Arial"/>
          <w:sz w:val="41"/>
        </w:rPr>
      </w:pPr>
      <w:r>
        <w:rPr>
          <w:rFonts w:ascii="Arial"/>
          <w:color w:val="383638"/>
          <w:w w:val="56"/>
          <w:sz w:val="41"/>
        </w:rPr>
        <w:t>T</w:t>
      </w:r>
    </w:p>
    <w:p>
      <w:pPr>
        <w:tabs>
          <w:tab w:pos="8469" w:val="right" w:leader="none"/>
        </w:tabs>
        <w:spacing w:before="63"/>
        <w:ind w:left="4793" w:right="0" w:firstLine="0"/>
        <w:jc w:val="left"/>
        <w:rPr>
          <w:b/>
          <w:sz w:val="19"/>
        </w:rPr>
      </w:pPr>
      <w:r>
        <w:rPr>
          <w:rFonts w:ascii="Arial"/>
          <w:color w:val="383638"/>
          <w:w w:val="95"/>
          <w:sz w:val="17"/>
        </w:rPr>
        <w:t>11</w:t>
      </w:r>
      <w:r>
        <w:rPr>
          <w:rFonts w:ascii="Arial"/>
          <w:color w:val="383638"/>
          <w:spacing w:val="45"/>
          <w:sz w:val="17"/>
        </w:rPr>
        <w:t> </w:t>
      </w:r>
      <w:r>
        <w:rPr>
          <w:rFonts w:ascii="Arial"/>
          <w:color w:val="383638"/>
          <w:w w:val="95"/>
          <w:sz w:val="17"/>
        </w:rPr>
        <w:t>.4</w:t>
      </w:r>
      <w:r>
        <w:rPr>
          <w:rFonts w:ascii="Arial"/>
          <w:color w:val="383638"/>
          <w:spacing w:val="123"/>
          <w:sz w:val="17"/>
        </w:rPr>
        <w:t> </w:t>
      </w:r>
      <w:r>
        <w:rPr>
          <w:rFonts w:ascii="Arial"/>
          <w:color w:val="383638"/>
          <w:w w:val="95"/>
          <w:sz w:val="17"/>
        </w:rPr>
        <w:t>Exploiting</w:t>
      </w:r>
      <w:r>
        <w:rPr>
          <w:rFonts w:ascii="Arial"/>
          <w:color w:val="383638"/>
          <w:spacing w:val="-7"/>
          <w:w w:val="95"/>
          <w:sz w:val="17"/>
        </w:rPr>
        <w:t> </w:t>
      </w:r>
      <w:r>
        <w:rPr>
          <w:rFonts w:ascii="Arial"/>
          <w:color w:val="383638"/>
          <w:w w:val="95"/>
          <w:sz w:val="17"/>
        </w:rPr>
        <w:t>Positions</w:t>
      </w:r>
      <w:r>
        <w:rPr>
          <w:rFonts w:ascii="Arial"/>
          <w:color w:val="383638"/>
          <w:spacing w:val="8"/>
          <w:w w:val="95"/>
          <w:sz w:val="17"/>
        </w:rPr>
        <w:t> </w:t>
      </w:r>
      <w:r>
        <w:rPr>
          <w:rFonts w:ascii="Arial"/>
          <w:color w:val="383638"/>
          <w:w w:val="95"/>
          <w:sz w:val="17"/>
        </w:rPr>
        <w:t>of</w:t>
      </w:r>
      <w:r>
        <w:rPr>
          <w:rFonts w:ascii="Arial"/>
          <w:color w:val="383638"/>
          <w:spacing w:val="18"/>
          <w:w w:val="95"/>
          <w:sz w:val="17"/>
        </w:rPr>
        <w:t> </w:t>
      </w:r>
      <w:r>
        <w:rPr>
          <w:rFonts w:ascii="Arial"/>
          <w:color w:val="383638"/>
          <w:w w:val="95"/>
          <w:sz w:val="17"/>
        </w:rPr>
        <w:t>Emphasis</w:t>
        <w:tab/>
      </w:r>
      <w:r>
        <w:rPr>
          <w:b/>
          <w:color w:val="383638"/>
          <w:w w:val="95"/>
          <w:sz w:val="19"/>
        </w:rPr>
        <w:t>259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line="232" w:lineRule="auto" w:before="1"/>
        <w:ind w:left="377" w:right="806" w:hanging="1"/>
        <w:jc w:val="both"/>
      </w:pPr>
      <w:r>
        <w:rPr>
          <w:color w:val="383638"/>
          <w:w w:val="105"/>
        </w:rPr>
        <w:t>emphasis and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deemphasis simply makes it easier for the reader to see and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understand the validity of your points. In the example above, the writer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takes care to emphasize the Court's distinction between cars and houses,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and ends the paragraph on that point, rather than on the negative point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about</w:t>
      </w:r>
      <w:r>
        <w:rPr>
          <w:color w:val="383638"/>
          <w:spacing w:val="-3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47"/>
          <w:w w:val="105"/>
        </w:rPr>
        <w:t> </w:t>
      </w:r>
      <w:r>
        <w:rPr>
          <w:color w:val="383638"/>
          <w:w w:val="105"/>
        </w:rPr>
        <w:t>passengers'</w:t>
      </w:r>
      <w:r>
        <w:rPr>
          <w:color w:val="383638"/>
          <w:spacing w:val="-9"/>
          <w:w w:val="105"/>
        </w:rPr>
        <w:t> </w:t>
      </w:r>
      <w:r>
        <w:rPr>
          <w:color w:val="383638"/>
          <w:w w:val="105"/>
        </w:rPr>
        <w:t>expectations</w:t>
      </w:r>
      <w:r>
        <w:rPr>
          <w:color w:val="383638"/>
          <w:spacing w:val="-12"/>
          <w:w w:val="105"/>
        </w:rPr>
        <w:t> </w:t>
      </w:r>
      <w:r>
        <w:rPr>
          <w:color w:val="383638"/>
          <w:w w:val="105"/>
        </w:rPr>
        <w:t>of</w:t>
      </w:r>
      <w:r>
        <w:rPr>
          <w:color w:val="383638"/>
          <w:spacing w:val="19"/>
          <w:w w:val="105"/>
        </w:rPr>
        <w:t> </w:t>
      </w:r>
      <w:r>
        <w:rPr>
          <w:color w:val="383638"/>
          <w:w w:val="105"/>
        </w:rPr>
        <w:t>privacy.</w:t>
      </w:r>
    </w:p>
    <w:p>
      <w:pPr>
        <w:pStyle w:val="BodyText"/>
        <w:spacing w:before="5"/>
        <w:rPr>
          <w:sz w:val="34"/>
        </w:rPr>
      </w:pPr>
    </w:p>
    <w:p>
      <w:pPr>
        <w:spacing w:before="0"/>
        <w:ind w:left="711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383638"/>
          <w:w w:val="105"/>
          <w:sz w:val="27"/>
        </w:rPr>
        <w:t>11.4.3</w:t>
      </w:r>
    </w:p>
    <w:p>
      <w:pPr>
        <w:spacing w:before="64"/>
        <w:ind w:left="698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color w:val="383638"/>
          <w:sz w:val="21"/>
        </w:rPr>
        <w:t>PERSUASIVE</w:t>
      </w:r>
      <w:r>
        <w:rPr>
          <w:rFonts w:ascii="Arial"/>
          <w:b/>
          <w:color w:val="383638"/>
          <w:spacing w:val="28"/>
          <w:sz w:val="21"/>
        </w:rPr>
        <w:t> </w:t>
      </w:r>
      <w:r>
        <w:rPr>
          <w:rFonts w:ascii="Arial"/>
          <w:b/>
          <w:color w:val="383638"/>
          <w:sz w:val="21"/>
        </w:rPr>
        <w:t>PARAGRAPH</w:t>
      </w:r>
      <w:r>
        <w:rPr>
          <w:rFonts w:ascii="Arial"/>
          <w:b/>
          <w:color w:val="383638"/>
          <w:spacing w:val="22"/>
          <w:sz w:val="21"/>
        </w:rPr>
        <w:t> </w:t>
      </w:r>
      <w:r>
        <w:rPr>
          <w:rFonts w:ascii="Arial"/>
          <w:b/>
          <w:color w:val="383638"/>
          <w:sz w:val="21"/>
        </w:rPr>
        <w:t>STRUCTURE</w:t>
      </w:r>
    </w:p>
    <w:p>
      <w:pPr>
        <w:pStyle w:val="BodyText"/>
        <w:spacing w:line="235" w:lineRule="auto" w:before="150"/>
        <w:ind w:left="384" w:right="681" w:firstLine="316"/>
        <w:jc w:val="right"/>
      </w:pPr>
      <w:r>
        <w:rPr>
          <w:color w:val="383638"/>
          <w:w w:val="110"/>
        </w:rPr>
        <w:t>Within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argument,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review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topic sentences to  make  sure  that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you are not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wasting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 first sentence in  a  paragraph on  a case citation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or</w:t>
      </w:r>
      <w:r>
        <w:rPr>
          <w:color w:val="383638"/>
          <w:spacing w:val="-25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description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authority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case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facts.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Instead,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exploit these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positions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emphasis by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using them to state rules or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make favorable assertions about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the result 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want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court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reach. If 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must deal with a negative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authority, 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may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wish to sandwich it between positive assertions. (See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Chapter Ten for more information about writing effective topicsentences.)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In addition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 considering structure within  paragraphs, you can  use a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short paragraph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create a position of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emphasis. Although conventional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wisdom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frowns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on</w:t>
      </w:r>
      <w:r>
        <w:rPr>
          <w:color w:val="383638"/>
          <w:spacing w:val="50"/>
          <w:w w:val="110"/>
        </w:rPr>
        <w:t> </w:t>
      </w:r>
      <w:r>
        <w:rPr>
          <w:color w:val="383638"/>
          <w:w w:val="110"/>
        </w:rPr>
        <w:t>one-sentence</w:t>
      </w:r>
      <w:r>
        <w:rPr>
          <w:color w:val="383638"/>
          <w:spacing w:val="35"/>
          <w:w w:val="110"/>
        </w:rPr>
        <w:t> </w:t>
      </w:r>
      <w:r>
        <w:rPr>
          <w:color w:val="383638"/>
          <w:w w:val="110"/>
        </w:rPr>
        <w:t>paragraphs,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one-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or</w:t>
      </w:r>
      <w:r>
        <w:rPr>
          <w:color w:val="383638"/>
          <w:spacing w:val="27"/>
          <w:w w:val="110"/>
        </w:rPr>
        <w:t> </w:t>
      </w:r>
      <w:r>
        <w:rPr>
          <w:color w:val="383638"/>
          <w:w w:val="110"/>
        </w:rPr>
        <w:t>two-sentence</w:t>
      </w:r>
      <w:r>
        <w:rPr>
          <w:color w:val="383638"/>
          <w:spacing w:val="39"/>
          <w:w w:val="110"/>
        </w:rPr>
        <w:t> </w:t>
      </w:r>
      <w:r>
        <w:rPr>
          <w:color w:val="383638"/>
          <w:w w:val="110"/>
        </w:rPr>
        <w:t>para­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graphs can, 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rare occasions,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effectively draw attention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 statement.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05"/>
        </w:rPr>
        <w:t>Conversely, you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can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bury a negative point in a long paragraph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to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lessen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its</w:t>
      </w:r>
      <w:r>
        <w:rPr>
          <w:color w:val="383638"/>
          <w:spacing w:val="-58"/>
          <w:w w:val="105"/>
        </w:rPr>
        <w:t> </w:t>
      </w:r>
      <w:r>
        <w:rPr>
          <w:color w:val="383638"/>
          <w:w w:val="110"/>
        </w:rPr>
        <w:t>impact.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Take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care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when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using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this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tactic,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however;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if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paragraph</w:t>
      </w:r>
      <w:r>
        <w:rPr>
          <w:color w:val="383638"/>
          <w:spacing w:val="25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so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long</w:t>
      </w:r>
      <w:r>
        <w:rPr>
          <w:color w:val="383638"/>
          <w:spacing w:val="-28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  <w:sz w:val="21"/>
        </w:rPr>
        <w:t>it</w:t>
      </w:r>
      <w:r>
        <w:rPr>
          <w:color w:val="383638"/>
          <w:spacing w:val="5"/>
          <w:w w:val="110"/>
          <w:sz w:val="21"/>
        </w:rPr>
        <w:t> </w:t>
      </w:r>
      <w:r>
        <w:rPr>
          <w:color w:val="383638"/>
          <w:w w:val="110"/>
        </w:rPr>
        <w:t>distracts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or annoys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reader,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  <w:sz w:val="22"/>
        </w:rPr>
        <w:t>will</w:t>
      </w:r>
      <w:r>
        <w:rPr>
          <w:color w:val="383638"/>
          <w:spacing w:val="-11"/>
          <w:w w:val="110"/>
          <w:sz w:val="22"/>
        </w:rPr>
        <w:t> </w:t>
      </w:r>
      <w:r>
        <w:rPr>
          <w:color w:val="383638"/>
          <w:w w:val="110"/>
        </w:rPr>
        <w:t>cancel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out</w:t>
      </w:r>
      <w:r>
        <w:rPr>
          <w:color w:val="383638"/>
          <w:spacing w:val="34"/>
          <w:w w:val="110"/>
        </w:rPr>
        <w:t> </w:t>
      </w:r>
      <w:r>
        <w:rPr>
          <w:color w:val="383638"/>
          <w:w w:val="110"/>
        </w:rPr>
        <w:t>any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benefit</w:t>
      </w:r>
    </w:p>
    <w:p>
      <w:pPr>
        <w:pStyle w:val="BodyText"/>
        <w:spacing w:line="242" w:lineRule="exact"/>
        <w:ind w:left="396"/>
        <w:jc w:val="both"/>
      </w:pPr>
      <w:r>
        <w:rPr>
          <w:color w:val="383638"/>
          <w:w w:val="105"/>
        </w:rPr>
        <w:t>from</w:t>
      </w:r>
      <w:r>
        <w:rPr>
          <w:color w:val="383638"/>
          <w:spacing w:val="13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16"/>
          <w:w w:val="105"/>
        </w:rPr>
        <w:t> </w:t>
      </w:r>
      <w:r>
        <w:rPr>
          <w:color w:val="383638"/>
          <w:w w:val="105"/>
        </w:rPr>
        <w:t>persuasive</w:t>
      </w:r>
      <w:r>
        <w:rPr>
          <w:color w:val="383638"/>
          <w:spacing w:val="23"/>
          <w:w w:val="105"/>
        </w:rPr>
        <w:t> </w:t>
      </w:r>
      <w:r>
        <w:rPr>
          <w:color w:val="383638"/>
          <w:w w:val="105"/>
        </w:rPr>
        <w:t>technique.</w:t>
      </w:r>
    </w:p>
    <w:p>
      <w:pPr>
        <w:pStyle w:val="BodyText"/>
        <w:spacing w:line="235" w:lineRule="auto" w:before="2"/>
        <w:ind w:left="405" w:right="670" w:firstLine="321"/>
        <w:jc w:val="both"/>
      </w:pPr>
      <w:r>
        <w:rPr>
          <w:color w:val="383638"/>
          <w:w w:val="115"/>
        </w:rPr>
        <w:t>In this example, the writer applies the law to the facts in one long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paragraph that provides the details to establish that respondents did not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manifest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subjective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expectation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privacy</w:t>
      </w:r>
      <w:r>
        <w:rPr>
          <w:color w:val="575759"/>
          <w:w w:val="110"/>
        </w:rPr>
        <w:t>:</w:t>
      </w:r>
    </w:p>
    <w:p>
      <w:pPr>
        <w:spacing w:before="67"/>
        <w:ind w:left="366" w:right="0" w:firstLine="0"/>
        <w:jc w:val="both"/>
        <w:rPr>
          <w:sz w:val="16"/>
        </w:rPr>
      </w:pPr>
      <w:r>
        <w:rPr>
          <w:rFonts w:ascii="Arial"/>
          <w:color w:val="383638"/>
          <w:w w:val="90"/>
          <w:sz w:val="32"/>
          <w:u w:val="thick" w:color="383638"/>
        </w:rPr>
        <w:t>-V</w:t>
      </w:r>
      <w:r>
        <w:rPr>
          <w:rFonts w:ascii="Arial"/>
          <w:color w:val="383638"/>
          <w:spacing w:val="-24"/>
          <w:w w:val="90"/>
          <w:sz w:val="32"/>
          <w:u w:val="thick" w:color="383638"/>
        </w:rPr>
        <w:t> </w:t>
      </w:r>
      <w:r>
        <w:rPr>
          <w:color w:val="383638"/>
          <w:w w:val="90"/>
          <w:sz w:val="16"/>
          <w:u w:val="thick" w:color="383638"/>
        </w:rPr>
        <w:t>BAD</w:t>
      </w:r>
      <w:r>
        <w:rPr>
          <w:color w:val="383638"/>
          <w:spacing w:val="11"/>
          <w:w w:val="90"/>
          <w:sz w:val="16"/>
          <w:u w:val="thick" w:color="383638"/>
        </w:rPr>
        <w:t> </w:t>
      </w:r>
      <w:r>
        <w:rPr>
          <w:color w:val="383638"/>
          <w:w w:val="90"/>
          <w:sz w:val="16"/>
          <w:u w:val="thick" w:color="383638"/>
        </w:rPr>
        <w:t>EXAMPLE</w:t>
      </w:r>
    </w:p>
    <w:p>
      <w:pPr>
        <w:spacing w:line="228" w:lineRule="auto" w:before="44"/>
        <w:ind w:left="723" w:right="980" w:firstLine="5"/>
        <w:jc w:val="both"/>
        <w:rPr>
          <w:b/>
          <w:sz w:val="21"/>
        </w:rPr>
      </w:pPr>
      <w:r>
        <w:rPr>
          <w:b/>
          <w:color w:val="383638"/>
          <w:w w:val="110"/>
          <w:sz w:val="21"/>
        </w:rPr>
        <w:t>In the case at bar, both Respondents' behavior and their location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within the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apartment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indicate that they had </w:t>
      </w:r>
      <w:r>
        <w:rPr>
          <w:color w:val="383638"/>
          <w:w w:val="110"/>
          <w:sz w:val="22"/>
        </w:rPr>
        <w:t>no </w:t>
      </w:r>
      <w:r>
        <w:rPr>
          <w:b/>
          <w:color w:val="383638"/>
          <w:w w:val="110"/>
          <w:sz w:val="21"/>
        </w:rPr>
        <w:t>actual, subjective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expectation of  privacy</w:t>
      </w:r>
      <w:r>
        <w:rPr>
          <w:b/>
          <w:color w:val="575759"/>
          <w:w w:val="110"/>
          <w:sz w:val="21"/>
        </w:rPr>
        <w:t>. </w:t>
      </w:r>
      <w:r>
        <w:rPr>
          <w:b/>
          <w:color w:val="383638"/>
          <w:w w:val="110"/>
          <w:sz w:val="21"/>
        </w:rPr>
        <w:t>Respondents manifested at most a hope that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no one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would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observe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their unlawful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pursuits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inside Thompson's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apartment.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Unlike the defendant in </w:t>
      </w:r>
      <w:r>
        <w:rPr>
          <w:b/>
          <w:color w:val="383638"/>
          <w:w w:val="110"/>
          <w:sz w:val="24"/>
        </w:rPr>
        <w:t>Katz, </w:t>
      </w:r>
      <w:r>
        <w:rPr>
          <w:b/>
          <w:color w:val="383638"/>
          <w:w w:val="110"/>
          <w:sz w:val="21"/>
        </w:rPr>
        <w:t>Respondents  introduced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2"/>
        </w:rPr>
        <w:t>no </w:t>
      </w:r>
      <w:r>
        <w:rPr>
          <w:b/>
          <w:color w:val="383638"/>
          <w:w w:val="110"/>
          <w:sz w:val="21"/>
        </w:rPr>
        <w:t>evidence of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conduct that demonstrated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an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intent to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keep their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activity private. Nothing in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 record indicates  Respondents took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any</w:t>
      </w:r>
      <w:r>
        <w:rPr>
          <w:b/>
          <w:color w:val="383638"/>
          <w:spacing w:val="-17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action</w:t>
      </w:r>
      <w:r>
        <w:rPr>
          <w:b/>
          <w:color w:val="383638"/>
          <w:spacing w:val="1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to</w:t>
      </w:r>
      <w:r>
        <w:rPr>
          <w:b/>
          <w:color w:val="383638"/>
          <w:spacing w:val="3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preserve</w:t>
      </w:r>
      <w:r>
        <w:rPr>
          <w:b/>
          <w:color w:val="383638"/>
          <w:spacing w:val="2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their</w:t>
      </w:r>
      <w:r>
        <w:rPr>
          <w:b/>
          <w:color w:val="383638"/>
          <w:spacing w:val="-2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privacy.</w:t>
      </w:r>
      <w:r>
        <w:rPr>
          <w:b/>
          <w:color w:val="383638"/>
          <w:spacing w:val="2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Though</w:t>
      </w:r>
      <w:r>
        <w:rPr>
          <w:b/>
          <w:color w:val="383638"/>
          <w:spacing w:val="1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</w:t>
      </w:r>
      <w:r>
        <w:rPr>
          <w:b/>
          <w:color w:val="383638"/>
          <w:spacing w:val="2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blinds</w:t>
      </w:r>
      <w:r>
        <w:rPr>
          <w:b/>
          <w:color w:val="383638"/>
          <w:spacing w:val="7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were</w:t>
      </w:r>
      <w:r>
        <w:rPr>
          <w:b/>
          <w:color w:val="383638"/>
          <w:spacing w:val="2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drawn</w:t>
      </w:r>
      <w:r>
        <w:rPr>
          <w:b/>
          <w:color w:val="575759"/>
          <w:w w:val="110"/>
          <w:sz w:val="21"/>
        </w:rPr>
        <w:t>,</w:t>
      </w:r>
    </w:p>
    <w:p>
      <w:pPr>
        <w:spacing w:line="242" w:lineRule="exact" w:before="0"/>
        <w:ind w:left="738" w:right="0" w:firstLine="0"/>
        <w:jc w:val="both"/>
        <w:rPr>
          <w:b/>
          <w:sz w:val="21"/>
        </w:rPr>
      </w:pPr>
      <w:r>
        <w:rPr>
          <w:b/>
          <w:color w:val="383638"/>
          <w:w w:val="105"/>
          <w:sz w:val="21"/>
        </w:rPr>
        <w:t>there</w:t>
      </w:r>
      <w:r>
        <w:rPr>
          <w:b/>
          <w:color w:val="383638"/>
          <w:spacing w:val="7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is</w:t>
      </w:r>
      <w:r>
        <w:rPr>
          <w:b/>
          <w:color w:val="383638"/>
          <w:spacing w:val="12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no </w:t>
      </w:r>
      <w:r>
        <w:rPr>
          <w:b/>
          <w:color w:val="383638"/>
          <w:spacing w:val="5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indication</w:t>
      </w:r>
      <w:r>
        <w:rPr>
          <w:b/>
          <w:color w:val="383638"/>
          <w:spacing w:val="27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that</w:t>
      </w:r>
      <w:r>
        <w:rPr>
          <w:b/>
          <w:color w:val="383638"/>
          <w:spacing w:val="22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Respondents</w:t>
      </w:r>
      <w:r>
        <w:rPr>
          <w:b/>
          <w:color w:val="383638"/>
          <w:spacing w:val="19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drew</w:t>
      </w:r>
      <w:r>
        <w:rPr>
          <w:b/>
          <w:color w:val="383638"/>
          <w:spacing w:val="24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them.</w:t>
      </w:r>
      <w:r>
        <w:rPr>
          <w:b/>
          <w:color w:val="383638"/>
          <w:spacing w:val="6"/>
          <w:w w:val="105"/>
          <w:sz w:val="21"/>
        </w:rPr>
        <w:t> </w:t>
      </w:r>
      <w:r>
        <w:rPr>
          <w:rFonts w:ascii="Arial" w:hAnsi="Arial"/>
          <w:b/>
          <w:color w:val="383638"/>
          <w:w w:val="105"/>
          <w:sz w:val="29"/>
        </w:rPr>
        <w:t>s«</w:t>
      </w:r>
      <w:r>
        <w:rPr>
          <w:rFonts w:ascii="Arial" w:hAnsi="Arial"/>
          <w:b/>
          <w:color w:val="383638"/>
          <w:spacing w:val="-43"/>
          <w:w w:val="105"/>
          <w:sz w:val="29"/>
        </w:rPr>
        <w:t> </w:t>
      </w:r>
      <w:r>
        <w:rPr>
          <w:b/>
          <w:color w:val="383638"/>
          <w:w w:val="105"/>
          <w:sz w:val="21"/>
        </w:rPr>
        <w:t>Record</w:t>
      </w:r>
      <w:r>
        <w:rPr>
          <w:b/>
          <w:color w:val="383638"/>
          <w:spacing w:val="8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at</w:t>
      </w:r>
      <w:r>
        <w:rPr>
          <w:b/>
          <w:color w:val="383638"/>
          <w:spacing w:val="5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E-2</w:t>
      </w:r>
      <w:r>
        <w:rPr>
          <w:b/>
          <w:color w:val="575759"/>
          <w:w w:val="105"/>
          <w:sz w:val="21"/>
        </w:rPr>
        <w:t>,</w:t>
      </w:r>
    </w:p>
    <w:p>
      <w:pPr>
        <w:spacing w:line="230" w:lineRule="auto" w:before="0"/>
        <w:ind w:left="743" w:right="916" w:firstLine="4"/>
        <w:jc w:val="both"/>
        <w:rPr>
          <w:b/>
          <w:sz w:val="21"/>
        </w:rPr>
      </w:pPr>
      <w:r>
        <w:rPr>
          <w:b/>
          <w:color w:val="383638"/>
          <w:w w:val="110"/>
          <w:sz w:val="21"/>
        </w:rPr>
        <w:t>E-10. On the night in question, Respondents were present in a first­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floor apartment that had several windows at ground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level. </w:t>
      </w:r>
      <w:r>
        <w:rPr>
          <w:color w:val="383638"/>
          <w:w w:val="110"/>
          <w:sz w:val="22"/>
        </w:rPr>
        <w:t>Record</w:t>
      </w:r>
      <w:r>
        <w:rPr>
          <w:color w:val="383638"/>
          <w:spacing w:val="1"/>
          <w:w w:val="110"/>
          <w:sz w:val="22"/>
        </w:rPr>
        <w:t> </w:t>
      </w:r>
      <w:r>
        <w:rPr>
          <w:b/>
          <w:color w:val="383638"/>
          <w:w w:val="110"/>
          <w:sz w:val="21"/>
        </w:rPr>
        <w:t>G-26. The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windows faced a public area that apartment residents and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nonresidents frequented. Record </w:t>
      </w:r>
      <w:r>
        <w:rPr>
          <w:color w:val="383638"/>
          <w:w w:val="110"/>
          <w:sz w:val="20"/>
        </w:rPr>
        <w:t>G-69, </w:t>
      </w:r>
      <w:r>
        <w:rPr>
          <w:b/>
          <w:color w:val="383638"/>
          <w:w w:val="110"/>
          <w:sz w:val="21"/>
        </w:rPr>
        <w:t>G-70</w:t>
      </w:r>
      <w:r>
        <w:rPr>
          <w:b/>
          <w:color w:val="575759"/>
          <w:w w:val="110"/>
          <w:sz w:val="21"/>
        </w:rPr>
        <w:t>. </w:t>
      </w:r>
      <w:r>
        <w:rPr>
          <w:b/>
          <w:color w:val="383638"/>
          <w:w w:val="110"/>
          <w:sz w:val="21"/>
        </w:rPr>
        <w:t>As darkness fell in early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evening,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Respondents sat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illuminated under a chandelier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light at a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table directly in front of one of these windows. Record G-13. Only a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pane</w:t>
      </w:r>
      <w:r>
        <w:rPr>
          <w:b/>
          <w:color w:val="383638"/>
          <w:spacing w:val="-2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of</w:t>
      </w:r>
      <w:r>
        <w:rPr>
          <w:b/>
          <w:color w:val="383638"/>
          <w:spacing w:val="1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glass</w:t>
      </w:r>
      <w:r>
        <w:rPr>
          <w:b/>
          <w:color w:val="383638"/>
          <w:spacing w:val="-1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and</w:t>
      </w:r>
      <w:r>
        <w:rPr>
          <w:b/>
          <w:color w:val="383638"/>
          <w:spacing w:val="-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</w:t>
      </w:r>
      <w:r>
        <w:rPr>
          <w:b/>
          <w:color w:val="383638"/>
          <w:spacing w:val="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set</w:t>
      </w:r>
      <w:r>
        <w:rPr>
          <w:b/>
          <w:color w:val="383638"/>
          <w:spacing w:val="-2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of</w:t>
      </w:r>
      <w:r>
        <w:rPr>
          <w:b/>
          <w:color w:val="383638"/>
          <w:spacing w:val="1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blinds</w:t>
      </w:r>
      <w:r>
        <w:rPr>
          <w:b/>
          <w:color w:val="383638"/>
          <w:spacing w:val="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that</w:t>
      </w:r>
      <w:r>
        <w:rPr>
          <w:b/>
          <w:color w:val="383638"/>
          <w:spacing w:val="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featured</w:t>
      </w:r>
      <w:r>
        <w:rPr>
          <w:b/>
          <w:color w:val="383638"/>
          <w:spacing w:val="-7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</w:t>
      </w:r>
      <w:r>
        <w:rPr>
          <w:b/>
          <w:color w:val="383638"/>
          <w:spacing w:val="7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series</w:t>
      </w:r>
      <w:r>
        <w:rPr>
          <w:b/>
          <w:color w:val="383638"/>
          <w:spacing w:val="-12"/>
          <w:w w:val="110"/>
          <w:sz w:val="21"/>
        </w:rPr>
        <w:t> </w:t>
      </w:r>
      <w:r>
        <w:rPr>
          <w:rFonts w:ascii="Arial" w:hAnsi="Arial"/>
          <w:color w:val="383638"/>
          <w:w w:val="110"/>
          <w:sz w:val="19"/>
        </w:rPr>
        <w:t>of</w:t>
      </w:r>
      <w:r>
        <w:rPr>
          <w:rFonts w:ascii="Arial" w:hAnsi="Arial"/>
          <w:color w:val="383638"/>
          <w:spacing w:val="54"/>
          <w:w w:val="110"/>
          <w:sz w:val="19"/>
        </w:rPr>
        <w:t> </w:t>
      </w:r>
      <w:r>
        <w:rPr>
          <w:b/>
          <w:color w:val="383638"/>
          <w:w w:val="110"/>
          <w:sz w:val="21"/>
        </w:rPr>
        <w:t>laths,</w:t>
      </w:r>
      <w:r>
        <w:rPr>
          <w:b/>
          <w:color w:val="383638"/>
          <w:spacing w:val="1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Record</w:t>
      </w:r>
    </w:p>
    <w:p>
      <w:pPr>
        <w:spacing w:after="0" w:line="230" w:lineRule="auto"/>
        <w:jc w:val="both"/>
        <w:rPr>
          <w:sz w:val="21"/>
        </w:rPr>
        <w:sectPr>
          <w:headerReference w:type="default" r:id="rId292"/>
          <w:pgSz w:w="9790" w:h="13980"/>
          <w:pgMar w:header="0" w:footer="0" w:top="0" w:bottom="0" w:left="0" w:right="1200"/>
        </w:sectPr>
      </w:pPr>
    </w:p>
    <w:p>
      <w:pPr>
        <w:spacing w:line="240" w:lineRule="auto" w:before="81"/>
        <w:ind w:left="1166" w:right="423" w:firstLine="12"/>
        <w:jc w:val="both"/>
        <w:rPr>
          <w:sz w:val="21"/>
        </w:rPr>
      </w:pPr>
      <w:r>
        <w:rPr>
          <w:color w:val="383638"/>
          <w:w w:val="115"/>
          <w:sz w:val="21"/>
        </w:rPr>
        <w:t>G-50,</w:t>
      </w:r>
      <w:r>
        <w:rPr>
          <w:color w:val="383638"/>
          <w:spacing w:val="-25"/>
          <w:w w:val="115"/>
          <w:sz w:val="21"/>
        </w:rPr>
        <w:t> </w:t>
      </w:r>
      <w:r>
        <w:rPr>
          <w:color w:val="383638"/>
          <w:w w:val="115"/>
          <w:sz w:val="21"/>
        </w:rPr>
        <w:t>separated</w:t>
      </w:r>
      <w:r>
        <w:rPr>
          <w:color w:val="383638"/>
          <w:spacing w:val="7"/>
          <w:w w:val="115"/>
          <w:sz w:val="21"/>
        </w:rPr>
        <w:t> </w:t>
      </w:r>
      <w:r>
        <w:rPr>
          <w:color w:val="383638"/>
          <w:w w:val="115"/>
          <w:sz w:val="21"/>
        </w:rPr>
        <w:t>Respondents</w:t>
      </w:r>
      <w:r>
        <w:rPr>
          <w:color w:val="383638"/>
          <w:spacing w:val="-6"/>
          <w:w w:val="115"/>
          <w:sz w:val="21"/>
        </w:rPr>
        <w:t> </w:t>
      </w:r>
      <w:r>
        <w:rPr>
          <w:color w:val="383638"/>
          <w:w w:val="115"/>
          <w:sz w:val="21"/>
        </w:rPr>
        <w:t>from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the</w:t>
      </w:r>
      <w:r>
        <w:rPr>
          <w:color w:val="383638"/>
          <w:spacing w:val="2"/>
          <w:w w:val="115"/>
          <w:sz w:val="21"/>
        </w:rPr>
        <w:t> </w:t>
      </w:r>
      <w:r>
        <w:rPr>
          <w:color w:val="383638"/>
          <w:w w:val="115"/>
          <w:sz w:val="21"/>
        </w:rPr>
        <w:t>adjacent</w:t>
      </w:r>
      <w:r>
        <w:rPr>
          <w:color w:val="383638"/>
          <w:spacing w:val="-17"/>
          <w:w w:val="115"/>
          <w:sz w:val="21"/>
        </w:rPr>
        <w:t> </w:t>
      </w:r>
      <w:r>
        <w:rPr>
          <w:color w:val="383638"/>
          <w:w w:val="115"/>
          <w:sz w:val="21"/>
        </w:rPr>
        <w:t>common</w:t>
      </w:r>
      <w:r>
        <w:rPr>
          <w:color w:val="383638"/>
          <w:spacing w:val="-10"/>
          <w:w w:val="115"/>
          <w:sz w:val="21"/>
        </w:rPr>
        <w:t> </w:t>
      </w:r>
      <w:r>
        <w:rPr>
          <w:color w:val="383638"/>
          <w:w w:val="115"/>
          <w:sz w:val="21"/>
        </w:rPr>
        <w:t>area</w:t>
      </w:r>
      <w:r>
        <w:rPr>
          <w:color w:val="5B5B5D"/>
          <w:w w:val="115"/>
          <w:sz w:val="21"/>
        </w:rPr>
        <w:t>.</w:t>
      </w:r>
      <w:r>
        <w:rPr>
          <w:color w:val="5B5B5D"/>
          <w:spacing w:val="-13"/>
          <w:w w:val="115"/>
          <w:sz w:val="21"/>
        </w:rPr>
        <w:t> </w:t>
      </w:r>
      <w:r>
        <w:rPr>
          <w:color w:val="383638"/>
          <w:w w:val="115"/>
          <w:sz w:val="21"/>
        </w:rPr>
        <w:t>On</w:t>
      </w:r>
      <w:r>
        <w:rPr>
          <w:color w:val="383638"/>
          <w:spacing w:val="-24"/>
          <w:w w:val="115"/>
          <w:sz w:val="21"/>
        </w:rPr>
        <w:t> </w:t>
      </w:r>
      <w:r>
        <w:rPr>
          <w:color w:val="383638"/>
          <w:w w:val="115"/>
          <w:sz w:val="21"/>
        </w:rPr>
        <w:t>the</w:t>
      </w:r>
      <w:r>
        <w:rPr>
          <w:color w:val="383638"/>
          <w:spacing w:val="-58"/>
          <w:w w:val="115"/>
          <w:sz w:val="21"/>
        </w:rPr>
        <w:t> </w:t>
      </w:r>
      <w:r>
        <w:rPr>
          <w:color w:val="383638"/>
          <w:w w:val="115"/>
          <w:sz w:val="21"/>
        </w:rPr>
        <w:t>night in question</w:t>
      </w:r>
      <w:r>
        <w:rPr>
          <w:color w:val="5B5B5D"/>
          <w:w w:val="115"/>
          <w:sz w:val="21"/>
        </w:rPr>
        <w:t>, </w:t>
      </w:r>
      <w:r>
        <w:rPr>
          <w:color w:val="383638"/>
          <w:w w:val="115"/>
          <w:sz w:val="21"/>
        </w:rPr>
        <w:t>the blinds, though drawn, had a gap in them large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spacing w:val="-1"/>
          <w:w w:val="115"/>
          <w:sz w:val="21"/>
        </w:rPr>
        <w:t>enough</w:t>
      </w:r>
      <w:r>
        <w:rPr>
          <w:color w:val="383638"/>
          <w:spacing w:val="-8"/>
          <w:w w:val="115"/>
          <w:sz w:val="21"/>
        </w:rPr>
        <w:t> </w:t>
      </w:r>
      <w:r>
        <w:rPr>
          <w:color w:val="383638"/>
          <w:spacing w:val="-1"/>
          <w:w w:val="115"/>
          <w:sz w:val="21"/>
        </w:rPr>
        <w:t>for</w:t>
      </w:r>
      <w:r>
        <w:rPr>
          <w:color w:val="383638"/>
          <w:spacing w:val="-35"/>
          <w:w w:val="115"/>
          <w:sz w:val="21"/>
        </w:rPr>
        <w:t> </w:t>
      </w:r>
      <w:r>
        <w:rPr>
          <w:color w:val="383638"/>
          <w:w w:val="115"/>
          <w:sz w:val="21"/>
        </w:rPr>
        <w:t>a</w:t>
      </w:r>
      <w:r>
        <w:rPr>
          <w:color w:val="383638"/>
          <w:spacing w:val="-8"/>
          <w:w w:val="115"/>
          <w:sz w:val="21"/>
        </w:rPr>
        <w:t> </w:t>
      </w:r>
      <w:r>
        <w:rPr>
          <w:color w:val="383638"/>
          <w:w w:val="115"/>
          <w:sz w:val="21"/>
        </w:rPr>
        <w:t>citizen</w:t>
      </w:r>
      <w:r>
        <w:rPr>
          <w:color w:val="383638"/>
          <w:spacing w:val="-6"/>
          <w:w w:val="115"/>
          <w:sz w:val="21"/>
        </w:rPr>
        <w:t> </w:t>
      </w:r>
      <w:r>
        <w:rPr>
          <w:color w:val="383638"/>
          <w:w w:val="115"/>
          <w:sz w:val="21"/>
        </w:rPr>
        <w:t>who</w:t>
      </w:r>
      <w:r>
        <w:rPr>
          <w:color w:val="383638"/>
          <w:spacing w:val="-11"/>
          <w:w w:val="115"/>
          <w:sz w:val="21"/>
        </w:rPr>
        <w:t> </w:t>
      </w:r>
      <w:r>
        <w:rPr>
          <w:color w:val="383638"/>
          <w:w w:val="115"/>
          <w:sz w:val="21"/>
        </w:rPr>
        <w:t>passed</w:t>
      </w:r>
      <w:r>
        <w:rPr>
          <w:color w:val="383638"/>
          <w:spacing w:val="-10"/>
          <w:w w:val="115"/>
          <w:sz w:val="21"/>
        </w:rPr>
        <w:t> </w:t>
      </w:r>
      <w:r>
        <w:rPr>
          <w:color w:val="383638"/>
          <w:w w:val="115"/>
          <w:sz w:val="21"/>
        </w:rPr>
        <w:t>by</w:t>
      </w:r>
      <w:r>
        <w:rPr>
          <w:color w:val="383638"/>
          <w:spacing w:val="-14"/>
          <w:w w:val="115"/>
          <w:sz w:val="21"/>
        </w:rPr>
        <w:t> </w:t>
      </w:r>
      <w:r>
        <w:rPr>
          <w:color w:val="383638"/>
          <w:w w:val="115"/>
          <w:sz w:val="21"/>
        </w:rPr>
        <w:t>and</w:t>
      </w:r>
      <w:r>
        <w:rPr>
          <w:color w:val="383638"/>
          <w:spacing w:val="26"/>
          <w:w w:val="115"/>
          <w:sz w:val="21"/>
        </w:rPr>
        <w:t> </w:t>
      </w:r>
      <w:r>
        <w:rPr>
          <w:color w:val="383638"/>
          <w:w w:val="115"/>
          <w:sz w:val="21"/>
        </w:rPr>
        <w:t>an</w:t>
      </w:r>
      <w:r>
        <w:rPr>
          <w:color w:val="383638"/>
          <w:spacing w:val="18"/>
          <w:w w:val="115"/>
          <w:sz w:val="21"/>
        </w:rPr>
        <w:t> </w:t>
      </w:r>
      <w:r>
        <w:rPr>
          <w:color w:val="383638"/>
          <w:w w:val="115"/>
          <w:sz w:val="21"/>
        </w:rPr>
        <w:t>officer</w:t>
      </w:r>
      <w:r>
        <w:rPr>
          <w:color w:val="383638"/>
          <w:spacing w:val="-11"/>
          <w:w w:val="115"/>
          <w:sz w:val="21"/>
        </w:rPr>
        <w:t> </w:t>
      </w:r>
      <w:r>
        <w:rPr>
          <w:color w:val="383638"/>
          <w:w w:val="115"/>
          <w:sz w:val="21"/>
        </w:rPr>
        <w:t>who</w:t>
      </w:r>
      <w:r>
        <w:rPr>
          <w:color w:val="383638"/>
          <w:spacing w:val="8"/>
          <w:w w:val="115"/>
          <w:sz w:val="21"/>
        </w:rPr>
        <w:t> </w:t>
      </w:r>
      <w:r>
        <w:rPr>
          <w:color w:val="383638"/>
          <w:w w:val="115"/>
          <w:sz w:val="21"/>
        </w:rPr>
        <w:t>stood</w:t>
      </w:r>
      <w:r>
        <w:rPr>
          <w:color w:val="383638"/>
          <w:spacing w:val="-23"/>
          <w:w w:val="115"/>
          <w:sz w:val="21"/>
        </w:rPr>
        <w:t> </w:t>
      </w:r>
      <w:r>
        <w:rPr>
          <w:color w:val="383638"/>
          <w:w w:val="115"/>
          <w:sz w:val="21"/>
        </w:rPr>
        <w:t>a</w:t>
      </w:r>
      <w:r>
        <w:rPr>
          <w:color w:val="383638"/>
          <w:spacing w:val="2"/>
          <w:w w:val="115"/>
          <w:sz w:val="21"/>
        </w:rPr>
        <w:t> </w:t>
      </w:r>
      <w:r>
        <w:rPr>
          <w:color w:val="383638"/>
          <w:w w:val="115"/>
          <w:sz w:val="21"/>
        </w:rPr>
        <w:t>foot</w:t>
      </w:r>
      <w:r>
        <w:rPr>
          <w:color w:val="383638"/>
          <w:spacing w:val="-23"/>
          <w:w w:val="115"/>
          <w:sz w:val="21"/>
        </w:rPr>
        <w:t> </w:t>
      </w:r>
      <w:r>
        <w:rPr>
          <w:color w:val="383638"/>
          <w:w w:val="115"/>
          <w:sz w:val="21"/>
        </w:rPr>
        <w:t>or</w:t>
      </w:r>
      <w:r>
        <w:rPr>
          <w:color w:val="383638"/>
          <w:spacing w:val="-58"/>
          <w:w w:val="115"/>
          <w:sz w:val="21"/>
        </w:rPr>
        <w:t> </w:t>
      </w:r>
      <w:r>
        <w:rPr>
          <w:color w:val="383638"/>
          <w:w w:val="115"/>
          <w:sz w:val="21"/>
        </w:rPr>
        <w:t>more from the window to view easily the entire illuminated interior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20"/>
          <w:sz w:val="21"/>
        </w:rPr>
        <w:t>scene.</w:t>
      </w:r>
      <w:r>
        <w:rPr>
          <w:color w:val="383638"/>
          <w:spacing w:val="-13"/>
          <w:w w:val="120"/>
          <w:sz w:val="21"/>
        </w:rPr>
        <w:t> </w:t>
      </w:r>
      <w:r>
        <w:rPr>
          <w:color w:val="383638"/>
          <w:w w:val="120"/>
          <w:sz w:val="21"/>
        </w:rPr>
        <w:t>Record G-13.</w:t>
      </w:r>
    </w:p>
    <w:p>
      <w:pPr>
        <w:pStyle w:val="BodyText"/>
        <w:spacing w:line="235" w:lineRule="auto" w:before="117"/>
        <w:ind w:left="779" w:right="128" w:firstLine="14"/>
        <w:jc w:val="both"/>
      </w:pPr>
      <w:r>
        <w:rPr>
          <w:color w:val="383638"/>
          <w:w w:val="110"/>
        </w:rPr>
        <w:t>The only difference in the following example is that the writer has pro­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vided paragraph breaks to  draw attention  to the fact that respondents did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not  take action to preserve their privacy</w:t>
      </w:r>
      <w:r>
        <w:rPr>
          <w:color w:val="5B5B5D"/>
          <w:w w:val="105"/>
        </w:rPr>
        <w:t>. </w:t>
      </w:r>
      <w:r>
        <w:rPr>
          <w:color w:val="383638"/>
          <w:w w:val="105"/>
        </w:rPr>
        <w:t>The white space creates a posi­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tion of emphasis that highlights not only the one-sentence paragraph, </w:t>
      </w:r>
      <w:r>
        <w:rPr>
          <w:rFonts w:ascii="Arial" w:hAnsi="Arial"/>
          <w:color w:val="383638"/>
          <w:w w:val="110"/>
          <w:sz w:val="20"/>
        </w:rPr>
        <w:t>but</w:t>
      </w:r>
      <w:r>
        <w:rPr>
          <w:rFonts w:ascii="Arial" w:hAnsi="Arial"/>
          <w:color w:val="383638"/>
          <w:spacing w:val="-59"/>
          <w:w w:val="110"/>
          <w:sz w:val="20"/>
        </w:rPr>
        <w:t> </w:t>
      </w:r>
      <w:r>
        <w:rPr>
          <w:color w:val="383638"/>
          <w:w w:val="110"/>
        </w:rPr>
        <w:t>also the paragraphs around it, particularly the paragraph after the </w:t>
      </w:r>
      <w:r>
        <w:rPr>
          <w:color w:val="383638"/>
          <w:w w:val="110"/>
          <w:sz w:val="21"/>
        </w:rPr>
        <w:t>one­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</w:rPr>
        <w:t>sentence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paragraph.</w:t>
      </w:r>
    </w:p>
    <w:p>
      <w:pPr>
        <w:pStyle w:val="BodyText"/>
        <w:spacing w:before="3"/>
        <w:rPr>
          <w:sz w:val="13"/>
        </w:rPr>
      </w:pPr>
    </w:p>
    <w:p>
      <w:pPr>
        <w:spacing w:before="96"/>
        <w:ind w:left="745" w:right="0" w:firstLine="0"/>
        <w:jc w:val="left"/>
        <w:rPr>
          <w:rFonts w:ascii="Arial"/>
          <w:sz w:val="14"/>
        </w:rPr>
      </w:pPr>
      <w:r>
        <w:rPr>
          <w:rFonts w:ascii="Arial"/>
          <w:color w:val="5B5B5D"/>
          <w:spacing w:val="-1"/>
          <w:w w:val="110"/>
          <w:sz w:val="14"/>
          <w:u w:val="thick" w:color="5B5B5D"/>
        </w:rPr>
        <w:t>_/\</w:t>
      </w:r>
      <w:r>
        <w:rPr>
          <w:rFonts w:ascii="Arial"/>
          <w:color w:val="5B5B5D"/>
          <w:spacing w:val="59"/>
          <w:w w:val="110"/>
          <w:sz w:val="14"/>
          <w:u w:val="thick" w:color="5B5B5D"/>
        </w:rPr>
        <w:t> </w:t>
      </w:r>
      <w:r>
        <w:rPr>
          <w:rFonts w:ascii="Arial"/>
          <w:color w:val="5B5B5D"/>
          <w:spacing w:val="59"/>
          <w:w w:val="110"/>
          <w:sz w:val="14"/>
        </w:rPr>
        <w:t> </w:t>
      </w:r>
      <w:r>
        <w:rPr>
          <w:rFonts w:ascii="Arial"/>
          <w:color w:val="5B5B5D"/>
          <w:w w:val="110"/>
          <w:sz w:val="14"/>
          <w:u w:val="thick" w:color="383638"/>
        </w:rPr>
        <w:t>G</w:t>
      </w:r>
      <w:r>
        <w:rPr>
          <w:rFonts w:ascii="Arial"/>
          <w:color w:val="383638"/>
          <w:w w:val="110"/>
          <w:sz w:val="14"/>
          <w:u w:val="thick" w:color="383638"/>
        </w:rPr>
        <w:t>O</w:t>
      </w:r>
      <w:r>
        <w:rPr>
          <w:rFonts w:ascii="Arial"/>
          <w:color w:val="5B5B5D"/>
          <w:w w:val="110"/>
          <w:sz w:val="14"/>
          <w:u w:val="thick" w:color="383638"/>
        </w:rPr>
        <w:t>OD</w:t>
      </w:r>
      <w:r>
        <w:rPr>
          <w:rFonts w:ascii="Arial"/>
          <w:color w:val="5B5B5D"/>
          <w:spacing w:val="-2"/>
          <w:w w:val="110"/>
          <w:sz w:val="14"/>
          <w:u w:val="thick" w:color="383638"/>
        </w:rPr>
        <w:t> </w:t>
      </w:r>
      <w:r>
        <w:rPr>
          <w:rFonts w:ascii="Arial"/>
          <w:color w:val="5B5B5D"/>
          <w:w w:val="110"/>
          <w:sz w:val="14"/>
          <w:u w:val="thick" w:color="383638"/>
        </w:rPr>
        <w:t>EXAM</w:t>
      </w:r>
      <w:r>
        <w:rPr>
          <w:rFonts w:ascii="Arial"/>
          <w:color w:val="383638"/>
          <w:w w:val="110"/>
          <w:sz w:val="14"/>
          <w:u w:val="thick" w:color="383638"/>
        </w:rPr>
        <w:t>P</w:t>
      </w:r>
      <w:r>
        <w:rPr>
          <w:rFonts w:ascii="Arial"/>
          <w:color w:val="5B5B5D"/>
          <w:w w:val="110"/>
          <w:sz w:val="14"/>
          <w:u w:val="thick" w:color="383638"/>
        </w:rPr>
        <w:t>L</w:t>
      </w:r>
      <w:r>
        <w:rPr>
          <w:rFonts w:ascii="Arial"/>
          <w:color w:val="383638"/>
          <w:w w:val="110"/>
          <w:sz w:val="14"/>
          <w:u w:val="thick" w:color="383638"/>
        </w:rPr>
        <w:t>E</w:t>
      </w:r>
    </w:p>
    <w:p>
      <w:pPr>
        <w:spacing w:line="237" w:lineRule="auto" w:before="56"/>
        <w:ind w:left="1103" w:right="411" w:firstLine="39"/>
        <w:jc w:val="both"/>
        <w:rPr>
          <w:sz w:val="21"/>
        </w:rPr>
      </w:pPr>
      <w:r>
        <w:rPr>
          <w:color w:val="383638"/>
          <w:w w:val="120"/>
          <w:sz w:val="21"/>
        </w:rPr>
        <w:t>In the case at bar, both Respondents' behavior and their location</w:t>
      </w:r>
      <w:r>
        <w:rPr>
          <w:color w:val="383638"/>
          <w:spacing w:val="1"/>
          <w:w w:val="120"/>
          <w:sz w:val="21"/>
        </w:rPr>
        <w:t> </w:t>
      </w:r>
      <w:r>
        <w:rPr>
          <w:color w:val="383638"/>
          <w:w w:val="120"/>
          <w:sz w:val="21"/>
        </w:rPr>
        <w:t>within the apartment indicate that they had no actual, subjective</w:t>
      </w:r>
      <w:r>
        <w:rPr>
          <w:color w:val="383638"/>
          <w:spacing w:val="1"/>
          <w:w w:val="120"/>
          <w:sz w:val="21"/>
        </w:rPr>
        <w:t> </w:t>
      </w:r>
      <w:r>
        <w:rPr>
          <w:color w:val="383638"/>
          <w:w w:val="115"/>
          <w:sz w:val="21"/>
        </w:rPr>
        <w:t>expectation of privacy. Respondents manifested at most a hope that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20"/>
          <w:sz w:val="21"/>
        </w:rPr>
        <w:t>no one would observe their unlawful pursuits inside Thompson's</w:t>
      </w:r>
      <w:r>
        <w:rPr>
          <w:color w:val="383638"/>
          <w:spacing w:val="1"/>
          <w:w w:val="120"/>
          <w:sz w:val="21"/>
        </w:rPr>
        <w:t> </w:t>
      </w:r>
      <w:r>
        <w:rPr>
          <w:color w:val="383638"/>
          <w:w w:val="115"/>
          <w:sz w:val="21"/>
        </w:rPr>
        <w:t>apartment. Unlike the defendant in </w:t>
      </w:r>
      <w:r>
        <w:rPr>
          <w:color w:val="383638"/>
          <w:w w:val="115"/>
          <w:sz w:val="20"/>
        </w:rPr>
        <w:t>Katt, </w:t>
      </w:r>
      <w:r>
        <w:rPr>
          <w:color w:val="383638"/>
          <w:w w:val="115"/>
          <w:sz w:val="21"/>
        </w:rPr>
        <w:t>Respondents introduced no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evidence of conduct that demonstrated an intent to keep their activ­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20"/>
          <w:sz w:val="21"/>
        </w:rPr>
        <w:t>ity</w:t>
      </w:r>
      <w:r>
        <w:rPr>
          <w:color w:val="383638"/>
          <w:spacing w:val="21"/>
          <w:w w:val="120"/>
          <w:sz w:val="21"/>
        </w:rPr>
        <w:t> </w:t>
      </w:r>
      <w:r>
        <w:rPr>
          <w:color w:val="383638"/>
          <w:w w:val="120"/>
          <w:sz w:val="21"/>
        </w:rPr>
        <w:t>private.</w:t>
      </w:r>
    </w:p>
    <w:p>
      <w:pPr>
        <w:spacing w:line="223" w:lineRule="exact" w:before="0"/>
        <w:ind w:left="1478" w:right="0" w:firstLine="0"/>
        <w:jc w:val="both"/>
        <w:rPr>
          <w:sz w:val="21"/>
        </w:rPr>
      </w:pPr>
      <w:r>
        <w:rPr>
          <w:color w:val="383638"/>
          <w:w w:val="120"/>
          <w:sz w:val="21"/>
        </w:rPr>
        <w:t>Nothing</w:t>
      </w:r>
      <w:r>
        <w:rPr>
          <w:color w:val="383638"/>
          <w:spacing w:val="-4"/>
          <w:w w:val="120"/>
          <w:sz w:val="21"/>
        </w:rPr>
        <w:t> </w:t>
      </w:r>
      <w:r>
        <w:rPr>
          <w:color w:val="383638"/>
          <w:w w:val="120"/>
          <w:sz w:val="21"/>
        </w:rPr>
        <w:t>in</w:t>
      </w:r>
      <w:r>
        <w:rPr>
          <w:color w:val="383638"/>
          <w:spacing w:val="13"/>
          <w:w w:val="120"/>
          <w:sz w:val="21"/>
        </w:rPr>
        <w:t> </w:t>
      </w:r>
      <w:r>
        <w:rPr>
          <w:color w:val="383638"/>
          <w:w w:val="120"/>
          <w:sz w:val="21"/>
        </w:rPr>
        <w:t>the</w:t>
      </w:r>
      <w:r>
        <w:rPr>
          <w:color w:val="383638"/>
          <w:spacing w:val="17"/>
          <w:w w:val="120"/>
          <w:sz w:val="21"/>
        </w:rPr>
        <w:t> </w:t>
      </w:r>
      <w:r>
        <w:rPr>
          <w:color w:val="383638"/>
          <w:w w:val="120"/>
          <w:sz w:val="21"/>
        </w:rPr>
        <w:t>record</w:t>
      </w:r>
      <w:r>
        <w:rPr>
          <w:color w:val="383638"/>
          <w:spacing w:val="4"/>
          <w:w w:val="120"/>
          <w:sz w:val="21"/>
        </w:rPr>
        <w:t> </w:t>
      </w:r>
      <w:r>
        <w:rPr>
          <w:color w:val="383638"/>
          <w:w w:val="120"/>
          <w:sz w:val="21"/>
        </w:rPr>
        <w:t>indicates</w:t>
      </w:r>
      <w:r>
        <w:rPr>
          <w:color w:val="383638"/>
          <w:spacing w:val="2"/>
          <w:w w:val="120"/>
          <w:sz w:val="21"/>
        </w:rPr>
        <w:t> </w:t>
      </w:r>
      <w:r>
        <w:rPr>
          <w:color w:val="383638"/>
          <w:w w:val="120"/>
          <w:sz w:val="21"/>
        </w:rPr>
        <w:t>Respondents</w:t>
      </w:r>
      <w:r>
        <w:rPr>
          <w:color w:val="383638"/>
          <w:spacing w:val="-2"/>
          <w:w w:val="120"/>
          <w:sz w:val="21"/>
        </w:rPr>
        <w:t> </w:t>
      </w:r>
      <w:r>
        <w:rPr>
          <w:color w:val="383638"/>
          <w:w w:val="120"/>
          <w:sz w:val="21"/>
        </w:rPr>
        <w:t>took</w:t>
      </w:r>
      <w:r>
        <w:rPr>
          <w:color w:val="383638"/>
          <w:spacing w:val="-9"/>
          <w:w w:val="120"/>
          <w:sz w:val="21"/>
        </w:rPr>
        <w:t> </w:t>
      </w:r>
      <w:r>
        <w:rPr>
          <w:color w:val="383638"/>
          <w:w w:val="120"/>
          <w:sz w:val="21"/>
        </w:rPr>
        <w:t>any</w:t>
      </w:r>
      <w:r>
        <w:rPr>
          <w:color w:val="383638"/>
          <w:spacing w:val="-13"/>
          <w:w w:val="120"/>
          <w:sz w:val="21"/>
        </w:rPr>
        <w:t> </w:t>
      </w:r>
      <w:r>
        <w:rPr>
          <w:color w:val="383638"/>
          <w:w w:val="120"/>
          <w:sz w:val="21"/>
        </w:rPr>
        <w:t>action</w:t>
      </w:r>
      <w:r>
        <w:rPr>
          <w:color w:val="383638"/>
          <w:spacing w:val="-12"/>
          <w:w w:val="120"/>
          <w:sz w:val="21"/>
        </w:rPr>
        <w:t> </w:t>
      </w:r>
      <w:r>
        <w:rPr>
          <w:color w:val="383638"/>
          <w:w w:val="120"/>
          <w:sz w:val="21"/>
        </w:rPr>
        <w:t>to</w:t>
      </w:r>
    </w:p>
    <w:p>
      <w:pPr>
        <w:spacing w:line="236" w:lineRule="exact" w:before="9"/>
        <w:ind w:left="1110" w:right="0" w:firstLine="0"/>
        <w:jc w:val="both"/>
        <w:rPr>
          <w:sz w:val="21"/>
        </w:rPr>
      </w:pPr>
      <w:r>
        <w:rPr>
          <w:color w:val="383638"/>
          <w:w w:val="115"/>
          <w:sz w:val="21"/>
        </w:rPr>
        <w:t>preserve</w:t>
      </w:r>
      <w:r>
        <w:rPr>
          <w:color w:val="383638"/>
          <w:spacing w:val="-3"/>
          <w:w w:val="115"/>
          <w:sz w:val="21"/>
        </w:rPr>
        <w:t> </w:t>
      </w:r>
      <w:r>
        <w:rPr>
          <w:color w:val="383638"/>
          <w:w w:val="115"/>
          <w:sz w:val="21"/>
        </w:rPr>
        <w:t>their</w:t>
      </w:r>
      <w:r>
        <w:rPr>
          <w:color w:val="383638"/>
          <w:spacing w:val="-14"/>
          <w:w w:val="115"/>
          <w:sz w:val="21"/>
        </w:rPr>
        <w:t> </w:t>
      </w:r>
      <w:r>
        <w:rPr>
          <w:color w:val="383638"/>
          <w:w w:val="115"/>
          <w:sz w:val="21"/>
        </w:rPr>
        <w:t>privacy.</w:t>
      </w:r>
    </w:p>
    <w:p>
      <w:pPr>
        <w:spacing w:line="235" w:lineRule="auto" w:before="0"/>
        <w:ind w:left="1049" w:right="415" w:firstLine="400"/>
        <w:jc w:val="both"/>
        <w:rPr>
          <w:sz w:val="21"/>
        </w:rPr>
      </w:pPr>
      <w:r>
        <w:rPr>
          <w:color w:val="383638"/>
          <w:w w:val="115"/>
          <w:sz w:val="21"/>
        </w:rPr>
        <w:t>Though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the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blinds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were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drawn</w:t>
      </w:r>
      <w:r>
        <w:rPr>
          <w:color w:val="5B5B5D"/>
          <w:w w:val="115"/>
          <w:sz w:val="21"/>
        </w:rPr>
        <w:t>,</w:t>
      </w:r>
      <w:r>
        <w:rPr>
          <w:color w:val="5B5B5D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there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is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no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indication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that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0"/>
          <w:sz w:val="21"/>
        </w:rPr>
        <w:t>Respondents drew them.</w:t>
      </w:r>
      <w:r>
        <w:rPr>
          <w:rFonts w:ascii="Arial" w:hAnsi="Arial"/>
          <w:color w:val="383638"/>
          <w:w w:val="110"/>
          <w:sz w:val="23"/>
        </w:rPr>
        <w:t>Stt </w:t>
      </w:r>
      <w:r>
        <w:rPr>
          <w:color w:val="383638"/>
          <w:w w:val="110"/>
          <w:sz w:val="21"/>
        </w:rPr>
        <w:t>Record at E-2, E-10. On the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night in ques­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5"/>
          <w:sz w:val="21"/>
        </w:rPr>
        <w:t>tion, Respondents were present in a first</w:t>
      </w:r>
      <w:r>
        <w:rPr>
          <w:color w:val="5B5B5D"/>
          <w:w w:val="115"/>
          <w:sz w:val="21"/>
        </w:rPr>
        <w:t>-</w:t>
      </w:r>
      <w:r>
        <w:rPr>
          <w:color w:val="383638"/>
          <w:w w:val="115"/>
          <w:sz w:val="21"/>
        </w:rPr>
        <w:t>floor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apartment that had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severaJ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windows at  ground level. Record  G-26. The  windows faced</w:t>
      </w:r>
      <w:r>
        <w:rPr>
          <w:color w:val="383638"/>
          <w:spacing w:val="-58"/>
          <w:w w:val="115"/>
          <w:sz w:val="21"/>
        </w:rPr>
        <w:t> </w:t>
      </w:r>
      <w:r>
        <w:rPr>
          <w:color w:val="383638"/>
          <w:w w:val="115"/>
          <w:sz w:val="21"/>
        </w:rPr>
        <w:t>a public area that apartment residents and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nonresidents frequented.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0"/>
          <w:sz w:val="21"/>
        </w:rPr>
        <w:t>Record G-69, G-70. </w:t>
      </w:r>
      <w:r>
        <w:rPr>
          <w:rFonts w:ascii="Arial" w:hAnsi="Arial"/>
          <w:color w:val="383638"/>
          <w:w w:val="110"/>
          <w:sz w:val="18"/>
        </w:rPr>
        <w:t>As </w:t>
      </w:r>
      <w:r>
        <w:rPr>
          <w:color w:val="383638"/>
          <w:w w:val="110"/>
          <w:sz w:val="21"/>
        </w:rPr>
        <w:t>darkne</w:t>
      </w:r>
      <w:r>
        <w:rPr>
          <w:color w:val="5B5B5D"/>
          <w:w w:val="110"/>
          <w:sz w:val="21"/>
        </w:rPr>
        <w:t>s</w:t>
      </w:r>
      <w:r>
        <w:rPr>
          <w:color w:val="383638"/>
          <w:w w:val="110"/>
          <w:sz w:val="21"/>
        </w:rPr>
        <w:t>s fell in early evening, Respondents sat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5"/>
          <w:sz w:val="21"/>
        </w:rPr>
        <w:t>illuminated  under a chandelier light </w:t>
      </w:r>
      <w:r>
        <w:rPr>
          <w:b/>
          <w:color w:val="383638"/>
          <w:w w:val="115"/>
          <w:sz w:val="21"/>
        </w:rPr>
        <w:t>ata </w:t>
      </w:r>
      <w:r>
        <w:rPr>
          <w:color w:val="383638"/>
          <w:w w:val="115"/>
          <w:sz w:val="21"/>
        </w:rPr>
        <w:t>table directly in front of one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of</w:t>
      </w:r>
      <w:r>
        <w:rPr>
          <w:color w:val="383638"/>
          <w:spacing w:val="-8"/>
          <w:w w:val="115"/>
          <w:sz w:val="21"/>
        </w:rPr>
        <w:t> </w:t>
      </w:r>
      <w:r>
        <w:rPr>
          <w:color w:val="383638"/>
          <w:w w:val="115"/>
          <w:sz w:val="21"/>
        </w:rPr>
        <w:t>these</w:t>
      </w:r>
      <w:r>
        <w:rPr>
          <w:color w:val="383638"/>
          <w:spacing w:val="-20"/>
          <w:w w:val="115"/>
          <w:sz w:val="21"/>
        </w:rPr>
        <w:t> </w:t>
      </w:r>
      <w:r>
        <w:rPr>
          <w:color w:val="383638"/>
          <w:w w:val="115"/>
          <w:sz w:val="21"/>
        </w:rPr>
        <w:t>windows</w:t>
      </w:r>
      <w:r>
        <w:rPr>
          <w:color w:val="5B5B5D"/>
          <w:w w:val="115"/>
          <w:sz w:val="21"/>
        </w:rPr>
        <w:t>.</w:t>
      </w:r>
      <w:r>
        <w:rPr>
          <w:color w:val="5B5B5D"/>
          <w:spacing w:val="-10"/>
          <w:w w:val="115"/>
          <w:sz w:val="21"/>
        </w:rPr>
        <w:t> </w:t>
      </w:r>
      <w:r>
        <w:rPr>
          <w:color w:val="383638"/>
          <w:w w:val="115"/>
          <w:sz w:val="21"/>
        </w:rPr>
        <w:t>Record</w:t>
      </w:r>
      <w:r>
        <w:rPr>
          <w:color w:val="383638"/>
          <w:spacing w:val="-16"/>
          <w:w w:val="115"/>
          <w:sz w:val="21"/>
        </w:rPr>
        <w:t> </w:t>
      </w:r>
      <w:r>
        <w:rPr>
          <w:color w:val="383638"/>
          <w:w w:val="115"/>
          <w:sz w:val="21"/>
        </w:rPr>
        <w:t>G-13.</w:t>
      </w:r>
      <w:r>
        <w:rPr>
          <w:color w:val="383638"/>
          <w:spacing w:val="-27"/>
          <w:w w:val="115"/>
          <w:sz w:val="21"/>
        </w:rPr>
        <w:t> </w:t>
      </w:r>
      <w:r>
        <w:rPr>
          <w:color w:val="383638"/>
          <w:w w:val="115"/>
          <w:sz w:val="21"/>
        </w:rPr>
        <w:t>Only</w:t>
      </w:r>
      <w:r>
        <w:rPr>
          <w:color w:val="383638"/>
          <w:spacing w:val="-33"/>
          <w:w w:val="115"/>
          <w:sz w:val="21"/>
        </w:rPr>
        <w:t> </w:t>
      </w:r>
      <w:r>
        <w:rPr>
          <w:color w:val="383638"/>
          <w:w w:val="115"/>
          <w:sz w:val="21"/>
        </w:rPr>
        <w:t>a</w:t>
      </w:r>
      <w:r>
        <w:rPr>
          <w:color w:val="383638"/>
          <w:spacing w:val="-9"/>
          <w:w w:val="115"/>
          <w:sz w:val="21"/>
        </w:rPr>
        <w:t> </w:t>
      </w:r>
      <w:r>
        <w:rPr>
          <w:color w:val="383638"/>
          <w:w w:val="115"/>
          <w:sz w:val="21"/>
        </w:rPr>
        <w:t>paneof</w:t>
      </w:r>
      <w:r>
        <w:rPr>
          <w:color w:val="383638"/>
          <w:spacing w:val="-25"/>
          <w:w w:val="115"/>
          <w:sz w:val="21"/>
        </w:rPr>
        <w:t> </w:t>
      </w:r>
      <w:r>
        <w:rPr>
          <w:color w:val="383638"/>
          <w:w w:val="115"/>
          <w:sz w:val="21"/>
        </w:rPr>
        <w:t>glass</w:t>
      </w:r>
      <w:r>
        <w:rPr>
          <w:color w:val="383638"/>
          <w:spacing w:val="-31"/>
          <w:w w:val="115"/>
          <w:sz w:val="21"/>
        </w:rPr>
        <w:t> </w:t>
      </w:r>
      <w:r>
        <w:rPr>
          <w:color w:val="383638"/>
          <w:w w:val="115"/>
          <w:sz w:val="21"/>
        </w:rPr>
        <w:t>and</w:t>
      </w:r>
      <w:r>
        <w:rPr>
          <w:color w:val="383638"/>
          <w:spacing w:val="18"/>
          <w:w w:val="115"/>
          <w:sz w:val="21"/>
        </w:rPr>
        <w:t> </w:t>
      </w:r>
      <w:r>
        <w:rPr>
          <w:color w:val="383638"/>
          <w:w w:val="115"/>
          <w:sz w:val="21"/>
        </w:rPr>
        <w:t>a</w:t>
      </w:r>
      <w:r>
        <w:rPr>
          <w:color w:val="383638"/>
          <w:spacing w:val="-16"/>
          <w:w w:val="115"/>
          <w:sz w:val="21"/>
        </w:rPr>
        <w:t> </w:t>
      </w:r>
      <w:r>
        <w:rPr>
          <w:color w:val="383638"/>
          <w:w w:val="115"/>
          <w:sz w:val="21"/>
        </w:rPr>
        <w:t>set</w:t>
      </w:r>
      <w:r>
        <w:rPr>
          <w:color w:val="383638"/>
          <w:spacing w:val="-6"/>
          <w:w w:val="115"/>
          <w:sz w:val="21"/>
        </w:rPr>
        <w:t> </w:t>
      </w:r>
      <w:r>
        <w:rPr>
          <w:color w:val="383638"/>
          <w:w w:val="115"/>
          <w:sz w:val="21"/>
        </w:rPr>
        <w:t>of</w:t>
      </w:r>
      <w:r>
        <w:rPr>
          <w:color w:val="383638"/>
          <w:spacing w:val="-3"/>
          <w:w w:val="115"/>
          <w:sz w:val="21"/>
        </w:rPr>
        <w:t> </w:t>
      </w:r>
      <w:r>
        <w:rPr>
          <w:color w:val="383638"/>
          <w:w w:val="115"/>
          <w:sz w:val="21"/>
        </w:rPr>
        <w:t>blinds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that featured a series of laths, Record G-50, separated Respondents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from the adjacent common </w:t>
      </w:r>
      <w:r>
        <w:rPr>
          <w:b/>
          <w:color w:val="383638"/>
          <w:w w:val="115"/>
          <w:sz w:val="21"/>
        </w:rPr>
        <w:t>area. </w:t>
      </w:r>
      <w:r>
        <w:rPr>
          <w:color w:val="383638"/>
          <w:w w:val="115"/>
          <w:sz w:val="21"/>
        </w:rPr>
        <w:t>On the night in question, the blinds,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though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drawn, had a gap in them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large enough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for a citizen who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passed by and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an  officer who stood a foot or more from the  window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to</w:t>
      </w:r>
      <w:r>
        <w:rPr>
          <w:color w:val="383638"/>
          <w:spacing w:val="19"/>
          <w:w w:val="115"/>
          <w:sz w:val="21"/>
        </w:rPr>
        <w:t> </w:t>
      </w:r>
      <w:r>
        <w:rPr>
          <w:color w:val="383638"/>
          <w:w w:val="115"/>
          <w:sz w:val="21"/>
        </w:rPr>
        <w:t>view</w:t>
      </w:r>
      <w:r>
        <w:rPr>
          <w:color w:val="383638"/>
          <w:spacing w:val="-12"/>
          <w:w w:val="115"/>
          <w:sz w:val="21"/>
        </w:rPr>
        <w:t> </w:t>
      </w:r>
      <w:r>
        <w:rPr>
          <w:color w:val="383638"/>
          <w:w w:val="115"/>
          <w:sz w:val="21"/>
        </w:rPr>
        <w:t>easily</w:t>
      </w:r>
      <w:r>
        <w:rPr>
          <w:color w:val="383638"/>
          <w:spacing w:val="-7"/>
          <w:w w:val="115"/>
          <w:sz w:val="21"/>
        </w:rPr>
        <w:t> </w:t>
      </w:r>
      <w:r>
        <w:rPr>
          <w:color w:val="383638"/>
          <w:w w:val="115"/>
          <w:sz w:val="21"/>
        </w:rPr>
        <w:t>the</w:t>
      </w:r>
      <w:r>
        <w:rPr>
          <w:color w:val="383638"/>
          <w:spacing w:val="23"/>
          <w:w w:val="115"/>
          <w:sz w:val="21"/>
        </w:rPr>
        <w:t> </w:t>
      </w:r>
      <w:r>
        <w:rPr>
          <w:color w:val="383638"/>
          <w:w w:val="115"/>
          <w:sz w:val="21"/>
        </w:rPr>
        <w:t>entire</w:t>
      </w:r>
      <w:r>
        <w:rPr>
          <w:color w:val="383638"/>
          <w:spacing w:val="-6"/>
          <w:w w:val="115"/>
          <w:sz w:val="21"/>
        </w:rPr>
        <w:t> </w:t>
      </w:r>
      <w:r>
        <w:rPr>
          <w:color w:val="383638"/>
          <w:w w:val="115"/>
          <w:sz w:val="21"/>
        </w:rPr>
        <w:t>illuminated</w:t>
      </w:r>
      <w:r>
        <w:rPr>
          <w:color w:val="383638"/>
          <w:spacing w:val="4"/>
          <w:w w:val="115"/>
          <w:sz w:val="21"/>
        </w:rPr>
        <w:t> </w:t>
      </w:r>
      <w:r>
        <w:rPr>
          <w:color w:val="383638"/>
          <w:w w:val="115"/>
          <w:sz w:val="21"/>
        </w:rPr>
        <w:t>interior</w:t>
      </w:r>
      <w:r>
        <w:rPr>
          <w:color w:val="383638"/>
          <w:spacing w:val="-9"/>
          <w:w w:val="115"/>
          <w:sz w:val="21"/>
        </w:rPr>
        <w:t> </w:t>
      </w:r>
      <w:r>
        <w:rPr>
          <w:color w:val="383638"/>
          <w:w w:val="115"/>
          <w:sz w:val="21"/>
        </w:rPr>
        <w:t>scene.</w:t>
      </w:r>
      <w:r>
        <w:rPr>
          <w:color w:val="383638"/>
          <w:spacing w:val="-17"/>
          <w:w w:val="115"/>
          <w:sz w:val="21"/>
        </w:rPr>
        <w:t> </w:t>
      </w:r>
      <w:r>
        <w:rPr>
          <w:color w:val="383638"/>
          <w:w w:val="115"/>
          <w:sz w:val="21"/>
        </w:rPr>
        <w:t>R</w:t>
      </w:r>
      <w:r>
        <w:rPr>
          <w:color w:val="5B5B5D"/>
          <w:w w:val="115"/>
          <w:sz w:val="21"/>
        </w:rPr>
        <w:t>e</w:t>
      </w:r>
      <w:r>
        <w:rPr>
          <w:color w:val="383638"/>
          <w:w w:val="115"/>
          <w:sz w:val="21"/>
        </w:rPr>
        <w:t>cord</w:t>
      </w:r>
      <w:r>
        <w:rPr>
          <w:color w:val="383638"/>
          <w:spacing w:val="25"/>
          <w:w w:val="115"/>
          <w:sz w:val="21"/>
        </w:rPr>
        <w:t> </w:t>
      </w:r>
      <w:r>
        <w:rPr>
          <w:color w:val="383638"/>
          <w:w w:val="115"/>
          <w:sz w:val="21"/>
        </w:rPr>
        <w:t>G-13.</w:t>
      </w:r>
    </w:p>
    <w:p>
      <w:pPr>
        <w:pStyle w:val="BodyText"/>
        <w:spacing w:line="232" w:lineRule="auto" w:before="129"/>
        <w:ind w:left="638" w:right="122" w:firstLine="25"/>
        <w:jc w:val="both"/>
      </w:pPr>
      <w:r>
        <w:rPr>
          <w:color w:val="383638"/>
          <w:w w:val="110"/>
        </w:rPr>
        <w:t>As you might imagine, you should use this method sparingly. A one-sen­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tence paragraph is a dramatic technique; if overused, it will lose its drama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annoy the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reader</w:t>
      </w:r>
      <w:r>
        <w:rPr>
          <w:color w:val="5B5B5D"/>
          <w:w w:val="110"/>
        </w:rPr>
        <w:t>.</w:t>
      </w:r>
    </w:p>
    <w:p>
      <w:pPr>
        <w:pStyle w:val="BodyText"/>
        <w:spacing w:before="6"/>
        <w:rPr>
          <w:sz w:val="35"/>
        </w:rPr>
      </w:pPr>
    </w:p>
    <w:p>
      <w:pPr>
        <w:spacing w:before="0"/>
        <w:ind w:left="991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5B5B5D"/>
          <w:w w:val="110"/>
          <w:sz w:val="27"/>
        </w:rPr>
        <w:t>11</w:t>
      </w:r>
      <w:r>
        <w:rPr>
          <w:rFonts w:ascii="Arial"/>
          <w:b/>
          <w:color w:val="383638"/>
          <w:w w:val="110"/>
          <w:sz w:val="27"/>
        </w:rPr>
        <w:t>.</w:t>
      </w:r>
      <w:r>
        <w:rPr>
          <w:rFonts w:ascii="Arial"/>
          <w:b/>
          <w:color w:val="5B5B5D"/>
          <w:w w:val="110"/>
          <w:sz w:val="27"/>
        </w:rPr>
        <w:t>4</w:t>
      </w:r>
      <w:r>
        <w:rPr>
          <w:rFonts w:ascii="Arial"/>
          <w:b/>
          <w:color w:val="383638"/>
          <w:w w:val="110"/>
          <w:sz w:val="27"/>
        </w:rPr>
        <w:t>.</w:t>
      </w:r>
      <w:r>
        <w:rPr>
          <w:rFonts w:ascii="Arial"/>
          <w:b/>
          <w:color w:val="5B5B5D"/>
          <w:w w:val="110"/>
          <w:sz w:val="27"/>
        </w:rPr>
        <w:t>4</w:t>
      </w:r>
    </w:p>
    <w:p>
      <w:pPr>
        <w:spacing w:before="45"/>
        <w:ind w:left="976" w:right="0" w:firstLine="0"/>
        <w:jc w:val="left"/>
        <w:rPr>
          <w:rFonts w:ascii="Arial"/>
          <w:sz w:val="21"/>
        </w:rPr>
      </w:pPr>
      <w:r>
        <w:rPr>
          <w:rFonts w:ascii="Arial"/>
          <w:color w:val="5B5B5D"/>
          <w:w w:val="105"/>
          <w:sz w:val="22"/>
        </w:rPr>
        <w:t>PERS</w:t>
      </w:r>
      <w:r>
        <w:rPr>
          <w:rFonts w:ascii="Arial"/>
          <w:color w:val="383638"/>
          <w:w w:val="105"/>
          <w:sz w:val="22"/>
        </w:rPr>
        <w:t>U</w:t>
      </w:r>
      <w:r>
        <w:rPr>
          <w:rFonts w:ascii="Arial"/>
          <w:color w:val="5B5B5D"/>
          <w:w w:val="105"/>
          <w:sz w:val="22"/>
        </w:rPr>
        <w:t>AD</w:t>
      </w:r>
      <w:r>
        <w:rPr>
          <w:rFonts w:ascii="Arial"/>
          <w:color w:val="383638"/>
          <w:w w:val="105"/>
          <w:sz w:val="22"/>
        </w:rPr>
        <w:t>I</w:t>
      </w:r>
      <w:r>
        <w:rPr>
          <w:rFonts w:ascii="Arial"/>
          <w:color w:val="5B5B5D"/>
          <w:w w:val="105"/>
          <w:sz w:val="22"/>
        </w:rPr>
        <w:t>N</w:t>
      </w:r>
      <w:r>
        <w:rPr>
          <w:rFonts w:ascii="Arial"/>
          <w:color w:val="383638"/>
          <w:w w:val="105"/>
          <w:sz w:val="22"/>
        </w:rPr>
        <w:t>G</w:t>
      </w:r>
      <w:r>
        <w:rPr>
          <w:rFonts w:ascii="Arial"/>
          <w:color w:val="383638"/>
          <w:spacing w:val="22"/>
          <w:w w:val="105"/>
          <w:sz w:val="22"/>
        </w:rPr>
        <w:t> </w:t>
      </w:r>
      <w:r>
        <w:rPr>
          <w:rFonts w:ascii="Arial"/>
          <w:color w:val="383638"/>
          <w:w w:val="105"/>
          <w:sz w:val="22"/>
        </w:rPr>
        <w:t>WITH</w:t>
      </w:r>
      <w:r>
        <w:rPr>
          <w:rFonts w:ascii="Arial"/>
          <w:color w:val="383638"/>
          <w:spacing w:val="9"/>
          <w:w w:val="105"/>
          <w:sz w:val="22"/>
        </w:rPr>
        <w:t> </w:t>
      </w:r>
      <w:r>
        <w:rPr>
          <w:rFonts w:ascii="Arial"/>
          <w:color w:val="383638"/>
          <w:w w:val="105"/>
          <w:sz w:val="21"/>
        </w:rPr>
        <w:t>S</w:t>
      </w:r>
      <w:r>
        <w:rPr>
          <w:rFonts w:ascii="Arial"/>
          <w:color w:val="5B5B5D"/>
          <w:w w:val="105"/>
          <w:sz w:val="21"/>
        </w:rPr>
        <w:t>EN</w:t>
      </w:r>
      <w:r>
        <w:rPr>
          <w:rFonts w:ascii="Arial"/>
          <w:color w:val="383638"/>
          <w:w w:val="105"/>
          <w:sz w:val="21"/>
        </w:rPr>
        <w:t>T</w:t>
      </w:r>
      <w:r>
        <w:rPr>
          <w:rFonts w:ascii="Arial"/>
          <w:color w:val="5B5B5D"/>
          <w:w w:val="105"/>
          <w:sz w:val="21"/>
        </w:rPr>
        <w:t>E</w:t>
      </w:r>
      <w:r>
        <w:rPr>
          <w:rFonts w:ascii="Arial"/>
          <w:color w:val="383638"/>
          <w:w w:val="105"/>
          <w:sz w:val="21"/>
        </w:rPr>
        <w:t>NCE</w:t>
      </w:r>
      <w:r>
        <w:rPr>
          <w:rFonts w:ascii="Arial"/>
          <w:color w:val="383638"/>
          <w:spacing w:val="-1"/>
          <w:w w:val="105"/>
          <w:sz w:val="21"/>
        </w:rPr>
        <w:t> </w:t>
      </w:r>
      <w:r>
        <w:rPr>
          <w:rFonts w:ascii="Arial"/>
          <w:color w:val="383638"/>
          <w:w w:val="105"/>
          <w:sz w:val="21"/>
        </w:rPr>
        <w:t>STRUCTU</w:t>
      </w:r>
      <w:r>
        <w:rPr>
          <w:rFonts w:ascii="Arial"/>
          <w:color w:val="5B5B5D"/>
          <w:w w:val="105"/>
          <w:sz w:val="21"/>
        </w:rPr>
        <w:t>R</w:t>
      </w:r>
      <w:r>
        <w:rPr>
          <w:rFonts w:ascii="Arial"/>
          <w:color w:val="383638"/>
          <w:w w:val="105"/>
          <w:sz w:val="21"/>
        </w:rPr>
        <w:t>E</w:t>
      </w:r>
    </w:p>
    <w:p>
      <w:pPr>
        <w:pStyle w:val="BodyText"/>
        <w:spacing w:line="232" w:lineRule="auto" w:before="130"/>
        <w:ind w:left="570" w:right="114" w:firstLine="396"/>
        <w:jc w:val="both"/>
      </w:pPr>
      <w:r>
        <w:rPr>
          <w:color w:val="383638"/>
          <w:w w:val="115"/>
        </w:rPr>
        <w:t>There are many ways that sentence structure can  create  positions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of emphasis; this chapter wiU address three that most legal writers can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conquer.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First,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by</w:t>
      </w:r>
      <w:r>
        <w:rPr>
          <w:color w:val="383638"/>
          <w:spacing w:val="33"/>
          <w:w w:val="110"/>
        </w:rPr>
        <w:t> </w:t>
      </w:r>
      <w:r>
        <w:rPr>
          <w:color w:val="383638"/>
          <w:w w:val="110"/>
        </w:rPr>
        <w:t>using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active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voice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40"/>
          <w:w w:val="110"/>
        </w:rPr>
        <w:t> </w:t>
      </w:r>
      <w:r>
        <w:rPr>
          <w:color w:val="383638"/>
          <w:w w:val="110"/>
        </w:rPr>
        <w:t>strong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verbs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rather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than</w:t>
      </w:r>
      <w:r>
        <w:rPr>
          <w:color w:val="383638"/>
          <w:spacing w:val="29"/>
          <w:w w:val="110"/>
        </w:rPr>
        <w:t> </w:t>
      </w:r>
      <w:r>
        <w:rPr>
          <w:color w:val="383638"/>
          <w:w w:val="110"/>
        </w:rPr>
        <w:t>passive</w:t>
      </w:r>
    </w:p>
    <w:p>
      <w:pPr>
        <w:spacing w:after="0" w:line="232" w:lineRule="auto"/>
        <w:jc w:val="both"/>
        <w:sectPr>
          <w:headerReference w:type="even" r:id="rId293"/>
          <w:headerReference w:type="default" r:id="rId294"/>
          <w:pgSz w:w="9760" w:h="14000"/>
          <w:pgMar w:header="530" w:footer="0" w:top="1100" w:bottom="0" w:left="1360" w:right="120"/>
          <w:pgNumType w:star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2" w:lineRule="auto"/>
        <w:ind w:left="111" w:right="436" w:firstLine="9"/>
        <w:jc w:val="both"/>
      </w:pPr>
      <w:r>
        <w:rPr>
          <w:color w:val="494849"/>
          <w:w w:val="110"/>
        </w:rPr>
        <w:t>voice </w:t>
      </w:r>
      <w:r>
        <w:rPr>
          <w:color w:val="383638"/>
          <w:w w:val="110"/>
        </w:rPr>
        <w:t>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nominalizations, you can focus the reader's attention on sub­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jects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verbs that emphasize actors and actions that support your argu­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ment. Second, you can alternate independent and dependent clauses 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sentences to emphasize the information in the independent clauses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deemphasize the information in the dependent clauses. Finally, using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short sentences in the middle of a series of long sentences can pique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reader's</w:t>
      </w:r>
      <w:r>
        <w:rPr>
          <w:color w:val="383638"/>
          <w:spacing w:val="-13"/>
          <w:w w:val="115"/>
        </w:rPr>
        <w:t> </w:t>
      </w:r>
      <w:r>
        <w:rPr>
          <w:color w:val="2A2628"/>
          <w:w w:val="115"/>
        </w:rPr>
        <w:t>interest</w:t>
      </w:r>
      <w:r>
        <w:rPr>
          <w:color w:val="5B5B5D"/>
          <w:w w:val="115"/>
        </w:rPr>
        <w:t>.</w:t>
      </w:r>
    </w:p>
    <w:p>
      <w:pPr>
        <w:pStyle w:val="BodyText"/>
        <w:spacing w:before="4"/>
        <w:rPr>
          <w:sz w:val="33"/>
        </w:rPr>
      </w:pPr>
    </w:p>
    <w:p>
      <w:pPr>
        <w:pStyle w:val="ListParagraph"/>
        <w:numPr>
          <w:ilvl w:val="0"/>
          <w:numId w:val="102"/>
        </w:numPr>
        <w:tabs>
          <w:tab w:pos="826" w:val="left" w:leader="none"/>
        </w:tabs>
        <w:spacing w:line="240" w:lineRule="auto" w:before="0" w:after="0"/>
        <w:ind w:left="825" w:right="0" w:hanging="375"/>
        <w:jc w:val="both"/>
        <w:rPr>
          <w:b/>
          <w:color w:val="383638"/>
          <w:sz w:val="21"/>
        </w:rPr>
      </w:pPr>
      <w:r>
        <w:rPr>
          <w:b/>
          <w:color w:val="383638"/>
          <w:w w:val="115"/>
          <w:sz w:val="21"/>
        </w:rPr>
        <w:t>Sub</w:t>
      </w:r>
      <w:r>
        <w:rPr>
          <w:b/>
          <w:color w:val="5B5B5D"/>
          <w:w w:val="115"/>
          <w:sz w:val="21"/>
        </w:rPr>
        <w:t>jec</w:t>
      </w:r>
      <w:r>
        <w:rPr>
          <w:b/>
          <w:color w:val="383638"/>
          <w:w w:val="115"/>
          <w:sz w:val="21"/>
        </w:rPr>
        <w:t>t</w:t>
      </w:r>
      <w:r>
        <w:rPr>
          <w:b/>
          <w:color w:val="5B5B5D"/>
          <w:w w:val="115"/>
          <w:sz w:val="21"/>
        </w:rPr>
        <w:t>-Ver</w:t>
      </w:r>
      <w:r>
        <w:rPr>
          <w:b/>
          <w:color w:val="383638"/>
          <w:w w:val="115"/>
          <w:sz w:val="21"/>
        </w:rPr>
        <w:t>b</w:t>
      </w:r>
      <w:r>
        <w:rPr>
          <w:b/>
          <w:color w:val="383638"/>
          <w:spacing w:val="25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Com</w:t>
      </w:r>
      <w:r>
        <w:rPr>
          <w:b/>
          <w:color w:val="5B5B5D"/>
          <w:w w:val="115"/>
          <w:sz w:val="21"/>
        </w:rPr>
        <w:t>binations</w:t>
      </w:r>
    </w:p>
    <w:p>
      <w:pPr>
        <w:pStyle w:val="BodyText"/>
        <w:spacing w:line="235" w:lineRule="auto" w:before="5"/>
        <w:ind w:left="114" w:right="395" w:firstLine="322"/>
        <w:jc w:val="both"/>
      </w:pPr>
      <w:r>
        <w:rPr>
          <w:color w:val="383638"/>
          <w:w w:val="115"/>
        </w:rPr>
        <w:t>Just as </w:t>
      </w:r>
      <w:r>
        <w:rPr>
          <w:color w:val="2A2628"/>
          <w:w w:val="115"/>
        </w:rPr>
        <w:t>read</w:t>
      </w:r>
      <w:r>
        <w:rPr>
          <w:color w:val="494849"/>
          <w:w w:val="115"/>
        </w:rPr>
        <w:t>e</w:t>
      </w:r>
      <w:r>
        <w:rPr>
          <w:color w:val="2A2628"/>
          <w:w w:val="115"/>
        </w:rPr>
        <w:t>rs </w:t>
      </w:r>
      <w:r>
        <w:rPr>
          <w:color w:val="383638"/>
          <w:w w:val="115"/>
        </w:rPr>
        <w:t>pay more attention to information at beginnings and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endings of documents and sections, they place subconscious emphasis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0"/>
        </w:rPr>
        <w:t>on the information in the verb position of a sentence. They also subcon­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sciously look for the verb's actor-that is,the noun that is "doing" the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05"/>
        </w:rPr>
        <w:t>action of the verb</w:t>
      </w:r>
      <w:r>
        <w:rPr>
          <w:color w:val="5B5B5D"/>
          <w:w w:val="105"/>
        </w:rPr>
        <w:t>. </w:t>
      </w:r>
      <w:r>
        <w:rPr>
          <w:color w:val="383638"/>
          <w:w w:val="105"/>
        </w:rPr>
        <w:t>You can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control what information is </w:t>
      </w:r>
      <w:r>
        <w:rPr>
          <w:color w:val="2A2628"/>
          <w:w w:val="105"/>
        </w:rPr>
        <w:t>in </w:t>
      </w:r>
      <w:r>
        <w:rPr>
          <w:color w:val="383638"/>
          <w:w w:val="105"/>
        </w:rPr>
        <w:t>the subject posi­</w:t>
      </w:r>
      <w:r>
        <w:rPr>
          <w:color w:val="383638"/>
          <w:spacing w:val="1"/>
          <w:w w:val="105"/>
        </w:rPr>
        <w:t> </w:t>
      </w:r>
      <w:r>
        <w:rPr>
          <w:color w:val="2A2628"/>
          <w:w w:val="110"/>
        </w:rPr>
        <w:t>tion </w:t>
      </w:r>
      <w:r>
        <w:rPr>
          <w:color w:val="383638"/>
          <w:w w:val="110"/>
        </w:rPr>
        <w:t>and the verb position, and where (or whether) you include informa­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tion about </w:t>
      </w:r>
      <w:r>
        <w:rPr>
          <w:color w:val="383638"/>
          <w:w w:val="110"/>
        </w:rPr>
        <w:t>the verb's actor.</w:t>
      </w:r>
      <w:r>
        <w:rPr>
          <w:color w:val="383638"/>
          <w:w w:val="110"/>
          <w:vertAlign w:val="superscript"/>
        </w:rPr>
        <w:t>17</w:t>
      </w:r>
      <w:r>
        <w:rPr>
          <w:color w:val="383638"/>
          <w:w w:val="110"/>
          <w:vertAlign w:val="baseline"/>
        </w:rPr>
        <w:t> How you arrange that information will affect</w:t>
      </w:r>
      <w:r>
        <w:rPr>
          <w:color w:val="383638"/>
          <w:spacing w:val="-6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how</w:t>
      </w:r>
      <w:r>
        <w:rPr>
          <w:color w:val="383638"/>
          <w:spacing w:val="-1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your</w:t>
      </w:r>
      <w:r>
        <w:rPr>
          <w:color w:val="383638"/>
          <w:spacing w:val="3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reader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comprehends</w:t>
      </w:r>
      <w:r>
        <w:rPr>
          <w:color w:val="383638"/>
          <w:spacing w:val="-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your</w:t>
      </w:r>
      <w:r>
        <w:rPr>
          <w:color w:val="383638"/>
          <w:spacing w:val="-8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message</w:t>
      </w:r>
      <w:r>
        <w:rPr>
          <w:color w:val="5B5B5D"/>
          <w:w w:val="110"/>
          <w:vertAlign w:val="baseline"/>
        </w:rPr>
        <w:t>.</w:t>
      </w:r>
      <w:r>
        <w:rPr>
          <w:color w:val="5B5B5D"/>
          <w:spacing w:val="-12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To</w:t>
      </w:r>
      <w:r>
        <w:rPr>
          <w:color w:val="383638"/>
          <w:spacing w:val="-15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take</w:t>
      </w:r>
      <w:r>
        <w:rPr>
          <w:color w:val="383638"/>
          <w:spacing w:val="-14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simple</w:t>
      </w:r>
      <w:r>
        <w:rPr>
          <w:color w:val="383638"/>
          <w:spacing w:val="-15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example:</w:t>
      </w:r>
    </w:p>
    <w:p>
      <w:pPr>
        <w:spacing w:line="241" w:lineRule="exact" w:before="108"/>
        <w:ind w:left="453" w:right="0" w:firstLine="0"/>
        <w:jc w:val="both"/>
        <w:rPr>
          <w:b/>
          <w:sz w:val="21"/>
        </w:rPr>
      </w:pPr>
      <w:r>
        <w:rPr>
          <w:b/>
          <w:color w:val="383638"/>
          <w:w w:val="105"/>
          <w:sz w:val="21"/>
        </w:rPr>
        <w:t>The</w:t>
      </w:r>
      <w:r>
        <w:rPr>
          <w:b/>
          <w:color w:val="383638"/>
          <w:spacing w:val="-7"/>
          <w:w w:val="105"/>
          <w:sz w:val="21"/>
        </w:rPr>
        <w:t> </w:t>
      </w:r>
      <w:r>
        <w:rPr>
          <w:b/>
          <w:color w:val="2A2628"/>
          <w:w w:val="105"/>
          <w:sz w:val="21"/>
        </w:rPr>
        <w:t>dog</w:t>
      </w:r>
      <w:r>
        <w:rPr>
          <w:b/>
          <w:color w:val="2A2628"/>
          <w:spacing w:val="26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bit</w:t>
      </w:r>
      <w:r>
        <w:rPr>
          <w:b/>
          <w:color w:val="383638"/>
          <w:spacing w:val="34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the</w:t>
      </w:r>
      <w:r>
        <w:rPr>
          <w:b/>
          <w:color w:val="383638"/>
          <w:spacing w:val="30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child.</w:t>
      </w:r>
    </w:p>
    <w:p>
      <w:pPr>
        <w:spacing w:line="241" w:lineRule="exact" w:before="0"/>
        <w:ind w:left="454" w:right="0" w:firstLine="0"/>
        <w:jc w:val="both"/>
        <w:rPr>
          <w:b/>
          <w:sz w:val="21"/>
        </w:rPr>
      </w:pPr>
      <w:r>
        <w:rPr>
          <w:color w:val="383638"/>
          <w:w w:val="115"/>
          <w:sz w:val="21"/>
        </w:rPr>
        <w:t>The</w:t>
      </w:r>
      <w:r>
        <w:rPr>
          <w:color w:val="383638"/>
          <w:spacing w:val="-15"/>
          <w:w w:val="115"/>
          <w:sz w:val="21"/>
        </w:rPr>
        <w:t> </w:t>
      </w:r>
      <w:r>
        <w:rPr>
          <w:color w:val="383638"/>
          <w:w w:val="115"/>
          <w:sz w:val="21"/>
        </w:rPr>
        <w:t>child</w:t>
      </w:r>
      <w:r>
        <w:rPr>
          <w:color w:val="383638"/>
          <w:spacing w:val="3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wasbitten</w:t>
      </w:r>
      <w:r>
        <w:rPr>
          <w:b/>
          <w:color w:val="383638"/>
          <w:spacing w:val="-9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by</w:t>
      </w:r>
      <w:r>
        <w:rPr>
          <w:b/>
          <w:color w:val="383638"/>
          <w:spacing w:val="-8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the</w:t>
      </w:r>
      <w:r>
        <w:rPr>
          <w:b/>
          <w:color w:val="383638"/>
          <w:spacing w:val="-3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dog.</w:t>
      </w:r>
    </w:p>
    <w:p>
      <w:pPr>
        <w:spacing w:line="230" w:lineRule="auto" w:before="17"/>
        <w:ind w:left="468" w:right="3757" w:hanging="15"/>
        <w:jc w:val="both"/>
        <w:rPr>
          <w:sz w:val="21"/>
        </w:rPr>
      </w:pPr>
      <w:r>
        <w:rPr>
          <w:color w:val="383638"/>
          <w:w w:val="120"/>
          <w:sz w:val="20"/>
        </w:rPr>
        <w:t>The </w:t>
      </w:r>
      <w:r>
        <w:rPr>
          <w:color w:val="383638"/>
          <w:w w:val="120"/>
          <w:sz w:val="21"/>
        </w:rPr>
        <w:t>child</w:t>
      </w:r>
      <w:r>
        <w:rPr>
          <w:color w:val="383638"/>
          <w:spacing w:val="7"/>
          <w:w w:val="120"/>
          <w:sz w:val="21"/>
        </w:rPr>
        <w:t> </w:t>
      </w:r>
      <w:r>
        <w:rPr>
          <w:b/>
          <w:color w:val="383638"/>
          <w:w w:val="120"/>
          <w:sz w:val="21"/>
        </w:rPr>
        <w:t>was</w:t>
      </w:r>
      <w:r>
        <w:rPr>
          <w:b/>
          <w:color w:val="2A2628"/>
          <w:w w:val="120"/>
          <w:sz w:val="21"/>
        </w:rPr>
        <w:t>the</w:t>
      </w:r>
      <w:r>
        <w:rPr>
          <w:b/>
          <w:color w:val="2A2628"/>
          <w:spacing w:val="-16"/>
          <w:w w:val="120"/>
          <w:sz w:val="21"/>
        </w:rPr>
        <w:t> </w:t>
      </w:r>
      <w:r>
        <w:rPr>
          <w:color w:val="383638"/>
          <w:w w:val="120"/>
          <w:sz w:val="20"/>
        </w:rPr>
        <w:t>victim</w:t>
      </w:r>
      <w:r>
        <w:rPr>
          <w:color w:val="383638"/>
          <w:spacing w:val="-1"/>
          <w:w w:val="120"/>
          <w:sz w:val="20"/>
        </w:rPr>
        <w:t> </w:t>
      </w:r>
      <w:r>
        <w:rPr>
          <w:b/>
          <w:color w:val="383638"/>
          <w:w w:val="120"/>
          <w:sz w:val="21"/>
        </w:rPr>
        <w:t>of</w:t>
      </w:r>
      <w:r>
        <w:rPr>
          <w:b/>
          <w:color w:val="383638"/>
          <w:spacing w:val="-9"/>
          <w:w w:val="120"/>
          <w:sz w:val="21"/>
        </w:rPr>
        <w:t> </w:t>
      </w:r>
      <w:r>
        <w:rPr>
          <w:b/>
          <w:color w:val="383638"/>
          <w:w w:val="120"/>
          <w:sz w:val="21"/>
        </w:rPr>
        <w:t>a</w:t>
      </w:r>
      <w:r>
        <w:rPr>
          <w:b/>
          <w:color w:val="383638"/>
          <w:spacing w:val="-6"/>
          <w:w w:val="120"/>
          <w:sz w:val="21"/>
        </w:rPr>
        <w:t> </w:t>
      </w:r>
      <w:r>
        <w:rPr>
          <w:color w:val="383638"/>
          <w:w w:val="120"/>
          <w:sz w:val="21"/>
        </w:rPr>
        <w:t>dog</w:t>
      </w:r>
      <w:r>
        <w:rPr>
          <w:color w:val="383638"/>
          <w:spacing w:val="-9"/>
          <w:w w:val="120"/>
          <w:sz w:val="21"/>
        </w:rPr>
        <w:t> </w:t>
      </w:r>
      <w:r>
        <w:rPr>
          <w:color w:val="383638"/>
          <w:w w:val="120"/>
          <w:sz w:val="20"/>
        </w:rPr>
        <w:t>bite.</w:t>
      </w:r>
      <w:r>
        <w:rPr>
          <w:color w:val="383638"/>
          <w:spacing w:val="-58"/>
          <w:w w:val="120"/>
          <w:sz w:val="20"/>
        </w:rPr>
        <w:t> </w:t>
      </w:r>
      <w:r>
        <w:rPr>
          <w:color w:val="383638"/>
          <w:w w:val="110"/>
          <w:sz w:val="20"/>
        </w:rPr>
        <w:t>A</w:t>
      </w:r>
      <w:r>
        <w:rPr>
          <w:color w:val="383638"/>
          <w:spacing w:val="-23"/>
          <w:w w:val="110"/>
          <w:sz w:val="20"/>
        </w:rPr>
        <w:t> </w:t>
      </w:r>
      <w:r>
        <w:rPr>
          <w:color w:val="383638"/>
          <w:w w:val="110"/>
          <w:sz w:val="21"/>
        </w:rPr>
        <w:t>dog</w:t>
      </w:r>
      <w:r>
        <w:rPr>
          <w:color w:val="383638"/>
          <w:spacing w:val="3"/>
          <w:w w:val="110"/>
          <w:sz w:val="21"/>
        </w:rPr>
        <w:t> </w:t>
      </w:r>
      <w:r>
        <w:rPr>
          <w:color w:val="383638"/>
          <w:w w:val="110"/>
          <w:sz w:val="20"/>
        </w:rPr>
        <w:t>bite</w:t>
      </w:r>
      <w:r>
        <w:rPr>
          <w:color w:val="383638"/>
          <w:spacing w:val="-4"/>
          <w:w w:val="110"/>
          <w:sz w:val="20"/>
        </w:rPr>
        <w:t> </w:t>
      </w:r>
      <w:r>
        <w:rPr>
          <w:color w:val="383638"/>
          <w:w w:val="110"/>
          <w:sz w:val="21"/>
        </w:rPr>
        <w:t>occurred</w:t>
      </w:r>
      <w:r>
        <w:rPr>
          <w:color w:val="5B5B5D"/>
          <w:w w:val="110"/>
          <w:sz w:val="21"/>
        </w:rPr>
        <w:t>.</w:t>
      </w:r>
    </w:p>
    <w:p>
      <w:pPr>
        <w:spacing w:line="232" w:lineRule="exact" w:before="0"/>
        <w:ind w:left="470" w:right="0" w:firstLine="0"/>
        <w:jc w:val="both"/>
        <w:rPr>
          <w:sz w:val="21"/>
        </w:rPr>
      </w:pPr>
      <w:r>
        <w:rPr>
          <w:rFonts w:ascii="Arial"/>
          <w:color w:val="383638"/>
          <w:w w:val="115"/>
          <w:sz w:val="20"/>
        </w:rPr>
        <w:t>A</w:t>
      </w:r>
      <w:r>
        <w:rPr>
          <w:rFonts w:ascii="Arial"/>
          <w:color w:val="383638"/>
          <w:spacing w:val="5"/>
          <w:w w:val="115"/>
          <w:sz w:val="20"/>
        </w:rPr>
        <w:t> </w:t>
      </w:r>
      <w:r>
        <w:rPr>
          <w:color w:val="383638"/>
          <w:w w:val="115"/>
          <w:sz w:val="20"/>
        </w:rPr>
        <w:t>bite</w:t>
      </w:r>
      <w:r>
        <w:rPr>
          <w:color w:val="383638"/>
          <w:spacing w:val="-5"/>
          <w:w w:val="115"/>
          <w:sz w:val="20"/>
        </w:rPr>
        <w:t> </w:t>
      </w:r>
      <w:r>
        <w:rPr>
          <w:color w:val="383638"/>
          <w:w w:val="115"/>
          <w:sz w:val="21"/>
        </w:rPr>
        <w:t>occurred.</w:t>
      </w:r>
    </w:p>
    <w:p>
      <w:pPr>
        <w:pStyle w:val="BodyText"/>
        <w:spacing w:line="232" w:lineRule="auto" w:before="150"/>
        <w:ind w:left="133" w:firstLine="5"/>
      </w:pPr>
      <w:r>
        <w:rPr>
          <w:color w:val="383638"/>
          <w:w w:val="115"/>
        </w:rPr>
        <w:t>Most of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these sentences could describe a dog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bite. In some of the serl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tences,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reader can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instantly understand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complete story. </w:t>
      </w:r>
      <w:r>
        <w:rPr>
          <w:color w:val="2A2628"/>
          <w:w w:val="110"/>
        </w:rPr>
        <w:t>In </w:t>
      </w:r>
      <w:r>
        <w:rPr>
          <w:color w:val="383638"/>
          <w:w w:val="110"/>
        </w:rPr>
        <w:t>others,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however,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60"/>
          <w:w w:val="110"/>
        </w:rPr>
        <w:t> </w:t>
      </w:r>
      <w:r>
        <w:rPr>
          <w:color w:val="383638"/>
          <w:w w:val="110"/>
        </w:rPr>
        <w:t>reader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has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work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harder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get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information;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others,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even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when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working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hard,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reader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can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get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only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vague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idea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what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has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5"/>
        </w:rPr>
        <w:t>happened.</w:t>
      </w:r>
    </w:p>
    <w:p>
      <w:pPr>
        <w:pStyle w:val="BodyText"/>
        <w:spacing w:line="232" w:lineRule="auto" w:before="8"/>
        <w:ind w:left="143" w:right="325" w:firstLine="319"/>
        <w:jc w:val="both"/>
      </w:pPr>
      <w:r>
        <w:rPr>
          <w:color w:val="383638"/>
          <w:w w:val="115"/>
        </w:rPr>
        <w:t>Thus, the way you arrange the information within a sentence can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have a big impact on how quickly the reader understands the message.</w:t>
      </w:r>
      <w:r>
        <w:rPr>
          <w:color w:val="383638"/>
          <w:spacing w:val="1"/>
          <w:w w:val="115"/>
        </w:rPr>
        <w:t> </w:t>
      </w:r>
      <w:r>
        <w:rPr>
          <w:color w:val="2A2628"/>
          <w:w w:val="115"/>
        </w:rPr>
        <w:t>Information </w:t>
      </w:r>
      <w:r>
        <w:rPr>
          <w:color w:val="383638"/>
          <w:w w:val="115"/>
        </w:rPr>
        <w:t>arrangement can </w:t>
      </w:r>
      <w:r>
        <w:rPr>
          <w:color w:val="494849"/>
          <w:w w:val="115"/>
        </w:rPr>
        <w:t>sometimes </w:t>
      </w:r>
      <w:r>
        <w:rPr>
          <w:color w:val="383638"/>
          <w:w w:val="115"/>
        </w:rPr>
        <w:t>have an impact on how the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05"/>
        </w:rPr>
        <w:t>reader feels </w:t>
      </w:r>
      <w:r>
        <w:rPr>
          <w:color w:val="494849"/>
          <w:w w:val="105"/>
        </w:rPr>
        <w:t>abo</w:t>
      </w:r>
      <w:r>
        <w:rPr>
          <w:color w:val="2A2628"/>
          <w:w w:val="105"/>
        </w:rPr>
        <w:t>ut  </w:t>
      </w:r>
      <w:r>
        <w:rPr>
          <w:color w:val="383638"/>
          <w:w w:val="105"/>
        </w:rPr>
        <w:t>the  message as well. Take a look at  these two versions of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sentence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might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appear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27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letter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from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law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school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its students:</w:t>
      </w:r>
    </w:p>
    <w:p>
      <w:pPr>
        <w:spacing w:before="126"/>
        <w:ind w:left="477" w:right="0" w:firstLine="0"/>
        <w:jc w:val="both"/>
        <w:rPr>
          <w:b/>
          <w:sz w:val="21"/>
        </w:rPr>
      </w:pPr>
      <w:r>
        <w:rPr>
          <w:b/>
          <w:color w:val="383638"/>
          <w:w w:val="110"/>
          <w:sz w:val="21"/>
        </w:rPr>
        <w:t>We</w:t>
      </w:r>
      <w:r>
        <w:rPr>
          <w:b/>
          <w:color w:val="383638"/>
          <w:spacing w:val="-1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are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increasing</w:t>
      </w:r>
      <w:r>
        <w:rPr>
          <w:b/>
          <w:color w:val="383638"/>
          <w:spacing w:val="1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your</w:t>
      </w:r>
      <w:r>
        <w:rPr>
          <w:b/>
          <w:color w:val="383638"/>
          <w:spacing w:val="-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tuition</w:t>
      </w:r>
      <w:r>
        <w:rPr>
          <w:b/>
          <w:color w:val="383638"/>
          <w:spacing w:val="-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by</w:t>
      </w:r>
      <w:r>
        <w:rPr>
          <w:b/>
          <w:color w:val="383638"/>
          <w:spacing w:val="-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$5,000</w:t>
      </w:r>
      <w:r>
        <w:rPr>
          <w:b/>
          <w:color w:val="383638"/>
          <w:spacing w:val="-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per</w:t>
      </w:r>
      <w:r>
        <w:rPr>
          <w:b/>
          <w:color w:val="383638"/>
          <w:spacing w:val="-3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year</w:t>
      </w:r>
      <w:r>
        <w:rPr>
          <w:b/>
          <w:color w:val="5B5B5D"/>
          <w:w w:val="110"/>
          <w:sz w:val="21"/>
        </w:rPr>
        <w:t>.</w:t>
      </w:r>
    </w:p>
    <w:p>
      <w:pPr>
        <w:spacing w:before="135"/>
        <w:ind w:left="487" w:right="0" w:firstLine="0"/>
        <w:jc w:val="both"/>
        <w:rPr>
          <w:sz w:val="21"/>
        </w:rPr>
      </w:pPr>
      <w:r>
        <w:rPr>
          <w:color w:val="383638"/>
          <w:w w:val="115"/>
          <w:sz w:val="21"/>
        </w:rPr>
        <w:t>A</w:t>
      </w:r>
      <w:r>
        <w:rPr>
          <w:color w:val="383638"/>
          <w:spacing w:val="-15"/>
          <w:w w:val="115"/>
          <w:sz w:val="21"/>
        </w:rPr>
        <w:t> </w:t>
      </w:r>
      <w:r>
        <w:rPr>
          <w:color w:val="383638"/>
          <w:w w:val="115"/>
          <w:sz w:val="21"/>
        </w:rPr>
        <w:t>tuition</w:t>
      </w:r>
      <w:r>
        <w:rPr>
          <w:color w:val="383638"/>
          <w:spacing w:val="5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increase</w:t>
      </w:r>
      <w:r>
        <w:rPr>
          <w:b/>
          <w:color w:val="383638"/>
          <w:spacing w:val="-9"/>
          <w:w w:val="115"/>
          <w:sz w:val="21"/>
        </w:rPr>
        <w:t> </w:t>
      </w:r>
      <w:r>
        <w:rPr>
          <w:color w:val="383638"/>
          <w:w w:val="115"/>
          <w:sz w:val="21"/>
        </w:rPr>
        <w:t>of</w:t>
      </w:r>
      <w:r>
        <w:rPr>
          <w:color w:val="383638"/>
          <w:spacing w:val="14"/>
          <w:w w:val="115"/>
          <w:sz w:val="21"/>
        </w:rPr>
        <w:t> </w:t>
      </w:r>
      <w:r>
        <w:rPr>
          <w:color w:val="2A2628"/>
          <w:w w:val="115"/>
          <w:sz w:val="21"/>
        </w:rPr>
        <w:t>$5,000</w:t>
      </w:r>
      <w:r>
        <w:rPr>
          <w:color w:val="2A2628"/>
          <w:spacing w:val="-14"/>
          <w:w w:val="115"/>
          <w:sz w:val="21"/>
        </w:rPr>
        <w:t> </w:t>
      </w:r>
      <w:r>
        <w:rPr>
          <w:color w:val="383638"/>
          <w:w w:val="115"/>
          <w:sz w:val="19"/>
        </w:rPr>
        <w:t>will</w:t>
      </w:r>
      <w:r>
        <w:rPr>
          <w:color w:val="383638"/>
          <w:spacing w:val="-3"/>
          <w:w w:val="115"/>
          <w:sz w:val="19"/>
        </w:rPr>
        <w:t> </w:t>
      </w:r>
      <w:r>
        <w:rPr>
          <w:color w:val="383638"/>
          <w:w w:val="115"/>
          <w:sz w:val="21"/>
        </w:rPr>
        <w:t>occur.</w:t>
      </w:r>
    </w:p>
    <w:p>
      <w:pPr>
        <w:pStyle w:val="BodyText"/>
        <w:spacing w:line="232" w:lineRule="auto" w:before="141"/>
        <w:ind w:left="150" w:right="239" w:hanging="15"/>
        <w:jc w:val="both"/>
      </w:pPr>
      <w:r>
        <w:rPr>
          <w:color w:val="383638"/>
          <w:w w:val="110"/>
        </w:rPr>
        <w:t>The first sentence is more likely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make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student angry 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law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school administration. Through their use of subjects and verbs, they have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taken direct responsibility for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tuition increase. The</w:t>
      </w:r>
      <w:r>
        <w:rPr>
          <w:color w:val="383638"/>
          <w:spacing w:val="1"/>
          <w:w w:val="110"/>
        </w:rPr>
        <w:t> </w:t>
      </w:r>
      <w:r>
        <w:rPr>
          <w:color w:val="2A2628"/>
          <w:w w:val="110"/>
        </w:rPr>
        <w:t>reader </w:t>
      </w:r>
      <w:r>
        <w:rPr>
          <w:color w:val="383638"/>
          <w:w w:val="110"/>
        </w:rPr>
        <w:t>instantly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understands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message,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its clarity may intensify the </w:t>
      </w:r>
      <w:r>
        <w:rPr>
          <w:color w:val="2A2628"/>
          <w:w w:val="110"/>
        </w:rPr>
        <w:t>re</w:t>
      </w:r>
      <w:r>
        <w:rPr>
          <w:color w:val="494849"/>
          <w:w w:val="110"/>
        </w:rPr>
        <w:t>ader's </w:t>
      </w:r>
      <w:r>
        <w:rPr>
          <w:color w:val="2A2628"/>
          <w:w w:val="110"/>
        </w:rPr>
        <w:t>reac­</w:t>
      </w:r>
      <w:r>
        <w:rPr>
          <w:color w:val="2A2628"/>
          <w:spacing w:val="1"/>
          <w:w w:val="110"/>
        </w:rPr>
        <w:t> </w:t>
      </w:r>
      <w:r>
        <w:rPr>
          <w:color w:val="2A2628"/>
          <w:w w:val="110"/>
        </w:rPr>
        <w:t>tion. </w:t>
      </w:r>
      <w:r>
        <w:rPr>
          <w:color w:val="383638"/>
          <w:w w:val="110"/>
        </w:rPr>
        <w:t>The second sentence is a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more typical example of  how  to  deliver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bad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news.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No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one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takes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responsibility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dramatic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tuition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increase;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it</w:t>
      </w:r>
    </w:p>
    <w:p>
      <w:pPr>
        <w:pStyle w:val="BodyText"/>
        <w:rPr>
          <w:sz w:val="33"/>
        </w:rPr>
      </w:pPr>
    </w:p>
    <w:p>
      <w:pPr>
        <w:spacing w:before="0"/>
        <w:ind w:left="496" w:right="0" w:firstLine="0"/>
        <w:jc w:val="both"/>
        <w:rPr>
          <w:sz w:val="18"/>
        </w:rPr>
      </w:pPr>
      <w:r>
        <w:rPr>
          <w:color w:val="383638"/>
          <w:w w:val="105"/>
          <w:position w:val="6"/>
          <w:sz w:val="11"/>
        </w:rPr>
        <w:t>11</w:t>
      </w:r>
      <w:r>
        <w:rPr>
          <w:i/>
          <w:color w:val="494849"/>
          <w:w w:val="105"/>
          <w:sz w:val="19"/>
        </w:rPr>
        <w:t>See,</w:t>
      </w:r>
      <w:r>
        <w:rPr>
          <w:i/>
          <w:color w:val="494849"/>
          <w:spacing w:val="-35"/>
          <w:w w:val="105"/>
          <w:sz w:val="19"/>
        </w:rPr>
        <w:t> </w:t>
      </w:r>
      <w:r>
        <w:rPr>
          <w:i/>
          <w:color w:val="494849"/>
          <w:w w:val="105"/>
          <w:sz w:val="19"/>
        </w:rPr>
        <w:t>e.g.,</w:t>
      </w:r>
      <w:r>
        <w:rPr>
          <w:i/>
          <w:color w:val="494849"/>
          <w:spacing w:val="-19"/>
          <w:w w:val="105"/>
          <w:sz w:val="19"/>
        </w:rPr>
        <w:t> </w:t>
      </w:r>
      <w:r>
        <w:rPr>
          <w:color w:val="383638"/>
          <w:w w:val="105"/>
          <w:sz w:val="18"/>
        </w:rPr>
        <w:t>Williams</w:t>
      </w:r>
      <w:r>
        <w:rPr>
          <w:color w:val="383638"/>
          <w:spacing w:val="-7"/>
          <w:w w:val="105"/>
          <w:sz w:val="18"/>
        </w:rPr>
        <w:t> </w:t>
      </w:r>
      <w:r>
        <w:rPr>
          <w:color w:val="383638"/>
          <w:w w:val="105"/>
          <w:sz w:val="16"/>
        </w:rPr>
        <w:t>&amp;</w:t>
      </w:r>
      <w:r>
        <w:rPr>
          <w:color w:val="383638"/>
          <w:spacing w:val="7"/>
          <w:w w:val="105"/>
          <w:sz w:val="16"/>
        </w:rPr>
        <w:t> </w:t>
      </w:r>
      <w:r>
        <w:rPr>
          <w:color w:val="383638"/>
          <w:w w:val="105"/>
          <w:sz w:val="18"/>
        </w:rPr>
        <w:t>Colomb,</w:t>
      </w:r>
      <w:r>
        <w:rPr>
          <w:color w:val="383638"/>
          <w:spacing w:val="4"/>
          <w:w w:val="105"/>
          <w:sz w:val="18"/>
        </w:rPr>
        <w:t> </w:t>
      </w:r>
      <w:r>
        <w:rPr>
          <w:i/>
          <w:color w:val="494849"/>
          <w:w w:val="105"/>
          <w:sz w:val="19"/>
        </w:rPr>
        <w:t>supra</w:t>
      </w:r>
      <w:r>
        <w:rPr>
          <w:i/>
          <w:color w:val="494849"/>
          <w:spacing w:val="-4"/>
          <w:w w:val="105"/>
          <w:sz w:val="19"/>
        </w:rPr>
        <w:t> </w:t>
      </w:r>
      <w:r>
        <w:rPr>
          <w:color w:val="383638"/>
          <w:w w:val="105"/>
          <w:sz w:val="18"/>
        </w:rPr>
        <w:t>note</w:t>
      </w:r>
      <w:r>
        <w:rPr>
          <w:color w:val="383638"/>
          <w:spacing w:val="-1"/>
          <w:w w:val="105"/>
          <w:sz w:val="18"/>
        </w:rPr>
        <w:t> </w:t>
      </w:r>
      <w:r>
        <w:rPr>
          <w:color w:val="383638"/>
          <w:w w:val="105"/>
          <w:sz w:val="18"/>
        </w:rPr>
        <w:t>14,at</w:t>
      </w:r>
      <w:r>
        <w:rPr>
          <w:color w:val="383638"/>
          <w:spacing w:val="5"/>
          <w:w w:val="105"/>
          <w:sz w:val="18"/>
        </w:rPr>
        <w:t> </w:t>
      </w:r>
      <w:r>
        <w:rPr>
          <w:color w:val="2A2628"/>
          <w:w w:val="105"/>
          <w:sz w:val="18"/>
        </w:rPr>
        <w:t>L</w:t>
      </w:r>
      <w:r>
        <w:rPr>
          <w:color w:val="5B5B5D"/>
          <w:w w:val="105"/>
          <w:sz w:val="18"/>
        </w:rPr>
        <w:t>ess</w:t>
      </w:r>
      <w:r>
        <w:rPr>
          <w:color w:val="383638"/>
          <w:w w:val="105"/>
          <w:sz w:val="18"/>
        </w:rPr>
        <w:t>on</w:t>
      </w:r>
      <w:r>
        <w:rPr>
          <w:color w:val="383638"/>
          <w:spacing w:val="21"/>
          <w:w w:val="105"/>
          <w:sz w:val="18"/>
        </w:rPr>
        <w:t> </w:t>
      </w:r>
      <w:r>
        <w:rPr>
          <w:color w:val="383638"/>
          <w:w w:val="105"/>
          <w:sz w:val="18"/>
        </w:rPr>
        <w:t>3.</w:t>
      </w:r>
    </w:p>
    <w:p>
      <w:pPr>
        <w:spacing w:after="0"/>
        <w:jc w:val="both"/>
        <w:rPr>
          <w:sz w:val="18"/>
        </w:rPr>
        <w:sectPr>
          <w:pgSz w:w="9680" w:h="14000"/>
          <w:pgMar w:header="646" w:footer="0" w:top="840" w:bottom="280" w:left="340" w:right="1340"/>
        </w:sectPr>
      </w:pPr>
    </w:p>
    <w:p>
      <w:pPr>
        <w:pStyle w:val="BodyText"/>
        <w:spacing w:line="232" w:lineRule="auto" w:before="87"/>
        <w:ind w:left="648" w:right="104" w:firstLine="6"/>
        <w:jc w:val="both"/>
      </w:pPr>
      <w:r>
        <w:rPr>
          <w:color w:val="383638"/>
          <w:spacing w:val="-1"/>
          <w:w w:val="110"/>
        </w:rPr>
        <w:t>seems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come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from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outside.</w:t>
      </w:r>
      <w:r>
        <w:rPr>
          <w:color w:val="383638"/>
          <w:spacing w:val="-38"/>
          <w:w w:val="110"/>
        </w:rPr>
        <w:t> </w:t>
      </w:r>
      <w:r>
        <w:rPr>
          <w:color w:val="383638"/>
          <w:w w:val="110"/>
        </w:rPr>
        <w:t>Thus,</w:t>
      </w:r>
      <w:r>
        <w:rPr>
          <w:color w:val="383638"/>
          <w:spacing w:val="-22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clarity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24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-32"/>
          <w:w w:val="110"/>
        </w:rPr>
        <w:t> </w:t>
      </w:r>
      <w:r>
        <w:rPr>
          <w:color w:val="383638"/>
          <w:w w:val="110"/>
        </w:rPr>
        <w:t>helpful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when</w:t>
      </w:r>
      <w:r>
        <w:rPr>
          <w:color w:val="383638"/>
          <w:spacing w:val="-28"/>
          <w:w w:val="110"/>
        </w:rPr>
        <w:t> </w:t>
      </w:r>
      <w:r>
        <w:rPr>
          <w:color w:val="383638"/>
          <w:w w:val="110"/>
        </w:rPr>
        <w:t>easy</w:t>
      </w:r>
      <w:r>
        <w:rPr>
          <w:color w:val="383638"/>
          <w:spacing w:val="-60"/>
          <w:w w:val="110"/>
        </w:rPr>
        <w:t> </w:t>
      </w:r>
      <w:r>
        <w:rPr>
          <w:color w:val="383638"/>
          <w:w w:val="110"/>
        </w:rPr>
        <w:t>understanding is beneficial ("the dog bit the child") has quite a different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impact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on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those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rare</w:t>
      </w:r>
      <w:r>
        <w:rPr>
          <w:color w:val="383638"/>
          <w:spacing w:val="-22"/>
          <w:w w:val="110"/>
        </w:rPr>
        <w:t> </w:t>
      </w:r>
      <w:r>
        <w:rPr>
          <w:color w:val="383638"/>
          <w:w w:val="110"/>
        </w:rPr>
        <w:t>occasions</w:t>
      </w:r>
      <w:r>
        <w:rPr>
          <w:color w:val="383638"/>
          <w:spacing w:val="-22"/>
          <w:w w:val="110"/>
        </w:rPr>
        <w:t> </w:t>
      </w:r>
      <w:r>
        <w:rPr>
          <w:color w:val="383638"/>
          <w:w w:val="110"/>
        </w:rPr>
        <w:t>when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writer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wants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blunt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impact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05"/>
        </w:rPr>
        <w:t>of</w:t>
      </w:r>
      <w:r>
        <w:rPr>
          <w:color w:val="383638"/>
          <w:spacing w:val="8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33"/>
          <w:w w:val="105"/>
        </w:rPr>
        <w:t> </w:t>
      </w:r>
      <w:r>
        <w:rPr>
          <w:color w:val="383638"/>
          <w:w w:val="105"/>
        </w:rPr>
        <w:t>message</w:t>
      </w:r>
      <w:r>
        <w:rPr>
          <w:color w:val="383638"/>
          <w:spacing w:val="12"/>
          <w:w w:val="105"/>
        </w:rPr>
        <w:t> </w:t>
      </w:r>
      <w:r>
        <w:rPr>
          <w:color w:val="383638"/>
          <w:w w:val="105"/>
        </w:rPr>
        <w:t>("we</w:t>
      </w:r>
      <w:r>
        <w:rPr>
          <w:color w:val="383638"/>
          <w:spacing w:val="-18"/>
          <w:w w:val="105"/>
        </w:rPr>
        <w:t> </w:t>
      </w:r>
      <w:r>
        <w:rPr>
          <w:color w:val="383638"/>
          <w:w w:val="105"/>
        </w:rPr>
        <w:t>are</w:t>
      </w:r>
      <w:r>
        <w:rPr>
          <w:color w:val="383638"/>
          <w:spacing w:val="9"/>
          <w:w w:val="105"/>
        </w:rPr>
        <w:t> </w:t>
      </w:r>
      <w:r>
        <w:rPr>
          <w:color w:val="383638"/>
          <w:w w:val="105"/>
        </w:rPr>
        <w:t>increasing</w:t>
      </w:r>
      <w:r>
        <w:rPr>
          <w:color w:val="383638"/>
          <w:spacing w:val="5"/>
          <w:w w:val="105"/>
        </w:rPr>
        <w:t> </w:t>
      </w:r>
      <w:r>
        <w:rPr>
          <w:color w:val="383638"/>
          <w:w w:val="105"/>
        </w:rPr>
        <w:t>your</w:t>
      </w:r>
      <w:r>
        <w:rPr>
          <w:color w:val="383638"/>
          <w:spacing w:val="-3"/>
          <w:w w:val="105"/>
        </w:rPr>
        <w:t> </w:t>
      </w:r>
      <w:r>
        <w:rPr>
          <w:color w:val="383638"/>
          <w:w w:val="105"/>
        </w:rPr>
        <w:t>tuition").</w:t>
      </w:r>
    </w:p>
    <w:p>
      <w:pPr>
        <w:pStyle w:val="BodyText"/>
        <w:spacing w:line="232" w:lineRule="auto" w:before="5"/>
        <w:ind w:left="645" w:right="101" w:firstLine="384"/>
        <w:jc w:val="both"/>
      </w:pPr>
      <w:r>
        <w:rPr>
          <w:color w:val="383638"/>
          <w:w w:val="105"/>
        </w:rPr>
        <w:t>Writers can learn a wide variety of techniques to control the clarity of </w:t>
      </w:r>
      <w:r>
        <w:rPr>
          <w:rFonts w:ascii="Arial" w:hAnsi="Arial"/>
          <w:b/>
          <w:color w:val="383638"/>
          <w:w w:val="105"/>
          <w:sz w:val="21"/>
        </w:rPr>
        <w:t>a</w:t>
      </w:r>
      <w:r>
        <w:rPr>
          <w:rFonts w:ascii="Arial" w:hAnsi="Arial"/>
          <w:b/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</w:rPr>
        <w:t>sentence. Two of the most important are (1) using or avoiding nominaliza­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tions, and</w:t>
      </w:r>
      <w:r>
        <w:rPr>
          <w:color w:val="383638"/>
          <w:spacing w:val="25"/>
          <w:w w:val="105"/>
        </w:rPr>
        <w:t> </w:t>
      </w:r>
      <w:r>
        <w:rPr>
          <w:color w:val="383638"/>
          <w:w w:val="105"/>
        </w:rPr>
        <w:t>(2)</w:t>
      </w:r>
      <w:r>
        <w:rPr>
          <w:color w:val="383638"/>
          <w:spacing w:val="4"/>
          <w:w w:val="105"/>
        </w:rPr>
        <w:t> </w:t>
      </w:r>
      <w:r>
        <w:rPr>
          <w:color w:val="383638"/>
          <w:w w:val="105"/>
        </w:rPr>
        <w:t>using</w:t>
      </w:r>
      <w:r>
        <w:rPr>
          <w:color w:val="383638"/>
          <w:spacing w:val="-15"/>
          <w:w w:val="105"/>
        </w:rPr>
        <w:t> </w:t>
      </w:r>
      <w:r>
        <w:rPr>
          <w:color w:val="383638"/>
          <w:w w:val="105"/>
        </w:rPr>
        <w:t>or</w:t>
      </w:r>
      <w:r>
        <w:rPr>
          <w:color w:val="383638"/>
          <w:spacing w:val="-2"/>
          <w:w w:val="105"/>
        </w:rPr>
        <w:t> </w:t>
      </w:r>
      <w:r>
        <w:rPr>
          <w:color w:val="383638"/>
          <w:w w:val="105"/>
        </w:rPr>
        <w:t>avoiding passive</w:t>
      </w:r>
      <w:r>
        <w:rPr>
          <w:color w:val="383638"/>
          <w:spacing w:val="6"/>
          <w:w w:val="105"/>
        </w:rPr>
        <w:t> </w:t>
      </w:r>
      <w:r>
        <w:rPr>
          <w:color w:val="383638"/>
          <w:w w:val="105"/>
        </w:rPr>
        <w:t>voice.</w:t>
      </w:r>
    </w:p>
    <w:p>
      <w:pPr>
        <w:pStyle w:val="ListParagraph"/>
        <w:numPr>
          <w:ilvl w:val="1"/>
          <w:numId w:val="102"/>
        </w:numPr>
        <w:tabs>
          <w:tab w:pos="1243" w:val="left" w:leader="none"/>
        </w:tabs>
        <w:spacing w:line="240" w:lineRule="auto" w:before="129" w:after="0"/>
        <w:ind w:left="1242" w:right="0" w:hanging="227"/>
        <w:jc w:val="both"/>
        <w:rPr>
          <w:i/>
          <w:sz w:val="22"/>
        </w:rPr>
      </w:pPr>
      <w:r>
        <w:rPr>
          <w:i/>
          <w:color w:val="383638"/>
          <w:w w:val="110"/>
          <w:sz w:val="22"/>
        </w:rPr>
        <w:t>Nominalizations</w:t>
      </w:r>
    </w:p>
    <w:p>
      <w:pPr>
        <w:pStyle w:val="BodyText"/>
        <w:spacing w:line="232" w:lineRule="auto" w:before="14"/>
        <w:ind w:left="613" w:right="111" w:firstLine="388"/>
        <w:jc w:val="both"/>
      </w:pPr>
      <w:r>
        <w:rPr>
          <w:color w:val="383638"/>
          <w:w w:val="110"/>
        </w:rPr>
        <w:t>A nominalization is, quite simply, a verb that has been turned into </w:t>
      </w:r>
      <w:r>
        <w:rPr>
          <w:rFonts w:ascii="Arial"/>
          <w:b/>
          <w:color w:val="383638"/>
          <w:w w:val="110"/>
          <w:sz w:val="20"/>
        </w:rPr>
        <w:t>a</w:t>
      </w:r>
      <w:r>
        <w:rPr>
          <w:rFonts w:ascii="Arial"/>
          <w:b/>
          <w:color w:val="383638"/>
          <w:spacing w:val="1"/>
          <w:w w:val="110"/>
          <w:sz w:val="20"/>
        </w:rPr>
        <w:t> </w:t>
      </w:r>
      <w:r>
        <w:rPr>
          <w:color w:val="383638"/>
          <w:w w:val="110"/>
        </w:rPr>
        <w:t>noun. Turning a verb into a noun does not violate any rules of grammar,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but it does slow down the reader's comprehension of the information </w:t>
      </w:r>
      <w:r>
        <w:rPr>
          <w:color w:val="383638"/>
          <w:w w:val="110"/>
          <w:sz w:val="21"/>
        </w:rPr>
        <w:t>in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spacing w:val="-1"/>
          <w:w w:val="110"/>
        </w:rPr>
        <w:t>that word. </w:t>
      </w:r>
      <w:r>
        <w:rPr>
          <w:color w:val="383638"/>
          <w:w w:val="110"/>
        </w:rPr>
        <w:t>For example</w:t>
      </w:r>
      <w:r>
        <w:rPr>
          <w:color w:val="565657"/>
          <w:w w:val="110"/>
        </w:rPr>
        <w:t>, </w:t>
      </w:r>
      <w:r>
        <w:rPr>
          <w:color w:val="383638"/>
          <w:w w:val="110"/>
        </w:rPr>
        <w:t>the word </w:t>
      </w:r>
      <w:r>
        <w:rPr>
          <w:i/>
          <w:color w:val="383638"/>
          <w:w w:val="110"/>
          <w:sz w:val="22"/>
        </w:rPr>
        <w:t>decision </w:t>
      </w:r>
      <w:r>
        <w:rPr>
          <w:color w:val="383638"/>
          <w:w w:val="110"/>
        </w:rPr>
        <w:t>is a nominalization of the verb</w:t>
      </w:r>
      <w:r>
        <w:rPr>
          <w:color w:val="383638"/>
          <w:spacing w:val="-61"/>
          <w:w w:val="110"/>
        </w:rPr>
        <w:t> </w:t>
      </w:r>
      <w:r>
        <w:rPr>
          <w:i/>
          <w:color w:val="383638"/>
          <w:w w:val="110"/>
          <w:sz w:val="22"/>
        </w:rPr>
        <w:t>decide. </w:t>
      </w:r>
      <w:r>
        <w:rPr>
          <w:color w:val="383638"/>
          <w:w w:val="110"/>
        </w:rPr>
        <w:t>When you move the word </w:t>
      </w:r>
      <w:r>
        <w:rPr>
          <w:i/>
          <w:color w:val="383638"/>
          <w:w w:val="110"/>
          <w:sz w:val="22"/>
        </w:rPr>
        <w:t>decide </w:t>
      </w:r>
      <w:r>
        <w:rPr>
          <w:color w:val="383638"/>
          <w:w w:val="110"/>
        </w:rPr>
        <w:t>from the verb position into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noun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position</w:t>
      </w:r>
      <w:r>
        <w:rPr>
          <w:color w:val="565657"/>
          <w:w w:val="110"/>
        </w:rPr>
        <w:t>,</w:t>
      </w:r>
      <w:r>
        <w:rPr>
          <w:color w:val="565657"/>
          <w:spacing w:val="7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lessen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impact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verb:</w:t>
      </w:r>
    </w:p>
    <w:p>
      <w:pPr>
        <w:spacing w:before="129"/>
        <w:ind w:left="952" w:right="0" w:firstLine="0"/>
        <w:jc w:val="left"/>
        <w:rPr>
          <w:b/>
          <w:sz w:val="21"/>
        </w:rPr>
      </w:pPr>
      <w:r>
        <w:rPr>
          <w:rFonts w:ascii="Arial"/>
          <w:b/>
          <w:i/>
          <w:color w:val="383638"/>
          <w:w w:val="110"/>
          <w:sz w:val="19"/>
        </w:rPr>
        <w:t>We</w:t>
      </w:r>
      <w:r>
        <w:rPr>
          <w:rFonts w:ascii="Arial"/>
          <w:b/>
          <w:i/>
          <w:color w:val="383638"/>
          <w:spacing w:val="-14"/>
          <w:w w:val="110"/>
          <w:sz w:val="19"/>
        </w:rPr>
        <w:t> </w:t>
      </w:r>
      <w:r>
        <w:rPr>
          <w:b/>
          <w:color w:val="383638"/>
          <w:w w:val="110"/>
          <w:sz w:val="21"/>
        </w:rPr>
        <w:t>decided</w:t>
      </w:r>
      <w:r>
        <w:rPr>
          <w:b/>
          <w:color w:val="383638"/>
          <w:spacing w:val="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to</w:t>
      </w:r>
      <w:r>
        <w:rPr>
          <w:b/>
          <w:color w:val="383638"/>
          <w:spacing w:val="-2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raise</w:t>
      </w:r>
      <w:r>
        <w:rPr>
          <w:b/>
          <w:color w:val="383638"/>
          <w:spacing w:val="-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your</w:t>
      </w:r>
      <w:r>
        <w:rPr>
          <w:b/>
          <w:color w:val="383638"/>
          <w:spacing w:val="-17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tuition.</w:t>
      </w:r>
    </w:p>
    <w:p>
      <w:pPr>
        <w:spacing w:before="135"/>
        <w:ind w:left="953" w:right="0" w:firstLine="0"/>
        <w:jc w:val="left"/>
        <w:rPr>
          <w:b/>
          <w:sz w:val="21"/>
        </w:rPr>
      </w:pPr>
      <w:r>
        <w:rPr>
          <w:b/>
          <w:color w:val="383638"/>
          <w:w w:val="105"/>
          <w:sz w:val="21"/>
        </w:rPr>
        <w:t>We</w:t>
      </w:r>
      <w:r>
        <w:rPr>
          <w:b/>
          <w:color w:val="383638"/>
          <w:spacing w:val="-2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made a</w:t>
      </w:r>
      <w:r>
        <w:rPr>
          <w:b/>
          <w:color w:val="383638"/>
          <w:spacing w:val="12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decision</w:t>
      </w:r>
      <w:r>
        <w:rPr>
          <w:b/>
          <w:color w:val="383638"/>
          <w:spacing w:val="28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that</w:t>
      </w:r>
      <w:r>
        <w:rPr>
          <w:b/>
          <w:color w:val="383638"/>
          <w:spacing w:val="2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a</w:t>
      </w:r>
      <w:r>
        <w:rPr>
          <w:b/>
          <w:color w:val="383638"/>
          <w:spacing w:val="1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tuition</w:t>
      </w:r>
      <w:r>
        <w:rPr>
          <w:b/>
          <w:color w:val="383638"/>
          <w:spacing w:val="19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increase</w:t>
      </w:r>
      <w:r>
        <w:rPr>
          <w:b/>
          <w:color w:val="383638"/>
          <w:spacing w:val="2"/>
          <w:w w:val="105"/>
          <w:sz w:val="21"/>
        </w:rPr>
        <w:t> </w:t>
      </w:r>
      <w:r>
        <w:rPr>
          <w:rFonts w:ascii="Arial"/>
          <w:color w:val="383638"/>
          <w:w w:val="105"/>
          <w:sz w:val="19"/>
        </w:rPr>
        <w:t>is</w:t>
      </w:r>
      <w:r>
        <w:rPr>
          <w:rFonts w:ascii="Arial"/>
          <w:color w:val="383638"/>
          <w:spacing w:val="52"/>
          <w:w w:val="105"/>
          <w:sz w:val="19"/>
        </w:rPr>
        <w:t> </w:t>
      </w:r>
      <w:r>
        <w:rPr>
          <w:b/>
          <w:color w:val="383638"/>
          <w:w w:val="105"/>
          <w:sz w:val="21"/>
        </w:rPr>
        <w:t>necessary.</w:t>
      </w:r>
    </w:p>
    <w:p>
      <w:pPr>
        <w:pStyle w:val="BodyText"/>
        <w:spacing w:line="232" w:lineRule="auto" w:before="151"/>
        <w:ind w:left="561" w:right="124" w:firstLine="23"/>
        <w:jc w:val="both"/>
      </w:pPr>
      <w:r>
        <w:rPr>
          <w:color w:val="383638"/>
          <w:w w:val="110"/>
        </w:rPr>
        <w:t>Look at these two different questions presented that describe the actions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police</w:t>
      </w:r>
      <w:r>
        <w:rPr>
          <w:color w:val="383638"/>
          <w:spacing w:val="-29"/>
          <w:w w:val="110"/>
        </w:rPr>
        <w:t> </w:t>
      </w:r>
      <w:r>
        <w:rPr>
          <w:color w:val="383638"/>
          <w:w w:val="110"/>
        </w:rPr>
        <w:t>officer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looking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into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windows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basement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apartment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from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05"/>
        </w:rPr>
        <w:t>a distance of 12 to 14 inches. Notice how nominalizations in one illustra­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tion and concrete verbs and other language in the other may change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perception</w:t>
      </w:r>
      <w:r>
        <w:rPr>
          <w:color w:val="383638"/>
          <w:spacing w:val="-3"/>
          <w:w w:val="115"/>
        </w:rPr>
        <w:t> </w:t>
      </w:r>
      <w:r>
        <w:rPr>
          <w:color w:val="383638"/>
          <w:w w:val="115"/>
        </w:rPr>
        <w:t>of</w:t>
      </w:r>
      <w:r>
        <w:rPr>
          <w:color w:val="383638"/>
          <w:spacing w:val="-1"/>
          <w:w w:val="115"/>
        </w:rPr>
        <w:t> </w:t>
      </w:r>
      <w:r>
        <w:rPr>
          <w:color w:val="383638"/>
          <w:w w:val="115"/>
        </w:rPr>
        <w:t>what</w:t>
      </w:r>
      <w:r>
        <w:rPr>
          <w:color w:val="383638"/>
          <w:spacing w:val="-3"/>
          <w:w w:val="115"/>
        </w:rPr>
        <w:t> </w:t>
      </w:r>
      <w:r>
        <w:rPr>
          <w:color w:val="383638"/>
          <w:w w:val="115"/>
        </w:rPr>
        <w:t>the officer</w:t>
      </w:r>
      <w:r>
        <w:rPr>
          <w:color w:val="383638"/>
          <w:spacing w:val="-13"/>
          <w:w w:val="115"/>
        </w:rPr>
        <w:t> </w:t>
      </w:r>
      <w:r>
        <w:rPr>
          <w:color w:val="383638"/>
          <w:w w:val="115"/>
        </w:rPr>
        <w:t>did:</w:t>
      </w:r>
    </w:p>
    <w:p>
      <w:pPr>
        <w:spacing w:line="235" w:lineRule="auto" w:before="139"/>
        <w:ind w:left="890" w:right="459" w:firstLine="22"/>
        <w:jc w:val="both"/>
        <w:rPr>
          <w:b/>
          <w:sz w:val="21"/>
        </w:rPr>
      </w:pPr>
      <w:r>
        <w:rPr>
          <w:b/>
          <w:color w:val="383638"/>
          <w:w w:val="110"/>
          <w:sz w:val="21"/>
        </w:rPr>
        <w:t>Under the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Fourth Amendment, does an officer's sight observation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into a home, made while standing a foot or more from the apartment</w:t>
      </w:r>
      <w:r>
        <w:rPr>
          <w:b/>
          <w:color w:val="383638"/>
          <w:spacing w:val="-5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and peering through gaps in the covered window of the apartment,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constitute</w:t>
      </w:r>
      <w:r>
        <w:rPr>
          <w:b/>
          <w:color w:val="383638"/>
          <w:spacing w:val="-20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an</w:t>
      </w:r>
      <w:r>
        <w:rPr>
          <w:b/>
          <w:color w:val="383638"/>
          <w:spacing w:val="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unlawful</w:t>
      </w:r>
      <w:r>
        <w:rPr>
          <w:b/>
          <w:color w:val="383638"/>
          <w:spacing w:val="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invasion</w:t>
      </w:r>
      <w:r>
        <w:rPr>
          <w:b/>
          <w:color w:val="383638"/>
          <w:spacing w:val="-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of</w:t>
      </w:r>
      <w:r>
        <w:rPr>
          <w:b/>
          <w:color w:val="383638"/>
          <w:spacing w:val="-7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curtilage?</w:t>
      </w:r>
    </w:p>
    <w:p>
      <w:pPr>
        <w:spacing w:line="235" w:lineRule="auto" w:before="142"/>
        <w:ind w:left="859" w:right="465" w:firstLine="33"/>
        <w:jc w:val="both"/>
        <w:rPr>
          <w:b/>
          <w:sz w:val="21"/>
        </w:rPr>
      </w:pPr>
      <w:r>
        <w:rPr>
          <w:b/>
          <w:color w:val="383638"/>
          <w:w w:val="110"/>
          <w:sz w:val="21"/>
        </w:rPr>
        <w:t>Under the Fourth Amendment, does an officer invade the curtilage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of an apartment house when he stands within inches of the building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and</w:t>
      </w:r>
      <w:r>
        <w:rPr>
          <w:b/>
          <w:color w:val="383638"/>
          <w:spacing w:val="2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looks</w:t>
      </w:r>
      <w:r>
        <w:rPr>
          <w:b/>
          <w:color w:val="383638"/>
          <w:spacing w:val="-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through</w:t>
      </w:r>
      <w:r>
        <w:rPr>
          <w:b/>
          <w:color w:val="383638"/>
          <w:spacing w:val="-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gap in</w:t>
      </w:r>
      <w:r>
        <w:rPr>
          <w:b/>
          <w:color w:val="383638"/>
          <w:spacing w:val="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</w:t>
      </w:r>
      <w:r>
        <w:rPr>
          <w:b/>
          <w:color w:val="383638"/>
          <w:spacing w:val="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blinds</w:t>
      </w:r>
      <w:r>
        <w:rPr>
          <w:b/>
          <w:color w:val="383638"/>
          <w:spacing w:val="-1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of</w:t>
      </w:r>
      <w:r>
        <w:rPr>
          <w:b/>
          <w:color w:val="383638"/>
          <w:spacing w:val="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basement</w:t>
      </w:r>
      <w:r>
        <w:rPr>
          <w:b/>
          <w:color w:val="383638"/>
          <w:spacing w:val="-2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apartment?</w:t>
      </w:r>
    </w:p>
    <w:p>
      <w:pPr>
        <w:pStyle w:val="BodyText"/>
        <w:spacing w:line="235" w:lineRule="auto" w:before="149"/>
        <w:ind w:left="471" w:firstLine="24"/>
      </w:pPr>
      <w:r>
        <w:rPr>
          <w:color w:val="383638"/>
          <w:w w:val="110"/>
        </w:rPr>
        <w:t>Neither sentence is wrong;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they are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just different ways of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conveying the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same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information</w:t>
      </w:r>
      <w:r>
        <w:rPr>
          <w:color w:val="565657"/>
          <w:w w:val="110"/>
        </w:rPr>
        <w:t>,</w:t>
      </w:r>
      <w:r>
        <w:rPr>
          <w:color w:val="565657"/>
          <w:spacing w:val="12"/>
          <w:w w:val="110"/>
        </w:rPr>
        <w:t> </w:t>
      </w:r>
      <w:r>
        <w:rPr>
          <w:color w:val="383638"/>
          <w:w w:val="110"/>
        </w:rPr>
        <w:t>depending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on</w:t>
      </w:r>
      <w:r>
        <w:rPr>
          <w:color w:val="383638"/>
          <w:spacing w:val="29"/>
          <w:w w:val="110"/>
        </w:rPr>
        <w:t> </w:t>
      </w:r>
      <w:r>
        <w:rPr>
          <w:color w:val="383638"/>
          <w:w w:val="110"/>
        </w:rPr>
        <w:t>what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writer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wants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emphasize.</w:t>
      </w:r>
    </w:p>
    <w:p>
      <w:pPr>
        <w:pStyle w:val="BodyText"/>
        <w:spacing w:line="245" w:lineRule="exact"/>
        <w:ind w:right="146"/>
        <w:jc w:val="right"/>
      </w:pPr>
      <w:r>
        <w:rPr>
          <w:color w:val="383638"/>
          <w:w w:val="110"/>
        </w:rPr>
        <w:t>You</w:t>
      </w:r>
      <w:r>
        <w:rPr>
          <w:color w:val="383638"/>
          <w:spacing w:val="27"/>
          <w:w w:val="110"/>
        </w:rPr>
        <w:t> </w:t>
      </w:r>
      <w:r>
        <w:rPr>
          <w:color w:val="383638"/>
          <w:w w:val="110"/>
        </w:rPr>
        <w:t>can </w:t>
      </w:r>
      <w:r>
        <w:rPr>
          <w:color w:val="383638"/>
          <w:spacing w:val="25"/>
          <w:w w:val="110"/>
        </w:rPr>
        <w:t> </w:t>
      </w:r>
      <w:r>
        <w:rPr>
          <w:color w:val="383638"/>
          <w:w w:val="110"/>
        </w:rPr>
        <w:t>often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find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nominalizations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by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looking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words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end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in</w:t>
      </w:r>
    </w:p>
    <w:p>
      <w:pPr>
        <w:pStyle w:val="BodyText"/>
        <w:spacing w:line="232" w:lineRule="auto"/>
        <w:ind w:left="355" w:right="143" w:firstLine="102"/>
        <w:jc w:val="right"/>
      </w:pPr>
      <w:r>
        <w:rPr>
          <w:i/>
          <w:color w:val="383638"/>
          <w:w w:val="110"/>
        </w:rPr>
        <w:t>-ence,</w:t>
      </w:r>
      <w:r>
        <w:rPr>
          <w:i/>
          <w:color w:val="383638"/>
          <w:spacing w:val="16"/>
          <w:w w:val="110"/>
        </w:rPr>
        <w:t> </w:t>
      </w:r>
      <w:r>
        <w:rPr>
          <w:i/>
          <w:color w:val="383638"/>
          <w:w w:val="110"/>
        </w:rPr>
        <w:t>-ment,</w:t>
      </w:r>
      <w:r>
        <w:rPr>
          <w:i/>
          <w:color w:val="383638"/>
          <w:spacing w:val="5"/>
          <w:w w:val="110"/>
        </w:rPr>
        <w:t> </w:t>
      </w:r>
      <w:r>
        <w:rPr>
          <w:color w:val="383638"/>
          <w:w w:val="110"/>
        </w:rPr>
        <w:t>or</w:t>
      </w:r>
      <w:r>
        <w:rPr>
          <w:color w:val="383638"/>
          <w:spacing w:val="30"/>
          <w:w w:val="110"/>
        </w:rPr>
        <w:t> </w:t>
      </w:r>
      <w:r>
        <w:rPr>
          <w:i/>
          <w:color w:val="383638"/>
          <w:w w:val="110"/>
        </w:rPr>
        <w:t>-ion</w:t>
      </w:r>
      <w:r>
        <w:rPr>
          <w:i/>
          <w:color w:val="565657"/>
          <w:w w:val="110"/>
        </w:rPr>
        <w:t>.</w:t>
      </w:r>
      <w:r>
        <w:rPr>
          <w:i/>
          <w:color w:val="565657"/>
          <w:spacing w:val="23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50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61"/>
          <w:w w:val="110"/>
        </w:rPr>
        <w:t> </w:t>
      </w:r>
      <w:r>
        <w:rPr>
          <w:color w:val="383638"/>
          <w:w w:val="110"/>
        </w:rPr>
        <w:t>alternative,</w:t>
      </w:r>
      <w:r>
        <w:rPr>
          <w:color w:val="383638"/>
          <w:spacing w:val="37"/>
          <w:w w:val="110"/>
        </w:rPr>
        <w:t> </w:t>
      </w:r>
      <w:r>
        <w:rPr>
          <w:color w:val="383638"/>
          <w:w w:val="110"/>
        </w:rPr>
        <w:t>review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sentences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(particu­</w:t>
      </w:r>
      <w:r>
        <w:rPr>
          <w:color w:val="383638"/>
          <w:spacing w:val="-60"/>
          <w:w w:val="110"/>
        </w:rPr>
        <w:t> </w:t>
      </w:r>
      <w:r>
        <w:rPr>
          <w:color w:val="383638"/>
          <w:w w:val="115"/>
        </w:rPr>
        <w:t>larly overlong sentences) and circle just the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verbs. When you find sen­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tences </w:t>
      </w:r>
      <w:r>
        <w:rPr>
          <w:rFonts w:ascii="Arial" w:hAnsi="Arial"/>
          <w:i/>
          <w:color w:val="383638"/>
          <w:w w:val="110"/>
          <w:sz w:val="20"/>
        </w:rPr>
        <w:t>in</w:t>
      </w:r>
      <w:r>
        <w:rPr>
          <w:rFonts w:ascii="Arial" w:hAnsi="Arial"/>
          <w:i/>
          <w:color w:val="383638"/>
          <w:spacing w:val="1"/>
          <w:w w:val="110"/>
          <w:sz w:val="20"/>
        </w:rPr>
        <w:t> </w:t>
      </w:r>
      <w:r>
        <w:rPr>
          <w:color w:val="383638"/>
          <w:w w:val="110"/>
        </w:rPr>
        <w:t>which all of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verbs are weak words without a lot of concrete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meaning-e.g.,</w:t>
      </w:r>
      <w:r>
        <w:rPr>
          <w:color w:val="383638"/>
          <w:spacing w:val="1"/>
          <w:w w:val="110"/>
        </w:rPr>
        <w:t> </w:t>
      </w:r>
      <w:r>
        <w:rPr>
          <w:i/>
          <w:color w:val="383638"/>
          <w:w w:val="110"/>
        </w:rPr>
        <w:t>was, </w:t>
      </w:r>
      <w:r>
        <w:rPr>
          <w:i/>
          <w:color w:val="383638"/>
          <w:w w:val="110"/>
          <w:sz w:val="22"/>
        </w:rPr>
        <w:t>is</w:t>
      </w:r>
      <w:r>
        <w:rPr>
          <w:i/>
          <w:color w:val="383638"/>
          <w:spacing w:val="1"/>
          <w:w w:val="110"/>
          <w:sz w:val="22"/>
        </w:rPr>
        <w:t> </w:t>
      </w:r>
      <w:r>
        <w:rPr>
          <w:color w:val="383638"/>
          <w:w w:val="110"/>
        </w:rPr>
        <w:t>(or other </w:t>
      </w:r>
      <w:r>
        <w:rPr>
          <w:i/>
          <w:color w:val="383638"/>
          <w:w w:val="110"/>
        </w:rPr>
        <w:t>to be </w:t>
      </w:r>
      <w:r>
        <w:rPr>
          <w:color w:val="383638"/>
          <w:w w:val="110"/>
        </w:rPr>
        <w:t>verbs), </w:t>
      </w:r>
      <w:r>
        <w:rPr>
          <w:i/>
          <w:color w:val="383638"/>
          <w:w w:val="110"/>
        </w:rPr>
        <w:t>had, made, occurred, existed,</w:t>
      </w:r>
      <w:r>
        <w:rPr>
          <w:i/>
          <w:color w:val="383638"/>
          <w:spacing w:val="-61"/>
          <w:w w:val="110"/>
        </w:rPr>
        <w:t> </w:t>
      </w:r>
      <w:r>
        <w:rPr>
          <w:color w:val="383638"/>
          <w:w w:val="115"/>
        </w:rPr>
        <w:t>etc.-look forverbs that are"hidden" in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nominalizations in that sentence.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When deciding whether or how to change nominalizations back into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verbs, ask yourself whether you want to put moreemphasis on the informa­</w:t>
      </w:r>
      <w:r>
        <w:rPr>
          <w:color w:val="383638"/>
          <w:spacing w:val="-61"/>
          <w:w w:val="110"/>
        </w:rPr>
        <w:t> </w:t>
      </w:r>
      <w:r>
        <w:rPr>
          <w:rFonts w:ascii="Arial" w:hAnsi="Arial"/>
          <w:i/>
          <w:color w:val="383638"/>
          <w:w w:val="110"/>
          <w:sz w:val="22"/>
        </w:rPr>
        <w:t>tion </w:t>
      </w:r>
      <w:r>
        <w:rPr>
          <w:color w:val="383638"/>
          <w:w w:val="110"/>
        </w:rPr>
        <w:t>that younominalized. The answer may not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always be yes. Sometimes,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54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60"/>
          <w:w w:val="110"/>
        </w:rPr>
        <w:t> </w:t>
      </w:r>
      <w:r>
        <w:rPr>
          <w:color w:val="383638"/>
          <w:w w:val="110"/>
        </w:rPr>
        <w:t>tuition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letter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example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above,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may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want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deemphasize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cer­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tain</w:t>
      </w:r>
      <w:r>
        <w:rPr>
          <w:color w:val="383638"/>
          <w:spacing w:val="28"/>
          <w:w w:val="110"/>
        </w:rPr>
        <w:t> </w:t>
      </w:r>
      <w:r>
        <w:rPr>
          <w:color w:val="383638"/>
          <w:w w:val="110"/>
        </w:rPr>
        <w:t>negative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information.</w:t>
      </w:r>
      <w:r>
        <w:rPr>
          <w:color w:val="383638"/>
          <w:spacing w:val="53"/>
          <w:w w:val="110"/>
        </w:rPr>
        <w:t> </w:t>
      </w:r>
      <w:r>
        <w:rPr>
          <w:color w:val="383638"/>
          <w:w w:val="110"/>
        </w:rPr>
        <w:t>Unless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case,</w:t>
      </w:r>
      <w:r>
        <w:rPr>
          <w:color w:val="383638"/>
          <w:spacing w:val="26"/>
          <w:w w:val="110"/>
        </w:rPr>
        <w:t> </w:t>
      </w:r>
      <w:r>
        <w:rPr>
          <w:color w:val="383638"/>
          <w:w w:val="110"/>
        </w:rPr>
        <w:t>however,</w:t>
      </w:r>
      <w:r>
        <w:rPr>
          <w:color w:val="383638"/>
          <w:spacing w:val="33"/>
          <w:w w:val="110"/>
        </w:rPr>
        <w:t> </w:t>
      </w:r>
      <w:r>
        <w:rPr>
          <w:color w:val="383638"/>
          <w:w w:val="110"/>
        </w:rPr>
        <w:t>identify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your</w:t>
      </w:r>
    </w:p>
    <w:p>
      <w:pPr>
        <w:spacing w:after="0" w:line="232" w:lineRule="auto"/>
        <w:jc w:val="right"/>
        <w:sectPr>
          <w:headerReference w:type="even" r:id="rId295"/>
          <w:headerReference w:type="default" r:id="rId296"/>
          <w:pgSz w:w="9680" w:h="13980"/>
          <w:pgMar w:header="515" w:footer="0" w:top="1100" w:bottom="0" w:left="1340" w:right="220"/>
          <w:pgNumType w:start="262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35" w:lineRule="auto"/>
        <w:ind w:left="104" w:right="262" w:firstLine="10"/>
      </w:pPr>
      <w:r>
        <w:rPr>
          <w:color w:val="383638"/>
          <w:w w:val="110"/>
        </w:rPr>
        <w:t>hidden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verbs,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find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actor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is"verbing"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(i.e.,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doing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action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27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05"/>
        </w:rPr>
        <w:t>verb),</w:t>
      </w:r>
      <w:r>
        <w:rPr>
          <w:color w:val="383638"/>
          <w:spacing w:val="9"/>
          <w:w w:val="105"/>
        </w:rPr>
        <w:t> </w:t>
      </w:r>
      <w:r>
        <w:rPr>
          <w:color w:val="383638"/>
          <w:w w:val="105"/>
        </w:rPr>
        <w:t>and</w:t>
      </w:r>
      <w:r>
        <w:rPr>
          <w:color w:val="383638"/>
          <w:spacing w:val="21"/>
          <w:w w:val="105"/>
        </w:rPr>
        <w:t> </w:t>
      </w:r>
      <w:r>
        <w:rPr>
          <w:color w:val="383638"/>
          <w:w w:val="105"/>
        </w:rPr>
        <w:t>create</w:t>
      </w:r>
      <w:r>
        <w:rPr>
          <w:color w:val="383638"/>
          <w:spacing w:val="3"/>
          <w:w w:val="105"/>
        </w:rPr>
        <w:t> </w:t>
      </w:r>
      <w:r>
        <w:rPr>
          <w:color w:val="383638"/>
          <w:w w:val="105"/>
        </w:rPr>
        <w:t>a</w:t>
      </w:r>
      <w:r>
        <w:rPr>
          <w:color w:val="383638"/>
          <w:spacing w:val="6"/>
          <w:w w:val="105"/>
        </w:rPr>
        <w:t> </w:t>
      </w:r>
      <w:r>
        <w:rPr>
          <w:color w:val="383638"/>
          <w:w w:val="105"/>
        </w:rPr>
        <w:t>stronger,</w:t>
      </w:r>
      <w:r>
        <w:rPr>
          <w:color w:val="383638"/>
          <w:spacing w:val="16"/>
          <w:w w:val="105"/>
        </w:rPr>
        <w:t> </w:t>
      </w:r>
      <w:r>
        <w:rPr>
          <w:color w:val="383638"/>
          <w:w w:val="105"/>
        </w:rPr>
        <w:t>more</w:t>
      </w:r>
      <w:r>
        <w:rPr>
          <w:color w:val="383638"/>
          <w:spacing w:val="-13"/>
          <w:w w:val="105"/>
        </w:rPr>
        <w:t> </w:t>
      </w:r>
      <w:r>
        <w:rPr>
          <w:color w:val="383638"/>
          <w:w w:val="105"/>
        </w:rPr>
        <w:t>easily</w:t>
      </w:r>
      <w:r>
        <w:rPr>
          <w:color w:val="383638"/>
          <w:spacing w:val="-7"/>
          <w:w w:val="105"/>
        </w:rPr>
        <w:t> </w:t>
      </w:r>
      <w:r>
        <w:rPr>
          <w:color w:val="383638"/>
          <w:w w:val="105"/>
        </w:rPr>
        <w:t>comprehensible</w:t>
      </w:r>
      <w:r>
        <w:rPr>
          <w:color w:val="383638"/>
          <w:spacing w:val="-22"/>
          <w:w w:val="105"/>
        </w:rPr>
        <w:t> </w:t>
      </w:r>
      <w:r>
        <w:rPr>
          <w:color w:val="383638"/>
          <w:w w:val="105"/>
        </w:rPr>
        <w:t>sentence.</w:t>
      </w:r>
    </w:p>
    <w:p>
      <w:pPr>
        <w:pStyle w:val="BodyText"/>
        <w:spacing w:line="262" w:lineRule="exact"/>
        <w:ind w:left="430"/>
      </w:pPr>
      <w:r>
        <w:rPr>
          <w:color w:val="383638"/>
          <w:w w:val="110"/>
        </w:rPr>
        <w:t>When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looking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nominalizations,you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might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find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sentence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like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this:</w:t>
      </w:r>
    </w:p>
    <w:p>
      <w:pPr>
        <w:spacing w:line="252" w:lineRule="exact" w:before="120"/>
        <w:ind w:left="417" w:right="0" w:firstLine="0"/>
        <w:jc w:val="left"/>
        <w:rPr>
          <w:sz w:val="22"/>
        </w:rPr>
      </w:pPr>
      <w:r>
        <w:rPr>
          <w:color w:val="383638"/>
          <w:spacing w:val="-1"/>
          <w:w w:val="115"/>
          <w:sz w:val="22"/>
        </w:rPr>
        <w:t>This</w:t>
      </w:r>
      <w:r>
        <w:rPr>
          <w:color w:val="383638"/>
          <w:spacing w:val="-36"/>
          <w:w w:val="115"/>
          <w:sz w:val="22"/>
        </w:rPr>
        <w:t> </w:t>
      </w:r>
      <w:r>
        <w:rPr>
          <w:color w:val="383638"/>
          <w:spacing w:val="-1"/>
          <w:w w:val="115"/>
          <w:sz w:val="22"/>
        </w:rPr>
        <w:t>case</w:t>
      </w:r>
      <w:r>
        <w:rPr>
          <w:color w:val="383638"/>
          <w:spacing w:val="-12"/>
          <w:w w:val="115"/>
          <w:sz w:val="22"/>
        </w:rPr>
        <w:t> </w:t>
      </w:r>
      <w:r>
        <w:rPr>
          <w:color w:val="383638"/>
          <w:spacing w:val="-1"/>
          <w:w w:val="115"/>
          <w:sz w:val="22"/>
        </w:rPr>
        <w:t>is</w:t>
      </w:r>
      <w:r>
        <w:rPr>
          <w:color w:val="383638"/>
          <w:spacing w:val="-23"/>
          <w:w w:val="115"/>
          <w:sz w:val="22"/>
        </w:rPr>
        <w:t> </w:t>
      </w:r>
      <w:r>
        <w:rPr>
          <w:color w:val="383638"/>
          <w:spacing w:val="-1"/>
          <w:w w:val="115"/>
          <w:sz w:val="22"/>
        </w:rPr>
        <w:t>a</w:t>
      </w:r>
      <w:r>
        <w:rPr>
          <w:color w:val="383638"/>
          <w:spacing w:val="9"/>
          <w:w w:val="115"/>
          <w:sz w:val="22"/>
        </w:rPr>
        <w:t> </w:t>
      </w:r>
      <w:r>
        <w:rPr>
          <w:color w:val="383638"/>
          <w:spacing w:val="-1"/>
          <w:w w:val="115"/>
          <w:sz w:val="22"/>
        </w:rPr>
        <w:t>recognition </w:t>
      </w:r>
      <w:r>
        <w:rPr>
          <w:color w:val="383638"/>
          <w:w w:val="115"/>
          <w:sz w:val="22"/>
        </w:rPr>
        <w:t>of</w:t>
      </w:r>
      <w:r>
        <w:rPr>
          <w:color w:val="383638"/>
          <w:spacing w:val="-2"/>
          <w:w w:val="115"/>
          <w:sz w:val="22"/>
        </w:rPr>
        <w:t> </w:t>
      </w:r>
      <w:r>
        <w:rPr>
          <w:color w:val="383638"/>
          <w:w w:val="115"/>
          <w:sz w:val="22"/>
        </w:rPr>
        <w:t>the</w:t>
      </w:r>
      <w:r>
        <w:rPr>
          <w:color w:val="383638"/>
          <w:spacing w:val="9"/>
          <w:w w:val="115"/>
          <w:sz w:val="22"/>
        </w:rPr>
        <w:t> </w:t>
      </w:r>
      <w:r>
        <w:rPr>
          <w:color w:val="383638"/>
          <w:w w:val="115"/>
          <w:sz w:val="22"/>
        </w:rPr>
        <w:t>coercion</w:t>
      </w:r>
      <w:r>
        <w:rPr>
          <w:color w:val="383638"/>
          <w:spacing w:val="-12"/>
          <w:w w:val="115"/>
          <w:sz w:val="22"/>
        </w:rPr>
        <w:t> </w:t>
      </w:r>
      <w:r>
        <w:rPr>
          <w:color w:val="383638"/>
          <w:w w:val="115"/>
          <w:sz w:val="22"/>
        </w:rPr>
        <w:t>that</w:t>
      </w:r>
      <w:r>
        <w:rPr>
          <w:color w:val="383638"/>
          <w:spacing w:val="-21"/>
          <w:w w:val="115"/>
          <w:sz w:val="22"/>
        </w:rPr>
        <w:t> </w:t>
      </w:r>
      <w:r>
        <w:rPr>
          <w:color w:val="383638"/>
          <w:w w:val="115"/>
          <w:sz w:val="22"/>
        </w:rPr>
        <w:t>mayhappen</w:t>
      </w:r>
      <w:r>
        <w:rPr>
          <w:color w:val="383638"/>
          <w:spacing w:val="-12"/>
          <w:w w:val="115"/>
          <w:sz w:val="22"/>
        </w:rPr>
        <w:t> </w:t>
      </w:r>
      <w:r>
        <w:rPr>
          <w:color w:val="383638"/>
          <w:w w:val="115"/>
          <w:sz w:val="22"/>
        </w:rPr>
        <w:t>during</w:t>
      </w:r>
      <w:r>
        <w:rPr>
          <w:color w:val="383638"/>
          <w:spacing w:val="-18"/>
          <w:w w:val="115"/>
          <w:sz w:val="22"/>
        </w:rPr>
        <w:t> </w:t>
      </w:r>
      <w:r>
        <w:rPr>
          <w:color w:val="383638"/>
          <w:w w:val="115"/>
          <w:sz w:val="22"/>
        </w:rPr>
        <w:t>an</w:t>
      </w:r>
    </w:p>
    <w:p>
      <w:pPr>
        <w:spacing w:line="240" w:lineRule="exact" w:before="0"/>
        <w:ind w:left="415" w:right="0" w:firstLine="0"/>
        <w:jc w:val="left"/>
        <w:rPr>
          <w:b/>
          <w:sz w:val="21"/>
        </w:rPr>
      </w:pPr>
      <w:r>
        <w:rPr>
          <w:b/>
          <w:color w:val="383638"/>
          <w:sz w:val="21"/>
        </w:rPr>
        <w:t>arrest.</w:t>
      </w:r>
    </w:p>
    <w:p>
      <w:pPr>
        <w:pStyle w:val="BodyText"/>
        <w:spacing w:line="213" w:lineRule="auto" w:before="159"/>
        <w:ind w:left="101" w:right="599" w:firstLine="8"/>
        <w:jc w:val="both"/>
      </w:pPr>
      <w:r>
        <w:rPr>
          <w:color w:val="383638"/>
          <w:w w:val="105"/>
        </w:rPr>
        <w:t>If you circled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the  verbs in  this sentence, you would  identify the  rather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weak verbs </w:t>
      </w:r>
      <w:r>
        <w:rPr>
          <w:i/>
          <w:color w:val="383638"/>
          <w:w w:val="105"/>
          <w:sz w:val="25"/>
        </w:rPr>
        <w:t>is </w:t>
      </w:r>
      <w:r>
        <w:rPr>
          <w:color w:val="383638"/>
          <w:w w:val="105"/>
        </w:rPr>
        <w:t>and</w:t>
      </w:r>
      <w:r>
        <w:rPr>
          <w:color w:val="383638"/>
          <w:spacing w:val="1"/>
          <w:w w:val="105"/>
        </w:rPr>
        <w:t> </w:t>
      </w:r>
      <w:r>
        <w:rPr>
          <w:i/>
          <w:color w:val="383638"/>
          <w:w w:val="105"/>
          <w:sz w:val="25"/>
        </w:rPr>
        <w:t>may happen. </w:t>
      </w:r>
      <w:r>
        <w:rPr>
          <w:color w:val="383638"/>
          <w:w w:val="105"/>
        </w:rPr>
        <w:t>Once you identify the hidden verbs </w:t>
      </w:r>
      <w:r>
        <w:rPr>
          <w:i/>
          <w:color w:val="383638"/>
          <w:w w:val="105"/>
          <w:sz w:val="25"/>
        </w:rPr>
        <w:t>recog­</w:t>
      </w:r>
      <w:r>
        <w:rPr>
          <w:i/>
          <w:color w:val="383638"/>
          <w:spacing w:val="-63"/>
          <w:w w:val="105"/>
          <w:sz w:val="25"/>
        </w:rPr>
        <w:t> </w:t>
      </w:r>
      <w:r>
        <w:rPr>
          <w:i/>
          <w:color w:val="383638"/>
          <w:sz w:val="25"/>
        </w:rPr>
        <w:t>nize,</w:t>
      </w:r>
      <w:r>
        <w:rPr>
          <w:i/>
          <w:color w:val="383638"/>
          <w:spacing w:val="-25"/>
          <w:sz w:val="25"/>
        </w:rPr>
        <w:t> </w:t>
      </w:r>
      <w:r>
        <w:rPr>
          <w:i/>
          <w:color w:val="383638"/>
          <w:sz w:val="25"/>
        </w:rPr>
        <w:t>coerce,</w:t>
      </w:r>
      <w:r>
        <w:rPr>
          <w:i/>
          <w:color w:val="383638"/>
          <w:spacing w:val="-9"/>
          <w:sz w:val="25"/>
        </w:rPr>
        <w:t> </w:t>
      </w:r>
      <w:r>
        <w:rPr>
          <w:color w:val="383638"/>
        </w:rPr>
        <w:t>and</w:t>
      </w:r>
      <w:r>
        <w:rPr>
          <w:color w:val="383638"/>
          <w:spacing w:val="5"/>
        </w:rPr>
        <w:t> </w:t>
      </w:r>
      <w:r>
        <w:rPr>
          <w:i/>
          <w:color w:val="383638"/>
          <w:sz w:val="25"/>
        </w:rPr>
        <w:t>arrest,</w:t>
      </w:r>
      <w:r>
        <w:rPr>
          <w:i/>
          <w:color w:val="383638"/>
          <w:spacing w:val="-20"/>
          <w:sz w:val="25"/>
        </w:rPr>
        <w:t> </w:t>
      </w:r>
      <w:r>
        <w:rPr>
          <w:color w:val="383638"/>
        </w:rPr>
        <w:t>you</w:t>
      </w:r>
      <w:r>
        <w:rPr>
          <w:color w:val="383638"/>
          <w:spacing w:val="21"/>
        </w:rPr>
        <w:t> </w:t>
      </w:r>
      <w:r>
        <w:rPr>
          <w:color w:val="383638"/>
        </w:rPr>
        <w:t>can</w:t>
      </w:r>
      <w:r>
        <w:rPr>
          <w:color w:val="383638"/>
          <w:spacing w:val="31"/>
        </w:rPr>
        <w:t> </w:t>
      </w:r>
      <w:r>
        <w:rPr>
          <w:color w:val="383638"/>
        </w:rPr>
        <w:t>work</w:t>
      </w:r>
      <w:r>
        <w:rPr>
          <w:color w:val="383638"/>
          <w:spacing w:val="-4"/>
        </w:rPr>
        <w:t> </w:t>
      </w:r>
      <w:r>
        <w:rPr>
          <w:color w:val="383638"/>
        </w:rPr>
        <w:t>on</w:t>
      </w:r>
      <w:r>
        <w:rPr>
          <w:color w:val="383638"/>
          <w:spacing w:val="38"/>
        </w:rPr>
        <w:t> </w:t>
      </w:r>
      <w:r>
        <w:rPr>
          <w:color w:val="383638"/>
        </w:rPr>
        <w:t>making</w:t>
      </w:r>
      <w:r>
        <w:rPr>
          <w:color w:val="383638"/>
          <w:spacing w:val="-1"/>
        </w:rPr>
        <w:t> </w:t>
      </w:r>
      <w:r>
        <w:rPr>
          <w:color w:val="383638"/>
        </w:rPr>
        <w:t>the</w:t>
      </w:r>
      <w:r>
        <w:rPr>
          <w:color w:val="383638"/>
          <w:spacing w:val="18"/>
        </w:rPr>
        <w:t> </w:t>
      </w:r>
      <w:r>
        <w:rPr>
          <w:color w:val="383638"/>
        </w:rPr>
        <w:t>sentence</w:t>
      </w:r>
      <w:r>
        <w:rPr>
          <w:color w:val="383638"/>
          <w:spacing w:val="23"/>
        </w:rPr>
        <w:t> </w:t>
      </w:r>
      <w:r>
        <w:rPr>
          <w:color w:val="383638"/>
        </w:rPr>
        <w:t>more</w:t>
      </w:r>
      <w:r>
        <w:rPr>
          <w:color w:val="383638"/>
          <w:spacing w:val="-13"/>
        </w:rPr>
        <w:t> </w:t>
      </w:r>
      <w:r>
        <w:rPr>
          <w:color w:val="383638"/>
        </w:rPr>
        <w:t>clear:</w:t>
      </w:r>
    </w:p>
    <w:p>
      <w:pPr>
        <w:spacing w:line="247" w:lineRule="exact" w:before="125"/>
        <w:ind w:left="428" w:right="0" w:firstLine="0"/>
        <w:jc w:val="left"/>
        <w:rPr>
          <w:sz w:val="22"/>
        </w:rPr>
      </w:pPr>
      <w:r>
        <w:rPr>
          <w:color w:val="383638"/>
          <w:w w:val="110"/>
          <w:sz w:val="22"/>
        </w:rPr>
        <w:t>In</w:t>
      </w:r>
      <w:r>
        <w:rPr>
          <w:color w:val="383638"/>
          <w:spacing w:val="5"/>
          <w:w w:val="110"/>
          <w:sz w:val="22"/>
        </w:rPr>
        <w:t> </w:t>
      </w:r>
      <w:r>
        <w:rPr>
          <w:color w:val="383638"/>
          <w:w w:val="110"/>
          <w:sz w:val="22"/>
        </w:rPr>
        <w:t>this</w:t>
      </w:r>
      <w:r>
        <w:rPr>
          <w:color w:val="383638"/>
          <w:spacing w:val="-20"/>
          <w:w w:val="110"/>
          <w:sz w:val="22"/>
        </w:rPr>
        <w:t> </w:t>
      </w:r>
      <w:r>
        <w:rPr>
          <w:color w:val="383638"/>
          <w:w w:val="110"/>
          <w:sz w:val="22"/>
        </w:rPr>
        <w:t>case,</w:t>
      </w:r>
      <w:r>
        <w:rPr>
          <w:color w:val="383638"/>
          <w:spacing w:val="-9"/>
          <w:w w:val="110"/>
          <w:sz w:val="22"/>
        </w:rPr>
        <w:t> </w:t>
      </w:r>
      <w:r>
        <w:rPr>
          <w:color w:val="383638"/>
          <w:w w:val="110"/>
          <w:sz w:val="22"/>
        </w:rPr>
        <w:t>[someone]</w:t>
      </w:r>
      <w:r>
        <w:rPr>
          <w:color w:val="383638"/>
          <w:spacing w:val="-4"/>
          <w:w w:val="110"/>
          <w:sz w:val="22"/>
        </w:rPr>
        <w:t> </w:t>
      </w:r>
      <w:r>
        <w:rPr>
          <w:color w:val="383638"/>
          <w:w w:val="110"/>
          <w:sz w:val="22"/>
        </w:rPr>
        <w:t>recognized</w:t>
      </w:r>
      <w:r>
        <w:rPr>
          <w:color w:val="383638"/>
          <w:spacing w:val="8"/>
          <w:w w:val="110"/>
          <w:sz w:val="22"/>
        </w:rPr>
        <w:t> </w:t>
      </w:r>
      <w:r>
        <w:rPr>
          <w:color w:val="383638"/>
          <w:w w:val="110"/>
          <w:sz w:val="22"/>
        </w:rPr>
        <w:t>that</w:t>
      </w:r>
      <w:r>
        <w:rPr>
          <w:color w:val="383638"/>
          <w:spacing w:val="-9"/>
          <w:w w:val="110"/>
          <w:sz w:val="22"/>
        </w:rPr>
        <w:t> </w:t>
      </w:r>
      <w:r>
        <w:rPr>
          <w:color w:val="383638"/>
          <w:w w:val="110"/>
          <w:sz w:val="22"/>
        </w:rPr>
        <w:t>[someone]</w:t>
      </w:r>
      <w:r>
        <w:rPr>
          <w:color w:val="383638"/>
          <w:spacing w:val="-5"/>
          <w:w w:val="110"/>
          <w:sz w:val="22"/>
        </w:rPr>
        <w:t> </w:t>
      </w:r>
      <w:r>
        <w:rPr>
          <w:color w:val="383638"/>
          <w:w w:val="110"/>
          <w:sz w:val="22"/>
        </w:rPr>
        <w:t>may</w:t>
      </w:r>
      <w:r>
        <w:rPr>
          <w:color w:val="383638"/>
          <w:spacing w:val="15"/>
          <w:w w:val="110"/>
          <w:sz w:val="22"/>
        </w:rPr>
        <w:t> </w:t>
      </w:r>
      <w:r>
        <w:rPr>
          <w:color w:val="383638"/>
          <w:w w:val="110"/>
          <w:sz w:val="22"/>
        </w:rPr>
        <w:t>coerce</w:t>
      </w:r>
      <w:r>
        <w:rPr>
          <w:color w:val="383638"/>
          <w:spacing w:val="-5"/>
          <w:w w:val="110"/>
          <w:sz w:val="22"/>
        </w:rPr>
        <w:t> </w:t>
      </w:r>
      <w:r>
        <w:rPr>
          <w:color w:val="383638"/>
          <w:w w:val="110"/>
          <w:sz w:val="22"/>
        </w:rPr>
        <w:t>[some­</w:t>
      </w:r>
    </w:p>
    <w:p>
      <w:pPr>
        <w:spacing w:line="235" w:lineRule="exact" w:before="0"/>
        <w:ind w:left="426" w:right="0" w:firstLine="0"/>
        <w:jc w:val="left"/>
        <w:rPr>
          <w:b/>
          <w:sz w:val="21"/>
        </w:rPr>
      </w:pPr>
      <w:r>
        <w:rPr>
          <w:b/>
          <w:color w:val="383638"/>
          <w:w w:val="110"/>
          <w:sz w:val="21"/>
        </w:rPr>
        <w:t>one]</w:t>
      </w:r>
      <w:r>
        <w:rPr>
          <w:b/>
          <w:color w:val="383638"/>
          <w:spacing w:val="-2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when</w:t>
      </w:r>
      <w:r>
        <w:rPr>
          <w:b/>
          <w:color w:val="383638"/>
          <w:spacing w:val="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(someone]</w:t>
      </w:r>
      <w:r>
        <w:rPr>
          <w:b/>
          <w:color w:val="383638"/>
          <w:spacing w:val="-2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arrests</w:t>
      </w:r>
      <w:r>
        <w:rPr>
          <w:b/>
          <w:color w:val="383638"/>
          <w:spacing w:val="-22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[someone}.</w:t>
      </w:r>
    </w:p>
    <w:p>
      <w:pPr>
        <w:pStyle w:val="BodyText"/>
        <w:spacing w:line="235" w:lineRule="auto" w:before="148"/>
        <w:ind w:left="104" w:right="573" w:firstLine="7"/>
        <w:jc w:val="both"/>
      </w:pPr>
      <w:r>
        <w:rPr>
          <w:color w:val="383638"/>
          <w:w w:val="110"/>
        </w:rPr>
        <w:t>Revising to avoid nominalizations provides a hidden benefit: You may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realize when information is missing from the sentence. Thus, your next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step might be to include some of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missing information. On the other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hand,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27"/>
          <w:w w:val="110"/>
        </w:rPr>
        <w:t> </w:t>
      </w:r>
      <w:r>
        <w:rPr>
          <w:color w:val="383638"/>
          <w:w w:val="110"/>
        </w:rPr>
        <w:t>may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decide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leave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some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48"/>
          <w:w w:val="110"/>
        </w:rPr>
        <w:t> </w:t>
      </w:r>
      <w:r>
        <w:rPr>
          <w:color w:val="383638"/>
          <w:w w:val="110"/>
        </w:rPr>
        <w:t>nominalizations</w:t>
      </w:r>
      <w:r>
        <w:rPr>
          <w:color w:val="383638"/>
          <w:spacing w:val="-31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is:</w:t>
      </w:r>
    </w:p>
    <w:p>
      <w:pPr>
        <w:spacing w:line="228" w:lineRule="auto" w:before="125"/>
        <w:ind w:left="429" w:right="928" w:firstLine="8"/>
        <w:jc w:val="both"/>
        <w:rPr>
          <w:b/>
          <w:sz w:val="21"/>
        </w:rPr>
      </w:pPr>
      <w:r>
        <w:rPr>
          <w:color w:val="282324"/>
          <w:w w:val="110"/>
          <w:sz w:val="22"/>
        </w:rPr>
        <w:t>In </w:t>
      </w:r>
      <w:r>
        <w:rPr>
          <w:color w:val="383638"/>
          <w:w w:val="110"/>
          <w:sz w:val="22"/>
        </w:rPr>
        <w:t>this case, the Court recognized that police officers may coerce citi­</w:t>
      </w:r>
      <w:r>
        <w:rPr>
          <w:color w:val="383638"/>
          <w:spacing w:val="1"/>
          <w:w w:val="110"/>
          <w:sz w:val="22"/>
        </w:rPr>
        <w:t> </w:t>
      </w:r>
      <w:r>
        <w:rPr>
          <w:color w:val="383638"/>
          <w:w w:val="110"/>
          <w:sz w:val="22"/>
        </w:rPr>
        <w:t>zens</w:t>
      </w:r>
      <w:r>
        <w:rPr>
          <w:color w:val="383638"/>
          <w:spacing w:val="-21"/>
          <w:w w:val="110"/>
          <w:sz w:val="22"/>
        </w:rPr>
        <w:t> </w:t>
      </w:r>
      <w:r>
        <w:rPr>
          <w:color w:val="383638"/>
          <w:w w:val="110"/>
          <w:sz w:val="22"/>
        </w:rPr>
        <w:t>during</w:t>
      </w:r>
      <w:r>
        <w:rPr>
          <w:color w:val="383638"/>
          <w:spacing w:val="-15"/>
          <w:w w:val="110"/>
          <w:sz w:val="22"/>
        </w:rPr>
        <w:t> </w:t>
      </w:r>
      <w:r>
        <w:rPr>
          <w:b/>
          <w:color w:val="383638"/>
          <w:w w:val="110"/>
          <w:sz w:val="21"/>
        </w:rPr>
        <w:t>an</w:t>
      </w:r>
      <w:r>
        <w:rPr>
          <w:b/>
          <w:color w:val="383638"/>
          <w:spacing w:val="-20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arrest.</w:t>
      </w:r>
    </w:p>
    <w:p>
      <w:pPr>
        <w:pStyle w:val="BodyText"/>
        <w:spacing w:line="232" w:lineRule="auto" w:before="152"/>
        <w:ind w:left="113" w:right="554" w:hanging="2"/>
        <w:jc w:val="both"/>
      </w:pPr>
      <w:r>
        <w:rPr>
          <w:color w:val="383638"/>
          <w:w w:val="115"/>
        </w:rPr>
        <w:t>Knowing how nominalizations can affect your writing can help you to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0"/>
        </w:rPr>
        <w:t>make your points more explicitly when clarity is yol!r goal and to blunt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your</w:t>
      </w:r>
      <w:r>
        <w:rPr>
          <w:color w:val="383638"/>
          <w:spacing w:val="-8"/>
          <w:w w:val="110"/>
        </w:rPr>
        <w:t> </w:t>
      </w:r>
      <w:r>
        <w:rPr>
          <w:color w:val="383638"/>
          <w:spacing w:val="-1"/>
          <w:w w:val="110"/>
        </w:rPr>
        <w:t>message</w:t>
      </w:r>
      <w:r>
        <w:rPr>
          <w:color w:val="383638"/>
          <w:spacing w:val="3"/>
          <w:w w:val="110"/>
        </w:rPr>
        <w:t> </w:t>
      </w:r>
      <w:r>
        <w:rPr>
          <w:color w:val="383638"/>
          <w:spacing w:val="-1"/>
          <w:w w:val="110"/>
        </w:rPr>
        <w:t>when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it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appropriate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do so.</w:t>
      </w:r>
    </w:p>
    <w:p>
      <w:pPr>
        <w:spacing w:line="366" w:lineRule="exact" w:before="36"/>
        <w:ind w:left="431" w:right="0" w:firstLine="0"/>
        <w:jc w:val="both"/>
        <w:rPr>
          <w:i/>
          <w:sz w:val="22"/>
        </w:rPr>
      </w:pPr>
      <w:r>
        <w:rPr>
          <w:rFonts w:ascii="Arial"/>
          <w:i/>
          <w:color w:val="383638"/>
          <w:spacing w:val="-1"/>
          <w:sz w:val="21"/>
        </w:rPr>
        <w:t>Ii.</w:t>
      </w:r>
      <w:r>
        <w:rPr>
          <w:rFonts w:ascii="Arial"/>
          <w:i/>
          <w:color w:val="383638"/>
          <w:spacing w:val="31"/>
          <w:sz w:val="21"/>
        </w:rPr>
        <w:t> </w:t>
      </w:r>
      <w:r>
        <w:rPr>
          <w:i/>
          <w:color w:val="383638"/>
          <w:spacing w:val="-1"/>
          <w:sz w:val="22"/>
        </w:rPr>
        <w:t>Active </w:t>
      </w:r>
      <w:r>
        <w:rPr>
          <w:i/>
          <w:color w:val="494949"/>
          <w:sz w:val="33"/>
        </w:rPr>
        <w:t>,ma</w:t>
      </w:r>
      <w:r>
        <w:rPr>
          <w:i/>
          <w:color w:val="494949"/>
          <w:spacing w:val="-32"/>
          <w:sz w:val="33"/>
        </w:rPr>
        <w:t> </w:t>
      </w:r>
      <w:r>
        <w:rPr>
          <w:i/>
          <w:color w:val="383638"/>
          <w:sz w:val="22"/>
        </w:rPr>
        <w:t>Passive</w:t>
      </w:r>
      <w:r>
        <w:rPr>
          <w:i/>
          <w:color w:val="383638"/>
          <w:spacing w:val="-11"/>
          <w:sz w:val="22"/>
        </w:rPr>
        <w:t> </w:t>
      </w:r>
      <w:r>
        <w:rPr>
          <w:i/>
          <w:color w:val="383638"/>
          <w:sz w:val="22"/>
        </w:rPr>
        <w:t>Voice</w:t>
      </w:r>
    </w:p>
    <w:p>
      <w:pPr>
        <w:pStyle w:val="BodyText"/>
        <w:spacing w:line="232" w:lineRule="auto"/>
        <w:ind w:left="107" w:right="496" w:firstLine="332"/>
        <w:jc w:val="both"/>
      </w:pPr>
      <w:r>
        <w:rPr>
          <w:color w:val="383638"/>
          <w:w w:val="110"/>
        </w:rPr>
        <w:t>Most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writers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know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about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"tense"</w:t>
      </w:r>
      <w:r>
        <w:rPr>
          <w:color w:val="383638"/>
          <w:spacing w:val="-28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it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relates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verbs;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they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consciously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decide, for example, whether to write in present tense or past tense. Many,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however, are unfamiliar with the concept of "voice." No matter what its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tense, </w:t>
      </w:r>
      <w:r>
        <w:rPr>
          <w:color w:val="282324"/>
          <w:w w:val="105"/>
        </w:rPr>
        <w:t>a </w:t>
      </w:r>
      <w:r>
        <w:rPr>
          <w:color w:val="383638"/>
          <w:w w:val="105"/>
        </w:rPr>
        <w:t>verb can </w:t>
      </w:r>
      <w:r>
        <w:rPr>
          <w:rFonts w:ascii="Arial" w:hAnsi="Arial"/>
          <w:color w:val="383638"/>
          <w:w w:val="105"/>
          <w:sz w:val="21"/>
        </w:rPr>
        <w:t>be </w:t>
      </w:r>
      <w:r>
        <w:rPr>
          <w:color w:val="383638"/>
          <w:w w:val="105"/>
        </w:rPr>
        <w:t>cast in active or passive voice. Voice relates not to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tense of the verb, but to whether the verb's actor is in the subject position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of the sentence </w:t>
      </w:r>
      <w:r>
        <w:rPr>
          <w:color w:val="383638"/>
          <w:w w:val="110"/>
        </w:rPr>
        <w:t>or clause. </w:t>
      </w:r>
      <w:r>
        <w:rPr>
          <w:color w:val="383638"/>
          <w:w w:val="110"/>
          <w:sz w:val="22"/>
        </w:rPr>
        <w:t>If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verb's actor is in the subject position, the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verb </w:t>
      </w:r>
      <w:r>
        <w:rPr>
          <w:color w:val="383638"/>
          <w:w w:val="110"/>
        </w:rPr>
        <w:t>is said to be cast </w:t>
      </w:r>
      <w:r>
        <w:rPr>
          <w:color w:val="282324"/>
          <w:w w:val="110"/>
        </w:rPr>
        <w:t>in </w:t>
      </w:r>
      <w:r>
        <w:rPr>
          <w:color w:val="383638"/>
          <w:w w:val="110"/>
        </w:rPr>
        <w:t>"active voice"; if the verb's actor is not in the sub­</w:t>
      </w:r>
      <w:r>
        <w:rPr>
          <w:color w:val="383638"/>
          <w:spacing w:val="-61"/>
          <w:w w:val="110"/>
        </w:rPr>
        <w:t> </w:t>
      </w:r>
      <w:r>
        <w:rPr>
          <w:color w:val="494949"/>
          <w:spacing w:val="-1"/>
          <w:w w:val="110"/>
        </w:rPr>
        <w:t>ject </w:t>
      </w:r>
      <w:r>
        <w:rPr>
          <w:color w:val="383638"/>
          <w:spacing w:val="-1"/>
          <w:w w:val="110"/>
        </w:rPr>
        <w:t>position, the verb </w:t>
      </w:r>
      <w:r>
        <w:rPr>
          <w:color w:val="383638"/>
          <w:w w:val="110"/>
        </w:rPr>
        <w:t>is said to be cast in "passive voice." In almost every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case in which the verb is </w:t>
      </w:r>
      <w:r>
        <w:rPr>
          <w:color w:val="383638"/>
          <w:w w:val="110"/>
        </w:rPr>
        <w:t>cast in passive voice, the subject of the sentence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is receiving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action of  the  verb rather than doing the action of  the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verb. Thus, in most cases, the </w:t>
      </w:r>
      <w:r>
        <w:rPr>
          <w:color w:val="383638"/>
          <w:w w:val="110"/>
        </w:rPr>
        <w:t>subject of an active voice sentence or clause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is </w:t>
      </w:r>
      <w:r>
        <w:rPr>
          <w:color w:val="494949"/>
          <w:w w:val="110"/>
        </w:rPr>
        <w:t>"verbing"; </w:t>
      </w:r>
      <w:r>
        <w:rPr>
          <w:color w:val="383638"/>
          <w:w w:val="110"/>
        </w:rPr>
        <w:t>the subject of </w:t>
      </w:r>
      <w:r>
        <w:rPr>
          <w:rFonts w:ascii="Arial" w:hAnsi="Arial"/>
          <w:b/>
          <w:color w:val="383638"/>
          <w:w w:val="110"/>
          <w:sz w:val="21"/>
        </w:rPr>
        <w:t>a </w:t>
      </w:r>
      <w:r>
        <w:rPr>
          <w:color w:val="383638"/>
          <w:w w:val="110"/>
        </w:rPr>
        <w:t>passive voice sentence or clause is "being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verbed." Think of the subject passively receiving the action of the verb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help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remember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2"/>
          <w:w w:val="110"/>
        </w:rPr>
        <w:t> </w:t>
      </w:r>
      <w:r>
        <w:rPr>
          <w:color w:val="383638"/>
          <w:w w:val="110"/>
        </w:rPr>
        <w:t>meaning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of "passive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voice":</w:t>
      </w:r>
    </w:p>
    <w:p>
      <w:pPr>
        <w:spacing w:before="123"/>
        <w:ind w:left="454" w:right="854" w:hanging="19"/>
        <w:jc w:val="both"/>
        <w:rPr>
          <w:b/>
          <w:sz w:val="21"/>
        </w:rPr>
      </w:pPr>
      <w:r>
        <w:rPr>
          <w:b/>
          <w:color w:val="383638"/>
          <w:w w:val="110"/>
          <w:sz w:val="21"/>
        </w:rPr>
        <w:t>The</w:t>
      </w:r>
      <w:r>
        <w:rPr>
          <w:b/>
          <w:color w:val="383638"/>
          <w:spacing w:val="-2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court</w:t>
      </w:r>
      <w:r>
        <w:rPr>
          <w:b/>
          <w:color w:val="383638"/>
          <w:spacing w:val="-20"/>
          <w:w w:val="110"/>
          <w:sz w:val="21"/>
        </w:rPr>
        <w:t> </w:t>
      </w:r>
      <w:r>
        <w:rPr>
          <w:b/>
          <w:color w:val="282324"/>
          <w:w w:val="110"/>
          <w:sz w:val="21"/>
        </w:rPr>
        <w:t>decided</w:t>
      </w:r>
      <w:r>
        <w:rPr>
          <w:b/>
          <w:color w:val="282324"/>
          <w:spacing w:val="-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</w:t>
      </w:r>
      <w:r>
        <w:rPr>
          <w:b/>
          <w:color w:val="383638"/>
          <w:spacing w:val="-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case.</w:t>
      </w:r>
      <w:r>
        <w:rPr>
          <w:b/>
          <w:color w:val="383638"/>
          <w:spacing w:val="-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(Active</w:t>
      </w:r>
      <w:r>
        <w:rPr>
          <w:b/>
          <w:color w:val="383638"/>
          <w:spacing w:val="-1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voice;</w:t>
      </w:r>
      <w:r>
        <w:rPr>
          <w:b/>
          <w:color w:val="383638"/>
          <w:spacing w:val="-20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</w:t>
      </w:r>
      <w:r>
        <w:rPr>
          <w:b/>
          <w:color w:val="383638"/>
          <w:spacing w:val="-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subject</w:t>
      </w:r>
      <w:r>
        <w:rPr>
          <w:b/>
          <w:color w:val="383638"/>
          <w:spacing w:val="-2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[court]</w:t>
      </w:r>
      <w:r>
        <w:rPr>
          <w:b/>
          <w:color w:val="383638"/>
          <w:spacing w:val="-1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Is</w:t>
      </w:r>
      <w:r>
        <w:rPr>
          <w:b/>
          <w:color w:val="383638"/>
          <w:spacing w:val="-1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verbing</w:t>
      </w:r>
      <w:r>
        <w:rPr>
          <w:b/>
          <w:color w:val="383638"/>
          <w:spacing w:val="-5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(deciding].)</w:t>
      </w:r>
    </w:p>
    <w:p>
      <w:pPr>
        <w:spacing w:before="124"/>
        <w:ind w:left="458" w:right="840" w:hanging="23"/>
        <w:jc w:val="both"/>
        <w:rPr>
          <w:b/>
          <w:sz w:val="21"/>
        </w:rPr>
      </w:pPr>
      <w:r>
        <w:rPr>
          <w:b/>
          <w:color w:val="383638"/>
          <w:w w:val="110"/>
          <w:sz w:val="21"/>
        </w:rPr>
        <w:t>The case was decided </w:t>
      </w:r>
      <w:r>
        <w:rPr>
          <w:b/>
          <w:color w:val="282324"/>
          <w:w w:val="110"/>
          <w:sz w:val="21"/>
        </w:rPr>
        <w:t>by </w:t>
      </w:r>
      <w:r>
        <w:rPr>
          <w:b/>
          <w:color w:val="383638"/>
          <w:w w:val="110"/>
          <w:sz w:val="21"/>
        </w:rPr>
        <w:t>the court. (Passive voice; the subject </w:t>
      </w:r>
      <w:r>
        <w:rPr>
          <w:b/>
          <w:color w:val="282324"/>
          <w:w w:val="110"/>
          <w:sz w:val="21"/>
        </w:rPr>
        <w:t>[case] </w:t>
      </w:r>
      <w:r>
        <w:rPr>
          <w:b/>
          <w:color w:val="383638"/>
          <w:w w:val="110"/>
          <w:sz w:val="21"/>
        </w:rPr>
        <w:t>is</w:t>
      </w:r>
      <w:r>
        <w:rPr>
          <w:b/>
          <w:color w:val="383638"/>
          <w:spacing w:val="-5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being</w:t>
      </w:r>
      <w:r>
        <w:rPr>
          <w:b/>
          <w:color w:val="383638"/>
          <w:spacing w:val="-1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verbed</w:t>
      </w:r>
      <w:r>
        <w:rPr>
          <w:b/>
          <w:color w:val="383638"/>
          <w:spacing w:val="-1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[being</w:t>
      </w:r>
      <w:r>
        <w:rPr>
          <w:b/>
          <w:color w:val="383638"/>
          <w:spacing w:val="-1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decided].)</w:t>
      </w:r>
    </w:p>
    <w:p>
      <w:pPr>
        <w:pStyle w:val="BodyText"/>
        <w:spacing w:line="235" w:lineRule="auto" w:before="128"/>
        <w:ind w:left="117" w:right="420" w:firstLine="351"/>
        <w:jc w:val="both"/>
      </w:pPr>
      <w:r>
        <w:rPr>
          <w:color w:val="383638"/>
          <w:w w:val="115"/>
        </w:rPr>
        <w:t>Passive and active voice verbs, like nominalizations, are grammati­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cally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correct.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Because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active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voice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verbs</w:t>
      </w:r>
      <w:r>
        <w:rPr>
          <w:color w:val="383638"/>
          <w:spacing w:val="-2"/>
          <w:w w:val="110"/>
        </w:rPr>
        <w:t> </w:t>
      </w:r>
      <w:r>
        <w:rPr>
          <w:color w:val="494949"/>
          <w:w w:val="110"/>
        </w:rPr>
        <w:t>can</w:t>
      </w:r>
      <w:r>
        <w:rPr>
          <w:color w:val="494949"/>
          <w:spacing w:val="34"/>
          <w:w w:val="110"/>
        </w:rPr>
        <w:t> </w:t>
      </w:r>
      <w:r>
        <w:rPr>
          <w:color w:val="383638"/>
          <w:w w:val="110"/>
        </w:rPr>
        <w:t>be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understood</w:t>
      </w:r>
      <w:r>
        <w:rPr>
          <w:color w:val="383638"/>
          <w:spacing w:val="38"/>
          <w:w w:val="110"/>
        </w:rPr>
        <w:t> </w:t>
      </w:r>
      <w:r>
        <w:rPr>
          <w:color w:val="383638"/>
          <w:w w:val="110"/>
        </w:rPr>
        <w:t>more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quickly,</w:t>
      </w:r>
    </w:p>
    <w:p>
      <w:pPr>
        <w:spacing w:after="0" w:line="235" w:lineRule="auto"/>
        <w:jc w:val="both"/>
        <w:sectPr>
          <w:pgSz w:w="9780" w:h="13980"/>
          <w:pgMar w:header="617" w:footer="0" w:top="800" w:bottom="280" w:left="260" w:right="1360"/>
        </w:sectPr>
      </w:pPr>
    </w:p>
    <w:p>
      <w:pPr>
        <w:spacing w:line="237" w:lineRule="auto" w:before="83"/>
        <w:ind w:left="795" w:right="108" w:firstLine="8"/>
        <w:jc w:val="both"/>
        <w:rPr>
          <w:sz w:val="22"/>
        </w:rPr>
      </w:pPr>
      <w:r>
        <w:rPr>
          <w:color w:val="3B383B"/>
          <w:sz w:val="22"/>
        </w:rPr>
        <w:t>however, you should use active voice unless you</w:t>
      </w:r>
      <w:r>
        <w:rPr>
          <w:color w:val="3B383B"/>
          <w:spacing w:val="55"/>
          <w:sz w:val="22"/>
        </w:rPr>
        <w:t> </w:t>
      </w:r>
      <w:r>
        <w:rPr>
          <w:color w:val="3B383B"/>
          <w:sz w:val="22"/>
        </w:rPr>
        <w:t>have a specific reason to</w:t>
      </w:r>
      <w:r>
        <w:rPr>
          <w:color w:val="3B383B"/>
          <w:spacing w:val="1"/>
          <w:sz w:val="22"/>
        </w:rPr>
        <w:t> </w:t>
      </w:r>
      <w:r>
        <w:rPr>
          <w:color w:val="3B383B"/>
          <w:sz w:val="22"/>
        </w:rPr>
        <w:t>use</w:t>
      </w:r>
      <w:r>
        <w:rPr>
          <w:color w:val="3B383B"/>
          <w:spacing w:val="-4"/>
          <w:sz w:val="22"/>
        </w:rPr>
        <w:t> </w:t>
      </w:r>
      <w:r>
        <w:rPr>
          <w:color w:val="3B383B"/>
          <w:sz w:val="22"/>
        </w:rPr>
        <w:t>passive</w:t>
      </w:r>
      <w:r>
        <w:rPr>
          <w:color w:val="3B383B"/>
          <w:spacing w:val="-8"/>
          <w:sz w:val="22"/>
        </w:rPr>
        <w:t> </w:t>
      </w:r>
      <w:r>
        <w:rPr>
          <w:color w:val="3B383B"/>
          <w:sz w:val="22"/>
        </w:rPr>
        <w:t>voice.</w:t>
      </w:r>
      <w:r>
        <w:rPr>
          <w:color w:val="3B383B"/>
          <w:spacing w:val="-4"/>
          <w:sz w:val="22"/>
        </w:rPr>
        <w:t> </w:t>
      </w:r>
      <w:r>
        <w:rPr>
          <w:color w:val="3B383B"/>
          <w:sz w:val="22"/>
        </w:rPr>
        <w:t>Passive</w:t>
      </w:r>
      <w:r>
        <w:rPr>
          <w:color w:val="3B383B"/>
          <w:spacing w:val="-8"/>
          <w:sz w:val="22"/>
        </w:rPr>
        <w:t> </w:t>
      </w:r>
      <w:r>
        <w:rPr>
          <w:color w:val="3B383B"/>
          <w:sz w:val="22"/>
        </w:rPr>
        <w:t>voice</w:t>
      </w:r>
      <w:r>
        <w:rPr>
          <w:color w:val="3B383B"/>
          <w:spacing w:val="-10"/>
          <w:sz w:val="22"/>
        </w:rPr>
        <w:t> </w:t>
      </w:r>
      <w:r>
        <w:rPr>
          <w:color w:val="3B383B"/>
          <w:sz w:val="22"/>
        </w:rPr>
        <w:t>is</w:t>
      </w:r>
      <w:r>
        <w:rPr>
          <w:color w:val="3B383B"/>
          <w:spacing w:val="-11"/>
          <w:sz w:val="22"/>
        </w:rPr>
        <w:t> </w:t>
      </w:r>
      <w:r>
        <w:rPr>
          <w:color w:val="3B383B"/>
          <w:sz w:val="22"/>
        </w:rPr>
        <w:t>preferred</w:t>
      </w:r>
      <w:r>
        <w:rPr>
          <w:color w:val="3B383B"/>
          <w:spacing w:val="15"/>
          <w:sz w:val="22"/>
        </w:rPr>
        <w:t> </w:t>
      </w:r>
      <w:r>
        <w:rPr>
          <w:color w:val="3B383B"/>
          <w:sz w:val="22"/>
        </w:rPr>
        <w:t>on</w:t>
      </w:r>
      <w:r>
        <w:rPr>
          <w:color w:val="3B383B"/>
          <w:spacing w:val="39"/>
          <w:sz w:val="22"/>
        </w:rPr>
        <w:t> </w:t>
      </w:r>
      <w:r>
        <w:rPr>
          <w:color w:val="3B383B"/>
          <w:sz w:val="22"/>
        </w:rPr>
        <w:t>occasion</w:t>
      </w:r>
      <w:r>
        <w:rPr>
          <w:color w:val="59595B"/>
          <w:sz w:val="22"/>
        </w:rPr>
        <w:t>:</w:t>
      </w:r>
    </w:p>
    <w:p>
      <w:pPr>
        <w:pStyle w:val="ListParagraph"/>
        <w:numPr>
          <w:ilvl w:val="2"/>
          <w:numId w:val="102"/>
        </w:numPr>
        <w:tabs>
          <w:tab w:pos="1369" w:val="left" w:leader="none"/>
        </w:tabs>
        <w:spacing w:line="244" w:lineRule="auto" w:before="105" w:after="0"/>
        <w:ind w:left="1354" w:right="110" w:hanging="232"/>
        <w:jc w:val="both"/>
        <w:rPr>
          <w:rFonts w:ascii="Arial" w:hAnsi="Arial"/>
          <w:color w:val="3B383B"/>
          <w:sz w:val="19"/>
        </w:rPr>
      </w:pPr>
      <w:r>
        <w:rPr>
          <w:color w:val="3B383B"/>
          <w:w w:val="105"/>
          <w:sz w:val="22"/>
        </w:rPr>
        <w:t>if</w:t>
      </w:r>
      <w:r>
        <w:rPr>
          <w:color w:val="3B383B"/>
          <w:spacing w:val="12"/>
          <w:w w:val="105"/>
          <w:sz w:val="22"/>
        </w:rPr>
        <w:t> </w:t>
      </w:r>
      <w:r>
        <w:rPr>
          <w:i/>
          <w:color w:val="3B383B"/>
          <w:w w:val="105"/>
          <w:sz w:val="24"/>
        </w:rPr>
        <w:t>you</w:t>
      </w:r>
      <w:r>
        <w:rPr>
          <w:i/>
          <w:color w:val="3B383B"/>
          <w:spacing w:val="-27"/>
          <w:w w:val="105"/>
          <w:sz w:val="24"/>
        </w:rPr>
        <w:t> </w:t>
      </w:r>
      <w:r>
        <w:rPr>
          <w:color w:val="3B383B"/>
          <w:w w:val="105"/>
          <w:sz w:val="22"/>
        </w:rPr>
        <w:t>don't</w:t>
      </w:r>
      <w:r>
        <w:rPr>
          <w:color w:val="3B383B"/>
          <w:spacing w:val="-7"/>
          <w:w w:val="105"/>
          <w:sz w:val="22"/>
        </w:rPr>
        <w:t> </w:t>
      </w:r>
      <w:r>
        <w:rPr>
          <w:color w:val="3B383B"/>
          <w:w w:val="105"/>
          <w:sz w:val="22"/>
        </w:rPr>
        <w:t>know</w:t>
      </w:r>
      <w:r>
        <w:rPr>
          <w:color w:val="3B383B"/>
          <w:spacing w:val="-18"/>
          <w:w w:val="105"/>
          <w:sz w:val="22"/>
        </w:rPr>
        <w:t> </w:t>
      </w:r>
      <w:r>
        <w:rPr>
          <w:color w:val="3B383B"/>
          <w:w w:val="105"/>
          <w:sz w:val="22"/>
        </w:rPr>
        <w:t>who</w:t>
      </w:r>
      <w:r>
        <w:rPr>
          <w:color w:val="3B383B"/>
          <w:spacing w:val="-8"/>
          <w:w w:val="105"/>
          <w:sz w:val="22"/>
        </w:rPr>
        <w:t> </w:t>
      </w:r>
      <w:r>
        <w:rPr>
          <w:color w:val="3B383B"/>
          <w:w w:val="105"/>
          <w:sz w:val="22"/>
        </w:rPr>
        <w:t>the</w:t>
      </w:r>
      <w:r>
        <w:rPr>
          <w:color w:val="3B383B"/>
          <w:spacing w:val="-9"/>
          <w:w w:val="105"/>
          <w:sz w:val="22"/>
        </w:rPr>
        <w:t> </w:t>
      </w:r>
      <w:r>
        <w:rPr>
          <w:color w:val="3B383B"/>
          <w:w w:val="105"/>
          <w:sz w:val="22"/>
        </w:rPr>
        <w:t>actor</w:t>
      </w:r>
      <w:r>
        <w:rPr>
          <w:color w:val="3B383B"/>
          <w:spacing w:val="-2"/>
          <w:w w:val="105"/>
          <w:sz w:val="22"/>
        </w:rPr>
        <w:t> </w:t>
      </w:r>
      <w:r>
        <w:rPr>
          <w:color w:val="3B383B"/>
          <w:w w:val="105"/>
          <w:sz w:val="22"/>
        </w:rPr>
        <w:t>is</w:t>
      </w:r>
      <w:r>
        <w:rPr>
          <w:color w:val="3B383B"/>
          <w:spacing w:val="-19"/>
          <w:w w:val="105"/>
          <w:sz w:val="22"/>
        </w:rPr>
        <w:t> </w:t>
      </w:r>
      <w:r>
        <w:rPr>
          <w:color w:val="3B383B"/>
          <w:w w:val="105"/>
          <w:sz w:val="22"/>
        </w:rPr>
        <w:t>or</w:t>
      </w:r>
      <w:r>
        <w:rPr>
          <w:color w:val="3B383B"/>
          <w:spacing w:val="9"/>
          <w:w w:val="105"/>
          <w:sz w:val="22"/>
        </w:rPr>
        <w:t> </w:t>
      </w:r>
      <w:r>
        <w:rPr>
          <w:color w:val="3B383B"/>
          <w:w w:val="105"/>
          <w:sz w:val="22"/>
        </w:rPr>
        <w:t>you</w:t>
      </w:r>
      <w:r>
        <w:rPr>
          <w:color w:val="3B383B"/>
          <w:spacing w:val="20"/>
          <w:w w:val="105"/>
          <w:sz w:val="22"/>
        </w:rPr>
        <w:t> </w:t>
      </w:r>
      <w:r>
        <w:rPr>
          <w:color w:val="3B383B"/>
          <w:w w:val="105"/>
          <w:sz w:val="22"/>
        </w:rPr>
        <w:t>want</w:t>
      </w:r>
      <w:r>
        <w:rPr>
          <w:color w:val="3B383B"/>
          <w:spacing w:val="5"/>
          <w:w w:val="105"/>
          <w:sz w:val="22"/>
        </w:rPr>
        <w:t> </w:t>
      </w:r>
      <w:r>
        <w:rPr>
          <w:color w:val="3B383B"/>
          <w:w w:val="105"/>
          <w:sz w:val="22"/>
        </w:rPr>
        <w:t>to</w:t>
      </w:r>
      <w:r>
        <w:rPr>
          <w:color w:val="3B383B"/>
          <w:spacing w:val="20"/>
          <w:w w:val="105"/>
          <w:sz w:val="22"/>
        </w:rPr>
        <w:t> </w:t>
      </w:r>
      <w:r>
        <w:rPr>
          <w:color w:val="3B383B"/>
          <w:w w:val="105"/>
          <w:sz w:val="22"/>
        </w:rPr>
        <w:t>hide</w:t>
      </w:r>
      <w:r>
        <w:rPr>
          <w:color w:val="3B383B"/>
          <w:spacing w:val="-15"/>
          <w:w w:val="105"/>
          <w:sz w:val="22"/>
        </w:rPr>
        <w:t> </w:t>
      </w:r>
      <w:r>
        <w:rPr>
          <w:color w:val="3B383B"/>
          <w:w w:val="105"/>
          <w:sz w:val="22"/>
        </w:rPr>
        <w:t>or</w:t>
      </w:r>
      <w:r>
        <w:rPr>
          <w:color w:val="3B383B"/>
          <w:spacing w:val="-14"/>
          <w:w w:val="105"/>
          <w:sz w:val="22"/>
        </w:rPr>
        <w:t> </w:t>
      </w:r>
      <w:r>
        <w:rPr>
          <w:color w:val="3B383B"/>
          <w:w w:val="105"/>
          <w:sz w:val="22"/>
        </w:rPr>
        <w:t>deempha­</w:t>
      </w:r>
      <w:r>
        <w:rPr>
          <w:color w:val="3B383B"/>
          <w:spacing w:val="-56"/>
          <w:w w:val="105"/>
          <w:sz w:val="22"/>
        </w:rPr>
        <w:t> </w:t>
      </w:r>
      <w:r>
        <w:rPr>
          <w:color w:val="3B383B"/>
          <w:w w:val="105"/>
          <w:sz w:val="22"/>
        </w:rPr>
        <w:t>size the actor ("a decision was made to raise your tuition" hides the</w:t>
      </w:r>
      <w:r>
        <w:rPr>
          <w:color w:val="3B383B"/>
          <w:spacing w:val="-55"/>
          <w:w w:val="105"/>
          <w:sz w:val="22"/>
        </w:rPr>
        <w:t> </w:t>
      </w:r>
      <w:r>
        <w:rPr>
          <w:color w:val="3B383B"/>
          <w:w w:val="105"/>
          <w:sz w:val="22"/>
        </w:rPr>
        <w:t>decision</w:t>
      </w:r>
      <w:r>
        <w:rPr>
          <w:color w:val="3B383B"/>
          <w:spacing w:val="-2"/>
          <w:w w:val="105"/>
          <w:sz w:val="22"/>
        </w:rPr>
        <w:t> </w:t>
      </w:r>
      <w:r>
        <w:rPr>
          <w:color w:val="3B383B"/>
          <w:w w:val="105"/>
          <w:sz w:val="22"/>
        </w:rPr>
        <w:t>maker);</w:t>
      </w:r>
    </w:p>
    <w:p>
      <w:pPr>
        <w:pStyle w:val="ListParagraph"/>
        <w:numPr>
          <w:ilvl w:val="2"/>
          <w:numId w:val="102"/>
        </w:numPr>
        <w:tabs>
          <w:tab w:pos="1355" w:val="left" w:leader="none"/>
        </w:tabs>
        <w:spacing w:line="246" w:lineRule="exact" w:before="0" w:after="0"/>
        <w:ind w:left="1354" w:right="0" w:hanging="236"/>
        <w:jc w:val="both"/>
        <w:rPr>
          <w:color w:val="3B383B"/>
          <w:sz w:val="22"/>
        </w:rPr>
      </w:pPr>
      <w:r>
        <w:rPr>
          <w:color w:val="3B383B"/>
          <w:w w:val="105"/>
          <w:sz w:val="22"/>
        </w:rPr>
        <w:t>when</w:t>
      </w:r>
      <w:r>
        <w:rPr>
          <w:color w:val="3B383B"/>
          <w:spacing w:val="6"/>
          <w:w w:val="105"/>
          <w:sz w:val="22"/>
        </w:rPr>
        <w:t> </w:t>
      </w:r>
      <w:r>
        <w:rPr>
          <w:color w:val="3B383B"/>
          <w:w w:val="105"/>
          <w:sz w:val="22"/>
        </w:rPr>
        <w:t>you</w:t>
      </w:r>
      <w:r>
        <w:rPr>
          <w:color w:val="3B383B"/>
          <w:spacing w:val="14"/>
          <w:w w:val="105"/>
          <w:sz w:val="22"/>
        </w:rPr>
        <w:t> </w:t>
      </w:r>
      <w:r>
        <w:rPr>
          <w:color w:val="3B383B"/>
          <w:w w:val="105"/>
          <w:sz w:val="22"/>
        </w:rPr>
        <w:t>want</w:t>
      </w:r>
      <w:r>
        <w:rPr>
          <w:color w:val="3B383B"/>
          <w:spacing w:val="-7"/>
          <w:w w:val="105"/>
          <w:sz w:val="22"/>
        </w:rPr>
        <w:t> </w:t>
      </w:r>
      <w:r>
        <w:rPr>
          <w:i/>
          <w:color w:val="3B383B"/>
          <w:w w:val="105"/>
          <w:sz w:val="24"/>
        </w:rPr>
        <w:t>to</w:t>
      </w:r>
      <w:r>
        <w:rPr>
          <w:i/>
          <w:color w:val="3B383B"/>
          <w:spacing w:val="-15"/>
          <w:w w:val="105"/>
          <w:sz w:val="24"/>
        </w:rPr>
        <w:t> </w:t>
      </w:r>
      <w:r>
        <w:rPr>
          <w:color w:val="3B383B"/>
          <w:w w:val="105"/>
          <w:sz w:val="22"/>
        </w:rPr>
        <w:t>emphasize</w:t>
      </w:r>
      <w:r>
        <w:rPr>
          <w:color w:val="3B383B"/>
          <w:spacing w:val="-2"/>
          <w:w w:val="105"/>
          <w:sz w:val="22"/>
        </w:rPr>
        <w:t> </w:t>
      </w:r>
      <w:r>
        <w:rPr>
          <w:color w:val="3B383B"/>
          <w:w w:val="105"/>
          <w:sz w:val="22"/>
        </w:rPr>
        <w:t>the</w:t>
      </w:r>
      <w:r>
        <w:rPr>
          <w:color w:val="3B383B"/>
          <w:spacing w:val="41"/>
          <w:w w:val="105"/>
          <w:sz w:val="22"/>
        </w:rPr>
        <w:t> </w:t>
      </w:r>
      <w:r>
        <w:rPr>
          <w:color w:val="3B383B"/>
          <w:w w:val="105"/>
          <w:sz w:val="22"/>
        </w:rPr>
        <w:t>object of</w:t>
      </w:r>
      <w:r>
        <w:rPr>
          <w:color w:val="3B383B"/>
          <w:spacing w:val="14"/>
          <w:w w:val="105"/>
          <w:sz w:val="22"/>
        </w:rPr>
        <w:t> </w:t>
      </w:r>
      <w:r>
        <w:rPr>
          <w:color w:val="3B383B"/>
          <w:w w:val="105"/>
          <w:sz w:val="22"/>
        </w:rPr>
        <w:t>the</w:t>
      </w:r>
      <w:r>
        <w:rPr>
          <w:color w:val="3B383B"/>
          <w:spacing w:val="43"/>
          <w:w w:val="105"/>
          <w:sz w:val="22"/>
        </w:rPr>
        <w:t> </w:t>
      </w:r>
      <w:r>
        <w:rPr>
          <w:color w:val="3B383B"/>
          <w:w w:val="105"/>
          <w:sz w:val="22"/>
        </w:rPr>
        <w:t>verb</w:t>
      </w:r>
      <w:r>
        <w:rPr>
          <w:color w:val="3B383B"/>
          <w:spacing w:val="5"/>
          <w:w w:val="105"/>
          <w:sz w:val="22"/>
        </w:rPr>
        <w:t> </w:t>
      </w:r>
      <w:r>
        <w:rPr>
          <w:color w:val="3B383B"/>
          <w:w w:val="105"/>
          <w:sz w:val="22"/>
        </w:rPr>
        <w:t>rather</w:t>
      </w:r>
      <w:r>
        <w:rPr>
          <w:color w:val="3B383B"/>
          <w:spacing w:val="6"/>
          <w:w w:val="105"/>
          <w:sz w:val="22"/>
        </w:rPr>
        <w:t> </w:t>
      </w:r>
      <w:r>
        <w:rPr>
          <w:color w:val="3B383B"/>
          <w:w w:val="105"/>
          <w:sz w:val="22"/>
        </w:rPr>
        <w:t>than</w:t>
      </w:r>
      <w:r>
        <w:rPr>
          <w:color w:val="3B383B"/>
          <w:spacing w:val="-12"/>
          <w:w w:val="105"/>
          <w:sz w:val="22"/>
        </w:rPr>
        <w:t> </w:t>
      </w:r>
      <w:r>
        <w:rPr>
          <w:color w:val="3B383B"/>
          <w:w w:val="105"/>
          <w:sz w:val="22"/>
        </w:rPr>
        <w:t>the</w:t>
      </w:r>
    </w:p>
    <w:p>
      <w:pPr>
        <w:spacing w:line="250" w:lineRule="exact" w:before="0"/>
        <w:ind w:left="1345" w:right="0" w:firstLine="0"/>
        <w:jc w:val="both"/>
        <w:rPr>
          <w:rFonts w:ascii="Arial" w:hAnsi="Arial"/>
          <w:sz w:val="21"/>
        </w:rPr>
      </w:pPr>
      <w:r>
        <w:rPr>
          <w:color w:val="3B383B"/>
          <w:sz w:val="22"/>
        </w:rPr>
        <w:t>subject</w:t>
      </w:r>
      <w:r>
        <w:rPr>
          <w:color w:val="3B383B"/>
          <w:spacing w:val="30"/>
          <w:sz w:val="22"/>
        </w:rPr>
        <w:t> </w:t>
      </w:r>
      <w:r>
        <w:rPr>
          <w:color w:val="3B383B"/>
          <w:sz w:val="22"/>
        </w:rPr>
        <w:t>("she</w:t>
      </w:r>
      <w:r>
        <w:rPr>
          <w:color w:val="3B383B"/>
          <w:spacing w:val="18"/>
          <w:sz w:val="22"/>
        </w:rPr>
        <w:t> </w:t>
      </w:r>
      <w:r>
        <w:rPr>
          <w:color w:val="3B383B"/>
          <w:sz w:val="22"/>
        </w:rPr>
        <w:t>was</w:t>
      </w:r>
      <w:r>
        <w:rPr>
          <w:color w:val="3B383B"/>
          <w:spacing w:val="35"/>
          <w:sz w:val="22"/>
        </w:rPr>
        <w:t> </w:t>
      </w:r>
      <w:r>
        <w:rPr>
          <w:color w:val="3B383B"/>
          <w:sz w:val="22"/>
        </w:rPr>
        <w:t>hit</w:t>
      </w:r>
      <w:r>
        <w:rPr>
          <w:color w:val="3B383B"/>
          <w:spacing w:val="34"/>
          <w:sz w:val="22"/>
        </w:rPr>
        <w:t> </w:t>
      </w:r>
      <w:r>
        <w:rPr>
          <w:color w:val="3B383B"/>
          <w:sz w:val="22"/>
        </w:rPr>
        <w:t>by</w:t>
      </w:r>
      <w:r>
        <w:rPr>
          <w:color w:val="3B383B"/>
          <w:spacing w:val="11"/>
          <w:sz w:val="22"/>
        </w:rPr>
        <w:t> </w:t>
      </w:r>
      <w:r>
        <w:rPr>
          <w:color w:val="3B383B"/>
          <w:sz w:val="22"/>
        </w:rPr>
        <w:t>a</w:t>
      </w:r>
      <w:r>
        <w:rPr>
          <w:color w:val="3B383B"/>
          <w:spacing w:val="40"/>
          <w:sz w:val="22"/>
        </w:rPr>
        <w:t> </w:t>
      </w:r>
      <w:r>
        <w:rPr>
          <w:color w:val="3B383B"/>
          <w:sz w:val="22"/>
        </w:rPr>
        <w:t>car"</w:t>
      </w:r>
      <w:r>
        <w:rPr>
          <w:color w:val="3B383B"/>
          <w:spacing w:val="17"/>
          <w:sz w:val="22"/>
        </w:rPr>
        <w:t> </w:t>
      </w:r>
      <w:r>
        <w:rPr>
          <w:color w:val="3B383B"/>
          <w:sz w:val="22"/>
        </w:rPr>
        <w:t>emphasizes</w:t>
      </w:r>
      <w:r>
        <w:rPr>
          <w:color w:val="3B383B"/>
          <w:spacing w:val="46"/>
          <w:sz w:val="22"/>
        </w:rPr>
        <w:t> </w:t>
      </w:r>
      <w:r>
        <w:rPr>
          <w:color w:val="3B383B"/>
          <w:sz w:val="22"/>
        </w:rPr>
        <w:t>the</w:t>
      </w:r>
      <w:r>
        <w:rPr>
          <w:color w:val="3B383B"/>
          <w:spacing w:val="35"/>
          <w:sz w:val="22"/>
        </w:rPr>
        <w:t> </w:t>
      </w:r>
      <w:r>
        <w:rPr>
          <w:color w:val="3B383B"/>
          <w:sz w:val="22"/>
        </w:rPr>
        <w:t>victim</w:t>
      </w:r>
      <w:r>
        <w:rPr>
          <w:color w:val="3B383B"/>
          <w:spacing w:val="51"/>
          <w:sz w:val="22"/>
        </w:rPr>
        <w:t> </w:t>
      </w:r>
      <w:r>
        <w:rPr>
          <w:color w:val="3B383B"/>
          <w:sz w:val="22"/>
        </w:rPr>
        <w:t>of</w:t>
      </w:r>
      <w:r>
        <w:rPr>
          <w:color w:val="3B383B"/>
          <w:spacing w:val="56"/>
          <w:sz w:val="22"/>
        </w:rPr>
        <w:t> </w:t>
      </w:r>
      <w:r>
        <w:rPr>
          <w:color w:val="3B383B"/>
          <w:sz w:val="22"/>
        </w:rPr>
        <w:t>the</w:t>
      </w:r>
      <w:r>
        <w:rPr>
          <w:color w:val="3B383B"/>
          <w:spacing w:val="40"/>
          <w:sz w:val="22"/>
        </w:rPr>
        <w:t> </w:t>
      </w:r>
      <w:r>
        <w:rPr>
          <w:rFonts w:ascii="Arial" w:hAnsi="Arial"/>
          <w:color w:val="3B383B"/>
          <w:sz w:val="21"/>
        </w:rPr>
        <w:t>acci­</w:t>
      </w:r>
    </w:p>
    <w:p>
      <w:pPr>
        <w:spacing w:line="252" w:lineRule="exact" w:before="17"/>
        <w:ind w:left="1338" w:right="0" w:firstLine="0"/>
        <w:jc w:val="both"/>
        <w:rPr>
          <w:sz w:val="22"/>
        </w:rPr>
      </w:pPr>
      <w:r>
        <w:rPr>
          <w:color w:val="3B383B"/>
          <w:sz w:val="22"/>
        </w:rPr>
        <w:t>dent</w:t>
      </w:r>
      <w:r>
        <w:rPr>
          <w:color w:val="59595B"/>
          <w:sz w:val="22"/>
        </w:rPr>
        <w:t>);</w:t>
      </w:r>
      <w:r>
        <w:rPr>
          <w:color w:val="59595B"/>
          <w:spacing w:val="-11"/>
          <w:sz w:val="22"/>
        </w:rPr>
        <w:t> </w:t>
      </w:r>
      <w:r>
        <w:rPr>
          <w:color w:val="3B383B"/>
          <w:sz w:val="22"/>
        </w:rPr>
        <w:t>or</w:t>
      </w:r>
    </w:p>
    <w:p>
      <w:pPr>
        <w:pStyle w:val="ListParagraph"/>
        <w:numPr>
          <w:ilvl w:val="2"/>
          <w:numId w:val="102"/>
        </w:numPr>
        <w:tabs>
          <w:tab w:pos="1336" w:val="left" w:leader="none"/>
        </w:tabs>
        <w:spacing w:line="242" w:lineRule="auto" w:before="0" w:after="0"/>
        <w:ind w:left="1324" w:right="107" w:hanging="229"/>
        <w:jc w:val="both"/>
        <w:rPr>
          <w:color w:val="3B383B"/>
          <w:sz w:val="22"/>
        </w:rPr>
      </w:pPr>
      <w:r>
        <w:rPr>
          <w:color w:val="3B383B"/>
          <w:w w:val="105"/>
          <w:sz w:val="22"/>
        </w:rPr>
        <w:t>when your sentence just works better with the object of the verb</w:t>
      </w:r>
      <w:r>
        <w:rPr>
          <w:rFonts w:ascii="Arial"/>
          <w:color w:val="3B383B"/>
          <w:w w:val="105"/>
          <w:sz w:val="21"/>
        </w:rPr>
        <w:t>in</w:t>
      </w:r>
      <w:r>
        <w:rPr>
          <w:rFonts w:ascii="Arial"/>
          <w:color w:val="3B383B"/>
          <w:spacing w:val="1"/>
          <w:w w:val="105"/>
          <w:sz w:val="21"/>
        </w:rPr>
        <w:t> </w:t>
      </w:r>
      <w:r>
        <w:rPr>
          <w:color w:val="3B383B"/>
          <w:w w:val="105"/>
          <w:sz w:val="22"/>
        </w:rPr>
        <w:t>thesubject position (e.g., when the subject is unusually longorwhen</w:t>
      </w:r>
      <w:r>
        <w:rPr>
          <w:color w:val="3B383B"/>
          <w:spacing w:val="1"/>
          <w:w w:val="105"/>
          <w:sz w:val="22"/>
        </w:rPr>
        <w:t> </w:t>
      </w:r>
      <w:r>
        <w:rPr>
          <w:color w:val="3B383B"/>
          <w:w w:val="105"/>
          <w:sz w:val="22"/>
        </w:rPr>
        <w:t>the</w:t>
      </w:r>
      <w:r>
        <w:rPr>
          <w:color w:val="3B383B"/>
          <w:spacing w:val="48"/>
          <w:w w:val="105"/>
          <w:sz w:val="22"/>
        </w:rPr>
        <w:t> </w:t>
      </w:r>
      <w:r>
        <w:rPr>
          <w:color w:val="3B383B"/>
          <w:w w:val="105"/>
          <w:sz w:val="22"/>
        </w:rPr>
        <w:t>object</w:t>
      </w:r>
      <w:r>
        <w:rPr>
          <w:color w:val="3B383B"/>
          <w:spacing w:val="-3"/>
          <w:w w:val="105"/>
          <w:sz w:val="22"/>
        </w:rPr>
        <w:t> </w:t>
      </w:r>
      <w:r>
        <w:rPr>
          <w:color w:val="3B383B"/>
          <w:w w:val="105"/>
          <w:sz w:val="22"/>
        </w:rPr>
        <w:t>is</w:t>
      </w:r>
      <w:r>
        <w:rPr>
          <w:color w:val="3B383B"/>
          <w:spacing w:val="-21"/>
          <w:w w:val="105"/>
          <w:sz w:val="22"/>
        </w:rPr>
        <w:t> </w:t>
      </w:r>
      <w:r>
        <w:rPr>
          <w:color w:val="3B383B"/>
          <w:w w:val="105"/>
          <w:sz w:val="22"/>
        </w:rPr>
        <w:t>a</w:t>
      </w:r>
      <w:r>
        <w:rPr>
          <w:color w:val="3B383B"/>
          <w:spacing w:val="5"/>
          <w:w w:val="105"/>
          <w:sz w:val="22"/>
        </w:rPr>
        <w:t> </w:t>
      </w:r>
      <w:r>
        <w:rPr>
          <w:color w:val="3B383B"/>
          <w:w w:val="105"/>
          <w:sz w:val="22"/>
        </w:rPr>
        <w:t>more</w:t>
      </w:r>
      <w:r>
        <w:rPr>
          <w:color w:val="3B383B"/>
          <w:spacing w:val="-12"/>
          <w:w w:val="105"/>
          <w:sz w:val="22"/>
        </w:rPr>
        <w:t> </w:t>
      </w:r>
      <w:r>
        <w:rPr>
          <w:color w:val="3B383B"/>
          <w:w w:val="105"/>
          <w:sz w:val="22"/>
        </w:rPr>
        <w:t>familiar</w:t>
      </w:r>
      <w:r>
        <w:rPr>
          <w:color w:val="3B383B"/>
          <w:spacing w:val="7"/>
          <w:w w:val="105"/>
          <w:sz w:val="22"/>
        </w:rPr>
        <w:t> </w:t>
      </w:r>
      <w:r>
        <w:rPr>
          <w:color w:val="3B383B"/>
          <w:w w:val="105"/>
          <w:sz w:val="22"/>
        </w:rPr>
        <w:t>person</w:t>
      </w:r>
      <w:r>
        <w:rPr>
          <w:color w:val="3B383B"/>
          <w:spacing w:val="-4"/>
          <w:w w:val="105"/>
          <w:sz w:val="22"/>
        </w:rPr>
        <w:t> </w:t>
      </w:r>
      <w:r>
        <w:rPr>
          <w:color w:val="3B383B"/>
          <w:w w:val="105"/>
          <w:sz w:val="22"/>
        </w:rPr>
        <w:t>or</w:t>
      </w:r>
      <w:r>
        <w:rPr>
          <w:color w:val="3B383B"/>
          <w:spacing w:val="9"/>
          <w:w w:val="105"/>
          <w:sz w:val="22"/>
        </w:rPr>
        <w:t> </w:t>
      </w:r>
      <w:r>
        <w:rPr>
          <w:color w:val="3B383B"/>
          <w:w w:val="105"/>
          <w:sz w:val="22"/>
        </w:rPr>
        <w:t>concept</w:t>
      </w:r>
      <w:r>
        <w:rPr>
          <w:color w:val="3B383B"/>
          <w:spacing w:val="6"/>
          <w:w w:val="105"/>
          <w:sz w:val="22"/>
        </w:rPr>
        <w:t> </w:t>
      </w:r>
      <w:r>
        <w:rPr>
          <w:color w:val="3B383B"/>
          <w:w w:val="105"/>
          <w:sz w:val="22"/>
        </w:rPr>
        <w:t>than</w:t>
      </w:r>
      <w:r>
        <w:rPr>
          <w:color w:val="3B383B"/>
          <w:spacing w:val="9"/>
          <w:w w:val="105"/>
          <w:sz w:val="22"/>
        </w:rPr>
        <w:t> </w:t>
      </w:r>
      <w:r>
        <w:rPr>
          <w:color w:val="3B383B"/>
          <w:w w:val="105"/>
          <w:sz w:val="22"/>
        </w:rPr>
        <w:t>the</w:t>
      </w:r>
      <w:r>
        <w:rPr>
          <w:color w:val="3B383B"/>
          <w:spacing w:val="-7"/>
          <w:w w:val="105"/>
          <w:sz w:val="22"/>
        </w:rPr>
        <w:t> </w:t>
      </w:r>
      <w:r>
        <w:rPr>
          <w:color w:val="3B383B"/>
          <w:w w:val="105"/>
          <w:sz w:val="22"/>
        </w:rPr>
        <w:t>subject).</w:t>
      </w:r>
      <w:r>
        <w:rPr>
          <w:color w:val="3B383B"/>
          <w:w w:val="105"/>
          <w:position w:val="6"/>
          <w:sz w:val="14"/>
        </w:rPr>
        <w:t>1</w:t>
      </w:r>
      <w:r>
        <w:rPr>
          <w:color w:val="59595B"/>
          <w:w w:val="105"/>
          <w:position w:val="6"/>
          <w:sz w:val="14"/>
        </w:rPr>
        <w:t>1</w:t>
      </w:r>
    </w:p>
    <w:p>
      <w:pPr>
        <w:spacing w:line="242" w:lineRule="auto" w:before="118"/>
        <w:ind w:left="741" w:right="125" w:firstLine="11"/>
        <w:jc w:val="both"/>
        <w:rPr>
          <w:sz w:val="22"/>
        </w:rPr>
      </w:pPr>
      <w:r>
        <w:rPr>
          <w:color w:val="3B383B"/>
          <w:w w:val="105"/>
          <w:sz w:val="22"/>
        </w:rPr>
        <w:t>Look at these examples of similar information included in passive voice</w:t>
      </w:r>
      <w:r>
        <w:rPr>
          <w:color w:val="3B383B"/>
          <w:spacing w:val="1"/>
          <w:w w:val="105"/>
          <w:sz w:val="22"/>
        </w:rPr>
        <w:t> </w:t>
      </w:r>
      <w:r>
        <w:rPr>
          <w:color w:val="3B383B"/>
          <w:w w:val="105"/>
          <w:sz w:val="22"/>
        </w:rPr>
        <w:t>and active voice sentences. Try to decide which sentence might bebetter</w:t>
      </w:r>
      <w:r>
        <w:rPr>
          <w:color w:val="3B383B"/>
          <w:spacing w:val="1"/>
          <w:w w:val="105"/>
          <w:sz w:val="22"/>
        </w:rPr>
        <w:t> </w:t>
      </w:r>
      <w:r>
        <w:rPr>
          <w:color w:val="3B383B"/>
          <w:sz w:val="22"/>
        </w:rPr>
        <w:t>given var</w:t>
      </w:r>
      <w:r>
        <w:rPr>
          <w:color w:val="59595B"/>
          <w:sz w:val="22"/>
        </w:rPr>
        <w:t>i</w:t>
      </w:r>
      <w:r>
        <w:rPr>
          <w:color w:val="3B383B"/>
          <w:sz w:val="22"/>
        </w:rPr>
        <w:t>ous</w:t>
      </w:r>
      <w:r>
        <w:rPr>
          <w:color w:val="3B383B"/>
          <w:spacing w:val="-16"/>
          <w:sz w:val="22"/>
        </w:rPr>
        <w:t> </w:t>
      </w:r>
      <w:r>
        <w:rPr>
          <w:color w:val="3B383B"/>
          <w:sz w:val="22"/>
        </w:rPr>
        <w:t>rhetorical</w:t>
      </w:r>
      <w:r>
        <w:rPr>
          <w:color w:val="3B383B"/>
          <w:spacing w:val="-3"/>
          <w:sz w:val="22"/>
        </w:rPr>
        <w:t> </w:t>
      </w:r>
      <w:r>
        <w:rPr>
          <w:color w:val="3B383B"/>
          <w:sz w:val="22"/>
        </w:rPr>
        <w:t>situations:</w:t>
      </w:r>
    </w:p>
    <w:p>
      <w:pPr>
        <w:spacing w:before="129"/>
        <w:ind w:left="1050" w:right="0" w:firstLine="0"/>
        <w:jc w:val="both"/>
        <w:rPr>
          <w:sz w:val="21"/>
        </w:rPr>
      </w:pPr>
      <w:r>
        <w:rPr>
          <w:color w:val="3B383B"/>
          <w:w w:val="105"/>
          <w:sz w:val="21"/>
        </w:rPr>
        <w:t>The</w:t>
      </w:r>
      <w:r>
        <w:rPr>
          <w:color w:val="3B383B"/>
          <w:spacing w:val="-29"/>
          <w:w w:val="105"/>
          <w:sz w:val="21"/>
        </w:rPr>
        <w:t> </w:t>
      </w:r>
      <w:r>
        <w:rPr>
          <w:color w:val="3B383B"/>
          <w:w w:val="105"/>
          <w:sz w:val="21"/>
        </w:rPr>
        <w:t>statute</w:t>
      </w:r>
      <w:r>
        <w:rPr>
          <w:color w:val="3B383B"/>
          <w:spacing w:val="-9"/>
          <w:w w:val="105"/>
          <w:sz w:val="21"/>
        </w:rPr>
        <w:t> </w:t>
      </w:r>
      <w:r>
        <w:rPr>
          <w:color w:val="3B383B"/>
          <w:w w:val="105"/>
          <w:sz w:val="21"/>
        </w:rPr>
        <w:t>was</w:t>
      </w:r>
      <w:r>
        <w:rPr>
          <w:color w:val="3B383B"/>
          <w:spacing w:val="-27"/>
          <w:w w:val="105"/>
          <w:sz w:val="21"/>
        </w:rPr>
        <w:t> </w:t>
      </w:r>
      <w:r>
        <w:rPr>
          <w:color w:val="3B383B"/>
          <w:w w:val="105"/>
          <w:sz w:val="21"/>
        </w:rPr>
        <w:t>designed</w:t>
      </w:r>
      <w:r>
        <w:rPr>
          <w:color w:val="3B383B"/>
          <w:spacing w:val="18"/>
          <w:w w:val="105"/>
          <w:sz w:val="21"/>
        </w:rPr>
        <w:t> </w:t>
      </w:r>
      <w:r>
        <w:rPr>
          <w:color w:val="3B383B"/>
          <w:w w:val="105"/>
          <w:sz w:val="21"/>
        </w:rPr>
        <w:t>to</w:t>
      </w:r>
      <w:r>
        <w:rPr>
          <w:color w:val="3B383B"/>
          <w:spacing w:val="14"/>
          <w:w w:val="105"/>
          <w:sz w:val="21"/>
        </w:rPr>
        <w:t> </w:t>
      </w:r>
      <w:r>
        <w:rPr>
          <w:color w:val="3B383B"/>
          <w:w w:val="105"/>
          <w:sz w:val="21"/>
        </w:rPr>
        <w:t>limit</w:t>
      </w:r>
      <w:r>
        <w:rPr>
          <w:color w:val="3B383B"/>
          <w:spacing w:val="-8"/>
          <w:w w:val="105"/>
          <w:sz w:val="21"/>
        </w:rPr>
        <w:t> </w:t>
      </w:r>
      <w:r>
        <w:rPr>
          <w:color w:val="3B383B"/>
          <w:w w:val="105"/>
          <w:sz w:val="21"/>
        </w:rPr>
        <w:t>the</w:t>
      </w:r>
      <w:r>
        <w:rPr>
          <w:color w:val="3B383B"/>
          <w:spacing w:val="22"/>
          <w:w w:val="105"/>
          <w:sz w:val="21"/>
        </w:rPr>
        <w:t> </w:t>
      </w:r>
      <w:r>
        <w:rPr>
          <w:color w:val="3B383B"/>
          <w:w w:val="105"/>
          <w:sz w:val="21"/>
        </w:rPr>
        <w:t>number</w:t>
      </w:r>
      <w:r>
        <w:rPr>
          <w:color w:val="3B383B"/>
          <w:spacing w:val="-3"/>
          <w:w w:val="105"/>
          <w:sz w:val="21"/>
        </w:rPr>
        <w:t> </w:t>
      </w:r>
      <w:r>
        <w:rPr>
          <w:color w:val="3B383B"/>
          <w:w w:val="105"/>
          <w:sz w:val="21"/>
        </w:rPr>
        <w:t>of</w:t>
      </w:r>
      <w:r>
        <w:rPr>
          <w:color w:val="3B383B"/>
          <w:spacing w:val="-1"/>
          <w:w w:val="105"/>
          <w:sz w:val="21"/>
        </w:rPr>
        <w:t> </w:t>
      </w:r>
      <w:r>
        <w:rPr>
          <w:color w:val="3B383B"/>
          <w:w w:val="105"/>
          <w:sz w:val="21"/>
        </w:rPr>
        <w:t>aliens who</w:t>
      </w:r>
      <w:r>
        <w:rPr>
          <w:color w:val="3B383B"/>
          <w:spacing w:val="-8"/>
          <w:w w:val="105"/>
          <w:sz w:val="21"/>
        </w:rPr>
        <w:t> </w:t>
      </w:r>
      <w:r>
        <w:rPr>
          <w:color w:val="3B383B"/>
          <w:w w:val="105"/>
          <w:sz w:val="21"/>
        </w:rPr>
        <w:t>can</w:t>
      </w:r>
      <w:r>
        <w:rPr>
          <w:color w:val="3B383B"/>
          <w:spacing w:val="24"/>
          <w:w w:val="105"/>
          <w:sz w:val="21"/>
        </w:rPr>
        <w:t> </w:t>
      </w:r>
      <w:r>
        <w:rPr>
          <w:color w:val="3B383B"/>
          <w:w w:val="105"/>
          <w:sz w:val="21"/>
        </w:rPr>
        <w:t>bypass</w:t>
      </w:r>
    </w:p>
    <w:p>
      <w:pPr>
        <w:spacing w:before="9"/>
        <w:ind w:left="1052" w:right="0" w:firstLine="0"/>
        <w:jc w:val="both"/>
        <w:rPr>
          <w:b/>
          <w:sz w:val="20"/>
        </w:rPr>
      </w:pPr>
      <w:r>
        <w:rPr>
          <w:b/>
          <w:color w:val="3B383B"/>
          <w:sz w:val="20"/>
        </w:rPr>
        <w:t>INS-mandated</w:t>
      </w:r>
      <w:r>
        <w:rPr>
          <w:b/>
          <w:color w:val="3B383B"/>
          <w:spacing w:val="3"/>
          <w:sz w:val="20"/>
        </w:rPr>
        <w:t> </w:t>
      </w:r>
      <w:r>
        <w:rPr>
          <w:b/>
          <w:color w:val="3B383B"/>
          <w:sz w:val="20"/>
        </w:rPr>
        <w:t>citizenship</w:t>
      </w:r>
      <w:r>
        <w:rPr>
          <w:b/>
          <w:color w:val="3B383B"/>
          <w:spacing w:val="-4"/>
          <w:sz w:val="20"/>
        </w:rPr>
        <w:t> </w:t>
      </w:r>
      <w:r>
        <w:rPr>
          <w:b/>
          <w:color w:val="3B383B"/>
          <w:sz w:val="20"/>
        </w:rPr>
        <w:t>procedures.</w:t>
      </w:r>
    </w:p>
    <w:p>
      <w:pPr>
        <w:spacing w:before="136"/>
        <w:ind w:left="1028" w:right="384" w:firstLine="1"/>
        <w:jc w:val="both"/>
        <w:rPr>
          <w:sz w:val="21"/>
        </w:rPr>
      </w:pPr>
      <w:r>
        <w:rPr>
          <w:color w:val="3B383B"/>
          <w:w w:val="110"/>
          <w:sz w:val="21"/>
        </w:rPr>
        <w:t>Congress designed the statute to limit the number of aliens who can</w:t>
      </w:r>
      <w:r>
        <w:rPr>
          <w:color w:val="3B383B"/>
          <w:spacing w:val="-55"/>
          <w:w w:val="110"/>
          <w:sz w:val="21"/>
        </w:rPr>
        <w:t> </w:t>
      </w:r>
      <w:r>
        <w:rPr>
          <w:color w:val="3B383B"/>
          <w:w w:val="105"/>
          <w:sz w:val="21"/>
        </w:rPr>
        <w:t>bypass</w:t>
      </w:r>
      <w:r>
        <w:rPr>
          <w:color w:val="3B383B"/>
          <w:spacing w:val="-11"/>
          <w:w w:val="105"/>
          <w:sz w:val="21"/>
        </w:rPr>
        <w:t> </w:t>
      </w:r>
      <w:r>
        <w:rPr>
          <w:color w:val="3B383B"/>
          <w:w w:val="105"/>
          <w:sz w:val="21"/>
        </w:rPr>
        <w:t>INS-mandated</w:t>
      </w:r>
      <w:r>
        <w:rPr>
          <w:color w:val="3B383B"/>
          <w:spacing w:val="-6"/>
          <w:w w:val="105"/>
          <w:sz w:val="21"/>
        </w:rPr>
        <w:t> </w:t>
      </w:r>
      <w:r>
        <w:rPr>
          <w:color w:val="3B383B"/>
          <w:w w:val="105"/>
          <w:sz w:val="21"/>
        </w:rPr>
        <w:t>citizenship procedures.</w:t>
      </w:r>
    </w:p>
    <w:p>
      <w:pPr>
        <w:spacing w:line="226" w:lineRule="exact" w:before="143"/>
        <w:ind w:left="1001" w:right="0" w:firstLine="0"/>
        <w:jc w:val="left"/>
        <w:rPr>
          <w:b/>
          <w:sz w:val="20"/>
        </w:rPr>
      </w:pPr>
      <w:r>
        <w:rPr>
          <w:b/>
          <w:color w:val="3B383B"/>
          <w:w w:val="110"/>
          <w:sz w:val="20"/>
        </w:rPr>
        <w:t>The</w:t>
      </w:r>
      <w:r>
        <w:rPr>
          <w:b/>
          <w:color w:val="3B383B"/>
          <w:spacing w:val="-8"/>
          <w:w w:val="110"/>
          <w:sz w:val="20"/>
        </w:rPr>
        <w:t> </w:t>
      </w:r>
      <w:r>
        <w:rPr>
          <w:b/>
          <w:color w:val="3B383B"/>
          <w:w w:val="110"/>
          <w:sz w:val="20"/>
        </w:rPr>
        <w:t>evidence</w:t>
      </w:r>
      <w:r>
        <w:rPr>
          <w:b/>
          <w:color w:val="3B383B"/>
          <w:spacing w:val="13"/>
          <w:w w:val="110"/>
          <w:sz w:val="20"/>
        </w:rPr>
        <w:t> </w:t>
      </w:r>
      <w:r>
        <w:rPr>
          <w:b/>
          <w:color w:val="3B383B"/>
          <w:w w:val="110"/>
          <w:sz w:val="20"/>
        </w:rPr>
        <w:t>in</w:t>
      </w:r>
      <w:r>
        <w:rPr>
          <w:b/>
          <w:color w:val="3B383B"/>
          <w:spacing w:val="13"/>
          <w:w w:val="110"/>
          <w:sz w:val="20"/>
        </w:rPr>
        <w:t> </w:t>
      </w:r>
      <w:r>
        <w:rPr>
          <w:b/>
          <w:color w:val="3B383B"/>
          <w:w w:val="110"/>
          <w:sz w:val="20"/>
        </w:rPr>
        <w:t>question</w:t>
      </w:r>
      <w:r>
        <w:rPr>
          <w:b/>
          <w:color w:val="3B383B"/>
          <w:spacing w:val="27"/>
          <w:w w:val="110"/>
          <w:sz w:val="20"/>
        </w:rPr>
        <w:t> </w:t>
      </w:r>
      <w:r>
        <w:rPr>
          <w:b/>
          <w:color w:val="3B383B"/>
          <w:w w:val="110"/>
          <w:sz w:val="20"/>
        </w:rPr>
        <w:t>was</w:t>
      </w:r>
      <w:r>
        <w:rPr>
          <w:b/>
          <w:color w:val="3B383B"/>
          <w:spacing w:val="10"/>
          <w:w w:val="110"/>
          <w:sz w:val="20"/>
        </w:rPr>
        <w:t> </w:t>
      </w:r>
      <w:r>
        <w:rPr>
          <w:b/>
          <w:color w:val="3B383B"/>
          <w:w w:val="110"/>
          <w:sz w:val="20"/>
        </w:rPr>
        <w:t>obtained</w:t>
      </w:r>
      <w:r>
        <w:rPr>
          <w:b/>
          <w:color w:val="3B383B"/>
          <w:spacing w:val="25"/>
          <w:w w:val="110"/>
          <w:sz w:val="20"/>
        </w:rPr>
        <w:t> </w:t>
      </w:r>
      <w:r>
        <w:rPr>
          <w:b/>
          <w:color w:val="3B383B"/>
          <w:w w:val="110"/>
          <w:sz w:val="20"/>
        </w:rPr>
        <w:t>by</w:t>
      </w:r>
      <w:r>
        <w:rPr>
          <w:b/>
          <w:color w:val="3B383B"/>
          <w:spacing w:val="25"/>
          <w:w w:val="110"/>
          <w:sz w:val="20"/>
        </w:rPr>
        <w:t> </w:t>
      </w:r>
      <w:r>
        <w:rPr>
          <w:b/>
          <w:color w:val="3B383B"/>
          <w:w w:val="110"/>
          <w:sz w:val="20"/>
        </w:rPr>
        <w:t>observations</w:t>
      </w:r>
      <w:r>
        <w:rPr>
          <w:b/>
          <w:color w:val="3B383B"/>
          <w:spacing w:val="27"/>
          <w:w w:val="110"/>
          <w:sz w:val="20"/>
        </w:rPr>
        <w:t> </w:t>
      </w:r>
      <w:r>
        <w:rPr>
          <w:b/>
          <w:color w:val="3B383B"/>
          <w:w w:val="110"/>
          <w:sz w:val="20"/>
        </w:rPr>
        <w:t>made</w:t>
      </w:r>
      <w:r>
        <w:rPr>
          <w:b/>
          <w:color w:val="3B383B"/>
          <w:spacing w:val="18"/>
          <w:w w:val="110"/>
          <w:sz w:val="20"/>
        </w:rPr>
        <w:t> </w:t>
      </w:r>
      <w:r>
        <w:rPr>
          <w:b/>
          <w:color w:val="3B383B"/>
          <w:w w:val="110"/>
          <w:sz w:val="20"/>
        </w:rPr>
        <w:t>by</w:t>
      </w:r>
      <w:r>
        <w:rPr>
          <w:b/>
          <w:color w:val="3B383B"/>
          <w:spacing w:val="2"/>
          <w:w w:val="110"/>
          <w:sz w:val="20"/>
        </w:rPr>
        <w:t> </w:t>
      </w:r>
      <w:r>
        <w:rPr>
          <w:b/>
          <w:color w:val="3B383B"/>
          <w:w w:val="110"/>
          <w:sz w:val="20"/>
        </w:rPr>
        <w:t>a</w:t>
      </w:r>
    </w:p>
    <w:p>
      <w:pPr>
        <w:spacing w:line="237" w:lineRule="exact" w:before="0"/>
        <w:ind w:left="1009" w:right="0" w:firstLine="0"/>
        <w:jc w:val="left"/>
        <w:rPr>
          <w:sz w:val="21"/>
        </w:rPr>
      </w:pPr>
      <w:r>
        <w:rPr>
          <w:color w:val="3B383B"/>
          <w:w w:val="110"/>
          <w:sz w:val="21"/>
        </w:rPr>
        <w:t>police</w:t>
      </w:r>
      <w:r>
        <w:rPr>
          <w:color w:val="3B383B"/>
          <w:spacing w:val="-20"/>
          <w:w w:val="110"/>
          <w:sz w:val="21"/>
        </w:rPr>
        <w:t> </w:t>
      </w:r>
      <w:r>
        <w:rPr>
          <w:color w:val="3B383B"/>
          <w:w w:val="110"/>
          <w:sz w:val="21"/>
        </w:rPr>
        <w:t>officer</w:t>
      </w:r>
      <w:r>
        <w:rPr>
          <w:color w:val="3B383B"/>
          <w:spacing w:val="-10"/>
          <w:w w:val="110"/>
          <w:sz w:val="21"/>
        </w:rPr>
        <w:t> </w:t>
      </w:r>
      <w:r>
        <w:rPr>
          <w:color w:val="3B383B"/>
          <w:w w:val="110"/>
          <w:sz w:val="21"/>
        </w:rPr>
        <w:t>looking</w:t>
      </w:r>
      <w:r>
        <w:rPr>
          <w:color w:val="3B383B"/>
          <w:spacing w:val="-15"/>
          <w:w w:val="110"/>
          <w:sz w:val="21"/>
        </w:rPr>
        <w:t> </w:t>
      </w:r>
      <w:r>
        <w:rPr>
          <w:color w:val="3B383B"/>
          <w:w w:val="110"/>
          <w:sz w:val="21"/>
        </w:rPr>
        <w:t>into</w:t>
      </w:r>
      <w:r>
        <w:rPr>
          <w:color w:val="3B383B"/>
          <w:spacing w:val="-13"/>
          <w:w w:val="110"/>
          <w:sz w:val="21"/>
        </w:rPr>
        <w:t> </w:t>
      </w:r>
      <w:r>
        <w:rPr>
          <w:color w:val="3B383B"/>
          <w:w w:val="110"/>
          <w:sz w:val="21"/>
        </w:rPr>
        <w:t>the</w:t>
      </w:r>
      <w:r>
        <w:rPr>
          <w:color w:val="3B383B"/>
          <w:spacing w:val="-11"/>
          <w:w w:val="110"/>
          <w:sz w:val="21"/>
        </w:rPr>
        <w:t> </w:t>
      </w:r>
      <w:r>
        <w:rPr>
          <w:color w:val="3B383B"/>
          <w:w w:val="110"/>
          <w:sz w:val="21"/>
        </w:rPr>
        <w:t>window</w:t>
      </w:r>
      <w:r>
        <w:rPr>
          <w:color w:val="3B383B"/>
          <w:spacing w:val="-26"/>
          <w:w w:val="110"/>
          <w:sz w:val="21"/>
        </w:rPr>
        <w:t> </w:t>
      </w:r>
      <w:r>
        <w:rPr>
          <w:color w:val="3B383B"/>
          <w:w w:val="110"/>
          <w:sz w:val="21"/>
        </w:rPr>
        <w:t>of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an</w:t>
      </w:r>
      <w:r>
        <w:rPr>
          <w:color w:val="3B383B"/>
          <w:spacing w:val="26"/>
          <w:w w:val="110"/>
          <w:sz w:val="21"/>
        </w:rPr>
        <w:t> </w:t>
      </w:r>
      <w:r>
        <w:rPr>
          <w:color w:val="3B383B"/>
          <w:w w:val="110"/>
          <w:sz w:val="21"/>
        </w:rPr>
        <w:t>apartment.</w:t>
      </w:r>
    </w:p>
    <w:p>
      <w:pPr>
        <w:spacing w:line="226" w:lineRule="exact" w:before="154"/>
        <w:ind w:left="1006" w:right="0" w:firstLine="0"/>
        <w:jc w:val="left"/>
        <w:rPr>
          <w:b/>
          <w:sz w:val="20"/>
        </w:rPr>
      </w:pPr>
      <w:r>
        <w:rPr>
          <w:b/>
          <w:color w:val="3B383B"/>
          <w:w w:val="110"/>
          <w:sz w:val="20"/>
        </w:rPr>
        <w:t>A</w:t>
      </w:r>
      <w:r>
        <w:rPr>
          <w:b/>
          <w:color w:val="3B383B"/>
          <w:spacing w:val="8"/>
          <w:w w:val="110"/>
          <w:sz w:val="20"/>
        </w:rPr>
        <w:t> </w:t>
      </w:r>
      <w:r>
        <w:rPr>
          <w:b/>
          <w:color w:val="3B383B"/>
          <w:w w:val="110"/>
          <w:sz w:val="20"/>
        </w:rPr>
        <w:t>police</w:t>
      </w:r>
      <w:r>
        <w:rPr>
          <w:b/>
          <w:color w:val="3B383B"/>
          <w:spacing w:val="-3"/>
          <w:w w:val="110"/>
          <w:sz w:val="20"/>
        </w:rPr>
        <w:t> </w:t>
      </w:r>
      <w:r>
        <w:rPr>
          <w:b/>
          <w:color w:val="3B383B"/>
          <w:w w:val="110"/>
          <w:sz w:val="20"/>
        </w:rPr>
        <w:t>officer</w:t>
      </w:r>
      <w:r>
        <w:rPr>
          <w:b/>
          <w:color w:val="3B383B"/>
          <w:spacing w:val="2"/>
          <w:w w:val="110"/>
          <w:sz w:val="20"/>
        </w:rPr>
        <w:t> </w:t>
      </w:r>
      <w:r>
        <w:rPr>
          <w:b/>
          <w:color w:val="3B383B"/>
          <w:w w:val="110"/>
          <w:sz w:val="20"/>
        </w:rPr>
        <w:t>obtained</w:t>
      </w:r>
      <w:r>
        <w:rPr>
          <w:b/>
          <w:color w:val="3B383B"/>
          <w:spacing w:val="4"/>
          <w:w w:val="110"/>
          <w:sz w:val="20"/>
        </w:rPr>
        <w:t> </w:t>
      </w:r>
      <w:r>
        <w:rPr>
          <w:b/>
          <w:color w:val="3B383B"/>
          <w:w w:val="110"/>
          <w:sz w:val="20"/>
        </w:rPr>
        <w:t>the</w:t>
      </w:r>
      <w:r>
        <w:rPr>
          <w:b/>
          <w:color w:val="3B383B"/>
          <w:spacing w:val="24"/>
          <w:w w:val="110"/>
          <w:sz w:val="20"/>
        </w:rPr>
        <w:t> </w:t>
      </w:r>
      <w:r>
        <w:rPr>
          <w:b/>
          <w:color w:val="3B383B"/>
          <w:w w:val="110"/>
          <w:sz w:val="20"/>
        </w:rPr>
        <w:t>information</w:t>
      </w:r>
      <w:r>
        <w:rPr>
          <w:b/>
          <w:color w:val="3B383B"/>
          <w:spacing w:val="26"/>
          <w:w w:val="110"/>
          <w:sz w:val="20"/>
        </w:rPr>
        <w:t> </w:t>
      </w:r>
      <w:r>
        <w:rPr>
          <w:b/>
          <w:color w:val="3B383B"/>
          <w:w w:val="110"/>
          <w:sz w:val="20"/>
        </w:rPr>
        <w:t>for</w:t>
      </w:r>
      <w:r>
        <w:rPr>
          <w:b/>
          <w:color w:val="3B383B"/>
          <w:spacing w:val="13"/>
          <w:w w:val="110"/>
          <w:sz w:val="20"/>
        </w:rPr>
        <w:t> </w:t>
      </w:r>
      <w:r>
        <w:rPr>
          <w:b/>
          <w:color w:val="3B383B"/>
          <w:w w:val="110"/>
          <w:sz w:val="20"/>
        </w:rPr>
        <w:t>the</w:t>
      </w:r>
      <w:r>
        <w:rPr>
          <w:b/>
          <w:color w:val="3B383B"/>
          <w:spacing w:val="34"/>
          <w:w w:val="110"/>
          <w:sz w:val="20"/>
        </w:rPr>
        <w:t> </w:t>
      </w:r>
      <w:r>
        <w:rPr>
          <w:b/>
          <w:color w:val="3B383B"/>
          <w:w w:val="110"/>
          <w:sz w:val="20"/>
        </w:rPr>
        <w:t>warrant</w:t>
      </w:r>
      <w:r>
        <w:rPr>
          <w:b/>
          <w:color w:val="3B383B"/>
          <w:spacing w:val="19"/>
          <w:w w:val="110"/>
          <w:sz w:val="20"/>
        </w:rPr>
        <w:t> </w:t>
      </w:r>
      <w:r>
        <w:rPr>
          <w:b/>
          <w:color w:val="3B383B"/>
          <w:w w:val="110"/>
          <w:sz w:val="20"/>
        </w:rPr>
        <w:t>when</w:t>
      </w:r>
      <w:r>
        <w:rPr>
          <w:b/>
          <w:color w:val="3B383B"/>
          <w:spacing w:val="-2"/>
          <w:w w:val="110"/>
          <w:sz w:val="20"/>
        </w:rPr>
        <w:t> </w:t>
      </w:r>
      <w:r>
        <w:rPr>
          <w:b/>
          <w:color w:val="3B383B"/>
          <w:w w:val="110"/>
          <w:sz w:val="20"/>
        </w:rPr>
        <w:t>he</w:t>
      </w:r>
    </w:p>
    <w:p>
      <w:pPr>
        <w:spacing w:line="237" w:lineRule="exact" w:before="0"/>
        <w:ind w:left="1001" w:right="0" w:firstLine="0"/>
        <w:jc w:val="left"/>
        <w:rPr>
          <w:sz w:val="21"/>
        </w:rPr>
      </w:pPr>
      <w:r>
        <w:rPr>
          <w:color w:val="3B383B"/>
          <w:w w:val="105"/>
          <w:sz w:val="21"/>
        </w:rPr>
        <w:t>looked</w:t>
      </w:r>
      <w:r>
        <w:rPr>
          <w:color w:val="3B383B"/>
          <w:spacing w:val="15"/>
          <w:w w:val="105"/>
          <w:sz w:val="21"/>
        </w:rPr>
        <w:t> </w:t>
      </w:r>
      <w:r>
        <w:rPr>
          <w:color w:val="3B383B"/>
          <w:w w:val="105"/>
          <w:sz w:val="21"/>
        </w:rPr>
        <w:t>into</w:t>
      </w:r>
      <w:r>
        <w:rPr>
          <w:color w:val="3B383B"/>
          <w:spacing w:val="-13"/>
          <w:w w:val="105"/>
          <w:sz w:val="21"/>
        </w:rPr>
        <w:t> </w:t>
      </w:r>
      <w:r>
        <w:rPr>
          <w:color w:val="3B383B"/>
          <w:w w:val="105"/>
          <w:sz w:val="21"/>
        </w:rPr>
        <w:t>the</w:t>
      </w:r>
      <w:r>
        <w:rPr>
          <w:color w:val="3B383B"/>
          <w:spacing w:val="-12"/>
          <w:w w:val="105"/>
          <w:sz w:val="21"/>
        </w:rPr>
        <w:t> </w:t>
      </w:r>
      <w:r>
        <w:rPr>
          <w:color w:val="3B383B"/>
          <w:w w:val="105"/>
          <w:sz w:val="21"/>
        </w:rPr>
        <w:t>window</w:t>
      </w:r>
      <w:r>
        <w:rPr>
          <w:color w:val="3B383B"/>
          <w:spacing w:val="3"/>
          <w:w w:val="105"/>
          <w:sz w:val="21"/>
        </w:rPr>
        <w:t> </w:t>
      </w:r>
      <w:r>
        <w:rPr>
          <w:color w:val="3B383B"/>
          <w:w w:val="105"/>
          <w:sz w:val="21"/>
        </w:rPr>
        <w:t>of</w:t>
      </w:r>
      <w:r>
        <w:rPr>
          <w:color w:val="3B383B"/>
          <w:spacing w:val="13"/>
          <w:w w:val="105"/>
          <w:sz w:val="21"/>
        </w:rPr>
        <w:t> </w:t>
      </w:r>
      <w:r>
        <w:rPr>
          <w:color w:val="3B383B"/>
          <w:w w:val="105"/>
          <w:sz w:val="21"/>
        </w:rPr>
        <w:t>the</w:t>
      </w:r>
      <w:r>
        <w:rPr>
          <w:color w:val="3B383B"/>
          <w:spacing w:val="52"/>
          <w:w w:val="105"/>
          <w:sz w:val="21"/>
        </w:rPr>
        <w:t> </w:t>
      </w:r>
      <w:r>
        <w:rPr>
          <w:color w:val="3B383B"/>
          <w:w w:val="105"/>
          <w:sz w:val="21"/>
        </w:rPr>
        <w:t>apartment</w:t>
      </w:r>
      <w:r>
        <w:rPr>
          <w:color w:val="59595B"/>
          <w:w w:val="105"/>
          <w:sz w:val="21"/>
        </w:rPr>
        <w:t>.</w:t>
      </w:r>
    </w:p>
    <w:p>
      <w:pPr>
        <w:spacing w:line="235" w:lineRule="auto" w:before="148"/>
        <w:ind w:left="987" w:right="394" w:firstLine="9"/>
        <w:jc w:val="both"/>
        <w:rPr>
          <w:sz w:val="21"/>
        </w:rPr>
      </w:pPr>
      <w:r>
        <w:rPr>
          <w:color w:val="3B383B"/>
          <w:w w:val="105"/>
          <w:sz w:val="21"/>
        </w:rPr>
        <w:t>A person's home, the  place where he lives,  has  been recognized by</w:t>
      </w:r>
      <w:r>
        <w:rPr>
          <w:color w:val="3B383B"/>
          <w:spacing w:val="1"/>
          <w:w w:val="105"/>
          <w:sz w:val="21"/>
        </w:rPr>
        <w:t> </w:t>
      </w:r>
      <w:r>
        <w:rPr>
          <w:color w:val="3B383B"/>
          <w:w w:val="105"/>
          <w:sz w:val="21"/>
        </w:rPr>
        <w:t>this Court as the</w:t>
      </w:r>
      <w:r>
        <w:rPr>
          <w:color w:val="3B383B"/>
          <w:spacing w:val="1"/>
          <w:w w:val="105"/>
          <w:sz w:val="21"/>
        </w:rPr>
        <w:t> </w:t>
      </w:r>
      <w:r>
        <w:rPr>
          <w:color w:val="3B383B"/>
          <w:w w:val="105"/>
          <w:sz w:val="21"/>
        </w:rPr>
        <w:t>most important</w:t>
      </w:r>
      <w:r>
        <w:rPr>
          <w:color w:val="3B383B"/>
          <w:spacing w:val="1"/>
          <w:w w:val="105"/>
          <w:sz w:val="21"/>
        </w:rPr>
        <w:t> </w:t>
      </w:r>
      <w:r>
        <w:rPr>
          <w:color w:val="3B383B"/>
          <w:w w:val="105"/>
          <w:sz w:val="21"/>
        </w:rPr>
        <w:t>place in</w:t>
      </w:r>
      <w:r>
        <w:rPr>
          <w:color w:val="3B383B"/>
          <w:spacing w:val="1"/>
          <w:w w:val="105"/>
          <w:sz w:val="21"/>
        </w:rPr>
        <w:t> </w:t>
      </w:r>
      <w:r>
        <w:rPr>
          <w:color w:val="3B383B"/>
          <w:w w:val="105"/>
          <w:sz w:val="21"/>
        </w:rPr>
        <w:t>which</w:t>
      </w:r>
      <w:r>
        <w:rPr>
          <w:color w:val="3B383B"/>
          <w:spacing w:val="1"/>
          <w:w w:val="105"/>
          <w:sz w:val="21"/>
        </w:rPr>
        <w:t> </w:t>
      </w:r>
      <w:r>
        <w:rPr>
          <w:color w:val="3B383B"/>
          <w:w w:val="105"/>
          <w:sz w:val="21"/>
        </w:rPr>
        <w:t>to</w:t>
      </w:r>
      <w:r>
        <w:rPr>
          <w:color w:val="3B383B"/>
          <w:spacing w:val="1"/>
          <w:w w:val="105"/>
          <w:sz w:val="21"/>
        </w:rPr>
        <w:t> </w:t>
      </w:r>
      <w:r>
        <w:rPr>
          <w:color w:val="3B383B"/>
          <w:w w:val="105"/>
          <w:sz w:val="21"/>
        </w:rPr>
        <w:t>invoke</w:t>
      </w:r>
      <w:r>
        <w:rPr>
          <w:color w:val="3B383B"/>
          <w:spacing w:val="1"/>
          <w:w w:val="105"/>
          <w:sz w:val="21"/>
        </w:rPr>
        <w:t> </w:t>
      </w:r>
      <w:r>
        <w:rPr>
          <w:color w:val="3B383B"/>
          <w:w w:val="105"/>
          <w:sz w:val="21"/>
        </w:rPr>
        <w:t>Fourth</w:t>
      </w:r>
      <w:r>
        <w:rPr>
          <w:color w:val="3B383B"/>
          <w:spacing w:val="1"/>
          <w:w w:val="105"/>
          <w:sz w:val="21"/>
        </w:rPr>
        <w:t> </w:t>
      </w:r>
      <w:r>
        <w:rPr>
          <w:color w:val="3B383B"/>
          <w:w w:val="105"/>
          <w:sz w:val="21"/>
        </w:rPr>
        <w:t>Amendment</w:t>
      </w:r>
      <w:r>
        <w:rPr>
          <w:color w:val="3B383B"/>
          <w:spacing w:val="2"/>
          <w:w w:val="105"/>
          <w:sz w:val="21"/>
        </w:rPr>
        <w:t> </w:t>
      </w:r>
      <w:r>
        <w:rPr>
          <w:color w:val="3B383B"/>
          <w:w w:val="105"/>
          <w:sz w:val="21"/>
        </w:rPr>
        <w:t>protection</w:t>
      </w:r>
      <w:r>
        <w:rPr>
          <w:color w:val="59595B"/>
          <w:w w:val="105"/>
          <w:sz w:val="21"/>
        </w:rPr>
        <w:t>.</w:t>
      </w:r>
    </w:p>
    <w:p>
      <w:pPr>
        <w:spacing w:before="133"/>
        <w:ind w:left="968" w:right="394" w:firstLine="4"/>
        <w:jc w:val="both"/>
        <w:rPr>
          <w:b/>
          <w:sz w:val="20"/>
        </w:rPr>
      </w:pPr>
      <w:r>
        <w:rPr>
          <w:color w:val="3B383B"/>
          <w:w w:val="110"/>
          <w:sz w:val="21"/>
        </w:rPr>
        <w:t>This Court has recognized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that a  person's  home,  the  place where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he lives, is the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most important place in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which to</w:t>
      </w:r>
      <w:r>
        <w:rPr>
          <w:color w:val="3B383B"/>
          <w:spacing w:val="1"/>
          <w:w w:val="110"/>
          <w:sz w:val="21"/>
        </w:rPr>
        <w:t> </w:t>
      </w:r>
      <w:r>
        <w:rPr>
          <w:color w:val="3B383B"/>
          <w:w w:val="110"/>
          <w:sz w:val="21"/>
        </w:rPr>
        <w:t>invoke Fourth</w:t>
      </w:r>
      <w:r>
        <w:rPr>
          <w:color w:val="3B383B"/>
          <w:spacing w:val="1"/>
          <w:w w:val="110"/>
          <w:sz w:val="21"/>
        </w:rPr>
        <w:t> </w:t>
      </w:r>
      <w:r>
        <w:rPr>
          <w:b/>
          <w:color w:val="3B383B"/>
          <w:w w:val="110"/>
          <w:sz w:val="20"/>
        </w:rPr>
        <w:t>Amendment</w:t>
      </w:r>
      <w:r>
        <w:rPr>
          <w:b/>
          <w:color w:val="3B383B"/>
          <w:spacing w:val="7"/>
          <w:w w:val="110"/>
          <w:sz w:val="20"/>
        </w:rPr>
        <w:t> </w:t>
      </w:r>
      <w:r>
        <w:rPr>
          <w:b/>
          <w:color w:val="3B383B"/>
          <w:w w:val="110"/>
          <w:sz w:val="20"/>
        </w:rPr>
        <w:t>protection.</w:t>
      </w:r>
    </w:p>
    <w:p>
      <w:pPr>
        <w:spacing w:line="242" w:lineRule="auto" w:before="155"/>
        <w:ind w:left="572" w:right="133" w:firstLine="48"/>
        <w:jc w:val="both"/>
        <w:rPr>
          <w:sz w:val="22"/>
        </w:rPr>
      </w:pPr>
      <w:r>
        <w:rPr>
          <w:color w:val="3B383B"/>
          <w:w w:val="110"/>
          <w:sz w:val="22"/>
        </w:rPr>
        <w:t>As at least two of these illustrations show, using active voice results in</w:t>
      </w:r>
      <w:r>
        <w:rPr>
          <w:color w:val="3B383B"/>
          <w:spacing w:val="1"/>
          <w:w w:val="110"/>
          <w:sz w:val="22"/>
        </w:rPr>
        <w:t> </w:t>
      </w:r>
      <w:r>
        <w:rPr>
          <w:color w:val="3B383B"/>
          <w:spacing w:val="-1"/>
          <w:w w:val="110"/>
          <w:sz w:val="22"/>
        </w:rPr>
        <w:t>shorter</w:t>
      </w:r>
      <w:r>
        <w:rPr>
          <w:color w:val="59595B"/>
          <w:spacing w:val="-1"/>
          <w:w w:val="110"/>
          <w:sz w:val="22"/>
        </w:rPr>
        <w:t>, </w:t>
      </w:r>
      <w:r>
        <w:rPr>
          <w:color w:val="3B383B"/>
          <w:spacing w:val="-1"/>
          <w:w w:val="110"/>
          <w:sz w:val="22"/>
        </w:rPr>
        <w:t>more direct </w:t>
      </w:r>
      <w:r>
        <w:rPr>
          <w:color w:val="3B383B"/>
          <w:w w:val="110"/>
          <w:sz w:val="22"/>
        </w:rPr>
        <w:t>sentences. The point of this section, however, is not</w:t>
      </w:r>
      <w:r>
        <w:rPr>
          <w:color w:val="3B383B"/>
          <w:spacing w:val="1"/>
          <w:w w:val="110"/>
          <w:sz w:val="22"/>
        </w:rPr>
        <w:t> </w:t>
      </w:r>
      <w:r>
        <w:rPr>
          <w:color w:val="3B383B"/>
          <w:w w:val="105"/>
          <w:sz w:val="22"/>
        </w:rPr>
        <w:t>to say that you must eliminate all nominalizations and all uses of passive</w:t>
      </w:r>
      <w:r>
        <w:rPr>
          <w:color w:val="3B383B"/>
          <w:spacing w:val="1"/>
          <w:w w:val="105"/>
          <w:sz w:val="22"/>
        </w:rPr>
        <w:t> </w:t>
      </w:r>
      <w:r>
        <w:rPr>
          <w:color w:val="3B383B"/>
          <w:w w:val="105"/>
          <w:sz w:val="22"/>
        </w:rPr>
        <w:t>voice; rather</w:t>
      </w:r>
      <w:r>
        <w:rPr>
          <w:color w:val="59595B"/>
          <w:w w:val="105"/>
          <w:sz w:val="22"/>
        </w:rPr>
        <w:t>, </w:t>
      </w:r>
      <w:r>
        <w:rPr>
          <w:color w:val="3B383B"/>
          <w:w w:val="105"/>
          <w:sz w:val="22"/>
        </w:rPr>
        <w:t>the point is that you should use nominalizations and passive</w:t>
      </w:r>
      <w:r>
        <w:rPr>
          <w:color w:val="3B383B"/>
          <w:spacing w:val="1"/>
          <w:w w:val="105"/>
          <w:sz w:val="22"/>
        </w:rPr>
        <w:t> </w:t>
      </w:r>
      <w:r>
        <w:rPr>
          <w:color w:val="3B383B"/>
          <w:w w:val="105"/>
          <w:sz w:val="22"/>
        </w:rPr>
        <w:t>voice only when you have a good reason to do so. When there is no reason</w:t>
      </w:r>
      <w:r>
        <w:rPr>
          <w:color w:val="3B383B"/>
          <w:spacing w:val="1"/>
          <w:w w:val="105"/>
          <w:sz w:val="22"/>
        </w:rPr>
        <w:t> </w:t>
      </w:r>
      <w:r>
        <w:rPr>
          <w:color w:val="3B383B"/>
          <w:w w:val="105"/>
          <w:sz w:val="22"/>
        </w:rPr>
        <w:t>to</w:t>
      </w:r>
      <w:r>
        <w:rPr>
          <w:color w:val="3B383B"/>
          <w:spacing w:val="16"/>
          <w:w w:val="105"/>
          <w:sz w:val="22"/>
        </w:rPr>
        <w:t> </w:t>
      </w:r>
      <w:r>
        <w:rPr>
          <w:color w:val="3B383B"/>
          <w:w w:val="105"/>
          <w:sz w:val="22"/>
        </w:rPr>
        <w:t>use</w:t>
      </w:r>
      <w:r>
        <w:rPr>
          <w:color w:val="3B383B"/>
          <w:spacing w:val="-3"/>
          <w:w w:val="105"/>
          <w:sz w:val="22"/>
        </w:rPr>
        <w:t> </w:t>
      </w:r>
      <w:r>
        <w:rPr>
          <w:color w:val="3B383B"/>
          <w:w w:val="105"/>
          <w:sz w:val="22"/>
        </w:rPr>
        <w:t>them</w:t>
      </w:r>
      <w:r>
        <w:rPr>
          <w:color w:val="59595B"/>
          <w:w w:val="105"/>
          <w:sz w:val="22"/>
        </w:rPr>
        <w:t>,</w:t>
      </w:r>
      <w:r>
        <w:rPr>
          <w:color w:val="59595B"/>
          <w:spacing w:val="6"/>
          <w:w w:val="105"/>
          <w:sz w:val="22"/>
        </w:rPr>
        <w:t> </w:t>
      </w:r>
      <w:r>
        <w:rPr>
          <w:color w:val="3B383B"/>
          <w:w w:val="105"/>
          <w:sz w:val="22"/>
        </w:rPr>
        <w:t>use</w:t>
      </w:r>
      <w:r>
        <w:rPr>
          <w:color w:val="3B383B"/>
          <w:spacing w:val="11"/>
          <w:w w:val="105"/>
          <w:sz w:val="22"/>
        </w:rPr>
        <w:t> </w:t>
      </w:r>
      <w:r>
        <w:rPr>
          <w:color w:val="3B383B"/>
          <w:w w:val="105"/>
          <w:sz w:val="22"/>
        </w:rPr>
        <w:t>more</w:t>
      </w:r>
      <w:r>
        <w:rPr>
          <w:color w:val="3B383B"/>
          <w:spacing w:val="-3"/>
          <w:w w:val="105"/>
          <w:sz w:val="22"/>
        </w:rPr>
        <w:t> </w:t>
      </w:r>
      <w:r>
        <w:rPr>
          <w:color w:val="3B383B"/>
          <w:w w:val="105"/>
          <w:sz w:val="22"/>
        </w:rPr>
        <w:t>direct,</w:t>
      </w:r>
      <w:r>
        <w:rPr>
          <w:color w:val="3B383B"/>
          <w:spacing w:val="1"/>
          <w:w w:val="105"/>
          <w:sz w:val="22"/>
        </w:rPr>
        <w:t> </w:t>
      </w:r>
      <w:r>
        <w:rPr>
          <w:color w:val="3B383B"/>
          <w:w w:val="105"/>
          <w:sz w:val="22"/>
        </w:rPr>
        <w:t>easier-to-understand</w:t>
      </w:r>
      <w:r>
        <w:rPr>
          <w:color w:val="3B383B"/>
          <w:spacing w:val="-4"/>
          <w:w w:val="105"/>
          <w:sz w:val="22"/>
        </w:rPr>
        <w:t> </w:t>
      </w:r>
      <w:r>
        <w:rPr>
          <w:color w:val="3B383B"/>
          <w:w w:val="105"/>
          <w:sz w:val="22"/>
        </w:rPr>
        <w:t>subjects</w:t>
      </w:r>
      <w:r>
        <w:rPr>
          <w:color w:val="3B383B"/>
          <w:spacing w:val="8"/>
          <w:w w:val="105"/>
          <w:sz w:val="22"/>
        </w:rPr>
        <w:t> </w:t>
      </w:r>
      <w:r>
        <w:rPr>
          <w:color w:val="3B383B"/>
          <w:w w:val="105"/>
          <w:sz w:val="22"/>
        </w:rPr>
        <w:t>and</w:t>
      </w:r>
      <w:r>
        <w:rPr>
          <w:color w:val="3B383B"/>
          <w:spacing w:val="57"/>
          <w:w w:val="105"/>
          <w:sz w:val="22"/>
        </w:rPr>
        <w:t> </w:t>
      </w:r>
      <w:r>
        <w:rPr>
          <w:color w:val="3B383B"/>
          <w:w w:val="105"/>
          <w:sz w:val="22"/>
        </w:rPr>
        <w:t>verbs.</w:t>
      </w:r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02"/>
        </w:numPr>
        <w:tabs>
          <w:tab w:pos="1275" w:val="left" w:leader="none"/>
        </w:tabs>
        <w:spacing w:line="240" w:lineRule="auto" w:before="0" w:after="0"/>
        <w:ind w:left="1274" w:right="0" w:hanging="368"/>
        <w:jc w:val="left"/>
        <w:rPr>
          <w:b/>
          <w:color w:val="3B383B"/>
          <w:sz w:val="21"/>
        </w:rPr>
      </w:pPr>
      <w:r>
        <w:rPr>
          <w:b/>
          <w:color w:val="3B383B"/>
          <w:w w:val="105"/>
          <w:sz w:val="21"/>
        </w:rPr>
        <w:t>In</w:t>
      </w:r>
      <w:r>
        <w:rPr>
          <w:b/>
          <w:color w:val="59595B"/>
          <w:w w:val="105"/>
          <w:sz w:val="21"/>
        </w:rPr>
        <w:t>d</w:t>
      </w:r>
      <w:r>
        <w:rPr>
          <w:b/>
          <w:color w:val="3B383B"/>
          <w:w w:val="105"/>
          <w:sz w:val="21"/>
        </w:rPr>
        <w:t>ependent and</w:t>
      </w:r>
      <w:r>
        <w:rPr>
          <w:b/>
          <w:color w:val="3B383B"/>
          <w:spacing w:val="28"/>
          <w:w w:val="105"/>
          <w:sz w:val="21"/>
        </w:rPr>
        <w:t> </w:t>
      </w:r>
      <w:r>
        <w:rPr>
          <w:b/>
          <w:color w:val="3B383B"/>
          <w:w w:val="105"/>
          <w:sz w:val="21"/>
        </w:rPr>
        <w:t>D</w:t>
      </w:r>
      <w:r>
        <w:rPr>
          <w:b/>
          <w:color w:val="59595B"/>
          <w:w w:val="105"/>
          <w:sz w:val="21"/>
        </w:rPr>
        <w:t>e</w:t>
      </w:r>
      <w:r>
        <w:rPr>
          <w:b/>
          <w:color w:val="3B383B"/>
          <w:w w:val="105"/>
          <w:sz w:val="21"/>
        </w:rPr>
        <w:t>pendent</w:t>
      </w:r>
      <w:r>
        <w:rPr>
          <w:b/>
          <w:color w:val="3B383B"/>
          <w:spacing w:val="11"/>
          <w:w w:val="105"/>
          <w:sz w:val="21"/>
        </w:rPr>
        <w:t> </w:t>
      </w:r>
      <w:r>
        <w:rPr>
          <w:b/>
          <w:color w:val="3B383B"/>
          <w:w w:val="105"/>
          <w:sz w:val="21"/>
        </w:rPr>
        <w:t>Cla1L</w:t>
      </w:r>
      <w:r>
        <w:rPr>
          <w:b/>
          <w:color w:val="3B383B"/>
          <w:spacing w:val="-10"/>
          <w:w w:val="105"/>
          <w:sz w:val="21"/>
        </w:rPr>
        <w:t> </w:t>
      </w:r>
      <w:r>
        <w:rPr>
          <w:b/>
          <w:color w:val="3B383B"/>
          <w:w w:val="105"/>
          <w:sz w:val="21"/>
        </w:rPr>
        <w:t>CS</w:t>
      </w:r>
    </w:p>
    <w:p>
      <w:pPr>
        <w:spacing w:line="247" w:lineRule="auto" w:before="19"/>
        <w:ind w:left="536" w:right="101" w:firstLine="357"/>
        <w:jc w:val="left"/>
        <w:rPr>
          <w:sz w:val="22"/>
        </w:rPr>
      </w:pPr>
      <w:r>
        <w:rPr>
          <w:i/>
          <w:color w:val="3B383B"/>
          <w:spacing w:val="-1"/>
          <w:w w:val="110"/>
          <w:sz w:val="22"/>
        </w:rPr>
        <w:t>A </w:t>
      </w:r>
      <w:r>
        <w:rPr>
          <w:color w:val="3B383B"/>
          <w:spacing w:val="-1"/>
          <w:w w:val="110"/>
          <w:sz w:val="22"/>
        </w:rPr>
        <w:t>second way that a</w:t>
      </w:r>
      <w:r>
        <w:rPr>
          <w:color w:val="3B383B"/>
          <w:w w:val="110"/>
          <w:sz w:val="22"/>
        </w:rPr>
        <w:t> </w:t>
      </w:r>
      <w:r>
        <w:rPr>
          <w:color w:val="3B383B"/>
          <w:spacing w:val="-1"/>
          <w:w w:val="110"/>
          <w:sz w:val="22"/>
        </w:rPr>
        <w:t>writer can</w:t>
      </w:r>
      <w:r>
        <w:rPr>
          <w:color w:val="3B383B"/>
          <w:w w:val="110"/>
          <w:sz w:val="22"/>
        </w:rPr>
        <w:t> </w:t>
      </w:r>
      <w:r>
        <w:rPr>
          <w:color w:val="3B383B"/>
          <w:spacing w:val="-1"/>
          <w:w w:val="110"/>
          <w:sz w:val="22"/>
        </w:rPr>
        <w:t>use sentence </w:t>
      </w:r>
      <w:r>
        <w:rPr>
          <w:color w:val="3B383B"/>
          <w:w w:val="110"/>
          <w:sz w:val="22"/>
        </w:rPr>
        <w:t>structure to</w:t>
      </w:r>
      <w:r>
        <w:rPr>
          <w:color w:val="3B383B"/>
          <w:spacing w:val="1"/>
          <w:w w:val="110"/>
          <w:sz w:val="22"/>
        </w:rPr>
        <w:t> </w:t>
      </w:r>
      <w:r>
        <w:rPr>
          <w:color w:val="3B383B"/>
          <w:w w:val="110"/>
          <w:sz w:val="22"/>
        </w:rPr>
        <w:t>persuade is</w:t>
      </w:r>
      <w:r>
        <w:rPr>
          <w:color w:val="3B383B"/>
          <w:spacing w:val="-58"/>
          <w:w w:val="110"/>
          <w:sz w:val="22"/>
        </w:rPr>
        <w:t> </w:t>
      </w:r>
      <w:r>
        <w:rPr>
          <w:color w:val="3B383B"/>
          <w:w w:val="110"/>
          <w:sz w:val="22"/>
        </w:rPr>
        <w:t>by</w:t>
      </w:r>
      <w:r>
        <w:rPr>
          <w:color w:val="3B383B"/>
          <w:spacing w:val="14"/>
          <w:w w:val="110"/>
          <w:sz w:val="22"/>
        </w:rPr>
        <w:t> </w:t>
      </w:r>
      <w:r>
        <w:rPr>
          <w:color w:val="3B383B"/>
          <w:w w:val="110"/>
          <w:sz w:val="22"/>
        </w:rPr>
        <w:t>using</w:t>
      </w:r>
      <w:r>
        <w:rPr>
          <w:color w:val="3B383B"/>
          <w:spacing w:val="5"/>
          <w:w w:val="110"/>
          <w:sz w:val="22"/>
        </w:rPr>
        <w:t> </w:t>
      </w:r>
      <w:r>
        <w:rPr>
          <w:color w:val="3B383B"/>
          <w:w w:val="110"/>
          <w:sz w:val="22"/>
        </w:rPr>
        <w:t>dependent</w:t>
      </w:r>
      <w:r>
        <w:rPr>
          <w:color w:val="3B383B"/>
          <w:spacing w:val="24"/>
          <w:w w:val="110"/>
          <w:sz w:val="22"/>
        </w:rPr>
        <w:t> </w:t>
      </w:r>
      <w:r>
        <w:rPr>
          <w:color w:val="3B383B"/>
          <w:w w:val="110"/>
          <w:sz w:val="22"/>
        </w:rPr>
        <w:t>clauses</w:t>
      </w:r>
      <w:r>
        <w:rPr>
          <w:color w:val="3B383B"/>
          <w:spacing w:val="25"/>
          <w:w w:val="110"/>
          <w:sz w:val="22"/>
        </w:rPr>
        <w:t> </w:t>
      </w:r>
      <w:r>
        <w:rPr>
          <w:color w:val="3B383B"/>
          <w:w w:val="110"/>
          <w:sz w:val="22"/>
        </w:rPr>
        <w:t>to</w:t>
      </w:r>
      <w:r>
        <w:rPr>
          <w:color w:val="3B383B"/>
          <w:spacing w:val="25"/>
          <w:w w:val="110"/>
          <w:sz w:val="22"/>
        </w:rPr>
        <w:t> </w:t>
      </w:r>
      <w:r>
        <w:rPr>
          <w:color w:val="3B383B"/>
          <w:w w:val="110"/>
          <w:sz w:val="22"/>
        </w:rPr>
        <w:t>"hide"</w:t>
      </w:r>
      <w:r>
        <w:rPr>
          <w:color w:val="3B383B"/>
          <w:spacing w:val="4"/>
          <w:w w:val="110"/>
          <w:sz w:val="22"/>
        </w:rPr>
        <w:t> </w:t>
      </w:r>
      <w:r>
        <w:rPr>
          <w:color w:val="3B383B"/>
          <w:w w:val="110"/>
          <w:sz w:val="22"/>
        </w:rPr>
        <w:t>information</w:t>
      </w:r>
      <w:r>
        <w:rPr>
          <w:color w:val="3B383B"/>
          <w:spacing w:val="43"/>
          <w:w w:val="110"/>
          <w:sz w:val="22"/>
        </w:rPr>
        <w:t> </w:t>
      </w:r>
      <w:r>
        <w:rPr>
          <w:color w:val="3B383B"/>
          <w:w w:val="110"/>
          <w:sz w:val="22"/>
        </w:rPr>
        <w:t>that</w:t>
      </w:r>
      <w:r>
        <w:rPr>
          <w:color w:val="3B383B"/>
          <w:spacing w:val="25"/>
          <w:w w:val="110"/>
          <w:sz w:val="22"/>
        </w:rPr>
        <w:t> </w:t>
      </w:r>
      <w:r>
        <w:rPr>
          <w:color w:val="3B383B"/>
          <w:w w:val="110"/>
          <w:sz w:val="22"/>
        </w:rPr>
        <w:t>the</w:t>
      </w:r>
      <w:r>
        <w:rPr>
          <w:color w:val="3B383B"/>
          <w:spacing w:val="8"/>
          <w:w w:val="110"/>
          <w:sz w:val="22"/>
        </w:rPr>
        <w:t> </w:t>
      </w:r>
      <w:r>
        <w:rPr>
          <w:color w:val="3B383B"/>
          <w:w w:val="110"/>
          <w:sz w:val="22"/>
        </w:rPr>
        <w:t>writer</w:t>
      </w:r>
      <w:r>
        <w:rPr>
          <w:color w:val="3B383B"/>
          <w:spacing w:val="12"/>
          <w:w w:val="110"/>
          <w:sz w:val="22"/>
        </w:rPr>
        <w:t> </w:t>
      </w:r>
      <w:r>
        <w:rPr>
          <w:color w:val="3B383B"/>
          <w:w w:val="110"/>
          <w:sz w:val="22"/>
        </w:rPr>
        <w:t>wants</w:t>
      </w:r>
    </w:p>
    <w:p>
      <w:pPr>
        <w:pStyle w:val="BodyText"/>
        <w:spacing w:before="10"/>
        <w:rPr>
          <w:sz w:val="25"/>
        </w:rPr>
      </w:pPr>
    </w:p>
    <w:p>
      <w:pPr>
        <w:spacing w:line="236" w:lineRule="exact" w:before="0"/>
        <w:ind w:left="848" w:right="0" w:firstLine="0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color w:val="59595B"/>
          <w:w w:val="95"/>
          <w:position w:val="5"/>
          <w:sz w:val="10"/>
        </w:rPr>
        <w:t>1</w:t>
      </w:r>
      <w:r>
        <w:rPr>
          <w:rFonts w:ascii="Arial" w:hAnsi="Arial"/>
          <w:i/>
          <w:color w:val="3B383B"/>
          <w:w w:val="95"/>
          <w:sz w:val="10"/>
        </w:rPr>
        <w:t>•</w:t>
      </w:r>
      <w:r>
        <w:rPr>
          <w:rFonts w:ascii="Arial" w:hAnsi="Arial"/>
          <w:i/>
          <w:color w:val="3B383B"/>
          <w:spacing w:val="-3"/>
          <w:w w:val="95"/>
          <w:sz w:val="10"/>
        </w:rPr>
        <w:t> </w:t>
      </w:r>
      <w:r>
        <w:rPr>
          <w:i/>
          <w:color w:val="3B383B"/>
          <w:w w:val="95"/>
          <w:sz w:val="18"/>
        </w:rPr>
        <w:t>See</w:t>
      </w:r>
      <w:r>
        <w:rPr>
          <w:i/>
          <w:color w:val="3B383B"/>
          <w:spacing w:val="-12"/>
          <w:w w:val="95"/>
          <w:sz w:val="18"/>
        </w:rPr>
        <w:t> </w:t>
      </w:r>
      <w:r>
        <w:rPr>
          <w:color w:val="3B383B"/>
          <w:w w:val="95"/>
          <w:sz w:val="18"/>
        </w:rPr>
        <w:t>Mary</w:t>
      </w:r>
      <w:r>
        <w:rPr>
          <w:color w:val="3B383B"/>
          <w:spacing w:val="-10"/>
          <w:w w:val="95"/>
          <w:sz w:val="18"/>
        </w:rPr>
        <w:t> </w:t>
      </w:r>
      <w:r>
        <w:rPr>
          <w:color w:val="3B383B"/>
          <w:w w:val="95"/>
          <w:sz w:val="18"/>
        </w:rPr>
        <w:t>Barna</w:t>
      </w:r>
      <w:r>
        <w:rPr>
          <w:color w:val="59595B"/>
          <w:w w:val="95"/>
          <w:sz w:val="18"/>
        </w:rPr>
        <w:t>r</w:t>
      </w:r>
      <w:r>
        <w:rPr>
          <w:color w:val="3B383B"/>
          <w:w w:val="95"/>
          <w:sz w:val="18"/>
        </w:rPr>
        <w:t>d</w:t>
      </w:r>
      <w:r>
        <w:rPr>
          <w:color w:val="3B383B"/>
          <w:spacing w:val="16"/>
          <w:w w:val="95"/>
          <w:sz w:val="18"/>
        </w:rPr>
        <w:t> </w:t>
      </w:r>
      <w:r>
        <w:rPr>
          <w:color w:val="3B383B"/>
          <w:w w:val="95"/>
          <w:sz w:val="18"/>
        </w:rPr>
        <w:t>Ray</w:t>
      </w:r>
      <w:r>
        <w:rPr>
          <w:color w:val="3B383B"/>
          <w:spacing w:val="-3"/>
          <w:w w:val="95"/>
          <w:sz w:val="18"/>
        </w:rPr>
        <w:t> </w:t>
      </w:r>
      <w:r>
        <w:rPr>
          <w:color w:val="3B383B"/>
          <w:w w:val="95"/>
          <w:sz w:val="17"/>
        </w:rPr>
        <w:t>&amp;</w:t>
      </w:r>
      <w:r>
        <w:rPr>
          <w:color w:val="3B383B"/>
          <w:w w:val="95"/>
          <w:sz w:val="21"/>
        </w:rPr>
        <w:t>Jill</w:t>
      </w:r>
      <w:r>
        <w:rPr>
          <w:color w:val="3B383B"/>
          <w:spacing w:val="-21"/>
          <w:w w:val="95"/>
          <w:sz w:val="21"/>
        </w:rPr>
        <w:t> </w:t>
      </w:r>
      <w:r>
        <w:rPr>
          <w:color w:val="3B383B"/>
          <w:w w:val="95"/>
          <w:sz w:val="21"/>
        </w:rPr>
        <w:t>J.</w:t>
      </w:r>
      <w:r>
        <w:rPr>
          <w:color w:val="3B383B"/>
          <w:spacing w:val="-14"/>
          <w:w w:val="95"/>
          <w:sz w:val="21"/>
        </w:rPr>
        <w:t> </w:t>
      </w:r>
      <w:r>
        <w:rPr>
          <w:color w:val="3B383B"/>
          <w:w w:val="95"/>
          <w:sz w:val="18"/>
        </w:rPr>
        <w:t>Ramsfield,</w:t>
      </w:r>
      <w:r>
        <w:rPr>
          <w:color w:val="3B383B"/>
          <w:spacing w:val="15"/>
          <w:w w:val="95"/>
          <w:sz w:val="18"/>
        </w:rPr>
        <w:t> </w:t>
      </w:r>
      <w:r>
        <w:rPr>
          <w:i/>
          <w:color w:val="3B383B"/>
          <w:w w:val="95"/>
          <w:sz w:val="18"/>
        </w:rPr>
        <w:t>Legal</w:t>
      </w:r>
      <w:r>
        <w:rPr>
          <w:i/>
          <w:color w:val="3B383B"/>
          <w:spacing w:val="-1"/>
          <w:w w:val="95"/>
          <w:sz w:val="18"/>
        </w:rPr>
        <w:t> </w:t>
      </w:r>
      <w:r>
        <w:rPr>
          <w:i/>
          <w:color w:val="3B383B"/>
          <w:w w:val="95"/>
          <w:sz w:val="18"/>
        </w:rPr>
        <w:t>Writing:</w:t>
      </w:r>
      <w:r>
        <w:rPr>
          <w:i/>
          <w:color w:val="3B383B"/>
          <w:spacing w:val="-12"/>
          <w:w w:val="95"/>
          <w:sz w:val="18"/>
        </w:rPr>
        <w:t> </w:t>
      </w:r>
      <w:r>
        <w:rPr>
          <w:i/>
          <w:color w:val="3B383B"/>
          <w:w w:val="95"/>
          <w:sz w:val="18"/>
        </w:rPr>
        <w:t>Getting</w:t>
      </w:r>
      <w:r>
        <w:rPr>
          <w:i/>
          <w:color w:val="3B383B"/>
          <w:spacing w:val="1"/>
          <w:w w:val="95"/>
          <w:sz w:val="18"/>
        </w:rPr>
        <w:t> </w:t>
      </w:r>
      <w:r>
        <w:rPr>
          <w:i/>
          <w:color w:val="3B383B"/>
          <w:w w:val="95"/>
          <w:sz w:val="18"/>
        </w:rPr>
        <w:t>It</w:t>
      </w:r>
      <w:r>
        <w:rPr>
          <w:i/>
          <w:color w:val="3B383B"/>
          <w:spacing w:val="5"/>
          <w:w w:val="95"/>
          <w:sz w:val="18"/>
        </w:rPr>
        <w:t> </w:t>
      </w:r>
      <w:r>
        <w:rPr>
          <w:i/>
          <w:color w:val="3B383B"/>
          <w:w w:val="95"/>
          <w:sz w:val="18"/>
        </w:rPr>
        <w:t>Right</w:t>
      </w:r>
      <w:r>
        <w:rPr>
          <w:i/>
          <w:color w:val="3B383B"/>
          <w:spacing w:val="7"/>
          <w:w w:val="95"/>
          <w:sz w:val="18"/>
        </w:rPr>
        <w:t> </w:t>
      </w:r>
      <w:r>
        <w:rPr>
          <w:i/>
          <w:color w:val="3B383B"/>
          <w:w w:val="95"/>
          <w:sz w:val="18"/>
        </w:rPr>
        <w:t>and</w:t>
      </w:r>
      <w:r>
        <w:rPr>
          <w:i/>
          <w:color w:val="3B383B"/>
          <w:spacing w:val="-2"/>
          <w:w w:val="95"/>
          <w:sz w:val="18"/>
        </w:rPr>
        <w:t> </w:t>
      </w:r>
      <w:r>
        <w:rPr>
          <w:i/>
          <w:color w:val="3B383B"/>
          <w:w w:val="95"/>
          <w:sz w:val="18"/>
        </w:rPr>
        <w:t>Getting</w:t>
      </w:r>
      <w:r>
        <w:rPr>
          <w:i/>
          <w:color w:val="3B383B"/>
          <w:spacing w:val="2"/>
          <w:w w:val="95"/>
          <w:sz w:val="18"/>
        </w:rPr>
        <w:t> </w:t>
      </w:r>
      <w:r>
        <w:rPr>
          <w:i/>
          <w:color w:val="3B383B"/>
          <w:w w:val="95"/>
          <w:sz w:val="18"/>
        </w:rPr>
        <w:t>It</w:t>
      </w:r>
      <w:r>
        <w:rPr>
          <w:i/>
          <w:color w:val="3B383B"/>
          <w:spacing w:val="-17"/>
          <w:w w:val="95"/>
          <w:sz w:val="18"/>
        </w:rPr>
        <w:t> </w:t>
      </w:r>
      <w:r>
        <w:rPr>
          <w:rFonts w:ascii="Arial" w:hAnsi="Arial"/>
          <w:i/>
          <w:color w:val="3B383B"/>
          <w:w w:val="95"/>
          <w:sz w:val="16"/>
        </w:rPr>
        <w:t>Writttn</w:t>
      </w:r>
    </w:p>
    <w:p>
      <w:pPr>
        <w:spacing w:line="190" w:lineRule="exact" w:before="0"/>
        <w:ind w:left="503" w:right="0" w:firstLine="0"/>
        <w:jc w:val="left"/>
        <w:rPr>
          <w:sz w:val="17"/>
        </w:rPr>
      </w:pPr>
      <w:r>
        <w:rPr>
          <w:color w:val="3B383B"/>
          <w:w w:val="105"/>
          <w:sz w:val="17"/>
        </w:rPr>
        <w:t>279-81</w:t>
      </w:r>
      <w:r>
        <w:rPr>
          <w:color w:val="3B383B"/>
          <w:spacing w:val="-4"/>
          <w:w w:val="105"/>
          <w:sz w:val="17"/>
        </w:rPr>
        <w:t> </w:t>
      </w:r>
      <w:r>
        <w:rPr>
          <w:color w:val="3B383B"/>
          <w:w w:val="105"/>
          <w:sz w:val="17"/>
        </w:rPr>
        <w:t>(4t</w:t>
      </w:r>
      <w:r>
        <w:rPr>
          <w:color w:val="59595B"/>
          <w:w w:val="105"/>
          <w:sz w:val="17"/>
        </w:rPr>
        <w:t>h</w:t>
      </w:r>
      <w:r>
        <w:rPr>
          <w:color w:val="59595B"/>
          <w:spacing w:val="3"/>
          <w:w w:val="105"/>
          <w:sz w:val="17"/>
        </w:rPr>
        <w:t> </w:t>
      </w:r>
      <w:r>
        <w:rPr>
          <w:color w:val="3B383B"/>
          <w:w w:val="105"/>
          <w:sz w:val="17"/>
        </w:rPr>
        <w:t>ed</w:t>
      </w:r>
      <w:r>
        <w:rPr>
          <w:color w:val="59595B"/>
          <w:w w:val="105"/>
          <w:sz w:val="17"/>
        </w:rPr>
        <w:t>.</w:t>
      </w:r>
      <w:r>
        <w:rPr>
          <w:color w:val="3B383B"/>
          <w:w w:val="105"/>
          <w:sz w:val="17"/>
        </w:rPr>
        <w:t>,</w:t>
      </w:r>
      <w:r>
        <w:rPr>
          <w:color w:val="3B383B"/>
          <w:spacing w:val="-11"/>
          <w:w w:val="105"/>
          <w:sz w:val="17"/>
        </w:rPr>
        <w:t> </w:t>
      </w:r>
      <w:r>
        <w:rPr>
          <w:color w:val="3B383B"/>
          <w:w w:val="105"/>
          <w:sz w:val="17"/>
        </w:rPr>
        <w:t>Thomson/West</w:t>
      </w:r>
      <w:r>
        <w:rPr>
          <w:color w:val="3B383B"/>
          <w:spacing w:val="4"/>
          <w:w w:val="105"/>
          <w:sz w:val="17"/>
        </w:rPr>
        <w:t> </w:t>
      </w:r>
      <w:r>
        <w:rPr>
          <w:color w:val="3B383B"/>
          <w:w w:val="105"/>
          <w:sz w:val="17"/>
        </w:rPr>
        <w:t>200$).</w:t>
      </w:r>
    </w:p>
    <w:p>
      <w:pPr>
        <w:spacing w:after="0" w:line="190" w:lineRule="exact"/>
        <w:jc w:val="left"/>
        <w:rPr>
          <w:sz w:val="17"/>
        </w:rPr>
        <w:sectPr>
          <w:headerReference w:type="even" r:id="rId297"/>
          <w:headerReference w:type="default" r:id="rId298"/>
          <w:pgSz w:w="9040" w:h="13990"/>
          <w:pgMar w:header="505" w:footer="0" w:top="1100" w:bottom="0" w:left="1240" w:right="80"/>
          <w:pgNumType w:start="264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32" w:lineRule="auto" w:before="1"/>
        <w:ind w:left="118" w:right="466" w:firstLine="4"/>
        <w:jc w:val="both"/>
      </w:pPr>
      <w:r>
        <w:rPr>
          <w:color w:val="383638"/>
        </w:rPr>
        <w:t>to deemphasize.</w:t>
      </w:r>
      <w:r>
        <w:rPr>
          <w:color w:val="383638"/>
          <w:spacing w:val="1"/>
        </w:rPr>
        <w:t> </w:t>
      </w:r>
      <w:r>
        <w:rPr>
          <w:color w:val="383638"/>
        </w:rPr>
        <w:t>In</w:t>
      </w:r>
      <w:r>
        <w:rPr>
          <w:color w:val="383638"/>
          <w:spacing w:val="1"/>
        </w:rPr>
        <w:t> </w:t>
      </w:r>
      <w:r>
        <w:rPr>
          <w:color w:val="383638"/>
        </w:rPr>
        <w:t>grammatical</w:t>
      </w:r>
      <w:r>
        <w:rPr>
          <w:color w:val="383638"/>
          <w:spacing w:val="1"/>
        </w:rPr>
        <w:t> </w:t>
      </w:r>
      <w:r>
        <w:rPr>
          <w:color w:val="383638"/>
        </w:rPr>
        <w:t>terms, an</w:t>
      </w:r>
      <w:r>
        <w:rPr>
          <w:color w:val="383638"/>
          <w:spacing w:val="57"/>
        </w:rPr>
        <w:t> </w:t>
      </w:r>
      <w:r>
        <w:rPr>
          <w:color w:val="383638"/>
        </w:rPr>
        <w:t>independent clause is a clause</w:t>
      </w:r>
      <w:r>
        <w:rPr>
          <w:color w:val="383638"/>
          <w:spacing w:val="1"/>
        </w:rPr>
        <w:t> </w:t>
      </w:r>
      <w:r>
        <w:rPr>
          <w:color w:val="383638"/>
          <w:w w:val="105"/>
        </w:rPr>
        <w:t>that can stand on its own as a sentence, while a dependent clause can­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not. Readers subconsciously put more empha</w:t>
      </w:r>
      <w:r>
        <w:rPr>
          <w:color w:val="545456"/>
          <w:w w:val="105"/>
        </w:rPr>
        <w:t>s</w:t>
      </w:r>
      <w:r>
        <w:rPr>
          <w:color w:val="383638"/>
          <w:w w:val="105"/>
        </w:rPr>
        <w:t>is on information in inde­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pendent clauses and less emphasis on information in dependent clauses.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It may help to think of information in a dependent clause as be</w:t>
      </w:r>
      <w:r>
        <w:rPr>
          <w:color w:val="545456"/>
          <w:w w:val="110"/>
        </w:rPr>
        <w:t>i</w:t>
      </w:r>
      <w:r>
        <w:rPr>
          <w:color w:val="383638"/>
          <w:w w:val="110"/>
        </w:rPr>
        <w:t>ng 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parentheses: The reader often sees it as a less important part of the sen­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tence</w:t>
      </w:r>
      <w:r>
        <w:rPr>
          <w:color w:val="545456"/>
          <w:w w:val="105"/>
        </w:rPr>
        <w:t>. </w:t>
      </w:r>
      <w:r>
        <w:rPr>
          <w:color w:val="383638"/>
          <w:w w:val="105"/>
        </w:rPr>
        <w:t>Notice how switching information between the dependent and the</w:t>
      </w:r>
      <w:r>
        <w:rPr>
          <w:color w:val="383638"/>
          <w:spacing w:val="-58"/>
          <w:w w:val="105"/>
        </w:rPr>
        <w:t> </w:t>
      </w:r>
      <w:r>
        <w:rPr>
          <w:color w:val="383638"/>
          <w:w w:val="105"/>
        </w:rPr>
        <w:t>independent</w:t>
      </w:r>
      <w:r>
        <w:rPr>
          <w:color w:val="383638"/>
          <w:spacing w:val="-3"/>
          <w:w w:val="105"/>
        </w:rPr>
        <w:t> </w:t>
      </w:r>
      <w:r>
        <w:rPr>
          <w:color w:val="383638"/>
          <w:w w:val="105"/>
        </w:rPr>
        <w:t>clauses</w:t>
      </w:r>
      <w:r>
        <w:rPr>
          <w:color w:val="383638"/>
          <w:spacing w:val="-30"/>
          <w:w w:val="105"/>
        </w:rPr>
        <w:t> </w:t>
      </w:r>
      <w:r>
        <w:rPr>
          <w:color w:val="383638"/>
          <w:w w:val="105"/>
        </w:rPr>
        <w:t>subtly</w:t>
      </w:r>
      <w:r>
        <w:rPr>
          <w:color w:val="383638"/>
          <w:spacing w:val="-30"/>
          <w:w w:val="105"/>
        </w:rPr>
        <w:t> </w:t>
      </w:r>
      <w:r>
        <w:rPr>
          <w:color w:val="383638"/>
          <w:w w:val="105"/>
        </w:rPr>
        <w:t>changes</w:t>
      </w:r>
      <w:r>
        <w:rPr>
          <w:color w:val="383638"/>
          <w:spacing w:val="-19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-12"/>
          <w:w w:val="105"/>
        </w:rPr>
        <w:t> </w:t>
      </w:r>
      <w:r>
        <w:rPr>
          <w:color w:val="383638"/>
          <w:w w:val="105"/>
        </w:rPr>
        <w:t>impression</w:t>
      </w:r>
      <w:r>
        <w:rPr>
          <w:color w:val="383638"/>
          <w:spacing w:val="2"/>
          <w:w w:val="105"/>
        </w:rPr>
        <w:t> </w:t>
      </w:r>
      <w:r>
        <w:rPr>
          <w:color w:val="383638"/>
          <w:w w:val="105"/>
        </w:rPr>
        <w:t>that</w:t>
      </w:r>
      <w:r>
        <w:rPr>
          <w:color w:val="383638"/>
          <w:spacing w:val="-16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-33"/>
          <w:w w:val="105"/>
        </w:rPr>
        <w:t> </w:t>
      </w:r>
      <w:r>
        <w:rPr>
          <w:color w:val="383638"/>
          <w:w w:val="105"/>
        </w:rPr>
        <w:t>sentence</w:t>
      </w:r>
      <w:r>
        <w:rPr>
          <w:color w:val="383638"/>
          <w:spacing w:val="-18"/>
          <w:w w:val="105"/>
        </w:rPr>
        <w:t> </w:t>
      </w:r>
      <w:r>
        <w:rPr>
          <w:color w:val="383638"/>
          <w:w w:val="105"/>
        </w:rPr>
        <w:t>gives</w:t>
      </w:r>
      <w:r>
        <w:rPr>
          <w:color w:val="383638"/>
          <w:spacing w:val="-58"/>
          <w:w w:val="105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reader</w:t>
      </w:r>
      <w:r>
        <w:rPr>
          <w:color w:val="545456"/>
          <w:w w:val="110"/>
        </w:rPr>
        <w:t>:</w:t>
      </w:r>
    </w:p>
    <w:p>
      <w:pPr>
        <w:spacing w:line="235" w:lineRule="auto" w:before="135"/>
        <w:ind w:left="436" w:right="799" w:firstLine="4"/>
        <w:jc w:val="both"/>
        <w:rPr>
          <w:sz w:val="21"/>
        </w:rPr>
      </w:pPr>
      <w:r>
        <w:rPr>
          <w:color w:val="383638"/>
          <w:spacing w:val="-1"/>
          <w:w w:val="110"/>
          <w:sz w:val="21"/>
        </w:rPr>
        <w:t>First,</w:t>
      </w:r>
      <w:r>
        <w:rPr>
          <w:color w:val="383638"/>
          <w:spacing w:val="-9"/>
          <w:w w:val="110"/>
          <w:sz w:val="21"/>
        </w:rPr>
        <w:t> </w:t>
      </w:r>
      <w:r>
        <w:rPr>
          <w:color w:val="383638"/>
          <w:spacing w:val="-1"/>
          <w:w w:val="110"/>
          <w:sz w:val="21"/>
        </w:rPr>
        <w:t>although</w:t>
      </w:r>
      <w:r>
        <w:rPr>
          <w:color w:val="383638"/>
          <w:spacing w:val="-2"/>
          <w:w w:val="110"/>
          <w:sz w:val="21"/>
        </w:rPr>
        <w:t> </w:t>
      </w:r>
      <w:r>
        <w:rPr>
          <w:color w:val="383638"/>
          <w:spacing w:val="-1"/>
          <w:w w:val="110"/>
          <w:sz w:val="21"/>
        </w:rPr>
        <w:t>the</w:t>
      </w:r>
      <w:r>
        <w:rPr>
          <w:color w:val="383638"/>
          <w:spacing w:val="-17"/>
          <w:w w:val="110"/>
          <w:sz w:val="21"/>
        </w:rPr>
        <w:t> </w:t>
      </w:r>
      <w:r>
        <w:rPr>
          <w:b/>
          <w:color w:val="383638"/>
          <w:spacing w:val="-1"/>
          <w:w w:val="110"/>
          <w:sz w:val="21"/>
        </w:rPr>
        <w:t>area</w:t>
      </w:r>
      <w:r>
        <w:rPr>
          <w:b/>
          <w:color w:val="383638"/>
          <w:spacing w:val="-16"/>
          <w:w w:val="110"/>
          <w:sz w:val="21"/>
        </w:rPr>
        <w:t> </w:t>
      </w:r>
      <w:r>
        <w:rPr>
          <w:color w:val="383638"/>
          <w:spacing w:val="-1"/>
          <w:w w:val="110"/>
          <w:sz w:val="21"/>
        </w:rPr>
        <w:t>where</w:t>
      </w:r>
      <w:r>
        <w:rPr>
          <w:color w:val="383638"/>
          <w:spacing w:val="-19"/>
          <w:w w:val="110"/>
          <w:sz w:val="21"/>
        </w:rPr>
        <w:t> </w:t>
      </w:r>
      <w:r>
        <w:rPr>
          <w:color w:val="383638"/>
          <w:spacing w:val="-1"/>
          <w:w w:val="110"/>
          <w:sz w:val="21"/>
        </w:rPr>
        <w:t>the</w:t>
      </w:r>
      <w:r>
        <w:rPr>
          <w:color w:val="383638"/>
          <w:spacing w:val="-4"/>
          <w:w w:val="110"/>
          <w:sz w:val="21"/>
        </w:rPr>
        <w:t> </w:t>
      </w:r>
      <w:r>
        <w:rPr>
          <w:color w:val="383638"/>
          <w:w w:val="110"/>
          <w:sz w:val="21"/>
        </w:rPr>
        <w:t>officer</w:t>
      </w:r>
      <w:r>
        <w:rPr>
          <w:color w:val="383638"/>
          <w:spacing w:val="-28"/>
          <w:w w:val="110"/>
          <w:sz w:val="21"/>
        </w:rPr>
        <w:t> </w:t>
      </w:r>
      <w:r>
        <w:rPr>
          <w:color w:val="383638"/>
          <w:w w:val="110"/>
          <w:sz w:val="21"/>
        </w:rPr>
        <w:t>stood</w:t>
      </w:r>
      <w:r>
        <w:rPr>
          <w:color w:val="383638"/>
          <w:spacing w:val="-16"/>
          <w:w w:val="110"/>
          <w:sz w:val="21"/>
        </w:rPr>
        <w:t> </w:t>
      </w:r>
      <w:r>
        <w:rPr>
          <w:color w:val="383638"/>
          <w:w w:val="110"/>
          <w:sz w:val="21"/>
        </w:rPr>
        <w:t>is</w:t>
      </w:r>
      <w:r>
        <w:rPr>
          <w:color w:val="383638"/>
          <w:spacing w:val="-33"/>
          <w:w w:val="110"/>
          <w:sz w:val="21"/>
        </w:rPr>
        <w:t> </w:t>
      </w:r>
      <w:r>
        <w:rPr>
          <w:color w:val="383638"/>
          <w:w w:val="110"/>
          <w:sz w:val="21"/>
        </w:rPr>
        <w:t>close</w:t>
      </w:r>
      <w:r>
        <w:rPr>
          <w:color w:val="383638"/>
          <w:spacing w:val="-20"/>
          <w:w w:val="110"/>
          <w:sz w:val="21"/>
        </w:rPr>
        <w:t> </w:t>
      </w:r>
      <w:r>
        <w:rPr>
          <w:color w:val="383638"/>
          <w:w w:val="110"/>
          <w:sz w:val="21"/>
        </w:rPr>
        <w:t>to</w:t>
      </w:r>
      <w:r>
        <w:rPr>
          <w:color w:val="383638"/>
          <w:spacing w:val="-24"/>
          <w:w w:val="110"/>
          <w:sz w:val="21"/>
        </w:rPr>
        <w:t> </w:t>
      </w:r>
      <w:r>
        <w:rPr>
          <w:color w:val="383638"/>
          <w:w w:val="110"/>
          <w:sz w:val="21"/>
        </w:rPr>
        <w:t>Thompson's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apartment, the communal nature of the grounds makes the claim of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curtilage</w:t>
      </w:r>
      <w:r>
        <w:rPr>
          <w:color w:val="383638"/>
          <w:spacing w:val="-10"/>
          <w:w w:val="110"/>
          <w:sz w:val="21"/>
        </w:rPr>
        <w:t> </w:t>
      </w:r>
      <w:r>
        <w:rPr>
          <w:color w:val="383638"/>
          <w:w w:val="110"/>
          <w:sz w:val="21"/>
        </w:rPr>
        <w:t>less</w:t>
      </w:r>
      <w:r>
        <w:rPr>
          <w:color w:val="383638"/>
          <w:spacing w:val="-15"/>
          <w:w w:val="110"/>
          <w:sz w:val="21"/>
        </w:rPr>
        <w:t> </w:t>
      </w:r>
      <w:r>
        <w:rPr>
          <w:color w:val="383638"/>
          <w:w w:val="110"/>
          <w:sz w:val="21"/>
        </w:rPr>
        <w:t>valid.</w:t>
      </w:r>
    </w:p>
    <w:p>
      <w:pPr>
        <w:spacing w:line="235" w:lineRule="auto" w:before="138"/>
        <w:ind w:left="439" w:right="764" w:firstLine="10"/>
        <w:jc w:val="both"/>
        <w:rPr>
          <w:b/>
          <w:sz w:val="21"/>
        </w:rPr>
      </w:pPr>
      <w:r>
        <w:rPr>
          <w:color w:val="383638"/>
          <w:w w:val="105"/>
          <w:sz w:val="21"/>
        </w:rPr>
        <w:t>First, even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though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the officer stood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in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a communal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area, the  place</w:t>
      </w:r>
      <w:r>
        <w:rPr>
          <w:color w:val="383638"/>
          <w:spacing w:val="1"/>
          <w:w w:val="105"/>
          <w:sz w:val="21"/>
        </w:rPr>
        <w:t> </w:t>
      </w:r>
      <w:r>
        <w:rPr>
          <w:b/>
          <w:color w:val="383638"/>
          <w:spacing w:val="-1"/>
          <w:w w:val="105"/>
          <w:sz w:val="21"/>
        </w:rPr>
        <w:t>where</w:t>
      </w:r>
      <w:r>
        <w:rPr>
          <w:b/>
          <w:color w:val="383638"/>
          <w:spacing w:val="-7"/>
          <w:w w:val="105"/>
          <w:sz w:val="21"/>
        </w:rPr>
        <w:t> </w:t>
      </w:r>
      <w:r>
        <w:rPr>
          <w:b/>
          <w:color w:val="383638"/>
          <w:spacing w:val="-1"/>
          <w:w w:val="105"/>
          <w:sz w:val="21"/>
        </w:rPr>
        <w:t>he</w:t>
      </w:r>
      <w:r>
        <w:rPr>
          <w:b/>
          <w:color w:val="383638"/>
          <w:spacing w:val="-5"/>
          <w:w w:val="105"/>
          <w:sz w:val="21"/>
        </w:rPr>
        <w:t> </w:t>
      </w:r>
      <w:r>
        <w:rPr>
          <w:b/>
          <w:color w:val="383638"/>
          <w:spacing w:val="-1"/>
          <w:w w:val="105"/>
          <w:sz w:val="21"/>
        </w:rPr>
        <w:t>stood</w:t>
      </w:r>
      <w:r>
        <w:rPr>
          <w:b/>
          <w:color w:val="383638"/>
          <w:spacing w:val="-28"/>
          <w:w w:val="105"/>
          <w:sz w:val="21"/>
        </w:rPr>
        <w:t> </w:t>
      </w:r>
      <w:r>
        <w:rPr>
          <w:b/>
          <w:color w:val="383638"/>
          <w:spacing w:val="-1"/>
          <w:w w:val="105"/>
          <w:sz w:val="21"/>
        </w:rPr>
        <w:t>was</w:t>
      </w:r>
      <w:r>
        <w:rPr>
          <w:b/>
          <w:color w:val="383638"/>
          <w:spacing w:val="-27"/>
          <w:w w:val="105"/>
          <w:sz w:val="21"/>
        </w:rPr>
        <w:t> </w:t>
      </w:r>
      <w:r>
        <w:rPr>
          <w:b/>
          <w:color w:val="383638"/>
          <w:spacing w:val="-1"/>
          <w:w w:val="105"/>
          <w:sz w:val="21"/>
        </w:rPr>
        <w:t>so</w:t>
      </w:r>
      <w:r>
        <w:rPr>
          <w:b/>
          <w:color w:val="383638"/>
          <w:spacing w:val="-19"/>
          <w:w w:val="105"/>
          <w:sz w:val="21"/>
        </w:rPr>
        <w:t> </w:t>
      </w:r>
      <w:r>
        <w:rPr>
          <w:b/>
          <w:color w:val="383638"/>
          <w:spacing w:val="-1"/>
          <w:w w:val="105"/>
          <w:sz w:val="21"/>
        </w:rPr>
        <w:t>close</w:t>
      </w:r>
      <w:r>
        <w:rPr>
          <w:b/>
          <w:color w:val="383638"/>
          <w:spacing w:val="-16"/>
          <w:w w:val="105"/>
          <w:sz w:val="21"/>
        </w:rPr>
        <w:t> </w:t>
      </w:r>
      <w:r>
        <w:rPr>
          <w:b/>
          <w:color w:val="383638"/>
          <w:spacing w:val="-1"/>
          <w:w w:val="105"/>
          <w:sz w:val="21"/>
        </w:rPr>
        <w:t>to</w:t>
      </w:r>
      <w:r>
        <w:rPr>
          <w:b/>
          <w:color w:val="383638"/>
          <w:spacing w:val="-31"/>
          <w:w w:val="105"/>
          <w:sz w:val="21"/>
        </w:rPr>
        <w:t> </w:t>
      </w:r>
      <w:r>
        <w:rPr>
          <w:b/>
          <w:color w:val="383638"/>
          <w:spacing w:val="-1"/>
          <w:w w:val="105"/>
          <w:sz w:val="21"/>
        </w:rPr>
        <w:t>Thompson's</w:t>
      </w:r>
      <w:r>
        <w:rPr>
          <w:b/>
          <w:color w:val="383638"/>
          <w:spacing w:val="-23"/>
          <w:w w:val="105"/>
          <w:sz w:val="21"/>
        </w:rPr>
        <w:t> </w:t>
      </w:r>
      <w:r>
        <w:rPr>
          <w:b/>
          <w:color w:val="383638"/>
          <w:spacing w:val="-1"/>
          <w:w w:val="105"/>
          <w:sz w:val="21"/>
        </w:rPr>
        <w:t>apartment</w:t>
      </w:r>
      <w:r>
        <w:rPr>
          <w:b/>
          <w:color w:val="383638"/>
          <w:spacing w:val="-15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that</w:t>
      </w:r>
      <w:r>
        <w:rPr>
          <w:b/>
          <w:color w:val="383638"/>
          <w:spacing w:val="-24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it</w:t>
      </w:r>
      <w:r>
        <w:rPr>
          <w:b/>
          <w:color w:val="383638"/>
          <w:spacing w:val="-5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increases</w:t>
      </w:r>
      <w:r>
        <w:rPr>
          <w:b/>
          <w:color w:val="383638"/>
          <w:spacing w:val="-53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the</w:t>
      </w:r>
      <w:r>
        <w:rPr>
          <w:b/>
          <w:color w:val="383638"/>
          <w:spacing w:val="34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validity</w:t>
      </w:r>
      <w:r>
        <w:rPr>
          <w:b/>
          <w:color w:val="383638"/>
          <w:spacing w:val="-5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of</w:t>
      </w:r>
      <w:r>
        <w:rPr>
          <w:b/>
          <w:color w:val="383638"/>
          <w:spacing w:val="15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the</w:t>
      </w:r>
      <w:r>
        <w:rPr>
          <w:b/>
          <w:color w:val="383638"/>
          <w:spacing w:val="-14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curtilage</w:t>
      </w:r>
      <w:r>
        <w:rPr>
          <w:b/>
          <w:color w:val="383638"/>
          <w:spacing w:val="-3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claim.</w:t>
      </w:r>
    </w:p>
    <w:p>
      <w:pPr>
        <w:spacing w:line="230" w:lineRule="auto" w:before="151"/>
        <w:ind w:left="449" w:right="748" w:hanging="14"/>
        <w:jc w:val="both"/>
        <w:rPr>
          <w:b/>
          <w:sz w:val="21"/>
        </w:rPr>
      </w:pPr>
      <w:r>
        <w:rPr>
          <w:b/>
          <w:color w:val="383638"/>
          <w:w w:val="105"/>
          <w:sz w:val="21"/>
        </w:rPr>
        <w:t>Though</w:t>
      </w:r>
      <w:r>
        <w:rPr>
          <w:b/>
          <w:color w:val="383638"/>
          <w:spacing w:val="-2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the</w:t>
      </w:r>
      <w:r>
        <w:rPr>
          <w:b/>
          <w:color w:val="383638"/>
          <w:spacing w:val="13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blinds</w:t>
      </w:r>
      <w:r>
        <w:rPr>
          <w:b/>
          <w:color w:val="383638"/>
          <w:spacing w:val="-17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were</w:t>
      </w:r>
      <w:r>
        <w:rPr>
          <w:b/>
          <w:color w:val="383638"/>
          <w:spacing w:val="-9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drawn</w:t>
      </w:r>
      <w:r>
        <w:rPr>
          <w:b/>
          <w:color w:val="383638"/>
          <w:spacing w:val="-2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at</w:t>
      </w:r>
      <w:r>
        <w:rPr>
          <w:b/>
          <w:color w:val="383638"/>
          <w:spacing w:val="-2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the</w:t>
      </w:r>
      <w:r>
        <w:rPr>
          <w:b/>
          <w:color w:val="383638"/>
          <w:spacing w:val="-4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time</w:t>
      </w:r>
      <w:r>
        <w:rPr>
          <w:b/>
          <w:color w:val="383638"/>
          <w:spacing w:val="-19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of</w:t>
      </w:r>
      <w:r>
        <w:rPr>
          <w:b/>
          <w:color w:val="383638"/>
          <w:spacing w:val="-10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the</w:t>
      </w:r>
      <w:r>
        <w:rPr>
          <w:b/>
          <w:color w:val="383638"/>
          <w:spacing w:val="-19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alleged</w:t>
      </w:r>
      <w:r>
        <w:rPr>
          <w:b/>
          <w:color w:val="383638"/>
          <w:spacing w:val="-26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search,</w:t>
      </w:r>
      <w:r>
        <w:rPr>
          <w:b/>
          <w:color w:val="383638"/>
          <w:spacing w:val="-5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there</w:t>
      </w:r>
      <w:r>
        <w:rPr>
          <w:b/>
          <w:color w:val="383638"/>
          <w:spacing w:val="-53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is</w:t>
      </w:r>
      <w:r>
        <w:rPr>
          <w:b/>
          <w:color w:val="383638"/>
          <w:spacing w:val="-20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no</w:t>
      </w:r>
      <w:r>
        <w:rPr>
          <w:b/>
          <w:color w:val="383638"/>
          <w:spacing w:val="12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indication</w:t>
      </w:r>
      <w:r>
        <w:rPr>
          <w:b/>
          <w:color w:val="383638"/>
          <w:spacing w:val="-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that</w:t>
      </w:r>
      <w:r>
        <w:rPr>
          <w:b/>
          <w:color w:val="383638"/>
          <w:spacing w:val="3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Respondents</w:t>
      </w:r>
      <w:r>
        <w:rPr>
          <w:b/>
          <w:color w:val="383638"/>
          <w:spacing w:val="4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drew</w:t>
      </w:r>
      <w:r>
        <w:rPr>
          <w:b/>
          <w:color w:val="383638"/>
          <w:spacing w:val="5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them.</w:t>
      </w:r>
    </w:p>
    <w:p>
      <w:pPr>
        <w:spacing w:before="136"/>
        <w:ind w:left="448" w:right="725" w:firstLine="2"/>
        <w:jc w:val="both"/>
        <w:rPr>
          <w:b/>
          <w:sz w:val="21"/>
        </w:rPr>
      </w:pPr>
      <w:r>
        <w:rPr>
          <w:b/>
          <w:color w:val="383638"/>
          <w:w w:val="105"/>
          <w:sz w:val="21"/>
        </w:rPr>
        <w:t>Although there was no testimony at the trial about who closed the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window blinds, the fact remains that at the time of the search the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blinds</w:t>
      </w:r>
      <w:r>
        <w:rPr>
          <w:b/>
          <w:color w:val="383638"/>
          <w:spacing w:val="-8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were</w:t>
      </w:r>
      <w:r>
        <w:rPr>
          <w:b/>
          <w:color w:val="383638"/>
          <w:spacing w:val="-13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drawn.</w:t>
      </w:r>
    </w:p>
    <w:p>
      <w:pPr>
        <w:spacing w:line="235" w:lineRule="auto" w:before="137"/>
        <w:ind w:left="454" w:right="714" w:firstLine="0"/>
        <w:jc w:val="both"/>
        <w:rPr>
          <w:b/>
          <w:sz w:val="21"/>
        </w:rPr>
      </w:pPr>
      <w:r>
        <w:rPr>
          <w:b/>
          <w:color w:val="383638"/>
          <w:w w:val="110"/>
          <w:sz w:val="21"/>
        </w:rPr>
        <w:t>On the night in question, the blinds</w:t>
      </w:r>
      <w:r>
        <w:rPr>
          <w:b/>
          <w:color w:val="545456"/>
          <w:w w:val="110"/>
          <w:sz w:val="21"/>
        </w:rPr>
        <w:t>, </w:t>
      </w:r>
      <w:r>
        <w:rPr>
          <w:b/>
          <w:color w:val="383638"/>
          <w:w w:val="110"/>
          <w:sz w:val="21"/>
        </w:rPr>
        <w:t>though drawn, had a gap in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05"/>
          <w:sz w:val="21"/>
        </w:rPr>
        <w:t>them large enough for a citizen who passed by and an officer who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stood a foot or more from the window to view easily the entire illu­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10"/>
          <w:sz w:val="21"/>
        </w:rPr>
        <w:t>minated</w:t>
      </w:r>
      <w:r>
        <w:rPr>
          <w:b/>
          <w:color w:val="383638"/>
          <w:spacing w:val="-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interior</w:t>
      </w:r>
      <w:r>
        <w:rPr>
          <w:b/>
          <w:color w:val="383638"/>
          <w:spacing w:val="-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scene.</w:t>
      </w:r>
    </w:p>
    <w:p>
      <w:pPr>
        <w:spacing w:line="230" w:lineRule="auto" w:before="155"/>
        <w:ind w:left="454" w:right="696" w:firstLine="9"/>
        <w:jc w:val="both"/>
        <w:rPr>
          <w:b/>
          <w:sz w:val="21"/>
        </w:rPr>
      </w:pPr>
      <w:r>
        <w:rPr>
          <w:b/>
          <w:color w:val="383638"/>
          <w:w w:val="110"/>
          <w:sz w:val="21"/>
        </w:rPr>
        <w:t>On the night in question, th</w:t>
      </w:r>
      <w:r>
        <w:rPr>
          <w:b/>
          <w:color w:val="545456"/>
          <w:w w:val="110"/>
          <w:sz w:val="21"/>
        </w:rPr>
        <w:t>e </w:t>
      </w:r>
      <w:r>
        <w:rPr>
          <w:b/>
          <w:color w:val="383638"/>
          <w:w w:val="110"/>
          <w:sz w:val="21"/>
        </w:rPr>
        <w:t>blinds had been drawn to cover the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05"/>
          <w:sz w:val="21"/>
        </w:rPr>
        <w:t>entire</w:t>
      </w:r>
      <w:r>
        <w:rPr>
          <w:b/>
          <w:color w:val="383638"/>
          <w:spacing w:val="8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window,</w:t>
      </w:r>
      <w:r>
        <w:rPr>
          <w:b/>
          <w:color w:val="383638"/>
          <w:spacing w:val="7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even though</w:t>
      </w:r>
      <w:r>
        <w:rPr>
          <w:b/>
          <w:color w:val="383638"/>
          <w:spacing w:val="-10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a</w:t>
      </w:r>
      <w:r>
        <w:rPr>
          <w:b/>
          <w:color w:val="383638"/>
          <w:spacing w:val="-2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small</w:t>
      </w:r>
      <w:r>
        <w:rPr>
          <w:b/>
          <w:color w:val="383638"/>
          <w:spacing w:val="-7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gap</w:t>
      </w:r>
      <w:r>
        <w:rPr>
          <w:b/>
          <w:color w:val="383638"/>
          <w:spacing w:val="-16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remained</w:t>
      </w:r>
      <w:r>
        <w:rPr>
          <w:b/>
          <w:color w:val="545456"/>
          <w:w w:val="105"/>
          <w:sz w:val="21"/>
        </w:rPr>
        <w:t>.</w:t>
      </w:r>
    </w:p>
    <w:p>
      <w:pPr>
        <w:pStyle w:val="BodyText"/>
        <w:spacing w:line="235" w:lineRule="auto" w:before="150"/>
        <w:ind w:left="146" w:right="349" w:firstLine="6"/>
        <w:jc w:val="both"/>
      </w:pPr>
      <w:r>
        <w:rPr>
          <w:color w:val="383638"/>
        </w:rPr>
        <w:t>Again, all</w:t>
      </w:r>
      <w:r>
        <w:rPr>
          <w:color w:val="383638"/>
          <w:spacing w:val="1"/>
        </w:rPr>
        <w:t> </w:t>
      </w:r>
      <w:r>
        <w:rPr>
          <w:color w:val="383638"/>
        </w:rPr>
        <w:t>of</w:t>
      </w:r>
      <w:r>
        <w:rPr>
          <w:color w:val="383638"/>
          <w:spacing w:val="1"/>
        </w:rPr>
        <w:t> </w:t>
      </w:r>
      <w:r>
        <w:rPr>
          <w:color w:val="545456"/>
        </w:rPr>
        <w:t>t</w:t>
      </w:r>
      <w:r>
        <w:rPr>
          <w:color w:val="383638"/>
        </w:rPr>
        <w:t>hese sentences are grammatically correct. The sentence you</w:t>
      </w:r>
      <w:r>
        <w:rPr>
          <w:color w:val="383638"/>
          <w:spacing w:val="1"/>
        </w:rPr>
        <w:t> </w:t>
      </w:r>
      <w:r>
        <w:rPr>
          <w:color w:val="383638"/>
          <w:w w:val="105"/>
        </w:rPr>
        <w:t>choose to write </w:t>
      </w:r>
      <w:r>
        <w:rPr>
          <w:color w:val="383638"/>
          <w:w w:val="105"/>
          <w:sz w:val="22"/>
        </w:rPr>
        <w:t>will </w:t>
      </w:r>
      <w:r>
        <w:rPr>
          <w:color w:val="383638"/>
          <w:w w:val="105"/>
        </w:rPr>
        <w:t>d</w:t>
      </w:r>
      <w:r>
        <w:rPr>
          <w:color w:val="545456"/>
          <w:w w:val="105"/>
        </w:rPr>
        <w:t>e</w:t>
      </w:r>
      <w:r>
        <w:rPr>
          <w:color w:val="383638"/>
          <w:w w:val="105"/>
        </w:rPr>
        <w:t>pend on which information you want to emphasize</w:t>
      </w:r>
      <w:r>
        <w:rPr>
          <w:color w:val="383638"/>
          <w:spacing w:val="-58"/>
          <w:w w:val="105"/>
        </w:rPr>
        <w:t> </w:t>
      </w:r>
      <w:r>
        <w:rPr>
          <w:color w:val="383638"/>
          <w:w w:val="105"/>
        </w:rPr>
        <w:t>and</w:t>
      </w:r>
      <w:r>
        <w:rPr>
          <w:color w:val="383638"/>
          <w:spacing w:val="-15"/>
          <w:w w:val="105"/>
        </w:rPr>
        <w:t> </w:t>
      </w:r>
      <w:r>
        <w:rPr>
          <w:color w:val="383638"/>
          <w:w w:val="105"/>
        </w:rPr>
        <w:t>deemphasize.</w:t>
      </w:r>
    </w:p>
    <w:p>
      <w:pPr>
        <w:pStyle w:val="BodyText"/>
        <w:spacing w:before="4"/>
        <w:rPr>
          <w:sz w:val="33"/>
        </w:rPr>
      </w:pPr>
    </w:p>
    <w:p>
      <w:pPr>
        <w:pStyle w:val="ListParagraph"/>
        <w:numPr>
          <w:ilvl w:val="0"/>
          <w:numId w:val="102"/>
        </w:numPr>
        <w:tabs>
          <w:tab w:pos="874" w:val="left" w:leader="none"/>
        </w:tabs>
        <w:spacing w:line="237" w:lineRule="exact" w:before="0" w:after="0"/>
        <w:ind w:left="873" w:right="0" w:hanging="381"/>
        <w:jc w:val="both"/>
        <w:rPr>
          <w:b/>
          <w:color w:val="383638"/>
          <w:sz w:val="21"/>
        </w:rPr>
      </w:pPr>
      <w:r>
        <w:rPr>
          <w:b/>
          <w:color w:val="545456"/>
          <w:w w:val="115"/>
          <w:sz w:val="21"/>
        </w:rPr>
        <w:t>Us</w:t>
      </w:r>
      <w:r>
        <w:rPr>
          <w:b/>
          <w:color w:val="6E7072"/>
          <w:w w:val="115"/>
          <w:sz w:val="21"/>
        </w:rPr>
        <w:t>ing</w:t>
      </w:r>
      <w:r>
        <w:rPr>
          <w:b/>
          <w:color w:val="6E7072"/>
          <w:spacing w:val="20"/>
          <w:w w:val="115"/>
          <w:sz w:val="21"/>
        </w:rPr>
        <w:t> </w:t>
      </w:r>
      <w:r>
        <w:rPr>
          <w:b/>
          <w:color w:val="6E7072"/>
          <w:w w:val="115"/>
          <w:sz w:val="21"/>
        </w:rPr>
        <w:t>Sh</w:t>
      </w:r>
      <w:r>
        <w:rPr>
          <w:b/>
          <w:color w:val="545456"/>
          <w:w w:val="115"/>
          <w:sz w:val="21"/>
        </w:rPr>
        <w:t>ort</w:t>
      </w:r>
      <w:r>
        <w:rPr>
          <w:b/>
          <w:color w:val="545456"/>
          <w:spacing w:val="22"/>
          <w:w w:val="115"/>
          <w:sz w:val="21"/>
        </w:rPr>
        <w:t> </w:t>
      </w:r>
      <w:r>
        <w:rPr>
          <w:b/>
          <w:color w:val="545456"/>
          <w:w w:val="115"/>
          <w:sz w:val="21"/>
        </w:rPr>
        <w:t>Sentences</w:t>
      </w:r>
      <w:r>
        <w:rPr>
          <w:b/>
          <w:color w:val="545456"/>
          <w:spacing w:val="-12"/>
          <w:w w:val="115"/>
          <w:sz w:val="21"/>
        </w:rPr>
        <w:t> </w:t>
      </w:r>
      <w:r>
        <w:rPr>
          <w:b/>
          <w:color w:val="545456"/>
          <w:w w:val="115"/>
          <w:sz w:val="21"/>
        </w:rPr>
        <w:t>for</w:t>
      </w:r>
      <w:r>
        <w:rPr>
          <w:b/>
          <w:color w:val="545456"/>
          <w:spacing w:val="9"/>
          <w:w w:val="115"/>
          <w:sz w:val="21"/>
        </w:rPr>
        <w:t> </w:t>
      </w:r>
      <w:r>
        <w:rPr>
          <w:b/>
          <w:color w:val="545456"/>
          <w:w w:val="115"/>
          <w:sz w:val="21"/>
        </w:rPr>
        <w:t>Emphasis</w:t>
      </w:r>
    </w:p>
    <w:p>
      <w:pPr>
        <w:pStyle w:val="BodyText"/>
        <w:spacing w:line="235" w:lineRule="auto"/>
        <w:ind w:left="162" w:right="292" w:firstLine="312"/>
        <w:jc w:val="both"/>
      </w:pPr>
      <w:r>
        <w:rPr>
          <w:color w:val="383638"/>
          <w:w w:val="105"/>
        </w:rPr>
        <w:t>One guideline for s</w:t>
      </w:r>
      <w:r>
        <w:rPr>
          <w:color w:val="545456"/>
          <w:w w:val="105"/>
        </w:rPr>
        <w:t>e</w:t>
      </w:r>
      <w:r>
        <w:rPr>
          <w:color w:val="383638"/>
          <w:w w:val="105"/>
        </w:rPr>
        <w:t>ntence structure and length is the same for legal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writing as for any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kind of expository writing: Sentence variety is good.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One short sentence can be effective. More than two sh</w:t>
      </w:r>
      <w:r>
        <w:rPr>
          <w:color w:val="545456"/>
          <w:w w:val="105"/>
        </w:rPr>
        <w:t>o</w:t>
      </w:r>
      <w:r>
        <w:rPr>
          <w:color w:val="383638"/>
          <w:w w:val="105"/>
        </w:rPr>
        <w:t>rt </w:t>
      </w:r>
      <w:r>
        <w:rPr>
          <w:color w:val="545456"/>
          <w:w w:val="105"/>
        </w:rPr>
        <w:t>s</w:t>
      </w:r>
      <w:r>
        <w:rPr>
          <w:color w:val="383638"/>
          <w:w w:val="105"/>
        </w:rPr>
        <w:t>entence</w:t>
      </w:r>
      <w:r>
        <w:rPr>
          <w:color w:val="545456"/>
          <w:w w:val="105"/>
        </w:rPr>
        <w:t>s </w:t>
      </w:r>
      <w:r>
        <w:rPr>
          <w:color w:val="383638"/>
          <w:w w:val="105"/>
        </w:rPr>
        <w:t>are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not. Compare the two examples below</w:t>
      </w:r>
      <w:r>
        <w:rPr>
          <w:color w:val="545456"/>
          <w:w w:val="105"/>
        </w:rPr>
        <w:t>, </w:t>
      </w:r>
      <w:r>
        <w:rPr>
          <w:color w:val="383638"/>
          <w:w w:val="105"/>
        </w:rPr>
        <w:t>and notice the </w:t>
      </w:r>
      <w:r>
        <w:rPr>
          <w:color w:val="545456"/>
          <w:w w:val="105"/>
        </w:rPr>
        <w:t>i</w:t>
      </w:r>
      <w:r>
        <w:rPr>
          <w:color w:val="383638"/>
          <w:w w:val="105"/>
        </w:rPr>
        <w:t>m</w:t>
      </w:r>
      <w:r>
        <w:rPr>
          <w:color w:val="545456"/>
          <w:w w:val="105"/>
        </w:rPr>
        <w:t>p</w:t>
      </w:r>
      <w:r>
        <w:rPr>
          <w:color w:val="383638"/>
          <w:w w:val="105"/>
        </w:rPr>
        <w:t>act of a short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sentence and concrete language as compared to a long sentence and more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abstract</w:t>
      </w:r>
      <w:r>
        <w:rPr>
          <w:color w:val="383638"/>
          <w:spacing w:val="-3"/>
          <w:w w:val="105"/>
        </w:rPr>
        <w:t> </w:t>
      </w:r>
      <w:r>
        <w:rPr>
          <w:color w:val="383638"/>
          <w:w w:val="105"/>
        </w:rPr>
        <w:t>language:</w:t>
      </w:r>
    </w:p>
    <w:p>
      <w:pPr>
        <w:spacing w:line="235" w:lineRule="auto" w:before="110"/>
        <w:ind w:left="484" w:right="590" w:firstLine="0"/>
        <w:jc w:val="both"/>
        <w:rPr>
          <w:b/>
          <w:sz w:val="21"/>
        </w:rPr>
      </w:pPr>
      <w:r>
        <w:rPr>
          <w:b/>
          <w:color w:val="383638"/>
          <w:spacing w:val="-1"/>
          <w:w w:val="105"/>
          <w:sz w:val="21"/>
        </w:rPr>
        <w:t>Thus, society will be prepared to recognize </w:t>
      </w:r>
      <w:r>
        <w:rPr>
          <w:b/>
          <w:color w:val="383638"/>
          <w:w w:val="105"/>
          <w:sz w:val="21"/>
        </w:rPr>
        <w:t>Re</w:t>
      </w:r>
      <w:r>
        <w:rPr>
          <w:b/>
          <w:color w:val="545456"/>
          <w:w w:val="105"/>
          <w:sz w:val="21"/>
        </w:rPr>
        <w:t>s</w:t>
      </w:r>
      <w:r>
        <w:rPr>
          <w:b/>
          <w:color w:val="383638"/>
          <w:w w:val="105"/>
          <w:sz w:val="21"/>
        </w:rPr>
        <w:t>pondents' expe</w:t>
      </w:r>
      <w:r>
        <w:rPr>
          <w:b/>
          <w:color w:val="545456"/>
          <w:w w:val="105"/>
          <w:sz w:val="21"/>
        </w:rPr>
        <w:t>c</w:t>
      </w:r>
      <w:r>
        <w:rPr>
          <w:b/>
          <w:color w:val="383638"/>
          <w:w w:val="105"/>
          <w:sz w:val="21"/>
        </w:rPr>
        <w:t>tation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of privacy in Thompson's apartment as reasonable only </w:t>
      </w:r>
      <w:r>
        <w:rPr>
          <w:color w:val="383638"/>
          <w:w w:val="105"/>
          <w:sz w:val="19"/>
        </w:rPr>
        <w:t>if </w:t>
      </w:r>
      <w:r>
        <w:rPr>
          <w:b/>
          <w:color w:val="383638"/>
          <w:w w:val="105"/>
          <w:sz w:val="21"/>
        </w:rPr>
        <w:t>they were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present on the premises for a purpose society deems permissible and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valuable. R</w:t>
      </w:r>
      <w:r>
        <w:rPr>
          <w:b/>
          <w:color w:val="545456"/>
          <w:w w:val="105"/>
          <w:sz w:val="21"/>
        </w:rPr>
        <w:t>es</w:t>
      </w:r>
      <w:r>
        <w:rPr>
          <w:b/>
          <w:color w:val="383638"/>
          <w:w w:val="105"/>
          <w:sz w:val="21"/>
        </w:rPr>
        <w:t>pondents, who introduced no evidence that they were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anything</w:t>
      </w:r>
      <w:r>
        <w:rPr>
          <w:b/>
          <w:color w:val="383638"/>
          <w:spacing w:val="-3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other</w:t>
      </w:r>
      <w:r>
        <w:rPr>
          <w:b/>
          <w:color w:val="383638"/>
          <w:spacing w:val="-7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than</w:t>
      </w:r>
      <w:r>
        <w:rPr>
          <w:b/>
          <w:color w:val="383638"/>
          <w:spacing w:val="-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temporary,</w:t>
      </w:r>
      <w:r>
        <w:rPr>
          <w:b/>
          <w:color w:val="383638"/>
          <w:spacing w:val="19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transient</w:t>
      </w:r>
      <w:r>
        <w:rPr>
          <w:b/>
          <w:color w:val="383638"/>
          <w:spacing w:val="6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visitors</w:t>
      </w:r>
      <w:r>
        <w:rPr>
          <w:b/>
          <w:color w:val="383638"/>
          <w:spacing w:val="-12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on</w:t>
      </w:r>
      <w:r>
        <w:rPr>
          <w:b/>
          <w:color w:val="383638"/>
          <w:spacing w:val="2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the</w:t>
      </w:r>
      <w:r>
        <w:rPr>
          <w:b/>
          <w:color w:val="383638"/>
          <w:spacing w:val="16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premises</w:t>
      </w:r>
      <w:r>
        <w:rPr>
          <w:b/>
          <w:color w:val="383638"/>
          <w:spacing w:val="-8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for</w:t>
      </w:r>
    </w:p>
    <w:p>
      <w:pPr>
        <w:spacing w:after="0" w:line="235" w:lineRule="auto"/>
        <w:jc w:val="both"/>
        <w:rPr>
          <w:sz w:val="21"/>
        </w:rPr>
        <w:sectPr>
          <w:pgSz w:w="9160" w:h="13990"/>
          <w:pgMar w:header="592" w:footer="0" w:top="800" w:bottom="280" w:left="280" w:right="1260"/>
        </w:sectPr>
      </w:pPr>
    </w:p>
    <w:p>
      <w:pPr>
        <w:spacing w:line="235" w:lineRule="auto" w:before="85"/>
        <w:ind w:left="1097" w:right="401" w:firstLine="17"/>
        <w:jc w:val="both"/>
        <w:rPr>
          <w:sz w:val="21"/>
        </w:rPr>
      </w:pPr>
      <w:r>
        <w:rPr>
          <w:color w:val="383436"/>
          <w:w w:val="115"/>
          <w:sz w:val="21"/>
        </w:rPr>
        <w:t>the sole purpose of conducting illegal business, simply do not belong</w:t>
      </w:r>
      <w:r>
        <w:rPr>
          <w:color w:val="383436"/>
          <w:spacing w:val="-58"/>
          <w:w w:val="115"/>
          <w:sz w:val="21"/>
        </w:rPr>
        <w:t> </w:t>
      </w:r>
      <w:r>
        <w:rPr>
          <w:color w:val="383436"/>
          <w:w w:val="115"/>
          <w:sz w:val="21"/>
        </w:rPr>
        <w:t>to the class of individuals who have an expectation of privacy that</w:t>
      </w:r>
      <w:r>
        <w:rPr>
          <w:color w:val="383436"/>
          <w:spacing w:val="1"/>
          <w:w w:val="115"/>
          <w:sz w:val="21"/>
        </w:rPr>
        <w:t> </w:t>
      </w:r>
      <w:r>
        <w:rPr>
          <w:color w:val="383436"/>
          <w:w w:val="115"/>
          <w:sz w:val="21"/>
        </w:rPr>
        <w:t>society</w:t>
      </w:r>
      <w:r>
        <w:rPr>
          <w:color w:val="383436"/>
          <w:spacing w:val="-12"/>
          <w:w w:val="115"/>
          <w:sz w:val="21"/>
        </w:rPr>
        <w:t> </w:t>
      </w:r>
      <w:r>
        <w:rPr>
          <w:color w:val="383436"/>
          <w:w w:val="115"/>
          <w:sz w:val="21"/>
        </w:rPr>
        <w:t>is</w:t>
      </w:r>
      <w:r>
        <w:rPr>
          <w:color w:val="383436"/>
          <w:spacing w:val="-13"/>
          <w:w w:val="115"/>
          <w:sz w:val="21"/>
        </w:rPr>
        <w:t> </w:t>
      </w:r>
      <w:r>
        <w:rPr>
          <w:color w:val="383436"/>
          <w:w w:val="115"/>
          <w:sz w:val="21"/>
        </w:rPr>
        <w:t>prepared</w:t>
      </w:r>
      <w:r>
        <w:rPr>
          <w:color w:val="383436"/>
          <w:spacing w:val="4"/>
          <w:w w:val="115"/>
          <w:sz w:val="21"/>
        </w:rPr>
        <w:t> </w:t>
      </w:r>
      <w:r>
        <w:rPr>
          <w:color w:val="383436"/>
          <w:w w:val="115"/>
          <w:sz w:val="21"/>
        </w:rPr>
        <w:t>to</w:t>
      </w:r>
      <w:r>
        <w:rPr>
          <w:color w:val="383436"/>
          <w:spacing w:val="12"/>
          <w:w w:val="115"/>
          <w:sz w:val="21"/>
        </w:rPr>
        <w:t> </w:t>
      </w:r>
      <w:r>
        <w:rPr>
          <w:color w:val="383436"/>
          <w:w w:val="115"/>
          <w:sz w:val="21"/>
        </w:rPr>
        <w:t>recognize</w:t>
      </w:r>
      <w:r>
        <w:rPr>
          <w:color w:val="383436"/>
          <w:spacing w:val="-10"/>
          <w:w w:val="115"/>
          <w:sz w:val="21"/>
        </w:rPr>
        <w:t> </w:t>
      </w:r>
      <w:r>
        <w:rPr>
          <w:color w:val="383436"/>
          <w:w w:val="115"/>
          <w:sz w:val="21"/>
        </w:rPr>
        <w:t>as</w:t>
      </w:r>
      <w:r>
        <w:rPr>
          <w:color w:val="383436"/>
          <w:spacing w:val="-3"/>
          <w:w w:val="115"/>
          <w:sz w:val="21"/>
        </w:rPr>
        <w:t> </w:t>
      </w:r>
      <w:r>
        <w:rPr>
          <w:color w:val="383436"/>
          <w:w w:val="115"/>
          <w:sz w:val="21"/>
        </w:rPr>
        <w:t>reasonable.</w:t>
      </w:r>
    </w:p>
    <w:p>
      <w:pPr>
        <w:spacing w:line="235" w:lineRule="auto" w:before="138"/>
        <w:ind w:left="1086" w:right="405" w:hanging="5"/>
        <w:jc w:val="both"/>
        <w:rPr>
          <w:sz w:val="21"/>
        </w:rPr>
      </w:pPr>
      <w:r>
        <w:rPr>
          <w:color w:val="383436"/>
          <w:w w:val="115"/>
          <w:sz w:val="21"/>
        </w:rPr>
        <w:t>Thus, society </w:t>
      </w:r>
      <w:r>
        <w:rPr>
          <w:color w:val="383436"/>
          <w:w w:val="115"/>
          <w:sz w:val="20"/>
        </w:rPr>
        <w:t>will </w:t>
      </w:r>
      <w:r>
        <w:rPr>
          <w:color w:val="383436"/>
          <w:w w:val="115"/>
          <w:sz w:val="21"/>
        </w:rPr>
        <w:t>be prepared to recognize Respondents' expectation</w:t>
      </w:r>
      <w:r>
        <w:rPr>
          <w:color w:val="383436"/>
          <w:spacing w:val="1"/>
          <w:w w:val="115"/>
          <w:sz w:val="21"/>
        </w:rPr>
        <w:t> </w:t>
      </w:r>
      <w:r>
        <w:rPr>
          <w:color w:val="383436"/>
          <w:w w:val="115"/>
          <w:sz w:val="21"/>
        </w:rPr>
        <w:t>of privacy in Thompson's apartment as reasonable only if they were</w:t>
      </w:r>
      <w:r>
        <w:rPr>
          <w:color w:val="383436"/>
          <w:spacing w:val="1"/>
          <w:w w:val="115"/>
          <w:sz w:val="21"/>
        </w:rPr>
        <w:t> </w:t>
      </w:r>
      <w:r>
        <w:rPr>
          <w:color w:val="383436"/>
          <w:w w:val="115"/>
          <w:sz w:val="21"/>
        </w:rPr>
        <w:t>present on the premises for a purpose society deems permissible and</w:t>
      </w:r>
      <w:r>
        <w:rPr>
          <w:color w:val="383436"/>
          <w:spacing w:val="1"/>
          <w:w w:val="115"/>
          <w:sz w:val="21"/>
        </w:rPr>
        <w:t> </w:t>
      </w:r>
      <w:r>
        <w:rPr>
          <w:color w:val="383436"/>
          <w:w w:val="115"/>
          <w:sz w:val="21"/>
        </w:rPr>
        <w:t>valuable. Respondents were there to bag cocaine. They simply do not</w:t>
      </w:r>
      <w:r>
        <w:rPr>
          <w:color w:val="383436"/>
          <w:spacing w:val="-58"/>
          <w:w w:val="115"/>
          <w:sz w:val="21"/>
        </w:rPr>
        <w:t> </w:t>
      </w:r>
      <w:r>
        <w:rPr>
          <w:color w:val="383436"/>
          <w:w w:val="115"/>
          <w:sz w:val="21"/>
        </w:rPr>
        <w:t>belong to the class of individuals who have an expectation of privacy</w:t>
      </w:r>
      <w:r>
        <w:rPr>
          <w:color w:val="383436"/>
          <w:spacing w:val="-58"/>
          <w:w w:val="115"/>
          <w:sz w:val="21"/>
        </w:rPr>
        <w:t> </w:t>
      </w:r>
      <w:r>
        <w:rPr>
          <w:color w:val="383436"/>
          <w:spacing w:val="-1"/>
          <w:w w:val="115"/>
          <w:sz w:val="21"/>
        </w:rPr>
        <w:t>that</w:t>
      </w:r>
      <w:r>
        <w:rPr>
          <w:color w:val="383436"/>
          <w:spacing w:val="-17"/>
          <w:w w:val="115"/>
          <w:sz w:val="21"/>
        </w:rPr>
        <w:t> </w:t>
      </w:r>
      <w:r>
        <w:rPr>
          <w:color w:val="383436"/>
          <w:spacing w:val="-1"/>
          <w:w w:val="115"/>
          <w:sz w:val="21"/>
        </w:rPr>
        <w:t>society</w:t>
      </w:r>
      <w:r>
        <w:rPr>
          <w:color w:val="383436"/>
          <w:spacing w:val="1"/>
          <w:w w:val="115"/>
          <w:sz w:val="21"/>
        </w:rPr>
        <w:t> </w:t>
      </w:r>
      <w:r>
        <w:rPr>
          <w:color w:val="383436"/>
          <w:w w:val="115"/>
          <w:sz w:val="21"/>
        </w:rPr>
        <w:t>is</w:t>
      </w:r>
      <w:r>
        <w:rPr>
          <w:color w:val="383436"/>
          <w:spacing w:val="-10"/>
          <w:w w:val="115"/>
          <w:sz w:val="21"/>
        </w:rPr>
        <w:t> </w:t>
      </w:r>
      <w:r>
        <w:rPr>
          <w:color w:val="383436"/>
          <w:w w:val="115"/>
          <w:sz w:val="21"/>
        </w:rPr>
        <w:t>prepared</w:t>
      </w:r>
      <w:r>
        <w:rPr>
          <w:color w:val="383436"/>
          <w:spacing w:val="13"/>
          <w:w w:val="115"/>
          <w:sz w:val="21"/>
        </w:rPr>
        <w:t> </w:t>
      </w:r>
      <w:r>
        <w:rPr>
          <w:color w:val="383436"/>
          <w:w w:val="115"/>
          <w:sz w:val="21"/>
        </w:rPr>
        <w:t>to</w:t>
      </w:r>
      <w:r>
        <w:rPr>
          <w:color w:val="383436"/>
          <w:spacing w:val="2"/>
          <w:w w:val="115"/>
          <w:sz w:val="21"/>
        </w:rPr>
        <w:t> </w:t>
      </w:r>
      <w:r>
        <w:rPr>
          <w:color w:val="383436"/>
          <w:w w:val="115"/>
          <w:sz w:val="21"/>
        </w:rPr>
        <w:t>recognize</w:t>
      </w:r>
      <w:r>
        <w:rPr>
          <w:color w:val="383436"/>
          <w:spacing w:val="-9"/>
          <w:w w:val="115"/>
          <w:sz w:val="21"/>
        </w:rPr>
        <w:t> </w:t>
      </w:r>
      <w:r>
        <w:rPr>
          <w:color w:val="383436"/>
          <w:w w:val="115"/>
          <w:sz w:val="21"/>
        </w:rPr>
        <w:t>as</w:t>
      </w:r>
      <w:r>
        <w:rPr>
          <w:color w:val="383436"/>
          <w:spacing w:val="7"/>
          <w:w w:val="115"/>
          <w:sz w:val="21"/>
        </w:rPr>
        <w:t> </w:t>
      </w:r>
      <w:r>
        <w:rPr>
          <w:color w:val="383436"/>
          <w:w w:val="115"/>
          <w:sz w:val="21"/>
        </w:rPr>
        <w:t>reasonable</w:t>
      </w:r>
      <w:r>
        <w:rPr>
          <w:color w:val="595759"/>
          <w:w w:val="115"/>
          <w:sz w:val="21"/>
        </w:rPr>
        <w:t>.</w:t>
      </w:r>
    </w:p>
    <w:p>
      <w:pPr>
        <w:pStyle w:val="BodyText"/>
        <w:spacing w:line="235" w:lineRule="auto" w:before="141"/>
        <w:ind w:left="710" w:hanging="5"/>
      </w:pPr>
      <w:r>
        <w:rPr>
          <w:color w:val="383436"/>
          <w:w w:val="110"/>
        </w:rPr>
        <w:t>To</w:t>
      </w:r>
      <w:r>
        <w:rPr>
          <w:color w:val="383436"/>
          <w:spacing w:val="-9"/>
          <w:w w:val="110"/>
        </w:rPr>
        <w:t> </w:t>
      </w:r>
      <w:r>
        <w:rPr>
          <w:color w:val="383436"/>
          <w:w w:val="110"/>
        </w:rPr>
        <w:t>make</w:t>
      </w:r>
      <w:r>
        <w:rPr>
          <w:color w:val="383436"/>
          <w:spacing w:val="-2"/>
          <w:w w:val="110"/>
        </w:rPr>
        <w:t> </w:t>
      </w:r>
      <w:r>
        <w:rPr>
          <w:color w:val="383436"/>
          <w:w w:val="110"/>
        </w:rPr>
        <w:t>the</w:t>
      </w:r>
      <w:r>
        <w:rPr>
          <w:color w:val="383436"/>
          <w:spacing w:val="36"/>
          <w:w w:val="110"/>
        </w:rPr>
        <w:t> </w:t>
      </w:r>
      <w:r>
        <w:rPr>
          <w:color w:val="383436"/>
          <w:w w:val="110"/>
        </w:rPr>
        <w:t>point</w:t>
      </w:r>
      <w:r>
        <w:rPr>
          <w:color w:val="383436"/>
          <w:spacing w:val="2"/>
          <w:w w:val="110"/>
        </w:rPr>
        <w:t> </w:t>
      </w:r>
      <w:r>
        <w:rPr>
          <w:color w:val="383436"/>
          <w:w w:val="110"/>
        </w:rPr>
        <w:t>even</w:t>
      </w:r>
      <w:r>
        <w:rPr>
          <w:color w:val="383436"/>
          <w:spacing w:val="4"/>
          <w:w w:val="110"/>
        </w:rPr>
        <w:t> </w:t>
      </w:r>
      <w:r>
        <w:rPr>
          <w:color w:val="383436"/>
          <w:w w:val="110"/>
        </w:rPr>
        <w:t>more</w:t>
      </w:r>
      <w:r>
        <w:rPr>
          <w:color w:val="383436"/>
          <w:spacing w:val="-10"/>
          <w:w w:val="110"/>
        </w:rPr>
        <w:t> </w:t>
      </w:r>
      <w:r>
        <w:rPr>
          <w:color w:val="383436"/>
          <w:w w:val="110"/>
        </w:rPr>
        <w:t>emphatic,</w:t>
      </w:r>
      <w:r>
        <w:rPr>
          <w:color w:val="383436"/>
          <w:spacing w:val="20"/>
          <w:w w:val="110"/>
        </w:rPr>
        <w:t> </w:t>
      </w:r>
      <w:r>
        <w:rPr>
          <w:color w:val="383436"/>
          <w:w w:val="110"/>
        </w:rPr>
        <w:t>put</w:t>
      </w:r>
      <w:r>
        <w:rPr>
          <w:color w:val="383436"/>
          <w:spacing w:val="19"/>
          <w:w w:val="110"/>
        </w:rPr>
        <w:t> </w:t>
      </w:r>
      <w:r>
        <w:rPr>
          <w:color w:val="383436"/>
          <w:w w:val="110"/>
        </w:rPr>
        <w:t>the</w:t>
      </w:r>
      <w:r>
        <w:rPr>
          <w:color w:val="383436"/>
          <w:spacing w:val="9"/>
          <w:w w:val="110"/>
        </w:rPr>
        <w:t> </w:t>
      </w:r>
      <w:r>
        <w:rPr>
          <w:color w:val="383436"/>
          <w:w w:val="110"/>
        </w:rPr>
        <w:t>short</w:t>
      </w:r>
      <w:r>
        <w:rPr>
          <w:color w:val="383436"/>
          <w:spacing w:val="-8"/>
          <w:w w:val="110"/>
        </w:rPr>
        <w:t> </w:t>
      </w:r>
      <w:r>
        <w:rPr>
          <w:color w:val="383436"/>
          <w:w w:val="110"/>
        </w:rPr>
        <w:t>sentence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in</w:t>
      </w:r>
      <w:r>
        <w:rPr>
          <w:color w:val="383436"/>
          <w:spacing w:val="6"/>
          <w:w w:val="110"/>
        </w:rPr>
        <w:t> </w:t>
      </w:r>
      <w:r>
        <w:rPr>
          <w:color w:val="383436"/>
          <w:w w:val="110"/>
        </w:rPr>
        <w:t>a</w:t>
      </w:r>
      <w:r>
        <w:rPr>
          <w:color w:val="383436"/>
          <w:spacing w:val="-3"/>
          <w:w w:val="110"/>
        </w:rPr>
        <w:t> </w:t>
      </w:r>
      <w:r>
        <w:rPr>
          <w:color w:val="383436"/>
          <w:w w:val="110"/>
        </w:rPr>
        <w:t>posi­</w:t>
      </w:r>
      <w:r>
        <w:rPr>
          <w:color w:val="383436"/>
          <w:spacing w:val="-61"/>
          <w:w w:val="110"/>
        </w:rPr>
        <w:t> </w:t>
      </w:r>
      <w:r>
        <w:rPr>
          <w:color w:val="383436"/>
          <w:w w:val="110"/>
        </w:rPr>
        <w:t>tion</w:t>
      </w:r>
      <w:r>
        <w:rPr>
          <w:color w:val="383436"/>
          <w:spacing w:val="-20"/>
          <w:w w:val="110"/>
        </w:rPr>
        <w:t> </w:t>
      </w:r>
      <w:r>
        <w:rPr>
          <w:color w:val="383436"/>
          <w:w w:val="110"/>
        </w:rPr>
        <w:t>of</w:t>
      </w:r>
      <w:r>
        <w:rPr>
          <w:color w:val="383436"/>
          <w:spacing w:val="-6"/>
          <w:w w:val="110"/>
        </w:rPr>
        <w:t> </w:t>
      </w:r>
      <w:r>
        <w:rPr>
          <w:color w:val="383436"/>
          <w:w w:val="110"/>
        </w:rPr>
        <w:t>emphasis</w:t>
      </w:r>
      <w:r>
        <w:rPr>
          <w:color w:val="383436"/>
          <w:spacing w:val="-4"/>
          <w:w w:val="110"/>
        </w:rPr>
        <w:t> </w:t>
      </w:r>
      <w:r>
        <w:rPr>
          <w:color w:val="383436"/>
          <w:w w:val="110"/>
        </w:rPr>
        <w:t>at</w:t>
      </w:r>
      <w:r>
        <w:rPr>
          <w:color w:val="383436"/>
          <w:spacing w:val="19"/>
          <w:w w:val="110"/>
        </w:rPr>
        <w:t> </w:t>
      </w:r>
      <w:r>
        <w:rPr>
          <w:color w:val="383436"/>
          <w:w w:val="110"/>
        </w:rPr>
        <w:t>the</w:t>
      </w:r>
      <w:r>
        <w:rPr>
          <w:color w:val="383436"/>
          <w:spacing w:val="15"/>
          <w:w w:val="110"/>
        </w:rPr>
        <w:t> </w:t>
      </w:r>
      <w:r>
        <w:rPr>
          <w:color w:val="383436"/>
          <w:w w:val="110"/>
        </w:rPr>
        <w:t>end</w:t>
      </w:r>
      <w:r>
        <w:rPr>
          <w:color w:val="383436"/>
          <w:spacing w:val="15"/>
          <w:w w:val="110"/>
        </w:rPr>
        <w:t> </w:t>
      </w:r>
      <w:r>
        <w:rPr>
          <w:color w:val="383436"/>
          <w:w w:val="110"/>
        </w:rPr>
        <w:t>of</w:t>
      </w:r>
      <w:r>
        <w:rPr>
          <w:color w:val="383436"/>
          <w:spacing w:val="-4"/>
          <w:w w:val="110"/>
        </w:rPr>
        <w:t> </w:t>
      </w:r>
      <w:r>
        <w:rPr>
          <w:color w:val="383436"/>
          <w:w w:val="110"/>
        </w:rPr>
        <w:t>a</w:t>
      </w:r>
      <w:r>
        <w:rPr>
          <w:color w:val="383436"/>
          <w:spacing w:val="7"/>
          <w:w w:val="110"/>
        </w:rPr>
        <w:t> </w:t>
      </w:r>
      <w:r>
        <w:rPr>
          <w:color w:val="383436"/>
          <w:w w:val="110"/>
        </w:rPr>
        <w:t>paragraph:</w:t>
      </w:r>
    </w:p>
    <w:p>
      <w:pPr>
        <w:spacing w:line="235" w:lineRule="auto" w:before="136"/>
        <w:ind w:left="1048" w:right="425" w:firstLine="5"/>
        <w:jc w:val="both"/>
        <w:rPr>
          <w:sz w:val="21"/>
        </w:rPr>
      </w:pPr>
      <w:r>
        <w:rPr>
          <w:color w:val="383436"/>
          <w:spacing w:val="-1"/>
          <w:w w:val="115"/>
          <w:sz w:val="21"/>
        </w:rPr>
        <w:t>Thus</w:t>
      </w:r>
      <w:r>
        <w:rPr>
          <w:color w:val="595759"/>
          <w:spacing w:val="-1"/>
          <w:w w:val="115"/>
          <w:sz w:val="21"/>
        </w:rPr>
        <w:t>, </w:t>
      </w:r>
      <w:r>
        <w:rPr>
          <w:color w:val="383436"/>
          <w:w w:val="115"/>
          <w:sz w:val="21"/>
        </w:rPr>
        <w:t>society will be prepared to recognize Respondents' expectation</w:t>
      </w:r>
      <w:r>
        <w:rPr>
          <w:color w:val="383436"/>
          <w:spacing w:val="1"/>
          <w:w w:val="115"/>
          <w:sz w:val="21"/>
        </w:rPr>
        <w:t> </w:t>
      </w:r>
      <w:r>
        <w:rPr>
          <w:color w:val="383436"/>
          <w:w w:val="115"/>
          <w:sz w:val="21"/>
        </w:rPr>
        <w:t>of privacy in Thompson's apartment as reasonable only </w:t>
      </w:r>
      <w:r>
        <w:rPr>
          <w:color w:val="383436"/>
          <w:w w:val="115"/>
          <w:sz w:val="20"/>
        </w:rPr>
        <w:t>if </w:t>
      </w:r>
      <w:r>
        <w:rPr>
          <w:color w:val="383436"/>
          <w:w w:val="115"/>
          <w:sz w:val="21"/>
        </w:rPr>
        <w:t>they were</w:t>
      </w:r>
      <w:r>
        <w:rPr>
          <w:color w:val="383436"/>
          <w:spacing w:val="1"/>
          <w:w w:val="115"/>
          <w:sz w:val="21"/>
        </w:rPr>
        <w:t> </w:t>
      </w:r>
      <w:r>
        <w:rPr>
          <w:color w:val="383436"/>
          <w:w w:val="115"/>
          <w:sz w:val="21"/>
        </w:rPr>
        <w:t>present on the premises for a purpose society deems permissible and</w:t>
      </w:r>
      <w:r>
        <w:rPr>
          <w:color w:val="383436"/>
          <w:spacing w:val="1"/>
          <w:w w:val="115"/>
          <w:sz w:val="21"/>
        </w:rPr>
        <w:t> </w:t>
      </w:r>
      <w:r>
        <w:rPr>
          <w:color w:val="383436"/>
          <w:w w:val="115"/>
          <w:sz w:val="21"/>
        </w:rPr>
        <w:t>valuable.</w:t>
      </w:r>
      <w:r>
        <w:rPr>
          <w:color w:val="383436"/>
          <w:spacing w:val="-11"/>
          <w:w w:val="115"/>
          <w:sz w:val="21"/>
        </w:rPr>
        <w:t> </w:t>
      </w:r>
      <w:r>
        <w:rPr>
          <w:color w:val="383436"/>
          <w:w w:val="115"/>
          <w:sz w:val="21"/>
        </w:rPr>
        <w:t>Respondents</w:t>
      </w:r>
      <w:r>
        <w:rPr>
          <w:color w:val="383436"/>
          <w:spacing w:val="-2"/>
          <w:w w:val="115"/>
          <w:sz w:val="21"/>
        </w:rPr>
        <w:t> </w:t>
      </w:r>
      <w:r>
        <w:rPr>
          <w:color w:val="383436"/>
          <w:w w:val="115"/>
          <w:sz w:val="21"/>
        </w:rPr>
        <w:t>were</w:t>
      </w:r>
      <w:r>
        <w:rPr>
          <w:color w:val="383436"/>
          <w:spacing w:val="-11"/>
          <w:w w:val="115"/>
          <w:sz w:val="21"/>
        </w:rPr>
        <w:t> </w:t>
      </w:r>
      <w:r>
        <w:rPr>
          <w:color w:val="383436"/>
          <w:w w:val="115"/>
          <w:sz w:val="21"/>
        </w:rPr>
        <w:t>there</w:t>
      </w:r>
      <w:r>
        <w:rPr>
          <w:color w:val="383436"/>
          <w:spacing w:val="-13"/>
          <w:w w:val="115"/>
          <w:sz w:val="21"/>
        </w:rPr>
        <w:t> </w:t>
      </w:r>
      <w:r>
        <w:rPr>
          <w:color w:val="383436"/>
          <w:w w:val="115"/>
          <w:sz w:val="21"/>
        </w:rPr>
        <w:t>to</w:t>
      </w:r>
      <w:r>
        <w:rPr>
          <w:color w:val="383436"/>
          <w:spacing w:val="4"/>
          <w:w w:val="115"/>
          <w:sz w:val="21"/>
        </w:rPr>
        <w:t> </w:t>
      </w:r>
      <w:r>
        <w:rPr>
          <w:color w:val="383436"/>
          <w:w w:val="115"/>
          <w:sz w:val="21"/>
        </w:rPr>
        <w:t>bag</w:t>
      </w:r>
      <w:r>
        <w:rPr>
          <w:color w:val="383436"/>
          <w:spacing w:val="-35"/>
          <w:w w:val="115"/>
          <w:sz w:val="21"/>
        </w:rPr>
        <w:t> </w:t>
      </w:r>
      <w:r>
        <w:rPr>
          <w:color w:val="383436"/>
          <w:w w:val="115"/>
          <w:sz w:val="21"/>
        </w:rPr>
        <w:t>cocaine.</w:t>
      </w:r>
    </w:p>
    <w:p>
      <w:pPr>
        <w:pStyle w:val="BodyText"/>
        <w:spacing w:line="235" w:lineRule="auto" w:before="142"/>
        <w:ind w:left="671" w:firstLine="10"/>
      </w:pPr>
      <w:r>
        <w:rPr>
          <w:color w:val="383436"/>
          <w:w w:val="110"/>
        </w:rPr>
        <w:t>Use this persuasive technique with care. If you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use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too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many short sen­</w:t>
      </w:r>
      <w:r>
        <w:rPr>
          <w:color w:val="383436"/>
          <w:spacing w:val="-61"/>
          <w:w w:val="110"/>
        </w:rPr>
        <w:t> </w:t>
      </w:r>
      <w:r>
        <w:rPr>
          <w:color w:val="383436"/>
          <w:w w:val="110"/>
        </w:rPr>
        <w:t>tences</w:t>
      </w:r>
      <w:r>
        <w:rPr>
          <w:color w:val="383436"/>
          <w:spacing w:val="-20"/>
          <w:w w:val="110"/>
        </w:rPr>
        <w:t> </w:t>
      </w:r>
      <w:r>
        <w:rPr>
          <w:color w:val="383436"/>
          <w:w w:val="110"/>
        </w:rPr>
        <w:t>in</w:t>
      </w:r>
      <w:r>
        <w:rPr>
          <w:color w:val="383436"/>
          <w:spacing w:val="21"/>
          <w:w w:val="110"/>
        </w:rPr>
        <w:t> </w:t>
      </w:r>
      <w:r>
        <w:rPr>
          <w:color w:val="383436"/>
          <w:w w:val="110"/>
        </w:rPr>
        <w:t>your</w:t>
      </w:r>
      <w:r>
        <w:rPr>
          <w:color w:val="383436"/>
          <w:spacing w:val="-11"/>
          <w:w w:val="110"/>
        </w:rPr>
        <w:t> </w:t>
      </w:r>
      <w:r>
        <w:rPr>
          <w:color w:val="383436"/>
          <w:w w:val="110"/>
        </w:rPr>
        <w:t>document,</w:t>
      </w:r>
      <w:r>
        <w:rPr>
          <w:color w:val="383436"/>
          <w:spacing w:val="18"/>
          <w:w w:val="110"/>
        </w:rPr>
        <w:t> </w:t>
      </w:r>
      <w:r>
        <w:rPr>
          <w:color w:val="383436"/>
          <w:w w:val="110"/>
        </w:rPr>
        <w:t>they</w:t>
      </w:r>
      <w:r>
        <w:rPr>
          <w:color w:val="383436"/>
          <w:spacing w:val="-10"/>
          <w:w w:val="110"/>
        </w:rPr>
        <w:t> </w:t>
      </w:r>
      <w:r>
        <w:rPr>
          <w:color w:val="383436"/>
          <w:w w:val="110"/>
        </w:rPr>
        <w:t>will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lose</w:t>
      </w:r>
      <w:r>
        <w:rPr>
          <w:color w:val="383436"/>
          <w:spacing w:val="-15"/>
          <w:w w:val="110"/>
        </w:rPr>
        <w:t> </w:t>
      </w:r>
      <w:r>
        <w:rPr>
          <w:color w:val="383436"/>
          <w:w w:val="110"/>
        </w:rPr>
        <w:t>their</w:t>
      </w:r>
      <w:r>
        <w:rPr>
          <w:color w:val="383436"/>
          <w:spacing w:val="-11"/>
          <w:w w:val="110"/>
        </w:rPr>
        <w:t> </w:t>
      </w:r>
      <w:r>
        <w:rPr>
          <w:color w:val="383436"/>
          <w:w w:val="110"/>
        </w:rPr>
        <w:t>dramatic</w:t>
      </w:r>
      <w:r>
        <w:rPr>
          <w:color w:val="383436"/>
          <w:spacing w:val="-8"/>
          <w:w w:val="110"/>
        </w:rPr>
        <w:t> </w:t>
      </w:r>
      <w:r>
        <w:rPr>
          <w:color w:val="383436"/>
          <w:w w:val="110"/>
        </w:rPr>
        <w:t>effect.</w:t>
      </w:r>
    </w:p>
    <w:p>
      <w:pPr>
        <w:pStyle w:val="BodyText"/>
        <w:spacing w:before="4"/>
        <w:rPr>
          <w:sz w:val="33"/>
        </w:rPr>
      </w:pPr>
    </w:p>
    <w:p>
      <w:pPr>
        <w:spacing w:before="0"/>
        <w:ind w:left="1018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83436"/>
          <w:w w:val="105"/>
          <w:sz w:val="28"/>
        </w:rPr>
        <w:t>11.4.5</w:t>
      </w:r>
    </w:p>
    <w:p>
      <w:pPr>
        <w:spacing w:before="61"/>
        <w:ind w:left="1004" w:right="0" w:firstLine="0"/>
        <w:jc w:val="left"/>
        <w:rPr>
          <w:rFonts w:ascii="Arial"/>
          <w:sz w:val="21"/>
        </w:rPr>
      </w:pPr>
      <w:r>
        <w:rPr>
          <w:rFonts w:ascii="Arial"/>
          <w:color w:val="383436"/>
          <w:w w:val="105"/>
          <w:sz w:val="21"/>
        </w:rPr>
        <w:t>EFFECTIVE</w:t>
      </w:r>
      <w:r>
        <w:rPr>
          <w:rFonts w:ascii="Arial"/>
          <w:color w:val="383436"/>
          <w:spacing w:val="10"/>
          <w:w w:val="105"/>
          <w:sz w:val="21"/>
        </w:rPr>
        <w:t> </w:t>
      </w:r>
      <w:r>
        <w:rPr>
          <w:rFonts w:ascii="Arial"/>
          <w:color w:val="383436"/>
          <w:w w:val="105"/>
          <w:sz w:val="21"/>
        </w:rPr>
        <w:t>WORD</w:t>
      </w:r>
      <w:r>
        <w:rPr>
          <w:rFonts w:ascii="Arial"/>
          <w:color w:val="383436"/>
          <w:spacing w:val="10"/>
          <w:w w:val="105"/>
          <w:sz w:val="21"/>
        </w:rPr>
        <w:t> </w:t>
      </w:r>
      <w:r>
        <w:rPr>
          <w:rFonts w:ascii="Arial"/>
          <w:color w:val="383436"/>
          <w:w w:val="105"/>
          <w:sz w:val="21"/>
        </w:rPr>
        <w:t>CHOICE</w:t>
      </w:r>
    </w:p>
    <w:p>
      <w:pPr>
        <w:pStyle w:val="BodyText"/>
        <w:spacing w:line="232" w:lineRule="auto" w:before="162"/>
        <w:ind w:left="608" w:right="121" w:firstLine="400"/>
        <w:jc w:val="both"/>
      </w:pPr>
      <w:r>
        <w:rPr>
          <w:color w:val="383436"/>
          <w:w w:val="110"/>
        </w:rPr>
        <w:t>When it comes to word choice, the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effective advocate must make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decisions carefully. Certainly, it makes sense to choose words that have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connotations that are more positive for your client's side. Think in terms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of "claimed" instead of "stated," or "admitted" instead of "said." Once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again, however, you must take care. It is easy to push this method into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ridiculousness:</w:t>
      </w:r>
    </w:p>
    <w:p>
      <w:pPr>
        <w:spacing w:before="111"/>
        <w:ind w:left="553" w:right="0" w:firstLine="0"/>
        <w:jc w:val="left"/>
        <w:rPr>
          <w:sz w:val="16"/>
        </w:rPr>
      </w:pPr>
      <w:r>
        <w:rPr>
          <w:color w:val="383436"/>
          <w:w w:val="90"/>
          <w:sz w:val="25"/>
          <w:u w:val="thick" w:color="595759"/>
        </w:rPr>
        <w:t>J,,</w:t>
      </w:r>
      <w:r>
        <w:rPr>
          <w:color w:val="595759"/>
          <w:w w:val="90"/>
          <w:sz w:val="25"/>
          <w:u w:val="thick" w:color="595759"/>
        </w:rPr>
        <w:t>7</w:t>
      </w:r>
      <w:r>
        <w:rPr>
          <w:color w:val="595759"/>
          <w:spacing w:val="9"/>
          <w:w w:val="90"/>
          <w:sz w:val="25"/>
        </w:rPr>
        <w:t> </w:t>
      </w:r>
      <w:r>
        <w:rPr>
          <w:color w:val="383436"/>
          <w:w w:val="90"/>
          <w:sz w:val="16"/>
          <w:u w:val="thick" w:color="383436"/>
        </w:rPr>
        <w:t>BAD</w:t>
      </w:r>
      <w:r>
        <w:rPr>
          <w:color w:val="383436"/>
          <w:spacing w:val="1"/>
          <w:w w:val="90"/>
          <w:sz w:val="16"/>
          <w:u w:val="thick" w:color="383436"/>
        </w:rPr>
        <w:t> </w:t>
      </w:r>
      <w:r>
        <w:rPr>
          <w:color w:val="383436"/>
          <w:w w:val="90"/>
          <w:sz w:val="16"/>
          <w:u w:val="thick" w:color="383436"/>
        </w:rPr>
        <w:t>EXAMPLE</w:t>
      </w:r>
    </w:p>
    <w:p>
      <w:pPr>
        <w:spacing w:line="232" w:lineRule="auto" w:before="83"/>
        <w:ind w:left="933" w:right="478" w:firstLine="14"/>
        <w:jc w:val="both"/>
        <w:rPr>
          <w:sz w:val="21"/>
        </w:rPr>
      </w:pPr>
      <w:r>
        <w:rPr>
          <w:color w:val="383436"/>
          <w:w w:val="115"/>
          <w:sz w:val="21"/>
        </w:rPr>
        <w:t>The</w:t>
      </w:r>
      <w:r>
        <w:rPr>
          <w:color w:val="383436"/>
          <w:spacing w:val="1"/>
          <w:w w:val="115"/>
          <w:sz w:val="21"/>
        </w:rPr>
        <w:t> </w:t>
      </w:r>
      <w:r>
        <w:rPr>
          <w:color w:val="383436"/>
          <w:w w:val="115"/>
          <w:sz w:val="21"/>
        </w:rPr>
        <w:t>officer was able to peer into the private window of the apartment</w:t>
      </w:r>
      <w:r>
        <w:rPr>
          <w:color w:val="383436"/>
          <w:spacing w:val="-58"/>
          <w:w w:val="115"/>
          <w:sz w:val="21"/>
        </w:rPr>
        <w:t> </w:t>
      </w:r>
      <w:r>
        <w:rPr>
          <w:color w:val="383436"/>
          <w:w w:val="120"/>
          <w:sz w:val="21"/>
        </w:rPr>
        <w:t>because he abandoned the sidewalk, marched across the grass, and</w:t>
      </w:r>
      <w:r>
        <w:rPr>
          <w:color w:val="383436"/>
          <w:spacing w:val="1"/>
          <w:w w:val="120"/>
          <w:sz w:val="21"/>
        </w:rPr>
        <w:t> </w:t>
      </w:r>
      <w:r>
        <w:rPr>
          <w:color w:val="383436"/>
          <w:w w:val="115"/>
          <w:sz w:val="21"/>
        </w:rPr>
        <w:t>wedged himself behind bushes placed 24 to 48 inches away from the</w:t>
      </w:r>
      <w:r>
        <w:rPr>
          <w:color w:val="383436"/>
          <w:spacing w:val="1"/>
          <w:w w:val="115"/>
          <w:sz w:val="21"/>
        </w:rPr>
        <w:t> </w:t>
      </w:r>
      <w:r>
        <w:rPr>
          <w:color w:val="383436"/>
          <w:w w:val="120"/>
          <w:sz w:val="21"/>
        </w:rPr>
        <w:t>window.</w:t>
      </w:r>
      <w:r>
        <w:rPr>
          <w:color w:val="383436"/>
          <w:spacing w:val="-9"/>
          <w:w w:val="120"/>
          <w:sz w:val="21"/>
        </w:rPr>
        <w:t> </w:t>
      </w:r>
      <w:r>
        <w:rPr>
          <w:color w:val="383436"/>
          <w:w w:val="120"/>
          <w:sz w:val="21"/>
        </w:rPr>
        <w:t>Record</w:t>
      </w:r>
      <w:r>
        <w:rPr>
          <w:color w:val="383436"/>
          <w:spacing w:val="1"/>
          <w:w w:val="120"/>
          <w:sz w:val="21"/>
        </w:rPr>
        <w:t> </w:t>
      </w:r>
      <w:r>
        <w:rPr>
          <w:color w:val="383436"/>
          <w:w w:val="120"/>
          <w:sz w:val="21"/>
        </w:rPr>
        <w:t>G-43.</w:t>
      </w:r>
    </w:p>
    <w:p>
      <w:pPr>
        <w:pStyle w:val="BodyText"/>
        <w:spacing w:before="2"/>
        <w:rPr>
          <w:sz w:val="20"/>
        </w:rPr>
      </w:pPr>
    </w:p>
    <w:p>
      <w:pPr>
        <w:spacing w:before="1"/>
        <w:ind w:left="497" w:right="0" w:firstLine="0"/>
        <w:jc w:val="left"/>
        <w:rPr>
          <w:sz w:val="16"/>
        </w:rPr>
      </w:pPr>
      <w:r>
        <w:rPr>
          <w:rFonts w:ascii="Arial"/>
          <w:i/>
          <w:color w:val="6D6D70"/>
          <w:w w:val="95"/>
          <w:sz w:val="25"/>
          <w:u w:val="thick" w:color="6D6D70"/>
        </w:rPr>
        <w:t>_f::.</w:t>
      </w:r>
      <w:r>
        <w:rPr>
          <w:rFonts w:ascii="Arial"/>
          <w:i/>
          <w:color w:val="6D6D70"/>
          <w:spacing w:val="-2"/>
          <w:w w:val="95"/>
          <w:sz w:val="25"/>
        </w:rPr>
        <w:t> </w:t>
      </w:r>
      <w:r>
        <w:rPr>
          <w:color w:val="383436"/>
          <w:w w:val="95"/>
          <w:sz w:val="16"/>
        </w:rPr>
        <w:t>GOOD</w:t>
      </w:r>
      <w:r>
        <w:rPr>
          <w:color w:val="383436"/>
          <w:spacing w:val="-7"/>
          <w:w w:val="95"/>
          <w:sz w:val="16"/>
        </w:rPr>
        <w:t> </w:t>
      </w:r>
      <w:r>
        <w:rPr>
          <w:color w:val="383436"/>
          <w:w w:val="95"/>
          <w:sz w:val="16"/>
        </w:rPr>
        <w:t>EXAMPLE</w:t>
      </w:r>
    </w:p>
    <w:p>
      <w:pPr>
        <w:spacing w:line="235" w:lineRule="auto" w:before="92"/>
        <w:ind w:left="874" w:right="477" w:firstLine="15"/>
        <w:jc w:val="both"/>
        <w:rPr>
          <w:sz w:val="21"/>
        </w:rPr>
      </w:pPr>
      <w:r>
        <w:rPr>
          <w:color w:val="383436"/>
          <w:w w:val="120"/>
          <w:sz w:val="21"/>
        </w:rPr>
        <w:t>The</w:t>
      </w:r>
      <w:r>
        <w:rPr>
          <w:color w:val="383436"/>
          <w:spacing w:val="1"/>
          <w:w w:val="120"/>
          <w:sz w:val="21"/>
        </w:rPr>
        <w:t> </w:t>
      </w:r>
      <w:r>
        <w:rPr>
          <w:color w:val="383436"/>
          <w:w w:val="120"/>
          <w:sz w:val="21"/>
        </w:rPr>
        <w:t>officer was able to approach a window belonging to the apart­</w:t>
      </w:r>
      <w:r>
        <w:rPr>
          <w:color w:val="383436"/>
          <w:spacing w:val="1"/>
          <w:w w:val="120"/>
          <w:sz w:val="21"/>
        </w:rPr>
        <w:t> </w:t>
      </w:r>
      <w:r>
        <w:rPr>
          <w:color w:val="383436"/>
          <w:w w:val="120"/>
          <w:sz w:val="21"/>
        </w:rPr>
        <w:t>ment by leaving the sidewalk leading up to the building, walking</w:t>
      </w:r>
      <w:r>
        <w:rPr>
          <w:color w:val="383436"/>
          <w:spacing w:val="1"/>
          <w:w w:val="120"/>
          <w:sz w:val="21"/>
        </w:rPr>
        <w:t> </w:t>
      </w:r>
      <w:r>
        <w:rPr>
          <w:color w:val="383436"/>
          <w:w w:val="115"/>
          <w:sz w:val="21"/>
        </w:rPr>
        <w:t>onto the grass and</w:t>
      </w:r>
      <w:r>
        <w:rPr>
          <w:color w:val="383436"/>
          <w:spacing w:val="1"/>
          <w:w w:val="115"/>
          <w:sz w:val="21"/>
        </w:rPr>
        <w:t> </w:t>
      </w:r>
      <w:r>
        <w:rPr>
          <w:color w:val="383436"/>
          <w:w w:val="115"/>
          <w:sz w:val="21"/>
        </w:rPr>
        <w:t>behind bushes located two to four feet away from</w:t>
      </w:r>
      <w:r>
        <w:rPr>
          <w:color w:val="383436"/>
          <w:spacing w:val="1"/>
          <w:w w:val="115"/>
          <w:sz w:val="21"/>
        </w:rPr>
        <w:t> </w:t>
      </w:r>
      <w:r>
        <w:rPr>
          <w:color w:val="383436"/>
          <w:w w:val="120"/>
          <w:sz w:val="21"/>
        </w:rPr>
        <w:t>the</w:t>
      </w:r>
      <w:r>
        <w:rPr>
          <w:color w:val="383436"/>
          <w:spacing w:val="21"/>
          <w:w w:val="120"/>
          <w:sz w:val="21"/>
        </w:rPr>
        <w:t> </w:t>
      </w:r>
      <w:r>
        <w:rPr>
          <w:color w:val="383436"/>
          <w:w w:val="120"/>
          <w:sz w:val="21"/>
        </w:rPr>
        <w:t>window.</w:t>
      </w:r>
      <w:r>
        <w:rPr>
          <w:color w:val="383436"/>
          <w:spacing w:val="-6"/>
          <w:w w:val="120"/>
          <w:sz w:val="21"/>
        </w:rPr>
        <w:t> </w:t>
      </w:r>
      <w:r>
        <w:rPr>
          <w:color w:val="383436"/>
          <w:w w:val="120"/>
          <w:sz w:val="21"/>
        </w:rPr>
        <w:t>Record</w:t>
      </w:r>
      <w:r>
        <w:rPr>
          <w:color w:val="383436"/>
          <w:spacing w:val="-1"/>
          <w:w w:val="120"/>
          <w:sz w:val="21"/>
        </w:rPr>
        <w:t> </w:t>
      </w:r>
      <w:r>
        <w:rPr>
          <w:color w:val="383436"/>
          <w:w w:val="120"/>
          <w:sz w:val="21"/>
        </w:rPr>
        <w:t>G-43.</w:t>
      </w:r>
    </w:p>
    <w:p>
      <w:pPr>
        <w:pStyle w:val="BodyText"/>
        <w:spacing w:line="232" w:lineRule="auto" w:before="144"/>
        <w:ind w:left="434" w:right="159" w:firstLine="428"/>
        <w:jc w:val="both"/>
        <w:rPr>
          <w:i/>
        </w:rPr>
      </w:pPr>
      <w:r>
        <w:rPr>
          <w:color w:val="383436"/>
          <w:w w:val="110"/>
        </w:rPr>
        <w:t>Most writers know enough not to use exclamation points to empha­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size points or to write in  all capital letters to  draw attention  to a  point</w:t>
      </w:r>
      <w:r>
        <w:rPr>
          <w:color w:val="595759"/>
          <w:w w:val="110"/>
        </w:rPr>
        <w:t>.</w:t>
      </w:r>
      <w:r>
        <w:rPr>
          <w:color w:val="595759"/>
          <w:spacing w:val="1"/>
          <w:w w:val="110"/>
        </w:rPr>
        <w:t> </w:t>
      </w:r>
      <w:r>
        <w:rPr>
          <w:color w:val="383436"/>
          <w:w w:val="110"/>
        </w:rPr>
        <w:t>Yet many writers try  to intensify their arguments with words that are just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as</w:t>
      </w:r>
      <w:r>
        <w:rPr>
          <w:color w:val="383436"/>
          <w:spacing w:val="45"/>
          <w:w w:val="110"/>
        </w:rPr>
        <w:t> </w:t>
      </w:r>
      <w:r>
        <w:rPr>
          <w:color w:val="383436"/>
          <w:w w:val="110"/>
        </w:rPr>
        <w:t>ineffective</w:t>
      </w:r>
      <w:r>
        <w:rPr>
          <w:color w:val="383436"/>
          <w:spacing w:val="19"/>
          <w:w w:val="110"/>
        </w:rPr>
        <w:t> </w:t>
      </w:r>
      <w:r>
        <w:rPr>
          <w:color w:val="383436"/>
          <w:w w:val="110"/>
        </w:rPr>
        <w:t>as</w:t>
      </w:r>
      <w:r>
        <w:rPr>
          <w:color w:val="383436"/>
          <w:spacing w:val="25"/>
          <w:w w:val="110"/>
        </w:rPr>
        <w:t> </w:t>
      </w:r>
      <w:r>
        <w:rPr>
          <w:color w:val="383436"/>
          <w:w w:val="110"/>
        </w:rPr>
        <w:t>these</w:t>
      </w:r>
      <w:r>
        <w:rPr>
          <w:color w:val="383436"/>
          <w:spacing w:val="23"/>
          <w:w w:val="110"/>
        </w:rPr>
        <w:t> </w:t>
      </w:r>
      <w:r>
        <w:rPr>
          <w:color w:val="383436"/>
          <w:w w:val="110"/>
        </w:rPr>
        <w:t>techniques.</w:t>
      </w:r>
      <w:r>
        <w:rPr>
          <w:color w:val="383436"/>
          <w:spacing w:val="17"/>
          <w:w w:val="110"/>
        </w:rPr>
        <w:t> </w:t>
      </w:r>
      <w:r>
        <w:rPr>
          <w:i/>
          <w:color w:val="383436"/>
          <w:w w:val="110"/>
        </w:rPr>
        <w:t>Clearly</w:t>
      </w:r>
      <w:r>
        <w:rPr>
          <w:i/>
          <w:color w:val="595759"/>
          <w:w w:val="110"/>
        </w:rPr>
        <w:t>,</w:t>
      </w:r>
      <w:r>
        <w:rPr>
          <w:i/>
          <w:color w:val="595759"/>
          <w:spacing w:val="19"/>
          <w:w w:val="110"/>
        </w:rPr>
        <w:t> </w:t>
      </w:r>
      <w:r>
        <w:rPr>
          <w:i/>
          <w:color w:val="383436"/>
          <w:w w:val="110"/>
        </w:rPr>
        <w:t>obviously,</w:t>
      </w:r>
      <w:r>
        <w:rPr>
          <w:i/>
          <w:color w:val="383436"/>
          <w:spacing w:val="10"/>
          <w:w w:val="110"/>
        </w:rPr>
        <w:t> </w:t>
      </w:r>
      <w:r>
        <w:rPr>
          <w:i/>
          <w:color w:val="383436"/>
          <w:w w:val="110"/>
        </w:rPr>
        <w:t>of</w:t>
      </w:r>
      <w:r>
        <w:rPr>
          <w:i/>
          <w:color w:val="383436"/>
          <w:spacing w:val="5"/>
          <w:w w:val="110"/>
        </w:rPr>
        <w:t> </w:t>
      </w:r>
      <w:r>
        <w:rPr>
          <w:i/>
          <w:color w:val="383436"/>
          <w:w w:val="110"/>
        </w:rPr>
        <w:t>course,</w:t>
      </w:r>
      <w:r>
        <w:rPr>
          <w:i/>
          <w:color w:val="383436"/>
          <w:spacing w:val="17"/>
          <w:w w:val="110"/>
        </w:rPr>
        <w:t> </w:t>
      </w:r>
      <w:r>
        <w:rPr>
          <w:color w:val="383436"/>
          <w:w w:val="110"/>
        </w:rPr>
        <w:t>and</w:t>
      </w:r>
      <w:r>
        <w:rPr>
          <w:color w:val="383436"/>
          <w:spacing w:val="55"/>
          <w:w w:val="110"/>
        </w:rPr>
        <w:t> </w:t>
      </w:r>
      <w:r>
        <w:rPr>
          <w:i/>
          <w:color w:val="383436"/>
          <w:w w:val="110"/>
        </w:rPr>
        <w:t>it</w:t>
      </w:r>
      <w:r>
        <w:rPr>
          <w:i/>
          <w:color w:val="383436"/>
          <w:spacing w:val="13"/>
          <w:w w:val="110"/>
        </w:rPr>
        <w:t> </w:t>
      </w:r>
      <w:r>
        <w:rPr>
          <w:i/>
          <w:color w:val="383436"/>
          <w:w w:val="110"/>
        </w:rPr>
        <w:t>is</w:t>
      </w:r>
    </w:p>
    <w:p>
      <w:pPr>
        <w:spacing w:after="0" w:line="232" w:lineRule="auto"/>
        <w:jc w:val="both"/>
        <w:sectPr>
          <w:headerReference w:type="even" r:id="rId299"/>
          <w:headerReference w:type="default" r:id="rId300"/>
          <w:pgSz w:w="9830" w:h="14020"/>
          <w:pgMar w:header="514" w:footer="0" w:top="1100" w:bottom="0" w:left="1360" w:right="260"/>
          <w:pgNumType w:start="266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line="230" w:lineRule="auto" w:before="226"/>
        <w:ind w:left="166" w:right="558" w:hanging="1"/>
        <w:jc w:val="both"/>
      </w:pPr>
      <w:r>
        <w:rPr>
          <w:i/>
          <w:color w:val="383636"/>
          <w:w w:val="105"/>
          <w:sz w:val="24"/>
        </w:rPr>
        <w:t>evident that </w:t>
      </w:r>
      <w:r>
        <w:rPr>
          <w:color w:val="383636"/>
          <w:w w:val="105"/>
        </w:rPr>
        <w:t>have been so overused that they go beyond having no  mean­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ing to having a negative meaning. Many writers refer to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them as "negative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intensifiers."</w:t>
      </w:r>
    </w:p>
    <w:p>
      <w:pPr>
        <w:pStyle w:val="BodyText"/>
        <w:spacing w:line="235" w:lineRule="auto" w:before="2"/>
        <w:ind w:left="161" w:right="536" w:firstLine="333"/>
        <w:jc w:val="both"/>
      </w:pPr>
      <w:r>
        <w:rPr>
          <w:color w:val="383636"/>
          <w:w w:val="110"/>
        </w:rPr>
        <w:t>Interestingly, scholars who studied briefs and court opinions observed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that legal writers were more likely to use these intensifiers when they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were on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losing side, or, for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judges, when they were writing a dissent.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They concluded that the writers felt "threatened" by being on the losing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side, and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subconsciously used more negative intensifiers in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an "irrational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attempt</w:t>
      </w:r>
      <w:r>
        <w:rPr>
          <w:color w:val="383636"/>
          <w:spacing w:val="3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25"/>
          <w:w w:val="110"/>
        </w:rPr>
        <w:t> </w:t>
      </w:r>
      <w:r>
        <w:rPr>
          <w:color w:val="383636"/>
          <w:w w:val="110"/>
        </w:rPr>
        <w:t>'attack'</w:t>
      </w:r>
      <w:r>
        <w:rPr>
          <w:color w:val="383636"/>
          <w:spacing w:val="-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1"/>
          <w:w w:val="110"/>
        </w:rPr>
        <w:t> </w:t>
      </w:r>
      <w:r>
        <w:rPr>
          <w:color w:val="383636"/>
          <w:w w:val="110"/>
        </w:rPr>
        <w:t>winning</w:t>
      </w:r>
      <w:r>
        <w:rPr>
          <w:color w:val="383636"/>
          <w:spacing w:val="-13"/>
          <w:w w:val="110"/>
        </w:rPr>
        <w:t> </w:t>
      </w:r>
      <w:r>
        <w:rPr>
          <w:color w:val="383636"/>
          <w:w w:val="110"/>
        </w:rPr>
        <w:t>side</w:t>
      </w:r>
      <w:r>
        <w:rPr>
          <w:color w:val="383636"/>
          <w:spacing w:val="-8"/>
          <w:w w:val="110"/>
        </w:rPr>
        <w:t> </w:t>
      </w:r>
      <w:r>
        <w:rPr>
          <w:color w:val="383636"/>
          <w:w w:val="110"/>
        </w:rPr>
        <w:t>or</w:t>
      </w:r>
      <w:r>
        <w:rPr>
          <w:color w:val="383636"/>
          <w:spacing w:val="16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9"/>
          <w:w w:val="110"/>
        </w:rPr>
        <w:t> </w:t>
      </w:r>
      <w:r>
        <w:rPr>
          <w:color w:val="383636"/>
          <w:w w:val="110"/>
        </w:rPr>
        <w:t>defend</w:t>
      </w:r>
      <w:r>
        <w:rPr>
          <w:color w:val="383636"/>
          <w:spacing w:val="25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25"/>
          <w:w w:val="110"/>
        </w:rPr>
        <w:t> </w:t>
      </w:r>
      <w:r>
        <w:rPr>
          <w:color w:val="383636"/>
          <w:w w:val="110"/>
        </w:rPr>
        <w:t>losing</w:t>
      </w:r>
      <w:r>
        <w:rPr>
          <w:color w:val="383636"/>
          <w:spacing w:val="-9"/>
          <w:w w:val="110"/>
        </w:rPr>
        <w:t> </w:t>
      </w:r>
      <w:r>
        <w:rPr>
          <w:color w:val="383636"/>
          <w:w w:val="110"/>
        </w:rPr>
        <w:t>argument."</w:t>
      </w:r>
      <w:r>
        <w:rPr>
          <w:color w:val="383636"/>
          <w:w w:val="110"/>
          <w:vertAlign w:val="superscript"/>
        </w:rPr>
        <w:t>19</w:t>
      </w:r>
    </w:p>
    <w:p>
      <w:pPr>
        <w:pStyle w:val="BodyText"/>
        <w:spacing w:line="230" w:lineRule="auto"/>
        <w:ind w:left="161" w:right="498" w:firstLine="343"/>
        <w:jc w:val="both"/>
      </w:pPr>
      <w:r>
        <w:rPr>
          <w:color w:val="383636"/>
          <w:w w:val="110"/>
        </w:rPr>
        <w:t>Instead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using a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negative intensifier,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identify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use "positive</w:t>
      </w:r>
      <w:r>
        <w:rPr>
          <w:color w:val="383636"/>
          <w:spacing w:val="1"/>
          <w:w w:val="110"/>
        </w:rPr>
        <w:t> </w:t>
      </w:r>
      <w:r>
        <w:rPr>
          <w:color w:val="383636"/>
        </w:rPr>
        <w:t>intensifiers." Positive intensifiers include </w:t>
      </w:r>
      <w:r>
        <w:rPr>
          <w:i/>
          <w:color w:val="383636"/>
          <w:sz w:val="24"/>
        </w:rPr>
        <w:t>precisely, exactly, specifically, sig­</w:t>
      </w:r>
      <w:r>
        <w:rPr>
          <w:i/>
          <w:color w:val="383636"/>
          <w:spacing w:val="1"/>
          <w:sz w:val="24"/>
        </w:rPr>
        <w:t> </w:t>
      </w:r>
      <w:r>
        <w:rPr>
          <w:rFonts w:ascii="Arial" w:hAnsi="Arial"/>
          <w:i/>
          <w:color w:val="383636"/>
          <w:w w:val="105"/>
          <w:sz w:val="21"/>
        </w:rPr>
        <w:t>nificantly, </w:t>
      </w:r>
      <w:r>
        <w:rPr>
          <w:color w:val="383636"/>
          <w:w w:val="105"/>
        </w:rPr>
        <w:t>and</w:t>
      </w:r>
      <w:r>
        <w:rPr>
          <w:color w:val="383636"/>
          <w:spacing w:val="1"/>
          <w:w w:val="105"/>
        </w:rPr>
        <w:t> </w:t>
      </w:r>
      <w:r>
        <w:rPr>
          <w:rFonts w:ascii="Arial" w:hAnsi="Arial"/>
          <w:i/>
          <w:color w:val="383636"/>
          <w:w w:val="105"/>
          <w:sz w:val="21"/>
        </w:rPr>
        <w:t>explicitly. </w:t>
      </w:r>
      <w:r>
        <w:rPr>
          <w:color w:val="383636"/>
          <w:w w:val="105"/>
        </w:rPr>
        <w:t>These words are positive intensifiers because they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signal that the writer will be giving the reader concrete information about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what happened to parties before the court or in a case, about what a rule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says, or about how a rule relates to the client's facts. Note the differences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between</w:t>
      </w:r>
      <w:r>
        <w:rPr>
          <w:color w:val="383636"/>
          <w:spacing w:val="4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42"/>
          <w:w w:val="110"/>
        </w:rPr>
        <w:t> </w:t>
      </w:r>
      <w:r>
        <w:rPr>
          <w:color w:val="383636"/>
          <w:w w:val="110"/>
        </w:rPr>
        <w:t>two</w:t>
      </w:r>
      <w:r>
        <w:rPr>
          <w:color w:val="383636"/>
          <w:spacing w:val="27"/>
          <w:w w:val="110"/>
        </w:rPr>
        <w:t> </w:t>
      </w:r>
      <w:r>
        <w:rPr>
          <w:color w:val="383636"/>
          <w:w w:val="110"/>
        </w:rPr>
        <w:t>examples</w:t>
      </w:r>
      <w:r>
        <w:rPr>
          <w:color w:val="383636"/>
          <w:spacing w:val="-10"/>
          <w:w w:val="110"/>
        </w:rPr>
        <w:t> </w:t>
      </w:r>
      <w:r>
        <w:rPr>
          <w:color w:val="383636"/>
          <w:w w:val="110"/>
        </w:rPr>
        <w:t>below:</w:t>
      </w:r>
    </w:p>
    <w:p>
      <w:pPr>
        <w:spacing w:before="92"/>
        <w:ind w:left="115" w:right="0" w:firstLine="0"/>
        <w:jc w:val="left"/>
        <w:rPr>
          <w:rFonts w:ascii="Arial"/>
          <w:sz w:val="15"/>
        </w:rPr>
      </w:pPr>
      <w:r>
        <w:rPr>
          <w:color w:val="383636"/>
          <w:sz w:val="27"/>
          <w:u w:val="thick" w:color="383636"/>
        </w:rPr>
        <w:t>.J,/</w:t>
      </w:r>
      <w:r>
        <w:rPr>
          <w:rFonts w:ascii="Arial"/>
          <w:color w:val="383636"/>
          <w:sz w:val="15"/>
          <w:u w:val="thick" w:color="383636"/>
        </w:rPr>
        <w:t>BAD</w:t>
      </w:r>
      <w:r>
        <w:rPr>
          <w:rFonts w:ascii="Arial"/>
          <w:color w:val="383636"/>
          <w:spacing w:val="11"/>
          <w:sz w:val="15"/>
          <w:u w:val="thick" w:color="383636"/>
        </w:rPr>
        <w:t> </w:t>
      </w:r>
      <w:r>
        <w:rPr>
          <w:rFonts w:ascii="Arial"/>
          <w:color w:val="383636"/>
          <w:sz w:val="15"/>
          <w:u w:val="thick" w:color="383636"/>
        </w:rPr>
        <w:t>EXAMPLE</w:t>
      </w:r>
    </w:p>
    <w:p>
      <w:pPr>
        <w:spacing w:line="240" w:lineRule="auto" w:before="64"/>
        <w:ind w:left="509" w:right="824" w:hanging="12"/>
        <w:jc w:val="both"/>
        <w:rPr>
          <w:b/>
          <w:sz w:val="21"/>
        </w:rPr>
      </w:pPr>
      <w:r>
        <w:rPr>
          <w:color w:val="383636"/>
          <w:w w:val="110"/>
          <w:sz w:val="21"/>
        </w:rPr>
        <w:t>Second, </w:t>
      </w:r>
      <w:r>
        <w:rPr>
          <w:b/>
          <w:color w:val="383636"/>
          <w:w w:val="110"/>
          <w:sz w:val="21"/>
        </w:rPr>
        <w:t>the drawn blinds </w:t>
      </w:r>
      <w:r>
        <w:rPr>
          <w:color w:val="383636"/>
          <w:w w:val="110"/>
          <w:sz w:val="21"/>
        </w:rPr>
        <w:t>on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the</w:t>
      </w:r>
      <w:r>
        <w:rPr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window </w:t>
      </w:r>
      <w:r>
        <w:rPr>
          <w:color w:val="383636"/>
          <w:w w:val="110"/>
          <w:sz w:val="21"/>
        </w:rPr>
        <w:t>of </w:t>
      </w:r>
      <w:r>
        <w:rPr>
          <w:b/>
          <w:color w:val="383636"/>
          <w:w w:val="110"/>
          <w:sz w:val="21"/>
        </w:rPr>
        <w:t>the apartment through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which the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police </w:t>
      </w:r>
      <w:r>
        <w:rPr>
          <w:b/>
          <w:color w:val="383636"/>
          <w:w w:val="110"/>
          <w:sz w:val="21"/>
        </w:rPr>
        <w:t>officer peered clearly indicated that the apartment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was</w:t>
      </w:r>
      <w:r>
        <w:rPr>
          <w:b/>
          <w:color w:val="383636"/>
          <w:spacing w:val="-8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not</w:t>
      </w:r>
      <w:r>
        <w:rPr>
          <w:b/>
          <w:color w:val="383636"/>
          <w:spacing w:val="18"/>
          <w:w w:val="110"/>
          <w:sz w:val="21"/>
        </w:rPr>
        <w:t> </w:t>
      </w:r>
      <w:r>
        <w:rPr>
          <w:color w:val="383636"/>
          <w:w w:val="110"/>
          <w:sz w:val="21"/>
        </w:rPr>
        <w:t>open</w:t>
      </w:r>
      <w:r>
        <w:rPr>
          <w:color w:val="383636"/>
          <w:spacing w:val="-5"/>
          <w:w w:val="110"/>
          <w:sz w:val="21"/>
        </w:rPr>
        <w:t> </w:t>
      </w:r>
      <w:r>
        <w:rPr>
          <w:color w:val="383636"/>
          <w:w w:val="110"/>
          <w:sz w:val="20"/>
        </w:rPr>
        <w:t>to</w:t>
      </w:r>
      <w:r>
        <w:rPr>
          <w:color w:val="383636"/>
          <w:spacing w:val="17"/>
          <w:w w:val="110"/>
          <w:sz w:val="20"/>
        </w:rPr>
        <w:t> </w:t>
      </w:r>
      <w:r>
        <w:rPr>
          <w:color w:val="383636"/>
          <w:w w:val="110"/>
          <w:sz w:val="21"/>
        </w:rPr>
        <w:t>public</w:t>
      </w:r>
      <w:r>
        <w:rPr>
          <w:color w:val="383636"/>
          <w:spacing w:val="-2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observation.</w:t>
      </w:r>
    </w:p>
    <w:p>
      <w:pPr>
        <w:spacing w:before="57"/>
        <w:ind w:left="144" w:right="0" w:firstLine="0"/>
        <w:jc w:val="left"/>
        <w:rPr>
          <w:rFonts w:ascii="Arial"/>
          <w:sz w:val="15"/>
        </w:rPr>
      </w:pPr>
      <w:r>
        <w:rPr>
          <w:rFonts w:ascii="Arial"/>
          <w:color w:val="383636"/>
          <w:w w:val="95"/>
          <w:sz w:val="31"/>
          <w:u w:val="thick" w:color="383636"/>
        </w:rPr>
        <w:t>-!'t</w:t>
      </w:r>
      <w:r>
        <w:rPr>
          <w:rFonts w:ascii="Arial"/>
          <w:color w:val="383636"/>
          <w:spacing w:val="-27"/>
          <w:w w:val="95"/>
          <w:sz w:val="31"/>
          <w:u w:val="thick" w:color="383636"/>
        </w:rPr>
        <w:t> </w:t>
      </w:r>
      <w:r>
        <w:rPr>
          <w:rFonts w:ascii="Arial"/>
          <w:color w:val="383636"/>
          <w:w w:val="95"/>
          <w:sz w:val="15"/>
          <w:u w:val="thick" w:color="383636"/>
        </w:rPr>
        <w:t>GOOD</w:t>
      </w:r>
      <w:r>
        <w:rPr>
          <w:rFonts w:ascii="Arial"/>
          <w:color w:val="383636"/>
          <w:spacing w:val="14"/>
          <w:w w:val="95"/>
          <w:sz w:val="15"/>
          <w:u w:val="thick" w:color="383636"/>
        </w:rPr>
        <w:t> </w:t>
      </w:r>
      <w:r>
        <w:rPr>
          <w:rFonts w:ascii="Arial"/>
          <w:color w:val="383636"/>
          <w:w w:val="95"/>
          <w:sz w:val="15"/>
          <w:u w:val="thick" w:color="383636"/>
        </w:rPr>
        <w:t>EXAMPLE</w:t>
      </w:r>
    </w:p>
    <w:p>
      <w:pPr>
        <w:spacing w:line="235" w:lineRule="auto" w:before="60"/>
        <w:ind w:left="507" w:right="807" w:hanging="14"/>
        <w:jc w:val="both"/>
        <w:rPr>
          <w:b/>
          <w:sz w:val="21"/>
        </w:rPr>
      </w:pPr>
      <w:r>
        <w:rPr>
          <w:color w:val="383636"/>
          <w:w w:val="110"/>
          <w:sz w:val="21"/>
        </w:rPr>
        <w:t>The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blinds </w:t>
      </w:r>
      <w:r>
        <w:rPr>
          <w:b/>
          <w:color w:val="383636"/>
          <w:w w:val="110"/>
          <w:sz w:val="21"/>
        </w:rPr>
        <w:t>were drawn </w:t>
      </w:r>
      <w:r>
        <w:rPr>
          <w:color w:val="383636"/>
          <w:w w:val="110"/>
          <w:sz w:val="19"/>
        </w:rPr>
        <w:t>in</w:t>
      </w:r>
      <w:r>
        <w:rPr>
          <w:color w:val="383636"/>
          <w:spacing w:val="1"/>
          <w:w w:val="110"/>
          <w:sz w:val="19"/>
        </w:rPr>
        <w:t> </w:t>
      </w:r>
      <w:r>
        <w:rPr>
          <w:b/>
          <w:color w:val="383636"/>
          <w:w w:val="110"/>
          <w:sz w:val="21"/>
        </w:rPr>
        <w:t>the apartment precisely because the </w:t>
      </w:r>
      <w:r>
        <w:rPr>
          <w:color w:val="383636"/>
          <w:w w:val="110"/>
          <w:sz w:val="21"/>
        </w:rPr>
        <w:t>occu­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5"/>
          <w:sz w:val="22"/>
        </w:rPr>
        <w:t>pants </w:t>
      </w:r>
      <w:r>
        <w:rPr>
          <w:b/>
          <w:color w:val="383636"/>
          <w:w w:val="115"/>
          <w:sz w:val="21"/>
        </w:rPr>
        <w:t>did not want the apartment to be open </w:t>
      </w:r>
      <w:r>
        <w:rPr>
          <w:color w:val="383636"/>
          <w:w w:val="115"/>
          <w:sz w:val="21"/>
        </w:rPr>
        <w:t>to public </w:t>
      </w:r>
      <w:r>
        <w:rPr>
          <w:b/>
          <w:color w:val="383636"/>
          <w:w w:val="115"/>
          <w:sz w:val="21"/>
        </w:rPr>
        <w:t>observation.</w:t>
      </w:r>
      <w:r>
        <w:rPr>
          <w:b/>
          <w:color w:val="383636"/>
          <w:spacing w:val="-58"/>
          <w:w w:val="115"/>
          <w:sz w:val="21"/>
        </w:rPr>
        <w:t> </w:t>
      </w:r>
      <w:r>
        <w:rPr>
          <w:color w:val="383636"/>
          <w:w w:val="115"/>
          <w:sz w:val="21"/>
        </w:rPr>
        <w:t>Whoever </w:t>
      </w:r>
      <w:r>
        <w:rPr>
          <w:b/>
          <w:color w:val="383636"/>
          <w:w w:val="115"/>
          <w:sz w:val="21"/>
        </w:rPr>
        <w:t>drew the blinds, that person was taking steps to prevent</w:t>
      </w:r>
      <w:r>
        <w:rPr>
          <w:b/>
          <w:color w:val="383636"/>
          <w:spacing w:val="1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members </w:t>
      </w:r>
      <w:r>
        <w:rPr>
          <w:color w:val="383636"/>
          <w:w w:val="115"/>
          <w:sz w:val="21"/>
        </w:rPr>
        <w:t>of</w:t>
      </w:r>
      <w:r>
        <w:rPr>
          <w:color w:val="383636"/>
          <w:spacing w:val="1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the</w:t>
      </w:r>
      <w:r>
        <w:rPr>
          <w:b/>
          <w:color w:val="383636"/>
          <w:spacing w:val="1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public-and the </w:t>
      </w:r>
      <w:r>
        <w:rPr>
          <w:color w:val="383636"/>
          <w:w w:val="115"/>
          <w:sz w:val="21"/>
        </w:rPr>
        <w:t>police-from </w:t>
      </w:r>
      <w:r>
        <w:rPr>
          <w:b/>
          <w:color w:val="383636"/>
          <w:w w:val="115"/>
          <w:sz w:val="21"/>
        </w:rPr>
        <w:t>looking through </w:t>
      </w:r>
      <w:r>
        <w:rPr>
          <w:color w:val="383636"/>
          <w:w w:val="115"/>
          <w:sz w:val="21"/>
        </w:rPr>
        <w:t>the</w:t>
      </w:r>
      <w:r>
        <w:rPr>
          <w:color w:val="383636"/>
          <w:spacing w:val="1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windows.</w:t>
      </w:r>
    </w:p>
    <w:p>
      <w:pPr>
        <w:pStyle w:val="BodyText"/>
        <w:spacing w:line="235" w:lineRule="auto" w:before="145"/>
        <w:ind w:left="171" w:right="450" w:firstLine="340"/>
        <w:jc w:val="both"/>
      </w:pPr>
      <w:r>
        <w:rPr>
          <w:color w:val="383636"/>
          <w:w w:val="110"/>
        </w:rPr>
        <w:t>Of course, if you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use a positive intensifier, you have to follow it up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with</w:t>
      </w:r>
      <w:r>
        <w:rPr>
          <w:color w:val="383636"/>
          <w:spacing w:val="2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34"/>
          <w:w w:val="110"/>
        </w:rPr>
        <w:t> </w:t>
      </w:r>
      <w:r>
        <w:rPr>
          <w:color w:val="383636"/>
          <w:w w:val="110"/>
        </w:rPr>
        <w:t>specifics</w:t>
      </w:r>
      <w:r>
        <w:rPr>
          <w:color w:val="383636"/>
          <w:spacing w:val="-1"/>
          <w:w w:val="110"/>
        </w:rPr>
        <w:t> </w:t>
      </w:r>
      <w:r>
        <w:rPr>
          <w:color w:val="383636"/>
          <w:w w:val="110"/>
        </w:rPr>
        <w:t>that</w:t>
      </w:r>
      <w:r>
        <w:rPr>
          <w:color w:val="383636"/>
          <w:spacing w:val="8"/>
          <w:w w:val="110"/>
        </w:rPr>
        <w:t> </w:t>
      </w:r>
      <w:r>
        <w:rPr>
          <w:color w:val="383636"/>
          <w:w w:val="110"/>
        </w:rPr>
        <w:t>it</w:t>
      </w:r>
      <w:r>
        <w:rPr>
          <w:color w:val="383636"/>
          <w:spacing w:val="-6"/>
          <w:w w:val="110"/>
        </w:rPr>
        <w:t> </w:t>
      </w:r>
      <w:r>
        <w:rPr>
          <w:color w:val="383636"/>
          <w:w w:val="110"/>
        </w:rPr>
        <w:t>promises, lest</w:t>
      </w:r>
      <w:r>
        <w:rPr>
          <w:color w:val="383636"/>
          <w:spacing w:val="-5"/>
          <w:w w:val="110"/>
        </w:rPr>
        <w:t> </w:t>
      </w:r>
      <w:r>
        <w:rPr>
          <w:color w:val="383636"/>
          <w:w w:val="110"/>
        </w:rPr>
        <w:t>it</w:t>
      </w:r>
      <w:r>
        <w:rPr>
          <w:color w:val="383636"/>
          <w:spacing w:val="11"/>
          <w:w w:val="110"/>
        </w:rPr>
        <w:t> </w:t>
      </w:r>
      <w:r>
        <w:rPr>
          <w:color w:val="383636"/>
          <w:w w:val="110"/>
        </w:rPr>
        <w:t>become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a</w:t>
      </w:r>
      <w:r>
        <w:rPr>
          <w:color w:val="383636"/>
          <w:spacing w:val="14"/>
          <w:w w:val="110"/>
        </w:rPr>
        <w:t> </w:t>
      </w:r>
      <w:r>
        <w:rPr>
          <w:color w:val="383636"/>
          <w:w w:val="110"/>
        </w:rPr>
        <w:t>negative intensifier:</w:t>
      </w:r>
    </w:p>
    <w:p>
      <w:pPr>
        <w:spacing w:before="56"/>
        <w:ind w:left="153" w:right="0" w:firstLine="0"/>
        <w:jc w:val="left"/>
        <w:rPr>
          <w:rFonts w:ascii="Arial"/>
          <w:sz w:val="15"/>
        </w:rPr>
      </w:pPr>
      <w:r>
        <w:rPr>
          <w:rFonts w:ascii="Arial"/>
          <w:color w:val="383636"/>
          <w:spacing w:val="-1"/>
          <w:sz w:val="31"/>
          <w:u w:val="thick" w:color="383636"/>
        </w:rPr>
        <w:t>-!'t</w:t>
      </w:r>
      <w:r>
        <w:rPr>
          <w:rFonts w:ascii="Arial"/>
          <w:color w:val="383636"/>
          <w:spacing w:val="-53"/>
          <w:sz w:val="31"/>
          <w:u w:val="thick" w:color="383636"/>
        </w:rPr>
        <w:t> </w:t>
      </w:r>
      <w:r>
        <w:rPr>
          <w:rFonts w:ascii="Arial"/>
          <w:color w:val="383636"/>
          <w:sz w:val="15"/>
          <w:u w:val="thick" w:color="383636"/>
        </w:rPr>
        <w:t>GOOD</w:t>
      </w:r>
      <w:r>
        <w:rPr>
          <w:rFonts w:ascii="Arial"/>
          <w:color w:val="383636"/>
          <w:spacing w:val="-1"/>
          <w:sz w:val="15"/>
          <w:u w:val="thick" w:color="383636"/>
        </w:rPr>
        <w:t> </w:t>
      </w:r>
      <w:r>
        <w:rPr>
          <w:rFonts w:ascii="Arial"/>
          <w:color w:val="383636"/>
          <w:sz w:val="15"/>
          <w:u w:val="thick" w:color="383636"/>
        </w:rPr>
        <w:t>EXAMPLE</w:t>
      </w:r>
    </w:p>
    <w:p>
      <w:pPr>
        <w:spacing w:line="235" w:lineRule="auto" w:before="60"/>
        <w:ind w:left="510" w:right="752" w:hanging="7"/>
        <w:jc w:val="both"/>
        <w:rPr>
          <w:b/>
          <w:sz w:val="21"/>
        </w:rPr>
      </w:pPr>
      <w:r>
        <w:rPr>
          <w:color w:val="383636"/>
          <w:spacing w:val="-1"/>
          <w:w w:val="115"/>
          <w:sz w:val="21"/>
        </w:rPr>
        <w:t>The court specifically noted </w:t>
      </w:r>
      <w:r>
        <w:rPr>
          <w:b/>
          <w:color w:val="383636"/>
          <w:w w:val="115"/>
          <w:sz w:val="21"/>
        </w:rPr>
        <w:t>that its holding was not predicated </w:t>
      </w:r>
      <w:r>
        <w:rPr>
          <w:color w:val="383636"/>
          <w:w w:val="115"/>
          <w:sz w:val="21"/>
        </w:rPr>
        <w:t>on</w:t>
      </w:r>
      <w:r>
        <w:rPr>
          <w:color w:val="383636"/>
          <w:spacing w:val="1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antiquated notions about the relative abilities of men and women;</w:t>
      </w:r>
      <w:r>
        <w:rPr>
          <w:b/>
          <w:color w:val="383636"/>
          <w:spacing w:val="1"/>
          <w:w w:val="115"/>
          <w:sz w:val="21"/>
        </w:rPr>
        <w:t> </w:t>
      </w:r>
      <w:r>
        <w:rPr>
          <w:b/>
          <w:color w:val="383636"/>
          <w:w w:val="110"/>
          <w:sz w:val="21"/>
        </w:rPr>
        <w:t>rather, the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holding was predicated on the objectively verifiable fact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5"/>
          <w:sz w:val="21"/>
        </w:rPr>
        <w:t>that </w:t>
      </w:r>
      <w:r>
        <w:rPr>
          <w:color w:val="383636"/>
          <w:w w:val="115"/>
          <w:sz w:val="21"/>
        </w:rPr>
        <w:t>women could </w:t>
      </w:r>
      <w:r>
        <w:rPr>
          <w:b/>
          <w:color w:val="383636"/>
          <w:w w:val="115"/>
          <w:sz w:val="21"/>
        </w:rPr>
        <w:t>not serve </w:t>
      </w:r>
      <w:r>
        <w:rPr>
          <w:color w:val="383636"/>
          <w:w w:val="115"/>
          <w:sz w:val="21"/>
        </w:rPr>
        <w:t>in </w:t>
      </w:r>
      <w:r>
        <w:rPr>
          <w:b/>
          <w:color w:val="383636"/>
          <w:w w:val="115"/>
          <w:sz w:val="21"/>
        </w:rPr>
        <w:t>combat roles in the United States</w:t>
      </w:r>
      <w:r>
        <w:rPr>
          <w:b/>
          <w:color w:val="383636"/>
          <w:spacing w:val="1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armed</w:t>
      </w:r>
      <w:r>
        <w:rPr>
          <w:b/>
          <w:color w:val="383636"/>
          <w:spacing w:val="5"/>
          <w:w w:val="115"/>
          <w:sz w:val="21"/>
        </w:rPr>
        <w:t> </w:t>
      </w:r>
      <w:r>
        <w:rPr>
          <w:b/>
          <w:color w:val="383636"/>
          <w:w w:val="115"/>
          <w:sz w:val="21"/>
        </w:rPr>
        <w:t>forces.</w:t>
      </w:r>
    </w:p>
    <w:p>
      <w:pPr>
        <w:pStyle w:val="BodyText"/>
        <w:spacing w:line="228" w:lineRule="auto" w:before="144"/>
        <w:ind w:left="180" w:right="358" w:firstLine="336"/>
        <w:jc w:val="both"/>
      </w:pPr>
      <w:r>
        <w:rPr>
          <w:color w:val="383636"/>
          <w:w w:val="110"/>
        </w:rPr>
        <w:t>Whenever you use a positive intensifier, ask yourself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how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  law or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 facts show that this information is </w:t>
      </w:r>
      <w:r>
        <w:rPr>
          <w:i/>
          <w:color w:val="383636"/>
          <w:w w:val="110"/>
          <w:sz w:val="22"/>
        </w:rPr>
        <w:t>precisely, specifically, </w:t>
      </w:r>
      <w:r>
        <w:rPr>
          <w:color w:val="383636"/>
          <w:w w:val="110"/>
        </w:rPr>
        <w:t>or </w:t>
      </w:r>
      <w:r>
        <w:rPr>
          <w:i/>
          <w:color w:val="383636"/>
          <w:w w:val="110"/>
          <w:sz w:val="22"/>
        </w:rPr>
        <w:t>significantly</w:t>
      </w:r>
      <w:r>
        <w:rPr>
          <w:i/>
          <w:color w:val="383636"/>
          <w:spacing w:val="-58"/>
          <w:w w:val="110"/>
          <w:sz w:val="22"/>
        </w:rPr>
        <w:t> </w:t>
      </w:r>
      <w:r>
        <w:rPr>
          <w:color w:val="383636"/>
          <w:w w:val="110"/>
        </w:rPr>
        <w:t>true,</w:t>
      </w:r>
      <w:r>
        <w:rPr>
          <w:color w:val="383636"/>
          <w:spacing w:val="-17"/>
          <w:w w:val="110"/>
        </w:rPr>
        <w:t> </w:t>
      </w:r>
      <w:r>
        <w:rPr>
          <w:color w:val="383636"/>
          <w:w w:val="110"/>
        </w:rPr>
        <w:t>and</w:t>
      </w:r>
      <w:r>
        <w:rPr>
          <w:color w:val="383636"/>
          <w:spacing w:val="47"/>
          <w:w w:val="110"/>
        </w:rPr>
        <w:t> </w:t>
      </w:r>
      <w:r>
        <w:rPr>
          <w:color w:val="383636"/>
          <w:w w:val="110"/>
        </w:rPr>
        <w:t>then</w:t>
      </w:r>
      <w:r>
        <w:rPr>
          <w:color w:val="383636"/>
          <w:spacing w:val="7"/>
          <w:w w:val="110"/>
        </w:rPr>
        <w:t> </w:t>
      </w:r>
      <w:r>
        <w:rPr>
          <w:color w:val="383636"/>
          <w:w w:val="110"/>
        </w:rPr>
        <w:t>include</w:t>
      </w:r>
      <w:r>
        <w:rPr>
          <w:color w:val="383636"/>
          <w:spacing w:val="3"/>
          <w:w w:val="110"/>
        </w:rPr>
        <w:t> </w:t>
      </w:r>
      <w:r>
        <w:rPr>
          <w:color w:val="383636"/>
          <w:w w:val="110"/>
        </w:rPr>
        <w:t>those</w:t>
      </w:r>
      <w:r>
        <w:rPr>
          <w:color w:val="383636"/>
          <w:spacing w:val="-10"/>
          <w:w w:val="110"/>
        </w:rPr>
        <w:t> </w:t>
      </w:r>
      <w:r>
        <w:rPr>
          <w:color w:val="383636"/>
          <w:w w:val="110"/>
        </w:rPr>
        <w:t>details</w:t>
      </w:r>
      <w:r>
        <w:rPr>
          <w:color w:val="383636"/>
          <w:spacing w:val="-9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23"/>
          <w:w w:val="110"/>
        </w:rPr>
        <w:t> </w:t>
      </w:r>
      <w:r>
        <w:rPr>
          <w:color w:val="383636"/>
          <w:w w:val="110"/>
        </w:rPr>
        <w:t>your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writing.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3"/>
        </w:rPr>
      </w:pPr>
    </w:p>
    <w:p>
      <w:pPr>
        <w:spacing w:line="223" w:lineRule="auto" w:before="0"/>
        <w:ind w:left="191" w:right="314" w:firstLine="336"/>
        <w:jc w:val="both"/>
        <w:rPr>
          <w:rFonts w:ascii="Arial"/>
          <w:sz w:val="16"/>
        </w:rPr>
      </w:pPr>
      <w:r>
        <w:rPr>
          <w:color w:val="4D4D4F"/>
          <w:position w:val="5"/>
          <w:sz w:val="10"/>
        </w:rPr>
        <w:t>19</w:t>
      </w:r>
      <w:r>
        <w:rPr>
          <w:color w:val="4D4D4F"/>
          <w:sz w:val="18"/>
        </w:rPr>
        <w:t>Lance </w:t>
      </w:r>
      <w:r>
        <w:rPr>
          <w:color w:val="383636"/>
          <w:sz w:val="18"/>
        </w:rPr>
        <w:t>N. Long </w:t>
      </w:r>
      <w:r>
        <w:rPr>
          <w:color w:val="383636"/>
          <w:sz w:val="16"/>
        </w:rPr>
        <w:t>&amp; </w:t>
      </w:r>
      <w:r>
        <w:rPr>
          <w:color w:val="383636"/>
          <w:sz w:val="18"/>
        </w:rPr>
        <w:t>William F. Christensen, </w:t>
      </w:r>
      <w:r>
        <w:rPr>
          <w:i/>
          <w:color w:val="383636"/>
          <w:sz w:val="18"/>
        </w:rPr>
        <w:t>WIien Justices </w:t>
      </w:r>
      <w:r>
        <w:rPr>
          <w:i/>
          <w:color w:val="4D4D4F"/>
          <w:sz w:val="18"/>
        </w:rPr>
        <w:t>(Subco11scio11sly)</w:t>
      </w:r>
      <w:r>
        <w:rPr>
          <w:i/>
          <w:color w:val="383636"/>
          <w:sz w:val="18"/>
        </w:rPr>
        <w:t>Attack: </w:t>
      </w:r>
      <w:r>
        <w:rPr>
          <w:color w:val="383636"/>
          <w:sz w:val="18"/>
        </w:rPr>
        <w:t>The Theory </w:t>
      </w:r>
      <w:r>
        <w:rPr>
          <w:i/>
          <w:color w:val="383636"/>
          <w:sz w:val="18"/>
        </w:rPr>
        <w:t>of</w:t>
      </w:r>
      <w:r>
        <w:rPr>
          <w:i/>
          <w:color w:val="383636"/>
          <w:spacing w:val="1"/>
          <w:sz w:val="18"/>
        </w:rPr>
        <w:t> </w:t>
      </w:r>
      <w:r>
        <w:rPr>
          <w:i/>
          <w:color w:val="383636"/>
          <w:sz w:val="18"/>
        </w:rPr>
        <w:t>Argumentative</w:t>
      </w:r>
      <w:r>
        <w:rPr>
          <w:i/>
          <w:color w:val="383636"/>
          <w:spacing w:val="-4"/>
          <w:sz w:val="18"/>
        </w:rPr>
        <w:t> </w:t>
      </w:r>
      <w:r>
        <w:rPr>
          <w:i/>
          <w:color w:val="383636"/>
          <w:sz w:val="18"/>
        </w:rPr>
        <w:t>Threat</w:t>
      </w:r>
      <w:r>
        <w:rPr>
          <w:i/>
          <w:color w:val="383636"/>
          <w:spacing w:val="-6"/>
          <w:sz w:val="18"/>
        </w:rPr>
        <w:t> </w:t>
      </w:r>
      <w:r>
        <w:rPr>
          <w:i/>
          <w:color w:val="383636"/>
          <w:sz w:val="18"/>
        </w:rPr>
        <w:t>and the</w:t>
      </w:r>
      <w:r>
        <w:rPr>
          <w:i/>
          <w:color w:val="383636"/>
          <w:spacing w:val="4"/>
          <w:sz w:val="18"/>
        </w:rPr>
        <w:t> </w:t>
      </w:r>
      <w:r>
        <w:rPr>
          <w:i/>
          <w:color w:val="383636"/>
          <w:sz w:val="18"/>
        </w:rPr>
        <w:t>S11preme</w:t>
      </w:r>
      <w:r>
        <w:rPr>
          <w:i/>
          <w:color w:val="383636"/>
          <w:spacing w:val="-18"/>
          <w:sz w:val="18"/>
        </w:rPr>
        <w:t> </w:t>
      </w:r>
      <w:r>
        <w:rPr>
          <w:i/>
          <w:color w:val="383636"/>
          <w:sz w:val="18"/>
        </w:rPr>
        <w:t>Court,</w:t>
      </w:r>
      <w:r>
        <w:rPr>
          <w:i/>
          <w:color w:val="383636"/>
          <w:spacing w:val="-27"/>
          <w:sz w:val="18"/>
        </w:rPr>
        <w:t> </w:t>
      </w:r>
      <w:r>
        <w:rPr>
          <w:rFonts w:ascii="Arial"/>
          <w:color w:val="383636"/>
          <w:sz w:val="16"/>
        </w:rPr>
        <w:t>91</w:t>
      </w:r>
      <w:r>
        <w:rPr>
          <w:rFonts w:ascii="Arial"/>
          <w:color w:val="383636"/>
          <w:spacing w:val="18"/>
          <w:sz w:val="16"/>
        </w:rPr>
        <w:t> </w:t>
      </w:r>
      <w:r>
        <w:rPr>
          <w:rFonts w:ascii="Arial"/>
          <w:color w:val="383636"/>
          <w:sz w:val="16"/>
        </w:rPr>
        <w:t>Or.</w:t>
      </w:r>
      <w:r>
        <w:rPr>
          <w:rFonts w:ascii="Arial"/>
          <w:color w:val="383636"/>
          <w:spacing w:val="14"/>
          <w:sz w:val="16"/>
        </w:rPr>
        <w:t> </w:t>
      </w:r>
      <w:r>
        <w:rPr>
          <w:rFonts w:ascii="Arial"/>
          <w:color w:val="383636"/>
          <w:sz w:val="16"/>
        </w:rPr>
        <w:t>L.</w:t>
      </w:r>
      <w:r>
        <w:rPr>
          <w:rFonts w:ascii="Arial"/>
          <w:color w:val="383636"/>
          <w:spacing w:val="7"/>
          <w:sz w:val="16"/>
        </w:rPr>
        <w:t> </w:t>
      </w:r>
      <w:r>
        <w:rPr>
          <w:rFonts w:ascii="Arial"/>
          <w:color w:val="383636"/>
          <w:sz w:val="16"/>
        </w:rPr>
        <w:t>Rev.</w:t>
      </w:r>
      <w:r>
        <w:rPr>
          <w:rFonts w:ascii="Arial"/>
          <w:color w:val="383636"/>
          <w:spacing w:val="-11"/>
          <w:sz w:val="16"/>
        </w:rPr>
        <w:t> </w:t>
      </w:r>
      <w:r>
        <w:rPr>
          <w:rFonts w:ascii="Arial"/>
          <w:color w:val="383636"/>
          <w:sz w:val="16"/>
        </w:rPr>
        <w:t>933,</w:t>
      </w:r>
      <w:r>
        <w:rPr>
          <w:rFonts w:ascii="Arial"/>
          <w:color w:val="383636"/>
          <w:spacing w:val="-13"/>
          <w:sz w:val="16"/>
        </w:rPr>
        <w:t> </w:t>
      </w:r>
      <w:r>
        <w:rPr>
          <w:rFonts w:ascii="Arial"/>
          <w:color w:val="383636"/>
          <w:sz w:val="16"/>
        </w:rPr>
        <w:t>958</w:t>
      </w:r>
      <w:r>
        <w:rPr>
          <w:rFonts w:ascii="Arial"/>
          <w:color w:val="383636"/>
          <w:spacing w:val="-13"/>
          <w:sz w:val="16"/>
        </w:rPr>
        <w:t> </w:t>
      </w:r>
      <w:r>
        <w:rPr>
          <w:rFonts w:ascii="Arial"/>
          <w:color w:val="4D4D4F"/>
          <w:sz w:val="16"/>
        </w:rPr>
        <w:t>(2013).</w:t>
      </w:r>
    </w:p>
    <w:p>
      <w:pPr>
        <w:spacing w:after="0" w:line="223" w:lineRule="auto"/>
        <w:jc w:val="both"/>
        <w:rPr>
          <w:rFonts w:ascii="Arial"/>
          <w:sz w:val="16"/>
        </w:rPr>
        <w:sectPr>
          <w:pgSz w:w="9790" w:h="14020"/>
          <w:pgMar w:header="649" w:footer="0" w:top="840" w:bottom="0" w:left="280" w:right="1360"/>
        </w:sectPr>
      </w:pPr>
    </w:p>
    <w:p>
      <w:pPr>
        <w:spacing w:before="82"/>
        <w:ind w:left="1220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383638"/>
          <w:w w:val="110"/>
          <w:sz w:val="27"/>
        </w:rPr>
        <w:t>11.4.6</w:t>
      </w:r>
    </w:p>
    <w:p>
      <w:pPr>
        <w:spacing w:before="36"/>
        <w:ind w:left="1217" w:right="0" w:firstLine="0"/>
        <w:jc w:val="left"/>
        <w:rPr>
          <w:b/>
          <w:sz w:val="23"/>
        </w:rPr>
      </w:pPr>
      <w:r>
        <w:rPr>
          <w:b/>
          <w:color w:val="383638"/>
          <w:w w:val="90"/>
          <w:sz w:val="23"/>
        </w:rPr>
        <w:t>PERSUASIVE</w:t>
      </w:r>
      <w:r>
        <w:rPr>
          <w:b/>
          <w:color w:val="383638"/>
          <w:spacing w:val="74"/>
          <w:sz w:val="23"/>
        </w:rPr>
        <w:t> </w:t>
      </w:r>
      <w:r>
        <w:rPr>
          <w:b/>
          <w:color w:val="383638"/>
          <w:w w:val="90"/>
          <w:sz w:val="23"/>
        </w:rPr>
        <w:t>PUNCTUATION</w:t>
      </w:r>
    </w:p>
    <w:p>
      <w:pPr>
        <w:pStyle w:val="BodyText"/>
        <w:spacing w:line="235" w:lineRule="auto" w:before="135"/>
        <w:ind w:left="797" w:right="105" w:firstLine="383"/>
        <w:jc w:val="both"/>
      </w:pPr>
      <w:r>
        <w:rPr>
          <w:color w:val="383638"/>
          <w:w w:val="110"/>
        </w:rPr>
        <w:t>Writers use punctuation marks to organize sentences and </w:t>
      </w:r>
      <w:r>
        <w:rPr>
          <w:color w:val="49494B"/>
          <w:w w:val="110"/>
        </w:rPr>
        <w:t>the </w:t>
      </w:r>
      <w:r>
        <w:rPr>
          <w:color w:val="383638"/>
          <w:w w:val="110"/>
        </w:rPr>
        <w:t>words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within</w:t>
      </w:r>
      <w:r>
        <w:rPr>
          <w:color w:val="383638"/>
          <w:spacing w:val="-35"/>
          <w:w w:val="110"/>
        </w:rPr>
        <w:t> </w:t>
      </w:r>
      <w:r>
        <w:rPr>
          <w:color w:val="383638"/>
          <w:w w:val="110"/>
        </w:rPr>
        <w:t>sentences.</w:t>
      </w:r>
      <w:r>
        <w:rPr>
          <w:color w:val="383638"/>
          <w:spacing w:val="-33"/>
          <w:w w:val="110"/>
        </w:rPr>
        <w:t> </w:t>
      </w:r>
      <w:r>
        <w:rPr>
          <w:color w:val="383638"/>
          <w:w w:val="110"/>
        </w:rPr>
        <w:t>They</w:t>
      </w:r>
      <w:r>
        <w:rPr>
          <w:color w:val="383638"/>
          <w:spacing w:val="-35"/>
          <w:w w:val="110"/>
        </w:rPr>
        <w:t> </w:t>
      </w:r>
      <w:r>
        <w:rPr>
          <w:color w:val="383638"/>
          <w:w w:val="110"/>
        </w:rPr>
        <w:t>also</w:t>
      </w:r>
      <w:r>
        <w:rPr>
          <w:color w:val="383638"/>
          <w:spacing w:val="-36"/>
          <w:w w:val="110"/>
        </w:rPr>
        <w:t> </w:t>
      </w:r>
      <w:r>
        <w:rPr>
          <w:color w:val="383638"/>
          <w:w w:val="110"/>
        </w:rPr>
        <w:t>usepunctuation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-23"/>
          <w:w w:val="110"/>
        </w:rPr>
        <w:t> </w:t>
      </w:r>
      <w:r>
        <w:rPr>
          <w:color w:val="383638"/>
          <w:w w:val="110"/>
        </w:rPr>
        <w:t>show</w:t>
      </w:r>
      <w:r>
        <w:rPr>
          <w:color w:val="383638"/>
          <w:spacing w:val="-29"/>
          <w:w w:val="110"/>
        </w:rPr>
        <w:t> </w:t>
      </w:r>
      <w:r>
        <w:rPr>
          <w:color w:val="383638"/>
          <w:w w:val="110"/>
        </w:rPr>
        <w:t>relationships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between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among phrases and clauses within sentences. Legal writers can use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punctuation marks to emphasize information and to imply relationships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when argument is inappropriate. Three types of punctuation marks are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particularly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helpful: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semicolon,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dash,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colon.</w:t>
      </w: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0"/>
          <w:numId w:val="103"/>
        </w:numPr>
        <w:tabs>
          <w:tab w:pos="1543" w:val="left" w:leader="none"/>
        </w:tabs>
        <w:spacing w:line="252" w:lineRule="exact" w:before="0" w:after="0"/>
        <w:ind w:left="1542" w:right="0" w:hanging="369"/>
        <w:jc w:val="both"/>
        <w:rPr>
          <w:b/>
          <w:color w:val="383638"/>
          <w:sz w:val="22"/>
        </w:rPr>
      </w:pPr>
      <w:r>
        <w:rPr>
          <w:b/>
          <w:color w:val="383638"/>
          <w:spacing w:val="-1"/>
          <w:w w:val="120"/>
          <w:sz w:val="22"/>
        </w:rPr>
        <w:t>The</w:t>
      </w:r>
      <w:r>
        <w:rPr>
          <w:b/>
          <w:color w:val="383638"/>
          <w:spacing w:val="-33"/>
          <w:w w:val="120"/>
          <w:sz w:val="22"/>
        </w:rPr>
        <w:t> </w:t>
      </w:r>
      <w:r>
        <w:rPr>
          <w:b/>
          <w:color w:val="49494B"/>
          <w:spacing w:val="-1"/>
          <w:w w:val="120"/>
          <w:sz w:val="21"/>
        </w:rPr>
        <w:t>Semicolon</w:t>
      </w:r>
    </w:p>
    <w:p>
      <w:pPr>
        <w:pStyle w:val="BodyText"/>
        <w:spacing w:line="235" w:lineRule="auto" w:before="4"/>
        <w:ind w:left="761" w:right="113" w:firstLine="379"/>
        <w:jc w:val="both"/>
      </w:pPr>
      <w:r>
        <w:rPr>
          <w:color w:val="383638"/>
          <w:w w:val="110"/>
        </w:rPr>
        <w:t>Semicolons are used </w:t>
      </w:r>
      <w:r>
        <w:rPr>
          <w:color w:val="383638"/>
          <w:w w:val="110"/>
          <w:sz w:val="21"/>
        </w:rPr>
        <w:t>in </w:t>
      </w:r>
      <w:r>
        <w:rPr>
          <w:color w:val="383638"/>
          <w:w w:val="110"/>
        </w:rPr>
        <w:t>two circumstances. First, </w:t>
      </w:r>
      <w:r>
        <w:rPr>
          <w:color w:val="49494B"/>
          <w:w w:val="110"/>
        </w:rPr>
        <w:t>semicolons </w:t>
      </w:r>
      <w:r>
        <w:rPr>
          <w:color w:val="383638"/>
          <w:w w:val="110"/>
        </w:rPr>
        <w:t>punctu­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ate a list when items in the </w:t>
      </w:r>
      <w:r>
        <w:rPr>
          <w:color w:val="383638"/>
          <w:w w:val="110"/>
        </w:rPr>
        <w:t>list contain internal commas. In legal writing,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this </w:t>
      </w:r>
      <w:r>
        <w:rPr>
          <w:color w:val="49494B"/>
          <w:w w:val="110"/>
        </w:rPr>
        <w:t>situation </w:t>
      </w:r>
      <w:r>
        <w:rPr>
          <w:color w:val="383638"/>
          <w:w w:val="110"/>
        </w:rPr>
        <w:t>occurs most frequently when writers cite multiple cases 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support of a proposition. Second, semicolons separate two independent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clauses. This technique is frequently used to highlight some sort of rela­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tionship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between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5"/>
          <w:w w:val="110"/>
        </w:rPr>
        <w:t> </w:t>
      </w:r>
      <w:r>
        <w:rPr>
          <w:color w:val="383638"/>
          <w:w w:val="110"/>
        </w:rPr>
        <w:t>two clauses,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following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examples:</w:t>
      </w:r>
    </w:p>
    <w:p>
      <w:pPr>
        <w:pStyle w:val="BodyText"/>
        <w:spacing w:before="3"/>
        <w:rPr>
          <w:sz w:val="9"/>
        </w:rPr>
      </w:pPr>
    </w:p>
    <w:p>
      <w:pPr>
        <w:spacing w:before="94"/>
        <w:ind w:left="772" w:right="0" w:firstLine="0"/>
        <w:jc w:val="left"/>
        <w:rPr>
          <w:b/>
          <w:sz w:val="16"/>
        </w:rPr>
      </w:pPr>
      <w:r>
        <w:rPr>
          <w:rFonts w:ascii="Arial"/>
          <w:color w:val="5D5D60"/>
          <w:spacing w:val="-1"/>
          <w:w w:val="120"/>
          <w:sz w:val="15"/>
          <w:u w:val="thick" w:color="5D5D60"/>
        </w:rPr>
        <w:t>_/\,</w:t>
      </w:r>
      <w:r>
        <w:rPr>
          <w:rFonts w:ascii="Arial"/>
          <w:color w:val="5D5D60"/>
          <w:spacing w:val="-27"/>
          <w:w w:val="120"/>
          <w:sz w:val="15"/>
        </w:rPr>
        <w:t> </w:t>
      </w:r>
      <w:r>
        <w:rPr>
          <w:rFonts w:ascii="Arial"/>
          <w:color w:val="49494B"/>
          <w:spacing w:val="-1"/>
          <w:sz w:val="15"/>
          <w:u w:val="thick" w:color="49494B"/>
        </w:rPr>
        <w:t>GOOD</w:t>
      </w:r>
      <w:r>
        <w:rPr>
          <w:rFonts w:ascii="Arial"/>
          <w:color w:val="49494B"/>
          <w:sz w:val="15"/>
          <w:u w:val="thick" w:color="49494B"/>
        </w:rPr>
        <w:t> </w:t>
      </w:r>
      <w:r>
        <w:rPr>
          <w:b/>
          <w:color w:val="49494B"/>
          <w:spacing w:val="-1"/>
          <w:sz w:val="16"/>
          <w:u w:val="thick" w:color="49494B"/>
        </w:rPr>
        <w:t>EXAMPLE</w:t>
      </w:r>
    </w:p>
    <w:p>
      <w:pPr>
        <w:spacing w:line="230" w:lineRule="auto" w:before="85"/>
        <w:ind w:left="1103" w:right="251" w:firstLine="2"/>
        <w:jc w:val="left"/>
        <w:rPr>
          <w:b/>
          <w:i/>
          <w:sz w:val="22"/>
        </w:rPr>
      </w:pPr>
      <w:r>
        <w:rPr>
          <w:b/>
          <w:color w:val="383638"/>
          <w:w w:val="110"/>
          <w:sz w:val="21"/>
        </w:rPr>
        <w:t>Section</w:t>
      </w:r>
      <w:r>
        <w:rPr>
          <w:b/>
          <w:color w:val="383638"/>
          <w:spacing w:val="2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1409(a)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does</w:t>
      </w:r>
      <w:r>
        <w:rPr>
          <w:b/>
          <w:color w:val="383638"/>
          <w:spacing w:val="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more</w:t>
      </w:r>
      <w:r>
        <w:rPr>
          <w:b/>
          <w:color w:val="383638"/>
          <w:spacing w:val="10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than</w:t>
      </w:r>
      <w:r>
        <w:rPr>
          <w:b/>
          <w:color w:val="383638"/>
          <w:spacing w:val="1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legislate</w:t>
      </w:r>
      <w:r>
        <w:rPr>
          <w:b/>
          <w:color w:val="383638"/>
          <w:spacing w:val="12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on</w:t>
      </w:r>
      <w:r>
        <w:rPr>
          <w:b/>
          <w:color w:val="383638"/>
          <w:spacing w:val="3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</w:t>
      </w:r>
      <w:r>
        <w:rPr>
          <w:b/>
          <w:color w:val="383638"/>
          <w:spacing w:val="2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basis</w:t>
      </w:r>
      <w:r>
        <w:rPr>
          <w:b/>
          <w:color w:val="383638"/>
          <w:spacing w:val="-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of</w:t>
      </w:r>
      <w:r>
        <w:rPr>
          <w:b/>
          <w:color w:val="383638"/>
          <w:spacing w:val="2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this</w:t>
      </w:r>
      <w:r>
        <w:rPr>
          <w:b/>
          <w:color w:val="383638"/>
          <w:spacing w:val="-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stereo­</w:t>
      </w:r>
      <w:r>
        <w:rPr>
          <w:b/>
          <w:color w:val="383638"/>
          <w:spacing w:val="-55"/>
          <w:w w:val="110"/>
          <w:sz w:val="21"/>
        </w:rPr>
        <w:t> </w:t>
      </w:r>
      <w:r>
        <w:rPr>
          <w:b/>
          <w:color w:val="383638"/>
          <w:w w:val="105"/>
          <w:sz w:val="21"/>
        </w:rPr>
        <w:t>type</w:t>
      </w:r>
      <w:r>
        <w:rPr>
          <w:b/>
          <w:color w:val="383638"/>
          <w:spacing w:val="-9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beyond</w:t>
      </w:r>
      <w:r>
        <w:rPr>
          <w:b/>
          <w:color w:val="383638"/>
          <w:spacing w:val="-2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infancy;</w:t>
      </w:r>
      <w:r>
        <w:rPr>
          <w:b/>
          <w:color w:val="383638"/>
          <w:spacing w:val="-3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it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applies</w:t>
      </w:r>
      <w:r>
        <w:rPr>
          <w:b/>
          <w:color w:val="383638"/>
          <w:spacing w:val="-3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this</w:t>
      </w:r>
      <w:r>
        <w:rPr>
          <w:b/>
          <w:color w:val="808285"/>
          <w:w w:val="105"/>
          <w:sz w:val="21"/>
        </w:rPr>
        <w:t>·</w:t>
      </w:r>
      <w:r>
        <w:rPr>
          <w:b/>
          <w:color w:val="383638"/>
          <w:w w:val="105"/>
          <w:sz w:val="21"/>
        </w:rPr>
        <w:t>stereotype</w:t>
      </w:r>
      <w:r>
        <w:rPr>
          <w:b/>
          <w:color w:val="383638"/>
          <w:spacing w:val="48"/>
          <w:w w:val="105"/>
          <w:sz w:val="21"/>
        </w:rPr>
        <w:t> </w:t>
      </w:r>
      <w:r>
        <w:rPr>
          <w:b/>
          <w:i/>
          <w:color w:val="383638"/>
          <w:w w:val="105"/>
          <w:sz w:val="22"/>
        </w:rPr>
        <w:t>forever.</w:t>
      </w:r>
    </w:p>
    <w:p>
      <w:pPr>
        <w:pStyle w:val="BodyText"/>
        <w:spacing w:before="9"/>
        <w:rPr>
          <w:b/>
          <w:i/>
          <w:sz w:val="9"/>
        </w:rPr>
      </w:pPr>
    </w:p>
    <w:p>
      <w:pPr>
        <w:spacing w:before="96"/>
        <w:ind w:left="762" w:right="0" w:firstLine="0"/>
        <w:jc w:val="left"/>
        <w:rPr>
          <w:rFonts w:ascii="Arial"/>
          <w:sz w:val="14"/>
        </w:rPr>
      </w:pPr>
      <w:r>
        <w:rPr>
          <w:rFonts w:ascii="Arial"/>
          <w:color w:val="5D5D60"/>
          <w:spacing w:val="-1"/>
          <w:w w:val="95"/>
          <w:sz w:val="14"/>
          <w:u w:val="thick" w:color="5D5D60"/>
        </w:rPr>
        <w:t>_/\</w:t>
      </w:r>
      <w:r>
        <w:rPr>
          <w:rFonts w:ascii="Arial"/>
          <w:color w:val="5D5D60"/>
          <w:spacing w:val="60"/>
          <w:sz w:val="14"/>
          <w:u w:val="thick" w:color="5D5D60"/>
        </w:rPr>
        <w:t> </w:t>
      </w:r>
      <w:r>
        <w:rPr>
          <w:rFonts w:ascii="Arial"/>
          <w:color w:val="5D5D60"/>
          <w:spacing w:val="60"/>
          <w:sz w:val="14"/>
        </w:rPr>
        <w:t> </w:t>
      </w:r>
      <w:r>
        <w:rPr>
          <w:rFonts w:ascii="Arial"/>
          <w:color w:val="49494B"/>
          <w:w w:val="105"/>
          <w:sz w:val="14"/>
          <w:u w:val="thick" w:color="49494B"/>
        </w:rPr>
        <w:t>GOOD</w:t>
      </w:r>
      <w:r>
        <w:rPr>
          <w:rFonts w:ascii="Arial"/>
          <w:color w:val="49494B"/>
          <w:spacing w:val="14"/>
          <w:w w:val="105"/>
          <w:sz w:val="14"/>
          <w:u w:val="thick" w:color="49494B"/>
        </w:rPr>
        <w:t> </w:t>
      </w:r>
      <w:r>
        <w:rPr>
          <w:rFonts w:ascii="Arial"/>
          <w:color w:val="49494B"/>
          <w:w w:val="105"/>
          <w:sz w:val="14"/>
          <w:u w:val="thick" w:color="49494B"/>
        </w:rPr>
        <w:t>EXAMPLE</w:t>
      </w:r>
    </w:p>
    <w:p>
      <w:pPr>
        <w:spacing w:line="235" w:lineRule="auto" w:before="106"/>
        <w:ind w:left="1079" w:right="446" w:firstLine="0"/>
        <w:jc w:val="both"/>
        <w:rPr>
          <w:b/>
          <w:sz w:val="21"/>
        </w:rPr>
      </w:pPr>
      <w:r>
        <w:rPr>
          <w:b/>
          <w:color w:val="383638"/>
          <w:w w:val="105"/>
          <w:sz w:val="21"/>
        </w:rPr>
        <w:t>TheSupreme Court has allowed a warrantless search when a custodial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color w:val="383638"/>
          <w:w w:val="110"/>
          <w:sz w:val="21"/>
        </w:rPr>
        <w:t>arrest is performed  largely because the  suspect already  </w:t>
      </w:r>
      <w:r>
        <w:rPr>
          <w:color w:val="383638"/>
          <w:w w:val="110"/>
          <w:sz w:val="20"/>
        </w:rPr>
        <w:t>will </w:t>
      </w:r>
      <w:r>
        <w:rPr>
          <w:color w:val="383638"/>
          <w:w w:val="110"/>
          <w:sz w:val="21"/>
        </w:rPr>
        <w:t>be subject</w:t>
      </w:r>
      <w:r>
        <w:rPr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05"/>
          <w:sz w:val="21"/>
        </w:rPr>
        <w:t>to substantial interference with individual liberties; similar intrusions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10"/>
          <w:sz w:val="21"/>
        </w:rPr>
        <w:t>exist</w:t>
      </w:r>
      <w:r>
        <w:rPr>
          <w:b/>
          <w:color w:val="383638"/>
          <w:spacing w:val="-17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when</w:t>
      </w:r>
      <w:r>
        <w:rPr>
          <w:b/>
          <w:color w:val="383638"/>
          <w:spacing w:val="-1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</w:t>
      </w:r>
      <w:r>
        <w:rPr>
          <w:b/>
          <w:color w:val="383638"/>
          <w:spacing w:val="-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citation</w:t>
      </w:r>
      <w:r>
        <w:rPr>
          <w:b/>
          <w:color w:val="383638"/>
          <w:spacing w:val="10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is</w:t>
      </w:r>
      <w:r>
        <w:rPr>
          <w:b/>
          <w:color w:val="383638"/>
          <w:spacing w:val="-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issued</w:t>
      </w:r>
      <w:r>
        <w:rPr>
          <w:b/>
          <w:color w:val="383638"/>
          <w:spacing w:val="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in</w:t>
      </w:r>
      <w:r>
        <w:rPr>
          <w:b/>
          <w:color w:val="383638"/>
          <w:spacing w:val="1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lieu</w:t>
      </w:r>
      <w:r>
        <w:rPr>
          <w:b/>
          <w:color w:val="383638"/>
          <w:spacing w:val="-1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of an</w:t>
      </w:r>
      <w:r>
        <w:rPr>
          <w:b/>
          <w:color w:val="383638"/>
          <w:spacing w:val="-2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arrest.</w:t>
      </w:r>
    </w:p>
    <w:p>
      <w:pPr>
        <w:pStyle w:val="BodyText"/>
        <w:spacing w:line="232" w:lineRule="auto" w:before="144"/>
        <w:ind w:left="613" w:right="104" w:firstLine="74"/>
        <w:jc w:val="both"/>
      </w:pPr>
      <w:r>
        <w:rPr>
          <w:color w:val="383638"/>
          <w:w w:val="110"/>
        </w:rPr>
        <w:t>Semicolons can also be used to juxtapose information </w:t>
      </w:r>
      <w:r>
        <w:rPr>
          <w:color w:val="49494B"/>
          <w:w w:val="110"/>
        </w:rPr>
        <w:t>in </w:t>
      </w:r>
      <w:r>
        <w:rPr>
          <w:color w:val="383638"/>
          <w:w w:val="110"/>
        </w:rPr>
        <w:t>a way that leads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reader to draw a conclusion. In </w:t>
      </w:r>
      <w:r>
        <w:rPr>
          <w:i/>
          <w:color w:val="383638"/>
          <w:w w:val="110"/>
        </w:rPr>
        <w:t>Minnesota v. Carter, </w:t>
      </w:r>
      <w:r>
        <w:rPr>
          <w:color w:val="383638"/>
          <w:w w:val="110"/>
        </w:rPr>
        <w:t>for example,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petitioner might want the reader to draw the conclusion that the respon­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dents did not have a legitimate expectation  of  privacy in  the  apartment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 which they were bagging cocaine. This conclusion could be supported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by the lack of a connection between the respondents and Thompson, who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lived 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apartment. In the statement of facts, it is inappropriate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argue, but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writer could use a semicolon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juxtapose two facts that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might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lead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reader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desired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conclusion:</w:t>
      </w:r>
    </w:p>
    <w:p>
      <w:pPr>
        <w:pStyle w:val="BodyText"/>
        <w:spacing w:before="4"/>
        <w:rPr>
          <w:sz w:val="10"/>
        </w:rPr>
      </w:pPr>
    </w:p>
    <w:p>
      <w:pPr>
        <w:spacing w:before="96"/>
        <w:ind w:left="607" w:right="0" w:firstLine="0"/>
        <w:jc w:val="left"/>
        <w:rPr>
          <w:rFonts w:ascii="Arial"/>
          <w:sz w:val="14"/>
        </w:rPr>
      </w:pPr>
      <w:r>
        <w:rPr>
          <w:rFonts w:ascii="Arial"/>
          <w:color w:val="5D5D60"/>
          <w:w w:val="110"/>
          <w:sz w:val="14"/>
          <w:u w:val="thick" w:color="5D5D60"/>
        </w:rPr>
        <w:t>_/\   </w:t>
      </w:r>
      <w:r>
        <w:rPr>
          <w:rFonts w:ascii="Arial"/>
          <w:color w:val="5D5D60"/>
          <w:spacing w:val="40"/>
          <w:w w:val="110"/>
          <w:sz w:val="14"/>
        </w:rPr>
        <w:t> </w:t>
      </w:r>
      <w:r>
        <w:rPr>
          <w:rFonts w:ascii="Arial"/>
          <w:color w:val="49494B"/>
          <w:w w:val="110"/>
          <w:sz w:val="14"/>
          <w:u w:val="thick" w:color="49494B"/>
        </w:rPr>
        <w:t>GOOD EXAMPLE</w:t>
      </w:r>
    </w:p>
    <w:p>
      <w:pPr>
        <w:spacing w:line="235" w:lineRule="auto" w:before="96"/>
        <w:ind w:left="934" w:right="453" w:firstLine="34"/>
        <w:jc w:val="both"/>
        <w:rPr>
          <w:b/>
          <w:sz w:val="21"/>
        </w:rPr>
      </w:pPr>
      <w:r>
        <w:rPr>
          <w:b/>
          <w:color w:val="383638"/>
          <w:w w:val="110"/>
          <w:sz w:val="21"/>
        </w:rPr>
        <w:t>Nothing in the record indicates any personal or social relationship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between Thompson and the Respondents; none of Respondents' per­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spacing w:val="-1"/>
          <w:w w:val="110"/>
          <w:sz w:val="21"/>
        </w:rPr>
        <w:t>sonal</w:t>
      </w:r>
      <w:r>
        <w:rPr>
          <w:b/>
          <w:color w:val="383638"/>
          <w:spacing w:val="-14"/>
          <w:w w:val="110"/>
          <w:sz w:val="21"/>
        </w:rPr>
        <w:t> </w:t>
      </w:r>
      <w:r>
        <w:rPr>
          <w:b/>
          <w:color w:val="383638"/>
          <w:spacing w:val="-1"/>
          <w:w w:val="110"/>
          <w:sz w:val="21"/>
        </w:rPr>
        <w:t>effects</w:t>
      </w:r>
      <w:r>
        <w:rPr>
          <w:b/>
          <w:color w:val="383638"/>
          <w:spacing w:val="-1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were</w:t>
      </w:r>
      <w:r>
        <w:rPr>
          <w:b/>
          <w:color w:val="383638"/>
          <w:spacing w:val="-2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found</w:t>
      </w:r>
      <w:r>
        <w:rPr>
          <w:b/>
          <w:color w:val="383638"/>
          <w:spacing w:val="-23"/>
          <w:w w:val="110"/>
          <w:sz w:val="21"/>
        </w:rPr>
        <w:t> </w:t>
      </w:r>
      <w:r>
        <w:rPr>
          <w:color w:val="383638"/>
          <w:w w:val="110"/>
          <w:sz w:val="19"/>
        </w:rPr>
        <w:t>in</w:t>
      </w:r>
      <w:r>
        <w:rPr>
          <w:color w:val="383638"/>
          <w:spacing w:val="38"/>
          <w:w w:val="110"/>
          <w:sz w:val="19"/>
        </w:rPr>
        <w:t> </w:t>
      </w:r>
      <w:r>
        <w:rPr>
          <w:b/>
          <w:color w:val="383638"/>
          <w:w w:val="110"/>
          <w:sz w:val="21"/>
        </w:rPr>
        <w:t>the</w:t>
      </w:r>
      <w:r>
        <w:rPr>
          <w:b/>
          <w:color w:val="383638"/>
          <w:spacing w:val="-3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apartment,</w:t>
      </w:r>
      <w:r>
        <w:rPr>
          <w:b/>
          <w:color w:val="383638"/>
          <w:spacing w:val="-1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and</w:t>
      </w:r>
      <w:r>
        <w:rPr>
          <w:b/>
          <w:color w:val="383638"/>
          <w:spacing w:val="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they</w:t>
      </w:r>
      <w:r>
        <w:rPr>
          <w:b/>
          <w:color w:val="383638"/>
          <w:spacing w:val="-2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did</w:t>
      </w:r>
      <w:r>
        <w:rPr>
          <w:b/>
          <w:color w:val="383638"/>
          <w:spacing w:val="-1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not</w:t>
      </w:r>
      <w:r>
        <w:rPr>
          <w:b/>
          <w:color w:val="383638"/>
          <w:spacing w:val="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present</w:t>
      </w:r>
      <w:r>
        <w:rPr>
          <w:b/>
          <w:color w:val="383638"/>
          <w:spacing w:val="-2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any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05"/>
          <w:sz w:val="21"/>
        </w:rPr>
        <w:t>evidence</w:t>
      </w:r>
      <w:r>
        <w:rPr>
          <w:b/>
          <w:color w:val="383638"/>
          <w:spacing w:val="7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that</w:t>
      </w:r>
      <w:r>
        <w:rPr>
          <w:b/>
          <w:color w:val="383638"/>
          <w:spacing w:val="2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they</w:t>
      </w:r>
      <w:r>
        <w:rPr>
          <w:b/>
          <w:color w:val="383638"/>
          <w:spacing w:val="-6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were</w:t>
      </w:r>
      <w:r>
        <w:rPr>
          <w:b/>
          <w:color w:val="383638"/>
          <w:spacing w:val="-5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overnight</w:t>
      </w:r>
      <w:r>
        <w:rPr>
          <w:b/>
          <w:color w:val="383638"/>
          <w:spacing w:val="-19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guests.</w:t>
      </w:r>
      <w:r>
        <w:rPr>
          <w:b/>
          <w:color w:val="383638"/>
          <w:spacing w:val="-10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See</w:t>
      </w:r>
      <w:r>
        <w:rPr>
          <w:b/>
          <w:color w:val="383638"/>
          <w:spacing w:val="-3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Record</w:t>
      </w:r>
      <w:r>
        <w:rPr>
          <w:b/>
          <w:color w:val="383638"/>
          <w:spacing w:val="8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E-4,</w:t>
      </w:r>
      <w:r>
        <w:rPr>
          <w:b/>
          <w:color w:val="383638"/>
          <w:spacing w:val="6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E-7,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and</w:t>
      </w:r>
      <w:r>
        <w:rPr>
          <w:b/>
          <w:color w:val="383638"/>
          <w:spacing w:val="52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G-2.</w:t>
      </w:r>
    </w:p>
    <w:p>
      <w:pPr>
        <w:pStyle w:val="BodyText"/>
        <w:spacing w:line="235" w:lineRule="auto" w:before="133"/>
        <w:ind w:left="520" w:firstLine="409"/>
      </w:pPr>
      <w:r>
        <w:rPr>
          <w:color w:val="383638"/>
          <w:w w:val="110"/>
        </w:rPr>
        <w:t>Because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can</w:t>
      </w:r>
      <w:r>
        <w:rPr>
          <w:color w:val="383638"/>
          <w:spacing w:val="1"/>
          <w:w w:val="110"/>
        </w:rPr>
        <w:t> </w:t>
      </w:r>
      <w:r>
        <w:rPr>
          <w:i/>
          <w:color w:val="383638"/>
          <w:w w:val="110"/>
          <w:sz w:val="24"/>
        </w:rPr>
        <w:t>state </w:t>
      </w:r>
      <w:r>
        <w:rPr>
          <w:color w:val="383638"/>
          <w:w w:val="110"/>
        </w:rPr>
        <w:t>conclusions rather than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imply them within the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5"/>
        </w:rPr>
        <w:t>argument,</w:t>
      </w:r>
      <w:r>
        <w:rPr>
          <w:color w:val="383638"/>
          <w:spacing w:val="20"/>
          <w:w w:val="115"/>
        </w:rPr>
        <w:t> </w:t>
      </w:r>
      <w:r>
        <w:rPr>
          <w:color w:val="383638"/>
          <w:w w:val="115"/>
        </w:rPr>
        <w:t>this</w:t>
      </w:r>
      <w:r>
        <w:rPr>
          <w:color w:val="383638"/>
          <w:spacing w:val="11"/>
          <w:w w:val="115"/>
        </w:rPr>
        <w:t> </w:t>
      </w:r>
      <w:r>
        <w:rPr>
          <w:color w:val="383638"/>
          <w:w w:val="115"/>
        </w:rPr>
        <w:t>method</w:t>
      </w:r>
      <w:r>
        <w:rPr>
          <w:color w:val="383638"/>
          <w:spacing w:val="13"/>
          <w:w w:val="115"/>
        </w:rPr>
        <w:t> </w:t>
      </w:r>
      <w:r>
        <w:rPr>
          <w:color w:val="383638"/>
          <w:w w:val="115"/>
        </w:rPr>
        <w:t>is</w:t>
      </w:r>
      <w:r>
        <w:rPr>
          <w:color w:val="383638"/>
          <w:spacing w:val="4"/>
          <w:w w:val="115"/>
        </w:rPr>
        <w:t> </w:t>
      </w:r>
      <w:r>
        <w:rPr>
          <w:color w:val="383638"/>
          <w:w w:val="115"/>
        </w:rPr>
        <w:t>used</w:t>
      </w:r>
      <w:r>
        <w:rPr>
          <w:color w:val="383638"/>
          <w:spacing w:val="19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12"/>
          <w:w w:val="115"/>
        </w:rPr>
        <w:t> </w:t>
      </w:r>
      <w:r>
        <w:rPr>
          <w:color w:val="383638"/>
          <w:w w:val="115"/>
        </w:rPr>
        <w:t>greatest effect</w:t>
      </w:r>
      <w:r>
        <w:rPr>
          <w:color w:val="383638"/>
          <w:spacing w:val="10"/>
          <w:w w:val="115"/>
        </w:rPr>
        <w:t> </w:t>
      </w:r>
      <w:r>
        <w:rPr>
          <w:color w:val="383638"/>
          <w:w w:val="115"/>
        </w:rPr>
        <w:t>in</w:t>
      </w:r>
      <w:r>
        <w:rPr>
          <w:color w:val="383638"/>
          <w:spacing w:val="36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30"/>
          <w:w w:val="115"/>
        </w:rPr>
        <w:t> </w:t>
      </w:r>
      <w:r>
        <w:rPr>
          <w:color w:val="383638"/>
          <w:w w:val="115"/>
        </w:rPr>
        <w:t>statement</w:t>
      </w:r>
      <w:r>
        <w:rPr>
          <w:color w:val="383638"/>
          <w:spacing w:val="4"/>
          <w:w w:val="115"/>
        </w:rPr>
        <w:t> </w:t>
      </w:r>
      <w:r>
        <w:rPr>
          <w:color w:val="383638"/>
          <w:w w:val="115"/>
        </w:rPr>
        <w:t>of</w:t>
      </w:r>
      <w:r>
        <w:rPr>
          <w:color w:val="383638"/>
          <w:spacing w:val="11"/>
          <w:w w:val="115"/>
        </w:rPr>
        <w:t> </w:t>
      </w:r>
      <w:r>
        <w:rPr>
          <w:color w:val="383638"/>
          <w:w w:val="115"/>
        </w:rPr>
        <w:t>the</w:t>
      </w:r>
    </w:p>
    <w:p>
      <w:pPr>
        <w:spacing w:after="0" w:line="235" w:lineRule="auto"/>
        <w:sectPr>
          <w:headerReference w:type="even" r:id="rId301"/>
          <w:headerReference w:type="default" r:id="rId302"/>
          <w:pgSz w:w="9880" w:h="13990"/>
          <w:pgMar w:header="511" w:footer="0" w:top="1120" w:bottom="280" w:left="1380" w:right="220"/>
          <w:pgNumType w:start="26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32" w:lineRule="auto"/>
        <w:ind w:left="116" w:right="660"/>
        <w:jc w:val="both"/>
      </w:pPr>
      <w:r>
        <w:rPr>
          <w:color w:val="3A3838"/>
          <w:w w:val="105"/>
        </w:rPr>
        <w:t>case. But you can always use semicolons to make clear a close relationship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b</w:t>
      </w:r>
      <w:r>
        <w:rPr>
          <w:color w:val="504F52"/>
          <w:w w:val="105"/>
        </w:rPr>
        <w:t>e</w:t>
      </w:r>
      <w:r>
        <w:rPr>
          <w:color w:val="3A3838"/>
          <w:w w:val="105"/>
        </w:rPr>
        <w:t>tween tw</w:t>
      </w:r>
      <w:r>
        <w:rPr>
          <w:color w:val="504F52"/>
          <w:w w:val="105"/>
        </w:rPr>
        <w:t>o </w:t>
      </w:r>
      <w:r>
        <w:rPr>
          <w:color w:val="3A3838"/>
          <w:w w:val="105"/>
        </w:rPr>
        <w:t>ideas. In any case, good writers are abl</w:t>
      </w:r>
      <w:r>
        <w:rPr>
          <w:color w:val="504F52"/>
          <w:w w:val="105"/>
        </w:rPr>
        <w:t>e </w:t>
      </w:r>
      <w:r>
        <w:rPr>
          <w:color w:val="3A3838"/>
          <w:w w:val="105"/>
        </w:rPr>
        <w:t>to present information</w:t>
      </w:r>
      <w:r>
        <w:rPr>
          <w:color w:val="3A3838"/>
          <w:spacing w:val="-58"/>
          <w:w w:val="105"/>
        </w:rPr>
        <w:t> </w:t>
      </w:r>
      <w:r>
        <w:rPr>
          <w:color w:val="3A3838"/>
          <w:w w:val="105"/>
        </w:rPr>
        <w:t>in</w:t>
      </w:r>
      <w:r>
        <w:rPr>
          <w:color w:val="3A3838"/>
          <w:spacing w:val="-25"/>
          <w:w w:val="105"/>
        </w:rPr>
        <w:t> </w:t>
      </w:r>
      <w:r>
        <w:rPr>
          <w:color w:val="3A3838"/>
          <w:w w:val="105"/>
        </w:rPr>
        <w:t>a</w:t>
      </w:r>
      <w:r>
        <w:rPr>
          <w:color w:val="3A3838"/>
          <w:spacing w:val="-17"/>
          <w:w w:val="105"/>
        </w:rPr>
        <w:t> </w:t>
      </w:r>
      <w:r>
        <w:rPr>
          <w:color w:val="3A3838"/>
          <w:w w:val="105"/>
        </w:rPr>
        <w:t>variety</w:t>
      </w:r>
      <w:r>
        <w:rPr>
          <w:color w:val="3A3838"/>
          <w:spacing w:val="-3"/>
          <w:w w:val="105"/>
        </w:rPr>
        <w:t> </w:t>
      </w:r>
      <w:r>
        <w:rPr>
          <w:color w:val="3A3838"/>
          <w:w w:val="105"/>
        </w:rPr>
        <w:t>of</w:t>
      </w:r>
      <w:r>
        <w:rPr>
          <w:color w:val="3A3838"/>
          <w:spacing w:val="11"/>
          <w:w w:val="105"/>
        </w:rPr>
        <w:t> </w:t>
      </w:r>
      <w:r>
        <w:rPr>
          <w:color w:val="3A3838"/>
          <w:w w:val="105"/>
        </w:rPr>
        <w:t>ways.</w:t>
      </w:r>
      <w:r>
        <w:rPr>
          <w:color w:val="3A3838"/>
          <w:spacing w:val="-9"/>
          <w:w w:val="105"/>
        </w:rPr>
        <w:t> </w:t>
      </w:r>
      <w:r>
        <w:rPr>
          <w:color w:val="3A3838"/>
          <w:w w:val="105"/>
        </w:rPr>
        <w:t>Prop</w:t>
      </w:r>
      <w:r>
        <w:rPr>
          <w:color w:val="504F52"/>
          <w:w w:val="105"/>
        </w:rPr>
        <w:t>e</w:t>
      </w:r>
      <w:r>
        <w:rPr>
          <w:color w:val="3A3838"/>
          <w:w w:val="105"/>
        </w:rPr>
        <w:t>r</w:t>
      </w:r>
      <w:r>
        <w:rPr>
          <w:color w:val="3A3838"/>
          <w:spacing w:val="5"/>
          <w:w w:val="105"/>
        </w:rPr>
        <w:t> </w:t>
      </w:r>
      <w:r>
        <w:rPr>
          <w:color w:val="3A3838"/>
          <w:w w:val="105"/>
        </w:rPr>
        <w:t>useof</w:t>
      </w:r>
      <w:r>
        <w:rPr>
          <w:color w:val="3A3838"/>
          <w:spacing w:val="-1"/>
          <w:w w:val="105"/>
        </w:rPr>
        <w:t> </w:t>
      </w:r>
      <w:r>
        <w:rPr>
          <w:color w:val="3A3838"/>
          <w:w w:val="105"/>
        </w:rPr>
        <w:t>semicolons</w:t>
      </w:r>
      <w:r>
        <w:rPr>
          <w:color w:val="3A3838"/>
          <w:spacing w:val="-12"/>
          <w:w w:val="105"/>
        </w:rPr>
        <w:t> </w:t>
      </w:r>
      <w:r>
        <w:rPr>
          <w:color w:val="3A3838"/>
          <w:w w:val="105"/>
        </w:rPr>
        <w:t>separates</w:t>
      </w:r>
      <w:r>
        <w:rPr>
          <w:color w:val="3A3838"/>
          <w:spacing w:val="-10"/>
          <w:w w:val="105"/>
        </w:rPr>
        <w:t> </w:t>
      </w:r>
      <w:r>
        <w:rPr>
          <w:color w:val="3A3838"/>
          <w:w w:val="105"/>
        </w:rPr>
        <w:t>sophisticated writers</w:t>
      </w:r>
      <w:r>
        <w:rPr>
          <w:color w:val="3A3838"/>
          <w:spacing w:val="-58"/>
          <w:w w:val="105"/>
        </w:rPr>
        <w:t> </w:t>
      </w:r>
      <w:r>
        <w:rPr>
          <w:color w:val="3A3838"/>
          <w:w w:val="105"/>
        </w:rPr>
        <w:t>from</w:t>
      </w:r>
      <w:r>
        <w:rPr>
          <w:color w:val="3A3838"/>
          <w:spacing w:val="2"/>
          <w:w w:val="105"/>
        </w:rPr>
        <w:t> </w:t>
      </w:r>
      <w:r>
        <w:rPr>
          <w:color w:val="3A3838"/>
          <w:w w:val="105"/>
        </w:rPr>
        <w:t>unsophisticated</w:t>
      </w:r>
      <w:r>
        <w:rPr>
          <w:color w:val="3A3838"/>
          <w:spacing w:val="-6"/>
          <w:w w:val="105"/>
        </w:rPr>
        <w:t> </w:t>
      </w:r>
      <w:r>
        <w:rPr>
          <w:color w:val="3A3838"/>
          <w:w w:val="105"/>
        </w:rPr>
        <w:t>ones;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it's</w:t>
      </w:r>
      <w:r>
        <w:rPr>
          <w:color w:val="3A3838"/>
          <w:spacing w:val="-18"/>
          <w:w w:val="105"/>
        </w:rPr>
        <w:t> </w:t>
      </w:r>
      <w:r>
        <w:rPr>
          <w:color w:val="3A3838"/>
          <w:w w:val="105"/>
        </w:rPr>
        <w:t>a</w:t>
      </w:r>
      <w:r>
        <w:rPr>
          <w:color w:val="3A3838"/>
          <w:spacing w:val="10"/>
          <w:w w:val="105"/>
        </w:rPr>
        <w:t> </w:t>
      </w:r>
      <w:r>
        <w:rPr>
          <w:color w:val="3A3838"/>
          <w:w w:val="105"/>
        </w:rPr>
        <w:t>good</w:t>
      </w:r>
      <w:r>
        <w:rPr>
          <w:color w:val="3A3838"/>
          <w:spacing w:val="11"/>
          <w:w w:val="105"/>
        </w:rPr>
        <w:t> </w:t>
      </w:r>
      <w:r>
        <w:rPr>
          <w:color w:val="3A3838"/>
          <w:w w:val="105"/>
        </w:rPr>
        <w:t>idea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to</w:t>
      </w:r>
      <w:r>
        <w:rPr>
          <w:color w:val="3A3838"/>
          <w:spacing w:val="13"/>
          <w:w w:val="105"/>
        </w:rPr>
        <w:t> </w:t>
      </w:r>
      <w:r>
        <w:rPr>
          <w:color w:val="3A3838"/>
          <w:w w:val="105"/>
        </w:rPr>
        <w:t>l</w:t>
      </w:r>
      <w:r>
        <w:rPr>
          <w:color w:val="504F52"/>
          <w:w w:val="105"/>
        </w:rPr>
        <w:t>e</w:t>
      </w:r>
      <w:r>
        <w:rPr>
          <w:color w:val="3A3838"/>
          <w:w w:val="105"/>
        </w:rPr>
        <w:t>arn</w:t>
      </w:r>
      <w:r>
        <w:rPr>
          <w:color w:val="3A3838"/>
          <w:spacing w:val="43"/>
          <w:w w:val="105"/>
        </w:rPr>
        <w:t> </w:t>
      </w:r>
      <w:r>
        <w:rPr>
          <w:color w:val="3A3838"/>
          <w:w w:val="105"/>
        </w:rPr>
        <w:t>to</w:t>
      </w:r>
      <w:r>
        <w:rPr>
          <w:color w:val="3A3838"/>
          <w:spacing w:val="43"/>
          <w:w w:val="105"/>
        </w:rPr>
        <w:t> </w:t>
      </w:r>
      <w:r>
        <w:rPr>
          <w:color w:val="3A3838"/>
          <w:w w:val="105"/>
        </w:rPr>
        <w:t>use</w:t>
      </w:r>
      <w:r>
        <w:rPr>
          <w:color w:val="3A3838"/>
          <w:spacing w:val="-9"/>
          <w:w w:val="105"/>
        </w:rPr>
        <w:t> </w:t>
      </w:r>
      <w:r>
        <w:rPr>
          <w:color w:val="3A3838"/>
          <w:w w:val="105"/>
        </w:rPr>
        <w:t>them</w:t>
      </w:r>
      <w:r>
        <w:rPr>
          <w:color w:val="3A3838"/>
          <w:spacing w:val="17"/>
          <w:w w:val="105"/>
        </w:rPr>
        <w:t> </w:t>
      </w:r>
      <w:r>
        <w:rPr>
          <w:color w:val="3A3838"/>
          <w:w w:val="105"/>
        </w:rPr>
        <w:t>properly.</w:t>
      </w:r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03"/>
        </w:numPr>
        <w:tabs>
          <w:tab w:pos="794" w:val="left" w:leader="none"/>
        </w:tabs>
        <w:spacing w:line="232" w:lineRule="exact" w:before="0" w:after="0"/>
        <w:ind w:left="793" w:right="0" w:hanging="374"/>
        <w:jc w:val="both"/>
        <w:rPr>
          <w:b/>
          <w:color w:val="3A3838"/>
          <w:sz w:val="21"/>
        </w:rPr>
      </w:pPr>
      <w:r>
        <w:rPr>
          <w:b/>
          <w:color w:val="3A3838"/>
          <w:w w:val="125"/>
          <w:sz w:val="21"/>
        </w:rPr>
        <w:t>TheD</w:t>
      </w:r>
      <w:r>
        <w:rPr>
          <w:b/>
          <w:color w:val="504F52"/>
          <w:w w:val="125"/>
          <w:sz w:val="21"/>
        </w:rPr>
        <w:t>as</w:t>
      </w:r>
      <w:r>
        <w:rPr>
          <w:b/>
          <w:color w:val="3A3838"/>
          <w:w w:val="125"/>
          <w:sz w:val="21"/>
        </w:rPr>
        <w:t>h</w:t>
      </w:r>
    </w:p>
    <w:p>
      <w:pPr>
        <w:pStyle w:val="BodyText"/>
        <w:spacing w:line="232" w:lineRule="auto"/>
        <w:ind w:left="117" w:right="586" w:firstLine="322"/>
        <w:jc w:val="both"/>
      </w:pPr>
      <w:r>
        <w:rPr>
          <w:color w:val="3A3838"/>
          <w:w w:val="110"/>
        </w:rPr>
        <w:t>Mary Barnard Ray and </w:t>
      </w:r>
      <w:r>
        <w:rPr>
          <w:color w:val="3A3838"/>
          <w:w w:val="110"/>
          <w:sz w:val="27"/>
        </w:rPr>
        <w:t>Jill </w:t>
      </w:r>
      <w:r>
        <w:rPr>
          <w:color w:val="3A3838"/>
          <w:w w:val="110"/>
        </w:rPr>
        <w:t>Ramsfield refer to the dash as "the gigolo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of the punctuation world,"</w:t>
      </w:r>
      <w:r>
        <w:rPr>
          <w:color w:val="3A3838"/>
          <w:w w:val="110"/>
          <w:vertAlign w:val="superscript"/>
        </w:rPr>
        <w:t>20</w:t>
      </w:r>
      <w:r>
        <w:rPr>
          <w:color w:val="3A3838"/>
          <w:w w:val="110"/>
          <w:vertAlign w:val="baseline"/>
        </w:rPr>
        <w:t> and too many dashes may give your writing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an inappropriately casual tone. The dash is used effectively, however, to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spacing w:val="-1"/>
          <w:w w:val="110"/>
          <w:vertAlign w:val="baseline"/>
        </w:rPr>
        <w:t>highlight information in the middle </w:t>
      </w:r>
      <w:r>
        <w:rPr>
          <w:color w:val="3A3838"/>
          <w:w w:val="110"/>
          <w:vertAlign w:val="baseline"/>
        </w:rPr>
        <w:t>of a sentence. Proper use of the dash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consists of a space, two hyphens</w:t>
      </w:r>
      <w:r>
        <w:rPr>
          <w:color w:val="504F52"/>
          <w:w w:val="110"/>
          <w:vertAlign w:val="baseline"/>
        </w:rPr>
        <w:t>, </w:t>
      </w:r>
      <w:r>
        <w:rPr>
          <w:color w:val="3A3838"/>
          <w:w w:val="110"/>
          <w:vertAlign w:val="baseline"/>
        </w:rPr>
        <w:t>and another space (at which point many</w:t>
      </w:r>
      <w:r>
        <w:rPr>
          <w:color w:val="3A3838"/>
          <w:spacing w:val="-61"/>
          <w:w w:val="110"/>
          <w:vertAlign w:val="baseline"/>
        </w:rPr>
        <w:t> </w:t>
      </w:r>
      <w:r>
        <w:rPr>
          <w:color w:val="3A3838"/>
          <w:spacing w:val="-1"/>
          <w:w w:val="110"/>
          <w:vertAlign w:val="baseline"/>
        </w:rPr>
        <w:t>word</w:t>
      </w:r>
      <w:r>
        <w:rPr>
          <w:color w:val="3A3838"/>
          <w:spacing w:val="-6"/>
          <w:w w:val="110"/>
          <w:vertAlign w:val="baseline"/>
        </w:rPr>
        <w:t> </w:t>
      </w:r>
      <w:r>
        <w:rPr>
          <w:color w:val="3A3838"/>
          <w:spacing w:val="-1"/>
          <w:w w:val="110"/>
          <w:vertAlign w:val="baseline"/>
        </w:rPr>
        <w:t>processing</w:t>
      </w:r>
      <w:r>
        <w:rPr>
          <w:color w:val="3A3838"/>
          <w:spacing w:val="-15"/>
          <w:w w:val="110"/>
          <w:vertAlign w:val="baseline"/>
        </w:rPr>
        <w:t> </w:t>
      </w:r>
      <w:r>
        <w:rPr>
          <w:color w:val="3A3838"/>
          <w:spacing w:val="-1"/>
          <w:w w:val="110"/>
          <w:vertAlign w:val="baseline"/>
        </w:rPr>
        <w:t>systems</w:t>
      </w:r>
      <w:r>
        <w:rPr>
          <w:color w:val="3A3838"/>
          <w:spacing w:val="-10"/>
          <w:w w:val="110"/>
          <w:vertAlign w:val="baseline"/>
        </w:rPr>
        <w:t> </w:t>
      </w:r>
      <w:r>
        <w:rPr>
          <w:color w:val="3A3838"/>
          <w:spacing w:val="-1"/>
          <w:w w:val="110"/>
          <w:vertAlign w:val="baseline"/>
        </w:rPr>
        <w:t>properly</w:t>
      </w:r>
      <w:r>
        <w:rPr>
          <w:color w:val="3A3838"/>
          <w:spacing w:val="-17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convert</w:t>
      </w:r>
      <w:r>
        <w:rPr>
          <w:color w:val="3A3838"/>
          <w:spacing w:val="-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the</w:t>
      </w:r>
      <w:r>
        <w:rPr>
          <w:color w:val="3A3838"/>
          <w:spacing w:val="3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two</w:t>
      </w:r>
      <w:r>
        <w:rPr>
          <w:color w:val="3A3838"/>
          <w:spacing w:val="-10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hyphens</w:t>
      </w:r>
      <w:r>
        <w:rPr>
          <w:color w:val="3A3838"/>
          <w:spacing w:val="-15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to</w:t>
      </w:r>
      <w:r>
        <w:rPr>
          <w:color w:val="3A3838"/>
          <w:spacing w:val="-16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</w:t>
      </w:r>
      <w:r>
        <w:rPr>
          <w:color w:val="3A3838"/>
          <w:spacing w:val="-17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connected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line called an </w:t>
      </w:r>
      <w:r>
        <w:rPr>
          <w:rFonts w:ascii="Arial" w:hAnsi="Arial"/>
          <w:i/>
          <w:color w:val="3A3838"/>
          <w:w w:val="110"/>
          <w:sz w:val="20"/>
          <w:vertAlign w:val="baseline"/>
        </w:rPr>
        <w:t>em dash). </w:t>
      </w:r>
      <w:r>
        <w:rPr>
          <w:color w:val="3A3838"/>
          <w:w w:val="110"/>
          <w:vertAlign w:val="baseline"/>
        </w:rPr>
        <w:t>When you use a dash on either side of an inter­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rupting phra</w:t>
      </w:r>
      <w:r>
        <w:rPr>
          <w:color w:val="504F52"/>
          <w:w w:val="110"/>
          <w:vertAlign w:val="baseline"/>
        </w:rPr>
        <w:t>se</w:t>
      </w:r>
      <w:r>
        <w:rPr>
          <w:color w:val="3A3838"/>
          <w:w w:val="110"/>
          <w:vertAlign w:val="baseline"/>
        </w:rPr>
        <w:t>, it creates white space on either side of the phra</w:t>
      </w:r>
      <w:r>
        <w:rPr>
          <w:color w:val="504F52"/>
          <w:w w:val="110"/>
          <w:vertAlign w:val="baseline"/>
        </w:rPr>
        <w:t>s</w:t>
      </w:r>
      <w:r>
        <w:rPr>
          <w:color w:val="3A3838"/>
          <w:w w:val="110"/>
          <w:vertAlign w:val="baseline"/>
        </w:rPr>
        <w:t>e and thus</w:t>
      </w:r>
      <w:r>
        <w:rPr>
          <w:color w:val="3A3838"/>
          <w:spacing w:val="-6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create</w:t>
      </w:r>
      <w:r>
        <w:rPr>
          <w:color w:val="504F52"/>
          <w:w w:val="110"/>
          <w:vertAlign w:val="baseline"/>
        </w:rPr>
        <w:t>s </w:t>
      </w:r>
      <w:r>
        <w:rPr>
          <w:color w:val="3A3838"/>
          <w:w w:val="110"/>
          <w:vertAlign w:val="baseline"/>
        </w:rPr>
        <w:t>a position of emphasis within the sentence</w:t>
      </w:r>
      <w:r>
        <w:rPr>
          <w:color w:val="504F52"/>
          <w:w w:val="110"/>
          <w:vertAlign w:val="baseline"/>
        </w:rPr>
        <w:t>. </w:t>
      </w:r>
      <w:r>
        <w:rPr>
          <w:color w:val="3A3838"/>
          <w:w w:val="110"/>
          <w:vertAlign w:val="baseline"/>
        </w:rPr>
        <w:t>Notice how the writer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05"/>
          <w:vertAlign w:val="baseline"/>
        </w:rPr>
        <w:t>of a </w:t>
      </w:r>
      <w:r>
        <w:rPr>
          <w:rFonts w:ascii="Arial" w:hAnsi="Arial"/>
          <w:i/>
          <w:color w:val="3A3838"/>
          <w:w w:val="105"/>
          <w:sz w:val="21"/>
          <w:vertAlign w:val="baseline"/>
        </w:rPr>
        <w:t>Miller v. Albright </w:t>
      </w:r>
      <w:r>
        <w:rPr>
          <w:color w:val="3A3838"/>
          <w:w w:val="105"/>
          <w:vertAlign w:val="baseline"/>
        </w:rPr>
        <w:t>brief uses the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dash to highlight a comparison between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w w:val="110"/>
          <w:vertAlign w:val="baseline"/>
        </w:rPr>
        <w:t>how the law treats the foreign-born children of United States citizens in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different</w:t>
      </w:r>
      <w:r>
        <w:rPr>
          <w:color w:val="3A3838"/>
          <w:spacing w:val="-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relationships:</w:t>
      </w:r>
    </w:p>
    <w:p>
      <w:pPr>
        <w:pStyle w:val="BodyText"/>
        <w:spacing w:before="3"/>
        <w:rPr>
          <w:sz w:val="16"/>
        </w:rPr>
      </w:pPr>
    </w:p>
    <w:p>
      <w:pPr>
        <w:spacing w:before="0"/>
        <w:ind w:left="107" w:right="0" w:firstLine="0"/>
        <w:jc w:val="both"/>
        <w:rPr>
          <w:sz w:val="16"/>
        </w:rPr>
      </w:pPr>
      <w:r>
        <w:rPr>
          <w:color w:val="3A3838"/>
          <w:sz w:val="16"/>
          <w:u w:val="thick" w:color="3A3838"/>
        </w:rPr>
        <w:t>_/\</w:t>
      </w:r>
      <w:r>
        <w:rPr>
          <w:color w:val="3A3838"/>
          <w:spacing w:val="42"/>
          <w:sz w:val="16"/>
        </w:rPr>
        <w:t> </w:t>
      </w:r>
      <w:r>
        <w:rPr>
          <w:color w:val="3A3838"/>
          <w:sz w:val="16"/>
          <w:u w:val="thick" w:color="504F52"/>
        </w:rPr>
        <w:t>GOOD</w:t>
      </w:r>
      <w:r>
        <w:rPr>
          <w:color w:val="3A3838"/>
          <w:spacing w:val="-2"/>
          <w:sz w:val="16"/>
          <w:u w:val="thick" w:color="504F52"/>
        </w:rPr>
        <w:t> </w:t>
      </w:r>
      <w:r>
        <w:rPr>
          <w:color w:val="3A3838"/>
          <w:sz w:val="16"/>
          <w:u w:val="thick" w:color="504F52"/>
        </w:rPr>
        <w:t>E</w:t>
      </w:r>
      <w:r>
        <w:rPr>
          <w:color w:val="676769"/>
          <w:sz w:val="16"/>
          <w:u w:val="thick" w:color="504F52"/>
        </w:rPr>
        <w:t>XAMP</w:t>
      </w:r>
      <w:r>
        <w:rPr>
          <w:color w:val="3A3838"/>
          <w:sz w:val="16"/>
          <w:u w:val="thick" w:color="504F52"/>
        </w:rPr>
        <w:t>L</w:t>
      </w:r>
      <w:r>
        <w:rPr>
          <w:color w:val="504F52"/>
          <w:sz w:val="16"/>
          <w:u w:val="thick" w:color="504F52"/>
        </w:rPr>
        <w:t>E</w:t>
      </w:r>
    </w:p>
    <w:p>
      <w:pPr>
        <w:spacing w:line="235" w:lineRule="auto" w:before="110"/>
        <w:ind w:left="445" w:right="887" w:hanging="1"/>
        <w:jc w:val="both"/>
        <w:rPr>
          <w:b/>
          <w:sz w:val="21"/>
        </w:rPr>
      </w:pPr>
      <w:r>
        <w:rPr>
          <w:b/>
          <w:color w:val="3A3838"/>
          <w:w w:val="110"/>
          <w:sz w:val="21"/>
        </w:rPr>
        <w:t>Children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in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the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first two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groups-those  </w:t>
      </w:r>
      <w:r>
        <w:rPr>
          <w:b/>
          <w:color w:val="2A282A"/>
          <w:w w:val="110"/>
          <w:sz w:val="21"/>
        </w:rPr>
        <w:t>who </w:t>
      </w:r>
      <w:r>
        <w:rPr>
          <w:b/>
          <w:color w:val="3A3838"/>
          <w:w w:val="110"/>
          <w:sz w:val="21"/>
        </w:rPr>
        <w:t>are "legitimate" and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5"/>
          <w:sz w:val="21"/>
        </w:rPr>
        <w:t>those who have a United States citizen mother-are United States</w:t>
      </w:r>
      <w:r>
        <w:rPr>
          <w:b/>
          <w:color w:val="3A3838"/>
          <w:spacing w:val="1"/>
          <w:w w:val="115"/>
          <w:sz w:val="21"/>
        </w:rPr>
        <w:t> </w:t>
      </w:r>
      <w:r>
        <w:rPr>
          <w:b/>
          <w:color w:val="3A3838"/>
          <w:w w:val="115"/>
          <w:sz w:val="21"/>
        </w:rPr>
        <w:t>citizens by birthright. See 8 U.S.C. §I40I(g) (1994). Children in the</w:t>
      </w:r>
      <w:r>
        <w:rPr>
          <w:b/>
          <w:color w:val="3A3838"/>
          <w:spacing w:val="-59"/>
          <w:w w:val="115"/>
          <w:sz w:val="21"/>
        </w:rPr>
        <w:t> </w:t>
      </w:r>
      <w:r>
        <w:rPr>
          <w:b/>
          <w:color w:val="2A282A"/>
          <w:w w:val="110"/>
          <w:sz w:val="21"/>
        </w:rPr>
        <w:t>last </w:t>
      </w:r>
      <w:r>
        <w:rPr>
          <w:b/>
          <w:color w:val="3A3838"/>
          <w:w w:val="110"/>
          <w:sz w:val="21"/>
        </w:rPr>
        <w:t>group, however-those "illegitimate" children with United States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spacing w:val="-1"/>
          <w:w w:val="115"/>
          <w:sz w:val="21"/>
        </w:rPr>
        <w:t>citizen</w:t>
      </w:r>
      <w:r>
        <w:rPr>
          <w:b/>
          <w:color w:val="3A3838"/>
          <w:spacing w:val="-11"/>
          <w:w w:val="115"/>
          <w:sz w:val="21"/>
        </w:rPr>
        <w:t> </w:t>
      </w:r>
      <w:r>
        <w:rPr>
          <w:b/>
          <w:color w:val="3A3838"/>
          <w:spacing w:val="-1"/>
          <w:w w:val="115"/>
          <w:sz w:val="21"/>
        </w:rPr>
        <w:t>fath</w:t>
      </w:r>
      <w:r>
        <w:rPr>
          <w:b/>
          <w:color w:val="504F52"/>
          <w:spacing w:val="-1"/>
          <w:w w:val="115"/>
          <w:sz w:val="21"/>
        </w:rPr>
        <w:t>e</w:t>
      </w:r>
      <w:r>
        <w:rPr>
          <w:b/>
          <w:color w:val="3A3838"/>
          <w:spacing w:val="-1"/>
          <w:w w:val="115"/>
          <w:sz w:val="21"/>
        </w:rPr>
        <w:t>rs-may</w:t>
      </w:r>
      <w:r>
        <w:rPr>
          <w:b/>
          <w:color w:val="3A3838"/>
          <w:spacing w:val="-6"/>
          <w:w w:val="115"/>
          <w:sz w:val="21"/>
        </w:rPr>
        <w:t> </w:t>
      </w:r>
      <w:r>
        <w:rPr>
          <w:b/>
          <w:color w:val="3A3838"/>
          <w:w w:val="115"/>
          <w:sz w:val="21"/>
        </w:rPr>
        <w:t>receive</w:t>
      </w:r>
      <w:r>
        <w:rPr>
          <w:b/>
          <w:color w:val="3A3838"/>
          <w:spacing w:val="-11"/>
          <w:w w:val="115"/>
          <w:sz w:val="21"/>
        </w:rPr>
        <w:t> </w:t>
      </w:r>
      <w:r>
        <w:rPr>
          <w:b/>
          <w:color w:val="3A3838"/>
          <w:w w:val="115"/>
          <w:sz w:val="21"/>
        </w:rPr>
        <w:t>their</w:t>
      </w:r>
      <w:r>
        <w:rPr>
          <w:b/>
          <w:color w:val="3A3838"/>
          <w:spacing w:val="-13"/>
          <w:w w:val="115"/>
          <w:sz w:val="21"/>
        </w:rPr>
        <w:t> </w:t>
      </w:r>
      <w:r>
        <w:rPr>
          <w:b/>
          <w:color w:val="3A3838"/>
          <w:w w:val="115"/>
          <w:sz w:val="21"/>
        </w:rPr>
        <w:t>fathers'citizenship</w:t>
      </w:r>
      <w:r>
        <w:rPr>
          <w:b/>
          <w:color w:val="3A3838"/>
          <w:spacing w:val="-25"/>
          <w:w w:val="115"/>
          <w:sz w:val="21"/>
        </w:rPr>
        <w:t> </w:t>
      </w:r>
      <w:r>
        <w:rPr>
          <w:b/>
          <w:color w:val="3A3838"/>
          <w:w w:val="115"/>
          <w:sz w:val="21"/>
        </w:rPr>
        <w:t>onlyafter</w:t>
      </w:r>
      <w:r>
        <w:rPr>
          <w:b/>
          <w:color w:val="3A3838"/>
          <w:spacing w:val="-38"/>
          <w:w w:val="115"/>
          <w:sz w:val="21"/>
        </w:rPr>
        <w:t> </w:t>
      </w:r>
      <w:r>
        <w:rPr>
          <w:b/>
          <w:color w:val="3A3838"/>
          <w:w w:val="115"/>
          <w:sz w:val="21"/>
        </w:rPr>
        <w:t>clear­</w:t>
      </w:r>
      <w:r>
        <w:rPr>
          <w:b/>
          <w:color w:val="3A3838"/>
          <w:spacing w:val="-58"/>
          <w:w w:val="115"/>
          <w:sz w:val="21"/>
        </w:rPr>
        <w:t> </w:t>
      </w:r>
      <w:r>
        <w:rPr>
          <w:b/>
          <w:color w:val="3A3838"/>
          <w:w w:val="115"/>
          <w:sz w:val="21"/>
        </w:rPr>
        <w:t>ing</w:t>
      </w:r>
      <w:r>
        <w:rPr>
          <w:b/>
          <w:color w:val="3A3838"/>
          <w:spacing w:val="-17"/>
          <w:w w:val="115"/>
          <w:sz w:val="21"/>
        </w:rPr>
        <w:t> </w:t>
      </w:r>
      <w:r>
        <w:rPr>
          <w:b/>
          <w:color w:val="3A3838"/>
          <w:w w:val="115"/>
          <w:sz w:val="21"/>
        </w:rPr>
        <w:t>several</w:t>
      </w:r>
      <w:r>
        <w:rPr>
          <w:b/>
          <w:color w:val="3A3838"/>
          <w:spacing w:val="-6"/>
          <w:w w:val="115"/>
          <w:sz w:val="21"/>
        </w:rPr>
        <w:t> </w:t>
      </w:r>
      <w:r>
        <w:rPr>
          <w:b/>
          <w:color w:val="3A3838"/>
          <w:w w:val="115"/>
          <w:sz w:val="21"/>
        </w:rPr>
        <w:t>hurdles.</w:t>
      </w:r>
    </w:p>
    <w:p>
      <w:pPr>
        <w:pStyle w:val="BodyText"/>
        <w:spacing w:line="235" w:lineRule="auto" w:before="141"/>
        <w:ind w:left="117" w:right="525" w:firstLine="1"/>
        <w:jc w:val="both"/>
      </w:pPr>
      <w:r>
        <w:rPr>
          <w:color w:val="3A3838"/>
          <w:w w:val="110"/>
        </w:rPr>
        <w:t>To avoid making your writing sound too casual, don't overuse the dash</w:t>
      </w:r>
      <w:r>
        <w:rPr>
          <w:color w:val="504F52"/>
          <w:w w:val="110"/>
        </w:rPr>
        <w:t>,</w:t>
      </w:r>
      <w:r>
        <w:rPr>
          <w:color w:val="504F52"/>
          <w:spacing w:val="1"/>
          <w:w w:val="110"/>
        </w:rPr>
        <w:t> </w:t>
      </w:r>
      <w:r>
        <w:rPr>
          <w:color w:val="3A3838"/>
          <w:w w:val="110"/>
        </w:rPr>
        <w:t>and use it only to set off an interrupting phrase in the middle of a sentence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rather</w:t>
      </w:r>
      <w:r>
        <w:rPr>
          <w:color w:val="3A3838"/>
          <w:spacing w:val="25"/>
          <w:w w:val="110"/>
        </w:rPr>
        <w:t> </w:t>
      </w:r>
      <w:r>
        <w:rPr>
          <w:color w:val="3A3838"/>
          <w:w w:val="110"/>
        </w:rPr>
        <w:t>than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as</w:t>
      </w:r>
      <w:r>
        <w:rPr>
          <w:color w:val="3A3838"/>
          <w:spacing w:val="-19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12"/>
          <w:w w:val="110"/>
        </w:rPr>
        <w:t> </w:t>
      </w:r>
      <w:r>
        <w:rPr>
          <w:color w:val="3A3838"/>
          <w:w w:val="110"/>
        </w:rPr>
        <w:t>means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7"/>
          <w:w w:val="110"/>
        </w:rPr>
        <w:t> </w:t>
      </w:r>
      <w:r>
        <w:rPr>
          <w:color w:val="3A3838"/>
          <w:w w:val="110"/>
        </w:rPr>
        <w:t>add</w:t>
      </w:r>
      <w:r>
        <w:rPr>
          <w:color w:val="3A3838"/>
          <w:spacing w:val="13"/>
          <w:w w:val="110"/>
        </w:rPr>
        <w:t> </w:t>
      </w:r>
      <w:r>
        <w:rPr>
          <w:color w:val="3A3838"/>
          <w:w w:val="110"/>
        </w:rPr>
        <w:t>an</w:t>
      </w:r>
      <w:r>
        <w:rPr>
          <w:color w:val="3A3838"/>
          <w:spacing w:val="30"/>
          <w:w w:val="110"/>
        </w:rPr>
        <w:t> </w:t>
      </w:r>
      <w:r>
        <w:rPr>
          <w:color w:val="3A3838"/>
          <w:w w:val="110"/>
        </w:rPr>
        <w:t>afterthought</w:t>
      </w:r>
      <w:r>
        <w:rPr>
          <w:color w:val="3A3838"/>
          <w:spacing w:val="19"/>
          <w:w w:val="110"/>
        </w:rPr>
        <w:t> </w:t>
      </w:r>
      <w:r>
        <w:rPr>
          <w:color w:val="3A3838"/>
          <w:w w:val="110"/>
        </w:rPr>
        <w:t>at</w:t>
      </w:r>
      <w:r>
        <w:rPr>
          <w:color w:val="3A3838"/>
          <w:spacing w:val="20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9"/>
          <w:w w:val="110"/>
        </w:rPr>
        <w:t> </w:t>
      </w:r>
      <w:r>
        <w:rPr>
          <w:color w:val="3A3838"/>
          <w:w w:val="110"/>
        </w:rPr>
        <w:t>end</w:t>
      </w:r>
      <w:r>
        <w:rPr>
          <w:color w:val="3A3838"/>
          <w:spacing w:val="25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14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9"/>
          <w:w w:val="110"/>
        </w:rPr>
        <w:t> </w:t>
      </w:r>
      <w:r>
        <w:rPr>
          <w:color w:val="3A3838"/>
          <w:w w:val="110"/>
        </w:rPr>
        <w:t>sentence</w:t>
      </w:r>
      <w:r>
        <w:rPr>
          <w:color w:val="504F52"/>
          <w:w w:val="110"/>
        </w:rPr>
        <w:t>.</w:t>
      </w:r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03"/>
        </w:numPr>
        <w:tabs>
          <w:tab w:pos="793" w:val="left" w:leader="none"/>
        </w:tabs>
        <w:spacing w:line="240" w:lineRule="auto" w:before="1" w:after="0"/>
        <w:ind w:left="792" w:right="0" w:hanging="348"/>
        <w:jc w:val="both"/>
        <w:rPr>
          <w:b/>
          <w:color w:val="3A3838"/>
          <w:sz w:val="22"/>
        </w:rPr>
      </w:pPr>
      <w:r>
        <w:rPr>
          <w:b/>
          <w:color w:val="3A3838"/>
          <w:w w:val="110"/>
          <w:sz w:val="22"/>
        </w:rPr>
        <w:t>T</w:t>
      </w:r>
      <w:r>
        <w:rPr>
          <w:b/>
          <w:color w:val="504F52"/>
          <w:w w:val="110"/>
          <w:sz w:val="22"/>
        </w:rPr>
        <w:t>he</w:t>
      </w:r>
      <w:r>
        <w:rPr>
          <w:b/>
          <w:color w:val="504F52"/>
          <w:spacing w:val="15"/>
          <w:w w:val="110"/>
          <w:sz w:val="22"/>
        </w:rPr>
        <w:t> </w:t>
      </w:r>
      <w:r>
        <w:rPr>
          <w:b/>
          <w:color w:val="504F52"/>
          <w:w w:val="110"/>
          <w:sz w:val="22"/>
        </w:rPr>
        <w:t>Colo</w:t>
      </w:r>
      <w:r>
        <w:rPr>
          <w:b/>
          <w:color w:val="3A3838"/>
          <w:w w:val="110"/>
          <w:sz w:val="22"/>
        </w:rPr>
        <w:t>n</w:t>
      </w:r>
    </w:p>
    <w:p>
      <w:pPr>
        <w:pStyle w:val="BodyText"/>
        <w:spacing w:line="230" w:lineRule="auto" w:before="25"/>
        <w:ind w:left="124" w:right="476" w:firstLine="322"/>
        <w:jc w:val="both"/>
      </w:pPr>
      <w:r>
        <w:rPr>
          <w:color w:val="3A3838"/>
          <w:w w:val="115"/>
        </w:rPr>
        <w:t>The colon ls my favorite way to </w:t>
      </w:r>
      <w:r>
        <w:rPr>
          <w:color w:val="2A282A"/>
          <w:w w:val="115"/>
        </w:rPr>
        <w:t>use </w:t>
      </w:r>
      <w:r>
        <w:rPr>
          <w:color w:val="3A3838"/>
          <w:w w:val="115"/>
        </w:rPr>
        <w:t>punctuation for emphasis</w:t>
      </w:r>
      <w:r>
        <w:rPr>
          <w:color w:val="504F52"/>
          <w:w w:val="115"/>
        </w:rPr>
        <w:t>. </w:t>
      </w:r>
      <w:r>
        <w:rPr>
          <w:color w:val="3A3838"/>
          <w:w w:val="115"/>
        </w:rPr>
        <w:t>Most</w:t>
      </w:r>
      <w:r>
        <w:rPr>
          <w:color w:val="3A3838"/>
          <w:spacing w:val="-64"/>
          <w:w w:val="115"/>
        </w:rPr>
        <w:t> </w:t>
      </w:r>
      <w:r>
        <w:rPr>
          <w:color w:val="3A3838"/>
          <w:w w:val="110"/>
        </w:rPr>
        <w:t>writers use it only to introduce a long quotation or list, and it is properly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used for that purpose. But it is very effectively used within sentences both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to highlight information and to explain or elaborate on the </w:t>
      </w:r>
      <w:r>
        <w:rPr>
          <w:color w:val="2A282A"/>
          <w:w w:val="115"/>
        </w:rPr>
        <w:t>information</w:t>
      </w:r>
      <w:r>
        <w:rPr>
          <w:color w:val="2A282A"/>
          <w:spacing w:val="1"/>
          <w:w w:val="115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-15"/>
          <w:w w:val="110"/>
        </w:rPr>
        <w:t> </w:t>
      </w:r>
      <w:r>
        <w:rPr>
          <w:color w:val="3A3838"/>
          <w:w w:val="110"/>
        </w:rPr>
        <w:t>came</w:t>
      </w:r>
      <w:r>
        <w:rPr>
          <w:color w:val="3A3838"/>
          <w:spacing w:val="-11"/>
          <w:w w:val="110"/>
        </w:rPr>
        <w:t> </w:t>
      </w:r>
      <w:r>
        <w:rPr>
          <w:color w:val="3A3838"/>
          <w:w w:val="110"/>
        </w:rPr>
        <w:t>before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8"/>
          <w:w w:val="110"/>
        </w:rPr>
        <w:t> </w:t>
      </w:r>
      <w:r>
        <w:rPr>
          <w:color w:val="3A3838"/>
          <w:w w:val="110"/>
        </w:rPr>
        <w:t>colon,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as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17"/>
          <w:w w:val="110"/>
        </w:rPr>
        <w:t> </w:t>
      </w:r>
      <w:r>
        <w:rPr>
          <w:color w:val="2A282A"/>
          <w:w w:val="110"/>
        </w:rPr>
        <w:t>these</w:t>
      </w:r>
      <w:r>
        <w:rPr>
          <w:color w:val="2A282A"/>
          <w:spacing w:val="-11"/>
          <w:w w:val="110"/>
        </w:rPr>
        <w:t> </w:t>
      </w:r>
      <w:r>
        <w:rPr>
          <w:color w:val="3A3838"/>
          <w:w w:val="110"/>
        </w:rPr>
        <w:t>examples:</w:t>
      </w:r>
    </w:p>
    <w:p>
      <w:pPr>
        <w:pStyle w:val="BodyText"/>
        <w:rPr>
          <w:sz w:val="16"/>
        </w:rPr>
      </w:pPr>
    </w:p>
    <w:p>
      <w:pPr>
        <w:spacing w:before="0"/>
        <w:ind w:left="117" w:right="0" w:firstLine="0"/>
        <w:jc w:val="left"/>
        <w:rPr>
          <w:b/>
          <w:sz w:val="16"/>
        </w:rPr>
      </w:pPr>
      <w:r>
        <w:rPr>
          <w:color w:val="3A3838"/>
          <w:sz w:val="16"/>
          <w:u w:val="thick" w:color="3A3838"/>
        </w:rPr>
        <w:t>_/\</w:t>
      </w:r>
      <w:r>
        <w:rPr>
          <w:color w:val="3A3838"/>
          <w:spacing w:val="49"/>
          <w:sz w:val="16"/>
          <w:u w:val="thick" w:color="3A3838"/>
        </w:rPr>
        <w:t> </w:t>
      </w:r>
      <w:r>
        <w:rPr>
          <w:color w:val="3A3838"/>
          <w:sz w:val="16"/>
          <w:u w:val="thick" w:color="3A3838"/>
        </w:rPr>
        <w:t>GOOD</w:t>
      </w:r>
      <w:r>
        <w:rPr>
          <w:color w:val="3A3838"/>
          <w:spacing w:val="-10"/>
          <w:sz w:val="16"/>
          <w:u w:val="thick" w:color="3A3838"/>
        </w:rPr>
        <w:t> </w:t>
      </w:r>
      <w:r>
        <w:rPr>
          <w:b/>
          <w:color w:val="3A3838"/>
          <w:sz w:val="16"/>
          <w:u w:val="thick" w:color="3A3838"/>
        </w:rPr>
        <w:t>E</w:t>
      </w:r>
      <w:r>
        <w:rPr>
          <w:b/>
          <w:color w:val="504F52"/>
          <w:sz w:val="16"/>
          <w:u w:val="thick" w:color="3A3838"/>
        </w:rPr>
        <w:t>X</w:t>
      </w:r>
      <w:r>
        <w:rPr>
          <w:b/>
          <w:color w:val="3A3838"/>
          <w:sz w:val="16"/>
          <w:u w:val="thick" w:color="3A3838"/>
        </w:rPr>
        <w:t>AM</w:t>
      </w:r>
      <w:r>
        <w:rPr>
          <w:b/>
          <w:color w:val="504F52"/>
          <w:sz w:val="16"/>
          <w:u w:val="thick" w:color="3A3838"/>
        </w:rPr>
        <w:t>P</w:t>
      </w:r>
      <w:r>
        <w:rPr>
          <w:b/>
          <w:color w:val="3A3838"/>
          <w:sz w:val="16"/>
          <w:u w:val="thick" w:color="3A3838"/>
        </w:rPr>
        <w:t>LES</w:t>
      </w:r>
      <w:r>
        <w:rPr>
          <w:b/>
          <w:color w:val="3A3838"/>
          <w:sz w:val="16"/>
        </w:rPr>
        <w:t>:</w:t>
      </w:r>
    </w:p>
    <w:p>
      <w:pPr>
        <w:spacing w:line="232" w:lineRule="auto" w:before="103"/>
        <w:ind w:left="463" w:right="797" w:hanging="8"/>
        <w:jc w:val="both"/>
        <w:rPr>
          <w:b/>
          <w:sz w:val="21"/>
        </w:rPr>
      </w:pPr>
      <w:r>
        <w:rPr>
          <w:b/>
          <w:color w:val="3A3838"/>
          <w:w w:val="110"/>
          <w:sz w:val="21"/>
        </w:rPr>
        <w:t>Through g</w:t>
      </w:r>
      <w:r>
        <w:rPr>
          <w:b/>
          <w:color w:val="504F52"/>
          <w:w w:val="110"/>
          <w:sz w:val="21"/>
        </w:rPr>
        <w:t>a</w:t>
      </w:r>
      <w:r>
        <w:rPr>
          <w:b/>
          <w:color w:val="3A3838"/>
          <w:w w:val="110"/>
          <w:sz w:val="21"/>
        </w:rPr>
        <w:t>ps in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the drawn horizontal mini-blinds on the window,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Officer Thielen observed </w:t>
      </w:r>
      <w:r>
        <w:rPr>
          <w:b/>
          <w:color w:val="2A282A"/>
          <w:w w:val="110"/>
          <w:sz w:val="21"/>
        </w:rPr>
        <w:t>the </w:t>
      </w:r>
      <w:r>
        <w:rPr>
          <w:b/>
          <w:color w:val="3A3838"/>
          <w:w w:val="110"/>
          <w:sz w:val="21"/>
        </w:rPr>
        <w:t>same scene the informant had described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10"/>
          <w:sz w:val="21"/>
        </w:rPr>
        <w:t>to him: two  males and one  female sitting at a kitchen  table handling</w:t>
      </w:r>
      <w:r>
        <w:rPr>
          <w:b/>
          <w:color w:val="3A3838"/>
          <w:spacing w:val="1"/>
          <w:w w:val="110"/>
          <w:sz w:val="21"/>
        </w:rPr>
        <w:t> </w:t>
      </w:r>
      <w:r>
        <w:rPr>
          <w:b/>
          <w:color w:val="3A3838"/>
          <w:w w:val="105"/>
          <w:sz w:val="21"/>
        </w:rPr>
        <w:t>a</w:t>
      </w:r>
      <w:r>
        <w:rPr>
          <w:b/>
          <w:color w:val="3A3838"/>
          <w:spacing w:val="-4"/>
          <w:w w:val="105"/>
          <w:sz w:val="21"/>
        </w:rPr>
        <w:t> </w:t>
      </w:r>
      <w:r>
        <w:rPr>
          <w:b/>
          <w:color w:val="3A3838"/>
          <w:w w:val="105"/>
          <w:sz w:val="21"/>
        </w:rPr>
        <w:t>white</w:t>
      </w:r>
      <w:r>
        <w:rPr>
          <w:b/>
          <w:color w:val="3A3838"/>
          <w:spacing w:val="-5"/>
          <w:w w:val="105"/>
          <w:sz w:val="21"/>
        </w:rPr>
        <w:t> </w:t>
      </w:r>
      <w:r>
        <w:rPr>
          <w:b/>
          <w:color w:val="3A3838"/>
          <w:w w:val="105"/>
          <w:sz w:val="21"/>
        </w:rPr>
        <w:t>powdery</w:t>
      </w:r>
      <w:r>
        <w:rPr>
          <w:b/>
          <w:color w:val="3A3838"/>
          <w:spacing w:val="-15"/>
          <w:w w:val="105"/>
          <w:sz w:val="21"/>
        </w:rPr>
        <w:t> </w:t>
      </w:r>
      <w:r>
        <w:rPr>
          <w:b/>
          <w:color w:val="3A3838"/>
          <w:w w:val="105"/>
          <w:sz w:val="21"/>
        </w:rPr>
        <w:t>substance.</w:t>
      </w:r>
      <w:r>
        <w:rPr>
          <w:b/>
          <w:color w:val="3A3838"/>
          <w:spacing w:val="16"/>
          <w:w w:val="105"/>
          <w:sz w:val="21"/>
        </w:rPr>
        <w:t> </w:t>
      </w:r>
      <w:r>
        <w:rPr>
          <w:b/>
          <w:color w:val="3A3838"/>
          <w:w w:val="105"/>
          <w:sz w:val="21"/>
        </w:rPr>
        <w:t>Record</w:t>
      </w:r>
      <w:r>
        <w:rPr>
          <w:b/>
          <w:color w:val="3A3838"/>
          <w:spacing w:val="17"/>
          <w:w w:val="105"/>
          <w:sz w:val="21"/>
        </w:rPr>
        <w:t> </w:t>
      </w:r>
      <w:r>
        <w:rPr>
          <w:b/>
          <w:color w:val="3A3838"/>
          <w:w w:val="105"/>
          <w:sz w:val="21"/>
        </w:rPr>
        <w:t>E</w:t>
      </w:r>
      <w:r>
        <w:rPr>
          <w:b/>
          <w:color w:val="676769"/>
          <w:w w:val="105"/>
          <w:sz w:val="21"/>
        </w:rPr>
        <w:t>-</w:t>
      </w:r>
      <w:r>
        <w:rPr>
          <w:b/>
          <w:color w:val="3A3838"/>
          <w:w w:val="105"/>
          <w:sz w:val="21"/>
        </w:rPr>
        <w:t>2.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spacing w:before="0"/>
        <w:ind w:left="471" w:right="0" w:firstLine="0"/>
        <w:jc w:val="both"/>
        <w:rPr>
          <w:sz w:val="17"/>
        </w:rPr>
      </w:pPr>
      <w:r>
        <w:rPr>
          <w:color w:val="3A3838"/>
          <w:w w:val="105"/>
          <w:sz w:val="17"/>
        </w:rPr>
        <w:t>wRay</w:t>
      </w:r>
      <w:r>
        <w:rPr>
          <w:color w:val="3A3838"/>
          <w:spacing w:val="-4"/>
          <w:w w:val="105"/>
          <w:sz w:val="17"/>
        </w:rPr>
        <w:t> </w:t>
      </w:r>
      <w:r>
        <w:rPr>
          <w:color w:val="3A3838"/>
          <w:w w:val="105"/>
          <w:sz w:val="16"/>
        </w:rPr>
        <w:t>&amp;</w:t>
      </w:r>
      <w:r>
        <w:rPr>
          <w:color w:val="3A3838"/>
          <w:spacing w:val="33"/>
          <w:w w:val="105"/>
          <w:sz w:val="16"/>
        </w:rPr>
        <w:t> </w:t>
      </w:r>
      <w:r>
        <w:rPr>
          <w:color w:val="3A3838"/>
          <w:w w:val="105"/>
          <w:sz w:val="17"/>
        </w:rPr>
        <w:t>Ramsfield,</w:t>
      </w:r>
      <w:r>
        <w:rPr>
          <w:color w:val="3A3838"/>
          <w:spacing w:val="-5"/>
          <w:w w:val="105"/>
          <w:sz w:val="17"/>
        </w:rPr>
        <w:t> </w:t>
      </w:r>
      <w:r>
        <w:rPr>
          <w:rFonts w:ascii="Arial"/>
          <w:i/>
          <w:color w:val="3A3838"/>
          <w:sz w:val="17"/>
        </w:rPr>
        <w:t>s11pm</w:t>
      </w:r>
      <w:r>
        <w:rPr>
          <w:rFonts w:ascii="Arial"/>
          <w:i/>
          <w:color w:val="3A3838"/>
          <w:spacing w:val="12"/>
          <w:sz w:val="17"/>
        </w:rPr>
        <w:t> </w:t>
      </w:r>
      <w:r>
        <w:rPr>
          <w:color w:val="3A3838"/>
          <w:w w:val="105"/>
          <w:sz w:val="17"/>
        </w:rPr>
        <w:t>not</w:t>
      </w:r>
      <w:r>
        <w:rPr>
          <w:color w:val="504F52"/>
          <w:w w:val="105"/>
          <w:sz w:val="17"/>
        </w:rPr>
        <w:t>e</w:t>
      </w:r>
      <w:r>
        <w:rPr>
          <w:color w:val="504F52"/>
          <w:spacing w:val="21"/>
          <w:w w:val="105"/>
          <w:sz w:val="17"/>
        </w:rPr>
        <w:t> </w:t>
      </w:r>
      <w:r>
        <w:rPr>
          <w:color w:val="3A3838"/>
          <w:w w:val="105"/>
          <w:sz w:val="17"/>
        </w:rPr>
        <w:t>18,</w:t>
      </w:r>
      <w:r>
        <w:rPr>
          <w:color w:val="3A3838"/>
          <w:spacing w:val="10"/>
          <w:w w:val="105"/>
          <w:sz w:val="17"/>
        </w:rPr>
        <w:t> </w:t>
      </w:r>
      <w:r>
        <w:rPr>
          <w:color w:val="3A3838"/>
          <w:w w:val="105"/>
          <w:sz w:val="17"/>
        </w:rPr>
        <w:t>at</w:t>
      </w:r>
      <w:r>
        <w:rPr>
          <w:color w:val="3A3838"/>
          <w:spacing w:val="8"/>
          <w:w w:val="105"/>
          <w:sz w:val="17"/>
        </w:rPr>
        <w:t> </w:t>
      </w:r>
      <w:r>
        <w:rPr>
          <w:color w:val="3A3838"/>
          <w:w w:val="105"/>
          <w:sz w:val="17"/>
        </w:rPr>
        <w:t>109.</w:t>
      </w:r>
    </w:p>
    <w:p>
      <w:pPr>
        <w:spacing w:after="0"/>
        <w:jc w:val="both"/>
        <w:rPr>
          <w:sz w:val="17"/>
        </w:rPr>
        <w:sectPr>
          <w:pgSz w:w="9790" w:h="13990"/>
          <w:pgMar w:header="543" w:footer="0" w:top="740" w:bottom="0" w:left="260" w:right="1360"/>
        </w:sectPr>
      </w:pPr>
    </w:p>
    <w:p>
      <w:pPr>
        <w:spacing w:line="235" w:lineRule="auto" w:before="85"/>
        <w:ind w:left="1205" w:right="378" w:firstLine="3"/>
        <w:jc w:val="both"/>
        <w:rPr>
          <w:sz w:val="21"/>
        </w:rPr>
      </w:pPr>
      <w:r>
        <w:rPr>
          <w:color w:val="363436"/>
          <w:w w:val="115"/>
          <w:sz w:val="21"/>
        </w:rPr>
        <w:t>In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3"/>
          <w:u w:val="thick" w:color="363436"/>
        </w:rPr>
        <w:t>Chimel</w:t>
      </w:r>
      <w:r>
        <w:rPr>
          <w:color w:val="363436"/>
          <w:w w:val="115"/>
          <w:sz w:val="23"/>
        </w:rPr>
        <w:t>. </w:t>
      </w:r>
      <w:r>
        <w:rPr>
          <w:color w:val="363436"/>
          <w:w w:val="115"/>
          <w:sz w:val="21"/>
        </w:rPr>
        <w:t>this Court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examined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the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search-incident-to-an-arrest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exception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to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the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warrant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requirement  and  made note of the two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major</w:t>
      </w:r>
      <w:r>
        <w:rPr>
          <w:color w:val="363436"/>
          <w:spacing w:val="-20"/>
          <w:w w:val="115"/>
          <w:sz w:val="21"/>
        </w:rPr>
        <w:t> </w:t>
      </w:r>
      <w:r>
        <w:rPr>
          <w:color w:val="363436"/>
          <w:w w:val="115"/>
          <w:sz w:val="21"/>
        </w:rPr>
        <w:t>policy</w:t>
      </w:r>
      <w:r>
        <w:rPr>
          <w:color w:val="363436"/>
          <w:spacing w:val="-4"/>
          <w:w w:val="115"/>
          <w:sz w:val="21"/>
        </w:rPr>
        <w:t> </w:t>
      </w:r>
      <w:r>
        <w:rPr>
          <w:color w:val="363436"/>
          <w:w w:val="115"/>
          <w:sz w:val="21"/>
        </w:rPr>
        <w:t>justifications</w:t>
      </w:r>
      <w:r>
        <w:rPr>
          <w:color w:val="363436"/>
          <w:spacing w:val="-34"/>
          <w:w w:val="115"/>
          <w:sz w:val="21"/>
        </w:rPr>
        <w:t> </w:t>
      </w:r>
      <w:r>
        <w:rPr>
          <w:color w:val="363436"/>
          <w:w w:val="115"/>
          <w:sz w:val="21"/>
        </w:rPr>
        <w:t>for</w:t>
      </w:r>
      <w:r>
        <w:rPr>
          <w:color w:val="363436"/>
          <w:spacing w:val="-12"/>
          <w:w w:val="115"/>
          <w:sz w:val="21"/>
        </w:rPr>
        <w:t> </w:t>
      </w:r>
      <w:r>
        <w:rPr>
          <w:color w:val="363436"/>
          <w:w w:val="115"/>
          <w:sz w:val="21"/>
        </w:rPr>
        <w:t>the</w:t>
      </w:r>
      <w:r>
        <w:rPr>
          <w:color w:val="363436"/>
          <w:spacing w:val="-9"/>
          <w:w w:val="115"/>
          <w:sz w:val="21"/>
        </w:rPr>
        <w:t> </w:t>
      </w:r>
      <w:r>
        <w:rPr>
          <w:color w:val="363436"/>
          <w:w w:val="115"/>
          <w:sz w:val="21"/>
        </w:rPr>
        <w:t>search:</w:t>
      </w:r>
      <w:r>
        <w:rPr>
          <w:color w:val="363436"/>
          <w:spacing w:val="-34"/>
          <w:w w:val="115"/>
          <w:sz w:val="21"/>
        </w:rPr>
        <w:t> </w:t>
      </w:r>
      <w:r>
        <w:rPr>
          <w:color w:val="363436"/>
          <w:w w:val="115"/>
          <w:sz w:val="21"/>
        </w:rPr>
        <w:t>preserving</w:t>
      </w:r>
      <w:r>
        <w:rPr>
          <w:color w:val="363436"/>
          <w:spacing w:val="-12"/>
          <w:w w:val="115"/>
          <w:sz w:val="21"/>
        </w:rPr>
        <w:t> </w:t>
      </w:r>
      <w:r>
        <w:rPr>
          <w:color w:val="363436"/>
          <w:w w:val="115"/>
          <w:sz w:val="21"/>
        </w:rPr>
        <w:t>officer</w:t>
      </w:r>
      <w:r>
        <w:rPr>
          <w:color w:val="363436"/>
          <w:spacing w:val="-29"/>
          <w:w w:val="115"/>
          <w:sz w:val="21"/>
        </w:rPr>
        <w:t> </w:t>
      </w:r>
      <w:r>
        <w:rPr>
          <w:color w:val="363436"/>
          <w:w w:val="115"/>
          <w:sz w:val="21"/>
        </w:rPr>
        <w:t>safety</w:t>
      </w:r>
      <w:r>
        <w:rPr>
          <w:color w:val="363436"/>
          <w:spacing w:val="-33"/>
          <w:w w:val="115"/>
          <w:sz w:val="21"/>
        </w:rPr>
        <w:t> </w:t>
      </w:r>
      <w:r>
        <w:rPr>
          <w:color w:val="363436"/>
          <w:w w:val="115"/>
          <w:sz w:val="21"/>
        </w:rPr>
        <w:t>and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spacing w:val="-1"/>
          <w:w w:val="115"/>
          <w:sz w:val="21"/>
        </w:rPr>
        <w:t>preventing</w:t>
      </w:r>
      <w:r>
        <w:rPr>
          <w:color w:val="363436"/>
          <w:spacing w:val="-19"/>
          <w:w w:val="115"/>
          <w:sz w:val="21"/>
        </w:rPr>
        <w:t> </w:t>
      </w:r>
      <w:r>
        <w:rPr>
          <w:color w:val="363436"/>
          <w:spacing w:val="-1"/>
          <w:w w:val="115"/>
          <w:sz w:val="21"/>
        </w:rPr>
        <w:t>the</w:t>
      </w:r>
      <w:r>
        <w:rPr>
          <w:color w:val="363436"/>
          <w:spacing w:val="-3"/>
          <w:w w:val="115"/>
          <w:sz w:val="21"/>
        </w:rPr>
        <w:t> </w:t>
      </w:r>
      <w:r>
        <w:rPr>
          <w:color w:val="363436"/>
          <w:spacing w:val="-1"/>
          <w:w w:val="115"/>
          <w:sz w:val="21"/>
        </w:rPr>
        <w:t>destruction </w:t>
      </w:r>
      <w:r>
        <w:rPr>
          <w:color w:val="363436"/>
          <w:w w:val="115"/>
          <w:sz w:val="21"/>
        </w:rPr>
        <w:t>of</w:t>
      </w:r>
      <w:r>
        <w:rPr>
          <w:color w:val="363436"/>
          <w:spacing w:val="-25"/>
          <w:w w:val="115"/>
          <w:sz w:val="21"/>
        </w:rPr>
        <w:t> </w:t>
      </w:r>
      <w:r>
        <w:rPr>
          <w:color w:val="4B494B"/>
          <w:w w:val="115"/>
          <w:sz w:val="21"/>
        </w:rPr>
        <w:t>evidence</w:t>
      </w:r>
      <w:r>
        <w:rPr>
          <w:color w:val="4B494B"/>
          <w:spacing w:val="-16"/>
          <w:w w:val="115"/>
          <w:sz w:val="21"/>
        </w:rPr>
        <w:t> </w:t>
      </w:r>
      <w:r>
        <w:rPr>
          <w:color w:val="363436"/>
          <w:w w:val="115"/>
          <w:sz w:val="21"/>
        </w:rPr>
        <w:t>by</w:t>
      </w:r>
      <w:r>
        <w:rPr>
          <w:color w:val="363436"/>
          <w:spacing w:val="-17"/>
          <w:w w:val="115"/>
          <w:sz w:val="21"/>
        </w:rPr>
        <w:t> </w:t>
      </w:r>
      <w:r>
        <w:rPr>
          <w:color w:val="363436"/>
          <w:w w:val="115"/>
          <w:sz w:val="21"/>
        </w:rPr>
        <w:t>the</w:t>
      </w:r>
      <w:r>
        <w:rPr>
          <w:color w:val="363436"/>
          <w:spacing w:val="-7"/>
          <w:w w:val="115"/>
          <w:sz w:val="21"/>
        </w:rPr>
        <w:t> </w:t>
      </w:r>
      <w:r>
        <w:rPr>
          <w:color w:val="363436"/>
          <w:w w:val="115"/>
          <w:sz w:val="21"/>
        </w:rPr>
        <w:t>suspect.</w:t>
      </w:r>
      <w:r>
        <w:rPr>
          <w:color w:val="363436"/>
          <w:spacing w:val="-27"/>
          <w:w w:val="115"/>
          <w:sz w:val="21"/>
        </w:rPr>
        <w:t> </w:t>
      </w:r>
      <w:r>
        <w:rPr>
          <w:color w:val="363436"/>
          <w:w w:val="115"/>
          <w:sz w:val="21"/>
        </w:rPr>
        <w:t>395</w:t>
      </w:r>
      <w:r>
        <w:rPr>
          <w:color w:val="363436"/>
          <w:spacing w:val="-19"/>
          <w:w w:val="115"/>
          <w:sz w:val="21"/>
        </w:rPr>
        <w:t> </w:t>
      </w:r>
      <w:r>
        <w:rPr>
          <w:color w:val="363436"/>
          <w:w w:val="115"/>
          <w:sz w:val="21"/>
        </w:rPr>
        <w:t>U.S.</w:t>
      </w:r>
      <w:r>
        <w:rPr>
          <w:color w:val="363436"/>
          <w:spacing w:val="-29"/>
          <w:w w:val="115"/>
          <w:sz w:val="21"/>
        </w:rPr>
        <w:t> </w:t>
      </w:r>
      <w:r>
        <w:rPr>
          <w:color w:val="363436"/>
          <w:w w:val="115"/>
          <w:sz w:val="21"/>
        </w:rPr>
        <w:t>at</w:t>
      </w:r>
      <w:r>
        <w:rPr>
          <w:color w:val="363436"/>
          <w:spacing w:val="24"/>
          <w:w w:val="115"/>
          <w:sz w:val="21"/>
        </w:rPr>
        <w:t> </w:t>
      </w:r>
      <w:r>
        <w:rPr>
          <w:color w:val="363436"/>
          <w:w w:val="115"/>
          <w:sz w:val="21"/>
        </w:rPr>
        <w:t>763.</w:t>
      </w:r>
    </w:p>
    <w:p>
      <w:pPr>
        <w:spacing w:line="244" w:lineRule="auto" w:before="124"/>
        <w:ind w:left="1193" w:right="425" w:hanging="5"/>
        <w:jc w:val="both"/>
        <w:rPr>
          <w:b/>
          <w:sz w:val="21"/>
        </w:rPr>
      </w:pPr>
      <w:r>
        <w:rPr>
          <w:color w:val="363436"/>
          <w:w w:val="115"/>
          <w:sz w:val="21"/>
        </w:rPr>
        <w:t>The </w:t>
      </w:r>
      <w:r>
        <w:rPr>
          <w:color w:val="4B494B"/>
          <w:w w:val="115"/>
          <w:sz w:val="21"/>
        </w:rPr>
        <w:t>cases </w:t>
      </w:r>
      <w:r>
        <w:rPr>
          <w:color w:val="363436"/>
          <w:w w:val="115"/>
          <w:sz w:val="21"/>
        </w:rPr>
        <w:t>in which no substantial relation was found have one com­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mon</w:t>
      </w:r>
      <w:r>
        <w:rPr>
          <w:color w:val="363436"/>
          <w:spacing w:val="36"/>
          <w:w w:val="115"/>
          <w:sz w:val="21"/>
        </w:rPr>
        <w:t> </w:t>
      </w:r>
      <w:r>
        <w:rPr>
          <w:color w:val="363436"/>
          <w:w w:val="115"/>
          <w:sz w:val="21"/>
        </w:rPr>
        <w:t>element:</w:t>
      </w:r>
      <w:r>
        <w:rPr>
          <w:color w:val="363436"/>
          <w:spacing w:val="-25"/>
          <w:w w:val="115"/>
          <w:sz w:val="21"/>
        </w:rPr>
        <w:t> </w:t>
      </w:r>
      <w:r>
        <w:rPr>
          <w:color w:val="363436"/>
          <w:w w:val="115"/>
          <w:sz w:val="21"/>
        </w:rPr>
        <w:t>They</w:t>
      </w:r>
      <w:r>
        <w:rPr>
          <w:color w:val="363436"/>
          <w:spacing w:val="-3"/>
          <w:w w:val="115"/>
          <w:sz w:val="21"/>
        </w:rPr>
        <w:t> </w:t>
      </w:r>
      <w:r>
        <w:rPr>
          <w:color w:val="363436"/>
          <w:w w:val="115"/>
          <w:sz w:val="21"/>
        </w:rPr>
        <w:t>reject</w:t>
      </w:r>
      <w:r>
        <w:rPr>
          <w:color w:val="363436"/>
          <w:spacing w:val="-17"/>
          <w:w w:val="115"/>
          <w:sz w:val="21"/>
        </w:rPr>
        <w:t> </w:t>
      </w:r>
      <w:r>
        <w:rPr>
          <w:color w:val="363436"/>
          <w:w w:val="115"/>
          <w:sz w:val="21"/>
        </w:rPr>
        <w:t>gender</w:t>
      </w:r>
      <w:r>
        <w:rPr>
          <w:color w:val="363436"/>
          <w:spacing w:val="-19"/>
          <w:w w:val="115"/>
          <w:sz w:val="21"/>
        </w:rPr>
        <w:t> </w:t>
      </w:r>
      <w:r>
        <w:rPr>
          <w:color w:val="363436"/>
          <w:w w:val="115"/>
          <w:sz w:val="21"/>
        </w:rPr>
        <w:t>stereotypes</w:t>
      </w:r>
      <w:r>
        <w:rPr>
          <w:color w:val="363436"/>
          <w:spacing w:val="-2"/>
          <w:w w:val="115"/>
          <w:sz w:val="21"/>
        </w:rPr>
        <w:t> </w:t>
      </w:r>
      <w:r>
        <w:rPr>
          <w:b/>
          <w:color w:val="363436"/>
          <w:w w:val="115"/>
          <w:sz w:val="21"/>
        </w:rPr>
        <w:t>that</w:t>
      </w:r>
      <w:r>
        <w:rPr>
          <w:b/>
          <w:color w:val="363436"/>
          <w:spacing w:val="-24"/>
          <w:w w:val="115"/>
          <w:sz w:val="21"/>
        </w:rPr>
        <w:t> </w:t>
      </w:r>
      <w:r>
        <w:rPr>
          <w:b/>
          <w:color w:val="363436"/>
          <w:w w:val="115"/>
          <w:sz w:val="21"/>
        </w:rPr>
        <w:t>are</w:t>
      </w:r>
      <w:r>
        <w:rPr>
          <w:b/>
          <w:color w:val="363436"/>
          <w:spacing w:val="-32"/>
          <w:w w:val="115"/>
          <w:sz w:val="21"/>
        </w:rPr>
        <w:t> </w:t>
      </w:r>
      <w:r>
        <w:rPr>
          <w:color w:val="363436"/>
          <w:w w:val="115"/>
          <w:sz w:val="21"/>
        </w:rPr>
        <w:t>little</w:t>
      </w:r>
      <w:r>
        <w:rPr>
          <w:color w:val="363436"/>
          <w:spacing w:val="-14"/>
          <w:w w:val="115"/>
          <w:sz w:val="21"/>
        </w:rPr>
        <w:t> </w:t>
      </w:r>
      <w:r>
        <w:rPr>
          <w:color w:val="363436"/>
          <w:w w:val="115"/>
          <w:sz w:val="21"/>
        </w:rPr>
        <w:t>more</w:t>
      </w:r>
      <w:r>
        <w:rPr>
          <w:color w:val="363436"/>
          <w:spacing w:val="-17"/>
          <w:w w:val="115"/>
          <w:sz w:val="21"/>
        </w:rPr>
        <w:t> </w:t>
      </w:r>
      <w:r>
        <w:rPr>
          <w:color w:val="363436"/>
          <w:w w:val="115"/>
          <w:sz w:val="21"/>
        </w:rPr>
        <w:t>than</w:t>
      </w:r>
      <w:r>
        <w:rPr>
          <w:color w:val="363436"/>
          <w:spacing w:val="1"/>
          <w:w w:val="115"/>
          <w:sz w:val="21"/>
        </w:rPr>
        <w:t> </w:t>
      </w:r>
      <w:r>
        <w:rPr>
          <w:b/>
          <w:color w:val="363436"/>
          <w:w w:val="110"/>
          <w:sz w:val="21"/>
        </w:rPr>
        <w:t>vestiges</w:t>
      </w:r>
      <w:r>
        <w:rPr>
          <w:b/>
          <w:color w:val="363436"/>
          <w:spacing w:val="-11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of</w:t>
      </w:r>
      <w:r>
        <w:rPr>
          <w:b/>
          <w:color w:val="363436"/>
          <w:spacing w:val="7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past</w:t>
      </w:r>
      <w:r>
        <w:rPr>
          <w:b/>
          <w:color w:val="363436"/>
          <w:spacing w:val="-13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discrimination.</w:t>
      </w:r>
    </w:p>
    <w:p>
      <w:pPr>
        <w:pStyle w:val="BodyText"/>
        <w:spacing w:line="232" w:lineRule="auto" w:before="125"/>
        <w:ind w:left="800" w:right="106" w:firstLine="11"/>
        <w:jc w:val="both"/>
      </w:pPr>
      <w:r>
        <w:rPr>
          <w:color w:val="363436"/>
          <w:w w:val="110"/>
        </w:rPr>
        <w:t>The information that comes after the colon elaborates on or explains </w:t>
      </w:r>
      <w:r>
        <w:rPr>
          <w:color w:val="363436"/>
          <w:w w:val="110"/>
          <w:sz w:val="22"/>
        </w:rPr>
        <w:t>the</w:t>
      </w:r>
      <w:r>
        <w:rPr>
          <w:color w:val="363436"/>
          <w:spacing w:val="1"/>
          <w:w w:val="110"/>
          <w:sz w:val="22"/>
        </w:rPr>
        <w:t> </w:t>
      </w:r>
      <w:r>
        <w:rPr>
          <w:color w:val="363436"/>
          <w:w w:val="110"/>
        </w:rPr>
        <w:t>information that comes before the colon. In a sense, the colon prompts</w:t>
      </w:r>
      <w:r>
        <w:rPr>
          <w:color w:val="363436"/>
          <w:spacing w:val="1"/>
          <w:w w:val="110"/>
        </w:rPr>
        <w:t> </w:t>
      </w:r>
      <w:r>
        <w:rPr>
          <w:color w:val="363436"/>
          <w:spacing w:val="-1"/>
          <w:w w:val="110"/>
        </w:rPr>
        <w:t>the reader </w:t>
      </w:r>
      <w:r>
        <w:rPr>
          <w:color w:val="363436"/>
          <w:w w:val="110"/>
        </w:rPr>
        <w:t>to ask a "who, what, when, where, why, or how" question that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the information after the colon answers. In the last example above, for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example, the colon prompts the reader to ask "what is the common ele­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ment?"</w:t>
      </w:r>
      <w:r>
        <w:rPr>
          <w:color w:val="363436"/>
          <w:spacing w:val="-22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-11"/>
          <w:w w:val="110"/>
        </w:rPr>
        <w:t> </w:t>
      </w:r>
      <w:r>
        <w:rPr>
          <w:color w:val="363436"/>
          <w:w w:val="110"/>
        </w:rPr>
        <w:t>information</w:t>
      </w:r>
      <w:r>
        <w:rPr>
          <w:color w:val="363436"/>
          <w:spacing w:val="12"/>
          <w:w w:val="110"/>
        </w:rPr>
        <w:t> </w:t>
      </w:r>
      <w:r>
        <w:rPr>
          <w:color w:val="363436"/>
          <w:w w:val="110"/>
        </w:rPr>
        <w:t>after</w:t>
      </w:r>
      <w:r>
        <w:rPr>
          <w:color w:val="363436"/>
          <w:spacing w:val="-4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10"/>
          <w:w w:val="110"/>
        </w:rPr>
        <w:t> </w:t>
      </w:r>
      <w:r>
        <w:rPr>
          <w:color w:val="363436"/>
          <w:w w:val="110"/>
        </w:rPr>
        <w:t>colon</w:t>
      </w:r>
      <w:r>
        <w:rPr>
          <w:color w:val="363436"/>
          <w:spacing w:val="-2"/>
          <w:w w:val="110"/>
        </w:rPr>
        <w:t> </w:t>
      </w:r>
      <w:r>
        <w:rPr>
          <w:color w:val="363436"/>
          <w:w w:val="110"/>
        </w:rPr>
        <w:t>answers</w:t>
      </w:r>
      <w:r>
        <w:rPr>
          <w:color w:val="363436"/>
          <w:spacing w:val="14"/>
          <w:w w:val="110"/>
        </w:rPr>
        <w:t> </w:t>
      </w:r>
      <w:r>
        <w:rPr>
          <w:color w:val="363436"/>
          <w:w w:val="110"/>
        </w:rPr>
        <w:t>this</w:t>
      </w:r>
      <w:r>
        <w:rPr>
          <w:color w:val="363436"/>
          <w:spacing w:val="-22"/>
          <w:w w:val="110"/>
        </w:rPr>
        <w:t> </w:t>
      </w:r>
      <w:r>
        <w:rPr>
          <w:color w:val="363436"/>
          <w:w w:val="110"/>
        </w:rPr>
        <w:t>question.</w:t>
      </w:r>
    </w:p>
    <w:p>
      <w:pPr>
        <w:pStyle w:val="BodyText"/>
        <w:spacing w:line="232" w:lineRule="auto" w:before="2"/>
        <w:ind w:left="787" w:right="117" w:firstLine="361"/>
        <w:jc w:val="both"/>
      </w:pPr>
      <w:r>
        <w:rPr>
          <w:color w:val="363436"/>
          <w:w w:val="110"/>
        </w:rPr>
        <w:t>The shorter the phrase or sentence after the colon, the more emphatic</w:t>
      </w:r>
      <w:r>
        <w:rPr>
          <w:color w:val="363436"/>
          <w:spacing w:val="-61"/>
          <w:w w:val="110"/>
        </w:rPr>
        <w:t> </w:t>
      </w:r>
      <w:r>
        <w:rPr>
          <w:color w:val="363436"/>
          <w:w w:val="105"/>
        </w:rPr>
        <w:t>the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use of the colon is. Note the differences </w:t>
      </w:r>
      <w:r>
        <w:rPr>
          <w:color w:val="4B494B"/>
          <w:w w:val="105"/>
        </w:rPr>
        <w:t>among </w:t>
      </w:r>
      <w:r>
        <w:rPr>
          <w:color w:val="363436"/>
          <w:w w:val="105"/>
        </w:rPr>
        <w:t>these </w:t>
      </w:r>
      <w:r>
        <w:rPr>
          <w:color w:val="4B494B"/>
          <w:w w:val="105"/>
        </w:rPr>
        <w:t>examples: </w:t>
      </w:r>
      <w:r>
        <w:rPr>
          <w:color w:val="363436"/>
          <w:w w:val="105"/>
        </w:rPr>
        <w:t>As the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10"/>
        </w:rPr>
        <w:t>phrases</w:t>
      </w:r>
      <w:r>
        <w:rPr>
          <w:color w:val="363436"/>
          <w:spacing w:val="-15"/>
          <w:w w:val="110"/>
        </w:rPr>
        <w:t> </w:t>
      </w:r>
      <w:r>
        <w:rPr>
          <w:color w:val="363436"/>
          <w:w w:val="110"/>
        </w:rPr>
        <w:t>get shorter,</w:t>
      </w:r>
      <w:r>
        <w:rPr>
          <w:color w:val="363436"/>
          <w:spacing w:val="3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9"/>
          <w:w w:val="110"/>
        </w:rPr>
        <w:t> </w:t>
      </w:r>
      <w:r>
        <w:rPr>
          <w:color w:val="363436"/>
          <w:w w:val="110"/>
        </w:rPr>
        <w:t>sentences</w:t>
      </w:r>
      <w:r>
        <w:rPr>
          <w:color w:val="363436"/>
          <w:spacing w:val="-17"/>
          <w:w w:val="110"/>
        </w:rPr>
        <w:t> </w:t>
      </w:r>
      <w:r>
        <w:rPr>
          <w:color w:val="363436"/>
          <w:w w:val="110"/>
        </w:rPr>
        <w:t>get more</w:t>
      </w:r>
      <w:r>
        <w:rPr>
          <w:color w:val="363436"/>
          <w:spacing w:val="-12"/>
          <w:w w:val="110"/>
        </w:rPr>
        <w:t> </w:t>
      </w:r>
      <w:r>
        <w:rPr>
          <w:color w:val="363436"/>
          <w:w w:val="110"/>
        </w:rPr>
        <w:t>emphatic.</w:t>
      </w:r>
    </w:p>
    <w:p>
      <w:pPr>
        <w:pStyle w:val="BodyText"/>
        <w:spacing w:before="3"/>
        <w:rPr>
          <w:sz w:val="11"/>
        </w:rPr>
      </w:pPr>
    </w:p>
    <w:p>
      <w:pPr>
        <w:spacing w:before="94"/>
        <w:ind w:left="623" w:right="0" w:firstLine="0"/>
        <w:jc w:val="both"/>
        <w:rPr>
          <w:b/>
          <w:sz w:val="16"/>
        </w:rPr>
      </w:pPr>
      <w:r>
        <w:rPr>
          <w:color w:val="363436"/>
          <w:w w:val="100"/>
          <w:sz w:val="15"/>
          <w:u w:val="thick" w:color="4B494B"/>
        </w:rPr>
        <w:t> </w:t>
      </w:r>
      <w:r>
        <w:rPr>
          <w:color w:val="363436"/>
          <w:sz w:val="15"/>
          <w:u w:val="thick" w:color="4B494B"/>
        </w:rPr>
        <w:t>       </w:t>
      </w:r>
      <w:r>
        <w:rPr>
          <w:color w:val="363436"/>
          <w:spacing w:val="3"/>
          <w:sz w:val="15"/>
          <w:u w:val="thick" w:color="4B494B"/>
        </w:rPr>
        <w:t> </w:t>
      </w:r>
      <w:r>
        <w:rPr>
          <w:color w:val="363436"/>
          <w:sz w:val="15"/>
        </w:rPr>
        <w:t>    </w:t>
      </w:r>
      <w:r>
        <w:rPr>
          <w:color w:val="363436"/>
          <w:spacing w:val="-2"/>
          <w:sz w:val="15"/>
        </w:rPr>
        <w:t> </w:t>
      </w:r>
      <w:r>
        <w:rPr>
          <w:color w:val="363436"/>
          <w:w w:val="95"/>
          <w:sz w:val="15"/>
          <w:u w:val="thick" w:color="363436"/>
        </w:rPr>
        <w:t>GOOD</w:t>
      </w:r>
      <w:r>
        <w:rPr>
          <w:color w:val="363436"/>
          <w:spacing w:val="2"/>
          <w:w w:val="95"/>
          <w:sz w:val="15"/>
          <w:u w:val="thick" w:color="363436"/>
        </w:rPr>
        <w:t> </w:t>
      </w:r>
      <w:r>
        <w:rPr>
          <w:b/>
          <w:color w:val="363436"/>
          <w:w w:val="95"/>
          <w:sz w:val="16"/>
          <w:u w:val="thick" w:color="363436"/>
        </w:rPr>
        <w:t>EXAMPLES</w:t>
      </w:r>
    </w:p>
    <w:p>
      <w:pPr>
        <w:spacing w:line="237" w:lineRule="auto" w:before="70"/>
        <w:ind w:left="1110" w:right="445" w:firstLine="29"/>
        <w:jc w:val="both"/>
        <w:rPr>
          <w:b/>
          <w:sz w:val="21"/>
        </w:rPr>
      </w:pPr>
      <w:r>
        <w:rPr>
          <w:b/>
          <w:i/>
          <w:color w:val="363436"/>
          <w:spacing w:val="-1"/>
          <w:w w:val="110"/>
          <w:sz w:val="21"/>
        </w:rPr>
        <w:t>As </w:t>
      </w:r>
      <w:r>
        <w:rPr>
          <w:b/>
          <w:color w:val="363436"/>
          <w:spacing w:val="-1"/>
          <w:w w:val="110"/>
          <w:sz w:val="21"/>
        </w:rPr>
        <w:t>illustrated by the plight of Lorelyn </w:t>
      </w:r>
      <w:r>
        <w:rPr>
          <w:b/>
          <w:color w:val="363436"/>
          <w:w w:val="110"/>
          <w:sz w:val="21"/>
        </w:rPr>
        <w:t>and Charlie Miller, these bur­</w:t>
      </w:r>
      <w:r>
        <w:rPr>
          <w:b/>
          <w:color w:val="363436"/>
          <w:spacing w:val="-55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dens can become insurmountable: Section 1409(a) will prevent Mr.</w:t>
      </w:r>
      <w:r>
        <w:rPr>
          <w:b/>
          <w:color w:val="363436"/>
          <w:spacing w:val="1"/>
          <w:w w:val="110"/>
          <w:sz w:val="21"/>
        </w:rPr>
        <w:t> </w:t>
      </w:r>
      <w:r>
        <w:rPr>
          <w:b/>
          <w:color w:val="363436"/>
          <w:spacing w:val="-1"/>
          <w:w w:val="110"/>
          <w:sz w:val="21"/>
        </w:rPr>
        <w:t>Miller</w:t>
      </w:r>
      <w:r>
        <w:rPr>
          <w:b/>
          <w:color w:val="363436"/>
          <w:spacing w:val="-21"/>
          <w:w w:val="110"/>
          <w:sz w:val="21"/>
        </w:rPr>
        <w:t> </w:t>
      </w:r>
      <w:r>
        <w:rPr>
          <w:b/>
          <w:color w:val="363436"/>
          <w:spacing w:val="-1"/>
          <w:w w:val="110"/>
          <w:sz w:val="21"/>
        </w:rPr>
        <w:t>and</w:t>
      </w:r>
      <w:r>
        <w:rPr>
          <w:b/>
          <w:color w:val="363436"/>
          <w:spacing w:val="19"/>
          <w:w w:val="110"/>
          <w:sz w:val="21"/>
        </w:rPr>
        <w:t> </w:t>
      </w:r>
      <w:r>
        <w:rPr>
          <w:b/>
          <w:color w:val="363436"/>
          <w:spacing w:val="-1"/>
          <w:w w:val="110"/>
          <w:sz w:val="21"/>
        </w:rPr>
        <w:t>Ms.</w:t>
      </w:r>
      <w:r>
        <w:rPr>
          <w:b/>
          <w:color w:val="363436"/>
          <w:spacing w:val="-6"/>
          <w:w w:val="110"/>
          <w:sz w:val="21"/>
        </w:rPr>
        <w:t> </w:t>
      </w:r>
      <w:r>
        <w:rPr>
          <w:b/>
          <w:color w:val="363436"/>
          <w:spacing w:val="-1"/>
          <w:w w:val="110"/>
          <w:sz w:val="21"/>
        </w:rPr>
        <w:t>Miller</w:t>
      </w:r>
      <w:r>
        <w:rPr>
          <w:b/>
          <w:color w:val="363436"/>
          <w:spacing w:val="-22"/>
          <w:w w:val="110"/>
          <w:sz w:val="21"/>
        </w:rPr>
        <w:t> </w:t>
      </w:r>
      <w:r>
        <w:rPr>
          <w:b/>
          <w:color w:val="363436"/>
          <w:spacing w:val="-1"/>
          <w:w w:val="110"/>
          <w:sz w:val="21"/>
        </w:rPr>
        <w:t>from</w:t>
      </w:r>
      <w:r>
        <w:rPr>
          <w:b/>
          <w:color w:val="363436"/>
          <w:spacing w:val="-18"/>
          <w:w w:val="110"/>
          <w:sz w:val="21"/>
        </w:rPr>
        <w:t> </w:t>
      </w:r>
      <w:r>
        <w:rPr>
          <w:b/>
          <w:color w:val="363436"/>
          <w:spacing w:val="-1"/>
          <w:w w:val="110"/>
          <w:sz w:val="21"/>
        </w:rPr>
        <w:t>ever</w:t>
      </w:r>
      <w:r>
        <w:rPr>
          <w:b/>
          <w:color w:val="363436"/>
          <w:spacing w:val="-19"/>
          <w:w w:val="110"/>
          <w:sz w:val="21"/>
        </w:rPr>
        <w:t> </w:t>
      </w:r>
      <w:r>
        <w:rPr>
          <w:b/>
          <w:color w:val="363436"/>
          <w:spacing w:val="-1"/>
          <w:w w:val="110"/>
          <w:sz w:val="21"/>
        </w:rPr>
        <w:t>legally</w:t>
      </w:r>
      <w:r>
        <w:rPr>
          <w:b/>
          <w:color w:val="363436"/>
          <w:spacing w:val="-5"/>
          <w:w w:val="110"/>
          <w:sz w:val="21"/>
        </w:rPr>
        <w:t> </w:t>
      </w:r>
      <w:r>
        <w:rPr>
          <w:b/>
          <w:color w:val="363436"/>
          <w:spacing w:val="-1"/>
          <w:w w:val="110"/>
          <w:sz w:val="21"/>
        </w:rPr>
        <w:t>proving</w:t>
      </w:r>
      <w:r>
        <w:rPr>
          <w:b/>
          <w:color w:val="363436"/>
          <w:spacing w:val="-2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that</w:t>
      </w:r>
      <w:r>
        <w:rPr>
          <w:b/>
          <w:color w:val="363436"/>
          <w:spacing w:val="-8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they</w:t>
      </w:r>
      <w:r>
        <w:rPr>
          <w:b/>
          <w:color w:val="363436"/>
          <w:spacing w:val="-13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have</w:t>
      </w:r>
      <w:r>
        <w:rPr>
          <w:b/>
          <w:color w:val="363436"/>
          <w:spacing w:val="-16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a</w:t>
      </w:r>
      <w:r>
        <w:rPr>
          <w:b/>
          <w:color w:val="363436"/>
          <w:spacing w:val="-12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close</w:t>
      </w:r>
      <w:r>
        <w:rPr>
          <w:b/>
          <w:color w:val="363436"/>
          <w:spacing w:val="1"/>
          <w:w w:val="110"/>
          <w:sz w:val="21"/>
        </w:rPr>
        <w:t> </w:t>
      </w:r>
      <w:r>
        <w:rPr>
          <w:b/>
          <w:color w:val="363436"/>
          <w:spacing w:val="-1"/>
          <w:w w:val="110"/>
          <w:sz w:val="21"/>
        </w:rPr>
        <w:t>family</w:t>
      </w:r>
      <w:r>
        <w:rPr>
          <w:b/>
          <w:color w:val="363436"/>
          <w:spacing w:val="-28"/>
          <w:w w:val="110"/>
          <w:sz w:val="21"/>
        </w:rPr>
        <w:t> </w:t>
      </w:r>
      <w:r>
        <w:rPr>
          <w:b/>
          <w:color w:val="363436"/>
          <w:spacing w:val="-1"/>
          <w:w w:val="110"/>
          <w:sz w:val="21"/>
        </w:rPr>
        <w:t>relationship</w:t>
      </w:r>
      <w:r>
        <w:rPr>
          <w:b/>
          <w:color w:val="363436"/>
          <w:spacing w:val="-18"/>
          <w:w w:val="110"/>
          <w:sz w:val="21"/>
        </w:rPr>
        <w:t> </w:t>
      </w:r>
      <w:r>
        <w:rPr>
          <w:b/>
          <w:color w:val="363436"/>
          <w:spacing w:val="-1"/>
          <w:w w:val="110"/>
          <w:sz w:val="21"/>
        </w:rPr>
        <w:t>unless</w:t>
      </w:r>
      <w:r>
        <w:rPr>
          <w:b/>
          <w:color w:val="363436"/>
          <w:spacing w:val="-12"/>
          <w:w w:val="110"/>
          <w:sz w:val="21"/>
        </w:rPr>
        <w:t> </w:t>
      </w:r>
      <w:r>
        <w:rPr>
          <w:b/>
          <w:color w:val="4B494B"/>
          <w:spacing w:val="-1"/>
          <w:w w:val="110"/>
          <w:sz w:val="21"/>
        </w:rPr>
        <w:t>this</w:t>
      </w:r>
      <w:r>
        <w:rPr>
          <w:b/>
          <w:color w:val="4B494B"/>
          <w:spacing w:val="-31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court</w:t>
      </w:r>
      <w:r>
        <w:rPr>
          <w:b/>
          <w:color w:val="363436"/>
          <w:spacing w:val="-21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refuses</w:t>
      </w:r>
      <w:r>
        <w:rPr>
          <w:b/>
          <w:color w:val="363436"/>
          <w:spacing w:val="-7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to</w:t>
      </w:r>
      <w:r>
        <w:rPr>
          <w:b/>
          <w:color w:val="363436"/>
          <w:spacing w:val="-1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accept</w:t>
      </w:r>
      <w:r>
        <w:rPr>
          <w:b/>
          <w:color w:val="363436"/>
          <w:spacing w:val="-5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the</w:t>
      </w:r>
      <w:r>
        <w:rPr>
          <w:b/>
          <w:color w:val="363436"/>
          <w:spacing w:val="15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irrebuttable</w:t>
      </w:r>
      <w:r>
        <w:rPr>
          <w:b/>
          <w:color w:val="363436"/>
          <w:spacing w:val="1"/>
          <w:w w:val="110"/>
          <w:sz w:val="21"/>
        </w:rPr>
        <w:t> </w:t>
      </w:r>
      <w:r>
        <w:rPr>
          <w:b/>
          <w:color w:val="363436"/>
          <w:w w:val="105"/>
          <w:sz w:val="21"/>
        </w:rPr>
        <w:t>gender</w:t>
      </w:r>
      <w:r>
        <w:rPr>
          <w:b/>
          <w:color w:val="363436"/>
          <w:spacing w:val="-16"/>
          <w:w w:val="105"/>
          <w:sz w:val="21"/>
        </w:rPr>
        <w:t> </w:t>
      </w:r>
      <w:r>
        <w:rPr>
          <w:b/>
          <w:color w:val="363436"/>
          <w:w w:val="105"/>
          <w:sz w:val="21"/>
        </w:rPr>
        <w:t>stereotype</w:t>
      </w:r>
      <w:r>
        <w:rPr>
          <w:b/>
          <w:color w:val="363436"/>
          <w:spacing w:val="4"/>
          <w:w w:val="105"/>
          <w:sz w:val="21"/>
        </w:rPr>
        <w:t> </w:t>
      </w:r>
      <w:r>
        <w:rPr>
          <w:b/>
          <w:color w:val="363436"/>
          <w:w w:val="105"/>
          <w:sz w:val="21"/>
        </w:rPr>
        <w:t>in</w:t>
      </w:r>
      <w:r>
        <w:rPr>
          <w:b/>
          <w:color w:val="363436"/>
          <w:spacing w:val="9"/>
          <w:w w:val="105"/>
          <w:sz w:val="21"/>
        </w:rPr>
        <w:t> </w:t>
      </w:r>
      <w:r>
        <w:rPr>
          <w:b/>
          <w:color w:val="363436"/>
          <w:w w:val="105"/>
          <w:sz w:val="21"/>
        </w:rPr>
        <w:t>Section</w:t>
      </w:r>
      <w:r>
        <w:rPr>
          <w:b/>
          <w:color w:val="363436"/>
          <w:spacing w:val="2"/>
          <w:w w:val="105"/>
          <w:sz w:val="21"/>
        </w:rPr>
        <w:t> </w:t>
      </w:r>
      <w:r>
        <w:rPr>
          <w:b/>
          <w:color w:val="363436"/>
          <w:w w:val="105"/>
          <w:sz w:val="21"/>
        </w:rPr>
        <w:t>1409(a),</w:t>
      </w:r>
    </w:p>
    <w:p>
      <w:pPr>
        <w:spacing w:before="132"/>
        <w:ind w:left="1104" w:right="448" w:hanging="14"/>
        <w:jc w:val="both"/>
        <w:rPr>
          <w:b/>
          <w:sz w:val="21"/>
        </w:rPr>
      </w:pPr>
      <w:r>
        <w:rPr>
          <w:b/>
          <w:color w:val="363436"/>
          <w:w w:val="110"/>
          <w:sz w:val="21"/>
        </w:rPr>
        <w:t>The government argued that the observation was analogous to look­</w:t>
      </w:r>
      <w:r>
        <w:rPr>
          <w:b/>
          <w:color w:val="363436"/>
          <w:spacing w:val="1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ing through a knothole or an opening in a fence: </w:t>
      </w:r>
      <w:r>
        <w:rPr>
          <w:rFonts w:ascii="Arial" w:hAnsi="Arial"/>
          <w:color w:val="363436"/>
          <w:w w:val="110"/>
          <w:sz w:val="19"/>
        </w:rPr>
        <w:t>"If</w:t>
      </w:r>
      <w:r>
        <w:rPr>
          <w:rFonts w:ascii="Arial" w:hAnsi="Arial"/>
          <w:color w:val="363436"/>
          <w:spacing w:val="1"/>
          <w:w w:val="110"/>
          <w:sz w:val="19"/>
        </w:rPr>
        <w:t> </w:t>
      </w:r>
      <w:r>
        <w:rPr>
          <w:b/>
          <w:color w:val="363436"/>
          <w:w w:val="110"/>
          <w:sz w:val="21"/>
        </w:rPr>
        <w:t>there is an open­</w:t>
      </w:r>
      <w:r>
        <w:rPr>
          <w:b/>
          <w:color w:val="363436"/>
          <w:spacing w:val="-55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ing,</w:t>
      </w:r>
      <w:r>
        <w:rPr>
          <w:b/>
          <w:color w:val="363436"/>
          <w:spacing w:val="-4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the</w:t>
      </w:r>
      <w:r>
        <w:rPr>
          <w:b/>
          <w:color w:val="363436"/>
          <w:spacing w:val="-4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police</w:t>
      </w:r>
      <w:r>
        <w:rPr>
          <w:b/>
          <w:color w:val="363436"/>
          <w:spacing w:val="-6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may</w:t>
      </w:r>
      <w:r>
        <w:rPr>
          <w:b/>
          <w:color w:val="363436"/>
          <w:spacing w:val="-5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look."</w:t>
      </w:r>
    </w:p>
    <w:p>
      <w:pPr>
        <w:spacing w:line="230" w:lineRule="auto" w:before="140"/>
        <w:ind w:left="1087" w:right="457" w:hanging="7"/>
        <w:jc w:val="both"/>
        <w:rPr>
          <w:b/>
          <w:sz w:val="21"/>
        </w:rPr>
      </w:pPr>
      <w:r>
        <w:rPr>
          <w:b/>
          <w:color w:val="363436"/>
          <w:w w:val="110"/>
          <w:sz w:val="21"/>
        </w:rPr>
        <w:t>The record indicates that Respondents engaged in only one activity</w:t>
      </w:r>
      <w:r>
        <w:rPr>
          <w:b/>
          <w:color w:val="363436"/>
          <w:spacing w:val="1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while</w:t>
      </w:r>
      <w:r>
        <w:rPr>
          <w:b/>
          <w:color w:val="363436"/>
          <w:spacing w:val="-10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inside</w:t>
      </w:r>
      <w:r>
        <w:rPr>
          <w:b/>
          <w:color w:val="363436"/>
          <w:spacing w:val="-20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Thompson's</w:t>
      </w:r>
      <w:r>
        <w:rPr>
          <w:b/>
          <w:color w:val="363436"/>
          <w:spacing w:val="-5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apartment:</w:t>
      </w:r>
      <w:r>
        <w:rPr>
          <w:b/>
          <w:color w:val="363436"/>
          <w:spacing w:val="-7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bagging</w:t>
      </w:r>
      <w:r>
        <w:rPr>
          <w:b/>
          <w:color w:val="363436"/>
          <w:spacing w:val="-8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cocaine.</w:t>
      </w:r>
    </w:p>
    <w:p>
      <w:pPr>
        <w:pStyle w:val="BodyText"/>
        <w:spacing w:line="232" w:lineRule="auto" w:before="152"/>
        <w:ind w:left="666" w:right="136" w:firstLine="38"/>
        <w:jc w:val="both"/>
      </w:pPr>
      <w:r>
        <w:rPr>
          <w:color w:val="363436"/>
          <w:w w:val="110"/>
        </w:rPr>
        <w:t>Grammatically, the information that precedes the colon should be a com­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plete sentence. The information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that comes after need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not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be. Do not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capitalize the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first word after a colon unless the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information after the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colon could be a separate sentence; </w:t>
      </w:r>
      <w:r>
        <w:rPr>
          <w:color w:val="4B494B"/>
          <w:w w:val="110"/>
        </w:rPr>
        <w:t>even </w:t>
      </w:r>
      <w:r>
        <w:rPr>
          <w:color w:val="363436"/>
          <w:w w:val="110"/>
        </w:rPr>
        <w:t>then, </w:t>
      </w:r>
      <w:r>
        <w:rPr>
          <w:color w:val="4B494B"/>
          <w:w w:val="110"/>
        </w:rPr>
        <w:t>you </w:t>
      </w:r>
      <w:r>
        <w:rPr>
          <w:color w:val="363436"/>
          <w:w w:val="110"/>
        </w:rPr>
        <w:t>maychoose to leave </w:t>
      </w:r>
      <w:r>
        <w:rPr>
          <w:color w:val="4B494B"/>
          <w:w w:val="110"/>
        </w:rPr>
        <w:t>it</w:t>
      </w:r>
      <w:r>
        <w:rPr>
          <w:color w:val="4B494B"/>
          <w:spacing w:val="1"/>
          <w:w w:val="110"/>
        </w:rPr>
        <w:t> </w:t>
      </w:r>
      <w:r>
        <w:rPr>
          <w:color w:val="363436"/>
          <w:w w:val="110"/>
        </w:rPr>
        <w:t>uncapitalized. If, like me, you fall in love with the colon, you should still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avoid</w:t>
      </w:r>
      <w:r>
        <w:rPr>
          <w:color w:val="363436"/>
          <w:spacing w:val="-5"/>
          <w:w w:val="110"/>
        </w:rPr>
        <w:t> </w:t>
      </w:r>
      <w:r>
        <w:rPr>
          <w:color w:val="363436"/>
          <w:w w:val="110"/>
        </w:rPr>
        <w:t>overusing</w:t>
      </w:r>
      <w:r>
        <w:rPr>
          <w:color w:val="363436"/>
          <w:spacing w:val="-13"/>
          <w:w w:val="110"/>
        </w:rPr>
        <w:t> </w:t>
      </w:r>
      <w:r>
        <w:rPr>
          <w:color w:val="363436"/>
          <w:w w:val="110"/>
        </w:rPr>
        <w:t>it.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0"/>
        <w:ind w:left="1284" w:right="0" w:firstLine="0"/>
        <w:jc w:val="left"/>
        <w:rPr>
          <w:rFonts w:ascii="Arial"/>
          <w:b/>
          <w:sz w:val="33"/>
        </w:rPr>
      </w:pPr>
      <w:r>
        <w:rPr>
          <w:rFonts w:ascii="Arial"/>
          <w:b/>
          <w:color w:val="363436"/>
          <w:w w:val="105"/>
          <w:sz w:val="33"/>
        </w:rPr>
        <w:t>11.5</w:t>
      </w:r>
    </w:p>
    <w:p>
      <w:pPr>
        <w:spacing w:line="295" w:lineRule="auto" w:before="62"/>
        <w:ind w:left="1247" w:right="0" w:firstLine="15"/>
        <w:jc w:val="left"/>
        <w:rPr>
          <w:rFonts w:ascii="Arial"/>
          <w:b/>
          <w:sz w:val="27"/>
        </w:rPr>
      </w:pPr>
      <w:r>
        <w:rPr>
          <w:rFonts w:ascii="Arial"/>
          <w:b/>
          <w:color w:val="363436"/>
          <w:w w:val="105"/>
          <w:sz w:val="26"/>
        </w:rPr>
        <w:t>AVOIDING</w:t>
      </w:r>
      <w:r>
        <w:rPr>
          <w:rFonts w:ascii="Arial"/>
          <w:b/>
          <w:color w:val="363436"/>
          <w:spacing w:val="34"/>
          <w:w w:val="105"/>
          <w:sz w:val="26"/>
        </w:rPr>
        <w:t> </w:t>
      </w:r>
      <w:r>
        <w:rPr>
          <w:rFonts w:ascii="Arial"/>
          <w:b/>
          <w:color w:val="363436"/>
          <w:w w:val="105"/>
          <w:sz w:val="26"/>
        </w:rPr>
        <w:t>SPELLING,</w:t>
      </w:r>
      <w:r>
        <w:rPr>
          <w:rFonts w:ascii="Arial"/>
          <w:b/>
          <w:color w:val="363436"/>
          <w:spacing w:val="21"/>
          <w:w w:val="105"/>
          <w:sz w:val="26"/>
        </w:rPr>
        <w:t> </w:t>
      </w:r>
      <w:r>
        <w:rPr>
          <w:rFonts w:ascii="Arial"/>
          <w:b/>
          <w:color w:val="363436"/>
          <w:w w:val="105"/>
          <w:sz w:val="26"/>
        </w:rPr>
        <w:t>GRAMMATICAL,</w:t>
      </w:r>
      <w:r>
        <w:rPr>
          <w:rFonts w:ascii="Arial"/>
          <w:b/>
          <w:color w:val="363436"/>
          <w:spacing w:val="39"/>
          <w:w w:val="105"/>
          <w:sz w:val="26"/>
        </w:rPr>
        <w:t> </w:t>
      </w:r>
      <w:r>
        <w:rPr>
          <w:rFonts w:ascii="Arial"/>
          <w:b/>
          <w:color w:val="363436"/>
          <w:w w:val="105"/>
          <w:sz w:val="26"/>
        </w:rPr>
        <w:t>AND</w:t>
      </w:r>
      <w:r>
        <w:rPr>
          <w:rFonts w:ascii="Arial"/>
          <w:b/>
          <w:color w:val="363436"/>
          <w:spacing w:val="-73"/>
          <w:w w:val="105"/>
          <w:sz w:val="26"/>
        </w:rPr>
        <w:t> </w:t>
      </w:r>
      <w:r>
        <w:rPr>
          <w:rFonts w:ascii="Arial"/>
          <w:b/>
          <w:color w:val="363436"/>
          <w:w w:val="105"/>
          <w:sz w:val="26"/>
        </w:rPr>
        <w:t>TYPOGRAPHICAL</w:t>
      </w:r>
      <w:r>
        <w:rPr>
          <w:rFonts w:ascii="Arial"/>
          <w:b/>
          <w:color w:val="363436"/>
          <w:spacing w:val="11"/>
          <w:w w:val="105"/>
          <w:sz w:val="26"/>
        </w:rPr>
        <w:t> </w:t>
      </w:r>
      <w:r>
        <w:rPr>
          <w:rFonts w:ascii="Arial"/>
          <w:b/>
          <w:color w:val="363436"/>
          <w:w w:val="105"/>
          <w:sz w:val="27"/>
        </w:rPr>
        <w:t>ERRORS</w:t>
      </w:r>
    </w:p>
    <w:p>
      <w:pPr>
        <w:pStyle w:val="BodyText"/>
        <w:spacing w:line="228" w:lineRule="auto" w:before="186"/>
        <w:ind w:left="569" w:right="103" w:firstLine="643"/>
      </w:pPr>
      <w:r>
        <w:rPr>
          <w:color w:val="363436"/>
          <w:w w:val="110"/>
        </w:rPr>
        <w:t>Avoiding mechanical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errors does not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really present an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opportunity</w:t>
      </w:r>
      <w:r>
        <w:rPr>
          <w:color w:val="363436"/>
          <w:spacing w:val="-61"/>
          <w:w w:val="110"/>
        </w:rPr>
        <w:t> </w:t>
      </w:r>
      <w:r>
        <w:rPr>
          <w:color w:val="363436"/>
          <w:w w:val="110"/>
        </w:rPr>
        <w:t>for</w:t>
      </w:r>
      <w:r>
        <w:rPr>
          <w:color w:val="363436"/>
          <w:spacing w:val="41"/>
          <w:w w:val="110"/>
        </w:rPr>
        <w:t> </w:t>
      </w:r>
      <w:r>
        <w:rPr>
          <w:color w:val="363436"/>
          <w:w w:val="110"/>
        </w:rPr>
        <w:t>persuasion.</w:t>
      </w:r>
      <w:r>
        <w:rPr>
          <w:color w:val="363436"/>
          <w:spacing w:val="37"/>
          <w:w w:val="110"/>
        </w:rPr>
        <w:t> </w:t>
      </w:r>
      <w:r>
        <w:rPr>
          <w:color w:val="363436"/>
          <w:w w:val="110"/>
        </w:rPr>
        <w:t>Your</w:t>
      </w:r>
      <w:r>
        <w:rPr>
          <w:color w:val="363436"/>
          <w:spacing w:val="23"/>
          <w:w w:val="110"/>
        </w:rPr>
        <w:t> </w:t>
      </w:r>
      <w:r>
        <w:rPr>
          <w:color w:val="363436"/>
          <w:w w:val="110"/>
        </w:rPr>
        <w:t>reader</w:t>
      </w:r>
      <w:r>
        <w:rPr>
          <w:color w:val="363436"/>
          <w:spacing w:val="14"/>
          <w:w w:val="110"/>
        </w:rPr>
        <w:t> </w:t>
      </w:r>
      <w:r>
        <w:rPr>
          <w:color w:val="363436"/>
          <w:w w:val="110"/>
          <w:sz w:val="21"/>
        </w:rPr>
        <w:t>will</w:t>
      </w:r>
      <w:r>
        <w:rPr>
          <w:color w:val="363436"/>
          <w:spacing w:val="27"/>
          <w:w w:val="110"/>
          <w:sz w:val="21"/>
        </w:rPr>
        <w:t> </w:t>
      </w:r>
      <w:r>
        <w:rPr>
          <w:color w:val="363436"/>
          <w:w w:val="110"/>
        </w:rPr>
        <w:t>not</w:t>
      </w:r>
      <w:r>
        <w:rPr>
          <w:color w:val="363436"/>
          <w:spacing w:val="27"/>
          <w:w w:val="110"/>
        </w:rPr>
        <w:t> </w:t>
      </w:r>
      <w:r>
        <w:rPr>
          <w:color w:val="363436"/>
          <w:w w:val="110"/>
        </w:rPr>
        <w:t>particularly</w:t>
      </w:r>
      <w:r>
        <w:rPr>
          <w:color w:val="363436"/>
          <w:spacing w:val="27"/>
          <w:w w:val="110"/>
        </w:rPr>
        <w:t> </w:t>
      </w:r>
      <w:r>
        <w:rPr>
          <w:color w:val="363436"/>
          <w:w w:val="110"/>
        </w:rPr>
        <w:t>notice</w:t>
      </w:r>
      <w:r>
        <w:rPr>
          <w:color w:val="363436"/>
          <w:spacing w:val="7"/>
          <w:w w:val="110"/>
        </w:rPr>
        <w:t> </w:t>
      </w:r>
      <w:r>
        <w:rPr>
          <w:color w:val="363436"/>
          <w:w w:val="110"/>
        </w:rPr>
        <w:t>or</w:t>
      </w:r>
      <w:r>
        <w:rPr>
          <w:color w:val="363436"/>
          <w:spacing w:val="30"/>
          <w:w w:val="110"/>
        </w:rPr>
        <w:t> </w:t>
      </w:r>
      <w:r>
        <w:rPr>
          <w:color w:val="363436"/>
          <w:w w:val="110"/>
        </w:rPr>
        <w:t>remark</w:t>
      </w:r>
      <w:r>
        <w:rPr>
          <w:color w:val="363436"/>
          <w:spacing w:val="30"/>
          <w:w w:val="110"/>
        </w:rPr>
        <w:t> </w:t>
      </w:r>
      <w:r>
        <w:rPr>
          <w:color w:val="363436"/>
          <w:w w:val="110"/>
        </w:rPr>
        <w:t>upon</w:t>
      </w:r>
      <w:r>
        <w:rPr>
          <w:color w:val="363436"/>
          <w:spacing w:val="2"/>
          <w:w w:val="110"/>
        </w:rPr>
        <w:t> </w:t>
      </w:r>
      <w:r>
        <w:rPr>
          <w:color w:val="363436"/>
          <w:w w:val="110"/>
        </w:rPr>
        <w:t>a</w:t>
      </w:r>
    </w:p>
    <w:p>
      <w:pPr>
        <w:spacing w:after="0" w:line="228" w:lineRule="auto"/>
        <w:sectPr>
          <w:headerReference w:type="even" r:id="rId303"/>
          <w:headerReference w:type="default" r:id="rId304"/>
          <w:pgSz w:w="9810" w:h="13970"/>
          <w:pgMar w:header="540" w:footer="0" w:top="1100" w:bottom="280" w:left="1360" w:right="140"/>
          <w:pgNumType w:start="27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32" w:lineRule="auto"/>
        <w:ind w:left="116" w:right="505" w:firstLine="9"/>
        <w:jc w:val="both"/>
      </w:pPr>
      <w:r>
        <w:rPr>
          <w:color w:val="3A383A"/>
          <w:spacing w:val="-1"/>
          <w:w w:val="110"/>
        </w:rPr>
        <w:t>brief</w:t>
      </w:r>
      <w:r>
        <w:rPr>
          <w:color w:val="3A383A"/>
          <w:spacing w:val="13"/>
          <w:w w:val="110"/>
        </w:rPr>
        <w:t> </w:t>
      </w:r>
      <w:r>
        <w:rPr>
          <w:color w:val="3A383A"/>
          <w:spacing w:val="-1"/>
          <w:w w:val="110"/>
        </w:rPr>
        <w:t>that</w:t>
      </w:r>
      <w:r>
        <w:rPr>
          <w:color w:val="3A383A"/>
          <w:spacing w:val="-16"/>
          <w:w w:val="110"/>
        </w:rPr>
        <w:t> </w:t>
      </w:r>
      <w:r>
        <w:rPr>
          <w:color w:val="3A383A"/>
          <w:spacing w:val="-1"/>
          <w:w w:val="110"/>
        </w:rPr>
        <w:t>is</w:t>
      </w:r>
      <w:r>
        <w:rPr>
          <w:color w:val="3A383A"/>
          <w:spacing w:val="-32"/>
          <w:w w:val="110"/>
        </w:rPr>
        <w:t> </w:t>
      </w:r>
      <w:r>
        <w:rPr>
          <w:color w:val="3A383A"/>
          <w:spacing w:val="-1"/>
          <w:w w:val="110"/>
        </w:rPr>
        <w:t>free</w:t>
      </w:r>
      <w:r>
        <w:rPr>
          <w:color w:val="3A383A"/>
          <w:spacing w:val="-23"/>
          <w:w w:val="110"/>
        </w:rPr>
        <w:t> </w:t>
      </w:r>
      <w:r>
        <w:rPr>
          <w:color w:val="3A383A"/>
          <w:spacing w:val="-1"/>
          <w:w w:val="110"/>
        </w:rPr>
        <w:t>of</w:t>
      </w:r>
      <w:r>
        <w:rPr>
          <w:color w:val="3A383A"/>
          <w:w w:val="110"/>
        </w:rPr>
        <w:t> </w:t>
      </w:r>
      <w:r>
        <w:rPr>
          <w:color w:val="3A383A"/>
          <w:spacing w:val="-1"/>
          <w:w w:val="110"/>
        </w:rPr>
        <w:t>these</w:t>
      </w:r>
      <w:r>
        <w:rPr>
          <w:color w:val="3A383A"/>
          <w:spacing w:val="-2"/>
          <w:w w:val="110"/>
        </w:rPr>
        <w:t> </w:t>
      </w:r>
      <w:r>
        <w:rPr>
          <w:color w:val="3A383A"/>
          <w:spacing w:val="-1"/>
          <w:w w:val="110"/>
        </w:rPr>
        <w:t>problems:</w:t>
      </w:r>
      <w:r>
        <w:rPr>
          <w:color w:val="3A383A"/>
          <w:spacing w:val="-15"/>
          <w:w w:val="110"/>
        </w:rPr>
        <w:t> </w:t>
      </w:r>
      <w:r>
        <w:rPr>
          <w:color w:val="3A383A"/>
          <w:spacing w:val="-1"/>
          <w:w w:val="110"/>
        </w:rPr>
        <w:t>Perfection</w:t>
      </w:r>
      <w:r>
        <w:rPr>
          <w:color w:val="3A383A"/>
          <w:spacing w:val="-2"/>
          <w:w w:val="110"/>
        </w:rPr>
        <w:t> </w:t>
      </w:r>
      <w:r>
        <w:rPr>
          <w:color w:val="3A383A"/>
          <w:w w:val="110"/>
        </w:rPr>
        <w:t>in</w:t>
      </w:r>
      <w:r>
        <w:rPr>
          <w:color w:val="3A383A"/>
          <w:spacing w:val="20"/>
          <w:w w:val="110"/>
        </w:rPr>
        <w:t> </w:t>
      </w:r>
      <w:r>
        <w:rPr>
          <w:color w:val="3A383A"/>
          <w:w w:val="110"/>
        </w:rPr>
        <w:t>small</w:t>
      </w:r>
      <w:r>
        <w:rPr>
          <w:color w:val="3A383A"/>
          <w:spacing w:val="-8"/>
          <w:w w:val="110"/>
        </w:rPr>
        <w:t> </w:t>
      </w:r>
      <w:r>
        <w:rPr>
          <w:color w:val="3A383A"/>
          <w:w w:val="110"/>
        </w:rPr>
        <w:t>things</w:t>
      </w:r>
      <w:r>
        <w:rPr>
          <w:color w:val="3A383A"/>
          <w:spacing w:val="-12"/>
          <w:w w:val="110"/>
        </w:rPr>
        <w:t> </w:t>
      </w:r>
      <w:r>
        <w:rPr>
          <w:color w:val="3A383A"/>
          <w:w w:val="110"/>
        </w:rPr>
        <w:t>is</w:t>
      </w:r>
      <w:r>
        <w:rPr>
          <w:color w:val="3A383A"/>
          <w:spacing w:val="-20"/>
          <w:w w:val="110"/>
        </w:rPr>
        <w:t> </w:t>
      </w:r>
      <w:r>
        <w:rPr>
          <w:color w:val="3A383A"/>
          <w:w w:val="110"/>
        </w:rPr>
        <w:t>a</w:t>
      </w:r>
      <w:r>
        <w:rPr>
          <w:color w:val="3A383A"/>
          <w:spacing w:val="-1"/>
          <w:w w:val="110"/>
        </w:rPr>
        <w:t> </w:t>
      </w:r>
      <w:r>
        <w:rPr>
          <w:color w:val="3A383A"/>
          <w:w w:val="110"/>
        </w:rPr>
        <w:t>minimal</w:t>
      </w:r>
      <w:r>
        <w:rPr>
          <w:color w:val="3A383A"/>
          <w:spacing w:val="1"/>
          <w:w w:val="110"/>
        </w:rPr>
        <w:t> </w:t>
      </w:r>
      <w:r>
        <w:rPr>
          <w:color w:val="3A383A"/>
          <w:spacing w:val="-1"/>
          <w:w w:val="110"/>
        </w:rPr>
        <w:t>expectation. Unfortunately, however, mechanical </w:t>
      </w:r>
      <w:r>
        <w:rPr>
          <w:color w:val="3A383A"/>
          <w:w w:val="110"/>
        </w:rPr>
        <w:t>errors will have a nega­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0"/>
          <w:sz w:val="21"/>
        </w:rPr>
        <w:t>tive </w:t>
      </w:r>
      <w:r>
        <w:rPr>
          <w:color w:val="3A383A"/>
          <w:w w:val="110"/>
        </w:rPr>
        <w:t>effect. Many readers presume that someone who writes a document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with mechanical errors cannot be trusted to conduct sound legal analysis.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0"/>
        </w:rPr>
        <w:t>While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logic behind this attitude may be questionable, it's unmistak­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able </w:t>
      </w:r>
      <w:r>
        <w:rPr>
          <w:color w:val="2A2828"/>
          <w:w w:val="110"/>
        </w:rPr>
        <w:t>that </w:t>
      </w:r>
      <w:r>
        <w:rPr>
          <w:color w:val="3A383A"/>
          <w:w w:val="110"/>
        </w:rPr>
        <w:t>the attitude is there, and it provides one more </w:t>
      </w:r>
      <w:r>
        <w:rPr>
          <w:color w:val="2A2828"/>
          <w:w w:val="110"/>
        </w:rPr>
        <w:t>reason </w:t>
      </w:r>
      <w:r>
        <w:rPr>
          <w:color w:val="3A383A"/>
          <w:w w:val="110"/>
        </w:rPr>
        <w:t>why you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should</w:t>
      </w:r>
      <w:r>
        <w:rPr>
          <w:color w:val="3A383A"/>
          <w:spacing w:val="7"/>
          <w:w w:val="110"/>
        </w:rPr>
        <w:t> </w:t>
      </w:r>
      <w:r>
        <w:rPr>
          <w:color w:val="3A383A"/>
          <w:w w:val="110"/>
        </w:rPr>
        <w:t>proofread</w:t>
      </w:r>
      <w:r>
        <w:rPr>
          <w:color w:val="3A383A"/>
          <w:spacing w:val="7"/>
          <w:w w:val="110"/>
        </w:rPr>
        <w:t> </w:t>
      </w:r>
      <w:r>
        <w:rPr>
          <w:color w:val="3A383A"/>
          <w:w w:val="110"/>
        </w:rPr>
        <w:t>diligently.</w:t>
      </w:r>
    </w:p>
    <w:p>
      <w:pPr>
        <w:pStyle w:val="BodyText"/>
        <w:spacing w:line="228" w:lineRule="auto"/>
        <w:ind w:left="132" w:right="513" w:firstLine="321"/>
        <w:jc w:val="both"/>
      </w:pPr>
      <w:r>
        <w:rPr>
          <w:color w:val="3A383A"/>
          <w:w w:val="110"/>
        </w:rPr>
        <w:t>Chapter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Twelve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talks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about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effective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proofreading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methods,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and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Appendix </w:t>
      </w:r>
      <w:r>
        <w:rPr>
          <w:rFonts w:ascii="Arial"/>
          <w:color w:val="3A383A"/>
          <w:w w:val="110"/>
          <w:sz w:val="21"/>
        </w:rPr>
        <w:t>A</w:t>
      </w:r>
      <w:r>
        <w:rPr>
          <w:rFonts w:ascii="Arial"/>
          <w:color w:val="3A383A"/>
          <w:spacing w:val="-4"/>
          <w:w w:val="110"/>
          <w:sz w:val="21"/>
        </w:rPr>
        <w:t> </w:t>
      </w:r>
      <w:r>
        <w:rPr>
          <w:color w:val="3A383A"/>
          <w:w w:val="110"/>
        </w:rPr>
        <w:t>addresses</w:t>
      </w:r>
      <w:r>
        <w:rPr>
          <w:color w:val="3A383A"/>
          <w:spacing w:val="-7"/>
          <w:w w:val="110"/>
        </w:rPr>
        <w:t> </w:t>
      </w:r>
      <w:r>
        <w:rPr>
          <w:color w:val="3A383A"/>
          <w:w w:val="110"/>
        </w:rPr>
        <w:t>common</w:t>
      </w:r>
      <w:r>
        <w:rPr>
          <w:color w:val="3A383A"/>
          <w:spacing w:val="7"/>
          <w:w w:val="110"/>
        </w:rPr>
        <w:t> </w:t>
      </w:r>
      <w:r>
        <w:rPr>
          <w:color w:val="3A383A"/>
          <w:w w:val="110"/>
        </w:rPr>
        <w:t>punctuation</w:t>
      </w:r>
      <w:r>
        <w:rPr>
          <w:color w:val="3A383A"/>
          <w:spacing w:val="7"/>
          <w:w w:val="110"/>
        </w:rPr>
        <w:t> </w:t>
      </w:r>
      <w:r>
        <w:rPr>
          <w:color w:val="3A383A"/>
          <w:w w:val="110"/>
        </w:rPr>
        <w:t>mistakes.</w:t>
      </w:r>
    </w:p>
    <w:p>
      <w:pPr>
        <w:pStyle w:val="BodyText"/>
        <w:rPr>
          <w:sz w:val="26"/>
        </w:rPr>
      </w:pPr>
    </w:p>
    <w:p>
      <w:pPr>
        <w:spacing w:before="229"/>
        <w:ind w:left="725" w:right="0" w:firstLine="0"/>
        <w:jc w:val="left"/>
        <w:rPr>
          <w:rFonts w:ascii="Arial"/>
          <w:b/>
          <w:sz w:val="33"/>
        </w:rPr>
      </w:pPr>
      <w:r>
        <w:rPr>
          <w:rFonts w:ascii="Arial"/>
          <w:b/>
          <w:color w:val="3A383A"/>
          <w:sz w:val="33"/>
        </w:rPr>
        <w:t>11.</w:t>
      </w:r>
      <w:r>
        <w:rPr>
          <w:rFonts w:ascii="Arial"/>
          <w:b/>
          <w:color w:val="525254"/>
          <w:sz w:val="33"/>
        </w:rPr>
        <w:t>6</w:t>
      </w:r>
    </w:p>
    <w:p>
      <w:pPr>
        <w:spacing w:before="62"/>
        <w:ind w:left="719" w:right="0" w:firstLine="0"/>
        <w:jc w:val="left"/>
        <w:rPr>
          <w:sz w:val="26"/>
        </w:rPr>
      </w:pPr>
      <w:r>
        <w:rPr>
          <w:rFonts w:ascii="Arial"/>
          <w:color w:val="3A383A"/>
          <w:w w:val="110"/>
          <w:sz w:val="25"/>
        </w:rPr>
        <w:t>C</w:t>
      </w:r>
      <w:r>
        <w:rPr>
          <w:rFonts w:ascii="Arial"/>
          <w:color w:val="525254"/>
          <w:w w:val="110"/>
          <w:sz w:val="25"/>
        </w:rPr>
        <w:t>REDIBILI</w:t>
      </w:r>
      <w:r>
        <w:rPr>
          <w:rFonts w:ascii="Arial"/>
          <w:color w:val="3A383A"/>
          <w:w w:val="110"/>
          <w:sz w:val="25"/>
        </w:rPr>
        <w:t>TY</w:t>
      </w:r>
      <w:r>
        <w:rPr>
          <w:rFonts w:ascii="Arial"/>
          <w:color w:val="3A383A"/>
          <w:spacing w:val="-5"/>
          <w:w w:val="110"/>
          <w:sz w:val="25"/>
        </w:rPr>
        <w:t> </w:t>
      </w:r>
      <w:r>
        <w:rPr>
          <w:rFonts w:ascii="Arial"/>
          <w:b/>
          <w:color w:val="3A383A"/>
          <w:w w:val="110"/>
          <w:sz w:val="26"/>
        </w:rPr>
        <w:t>THROUGH</w:t>
      </w:r>
      <w:r>
        <w:rPr>
          <w:rFonts w:ascii="Arial"/>
          <w:b/>
          <w:color w:val="3A383A"/>
          <w:spacing w:val="-10"/>
          <w:w w:val="110"/>
          <w:sz w:val="26"/>
        </w:rPr>
        <w:t> </w:t>
      </w:r>
      <w:r>
        <w:rPr>
          <w:color w:val="3A383A"/>
          <w:w w:val="110"/>
          <w:sz w:val="26"/>
        </w:rPr>
        <w:t>DOCU</w:t>
      </w:r>
      <w:r>
        <w:rPr>
          <w:color w:val="525254"/>
          <w:w w:val="110"/>
          <w:sz w:val="26"/>
        </w:rPr>
        <w:t>M</w:t>
      </w:r>
      <w:r>
        <w:rPr>
          <w:color w:val="3A383A"/>
          <w:w w:val="110"/>
          <w:sz w:val="26"/>
        </w:rPr>
        <w:t>E</w:t>
      </w:r>
      <w:r>
        <w:rPr>
          <w:color w:val="525254"/>
          <w:w w:val="110"/>
          <w:sz w:val="26"/>
        </w:rPr>
        <w:t>N</w:t>
      </w:r>
      <w:r>
        <w:rPr>
          <w:color w:val="3A383A"/>
          <w:w w:val="110"/>
          <w:sz w:val="26"/>
        </w:rPr>
        <w:t>T</w:t>
      </w:r>
      <w:r>
        <w:rPr>
          <w:color w:val="3A383A"/>
          <w:spacing w:val="5"/>
          <w:w w:val="110"/>
          <w:sz w:val="26"/>
        </w:rPr>
        <w:t> </w:t>
      </w:r>
      <w:r>
        <w:rPr>
          <w:color w:val="3A383A"/>
          <w:w w:val="110"/>
          <w:sz w:val="26"/>
        </w:rPr>
        <w:t>DESIGN</w:t>
      </w:r>
    </w:p>
    <w:p>
      <w:pPr>
        <w:pStyle w:val="BodyText"/>
        <w:spacing w:before="10"/>
      </w:pPr>
    </w:p>
    <w:p>
      <w:pPr>
        <w:pStyle w:val="BodyText"/>
        <w:spacing w:line="232" w:lineRule="auto"/>
        <w:ind w:left="132" w:right="415" w:firstLine="553"/>
        <w:jc w:val="both"/>
      </w:pPr>
      <w:r>
        <w:rPr>
          <w:color w:val="3A383A"/>
          <w:w w:val="110"/>
        </w:rPr>
        <w:t>The way your document looks also creates an opportunity for per­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suasion. </w:t>
      </w:r>
      <w:r>
        <w:rPr>
          <w:color w:val="3A383A"/>
          <w:w w:val="115"/>
          <w:sz w:val="24"/>
        </w:rPr>
        <w:t>If </w:t>
      </w:r>
      <w:r>
        <w:rPr>
          <w:color w:val="3A383A"/>
          <w:w w:val="115"/>
        </w:rPr>
        <w:t>it is neat, clean, visually easy to read, and complies with all</w:t>
      </w:r>
      <w:r>
        <w:rPr>
          <w:color w:val="3A383A"/>
          <w:spacing w:val="-64"/>
          <w:w w:val="115"/>
        </w:rPr>
        <w:t> </w:t>
      </w:r>
      <w:r>
        <w:rPr>
          <w:color w:val="3A383A"/>
          <w:w w:val="110"/>
        </w:rPr>
        <w:t>local </w:t>
      </w:r>
      <w:r>
        <w:rPr>
          <w:color w:val="3A383A"/>
          <w:w w:val="115"/>
        </w:rPr>
        <w:t>rules, you will impress the court with your competence, and your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05"/>
        </w:rPr>
        <w:t>credibility will rise. Courts are beginning to recognize the benefits of effec­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15"/>
        </w:rPr>
        <w:t>tive document design, and to encourage-or require-that counsel keep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0"/>
        </w:rPr>
        <w:t>readability in mind. The Seventh Circuit's Web site, for example, features</w:t>
      </w:r>
      <w:r>
        <w:rPr>
          <w:color w:val="3A383A"/>
          <w:spacing w:val="1"/>
          <w:w w:val="110"/>
        </w:rPr>
        <w:t> </w:t>
      </w:r>
      <w:r>
        <w:rPr>
          <w:color w:val="3A383A"/>
          <w:spacing w:val="-1"/>
          <w:w w:val="110"/>
        </w:rPr>
        <w:t>a</w:t>
      </w:r>
      <w:r>
        <w:rPr>
          <w:color w:val="3A383A"/>
          <w:spacing w:val="-21"/>
          <w:w w:val="110"/>
        </w:rPr>
        <w:t> </w:t>
      </w:r>
      <w:r>
        <w:rPr>
          <w:color w:val="3A383A"/>
          <w:spacing w:val="-1"/>
          <w:w w:val="110"/>
        </w:rPr>
        <w:t>link</w:t>
      </w:r>
      <w:r>
        <w:rPr>
          <w:color w:val="3A383A"/>
          <w:spacing w:val="-25"/>
          <w:w w:val="110"/>
        </w:rPr>
        <w:t> </w:t>
      </w:r>
      <w:r>
        <w:rPr>
          <w:color w:val="3A383A"/>
          <w:spacing w:val="-1"/>
          <w:w w:val="110"/>
        </w:rPr>
        <w:t>called</w:t>
      </w:r>
      <w:r>
        <w:rPr>
          <w:color w:val="3A383A"/>
          <w:spacing w:val="1"/>
          <w:w w:val="110"/>
        </w:rPr>
        <w:t> </w:t>
      </w:r>
      <w:r>
        <w:rPr>
          <w:color w:val="3A383A"/>
          <w:spacing w:val="-1"/>
          <w:w w:val="110"/>
        </w:rPr>
        <w:t>"Guidelines</w:t>
      </w:r>
      <w:r>
        <w:rPr>
          <w:color w:val="3A383A"/>
          <w:spacing w:val="-10"/>
          <w:w w:val="110"/>
        </w:rPr>
        <w:t> </w:t>
      </w:r>
      <w:r>
        <w:rPr>
          <w:color w:val="3A383A"/>
          <w:spacing w:val="-1"/>
          <w:w w:val="110"/>
        </w:rPr>
        <w:t>for </w:t>
      </w:r>
      <w:r>
        <w:rPr>
          <w:color w:val="3A383A"/>
          <w:w w:val="110"/>
        </w:rPr>
        <w:t>Briefs</w:t>
      </w:r>
      <w:r>
        <w:rPr>
          <w:color w:val="3A383A"/>
          <w:spacing w:val="-8"/>
          <w:w w:val="110"/>
        </w:rPr>
        <w:t> </w:t>
      </w:r>
      <w:r>
        <w:rPr>
          <w:color w:val="3A383A"/>
          <w:w w:val="110"/>
        </w:rPr>
        <w:t>and</w:t>
      </w:r>
      <w:r>
        <w:rPr>
          <w:color w:val="3A383A"/>
          <w:spacing w:val="59"/>
          <w:w w:val="110"/>
        </w:rPr>
        <w:t> </w:t>
      </w:r>
      <w:r>
        <w:rPr>
          <w:color w:val="3A383A"/>
          <w:w w:val="110"/>
        </w:rPr>
        <w:t>Other</w:t>
      </w:r>
      <w:r>
        <w:rPr>
          <w:color w:val="3A383A"/>
          <w:spacing w:val="-9"/>
          <w:w w:val="110"/>
        </w:rPr>
        <w:t> </w:t>
      </w:r>
      <w:r>
        <w:rPr>
          <w:color w:val="3A383A"/>
          <w:w w:val="110"/>
        </w:rPr>
        <w:t>Papers" that</w:t>
      </w:r>
      <w:r>
        <w:rPr>
          <w:color w:val="3A383A"/>
          <w:spacing w:val="-6"/>
          <w:w w:val="110"/>
        </w:rPr>
        <w:t> </w:t>
      </w:r>
      <w:r>
        <w:rPr>
          <w:color w:val="3A383A"/>
          <w:w w:val="110"/>
        </w:rPr>
        <w:t>links</w:t>
      </w:r>
      <w:r>
        <w:rPr>
          <w:color w:val="3A383A"/>
          <w:spacing w:val="-21"/>
          <w:w w:val="110"/>
        </w:rPr>
        <w:t> </w:t>
      </w:r>
      <w:r>
        <w:rPr>
          <w:color w:val="3A383A"/>
          <w:w w:val="110"/>
        </w:rPr>
        <w:t>to</w:t>
      </w:r>
      <w:r>
        <w:rPr>
          <w:color w:val="3A383A"/>
          <w:spacing w:val="5"/>
          <w:w w:val="110"/>
        </w:rPr>
        <w:t> </w:t>
      </w:r>
      <w:r>
        <w:rPr>
          <w:color w:val="3A383A"/>
          <w:w w:val="110"/>
        </w:rPr>
        <w:t>a</w:t>
      </w:r>
      <w:r>
        <w:rPr>
          <w:color w:val="3A383A"/>
          <w:spacing w:val="-6"/>
          <w:w w:val="110"/>
        </w:rPr>
        <w:t> </w:t>
      </w:r>
      <w:r>
        <w:rPr>
          <w:color w:val="3A383A"/>
          <w:w w:val="110"/>
        </w:rPr>
        <w:t>docu­</w:t>
      </w:r>
      <w:r>
        <w:rPr>
          <w:color w:val="3A383A"/>
          <w:spacing w:val="1"/>
          <w:w w:val="110"/>
        </w:rPr>
        <w:t> </w:t>
      </w:r>
      <w:r>
        <w:rPr>
          <w:color w:val="3A383A"/>
          <w:spacing w:val="-1"/>
          <w:w w:val="115"/>
        </w:rPr>
        <w:t>ment explaining the importance of effective typography. </w:t>
      </w:r>
      <w:r>
        <w:rPr>
          <w:color w:val="3A383A"/>
          <w:w w:val="115"/>
        </w:rPr>
        <w:t>The document</w:t>
      </w:r>
      <w:r>
        <w:rPr>
          <w:color w:val="3A383A"/>
          <w:spacing w:val="-64"/>
          <w:w w:val="115"/>
        </w:rPr>
        <w:t> </w:t>
      </w:r>
      <w:r>
        <w:rPr>
          <w:color w:val="3A383A"/>
          <w:w w:val="110"/>
        </w:rPr>
        <w:t>notes</w:t>
      </w:r>
      <w:r>
        <w:rPr>
          <w:color w:val="3A383A"/>
          <w:spacing w:val="-18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42"/>
          <w:w w:val="110"/>
        </w:rPr>
        <w:t> </w:t>
      </w:r>
      <w:r>
        <w:rPr>
          <w:color w:val="3A383A"/>
          <w:w w:val="110"/>
        </w:rPr>
        <w:t>importance</w:t>
      </w:r>
      <w:r>
        <w:rPr>
          <w:color w:val="3A383A"/>
          <w:spacing w:val="-1"/>
          <w:w w:val="110"/>
        </w:rPr>
        <w:t> </w:t>
      </w:r>
      <w:r>
        <w:rPr>
          <w:color w:val="3A383A"/>
          <w:w w:val="110"/>
        </w:rPr>
        <w:t>of</w:t>
      </w:r>
      <w:r>
        <w:rPr>
          <w:color w:val="3A383A"/>
          <w:spacing w:val="4"/>
          <w:w w:val="110"/>
        </w:rPr>
        <w:t> </w:t>
      </w:r>
      <w:r>
        <w:rPr>
          <w:color w:val="3A383A"/>
          <w:w w:val="110"/>
        </w:rPr>
        <w:t>effective</w:t>
      </w:r>
      <w:r>
        <w:rPr>
          <w:color w:val="3A383A"/>
          <w:spacing w:val="-17"/>
          <w:w w:val="110"/>
        </w:rPr>
        <w:t> </w:t>
      </w:r>
      <w:r>
        <w:rPr>
          <w:color w:val="3A383A"/>
          <w:w w:val="110"/>
        </w:rPr>
        <w:t>document</w:t>
      </w:r>
      <w:r>
        <w:rPr>
          <w:color w:val="3A383A"/>
          <w:spacing w:val="-1"/>
          <w:w w:val="110"/>
        </w:rPr>
        <w:t> </w:t>
      </w:r>
      <w:r>
        <w:rPr>
          <w:color w:val="3A383A"/>
          <w:w w:val="110"/>
        </w:rPr>
        <w:t>design:</w:t>
      </w:r>
    </w:p>
    <w:p>
      <w:pPr>
        <w:spacing w:line="237" w:lineRule="auto" w:before="113"/>
        <w:ind w:left="489" w:right="770" w:hanging="6"/>
        <w:jc w:val="both"/>
        <w:rPr>
          <w:sz w:val="21"/>
        </w:rPr>
      </w:pPr>
      <w:r>
        <w:rPr>
          <w:color w:val="3A383A"/>
          <w:spacing w:val="-1"/>
          <w:w w:val="110"/>
          <w:sz w:val="21"/>
        </w:rPr>
        <w:t>Choosing the </w:t>
      </w:r>
      <w:r>
        <w:rPr>
          <w:color w:val="2A2828"/>
          <w:spacing w:val="-1"/>
          <w:w w:val="110"/>
          <w:sz w:val="21"/>
        </w:rPr>
        <w:t>best </w:t>
      </w:r>
      <w:r>
        <w:rPr>
          <w:color w:val="3A383A"/>
          <w:spacing w:val="-1"/>
          <w:w w:val="110"/>
          <w:sz w:val="21"/>
        </w:rPr>
        <w:t>type[face] won't guarantee </w:t>
      </w:r>
      <w:r>
        <w:rPr>
          <w:color w:val="3A383A"/>
          <w:w w:val="110"/>
          <w:sz w:val="21"/>
        </w:rPr>
        <w:t>success, but it </w:t>
      </w:r>
      <w:r>
        <w:rPr>
          <w:color w:val="3A383A"/>
          <w:w w:val="110"/>
          <w:sz w:val="23"/>
        </w:rPr>
        <w:t>is </w:t>
      </w:r>
      <w:r>
        <w:rPr>
          <w:color w:val="3A383A"/>
          <w:w w:val="110"/>
          <w:sz w:val="21"/>
        </w:rPr>
        <w:t>worthwhile</w:t>
      </w:r>
      <w:r>
        <w:rPr>
          <w:color w:val="3A383A"/>
          <w:spacing w:val="-55"/>
          <w:w w:val="110"/>
          <w:sz w:val="21"/>
        </w:rPr>
        <w:t> </w:t>
      </w:r>
      <w:r>
        <w:rPr>
          <w:color w:val="3A383A"/>
          <w:w w:val="110"/>
          <w:sz w:val="21"/>
        </w:rPr>
        <w:t>to invest some time in </w:t>
      </w:r>
      <w:r>
        <w:rPr>
          <w:color w:val="2A2828"/>
          <w:w w:val="110"/>
          <w:sz w:val="21"/>
        </w:rPr>
        <w:t>improving </w:t>
      </w:r>
      <w:r>
        <w:rPr>
          <w:color w:val="525254"/>
          <w:w w:val="110"/>
          <w:sz w:val="21"/>
        </w:rPr>
        <w:t>t</w:t>
      </w:r>
      <w:r>
        <w:rPr>
          <w:color w:val="3A383A"/>
          <w:w w:val="110"/>
          <w:sz w:val="21"/>
        </w:rPr>
        <w:t>he qualityof the brie</w:t>
      </w:r>
      <w:r>
        <w:rPr>
          <w:color w:val="525254"/>
          <w:w w:val="110"/>
          <w:sz w:val="21"/>
        </w:rPr>
        <w:t>f</w:t>
      </w:r>
      <w:r>
        <w:rPr>
          <w:color w:val="3A383A"/>
          <w:w w:val="110"/>
          <w:sz w:val="21"/>
        </w:rPr>
        <w:t>'s appearance and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legibility.</w:t>
      </w:r>
    </w:p>
    <w:p>
      <w:pPr>
        <w:spacing w:line="221" w:lineRule="exact" w:before="0"/>
        <w:ind w:left="833" w:right="0" w:firstLine="0"/>
        <w:jc w:val="both"/>
        <w:rPr>
          <w:sz w:val="21"/>
        </w:rPr>
      </w:pPr>
      <w:r>
        <w:rPr>
          <w:color w:val="3A383A"/>
          <w:w w:val="110"/>
          <w:sz w:val="21"/>
        </w:rPr>
        <w:t>Judges</w:t>
      </w:r>
      <w:r>
        <w:rPr>
          <w:color w:val="3A383A"/>
          <w:spacing w:val="6"/>
          <w:w w:val="110"/>
          <w:sz w:val="21"/>
        </w:rPr>
        <w:t> </w:t>
      </w:r>
      <w:r>
        <w:rPr>
          <w:color w:val="3A383A"/>
          <w:w w:val="110"/>
          <w:sz w:val="21"/>
        </w:rPr>
        <w:t>of</w:t>
      </w:r>
      <w:r>
        <w:rPr>
          <w:color w:val="3A383A"/>
          <w:spacing w:val="35"/>
          <w:w w:val="110"/>
          <w:sz w:val="21"/>
        </w:rPr>
        <w:t> </w:t>
      </w:r>
      <w:r>
        <w:rPr>
          <w:color w:val="3A383A"/>
          <w:w w:val="110"/>
          <w:sz w:val="21"/>
        </w:rPr>
        <w:t>this</w:t>
      </w:r>
      <w:r>
        <w:rPr>
          <w:color w:val="3A383A"/>
          <w:spacing w:val="-4"/>
          <w:w w:val="110"/>
          <w:sz w:val="21"/>
        </w:rPr>
        <w:t> </w:t>
      </w:r>
      <w:r>
        <w:rPr>
          <w:color w:val="3A383A"/>
          <w:w w:val="110"/>
          <w:sz w:val="21"/>
        </w:rPr>
        <w:t>court</w:t>
      </w:r>
      <w:r>
        <w:rPr>
          <w:color w:val="3A383A"/>
          <w:spacing w:val="26"/>
          <w:w w:val="110"/>
          <w:sz w:val="21"/>
        </w:rPr>
        <w:t> </w:t>
      </w:r>
      <w:r>
        <w:rPr>
          <w:color w:val="3A383A"/>
          <w:w w:val="110"/>
          <w:sz w:val="21"/>
        </w:rPr>
        <w:t>hear</w:t>
      </w:r>
      <w:r>
        <w:rPr>
          <w:color w:val="3A383A"/>
          <w:spacing w:val="18"/>
          <w:w w:val="110"/>
          <w:sz w:val="21"/>
        </w:rPr>
        <w:t> </w:t>
      </w:r>
      <w:r>
        <w:rPr>
          <w:color w:val="3A383A"/>
          <w:w w:val="110"/>
          <w:sz w:val="21"/>
        </w:rPr>
        <w:t>six</w:t>
      </w:r>
      <w:r>
        <w:rPr>
          <w:color w:val="3A383A"/>
          <w:spacing w:val="5"/>
          <w:w w:val="110"/>
          <w:sz w:val="21"/>
        </w:rPr>
        <w:t> </w:t>
      </w:r>
      <w:r>
        <w:rPr>
          <w:color w:val="3A383A"/>
          <w:w w:val="110"/>
          <w:sz w:val="21"/>
        </w:rPr>
        <w:t>cases</w:t>
      </w:r>
      <w:r>
        <w:rPr>
          <w:color w:val="3A383A"/>
          <w:spacing w:val="11"/>
          <w:w w:val="110"/>
          <w:sz w:val="21"/>
        </w:rPr>
        <w:t> </w:t>
      </w:r>
      <w:r>
        <w:rPr>
          <w:color w:val="3A383A"/>
          <w:w w:val="110"/>
          <w:sz w:val="21"/>
        </w:rPr>
        <w:t>on</w:t>
      </w:r>
      <w:r>
        <w:rPr>
          <w:color w:val="3A383A"/>
          <w:spacing w:val="52"/>
          <w:w w:val="110"/>
          <w:sz w:val="21"/>
        </w:rPr>
        <w:t> </w:t>
      </w:r>
      <w:r>
        <w:rPr>
          <w:color w:val="3A383A"/>
          <w:w w:val="110"/>
          <w:sz w:val="21"/>
        </w:rPr>
        <w:t>most</w:t>
      </w:r>
      <w:r>
        <w:rPr>
          <w:color w:val="3A383A"/>
          <w:spacing w:val="18"/>
          <w:w w:val="110"/>
          <w:sz w:val="21"/>
        </w:rPr>
        <w:t> </w:t>
      </w:r>
      <w:r>
        <w:rPr>
          <w:color w:val="3A383A"/>
          <w:w w:val="110"/>
          <w:sz w:val="21"/>
        </w:rPr>
        <w:t>argument</w:t>
      </w:r>
      <w:r>
        <w:rPr>
          <w:color w:val="3A383A"/>
          <w:spacing w:val="32"/>
          <w:w w:val="110"/>
          <w:sz w:val="21"/>
        </w:rPr>
        <w:t> </w:t>
      </w:r>
      <w:r>
        <w:rPr>
          <w:color w:val="3A383A"/>
          <w:w w:val="110"/>
          <w:sz w:val="21"/>
        </w:rPr>
        <w:t>days</w:t>
      </w:r>
      <w:r>
        <w:rPr>
          <w:color w:val="3A383A"/>
          <w:spacing w:val="9"/>
          <w:w w:val="110"/>
          <w:sz w:val="21"/>
        </w:rPr>
        <w:t> </w:t>
      </w:r>
      <w:r>
        <w:rPr>
          <w:color w:val="3A383A"/>
          <w:w w:val="110"/>
          <w:sz w:val="21"/>
        </w:rPr>
        <w:t>and</w:t>
      </w:r>
      <w:r>
        <w:rPr>
          <w:color w:val="3A383A"/>
          <w:spacing w:val="44"/>
          <w:w w:val="110"/>
          <w:sz w:val="21"/>
        </w:rPr>
        <w:t> </w:t>
      </w:r>
      <w:r>
        <w:rPr>
          <w:color w:val="3A383A"/>
          <w:w w:val="110"/>
          <w:sz w:val="21"/>
        </w:rPr>
        <w:t>nine</w:t>
      </w:r>
    </w:p>
    <w:p>
      <w:pPr>
        <w:spacing w:line="237" w:lineRule="auto" w:before="1"/>
        <w:ind w:left="492" w:right="732" w:hanging="10"/>
        <w:jc w:val="both"/>
        <w:rPr>
          <w:sz w:val="21"/>
        </w:rPr>
      </w:pPr>
      <w:r>
        <w:rPr>
          <w:color w:val="3A383A"/>
          <w:w w:val="110"/>
          <w:sz w:val="21"/>
        </w:rPr>
        <w:t>cases on others. The briefs, opinions of the district courts, essential parts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of the appendices, and other required reading add up to about 1,000 pages</w:t>
      </w:r>
      <w:r>
        <w:rPr>
          <w:color w:val="3A383A"/>
          <w:spacing w:val="-55"/>
          <w:w w:val="110"/>
          <w:sz w:val="21"/>
        </w:rPr>
        <w:t> </w:t>
      </w:r>
      <w:r>
        <w:rPr>
          <w:color w:val="2A2828"/>
          <w:w w:val="110"/>
          <w:sz w:val="21"/>
        </w:rPr>
        <w:t>per </w:t>
      </w:r>
      <w:r>
        <w:rPr>
          <w:color w:val="3A383A"/>
          <w:w w:val="110"/>
          <w:sz w:val="21"/>
        </w:rPr>
        <w:t>argument session. Reading that much is a chore; remembering it is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sz w:val="21"/>
        </w:rPr>
        <w:t>even harder. </w:t>
      </w:r>
      <w:r>
        <w:rPr>
          <w:i/>
          <w:color w:val="3A383A"/>
          <w:sz w:val="21"/>
        </w:rPr>
        <w:t>You can improve your chances by making your briefs typographi­</w:t>
      </w:r>
      <w:r>
        <w:rPr>
          <w:i/>
          <w:color w:val="3A383A"/>
          <w:spacing w:val="1"/>
          <w:sz w:val="21"/>
        </w:rPr>
        <w:t> </w:t>
      </w:r>
      <w:r>
        <w:rPr>
          <w:i/>
          <w:color w:val="3A383A"/>
          <w:sz w:val="21"/>
        </w:rPr>
        <w:t>cally superior</w:t>
      </w:r>
      <w:r>
        <w:rPr>
          <w:i/>
          <w:color w:val="525254"/>
          <w:sz w:val="21"/>
        </w:rPr>
        <w:t>. </w:t>
      </w:r>
      <w:r>
        <w:rPr>
          <w:i/>
          <w:color w:val="3A383A"/>
          <w:sz w:val="20"/>
        </w:rPr>
        <w:t>It </w:t>
      </w:r>
      <w:r>
        <w:rPr>
          <w:i/>
          <w:color w:val="3A383A"/>
          <w:sz w:val="21"/>
        </w:rPr>
        <w:t>won</w:t>
      </w:r>
      <w:r>
        <w:rPr>
          <w:i/>
          <w:color w:val="525254"/>
          <w:sz w:val="21"/>
        </w:rPr>
        <w:t>'</w:t>
      </w:r>
      <w:r>
        <w:rPr>
          <w:i/>
          <w:color w:val="3A383A"/>
          <w:sz w:val="21"/>
        </w:rPr>
        <w:t>t make your arguments better, but it will ensur</w:t>
      </w:r>
      <w:r>
        <w:rPr>
          <w:i/>
          <w:color w:val="525254"/>
          <w:sz w:val="21"/>
        </w:rPr>
        <w:t>e </w:t>
      </w:r>
      <w:r>
        <w:rPr>
          <w:i/>
          <w:color w:val="3A383A"/>
          <w:sz w:val="21"/>
        </w:rPr>
        <w:t>that judges</w:t>
      </w:r>
      <w:r>
        <w:rPr>
          <w:i/>
          <w:color w:val="3A383A"/>
          <w:spacing w:val="-50"/>
          <w:sz w:val="21"/>
        </w:rPr>
        <w:t> </w:t>
      </w:r>
      <w:r>
        <w:rPr>
          <w:i/>
          <w:color w:val="3A383A"/>
          <w:w w:val="105"/>
          <w:sz w:val="21"/>
        </w:rPr>
        <w:t>grasp and maintain your points with less struggle. </w:t>
      </w:r>
      <w:r>
        <w:rPr>
          <w:color w:val="3A383A"/>
          <w:w w:val="105"/>
          <w:sz w:val="21"/>
        </w:rPr>
        <w:t>That's a valuable advan­</w:t>
      </w:r>
      <w:r>
        <w:rPr>
          <w:color w:val="3A383A"/>
          <w:spacing w:val="1"/>
          <w:w w:val="105"/>
          <w:sz w:val="21"/>
        </w:rPr>
        <w:t> </w:t>
      </w:r>
      <w:r>
        <w:rPr>
          <w:color w:val="3A383A"/>
          <w:w w:val="110"/>
          <w:sz w:val="21"/>
        </w:rPr>
        <w:t>tage,</w:t>
      </w:r>
      <w:r>
        <w:rPr>
          <w:color w:val="3A383A"/>
          <w:spacing w:val="-5"/>
          <w:w w:val="110"/>
          <w:sz w:val="21"/>
        </w:rPr>
        <w:t> </w:t>
      </w:r>
      <w:r>
        <w:rPr>
          <w:color w:val="3A383A"/>
          <w:w w:val="110"/>
          <w:sz w:val="21"/>
        </w:rPr>
        <w:t>which</w:t>
      </w:r>
      <w:r>
        <w:rPr>
          <w:color w:val="3A383A"/>
          <w:spacing w:val="6"/>
          <w:w w:val="110"/>
          <w:sz w:val="21"/>
        </w:rPr>
        <w:t> </w:t>
      </w:r>
      <w:r>
        <w:rPr>
          <w:color w:val="3A383A"/>
          <w:w w:val="110"/>
          <w:sz w:val="21"/>
        </w:rPr>
        <w:t>you</w:t>
      </w:r>
      <w:r>
        <w:rPr>
          <w:color w:val="3A383A"/>
          <w:spacing w:val="-4"/>
          <w:w w:val="110"/>
          <w:sz w:val="21"/>
        </w:rPr>
        <w:t> </w:t>
      </w:r>
      <w:r>
        <w:rPr>
          <w:color w:val="3A383A"/>
          <w:w w:val="110"/>
          <w:sz w:val="21"/>
        </w:rPr>
        <w:t>should</w:t>
      </w:r>
      <w:r>
        <w:rPr>
          <w:color w:val="3A383A"/>
          <w:spacing w:val="-21"/>
          <w:w w:val="110"/>
          <w:sz w:val="21"/>
        </w:rPr>
        <w:t> </w:t>
      </w:r>
      <w:r>
        <w:rPr>
          <w:color w:val="3A383A"/>
          <w:w w:val="110"/>
          <w:sz w:val="21"/>
        </w:rPr>
        <w:t>seize.</w:t>
      </w:r>
      <w:r>
        <w:rPr>
          <w:color w:val="3A383A"/>
          <w:w w:val="110"/>
          <w:sz w:val="21"/>
          <w:vertAlign w:val="superscript"/>
        </w:rPr>
        <w:t>21</w:t>
      </w:r>
    </w:p>
    <w:p>
      <w:pPr>
        <w:pStyle w:val="BodyText"/>
        <w:spacing w:line="228" w:lineRule="auto" w:before="147"/>
        <w:ind w:left="174" w:right="367" w:firstLine="332"/>
        <w:jc w:val="both"/>
      </w:pPr>
      <w:r>
        <w:rPr>
          <w:color w:val="3A383A"/>
          <w:w w:val="110"/>
        </w:rPr>
        <w:t>Many small decisions can affect the ease with which the reader can</w:t>
      </w:r>
      <w:r>
        <w:rPr>
          <w:color w:val="3A383A"/>
          <w:spacing w:val="1"/>
          <w:w w:val="110"/>
        </w:rPr>
        <w:t> </w:t>
      </w:r>
      <w:r>
        <w:rPr>
          <w:color w:val="2A2828"/>
          <w:w w:val="110"/>
        </w:rPr>
        <w:t>read </w:t>
      </w:r>
      <w:r>
        <w:rPr>
          <w:color w:val="3A383A"/>
          <w:w w:val="110"/>
        </w:rPr>
        <w:t>your brief. The </w:t>
      </w:r>
      <w:r>
        <w:rPr>
          <w:color w:val="2A2828"/>
          <w:w w:val="110"/>
        </w:rPr>
        <w:t>reader's </w:t>
      </w:r>
      <w:r>
        <w:rPr>
          <w:color w:val="3A383A"/>
          <w:w w:val="110"/>
        </w:rPr>
        <w:t>comfort level with the document itself can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affect</w:t>
      </w:r>
      <w:r>
        <w:rPr>
          <w:color w:val="3A383A"/>
          <w:spacing w:val="-3"/>
          <w:w w:val="110"/>
        </w:rPr>
        <w:t> </w:t>
      </w:r>
      <w:r>
        <w:rPr>
          <w:color w:val="3A383A"/>
          <w:w w:val="110"/>
        </w:rPr>
        <w:t>both</w:t>
      </w:r>
      <w:r>
        <w:rPr>
          <w:color w:val="3A383A"/>
          <w:spacing w:val="-7"/>
          <w:w w:val="110"/>
        </w:rPr>
        <w:t> </w:t>
      </w:r>
      <w:r>
        <w:rPr>
          <w:color w:val="3A383A"/>
          <w:w w:val="110"/>
        </w:rPr>
        <w:t>your</w:t>
      </w:r>
      <w:r>
        <w:rPr>
          <w:color w:val="3A383A"/>
          <w:spacing w:val="-1"/>
          <w:w w:val="110"/>
        </w:rPr>
        <w:t> </w:t>
      </w:r>
      <w:r>
        <w:rPr>
          <w:color w:val="3A383A"/>
          <w:w w:val="110"/>
        </w:rPr>
        <w:t>credibility</w:t>
      </w:r>
      <w:r>
        <w:rPr>
          <w:color w:val="3A383A"/>
          <w:spacing w:val="-4"/>
          <w:w w:val="110"/>
        </w:rPr>
        <w:t> </w:t>
      </w:r>
      <w:r>
        <w:rPr>
          <w:color w:val="3A383A"/>
          <w:w w:val="110"/>
        </w:rPr>
        <w:t>and</w:t>
      </w:r>
      <w:r>
        <w:rPr>
          <w:color w:val="3A383A"/>
          <w:spacing w:val="42"/>
          <w:w w:val="110"/>
        </w:rPr>
        <w:t> </w:t>
      </w:r>
      <w:r>
        <w:rPr>
          <w:color w:val="3A383A"/>
          <w:w w:val="110"/>
        </w:rPr>
        <w:t>your</w:t>
      </w:r>
      <w:r>
        <w:rPr>
          <w:color w:val="3A383A"/>
          <w:spacing w:val="-2"/>
          <w:w w:val="110"/>
        </w:rPr>
        <w:t> </w:t>
      </w:r>
      <w:r>
        <w:rPr>
          <w:color w:val="3A383A"/>
          <w:w w:val="110"/>
        </w:rPr>
        <w:t>chances</w:t>
      </w:r>
      <w:r>
        <w:rPr>
          <w:color w:val="3A383A"/>
          <w:spacing w:val="-7"/>
          <w:w w:val="110"/>
        </w:rPr>
        <w:t> </w:t>
      </w:r>
      <w:r>
        <w:rPr>
          <w:color w:val="3A383A"/>
          <w:w w:val="110"/>
        </w:rPr>
        <w:t>for</w:t>
      </w:r>
      <w:r>
        <w:rPr>
          <w:color w:val="3A383A"/>
          <w:spacing w:val="-23"/>
          <w:w w:val="110"/>
        </w:rPr>
        <w:t> </w:t>
      </w:r>
      <w:r>
        <w:rPr>
          <w:color w:val="3A383A"/>
          <w:w w:val="110"/>
        </w:rPr>
        <w:t>success</w:t>
      </w:r>
      <w:r>
        <w:rPr>
          <w:color w:val="3A383A"/>
          <w:spacing w:val="-5"/>
          <w:w w:val="110"/>
        </w:rPr>
        <w:t> </w:t>
      </w:r>
      <w:r>
        <w:rPr>
          <w:color w:val="3A383A"/>
          <w:w w:val="110"/>
        </w:rPr>
        <w:t>as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an</w:t>
      </w:r>
      <w:r>
        <w:rPr>
          <w:color w:val="3A383A"/>
          <w:spacing w:val="34"/>
          <w:w w:val="110"/>
        </w:rPr>
        <w:t> </w:t>
      </w:r>
      <w:r>
        <w:rPr>
          <w:color w:val="3A383A"/>
          <w:w w:val="110"/>
        </w:rPr>
        <w:t>advocate.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spacing w:line="235" w:lineRule="auto" w:before="0"/>
        <w:ind w:left="179" w:right="218" w:firstLine="346"/>
        <w:jc w:val="left"/>
        <w:rPr>
          <w:sz w:val="18"/>
        </w:rPr>
      </w:pPr>
      <w:r>
        <w:rPr>
          <w:color w:val="3A383A"/>
          <w:w w:val="105"/>
          <w:sz w:val="18"/>
        </w:rPr>
        <w:t>2•un</w:t>
      </w:r>
      <w:r>
        <w:rPr>
          <w:color w:val="525254"/>
          <w:w w:val="105"/>
          <w:sz w:val="18"/>
        </w:rPr>
        <w:t>l</w:t>
      </w:r>
      <w:r>
        <w:rPr>
          <w:color w:val="3A383A"/>
          <w:w w:val="105"/>
          <w:sz w:val="18"/>
        </w:rPr>
        <w:t>ted</w:t>
      </w:r>
      <w:r>
        <w:rPr>
          <w:color w:val="3A383A"/>
          <w:spacing w:val="1"/>
          <w:w w:val="105"/>
          <w:sz w:val="18"/>
        </w:rPr>
        <w:t> </w:t>
      </w:r>
      <w:r>
        <w:rPr>
          <w:color w:val="3A383A"/>
          <w:w w:val="105"/>
          <w:sz w:val="18"/>
        </w:rPr>
        <w:t>States Court of</w:t>
      </w:r>
      <w:r>
        <w:rPr>
          <w:color w:val="3A383A"/>
          <w:spacing w:val="1"/>
          <w:w w:val="105"/>
          <w:sz w:val="18"/>
        </w:rPr>
        <w:t> </w:t>
      </w:r>
      <w:r>
        <w:rPr>
          <w:color w:val="3A383A"/>
          <w:w w:val="105"/>
          <w:sz w:val="18"/>
        </w:rPr>
        <w:t>App</w:t>
      </w:r>
      <w:r>
        <w:rPr>
          <w:color w:val="525254"/>
          <w:w w:val="105"/>
          <w:sz w:val="18"/>
        </w:rPr>
        <w:t>e</w:t>
      </w:r>
      <w:r>
        <w:rPr>
          <w:color w:val="3A383A"/>
          <w:w w:val="105"/>
          <w:sz w:val="18"/>
        </w:rPr>
        <w:t>als for</w:t>
      </w:r>
      <w:r>
        <w:rPr>
          <w:color w:val="3A383A"/>
          <w:spacing w:val="1"/>
          <w:w w:val="105"/>
          <w:sz w:val="18"/>
        </w:rPr>
        <w:t> </w:t>
      </w:r>
      <w:r>
        <w:rPr>
          <w:color w:val="3A383A"/>
          <w:w w:val="105"/>
          <w:sz w:val="18"/>
        </w:rPr>
        <w:t>the</w:t>
      </w:r>
      <w:r>
        <w:rPr>
          <w:color w:val="3A383A"/>
          <w:spacing w:val="1"/>
          <w:w w:val="105"/>
          <w:sz w:val="18"/>
        </w:rPr>
        <w:t> </w:t>
      </w:r>
      <w:r>
        <w:rPr>
          <w:color w:val="3A383A"/>
          <w:w w:val="105"/>
          <w:sz w:val="18"/>
        </w:rPr>
        <w:t>Seventh Circuit,</w:t>
      </w:r>
      <w:r>
        <w:rPr>
          <w:color w:val="3A383A"/>
          <w:spacing w:val="1"/>
          <w:w w:val="105"/>
          <w:sz w:val="18"/>
        </w:rPr>
        <w:t> </w:t>
      </w:r>
      <w:r>
        <w:rPr>
          <w:rFonts w:ascii="Arial" w:hAnsi="Arial"/>
          <w:i/>
          <w:color w:val="3A383A"/>
          <w:w w:val="105"/>
          <w:sz w:val="15"/>
        </w:rPr>
        <w:t>R</w:t>
      </w:r>
      <w:r>
        <w:rPr>
          <w:rFonts w:ascii="Arial" w:hAnsi="Arial"/>
          <w:i/>
          <w:color w:val="525254"/>
          <w:w w:val="105"/>
          <w:sz w:val="15"/>
        </w:rPr>
        <w:t>e</w:t>
      </w:r>
      <w:r>
        <w:rPr>
          <w:rFonts w:ascii="Arial" w:hAnsi="Arial"/>
          <w:i/>
          <w:color w:val="3A383A"/>
          <w:w w:val="105"/>
          <w:sz w:val="15"/>
        </w:rPr>
        <w:t>qui</w:t>
      </w:r>
      <w:r>
        <w:rPr>
          <w:rFonts w:ascii="Arial" w:hAnsi="Arial"/>
          <w:i/>
          <w:color w:val="525254"/>
          <w:w w:val="105"/>
          <w:sz w:val="15"/>
        </w:rPr>
        <w:t>re</w:t>
      </w:r>
      <w:r>
        <w:rPr>
          <w:rFonts w:ascii="Arial" w:hAnsi="Arial"/>
          <w:i/>
          <w:color w:val="3A383A"/>
          <w:w w:val="105"/>
          <w:sz w:val="15"/>
        </w:rPr>
        <w:t>ments</w:t>
      </w:r>
      <w:r>
        <w:rPr>
          <w:rFonts w:ascii="Arial" w:hAnsi="Arial"/>
          <w:i/>
          <w:color w:val="3A383A"/>
          <w:spacing w:val="1"/>
          <w:w w:val="105"/>
          <w:sz w:val="15"/>
        </w:rPr>
        <w:t> </w:t>
      </w:r>
      <w:r>
        <w:rPr>
          <w:rFonts w:ascii="Arial" w:hAnsi="Arial"/>
          <w:i/>
          <w:color w:val="3A383A"/>
          <w:w w:val="105"/>
          <w:sz w:val="15"/>
        </w:rPr>
        <w:t>and</w:t>
      </w:r>
      <w:r>
        <w:rPr>
          <w:rFonts w:ascii="Arial" w:hAnsi="Arial"/>
          <w:i/>
          <w:color w:val="3A383A"/>
          <w:spacing w:val="1"/>
          <w:w w:val="105"/>
          <w:sz w:val="15"/>
        </w:rPr>
        <w:t> </w:t>
      </w:r>
      <w:r>
        <w:rPr>
          <w:rFonts w:ascii="Arial" w:hAnsi="Arial"/>
          <w:i/>
          <w:color w:val="3A383A"/>
          <w:w w:val="105"/>
          <w:sz w:val="15"/>
        </w:rPr>
        <w:t>Sus.,!{</w:t>
      </w:r>
      <w:r>
        <w:rPr>
          <w:rFonts w:ascii="Arial" w:hAnsi="Arial"/>
          <w:i/>
          <w:color w:val="525254"/>
          <w:w w:val="105"/>
          <w:sz w:val="15"/>
        </w:rPr>
        <w:t>e</w:t>
      </w:r>
      <w:r>
        <w:rPr>
          <w:rFonts w:ascii="Arial" w:hAnsi="Arial"/>
          <w:i/>
          <w:color w:val="3A383A"/>
          <w:w w:val="105"/>
          <w:sz w:val="15"/>
        </w:rPr>
        <w:t>stions</w:t>
      </w:r>
      <w:r>
        <w:rPr>
          <w:rFonts w:ascii="Arial" w:hAnsi="Arial"/>
          <w:i/>
          <w:color w:val="3A383A"/>
          <w:spacing w:val="1"/>
          <w:w w:val="105"/>
          <w:sz w:val="15"/>
        </w:rPr>
        <w:t> </w:t>
      </w:r>
      <w:r>
        <w:rPr>
          <w:rFonts w:ascii="Arial" w:hAnsi="Arial"/>
          <w:i/>
          <w:color w:val="3A383A"/>
          <w:w w:val="105"/>
          <w:sz w:val="15"/>
        </w:rPr>
        <w:t>for</w:t>
      </w:r>
      <w:r>
        <w:rPr>
          <w:rFonts w:ascii="Arial" w:hAnsi="Arial"/>
          <w:i/>
          <w:color w:val="3A383A"/>
          <w:spacing w:val="-41"/>
          <w:w w:val="105"/>
          <w:sz w:val="15"/>
        </w:rPr>
        <w:t> </w:t>
      </w:r>
      <w:r>
        <w:rPr>
          <w:i/>
          <w:color w:val="3A383A"/>
          <w:sz w:val="18"/>
        </w:rPr>
        <w:t>Typography in</w:t>
      </w:r>
      <w:r>
        <w:rPr>
          <w:i/>
          <w:color w:val="3A383A"/>
          <w:spacing w:val="1"/>
          <w:sz w:val="18"/>
        </w:rPr>
        <w:t> </w:t>
      </w:r>
      <w:r>
        <w:rPr>
          <w:i/>
          <w:color w:val="3A383A"/>
          <w:sz w:val="18"/>
        </w:rPr>
        <w:t>Bri</w:t>
      </w:r>
      <w:r>
        <w:rPr>
          <w:i/>
          <w:color w:val="525254"/>
          <w:sz w:val="18"/>
        </w:rPr>
        <w:t>e</w:t>
      </w:r>
      <w:r>
        <w:rPr>
          <w:i/>
          <w:color w:val="3A383A"/>
          <w:sz w:val="18"/>
        </w:rPr>
        <w:t>f</w:t>
      </w:r>
      <w:r>
        <w:rPr>
          <w:i/>
          <w:color w:val="525254"/>
          <w:sz w:val="18"/>
        </w:rPr>
        <w:t>s</w:t>
      </w:r>
      <w:r>
        <w:rPr>
          <w:i/>
          <w:color w:val="525254"/>
          <w:spacing w:val="1"/>
          <w:sz w:val="18"/>
        </w:rPr>
        <w:t> </w:t>
      </w:r>
      <w:r>
        <w:rPr>
          <w:i/>
          <w:color w:val="3A383A"/>
          <w:sz w:val="18"/>
        </w:rPr>
        <w:t>and Oth</w:t>
      </w:r>
      <w:r>
        <w:rPr>
          <w:i/>
          <w:color w:val="525254"/>
          <w:sz w:val="18"/>
        </w:rPr>
        <w:t>er </w:t>
      </w:r>
      <w:r>
        <w:rPr>
          <w:i/>
          <w:color w:val="3A383A"/>
          <w:sz w:val="18"/>
        </w:rPr>
        <w:t>Paper</w:t>
      </w:r>
      <w:r>
        <w:rPr>
          <w:i/>
          <w:color w:val="525254"/>
          <w:sz w:val="18"/>
        </w:rPr>
        <w:t>s</w:t>
      </w:r>
      <w:r>
        <w:rPr>
          <w:i/>
          <w:color w:val="525254"/>
          <w:spacing w:val="1"/>
          <w:sz w:val="18"/>
        </w:rPr>
        <w:t> </w:t>
      </w:r>
      <w:r>
        <w:rPr>
          <w:color w:val="3A383A"/>
          <w:sz w:val="18"/>
        </w:rPr>
        <w:t>4</w:t>
      </w:r>
      <w:r>
        <w:rPr>
          <w:color w:val="525254"/>
          <w:sz w:val="18"/>
        </w:rPr>
        <w:t>,</w:t>
      </w:r>
      <w:r>
        <w:rPr>
          <w:color w:val="525254"/>
          <w:spacing w:val="1"/>
          <w:sz w:val="18"/>
        </w:rPr>
        <w:t> </w:t>
      </w:r>
      <w:hyperlink r:id="rId305">
        <w:r>
          <w:rPr>
            <w:color w:val="3A383A"/>
            <w:sz w:val="18"/>
          </w:rPr>
          <w:t>http://www.</w:t>
        </w:r>
        <w:r>
          <w:rPr>
            <w:color w:val="525254"/>
            <w:sz w:val="18"/>
          </w:rPr>
          <w:t>c</w:t>
        </w:r>
        <w:r>
          <w:rPr>
            <w:color w:val="3A383A"/>
            <w:sz w:val="18"/>
          </w:rPr>
          <w:t>a7.uscourts.gov/Rules/type.pdf </w:t>
        </w:r>
      </w:hyperlink>
      <w:r>
        <w:rPr>
          <w:color w:val="3A383A"/>
          <w:sz w:val="18"/>
        </w:rPr>
        <w:t>{last</w:t>
      </w:r>
      <w:r>
        <w:rPr>
          <w:color w:val="3A383A"/>
          <w:spacing w:val="1"/>
          <w:sz w:val="18"/>
        </w:rPr>
        <w:t> </w:t>
      </w:r>
      <w:r>
        <w:rPr>
          <w:color w:val="3A383A"/>
          <w:sz w:val="18"/>
        </w:rPr>
        <w:t>accessed</w:t>
      </w:r>
      <w:r>
        <w:rPr>
          <w:color w:val="3A383A"/>
          <w:spacing w:val="-42"/>
          <w:sz w:val="18"/>
        </w:rPr>
        <w:t> </w:t>
      </w:r>
      <w:r>
        <w:rPr>
          <w:color w:val="3A383A"/>
          <w:w w:val="105"/>
          <w:sz w:val="18"/>
        </w:rPr>
        <w:t>Mar.</w:t>
      </w:r>
      <w:r>
        <w:rPr>
          <w:color w:val="3A383A"/>
          <w:spacing w:val="-16"/>
          <w:w w:val="105"/>
          <w:sz w:val="18"/>
        </w:rPr>
        <w:t> </w:t>
      </w:r>
      <w:r>
        <w:rPr>
          <w:color w:val="3A383A"/>
          <w:w w:val="105"/>
          <w:sz w:val="18"/>
        </w:rPr>
        <w:t>18,</w:t>
      </w:r>
      <w:r>
        <w:rPr>
          <w:color w:val="3A383A"/>
          <w:spacing w:val="18"/>
          <w:w w:val="105"/>
          <w:sz w:val="18"/>
        </w:rPr>
        <w:t> </w:t>
      </w:r>
      <w:r>
        <w:rPr>
          <w:color w:val="3A383A"/>
          <w:w w:val="105"/>
          <w:sz w:val="17"/>
        </w:rPr>
        <w:t>2014)</w:t>
      </w:r>
      <w:r>
        <w:rPr>
          <w:color w:val="3A383A"/>
          <w:spacing w:val="-2"/>
          <w:w w:val="105"/>
          <w:sz w:val="17"/>
        </w:rPr>
        <w:t> </w:t>
      </w:r>
      <w:r>
        <w:rPr>
          <w:color w:val="3A383A"/>
          <w:w w:val="105"/>
          <w:sz w:val="18"/>
        </w:rPr>
        <w:t>(emphasis</w:t>
      </w:r>
      <w:r>
        <w:rPr>
          <w:color w:val="3A383A"/>
          <w:spacing w:val="-5"/>
          <w:w w:val="105"/>
          <w:sz w:val="18"/>
        </w:rPr>
        <w:t> </w:t>
      </w:r>
      <w:r>
        <w:rPr>
          <w:color w:val="3A383A"/>
          <w:w w:val="105"/>
          <w:sz w:val="18"/>
        </w:rPr>
        <w:t>added).</w:t>
      </w:r>
    </w:p>
    <w:p>
      <w:pPr>
        <w:spacing w:after="0" w:line="235" w:lineRule="auto"/>
        <w:jc w:val="left"/>
        <w:rPr>
          <w:sz w:val="18"/>
        </w:rPr>
        <w:sectPr>
          <w:pgSz w:w="9690" w:h="13970"/>
          <w:pgMar w:header="531" w:footer="0" w:top="740" w:bottom="0" w:left="280" w:right="1340"/>
        </w:sectPr>
      </w:pPr>
    </w:p>
    <w:p>
      <w:pPr>
        <w:spacing w:before="78"/>
        <w:ind w:left="1064" w:right="0" w:firstLine="0"/>
        <w:jc w:val="left"/>
        <w:rPr>
          <w:sz w:val="29"/>
        </w:rPr>
      </w:pPr>
      <w:r>
        <w:rPr>
          <w:color w:val="606062"/>
          <w:w w:val="115"/>
          <w:sz w:val="29"/>
        </w:rPr>
        <w:t>11.6.1</w:t>
      </w:r>
    </w:p>
    <w:p>
      <w:pPr>
        <w:spacing w:before="49"/>
        <w:ind w:left="1054" w:right="0" w:firstLine="0"/>
        <w:jc w:val="left"/>
        <w:rPr>
          <w:rFonts w:ascii="Arial"/>
          <w:sz w:val="22"/>
        </w:rPr>
      </w:pPr>
      <w:r>
        <w:rPr>
          <w:rFonts w:ascii="Arial"/>
          <w:color w:val="707275"/>
          <w:sz w:val="22"/>
        </w:rPr>
        <w:t>TYPEFACE</w:t>
      </w:r>
    </w:p>
    <w:p>
      <w:pPr>
        <w:pStyle w:val="BodyText"/>
        <w:spacing w:line="232" w:lineRule="auto" w:before="149"/>
        <w:ind w:left="710" w:right="106" w:firstLine="383"/>
        <w:jc w:val="both"/>
      </w:pPr>
      <w:r>
        <w:rPr>
          <w:color w:val="3B3A3B"/>
          <w:w w:val="105"/>
        </w:rPr>
        <w:t>Even your choice of typeface can  make a difference in  the  readability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of your brief. Readers can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more easily read typefaces </w:t>
      </w:r>
      <w:r>
        <w:rPr>
          <w:color w:val="2D2A2B"/>
          <w:w w:val="105"/>
        </w:rPr>
        <w:t>that </w:t>
      </w:r>
      <w:r>
        <w:rPr>
          <w:color w:val="3B3A3B"/>
          <w:w w:val="105"/>
        </w:rPr>
        <w:t>have "serif," </w:t>
      </w:r>
      <w:r>
        <w:rPr>
          <w:color w:val="2D2A2B"/>
          <w:w w:val="105"/>
        </w:rPr>
        <w:t>that</w:t>
      </w:r>
      <w:r>
        <w:rPr>
          <w:color w:val="2D2A2B"/>
          <w:spacing w:val="1"/>
          <w:w w:val="105"/>
        </w:rPr>
        <w:t> </w:t>
      </w:r>
      <w:r>
        <w:rPr>
          <w:color w:val="2D2A2B"/>
          <w:w w:val="110"/>
        </w:rPr>
        <w:t>is,</w:t>
      </w:r>
      <w:r>
        <w:rPr>
          <w:color w:val="2D2A2B"/>
          <w:spacing w:val="-26"/>
          <w:w w:val="110"/>
        </w:rPr>
        <w:t> </w:t>
      </w:r>
      <w:r>
        <w:rPr>
          <w:color w:val="3B3A3B"/>
          <w:w w:val="110"/>
        </w:rPr>
        <w:t>small</w:t>
      </w:r>
      <w:r>
        <w:rPr>
          <w:color w:val="3B3A3B"/>
          <w:spacing w:val="-21"/>
          <w:w w:val="110"/>
        </w:rPr>
        <w:t> </w:t>
      </w:r>
      <w:r>
        <w:rPr>
          <w:color w:val="3B3A3B"/>
          <w:w w:val="110"/>
        </w:rPr>
        <w:t>lines</w:t>
      </w:r>
      <w:r>
        <w:rPr>
          <w:color w:val="3B3A3B"/>
          <w:spacing w:val="-15"/>
          <w:w w:val="110"/>
        </w:rPr>
        <w:t> </w:t>
      </w:r>
      <w:r>
        <w:rPr>
          <w:color w:val="3B3A3B"/>
          <w:w w:val="110"/>
        </w:rPr>
        <w:t>as</w:t>
      </w:r>
      <w:r>
        <w:rPr>
          <w:color w:val="3B3A3B"/>
          <w:spacing w:val="-21"/>
          <w:w w:val="110"/>
        </w:rPr>
        <w:t> </w:t>
      </w:r>
      <w:r>
        <w:rPr>
          <w:color w:val="3B3A3B"/>
          <w:w w:val="110"/>
        </w:rPr>
        <w:t>part</w:t>
      </w:r>
      <w:r>
        <w:rPr>
          <w:color w:val="3B3A3B"/>
          <w:spacing w:val="-15"/>
          <w:w w:val="110"/>
        </w:rPr>
        <w:t> </w:t>
      </w:r>
      <w:r>
        <w:rPr>
          <w:color w:val="3B3A3B"/>
          <w:w w:val="110"/>
        </w:rPr>
        <w:t>of</w:t>
      </w:r>
      <w:r>
        <w:rPr>
          <w:color w:val="3B3A3B"/>
          <w:spacing w:val="4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20"/>
          <w:w w:val="110"/>
        </w:rPr>
        <w:t> </w:t>
      </w:r>
      <w:r>
        <w:rPr>
          <w:color w:val="3B3A3B"/>
          <w:w w:val="110"/>
        </w:rPr>
        <w:t>beginning</w:t>
      </w:r>
      <w:r>
        <w:rPr>
          <w:color w:val="3B3A3B"/>
          <w:spacing w:val="-17"/>
          <w:w w:val="110"/>
        </w:rPr>
        <w:t> </w:t>
      </w:r>
      <w:r>
        <w:rPr>
          <w:color w:val="3B3A3B"/>
          <w:w w:val="110"/>
        </w:rPr>
        <w:t>or</w:t>
      </w:r>
      <w:r>
        <w:rPr>
          <w:color w:val="3B3A3B"/>
          <w:spacing w:val="2"/>
          <w:w w:val="110"/>
        </w:rPr>
        <w:t> </w:t>
      </w:r>
      <w:r>
        <w:rPr>
          <w:color w:val="3B3A3B"/>
          <w:w w:val="110"/>
        </w:rPr>
        <w:t>ending</w:t>
      </w:r>
      <w:r>
        <w:rPr>
          <w:color w:val="3B3A3B"/>
          <w:spacing w:val="-19"/>
          <w:w w:val="110"/>
        </w:rPr>
        <w:t> </w:t>
      </w:r>
      <w:r>
        <w:rPr>
          <w:color w:val="3B3A3B"/>
          <w:w w:val="110"/>
        </w:rPr>
        <w:t>strokes</w:t>
      </w:r>
      <w:r>
        <w:rPr>
          <w:color w:val="3B3A3B"/>
          <w:spacing w:val="-18"/>
          <w:w w:val="110"/>
        </w:rPr>
        <w:t> </w:t>
      </w:r>
      <w:r>
        <w:rPr>
          <w:color w:val="3B3A3B"/>
          <w:w w:val="110"/>
        </w:rPr>
        <w:t>of</w:t>
      </w:r>
      <w:r>
        <w:rPr>
          <w:color w:val="3B3A3B"/>
          <w:spacing w:val="-4"/>
          <w:w w:val="110"/>
        </w:rPr>
        <w:t> </w:t>
      </w:r>
      <w:r>
        <w:rPr>
          <w:color w:val="3B3A3B"/>
          <w:w w:val="110"/>
        </w:rPr>
        <w:t>each</w:t>
      </w:r>
      <w:r>
        <w:rPr>
          <w:color w:val="3B3A3B"/>
          <w:spacing w:val="-16"/>
          <w:w w:val="110"/>
        </w:rPr>
        <w:t> </w:t>
      </w:r>
      <w:r>
        <w:rPr>
          <w:color w:val="2D2A2B"/>
          <w:w w:val="110"/>
        </w:rPr>
        <w:t>letter.</w:t>
      </w:r>
      <w:r>
        <w:rPr>
          <w:color w:val="2D2A2B"/>
          <w:spacing w:val="-27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10"/>
        </w:rPr>
        <w:t>serifs</w:t>
      </w:r>
      <w:r>
        <w:rPr>
          <w:color w:val="3B3A3B"/>
          <w:spacing w:val="-13"/>
          <w:w w:val="110"/>
        </w:rPr>
        <w:t> </w:t>
      </w:r>
      <w:r>
        <w:rPr>
          <w:color w:val="3B3A3B"/>
          <w:w w:val="110"/>
        </w:rPr>
        <w:t>(also</w:t>
      </w:r>
      <w:r>
        <w:rPr>
          <w:color w:val="3B3A3B"/>
          <w:spacing w:val="-19"/>
          <w:w w:val="110"/>
        </w:rPr>
        <w:t> </w:t>
      </w:r>
      <w:r>
        <w:rPr>
          <w:color w:val="3B3A3B"/>
          <w:w w:val="110"/>
        </w:rPr>
        <w:t>known</w:t>
      </w:r>
      <w:r>
        <w:rPr>
          <w:color w:val="3B3A3B"/>
          <w:spacing w:val="-6"/>
          <w:w w:val="110"/>
        </w:rPr>
        <w:t> </w:t>
      </w:r>
      <w:r>
        <w:rPr>
          <w:color w:val="3B3A3B"/>
          <w:w w:val="110"/>
        </w:rPr>
        <w:t>as</w:t>
      </w:r>
      <w:r>
        <w:rPr>
          <w:color w:val="3B3A3B"/>
          <w:spacing w:val="-19"/>
          <w:w w:val="110"/>
        </w:rPr>
        <w:t> </w:t>
      </w:r>
      <w:r>
        <w:rPr>
          <w:color w:val="3B3A3B"/>
          <w:w w:val="110"/>
        </w:rPr>
        <w:t>"wings"</w:t>
      </w:r>
      <w:r>
        <w:rPr>
          <w:color w:val="3B3A3B"/>
          <w:spacing w:val="-11"/>
          <w:w w:val="110"/>
        </w:rPr>
        <w:t> </w:t>
      </w:r>
      <w:r>
        <w:rPr>
          <w:color w:val="3B3A3B"/>
          <w:w w:val="110"/>
        </w:rPr>
        <w:t>or</w:t>
      </w:r>
      <w:r>
        <w:rPr>
          <w:color w:val="3B3A3B"/>
          <w:spacing w:val="-4"/>
          <w:w w:val="110"/>
        </w:rPr>
        <w:t> </w:t>
      </w:r>
      <w:r>
        <w:rPr>
          <w:color w:val="3B3A3B"/>
          <w:w w:val="110"/>
        </w:rPr>
        <w:t>"feet") help</w:t>
      </w:r>
      <w:r>
        <w:rPr>
          <w:color w:val="3B3A3B"/>
          <w:spacing w:val="-20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19"/>
          <w:w w:val="110"/>
        </w:rPr>
        <w:t> </w:t>
      </w:r>
      <w:r>
        <w:rPr>
          <w:color w:val="3B3A3B"/>
          <w:w w:val="110"/>
        </w:rPr>
        <w:t>reader</w:t>
      </w:r>
      <w:r>
        <w:rPr>
          <w:color w:val="3B3A3B"/>
          <w:spacing w:val="-3"/>
          <w:w w:val="110"/>
        </w:rPr>
        <w:t> </w:t>
      </w:r>
      <w:r>
        <w:rPr>
          <w:color w:val="3B3A3B"/>
          <w:w w:val="110"/>
        </w:rPr>
        <w:t>to</w:t>
      </w:r>
      <w:r>
        <w:rPr>
          <w:color w:val="3B3A3B"/>
          <w:spacing w:val="7"/>
          <w:w w:val="110"/>
        </w:rPr>
        <w:t> </w:t>
      </w:r>
      <w:r>
        <w:rPr>
          <w:color w:val="3B3A3B"/>
          <w:w w:val="110"/>
        </w:rPr>
        <w:t>connect</w:t>
      </w:r>
      <w:r>
        <w:rPr>
          <w:color w:val="3B3A3B"/>
          <w:spacing w:val="-1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-20"/>
          <w:w w:val="110"/>
        </w:rPr>
        <w:t> </w:t>
      </w:r>
      <w:r>
        <w:rPr>
          <w:color w:val="2D2A2B"/>
          <w:w w:val="110"/>
        </w:rPr>
        <w:t>let­</w:t>
      </w:r>
      <w:r>
        <w:rPr>
          <w:color w:val="2D2A2B"/>
          <w:spacing w:val="-61"/>
          <w:w w:val="110"/>
        </w:rPr>
        <w:t> </w:t>
      </w:r>
      <w:r>
        <w:rPr>
          <w:color w:val="3B3A3B"/>
          <w:w w:val="110"/>
        </w:rPr>
        <w:t>ters and thus move through the text more quickly and easily. Typefaces</w:t>
      </w:r>
      <w:r>
        <w:rPr>
          <w:color w:val="3B3A3B"/>
          <w:spacing w:val="1"/>
          <w:w w:val="110"/>
        </w:rPr>
        <w:t> </w:t>
      </w:r>
      <w:r>
        <w:rPr>
          <w:color w:val="2D2A2B"/>
          <w:w w:val="110"/>
        </w:rPr>
        <w:t>that </w:t>
      </w:r>
      <w:r>
        <w:rPr>
          <w:color w:val="3B3A3B"/>
          <w:w w:val="110"/>
        </w:rPr>
        <w:t>do not have serif are called "sans serif" ("without serif") and are a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05"/>
        </w:rPr>
        <w:t>little</w:t>
      </w:r>
      <w:r>
        <w:rPr>
          <w:color w:val="3B3A3B"/>
          <w:spacing w:val="14"/>
          <w:w w:val="105"/>
        </w:rPr>
        <w:t> </w:t>
      </w:r>
      <w:r>
        <w:rPr>
          <w:color w:val="3B3A3B"/>
          <w:w w:val="105"/>
        </w:rPr>
        <w:t>more</w:t>
      </w:r>
      <w:r>
        <w:rPr>
          <w:color w:val="3B3A3B"/>
          <w:spacing w:val="-2"/>
          <w:w w:val="105"/>
        </w:rPr>
        <w:t> </w:t>
      </w:r>
      <w:r>
        <w:rPr>
          <w:color w:val="3B3A3B"/>
          <w:w w:val="105"/>
        </w:rPr>
        <w:t>difficult</w:t>
      </w:r>
      <w:r>
        <w:rPr>
          <w:color w:val="3B3A3B"/>
          <w:spacing w:val="21"/>
          <w:w w:val="105"/>
        </w:rPr>
        <w:t> </w:t>
      </w:r>
      <w:r>
        <w:rPr>
          <w:color w:val="3B3A3B"/>
          <w:w w:val="105"/>
        </w:rPr>
        <w:t>to</w:t>
      </w:r>
      <w:r>
        <w:rPr>
          <w:color w:val="3B3A3B"/>
          <w:spacing w:val="24"/>
          <w:w w:val="105"/>
        </w:rPr>
        <w:t> </w:t>
      </w:r>
      <w:r>
        <w:rPr>
          <w:color w:val="3B3A3B"/>
          <w:w w:val="105"/>
        </w:rPr>
        <w:t>read.</w:t>
      </w:r>
      <w:r>
        <w:rPr>
          <w:color w:val="3B3A3B"/>
          <w:spacing w:val="8"/>
          <w:w w:val="105"/>
        </w:rPr>
        <w:t> </w:t>
      </w:r>
      <w:r>
        <w:rPr>
          <w:color w:val="3B3A3B"/>
          <w:w w:val="105"/>
        </w:rPr>
        <w:t>Here</w:t>
      </w:r>
      <w:r>
        <w:rPr>
          <w:color w:val="3B3A3B"/>
          <w:spacing w:val="-14"/>
          <w:w w:val="105"/>
        </w:rPr>
        <w:t> </w:t>
      </w:r>
      <w:r>
        <w:rPr>
          <w:color w:val="3B3A3B"/>
          <w:w w:val="105"/>
        </w:rPr>
        <w:t>are</w:t>
      </w:r>
      <w:r>
        <w:rPr>
          <w:color w:val="3B3A3B"/>
          <w:spacing w:val="23"/>
          <w:w w:val="105"/>
        </w:rPr>
        <w:t> </w:t>
      </w:r>
      <w:r>
        <w:rPr>
          <w:color w:val="3B3A3B"/>
          <w:w w:val="105"/>
        </w:rPr>
        <w:t>some</w:t>
      </w:r>
      <w:r>
        <w:rPr>
          <w:color w:val="3B3A3B"/>
          <w:spacing w:val="-19"/>
          <w:w w:val="105"/>
        </w:rPr>
        <w:t> </w:t>
      </w:r>
      <w:r>
        <w:rPr>
          <w:color w:val="3B3A3B"/>
          <w:w w:val="105"/>
        </w:rPr>
        <w:t>serif</w:t>
      </w:r>
      <w:r>
        <w:rPr>
          <w:color w:val="3B3A3B"/>
          <w:spacing w:val="12"/>
          <w:w w:val="105"/>
        </w:rPr>
        <w:t> </w:t>
      </w:r>
      <w:r>
        <w:rPr>
          <w:color w:val="3B3A3B"/>
          <w:w w:val="105"/>
        </w:rPr>
        <w:t>and</w:t>
      </w:r>
      <w:r>
        <w:rPr>
          <w:color w:val="3B3A3B"/>
          <w:spacing w:val="54"/>
          <w:w w:val="105"/>
        </w:rPr>
        <w:t> </w:t>
      </w:r>
      <w:r>
        <w:rPr>
          <w:color w:val="3B3A3B"/>
          <w:w w:val="105"/>
        </w:rPr>
        <w:t>sans</w:t>
      </w:r>
      <w:r>
        <w:rPr>
          <w:color w:val="3B3A3B"/>
          <w:spacing w:val="-11"/>
          <w:w w:val="105"/>
        </w:rPr>
        <w:t> </w:t>
      </w:r>
      <w:r>
        <w:rPr>
          <w:color w:val="3B3A3B"/>
          <w:w w:val="105"/>
        </w:rPr>
        <w:t>serif</w:t>
      </w:r>
      <w:r>
        <w:rPr>
          <w:color w:val="3B3A3B"/>
          <w:spacing w:val="16"/>
          <w:w w:val="105"/>
        </w:rPr>
        <w:t> </w:t>
      </w:r>
      <w:r>
        <w:rPr>
          <w:color w:val="3B3A3B"/>
          <w:w w:val="105"/>
        </w:rPr>
        <w:t>typefaces:</w:t>
      </w:r>
    </w:p>
    <w:p>
      <w:pPr>
        <w:pStyle w:val="ListParagraph"/>
        <w:numPr>
          <w:ilvl w:val="0"/>
          <w:numId w:val="104"/>
        </w:numPr>
        <w:tabs>
          <w:tab w:pos="1363" w:val="left" w:leader="none"/>
        </w:tabs>
        <w:spacing w:line="240" w:lineRule="auto" w:before="162" w:after="0"/>
        <w:ind w:left="1362" w:right="0" w:hanging="280"/>
        <w:jc w:val="left"/>
        <w:rPr>
          <w:color w:val="3B3A3B"/>
          <w:sz w:val="21"/>
        </w:rPr>
      </w:pPr>
      <w:r>
        <w:rPr>
          <w:color w:val="3B3A3B"/>
          <w:spacing w:val="-1"/>
          <w:w w:val="105"/>
          <w:sz w:val="21"/>
        </w:rPr>
        <w:t>Times New</w:t>
      </w:r>
      <w:r>
        <w:rPr>
          <w:color w:val="3B3A3B"/>
          <w:spacing w:val="-5"/>
          <w:w w:val="105"/>
          <w:sz w:val="21"/>
        </w:rPr>
        <w:t> </w:t>
      </w:r>
      <w:r>
        <w:rPr>
          <w:color w:val="3B3A3B"/>
          <w:spacing w:val="-1"/>
          <w:w w:val="105"/>
          <w:sz w:val="21"/>
        </w:rPr>
        <w:t>Roman</w:t>
      </w:r>
      <w:r>
        <w:rPr>
          <w:color w:val="3B3A3B"/>
          <w:spacing w:val="10"/>
          <w:w w:val="105"/>
          <w:sz w:val="21"/>
        </w:rPr>
        <w:t> </w:t>
      </w:r>
      <w:r>
        <w:rPr>
          <w:color w:val="3B3A3B"/>
          <w:spacing w:val="-1"/>
          <w:w w:val="105"/>
          <w:sz w:val="21"/>
        </w:rPr>
        <w:t>is</w:t>
      </w:r>
      <w:r>
        <w:rPr>
          <w:color w:val="3B3A3B"/>
          <w:spacing w:val="-18"/>
          <w:w w:val="105"/>
          <w:sz w:val="21"/>
        </w:rPr>
        <w:t> </w:t>
      </w:r>
      <w:r>
        <w:rPr>
          <w:color w:val="3B3A3B"/>
          <w:spacing w:val="-1"/>
          <w:w w:val="105"/>
          <w:sz w:val="21"/>
        </w:rPr>
        <w:t>a</w:t>
      </w:r>
      <w:r>
        <w:rPr>
          <w:color w:val="3B3A3B"/>
          <w:w w:val="105"/>
          <w:sz w:val="21"/>
        </w:rPr>
        <w:t> </w:t>
      </w:r>
      <w:r>
        <w:rPr>
          <w:color w:val="3B3A3B"/>
          <w:spacing w:val="-1"/>
          <w:w w:val="105"/>
          <w:sz w:val="21"/>
        </w:rPr>
        <w:t>serif</w:t>
      </w:r>
      <w:r>
        <w:rPr>
          <w:color w:val="3B3A3B"/>
          <w:spacing w:val="-9"/>
          <w:w w:val="105"/>
          <w:sz w:val="21"/>
        </w:rPr>
        <w:t> </w:t>
      </w:r>
      <w:r>
        <w:rPr>
          <w:color w:val="3B3A3B"/>
          <w:spacing w:val="-1"/>
          <w:w w:val="105"/>
          <w:sz w:val="21"/>
        </w:rPr>
        <w:t>typeface.</w:t>
      </w:r>
    </w:p>
    <w:p>
      <w:pPr>
        <w:pStyle w:val="ListParagraph"/>
        <w:numPr>
          <w:ilvl w:val="0"/>
          <w:numId w:val="104"/>
        </w:numPr>
        <w:tabs>
          <w:tab w:pos="1362" w:val="left" w:leader="none"/>
        </w:tabs>
        <w:spacing w:line="240" w:lineRule="auto" w:before="114" w:after="0"/>
        <w:ind w:left="1361" w:right="0" w:hanging="287"/>
        <w:jc w:val="left"/>
        <w:rPr>
          <w:color w:val="3B3A3B"/>
          <w:sz w:val="19"/>
        </w:rPr>
      </w:pPr>
      <w:r>
        <w:rPr>
          <w:color w:val="3B3A3B"/>
          <w:w w:val="110"/>
          <w:sz w:val="19"/>
        </w:rPr>
        <w:t>Garam</w:t>
      </w:r>
      <w:r>
        <w:rPr>
          <w:color w:val="606062"/>
          <w:w w:val="110"/>
          <w:sz w:val="19"/>
        </w:rPr>
        <w:t>o</w:t>
      </w:r>
      <w:r>
        <w:rPr>
          <w:color w:val="3B3A3B"/>
          <w:w w:val="110"/>
          <w:sz w:val="19"/>
        </w:rPr>
        <w:t>nd</w:t>
      </w:r>
      <w:r>
        <w:rPr>
          <w:color w:val="3B3A3B"/>
          <w:spacing w:val="11"/>
          <w:w w:val="110"/>
          <w:sz w:val="19"/>
        </w:rPr>
        <w:t> </w:t>
      </w:r>
      <w:r>
        <w:rPr>
          <w:color w:val="3B3A3B"/>
          <w:w w:val="110"/>
          <w:sz w:val="19"/>
        </w:rPr>
        <w:t>is</w:t>
      </w:r>
      <w:r>
        <w:rPr>
          <w:color w:val="3B3A3B"/>
          <w:spacing w:val="-13"/>
          <w:w w:val="110"/>
          <w:sz w:val="19"/>
        </w:rPr>
        <w:t> </w:t>
      </w:r>
      <w:r>
        <w:rPr>
          <w:color w:val="3B3A3B"/>
          <w:w w:val="110"/>
          <w:sz w:val="19"/>
        </w:rPr>
        <w:t>a</w:t>
      </w:r>
      <w:r>
        <w:rPr>
          <w:color w:val="3B3A3B"/>
          <w:spacing w:val="-5"/>
          <w:w w:val="110"/>
          <w:sz w:val="19"/>
        </w:rPr>
        <w:t> </w:t>
      </w:r>
      <w:r>
        <w:rPr>
          <w:color w:val="3B3A3B"/>
          <w:w w:val="110"/>
          <w:sz w:val="19"/>
        </w:rPr>
        <w:t>serif</w:t>
      </w:r>
      <w:r>
        <w:rPr>
          <w:color w:val="3B3A3B"/>
          <w:spacing w:val="28"/>
          <w:w w:val="110"/>
          <w:sz w:val="19"/>
        </w:rPr>
        <w:t> </w:t>
      </w:r>
      <w:r>
        <w:rPr>
          <w:color w:val="3B3A3B"/>
          <w:w w:val="110"/>
          <w:sz w:val="19"/>
        </w:rPr>
        <w:t>typeface.</w:t>
      </w:r>
    </w:p>
    <w:p>
      <w:pPr>
        <w:pStyle w:val="ListParagraph"/>
        <w:numPr>
          <w:ilvl w:val="0"/>
          <w:numId w:val="104"/>
        </w:numPr>
        <w:tabs>
          <w:tab w:pos="1365" w:val="left" w:leader="none"/>
        </w:tabs>
        <w:spacing w:line="240" w:lineRule="auto" w:before="72" w:after="0"/>
        <w:ind w:left="1364" w:right="0" w:hanging="295"/>
        <w:jc w:val="left"/>
        <w:rPr>
          <w:color w:val="3B3A3B"/>
          <w:sz w:val="22"/>
        </w:rPr>
      </w:pPr>
      <w:r>
        <w:rPr>
          <w:color w:val="3B3A3B"/>
          <w:w w:val="115"/>
          <w:sz w:val="21"/>
        </w:rPr>
        <w:t>Bookman</w:t>
      </w:r>
      <w:r>
        <w:rPr>
          <w:color w:val="3B3A3B"/>
          <w:spacing w:val="20"/>
          <w:w w:val="115"/>
          <w:sz w:val="21"/>
        </w:rPr>
        <w:t> </w:t>
      </w:r>
      <w:r>
        <w:rPr>
          <w:color w:val="3B3A3B"/>
          <w:w w:val="115"/>
          <w:sz w:val="21"/>
        </w:rPr>
        <w:t>Old</w:t>
      </w:r>
      <w:r>
        <w:rPr>
          <w:color w:val="3B3A3B"/>
          <w:spacing w:val="2"/>
          <w:w w:val="115"/>
          <w:sz w:val="21"/>
        </w:rPr>
        <w:t> </w:t>
      </w:r>
      <w:r>
        <w:rPr>
          <w:color w:val="3B3A3B"/>
          <w:w w:val="115"/>
          <w:sz w:val="23"/>
        </w:rPr>
        <w:t>Style</w:t>
      </w:r>
      <w:r>
        <w:rPr>
          <w:color w:val="3B3A3B"/>
          <w:spacing w:val="-5"/>
          <w:w w:val="115"/>
          <w:sz w:val="23"/>
        </w:rPr>
        <w:t> </w:t>
      </w:r>
      <w:r>
        <w:rPr>
          <w:color w:val="3B3A3B"/>
          <w:w w:val="115"/>
          <w:sz w:val="23"/>
        </w:rPr>
        <w:t>is</w:t>
      </w:r>
      <w:r>
        <w:rPr>
          <w:color w:val="3B3A3B"/>
          <w:spacing w:val="13"/>
          <w:w w:val="115"/>
          <w:sz w:val="23"/>
        </w:rPr>
        <w:t> </w:t>
      </w:r>
      <w:r>
        <w:rPr>
          <w:color w:val="3B3A3B"/>
          <w:w w:val="115"/>
          <w:sz w:val="23"/>
        </w:rPr>
        <w:t>a</w:t>
      </w:r>
      <w:r>
        <w:rPr>
          <w:color w:val="3B3A3B"/>
          <w:spacing w:val="12"/>
          <w:w w:val="115"/>
          <w:sz w:val="23"/>
        </w:rPr>
        <w:t> </w:t>
      </w:r>
      <w:r>
        <w:rPr>
          <w:color w:val="3B3A3B"/>
          <w:w w:val="115"/>
          <w:sz w:val="23"/>
        </w:rPr>
        <w:t>serif</w:t>
      </w:r>
      <w:r>
        <w:rPr>
          <w:color w:val="3B3A3B"/>
          <w:spacing w:val="9"/>
          <w:w w:val="115"/>
          <w:sz w:val="23"/>
        </w:rPr>
        <w:t> </w:t>
      </w:r>
      <w:r>
        <w:rPr>
          <w:color w:val="3B3A3B"/>
          <w:w w:val="115"/>
          <w:sz w:val="23"/>
        </w:rPr>
        <w:t>typeface.</w:t>
      </w:r>
    </w:p>
    <w:p>
      <w:pPr>
        <w:pStyle w:val="ListParagraph"/>
        <w:numPr>
          <w:ilvl w:val="0"/>
          <w:numId w:val="104"/>
        </w:numPr>
        <w:tabs>
          <w:tab w:pos="1352" w:val="left" w:leader="none"/>
        </w:tabs>
        <w:spacing w:line="240" w:lineRule="auto" w:before="100" w:after="0"/>
        <w:ind w:left="1351" w:right="0" w:hanging="286"/>
        <w:jc w:val="left"/>
        <w:rPr>
          <w:color w:val="2D2A2B"/>
          <w:sz w:val="21"/>
        </w:rPr>
      </w:pPr>
      <w:r>
        <w:rPr>
          <w:color w:val="3B3A3B"/>
          <w:w w:val="110"/>
          <w:sz w:val="21"/>
        </w:rPr>
        <w:t>Georgia</w:t>
      </w:r>
      <w:r>
        <w:rPr>
          <w:color w:val="3B3A3B"/>
          <w:spacing w:val="3"/>
          <w:w w:val="110"/>
          <w:sz w:val="21"/>
        </w:rPr>
        <w:t> </w:t>
      </w:r>
      <w:r>
        <w:rPr>
          <w:color w:val="3B3A3B"/>
          <w:w w:val="110"/>
          <w:sz w:val="21"/>
        </w:rPr>
        <w:t>is</w:t>
      </w:r>
      <w:r>
        <w:rPr>
          <w:color w:val="3B3A3B"/>
          <w:spacing w:val="8"/>
          <w:w w:val="110"/>
          <w:sz w:val="21"/>
        </w:rPr>
        <w:t> </w:t>
      </w:r>
      <w:r>
        <w:rPr>
          <w:color w:val="3B3A3B"/>
          <w:w w:val="110"/>
          <w:sz w:val="21"/>
        </w:rPr>
        <w:t>a</w:t>
      </w:r>
      <w:r>
        <w:rPr>
          <w:color w:val="3B3A3B"/>
          <w:spacing w:val="8"/>
          <w:w w:val="110"/>
          <w:sz w:val="21"/>
        </w:rPr>
        <w:t> </w:t>
      </w:r>
      <w:r>
        <w:rPr>
          <w:color w:val="3B3A3B"/>
          <w:w w:val="110"/>
          <w:sz w:val="21"/>
        </w:rPr>
        <w:t>serif</w:t>
      </w:r>
      <w:r>
        <w:rPr>
          <w:color w:val="3B3A3B"/>
          <w:spacing w:val="-5"/>
          <w:w w:val="110"/>
          <w:sz w:val="21"/>
        </w:rPr>
        <w:t> </w:t>
      </w:r>
      <w:r>
        <w:rPr>
          <w:color w:val="3B3A3B"/>
          <w:w w:val="110"/>
          <w:sz w:val="21"/>
        </w:rPr>
        <w:t>typeface.</w:t>
      </w:r>
    </w:p>
    <w:p>
      <w:pPr>
        <w:pStyle w:val="ListParagraph"/>
        <w:numPr>
          <w:ilvl w:val="0"/>
          <w:numId w:val="104"/>
        </w:numPr>
        <w:tabs>
          <w:tab w:pos="1326" w:val="left" w:leader="none"/>
        </w:tabs>
        <w:spacing w:line="240" w:lineRule="auto" w:before="108" w:after="0"/>
        <w:ind w:left="1326" w:right="0" w:hanging="267"/>
        <w:jc w:val="left"/>
        <w:rPr>
          <w:rFonts w:ascii="Courier New"/>
          <w:color w:val="3B3A3B"/>
          <w:sz w:val="19"/>
        </w:rPr>
      </w:pPr>
      <w:r>
        <w:rPr>
          <w:rFonts w:ascii="Courier New"/>
          <w:color w:val="3B3A3B"/>
          <w:w w:val="105"/>
          <w:sz w:val="21"/>
        </w:rPr>
        <w:t>Courier</w:t>
      </w:r>
      <w:r>
        <w:rPr>
          <w:rFonts w:ascii="Courier New"/>
          <w:color w:val="3B3A3B"/>
          <w:spacing w:val="5"/>
          <w:w w:val="105"/>
          <w:sz w:val="21"/>
        </w:rPr>
        <w:t> </w:t>
      </w:r>
      <w:r>
        <w:rPr>
          <w:rFonts w:ascii="Courier New"/>
          <w:color w:val="3B3A3B"/>
          <w:w w:val="105"/>
          <w:sz w:val="21"/>
        </w:rPr>
        <w:t>New</w:t>
      </w:r>
      <w:r>
        <w:rPr>
          <w:rFonts w:ascii="Courier New"/>
          <w:color w:val="3B3A3B"/>
          <w:spacing w:val="-18"/>
          <w:w w:val="105"/>
          <w:sz w:val="21"/>
        </w:rPr>
        <w:t> </w:t>
      </w:r>
      <w:r>
        <w:rPr>
          <w:rFonts w:ascii="Courier New"/>
          <w:color w:val="3B3A3B"/>
          <w:w w:val="105"/>
          <w:sz w:val="21"/>
        </w:rPr>
        <w:t>is</w:t>
      </w:r>
      <w:r>
        <w:rPr>
          <w:rFonts w:ascii="Courier New"/>
          <w:color w:val="3B3A3B"/>
          <w:spacing w:val="-11"/>
          <w:w w:val="105"/>
          <w:sz w:val="21"/>
        </w:rPr>
        <w:t> </w:t>
      </w:r>
      <w:r>
        <w:rPr>
          <w:rFonts w:ascii="Courier New"/>
          <w:color w:val="3B3A3B"/>
          <w:w w:val="105"/>
          <w:sz w:val="21"/>
        </w:rPr>
        <w:t>a</w:t>
      </w:r>
      <w:r>
        <w:rPr>
          <w:rFonts w:ascii="Courier New"/>
          <w:color w:val="3B3A3B"/>
          <w:spacing w:val="5"/>
          <w:w w:val="105"/>
          <w:sz w:val="21"/>
        </w:rPr>
        <w:t> </w:t>
      </w:r>
      <w:r>
        <w:rPr>
          <w:rFonts w:ascii="Courier New"/>
          <w:color w:val="3B3A3B"/>
          <w:w w:val="105"/>
          <w:sz w:val="21"/>
        </w:rPr>
        <w:t>serif</w:t>
      </w:r>
      <w:r>
        <w:rPr>
          <w:rFonts w:ascii="Courier New"/>
          <w:color w:val="3B3A3B"/>
          <w:spacing w:val="-18"/>
          <w:w w:val="105"/>
          <w:sz w:val="21"/>
        </w:rPr>
        <w:t> </w:t>
      </w:r>
      <w:r>
        <w:rPr>
          <w:rFonts w:ascii="Courier New"/>
          <w:color w:val="3B3A3B"/>
          <w:w w:val="105"/>
          <w:sz w:val="21"/>
        </w:rPr>
        <w:t>typeface.</w:t>
      </w:r>
    </w:p>
    <w:p>
      <w:pPr>
        <w:pStyle w:val="ListParagraph"/>
        <w:numPr>
          <w:ilvl w:val="0"/>
          <w:numId w:val="104"/>
        </w:numPr>
        <w:tabs>
          <w:tab w:pos="1340" w:val="left" w:leader="none"/>
        </w:tabs>
        <w:spacing w:line="240" w:lineRule="auto" w:before="76" w:after="0"/>
        <w:ind w:left="1339" w:right="0" w:hanging="279"/>
        <w:jc w:val="left"/>
        <w:rPr>
          <w:rFonts w:ascii="Arial"/>
          <w:color w:val="3B3A3B"/>
          <w:sz w:val="21"/>
        </w:rPr>
      </w:pPr>
      <w:r>
        <w:rPr>
          <w:rFonts w:ascii="Arial"/>
          <w:color w:val="3B3A3B"/>
          <w:w w:val="105"/>
          <w:sz w:val="21"/>
        </w:rPr>
        <w:t>Arial</w:t>
      </w:r>
      <w:r>
        <w:rPr>
          <w:rFonts w:ascii="Arial"/>
          <w:color w:val="3B3A3B"/>
          <w:spacing w:val="-9"/>
          <w:w w:val="105"/>
          <w:sz w:val="21"/>
        </w:rPr>
        <w:t> </w:t>
      </w:r>
      <w:r>
        <w:rPr>
          <w:rFonts w:ascii="Arial"/>
          <w:color w:val="3B3A3B"/>
          <w:w w:val="105"/>
          <w:sz w:val="21"/>
        </w:rPr>
        <w:t>is</w:t>
      </w:r>
      <w:r>
        <w:rPr>
          <w:rFonts w:ascii="Arial"/>
          <w:color w:val="3B3A3B"/>
          <w:spacing w:val="4"/>
          <w:w w:val="105"/>
          <w:sz w:val="21"/>
        </w:rPr>
        <w:t> </w:t>
      </w:r>
      <w:r>
        <w:rPr>
          <w:rFonts w:ascii="Arial"/>
          <w:color w:val="3B3A3B"/>
          <w:w w:val="105"/>
          <w:sz w:val="21"/>
        </w:rPr>
        <w:t>a</w:t>
      </w:r>
      <w:r>
        <w:rPr>
          <w:rFonts w:ascii="Arial"/>
          <w:color w:val="3B3A3B"/>
          <w:spacing w:val="7"/>
          <w:w w:val="105"/>
          <w:sz w:val="21"/>
        </w:rPr>
        <w:t> </w:t>
      </w:r>
      <w:r>
        <w:rPr>
          <w:rFonts w:ascii="Arial"/>
          <w:color w:val="3B3A3B"/>
          <w:w w:val="105"/>
          <w:sz w:val="21"/>
        </w:rPr>
        <w:t>sans</w:t>
      </w:r>
      <w:r>
        <w:rPr>
          <w:rFonts w:ascii="Arial"/>
          <w:color w:val="3B3A3B"/>
          <w:spacing w:val="-15"/>
          <w:w w:val="105"/>
          <w:sz w:val="21"/>
        </w:rPr>
        <w:t> </w:t>
      </w:r>
      <w:r>
        <w:rPr>
          <w:rFonts w:ascii="Arial"/>
          <w:color w:val="3B3A3B"/>
          <w:w w:val="105"/>
          <w:sz w:val="21"/>
        </w:rPr>
        <w:t>serif</w:t>
      </w:r>
      <w:r>
        <w:rPr>
          <w:rFonts w:ascii="Arial"/>
          <w:color w:val="3B3A3B"/>
          <w:spacing w:val="-16"/>
          <w:w w:val="105"/>
          <w:sz w:val="21"/>
        </w:rPr>
        <w:t> </w:t>
      </w:r>
      <w:r>
        <w:rPr>
          <w:rFonts w:ascii="Arial"/>
          <w:color w:val="3B3A3B"/>
          <w:w w:val="105"/>
          <w:sz w:val="21"/>
        </w:rPr>
        <w:t>typeface.</w:t>
      </w:r>
    </w:p>
    <w:p>
      <w:pPr>
        <w:pStyle w:val="ListParagraph"/>
        <w:numPr>
          <w:ilvl w:val="0"/>
          <w:numId w:val="104"/>
        </w:numPr>
        <w:tabs>
          <w:tab w:pos="1336" w:val="left" w:leader="none"/>
        </w:tabs>
        <w:spacing w:line="240" w:lineRule="auto" w:before="97" w:after="0"/>
        <w:ind w:left="1335" w:right="0" w:hanging="284"/>
        <w:jc w:val="left"/>
        <w:rPr>
          <w:color w:val="3B3A3B"/>
          <w:sz w:val="20"/>
        </w:rPr>
      </w:pPr>
      <w:r>
        <w:rPr>
          <w:rFonts w:ascii="Arial"/>
          <w:b/>
          <w:color w:val="3B3A3B"/>
          <w:w w:val="105"/>
          <w:sz w:val="19"/>
        </w:rPr>
        <w:t>Raavl</w:t>
      </w:r>
      <w:r>
        <w:rPr>
          <w:rFonts w:ascii="Arial"/>
          <w:b/>
          <w:color w:val="3B3A3B"/>
          <w:spacing w:val="-12"/>
          <w:w w:val="105"/>
          <w:sz w:val="19"/>
        </w:rPr>
        <w:t> </w:t>
      </w:r>
      <w:r>
        <w:rPr>
          <w:rFonts w:ascii="Arial"/>
          <w:b/>
          <w:color w:val="2D2A2B"/>
          <w:w w:val="105"/>
          <w:sz w:val="19"/>
        </w:rPr>
        <w:t>Is</w:t>
      </w:r>
      <w:r>
        <w:rPr>
          <w:rFonts w:ascii="Arial"/>
          <w:b/>
          <w:color w:val="2D2A2B"/>
          <w:spacing w:val="-5"/>
          <w:w w:val="105"/>
          <w:sz w:val="19"/>
        </w:rPr>
        <w:t> </w:t>
      </w:r>
      <w:r>
        <w:rPr>
          <w:rFonts w:ascii="Arial"/>
          <w:b/>
          <w:color w:val="2D2A2B"/>
          <w:w w:val="105"/>
          <w:sz w:val="19"/>
        </w:rPr>
        <w:t>a </w:t>
      </w:r>
      <w:r>
        <w:rPr>
          <w:rFonts w:ascii="Arial"/>
          <w:b/>
          <w:color w:val="3B3A3B"/>
          <w:w w:val="105"/>
          <w:sz w:val="19"/>
        </w:rPr>
        <w:t>sans</w:t>
      </w:r>
      <w:r>
        <w:rPr>
          <w:rFonts w:ascii="Arial"/>
          <w:b/>
          <w:color w:val="3B3A3B"/>
          <w:spacing w:val="1"/>
          <w:w w:val="105"/>
          <w:sz w:val="19"/>
        </w:rPr>
        <w:t> </w:t>
      </w:r>
      <w:r>
        <w:rPr>
          <w:rFonts w:ascii="Arial"/>
          <w:b/>
          <w:color w:val="2D2A2B"/>
          <w:w w:val="105"/>
          <w:sz w:val="19"/>
        </w:rPr>
        <w:t>serif</w:t>
      </w:r>
      <w:r>
        <w:rPr>
          <w:rFonts w:ascii="Arial"/>
          <w:b/>
          <w:color w:val="2D2A2B"/>
          <w:spacing w:val="-2"/>
          <w:w w:val="105"/>
          <w:sz w:val="19"/>
        </w:rPr>
        <w:t> </w:t>
      </w:r>
      <w:r>
        <w:rPr>
          <w:rFonts w:ascii="Arial"/>
          <w:b/>
          <w:color w:val="2D2A2B"/>
          <w:w w:val="105"/>
          <w:sz w:val="19"/>
        </w:rPr>
        <w:t>typeface.</w:t>
      </w:r>
    </w:p>
    <w:p>
      <w:pPr>
        <w:pStyle w:val="BodyText"/>
        <w:spacing w:line="235" w:lineRule="auto" w:before="150"/>
        <w:ind w:left="653" w:right="127" w:firstLine="395"/>
        <w:jc w:val="both"/>
      </w:pPr>
      <w:r>
        <w:rPr>
          <w:color w:val="3B3A3B"/>
          <w:spacing w:val="-1"/>
          <w:w w:val="110"/>
        </w:rPr>
        <w:t>Although </w:t>
      </w:r>
      <w:r>
        <w:rPr>
          <w:color w:val="3B3A3B"/>
          <w:w w:val="110"/>
        </w:rPr>
        <w:t>some people get emotionally attached </w:t>
      </w:r>
      <w:r>
        <w:rPr>
          <w:color w:val="2D2A2B"/>
          <w:w w:val="110"/>
        </w:rPr>
        <w:t>to </w:t>
      </w:r>
      <w:r>
        <w:rPr>
          <w:color w:val="3B3A3B"/>
          <w:w w:val="110"/>
        </w:rPr>
        <w:t>their </w:t>
      </w:r>
      <w:r>
        <w:rPr>
          <w:color w:val="2D2A2B"/>
          <w:w w:val="110"/>
        </w:rPr>
        <w:t>favorite </w:t>
      </w:r>
      <w:r>
        <w:rPr>
          <w:color w:val="3B3A3B"/>
          <w:w w:val="110"/>
        </w:rPr>
        <w:t>type­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10"/>
        </w:rPr>
        <w:t>faces,</w:t>
      </w:r>
      <w:r>
        <w:rPr>
          <w:color w:val="3B3A3B"/>
          <w:spacing w:val="-21"/>
          <w:w w:val="110"/>
        </w:rPr>
        <w:t> </w:t>
      </w:r>
      <w:r>
        <w:rPr>
          <w:color w:val="3B3A3B"/>
          <w:w w:val="110"/>
        </w:rPr>
        <w:t>you</w:t>
      </w:r>
      <w:r>
        <w:rPr>
          <w:color w:val="3B3A3B"/>
          <w:spacing w:val="-31"/>
          <w:w w:val="110"/>
        </w:rPr>
        <w:t> </w:t>
      </w:r>
      <w:r>
        <w:rPr>
          <w:color w:val="3B3A3B"/>
          <w:w w:val="110"/>
        </w:rPr>
        <w:t>should</w:t>
      </w:r>
      <w:r>
        <w:rPr>
          <w:color w:val="3B3A3B"/>
          <w:spacing w:val="-6"/>
          <w:w w:val="110"/>
        </w:rPr>
        <w:t> </w:t>
      </w:r>
      <w:r>
        <w:rPr>
          <w:color w:val="3B3A3B"/>
          <w:w w:val="110"/>
        </w:rPr>
        <w:t>base</w:t>
      </w:r>
      <w:r>
        <w:rPr>
          <w:color w:val="3B3A3B"/>
          <w:spacing w:val="-26"/>
          <w:w w:val="110"/>
        </w:rPr>
        <w:t> </w:t>
      </w:r>
      <w:r>
        <w:rPr>
          <w:color w:val="3B3A3B"/>
          <w:w w:val="110"/>
        </w:rPr>
        <w:t>your</w:t>
      </w:r>
      <w:r>
        <w:rPr>
          <w:color w:val="3B3A3B"/>
          <w:spacing w:val="-23"/>
          <w:w w:val="110"/>
        </w:rPr>
        <w:t> </w:t>
      </w:r>
      <w:r>
        <w:rPr>
          <w:color w:val="3B3A3B"/>
          <w:w w:val="110"/>
        </w:rPr>
        <w:t>decision</w:t>
      </w:r>
      <w:r>
        <w:rPr>
          <w:color w:val="3B3A3B"/>
          <w:spacing w:val="-15"/>
          <w:w w:val="110"/>
        </w:rPr>
        <w:t> </w:t>
      </w:r>
      <w:r>
        <w:rPr>
          <w:color w:val="3B3A3B"/>
          <w:w w:val="110"/>
        </w:rPr>
        <w:t>on</w:t>
      </w:r>
      <w:r>
        <w:rPr>
          <w:color w:val="3B3A3B"/>
          <w:spacing w:val="16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13"/>
          <w:w w:val="110"/>
        </w:rPr>
        <w:t> </w:t>
      </w:r>
      <w:r>
        <w:rPr>
          <w:color w:val="2D2A2B"/>
          <w:w w:val="110"/>
        </w:rPr>
        <w:t>reader's</w:t>
      </w:r>
      <w:r>
        <w:rPr>
          <w:color w:val="2D2A2B"/>
          <w:spacing w:val="-9"/>
          <w:w w:val="110"/>
        </w:rPr>
        <w:t> </w:t>
      </w:r>
      <w:r>
        <w:rPr>
          <w:color w:val="3B3A3B"/>
          <w:w w:val="110"/>
        </w:rPr>
        <w:t>needs</w:t>
      </w:r>
      <w:r>
        <w:rPr>
          <w:color w:val="3B3A3B"/>
          <w:spacing w:val="-18"/>
          <w:w w:val="110"/>
        </w:rPr>
        <w:t> </w:t>
      </w:r>
      <w:r>
        <w:rPr>
          <w:color w:val="2D2A2B"/>
          <w:w w:val="110"/>
        </w:rPr>
        <w:t>rather</w:t>
      </w:r>
      <w:r>
        <w:rPr>
          <w:color w:val="2D2A2B"/>
          <w:spacing w:val="-8"/>
          <w:w w:val="110"/>
        </w:rPr>
        <w:t> </w:t>
      </w:r>
      <w:r>
        <w:rPr>
          <w:color w:val="3B3A3B"/>
          <w:w w:val="110"/>
        </w:rPr>
        <w:t>than</w:t>
      </w:r>
      <w:r>
        <w:rPr>
          <w:color w:val="3B3A3B"/>
          <w:spacing w:val="-31"/>
          <w:w w:val="110"/>
        </w:rPr>
        <w:t> </w:t>
      </w:r>
      <w:r>
        <w:rPr>
          <w:color w:val="3B3A3B"/>
          <w:w w:val="110"/>
        </w:rPr>
        <w:t>your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10"/>
        </w:rPr>
        <w:t>own preferences. Some courts mandate particular typefaces, while others</w:t>
      </w:r>
      <w:r>
        <w:rPr>
          <w:color w:val="3B3A3B"/>
          <w:spacing w:val="1"/>
          <w:w w:val="110"/>
        </w:rPr>
        <w:t> </w:t>
      </w:r>
      <w:r>
        <w:rPr>
          <w:color w:val="3B3A3B"/>
          <w:spacing w:val="-1"/>
          <w:w w:val="110"/>
        </w:rPr>
        <w:t>mandate only categories of typeface. </w:t>
      </w:r>
      <w:r>
        <w:rPr>
          <w:color w:val="3B3A3B"/>
          <w:w w:val="110"/>
        </w:rPr>
        <w:t>For example, a court might mandate</w:t>
      </w:r>
      <w:r>
        <w:rPr>
          <w:color w:val="3B3A3B"/>
          <w:spacing w:val="-61"/>
          <w:w w:val="110"/>
        </w:rPr>
        <w:t> </w:t>
      </w:r>
      <w:r>
        <w:rPr>
          <w:color w:val="3B3A3B"/>
          <w:spacing w:val="-1"/>
          <w:w w:val="110"/>
        </w:rPr>
        <w:t>a serif typeface or a proportionally spaced typeface. </w:t>
      </w:r>
      <w:r>
        <w:rPr>
          <w:color w:val="3B3A3B"/>
          <w:w w:val="110"/>
        </w:rPr>
        <w:t>With proportionally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05"/>
        </w:rPr>
        <w:t>spaced typefaces, the amount of space a </w:t>
      </w:r>
      <w:r>
        <w:rPr>
          <w:color w:val="2D2A2B"/>
          <w:w w:val="105"/>
        </w:rPr>
        <w:t>letter </w:t>
      </w:r>
      <w:r>
        <w:rPr>
          <w:color w:val="3B3A3B"/>
          <w:w w:val="105"/>
        </w:rPr>
        <w:t>takes up varies from </w:t>
      </w:r>
      <w:r>
        <w:rPr>
          <w:color w:val="2D2A2B"/>
          <w:w w:val="105"/>
        </w:rPr>
        <w:t>letter </w:t>
      </w:r>
      <w:r>
        <w:rPr>
          <w:color w:val="3B3A3B"/>
          <w:w w:val="105"/>
        </w:rPr>
        <w:t>to</w:t>
      </w:r>
      <w:r>
        <w:rPr>
          <w:color w:val="3B3A3B"/>
          <w:spacing w:val="1"/>
          <w:w w:val="105"/>
        </w:rPr>
        <w:t> </w:t>
      </w:r>
      <w:r>
        <w:rPr>
          <w:color w:val="2D2A2B"/>
          <w:w w:val="110"/>
        </w:rPr>
        <w:t>letter-an </w:t>
      </w:r>
      <w:r>
        <w:rPr>
          <w:i/>
          <w:color w:val="2D2A2B"/>
          <w:w w:val="110"/>
          <w:sz w:val="22"/>
        </w:rPr>
        <w:t>i </w:t>
      </w:r>
      <w:r>
        <w:rPr>
          <w:color w:val="2D2A2B"/>
          <w:w w:val="110"/>
        </w:rPr>
        <w:t>takes </w:t>
      </w:r>
      <w:r>
        <w:rPr>
          <w:color w:val="3B3A3B"/>
          <w:w w:val="110"/>
        </w:rPr>
        <w:t>less space than a </w:t>
      </w:r>
      <w:r>
        <w:rPr>
          <w:rFonts w:ascii="Arial" w:hAnsi="Arial"/>
          <w:i/>
          <w:color w:val="3B3A3B"/>
          <w:w w:val="110"/>
          <w:sz w:val="21"/>
        </w:rPr>
        <w:t>k, </w:t>
      </w:r>
      <w:r>
        <w:rPr>
          <w:color w:val="3B3A3B"/>
          <w:w w:val="110"/>
        </w:rPr>
        <w:t>forexample. With monospaced fonts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such</w:t>
      </w:r>
      <w:r>
        <w:rPr>
          <w:color w:val="3B3A3B"/>
          <w:spacing w:val="-27"/>
          <w:w w:val="110"/>
        </w:rPr>
        <w:t> </w:t>
      </w:r>
      <w:r>
        <w:rPr>
          <w:color w:val="3B3A3B"/>
          <w:w w:val="110"/>
        </w:rPr>
        <w:t>as</w:t>
      </w:r>
      <w:r>
        <w:rPr>
          <w:color w:val="3B3A3B"/>
          <w:spacing w:val="-29"/>
          <w:w w:val="110"/>
        </w:rPr>
        <w:t> </w:t>
      </w:r>
      <w:r>
        <w:rPr>
          <w:color w:val="3B3A3B"/>
          <w:w w:val="110"/>
        </w:rPr>
        <w:t>Courier,</w:t>
      </w:r>
      <w:r>
        <w:rPr>
          <w:color w:val="3B3A3B"/>
          <w:spacing w:val="-9"/>
          <w:w w:val="110"/>
        </w:rPr>
        <w:t> </w:t>
      </w:r>
      <w:r>
        <w:rPr>
          <w:color w:val="3B3A3B"/>
          <w:w w:val="110"/>
          <w:sz w:val="21"/>
        </w:rPr>
        <w:t>in</w:t>
      </w:r>
      <w:r>
        <w:rPr>
          <w:color w:val="3B3A3B"/>
          <w:spacing w:val="30"/>
          <w:w w:val="110"/>
          <w:sz w:val="21"/>
        </w:rPr>
        <w:t> </w:t>
      </w:r>
      <w:r>
        <w:rPr>
          <w:color w:val="3B3A3B"/>
          <w:w w:val="110"/>
        </w:rPr>
        <w:t>contrast,</w:t>
      </w:r>
      <w:r>
        <w:rPr>
          <w:color w:val="3B3A3B"/>
          <w:spacing w:val="-23"/>
          <w:w w:val="110"/>
        </w:rPr>
        <w:t> </w:t>
      </w:r>
      <w:r>
        <w:rPr>
          <w:color w:val="3B3A3B"/>
          <w:w w:val="110"/>
        </w:rPr>
        <w:t>each</w:t>
      </w:r>
      <w:r>
        <w:rPr>
          <w:color w:val="3B3A3B"/>
          <w:spacing w:val="-8"/>
          <w:w w:val="110"/>
        </w:rPr>
        <w:t> </w:t>
      </w:r>
      <w:r>
        <w:rPr>
          <w:color w:val="3B3A3B"/>
          <w:w w:val="110"/>
        </w:rPr>
        <w:t>letter</w:t>
      </w:r>
      <w:r>
        <w:rPr>
          <w:color w:val="3B3A3B"/>
          <w:spacing w:val="-14"/>
          <w:w w:val="110"/>
        </w:rPr>
        <w:t> </w:t>
      </w:r>
      <w:r>
        <w:rPr>
          <w:color w:val="3B3A3B"/>
          <w:w w:val="110"/>
        </w:rPr>
        <w:t>takes</w:t>
      </w:r>
      <w:r>
        <w:rPr>
          <w:color w:val="3B3A3B"/>
          <w:spacing w:val="-12"/>
          <w:w w:val="110"/>
        </w:rPr>
        <w:t> </w:t>
      </w:r>
      <w:r>
        <w:rPr>
          <w:color w:val="3B3A3B"/>
          <w:w w:val="110"/>
        </w:rPr>
        <w:t>up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6"/>
          <w:w w:val="110"/>
        </w:rPr>
        <w:t> </w:t>
      </w:r>
      <w:r>
        <w:rPr>
          <w:color w:val="3B3A3B"/>
          <w:w w:val="110"/>
        </w:rPr>
        <w:t>same</w:t>
      </w:r>
      <w:r>
        <w:rPr>
          <w:color w:val="3B3A3B"/>
          <w:spacing w:val="-32"/>
          <w:w w:val="110"/>
        </w:rPr>
        <w:t> </w:t>
      </w:r>
      <w:r>
        <w:rPr>
          <w:color w:val="3B3A3B"/>
          <w:w w:val="110"/>
        </w:rPr>
        <w:t>amount</w:t>
      </w:r>
      <w:r>
        <w:rPr>
          <w:color w:val="3B3A3B"/>
          <w:spacing w:val="-18"/>
          <w:w w:val="110"/>
        </w:rPr>
        <w:t> </w:t>
      </w:r>
      <w:r>
        <w:rPr>
          <w:color w:val="3B3A3B"/>
          <w:w w:val="110"/>
        </w:rPr>
        <w:t>of</w:t>
      </w:r>
      <w:r>
        <w:rPr>
          <w:color w:val="3B3A3B"/>
          <w:spacing w:val="-16"/>
          <w:w w:val="110"/>
        </w:rPr>
        <w:t> </w:t>
      </w:r>
      <w:r>
        <w:rPr>
          <w:color w:val="3B3A3B"/>
          <w:w w:val="110"/>
        </w:rPr>
        <w:t>space.</w:t>
      </w:r>
    </w:p>
    <w:p>
      <w:pPr>
        <w:spacing w:before="139"/>
        <w:ind w:left="1008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3B3A3B"/>
          <w:w w:val="105"/>
          <w:sz w:val="21"/>
        </w:rPr>
        <w:t>Courier</w:t>
      </w:r>
      <w:r>
        <w:rPr>
          <w:rFonts w:ascii="Courier New"/>
          <w:color w:val="3B3A3B"/>
          <w:spacing w:val="3"/>
          <w:w w:val="105"/>
          <w:sz w:val="21"/>
        </w:rPr>
        <w:t> </w:t>
      </w:r>
      <w:r>
        <w:rPr>
          <w:rFonts w:ascii="Courier New"/>
          <w:color w:val="3B3A3B"/>
          <w:w w:val="105"/>
          <w:sz w:val="21"/>
        </w:rPr>
        <w:t>is</w:t>
      </w:r>
      <w:r>
        <w:rPr>
          <w:rFonts w:ascii="Courier New"/>
          <w:color w:val="3B3A3B"/>
          <w:spacing w:val="10"/>
          <w:w w:val="105"/>
          <w:sz w:val="21"/>
        </w:rPr>
        <w:t> </w:t>
      </w:r>
      <w:r>
        <w:rPr>
          <w:rFonts w:ascii="Courier New"/>
          <w:color w:val="3B3A3B"/>
          <w:w w:val="105"/>
          <w:sz w:val="21"/>
        </w:rPr>
        <w:t>monospaced</w:t>
      </w:r>
      <w:r>
        <w:rPr>
          <w:rFonts w:ascii="Courier New"/>
          <w:color w:val="606062"/>
          <w:w w:val="105"/>
          <w:sz w:val="21"/>
        </w:rPr>
        <w:t>:</w:t>
      </w:r>
      <w:r>
        <w:rPr>
          <w:rFonts w:ascii="Courier New"/>
          <w:color w:val="606062"/>
          <w:spacing w:val="-34"/>
          <w:w w:val="105"/>
          <w:sz w:val="21"/>
        </w:rPr>
        <w:t> </w:t>
      </w:r>
      <w:r>
        <w:rPr>
          <w:rFonts w:ascii="Courier New"/>
          <w:color w:val="3B3A3B"/>
          <w:w w:val="105"/>
          <w:sz w:val="21"/>
        </w:rPr>
        <w:t>Bills</w:t>
      </w:r>
      <w:r>
        <w:rPr>
          <w:rFonts w:ascii="Courier New"/>
          <w:color w:val="3B3A3B"/>
          <w:spacing w:val="-11"/>
          <w:w w:val="105"/>
          <w:sz w:val="21"/>
        </w:rPr>
        <w:t> </w:t>
      </w:r>
      <w:r>
        <w:rPr>
          <w:rFonts w:ascii="Courier New"/>
          <w:color w:val="3B3A3B"/>
          <w:w w:val="105"/>
          <w:sz w:val="21"/>
        </w:rPr>
        <w:t>make</w:t>
      </w:r>
      <w:r>
        <w:rPr>
          <w:rFonts w:ascii="Courier New"/>
          <w:color w:val="3B3A3B"/>
          <w:spacing w:val="-8"/>
          <w:w w:val="105"/>
          <w:sz w:val="21"/>
        </w:rPr>
        <w:t> </w:t>
      </w:r>
      <w:r>
        <w:rPr>
          <w:rFonts w:ascii="Courier New"/>
          <w:color w:val="3B3A3B"/>
          <w:w w:val="105"/>
          <w:sz w:val="21"/>
        </w:rPr>
        <w:t>me ill.</w:t>
      </w:r>
    </w:p>
    <w:p>
      <w:pPr>
        <w:spacing w:before="107"/>
        <w:ind w:left="1014" w:right="0" w:firstLine="0"/>
        <w:jc w:val="left"/>
        <w:rPr>
          <w:sz w:val="23"/>
        </w:rPr>
      </w:pPr>
      <w:r>
        <w:rPr>
          <w:color w:val="3B3A3B"/>
          <w:w w:val="115"/>
          <w:sz w:val="21"/>
        </w:rPr>
        <w:t>Georgia</w:t>
      </w:r>
      <w:r>
        <w:rPr>
          <w:color w:val="3B3A3B"/>
          <w:spacing w:val="-6"/>
          <w:w w:val="115"/>
          <w:sz w:val="21"/>
        </w:rPr>
        <w:t> </w:t>
      </w:r>
      <w:r>
        <w:rPr>
          <w:color w:val="3B3A3B"/>
          <w:w w:val="115"/>
          <w:sz w:val="21"/>
        </w:rPr>
        <w:t>is</w:t>
      </w:r>
      <w:r>
        <w:rPr>
          <w:color w:val="3B3A3B"/>
          <w:spacing w:val="-5"/>
          <w:w w:val="115"/>
          <w:sz w:val="21"/>
        </w:rPr>
        <w:t> </w:t>
      </w:r>
      <w:r>
        <w:rPr>
          <w:color w:val="3B3A3B"/>
          <w:w w:val="115"/>
          <w:sz w:val="21"/>
        </w:rPr>
        <w:t>proportionallyspaced:</w:t>
      </w:r>
      <w:r>
        <w:rPr>
          <w:color w:val="3B3A3B"/>
          <w:spacing w:val="-15"/>
          <w:w w:val="115"/>
          <w:sz w:val="21"/>
        </w:rPr>
        <w:t> </w:t>
      </w:r>
      <w:r>
        <w:rPr>
          <w:color w:val="3B3A3B"/>
          <w:w w:val="115"/>
          <w:sz w:val="21"/>
        </w:rPr>
        <w:t>Bills</w:t>
      </w:r>
      <w:r>
        <w:rPr>
          <w:color w:val="3B3A3B"/>
          <w:spacing w:val="-14"/>
          <w:w w:val="115"/>
          <w:sz w:val="21"/>
        </w:rPr>
        <w:t> </w:t>
      </w:r>
      <w:r>
        <w:rPr>
          <w:color w:val="3B3A3B"/>
          <w:w w:val="115"/>
          <w:sz w:val="21"/>
        </w:rPr>
        <w:t>make</w:t>
      </w:r>
      <w:r>
        <w:rPr>
          <w:color w:val="3B3A3B"/>
          <w:spacing w:val="-11"/>
          <w:w w:val="115"/>
          <w:sz w:val="21"/>
        </w:rPr>
        <w:t> </w:t>
      </w:r>
      <w:r>
        <w:rPr>
          <w:color w:val="3B3A3B"/>
          <w:w w:val="115"/>
          <w:sz w:val="21"/>
        </w:rPr>
        <w:t>me</w:t>
      </w:r>
      <w:r>
        <w:rPr>
          <w:color w:val="3B3A3B"/>
          <w:spacing w:val="-7"/>
          <w:w w:val="115"/>
          <w:sz w:val="21"/>
        </w:rPr>
        <w:t> </w:t>
      </w:r>
      <w:r>
        <w:rPr>
          <w:color w:val="3B3A3B"/>
          <w:w w:val="115"/>
          <w:sz w:val="23"/>
        </w:rPr>
        <w:t>ill.</w:t>
      </w:r>
    </w:p>
    <w:p>
      <w:pPr>
        <w:pStyle w:val="BodyText"/>
        <w:spacing w:line="228" w:lineRule="auto" w:before="122"/>
        <w:ind w:left="618" w:right="136" w:firstLine="399"/>
        <w:jc w:val="both"/>
      </w:pPr>
      <w:r>
        <w:rPr>
          <w:color w:val="3B3A3B"/>
          <w:spacing w:val="-1"/>
          <w:w w:val="110"/>
        </w:rPr>
        <w:t>Because proportionally spaced </w:t>
      </w:r>
      <w:r>
        <w:rPr>
          <w:color w:val="3B3A3B"/>
          <w:w w:val="110"/>
        </w:rPr>
        <w:t>fonts are easier to read, you should use</w:t>
      </w:r>
      <w:r>
        <w:rPr>
          <w:color w:val="3B3A3B"/>
          <w:spacing w:val="-61"/>
          <w:w w:val="110"/>
        </w:rPr>
        <w:t> </w:t>
      </w:r>
      <w:r>
        <w:rPr>
          <w:color w:val="3B3A3B"/>
          <w:w w:val="110"/>
        </w:rPr>
        <w:t>a</w:t>
      </w:r>
      <w:r>
        <w:rPr>
          <w:color w:val="3B3A3B"/>
          <w:spacing w:val="37"/>
          <w:w w:val="110"/>
        </w:rPr>
        <w:t> </w:t>
      </w:r>
      <w:r>
        <w:rPr>
          <w:color w:val="3B3A3B"/>
          <w:w w:val="110"/>
        </w:rPr>
        <w:t>proportionally</w:t>
      </w:r>
      <w:r>
        <w:rPr>
          <w:color w:val="3B3A3B"/>
          <w:spacing w:val="-18"/>
          <w:w w:val="110"/>
        </w:rPr>
        <w:t> </w:t>
      </w:r>
      <w:r>
        <w:rPr>
          <w:color w:val="3B3A3B"/>
          <w:w w:val="110"/>
        </w:rPr>
        <w:t>spaced</w:t>
      </w:r>
      <w:r>
        <w:rPr>
          <w:color w:val="3B3A3B"/>
          <w:spacing w:val="13"/>
          <w:w w:val="110"/>
        </w:rPr>
        <w:t> </w:t>
      </w:r>
      <w:r>
        <w:rPr>
          <w:color w:val="3B3A3B"/>
          <w:w w:val="110"/>
        </w:rPr>
        <w:t>font</w:t>
      </w:r>
      <w:r>
        <w:rPr>
          <w:color w:val="3B3A3B"/>
          <w:spacing w:val="-5"/>
          <w:w w:val="110"/>
        </w:rPr>
        <w:t> </w:t>
      </w:r>
      <w:r>
        <w:rPr>
          <w:color w:val="3B3A3B"/>
          <w:w w:val="110"/>
        </w:rPr>
        <w:t>unless</w:t>
      </w:r>
      <w:r>
        <w:rPr>
          <w:color w:val="3B3A3B"/>
          <w:spacing w:val="-9"/>
          <w:w w:val="110"/>
        </w:rPr>
        <w:t> </w:t>
      </w:r>
      <w:r>
        <w:rPr>
          <w:color w:val="3B3A3B"/>
          <w:w w:val="110"/>
        </w:rPr>
        <w:t>court</w:t>
      </w:r>
      <w:r>
        <w:rPr>
          <w:color w:val="3B3A3B"/>
          <w:spacing w:val="6"/>
          <w:w w:val="110"/>
        </w:rPr>
        <w:t> </w:t>
      </w:r>
      <w:r>
        <w:rPr>
          <w:color w:val="3B3A3B"/>
          <w:w w:val="110"/>
        </w:rPr>
        <w:t>rules</w:t>
      </w:r>
      <w:r>
        <w:rPr>
          <w:color w:val="3B3A3B"/>
          <w:spacing w:val="-9"/>
          <w:w w:val="110"/>
        </w:rPr>
        <w:t> </w:t>
      </w:r>
      <w:r>
        <w:rPr>
          <w:color w:val="3B3A3B"/>
          <w:w w:val="110"/>
        </w:rPr>
        <w:t>dictate</w:t>
      </w:r>
      <w:r>
        <w:rPr>
          <w:color w:val="3B3A3B"/>
          <w:spacing w:val="-5"/>
          <w:w w:val="110"/>
        </w:rPr>
        <w:t> </w:t>
      </w:r>
      <w:r>
        <w:rPr>
          <w:color w:val="2D2A2B"/>
          <w:w w:val="110"/>
        </w:rPr>
        <w:t>otherwise</w:t>
      </w:r>
      <w:r>
        <w:rPr>
          <w:color w:val="606062"/>
          <w:w w:val="110"/>
        </w:rPr>
        <w:t>.</w:t>
      </w:r>
    </w:p>
    <w:p>
      <w:pPr>
        <w:pStyle w:val="BodyText"/>
        <w:spacing w:before="8"/>
        <w:rPr>
          <w:sz w:val="31"/>
        </w:rPr>
      </w:pPr>
    </w:p>
    <w:p>
      <w:pPr>
        <w:spacing w:before="0"/>
        <w:ind w:left="949" w:right="0" w:firstLine="0"/>
        <w:jc w:val="left"/>
        <w:rPr>
          <w:sz w:val="29"/>
        </w:rPr>
      </w:pPr>
      <w:r>
        <w:rPr>
          <w:color w:val="808283"/>
          <w:w w:val="110"/>
          <w:sz w:val="29"/>
        </w:rPr>
        <w:t>11</w:t>
      </w:r>
      <w:r>
        <w:rPr>
          <w:color w:val="606062"/>
          <w:w w:val="110"/>
          <w:sz w:val="29"/>
        </w:rPr>
        <w:t>.</w:t>
      </w:r>
      <w:r>
        <w:rPr>
          <w:color w:val="808283"/>
          <w:w w:val="110"/>
          <w:sz w:val="29"/>
        </w:rPr>
        <w:t>6</w:t>
      </w:r>
      <w:r>
        <w:rPr>
          <w:color w:val="606062"/>
          <w:w w:val="110"/>
          <w:sz w:val="29"/>
        </w:rPr>
        <w:t>.</w:t>
      </w:r>
      <w:r>
        <w:rPr>
          <w:color w:val="808283"/>
          <w:w w:val="110"/>
          <w:sz w:val="29"/>
        </w:rPr>
        <w:t>2</w:t>
      </w:r>
    </w:p>
    <w:p>
      <w:pPr>
        <w:spacing w:before="39"/>
        <w:ind w:left="946" w:right="0" w:firstLine="0"/>
        <w:jc w:val="left"/>
        <w:rPr>
          <w:rFonts w:ascii="Arial"/>
          <w:i/>
          <w:sz w:val="22"/>
        </w:rPr>
      </w:pPr>
      <w:r>
        <w:rPr>
          <w:color w:val="808283"/>
          <w:spacing w:val="-1"/>
          <w:w w:val="110"/>
          <w:sz w:val="21"/>
        </w:rPr>
        <w:t>CITATIONS</w:t>
      </w:r>
      <w:r>
        <w:rPr>
          <w:color w:val="808283"/>
          <w:spacing w:val="-8"/>
          <w:w w:val="110"/>
          <w:sz w:val="21"/>
        </w:rPr>
        <w:t> </w:t>
      </w:r>
      <w:r>
        <w:rPr>
          <w:color w:val="606062"/>
          <w:spacing w:val="-1"/>
          <w:w w:val="110"/>
          <w:sz w:val="21"/>
        </w:rPr>
        <w:t>A</w:t>
      </w:r>
      <w:r>
        <w:rPr>
          <w:color w:val="808283"/>
          <w:spacing w:val="-1"/>
          <w:w w:val="110"/>
          <w:sz w:val="21"/>
        </w:rPr>
        <w:t>ND</w:t>
      </w:r>
      <w:r>
        <w:rPr>
          <w:color w:val="808283"/>
          <w:spacing w:val="5"/>
          <w:w w:val="110"/>
          <w:sz w:val="21"/>
        </w:rPr>
        <w:t> </w:t>
      </w:r>
      <w:r>
        <w:rPr>
          <w:color w:val="707275"/>
          <w:w w:val="110"/>
          <w:sz w:val="21"/>
        </w:rPr>
        <w:t>EMPHATIC</w:t>
      </w:r>
      <w:r>
        <w:rPr>
          <w:color w:val="707275"/>
          <w:spacing w:val="-13"/>
          <w:w w:val="110"/>
          <w:sz w:val="21"/>
        </w:rPr>
        <w:t> </w:t>
      </w:r>
      <w:r>
        <w:rPr>
          <w:rFonts w:ascii="Arial"/>
          <w:color w:val="606062"/>
          <w:w w:val="110"/>
          <w:sz w:val="22"/>
        </w:rPr>
        <w:t>TEXT</w:t>
      </w:r>
      <w:r>
        <w:rPr>
          <w:rFonts w:ascii="Arial"/>
          <w:color w:val="3B3A3B"/>
          <w:w w:val="110"/>
          <w:sz w:val="22"/>
        </w:rPr>
        <w:t>:</w:t>
      </w:r>
      <w:r>
        <w:rPr>
          <w:rFonts w:ascii="Arial"/>
          <w:color w:val="3B3A3B"/>
          <w:spacing w:val="-13"/>
          <w:w w:val="110"/>
          <w:sz w:val="22"/>
        </w:rPr>
        <w:t> </w:t>
      </w:r>
      <w:r>
        <w:rPr>
          <w:color w:val="707275"/>
          <w:w w:val="110"/>
          <w:sz w:val="21"/>
          <w:u w:val="thick" w:color="707275"/>
        </w:rPr>
        <w:t>UNDERLINING,</w:t>
      </w:r>
      <w:r>
        <w:rPr>
          <w:color w:val="707275"/>
          <w:spacing w:val="-1"/>
          <w:w w:val="110"/>
          <w:sz w:val="21"/>
        </w:rPr>
        <w:t> </w:t>
      </w:r>
      <w:r>
        <w:rPr>
          <w:rFonts w:ascii="Arial"/>
          <w:i/>
          <w:color w:val="606062"/>
          <w:w w:val="110"/>
          <w:sz w:val="22"/>
        </w:rPr>
        <w:t>ITALICS</w:t>
      </w:r>
      <w:r>
        <w:rPr>
          <w:rFonts w:ascii="Arial"/>
          <w:i/>
          <w:color w:val="3B3A3B"/>
          <w:w w:val="110"/>
          <w:sz w:val="22"/>
        </w:rPr>
        <w:t>,</w:t>
      </w:r>
    </w:p>
    <w:p>
      <w:pPr>
        <w:spacing w:before="46"/>
        <w:ind w:left="938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808283"/>
          <w:w w:val="105"/>
          <w:sz w:val="21"/>
        </w:rPr>
        <w:t>BOLDFACED</w:t>
      </w:r>
      <w:r>
        <w:rPr>
          <w:rFonts w:ascii="Arial"/>
          <w:b/>
          <w:color w:val="808283"/>
          <w:spacing w:val="28"/>
          <w:w w:val="105"/>
          <w:sz w:val="21"/>
        </w:rPr>
        <w:t> </w:t>
      </w:r>
      <w:r>
        <w:rPr>
          <w:rFonts w:ascii="Arial"/>
          <w:b/>
          <w:color w:val="808283"/>
          <w:w w:val="105"/>
          <w:sz w:val="21"/>
        </w:rPr>
        <w:t>TYPE</w:t>
      </w:r>
      <w:r>
        <w:rPr>
          <w:rFonts w:ascii="Arial"/>
          <w:b/>
          <w:color w:val="3B3A3B"/>
          <w:w w:val="105"/>
          <w:sz w:val="21"/>
        </w:rPr>
        <w:t>,</w:t>
      </w:r>
      <w:r>
        <w:rPr>
          <w:rFonts w:ascii="Arial"/>
          <w:b/>
          <w:color w:val="3B3A3B"/>
          <w:spacing w:val="47"/>
          <w:w w:val="105"/>
          <w:sz w:val="21"/>
        </w:rPr>
        <w:t> </w:t>
      </w:r>
      <w:r>
        <w:rPr>
          <w:color w:val="606062"/>
          <w:w w:val="105"/>
          <w:sz w:val="21"/>
        </w:rPr>
        <w:t>AND</w:t>
      </w:r>
      <w:r>
        <w:rPr>
          <w:color w:val="606062"/>
          <w:spacing w:val="48"/>
          <w:w w:val="105"/>
          <w:sz w:val="21"/>
        </w:rPr>
        <w:t> </w:t>
      </w:r>
      <w:r>
        <w:rPr>
          <w:rFonts w:ascii="Arial"/>
          <w:b/>
          <w:color w:val="606062"/>
          <w:w w:val="105"/>
          <w:sz w:val="24"/>
        </w:rPr>
        <w:t>CAPITA</w:t>
      </w:r>
      <w:r>
        <w:rPr>
          <w:rFonts w:ascii="Arial"/>
          <w:b/>
          <w:color w:val="808283"/>
          <w:w w:val="105"/>
          <w:sz w:val="24"/>
        </w:rPr>
        <w:t>LIZATION</w:t>
      </w:r>
    </w:p>
    <w:p>
      <w:pPr>
        <w:pStyle w:val="BodyText"/>
        <w:spacing w:line="232" w:lineRule="auto" w:before="155"/>
        <w:ind w:left="528" w:right="142" w:firstLine="441"/>
        <w:jc w:val="both"/>
      </w:pPr>
      <w:r>
        <w:rPr>
          <w:color w:val="3B3A3B"/>
          <w:w w:val="110"/>
        </w:rPr>
        <w:t>Both the </w:t>
      </w:r>
      <w:r>
        <w:rPr>
          <w:rFonts w:ascii="Arial"/>
          <w:i/>
          <w:color w:val="3B3A3B"/>
          <w:w w:val="110"/>
          <w:sz w:val="21"/>
        </w:rPr>
        <w:t>ALWD Citation Manual </w:t>
      </w:r>
      <w:r>
        <w:rPr>
          <w:color w:val="3B3A3B"/>
          <w:w w:val="110"/>
        </w:rPr>
        <w:t>and the </w:t>
      </w:r>
      <w:r>
        <w:rPr>
          <w:rFonts w:ascii="Arial"/>
          <w:i/>
          <w:color w:val="3B3A3B"/>
          <w:w w:val="110"/>
          <w:sz w:val="21"/>
        </w:rPr>
        <w:t>Bluebook </w:t>
      </w:r>
      <w:r>
        <w:rPr>
          <w:color w:val="3B3A3B"/>
          <w:w w:val="110"/>
        </w:rPr>
        <w:t>allow </w:t>
      </w:r>
      <w:r>
        <w:rPr>
          <w:color w:val="2D2A2B"/>
          <w:w w:val="110"/>
        </w:rPr>
        <w:t>the </w:t>
      </w:r>
      <w:r>
        <w:rPr>
          <w:color w:val="3B3A3B"/>
          <w:w w:val="110"/>
        </w:rPr>
        <w:t>writer to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choose between underlining and italics when citing cases and other titles.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5"/>
        </w:rPr>
        <w:t>Although both underlining and italics </w:t>
      </w:r>
      <w:r>
        <w:rPr>
          <w:color w:val="2D2A2B"/>
          <w:w w:val="115"/>
        </w:rPr>
        <w:t>have </w:t>
      </w:r>
      <w:r>
        <w:rPr>
          <w:color w:val="3B3A3B"/>
          <w:w w:val="115"/>
        </w:rPr>
        <w:t>the same meaning vis-a-vis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5"/>
        </w:rPr>
        <w:t>citation form, they are not equal. Both italics and underline distinguish</w:t>
      </w:r>
      <w:r>
        <w:rPr>
          <w:color w:val="3B3A3B"/>
          <w:spacing w:val="1"/>
          <w:w w:val="115"/>
        </w:rPr>
        <w:t> </w:t>
      </w:r>
      <w:r>
        <w:rPr>
          <w:color w:val="3B3A3B"/>
          <w:w w:val="110"/>
        </w:rPr>
        <w:t>text for a </w:t>
      </w:r>
      <w:r>
        <w:rPr>
          <w:color w:val="2D2A2B"/>
          <w:w w:val="110"/>
        </w:rPr>
        <w:t>reader, </w:t>
      </w:r>
      <w:r>
        <w:rPr>
          <w:color w:val="3B3A3B"/>
          <w:w w:val="110"/>
        </w:rPr>
        <w:t>but underlined text is more visible to the user: It can be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seen</w:t>
      </w:r>
      <w:r>
        <w:rPr>
          <w:color w:val="3B3A3B"/>
          <w:spacing w:val="14"/>
          <w:w w:val="110"/>
        </w:rPr>
        <w:t> </w:t>
      </w:r>
      <w:r>
        <w:rPr>
          <w:color w:val="3B3A3B"/>
          <w:w w:val="110"/>
        </w:rPr>
        <w:t>with</w:t>
      </w:r>
      <w:r>
        <w:rPr>
          <w:color w:val="3B3A3B"/>
          <w:spacing w:val="7"/>
          <w:w w:val="110"/>
        </w:rPr>
        <w:t> </w:t>
      </w:r>
      <w:r>
        <w:rPr>
          <w:color w:val="3B3A3B"/>
          <w:w w:val="110"/>
        </w:rPr>
        <w:t>only</w:t>
      </w:r>
      <w:r>
        <w:rPr>
          <w:color w:val="3B3A3B"/>
          <w:spacing w:val="-14"/>
          <w:w w:val="110"/>
        </w:rPr>
        <w:t> </w:t>
      </w:r>
      <w:r>
        <w:rPr>
          <w:color w:val="3B3A3B"/>
          <w:w w:val="110"/>
        </w:rPr>
        <w:t>a</w:t>
      </w:r>
      <w:r>
        <w:rPr>
          <w:color w:val="3B3A3B"/>
          <w:spacing w:val="-7"/>
          <w:w w:val="110"/>
        </w:rPr>
        <w:t> </w:t>
      </w:r>
      <w:r>
        <w:rPr>
          <w:color w:val="3B3A3B"/>
          <w:w w:val="110"/>
        </w:rPr>
        <w:t>quick</w:t>
      </w:r>
      <w:r>
        <w:rPr>
          <w:color w:val="3B3A3B"/>
          <w:spacing w:val="-6"/>
          <w:w w:val="110"/>
        </w:rPr>
        <w:t> </w:t>
      </w:r>
      <w:r>
        <w:rPr>
          <w:color w:val="3B3A3B"/>
          <w:w w:val="110"/>
        </w:rPr>
        <w:t>glance</w:t>
      </w:r>
      <w:r>
        <w:rPr>
          <w:color w:val="3B3A3B"/>
          <w:spacing w:val="-19"/>
          <w:w w:val="110"/>
        </w:rPr>
        <w:t> </w:t>
      </w:r>
      <w:r>
        <w:rPr>
          <w:color w:val="3B3A3B"/>
          <w:w w:val="110"/>
        </w:rPr>
        <w:t>at</w:t>
      </w:r>
      <w:r>
        <w:rPr>
          <w:color w:val="3B3A3B"/>
          <w:spacing w:val="10"/>
          <w:w w:val="110"/>
        </w:rPr>
        <w:t> </w:t>
      </w:r>
      <w:r>
        <w:rPr>
          <w:color w:val="3B3A3B"/>
          <w:w w:val="110"/>
        </w:rPr>
        <w:t>the</w:t>
      </w:r>
      <w:r>
        <w:rPr>
          <w:color w:val="3B3A3B"/>
          <w:spacing w:val="33"/>
          <w:w w:val="110"/>
        </w:rPr>
        <w:t> </w:t>
      </w:r>
      <w:r>
        <w:rPr>
          <w:color w:val="3B3A3B"/>
          <w:w w:val="110"/>
        </w:rPr>
        <w:t>page,</w:t>
      </w:r>
      <w:r>
        <w:rPr>
          <w:color w:val="3B3A3B"/>
          <w:spacing w:val="3"/>
          <w:w w:val="110"/>
        </w:rPr>
        <w:t> </w:t>
      </w:r>
      <w:r>
        <w:rPr>
          <w:color w:val="3B3A3B"/>
          <w:w w:val="110"/>
        </w:rPr>
        <w:t>while</w:t>
      </w:r>
      <w:r>
        <w:rPr>
          <w:color w:val="3B3A3B"/>
          <w:spacing w:val="-8"/>
          <w:w w:val="110"/>
        </w:rPr>
        <w:t> </w:t>
      </w:r>
      <w:r>
        <w:rPr>
          <w:color w:val="3B3A3B"/>
          <w:w w:val="110"/>
        </w:rPr>
        <w:t>italics</w:t>
      </w:r>
      <w:r>
        <w:rPr>
          <w:color w:val="3B3A3B"/>
          <w:spacing w:val="-8"/>
          <w:w w:val="110"/>
        </w:rPr>
        <w:t> </w:t>
      </w:r>
      <w:r>
        <w:rPr>
          <w:color w:val="3B3A3B"/>
          <w:w w:val="110"/>
        </w:rPr>
        <w:t>usually</w:t>
      </w:r>
      <w:r>
        <w:rPr>
          <w:color w:val="3B3A3B"/>
          <w:spacing w:val="8"/>
          <w:w w:val="110"/>
        </w:rPr>
        <w:t> </w:t>
      </w:r>
      <w:r>
        <w:rPr>
          <w:color w:val="3B3A3B"/>
          <w:w w:val="110"/>
        </w:rPr>
        <w:t>take</w:t>
      </w:r>
      <w:r>
        <w:rPr>
          <w:color w:val="3B3A3B"/>
          <w:spacing w:val="-6"/>
          <w:w w:val="110"/>
        </w:rPr>
        <w:t> </w:t>
      </w:r>
      <w:r>
        <w:rPr>
          <w:color w:val="2D2A2B"/>
          <w:w w:val="110"/>
        </w:rPr>
        <w:t>longer</w:t>
      </w:r>
    </w:p>
    <w:p>
      <w:pPr>
        <w:spacing w:after="0" w:line="232" w:lineRule="auto"/>
        <w:jc w:val="both"/>
        <w:sectPr>
          <w:headerReference w:type="even" r:id="rId306"/>
          <w:headerReference w:type="default" r:id="rId307"/>
          <w:pgSz w:w="9780" w:h="13980"/>
          <w:pgMar w:header="521" w:footer="0" w:top="1100" w:bottom="0" w:left="1360" w:right="180"/>
          <w:pgNumType w:start="27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32" w:lineRule="auto"/>
        <w:ind w:left="116" w:right="518" w:firstLine="5"/>
        <w:jc w:val="both"/>
        <w:rPr>
          <w:rFonts w:ascii="Arial"/>
        </w:rPr>
      </w:pPr>
      <w:r>
        <w:rPr>
          <w:color w:val="3B383B"/>
          <w:w w:val="110"/>
        </w:rPr>
        <w:t>to notice. Try flipping through this textbook, which uses many examples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with underlined  citations, and  note how the underlining  jumps out  at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05"/>
        </w:rPr>
        <w:t>the eye. Even if you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cannot read the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words immediately, the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underlining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catches your eye and draws it to the underlined words. A busy judge or a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clerk who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is looking for your analysis of a particular case will have a much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easier time finding that discussion  if you   use underlining instead of italics</w:t>
      </w:r>
      <w:r>
        <w:rPr>
          <w:color w:val="3B383B"/>
          <w:spacing w:val="1"/>
          <w:w w:val="105"/>
        </w:rPr>
        <w:t> </w:t>
      </w:r>
      <w:r>
        <w:rPr>
          <w:color w:val="3B383B"/>
          <w:spacing w:val="-1"/>
          <w:w w:val="110"/>
        </w:rPr>
        <w:t>to</w:t>
      </w:r>
      <w:r>
        <w:rPr>
          <w:color w:val="3B383B"/>
          <w:spacing w:val="-28"/>
          <w:w w:val="110"/>
        </w:rPr>
        <w:t> </w:t>
      </w:r>
      <w:r>
        <w:rPr>
          <w:color w:val="3B383B"/>
          <w:spacing w:val="-1"/>
          <w:w w:val="110"/>
        </w:rPr>
        <w:t>designate</w:t>
      </w:r>
      <w:r>
        <w:rPr>
          <w:color w:val="3B383B"/>
          <w:spacing w:val="-6"/>
          <w:w w:val="110"/>
        </w:rPr>
        <w:t> </w:t>
      </w:r>
      <w:r>
        <w:rPr>
          <w:color w:val="3B383B"/>
          <w:spacing w:val="-1"/>
          <w:w w:val="110"/>
        </w:rPr>
        <w:t>case</w:t>
      </w:r>
      <w:r>
        <w:rPr>
          <w:color w:val="3B383B"/>
          <w:spacing w:val="-8"/>
          <w:w w:val="110"/>
        </w:rPr>
        <w:t> </w:t>
      </w:r>
      <w:r>
        <w:rPr>
          <w:color w:val="3B383B"/>
          <w:w w:val="110"/>
        </w:rPr>
        <w:t>names</w:t>
      </w:r>
      <w:r>
        <w:rPr>
          <w:color w:val="3B383B"/>
          <w:spacing w:val="-23"/>
          <w:w w:val="110"/>
        </w:rPr>
        <w:t> </w:t>
      </w:r>
      <w:r>
        <w:rPr>
          <w:color w:val="3B383B"/>
          <w:w w:val="110"/>
        </w:rPr>
        <w:t>and</w:t>
      </w:r>
      <w:r>
        <w:rPr>
          <w:color w:val="3B383B"/>
          <w:spacing w:val="13"/>
          <w:w w:val="110"/>
        </w:rPr>
        <w:t> </w:t>
      </w:r>
      <w:r>
        <w:rPr>
          <w:color w:val="3B383B"/>
          <w:w w:val="110"/>
        </w:rPr>
        <w:t>other</w:t>
      </w:r>
      <w:r>
        <w:rPr>
          <w:color w:val="3B383B"/>
          <w:spacing w:val="-11"/>
          <w:w w:val="110"/>
        </w:rPr>
        <w:t> </w:t>
      </w:r>
      <w:r>
        <w:rPr>
          <w:color w:val="3B383B"/>
          <w:w w:val="110"/>
        </w:rPr>
        <w:t>titles.</w:t>
      </w:r>
      <w:r>
        <w:rPr>
          <w:rFonts w:ascii="Arial"/>
          <w:color w:val="3B383B"/>
          <w:w w:val="110"/>
          <w:vertAlign w:val="superscript"/>
        </w:rPr>
        <w:t>22</w:t>
      </w:r>
    </w:p>
    <w:p>
      <w:pPr>
        <w:pStyle w:val="BodyText"/>
        <w:spacing w:line="232" w:lineRule="auto" w:before="5"/>
        <w:ind w:left="125" w:right="511" w:firstLine="323"/>
        <w:jc w:val="both"/>
      </w:pPr>
      <w:r>
        <w:rPr>
          <w:color w:val="3B383B"/>
          <w:w w:val="110"/>
        </w:rPr>
        <w:t>Whether you use underlining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or italics for citation  form, you should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be consistent throughout all of your citations and all of the parts of your</w:t>
      </w:r>
      <w:r>
        <w:rPr>
          <w:color w:val="3B383B"/>
          <w:spacing w:val="1"/>
          <w:w w:val="110"/>
        </w:rPr>
        <w:t> </w:t>
      </w:r>
      <w:r>
        <w:rPr>
          <w:color w:val="4D4D4D"/>
          <w:w w:val="110"/>
        </w:rPr>
        <w:t>citations. </w:t>
      </w:r>
      <w:r>
        <w:rPr>
          <w:color w:val="3B383B"/>
          <w:w w:val="110"/>
        </w:rPr>
        <w:t>For example, don't use italics for signal words but underlining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5"/>
        </w:rPr>
        <w:t>for</w:t>
      </w:r>
      <w:r>
        <w:rPr>
          <w:color w:val="3B383B"/>
          <w:spacing w:val="-20"/>
          <w:w w:val="115"/>
        </w:rPr>
        <w:t> </w:t>
      </w:r>
      <w:r>
        <w:rPr>
          <w:color w:val="3B383B"/>
          <w:w w:val="115"/>
        </w:rPr>
        <w:t>case</w:t>
      </w:r>
      <w:r>
        <w:rPr>
          <w:color w:val="3B383B"/>
          <w:spacing w:val="-20"/>
          <w:w w:val="115"/>
        </w:rPr>
        <w:t> </w:t>
      </w:r>
      <w:r>
        <w:rPr>
          <w:color w:val="3B383B"/>
          <w:w w:val="115"/>
        </w:rPr>
        <w:t>names:</w:t>
      </w:r>
    </w:p>
    <w:p>
      <w:pPr>
        <w:spacing w:before="143"/>
        <w:ind w:left="118" w:right="0" w:firstLine="0"/>
        <w:jc w:val="both"/>
        <w:rPr>
          <w:sz w:val="15"/>
        </w:rPr>
      </w:pPr>
      <w:r>
        <w:rPr>
          <w:rFonts w:ascii="Arial"/>
          <w:color w:val="4D4D4D"/>
          <w:w w:val="95"/>
          <w:sz w:val="24"/>
          <w:u w:val="thick" w:color="4D4D4D"/>
        </w:rPr>
        <w:t>_j,/</w:t>
      </w:r>
      <w:r>
        <w:rPr>
          <w:rFonts w:ascii="Arial"/>
          <w:color w:val="4D4D4D"/>
          <w:spacing w:val="-4"/>
          <w:w w:val="95"/>
          <w:sz w:val="24"/>
        </w:rPr>
        <w:t> </w:t>
      </w:r>
      <w:r>
        <w:rPr>
          <w:color w:val="4D4D4D"/>
          <w:w w:val="95"/>
          <w:sz w:val="15"/>
          <w:u w:val="thick" w:color="646467"/>
        </w:rPr>
        <w:t>S</w:t>
      </w:r>
      <w:r>
        <w:rPr>
          <w:color w:val="646467"/>
          <w:w w:val="95"/>
          <w:sz w:val="15"/>
          <w:u w:val="thick" w:color="646467"/>
        </w:rPr>
        <w:t>A</w:t>
      </w:r>
      <w:r>
        <w:rPr>
          <w:color w:val="4D4D4D"/>
          <w:w w:val="95"/>
          <w:sz w:val="15"/>
          <w:u w:val="thick" w:color="646467"/>
        </w:rPr>
        <w:t>D</w:t>
      </w:r>
      <w:r>
        <w:rPr>
          <w:color w:val="4D4D4D"/>
          <w:spacing w:val="25"/>
          <w:w w:val="95"/>
          <w:sz w:val="15"/>
          <w:u w:val="thick" w:color="646467"/>
        </w:rPr>
        <w:t> </w:t>
      </w:r>
      <w:r>
        <w:rPr>
          <w:color w:val="4D4D4D"/>
          <w:w w:val="95"/>
          <w:sz w:val="15"/>
          <w:u w:val="thick" w:color="646467"/>
        </w:rPr>
        <w:t>E</w:t>
      </w:r>
      <w:r>
        <w:rPr>
          <w:color w:val="646467"/>
          <w:w w:val="95"/>
          <w:sz w:val="15"/>
          <w:u w:val="thick" w:color="646467"/>
        </w:rPr>
        <w:t>XAMP</w:t>
      </w:r>
      <w:r>
        <w:rPr>
          <w:color w:val="4D4D4D"/>
          <w:w w:val="95"/>
          <w:sz w:val="15"/>
          <w:u w:val="thick" w:color="646467"/>
        </w:rPr>
        <w:t>L</w:t>
      </w:r>
      <w:r>
        <w:rPr>
          <w:color w:val="646467"/>
          <w:w w:val="95"/>
          <w:sz w:val="15"/>
          <w:u w:val="thick" w:color="646467"/>
        </w:rPr>
        <w:t>E</w:t>
      </w:r>
    </w:p>
    <w:p>
      <w:pPr>
        <w:spacing w:before="14"/>
        <w:ind w:left="460" w:right="0" w:firstLine="0"/>
        <w:jc w:val="left"/>
        <w:rPr>
          <w:sz w:val="21"/>
        </w:rPr>
      </w:pPr>
      <w:r>
        <w:rPr>
          <w:i/>
          <w:color w:val="3B383B"/>
          <w:w w:val="105"/>
          <w:sz w:val="21"/>
        </w:rPr>
        <w:t>See,</w:t>
      </w:r>
      <w:r>
        <w:rPr>
          <w:i/>
          <w:color w:val="3B383B"/>
          <w:spacing w:val="-32"/>
          <w:w w:val="105"/>
          <w:sz w:val="21"/>
        </w:rPr>
        <w:t> </w:t>
      </w:r>
      <w:r>
        <w:rPr>
          <w:i/>
          <w:color w:val="3B383B"/>
          <w:w w:val="105"/>
          <w:sz w:val="21"/>
        </w:rPr>
        <w:t>e.g.,</w:t>
      </w:r>
      <w:r>
        <w:rPr>
          <w:i/>
          <w:color w:val="3B383B"/>
          <w:spacing w:val="-15"/>
          <w:w w:val="105"/>
          <w:sz w:val="21"/>
        </w:rPr>
        <w:t> </w:t>
      </w:r>
      <w:r>
        <w:rPr>
          <w:color w:val="3B383B"/>
          <w:w w:val="105"/>
          <w:sz w:val="21"/>
          <w:u w:val="thick" w:color="3B383B"/>
        </w:rPr>
        <w:t>Minnesota</w:t>
      </w:r>
      <w:r>
        <w:rPr>
          <w:color w:val="3B383B"/>
          <w:spacing w:val="33"/>
          <w:w w:val="105"/>
          <w:sz w:val="21"/>
          <w:u w:val="thick" w:color="3B383B"/>
        </w:rPr>
        <w:t> </w:t>
      </w:r>
      <w:r>
        <w:rPr>
          <w:color w:val="3B383B"/>
          <w:w w:val="105"/>
          <w:sz w:val="21"/>
          <w:u w:val="thick" w:color="3B383B"/>
        </w:rPr>
        <w:t>v</w:t>
      </w:r>
      <w:r>
        <w:rPr>
          <w:color w:val="3B383B"/>
          <w:w w:val="105"/>
          <w:sz w:val="21"/>
        </w:rPr>
        <w:t>.</w:t>
      </w:r>
      <w:r>
        <w:rPr>
          <w:color w:val="3B383B"/>
          <w:spacing w:val="-8"/>
          <w:w w:val="105"/>
          <w:sz w:val="21"/>
        </w:rPr>
        <w:t> </w:t>
      </w:r>
      <w:r>
        <w:rPr>
          <w:color w:val="3B383B"/>
          <w:w w:val="105"/>
          <w:sz w:val="25"/>
          <w:u w:val="thick" w:color="3B383B"/>
        </w:rPr>
        <w:t>Carter</w:t>
      </w:r>
      <w:r>
        <w:rPr>
          <w:color w:val="3B383B"/>
          <w:w w:val="105"/>
          <w:sz w:val="25"/>
        </w:rPr>
        <w:t>.</w:t>
      </w:r>
      <w:r>
        <w:rPr>
          <w:color w:val="3B383B"/>
          <w:spacing w:val="-14"/>
          <w:w w:val="105"/>
          <w:sz w:val="25"/>
        </w:rPr>
        <w:t> </w:t>
      </w:r>
      <w:r>
        <w:rPr>
          <w:color w:val="3B383B"/>
          <w:w w:val="105"/>
          <w:sz w:val="21"/>
        </w:rPr>
        <w:t>525</w:t>
      </w:r>
      <w:r>
        <w:rPr>
          <w:color w:val="3B383B"/>
          <w:spacing w:val="25"/>
          <w:w w:val="105"/>
          <w:sz w:val="21"/>
        </w:rPr>
        <w:t> </w:t>
      </w:r>
      <w:r>
        <w:rPr>
          <w:color w:val="3B383B"/>
          <w:w w:val="105"/>
          <w:sz w:val="21"/>
        </w:rPr>
        <w:t>U.S.</w:t>
      </w:r>
      <w:r>
        <w:rPr>
          <w:color w:val="3B383B"/>
          <w:spacing w:val="-12"/>
          <w:w w:val="105"/>
          <w:sz w:val="21"/>
        </w:rPr>
        <w:t> </w:t>
      </w:r>
      <w:r>
        <w:rPr>
          <w:color w:val="3B383B"/>
          <w:w w:val="105"/>
          <w:sz w:val="21"/>
        </w:rPr>
        <w:t>83,</w:t>
      </w:r>
      <w:r>
        <w:rPr>
          <w:color w:val="3B383B"/>
          <w:spacing w:val="36"/>
          <w:w w:val="105"/>
          <w:sz w:val="21"/>
        </w:rPr>
        <w:t> </w:t>
      </w:r>
      <w:r>
        <w:rPr>
          <w:color w:val="3B383B"/>
          <w:w w:val="105"/>
          <w:sz w:val="21"/>
        </w:rPr>
        <w:t>89</w:t>
      </w:r>
      <w:r>
        <w:rPr>
          <w:color w:val="3B383B"/>
          <w:spacing w:val="38"/>
          <w:w w:val="105"/>
          <w:sz w:val="21"/>
        </w:rPr>
        <w:t> </w:t>
      </w:r>
      <w:r>
        <w:rPr>
          <w:color w:val="3B383B"/>
          <w:w w:val="105"/>
          <w:sz w:val="21"/>
        </w:rPr>
        <w:t>(1998).</w:t>
      </w:r>
    </w:p>
    <w:p>
      <w:pPr>
        <w:pStyle w:val="BodyText"/>
        <w:spacing w:before="10"/>
        <w:rPr>
          <w:sz w:val="21"/>
        </w:rPr>
      </w:pPr>
    </w:p>
    <w:p>
      <w:pPr>
        <w:spacing w:before="94"/>
        <w:ind w:left="125" w:right="0" w:firstLine="0"/>
        <w:jc w:val="left"/>
        <w:rPr>
          <w:sz w:val="15"/>
        </w:rPr>
      </w:pPr>
      <w:r>
        <w:rPr>
          <w:color w:val="4D4D4D"/>
          <w:w w:val="105"/>
          <w:sz w:val="15"/>
          <w:u w:val="thick" w:color="4D4D4D"/>
        </w:rPr>
        <w:t>_/\  </w:t>
      </w:r>
      <w:r>
        <w:rPr>
          <w:color w:val="4D4D4D"/>
          <w:w w:val="105"/>
          <w:sz w:val="15"/>
        </w:rPr>
        <w:t> </w:t>
      </w:r>
      <w:r>
        <w:rPr>
          <w:color w:val="4D4D4D"/>
          <w:spacing w:val="35"/>
          <w:w w:val="105"/>
          <w:sz w:val="15"/>
        </w:rPr>
        <w:t> </w:t>
      </w:r>
      <w:r>
        <w:rPr>
          <w:color w:val="4D4D4D"/>
          <w:sz w:val="15"/>
          <w:u w:val="thick" w:color="797B7E"/>
        </w:rPr>
        <w:t>GO</w:t>
      </w:r>
      <w:r>
        <w:rPr>
          <w:color w:val="646467"/>
          <w:sz w:val="15"/>
          <w:u w:val="thick" w:color="797B7E"/>
        </w:rPr>
        <w:t>OD</w:t>
      </w:r>
      <w:r>
        <w:rPr>
          <w:color w:val="646467"/>
          <w:spacing w:val="26"/>
          <w:sz w:val="15"/>
          <w:u w:val="thick" w:color="797B7E"/>
        </w:rPr>
        <w:t> </w:t>
      </w:r>
      <w:r>
        <w:rPr>
          <w:color w:val="797B7E"/>
          <w:sz w:val="15"/>
          <w:u w:val="thick" w:color="797B7E"/>
        </w:rPr>
        <w:t>EXAMPLES</w:t>
      </w:r>
    </w:p>
    <w:p>
      <w:pPr>
        <w:spacing w:before="15"/>
        <w:ind w:left="455" w:right="0" w:firstLine="0"/>
        <w:jc w:val="left"/>
        <w:rPr>
          <w:sz w:val="21"/>
        </w:rPr>
      </w:pPr>
      <w:r>
        <w:rPr>
          <w:color w:val="3B383B"/>
          <w:w w:val="95"/>
          <w:sz w:val="25"/>
          <w:u w:val="thick" w:color="3B383B"/>
        </w:rPr>
        <w:t>See</w:t>
      </w:r>
      <w:r>
        <w:rPr>
          <w:color w:val="3B383B"/>
          <w:w w:val="95"/>
          <w:sz w:val="25"/>
        </w:rPr>
        <w:t>, </w:t>
      </w:r>
      <w:r>
        <w:rPr>
          <w:rFonts w:ascii="Arial"/>
          <w:b/>
          <w:color w:val="3B383B"/>
          <w:w w:val="95"/>
          <w:sz w:val="19"/>
          <w:u w:val="thick" w:color="3B383B"/>
        </w:rPr>
        <w:t>e.g</w:t>
      </w:r>
      <w:r>
        <w:rPr>
          <w:rFonts w:ascii="Arial"/>
          <w:b/>
          <w:color w:val="3B383B"/>
          <w:spacing w:val="-4"/>
          <w:w w:val="95"/>
          <w:sz w:val="19"/>
          <w:u w:val="thick" w:color="3B383B"/>
        </w:rPr>
        <w:t> </w:t>
      </w:r>
      <w:r>
        <w:rPr>
          <w:rFonts w:ascii="Arial"/>
          <w:b/>
          <w:color w:val="3B383B"/>
          <w:w w:val="95"/>
          <w:sz w:val="19"/>
          <w:u w:val="thick" w:color="3B383B"/>
        </w:rPr>
        <w:t>..</w:t>
      </w:r>
      <w:r>
        <w:rPr>
          <w:rFonts w:ascii="Arial"/>
          <w:b/>
          <w:color w:val="3B383B"/>
          <w:spacing w:val="45"/>
          <w:w w:val="95"/>
          <w:sz w:val="19"/>
        </w:rPr>
        <w:t> </w:t>
      </w:r>
      <w:r>
        <w:rPr>
          <w:color w:val="3B383B"/>
          <w:w w:val="95"/>
          <w:sz w:val="25"/>
          <w:u w:val="thick" w:color="3B383B"/>
        </w:rPr>
        <w:t>Minnesota</w:t>
      </w:r>
      <w:r>
        <w:rPr>
          <w:color w:val="3B383B"/>
          <w:spacing w:val="11"/>
          <w:w w:val="95"/>
          <w:sz w:val="25"/>
          <w:u w:val="thick" w:color="3B383B"/>
        </w:rPr>
        <w:t> </w:t>
      </w:r>
      <w:r>
        <w:rPr>
          <w:color w:val="3B383B"/>
          <w:w w:val="95"/>
          <w:sz w:val="21"/>
          <w:u w:val="thick" w:color="3B383B"/>
        </w:rPr>
        <w:t>v.</w:t>
      </w:r>
      <w:r>
        <w:rPr>
          <w:color w:val="3B383B"/>
          <w:spacing w:val="17"/>
          <w:w w:val="95"/>
          <w:sz w:val="21"/>
          <w:u w:val="thick" w:color="3B383B"/>
        </w:rPr>
        <w:t> </w:t>
      </w:r>
      <w:r>
        <w:rPr>
          <w:color w:val="3B383B"/>
          <w:w w:val="95"/>
          <w:sz w:val="25"/>
          <w:u w:val="thick" w:color="3B383B"/>
        </w:rPr>
        <w:t>Carter.</w:t>
      </w:r>
      <w:r>
        <w:rPr>
          <w:color w:val="3B383B"/>
          <w:spacing w:val="6"/>
          <w:w w:val="95"/>
          <w:sz w:val="25"/>
        </w:rPr>
        <w:t> </w:t>
      </w:r>
      <w:r>
        <w:rPr>
          <w:color w:val="3B383B"/>
          <w:w w:val="95"/>
          <w:sz w:val="21"/>
        </w:rPr>
        <w:t>525</w:t>
      </w:r>
      <w:r>
        <w:rPr>
          <w:color w:val="3B383B"/>
          <w:spacing w:val="32"/>
          <w:w w:val="95"/>
          <w:sz w:val="21"/>
        </w:rPr>
        <w:t> </w:t>
      </w:r>
      <w:r>
        <w:rPr>
          <w:color w:val="3B383B"/>
          <w:w w:val="95"/>
          <w:sz w:val="25"/>
        </w:rPr>
        <w:t>u</w:t>
      </w:r>
      <w:r>
        <w:rPr>
          <w:color w:val="3B383B"/>
          <w:w w:val="95"/>
          <w:sz w:val="29"/>
        </w:rPr>
        <w:t>.s.</w:t>
      </w:r>
      <w:r>
        <w:rPr>
          <w:color w:val="3B383B"/>
          <w:spacing w:val="-33"/>
          <w:w w:val="95"/>
          <w:sz w:val="29"/>
        </w:rPr>
        <w:t> </w:t>
      </w:r>
      <w:r>
        <w:rPr>
          <w:color w:val="3B383B"/>
          <w:w w:val="95"/>
          <w:sz w:val="21"/>
        </w:rPr>
        <w:t>83,</w:t>
      </w:r>
      <w:r>
        <w:rPr>
          <w:color w:val="3B383B"/>
          <w:spacing w:val="69"/>
          <w:sz w:val="21"/>
        </w:rPr>
        <w:t> </w:t>
      </w:r>
      <w:r>
        <w:rPr>
          <w:color w:val="3B383B"/>
          <w:w w:val="95"/>
          <w:sz w:val="21"/>
        </w:rPr>
        <w:t>89</w:t>
      </w:r>
      <w:r>
        <w:rPr>
          <w:color w:val="3B383B"/>
          <w:spacing w:val="64"/>
          <w:sz w:val="21"/>
        </w:rPr>
        <w:t> </w:t>
      </w:r>
      <w:r>
        <w:rPr>
          <w:color w:val="3B383B"/>
          <w:w w:val="95"/>
          <w:sz w:val="21"/>
        </w:rPr>
        <w:t>(1998).</w:t>
      </w:r>
    </w:p>
    <w:p>
      <w:pPr>
        <w:spacing w:before="107"/>
        <w:ind w:left="476" w:right="0" w:firstLine="0"/>
        <w:jc w:val="left"/>
        <w:rPr>
          <w:b/>
          <w:sz w:val="20"/>
        </w:rPr>
      </w:pPr>
      <w:r>
        <w:rPr>
          <w:b/>
          <w:i/>
          <w:color w:val="2B2A2A"/>
          <w:w w:val="110"/>
          <w:sz w:val="21"/>
        </w:rPr>
        <w:t>See,</w:t>
      </w:r>
      <w:r>
        <w:rPr>
          <w:b/>
          <w:i/>
          <w:color w:val="2B2A2A"/>
          <w:spacing w:val="-8"/>
          <w:w w:val="110"/>
          <w:sz w:val="21"/>
        </w:rPr>
        <w:t> </w:t>
      </w:r>
      <w:r>
        <w:rPr>
          <w:b/>
          <w:i/>
          <w:color w:val="3B383B"/>
          <w:w w:val="110"/>
          <w:sz w:val="21"/>
        </w:rPr>
        <w:t>e.g.,</w:t>
      </w:r>
      <w:r>
        <w:rPr>
          <w:b/>
          <w:i/>
          <w:color w:val="3B383B"/>
          <w:spacing w:val="-5"/>
          <w:w w:val="110"/>
          <w:sz w:val="21"/>
        </w:rPr>
        <w:t> </w:t>
      </w:r>
      <w:r>
        <w:rPr>
          <w:b/>
          <w:i/>
          <w:color w:val="3B383B"/>
          <w:w w:val="110"/>
          <w:sz w:val="21"/>
        </w:rPr>
        <w:t>Minnesota</w:t>
      </w:r>
      <w:r>
        <w:rPr>
          <w:b/>
          <w:i/>
          <w:color w:val="3B383B"/>
          <w:spacing w:val="-4"/>
          <w:w w:val="110"/>
          <w:sz w:val="21"/>
        </w:rPr>
        <w:t> </w:t>
      </w:r>
      <w:r>
        <w:rPr>
          <w:b/>
          <w:i/>
          <w:color w:val="3B383B"/>
          <w:w w:val="110"/>
          <w:sz w:val="21"/>
        </w:rPr>
        <w:t>v.</w:t>
      </w:r>
      <w:r>
        <w:rPr>
          <w:b/>
          <w:i/>
          <w:color w:val="3B383B"/>
          <w:spacing w:val="-13"/>
          <w:w w:val="110"/>
          <w:sz w:val="21"/>
        </w:rPr>
        <w:t> </w:t>
      </w:r>
      <w:r>
        <w:rPr>
          <w:b/>
          <w:i/>
          <w:color w:val="3B383B"/>
          <w:w w:val="110"/>
          <w:sz w:val="21"/>
        </w:rPr>
        <w:t>Carter,</w:t>
      </w:r>
      <w:r>
        <w:rPr>
          <w:b/>
          <w:i/>
          <w:color w:val="3B383B"/>
          <w:spacing w:val="-5"/>
          <w:w w:val="110"/>
          <w:sz w:val="21"/>
        </w:rPr>
        <w:t> </w:t>
      </w:r>
      <w:r>
        <w:rPr>
          <w:b/>
          <w:color w:val="3B383B"/>
          <w:w w:val="110"/>
          <w:sz w:val="20"/>
        </w:rPr>
        <w:t>525</w:t>
      </w:r>
      <w:r>
        <w:rPr>
          <w:b/>
          <w:color w:val="3B383B"/>
          <w:spacing w:val="8"/>
          <w:w w:val="110"/>
          <w:sz w:val="20"/>
        </w:rPr>
        <w:t> </w:t>
      </w:r>
      <w:r>
        <w:rPr>
          <w:b/>
          <w:color w:val="3B383B"/>
          <w:w w:val="110"/>
          <w:sz w:val="20"/>
        </w:rPr>
        <w:t>U.S.</w:t>
      </w:r>
      <w:r>
        <w:rPr>
          <w:b/>
          <w:color w:val="3B383B"/>
          <w:spacing w:val="-9"/>
          <w:w w:val="110"/>
          <w:sz w:val="20"/>
        </w:rPr>
        <w:t> </w:t>
      </w:r>
      <w:r>
        <w:rPr>
          <w:b/>
          <w:color w:val="3B383B"/>
          <w:w w:val="110"/>
          <w:sz w:val="20"/>
        </w:rPr>
        <w:t>83,</w:t>
      </w:r>
      <w:r>
        <w:rPr>
          <w:b/>
          <w:color w:val="3B383B"/>
          <w:spacing w:val="21"/>
          <w:w w:val="110"/>
          <w:sz w:val="20"/>
        </w:rPr>
        <w:t> </w:t>
      </w:r>
      <w:r>
        <w:rPr>
          <w:b/>
          <w:color w:val="3B383B"/>
          <w:w w:val="110"/>
          <w:sz w:val="20"/>
        </w:rPr>
        <w:t>89</w:t>
      </w:r>
      <w:r>
        <w:rPr>
          <w:b/>
          <w:color w:val="3B383B"/>
          <w:spacing w:val="27"/>
          <w:w w:val="110"/>
          <w:sz w:val="20"/>
        </w:rPr>
        <w:t> </w:t>
      </w:r>
      <w:r>
        <w:rPr>
          <w:b/>
          <w:color w:val="3B383B"/>
          <w:w w:val="110"/>
          <w:sz w:val="20"/>
        </w:rPr>
        <w:t>(1998).</w:t>
      </w:r>
    </w:p>
    <w:p>
      <w:pPr>
        <w:pStyle w:val="BodyText"/>
        <w:spacing w:line="232" w:lineRule="auto" w:before="151"/>
        <w:ind w:left="144" w:right="358" w:firstLine="328"/>
        <w:jc w:val="both"/>
      </w:pPr>
      <w:r>
        <w:rPr>
          <w:color w:val="3B383B"/>
          <w:w w:val="110"/>
        </w:rPr>
        <w:t>On the other  hand, you may decide to  use underlining  for citations,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but to use italics and boldfaced type as needed for emphasis (use bold for</w:t>
      </w:r>
      <w:r>
        <w:rPr>
          <w:color w:val="3B383B"/>
          <w:spacing w:val="1"/>
          <w:w w:val="110"/>
        </w:rPr>
        <w:t> </w:t>
      </w:r>
      <w:r>
        <w:rPr>
          <w:color w:val="3B383B"/>
          <w:spacing w:val="-1"/>
          <w:w w:val="110"/>
        </w:rPr>
        <w:t>emphasis very rarely). This </w:t>
      </w:r>
      <w:r>
        <w:rPr>
          <w:color w:val="3B383B"/>
          <w:w w:val="110"/>
        </w:rPr>
        <w:t>suggestion is </w:t>
      </w:r>
      <w:r>
        <w:rPr>
          <w:color w:val="4D4D4D"/>
          <w:w w:val="110"/>
        </w:rPr>
        <w:t>somewhat </w:t>
      </w:r>
      <w:r>
        <w:rPr>
          <w:color w:val="3B383B"/>
          <w:w w:val="110"/>
        </w:rPr>
        <w:t>radical; many readers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expect a document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to contain underlined  words or  italicized words, but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not both. I believe, however, that this expectation is a mistaken carryover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from 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rule that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underlining  or  italics should  be  </w:t>
      </w:r>
      <w:r>
        <w:rPr>
          <w:color w:val="2B2A2A"/>
          <w:w w:val="110"/>
        </w:rPr>
        <w:t>used  </w:t>
      </w:r>
      <w:r>
        <w:rPr>
          <w:color w:val="3B383B"/>
          <w:w w:val="110"/>
        </w:rPr>
        <w:t>consistently in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all </w:t>
      </w:r>
      <w:r>
        <w:rPr>
          <w:i/>
          <w:color w:val="3B383B"/>
          <w:w w:val="110"/>
        </w:rPr>
        <w:t>citations. </w:t>
      </w:r>
      <w:r>
        <w:rPr>
          <w:color w:val="3B383B"/>
          <w:w w:val="110"/>
        </w:rPr>
        <w:t>As a practical matter, you should use the </w:t>
      </w:r>
      <w:r>
        <w:rPr>
          <w:color w:val="2B2A2A"/>
          <w:w w:val="110"/>
        </w:rPr>
        <w:t>graphic </w:t>
      </w:r>
      <w:r>
        <w:rPr>
          <w:color w:val="3B383B"/>
          <w:w w:val="110"/>
        </w:rPr>
        <w:t>technique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that will help the reader understand your point with minimal distraction.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Boldfaced type and underlining provide the strongest emphasis; you will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distract your reader if you</w:t>
      </w:r>
      <w:r>
        <w:rPr>
          <w:color w:val="3B383B"/>
          <w:spacing w:val="1"/>
          <w:w w:val="110"/>
        </w:rPr>
        <w:t> </w:t>
      </w:r>
      <w:r>
        <w:rPr>
          <w:color w:val="2B2A2A"/>
          <w:w w:val="110"/>
        </w:rPr>
        <w:t>use </w:t>
      </w:r>
      <w:r>
        <w:rPr>
          <w:color w:val="3B383B"/>
          <w:w w:val="110"/>
        </w:rPr>
        <w:t>these methods to emphasize words that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should receive only slight emphasis. Of course, as with many writing </w:t>
      </w:r>
      <w:r>
        <w:rPr>
          <w:color w:val="2B2A2A"/>
          <w:w w:val="110"/>
        </w:rPr>
        <w:t>t</w:t>
      </w:r>
      <w:r>
        <w:rPr>
          <w:color w:val="4D4D4D"/>
          <w:w w:val="110"/>
        </w:rPr>
        <w:t>ech</w:t>
      </w:r>
      <w:r>
        <w:rPr>
          <w:color w:val="2B2A2A"/>
          <w:w w:val="110"/>
        </w:rPr>
        <w:t>­</w:t>
      </w:r>
      <w:r>
        <w:rPr>
          <w:color w:val="2B2A2A"/>
          <w:spacing w:val="-61"/>
          <w:w w:val="110"/>
        </w:rPr>
        <w:t> </w:t>
      </w:r>
      <w:r>
        <w:rPr>
          <w:color w:val="3B383B"/>
          <w:w w:val="110"/>
        </w:rPr>
        <w:t>niques, </w:t>
      </w:r>
      <w:r>
        <w:rPr>
          <w:color w:val="2B2A2A"/>
          <w:w w:val="110"/>
        </w:rPr>
        <w:t>too</w:t>
      </w:r>
      <w:r>
        <w:rPr>
          <w:color w:val="2B2A2A"/>
          <w:spacing w:val="1"/>
          <w:w w:val="110"/>
        </w:rPr>
        <w:t> </w:t>
      </w:r>
      <w:r>
        <w:rPr>
          <w:color w:val="3B383B"/>
          <w:w w:val="110"/>
        </w:rPr>
        <w:t>little is better than too much. If you  emphasize too many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words, even with the </w:t>
      </w:r>
      <w:r>
        <w:rPr>
          <w:color w:val="4D4D4D"/>
          <w:w w:val="110"/>
        </w:rPr>
        <w:t>subtle emphasis </w:t>
      </w:r>
      <w:r>
        <w:rPr>
          <w:color w:val="3B383B"/>
          <w:w w:val="110"/>
        </w:rPr>
        <w:t>of italics, you will distract or annoy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your reader and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lose 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benefit of 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emphasis. Furthermore, studies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show </w:t>
      </w:r>
      <w:r>
        <w:rPr>
          <w:color w:val="2B2A2A"/>
          <w:w w:val="110"/>
        </w:rPr>
        <w:t>that </w:t>
      </w:r>
      <w:r>
        <w:rPr>
          <w:color w:val="3B383B"/>
          <w:w w:val="110"/>
        </w:rPr>
        <w:t>underlining and italics each slow the reader's speed slightly.</w:t>
      </w:r>
      <w:r>
        <w:rPr>
          <w:rFonts w:ascii="Arial" w:hAnsi="Arial"/>
          <w:color w:val="3B383B"/>
          <w:w w:val="110"/>
          <w:position w:val="8"/>
          <w:sz w:val="12"/>
        </w:rPr>
        <w:t>23</w:t>
      </w:r>
      <w:r>
        <w:rPr>
          <w:rFonts w:ascii="Arial" w:hAnsi="Arial"/>
          <w:color w:val="3B383B"/>
          <w:spacing w:val="1"/>
          <w:w w:val="110"/>
          <w:position w:val="8"/>
          <w:sz w:val="12"/>
        </w:rPr>
        <w:t> </w:t>
      </w:r>
      <w:r>
        <w:rPr>
          <w:color w:val="3B383B"/>
          <w:w w:val="110"/>
        </w:rPr>
        <w:t>If</w:t>
      </w:r>
      <w:r>
        <w:rPr>
          <w:color w:val="3B383B"/>
          <w:spacing w:val="1"/>
          <w:w w:val="110"/>
        </w:rPr>
        <w:t> </w:t>
      </w:r>
      <w:r>
        <w:rPr>
          <w:color w:val="4D4D4D"/>
          <w:w w:val="110"/>
        </w:rPr>
        <w:t>yo</w:t>
      </w:r>
      <w:r>
        <w:rPr>
          <w:color w:val="2B2A2A"/>
          <w:w w:val="110"/>
        </w:rPr>
        <w:t>u </w:t>
      </w:r>
      <w:r>
        <w:rPr>
          <w:color w:val="3B383B"/>
          <w:w w:val="110"/>
        </w:rPr>
        <w:t>emphasize only a few words or  perhaps a line of  text here and  there,</w:t>
      </w:r>
      <w:r>
        <w:rPr>
          <w:color w:val="3B383B"/>
          <w:spacing w:val="-61"/>
          <w:w w:val="110"/>
        </w:rPr>
        <w:t> </w:t>
      </w:r>
      <w:r>
        <w:rPr>
          <w:color w:val="3B383B"/>
          <w:w w:val="110"/>
        </w:rPr>
        <w:t>a minor slowdown will </w:t>
      </w:r>
      <w:r>
        <w:rPr>
          <w:color w:val="2B2A2A"/>
          <w:w w:val="110"/>
        </w:rPr>
        <w:t>not </w:t>
      </w:r>
      <w:r>
        <w:rPr>
          <w:color w:val="3B383B"/>
          <w:w w:val="110"/>
        </w:rPr>
        <w:t>be a </w:t>
      </w:r>
      <w:r>
        <w:rPr>
          <w:color w:val="2B2A2A"/>
          <w:w w:val="110"/>
        </w:rPr>
        <w:t>problem</w:t>
      </w:r>
      <w:r>
        <w:rPr>
          <w:color w:val="4D4D4D"/>
          <w:w w:val="110"/>
        </w:rPr>
        <w:t>. </w:t>
      </w:r>
      <w:r>
        <w:rPr>
          <w:color w:val="3B383B"/>
          <w:w w:val="110"/>
        </w:rPr>
        <w:t>Too</w:t>
      </w:r>
      <w:r>
        <w:rPr>
          <w:color w:val="646467"/>
          <w:w w:val="110"/>
        </w:rPr>
        <w:t>-</w:t>
      </w:r>
      <w:r>
        <w:rPr>
          <w:color w:val="3B383B"/>
          <w:w w:val="110"/>
        </w:rPr>
        <w:t>frequent use of emphatic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techniques,</w:t>
      </w:r>
      <w:r>
        <w:rPr>
          <w:color w:val="3B383B"/>
          <w:spacing w:val="24"/>
          <w:w w:val="110"/>
        </w:rPr>
        <w:t> </w:t>
      </w:r>
      <w:r>
        <w:rPr>
          <w:color w:val="3B383B"/>
          <w:w w:val="110"/>
        </w:rPr>
        <w:t>however,</w:t>
      </w:r>
      <w:r>
        <w:rPr>
          <w:color w:val="3B383B"/>
          <w:spacing w:val="-9"/>
          <w:w w:val="110"/>
        </w:rPr>
        <w:t> </w:t>
      </w:r>
      <w:r>
        <w:rPr>
          <w:color w:val="3B383B"/>
          <w:w w:val="110"/>
        </w:rPr>
        <w:t>can</w:t>
      </w:r>
      <w:r>
        <w:rPr>
          <w:color w:val="3B383B"/>
          <w:spacing w:val="20"/>
          <w:w w:val="110"/>
        </w:rPr>
        <w:t> </w:t>
      </w:r>
      <w:r>
        <w:rPr>
          <w:color w:val="3B383B"/>
          <w:w w:val="110"/>
        </w:rPr>
        <w:t>slow</w:t>
      </w:r>
      <w:r>
        <w:rPr>
          <w:color w:val="3B383B"/>
          <w:spacing w:val="-5"/>
          <w:w w:val="110"/>
        </w:rPr>
        <w:t> </w:t>
      </w:r>
      <w:r>
        <w:rPr>
          <w:color w:val="3B383B"/>
          <w:w w:val="110"/>
        </w:rPr>
        <w:t>the</w:t>
      </w:r>
      <w:r>
        <w:rPr>
          <w:color w:val="3B383B"/>
          <w:spacing w:val="26"/>
          <w:w w:val="110"/>
        </w:rPr>
        <w:t> </w:t>
      </w:r>
      <w:r>
        <w:rPr>
          <w:color w:val="3B383B"/>
          <w:w w:val="110"/>
        </w:rPr>
        <w:t>reader's</w:t>
      </w:r>
      <w:r>
        <w:rPr>
          <w:color w:val="3B383B"/>
          <w:spacing w:val="-3"/>
          <w:w w:val="110"/>
        </w:rPr>
        <w:t> </w:t>
      </w:r>
      <w:r>
        <w:rPr>
          <w:color w:val="3B383B"/>
          <w:w w:val="110"/>
        </w:rPr>
        <w:t>progress</w:t>
      </w:r>
      <w:r>
        <w:rPr>
          <w:color w:val="3B383B"/>
          <w:spacing w:val="8"/>
          <w:w w:val="110"/>
        </w:rPr>
        <w:t> </w:t>
      </w:r>
      <w:r>
        <w:rPr>
          <w:color w:val="3B383B"/>
          <w:w w:val="110"/>
        </w:rPr>
        <w:t>too</w:t>
      </w:r>
      <w:r>
        <w:rPr>
          <w:color w:val="3B383B"/>
          <w:spacing w:val="27"/>
          <w:w w:val="110"/>
        </w:rPr>
        <w:t> </w:t>
      </w:r>
      <w:r>
        <w:rPr>
          <w:color w:val="3B383B"/>
          <w:w w:val="110"/>
        </w:rPr>
        <w:t>much.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9"/>
        </w:rPr>
      </w:pPr>
    </w:p>
    <w:p>
      <w:pPr>
        <w:spacing w:line="230" w:lineRule="auto" w:before="1"/>
        <w:ind w:left="166" w:right="294" w:firstLine="349"/>
        <w:jc w:val="both"/>
        <w:rPr>
          <w:sz w:val="18"/>
        </w:rPr>
      </w:pPr>
      <w:r>
        <w:rPr>
          <w:color w:val="4D4D4D"/>
          <w:w w:val="110"/>
          <w:sz w:val="18"/>
        </w:rPr>
        <w:t>zz</w:t>
      </w:r>
      <w:r>
        <w:rPr>
          <w:color w:val="3B383B"/>
          <w:w w:val="110"/>
          <w:sz w:val="18"/>
        </w:rPr>
        <w:t>As noted In Chapters Nine and Ten, too much underlined text can Interfere With reader</w:t>
      </w:r>
      <w:r>
        <w:rPr>
          <w:color w:val="3B383B"/>
          <w:spacing w:val="1"/>
          <w:w w:val="110"/>
          <w:sz w:val="18"/>
        </w:rPr>
        <w:t> </w:t>
      </w:r>
      <w:r>
        <w:rPr>
          <w:color w:val="3B383B"/>
          <w:w w:val="110"/>
          <w:sz w:val="18"/>
        </w:rPr>
        <w:t>comprehension; thus, </w:t>
      </w:r>
      <w:r>
        <w:rPr>
          <w:color w:val="2B2A2A"/>
          <w:w w:val="110"/>
          <w:sz w:val="18"/>
        </w:rPr>
        <w:t>underli</w:t>
      </w:r>
      <w:r>
        <w:rPr>
          <w:color w:val="4D4D4D"/>
          <w:w w:val="110"/>
          <w:sz w:val="18"/>
        </w:rPr>
        <w:t>ning </w:t>
      </w:r>
      <w:r>
        <w:rPr>
          <w:color w:val="3B383B"/>
          <w:w w:val="110"/>
          <w:sz w:val="18"/>
        </w:rPr>
        <w:t>should </w:t>
      </w:r>
      <w:r>
        <w:rPr>
          <w:color w:val="4D4D4D"/>
          <w:w w:val="110"/>
          <w:sz w:val="18"/>
        </w:rPr>
        <w:t>not </w:t>
      </w:r>
      <w:r>
        <w:rPr>
          <w:rFonts w:ascii="Arial" w:hAnsi="Arial"/>
          <w:color w:val="3B383B"/>
          <w:w w:val="110"/>
          <w:sz w:val="17"/>
        </w:rPr>
        <w:t>be </w:t>
      </w:r>
      <w:r>
        <w:rPr>
          <w:color w:val="3B383B"/>
          <w:w w:val="110"/>
          <w:sz w:val="18"/>
        </w:rPr>
        <w:t>used for headings, </w:t>
      </w:r>
      <w:r>
        <w:rPr>
          <w:color w:val="2B2A2A"/>
          <w:w w:val="110"/>
          <w:sz w:val="18"/>
        </w:rPr>
        <w:t>for </w:t>
      </w:r>
      <w:r>
        <w:rPr>
          <w:color w:val="3B383B"/>
          <w:w w:val="110"/>
          <w:sz w:val="18"/>
        </w:rPr>
        <w:t>example. However. </w:t>
      </w:r>
      <w:r>
        <w:rPr>
          <w:color w:val="2B2A2A"/>
          <w:w w:val="110"/>
          <w:sz w:val="18"/>
        </w:rPr>
        <w:t>I</w:t>
      </w:r>
      <w:r>
        <w:rPr>
          <w:color w:val="2B2A2A"/>
          <w:spacing w:val="1"/>
          <w:w w:val="110"/>
          <w:sz w:val="18"/>
        </w:rPr>
        <w:t> </w:t>
      </w:r>
      <w:r>
        <w:rPr>
          <w:color w:val="3B383B"/>
          <w:w w:val="110"/>
          <w:sz w:val="18"/>
        </w:rPr>
        <w:t>believe that It </w:t>
      </w:r>
      <w:r>
        <w:rPr>
          <w:color w:val="4D4D4D"/>
          <w:w w:val="110"/>
          <w:sz w:val="18"/>
        </w:rPr>
        <w:t>can </w:t>
      </w:r>
      <w:r>
        <w:rPr>
          <w:color w:val="3B383B"/>
          <w:w w:val="110"/>
          <w:sz w:val="18"/>
        </w:rPr>
        <w:t>be used effectively </w:t>
      </w:r>
      <w:r>
        <w:rPr>
          <w:color w:val="2B2A2A"/>
          <w:w w:val="110"/>
          <w:sz w:val="18"/>
        </w:rPr>
        <w:t>for </w:t>
      </w:r>
      <w:r>
        <w:rPr>
          <w:color w:val="4D4D4D"/>
          <w:w w:val="110"/>
          <w:sz w:val="18"/>
        </w:rPr>
        <w:t>citations because the </w:t>
      </w:r>
      <w:r>
        <w:rPr>
          <w:color w:val="3B383B"/>
          <w:w w:val="110"/>
          <w:sz w:val="18"/>
        </w:rPr>
        <w:t>underlined information In cita­</w:t>
      </w:r>
      <w:r>
        <w:rPr>
          <w:color w:val="3B383B"/>
          <w:spacing w:val="1"/>
          <w:w w:val="110"/>
          <w:sz w:val="18"/>
        </w:rPr>
        <w:t> </w:t>
      </w:r>
      <w:r>
        <w:rPr>
          <w:color w:val="3B383B"/>
          <w:w w:val="110"/>
          <w:sz w:val="18"/>
        </w:rPr>
        <w:t>tions</w:t>
      </w:r>
      <w:r>
        <w:rPr>
          <w:color w:val="3B383B"/>
          <w:spacing w:val="-17"/>
          <w:w w:val="110"/>
          <w:sz w:val="18"/>
        </w:rPr>
        <w:t> </w:t>
      </w:r>
      <w:r>
        <w:rPr>
          <w:color w:val="2B2A2A"/>
          <w:w w:val="110"/>
          <w:sz w:val="18"/>
        </w:rPr>
        <w:t>Is</w:t>
      </w:r>
      <w:r>
        <w:rPr>
          <w:color w:val="2B2A2A"/>
          <w:spacing w:val="-18"/>
          <w:w w:val="110"/>
          <w:sz w:val="18"/>
        </w:rPr>
        <w:t> </w:t>
      </w:r>
      <w:r>
        <w:rPr>
          <w:color w:val="2B2A2A"/>
          <w:w w:val="110"/>
          <w:sz w:val="18"/>
        </w:rPr>
        <w:t>rarely</w:t>
      </w:r>
      <w:r>
        <w:rPr>
          <w:color w:val="2B2A2A"/>
          <w:spacing w:val="3"/>
          <w:w w:val="110"/>
          <w:sz w:val="18"/>
        </w:rPr>
        <w:t> </w:t>
      </w:r>
      <w:r>
        <w:rPr>
          <w:color w:val="3B383B"/>
          <w:w w:val="110"/>
          <w:sz w:val="18"/>
        </w:rPr>
        <w:t>more</w:t>
      </w:r>
      <w:r>
        <w:rPr>
          <w:color w:val="3B383B"/>
          <w:spacing w:val="-2"/>
          <w:w w:val="110"/>
          <w:sz w:val="18"/>
        </w:rPr>
        <w:t> </w:t>
      </w:r>
      <w:r>
        <w:rPr>
          <w:color w:val="3B383B"/>
          <w:w w:val="110"/>
          <w:sz w:val="18"/>
        </w:rPr>
        <w:t>than</w:t>
      </w:r>
      <w:r>
        <w:rPr>
          <w:color w:val="3B383B"/>
          <w:spacing w:val="-12"/>
          <w:w w:val="110"/>
          <w:sz w:val="18"/>
        </w:rPr>
        <w:t> </w:t>
      </w:r>
      <w:r>
        <w:rPr>
          <w:color w:val="3B383B"/>
          <w:w w:val="110"/>
          <w:sz w:val="18"/>
        </w:rPr>
        <w:t>a</w:t>
      </w:r>
      <w:r>
        <w:rPr>
          <w:color w:val="3B383B"/>
          <w:spacing w:val="-12"/>
          <w:w w:val="110"/>
          <w:sz w:val="18"/>
        </w:rPr>
        <w:t> </w:t>
      </w:r>
      <w:r>
        <w:rPr>
          <w:color w:val="3B383B"/>
          <w:w w:val="110"/>
          <w:sz w:val="18"/>
        </w:rPr>
        <w:t>few</w:t>
      </w:r>
      <w:r>
        <w:rPr>
          <w:color w:val="3B383B"/>
          <w:spacing w:val="-19"/>
          <w:w w:val="110"/>
          <w:sz w:val="18"/>
        </w:rPr>
        <w:t> </w:t>
      </w:r>
      <w:r>
        <w:rPr>
          <w:color w:val="3B383B"/>
          <w:w w:val="110"/>
          <w:sz w:val="18"/>
        </w:rPr>
        <w:t>words.</w:t>
      </w:r>
    </w:p>
    <w:p>
      <w:pPr>
        <w:spacing w:line="232" w:lineRule="auto" w:before="0"/>
        <w:ind w:left="180" w:right="275" w:firstLine="339"/>
        <w:jc w:val="both"/>
        <w:rPr>
          <w:sz w:val="18"/>
        </w:rPr>
      </w:pPr>
      <w:r>
        <w:rPr>
          <w:color w:val="4D4D4D"/>
          <w:w w:val="105"/>
          <w:sz w:val="18"/>
        </w:rPr>
        <w:t>u</w:t>
      </w:r>
      <w:r>
        <w:rPr>
          <w:color w:val="4D4D4D"/>
          <w:spacing w:val="-17"/>
          <w:w w:val="105"/>
          <w:sz w:val="18"/>
        </w:rPr>
        <w:t> </w:t>
      </w:r>
      <w:r>
        <w:rPr>
          <w:rFonts w:ascii="Arial" w:hAnsi="Arial"/>
          <w:i/>
          <w:color w:val="3B383B"/>
          <w:w w:val="105"/>
          <w:sz w:val="16"/>
        </w:rPr>
        <w:t>E.g.,</w:t>
      </w:r>
      <w:r>
        <w:rPr>
          <w:rFonts w:ascii="Arial" w:hAnsi="Arial"/>
          <w:i/>
          <w:color w:val="3B383B"/>
          <w:spacing w:val="-13"/>
          <w:w w:val="105"/>
          <w:sz w:val="16"/>
        </w:rPr>
        <w:t> </w:t>
      </w:r>
      <w:r>
        <w:rPr>
          <w:color w:val="3B383B"/>
          <w:w w:val="105"/>
          <w:sz w:val="18"/>
        </w:rPr>
        <w:t>Ruth</w:t>
      </w:r>
      <w:r>
        <w:rPr>
          <w:color w:val="3B383B"/>
          <w:spacing w:val="7"/>
          <w:w w:val="105"/>
          <w:sz w:val="18"/>
        </w:rPr>
        <w:t> </w:t>
      </w:r>
      <w:r>
        <w:rPr>
          <w:color w:val="3B383B"/>
          <w:w w:val="105"/>
          <w:sz w:val="18"/>
        </w:rPr>
        <w:t>Anne</w:t>
      </w:r>
      <w:r>
        <w:rPr>
          <w:color w:val="3B383B"/>
          <w:spacing w:val="-8"/>
          <w:w w:val="105"/>
          <w:sz w:val="18"/>
        </w:rPr>
        <w:t> </w:t>
      </w:r>
      <w:r>
        <w:rPr>
          <w:color w:val="3B383B"/>
          <w:w w:val="105"/>
          <w:sz w:val="18"/>
        </w:rPr>
        <w:t>Robbins,</w:t>
      </w:r>
      <w:r>
        <w:rPr>
          <w:color w:val="3B383B"/>
          <w:spacing w:val="-10"/>
          <w:w w:val="105"/>
          <w:sz w:val="18"/>
        </w:rPr>
        <w:t> </w:t>
      </w:r>
      <w:r>
        <w:rPr>
          <w:rFonts w:ascii="Arial" w:hAnsi="Arial"/>
          <w:i/>
          <w:color w:val="3B383B"/>
          <w:w w:val="105"/>
          <w:sz w:val="16"/>
        </w:rPr>
        <w:t>Painting</w:t>
      </w:r>
      <w:r>
        <w:rPr>
          <w:rFonts w:ascii="Arial" w:hAnsi="Arial"/>
          <w:i/>
          <w:color w:val="3B383B"/>
          <w:spacing w:val="-18"/>
          <w:w w:val="105"/>
          <w:sz w:val="16"/>
        </w:rPr>
        <w:t> </w:t>
      </w:r>
      <w:r>
        <w:rPr>
          <w:rFonts w:ascii="Arial" w:hAnsi="Arial"/>
          <w:i/>
          <w:color w:val="3B383B"/>
          <w:w w:val="105"/>
          <w:sz w:val="16"/>
        </w:rPr>
        <w:t>with</w:t>
      </w:r>
      <w:r>
        <w:rPr>
          <w:rFonts w:ascii="Arial" w:hAnsi="Arial"/>
          <w:i/>
          <w:color w:val="3B383B"/>
          <w:spacing w:val="-29"/>
          <w:w w:val="105"/>
          <w:sz w:val="16"/>
        </w:rPr>
        <w:t> </w:t>
      </w:r>
      <w:r>
        <w:rPr>
          <w:rFonts w:ascii="Arial" w:hAnsi="Arial"/>
          <w:i/>
          <w:color w:val="3B383B"/>
          <w:w w:val="105"/>
          <w:sz w:val="16"/>
        </w:rPr>
        <w:t>Print:</w:t>
      </w:r>
      <w:r>
        <w:rPr>
          <w:rFonts w:ascii="Arial" w:hAnsi="Arial"/>
          <w:i/>
          <w:color w:val="3B383B"/>
          <w:spacing w:val="-21"/>
          <w:w w:val="105"/>
          <w:sz w:val="16"/>
        </w:rPr>
        <w:t> </w:t>
      </w:r>
      <w:r>
        <w:rPr>
          <w:rFonts w:ascii="Arial" w:hAnsi="Arial"/>
          <w:i/>
          <w:color w:val="3B383B"/>
          <w:w w:val="105"/>
          <w:sz w:val="16"/>
        </w:rPr>
        <w:t>Incorporating</w:t>
      </w:r>
      <w:r>
        <w:rPr>
          <w:rFonts w:ascii="Arial" w:hAnsi="Arial"/>
          <w:i/>
          <w:color w:val="3B383B"/>
          <w:spacing w:val="-23"/>
          <w:w w:val="105"/>
          <w:sz w:val="16"/>
        </w:rPr>
        <w:t> </w:t>
      </w:r>
      <w:r>
        <w:rPr>
          <w:rFonts w:ascii="Arial" w:hAnsi="Arial"/>
          <w:i/>
          <w:color w:val="4D4D4D"/>
          <w:w w:val="105"/>
          <w:sz w:val="16"/>
        </w:rPr>
        <w:t>Concepts</w:t>
      </w:r>
      <w:r>
        <w:rPr>
          <w:rFonts w:ascii="Arial" w:hAnsi="Arial"/>
          <w:i/>
          <w:color w:val="4D4D4D"/>
          <w:spacing w:val="2"/>
          <w:w w:val="105"/>
          <w:sz w:val="16"/>
        </w:rPr>
        <w:t> </w:t>
      </w:r>
      <w:r>
        <w:rPr>
          <w:i/>
          <w:color w:val="3B383B"/>
          <w:w w:val="105"/>
          <w:sz w:val="17"/>
        </w:rPr>
        <w:t>of</w:t>
      </w:r>
      <w:r>
        <w:rPr>
          <w:i/>
          <w:color w:val="3B383B"/>
          <w:spacing w:val="4"/>
          <w:w w:val="105"/>
          <w:sz w:val="17"/>
        </w:rPr>
        <w:t> </w:t>
      </w:r>
      <w:r>
        <w:rPr>
          <w:rFonts w:ascii="Arial" w:hAnsi="Arial"/>
          <w:i/>
          <w:color w:val="3B383B"/>
          <w:w w:val="105"/>
          <w:sz w:val="16"/>
        </w:rPr>
        <w:t>Typographic</w:t>
      </w:r>
      <w:r>
        <w:rPr>
          <w:rFonts w:ascii="Arial" w:hAnsi="Arial"/>
          <w:i/>
          <w:color w:val="3B383B"/>
          <w:spacing w:val="-16"/>
          <w:w w:val="105"/>
          <w:sz w:val="16"/>
        </w:rPr>
        <w:t> </w:t>
      </w:r>
      <w:r>
        <w:rPr>
          <w:rFonts w:ascii="Arial" w:hAnsi="Arial"/>
          <w:i/>
          <w:color w:val="3B383B"/>
          <w:w w:val="105"/>
          <w:sz w:val="16"/>
        </w:rPr>
        <w:t>and</w:t>
      </w:r>
      <w:r>
        <w:rPr>
          <w:rFonts w:ascii="Arial" w:hAnsi="Arial"/>
          <w:i/>
          <w:color w:val="3B383B"/>
          <w:spacing w:val="1"/>
          <w:w w:val="105"/>
          <w:sz w:val="16"/>
        </w:rPr>
        <w:t> </w:t>
      </w:r>
      <w:r>
        <w:rPr>
          <w:rFonts w:ascii="Arial" w:hAnsi="Arial"/>
          <w:i/>
          <w:color w:val="3B383B"/>
          <w:w w:val="105"/>
          <w:sz w:val="16"/>
        </w:rPr>
        <w:t>Layout</w:t>
      </w:r>
      <w:r>
        <w:rPr>
          <w:rFonts w:ascii="Arial" w:hAnsi="Arial"/>
          <w:i/>
          <w:color w:val="3B383B"/>
          <w:spacing w:val="1"/>
          <w:w w:val="105"/>
          <w:sz w:val="16"/>
        </w:rPr>
        <w:t> </w:t>
      </w:r>
      <w:r>
        <w:rPr>
          <w:i/>
          <w:color w:val="3B383B"/>
          <w:spacing w:val="-1"/>
          <w:w w:val="105"/>
          <w:sz w:val="17"/>
        </w:rPr>
        <w:t>Design </w:t>
      </w:r>
      <w:r>
        <w:rPr>
          <w:i/>
          <w:color w:val="3B383B"/>
          <w:w w:val="105"/>
          <w:sz w:val="17"/>
        </w:rPr>
        <w:t>Into the Text of </w:t>
      </w:r>
      <w:r>
        <w:rPr>
          <w:rFonts w:ascii="Arial" w:hAnsi="Arial"/>
          <w:i/>
          <w:color w:val="3B383B"/>
          <w:w w:val="105"/>
          <w:sz w:val="16"/>
        </w:rPr>
        <w:t>Legal </w:t>
      </w:r>
      <w:r>
        <w:rPr>
          <w:i/>
          <w:color w:val="3B383B"/>
          <w:w w:val="105"/>
          <w:sz w:val="17"/>
        </w:rPr>
        <w:t>Writing </w:t>
      </w:r>
      <w:r>
        <w:rPr>
          <w:rFonts w:ascii="Arial" w:hAnsi="Arial"/>
          <w:i/>
          <w:color w:val="4D4D4D"/>
          <w:w w:val="105"/>
          <w:sz w:val="16"/>
        </w:rPr>
        <w:t>Docim,ents, </w:t>
      </w:r>
      <w:r>
        <w:rPr>
          <w:color w:val="3B383B"/>
          <w:w w:val="105"/>
          <w:sz w:val="18"/>
        </w:rPr>
        <w:t>2 </w:t>
      </w:r>
      <w:r>
        <w:rPr>
          <w:color w:val="3B383B"/>
          <w:w w:val="105"/>
          <w:sz w:val="19"/>
        </w:rPr>
        <w:t>J. </w:t>
      </w:r>
      <w:r>
        <w:rPr>
          <w:color w:val="3B383B"/>
          <w:w w:val="105"/>
          <w:sz w:val="18"/>
        </w:rPr>
        <w:t>Assn. Legal Writing Dirs. </w:t>
      </w:r>
      <w:r>
        <w:rPr>
          <w:color w:val="2B2A2A"/>
          <w:w w:val="105"/>
          <w:sz w:val="18"/>
        </w:rPr>
        <w:t>I</w:t>
      </w:r>
      <w:r>
        <w:rPr>
          <w:color w:val="3B383B"/>
          <w:w w:val="105"/>
          <w:sz w:val="18"/>
        </w:rPr>
        <w:t>08, 118 (2004) </w:t>
      </w:r>
      <w:r>
        <w:rPr>
          <w:color w:val="4D4D4D"/>
          <w:w w:val="105"/>
          <w:sz w:val="18"/>
        </w:rPr>
        <w:t>(cita­</w:t>
      </w:r>
      <w:r>
        <w:rPr>
          <w:color w:val="4D4D4D"/>
          <w:spacing w:val="-45"/>
          <w:w w:val="105"/>
          <w:sz w:val="18"/>
        </w:rPr>
        <w:t> </w:t>
      </w:r>
      <w:r>
        <w:rPr>
          <w:color w:val="3B383B"/>
          <w:w w:val="105"/>
          <w:sz w:val="18"/>
        </w:rPr>
        <w:t>tions</w:t>
      </w:r>
      <w:r>
        <w:rPr>
          <w:color w:val="3B383B"/>
          <w:spacing w:val="-17"/>
          <w:w w:val="105"/>
          <w:sz w:val="18"/>
        </w:rPr>
        <w:t> </w:t>
      </w:r>
      <w:r>
        <w:rPr>
          <w:color w:val="4D4D4D"/>
          <w:w w:val="105"/>
          <w:sz w:val="18"/>
        </w:rPr>
        <w:t>omitted).</w:t>
      </w:r>
    </w:p>
    <w:p>
      <w:pPr>
        <w:spacing w:after="0" w:line="232" w:lineRule="auto"/>
        <w:jc w:val="both"/>
        <w:rPr>
          <w:sz w:val="18"/>
        </w:rPr>
        <w:sectPr>
          <w:pgSz w:w="9750" w:h="13980"/>
          <w:pgMar w:header="569" w:footer="0" w:top="780" w:bottom="280" w:left="300" w:right="1360"/>
        </w:sectPr>
      </w:pPr>
    </w:p>
    <w:p>
      <w:pPr>
        <w:spacing w:before="61"/>
        <w:ind w:left="107" w:right="0" w:firstLine="0"/>
        <w:jc w:val="left"/>
        <w:rPr>
          <w:sz w:val="19"/>
        </w:rPr>
      </w:pPr>
      <w:r>
        <w:rPr>
          <w:color w:val="3B383A"/>
          <w:sz w:val="19"/>
        </w:rPr>
        <w:t>27</w:t>
      </w:r>
      <w:r>
        <w:rPr>
          <w:rFonts w:ascii="Arial" w:hAnsi="Arial"/>
          <w:color w:val="3B383A"/>
          <w:sz w:val="37"/>
        </w:rPr>
        <w:t>◄</w:t>
      </w:r>
      <w:r>
        <w:rPr>
          <w:rFonts w:ascii="Arial" w:hAnsi="Arial"/>
          <w:color w:val="3B383A"/>
          <w:spacing w:val="64"/>
          <w:sz w:val="37"/>
        </w:rPr>
        <w:t> </w:t>
      </w:r>
      <w:r>
        <w:rPr>
          <w:color w:val="3B383A"/>
          <w:sz w:val="19"/>
        </w:rPr>
        <w:t>Chapter</w:t>
      </w:r>
      <w:r>
        <w:rPr>
          <w:color w:val="3B383A"/>
          <w:spacing w:val="14"/>
          <w:sz w:val="19"/>
        </w:rPr>
        <w:t> </w:t>
      </w:r>
      <w:r>
        <w:rPr>
          <w:color w:val="3B383A"/>
          <w:sz w:val="19"/>
        </w:rPr>
        <w:t>Eleven  </w:t>
      </w:r>
      <w:r>
        <w:rPr>
          <w:color w:val="3B383A"/>
          <w:spacing w:val="2"/>
          <w:sz w:val="19"/>
        </w:rPr>
        <w:t> </w:t>
      </w:r>
      <w:r>
        <w:rPr>
          <w:color w:val="3B383A"/>
          <w:sz w:val="19"/>
        </w:rPr>
        <w:t>Exploiting</w:t>
      </w:r>
      <w:r>
        <w:rPr>
          <w:color w:val="3B383A"/>
          <w:spacing w:val="-1"/>
          <w:sz w:val="19"/>
        </w:rPr>
        <w:t> </w:t>
      </w:r>
      <w:r>
        <w:rPr>
          <w:color w:val="3B383A"/>
          <w:sz w:val="19"/>
        </w:rPr>
        <w:t>Opportunities</w:t>
      </w:r>
      <w:r>
        <w:rPr>
          <w:color w:val="3B383A"/>
          <w:spacing w:val="-10"/>
          <w:sz w:val="19"/>
        </w:rPr>
        <w:t> </w:t>
      </w:r>
      <w:r>
        <w:rPr>
          <w:color w:val="3B383A"/>
          <w:sz w:val="19"/>
        </w:rPr>
        <w:t>for</w:t>
      </w:r>
      <w:r>
        <w:rPr>
          <w:color w:val="3B383A"/>
          <w:spacing w:val="-6"/>
          <w:sz w:val="19"/>
        </w:rPr>
        <w:t> </w:t>
      </w:r>
      <w:r>
        <w:rPr>
          <w:color w:val="3B383A"/>
          <w:sz w:val="19"/>
        </w:rPr>
        <w:t>Persuasion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232" w:lineRule="auto"/>
        <w:ind w:left="852" w:right="102" w:firstLine="383"/>
        <w:jc w:val="both"/>
      </w:pPr>
      <w:r>
        <w:rPr>
          <w:color w:val="3B383A"/>
          <w:w w:val="105"/>
        </w:rPr>
        <w:t>Boldfaced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type should almost always be reserved for  headings alone.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On extremely rare occasions, however, you may use boldfaced type </w:t>
      </w:r>
      <w:r>
        <w:rPr>
          <w:rFonts w:ascii="Arial"/>
          <w:color w:val="3B383A"/>
          <w:w w:val="110"/>
          <w:sz w:val="21"/>
        </w:rPr>
        <w:t>for</w:t>
      </w:r>
      <w:r>
        <w:rPr>
          <w:rFonts w:ascii="Arial"/>
          <w:color w:val="3B383A"/>
          <w:spacing w:val="1"/>
          <w:w w:val="110"/>
          <w:sz w:val="21"/>
        </w:rPr>
        <w:t> </w:t>
      </w:r>
      <w:r>
        <w:rPr>
          <w:color w:val="3B383A"/>
          <w:w w:val="110"/>
        </w:rPr>
        <w:t>emphasis within your text. For example, if  you  have decided to include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 </w:t>
      </w:r>
      <w:r>
        <w:rPr>
          <w:color w:val="2B282A"/>
          <w:w w:val="110"/>
        </w:rPr>
        <w:t>long </w:t>
      </w:r>
      <w:r>
        <w:rPr>
          <w:color w:val="3B383A"/>
          <w:w w:val="110"/>
        </w:rPr>
        <w:t>quotation of the text of a statute, you may be worried that your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reader will skip the quotation. In that situation, italics would do little to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show</w:t>
      </w:r>
      <w:r>
        <w:rPr>
          <w:color w:val="3B383A"/>
          <w:spacing w:val="-3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16"/>
          <w:w w:val="110"/>
        </w:rPr>
        <w:t> </w:t>
      </w:r>
      <w:r>
        <w:rPr>
          <w:color w:val="3B383A"/>
          <w:w w:val="110"/>
        </w:rPr>
        <w:t>reader</w:t>
      </w:r>
      <w:r>
        <w:rPr>
          <w:color w:val="3B383A"/>
          <w:spacing w:val="-2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18"/>
          <w:w w:val="110"/>
        </w:rPr>
        <w:t> </w:t>
      </w:r>
      <w:r>
        <w:rPr>
          <w:color w:val="3B383A"/>
          <w:w w:val="110"/>
        </w:rPr>
        <w:t>significant</w:t>
      </w:r>
      <w:r>
        <w:rPr>
          <w:color w:val="3B383A"/>
          <w:spacing w:val="-7"/>
          <w:w w:val="110"/>
        </w:rPr>
        <w:t> </w:t>
      </w:r>
      <w:r>
        <w:rPr>
          <w:color w:val="3B383A"/>
          <w:w w:val="110"/>
        </w:rPr>
        <w:t>statutory</w:t>
      </w:r>
      <w:r>
        <w:rPr>
          <w:color w:val="3B383A"/>
          <w:spacing w:val="-7"/>
          <w:w w:val="110"/>
        </w:rPr>
        <w:t> </w:t>
      </w:r>
      <w:r>
        <w:rPr>
          <w:color w:val="2B282A"/>
          <w:w w:val="110"/>
        </w:rPr>
        <w:t>language:</w:t>
      </w:r>
    </w:p>
    <w:p>
      <w:pPr>
        <w:pStyle w:val="BodyText"/>
        <w:spacing w:before="11"/>
        <w:rPr>
          <w:sz w:val="11"/>
        </w:rPr>
      </w:pPr>
    </w:p>
    <w:p>
      <w:pPr>
        <w:spacing w:before="95"/>
        <w:ind w:left="830" w:right="0" w:firstLine="0"/>
        <w:jc w:val="both"/>
        <w:rPr>
          <w:rFonts w:ascii="Arial"/>
          <w:sz w:val="15"/>
        </w:rPr>
      </w:pPr>
      <w:r>
        <w:rPr>
          <w:rFonts w:ascii="Arial"/>
          <w:color w:val="3B383A"/>
          <w:spacing w:val="-1"/>
          <w:w w:val="135"/>
          <w:sz w:val="15"/>
          <w:u w:val="thick" w:color="3B383A"/>
        </w:rPr>
        <w:t>-\/BAD</w:t>
      </w:r>
      <w:r>
        <w:rPr>
          <w:rFonts w:ascii="Arial"/>
          <w:color w:val="3B383A"/>
          <w:spacing w:val="-13"/>
          <w:w w:val="135"/>
          <w:sz w:val="15"/>
          <w:u w:val="thick" w:color="3B383A"/>
        </w:rPr>
        <w:t> </w:t>
      </w:r>
      <w:r>
        <w:rPr>
          <w:rFonts w:ascii="Arial"/>
          <w:color w:val="3B383A"/>
          <w:w w:val="115"/>
          <w:sz w:val="15"/>
          <w:u w:val="thick" w:color="3B383A"/>
        </w:rPr>
        <w:t>EXAMPLE</w:t>
      </w:r>
    </w:p>
    <w:p>
      <w:pPr>
        <w:pStyle w:val="BodyText"/>
        <w:spacing w:before="3"/>
        <w:rPr>
          <w:rFonts w:ascii="Arial"/>
          <w:sz w:val="16"/>
        </w:rPr>
      </w:pPr>
    </w:p>
    <w:p>
      <w:pPr>
        <w:spacing w:line="254" w:lineRule="auto" w:before="0"/>
        <w:ind w:left="1214" w:right="431" w:hanging="7"/>
        <w:jc w:val="both"/>
        <w:rPr>
          <w:b/>
          <w:sz w:val="20"/>
        </w:rPr>
      </w:pPr>
      <w:r>
        <w:rPr>
          <w:color w:val="3B383A"/>
          <w:w w:val="115"/>
          <w:sz w:val="21"/>
        </w:rPr>
        <w:t>Section</w:t>
      </w:r>
      <w:r>
        <w:rPr>
          <w:color w:val="3B383A"/>
          <w:spacing w:val="-6"/>
          <w:w w:val="115"/>
          <w:sz w:val="21"/>
        </w:rPr>
        <w:t> </w:t>
      </w:r>
      <w:r>
        <w:rPr>
          <w:color w:val="3B383A"/>
          <w:w w:val="115"/>
          <w:sz w:val="21"/>
        </w:rPr>
        <w:t>1409(c)</w:t>
      </w:r>
      <w:r>
        <w:rPr>
          <w:color w:val="3B383A"/>
          <w:spacing w:val="-14"/>
          <w:w w:val="115"/>
          <w:sz w:val="21"/>
        </w:rPr>
        <w:t> </w:t>
      </w:r>
      <w:r>
        <w:rPr>
          <w:color w:val="3B383A"/>
          <w:w w:val="115"/>
          <w:sz w:val="21"/>
        </w:rPr>
        <w:t>gives</w:t>
      </w:r>
      <w:r>
        <w:rPr>
          <w:color w:val="3B383A"/>
          <w:spacing w:val="-20"/>
          <w:w w:val="115"/>
          <w:sz w:val="21"/>
        </w:rPr>
        <w:t> </w:t>
      </w:r>
      <w:r>
        <w:rPr>
          <w:color w:val="3B383A"/>
          <w:w w:val="115"/>
          <w:sz w:val="21"/>
        </w:rPr>
        <w:t>immediate</w:t>
      </w:r>
      <w:r>
        <w:rPr>
          <w:color w:val="3B383A"/>
          <w:spacing w:val="-21"/>
          <w:w w:val="115"/>
          <w:sz w:val="21"/>
        </w:rPr>
        <w:t> </w:t>
      </w:r>
      <w:r>
        <w:rPr>
          <w:color w:val="3B383A"/>
          <w:w w:val="115"/>
          <w:sz w:val="21"/>
        </w:rPr>
        <w:t>citizenship</w:t>
      </w:r>
      <w:r>
        <w:rPr>
          <w:color w:val="3B383A"/>
          <w:spacing w:val="-12"/>
          <w:w w:val="115"/>
          <w:sz w:val="21"/>
        </w:rPr>
        <w:t> </w:t>
      </w:r>
      <w:r>
        <w:rPr>
          <w:color w:val="3B383A"/>
          <w:w w:val="115"/>
          <w:sz w:val="21"/>
        </w:rPr>
        <w:t>to</w:t>
      </w:r>
      <w:r>
        <w:rPr>
          <w:color w:val="3B383A"/>
          <w:spacing w:val="-8"/>
          <w:w w:val="115"/>
          <w:sz w:val="21"/>
        </w:rPr>
        <w:t> </w:t>
      </w:r>
      <w:r>
        <w:rPr>
          <w:color w:val="3B383A"/>
          <w:w w:val="115"/>
          <w:sz w:val="21"/>
        </w:rPr>
        <w:t>a</w:t>
      </w:r>
      <w:r>
        <w:rPr>
          <w:color w:val="3B383A"/>
          <w:spacing w:val="-8"/>
          <w:w w:val="115"/>
          <w:sz w:val="21"/>
        </w:rPr>
        <w:t> </w:t>
      </w:r>
      <w:r>
        <w:rPr>
          <w:color w:val="3B383A"/>
          <w:w w:val="115"/>
          <w:sz w:val="21"/>
        </w:rPr>
        <w:t>foreign-born</w:t>
      </w:r>
      <w:r>
        <w:rPr>
          <w:color w:val="3B383A"/>
          <w:spacing w:val="-3"/>
          <w:w w:val="115"/>
          <w:sz w:val="21"/>
        </w:rPr>
        <w:t> </w:t>
      </w:r>
      <w:r>
        <w:rPr>
          <w:color w:val="3B383A"/>
          <w:w w:val="115"/>
          <w:sz w:val="21"/>
        </w:rPr>
        <w:t>child</w:t>
      </w:r>
      <w:r>
        <w:rPr>
          <w:color w:val="3B383A"/>
          <w:spacing w:val="-23"/>
          <w:w w:val="115"/>
          <w:sz w:val="21"/>
        </w:rPr>
        <w:t> </w:t>
      </w:r>
      <w:r>
        <w:rPr>
          <w:color w:val="3B383A"/>
          <w:w w:val="115"/>
          <w:sz w:val="21"/>
        </w:rPr>
        <w:t>of</w:t>
      </w:r>
      <w:r>
        <w:rPr>
          <w:color w:val="3B383A"/>
          <w:spacing w:val="-58"/>
          <w:w w:val="115"/>
          <w:sz w:val="21"/>
        </w:rPr>
        <w:t> </w:t>
      </w:r>
      <w:r>
        <w:rPr>
          <w:b/>
          <w:color w:val="3B383A"/>
          <w:w w:val="115"/>
          <w:sz w:val="20"/>
        </w:rPr>
        <w:t>unmarried parents if the child's mother is a United States citizen at</w:t>
      </w:r>
      <w:r>
        <w:rPr>
          <w:b/>
          <w:color w:val="3B383A"/>
          <w:spacing w:val="1"/>
          <w:w w:val="115"/>
          <w:sz w:val="20"/>
        </w:rPr>
        <w:t> </w:t>
      </w:r>
      <w:r>
        <w:rPr>
          <w:b/>
          <w:color w:val="3B383A"/>
          <w:w w:val="115"/>
          <w:sz w:val="20"/>
        </w:rPr>
        <w:t>the</w:t>
      </w:r>
      <w:r>
        <w:rPr>
          <w:b/>
          <w:color w:val="3B383A"/>
          <w:spacing w:val="-5"/>
          <w:w w:val="115"/>
          <w:sz w:val="20"/>
        </w:rPr>
        <w:t> </w:t>
      </w:r>
      <w:r>
        <w:rPr>
          <w:b/>
          <w:color w:val="3B383A"/>
          <w:w w:val="115"/>
          <w:sz w:val="20"/>
        </w:rPr>
        <w:t>time</w:t>
      </w:r>
      <w:r>
        <w:rPr>
          <w:b/>
          <w:color w:val="3B383A"/>
          <w:spacing w:val="-25"/>
          <w:w w:val="115"/>
          <w:sz w:val="20"/>
        </w:rPr>
        <w:t> </w:t>
      </w:r>
      <w:r>
        <w:rPr>
          <w:b/>
          <w:color w:val="3B383A"/>
          <w:w w:val="115"/>
          <w:sz w:val="20"/>
        </w:rPr>
        <w:t>of</w:t>
      </w:r>
      <w:r>
        <w:rPr>
          <w:b/>
          <w:color w:val="3B383A"/>
          <w:spacing w:val="5"/>
          <w:w w:val="115"/>
          <w:sz w:val="20"/>
        </w:rPr>
        <w:t> </w:t>
      </w:r>
      <w:r>
        <w:rPr>
          <w:b/>
          <w:color w:val="3B383A"/>
          <w:w w:val="115"/>
          <w:sz w:val="20"/>
        </w:rPr>
        <w:t>birth:</w:t>
      </w:r>
    </w:p>
    <w:p>
      <w:pPr>
        <w:spacing w:line="237" w:lineRule="auto" w:before="154"/>
        <w:ind w:left="1531" w:right="782" w:firstLine="48"/>
        <w:jc w:val="both"/>
        <w:rPr>
          <w:sz w:val="21"/>
        </w:rPr>
      </w:pPr>
      <w:r>
        <w:rPr>
          <w:color w:val="3B383A"/>
          <w:w w:val="110"/>
          <w:sz w:val="21"/>
        </w:rPr>
        <w:t>Notwithstanding the provision of subsection </w:t>
      </w:r>
      <w:r>
        <w:rPr>
          <w:rFonts w:ascii="Arial"/>
          <w:color w:val="3B383A"/>
          <w:w w:val="110"/>
          <w:sz w:val="18"/>
        </w:rPr>
        <w:t>(a) </w:t>
      </w:r>
      <w:r>
        <w:rPr>
          <w:color w:val="3B383A"/>
          <w:w w:val="110"/>
          <w:sz w:val="21"/>
        </w:rPr>
        <w:t>of this provision</w:t>
      </w:r>
      <w:r>
        <w:rPr>
          <w:color w:val="3B383A"/>
          <w:spacing w:val="-55"/>
          <w:w w:val="110"/>
          <w:sz w:val="21"/>
        </w:rPr>
        <w:t> </w:t>
      </w:r>
      <w:r>
        <w:rPr>
          <w:color w:val="2B282A"/>
          <w:w w:val="110"/>
          <w:sz w:val="21"/>
        </w:rPr>
        <w:t>[which </w:t>
      </w:r>
      <w:r>
        <w:rPr>
          <w:color w:val="3B383A"/>
          <w:w w:val="110"/>
          <w:sz w:val="21"/>
        </w:rPr>
        <w:t>requires fathers to meet certain requirements to establish</w:t>
      </w:r>
      <w:r>
        <w:rPr>
          <w:color w:val="3B383A"/>
          <w:spacing w:val="1"/>
          <w:w w:val="110"/>
          <w:sz w:val="21"/>
        </w:rPr>
        <w:t> </w:t>
      </w:r>
      <w:r>
        <w:rPr>
          <w:color w:val="3B383A"/>
          <w:w w:val="110"/>
          <w:sz w:val="21"/>
        </w:rPr>
        <w:t>the citizenship of their children], </w:t>
      </w:r>
      <w:r>
        <w:rPr>
          <w:i/>
          <w:color w:val="3B383A"/>
          <w:w w:val="110"/>
          <w:sz w:val="21"/>
        </w:rPr>
        <w:t>a person </w:t>
      </w:r>
      <w:r>
        <w:rPr>
          <w:color w:val="3B383A"/>
          <w:w w:val="110"/>
          <w:sz w:val="21"/>
        </w:rPr>
        <w:t>born, after December</w:t>
      </w:r>
      <w:r>
        <w:rPr>
          <w:color w:val="3B383A"/>
          <w:spacing w:val="1"/>
          <w:w w:val="110"/>
          <w:sz w:val="21"/>
        </w:rPr>
        <w:t> </w:t>
      </w:r>
      <w:r>
        <w:rPr>
          <w:color w:val="3B383A"/>
          <w:w w:val="110"/>
          <w:sz w:val="21"/>
        </w:rPr>
        <w:t>23, 1952, outside the United States and out of wedlock </w:t>
      </w:r>
      <w:r>
        <w:rPr>
          <w:i/>
          <w:color w:val="4B4B4B"/>
          <w:w w:val="110"/>
          <w:sz w:val="21"/>
        </w:rPr>
        <w:t>shall </w:t>
      </w:r>
      <w:r>
        <w:rPr>
          <w:i/>
          <w:color w:val="3B383A"/>
          <w:w w:val="110"/>
          <w:sz w:val="21"/>
        </w:rPr>
        <w:t>be</w:t>
      </w:r>
      <w:r>
        <w:rPr>
          <w:i/>
          <w:color w:val="3B383A"/>
          <w:spacing w:val="1"/>
          <w:w w:val="110"/>
          <w:sz w:val="21"/>
        </w:rPr>
        <w:t> </w:t>
      </w:r>
      <w:r>
        <w:rPr>
          <w:i/>
          <w:color w:val="3B383A"/>
          <w:sz w:val="21"/>
        </w:rPr>
        <w:t>held</w:t>
      </w:r>
      <w:r>
        <w:rPr>
          <w:i/>
          <w:color w:val="3B383A"/>
          <w:spacing w:val="1"/>
          <w:sz w:val="21"/>
        </w:rPr>
        <w:t> </w:t>
      </w:r>
      <w:r>
        <w:rPr>
          <w:i/>
          <w:color w:val="3B383A"/>
          <w:sz w:val="21"/>
        </w:rPr>
        <w:t>to have acquired </w:t>
      </w:r>
      <w:r>
        <w:rPr>
          <w:i/>
          <w:color w:val="4B4B4B"/>
          <w:sz w:val="21"/>
        </w:rPr>
        <w:t>at</w:t>
      </w:r>
      <w:r>
        <w:rPr>
          <w:i/>
          <w:color w:val="4B4B4B"/>
          <w:spacing w:val="52"/>
          <w:sz w:val="21"/>
        </w:rPr>
        <w:t> </w:t>
      </w:r>
      <w:r>
        <w:rPr>
          <w:i/>
          <w:color w:val="3B383A"/>
          <w:sz w:val="21"/>
        </w:rPr>
        <w:t>birth the nationality status of</w:t>
      </w:r>
      <w:r>
        <w:rPr>
          <w:i/>
          <w:color w:val="3B383A"/>
          <w:spacing w:val="53"/>
          <w:sz w:val="21"/>
        </w:rPr>
        <w:t> </w:t>
      </w:r>
      <w:r>
        <w:rPr>
          <w:i/>
          <w:color w:val="3B383A"/>
          <w:sz w:val="21"/>
        </w:rPr>
        <w:t>the mother, if</w:t>
      </w:r>
      <w:r>
        <w:rPr>
          <w:i/>
          <w:color w:val="3B383A"/>
          <w:spacing w:val="1"/>
          <w:sz w:val="21"/>
        </w:rPr>
        <w:t> </w:t>
      </w:r>
      <w:r>
        <w:rPr>
          <w:i/>
          <w:color w:val="3B383A"/>
          <w:spacing w:val="-1"/>
          <w:w w:val="105"/>
          <w:sz w:val="21"/>
        </w:rPr>
        <w:t>the</w:t>
      </w:r>
      <w:r>
        <w:rPr>
          <w:i/>
          <w:color w:val="3B383A"/>
          <w:spacing w:val="-20"/>
          <w:w w:val="105"/>
          <w:sz w:val="21"/>
        </w:rPr>
        <w:t> </w:t>
      </w:r>
      <w:r>
        <w:rPr>
          <w:i/>
          <w:color w:val="3B383A"/>
          <w:spacing w:val="-1"/>
          <w:w w:val="105"/>
          <w:sz w:val="21"/>
        </w:rPr>
        <w:t>mother</w:t>
      </w:r>
      <w:r>
        <w:rPr>
          <w:i/>
          <w:color w:val="3B383A"/>
          <w:spacing w:val="-16"/>
          <w:w w:val="105"/>
          <w:sz w:val="21"/>
        </w:rPr>
        <w:t> </w:t>
      </w:r>
      <w:r>
        <w:rPr>
          <w:i/>
          <w:color w:val="3B383A"/>
          <w:spacing w:val="-1"/>
          <w:w w:val="105"/>
          <w:sz w:val="21"/>
        </w:rPr>
        <w:t>had</w:t>
      </w:r>
      <w:r>
        <w:rPr>
          <w:i/>
          <w:color w:val="3B383A"/>
          <w:spacing w:val="7"/>
          <w:w w:val="105"/>
          <w:sz w:val="21"/>
        </w:rPr>
        <w:t> </w:t>
      </w:r>
      <w:r>
        <w:rPr>
          <w:i/>
          <w:color w:val="3B383A"/>
          <w:spacing w:val="-1"/>
          <w:w w:val="105"/>
          <w:sz w:val="21"/>
        </w:rPr>
        <w:t>the</w:t>
      </w:r>
      <w:r>
        <w:rPr>
          <w:i/>
          <w:color w:val="3B383A"/>
          <w:spacing w:val="-11"/>
          <w:w w:val="105"/>
          <w:sz w:val="21"/>
        </w:rPr>
        <w:t> </w:t>
      </w:r>
      <w:r>
        <w:rPr>
          <w:i/>
          <w:color w:val="3B383A"/>
          <w:spacing w:val="-1"/>
          <w:w w:val="105"/>
          <w:sz w:val="21"/>
        </w:rPr>
        <w:t>nationality</w:t>
      </w:r>
      <w:r>
        <w:rPr>
          <w:i/>
          <w:color w:val="3B383A"/>
          <w:spacing w:val="-14"/>
          <w:w w:val="105"/>
          <w:sz w:val="21"/>
        </w:rPr>
        <w:t> </w:t>
      </w:r>
      <w:r>
        <w:rPr>
          <w:i/>
          <w:color w:val="3B383A"/>
          <w:w w:val="105"/>
          <w:sz w:val="21"/>
        </w:rPr>
        <w:t>of</w:t>
      </w:r>
      <w:r>
        <w:rPr>
          <w:i/>
          <w:color w:val="3B383A"/>
          <w:spacing w:val="-6"/>
          <w:w w:val="105"/>
          <w:sz w:val="21"/>
        </w:rPr>
        <w:t> </w:t>
      </w:r>
      <w:r>
        <w:rPr>
          <w:i/>
          <w:color w:val="3B383A"/>
          <w:w w:val="105"/>
          <w:sz w:val="21"/>
        </w:rPr>
        <w:t>the</w:t>
      </w:r>
      <w:r>
        <w:rPr>
          <w:i/>
          <w:color w:val="3B383A"/>
          <w:spacing w:val="-19"/>
          <w:w w:val="105"/>
          <w:sz w:val="21"/>
        </w:rPr>
        <w:t> </w:t>
      </w:r>
      <w:r>
        <w:rPr>
          <w:i/>
          <w:color w:val="3B383A"/>
          <w:w w:val="105"/>
          <w:sz w:val="21"/>
        </w:rPr>
        <w:t>United</w:t>
      </w:r>
      <w:r>
        <w:rPr>
          <w:i/>
          <w:color w:val="3B383A"/>
          <w:spacing w:val="-1"/>
          <w:w w:val="105"/>
          <w:sz w:val="21"/>
        </w:rPr>
        <w:t> </w:t>
      </w:r>
      <w:r>
        <w:rPr>
          <w:i/>
          <w:color w:val="3B383A"/>
          <w:w w:val="105"/>
          <w:sz w:val="21"/>
        </w:rPr>
        <w:t>States</w:t>
      </w:r>
      <w:r>
        <w:rPr>
          <w:i/>
          <w:color w:val="3B383A"/>
          <w:spacing w:val="-19"/>
          <w:w w:val="105"/>
          <w:sz w:val="21"/>
        </w:rPr>
        <w:t> </w:t>
      </w:r>
      <w:r>
        <w:rPr>
          <w:i/>
          <w:color w:val="3B383A"/>
          <w:w w:val="105"/>
          <w:sz w:val="21"/>
        </w:rPr>
        <w:t>at</w:t>
      </w:r>
      <w:r>
        <w:rPr>
          <w:i/>
          <w:color w:val="3B383A"/>
          <w:spacing w:val="13"/>
          <w:w w:val="105"/>
          <w:sz w:val="21"/>
        </w:rPr>
        <w:t> </w:t>
      </w:r>
      <w:r>
        <w:rPr>
          <w:i/>
          <w:color w:val="3B383A"/>
          <w:w w:val="105"/>
          <w:sz w:val="21"/>
        </w:rPr>
        <w:t>the</w:t>
      </w:r>
      <w:r>
        <w:rPr>
          <w:i/>
          <w:color w:val="3B383A"/>
          <w:spacing w:val="-3"/>
          <w:w w:val="105"/>
          <w:sz w:val="21"/>
        </w:rPr>
        <w:t> </w:t>
      </w:r>
      <w:r>
        <w:rPr>
          <w:i/>
          <w:color w:val="3B383A"/>
          <w:w w:val="105"/>
          <w:sz w:val="21"/>
        </w:rPr>
        <w:t>time</w:t>
      </w:r>
      <w:r>
        <w:rPr>
          <w:i/>
          <w:color w:val="3B383A"/>
          <w:spacing w:val="-21"/>
          <w:w w:val="105"/>
          <w:sz w:val="21"/>
        </w:rPr>
        <w:t> </w:t>
      </w:r>
      <w:r>
        <w:rPr>
          <w:i/>
          <w:color w:val="3B383A"/>
          <w:w w:val="105"/>
          <w:sz w:val="21"/>
        </w:rPr>
        <w:t>of</w:t>
      </w:r>
      <w:r>
        <w:rPr>
          <w:i/>
          <w:color w:val="3B383A"/>
          <w:spacing w:val="-5"/>
          <w:w w:val="105"/>
          <w:sz w:val="21"/>
        </w:rPr>
        <w:t> </w:t>
      </w:r>
      <w:r>
        <w:rPr>
          <w:i/>
          <w:color w:val="3B383A"/>
          <w:w w:val="105"/>
          <w:sz w:val="21"/>
        </w:rPr>
        <w:t>such</w:t>
      </w:r>
      <w:r>
        <w:rPr>
          <w:i/>
          <w:color w:val="3B383A"/>
          <w:spacing w:val="1"/>
          <w:w w:val="105"/>
          <w:sz w:val="21"/>
        </w:rPr>
        <w:t> </w:t>
      </w:r>
      <w:r>
        <w:rPr>
          <w:i/>
          <w:color w:val="3B383A"/>
          <w:w w:val="105"/>
          <w:sz w:val="21"/>
        </w:rPr>
        <w:t>person's birth, </w:t>
      </w:r>
      <w:r>
        <w:rPr>
          <w:color w:val="3B383A"/>
          <w:w w:val="105"/>
          <w:sz w:val="21"/>
        </w:rPr>
        <w:t>and</w:t>
      </w:r>
      <w:r>
        <w:rPr>
          <w:color w:val="3B383A"/>
          <w:spacing w:val="1"/>
          <w:w w:val="105"/>
          <w:sz w:val="21"/>
        </w:rPr>
        <w:t> </w:t>
      </w:r>
      <w:r>
        <w:rPr>
          <w:color w:val="3B383A"/>
          <w:w w:val="105"/>
          <w:sz w:val="21"/>
        </w:rPr>
        <w:t>if </w:t>
      </w:r>
      <w:r>
        <w:rPr>
          <w:color w:val="2B282A"/>
          <w:w w:val="105"/>
          <w:sz w:val="21"/>
        </w:rPr>
        <w:t>the</w:t>
      </w:r>
      <w:r>
        <w:rPr>
          <w:color w:val="2B282A"/>
          <w:spacing w:val="1"/>
          <w:w w:val="105"/>
          <w:sz w:val="21"/>
        </w:rPr>
        <w:t> </w:t>
      </w:r>
      <w:r>
        <w:rPr>
          <w:color w:val="3B383A"/>
          <w:w w:val="105"/>
          <w:sz w:val="21"/>
        </w:rPr>
        <w:t>mother had previously been physically</w:t>
      </w:r>
      <w:r>
        <w:rPr>
          <w:color w:val="3B383A"/>
          <w:spacing w:val="1"/>
          <w:w w:val="105"/>
          <w:sz w:val="21"/>
        </w:rPr>
        <w:t> </w:t>
      </w:r>
      <w:r>
        <w:rPr>
          <w:color w:val="3B383A"/>
          <w:spacing w:val="-1"/>
          <w:w w:val="110"/>
          <w:sz w:val="21"/>
        </w:rPr>
        <w:t>present in </w:t>
      </w:r>
      <w:r>
        <w:rPr>
          <w:color w:val="4B4B4B"/>
          <w:spacing w:val="-1"/>
          <w:w w:val="110"/>
          <w:sz w:val="21"/>
        </w:rPr>
        <w:t>the </w:t>
      </w:r>
      <w:r>
        <w:rPr>
          <w:color w:val="3B383A"/>
          <w:spacing w:val="-1"/>
          <w:w w:val="110"/>
          <w:sz w:val="21"/>
        </w:rPr>
        <w:t>United </w:t>
      </w:r>
      <w:r>
        <w:rPr>
          <w:color w:val="3B383A"/>
          <w:w w:val="110"/>
          <w:sz w:val="21"/>
        </w:rPr>
        <w:t>States or one of its outlying possessions for</w:t>
      </w:r>
      <w:r>
        <w:rPr>
          <w:color w:val="3B383A"/>
          <w:spacing w:val="1"/>
          <w:w w:val="110"/>
          <w:sz w:val="21"/>
        </w:rPr>
        <w:t> </w:t>
      </w:r>
      <w:r>
        <w:rPr>
          <w:color w:val="3B383A"/>
          <w:w w:val="110"/>
          <w:sz w:val="21"/>
        </w:rPr>
        <w:t>a</w:t>
      </w:r>
      <w:r>
        <w:rPr>
          <w:color w:val="3B383A"/>
          <w:spacing w:val="-5"/>
          <w:w w:val="110"/>
          <w:sz w:val="21"/>
        </w:rPr>
        <w:t> </w:t>
      </w:r>
      <w:r>
        <w:rPr>
          <w:color w:val="3B383A"/>
          <w:w w:val="110"/>
          <w:sz w:val="21"/>
        </w:rPr>
        <w:t>continuous</w:t>
      </w:r>
      <w:r>
        <w:rPr>
          <w:color w:val="3B383A"/>
          <w:spacing w:val="4"/>
          <w:w w:val="110"/>
          <w:sz w:val="21"/>
        </w:rPr>
        <w:t> </w:t>
      </w:r>
      <w:r>
        <w:rPr>
          <w:color w:val="3B383A"/>
          <w:w w:val="110"/>
          <w:sz w:val="21"/>
        </w:rPr>
        <w:t>period</w:t>
      </w:r>
      <w:r>
        <w:rPr>
          <w:color w:val="3B383A"/>
          <w:spacing w:val="1"/>
          <w:w w:val="110"/>
          <w:sz w:val="21"/>
        </w:rPr>
        <w:t> </w:t>
      </w:r>
      <w:r>
        <w:rPr>
          <w:color w:val="3B383A"/>
          <w:w w:val="110"/>
          <w:sz w:val="21"/>
        </w:rPr>
        <w:t>of</w:t>
      </w:r>
      <w:r>
        <w:rPr>
          <w:color w:val="3B383A"/>
          <w:spacing w:val="-1"/>
          <w:w w:val="110"/>
          <w:sz w:val="21"/>
        </w:rPr>
        <w:t> </w:t>
      </w:r>
      <w:r>
        <w:rPr>
          <w:color w:val="3B383A"/>
          <w:w w:val="110"/>
          <w:sz w:val="21"/>
        </w:rPr>
        <w:t>one</w:t>
      </w:r>
      <w:r>
        <w:rPr>
          <w:color w:val="3B383A"/>
          <w:spacing w:val="32"/>
          <w:w w:val="110"/>
          <w:sz w:val="21"/>
        </w:rPr>
        <w:t> </w:t>
      </w:r>
      <w:r>
        <w:rPr>
          <w:color w:val="3B383A"/>
          <w:w w:val="110"/>
          <w:sz w:val="21"/>
        </w:rPr>
        <w:t>year.</w:t>
      </w:r>
    </w:p>
    <w:p>
      <w:pPr>
        <w:spacing w:before="158"/>
        <w:ind w:left="1154" w:right="0" w:firstLine="0"/>
        <w:jc w:val="both"/>
        <w:rPr>
          <w:sz w:val="21"/>
        </w:rPr>
      </w:pPr>
      <w:r>
        <w:rPr>
          <w:rFonts w:ascii="Arial" w:hAnsi="Arial"/>
          <w:color w:val="3B383A"/>
          <w:w w:val="110"/>
          <w:sz w:val="20"/>
        </w:rPr>
        <w:t>8</w:t>
      </w:r>
      <w:r>
        <w:rPr>
          <w:rFonts w:ascii="Arial" w:hAnsi="Arial"/>
          <w:color w:val="3B383A"/>
          <w:spacing w:val="16"/>
          <w:w w:val="110"/>
          <w:sz w:val="20"/>
        </w:rPr>
        <w:t> </w:t>
      </w:r>
      <w:r>
        <w:rPr>
          <w:color w:val="3B383A"/>
          <w:w w:val="110"/>
          <w:sz w:val="21"/>
        </w:rPr>
        <w:t>U.S.C.</w:t>
      </w:r>
      <w:r>
        <w:rPr>
          <w:color w:val="3B383A"/>
          <w:spacing w:val="-26"/>
          <w:w w:val="110"/>
          <w:sz w:val="21"/>
        </w:rPr>
        <w:t> </w:t>
      </w:r>
      <w:r>
        <w:rPr>
          <w:color w:val="3B383A"/>
          <w:w w:val="110"/>
          <w:sz w:val="21"/>
        </w:rPr>
        <w:t>§1409(c)</w:t>
      </w:r>
      <w:r>
        <w:rPr>
          <w:color w:val="3B383A"/>
          <w:spacing w:val="16"/>
          <w:w w:val="110"/>
          <w:sz w:val="21"/>
        </w:rPr>
        <w:t> </w:t>
      </w:r>
      <w:r>
        <w:rPr>
          <w:color w:val="3B383A"/>
          <w:w w:val="110"/>
          <w:sz w:val="21"/>
        </w:rPr>
        <w:t>(1994)</w:t>
      </w:r>
      <w:r>
        <w:rPr>
          <w:color w:val="3B383A"/>
          <w:spacing w:val="16"/>
          <w:w w:val="110"/>
          <w:sz w:val="21"/>
        </w:rPr>
        <w:t> </w:t>
      </w:r>
      <w:r>
        <w:rPr>
          <w:color w:val="3B383A"/>
          <w:w w:val="110"/>
          <w:sz w:val="21"/>
        </w:rPr>
        <w:t>(emphasis</w:t>
      </w:r>
      <w:r>
        <w:rPr>
          <w:color w:val="3B383A"/>
          <w:spacing w:val="5"/>
          <w:w w:val="110"/>
          <w:sz w:val="21"/>
        </w:rPr>
        <w:t> </w:t>
      </w:r>
      <w:r>
        <w:rPr>
          <w:color w:val="3B383A"/>
          <w:w w:val="110"/>
          <w:sz w:val="21"/>
        </w:rPr>
        <w:t>added).</w:t>
      </w:r>
    </w:p>
    <w:p>
      <w:pPr>
        <w:pStyle w:val="BodyText"/>
        <w:spacing w:line="232" w:lineRule="auto" w:before="151"/>
        <w:ind w:left="794" w:right="148" w:hanging="4"/>
        <w:jc w:val="both"/>
      </w:pPr>
      <w:r>
        <w:rPr>
          <w:color w:val="3B383A"/>
          <w:w w:val="110"/>
        </w:rPr>
        <w:t>If you use underlining or boldfaced type for the most crucial language </w:t>
      </w:r>
      <w:r>
        <w:rPr>
          <w:color w:val="2B282A"/>
          <w:w w:val="110"/>
        </w:rPr>
        <w:t>in</w:t>
      </w:r>
      <w:r>
        <w:rPr>
          <w:color w:val="2B282A"/>
          <w:spacing w:val="1"/>
          <w:w w:val="110"/>
        </w:rPr>
        <w:t> </w:t>
      </w:r>
      <w:r>
        <w:rPr>
          <w:color w:val="3B383A"/>
          <w:w w:val="110"/>
        </w:rPr>
        <w:t>the statute, however, readers can glance at the quotation and easily </w:t>
      </w:r>
      <w:r>
        <w:rPr>
          <w:color w:val="2B282A"/>
          <w:w w:val="110"/>
        </w:rPr>
        <w:t>r</w:t>
      </w:r>
      <w:r>
        <w:rPr>
          <w:color w:val="4B4B4B"/>
          <w:w w:val="110"/>
        </w:rPr>
        <w:t>ead</w:t>
      </w:r>
      <w:r>
        <w:rPr>
          <w:color w:val="4B4B4B"/>
          <w:spacing w:val="1"/>
          <w:w w:val="110"/>
        </w:rPr>
        <w:t> </w:t>
      </w:r>
      <w:r>
        <w:rPr>
          <w:color w:val="3B383A"/>
          <w:w w:val="110"/>
        </w:rPr>
        <w:t>just</w:t>
      </w:r>
      <w:r>
        <w:rPr>
          <w:color w:val="3B383A"/>
          <w:spacing w:val="-10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21"/>
          <w:w w:val="110"/>
        </w:rPr>
        <w:t> </w:t>
      </w:r>
      <w:r>
        <w:rPr>
          <w:color w:val="3B383A"/>
          <w:w w:val="110"/>
        </w:rPr>
        <w:t>emphasized</w:t>
      </w:r>
      <w:r>
        <w:rPr>
          <w:color w:val="3B383A"/>
          <w:spacing w:val="16"/>
          <w:w w:val="110"/>
        </w:rPr>
        <w:t> </w:t>
      </w:r>
      <w:r>
        <w:rPr>
          <w:color w:val="3B383A"/>
          <w:w w:val="110"/>
        </w:rPr>
        <w:t>language</w:t>
      </w:r>
      <w:r>
        <w:rPr>
          <w:color w:val="3B383A"/>
          <w:spacing w:val="-15"/>
          <w:w w:val="110"/>
        </w:rPr>
        <w:t> </w:t>
      </w:r>
      <w:r>
        <w:rPr>
          <w:color w:val="3B383A"/>
          <w:w w:val="110"/>
        </w:rPr>
        <w:t>as</w:t>
      </w:r>
      <w:r>
        <w:rPr>
          <w:color w:val="3B383A"/>
          <w:spacing w:val="-6"/>
          <w:w w:val="110"/>
        </w:rPr>
        <w:t> </w:t>
      </w:r>
      <w:r>
        <w:rPr>
          <w:color w:val="3B383A"/>
          <w:w w:val="110"/>
        </w:rPr>
        <w:t>a</w:t>
      </w:r>
      <w:r>
        <w:rPr>
          <w:color w:val="3B383A"/>
          <w:spacing w:val="-3"/>
          <w:w w:val="110"/>
        </w:rPr>
        <w:t> </w:t>
      </w:r>
      <w:r>
        <w:rPr>
          <w:color w:val="3B383A"/>
          <w:w w:val="110"/>
        </w:rPr>
        <w:t>coherent</w:t>
      </w:r>
      <w:r>
        <w:rPr>
          <w:color w:val="3B383A"/>
          <w:spacing w:val="-1"/>
          <w:w w:val="110"/>
        </w:rPr>
        <w:t> </w:t>
      </w:r>
      <w:r>
        <w:rPr>
          <w:color w:val="3B383A"/>
          <w:w w:val="110"/>
        </w:rPr>
        <w:t>piece</w:t>
      </w:r>
      <w:r>
        <w:rPr>
          <w:color w:val="3B383A"/>
          <w:spacing w:val="-10"/>
          <w:w w:val="110"/>
        </w:rPr>
        <w:t> </w:t>
      </w:r>
      <w:r>
        <w:rPr>
          <w:color w:val="3B383A"/>
          <w:w w:val="110"/>
        </w:rPr>
        <w:t>of</w:t>
      </w:r>
      <w:r>
        <w:rPr>
          <w:color w:val="3B383A"/>
          <w:spacing w:val="3"/>
          <w:w w:val="110"/>
        </w:rPr>
        <w:t> </w:t>
      </w:r>
      <w:r>
        <w:rPr>
          <w:color w:val="3B383A"/>
          <w:w w:val="110"/>
        </w:rPr>
        <w:t>text:</w:t>
      </w:r>
    </w:p>
    <w:p>
      <w:pPr>
        <w:pStyle w:val="BodyText"/>
        <w:rPr>
          <w:sz w:val="11"/>
        </w:rPr>
      </w:pPr>
    </w:p>
    <w:p>
      <w:pPr>
        <w:spacing w:before="96"/>
        <w:ind w:left="788" w:right="0" w:firstLine="0"/>
        <w:jc w:val="left"/>
        <w:rPr>
          <w:rFonts w:ascii="Arial"/>
          <w:sz w:val="15"/>
        </w:rPr>
      </w:pPr>
      <w:r>
        <w:rPr>
          <w:rFonts w:ascii="Arial"/>
          <w:color w:val="4B4B4B"/>
          <w:sz w:val="15"/>
          <w:u w:val="thick" w:color="4B4B4B"/>
        </w:rPr>
        <w:t>_/\</w:t>
      </w:r>
      <w:r>
        <w:rPr>
          <w:rFonts w:ascii="Arial"/>
          <w:color w:val="4B4B4B"/>
          <w:spacing w:val="80"/>
          <w:sz w:val="15"/>
          <w:u w:val="thick" w:color="4B4B4B"/>
        </w:rPr>
        <w:t> </w:t>
      </w:r>
      <w:r>
        <w:rPr>
          <w:rFonts w:ascii="Arial"/>
          <w:color w:val="4B4B4B"/>
          <w:sz w:val="15"/>
          <w:u w:val="thick" w:color="4B4B4B"/>
        </w:rPr>
        <w:t>GOOD</w:t>
      </w:r>
      <w:r>
        <w:rPr>
          <w:rFonts w:ascii="Arial"/>
          <w:color w:val="4B4B4B"/>
          <w:spacing w:val="-2"/>
          <w:sz w:val="15"/>
          <w:u w:val="thick" w:color="4B4B4B"/>
        </w:rPr>
        <w:t> </w:t>
      </w:r>
      <w:r>
        <w:rPr>
          <w:rFonts w:ascii="Arial"/>
          <w:color w:val="3B383A"/>
          <w:sz w:val="15"/>
          <w:u w:val="thick" w:color="4B4B4B"/>
        </w:rPr>
        <w:t>EXAMPLES</w:t>
      </w:r>
    </w:p>
    <w:p>
      <w:pPr>
        <w:spacing w:line="235" w:lineRule="auto" w:before="93"/>
        <w:ind w:left="1122" w:right="463" w:firstLine="1"/>
        <w:jc w:val="both"/>
        <w:rPr>
          <w:sz w:val="21"/>
        </w:rPr>
      </w:pPr>
      <w:r>
        <w:rPr>
          <w:b/>
          <w:color w:val="3B383A"/>
          <w:w w:val="115"/>
          <w:sz w:val="20"/>
        </w:rPr>
        <w:t>Section 1409(c) gives immediate citizenship to a foreign-born child of</w:t>
      </w:r>
      <w:r>
        <w:rPr>
          <w:b/>
          <w:color w:val="3B383A"/>
          <w:spacing w:val="-55"/>
          <w:w w:val="115"/>
          <w:sz w:val="20"/>
        </w:rPr>
        <w:t> </w:t>
      </w:r>
      <w:r>
        <w:rPr>
          <w:color w:val="3B383A"/>
          <w:w w:val="115"/>
          <w:sz w:val="21"/>
        </w:rPr>
        <w:t>unmarried  parents </w:t>
      </w:r>
      <w:r>
        <w:rPr>
          <w:color w:val="3B383A"/>
          <w:w w:val="115"/>
          <w:sz w:val="20"/>
        </w:rPr>
        <w:t>if </w:t>
      </w:r>
      <w:r>
        <w:rPr>
          <w:color w:val="3B383A"/>
          <w:w w:val="115"/>
          <w:sz w:val="21"/>
        </w:rPr>
        <w:t>the child's mother is a  United States citizen at</w:t>
      </w:r>
      <w:r>
        <w:rPr>
          <w:color w:val="3B383A"/>
          <w:spacing w:val="1"/>
          <w:w w:val="115"/>
          <w:sz w:val="21"/>
        </w:rPr>
        <w:t> </w:t>
      </w:r>
      <w:r>
        <w:rPr>
          <w:color w:val="3B383A"/>
          <w:w w:val="120"/>
          <w:sz w:val="21"/>
        </w:rPr>
        <w:t>the</w:t>
      </w:r>
      <w:r>
        <w:rPr>
          <w:color w:val="3B383A"/>
          <w:spacing w:val="1"/>
          <w:w w:val="120"/>
          <w:sz w:val="21"/>
        </w:rPr>
        <w:t> </w:t>
      </w:r>
      <w:r>
        <w:rPr>
          <w:color w:val="3B383A"/>
          <w:w w:val="120"/>
          <w:sz w:val="21"/>
        </w:rPr>
        <w:t>time</w:t>
      </w:r>
      <w:r>
        <w:rPr>
          <w:color w:val="3B383A"/>
          <w:spacing w:val="-14"/>
          <w:w w:val="120"/>
          <w:sz w:val="21"/>
        </w:rPr>
        <w:t> </w:t>
      </w:r>
      <w:r>
        <w:rPr>
          <w:color w:val="3B383A"/>
          <w:w w:val="120"/>
          <w:sz w:val="21"/>
        </w:rPr>
        <w:t>of</w:t>
      </w:r>
      <w:r>
        <w:rPr>
          <w:color w:val="3B383A"/>
          <w:spacing w:val="1"/>
          <w:w w:val="120"/>
          <w:sz w:val="21"/>
        </w:rPr>
        <w:t> </w:t>
      </w:r>
      <w:r>
        <w:rPr>
          <w:color w:val="3B383A"/>
          <w:w w:val="120"/>
          <w:sz w:val="21"/>
        </w:rPr>
        <w:t>birth:</w:t>
      </w:r>
    </w:p>
    <w:p>
      <w:pPr>
        <w:spacing w:line="252" w:lineRule="exact" w:before="165"/>
        <w:ind w:left="1469" w:right="0" w:firstLine="14"/>
        <w:jc w:val="both"/>
        <w:rPr>
          <w:sz w:val="22"/>
        </w:rPr>
      </w:pPr>
      <w:r>
        <w:rPr>
          <w:color w:val="3B383A"/>
          <w:w w:val="115"/>
          <w:sz w:val="21"/>
        </w:rPr>
        <w:t>Notwithstanding</w:t>
      </w:r>
      <w:r>
        <w:rPr>
          <w:color w:val="3B383A"/>
          <w:spacing w:val="-3"/>
          <w:w w:val="115"/>
          <w:sz w:val="21"/>
        </w:rPr>
        <w:t> </w:t>
      </w:r>
      <w:r>
        <w:rPr>
          <w:color w:val="3B383A"/>
          <w:w w:val="115"/>
          <w:sz w:val="21"/>
        </w:rPr>
        <w:t>the</w:t>
      </w:r>
      <w:r>
        <w:rPr>
          <w:color w:val="3B383A"/>
          <w:spacing w:val="40"/>
          <w:w w:val="115"/>
          <w:sz w:val="21"/>
        </w:rPr>
        <w:t> </w:t>
      </w:r>
      <w:r>
        <w:rPr>
          <w:color w:val="3B383A"/>
          <w:w w:val="115"/>
          <w:sz w:val="21"/>
        </w:rPr>
        <w:t>provision</w:t>
      </w:r>
      <w:r>
        <w:rPr>
          <w:color w:val="3B383A"/>
          <w:spacing w:val="43"/>
          <w:w w:val="115"/>
          <w:sz w:val="21"/>
        </w:rPr>
        <w:t> </w:t>
      </w:r>
      <w:r>
        <w:rPr>
          <w:color w:val="3B383A"/>
          <w:w w:val="115"/>
          <w:sz w:val="21"/>
        </w:rPr>
        <w:t>of</w:t>
      </w:r>
      <w:r>
        <w:rPr>
          <w:color w:val="3B383A"/>
          <w:spacing w:val="33"/>
          <w:w w:val="115"/>
          <w:sz w:val="21"/>
        </w:rPr>
        <w:t> </w:t>
      </w:r>
      <w:r>
        <w:rPr>
          <w:color w:val="3B383A"/>
          <w:w w:val="115"/>
          <w:sz w:val="21"/>
        </w:rPr>
        <w:t>subsection</w:t>
      </w:r>
      <w:r>
        <w:rPr>
          <w:color w:val="3B383A"/>
          <w:spacing w:val="55"/>
          <w:w w:val="115"/>
          <w:sz w:val="21"/>
        </w:rPr>
        <w:t> </w:t>
      </w:r>
      <w:r>
        <w:rPr>
          <w:color w:val="3B383A"/>
          <w:w w:val="115"/>
          <w:sz w:val="21"/>
        </w:rPr>
        <w:t>(a)</w:t>
      </w:r>
      <w:r>
        <w:rPr>
          <w:color w:val="3B383A"/>
          <w:spacing w:val="22"/>
          <w:w w:val="115"/>
          <w:sz w:val="21"/>
        </w:rPr>
        <w:t> </w:t>
      </w:r>
      <w:r>
        <w:rPr>
          <w:color w:val="3B383A"/>
          <w:w w:val="115"/>
          <w:sz w:val="21"/>
        </w:rPr>
        <w:t>of</w:t>
      </w:r>
      <w:r>
        <w:rPr>
          <w:color w:val="3B383A"/>
          <w:spacing w:val="41"/>
          <w:w w:val="115"/>
          <w:sz w:val="21"/>
        </w:rPr>
        <w:t> </w:t>
      </w:r>
      <w:r>
        <w:rPr>
          <w:color w:val="3B383A"/>
          <w:w w:val="115"/>
          <w:sz w:val="21"/>
        </w:rPr>
        <w:t>this</w:t>
      </w:r>
      <w:r>
        <w:rPr>
          <w:color w:val="3B383A"/>
          <w:spacing w:val="34"/>
          <w:w w:val="115"/>
          <w:sz w:val="21"/>
        </w:rPr>
        <w:t> </w:t>
      </w:r>
      <w:r>
        <w:rPr>
          <w:color w:val="3B383A"/>
          <w:w w:val="115"/>
          <w:sz w:val="22"/>
        </w:rPr>
        <w:t>pro­</w:t>
      </w:r>
    </w:p>
    <w:p>
      <w:pPr>
        <w:spacing w:line="206" w:lineRule="auto" w:before="26"/>
        <w:ind w:left="1454" w:right="827" w:firstLine="15"/>
        <w:jc w:val="both"/>
        <w:rPr>
          <w:sz w:val="21"/>
        </w:rPr>
      </w:pPr>
      <w:r>
        <w:rPr>
          <w:color w:val="3B383A"/>
          <w:w w:val="115"/>
          <w:sz w:val="21"/>
        </w:rPr>
        <w:t>vision</w:t>
      </w:r>
      <w:r>
        <w:rPr>
          <w:color w:val="3B383A"/>
          <w:spacing w:val="1"/>
          <w:w w:val="115"/>
          <w:sz w:val="21"/>
        </w:rPr>
        <w:t> </w:t>
      </w:r>
      <w:r>
        <w:rPr>
          <w:color w:val="3B383A"/>
          <w:w w:val="115"/>
          <w:sz w:val="21"/>
        </w:rPr>
        <w:t>[which  requires fathers  to  meet certain  requirements</w:t>
      </w:r>
      <w:r>
        <w:rPr>
          <w:color w:val="3B383A"/>
          <w:spacing w:val="1"/>
          <w:w w:val="115"/>
          <w:sz w:val="21"/>
        </w:rPr>
        <w:t> </w:t>
      </w:r>
      <w:r>
        <w:rPr>
          <w:color w:val="3B383A"/>
          <w:w w:val="115"/>
          <w:sz w:val="21"/>
        </w:rPr>
        <w:t>to establish the citizenship of </w:t>
      </w:r>
      <w:r>
        <w:rPr>
          <w:color w:val="2B282A"/>
          <w:w w:val="115"/>
          <w:sz w:val="21"/>
        </w:rPr>
        <w:t>their </w:t>
      </w:r>
      <w:r>
        <w:rPr>
          <w:color w:val="3B383A"/>
          <w:w w:val="115"/>
          <w:sz w:val="21"/>
        </w:rPr>
        <w:t>children), </w:t>
      </w:r>
      <w:r>
        <w:rPr>
          <w:color w:val="3B383A"/>
          <w:w w:val="115"/>
          <w:sz w:val="27"/>
          <w:u w:val="thick" w:color="3B383A"/>
        </w:rPr>
        <w:t>a</w:t>
      </w:r>
      <w:r>
        <w:rPr>
          <w:color w:val="3B383A"/>
          <w:w w:val="115"/>
          <w:sz w:val="27"/>
        </w:rPr>
        <w:t> </w:t>
      </w:r>
      <w:r>
        <w:rPr>
          <w:color w:val="3B383A"/>
          <w:w w:val="115"/>
          <w:sz w:val="21"/>
          <w:u w:val="thick" w:color="3B383A"/>
        </w:rPr>
        <w:t>person</w:t>
      </w:r>
      <w:r>
        <w:rPr>
          <w:color w:val="3B383A"/>
          <w:w w:val="115"/>
          <w:sz w:val="21"/>
        </w:rPr>
        <w:t> born,</w:t>
      </w:r>
      <w:r>
        <w:rPr>
          <w:color w:val="3B383A"/>
          <w:spacing w:val="1"/>
          <w:w w:val="115"/>
          <w:sz w:val="21"/>
        </w:rPr>
        <w:t> </w:t>
      </w:r>
      <w:r>
        <w:rPr>
          <w:color w:val="3B383A"/>
          <w:w w:val="115"/>
          <w:sz w:val="21"/>
        </w:rPr>
        <w:t>after</w:t>
      </w:r>
      <w:r>
        <w:rPr>
          <w:color w:val="3B383A"/>
          <w:spacing w:val="7"/>
          <w:w w:val="115"/>
          <w:sz w:val="21"/>
        </w:rPr>
        <w:t> </w:t>
      </w:r>
      <w:r>
        <w:rPr>
          <w:color w:val="3B383A"/>
          <w:w w:val="115"/>
          <w:sz w:val="21"/>
        </w:rPr>
        <w:t>December</w:t>
      </w:r>
      <w:r>
        <w:rPr>
          <w:color w:val="3B383A"/>
          <w:spacing w:val="13"/>
          <w:w w:val="115"/>
          <w:sz w:val="21"/>
        </w:rPr>
        <w:t> </w:t>
      </w:r>
      <w:r>
        <w:rPr>
          <w:color w:val="3B383A"/>
          <w:w w:val="115"/>
          <w:sz w:val="21"/>
        </w:rPr>
        <w:t>23,</w:t>
      </w:r>
      <w:r>
        <w:rPr>
          <w:color w:val="3B383A"/>
          <w:spacing w:val="11"/>
          <w:w w:val="115"/>
          <w:sz w:val="21"/>
        </w:rPr>
        <w:t> </w:t>
      </w:r>
      <w:r>
        <w:rPr>
          <w:color w:val="3B383A"/>
          <w:w w:val="115"/>
          <w:sz w:val="21"/>
        </w:rPr>
        <w:t>1952,</w:t>
      </w:r>
      <w:r>
        <w:rPr>
          <w:color w:val="3B383A"/>
          <w:spacing w:val="-9"/>
          <w:w w:val="115"/>
          <w:sz w:val="21"/>
        </w:rPr>
        <w:t> </w:t>
      </w:r>
      <w:r>
        <w:rPr>
          <w:color w:val="3B383A"/>
          <w:w w:val="115"/>
          <w:sz w:val="21"/>
        </w:rPr>
        <w:t>outside</w:t>
      </w:r>
      <w:r>
        <w:rPr>
          <w:color w:val="3B383A"/>
          <w:spacing w:val="2"/>
          <w:w w:val="115"/>
          <w:sz w:val="21"/>
        </w:rPr>
        <w:t> </w:t>
      </w:r>
      <w:r>
        <w:rPr>
          <w:color w:val="3B383A"/>
          <w:w w:val="115"/>
          <w:sz w:val="21"/>
        </w:rPr>
        <w:t>the</w:t>
      </w:r>
      <w:r>
        <w:rPr>
          <w:color w:val="3B383A"/>
          <w:spacing w:val="17"/>
          <w:w w:val="115"/>
          <w:sz w:val="21"/>
        </w:rPr>
        <w:t> </w:t>
      </w:r>
      <w:r>
        <w:rPr>
          <w:color w:val="3B383A"/>
          <w:w w:val="115"/>
          <w:sz w:val="21"/>
        </w:rPr>
        <w:t>United</w:t>
      </w:r>
      <w:r>
        <w:rPr>
          <w:color w:val="3B383A"/>
          <w:spacing w:val="-7"/>
          <w:w w:val="115"/>
          <w:sz w:val="21"/>
        </w:rPr>
        <w:t> </w:t>
      </w:r>
      <w:r>
        <w:rPr>
          <w:color w:val="3B383A"/>
          <w:w w:val="115"/>
          <w:sz w:val="21"/>
        </w:rPr>
        <w:t>States</w:t>
      </w:r>
      <w:r>
        <w:rPr>
          <w:color w:val="3B383A"/>
          <w:spacing w:val="-6"/>
          <w:w w:val="115"/>
          <w:sz w:val="21"/>
        </w:rPr>
        <w:t> </w:t>
      </w:r>
      <w:r>
        <w:rPr>
          <w:color w:val="3B383A"/>
          <w:w w:val="115"/>
          <w:sz w:val="21"/>
        </w:rPr>
        <w:t>and</w:t>
      </w:r>
      <w:r>
        <w:rPr>
          <w:color w:val="3B383A"/>
          <w:spacing w:val="16"/>
          <w:w w:val="115"/>
          <w:sz w:val="21"/>
        </w:rPr>
        <w:t> </w:t>
      </w:r>
      <w:r>
        <w:rPr>
          <w:color w:val="3B383A"/>
          <w:w w:val="115"/>
          <w:sz w:val="21"/>
        </w:rPr>
        <w:t>out</w:t>
      </w:r>
      <w:r>
        <w:rPr>
          <w:color w:val="3B383A"/>
          <w:spacing w:val="17"/>
          <w:w w:val="115"/>
          <w:sz w:val="21"/>
        </w:rPr>
        <w:t> </w:t>
      </w:r>
      <w:r>
        <w:rPr>
          <w:color w:val="3B383A"/>
          <w:w w:val="115"/>
          <w:sz w:val="21"/>
        </w:rPr>
        <w:t>of</w:t>
      </w:r>
    </w:p>
    <w:p>
      <w:pPr>
        <w:spacing w:line="225" w:lineRule="auto" w:before="16"/>
        <w:ind w:left="1415" w:right="834" w:firstLine="35"/>
        <w:jc w:val="both"/>
        <w:rPr>
          <w:sz w:val="21"/>
        </w:rPr>
      </w:pPr>
      <w:r>
        <w:rPr>
          <w:color w:val="3B383A"/>
          <w:w w:val="115"/>
          <w:sz w:val="21"/>
        </w:rPr>
        <w:t>wedlock </w:t>
      </w:r>
      <w:r>
        <w:rPr>
          <w:color w:val="3B383A"/>
          <w:w w:val="115"/>
          <w:sz w:val="22"/>
          <w:u w:val="thick" w:color="3B383A"/>
        </w:rPr>
        <w:t>shall </w:t>
      </w:r>
      <w:r>
        <w:rPr>
          <w:color w:val="3B383A"/>
          <w:w w:val="115"/>
          <w:sz w:val="21"/>
          <w:u w:val="thick" w:color="3B383A"/>
        </w:rPr>
        <w:t>be held to have acquired at</w:t>
      </w:r>
      <w:r>
        <w:rPr>
          <w:color w:val="3B383A"/>
          <w:spacing w:val="1"/>
          <w:w w:val="115"/>
          <w:sz w:val="21"/>
          <w:u w:val="thick" w:color="3B383A"/>
        </w:rPr>
        <w:t> </w:t>
      </w:r>
      <w:r>
        <w:rPr>
          <w:color w:val="3B383A"/>
          <w:w w:val="115"/>
          <w:sz w:val="21"/>
          <w:u w:val="thick" w:color="3B383A"/>
        </w:rPr>
        <w:t>birth  </w:t>
      </w:r>
      <w:r>
        <w:rPr>
          <w:color w:val="3B383A"/>
          <w:w w:val="115"/>
          <w:sz w:val="22"/>
          <w:u w:val="thick" w:color="3B383A"/>
        </w:rPr>
        <w:t>the </w:t>
      </w:r>
      <w:r>
        <w:rPr>
          <w:color w:val="3B383A"/>
          <w:w w:val="115"/>
          <w:sz w:val="21"/>
          <w:u w:val="thick" w:color="3B383A"/>
        </w:rPr>
        <w:t>national­</w:t>
      </w:r>
      <w:r>
        <w:rPr>
          <w:color w:val="3B383A"/>
          <w:spacing w:val="1"/>
          <w:w w:val="115"/>
          <w:sz w:val="21"/>
        </w:rPr>
        <w:t> </w:t>
      </w:r>
      <w:r>
        <w:rPr>
          <w:color w:val="3B383A"/>
          <w:w w:val="115"/>
          <w:sz w:val="21"/>
          <w:u w:val="thick" w:color="3B383A"/>
        </w:rPr>
        <w:t>ity </w:t>
      </w:r>
      <w:r>
        <w:rPr>
          <w:color w:val="4B4B4B"/>
          <w:w w:val="115"/>
          <w:sz w:val="22"/>
          <w:u w:val="thick" w:color="3B383A"/>
        </w:rPr>
        <w:t>status </w:t>
      </w:r>
      <w:r>
        <w:rPr>
          <w:color w:val="3B383A"/>
          <w:w w:val="115"/>
          <w:sz w:val="21"/>
          <w:u w:val="thick" w:color="3B383A"/>
        </w:rPr>
        <w:t>of </w:t>
      </w:r>
      <w:r>
        <w:rPr>
          <w:color w:val="3B383A"/>
          <w:w w:val="115"/>
          <w:sz w:val="22"/>
          <w:u w:val="thick" w:color="3B383A"/>
        </w:rPr>
        <w:t>the mother, </w:t>
      </w:r>
      <w:r>
        <w:rPr>
          <w:rFonts w:ascii="Arial" w:hAnsi="Arial"/>
          <w:i/>
          <w:color w:val="2B282A"/>
          <w:w w:val="115"/>
          <w:sz w:val="23"/>
          <w:u w:val="thick" w:color="3B383A"/>
        </w:rPr>
        <w:t>if </w:t>
      </w:r>
      <w:r>
        <w:rPr>
          <w:color w:val="3B383A"/>
          <w:w w:val="115"/>
          <w:sz w:val="22"/>
          <w:u w:val="thick" w:color="3B383A"/>
        </w:rPr>
        <w:t>the mother </w:t>
      </w:r>
      <w:r>
        <w:rPr>
          <w:color w:val="3B383A"/>
          <w:w w:val="115"/>
          <w:sz w:val="21"/>
          <w:u w:val="thick" w:color="3B383A"/>
        </w:rPr>
        <w:t>bad </w:t>
      </w:r>
      <w:r>
        <w:rPr>
          <w:color w:val="3B383A"/>
          <w:w w:val="115"/>
          <w:sz w:val="22"/>
          <w:u w:val="thick" w:color="3B383A"/>
        </w:rPr>
        <w:t>the nationality of</w:t>
      </w:r>
      <w:r>
        <w:rPr>
          <w:color w:val="3B383A"/>
          <w:spacing w:val="1"/>
          <w:w w:val="115"/>
          <w:sz w:val="22"/>
        </w:rPr>
        <w:t> </w:t>
      </w:r>
      <w:r>
        <w:rPr>
          <w:color w:val="3B383A"/>
          <w:w w:val="115"/>
          <w:sz w:val="21"/>
          <w:u w:val="thick" w:color="3B383A"/>
        </w:rPr>
        <w:t>the</w:t>
      </w:r>
      <w:r>
        <w:rPr>
          <w:color w:val="3B383A"/>
          <w:spacing w:val="1"/>
          <w:w w:val="115"/>
          <w:sz w:val="21"/>
          <w:u w:val="thick" w:color="3B383A"/>
        </w:rPr>
        <w:t> </w:t>
      </w:r>
      <w:r>
        <w:rPr>
          <w:color w:val="3B383A"/>
          <w:w w:val="115"/>
          <w:sz w:val="21"/>
          <w:u w:val="thick" w:color="3B383A"/>
        </w:rPr>
        <w:t>United States at the time of such person's </w:t>
      </w:r>
      <w:r>
        <w:rPr>
          <w:color w:val="3B383A"/>
          <w:w w:val="115"/>
          <w:sz w:val="22"/>
          <w:u w:val="thick" w:color="3B383A"/>
        </w:rPr>
        <w:t>birth,</w:t>
      </w:r>
      <w:r>
        <w:rPr>
          <w:color w:val="3B383A"/>
          <w:w w:val="115"/>
          <w:sz w:val="22"/>
        </w:rPr>
        <w:t> </w:t>
      </w:r>
      <w:r>
        <w:rPr>
          <w:color w:val="3B383A"/>
          <w:w w:val="115"/>
          <w:sz w:val="21"/>
        </w:rPr>
        <w:t>and if the</w:t>
      </w:r>
      <w:r>
        <w:rPr>
          <w:color w:val="3B383A"/>
          <w:spacing w:val="1"/>
          <w:w w:val="115"/>
          <w:sz w:val="21"/>
        </w:rPr>
        <w:t> </w:t>
      </w:r>
      <w:r>
        <w:rPr>
          <w:color w:val="3B383A"/>
          <w:w w:val="115"/>
          <w:sz w:val="21"/>
        </w:rPr>
        <w:t>mother had previously been physicaJJy present in the United</w:t>
      </w:r>
      <w:r>
        <w:rPr>
          <w:color w:val="3B383A"/>
          <w:spacing w:val="1"/>
          <w:w w:val="115"/>
          <w:sz w:val="21"/>
        </w:rPr>
        <w:t> </w:t>
      </w:r>
      <w:r>
        <w:rPr>
          <w:color w:val="3B383A"/>
          <w:w w:val="110"/>
          <w:sz w:val="21"/>
        </w:rPr>
        <w:t>States </w:t>
      </w:r>
      <w:r>
        <w:rPr>
          <w:color w:val="2B282A"/>
          <w:w w:val="110"/>
          <w:sz w:val="21"/>
        </w:rPr>
        <w:t>or </w:t>
      </w:r>
      <w:r>
        <w:rPr>
          <w:color w:val="3B383A"/>
          <w:w w:val="110"/>
          <w:sz w:val="21"/>
        </w:rPr>
        <w:t>one</w:t>
      </w:r>
      <w:r>
        <w:rPr>
          <w:color w:val="3B383A"/>
          <w:spacing w:val="1"/>
          <w:w w:val="110"/>
          <w:sz w:val="21"/>
        </w:rPr>
        <w:t> </w:t>
      </w:r>
      <w:r>
        <w:rPr>
          <w:color w:val="3B383A"/>
          <w:w w:val="110"/>
          <w:sz w:val="21"/>
        </w:rPr>
        <w:t>of its outlying possessions for a continuous  period</w:t>
      </w:r>
      <w:r>
        <w:rPr>
          <w:color w:val="3B383A"/>
          <w:spacing w:val="1"/>
          <w:w w:val="110"/>
          <w:sz w:val="21"/>
        </w:rPr>
        <w:t> </w:t>
      </w:r>
      <w:r>
        <w:rPr>
          <w:color w:val="3B383A"/>
          <w:w w:val="115"/>
          <w:sz w:val="21"/>
        </w:rPr>
        <w:t>of</w:t>
      </w:r>
      <w:r>
        <w:rPr>
          <w:color w:val="3B383A"/>
          <w:spacing w:val="16"/>
          <w:w w:val="115"/>
          <w:sz w:val="21"/>
        </w:rPr>
        <w:t> </w:t>
      </w:r>
      <w:r>
        <w:rPr>
          <w:color w:val="3B383A"/>
          <w:w w:val="115"/>
          <w:sz w:val="21"/>
        </w:rPr>
        <w:t>one</w:t>
      </w:r>
      <w:r>
        <w:rPr>
          <w:color w:val="3B383A"/>
          <w:spacing w:val="25"/>
          <w:w w:val="115"/>
          <w:sz w:val="21"/>
        </w:rPr>
        <w:t> </w:t>
      </w:r>
      <w:r>
        <w:rPr>
          <w:color w:val="3B383A"/>
          <w:w w:val="115"/>
          <w:sz w:val="21"/>
        </w:rPr>
        <w:t>year</w:t>
      </w:r>
      <w:r>
        <w:rPr>
          <w:color w:val="5B5B5D"/>
          <w:w w:val="115"/>
          <w:sz w:val="21"/>
        </w:rPr>
        <w:t>.</w:t>
      </w:r>
      <w:r>
        <w:rPr>
          <w:color w:val="B1B3B5"/>
          <w:w w:val="115"/>
          <w:sz w:val="21"/>
        </w:rPr>
        <w:t>·</w:t>
      </w:r>
    </w:p>
    <w:p>
      <w:pPr>
        <w:spacing w:before="171"/>
        <w:ind w:left="1020" w:right="0" w:firstLine="0"/>
        <w:jc w:val="both"/>
        <w:rPr>
          <w:b/>
          <w:sz w:val="20"/>
        </w:rPr>
      </w:pPr>
      <w:r>
        <w:rPr>
          <w:b/>
          <w:color w:val="3B383A"/>
          <w:w w:val="115"/>
          <w:sz w:val="20"/>
        </w:rPr>
        <w:t>8</w:t>
      </w:r>
      <w:r>
        <w:rPr>
          <w:b/>
          <w:color w:val="3B383A"/>
          <w:spacing w:val="21"/>
          <w:w w:val="115"/>
          <w:sz w:val="20"/>
        </w:rPr>
        <w:t> </w:t>
      </w:r>
      <w:r>
        <w:rPr>
          <w:b/>
          <w:color w:val="3B383A"/>
          <w:w w:val="115"/>
          <w:sz w:val="20"/>
        </w:rPr>
        <w:t>U.S.C.</w:t>
      </w:r>
      <w:r>
        <w:rPr>
          <w:b/>
          <w:color w:val="3B383A"/>
          <w:spacing w:val="5"/>
          <w:w w:val="115"/>
          <w:sz w:val="20"/>
        </w:rPr>
        <w:t> </w:t>
      </w:r>
      <w:r>
        <w:rPr>
          <w:b/>
          <w:color w:val="3B383A"/>
          <w:w w:val="115"/>
          <w:sz w:val="20"/>
        </w:rPr>
        <w:t>§1409(c)</w:t>
      </w:r>
      <w:r>
        <w:rPr>
          <w:b/>
          <w:color w:val="3B383A"/>
          <w:spacing w:val="5"/>
          <w:w w:val="115"/>
          <w:sz w:val="20"/>
        </w:rPr>
        <w:t> </w:t>
      </w:r>
      <w:r>
        <w:rPr>
          <w:b/>
          <w:color w:val="3B383A"/>
          <w:w w:val="115"/>
          <w:sz w:val="20"/>
        </w:rPr>
        <w:t>(1994)</w:t>
      </w:r>
      <w:r>
        <w:rPr>
          <w:b/>
          <w:color w:val="3B383A"/>
          <w:spacing w:val="-8"/>
          <w:w w:val="115"/>
          <w:sz w:val="20"/>
        </w:rPr>
        <w:t> </w:t>
      </w:r>
      <w:r>
        <w:rPr>
          <w:b/>
          <w:color w:val="3B383A"/>
          <w:w w:val="115"/>
          <w:sz w:val="20"/>
        </w:rPr>
        <w:t>(emphasis</w:t>
      </w:r>
      <w:r>
        <w:rPr>
          <w:b/>
          <w:color w:val="3B383A"/>
          <w:spacing w:val="-10"/>
          <w:w w:val="115"/>
          <w:sz w:val="20"/>
        </w:rPr>
        <w:t> </w:t>
      </w:r>
      <w:r>
        <w:rPr>
          <w:b/>
          <w:color w:val="3B383A"/>
          <w:w w:val="115"/>
          <w:sz w:val="20"/>
        </w:rPr>
        <w:t>added).</w:t>
      </w:r>
    </w:p>
    <w:p>
      <w:pPr>
        <w:spacing w:after="0"/>
        <w:jc w:val="both"/>
        <w:rPr>
          <w:sz w:val="20"/>
        </w:rPr>
        <w:sectPr>
          <w:headerReference w:type="even" r:id="rId308"/>
          <w:pgSz w:w="9750" w:h="13970"/>
          <w:pgMar w:header="0" w:footer="0" w:top="280" w:bottom="0" w:left="1200" w:right="1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spacing w:line="240" w:lineRule="auto" w:before="1"/>
        <w:ind w:left="421" w:right="905" w:hanging="13"/>
        <w:jc w:val="both"/>
        <w:rPr>
          <w:sz w:val="21"/>
        </w:rPr>
      </w:pPr>
      <w:r>
        <w:rPr>
          <w:color w:val="383638"/>
          <w:w w:val="115"/>
          <w:sz w:val="21"/>
        </w:rPr>
        <w:t>Section</w:t>
      </w:r>
      <w:r>
        <w:rPr>
          <w:color w:val="383638"/>
          <w:spacing w:val="-11"/>
          <w:w w:val="115"/>
          <w:sz w:val="21"/>
        </w:rPr>
        <w:t> </w:t>
      </w:r>
      <w:r>
        <w:rPr>
          <w:color w:val="383638"/>
          <w:w w:val="115"/>
          <w:sz w:val="21"/>
        </w:rPr>
        <w:t>1409(c)</w:t>
      </w:r>
      <w:r>
        <w:rPr>
          <w:color w:val="383638"/>
          <w:spacing w:val="-11"/>
          <w:w w:val="115"/>
          <w:sz w:val="21"/>
        </w:rPr>
        <w:t> </w:t>
      </w:r>
      <w:r>
        <w:rPr>
          <w:color w:val="383638"/>
          <w:w w:val="115"/>
          <w:sz w:val="21"/>
        </w:rPr>
        <w:t>gives</w:t>
      </w:r>
      <w:r>
        <w:rPr>
          <w:color w:val="383638"/>
          <w:spacing w:val="-23"/>
          <w:w w:val="115"/>
          <w:sz w:val="21"/>
        </w:rPr>
        <w:t> </w:t>
      </w:r>
      <w:r>
        <w:rPr>
          <w:color w:val="383638"/>
          <w:w w:val="115"/>
          <w:sz w:val="21"/>
        </w:rPr>
        <w:t>immediate</w:t>
      </w:r>
      <w:r>
        <w:rPr>
          <w:color w:val="383638"/>
          <w:spacing w:val="-13"/>
          <w:w w:val="115"/>
          <w:sz w:val="21"/>
        </w:rPr>
        <w:t> </w:t>
      </w:r>
      <w:r>
        <w:rPr>
          <w:color w:val="383638"/>
          <w:w w:val="115"/>
          <w:sz w:val="21"/>
        </w:rPr>
        <w:t>citizenship</w:t>
      </w:r>
      <w:r>
        <w:rPr>
          <w:color w:val="383638"/>
          <w:spacing w:val="-4"/>
          <w:w w:val="115"/>
          <w:sz w:val="21"/>
        </w:rPr>
        <w:t> </w:t>
      </w:r>
      <w:r>
        <w:rPr>
          <w:color w:val="383638"/>
          <w:w w:val="115"/>
          <w:sz w:val="21"/>
        </w:rPr>
        <w:t>to</w:t>
      </w:r>
      <w:r>
        <w:rPr>
          <w:color w:val="383638"/>
          <w:spacing w:val="2"/>
          <w:w w:val="115"/>
          <w:sz w:val="21"/>
        </w:rPr>
        <w:t> </w:t>
      </w:r>
      <w:r>
        <w:rPr>
          <w:color w:val="383638"/>
          <w:w w:val="115"/>
          <w:sz w:val="21"/>
        </w:rPr>
        <w:t>a</w:t>
      </w:r>
      <w:r>
        <w:rPr>
          <w:color w:val="383638"/>
          <w:spacing w:val="2"/>
          <w:w w:val="115"/>
          <w:sz w:val="21"/>
        </w:rPr>
        <w:t> </w:t>
      </w:r>
      <w:r>
        <w:rPr>
          <w:color w:val="383638"/>
          <w:w w:val="115"/>
          <w:sz w:val="21"/>
        </w:rPr>
        <w:t>foreign-born</w:t>
      </w:r>
      <w:r>
        <w:rPr>
          <w:color w:val="383638"/>
          <w:spacing w:val="-6"/>
          <w:w w:val="115"/>
          <w:sz w:val="21"/>
        </w:rPr>
        <w:t> </w:t>
      </w:r>
      <w:r>
        <w:rPr>
          <w:color w:val="383638"/>
          <w:w w:val="115"/>
          <w:sz w:val="21"/>
        </w:rPr>
        <w:t>child</w:t>
      </w:r>
      <w:r>
        <w:rPr>
          <w:color w:val="383638"/>
          <w:spacing w:val="-5"/>
          <w:w w:val="115"/>
          <w:sz w:val="21"/>
        </w:rPr>
        <w:t> </w:t>
      </w:r>
      <w:r>
        <w:rPr>
          <w:color w:val="383638"/>
          <w:w w:val="115"/>
          <w:sz w:val="21"/>
        </w:rPr>
        <w:t>of</w:t>
      </w:r>
      <w:r>
        <w:rPr>
          <w:color w:val="383638"/>
          <w:spacing w:val="-58"/>
          <w:w w:val="115"/>
          <w:sz w:val="21"/>
        </w:rPr>
        <w:t> </w:t>
      </w:r>
      <w:r>
        <w:rPr>
          <w:color w:val="383638"/>
          <w:w w:val="120"/>
          <w:sz w:val="21"/>
        </w:rPr>
        <w:t>unmarried parents </w:t>
      </w:r>
      <w:r>
        <w:rPr>
          <w:color w:val="383638"/>
          <w:w w:val="120"/>
          <w:sz w:val="20"/>
        </w:rPr>
        <w:t>if </w:t>
      </w:r>
      <w:r>
        <w:rPr>
          <w:color w:val="383638"/>
          <w:w w:val="120"/>
          <w:sz w:val="21"/>
        </w:rPr>
        <w:t>the child's mother </w:t>
      </w:r>
      <w:r>
        <w:rPr>
          <w:color w:val="383638"/>
          <w:w w:val="120"/>
          <w:sz w:val="20"/>
        </w:rPr>
        <w:t>is </w:t>
      </w:r>
      <w:r>
        <w:rPr>
          <w:rFonts w:ascii="Arial"/>
          <w:color w:val="383638"/>
          <w:w w:val="120"/>
          <w:sz w:val="20"/>
        </w:rPr>
        <w:t>a </w:t>
      </w:r>
      <w:r>
        <w:rPr>
          <w:color w:val="383638"/>
          <w:w w:val="120"/>
          <w:sz w:val="21"/>
        </w:rPr>
        <w:t>United States citizen at</w:t>
      </w:r>
      <w:r>
        <w:rPr>
          <w:color w:val="383638"/>
          <w:spacing w:val="-60"/>
          <w:w w:val="120"/>
          <w:sz w:val="21"/>
        </w:rPr>
        <w:t> </w:t>
      </w:r>
      <w:r>
        <w:rPr>
          <w:color w:val="383638"/>
          <w:w w:val="120"/>
          <w:sz w:val="21"/>
        </w:rPr>
        <w:t>the</w:t>
      </w:r>
      <w:r>
        <w:rPr>
          <w:color w:val="383638"/>
          <w:spacing w:val="-26"/>
          <w:w w:val="120"/>
          <w:sz w:val="21"/>
        </w:rPr>
        <w:t> </w:t>
      </w:r>
      <w:r>
        <w:rPr>
          <w:color w:val="383638"/>
          <w:w w:val="120"/>
          <w:sz w:val="21"/>
        </w:rPr>
        <w:t>time</w:t>
      </w:r>
      <w:r>
        <w:rPr>
          <w:color w:val="383638"/>
          <w:spacing w:val="-24"/>
          <w:w w:val="120"/>
          <w:sz w:val="21"/>
        </w:rPr>
        <w:t> </w:t>
      </w:r>
      <w:r>
        <w:rPr>
          <w:color w:val="383638"/>
          <w:w w:val="120"/>
          <w:sz w:val="21"/>
        </w:rPr>
        <w:t>of</w:t>
      </w:r>
      <w:r>
        <w:rPr>
          <w:color w:val="383638"/>
          <w:spacing w:val="-9"/>
          <w:w w:val="120"/>
          <w:sz w:val="21"/>
        </w:rPr>
        <w:t> </w:t>
      </w:r>
      <w:r>
        <w:rPr>
          <w:color w:val="383638"/>
          <w:w w:val="120"/>
          <w:sz w:val="21"/>
        </w:rPr>
        <w:t>birth:</w:t>
      </w:r>
    </w:p>
    <w:p>
      <w:pPr>
        <w:spacing w:line="235" w:lineRule="auto" w:before="136"/>
        <w:ind w:left="777" w:right="1252" w:firstLine="13"/>
        <w:jc w:val="both"/>
        <w:rPr>
          <w:sz w:val="21"/>
        </w:rPr>
      </w:pPr>
      <w:r>
        <w:rPr>
          <w:color w:val="383638"/>
          <w:w w:val="115"/>
          <w:sz w:val="21"/>
        </w:rPr>
        <w:t>Notwithstanding the provision of subsection (a) of this provi­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sion [which requires fathers to meet certain requirements to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0"/>
          <w:sz w:val="21"/>
        </w:rPr>
        <w:t>establish the citizenship of their children], </w:t>
      </w:r>
      <w:r>
        <w:rPr>
          <w:b/>
          <w:color w:val="383638"/>
          <w:w w:val="110"/>
          <w:sz w:val="22"/>
        </w:rPr>
        <w:t>a person </w:t>
      </w:r>
      <w:r>
        <w:rPr>
          <w:color w:val="383638"/>
          <w:w w:val="110"/>
          <w:sz w:val="21"/>
        </w:rPr>
        <w:t>bom, after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5"/>
          <w:sz w:val="21"/>
        </w:rPr>
        <w:t>December 23, 1952, outside the United States and out of wed­</w:t>
      </w:r>
      <w:r>
        <w:rPr>
          <w:color w:val="383638"/>
          <w:spacing w:val="-58"/>
          <w:w w:val="115"/>
          <w:sz w:val="21"/>
        </w:rPr>
        <w:t> </w:t>
      </w:r>
      <w:r>
        <w:rPr>
          <w:color w:val="383638"/>
          <w:w w:val="115"/>
          <w:sz w:val="21"/>
        </w:rPr>
        <w:t>lock shall be held to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have acquired at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birth the nationality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4B494B"/>
          <w:w w:val="115"/>
          <w:sz w:val="21"/>
        </w:rPr>
        <w:t>status </w:t>
      </w:r>
      <w:r>
        <w:rPr>
          <w:color w:val="383638"/>
          <w:w w:val="115"/>
          <w:sz w:val="21"/>
        </w:rPr>
        <w:t>of the mother, if the mother had the nationality of the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United States at the time of such person's birth, and if the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mother had previously been physically present in the United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0"/>
          <w:sz w:val="21"/>
        </w:rPr>
        <w:t>States or one of its outlying possessions for a continuous period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5"/>
          <w:sz w:val="21"/>
        </w:rPr>
        <w:t>of</w:t>
      </w:r>
      <w:r>
        <w:rPr>
          <w:color w:val="383638"/>
          <w:spacing w:val="-14"/>
          <w:w w:val="115"/>
          <w:sz w:val="21"/>
        </w:rPr>
        <w:t> </w:t>
      </w:r>
      <w:r>
        <w:rPr>
          <w:color w:val="383638"/>
          <w:w w:val="115"/>
          <w:sz w:val="21"/>
        </w:rPr>
        <w:t>one</w:t>
      </w:r>
      <w:r>
        <w:rPr>
          <w:color w:val="383638"/>
          <w:spacing w:val="25"/>
          <w:w w:val="115"/>
          <w:sz w:val="21"/>
        </w:rPr>
        <w:t> </w:t>
      </w:r>
      <w:r>
        <w:rPr>
          <w:color w:val="383638"/>
          <w:w w:val="115"/>
          <w:sz w:val="21"/>
        </w:rPr>
        <w:t>year.</w:t>
      </w:r>
    </w:p>
    <w:p>
      <w:pPr>
        <w:spacing w:before="132"/>
        <w:ind w:left="428" w:right="0" w:firstLine="0"/>
        <w:jc w:val="both"/>
        <w:rPr>
          <w:sz w:val="21"/>
        </w:rPr>
      </w:pPr>
      <w:r>
        <w:rPr>
          <w:color w:val="383638"/>
          <w:w w:val="110"/>
          <w:sz w:val="21"/>
        </w:rPr>
        <w:t>8</w:t>
      </w:r>
      <w:r>
        <w:rPr>
          <w:color w:val="383638"/>
          <w:spacing w:val="30"/>
          <w:w w:val="110"/>
          <w:sz w:val="21"/>
        </w:rPr>
        <w:t> </w:t>
      </w:r>
      <w:r>
        <w:rPr>
          <w:color w:val="383638"/>
          <w:w w:val="110"/>
          <w:sz w:val="21"/>
        </w:rPr>
        <w:t>U.S.C.</w:t>
      </w:r>
      <w:r>
        <w:rPr>
          <w:color w:val="383638"/>
          <w:spacing w:val="-11"/>
          <w:w w:val="110"/>
          <w:sz w:val="21"/>
        </w:rPr>
        <w:t> </w:t>
      </w:r>
      <w:r>
        <w:rPr>
          <w:color w:val="383638"/>
          <w:w w:val="110"/>
          <w:sz w:val="21"/>
        </w:rPr>
        <w:t>§1409(c)</w:t>
      </w:r>
      <w:r>
        <w:rPr>
          <w:color w:val="383638"/>
          <w:spacing w:val="9"/>
          <w:w w:val="110"/>
          <w:sz w:val="21"/>
        </w:rPr>
        <w:t> </w:t>
      </w:r>
      <w:r>
        <w:rPr>
          <w:color w:val="383638"/>
          <w:w w:val="110"/>
          <w:sz w:val="21"/>
        </w:rPr>
        <w:t>(1994)</w:t>
      </w:r>
      <w:r>
        <w:rPr>
          <w:color w:val="383638"/>
          <w:spacing w:val="9"/>
          <w:w w:val="110"/>
          <w:sz w:val="21"/>
        </w:rPr>
        <w:t> </w:t>
      </w:r>
      <w:r>
        <w:rPr>
          <w:color w:val="383638"/>
          <w:w w:val="110"/>
          <w:sz w:val="21"/>
        </w:rPr>
        <w:t>(emphasis</w:t>
      </w:r>
      <w:r>
        <w:rPr>
          <w:color w:val="383638"/>
          <w:spacing w:val="9"/>
          <w:w w:val="110"/>
          <w:sz w:val="21"/>
        </w:rPr>
        <w:t> </w:t>
      </w:r>
      <w:r>
        <w:rPr>
          <w:color w:val="383638"/>
          <w:w w:val="110"/>
          <w:sz w:val="21"/>
        </w:rPr>
        <w:t>added).</w:t>
      </w:r>
    </w:p>
    <w:p>
      <w:pPr>
        <w:pStyle w:val="BodyText"/>
        <w:spacing w:line="235" w:lineRule="auto" w:before="149"/>
        <w:ind w:left="111" w:right="478" w:hanging="1"/>
        <w:jc w:val="both"/>
      </w:pPr>
      <w:r>
        <w:rPr>
          <w:color w:val="383638"/>
          <w:w w:val="110"/>
        </w:rPr>
        <w:t>As these examples show, this technique can be used to allow the reader to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read a complete phrase or clause without beingdistracted by language that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05"/>
        </w:rPr>
        <w:t>is</w:t>
      </w:r>
      <w:r>
        <w:rPr>
          <w:color w:val="383638"/>
          <w:spacing w:val="-24"/>
          <w:w w:val="105"/>
        </w:rPr>
        <w:t> </w:t>
      </w:r>
      <w:r>
        <w:rPr>
          <w:color w:val="383638"/>
          <w:w w:val="105"/>
        </w:rPr>
        <w:t>irrelevant</w:t>
      </w:r>
      <w:r>
        <w:rPr>
          <w:color w:val="383638"/>
          <w:spacing w:val="3"/>
          <w:w w:val="105"/>
        </w:rPr>
        <w:t> </w:t>
      </w:r>
      <w:r>
        <w:rPr>
          <w:color w:val="383638"/>
          <w:w w:val="105"/>
        </w:rPr>
        <w:t>to</w:t>
      </w:r>
      <w:r>
        <w:rPr>
          <w:color w:val="383638"/>
          <w:spacing w:val="30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31"/>
          <w:w w:val="105"/>
        </w:rPr>
        <w:t> </w:t>
      </w:r>
      <w:r>
        <w:rPr>
          <w:color w:val="383638"/>
          <w:w w:val="105"/>
        </w:rPr>
        <w:t>issue</w:t>
      </w:r>
      <w:r>
        <w:rPr>
          <w:color w:val="383638"/>
          <w:spacing w:val="-10"/>
          <w:w w:val="105"/>
        </w:rPr>
        <w:t> </w:t>
      </w:r>
      <w:r>
        <w:rPr>
          <w:color w:val="383638"/>
          <w:w w:val="105"/>
        </w:rPr>
        <w:t>under</w:t>
      </w:r>
      <w:r>
        <w:rPr>
          <w:color w:val="383638"/>
          <w:spacing w:val="5"/>
          <w:w w:val="105"/>
        </w:rPr>
        <w:t> </w:t>
      </w:r>
      <w:r>
        <w:rPr>
          <w:color w:val="383638"/>
          <w:w w:val="105"/>
        </w:rPr>
        <w:t>discussion.</w:t>
      </w:r>
      <w:r>
        <w:rPr>
          <w:color w:val="383638"/>
          <w:w w:val="105"/>
          <w:vertAlign w:val="superscript"/>
        </w:rPr>
        <w:t>24</w:t>
      </w:r>
    </w:p>
    <w:p>
      <w:pPr>
        <w:pStyle w:val="BodyText"/>
        <w:spacing w:line="235" w:lineRule="auto"/>
        <w:ind w:left="111" w:right="411" w:firstLine="345"/>
        <w:jc w:val="both"/>
      </w:pPr>
      <w:r>
        <w:rPr>
          <w:color w:val="383638"/>
          <w:w w:val="110"/>
        </w:rPr>
        <w:t>Finally, a word about using all capital letters for </w:t>
      </w:r>
      <w:r>
        <w:rPr>
          <w:color w:val="4B494B"/>
          <w:w w:val="110"/>
        </w:rPr>
        <w:t>emphasis: </w:t>
      </w:r>
      <w:r>
        <w:rPr>
          <w:color w:val="383638"/>
          <w:w w:val="110"/>
        </w:rPr>
        <w:t>Don't. 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fact, unless court rules require it, you can write a very effective brief with­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out ever using any words in all capital letters. Words written </w:t>
      </w:r>
      <w:r>
        <w:rPr>
          <w:color w:val="4B494B"/>
          <w:w w:val="110"/>
        </w:rPr>
        <w:t>entirely </w:t>
      </w:r>
      <w:r>
        <w:rPr>
          <w:color w:val="383638"/>
          <w:w w:val="110"/>
        </w:rPr>
        <w:t>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capital letters are more difficult to read; some studies indicate that weread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lowercase text 5 to 10 percent faster than we do all-caps text.</w:t>
      </w:r>
      <w:r>
        <w:rPr>
          <w:rFonts w:ascii="Arial" w:hAnsi="Arial"/>
          <w:color w:val="383638"/>
          <w:w w:val="110"/>
          <w:position w:val="9"/>
          <w:sz w:val="12"/>
        </w:rPr>
        <w:t>25</w:t>
      </w:r>
      <w:r>
        <w:rPr>
          <w:rFonts w:ascii="Arial" w:hAnsi="Arial"/>
          <w:color w:val="383638"/>
          <w:spacing w:val="1"/>
          <w:w w:val="110"/>
          <w:position w:val="9"/>
          <w:sz w:val="12"/>
        </w:rPr>
        <w:t> </w:t>
      </w:r>
      <w:r>
        <w:rPr>
          <w:color w:val="383638"/>
          <w:w w:val="110"/>
        </w:rPr>
        <w:t>Recent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scholarship indicates that capital letters slow reading speed because of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typical reading style of sweeping over a few words at a time, and seeing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onlya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few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letters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clearly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with</w:t>
      </w:r>
      <w:r>
        <w:rPr>
          <w:color w:val="383638"/>
          <w:spacing w:val="-26"/>
          <w:w w:val="110"/>
        </w:rPr>
        <w:t> </w:t>
      </w:r>
      <w:r>
        <w:rPr>
          <w:color w:val="4B494B"/>
          <w:w w:val="110"/>
        </w:rPr>
        <w:t>our</w:t>
      </w:r>
      <w:r>
        <w:rPr>
          <w:color w:val="4B494B"/>
          <w:spacing w:val="-8"/>
          <w:w w:val="110"/>
        </w:rPr>
        <w:t> </w:t>
      </w:r>
      <w:r>
        <w:rPr>
          <w:color w:val="383638"/>
          <w:w w:val="110"/>
        </w:rPr>
        <w:t>direct</w:t>
      </w:r>
      <w:r>
        <w:rPr>
          <w:color w:val="383638"/>
          <w:spacing w:val="-23"/>
          <w:w w:val="110"/>
        </w:rPr>
        <w:t> </w:t>
      </w:r>
      <w:r>
        <w:rPr>
          <w:color w:val="383638"/>
          <w:w w:val="110"/>
        </w:rPr>
        <w:t>vision.</w:t>
      </w:r>
      <w:r>
        <w:rPr>
          <w:color w:val="383638"/>
          <w:spacing w:val="-24"/>
          <w:w w:val="110"/>
        </w:rPr>
        <w:t> </w:t>
      </w:r>
      <w:r>
        <w:rPr>
          <w:color w:val="383638"/>
          <w:w w:val="110"/>
        </w:rPr>
        <w:t>We</w:t>
      </w:r>
      <w:r>
        <w:rPr>
          <w:color w:val="383638"/>
          <w:spacing w:val="-38"/>
          <w:w w:val="110"/>
        </w:rPr>
        <w:t> </w:t>
      </w:r>
      <w:r>
        <w:rPr>
          <w:color w:val="383638"/>
          <w:w w:val="110"/>
        </w:rPr>
        <w:t>see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rest</w:t>
      </w:r>
      <w:r>
        <w:rPr>
          <w:color w:val="383638"/>
          <w:spacing w:val="-24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6"/>
          <w:w w:val="110"/>
        </w:rPr>
        <w:t> </w:t>
      </w:r>
      <w:r>
        <w:rPr>
          <w:color w:val="383638"/>
          <w:w w:val="110"/>
        </w:rPr>
        <w:t>letters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with our peripheral vision, which is blurred, and which can distinguish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small letters, with their varying shapes, much more easily than it can dis­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tinguish capital letters.</w:t>
      </w:r>
      <w:r>
        <w:rPr>
          <w:rFonts w:ascii="Arial" w:hAnsi="Arial"/>
          <w:color w:val="383638"/>
          <w:w w:val="110"/>
          <w:vertAlign w:val="superscript"/>
        </w:rPr>
        <w:t>26</w:t>
      </w:r>
      <w:r>
        <w:rPr>
          <w:rFonts w:ascii="Arial" w:hAnsi="Arial"/>
          <w:color w:val="383638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Of course, many writers use all capital letters to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05"/>
          <w:vertAlign w:val="baseline"/>
        </w:rPr>
        <w:t>designate element headings such as "SUMMARY OF THE ARGUMENT" or</w:t>
      </w:r>
      <w:r>
        <w:rPr>
          <w:color w:val="383638"/>
          <w:spacing w:val="-58"/>
          <w:w w:val="105"/>
          <w:vertAlign w:val="baseline"/>
        </w:rPr>
        <w:t> </w:t>
      </w:r>
      <w:r>
        <w:rPr>
          <w:color w:val="4B494B"/>
          <w:w w:val="105"/>
          <w:vertAlign w:val="baseline"/>
        </w:rPr>
        <w:t>"QUESTIONS </w:t>
      </w:r>
      <w:r>
        <w:rPr>
          <w:color w:val="383638"/>
          <w:w w:val="105"/>
          <w:vertAlign w:val="baseline"/>
        </w:rPr>
        <w:t>PRESENTED." Most readers can tolerate this use reasonably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10"/>
          <w:vertAlign w:val="baseline"/>
        </w:rPr>
        <w:t>well,</w:t>
      </w:r>
      <w:r>
        <w:rPr>
          <w:color w:val="383638"/>
          <w:spacing w:val="8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but</w:t>
      </w:r>
      <w:r>
        <w:rPr>
          <w:color w:val="383638"/>
          <w:spacing w:val="16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writing</w:t>
      </w:r>
      <w:r>
        <w:rPr>
          <w:color w:val="383638"/>
          <w:spacing w:val="5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more</w:t>
      </w:r>
      <w:r>
        <w:rPr>
          <w:color w:val="383638"/>
          <w:spacing w:val="9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than</w:t>
      </w:r>
      <w:r>
        <w:rPr>
          <w:color w:val="383638"/>
          <w:spacing w:val="5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</w:t>
      </w:r>
      <w:r>
        <w:rPr>
          <w:color w:val="383638"/>
          <w:spacing w:val="7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few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words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in</w:t>
      </w:r>
      <w:r>
        <w:rPr>
          <w:color w:val="383638"/>
          <w:spacing w:val="27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all</w:t>
      </w:r>
      <w:r>
        <w:rPr>
          <w:color w:val="383638"/>
          <w:spacing w:val="8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capital</w:t>
      </w:r>
      <w:r>
        <w:rPr>
          <w:color w:val="383638"/>
          <w:spacing w:val="20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letters</w:t>
      </w:r>
      <w:r>
        <w:rPr>
          <w:color w:val="383638"/>
          <w:spacing w:val="10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will usually</w:t>
      </w:r>
    </w:p>
    <w:p>
      <w:pPr>
        <w:pStyle w:val="BodyText"/>
        <w:rPr>
          <w:sz w:val="26"/>
        </w:rPr>
      </w:pPr>
    </w:p>
    <w:p>
      <w:pPr>
        <w:spacing w:line="230" w:lineRule="auto" w:before="188"/>
        <w:ind w:left="135" w:right="347" w:firstLine="331"/>
        <w:jc w:val="both"/>
        <w:rPr>
          <w:sz w:val="18"/>
        </w:rPr>
      </w:pPr>
      <w:r>
        <w:rPr>
          <w:color w:val="383638"/>
          <w:w w:val="105"/>
          <w:sz w:val="18"/>
        </w:rPr>
        <w:t>;wThe Seventh </w:t>
      </w:r>
      <w:r>
        <w:rPr>
          <w:color w:val="4B494B"/>
          <w:w w:val="105"/>
          <w:sz w:val="18"/>
        </w:rPr>
        <w:t>Circuit </w:t>
      </w:r>
      <w:r>
        <w:rPr>
          <w:color w:val="383638"/>
          <w:w w:val="105"/>
          <w:sz w:val="18"/>
        </w:rPr>
        <w:t>discourages the</w:t>
      </w:r>
      <w:r>
        <w:rPr>
          <w:color w:val="383638"/>
          <w:spacing w:val="1"/>
          <w:w w:val="105"/>
          <w:sz w:val="18"/>
        </w:rPr>
        <w:t> </w:t>
      </w:r>
      <w:r>
        <w:rPr>
          <w:color w:val="383638"/>
          <w:w w:val="105"/>
          <w:sz w:val="18"/>
        </w:rPr>
        <w:t>use of underlining because It hides the descenders on</w:t>
      </w:r>
      <w:r>
        <w:rPr>
          <w:color w:val="383638"/>
          <w:spacing w:val="1"/>
          <w:w w:val="105"/>
          <w:sz w:val="18"/>
        </w:rPr>
        <w:t> </w:t>
      </w:r>
      <w:r>
        <w:rPr>
          <w:color w:val="383638"/>
          <w:w w:val="105"/>
          <w:sz w:val="18"/>
        </w:rPr>
        <w:t>certain lowercase letters, such as </w:t>
      </w:r>
      <w:r>
        <w:rPr>
          <w:rFonts w:ascii="Arial" w:hAnsi="Arial"/>
          <w:i/>
          <w:color w:val="383638"/>
          <w:w w:val="105"/>
          <w:sz w:val="16"/>
        </w:rPr>
        <w:t>y </w:t>
      </w:r>
      <w:r>
        <w:rPr>
          <w:color w:val="383638"/>
          <w:w w:val="105"/>
          <w:sz w:val="18"/>
        </w:rPr>
        <w:t>and </w:t>
      </w:r>
      <w:r>
        <w:rPr>
          <w:i/>
          <w:color w:val="4B494B"/>
          <w:w w:val="105"/>
          <w:sz w:val="17"/>
        </w:rPr>
        <w:t>g. </w:t>
      </w:r>
      <w:r>
        <w:rPr>
          <w:i/>
          <w:color w:val="383638"/>
          <w:w w:val="105"/>
          <w:sz w:val="17"/>
        </w:rPr>
        <w:t>Req1'irements </w:t>
      </w:r>
      <w:r>
        <w:rPr>
          <w:i/>
          <w:color w:val="4B494B"/>
          <w:w w:val="105"/>
          <w:sz w:val="17"/>
        </w:rPr>
        <w:t>and </w:t>
      </w:r>
      <w:r>
        <w:rPr>
          <w:i/>
          <w:color w:val="383638"/>
          <w:w w:val="105"/>
          <w:sz w:val="17"/>
        </w:rPr>
        <w:t>Suggestions</w:t>
      </w:r>
      <w:r>
        <w:rPr>
          <w:i/>
          <w:color w:val="606062"/>
          <w:w w:val="105"/>
          <w:sz w:val="17"/>
        </w:rPr>
        <w:t>, </w:t>
      </w:r>
      <w:r>
        <w:rPr>
          <w:i/>
          <w:color w:val="4B494B"/>
          <w:w w:val="105"/>
          <w:sz w:val="17"/>
        </w:rPr>
        <w:t>supra </w:t>
      </w:r>
      <w:r>
        <w:rPr>
          <w:color w:val="383638"/>
          <w:w w:val="105"/>
          <w:sz w:val="18"/>
        </w:rPr>
        <w:t>note 21, at </w:t>
      </w:r>
      <w:r>
        <w:rPr>
          <w:color w:val="4B494B"/>
          <w:w w:val="105"/>
          <w:sz w:val="18"/>
        </w:rPr>
        <w:t>5. </w:t>
      </w:r>
      <w:r>
        <w:rPr>
          <w:color w:val="383638"/>
          <w:w w:val="105"/>
          <w:sz w:val="18"/>
        </w:rPr>
        <w:t>Ruth</w:t>
      </w:r>
      <w:r>
        <w:rPr>
          <w:color w:val="383638"/>
          <w:spacing w:val="1"/>
          <w:w w:val="105"/>
          <w:sz w:val="18"/>
        </w:rPr>
        <w:t> </w:t>
      </w:r>
      <w:r>
        <w:rPr>
          <w:color w:val="383638"/>
          <w:spacing w:val="-1"/>
          <w:w w:val="110"/>
          <w:sz w:val="18"/>
        </w:rPr>
        <w:t>Anne Robbins notes, however, that </w:t>
      </w:r>
      <w:r>
        <w:rPr>
          <w:color w:val="383638"/>
          <w:w w:val="110"/>
          <w:sz w:val="18"/>
        </w:rPr>
        <w:t>studies show that legibility depends mostly </w:t>
      </w:r>
      <w:r>
        <w:rPr>
          <w:color w:val="4B494B"/>
          <w:w w:val="110"/>
          <w:sz w:val="18"/>
        </w:rPr>
        <w:t>on </w:t>
      </w:r>
      <w:r>
        <w:rPr>
          <w:color w:val="383638"/>
          <w:w w:val="110"/>
          <w:sz w:val="18"/>
        </w:rPr>
        <w:t>the </w:t>
      </w:r>
      <w:r>
        <w:rPr>
          <w:color w:val="4B494B"/>
          <w:w w:val="110"/>
          <w:sz w:val="18"/>
        </w:rPr>
        <w:t>shape </w:t>
      </w:r>
      <w:r>
        <w:rPr>
          <w:color w:val="383638"/>
          <w:w w:val="110"/>
          <w:sz w:val="18"/>
        </w:rPr>
        <w:t>of</w:t>
      </w:r>
      <w:r>
        <w:rPr>
          <w:color w:val="383638"/>
          <w:spacing w:val="1"/>
          <w:w w:val="110"/>
          <w:sz w:val="18"/>
        </w:rPr>
        <w:t> </w:t>
      </w:r>
      <w:r>
        <w:rPr>
          <w:color w:val="4B494B"/>
          <w:w w:val="110"/>
          <w:sz w:val="18"/>
        </w:rPr>
        <w:t>the </w:t>
      </w:r>
      <w:r>
        <w:rPr>
          <w:color w:val="383638"/>
          <w:w w:val="110"/>
          <w:sz w:val="18"/>
        </w:rPr>
        <w:t>top half of the letter</w:t>
      </w:r>
      <w:r>
        <w:rPr>
          <w:color w:val="606062"/>
          <w:w w:val="110"/>
          <w:sz w:val="18"/>
        </w:rPr>
        <w:t>. </w:t>
      </w:r>
      <w:r>
        <w:rPr>
          <w:color w:val="383638"/>
          <w:w w:val="110"/>
          <w:sz w:val="18"/>
        </w:rPr>
        <w:t>Robbins, </w:t>
      </w:r>
      <w:r>
        <w:rPr>
          <w:i/>
          <w:color w:val="383638"/>
          <w:w w:val="110"/>
          <w:sz w:val="17"/>
        </w:rPr>
        <w:t>supra </w:t>
      </w:r>
      <w:r>
        <w:rPr>
          <w:color w:val="383638"/>
          <w:w w:val="110"/>
          <w:sz w:val="18"/>
        </w:rPr>
        <w:t>note 23, at 117 (citations omitted). This phenomenon</w:t>
      </w:r>
      <w:r>
        <w:rPr>
          <w:color w:val="383638"/>
          <w:spacing w:val="1"/>
          <w:w w:val="110"/>
          <w:sz w:val="18"/>
        </w:rPr>
        <w:t> </w:t>
      </w:r>
      <w:r>
        <w:rPr>
          <w:color w:val="383638"/>
          <w:w w:val="110"/>
          <w:sz w:val="18"/>
        </w:rPr>
        <w:t>would </w:t>
      </w:r>
      <w:r>
        <w:rPr>
          <w:color w:val="4B494B"/>
          <w:w w:val="110"/>
          <w:sz w:val="18"/>
        </w:rPr>
        <w:t>Indicate </w:t>
      </w:r>
      <w:r>
        <w:rPr>
          <w:color w:val="383638"/>
          <w:w w:val="110"/>
          <w:sz w:val="18"/>
        </w:rPr>
        <w:t>that underlining </w:t>
      </w:r>
      <w:r>
        <w:rPr>
          <w:color w:val="4B494B"/>
          <w:w w:val="110"/>
          <w:sz w:val="18"/>
        </w:rPr>
        <w:t>should </w:t>
      </w:r>
      <w:r>
        <w:rPr>
          <w:color w:val="383638"/>
          <w:w w:val="110"/>
          <w:sz w:val="18"/>
        </w:rPr>
        <w:t>not Interfere too much with legibility, particularly when</w:t>
      </w:r>
      <w:r>
        <w:rPr>
          <w:color w:val="383638"/>
          <w:spacing w:val="-47"/>
          <w:w w:val="110"/>
          <w:sz w:val="18"/>
        </w:rPr>
        <w:t> </w:t>
      </w:r>
      <w:r>
        <w:rPr>
          <w:color w:val="383638"/>
          <w:w w:val="110"/>
          <w:sz w:val="18"/>
        </w:rPr>
        <w:t>only</w:t>
      </w:r>
      <w:r>
        <w:rPr>
          <w:color w:val="383638"/>
          <w:spacing w:val="-18"/>
          <w:w w:val="110"/>
          <w:sz w:val="18"/>
        </w:rPr>
        <w:t> </w:t>
      </w:r>
      <w:r>
        <w:rPr>
          <w:color w:val="383638"/>
          <w:w w:val="110"/>
          <w:sz w:val="18"/>
        </w:rPr>
        <w:t>a</w:t>
      </w:r>
      <w:r>
        <w:rPr>
          <w:color w:val="383638"/>
          <w:spacing w:val="-2"/>
          <w:w w:val="110"/>
          <w:sz w:val="18"/>
        </w:rPr>
        <w:t> </w:t>
      </w:r>
      <w:r>
        <w:rPr>
          <w:color w:val="383638"/>
          <w:w w:val="110"/>
          <w:sz w:val="18"/>
        </w:rPr>
        <w:t>few</w:t>
      </w:r>
      <w:r>
        <w:rPr>
          <w:color w:val="383638"/>
          <w:spacing w:val="-16"/>
          <w:w w:val="110"/>
          <w:sz w:val="18"/>
        </w:rPr>
        <w:t> </w:t>
      </w:r>
      <w:r>
        <w:rPr>
          <w:color w:val="383638"/>
          <w:w w:val="110"/>
          <w:sz w:val="18"/>
        </w:rPr>
        <w:t>words</w:t>
      </w:r>
      <w:r>
        <w:rPr>
          <w:color w:val="383638"/>
          <w:spacing w:val="-12"/>
          <w:w w:val="110"/>
          <w:sz w:val="18"/>
        </w:rPr>
        <w:t> </w:t>
      </w:r>
      <w:r>
        <w:rPr>
          <w:color w:val="383638"/>
          <w:w w:val="110"/>
          <w:sz w:val="18"/>
        </w:rPr>
        <w:t>are</w:t>
      </w:r>
      <w:r>
        <w:rPr>
          <w:color w:val="383638"/>
          <w:spacing w:val="-8"/>
          <w:w w:val="110"/>
          <w:sz w:val="18"/>
        </w:rPr>
        <w:t> </w:t>
      </w:r>
      <w:r>
        <w:rPr>
          <w:color w:val="383638"/>
          <w:w w:val="110"/>
          <w:sz w:val="18"/>
        </w:rPr>
        <w:t>being</w:t>
      </w:r>
      <w:r>
        <w:rPr>
          <w:color w:val="383638"/>
          <w:spacing w:val="-3"/>
          <w:w w:val="110"/>
          <w:sz w:val="18"/>
        </w:rPr>
        <w:t> </w:t>
      </w:r>
      <w:r>
        <w:rPr>
          <w:color w:val="383638"/>
          <w:w w:val="110"/>
          <w:sz w:val="18"/>
        </w:rPr>
        <w:t>underlined.</w:t>
      </w:r>
      <w:r>
        <w:rPr>
          <w:color w:val="383638"/>
          <w:spacing w:val="-4"/>
          <w:w w:val="110"/>
          <w:sz w:val="18"/>
        </w:rPr>
        <w:t> </w:t>
      </w:r>
      <w:r>
        <w:rPr>
          <w:color w:val="4B494B"/>
          <w:w w:val="110"/>
          <w:sz w:val="18"/>
        </w:rPr>
        <w:t>Note</w:t>
      </w:r>
      <w:r>
        <w:rPr>
          <w:color w:val="4B494B"/>
          <w:spacing w:val="-7"/>
          <w:w w:val="110"/>
          <w:sz w:val="18"/>
        </w:rPr>
        <w:t> </w:t>
      </w:r>
      <w:r>
        <w:rPr>
          <w:color w:val="383638"/>
          <w:w w:val="110"/>
          <w:sz w:val="18"/>
        </w:rPr>
        <w:t>that</w:t>
      </w:r>
      <w:r>
        <w:rPr>
          <w:color w:val="383638"/>
          <w:spacing w:val="-2"/>
          <w:w w:val="110"/>
          <w:sz w:val="18"/>
        </w:rPr>
        <w:t> </w:t>
      </w:r>
      <w:r>
        <w:rPr>
          <w:color w:val="383638"/>
          <w:w w:val="110"/>
          <w:sz w:val="18"/>
        </w:rPr>
        <w:t>the</w:t>
      </w:r>
      <w:r>
        <w:rPr>
          <w:color w:val="383638"/>
          <w:spacing w:val="-16"/>
          <w:w w:val="110"/>
          <w:sz w:val="18"/>
        </w:rPr>
        <w:t> </w:t>
      </w:r>
      <w:r>
        <w:rPr>
          <w:color w:val="383638"/>
          <w:w w:val="110"/>
          <w:sz w:val="18"/>
        </w:rPr>
        <w:t>degree</w:t>
      </w:r>
      <w:r>
        <w:rPr>
          <w:color w:val="383638"/>
          <w:spacing w:val="-6"/>
          <w:w w:val="110"/>
          <w:sz w:val="18"/>
        </w:rPr>
        <w:t> </w:t>
      </w:r>
      <w:r>
        <w:rPr>
          <w:color w:val="383638"/>
          <w:w w:val="110"/>
          <w:sz w:val="18"/>
        </w:rPr>
        <w:t>to</w:t>
      </w:r>
      <w:r>
        <w:rPr>
          <w:color w:val="383638"/>
          <w:spacing w:val="8"/>
          <w:w w:val="110"/>
          <w:sz w:val="18"/>
        </w:rPr>
        <w:t> </w:t>
      </w:r>
      <w:r>
        <w:rPr>
          <w:color w:val="383638"/>
          <w:w w:val="110"/>
          <w:sz w:val="18"/>
        </w:rPr>
        <w:t>which</w:t>
      </w:r>
      <w:r>
        <w:rPr>
          <w:color w:val="383638"/>
          <w:spacing w:val="3"/>
          <w:w w:val="110"/>
          <w:sz w:val="18"/>
        </w:rPr>
        <w:t> </w:t>
      </w:r>
      <w:r>
        <w:rPr>
          <w:color w:val="383638"/>
          <w:w w:val="110"/>
          <w:sz w:val="18"/>
        </w:rPr>
        <w:t>underlining</w:t>
      </w:r>
      <w:r>
        <w:rPr>
          <w:color w:val="383638"/>
          <w:spacing w:val="4"/>
          <w:w w:val="110"/>
          <w:sz w:val="18"/>
        </w:rPr>
        <w:t> </w:t>
      </w:r>
      <w:r>
        <w:rPr>
          <w:color w:val="383638"/>
          <w:w w:val="110"/>
          <w:sz w:val="18"/>
        </w:rPr>
        <w:t>hidesdescend­</w:t>
      </w:r>
      <w:r>
        <w:rPr>
          <w:color w:val="383638"/>
          <w:spacing w:val="1"/>
          <w:w w:val="110"/>
          <w:sz w:val="18"/>
        </w:rPr>
        <w:t> </w:t>
      </w:r>
      <w:r>
        <w:rPr>
          <w:color w:val="383638"/>
          <w:w w:val="110"/>
          <w:sz w:val="18"/>
        </w:rPr>
        <w:t>ers varies with the font; a 1lmes Roman underline hides more of the descender than a </w:t>
      </w:r>
      <w:r>
        <w:rPr>
          <w:color w:val="4B494B"/>
          <w:w w:val="110"/>
          <w:sz w:val="18"/>
        </w:rPr>
        <w:t>Georgia</w:t>
      </w:r>
      <w:r>
        <w:rPr>
          <w:color w:val="4B494B"/>
          <w:spacing w:val="1"/>
          <w:w w:val="110"/>
          <w:sz w:val="18"/>
        </w:rPr>
        <w:t> </w:t>
      </w:r>
      <w:r>
        <w:rPr>
          <w:color w:val="383638"/>
          <w:w w:val="110"/>
          <w:sz w:val="18"/>
        </w:rPr>
        <w:t>underline, for example. Of </w:t>
      </w:r>
      <w:r>
        <w:rPr>
          <w:color w:val="4B494B"/>
          <w:w w:val="110"/>
          <w:sz w:val="18"/>
        </w:rPr>
        <w:t>course, </w:t>
      </w:r>
      <w:r>
        <w:rPr>
          <w:color w:val="383638"/>
          <w:w w:val="110"/>
          <w:sz w:val="18"/>
        </w:rPr>
        <w:t>you should always obey a court's local rules and guidelines</w:t>
      </w:r>
      <w:r>
        <w:rPr>
          <w:color w:val="383638"/>
          <w:spacing w:val="1"/>
          <w:w w:val="110"/>
          <w:sz w:val="18"/>
        </w:rPr>
        <w:t> </w:t>
      </w:r>
      <w:r>
        <w:rPr>
          <w:color w:val="383638"/>
          <w:w w:val="115"/>
          <w:sz w:val="18"/>
        </w:rPr>
        <w:t>about</w:t>
      </w:r>
      <w:r>
        <w:rPr>
          <w:color w:val="383638"/>
          <w:spacing w:val="-9"/>
          <w:w w:val="115"/>
          <w:sz w:val="18"/>
        </w:rPr>
        <w:t> </w:t>
      </w:r>
      <w:r>
        <w:rPr>
          <w:color w:val="383638"/>
          <w:w w:val="115"/>
          <w:sz w:val="18"/>
        </w:rPr>
        <w:t>typefaces.</w:t>
      </w:r>
    </w:p>
    <w:p>
      <w:pPr>
        <w:spacing w:line="167" w:lineRule="exact" w:before="0"/>
        <w:ind w:left="486" w:right="0" w:firstLine="0"/>
        <w:jc w:val="both"/>
        <w:rPr>
          <w:sz w:val="18"/>
        </w:rPr>
      </w:pPr>
      <w:r>
        <w:rPr>
          <w:color w:val="383638"/>
          <w:spacing w:val="-1"/>
          <w:w w:val="105"/>
          <w:sz w:val="11"/>
        </w:rPr>
        <w:t>2.S</w:t>
      </w:r>
      <w:r>
        <w:rPr>
          <w:color w:val="383638"/>
          <w:spacing w:val="-1"/>
          <w:w w:val="105"/>
          <w:sz w:val="18"/>
        </w:rPr>
        <w:t>Ronnie</w:t>
      </w:r>
      <w:r>
        <w:rPr>
          <w:color w:val="383638"/>
          <w:spacing w:val="-9"/>
          <w:w w:val="105"/>
          <w:sz w:val="18"/>
        </w:rPr>
        <w:t> </w:t>
      </w:r>
      <w:r>
        <w:rPr>
          <w:color w:val="383638"/>
          <w:spacing w:val="-1"/>
          <w:w w:val="105"/>
          <w:sz w:val="18"/>
        </w:rPr>
        <w:t>Lipton,</w:t>
      </w:r>
      <w:r>
        <w:rPr>
          <w:color w:val="383638"/>
          <w:spacing w:val="-6"/>
          <w:w w:val="105"/>
          <w:sz w:val="18"/>
        </w:rPr>
        <w:t> </w:t>
      </w:r>
      <w:r>
        <w:rPr>
          <w:color w:val="383638"/>
          <w:w w:val="105"/>
          <w:sz w:val="18"/>
        </w:rPr>
        <w:t>The</w:t>
      </w:r>
      <w:r>
        <w:rPr>
          <w:color w:val="383638"/>
          <w:spacing w:val="-15"/>
          <w:w w:val="105"/>
          <w:sz w:val="18"/>
        </w:rPr>
        <w:t> </w:t>
      </w:r>
      <w:r>
        <w:rPr>
          <w:i/>
          <w:color w:val="383638"/>
          <w:w w:val="105"/>
          <w:sz w:val="17"/>
        </w:rPr>
        <w:t>Practical</w:t>
      </w:r>
      <w:r>
        <w:rPr>
          <w:i/>
          <w:color w:val="383638"/>
          <w:spacing w:val="-7"/>
          <w:w w:val="105"/>
          <w:sz w:val="17"/>
        </w:rPr>
        <w:t> </w:t>
      </w:r>
      <w:r>
        <w:rPr>
          <w:i/>
          <w:color w:val="4B494B"/>
          <w:w w:val="105"/>
          <w:sz w:val="17"/>
        </w:rPr>
        <w:t>G11ide</w:t>
      </w:r>
      <w:r>
        <w:rPr>
          <w:i/>
          <w:color w:val="4B494B"/>
          <w:spacing w:val="-15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to</w:t>
      </w:r>
      <w:r>
        <w:rPr>
          <w:i/>
          <w:color w:val="383638"/>
          <w:spacing w:val="13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Information</w:t>
      </w:r>
      <w:r>
        <w:rPr>
          <w:i/>
          <w:color w:val="383638"/>
          <w:spacing w:val="-1"/>
          <w:w w:val="105"/>
          <w:sz w:val="17"/>
        </w:rPr>
        <w:t> </w:t>
      </w:r>
      <w:r>
        <w:rPr>
          <w:i/>
          <w:color w:val="383638"/>
          <w:w w:val="105"/>
          <w:sz w:val="17"/>
        </w:rPr>
        <w:t>Design</w:t>
      </w:r>
      <w:r>
        <w:rPr>
          <w:i/>
          <w:color w:val="383638"/>
          <w:spacing w:val="-15"/>
          <w:w w:val="105"/>
          <w:sz w:val="17"/>
        </w:rPr>
        <w:t> </w:t>
      </w:r>
      <w:r>
        <w:rPr>
          <w:color w:val="383638"/>
          <w:w w:val="105"/>
          <w:sz w:val="18"/>
        </w:rPr>
        <w:t>113</w:t>
      </w:r>
      <w:r>
        <w:rPr>
          <w:color w:val="383638"/>
          <w:spacing w:val="9"/>
          <w:w w:val="105"/>
          <w:sz w:val="18"/>
        </w:rPr>
        <w:t> </w:t>
      </w:r>
      <w:r>
        <w:rPr>
          <w:color w:val="383638"/>
          <w:w w:val="105"/>
          <w:sz w:val="18"/>
        </w:rPr>
        <w:t>Uohn</w:t>
      </w:r>
      <w:r>
        <w:rPr>
          <w:color w:val="383638"/>
          <w:spacing w:val="-14"/>
          <w:w w:val="105"/>
          <w:sz w:val="18"/>
        </w:rPr>
        <w:t> </w:t>
      </w:r>
      <w:r>
        <w:rPr>
          <w:color w:val="383638"/>
          <w:w w:val="105"/>
          <w:sz w:val="18"/>
        </w:rPr>
        <w:t>Wiley</w:t>
      </w:r>
      <w:r>
        <w:rPr>
          <w:color w:val="383638"/>
          <w:spacing w:val="-18"/>
          <w:w w:val="105"/>
          <w:sz w:val="18"/>
        </w:rPr>
        <w:t> </w:t>
      </w:r>
      <w:r>
        <w:rPr>
          <w:color w:val="383638"/>
          <w:w w:val="105"/>
          <w:sz w:val="16"/>
        </w:rPr>
        <w:t>&amp;</w:t>
      </w:r>
      <w:r>
        <w:rPr>
          <w:color w:val="383638"/>
          <w:spacing w:val="-16"/>
          <w:w w:val="105"/>
          <w:sz w:val="16"/>
        </w:rPr>
        <w:t> </w:t>
      </w:r>
      <w:r>
        <w:rPr>
          <w:color w:val="383638"/>
          <w:w w:val="105"/>
          <w:sz w:val="18"/>
        </w:rPr>
        <w:t>Sons,</w:t>
      </w:r>
      <w:r>
        <w:rPr>
          <w:color w:val="383638"/>
          <w:spacing w:val="-17"/>
          <w:w w:val="105"/>
          <w:sz w:val="18"/>
        </w:rPr>
        <w:t> </w:t>
      </w:r>
      <w:r>
        <w:rPr>
          <w:color w:val="383638"/>
          <w:w w:val="105"/>
          <w:sz w:val="18"/>
        </w:rPr>
        <w:t>Inc.</w:t>
      </w:r>
      <w:r>
        <w:rPr>
          <w:color w:val="383638"/>
          <w:spacing w:val="-23"/>
          <w:w w:val="105"/>
          <w:sz w:val="18"/>
        </w:rPr>
        <w:t> </w:t>
      </w:r>
      <w:r>
        <w:rPr>
          <w:color w:val="383638"/>
          <w:w w:val="105"/>
          <w:sz w:val="18"/>
        </w:rPr>
        <w:t>2007).</w:t>
      </w:r>
    </w:p>
    <w:p>
      <w:pPr>
        <w:spacing w:line="235" w:lineRule="auto" w:before="0"/>
        <w:ind w:left="146" w:right="302" w:firstLine="338"/>
        <w:jc w:val="both"/>
        <w:rPr>
          <w:sz w:val="18"/>
        </w:rPr>
      </w:pPr>
      <w:r>
        <w:rPr>
          <w:color w:val="383638"/>
          <w:w w:val="110"/>
          <w:position w:val="4"/>
          <w:sz w:val="10"/>
        </w:rPr>
        <w:t>36</w:t>
      </w:r>
      <w:r>
        <w:rPr>
          <w:color w:val="383638"/>
          <w:w w:val="110"/>
          <w:sz w:val="18"/>
        </w:rPr>
        <w:t>Ralf Herrmann, </w:t>
      </w:r>
      <w:r>
        <w:rPr>
          <w:i/>
          <w:color w:val="4B494B"/>
          <w:w w:val="110"/>
          <w:sz w:val="17"/>
        </w:rPr>
        <w:t>How </w:t>
      </w:r>
      <w:r>
        <w:rPr>
          <w:rFonts w:ascii="Arial" w:hAnsi="Arial"/>
          <w:i/>
          <w:color w:val="383638"/>
          <w:w w:val="110"/>
          <w:sz w:val="16"/>
        </w:rPr>
        <w:t>Do </w:t>
      </w:r>
      <w:r>
        <w:rPr>
          <w:i/>
          <w:color w:val="383638"/>
          <w:w w:val="110"/>
          <w:sz w:val="17"/>
        </w:rPr>
        <w:t>We Read Words and How </w:t>
      </w:r>
      <w:r>
        <w:rPr>
          <w:rFonts w:ascii="Arial" w:hAnsi="Arial"/>
          <w:i/>
          <w:color w:val="4B494B"/>
          <w:w w:val="110"/>
          <w:sz w:val="16"/>
        </w:rPr>
        <w:t>Should </w:t>
      </w:r>
      <w:r>
        <w:rPr>
          <w:i/>
          <w:color w:val="383638"/>
          <w:w w:val="110"/>
          <w:sz w:val="17"/>
        </w:rPr>
        <w:t>We </w:t>
      </w:r>
      <w:r>
        <w:rPr>
          <w:i/>
          <w:color w:val="383638"/>
          <w:w w:val="110"/>
          <w:sz w:val="16"/>
        </w:rPr>
        <w:t>Set </w:t>
      </w:r>
      <w:r>
        <w:rPr>
          <w:i/>
          <w:color w:val="4B494B"/>
          <w:w w:val="110"/>
          <w:sz w:val="17"/>
        </w:rPr>
        <w:t>Tliem? </w:t>
      </w:r>
      <w:r>
        <w:rPr>
          <w:color w:val="383638"/>
          <w:w w:val="110"/>
          <w:sz w:val="18"/>
        </w:rPr>
        <w:t>Wayfindlng </w:t>
      </w:r>
      <w:r>
        <w:rPr>
          <w:color w:val="383638"/>
          <w:w w:val="110"/>
          <w:sz w:val="17"/>
        </w:rPr>
        <w:t>&amp;</w:t>
      </w:r>
      <w:r>
        <w:rPr>
          <w:color w:val="383638"/>
          <w:spacing w:val="1"/>
          <w:w w:val="110"/>
          <w:sz w:val="17"/>
        </w:rPr>
        <w:t> </w:t>
      </w:r>
      <w:r>
        <w:rPr>
          <w:color w:val="383638"/>
          <w:spacing w:val="-1"/>
          <w:w w:val="110"/>
          <w:sz w:val="18"/>
        </w:rPr>
        <w:t>Typography</w:t>
      </w:r>
      <w:r>
        <w:rPr>
          <w:color w:val="383638"/>
          <w:spacing w:val="-8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(June</w:t>
      </w:r>
      <w:r>
        <w:rPr>
          <w:color w:val="383638"/>
          <w:spacing w:val="-12"/>
          <w:w w:val="110"/>
          <w:sz w:val="18"/>
        </w:rPr>
        <w:t> </w:t>
      </w:r>
      <w:r>
        <w:rPr>
          <w:color w:val="383638"/>
          <w:w w:val="110"/>
          <w:sz w:val="18"/>
        </w:rPr>
        <w:t>14,</w:t>
      </w:r>
      <w:r>
        <w:rPr>
          <w:color w:val="383638"/>
          <w:spacing w:val="-12"/>
          <w:w w:val="110"/>
          <w:sz w:val="18"/>
        </w:rPr>
        <w:t> </w:t>
      </w:r>
      <w:r>
        <w:rPr>
          <w:color w:val="4B494B"/>
          <w:w w:val="110"/>
          <w:sz w:val="18"/>
        </w:rPr>
        <w:t>2011),</w:t>
      </w:r>
      <w:r>
        <w:rPr>
          <w:color w:val="4B494B"/>
          <w:spacing w:val="-16"/>
          <w:w w:val="110"/>
          <w:sz w:val="18"/>
        </w:rPr>
        <w:t> </w:t>
      </w:r>
      <w:r>
        <w:rPr>
          <w:color w:val="383638"/>
          <w:w w:val="110"/>
          <w:sz w:val="18"/>
        </w:rPr>
        <w:t>available</w:t>
      </w:r>
      <w:r>
        <w:rPr>
          <w:color w:val="383638"/>
          <w:spacing w:val="-20"/>
          <w:w w:val="110"/>
          <w:sz w:val="18"/>
        </w:rPr>
        <w:t> </w:t>
      </w:r>
      <w:r>
        <w:rPr>
          <w:color w:val="383638"/>
          <w:w w:val="110"/>
          <w:sz w:val="18"/>
        </w:rPr>
        <w:t>at</w:t>
      </w:r>
      <w:r>
        <w:rPr>
          <w:color w:val="383638"/>
          <w:spacing w:val="16"/>
          <w:w w:val="110"/>
          <w:sz w:val="18"/>
        </w:rPr>
        <w:t> </w:t>
      </w:r>
      <w:hyperlink r:id="rId311">
        <w:r>
          <w:rPr>
            <w:color w:val="383638"/>
            <w:w w:val="110"/>
            <w:sz w:val="18"/>
          </w:rPr>
          <w:t>http://opentype.lnfo/blog/2011/06/14/how-do-we-read­</w:t>
        </w:r>
      </w:hyperlink>
      <w:r>
        <w:rPr>
          <w:color w:val="383638"/>
          <w:spacing w:val="-47"/>
          <w:w w:val="110"/>
          <w:sz w:val="18"/>
        </w:rPr>
        <w:t> </w:t>
      </w:r>
      <w:r>
        <w:rPr>
          <w:color w:val="383638"/>
          <w:w w:val="105"/>
          <w:sz w:val="18"/>
        </w:rPr>
        <w:t>words-and</w:t>
      </w:r>
      <w:r>
        <w:rPr>
          <w:color w:val="606062"/>
          <w:w w:val="105"/>
          <w:sz w:val="18"/>
        </w:rPr>
        <w:t>-</w:t>
      </w:r>
      <w:r>
        <w:rPr>
          <w:color w:val="383638"/>
          <w:w w:val="105"/>
          <w:sz w:val="18"/>
        </w:rPr>
        <w:t>how-should-we-set-them/ (last accessed Mar. 18, 2014){Illustrating bluned mixed-case</w:t>
      </w:r>
      <w:r>
        <w:rPr>
          <w:color w:val="383638"/>
          <w:spacing w:val="1"/>
          <w:w w:val="105"/>
          <w:sz w:val="18"/>
        </w:rPr>
        <w:t> </w:t>
      </w:r>
      <w:r>
        <w:rPr>
          <w:color w:val="383638"/>
          <w:w w:val="110"/>
          <w:sz w:val="17"/>
        </w:rPr>
        <w:t>type</w:t>
      </w:r>
      <w:r>
        <w:rPr>
          <w:color w:val="383638"/>
          <w:spacing w:val="-25"/>
          <w:w w:val="110"/>
          <w:sz w:val="17"/>
        </w:rPr>
        <w:t> </w:t>
      </w:r>
      <w:r>
        <w:rPr>
          <w:color w:val="383638"/>
          <w:w w:val="110"/>
          <w:sz w:val="18"/>
        </w:rPr>
        <w:t>and</w:t>
      </w:r>
      <w:r>
        <w:rPr>
          <w:color w:val="383638"/>
          <w:spacing w:val="3"/>
          <w:w w:val="110"/>
          <w:sz w:val="18"/>
        </w:rPr>
        <w:t> </w:t>
      </w:r>
      <w:r>
        <w:rPr>
          <w:color w:val="383638"/>
          <w:w w:val="110"/>
          <w:sz w:val="18"/>
        </w:rPr>
        <w:t>all-caps</w:t>
      </w:r>
      <w:r>
        <w:rPr>
          <w:color w:val="383638"/>
          <w:spacing w:val="-9"/>
          <w:w w:val="110"/>
          <w:sz w:val="18"/>
        </w:rPr>
        <w:t> </w:t>
      </w:r>
      <w:r>
        <w:rPr>
          <w:color w:val="383638"/>
          <w:w w:val="110"/>
          <w:sz w:val="18"/>
        </w:rPr>
        <w:t>type).</w:t>
      </w:r>
    </w:p>
    <w:p>
      <w:pPr>
        <w:spacing w:after="0" w:line="235" w:lineRule="auto"/>
        <w:jc w:val="both"/>
        <w:rPr>
          <w:sz w:val="18"/>
        </w:rPr>
        <w:sectPr>
          <w:headerReference w:type="default" r:id="rId309"/>
          <w:headerReference w:type="even" r:id="rId310"/>
          <w:pgSz w:w="9780" w:h="13970"/>
          <w:pgMar w:header="559" w:footer="0" w:top="760" w:bottom="0" w:left="340" w:right="1360"/>
          <w:pgNumType w:start="275"/>
        </w:sectPr>
      </w:pPr>
    </w:p>
    <w:p>
      <w:pPr>
        <w:pStyle w:val="BodyText"/>
        <w:spacing w:line="235" w:lineRule="auto" w:before="85"/>
        <w:ind w:left="761" w:right="106" w:hanging="9"/>
        <w:jc w:val="both"/>
      </w:pPr>
      <w:r>
        <w:rPr>
          <w:color w:val="3A383A"/>
          <w:w w:val="105"/>
        </w:rPr>
        <w:t>drive the reader to a new paragraph. Likewise, placing two- or three-line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10"/>
        </w:rPr>
        <w:t>point headings in all caps almost guarantees that the reader will skip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headings.</w:t>
      </w:r>
      <w:r>
        <w:rPr>
          <w:color w:val="3A383A"/>
          <w:w w:val="110"/>
          <w:vertAlign w:val="superscript"/>
        </w:rPr>
        <w:t>27</w:t>
      </w:r>
    </w:p>
    <w:p>
      <w:pPr>
        <w:pStyle w:val="BodyText"/>
        <w:spacing w:before="5"/>
        <w:rPr>
          <w:sz w:val="32"/>
        </w:rPr>
      </w:pPr>
    </w:p>
    <w:p>
      <w:pPr>
        <w:spacing w:before="1"/>
        <w:ind w:left="1162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7C7E80"/>
          <w:w w:val="105"/>
          <w:sz w:val="28"/>
        </w:rPr>
        <w:t>11</w:t>
      </w:r>
      <w:r>
        <w:rPr>
          <w:rFonts w:ascii="Arial"/>
          <w:b/>
          <w:color w:val="3A383A"/>
          <w:w w:val="105"/>
          <w:sz w:val="28"/>
        </w:rPr>
        <w:t>.</w:t>
      </w:r>
      <w:r>
        <w:rPr>
          <w:rFonts w:ascii="Arial"/>
          <w:b/>
          <w:color w:val="6B6B6E"/>
          <w:w w:val="105"/>
          <w:sz w:val="28"/>
        </w:rPr>
        <w:t>6</w:t>
      </w:r>
      <w:r>
        <w:rPr>
          <w:rFonts w:ascii="Arial"/>
          <w:b/>
          <w:color w:val="3A383A"/>
          <w:w w:val="105"/>
          <w:sz w:val="28"/>
        </w:rPr>
        <w:t>.</w:t>
      </w:r>
      <w:r>
        <w:rPr>
          <w:rFonts w:ascii="Arial"/>
          <w:b/>
          <w:color w:val="545456"/>
          <w:w w:val="105"/>
          <w:sz w:val="28"/>
        </w:rPr>
        <w:t>3</w:t>
      </w:r>
    </w:p>
    <w:p>
      <w:pPr>
        <w:spacing w:before="61"/>
        <w:ind w:left="1140" w:right="0" w:firstLine="0"/>
        <w:jc w:val="left"/>
        <w:rPr>
          <w:rFonts w:ascii="Arial"/>
          <w:sz w:val="21"/>
        </w:rPr>
      </w:pPr>
      <w:r>
        <w:rPr>
          <w:rFonts w:ascii="Arial"/>
          <w:color w:val="7C7E80"/>
          <w:sz w:val="21"/>
        </w:rPr>
        <w:t>JUSTIF</w:t>
      </w:r>
      <w:r>
        <w:rPr>
          <w:rFonts w:ascii="Arial"/>
          <w:color w:val="545456"/>
          <w:sz w:val="21"/>
        </w:rPr>
        <w:t>ICATION</w:t>
      </w:r>
    </w:p>
    <w:p>
      <w:pPr>
        <w:pStyle w:val="BodyText"/>
        <w:spacing w:line="235" w:lineRule="auto" w:before="140"/>
        <w:ind w:left="704" w:right="119" w:firstLine="388"/>
        <w:jc w:val="both"/>
        <w:rPr>
          <w:rFonts w:ascii="Arial" w:hAnsi="Arial"/>
          <w:sz w:val="12"/>
        </w:rPr>
      </w:pPr>
      <w:r>
        <w:rPr>
          <w:color w:val="3A383A"/>
          <w:w w:val="110"/>
        </w:rPr>
        <w:t>Justification refers to the alignment of the text. In most legal docu­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ments, </w:t>
      </w:r>
      <w:r>
        <w:rPr>
          <w:color w:val="2A2628"/>
          <w:w w:val="110"/>
        </w:rPr>
        <w:t>text </w:t>
      </w:r>
      <w:r>
        <w:rPr>
          <w:color w:val="3A383A"/>
          <w:w w:val="110"/>
        </w:rPr>
        <w:t>is aligned along the left side of the page, or "left justified."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Some information, like page numbers in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tables, is "right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justified," or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05"/>
        </w:rPr>
        <w:t>aligned along the right side of the page. Many word processing programs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allow writers to use "full justification." Full-justified text is aligned evenly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along the left and the right sides of the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page. Sometimes, using full </w:t>
      </w:r>
      <w:r>
        <w:rPr>
          <w:color w:val="2A2628"/>
          <w:w w:val="105"/>
        </w:rPr>
        <w:t>justifi­</w:t>
      </w:r>
      <w:r>
        <w:rPr>
          <w:color w:val="2A2628"/>
          <w:spacing w:val="1"/>
          <w:w w:val="105"/>
        </w:rPr>
        <w:t> </w:t>
      </w:r>
      <w:r>
        <w:rPr>
          <w:color w:val="3A383A"/>
          <w:w w:val="105"/>
        </w:rPr>
        <w:t>cation allows the writer to fit more words on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the page because a program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10"/>
        </w:rPr>
        <w:t>will</w:t>
      </w:r>
      <w:r>
        <w:rPr>
          <w:color w:val="3A383A"/>
          <w:spacing w:val="-21"/>
          <w:w w:val="110"/>
        </w:rPr>
        <w:t> </w:t>
      </w:r>
      <w:r>
        <w:rPr>
          <w:color w:val="3A383A"/>
          <w:w w:val="110"/>
        </w:rPr>
        <w:t>compress</w:t>
      </w:r>
      <w:r>
        <w:rPr>
          <w:color w:val="3A383A"/>
          <w:spacing w:val="-13"/>
          <w:w w:val="110"/>
        </w:rPr>
        <w:t> </w:t>
      </w:r>
      <w:r>
        <w:rPr>
          <w:color w:val="3A383A"/>
          <w:w w:val="110"/>
        </w:rPr>
        <w:t>some</w:t>
      </w:r>
      <w:r>
        <w:rPr>
          <w:color w:val="3A383A"/>
          <w:spacing w:val="-13"/>
          <w:w w:val="110"/>
        </w:rPr>
        <w:t> </w:t>
      </w:r>
      <w:r>
        <w:rPr>
          <w:color w:val="3A383A"/>
          <w:w w:val="110"/>
        </w:rPr>
        <w:t>words</w:t>
      </w:r>
      <w:r>
        <w:rPr>
          <w:color w:val="3A383A"/>
          <w:spacing w:val="-14"/>
          <w:w w:val="110"/>
        </w:rPr>
        <w:t> </w:t>
      </w:r>
      <w:r>
        <w:rPr>
          <w:color w:val="3A383A"/>
          <w:w w:val="110"/>
        </w:rPr>
        <w:t>to</w:t>
      </w:r>
      <w:r>
        <w:rPr>
          <w:color w:val="3A383A"/>
          <w:spacing w:val="13"/>
          <w:w w:val="110"/>
        </w:rPr>
        <w:t> </w:t>
      </w:r>
      <w:r>
        <w:rPr>
          <w:color w:val="3A383A"/>
          <w:w w:val="110"/>
        </w:rPr>
        <w:t>make</w:t>
      </w:r>
      <w:r>
        <w:rPr>
          <w:color w:val="3A383A"/>
          <w:spacing w:val="-13"/>
          <w:w w:val="110"/>
        </w:rPr>
        <w:t> </w:t>
      </w:r>
      <w:r>
        <w:rPr>
          <w:color w:val="3A383A"/>
          <w:w w:val="110"/>
        </w:rPr>
        <w:t>them</w:t>
      </w:r>
      <w:r>
        <w:rPr>
          <w:color w:val="3A383A"/>
          <w:spacing w:val="-3"/>
          <w:w w:val="110"/>
        </w:rPr>
        <w:t> </w:t>
      </w:r>
      <w:r>
        <w:rPr>
          <w:color w:val="3A383A"/>
          <w:w w:val="110"/>
        </w:rPr>
        <w:t>fit</w:t>
      </w:r>
      <w:r>
        <w:rPr>
          <w:color w:val="3A383A"/>
          <w:spacing w:val="-7"/>
          <w:w w:val="110"/>
        </w:rPr>
        <w:t> </w:t>
      </w:r>
      <w:r>
        <w:rPr>
          <w:color w:val="3A383A"/>
          <w:w w:val="110"/>
        </w:rPr>
        <w:t>into</w:t>
      </w:r>
      <w:r>
        <w:rPr>
          <w:color w:val="3A383A"/>
          <w:spacing w:val="-13"/>
          <w:w w:val="110"/>
        </w:rPr>
        <w:t> </w:t>
      </w:r>
      <w:r>
        <w:rPr>
          <w:color w:val="3A383A"/>
          <w:w w:val="110"/>
        </w:rPr>
        <w:t>a</w:t>
      </w:r>
      <w:r>
        <w:rPr>
          <w:color w:val="3A383A"/>
          <w:spacing w:val="-7"/>
          <w:w w:val="110"/>
        </w:rPr>
        <w:t> </w:t>
      </w:r>
      <w:r>
        <w:rPr>
          <w:color w:val="3A383A"/>
          <w:w w:val="110"/>
        </w:rPr>
        <w:t>line.</w:t>
      </w:r>
      <w:r>
        <w:rPr>
          <w:color w:val="3A383A"/>
          <w:spacing w:val="-7"/>
          <w:w w:val="110"/>
        </w:rPr>
        <w:t> </w:t>
      </w:r>
      <w:r>
        <w:rPr>
          <w:color w:val="3A383A"/>
          <w:w w:val="110"/>
        </w:rPr>
        <w:t>Unfortunately,</w:t>
      </w:r>
      <w:r>
        <w:rPr>
          <w:color w:val="3A383A"/>
          <w:spacing w:val="-27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variable spaces in full-justified text interfere with readability. Although</w:t>
      </w:r>
      <w:r>
        <w:rPr>
          <w:color w:val="3A383A"/>
          <w:spacing w:val="1"/>
          <w:w w:val="110"/>
        </w:rPr>
        <w:t> </w:t>
      </w:r>
      <w:r>
        <w:rPr>
          <w:color w:val="3A383A"/>
          <w:spacing w:val="-1"/>
          <w:w w:val="110"/>
        </w:rPr>
        <w:t>full-justified</w:t>
      </w:r>
      <w:r>
        <w:rPr>
          <w:color w:val="3A383A"/>
          <w:spacing w:val="-7"/>
          <w:w w:val="110"/>
        </w:rPr>
        <w:t> </w:t>
      </w:r>
      <w:r>
        <w:rPr>
          <w:color w:val="3A383A"/>
          <w:spacing w:val="-1"/>
          <w:w w:val="110"/>
        </w:rPr>
        <w:t>text</w:t>
      </w:r>
      <w:r>
        <w:rPr>
          <w:color w:val="3A383A"/>
          <w:spacing w:val="-2"/>
          <w:w w:val="110"/>
        </w:rPr>
        <w:t> </w:t>
      </w:r>
      <w:r>
        <w:rPr>
          <w:color w:val="3A383A"/>
          <w:spacing w:val="-1"/>
          <w:w w:val="110"/>
        </w:rPr>
        <w:t>may</w:t>
      </w:r>
      <w:r>
        <w:rPr>
          <w:color w:val="3A383A"/>
          <w:spacing w:val="-28"/>
          <w:w w:val="110"/>
        </w:rPr>
        <w:t> </w:t>
      </w:r>
      <w:r>
        <w:rPr>
          <w:color w:val="3A383A"/>
          <w:w w:val="110"/>
        </w:rPr>
        <w:t>look</w:t>
      </w:r>
      <w:r>
        <w:rPr>
          <w:color w:val="3A383A"/>
          <w:spacing w:val="-7"/>
          <w:w w:val="110"/>
        </w:rPr>
        <w:t> </w:t>
      </w:r>
      <w:r>
        <w:rPr>
          <w:color w:val="3A383A"/>
          <w:w w:val="110"/>
        </w:rPr>
        <w:t>more</w:t>
      </w:r>
      <w:r>
        <w:rPr>
          <w:color w:val="3A383A"/>
          <w:spacing w:val="-12"/>
          <w:w w:val="110"/>
        </w:rPr>
        <w:t> </w:t>
      </w:r>
      <w:r>
        <w:rPr>
          <w:color w:val="3A383A"/>
          <w:w w:val="110"/>
        </w:rPr>
        <w:t>attractive</w:t>
      </w:r>
      <w:r>
        <w:rPr>
          <w:color w:val="3A383A"/>
          <w:spacing w:val="-3"/>
          <w:w w:val="110"/>
        </w:rPr>
        <w:t> </w:t>
      </w:r>
      <w:r>
        <w:rPr>
          <w:color w:val="3A383A"/>
          <w:w w:val="110"/>
        </w:rPr>
        <w:t>from</w:t>
      </w:r>
      <w:r>
        <w:rPr>
          <w:color w:val="3A383A"/>
          <w:spacing w:val="-8"/>
          <w:w w:val="110"/>
        </w:rPr>
        <w:t> </w:t>
      </w:r>
      <w:r>
        <w:rPr>
          <w:color w:val="3A383A"/>
          <w:w w:val="110"/>
        </w:rPr>
        <w:t>a</w:t>
      </w:r>
      <w:r>
        <w:rPr>
          <w:color w:val="3A383A"/>
          <w:spacing w:val="-2"/>
          <w:w w:val="110"/>
        </w:rPr>
        <w:t> </w:t>
      </w:r>
      <w:r>
        <w:rPr>
          <w:color w:val="3A383A"/>
          <w:w w:val="110"/>
        </w:rPr>
        <w:t>distance,</w:t>
      </w:r>
      <w:r>
        <w:rPr>
          <w:color w:val="3A383A"/>
          <w:spacing w:val="-2"/>
          <w:w w:val="110"/>
        </w:rPr>
        <w:t> </w:t>
      </w:r>
      <w:r>
        <w:rPr>
          <w:color w:val="3A383A"/>
          <w:w w:val="110"/>
        </w:rPr>
        <w:t>it</w:t>
      </w:r>
      <w:r>
        <w:rPr>
          <w:color w:val="3A383A"/>
          <w:spacing w:val="15"/>
          <w:w w:val="110"/>
        </w:rPr>
        <w:t> </w:t>
      </w:r>
      <w:r>
        <w:rPr>
          <w:color w:val="3A383A"/>
          <w:w w:val="110"/>
        </w:rPr>
        <w:t>is</w:t>
      </w:r>
      <w:r>
        <w:rPr>
          <w:color w:val="3A383A"/>
          <w:spacing w:val="-21"/>
          <w:w w:val="110"/>
        </w:rPr>
        <w:t> </w:t>
      </w:r>
      <w:r>
        <w:rPr>
          <w:color w:val="3A383A"/>
          <w:w w:val="110"/>
        </w:rPr>
        <w:t>also</w:t>
      </w:r>
      <w:r>
        <w:rPr>
          <w:color w:val="3A383A"/>
          <w:spacing w:val="-18"/>
          <w:w w:val="110"/>
        </w:rPr>
        <w:t> </w:t>
      </w:r>
      <w:r>
        <w:rPr>
          <w:color w:val="3A383A"/>
          <w:w w:val="110"/>
        </w:rPr>
        <w:t>more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difficult</w:t>
      </w:r>
      <w:r>
        <w:rPr>
          <w:color w:val="3A383A"/>
          <w:spacing w:val="7"/>
          <w:w w:val="110"/>
        </w:rPr>
        <w:t> </w:t>
      </w:r>
      <w:r>
        <w:rPr>
          <w:color w:val="3A383A"/>
          <w:w w:val="110"/>
        </w:rPr>
        <w:t>to</w:t>
      </w:r>
      <w:r>
        <w:rPr>
          <w:color w:val="3A383A"/>
          <w:spacing w:val="9"/>
          <w:w w:val="110"/>
        </w:rPr>
        <w:t> </w:t>
      </w:r>
      <w:r>
        <w:rPr>
          <w:color w:val="3A383A"/>
          <w:w w:val="110"/>
        </w:rPr>
        <w:t>read.</w:t>
      </w:r>
      <w:r>
        <w:rPr>
          <w:rFonts w:ascii="Arial" w:hAnsi="Arial"/>
          <w:color w:val="3A383A"/>
          <w:w w:val="110"/>
          <w:position w:val="9"/>
          <w:sz w:val="12"/>
        </w:rPr>
        <w:t>28</w:t>
      </w:r>
    </w:p>
    <w:p>
      <w:pPr>
        <w:pStyle w:val="BodyText"/>
        <w:spacing w:line="232" w:lineRule="auto"/>
        <w:ind w:left="681" w:right="135" w:firstLine="383"/>
        <w:jc w:val="both"/>
      </w:pPr>
      <w:r>
        <w:rPr>
          <w:color w:val="3A383A"/>
          <w:w w:val="110"/>
        </w:rPr>
        <w:t>Most word processing programs have flush left, ragged right as their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default justification. Do not be tempted to use full justification to save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space or to "clean up" a ragged </w:t>
      </w:r>
      <w:r>
        <w:rPr>
          <w:color w:val="2A2628"/>
          <w:w w:val="110"/>
        </w:rPr>
        <w:t>right </w:t>
      </w:r>
      <w:r>
        <w:rPr>
          <w:color w:val="3A383A"/>
          <w:w w:val="110"/>
        </w:rPr>
        <w:t>edge</w:t>
      </w:r>
      <w:r>
        <w:rPr>
          <w:color w:val="545456"/>
          <w:w w:val="110"/>
        </w:rPr>
        <w:t>. </w:t>
      </w:r>
      <w:r>
        <w:rPr>
          <w:color w:val="3A383A"/>
          <w:w w:val="110"/>
        </w:rPr>
        <w:t>That ragged right edge helps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your</w:t>
      </w:r>
      <w:r>
        <w:rPr>
          <w:color w:val="3A383A"/>
          <w:spacing w:val="2"/>
          <w:w w:val="110"/>
        </w:rPr>
        <w:t> </w:t>
      </w:r>
      <w:r>
        <w:rPr>
          <w:color w:val="3A383A"/>
          <w:w w:val="110"/>
        </w:rPr>
        <w:t>reader</w:t>
      </w:r>
      <w:r>
        <w:rPr>
          <w:color w:val="3A383A"/>
          <w:spacing w:val="-5"/>
          <w:w w:val="110"/>
        </w:rPr>
        <w:t> </w:t>
      </w:r>
      <w:r>
        <w:rPr>
          <w:color w:val="3A383A"/>
          <w:w w:val="110"/>
        </w:rPr>
        <w:t>to</w:t>
      </w:r>
      <w:r>
        <w:rPr>
          <w:color w:val="3A383A"/>
          <w:spacing w:val="27"/>
          <w:w w:val="110"/>
        </w:rPr>
        <w:t> </w:t>
      </w:r>
      <w:r>
        <w:rPr>
          <w:color w:val="3A383A"/>
          <w:w w:val="110"/>
        </w:rPr>
        <w:t>read</w:t>
      </w:r>
      <w:r>
        <w:rPr>
          <w:color w:val="3A383A"/>
          <w:spacing w:val="-3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31"/>
          <w:w w:val="110"/>
        </w:rPr>
        <w:t> </w:t>
      </w:r>
      <w:r>
        <w:rPr>
          <w:color w:val="3A383A"/>
          <w:w w:val="110"/>
        </w:rPr>
        <w:t>document</w:t>
      </w:r>
      <w:r>
        <w:rPr>
          <w:color w:val="3A383A"/>
          <w:spacing w:val="2"/>
          <w:w w:val="110"/>
        </w:rPr>
        <w:t> </w:t>
      </w:r>
      <w:r>
        <w:rPr>
          <w:color w:val="3A383A"/>
          <w:w w:val="110"/>
        </w:rPr>
        <w:t>more</w:t>
      </w:r>
      <w:r>
        <w:rPr>
          <w:color w:val="3A383A"/>
          <w:spacing w:val="-14"/>
          <w:w w:val="110"/>
        </w:rPr>
        <w:t> </w:t>
      </w:r>
      <w:r>
        <w:rPr>
          <w:color w:val="3A383A"/>
          <w:w w:val="110"/>
        </w:rPr>
        <w:t>efficiently.</w:t>
      </w:r>
    </w:p>
    <w:p>
      <w:pPr>
        <w:pStyle w:val="BodyText"/>
        <w:spacing w:before="8"/>
        <w:rPr>
          <w:sz w:val="31"/>
        </w:rPr>
      </w:pPr>
    </w:p>
    <w:p>
      <w:pPr>
        <w:spacing w:before="0"/>
        <w:ind w:left="1065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7C7E80"/>
          <w:sz w:val="28"/>
        </w:rPr>
        <w:t>11.6</w:t>
      </w:r>
      <w:r>
        <w:rPr>
          <w:rFonts w:ascii="Arial"/>
          <w:b/>
          <w:color w:val="3A383A"/>
          <w:sz w:val="28"/>
        </w:rPr>
        <w:t>.</w:t>
      </w:r>
      <w:r>
        <w:rPr>
          <w:rFonts w:ascii="Arial"/>
          <w:b/>
          <w:color w:val="7C7E80"/>
          <w:sz w:val="28"/>
        </w:rPr>
        <w:t>4</w:t>
      </w:r>
    </w:p>
    <w:p>
      <w:pPr>
        <w:spacing w:before="71"/>
        <w:ind w:left="1053" w:right="0" w:firstLine="0"/>
        <w:jc w:val="left"/>
        <w:rPr>
          <w:rFonts w:ascii="Arial"/>
          <w:sz w:val="20"/>
        </w:rPr>
      </w:pPr>
      <w:r>
        <w:rPr>
          <w:rFonts w:ascii="Arial"/>
          <w:color w:val="7C7E80"/>
          <w:w w:val="105"/>
          <w:sz w:val="20"/>
        </w:rPr>
        <w:t>EFFECTIVE</w:t>
      </w:r>
      <w:r>
        <w:rPr>
          <w:rFonts w:ascii="Arial"/>
          <w:color w:val="7C7E80"/>
          <w:spacing w:val="8"/>
          <w:w w:val="105"/>
          <w:sz w:val="20"/>
        </w:rPr>
        <w:t> </w:t>
      </w:r>
      <w:r>
        <w:rPr>
          <w:rFonts w:ascii="Arial"/>
          <w:color w:val="6B6B6E"/>
          <w:w w:val="105"/>
          <w:sz w:val="20"/>
        </w:rPr>
        <w:t>TABLES</w:t>
      </w:r>
    </w:p>
    <w:p>
      <w:pPr>
        <w:pStyle w:val="BodyText"/>
        <w:spacing w:line="235" w:lineRule="auto" w:before="161"/>
        <w:ind w:left="595" w:right="150" w:firstLine="421"/>
        <w:jc w:val="both"/>
      </w:pPr>
      <w:r>
        <w:rPr>
          <w:color w:val="3A383A"/>
          <w:w w:val="110"/>
        </w:rPr>
        <w:t>Because judges and clerks who read briefs often consult the tables of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contents and authorities, it is important that these tables look good as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0"/>
        </w:rPr>
        <w:t>well as contain accurate information. One of the four basic principles of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design is alignment, and effective alignment is crucial in making tables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look good. Page numbers and document elements should be aligned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consistently, so that readers can easily find the information that they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need.</w:t>
      </w:r>
    </w:p>
    <w:p>
      <w:pPr>
        <w:pStyle w:val="BodyText"/>
        <w:spacing w:line="230" w:lineRule="auto"/>
        <w:ind w:left="559" w:right="159" w:firstLine="397"/>
        <w:jc w:val="both"/>
      </w:pPr>
      <w:r>
        <w:rPr>
          <w:color w:val="3A383A"/>
          <w:w w:val="110"/>
        </w:rPr>
        <w:t>In this excerpt from a </w:t>
      </w:r>
      <w:r>
        <w:rPr>
          <w:color w:val="2A2628"/>
          <w:w w:val="110"/>
        </w:rPr>
        <w:t>table </w:t>
      </w:r>
      <w:r>
        <w:rPr>
          <w:color w:val="3A383A"/>
          <w:w w:val="110"/>
        </w:rPr>
        <w:t>of contents, note how none of the elements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5"/>
        </w:rPr>
        <w:t>are aligned; the table does not make obvious how the subparts relate to</w:t>
      </w:r>
      <w:r>
        <w:rPr>
          <w:color w:val="3A383A"/>
          <w:spacing w:val="-64"/>
          <w:w w:val="115"/>
        </w:rPr>
        <w:t> </w:t>
      </w:r>
      <w:r>
        <w:rPr>
          <w:color w:val="3A383A"/>
          <w:w w:val="115"/>
        </w:rPr>
        <w:t>each</w:t>
      </w:r>
      <w:r>
        <w:rPr>
          <w:color w:val="3A383A"/>
          <w:spacing w:val="-14"/>
          <w:w w:val="115"/>
        </w:rPr>
        <w:t> </w:t>
      </w:r>
      <w:r>
        <w:rPr>
          <w:color w:val="3A383A"/>
          <w:w w:val="115"/>
        </w:rPr>
        <w:t>other: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4"/>
        </w:rPr>
      </w:pPr>
    </w:p>
    <w:p>
      <w:pPr>
        <w:spacing w:line="200" w:lineRule="exact" w:before="1"/>
        <w:ind w:left="909" w:right="0" w:firstLine="0"/>
        <w:jc w:val="both"/>
        <w:rPr>
          <w:rFonts w:ascii="Arial"/>
          <w:sz w:val="16"/>
        </w:rPr>
      </w:pPr>
      <w:r>
        <w:rPr>
          <w:rFonts w:ascii="Arial"/>
          <w:i/>
          <w:color w:val="3A383A"/>
          <w:w w:val="110"/>
          <w:position w:val="6"/>
          <w:sz w:val="9"/>
        </w:rPr>
        <w:t>27</w:t>
      </w:r>
      <w:r>
        <w:rPr>
          <w:i/>
          <w:color w:val="3A383A"/>
          <w:w w:val="110"/>
          <w:sz w:val="17"/>
        </w:rPr>
        <w:t>S</w:t>
      </w:r>
      <w:r>
        <w:rPr>
          <w:i/>
          <w:color w:val="545456"/>
          <w:w w:val="110"/>
          <w:sz w:val="17"/>
        </w:rPr>
        <w:t>e</w:t>
      </w:r>
      <w:r>
        <w:rPr>
          <w:i/>
          <w:color w:val="3A383A"/>
          <w:w w:val="110"/>
          <w:sz w:val="17"/>
        </w:rPr>
        <w:t>e</w:t>
      </w:r>
      <w:r>
        <w:rPr>
          <w:i/>
          <w:color w:val="3A383A"/>
          <w:spacing w:val="14"/>
          <w:w w:val="110"/>
          <w:sz w:val="17"/>
        </w:rPr>
        <w:t> </w:t>
      </w:r>
      <w:r>
        <w:rPr>
          <w:i/>
          <w:color w:val="3A383A"/>
          <w:w w:val="110"/>
          <w:sz w:val="17"/>
        </w:rPr>
        <w:t>also</w:t>
      </w:r>
      <w:r>
        <w:rPr>
          <w:i/>
          <w:color w:val="3A383A"/>
          <w:spacing w:val="-1"/>
          <w:w w:val="110"/>
          <w:sz w:val="17"/>
        </w:rPr>
        <w:t> </w:t>
      </w:r>
      <w:r>
        <w:rPr>
          <w:color w:val="3A383A"/>
          <w:w w:val="110"/>
          <w:sz w:val="18"/>
        </w:rPr>
        <w:t>Robbins</w:t>
      </w:r>
      <w:r>
        <w:rPr>
          <w:color w:val="545456"/>
          <w:w w:val="110"/>
          <w:sz w:val="18"/>
        </w:rPr>
        <w:t>,</w:t>
      </w:r>
      <w:r>
        <w:rPr>
          <w:color w:val="545456"/>
          <w:spacing w:val="29"/>
          <w:w w:val="110"/>
          <w:sz w:val="18"/>
        </w:rPr>
        <w:t> </w:t>
      </w:r>
      <w:r>
        <w:rPr>
          <w:i/>
          <w:color w:val="3A383A"/>
          <w:w w:val="110"/>
          <w:sz w:val="17"/>
        </w:rPr>
        <w:t>supra</w:t>
      </w:r>
      <w:r>
        <w:rPr>
          <w:i/>
          <w:color w:val="3A383A"/>
          <w:spacing w:val="23"/>
          <w:w w:val="110"/>
          <w:sz w:val="17"/>
        </w:rPr>
        <w:t> </w:t>
      </w:r>
      <w:r>
        <w:rPr>
          <w:color w:val="3A383A"/>
          <w:w w:val="110"/>
          <w:sz w:val="18"/>
        </w:rPr>
        <w:t>note</w:t>
      </w:r>
      <w:r>
        <w:rPr>
          <w:color w:val="3A383A"/>
          <w:spacing w:val="-2"/>
          <w:w w:val="110"/>
          <w:sz w:val="18"/>
        </w:rPr>
        <w:t> </w:t>
      </w:r>
      <w:r>
        <w:rPr>
          <w:color w:val="3A383A"/>
          <w:w w:val="110"/>
          <w:sz w:val="18"/>
        </w:rPr>
        <w:t>23,</w:t>
      </w:r>
      <w:r>
        <w:rPr>
          <w:color w:val="3A383A"/>
          <w:spacing w:val="-15"/>
          <w:w w:val="110"/>
          <w:sz w:val="18"/>
        </w:rPr>
        <w:t> </w:t>
      </w:r>
      <w:r>
        <w:rPr>
          <w:color w:val="3A383A"/>
          <w:w w:val="110"/>
          <w:sz w:val="18"/>
        </w:rPr>
        <w:t>at</w:t>
      </w:r>
      <w:r>
        <w:rPr>
          <w:color w:val="3A383A"/>
          <w:spacing w:val="24"/>
          <w:w w:val="110"/>
          <w:sz w:val="18"/>
        </w:rPr>
        <w:t> </w:t>
      </w:r>
      <w:r>
        <w:rPr>
          <w:color w:val="3A383A"/>
          <w:w w:val="110"/>
          <w:sz w:val="18"/>
        </w:rPr>
        <w:t>127</w:t>
      </w:r>
      <w:r>
        <w:rPr>
          <w:color w:val="3A383A"/>
          <w:spacing w:val="-26"/>
          <w:w w:val="110"/>
          <w:sz w:val="18"/>
        </w:rPr>
        <w:t> </w:t>
      </w:r>
      <w:r>
        <w:rPr>
          <w:color w:val="3A383A"/>
          <w:w w:val="110"/>
          <w:sz w:val="18"/>
        </w:rPr>
        <w:t>(noting</w:t>
      </w:r>
      <w:r>
        <w:rPr>
          <w:color w:val="3A383A"/>
          <w:spacing w:val="16"/>
          <w:w w:val="110"/>
          <w:sz w:val="18"/>
        </w:rPr>
        <w:t> </w:t>
      </w:r>
      <w:r>
        <w:rPr>
          <w:color w:val="3A383A"/>
          <w:w w:val="110"/>
          <w:sz w:val="18"/>
        </w:rPr>
        <w:t>that</w:t>
      </w:r>
      <w:r>
        <w:rPr>
          <w:color w:val="3A383A"/>
          <w:spacing w:val="7"/>
          <w:w w:val="110"/>
          <w:sz w:val="18"/>
        </w:rPr>
        <w:t> </w:t>
      </w:r>
      <w:r>
        <w:rPr>
          <w:color w:val="3A383A"/>
          <w:w w:val="110"/>
          <w:sz w:val="18"/>
        </w:rPr>
        <w:t>using all</w:t>
      </w:r>
      <w:r>
        <w:rPr>
          <w:color w:val="3A383A"/>
          <w:spacing w:val="2"/>
          <w:w w:val="110"/>
          <w:sz w:val="18"/>
        </w:rPr>
        <w:t> </w:t>
      </w:r>
      <w:r>
        <w:rPr>
          <w:color w:val="3A383A"/>
          <w:w w:val="110"/>
          <w:sz w:val="18"/>
        </w:rPr>
        <w:t>capital</w:t>
      </w:r>
      <w:r>
        <w:rPr>
          <w:color w:val="3A383A"/>
          <w:spacing w:val="19"/>
          <w:w w:val="110"/>
          <w:sz w:val="18"/>
        </w:rPr>
        <w:t> </w:t>
      </w:r>
      <w:r>
        <w:rPr>
          <w:color w:val="2A2628"/>
          <w:w w:val="110"/>
          <w:sz w:val="18"/>
        </w:rPr>
        <w:t>letters</w:t>
      </w:r>
      <w:r>
        <w:rPr>
          <w:color w:val="2A2628"/>
          <w:spacing w:val="11"/>
          <w:w w:val="110"/>
          <w:sz w:val="18"/>
        </w:rPr>
        <w:t> </w:t>
      </w:r>
      <w:r>
        <w:rPr>
          <w:color w:val="3A383A"/>
          <w:w w:val="110"/>
          <w:sz w:val="18"/>
        </w:rPr>
        <w:t>Is</w:t>
      </w:r>
      <w:r>
        <w:rPr>
          <w:color w:val="3A383A"/>
          <w:spacing w:val="-5"/>
          <w:w w:val="110"/>
          <w:sz w:val="18"/>
        </w:rPr>
        <w:t> </w:t>
      </w:r>
      <w:r>
        <w:rPr>
          <w:color w:val="3A383A"/>
          <w:w w:val="110"/>
          <w:sz w:val="18"/>
        </w:rPr>
        <w:t>"the</w:t>
      </w:r>
      <w:r>
        <w:rPr>
          <w:color w:val="3A383A"/>
          <w:spacing w:val="-3"/>
          <w:w w:val="110"/>
          <w:sz w:val="18"/>
        </w:rPr>
        <w:t> </w:t>
      </w:r>
      <w:r>
        <w:rPr>
          <w:rFonts w:ascii="Arial"/>
          <w:color w:val="3A383A"/>
          <w:w w:val="110"/>
          <w:sz w:val="16"/>
        </w:rPr>
        <w:t>worst</w:t>
      </w:r>
    </w:p>
    <w:p>
      <w:pPr>
        <w:spacing w:line="193" w:lineRule="exact" w:before="0"/>
        <w:ind w:left="527" w:right="0" w:firstLine="0"/>
        <w:jc w:val="both"/>
        <w:rPr>
          <w:sz w:val="18"/>
        </w:rPr>
      </w:pPr>
      <w:r>
        <w:rPr>
          <w:color w:val="3A383A"/>
          <w:w w:val="110"/>
          <w:sz w:val="18"/>
        </w:rPr>
        <w:t>thing</w:t>
      </w:r>
      <w:r>
        <w:rPr>
          <w:color w:val="3A383A"/>
          <w:spacing w:val="-10"/>
          <w:w w:val="110"/>
          <w:sz w:val="18"/>
        </w:rPr>
        <w:t> </w:t>
      </w:r>
      <w:r>
        <w:rPr>
          <w:color w:val="3A383A"/>
          <w:w w:val="110"/>
          <w:sz w:val="18"/>
        </w:rPr>
        <w:t>you</w:t>
      </w:r>
      <w:r>
        <w:rPr>
          <w:color w:val="3A383A"/>
          <w:spacing w:val="-25"/>
          <w:w w:val="110"/>
          <w:sz w:val="18"/>
        </w:rPr>
        <w:t> </w:t>
      </w:r>
      <w:r>
        <w:rPr>
          <w:color w:val="3A383A"/>
          <w:w w:val="110"/>
          <w:sz w:val="18"/>
        </w:rPr>
        <w:t>can</w:t>
      </w:r>
      <w:r>
        <w:rPr>
          <w:color w:val="3A383A"/>
          <w:spacing w:val="-13"/>
          <w:w w:val="110"/>
          <w:sz w:val="18"/>
        </w:rPr>
        <w:t> </w:t>
      </w:r>
      <w:r>
        <w:rPr>
          <w:color w:val="3A383A"/>
          <w:w w:val="110"/>
          <w:sz w:val="18"/>
        </w:rPr>
        <w:t>do</w:t>
      </w:r>
      <w:r>
        <w:rPr>
          <w:color w:val="3A383A"/>
          <w:spacing w:val="-8"/>
          <w:w w:val="110"/>
          <w:sz w:val="18"/>
        </w:rPr>
        <w:t> </w:t>
      </w:r>
      <w:r>
        <w:rPr>
          <w:color w:val="3A383A"/>
          <w:w w:val="110"/>
          <w:sz w:val="18"/>
        </w:rPr>
        <w:t>If</w:t>
      </w:r>
      <w:r>
        <w:rPr>
          <w:color w:val="3A383A"/>
          <w:spacing w:val="10"/>
          <w:w w:val="110"/>
          <w:sz w:val="18"/>
        </w:rPr>
        <w:t> </w:t>
      </w:r>
      <w:r>
        <w:rPr>
          <w:color w:val="3A383A"/>
          <w:w w:val="110"/>
          <w:sz w:val="18"/>
        </w:rPr>
        <w:t>you</w:t>
      </w:r>
      <w:r>
        <w:rPr>
          <w:color w:val="3A383A"/>
          <w:spacing w:val="3"/>
          <w:w w:val="110"/>
          <w:sz w:val="18"/>
        </w:rPr>
        <w:t> </w:t>
      </w:r>
      <w:r>
        <w:rPr>
          <w:color w:val="3A383A"/>
          <w:w w:val="110"/>
          <w:sz w:val="18"/>
        </w:rPr>
        <w:t>want</w:t>
      </w:r>
      <w:r>
        <w:rPr>
          <w:color w:val="3A383A"/>
          <w:spacing w:val="-5"/>
          <w:w w:val="110"/>
          <w:sz w:val="18"/>
        </w:rPr>
        <w:t> </w:t>
      </w:r>
      <w:r>
        <w:rPr>
          <w:color w:val="3A383A"/>
          <w:w w:val="110"/>
          <w:sz w:val="18"/>
        </w:rPr>
        <w:t>your</w:t>
      </w:r>
      <w:r>
        <w:rPr>
          <w:color w:val="3A383A"/>
          <w:spacing w:val="-3"/>
          <w:w w:val="110"/>
          <w:sz w:val="18"/>
        </w:rPr>
        <w:t> </w:t>
      </w:r>
      <w:r>
        <w:rPr>
          <w:color w:val="3A383A"/>
          <w:w w:val="110"/>
          <w:sz w:val="18"/>
        </w:rPr>
        <w:t>headings</w:t>
      </w:r>
      <w:r>
        <w:rPr>
          <w:color w:val="3A383A"/>
          <w:spacing w:val="-7"/>
          <w:w w:val="110"/>
          <w:sz w:val="18"/>
        </w:rPr>
        <w:t> </w:t>
      </w:r>
      <w:r>
        <w:rPr>
          <w:color w:val="3A383A"/>
          <w:w w:val="110"/>
          <w:sz w:val="18"/>
        </w:rPr>
        <w:t>to</w:t>
      </w:r>
      <w:r>
        <w:rPr>
          <w:color w:val="3A383A"/>
          <w:spacing w:val="9"/>
          <w:w w:val="110"/>
          <w:sz w:val="18"/>
        </w:rPr>
        <w:t> </w:t>
      </w:r>
      <w:r>
        <w:rPr>
          <w:color w:val="3A383A"/>
          <w:w w:val="110"/>
          <w:sz w:val="18"/>
        </w:rPr>
        <w:t>be</w:t>
      </w:r>
      <w:r>
        <w:rPr>
          <w:color w:val="3A383A"/>
          <w:spacing w:val="-14"/>
          <w:w w:val="110"/>
          <w:sz w:val="18"/>
        </w:rPr>
        <w:t> </w:t>
      </w:r>
      <w:r>
        <w:rPr>
          <w:color w:val="3A383A"/>
          <w:w w:val="110"/>
          <w:sz w:val="18"/>
        </w:rPr>
        <w:t>legible</w:t>
      </w:r>
      <w:r>
        <w:rPr>
          <w:color w:val="3A383A"/>
          <w:spacing w:val="-12"/>
          <w:w w:val="110"/>
          <w:sz w:val="18"/>
        </w:rPr>
        <w:t> </w:t>
      </w:r>
      <w:r>
        <w:rPr>
          <w:color w:val="3A383A"/>
          <w:w w:val="110"/>
          <w:sz w:val="18"/>
        </w:rPr>
        <w:t>and</w:t>
      </w:r>
      <w:r>
        <w:rPr>
          <w:color w:val="3A383A"/>
          <w:spacing w:val="23"/>
          <w:w w:val="110"/>
          <w:sz w:val="18"/>
        </w:rPr>
        <w:t> </w:t>
      </w:r>
      <w:r>
        <w:rPr>
          <w:color w:val="3A383A"/>
          <w:w w:val="110"/>
          <w:sz w:val="18"/>
        </w:rPr>
        <w:t>easy</w:t>
      </w:r>
      <w:r>
        <w:rPr>
          <w:color w:val="3A383A"/>
          <w:spacing w:val="2"/>
          <w:w w:val="110"/>
          <w:sz w:val="18"/>
        </w:rPr>
        <w:t> </w:t>
      </w:r>
      <w:r>
        <w:rPr>
          <w:color w:val="3A383A"/>
          <w:w w:val="110"/>
          <w:sz w:val="18"/>
        </w:rPr>
        <w:t>to</w:t>
      </w:r>
      <w:r>
        <w:rPr>
          <w:color w:val="3A383A"/>
          <w:spacing w:val="15"/>
          <w:w w:val="110"/>
          <w:sz w:val="18"/>
        </w:rPr>
        <w:t> </w:t>
      </w:r>
      <w:r>
        <w:rPr>
          <w:color w:val="3A383A"/>
          <w:w w:val="110"/>
          <w:sz w:val="18"/>
        </w:rPr>
        <w:t>read</w:t>
      </w:r>
      <w:r>
        <w:rPr>
          <w:color w:val="545456"/>
          <w:w w:val="110"/>
          <w:sz w:val="18"/>
        </w:rPr>
        <w:t>"</w:t>
      </w:r>
      <w:r>
        <w:rPr>
          <w:color w:val="3A383A"/>
          <w:w w:val="110"/>
          <w:sz w:val="18"/>
        </w:rPr>
        <w:t>).</w:t>
      </w:r>
    </w:p>
    <w:p>
      <w:pPr>
        <w:spacing w:line="235" w:lineRule="auto" w:before="0"/>
        <w:ind w:left="498" w:right="170" w:firstLine="401"/>
        <w:jc w:val="both"/>
        <w:rPr>
          <w:sz w:val="18"/>
        </w:rPr>
      </w:pPr>
      <w:r>
        <w:rPr>
          <w:i/>
          <w:color w:val="3A383A"/>
          <w:w w:val="105"/>
          <w:sz w:val="17"/>
        </w:rPr>
        <w:t>u E.g</w:t>
      </w:r>
      <w:r>
        <w:rPr>
          <w:i/>
          <w:color w:val="545456"/>
          <w:w w:val="105"/>
          <w:sz w:val="17"/>
        </w:rPr>
        <w:t>., </w:t>
      </w:r>
      <w:r>
        <w:rPr>
          <w:color w:val="3A383A"/>
          <w:w w:val="105"/>
          <w:sz w:val="18"/>
        </w:rPr>
        <w:t>Securities and</w:t>
      </w:r>
      <w:r>
        <w:rPr>
          <w:color w:val="3A383A"/>
          <w:spacing w:val="1"/>
          <w:w w:val="105"/>
          <w:sz w:val="18"/>
        </w:rPr>
        <w:t> </w:t>
      </w:r>
      <w:r>
        <w:rPr>
          <w:color w:val="3A383A"/>
          <w:w w:val="105"/>
          <w:sz w:val="18"/>
        </w:rPr>
        <w:t>Exchange Commission</w:t>
      </w:r>
      <w:r>
        <w:rPr>
          <w:color w:val="545456"/>
          <w:w w:val="105"/>
          <w:sz w:val="18"/>
        </w:rPr>
        <w:t>, </w:t>
      </w:r>
      <w:r>
        <w:rPr>
          <w:i/>
          <w:color w:val="3A383A"/>
          <w:w w:val="105"/>
          <w:sz w:val="17"/>
        </w:rPr>
        <w:t>A Plain English Handbook</w:t>
      </w:r>
      <w:r>
        <w:rPr>
          <w:i/>
          <w:color w:val="545456"/>
          <w:w w:val="105"/>
          <w:sz w:val="17"/>
        </w:rPr>
        <w:t>: </w:t>
      </w:r>
      <w:r>
        <w:rPr>
          <w:i/>
          <w:color w:val="3A383A"/>
          <w:w w:val="105"/>
          <w:sz w:val="17"/>
        </w:rPr>
        <w:t>How to Cr</w:t>
      </w:r>
      <w:r>
        <w:rPr>
          <w:i/>
          <w:color w:val="545456"/>
          <w:w w:val="105"/>
          <w:sz w:val="17"/>
        </w:rPr>
        <w:t>e</w:t>
      </w:r>
      <w:r>
        <w:rPr>
          <w:i/>
          <w:color w:val="3A383A"/>
          <w:w w:val="105"/>
          <w:sz w:val="17"/>
        </w:rPr>
        <w:t>ate Clrar</w:t>
      </w:r>
      <w:r>
        <w:rPr>
          <w:i/>
          <w:color w:val="3A383A"/>
          <w:spacing w:val="1"/>
          <w:w w:val="105"/>
          <w:sz w:val="17"/>
        </w:rPr>
        <w:t> </w:t>
      </w:r>
      <w:r>
        <w:rPr>
          <w:i/>
          <w:color w:val="3A383A"/>
          <w:w w:val="105"/>
          <w:sz w:val="17"/>
        </w:rPr>
        <w:t>SEC Disclosure Documents 44</w:t>
      </w:r>
      <w:r>
        <w:rPr>
          <w:i/>
          <w:color w:val="3A383A"/>
          <w:spacing w:val="1"/>
          <w:w w:val="105"/>
          <w:sz w:val="17"/>
        </w:rPr>
        <w:t> </w:t>
      </w:r>
      <w:r>
        <w:rPr>
          <w:color w:val="3A383A"/>
          <w:w w:val="105"/>
          <w:sz w:val="18"/>
        </w:rPr>
        <w:t>(SEC 1998), availab</w:t>
      </w:r>
      <w:r>
        <w:rPr>
          <w:color w:val="545456"/>
          <w:w w:val="105"/>
          <w:sz w:val="18"/>
        </w:rPr>
        <w:t>l</w:t>
      </w:r>
      <w:r>
        <w:rPr>
          <w:color w:val="3A383A"/>
          <w:w w:val="105"/>
          <w:sz w:val="18"/>
        </w:rPr>
        <w:t>e at </w:t>
      </w:r>
      <w:hyperlink r:id="rId312">
        <w:r>
          <w:rPr>
            <w:color w:val="3A383A"/>
            <w:w w:val="105"/>
            <w:sz w:val="18"/>
          </w:rPr>
          <w:t>http://www.sec.gov/news/extra/handbook.</w:t>
        </w:r>
      </w:hyperlink>
      <w:r>
        <w:rPr>
          <w:color w:val="3A383A"/>
          <w:spacing w:val="1"/>
          <w:w w:val="105"/>
          <w:sz w:val="18"/>
        </w:rPr>
        <w:t> </w:t>
      </w:r>
      <w:r>
        <w:rPr>
          <w:color w:val="3A383A"/>
          <w:w w:val="110"/>
          <w:sz w:val="18"/>
        </w:rPr>
        <w:t>htrn</w:t>
      </w:r>
      <w:r>
        <w:rPr>
          <w:color w:val="545456"/>
          <w:w w:val="110"/>
          <w:sz w:val="18"/>
        </w:rPr>
        <w:t>.</w:t>
      </w:r>
      <w:r>
        <w:rPr>
          <w:color w:val="545456"/>
          <w:spacing w:val="-9"/>
          <w:w w:val="110"/>
          <w:sz w:val="18"/>
        </w:rPr>
        <w:t> </w:t>
      </w:r>
      <w:r>
        <w:rPr>
          <w:i/>
          <w:color w:val="3A383A"/>
          <w:w w:val="110"/>
          <w:sz w:val="18"/>
        </w:rPr>
        <w:t>See</w:t>
      </w:r>
      <w:r>
        <w:rPr>
          <w:rFonts w:ascii="Arial"/>
          <w:i/>
          <w:color w:val="3A383A"/>
          <w:w w:val="110"/>
          <w:sz w:val="17"/>
        </w:rPr>
        <w:t>alw</w:t>
      </w:r>
      <w:r>
        <w:rPr>
          <w:rFonts w:ascii="Arial"/>
          <w:i/>
          <w:color w:val="3A383A"/>
          <w:spacing w:val="44"/>
          <w:w w:val="110"/>
          <w:sz w:val="17"/>
        </w:rPr>
        <w:t> </w:t>
      </w:r>
      <w:r>
        <w:rPr>
          <w:color w:val="3A383A"/>
          <w:w w:val="110"/>
          <w:sz w:val="18"/>
        </w:rPr>
        <w:t>Robb</w:t>
      </w:r>
      <w:r>
        <w:rPr>
          <w:color w:val="545456"/>
          <w:w w:val="110"/>
          <w:sz w:val="18"/>
        </w:rPr>
        <w:t>i</w:t>
      </w:r>
      <w:r>
        <w:rPr>
          <w:color w:val="3A383A"/>
          <w:w w:val="110"/>
          <w:sz w:val="18"/>
        </w:rPr>
        <w:t>ns,</w:t>
      </w:r>
      <w:r>
        <w:rPr>
          <w:color w:val="3A383A"/>
          <w:spacing w:val="-15"/>
          <w:w w:val="110"/>
          <w:sz w:val="18"/>
        </w:rPr>
        <w:t> </w:t>
      </w:r>
      <w:r>
        <w:rPr>
          <w:rFonts w:ascii="Arial"/>
          <w:i/>
          <w:color w:val="3A383A"/>
          <w:w w:val="110"/>
          <w:sz w:val="17"/>
        </w:rPr>
        <w:t>supra</w:t>
      </w:r>
      <w:r>
        <w:rPr>
          <w:rFonts w:ascii="Arial"/>
          <w:i/>
          <w:color w:val="3A383A"/>
          <w:spacing w:val="-14"/>
          <w:w w:val="110"/>
          <w:sz w:val="17"/>
        </w:rPr>
        <w:t> </w:t>
      </w:r>
      <w:r>
        <w:rPr>
          <w:color w:val="3A383A"/>
          <w:w w:val="110"/>
          <w:sz w:val="18"/>
        </w:rPr>
        <w:t>note</w:t>
      </w:r>
      <w:r>
        <w:rPr>
          <w:color w:val="3A383A"/>
          <w:spacing w:val="-6"/>
          <w:w w:val="110"/>
          <w:sz w:val="18"/>
        </w:rPr>
        <w:t> </w:t>
      </w:r>
      <w:r>
        <w:rPr>
          <w:color w:val="3A383A"/>
          <w:w w:val="110"/>
          <w:sz w:val="18"/>
        </w:rPr>
        <w:t>23,</w:t>
      </w:r>
      <w:r>
        <w:rPr>
          <w:color w:val="3A383A"/>
          <w:spacing w:val="-29"/>
          <w:w w:val="110"/>
          <w:sz w:val="18"/>
        </w:rPr>
        <w:t> </w:t>
      </w:r>
      <w:r>
        <w:rPr>
          <w:color w:val="3A383A"/>
          <w:w w:val="110"/>
          <w:sz w:val="18"/>
        </w:rPr>
        <w:t>at</w:t>
      </w:r>
      <w:r>
        <w:rPr>
          <w:color w:val="3A383A"/>
          <w:spacing w:val="-7"/>
          <w:w w:val="110"/>
          <w:sz w:val="18"/>
        </w:rPr>
        <w:t> </w:t>
      </w:r>
      <w:r>
        <w:rPr>
          <w:color w:val="3A383A"/>
          <w:w w:val="110"/>
          <w:sz w:val="18"/>
        </w:rPr>
        <w:t>130-31.</w:t>
      </w:r>
    </w:p>
    <w:p>
      <w:pPr>
        <w:spacing w:after="0" w:line="235" w:lineRule="auto"/>
        <w:jc w:val="both"/>
        <w:rPr>
          <w:sz w:val="18"/>
        </w:rPr>
        <w:sectPr>
          <w:pgSz w:w="9820" w:h="13990"/>
          <w:pgMar w:header="530" w:footer="0" w:top="1100" w:bottom="0" w:left="1360" w:right="200"/>
        </w:sectPr>
      </w:pPr>
    </w:p>
    <w:p>
      <w:pPr>
        <w:pStyle w:val="BodyText"/>
        <w:spacing w:before="6"/>
        <w:rPr>
          <w:sz w:val="26"/>
        </w:rPr>
      </w:pPr>
    </w:p>
    <w:p>
      <w:pPr>
        <w:spacing w:before="90"/>
        <w:ind w:left="206" w:right="0" w:firstLine="0"/>
        <w:jc w:val="left"/>
        <w:rPr>
          <w:rFonts w:ascii="Arial"/>
          <w:sz w:val="14"/>
        </w:rPr>
      </w:pPr>
      <w:r>
        <w:rPr>
          <w:i/>
          <w:color w:val="383636"/>
          <w:w w:val="105"/>
          <w:sz w:val="26"/>
          <w:u w:val="thick" w:color="383636"/>
        </w:rPr>
        <w:t>.s,j.</w:t>
      </w:r>
      <w:r>
        <w:rPr>
          <w:rFonts w:ascii="Arial"/>
          <w:color w:val="383636"/>
          <w:w w:val="105"/>
          <w:sz w:val="14"/>
          <w:u w:val="thick" w:color="383636"/>
        </w:rPr>
        <w:t>B</w:t>
      </w:r>
      <w:r>
        <w:rPr>
          <w:rFonts w:ascii="Arial"/>
          <w:color w:val="504F52"/>
          <w:w w:val="105"/>
          <w:sz w:val="14"/>
          <w:u w:val="thick" w:color="383636"/>
        </w:rPr>
        <w:t>A</w:t>
      </w:r>
      <w:r>
        <w:rPr>
          <w:rFonts w:ascii="Arial"/>
          <w:color w:val="383636"/>
          <w:w w:val="105"/>
          <w:sz w:val="14"/>
          <w:u w:val="thick" w:color="383636"/>
        </w:rPr>
        <w:t>D</w:t>
      </w:r>
      <w:r>
        <w:rPr>
          <w:rFonts w:ascii="Arial"/>
          <w:color w:val="383636"/>
          <w:spacing w:val="-3"/>
          <w:w w:val="105"/>
          <w:sz w:val="14"/>
          <w:u w:val="thick" w:color="383636"/>
        </w:rPr>
        <w:t> </w:t>
      </w:r>
      <w:r>
        <w:rPr>
          <w:rFonts w:ascii="Arial"/>
          <w:color w:val="383636"/>
          <w:w w:val="105"/>
          <w:sz w:val="14"/>
          <w:u w:val="thick" w:color="383636"/>
        </w:rPr>
        <w:t>E</w:t>
      </w:r>
      <w:r>
        <w:rPr>
          <w:rFonts w:ascii="Arial"/>
          <w:color w:val="504F52"/>
          <w:w w:val="105"/>
          <w:sz w:val="14"/>
          <w:u w:val="thick" w:color="383636"/>
        </w:rPr>
        <w:t>XA</w:t>
      </w:r>
      <w:r>
        <w:rPr>
          <w:rFonts w:ascii="Arial"/>
          <w:color w:val="383636"/>
          <w:w w:val="105"/>
          <w:sz w:val="14"/>
          <w:u w:val="thick" w:color="383636"/>
        </w:rPr>
        <w:t>MPLE</w:t>
      </w:r>
    </w:p>
    <w:p>
      <w:pPr>
        <w:tabs>
          <w:tab w:pos="7347" w:val="right" w:leader="dot"/>
        </w:tabs>
        <w:spacing w:before="75"/>
        <w:ind w:left="541" w:right="0" w:firstLine="0"/>
        <w:jc w:val="left"/>
        <w:rPr>
          <w:sz w:val="20"/>
        </w:rPr>
      </w:pPr>
      <w:r>
        <w:rPr>
          <w:color w:val="383636"/>
          <w:spacing w:val="-1"/>
          <w:w w:val="103"/>
          <w:sz w:val="20"/>
        </w:rPr>
        <w:t>ARGUMEN</w:t>
      </w:r>
      <w:r>
        <w:rPr>
          <w:color w:val="383636"/>
          <w:spacing w:val="1"/>
          <w:w w:val="103"/>
          <w:sz w:val="20"/>
        </w:rPr>
        <w:t>T</w:t>
      </w:r>
      <w:r>
        <w:rPr>
          <w:color w:val="383636"/>
          <w:w w:val="218"/>
          <w:sz w:val="20"/>
        </w:rPr>
        <w:t>....</w:t>
      </w:r>
      <w:r>
        <w:rPr>
          <w:color w:val="504F52"/>
          <w:spacing w:val="-1"/>
          <w:w w:val="218"/>
          <w:sz w:val="20"/>
        </w:rPr>
        <w:t>•</w:t>
      </w:r>
      <w:r>
        <w:rPr>
          <w:color w:val="383636"/>
          <w:w w:val="218"/>
          <w:sz w:val="20"/>
        </w:rPr>
        <w:t>....</w:t>
      </w:r>
      <w:r>
        <w:rPr>
          <w:color w:val="504F52"/>
          <w:w w:val="218"/>
          <w:sz w:val="20"/>
        </w:rPr>
        <w:t>.</w:t>
      </w:r>
      <w:r>
        <w:rPr>
          <w:color w:val="383636"/>
          <w:spacing w:val="-1"/>
          <w:w w:val="218"/>
          <w:sz w:val="20"/>
        </w:rPr>
        <w:t>•</w:t>
      </w:r>
      <w:r>
        <w:rPr>
          <w:color w:val="383636"/>
          <w:w w:val="218"/>
          <w:sz w:val="20"/>
        </w:rPr>
        <w:t>..</w:t>
      </w:r>
      <w:r>
        <w:rPr>
          <w:color w:val="504F52"/>
          <w:w w:val="218"/>
          <w:sz w:val="20"/>
        </w:rPr>
        <w:t>.</w:t>
      </w:r>
      <w:r>
        <w:rPr>
          <w:color w:val="383636"/>
          <w:w w:val="218"/>
          <w:sz w:val="20"/>
        </w:rPr>
        <w:t>........</w:t>
      </w:r>
      <w:r>
        <w:rPr>
          <w:color w:val="383636"/>
          <w:spacing w:val="-1"/>
          <w:w w:val="218"/>
          <w:sz w:val="20"/>
        </w:rPr>
        <w:t>•</w:t>
      </w:r>
      <w:r>
        <w:rPr>
          <w:color w:val="504F52"/>
          <w:w w:val="218"/>
          <w:sz w:val="20"/>
        </w:rPr>
        <w:t>.</w:t>
      </w:r>
      <w:r>
        <w:rPr>
          <w:color w:val="504F52"/>
          <w:spacing w:val="-1"/>
          <w:w w:val="218"/>
          <w:sz w:val="20"/>
        </w:rPr>
        <w:t>•</w:t>
      </w:r>
      <w:r>
        <w:rPr>
          <w:color w:val="383636"/>
          <w:w w:val="218"/>
          <w:sz w:val="20"/>
        </w:rPr>
        <w:t>•</w:t>
      </w:r>
      <w:r>
        <w:rPr>
          <w:color w:val="383636"/>
          <w:w w:val="100"/>
          <w:sz w:val="20"/>
        </w:rPr>
        <w:t> </w:t>
      </w:r>
      <w:r>
        <w:rPr>
          <w:color w:val="383636"/>
          <w:sz w:val="20"/>
        </w:rPr>
        <w:tab/>
      </w:r>
      <w:r>
        <w:rPr>
          <w:color w:val="383636"/>
          <w:spacing w:val="-1"/>
          <w:w w:val="218"/>
          <w:sz w:val="20"/>
        </w:rPr>
        <w:t>•</w:t>
      </w:r>
      <w:r>
        <w:rPr>
          <w:color w:val="383636"/>
          <w:w w:val="218"/>
          <w:sz w:val="20"/>
        </w:rPr>
        <w:t>•</w:t>
      </w:r>
      <w:r>
        <w:rPr>
          <w:color w:val="383636"/>
          <w:w w:val="100"/>
          <w:sz w:val="20"/>
        </w:rPr>
        <w:t> </w:t>
      </w:r>
      <w:r>
        <w:rPr>
          <w:color w:val="383636"/>
          <w:sz w:val="20"/>
        </w:rPr>
        <w:tab/>
      </w:r>
      <w:r>
        <w:rPr>
          <w:color w:val="383636"/>
          <w:w w:val="205"/>
          <w:sz w:val="20"/>
        </w:rPr>
        <w:t> </w:t>
      </w:r>
      <w:r>
        <w:rPr>
          <w:color w:val="383636"/>
          <w:w w:val="205"/>
          <w:sz w:val="20"/>
        </w:rPr>
        <w:t>8</w:t>
      </w:r>
    </w:p>
    <w:p>
      <w:pPr>
        <w:pStyle w:val="ListParagraph"/>
        <w:numPr>
          <w:ilvl w:val="1"/>
          <w:numId w:val="103"/>
        </w:numPr>
        <w:tabs>
          <w:tab w:pos="967" w:val="left" w:leader="none"/>
        </w:tabs>
        <w:spacing w:line="230" w:lineRule="auto" w:before="10" w:after="0"/>
        <w:ind w:left="776" w:right="1302" w:firstLine="2"/>
        <w:jc w:val="left"/>
        <w:rPr>
          <w:sz w:val="21"/>
        </w:rPr>
      </w:pPr>
      <w:r>
        <w:rPr>
          <w:color w:val="383636"/>
          <w:w w:val="115"/>
          <w:sz w:val="21"/>
        </w:rPr>
        <w:t>As</w:t>
      </w:r>
      <w:r>
        <w:rPr>
          <w:color w:val="383636"/>
          <w:spacing w:val="-14"/>
          <w:w w:val="115"/>
          <w:sz w:val="21"/>
        </w:rPr>
        <w:t> </w:t>
      </w:r>
      <w:r>
        <w:rPr>
          <w:color w:val="383636"/>
          <w:w w:val="115"/>
          <w:sz w:val="21"/>
        </w:rPr>
        <w:t>temporary</w:t>
      </w:r>
      <w:r>
        <w:rPr>
          <w:color w:val="383636"/>
          <w:spacing w:val="-3"/>
          <w:w w:val="115"/>
          <w:sz w:val="21"/>
        </w:rPr>
        <w:t> </w:t>
      </w:r>
      <w:r>
        <w:rPr>
          <w:color w:val="383636"/>
          <w:w w:val="115"/>
          <w:sz w:val="21"/>
        </w:rPr>
        <w:t>business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invitees</w:t>
      </w:r>
      <w:r>
        <w:rPr>
          <w:color w:val="383636"/>
          <w:spacing w:val="9"/>
          <w:w w:val="115"/>
          <w:sz w:val="21"/>
        </w:rPr>
        <w:t> </w:t>
      </w:r>
      <w:r>
        <w:rPr>
          <w:color w:val="383636"/>
          <w:w w:val="115"/>
          <w:sz w:val="21"/>
        </w:rPr>
        <w:t>present</w:t>
      </w:r>
      <w:r>
        <w:rPr>
          <w:color w:val="383636"/>
          <w:spacing w:val="-2"/>
          <w:w w:val="115"/>
          <w:sz w:val="21"/>
        </w:rPr>
        <w:t> </w:t>
      </w:r>
      <w:r>
        <w:rPr>
          <w:color w:val="383636"/>
          <w:w w:val="115"/>
          <w:sz w:val="21"/>
        </w:rPr>
        <w:t>in</w:t>
      </w:r>
      <w:r>
        <w:rPr>
          <w:color w:val="383636"/>
          <w:spacing w:val="18"/>
          <w:w w:val="115"/>
          <w:sz w:val="21"/>
        </w:rPr>
        <w:t> </w:t>
      </w:r>
      <w:r>
        <w:rPr>
          <w:color w:val="383636"/>
          <w:w w:val="115"/>
          <w:sz w:val="21"/>
        </w:rPr>
        <w:t>another's</w:t>
      </w:r>
      <w:r>
        <w:rPr>
          <w:color w:val="383636"/>
          <w:spacing w:val="-4"/>
          <w:w w:val="115"/>
          <w:sz w:val="21"/>
        </w:rPr>
        <w:t> </w:t>
      </w:r>
      <w:r>
        <w:rPr>
          <w:color w:val="383636"/>
          <w:w w:val="115"/>
          <w:sz w:val="21"/>
        </w:rPr>
        <w:t>residence</w:t>
      </w:r>
      <w:r>
        <w:rPr>
          <w:color w:val="383636"/>
          <w:spacing w:val="-58"/>
          <w:w w:val="115"/>
          <w:sz w:val="21"/>
        </w:rPr>
        <w:t> </w:t>
      </w:r>
      <w:r>
        <w:rPr>
          <w:color w:val="383636"/>
          <w:w w:val="115"/>
          <w:sz w:val="21"/>
        </w:rPr>
        <w:t>for the sole purpose of packaging drugs, R</w:t>
      </w:r>
      <w:r>
        <w:rPr>
          <w:color w:val="504F52"/>
          <w:w w:val="115"/>
          <w:sz w:val="21"/>
        </w:rPr>
        <w:t>e</w:t>
      </w:r>
      <w:r>
        <w:rPr>
          <w:color w:val="383636"/>
          <w:w w:val="115"/>
          <w:sz w:val="21"/>
        </w:rPr>
        <w:t>spondents had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no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legitimate</w:t>
      </w:r>
      <w:r>
        <w:rPr>
          <w:color w:val="383636"/>
          <w:spacing w:val="-7"/>
          <w:w w:val="115"/>
          <w:sz w:val="21"/>
        </w:rPr>
        <w:t> </w:t>
      </w:r>
      <w:r>
        <w:rPr>
          <w:color w:val="383636"/>
          <w:w w:val="115"/>
          <w:sz w:val="21"/>
        </w:rPr>
        <w:t>expectation</w:t>
      </w:r>
      <w:r>
        <w:rPr>
          <w:color w:val="383636"/>
          <w:spacing w:val="11"/>
          <w:w w:val="115"/>
          <w:sz w:val="21"/>
        </w:rPr>
        <w:t> </w:t>
      </w:r>
      <w:r>
        <w:rPr>
          <w:color w:val="383636"/>
          <w:w w:val="115"/>
          <w:sz w:val="21"/>
        </w:rPr>
        <w:t>of</w:t>
      </w:r>
      <w:r>
        <w:rPr>
          <w:color w:val="383636"/>
          <w:spacing w:val="12"/>
          <w:w w:val="115"/>
          <w:sz w:val="21"/>
        </w:rPr>
        <w:t> </w:t>
      </w:r>
      <w:r>
        <w:rPr>
          <w:color w:val="383636"/>
          <w:w w:val="115"/>
          <w:sz w:val="21"/>
        </w:rPr>
        <w:t>privacy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and,</w:t>
      </w:r>
      <w:r>
        <w:rPr>
          <w:color w:val="383636"/>
          <w:spacing w:val="-5"/>
          <w:w w:val="115"/>
          <w:sz w:val="21"/>
        </w:rPr>
        <w:t> </w:t>
      </w:r>
      <w:r>
        <w:rPr>
          <w:color w:val="383636"/>
          <w:w w:val="115"/>
          <w:sz w:val="21"/>
        </w:rPr>
        <w:t>thus</w:t>
      </w:r>
      <w:r>
        <w:rPr>
          <w:color w:val="504F52"/>
          <w:w w:val="115"/>
          <w:sz w:val="21"/>
        </w:rPr>
        <w:t>,</w:t>
      </w:r>
      <w:r>
        <w:rPr>
          <w:color w:val="504F52"/>
          <w:spacing w:val="13"/>
          <w:w w:val="115"/>
          <w:sz w:val="21"/>
        </w:rPr>
        <w:t> </w:t>
      </w:r>
      <w:r>
        <w:rPr>
          <w:color w:val="383636"/>
          <w:w w:val="115"/>
          <w:sz w:val="21"/>
        </w:rPr>
        <w:t>may</w:t>
      </w:r>
      <w:r>
        <w:rPr>
          <w:color w:val="383636"/>
          <w:spacing w:val="4"/>
          <w:w w:val="115"/>
          <w:sz w:val="21"/>
        </w:rPr>
        <w:t> </w:t>
      </w:r>
      <w:r>
        <w:rPr>
          <w:color w:val="383636"/>
          <w:w w:val="115"/>
          <w:sz w:val="21"/>
        </w:rPr>
        <w:t>not</w:t>
      </w:r>
      <w:r>
        <w:rPr>
          <w:color w:val="383636"/>
          <w:spacing w:val="25"/>
          <w:w w:val="115"/>
          <w:sz w:val="21"/>
        </w:rPr>
        <w:t> </w:t>
      </w:r>
      <w:r>
        <w:rPr>
          <w:color w:val="383636"/>
          <w:w w:val="115"/>
          <w:sz w:val="21"/>
        </w:rPr>
        <w:t>invoke</w:t>
      </w:r>
    </w:p>
    <w:p>
      <w:pPr>
        <w:tabs>
          <w:tab w:pos="7377" w:val="right" w:leader="dot"/>
        </w:tabs>
        <w:spacing w:line="241" w:lineRule="exact" w:before="0"/>
        <w:ind w:left="782" w:right="0" w:firstLine="0"/>
        <w:jc w:val="left"/>
        <w:rPr>
          <w:sz w:val="21"/>
        </w:rPr>
      </w:pPr>
      <w:r>
        <w:rPr>
          <w:color w:val="383636"/>
          <w:w w:val="125"/>
          <w:sz w:val="21"/>
        </w:rPr>
        <w:t>the</w:t>
      </w:r>
      <w:r>
        <w:rPr>
          <w:color w:val="383636"/>
          <w:spacing w:val="-15"/>
          <w:w w:val="125"/>
          <w:sz w:val="21"/>
        </w:rPr>
        <w:t> </w:t>
      </w:r>
      <w:r>
        <w:rPr>
          <w:color w:val="383636"/>
          <w:w w:val="125"/>
          <w:sz w:val="21"/>
        </w:rPr>
        <w:t>Fourth</w:t>
      </w:r>
      <w:r>
        <w:rPr>
          <w:color w:val="383636"/>
          <w:spacing w:val="-7"/>
          <w:w w:val="125"/>
          <w:sz w:val="21"/>
        </w:rPr>
        <w:t> </w:t>
      </w:r>
      <w:r>
        <w:rPr>
          <w:color w:val="383636"/>
          <w:w w:val="125"/>
          <w:sz w:val="21"/>
        </w:rPr>
        <w:t>Amendment's</w:t>
      </w:r>
      <w:r>
        <w:rPr>
          <w:color w:val="383636"/>
          <w:spacing w:val="-9"/>
          <w:w w:val="125"/>
          <w:sz w:val="21"/>
        </w:rPr>
        <w:t> </w:t>
      </w:r>
      <w:r>
        <w:rPr>
          <w:color w:val="383636"/>
          <w:w w:val="125"/>
          <w:sz w:val="21"/>
        </w:rPr>
        <w:t>protections</w:t>
        <w:tab/>
      </w:r>
      <w:r>
        <w:rPr>
          <w:color w:val="383636"/>
          <w:w w:val="190"/>
          <w:sz w:val="21"/>
        </w:rPr>
        <w:t>8</w:t>
      </w:r>
    </w:p>
    <w:p>
      <w:pPr>
        <w:pStyle w:val="ListParagraph"/>
        <w:numPr>
          <w:ilvl w:val="2"/>
          <w:numId w:val="103"/>
        </w:numPr>
        <w:tabs>
          <w:tab w:pos="1418" w:val="left" w:leader="none"/>
        </w:tabs>
        <w:spacing w:line="235" w:lineRule="auto" w:before="3" w:after="0"/>
        <w:ind w:left="787" w:right="1326" w:firstLine="361"/>
        <w:jc w:val="left"/>
        <w:rPr>
          <w:sz w:val="21"/>
        </w:rPr>
      </w:pPr>
      <w:r>
        <w:rPr>
          <w:color w:val="383636"/>
          <w:w w:val="115"/>
          <w:sz w:val="21"/>
        </w:rPr>
        <w:t>Respondents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failed to  me</w:t>
      </w:r>
      <w:r>
        <w:rPr>
          <w:color w:val="504F52"/>
          <w:w w:val="115"/>
          <w:sz w:val="21"/>
        </w:rPr>
        <w:t>e</w:t>
      </w:r>
      <w:r>
        <w:rPr>
          <w:color w:val="383636"/>
          <w:w w:val="115"/>
          <w:sz w:val="21"/>
        </w:rPr>
        <w:t>t  the</w:t>
      </w:r>
      <w:r>
        <w:rPr>
          <w:color w:val="504F52"/>
          <w:w w:val="115"/>
          <w:sz w:val="21"/>
        </w:rPr>
        <w:t>i</w:t>
      </w:r>
      <w:r>
        <w:rPr>
          <w:color w:val="383636"/>
          <w:w w:val="115"/>
          <w:sz w:val="21"/>
        </w:rPr>
        <w:t>r  burden of  proving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that</w:t>
      </w:r>
      <w:r>
        <w:rPr>
          <w:color w:val="383636"/>
          <w:spacing w:val="2"/>
          <w:w w:val="115"/>
          <w:sz w:val="21"/>
        </w:rPr>
        <w:t> </w:t>
      </w:r>
      <w:r>
        <w:rPr>
          <w:color w:val="383636"/>
          <w:w w:val="115"/>
          <w:sz w:val="21"/>
        </w:rPr>
        <w:t>they</w:t>
      </w:r>
      <w:r>
        <w:rPr>
          <w:color w:val="383636"/>
          <w:spacing w:val="16"/>
          <w:w w:val="115"/>
          <w:sz w:val="21"/>
        </w:rPr>
        <w:t> </w:t>
      </w:r>
      <w:r>
        <w:rPr>
          <w:color w:val="383636"/>
          <w:w w:val="115"/>
          <w:sz w:val="21"/>
        </w:rPr>
        <w:t>had a</w:t>
      </w:r>
      <w:r>
        <w:rPr>
          <w:color w:val="383636"/>
          <w:spacing w:val="14"/>
          <w:w w:val="115"/>
          <w:sz w:val="21"/>
        </w:rPr>
        <w:t> </w:t>
      </w:r>
      <w:r>
        <w:rPr>
          <w:color w:val="383636"/>
          <w:w w:val="115"/>
          <w:sz w:val="21"/>
        </w:rPr>
        <w:t>legitimate</w:t>
      </w:r>
      <w:r>
        <w:rPr>
          <w:color w:val="383636"/>
          <w:spacing w:val="-3"/>
          <w:w w:val="115"/>
          <w:sz w:val="21"/>
        </w:rPr>
        <w:t> </w:t>
      </w:r>
      <w:r>
        <w:rPr>
          <w:color w:val="383636"/>
          <w:w w:val="115"/>
          <w:sz w:val="21"/>
        </w:rPr>
        <w:t>expectation</w:t>
      </w:r>
      <w:r>
        <w:rPr>
          <w:color w:val="383636"/>
          <w:spacing w:val="13"/>
          <w:w w:val="115"/>
          <w:sz w:val="21"/>
        </w:rPr>
        <w:t> </w:t>
      </w:r>
      <w:r>
        <w:rPr>
          <w:color w:val="383636"/>
          <w:w w:val="115"/>
          <w:sz w:val="21"/>
        </w:rPr>
        <w:t>of</w:t>
      </w:r>
      <w:r>
        <w:rPr>
          <w:color w:val="383636"/>
          <w:spacing w:val="14"/>
          <w:w w:val="115"/>
          <w:sz w:val="21"/>
        </w:rPr>
        <w:t> </w:t>
      </w:r>
      <w:r>
        <w:rPr>
          <w:color w:val="383636"/>
          <w:w w:val="115"/>
          <w:sz w:val="21"/>
        </w:rPr>
        <w:t>privacy</w:t>
      </w:r>
      <w:r>
        <w:rPr>
          <w:color w:val="383636"/>
          <w:spacing w:val="9"/>
          <w:w w:val="115"/>
          <w:sz w:val="21"/>
        </w:rPr>
        <w:t> </w:t>
      </w:r>
      <w:r>
        <w:rPr>
          <w:color w:val="383636"/>
          <w:w w:val="115"/>
          <w:sz w:val="21"/>
        </w:rPr>
        <w:t>becaus</w:t>
      </w:r>
      <w:r>
        <w:rPr>
          <w:color w:val="504F52"/>
          <w:w w:val="115"/>
          <w:sz w:val="21"/>
        </w:rPr>
        <w:t>e</w:t>
      </w:r>
      <w:r>
        <w:rPr>
          <w:color w:val="504F52"/>
          <w:spacing w:val="26"/>
          <w:w w:val="115"/>
          <w:sz w:val="21"/>
        </w:rPr>
        <w:t> </w:t>
      </w:r>
      <w:r>
        <w:rPr>
          <w:color w:val="383636"/>
          <w:w w:val="115"/>
          <w:sz w:val="21"/>
        </w:rPr>
        <w:t>they</w:t>
      </w:r>
      <w:r>
        <w:rPr>
          <w:color w:val="383636"/>
          <w:spacing w:val="-58"/>
          <w:w w:val="115"/>
          <w:sz w:val="21"/>
        </w:rPr>
        <w:t> </w:t>
      </w:r>
      <w:r>
        <w:rPr>
          <w:color w:val="383636"/>
          <w:w w:val="115"/>
          <w:sz w:val="21"/>
        </w:rPr>
        <w:t>introduced</w:t>
      </w:r>
      <w:r>
        <w:rPr>
          <w:color w:val="383636"/>
          <w:spacing w:val="3"/>
          <w:w w:val="115"/>
          <w:sz w:val="21"/>
        </w:rPr>
        <w:t> </w:t>
      </w:r>
      <w:r>
        <w:rPr>
          <w:color w:val="383636"/>
          <w:w w:val="115"/>
          <w:sz w:val="21"/>
        </w:rPr>
        <w:t>absolutely</w:t>
      </w:r>
      <w:r>
        <w:rPr>
          <w:color w:val="383636"/>
          <w:spacing w:val="13"/>
          <w:w w:val="115"/>
          <w:sz w:val="21"/>
        </w:rPr>
        <w:t> </w:t>
      </w:r>
      <w:r>
        <w:rPr>
          <w:color w:val="383636"/>
          <w:w w:val="115"/>
          <w:sz w:val="21"/>
        </w:rPr>
        <w:t>no</w:t>
      </w:r>
      <w:r>
        <w:rPr>
          <w:color w:val="383636"/>
          <w:spacing w:val="3"/>
          <w:w w:val="115"/>
          <w:sz w:val="21"/>
        </w:rPr>
        <w:t> </w:t>
      </w:r>
      <w:r>
        <w:rPr>
          <w:color w:val="383636"/>
          <w:w w:val="115"/>
          <w:sz w:val="21"/>
        </w:rPr>
        <w:t>evidence</w:t>
      </w:r>
      <w:r>
        <w:rPr>
          <w:color w:val="383636"/>
          <w:spacing w:val="14"/>
          <w:w w:val="115"/>
          <w:sz w:val="21"/>
        </w:rPr>
        <w:t> </w:t>
      </w:r>
      <w:r>
        <w:rPr>
          <w:color w:val="383636"/>
          <w:w w:val="115"/>
          <w:sz w:val="21"/>
        </w:rPr>
        <w:t>regarding</w:t>
      </w:r>
      <w:r>
        <w:rPr>
          <w:color w:val="383636"/>
          <w:spacing w:val="3"/>
          <w:w w:val="115"/>
          <w:sz w:val="21"/>
        </w:rPr>
        <w:t> </w:t>
      </w:r>
      <w:r>
        <w:rPr>
          <w:color w:val="383636"/>
          <w:w w:val="115"/>
          <w:sz w:val="21"/>
        </w:rPr>
        <w:t>their</w:t>
      </w:r>
      <w:r>
        <w:rPr>
          <w:color w:val="383636"/>
          <w:spacing w:val="-5"/>
          <w:w w:val="115"/>
          <w:sz w:val="21"/>
        </w:rPr>
        <w:t> </w:t>
      </w:r>
      <w:r>
        <w:rPr>
          <w:color w:val="383636"/>
          <w:w w:val="115"/>
          <w:sz w:val="21"/>
        </w:rPr>
        <w:t>status</w:t>
      </w:r>
      <w:r>
        <w:rPr>
          <w:color w:val="383636"/>
          <w:spacing w:val="-3"/>
          <w:w w:val="115"/>
          <w:sz w:val="21"/>
        </w:rPr>
        <w:t> </w:t>
      </w:r>
      <w:r>
        <w:rPr>
          <w:color w:val="383636"/>
          <w:w w:val="115"/>
          <w:sz w:val="21"/>
        </w:rPr>
        <w:t>in</w:t>
      </w:r>
    </w:p>
    <w:p>
      <w:pPr>
        <w:tabs>
          <w:tab w:pos="7521" w:val="right" w:leader="dot"/>
        </w:tabs>
        <w:spacing w:line="235" w:lineRule="exact" w:before="0"/>
        <w:ind w:left="778" w:right="0" w:firstLine="0"/>
        <w:jc w:val="left"/>
        <w:rPr>
          <w:sz w:val="21"/>
        </w:rPr>
      </w:pPr>
      <w:r>
        <w:rPr>
          <w:color w:val="383636"/>
          <w:w w:val="130"/>
          <w:sz w:val="21"/>
        </w:rPr>
        <w:t>Thompson's</w:t>
      </w:r>
      <w:r>
        <w:rPr>
          <w:color w:val="383636"/>
          <w:spacing w:val="-13"/>
          <w:w w:val="130"/>
          <w:sz w:val="21"/>
        </w:rPr>
        <w:t> </w:t>
      </w:r>
      <w:r>
        <w:rPr>
          <w:color w:val="383636"/>
          <w:w w:val="130"/>
          <w:sz w:val="21"/>
        </w:rPr>
        <w:t>apartment</w:t>
        <w:tab/>
      </w:r>
      <w:r>
        <w:rPr>
          <w:color w:val="383636"/>
          <w:w w:val="190"/>
          <w:sz w:val="21"/>
        </w:rPr>
        <w:t>10</w:t>
      </w:r>
    </w:p>
    <w:p>
      <w:pPr>
        <w:pStyle w:val="ListParagraph"/>
        <w:numPr>
          <w:ilvl w:val="2"/>
          <w:numId w:val="103"/>
        </w:numPr>
        <w:tabs>
          <w:tab w:pos="1409" w:val="left" w:leader="none"/>
        </w:tabs>
        <w:spacing w:line="235" w:lineRule="auto" w:before="0" w:after="0"/>
        <w:ind w:left="786" w:right="1274" w:firstLine="370"/>
        <w:jc w:val="left"/>
        <w:rPr>
          <w:sz w:val="21"/>
        </w:rPr>
      </w:pPr>
      <w:r>
        <w:rPr>
          <w:color w:val="383636"/>
          <w:w w:val="115"/>
          <w:sz w:val="21"/>
        </w:rPr>
        <w:t>Respondents</w:t>
      </w:r>
      <w:r>
        <w:rPr>
          <w:color w:val="383636"/>
          <w:spacing w:val="13"/>
          <w:w w:val="115"/>
          <w:sz w:val="21"/>
        </w:rPr>
        <w:t> </w:t>
      </w:r>
      <w:r>
        <w:rPr>
          <w:color w:val="383636"/>
          <w:w w:val="115"/>
          <w:sz w:val="21"/>
        </w:rPr>
        <w:t>had</w:t>
      </w:r>
      <w:r>
        <w:rPr>
          <w:color w:val="383636"/>
          <w:spacing w:val="32"/>
          <w:w w:val="115"/>
          <w:sz w:val="21"/>
        </w:rPr>
        <w:t> </w:t>
      </w:r>
      <w:r>
        <w:rPr>
          <w:color w:val="383636"/>
          <w:w w:val="115"/>
          <w:sz w:val="21"/>
        </w:rPr>
        <w:t>no</w:t>
      </w:r>
      <w:r>
        <w:rPr>
          <w:color w:val="383636"/>
          <w:spacing w:val="17"/>
          <w:w w:val="115"/>
          <w:sz w:val="21"/>
        </w:rPr>
        <w:t> </w:t>
      </w:r>
      <w:r>
        <w:rPr>
          <w:color w:val="383636"/>
          <w:w w:val="115"/>
          <w:sz w:val="21"/>
        </w:rPr>
        <w:t>legitimate</w:t>
      </w:r>
      <w:r>
        <w:rPr>
          <w:color w:val="383636"/>
          <w:spacing w:val="-9"/>
          <w:w w:val="115"/>
          <w:sz w:val="21"/>
        </w:rPr>
        <w:t> </w:t>
      </w:r>
      <w:r>
        <w:rPr>
          <w:color w:val="383636"/>
          <w:w w:val="115"/>
          <w:sz w:val="21"/>
        </w:rPr>
        <w:t>expectation</w:t>
      </w:r>
      <w:r>
        <w:rPr>
          <w:color w:val="383636"/>
          <w:spacing w:val="7"/>
          <w:w w:val="115"/>
          <w:sz w:val="21"/>
        </w:rPr>
        <w:t> </w:t>
      </w:r>
      <w:r>
        <w:rPr>
          <w:color w:val="383636"/>
          <w:w w:val="115"/>
          <w:sz w:val="21"/>
        </w:rPr>
        <w:t>of</w:t>
      </w:r>
      <w:r>
        <w:rPr>
          <w:color w:val="383636"/>
          <w:spacing w:val="6"/>
          <w:w w:val="115"/>
          <w:sz w:val="21"/>
        </w:rPr>
        <w:t> </w:t>
      </w:r>
      <w:r>
        <w:rPr>
          <w:color w:val="383636"/>
          <w:w w:val="115"/>
          <w:sz w:val="21"/>
        </w:rPr>
        <w:t>privacy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because any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subjective expectation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they might have had while</w:t>
      </w:r>
      <w:r>
        <w:rPr>
          <w:color w:val="383636"/>
          <w:spacing w:val="-58"/>
          <w:w w:val="115"/>
          <w:sz w:val="21"/>
        </w:rPr>
        <w:t> </w:t>
      </w:r>
      <w:r>
        <w:rPr>
          <w:color w:val="383636"/>
          <w:w w:val="115"/>
          <w:sz w:val="21"/>
        </w:rPr>
        <w:t>temporarily</w:t>
      </w:r>
      <w:r>
        <w:rPr>
          <w:color w:val="383636"/>
          <w:spacing w:val="7"/>
          <w:w w:val="115"/>
          <w:sz w:val="21"/>
        </w:rPr>
        <w:t> </w:t>
      </w:r>
      <w:r>
        <w:rPr>
          <w:color w:val="383636"/>
          <w:w w:val="115"/>
          <w:sz w:val="21"/>
        </w:rPr>
        <w:t>in</w:t>
      </w:r>
      <w:r>
        <w:rPr>
          <w:color w:val="383636"/>
          <w:spacing w:val="14"/>
          <w:w w:val="115"/>
          <w:sz w:val="21"/>
        </w:rPr>
        <w:t> </w:t>
      </w:r>
      <w:r>
        <w:rPr>
          <w:color w:val="383636"/>
          <w:w w:val="115"/>
          <w:sz w:val="21"/>
        </w:rPr>
        <w:t>anoth</w:t>
      </w:r>
      <w:r>
        <w:rPr>
          <w:color w:val="504F52"/>
          <w:w w:val="115"/>
          <w:sz w:val="21"/>
        </w:rPr>
        <w:t>e</w:t>
      </w:r>
      <w:r>
        <w:rPr>
          <w:color w:val="383636"/>
          <w:w w:val="115"/>
          <w:sz w:val="21"/>
        </w:rPr>
        <w:t>r's</w:t>
      </w:r>
      <w:r>
        <w:rPr>
          <w:color w:val="383636"/>
          <w:spacing w:val="8"/>
          <w:w w:val="115"/>
          <w:sz w:val="21"/>
        </w:rPr>
        <w:t> </w:t>
      </w:r>
      <w:r>
        <w:rPr>
          <w:color w:val="383636"/>
          <w:w w:val="115"/>
          <w:sz w:val="21"/>
        </w:rPr>
        <w:t>home</w:t>
      </w:r>
      <w:r>
        <w:rPr>
          <w:color w:val="383636"/>
          <w:spacing w:val="-2"/>
          <w:w w:val="115"/>
          <w:sz w:val="21"/>
        </w:rPr>
        <w:t> </w:t>
      </w:r>
      <w:r>
        <w:rPr>
          <w:color w:val="383636"/>
          <w:w w:val="115"/>
          <w:sz w:val="21"/>
        </w:rPr>
        <w:t>for</w:t>
      </w:r>
      <w:r>
        <w:rPr>
          <w:color w:val="383636"/>
          <w:spacing w:val="-5"/>
          <w:w w:val="115"/>
          <w:sz w:val="21"/>
        </w:rPr>
        <w:t> </w:t>
      </w:r>
      <w:r>
        <w:rPr>
          <w:color w:val="383636"/>
          <w:w w:val="115"/>
          <w:sz w:val="21"/>
        </w:rPr>
        <w:t>the</w:t>
      </w:r>
      <w:r>
        <w:rPr>
          <w:color w:val="383636"/>
          <w:spacing w:val="7"/>
          <w:w w:val="115"/>
          <w:sz w:val="21"/>
        </w:rPr>
        <w:t> </w:t>
      </w:r>
      <w:r>
        <w:rPr>
          <w:color w:val="383636"/>
          <w:w w:val="115"/>
          <w:sz w:val="21"/>
        </w:rPr>
        <w:t>sole</w:t>
      </w:r>
      <w:r>
        <w:rPr>
          <w:color w:val="383636"/>
          <w:spacing w:val="-9"/>
          <w:w w:val="115"/>
          <w:sz w:val="21"/>
        </w:rPr>
        <w:t> </w:t>
      </w:r>
      <w:r>
        <w:rPr>
          <w:color w:val="383636"/>
          <w:w w:val="115"/>
          <w:sz w:val="21"/>
        </w:rPr>
        <w:t>purpose</w:t>
      </w:r>
      <w:r>
        <w:rPr>
          <w:color w:val="383636"/>
          <w:spacing w:val="-7"/>
          <w:w w:val="115"/>
          <w:sz w:val="21"/>
        </w:rPr>
        <w:t> </w:t>
      </w:r>
      <w:r>
        <w:rPr>
          <w:color w:val="383636"/>
          <w:w w:val="115"/>
          <w:sz w:val="21"/>
        </w:rPr>
        <w:t>of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conducting</w:t>
      </w:r>
      <w:r>
        <w:rPr>
          <w:color w:val="383636"/>
          <w:spacing w:val="-4"/>
          <w:w w:val="115"/>
          <w:sz w:val="21"/>
        </w:rPr>
        <w:t> </w:t>
      </w:r>
      <w:r>
        <w:rPr>
          <w:color w:val="383636"/>
          <w:w w:val="115"/>
          <w:sz w:val="21"/>
        </w:rPr>
        <w:t>illegal</w:t>
      </w:r>
      <w:r>
        <w:rPr>
          <w:color w:val="383636"/>
          <w:spacing w:val="5"/>
          <w:w w:val="115"/>
          <w:sz w:val="21"/>
        </w:rPr>
        <w:t> </w:t>
      </w:r>
      <w:r>
        <w:rPr>
          <w:color w:val="383636"/>
          <w:w w:val="115"/>
          <w:sz w:val="21"/>
        </w:rPr>
        <w:t>business</w:t>
      </w:r>
      <w:r>
        <w:rPr>
          <w:color w:val="383636"/>
          <w:spacing w:val="-7"/>
          <w:w w:val="115"/>
          <w:sz w:val="21"/>
        </w:rPr>
        <w:t> </w:t>
      </w:r>
      <w:r>
        <w:rPr>
          <w:color w:val="383636"/>
          <w:w w:val="115"/>
          <w:sz w:val="21"/>
        </w:rPr>
        <w:t>was</w:t>
      </w:r>
      <w:r>
        <w:rPr>
          <w:color w:val="383636"/>
          <w:spacing w:val="2"/>
          <w:w w:val="115"/>
          <w:sz w:val="21"/>
        </w:rPr>
        <w:t> </w:t>
      </w:r>
      <w:r>
        <w:rPr>
          <w:color w:val="383636"/>
          <w:w w:val="115"/>
          <w:sz w:val="21"/>
        </w:rPr>
        <w:t>not</w:t>
      </w:r>
      <w:r>
        <w:rPr>
          <w:color w:val="383636"/>
          <w:spacing w:val="27"/>
          <w:w w:val="115"/>
          <w:sz w:val="21"/>
        </w:rPr>
        <w:t> </w:t>
      </w:r>
      <w:r>
        <w:rPr>
          <w:color w:val="383636"/>
          <w:w w:val="115"/>
          <w:sz w:val="21"/>
        </w:rPr>
        <w:t>one</w:t>
      </w:r>
      <w:r>
        <w:rPr>
          <w:color w:val="383636"/>
          <w:spacing w:val="8"/>
          <w:w w:val="115"/>
          <w:sz w:val="21"/>
        </w:rPr>
        <w:t> </w:t>
      </w:r>
      <w:r>
        <w:rPr>
          <w:color w:val="383636"/>
          <w:w w:val="115"/>
          <w:sz w:val="21"/>
        </w:rPr>
        <w:t>society</w:t>
      </w:r>
      <w:r>
        <w:rPr>
          <w:color w:val="383636"/>
          <w:spacing w:val="-5"/>
          <w:w w:val="115"/>
          <w:sz w:val="21"/>
        </w:rPr>
        <w:t> </w:t>
      </w:r>
      <w:r>
        <w:rPr>
          <w:color w:val="383636"/>
          <w:w w:val="115"/>
          <w:sz w:val="21"/>
        </w:rPr>
        <w:t>recognizes</w:t>
      </w:r>
      <w:r>
        <w:rPr>
          <w:color w:val="383636"/>
          <w:spacing w:val="-11"/>
          <w:w w:val="115"/>
          <w:sz w:val="21"/>
        </w:rPr>
        <w:t> </w:t>
      </w:r>
      <w:r>
        <w:rPr>
          <w:color w:val="383636"/>
          <w:w w:val="115"/>
          <w:sz w:val="21"/>
        </w:rPr>
        <w:t>as</w:t>
      </w:r>
    </w:p>
    <w:p>
      <w:pPr>
        <w:spacing w:line="236" w:lineRule="exact" w:before="2"/>
        <w:ind w:left="792" w:right="0" w:firstLine="0"/>
        <w:jc w:val="left"/>
        <w:rPr>
          <w:sz w:val="21"/>
        </w:rPr>
      </w:pPr>
      <w:r>
        <w:rPr>
          <w:color w:val="383636"/>
          <w:spacing w:val="-1"/>
          <w:w w:val="195"/>
          <w:sz w:val="21"/>
        </w:rPr>
        <w:t>reasonable.</w:t>
      </w:r>
      <w:r>
        <w:rPr>
          <w:color w:val="504F52"/>
          <w:spacing w:val="-1"/>
          <w:w w:val="195"/>
          <w:sz w:val="21"/>
        </w:rPr>
        <w:t>.</w:t>
      </w:r>
      <w:r>
        <w:rPr>
          <w:color w:val="383636"/>
          <w:spacing w:val="-1"/>
          <w:w w:val="195"/>
          <w:sz w:val="21"/>
        </w:rPr>
        <w:t>...</w:t>
      </w:r>
      <w:r>
        <w:rPr>
          <w:color w:val="504F52"/>
          <w:spacing w:val="-1"/>
          <w:w w:val="195"/>
          <w:sz w:val="21"/>
        </w:rPr>
        <w:t>.</w:t>
      </w:r>
      <w:r>
        <w:rPr>
          <w:color w:val="383636"/>
          <w:spacing w:val="-1"/>
          <w:w w:val="195"/>
          <w:sz w:val="21"/>
        </w:rPr>
        <w:t>....</w:t>
      </w:r>
      <w:r>
        <w:rPr>
          <w:color w:val="504F52"/>
          <w:spacing w:val="-1"/>
          <w:w w:val="195"/>
          <w:sz w:val="21"/>
        </w:rPr>
        <w:t>.</w:t>
      </w:r>
      <w:r>
        <w:rPr>
          <w:color w:val="383636"/>
          <w:spacing w:val="-1"/>
          <w:w w:val="195"/>
          <w:sz w:val="21"/>
        </w:rPr>
        <w:t>...</w:t>
      </w:r>
      <w:r>
        <w:rPr>
          <w:color w:val="504F52"/>
          <w:spacing w:val="-1"/>
          <w:w w:val="195"/>
          <w:sz w:val="21"/>
        </w:rPr>
        <w:t>.</w:t>
      </w:r>
      <w:r>
        <w:rPr>
          <w:color w:val="383636"/>
          <w:spacing w:val="-1"/>
          <w:w w:val="195"/>
          <w:sz w:val="21"/>
        </w:rPr>
        <w:t>.</w:t>
      </w:r>
      <w:r>
        <w:rPr>
          <w:color w:val="504F52"/>
          <w:spacing w:val="-1"/>
          <w:w w:val="195"/>
          <w:sz w:val="21"/>
        </w:rPr>
        <w:t>.</w:t>
      </w:r>
      <w:r>
        <w:rPr>
          <w:color w:val="383636"/>
          <w:spacing w:val="-1"/>
          <w:w w:val="195"/>
          <w:sz w:val="21"/>
        </w:rPr>
        <w:t>.....</w:t>
      </w:r>
      <w:r>
        <w:rPr>
          <w:color w:val="504F52"/>
          <w:spacing w:val="-1"/>
          <w:w w:val="195"/>
          <w:sz w:val="21"/>
        </w:rPr>
        <w:t>.</w:t>
      </w:r>
      <w:r>
        <w:rPr>
          <w:color w:val="383636"/>
          <w:spacing w:val="-1"/>
          <w:w w:val="195"/>
          <w:sz w:val="21"/>
        </w:rPr>
        <w:t>......</w:t>
      </w:r>
      <w:r>
        <w:rPr>
          <w:color w:val="504F52"/>
          <w:spacing w:val="-1"/>
          <w:w w:val="195"/>
          <w:sz w:val="21"/>
        </w:rPr>
        <w:t>.</w:t>
      </w:r>
      <w:r>
        <w:rPr>
          <w:color w:val="383636"/>
          <w:spacing w:val="-1"/>
          <w:w w:val="195"/>
          <w:sz w:val="21"/>
        </w:rPr>
        <w:t>............</w:t>
      </w:r>
      <w:r>
        <w:rPr>
          <w:color w:val="504F52"/>
          <w:spacing w:val="-1"/>
          <w:w w:val="195"/>
          <w:sz w:val="21"/>
        </w:rPr>
        <w:t>•</w:t>
      </w:r>
      <w:r>
        <w:rPr>
          <w:color w:val="383636"/>
          <w:spacing w:val="-1"/>
          <w:w w:val="195"/>
          <w:sz w:val="21"/>
        </w:rPr>
        <w:t>.</w:t>
      </w:r>
      <w:r>
        <w:rPr>
          <w:color w:val="383636"/>
          <w:spacing w:val="-10"/>
          <w:w w:val="195"/>
          <w:sz w:val="21"/>
        </w:rPr>
        <w:t> </w:t>
      </w:r>
      <w:r>
        <w:rPr>
          <w:color w:val="383636"/>
          <w:w w:val="195"/>
          <w:sz w:val="21"/>
        </w:rPr>
        <w:t>11</w:t>
      </w:r>
    </w:p>
    <w:p>
      <w:pPr>
        <w:spacing w:line="237" w:lineRule="exact" w:before="0"/>
        <w:ind w:left="1525" w:right="1498" w:firstLine="0"/>
        <w:jc w:val="center"/>
        <w:rPr>
          <w:sz w:val="21"/>
        </w:rPr>
      </w:pPr>
      <w:r>
        <w:rPr>
          <w:rFonts w:ascii="Arial"/>
          <w:color w:val="383636"/>
          <w:spacing w:val="-9"/>
          <w:w w:val="222"/>
          <w:sz w:val="19"/>
        </w:rPr>
        <w:t>1</w:t>
      </w:r>
      <w:r>
        <w:rPr>
          <w:color w:val="383636"/>
          <w:spacing w:val="-277"/>
          <w:w w:val="222"/>
          <w:sz w:val="21"/>
        </w:rPr>
        <w:t>T</w:t>
      </w:r>
      <w:r>
        <w:rPr>
          <w:rFonts w:ascii="Arial"/>
          <w:color w:val="383636"/>
          <w:w w:val="222"/>
          <w:sz w:val="19"/>
        </w:rPr>
        <w:t>.</w:t>
      </w:r>
      <w:r>
        <w:rPr>
          <w:rFonts w:ascii="Arial"/>
          <w:color w:val="383636"/>
          <w:sz w:val="19"/>
        </w:rPr>
        <w:t>   </w:t>
      </w:r>
      <w:r>
        <w:rPr>
          <w:color w:val="383636"/>
          <w:spacing w:val="-87"/>
          <w:w w:val="222"/>
          <w:sz w:val="21"/>
        </w:rPr>
        <w:t>h</w:t>
      </w:r>
      <w:r>
        <w:rPr>
          <w:rFonts w:ascii="Arial"/>
          <w:color w:val="383636"/>
          <w:spacing w:val="-112"/>
          <w:w w:val="120"/>
          <w:sz w:val="21"/>
        </w:rPr>
        <w:t>Q</w:t>
      </w:r>
      <w:r>
        <w:rPr>
          <w:color w:val="383636"/>
          <w:spacing w:val="-97"/>
          <w:w w:val="222"/>
          <w:sz w:val="21"/>
        </w:rPr>
        <w:t>e</w:t>
      </w:r>
      <w:r>
        <w:rPr>
          <w:rFonts w:ascii="Arial"/>
          <w:color w:val="383636"/>
          <w:spacing w:val="-1"/>
          <w:w w:val="120"/>
          <w:sz w:val="21"/>
        </w:rPr>
        <w:t>liQi</w:t>
      </w:r>
      <w:r>
        <w:rPr>
          <w:rFonts w:ascii="Arial"/>
          <w:color w:val="383636"/>
          <w:w w:val="120"/>
          <w:sz w:val="21"/>
        </w:rPr>
        <w:t>l</w:t>
      </w:r>
      <w:r>
        <w:rPr>
          <w:rFonts w:ascii="Arial"/>
          <w:color w:val="383636"/>
          <w:spacing w:val="-32"/>
          <w:sz w:val="21"/>
        </w:rPr>
        <w:t> </w:t>
      </w:r>
      <w:r>
        <w:rPr>
          <w:color w:val="383636"/>
          <w:w w:val="121"/>
          <w:sz w:val="21"/>
        </w:rPr>
        <w:t>rule</w:t>
      </w:r>
      <w:r>
        <w:rPr>
          <w:color w:val="383636"/>
          <w:spacing w:val="-12"/>
          <w:sz w:val="21"/>
        </w:rPr>
        <w:t> </w:t>
      </w:r>
      <w:r>
        <w:rPr>
          <w:color w:val="383636"/>
          <w:w w:val="121"/>
          <w:sz w:val="21"/>
        </w:rPr>
        <w:t>dictates</w:t>
      </w:r>
      <w:r>
        <w:rPr>
          <w:color w:val="383636"/>
          <w:spacing w:val="-8"/>
          <w:sz w:val="21"/>
        </w:rPr>
        <w:t> </w:t>
      </w:r>
      <w:r>
        <w:rPr>
          <w:color w:val="383636"/>
          <w:spacing w:val="-1"/>
          <w:w w:val="127"/>
          <w:sz w:val="21"/>
        </w:rPr>
        <w:t>tha</w:t>
      </w:r>
      <w:r>
        <w:rPr>
          <w:color w:val="383636"/>
          <w:w w:val="127"/>
          <w:sz w:val="21"/>
        </w:rPr>
        <w:t>t</w:t>
      </w:r>
      <w:r>
        <w:rPr>
          <w:color w:val="383636"/>
          <w:spacing w:val="-6"/>
          <w:sz w:val="21"/>
        </w:rPr>
        <w:t> </w:t>
      </w:r>
      <w:r>
        <w:rPr>
          <w:color w:val="383636"/>
          <w:w w:val="124"/>
          <w:sz w:val="21"/>
        </w:rPr>
        <w:t>only</w:t>
      </w:r>
      <w:r>
        <w:rPr>
          <w:color w:val="383636"/>
          <w:spacing w:val="-7"/>
          <w:sz w:val="21"/>
        </w:rPr>
        <w:t> </w:t>
      </w:r>
      <w:r>
        <w:rPr>
          <w:color w:val="383636"/>
          <w:w w:val="121"/>
          <w:sz w:val="21"/>
        </w:rPr>
        <w:t>overnight</w:t>
      </w:r>
      <w:r>
        <w:rPr>
          <w:color w:val="383636"/>
          <w:spacing w:val="11"/>
          <w:sz w:val="21"/>
        </w:rPr>
        <w:t> </w:t>
      </w:r>
      <w:r>
        <w:rPr>
          <w:color w:val="383636"/>
          <w:w w:val="114"/>
          <w:sz w:val="21"/>
        </w:rPr>
        <w:t>guests</w:t>
      </w:r>
    </w:p>
    <w:p>
      <w:pPr>
        <w:tabs>
          <w:tab w:pos="7107" w:val="left" w:leader="dot"/>
        </w:tabs>
        <w:spacing w:before="0"/>
        <w:ind w:left="796" w:right="858" w:firstLine="6"/>
        <w:jc w:val="left"/>
        <w:rPr>
          <w:sz w:val="21"/>
        </w:rPr>
      </w:pPr>
      <w:r>
        <w:rPr>
          <w:color w:val="383636"/>
          <w:w w:val="115"/>
          <w:sz w:val="21"/>
        </w:rPr>
        <w:t>have a connection to a premises that gives ri</w:t>
      </w:r>
      <w:r>
        <w:rPr>
          <w:color w:val="504F52"/>
          <w:w w:val="115"/>
          <w:sz w:val="21"/>
        </w:rPr>
        <w:t>s</w:t>
      </w:r>
      <w:r>
        <w:rPr>
          <w:color w:val="383636"/>
          <w:w w:val="115"/>
          <w:sz w:val="21"/>
        </w:rPr>
        <w:t>e to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a legitimate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expectation</w:t>
      </w:r>
      <w:r>
        <w:rPr>
          <w:color w:val="383636"/>
          <w:spacing w:val="17"/>
          <w:w w:val="115"/>
          <w:sz w:val="21"/>
        </w:rPr>
        <w:t> </w:t>
      </w:r>
      <w:r>
        <w:rPr>
          <w:color w:val="383636"/>
          <w:w w:val="115"/>
          <w:sz w:val="21"/>
        </w:rPr>
        <w:t>of</w:t>
      </w:r>
      <w:r>
        <w:rPr>
          <w:color w:val="383636"/>
          <w:spacing w:val="9"/>
          <w:w w:val="115"/>
          <w:sz w:val="21"/>
        </w:rPr>
        <w:t> </w:t>
      </w:r>
      <w:r>
        <w:rPr>
          <w:color w:val="383636"/>
          <w:w w:val="115"/>
          <w:sz w:val="21"/>
        </w:rPr>
        <w:t>privacy</w:t>
        <w:tab/>
        <w:t>12</w:t>
      </w:r>
    </w:p>
    <w:p>
      <w:pPr>
        <w:pStyle w:val="ListParagraph"/>
        <w:numPr>
          <w:ilvl w:val="1"/>
          <w:numId w:val="104"/>
        </w:numPr>
        <w:tabs>
          <w:tab w:pos="1784" w:val="left" w:leader="none"/>
        </w:tabs>
        <w:spacing w:line="235" w:lineRule="auto" w:before="2" w:after="0"/>
        <w:ind w:left="797" w:right="1191" w:firstLine="744"/>
        <w:jc w:val="left"/>
        <w:rPr>
          <w:color w:val="383636"/>
          <w:sz w:val="21"/>
        </w:rPr>
      </w:pPr>
      <w:r>
        <w:rPr>
          <w:color w:val="383636"/>
          <w:w w:val="115"/>
          <w:sz w:val="21"/>
        </w:rPr>
        <w:t>Even if the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Olson rul</w:t>
      </w:r>
      <w:r>
        <w:rPr>
          <w:color w:val="504F52"/>
          <w:w w:val="115"/>
          <w:sz w:val="21"/>
        </w:rPr>
        <w:t>e </w:t>
      </w:r>
      <w:r>
        <w:rPr>
          <w:color w:val="383636"/>
          <w:w w:val="115"/>
          <w:sz w:val="21"/>
        </w:rPr>
        <w:t>extend</w:t>
      </w:r>
      <w:r>
        <w:rPr>
          <w:color w:val="504F52"/>
          <w:w w:val="115"/>
          <w:sz w:val="21"/>
        </w:rPr>
        <w:t>s </w:t>
      </w:r>
      <w:r>
        <w:rPr>
          <w:color w:val="383636"/>
          <w:w w:val="115"/>
          <w:sz w:val="21"/>
        </w:rPr>
        <w:t>to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non-overnight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guests</w:t>
      </w:r>
      <w:r>
        <w:rPr>
          <w:color w:val="504F52"/>
          <w:w w:val="115"/>
          <w:sz w:val="21"/>
        </w:rPr>
        <w:t>,</w:t>
      </w:r>
      <w:r>
        <w:rPr>
          <w:color w:val="504F52"/>
          <w:spacing w:val="7"/>
          <w:w w:val="115"/>
          <w:sz w:val="21"/>
        </w:rPr>
        <w:t> </w:t>
      </w:r>
      <w:r>
        <w:rPr>
          <w:color w:val="383636"/>
          <w:w w:val="115"/>
          <w:sz w:val="21"/>
        </w:rPr>
        <w:t>Respondents'</w:t>
      </w:r>
      <w:r>
        <w:rPr>
          <w:color w:val="383636"/>
          <w:spacing w:val="10"/>
          <w:w w:val="115"/>
          <w:sz w:val="21"/>
        </w:rPr>
        <w:t> </w:t>
      </w:r>
      <w:r>
        <w:rPr>
          <w:color w:val="383636"/>
          <w:w w:val="115"/>
          <w:sz w:val="21"/>
        </w:rPr>
        <w:t>expectation</w:t>
      </w:r>
      <w:r>
        <w:rPr>
          <w:color w:val="383636"/>
          <w:spacing w:val="8"/>
          <w:w w:val="115"/>
          <w:sz w:val="21"/>
        </w:rPr>
        <w:t> </w:t>
      </w:r>
      <w:r>
        <w:rPr>
          <w:color w:val="383636"/>
          <w:w w:val="115"/>
          <w:sz w:val="21"/>
        </w:rPr>
        <w:t>of</w:t>
      </w:r>
      <w:r>
        <w:rPr>
          <w:color w:val="383636"/>
          <w:spacing w:val="16"/>
          <w:w w:val="115"/>
          <w:sz w:val="21"/>
        </w:rPr>
        <w:t> </w:t>
      </w:r>
      <w:r>
        <w:rPr>
          <w:color w:val="383636"/>
          <w:w w:val="115"/>
          <w:sz w:val="21"/>
        </w:rPr>
        <w:t>privacy</w:t>
      </w:r>
      <w:r>
        <w:rPr>
          <w:color w:val="383636"/>
          <w:spacing w:val="-4"/>
          <w:w w:val="115"/>
          <w:sz w:val="21"/>
        </w:rPr>
        <w:t> </w:t>
      </w:r>
      <w:r>
        <w:rPr>
          <w:color w:val="383636"/>
          <w:w w:val="115"/>
          <w:sz w:val="21"/>
        </w:rPr>
        <w:t>is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unreasonable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because</w:t>
      </w:r>
      <w:r>
        <w:rPr>
          <w:color w:val="383636"/>
          <w:spacing w:val="12"/>
          <w:w w:val="115"/>
          <w:sz w:val="21"/>
        </w:rPr>
        <w:t> </w:t>
      </w:r>
      <w:r>
        <w:rPr>
          <w:color w:val="383636"/>
          <w:w w:val="115"/>
          <w:sz w:val="21"/>
        </w:rPr>
        <w:t>they</w:t>
      </w:r>
      <w:r>
        <w:rPr>
          <w:color w:val="383636"/>
          <w:spacing w:val="12"/>
          <w:w w:val="115"/>
          <w:sz w:val="21"/>
        </w:rPr>
        <w:t> </w:t>
      </w:r>
      <w:r>
        <w:rPr>
          <w:color w:val="383636"/>
          <w:w w:val="115"/>
          <w:sz w:val="21"/>
        </w:rPr>
        <w:t>were</w:t>
      </w:r>
      <w:r>
        <w:rPr>
          <w:color w:val="383636"/>
          <w:spacing w:val="21"/>
          <w:w w:val="115"/>
          <w:sz w:val="21"/>
        </w:rPr>
        <w:t> </w:t>
      </w:r>
      <w:r>
        <w:rPr>
          <w:color w:val="383636"/>
          <w:w w:val="115"/>
          <w:sz w:val="21"/>
        </w:rPr>
        <w:t>present only</w:t>
      </w:r>
      <w:r>
        <w:rPr>
          <w:color w:val="383636"/>
          <w:spacing w:val="9"/>
          <w:w w:val="115"/>
          <w:sz w:val="21"/>
        </w:rPr>
        <w:t> </w:t>
      </w:r>
      <w:r>
        <w:rPr>
          <w:color w:val="383636"/>
          <w:w w:val="115"/>
          <w:sz w:val="21"/>
        </w:rPr>
        <w:t>to</w:t>
      </w:r>
      <w:r>
        <w:rPr>
          <w:color w:val="383636"/>
          <w:spacing w:val="11"/>
          <w:w w:val="115"/>
          <w:sz w:val="21"/>
        </w:rPr>
        <w:t> </w:t>
      </w:r>
      <w:r>
        <w:rPr>
          <w:color w:val="383636"/>
          <w:w w:val="115"/>
          <w:sz w:val="21"/>
        </w:rPr>
        <w:t>conduct</w:t>
      </w:r>
      <w:r>
        <w:rPr>
          <w:color w:val="383636"/>
          <w:spacing w:val="25"/>
          <w:w w:val="115"/>
          <w:sz w:val="21"/>
        </w:rPr>
        <w:t> </w:t>
      </w:r>
      <w:r>
        <w:rPr>
          <w:color w:val="383636"/>
          <w:w w:val="115"/>
          <w:sz w:val="21"/>
        </w:rPr>
        <w:t>illegal</w:t>
      </w:r>
      <w:r>
        <w:rPr>
          <w:color w:val="383636"/>
          <w:spacing w:val="24"/>
          <w:w w:val="115"/>
          <w:sz w:val="21"/>
        </w:rPr>
        <w:t> </w:t>
      </w:r>
      <w:r>
        <w:rPr>
          <w:color w:val="383636"/>
          <w:w w:val="115"/>
          <w:sz w:val="21"/>
        </w:rPr>
        <w:t>business</w:t>
      </w:r>
      <w:r>
        <w:rPr>
          <w:color w:val="383636"/>
          <w:spacing w:val="5"/>
          <w:w w:val="115"/>
          <w:sz w:val="21"/>
        </w:rPr>
        <w:t> </w:t>
      </w:r>
      <w:r>
        <w:rPr>
          <w:color w:val="383636"/>
          <w:w w:val="115"/>
          <w:sz w:val="21"/>
        </w:rPr>
        <w:t>that</w:t>
      </w:r>
    </w:p>
    <w:p>
      <w:pPr>
        <w:tabs>
          <w:tab w:pos="7126" w:val="left" w:leader="dot"/>
        </w:tabs>
        <w:spacing w:line="240" w:lineRule="exact" w:before="0"/>
        <w:ind w:left="807" w:right="0" w:firstLine="0"/>
        <w:jc w:val="left"/>
        <w:rPr>
          <w:sz w:val="21"/>
        </w:rPr>
      </w:pPr>
      <w:r>
        <w:rPr>
          <w:color w:val="383636"/>
          <w:w w:val="120"/>
          <w:sz w:val="21"/>
        </w:rPr>
        <w:t>isnot</w:t>
      </w:r>
      <w:r>
        <w:rPr>
          <w:color w:val="383636"/>
          <w:spacing w:val="-34"/>
          <w:w w:val="120"/>
          <w:sz w:val="21"/>
        </w:rPr>
        <w:t> </w:t>
      </w:r>
      <w:r>
        <w:rPr>
          <w:color w:val="383636"/>
          <w:w w:val="120"/>
          <w:sz w:val="21"/>
        </w:rPr>
        <w:t>valuable</w:t>
      </w:r>
      <w:r>
        <w:rPr>
          <w:color w:val="383636"/>
          <w:spacing w:val="-5"/>
          <w:w w:val="120"/>
          <w:sz w:val="21"/>
        </w:rPr>
        <w:t> </w:t>
      </w:r>
      <w:r>
        <w:rPr>
          <w:color w:val="383636"/>
          <w:w w:val="120"/>
          <w:sz w:val="21"/>
        </w:rPr>
        <w:t>to</w:t>
      </w:r>
      <w:r>
        <w:rPr>
          <w:color w:val="383636"/>
          <w:spacing w:val="2"/>
          <w:w w:val="120"/>
          <w:sz w:val="21"/>
        </w:rPr>
        <w:t> </w:t>
      </w:r>
      <w:r>
        <w:rPr>
          <w:color w:val="383636"/>
          <w:w w:val="120"/>
          <w:sz w:val="21"/>
        </w:rPr>
        <w:t>society</w:t>
        <w:tab/>
        <w:t>16</w:t>
      </w:r>
    </w:p>
    <w:p>
      <w:pPr>
        <w:spacing w:line="230" w:lineRule="auto" w:before="7"/>
        <w:ind w:left="793" w:right="1160" w:firstLine="1131"/>
        <w:jc w:val="left"/>
        <w:rPr>
          <w:sz w:val="21"/>
        </w:rPr>
      </w:pPr>
      <w:r>
        <w:rPr>
          <w:color w:val="383636"/>
          <w:spacing w:val="-1"/>
          <w:w w:val="120"/>
          <w:sz w:val="21"/>
        </w:rPr>
        <w:t>a. Illegal </w:t>
      </w:r>
      <w:r>
        <w:rPr>
          <w:color w:val="383636"/>
          <w:w w:val="120"/>
          <w:sz w:val="21"/>
        </w:rPr>
        <w:t>drug distribution is not a longstanding</w:t>
      </w:r>
      <w:r>
        <w:rPr>
          <w:color w:val="383636"/>
          <w:spacing w:val="1"/>
          <w:w w:val="120"/>
          <w:sz w:val="21"/>
        </w:rPr>
        <w:t> </w:t>
      </w:r>
      <w:r>
        <w:rPr>
          <w:color w:val="383636"/>
          <w:w w:val="115"/>
          <w:sz w:val="21"/>
        </w:rPr>
        <w:t>social</w:t>
      </w:r>
      <w:r>
        <w:rPr>
          <w:color w:val="383636"/>
          <w:spacing w:val="15"/>
          <w:w w:val="115"/>
          <w:sz w:val="21"/>
        </w:rPr>
        <w:t> </w:t>
      </w:r>
      <w:r>
        <w:rPr>
          <w:color w:val="383636"/>
          <w:w w:val="115"/>
          <w:sz w:val="21"/>
        </w:rPr>
        <w:t>custom</w:t>
      </w:r>
      <w:r>
        <w:rPr>
          <w:color w:val="383636"/>
          <w:spacing w:val="20"/>
          <w:w w:val="115"/>
          <w:sz w:val="21"/>
        </w:rPr>
        <w:t> </w:t>
      </w:r>
      <w:r>
        <w:rPr>
          <w:color w:val="383636"/>
          <w:w w:val="115"/>
          <w:sz w:val="21"/>
        </w:rPr>
        <w:t>that</w:t>
      </w:r>
      <w:r>
        <w:rPr>
          <w:color w:val="383636"/>
          <w:spacing w:val="-13"/>
          <w:w w:val="115"/>
          <w:sz w:val="21"/>
        </w:rPr>
        <w:t> </w:t>
      </w:r>
      <w:r>
        <w:rPr>
          <w:color w:val="383636"/>
          <w:w w:val="115"/>
          <w:sz w:val="21"/>
        </w:rPr>
        <w:t>serves</w:t>
      </w:r>
      <w:r>
        <w:rPr>
          <w:color w:val="383636"/>
          <w:spacing w:val="6"/>
          <w:w w:val="115"/>
          <w:sz w:val="21"/>
        </w:rPr>
        <w:t> </w:t>
      </w:r>
      <w:r>
        <w:rPr>
          <w:color w:val="383636"/>
          <w:w w:val="115"/>
          <w:sz w:val="21"/>
        </w:rPr>
        <w:t>functions</w:t>
      </w:r>
      <w:r>
        <w:rPr>
          <w:color w:val="383636"/>
          <w:spacing w:val="8"/>
          <w:w w:val="115"/>
          <w:sz w:val="21"/>
        </w:rPr>
        <w:t> </w:t>
      </w:r>
      <w:r>
        <w:rPr>
          <w:color w:val="383636"/>
          <w:w w:val="115"/>
          <w:sz w:val="21"/>
        </w:rPr>
        <w:t>recognized</w:t>
      </w:r>
      <w:r>
        <w:rPr>
          <w:color w:val="383636"/>
          <w:spacing w:val="33"/>
          <w:w w:val="115"/>
          <w:sz w:val="21"/>
        </w:rPr>
        <w:t> </w:t>
      </w:r>
      <w:r>
        <w:rPr>
          <w:color w:val="383636"/>
          <w:w w:val="115"/>
          <w:sz w:val="21"/>
        </w:rPr>
        <w:t>as</w:t>
      </w:r>
      <w:r>
        <w:rPr>
          <w:color w:val="383636"/>
          <w:spacing w:val="13"/>
          <w:w w:val="115"/>
          <w:sz w:val="21"/>
        </w:rPr>
        <w:t> </w:t>
      </w:r>
      <w:r>
        <w:rPr>
          <w:color w:val="383636"/>
          <w:w w:val="115"/>
          <w:sz w:val="21"/>
        </w:rPr>
        <w:t>valuable</w:t>
      </w:r>
      <w:r>
        <w:rPr>
          <w:color w:val="383636"/>
          <w:spacing w:val="11"/>
          <w:w w:val="115"/>
          <w:sz w:val="21"/>
        </w:rPr>
        <w:t> </w:t>
      </w:r>
      <w:r>
        <w:rPr>
          <w:color w:val="383636"/>
          <w:w w:val="115"/>
          <w:sz w:val="21"/>
        </w:rPr>
        <w:t>by</w:t>
      </w:r>
    </w:p>
    <w:p>
      <w:pPr>
        <w:tabs>
          <w:tab w:pos="7136" w:val="left" w:leader="dot"/>
        </w:tabs>
        <w:spacing w:line="241" w:lineRule="exact" w:before="1"/>
        <w:ind w:left="803" w:right="0" w:firstLine="0"/>
        <w:jc w:val="left"/>
        <w:rPr>
          <w:sz w:val="21"/>
        </w:rPr>
      </w:pPr>
      <w:r>
        <w:rPr>
          <w:color w:val="383636"/>
          <w:w w:val="125"/>
          <w:sz w:val="21"/>
        </w:rPr>
        <w:t>society</w:t>
        <w:tab/>
      </w:r>
      <w:r>
        <w:rPr>
          <w:color w:val="383636"/>
          <w:w w:val="200"/>
          <w:sz w:val="21"/>
        </w:rPr>
        <w:t>16</w:t>
      </w:r>
    </w:p>
    <w:p>
      <w:pPr>
        <w:spacing w:line="230" w:lineRule="auto" w:before="7"/>
        <w:ind w:left="806" w:right="1160" w:firstLine="1136"/>
        <w:jc w:val="left"/>
        <w:rPr>
          <w:sz w:val="21"/>
        </w:rPr>
      </w:pPr>
      <w:r>
        <w:rPr>
          <w:color w:val="383636"/>
          <w:w w:val="224"/>
          <w:sz w:val="21"/>
        </w:rPr>
        <w:t>b</w:t>
      </w:r>
      <w:r>
        <w:rPr>
          <w:color w:val="383636"/>
          <w:spacing w:val="-107"/>
          <w:w w:val="224"/>
          <w:sz w:val="21"/>
        </w:rPr>
        <w:t>.</w:t>
      </w:r>
      <w:r>
        <w:rPr>
          <w:color w:val="383636"/>
          <w:spacing w:val="-1"/>
          <w:w w:val="115"/>
          <w:sz w:val="21"/>
        </w:rPr>
        <w:t>Respondent</w:t>
      </w:r>
      <w:r>
        <w:rPr>
          <w:color w:val="383636"/>
          <w:w w:val="115"/>
          <w:sz w:val="21"/>
        </w:rPr>
        <w:t>s</w:t>
      </w:r>
      <w:r>
        <w:rPr>
          <w:color w:val="383636"/>
          <w:spacing w:val="4"/>
          <w:sz w:val="21"/>
        </w:rPr>
        <w:t> </w:t>
      </w:r>
      <w:r>
        <w:rPr>
          <w:color w:val="383636"/>
          <w:spacing w:val="-1"/>
          <w:w w:val="115"/>
          <w:sz w:val="21"/>
        </w:rPr>
        <w:t>wer</w:t>
      </w:r>
      <w:r>
        <w:rPr>
          <w:color w:val="383636"/>
          <w:w w:val="115"/>
          <w:sz w:val="21"/>
        </w:rPr>
        <w:t>e</w:t>
      </w:r>
      <w:r>
        <w:rPr>
          <w:color w:val="383636"/>
          <w:spacing w:val="8"/>
          <w:sz w:val="21"/>
        </w:rPr>
        <w:t> </w:t>
      </w:r>
      <w:r>
        <w:rPr>
          <w:color w:val="383636"/>
          <w:w w:val="117"/>
          <w:sz w:val="21"/>
        </w:rPr>
        <w:t>present</w:t>
      </w:r>
      <w:r>
        <w:rPr>
          <w:color w:val="383636"/>
          <w:spacing w:val="-3"/>
          <w:sz w:val="21"/>
        </w:rPr>
        <w:t> </w:t>
      </w:r>
      <w:r>
        <w:rPr>
          <w:color w:val="383636"/>
          <w:w w:val="117"/>
          <w:sz w:val="21"/>
        </w:rPr>
        <w:t>for</w:t>
      </w:r>
      <w:r>
        <w:rPr>
          <w:color w:val="383636"/>
          <w:spacing w:val="7"/>
          <w:sz w:val="21"/>
        </w:rPr>
        <w:t> </w:t>
      </w:r>
      <w:r>
        <w:rPr>
          <w:color w:val="383636"/>
          <w:w w:val="117"/>
          <w:sz w:val="21"/>
        </w:rPr>
        <w:t>a</w:t>
      </w:r>
      <w:r>
        <w:rPr>
          <w:color w:val="383636"/>
          <w:sz w:val="21"/>
        </w:rPr>
        <w:t> </w:t>
      </w:r>
      <w:r>
        <w:rPr>
          <w:color w:val="383636"/>
          <w:spacing w:val="-24"/>
          <w:sz w:val="21"/>
        </w:rPr>
        <w:t> </w:t>
      </w:r>
      <w:r>
        <w:rPr>
          <w:color w:val="383636"/>
          <w:w w:val="118"/>
          <w:sz w:val="21"/>
        </w:rPr>
        <w:t>purely </w:t>
      </w:r>
      <w:r>
        <w:rPr>
          <w:color w:val="383636"/>
          <w:w w:val="115"/>
          <w:sz w:val="21"/>
        </w:rPr>
        <w:t>commercia</w:t>
      </w:r>
      <w:r>
        <w:rPr>
          <w:color w:val="504F52"/>
          <w:w w:val="115"/>
          <w:sz w:val="21"/>
        </w:rPr>
        <w:t>l</w:t>
      </w:r>
      <w:r>
        <w:rPr>
          <w:color w:val="504F52"/>
          <w:spacing w:val="27"/>
          <w:w w:val="115"/>
          <w:sz w:val="21"/>
        </w:rPr>
        <w:t> </w:t>
      </w:r>
      <w:r>
        <w:rPr>
          <w:color w:val="383636"/>
          <w:w w:val="115"/>
          <w:sz w:val="21"/>
        </w:rPr>
        <w:t>purpose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and</w:t>
      </w:r>
      <w:r>
        <w:rPr>
          <w:color w:val="383636"/>
          <w:spacing w:val="47"/>
          <w:w w:val="115"/>
          <w:sz w:val="21"/>
        </w:rPr>
        <w:t> </w:t>
      </w:r>
      <w:r>
        <w:rPr>
          <w:color w:val="383636"/>
          <w:w w:val="115"/>
          <w:sz w:val="21"/>
        </w:rPr>
        <w:t>were</w:t>
      </w:r>
      <w:r>
        <w:rPr>
          <w:color w:val="383636"/>
          <w:spacing w:val="-1"/>
          <w:w w:val="115"/>
          <w:sz w:val="21"/>
        </w:rPr>
        <w:t> </w:t>
      </w:r>
      <w:r>
        <w:rPr>
          <w:color w:val="383636"/>
          <w:w w:val="115"/>
          <w:sz w:val="21"/>
        </w:rPr>
        <w:t>not</w:t>
      </w:r>
      <w:r>
        <w:rPr>
          <w:color w:val="383636"/>
          <w:spacing w:val="30"/>
          <w:w w:val="115"/>
          <w:sz w:val="21"/>
        </w:rPr>
        <w:t> </w:t>
      </w:r>
      <w:r>
        <w:rPr>
          <w:color w:val="383636"/>
          <w:w w:val="115"/>
          <w:sz w:val="21"/>
        </w:rPr>
        <w:t>entitled</w:t>
      </w:r>
      <w:r>
        <w:rPr>
          <w:color w:val="383636"/>
          <w:spacing w:val="13"/>
          <w:w w:val="115"/>
          <w:sz w:val="21"/>
        </w:rPr>
        <w:t> </w:t>
      </w:r>
      <w:r>
        <w:rPr>
          <w:color w:val="383636"/>
          <w:w w:val="115"/>
          <w:sz w:val="21"/>
        </w:rPr>
        <w:t>to</w:t>
      </w:r>
      <w:r>
        <w:rPr>
          <w:color w:val="383636"/>
          <w:spacing w:val="14"/>
          <w:w w:val="115"/>
          <w:sz w:val="21"/>
        </w:rPr>
        <w:t> </w:t>
      </w:r>
      <w:r>
        <w:rPr>
          <w:color w:val="383636"/>
          <w:w w:val="115"/>
          <w:sz w:val="21"/>
        </w:rPr>
        <w:t>the</w:t>
      </w:r>
      <w:r>
        <w:rPr>
          <w:color w:val="383636"/>
          <w:spacing w:val="39"/>
          <w:w w:val="115"/>
          <w:sz w:val="21"/>
        </w:rPr>
        <w:t> </w:t>
      </w:r>
      <w:r>
        <w:rPr>
          <w:color w:val="383636"/>
          <w:w w:val="115"/>
          <w:sz w:val="21"/>
        </w:rPr>
        <w:t>Fourth</w:t>
      </w:r>
    </w:p>
    <w:p>
      <w:pPr>
        <w:tabs>
          <w:tab w:pos="7155" w:val="left" w:leader="dot"/>
        </w:tabs>
        <w:spacing w:line="241" w:lineRule="exact" w:before="1"/>
        <w:ind w:left="811" w:right="0" w:firstLine="0"/>
        <w:jc w:val="left"/>
        <w:rPr>
          <w:sz w:val="21"/>
        </w:rPr>
      </w:pPr>
      <w:r>
        <w:rPr>
          <w:color w:val="383636"/>
          <w:w w:val="120"/>
          <w:sz w:val="21"/>
        </w:rPr>
        <w:t>Amendment</w:t>
      </w:r>
      <w:r>
        <w:rPr>
          <w:color w:val="383636"/>
          <w:spacing w:val="-5"/>
          <w:w w:val="120"/>
          <w:sz w:val="21"/>
        </w:rPr>
        <w:t> </w:t>
      </w:r>
      <w:r>
        <w:rPr>
          <w:color w:val="383636"/>
          <w:w w:val="120"/>
          <w:sz w:val="21"/>
        </w:rPr>
        <w:t>protection</w:t>
      </w:r>
      <w:r>
        <w:rPr>
          <w:color w:val="383636"/>
          <w:spacing w:val="-14"/>
          <w:w w:val="120"/>
          <w:sz w:val="21"/>
        </w:rPr>
        <w:t> </w:t>
      </w:r>
      <w:r>
        <w:rPr>
          <w:color w:val="383636"/>
          <w:w w:val="120"/>
          <w:sz w:val="21"/>
        </w:rPr>
        <w:t>a</w:t>
      </w:r>
      <w:r>
        <w:rPr>
          <w:color w:val="504F52"/>
          <w:w w:val="120"/>
          <w:sz w:val="21"/>
        </w:rPr>
        <w:t>s</w:t>
      </w:r>
      <w:r>
        <w:rPr>
          <w:color w:val="383636"/>
          <w:w w:val="120"/>
          <w:sz w:val="21"/>
        </w:rPr>
        <w:t>sociated</w:t>
      </w:r>
      <w:r>
        <w:rPr>
          <w:color w:val="383636"/>
          <w:spacing w:val="-1"/>
          <w:w w:val="120"/>
          <w:sz w:val="21"/>
        </w:rPr>
        <w:t> </w:t>
      </w:r>
      <w:r>
        <w:rPr>
          <w:color w:val="383636"/>
          <w:w w:val="120"/>
          <w:sz w:val="21"/>
        </w:rPr>
        <w:t>with</w:t>
      </w:r>
      <w:r>
        <w:rPr>
          <w:color w:val="383636"/>
          <w:spacing w:val="-14"/>
          <w:w w:val="120"/>
          <w:sz w:val="21"/>
        </w:rPr>
        <w:t> </w:t>
      </w:r>
      <w:r>
        <w:rPr>
          <w:color w:val="383636"/>
          <w:w w:val="120"/>
          <w:sz w:val="21"/>
        </w:rPr>
        <w:t>th</w:t>
      </w:r>
      <w:r>
        <w:rPr>
          <w:color w:val="504F52"/>
          <w:w w:val="120"/>
          <w:sz w:val="21"/>
        </w:rPr>
        <w:t>e</w:t>
      </w:r>
      <w:r>
        <w:rPr>
          <w:color w:val="504F52"/>
          <w:spacing w:val="-8"/>
          <w:w w:val="120"/>
          <w:sz w:val="21"/>
        </w:rPr>
        <w:t> </w:t>
      </w:r>
      <w:r>
        <w:rPr>
          <w:color w:val="383636"/>
          <w:w w:val="120"/>
          <w:sz w:val="21"/>
        </w:rPr>
        <w:t>hom</w:t>
      </w:r>
      <w:r>
        <w:rPr>
          <w:color w:val="504F52"/>
          <w:w w:val="120"/>
          <w:sz w:val="21"/>
        </w:rPr>
        <w:t>e</w:t>
        <w:tab/>
      </w:r>
      <w:r>
        <w:rPr>
          <w:color w:val="383636"/>
          <w:w w:val="190"/>
          <w:sz w:val="21"/>
        </w:rPr>
        <w:t>19</w:t>
      </w:r>
    </w:p>
    <w:p>
      <w:pPr>
        <w:spacing w:before="0"/>
        <w:ind w:left="806" w:right="858" w:firstLine="375"/>
        <w:jc w:val="left"/>
        <w:rPr>
          <w:sz w:val="21"/>
        </w:rPr>
      </w:pPr>
      <w:r>
        <w:rPr>
          <w:color w:val="383636"/>
          <w:spacing w:val="-17"/>
          <w:w w:val="218"/>
          <w:sz w:val="20"/>
        </w:rPr>
        <w:t>C</w:t>
      </w:r>
      <w:r>
        <w:rPr>
          <w:color w:val="383636"/>
          <w:spacing w:val="-147"/>
          <w:w w:val="116"/>
          <w:sz w:val="21"/>
        </w:rPr>
        <w:t>R</w:t>
      </w:r>
      <w:r>
        <w:rPr>
          <w:color w:val="383636"/>
          <w:w w:val="218"/>
          <w:sz w:val="20"/>
        </w:rPr>
        <w:t>.</w:t>
      </w:r>
      <w:r>
        <w:rPr>
          <w:color w:val="383636"/>
          <w:spacing w:val="-13"/>
          <w:sz w:val="20"/>
        </w:rPr>
        <w:t> </w:t>
      </w:r>
      <w:r>
        <w:rPr>
          <w:color w:val="383636"/>
          <w:spacing w:val="-1"/>
          <w:w w:val="116"/>
          <w:sz w:val="21"/>
        </w:rPr>
        <w:t>espondent</w:t>
      </w:r>
      <w:r>
        <w:rPr>
          <w:color w:val="383636"/>
          <w:w w:val="116"/>
          <w:sz w:val="21"/>
        </w:rPr>
        <w:t>s</w:t>
      </w:r>
      <w:r>
        <w:rPr>
          <w:color w:val="383636"/>
          <w:spacing w:val="12"/>
          <w:sz w:val="21"/>
        </w:rPr>
        <w:t> </w:t>
      </w:r>
      <w:r>
        <w:rPr>
          <w:color w:val="383636"/>
          <w:spacing w:val="-1"/>
          <w:w w:val="116"/>
          <w:sz w:val="21"/>
        </w:rPr>
        <w:t>ma</w:t>
      </w:r>
      <w:r>
        <w:rPr>
          <w:color w:val="383636"/>
          <w:w w:val="116"/>
          <w:sz w:val="21"/>
        </w:rPr>
        <w:t>y</w:t>
      </w:r>
      <w:r>
        <w:rPr>
          <w:color w:val="383636"/>
          <w:spacing w:val="9"/>
          <w:sz w:val="21"/>
        </w:rPr>
        <w:t> </w:t>
      </w:r>
      <w:r>
        <w:rPr>
          <w:color w:val="383636"/>
          <w:w w:val="116"/>
          <w:sz w:val="21"/>
        </w:rPr>
        <w:t>not</w:t>
      </w:r>
      <w:r>
        <w:rPr>
          <w:color w:val="383636"/>
          <w:spacing w:val="14"/>
          <w:sz w:val="21"/>
        </w:rPr>
        <w:t> </w:t>
      </w:r>
      <w:r>
        <w:rPr>
          <w:color w:val="383636"/>
          <w:spacing w:val="-1"/>
          <w:w w:val="122"/>
          <w:sz w:val="21"/>
        </w:rPr>
        <w:t>clai</w:t>
      </w:r>
      <w:r>
        <w:rPr>
          <w:color w:val="383636"/>
          <w:w w:val="122"/>
          <w:sz w:val="21"/>
        </w:rPr>
        <w:t>m</w:t>
      </w:r>
      <w:r>
        <w:rPr>
          <w:color w:val="383636"/>
          <w:spacing w:val="-7"/>
          <w:sz w:val="21"/>
        </w:rPr>
        <w:t> </w:t>
      </w:r>
      <w:r>
        <w:rPr>
          <w:color w:val="383636"/>
          <w:w w:val="122"/>
          <w:sz w:val="21"/>
        </w:rPr>
        <w:t>a</w:t>
      </w:r>
      <w:r>
        <w:rPr>
          <w:color w:val="383636"/>
          <w:spacing w:val="7"/>
          <w:sz w:val="21"/>
        </w:rPr>
        <w:t> </w:t>
      </w:r>
      <w:r>
        <w:rPr>
          <w:color w:val="383636"/>
          <w:spacing w:val="-1"/>
          <w:w w:val="120"/>
          <w:sz w:val="21"/>
        </w:rPr>
        <w:t>legitimat</w:t>
      </w:r>
      <w:r>
        <w:rPr>
          <w:color w:val="383636"/>
          <w:w w:val="120"/>
          <w:sz w:val="21"/>
        </w:rPr>
        <w:t>e</w:t>
      </w:r>
      <w:r>
        <w:rPr>
          <w:color w:val="383636"/>
          <w:spacing w:val="6"/>
          <w:sz w:val="21"/>
        </w:rPr>
        <w:t> </w:t>
      </w:r>
      <w:r>
        <w:rPr>
          <w:color w:val="383636"/>
          <w:spacing w:val="-1"/>
          <w:w w:val="121"/>
          <w:sz w:val="21"/>
        </w:rPr>
        <w:t>expectatio</w:t>
      </w:r>
      <w:r>
        <w:rPr>
          <w:color w:val="383636"/>
          <w:w w:val="121"/>
          <w:sz w:val="21"/>
        </w:rPr>
        <w:t>n</w:t>
      </w:r>
      <w:r>
        <w:rPr>
          <w:color w:val="383636"/>
          <w:spacing w:val="8"/>
          <w:sz w:val="21"/>
        </w:rPr>
        <w:t> </w:t>
      </w:r>
      <w:r>
        <w:rPr>
          <w:color w:val="383636"/>
          <w:w w:val="121"/>
          <w:sz w:val="21"/>
        </w:rPr>
        <w:t>of </w:t>
      </w:r>
      <w:r>
        <w:rPr>
          <w:color w:val="383636"/>
          <w:w w:val="115"/>
          <w:sz w:val="21"/>
        </w:rPr>
        <w:t>pri</w:t>
      </w:r>
      <w:r>
        <w:rPr>
          <w:color w:val="504F52"/>
          <w:w w:val="115"/>
          <w:sz w:val="21"/>
        </w:rPr>
        <w:t>v</w:t>
      </w:r>
      <w:r>
        <w:rPr>
          <w:color w:val="383636"/>
          <w:w w:val="115"/>
          <w:sz w:val="21"/>
        </w:rPr>
        <w:t>acy,</w:t>
      </w:r>
      <w:r>
        <w:rPr>
          <w:color w:val="383636"/>
          <w:spacing w:val="14"/>
          <w:w w:val="115"/>
          <w:sz w:val="21"/>
        </w:rPr>
        <w:t> </w:t>
      </w:r>
      <w:r>
        <w:rPr>
          <w:color w:val="383636"/>
          <w:w w:val="115"/>
          <w:sz w:val="21"/>
        </w:rPr>
        <w:t>because by</w:t>
      </w:r>
      <w:r>
        <w:rPr>
          <w:color w:val="383636"/>
          <w:spacing w:val="-5"/>
          <w:w w:val="115"/>
          <w:sz w:val="21"/>
        </w:rPr>
        <w:t> </w:t>
      </w:r>
      <w:r>
        <w:rPr>
          <w:color w:val="383636"/>
          <w:w w:val="115"/>
          <w:sz w:val="21"/>
        </w:rPr>
        <w:t>engaging</w:t>
      </w:r>
      <w:r>
        <w:rPr>
          <w:color w:val="383636"/>
          <w:spacing w:val="4"/>
          <w:w w:val="115"/>
          <w:sz w:val="21"/>
        </w:rPr>
        <w:t> </w:t>
      </w:r>
      <w:r>
        <w:rPr>
          <w:color w:val="383636"/>
          <w:w w:val="115"/>
          <w:sz w:val="21"/>
        </w:rPr>
        <w:t>in</w:t>
      </w:r>
      <w:r>
        <w:rPr>
          <w:color w:val="383636"/>
          <w:spacing w:val="16"/>
          <w:w w:val="115"/>
          <w:sz w:val="21"/>
        </w:rPr>
        <w:t> </w:t>
      </w:r>
      <w:r>
        <w:rPr>
          <w:color w:val="383636"/>
          <w:w w:val="115"/>
          <w:sz w:val="21"/>
        </w:rPr>
        <w:t>criminal</w:t>
      </w:r>
      <w:r>
        <w:rPr>
          <w:color w:val="383636"/>
          <w:spacing w:val="9"/>
          <w:w w:val="115"/>
          <w:sz w:val="21"/>
        </w:rPr>
        <w:t> </w:t>
      </w:r>
      <w:r>
        <w:rPr>
          <w:color w:val="383636"/>
          <w:w w:val="115"/>
          <w:sz w:val="21"/>
        </w:rPr>
        <w:t>acts</w:t>
      </w:r>
      <w:r>
        <w:rPr>
          <w:color w:val="383636"/>
          <w:spacing w:val="-5"/>
          <w:w w:val="115"/>
          <w:sz w:val="21"/>
        </w:rPr>
        <w:t> </w:t>
      </w:r>
      <w:r>
        <w:rPr>
          <w:color w:val="383636"/>
          <w:w w:val="115"/>
          <w:sz w:val="21"/>
        </w:rPr>
        <w:t>in</w:t>
      </w:r>
      <w:r>
        <w:rPr>
          <w:color w:val="383636"/>
          <w:spacing w:val="10"/>
          <w:w w:val="115"/>
          <w:sz w:val="21"/>
        </w:rPr>
        <w:t> </w:t>
      </w:r>
      <w:r>
        <w:rPr>
          <w:color w:val="383636"/>
          <w:w w:val="115"/>
          <w:sz w:val="21"/>
        </w:rPr>
        <w:t>a</w:t>
      </w:r>
      <w:r>
        <w:rPr>
          <w:color w:val="383636"/>
          <w:spacing w:val="17"/>
          <w:w w:val="115"/>
          <w:sz w:val="21"/>
        </w:rPr>
        <w:t> </w:t>
      </w:r>
      <w:r>
        <w:rPr>
          <w:color w:val="383636"/>
          <w:w w:val="115"/>
          <w:sz w:val="21"/>
        </w:rPr>
        <w:t>well-lit</w:t>
      </w:r>
      <w:r>
        <w:rPr>
          <w:color w:val="383636"/>
          <w:spacing w:val="18"/>
          <w:w w:val="115"/>
          <w:sz w:val="21"/>
        </w:rPr>
        <w:t> </w:t>
      </w:r>
      <w:r>
        <w:rPr>
          <w:color w:val="383636"/>
          <w:w w:val="115"/>
          <w:sz w:val="21"/>
        </w:rPr>
        <w:t>room,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spacing w:val="-1"/>
          <w:w w:val="120"/>
          <w:sz w:val="21"/>
        </w:rPr>
        <w:t>directly</w:t>
      </w:r>
      <w:r>
        <w:rPr>
          <w:color w:val="383636"/>
          <w:spacing w:val="-10"/>
          <w:w w:val="120"/>
          <w:sz w:val="21"/>
        </w:rPr>
        <w:t> </w:t>
      </w:r>
      <w:r>
        <w:rPr>
          <w:color w:val="383636"/>
          <w:spacing w:val="-1"/>
          <w:w w:val="120"/>
          <w:sz w:val="20"/>
        </w:rPr>
        <w:t>in</w:t>
      </w:r>
      <w:r>
        <w:rPr>
          <w:color w:val="383636"/>
          <w:spacing w:val="12"/>
          <w:w w:val="120"/>
          <w:sz w:val="20"/>
        </w:rPr>
        <w:t> </w:t>
      </w:r>
      <w:r>
        <w:rPr>
          <w:color w:val="383636"/>
          <w:spacing w:val="-1"/>
          <w:w w:val="120"/>
          <w:sz w:val="21"/>
        </w:rPr>
        <w:t>front</w:t>
      </w:r>
      <w:r>
        <w:rPr>
          <w:color w:val="383636"/>
          <w:spacing w:val="-16"/>
          <w:w w:val="120"/>
          <w:sz w:val="21"/>
        </w:rPr>
        <w:t> </w:t>
      </w:r>
      <w:r>
        <w:rPr>
          <w:color w:val="383636"/>
          <w:w w:val="120"/>
          <w:sz w:val="21"/>
        </w:rPr>
        <w:t>of</w:t>
      </w:r>
      <w:r>
        <w:rPr>
          <w:color w:val="383636"/>
          <w:spacing w:val="-22"/>
          <w:w w:val="120"/>
          <w:sz w:val="21"/>
        </w:rPr>
        <w:t> </w:t>
      </w:r>
      <w:r>
        <w:rPr>
          <w:color w:val="383636"/>
          <w:w w:val="120"/>
          <w:sz w:val="21"/>
        </w:rPr>
        <w:t>a</w:t>
      </w:r>
      <w:r>
        <w:rPr>
          <w:color w:val="383636"/>
          <w:spacing w:val="-1"/>
          <w:w w:val="120"/>
          <w:sz w:val="21"/>
        </w:rPr>
        <w:t> </w:t>
      </w:r>
      <w:r>
        <w:rPr>
          <w:color w:val="383636"/>
          <w:w w:val="120"/>
          <w:sz w:val="21"/>
        </w:rPr>
        <w:t>window</w:t>
      </w:r>
      <w:r>
        <w:rPr>
          <w:color w:val="383636"/>
          <w:spacing w:val="-4"/>
          <w:w w:val="120"/>
          <w:sz w:val="21"/>
        </w:rPr>
        <w:t> </w:t>
      </w:r>
      <w:r>
        <w:rPr>
          <w:color w:val="383636"/>
          <w:w w:val="120"/>
          <w:sz w:val="21"/>
        </w:rPr>
        <w:t>facing</w:t>
      </w:r>
      <w:r>
        <w:rPr>
          <w:color w:val="383636"/>
          <w:spacing w:val="-29"/>
          <w:w w:val="120"/>
          <w:sz w:val="21"/>
        </w:rPr>
        <w:t> </w:t>
      </w:r>
      <w:r>
        <w:rPr>
          <w:color w:val="383636"/>
          <w:w w:val="120"/>
          <w:sz w:val="21"/>
        </w:rPr>
        <w:t>a</w:t>
      </w:r>
      <w:r>
        <w:rPr>
          <w:color w:val="383636"/>
          <w:spacing w:val="3"/>
          <w:w w:val="120"/>
          <w:sz w:val="21"/>
        </w:rPr>
        <w:t> </w:t>
      </w:r>
      <w:r>
        <w:rPr>
          <w:color w:val="383636"/>
          <w:w w:val="120"/>
          <w:sz w:val="21"/>
        </w:rPr>
        <w:t>wid</w:t>
      </w:r>
      <w:r>
        <w:rPr>
          <w:color w:val="504F52"/>
          <w:w w:val="120"/>
          <w:sz w:val="21"/>
        </w:rPr>
        <w:t>e</w:t>
      </w:r>
      <w:r>
        <w:rPr>
          <w:color w:val="383636"/>
          <w:w w:val="120"/>
          <w:sz w:val="21"/>
        </w:rPr>
        <w:t>ly</w:t>
      </w:r>
      <w:r>
        <w:rPr>
          <w:color w:val="383636"/>
          <w:spacing w:val="17"/>
          <w:w w:val="120"/>
          <w:sz w:val="21"/>
        </w:rPr>
        <w:t> </w:t>
      </w:r>
      <w:r>
        <w:rPr>
          <w:color w:val="383636"/>
          <w:w w:val="120"/>
          <w:sz w:val="21"/>
        </w:rPr>
        <w:t>used</w:t>
      </w:r>
      <w:r>
        <w:rPr>
          <w:color w:val="383636"/>
          <w:spacing w:val="-16"/>
          <w:w w:val="120"/>
          <w:sz w:val="21"/>
        </w:rPr>
        <w:t> </w:t>
      </w:r>
      <w:r>
        <w:rPr>
          <w:color w:val="383636"/>
          <w:w w:val="120"/>
          <w:sz w:val="21"/>
        </w:rPr>
        <w:t>common</w:t>
      </w:r>
    </w:p>
    <w:p>
      <w:pPr>
        <w:tabs>
          <w:tab w:pos="7175" w:val="left" w:leader="dot"/>
        </w:tabs>
        <w:spacing w:line="230" w:lineRule="exact" w:before="0"/>
        <w:ind w:left="815" w:right="0" w:firstLine="0"/>
        <w:jc w:val="left"/>
        <w:rPr>
          <w:sz w:val="21"/>
        </w:rPr>
      </w:pPr>
      <w:r>
        <w:rPr>
          <w:color w:val="383636"/>
          <w:w w:val="115"/>
          <w:sz w:val="21"/>
        </w:rPr>
        <w:t>area,</w:t>
      </w:r>
      <w:r>
        <w:rPr>
          <w:color w:val="383636"/>
          <w:spacing w:val="-3"/>
          <w:w w:val="115"/>
          <w:sz w:val="21"/>
        </w:rPr>
        <w:t> </w:t>
      </w:r>
      <w:r>
        <w:rPr>
          <w:color w:val="383636"/>
          <w:w w:val="115"/>
          <w:sz w:val="21"/>
        </w:rPr>
        <w:t>they</w:t>
      </w:r>
      <w:r>
        <w:rPr>
          <w:color w:val="383636"/>
          <w:spacing w:val="6"/>
          <w:w w:val="115"/>
          <w:sz w:val="21"/>
        </w:rPr>
        <w:t> </w:t>
      </w:r>
      <w:r>
        <w:rPr>
          <w:color w:val="383636"/>
          <w:w w:val="115"/>
          <w:sz w:val="21"/>
        </w:rPr>
        <w:t>exhibited</w:t>
      </w:r>
      <w:r>
        <w:rPr>
          <w:color w:val="383636"/>
          <w:spacing w:val="20"/>
          <w:w w:val="115"/>
          <w:sz w:val="21"/>
        </w:rPr>
        <w:t> </w:t>
      </w:r>
      <w:r>
        <w:rPr>
          <w:color w:val="383636"/>
          <w:w w:val="115"/>
          <w:sz w:val="21"/>
        </w:rPr>
        <w:t>no</w:t>
      </w:r>
      <w:r>
        <w:rPr>
          <w:color w:val="383636"/>
          <w:spacing w:val="5"/>
          <w:w w:val="115"/>
          <w:sz w:val="21"/>
        </w:rPr>
        <w:t> </w:t>
      </w:r>
      <w:r>
        <w:rPr>
          <w:color w:val="383636"/>
          <w:w w:val="115"/>
          <w:sz w:val="21"/>
        </w:rPr>
        <w:t>subjective</w:t>
      </w:r>
      <w:r>
        <w:rPr>
          <w:color w:val="383636"/>
          <w:spacing w:val="-1"/>
          <w:w w:val="115"/>
          <w:sz w:val="21"/>
        </w:rPr>
        <w:t> </w:t>
      </w:r>
      <w:r>
        <w:rPr>
          <w:color w:val="383636"/>
          <w:w w:val="115"/>
          <w:sz w:val="21"/>
        </w:rPr>
        <w:t>e</w:t>
      </w:r>
      <w:r>
        <w:rPr>
          <w:color w:val="504F52"/>
          <w:w w:val="115"/>
          <w:sz w:val="21"/>
        </w:rPr>
        <w:t>x</w:t>
      </w:r>
      <w:r>
        <w:rPr>
          <w:color w:val="383636"/>
          <w:w w:val="115"/>
          <w:sz w:val="21"/>
        </w:rPr>
        <w:t>pe</w:t>
      </w:r>
      <w:r>
        <w:rPr>
          <w:color w:val="504F52"/>
          <w:w w:val="115"/>
          <w:sz w:val="21"/>
        </w:rPr>
        <w:t>c</w:t>
      </w:r>
      <w:r>
        <w:rPr>
          <w:color w:val="383636"/>
          <w:w w:val="115"/>
          <w:sz w:val="21"/>
        </w:rPr>
        <w:t>tation</w:t>
      </w:r>
      <w:r>
        <w:rPr>
          <w:color w:val="383636"/>
          <w:spacing w:val="36"/>
          <w:w w:val="115"/>
          <w:sz w:val="21"/>
        </w:rPr>
        <w:t> </w:t>
      </w:r>
      <w:r>
        <w:rPr>
          <w:color w:val="383636"/>
          <w:w w:val="115"/>
          <w:sz w:val="21"/>
        </w:rPr>
        <w:t>of</w:t>
      </w:r>
      <w:r>
        <w:rPr>
          <w:color w:val="383636"/>
          <w:spacing w:val="23"/>
          <w:w w:val="115"/>
          <w:sz w:val="21"/>
        </w:rPr>
        <w:t> </w:t>
      </w:r>
      <w:r>
        <w:rPr>
          <w:color w:val="383636"/>
          <w:w w:val="115"/>
          <w:sz w:val="21"/>
        </w:rPr>
        <w:t>privacy</w:t>
        <w:tab/>
      </w:r>
      <w:r>
        <w:rPr>
          <w:color w:val="383636"/>
          <w:w w:val="185"/>
          <w:sz w:val="21"/>
        </w:rPr>
        <w:t>21</w:t>
      </w:r>
    </w:p>
    <w:p>
      <w:pPr>
        <w:pStyle w:val="BodyText"/>
        <w:spacing w:line="235" w:lineRule="auto" w:before="139"/>
        <w:ind w:left="246" w:right="400" w:firstLine="330"/>
        <w:jc w:val="both"/>
      </w:pPr>
      <w:r>
        <w:rPr>
          <w:color w:val="383636"/>
          <w:w w:val="211"/>
        </w:rPr>
        <w:t>I</w:t>
      </w:r>
      <w:r>
        <w:rPr>
          <w:color w:val="383636"/>
          <w:spacing w:val="-131"/>
          <w:w w:val="211"/>
        </w:rPr>
        <w:t>n</w:t>
      </w:r>
      <w:r>
        <w:rPr>
          <w:color w:val="383636"/>
          <w:spacing w:val="-1"/>
          <w:w w:val="211"/>
        </w:rPr>
        <w:t>th</w:t>
      </w:r>
      <w:r>
        <w:rPr>
          <w:color w:val="383636"/>
          <w:spacing w:val="-215"/>
          <w:w w:val="211"/>
        </w:rPr>
        <w:t>e</w:t>
      </w:r>
      <w:r>
        <w:rPr>
          <w:color w:val="383636"/>
          <w:w w:val="113"/>
        </w:rPr>
        <w:t>n</w:t>
      </w:r>
      <w:r>
        <w:rPr>
          <w:color w:val="504F52"/>
          <w:spacing w:val="-1"/>
          <w:w w:val="113"/>
        </w:rPr>
        <w:t>e</w:t>
      </w:r>
      <w:r>
        <w:rPr>
          <w:color w:val="383636"/>
          <w:w w:val="113"/>
        </w:rPr>
        <w:t>xt</w:t>
      </w:r>
      <w:r>
        <w:rPr>
          <w:color w:val="383636"/>
          <w:spacing w:val="-4"/>
        </w:rPr>
        <w:t> </w:t>
      </w:r>
      <w:r>
        <w:rPr>
          <w:color w:val="383636"/>
          <w:spacing w:val="-1"/>
          <w:w w:val="112"/>
        </w:rPr>
        <w:t>example</w:t>
      </w:r>
      <w:r>
        <w:rPr>
          <w:color w:val="383636"/>
          <w:w w:val="112"/>
        </w:rPr>
        <w:t>,</w:t>
      </w:r>
      <w:r>
        <w:rPr>
          <w:color w:val="383636"/>
          <w:spacing w:val="3"/>
        </w:rPr>
        <w:t> </w:t>
      </w:r>
      <w:r>
        <w:rPr>
          <w:color w:val="383636"/>
          <w:w w:val="119"/>
        </w:rPr>
        <w:t>note</w:t>
      </w:r>
      <w:r>
        <w:rPr>
          <w:color w:val="383636"/>
          <w:spacing w:val="-11"/>
        </w:rPr>
        <w:t> </w:t>
      </w:r>
      <w:r>
        <w:rPr>
          <w:color w:val="383636"/>
          <w:w w:val="119"/>
        </w:rPr>
        <w:t>how</w:t>
      </w:r>
      <w:r>
        <w:rPr>
          <w:color w:val="383636"/>
          <w:spacing w:val="-31"/>
        </w:rPr>
        <w:t> </w:t>
      </w:r>
      <w:r>
        <w:rPr>
          <w:color w:val="383636"/>
          <w:spacing w:val="-1"/>
          <w:w w:val="119"/>
        </w:rPr>
        <w:t>th</w:t>
      </w:r>
      <w:r>
        <w:rPr>
          <w:color w:val="383636"/>
          <w:w w:val="119"/>
        </w:rPr>
        <w:t>e</w:t>
      </w:r>
      <w:r>
        <w:rPr>
          <w:color w:val="383636"/>
          <w:spacing w:val="-7"/>
        </w:rPr>
        <w:t> </w:t>
      </w:r>
      <w:r>
        <w:rPr>
          <w:color w:val="383636"/>
          <w:spacing w:val="-1"/>
          <w:w w:val="110"/>
        </w:rPr>
        <w:t>write</w:t>
      </w:r>
      <w:r>
        <w:rPr>
          <w:color w:val="383636"/>
          <w:w w:val="110"/>
        </w:rPr>
        <w:t>r</w:t>
      </w:r>
      <w:r>
        <w:rPr>
          <w:color w:val="383636"/>
          <w:spacing w:val="-8"/>
        </w:rPr>
        <w:t> </w:t>
      </w:r>
      <w:r>
        <w:rPr>
          <w:color w:val="383636"/>
          <w:w w:val="109"/>
        </w:rPr>
        <w:t>uses</w:t>
      </w:r>
      <w:r>
        <w:rPr>
          <w:color w:val="383636"/>
          <w:spacing w:val="-17"/>
        </w:rPr>
        <w:t> </w:t>
      </w:r>
      <w:r>
        <w:rPr>
          <w:color w:val="383636"/>
          <w:spacing w:val="-1"/>
          <w:w w:val="116"/>
        </w:rPr>
        <w:t>alignmen</w:t>
      </w:r>
      <w:r>
        <w:rPr>
          <w:color w:val="383636"/>
          <w:w w:val="116"/>
        </w:rPr>
        <w:t>t</w:t>
      </w:r>
      <w:r>
        <w:rPr>
          <w:color w:val="383636"/>
          <w:spacing w:val="6"/>
        </w:rPr>
        <w:t> </w:t>
      </w:r>
      <w:r>
        <w:rPr>
          <w:color w:val="383636"/>
          <w:spacing w:val="-1"/>
          <w:w w:val="116"/>
        </w:rPr>
        <w:t>t</w:t>
      </w:r>
      <w:r>
        <w:rPr>
          <w:color w:val="383636"/>
          <w:w w:val="116"/>
        </w:rPr>
        <w:t>o</w:t>
      </w:r>
      <w:r>
        <w:rPr>
          <w:color w:val="383636"/>
          <w:spacing w:val="4"/>
        </w:rPr>
        <w:t> </w:t>
      </w:r>
      <w:r>
        <w:rPr>
          <w:color w:val="383636"/>
          <w:spacing w:val="-1"/>
          <w:w w:val="110"/>
        </w:rPr>
        <w:t>mak</w:t>
      </w:r>
      <w:r>
        <w:rPr>
          <w:color w:val="383636"/>
          <w:w w:val="110"/>
        </w:rPr>
        <w:t>e</w:t>
      </w:r>
      <w:r>
        <w:rPr>
          <w:color w:val="383636"/>
          <w:spacing w:val="-16"/>
        </w:rPr>
        <w:t> </w:t>
      </w:r>
      <w:r>
        <w:rPr>
          <w:color w:val="383636"/>
          <w:w w:val="111"/>
        </w:rPr>
        <w:t>obvi­ </w:t>
      </w:r>
      <w:r>
        <w:rPr>
          <w:color w:val="383636"/>
          <w:w w:val="115"/>
        </w:rPr>
        <w:t>ous the relationships between and among point h</w:t>
      </w:r>
      <w:r>
        <w:rPr>
          <w:color w:val="504F52"/>
          <w:w w:val="115"/>
        </w:rPr>
        <w:t>e</w:t>
      </w:r>
      <w:r>
        <w:rPr>
          <w:color w:val="383636"/>
          <w:w w:val="115"/>
        </w:rPr>
        <w:t>adings. Thi</w:t>
      </w:r>
      <w:r>
        <w:rPr>
          <w:color w:val="504F52"/>
          <w:w w:val="115"/>
        </w:rPr>
        <w:t>s </w:t>
      </w:r>
      <w:r>
        <w:rPr>
          <w:color w:val="383636"/>
          <w:w w:val="115"/>
        </w:rPr>
        <w:t>method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allows the user to find headings he or she </w:t>
      </w:r>
      <w:r>
        <w:rPr>
          <w:color w:val="504F52"/>
          <w:w w:val="115"/>
        </w:rPr>
        <w:t>c</w:t>
      </w:r>
      <w:r>
        <w:rPr>
          <w:color w:val="383636"/>
          <w:w w:val="115"/>
        </w:rPr>
        <w:t>ares about more easily or to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choose</w:t>
      </w:r>
      <w:r>
        <w:rPr>
          <w:color w:val="383636"/>
          <w:spacing w:val="-7"/>
          <w:w w:val="115"/>
        </w:rPr>
        <w:t> </w:t>
      </w:r>
      <w:r>
        <w:rPr>
          <w:color w:val="383636"/>
          <w:w w:val="115"/>
        </w:rPr>
        <w:t>which</w:t>
      </w:r>
      <w:r>
        <w:rPr>
          <w:color w:val="383636"/>
          <w:spacing w:val="-10"/>
          <w:w w:val="115"/>
        </w:rPr>
        <w:t> </w:t>
      </w:r>
      <w:r>
        <w:rPr>
          <w:color w:val="383636"/>
          <w:w w:val="115"/>
        </w:rPr>
        <w:t>level</w:t>
      </w:r>
      <w:r>
        <w:rPr>
          <w:color w:val="383636"/>
          <w:spacing w:val="-15"/>
          <w:w w:val="115"/>
        </w:rPr>
        <w:t> </w:t>
      </w:r>
      <w:r>
        <w:rPr>
          <w:color w:val="383636"/>
          <w:w w:val="115"/>
        </w:rPr>
        <w:t>of</w:t>
      </w:r>
      <w:r>
        <w:rPr>
          <w:color w:val="383636"/>
          <w:spacing w:val="5"/>
          <w:w w:val="115"/>
        </w:rPr>
        <w:t> </w:t>
      </w:r>
      <w:r>
        <w:rPr>
          <w:color w:val="383636"/>
          <w:w w:val="115"/>
        </w:rPr>
        <w:t>headings</w:t>
      </w:r>
      <w:r>
        <w:rPr>
          <w:color w:val="383636"/>
          <w:spacing w:val="2"/>
          <w:w w:val="115"/>
        </w:rPr>
        <w:t> </w:t>
      </w:r>
      <w:r>
        <w:rPr>
          <w:color w:val="383636"/>
          <w:w w:val="115"/>
        </w:rPr>
        <w:t>to review.</w:t>
      </w:r>
    </w:p>
    <w:p>
      <w:pPr>
        <w:pStyle w:val="BodyText"/>
        <w:spacing w:before="11"/>
        <w:rPr>
          <w:sz w:val="18"/>
        </w:rPr>
      </w:pPr>
    </w:p>
    <w:p>
      <w:pPr>
        <w:tabs>
          <w:tab w:pos="440" w:val="left" w:leader="none"/>
        </w:tabs>
        <w:spacing w:before="0"/>
        <w:ind w:left="107" w:right="0" w:firstLine="0"/>
        <w:jc w:val="left"/>
        <w:rPr>
          <w:rFonts w:ascii="Arial"/>
          <w:sz w:val="14"/>
        </w:rPr>
      </w:pPr>
      <w:r>
        <w:rPr>
          <w:rFonts w:ascii="Arial"/>
          <w:color w:val="504F52"/>
          <w:w w:val="100"/>
          <w:sz w:val="14"/>
          <w:u w:val="thick" w:color="504F52"/>
        </w:rPr>
        <w:t> </w:t>
      </w:r>
      <w:r>
        <w:rPr>
          <w:rFonts w:ascii="Arial"/>
          <w:color w:val="504F52"/>
          <w:sz w:val="14"/>
          <w:u w:val="thick" w:color="504F52"/>
        </w:rPr>
        <w:tab/>
      </w:r>
      <w:r>
        <w:rPr>
          <w:rFonts w:ascii="Arial"/>
          <w:color w:val="504F52"/>
          <w:sz w:val="14"/>
        </w:rPr>
        <w:t>   </w:t>
      </w:r>
      <w:r>
        <w:rPr>
          <w:rFonts w:ascii="Arial"/>
          <w:color w:val="504F52"/>
          <w:spacing w:val="7"/>
          <w:sz w:val="14"/>
        </w:rPr>
        <w:t> </w:t>
      </w:r>
      <w:r>
        <w:rPr>
          <w:rFonts w:ascii="Arial"/>
          <w:color w:val="504F52"/>
          <w:w w:val="110"/>
          <w:sz w:val="14"/>
          <w:u w:val="thick" w:color="6E6E70"/>
        </w:rPr>
        <w:t>GOO</w:t>
      </w:r>
      <w:r>
        <w:rPr>
          <w:rFonts w:ascii="Arial"/>
          <w:color w:val="6E6E70"/>
          <w:w w:val="110"/>
          <w:sz w:val="14"/>
          <w:u w:val="thick" w:color="6E6E70"/>
        </w:rPr>
        <w:t>D</w:t>
      </w:r>
      <w:r>
        <w:rPr>
          <w:rFonts w:ascii="Arial"/>
          <w:color w:val="6E6E70"/>
          <w:spacing w:val="4"/>
          <w:w w:val="110"/>
          <w:sz w:val="14"/>
          <w:u w:val="thick" w:color="6E6E70"/>
        </w:rPr>
        <w:t> </w:t>
      </w:r>
      <w:r>
        <w:rPr>
          <w:rFonts w:ascii="Arial"/>
          <w:color w:val="6E6E70"/>
          <w:w w:val="110"/>
          <w:sz w:val="14"/>
          <w:u w:val="thick" w:color="6E6E70"/>
        </w:rPr>
        <w:t>EXAMPLE</w:t>
      </w:r>
    </w:p>
    <w:p>
      <w:pPr>
        <w:tabs>
          <w:tab w:pos="5457" w:val="left" w:leader="dot"/>
        </w:tabs>
        <w:spacing w:line="227" w:lineRule="exact" w:before="91"/>
        <w:ind w:left="590" w:right="0" w:firstLine="0"/>
        <w:jc w:val="both"/>
        <w:rPr>
          <w:rFonts w:ascii="Arial" w:hAnsi="Arial"/>
          <w:b/>
          <w:sz w:val="20"/>
        </w:rPr>
      </w:pPr>
      <w:r>
        <w:rPr>
          <w:color w:val="383636"/>
          <w:w w:val="130"/>
          <w:sz w:val="20"/>
        </w:rPr>
        <w:t>ARGUMENf</w:t>
      </w:r>
      <w:r>
        <w:rPr>
          <w:color w:val="383636"/>
          <w:spacing w:val="-22"/>
          <w:w w:val="130"/>
          <w:sz w:val="20"/>
        </w:rPr>
        <w:t> </w:t>
      </w:r>
      <w:r>
        <w:rPr>
          <w:color w:val="383636"/>
          <w:w w:val="180"/>
          <w:sz w:val="20"/>
        </w:rPr>
        <w:t>.••</w:t>
      </w:r>
      <w:r>
        <w:rPr>
          <w:color w:val="504F52"/>
          <w:w w:val="180"/>
          <w:sz w:val="20"/>
        </w:rPr>
        <w:t>••</w:t>
      </w:r>
      <w:r>
        <w:rPr>
          <w:color w:val="383636"/>
          <w:w w:val="180"/>
          <w:sz w:val="20"/>
        </w:rPr>
        <w:t>..</w:t>
      </w:r>
      <w:r>
        <w:rPr>
          <w:color w:val="504F52"/>
          <w:w w:val="180"/>
          <w:sz w:val="20"/>
        </w:rPr>
        <w:t>•</w:t>
      </w:r>
      <w:r>
        <w:rPr>
          <w:color w:val="383636"/>
          <w:w w:val="180"/>
          <w:sz w:val="20"/>
        </w:rPr>
        <w:t>•••</w:t>
      </w:r>
      <w:r>
        <w:rPr>
          <w:color w:val="504F52"/>
          <w:w w:val="180"/>
          <w:sz w:val="20"/>
        </w:rPr>
        <w:t>.</w:t>
      </w:r>
      <w:r>
        <w:rPr>
          <w:color w:val="383636"/>
          <w:w w:val="180"/>
          <w:sz w:val="20"/>
        </w:rPr>
        <w:t>.</w:t>
      </w:r>
      <w:r>
        <w:rPr>
          <w:color w:val="504F52"/>
          <w:w w:val="180"/>
          <w:sz w:val="20"/>
        </w:rPr>
        <w:t>••</w:t>
      </w:r>
      <w:r>
        <w:rPr>
          <w:color w:val="383636"/>
          <w:w w:val="180"/>
          <w:sz w:val="20"/>
        </w:rPr>
        <w:t>...</w:t>
      </w:r>
      <w:r>
        <w:rPr>
          <w:color w:val="504F52"/>
          <w:w w:val="180"/>
          <w:sz w:val="20"/>
        </w:rPr>
        <w:t>.</w:t>
      </w:r>
      <w:r>
        <w:rPr>
          <w:color w:val="383636"/>
          <w:w w:val="180"/>
          <w:sz w:val="20"/>
        </w:rPr>
        <w:t>...•</w:t>
        <w:tab/>
      </w:r>
      <w:r>
        <w:rPr>
          <w:color w:val="383636"/>
          <w:w w:val="190"/>
          <w:sz w:val="20"/>
        </w:rPr>
        <w:t>•.••</w:t>
      </w:r>
      <w:r>
        <w:rPr>
          <w:color w:val="504F52"/>
          <w:w w:val="190"/>
          <w:sz w:val="20"/>
        </w:rPr>
        <w:t>•</w:t>
      </w:r>
      <w:r>
        <w:rPr>
          <w:color w:val="383636"/>
          <w:w w:val="190"/>
          <w:sz w:val="20"/>
        </w:rPr>
        <w:t>.</w:t>
      </w:r>
      <w:r>
        <w:rPr>
          <w:color w:val="504F52"/>
          <w:w w:val="190"/>
          <w:sz w:val="20"/>
        </w:rPr>
        <w:t>•</w:t>
      </w:r>
      <w:r>
        <w:rPr>
          <w:color w:val="6E6E70"/>
          <w:w w:val="190"/>
          <w:sz w:val="20"/>
        </w:rPr>
        <w:t>••</w:t>
      </w:r>
      <w:r>
        <w:rPr>
          <w:color w:val="383636"/>
          <w:w w:val="190"/>
          <w:sz w:val="20"/>
        </w:rPr>
        <w:t>.</w:t>
      </w:r>
      <w:r>
        <w:rPr>
          <w:color w:val="504F52"/>
          <w:w w:val="190"/>
          <w:sz w:val="20"/>
        </w:rPr>
        <w:t>•</w:t>
      </w:r>
      <w:r>
        <w:rPr>
          <w:color w:val="383636"/>
          <w:w w:val="190"/>
          <w:sz w:val="20"/>
        </w:rPr>
        <w:t>.•</w:t>
      </w:r>
      <w:r>
        <w:rPr>
          <w:color w:val="6E6E70"/>
          <w:w w:val="190"/>
          <w:sz w:val="20"/>
        </w:rPr>
        <w:t>.</w:t>
      </w:r>
      <w:r>
        <w:rPr>
          <w:color w:val="6E6E70"/>
          <w:spacing w:val="67"/>
          <w:w w:val="190"/>
          <w:sz w:val="20"/>
        </w:rPr>
        <w:t> </w:t>
      </w:r>
      <w:r>
        <w:rPr>
          <w:rFonts w:ascii="Arial" w:hAnsi="Arial"/>
          <w:b/>
          <w:color w:val="383636"/>
          <w:w w:val="190"/>
          <w:sz w:val="20"/>
        </w:rPr>
        <w:t>8</w:t>
      </w:r>
    </w:p>
    <w:p>
      <w:pPr>
        <w:pStyle w:val="ListParagraph"/>
        <w:numPr>
          <w:ilvl w:val="0"/>
          <w:numId w:val="105"/>
        </w:numPr>
        <w:tabs>
          <w:tab w:pos="1092" w:val="left" w:leader="none"/>
        </w:tabs>
        <w:spacing w:line="235" w:lineRule="auto" w:before="0" w:after="0"/>
        <w:ind w:left="1085" w:right="1046" w:hanging="489"/>
        <w:jc w:val="both"/>
        <w:rPr>
          <w:sz w:val="21"/>
        </w:rPr>
      </w:pPr>
      <w:r>
        <w:rPr>
          <w:color w:val="383636"/>
          <w:w w:val="115"/>
          <w:sz w:val="21"/>
        </w:rPr>
        <w:t>As temporary business Invitees present in another's residence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for the sole purpose of packaging drugs, Respondents had no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spacing w:val="-1"/>
          <w:w w:val="120"/>
          <w:sz w:val="21"/>
        </w:rPr>
        <w:t>legitimate</w:t>
      </w:r>
      <w:r>
        <w:rPr>
          <w:color w:val="383636"/>
          <w:spacing w:val="-16"/>
          <w:w w:val="120"/>
          <w:sz w:val="21"/>
        </w:rPr>
        <w:t> </w:t>
      </w:r>
      <w:r>
        <w:rPr>
          <w:color w:val="383636"/>
          <w:w w:val="120"/>
          <w:sz w:val="21"/>
        </w:rPr>
        <w:t>expectation</w:t>
      </w:r>
      <w:r>
        <w:rPr>
          <w:color w:val="383636"/>
          <w:spacing w:val="-2"/>
          <w:w w:val="120"/>
          <w:sz w:val="21"/>
        </w:rPr>
        <w:t> </w:t>
      </w:r>
      <w:r>
        <w:rPr>
          <w:color w:val="383636"/>
          <w:w w:val="120"/>
          <w:sz w:val="21"/>
        </w:rPr>
        <w:t>of</w:t>
      </w:r>
      <w:r>
        <w:rPr>
          <w:color w:val="383636"/>
          <w:spacing w:val="-5"/>
          <w:w w:val="120"/>
          <w:sz w:val="21"/>
        </w:rPr>
        <w:t> </w:t>
      </w:r>
      <w:r>
        <w:rPr>
          <w:color w:val="383636"/>
          <w:w w:val="120"/>
          <w:sz w:val="21"/>
        </w:rPr>
        <w:t>priv</w:t>
      </w:r>
      <w:r>
        <w:rPr>
          <w:color w:val="504F52"/>
          <w:w w:val="120"/>
          <w:sz w:val="21"/>
        </w:rPr>
        <w:t>a</w:t>
      </w:r>
      <w:r>
        <w:rPr>
          <w:color w:val="383636"/>
          <w:w w:val="120"/>
          <w:sz w:val="21"/>
        </w:rPr>
        <w:t>cy</w:t>
      </w:r>
      <w:r>
        <w:rPr>
          <w:color w:val="383636"/>
          <w:spacing w:val="10"/>
          <w:w w:val="120"/>
          <w:sz w:val="21"/>
        </w:rPr>
        <w:t> </w:t>
      </w:r>
      <w:r>
        <w:rPr>
          <w:color w:val="383636"/>
          <w:w w:val="120"/>
          <w:sz w:val="21"/>
        </w:rPr>
        <w:t>and,</w:t>
      </w:r>
      <w:r>
        <w:rPr>
          <w:color w:val="383636"/>
          <w:spacing w:val="-16"/>
          <w:w w:val="120"/>
          <w:sz w:val="21"/>
        </w:rPr>
        <w:t> </w:t>
      </w:r>
      <w:r>
        <w:rPr>
          <w:color w:val="383636"/>
          <w:w w:val="120"/>
          <w:sz w:val="21"/>
        </w:rPr>
        <w:t>thus</w:t>
      </w:r>
      <w:r>
        <w:rPr>
          <w:color w:val="504F52"/>
          <w:w w:val="120"/>
          <w:sz w:val="21"/>
        </w:rPr>
        <w:t>,</w:t>
      </w:r>
      <w:r>
        <w:rPr>
          <w:color w:val="504F52"/>
          <w:spacing w:val="8"/>
          <w:w w:val="120"/>
          <w:sz w:val="21"/>
        </w:rPr>
        <w:t> </w:t>
      </w:r>
      <w:r>
        <w:rPr>
          <w:color w:val="383636"/>
          <w:w w:val="120"/>
          <w:sz w:val="21"/>
        </w:rPr>
        <w:t>may</w:t>
      </w:r>
      <w:r>
        <w:rPr>
          <w:color w:val="383636"/>
          <w:spacing w:val="4"/>
          <w:w w:val="120"/>
          <w:sz w:val="21"/>
        </w:rPr>
        <w:t> </w:t>
      </w:r>
      <w:r>
        <w:rPr>
          <w:color w:val="383636"/>
          <w:w w:val="120"/>
          <w:sz w:val="21"/>
        </w:rPr>
        <w:t>not</w:t>
      </w:r>
      <w:r>
        <w:rPr>
          <w:color w:val="383636"/>
          <w:spacing w:val="14"/>
          <w:w w:val="120"/>
          <w:sz w:val="21"/>
        </w:rPr>
        <w:t> </w:t>
      </w:r>
      <w:r>
        <w:rPr>
          <w:color w:val="383636"/>
          <w:w w:val="120"/>
          <w:sz w:val="21"/>
        </w:rPr>
        <w:t>invoke</w:t>
      </w:r>
    </w:p>
    <w:p>
      <w:pPr>
        <w:tabs>
          <w:tab w:pos="7356" w:val="left" w:leader="dot"/>
        </w:tabs>
        <w:spacing w:line="231" w:lineRule="exact" w:before="0"/>
        <w:ind w:left="1091" w:right="0" w:firstLine="0"/>
        <w:jc w:val="both"/>
        <w:rPr>
          <w:rFonts w:ascii="Arial"/>
          <w:b/>
          <w:sz w:val="18"/>
        </w:rPr>
      </w:pPr>
      <w:r>
        <w:rPr>
          <w:color w:val="383636"/>
          <w:w w:val="120"/>
          <w:sz w:val="21"/>
        </w:rPr>
        <w:t>the</w:t>
      </w:r>
      <w:r>
        <w:rPr>
          <w:color w:val="383636"/>
          <w:spacing w:val="-16"/>
          <w:w w:val="120"/>
          <w:sz w:val="21"/>
        </w:rPr>
        <w:t> </w:t>
      </w:r>
      <w:r>
        <w:rPr>
          <w:color w:val="383636"/>
          <w:w w:val="120"/>
          <w:sz w:val="21"/>
        </w:rPr>
        <w:t>Fourth</w:t>
      </w:r>
      <w:r>
        <w:rPr>
          <w:color w:val="383636"/>
          <w:spacing w:val="-7"/>
          <w:w w:val="120"/>
          <w:sz w:val="21"/>
        </w:rPr>
        <w:t> </w:t>
      </w:r>
      <w:r>
        <w:rPr>
          <w:color w:val="383636"/>
          <w:w w:val="120"/>
          <w:sz w:val="21"/>
        </w:rPr>
        <w:t>Amendment'</w:t>
      </w:r>
      <w:r>
        <w:rPr>
          <w:color w:val="504F52"/>
          <w:w w:val="120"/>
          <w:sz w:val="21"/>
        </w:rPr>
        <w:t>s</w:t>
      </w:r>
      <w:r>
        <w:rPr>
          <w:color w:val="504F52"/>
          <w:spacing w:val="-1"/>
          <w:w w:val="120"/>
          <w:sz w:val="21"/>
        </w:rPr>
        <w:t> </w:t>
      </w:r>
      <w:r>
        <w:rPr>
          <w:color w:val="383636"/>
          <w:w w:val="120"/>
          <w:sz w:val="21"/>
        </w:rPr>
        <w:t>protections</w:t>
        <w:tab/>
      </w:r>
      <w:r>
        <w:rPr>
          <w:rFonts w:ascii="Arial"/>
          <w:b/>
          <w:color w:val="383636"/>
          <w:w w:val="195"/>
          <w:sz w:val="18"/>
        </w:rPr>
        <w:t>8</w:t>
      </w:r>
    </w:p>
    <w:p>
      <w:pPr>
        <w:pStyle w:val="ListParagraph"/>
        <w:numPr>
          <w:ilvl w:val="1"/>
          <w:numId w:val="105"/>
        </w:numPr>
        <w:tabs>
          <w:tab w:pos="1369" w:val="left" w:leader="none"/>
          <w:tab w:pos="1370" w:val="left" w:leader="none"/>
        </w:tabs>
        <w:spacing w:line="230" w:lineRule="auto" w:before="7" w:after="0"/>
        <w:ind w:left="1366" w:right="1064" w:hanging="642"/>
        <w:jc w:val="left"/>
        <w:rPr>
          <w:sz w:val="21"/>
        </w:rPr>
      </w:pPr>
      <w:r>
        <w:rPr>
          <w:color w:val="383636"/>
          <w:w w:val="120"/>
          <w:sz w:val="21"/>
        </w:rPr>
        <w:t>Respondents failed to meet their burden of proving that</w:t>
      </w:r>
      <w:r>
        <w:rPr>
          <w:color w:val="383636"/>
          <w:spacing w:val="1"/>
          <w:w w:val="120"/>
          <w:sz w:val="21"/>
        </w:rPr>
        <w:t> </w:t>
      </w:r>
      <w:r>
        <w:rPr>
          <w:color w:val="383636"/>
          <w:w w:val="115"/>
          <w:sz w:val="21"/>
        </w:rPr>
        <w:t>they had a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legitim</w:t>
      </w:r>
      <w:r>
        <w:rPr>
          <w:color w:val="504F52"/>
          <w:w w:val="115"/>
          <w:sz w:val="21"/>
        </w:rPr>
        <w:t>a</w:t>
      </w:r>
      <w:r>
        <w:rPr>
          <w:color w:val="383636"/>
          <w:w w:val="115"/>
          <w:sz w:val="21"/>
        </w:rPr>
        <w:t>te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expectation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of privacy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5"/>
          <w:sz w:val="21"/>
        </w:rPr>
        <w:t>because they</w:t>
      </w:r>
      <w:r>
        <w:rPr>
          <w:color w:val="383636"/>
          <w:spacing w:val="-58"/>
          <w:w w:val="115"/>
          <w:sz w:val="21"/>
        </w:rPr>
        <w:t> </w:t>
      </w:r>
      <w:r>
        <w:rPr>
          <w:color w:val="383636"/>
          <w:w w:val="120"/>
          <w:sz w:val="21"/>
        </w:rPr>
        <w:t>introduced</w:t>
      </w:r>
      <w:r>
        <w:rPr>
          <w:color w:val="383636"/>
          <w:spacing w:val="5"/>
          <w:w w:val="120"/>
          <w:sz w:val="21"/>
        </w:rPr>
        <w:t> </w:t>
      </w:r>
      <w:r>
        <w:rPr>
          <w:color w:val="383636"/>
          <w:w w:val="120"/>
          <w:sz w:val="21"/>
        </w:rPr>
        <w:t>absolutely</w:t>
      </w:r>
      <w:r>
        <w:rPr>
          <w:color w:val="383636"/>
          <w:spacing w:val="15"/>
          <w:w w:val="120"/>
          <w:sz w:val="21"/>
        </w:rPr>
        <w:t> </w:t>
      </w:r>
      <w:r>
        <w:rPr>
          <w:color w:val="383636"/>
          <w:w w:val="120"/>
          <w:sz w:val="21"/>
        </w:rPr>
        <w:t>no</w:t>
      </w:r>
      <w:r>
        <w:rPr>
          <w:color w:val="383636"/>
          <w:spacing w:val="-8"/>
          <w:w w:val="120"/>
          <w:sz w:val="21"/>
        </w:rPr>
        <w:t> </w:t>
      </w:r>
      <w:r>
        <w:rPr>
          <w:color w:val="383636"/>
          <w:w w:val="120"/>
          <w:sz w:val="21"/>
        </w:rPr>
        <w:t>evidence</w:t>
      </w:r>
      <w:r>
        <w:rPr>
          <w:color w:val="383636"/>
          <w:spacing w:val="-10"/>
          <w:w w:val="120"/>
          <w:sz w:val="21"/>
        </w:rPr>
        <w:t> </w:t>
      </w:r>
      <w:r>
        <w:rPr>
          <w:color w:val="383636"/>
          <w:w w:val="120"/>
          <w:sz w:val="21"/>
        </w:rPr>
        <w:t>regarding</w:t>
      </w:r>
      <w:r>
        <w:rPr>
          <w:color w:val="383636"/>
          <w:spacing w:val="-8"/>
          <w:w w:val="120"/>
          <w:sz w:val="21"/>
        </w:rPr>
        <w:t> </w:t>
      </w:r>
      <w:r>
        <w:rPr>
          <w:color w:val="383636"/>
          <w:w w:val="120"/>
          <w:sz w:val="21"/>
        </w:rPr>
        <w:t>their</w:t>
      </w:r>
      <w:r>
        <w:rPr>
          <w:color w:val="383636"/>
          <w:spacing w:val="-13"/>
          <w:w w:val="120"/>
          <w:sz w:val="21"/>
        </w:rPr>
        <w:t> </w:t>
      </w:r>
      <w:r>
        <w:rPr>
          <w:color w:val="383636"/>
          <w:w w:val="120"/>
          <w:sz w:val="21"/>
        </w:rPr>
        <w:t>status</w:t>
      </w:r>
    </w:p>
    <w:p>
      <w:pPr>
        <w:tabs>
          <w:tab w:pos="7261" w:val="left" w:leader="dot"/>
        </w:tabs>
        <w:spacing w:before="0"/>
        <w:ind w:left="1376" w:right="0" w:firstLine="0"/>
        <w:jc w:val="left"/>
        <w:rPr>
          <w:sz w:val="21"/>
        </w:rPr>
      </w:pPr>
      <w:r>
        <w:rPr>
          <w:color w:val="383636"/>
          <w:w w:val="120"/>
          <w:sz w:val="21"/>
        </w:rPr>
        <w:t>in</w:t>
      </w:r>
      <w:r>
        <w:rPr>
          <w:color w:val="383636"/>
          <w:spacing w:val="-13"/>
          <w:w w:val="120"/>
          <w:sz w:val="21"/>
        </w:rPr>
        <w:t> </w:t>
      </w:r>
      <w:r>
        <w:rPr>
          <w:color w:val="383636"/>
          <w:w w:val="120"/>
          <w:sz w:val="21"/>
        </w:rPr>
        <w:t>Thompson's apartment</w:t>
        <w:tab/>
      </w:r>
      <w:r>
        <w:rPr>
          <w:color w:val="383636"/>
          <w:w w:val="200"/>
          <w:sz w:val="21"/>
        </w:rPr>
        <w:t>10</w:t>
      </w:r>
    </w:p>
    <w:p>
      <w:pPr>
        <w:spacing w:after="0"/>
        <w:jc w:val="left"/>
        <w:rPr>
          <w:sz w:val="21"/>
        </w:rPr>
        <w:sectPr>
          <w:headerReference w:type="default" r:id="rId313"/>
          <w:headerReference w:type="even" r:id="rId314"/>
          <w:pgSz w:w="9760" w:h="13990"/>
          <w:pgMar w:header="597" w:footer="0" w:top="780" w:bottom="0" w:left="180" w:right="1360"/>
          <w:pgNumType w:start="277"/>
        </w:sectPr>
      </w:pPr>
    </w:p>
    <w:p>
      <w:pPr>
        <w:pStyle w:val="ListParagraph"/>
        <w:numPr>
          <w:ilvl w:val="0"/>
          <w:numId w:val="104"/>
        </w:numPr>
        <w:tabs>
          <w:tab w:pos="1810" w:val="left" w:leader="none"/>
          <w:tab w:pos="1811" w:val="left" w:leader="none"/>
        </w:tabs>
        <w:spacing w:line="235" w:lineRule="auto" w:before="85" w:after="0"/>
        <w:ind w:left="1803" w:right="1061" w:hanging="648"/>
        <w:jc w:val="left"/>
        <w:rPr>
          <w:color w:val="363436"/>
          <w:sz w:val="21"/>
        </w:rPr>
      </w:pPr>
      <w:r>
        <w:rPr>
          <w:color w:val="363436"/>
          <w:w w:val="115"/>
          <w:sz w:val="21"/>
        </w:rPr>
        <w:t>Respondents had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no legitimate expectation of privacy</w:t>
      </w:r>
      <w:r>
        <w:rPr>
          <w:color w:val="363436"/>
          <w:spacing w:val="-58"/>
          <w:w w:val="115"/>
          <w:sz w:val="21"/>
        </w:rPr>
        <w:t> </w:t>
      </w:r>
      <w:r>
        <w:rPr>
          <w:color w:val="363436"/>
          <w:w w:val="115"/>
          <w:sz w:val="21"/>
        </w:rPr>
        <w:t>because any subjective expectation they might </w:t>
      </w:r>
      <w:r>
        <w:rPr>
          <w:b/>
          <w:color w:val="363436"/>
          <w:w w:val="115"/>
          <w:sz w:val="21"/>
        </w:rPr>
        <w:t>have</w:t>
      </w:r>
      <w:r>
        <w:rPr>
          <w:b/>
          <w:color w:val="363436"/>
          <w:spacing w:val="1"/>
          <w:w w:val="115"/>
          <w:sz w:val="21"/>
        </w:rPr>
        <w:t> </w:t>
      </w:r>
      <w:r>
        <w:rPr>
          <w:color w:val="363436"/>
          <w:w w:val="115"/>
          <w:sz w:val="21"/>
        </w:rPr>
        <w:t>had</w:t>
      </w:r>
      <w:r>
        <w:rPr>
          <w:color w:val="363436"/>
          <w:spacing w:val="36"/>
          <w:w w:val="115"/>
          <w:sz w:val="21"/>
        </w:rPr>
        <w:t> </w:t>
      </w:r>
      <w:r>
        <w:rPr>
          <w:color w:val="363436"/>
          <w:w w:val="115"/>
          <w:sz w:val="21"/>
        </w:rPr>
        <w:t>while</w:t>
      </w:r>
      <w:r>
        <w:rPr>
          <w:color w:val="363436"/>
          <w:spacing w:val="-1"/>
          <w:w w:val="115"/>
          <w:sz w:val="21"/>
        </w:rPr>
        <w:t> </w:t>
      </w:r>
      <w:r>
        <w:rPr>
          <w:color w:val="363436"/>
          <w:w w:val="115"/>
          <w:sz w:val="21"/>
        </w:rPr>
        <w:t>temporarily</w:t>
      </w:r>
      <w:r>
        <w:rPr>
          <w:color w:val="363436"/>
          <w:spacing w:val="14"/>
          <w:w w:val="115"/>
          <w:sz w:val="21"/>
        </w:rPr>
        <w:t> </w:t>
      </w:r>
      <w:r>
        <w:rPr>
          <w:color w:val="363436"/>
          <w:w w:val="115"/>
          <w:sz w:val="21"/>
        </w:rPr>
        <w:t>in</w:t>
      </w:r>
      <w:r>
        <w:rPr>
          <w:color w:val="363436"/>
          <w:spacing w:val="12"/>
          <w:w w:val="115"/>
          <w:sz w:val="21"/>
        </w:rPr>
        <w:t> </w:t>
      </w:r>
      <w:r>
        <w:rPr>
          <w:color w:val="363436"/>
          <w:w w:val="115"/>
          <w:sz w:val="21"/>
        </w:rPr>
        <w:t>another's</w:t>
      </w:r>
      <w:r>
        <w:rPr>
          <w:color w:val="363436"/>
          <w:spacing w:val="5"/>
          <w:w w:val="115"/>
          <w:sz w:val="21"/>
        </w:rPr>
        <w:t> </w:t>
      </w:r>
      <w:r>
        <w:rPr>
          <w:color w:val="363436"/>
          <w:w w:val="115"/>
          <w:sz w:val="21"/>
        </w:rPr>
        <w:t>home</w:t>
      </w:r>
      <w:r>
        <w:rPr>
          <w:color w:val="363436"/>
          <w:spacing w:val="-8"/>
          <w:w w:val="115"/>
          <w:sz w:val="21"/>
        </w:rPr>
        <w:t> </w:t>
      </w:r>
      <w:r>
        <w:rPr>
          <w:color w:val="363436"/>
          <w:w w:val="115"/>
          <w:sz w:val="21"/>
        </w:rPr>
        <w:t>for</w:t>
      </w:r>
      <w:r>
        <w:rPr>
          <w:color w:val="363436"/>
          <w:spacing w:val="-5"/>
          <w:w w:val="115"/>
          <w:sz w:val="21"/>
        </w:rPr>
        <w:t> </w:t>
      </w:r>
      <w:r>
        <w:rPr>
          <w:color w:val="363436"/>
          <w:w w:val="115"/>
          <w:sz w:val="21"/>
        </w:rPr>
        <w:t>the</w:t>
      </w:r>
      <w:r>
        <w:rPr>
          <w:color w:val="363436"/>
          <w:spacing w:val="7"/>
          <w:w w:val="115"/>
          <w:sz w:val="21"/>
        </w:rPr>
        <w:t> </w:t>
      </w:r>
      <w:r>
        <w:rPr>
          <w:color w:val="363436"/>
          <w:w w:val="115"/>
          <w:sz w:val="21"/>
        </w:rPr>
        <w:t>sole</w:t>
      </w:r>
    </w:p>
    <w:p>
      <w:pPr>
        <w:tabs>
          <w:tab w:pos="7479" w:val="left" w:leader="dot"/>
        </w:tabs>
        <w:spacing w:line="230" w:lineRule="auto" w:before="7"/>
        <w:ind w:left="1793" w:right="197" w:firstLine="2"/>
        <w:jc w:val="left"/>
        <w:rPr>
          <w:sz w:val="21"/>
        </w:rPr>
      </w:pPr>
      <w:r>
        <w:rPr>
          <w:color w:val="363436"/>
          <w:w w:val="115"/>
          <w:sz w:val="21"/>
        </w:rPr>
        <w:t>purpose of conducting illegal business was not one society</w:t>
      </w:r>
      <w:r>
        <w:rPr>
          <w:color w:val="363436"/>
          <w:spacing w:val="1"/>
          <w:w w:val="115"/>
          <w:sz w:val="21"/>
        </w:rPr>
        <w:t> </w:t>
      </w:r>
      <w:r>
        <w:rPr>
          <w:color w:val="363436"/>
          <w:w w:val="110"/>
          <w:sz w:val="21"/>
        </w:rPr>
        <w:t>recognizes</w:t>
      </w:r>
      <w:r>
        <w:rPr>
          <w:color w:val="363436"/>
          <w:spacing w:val="1"/>
          <w:w w:val="110"/>
          <w:sz w:val="21"/>
        </w:rPr>
        <w:t> </w:t>
      </w:r>
      <w:r>
        <w:rPr>
          <w:color w:val="363436"/>
          <w:w w:val="110"/>
          <w:sz w:val="21"/>
        </w:rPr>
        <w:t>as</w:t>
      </w:r>
      <w:r>
        <w:rPr>
          <w:color w:val="363436"/>
          <w:spacing w:val="22"/>
          <w:w w:val="110"/>
          <w:sz w:val="21"/>
        </w:rPr>
        <w:t> </w:t>
      </w:r>
      <w:r>
        <w:rPr>
          <w:color w:val="363436"/>
          <w:w w:val="110"/>
          <w:sz w:val="21"/>
        </w:rPr>
        <w:t>reasonable</w:t>
        <w:tab/>
      </w:r>
      <w:r>
        <w:rPr>
          <w:color w:val="363436"/>
          <w:w w:val="190"/>
          <w:sz w:val="21"/>
        </w:rPr>
        <w:t>11</w:t>
      </w:r>
    </w:p>
    <w:p>
      <w:pPr>
        <w:pStyle w:val="ListParagraph"/>
        <w:numPr>
          <w:ilvl w:val="0"/>
          <w:numId w:val="106"/>
        </w:numPr>
        <w:tabs>
          <w:tab w:pos="2540" w:val="left" w:leader="none"/>
          <w:tab w:pos="2541" w:val="left" w:leader="none"/>
        </w:tabs>
        <w:spacing w:line="240" w:lineRule="auto" w:before="0" w:after="0"/>
        <w:ind w:left="2545" w:right="715" w:hanging="762"/>
        <w:jc w:val="left"/>
        <w:rPr>
          <w:rFonts w:ascii="Arial"/>
          <w:color w:val="363436"/>
          <w:sz w:val="19"/>
        </w:rPr>
      </w:pPr>
      <w:r>
        <w:rPr>
          <w:color w:val="363436"/>
          <w:spacing w:val="-1"/>
          <w:w w:val="217"/>
          <w:sz w:val="21"/>
        </w:rPr>
        <w:t>T</w:t>
      </w:r>
      <w:r>
        <w:rPr>
          <w:color w:val="363436"/>
          <w:spacing w:val="-101"/>
          <w:w w:val="217"/>
          <w:sz w:val="21"/>
        </w:rPr>
        <w:t>h</w:t>
      </w:r>
      <w:r>
        <w:rPr>
          <w:color w:val="363436"/>
          <w:w w:val="127"/>
          <w:sz w:val="19"/>
        </w:rPr>
        <w:t>.</w:t>
      </w:r>
      <w:r>
        <w:rPr>
          <w:color w:val="363436"/>
          <w:spacing w:val="-136"/>
          <w:w w:val="127"/>
          <w:sz w:val="19"/>
        </w:rPr>
        <w:t>Q</w:t>
      </w:r>
      <w:r>
        <w:rPr>
          <w:color w:val="363436"/>
          <w:spacing w:val="-68"/>
          <w:w w:val="217"/>
          <w:sz w:val="21"/>
        </w:rPr>
        <w:t>e</w:t>
      </w:r>
      <w:r>
        <w:rPr>
          <w:color w:val="363436"/>
          <w:w w:val="127"/>
          <w:sz w:val="19"/>
        </w:rPr>
        <w:t>wm</w:t>
      </w:r>
      <w:r>
        <w:rPr>
          <w:color w:val="363436"/>
          <w:spacing w:val="1"/>
          <w:sz w:val="19"/>
        </w:rPr>
        <w:t> </w:t>
      </w:r>
      <w:r>
        <w:rPr>
          <w:color w:val="363436"/>
          <w:w w:val="118"/>
          <w:sz w:val="21"/>
        </w:rPr>
        <w:t>rule</w:t>
      </w:r>
      <w:r>
        <w:rPr>
          <w:color w:val="363436"/>
          <w:spacing w:val="-12"/>
          <w:sz w:val="21"/>
        </w:rPr>
        <w:t> </w:t>
      </w:r>
      <w:r>
        <w:rPr>
          <w:color w:val="363436"/>
          <w:w w:val="119"/>
          <w:sz w:val="21"/>
        </w:rPr>
        <w:t>dictates</w:t>
      </w:r>
      <w:r>
        <w:rPr>
          <w:color w:val="363436"/>
          <w:spacing w:val="-5"/>
          <w:sz w:val="21"/>
        </w:rPr>
        <w:t> </w:t>
      </w:r>
      <w:r>
        <w:rPr>
          <w:color w:val="363436"/>
          <w:spacing w:val="-1"/>
          <w:w w:val="130"/>
          <w:sz w:val="21"/>
        </w:rPr>
        <w:t>tha</w:t>
      </w:r>
      <w:r>
        <w:rPr>
          <w:color w:val="363436"/>
          <w:w w:val="130"/>
          <w:sz w:val="21"/>
        </w:rPr>
        <w:t>t</w:t>
      </w:r>
      <w:r>
        <w:rPr>
          <w:color w:val="363436"/>
          <w:spacing w:val="-6"/>
          <w:sz w:val="21"/>
        </w:rPr>
        <w:t> </w:t>
      </w:r>
      <w:r>
        <w:rPr>
          <w:color w:val="363436"/>
          <w:w w:val="122"/>
          <w:sz w:val="21"/>
        </w:rPr>
        <w:t>only</w:t>
      </w:r>
      <w:r>
        <w:rPr>
          <w:color w:val="363436"/>
          <w:spacing w:val="-9"/>
          <w:sz w:val="21"/>
        </w:rPr>
        <w:t> </w:t>
      </w:r>
      <w:r>
        <w:rPr>
          <w:color w:val="363436"/>
          <w:w w:val="118"/>
          <w:sz w:val="21"/>
        </w:rPr>
        <w:t>overnight</w:t>
      </w:r>
      <w:r>
        <w:rPr>
          <w:color w:val="363436"/>
          <w:spacing w:val="7"/>
          <w:sz w:val="21"/>
        </w:rPr>
        <w:t> </w:t>
      </w:r>
      <w:r>
        <w:rPr>
          <w:color w:val="363436"/>
          <w:w w:val="113"/>
          <w:sz w:val="21"/>
        </w:rPr>
        <w:t>guests </w:t>
      </w:r>
      <w:r>
        <w:rPr>
          <w:color w:val="363436"/>
          <w:w w:val="115"/>
          <w:sz w:val="21"/>
        </w:rPr>
        <w:t>have</w:t>
      </w:r>
      <w:r>
        <w:rPr>
          <w:color w:val="363436"/>
          <w:spacing w:val="-16"/>
          <w:w w:val="115"/>
          <w:sz w:val="21"/>
        </w:rPr>
        <w:t> </w:t>
      </w:r>
      <w:r>
        <w:rPr>
          <w:color w:val="363436"/>
          <w:w w:val="115"/>
          <w:sz w:val="21"/>
        </w:rPr>
        <w:t>a</w:t>
      </w:r>
      <w:r>
        <w:rPr>
          <w:color w:val="363436"/>
          <w:spacing w:val="13"/>
          <w:w w:val="115"/>
          <w:sz w:val="21"/>
        </w:rPr>
        <w:t> </w:t>
      </w:r>
      <w:r>
        <w:rPr>
          <w:color w:val="363436"/>
          <w:w w:val="115"/>
          <w:sz w:val="21"/>
        </w:rPr>
        <w:t>connection</w:t>
      </w:r>
      <w:r>
        <w:rPr>
          <w:color w:val="363436"/>
          <w:spacing w:val="22"/>
          <w:w w:val="115"/>
          <w:sz w:val="21"/>
        </w:rPr>
        <w:t> </w:t>
      </w:r>
      <w:r>
        <w:rPr>
          <w:color w:val="282426"/>
          <w:w w:val="115"/>
          <w:sz w:val="21"/>
        </w:rPr>
        <w:t>to</w:t>
      </w:r>
      <w:r>
        <w:rPr>
          <w:color w:val="282426"/>
          <w:spacing w:val="-1"/>
          <w:w w:val="115"/>
          <w:sz w:val="21"/>
        </w:rPr>
        <w:t> </w:t>
      </w:r>
      <w:r>
        <w:rPr>
          <w:color w:val="363436"/>
          <w:w w:val="115"/>
          <w:sz w:val="21"/>
        </w:rPr>
        <w:t>a</w:t>
      </w:r>
      <w:r>
        <w:rPr>
          <w:color w:val="363436"/>
          <w:spacing w:val="21"/>
          <w:w w:val="115"/>
          <w:sz w:val="21"/>
        </w:rPr>
        <w:t> </w:t>
      </w:r>
      <w:r>
        <w:rPr>
          <w:color w:val="363436"/>
          <w:w w:val="115"/>
          <w:sz w:val="21"/>
        </w:rPr>
        <w:t>premises</w:t>
      </w:r>
      <w:r>
        <w:rPr>
          <w:color w:val="363436"/>
          <w:spacing w:val="-2"/>
          <w:w w:val="115"/>
          <w:sz w:val="21"/>
        </w:rPr>
        <w:t> </w:t>
      </w:r>
      <w:r>
        <w:rPr>
          <w:color w:val="363436"/>
          <w:w w:val="115"/>
          <w:sz w:val="21"/>
        </w:rPr>
        <w:t>that</w:t>
      </w:r>
      <w:r>
        <w:rPr>
          <w:color w:val="363436"/>
          <w:spacing w:val="-17"/>
          <w:w w:val="115"/>
          <w:sz w:val="21"/>
        </w:rPr>
        <w:t> </w:t>
      </w:r>
      <w:r>
        <w:rPr>
          <w:color w:val="363436"/>
          <w:w w:val="115"/>
          <w:sz w:val="21"/>
        </w:rPr>
        <w:t>gives</w:t>
      </w:r>
      <w:r>
        <w:rPr>
          <w:color w:val="363436"/>
          <w:spacing w:val="-6"/>
          <w:w w:val="115"/>
          <w:sz w:val="21"/>
        </w:rPr>
        <w:t> </w:t>
      </w:r>
      <w:r>
        <w:rPr>
          <w:color w:val="363436"/>
          <w:w w:val="115"/>
          <w:sz w:val="21"/>
        </w:rPr>
        <w:t>rise</w:t>
      </w:r>
      <w:r>
        <w:rPr>
          <w:color w:val="363436"/>
          <w:spacing w:val="-10"/>
          <w:w w:val="115"/>
          <w:sz w:val="21"/>
        </w:rPr>
        <w:t> </w:t>
      </w:r>
      <w:r>
        <w:rPr>
          <w:color w:val="282426"/>
          <w:w w:val="115"/>
          <w:sz w:val="21"/>
        </w:rPr>
        <w:t>to</w:t>
      </w:r>
    </w:p>
    <w:p>
      <w:pPr>
        <w:tabs>
          <w:tab w:pos="7469" w:val="left" w:leader="dot"/>
        </w:tabs>
        <w:spacing w:line="235" w:lineRule="exact" w:before="0"/>
        <w:ind w:left="2530" w:right="0" w:firstLine="0"/>
        <w:jc w:val="left"/>
        <w:rPr>
          <w:sz w:val="21"/>
        </w:rPr>
      </w:pPr>
      <w:r>
        <w:rPr>
          <w:color w:val="363436"/>
          <w:w w:val="115"/>
          <w:sz w:val="21"/>
        </w:rPr>
        <w:t>a</w:t>
      </w:r>
      <w:r>
        <w:rPr>
          <w:color w:val="363436"/>
          <w:spacing w:val="15"/>
          <w:w w:val="115"/>
          <w:sz w:val="21"/>
        </w:rPr>
        <w:t> </w:t>
      </w:r>
      <w:r>
        <w:rPr>
          <w:color w:val="363436"/>
          <w:w w:val="115"/>
          <w:sz w:val="21"/>
        </w:rPr>
        <w:t>legitimate</w:t>
      </w:r>
      <w:r>
        <w:rPr>
          <w:color w:val="363436"/>
          <w:spacing w:val="-8"/>
          <w:w w:val="115"/>
          <w:sz w:val="21"/>
        </w:rPr>
        <w:t> </w:t>
      </w:r>
      <w:r>
        <w:rPr>
          <w:color w:val="363436"/>
          <w:w w:val="115"/>
          <w:sz w:val="21"/>
        </w:rPr>
        <w:t>expectation</w:t>
      </w:r>
      <w:r>
        <w:rPr>
          <w:color w:val="363436"/>
          <w:spacing w:val="9"/>
          <w:w w:val="115"/>
          <w:sz w:val="21"/>
        </w:rPr>
        <w:t> </w:t>
      </w:r>
      <w:r>
        <w:rPr>
          <w:color w:val="363436"/>
          <w:w w:val="115"/>
          <w:sz w:val="21"/>
        </w:rPr>
        <w:t>of</w:t>
      </w:r>
      <w:r>
        <w:rPr>
          <w:color w:val="363436"/>
          <w:spacing w:val="21"/>
          <w:w w:val="115"/>
          <w:sz w:val="21"/>
        </w:rPr>
        <w:t> </w:t>
      </w:r>
      <w:r>
        <w:rPr>
          <w:color w:val="363436"/>
          <w:w w:val="115"/>
          <w:sz w:val="21"/>
        </w:rPr>
        <w:t>privacy.</w:t>
        <w:tab/>
        <w:t>12</w:t>
      </w:r>
    </w:p>
    <w:p>
      <w:pPr>
        <w:pStyle w:val="ListParagraph"/>
        <w:numPr>
          <w:ilvl w:val="0"/>
          <w:numId w:val="106"/>
        </w:numPr>
        <w:tabs>
          <w:tab w:pos="2533" w:val="left" w:leader="none"/>
          <w:tab w:pos="2534" w:val="left" w:leader="none"/>
        </w:tabs>
        <w:spacing w:line="235" w:lineRule="auto" w:before="0" w:after="0"/>
        <w:ind w:left="2510" w:right="929" w:hanging="740"/>
        <w:jc w:val="left"/>
        <w:rPr>
          <w:color w:val="363436"/>
          <w:sz w:val="21"/>
        </w:rPr>
      </w:pPr>
      <w:r>
        <w:rPr>
          <w:color w:val="363436"/>
          <w:w w:val="115"/>
          <w:sz w:val="21"/>
        </w:rPr>
        <w:t>Even</w:t>
      </w:r>
      <w:r>
        <w:rPr>
          <w:color w:val="363436"/>
          <w:spacing w:val="24"/>
          <w:w w:val="115"/>
          <w:sz w:val="21"/>
        </w:rPr>
        <w:t> </w:t>
      </w:r>
      <w:r>
        <w:rPr>
          <w:color w:val="363436"/>
          <w:w w:val="115"/>
          <w:sz w:val="20"/>
        </w:rPr>
        <w:t>if</w:t>
      </w:r>
      <w:r>
        <w:rPr>
          <w:color w:val="363436"/>
          <w:spacing w:val="32"/>
          <w:w w:val="115"/>
          <w:sz w:val="20"/>
        </w:rPr>
        <w:t> </w:t>
      </w:r>
      <w:r>
        <w:rPr>
          <w:color w:val="363436"/>
          <w:w w:val="115"/>
          <w:sz w:val="21"/>
        </w:rPr>
        <w:t>the</w:t>
      </w:r>
      <w:r>
        <w:rPr>
          <w:color w:val="363436"/>
          <w:spacing w:val="20"/>
          <w:w w:val="115"/>
          <w:sz w:val="21"/>
        </w:rPr>
        <w:t> </w:t>
      </w:r>
      <w:r>
        <w:rPr>
          <w:color w:val="363436"/>
          <w:w w:val="115"/>
          <w:sz w:val="19"/>
        </w:rPr>
        <w:t>.Qwm</w:t>
      </w:r>
      <w:r>
        <w:rPr>
          <w:color w:val="363436"/>
          <w:spacing w:val="-7"/>
          <w:w w:val="115"/>
          <w:sz w:val="19"/>
        </w:rPr>
        <w:t> </w:t>
      </w:r>
      <w:r>
        <w:rPr>
          <w:color w:val="363436"/>
          <w:w w:val="115"/>
          <w:sz w:val="21"/>
        </w:rPr>
        <w:t>rule</w:t>
      </w:r>
      <w:r>
        <w:rPr>
          <w:color w:val="363436"/>
          <w:spacing w:val="-12"/>
          <w:w w:val="115"/>
          <w:sz w:val="21"/>
        </w:rPr>
        <w:t> </w:t>
      </w:r>
      <w:r>
        <w:rPr>
          <w:color w:val="363436"/>
          <w:w w:val="115"/>
          <w:sz w:val="21"/>
        </w:rPr>
        <w:t>extends</w:t>
      </w:r>
      <w:r>
        <w:rPr>
          <w:color w:val="363436"/>
          <w:spacing w:val="11"/>
          <w:w w:val="115"/>
          <w:sz w:val="21"/>
        </w:rPr>
        <w:t> </w:t>
      </w:r>
      <w:r>
        <w:rPr>
          <w:color w:val="282426"/>
          <w:w w:val="115"/>
          <w:sz w:val="21"/>
        </w:rPr>
        <w:t>to</w:t>
      </w:r>
      <w:r>
        <w:rPr>
          <w:color w:val="282426"/>
          <w:spacing w:val="19"/>
          <w:w w:val="115"/>
          <w:sz w:val="21"/>
        </w:rPr>
        <w:t> </w:t>
      </w:r>
      <w:r>
        <w:rPr>
          <w:color w:val="363436"/>
          <w:w w:val="115"/>
          <w:sz w:val="21"/>
        </w:rPr>
        <w:t>non-overnight</w:t>
      </w:r>
      <w:r>
        <w:rPr>
          <w:color w:val="363436"/>
          <w:spacing w:val="-57"/>
          <w:w w:val="115"/>
          <w:sz w:val="21"/>
        </w:rPr>
        <w:t> </w:t>
      </w:r>
      <w:r>
        <w:rPr>
          <w:color w:val="363436"/>
          <w:w w:val="115"/>
          <w:sz w:val="21"/>
        </w:rPr>
        <w:t>guests,</w:t>
      </w:r>
      <w:r>
        <w:rPr>
          <w:color w:val="363436"/>
          <w:spacing w:val="2"/>
          <w:w w:val="115"/>
          <w:sz w:val="21"/>
        </w:rPr>
        <w:t> </w:t>
      </w:r>
      <w:r>
        <w:rPr>
          <w:color w:val="363436"/>
          <w:w w:val="115"/>
          <w:sz w:val="21"/>
        </w:rPr>
        <w:t>Respondents'</w:t>
      </w:r>
      <w:r>
        <w:rPr>
          <w:color w:val="363436"/>
          <w:spacing w:val="-3"/>
          <w:w w:val="115"/>
          <w:sz w:val="21"/>
        </w:rPr>
        <w:t> </w:t>
      </w:r>
      <w:r>
        <w:rPr>
          <w:color w:val="363436"/>
          <w:w w:val="115"/>
          <w:sz w:val="21"/>
        </w:rPr>
        <w:t>expectation</w:t>
      </w:r>
      <w:r>
        <w:rPr>
          <w:color w:val="363436"/>
          <w:spacing w:val="2"/>
          <w:w w:val="115"/>
          <w:sz w:val="21"/>
        </w:rPr>
        <w:t> </w:t>
      </w:r>
      <w:r>
        <w:rPr>
          <w:color w:val="363436"/>
          <w:w w:val="115"/>
          <w:sz w:val="21"/>
        </w:rPr>
        <w:t>of</w:t>
      </w:r>
      <w:r>
        <w:rPr>
          <w:color w:val="363436"/>
          <w:spacing w:val="2"/>
          <w:w w:val="115"/>
          <w:sz w:val="21"/>
        </w:rPr>
        <w:t> </w:t>
      </w:r>
      <w:r>
        <w:rPr>
          <w:color w:val="363436"/>
          <w:w w:val="115"/>
          <w:sz w:val="21"/>
        </w:rPr>
        <w:t>privacy</w:t>
      </w:r>
      <w:r>
        <w:rPr>
          <w:color w:val="363436"/>
          <w:spacing w:val="-3"/>
          <w:w w:val="115"/>
          <w:sz w:val="21"/>
        </w:rPr>
        <w:t> </w:t>
      </w:r>
      <w:r>
        <w:rPr>
          <w:rFonts w:ascii="Arial"/>
          <w:color w:val="363436"/>
          <w:w w:val="115"/>
          <w:sz w:val="19"/>
        </w:rPr>
        <w:t>is</w:t>
      </w:r>
      <w:r>
        <w:rPr>
          <w:rFonts w:ascii="Arial"/>
          <w:color w:val="363436"/>
          <w:spacing w:val="1"/>
          <w:w w:val="115"/>
          <w:sz w:val="19"/>
        </w:rPr>
        <w:t> </w:t>
      </w:r>
      <w:r>
        <w:rPr>
          <w:color w:val="282426"/>
          <w:w w:val="115"/>
          <w:sz w:val="21"/>
        </w:rPr>
        <w:t>unreasonable</w:t>
      </w:r>
      <w:r>
        <w:rPr>
          <w:color w:val="282426"/>
          <w:spacing w:val="18"/>
          <w:w w:val="115"/>
          <w:sz w:val="21"/>
        </w:rPr>
        <w:t> </w:t>
      </w:r>
      <w:r>
        <w:rPr>
          <w:color w:val="363436"/>
          <w:w w:val="115"/>
          <w:sz w:val="21"/>
        </w:rPr>
        <w:t>because</w:t>
      </w:r>
      <w:r>
        <w:rPr>
          <w:color w:val="363436"/>
          <w:spacing w:val="10"/>
          <w:w w:val="115"/>
          <w:sz w:val="21"/>
        </w:rPr>
        <w:t> </w:t>
      </w:r>
      <w:r>
        <w:rPr>
          <w:color w:val="363436"/>
          <w:w w:val="115"/>
          <w:sz w:val="21"/>
        </w:rPr>
        <w:t>they</w:t>
      </w:r>
      <w:r>
        <w:rPr>
          <w:color w:val="363436"/>
          <w:spacing w:val="-4"/>
          <w:w w:val="115"/>
          <w:sz w:val="21"/>
        </w:rPr>
        <w:t> </w:t>
      </w:r>
      <w:r>
        <w:rPr>
          <w:color w:val="363436"/>
          <w:w w:val="115"/>
          <w:sz w:val="21"/>
        </w:rPr>
        <w:t>were</w:t>
      </w:r>
      <w:r>
        <w:rPr>
          <w:color w:val="363436"/>
          <w:spacing w:val="5"/>
          <w:w w:val="115"/>
          <w:sz w:val="21"/>
        </w:rPr>
        <w:t> </w:t>
      </w:r>
      <w:r>
        <w:rPr>
          <w:color w:val="363436"/>
          <w:w w:val="115"/>
          <w:sz w:val="21"/>
        </w:rPr>
        <w:t>present</w:t>
      </w:r>
      <w:r>
        <w:rPr>
          <w:color w:val="363436"/>
          <w:spacing w:val="7"/>
          <w:w w:val="115"/>
          <w:sz w:val="21"/>
        </w:rPr>
        <w:t> </w:t>
      </w:r>
      <w:r>
        <w:rPr>
          <w:color w:val="363436"/>
          <w:w w:val="115"/>
          <w:sz w:val="21"/>
        </w:rPr>
        <w:t>only</w:t>
      </w:r>
      <w:r>
        <w:rPr>
          <w:color w:val="363436"/>
          <w:spacing w:val="5"/>
          <w:w w:val="115"/>
          <w:sz w:val="21"/>
        </w:rPr>
        <w:t> </w:t>
      </w:r>
      <w:r>
        <w:rPr>
          <w:color w:val="363436"/>
          <w:w w:val="115"/>
          <w:sz w:val="21"/>
        </w:rPr>
        <w:t>to</w:t>
      </w:r>
      <w:r>
        <w:rPr>
          <w:color w:val="363436"/>
          <w:spacing w:val="-58"/>
          <w:w w:val="115"/>
          <w:sz w:val="21"/>
        </w:rPr>
        <w:t> </w:t>
      </w:r>
      <w:r>
        <w:rPr>
          <w:color w:val="363436"/>
          <w:spacing w:val="-1"/>
          <w:w w:val="120"/>
          <w:sz w:val="21"/>
        </w:rPr>
        <w:t>conduct</w:t>
      </w:r>
      <w:r>
        <w:rPr>
          <w:color w:val="363436"/>
          <w:spacing w:val="-11"/>
          <w:w w:val="120"/>
          <w:sz w:val="21"/>
        </w:rPr>
        <w:t> </w:t>
      </w:r>
      <w:r>
        <w:rPr>
          <w:color w:val="363436"/>
          <w:spacing w:val="-1"/>
          <w:w w:val="120"/>
          <w:sz w:val="21"/>
        </w:rPr>
        <w:t>illegal</w:t>
      </w:r>
      <w:r>
        <w:rPr>
          <w:color w:val="363436"/>
          <w:spacing w:val="-10"/>
          <w:w w:val="120"/>
          <w:sz w:val="21"/>
        </w:rPr>
        <w:t> </w:t>
      </w:r>
      <w:r>
        <w:rPr>
          <w:color w:val="363436"/>
          <w:w w:val="120"/>
          <w:sz w:val="21"/>
        </w:rPr>
        <w:t>business</w:t>
      </w:r>
      <w:r>
        <w:rPr>
          <w:color w:val="363436"/>
          <w:spacing w:val="-11"/>
          <w:w w:val="120"/>
          <w:sz w:val="21"/>
        </w:rPr>
        <w:t> </w:t>
      </w:r>
      <w:r>
        <w:rPr>
          <w:color w:val="363436"/>
          <w:w w:val="120"/>
          <w:sz w:val="21"/>
        </w:rPr>
        <w:t>that</w:t>
      </w:r>
      <w:r>
        <w:rPr>
          <w:color w:val="363436"/>
          <w:spacing w:val="-15"/>
          <w:w w:val="120"/>
          <w:sz w:val="21"/>
        </w:rPr>
        <w:t> </w:t>
      </w:r>
      <w:r>
        <w:rPr>
          <w:color w:val="363436"/>
          <w:w w:val="120"/>
          <w:sz w:val="21"/>
        </w:rPr>
        <w:t>is</w:t>
      </w:r>
      <w:r>
        <w:rPr>
          <w:color w:val="363436"/>
          <w:spacing w:val="-29"/>
          <w:w w:val="120"/>
          <w:sz w:val="21"/>
        </w:rPr>
        <w:t> </w:t>
      </w:r>
      <w:r>
        <w:rPr>
          <w:color w:val="363436"/>
          <w:w w:val="120"/>
          <w:sz w:val="21"/>
        </w:rPr>
        <w:t>not</w:t>
      </w:r>
      <w:r>
        <w:rPr>
          <w:color w:val="363436"/>
          <w:spacing w:val="-19"/>
          <w:w w:val="120"/>
          <w:sz w:val="21"/>
        </w:rPr>
        <w:t> </w:t>
      </w:r>
      <w:r>
        <w:rPr>
          <w:color w:val="363436"/>
          <w:w w:val="120"/>
          <w:sz w:val="21"/>
        </w:rPr>
        <w:t>valuable</w:t>
      </w:r>
      <w:r>
        <w:rPr>
          <w:color w:val="363436"/>
          <w:spacing w:val="-12"/>
          <w:w w:val="120"/>
          <w:sz w:val="21"/>
        </w:rPr>
        <w:t> </w:t>
      </w:r>
      <w:r>
        <w:rPr>
          <w:color w:val="363436"/>
          <w:w w:val="120"/>
          <w:sz w:val="21"/>
        </w:rPr>
        <w:t>to</w:t>
      </w:r>
    </w:p>
    <w:p>
      <w:pPr>
        <w:tabs>
          <w:tab w:pos="7469" w:val="left" w:leader="dot"/>
        </w:tabs>
        <w:spacing w:line="236" w:lineRule="exact" w:before="0"/>
        <w:ind w:left="2507" w:right="0" w:firstLine="0"/>
        <w:jc w:val="left"/>
        <w:rPr>
          <w:sz w:val="21"/>
        </w:rPr>
      </w:pPr>
      <w:r>
        <w:rPr>
          <w:color w:val="363436"/>
          <w:w w:val="125"/>
          <w:sz w:val="21"/>
        </w:rPr>
        <w:t>society</w:t>
        <w:tab/>
      </w:r>
      <w:r>
        <w:rPr>
          <w:color w:val="363436"/>
          <w:w w:val="200"/>
          <w:sz w:val="21"/>
        </w:rPr>
        <w:t>16</w:t>
      </w:r>
    </w:p>
    <w:p>
      <w:pPr>
        <w:pStyle w:val="ListParagraph"/>
        <w:numPr>
          <w:ilvl w:val="1"/>
          <w:numId w:val="106"/>
        </w:numPr>
        <w:tabs>
          <w:tab w:pos="3303" w:val="left" w:leader="none"/>
          <w:tab w:pos="3304" w:val="left" w:leader="none"/>
          <w:tab w:pos="7469" w:val="left" w:leader="dot"/>
        </w:tabs>
        <w:spacing w:line="240" w:lineRule="auto" w:before="0" w:after="0"/>
        <w:ind w:left="3290" w:right="423" w:hanging="790"/>
        <w:jc w:val="left"/>
        <w:rPr>
          <w:color w:val="363436"/>
          <w:sz w:val="21"/>
        </w:rPr>
      </w:pPr>
      <w:r>
        <w:rPr>
          <w:color w:val="363436"/>
          <w:w w:val="110"/>
          <w:sz w:val="21"/>
        </w:rPr>
        <w:t>Illegal drug distribution  is </w:t>
      </w:r>
      <w:r>
        <w:rPr>
          <w:color w:val="282426"/>
          <w:w w:val="110"/>
          <w:sz w:val="21"/>
        </w:rPr>
        <w:t>not </w:t>
      </w:r>
      <w:r>
        <w:rPr>
          <w:color w:val="363436"/>
          <w:w w:val="110"/>
          <w:sz w:val="21"/>
        </w:rPr>
        <w:t>a  long­</w:t>
      </w:r>
      <w:r>
        <w:rPr>
          <w:color w:val="363436"/>
          <w:spacing w:val="1"/>
          <w:w w:val="110"/>
          <w:sz w:val="21"/>
        </w:rPr>
        <w:t> </w:t>
      </w:r>
      <w:r>
        <w:rPr>
          <w:b/>
          <w:color w:val="363436"/>
          <w:spacing w:val="-1"/>
          <w:w w:val="110"/>
          <w:sz w:val="21"/>
        </w:rPr>
        <w:t>standing social </w:t>
      </w:r>
      <w:r>
        <w:rPr>
          <w:color w:val="363436"/>
          <w:w w:val="110"/>
          <w:sz w:val="21"/>
        </w:rPr>
        <w:t>custom </w:t>
      </w:r>
      <w:r>
        <w:rPr>
          <w:b/>
          <w:color w:val="363436"/>
          <w:w w:val="110"/>
          <w:sz w:val="21"/>
        </w:rPr>
        <w:t>that serves </w:t>
      </w:r>
      <w:r>
        <w:rPr>
          <w:color w:val="363436"/>
          <w:w w:val="110"/>
          <w:sz w:val="21"/>
        </w:rPr>
        <w:t>functions</w:t>
      </w:r>
      <w:r>
        <w:rPr>
          <w:color w:val="363436"/>
          <w:spacing w:val="1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recognized</w:t>
      </w:r>
      <w:r>
        <w:rPr>
          <w:b/>
          <w:color w:val="363436"/>
          <w:spacing w:val="-13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as</w:t>
      </w:r>
      <w:r>
        <w:rPr>
          <w:b/>
          <w:color w:val="363436"/>
          <w:spacing w:val="14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valuable</w:t>
      </w:r>
      <w:r>
        <w:rPr>
          <w:b/>
          <w:color w:val="363436"/>
          <w:spacing w:val="6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by</w:t>
      </w:r>
      <w:r>
        <w:rPr>
          <w:b/>
          <w:color w:val="363436"/>
          <w:spacing w:val="-11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society</w:t>
        <w:tab/>
      </w:r>
      <w:r>
        <w:rPr>
          <w:b/>
          <w:color w:val="363436"/>
          <w:spacing w:val="-1"/>
          <w:w w:val="110"/>
          <w:sz w:val="21"/>
        </w:rPr>
        <w:t>16</w:t>
      </w:r>
    </w:p>
    <w:p>
      <w:pPr>
        <w:pStyle w:val="ListParagraph"/>
        <w:numPr>
          <w:ilvl w:val="1"/>
          <w:numId w:val="106"/>
        </w:numPr>
        <w:tabs>
          <w:tab w:pos="3295" w:val="left" w:leader="none"/>
          <w:tab w:pos="3296" w:val="left" w:leader="none"/>
        </w:tabs>
        <w:spacing w:line="240" w:lineRule="auto" w:before="0" w:after="0"/>
        <w:ind w:left="3281" w:right="675" w:hanging="788"/>
        <w:jc w:val="left"/>
        <w:rPr>
          <w:b/>
          <w:color w:val="363436"/>
          <w:sz w:val="21"/>
        </w:rPr>
      </w:pPr>
      <w:r>
        <w:rPr>
          <w:b/>
          <w:color w:val="363436"/>
          <w:w w:val="105"/>
          <w:sz w:val="21"/>
        </w:rPr>
        <w:t>Respondents</w:t>
      </w:r>
      <w:r>
        <w:rPr>
          <w:b/>
          <w:color w:val="363436"/>
          <w:spacing w:val="1"/>
          <w:w w:val="105"/>
          <w:sz w:val="21"/>
        </w:rPr>
        <w:t> </w:t>
      </w:r>
      <w:r>
        <w:rPr>
          <w:b/>
          <w:color w:val="363436"/>
          <w:w w:val="105"/>
          <w:sz w:val="21"/>
        </w:rPr>
        <w:t>were present for a purely</w:t>
      </w:r>
      <w:r>
        <w:rPr>
          <w:b/>
          <w:color w:val="363436"/>
          <w:spacing w:val="1"/>
          <w:w w:val="105"/>
          <w:sz w:val="21"/>
        </w:rPr>
        <w:t> </w:t>
      </w:r>
      <w:r>
        <w:rPr>
          <w:b/>
          <w:color w:val="363436"/>
          <w:spacing w:val="-1"/>
          <w:w w:val="110"/>
          <w:sz w:val="21"/>
        </w:rPr>
        <w:t>commercial</w:t>
      </w:r>
      <w:r>
        <w:rPr>
          <w:b/>
          <w:color w:val="363436"/>
          <w:spacing w:val="2"/>
          <w:w w:val="110"/>
          <w:sz w:val="21"/>
        </w:rPr>
        <w:t> </w:t>
      </w:r>
      <w:r>
        <w:rPr>
          <w:b/>
          <w:color w:val="363436"/>
          <w:spacing w:val="-1"/>
          <w:w w:val="110"/>
          <w:sz w:val="21"/>
        </w:rPr>
        <w:t>purpose</w:t>
      </w:r>
      <w:r>
        <w:rPr>
          <w:b/>
          <w:color w:val="363436"/>
          <w:spacing w:val="-9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and</w:t>
      </w:r>
      <w:r>
        <w:rPr>
          <w:b/>
          <w:color w:val="363436"/>
          <w:spacing w:val="16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were</w:t>
      </w:r>
      <w:r>
        <w:rPr>
          <w:b/>
          <w:color w:val="363436"/>
          <w:spacing w:val="-14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not</w:t>
      </w:r>
      <w:r>
        <w:rPr>
          <w:b/>
          <w:color w:val="363436"/>
          <w:spacing w:val="11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entitled</w:t>
      </w:r>
      <w:r>
        <w:rPr>
          <w:b/>
          <w:color w:val="363436"/>
          <w:spacing w:val="-55"/>
          <w:w w:val="110"/>
          <w:sz w:val="21"/>
        </w:rPr>
        <w:t> </w:t>
      </w:r>
      <w:r>
        <w:rPr>
          <w:b/>
          <w:color w:val="282426"/>
          <w:w w:val="110"/>
          <w:sz w:val="21"/>
        </w:rPr>
        <w:t>to</w:t>
      </w:r>
      <w:r>
        <w:rPr>
          <w:b/>
          <w:color w:val="282426"/>
          <w:spacing w:val="3"/>
          <w:w w:val="110"/>
          <w:sz w:val="21"/>
        </w:rPr>
        <w:t> </w:t>
      </w:r>
      <w:r>
        <w:rPr>
          <w:b/>
          <w:color w:val="282426"/>
          <w:w w:val="110"/>
          <w:sz w:val="21"/>
        </w:rPr>
        <w:t>the</w:t>
      </w:r>
      <w:r>
        <w:rPr>
          <w:b/>
          <w:color w:val="282426"/>
          <w:spacing w:val="1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Fourth</w:t>
      </w:r>
      <w:r>
        <w:rPr>
          <w:b/>
          <w:color w:val="363436"/>
          <w:spacing w:val="-1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Amendment</w:t>
      </w:r>
      <w:r>
        <w:rPr>
          <w:b/>
          <w:color w:val="363436"/>
          <w:spacing w:val="5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protection</w:t>
      </w:r>
    </w:p>
    <w:p>
      <w:pPr>
        <w:tabs>
          <w:tab w:pos="7470" w:val="left" w:leader="dot"/>
        </w:tabs>
        <w:spacing w:line="234" w:lineRule="exact" w:before="0"/>
        <w:ind w:left="3270" w:right="0" w:firstLine="0"/>
        <w:jc w:val="left"/>
        <w:rPr>
          <w:b/>
          <w:sz w:val="21"/>
        </w:rPr>
      </w:pPr>
      <w:r>
        <w:rPr>
          <w:b/>
          <w:color w:val="363436"/>
          <w:w w:val="115"/>
          <w:sz w:val="21"/>
        </w:rPr>
        <w:t>associated</w:t>
      </w:r>
      <w:r>
        <w:rPr>
          <w:b/>
          <w:color w:val="363436"/>
          <w:spacing w:val="-1"/>
          <w:w w:val="115"/>
          <w:sz w:val="21"/>
        </w:rPr>
        <w:t> </w:t>
      </w:r>
      <w:r>
        <w:rPr>
          <w:rFonts w:ascii="Arial"/>
          <w:b/>
          <w:color w:val="363436"/>
          <w:w w:val="115"/>
          <w:sz w:val="19"/>
        </w:rPr>
        <w:t>with</w:t>
      </w:r>
      <w:r>
        <w:rPr>
          <w:rFonts w:ascii="Arial"/>
          <w:b/>
          <w:color w:val="363436"/>
          <w:spacing w:val="-11"/>
          <w:w w:val="115"/>
          <w:sz w:val="19"/>
        </w:rPr>
        <w:t> </w:t>
      </w:r>
      <w:r>
        <w:rPr>
          <w:b/>
          <w:color w:val="363436"/>
          <w:w w:val="115"/>
          <w:sz w:val="21"/>
        </w:rPr>
        <w:t>the</w:t>
      </w:r>
      <w:r>
        <w:rPr>
          <w:b/>
          <w:color w:val="363436"/>
          <w:spacing w:val="-34"/>
          <w:w w:val="115"/>
          <w:sz w:val="21"/>
        </w:rPr>
        <w:t> </w:t>
      </w:r>
      <w:r>
        <w:rPr>
          <w:b/>
          <w:color w:val="363436"/>
          <w:w w:val="115"/>
          <w:sz w:val="21"/>
        </w:rPr>
        <w:t>home</w:t>
        <w:tab/>
      </w:r>
      <w:r>
        <w:rPr>
          <w:b/>
          <w:color w:val="363436"/>
          <w:w w:val="120"/>
          <w:sz w:val="21"/>
        </w:rPr>
        <w:t>19</w:t>
      </w:r>
    </w:p>
    <w:p>
      <w:pPr>
        <w:tabs>
          <w:tab w:pos="1713" w:val="left" w:leader="none"/>
          <w:tab w:pos="7460" w:val="left" w:leader="dot"/>
        </w:tabs>
        <w:spacing w:line="240" w:lineRule="auto" w:before="0"/>
        <w:ind w:left="1694" w:right="197" w:hanging="612"/>
        <w:jc w:val="left"/>
        <w:rPr>
          <w:b/>
          <w:sz w:val="21"/>
        </w:rPr>
      </w:pPr>
      <w:r>
        <w:rPr>
          <w:color w:val="363436"/>
          <w:w w:val="115"/>
          <w:sz w:val="20"/>
        </w:rPr>
        <w:t>C.</w:t>
        <w:tab/>
        <w:tab/>
      </w:r>
      <w:r>
        <w:rPr>
          <w:b/>
          <w:color w:val="363436"/>
          <w:w w:val="110"/>
          <w:sz w:val="21"/>
        </w:rPr>
        <w:t>Respondents may  not  claim a legitimate expectation of</w:t>
      </w:r>
      <w:r>
        <w:rPr>
          <w:b/>
          <w:color w:val="363436"/>
          <w:spacing w:val="1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privacy,</w:t>
      </w:r>
      <w:r>
        <w:rPr>
          <w:b/>
          <w:color w:val="363436"/>
          <w:spacing w:val="4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because by</w:t>
      </w:r>
      <w:r>
        <w:rPr>
          <w:b/>
          <w:color w:val="363436"/>
          <w:spacing w:val="-1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engaging</w:t>
      </w:r>
      <w:r>
        <w:rPr>
          <w:b/>
          <w:color w:val="363436"/>
          <w:spacing w:val="10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in</w:t>
      </w:r>
      <w:r>
        <w:rPr>
          <w:b/>
          <w:color w:val="363436"/>
          <w:spacing w:val="6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criminal</w:t>
      </w:r>
      <w:r>
        <w:rPr>
          <w:b/>
          <w:color w:val="363436"/>
          <w:spacing w:val="6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acts</w:t>
      </w:r>
      <w:r>
        <w:rPr>
          <w:b/>
          <w:color w:val="363436"/>
          <w:spacing w:val="-2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in</w:t>
      </w:r>
      <w:r>
        <w:rPr>
          <w:b/>
          <w:color w:val="363436"/>
          <w:spacing w:val="3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a</w:t>
      </w:r>
      <w:r>
        <w:rPr>
          <w:b/>
          <w:color w:val="363436"/>
          <w:spacing w:val="8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well-lit</w:t>
      </w:r>
      <w:r>
        <w:rPr>
          <w:b/>
          <w:color w:val="363436"/>
          <w:spacing w:val="1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room, directly in front of a window facing a widely used</w:t>
      </w:r>
      <w:r>
        <w:rPr>
          <w:b/>
          <w:color w:val="363436"/>
          <w:spacing w:val="1"/>
          <w:w w:val="110"/>
          <w:sz w:val="21"/>
        </w:rPr>
        <w:t> </w:t>
      </w:r>
      <w:r>
        <w:rPr>
          <w:b/>
          <w:color w:val="363436"/>
          <w:w w:val="110"/>
          <w:sz w:val="21"/>
        </w:rPr>
        <w:t>common area, they exhibited no subjective expectation of</w:t>
      </w:r>
      <w:r>
        <w:rPr>
          <w:b/>
          <w:color w:val="363436"/>
          <w:spacing w:val="1"/>
          <w:w w:val="110"/>
          <w:sz w:val="21"/>
        </w:rPr>
        <w:t> </w:t>
      </w:r>
      <w:r>
        <w:rPr>
          <w:b/>
          <w:color w:val="363436"/>
          <w:w w:val="115"/>
          <w:sz w:val="21"/>
        </w:rPr>
        <w:t>privacy</w:t>
        <w:tab/>
      </w:r>
      <w:r>
        <w:rPr>
          <w:b/>
          <w:color w:val="363436"/>
          <w:w w:val="195"/>
          <w:sz w:val="21"/>
        </w:rPr>
        <w:t>21</w:t>
      </w:r>
    </w:p>
    <w:p>
      <w:pPr>
        <w:pStyle w:val="BodyText"/>
        <w:spacing w:line="235" w:lineRule="auto" w:before="106"/>
        <w:ind w:left="533" w:right="107" w:firstLine="410"/>
        <w:jc w:val="both"/>
      </w:pPr>
      <w:r>
        <w:rPr>
          <w:color w:val="363436"/>
          <w:w w:val="105"/>
        </w:rPr>
        <w:t>You may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believe that </w:t>
      </w:r>
      <w:r>
        <w:rPr>
          <w:color w:val="49494B"/>
          <w:w w:val="105"/>
        </w:rPr>
        <w:t>you </w:t>
      </w:r>
      <w:r>
        <w:rPr>
          <w:color w:val="363436"/>
          <w:w w:val="105"/>
        </w:rPr>
        <w:t>need not worry about design because in prac­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10"/>
        </w:rPr>
        <w:t>tice you will have an administrative assistant who will type and print the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document.</w:t>
      </w:r>
      <w:r>
        <w:rPr>
          <w:color w:val="363436"/>
          <w:spacing w:val="-22"/>
          <w:w w:val="110"/>
        </w:rPr>
        <w:t> </w:t>
      </w:r>
      <w:r>
        <w:rPr>
          <w:color w:val="363436"/>
          <w:w w:val="110"/>
        </w:rPr>
        <w:t>You</w:t>
      </w:r>
      <w:r>
        <w:rPr>
          <w:color w:val="363436"/>
          <w:spacing w:val="-25"/>
          <w:w w:val="110"/>
        </w:rPr>
        <w:t> </w:t>
      </w:r>
      <w:r>
        <w:rPr>
          <w:color w:val="363436"/>
          <w:w w:val="110"/>
        </w:rPr>
        <w:t>should</w:t>
      </w:r>
      <w:r>
        <w:rPr>
          <w:color w:val="363436"/>
          <w:spacing w:val="-10"/>
          <w:w w:val="110"/>
        </w:rPr>
        <w:t> </w:t>
      </w:r>
      <w:r>
        <w:rPr>
          <w:color w:val="363436"/>
          <w:w w:val="110"/>
        </w:rPr>
        <w:t>not</w:t>
      </w:r>
      <w:r>
        <w:rPr>
          <w:color w:val="363436"/>
          <w:spacing w:val="-8"/>
          <w:w w:val="110"/>
        </w:rPr>
        <w:t> </w:t>
      </w:r>
      <w:r>
        <w:rPr>
          <w:color w:val="363436"/>
          <w:w w:val="110"/>
        </w:rPr>
        <w:t>presume,</w:t>
      </w:r>
      <w:r>
        <w:rPr>
          <w:color w:val="363436"/>
          <w:spacing w:val="-11"/>
          <w:w w:val="110"/>
        </w:rPr>
        <w:t> </w:t>
      </w:r>
      <w:r>
        <w:rPr>
          <w:color w:val="363436"/>
          <w:w w:val="110"/>
        </w:rPr>
        <w:t>however,</w:t>
      </w:r>
      <w:r>
        <w:rPr>
          <w:color w:val="363436"/>
          <w:spacing w:val="-7"/>
          <w:w w:val="110"/>
        </w:rPr>
        <w:t> </w:t>
      </w:r>
      <w:r>
        <w:rPr>
          <w:color w:val="363436"/>
          <w:w w:val="110"/>
        </w:rPr>
        <w:t>that</w:t>
      </w:r>
      <w:r>
        <w:rPr>
          <w:color w:val="363436"/>
          <w:spacing w:val="-25"/>
          <w:w w:val="110"/>
        </w:rPr>
        <w:t> </w:t>
      </w:r>
      <w:r>
        <w:rPr>
          <w:color w:val="363436"/>
          <w:w w:val="110"/>
        </w:rPr>
        <w:t>your</w:t>
      </w:r>
      <w:r>
        <w:rPr>
          <w:color w:val="363436"/>
          <w:spacing w:val="-30"/>
          <w:w w:val="110"/>
        </w:rPr>
        <w:t> </w:t>
      </w:r>
      <w:r>
        <w:rPr>
          <w:color w:val="363436"/>
          <w:w w:val="110"/>
        </w:rPr>
        <w:t>assistant</w:t>
      </w:r>
      <w:r>
        <w:rPr>
          <w:color w:val="363436"/>
          <w:spacing w:val="-20"/>
          <w:w w:val="110"/>
        </w:rPr>
        <w:t> </w:t>
      </w:r>
      <w:r>
        <w:rPr>
          <w:color w:val="363436"/>
          <w:w w:val="110"/>
          <w:sz w:val="22"/>
        </w:rPr>
        <w:t>will</w:t>
      </w:r>
      <w:r>
        <w:rPr>
          <w:color w:val="363436"/>
          <w:spacing w:val="-23"/>
          <w:w w:val="110"/>
          <w:sz w:val="22"/>
        </w:rPr>
        <w:t> </w:t>
      </w:r>
      <w:r>
        <w:rPr>
          <w:rFonts w:ascii="Arial" w:hAnsi="Arial"/>
          <w:color w:val="363436"/>
          <w:w w:val="110"/>
          <w:sz w:val="21"/>
        </w:rPr>
        <w:t>know</w:t>
      </w:r>
      <w:r>
        <w:rPr>
          <w:rFonts w:ascii="Arial" w:hAnsi="Arial"/>
          <w:color w:val="363436"/>
          <w:spacing w:val="1"/>
          <w:w w:val="110"/>
          <w:sz w:val="21"/>
        </w:rPr>
        <w:t> </w:t>
      </w:r>
      <w:r>
        <w:rPr>
          <w:color w:val="363436"/>
          <w:w w:val="105"/>
        </w:rPr>
        <w:t>or care about document design. You will have to face any consequences for</w:t>
      </w:r>
      <w:r>
        <w:rPr>
          <w:color w:val="363436"/>
          <w:spacing w:val="1"/>
          <w:w w:val="105"/>
        </w:rPr>
        <w:t> </w:t>
      </w:r>
      <w:r>
        <w:rPr>
          <w:color w:val="363436"/>
          <w:spacing w:val="-1"/>
          <w:w w:val="110"/>
        </w:rPr>
        <w:t>the impression your document </w:t>
      </w:r>
      <w:r>
        <w:rPr>
          <w:color w:val="363436"/>
          <w:w w:val="110"/>
        </w:rPr>
        <w:t>makes, so you must take responsibility not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only</w:t>
      </w:r>
      <w:r>
        <w:rPr>
          <w:color w:val="363436"/>
          <w:spacing w:val="-17"/>
          <w:w w:val="110"/>
        </w:rPr>
        <w:t> </w:t>
      </w:r>
      <w:r>
        <w:rPr>
          <w:color w:val="363436"/>
          <w:w w:val="110"/>
        </w:rPr>
        <w:t>for</w:t>
      </w:r>
      <w:r>
        <w:rPr>
          <w:color w:val="363436"/>
          <w:spacing w:val="4"/>
          <w:w w:val="110"/>
        </w:rPr>
        <w:t> </w:t>
      </w:r>
      <w:r>
        <w:rPr>
          <w:color w:val="363436"/>
          <w:w w:val="110"/>
        </w:rPr>
        <w:t>what</w:t>
      </w:r>
      <w:r>
        <w:rPr>
          <w:color w:val="363436"/>
          <w:spacing w:val="6"/>
          <w:w w:val="110"/>
        </w:rPr>
        <w:t> </w:t>
      </w:r>
      <w:r>
        <w:rPr>
          <w:color w:val="363436"/>
          <w:w w:val="110"/>
        </w:rPr>
        <w:t>your</w:t>
      </w:r>
      <w:r>
        <w:rPr>
          <w:color w:val="363436"/>
          <w:spacing w:val="-11"/>
          <w:w w:val="110"/>
        </w:rPr>
        <w:t> </w:t>
      </w:r>
      <w:r>
        <w:rPr>
          <w:color w:val="363436"/>
          <w:w w:val="110"/>
        </w:rPr>
        <w:t>document</w:t>
      </w:r>
      <w:r>
        <w:rPr>
          <w:color w:val="363436"/>
          <w:spacing w:val="7"/>
          <w:w w:val="110"/>
        </w:rPr>
        <w:t> </w:t>
      </w:r>
      <w:r>
        <w:rPr>
          <w:color w:val="363436"/>
          <w:w w:val="110"/>
        </w:rPr>
        <w:t>says,</w:t>
      </w:r>
      <w:r>
        <w:rPr>
          <w:color w:val="363436"/>
          <w:spacing w:val="5"/>
          <w:w w:val="110"/>
        </w:rPr>
        <w:t> </w:t>
      </w:r>
      <w:r>
        <w:rPr>
          <w:color w:val="363436"/>
          <w:w w:val="110"/>
        </w:rPr>
        <w:t>but</w:t>
      </w:r>
      <w:r>
        <w:rPr>
          <w:color w:val="363436"/>
          <w:spacing w:val="21"/>
          <w:w w:val="110"/>
        </w:rPr>
        <w:t> </w:t>
      </w:r>
      <w:r>
        <w:rPr>
          <w:color w:val="363436"/>
          <w:w w:val="110"/>
        </w:rPr>
        <w:t>also</w:t>
      </w:r>
      <w:r>
        <w:rPr>
          <w:color w:val="363436"/>
          <w:spacing w:val="-5"/>
          <w:w w:val="110"/>
        </w:rPr>
        <w:t> </w:t>
      </w:r>
      <w:r>
        <w:rPr>
          <w:color w:val="363436"/>
          <w:w w:val="110"/>
        </w:rPr>
        <w:t>for</w:t>
      </w:r>
      <w:r>
        <w:rPr>
          <w:color w:val="363436"/>
          <w:spacing w:val="-8"/>
          <w:w w:val="110"/>
        </w:rPr>
        <w:t> </w:t>
      </w:r>
      <w:r>
        <w:rPr>
          <w:color w:val="363436"/>
          <w:w w:val="110"/>
        </w:rPr>
        <w:t>how</w:t>
      </w:r>
      <w:r>
        <w:rPr>
          <w:color w:val="363436"/>
          <w:spacing w:val="10"/>
          <w:w w:val="110"/>
        </w:rPr>
        <w:t> </w:t>
      </w:r>
      <w:r>
        <w:rPr>
          <w:color w:val="363436"/>
          <w:w w:val="110"/>
        </w:rPr>
        <w:t>it</w:t>
      </w:r>
      <w:r>
        <w:rPr>
          <w:color w:val="363436"/>
          <w:spacing w:val="8"/>
          <w:w w:val="110"/>
        </w:rPr>
        <w:t> </w:t>
      </w:r>
      <w:r>
        <w:rPr>
          <w:color w:val="363436"/>
          <w:w w:val="110"/>
        </w:rPr>
        <w:t>looks.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0"/>
        <w:ind w:left="1142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363436"/>
          <w:w w:val="115"/>
          <w:sz w:val="32"/>
        </w:rPr>
        <w:t>11.7</w:t>
      </w:r>
    </w:p>
    <w:p>
      <w:pPr>
        <w:spacing w:before="46"/>
        <w:ind w:left="1121" w:right="0" w:firstLine="0"/>
        <w:jc w:val="left"/>
        <w:rPr>
          <w:sz w:val="28"/>
        </w:rPr>
      </w:pPr>
      <w:r>
        <w:rPr>
          <w:color w:val="666669"/>
          <w:sz w:val="28"/>
        </w:rPr>
        <w:t>SUMMAR</w:t>
      </w:r>
      <w:r>
        <w:rPr>
          <w:color w:val="49494B"/>
          <w:sz w:val="28"/>
        </w:rPr>
        <w:t>Y</w:t>
      </w:r>
    </w:p>
    <w:p>
      <w:pPr>
        <w:pStyle w:val="BodyText"/>
        <w:spacing w:line="232" w:lineRule="auto" w:before="232"/>
        <w:ind w:left="463" w:right="110" w:firstLine="643"/>
        <w:jc w:val="both"/>
      </w:pPr>
      <w:r>
        <w:rPr>
          <w:color w:val="363436"/>
          <w:w w:val="110"/>
        </w:rPr>
        <w:t>Persuasive writing techniques cannot change bad law or weak facts</w:t>
      </w:r>
      <w:r>
        <w:rPr>
          <w:color w:val="363436"/>
          <w:spacing w:val="1"/>
          <w:w w:val="110"/>
        </w:rPr>
        <w:t> </w:t>
      </w:r>
      <w:r>
        <w:rPr>
          <w:color w:val="363436"/>
          <w:spacing w:val="-1"/>
          <w:w w:val="110"/>
        </w:rPr>
        <w:t>to make </w:t>
      </w:r>
      <w:r>
        <w:rPr>
          <w:color w:val="363436"/>
          <w:w w:val="110"/>
        </w:rPr>
        <w:t>a losing case a winner. They can, however, increase your chances</w:t>
      </w:r>
      <w:r>
        <w:rPr>
          <w:color w:val="363436"/>
          <w:spacing w:val="-61"/>
          <w:w w:val="110"/>
        </w:rPr>
        <w:t> </w:t>
      </w:r>
      <w:r>
        <w:rPr>
          <w:rFonts w:ascii="Arial"/>
          <w:i/>
          <w:color w:val="363436"/>
          <w:w w:val="110"/>
          <w:sz w:val="21"/>
        </w:rPr>
        <w:t>of </w:t>
      </w:r>
      <w:r>
        <w:rPr>
          <w:color w:val="363436"/>
          <w:w w:val="110"/>
        </w:rPr>
        <w:t>victory in a close case, and, when used properly, establish and maintain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your</w:t>
      </w:r>
      <w:r>
        <w:rPr>
          <w:color w:val="363436"/>
          <w:spacing w:val="-13"/>
          <w:w w:val="110"/>
        </w:rPr>
        <w:t> </w:t>
      </w:r>
      <w:r>
        <w:rPr>
          <w:color w:val="363436"/>
          <w:w w:val="110"/>
        </w:rPr>
        <w:t>credibility</w:t>
      </w:r>
      <w:r>
        <w:rPr>
          <w:color w:val="363436"/>
          <w:spacing w:val="2"/>
          <w:w w:val="110"/>
        </w:rPr>
        <w:t> </w:t>
      </w:r>
      <w:r>
        <w:rPr>
          <w:color w:val="363436"/>
          <w:w w:val="110"/>
        </w:rPr>
        <w:t>with the</w:t>
      </w:r>
      <w:r>
        <w:rPr>
          <w:color w:val="363436"/>
          <w:spacing w:val="10"/>
          <w:w w:val="110"/>
        </w:rPr>
        <w:t> </w:t>
      </w:r>
      <w:r>
        <w:rPr>
          <w:color w:val="363436"/>
          <w:w w:val="110"/>
        </w:rPr>
        <w:t>court.</w:t>
      </w:r>
    </w:p>
    <w:p>
      <w:pPr>
        <w:spacing w:after="0" w:line="232" w:lineRule="auto"/>
        <w:jc w:val="both"/>
        <w:sectPr>
          <w:pgSz w:w="9590" w:h="14010"/>
          <w:pgMar w:header="591" w:footer="0" w:top="1180" w:bottom="280" w:left="1320" w:right="140"/>
        </w:sectPr>
      </w:pPr>
    </w:p>
    <w:p>
      <w:pPr>
        <w:pStyle w:val="BodyText"/>
        <w:spacing w:before="7"/>
        <w:rPr>
          <w:sz w:val="24"/>
        </w:rPr>
      </w:pPr>
    </w:p>
    <w:p>
      <w:pPr>
        <w:spacing w:before="92"/>
        <w:ind w:left="0" w:right="107" w:firstLine="0"/>
        <w:jc w:val="right"/>
        <w:rPr>
          <w:b/>
          <w:sz w:val="19"/>
        </w:rPr>
      </w:pPr>
      <w:r>
        <w:rPr>
          <w:b/>
          <w:color w:val="383636"/>
          <w:w w:val="120"/>
          <w:sz w:val="19"/>
        </w:rPr>
        <w:t>279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Heading4"/>
        <w:spacing w:before="88"/>
        <w:ind w:left="653"/>
      </w:pPr>
      <w:r>
        <w:rPr>
          <w:color w:val="494849"/>
          <w:w w:val="105"/>
        </w:rPr>
        <w:t>POLISH</w:t>
      </w:r>
      <w:r>
        <w:rPr>
          <w:color w:val="494849"/>
          <w:spacing w:val="-12"/>
          <w:w w:val="105"/>
        </w:rPr>
        <w:t> </w:t>
      </w:r>
      <w:r>
        <w:rPr>
          <w:color w:val="494849"/>
          <w:w w:val="105"/>
        </w:rPr>
        <w:t>NG</w:t>
      </w:r>
    </w:p>
    <w:p>
      <w:pPr>
        <w:pStyle w:val="BodyText"/>
        <w:spacing w:before="5"/>
        <w:rPr>
          <w:rFonts w:ascii="Arial"/>
          <w:b/>
          <w:sz w:val="58"/>
        </w:rPr>
      </w:pPr>
    </w:p>
    <w:p>
      <w:pPr>
        <w:pStyle w:val="ListParagraph"/>
        <w:numPr>
          <w:ilvl w:val="1"/>
          <w:numId w:val="107"/>
        </w:numPr>
        <w:tabs>
          <w:tab w:pos="1335" w:val="left" w:leader="none"/>
        </w:tabs>
        <w:spacing w:line="242" w:lineRule="exact" w:before="0" w:after="0"/>
        <w:ind w:left="1334" w:right="0" w:hanging="621"/>
        <w:jc w:val="left"/>
        <w:rPr>
          <w:sz w:val="21"/>
        </w:rPr>
      </w:pPr>
      <w:r>
        <w:rPr>
          <w:color w:val="383636"/>
          <w:w w:val="105"/>
          <w:sz w:val="21"/>
        </w:rPr>
        <w:t>Methods</w:t>
      </w:r>
      <w:r>
        <w:rPr>
          <w:color w:val="383636"/>
          <w:spacing w:val="5"/>
          <w:w w:val="105"/>
          <w:sz w:val="21"/>
        </w:rPr>
        <w:t> </w:t>
      </w:r>
      <w:r>
        <w:rPr>
          <w:color w:val="383636"/>
          <w:w w:val="105"/>
          <w:sz w:val="21"/>
        </w:rPr>
        <w:t>to</w:t>
      </w:r>
      <w:r>
        <w:rPr>
          <w:color w:val="383636"/>
          <w:spacing w:val="29"/>
          <w:w w:val="105"/>
          <w:sz w:val="21"/>
        </w:rPr>
        <w:t> </w:t>
      </w:r>
      <w:r>
        <w:rPr>
          <w:color w:val="383636"/>
          <w:w w:val="105"/>
          <w:sz w:val="21"/>
        </w:rPr>
        <w:t>Use</w:t>
      </w:r>
      <w:r>
        <w:rPr>
          <w:color w:val="383636"/>
          <w:spacing w:val="-5"/>
          <w:w w:val="105"/>
          <w:sz w:val="21"/>
        </w:rPr>
        <w:t> </w:t>
      </w:r>
      <w:r>
        <w:rPr>
          <w:color w:val="383636"/>
          <w:w w:val="105"/>
          <w:sz w:val="21"/>
        </w:rPr>
        <w:t>on </w:t>
      </w:r>
      <w:r>
        <w:rPr>
          <w:color w:val="383636"/>
          <w:spacing w:val="7"/>
          <w:w w:val="105"/>
          <w:sz w:val="21"/>
        </w:rPr>
        <w:t> </w:t>
      </w:r>
      <w:r>
        <w:rPr>
          <w:color w:val="383636"/>
          <w:w w:val="105"/>
          <w:sz w:val="21"/>
        </w:rPr>
        <w:t>the</w:t>
      </w:r>
      <w:r>
        <w:rPr>
          <w:color w:val="383636"/>
          <w:spacing w:val="49"/>
          <w:w w:val="105"/>
          <w:sz w:val="21"/>
        </w:rPr>
        <w:t> </w:t>
      </w:r>
      <w:r>
        <w:rPr>
          <w:color w:val="494849"/>
          <w:w w:val="105"/>
          <w:sz w:val="21"/>
        </w:rPr>
        <w:t>Computer</w:t>
      </w:r>
    </w:p>
    <w:p>
      <w:pPr>
        <w:pStyle w:val="ListParagraph"/>
        <w:numPr>
          <w:ilvl w:val="1"/>
          <w:numId w:val="107"/>
        </w:numPr>
        <w:tabs>
          <w:tab w:pos="1335" w:val="left" w:leader="none"/>
        </w:tabs>
        <w:spacing w:line="241" w:lineRule="exact" w:before="0" w:after="0"/>
        <w:ind w:left="1334" w:right="0" w:hanging="621"/>
        <w:jc w:val="left"/>
        <w:rPr>
          <w:sz w:val="21"/>
        </w:rPr>
      </w:pPr>
      <w:r>
        <w:rPr>
          <w:color w:val="383636"/>
          <w:w w:val="105"/>
          <w:sz w:val="21"/>
        </w:rPr>
        <w:t>Methods</w:t>
      </w:r>
      <w:r>
        <w:rPr>
          <w:color w:val="383636"/>
          <w:spacing w:val="3"/>
          <w:w w:val="105"/>
          <w:sz w:val="21"/>
        </w:rPr>
        <w:t> </w:t>
      </w:r>
      <w:r>
        <w:rPr>
          <w:color w:val="383636"/>
          <w:w w:val="105"/>
          <w:sz w:val="21"/>
        </w:rPr>
        <w:t>to</w:t>
      </w:r>
      <w:r>
        <w:rPr>
          <w:color w:val="383636"/>
          <w:spacing w:val="26"/>
          <w:w w:val="105"/>
          <w:sz w:val="21"/>
        </w:rPr>
        <w:t> </w:t>
      </w:r>
      <w:r>
        <w:rPr>
          <w:color w:val="383636"/>
          <w:w w:val="105"/>
          <w:sz w:val="21"/>
        </w:rPr>
        <w:t>Use</w:t>
      </w:r>
      <w:r>
        <w:rPr>
          <w:color w:val="383636"/>
          <w:spacing w:val="-18"/>
          <w:w w:val="105"/>
          <w:sz w:val="21"/>
        </w:rPr>
        <w:t> </w:t>
      </w:r>
      <w:r>
        <w:rPr>
          <w:color w:val="383636"/>
          <w:w w:val="105"/>
          <w:sz w:val="21"/>
        </w:rPr>
        <w:t>on</w:t>
      </w:r>
      <w:r>
        <w:rPr>
          <w:color w:val="383636"/>
          <w:spacing w:val="51"/>
          <w:w w:val="105"/>
          <w:sz w:val="21"/>
        </w:rPr>
        <w:t> </w:t>
      </w:r>
      <w:r>
        <w:rPr>
          <w:color w:val="383636"/>
          <w:w w:val="105"/>
          <w:sz w:val="21"/>
        </w:rPr>
        <w:t>the</w:t>
      </w:r>
      <w:r>
        <w:rPr>
          <w:color w:val="383636"/>
          <w:spacing w:val="54"/>
          <w:w w:val="105"/>
          <w:sz w:val="21"/>
        </w:rPr>
        <w:t> </w:t>
      </w:r>
      <w:r>
        <w:rPr>
          <w:color w:val="383636"/>
          <w:w w:val="105"/>
          <w:sz w:val="21"/>
        </w:rPr>
        <w:t>Hard</w:t>
      </w:r>
      <w:r>
        <w:rPr>
          <w:color w:val="383636"/>
          <w:spacing w:val="15"/>
          <w:w w:val="105"/>
          <w:sz w:val="21"/>
        </w:rPr>
        <w:t> </w:t>
      </w:r>
      <w:r>
        <w:rPr>
          <w:color w:val="494849"/>
          <w:w w:val="105"/>
          <w:sz w:val="21"/>
        </w:rPr>
        <w:t>Copy</w:t>
      </w:r>
    </w:p>
    <w:p>
      <w:pPr>
        <w:pStyle w:val="ListParagraph"/>
        <w:numPr>
          <w:ilvl w:val="1"/>
          <w:numId w:val="107"/>
        </w:numPr>
        <w:tabs>
          <w:tab w:pos="1345" w:val="left" w:leader="none"/>
        </w:tabs>
        <w:spacing w:line="241" w:lineRule="exact" w:before="0" w:after="0"/>
        <w:ind w:left="1344" w:right="0" w:hanging="631"/>
        <w:jc w:val="left"/>
        <w:rPr>
          <w:sz w:val="21"/>
        </w:rPr>
      </w:pPr>
      <w:r>
        <w:rPr>
          <w:color w:val="383636"/>
          <w:w w:val="105"/>
          <w:sz w:val="21"/>
        </w:rPr>
        <w:t>Proofreading</w:t>
      </w:r>
      <w:r>
        <w:rPr>
          <w:color w:val="383636"/>
          <w:spacing w:val="12"/>
          <w:w w:val="105"/>
          <w:sz w:val="21"/>
        </w:rPr>
        <w:t> </w:t>
      </w:r>
      <w:r>
        <w:rPr>
          <w:color w:val="383636"/>
          <w:w w:val="105"/>
          <w:sz w:val="21"/>
        </w:rPr>
        <w:t>Yow</w:t>
      </w:r>
      <w:r>
        <w:rPr>
          <w:color w:val="383636"/>
          <w:spacing w:val="4"/>
          <w:w w:val="105"/>
          <w:sz w:val="21"/>
        </w:rPr>
        <w:t> </w:t>
      </w:r>
      <w:r>
        <w:rPr>
          <w:color w:val="383636"/>
          <w:w w:val="105"/>
          <w:sz w:val="21"/>
        </w:rPr>
        <w:t>Revisions</w:t>
      </w:r>
    </w:p>
    <w:p>
      <w:pPr>
        <w:pStyle w:val="ListParagraph"/>
        <w:numPr>
          <w:ilvl w:val="1"/>
          <w:numId w:val="107"/>
        </w:numPr>
        <w:tabs>
          <w:tab w:pos="1332" w:val="left" w:leader="none"/>
        </w:tabs>
        <w:spacing w:line="236" w:lineRule="exact" w:before="0" w:after="0"/>
        <w:ind w:left="1331" w:right="0" w:hanging="609"/>
        <w:jc w:val="left"/>
        <w:rPr>
          <w:sz w:val="21"/>
        </w:rPr>
      </w:pPr>
      <w:r>
        <w:rPr>
          <w:color w:val="383636"/>
          <w:w w:val="110"/>
          <w:sz w:val="21"/>
        </w:rPr>
        <w:t>The</w:t>
      </w:r>
      <w:r>
        <w:rPr>
          <w:color w:val="383636"/>
          <w:spacing w:val="3"/>
          <w:w w:val="110"/>
          <w:sz w:val="21"/>
        </w:rPr>
        <w:t> </w:t>
      </w:r>
      <w:r>
        <w:rPr>
          <w:color w:val="383636"/>
          <w:w w:val="110"/>
          <w:sz w:val="21"/>
        </w:rPr>
        <w:t>Last</w:t>
      </w:r>
      <w:r>
        <w:rPr>
          <w:color w:val="383636"/>
          <w:spacing w:val="-5"/>
          <w:w w:val="110"/>
          <w:sz w:val="21"/>
        </w:rPr>
        <w:t> </w:t>
      </w:r>
      <w:r>
        <w:rPr>
          <w:color w:val="383636"/>
          <w:w w:val="110"/>
          <w:sz w:val="21"/>
        </w:rPr>
        <w:t>Thing</w:t>
      </w:r>
      <w:r>
        <w:rPr>
          <w:color w:val="383636"/>
          <w:spacing w:val="-11"/>
          <w:w w:val="110"/>
          <w:sz w:val="21"/>
        </w:rPr>
        <w:t> </w:t>
      </w:r>
      <w:r>
        <w:rPr>
          <w:color w:val="383636"/>
          <w:w w:val="110"/>
          <w:sz w:val="21"/>
        </w:rPr>
        <w:t>to</w:t>
      </w:r>
      <w:r>
        <w:rPr>
          <w:color w:val="383636"/>
          <w:spacing w:val="12"/>
          <w:w w:val="110"/>
          <w:sz w:val="21"/>
        </w:rPr>
        <w:t> </w:t>
      </w:r>
      <w:r>
        <w:rPr>
          <w:color w:val="383636"/>
          <w:w w:val="110"/>
          <w:sz w:val="21"/>
        </w:rPr>
        <w:t>Do</w:t>
      </w:r>
      <w:r>
        <w:rPr>
          <w:color w:val="383636"/>
          <w:spacing w:val="-16"/>
          <w:w w:val="110"/>
          <w:sz w:val="21"/>
        </w:rPr>
        <w:t> </w:t>
      </w:r>
      <w:r>
        <w:rPr>
          <w:color w:val="383636"/>
          <w:w w:val="110"/>
          <w:sz w:val="21"/>
        </w:rPr>
        <w:t>with</w:t>
      </w:r>
      <w:r>
        <w:rPr>
          <w:color w:val="383636"/>
          <w:spacing w:val="-3"/>
          <w:w w:val="110"/>
          <w:sz w:val="21"/>
        </w:rPr>
        <w:t> </w:t>
      </w:r>
      <w:r>
        <w:rPr>
          <w:color w:val="383636"/>
          <w:w w:val="110"/>
          <w:sz w:val="21"/>
        </w:rPr>
        <w:t>the</w:t>
      </w:r>
      <w:r>
        <w:rPr>
          <w:color w:val="383636"/>
          <w:spacing w:val="17"/>
          <w:w w:val="110"/>
          <w:sz w:val="21"/>
        </w:rPr>
        <w:t> </w:t>
      </w:r>
      <w:r>
        <w:rPr>
          <w:color w:val="383636"/>
          <w:w w:val="110"/>
          <w:sz w:val="21"/>
        </w:rPr>
        <w:t>Document</w:t>
      </w:r>
    </w:p>
    <w:p>
      <w:pPr>
        <w:spacing w:line="237" w:lineRule="exact" w:before="0"/>
        <w:ind w:left="723" w:right="0" w:firstLine="0"/>
        <w:jc w:val="left"/>
        <w:rPr>
          <w:sz w:val="21"/>
        </w:rPr>
      </w:pPr>
      <w:r>
        <w:rPr>
          <w:rFonts w:ascii="Arial"/>
          <w:b/>
          <w:color w:val="383636"/>
          <w:w w:val="110"/>
          <w:sz w:val="21"/>
        </w:rPr>
        <w:t>12.S</w:t>
      </w:r>
      <w:r>
        <w:rPr>
          <w:rFonts w:ascii="Arial"/>
          <w:b/>
          <w:color w:val="383636"/>
          <w:spacing w:val="9"/>
          <w:w w:val="110"/>
          <w:sz w:val="21"/>
        </w:rPr>
        <w:t> </w:t>
      </w:r>
      <w:r>
        <w:rPr>
          <w:color w:val="383636"/>
          <w:w w:val="110"/>
          <w:sz w:val="21"/>
        </w:rPr>
        <w:t>Summary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spacing w:line="235" w:lineRule="auto"/>
        <w:ind w:left="115" w:right="746" w:firstLine="565"/>
        <w:jc w:val="both"/>
      </w:pPr>
      <w:r>
        <w:rPr>
          <w:color w:val="383636"/>
          <w:w w:val="110"/>
        </w:rPr>
        <w:t>Unfortunately, many writers lose interest when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they read advice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about polishing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mechanics of a document because they think that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people do not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notice mechanics or that their administrative assistants will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take care of mechanical problems. First of all, people do notice </w:t>
      </w:r>
      <w:r>
        <w:rPr>
          <w:color w:val="494849"/>
          <w:w w:val="110"/>
        </w:rPr>
        <w:t>"the </w:t>
      </w:r>
      <w:r>
        <w:rPr>
          <w:color w:val="383636"/>
          <w:w w:val="110"/>
        </w:rPr>
        <w:t>small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  <w:sz w:val="22"/>
        </w:rPr>
        <w:t>stuff." </w:t>
      </w:r>
      <w:r>
        <w:rPr>
          <w:color w:val="383636"/>
          <w:w w:val="110"/>
        </w:rPr>
        <w:t>Judge Wald, of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D.C. Circuit, has recommended that counsel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"proofread</w:t>
      </w:r>
      <w:r>
        <w:rPr>
          <w:color w:val="383636"/>
          <w:spacing w:val="6"/>
          <w:w w:val="110"/>
        </w:rPr>
        <w:t> </w:t>
      </w:r>
      <w:r>
        <w:rPr>
          <w:color w:val="383636"/>
          <w:w w:val="110"/>
        </w:rPr>
        <w:t>with</w:t>
      </w:r>
      <w:r>
        <w:rPr>
          <w:color w:val="383636"/>
          <w:spacing w:val="-8"/>
          <w:w w:val="110"/>
        </w:rPr>
        <w:t> </w:t>
      </w:r>
      <w:r>
        <w:rPr>
          <w:color w:val="383636"/>
          <w:w w:val="110"/>
        </w:rPr>
        <w:t>a</w:t>
      </w:r>
      <w:r>
        <w:rPr>
          <w:color w:val="383636"/>
          <w:spacing w:val="2"/>
          <w:w w:val="110"/>
        </w:rPr>
        <w:t> </w:t>
      </w:r>
      <w:r>
        <w:rPr>
          <w:color w:val="383636"/>
          <w:w w:val="110"/>
        </w:rPr>
        <w:t>passion":</w:t>
      </w:r>
    </w:p>
    <w:p>
      <w:pPr>
        <w:spacing w:line="235" w:lineRule="auto" w:before="129"/>
        <w:ind w:left="458" w:right="1095" w:hanging="1"/>
        <w:jc w:val="both"/>
        <w:rPr>
          <w:sz w:val="21"/>
        </w:rPr>
      </w:pPr>
      <w:r>
        <w:rPr>
          <w:color w:val="383636"/>
          <w:w w:val="110"/>
          <w:sz w:val="21"/>
        </w:rPr>
        <w:t>You</w:t>
      </w:r>
      <w:r>
        <w:rPr>
          <w:color w:val="383636"/>
          <w:spacing w:val="-7"/>
          <w:w w:val="110"/>
          <w:sz w:val="21"/>
        </w:rPr>
        <w:t> </w:t>
      </w:r>
      <w:r>
        <w:rPr>
          <w:color w:val="383636"/>
          <w:w w:val="110"/>
          <w:sz w:val="21"/>
        </w:rPr>
        <w:t>cannot</w:t>
      </w:r>
      <w:r>
        <w:rPr>
          <w:color w:val="383636"/>
          <w:spacing w:val="-2"/>
          <w:w w:val="110"/>
          <w:sz w:val="21"/>
        </w:rPr>
        <w:t> </w:t>
      </w:r>
      <w:r>
        <w:rPr>
          <w:color w:val="383636"/>
          <w:w w:val="110"/>
          <w:sz w:val="21"/>
        </w:rPr>
        <w:t>imagine</w:t>
      </w:r>
      <w:r>
        <w:rPr>
          <w:color w:val="383636"/>
          <w:spacing w:val="-1"/>
          <w:w w:val="110"/>
          <w:sz w:val="21"/>
        </w:rPr>
        <w:t> </w:t>
      </w:r>
      <w:r>
        <w:rPr>
          <w:color w:val="383636"/>
          <w:w w:val="110"/>
          <w:sz w:val="21"/>
        </w:rPr>
        <w:t>how</w:t>
      </w:r>
      <w:r>
        <w:rPr>
          <w:color w:val="383636"/>
          <w:spacing w:val="-10"/>
          <w:w w:val="110"/>
          <w:sz w:val="21"/>
        </w:rPr>
        <w:t> </w:t>
      </w:r>
      <w:r>
        <w:rPr>
          <w:color w:val="383636"/>
          <w:w w:val="110"/>
          <w:sz w:val="21"/>
        </w:rPr>
        <w:t>disquieting</w:t>
      </w:r>
      <w:r>
        <w:rPr>
          <w:color w:val="383636"/>
          <w:spacing w:val="-4"/>
          <w:w w:val="110"/>
          <w:sz w:val="21"/>
        </w:rPr>
        <w:t> </w:t>
      </w:r>
      <w:r>
        <w:rPr>
          <w:color w:val="383636"/>
          <w:w w:val="110"/>
          <w:sz w:val="21"/>
        </w:rPr>
        <w:t>it</w:t>
      </w:r>
      <w:r>
        <w:rPr>
          <w:color w:val="383636"/>
          <w:spacing w:val="10"/>
          <w:w w:val="110"/>
          <w:sz w:val="21"/>
        </w:rPr>
        <w:t> </w:t>
      </w:r>
      <w:r>
        <w:rPr>
          <w:color w:val="383636"/>
          <w:w w:val="110"/>
          <w:sz w:val="21"/>
        </w:rPr>
        <w:t>is</w:t>
      </w:r>
      <w:r>
        <w:rPr>
          <w:color w:val="383636"/>
          <w:spacing w:val="-5"/>
          <w:w w:val="110"/>
          <w:sz w:val="21"/>
        </w:rPr>
        <w:t> </w:t>
      </w:r>
      <w:r>
        <w:rPr>
          <w:color w:val="383636"/>
          <w:w w:val="110"/>
          <w:sz w:val="21"/>
        </w:rPr>
        <w:t>to</w:t>
      </w:r>
      <w:r>
        <w:rPr>
          <w:color w:val="383636"/>
          <w:spacing w:val="-2"/>
          <w:w w:val="110"/>
          <w:sz w:val="21"/>
        </w:rPr>
        <w:t> </w:t>
      </w:r>
      <w:r>
        <w:rPr>
          <w:color w:val="383636"/>
          <w:w w:val="110"/>
          <w:sz w:val="21"/>
        </w:rPr>
        <w:t>find</w:t>
      </w:r>
      <w:r>
        <w:rPr>
          <w:color w:val="383636"/>
          <w:spacing w:val="-10"/>
          <w:w w:val="110"/>
          <w:sz w:val="21"/>
        </w:rPr>
        <w:t> </w:t>
      </w:r>
      <w:r>
        <w:rPr>
          <w:color w:val="383636"/>
          <w:w w:val="110"/>
          <w:sz w:val="21"/>
        </w:rPr>
        <w:t>several</w:t>
      </w:r>
      <w:r>
        <w:rPr>
          <w:color w:val="383636"/>
          <w:spacing w:val="-11"/>
          <w:w w:val="110"/>
          <w:sz w:val="21"/>
        </w:rPr>
        <w:t> </w:t>
      </w:r>
      <w:r>
        <w:rPr>
          <w:color w:val="383636"/>
          <w:w w:val="110"/>
          <w:sz w:val="21"/>
        </w:rPr>
        <w:t>spelling</w:t>
      </w:r>
      <w:r>
        <w:rPr>
          <w:color w:val="383636"/>
          <w:spacing w:val="-8"/>
          <w:w w:val="110"/>
          <w:sz w:val="21"/>
        </w:rPr>
        <w:t> </w:t>
      </w:r>
      <w:r>
        <w:rPr>
          <w:color w:val="383636"/>
          <w:w w:val="110"/>
          <w:sz w:val="21"/>
        </w:rPr>
        <w:t>or</w:t>
      </w:r>
      <w:r>
        <w:rPr>
          <w:color w:val="383636"/>
          <w:spacing w:val="-9"/>
          <w:w w:val="110"/>
          <w:sz w:val="21"/>
        </w:rPr>
        <w:t> </w:t>
      </w:r>
      <w:r>
        <w:rPr>
          <w:color w:val="383636"/>
          <w:w w:val="110"/>
          <w:sz w:val="21"/>
        </w:rPr>
        <w:t>gram­</w:t>
      </w:r>
      <w:r>
        <w:rPr>
          <w:color w:val="383636"/>
          <w:spacing w:val="-55"/>
          <w:w w:val="110"/>
          <w:sz w:val="21"/>
        </w:rPr>
        <w:t> </w:t>
      </w:r>
      <w:r>
        <w:rPr>
          <w:color w:val="383636"/>
          <w:w w:val="110"/>
          <w:sz w:val="21"/>
        </w:rPr>
        <w:t>matical</w:t>
      </w:r>
      <w:r>
        <w:rPr>
          <w:color w:val="383636"/>
          <w:spacing w:val="-8"/>
          <w:w w:val="110"/>
          <w:sz w:val="21"/>
        </w:rPr>
        <w:t> </w:t>
      </w:r>
      <w:r>
        <w:rPr>
          <w:color w:val="383636"/>
          <w:w w:val="110"/>
          <w:sz w:val="21"/>
        </w:rPr>
        <w:t>errors</w:t>
      </w:r>
      <w:r>
        <w:rPr>
          <w:color w:val="383636"/>
          <w:spacing w:val="-13"/>
          <w:w w:val="110"/>
          <w:sz w:val="21"/>
        </w:rPr>
        <w:t> </w:t>
      </w:r>
      <w:r>
        <w:rPr>
          <w:color w:val="383636"/>
          <w:w w:val="110"/>
          <w:sz w:val="21"/>
        </w:rPr>
        <w:t>in an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otherwise</w:t>
      </w:r>
      <w:r>
        <w:rPr>
          <w:color w:val="383636"/>
          <w:spacing w:val="-15"/>
          <w:w w:val="110"/>
          <w:sz w:val="21"/>
        </w:rPr>
        <w:t> </w:t>
      </w:r>
      <w:r>
        <w:rPr>
          <w:color w:val="383636"/>
          <w:w w:val="110"/>
          <w:sz w:val="21"/>
        </w:rPr>
        <w:t>competent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brief.</w:t>
      </w:r>
      <w:r>
        <w:rPr>
          <w:color w:val="383636"/>
          <w:spacing w:val="-34"/>
          <w:w w:val="110"/>
          <w:sz w:val="21"/>
        </w:rPr>
        <w:t> </w:t>
      </w:r>
      <w:r>
        <w:rPr>
          <w:color w:val="383636"/>
          <w:w w:val="110"/>
          <w:sz w:val="21"/>
        </w:rPr>
        <w:t>It</w:t>
      </w:r>
      <w:r>
        <w:rPr>
          <w:color w:val="383636"/>
          <w:spacing w:val="-5"/>
          <w:w w:val="110"/>
          <w:sz w:val="21"/>
        </w:rPr>
        <w:t> </w:t>
      </w:r>
      <w:r>
        <w:rPr>
          <w:color w:val="383636"/>
          <w:w w:val="110"/>
          <w:sz w:val="21"/>
        </w:rPr>
        <w:t>makes</w:t>
      </w:r>
      <w:r>
        <w:rPr>
          <w:color w:val="383636"/>
          <w:spacing w:val="-10"/>
          <w:w w:val="110"/>
          <w:sz w:val="21"/>
        </w:rPr>
        <w:t> </w:t>
      </w:r>
      <w:r>
        <w:rPr>
          <w:color w:val="383636"/>
          <w:w w:val="110"/>
          <w:sz w:val="21"/>
        </w:rPr>
        <w:t>the</w:t>
      </w:r>
      <w:r>
        <w:rPr>
          <w:color w:val="383636"/>
          <w:spacing w:val="32"/>
          <w:w w:val="110"/>
          <w:sz w:val="21"/>
        </w:rPr>
        <w:t> </w:t>
      </w:r>
      <w:r>
        <w:rPr>
          <w:color w:val="383636"/>
          <w:w w:val="110"/>
          <w:sz w:val="21"/>
        </w:rPr>
        <w:t>judge</w:t>
      </w:r>
      <w:r>
        <w:rPr>
          <w:color w:val="383636"/>
          <w:spacing w:val="-22"/>
          <w:w w:val="110"/>
          <w:sz w:val="21"/>
        </w:rPr>
        <w:t> </w:t>
      </w:r>
      <w:r>
        <w:rPr>
          <w:color w:val="383636"/>
          <w:w w:val="110"/>
          <w:sz w:val="21"/>
        </w:rPr>
        <w:t>go</w:t>
      </w:r>
      <w:r>
        <w:rPr>
          <w:color w:val="383636"/>
          <w:spacing w:val="3"/>
          <w:w w:val="110"/>
          <w:sz w:val="21"/>
        </w:rPr>
        <w:t> </w:t>
      </w:r>
      <w:r>
        <w:rPr>
          <w:color w:val="383636"/>
          <w:w w:val="110"/>
          <w:sz w:val="21"/>
        </w:rPr>
        <w:t>back</w:t>
      </w:r>
      <w:r>
        <w:rPr>
          <w:color w:val="383636"/>
          <w:spacing w:val="-56"/>
          <w:w w:val="110"/>
          <w:sz w:val="21"/>
        </w:rPr>
        <w:t> </w:t>
      </w:r>
      <w:r>
        <w:rPr>
          <w:color w:val="383636"/>
          <w:w w:val="115"/>
          <w:sz w:val="21"/>
        </w:rPr>
        <w:t>to square one in evaluating the counsel. It says-worst of </w:t>
      </w:r>
      <w:r>
        <w:rPr>
          <w:color w:val="383636"/>
          <w:w w:val="130"/>
          <w:sz w:val="21"/>
        </w:rPr>
        <w:t>all-the </w:t>
      </w:r>
      <w:r>
        <w:rPr>
          <w:color w:val="383636"/>
          <w:w w:val="115"/>
          <w:sz w:val="21"/>
        </w:rPr>
        <w:t>author</w:t>
      </w:r>
      <w:r>
        <w:rPr>
          <w:color w:val="383636"/>
          <w:spacing w:val="-58"/>
          <w:w w:val="115"/>
          <w:sz w:val="21"/>
        </w:rPr>
        <w:t> </w:t>
      </w:r>
      <w:r>
        <w:rPr>
          <w:color w:val="383636"/>
          <w:w w:val="110"/>
          <w:sz w:val="21"/>
        </w:rPr>
        <w:t>never</w:t>
      </w:r>
      <w:r>
        <w:rPr>
          <w:color w:val="383636"/>
          <w:spacing w:val="13"/>
          <w:w w:val="110"/>
          <w:sz w:val="21"/>
        </w:rPr>
        <w:t> </w:t>
      </w:r>
      <w:r>
        <w:rPr>
          <w:color w:val="383636"/>
          <w:w w:val="110"/>
          <w:sz w:val="21"/>
        </w:rPr>
        <w:t>bothered</w:t>
      </w:r>
      <w:r>
        <w:rPr>
          <w:color w:val="383636"/>
          <w:spacing w:val="24"/>
          <w:w w:val="110"/>
          <w:sz w:val="21"/>
        </w:rPr>
        <w:t> </w:t>
      </w:r>
      <w:r>
        <w:rPr>
          <w:color w:val="383636"/>
          <w:w w:val="110"/>
          <w:sz w:val="21"/>
        </w:rPr>
        <w:t>to</w:t>
      </w:r>
      <w:r>
        <w:rPr>
          <w:color w:val="383636"/>
          <w:spacing w:val="23"/>
          <w:w w:val="110"/>
          <w:sz w:val="21"/>
        </w:rPr>
        <w:t> </w:t>
      </w:r>
      <w:r>
        <w:rPr>
          <w:color w:val="383636"/>
          <w:w w:val="110"/>
          <w:sz w:val="21"/>
        </w:rPr>
        <w:t>read</w:t>
      </w:r>
      <w:r>
        <w:rPr>
          <w:color w:val="383636"/>
          <w:spacing w:val="6"/>
          <w:w w:val="110"/>
          <w:sz w:val="21"/>
        </w:rPr>
        <w:t> </w:t>
      </w:r>
      <w:r>
        <w:rPr>
          <w:color w:val="383636"/>
          <w:w w:val="110"/>
          <w:sz w:val="21"/>
        </w:rPr>
        <w:t>the</w:t>
      </w:r>
      <w:r>
        <w:rPr>
          <w:color w:val="383636"/>
          <w:spacing w:val="31"/>
          <w:w w:val="110"/>
          <w:sz w:val="21"/>
        </w:rPr>
        <w:t> </w:t>
      </w:r>
      <w:r>
        <w:rPr>
          <w:color w:val="383636"/>
          <w:w w:val="110"/>
          <w:sz w:val="21"/>
        </w:rPr>
        <w:t>whole thing</w:t>
      </w:r>
      <w:r>
        <w:rPr>
          <w:color w:val="383636"/>
          <w:spacing w:val="-10"/>
          <w:w w:val="110"/>
          <w:sz w:val="21"/>
        </w:rPr>
        <w:t> </w:t>
      </w:r>
      <w:r>
        <w:rPr>
          <w:color w:val="383636"/>
          <w:w w:val="110"/>
          <w:sz w:val="21"/>
        </w:rPr>
        <w:t>through,</w:t>
      </w:r>
      <w:r>
        <w:rPr>
          <w:color w:val="383636"/>
          <w:spacing w:val="17"/>
          <w:w w:val="110"/>
          <w:sz w:val="21"/>
        </w:rPr>
        <w:t> </w:t>
      </w:r>
      <w:r>
        <w:rPr>
          <w:color w:val="383636"/>
          <w:w w:val="110"/>
          <w:sz w:val="21"/>
        </w:rPr>
        <w:t>but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she</w:t>
      </w:r>
      <w:r>
        <w:rPr>
          <w:color w:val="383636"/>
          <w:spacing w:val="-10"/>
          <w:w w:val="110"/>
          <w:sz w:val="21"/>
        </w:rPr>
        <w:t> </w:t>
      </w:r>
      <w:r>
        <w:rPr>
          <w:color w:val="383636"/>
          <w:w w:val="110"/>
          <w:sz w:val="21"/>
        </w:rPr>
        <w:t>expects</w:t>
      </w:r>
      <w:r>
        <w:rPr>
          <w:color w:val="383636"/>
          <w:spacing w:val="-10"/>
          <w:w w:val="110"/>
          <w:sz w:val="21"/>
        </w:rPr>
        <w:t> </w:t>
      </w:r>
      <w:r>
        <w:rPr>
          <w:color w:val="383636"/>
          <w:w w:val="110"/>
          <w:sz w:val="21"/>
        </w:rPr>
        <w:t>us</w:t>
      </w:r>
      <w:r>
        <w:rPr>
          <w:color w:val="383636"/>
          <w:spacing w:val="7"/>
          <w:w w:val="110"/>
          <w:sz w:val="21"/>
        </w:rPr>
        <w:t> </w:t>
      </w:r>
      <w:r>
        <w:rPr>
          <w:color w:val="383636"/>
          <w:w w:val="110"/>
          <w:sz w:val="21"/>
        </w:rPr>
        <w:t>to.</w:t>
      </w:r>
      <w:r>
        <w:rPr>
          <w:color w:val="383636"/>
          <w:w w:val="110"/>
          <w:sz w:val="21"/>
          <w:vertAlign w:val="superscript"/>
        </w:rPr>
        <w:t>1</w:t>
      </w:r>
    </w:p>
    <w:p>
      <w:pPr>
        <w:pStyle w:val="BodyText"/>
        <w:spacing w:line="235" w:lineRule="auto" w:before="143"/>
        <w:ind w:left="134" w:right="678" w:firstLine="332"/>
        <w:jc w:val="both"/>
      </w:pPr>
      <w:r>
        <w:rPr>
          <w:color w:val="383636"/>
          <w:w w:val="110"/>
        </w:rPr>
        <w:t>Fairly or unfairly, many readers see mechanical mistakes as a sign of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overall incompetence; too many typographical errors may lead the  judge</w:t>
      </w:r>
      <w:r>
        <w:rPr>
          <w:color w:val="383636"/>
          <w:spacing w:val="1"/>
          <w:w w:val="110"/>
        </w:rPr>
        <w:t> </w:t>
      </w:r>
      <w:r>
        <w:rPr>
          <w:color w:val="383636"/>
          <w:spacing w:val="-1"/>
          <w:w w:val="110"/>
        </w:rPr>
        <w:t>to mistrust the validity of the legal analysis. </w:t>
      </w:r>
      <w:r>
        <w:rPr>
          <w:color w:val="383636"/>
          <w:w w:val="110"/>
        </w:rPr>
        <w:t>Justice </w:t>
      </w:r>
      <w:r>
        <w:rPr>
          <w:color w:val="494849"/>
          <w:w w:val="110"/>
        </w:rPr>
        <w:t>Ginsburg </w:t>
      </w:r>
      <w:r>
        <w:rPr>
          <w:color w:val="383636"/>
          <w:w w:val="110"/>
        </w:rPr>
        <w:t>has observed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that if a  brief is "sloppy" in regard to mechanics, "the judge may suspect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its reliability in other respects as well."</w:t>
      </w:r>
      <w:r>
        <w:rPr>
          <w:rFonts w:ascii="Arial" w:hAnsi="Arial"/>
          <w:color w:val="383636"/>
          <w:w w:val="110"/>
          <w:vertAlign w:val="superscript"/>
        </w:rPr>
        <w:t>2</w:t>
      </w:r>
      <w:r>
        <w:rPr>
          <w:rFonts w:ascii="Arial" w:hAnsi="Arial"/>
          <w:color w:val="383636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In a 1994 case, a federal district</w:t>
      </w:r>
      <w:r>
        <w:rPr>
          <w:color w:val="383636"/>
          <w:spacing w:val="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judge dismissing a complaint ordered a </w:t>
      </w:r>
      <w:r>
        <w:rPr>
          <w:color w:val="494849"/>
          <w:w w:val="110"/>
          <w:vertAlign w:val="baseline"/>
        </w:rPr>
        <w:t>sanctions </w:t>
      </w:r>
      <w:r>
        <w:rPr>
          <w:color w:val="383636"/>
          <w:w w:val="110"/>
          <w:vertAlign w:val="baseline"/>
        </w:rPr>
        <w:t>hearing for the plain­</w:t>
      </w:r>
      <w:r>
        <w:rPr>
          <w:color w:val="383636"/>
          <w:spacing w:val="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tiff's attorney,</w:t>
      </w:r>
      <w:r>
        <w:rPr>
          <w:color w:val="383636"/>
          <w:spacing w:val="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noting that the attorney's  mechanical </w:t>
      </w:r>
      <w:r>
        <w:rPr>
          <w:color w:val="494849"/>
          <w:w w:val="110"/>
          <w:vertAlign w:val="baseline"/>
        </w:rPr>
        <w:t>errors </w:t>
      </w:r>
      <w:r>
        <w:rPr>
          <w:color w:val="383636"/>
          <w:w w:val="110"/>
          <w:vertAlign w:val="baseline"/>
        </w:rPr>
        <w:t>were evidence</w:t>
      </w:r>
      <w:r>
        <w:rPr>
          <w:color w:val="383636"/>
          <w:spacing w:val="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of</w:t>
      </w:r>
      <w:r>
        <w:rPr>
          <w:color w:val="383636"/>
          <w:spacing w:val="-9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a</w:t>
      </w:r>
      <w:r>
        <w:rPr>
          <w:color w:val="383636"/>
          <w:spacing w:val="8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lack</w:t>
      </w:r>
      <w:r>
        <w:rPr>
          <w:color w:val="383636"/>
          <w:spacing w:val="-16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of</w:t>
      </w:r>
      <w:r>
        <w:rPr>
          <w:color w:val="383636"/>
          <w:spacing w:val="6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due</w:t>
      </w:r>
      <w:r>
        <w:rPr>
          <w:color w:val="383636"/>
          <w:spacing w:val="5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care:</w:t>
      </w:r>
    </w:p>
    <w:p>
      <w:pPr>
        <w:spacing w:line="232" w:lineRule="auto" w:before="122"/>
        <w:ind w:left="472" w:right="1039" w:firstLine="9"/>
        <w:jc w:val="both"/>
        <w:rPr>
          <w:sz w:val="21"/>
        </w:rPr>
      </w:pPr>
      <w:r>
        <w:rPr>
          <w:color w:val="383636"/>
          <w:w w:val="115"/>
          <w:sz w:val="21"/>
        </w:rPr>
        <w:t>[Counsel] </w:t>
      </w:r>
      <w:r>
        <w:rPr>
          <w:color w:val="494849"/>
          <w:w w:val="115"/>
          <w:sz w:val="21"/>
        </w:rPr>
        <w:t>continues </w:t>
      </w:r>
      <w:r>
        <w:rPr>
          <w:color w:val="383636"/>
          <w:w w:val="115"/>
          <w:sz w:val="21"/>
        </w:rPr>
        <w:t>to submit documents to this Court with grammati­</w:t>
      </w:r>
      <w:r>
        <w:rPr>
          <w:color w:val="383636"/>
          <w:spacing w:val="-58"/>
          <w:w w:val="115"/>
          <w:sz w:val="21"/>
        </w:rPr>
        <w:t> </w:t>
      </w:r>
      <w:r>
        <w:rPr>
          <w:color w:val="383636"/>
          <w:spacing w:val="-1"/>
          <w:w w:val="109"/>
          <w:sz w:val="21"/>
        </w:rPr>
        <w:t>ca</w:t>
      </w:r>
      <w:r>
        <w:rPr>
          <w:color w:val="383636"/>
          <w:w w:val="109"/>
          <w:sz w:val="21"/>
        </w:rPr>
        <w:t>l</w:t>
      </w:r>
      <w:r>
        <w:rPr>
          <w:color w:val="383636"/>
          <w:spacing w:val="16"/>
          <w:sz w:val="21"/>
        </w:rPr>
        <w:t> </w:t>
      </w:r>
      <w:r>
        <w:rPr>
          <w:color w:val="383636"/>
          <w:spacing w:val="-1"/>
          <w:w w:val="111"/>
          <w:sz w:val="21"/>
        </w:rPr>
        <w:t>error</w:t>
      </w:r>
      <w:r>
        <w:rPr>
          <w:color w:val="383636"/>
          <w:w w:val="111"/>
          <w:sz w:val="21"/>
        </w:rPr>
        <w:t>s</w:t>
      </w:r>
      <w:r>
        <w:rPr>
          <w:color w:val="383636"/>
          <w:spacing w:val="20"/>
          <w:sz w:val="21"/>
        </w:rPr>
        <w:t> </w:t>
      </w:r>
      <w:r>
        <w:rPr>
          <w:color w:val="383636"/>
          <w:spacing w:val="-1"/>
          <w:w w:val="111"/>
          <w:sz w:val="21"/>
        </w:rPr>
        <w:t>an</w:t>
      </w:r>
      <w:r>
        <w:rPr>
          <w:color w:val="383636"/>
          <w:w w:val="111"/>
          <w:sz w:val="21"/>
        </w:rPr>
        <w:t>d</w:t>
      </w:r>
      <w:r>
        <w:rPr>
          <w:color w:val="383636"/>
          <w:sz w:val="21"/>
        </w:rPr>
        <w:t> </w:t>
      </w:r>
      <w:r>
        <w:rPr>
          <w:color w:val="383636"/>
          <w:spacing w:val="16"/>
          <w:sz w:val="21"/>
        </w:rPr>
        <w:t> </w:t>
      </w:r>
      <w:r>
        <w:rPr>
          <w:color w:val="383636"/>
          <w:spacing w:val="-1"/>
          <w:w w:val="112"/>
          <w:sz w:val="21"/>
        </w:rPr>
        <w:t>misstatement</w:t>
      </w:r>
      <w:r>
        <w:rPr>
          <w:color w:val="383636"/>
          <w:w w:val="112"/>
          <w:sz w:val="21"/>
        </w:rPr>
        <w:t>s</w:t>
      </w:r>
      <w:r>
        <w:rPr>
          <w:color w:val="494849"/>
          <w:w w:val="265"/>
          <w:sz w:val="21"/>
        </w:rPr>
        <w:t>....</w:t>
      </w:r>
      <w:r>
        <w:rPr>
          <w:color w:val="494849"/>
          <w:spacing w:val="-19"/>
          <w:sz w:val="21"/>
        </w:rPr>
        <w:t> </w:t>
      </w:r>
      <w:r>
        <w:rPr>
          <w:color w:val="383636"/>
          <w:spacing w:val="-1"/>
          <w:w w:val="108"/>
          <w:sz w:val="21"/>
        </w:rPr>
        <w:t>Moreover</w:t>
      </w:r>
      <w:r>
        <w:rPr>
          <w:color w:val="383636"/>
          <w:w w:val="108"/>
          <w:sz w:val="21"/>
        </w:rPr>
        <w:t>,</w:t>
      </w:r>
      <w:r>
        <w:rPr>
          <w:color w:val="383636"/>
          <w:sz w:val="21"/>
        </w:rPr>
        <w:t> </w:t>
      </w:r>
      <w:r>
        <w:rPr>
          <w:color w:val="383636"/>
          <w:spacing w:val="-18"/>
          <w:sz w:val="21"/>
        </w:rPr>
        <w:t> </w:t>
      </w:r>
      <w:r>
        <w:rPr>
          <w:color w:val="383636"/>
          <w:spacing w:val="-1"/>
          <w:w w:val="116"/>
          <w:sz w:val="21"/>
        </w:rPr>
        <w:t>throughou</w:t>
      </w:r>
      <w:r>
        <w:rPr>
          <w:color w:val="383636"/>
          <w:w w:val="116"/>
          <w:sz w:val="21"/>
        </w:rPr>
        <w:t>t</w:t>
      </w:r>
      <w:r>
        <w:rPr>
          <w:color w:val="383636"/>
          <w:sz w:val="21"/>
        </w:rPr>
        <w:t> </w:t>
      </w:r>
      <w:r>
        <w:rPr>
          <w:color w:val="383636"/>
          <w:spacing w:val="-11"/>
          <w:sz w:val="21"/>
        </w:rPr>
        <w:t> </w:t>
      </w:r>
      <w:r>
        <w:rPr>
          <w:color w:val="383636"/>
          <w:spacing w:val="-1"/>
          <w:w w:val="116"/>
          <w:sz w:val="21"/>
        </w:rPr>
        <w:t>th</w:t>
      </w:r>
      <w:r>
        <w:rPr>
          <w:color w:val="383636"/>
          <w:w w:val="116"/>
          <w:sz w:val="21"/>
        </w:rPr>
        <w:t>e</w:t>
      </w:r>
      <w:r>
        <w:rPr>
          <w:color w:val="383636"/>
          <w:sz w:val="21"/>
        </w:rPr>
        <w:t> </w:t>
      </w:r>
      <w:r>
        <w:rPr>
          <w:color w:val="383636"/>
          <w:spacing w:val="-8"/>
          <w:sz w:val="21"/>
        </w:rPr>
        <w:t> </w:t>
      </w:r>
      <w:r>
        <w:rPr>
          <w:color w:val="383636"/>
          <w:spacing w:val="-1"/>
          <w:w w:val="110"/>
          <w:sz w:val="21"/>
        </w:rPr>
        <w:t>Amended </w:t>
      </w:r>
      <w:r>
        <w:rPr>
          <w:color w:val="383636"/>
          <w:w w:val="115"/>
          <w:sz w:val="21"/>
        </w:rPr>
        <w:t>Complaint [the attorney] repeatedly refers to his client as "he" instead</w:t>
      </w:r>
      <w:r>
        <w:rPr>
          <w:color w:val="383636"/>
          <w:spacing w:val="1"/>
          <w:w w:val="115"/>
          <w:sz w:val="21"/>
        </w:rPr>
        <w:t> </w:t>
      </w:r>
      <w:r>
        <w:rPr>
          <w:color w:val="383636"/>
          <w:w w:val="110"/>
          <w:sz w:val="21"/>
        </w:rPr>
        <w:t>of</w:t>
      </w:r>
      <w:r>
        <w:rPr>
          <w:color w:val="383636"/>
          <w:spacing w:val="6"/>
          <w:w w:val="110"/>
          <w:sz w:val="21"/>
        </w:rPr>
        <w:t> </w:t>
      </w:r>
      <w:r>
        <w:rPr>
          <w:color w:val="494849"/>
          <w:w w:val="110"/>
          <w:sz w:val="21"/>
        </w:rPr>
        <w:t>"she."</w:t>
      </w:r>
      <w:r>
        <w:rPr>
          <w:color w:val="494849"/>
          <w:spacing w:val="-33"/>
          <w:w w:val="110"/>
          <w:sz w:val="21"/>
        </w:rPr>
        <w:t> </w:t>
      </w:r>
      <w:r>
        <w:rPr>
          <w:color w:val="383636"/>
          <w:w w:val="110"/>
          <w:sz w:val="21"/>
        </w:rPr>
        <w:t>These</w:t>
      </w:r>
      <w:r>
        <w:rPr>
          <w:color w:val="383636"/>
          <w:spacing w:val="-6"/>
          <w:w w:val="110"/>
          <w:sz w:val="21"/>
        </w:rPr>
        <w:t> </w:t>
      </w:r>
      <w:r>
        <w:rPr>
          <w:color w:val="383636"/>
          <w:w w:val="110"/>
          <w:sz w:val="21"/>
        </w:rPr>
        <w:t>types</w:t>
      </w:r>
      <w:r>
        <w:rPr>
          <w:color w:val="383636"/>
          <w:spacing w:val="-22"/>
          <w:w w:val="110"/>
          <w:sz w:val="21"/>
        </w:rPr>
        <w:t> </w:t>
      </w:r>
      <w:r>
        <w:rPr>
          <w:color w:val="383636"/>
          <w:w w:val="110"/>
          <w:sz w:val="21"/>
        </w:rPr>
        <w:t>of</w:t>
      </w:r>
      <w:r>
        <w:rPr>
          <w:color w:val="383636"/>
          <w:spacing w:val="4"/>
          <w:w w:val="110"/>
          <w:sz w:val="21"/>
        </w:rPr>
        <w:t> </w:t>
      </w:r>
      <w:r>
        <w:rPr>
          <w:color w:val="383636"/>
          <w:w w:val="110"/>
          <w:sz w:val="21"/>
        </w:rPr>
        <w:t>errors</w:t>
      </w:r>
      <w:r>
        <w:rPr>
          <w:color w:val="383636"/>
          <w:spacing w:val="-14"/>
          <w:w w:val="110"/>
          <w:sz w:val="21"/>
        </w:rPr>
        <w:t> </w:t>
      </w:r>
      <w:r>
        <w:rPr>
          <w:color w:val="494849"/>
          <w:w w:val="110"/>
          <w:sz w:val="21"/>
        </w:rPr>
        <w:t>strongly</w:t>
      </w:r>
      <w:r>
        <w:rPr>
          <w:color w:val="494849"/>
          <w:spacing w:val="-6"/>
          <w:w w:val="110"/>
          <w:sz w:val="21"/>
        </w:rPr>
        <w:t> </w:t>
      </w:r>
      <w:r>
        <w:rPr>
          <w:color w:val="494849"/>
          <w:w w:val="110"/>
          <w:sz w:val="21"/>
        </w:rPr>
        <w:t>suggest</w:t>
      </w:r>
      <w:r>
        <w:rPr>
          <w:color w:val="494849"/>
          <w:spacing w:val="15"/>
          <w:w w:val="110"/>
          <w:sz w:val="21"/>
        </w:rPr>
        <w:t> </w:t>
      </w:r>
      <w:r>
        <w:rPr>
          <w:color w:val="383636"/>
          <w:w w:val="110"/>
          <w:sz w:val="21"/>
        </w:rPr>
        <w:t>that</w:t>
      </w:r>
      <w:r>
        <w:rPr>
          <w:color w:val="383636"/>
          <w:spacing w:val="8"/>
          <w:w w:val="110"/>
          <w:sz w:val="21"/>
        </w:rPr>
        <w:t> </w:t>
      </w:r>
      <w:r>
        <w:rPr>
          <w:color w:val="383636"/>
          <w:w w:val="110"/>
          <w:sz w:val="21"/>
        </w:rPr>
        <w:t>Mr.</w:t>
      </w:r>
      <w:r>
        <w:rPr>
          <w:color w:val="383636"/>
          <w:spacing w:val="-10"/>
          <w:w w:val="110"/>
          <w:sz w:val="21"/>
        </w:rPr>
        <w:t> </w:t>
      </w:r>
      <w:r>
        <w:rPr>
          <w:color w:val="383636"/>
          <w:w w:val="110"/>
          <w:sz w:val="21"/>
        </w:rPr>
        <w:t>Williams</w:t>
      </w:r>
      <w:r>
        <w:rPr>
          <w:color w:val="383636"/>
          <w:spacing w:val="4"/>
          <w:w w:val="110"/>
          <w:sz w:val="21"/>
        </w:rPr>
        <w:t> </w:t>
      </w:r>
      <w:r>
        <w:rPr>
          <w:color w:val="383636"/>
          <w:w w:val="110"/>
          <w:sz w:val="21"/>
        </w:rPr>
        <w:t>has</w:t>
      </w:r>
      <w:r>
        <w:rPr>
          <w:color w:val="383636"/>
          <w:spacing w:val="29"/>
          <w:w w:val="110"/>
          <w:sz w:val="21"/>
        </w:rPr>
        <w:t> </w:t>
      </w:r>
      <w:r>
        <w:rPr>
          <w:color w:val="383636"/>
          <w:w w:val="110"/>
          <w:sz w:val="21"/>
        </w:rPr>
        <w:t>not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31"/>
        </w:rPr>
      </w:pPr>
    </w:p>
    <w:p>
      <w:pPr>
        <w:spacing w:before="0"/>
        <w:ind w:left="501" w:right="0" w:firstLine="0"/>
        <w:jc w:val="left"/>
        <w:rPr>
          <w:sz w:val="18"/>
        </w:rPr>
      </w:pPr>
      <w:r>
        <w:rPr>
          <w:color w:val="383636"/>
          <w:spacing w:val="-1"/>
          <w:w w:val="105"/>
          <w:sz w:val="18"/>
        </w:rPr>
        <w:t>'Patricia</w:t>
      </w:r>
      <w:r>
        <w:rPr>
          <w:color w:val="383636"/>
          <w:spacing w:val="10"/>
          <w:w w:val="105"/>
          <w:sz w:val="18"/>
        </w:rPr>
        <w:t> </w:t>
      </w:r>
      <w:r>
        <w:rPr>
          <w:color w:val="383636"/>
          <w:spacing w:val="-1"/>
          <w:w w:val="105"/>
          <w:sz w:val="18"/>
        </w:rPr>
        <w:t>M.</w:t>
      </w:r>
      <w:r>
        <w:rPr>
          <w:color w:val="383636"/>
          <w:spacing w:val="-12"/>
          <w:w w:val="105"/>
          <w:sz w:val="18"/>
        </w:rPr>
        <w:t> </w:t>
      </w:r>
      <w:r>
        <w:rPr>
          <w:color w:val="383636"/>
          <w:spacing w:val="-1"/>
          <w:w w:val="105"/>
          <w:sz w:val="18"/>
        </w:rPr>
        <w:t>Wald,</w:t>
      </w:r>
      <w:r>
        <w:rPr>
          <w:color w:val="383636"/>
          <w:spacing w:val="-11"/>
          <w:w w:val="105"/>
          <w:sz w:val="18"/>
        </w:rPr>
        <w:t> </w:t>
      </w:r>
      <w:r>
        <w:rPr>
          <w:i/>
          <w:color w:val="383636"/>
          <w:spacing w:val="-1"/>
          <w:w w:val="105"/>
          <w:sz w:val="17"/>
        </w:rPr>
        <w:t>19</w:t>
      </w:r>
      <w:r>
        <w:rPr>
          <w:i/>
          <w:color w:val="383636"/>
          <w:spacing w:val="12"/>
          <w:w w:val="105"/>
          <w:sz w:val="17"/>
        </w:rPr>
        <w:t> </w:t>
      </w:r>
      <w:r>
        <w:rPr>
          <w:i/>
          <w:color w:val="383636"/>
          <w:spacing w:val="-1"/>
          <w:w w:val="105"/>
          <w:sz w:val="17"/>
        </w:rPr>
        <w:t>Tips</w:t>
      </w:r>
      <w:r>
        <w:rPr>
          <w:i/>
          <w:color w:val="383636"/>
          <w:spacing w:val="12"/>
          <w:w w:val="105"/>
          <w:sz w:val="17"/>
        </w:rPr>
        <w:t> </w:t>
      </w:r>
      <w:r>
        <w:rPr>
          <w:i/>
          <w:color w:val="383636"/>
          <w:spacing w:val="-1"/>
          <w:w w:val="105"/>
          <w:sz w:val="17"/>
        </w:rPr>
        <w:t>from</w:t>
      </w:r>
      <w:r>
        <w:rPr>
          <w:i/>
          <w:color w:val="383636"/>
          <w:spacing w:val="-5"/>
          <w:w w:val="105"/>
          <w:sz w:val="17"/>
        </w:rPr>
        <w:t> </w:t>
      </w:r>
      <w:r>
        <w:rPr>
          <w:i/>
          <w:color w:val="383636"/>
          <w:spacing w:val="-1"/>
          <w:w w:val="105"/>
          <w:sz w:val="17"/>
        </w:rPr>
        <w:t>19</w:t>
      </w:r>
      <w:r>
        <w:rPr>
          <w:i/>
          <w:color w:val="383636"/>
          <w:spacing w:val="13"/>
          <w:w w:val="105"/>
          <w:sz w:val="17"/>
        </w:rPr>
        <w:t> </w:t>
      </w:r>
      <w:r>
        <w:rPr>
          <w:i/>
          <w:color w:val="383636"/>
          <w:spacing w:val="-1"/>
          <w:w w:val="105"/>
          <w:sz w:val="17"/>
        </w:rPr>
        <w:t>Years</w:t>
      </w:r>
      <w:r>
        <w:rPr>
          <w:i/>
          <w:color w:val="383636"/>
          <w:spacing w:val="-17"/>
          <w:w w:val="105"/>
          <w:sz w:val="17"/>
        </w:rPr>
        <w:t> </w:t>
      </w:r>
      <w:r>
        <w:rPr>
          <w:i/>
          <w:color w:val="383636"/>
          <w:spacing w:val="-1"/>
          <w:w w:val="105"/>
          <w:sz w:val="17"/>
        </w:rPr>
        <w:t>on</w:t>
      </w:r>
      <w:r>
        <w:rPr>
          <w:i/>
          <w:color w:val="383636"/>
          <w:spacing w:val="19"/>
          <w:w w:val="105"/>
          <w:sz w:val="17"/>
        </w:rPr>
        <w:t> </w:t>
      </w:r>
      <w:r>
        <w:rPr>
          <w:i/>
          <w:color w:val="494849"/>
          <w:spacing w:val="-1"/>
          <w:w w:val="105"/>
          <w:sz w:val="17"/>
        </w:rPr>
        <w:t>the</w:t>
      </w:r>
      <w:r>
        <w:rPr>
          <w:i/>
          <w:color w:val="494849"/>
          <w:spacing w:val="19"/>
          <w:w w:val="105"/>
          <w:sz w:val="17"/>
        </w:rPr>
        <w:t> </w:t>
      </w:r>
      <w:r>
        <w:rPr>
          <w:i/>
          <w:color w:val="383636"/>
          <w:spacing w:val="-1"/>
          <w:w w:val="105"/>
          <w:sz w:val="17"/>
        </w:rPr>
        <w:t>Appellate</w:t>
      </w:r>
      <w:r>
        <w:rPr>
          <w:i/>
          <w:color w:val="383636"/>
          <w:spacing w:val="-2"/>
          <w:w w:val="105"/>
          <w:sz w:val="17"/>
        </w:rPr>
        <w:t> </w:t>
      </w:r>
      <w:r>
        <w:rPr>
          <w:i/>
          <w:color w:val="383636"/>
          <w:spacing w:val="-1"/>
          <w:w w:val="105"/>
          <w:sz w:val="17"/>
        </w:rPr>
        <w:t>Be11cll,</w:t>
      </w:r>
      <w:r>
        <w:rPr>
          <w:i/>
          <w:color w:val="383636"/>
          <w:spacing w:val="-17"/>
          <w:w w:val="105"/>
          <w:sz w:val="17"/>
        </w:rPr>
        <w:t> </w:t>
      </w:r>
      <w:r>
        <w:rPr>
          <w:color w:val="383636"/>
          <w:w w:val="105"/>
          <w:sz w:val="18"/>
        </w:rPr>
        <w:t>1</w:t>
      </w:r>
      <w:r>
        <w:rPr>
          <w:color w:val="383636"/>
          <w:spacing w:val="3"/>
          <w:w w:val="105"/>
          <w:sz w:val="18"/>
        </w:rPr>
        <w:t> </w:t>
      </w:r>
      <w:r>
        <w:rPr>
          <w:color w:val="383636"/>
          <w:w w:val="105"/>
          <w:sz w:val="21"/>
        </w:rPr>
        <w:t>J.</w:t>
      </w:r>
      <w:r>
        <w:rPr>
          <w:color w:val="383636"/>
          <w:spacing w:val="-24"/>
          <w:w w:val="105"/>
          <w:sz w:val="21"/>
        </w:rPr>
        <w:t> </w:t>
      </w:r>
      <w:r>
        <w:rPr>
          <w:color w:val="383636"/>
          <w:w w:val="105"/>
          <w:sz w:val="18"/>
        </w:rPr>
        <w:t>App.</w:t>
      </w:r>
      <w:r>
        <w:rPr>
          <w:color w:val="383636"/>
          <w:spacing w:val="-10"/>
          <w:w w:val="105"/>
          <w:sz w:val="18"/>
        </w:rPr>
        <w:t> </w:t>
      </w:r>
      <w:r>
        <w:rPr>
          <w:color w:val="383636"/>
          <w:w w:val="105"/>
          <w:sz w:val="18"/>
        </w:rPr>
        <w:t>Prac.</w:t>
      </w:r>
      <w:r>
        <w:rPr>
          <w:color w:val="383636"/>
          <w:spacing w:val="-23"/>
          <w:w w:val="105"/>
          <w:sz w:val="18"/>
        </w:rPr>
        <w:t> </w:t>
      </w:r>
      <w:r>
        <w:rPr>
          <w:color w:val="383636"/>
          <w:w w:val="105"/>
          <w:sz w:val="16"/>
        </w:rPr>
        <w:t>&amp;</w:t>
      </w:r>
      <w:r>
        <w:rPr>
          <w:color w:val="383636"/>
          <w:spacing w:val="15"/>
          <w:w w:val="105"/>
          <w:sz w:val="16"/>
        </w:rPr>
        <w:t> </w:t>
      </w:r>
      <w:r>
        <w:rPr>
          <w:color w:val="383636"/>
          <w:w w:val="105"/>
          <w:sz w:val="18"/>
        </w:rPr>
        <w:t>Process 7,</w:t>
      </w:r>
      <w:r>
        <w:rPr>
          <w:color w:val="383636"/>
          <w:spacing w:val="-5"/>
          <w:w w:val="105"/>
          <w:sz w:val="18"/>
        </w:rPr>
        <w:t> </w:t>
      </w:r>
      <w:r>
        <w:rPr>
          <w:color w:val="383636"/>
          <w:w w:val="105"/>
          <w:sz w:val="18"/>
        </w:rPr>
        <w:t>22</w:t>
      </w:r>
    </w:p>
    <w:p>
      <w:pPr>
        <w:spacing w:line="165" w:lineRule="exact" w:before="17"/>
        <w:ind w:left="165" w:right="0" w:firstLine="0"/>
        <w:jc w:val="left"/>
        <w:rPr>
          <w:sz w:val="16"/>
        </w:rPr>
      </w:pPr>
      <w:r>
        <w:rPr>
          <w:color w:val="383636"/>
          <w:w w:val="110"/>
          <w:sz w:val="16"/>
        </w:rPr>
        <w:t>(1999).</w:t>
      </w:r>
    </w:p>
    <w:p>
      <w:pPr>
        <w:spacing w:line="199" w:lineRule="exact" w:before="0"/>
        <w:ind w:left="496" w:right="0" w:firstLine="0"/>
        <w:jc w:val="left"/>
        <w:rPr>
          <w:sz w:val="18"/>
        </w:rPr>
      </w:pPr>
      <w:r>
        <w:rPr>
          <w:rFonts w:ascii="Arial"/>
          <w:color w:val="383636"/>
          <w:position w:val="4"/>
          <w:sz w:val="10"/>
        </w:rPr>
        <w:t>2</w:t>
      </w:r>
      <w:r>
        <w:rPr>
          <w:color w:val="383636"/>
          <w:sz w:val="18"/>
        </w:rPr>
        <w:t>Ruth</w:t>
      </w:r>
      <w:r>
        <w:rPr>
          <w:color w:val="383636"/>
          <w:spacing w:val="25"/>
          <w:sz w:val="18"/>
        </w:rPr>
        <w:t> </w:t>
      </w:r>
      <w:r>
        <w:rPr>
          <w:color w:val="383636"/>
          <w:sz w:val="18"/>
        </w:rPr>
        <w:t>Bader Ginsburg,</w:t>
      </w:r>
      <w:r>
        <w:rPr>
          <w:color w:val="383636"/>
          <w:spacing w:val="8"/>
          <w:sz w:val="18"/>
        </w:rPr>
        <w:t> </w:t>
      </w:r>
      <w:r>
        <w:rPr>
          <w:i/>
          <w:color w:val="383636"/>
          <w:sz w:val="19"/>
        </w:rPr>
        <w:t>Remarks</w:t>
      </w:r>
      <w:r>
        <w:rPr>
          <w:i/>
          <w:color w:val="383636"/>
          <w:spacing w:val="3"/>
          <w:sz w:val="19"/>
        </w:rPr>
        <w:t> </w:t>
      </w:r>
      <w:r>
        <w:rPr>
          <w:i/>
          <w:color w:val="383636"/>
          <w:sz w:val="19"/>
        </w:rPr>
        <w:t>on</w:t>
      </w:r>
      <w:r>
        <w:rPr>
          <w:i/>
          <w:color w:val="383636"/>
          <w:spacing w:val="19"/>
          <w:sz w:val="19"/>
        </w:rPr>
        <w:t> </w:t>
      </w:r>
      <w:r>
        <w:rPr>
          <w:i/>
          <w:color w:val="383636"/>
          <w:sz w:val="19"/>
        </w:rPr>
        <w:t>Appellate</w:t>
      </w:r>
      <w:r>
        <w:rPr>
          <w:i/>
          <w:color w:val="383636"/>
          <w:spacing w:val="-4"/>
          <w:sz w:val="19"/>
        </w:rPr>
        <w:t> </w:t>
      </w:r>
      <w:r>
        <w:rPr>
          <w:i/>
          <w:color w:val="383636"/>
          <w:sz w:val="19"/>
        </w:rPr>
        <w:t>Advocacy,</w:t>
      </w:r>
      <w:r>
        <w:rPr>
          <w:i/>
          <w:color w:val="383636"/>
          <w:spacing w:val="-15"/>
          <w:sz w:val="19"/>
        </w:rPr>
        <w:t> </w:t>
      </w:r>
      <w:r>
        <w:rPr>
          <w:color w:val="383636"/>
          <w:sz w:val="18"/>
        </w:rPr>
        <w:t>SO</w:t>
      </w:r>
      <w:r>
        <w:rPr>
          <w:color w:val="383636"/>
          <w:spacing w:val="-27"/>
          <w:sz w:val="18"/>
        </w:rPr>
        <w:t> </w:t>
      </w:r>
      <w:r>
        <w:rPr>
          <w:color w:val="383636"/>
          <w:sz w:val="18"/>
        </w:rPr>
        <w:t>S.C.</w:t>
      </w:r>
      <w:r>
        <w:rPr>
          <w:color w:val="383636"/>
          <w:spacing w:val="-6"/>
          <w:sz w:val="18"/>
        </w:rPr>
        <w:t> </w:t>
      </w:r>
      <w:r>
        <w:rPr>
          <w:color w:val="383636"/>
          <w:sz w:val="18"/>
        </w:rPr>
        <w:t>L.</w:t>
      </w:r>
      <w:r>
        <w:rPr>
          <w:color w:val="383636"/>
          <w:spacing w:val="5"/>
          <w:sz w:val="18"/>
        </w:rPr>
        <w:t> </w:t>
      </w:r>
      <w:r>
        <w:rPr>
          <w:color w:val="383636"/>
          <w:sz w:val="18"/>
        </w:rPr>
        <w:t>Rev</w:t>
      </w:r>
      <w:r>
        <w:rPr>
          <w:color w:val="59595B"/>
          <w:sz w:val="18"/>
        </w:rPr>
        <w:t>.</w:t>
      </w:r>
      <w:r>
        <w:rPr>
          <w:color w:val="59595B"/>
          <w:spacing w:val="3"/>
          <w:sz w:val="18"/>
        </w:rPr>
        <w:t> </w:t>
      </w:r>
      <w:r>
        <w:rPr>
          <w:color w:val="383636"/>
          <w:sz w:val="18"/>
        </w:rPr>
        <w:t>567</w:t>
      </w:r>
      <w:r>
        <w:rPr>
          <w:color w:val="59595B"/>
          <w:sz w:val="18"/>
        </w:rPr>
        <w:t>,</w:t>
      </w:r>
      <w:r>
        <w:rPr>
          <w:color w:val="59595B"/>
          <w:spacing w:val="4"/>
          <w:sz w:val="18"/>
        </w:rPr>
        <w:t> </w:t>
      </w:r>
      <w:r>
        <w:rPr>
          <w:color w:val="383636"/>
          <w:sz w:val="18"/>
        </w:rPr>
        <w:t>568</w:t>
      </w:r>
      <w:r>
        <w:rPr>
          <w:color w:val="383636"/>
          <w:spacing w:val="8"/>
          <w:sz w:val="18"/>
        </w:rPr>
        <w:t> </w:t>
      </w:r>
      <w:r>
        <w:rPr>
          <w:color w:val="383636"/>
          <w:sz w:val="18"/>
        </w:rPr>
        <w:t>(1999).</w:t>
      </w:r>
    </w:p>
    <w:p>
      <w:pPr>
        <w:spacing w:after="0" w:line="199" w:lineRule="exact"/>
        <w:jc w:val="left"/>
        <w:rPr>
          <w:sz w:val="18"/>
        </w:rPr>
        <w:sectPr>
          <w:headerReference w:type="default" r:id="rId315"/>
          <w:pgSz w:w="9800" w:h="14010"/>
          <w:pgMar w:header="0" w:footer="0" w:top="120" w:bottom="0" w:left="320" w:right="1100"/>
        </w:sectPr>
      </w:pPr>
    </w:p>
    <w:p>
      <w:pPr>
        <w:spacing w:before="81"/>
        <w:ind w:left="966" w:right="340" w:firstLine="0"/>
        <w:jc w:val="left"/>
        <w:rPr>
          <w:rFonts w:ascii="Arial"/>
          <w:sz w:val="21"/>
        </w:rPr>
      </w:pPr>
      <w:r>
        <w:rPr>
          <w:color w:val="3B3A3B"/>
          <w:w w:val="105"/>
          <w:sz w:val="21"/>
        </w:rPr>
        <w:t>taken the appropriate care to</w:t>
      </w:r>
      <w:r>
        <w:rPr>
          <w:color w:val="3B3A3B"/>
          <w:spacing w:val="1"/>
          <w:w w:val="105"/>
          <w:sz w:val="21"/>
        </w:rPr>
        <w:t> </w:t>
      </w:r>
      <w:r>
        <w:rPr>
          <w:color w:val="3B3A3B"/>
          <w:w w:val="105"/>
          <w:sz w:val="21"/>
        </w:rPr>
        <w:t>avoid errors before submitting documents</w:t>
      </w:r>
      <w:r>
        <w:rPr>
          <w:color w:val="3B3A3B"/>
          <w:spacing w:val="-53"/>
          <w:w w:val="105"/>
          <w:sz w:val="21"/>
        </w:rPr>
        <w:t> </w:t>
      </w:r>
      <w:r>
        <w:rPr>
          <w:color w:val="3B3A3B"/>
          <w:w w:val="105"/>
          <w:sz w:val="21"/>
        </w:rPr>
        <w:t>to</w:t>
      </w:r>
      <w:r>
        <w:rPr>
          <w:color w:val="3B3A3B"/>
          <w:spacing w:val="-6"/>
          <w:w w:val="105"/>
          <w:sz w:val="21"/>
        </w:rPr>
        <w:t> </w:t>
      </w:r>
      <w:r>
        <w:rPr>
          <w:color w:val="3B3A3B"/>
          <w:w w:val="105"/>
          <w:sz w:val="21"/>
        </w:rPr>
        <w:t>this</w:t>
      </w:r>
      <w:r>
        <w:rPr>
          <w:color w:val="3B3A3B"/>
          <w:spacing w:val="-27"/>
          <w:w w:val="105"/>
          <w:sz w:val="21"/>
        </w:rPr>
        <w:t> </w:t>
      </w:r>
      <w:r>
        <w:rPr>
          <w:color w:val="3B3A3B"/>
          <w:w w:val="105"/>
          <w:sz w:val="21"/>
        </w:rPr>
        <w:t>Court.</w:t>
      </w:r>
      <w:r>
        <w:rPr>
          <w:rFonts w:ascii="Arial"/>
          <w:color w:val="3B3A3B"/>
          <w:w w:val="105"/>
          <w:sz w:val="21"/>
          <w:vertAlign w:val="superscript"/>
        </w:rPr>
        <w:t>3</w:t>
      </w:r>
    </w:p>
    <w:p>
      <w:pPr>
        <w:pStyle w:val="BodyText"/>
        <w:spacing w:line="232" w:lineRule="auto" w:before="140"/>
        <w:ind w:left="612" w:right="119" w:firstLine="2"/>
        <w:jc w:val="both"/>
        <w:rPr>
          <w:sz w:val="19"/>
        </w:rPr>
      </w:pPr>
      <w:r>
        <w:rPr>
          <w:color w:val="3B3A3B"/>
        </w:rPr>
        <w:t>To take a more practical view, failure to take care with polishing may cost</w:t>
      </w:r>
      <w:r>
        <w:rPr>
          <w:color w:val="3B3A3B"/>
          <w:spacing w:val="1"/>
        </w:rPr>
        <w:t> </w:t>
      </w:r>
      <w:r>
        <w:rPr>
          <w:color w:val="3B3A3B"/>
        </w:rPr>
        <w:t>you money. In a case that received wide publicity (including a story in the</w:t>
      </w:r>
      <w:r>
        <w:rPr>
          <w:color w:val="3B3A3B"/>
          <w:spacing w:val="1"/>
        </w:rPr>
        <w:t> </w:t>
      </w:r>
      <w:r>
        <w:rPr>
          <w:rFonts w:ascii="Arial" w:hAnsi="Arial"/>
          <w:i/>
          <w:color w:val="3B3A3B"/>
          <w:sz w:val="21"/>
        </w:rPr>
        <w:t>New York Times)</w:t>
      </w:r>
      <w:r>
        <w:rPr>
          <w:rFonts w:ascii="Arial" w:hAnsi="Arial"/>
          <w:i/>
          <w:color w:val="565656"/>
          <w:sz w:val="21"/>
        </w:rPr>
        <w:t>, </w:t>
      </w:r>
      <w:r>
        <w:rPr>
          <w:color w:val="3B3A3B"/>
        </w:rPr>
        <w:t>an attorney whose courtroom work was praised had his</w:t>
      </w:r>
      <w:r>
        <w:rPr>
          <w:color w:val="3B3A3B"/>
          <w:spacing w:val="1"/>
        </w:rPr>
        <w:t> </w:t>
      </w:r>
      <w:r>
        <w:rPr>
          <w:color w:val="3B3A3B"/>
          <w:w w:val="105"/>
        </w:rPr>
        <w:t>fees for his written work cut  in  half-from $300 to  </w:t>
      </w:r>
      <w:r>
        <w:rPr>
          <w:i/>
          <w:color w:val="3B3A3B"/>
          <w:w w:val="105"/>
          <w:sz w:val="22"/>
        </w:rPr>
        <w:t>$150  </w:t>
      </w:r>
      <w:r>
        <w:rPr>
          <w:color w:val="3B3A3B"/>
          <w:w w:val="105"/>
        </w:rPr>
        <w:t>per hour-due</w:t>
      </w:r>
      <w:r>
        <w:rPr>
          <w:color w:val="3B3A3B"/>
          <w:spacing w:val="1"/>
          <w:w w:val="105"/>
        </w:rPr>
        <w:t> </w:t>
      </w:r>
      <w:r>
        <w:rPr>
          <w:color w:val="3B3A3B"/>
        </w:rPr>
        <w:t>in large part to sloppy proofreading.</w:t>
      </w:r>
      <w:r>
        <w:rPr>
          <w:rFonts w:ascii="Arial" w:hAnsi="Arial"/>
          <w:color w:val="3B3A3B"/>
          <w:vertAlign w:val="superscript"/>
        </w:rPr>
        <w:t>4</w:t>
      </w:r>
      <w:r>
        <w:rPr>
          <w:rFonts w:ascii="Arial" w:hAnsi="Arial"/>
          <w:color w:val="3B3A3B"/>
          <w:vertAlign w:val="baseline"/>
        </w:rPr>
        <w:t> </w:t>
      </w:r>
      <w:r>
        <w:rPr>
          <w:color w:val="3B3A3B"/>
          <w:vertAlign w:val="baseline"/>
        </w:rPr>
        <w:t>When he was interviewed about the</w:t>
      </w:r>
      <w:r>
        <w:rPr>
          <w:color w:val="3B3A3B"/>
          <w:spacing w:val="1"/>
          <w:vertAlign w:val="baseline"/>
        </w:rPr>
        <w:t> </w:t>
      </w:r>
      <w:r>
        <w:rPr>
          <w:color w:val="3B3A3B"/>
          <w:vertAlign w:val="baseline"/>
        </w:rPr>
        <w:t>case, the federal judge who decided on the award of attorneys' fees com­</w:t>
      </w:r>
      <w:r>
        <w:rPr>
          <w:color w:val="3B3A3B"/>
          <w:spacing w:val="1"/>
          <w:vertAlign w:val="baseline"/>
        </w:rPr>
        <w:t> </w:t>
      </w:r>
      <w:r>
        <w:rPr>
          <w:color w:val="3B3A3B"/>
          <w:spacing w:val="-1"/>
          <w:w w:val="105"/>
          <w:vertAlign w:val="baseline"/>
        </w:rPr>
        <w:t>mented that "no matter how good you </w:t>
      </w:r>
      <w:r>
        <w:rPr>
          <w:color w:val="3B3A3B"/>
          <w:w w:val="105"/>
          <w:vertAlign w:val="baseline"/>
        </w:rPr>
        <w:t>are in front of the</w:t>
      </w:r>
      <w:r>
        <w:rPr>
          <w:color w:val="3B3A3B"/>
          <w:spacing w:val="1"/>
          <w:w w:val="105"/>
          <w:vertAlign w:val="baseline"/>
        </w:rPr>
        <w:t> </w:t>
      </w:r>
      <w:r>
        <w:rPr>
          <w:color w:val="3B3A3B"/>
          <w:w w:val="105"/>
          <w:vertAlign w:val="baseline"/>
        </w:rPr>
        <w:t>jury, most </w:t>
      </w:r>
      <w:r>
        <w:rPr>
          <w:rFonts w:ascii="Arial" w:hAnsi="Arial"/>
          <w:color w:val="3B3A3B"/>
          <w:w w:val="105"/>
          <w:sz w:val="22"/>
          <w:vertAlign w:val="baseline"/>
        </w:rPr>
        <w:t>of</w:t>
      </w:r>
      <w:r>
        <w:rPr>
          <w:rFonts w:ascii="Arial" w:hAnsi="Arial"/>
          <w:color w:val="3B3A3B"/>
          <w:spacing w:val="1"/>
          <w:w w:val="105"/>
          <w:sz w:val="22"/>
          <w:vertAlign w:val="baseline"/>
        </w:rPr>
        <w:t> </w:t>
      </w:r>
      <w:r>
        <w:rPr>
          <w:color w:val="3B3A3B"/>
          <w:spacing w:val="-1"/>
          <w:w w:val="105"/>
          <w:vertAlign w:val="baseline"/>
        </w:rPr>
        <w:t>your</w:t>
      </w:r>
      <w:r>
        <w:rPr>
          <w:color w:val="3B3A3B"/>
          <w:spacing w:val="-4"/>
          <w:w w:val="105"/>
          <w:vertAlign w:val="baseline"/>
        </w:rPr>
        <w:t> </w:t>
      </w:r>
      <w:r>
        <w:rPr>
          <w:color w:val="3B3A3B"/>
          <w:spacing w:val="-1"/>
          <w:w w:val="105"/>
          <w:vertAlign w:val="baseline"/>
        </w:rPr>
        <w:t>reputation's</w:t>
      </w:r>
      <w:r>
        <w:rPr>
          <w:color w:val="3B3A3B"/>
          <w:spacing w:val="-18"/>
          <w:w w:val="105"/>
          <w:vertAlign w:val="baseline"/>
        </w:rPr>
        <w:t> </w:t>
      </w:r>
      <w:r>
        <w:rPr>
          <w:color w:val="3B3A3B"/>
          <w:w w:val="105"/>
          <w:vertAlign w:val="baseline"/>
        </w:rPr>
        <w:t>going</w:t>
      </w:r>
      <w:r>
        <w:rPr>
          <w:color w:val="3B3A3B"/>
          <w:spacing w:val="-9"/>
          <w:w w:val="105"/>
          <w:vertAlign w:val="baseline"/>
        </w:rPr>
        <w:t> </w:t>
      </w:r>
      <w:r>
        <w:rPr>
          <w:color w:val="3B3A3B"/>
          <w:w w:val="105"/>
          <w:vertAlign w:val="baseline"/>
        </w:rPr>
        <w:t>to</w:t>
      </w:r>
      <w:r>
        <w:rPr>
          <w:color w:val="3B3A3B"/>
          <w:spacing w:val="8"/>
          <w:w w:val="105"/>
          <w:vertAlign w:val="baseline"/>
        </w:rPr>
        <w:t> </w:t>
      </w:r>
      <w:r>
        <w:rPr>
          <w:color w:val="3B3A3B"/>
          <w:w w:val="105"/>
          <w:vertAlign w:val="baseline"/>
        </w:rPr>
        <w:t>be</w:t>
      </w:r>
      <w:r>
        <w:rPr>
          <w:color w:val="3B3A3B"/>
          <w:spacing w:val="-15"/>
          <w:w w:val="105"/>
          <w:vertAlign w:val="baseline"/>
        </w:rPr>
        <w:t> </w:t>
      </w:r>
      <w:r>
        <w:rPr>
          <w:color w:val="3B3A3B"/>
          <w:w w:val="105"/>
          <w:vertAlign w:val="baseline"/>
        </w:rPr>
        <w:t>built</w:t>
      </w:r>
      <w:r>
        <w:rPr>
          <w:color w:val="3B3A3B"/>
          <w:spacing w:val="-12"/>
          <w:w w:val="105"/>
          <w:vertAlign w:val="baseline"/>
        </w:rPr>
        <w:t> </w:t>
      </w:r>
      <w:r>
        <w:rPr>
          <w:color w:val="3B3A3B"/>
          <w:w w:val="105"/>
          <w:vertAlign w:val="baseline"/>
        </w:rPr>
        <w:t>on</w:t>
      </w:r>
      <w:r>
        <w:rPr>
          <w:color w:val="3B3A3B"/>
          <w:spacing w:val="21"/>
          <w:w w:val="105"/>
          <w:vertAlign w:val="baseline"/>
        </w:rPr>
        <w:t> </w:t>
      </w:r>
      <w:r>
        <w:rPr>
          <w:color w:val="3B3A3B"/>
          <w:w w:val="105"/>
          <w:vertAlign w:val="baseline"/>
        </w:rPr>
        <w:t>what</w:t>
      </w:r>
      <w:r>
        <w:rPr>
          <w:color w:val="3B3A3B"/>
          <w:spacing w:val="-5"/>
          <w:w w:val="105"/>
          <w:vertAlign w:val="baseline"/>
        </w:rPr>
        <w:t> </w:t>
      </w:r>
      <w:r>
        <w:rPr>
          <w:color w:val="3B3A3B"/>
          <w:w w:val="105"/>
          <w:vertAlign w:val="baseline"/>
        </w:rPr>
        <w:t>you</w:t>
      </w:r>
      <w:r>
        <w:rPr>
          <w:color w:val="3B3A3B"/>
          <w:spacing w:val="3"/>
          <w:w w:val="105"/>
          <w:vertAlign w:val="baseline"/>
        </w:rPr>
        <w:t> </w:t>
      </w:r>
      <w:r>
        <w:rPr>
          <w:color w:val="3B3A3B"/>
          <w:w w:val="105"/>
          <w:vertAlign w:val="baseline"/>
        </w:rPr>
        <w:t>write.</w:t>
      </w:r>
      <w:r>
        <w:rPr>
          <w:color w:val="3B3A3B"/>
          <w:w w:val="105"/>
          <w:sz w:val="19"/>
          <w:vertAlign w:val="baseline"/>
        </w:rPr>
        <w:t>,,s</w:t>
      </w:r>
    </w:p>
    <w:p>
      <w:pPr>
        <w:pStyle w:val="BodyText"/>
        <w:spacing w:line="232" w:lineRule="auto"/>
        <w:ind w:left="622" w:right="140" w:firstLine="329"/>
        <w:jc w:val="both"/>
      </w:pPr>
      <w:r>
        <w:rPr>
          <w:color w:val="3B3A3B"/>
        </w:rPr>
        <w:t>The second reason you must learn polishing skills is that you probably</w:t>
      </w:r>
      <w:r>
        <w:rPr>
          <w:color w:val="3B3A3B"/>
          <w:spacing w:val="1"/>
        </w:rPr>
        <w:t> </w:t>
      </w:r>
      <w:r>
        <w:rPr>
          <w:color w:val="3B3A3B"/>
          <w:w w:val="105"/>
        </w:rPr>
        <w:t>cannot afford an assistant who can do this level of polishing. You must</w:t>
      </w:r>
      <w:r>
        <w:rPr>
          <w:color w:val="3B3A3B"/>
          <w:spacing w:val="1"/>
          <w:w w:val="105"/>
        </w:rPr>
        <w:t> </w:t>
      </w:r>
      <w:r>
        <w:rPr>
          <w:color w:val="3B3A3B"/>
        </w:rPr>
        <w:t>take responsibility for polishing the</w:t>
      </w:r>
      <w:r>
        <w:rPr>
          <w:color w:val="3B3A3B"/>
          <w:spacing w:val="1"/>
        </w:rPr>
        <w:t> </w:t>
      </w:r>
      <w:r>
        <w:rPr>
          <w:color w:val="3B3A3B"/>
        </w:rPr>
        <w:t>mechanics of</w:t>
      </w:r>
      <w:r>
        <w:rPr>
          <w:color w:val="3B3A3B"/>
          <w:spacing w:val="1"/>
        </w:rPr>
        <w:t> </w:t>
      </w:r>
      <w:r>
        <w:rPr>
          <w:color w:val="3B3A3B"/>
        </w:rPr>
        <w:t>your legal documents</w:t>
      </w:r>
      <w:r>
        <w:rPr>
          <w:color w:val="3B3A3B"/>
          <w:spacing w:val="1"/>
        </w:rPr>
        <w:t> </w:t>
      </w:r>
      <w:r>
        <w:rPr>
          <w:color w:val="3B3A3B"/>
        </w:rPr>
        <w:t>because</w:t>
      </w:r>
      <w:r>
        <w:rPr>
          <w:color w:val="3B3A3B"/>
          <w:spacing w:val="-2"/>
        </w:rPr>
        <w:t> </w:t>
      </w:r>
      <w:r>
        <w:rPr>
          <w:color w:val="3B3A3B"/>
        </w:rPr>
        <w:t>your</w:t>
      </w:r>
      <w:r>
        <w:rPr>
          <w:color w:val="3B3A3B"/>
          <w:spacing w:val="6"/>
        </w:rPr>
        <w:t> </w:t>
      </w:r>
      <w:r>
        <w:rPr>
          <w:color w:val="3B3A3B"/>
        </w:rPr>
        <w:t>document</w:t>
      </w:r>
      <w:r>
        <w:rPr>
          <w:color w:val="3B3A3B"/>
          <w:spacing w:val="17"/>
        </w:rPr>
        <w:t> </w:t>
      </w:r>
      <w:r>
        <w:rPr>
          <w:color w:val="3B3A3B"/>
        </w:rPr>
        <w:t>reflects</w:t>
      </w:r>
      <w:r>
        <w:rPr>
          <w:color w:val="3B3A3B"/>
          <w:spacing w:val="2"/>
        </w:rPr>
        <w:t> </w:t>
      </w:r>
      <w:r>
        <w:rPr>
          <w:color w:val="3B3A3B"/>
        </w:rPr>
        <w:t>on</w:t>
      </w:r>
      <w:r>
        <w:rPr>
          <w:color w:val="3B3A3B"/>
          <w:spacing w:val="11"/>
        </w:rPr>
        <w:t> </w:t>
      </w:r>
      <w:r>
        <w:rPr>
          <w:color w:val="3B3A3B"/>
        </w:rPr>
        <w:t>your</w:t>
      </w:r>
      <w:r>
        <w:rPr>
          <w:color w:val="3B3A3B"/>
          <w:spacing w:val="14"/>
        </w:rPr>
        <w:t> </w:t>
      </w:r>
      <w:r>
        <w:rPr>
          <w:color w:val="3B3A3B"/>
        </w:rPr>
        <w:t>client</w:t>
      </w:r>
      <w:r>
        <w:rPr>
          <w:color w:val="3B3A3B"/>
          <w:spacing w:val="3"/>
        </w:rPr>
        <w:t> </w:t>
      </w:r>
      <w:r>
        <w:rPr>
          <w:color w:val="3B3A3B"/>
        </w:rPr>
        <w:t>and</w:t>
      </w:r>
      <w:r>
        <w:rPr>
          <w:color w:val="3B3A3B"/>
          <w:spacing w:val="40"/>
        </w:rPr>
        <w:t> </w:t>
      </w:r>
      <w:r>
        <w:rPr>
          <w:color w:val="3B3A3B"/>
        </w:rPr>
        <w:t>on</w:t>
      </w:r>
      <w:r>
        <w:rPr>
          <w:color w:val="3B3A3B"/>
          <w:spacing w:val="45"/>
        </w:rPr>
        <w:t> </w:t>
      </w:r>
      <w:r>
        <w:rPr>
          <w:color w:val="3B3A3B"/>
        </w:rPr>
        <w:t>your</w:t>
      </w:r>
      <w:r>
        <w:rPr>
          <w:color w:val="3B3A3B"/>
          <w:spacing w:val="3"/>
        </w:rPr>
        <w:t> </w:t>
      </w:r>
      <w:r>
        <w:rPr>
          <w:color w:val="3B3A3B"/>
        </w:rPr>
        <w:t>competence.</w:t>
      </w:r>
    </w:p>
    <w:p>
      <w:pPr>
        <w:pStyle w:val="BodyText"/>
        <w:spacing w:line="232" w:lineRule="auto" w:before="2"/>
        <w:ind w:left="610" w:right="122" w:firstLine="345"/>
        <w:jc w:val="both"/>
      </w:pPr>
      <w:r>
        <w:rPr>
          <w:color w:val="3B3A3B"/>
          <w:w w:val="105"/>
        </w:rPr>
        <w:t>Polishing is hard for the same reason that revision is hard. Most </w:t>
      </w:r>
      <w:r>
        <w:rPr>
          <w:color w:val="3B3A3B"/>
        </w:rPr>
        <w:t>peo­</w:t>
      </w:r>
      <w:r>
        <w:rPr>
          <w:color w:val="3B3A3B"/>
          <w:spacing w:val="-55"/>
        </w:rPr>
        <w:t> </w:t>
      </w:r>
      <w:r>
        <w:rPr>
          <w:color w:val="3B3A3B"/>
          <w:w w:val="105"/>
        </w:rPr>
        <w:t>ple don't really see their writing when they review it</w:t>
      </w:r>
      <w:r>
        <w:rPr>
          <w:color w:val="565656"/>
          <w:w w:val="105"/>
        </w:rPr>
        <w:t>. </w:t>
      </w:r>
      <w:r>
        <w:rPr>
          <w:color w:val="3B3A3B"/>
          <w:w w:val="105"/>
        </w:rPr>
        <w:t>Instead, they </w:t>
      </w:r>
      <w:r>
        <w:rPr>
          <w:color w:val="3B3A3B"/>
        </w:rPr>
        <w:t>see</w:t>
      </w:r>
      <w:r>
        <w:rPr>
          <w:color w:val="3B3A3B"/>
          <w:spacing w:val="1"/>
        </w:rPr>
        <w:t> </w:t>
      </w:r>
      <w:r>
        <w:rPr>
          <w:color w:val="3B3A3B"/>
          <w:w w:val="105"/>
        </w:rPr>
        <w:t>the document that they meant to write; their short-term memory inter</w:t>
      </w:r>
      <w:r>
        <w:rPr>
          <w:color w:val="565656"/>
          <w:w w:val="105"/>
        </w:rPr>
        <w:t>­</w:t>
      </w:r>
      <w:r>
        <w:rPr>
          <w:color w:val="565656"/>
          <w:spacing w:val="1"/>
          <w:w w:val="105"/>
        </w:rPr>
        <w:t> </w:t>
      </w:r>
      <w:r>
        <w:rPr>
          <w:color w:val="3B3A3B"/>
        </w:rPr>
        <w:t>feres with their ability to see typographical errors or other problems. For</w:t>
      </w:r>
      <w:r>
        <w:rPr>
          <w:color w:val="3B3A3B"/>
          <w:spacing w:val="1"/>
        </w:rPr>
        <w:t> </w:t>
      </w:r>
      <w:r>
        <w:rPr>
          <w:color w:val="3B3A3B"/>
        </w:rPr>
        <w:t>that reason, this chapter identifies some objective methods for polishing</w:t>
      </w:r>
      <w:r>
        <w:rPr>
          <w:color w:val="3B3A3B"/>
          <w:spacing w:val="1"/>
        </w:rPr>
        <w:t> </w:t>
      </w:r>
      <w:r>
        <w:rPr>
          <w:color w:val="3B3A3B"/>
          <w:w w:val="105"/>
        </w:rPr>
        <w:t>that will help you to break up that relationship between your short-term</w:t>
      </w:r>
      <w:r>
        <w:rPr>
          <w:color w:val="3B3A3B"/>
          <w:spacing w:val="1"/>
          <w:w w:val="105"/>
        </w:rPr>
        <w:t> </w:t>
      </w:r>
      <w:r>
        <w:rPr>
          <w:color w:val="3B3A3B"/>
          <w:spacing w:val="-1"/>
          <w:w w:val="105"/>
        </w:rPr>
        <w:t>memory</w:t>
      </w:r>
      <w:r>
        <w:rPr>
          <w:color w:val="3B3A3B"/>
          <w:spacing w:val="-12"/>
          <w:w w:val="105"/>
        </w:rPr>
        <w:t> </w:t>
      </w:r>
      <w:r>
        <w:rPr>
          <w:color w:val="3B3A3B"/>
          <w:spacing w:val="-1"/>
          <w:w w:val="105"/>
        </w:rPr>
        <w:t>and</w:t>
      </w:r>
      <w:r>
        <w:rPr>
          <w:color w:val="3B3A3B"/>
          <w:spacing w:val="-15"/>
          <w:w w:val="105"/>
        </w:rPr>
        <w:t> </w:t>
      </w:r>
      <w:r>
        <w:rPr>
          <w:color w:val="3B3A3B"/>
          <w:spacing w:val="-1"/>
          <w:w w:val="105"/>
        </w:rPr>
        <w:t>your</w:t>
      </w:r>
      <w:r>
        <w:rPr>
          <w:color w:val="3B3A3B"/>
          <w:spacing w:val="-31"/>
          <w:w w:val="105"/>
        </w:rPr>
        <w:t> </w:t>
      </w:r>
      <w:r>
        <w:rPr>
          <w:color w:val="3B3A3B"/>
          <w:w w:val="105"/>
        </w:rPr>
        <w:t>document,</w:t>
      </w:r>
      <w:r>
        <w:rPr>
          <w:color w:val="3B3A3B"/>
          <w:spacing w:val="-8"/>
          <w:w w:val="105"/>
        </w:rPr>
        <w:t> </w:t>
      </w:r>
      <w:r>
        <w:rPr>
          <w:color w:val="3B3A3B"/>
          <w:w w:val="105"/>
        </w:rPr>
        <w:t>and</w:t>
      </w:r>
      <w:r>
        <w:rPr>
          <w:color w:val="3B3A3B"/>
          <w:spacing w:val="-5"/>
          <w:w w:val="105"/>
        </w:rPr>
        <w:t> </w:t>
      </w:r>
      <w:r>
        <w:rPr>
          <w:color w:val="3B3A3B"/>
          <w:w w:val="105"/>
        </w:rPr>
        <w:t>help</w:t>
      </w:r>
      <w:r>
        <w:rPr>
          <w:color w:val="3B3A3B"/>
          <w:spacing w:val="-25"/>
          <w:w w:val="105"/>
        </w:rPr>
        <w:t> </w:t>
      </w:r>
      <w:r>
        <w:rPr>
          <w:color w:val="3B3A3B"/>
          <w:w w:val="105"/>
        </w:rPr>
        <w:t>you</w:t>
      </w:r>
      <w:r>
        <w:rPr>
          <w:color w:val="3B3A3B"/>
          <w:spacing w:val="-9"/>
          <w:w w:val="105"/>
        </w:rPr>
        <w:t> </w:t>
      </w:r>
      <w:r>
        <w:rPr>
          <w:color w:val="3B3A3B"/>
          <w:w w:val="105"/>
        </w:rPr>
        <w:t>to</w:t>
      </w:r>
      <w:r>
        <w:rPr>
          <w:color w:val="3B3A3B"/>
          <w:spacing w:val="-8"/>
          <w:w w:val="105"/>
        </w:rPr>
        <w:t> </w:t>
      </w:r>
      <w:r>
        <w:rPr>
          <w:color w:val="3B3A3B"/>
          <w:w w:val="105"/>
        </w:rPr>
        <w:t>catch</w:t>
      </w:r>
      <w:r>
        <w:rPr>
          <w:color w:val="3B3A3B"/>
          <w:spacing w:val="-6"/>
          <w:w w:val="105"/>
        </w:rPr>
        <w:t> </w:t>
      </w:r>
      <w:r>
        <w:rPr>
          <w:color w:val="3B3A3B"/>
          <w:w w:val="105"/>
        </w:rPr>
        <w:t>mistakes</w:t>
      </w:r>
      <w:r>
        <w:rPr>
          <w:color w:val="3B3A3B"/>
          <w:spacing w:val="-1"/>
          <w:w w:val="105"/>
        </w:rPr>
        <w:t> </w:t>
      </w:r>
      <w:r>
        <w:rPr>
          <w:color w:val="3B3A3B"/>
          <w:w w:val="105"/>
        </w:rPr>
        <w:t>in</w:t>
      </w:r>
      <w:r>
        <w:rPr>
          <w:color w:val="3B3A3B"/>
          <w:spacing w:val="11"/>
          <w:w w:val="105"/>
        </w:rPr>
        <w:t> </w:t>
      </w:r>
      <w:r>
        <w:rPr>
          <w:color w:val="3B3A3B"/>
          <w:w w:val="105"/>
        </w:rPr>
        <w:t>both</w:t>
      </w:r>
      <w:r>
        <w:rPr>
          <w:color w:val="3B3A3B"/>
          <w:spacing w:val="-27"/>
          <w:w w:val="105"/>
        </w:rPr>
        <w:t> </w:t>
      </w:r>
      <w:r>
        <w:rPr>
          <w:color w:val="3B3A3B"/>
          <w:w w:val="105"/>
        </w:rPr>
        <w:t>your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writing</w:t>
      </w:r>
      <w:r>
        <w:rPr>
          <w:color w:val="3B3A3B"/>
          <w:spacing w:val="-21"/>
          <w:w w:val="105"/>
        </w:rPr>
        <w:t> </w:t>
      </w:r>
      <w:r>
        <w:rPr>
          <w:color w:val="3B3A3B"/>
          <w:w w:val="105"/>
        </w:rPr>
        <w:t>and</w:t>
      </w:r>
      <w:r>
        <w:rPr>
          <w:color w:val="3B3A3B"/>
          <w:spacing w:val="-6"/>
          <w:w w:val="105"/>
        </w:rPr>
        <w:t> </w:t>
      </w:r>
      <w:r>
        <w:rPr>
          <w:color w:val="3B3A3B"/>
          <w:w w:val="105"/>
        </w:rPr>
        <w:t>your</w:t>
      </w:r>
      <w:r>
        <w:rPr>
          <w:color w:val="3B3A3B"/>
          <w:spacing w:val="-20"/>
          <w:w w:val="105"/>
        </w:rPr>
        <w:t> </w:t>
      </w:r>
      <w:r>
        <w:rPr>
          <w:color w:val="3B3A3B"/>
          <w:w w:val="105"/>
        </w:rPr>
        <w:t>analysis.</w:t>
      </w:r>
    </w:p>
    <w:p>
      <w:pPr>
        <w:pStyle w:val="BodyText"/>
        <w:spacing w:line="232" w:lineRule="auto"/>
        <w:ind w:left="555" w:right="116" w:firstLine="300"/>
        <w:jc w:val="both"/>
      </w:pPr>
      <w:r>
        <w:rPr>
          <w:color w:val="7C7E80"/>
        </w:rPr>
        <w:t>.</w:t>
      </w:r>
      <w:r>
        <w:rPr>
          <w:color w:val="3B3A3B"/>
        </w:rPr>
        <w:t>The best way to proofread effectively is to put your writing away for a</w:t>
      </w:r>
      <w:r>
        <w:rPr>
          <w:color w:val="3B3A3B"/>
          <w:spacing w:val="1"/>
        </w:rPr>
        <w:t> </w:t>
      </w:r>
      <w:r>
        <w:rPr>
          <w:color w:val="3B3A3B"/>
        </w:rPr>
        <w:t>while</w:t>
      </w:r>
      <w:r>
        <w:rPr>
          <w:color w:val="565656"/>
        </w:rPr>
        <w:t>. </w:t>
      </w:r>
      <w:r>
        <w:rPr>
          <w:color w:val="3B3A3B"/>
          <w:sz w:val="22"/>
        </w:rPr>
        <w:t>If </w:t>
      </w:r>
      <w:r>
        <w:rPr>
          <w:color w:val="3B3A3B"/>
        </w:rPr>
        <w:t>you've ever gone back and read a document that you wrote last</w:t>
      </w:r>
      <w:r>
        <w:rPr>
          <w:color w:val="3B3A3B"/>
          <w:spacing w:val="1"/>
        </w:rPr>
        <w:t> </w:t>
      </w:r>
      <w:r>
        <w:rPr>
          <w:color w:val="3B3A3B"/>
        </w:rPr>
        <w:t>year, or even last month, you've probably noticed several mistakes orsty</w:t>
      </w:r>
      <w:r>
        <w:rPr>
          <w:color w:val="565656"/>
        </w:rPr>
        <w:t>l</w:t>
      </w:r>
      <w:r>
        <w:rPr>
          <w:color w:val="3B3A3B"/>
        </w:rPr>
        <w:t>e</w:t>
      </w:r>
      <w:r>
        <w:rPr>
          <w:color w:val="3B3A3B"/>
          <w:spacing w:val="1"/>
        </w:rPr>
        <w:t> </w:t>
      </w:r>
      <w:r>
        <w:rPr>
          <w:color w:val="3B3A3B"/>
        </w:rPr>
        <w:t>problems that you missed when you wrote it. If you are trying to polish a</w:t>
      </w:r>
      <w:r>
        <w:rPr>
          <w:color w:val="3B3A3B"/>
          <w:spacing w:val="1"/>
        </w:rPr>
        <w:t> </w:t>
      </w:r>
      <w:r>
        <w:rPr>
          <w:color w:val="3B3A3B"/>
          <w:w w:val="105"/>
        </w:rPr>
        <w:t>document</w:t>
      </w:r>
      <w:r>
        <w:rPr>
          <w:color w:val="3B3A3B"/>
          <w:spacing w:val="-19"/>
          <w:w w:val="105"/>
        </w:rPr>
        <w:t> </w:t>
      </w:r>
      <w:r>
        <w:rPr>
          <w:color w:val="3B3A3B"/>
          <w:w w:val="105"/>
        </w:rPr>
        <w:t>that</w:t>
      </w:r>
      <w:r>
        <w:rPr>
          <w:color w:val="3B3A3B"/>
          <w:spacing w:val="-25"/>
          <w:w w:val="105"/>
        </w:rPr>
        <w:t> </w:t>
      </w:r>
      <w:r>
        <w:rPr>
          <w:color w:val="3B3A3B"/>
          <w:w w:val="105"/>
        </w:rPr>
        <w:t>you</w:t>
      </w:r>
      <w:r>
        <w:rPr>
          <w:color w:val="3B3A3B"/>
          <w:spacing w:val="-13"/>
          <w:w w:val="105"/>
        </w:rPr>
        <w:t> </w:t>
      </w:r>
      <w:r>
        <w:rPr>
          <w:color w:val="3B3A3B"/>
          <w:w w:val="105"/>
        </w:rPr>
        <w:t>wrote</w:t>
      </w:r>
      <w:r>
        <w:rPr>
          <w:color w:val="3B3A3B"/>
          <w:spacing w:val="-8"/>
          <w:w w:val="105"/>
        </w:rPr>
        <w:t> </w:t>
      </w:r>
      <w:r>
        <w:rPr>
          <w:color w:val="3B3A3B"/>
          <w:w w:val="105"/>
        </w:rPr>
        <w:t>this</w:t>
      </w:r>
      <w:r>
        <w:rPr>
          <w:color w:val="3B3A3B"/>
          <w:spacing w:val="-13"/>
          <w:w w:val="105"/>
        </w:rPr>
        <w:t> </w:t>
      </w:r>
      <w:r>
        <w:rPr>
          <w:color w:val="3B3A3B"/>
          <w:w w:val="105"/>
        </w:rPr>
        <w:t>morning,</w:t>
      </w:r>
      <w:r>
        <w:rPr>
          <w:color w:val="3B3A3B"/>
          <w:spacing w:val="8"/>
          <w:w w:val="105"/>
        </w:rPr>
        <w:t> </w:t>
      </w:r>
      <w:r>
        <w:rPr>
          <w:color w:val="3B3A3B"/>
          <w:w w:val="105"/>
        </w:rPr>
        <w:t>your</w:t>
      </w:r>
      <w:r>
        <w:rPr>
          <w:color w:val="3B3A3B"/>
          <w:spacing w:val="-21"/>
          <w:w w:val="105"/>
        </w:rPr>
        <w:t> </w:t>
      </w:r>
      <w:r>
        <w:rPr>
          <w:color w:val="3B3A3B"/>
          <w:w w:val="105"/>
        </w:rPr>
        <w:t>short-term</w:t>
      </w:r>
      <w:r>
        <w:rPr>
          <w:color w:val="3B3A3B"/>
          <w:spacing w:val="12"/>
          <w:w w:val="105"/>
        </w:rPr>
        <w:t> </w:t>
      </w:r>
      <w:r>
        <w:rPr>
          <w:color w:val="3B3A3B"/>
          <w:w w:val="105"/>
        </w:rPr>
        <w:t>memory</w:t>
      </w:r>
      <w:r>
        <w:rPr>
          <w:color w:val="3B3A3B"/>
          <w:spacing w:val="-11"/>
          <w:w w:val="105"/>
        </w:rPr>
        <w:t> </w:t>
      </w:r>
      <w:r>
        <w:rPr>
          <w:color w:val="3B3A3B"/>
          <w:w w:val="105"/>
        </w:rPr>
        <w:t>makes</w:t>
      </w:r>
      <w:r>
        <w:rPr>
          <w:color w:val="3B3A3B"/>
          <w:spacing w:val="-37"/>
          <w:w w:val="105"/>
        </w:rPr>
        <w:t> </w:t>
      </w:r>
      <w:r>
        <w:rPr>
          <w:color w:val="3B3A3B"/>
          <w:w w:val="105"/>
        </w:rPr>
        <w:t>it</w:t>
      </w:r>
      <w:r>
        <w:rPr>
          <w:color w:val="3B3A3B"/>
          <w:spacing w:val="1"/>
          <w:w w:val="105"/>
        </w:rPr>
        <w:t> </w:t>
      </w:r>
      <w:r>
        <w:rPr>
          <w:color w:val="3B3A3B"/>
        </w:rPr>
        <w:t>hard for you to</w:t>
      </w:r>
      <w:r>
        <w:rPr>
          <w:color w:val="3B3A3B"/>
          <w:spacing w:val="57"/>
        </w:rPr>
        <w:t> </w:t>
      </w:r>
      <w:r>
        <w:rPr>
          <w:color w:val="3B3A3B"/>
        </w:rPr>
        <w:t>see your mistakes.</w:t>
      </w:r>
      <w:r>
        <w:rPr>
          <w:color w:val="3B3A3B"/>
          <w:spacing w:val="58"/>
        </w:rPr>
        <w:t> </w:t>
      </w:r>
      <w:r>
        <w:rPr>
          <w:color w:val="3B3A3B"/>
        </w:rPr>
        <w:t>It</w:t>
      </w:r>
      <w:r>
        <w:rPr>
          <w:color w:val="3B3A3B"/>
          <w:spacing w:val="57"/>
        </w:rPr>
        <w:t> </w:t>
      </w:r>
      <w:r>
        <w:rPr>
          <w:color w:val="3B3A3B"/>
        </w:rPr>
        <w:t>knows what</w:t>
      </w:r>
      <w:r>
        <w:rPr>
          <w:color w:val="3B3A3B"/>
          <w:spacing w:val="58"/>
        </w:rPr>
        <w:t> </w:t>
      </w:r>
      <w:r>
        <w:rPr>
          <w:color w:val="3B3A3B"/>
        </w:rPr>
        <w:t>you wanted</w:t>
      </w:r>
      <w:r>
        <w:rPr>
          <w:color w:val="3B3A3B"/>
          <w:spacing w:val="57"/>
        </w:rPr>
        <w:t> </w:t>
      </w:r>
      <w:r>
        <w:rPr>
          <w:color w:val="3B3A3B"/>
        </w:rPr>
        <w:t>to say, and</w:t>
      </w:r>
      <w:r>
        <w:rPr>
          <w:color w:val="3B3A3B"/>
          <w:spacing w:val="1"/>
        </w:rPr>
        <w:t> </w:t>
      </w:r>
      <w:r>
        <w:rPr>
          <w:color w:val="3B3A3B"/>
        </w:rPr>
        <w:t>it</w:t>
      </w:r>
      <w:r>
        <w:rPr>
          <w:color w:val="3B3A3B"/>
          <w:spacing w:val="1"/>
        </w:rPr>
        <w:t> </w:t>
      </w:r>
      <w:r>
        <w:rPr>
          <w:color w:val="3B3A3B"/>
        </w:rPr>
        <w:t>tends to gloss over the</w:t>
      </w:r>
      <w:r>
        <w:rPr>
          <w:color w:val="3B3A3B"/>
          <w:spacing w:val="57"/>
        </w:rPr>
        <w:t> </w:t>
      </w:r>
      <w:r>
        <w:rPr>
          <w:color w:val="3B3A3B"/>
        </w:rPr>
        <w:t>mistakes</w:t>
      </w:r>
      <w:r>
        <w:rPr>
          <w:color w:val="565656"/>
        </w:rPr>
        <w:t>.</w:t>
      </w:r>
      <w:r>
        <w:rPr>
          <w:i/>
          <w:color w:val="3B3A3B"/>
          <w:vertAlign w:val="superscript"/>
        </w:rPr>
        <w:t>6</w:t>
      </w:r>
      <w:r>
        <w:rPr>
          <w:i/>
          <w:color w:val="3B3A3B"/>
          <w:vertAlign w:val="baseline"/>
        </w:rPr>
        <w:t> </w:t>
      </w:r>
      <w:r>
        <w:rPr>
          <w:color w:val="3B3A3B"/>
          <w:vertAlign w:val="baseline"/>
        </w:rPr>
        <w:t>Therefore,</w:t>
      </w:r>
      <w:r>
        <w:rPr>
          <w:color w:val="3B3A3B"/>
          <w:spacing w:val="58"/>
          <w:vertAlign w:val="baseline"/>
        </w:rPr>
        <w:t> </w:t>
      </w:r>
      <w:r>
        <w:rPr>
          <w:color w:val="3B3A3B"/>
          <w:vertAlign w:val="baseline"/>
        </w:rPr>
        <w:t>if you can</w:t>
      </w:r>
      <w:r>
        <w:rPr>
          <w:color w:val="3B3A3B"/>
          <w:spacing w:val="57"/>
          <w:vertAlign w:val="baseline"/>
        </w:rPr>
        <w:t> </w:t>
      </w:r>
      <w:r>
        <w:rPr>
          <w:color w:val="3B3A3B"/>
          <w:vertAlign w:val="baseline"/>
        </w:rPr>
        <w:t>get</w:t>
      </w:r>
      <w:r>
        <w:rPr>
          <w:color w:val="3B3A3B"/>
          <w:spacing w:val="58"/>
          <w:vertAlign w:val="baseline"/>
        </w:rPr>
        <w:t> </w:t>
      </w:r>
      <w:r>
        <w:rPr>
          <w:color w:val="3B3A3B"/>
          <w:vertAlign w:val="baseline"/>
        </w:rPr>
        <w:t>a draft done</w:t>
      </w:r>
      <w:r>
        <w:rPr>
          <w:color w:val="3B3A3B"/>
          <w:spacing w:val="-55"/>
          <w:vertAlign w:val="baseline"/>
        </w:rPr>
        <w:t> </w:t>
      </w:r>
      <w:r>
        <w:rPr>
          <w:color w:val="3B3A3B"/>
          <w:vertAlign w:val="baseline"/>
        </w:rPr>
        <w:t>a week before your deadline, </w:t>
      </w:r>
      <w:r>
        <w:rPr>
          <w:i/>
          <w:color w:val="3B3A3B"/>
          <w:sz w:val="24"/>
          <w:vertAlign w:val="baseline"/>
        </w:rPr>
        <w:t>don't </w:t>
      </w:r>
      <w:r>
        <w:rPr>
          <w:color w:val="3B3A3B"/>
          <w:vertAlign w:val="baseline"/>
        </w:rPr>
        <w:t>reread it and edit it every day. Instead,</w:t>
      </w:r>
      <w:r>
        <w:rPr>
          <w:color w:val="3B3A3B"/>
          <w:spacing w:val="1"/>
          <w:vertAlign w:val="baseline"/>
        </w:rPr>
        <w:t> </w:t>
      </w:r>
      <w:r>
        <w:rPr>
          <w:color w:val="3B3A3B"/>
          <w:w w:val="105"/>
          <w:vertAlign w:val="baseline"/>
        </w:rPr>
        <w:t>wait</w:t>
      </w:r>
      <w:r>
        <w:rPr>
          <w:color w:val="3B3A3B"/>
          <w:spacing w:val="-2"/>
          <w:w w:val="105"/>
          <w:vertAlign w:val="baseline"/>
        </w:rPr>
        <w:t> </w:t>
      </w:r>
      <w:r>
        <w:rPr>
          <w:color w:val="3B3A3B"/>
          <w:w w:val="105"/>
          <w:vertAlign w:val="baseline"/>
        </w:rPr>
        <w:t>three</w:t>
      </w:r>
      <w:r>
        <w:rPr>
          <w:color w:val="3B3A3B"/>
          <w:spacing w:val="-21"/>
          <w:w w:val="105"/>
          <w:vertAlign w:val="baseline"/>
        </w:rPr>
        <w:t> </w:t>
      </w:r>
      <w:r>
        <w:rPr>
          <w:color w:val="3B3A3B"/>
          <w:w w:val="105"/>
          <w:vertAlign w:val="baseline"/>
        </w:rPr>
        <w:t>days</w:t>
      </w:r>
      <w:r>
        <w:rPr>
          <w:color w:val="3B3A3B"/>
          <w:spacing w:val="-17"/>
          <w:w w:val="105"/>
          <w:vertAlign w:val="baseline"/>
        </w:rPr>
        <w:t> </w:t>
      </w:r>
      <w:r>
        <w:rPr>
          <w:color w:val="3B3A3B"/>
          <w:w w:val="105"/>
          <w:vertAlign w:val="baseline"/>
        </w:rPr>
        <w:t>and</w:t>
      </w:r>
      <w:r>
        <w:rPr>
          <w:color w:val="3B3A3B"/>
          <w:spacing w:val="-7"/>
          <w:w w:val="105"/>
          <w:vertAlign w:val="baseline"/>
        </w:rPr>
        <w:t> </w:t>
      </w:r>
      <w:r>
        <w:rPr>
          <w:color w:val="3B3A3B"/>
          <w:w w:val="105"/>
          <w:vertAlign w:val="baseline"/>
        </w:rPr>
        <w:t>do</w:t>
      </w:r>
      <w:r>
        <w:rPr>
          <w:color w:val="3B3A3B"/>
          <w:spacing w:val="-6"/>
          <w:w w:val="105"/>
          <w:vertAlign w:val="baseline"/>
        </w:rPr>
        <w:t> </w:t>
      </w:r>
      <w:r>
        <w:rPr>
          <w:color w:val="3B3A3B"/>
          <w:w w:val="105"/>
          <w:vertAlign w:val="baseline"/>
        </w:rPr>
        <w:t>a</w:t>
      </w:r>
      <w:r>
        <w:rPr>
          <w:color w:val="3B3A3B"/>
          <w:spacing w:val="-12"/>
          <w:w w:val="105"/>
          <w:vertAlign w:val="baseline"/>
        </w:rPr>
        <w:t> </w:t>
      </w:r>
      <w:r>
        <w:rPr>
          <w:color w:val="3B3A3B"/>
          <w:w w:val="105"/>
          <w:vertAlign w:val="baseline"/>
        </w:rPr>
        <w:t>thorough</w:t>
      </w:r>
      <w:r>
        <w:rPr>
          <w:color w:val="3B3A3B"/>
          <w:spacing w:val="-7"/>
          <w:w w:val="105"/>
          <w:vertAlign w:val="baseline"/>
        </w:rPr>
        <w:t> </w:t>
      </w:r>
      <w:r>
        <w:rPr>
          <w:color w:val="3B3A3B"/>
          <w:w w:val="105"/>
          <w:vertAlign w:val="baseline"/>
        </w:rPr>
        <w:t>edit,</w:t>
      </w:r>
      <w:r>
        <w:rPr>
          <w:color w:val="3B3A3B"/>
          <w:spacing w:val="-13"/>
          <w:w w:val="105"/>
          <w:vertAlign w:val="baseline"/>
        </w:rPr>
        <w:t> </w:t>
      </w:r>
      <w:r>
        <w:rPr>
          <w:color w:val="3B3A3B"/>
          <w:w w:val="105"/>
          <w:vertAlign w:val="baseline"/>
        </w:rPr>
        <w:t>and</w:t>
      </w:r>
      <w:r>
        <w:rPr>
          <w:color w:val="3B3A3B"/>
          <w:spacing w:val="3"/>
          <w:w w:val="105"/>
          <w:vertAlign w:val="baseline"/>
        </w:rPr>
        <w:t> </w:t>
      </w:r>
      <w:r>
        <w:rPr>
          <w:color w:val="3B3A3B"/>
          <w:w w:val="105"/>
          <w:vertAlign w:val="baseline"/>
        </w:rPr>
        <w:t>then</w:t>
      </w:r>
      <w:r>
        <w:rPr>
          <w:color w:val="3B3A3B"/>
          <w:spacing w:val="-4"/>
          <w:w w:val="105"/>
          <w:vertAlign w:val="baseline"/>
        </w:rPr>
        <w:t> </w:t>
      </w:r>
      <w:r>
        <w:rPr>
          <w:color w:val="3B3A3B"/>
          <w:w w:val="105"/>
          <w:vertAlign w:val="baseline"/>
        </w:rPr>
        <w:t>wait</w:t>
      </w:r>
      <w:r>
        <w:rPr>
          <w:color w:val="3B3A3B"/>
          <w:spacing w:val="-12"/>
          <w:w w:val="105"/>
          <w:vertAlign w:val="baseline"/>
        </w:rPr>
        <w:t> </w:t>
      </w:r>
      <w:r>
        <w:rPr>
          <w:color w:val="3B3A3B"/>
          <w:w w:val="105"/>
          <w:vertAlign w:val="baseline"/>
        </w:rPr>
        <w:t>three</w:t>
      </w:r>
      <w:r>
        <w:rPr>
          <w:color w:val="3B3A3B"/>
          <w:spacing w:val="-6"/>
          <w:w w:val="105"/>
          <w:vertAlign w:val="baseline"/>
        </w:rPr>
        <w:t> </w:t>
      </w:r>
      <w:r>
        <w:rPr>
          <w:color w:val="3B3A3B"/>
          <w:w w:val="105"/>
          <w:vertAlign w:val="baseline"/>
        </w:rPr>
        <w:t>more</w:t>
      </w:r>
      <w:r>
        <w:rPr>
          <w:color w:val="3B3A3B"/>
          <w:spacing w:val="-25"/>
          <w:w w:val="105"/>
          <w:vertAlign w:val="baseline"/>
        </w:rPr>
        <w:t> </w:t>
      </w:r>
      <w:r>
        <w:rPr>
          <w:color w:val="3B3A3B"/>
          <w:w w:val="105"/>
          <w:vertAlign w:val="baseline"/>
        </w:rPr>
        <w:t>daysand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7"/>
        </w:rPr>
      </w:pPr>
    </w:p>
    <w:p>
      <w:pPr>
        <w:spacing w:line="228" w:lineRule="auto" w:before="0"/>
        <w:ind w:left="515" w:right="144" w:firstLine="342"/>
        <w:jc w:val="both"/>
        <w:rPr>
          <w:sz w:val="18"/>
        </w:rPr>
      </w:pPr>
      <w:r>
        <w:rPr>
          <w:rFonts w:ascii="Arial" w:hAnsi="Arial"/>
          <w:color w:val="3B3A3B"/>
          <w:w w:val="95"/>
          <w:position w:val="6"/>
          <w:sz w:val="10"/>
        </w:rPr>
        <w:t>3 </w:t>
      </w:r>
      <w:r>
        <w:rPr>
          <w:i/>
          <w:color w:val="3B3A3B"/>
          <w:w w:val="95"/>
          <w:sz w:val="18"/>
        </w:rPr>
        <w:t>Styles v. Philadelphia Elec</w:t>
      </w:r>
      <w:r>
        <w:rPr>
          <w:i/>
          <w:color w:val="565656"/>
          <w:w w:val="95"/>
          <w:sz w:val="18"/>
        </w:rPr>
        <w:t>. </w:t>
      </w:r>
      <w:r>
        <w:rPr>
          <w:i/>
          <w:color w:val="3B3A3B"/>
          <w:w w:val="95"/>
          <w:sz w:val="18"/>
        </w:rPr>
        <w:t>Co</w:t>
      </w:r>
      <w:r>
        <w:rPr>
          <w:i/>
          <w:color w:val="666667"/>
          <w:w w:val="95"/>
          <w:sz w:val="18"/>
        </w:rPr>
        <w:t>.</w:t>
      </w:r>
      <w:r>
        <w:rPr>
          <w:i/>
          <w:color w:val="3B3A3B"/>
          <w:w w:val="95"/>
          <w:sz w:val="18"/>
        </w:rPr>
        <w:t>, </w:t>
      </w:r>
      <w:r>
        <w:rPr>
          <w:color w:val="3B3A3B"/>
          <w:w w:val="95"/>
          <w:sz w:val="18"/>
        </w:rPr>
        <w:t>No</w:t>
      </w:r>
      <w:r>
        <w:rPr>
          <w:color w:val="565656"/>
          <w:w w:val="95"/>
          <w:sz w:val="18"/>
        </w:rPr>
        <w:t>. </w:t>
      </w:r>
      <w:r>
        <w:rPr>
          <w:color w:val="3B3A3B"/>
          <w:w w:val="95"/>
          <w:sz w:val="17"/>
        </w:rPr>
        <w:t>crv.A.93-4S93, 1994 </w:t>
      </w:r>
      <w:r>
        <w:rPr>
          <w:color w:val="3B3A3B"/>
          <w:w w:val="95"/>
          <w:sz w:val="18"/>
        </w:rPr>
        <w:t>WL </w:t>
      </w:r>
      <w:r>
        <w:rPr>
          <w:color w:val="3B3A3B"/>
          <w:w w:val="95"/>
          <w:sz w:val="17"/>
        </w:rPr>
        <w:t>245469</w:t>
      </w:r>
      <w:r>
        <w:rPr>
          <w:color w:val="666667"/>
          <w:w w:val="95"/>
          <w:sz w:val="17"/>
        </w:rPr>
        <w:t>, </w:t>
      </w:r>
      <w:r>
        <w:rPr>
          <w:color w:val="3B3A3B"/>
          <w:w w:val="95"/>
          <w:sz w:val="18"/>
        </w:rPr>
        <w:t>at </w:t>
      </w:r>
      <w:r>
        <w:rPr>
          <w:color w:val="3B3A3B"/>
          <w:w w:val="95"/>
          <w:sz w:val="17"/>
        </w:rPr>
        <w:t>•3</w:t>
      </w:r>
      <w:r>
        <w:rPr>
          <w:color w:val="3B3A3B"/>
          <w:spacing w:val="1"/>
          <w:w w:val="95"/>
          <w:sz w:val="17"/>
        </w:rPr>
        <w:t> </w:t>
      </w:r>
      <w:r>
        <w:rPr>
          <w:color w:val="3B3A3B"/>
          <w:w w:val="95"/>
          <w:sz w:val="18"/>
        </w:rPr>
        <w:t>(E.D. Pa. June 6,</w:t>
      </w:r>
      <w:r>
        <w:rPr>
          <w:color w:val="3B3A3B"/>
          <w:spacing w:val="1"/>
          <w:w w:val="95"/>
          <w:sz w:val="18"/>
        </w:rPr>
        <w:t> </w:t>
      </w:r>
      <w:r>
        <w:rPr>
          <w:color w:val="3B3A3B"/>
          <w:w w:val="90"/>
          <w:sz w:val="17"/>
        </w:rPr>
        <w:t>1994)</w:t>
      </w:r>
      <w:r>
        <w:rPr>
          <w:color w:val="3B3A3B"/>
          <w:w w:val="90"/>
          <w:sz w:val="18"/>
        </w:rPr>
        <w:t>(cited In Judith D</w:t>
      </w:r>
      <w:r>
        <w:rPr>
          <w:color w:val="565656"/>
          <w:w w:val="90"/>
          <w:sz w:val="18"/>
        </w:rPr>
        <w:t>. </w:t>
      </w:r>
      <w:r>
        <w:rPr>
          <w:color w:val="3B3A3B"/>
          <w:w w:val="90"/>
          <w:sz w:val="18"/>
        </w:rPr>
        <w:t>Fischer, </w:t>
      </w:r>
      <w:r>
        <w:rPr>
          <w:i/>
          <w:color w:val="3B3A3B"/>
          <w:w w:val="90"/>
          <w:sz w:val="18"/>
        </w:rPr>
        <w:t>Bareheaded</w:t>
      </w:r>
      <w:r>
        <w:rPr>
          <w:i/>
          <w:color w:val="3B3A3B"/>
          <w:spacing w:val="36"/>
          <w:sz w:val="18"/>
        </w:rPr>
        <w:t> </w:t>
      </w:r>
      <w:r>
        <w:rPr>
          <w:i/>
          <w:color w:val="3B3A3B"/>
          <w:w w:val="90"/>
          <w:sz w:val="18"/>
        </w:rPr>
        <w:t>and Barefa</w:t>
      </w:r>
      <w:r>
        <w:rPr>
          <w:i/>
          <w:color w:val="565656"/>
          <w:w w:val="90"/>
          <w:sz w:val="18"/>
        </w:rPr>
        <w:t>c</w:t>
      </w:r>
      <w:r>
        <w:rPr>
          <w:i/>
          <w:color w:val="3B3A3B"/>
          <w:w w:val="90"/>
          <w:sz w:val="18"/>
        </w:rPr>
        <w:t>ed Counsel: Courts Reacl to</w:t>
      </w:r>
      <w:r>
        <w:rPr>
          <w:i/>
          <w:color w:val="3B3A3B"/>
          <w:spacing w:val="36"/>
          <w:sz w:val="18"/>
        </w:rPr>
        <w:t> </w:t>
      </w:r>
      <w:r>
        <w:rPr>
          <w:i/>
          <w:color w:val="3B3A3B"/>
          <w:w w:val="90"/>
          <w:sz w:val="18"/>
        </w:rPr>
        <w:t>UnprofessionaliJm</w:t>
      </w:r>
      <w:r>
        <w:rPr>
          <w:i/>
          <w:color w:val="3B3A3B"/>
          <w:spacing w:val="1"/>
          <w:w w:val="90"/>
          <w:sz w:val="18"/>
        </w:rPr>
        <w:t> </w:t>
      </w:r>
      <w:r>
        <w:rPr>
          <w:i/>
          <w:color w:val="3B3A3B"/>
          <w:sz w:val="18"/>
        </w:rPr>
        <w:t>in</w:t>
      </w:r>
      <w:r>
        <w:rPr>
          <w:i/>
          <w:color w:val="3B3A3B"/>
          <w:spacing w:val="-4"/>
          <w:sz w:val="18"/>
        </w:rPr>
        <w:t> </w:t>
      </w:r>
      <w:r>
        <w:rPr>
          <w:rFonts w:ascii="Arial" w:hAnsi="Arial"/>
          <w:i/>
          <w:color w:val="3B3A3B"/>
          <w:sz w:val="16"/>
        </w:rPr>
        <w:t>Lawyers'</w:t>
      </w:r>
      <w:r>
        <w:rPr>
          <w:rFonts w:ascii="Arial" w:hAnsi="Arial"/>
          <w:i/>
          <w:color w:val="3B3A3B"/>
          <w:spacing w:val="2"/>
          <w:sz w:val="16"/>
        </w:rPr>
        <w:t> </w:t>
      </w:r>
      <w:r>
        <w:rPr>
          <w:i/>
          <w:color w:val="3B3A3B"/>
          <w:sz w:val="18"/>
        </w:rPr>
        <w:t>Papers,</w:t>
      </w:r>
      <w:r>
        <w:rPr>
          <w:i/>
          <w:color w:val="3B3A3B"/>
          <w:spacing w:val="-12"/>
          <w:sz w:val="18"/>
        </w:rPr>
        <w:t> </w:t>
      </w:r>
      <w:r>
        <w:rPr>
          <w:color w:val="3B3A3B"/>
          <w:sz w:val="17"/>
        </w:rPr>
        <w:t>31</w:t>
      </w:r>
      <w:r>
        <w:rPr>
          <w:color w:val="3B3A3B"/>
          <w:spacing w:val="16"/>
          <w:sz w:val="17"/>
        </w:rPr>
        <w:t> </w:t>
      </w:r>
      <w:r>
        <w:rPr>
          <w:color w:val="3B3A3B"/>
          <w:sz w:val="18"/>
        </w:rPr>
        <w:t>Suffolk U</w:t>
      </w:r>
      <w:r>
        <w:rPr>
          <w:color w:val="565656"/>
          <w:sz w:val="18"/>
        </w:rPr>
        <w:t>.</w:t>
      </w:r>
      <w:r>
        <w:rPr>
          <w:color w:val="565656"/>
          <w:spacing w:val="-16"/>
          <w:sz w:val="18"/>
        </w:rPr>
        <w:t> </w:t>
      </w:r>
      <w:r>
        <w:rPr>
          <w:rFonts w:ascii="Arial" w:hAnsi="Arial"/>
          <w:color w:val="3B3A3B"/>
          <w:sz w:val="16"/>
        </w:rPr>
        <w:t>L.</w:t>
      </w:r>
      <w:r>
        <w:rPr>
          <w:rFonts w:ascii="Arial" w:hAnsi="Arial"/>
          <w:color w:val="3B3A3B"/>
          <w:spacing w:val="11"/>
          <w:sz w:val="16"/>
        </w:rPr>
        <w:t> </w:t>
      </w:r>
      <w:r>
        <w:rPr>
          <w:color w:val="3B3A3B"/>
          <w:sz w:val="18"/>
        </w:rPr>
        <w:t>Rev.</w:t>
      </w:r>
      <w:r>
        <w:rPr>
          <w:color w:val="3B3A3B"/>
          <w:spacing w:val="-23"/>
          <w:sz w:val="18"/>
        </w:rPr>
        <w:t> </w:t>
      </w:r>
      <w:r>
        <w:rPr>
          <w:color w:val="3B3A3B"/>
          <w:sz w:val="18"/>
        </w:rPr>
        <w:t>1</w:t>
      </w:r>
      <w:r>
        <w:rPr>
          <w:color w:val="565656"/>
          <w:sz w:val="18"/>
        </w:rPr>
        <w:t>,</w:t>
      </w:r>
      <w:r>
        <w:rPr>
          <w:color w:val="565656"/>
          <w:spacing w:val="-10"/>
          <w:sz w:val="18"/>
        </w:rPr>
        <w:t> </w:t>
      </w:r>
      <w:r>
        <w:rPr>
          <w:color w:val="3B3A3B"/>
          <w:sz w:val="18"/>
        </w:rPr>
        <w:t>27</w:t>
      </w:r>
      <w:r>
        <w:rPr>
          <w:color w:val="3B3A3B"/>
          <w:spacing w:val="-10"/>
          <w:sz w:val="18"/>
        </w:rPr>
        <w:t> </w:t>
      </w:r>
      <w:r>
        <w:rPr>
          <w:color w:val="3B3A3B"/>
          <w:sz w:val="18"/>
        </w:rPr>
        <w:t>(1997)).</w:t>
      </w:r>
    </w:p>
    <w:p>
      <w:pPr>
        <w:spacing w:line="223" w:lineRule="auto" w:before="10"/>
        <w:ind w:left="489" w:right="143" w:firstLine="349"/>
        <w:jc w:val="both"/>
        <w:rPr>
          <w:rFonts w:ascii="Arial"/>
          <w:sz w:val="16"/>
        </w:rPr>
      </w:pPr>
      <w:r>
        <w:rPr>
          <w:i/>
          <w:color w:val="3B3A3B"/>
          <w:sz w:val="18"/>
        </w:rPr>
        <w:t>'DeVore v. C</w:t>
      </w:r>
      <w:r>
        <w:rPr>
          <w:i/>
          <w:color w:val="565656"/>
          <w:sz w:val="18"/>
        </w:rPr>
        <w:t>i</w:t>
      </w:r>
      <w:r>
        <w:rPr>
          <w:i/>
          <w:color w:val="3B3A3B"/>
          <w:sz w:val="18"/>
        </w:rPr>
        <w:t>ty of Philadelphia, </w:t>
      </w:r>
      <w:r>
        <w:rPr>
          <w:color w:val="3B3A3B"/>
          <w:sz w:val="17"/>
        </w:rPr>
        <w:t>2004 </w:t>
      </w:r>
      <w:r>
        <w:rPr>
          <w:color w:val="3B3A3B"/>
          <w:sz w:val="18"/>
        </w:rPr>
        <w:t>U.S. Dist. Lexis </w:t>
      </w:r>
      <w:r>
        <w:rPr>
          <w:color w:val="3B3A3B"/>
          <w:sz w:val="17"/>
        </w:rPr>
        <w:t>3635, </w:t>
      </w:r>
      <w:r>
        <w:rPr>
          <w:color w:val="3B3A3B"/>
          <w:sz w:val="18"/>
        </w:rPr>
        <w:t>at </w:t>
      </w:r>
      <w:r>
        <w:rPr>
          <w:color w:val="3B3A3B"/>
          <w:sz w:val="17"/>
        </w:rPr>
        <w:t>*6 </w:t>
      </w:r>
      <w:r>
        <w:rPr>
          <w:color w:val="3B3A3B"/>
          <w:sz w:val="18"/>
        </w:rPr>
        <w:t>(E</w:t>
      </w:r>
      <w:r>
        <w:rPr>
          <w:color w:val="565656"/>
          <w:sz w:val="18"/>
        </w:rPr>
        <w:t>.</w:t>
      </w:r>
      <w:r>
        <w:rPr>
          <w:color w:val="3B3A3B"/>
          <w:sz w:val="18"/>
        </w:rPr>
        <w:t>D. Pa. Feb. </w:t>
      </w:r>
      <w:r>
        <w:rPr>
          <w:color w:val="3B3A3B"/>
          <w:sz w:val="17"/>
        </w:rPr>
        <w:t>20</w:t>
      </w:r>
      <w:r>
        <w:rPr>
          <w:color w:val="565656"/>
          <w:sz w:val="17"/>
        </w:rPr>
        <w:t>, </w:t>
      </w:r>
      <w:r>
        <w:rPr>
          <w:color w:val="3B3A3B"/>
          <w:sz w:val="18"/>
        </w:rPr>
        <w:t>2004</w:t>
      </w:r>
      <w:r>
        <w:rPr>
          <w:color w:val="565656"/>
          <w:sz w:val="18"/>
        </w:rPr>
        <w:t>)</w:t>
      </w:r>
      <w:r>
        <w:rPr>
          <w:color w:val="3B3A3B"/>
          <w:sz w:val="18"/>
        </w:rPr>
        <w:t>.</w:t>
      </w:r>
      <w:r>
        <w:rPr>
          <w:color w:val="3B3A3B"/>
          <w:spacing w:val="1"/>
          <w:sz w:val="18"/>
        </w:rPr>
        <w:t> </w:t>
      </w:r>
      <w:r>
        <w:rPr>
          <w:color w:val="3B3A3B"/>
          <w:sz w:val="18"/>
        </w:rPr>
        <w:t>The court noted that counsel</w:t>
      </w:r>
      <w:r>
        <w:rPr>
          <w:color w:val="565656"/>
          <w:sz w:val="18"/>
        </w:rPr>
        <w:t>'</w:t>
      </w:r>
      <w:r>
        <w:rPr>
          <w:color w:val="3B3A3B"/>
          <w:sz w:val="18"/>
        </w:rPr>
        <w:t>s la</w:t>
      </w:r>
      <w:r>
        <w:rPr>
          <w:color w:val="565656"/>
          <w:sz w:val="18"/>
        </w:rPr>
        <w:t>c</w:t>
      </w:r>
      <w:r>
        <w:rPr>
          <w:color w:val="3B3A3B"/>
          <w:sz w:val="18"/>
        </w:rPr>
        <w:t>k of care "caused the court, and </w:t>
      </w:r>
      <w:r>
        <w:rPr>
          <w:rFonts w:ascii="Arial"/>
          <w:color w:val="3B3A3B"/>
          <w:sz w:val="16"/>
        </w:rPr>
        <w:t>1 </w:t>
      </w:r>
      <w:r>
        <w:rPr>
          <w:color w:val="3B3A3B"/>
          <w:sz w:val="18"/>
        </w:rPr>
        <w:t>am sure, defense counsel, to</w:t>
      </w:r>
      <w:r>
        <w:rPr>
          <w:color w:val="3B3A3B"/>
          <w:spacing w:val="1"/>
          <w:sz w:val="18"/>
        </w:rPr>
        <w:t> </w:t>
      </w:r>
      <w:r>
        <w:rPr>
          <w:color w:val="3B3A3B"/>
          <w:w w:val="105"/>
          <w:sz w:val="18"/>
        </w:rPr>
        <w:t>expend</w:t>
      </w:r>
      <w:r>
        <w:rPr>
          <w:color w:val="3B3A3B"/>
          <w:spacing w:val="-16"/>
          <w:w w:val="105"/>
          <w:sz w:val="18"/>
        </w:rPr>
        <w:t> </w:t>
      </w:r>
      <w:r>
        <w:rPr>
          <w:color w:val="3B3A3B"/>
          <w:w w:val="105"/>
          <w:sz w:val="18"/>
        </w:rPr>
        <w:t>an</w:t>
      </w:r>
      <w:r>
        <w:rPr>
          <w:color w:val="3B3A3B"/>
          <w:spacing w:val="-13"/>
          <w:w w:val="105"/>
          <w:sz w:val="18"/>
        </w:rPr>
        <w:t> </w:t>
      </w:r>
      <w:r>
        <w:rPr>
          <w:color w:val="3B3A3B"/>
          <w:w w:val="105"/>
          <w:sz w:val="18"/>
        </w:rPr>
        <w:t>lnordlnate</w:t>
      </w:r>
      <w:r>
        <w:rPr>
          <w:color w:val="3B3A3B"/>
          <w:spacing w:val="-18"/>
          <w:w w:val="105"/>
          <w:sz w:val="18"/>
        </w:rPr>
        <w:t> </w:t>
      </w:r>
      <w:r>
        <w:rPr>
          <w:color w:val="3B3A3B"/>
          <w:w w:val="105"/>
          <w:sz w:val="18"/>
        </w:rPr>
        <w:t>amount</w:t>
      </w:r>
      <w:r>
        <w:rPr>
          <w:color w:val="3B3A3B"/>
          <w:spacing w:val="-4"/>
          <w:w w:val="105"/>
          <w:sz w:val="18"/>
        </w:rPr>
        <w:t> </w:t>
      </w:r>
      <w:r>
        <w:rPr>
          <w:color w:val="3B3A3B"/>
          <w:w w:val="105"/>
          <w:sz w:val="18"/>
        </w:rPr>
        <w:t>of time</w:t>
      </w:r>
      <w:r>
        <w:rPr>
          <w:color w:val="3B3A3B"/>
          <w:spacing w:val="-16"/>
          <w:w w:val="105"/>
          <w:sz w:val="18"/>
        </w:rPr>
        <w:t> </w:t>
      </w:r>
      <w:r>
        <w:rPr>
          <w:color w:val="3B3A3B"/>
          <w:w w:val="105"/>
          <w:sz w:val="18"/>
        </w:rPr>
        <w:t>deciphering</w:t>
      </w:r>
      <w:r>
        <w:rPr>
          <w:color w:val="3B3A3B"/>
          <w:spacing w:val="2"/>
          <w:w w:val="105"/>
          <w:sz w:val="18"/>
        </w:rPr>
        <w:t> </w:t>
      </w:r>
      <w:r>
        <w:rPr>
          <w:color w:val="3B3A3B"/>
          <w:w w:val="105"/>
          <w:sz w:val="18"/>
        </w:rPr>
        <w:t>the</w:t>
      </w:r>
      <w:r>
        <w:rPr>
          <w:color w:val="3B3A3B"/>
          <w:spacing w:val="12"/>
          <w:w w:val="105"/>
          <w:sz w:val="18"/>
        </w:rPr>
        <w:t> </w:t>
      </w:r>
      <w:r>
        <w:rPr>
          <w:color w:val="3B3A3B"/>
          <w:w w:val="105"/>
          <w:sz w:val="18"/>
        </w:rPr>
        <w:t>arguments."</w:t>
      </w:r>
      <w:r>
        <w:rPr>
          <w:color w:val="3B3A3B"/>
          <w:spacing w:val="-18"/>
          <w:w w:val="105"/>
          <w:sz w:val="18"/>
        </w:rPr>
        <w:t> </w:t>
      </w:r>
      <w:r>
        <w:rPr>
          <w:rFonts w:ascii="Arial"/>
          <w:i/>
          <w:color w:val="3B3A3B"/>
          <w:w w:val="105"/>
          <w:sz w:val="17"/>
        </w:rPr>
        <w:t>Id.</w:t>
      </w:r>
      <w:r>
        <w:rPr>
          <w:rFonts w:ascii="Arial"/>
          <w:i/>
          <w:color w:val="3B3A3B"/>
          <w:spacing w:val="-10"/>
          <w:w w:val="105"/>
          <w:sz w:val="17"/>
        </w:rPr>
        <w:t> </w:t>
      </w:r>
      <w:r>
        <w:rPr>
          <w:color w:val="3B3A3B"/>
          <w:w w:val="105"/>
          <w:sz w:val="18"/>
        </w:rPr>
        <w:t>at</w:t>
      </w:r>
      <w:r>
        <w:rPr>
          <w:color w:val="3B3A3B"/>
          <w:spacing w:val="16"/>
          <w:w w:val="105"/>
          <w:sz w:val="18"/>
        </w:rPr>
        <w:t> </w:t>
      </w:r>
      <w:r>
        <w:rPr>
          <w:rFonts w:ascii="Arial"/>
          <w:color w:val="3B3A3B"/>
          <w:w w:val="105"/>
          <w:sz w:val="16"/>
        </w:rPr>
        <w:t>*6-7.</w:t>
      </w:r>
    </w:p>
    <w:p>
      <w:pPr>
        <w:spacing w:line="223" w:lineRule="auto" w:before="10"/>
        <w:ind w:left="476" w:right="152" w:firstLine="279"/>
        <w:jc w:val="both"/>
        <w:rPr>
          <w:sz w:val="17"/>
        </w:rPr>
      </w:pPr>
      <w:r>
        <w:rPr>
          <w:color w:val="3B3A3B"/>
          <w:w w:val="90"/>
          <w:sz w:val="15"/>
        </w:rPr>
        <w:t>s</w:t>
      </w:r>
      <w:r>
        <w:rPr>
          <w:color w:val="3B3A3B"/>
          <w:spacing w:val="31"/>
          <w:sz w:val="15"/>
        </w:rPr>
        <w:t> </w:t>
      </w:r>
      <w:r>
        <w:rPr>
          <w:i/>
          <w:color w:val="3B3A3B"/>
          <w:w w:val="90"/>
          <w:sz w:val="18"/>
        </w:rPr>
        <w:t>All Things Considered, Magistrate fudge Jacob I</w:t>
      </w:r>
      <w:r>
        <w:rPr>
          <w:i/>
          <w:color w:val="3B3A3B"/>
          <w:spacing w:val="76"/>
          <w:sz w:val="18"/>
        </w:rPr>
        <w:t> </w:t>
      </w:r>
      <w:r>
        <w:rPr>
          <w:i/>
          <w:color w:val="3B3A3B"/>
          <w:w w:val="90"/>
          <w:sz w:val="18"/>
        </w:rPr>
        <w:t>Hart Dis</w:t>
      </w:r>
      <w:r>
        <w:rPr>
          <w:i/>
          <w:color w:val="565656"/>
          <w:w w:val="90"/>
          <w:sz w:val="18"/>
        </w:rPr>
        <w:t>c</w:t>
      </w:r>
      <w:r>
        <w:rPr>
          <w:i/>
          <w:color w:val="3B3A3B"/>
          <w:w w:val="90"/>
          <w:sz w:val="18"/>
        </w:rPr>
        <w:t>usses His Fight l</w:t>
      </w:r>
      <w:r>
        <w:rPr>
          <w:i/>
          <w:color w:val="565656"/>
          <w:w w:val="90"/>
          <w:sz w:val="18"/>
        </w:rPr>
        <w:t>o </w:t>
      </w:r>
      <w:r>
        <w:rPr>
          <w:i/>
          <w:color w:val="3B3A3B"/>
          <w:w w:val="90"/>
          <w:sz w:val="18"/>
        </w:rPr>
        <w:t>Get Lawyers toCltan</w:t>
      </w:r>
      <w:r>
        <w:rPr>
          <w:i/>
          <w:color w:val="3B3A3B"/>
          <w:spacing w:val="1"/>
          <w:w w:val="90"/>
          <w:sz w:val="18"/>
        </w:rPr>
        <w:t> </w:t>
      </w:r>
      <w:r>
        <w:rPr>
          <w:i/>
          <w:color w:val="3B3A3B"/>
          <w:sz w:val="18"/>
        </w:rPr>
        <w:t>Up</w:t>
      </w:r>
      <w:r>
        <w:rPr>
          <w:i/>
          <w:color w:val="3B3A3B"/>
          <w:spacing w:val="-20"/>
          <w:sz w:val="18"/>
        </w:rPr>
        <w:t> </w:t>
      </w:r>
      <w:r>
        <w:rPr>
          <w:i/>
          <w:color w:val="3B3A3B"/>
          <w:sz w:val="18"/>
        </w:rPr>
        <w:t>Their</w:t>
      </w:r>
      <w:r>
        <w:rPr>
          <w:i/>
          <w:color w:val="3B3A3B"/>
          <w:spacing w:val="-18"/>
          <w:sz w:val="18"/>
        </w:rPr>
        <w:t> </w:t>
      </w:r>
      <w:r>
        <w:rPr>
          <w:i/>
          <w:color w:val="3B3A3B"/>
          <w:sz w:val="18"/>
        </w:rPr>
        <w:t>Wrlttm</w:t>
      </w:r>
      <w:r>
        <w:rPr>
          <w:i/>
          <w:color w:val="3B3A3B"/>
          <w:spacing w:val="-18"/>
          <w:sz w:val="18"/>
        </w:rPr>
        <w:t> </w:t>
      </w:r>
      <w:r>
        <w:rPr>
          <w:i/>
          <w:color w:val="3B3A3B"/>
          <w:sz w:val="18"/>
        </w:rPr>
        <w:t>Work</w:t>
      </w:r>
      <w:r>
        <w:rPr>
          <w:i/>
          <w:color w:val="3B3A3B"/>
          <w:spacing w:val="-6"/>
          <w:sz w:val="18"/>
        </w:rPr>
        <w:t> </w:t>
      </w:r>
      <w:r>
        <w:rPr>
          <w:color w:val="3B3A3B"/>
          <w:sz w:val="18"/>
        </w:rPr>
        <w:t>(Natl.</w:t>
      </w:r>
      <w:r>
        <w:rPr>
          <w:color w:val="3B3A3B"/>
          <w:spacing w:val="-4"/>
          <w:sz w:val="18"/>
        </w:rPr>
        <w:t> </w:t>
      </w:r>
      <w:r>
        <w:rPr>
          <w:color w:val="3B3A3B"/>
          <w:sz w:val="18"/>
        </w:rPr>
        <w:t>Pub.</w:t>
      </w:r>
      <w:r>
        <w:rPr>
          <w:color w:val="3B3A3B"/>
          <w:spacing w:val="-15"/>
          <w:sz w:val="18"/>
        </w:rPr>
        <w:t> </w:t>
      </w:r>
      <w:r>
        <w:rPr>
          <w:color w:val="3B3A3B"/>
          <w:sz w:val="18"/>
        </w:rPr>
        <w:t>Radio</w:t>
      </w:r>
      <w:r>
        <w:rPr>
          <w:color w:val="3B3A3B"/>
          <w:spacing w:val="-11"/>
          <w:sz w:val="18"/>
        </w:rPr>
        <w:t> </w:t>
      </w:r>
      <w:r>
        <w:rPr>
          <w:color w:val="3B3A3B"/>
          <w:sz w:val="18"/>
        </w:rPr>
        <w:t>broadcast</w:t>
      </w:r>
      <w:r>
        <w:rPr>
          <w:color w:val="3B3A3B"/>
          <w:spacing w:val="4"/>
          <w:sz w:val="18"/>
        </w:rPr>
        <w:t> </w:t>
      </w:r>
      <w:r>
        <w:rPr>
          <w:color w:val="3B3A3B"/>
          <w:sz w:val="18"/>
        </w:rPr>
        <w:t>Mar</w:t>
      </w:r>
      <w:r>
        <w:rPr>
          <w:color w:val="565656"/>
          <w:sz w:val="18"/>
        </w:rPr>
        <w:t>.</w:t>
      </w:r>
      <w:r>
        <w:rPr>
          <w:color w:val="565656"/>
          <w:spacing w:val="-6"/>
          <w:sz w:val="18"/>
        </w:rPr>
        <w:t> </w:t>
      </w:r>
      <w:r>
        <w:rPr>
          <w:color w:val="3B3A3B"/>
          <w:sz w:val="18"/>
        </w:rPr>
        <w:t>4,</w:t>
      </w:r>
      <w:r>
        <w:rPr>
          <w:color w:val="3B3A3B"/>
          <w:spacing w:val="-8"/>
          <w:sz w:val="18"/>
        </w:rPr>
        <w:t> </w:t>
      </w:r>
      <w:r>
        <w:rPr>
          <w:color w:val="3B3A3B"/>
          <w:sz w:val="17"/>
        </w:rPr>
        <w:t>2004).</w:t>
      </w:r>
    </w:p>
    <w:p>
      <w:pPr>
        <w:spacing w:line="232" w:lineRule="auto" w:before="3"/>
        <w:ind w:left="445" w:right="147" w:firstLine="373"/>
        <w:jc w:val="both"/>
        <w:rPr>
          <w:sz w:val="18"/>
        </w:rPr>
      </w:pPr>
      <w:r>
        <w:rPr>
          <w:rFonts w:ascii="Arial" w:hAnsi="Arial"/>
          <w:color w:val="3B3A3B"/>
          <w:position w:val="5"/>
          <w:sz w:val="11"/>
        </w:rPr>
        <w:t>6</w:t>
      </w:r>
      <w:r>
        <w:rPr>
          <w:color w:val="3B3A3B"/>
          <w:sz w:val="18"/>
        </w:rPr>
        <w:t>Of course, getting a friend or colleague to review the</w:t>
      </w:r>
      <w:r>
        <w:rPr>
          <w:color w:val="3B3A3B"/>
          <w:spacing w:val="45"/>
          <w:sz w:val="18"/>
        </w:rPr>
        <w:t> </w:t>
      </w:r>
      <w:r>
        <w:rPr>
          <w:color w:val="3B3A3B"/>
          <w:sz w:val="18"/>
        </w:rPr>
        <w:t>document can also be helpful, slnct</w:t>
      </w:r>
      <w:r>
        <w:rPr>
          <w:color w:val="3B3A3B"/>
          <w:spacing w:val="1"/>
          <w:sz w:val="18"/>
        </w:rPr>
        <w:t> </w:t>
      </w:r>
      <w:r>
        <w:rPr>
          <w:color w:val="3B3A3B"/>
          <w:w w:val="95"/>
          <w:sz w:val="18"/>
        </w:rPr>
        <w:t>that person w:111 not</w:t>
      </w:r>
      <w:r>
        <w:rPr>
          <w:color w:val="3B3A3B"/>
          <w:spacing w:val="84"/>
          <w:sz w:val="18"/>
        </w:rPr>
        <w:t> </w:t>
      </w:r>
      <w:r>
        <w:rPr>
          <w:color w:val="3B3A3B"/>
          <w:w w:val="95"/>
          <w:sz w:val="18"/>
        </w:rPr>
        <w:t>have the</w:t>
      </w:r>
      <w:r>
        <w:rPr>
          <w:color w:val="3B3A3B"/>
          <w:spacing w:val="40"/>
          <w:sz w:val="18"/>
        </w:rPr>
        <w:t> </w:t>
      </w:r>
      <w:r>
        <w:rPr>
          <w:color w:val="3B3A3B"/>
          <w:w w:val="95"/>
          <w:sz w:val="18"/>
        </w:rPr>
        <w:t>Information In his or</w:t>
      </w:r>
      <w:r>
        <w:rPr>
          <w:color w:val="3B3A3B"/>
          <w:spacing w:val="41"/>
          <w:sz w:val="18"/>
        </w:rPr>
        <w:t> </w:t>
      </w:r>
      <w:r>
        <w:rPr>
          <w:color w:val="3B3A3B"/>
          <w:w w:val="95"/>
          <w:sz w:val="18"/>
        </w:rPr>
        <w:t>her short-term memory. In an</w:t>
      </w:r>
      <w:r>
        <w:rPr>
          <w:color w:val="3B3A3B"/>
          <w:spacing w:val="40"/>
          <w:sz w:val="18"/>
        </w:rPr>
        <w:t> </w:t>
      </w:r>
      <w:r>
        <w:rPr>
          <w:color w:val="3B3A3B"/>
          <w:w w:val="95"/>
          <w:sz w:val="18"/>
        </w:rPr>
        <w:t>academic </w:t>
      </w:r>
      <w:r>
        <w:rPr>
          <w:rFonts w:ascii="Arial" w:hAnsi="Arial"/>
          <w:color w:val="3B3A3B"/>
          <w:w w:val="95"/>
          <w:sz w:val="14"/>
        </w:rPr>
        <w:t>set•</w:t>
      </w:r>
      <w:r>
        <w:rPr>
          <w:rFonts w:ascii="Arial" w:hAnsi="Arial"/>
          <w:color w:val="3B3A3B"/>
          <w:spacing w:val="1"/>
          <w:w w:val="95"/>
          <w:sz w:val="14"/>
        </w:rPr>
        <w:t> </w:t>
      </w:r>
      <w:r>
        <w:rPr>
          <w:color w:val="3B3A3B"/>
          <w:sz w:val="18"/>
        </w:rPr>
        <w:t>ting</w:t>
      </w:r>
      <w:r>
        <w:rPr>
          <w:color w:val="666667"/>
          <w:sz w:val="18"/>
        </w:rPr>
        <w:t>, </w:t>
      </w:r>
      <w:r>
        <w:rPr>
          <w:color w:val="3B3A3B"/>
          <w:sz w:val="18"/>
        </w:rPr>
        <w:t>you should not</w:t>
      </w:r>
      <w:r>
        <w:rPr>
          <w:color w:val="3B3A3B"/>
          <w:spacing w:val="45"/>
          <w:sz w:val="18"/>
        </w:rPr>
        <w:t> </w:t>
      </w:r>
      <w:r>
        <w:rPr>
          <w:color w:val="3B3A3B"/>
          <w:sz w:val="18"/>
        </w:rPr>
        <w:t>use this m</w:t>
      </w:r>
      <w:r>
        <w:rPr>
          <w:color w:val="565656"/>
          <w:sz w:val="18"/>
        </w:rPr>
        <w:t>e</w:t>
      </w:r>
      <w:r>
        <w:rPr>
          <w:color w:val="3B3A3B"/>
          <w:sz w:val="18"/>
        </w:rPr>
        <w:t>thod</w:t>
      </w:r>
      <w:r>
        <w:rPr>
          <w:color w:val="3B3A3B"/>
          <w:spacing w:val="45"/>
          <w:sz w:val="18"/>
        </w:rPr>
        <w:t> </w:t>
      </w:r>
      <w:r>
        <w:rPr>
          <w:color w:val="3B3A3B"/>
          <w:sz w:val="18"/>
        </w:rPr>
        <w:t>unless you</w:t>
      </w:r>
      <w:r>
        <w:rPr>
          <w:color w:val="3B3A3B"/>
          <w:spacing w:val="45"/>
          <w:sz w:val="18"/>
        </w:rPr>
        <w:t> </w:t>
      </w:r>
      <w:r>
        <w:rPr>
          <w:color w:val="3B3A3B"/>
          <w:sz w:val="18"/>
        </w:rPr>
        <w:t>have </w:t>
      </w:r>
      <w:r>
        <w:rPr>
          <w:i/>
          <w:color w:val="3B3A3B"/>
          <w:sz w:val="18"/>
        </w:rPr>
        <w:t>specific </w:t>
      </w:r>
      <w:r>
        <w:rPr>
          <w:color w:val="3B3A3B"/>
          <w:sz w:val="18"/>
        </w:rPr>
        <w:t>permission</w:t>
      </w:r>
      <w:r>
        <w:rPr>
          <w:color w:val="3B3A3B"/>
          <w:spacing w:val="45"/>
          <w:sz w:val="18"/>
        </w:rPr>
        <w:t> </w:t>
      </w:r>
      <w:r>
        <w:rPr>
          <w:color w:val="3B3A3B"/>
          <w:sz w:val="18"/>
        </w:rPr>
        <w:t>from</w:t>
      </w:r>
      <w:r>
        <w:rPr>
          <w:color w:val="3B3A3B"/>
          <w:spacing w:val="45"/>
          <w:sz w:val="18"/>
        </w:rPr>
        <w:t> </w:t>
      </w:r>
      <w:r>
        <w:rPr>
          <w:color w:val="3B3A3B"/>
          <w:sz w:val="18"/>
        </w:rPr>
        <w:t>your teacher. In</w:t>
      </w:r>
      <w:r>
        <w:rPr>
          <w:color w:val="3B3A3B"/>
          <w:spacing w:val="1"/>
          <w:sz w:val="18"/>
        </w:rPr>
        <w:t> </w:t>
      </w:r>
      <w:r>
        <w:rPr>
          <w:rFonts w:ascii="Arial" w:hAnsi="Arial"/>
          <w:b/>
          <w:color w:val="3B3A3B"/>
          <w:sz w:val="16"/>
        </w:rPr>
        <w:t>a </w:t>
      </w:r>
      <w:r>
        <w:rPr>
          <w:color w:val="3B3A3B"/>
          <w:sz w:val="18"/>
        </w:rPr>
        <w:t>professional sett</w:t>
      </w:r>
      <w:r>
        <w:rPr>
          <w:color w:val="565656"/>
          <w:sz w:val="18"/>
        </w:rPr>
        <w:t>i</w:t>
      </w:r>
      <w:r>
        <w:rPr>
          <w:color w:val="3B3A3B"/>
          <w:sz w:val="18"/>
        </w:rPr>
        <w:t>ng, asklng a friend</w:t>
      </w:r>
      <w:r>
        <w:rPr>
          <w:color w:val="3B3A3B"/>
          <w:spacing w:val="1"/>
          <w:sz w:val="18"/>
        </w:rPr>
        <w:t> </w:t>
      </w:r>
      <w:r>
        <w:rPr>
          <w:color w:val="3B3A3B"/>
          <w:sz w:val="18"/>
        </w:rPr>
        <w:t>to review your work Is fine; finding someone who hasth</w:t>
      </w:r>
      <w:r>
        <w:rPr>
          <w:color w:val="565656"/>
          <w:sz w:val="18"/>
        </w:rPr>
        <w:t>e</w:t>
      </w:r>
      <w:r>
        <w:rPr>
          <w:color w:val="565656"/>
          <w:spacing w:val="1"/>
          <w:sz w:val="18"/>
        </w:rPr>
        <w:t> </w:t>
      </w:r>
      <w:r>
        <w:rPr>
          <w:color w:val="3B3A3B"/>
          <w:w w:val="105"/>
          <w:sz w:val="18"/>
        </w:rPr>
        <w:t>time</w:t>
      </w:r>
      <w:r>
        <w:rPr>
          <w:color w:val="3B3A3B"/>
          <w:spacing w:val="-12"/>
          <w:w w:val="105"/>
          <w:sz w:val="18"/>
        </w:rPr>
        <w:t> </w:t>
      </w:r>
      <w:r>
        <w:rPr>
          <w:color w:val="3B3A3B"/>
          <w:w w:val="105"/>
          <w:sz w:val="18"/>
        </w:rPr>
        <w:t>to</w:t>
      </w:r>
      <w:r>
        <w:rPr>
          <w:color w:val="3B3A3B"/>
          <w:spacing w:val="-17"/>
          <w:w w:val="105"/>
          <w:sz w:val="18"/>
        </w:rPr>
        <w:t> </w:t>
      </w:r>
      <w:r>
        <w:rPr>
          <w:color w:val="3B3A3B"/>
          <w:w w:val="105"/>
          <w:sz w:val="18"/>
        </w:rPr>
        <w:t>help</w:t>
      </w:r>
      <w:r>
        <w:rPr>
          <w:color w:val="3B3A3B"/>
          <w:spacing w:val="-20"/>
          <w:w w:val="105"/>
          <w:sz w:val="18"/>
        </w:rPr>
        <w:t> </w:t>
      </w:r>
      <w:r>
        <w:rPr>
          <w:color w:val="3B3A3B"/>
          <w:w w:val="105"/>
          <w:sz w:val="18"/>
        </w:rPr>
        <w:t>you</w:t>
      </w:r>
      <w:r>
        <w:rPr>
          <w:color w:val="3B3A3B"/>
          <w:spacing w:val="-10"/>
          <w:w w:val="105"/>
          <w:sz w:val="18"/>
        </w:rPr>
        <w:t> </w:t>
      </w:r>
      <w:r>
        <w:rPr>
          <w:color w:val="3B3A3B"/>
          <w:w w:val="105"/>
          <w:sz w:val="18"/>
        </w:rPr>
        <w:t>Is</w:t>
      </w:r>
      <w:r>
        <w:rPr>
          <w:rFonts w:ascii="Arial" w:hAnsi="Arial"/>
          <w:i/>
          <w:color w:val="3B3A3B"/>
          <w:w w:val="105"/>
          <w:sz w:val="17"/>
        </w:rPr>
        <w:t>the</w:t>
      </w:r>
      <w:r>
        <w:rPr>
          <w:rFonts w:ascii="Arial" w:hAnsi="Arial"/>
          <w:i/>
          <w:color w:val="3B3A3B"/>
          <w:spacing w:val="-23"/>
          <w:w w:val="105"/>
          <w:sz w:val="17"/>
        </w:rPr>
        <w:t> </w:t>
      </w:r>
      <w:r>
        <w:rPr>
          <w:color w:val="3B3A3B"/>
          <w:w w:val="105"/>
          <w:sz w:val="18"/>
        </w:rPr>
        <w:t>hard part.</w:t>
      </w:r>
    </w:p>
    <w:p>
      <w:pPr>
        <w:spacing w:after="0" w:line="232" w:lineRule="auto"/>
        <w:jc w:val="both"/>
        <w:rPr>
          <w:sz w:val="18"/>
        </w:rPr>
        <w:sectPr>
          <w:headerReference w:type="even" r:id="rId316"/>
          <w:pgSz w:w="9070" w:h="14010"/>
          <w:pgMar w:header="486" w:footer="0" w:top="1080" w:bottom="280" w:left="126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tabs>
          <w:tab w:pos="7865" w:val="right" w:leader="none"/>
        </w:tabs>
        <w:spacing w:before="95"/>
        <w:ind w:left="4308" w:right="0" w:firstLine="0"/>
        <w:jc w:val="left"/>
        <w:rPr>
          <w:rFonts w:ascii="Arial"/>
          <w:b/>
          <w:sz w:val="18"/>
        </w:rPr>
      </w:pPr>
      <w:r>
        <w:rPr>
          <w:color w:val="3B383A"/>
          <w:w w:val="105"/>
          <w:sz w:val="17"/>
        </w:rPr>
        <w:t>12.1 </w:t>
      </w:r>
      <w:r>
        <w:rPr>
          <w:color w:val="3B383A"/>
          <w:spacing w:val="8"/>
          <w:w w:val="105"/>
          <w:sz w:val="17"/>
        </w:rPr>
        <w:t> </w:t>
      </w:r>
      <w:r>
        <w:rPr>
          <w:color w:val="3B383A"/>
          <w:w w:val="105"/>
          <w:sz w:val="17"/>
        </w:rPr>
        <w:t>Methods to</w:t>
      </w:r>
      <w:r>
        <w:rPr>
          <w:color w:val="3B383A"/>
          <w:spacing w:val="11"/>
          <w:w w:val="105"/>
          <w:sz w:val="17"/>
        </w:rPr>
        <w:t> </w:t>
      </w:r>
      <w:r>
        <w:rPr>
          <w:color w:val="3B383A"/>
          <w:w w:val="105"/>
          <w:sz w:val="17"/>
        </w:rPr>
        <w:t>Use</w:t>
      </w:r>
      <w:r>
        <w:rPr>
          <w:color w:val="3B383A"/>
          <w:spacing w:val="-21"/>
          <w:w w:val="105"/>
          <w:sz w:val="17"/>
        </w:rPr>
        <w:t> </w:t>
      </w:r>
      <w:r>
        <w:rPr>
          <w:color w:val="3B383A"/>
          <w:w w:val="105"/>
          <w:sz w:val="17"/>
        </w:rPr>
        <w:t>on</w:t>
      </w:r>
      <w:r>
        <w:rPr>
          <w:color w:val="3B383A"/>
          <w:spacing w:val="23"/>
          <w:w w:val="105"/>
          <w:sz w:val="17"/>
        </w:rPr>
        <w:t> </w:t>
      </w:r>
      <w:r>
        <w:rPr>
          <w:color w:val="3B383A"/>
          <w:w w:val="105"/>
          <w:sz w:val="17"/>
        </w:rPr>
        <w:t>the</w:t>
      </w:r>
      <w:r>
        <w:rPr>
          <w:color w:val="3B383A"/>
          <w:spacing w:val="26"/>
          <w:w w:val="105"/>
          <w:sz w:val="17"/>
        </w:rPr>
        <w:t> </w:t>
      </w:r>
      <w:r>
        <w:rPr>
          <w:color w:val="3B383A"/>
          <w:w w:val="105"/>
          <w:sz w:val="17"/>
        </w:rPr>
        <w:t>Computer</w:t>
        <w:tab/>
      </w:r>
      <w:r>
        <w:rPr>
          <w:rFonts w:ascii="Arial"/>
          <w:b/>
          <w:color w:val="3B383A"/>
          <w:w w:val="105"/>
          <w:sz w:val="18"/>
        </w:rPr>
        <w:t>281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1"/>
        </w:rPr>
      </w:pPr>
    </w:p>
    <w:p>
      <w:pPr>
        <w:pStyle w:val="BodyText"/>
        <w:spacing w:line="230" w:lineRule="auto"/>
        <w:ind w:left="229" w:right="808" w:hanging="6"/>
        <w:jc w:val="both"/>
      </w:pPr>
      <w:r>
        <w:rPr>
          <w:color w:val="3B383A"/>
          <w:spacing w:val="9"/>
        </w:rPr>
        <w:t>doa </w:t>
      </w:r>
      <w:r>
        <w:rPr>
          <w:color w:val="3B383A"/>
        </w:rPr>
        <w:t>final edit.</w:t>
      </w:r>
      <w:r>
        <w:rPr>
          <w:rFonts w:ascii="Arial"/>
          <w:color w:val="3B383A"/>
          <w:vertAlign w:val="superscript"/>
        </w:rPr>
        <w:t>7</w:t>
      </w:r>
      <w:r>
        <w:rPr>
          <w:rFonts w:ascii="Arial"/>
          <w:color w:val="3B383A"/>
          <w:vertAlign w:val="baseline"/>
        </w:rPr>
        <w:t> </w:t>
      </w:r>
      <w:r>
        <w:rPr>
          <w:color w:val="3B383A"/>
          <w:vertAlign w:val="baseline"/>
        </w:rPr>
        <w:t>Even a little time can make some difference. In a crunch,</w:t>
      </w:r>
      <w:r>
        <w:rPr>
          <w:color w:val="3B383A"/>
          <w:spacing w:val="1"/>
          <w:vertAlign w:val="baseline"/>
        </w:rPr>
        <w:t> </w:t>
      </w:r>
      <w:r>
        <w:rPr>
          <w:color w:val="3B383A"/>
          <w:w w:val="105"/>
          <w:vertAlign w:val="baseline"/>
        </w:rPr>
        <w:t>that might mean taking a 15-rninute walk and then coming back to edit,</w:t>
      </w:r>
      <w:r>
        <w:rPr>
          <w:color w:val="3B383A"/>
          <w:spacing w:val="-58"/>
          <w:w w:val="105"/>
          <w:vertAlign w:val="baseline"/>
        </w:rPr>
        <w:t> </w:t>
      </w:r>
      <w:r>
        <w:rPr>
          <w:color w:val="3B383A"/>
          <w:spacing w:val="-1"/>
          <w:w w:val="105"/>
          <w:vertAlign w:val="baseline"/>
        </w:rPr>
        <w:t>but</w:t>
      </w:r>
      <w:r>
        <w:rPr>
          <w:color w:val="3B383A"/>
          <w:spacing w:val="-17"/>
          <w:w w:val="105"/>
          <w:vertAlign w:val="baseline"/>
        </w:rPr>
        <w:t> </w:t>
      </w:r>
      <w:r>
        <w:rPr>
          <w:color w:val="4F4D4F"/>
          <w:spacing w:val="-1"/>
          <w:w w:val="105"/>
          <w:vertAlign w:val="baseline"/>
        </w:rPr>
        <w:t>taking</w:t>
      </w:r>
      <w:r>
        <w:rPr>
          <w:color w:val="4F4D4F"/>
          <w:spacing w:val="-6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some</w:t>
      </w:r>
      <w:r>
        <w:rPr>
          <w:color w:val="3B383A"/>
          <w:spacing w:val="-5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time</w:t>
      </w:r>
      <w:r>
        <w:rPr>
          <w:color w:val="3B383A"/>
          <w:spacing w:val="-11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can</w:t>
      </w:r>
      <w:r>
        <w:rPr>
          <w:color w:val="3B383A"/>
          <w:spacing w:val="-2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make</w:t>
      </w:r>
      <w:r>
        <w:rPr>
          <w:color w:val="3B383A"/>
          <w:spacing w:val="-8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a</w:t>
      </w:r>
      <w:r>
        <w:rPr>
          <w:color w:val="3B383A"/>
          <w:spacing w:val="-3"/>
          <w:w w:val="105"/>
          <w:vertAlign w:val="baseline"/>
        </w:rPr>
        <w:t> </w:t>
      </w:r>
      <w:r>
        <w:rPr>
          <w:color w:val="3B383A"/>
          <w:w w:val="105"/>
          <w:vertAlign w:val="baseline"/>
        </w:rPr>
        <w:t>difference.</w:t>
      </w:r>
    </w:p>
    <w:p>
      <w:pPr>
        <w:pStyle w:val="BodyText"/>
        <w:spacing w:line="232" w:lineRule="auto" w:before="7"/>
        <w:ind w:left="232" w:right="766" w:firstLine="295"/>
        <w:jc w:val="both"/>
      </w:pPr>
      <w:r>
        <w:rPr>
          <w:color w:val="3B383A"/>
          <w:spacing w:val="-1"/>
          <w:w w:val="105"/>
        </w:rPr>
        <w:t>A</w:t>
      </w:r>
      <w:r>
        <w:rPr>
          <w:color w:val="3B383A"/>
          <w:spacing w:val="-32"/>
          <w:w w:val="105"/>
        </w:rPr>
        <w:t> </w:t>
      </w:r>
      <w:r>
        <w:rPr>
          <w:color w:val="3B383A"/>
          <w:spacing w:val="-1"/>
          <w:w w:val="105"/>
        </w:rPr>
        <w:t>second</w:t>
      </w:r>
      <w:r>
        <w:rPr>
          <w:color w:val="3B383A"/>
          <w:spacing w:val="-7"/>
          <w:w w:val="105"/>
        </w:rPr>
        <w:t> </w:t>
      </w:r>
      <w:r>
        <w:rPr>
          <w:color w:val="3B383A"/>
          <w:spacing w:val="-1"/>
          <w:w w:val="105"/>
        </w:rPr>
        <w:t>effective</w:t>
      </w:r>
      <w:r>
        <w:rPr>
          <w:color w:val="3B383A"/>
          <w:spacing w:val="-11"/>
          <w:w w:val="105"/>
        </w:rPr>
        <w:t> </w:t>
      </w:r>
      <w:r>
        <w:rPr>
          <w:color w:val="3B383A"/>
          <w:w w:val="105"/>
        </w:rPr>
        <w:t>polishing</w:t>
      </w:r>
      <w:r>
        <w:rPr>
          <w:color w:val="3B383A"/>
          <w:spacing w:val="-11"/>
          <w:w w:val="105"/>
        </w:rPr>
        <w:t> </w:t>
      </w:r>
      <w:r>
        <w:rPr>
          <w:color w:val="3B383A"/>
          <w:w w:val="105"/>
        </w:rPr>
        <w:t>technique</w:t>
      </w:r>
      <w:r>
        <w:rPr>
          <w:color w:val="3B383A"/>
          <w:spacing w:val="-21"/>
          <w:w w:val="105"/>
        </w:rPr>
        <w:t> </w:t>
      </w:r>
      <w:r>
        <w:rPr>
          <w:color w:val="3B383A"/>
          <w:w w:val="105"/>
        </w:rPr>
        <w:t>is</w:t>
      </w:r>
      <w:r>
        <w:rPr>
          <w:color w:val="3B383A"/>
          <w:spacing w:val="-31"/>
          <w:w w:val="105"/>
        </w:rPr>
        <w:t> </w:t>
      </w:r>
      <w:r>
        <w:rPr>
          <w:color w:val="3B383A"/>
          <w:w w:val="105"/>
        </w:rPr>
        <w:t>to</w:t>
      </w:r>
      <w:r>
        <w:rPr>
          <w:color w:val="3B383A"/>
          <w:spacing w:val="-27"/>
          <w:w w:val="105"/>
        </w:rPr>
        <w:t> </w:t>
      </w:r>
      <w:r>
        <w:rPr>
          <w:color w:val="3B383A"/>
          <w:w w:val="105"/>
        </w:rPr>
        <w:t>"start</w:t>
      </w:r>
      <w:r>
        <w:rPr>
          <w:color w:val="3B383A"/>
          <w:spacing w:val="-20"/>
          <w:w w:val="105"/>
        </w:rPr>
        <w:t> </w:t>
      </w:r>
      <w:r>
        <w:rPr>
          <w:color w:val="3B383A"/>
          <w:w w:val="105"/>
        </w:rPr>
        <w:t>in</w:t>
      </w:r>
      <w:r>
        <w:rPr>
          <w:color w:val="3B383A"/>
          <w:spacing w:val="-12"/>
          <w:w w:val="105"/>
        </w:rPr>
        <w:t> </w:t>
      </w:r>
      <w:r>
        <w:rPr>
          <w:color w:val="3B383A"/>
          <w:w w:val="105"/>
        </w:rPr>
        <w:t>the</w:t>
      </w:r>
      <w:r>
        <w:rPr>
          <w:color w:val="3B383A"/>
          <w:spacing w:val="-24"/>
          <w:w w:val="105"/>
        </w:rPr>
        <w:t> </w:t>
      </w:r>
      <w:r>
        <w:rPr>
          <w:color w:val="3B383A"/>
          <w:w w:val="105"/>
        </w:rPr>
        <w:t>middle"</w:t>
      </w:r>
      <w:r>
        <w:rPr>
          <w:color w:val="3B383A"/>
          <w:spacing w:val="-21"/>
          <w:w w:val="105"/>
        </w:rPr>
        <w:t> </w:t>
      </w:r>
      <w:r>
        <w:rPr>
          <w:color w:val="3B383A"/>
          <w:w w:val="105"/>
        </w:rPr>
        <w:t>when</w:t>
      </w:r>
      <w:r>
        <w:rPr>
          <w:color w:val="3B383A"/>
          <w:spacing w:val="1"/>
          <w:w w:val="105"/>
        </w:rPr>
        <w:t> </w:t>
      </w:r>
      <w:r>
        <w:rPr>
          <w:color w:val="3B383A"/>
        </w:rPr>
        <w:t>reviewing your work. Most writing teachers find that mechanical mistakes</w:t>
      </w:r>
      <w:r>
        <w:rPr>
          <w:color w:val="3B383A"/>
          <w:spacing w:val="1"/>
        </w:rPr>
        <w:t> </w:t>
      </w:r>
      <w:r>
        <w:rPr>
          <w:color w:val="3B383A"/>
        </w:rPr>
        <w:t>and other weaknesses show up more often in the second half of the docu­</w:t>
      </w:r>
      <w:r>
        <w:rPr>
          <w:color w:val="3B383A"/>
          <w:spacing w:val="1"/>
        </w:rPr>
        <w:t> </w:t>
      </w:r>
      <w:r>
        <w:rPr>
          <w:color w:val="3B383A"/>
          <w:w w:val="105"/>
        </w:rPr>
        <w:t>ment than in the first half. That's because many writers get bored with</w:t>
      </w:r>
      <w:r>
        <w:rPr>
          <w:color w:val="3B383A"/>
          <w:spacing w:val="1"/>
          <w:w w:val="105"/>
        </w:rPr>
        <w:t> </w:t>
      </w:r>
      <w:r>
        <w:rPr>
          <w:color w:val="3B383A"/>
        </w:rPr>
        <w:t>editing or</w:t>
      </w:r>
      <w:r>
        <w:rPr>
          <w:color w:val="3B383A"/>
          <w:spacing w:val="1"/>
        </w:rPr>
        <w:t> </w:t>
      </w:r>
      <w:r>
        <w:rPr>
          <w:color w:val="3B383A"/>
        </w:rPr>
        <w:t>polishing as they get closer to the end of the document; many</w:t>
      </w:r>
      <w:r>
        <w:rPr>
          <w:color w:val="3B383A"/>
          <w:spacing w:val="1"/>
        </w:rPr>
        <w:t> </w:t>
      </w:r>
      <w:r>
        <w:rPr>
          <w:color w:val="3B383A"/>
          <w:w w:val="105"/>
        </w:rPr>
        <w:t>give up before finishing the job. Even conscientious editors should give</w:t>
      </w:r>
      <w:r>
        <w:rPr>
          <w:color w:val="3B383A"/>
          <w:spacing w:val="-58"/>
          <w:w w:val="105"/>
        </w:rPr>
        <w:t> </w:t>
      </w:r>
      <w:r>
        <w:rPr>
          <w:color w:val="3B383A"/>
        </w:rPr>
        <w:t>fresh</w:t>
      </w:r>
      <w:r>
        <w:rPr>
          <w:color w:val="3B383A"/>
          <w:spacing w:val="-7"/>
        </w:rPr>
        <w:t> </w:t>
      </w:r>
      <w:r>
        <w:rPr>
          <w:color w:val="3B383A"/>
        </w:rPr>
        <w:t>eyes</w:t>
      </w:r>
      <w:r>
        <w:rPr>
          <w:color w:val="3B383A"/>
          <w:spacing w:val="5"/>
        </w:rPr>
        <w:t> </w:t>
      </w:r>
      <w:r>
        <w:rPr>
          <w:color w:val="3B383A"/>
        </w:rPr>
        <w:t>to</w:t>
      </w:r>
      <w:r>
        <w:rPr>
          <w:color w:val="3B383A"/>
          <w:spacing w:val="30"/>
        </w:rPr>
        <w:t> </w:t>
      </w:r>
      <w:r>
        <w:rPr>
          <w:color w:val="3B383A"/>
        </w:rPr>
        <w:t>different</w:t>
      </w:r>
      <w:r>
        <w:rPr>
          <w:color w:val="3B383A"/>
          <w:spacing w:val="27"/>
        </w:rPr>
        <w:t> </w:t>
      </w:r>
      <w:r>
        <w:rPr>
          <w:color w:val="3B383A"/>
        </w:rPr>
        <w:t>parts</w:t>
      </w:r>
      <w:r>
        <w:rPr>
          <w:color w:val="3B383A"/>
          <w:spacing w:val="-13"/>
        </w:rPr>
        <w:t> </w:t>
      </w:r>
      <w:r>
        <w:rPr>
          <w:color w:val="3B383A"/>
        </w:rPr>
        <w:t>of</w:t>
      </w:r>
      <w:r>
        <w:rPr>
          <w:color w:val="3B383A"/>
          <w:spacing w:val="23"/>
        </w:rPr>
        <w:t> </w:t>
      </w:r>
      <w:r>
        <w:rPr>
          <w:color w:val="3B383A"/>
        </w:rPr>
        <w:t>the</w:t>
      </w:r>
      <w:r>
        <w:rPr>
          <w:color w:val="3B383A"/>
          <w:spacing w:val="40"/>
        </w:rPr>
        <w:t> </w:t>
      </w:r>
      <w:r>
        <w:rPr>
          <w:color w:val="3B383A"/>
        </w:rPr>
        <w:t>document</w:t>
      </w:r>
      <w:r>
        <w:rPr>
          <w:color w:val="3B383A"/>
          <w:spacing w:val="5"/>
        </w:rPr>
        <w:t> </w:t>
      </w:r>
      <w:r>
        <w:rPr>
          <w:color w:val="3B383A"/>
        </w:rPr>
        <w:t>at</w:t>
      </w:r>
      <w:r>
        <w:rPr>
          <w:color w:val="3B383A"/>
          <w:spacing w:val="1"/>
        </w:rPr>
        <w:t> </w:t>
      </w:r>
      <w:r>
        <w:rPr>
          <w:color w:val="3B383A"/>
        </w:rPr>
        <w:t>different</w:t>
      </w:r>
      <w:r>
        <w:rPr>
          <w:color w:val="3B383A"/>
          <w:spacing w:val="-1"/>
        </w:rPr>
        <w:t> </w:t>
      </w:r>
      <w:r>
        <w:rPr>
          <w:color w:val="3B383A"/>
        </w:rPr>
        <w:t>times.</w:t>
      </w:r>
    </w:p>
    <w:p>
      <w:pPr>
        <w:pStyle w:val="BodyText"/>
        <w:spacing w:line="232" w:lineRule="auto" w:before="4"/>
        <w:ind w:left="242" w:right="722" w:firstLine="289"/>
        <w:jc w:val="both"/>
      </w:pPr>
      <w:r>
        <w:rPr>
          <w:color w:val="3B383A"/>
        </w:rPr>
        <w:t>Generally, it is ineffective to proofread by reading the entire document</w:t>
      </w:r>
      <w:r>
        <w:rPr>
          <w:color w:val="3B383A"/>
          <w:spacing w:val="1"/>
        </w:rPr>
        <w:t> </w:t>
      </w:r>
      <w:r>
        <w:rPr>
          <w:color w:val="3B383A"/>
          <w:w w:val="105"/>
        </w:rPr>
        <w:t>very slowly once or twice, trying to catch every type of error. Instead,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you should read the document through several times on the computer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and several times in hard-copy form. Make surgical strikes, focusing on</w:t>
      </w:r>
      <w:r>
        <w:rPr>
          <w:color w:val="3B383A"/>
          <w:spacing w:val="1"/>
          <w:w w:val="105"/>
        </w:rPr>
        <w:t> </w:t>
      </w:r>
      <w:r>
        <w:rPr>
          <w:color w:val="3B383A"/>
        </w:rPr>
        <w:t>only one</w:t>
      </w:r>
      <w:r>
        <w:rPr>
          <w:color w:val="3B383A"/>
          <w:spacing w:val="1"/>
        </w:rPr>
        <w:t> </w:t>
      </w:r>
      <w:r>
        <w:rPr>
          <w:color w:val="3B383A"/>
        </w:rPr>
        <w:t>or</w:t>
      </w:r>
      <w:r>
        <w:rPr>
          <w:color w:val="3B383A"/>
          <w:spacing w:val="1"/>
        </w:rPr>
        <w:t> </w:t>
      </w:r>
      <w:r>
        <w:rPr>
          <w:color w:val="3B383A"/>
        </w:rPr>
        <w:t>two</w:t>
      </w:r>
      <w:r>
        <w:rPr>
          <w:color w:val="3B383A"/>
          <w:spacing w:val="1"/>
        </w:rPr>
        <w:t> </w:t>
      </w:r>
      <w:r>
        <w:rPr>
          <w:color w:val="3B383A"/>
        </w:rPr>
        <w:t>aspects of the document at a time. For example, you can</w:t>
      </w:r>
      <w:r>
        <w:rPr>
          <w:color w:val="3B383A"/>
          <w:spacing w:val="1"/>
        </w:rPr>
        <w:t> </w:t>
      </w:r>
      <w:r>
        <w:rPr>
          <w:color w:val="3B383A"/>
        </w:rPr>
        <w:t>review the</w:t>
      </w:r>
      <w:r>
        <w:rPr>
          <w:color w:val="3B383A"/>
          <w:spacing w:val="1"/>
        </w:rPr>
        <w:t> </w:t>
      </w:r>
      <w:r>
        <w:rPr>
          <w:color w:val="3B383A"/>
        </w:rPr>
        <w:t>document once just looking at citation form, another time just</w:t>
      </w:r>
      <w:r>
        <w:rPr>
          <w:color w:val="3B383A"/>
          <w:spacing w:val="1"/>
        </w:rPr>
        <w:t> </w:t>
      </w:r>
      <w:r>
        <w:rPr>
          <w:color w:val="4F4D4F"/>
        </w:rPr>
        <w:t>looking </w:t>
      </w:r>
      <w:r>
        <w:rPr>
          <w:color w:val="3B383A"/>
        </w:rPr>
        <w:t>at</w:t>
      </w:r>
      <w:r>
        <w:rPr>
          <w:color w:val="3B383A"/>
          <w:spacing w:val="1"/>
        </w:rPr>
        <w:t> </w:t>
      </w:r>
      <w:r>
        <w:rPr>
          <w:color w:val="3B383A"/>
        </w:rPr>
        <w:t>topic sentences, and so on. This chapter discusses proofreading</w:t>
      </w:r>
      <w:r>
        <w:rPr>
          <w:color w:val="3B383A"/>
          <w:spacing w:val="1"/>
        </w:rPr>
        <w:t> </w:t>
      </w:r>
      <w:r>
        <w:rPr>
          <w:color w:val="3B383A"/>
        </w:rPr>
        <w:t>techniques</w:t>
      </w:r>
      <w:r>
        <w:rPr>
          <w:color w:val="3B383A"/>
          <w:spacing w:val="18"/>
        </w:rPr>
        <w:t> </w:t>
      </w:r>
      <w:r>
        <w:rPr>
          <w:color w:val="3B383A"/>
        </w:rPr>
        <w:t>for</w:t>
      </w:r>
      <w:r>
        <w:rPr>
          <w:color w:val="3B383A"/>
          <w:spacing w:val="55"/>
        </w:rPr>
        <w:t> </w:t>
      </w:r>
      <w:r>
        <w:rPr>
          <w:color w:val="3B383A"/>
        </w:rPr>
        <w:t>both</w:t>
      </w:r>
      <w:r>
        <w:rPr>
          <w:color w:val="3B383A"/>
          <w:spacing w:val="22"/>
        </w:rPr>
        <w:t> </w:t>
      </w:r>
      <w:r>
        <w:rPr>
          <w:color w:val="3B383A"/>
        </w:rPr>
        <w:t>the</w:t>
      </w:r>
      <w:r>
        <w:rPr>
          <w:color w:val="3B383A"/>
          <w:spacing w:val="12"/>
        </w:rPr>
        <w:t> </w:t>
      </w:r>
      <w:r>
        <w:rPr>
          <w:color w:val="3B383A"/>
        </w:rPr>
        <w:t>digital</w:t>
      </w:r>
      <w:r>
        <w:rPr>
          <w:color w:val="3B383A"/>
          <w:spacing w:val="-1"/>
        </w:rPr>
        <w:t> </w:t>
      </w:r>
      <w:r>
        <w:rPr>
          <w:color w:val="3B383A"/>
        </w:rPr>
        <w:t>and</w:t>
      </w:r>
      <w:r>
        <w:rPr>
          <w:color w:val="3B383A"/>
          <w:spacing w:val="53"/>
        </w:rPr>
        <w:t> </w:t>
      </w:r>
      <w:r>
        <w:rPr>
          <w:color w:val="3B383A"/>
        </w:rPr>
        <w:t>hard-copy</w:t>
      </w:r>
      <w:r>
        <w:rPr>
          <w:color w:val="3B383A"/>
          <w:spacing w:val="17"/>
        </w:rPr>
        <w:t> </w:t>
      </w:r>
      <w:r>
        <w:rPr>
          <w:color w:val="3B383A"/>
        </w:rPr>
        <w:t>versions</w:t>
      </w:r>
      <w:r>
        <w:rPr>
          <w:color w:val="3B383A"/>
          <w:spacing w:val="5"/>
        </w:rPr>
        <w:t> </w:t>
      </w:r>
      <w:r>
        <w:rPr>
          <w:color w:val="3B383A"/>
        </w:rPr>
        <w:t>of</w:t>
      </w:r>
      <w:r>
        <w:rPr>
          <w:color w:val="3B383A"/>
          <w:spacing w:val="39"/>
        </w:rPr>
        <w:t> </w:t>
      </w:r>
      <w:r>
        <w:rPr>
          <w:color w:val="3B383A"/>
        </w:rPr>
        <w:t>the</w:t>
      </w:r>
      <w:r>
        <w:rPr>
          <w:color w:val="3B383A"/>
          <w:spacing w:val="54"/>
        </w:rPr>
        <w:t> </w:t>
      </w:r>
      <w:r>
        <w:rPr>
          <w:color w:val="3B383A"/>
        </w:rPr>
        <w:t>document.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1"/>
        <w:ind w:left="764" w:right="0" w:firstLine="0"/>
        <w:jc w:val="left"/>
        <w:rPr>
          <w:rFonts w:ascii="Arial"/>
          <w:b/>
          <w:sz w:val="33"/>
        </w:rPr>
      </w:pPr>
      <w:r>
        <w:rPr>
          <w:rFonts w:ascii="Arial"/>
          <w:b/>
          <w:color w:val="6E6E70"/>
          <w:w w:val="105"/>
          <w:sz w:val="33"/>
        </w:rPr>
        <w:t>12.1</w:t>
      </w:r>
    </w:p>
    <w:p>
      <w:pPr>
        <w:spacing w:before="44"/>
        <w:ind w:left="776" w:right="0" w:firstLine="0"/>
        <w:jc w:val="left"/>
        <w:rPr>
          <w:rFonts w:ascii="Arial"/>
          <w:sz w:val="27"/>
        </w:rPr>
      </w:pPr>
      <w:r>
        <w:rPr>
          <w:color w:val="7E8082"/>
          <w:w w:val="95"/>
          <w:sz w:val="29"/>
        </w:rPr>
        <w:t>METHODS</w:t>
      </w:r>
      <w:r>
        <w:rPr>
          <w:color w:val="7E8082"/>
          <w:spacing w:val="21"/>
          <w:w w:val="95"/>
          <w:sz w:val="29"/>
        </w:rPr>
        <w:t> </w:t>
      </w:r>
      <w:r>
        <w:rPr>
          <w:color w:val="6E6E70"/>
          <w:w w:val="95"/>
          <w:sz w:val="29"/>
        </w:rPr>
        <w:t>TO</w:t>
      </w:r>
      <w:r>
        <w:rPr>
          <w:color w:val="6E6E70"/>
          <w:spacing w:val="17"/>
          <w:w w:val="95"/>
          <w:sz w:val="29"/>
        </w:rPr>
        <w:t> </w:t>
      </w:r>
      <w:r>
        <w:rPr>
          <w:color w:val="6E6E70"/>
          <w:w w:val="95"/>
          <w:sz w:val="29"/>
        </w:rPr>
        <w:t>USE</w:t>
      </w:r>
      <w:r>
        <w:rPr>
          <w:color w:val="6E6E70"/>
          <w:spacing w:val="1"/>
          <w:w w:val="95"/>
          <w:sz w:val="29"/>
        </w:rPr>
        <w:t> </w:t>
      </w:r>
      <w:r>
        <w:rPr>
          <w:rFonts w:ascii="Arial"/>
          <w:color w:val="6E6E70"/>
          <w:w w:val="95"/>
          <w:sz w:val="27"/>
        </w:rPr>
        <w:t>ON</w:t>
      </w:r>
      <w:r>
        <w:rPr>
          <w:rFonts w:ascii="Arial"/>
          <w:color w:val="6E6E70"/>
          <w:spacing w:val="-18"/>
          <w:w w:val="95"/>
          <w:sz w:val="27"/>
        </w:rPr>
        <w:t> </w:t>
      </w:r>
      <w:r>
        <w:rPr>
          <w:color w:val="6E6E70"/>
          <w:w w:val="95"/>
          <w:sz w:val="29"/>
        </w:rPr>
        <w:t>THE</w:t>
      </w:r>
      <w:r>
        <w:rPr>
          <w:color w:val="6E6E70"/>
          <w:spacing w:val="4"/>
          <w:w w:val="95"/>
          <w:sz w:val="29"/>
        </w:rPr>
        <w:t> </w:t>
      </w:r>
      <w:r>
        <w:rPr>
          <w:rFonts w:ascii="Arial"/>
          <w:color w:val="6E6E70"/>
          <w:w w:val="95"/>
          <w:sz w:val="27"/>
        </w:rPr>
        <w:t>COMPUTER</w:t>
      </w:r>
    </w:p>
    <w:p>
      <w:pPr>
        <w:pStyle w:val="BodyText"/>
        <w:spacing w:line="235" w:lineRule="auto" w:before="247"/>
        <w:ind w:left="270" w:right="616" w:firstLine="507"/>
        <w:jc w:val="both"/>
      </w:pPr>
      <w:r>
        <w:rPr>
          <w:color w:val="3B383A"/>
        </w:rPr>
        <w:t>You can</w:t>
      </w:r>
      <w:r>
        <w:rPr>
          <w:color w:val="3B383A"/>
          <w:spacing w:val="1"/>
        </w:rPr>
        <w:t> </w:t>
      </w:r>
      <w:r>
        <w:rPr>
          <w:color w:val="3B383A"/>
        </w:rPr>
        <w:t>do</w:t>
      </w:r>
      <w:r>
        <w:rPr>
          <w:color w:val="3B383A"/>
          <w:spacing w:val="1"/>
        </w:rPr>
        <w:t> </w:t>
      </w:r>
      <w:r>
        <w:rPr>
          <w:color w:val="3B383A"/>
        </w:rPr>
        <w:t>some proofreading while your document isstill in digital</w:t>
      </w:r>
      <w:r>
        <w:rPr>
          <w:color w:val="3B383A"/>
          <w:spacing w:val="1"/>
        </w:rPr>
        <w:t> </w:t>
      </w:r>
      <w:r>
        <w:rPr>
          <w:color w:val="3B383A"/>
        </w:rPr>
        <w:t>form. First, you</w:t>
      </w:r>
      <w:r>
        <w:rPr>
          <w:color w:val="3B383A"/>
          <w:spacing w:val="1"/>
        </w:rPr>
        <w:t> </w:t>
      </w:r>
      <w:r>
        <w:rPr>
          <w:color w:val="3B383A"/>
        </w:rPr>
        <w:t>may</w:t>
      </w:r>
      <w:r>
        <w:rPr>
          <w:color w:val="3B383A"/>
          <w:spacing w:val="1"/>
        </w:rPr>
        <w:t> </w:t>
      </w:r>
      <w:r>
        <w:rPr>
          <w:color w:val="3B383A"/>
        </w:rPr>
        <w:t>want to enlarge the</w:t>
      </w:r>
      <w:r>
        <w:rPr>
          <w:color w:val="3B383A"/>
          <w:spacing w:val="1"/>
        </w:rPr>
        <w:t> </w:t>
      </w:r>
      <w:r>
        <w:rPr>
          <w:color w:val="3B383A"/>
        </w:rPr>
        <w:t>font size while you proofread.</w:t>
      </w:r>
      <w:r>
        <w:rPr>
          <w:color w:val="3B383A"/>
          <w:spacing w:val="1"/>
        </w:rPr>
        <w:t> </w:t>
      </w:r>
      <w:r>
        <w:rPr>
          <w:color w:val="3B383A"/>
        </w:rPr>
        <w:t>Enlarging</w:t>
      </w:r>
      <w:r>
        <w:rPr>
          <w:color w:val="3B383A"/>
          <w:spacing w:val="57"/>
        </w:rPr>
        <w:t> </w:t>
      </w:r>
      <w:r>
        <w:rPr>
          <w:color w:val="3B383A"/>
        </w:rPr>
        <w:t>the   font (say, to</w:t>
      </w:r>
      <w:r>
        <w:rPr>
          <w:color w:val="3B383A"/>
          <w:spacing w:val="58"/>
        </w:rPr>
        <w:t> </w:t>
      </w:r>
      <w:r>
        <w:rPr>
          <w:color w:val="3B383A"/>
        </w:rPr>
        <w:t>20- or 22-point size) can have two benefits.</w:t>
      </w:r>
      <w:r>
        <w:rPr>
          <w:color w:val="3B383A"/>
          <w:spacing w:val="1"/>
        </w:rPr>
        <w:t> </w:t>
      </w:r>
      <w:r>
        <w:rPr>
          <w:color w:val="3B383A"/>
        </w:rPr>
        <w:t>first, you can focus more easily because you </w:t>
      </w:r>
      <w:r>
        <w:rPr>
          <w:color w:val="3B383A"/>
          <w:sz w:val="21"/>
        </w:rPr>
        <w:t>will </w:t>
      </w:r>
      <w:r>
        <w:rPr>
          <w:color w:val="3B383A"/>
        </w:rPr>
        <w:t>have a smaller number of</w:t>
      </w:r>
      <w:r>
        <w:rPr>
          <w:color w:val="3B383A"/>
          <w:spacing w:val="1"/>
        </w:rPr>
        <w:t> </w:t>
      </w:r>
      <w:r>
        <w:rPr>
          <w:color w:val="3B383A"/>
        </w:rPr>
        <w:t>words on</w:t>
      </w:r>
      <w:r>
        <w:rPr>
          <w:color w:val="3B383A"/>
          <w:spacing w:val="1"/>
        </w:rPr>
        <w:t> </w:t>
      </w:r>
      <w:r>
        <w:rPr>
          <w:color w:val="4F4D4F"/>
        </w:rPr>
        <w:t>the</w:t>
      </w:r>
      <w:r>
        <w:rPr>
          <w:color w:val="4F4D4F"/>
          <w:spacing w:val="1"/>
        </w:rPr>
        <w:t> </w:t>
      </w:r>
      <w:r>
        <w:rPr>
          <w:color w:val="3B383A"/>
        </w:rPr>
        <w:t>screen at a time. Second, it will be easier to distance yourself</w:t>
      </w:r>
      <w:r>
        <w:rPr>
          <w:color w:val="3B383A"/>
          <w:spacing w:val="1"/>
        </w:rPr>
        <w:t> </w:t>
      </w:r>
      <w:r>
        <w:rPr>
          <w:color w:val="3B383A"/>
        </w:rPr>
        <w:t>from the   text because</w:t>
      </w:r>
      <w:r>
        <w:rPr>
          <w:color w:val="3B383A"/>
          <w:spacing w:val="57"/>
        </w:rPr>
        <w:t> </w:t>
      </w:r>
      <w:r>
        <w:rPr>
          <w:color w:val="3B383A"/>
        </w:rPr>
        <w:t>the</w:t>
      </w:r>
      <w:r>
        <w:rPr>
          <w:color w:val="3B383A"/>
          <w:spacing w:val="58"/>
        </w:rPr>
        <w:t> </w:t>
      </w:r>
      <w:r>
        <w:rPr>
          <w:color w:val="3B383A"/>
        </w:rPr>
        <w:t>font change will significantly change the</w:t>
      </w:r>
      <w:r>
        <w:rPr>
          <w:color w:val="3B383A"/>
          <w:spacing w:val="57"/>
        </w:rPr>
        <w:t> </w:t>
      </w:r>
      <w:r>
        <w:rPr>
          <w:color w:val="3B383A"/>
        </w:rPr>
        <w:t>way</w:t>
      </w:r>
      <w:r>
        <w:rPr>
          <w:color w:val="3B383A"/>
          <w:spacing w:val="1"/>
        </w:rPr>
        <w:t> </w:t>
      </w:r>
      <w:r>
        <w:rPr>
          <w:color w:val="3B383A"/>
        </w:rPr>
        <w:t>the document looks. Proofreading on</w:t>
      </w:r>
      <w:r>
        <w:rPr>
          <w:color w:val="3B383A"/>
          <w:spacing w:val="1"/>
        </w:rPr>
        <w:t> </w:t>
      </w:r>
      <w:r>
        <w:rPr>
          <w:color w:val="3B383A"/>
        </w:rPr>
        <w:t>a screen also allows you to use your</w:t>
      </w:r>
      <w:r>
        <w:rPr>
          <w:color w:val="3B383A"/>
          <w:spacing w:val="1"/>
        </w:rPr>
        <w:t> </w:t>
      </w:r>
      <w:r>
        <w:rPr>
          <w:color w:val="3B383A"/>
        </w:rPr>
        <w:t>computer software's Find and Replace feature to your advantage. Although</w:t>
      </w:r>
      <w:r>
        <w:rPr>
          <w:color w:val="3B383A"/>
          <w:spacing w:val="1"/>
        </w:rPr>
        <w:t> </w:t>
      </w:r>
      <w:r>
        <w:rPr>
          <w:color w:val="3B383A"/>
        </w:rPr>
        <w:t>your eyes get tired, the </w:t>
      </w:r>
      <w:r>
        <w:rPr>
          <w:color w:val="4F4D4F"/>
        </w:rPr>
        <w:t>computer </w:t>
      </w:r>
      <w:r>
        <w:rPr>
          <w:color w:val="3B383A"/>
        </w:rPr>
        <w:t>never misses on a search, presuming you</w:t>
      </w:r>
      <w:r>
        <w:rPr>
          <w:color w:val="3B383A"/>
          <w:spacing w:val="1"/>
        </w:rPr>
        <w:t> </w:t>
      </w:r>
      <w:r>
        <w:rPr>
          <w:color w:val="3B383A"/>
        </w:rPr>
        <w:t>are</w:t>
      </w:r>
      <w:r>
        <w:rPr>
          <w:color w:val="3B383A"/>
          <w:spacing w:val="-21"/>
        </w:rPr>
        <w:t> </w:t>
      </w:r>
      <w:r>
        <w:rPr>
          <w:color w:val="3B383A"/>
        </w:rPr>
        <w:t>searching</w:t>
      </w:r>
      <w:r>
        <w:rPr>
          <w:color w:val="3B383A"/>
          <w:spacing w:val="10"/>
        </w:rPr>
        <w:t> </w:t>
      </w:r>
      <w:r>
        <w:rPr>
          <w:color w:val="3B383A"/>
        </w:rPr>
        <w:t>precisely.</w:t>
      </w:r>
    </w:p>
    <w:p>
      <w:pPr>
        <w:pStyle w:val="ListParagraph"/>
        <w:numPr>
          <w:ilvl w:val="0"/>
          <w:numId w:val="108"/>
        </w:numPr>
        <w:tabs>
          <w:tab w:pos="824" w:val="left" w:leader="none"/>
        </w:tabs>
        <w:spacing w:line="230" w:lineRule="auto" w:before="0" w:after="0"/>
        <w:ind w:left="290" w:right="570" w:firstLine="291"/>
        <w:jc w:val="both"/>
        <w:rPr>
          <w:rFonts w:ascii="Arial" w:hAnsi="Arial"/>
          <w:b/>
          <w:color w:val="3B383A"/>
          <w:sz w:val="20"/>
        </w:rPr>
      </w:pPr>
      <w:r>
        <w:rPr>
          <w:b/>
          <w:color w:val="3B383A"/>
          <w:sz w:val="23"/>
        </w:rPr>
        <w:t>Pronoun search. </w:t>
      </w:r>
      <w:r>
        <w:rPr>
          <w:color w:val="3B383A"/>
          <w:sz w:val="23"/>
        </w:rPr>
        <w:t>Use the</w:t>
      </w:r>
      <w:r>
        <w:rPr>
          <w:color w:val="3B383A"/>
          <w:spacing w:val="1"/>
          <w:sz w:val="23"/>
        </w:rPr>
        <w:t> </w:t>
      </w:r>
      <w:r>
        <w:rPr>
          <w:color w:val="3B383A"/>
          <w:sz w:val="23"/>
        </w:rPr>
        <w:t>Find and</w:t>
      </w:r>
      <w:r>
        <w:rPr>
          <w:color w:val="3B383A"/>
          <w:spacing w:val="1"/>
          <w:sz w:val="23"/>
        </w:rPr>
        <w:t> </w:t>
      </w:r>
      <w:r>
        <w:rPr>
          <w:color w:val="3B383A"/>
          <w:sz w:val="23"/>
        </w:rPr>
        <w:t>Replace feature to search for </w:t>
      </w:r>
      <w:r>
        <w:rPr>
          <w:rFonts w:ascii="Arial" w:hAnsi="Arial"/>
          <w:i/>
          <w:color w:val="3B383A"/>
          <w:sz w:val="22"/>
        </w:rPr>
        <w:t>he,</w:t>
      </w:r>
      <w:r>
        <w:rPr>
          <w:rFonts w:ascii="Arial" w:hAnsi="Arial"/>
          <w:i/>
          <w:color w:val="3B383A"/>
          <w:spacing w:val="1"/>
          <w:sz w:val="22"/>
        </w:rPr>
        <w:t> </w:t>
      </w:r>
      <w:r>
        <w:rPr>
          <w:rFonts w:ascii="Arial" w:hAnsi="Arial"/>
          <w:i/>
          <w:color w:val="3B383A"/>
          <w:sz w:val="22"/>
        </w:rPr>
        <w:t>she, </w:t>
      </w:r>
      <w:r>
        <w:rPr>
          <w:i/>
          <w:color w:val="3B383A"/>
          <w:sz w:val="23"/>
        </w:rPr>
        <w:t>it,</w:t>
      </w:r>
      <w:r>
        <w:rPr>
          <w:i/>
          <w:color w:val="3B383A"/>
          <w:spacing w:val="1"/>
          <w:sz w:val="23"/>
        </w:rPr>
        <w:t> </w:t>
      </w:r>
      <w:r>
        <w:rPr>
          <w:i/>
          <w:color w:val="3B383A"/>
          <w:sz w:val="23"/>
        </w:rPr>
        <w:t>they, </w:t>
      </w:r>
      <w:r>
        <w:rPr>
          <w:color w:val="3B383A"/>
          <w:sz w:val="23"/>
        </w:rPr>
        <w:t>and</w:t>
      </w:r>
      <w:r>
        <w:rPr>
          <w:color w:val="3B383A"/>
          <w:spacing w:val="1"/>
          <w:sz w:val="23"/>
        </w:rPr>
        <w:t> </w:t>
      </w:r>
      <w:r>
        <w:rPr>
          <w:color w:val="4F4D4F"/>
          <w:sz w:val="23"/>
        </w:rPr>
        <w:t>so </w:t>
      </w:r>
      <w:r>
        <w:rPr>
          <w:color w:val="3B383A"/>
          <w:sz w:val="23"/>
        </w:rPr>
        <w:t>on. Stop when you hit a pronoun and scrutinize it to</w:t>
      </w:r>
      <w:r>
        <w:rPr>
          <w:color w:val="3B383A"/>
          <w:spacing w:val="1"/>
          <w:sz w:val="23"/>
        </w:rPr>
        <w:t> </w:t>
      </w:r>
      <w:r>
        <w:rPr>
          <w:color w:val="3B383A"/>
          <w:w w:val="105"/>
          <w:sz w:val="23"/>
        </w:rPr>
        <w:t>make sure that the reader </w:t>
      </w:r>
      <w:r>
        <w:rPr>
          <w:color w:val="3B383A"/>
          <w:w w:val="105"/>
          <w:sz w:val="22"/>
        </w:rPr>
        <w:t>will </w:t>
      </w:r>
      <w:r>
        <w:rPr>
          <w:color w:val="3B383A"/>
          <w:w w:val="105"/>
          <w:sz w:val="23"/>
        </w:rPr>
        <w:t>have </w:t>
      </w:r>
      <w:r>
        <w:rPr>
          <w:i/>
          <w:color w:val="3B383A"/>
          <w:w w:val="105"/>
          <w:sz w:val="21"/>
        </w:rPr>
        <w:t>no doubt </w:t>
      </w:r>
      <w:r>
        <w:rPr>
          <w:color w:val="3B383A"/>
          <w:w w:val="105"/>
          <w:sz w:val="23"/>
        </w:rPr>
        <w:t>about the noun you are refer­</w:t>
      </w:r>
      <w:r>
        <w:rPr>
          <w:color w:val="3B383A"/>
          <w:spacing w:val="-58"/>
          <w:w w:val="105"/>
          <w:sz w:val="23"/>
        </w:rPr>
        <w:t> </w:t>
      </w:r>
      <w:r>
        <w:rPr>
          <w:color w:val="3B383A"/>
          <w:w w:val="105"/>
          <w:sz w:val="23"/>
        </w:rPr>
        <w:t>ring to</w:t>
      </w:r>
      <w:r>
        <w:rPr>
          <w:color w:val="3B383A"/>
          <w:spacing w:val="1"/>
          <w:w w:val="105"/>
          <w:sz w:val="23"/>
        </w:rPr>
        <w:t> </w:t>
      </w:r>
      <w:r>
        <w:rPr>
          <w:color w:val="3B383A"/>
          <w:w w:val="105"/>
          <w:sz w:val="23"/>
        </w:rPr>
        <w:t>(the antecedent). Also, make sure that you have not mistakenly</w:t>
      </w:r>
      <w:r>
        <w:rPr>
          <w:color w:val="3B383A"/>
          <w:spacing w:val="1"/>
          <w:w w:val="105"/>
          <w:sz w:val="23"/>
        </w:rPr>
        <w:t> </w:t>
      </w:r>
      <w:r>
        <w:rPr>
          <w:color w:val="3B383A"/>
          <w:w w:val="105"/>
          <w:sz w:val="23"/>
        </w:rPr>
        <w:t>used </w:t>
      </w:r>
      <w:r>
        <w:rPr>
          <w:i/>
          <w:color w:val="3B383A"/>
          <w:w w:val="105"/>
          <w:sz w:val="23"/>
        </w:rPr>
        <w:t>they </w:t>
      </w:r>
      <w:r>
        <w:rPr>
          <w:color w:val="3B383A"/>
          <w:w w:val="105"/>
          <w:sz w:val="23"/>
        </w:rPr>
        <w:t>in</w:t>
      </w:r>
      <w:r>
        <w:rPr>
          <w:color w:val="3B383A"/>
          <w:spacing w:val="1"/>
          <w:w w:val="105"/>
          <w:sz w:val="23"/>
        </w:rPr>
        <w:t> </w:t>
      </w:r>
      <w:r>
        <w:rPr>
          <w:color w:val="3B383A"/>
          <w:w w:val="105"/>
          <w:sz w:val="23"/>
        </w:rPr>
        <w:t>place of </w:t>
      </w:r>
      <w:r>
        <w:rPr>
          <w:rFonts w:ascii="Arial" w:hAnsi="Arial"/>
          <w:i/>
          <w:color w:val="3B383A"/>
          <w:w w:val="105"/>
          <w:sz w:val="20"/>
        </w:rPr>
        <w:t>it.</w:t>
      </w:r>
      <w:r>
        <w:rPr>
          <w:rFonts w:ascii="Arial" w:hAnsi="Arial"/>
          <w:i/>
          <w:color w:val="3B383A"/>
          <w:spacing w:val="1"/>
          <w:w w:val="105"/>
          <w:sz w:val="20"/>
        </w:rPr>
        <w:t> </w:t>
      </w:r>
      <w:r>
        <w:rPr>
          <w:color w:val="3B383A"/>
          <w:w w:val="105"/>
          <w:sz w:val="23"/>
        </w:rPr>
        <w:t>For example, a court or corporation should be</w:t>
      </w:r>
      <w:r>
        <w:rPr>
          <w:color w:val="3B383A"/>
          <w:spacing w:val="1"/>
          <w:w w:val="105"/>
          <w:sz w:val="23"/>
        </w:rPr>
        <w:t> </w:t>
      </w:r>
      <w:r>
        <w:rPr>
          <w:color w:val="3B383A"/>
          <w:sz w:val="23"/>
        </w:rPr>
        <w:t>referred</w:t>
      </w:r>
      <w:r>
        <w:rPr>
          <w:color w:val="3B383A"/>
          <w:spacing w:val="8"/>
          <w:sz w:val="23"/>
        </w:rPr>
        <w:t> </w:t>
      </w:r>
      <w:r>
        <w:rPr>
          <w:color w:val="3B383A"/>
          <w:sz w:val="23"/>
        </w:rPr>
        <w:t>to</w:t>
      </w:r>
      <w:r>
        <w:rPr>
          <w:color w:val="3B383A"/>
          <w:spacing w:val="44"/>
          <w:sz w:val="23"/>
        </w:rPr>
        <w:t> </w:t>
      </w:r>
      <w:r>
        <w:rPr>
          <w:color w:val="3B383A"/>
          <w:sz w:val="23"/>
        </w:rPr>
        <w:t>in</w:t>
      </w:r>
      <w:r>
        <w:rPr>
          <w:color w:val="3B383A"/>
          <w:spacing w:val="5"/>
          <w:sz w:val="23"/>
        </w:rPr>
        <w:t> </w:t>
      </w:r>
      <w:r>
        <w:rPr>
          <w:color w:val="3B383A"/>
          <w:sz w:val="23"/>
        </w:rPr>
        <w:t>the</w:t>
      </w:r>
      <w:r>
        <w:rPr>
          <w:color w:val="3B383A"/>
          <w:spacing w:val="13"/>
          <w:sz w:val="23"/>
        </w:rPr>
        <w:t> </w:t>
      </w:r>
      <w:r>
        <w:rPr>
          <w:color w:val="3B383A"/>
          <w:sz w:val="23"/>
        </w:rPr>
        <w:t>singular</w:t>
      </w:r>
      <w:r>
        <w:rPr>
          <w:color w:val="3B383A"/>
          <w:spacing w:val="9"/>
          <w:sz w:val="23"/>
        </w:rPr>
        <w:t> </w:t>
      </w:r>
      <w:r>
        <w:rPr>
          <w:color w:val="3B383A"/>
          <w:sz w:val="23"/>
        </w:rPr>
        <w:t>as</w:t>
      </w:r>
      <w:r>
        <w:rPr>
          <w:color w:val="3B383A"/>
          <w:spacing w:val="-10"/>
          <w:sz w:val="23"/>
        </w:rPr>
        <w:t> </w:t>
      </w:r>
      <w:r>
        <w:rPr>
          <w:i/>
          <w:color w:val="3B383A"/>
          <w:sz w:val="24"/>
        </w:rPr>
        <w:t>it.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3"/>
        <w:rPr>
          <w:i/>
          <w:sz w:val="34"/>
        </w:rPr>
      </w:pPr>
    </w:p>
    <w:p>
      <w:pPr>
        <w:spacing w:line="211" w:lineRule="auto" w:before="0"/>
        <w:ind w:left="313" w:right="510" w:firstLine="269"/>
        <w:jc w:val="left"/>
        <w:rPr>
          <w:sz w:val="17"/>
        </w:rPr>
      </w:pPr>
      <w:r>
        <w:rPr>
          <w:i/>
          <w:color w:val="4F4D4F"/>
          <w:sz w:val="18"/>
        </w:rPr>
        <w:t>'See </w:t>
      </w:r>
      <w:r>
        <w:rPr>
          <w:i/>
          <w:color w:val="3B383A"/>
          <w:sz w:val="18"/>
        </w:rPr>
        <w:t>also</w:t>
      </w:r>
      <w:r>
        <w:rPr>
          <w:color w:val="3B383A"/>
          <w:sz w:val="17"/>
        </w:rPr>
        <w:t>Judge Stephen J.</w:t>
      </w:r>
      <w:r>
        <w:rPr>
          <w:color w:val="3B383A"/>
          <w:spacing w:val="1"/>
          <w:sz w:val="17"/>
        </w:rPr>
        <w:t> </w:t>
      </w:r>
      <w:r>
        <w:rPr>
          <w:color w:val="3B383A"/>
          <w:sz w:val="17"/>
        </w:rPr>
        <w:t>Dwyer,</w:t>
      </w:r>
      <w:r>
        <w:rPr>
          <w:color w:val="3B383A"/>
          <w:spacing w:val="1"/>
          <w:sz w:val="17"/>
        </w:rPr>
        <w:t> </w:t>
      </w:r>
      <w:r>
        <w:rPr>
          <w:color w:val="3B383A"/>
          <w:sz w:val="17"/>
        </w:rPr>
        <w:t>Leonard J.</w:t>
      </w:r>
      <w:r>
        <w:rPr>
          <w:color w:val="3B383A"/>
          <w:spacing w:val="1"/>
          <w:sz w:val="17"/>
        </w:rPr>
        <w:t> </w:t>
      </w:r>
      <w:r>
        <w:rPr>
          <w:color w:val="3B383A"/>
          <w:sz w:val="17"/>
        </w:rPr>
        <w:t>Feldman</w:t>
      </w:r>
      <w:r>
        <w:rPr>
          <w:color w:val="3B383A"/>
          <w:spacing w:val="1"/>
          <w:sz w:val="17"/>
        </w:rPr>
        <w:t> </w:t>
      </w:r>
      <w:r>
        <w:rPr>
          <w:color w:val="3B383A"/>
          <w:sz w:val="17"/>
        </w:rPr>
        <w:t>&amp; Ryan P. McBride,</w:t>
      </w:r>
      <w:r>
        <w:rPr>
          <w:color w:val="3B383A"/>
          <w:spacing w:val="42"/>
          <w:sz w:val="17"/>
        </w:rPr>
        <w:t> </w:t>
      </w:r>
      <w:r>
        <w:rPr>
          <w:i/>
          <w:color w:val="3B383A"/>
          <w:sz w:val="18"/>
        </w:rPr>
        <w:t>How to Write, Edit,</w:t>
      </w:r>
      <w:r>
        <w:rPr>
          <w:i/>
          <w:color w:val="3B383A"/>
          <w:spacing w:val="1"/>
          <w:sz w:val="18"/>
        </w:rPr>
        <w:t> </w:t>
      </w:r>
      <w:r>
        <w:rPr>
          <w:i/>
          <w:color w:val="4F4D4F"/>
          <w:w w:val="90"/>
          <w:sz w:val="18"/>
        </w:rPr>
        <w:t>and</w:t>
      </w:r>
      <w:r>
        <w:rPr>
          <w:i/>
          <w:color w:val="4F4D4F"/>
          <w:spacing w:val="7"/>
          <w:w w:val="90"/>
          <w:sz w:val="18"/>
        </w:rPr>
        <w:t> </w:t>
      </w:r>
      <w:r>
        <w:rPr>
          <w:i/>
          <w:color w:val="4F4D4F"/>
          <w:w w:val="90"/>
          <w:sz w:val="18"/>
        </w:rPr>
        <w:t>Review</w:t>
      </w:r>
      <w:r>
        <w:rPr>
          <w:i/>
          <w:color w:val="4F4D4F"/>
          <w:spacing w:val="11"/>
          <w:w w:val="90"/>
          <w:sz w:val="18"/>
        </w:rPr>
        <w:t> </w:t>
      </w:r>
      <w:r>
        <w:rPr>
          <w:i/>
          <w:color w:val="3B383A"/>
          <w:w w:val="90"/>
          <w:sz w:val="18"/>
        </w:rPr>
        <w:t>Pers11asive</w:t>
      </w:r>
      <w:r>
        <w:rPr>
          <w:i/>
          <w:color w:val="3B383A"/>
          <w:spacing w:val="19"/>
          <w:w w:val="90"/>
          <w:sz w:val="18"/>
        </w:rPr>
        <w:t> </w:t>
      </w:r>
      <w:r>
        <w:rPr>
          <w:i/>
          <w:color w:val="3B383A"/>
          <w:w w:val="90"/>
          <w:sz w:val="18"/>
        </w:rPr>
        <w:t>Briefs:</w:t>
      </w:r>
      <w:r>
        <w:rPr>
          <w:i/>
          <w:color w:val="4F4D4F"/>
          <w:w w:val="90"/>
          <w:sz w:val="18"/>
        </w:rPr>
        <w:t>Seven</w:t>
      </w:r>
      <w:r>
        <w:rPr>
          <w:i/>
          <w:color w:val="4F4D4F"/>
          <w:spacing w:val="-8"/>
          <w:w w:val="90"/>
          <w:sz w:val="18"/>
        </w:rPr>
        <w:t> </w:t>
      </w:r>
      <w:r>
        <w:rPr>
          <w:i/>
          <w:color w:val="4F4D4F"/>
          <w:w w:val="90"/>
          <w:sz w:val="18"/>
        </w:rPr>
        <w:t>Gulde/111es</w:t>
      </w:r>
      <w:r>
        <w:rPr>
          <w:i/>
          <w:color w:val="4F4D4F"/>
          <w:spacing w:val="37"/>
          <w:w w:val="90"/>
          <w:sz w:val="18"/>
        </w:rPr>
        <w:t> </w:t>
      </w:r>
      <w:r>
        <w:rPr>
          <w:i/>
          <w:color w:val="3B383A"/>
          <w:w w:val="90"/>
          <w:sz w:val="18"/>
        </w:rPr>
        <w:t>from</w:t>
      </w:r>
      <w:r>
        <w:rPr>
          <w:i/>
          <w:color w:val="3B383A"/>
          <w:spacing w:val="-9"/>
          <w:w w:val="90"/>
          <w:sz w:val="18"/>
        </w:rPr>
        <w:t> </w:t>
      </w:r>
      <w:r>
        <w:rPr>
          <w:i/>
          <w:color w:val="3B383A"/>
          <w:w w:val="90"/>
          <w:sz w:val="18"/>
        </w:rPr>
        <w:t>One</w:t>
      </w:r>
      <w:r>
        <w:rPr>
          <w:i/>
          <w:color w:val="3B383A"/>
          <w:spacing w:val="-20"/>
          <w:w w:val="90"/>
          <w:sz w:val="18"/>
        </w:rPr>
        <w:t> </w:t>
      </w:r>
      <w:r>
        <w:rPr>
          <w:i/>
          <w:color w:val="3B383A"/>
          <w:w w:val="90"/>
          <w:sz w:val="18"/>
        </w:rPr>
        <w:t>Judge</w:t>
      </w:r>
      <w:r>
        <w:rPr>
          <w:i/>
          <w:color w:val="3B383A"/>
          <w:spacing w:val="-17"/>
          <w:w w:val="90"/>
          <w:sz w:val="18"/>
        </w:rPr>
        <w:t> </w:t>
      </w:r>
      <w:r>
        <w:rPr>
          <w:i/>
          <w:color w:val="3B383A"/>
          <w:w w:val="90"/>
          <w:sz w:val="18"/>
        </w:rPr>
        <w:t>cmd</w:t>
      </w:r>
      <w:r>
        <w:rPr>
          <w:i/>
          <w:color w:val="3B383A"/>
          <w:spacing w:val="-7"/>
          <w:w w:val="90"/>
          <w:sz w:val="18"/>
        </w:rPr>
        <w:t> </w:t>
      </w:r>
      <w:r>
        <w:rPr>
          <w:i/>
          <w:color w:val="3B383A"/>
          <w:w w:val="90"/>
          <w:sz w:val="18"/>
        </w:rPr>
        <w:t>1wo</w:t>
      </w:r>
      <w:r>
        <w:rPr>
          <w:i/>
          <w:color w:val="3B383A"/>
          <w:spacing w:val="-12"/>
          <w:w w:val="90"/>
          <w:sz w:val="18"/>
        </w:rPr>
        <w:t> </w:t>
      </w:r>
      <w:r>
        <w:rPr>
          <w:i/>
          <w:color w:val="3B383A"/>
          <w:w w:val="90"/>
          <w:sz w:val="18"/>
        </w:rPr>
        <w:t>Lawyers,</w:t>
      </w:r>
      <w:r>
        <w:rPr>
          <w:color w:val="3B383A"/>
          <w:w w:val="90"/>
          <w:sz w:val="17"/>
        </w:rPr>
        <w:t>31</w:t>
      </w:r>
      <w:r>
        <w:rPr>
          <w:color w:val="3B383A"/>
          <w:spacing w:val="32"/>
          <w:w w:val="90"/>
          <w:sz w:val="17"/>
        </w:rPr>
        <w:t> </w:t>
      </w:r>
      <w:r>
        <w:rPr>
          <w:color w:val="3B383A"/>
          <w:w w:val="90"/>
          <w:sz w:val="17"/>
        </w:rPr>
        <w:t>Seattle</w:t>
      </w:r>
      <w:r>
        <w:rPr>
          <w:color w:val="3B383A"/>
          <w:spacing w:val="-6"/>
          <w:w w:val="90"/>
          <w:sz w:val="17"/>
        </w:rPr>
        <w:t> </w:t>
      </w:r>
      <w:r>
        <w:rPr>
          <w:rFonts w:ascii="Arial"/>
          <w:color w:val="3B383A"/>
          <w:w w:val="90"/>
          <w:sz w:val="16"/>
        </w:rPr>
        <w:t>L.</w:t>
      </w:r>
      <w:r>
        <w:rPr>
          <w:rFonts w:ascii="Arial"/>
          <w:color w:val="3B383A"/>
          <w:spacing w:val="-4"/>
          <w:w w:val="90"/>
          <w:sz w:val="16"/>
        </w:rPr>
        <w:t> </w:t>
      </w:r>
      <w:r>
        <w:rPr>
          <w:color w:val="3B383A"/>
          <w:w w:val="90"/>
          <w:sz w:val="17"/>
        </w:rPr>
        <w:t>Rev.</w:t>
      </w:r>
      <w:r>
        <w:rPr>
          <w:color w:val="3B383A"/>
          <w:spacing w:val="-2"/>
          <w:w w:val="90"/>
          <w:sz w:val="17"/>
        </w:rPr>
        <w:t> </w:t>
      </w:r>
      <w:r>
        <w:rPr>
          <w:color w:val="3B383A"/>
          <w:w w:val="90"/>
          <w:sz w:val="17"/>
        </w:rPr>
        <w:t>417,</w:t>
      </w:r>
    </w:p>
    <w:p>
      <w:pPr>
        <w:spacing w:before="38"/>
        <w:ind w:left="316" w:right="0" w:firstLine="0"/>
        <w:jc w:val="both"/>
        <w:rPr>
          <w:rFonts w:ascii="Arial" w:hAnsi="Arial"/>
          <w:sz w:val="16"/>
        </w:rPr>
      </w:pPr>
      <w:r>
        <w:rPr>
          <w:rFonts w:ascii="Arial" w:hAnsi="Arial"/>
          <w:color w:val="3B383A"/>
          <w:spacing w:val="-7"/>
          <w:w w:val="95"/>
          <w:sz w:val="16"/>
        </w:rPr>
        <w:t>425</w:t>
      </w:r>
      <w:r>
        <w:rPr>
          <w:rFonts w:ascii="Arial" w:hAnsi="Arial"/>
          <w:color w:val="3B383A"/>
          <w:spacing w:val="-12"/>
          <w:w w:val="95"/>
          <w:sz w:val="16"/>
        </w:rPr>
        <w:t> </w:t>
      </w:r>
      <w:r>
        <w:rPr>
          <w:rFonts w:ascii="Arial" w:hAnsi="Arial"/>
          <w:color w:val="3B383A"/>
          <w:spacing w:val="-6"/>
          <w:w w:val="95"/>
          <w:sz w:val="16"/>
        </w:rPr>
        <w:t>(2008</w:t>
      </w:r>
      <w:r>
        <w:rPr>
          <w:rFonts w:ascii="Arial" w:hAnsi="Arial"/>
          <w:color w:val="4F4D4F"/>
          <w:spacing w:val="-6"/>
          <w:w w:val="95"/>
          <w:sz w:val="16"/>
        </w:rPr>
        <w:t>•</w:t>
      </w:r>
      <w:r>
        <w:rPr>
          <w:rFonts w:ascii="Arial" w:hAnsi="Arial"/>
          <w:color w:val="3B383A"/>
          <w:spacing w:val="-6"/>
          <w:w w:val="95"/>
          <w:sz w:val="16"/>
        </w:rPr>
        <w:t>)</w:t>
      </w:r>
    </w:p>
    <w:p>
      <w:pPr>
        <w:pStyle w:val="BodyText"/>
        <w:spacing w:before="4"/>
        <w:rPr>
          <w:rFonts w:ascii="Arial"/>
          <w:sz w:val="21"/>
        </w:rPr>
      </w:pPr>
    </w:p>
    <w:p>
      <w:pPr>
        <w:spacing w:before="93"/>
        <w:ind w:left="-14" w:right="0" w:firstLine="0"/>
        <w:jc w:val="left"/>
        <w:rPr>
          <w:rFonts w:ascii="Arial" w:hAnsi="Arial"/>
          <w:sz w:val="25"/>
        </w:rPr>
      </w:pPr>
      <w:r>
        <w:rPr/>
        <w:pict>
          <v:shape style="position:absolute;margin-left:-.902781pt;margin-top:17.003859pt;width:5.75pt;height:32.5pt;mso-position-horizontal-relative:page;mso-position-vertical-relative:paragraph;z-index:-21591552" type="#_x0000_t202" id="docshape511" filled="false" stroked="false">
            <v:textbox inset="0,0,0,0">
              <w:txbxContent>
                <w:p>
                  <w:pPr>
                    <w:spacing w:line="650" w:lineRule="exact" w:before="0"/>
                    <w:ind w:left="0" w:right="0" w:firstLine="0"/>
                    <w:jc w:val="left"/>
                    <w:rPr>
                      <w:rFonts w:ascii="Arial"/>
                      <w:sz w:val="58"/>
                    </w:rPr>
                  </w:pPr>
                  <w:r>
                    <w:rPr>
                      <w:rFonts w:ascii="Arial"/>
                      <w:color w:val="7E8082"/>
                      <w:w w:val="59"/>
                      <w:sz w:val="5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6E6E70"/>
          <w:w w:val="101"/>
          <w:sz w:val="25"/>
        </w:rPr>
        <w:t>•</w:t>
      </w:r>
    </w:p>
    <w:p>
      <w:pPr>
        <w:spacing w:after="0"/>
        <w:jc w:val="left"/>
        <w:rPr>
          <w:rFonts w:ascii="Arial" w:hAnsi="Arial"/>
          <w:sz w:val="25"/>
        </w:rPr>
        <w:sectPr>
          <w:headerReference w:type="default" r:id="rId317"/>
          <w:pgSz w:w="9190" w:h="14010"/>
          <w:pgMar w:header="0" w:footer="0" w:top="0" w:bottom="0" w:left="0" w:right="1220"/>
        </w:sectPr>
      </w:pPr>
    </w:p>
    <w:p>
      <w:pPr>
        <w:pStyle w:val="ListParagraph"/>
        <w:numPr>
          <w:ilvl w:val="0"/>
          <w:numId w:val="108"/>
        </w:numPr>
        <w:tabs>
          <w:tab w:pos="1445" w:val="left" w:leader="none"/>
        </w:tabs>
        <w:spacing w:line="228" w:lineRule="auto" w:before="91" w:after="0"/>
        <w:ind w:left="773" w:right="116" w:firstLine="397"/>
        <w:jc w:val="both"/>
        <w:rPr>
          <w:color w:val="383636"/>
          <w:sz w:val="23"/>
        </w:rPr>
      </w:pPr>
      <w:r>
        <w:rPr>
          <w:color w:val="383636"/>
          <w:w w:val="105"/>
          <w:sz w:val="23"/>
        </w:rPr>
        <w:t>Apostrophe  search. If you  tend to use too  many apostrophes,  use</w:t>
      </w:r>
      <w:r>
        <w:rPr>
          <w:color w:val="383636"/>
          <w:spacing w:val="1"/>
          <w:w w:val="105"/>
          <w:sz w:val="23"/>
        </w:rPr>
        <w:t> </w:t>
      </w:r>
      <w:r>
        <w:rPr>
          <w:color w:val="383636"/>
          <w:spacing w:val="-1"/>
          <w:sz w:val="23"/>
        </w:rPr>
        <w:t>the</w:t>
      </w:r>
      <w:r>
        <w:rPr>
          <w:color w:val="383636"/>
          <w:sz w:val="23"/>
        </w:rPr>
        <w:t> </w:t>
      </w:r>
      <w:r>
        <w:rPr>
          <w:color w:val="383636"/>
          <w:spacing w:val="-1"/>
          <w:sz w:val="23"/>
        </w:rPr>
        <w:t>Find feature to search for </w:t>
      </w:r>
      <w:r>
        <w:rPr>
          <w:i/>
          <w:color w:val="383636"/>
          <w:spacing w:val="-1"/>
          <w:sz w:val="24"/>
        </w:rPr>
        <w:t>sfapostrophe] </w:t>
      </w:r>
      <w:r>
        <w:rPr>
          <w:color w:val="383636"/>
          <w:sz w:val="23"/>
        </w:rPr>
        <w:t>or </w:t>
      </w:r>
      <w:r>
        <w:rPr>
          <w:i/>
          <w:color w:val="383636"/>
          <w:sz w:val="24"/>
        </w:rPr>
        <w:t>[apostrophe]s </w:t>
      </w:r>
      <w:r>
        <w:rPr>
          <w:color w:val="383636"/>
          <w:sz w:val="23"/>
        </w:rPr>
        <w:t>so that you can</w:t>
      </w:r>
      <w:r>
        <w:rPr>
          <w:color w:val="383636"/>
          <w:spacing w:val="1"/>
          <w:sz w:val="23"/>
        </w:rPr>
        <w:t> </w:t>
      </w:r>
      <w:r>
        <w:rPr>
          <w:color w:val="383636"/>
          <w:w w:val="105"/>
          <w:sz w:val="23"/>
        </w:rPr>
        <w:t>scrutinize whether you've used  each apostrophe correctly. If you use too</w:t>
      </w:r>
      <w:r>
        <w:rPr>
          <w:color w:val="383636"/>
          <w:spacing w:val="1"/>
          <w:w w:val="105"/>
          <w:sz w:val="23"/>
        </w:rPr>
        <w:t> </w:t>
      </w:r>
      <w:r>
        <w:rPr>
          <w:color w:val="383636"/>
          <w:w w:val="105"/>
          <w:sz w:val="23"/>
        </w:rPr>
        <w:t>few apostrophes, your task is a little harder. You could use the </w:t>
      </w:r>
      <w:r>
        <w:rPr>
          <w:color w:val="494849"/>
          <w:w w:val="105"/>
          <w:sz w:val="23"/>
        </w:rPr>
        <w:t>Find </w:t>
      </w:r>
      <w:r>
        <w:rPr>
          <w:color w:val="383636"/>
          <w:w w:val="105"/>
          <w:sz w:val="23"/>
        </w:rPr>
        <w:t>and</w:t>
      </w:r>
      <w:r>
        <w:rPr>
          <w:color w:val="383636"/>
          <w:spacing w:val="1"/>
          <w:w w:val="105"/>
          <w:sz w:val="23"/>
        </w:rPr>
        <w:t> </w:t>
      </w:r>
      <w:r>
        <w:rPr>
          <w:color w:val="383636"/>
          <w:w w:val="105"/>
          <w:sz w:val="23"/>
        </w:rPr>
        <w:t>Replace feature to find words that end in </w:t>
      </w:r>
      <w:r>
        <w:rPr>
          <w:i/>
          <w:color w:val="383636"/>
          <w:w w:val="105"/>
          <w:sz w:val="24"/>
        </w:rPr>
        <w:t>s </w:t>
      </w:r>
      <w:r>
        <w:rPr>
          <w:color w:val="383636"/>
          <w:w w:val="105"/>
          <w:sz w:val="23"/>
        </w:rPr>
        <w:t>by searching for </w:t>
      </w:r>
      <w:r>
        <w:rPr>
          <w:i/>
          <w:color w:val="494849"/>
          <w:w w:val="105"/>
          <w:sz w:val="24"/>
        </w:rPr>
        <w:t>sfspace) </w:t>
      </w:r>
      <w:r>
        <w:rPr>
          <w:color w:val="383636"/>
          <w:w w:val="105"/>
          <w:sz w:val="23"/>
        </w:rPr>
        <w:t>or</w:t>
      </w:r>
      <w:r>
        <w:rPr>
          <w:color w:val="383636"/>
          <w:spacing w:val="1"/>
          <w:w w:val="105"/>
          <w:sz w:val="23"/>
        </w:rPr>
        <w:t> </w:t>
      </w:r>
      <w:r>
        <w:rPr>
          <w:i/>
          <w:color w:val="494849"/>
          <w:w w:val="105"/>
          <w:sz w:val="24"/>
        </w:rPr>
        <w:t>s.[space]. </w:t>
      </w:r>
      <w:r>
        <w:rPr>
          <w:color w:val="383636"/>
          <w:w w:val="105"/>
          <w:sz w:val="23"/>
        </w:rPr>
        <w:t>Once you are </w:t>
      </w:r>
      <w:r>
        <w:rPr>
          <w:color w:val="494849"/>
          <w:w w:val="105"/>
          <w:sz w:val="23"/>
        </w:rPr>
        <w:t>zeroed </w:t>
      </w:r>
      <w:r>
        <w:rPr>
          <w:color w:val="383636"/>
          <w:w w:val="105"/>
          <w:sz w:val="21"/>
        </w:rPr>
        <w:t>in </w:t>
      </w:r>
      <w:r>
        <w:rPr>
          <w:color w:val="383636"/>
          <w:w w:val="105"/>
          <w:sz w:val="23"/>
        </w:rPr>
        <w:t>on the potential problem words, consult</w:t>
      </w:r>
      <w:r>
        <w:rPr>
          <w:color w:val="383636"/>
          <w:spacing w:val="1"/>
          <w:w w:val="105"/>
          <w:sz w:val="23"/>
        </w:rPr>
        <w:t> </w:t>
      </w:r>
      <w:r>
        <w:rPr>
          <w:color w:val="383636"/>
          <w:w w:val="105"/>
          <w:sz w:val="23"/>
        </w:rPr>
        <w:t>grammar guidelines to see if you are using apostrophes correctly. Appendix</w:t>
      </w:r>
      <w:r>
        <w:rPr>
          <w:color w:val="383636"/>
          <w:spacing w:val="1"/>
          <w:w w:val="105"/>
          <w:sz w:val="23"/>
        </w:rPr>
        <w:t> </w:t>
      </w:r>
      <w:r>
        <w:rPr>
          <w:color w:val="383636"/>
          <w:w w:val="105"/>
          <w:sz w:val="20"/>
        </w:rPr>
        <w:t>A</w:t>
      </w:r>
      <w:r>
        <w:rPr>
          <w:color w:val="383636"/>
          <w:spacing w:val="30"/>
          <w:w w:val="105"/>
          <w:sz w:val="20"/>
        </w:rPr>
        <w:t> </w:t>
      </w:r>
      <w:r>
        <w:rPr>
          <w:color w:val="494849"/>
          <w:w w:val="105"/>
          <w:sz w:val="23"/>
        </w:rPr>
        <w:t>includes</w:t>
      </w:r>
      <w:r>
        <w:rPr>
          <w:color w:val="494849"/>
          <w:spacing w:val="-1"/>
          <w:w w:val="105"/>
          <w:sz w:val="23"/>
        </w:rPr>
        <w:t> </w:t>
      </w:r>
      <w:r>
        <w:rPr>
          <w:color w:val="383636"/>
          <w:w w:val="105"/>
          <w:sz w:val="23"/>
        </w:rPr>
        <w:t>advice</w:t>
      </w:r>
      <w:r>
        <w:rPr>
          <w:color w:val="383636"/>
          <w:spacing w:val="-4"/>
          <w:w w:val="105"/>
          <w:sz w:val="23"/>
        </w:rPr>
        <w:t> </w:t>
      </w:r>
      <w:r>
        <w:rPr>
          <w:color w:val="383636"/>
          <w:w w:val="105"/>
          <w:sz w:val="23"/>
        </w:rPr>
        <w:t>about</w:t>
      </w:r>
      <w:r>
        <w:rPr>
          <w:color w:val="383636"/>
          <w:spacing w:val="-1"/>
          <w:w w:val="105"/>
          <w:sz w:val="23"/>
        </w:rPr>
        <w:t> </w:t>
      </w:r>
      <w:r>
        <w:rPr>
          <w:color w:val="383636"/>
          <w:w w:val="105"/>
          <w:sz w:val="23"/>
        </w:rPr>
        <w:t>some</w:t>
      </w:r>
      <w:r>
        <w:rPr>
          <w:color w:val="383636"/>
          <w:spacing w:val="-11"/>
          <w:w w:val="105"/>
          <w:sz w:val="23"/>
        </w:rPr>
        <w:t> </w:t>
      </w:r>
      <w:r>
        <w:rPr>
          <w:color w:val="383636"/>
          <w:w w:val="105"/>
          <w:sz w:val="23"/>
        </w:rPr>
        <w:t>common</w:t>
      </w:r>
      <w:r>
        <w:rPr>
          <w:color w:val="383636"/>
          <w:spacing w:val="5"/>
          <w:w w:val="105"/>
          <w:sz w:val="23"/>
        </w:rPr>
        <w:t> </w:t>
      </w:r>
      <w:r>
        <w:rPr>
          <w:color w:val="383636"/>
          <w:w w:val="105"/>
          <w:sz w:val="23"/>
        </w:rPr>
        <w:t>apostrophe</w:t>
      </w:r>
      <w:r>
        <w:rPr>
          <w:color w:val="383636"/>
          <w:spacing w:val="13"/>
          <w:w w:val="105"/>
          <w:sz w:val="23"/>
        </w:rPr>
        <w:t> </w:t>
      </w:r>
      <w:r>
        <w:rPr>
          <w:color w:val="383636"/>
          <w:w w:val="105"/>
          <w:sz w:val="23"/>
        </w:rPr>
        <w:t>problems.</w:t>
      </w:r>
    </w:p>
    <w:p>
      <w:pPr>
        <w:pStyle w:val="ListParagraph"/>
        <w:numPr>
          <w:ilvl w:val="0"/>
          <w:numId w:val="108"/>
        </w:numPr>
        <w:tabs>
          <w:tab w:pos="1399" w:val="left" w:leader="none"/>
        </w:tabs>
        <w:spacing w:line="235" w:lineRule="auto" w:before="2" w:after="0"/>
        <w:ind w:left="772" w:right="130" w:firstLine="380"/>
        <w:jc w:val="both"/>
        <w:rPr>
          <w:b/>
          <w:color w:val="383636"/>
          <w:sz w:val="23"/>
        </w:rPr>
      </w:pPr>
      <w:r>
        <w:rPr>
          <w:b/>
          <w:color w:val="383636"/>
          <w:w w:val="105"/>
          <w:sz w:val="23"/>
        </w:rPr>
        <w:t>Quotation mark search. </w:t>
      </w:r>
      <w:r>
        <w:rPr>
          <w:color w:val="383636"/>
          <w:w w:val="105"/>
          <w:sz w:val="23"/>
        </w:rPr>
        <w:t>The rule in American English is that peri­</w:t>
      </w:r>
      <w:r>
        <w:rPr>
          <w:color w:val="383636"/>
          <w:spacing w:val="1"/>
          <w:w w:val="105"/>
          <w:sz w:val="23"/>
        </w:rPr>
        <w:t> </w:t>
      </w:r>
      <w:r>
        <w:rPr>
          <w:color w:val="383636"/>
          <w:w w:val="105"/>
          <w:sz w:val="23"/>
        </w:rPr>
        <w:t>ods</w:t>
      </w:r>
      <w:r>
        <w:rPr>
          <w:color w:val="383636"/>
          <w:spacing w:val="1"/>
          <w:w w:val="105"/>
          <w:sz w:val="23"/>
        </w:rPr>
        <w:t> </w:t>
      </w:r>
      <w:r>
        <w:rPr>
          <w:color w:val="383636"/>
          <w:w w:val="105"/>
          <w:sz w:val="23"/>
        </w:rPr>
        <w:t>and  commas </w:t>
      </w:r>
      <w:r>
        <w:rPr>
          <w:i/>
          <w:color w:val="383636"/>
          <w:w w:val="105"/>
          <w:sz w:val="24"/>
        </w:rPr>
        <w:t>always </w:t>
      </w:r>
      <w:r>
        <w:rPr>
          <w:color w:val="383636"/>
          <w:w w:val="105"/>
          <w:sz w:val="23"/>
        </w:rPr>
        <w:t>go inside quotation marks, </w:t>
      </w:r>
      <w:r>
        <w:rPr>
          <w:color w:val="494849"/>
          <w:w w:val="105"/>
          <w:sz w:val="23"/>
        </w:rPr>
        <w:t>even </w:t>
      </w:r>
      <w:r>
        <w:rPr>
          <w:color w:val="383636"/>
          <w:w w:val="105"/>
          <w:sz w:val="23"/>
        </w:rPr>
        <w:t>if you are quot­</w:t>
      </w:r>
      <w:r>
        <w:rPr>
          <w:color w:val="383636"/>
          <w:spacing w:val="1"/>
          <w:w w:val="105"/>
          <w:sz w:val="23"/>
        </w:rPr>
        <w:t> </w:t>
      </w:r>
      <w:r>
        <w:rPr>
          <w:color w:val="383636"/>
          <w:w w:val="105"/>
          <w:sz w:val="23"/>
        </w:rPr>
        <w:t>ing</w:t>
      </w:r>
      <w:r>
        <w:rPr>
          <w:color w:val="383636"/>
          <w:spacing w:val="27"/>
          <w:w w:val="105"/>
          <w:sz w:val="23"/>
        </w:rPr>
        <w:t> </w:t>
      </w:r>
      <w:r>
        <w:rPr>
          <w:color w:val="383636"/>
          <w:w w:val="105"/>
          <w:sz w:val="23"/>
        </w:rPr>
        <w:t>only</w:t>
      </w:r>
      <w:r>
        <w:rPr>
          <w:color w:val="383636"/>
          <w:spacing w:val="-15"/>
          <w:w w:val="105"/>
          <w:sz w:val="23"/>
        </w:rPr>
        <w:t> </w:t>
      </w:r>
      <w:r>
        <w:rPr>
          <w:color w:val="383636"/>
          <w:w w:val="105"/>
          <w:sz w:val="23"/>
        </w:rPr>
        <w:t>one</w:t>
      </w:r>
      <w:r>
        <w:rPr>
          <w:color w:val="383636"/>
          <w:spacing w:val="-5"/>
          <w:w w:val="105"/>
          <w:sz w:val="23"/>
        </w:rPr>
        <w:t> </w:t>
      </w:r>
      <w:r>
        <w:rPr>
          <w:color w:val="383636"/>
          <w:w w:val="105"/>
          <w:sz w:val="23"/>
        </w:rPr>
        <w:t>word or</w:t>
      </w:r>
      <w:r>
        <w:rPr>
          <w:color w:val="383636"/>
          <w:spacing w:val="13"/>
          <w:w w:val="105"/>
          <w:sz w:val="23"/>
        </w:rPr>
        <w:t> </w:t>
      </w:r>
      <w:r>
        <w:rPr>
          <w:color w:val="383636"/>
          <w:w w:val="105"/>
          <w:sz w:val="23"/>
        </w:rPr>
        <w:t>one</w:t>
      </w:r>
      <w:r>
        <w:rPr>
          <w:color w:val="383636"/>
          <w:spacing w:val="26"/>
          <w:w w:val="105"/>
          <w:sz w:val="23"/>
        </w:rPr>
        <w:t> </w:t>
      </w:r>
      <w:r>
        <w:rPr>
          <w:color w:val="383636"/>
          <w:w w:val="105"/>
          <w:sz w:val="23"/>
        </w:rPr>
        <w:t>letter:</w:t>
      </w:r>
    </w:p>
    <w:p>
      <w:pPr>
        <w:spacing w:before="38"/>
        <w:ind w:left="714" w:right="0" w:firstLine="0"/>
        <w:jc w:val="left"/>
        <w:rPr>
          <w:rFonts w:ascii="Arial"/>
          <w:sz w:val="15"/>
        </w:rPr>
      </w:pPr>
      <w:r>
        <w:rPr>
          <w:i/>
          <w:color w:val="383636"/>
          <w:w w:val="95"/>
          <w:sz w:val="33"/>
          <w:u w:val="thick" w:color="383636"/>
        </w:rPr>
        <w:t>-"v</w:t>
      </w:r>
      <w:r>
        <w:rPr>
          <w:i/>
          <w:color w:val="383636"/>
          <w:spacing w:val="-26"/>
          <w:w w:val="95"/>
          <w:sz w:val="33"/>
          <w:u w:val="thick" w:color="383636"/>
        </w:rPr>
        <w:t> </w:t>
      </w:r>
      <w:r>
        <w:rPr>
          <w:rFonts w:ascii="Arial"/>
          <w:color w:val="494849"/>
          <w:w w:val="95"/>
          <w:sz w:val="15"/>
          <w:u w:val="thick" w:color="383636"/>
        </w:rPr>
        <w:t>BAD</w:t>
      </w:r>
      <w:r>
        <w:rPr>
          <w:rFonts w:ascii="Arial"/>
          <w:color w:val="494849"/>
          <w:spacing w:val="4"/>
          <w:w w:val="95"/>
          <w:sz w:val="15"/>
          <w:u w:val="thick" w:color="383636"/>
        </w:rPr>
        <w:t> </w:t>
      </w:r>
      <w:r>
        <w:rPr>
          <w:rFonts w:ascii="Arial"/>
          <w:color w:val="383636"/>
          <w:w w:val="95"/>
          <w:sz w:val="15"/>
          <w:u w:val="thick" w:color="383636"/>
        </w:rPr>
        <w:t>EXAMPLE</w:t>
      </w:r>
    </w:p>
    <w:p>
      <w:pPr>
        <w:spacing w:line="230" w:lineRule="auto" w:before="48"/>
        <w:ind w:left="1113" w:right="436" w:hanging="8"/>
        <w:jc w:val="left"/>
        <w:rPr>
          <w:b/>
          <w:sz w:val="21"/>
        </w:rPr>
      </w:pPr>
      <w:r>
        <w:rPr>
          <w:b/>
          <w:color w:val="383636"/>
          <w:w w:val="105"/>
          <w:sz w:val="21"/>
        </w:rPr>
        <w:t>Judge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Wald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has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noted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that finding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errors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in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a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brief  makes her </w:t>
      </w:r>
      <w:r>
        <w:rPr>
          <w:b/>
          <w:color w:val="494849"/>
          <w:w w:val="105"/>
          <w:sz w:val="21"/>
        </w:rPr>
        <w:t>"go</w:t>
      </w:r>
      <w:r>
        <w:rPr>
          <w:b/>
          <w:color w:val="494849"/>
          <w:spacing w:val="-53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back</w:t>
      </w:r>
      <w:r>
        <w:rPr>
          <w:b/>
          <w:color w:val="383636"/>
          <w:spacing w:val="3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to</w:t>
      </w:r>
      <w:r>
        <w:rPr>
          <w:b/>
          <w:color w:val="383636"/>
          <w:spacing w:val="9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square</w:t>
      </w:r>
      <w:r>
        <w:rPr>
          <w:b/>
          <w:color w:val="383636"/>
          <w:spacing w:val="-4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one</w:t>
      </w:r>
      <w:r>
        <w:rPr>
          <w:b/>
          <w:color w:val="383636"/>
          <w:spacing w:val="39"/>
          <w:w w:val="105"/>
          <w:sz w:val="21"/>
        </w:rPr>
        <w:t> </w:t>
      </w:r>
      <w:r>
        <w:rPr>
          <w:color w:val="383636"/>
          <w:w w:val="105"/>
          <w:sz w:val="19"/>
        </w:rPr>
        <w:t>in</w:t>
      </w:r>
      <w:r>
        <w:rPr>
          <w:color w:val="383636"/>
          <w:spacing w:val="46"/>
          <w:w w:val="105"/>
          <w:sz w:val="19"/>
        </w:rPr>
        <w:t> </w:t>
      </w:r>
      <w:r>
        <w:rPr>
          <w:b/>
          <w:color w:val="383636"/>
          <w:w w:val="105"/>
          <w:sz w:val="21"/>
        </w:rPr>
        <w:t>evaluating</w:t>
      </w:r>
      <w:r>
        <w:rPr>
          <w:b/>
          <w:color w:val="383636"/>
          <w:spacing w:val="-6"/>
          <w:w w:val="105"/>
          <w:sz w:val="21"/>
        </w:rPr>
        <w:t> </w:t>
      </w:r>
      <w:r>
        <w:rPr>
          <w:color w:val="383636"/>
          <w:w w:val="105"/>
          <w:sz w:val="19"/>
        </w:rPr>
        <w:t>the</w:t>
      </w:r>
      <w:r>
        <w:rPr>
          <w:color w:val="383636"/>
          <w:spacing w:val="14"/>
          <w:w w:val="105"/>
          <w:sz w:val="19"/>
        </w:rPr>
        <w:t> </w:t>
      </w:r>
      <w:r>
        <w:rPr>
          <w:b/>
          <w:color w:val="383636"/>
          <w:w w:val="105"/>
          <w:sz w:val="21"/>
        </w:rPr>
        <w:t>counsel".</w:t>
      </w:r>
    </w:p>
    <w:p>
      <w:pPr>
        <w:spacing w:before="60"/>
        <w:ind w:left="722" w:right="0" w:firstLine="0"/>
        <w:jc w:val="left"/>
        <w:rPr>
          <w:b/>
          <w:sz w:val="15"/>
        </w:rPr>
      </w:pPr>
      <w:r>
        <w:rPr>
          <w:rFonts w:ascii="Arial"/>
          <w:color w:val="69696B"/>
          <w:w w:val="100"/>
          <w:sz w:val="32"/>
          <w:u w:val="thick" w:color="383636"/>
        </w:rPr>
        <w:t>-</w:t>
      </w:r>
      <w:r>
        <w:rPr>
          <w:rFonts w:ascii="Arial"/>
          <w:color w:val="69696B"/>
          <w:spacing w:val="1"/>
          <w:w w:val="100"/>
          <w:sz w:val="32"/>
          <w:u w:val="thick" w:color="383636"/>
        </w:rPr>
        <w:t>b</w:t>
      </w:r>
      <w:r>
        <w:rPr>
          <w:rFonts w:ascii="Arial"/>
          <w:color w:val="383636"/>
          <w:spacing w:val="11"/>
          <w:w w:val="100"/>
          <w:sz w:val="32"/>
          <w:u w:val="thick" w:color="383636"/>
        </w:rPr>
        <w:t>,</w:t>
      </w:r>
      <w:r>
        <w:rPr>
          <w:rFonts w:ascii="Arial"/>
          <w:color w:val="383636"/>
          <w:spacing w:val="-1"/>
          <w:w w:val="107"/>
          <w:sz w:val="15"/>
          <w:u w:val="thick" w:color="383636"/>
        </w:rPr>
        <w:t>GOO</w:t>
      </w:r>
      <w:r>
        <w:rPr>
          <w:rFonts w:ascii="Arial"/>
          <w:color w:val="383636"/>
          <w:w w:val="107"/>
          <w:sz w:val="15"/>
          <w:u w:val="thick" w:color="383636"/>
        </w:rPr>
        <w:t>D</w:t>
      </w:r>
      <w:r>
        <w:rPr>
          <w:rFonts w:ascii="Arial"/>
          <w:color w:val="383636"/>
          <w:spacing w:val="-6"/>
          <w:sz w:val="15"/>
          <w:u w:val="thick" w:color="383636"/>
        </w:rPr>
        <w:t> </w:t>
      </w:r>
      <w:r>
        <w:rPr>
          <w:b/>
          <w:color w:val="383636"/>
          <w:spacing w:val="-1"/>
          <w:w w:val="93"/>
          <w:sz w:val="15"/>
          <w:u w:val="thick" w:color="383636"/>
        </w:rPr>
        <w:t>EXAMPLE</w:t>
      </w:r>
    </w:p>
    <w:p>
      <w:pPr>
        <w:spacing w:before="44"/>
        <w:ind w:left="1094" w:right="436" w:hanging="18"/>
        <w:jc w:val="left"/>
        <w:rPr>
          <w:b/>
          <w:sz w:val="21"/>
        </w:rPr>
      </w:pPr>
      <w:r>
        <w:rPr>
          <w:b/>
          <w:color w:val="383636"/>
          <w:w w:val="110"/>
          <w:sz w:val="21"/>
        </w:rPr>
        <w:t>Judge</w:t>
      </w:r>
      <w:r>
        <w:rPr>
          <w:b/>
          <w:color w:val="383636"/>
          <w:spacing w:val="14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Wald</w:t>
      </w:r>
      <w:r>
        <w:rPr>
          <w:b/>
          <w:color w:val="383636"/>
          <w:spacing w:val="18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has</w:t>
      </w:r>
      <w:r>
        <w:rPr>
          <w:b/>
          <w:color w:val="383636"/>
          <w:spacing w:val="42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noted</w:t>
      </w:r>
      <w:r>
        <w:rPr>
          <w:b/>
          <w:color w:val="383636"/>
          <w:spacing w:val="17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that</w:t>
      </w:r>
      <w:r>
        <w:rPr>
          <w:b/>
          <w:color w:val="383636"/>
          <w:spacing w:val="10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finding</w:t>
      </w:r>
      <w:r>
        <w:rPr>
          <w:b/>
          <w:color w:val="383636"/>
          <w:spacing w:val="1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errors</w:t>
      </w:r>
      <w:r>
        <w:rPr>
          <w:b/>
          <w:color w:val="383636"/>
          <w:spacing w:val="20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in</w:t>
      </w:r>
      <w:r>
        <w:rPr>
          <w:b/>
          <w:color w:val="383636"/>
          <w:spacing w:val="36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a</w:t>
      </w:r>
      <w:r>
        <w:rPr>
          <w:b/>
          <w:color w:val="383636"/>
          <w:spacing w:val="3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brief</w:t>
      </w:r>
      <w:r>
        <w:rPr>
          <w:b/>
          <w:color w:val="383636"/>
          <w:spacing w:val="9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makes</w:t>
      </w:r>
      <w:r>
        <w:rPr>
          <w:b/>
          <w:color w:val="383636"/>
          <w:spacing w:val="5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her</w:t>
      </w:r>
      <w:r>
        <w:rPr>
          <w:b/>
          <w:color w:val="383636"/>
          <w:spacing w:val="-4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"go</w:t>
      </w:r>
      <w:r>
        <w:rPr>
          <w:b/>
          <w:color w:val="383636"/>
          <w:spacing w:val="-55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back</w:t>
      </w:r>
      <w:r>
        <w:rPr>
          <w:b/>
          <w:color w:val="383636"/>
          <w:spacing w:val="-4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to</w:t>
      </w:r>
      <w:r>
        <w:rPr>
          <w:b/>
          <w:color w:val="383636"/>
          <w:spacing w:val="3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square</w:t>
      </w:r>
      <w:r>
        <w:rPr>
          <w:b/>
          <w:color w:val="383636"/>
          <w:spacing w:val="-10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one</w:t>
      </w:r>
      <w:r>
        <w:rPr>
          <w:b/>
          <w:color w:val="383636"/>
          <w:spacing w:val="31"/>
          <w:w w:val="110"/>
          <w:sz w:val="21"/>
        </w:rPr>
        <w:t> </w:t>
      </w:r>
      <w:r>
        <w:rPr>
          <w:color w:val="383636"/>
          <w:w w:val="110"/>
          <w:sz w:val="19"/>
        </w:rPr>
        <w:t>in</w:t>
      </w:r>
      <w:r>
        <w:rPr>
          <w:color w:val="383636"/>
          <w:spacing w:val="47"/>
          <w:w w:val="110"/>
          <w:sz w:val="19"/>
        </w:rPr>
        <w:t> </w:t>
      </w:r>
      <w:r>
        <w:rPr>
          <w:b/>
          <w:color w:val="383636"/>
          <w:w w:val="110"/>
          <w:sz w:val="21"/>
        </w:rPr>
        <w:t>evaluating</w:t>
      </w:r>
      <w:r>
        <w:rPr>
          <w:b/>
          <w:color w:val="383636"/>
          <w:spacing w:val="-3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the</w:t>
      </w:r>
      <w:r>
        <w:rPr>
          <w:b/>
          <w:color w:val="383636"/>
          <w:spacing w:val="-14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counsel."</w:t>
      </w:r>
    </w:p>
    <w:p>
      <w:pPr>
        <w:spacing w:before="50"/>
        <w:ind w:left="675" w:right="0" w:firstLine="0"/>
        <w:jc w:val="left"/>
        <w:rPr>
          <w:b/>
          <w:sz w:val="15"/>
        </w:rPr>
      </w:pPr>
      <w:r>
        <w:rPr>
          <w:i/>
          <w:color w:val="494849"/>
          <w:w w:val="90"/>
          <w:sz w:val="32"/>
          <w:u w:val="thick" w:color="494849"/>
        </w:rPr>
        <w:t>-SJ</w:t>
      </w:r>
      <w:r>
        <w:rPr>
          <w:i/>
          <w:color w:val="494849"/>
          <w:spacing w:val="14"/>
          <w:w w:val="90"/>
          <w:sz w:val="32"/>
        </w:rPr>
        <w:t> </w:t>
      </w:r>
      <w:r>
        <w:rPr>
          <w:rFonts w:ascii="Arial"/>
          <w:color w:val="383636"/>
          <w:w w:val="90"/>
          <w:sz w:val="15"/>
          <w:u w:val="thick" w:color="383636"/>
        </w:rPr>
        <w:t>BAD</w:t>
      </w:r>
      <w:r>
        <w:rPr>
          <w:rFonts w:ascii="Arial"/>
          <w:color w:val="383636"/>
          <w:spacing w:val="3"/>
          <w:w w:val="90"/>
          <w:sz w:val="15"/>
          <w:u w:val="thick" w:color="383636"/>
        </w:rPr>
        <w:t> </w:t>
      </w:r>
      <w:r>
        <w:rPr>
          <w:b/>
          <w:color w:val="383636"/>
          <w:w w:val="90"/>
          <w:sz w:val="15"/>
          <w:u w:val="thick" w:color="383636"/>
        </w:rPr>
        <w:t>EXAMPLE</w:t>
      </w:r>
    </w:p>
    <w:p>
      <w:pPr>
        <w:spacing w:line="230" w:lineRule="auto" w:before="70"/>
        <w:ind w:left="1078" w:right="251" w:hanging="16"/>
        <w:jc w:val="left"/>
        <w:rPr>
          <w:b/>
          <w:sz w:val="21"/>
        </w:rPr>
      </w:pPr>
      <w:r>
        <w:rPr>
          <w:b/>
          <w:color w:val="383636"/>
          <w:w w:val="105"/>
          <w:sz w:val="21"/>
        </w:rPr>
        <w:t>The</w:t>
      </w:r>
      <w:r>
        <w:rPr>
          <w:b/>
          <w:color w:val="383636"/>
          <w:spacing w:val="16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word </w:t>
      </w:r>
      <w:r>
        <w:rPr>
          <w:b/>
          <w:color w:val="494849"/>
          <w:w w:val="105"/>
          <w:sz w:val="21"/>
        </w:rPr>
        <w:t>"Aspen",</w:t>
      </w:r>
      <w:r>
        <w:rPr>
          <w:b/>
          <w:color w:val="494849"/>
          <w:spacing w:val="19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which</w:t>
      </w:r>
      <w:r>
        <w:rPr>
          <w:b/>
          <w:color w:val="383636"/>
          <w:spacing w:val="3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refers</w:t>
      </w:r>
      <w:r>
        <w:rPr>
          <w:b/>
          <w:color w:val="383636"/>
          <w:spacing w:val="5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to</w:t>
      </w:r>
      <w:r>
        <w:rPr>
          <w:b/>
          <w:color w:val="383636"/>
          <w:spacing w:val="15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both</w:t>
      </w:r>
      <w:r>
        <w:rPr>
          <w:b/>
          <w:color w:val="383636"/>
          <w:spacing w:val="5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trees</w:t>
      </w:r>
      <w:r>
        <w:rPr>
          <w:b/>
          <w:color w:val="383636"/>
          <w:spacing w:val="-3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and</w:t>
      </w:r>
      <w:r>
        <w:rPr>
          <w:b/>
          <w:color w:val="383636"/>
          <w:spacing w:val="19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a</w:t>
      </w:r>
      <w:r>
        <w:rPr>
          <w:b/>
          <w:color w:val="383636"/>
          <w:spacing w:val="27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publisher,</w:t>
      </w:r>
      <w:r>
        <w:rPr>
          <w:b/>
          <w:color w:val="383636"/>
          <w:spacing w:val="10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begins</w:t>
      </w:r>
      <w:r>
        <w:rPr>
          <w:b/>
          <w:color w:val="383636"/>
          <w:spacing w:val="-53"/>
          <w:w w:val="105"/>
          <w:sz w:val="21"/>
        </w:rPr>
        <w:t> </w:t>
      </w:r>
      <w:r>
        <w:rPr>
          <w:b/>
          <w:color w:val="383636"/>
          <w:w w:val="110"/>
          <w:sz w:val="21"/>
        </w:rPr>
        <w:t>with</w:t>
      </w:r>
      <w:r>
        <w:rPr>
          <w:b/>
          <w:color w:val="383636"/>
          <w:spacing w:val="-14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the</w:t>
      </w:r>
      <w:r>
        <w:rPr>
          <w:b/>
          <w:color w:val="383636"/>
          <w:spacing w:val="-3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letter</w:t>
      </w:r>
      <w:r>
        <w:rPr>
          <w:b/>
          <w:color w:val="383636"/>
          <w:spacing w:val="-2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"A".</w:t>
      </w:r>
    </w:p>
    <w:p>
      <w:pPr>
        <w:spacing w:before="116"/>
        <w:ind w:left="697" w:right="0" w:firstLine="0"/>
        <w:jc w:val="left"/>
        <w:rPr>
          <w:rFonts w:ascii="Arial"/>
          <w:sz w:val="15"/>
        </w:rPr>
      </w:pPr>
      <w:r>
        <w:rPr>
          <w:rFonts w:ascii="Arial"/>
          <w:color w:val="69696B"/>
          <w:sz w:val="24"/>
          <w:u w:val="thick" w:color="494849"/>
        </w:rPr>
        <w:t>_/j</w:t>
      </w:r>
      <w:r>
        <w:rPr>
          <w:rFonts w:ascii="Arial"/>
          <w:color w:val="494849"/>
          <w:sz w:val="24"/>
          <w:u w:val="thick" w:color="494849"/>
        </w:rPr>
        <w:t>,</w:t>
      </w:r>
      <w:r>
        <w:rPr>
          <w:rFonts w:ascii="Arial"/>
          <w:color w:val="494849"/>
          <w:spacing w:val="-33"/>
          <w:sz w:val="24"/>
          <w:u w:val="thick" w:color="494849"/>
        </w:rPr>
        <w:t> </w:t>
      </w:r>
      <w:r>
        <w:rPr>
          <w:rFonts w:ascii="Arial"/>
          <w:color w:val="383636"/>
          <w:sz w:val="15"/>
          <w:u w:val="thick" w:color="494849"/>
        </w:rPr>
        <w:t>GOOD</w:t>
      </w:r>
      <w:r>
        <w:rPr>
          <w:rFonts w:ascii="Arial"/>
          <w:color w:val="383636"/>
          <w:spacing w:val="9"/>
          <w:sz w:val="15"/>
          <w:u w:val="thick" w:color="494849"/>
        </w:rPr>
        <w:t> </w:t>
      </w:r>
      <w:r>
        <w:rPr>
          <w:rFonts w:ascii="Arial"/>
          <w:color w:val="494849"/>
          <w:sz w:val="15"/>
          <w:u w:val="thick" w:color="494849"/>
        </w:rPr>
        <w:t>EXAMPLE</w:t>
      </w:r>
    </w:p>
    <w:p>
      <w:pPr>
        <w:spacing w:before="80"/>
        <w:ind w:left="1068" w:right="251" w:hanging="7"/>
        <w:jc w:val="left"/>
        <w:rPr>
          <w:b/>
          <w:sz w:val="21"/>
        </w:rPr>
      </w:pPr>
      <w:r>
        <w:rPr>
          <w:b/>
          <w:color w:val="383636"/>
          <w:w w:val="105"/>
          <w:sz w:val="21"/>
        </w:rPr>
        <w:t>The word "Aspen," which refers to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both trees and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a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publisher, begins</w:t>
      </w:r>
      <w:r>
        <w:rPr>
          <w:b/>
          <w:color w:val="383636"/>
          <w:spacing w:val="-53"/>
          <w:w w:val="105"/>
          <w:sz w:val="21"/>
        </w:rPr>
        <w:t> </w:t>
      </w:r>
      <w:r>
        <w:rPr>
          <w:b/>
          <w:color w:val="383636"/>
          <w:w w:val="110"/>
          <w:sz w:val="21"/>
        </w:rPr>
        <w:t>with</w:t>
      </w:r>
      <w:r>
        <w:rPr>
          <w:b/>
          <w:color w:val="383636"/>
          <w:spacing w:val="-4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the</w:t>
      </w:r>
      <w:r>
        <w:rPr>
          <w:b/>
          <w:color w:val="383636"/>
          <w:spacing w:val="-13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letter</w:t>
      </w:r>
      <w:r>
        <w:rPr>
          <w:b/>
          <w:color w:val="383636"/>
          <w:spacing w:val="-20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"A."</w:t>
      </w:r>
    </w:p>
    <w:p>
      <w:pPr>
        <w:pStyle w:val="BodyText"/>
        <w:spacing w:line="232" w:lineRule="auto" w:before="150"/>
        <w:ind w:left="637" w:right="127" w:firstLine="415"/>
        <w:jc w:val="both"/>
      </w:pPr>
      <w:r>
        <w:rPr>
          <w:color w:val="383636"/>
          <w:w w:val="110"/>
        </w:rPr>
        <w:t>To find errors of this type</w:t>
      </w:r>
      <w:r>
        <w:rPr>
          <w:color w:val="595959"/>
          <w:w w:val="110"/>
        </w:rPr>
        <w:t>, </w:t>
      </w:r>
      <w:r>
        <w:rPr>
          <w:color w:val="383636"/>
          <w:w w:val="110"/>
        </w:rPr>
        <w:t>use the Find feature to search for quotation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marks, and </w:t>
      </w:r>
      <w:r>
        <w:rPr>
          <w:color w:val="494849"/>
          <w:w w:val="110"/>
        </w:rPr>
        <w:t>check </w:t>
      </w:r>
      <w:r>
        <w:rPr>
          <w:color w:val="383636"/>
          <w:w w:val="110"/>
        </w:rPr>
        <w:t>your punctuation. Also, check to make sure that all quo­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tation marks come in pairs. Too often, when writers block and copy quo­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tations, they place an opening quotation mark, then copy the  language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into the text, and neglect to insert the closing quotation mark. This is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punctuation equivalent of leaving the refrigerator door open, and it is very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annoying</w:t>
      </w:r>
      <w:r>
        <w:rPr>
          <w:color w:val="383636"/>
          <w:spacing w:val="-10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5"/>
          <w:w w:val="110"/>
        </w:rPr>
        <w:t> </w:t>
      </w:r>
      <w:r>
        <w:rPr>
          <w:color w:val="383636"/>
          <w:w w:val="110"/>
        </w:rPr>
        <w:t>readers.</w:t>
      </w:r>
      <w:r>
        <w:rPr>
          <w:color w:val="383636"/>
          <w:spacing w:val="3"/>
          <w:w w:val="110"/>
        </w:rPr>
        <w:t> </w:t>
      </w:r>
      <w:r>
        <w:rPr>
          <w:color w:val="383636"/>
          <w:w w:val="110"/>
        </w:rPr>
        <w:t>Be</w:t>
      </w:r>
      <w:r>
        <w:rPr>
          <w:color w:val="383636"/>
          <w:spacing w:val="-8"/>
          <w:w w:val="110"/>
        </w:rPr>
        <w:t> </w:t>
      </w:r>
      <w:r>
        <w:rPr>
          <w:color w:val="383636"/>
          <w:w w:val="110"/>
        </w:rPr>
        <w:t>sure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13"/>
          <w:w w:val="110"/>
        </w:rPr>
        <w:t> </w:t>
      </w:r>
      <w:r>
        <w:rPr>
          <w:color w:val="383636"/>
          <w:w w:val="110"/>
        </w:rPr>
        <w:t>proofread</w:t>
      </w:r>
      <w:r>
        <w:rPr>
          <w:color w:val="383636"/>
          <w:spacing w:val="5"/>
          <w:w w:val="110"/>
        </w:rPr>
        <w:t> </w:t>
      </w:r>
      <w:r>
        <w:rPr>
          <w:color w:val="383636"/>
          <w:w w:val="110"/>
        </w:rPr>
        <w:t>specifically</w:t>
      </w:r>
      <w:r>
        <w:rPr>
          <w:color w:val="383636"/>
          <w:spacing w:val="-5"/>
          <w:w w:val="110"/>
        </w:rPr>
        <w:t> </w:t>
      </w:r>
      <w:r>
        <w:rPr>
          <w:color w:val="383636"/>
          <w:w w:val="110"/>
        </w:rPr>
        <w:t>for</w:t>
      </w:r>
      <w:r>
        <w:rPr>
          <w:color w:val="383636"/>
          <w:spacing w:val="21"/>
          <w:w w:val="110"/>
        </w:rPr>
        <w:t> </w:t>
      </w:r>
      <w:r>
        <w:rPr>
          <w:color w:val="383636"/>
          <w:w w:val="110"/>
        </w:rPr>
        <w:t>this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problem.</w:t>
      </w:r>
    </w:p>
    <w:p>
      <w:pPr>
        <w:pStyle w:val="ListParagraph"/>
        <w:numPr>
          <w:ilvl w:val="0"/>
          <w:numId w:val="108"/>
        </w:numPr>
        <w:tabs>
          <w:tab w:pos="1313" w:val="left" w:leader="none"/>
        </w:tabs>
        <w:spacing w:line="232" w:lineRule="auto" w:before="0" w:after="0"/>
        <w:ind w:left="569" w:right="128" w:firstLine="448"/>
        <w:jc w:val="both"/>
        <w:rPr>
          <w:color w:val="383636"/>
          <w:sz w:val="22"/>
        </w:rPr>
      </w:pPr>
      <w:r>
        <w:rPr>
          <w:color w:val="383636"/>
          <w:w w:val="110"/>
          <w:sz w:val="23"/>
        </w:rPr>
        <w:t>Citation </w:t>
      </w:r>
      <w:r>
        <w:rPr>
          <w:b/>
          <w:color w:val="383636"/>
          <w:w w:val="110"/>
          <w:sz w:val="23"/>
        </w:rPr>
        <w:t>search. </w:t>
      </w:r>
      <w:r>
        <w:rPr>
          <w:color w:val="383636"/>
          <w:w w:val="110"/>
          <w:sz w:val="23"/>
        </w:rPr>
        <w:t>To review your citations, search </w:t>
      </w:r>
      <w:r>
        <w:rPr>
          <w:rFonts w:ascii="Arial" w:hAnsi="Arial"/>
          <w:i/>
          <w:color w:val="383636"/>
          <w:w w:val="110"/>
          <w:sz w:val="20"/>
        </w:rPr>
        <w:t>[begin underline]</w:t>
      </w:r>
      <w:r>
        <w:rPr>
          <w:rFonts w:ascii="Arial" w:hAnsi="Arial"/>
          <w:i/>
          <w:color w:val="383636"/>
          <w:spacing w:val="1"/>
          <w:w w:val="110"/>
          <w:sz w:val="20"/>
        </w:rPr>
        <w:t> </w:t>
      </w:r>
      <w:r>
        <w:rPr>
          <w:color w:val="383636"/>
          <w:w w:val="110"/>
          <w:sz w:val="23"/>
        </w:rPr>
        <w:t>or  </w:t>
      </w:r>
      <w:r>
        <w:rPr>
          <w:rFonts w:ascii="Arial" w:hAnsi="Arial"/>
          <w:i/>
          <w:color w:val="383636"/>
          <w:w w:val="110"/>
          <w:sz w:val="21"/>
        </w:rPr>
        <w:t>[begin italics] </w:t>
      </w:r>
      <w:r>
        <w:rPr>
          <w:color w:val="383636"/>
          <w:w w:val="110"/>
          <w:sz w:val="23"/>
        </w:rPr>
        <w:t>or even </w:t>
      </w:r>
      <w:r>
        <w:rPr>
          <w:rFonts w:ascii="Arial" w:hAnsi="Arial"/>
          <w:i/>
          <w:color w:val="383636"/>
          <w:w w:val="110"/>
          <w:sz w:val="21"/>
        </w:rPr>
        <w:t>v. </w:t>
      </w:r>
      <w:r>
        <w:rPr>
          <w:color w:val="383636"/>
          <w:w w:val="110"/>
          <w:sz w:val="23"/>
        </w:rPr>
        <w:t>to help you find citations and  </w:t>
      </w:r>
      <w:r>
        <w:rPr>
          <w:color w:val="494849"/>
          <w:w w:val="110"/>
          <w:sz w:val="23"/>
        </w:rPr>
        <w:t>scrutinize </w:t>
      </w:r>
      <w:r>
        <w:rPr>
          <w:color w:val="383636"/>
          <w:w w:val="110"/>
          <w:sz w:val="23"/>
        </w:rPr>
        <w:t>them</w:t>
      </w:r>
      <w:r>
        <w:rPr>
          <w:color w:val="383636"/>
          <w:spacing w:val="1"/>
          <w:w w:val="110"/>
          <w:sz w:val="23"/>
        </w:rPr>
        <w:t> </w:t>
      </w:r>
      <w:r>
        <w:rPr>
          <w:color w:val="383636"/>
          <w:w w:val="110"/>
          <w:sz w:val="23"/>
        </w:rPr>
        <w:t>in isolation. Three types of errors are particularly common: </w:t>
      </w:r>
      <w:r>
        <w:rPr>
          <w:rFonts w:ascii="Arial" w:hAnsi="Arial"/>
          <w:color w:val="494849"/>
          <w:w w:val="110"/>
          <w:sz w:val="20"/>
        </w:rPr>
        <w:t>(1) </w:t>
      </w:r>
      <w:r>
        <w:rPr>
          <w:color w:val="383636"/>
          <w:w w:val="110"/>
          <w:sz w:val="23"/>
        </w:rPr>
        <w:t>incorrect</w:t>
      </w:r>
      <w:r>
        <w:rPr>
          <w:color w:val="383636"/>
          <w:spacing w:val="1"/>
          <w:w w:val="110"/>
          <w:sz w:val="23"/>
        </w:rPr>
        <w:t> </w:t>
      </w:r>
      <w:r>
        <w:rPr>
          <w:color w:val="383636"/>
          <w:w w:val="110"/>
          <w:sz w:val="23"/>
        </w:rPr>
        <w:t>volume or page numbers, </w:t>
      </w:r>
      <w:r>
        <w:rPr>
          <w:rFonts w:ascii="Arial" w:hAnsi="Arial"/>
          <w:color w:val="383636"/>
          <w:w w:val="110"/>
          <w:sz w:val="20"/>
        </w:rPr>
        <w:t>(2) </w:t>
      </w:r>
      <w:r>
        <w:rPr>
          <w:color w:val="383636"/>
          <w:w w:val="110"/>
          <w:sz w:val="23"/>
        </w:rPr>
        <w:t>misspelled party names, and </w:t>
      </w:r>
      <w:r>
        <w:rPr>
          <w:rFonts w:ascii="Arial" w:hAnsi="Arial"/>
          <w:color w:val="383636"/>
          <w:w w:val="110"/>
          <w:sz w:val="20"/>
        </w:rPr>
        <w:t>(3) </w:t>
      </w:r>
      <w:r>
        <w:rPr>
          <w:color w:val="383636"/>
          <w:w w:val="110"/>
          <w:sz w:val="23"/>
        </w:rPr>
        <w:t>missing pin­</w:t>
      </w:r>
      <w:r>
        <w:rPr>
          <w:color w:val="383636"/>
          <w:spacing w:val="1"/>
          <w:w w:val="110"/>
          <w:sz w:val="23"/>
        </w:rPr>
        <w:t> </w:t>
      </w:r>
      <w:r>
        <w:rPr>
          <w:color w:val="383636"/>
          <w:w w:val="110"/>
          <w:sz w:val="23"/>
        </w:rPr>
        <w:t>point page numbers. As noted earlier, presume that every citation should</w:t>
      </w:r>
      <w:r>
        <w:rPr>
          <w:color w:val="383636"/>
          <w:spacing w:val="1"/>
          <w:w w:val="110"/>
          <w:sz w:val="23"/>
        </w:rPr>
        <w:t> </w:t>
      </w:r>
      <w:r>
        <w:rPr>
          <w:color w:val="383636"/>
          <w:w w:val="110"/>
          <w:sz w:val="23"/>
        </w:rPr>
        <w:t>have a pinpoint. Even if you are</w:t>
      </w:r>
      <w:r>
        <w:rPr>
          <w:color w:val="383636"/>
          <w:spacing w:val="1"/>
          <w:w w:val="110"/>
          <w:sz w:val="23"/>
        </w:rPr>
        <w:t> </w:t>
      </w:r>
      <w:r>
        <w:rPr>
          <w:color w:val="383636"/>
          <w:w w:val="110"/>
          <w:sz w:val="23"/>
        </w:rPr>
        <w:t>just citing to a general principle from the</w:t>
      </w:r>
      <w:r>
        <w:rPr>
          <w:color w:val="383636"/>
          <w:spacing w:val="1"/>
          <w:w w:val="110"/>
          <w:sz w:val="23"/>
        </w:rPr>
        <w:t> </w:t>
      </w:r>
      <w:r>
        <w:rPr>
          <w:color w:val="383636"/>
          <w:w w:val="110"/>
          <w:sz w:val="23"/>
        </w:rPr>
        <w:t>case, find a page on which that general principle appears, and use </w:t>
      </w:r>
      <w:r>
        <w:rPr>
          <w:i/>
          <w:color w:val="383636"/>
          <w:w w:val="110"/>
          <w:sz w:val="22"/>
        </w:rPr>
        <w:t>it </w:t>
      </w:r>
      <w:r>
        <w:rPr>
          <w:color w:val="383636"/>
          <w:w w:val="110"/>
          <w:sz w:val="23"/>
        </w:rPr>
        <w:t>as the</w:t>
      </w:r>
      <w:r>
        <w:rPr>
          <w:color w:val="383636"/>
          <w:spacing w:val="1"/>
          <w:w w:val="110"/>
          <w:sz w:val="23"/>
        </w:rPr>
        <w:t> </w:t>
      </w:r>
      <w:r>
        <w:rPr>
          <w:color w:val="383636"/>
          <w:w w:val="110"/>
          <w:sz w:val="23"/>
        </w:rPr>
        <w:t>pinpoint.</w:t>
      </w:r>
    </w:p>
    <w:p>
      <w:pPr>
        <w:pStyle w:val="BodyText"/>
        <w:spacing w:line="230" w:lineRule="auto"/>
        <w:ind w:left="531" w:right="140" w:firstLine="419"/>
        <w:jc w:val="both"/>
      </w:pPr>
      <w:r>
        <w:rPr>
          <w:color w:val="383636"/>
          <w:w w:val="110"/>
        </w:rPr>
        <w:t>While you are looking at your citations, take a look at your long-form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citations and make sure that you have included the appropriate </w:t>
      </w:r>
      <w:r>
        <w:rPr>
          <w:rFonts w:ascii="Arial"/>
          <w:color w:val="383636"/>
          <w:w w:val="115"/>
          <w:sz w:val="20"/>
        </w:rPr>
        <w:t>court</w:t>
      </w:r>
      <w:r>
        <w:rPr>
          <w:rFonts w:ascii="Arial"/>
          <w:color w:val="383636"/>
          <w:spacing w:val="1"/>
          <w:w w:val="115"/>
          <w:sz w:val="20"/>
        </w:rPr>
        <w:t> </w:t>
      </w:r>
      <w:r>
        <w:rPr>
          <w:color w:val="383636"/>
          <w:w w:val="110"/>
        </w:rPr>
        <w:t>abbreviation</w:t>
      </w:r>
      <w:r>
        <w:rPr>
          <w:color w:val="383636"/>
          <w:spacing w:val="28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54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29"/>
          <w:w w:val="110"/>
        </w:rPr>
        <w:t> </w:t>
      </w:r>
      <w:r>
        <w:rPr>
          <w:color w:val="383636"/>
          <w:w w:val="110"/>
        </w:rPr>
        <w:t>parenthetical.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If</w:t>
      </w:r>
      <w:r>
        <w:rPr>
          <w:color w:val="383636"/>
          <w:spacing w:val="18"/>
          <w:w w:val="110"/>
        </w:rPr>
        <w:t> </w:t>
      </w:r>
      <w:r>
        <w:rPr>
          <w:color w:val="383636"/>
          <w:w w:val="110"/>
        </w:rPr>
        <w:t>you</w:t>
      </w:r>
      <w:r>
        <w:rPr>
          <w:color w:val="383636"/>
          <w:spacing w:val="60"/>
          <w:w w:val="110"/>
        </w:rPr>
        <w:t> </w:t>
      </w:r>
      <w:r>
        <w:rPr>
          <w:color w:val="383636"/>
          <w:w w:val="110"/>
        </w:rPr>
        <w:t>are</w:t>
      </w:r>
      <w:r>
        <w:rPr>
          <w:color w:val="383636"/>
          <w:spacing w:val="50"/>
          <w:w w:val="110"/>
        </w:rPr>
        <w:t> </w:t>
      </w:r>
      <w:r>
        <w:rPr>
          <w:color w:val="383636"/>
          <w:w w:val="110"/>
        </w:rPr>
        <w:t>not</w:t>
      </w:r>
      <w:r>
        <w:rPr>
          <w:color w:val="383636"/>
          <w:spacing w:val="19"/>
          <w:w w:val="110"/>
        </w:rPr>
        <w:t> </w:t>
      </w:r>
      <w:r>
        <w:rPr>
          <w:color w:val="383636"/>
          <w:w w:val="110"/>
        </w:rPr>
        <w:t>sure</w:t>
      </w:r>
      <w:r>
        <w:rPr>
          <w:color w:val="383636"/>
          <w:spacing w:val="-3"/>
          <w:w w:val="110"/>
        </w:rPr>
        <w:t> </w:t>
      </w:r>
      <w:r>
        <w:rPr>
          <w:color w:val="383636"/>
          <w:w w:val="110"/>
        </w:rPr>
        <w:t>what</w:t>
      </w:r>
      <w:r>
        <w:rPr>
          <w:color w:val="383636"/>
          <w:spacing w:val="4"/>
          <w:w w:val="110"/>
        </w:rPr>
        <w:t> </w:t>
      </w:r>
      <w:r>
        <w:rPr>
          <w:color w:val="383636"/>
          <w:w w:val="110"/>
        </w:rPr>
        <w:t>court</w:t>
      </w:r>
      <w:r>
        <w:rPr>
          <w:color w:val="383636"/>
          <w:spacing w:val="7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-6"/>
          <w:w w:val="110"/>
        </w:rPr>
        <w:t> </w:t>
      </w:r>
      <w:r>
        <w:rPr>
          <w:color w:val="383636"/>
          <w:w w:val="110"/>
        </w:rPr>
        <w:t>case</w:t>
      </w:r>
    </w:p>
    <w:p>
      <w:pPr>
        <w:spacing w:after="0" w:line="230" w:lineRule="auto"/>
        <w:jc w:val="both"/>
        <w:sectPr>
          <w:headerReference w:type="even" r:id="rId318"/>
          <w:headerReference w:type="default" r:id="rId319"/>
          <w:pgSz w:w="9760" w:h="14020"/>
          <w:pgMar w:header="0" w:footer="0" w:top="1120" w:bottom="0" w:left="136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62" w:lineRule="exact" w:before="227"/>
        <w:ind w:left="118"/>
        <w:rPr>
          <w:rFonts w:ascii="Arial"/>
          <w:sz w:val="22"/>
        </w:rPr>
      </w:pPr>
      <w:r>
        <w:rPr>
          <w:color w:val="383636"/>
          <w:spacing w:val="-1"/>
          <w:w w:val="110"/>
        </w:rPr>
        <w:t>comes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from,</w:t>
      </w:r>
      <w:r>
        <w:rPr>
          <w:color w:val="383636"/>
          <w:spacing w:val="-8"/>
          <w:w w:val="110"/>
        </w:rPr>
        <w:t> </w:t>
      </w:r>
      <w:r>
        <w:rPr>
          <w:color w:val="383636"/>
          <w:w w:val="110"/>
        </w:rPr>
        <w:t>check the</w:t>
      </w:r>
      <w:r>
        <w:rPr>
          <w:color w:val="383636"/>
          <w:spacing w:val="24"/>
          <w:w w:val="110"/>
        </w:rPr>
        <w:t> </w:t>
      </w:r>
      <w:r>
        <w:rPr>
          <w:color w:val="383636"/>
          <w:w w:val="110"/>
        </w:rPr>
        <w:t>caption</w:t>
      </w:r>
      <w:r>
        <w:rPr>
          <w:color w:val="383636"/>
          <w:spacing w:val="8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1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40"/>
          <w:w w:val="110"/>
        </w:rPr>
        <w:t> </w:t>
      </w:r>
      <w:r>
        <w:rPr>
          <w:color w:val="383636"/>
          <w:w w:val="110"/>
        </w:rPr>
        <w:t>opinion.</w:t>
      </w:r>
      <w:r>
        <w:rPr>
          <w:color w:val="383636"/>
          <w:spacing w:val="5"/>
          <w:w w:val="110"/>
        </w:rPr>
        <w:t> </w:t>
      </w:r>
      <w:r>
        <w:rPr>
          <w:color w:val="383636"/>
          <w:w w:val="110"/>
        </w:rPr>
        <w:t>Note,</w:t>
      </w:r>
      <w:r>
        <w:rPr>
          <w:color w:val="383636"/>
          <w:spacing w:val="-6"/>
          <w:w w:val="110"/>
        </w:rPr>
        <w:t> </w:t>
      </w:r>
      <w:r>
        <w:rPr>
          <w:color w:val="383636"/>
          <w:w w:val="110"/>
        </w:rPr>
        <w:t>for</w:t>
      </w:r>
      <w:r>
        <w:rPr>
          <w:color w:val="383636"/>
          <w:spacing w:val="3"/>
          <w:w w:val="110"/>
        </w:rPr>
        <w:t> </w:t>
      </w:r>
      <w:r>
        <w:rPr>
          <w:color w:val="383636"/>
          <w:w w:val="110"/>
        </w:rPr>
        <w:t>example,</w:t>
      </w:r>
      <w:r>
        <w:rPr>
          <w:color w:val="383636"/>
          <w:spacing w:val="16"/>
          <w:w w:val="110"/>
        </w:rPr>
        <w:t> </w:t>
      </w:r>
      <w:r>
        <w:rPr>
          <w:color w:val="383636"/>
          <w:w w:val="110"/>
        </w:rPr>
        <w:t>that</w:t>
      </w:r>
      <w:r>
        <w:rPr>
          <w:color w:val="383636"/>
          <w:spacing w:val="-17"/>
          <w:w w:val="110"/>
        </w:rPr>
        <w:t> </w:t>
      </w:r>
      <w:r>
        <w:rPr>
          <w:rFonts w:ascii="Arial"/>
          <w:color w:val="383636"/>
          <w:w w:val="110"/>
          <w:sz w:val="22"/>
        </w:rPr>
        <w:t>F.</w:t>
      </w:r>
    </w:p>
    <w:p>
      <w:pPr>
        <w:pStyle w:val="BodyText"/>
        <w:spacing w:line="251" w:lineRule="exact"/>
        <w:ind w:left="112"/>
      </w:pPr>
      <w:r>
        <w:rPr>
          <w:color w:val="383636"/>
          <w:w w:val="110"/>
        </w:rPr>
        <w:t>Supp. 2d</w:t>
      </w:r>
      <w:r>
        <w:rPr>
          <w:color w:val="383636"/>
          <w:spacing w:val="10"/>
          <w:w w:val="110"/>
        </w:rPr>
        <w:t> </w:t>
      </w:r>
      <w:r>
        <w:rPr>
          <w:color w:val="383636"/>
          <w:w w:val="110"/>
        </w:rPr>
        <w:t>publishes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only</w:t>
      </w:r>
      <w:r>
        <w:rPr>
          <w:color w:val="383636"/>
          <w:spacing w:val="-21"/>
          <w:w w:val="110"/>
        </w:rPr>
        <w:t> </w:t>
      </w:r>
      <w:r>
        <w:rPr>
          <w:color w:val="383636"/>
          <w:w w:val="110"/>
        </w:rPr>
        <w:t>district</w:t>
      </w:r>
      <w:r>
        <w:rPr>
          <w:color w:val="383636"/>
          <w:spacing w:val="-13"/>
          <w:w w:val="110"/>
        </w:rPr>
        <w:t> </w:t>
      </w:r>
      <w:r>
        <w:rPr>
          <w:color w:val="383636"/>
          <w:w w:val="110"/>
        </w:rPr>
        <w:t>court</w:t>
      </w:r>
      <w:r>
        <w:rPr>
          <w:color w:val="383636"/>
          <w:spacing w:val="-18"/>
          <w:w w:val="110"/>
        </w:rPr>
        <w:t> </w:t>
      </w:r>
      <w:r>
        <w:rPr>
          <w:color w:val="383636"/>
          <w:w w:val="110"/>
        </w:rPr>
        <w:t>decisions,</w:t>
      </w:r>
      <w:r>
        <w:rPr>
          <w:color w:val="383636"/>
          <w:spacing w:val="-9"/>
          <w:w w:val="110"/>
        </w:rPr>
        <w:t> </w:t>
      </w:r>
      <w:r>
        <w:rPr>
          <w:color w:val="383636"/>
          <w:w w:val="110"/>
        </w:rPr>
        <w:t>so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any</w:t>
      </w:r>
      <w:r>
        <w:rPr>
          <w:color w:val="383636"/>
          <w:spacing w:val="20"/>
          <w:w w:val="110"/>
        </w:rPr>
        <w:t> </w:t>
      </w:r>
      <w:r>
        <w:rPr>
          <w:color w:val="383636"/>
          <w:w w:val="110"/>
        </w:rPr>
        <w:t>opinion</w:t>
      </w:r>
      <w:r>
        <w:rPr>
          <w:color w:val="383636"/>
          <w:spacing w:val="4"/>
          <w:w w:val="110"/>
        </w:rPr>
        <w:t> </w:t>
      </w:r>
      <w:r>
        <w:rPr>
          <w:color w:val="383636"/>
          <w:w w:val="110"/>
        </w:rPr>
        <w:t>printed</w:t>
      </w:r>
      <w:r>
        <w:rPr>
          <w:color w:val="383636"/>
          <w:spacing w:val="8"/>
          <w:w w:val="110"/>
        </w:rPr>
        <w:t> </w:t>
      </w:r>
      <w:r>
        <w:rPr>
          <w:color w:val="383636"/>
          <w:w w:val="110"/>
        </w:rPr>
        <w:t>in</w:t>
      </w:r>
    </w:p>
    <w:p>
      <w:pPr>
        <w:pStyle w:val="BodyText"/>
        <w:spacing w:line="261" w:lineRule="exact"/>
        <w:ind w:left="132"/>
      </w:pPr>
      <w:r>
        <w:rPr>
          <w:color w:val="383636"/>
          <w:sz w:val="24"/>
        </w:rPr>
        <w:t>F.</w:t>
      </w:r>
      <w:r>
        <w:rPr>
          <w:color w:val="383636"/>
          <w:spacing w:val="-26"/>
          <w:sz w:val="24"/>
        </w:rPr>
        <w:t> </w:t>
      </w:r>
      <w:r>
        <w:rPr>
          <w:color w:val="383636"/>
          <w:w w:val="105"/>
        </w:rPr>
        <w:t>Supp.</w:t>
      </w:r>
      <w:r>
        <w:rPr>
          <w:color w:val="383636"/>
          <w:spacing w:val="4"/>
          <w:w w:val="105"/>
        </w:rPr>
        <w:t> </w:t>
      </w:r>
      <w:r>
        <w:rPr>
          <w:color w:val="383636"/>
          <w:w w:val="105"/>
        </w:rPr>
        <w:t>2d</w:t>
      </w:r>
      <w:r>
        <w:rPr>
          <w:color w:val="383636"/>
          <w:spacing w:val="17"/>
          <w:w w:val="105"/>
        </w:rPr>
        <w:t> </w:t>
      </w:r>
      <w:r>
        <w:rPr>
          <w:color w:val="383636"/>
          <w:w w:val="105"/>
        </w:rPr>
        <w:t>(or</w:t>
      </w:r>
      <w:r>
        <w:rPr>
          <w:color w:val="383636"/>
          <w:spacing w:val="23"/>
          <w:w w:val="105"/>
        </w:rPr>
        <w:t> </w:t>
      </w:r>
      <w:r>
        <w:rPr>
          <w:color w:val="383636"/>
          <w:w w:val="105"/>
        </w:rPr>
        <w:t>in</w:t>
      </w:r>
      <w:r>
        <w:rPr>
          <w:color w:val="383636"/>
          <w:spacing w:val="37"/>
          <w:w w:val="105"/>
        </w:rPr>
        <w:t> </w:t>
      </w:r>
      <w:r>
        <w:rPr>
          <w:color w:val="383636"/>
        </w:rPr>
        <w:t>F.</w:t>
      </w:r>
      <w:r>
        <w:rPr>
          <w:color w:val="383636"/>
          <w:spacing w:val="-4"/>
        </w:rPr>
        <w:t> </w:t>
      </w:r>
      <w:r>
        <w:rPr>
          <w:color w:val="383636"/>
          <w:w w:val="105"/>
        </w:rPr>
        <w:t>Supp.)</w:t>
      </w:r>
      <w:r>
        <w:rPr>
          <w:color w:val="383636"/>
          <w:spacing w:val="18"/>
          <w:w w:val="105"/>
        </w:rPr>
        <w:t> </w:t>
      </w:r>
      <w:r>
        <w:rPr>
          <w:color w:val="383636"/>
          <w:w w:val="105"/>
        </w:rPr>
        <w:t>cannot</w:t>
      </w:r>
      <w:r>
        <w:rPr>
          <w:color w:val="383636"/>
          <w:spacing w:val="16"/>
          <w:w w:val="105"/>
        </w:rPr>
        <w:t> </w:t>
      </w:r>
      <w:r>
        <w:rPr>
          <w:color w:val="383636"/>
          <w:w w:val="105"/>
        </w:rPr>
        <w:t>be</w:t>
      </w:r>
      <w:r>
        <w:rPr>
          <w:color w:val="383636"/>
          <w:spacing w:val="-17"/>
          <w:w w:val="105"/>
        </w:rPr>
        <w:t> </w:t>
      </w:r>
      <w:r>
        <w:rPr>
          <w:color w:val="383636"/>
          <w:w w:val="105"/>
        </w:rPr>
        <w:t>a</w:t>
      </w:r>
      <w:r>
        <w:rPr>
          <w:color w:val="383636"/>
          <w:spacing w:val="7"/>
          <w:w w:val="105"/>
        </w:rPr>
        <w:t> </w:t>
      </w:r>
      <w:r>
        <w:rPr>
          <w:color w:val="383636"/>
          <w:w w:val="105"/>
        </w:rPr>
        <w:t>circuit</w:t>
      </w:r>
      <w:r>
        <w:rPr>
          <w:color w:val="383636"/>
          <w:spacing w:val="5"/>
          <w:w w:val="105"/>
        </w:rPr>
        <w:t> </w:t>
      </w:r>
      <w:r>
        <w:rPr>
          <w:color w:val="383636"/>
          <w:w w:val="105"/>
        </w:rPr>
        <w:t>court</w:t>
      </w:r>
      <w:r>
        <w:rPr>
          <w:color w:val="383636"/>
          <w:spacing w:val="12"/>
          <w:w w:val="105"/>
        </w:rPr>
        <w:t> </w:t>
      </w:r>
      <w:r>
        <w:rPr>
          <w:color w:val="383636"/>
          <w:w w:val="105"/>
        </w:rPr>
        <w:t>decision.</w:t>
      </w:r>
    </w:p>
    <w:p>
      <w:pPr>
        <w:pStyle w:val="ListParagraph"/>
        <w:numPr>
          <w:ilvl w:val="0"/>
          <w:numId w:val="108"/>
        </w:numPr>
        <w:tabs>
          <w:tab w:pos="720" w:val="left" w:leader="none"/>
        </w:tabs>
        <w:spacing w:line="232" w:lineRule="auto" w:before="3" w:after="0"/>
        <w:ind w:left="118" w:right="565" w:firstLine="334"/>
        <w:jc w:val="both"/>
        <w:rPr>
          <w:color w:val="383636"/>
          <w:sz w:val="23"/>
        </w:rPr>
      </w:pPr>
      <w:r>
        <w:rPr>
          <w:color w:val="383636"/>
          <w:w w:val="110"/>
          <w:sz w:val="23"/>
        </w:rPr>
        <w:t>Spell-check. Run the spell-check early and often, but keep a few</w:t>
      </w:r>
      <w:r>
        <w:rPr>
          <w:color w:val="383636"/>
          <w:spacing w:val="1"/>
          <w:w w:val="110"/>
          <w:sz w:val="23"/>
        </w:rPr>
        <w:t> </w:t>
      </w:r>
      <w:r>
        <w:rPr>
          <w:color w:val="383636"/>
          <w:w w:val="110"/>
          <w:sz w:val="23"/>
        </w:rPr>
        <w:t>things</w:t>
      </w:r>
      <w:r>
        <w:rPr>
          <w:color w:val="383636"/>
          <w:spacing w:val="-19"/>
          <w:w w:val="110"/>
          <w:sz w:val="23"/>
        </w:rPr>
        <w:t> </w:t>
      </w:r>
      <w:r>
        <w:rPr>
          <w:color w:val="383636"/>
          <w:w w:val="110"/>
          <w:sz w:val="23"/>
        </w:rPr>
        <w:t>in</w:t>
      </w:r>
      <w:r>
        <w:rPr>
          <w:color w:val="383636"/>
          <w:spacing w:val="17"/>
          <w:w w:val="110"/>
          <w:sz w:val="23"/>
        </w:rPr>
        <w:t> </w:t>
      </w:r>
      <w:r>
        <w:rPr>
          <w:color w:val="383636"/>
          <w:w w:val="110"/>
          <w:sz w:val="23"/>
        </w:rPr>
        <w:t>mind.</w:t>
      </w:r>
      <w:r>
        <w:rPr>
          <w:color w:val="383636"/>
          <w:spacing w:val="-17"/>
          <w:w w:val="110"/>
          <w:sz w:val="23"/>
        </w:rPr>
        <w:t> </w:t>
      </w:r>
      <w:r>
        <w:rPr>
          <w:color w:val="383636"/>
          <w:w w:val="110"/>
          <w:sz w:val="23"/>
        </w:rPr>
        <w:t>First,</w:t>
      </w:r>
      <w:r>
        <w:rPr>
          <w:color w:val="383636"/>
          <w:spacing w:val="-12"/>
          <w:w w:val="110"/>
          <w:sz w:val="23"/>
        </w:rPr>
        <w:t> </w:t>
      </w:r>
      <w:r>
        <w:rPr>
          <w:color w:val="383636"/>
          <w:w w:val="110"/>
          <w:sz w:val="23"/>
        </w:rPr>
        <w:t>keep</w:t>
      </w:r>
      <w:r>
        <w:rPr>
          <w:color w:val="383636"/>
          <w:spacing w:val="-17"/>
          <w:w w:val="110"/>
          <w:sz w:val="23"/>
        </w:rPr>
        <w:t> </w:t>
      </w:r>
      <w:r>
        <w:rPr>
          <w:color w:val="383636"/>
          <w:w w:val="110"/>
          <w:sz w:val="23"/>
        </w:rPr>
        <w:t>your</w:t>
      </w:r>
      <w:r>
        <w:rPr>
          <w:color w:val="383636"/>
          <w:spacing w:val="-7"/>
          <w:w w:val="110"/>
          <w:sz w:val="23"/>
        </w:rPr>
        <w:t> </w:t>
      </w:r>
      <w:r>
        <w:rPr>
          <w:color w:val="383636"/>
          <w:w w:val="110"/>
          <w:sz w:val="23"/>
        </w:rPr>
        <w:t>hand</w:t>
      </w:r>
      <w:r>
        <w:rPr>
          <w:color w:val="383636"/>
          <w:spacing w:val="-25"/>
          <w:w w:val="110"/>
          <w:sz w:val="23"/>
        </w:rPr>
        <w:t> </w:t>
      </w:r>
      <w:r>
        <w:rPr>
          <w:color w:val="383636"/>
          <w:w w:val="110"/>
          <w:sz w:val="23"/>
        </w:rPr>
        <w:t>away</w:t>
      </w:r>
      <w:r>
        <w:rPr>
          <w:color w:val="383636"/>
          <w:spacing w:val="-16"/>
          <w:w w:val="110"/>
          <w:sz w:val="23"/>
        </w:rPr>
        <w:t> </w:t>
      </w:r>
      <w:r>
        <w:rPr>
          <w:color w:val="383636"/>
          <w:w w:val="110"/>
          <w:sz w:val="23"/>
        </w:rPr>
        <w:t>from</w:t>
      </w:r>
      <w:r>
        <w:rPr>
          <w:color w:val="383636"/>
          <w:spacing w:val="-10"/>
          <w:w w:val="110"/>
          <w:sz w:val="23"/>
        </w:rPr>
        <w:t> </w:t>
      </w:r>
      <w:r>
        <w:rPr>
          <w:color w:val="383636"/>
          <w:w w:val="110"/>
          <w:sz w:val="23"/>
        </w:rPr>
        <w:t>the</w:t>
      </w:r>
      <w:r>
        <w:rPr>
          <w:color w:val="383636"/>
          <w:spacing w:val="13"/>
          <w:w w:val="110"/>
          <w:sz w:val="23"/>
        </w:rPr>
        <w:t> </w:t>
      </w:r>
      <w:r>
        <w:rPr>
          <w:color w:val="383636"/>
          <w:w w:val="110"/>
          <w:sz w:val="23"/>
        </w:rPr>
        <w:t>mouse,</w:t>
      </w:r>
      <w:r>
        <w:rPr>
          <w:color w:val="383636"/>
          <w:spacing w:val="-14"/>
          <w:w w:val="110"/>
          <w:sz w:val="23"/>
        </w:rPr>
        <w:t> </w:t>
      </w:r>
      <w:r>
        <w:rPr>
          <w:color w:val="383636"/>
          <w:w w:val="110"/>
          <w:sz w:val="23"/>
        </w:rPr>
        <w:t>or</w:t>
      </w:r>
      <w:r>
        <w:rPr>
          <w:color w:val="383636"/>
          <w:spacing w:val="-7"/>
          <w:w w:val="110"/>
          <w:sz w:val="23"/>
        </w:rPr>
        <w:t> </w:t>
      </w:r>
      <w:r>
        <w:rPr>
          <w:color w:val="383636"/>
          <w:w w:val="110"/>
          <w:sz w:val="23"/>
        </w:rPr>
        <w:t>your</w:t>
      </w:r>
      <w:r>
        <w:rPr>
          <w:color w:val="383636"/>
          <w:spacing w:val="-13"/>
          <w:w w:val="110"/>
          <w:sz w:val="23"/>
        </w:rPr>
        <w:t> </w:t>
      </w:r>
      <w:r>
        <w:rPr>
          <w:color w:val="383636"/>
          <w:w w:val="110"/>
          <w:sz w:val="23"/>
        </w:rPr>
        <w:t>finger</w:t>
      </w:r>
      <w:r>
        <w:rPr>
          <w:color w:val="383636"/>
          <w:spacing w:val="1"/>
          <w:w w:val="110"/>
          <w:sz w:val="23"/>
        </w:rPr>
        <w:t> </w:t>
      </w:r>
      <w:r>
        <w:rPr>
          <w:color w:val="383636"/>
          <w:w w:val="110"/>
          <w:sz w:val="23"/>
        </w:rPr>
        <w:t>off the</w:t>
      </w:r>
      <w:r>
        <w:rPr>
          <w:color w:val="383636"/>
          <w:spacing w:val="1"/>
          <w:w w:val="110"/>
          <w:sz w:val="23"/>
        </w:rPr>
        <w:t> </w:t>
      </w:r>
      <w:r>
        <w:rPr>
          <w:color w:val="383636"/>
          <w:w w:val="110"/>
          <w:sz w:val="23"/>
        </w:rPr>
        <w:t>button, so that you don't hit Replace or Skip by mistake. Second,</w:t>
      </w:r>
      <w:r>
        <w:rPr>
          <w:color w:val="383636"/>
          <w:spacing w:val="1"/>
          <w:w w:val="110"/>
          <w:sz w:val="23"/>
        </w:rPr>
        <w:t> </w:t>
      </w:r>
      <w:r>
        <w:rPr>
          <w:color w:val="383636"/>
          <w:w w:val="110"/>
          <w:sz w:val="23"/>
        </w:rPr>
        <w:t>don't hit Skip as soon as you see a party name or a case name; make sure</w:t>
      </w:r>
      <w:r>
        <w:rPr>
          <w:color w:val="383636"/>
          <w:spacing w:val="1"/>
          <w:w w:val="110"/>
          <w:sz w:val="23"/>
        </w:rPr>
        <w:t> </w:t>
      </w:r>
      <w:r>
        <w:rPr>
          <w:color w:val="383636"/>
          <w:w w:val="110"/>
          <w:sz w:val="23"/>
        </w:rPr>
        <w:t>that</w:t>
      </w:r>
      <w:r>
        <w:rPr>
          <w:color w:val="383636"/>
          <w:spacing w:val="-8"/>
          <w:w w:val="110"/>
          <w:sz w:val="23"/>
        </w:rPr>
        <w:t> </w:t>
      </w:r>
      <w:r>
        <w:rPr>
          <w:color w:val="383636"/>
          <w:w w:val="110"/>
          <w:sz w:val="23"/>
        </w:rPr>
        <w:t>you've</w:t>
      </w:r>
      <w:r>
        <w:rPr>
          <w:color w:val="383636"/>
          <w:spacing w:val="-14"/>
          <w:w w:val="110"/>
          <w:sz w:val="23"/>
        </w:rPr>
        <w:t> </w:t>
      </w:r>
      <w:r>
        <w:rPr>
          <w:color w:val="383636"/>
          <w:w w:val="110"/>
          <w:sz w:val="23"/>
        </w:rPr>
        <w:t>spelled</w:t>
      </w:r>
      <w:r>
        <w:rPr>
          <w:color w:val="383636"/>
          <w:spacing w:val="-11"/>
          <w:w w:val="110"/>
          <w:sz w:val="23"/>
        </w:rPr>
        <w:t> </w:t>
      </w:r>
      <w:r>
        <w:rPr>
          <w:color w:val="383636"/>
          <w:w w:val="110"/>
          <w:sz w:val="23"/>
        </w:rPr>
        <w:t>each</w:t>
      </w:r>
      <w:r>
        <w:rPr>
          <w:color w:val="383636"/>
          <w:spacing w:val="-8"/>
          <w:w w:val="110"/>
          <w:sz w:val="23"/>
        </w:rPr>
        <w:t> </w:t>
      </w:r>
      <w:r>
        <w:rPr>
          <w:color w:val="383636"/>
          <w:w w:val="110"/>
          <w:sz w:val="23"/>
        </w:rPr>
        <w:t>one</w:t>
      </w:r>
      <w:r>
        <w:rPr>
          <w:color w:val="383636"/>
          <w:spacing w:val="7"/>
          <w:w w:val="110"/>
          <w:sz w:val="23"/>
        </w:rPr>
        <w:t> </w:t>
      </w:r>
      <w:r>
        <w:rPr>
          <w:color w:val="383636"/>
          <w:w w:val="110"/>
          <w:sz w:val="23"/>
        </w:rPr>
        <w:t>properly</w:t>
      </w:r>
      <w:r>
        <w:rPr>
          <w:color w:val="383636"/>
          <w:spacing w:val="-7"/>
          <w:w w:val="110"/>
          <w:sz w:val="23"/>
        </w:rPr>
        <w:t> </w:t>
      </w:r>
      <w:r>
        <w:rPr>
          <w:color w:val="383636"/>
          <w:w w:val="110"/>
          <w:sz w:val="23"/>
        </w:rPr>
        <w:t>and</w:t>
      </w:r>
      <w:r>
        <w:rPr>
          <w:color w:val="383636"/>
          <w:spacing w:val="24"/>
          <w:w w:val="110"/>
          <w:sz w:val="23"/>
        </w:rPr>
        <w:t> </w:t>
      </w:r>
      <w:r>
        <w:rPr>
          <w:color w:val="383636"/>
          <w:w w:val="110"/>
          <w:sz w:val="23"/>
        </w:rPr>
        <w:t>consistently</w:t>
      </w:r>
      <w:r>
        <w:rPr>
          <w:color w:val="605E62"/>
          <w:w w:val="110"/>
          <w:sz w:val="23"/>
        </w:rPr>
        <w:t>.</w:t>
      </w:r>
    </w:p>
    <w:p>
      <w:pPr>
        <w:pStyle w:val="BodyText"/>
        <w:spacing w:line="232" w:lineRule="auto" w:before="8"/>
        <w:ind w:left="126" w:right="506" w:firstLine="320"/>
        <w:jc w:val="both"/>
      </w:pPr>
      <w:r>
        <w:rPr>
          <w:color w:val="383636"/>
          <w:w w:val="110"/>
        </w:rPr>
        <w:t>Third, after completing </w:t>
      </w:r>
      <w:r>
        <w:rPr>
          <w:color w:val="4D4D4D"/>
          <w:w w:val="110"/>
        </w:rPr>
        <w:t>spell-check, </w:t>
      </w:r>
      <w:r>
        <w:rPr>
          <w:color w:val="383636"/>
          <w:w w:val="110"/>
        </w:rPr>
        <w:t>use the Find and Replace feature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to search for typos that the spell-check function won't catch. In every doc­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ument, look for </w:t>
      </w:r>
      <w:r>
        <w:rPr>
          <w:i/>
          <w:color w:val="383636"/>
          <w:w w:val="110"/>
          <w:sz w:val="22"/>
        </w:rPr>
        <w:t>statue </w:t>
      </w:r>
      <w:r>
        <w:rPr>
          <w:color w:val="383636"/>
          <w:w w:val="110"/>
        </w:rPr>
        <w:t>for </w:t>
      </w:r>
      <w:r>
        <w:rPr>
          <w:i/>
          <w:color w:val="383636"/>
          <w:w w:val="110"/>
          <w:sz w:val="22"/>
        </w:rPr>
        <w:t>statute, untied </w:t>
      </w:r>
      <w:r>
        <w:rPr>
          <w:color w:val="383636"/>
          <w:w w:val="110"/>
        </w:rPr>
        <w:t>for </w:t>
      </w:r>
      <w:r>
        <w:rPr>
          <w:i/>
          <w:color w:val="383636"/>
          <w:w w:val="110"/>
          <w:sz w:val="22"/>
        </w:rPr>
        <w:t>united, form </w:t>
      </w:r>
      <w:r>
        <w:rPr>
          <w:color w:val="383636"/>
          <w:w w:val="110"/>
        </w:rPr>
        <w:t>for </w:t>
      </w:r>
      <w:r>
        <w:rPr>
          <w:i/>
          <w:color w:val="383636"/>
          <w:w w:val="110"/>
          <w:sz w:val="22"/>
        </w:rPr>
        <w:t>from </w:t>
      </w:r>
      <w:r>
        <w:rPr>
          <w:color w:val="383636"/>
          <w:w w:val="110"/>
        </w:rPr>
        <w:t>(and vice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05"/>
        </w:rPr>
        <w:t>versa), </w:t>
      </w:r>
      <w:r>
        <w:rPr>
          <w:i/>
          <w:color w:val="383636"/>
          <w:w w:val="105"/>
          <w:sz w:val="22"/>
        </w:rPr>
        <w:t>reasonable </w:t>
      </w:r>
      <w:r>
        <w:rPr>
          <w:color w:val="383636"/>
          <w:w w:val="105"/>
        </w:rPr>
        <w:t>for </w:t>
      </w:r>
      <w:r>
        <w:rPr>
          <w:i/>
          <w:color w:val="383636"/>
          <w:w w:val="105"/>
          <w:sz w:val="22"/>
        </w:rPr>
        <w:t>reasonably </w:t>
      </w:r>
      <w:r>
        <w:rPr>
          <w:color w:val="383636"/>
          <w:w w:val="105"/>
        </w:rPr>
        <w:t>(and vice versa), and</w:t>
      </w:r>
      <w:r>
        <w:rPr>
          <w:color w:val="383636"/>
          <w:spacing w:val="1"/>
          <w:w w:val="105"/>
        </w:rPr>
        <w:t> </w:t>
      </w:r>
      <w:r>
        <w:rPr>
          <w:i/>
          <w:color w:val="383636"/>
          <w:w w:val="105"/>
          <w:sz w:val="22"/>
        </w:rPr>
        <w:t>probable for probably</w:t>
      </w:r>
      <w:r>
        <w:rPr>
          <w:i/>
          <w:color w:val="383636"/>
          <w:spacing w:val="1"/>
          <w:w w:val="105"/>
          <w:sz w:val="22"/>
        </w:rPr>
        <w:t> </w:t>
      </w:r>
      <w:r>
        <w:rPr>
          <w:color w:val="383636"/>
          <w:w w:val="110"/>
        </w:rPr>
        <w:t>(and vice versa). You  might consider setting your Quick Correct feature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to change </w:t>
      </w:r>
      <w:r>
        <w:rPr>
          <w:i/>
          <w:color w:val="383636"/>
          <w:w w:val="110"/>
          <w:sz w:val="22"/>
        </w:rPr>
        <w:t>pubic </w:t>
      </w:r>
      <w:r>
        <w:rPr>
          <w:color w:val="383636"/>
          <w:w w:val="110"/>
        </w:rPr>
        <w:t>to </w:t>
      </w:r>
      <w:r>
        <w:rPr>
          <w:i/>
          <w:color w:val="383636"/>
          <w:w w:val="110"/>
          <w:sz w:val="22"/>
        </w:rPr>
        <w:t>public </w:t>
      </w:r>
      <w:r>
        <w:rPr>
          <w:color w:val="383636"/>
          <w:w w:val="110"/>
        </w:rPr>
        <w:t>to avoid that potentially embarrassing error. If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your document is about </w:t>
      </w:r>
      <w:r>
        <w:rPr>
          <w:i/>
          <w:color w:val="383636"/>
          <w:w w:val="105"/>
          <w:sz w:val="22"/>
        </w:rPr>
        <w:t>probable cause </w:t>
      </w:r>
      <w:r>
        <w:rPr>
          <w:color w:val="383636"/>
          <w:w w:val="105"/>
        </w:rPr>
        <w:t>or </w:t>
      </w:r>
      <w:r>
        <w:rPr>
          <w:i/>
          <w:color w:val="383636"/>
          <w:w w:val="105"/>
          <w:sz w:val="22"/>
        </w:rPr>
        <w:t>reasonable doubt, </w:t>
      </w:r>
      <w:r>
        <w:rPr>
          <w:color w:val="383636"/>
          <w:w w:val="105"/>
        </w:rPr>
        <w:t>it is even more</w:t>
      </w:r>
      <w:r>
        <w:rPr>
          <w:color w:val="383636"/>
          <w:spacing w:val="1"/>
          <w:w w:val="105"/>
        </w:rPr>
        <w:t> </w:t>
      </w:r>
      <w:r>
        <w:rPr>
          <w:color w:val="383636"/>
          <w:spacing w:val="-1"/>
          <w:w w:val="110"/>
        </w:rPr>
        <w:t>important</w:t>
      </w:r>
      <w:r>
        <w:rPr>
          <w:color w:val="383636"/>
          <w:spacing w:val="4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-2"/>
          <w:w w:val="110"/>
        </w:rPr>
        <w:t> </w:t>
      </w:r>
      <w:r>
        <w:rPr>
          <w:color w:val="383636"/>
          <w:w w:val="110"/>
        </w:rPr>
        <w:t>do</w:t>
      </w:r>
      <w:r>
        <w:rPr>
          <w:color w:val="383636"/>
          <w:spacing w:val="21"/>
          <w:w w:val="110"/>
        </w:rPr>
        <w:t> </w:t>
      </w:r>
      <w:r>
        <w:rPr>
          <w:color w:val="383636"/>
          <w:w w:val="110"/>
        </w:rPr>
        <w:t>this</w:t>
      </w:r>
      <w:r>
        <w:rPr>
          <w:color w:val="383636"/>
          <w:spacing w:val="-9"/>
          <w:w w:val="110"/>
        </w:rPr>
        <w:t> </w:t>
      </w:r>
      <w:r>
        <w:rPr>
          <w:color w:val="383636"/>
          <w:w w:val="110"/>
        </w:rPr>
        <w:t>kind</w:t>
      </w:r>
      <w:r>
        <w:rPr>
          <w:color w:val="383636"/>
          <w:spacing w:val="-22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2"/>
          <w:w w:val="110"/>
        </w:rPr>
        <w:t> </w:t>
      </w:r>
      <w:r>
        <w:rPr>
          <w:color w:val="383636"/>
          <w:w w:val="110"/>
        </w:rPr>
        <w:t>search.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I</w:t>
      </w:r>
      <w:r>
        <w:rPr>
          <w:color w:val="383636"/>
          <w:spacing w:val="-12"/>
          <w:w w:val="110"/>
        </w:rPr>
        <w:t> </w:t>
      </w:r>
      <w:r>
        <w:rPr>
          <w:color w:val="383636"/>
          <w:w w:val="110"/>
        </w:rPr>
        <w:t>have</w:t>
      </w:r>
      <w:r>
        <w:rPr>
          <w:color w:val="383636"/>
          <w:spacing w:val="-6"/>
          <w:w w:val="110"/>
        </w:rPr>
        <w:t> </w:t>
      </w:r>
      <w:r>
        <w:rPr>
          <w:color w:val="383636"/>
          <w:w w:val="110"/>
        </w:rPr>
        <w:t>read</w:t>
      </w:r>
      <w:r>
        <w:rPr>
          <w:color w:val="383636"/>
          <w:spacing w:val="-18"/>
          <w:w w:val="110"/>
        </w:rPr>
        <w:t> </w:t>
      </w:r>
      <w:r>
        <w:rPr>
          <w:color w:val="383636"/>
          <w:w w:val="110"/>
        </w:rPr>
        <w:t>several</w:t>
      </w:r>
      <w:r>
        <w:rPr>
          <w:color w:val="383636"/>
          <w:spacing w:val="-5"/>
          <w:w w:val="110"/>
        </w:rPr>
        <w:t> </w:t>
      </w:r>
      <w:r>
        <w:rPr>
          <w:color w:val="383636"/>
          <w:w w:val="110"/>
        </w:rPr>
        <w:t>briefs</w:t>
      </w:r>
      <w:r>
        <w:rPr>
          <w:color w:val="383636"/>
          <w:spacing w:val="-23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19"/>
          <w:w w:val="110"/>
        </w:rPr>
        <w:t> </w:t>
      </w:r>
      <w:r>
        <w:rPr>
          <w:color w:val="383636"/>
          <w:w w:val="110"/>
        </w:rPr>
        <w:t>which</w:t>
      </w:r>
      <w:r>
        <w:rPr>
          <w:color w:val="383636"/>
          <w:spacing w:val="-19"/>
          <w:w w:val="110"/>
        </w:rPr>
        <w:t> </w:t>
      </w:r>
      <w:r>
        <w:rPr>
          <w:color w:val="383636"/>
          <w:w w:val="110"/>
        </w:rPr>
        <w:t>stu­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dents claim that there was no "probably cause" for the defendant's arrest,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or that the defense could not establish "reasonably doubt</w:t>
      </w:r>
      <w:r>
        <w:rPr>
          <w:color w:val="605E62"/>
          <w:w w:val="110"/>
        </w:rPr>
        <w:t>.</w:t>
      </w:r>
      <w:r>
        <w:rPr>
          <w:color w:val="383636"/>
          <w:w w:val="110"/>
        </w:rPr>
        <w:t>" Because both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forms of certain problem words could appear in the text, search for each</w:t>
      </w:r>
      <w:r>
        <w:rPr>
          <w:color w:val="383636"/>
          <w:spacing w:val="1"/>
          <w:w w:val="110"/>
        </w:rPr>
        <w:t> </w:t>
      </w:r>
      <w:r>
        <w:rPr>
          <w:color w:val="383636"/>
          <w:spacing w:val="-1"/>
          <w:w w:val="110"/>
        </w:rPr>
        <w:t>form</w:t>
      </w:r>
      <w:r>
        <w:rPr>
          <w:color w:val="383636"/>
          <w:spacing w:val="-9"/>
          <w:w w:val="110"/>
        </w:rPr>
        <w:t> </w:t>
      </w:r>
      <w:r>
        <w:rPr>
          <w:color w:val="383636"/>
          <w:spacing w:val="-1"/>
          <w:w w:val="110"/>
        </w:rPr>
        <w:t>separately </w:t>
      </w:r>
      <w:r>
        <w:rPr>
          <w:color w:val="383636"/>
          <w:w w:val="110"/>
        </w:rPr>
        <w:t>and</w:t>
      </w:r>
      <w:r>
        <w:rPr>
          <w:color w:val="383636"/>
          <w:spacing w:val="33"/>
          <w:w w:val="110"/>
        </w:rPr>
        <w:t> </w:t>
      </w:r>
      <w:r>
        <w:rPr>
          <w:color w:val="383636"/>
          <w:w w:val="110"/>
        </w:rPr>
        <w:t>make</w:t>
      </w:r>
      <w:r>
        <w:rPr>
          <w:color w:val="383636"/>
          <w:spacing w:val="-15"/>
          <w:w w:val="110"/>
        </w:rPr>
        <w:t> </w:t>
      </w:r>
      <w:r>
        <w:rPr>
          <w:color w:val="383636"/>
          <w:w w:val="110"/>
        </w:rPr>
        <w:t>sure</w:t>
      </w:r>
      <w:r>
        <w:rPr>
          <w:color w:val="383636"/>
          <w:spacing w:val="-24"/>
          <w:w w:val="110"/>
        </w:rPr>
        <w:t> </w:t>
      </w:r>
      <w:r>
        <w:rPr>
          <w:color w:val="383636"/>
          <w:w w:val="110"/>
        </w:rPr>
        <w:t>each</w:t>
      </w:r>
      <w:r>
        <w:rPr>
          <w:color w:val="383636"/>
          <w:spacing w:val="7"/>
          <w:w w:val="110"/>
        </w:rPr>
        <w:t> </w:t>
      </w:r>
      <w:r>
        <w:rPr>
          <w:color w:val="383636"/>
          <w:w w:val="110"/>
        </w:rPr>
        <w:t>use</w:t>
      </w:r>
      <w:r>
        <w:rPr>
          <w:color w:val="383636"/>
          <w:spacing w:val="-23"/>
          <w:w w:val="110"/>
        </w:rPr>
        <w:t> </w:t>
      </w:r>
      <w:r>
        <w:rPr>
          <w:color w:val="383636"/>
          <w:w w:val="110"/>
        </w:rPr>
        <w:t>is</w:t>
      </w:r>
      <w:r>
        <w:rPr>
          <w:color w:val="383636"/>
          <w:spacing w:val="2"/>
          <w:w w:val="110"/>
        </w:rPr>
        <w:t> </w:t>
      </w:r>
      <w:r>
        <w:rPr>
          <w:color w:val="383636"/>
          <w:w w:val="110"/>
        </w:rPr>
        <w:t>proper.</w:t>
      </w:r>
    </w:p>
    <w:p>
      <w:pPr>
        <w:pStyle w:val="BodyText"/>
        <w:spacing w:line="235" w:lineRule="auto" w:before="3"/>
        <w:ind w:left="137" w:right="510" w:firstLine="334"/>
        <w:jc w:val="both"/>
      </w:pPr>
      <w:r>
        <w:rPr>
          <w:color w:val="383636"/>
          <w:w w:val="105"/>
        </w:rPr>
        <w:t>As you  can  see, the Find and Replace feature can helpyou to proofread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on the computer in many different ways. You may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be able to figure out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other</w:t>
      </w:r>
      <w:r>
        <w:rPr>
          <w:color w:val="383636"/>
          <w:spacing w:val="-6"/>
          <w:w w:val="110"/>
        </w:rPr>
        <w:t> </w:t>
      </w:r>
      <w:r>
        <w:rPr>
          <w:color w:val="383636"/>
          <w:w w:val="110"/>
        </w:rPr>
        <w:t>ways</w:t>
      </w:r>
      <w:r>
        <w:rPr>
          <w:color w:val="383636"/>
          <w:spacing w:val="-8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27"/>
          <w:w w:val="110"/>
        </w:rPr>
        <w:t> </w:t>
      </w:r>
      <w:r>
        <w:rPr>
          <w:color w:val="383636"/>
          <w:w w:val="110"/>
        </w:rPr>
        <w:t>make</w:t>
      </w:r>
      <w:r>
        <w:rPr>
          <w:color w:val="383636"/>
          <w:spacing w:val="-6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1"/>
          <w:w w:val="110"/>
        </w:rPr>
        <w:t> </w:t>
      </w:r>
      <w:r>
        <w:rPr>
          <w:color w:val="383636"/>
          <w:w w:val="110"/>
        </w:rPr>
        <w:t>computer's</w:t>
      </w:r>
      <w:r>
        <w:rPr>
          <w:color w:val="383636"/>
          <w:spacing w:val="6"/>
          <w:w w:val="110"/>
        </w:rPr>
        <w:t> </w:t>
      </w:r>
      <w:r>
        <w:rPr>
          <w:color w:val="383636"/>
          <w:w w:val="110"/>
        </w:rPr>
        <w:t>tireless</w:t>
      </w:r>
      <w:r>
        <w:rPr>
          <w:color w:val="383636"/>
          <w:spacing w:val="-10"/>
          <w:w w:val="110"/>
        </w:rPr>
        <w:t> </w:t>
      </w:r>
      <w:r>
        <w:rPr>
          <w:color w:val="383636"/>
          <w:w w:val="110"/>
        </w:rPr>
        <w:t>brain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work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for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you</w:t>
      </w:r>
      <w:r>
        <w:rPr>
          <w:color w:val="605E62"/>
          <w:w w:val="110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727" w:right="0" w:firstLine="0"/>
        <w:jc w:val="left"/>
        <w:rPr>
          <w:rFonts w:ascii="Arial"/>
          <w:b/>
          <w:sz w:val="33"/>
        </w:rPr>
      </w:pPr>
      <w:r>
        <w:rPr>
          <w:rFonts w:ascii="Arial"/>
          <w:b/>
          <w:color w:val="383636"/>
          <w:w w:val="110"/>
          <w:sz w:val="33"/>
        </w:rPr>
        <w:t>12.2</w:t>
      </w:r>
    </w:p>
    <w:p>
      <w:pPr>
        <w:spacing w:before="54"/>
        <w:ind w:left="738" w:right="0" w:firstLine="0"/>
        <w:jc w:val="left"/>
        <w:rPr>
          <w:b/>
          <w:sz w:val="28"/>
        </w:rPr>
      </w:pPr>
      <w:r>
        <w:rPr>
          <w:b/>
          <w:color w:val="383636"/>
          <w:sz w:val="28"/>
        </w:rPr>
        <w:t>METHODS</w:t>
      </w:r>
      <w:r>
        <w:rPr>
          <w:b/>
          <w:color w:val="383636"/>
          <w:spacing w:val="-1"/>
          <w:sz w:val="28"/>
        </w:rPr>
        <w:t> </w:t>
      </w:r>
      <w:r>
        <w:rPr>
          <w:b/>
          <w:color w:val="383636"/>
          <w:sz w:val="28"/>
        </w:rPr>
        <w:t>TO</w:t>
      </w:r>
      <w:r>
        <w:rPr>
          <w:b/>
          <w:color w:val="383636"/>
          <w:spacing w:val="6"/>
          <w:sz w:val="28"/>
        </w:rPr>
        <w:t> </w:t>
      </w:r>
      <w:r>
        <w:rPr>
          <w:b/>
          <w:color w:val="383636"/>
          <w:sz w:val="28"/>
        </w:rPr>
        <w:t>USE</w:t>
      </w:r>
      <w:r>
        <w:rPr>
          <w:b/>
          <w:color w:val="383636"/>
          <w:spacing w:val="-6"/>
          <w:sz w:val="28"/>
        </w:rPr>
        <w:t> </w:t>
      </w:r>
      <w:r>
        <w:rPr>
          <w:b/>
          <w:color w:val="383636"/>
          <w:sz w:val="28"/>
        </w:rPr>
        <w:t>ON</w:t>
      </w:r>
      <w:r>
        <w:rPr>
          <w:b/>
          <w:color w:val="383636"/>
          <w:spacing w:val="-4"/>
          <w:sz w:val="28"/>
        </w:rPr>
        <w:t> </w:t>
      </w:r>
      <w:r>
        <w:rPr>
          <w:b/>
          <w:color w:val="383636"/>
          <w:sz w:val="28"/>
        </w:rPr>
        <w:t>THE</w:t>
      </w:r>
      <w:r>
        <w:rPr>
          <w:b/>
          <w:color w:val="383636"/>
          <w:spacing w:val="5"/>
          <w:sz w:val="28"/>
        </w:rPr>
        <w:t> </w:t>
      </w:r>
      <w:r>
        <w:rPr>
          <w:b/>
          <w:color w:val="383636"/>
          <w:sz w:val="28"/>
        </w:rPr>
        <w:t>HARD</w:t>
      </w:r>
      <w:r>
        <w:rPr>
          <w:b/>
          <w:color w:val="383636"/>
          <w:spacing w:val="-3"/>
          <w:sz w:val="28"/>
        </w:rPr>
        <w:t> </w:t>
      </w:r>
      <w:r>
        <w:rPr>
          <w:b/>
          <w:color w:val="383636"/>
          <w:sz w:val="28"/>
        </w:rPr>
        <w:t>COPY</w:t>
      </w:r>
    </w:p>
    <w:p>
      <w:pPr>
        <w:pStyle w:val="BodyText"/>
        <w:spacing w:line="232" w:lineRule="auto" w:before="232"/>
        <w:ind w:left="147" w:right="433" w:firstLine="572"/>
        <w:jc w:val="both"/>
      </w:pPr>
      <w:r>
        <w:rPr>
          <w:color w:val="383636"/>
          <w:w w:val="110"/>
        </w:rPr>
        <w:t>Plan to print out a hard copy several times before you must file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document. Because your brain works differently when you are looking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at a computer screen than when you are looking at a hard copy, you will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undoubtedly find errors on  the hard copy that you missed when reading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the</w:t>
      </w:r>
      <w:r>
        <w:rPr>
          <w:color w:val="383636"/>
          <w:spacing w:val="-28"/>
          <w:w w:val="115"/>
        </w:rPr>
        <w:t> </w:t>
      </w:r>
      <w:r>
        <w:rPr>
          <w:color w:val="383636"/>
          <w:w w:val="115"/>
        </w:rPr>
        <w:t>document</w:t>
      </w:r>
      <w:r>
        <w:rPr>
          <w:color w:val="383636"/>
          <w:spacing w:val="3"/>
          <w:w w:val="115"/>
        </w:rPr>
        <w:t> </w:t>
      </w:r>
      <w:r>
        <w:rPr>
          <w:color w:val="383636"/>
          <w:w w:val="115"/>
        </w:rPr>
        <w:t>on</w:t>
      </w:r>
      <w:r>
        <w:rPr>
          <w:color w:val="383636"/>
          <w:spacing w:val="22"/>
          <w:w w:val="115"/>
        </w:rPr>
        <w:t> </w:t>
      </w:r>
      <w:r>
        <w:rPr>
          <w:color w:val="383636"/>
          <w:w w:val="115"/>
        </w:rPr>
        <w:t>the computer.</w:t>
      </w:r>
    </w:p>
    <w:p>
      <w:pPr>
        <w:pStyle w:val="ListParagraph"/>
        <w:numPr>
          <w:ilvl w:val="0"/>
          <w:numId w:val="109"/>
        </w:numPr>
        <w:tabs>
          <w:tab w:pos="716" w:val="left" w:leader="none"/>
        </w:tabs>
        <w:spacing w:line="230" w:lineRule="auto" w:before="11" w:after="0"/>
        <w:ind w:left="158" w:right="364" w:firstLine="331"/>
        <w:jc w:val="both"/>
        <w:rPr>
          <w:rFonts w:ascii="Arial" w:hAnsi="Arial"/>
          <w:color w:val="383636"/>
          <w:sz w:val="21"/>
        </w:rPr>
      </w:pPr>
      <w:r>
        <w:rPr>
          <w:color w:val="383636"/>
          <w:w w:val="110"/>
          <w:sz w:val="23"/>
        </w:rPr>
        <w:t>Check paragraph length. You may</w:t>
      </w:r>
      <w:r>
        <w:rPr>
          <w:color w:val="383636"/>
          <w:spacing w:val="1"/>
          <w:w w:val="110"/>
          <w:sz w:val="23"/>
        </w:rPr>
        <w:t> </w:t>
      </w:r>
      <w:r>
        <w:rPr>
          <w:color w:val="383636"/>
          <w:w w:val="110"/>
          <w:sz w:val="23"/>
        </w:rPr>
        <w:t>have created someoverlong para­</w:t>
      </w:r>
      <w:r>
        <w:rPr>
          <w:color w:val="383636"/>
          <w:spacing w:val="1"/>
          <w:w w:val="110"/>
          <w:sz w:val="23"/>
        </w:rPr>
        <w:t> </w:t>
      </w:r>
      <w:r>
        <w:rPr>
          <w:color w:val="383636"/>
          <w:w w:val="105"/>
          <w:sz w:val="23"/>
        </w:rPr>
        <w:t>graphs as you</w:t>
      </w:r>
      <w:r>
        <w:rPr>
          <w:color w:val="383636"/>
          <w:spacing w:val="1"/>
          <w:w w:val="105"/>
          <w:sz w:val="23"/>
        </w:rPr>
        <w:t> </w:t>
      </w:r>
      <w:r>
        <w:rPr>
          <w:color w:val="383636"/>
          <w:w w:val="105"/>
          <w:sz w:val="23"/>
        </w:rPr>
        <w:t>revised; they will be evident on the hard copy. Remember that</w:t>
      </w:r>
      <w:r>
        <w:rPr>
          <w:color w:val="383636"/>
          <w:spacing w:val="1"/>
          <w:w w:val="105"/>
          <w:sz w:val="23"/>
        </w:rPr>
        <w:t> </w:t>
      </w:r>
      <w:r>
        <w:rPr>
          <w:color w:val="383636"/>
          <w:w w:val="110"/>
          <w:sz w:val="23"/>
        </w:rPr>
        <w:t>there are two reasons to create a paragraph break: substance and graphics.</w:t>
      </w:r>
      <w:r>
        <w:rPr>
          <w:color w:val="383636"/>
          <w:spacing w:val="1"/>
          <w:w w:val="110"/>
          <w:sz w:val="23"/>
        </w:rPr>
        <w:t> </w:t>
      </w:r>
      <w:r>
        <w:rPr>
          <w:color w:val="383636"/>
          <w:w w:val="110"/>
          <w:sz w:val="23"/>
        </w:rPr>
        <w:t>Even if you have not moved on to a new subject, the reader may need the</w:t>
      </w:r>
      <w:r>
        <w:rPr>
          <w:color w:val="383636"/>
          <w:spacing w:val="1"/>
          <w:w w:val="110"/>
          <w:sz w:val="23"/>
        </w:rPr>
        <w:t> </w:t>
      </w:r>
      <w:r>
        <w:rPr>
          <w:color w:val="383636"/>
          <w:w w:val="110"/>
          <w:sz w:val="23"/>
        </w:rPr>
        <w:t>brief visual rest that a paragraph break provides. A good default is to look</w:t>
      </w:r>
      <w:r>
        <w:rPr>
          <w:color w:val="383636"/>
          <w:spacing w:val="1"/>
          <w:w w:val="110"/>
          <w:sz w:val="23"/>
        </w:rPr>
        <w:t> </w:t>
      </w:r>
      <w:r>
        <w:rPr>
          <w:color w:val="383636"/>
          <w:w w:val="105"/>
          <w:sz w:val="23"/>
        </w:rPr>
        <w:t>for at  least two  paragraph breaks per page (more is fine). </w:t>
      </w:r>
      <w:r>
        <w:rPr>
          <w:color w:val="383636"/>
          <w:w w:val="105"/>
          <w:sz w:val="22"/>
        </w:rPr>
        <w:t>If </w:t>
      </w:r>
      <w:r>
        <w:rPr>
          <w:color w:val="383636"/>
          <w:w w:val="105"/>
          <w:sz w:val="23"/>
        </w:rPr>
        <w:t>you  have only</w:t>
      </w:r>
      <w:r>
        <w:rPr>
          <w:color w:val="383636"/>
          <w:spacing w:val="1"/>
          <w:w w:val="105"/>
          <w:sz w:val="23"/>
        </w:rPr>
        <w:t> </w:t>
      </w:r>
      <w:r>
        <w:rPr>
          <w:color w:val="383636"/>
          <w:w w:val="115"/>
          <w:sz w:val="23"/>
        </w:rPr>
        <w:t>one paragraph break, you must find a place to insert a hard return. Note</w:t>
      </w:r>
      <w:r>
        <w:rPr>
          <w:color w:val="383636"/>
          <w:spacing w:val="1"/>
          <w:w w:val="115"/>
          <w:sz w:val="23"/>
        </w:rPr>
        <w:t> </w:t>
      </w:r>
      <w:r>
        <w:rPr>
          <w:color w:val="383636"/>
          <w:w w:val="110"/>
          <w:sz w:val="23"/>
        </w:rPr>
        <w:t>that if you create an artificial paragraph break in this way, you  may  need</w:t>
      </w:r>
      <w:r>
        <w:rPr>
          <w:color w:val="383636"/>
          <w:spacing w:val="1"/>
          <w:w w:val="110"/>
          <w:sz w:val="23"/>
        </w:rPr>
        <w:t> </w:t>
      </w:r>
      <w:r>
        <w:rPr>
          <w:color w:val="383636"/>
          <w:w w:val="110"/>
          <w:sz w:val="23"/>
        </w:rPr>
        <w:t>to add a topic sentence to ensure that the reader can</w:t>
      </w:r>
      <w:r>
        <w:rPr>
          <w:color w:val="383636"/>
          <w:spacing w:val="1"/>
          <w:w w:val="110"/>
          <w:sz w:val="23"/>
        </w:rPr>
        <w:t> </w:t>
      </w:r>
      <w:r>
        <w:rPr>
          <w:color w:val="383636"/>
          <w:w w:val="110"/>
          <w:sz w:val="23"/>
        </w:rPr>
        <w:t>instantly understand</w:t>
      </w:r>
      <w:r>
        <w:rPr>
          <w:color w:val="383636"/>
          <w:spacing w:val="1"/>
          <w:w w:val="110"/>
          <w:sz w:val="23"/>
        </w:rPr>
        <w:t> </w:t>
      </w:r>
      <w:r>
        <w:rPr>
          <w:color w:val="383636"/>
          <w:w w:val="110"/>
          <w:sz w:val="23"/>
        </w:rPr>
        <w:t>how</w:t>
      </w:r>
      <w:r>
        <w:rPr>
          <w:color w:val="383636"/>
          <w:spacing w:val="-11"/>
          <w:w w:val="110"/>
          <w:sz w:val="23"/>
        </w:rPr>
        <w:t> </w:t>
      </w:r>
      <w:r>
        <w:rPr>
          <w:color w:val="383636"/>
          <w:w w:val="110"/>
          <w:sz w:val="23"/>
        </w:rPr>
        <w:t>the</w:t>
      </w:r>
      <w:r>
        <w:rPr>
          <w:color w:val="383636"/>
          <w:spacing w:val="38"/>
          <w:w w:val="110"/>
          <w:sz w:val="23"/>
        </w:rPr>
        <w:t> </w:t>
      </w:r>
      <w:r>
        <w:rPr>
          <w:color w:val="383636"/>
          <w:w w:val="110"/>
          <w:sz w:val="23"/>
        </w:rPr>
        <w:t>paragraph</w:t>
      </w:r>
      <w:r>
        <w:rPr>
          <w:color w:val="383636"/>
          <w:spacing w:val="14"/>
          <w:w w:val="110"/>
          <w:sz w:val="23"/>
        </w:rPr>
        <w:t> </w:t>
      </w:r>
      <w:r>
        <w:rPr>
          <w:color w:val="383636"/>
          <w:w w:val="110"/>
          <w:sz w:val="23"/>
        </w:rPr>
        <w:t>is</w:t>
      </w:r>
      <w:r>
        <w:rPr>
          <w:color w:val="383636"/>
          <w:spacing w:val="-6"/>
          <w:w w:val="110"/>
          <w:sz w:val="23"/>
        </w:rPr>
        <w:t> </w:t>
      </w:r>
      <w:r>
        <w:rPr>
          <w:color w:val="383636"/>
          <w:w w:val="110"/>
          <w:sz w:val="23"/>
        </w:rPr>
        <w:t>relevant</w:t>
      </w:r>
      <w:r>
        <w:rPr>
          <w:color w:val="383636"/>
          <w:spacing w:val="17"/>
          <w:w w:val="110"/>
          <w:sz w:val="23"/>
        </w:rPr>
        <w:t> </w:t>
      </w:r>
      <w:r>
        <w:rPr>
          <w:color w:val="383636"/>
          <w:w w:val="110"/>
          <w:sz w:val="23"/>
        </w:rPr>
        <w:t>to</w:t>
      </w:r>
      <w:r>
        <w:rPr>
          <w:color w:val="383636"/>
          <w:spacing w:val="11"/>
          <w:w w:val="110"/>
          <w:sz w:val="23"/>
        </w:rPr>
        <w:t> </w:t>
      </w:r>
      <w:r>
        <w:rPr>
          <w:color w:val="383636"/>
          <w:w w:val="110"/>
          <w:sz w:val="23"/>
        </w:rPr>
        <w:t>the</w:t>
      </w:r>
      <w:r>
        <w:rPr>
          <w:color w:val="383636"/>
          <w:spacing w:val="28"/>
          <w:w w:val="110"/>
          <w:sz w:val="23"/>
        </w:rPr>
        <w:t> </w:t>
      </w:r>
      <w:r>
        <w:rPr>
          <w:color w:val="383636"/>
          <w:w w:val="110"/>
          <w:sz w:val="23"/>
        </w:rPr>
        <w:t>point</w:t>
      </w:r>
      <w:r>
        <w:rPr>
          <w:color w:val="383636"/>
          <w:spacing w:val="8"/>
          <w:w w:val="110"/>
          <w:sz w:val="23"/>
        </w:rPr>
        <w:t> </w:t>
      </w:r>
      <w:r>
        <w:rPr>
          <w:color w:val="383636"/>
          <w:w w:val="110"/>
          <w:sz w:val="23"/>
        </w:rPr>
        <w:t>under</w:t>
      </w:r>
      <w:r>
        <w:rPr>
          <w:color w:val="383636"/>
          <w:spacing w:val="-9"/>
          <w:w w:val="110"/>
          <w:sz w:val="23"/>
        </w:rPr>
        <w:t> </w:t>
      </w:r>
      <w:r>
        <w:rPr>
          <w:color w:val="383636"/>
          <w:w w:val="110"/>
          <w:sz w:val="23"/>
        </w:rPr>
        <w:t>discussion.</w:t>
      </w:r>
    </w:p>
    <w:p>
      <w:pPr>
        <w:spacing w:after="0" w:line="230" w:lineRule="auto"/>
        <w:jc w:val="both"/>
        <w:rPr>
          <w:rFonts w:ascii="Arial" w:hAnsi="Arial"/>
          <w:sz w:val="21"/>
        </w:rPr>
        <w:sectPr>
          <w:pgSz w:w="9750" w:h="14020"/>
          <w:pgMar w:header="0" w:footer="0" w:top="820" w:bottom="0" w:left="240" w:right="1360"/>
        </w:sectPr>
      </w:pPr>
    </w:p>
    <w:p>
      <w:pPr>
        <w:pStyle w:val="ListParagraph"/>
        <w:numPr>
          <w:ilvl w:val="0"/>
          <w:numId w:val="109"/>
        </w:numPr>
        <w:tabs>
          <w:tab w:pos="1495" w:val="left" w:leader="none"/>
        </w:tabs>
        <w:spacing w:line="232" w:lineRule="auto" w:before="87" w:after="0"/>
        <w:ind w:left="839" w:right="99" w:firstLine="398"/>
        <w:jc w:val="both"/>
        <w:rPr>
          <w:color w:val="383638"/>
          <w:sz w:val="23"/>
        </w:rPr>
      </w:pPr>
      <w:r>
        <w:rPr>
          <w:color w:val="383638"/>
          <w:w w:val="110"/>
          <w:sz w:val="23"/>
        </w:rPr>
        <w:t>Check sentence length. </w:t>
      </w:r>
      <w:r>
        <w:rPr>
          <w:rFonts w:ascii="Arial" w:hAnsi="Arial"/>
          <w:color w:val="383638"/>
          <w:w w:val="110"/>
          <w:sz w:val="22"/>
        </w:rPr>
        <w:t>If </w:t>
      </w:r>
      <w:r>
        <w:rPr>
          <w:color w:val="383638"/>
          <w:w w:val="110"/>
          <w:sz w:val="23"/>
        </w:rPr>
        <w:t>you have a problem with overlong sen­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05"/>
          <w:sz w:val="23"/>
        </w:rPr>
        <w:t>tences, edit for them by looking for periods. Take a pencil and make a slash</w:t>
      </w:r>
      <w:r>
        <w:rPr>
          <w:color w:val="383638"/>
          <w:spacing w:val="1"/>
          <w:w w:val="105"/>
          <w:sz w:val="23"/>
        </w:rPr>
        <w:t> </w:t>
      </w:r>
      <w:r>
        <w:rPr>
          <w:color w:val="383638"/>
          <w:spacing w:val="-1"/>
          <w:w w:val="110"/>
          <w:sz w:val="23"/>
        </w:rPr>
        <w:t>mark</w:t>
      </w:r>
      <w:r>
        <w:rPr>
          <w:color w:val="383638"/>
          <w:spacing w:val="-22"/>
          <w:w w:val="110"/>
          <w:sz w:val="23"/>
        </w:rPr>
        <w:t> </w:t>
      </w:r>
      <w:r>
        <w:rPr>
          <w:color w:val="383638"/>
          <w:spacing w:val="-1"/>
          <w:w w:val="110"/>
          <w:sz w:val="23"/>
        </w:rPr>
        <w:t>at</w:t>
      </w:r>
      <w:r>
        <w:rPr>
          <w:color w:val="383638"/>
          <w:spacing w:val="-9"/>
          <w:w w:val="110"/>
          <w:sz w:val="23"/>
        </w:rPr>
        <w:t> </w:t>
      </w:r>
      <w:r>
        <w:rPr>
          <w:color w:val="383638"/>
          <w:spacing w:val="-1"/>
          <w:w w:val="110"/>
          <w:sz w:val="23"/>
        </w:rPr>
        <w:t>every</w:t>
      </w:r>
      <w:r>
        <w:rPr>
          <w:color w:val="383638"/>
          <w:spacing w:val="-13"/>
          <w:w w:val="110"/>
          <w:sz w:val="23"/>
        </w:rPr>
        <w:t> </w:t>
      </w:r>
      <w:r>
        <w:rPr>
          <w:color w:val="383638"/>
          <w:spacing w:val="-1"/>
          <w:w w:val="110"/>
          <w:sz w:val="23"/>
        </w:rPr>
        <w:t>period;</w:t>
      </w:r>
      <w:r>
        <w:rPr>
          <w:color w:val="383638"/>
          <w:spacing w:val="-21"/>
          <w:w w:val="110"/>
          <w:sz w:val="23"/>
        </w:rPr>
        <w:t> </w:t>
      </w:r>
      <w:r>
        <w:rPr>
          <w:color w:val="383638"/>
          <w:w w:val="110"/>
          <w:sz w:val="23"/>
        </w:rPr>
        <w:t>you</w:t>
      </w:r>
      <w:r>
        <w:rPr>
          <w:color w:val="383638"/>
          <w:spacing w:val="-17"/>
          <w:w w:val="110"/>
          <w:sz w:val="23"/>
        </w:rPr>
        <w:t> </w:t>
      </w:r>
      <w:r>
        <w:rPr>
          <w:color w:val="383638"/>
          <w:w w:val="110"/>
          <w:sz w:val="23"/>
        </w:rPr>
        <w:t>can</w:t>
      </w:r>
      <w:r>
        <w:rPr>
          <w:color w:val="383638"/>
          <w:spacing w:val="-10"/>
          <w:w w:val="110"/>
          <w:sz w:val="23"/>
        </w:rPr>
        <w:t> </w:t>
      </w:r>
      <w:r>
        <w:rPr>
          <w:color w:val="383638"/>
          <w:w w:val="110"/>
          <w:sz w:val="23"/>
        </w:rPr>
        <w:t>do</w:t>
      </w:r>
      <w:r>
        <w:rPr>
          <w:color w:val="383638"/>
          <w:spacing w:val="-4"/>
          <w:w w:val="110"/>
          <w:sz w:val="23"/>
        </w:rPr>
        <w:t> </w:t>
      </w:r>
      <w:r>
        <w:rPr>
          <w:color w:val="383638"/>
          <w:w w:val="110"/>
          <w:sz w:val="23"/>
        </w:rPr>
        <w:t>this</w:t>
      </w:r>
      <w:r>
        <w:rPr>
          <w:color w:val="383638"/>
          <w:spacing w:val="-28"/>
          <w:w w:val="110"/>
          <w:sz w:val="23"/>
        </w:rPr>
        <w:t> </w:t>
      </w:r>
      <w:r>
        <w:rPr>
          <w:color w:val="383638"/>
          <w:w w:val="110"/>
          <w:sz w:val="23"/>
        </w:rPr>
        <w:t>without</w:t>
      </w:r>
      <w:r>
        <w:rPr>
          <w:color w:val="383638"/>
          <w:spacing w:val="-7"/>
          <w:w w:val="110"/>
          <w:sz w:val="23"/>
        </w:rPr>
        <w:t> </w:t>
      </w:r>
      <w:r>
        <w:rPr>
          <w:color w:val="383638"/>
          <w:w w:val="110"/>
          <w:sz w:val="23"/>
        </w:rPr>
        <w:t>even</w:t>
      </w:r>
      <w:r>
        <w:rPr>
          <w:color w:val="383638"/>
          <w:spacing w:val="-9"/>
          <w:w w:val="110"/>
          <w:sz w:val="23"/>
        </w:rPr>
        <w:t> </w:t>
      </w:r>
      <w:r>
        <w:rPr>
          <w:color w:val="383638"/>
          <w:w w:val="110"/>
          <w:sz w:val="23"/>
        </w:rPr>
        <w:t>reading</w:t>
      </w:r>
      <w:r>
        <w:rPr>
          <w:color w:val="383638"/>
          <w:spacing w:val="-11"/>
          <w:w w:val="110"/>
          <w:sz w:val="23"/>
        </w:rPr>
        <w:t> </w:t>
      </w:r>
      <w:r>
        <w:rPr>
          <w:color w:val="383638"/>
          <w:w w:val="110"/>
          <w:sz w:val="23"/>
        </w:rPr>
        <w:t>the</w:t>
      </w:r>
      <w:r>
        <w:rPr>
          <w:color w:val="383638"/>
          <w:spacing w:val="-3"/>
          <w:w w:val="110"/>
          <w:sz w:val="23"/>
        </w:rPr>
        <w:t> </w:t>
      </w:r>
      <w:r>
        <w:rPr>
          <w:color w:val="383638"/>
          <w:w w:val="110"/>
          <w:sz w:val="23"/>
        </w:rPr>
        <w:t>text.</w:t>
      </w:r>
      <w:r>
        <w:rPr>
          <w:color w:val="383638"/>
          <w:spacing w:val="-30"/>
          <w:w w:val="110"/>
          <w:sz w:val="23"/>
        </w:rPr>
        <w:t> </w:t>
      </w:r>
      <w:r>
        <w:rPr>
          <w:color w:val="383638"/>
          <w:w w:val="110"/>
          <w:sz w:val="23"/>
        </w:rPr>
        <w:t>When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05"/>
          <w:sz w:val="23"/>
        </w:rPr>
        <w:t>you're done, review the slash marks. </w:t>
      </w:r>
      <w:r>
        <w:rPr>
          <w:rFonts w:ascii="Arial" w:hAnsi="Arial"/>
          <w:color w:val="383638"/>
          <w:w w:val="105"/>
          <w:sz w:val="22"/>
        </w:rPr>
        <w:t>If </w:t>
      </w:r>
      <w:r>
        <w:rPr>
          <w:color w:val="383638"/>
          <w:w w:val="105"/>
          <w:sz w:val="23"/>
        </w:rPr>
        <w:t>you see several sentences </w:t>
      </w:r>
      <w:r>
        <w:rPr>
          <w:color w:val="383638"/>
          <w:w w:val="105"/>
          <w:sz w:val="21"/>
        </w:rPr>
        <w:t>in </w:t>
      </w:r>
      <w:r>
        <w:rPr>
          <w:color w:val="383638"/>
          <w:w w:val="105"/>
          <w:sz w:val="23"/>
        </w:rPr>
        <w:t>a row</w:t>
      </w:r>
      <w:r>
        <w:rPr>
          <w:color w:val="383638"/>
          <w:spacing w:val="1"/>
          <w:w w:val="105"/>
          <w:sz w:val="23"/>
        </w:rPr>
        <w:t> </w:t>
      </w:r>
      <w:r>
        <w:rPr>
          <w:color w:val="383638"/>
          <w:w w:val="110"/>
          <w:sz w:val="23"/>
        </w:rPr>
        <w:t>that are over four lines long, review them and try to shorten at least one.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05"/>
          <w:sz w:val="23"/>
        </w:rPr>
        <w:t>One</w:t>
      </w:r>
      <w:r>
        <w:rPr>
          <w:color w:val="383638"/>
          <w:spacing w:val="1"/>
          <w:w w:val="105"/>
          <w:sz w:val="23"/>
        </w:rPr>
        <w:t> </w:t>
      </w:r>
      <w:r>
        <w:rPr>
          <w:color w:val="383638"/>
          <w:w w:val="105"/>
          <w:sz w:val="23"/>
        </w:rPr>
        <w:t>good way to shorten long sentences is to look for verbs. If you have</w:t>
      </w:r>
      <w:r>
        <w:rPr>
          <w:color w:val="383638"/>
          <w:spacing w:val="1"/>
          <w:w w:val="105"/>
          <w:sz w:val="23"/>
        </w:rPr>
        <w:t> </w:t>
      </w:r>
      <w:r>
        <w:rPr>
          <w:color w:val="383638"/>
          <w:w w:val="105"/>
          <w:sz w:val="23"/>
        </w:rPr>
        <w:t>three verbs in one sentence, </w:t>
      </w:r>
      <w:r>
        <w:rPr>
          <w:color w:val="383638"/>
          <w:w w:val="105"/>
          <w:sz w:val="21"/>
        </w:rPr>
        <w:t>try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3"/>
        </w:rPr>
        <w:t>giving each verba subject and</w:t>
      </w:r>
      <w:r>
        <w:rPr>
          <w:color w:val="383638"/>
          <w:spacing w:val="1"/>
          <w:w w:val="105"/>
          <w:sz w:val="23"/>
        </w:rPr>
        <w:t> </w:t>
      </w:r>
      <w:r>
        <w:rPr>
          <w:color w:val="383638"/>
          <w:w w:val="105"/>
          <w:sz w:val="23"/>
        </w:rPr>
        <w:t>its own sen­</w:t>
      </w:r>
      <w:r>
        <w:rPr>
          <w:color w:val="383638"/>
          <w:spacing w:val="1"/>
          <w:w w:val="105"/>
          <w:sz w:val="23"/>
        </w:rPr>
        <w:t> </w:t>
      </w:r>
      <w:r>
        <w:rPr>
          <w:color w:val="383638"/>
          <w:spacing w:val="-1"/>
          <w:w w:val="115"/>
          <w:sz w:val="23"/>
        </w:rPr>
        <w:t>tence.</w:t>
      </w:r>
      <w:r>
        <w:rPr>
          <w:color w:val="383638"/>
          <w:spacing w:val="-24"/>
          <w:w w:val="115"/>
          <w:sz w:val="23"/>
        </w:rPr>
        <w:t> </w:t>
      </w:r>
      <w:r>
        <w:rPr>
          <w:color w:val="383638"/>
          <w:spacing w:val="-1"/>
          <w:w w:val="110"/>
          <w:sz w:val="22"/>
        </w:rPr>
        <w:t>If</w:t>
      </w:r>
      <w:r>
        <w:rPr>
          <w:color w:val="383638"/>
          <w:spacing w:val="2"/>
          <w:w w:val="110"/>
          <w:sz w:val="22"/>
        </w:rPr>
        <w:t> </w:t>
      </w:r>
      <w:r>
        <w:rPr>
          <w:color w:val="383638"/>
          <w:w w:val="115"/>
          <w:sz w:val="23"/>
        </w:rPr>
        <w:t>you</w:t>
      </w:r>
      <w:r>
        <w:rPr>
          <w:color w:val="383638"/>
          <w:spacing w:val="-14"/>
          <w:w w:val="115"/>
          <w:sz w:val="23"/>
        </w:rPr>
        <w:t> </w:t>
      </w:r>
      <w:r>
        <w:rPr>
          <w:color w:val="383638"/>
          <w:w w:val="115"/>
          <w:sz w:val="23"/>
        </w:rPr>
        <w:t>see</w:t>
      </w:r>
      <w:r>
        <w:rPr>
          <w:color w:val="383638"/>
          <w:spacing w:val="-31"/>
          <w:w w:val="115"/>
          <w:sz w:val="23"/>
        </w:rPr>
        <w:t> </w:t>
      </w:r>
      <w:r>
        <w:rPr>
          <w:color w:val="383638"/>
          <w:w w:val="115"/>
          <w:sz w:val="23"/>
        </w:rPr>
        <w:t>several</w:t>
      </w:r>
      <w:r>
        <w:rPr>
          <w:color w:val="383638"/>
          <w:spacing w:val="-34"/>
          <w:w w:val="115"/>
          <w:sz w:val="23"/>
        </w:rPr>
        <w:t> </w:t>
      </w:r>
      <w:r>
        <w:rPr>
          <w:color w:val="383638"/>
          <w:w w:val="115"/>
          <w:sz w:val="23"/>
        </w:rPr>
        <w:t>sentences</w:t>
      </w:r>
      <w:r>
        <w:rPr>
          <w:color w:val="383638"/>
          <w:spacing w:val="-16"/>
          <w:w w:val="115"/>
          <w:sz w:val="23"/>
        </w:rPr>
        <w:t> </w:t>
      </w:r>
      <w:r>
        <w:rPr>
          <w:color w:val="383638"/>
          <w:w w:val="115"/>
          <w:sz w:val="23"/>
        </w:rPr>
        <w:t>that</w:t>
      </w:r>
      <w:r>
        <w:rPr>
          <w:color w:val="383638"/>
          <w:spacing w:val="-29"/>
          <w:w w:val="115"/>
          <w:sz w:val="23"/>
        </w:rPr>
        <w:t> </w:t>
      </w:r>
      <w:r>
        <w:rPr>
          <w:color w:val="383638"/>
          <w:w w:val="115"/>
          <w:sz w:val="23"/>
        </w:rPr>
        <w:t>areonly</w:t>
      </w:r>
      <w:r>
        <w:rPr>
          <w:color w:val="383638"/>
          <w:spacing w:val="-23"/>
          <w:w w:val="115"/>
          <w:sz w:val="23"/>
        </w:rPr>
        <w:t> </w:t>
      </w:r>
      <w:r>
        <w:rPr>
          <w:color w:val="383638"/>
          <w:w w:val="115"/>
          <w:sz w:val="23"/>
        </w:rPr>
        <w:t>one</w:t>
      </w:r>
      <w:r>
        <w:rPr>
          <w:color w:val="383638"/>
          <w:spacing w:val="-8"/>
          <w:w w:val="115"/>
          <w:sz w:val="23"/>
        </w:rPr>
        <w:t> </w:t>
      </w:r>
      <w:r>
        <w:rPr>
          <w:color w:val="383638"/>
          <w:w w:val="115"/>
          <w:sz w:val="23"/>
        </w:rPr>
        <w:t>line</w:t>
      </w:r>
      <w:r>
        <w:rPr>
          <w:color w:val="383638"/>
          <w:spacing w:val="-28"/>
          <w:w w:val="115"/>
          <w:sz w:val="23"/>
        </w:rPr>
        <w:t> </w:t>
      </w:r>
      <w:r>
        <w:rPr>
          <w:color w:val="383638"/>
          <w:w w:val="115"/>
          <w:sz w:val="23"/>
        </w:rPr>
        <w:t>long-and</w:t>
      </w:r>
      <w:r>
        <w:rPr>
          <w:color w:val="383638"/>
          <w:spacing w:val="-3"/>
          <w:w w:val="115"/>
          <w:sz w:val="23"/>
        </w:rPr>
        <w:t> </w:t>
      </w:r>
      <w:r>
        <w:rPr>
          <w:color w:val="383638"/>
          <w:w w:val="110"/>
          <w:sz w:val="23"/>
        </w:rPr>
        <w:t>you're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not  using short sentences for occasional, dramatic effect-try to combine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05"/>
          <w:sz w:val="23"/>
        </w:rPr>
        <w:t>a</w:t>
      </w:r>
      <w:r>
        <w:rPr>
          <w:color w:val="383638"/>
          <w:spacing w:val="12"/>
          <w:w w:val="105"/>
          <w:sz w:val="23"/>
        </w:rPr>
        <w:t> </w:t>
      </w:r>
      <w:r>
        <w:rPr>
          <w:color w:val="383638"/>
          <w:w w:val="105"/>
          <w:sz w:val="23"/>
        </w:rPr>
        <w:t>couple</w:t>
      </w:r>
      <w:r>
        <w:rPr>
          <w:color w:val="383638"/>
          <w:spacing w:val="-12"/>
          <w:w w:val="105"/>
          <w:sz w:val="23"/>
        </w:rPr>
        <w:t> </w:t>
      </w:r>
      <w:r>
        <w:rPr>
          <w:color w:val="383638"/>
          <w:w w:val="105"/>
          <w:sz w:val="23"/>
        </w:rPr>
        <w:t>of</w:t>
      </w:r>
      <w:r>
        <w:rPr>
          <w:color w:val="383638"/>
          <w:spacing w:val="14"/>
          <w:w w:val="105"/>
          <w:sz w:val="23"/>
        </w:rPr>
        <w:t> </w:t>
      </w:r>
      <w:r>
        <w:rPr>
          <w:color w:val="383638"/>
          <w:w w:val="105"/>
          <w:sz w:val="23"/>
        </w:rPr>
        <w:t>the</w:t>
      </w:r>
      <w:r>
        <w:rPr>
          <w:color w:val="383638"/>
          <w:spacing w:val="22"/>
          <w:w w:val="105"/>
          <w:sz w:val="23"/>
        </w:rPr>
        <w:t> </w:t>
      </w:r>
      <w:r>
        <w:rPr>
          <w:color w:val="383638"/>
          <w:w w:val="105"/>
          <w:sz w:val="23"/>
        </w:rPr>
        <w:t>short</w:t>
      </w:r>
      <w:r>
        <w:rPr>
          <w:color w:val="383638"/>
          <w:spacing w:val="-16"/>
          <w:w w:val="105"/>
          <w:sz w:val="23"/>
        </w:rPr>
        <w:t> </w:t>
      </w:r>
      <w:r>
        <w:rPr>
          <w:color w:val="383638"/>
          <w:w w:val="105"/>
          <w:sz w:val="23"/>
        </w:rPr>
        <w:t>sentences.</w:t>
      </w:r>
      <w:r>
        <w:rPr>
          <w:rFonts w:ascii="Arial" w:hAnsi="Arial"/>
          <w:color w:val="383638"/>
          <w:w w:val="105"/>
          <w:sz w:val="23"/>
          <w:vertAlign w:val="superscript"/>
        </w:rPr>
        <w:t>8</w:t>
      </w:r>
    </w:p>
    <w:p>
      <w:pPr>
        <w:pStyle w:val="ListParagraph"/>
        <w:numPr>
          <w:ilvl w:val="0"/>
          <w:numId w:val="109"/>
        </w:numPr>
        <w:tabs>
          <w:tab w:pos="1490" w:val="left" w:leader="none"/>
        </w:tabs>
        <w:spacing w:line="230" w:lineRule="auto" w:before="0" w:after="0"/>
        <w:ind w:left="817" w:right="104" w:firstLine="387"/>
        <w:jc w:val="both"/>
        <w:rPr>
          <w:color w:val="383638"/>
          <w:sz w:val="23"/>
        </w:rPr>
      </w:pPr>
      <w:r>
        <w:rPr>
          <w:b/>
          <w:color w:val="383638"/>
          <w:w w:val="110"/>
          <w:sz w:val="24"/>
        </w:rPr>
        <w:t>Review </w:t>
      </w:r>
      <w:r>
        <w:rPr>
          <w:color w:val="383638"/>
          <w:w w:val="110"/>
          <w:sz w:val="23"/>
        </w:rPr>
        <w:t>the</w:t>
      </w:r>
      <w:r>
        <w:rPr>
          <w:color w:val="383638"/>
          <w:spacing w:val="1"/>
          <w:w w:val="110"/>
          <w:sz w:val="23"/>
        </w:rPr>
        <w:t> </w:t>
      </w:r>
      <w:r>
        <w:rPr>
          <w:b/>
          <w:color w:val="383638"/>
          <w:w w:val="110"/>
          <w:sz w:val="24"/>
        </w:rPr>
        <w:t>verbs. </w:t>
      </w:r>
      <w:r>
        <w:rPr>
          <w:color w:val="383638"/>
          <w:w w:val="110"/>
          <w:sz w:val="23"/>
        </w:rPr>
        <w:t>Readers subconsciously pay more attention to</w:t>
      </w:r>
      <w:r>
        <w:rPr>
          <w:color w:val="383638"/>
          <w:spacing w:val="-61"/>
          <w:w w:val="110"/>
          <w:sz w:val="23"/>
        </w:rPr>
        <w:t> </w:t>
      </w:r>
      <w:r>
        <w:rPr>
          <w:color w:val="383638"/>
          <w:w w:val="110"/>
          <w:sz w:val="23"/>
        </w:rPr>
        <w:t>information in the verb position. Thus, go through your document and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05"/>
          <w:sz w:val="23"/>
        </w:rPr>
        <w:t>circle all of your verbs, trying not to read the sentences. You should scru­</w:t>
      </w:r>
      <w:r>
        <w:rPr>
          <w:color w:val="383638"/>
          <w:spacing w:val="1"/>
          <w:w w:val="105"/>
          <w:sz w:val="23"/>
        </w:rPr>
        <w:t> </w:t>
      </w:r>
      <w:r>
        <w:rPr>
          <w:color w:val="383638"/>
          <w:sz w:val="23"/>
        </w:rPr>
        <w:t>tinize all</w:t>
      </w:r>
      <w:r>
        <w:rPr>
          <w:color w:val="383638"/>
          <w:spacing w:val="-7"/>
          <w:sz w:val="23"/>
        </w:rPr>
        <w:t> </w:t>
      </w:r>
      <w:r>
        <w:rPr>
          <w:color w:val="383638"/>
          <w:sz w:val="23"/>
        </w:rPr>
        <w:t>vague</w:t>
      </w:r>
      <w:r>
        <w:rPr>
          <w:color w:val="383638"/>
          <w:spacing w:val="-12"/>
          <w:sz w:val="23"/>
        </w:rPr>
        <w:t> </w:t>
      </w:r>
      <w:r>
        <w:rPr>
          <w:color w:val="383638"/>
          <w:sz w:val="23"/>
        </w:rPr>
        <w:t>verbs,</w:t>
      </w:r>
      <w:r>
        <w:rPr>
          <w:color w:val="383638"/>
          <w:spacing w:val="8"/>
          <w:sz w:val="23"/>
        </w:rPr>
        <w:t> </w:t>
      </w:r>
      <w:r>
        <w:rPr>
          <w:color w:val="383638"/>
          <w:sz w:val="23"/>
        </w:rPr>
        <w:t>including</w:t>
      </w:r>
      <w:r>
        <w:rPr>
          <w:color w:val="383638"/>
          <w:spacing w:val="-1"/>
          <w:sz w:val="23"/>
        </w:rPr>
        <w:t> </w:t>
      </w:r>
      <w:r>
        <w:rPr>
          <w:i/>
          <w:color w:val="383638"/>
          <w:sz w:val="24"/>
        </w:rPr>
        <w:t>is</w:t>
      </w:r>
      <w:r>
        <w:rPr>
          <w:i/>
          <w:color w:val="545456"/>
          <w:sz w:val="24"/>
        </w:rPr>
        <w:t>,</w:t>
      </w:r>
      <w:r>
        <w:rPr>
          <w:i/>
          <w:color w:val="545456"/>
          <w:spacing w:val="8"/>
          <w:sz w:val="24"/>
        </w:rPr>
        <w:t> </w:t>
      </w:r>
      <w:r>
        <w:rPr>
          <w:i/>
          <w:color w:val="383638"/>
          <w:sz w:val="24"/>
        </w:rPr>
        <w:t>are,</w:t>
      </w:r>
      <w:r>
        <w:rPr>
          <w:i/>
          <w:color w:val="383638"/>
          <w:spacing w:val="-24"/>
          <w:sz w:val="24"/>
        </w:rPr>
        <w:t> </w:t>
      </w:r>
      <w:r>
        <w:rPr>
          <w:i/>
          <w:color w:val="383638"/>
          <w:sz w:val="24"/>
        </w:rPr>
        <w:t>was,</w:t>
      </w:r>
      <w:r>
        <w:rPr>
          <w:i/>
          <w:color w:val="383638"/>
          <w:spacing w:val="-26"/>
          <w:sz w:val="24"/>
        </w:rPr>
        <w:t> </w:t>
      </w:r>
      <w:r>
        <w:rPr>
          <w:i/>
          <w:color w:val="383638"/>
          <w:sz w:val="24"/>
        </w:rPr>
        <w:t>were</w:t>
      </w:r>
      <w:r>
        <w:rPr>
          <w:i/>
          <w:color w:val="545456"/>
          <w:sz w:val="24"/>
        </w:rPr>
        <w:t>,</w:t>
      </w:r>
      <w:r>
        <w:rPr>
          <w:i/>
          <w:color w:val="545456"/>
          <w:spacing w:val="-2"/>
          <w:sz w:val="24"/>
        </w:rPr>
        <w:t> </w:t>
      </w:r>
      <w:r>
        <w:rPr>
          <w:i/>
          <w:color w:val="383638"/>
          <w:sz w:val="24"/>
        </w:rPr>
        <w:t>made,</w:t>
      </w:r>
      <w:r>
        <w:rPr>
          <w:i/>
          <w:color w:val="383638"/>
          <w:spacing w:val="-31"/>
          <w:sz w:val="24"/>
        </w:rPr>
        <w:t> </w:t>
      </w:r>
      <w:r>
        <w:rPr>
          <w:i/>
          <w:color w:val="383638"/>
          <w:sz w:val="24"/>
        </w:rPr>
        <w:t>involved,</w:t>
      </w:r>
      <w:r>
        <w:rPr>
          <w:i/>
          <w:color w:val="383638"/>
          <w:spacing w:val="-30"/>
          <w:sz w:val="24"/>
        </w:rPr>
        <w:t> </w:t>
      </w:r>
      <w:r>
        <w:rPr>
          <w:i/>
          <w:color w:val="383638"/>
          <w:sz w:val="24"/>
        </w:rPr>
        <w:t>concerned,</w:t>
      </w:r>
      <w:r>
        <w:rPr>
          <w:i/>
          <w:color w:val="383638"/>
          <w:spacing w:val="1"/>
          <w:sz w:val="24"/>
        </w:rPr>
        <w:t> </w:t>
      </w:r>
      <w:r>
        <w:rPr>
          <w:i/>
          <w:color w:val="383638"/>
          <w:w w:val="110"/>
          <w:sz w:val="24"/>
        </w:rPr>
        <w:t>had, </w:t>
      </w:r>
      <w:r>
        <w:rPr>
          <w:color w:val="383638"/>
          <w:w w:val="110"/>
          <w:sz w:val="23"/>
        </w:rPr>
        <w:t>and the like. Unless you are using them purposefully-e</w:t>
      </w:r>
      <w:r>
        <w:rPr>
          <w:color w:val="545456"/>
          <w:w w:val="110"/>
          <w:sz w:val="23"/>
        </w:rPr>
        <w:t>.</w:t>
      </w:r>
      <w:r>
        <w:rPr>
          <w:color w:val="383638"/>
          <w:w w:val="110"/>
          <w:sz w:val="23"/>
        </w:rPr>
        <w:t>g.</w:t>
      </w:r>
      <w:r>
        <w:rPr>
          <w:color w:val="545456"/>
          <w:w w:val="110"/>
          <w:sz w:val="23"/>
        </w:rPr>
        <w:t>, </w:t>
      </w:r>
      <w:r>
        <w:rPr>
          <w:color w:val="383638"/>
          <w:w w:val="110"/>
          <w:sz w:val="23"/>
        </w:rPr>
        <w:t>in a </w:t>
      </w:r>
      <w:r>
        <w:rPr>
          <w:color w:val="383638"/>
          <w:w w:val="105"/>
          <w:sz w:val="23"/>
        </w:rPr>
        <w:t>per­</w:t>
      </w:r>
      <w:r>
        <w:rPr>
          <w:color w:val="383638"/>
          <w:spacing w:val="1"/>
          <w:w w:val="105"/>
          <w:sz w:val="23"/>
        </w:rPr>
        <w:t> </w:t>
      </w:r>
      <w:r>
        <w:rPr>
          <w:color w:val="383638"/>
          <w:w w:val="110"/>
          <w:sz w:val="23"/>
        </w:rPr>
        <w:t>suasive document to deemphasize information, or because you are using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passive voice to avoid an unusually long subject-you should look for the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better</w:t>
      </w:r>
      <w:r>
        <w:rPr>
          <w:color w:val="383638"/>
          <w:spacing w:val="-17"/>
          <w:w w:val="110"/>
          <w:sz w:val="23"/>
        </w:rPr>
        <w:t> </w:t>
      </w:r>
      <w:r>
        <w:rPr>
          <w:color w:val="383638"/>
          <w:w w:val="110"/>
          <w:sz w:val="23"/>
        </w:rPr>
        <w:t>verb</w:t>
      </w:r>
      <w:r>
        <w:rPr>
          <w:color w:val="383638"/>
          <w:spacing w:val="-8"/>
          <w:w w:val="110"/>
          <w:sz w:val="23"/>
        </w:rPr>
        <w:t> </w:t>
      </w:r>
      <w:r>
        <w:rPr>
          <w:color w:val="383638"/>
          <w:w w:val="110"/>
          <w:sz w:val="23"/>
        </w:rPr>
        <w:t>hidden</w:t>
      </w:r>
      <w:r>
        <w:rPr>
          <w:color w:val="383638"/>
          <w:spacing w:val="-3"/>
          <w:w w:val="110"/>
          <w:sz w:val="23"/>
        </w:rPr>
        <w:t> </w:t>
      </w:r>
      <w:r>
        <w:rPr>
          <w:color w:val="383638"/>
          <w:w w:val="110"/>
          <w:sz w:val="23"/>
        </w:rPr>
        <w:t>in</w:t>
      </w:r>
      <w:r>
        <w:rPr>
          <w:color w:val="383638"/>
          <w:spacing w:val="19"/>
          <w:w w:val="110"/>
          <w:sz w:val="23"/>
        </w:rPr>
        <w:t> </w:t>
      </w:r>
      <w:r>
        <w:rPr>
          <w:color w:val="383638"/>
          <w:w w:val="110"/>
          <w:sz w:val="23"/>
        </w:rPr>
        <w:t>the</w:t>
      </w:r>
      <w:r>
        <w:rPr>
          <w:color w:val="383638"/>
          <w:spacing w:val="3"/>
          <w:w w:val="110"/>
          <w:sz w:val="23"/>
        </w:rPr>
        <w:t> </w:t>
      </w:r>
      <w:r>
        <w:rPr>
          <w:color w:val="383638"/>
          <w:w w:val="110"/>
          <w:sz w:val="23"/>
        </w:rPr>
        <w:t>sentence</w:t>
      </w:r>
      <w:r>
        <w:rPr>
          <w:color w:val="383638"/>
          <w:spacing w:val="-18"/>
          <w:w w:val="110"/>
          <w:sz w:val="23"/>
        </w:rPr>
        <w:t> </w:t>
      </w:r>
      <w:r>
        <w:rPr>
          <w:color w:val="383638"/>
          <w:w w:val="110"/>
          <w:sz w:val="23"/>
        </w:rPr>
        <w:t>and</w:t>
      </w:r>
      <w:r>
        <w:rPr>
          <w:color w:val="383638"/>
          <w:spacing w:val="24"/>
          <w:w w:val="110"/>
          <w:sz w:val="23"/>
        </w:rPr>
        <w:t> </w:t>
      </w:r>
      <w:r>
        <w:rPr>
          <w:color w:val="383638"/>
          <w:w w:val="110"/>
          <w:sz w:val="23"/>
        </w:rPr>
        <w:t>revise</w:t>
      </w:r>
      <w:r>
        <w:rPr>
          <w:color w:val="383638"/>
          <w:spacing w:val="-17"/>
          <w:w w:val="110"/>
          <w:sz w:val="23"/>
        </w:rPr>
        <w:t> </w:t>
      </w:r>
      <w:r>
        <w:rPr>
          <w:color w:val="383638"/>
          <w:w w:val="110"/>
          <w:sz w:val="23"/>
        </w:rPr>
        <w:t>accordingly.</w:t>
      </w:r>
    </w:p>
    <w:p>
      <w:pPr>
        <w:pStyle w:val="ListParagraph"/>
        <w:numPr>
          <w:ilvl w:val="0"/>
          <w:numId w:val="109"/>
        </w:numPr>
        <w:tabs>
          <w:tab w:pos="1452" w:val="left" w:leader="none"/>
        </w:tabs>
        <w:spacing w:line="232" w:lineRule="auto" w:before="1" w:after="0"/>
        <w:ind w:left="732" w:right="109" w:firstLine="429"/>
        <w:jc w:val="both"/>
        <w:rPr>
          <w:color w:val="383638"/>
          <w:sz w:val="23"/>
        </w:rPr>
      </w:pPr>
      <w:r>
        <w:rPr>
          <w:color w:val="383638"/>
          <w:w w:val="110"/>
          <w:sz w:val="23"/>
        </w:rPr>
        <w:t>Review the  signals to the reader. The best way to  review signals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05"/>
          <w:sz w:val="23"/>
        </w:rPr>
        <w:t>to the</w:t>
      </w:r>
      <w:r>
        <w:rPr>
          <w:color w:val="383638"/>
          <w:spacing w:val="1"/>
          <w:w w:val="105"/>
          <w:sz w:val="23"/>
        </w:rPr>
        <w:t> </w:t>
      </w:r>
      <w:r>
        <w:rPr>
          <w:color w:val="383638"/>
          <w:w w:val="105"/>
          <w:sz w:val="23"/>
        </w:rPr>
        <w:t>reader is to review the "template items" identified in Chapter Ten.</w:t>
      </w:r>
      <w:r>
        <w:rPr>
          <w:color w:val="383638"/>
          <w:spacing w:val="1"/>
          <w:w w:val="105"/>
          <w:sz w:val="23"/>
        </w:rPr>
        <w:t> </w:t>
      </w:r>
      <w:r>
        <w:rPr>
          <w:color w:val="383638"/>
          <w:w w:val="110"/>
          <w:sz w:val="23"/>
        </w:rPr>
        <w:t>Look at the first paragraph (or two) of each heading section for needed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legal backstory and roadmap. Look at the last paragraph of each heading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spacing w:val="-1"/>
          <w:w w:val="115"/>
          <w:sz w:val="23"/>
        </w:rPr>
        <w:t>section </w:t>
      </w:r>
      <w:r>
        <w:rPr>
          <w:color w:val="383638"/>
          <w:w w:val="115"/>
          <w:sz w:val="23"/>
        </w:rPr>
        <w:t>for a concluding statement connecting the analysis to the point</w:t>
      </w:r>
      <w:r>
        <w:rPr>
          <w:color w:val="383638"/>
          <w:spacing w:val="-64"/>
          <w:w w:val="115"/>
          <w:sz w:val="23"/>
        </w:rPr>
        <w:t> </w:t>
      </w:r>
      <w:r>
        <w:rPr>
          <w:color w:val="383638"/>
          <w:spacing w:val="-1"/>
          <w:w w:val="110"/>
          <w:sz w:val="23"/>
        </w:rPr>
        <w:t>being</w:t>
      </w:r>
      <w:r>
        <w:rPr>
          <w:color w:val="383638"/>
          <w:spacing w:val="-29"/>
          <w:w w:val="110"/>
          <w:sz w:val="23"/>
        </w:rPr>
        <w:t> </w:t>
      </w:r>
      <w:r>
        <w:rPr>
          <w:color w:val="383638"/>
          <w:w w:val="110"/>
          <w:sz w:val="23"/>
        </w:rPr>
        <w:t>covered</w:t>
      </w:r>
      <w:r>
        <w:rPr>
          <w:color w:val="383638"/>
          <w:spacing w:val="-9"/>
          <w:w w:val="110"/>
          <w:sz w:val="23"/>
        </w:rPr>
        <w:t> </w:t>
      </w:r>
      <w:r>
        <w:rPr>
          <w:color w:val="383638"/>
          <w:w w:val="110"/>
          <w:sz w:val="23"/>
        </w:rPr>
        <w:t>within</w:t>
      </w:r>
      <w:r>
        <w:rPr>
          <w:color w:val="383638"/>
          <w:spacing w:val="-6"/>
          <w:w w:val="110"/>
          <w:sz w:val="23"/>
        </w:rPr>
        <w:t> </w:t>
      </w:r>
      <w:r>
        <w:rPr>
          <w:color w:val="383638"/>
          <w:w w:val="110"/>
          <w:sz w:val="23"/>
        </w:rPr>
        <w:t>that</w:t>
      </w:r>
      <w:r>
        <w:rPr>
          <w:color w:val="383638"/>
          <w:spacing w:val="-9"/>
          <w:w w:val="110"/>
          <w:sz w:val="23"/>
        </w:rPr>
        <w:t> </w:t>
      </w:r>
      <w:r>
        <w:rPr>
          <w:color w:val="383638"/>
          <w:w w:val="110"/>
          <w:sz w:val="23"/>
        </w:rPr>
        <w:t>unit</w:t>
      </w:r>
      <w:r>
        <w:rPr>
          <w:color w:val="383638"/>
          <w:spacing w:val="-14"/>
          <w:w w:val="110"/>
          <w:sz w:val="23"/>
        </w:rPr>
        <w:t> </w:t>
      </w:r>
      <w:r>
        <w:rPr>
          <w:color w:val="383638"/>
          <w:w w:val="110"/>
          <w:sz w:val="23"/>
        </w:rPr>
        <w:t>of</w:t>
      </w:r>
      <w:r>
        <w:rPr>
          <w:color w:val="383638"/>
          <w:spacing w:val="-5"/>
          <w:w w:val="110"/>
          <w:sz w:val="23"/>
        </w:rPr>
        <w:t> </w:t>
      </w:r>
      <w:r>
        <w:rPr>
          <w:color w:val="383638"/>
          <w:w w:val="110"/>
          <w:sz w:val="23"/>
        </w:rPr>
        <w:t>discourse.</w:t>
      </w:r>
      <w:r>
        <w:rPr>
          <w:color w:val="383638"/>
          <w:spacing w:val="-34"/>
          <w:w w:val="110"/>
          <w:sz w:val="23"/>
        </w:rPr>
        <w:t> </w:t>
      </w:r>
      <w:r>
        <w:rPr>
          <w:color w:val="383638"/>
          <w:w w:val="110"/>
          <w:sz w:val="23"/>
        </w:rPr>
        <w:t>Scan the</w:t>
      </w:r>
      <w:r>
        <w:rPr>
          <w:color w:val="383638"/>
          <w:spacing w:val="18"/>
          <w:w w:val="110"/>
          <w:sz w:val="23"/>
        </w:rPr>
        <w:t> </w:t>
      </w:r>
      <w:r>
        <w:rPr>
          <w:color w:val="383638"/>
          <w:w w:val="110"/>
          <w:sz w:val="23"/>
        </w:rPr>
        <w:t>first</w:t>
      </w:r>
      <w:r>
        <w:rPr>
          <w:color w:val="383638"/>
          <w:spacing w:val="-18"/>
          <w:w w:val="110"/>
          <w:sz w:val="23"/>
        </w:rPr>
        <w:t> </w:t>
      </w:r>
      <w:r>
        <w:rPr>
          <w:color w:val="383638"/>
          <w:w w:val="110"/>
          <w:sz w:val="23"/>
        </w:rPr>
        <w:t>sentence</w:t>
      </w:r>
      <w:r>
        <w:rPr>
          <w:color w:val="383638"/>
          <w:spacing w:val="-25"/>
          <w:w w:val="110"/>
          <w:sz w:val="23"/>
        </w:rPr>
        <w:t> </w:t>
      </w:r>
      <w:r>
        <w:rPr>
          <w:color w:val="383638"/>
          <w:w w:val="110"/>
          <w:sz w:val="23"/>
        </w:rPr>
        <w:t>of</w:t>
      </w:r>
      <w:r>
        <w:rPr>
          <w:color w:val="383638"/>
          <w:spacing w:val="-5"/>
          <w:w w:val="110"/>
          <w:sz w:val="23"/>
        </w:rPr>
        <w:t> </w:t>
      </w:r>
      <w:r>
        <w:rPr>
          <w:color w:val="383638"/>
          <w:w w:val="110"/>
          <w:sz w:val="23"/>
        </w:rPr>
        <w:t>each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paragraph to see how often your paragraphs begin with main points and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include the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phrase-that-pays. Scan through the document to make sure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spacing w:val="-1"/>
          <w:w w:val="110"/>
          <w:sz w:val="23"/>
        </w:rPr>
        <w:t>there </w:t>
      </w:r>
      <w:r>
        <w:rPr>
          <w:color w:val="383638"/>
          <w:w w:val="110"/>
          <w:sz w:val="23"/>
        </w:rPr>
        <w:t>are enough headings. </w:t>
      </w:r>
      <w:r>
        <w:rPr>
          <w:color w:val="383638"/>
          <w:w w:val="110"/>
          <w:sz w:val="22"/>
        </w:rPr>
        <w:t>If </w:t>
      </w:r>
      <w:r>
        <w:rPr>
          <w:color w:val="383638"/>
          <w:w w:val="110"/>
          <w:sz w:val="23"/>
        </w:rPr>
        <w:t>you go more than three or four pages with­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5"/>
          <w:sz w:val="23"/>
        </w:rPr>
        <w:t>out a new heading, scrutinize that section. Can you break that section</w:t>
      </w:r>
      <w:r>
        <w:rPr>
          <w:color w:val="383638"/>
          <w:spacing w:val="1"/>
          <w:w w:val="115"/>
          <w:sz w:val="23"/>
        </w:rPr>
        <w:t> </w:t>
      </w:r>
      <w:r>
        <w:rPr>
          <w:color w:val="383638"/>
          <w:w w:val="110"/>
          <w:sz w:val="23"/>
        </w:rPr>
        <w:t>down into two subsections?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Have you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gone onto a new point without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05"/>
          <w:sz w:val="23"/>
        </w:rPr>
        <w:t>labeling it with a heading? Similarly, review each roadmap and</w:t>
      </w:r>
      <w:r>
        <w:rPr>
          <w:color w:val="383638"/>
          <w:spacing w:val="1"/>
          <w:w w:val="105"/>
          <w:sz w:val="23"/>
        </w:rPr>
        <w:t> </w:t>
      </w:r>
      <w:r>
        <w:rPr>
          <w:color w:val="383638"/>
          <w:w w:val="105"/>
          <w:sz w:val="23"/>
        </w:rPr>
        <w:t>mini-road­</w:t>
      </w:r>
      <w:r>
        <w:rPr>
          <w:color w:val="383638"/>
          <w:spacing w:val="1"/>
          <w:w w:val="105"/>
          <w:sz w:val="23"/>
        </w:rPr>
        <w:t> </w:t>
      </w:r>
      <w:r>
        <w:rPr>
          <w:color w:val="383638"/>
          <w:w w:val="110"/>
          <w:sz w:val="23"/>
        </w:rPr>
        <w:t>map, and then compare it to your headings. The roadmap should predict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5"/>
          <w:sz w:val="23"/>
        </w:rPr>
        <w:t>precisely</w:t>
      </w:r>
      <w:r>
        <w:rPr>
          <w:color w:val="383638"/>
          <w:spacing w:val="-9"/>
          <w:w w:val="115"/>
          <w:sz w:val="23"/>
        </w:rPr>
        <w:t> </w:t>
      </w:r>
      <w:r>
        <w:rPr>
          <w:color w:val="383638"/>
          <w:w w:val="115"/>
          <w:sz w:val="23"/>
        </w:rPr>
        <w:t>the</w:t>
      </w:r>
      <w:r>
        <w:rPr>
          <w:color w:val="383638"/>
          <w:spacing w:val="23"/>
          <w:w w:val="115"/>
          <w:sz w:val="23"/>
        </w:rPr>
        <w:t> </w:t>
      </w:r>
      <w:r>
        <w:rPr>
          <w:color w:val="383638"/>
          <w:w w:val="115"/>
          <w:sz w:val="23"/>
        </w:rPr>
        <w:t>headings</w:t>
      </w:r>
      <w:r>
        <w:rPr>
          <w:color w:val="383638"/>
          <w:spacing w:val="-4"/>
          <w:w w:val="115"/>
          <w:sz w:val="23"/>
        </w:rPr>
        <w:t> </w:t>
      </w:r>
      <w:r>
        <w:rPr>
          <w:color w:val="383638"/>
          <w:w w:val="115"/>
          <w:sz w:val="23"/>
        </w:rPr>
        <w:t>that</w:t>
      </w:r>
      <w:r>
        <w:rPr>
          <w:color w:val="383638"/>
          <w:spacing w:val="-11"/>
          <w:w w:val="115"/>
          <w:sz w:val="23"/>
        </w:rPr>
        <w:t> </w:t>
      </w:r>
      <w:r>
        <w:rPr>
          <w:color w:val="383638"/>
          <w:w w:val="115"/>
          <w:sz w:val="23"/>
        </w:rPr>
        <w:t>follow.</w:t>
      </w:r>
    </w:p>
    <w:p>
      <w:pPr>
        <w:pStyle w:val="ListParagraph"/>
        <w:numPr>
          <w:ilvl w:val="0"/>
          <w:numId w:val="109"/>
        </w:numPr>
        <w:tabs>
          <w:tab w:pos="1365" w:val="left" w:leader="none"/>
        </w:tabs>
        <w:spacing w:line="228" w:lineRule="auto" w:before="24" w:after="0"/>
        <w:ind w:left="667" w:right="109" w:firstLine="432"/>
        <w:jc w:val="both"/>
        <w:rPr>
          <w:i/>
          <w:color w:val="383638"/>
          <w:sz w:val="23"/>
        </w:rPr>
      </w:pPr>
      <w:r>
        <w:rPr>
          <w:color w:val="383638"/>
          <w:w w:val="110"/>
          <w:sz w:val="23"/>
        </w:rPr>
        <w:t>Do a ruler-read. After you have taken these steps, read a hard copy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05"/>
          <w:sz w:val="23"/>
        </w:rPr>
        <w:t>aloud</w:t>
      </w:r>
      <w:r>
        <w:rPr>
          <w:color w:val="383638"/>
          <w:spacing w:val="12"/>
          <w:w w:val="105"/>
          <w:sz w:val="23"/>
        </w:rPr>
        <w:t> </w:t>
      </w:r>
      <w:r>
        <w:rPr>
          <w:color w:val="383638"/>
          <w:w w:val="105"/>
          <w:sz w:val="23"/>
        </w:rPr>
        <w:t>(as</w:t>
      </w:r>
      <w:r>
        <w:rPr>
          <w:color w:val="383638"/>
          <w:spacing w:val="-27"/>
          <w:w w:val="105"/>
          <w:sz w:val="23"/>
        </w:rPr>
        <w:t> </w:t>
      </w:r>
      <w:r>
        <w:rPr>
          <w:color w:val="383638"/>
          <w:w w:val="105"/>
          <w:sz w:val="23"/>
        </w:rPr>
        <w:t>slowly</w:t>
      </w:r>
      <w:r>
        <w:rPr>
          <w:color w:val="383638"/>
          <w:spacing w:val="-7"/>
          <w:w w:val="105"/>
          <w:sz w:val="23"/>
        </w:rPr>
        <w:t> </w:t>
      </w:r>
      <w:r>
        <w:rPr>
          <w:color w:val="383638"/>
          <w:w w:val="105"/>
          <w:sz w:val="23"/>
        </w:rPr>
        <w:t>as</w:t>
      </w:r>
      <w:r>
        <w:rPr>
          <w:color w:val="383638"/>
          <w:spacing w:val="2"/>
          <w:w w:val="105"/>
          <w:sz w:val="23"/>
        </w:rPr>
        <w:t> </w:t>
      </w:r>
      <w:r>
        <w:rPr>
          <w:color w:val="383638"/>
          <w:w w:val="105"/>
          <w:sz w:val="23"/>
        </w:rPr>
        <w:t>you</w:t>
      </w:r>
      <w:r>
        <w:rPr>
          <w:color w:val="383638"/>
          <w:spacing w:val="4"/>
          <w:w w:val="105"/>
          <w:sz w:val="23"/>
        </w:rPr>
        <w:t> </w:t>
      </w:r>
      <w:r>
        <w:rPr>
          <w:color w:val="383638"/>
          <w:w w:val="105"/>
          <w:sz w:val="23"/>
        </w:rPr>
        <w:t>can)</w:t>
      </w:r>
      <w:r>
        <w:rPr>
          <w:color w:val="383638"/>
          <w:spacing w:val="-5"/>
          <w:w w:val="105"/>
          <w:sz w:val="23"/>
        </w:rPr>
        <w:t> </w:t>
      </w:r>
      <w:r>
        <w:rPr>
          <w:color w:val="383638"/>
          <w:w w:val="105"/>
          <w:sz w:val="23"/>
        </w:rPr>
        <w:t>backwards</w:t>
      </w:r>
      <w:r>
        <w:rPr>
          <w:color w:val="383638"/>
          <w:spacing w:val="-6"/>
          <w:w w:val="105"/>
          <w:sz w:val="23"/>
        </w:rPr>
        <w:t> </w:t>
      </w:r>
      <w:r>
        <w:rPr>
          <w:color w:val="383638"/>
          <w:w w:val="105"/>
          <w:sz w:val="23"/>
        </w:rPr>
        <w:t>and</w:t>
      </w:r>
      <w:r>
        <w:rPr>
          <w:color w:val="383638"/>
          <w:spacing w:val="30"/>
          <w:w w:val="105"/>
          <w:sz w:val="23"/>
        </w:rPr>
        <w:t> </w:t>
      </w:r>
      <w:r>
        <w:rPr>
          <w:color w:val="383638"/>
          <w:w w:val="105"/>
          <w:sz w:val="23"/>
        </w:rPr>
        <w:t>forwards</w:t>
      </w:r>
      <w:r>
        <w:rPr>
          <w:color w:val="383638"/>
          <w:spacing w:val="-13"/>
          <w:w w:val="105"/>
          <w:sz w:val="23"/>
        </w:rPr>
        <w:t> </w:t>
      </w:r>
      <w:r>
        <w:rPr>
          <w:i/>
          <w:color w:val="383638"/>
          <w:w w:val="105"/>
          <w:sz w:val="24"/>
        </w:rPr>
        <w:t>with</w:t>
      </w:r>
      <w:r>
        <w:rPr>
          <w:i/>
          <w:color w:val="383638"/>
          <w:spacing w:val="-30"/>
          <w:w w:val="105"/>
          <w:sz w:val="24"/>
        </w:rPr>
        <w:t> </w:t>
      </w:r>
      <w:r>
        <w:rPr>
          <w:i/>
          <w:color w:val="383638"/>
          <w:w w:val="105"/>
          <w:sz w:val="24"/>
        </w:rPr>
        <w:t>a</w:t>
      </w:r>
      <w:r>
        <w:rPr>
          <w:i/>
          <w:color w:val="383638"/>
          <w:spacing w:val="-17"/>
          <w:w w:val="105"/>
          <w:sz w:val="24"/>
        </w:rPr>
        <w:t> </w:t>
      </w:r>
      <w:r>
        <w:rPr>
          <w:i/>
          <w:color w:val="383638"/>
          <w:w w:val="105"/>
          <w:sz w:val="24"/>
        </w:rPr>
        <w:t>ruler</w:t>
      </w:r>
      <w:r>
        <w:rPr>
          <w:i/>
          <w:color w:val="383638"/>
          <w:spacing w:val="-15"/>
          <w:w w:val="105"/>
          <w:sz w:val="24"/>
        </w:rPr>
        <w:t> </w:t>
      </w:r>
      <w:r>
        <w:rPr>
          <w:i/>
          <w:color w:val="383638"/>
          <w:w w:val="105"/>
          <w:sz w:val="24"/>
        </w:rPr>
        <w:t>under</w:t>
      </w:r>
      <w:r>
        <w:rPr>
          <w:i/>
          <w:color w:val="383638"/>
          <w:spacing w:val="-36"/>
          <w:w w:val="105"/>
          <w:sz w:val="24"/>
        </w:rPr>
        <w:t> </w:t>
      </w:r>
      <w:r>
        <w:rPr>
          <w:i/>
          <w:color w:val="383638"/>
          <w:w w:val="105"/>
          <w:sz w:val="23"/>
        </w:rPr>
        <w:t>each</w:t>
      </w:r>
      <w:r>
        <w:rPr>
          <w:i/>
          <w:color w:val="383638"/>
          <w:spacing w:val="1"/>
          <w:w w:val="105"/>
          <w:sz w:val="23"/>
        </w:rPr>
        <w:t> </w:t>
      </w:r>
      <w:r>
        <w:rPr>
          <w:i/>
          <w:color w:val="383638"/>
          <w:w w:val="110"/>
          <w:sz w:val="24"/>
        </w:rPr>
        <w:t>line as you read </w:t>
      </w:r>
      <w:r>
        <w:rPr>
          <w:i/>
          <w:color w:val="383638"/>
          <w:w w:val="110"/>
          <w:sz w:val="23"/>
        </w:rPr>
        <w:t>it. </w:t>
      </w:r>
      <w:r>
        <w:rPr>
          <w:color w:val="383638"/>
          <w:w w:val="110"/>
          <w:sz w:val="23"/>
        </w:rPr>
        <w:t>Using the ruler helps to separate you from your text,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breaking up that cozy relationship between your short-term memory and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your document. When doing this ruler-read, include all extraneous mate­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rials like cover pages and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tables; these sections often get short shrift when</w:t>
      </w:r>
      <w:r>
        <w:rPr>
          <w:color w:val="383638"/>
          <w:spacing w:val="-62"/>
          <w:w w:val="110"/>
          <w:sz w:val="23"/>
        </w:rPr>
        <w:t> </w:t>
      </w:r>
      <w:r>
        <w:rPr>
          <w:color w:val="383638"/>
          <w:w w:val="110"/>
          <w:sz w:val="23"/>
        </w:rPr>
        <w:t>it</w:t>
      </w:r>
      <w:r>
        <w:rPr>
          <w:color w:val="383638"/>
          <w:spacing w:val="19"/>
          <w:w w:val="110"/>
          <w:sz w:val="23"/>
        </w:rPr>
        <w:t> </w:t>
      </w:r>
      <w:r>
        <w:rPr>
          <w:color w:val="383638"/>
          <w:w w:val="110"/>
          <w:sz w:val="23"/>
        </w:rPr>
        <w:t>comes</w:t>
      </w:r>
      <w:r>
        <w:rPr>
          <w:color w:val="383638"/>
          <w:spacing w:val="-6"/>
          <w:w w:val="110"/>
          <w:sz w:val="23"/>
        </w:rPr>
        <w:t> </w:t>
      </w:r>
      <w:r>
        <w:rPr>
          <w:color w:val="383638"/>
          <w:w w:val="110"/>
          <w:sz w:val="23"/>
        </w:rPr>
        <w:t>to</w:t>
      </w:r>
      <w:r>
        <w:rPr>
          <w:color w:val="383638"/>
          <w:spacing w:val="15"/>
          <w:w w:val="110"/>
          <w:sz w:val="23"/>
        </w:rPr>
        <w:t> </w:t>
      </w:r>
      <w:r>
        <w:rPr>
          <w:color w:val="383638"/>
          <w:w w:val="110"/>
          <w:sz w:val="23"/>
        </w:rPr>
        <w:t>proofreading.</w:t>
      </w:r>
    </w:p>
    <w:p>
      <w:pPr>
        <w:pStyle w:val="ListParagraph"/>
        <w:numPr>
          <w:ilvl w:val="0"/>
          <w:numId w:val="109"/>
        </w:numPr>
        <w:tabs>
          <w:tab w:pos="1306" w:val="left" w:leader="none"/>
        </w:tabs>
        <w:spacing w:line="225" w:lineRule="auto" w:before="4" w:after="0"/>
        <w:ind w:left="643" w:right="114" w:firstLine="387"/>
        <w:jc w:val="both"/>
        <w:rPr>
          <w:color w:val="383638"/>
          <w:sz w:val="23"/>
        </w:rPr>
      </w:pPr>
      <w:r>
        <w:rPr>
          <w:b/>
          <w:color w:val="383638"/>
          <w:w w:val="105"/>
          <w:sz w:val="24"/>
        </w:rPr>
        <w:t>Repeat any or all of the above as needed. </w:t>
      </w:r>
      <w:r>
        <w:rPr>
          <w:color w:val="383638"/>
          <w:w w:val="105"/>
          <w:sz w:val="23"/>
        </w:rPr>
        <w:t>If you keep finding new</w:t>
      </w:r>
      <w:r>
        <w:rPr>
          <w:color w:val="383638"/>
          <w:spacing w:val="1"/>
          <w:w w:val="105"/>
          <w:sz w:val="23"/>
        </w:rPr>
        <w:t> </w:t>
      </w:r>
      <w:r>
        <w:rPr>
          <w:color w:val="383638"/>
          <w:w w:val="110"/>
          <w:sz w:val="23"/>
        </w:rPr>
        <w:t>mistakes</w:t>
      </w:r>
      <w:r>
        <w:rPr>
          <w:color w:val="383638"/>
          <w:spacing w:val="-3"/>
          <w:w w:val="110"/>
          <w:sz w:val="23"/>
        </w:rPr>
        <w:t> </w:t>
      </w:r>
      <w:r>
        <w:rPr>
          <w:color w:val="383638"/>
          <w:w w:val="110"/>
          <w:sz w:val="23"/>
        </w:rPr>
        <w:t>when</w:t>
      </w:r>
      <w:r>
        <w:rPr>
          <w:color w:val="383638"/>
          <w:spacing w:val="16"/>
          <w:w w:val="110"/>
          <w:sz w:val="23"/>
        </w:rPr>
        <w:t> </w:t>
      </w:r>
      <w:r>
        <w:rPr>
          <w:color w:val="383638"/>
          <w:w w:val="110"/>
          <w:sz w:val="23"/>
        </w:rPr>
        <w:t>using</w:t>
      </w:r>
      <w:r>
        <w:rPr>
          <w:color w:val="383638"/>
          <w:spacing w:val="-5"/>
          <w:w w:val="110"/>
          <w:sz w:val="23"/>
        </w:rPr>
        <w:t> </w:t>
      </w:r>
      <w:r>
        <w:rPr>
          <w:color w:val="383638"/>
          <w:w w:val="110"/>
          <w:sz w:val="23"/>
        </w:rPr>
        <w:t>these</w:t>
      </w:r>
      <w:r>
        <w:rPr>
          <w:color w:val="383638"/>
          <w:spacing w:val="-7"/>
          <w:w w:val="110"/>
          <w:sz w:val="23"/>
        </w:rPr>
        <w:t> </w:t>
      </w:r>
      <w:r>
        <w:rPr>
          <w:color w:val="383638"/>
          <w:w w:val="110"/>
          <w:sz w:val="23"/>
        </w:rPr>
        <w:t>techniques,</w:t>
      </w:r>
      <w:r>
        <w:rPr>
          <w:color w:val="383638"/>
          <w:spacing w:val="14"/>
          <w:w w:val="110"/>
          <w:sz w:val="23"/>
        </w:rPr>
        <w:t> </w:t>
      </w:r>
      <w:r>
        <w:rPr>
          <w:color w:val="383638"/>
          <w:w w:val="110"/>
          <w:sz w:val="23"/>
        </w:rPr>
        <w:t>you</w:t>
      </w:r>
      <w:r>
        <w:rPr>
          <w:color w:val="383638"/>
          <w:spacing w:val="11"/>
          <w:w w:val="110"/>
          <w:sz w:val="23"/>
        </w:rPr>
        <w:t> </w:t>
      </w:r>
      <w:r>
        <w:rPr>
          <w:color w:val="383638"/>
          <w:w w:val="110"/>
          <w:sz w:val="23"/>
        </w:rPr>
        <w:t>need</w:t>
      </w:r>
      <w:r>
        <w:rPr>
          <w:color w:val="383638"/>
          <w:spacing w:val="3"/>
          <w:w w:val="110"/>
          <w:sz w:val="23"/>
        </w:rPr>
        <w:t> </w:t>
      </w:r>
      <w:r>
        <w:rPr>
          <w:color w:val="383638"/>
          <w:w w:val="110"/>
          <w:sz w:val="23"/>
        </w:rPr>
        <w:t>to</w:t>
      </w:r>
      <w:r>
        <w:rPr>
          <w:color w:val="383638"/>
          <w:spacing w:val="16"/>
          <w:w w:val="110"/>
          <w:sz w:val="23"/>
        </w:rPr>
        <w:t> </w:t>
      </w:r>
      <w:r>
        <w:rPr>
          <w:color w:val="383638"/>
          <w:w w:val="110"/>
          <w:sz w:val="23"/>
        </w:rPr>
        <w:t>keep</w:t>
      </w:r>
      <w:r>
        <w:rPr>
          <w:color w:val="383638"/>
          <w:spacing w:val="-5"/>
          <w:w w:val="110"/>
          <w:sz w:val="23"/>
        </w:rPr>
        <w:t> </w:t>
      </w:r>
      <w:r>
        <w:rPr>
          <w:color w:val="383638"/>
          <w:w w:val="110"/>
          <w:sz w:val="23"/>
        </w:rPr>
        <w:t>proofreading.</w:t>
      </w:r>
      <w:r>
        <w:rPr>
          <w:color w:val="383638"/>
          <w:spacing w:val="-3"/>
          <w:w w:val="110"/>
          <w:sz w:val="23"/>
        </w:rPr>
        <w:t> </w:t>
      </w:r>
      <w:r>
        <w:rPr>
          <w:rFonts w:ascii="Arial"/>
          <w:color w:val="383638"/>
          <w:w w:val="110"/>
          <w:sz w:val="22"/>
        </w:rPr>
        <w:t>Do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ListParagraph"/>
        <w:numPr>
          <w:ilvl w:val="0"/>
          <w:numId w:val="110"/>
        </w:numPr>
        <w:tabs>
          <w:tab w:pos="1046" w:val="left" w:leader="none"/>
        </w:tabs>
        <w:spacing w:line="251" w:lineRule="exact" w:before="0" w:after="0"/>
        <w:ind w:left="1045" w:right="0" w:hanging="69"/>
        <w:jc w:val="left"/>
        <w:rPr>
          <w:rFonts w:ascii="Arial" w:hAnsi="Arial"/>
          <w:i/>
          <w:sz w:val="15"/>
        </w:rPr>
      </w:pPr>
      <w:r>
        <w:rPr>
          <w:i/>
          <w:color w:val="383638"/>
          <w:spacing w:val="-1"/>
          <w:w w:val="105"/>
          <w:sz w:val="18"/>
        </w:rPr>
        <w:t>Se</w:t>
      </w:r>
      <w:r>
        <w:rPr>
          <w:i/>
          <w:color w:val="545456"/>
          <w:spacing w:val="-1"/>
          <w:w w:val="105"/>
          <w:sz w:val="18"/>
        </w:rPr>
        <w:t>e</w:t>
      </w:r>
      <w:r>
        <w:rPr>
          <w:i/>
          <w:color w:val="545456"/>
          <w:spacing w:val="-4"/>
          <w:w w:val="105"/>
          <w:sz w:val="18"/>
        </w:rPr>
        <w:t> </w:t>
      </w:r>
      <w:r>
        <w:rPr>
          <w:color w:val="383638"/>
          <w:spacing w:val="-1"/>
          <w:w w:val="105"/>
          <w:sz w:val="18"/>
        </w:rPr>
        <w:t>Mary</w:t>
      </w:r>
      <w:r>
        <w:rPr>
          <w:color w:val="383638"/>
          <w:spacing w:val="-6"/>
          <w:w w:val="105"/>
          <w:sz w:val="18"/>
        </w:rPr>
        <w:t> </w:t>
      </w:r>
      <w:r>
        <w:rPr>
          <w:color w:val="383638"/>
          <w:spacing w:val="-1"/>
          <w:w w:val="105"/>
          <w:sz w:val="18"/>
        </w:rPr>
        <w:t>Barnard</w:t>
      </w:r>
      <w:r>
        <w:rPr>
          <w:color w:val="383638"/>
          <w:spacing w:val="19"/>
          <w:w w:val="105"/>
          <w:sz w:val="18"/>
        </w:rPr>
        <w:t> </w:t>
      </w:r>
      <w:r>
        <w:rPr>
          <w:color w:val="383638"/>
          <w:spacing w:val="-1"/>
          <w:w w:val="105"/>
          <w:sz w:val="18"/>
        </w:rPr>
        <w:t>Ray</w:t>
      </w:r>
      <w:r>
        <w:rPr>
          <w:color w:val="383638"/>
          <w:w w:val="105"/>
          <w:sz w:val="18"/>
        </w:rPr>
        <w:t> </w:t>
      </w:r>
      <w:r>
        <w:rPr>
          <w:color w:val="383638"/>
          <w:spacing w:val="-1"/>
          <w:w w:val="105"/>
          <w:sz w:val="17"/>
        </w:rPr>
        <w:t>&amp;</w:t>
      </w:r>
      <w:r>
        <w:rPr>
          <w:color w:val="383638"/>
          <w:spacing w:val="-14"/>
          <w:w w:val="105"/>
          <w:sz w:val="17"/>
        </w:rPr>
        <w:t> </w:t>
      </w:r>
      <w:r>
        <w:rPr>
          <w:color w:val="383638"/>
          <w:spacing w:val="-1"/>
          <w:w w:val="105"/>
          <w:sz w:val="20"/>
        </w:rPr>
        <w:t>Jill</w:t>
      </w:r>
      <w:r>
        <w:rPr>
          <w:color w:val="383638"/>
          <w:spacing w:val="-30"/>
          <w:w w:val="105"/>
          <w:sz w:val="20"/>
        </w:rPr>
        <w:t> </w:t>
      </w:r>
      <w:r>
        <w:rPr>
          <w:color w:val="383638"/>
          <w:w w:val="105"/>
          <w:sz w:val="22"/>
        </w:rPr>
        <w:t>J.</w:t>
      </w:r>
      <w:r>
        <w:rPr>
          <w:color w:val="383638"/>
          <w:spacing w:val="-28"/>
          <w:w w:val="105"/>
          <w:sz w:val="22"/>
        </w:rPr>
        <w:t> </w:t>
      </w:r>
      <w:r>
        <w:rPr>
          <w:color w:val="383638"/>
          <w:w w:val="105"/>
          <w:sz w:val="18"/>
        </w:rPr>
        <w:t>Ramsfield,</w:t>
      </w:r>
      <w:r>
        <w:rPr>
          <w:color w:val="383638"/>
          <w:spacing w:val="-6"/>
          <w:w w:val="105"/>
          <w:sz w:val="18"/>
        </w:rPr>
        <w:t> </w:t>
      </w:r>
      <w:r>
        <w:rPr>
          <w:i/>
          <w:color w:val="383638"/>
          <w:w w:val="105"/>
          <w:sz w:val="18"/>
        </w:rPr>
        <w:t>ugal</w:t>
      </w:r>
      <w:r>
        <w:rPr>
          <w:i/>
          <w:color w:val="383638"/>
          <w:spacing w:val="-11"/>
          <w:w w:val="105"/>
          <w:sz w:val="18"/>
        </w:rPr>
        <w:t> </w:t>
      </w:r>
      <w:r>
        <w:rPr>
          <w:i/>
          <w:color w:val="383638"/>
          <w:w w:val="105"/>
          <w:sz w:val="18"/>
        </w:rPr>
        <w:t>Writing</w:t>
      </w:r>
      <w:r>
        <w:rPr>
          <w:i/>
          <w:color w:val="545456"/>
          <w:w w:val="105"/>
          <w:sz w:val="18"/>
        </w:rPr>
        <w:t>:</w:t>
      </w:r>
      <w:r>
        <w:rPr>
          <w:i/>
          <w:color w:val="545456"/>
          <w:spacing w:val="-13"/>
          <w:w w:val="105"/>
          <w:sz w:val="18"/>
        </w:rPr>
        <w:t> </w:t>
      </w:r>
      <w:r>
        <w:rPr>
          <w:i/>
          <w:color w:val="383638"/>
          <w:w w:val="105"/>
          <w:sz w:val="18"/>
        </w:rPr>
        <w:t>Getting</w:t>
      </w:r>
      <w:r>
        <w:rPr>
          <w:i/>
          <w:color w:val="383638"/>
          <w:spacing w:val="12"/>
          <w:w w:val="105"/>
          <w:sz w:val="18"/>
        </w:rPr>
        <w:t> </w:t>
      </w:r>
      <w:r>
        <w:rPr>
          <w:i/>
          <w:color w:val="383638"/>
          <w:w w:val="105"/>
          <w:sz w:val="18"/>
        </w:rPr>
        <w:t>It</w:t>
      </w:r>
      <w:r>
        <w:rPr>
          <w:i/>
          <w:color w:val="383638"/>
          <w:spacing w:val="-4"/>
          <w:w w:val="105"/>
          <w:sz w:val="18"/>
        </w:rPr>
        <w:t> </w:t>
      </w:r>
      <w:r>
        <w:rPr>
          <w:i/>
          <w:color w:val="383638"/>
          <w:w w:val="105"/>
          <w:sz w:val="18"/>
        </w:rPr>
        <w:t>Right</w:t>
      </w:r>
      <w:r>
        <w:rPr>
          <w:i/>
          <w:color w:val="383638"/>
          <w:spacing w:val="-11"/>
          <w:w w:val="105"/>
          <w:sz w:val="18"/>
        </w:rPr>
        <w:t> </w:t>
      </w:r>
      <w:r>
        <w:rPr>
          <w:i/>
          <w:color w:val="383638"/>
          <w:w w:val="105"/>
          <w:sz w:val="18"/>
        </w:rPr>
        <w:t>and</w:t>
      </w:r>
      <w:r>
        <w:rPr>
          <w:i/>
          <w:color w:val="383638"/>
          <w:spacing w:val="-10"/>
          <w:w w:val="105"/>
          <w:sz w:val="18"/>
        </w:rPr>
        <w:t> </w:t>
      </w:r>
      <w:r>
        <w:rPr>
          <w:i/>
          <w:color w:val="383638"/>
          <w:w w:val="105"/>
          <w:sz w:val="18"/>
        </w:rPr>
        <w:t>Getting</w:t>
      </w:r>
      <w:r>
        <w:rPr>
          <w:i/>
          <w:color w:val="383638"/>
          <w:spacing w:val="-9"/>
          <w:w w:val="105"/>
          <w:sz w:val="18"/>
        </w:rPr>
        <w:t> </w:t>
      </w:r>
      <w:r>
        <w:rPr>
          <w:i/>
          <w:color w:val="383638"/>
          <w:w w:val="105"/>
          <w:sz w:val="18"/>
        </w:rPr>
        <w:t>It</w:t>
      </w:r>
      <w:r>
        <w:rPr>
          <w:i/>
          <w:color w:val="383638"/>
          <w:spacing w:val="-10"/>
          <w:w w:val="105"/>
          <w:sz w:val="18"/>
        </w:rPr>
        <w:t> </w:t>
      </w:r>
      <w:r>
        <w:rPr>
          <w:rFonts w:ascii="Arial" w:hAnsi="Arial"/>
          <w:i/>
          <w:color w:val="383638"/>
          <w:w w:val="105"/>
          <w:sz w:val="15"/>
        </w:rPr>
        <w:t>Written</w:t>
      </w:r>
    </w:p>
    <w:p>
      <w:pPr>
        <w:spacing w:line="205" w:lineRule="exact" w:before="0"/>
        <w:ind w:left="599" w:right="0" w:firstLine="0"/>
        <w:jc w:val="left"/>
        <w:rPr>
          <w:sz w:val="18"/>
        </w:rPr>
      </w:pPr>
      <w:r>
        <w:rPr>
          <w:color w:val="383638"/>
          <w:w w:val="110"/>
          <w:sz w:val="18"/>
        </w:rPr>
        <w:t>371-72</w:t>
      </w:r>
      <w:r>
        <w:rPr>
          <w:color w:val="383638"/>
          <w:spacing w:val="-5"/>
          <w:w w:val="110"/>
          <w:sz w:val="18"/>
        </w:rPr>
        <w:t> </w:t>
      </w:r>
      <w:r>
        <w:rPr>
          <w:color w:val="383638"/>
          <w:w w:val="110"/>
          <w:sz w:val="18"/>
        </w:rPr>
        <w:t>(4th</w:t>
      </w:r>
      <w:r>
        <w:rPr>
          <w:color w:val="383638"/>
          <w:spacing w:val="-4"/>
          <w:w w:val="110"/>
          <w:sz w:val="18"/>
        </w:rPr>
        <w:t> </w:t>
      </w:r>
      <w:r>
        <w:rPr>
          <w:color w:val="383638"/>
          <w:w w:val="110"/>
          <w:sz w:val="18"/>
        </w:rPr>
        <w:t>ed.,</w:t>
      </w:r>
      <w:r>
        <w:rPr>
          <w:color w:val="383638"/>
          <w:spacing w:val="-2"/>
          <w:w w:val="110"/>
          <w:sz w:val="18"/>
        </w:rPr>
        <w:t> </w:t>
      </w:r>
      <w:r>
        <w:rPr>
          <w:color w:val="383638"/>
          <w:w w:val="110"/>
          <w:sz w:val="18"/>
        </w:rPr>
        <w:t>Thomson/West</w:t>
      </w:r>
      <w:r>
        <w:rPr>
          <w:color w:val="383638"/>
          <w:spacing w:val="28"/>
          <w:w w:val="110"/>
          <w:sz w:val="18"/>
        </w:rPr>
        <w:t> </w:t>
      </w:r>
      <w:r>
        <w:rPr>
          <w:color w:val="383638"/>
          <w:w w:val="110"/>
          <w:sz w:val="18"/>
        </w:rPr>
        <w:t>2005).</w:t>
      </w:r>
    </w:p>
    <w:p>
      <w:pPr>
        <w:spacing w:after="0" w:line="205" w:lineRule="exact"/>
        <w:jc w:val="left"/>
        <w:rPr>
          <w:sz w:val="18"/>
        </w:rPr>
        <w:sectPr>
          <w:headerReference w:type="even" r:id="rId320"/>
          <w:headerReference w:type="default" r:id="rId321"/>
          <w:pgSz w:w="9830" w:h="14010"/>
          <w:pgMar w:header="0" w:footer="0" w:top="1060" w:bottom="0" w:left="1360" w:right="140"/>
          <w:pgNumType w:start="284"/>
        </w:sectPr>
      </w:pPr>
    </w:p>
    <w:p>
      <w:pPr>
        <w:pStyle w:val="BodyText"/>
        <w:spacing w:line="211" w:lineRule="auto" w:before="106"/>
        <w:ind w:left="278" w:right="314" w:firstLine="16"/>
      </w:pPr>
      <w:r>
        <w:rPr>
          <w:color w:val="3A383A"/>
          <w:w w:val="110"/>
        </w:rPr>
        <w:t>not print</w:t>
      </w:r>
      <w:r>
        <w:rPr>
          <w:color w:val="3A383A"/>
          <w:spacing w:val="-2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30"/>
          <w:w w:val="110"/>
        </w:rPr>
        <w:t> </w:t>
      </w:r>
      <w:r>
        <w:rPr>
          <w:color w:val="3A383A"/>
          <w:w w:val="110"/>
        </w:rPr>
        <w:t>final</w:t>
      </w:r>
      <w:r>
        <w:rPr>
          <w:color w:val="3A383A"/>
          <w:spacing w:val="4"/>
          <w:w w:val="110"/>
        </w:rPr>
        <w:t> </w:t>
      </w:r>
      <w:r>
        <w:rPr>
          <w:color w:val="3A383A"/>
          <w:w w:val="110"/>
        </w:rPr>
        <w:t>version</w:t>
      </w:r>
      <w:r>
        <w:rPr>
          <w:color w:val="3A383A"/>
          <w:spacing w:val="9"/>
          <w:w w:val="110"/>
        </w:rPr>
        <w:t> </w:t>
      </w:r>
      <w:r>
        <w:rPr>
          <w:color w:val="3A383A"/>
          <w:w w:val="110"/>
        </w:rPr>
        <w:t>of</w:t>
      </w:r>
      <w:r>
        <w:rPr>
          <w:color w:val="3A383A"/>
          <w:spacing w:val="23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46"/>
          <w:w w:val="110"/>
        </w:rPr>
        <w:t> </w:t>
      </w:r>
      <w:r>
        <w:rPr>
          <w:color w:val="3A383A"/>
          <w:w w:val="110"/>
        </w:rPr>
        <w:t>document</w:t>
      </w:r>
      <w:r>
        <w:rPr>
          <w:color w:val="3A383A"/>
          <w:spacing w:val="16"/>
          <w:w w:val="110"/>
        </w:rPr>
        <w:t> </w:t>
      </w:r>
      <w:r>
        <w:rPr>
          <w:color w:val="3A383A"/>
          <w:w w:val="110"/>
        </w:rPr>
        <w:t>until</w:t>
      </w:r>
      <w:r>
        <w:rPr>
          <w:color w:val="3A383A"/>
          <w:spacing w:val="-6"/>
          <w:w w:val="110"/>
        </w:rPr>
        <w:t> </w:t>
      </w:r>
      <w:r>
        <w:rPr>
          <w:color w:val="3A383A"/>
          <w:w w:val="110"/>
        </w:rPr>
        <w:t>you</w:t>
      </w:r>
      <w:r>
        <w:rPr>
          <w:color w:val="3A383A"/>
          <w:spacing w:val="-21"/>
          <w:w w:val="110"/>
        </w:rPr>
        <w:t> </w:t>
      </w:r>
      <w:r>
        <w:rPr>
          <w:color w:val="3A383A"/>
          <w:w w:val="110"/>
        </w:rPr>
        <w:t>can</w:t>
      </w:r>
      <w:r>
        <w:rPr>
          <w:color w:val="3A383A"/>
          <w:spacing w:val="10"/>
          <w:w w:val="110"/>
        </w:rPr>
        <w:t> </w:t>
      </w:r>
      <w:r>
        <w:rPr>
          <w:color w:val="3A383A"/>
          <w:w w:val="110"/>
        </w:rPr>
        <w:t>read</w:t>
      </w:r>
      <w:r>
        <w:rPr>
          <w:color w:val="3A383A"/>
          <w:spacing w:val="14"/>
          <w:w w:val="110"/>
        </w:rPr>
        <w:t> </w:t>
      </w:r>
      <w:r>
        <w:rPr>
          <w:color w:val="3A383A"/>
          <w:w w:val="110"/>
        </w:rPr>
        <w:t>it</w:t>
      </w:r>
      <w:r>
        <w:rPr>
          <w:color w:val="3A383A"/>
          <w:spacing w:val="27"/>
          <w:w w:val="110"/>
        </w:rPr>
        <w:t> </w:t>
      </w:r>
      <w:r>
        <w:rPr>
          <w:color w:val="3A383A"/>
          <w:w w:val="110"/>
        </w:rPr>
        <w:t>through</w:t>
      </w:r>
      <w:r>
        <w:rPr>
          <w:color w:val="3A383A"/>
          <w:spacing w:val="-60"/>
          <w:w w:val="110"/>
        </w:rPr>
        <w:t> </w:t>
      </w:r>
      <w:r>
        <w:rPr>
          <w:color w:val="3A383A"/>
          <w:w w:val="110"/>
        </w:rPr>
        <w:t>and</w:t>
      </w:r>
      <w:r>
        <w:rPr>
          <w:color w:val="3A383A"/>
          <w:spacing w:val="-17"/>
          <w:w w:val="110"/>
        </w:rPr>
        <w:t> </w:t>
      </w:r>
      <w:r>
        <w:rPr>
          <w:color w:val="3A383A"/>
          <w:w w:val="110"/>
        </w:rPr>
        <w:t>find</w:t>
      </w:r>
      <w:r>
        <w:rPr>
          <w:color w:val="3A383A"/>
          <w:spacing w:val="-3"/>
          <w:w w:val="110"/>
        </w:rPr>
        <w:t> </w:t>
      </w:r>
      <w:r>
        <w:rPr>
          <w:i/>
          <w:color w:val="3A383A"/>
          <w:w w:val="110"/>
          <w:sz w:val="25"/>
        </w:rPr>
        <w:t>no</w:t>
      </w:r>
      <w:r>
        <w:rPr>
          <w:i/>
          <w:color w:val="3A383A"/>
          <w:spacing w:val="-29"/>
          <w:w w:val="110"/>
          <w:sz w:val="25"/>
        </w:rPr>
        <w:t> </w:t>
      </w:r>
      <w:r>
        <w:rPr>
          <w:color w:val="3A383A"/>
          <w:w w:val="110"/>
        </w:rPr>
        <w:t>mistakes</w:t>
      </w:r>
      <w:r>
        <w:rPr>
          <w:color w:val="525254"/>
          <w:w w:val="110"/>
        </w:rPr>
        <w:t>.</w:t>
      </w:r>
    </w:p>
    <w:p>
      <w:pPr>
        <w:pStyle w:val="BodyText"/>
        <w:rPr>
          <w:sz w:val="28"/>
        </w:rPr>
      </w:pPr>
    </w:p>
    <w:p>
      <w:pPr>
        <w:spacing w:before="218"/>
        <w:ind w:left="839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3A383A"/>
          <w:w w:val="105"/>
          <w:sz w:val="32"/>
        </w:rPr>
        <w:t>1</w:t>
      </w:r>
      <w:r>
        <w:rPr>
          <w:rFonts w:ascii="Arial"/>
          <w:b/>
          <w:color w:val="525254"/>
          <w:w w:val="105"/>
          <w:sz w:val="32"/>
        </w:rPr>
        <w:t>2</w:t>
      </w:r>
      <w:r>
        <w:rPr>
          <w:rFonts w:ascii="Arial"/>
          <w:b/>
          <w:color w:val="3A383A"/>
          <w:w w:val="105"/>
          <w:sz w:val="32"/>
        </w:rPr>
        <w:t>.</w:t>
      </w:r>
      <w:r>
        <w:rPr>
          <w:rFonts w:ascii="Arial"/>
          <w:b/>
          <w:color w:val="525254"/>
          <w:w w:val="105"/>
          <w:sz w:val="32"/>
        </w:rPr>
        <w:t>3</w:t>
      </w:r>
    </w:p>
    <w:p>
      <w:pPr>
        <w:spacing w:before="83"/>
        <w:ind w:left="826" w:right="0" w:firstLine="0"/>
        <w:jc w:val="left"/>
        <w:rPr>
          <w:rFonts w:ascii="Arial"/>
          <w:sz w:val="25"/>
        </w:rPr>
      </w:pPr>
      <w:r>
        <w:rPr>
          <w:rFonts w:ascii="Arial"/>
          <w:color w:val="525254"/>
          <w:w w:val="105"/>
          <w:sz w:val="25"/>
        </w:rPr>
        <w:t>PR</w:t>
      </w:r>
      <w:r>
        <w:rPr>
          <w:rFonts w:ascii="Arial"/>
          <w:color w:val="727477"/>
          <w:w w:val="105"/>
          <w:sz w:val="25"/>
        </w:rPr>
        <w:t>OOFR</w:t>
      </w:r>
      <w:r>
        <w:rPr>
          <w:rFonts w:ascii="Arial"/>
          <w:color w:val="525254"/>
          <w:w w:val="105"/>
          <w:sz w:val="25"/>
        </w:rPr>
        <w:t>E</w:t>
      </w:r>
      <w:r>
        <w:rPr>
          <w:rFonts w:ascii="Arial"/>
          <w:color w:val="727477"/>
          <w:w w:val="105"/>
          <w:sz w:val="25"/>
        </w:rPr>
        <w:t>AD</w:t>
      </w:r>
      <w:r>
        <w:rPr>
          <w:rFonts w:ascii="Arial"/>
          <w:color w:val="525254"/>
          <w:w w:val="105"/>
          <w:sz w:val="25"/>
        </w:rPr>
        <w:t>ING</w:t>
      </w:r>
      <w:r>
        <w:rPr>
          <w:rFonts w:ascii="Arial"/>
          <w:color w:val="525254"/>
          <w:spacing w:val="36"/>
          <w:w w:val="105"/>
          <w:sz w:val="25"/>
        </w:rPr>
        <w:t> </w:t>
      </w:r>
      <w:r>
        <w:rPr>
          <w:rFonts w:ascii="Arial"/>
          <w:b/>
          <w:color w:val="646467"/>
          <w:w w:val="105"/>
          <w:sz w:val="26"/>
        </w:rPr>
        <w:t>YOUR</w:t>
      </w:r>
      <w:r>
        <w:rPr>
          <w:rFonts w:ascii="Arial"/>
          <w:b/>
          <w:color w:val="646467"/>
          <w:spacing w:val="26"/>
          <w:w w:val="105"/>
          <w:sz w:val="26"/>
        </w:rPr>
        <w:t> </w:t>
      </w:r>
      <w:r>
        <w:rPr>
          <w:rFonts w:ascii="Arial"/>
          <w:color w:val="727477"/>
          <w:w w:val="105"/>
          <w:sz w:val="25"/>
        </w:rPr>
        <w:t>RE</w:t>
      </w:r>
      <w:r>
        <w:rPr>
          <w:rFonts w:ascii="Arial"/>
          <w:color w:val="525254"/>
          <w:w w:val="105"/>
          <w:sz w:val="25"/>
        </w:rPr>
        <w:t>VISION</w:t>
      </w:r>
      <w:r>
        <w:rPr>
          <w:rFonts w:ascii="Arial"/>
          <w:color w:val="3A383A"/>
          <w:w w:val="105"/>
          <w:sz w:val="25"/>
        </w:rPr>
        <w:t>S</w:t>
      </w:r>
    </w:p>
    <w:p>
      <w:pPr>
        <w:pStyle w:val="BodyText"/>
        <w:spacing w:line="232" w:lineRule="auto" w:before="247"/>
        <w:ind w:left="287" w:right="570" w:firstLine="554"/>
        <w:jc w:val="both"/>
      </w:pPr>
      <w:r>
        <w:rPr>
          <w:color w:val="3A383A"/>
          <w:w w:val="110"/>
        </w:rPr>
        <w:t>Word processors have greatly improved the quality of written docu­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05"/>
        </w:rPr>
        <w:t>ments, but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they are also responsible for a new type of editing error. </w:t>
      </w:r>
      <w:r>
        <w:rPr>
          <w:color w:val="3A383A"/>
          <w:w w:val="105"/>
          <w:sz w:val="22"/>
        </w:rPr>
        <w:t>In </w:t>
      </w:r>
      <w:r>
        <w:rPr>
          <w:color w:val="3A383A"/>
          <w:w w:val="105"/>
        </w:rPr>
        <w:t>the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10"/>
        </w:rPr>
        <w:t>past</w:t>
      </w:r>
      <w:r>
        <w:rPr>
          <w:color w:val="525254"/>
          <w:w w:val="110"/>
        </w:rPr>
        <w:t>, </w:t>
      </w:r>
      <w:r>
        <w:rPr>
          <w:color w:val="3A383A"/>
          <w:w w:val="110"/>
        </w:rPr>
        <w:t>when a writer revised a do</w:t>
      </w:r>
      <w:r>
        <w:rPr>
          <w:color w:val="525254"/>
          <w:w w:val="110"/>
        </w:rPr>
        <w:t>c</w:t>
      </w:r>
      <w:r>
        <w:rPr>
          <w:color w:val="3A383A"/>
          <w:w w:val="110"/>
        </w:rPr>
        <w:t>ument, someone had to typ</w:t>
      </w:r>
      <w:r>
        <w:rPr>
          <w:color w:val="525254"/>
          <w:w w:val="110"/>
        </w:rPr>
        <w:t>e </w:t>
      </w:r>
      <w:r>
        <w:rPr>
          <w:color w:val="3A383A"/>
          <w:w w:val="110"/>
        </w:rPr>
        <w:t>the whole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thing</w:t>
      </w:r>
      <w:r>
        <w:rPr>
          <w:color w:val="3A383A"/>
          <w:spacing w:val="-15"/>
          <w:w w:val="110"/>
        </w:rPr>
        <w:t> </w:t>
      </w:r>
      <w:r>
        <w:rPr>
          <w:color w:val="3A383A"/>
          <w:w w:val="110"/>
        </w:rPr>
        <w:t>over</w:t>
      </w:r>
      <w:r>
        <w:rPr>
          <w:color w:val="3A383A"/>
          <w:spacing w:val="-22"/>
          <w:w w:val="110"/>
        </w:rPr>
        <w:t> </w:t>
      </w:r>
      <w:r>
        <w:rPr>
          <w:color w:val="3A383A"/>
          <w:w w:val="110"/>
        </w:rPr>
        <w:t>again,</w:t>
      </w:r>
      <w:r>
        <w:rPr>
          <w:color w:val="3A383A"/>
          <w:spacing w:val="-15"/>
          <w:w w:val="110"/>
        </w:rPr>
        <w:t> </w:t>
      </w:r>
      <w:r>
        <w:rPr>
          <w:color w:val="3A383A"/>
          <w:w w:val="110"/>
        </w:rPr>
        <w:t>and</w:t>
      </w:r>
      <w:r>
        <w:rPr>
          <w:color w:val="3A383A"/>
          <w:spacing w:val="15"/>
          <w:w w:val="110"/>
        </w:rPr>
        <w:t> </w:t>
      </w:r>
      <w:r>
        <w:rPr>
          <w:color w:val="3A383A"/>
          <w:w w:val="110"/>
        </w:rPr>
        <w:t>so</w:t>
      </w:r>
      <w:r>
        <w:rPr>
          <w:color w:val="3A383A"/>
          <w:spacing w:val="2"/>
          <w:w w:val="110"/>
        </w:rPr>
        <w:t> </w:t>
      </w:r>
      <w:r>
        <w:rPr>
          <w:color w:val="3A383A"/>
          <w:w w:val="110"/>
        </w:rPr>
        <w:t>it</w:t>
      </w:r>
      <w:r>
        <w:rPr>
          <w:color w:val="3A383A"/>
          <w:spacing w:val="3"/>
          <w:w w:val="110"/>
        </w:rPr>
        <w:t> </w:t>
      </w:r>
      <w:r>
        <w:rPr>
          <w:color w:val="3A383A"/>
          <w:w w:val="110"/>
        </w:rPr>
        <w:t>was</w:t>
      </w:r>
      <w:r>
        <w:rPr>
          <w:color w:val="3A383A"/>
          <w:spacing w:val="-22"/>
          <w:w w:val="110"/>
        </w:rPr>
        <w:t> </w:t>
      </w:r>
      <w:r>
        <w:rPr>
          <w:color w:val="3A383A"/>
          <w:w w:val="110"/>
        </w:rPr>
        <w:t>fairly</w:t>
      </w:r>
      <w:r>
        <w:rPr>
          <w:color w:val="3A383A"/>
          <w:spacing w:val="-13"/>
          <w:w w:val="110"/>
        </w:rPr>
        <w:t> </w:t>
      </w:r>
      <w:r>
        <w:rPr>
          <w:color w:val="3A383A"/>
          <w:w w:val="110"/>
        </w:rPr>
        <w:t>easy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to</w:t>
      </w:r>
      <w:r>
        <w:rPr>
          <w:color w:val="3A383A"/>
          <w:spacing w:val="5"/>
          <w:w w:val="110"/>
        </w:rPr>
        <w:t> </w:t>
      </w:r>
      <w:r>
        <w:rPr>
          <w:color w:val="3A383A"/>
          <w:w w:val="110"/>
        </w:rPr>
        <w:t>substitute</w:t>
      </w:r>
      <w:r>
        <w:rPr>
          <w:color w:val="3A383A"/>
          <w:spacing w:val="-8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23"/>
          <w:w w:val="110"/>
        </w:rPr>
        <w:t> </w:t>
      </w:r>
      <w:r>
        <w:rPr>
          <w:color w:val="3A383A"/>
          <w:w w:val="110"/>
        </w:rPr>
        <w:t>new</w:t>
      </w:r>
      <w:r>
        <w:rPr>
          <w:color w:val="3A383A"/>
          <w:spacing w:val="-32"/>
          <w:w w:val="110"/>
        </w:rPr>
        <w:t> </w:t>
      </w:r>
      <w:r>
        <w:rPr>
          <w:color w:val="3A383A"/>
          <w:w w:val="110"/>
        </w:rPr>
        <w:t>words</w:t>
      </w:r>
      <w:r>
        <w:rPr>
          <w:color w:val="3A383A"/>
          <w:spacing w:val="-18"/>
          <w:w w:val="110"/>
        </w:rPr>
        <w:t> </w:t>
      </w:r>
      <w:r>
        <w:rPr>
          <w:color w:val="3A383A"/>
          <w:w w:val="110"/>
        </w:rPr>
        <w:t>and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to leave the old words out. Now</w:t>
      </w:r>
      <w:r>
        <w:rPr>
          <w:color w:val="525254"/>
          <w:w w:val="110"/>
        </w:rPr>
        <w:t>, </w:t>
      </w:r>
      <w:r>
        <w:rPr>
          <w:color w:val="3A383A"/>
          <w:w w:val="110"/>
        </w:rPr>
        <w:t>with the constant editing that word pro­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cessors allow, it is not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uncommon to see both old and new versions </w:t>
      </w:r>
      <w:r>
        <w:rPr>
          <w:rFonts w:ascii="Arial" w:hAnsi="Arial"/>
          <w:color w:val="3A383A"/>
          <w:w w:val="110"/>
          <w:sz w:val="20"/>
        </w:rPr>
        <w:t>of </w:t>
      </w:r>
      <w:r>
        <w:rPr>
          <w:color w:val="3A383A"/>
          <w:w w:val="110"/>
        </w:rPr>
        <w:t>a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phrase within a document: The writer typed the new phrase and forgot to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delete the old one. Furthermore, writers who carelessly use the Find </w:t>
      </w:r>
      <w:r>
        <w:rPr>
          <w:color w:val="525254"/>
          <w:w w:val="110"/>
        </w:rPr>
        <w:t>an</w:t>
      </w:r>
      <w:r>
        <w:rPr>
          <w:color w:val="3A383A"/>
          <w:w w:val="110"/>
        </w:rPr>
        <w:t>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Replace</w:t>
      </w:r>
      <w:r>
        <w:rPr>
          <w:color w:val="3A383A"/>
          <w:spacing w:val="8"/>
          <w:w w:val="110"/>
        </w:rPr>
        <w:t> </w:t>
      </w:r>
      <w:r>
        <w:rPr>
          <w:color w:val="3A383A"/>
          <w:w w:val="110"/>
        </w:rPr>
        <w:t>feature fr</w:t>
      </w:r>
      <w:r>
        <w:rPr>
          <w:color w:val="525254"/>
          <w:w w:val="110"/>
        </w:rPr>
        <w:t>e</w:t>
      </w:r>
      <w:r>
        <w:rPr>
          <w:color w:val="3A383A"/>
          <w:w w:val="110"/>
        </w:rPr>
        <w:t>quently</w:t>
      </w:r>
      <w:r>
        <w:rPr>
          <w:color w:val="3A383A"/>
          <w:spacing w:val="9"/>
          <w:w w:val="110"/>
        </w:rPr>
        <w:t> </w:t>
      </w:r>
      <w:r>
        <w:rPr>
          <w:color w:val="3A383A"/>
          <w:w w:val="110"/>
        </w:rPr>
        <w:t>find</w:t>
      </w:r>
      <w:r>
        <w:rPr>
          <w:color w:val="3A383A"/>
          <w:spacing w:val="-11"/>
          <w:w w:val="110"/>
        </w:rPr>
        <w:t> </w:t>
      </w:r>
      <w:r>
        <w:rPr>
          <w:color w:val="3A383A"/>
          <w:w w:val="110"/>
        </w:rPr>
        <w:t>sentences</w:t>
      </w:r>
      <w:r>
        <w:rPr>
          <w:color w:val="3A383A"/>
          <w:spacing w:val="-8"/>
          <w:w w:val="110"/>
        </w:rPr>
        <w:t> </w:t>
      </w:r>
      <w:r>
        <w:rPr>
          <w:color w:val="3A383A"/>
          <w:w w:val="110"/>
        </w:rPr>
        <w:t>like</w:t>
      </w:r>
      <w:r>
        <w:rPr>
          <w:color w:val="3A383A"/>
          <w:spacing w:val="-8"/>
          <w:w w:val="110"/>
        </w:rPr>
        <w:t> </w:t>
      </w:r>
      <w:r>
        <w:rPr>
          <w:color w:val="3A383A"/>
          <w:w w:val="110"/>
        </w:rPr>
        <w:t>this</w:t>
      </w:r>
      <w:r>
        <w:rPr>
          <w:color w:val="3A383A"/>
          <w:spacing w:val="-14"/>
          <w:w w:val="110"/>
        </w:rPr>
        <w:t> </w:t>
      </w:r>
      <w:r>
        <w:rPr>
          <w:color w:val="3A383A"/>
          <w:w w:val="110"/>
        </w:rPr>
        <w:t>in</w:t>
      </w:r>
      <w:r>
        <w:rPr>
          <w:color w:val="3A383A"/>
          <w:spacing w:val="7"/>
          <w:w w:val="110"/>
        </w:rPr>
        <w:t> </w:t>
      </w:r>
      <w:r>
        <w:rPr>
          <w:color w:val="3A383A"/>
          <w:w w:val="110"/>
        </w:rPr>
        <w:t>their</w:t>
      </w:r>
      <w:r>
        <w:rPr>
          <w:color w:val="3A383A"/>
          <w:spacing w:val="3"/>
          <w:w w:val="110"/>
        </w:rPr>
        <w:t> </w:t>
      </w:r>
      <w:r>
        <w:rPr>
          <w:color w:val="3A383A"/>
          <w:w w:val="110"/>
        </w:rPr>
        <w:t>writing:</w:t>
      </w:r>
    </w:p>
    <w:p>
      <w:pPr>
        <w:pStyle w:val="BodyText"/>
        <w:spacing w:before="4"/>
        <w:rPr>
          <w:sz w:val="11"/>
        </w:rPr>
      </w:pPr>
    </w:p>
    <w:p>
      <w:pPr>
        <w:tabs>
          <w:tab w:pos="461" w:val="left" w:leader="none"/>
        </w:tabs>
        <w:spacing w:before="94"/>
        <w:ind w:left="110" w:right="0" w:firstLine="0"/>
        <w:jc w:val="left"/>
        <w:rPr>
          <w:sz w:val="15"/>
        </w:rPr>
      </w:pPr>
      <w:r>
        <w:rPr>
          <w:color w:val="3A383A"/>
          <w:w w:val="100"/>
          <w:sz w:val="15"/>
          <w:u w:val="thick" w:color="3A383A"/>
        </w:rPr>
        <w:t> </w:t>
      </w:r>
      <w:r>
        <w:rPr>
          <w:color w:val="3A383A"/>
          <w:sz w:val="15"/>
          <w:u w:val="thick" w:color="3A383A"/>
        </w:rPr>
        <w:tab/>
      </w:r>
      <w:r>
        <w:rPr>
          <w:color w:val="3A383A"/>
          <w:sz w:val="15"/>
        </w:rPr>
        <w:t>   </w:t>
      </w:r>
      <w:r>
        <w:rPr>
          <w:color w:val="3A383A"/>
          <w:spacing w:val="10"/>
          <w:sz w:val="15"/>
        </w:rPr>
        <w:t> </w:t>
      </w:r>
      <w:r>
        <w:rPr>
          <w:color w:val="3A383A"/>
          <w:w w:val="95"/>
          <w:sz w:val="15"/>
          <w:u w:val="thick" w:color="525254"/>
        </w:rPr>
        <w:t>B</w:t>
      </w:r>
      <w:r>
        <w:rPr>
          <w:color w:val="646467"/>
          <w:w w:val="95"/>
          <w:sz w:val="15"/>
          <w:u w:val="thick" w:color="525254"/>
        </w:rPr>
        <w:t>AD</w:t>
      </w:r>
      <w:r>
        <w:rPr>
          <w:color w:val="646467"/>
          <w:spacing w:val="8"/>
          <w:w w:val="95"/>
          <w:sz w:val="15"/>
          <w:u w:val="thick" w:color="525254"/>
        </w:rPr>
        <w:t> </w:t>
      </w:r>
      <w:r>
        <w:rPr>
          <w:color w:val="646467"/>
          <w:w w:val="95"/>
          <w:sz w:val="15"/>
          <w:u w:val="thick" w:color="525254"/>
        </w:rPr>
        <w:t>F.XAMP</w:t>
      </w:r>
      <w:r>
        <w:rPr>
          <w:color w:val="3A383A"/>
          <w:w w:val="95"/>
          <w:sz w:val="15"/>
          <w:u w:val="thick" w:color="525254"/>
        </w:rPr>
        <w:t>L</w:t>
      </w:r>
      <w:r>
        <w:rPr>
          <w:color w:val="525254"/>
          <w:w w:val="95"/>
          <w:sz w:val="15"/>
          <w:u w:val="thick" w:color="525254"/>
        </w:rPr>
        <w:t>E</w:t>
      </w:r>
    </w:p>
    <w:p>
      <w:pPr>
        <w:spacing w:before="79"/>
        <w:ind w:left="615" w:right="0" w:firstLine="0"/>
        <w:jc w:val="left"/>
        <w:rPr>
          <w:b/>
          <w:sz w:val="21"/>
        </w:rPr>
      </w:pPr>
      <w:r>
        <w:rPr>
          <w:b/>
          <w:color w:val="3A383A"/>
          <w:w w:val="105"/>
          <w:sz w:val="21"/>
        </w:rPr>
        <w:t>On</w:t>
      </w:r>
      <w:r>
        <w:rPr>
          <w:b/>
          <w:color w:val="3A383A"/>
          <w:spacing w:val="-4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Saturday,</w:t>
      </w:r>
      <w:r>
        <w:rPr>
          <w:b/>
          <w:color w:val="3A383A"/>
          <w:spacing w:val="32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the</w:t>
      </w:r>
      <w:r>
        <w:rPr>
          <w:b/>
          <w:color w:val="3A383A"/>
          <w:spacing w:val="48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Mr.</w:t>
      </w:r>
      <w:r>
        <w:rPr>
          <w:b/>
          <w:color w:val="3A383A"/>
          <w:spacing w:val="-17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Johnson</w:t>
      </w:r>
      <w:r>
        <w:rPr>
          <w:b/>
          <w:color w:val="3A383A"/>
          <w:spacing w:val="11"/>
          <w:w w:val="105"/>
          <w:sz w:val="21"/>
        </w:rPr>
        <w:t> </w:t>
      </w:r>
      <w:r>
        <w:rPr>
          <w:b/>
          <w:color w:val="3A383A"/>
          <w:w w:val="105"/>
          <w:sz w:val="21"/>
        </w:rPr>
        <w:t>returned home.</w:t>
      </w:r>
    </w:p>
    <w:p>
      <w:pPr>
        <w:pStyle w:val="BodyText"/>
        <w:spacing w:line="232" w:lineRule="auto" w:before="142"/>
        <w:ind w:left="287" w:right="487" w:firstLine="319"/>
        <w:jc w:val="both"/>
      </w:pPr>
      <w:r>
        <w:rPr>
          <w:color w:val="3A383A"/>
          <w:w w:val="110"/>
        </w:rPr>
        <w:t>Thebest way to avoid these types of errors is, once again, to focus your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0"/>
        </w:rPr>
        <w:t>proofreading on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different problems at  different  times. After e</w:t>
      </w:r>
      <w:r>
        <w:rPr>
          <w:color w:val="525254"/>
          <w:w w:val="110"/>
        </w:rPr>
        <w:t>ac</w:t>
      </w:r>
      <w:r>
        <w:rPr>
          <w:color w:val="3A383A"/>
          <w:w w:val="110"/>
        </w:rPr>
        <w:t>h  round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of edits, print out the hard copy and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highlight the words, lines, or para­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g</w:t>
      </w:r>
      <w:r>
        <w:rPr>
          <w:color w:val="525254"/>
          <w:w w:val="110"/>
        </w:rPr>
        <w:t>r</w:t>
      </w:r>
      <w:r>
        <w:rPr>
          <w:color w:val="3A383A"/>
          <w:w w:val="110"/>
        </w:rPr>
        <w:t>aphs in which edits occurred. Read those sections in isolation, so that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  <w:sz w:val="24"/>
        </w:rPr>
        <w:t>you </w:t>
      </w:r>
      <w:r>
        <w:rPr>
          <w:color w:val="3A383A"/>
          <w:w w:val="110"/>
        </w:rPr>
        <w:t>don't get caught up in the meaning of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words. In addition, </w:t>
      </w:r>
      <w:r>
        <w:rPr>
          <w:i/>
          <w:color w:val="3A383A"/>
          <w:w w:val="110"/>
          <w:sz w:val="24"/>
        </w:rPr>
        <w:t>never</w:t>
      </w:r>
      <w:r>
        <w:rPr>
          <w:i/>
          <w:color w:val="3A383A"/>
          <w:spacing w:val="1"/>
          <w:w w:val="110"/>
          <w:sz w:val="24"/>
        </w:rPr>
        <w:t> </w:t>
      </w:r>
      <w:r>
        <w:rPr>
          <w:color w:val="3A383A"/>
          <w:w w:val="110"/>
        </w:rPr>
        <w:t>use the Replace </w:t>
      </w:r>
      <w:r>
        <w:rPr>
          <w:color w:val="3A383A"/>
          <w:w w:val="110"/>
          <w:sz w:val="20"/>
        </w:rPr>
        <w:t>All </w:t>
      </w:r>
      <w:r>
        <w:rPr>
          <w:color w:val="3A383A"/>
          <w:w w:val="110"/>
        </w:rPr>
        <w:t>feature; doing so causes mistakes like the one shown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above because it's difficult to envision all of the contexts in whi</w:t>
      </w:r>
      <w:r>
        <w:rPr>
          <w:color w:val="525254"/>
          <w:w w:val="110"/>
        </w:rPr>
        <w:t>c</w:t>
      </w:r>
      <w:r>
        <w:rPr>
          <w:color w:val="3A383A"/>
          <w:w w:val="110"/>
        </w:rPr>
        <w:t>h a word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or phrase might appear. Instead, </w:t>
      </w:r>
      <w:r>
        <w:rPr>
          <w:color w:val="262323"/>
          <w:w w:val="110"/>
        </w:rPr>
        <w:t>look </w:t>
      </w:r>
      <w:r>
        <w:rPr>
          <w:color w:val="3A383A"/>
          <w:w w:val="110"/>
        </w:rPr>
        <w:t>at each use of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word you are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replacing</w:t>
      </w:r>
      <w:r>
        <w:rPr>
          <w:color w:val="3A383A"/>
          <w:spacing w:val="3"/>
          <w:w w:val="110"/>
        </w:rPr>
        <w:t> </w:t>
      </w:r>
      <w:r>
        <w:rPr>
          <w:color w:val="3A383A"/>
          <w:w w:val="110"/>
        </w:rPr>
        <w:t>to</w:t>
      </w:r>
      <w:r>
        <w:rPr>
          <w:color w:val="3A383A"/>
          <w:spacing w:val="16"/>
          <w:w w:val="110"/>
        </w:rPr>
        <w:t> </w:t>
      </w:r>
      <w:r>
        <w:rPr>
          <w:color w:val="3A383A"/>
          <w:w w:val="110"/>
        </w:rPr>
        <w:t>avoid</w:t>
      </w:r>
      <w:r>
        <w:rPr>
          <w:color w:val="3A383A"/>
          <w:spacing w:val="9"/>
          <w:w w:val="110"/>
        </w:rPr>
        <w:t> </w:t>
      </w:r>
      <w:r>
        <w:rPr>
          <w:color w:val="3A383A"/>
          <w:w w:val="110"/>
        </w:rPr>
        <w:t>mistakes.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0"/>
        <w:ind w:left="858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525254"/>
          <w:w w:val="105"/>
          <w:sz w:val="32"/>
        </w:rPr>
        <w:t>1</w:t>
      </w:r>
      <w:r>
        <w:rPr>
          <w:rFonts w:ascii="Arial"/>
          <w:b/>
          <w:color w:val="727477"/>
          <w:w w:val="105"/>
          <w:sz w:val="32"/>
        </w:rPr>
        <w:t>2.4</w:t>
      </w:r>
    </w:p>
    <w:p>
      <w:pPr>
        <w:spacing w:before="93"/>
        <w:ind w:left="849" w:right="0" w:firstLine="0"/>
        <w:jc w:val="left"/>
        <w:rPr>
          <w:rFonts w:ascii="Arial"/>
          <w:sz w:val="25"/>
        </w:rPr>
      </w:pPr>
      <w:r>
        <w:rPr>
          <w:rFonts w:ascii="Arial"/>
          <w:color w:val="525254"/>
          <w:spacing w:val="-1"/>
          <w:w w:val="115"/>
          <w:sz w:val="25"/>
        </w:rPr>
        <w:t>T</w:t>
      </w:r>
      <w:r>
        <w:rPr>
          <w:rFonts w:ascii="Arial"/>
          <w:color w:val="727477"/>
          <w:spacing w:val="-1"/>
          <w:w w:val="115"/>
          <w:sz w:val="25"/>
        </w:rPr>
        <w:t>HE</w:t>
      </w:r>
      <w:r>
        <w:rPr>
          <w:rFonts w:ascii="Arial"/>
          <w:color w:val="727477"/>
          <w:spacing w:val="-31"/>
          <w:w w:val="115"/>
          <w:sz w:val="25"/>
        </w:rPr>
        <w:t> </w:t>
      </w:r>
      <w:r>
        <w:rPr>
          <w:rFonts w:ascii="Arial"/>
          <w:color w:val="727477"/>
          <w:spacing w:val="-1"/>
          <w:w w:val="115"/>
          <w:sz w:val="25"/>
        </w:rPr>
        <w:t>LAST</w:t>
      </w:r>
      <w:r>
        <w:rPr>
          <w:rFonts w:ascii="Arial"/>
          <w:color w:val="727477"/>
          <w:spacing w:val="-16"/>
          <w:w w:val="115"/>
          <w:sz w:val="25"/>
        </w:rPr>
        <w:t> </w:t>
      </w:r>
      <w:r>
        <w:rPr>
          <w:rFonts w:ascii="Arial"/>
          <w:color w:val="525254"/>
          <w:spacing w:val="-1"/>
          <w:w w:val="115"/>
          <w:sz w:val="25"/>
        </w:rPr>
        <w:t>T</w:t>
      </w:r>
      <w:r>
        <w:rPr>
          <w:rFonts w:ascii="Arial"/>
          <w:color w:val="727477"/>
          <w:spacing w:val="-1"/>
          <w:w w:val="115"/>
          <w:sz w:val="25"/>
        </w:rPr>
        <w:t>HIN</w:t>
      </w:r>
      <w:r>
        <w:rPr>
          <w:rFonts w:ascii="Arial"/>
          <w:color w:val="525254"/>
          <w:spacing w:val="-1"/>
          <w:w w:val="115"/>
          <w:sz w:val="25"/>
        </w:rPr>
        <w:t>G</w:t>
      </w:r>
      <w:r>
        <w:rPr>
          <w:rFonts w:ascii="Arial"/>
          <w:color w:val="525254"/>
          <w:spacing w:val="23"/>
          <w:w w:val="115"/>
          <w:sz w:val="25"/>
        </w:rPr>
        <w:t> </w:t>
      </w:r>
      <w:r>
        <w:rPr>
          <w:rFonts w:ascii="Arial"/>
          <w:color w:val="646467"/>
          <w:spacing w:val="-1"/>
          <w:w w:val="115"/>
          <w:sz w:val="25"/>
        </w:rPr>
        <w:t>TO</w:t>
      </w:r>
      <w:r>
        <w:rPr>
          <w:rFonts w:ascii="Arial"/>
          <w:color w:val="646467"/>
          <w:spacing w:val="3"/>
          <w:w w:val="115"/>
          <w:sz w:val="25"/>
        </w:rPr>
        <w:t> </w:t>
      </w:r>
      <w:r>
        <w:rPr>
          <w:rFonts w:ascii="Arial"/>
          <w:color w:val="727477"/>
          <w:spacing w:val="-1"/>
          <w:w w:val="115"/>
          <w:sz w:val="25"/>
        </w:rPr>
        <w:t>DO</w:t>
      </w:r>
      <w:r>
        <w:rPr>
          <w:rFonts w:ascii="Arial"/>
          <w:color w:val="727477"/>
          <w:spacing w:val="30"/>
          <w:w w:val="115"/>
          <w:sz w:val="25"/>
        </w:rPr>
        <w:t> </w:t>
      </w:r>
      <w:r>
        <w:rPr>
          <w:rFonts w:ascii="Arial"/>
          <w:color w:val="727477"/>
          <w:w w:val="115"/>
          <w:sz w:val="25"/>
        </w:rPr>
        <w:t>WITH</w:t>
      </w:r>
      <w:r>
        <w:rPr>
          <w:rFonts w:ascii="Arial"/>
          <w:color w:val="727477"/>
          <w:spacing w:val="-11"/>
          <w:w w:val="115"/>
          <w:sz w:val="25"/>
        </w:rPr>
        <w:t> </w:t>
      </w:r>
      <w:r>
        <w:rPr>
          <w:rFonts w:ascii="Arial"/>
          <w:color w:val="646467"/>
          <w:w w:val="115"/>
          <w:sz w:val="25"/>
        </w:rPr>
        <w:t>THE</w:t>
      </w:r>
      <w:r>
        <w:rPr>
          <w:rFonts w:ascii="Arial"/>
          <w:color w:val="646467"/>
          <w:spacing w:val="1"/>
          <w:w w:val="115"/>
          <w:sz w:val="25"/>
        </w:rPr>
        <w:t> </w:t>
      </w:r>
      <w:r>
        <w:rPr>
          <w:rFonts w:ascii="Arial"/>
          <w:color w:val="727477"/>
          <w:w w:val="115"/>
          <w:sz w:val="25"/>
        </w:rPr>
        <w:t>DOCUMEN</w:t>
      </w:r>
      <w:r>
        <w:rPr>
          <w:rFonts w:ascii="Arial"/>
          <w:color w:val="525254"/>
          <w:w w:val="115"/>
          <w:sz w:val="25"/>
        </w:rPr>
        <w:t>T</w:t>
      </w:r>
    </w:p>
    <w:p>
      <w:pPr>
        <w:pStyle w:val="BodyText"/>
        <w:spacing w:line="232" w:lineRule="auto" w:before="239"/>
        <w:ind w:left="313" w:right="404" w:firstLine="545"/>
        <w:jc w:val="both"/>
      </w:pPr>
      <w:r>
        <w:rPr>
          <w:color w:val="3A383A"/>
          <w:w w:val="115"/>
        </w:rPr>
        <w:t>This section is </w:t>
      </w:r>
      <w:r>
        <w:rPr>
          <w:color w:val="262323"/>
          <w:w w:val="115"/>
        </w:rPr>
        <w:t>really </w:t>
      </w:r>
      <w:r>
        <w:rPr>
          <w:color w:val="3A383A"/>
          <w:w w:val="115"/>
        </w:rPr>
        <w:t>about the second-to-the</w:t>
      </w:r>
      <w:r>
        <w:rPr>
          <w:color w:val="525254"/>
          <w:w w:val="115"/>
        </w:rPr>
        <w:t>-</w:t>
      </w:r>
      <w:r>
        <w:rPr>
          <w:color w:val="3A383A"/>
          <w:w w:val="115"/>
        </w:rPr>
        <w:t>last thing to do with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thedocument. The last thing you should do is file it with the court. But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the last proofreading method you should use with your document is to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read it aloud, out of order. Either start in the middle</w:t>
      </w:r>
      <w:r>
        <w:rPr>
          <w:color w:val="525254"/>
          <w:w w:val="115"/>
        </w:rPr>
        <w:t>, </w:t>
      </w:r>
      <w:r>
        <w:rPr>
          <w:color w:val="3A383A"/>
          <w:w w:val="115"/>
        </w:rPr>
        <w:t>start on the last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page and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then read the second-</w:t>
      </w:r>
      <w:r>
        <w:rPr>
          <w:color w:val="525254"/>
          <w:w w:val="115"/>
        </w:rPr>
        <w:t>t</w:t>
      </w:r>
      <w:r>
        <w:rPr>
          <w:color w:val="3A383A"/>
          <w:w w:val="115"/>
        </w:rPr>
        <w:t>o-the-last page, and so on</w:t>
      </w:r>
      <w:r>
        <w:rPr>
          <w:color w:val="525254"/>
          <w:w w:val="115"/>
        </w:rPr>
        <w:t>, </w:t>
      </w:r>
      <w:r>
        <w:rPr>
          <w:color w:val="3A383A"/>
          <w:w w:val="115"/>
        </w:rPr>
        <w:t>or mix up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thepages and read them in a random order. Whichever method you use,</w:t>
      </w:r>
      <w:r>
        <w:rPr>
          <w:color w:val="3A383A"/>
          <w:spacing w:val="-64"/>
          <w:w w:val="115"/>
        </w:rPr>
        <w:t> </w:t>
      </w:r>
      <w:r>
        <w:rPr>
          <w:color w:val="3A383A"/>
          <w:w w:val="115"/>
        </w:rPr>
        <w:t>your goal is to pay attention to individual words and sentences rather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than to get swept away by your no doubt fascinating discussion of the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law.</w:t>
      </w:r>
    </w:p>
    <w:p>
      <w:pPr>
        <w:spacing w:after="0" w:line="232" w:lineRule="auto"/>
        <w:jc w:val="both"/>
        <w:sectPr>
          <w:pgSz w:w="9760" w:h="14010"/>
          <w:pgMar w:header="0" w:footer="0" w:top="1180" w:bottom="280" w:left="80" w:right="1360"/>
        </w:sectPr>
      </w:pPr>
    </w:p>
    <w:p>
      <w:pPr>
        <w:spacing w:before="80"/>
        <w:ind w:left="1439" w:right="0" w:firstLine="0"/>
        <w:jc w:val="left"/>
        <w:rPr>
          <w:rFonts w:ascii="Arial"/>
          <w:b/>
          <w:sz w:val="33"/>
        </w:rPr>
      </w:pPr>
      <w:r>
        <w:rPr>
          <w:rFonts w:ascii="Arial"/>
          <w:b/>
          <w:color w:val="363334"/>
          <w:w w:val="105"/>
          <w:sz w:val="33"/>
        </w:rPr>
        <w:t>12.5</w:t>
      </w:r>
    </w:p>
    <w:p>
      <w:pPr>
        <w:spacing w:before="54"/>
        <w:ind w:left="1422" w:right="0" w:firstLine="0"/>
        <w:jc w:val="left"/>
        <w:rPr>
          <w:b/>
          <w:sz w:val="28"/>
        </w:rPr>
      </w:pPr>
      <w:r>
        <w:rPr>
          <w:b/>
          <w:color w:val="363334"/>
          <w:sz w:val="28"/>
        </w:rPr>
        <w:t>SUMMARY</w:t>
      </w:r>
    </w:p>
    <w:p>
      <w:pPr>
        <w:spacing w:line="223" w:lineRule="auto" w:before="222"/>
        <w:ind w:left="778" w:right="117" w:firstLine="632"/>
        <w:jc w:val="both"/>
        <w:rPr>
          <w:sz w:val="24"/>
        </w:rPr>
      </w:pPr>
      <w:r>
        <w:rPr>
          <w:color w:val="363334"/>
          <w:w w:val="105"/>
          <w:sz w:val="24"/>
        </w:rPr>
        <w:t>In</w:t>
      </w:r>
      <w:r>
        <w:rPr>
          <w:color w:val="363334"/>
          <w:spacing w:val="1"/>
          <w:w w:val="105"/>
          <w:sz w:val="24"/>
        </w:rPr>
        <w:t> </w:t>
      </w:r>
      <w:r>
        <w:rPr>
          <w:color w:val="363334"/>
          <w:w w:val="105"/>
          <w:sz w:val="24"/>
        </w:rPr>
        <w:t>practice, you will often need to write and file documents in a</w:t>
      </w:r>
      <w:r>
        <w:rPr>
          <w:color w:val="363334"/>
          <w:spacing w:val="1"/>
          <w:w w:val="105"/>
          <w:sz w:val="24"/>
        </w:rPr>
        <w:t> </w:t>
      </w:r>
      <w:r>
        <w:rPr>
          <w:color w:val="363334"/>
          <w:w w:val="105"/>
          <w:sz w:val="24"/>
        </w:rPr>
        <w:t>hurry, without time to polish and proofread in a leisurely way. Take the</w:t>
      </w:r>
      <w:r>
        <w:rPr>
          <w:color w:val="363334"/>
          <w:spacing w:val="1"/>
          <w:w w:val="105"/>
          <w:sz w:val="24"/>
        </w:rPr>
        <w:t> </w:t>
      </w:r>
      <w:r>
        <w:rPr>
          <w:color w:val="363334"/>
          <w:w w:val="105"/>
          <w:sz w:val="24"/>
        </w:rPr>
        <w:t>time now to develop an effective polishing process. When you submit</w:t>
      </w:r>
      <w:r>
        <w:rPr>
          <w:color w:val="363334"/>
          <w:spacing w:val="1"/>
          <w:w w:val="105"/>
          <w:sz w:val="24"/>
        </w:rPr>
        <w:t> </w:t>
      </w:r>
      <w:r>
        <w:rPr>
          <w:color w:val="363334"/>
          <w:w w:val="105"/>
          <w:sz w:val="24"/>
        </w:rPr>
        <w:t>documents that demonstrate professionalism in both content and presen­</w:t>
      </w:r>
      <w:r>
        <w:rPr>
          <w:color w:val="363334"/>
          <w:spacing w:val="1"/>
          <w:w w:val="105"/>
          <w:sz w:val="24"/>
        </w:rPr>
        <w:t> </w:t>
      </w:r>
      <w:r>
        <w:rPr>
          <w:color w:val="363334"/>
          <w:w w:val="105"/>
          <w:sz w:val="24"/>
        </w:rPr>
        <w:t>tation, you enhance your credibility and increase your opportunities for</w:t>
      </w:r>
      <w:r>
        <w:rPr>
          <w:color w:val="363334"/>
          <w:spacing w:val="1"/>
          <w:w w:val="105"/>
          <w:sz w:val="24"/>
        </w:rPr>
        <w:t> </w:t>
      </w:r>
      <w:r>
        <w:rPr>
          <w:color w:val="363334"/>
          <w:w w:val="105"/>
          <w:sz w:val="24"/>
        </w:rPr>
        <w:t>success</w:t>
      </w:r>
      <w:r>
        <w:rPr>
          <w:color w:val="363334"/>
          <w:spacing w:val="-11"/>
          <w:w w:val="105"/>
          <w:sz w:val="24"/>
        </w:rPr>
        <w:t> </w:t>
      </w:r>
      <w:r>
        <w:rPr>
          <w:color w:val="363334"/>
          <w:w w:val="105"/>
          <w:sz w:val="24"/>
        </w:rPr>
        <w:t>in</w:t>
      </w:r>
      <w:r>
        <w:rPr>
          <w:color w:val="363334"/>
          <w:spacing w:val="18"/>
          <w:w w:val="105"/>
          <w:sz w:val="24"/>
        </w:rPr>
        <w:t> </w:t>
      </w:r>
      <w:r>
        <w:rPr>
          <w:color w:val="363334"/>
          <w:w w:val="105"/>
          <w:sz w:val="24"/>
        </w:rPr>
        <w:t>law</w:t>
      </w:r>
      <w:r>
        <w:rPr>
          <w:color w:val="363334"/>
          <w:spacing w:val="-12"/>
          <w:w w:val="105"/>
          <w:sz w:val="24"/>
        </w:rPr>
        <w:t> </w:t>
      </w:r>
      <w:r>
        <w:rPr>
          <w:color w:val="363334"/>
          <w:w w:val="105"/>
          <w:sz w:val="24"/>
        </w:rPr>
        <w:t>practice</w:t>
      </w:r>
      <w:r>
        <w:rPr>
          <w:color w:val="565656"/>
          <w:w w:val="105"/>
          <w:sz w:val="24"/>
        </w:rPr>
        <w:t>.</w:t>
      </w:r>
    </w:p>
    <w:p>
      <w:pPr>
        <w:spacing w:after="0" w:line="223" w:lineRule="auto"/>
        <w:jc w:val="both"/>
        <w:rPr>
          <w:sz w:val="24"/>
        </w:rPr>
        <w:sectPr>
          <w:headerReference w:type="even" r:id="rId322"/>
          <w:pgSz w:w="9790" w:h="14010"/>
          <w:pgMar w:header="485" w:footer="0" w:top="1100" w:bottom="0" w:left="1360" w:right="120"/>
          <w:pgNumType w:start="286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spacing w:before="95"/>
        <w:ind w:left="0" w:right="99" w:firstLine="0"/>
        <w:jc w:val="right"/>
        <w:rPr>
          <w:rFonts w:ascii="Arial"/>
          <w:i/>
          <w:sz w:val="19"/>
        </w:rPr>
      </w:pPr>
      <w:r>
        <w:rPr>
          <w:rFonts w:ascii="Arial"/>
          <w:i/>
          <w:color w:val="383636"/>
          <w:sz w:val="19"/>
        </w:rPr>
        <w:t>2B7</w:t>
      </w:r>
    </w:p>
    <w:p>
      <w:pPr>
        <w:spacing w:before="147"/>
        <w:ind w:left="222" w:right="0" w:firstLine="0"/>
        <w:jc w:val="left"/>
        <w:rPr>
          <w:rFonts w:ascii="Arial"/>
          <w:b/>
          <w:sz w:val="16"/>
        </w:rPr>
      </w:pPr>
      <w:r>
        <w:rPr/>
        <w:pict>
          <v:shape style="position:absolute;margin-left:24.31415pt;margin-top:9.253895pt;width:8.9pt;height:33.950pt;mso-position-horizontal-relative:page;mso-position-vertical-relative:paragraph;z-index:-21590528" type="#_x0000_t202" id="docshape520" filled="false" stroked="false">
            <v:textbox inset="0,0,0,0">
              <w:txbxContent>
                <w:p>
                  <w:pPr>
                    <w:spacing w:line="678" w:lineRule="exact" w:before="0"/>
                    <w:ind w:left="0" w:right="0" w:firstLine="0"/>
                    <w:jc w:val="left"/>
                    <w:rPr>
                      <w:sz w:val="61"/>
                    </w:rPr>
                  </w:pPr>
                  <w:r>
                    <w:rPr>
                      <w:color w:val="383636"/>
                      <w:w w:val="87"/>
                      <w:sz w:val="6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383636"/>
          <w:w w:val="85"/>
          <w:sz w:val="16"/>
        </w:rPr>
        <w:t>C:</w:t>
      </w:r>
    </w:p>
    <w:p>
      <w:pPr>
        <w:pStyle w:val="BodyText"/>
        <w:spacing w:before="8"/>
        <w:rPr>
          <w:rFonts w:ascii="Arial"/>
          <w:b/>
          <w:sz w:val="26"/>
        </w:rPr>
      </w:pPr>
    </w:p>
    <w:p>
      <w:pPr>
        <w:spacing w:before="0"/>
        <w:ind w:left="140" w:right="0" w:firstLine="0"/>
        <w:jc w:val="left"/>
        <w:rPr>
          <w:sz w:val="46"/>
        </w:rPr>
      </w:pPr>
      <w:r>
        <w:rPr/>
        <w:pict>
          <v:shape style="position:absolute;margin-left:24.81506pt;margin-top:7.232537pt;width:7.85pt;height:26.7pt;mso-position-horizontal-relative:page;mso-position-vertical-relative:paragraph;z-index:-21590016" type="#_x0000_t202" id="docshape521" filled="false" stroked="false">
            <v:textbox inset="0,0,0,0">
              <w:txbxContent>
                <w:p>
                  <w:pPr>
                    <w:spacing w:line="533" w:lineRule="exact" w:before="0"/>
                    <w:ind w:left="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383636"/>
                      <w:w w:val="65"/>
                      <w:sz w:val="48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color w:val="383636"/>
          <w:spacing w:val="-78"/>
          <w:w w:val="87"/>
          <w:sz w:val="46"/>
        </w:rPr>
        <w:t>!</w:t>
      </w:r>
    </w:p>
    <w:p>
      <w:pPr>
        <w:spacing w:before="49"/>
        <w:ind w:left="224" w:right="0" w:firstLine="0"/>
        <w:jc w:val="left"/>
        <w:rPr>
          <w:rFonts w:ascii="Arial"/>
          <w:b/>
          <w:sz w:val="13"/>
        </w:rPr>
      </w:pPr>
      <w:r>
        <w:rPr/>
        <w:pict>
          <v:shape style="position:absolute;margin-left:24.748739pt;margin-top:5.833513pt;width:4.6pt;height:18.350pt;mso-position-horizontal-relative:page;mso-position-vertical-relative:paragraph;z-index:-21591040" type="#_x0000_t202" id="docshape522" filled="false" stroked="false">
            <v:textbox inset="0,0,0,0">
              <w:txbxContent>
                <w:p>
                  <w:pPr>
                    <w:spacing w:line="367" w:lineRule="exact" w:before="0"/>
                    <w:ind w:left="0" w:right="0" w:firstLine="0"/>
                    <w:jc w:val="left"/>
                    <w:rPr>
                      <w:b/>
                      <w:sz w:val="33"/>
                    </w:rPr>
                  </w:pPr>
                  <w:r>
                    <w:rPr>
                      <w:b/>
                      <w:color w:val="383636"/>
                      <w:w w:val="99"/>
                      <w:sz w:val="3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383636"/>
          <w:sz w:val="13"/>
        </w:rPr>
        <w:t>QI</w:t>
      </w: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spacing w:line="172" w:lineRule="exact" w:before="0"/>
        <w:ind w:left="226" w:right="0" w:firstLine="0"/>
        <w:jc w:val="left"/>
        <w:rPr>
          <w:sz w:val="17"/>
        </w:rPr>
      </w:pPr>
      <w:r>
        <w:rPr>
          <w:color w:val="383636"/>
          <w:w w:val="110"/>
          <w:sz w:val="17"/>
        </w:rPr>
        <w:t>II</w:t>
      </w:r>
    </w:p>
    <w:p>
      <w:pPr>
        <w:tabs>
          <w:tab w:pos="628" w:val="left" w:leader="none"/>
        </w:tabs>
        <w:spacing w:line="425" w:lineRule="exact" w:before="0"/>
        <w:ind w:left="174" w:right="0" w:firstLine="0"/>
        <w:jc w:val="left"/>
        <w:rPr>
          <w:rFonts w:ascii="Arial"/>
          <w:b/>
          <w:sz w:val="39"/>
        </w:rPr>
      </w:pPr>
      <w:r>
        <w:rPr>
          <w:color w:val="383636"/>
          <w:w w:val="105"/>
          <w:sz w:val="37"/>
        </w:rPr>
        <w:t>5</w:t>
        <w:tab/>
      </w:r>
      <w:r>
        <w:rPr>
          <w:rFonts w:ascii="Arial"/>
          <w:b/>
          <w:color w:val="494849"/>
          <w:w w:val="105"/>
          <w:sz w:val="39"/>
        </w:rPr>
        <w:t>OIRAL</w:t>
      </w:r>
      <w:r>
        <w:rPr>
          <w:rFonts w:ascii="Arial"/>
          <w:b/>
          <w:color w:val="494849"/>
          <w:spacing w:val="-10"/>
          <w:w w:val="105"/>
          <w:sz w:val="39"/>
        </w:rPr>
        <w:t> </w:t>
      </w:r>
      <w:r>
        <w:rPr>
          <w:rFonts w:ascii="Arial"/>
          <w:b/>
          <w:color w:val="5E5E60"/>
          <w:w w:val="105"/>
          <w:sz w:val="39"/>
        </w:rPr>
        <w:t>ARGUMEN</w:t>
      </w:r>
      <w:r>
        <w:rPr>
          <w:rFonts w:ascii="Arial"/>
          <w:b/>
          <w:color w:val="383636"/>
          <w:w w:val="105"/>
          <w:sz w:val="39"/>
        </w:rPr>
        <w:t>T</w:t>
      </w:r>
    </w:p>
    <w:p>
      <w:pPr>
        <w:pStyle w:val="BodyText"/>
        <w:spacing w:before="10"/>
        <w:rPr>
          <w:rFonts w:ascii="Arial"/>
          <w:b/>
          <w:sz w:val="57"/>
        </w:rPr>
      </w:pPr>
    </w:p>
    <w:p>
      <w:pPr>
        <w:pStyle w:val="ListParagraph"/>
        <w:numPr>
          <w:ilvl w:val="1"/>
          <w:numId w:val="111"/>
        </w:numPr>
        <w:tabs>
          <w:tab w:pos="1327" w:val="left" w:leader="none"/>
        </w:tabs>
        <w:spacing w:line="241" w:lineRule="exact" w:before="0" w:after="0"/>
        <w:ind w:left="1326" w:right="0" w:hanging="621"/>
        <w:jc w:val="left"/>
        <w:rPr>
          <w:rFonts w:ascii="Arial"/>
          <w:b/>
          <w:color w:val="383636"/>
          <w:sz w:val="20"/>
        </w:rPr>
      </w:pPr>
      <w:r>
        <w:rPr>
          <w:color w:val="383636"/>
          <w:w w:val="105"/>
          <w:sz w:val="21"/>
        </w:rPr>
        <w:t>Purpose</w:t>
      </w:r>
      <w:r>
        <w:rPr>
          <w:color w:val="383636"/>
          <w:spacing w:val="-9"/>
          <w:w w:val="105"/>
          <w:sz w:val="21"/>
        </w:rPr>
        <w:t> </w:t>
      </w:r>
      <w:r>
        <w:rPr>
          <w:color w:val="383636"/>
          <w:w w:val="105"/>
          <w:sz w:val="21"/>
        </w:rPr>
        <w:t>of</w:t>
      </w:r>
      <w:r>
        <w:rPr>
          <w:color w:val="383636"/>
          <w:spacing w:val="29"/>
          <w:w w:val="105"/>
          <w:sz w:val="21"/>
        </w:rPr>
        <w:t> </w:t>
      </w:r>
      <w:r>
        <w:rPr>
          <w:color w:val="383636"/>
          <w:w w:val="105"/>
          <w:sz w:val="21"/>
        </w:rPr>
        <w:t>Oral</w:t>
      </w:r>
      <w:r>
        <w:rPr>
          <w:color w:val="383636"/>
          <w:spacing w:val="6"/>
          <w:w w:val="105"/>
          <w:sz w:val="21"/>
        </w:rPr>
        <w:t> </w:t>
      </w:r>
      <w:r>
        <w:rPr>
          <w:color w:val="383636"/>
          <w:w w:val="105"/>
          <w:sz w:val="21"/>
        </w:rPr>
        <w:t>Argument</w:t>
      </w:r>
    </w:p>
    <w:p>
      <w:pPr>
        <w:pStyle w:val="ListParagraph"/>
        <w:numPr>
          <w:ilvl w:val="1"/>
          <w:numId w:val="111"/>
        </w:numPr>
        <w:tabs>
          <w:tab w:pos="1327" w:val="left" w:leader="none"/>
        </w:tabs>
        <w:spacing w:line="241" w:lineRule="exact" w:before="0" w:after="0"/>
        <w:ind w:left="1326" w:right="0" w:hanging="621"/>
        <w:jc w:val="left"/>
        <w:rPr>
          <w:rFonts w:ascii="Arial"/>
          <w:b/>
          <w:color w:val="383636"/>
          <w:sz w:val="20"/>
        </w:rPr>
      </w:pPr>
      <w:r>
        <w:rPr>
          <w:color w:val="383636"/>
          <w:w w:val="110"/>
          <w:sz w:val="21"/>
        </w:rPr>
        <w:t>Format</w:t>
      </w:r>
    </w:p>
    <w:p>
      <w:pPr>
        <w:pStyle w:val="ListParagraph"/>
        <w:numPr>
          <w:ilvl w:val="1"/>
          <w:numId w:val="111"/>
        </w:numPr>
        <w:tabs>
          <w:tab w:pos="1325" w:val="left" w:leader="none"/>
        </w:tabs>
        <w:spacing w:line="236" w:lineRule="exact" w:before="0" w:after="0"/>
        <w:ind w:left="1324" w:right="0" w:hanging="619"/>
        <w:jc w:val="left"/>
        <w:rPr>
          <w:rFonts w:ascii="Arial"/>
          <w:b/>
          <w:color w:val="383636"/>
          <w:sz w:val="20"/>
        </w:rPr>
      </w:pPr>
      <w:r>
        <w:rPr>
          <w:color w:val="383636"/>
          <w:w w:val="105"/>
          <w:sz w:val="21"/>
        </w:rPr>
        <w:t>Intellectual</w:t>
      </w:r>
      <w:r>
        <w:rPr>
          <w:color w:val="383636"/>
          <w:spacing w:val="23"/>
          <w:w w:val="105"/>
          <w:sz w:val="21"/>
        </w:rPr>
        <w:t> </w:t>
      </w:r>
      <w:r>
        <w:rPr>
          <w:color w:val="494849"/>
          <w:w w:val="105"/>
          <w:sz w:val="21"/>
        </w:rPr>
        <w:t>Preparation:</w:t>
      </w:r>
      <w:r>
        <w:rPr>
          <w:color w:val="494849"/>
          <w:spacing w:val="7"/>
          <w:w w:val="105"/>
          <w:sz w:val="21"/>
        </w:rPr>
        <w:t> </w:t>
      </w:r>
      <w:r>
        <w:rPr>
          <w:color w:val="383636"/>
          <w:w w:val="105"/>
          <w:sz w:val="21"/>
        </w:rPr>
        <w:t>What</w:t>
      </w:r>
      <w:r>
        <w:rPr>
          <w:color w:val="383636"/>
          <w:spacing w:val="17"/>
          <w:w w:val="105"/>
          <w:sz w:val="21"/>
        </w:rPr>
        <w:t> </w:t>
      </w:r>
      <w:r>
        <w:rPr>
          <w:color w:val="383636"/>
          <w:w w:val="105"/>
          <w:sz w:val="21"/>
        </w:rPr>
        <w:t>Do</w:t>
      </w:r>
      <w:r>
        <w:rPr>
          <w:color w:val="383636"/>
          <w:spacing w:val="7"/>
          <w:w w:val="105"/>
          <w:sz w:val="21"/>
        </w:rPr>
        <w:t> </w:t>
      </w:r>
      <w:r>
        <w:rPr>
          <w:color w:val="383636"/>
          <w:w w:val="105"/>
          <w:sz w:val="21"/>
        </w:rPr>
        <w:t>You</w:t>
      </w:r>
      <w:r>
        <w:rPr>
          <w:color w:val="383636"/>
          <w:spacing w:val="14"/>
          <w:w w:val="105"/>
          <w:sz w:val="21"/>
        </w:rPr>
        <w:t> </w:t>
      </w:r>
      <w:r>
        <w:rPr>
          <w:color w:val="383636"/>
          <w:w w:val="105"/>
          <w:sz w:val="21"/>
        </w:rPr>
        <w:t>Need</w:t>
      </w:r>
      <w:r>
        <w:rPr>
          <w:color w:val="383636"/>
          <w:spacing w:val="19"/>
          <w:w w:val="105"/>
          <w:sz w:val="21"/>
        </w:rPr>
        <w:t> </w:t>
      </w:r>
      <w:r>
        <w:rPr>
          <w:color w:val="383636"/>
          <w:w w:val="105"/>
          <w:sz w:val="21"/>
        </w:rPr>
        <w:t>to</w:t>
      </w:r>
      <w:r>
        <w:rPr>
          <w:color w:val="383636"/>
          <w:spacing w:val="34"/>
          <w:w w:val="105"/>
          <w:sz w:val="21"/>
        </w:rPr>
        <w:t> </w:t>
      </w:r>
      <w:r>
        <w:rPr>
          <w:color w:val="383636"/>
          <w:w w:val="105"/>
          <w:sz w:val="21"/>
        </w:rPr>
        <w:t>Know?</w:t>
      </w:r>
    </w:p>
    <w:p>
      <w:pPr>
        <w:pStyle w:val="ListParagraph"/>
        <w:numPr>
          <w:ilvl w:val="2"/>
          <w:numId w:val="111"/>
        </w:numPr>
        <w:tabs>
          <w:tab w:pos="2128" w:val="left" w:leader="none"/>
        </w:tabs>
        <w:spacing w:line="236" w:lineRule="exact" w:before="0" w:after="0"/>
        <w:ind w:left="2127" w:right="0" w:hanging="824"/>
        <w:jc w:val="left"/>
        <w:rPr>
          <w:rFonts w:ascii="Arial"/>
          <w:b/>
          <w:color w:val="383636"/>
          <w:sz w:val="20"/>
        </w:rPr>
      </w:pPr>
      <w:r>
        <w:rPr>
          <w:color w:val="383636"/>
          <w:sz w:val="21"/>
        </w:rPr>
        <w:t>Deciding</w:t>
      </w:r>
      <w:r>
        <w:rPr>
          <w:color w:val="383636"/>
          <w:spacing w:val="3"/>
          <w:sz w:val="21"/>
        </w:rPr>
        <w:t> </w:t>
      </w:r>
      <w:r>
        <w:rPr>
          <w:color w:val="383636"/>
          <w:sz w:val="21"/>
        </w:rPr>
        <w:t>What</w:t>
      </w:r>
      <w:r>
        <w:rPr>
          <w:color w:val="383636"/>
          <w:spacing w:val="8"/>
          <w:sz w:val="21"/>
        </w:rPr>
        <w:t> </w:t>
      </w:r>
      <w:r>
        <w:rPr>
          <w:color w:val="383636"/>
          <w:sz w:val="21"/>
        </w:rPr>
        <w:t>Points</w:t>
      </w:r>
      <w:r>
        <w:rPr>
          <w:color w:val="383636"/>
          <w:spacing w:val="12"/>
          <w:sz w:val="21"/>
        </w:rPr>
        <w:t> </w:t>
      </w:r>
      <w:r>
        <w:rPr>
          <w:color w:val="383636"/>
          <w:sz w:val="21"/>
        </w:rPr>
        <w:t>to</w:t>
      </w:r>
      <w:r>
        <w:rPr>
          <w:color w:val="383636"/>
          <w:spacing w:val="23"/>
          <w:sz w:val="21"/>
        </w:rPr>
        <w:t> </w:t>
      </w:r>
      <w:r>
        <w:rPr>
          <w:color w:val="383636"/>
          <w:sz w:val="21"/>
        </w:rPr>
        <w:t>Argue</w:t>
      </w:r>
    </w:p>
    <w:p>
      <w:pPr>
        <w:pStyle w:val="ListParagraph"/>
        <w:numPr>
          <w:ilvl w:val="2"/>
          <w:numId w:val="111"/>
        </w:numPr>
        <w:tabs>
          <w:tab w:pos="2124" w:val="left" w:leader="none"/>
        </w:tabs>
        <w:spacing w:line="240" w:lineRule="auto" w:before="8" w:after="0"/>
        <w:ind w:left="2123" w:right="0" w:hanging="810"/>
        <w:jc w:val="left"/>
        <w:rPr>
          <w:rFonts w:ascii="Arial"/>
          <w:b/>
          <w:color w:val="383636"/>
          <w:sz w:val="20"/>
        </w:rPr>
      </w:pPr>
      <w:r>
        <w:rPr>
          <w:color w:val="383636"/>
          <w:w w:val="110"/>
          <w:sz w:val="20"/>
        </w:rPr>
        <w:t>Gathering</w:t>
      </w:r>
      <w:r>
        <w:rPr>
          <w:color w:val="383636"/>
          <w:spacing w:val="8"/>
          <w:w w:val="110"/>
          <w:sz w:val="20"/>
        </w:rPr>
        <w:t> </w:t>
      </w:r>
      <w:r>
        <w:rPr>
          <w:color w:val="383636"/>
          <w:w w:val="110"/>
          <w:sz w:val="20"/>
        </w:rPr>
        <w:t>Information</w:t>
      </w:r>
    </w:p>
    <w:p>
      <w:pPr>
        <w:pStyle w:val="ListParagraph"/>
        <w:numPr>
          <w:ilvl w:val="1"/>
          <w:numId w:val="111"/>
        </w:numPr>
        <w:tabs>
          <w:tab w:pos="1337" w:val="left" w:leader="none"/>
        </w:tabs>
        <w:spacing w:line="240" w:lineRule="auto" w:before="2" w:after="0"/>
        <w:ind w:left="1337" w:right="1694" w:hanging="622"/>
        <w:jc w:val="left"/>
        <w:rPr>
          <w:rFonts w:ascii="Arial"/>
          <w:b/>
          <w:color w:val="383636"/>
          <w:sz w:val="20"/>
        </w:rPr>
      </w:pPr>
      <w:r>
        <w:rPr>
          <w:color w:val="383636"/>
          <w:w w:val="105"/>
          <w:sz w:val="21"/>
        </w:rPr>
        <w:t>Preparation of</w:t>
      </w:r>
      <w:r>
        <w:rPr>
          <w:color w:val="383636"/>
          <w:spacing w:val="1"/>
          <w:w w:val="105"/>
          <w:sz w:val="21"/>
        </w:rPr>
        <w:t> </w:t>
      </w:r>
      <w:r>
        <w:rPr>
          <w:color w:val="383636"/>
          <w:w w:val="105"/>
          <w:sz w:val="21"/>
        </w:rPr>
        <w:t>Written Materials: What </w:t>
      </w:r>
      <w:r>
        <w:rPr>
          <w:color w:val="494849"/>
          <w:w w:val="105"/>
          <w:sz w:val="21"/>
        </w:rPr>
        <w:t>Shou</w:t>
      </w:r>
      <w:r>
        <w:rPr>
          <w:color w:val="282426"/>
          <w:w w:val="105"/>
          <w:sz w:val="21"/>
        </w:rPr>
        <w:t>ld</w:t>
      </w:r>
      <w:r>
        <w:rPr>
          <w:color w:val="282426"/>
          <w:spacing w:val="1"/>
          <w:w w:val="105"/>
          <w:sz w:val="21"/>
        </w:rPr>
        <w:t> </w:t>
      </w:r>
      <w:r>
        <w:rPr>
          <w:color w:val="383636"/>
          <w:w w:val="105"/>
          <w:sz w:val="21"/>
        </w:rPr>
        <w:t>You</w:t>
      </w:r>
      <w:r>
        <w:rPr>
          <w:color w:val="383636"/>
          <w:spacing w:val="1"/>
          <w:w w:val="105"/>
          <w:sz w:val="21"/>
        </w:rPr>
        <w:t> </w:t>
      </w:r>
      <w:r>
        <w:rPr>
          <w:color w:val="383636"/>
          <w:w w:val="105"/>
          <w:sz w:val="21"/>
        </w:rPr>
        <w:t>Bring</w:t>
      </w:r>
      <w:r>
        <w:rPr>
          <w:color w:val="383636"/>
          <w:spacing w:val="-53"/>
          <w:w w:val="105"/>
          <w:sz w:val="21"/>
        </w:rPr>
        <w:t> </w:t>
      </w:r>
      <w:r>
        <w:rPr>
          <w:color w:val="383636"/>
          <w:w w:val="110"/>
          <w:sz w:val="21"/>
        </w:rPr>
        <w:t>to</w:t>
      </w:r>
      <w:r>
        <w:rPr>
          <w:color w:val="383636"/>
          <w:spacing w:val="22"/>
          <w:w w:val="110"/>
          <w:sz w:val="21"/>
        </w:rPr>
        <w:t> </w:t>
      </w:r>
      <w:r>
        <w:rPr>
          <w:color w:val="383636"/>
          <w:w w:val="110"/>
          <w:sz w:val="21"/>
        </w:rPr>
        <w:t>the</w:t>
      </w:r>
      <w:r>
        <w:rPr>
          <w:color w:val="383636"/>
          <w:spacing w:val="25"/>
          <w:w w:val="110"/>
          <w:sz w:val="21"/>
        </w:rPr>
        <w:t> </w:t>
      </w:r>
      <w:r>
        <w:rPr>
          <w:color w:val="383636"/>
          <w:w w:val="110"/>
          <w:sz w:val="21"/>
        </w:rPr>
        <w:t>Courtroom?</w:t>
      </w:r>
    </w:p>
    <w:p>
      <w:pPr>
        <w:pStyle w:val="ListParagraph"/>
        <w:numPr>
          <w:ilvl w:val="1"/>
          <w:numId w:val="111"/>
        </w:numPr>
        <w:tabs>
          <w:tab w:pos="1337" w:val="left" w:leader="none"/>
        </w:tabs>
        <w:spacing w:line="239" w:lineRule="exact" w:before="0" w:after="0"/>
        <w:ind w:left="1336" w:right="0" w:hanging="621"/>
        <w:jc w:val="left"/>
        <w:rPr>
          <w:rFonts w:ascii="Arial"/>
          <w:b/>
          <w:color w:val="282426"/>
          <w:sz w:val="20"/>
        </w:rPr>
      </w:pPr>
      <w:r>
        <w:rPr>
          <w:color w:val="383636"/>
          <w:w w:val="110"/>
          <w:sz w:val="21"/>
        </w:rPr>
        <w:t>Presenting</w:t>
      </w:r>
      <w:r>
        <w:rPr>
          <w:color w:val="383636"/>
          <w:spacing w:val="-4"/>
          <w:w w:val="110"/>
          <w:sz w:val="21"/>
        </w:rPr>
        <w:t> </w:t>
      </w:r>
      <w:r>
        <w:rPr>
          <w:color w:val="383636"/>
          <w:w w:val="110"/>
          <w:sz w:val="21"/>
        </w:rPr>
        <w:t>the</w:t>
      </w:r>
      <w:r>
        <w:rPr>
          <w:color w:val="383636"/>
          <w:spacing w:val="8"/>
          <w:w w:val="110"/>
          <w:sz w:val="21"/>
        </w:rPr>
        <w:t> </w:t>
      </w:r>
      <w:r>
        <w:rPr>
          <w:color w:val="383636"/>
          <w:w w:val="110"/>
          <w:sz w:val="21"/>
        </w:rPr>
        <w:t>Argument</w:t>
      </w:r>
    </w:p>
    <w:p>
      <w:pPr>
        <w:tabs>
          <w:tab w:pos="2135" w:val="left" w:leader="none"/>
        </w:tabs>
        <w:spacing w:line="230" w:lineRule="exact" w:before="0"/>
        <w:ind w:left="1314" w:right="0" w:firstLine="0"/>
        <w:jc w:val="left"/>
        <w:rPr>
          <w:sz w:val="20"/>
        </w:rPr>
      </w:pPr>
      <w:r>
        <w:rPr>
          <w:rFonts w:ascii="Arial"/>
          <w:b/>
          <w:color w:val="383636"/>
          <w:w w:val="110"/>
          <w:sz w:val="20"/>
        </w:rPr>
        <w:t>13.S.1</w:t>
        <w:tab/>
      </w:r>
      <w:r>
        <w:rPr>
          <w:color w:val="383636"/>
          <w:w w:val="110"/>
          <w:sz w:val="20"/>
        </w:rPr>
        <w:t>Introduction</w:t>
      </w:r>
    </w:p>
    <w:p>
      <w:pPr>
        <w:pStyle w:val="ListParagraph"/>
        <w:numPr>
          <w:ilvl w:val="2"/>
          <w:numId w:val="112"/>
        </w:numPr>
        <w:tabs>
          <w:tab w:pos="2124" w:val="left" w:leader="none"/>
          <w:tab w:pos="2125" w:val="left" w:leader="none"/>
        </w:tabs>
        <w:spacing w:line="241" w:lineRule="exact" w:before="1" w:after="0"/>
        <w:ind w:left="2124" w:right="0" w:hanging="811"/>
        <w:jc w:val="left"/>
        <w:rPr>
          <w:rFonts w:ascii="Arial"/>
          <w:b/>
          <w:color w:val="383636"/>
          <w:sz w:val="20"/>
        </w:rPr>
      </w:pPr>
      <w:r>
        <w:rPr>
          <w:color w:val="383636"/>
          <w:sz w:val="21"/>
        </w:rPr>
        <w:t>The</w:t>
      </w:r>
      <w:r>
        <w:rPr>
          <w:color w:val="383636"/>
          <w:spacing w:val="-2"/>
          <w:sz w:val="21"/>
        </w:rPr>
        <w:t> </w:t>
      </w:r>
      <w:r>
        <w:rPr>
          <w:color w:val="383636"/>
          <w:sz w:val="21"/>
        </w:rPr>
        <w:t>Argument</w:t>
      </w:r>
      <w:r>
        <w:rPr>
          <w:color w:val="383636"/>
          <w:spacing w:val="23"/>
          <w:sz w:val="21"/>
        </w:rPr>
        <w:t> </w:t>
      </w:r>
      <w:r>
        <w:rPr>
          <w:color w:val="383636"/>
          <w:sz w:val="21"/>
        </w:rPr>
        <w:t>Itself</w:t>
      </w:r>
    </w:p>
    <w:p>
      <w:pPr>
        <w:pStyle w:val="ListParagraph"/>
        <w:numPr>
          <w:ilvl w:val="2"/>
          <w:numId w:val="112"/>
        </w:numPr>
        <w:tabs>
          <w:tab w:pos="2125" w:val="left" w:leader="none"/>
        </w:tabs>
        <w:spacing w:line="230" w:lineRule="exact" w:before="0" w:after="0"/>
        <w:ind w:left="2124" w:right="0" w:hanging="811"/>
        <w:jc w:val="left"/>
        <w:rPr>
          <w:rFonts w:ascii="Arial"/>
          <w:b/>
          <w:color w:val="282426"/>
          <w:sz w:val="20"/>
        </w:rPr>
      </w:pPr>
      <w:r>
        <w:rPr>
          <w:color w:val="383636"/>
          <w:w w:val="110"/>
          <w:sz w:val="20"/>
        </w:rPr>
        <w:t>The</w:t>
      </w:r>
      <w:r>
        <w:rPr>
          <w:color w:val="383636"/>
          <w:spacing w:val="-8"/>
          <w:w w:val="110"/>
          <w:sz w:val="20"/>
        </w:rPr>
        <w:t> </w:t>
      </w:r>
      <w:r>
        <w:rPr>
          <w:color w:val="494849"/>
          <w:w w:val="110"/>
          <w:sz w:val="20"/>
        </w:rPr>
        <w:t>Conclusion</w:t>
      </w:r>
    </w:p>
    <w:p>
      <w:pPr>
        <w:pStyle w:val="ListParagraph"/>
        <w:numPr>
          <w:ilvl w:val="1"/>
          <w:numId w:val="111"/>
        </w:numPr>
        <w:tabs>
          <w:tab w:pos="1345" w:val="left" w:leader="none"/>
          <w:tab w:pos="1346" w:val="left" w:leader="none"/>
        </w:tabs>
        <w:spacing w:line="236" w:lineRule="exact" w:before="11" w:after="0"/>
        <w:ind w:left="1345" w:right="0" w:hanging="630"/>
        <w:jc w:val="left"/>
        <w:rPr>
          <w:rFonts w:ascii="Arial"/>
          <w:b/>
          <w:color w:val="282426"/>
          <w:sz w:val="20"/>
        </w:rPr>
      </w:pPr>
      <w:r>
        <w:rPr>
          <w:color w:val="383636"/>
          <w:w w:val="110"/>
          <w:sz w:val="21"/>
        </w:rPr>
        <w:t>Handling</w:t>
      </w:r>
      <w:r>
        <w:rPr>
          <w:color w:val="383636"/>
          <w:spacing w:val="-6"/>
          <w:w w:val="110"/>
          <w:sz w:val="21"/>
        </w:rPr>
        <w:t> </w:t>
      </w:r>
      <w:r>
        <w:rPr>
          <w:color w:val="383636"/>
          <w:w w:val="110"/>
          <w:sz w:val="21"/>
        </w:rPr>
        <w:t>Questions</w:t>
      </w:r>
      <w:r>
        <w:rPr>
          <w:color w:val="383636"/>
          <w:spacing w:val="-10"/>
          <w:w w:val="110"/>
          <w:sz w:val="21"/>
        </w:rPr>
        <w:t> </w:t>
      </w:r>
      <w:r>
        <w:rPr>
          <w:color w:val="383636"/>
          <w:w w:val="110"/>
          <w:sz w:val="21"/>
        </w:rPr>
        <w:t>from</w:t>
      </w:r>
      <w:r>
        <w:rPr>
          <w:color w:val="383636"/>
          <w:spacing w:val="-3"/>
          <w:w w:val="110"/>
          <w:sz w:val="21"/>
        </w:rPr>
        <w:t> </w:t>
      </w:r>
      <w:r>
        <w:rPr>
          <w:color w:val="383636"/>
          <w:w w:val="110"/>
          <w:sz w:val="21"/>
        </w:rPr>
        <w:t>the</w:t>
      </w:r>
      <w:r>
        <w:rPr>
          <w:color w:val="383636"/>
          <w:spacing w:val="17"/>
          <w:w w:val="110"/>
          <w:sz w:val="21"/>
        </w:rPr>
        <w:t> </w:t>
      </w:r>
      <w:r>
        <w:rPr>
          <w:color w:val="383636"/>
          <w:w w:val="110"/>
          <w:sz w:val="21"/>
        </w:rPr>
        <w:t>Bench</w:t>
      </w:r>
    </w:p>
    <w:p>
      <w:pPr>
        <w:pStyle w:val="ListParagraph"/>
        <w:numPr>
          <w:ilvl w:val="1"/>
          <w:numId w:val="111"/>
        </w:numPr>
        <w:tabs>
          <w:tab w:pos="1346" w:val="left" w:leader="none"/>
        </w:tabs>
        <w:spacing w:line="236" w:lineRule="exact" w:before="0" w:after="0"/>
        <w:ind w:left="1345" w:right="0" w:hanging="630"/>
        <w:jc w:val="left"/>
        <w:rPr>
          <w:rFonts w:ascii="Arial"/>
          <w:b/>
          <w:color w:val="383636"/>
          <w:sz w:val="20"/>
        </w:rPr>
      </w:pPr>
      <w:r>
        <w:rPr>
          <w:color w:val="383636"/>
          <w:w w:val="110"/>
          <w:sz w:val="21"/>
        </w:rPr>
        <w:t>Rebuttal</w:t>
      </w:r>
    </w:p>
    <w:p>
      <w:pPr>
        <w:pStyle w:val="ListParagraph"/>
        <w:numPr>
          <w:ilvl w:val="1"/>
          <w:numId w:val="111"/>
        </w:numPr>
        <w:tabs>
          <w:tab w:pos="1347" w:val="left" w:leader="none"/>
        </w:tabs>
        <w:spacing w:line="241" w:lineRule="exact" w:before="0" w:after="0"/>
        <w:ind w:left="1346" w:right="0" w:hanging="631"/>
        <w:jc w:val="left"/>
        <w:rPr>
          <w:rFonts w:ascii="Arial"/>
          <w:b/>
          <w:color w:val="383636"/>
          <w:sz w:val="20"/>
        </w:rPr>
      </w:pPr>
      <w:r>
        <w:rPr>
          <w:color w:val="383636"/>
          <w:w w:val="105"/>
          <w:sz w:val="21"/>
        </w:rPr>
        <w:t>Word</w:t>
      </w:r>
      <w:r>
        <w:rPr>
          <w:color w:val="383636"/>
          <w:spacing w:val="11"/>
          <w:w w:val="105"/>
          <w:sz w:val="21"/>
        </w:rPr>
        <w:t> </w:t>
      </w:r>
      <w:r>
        <w:rPr>
          <w:color w:val="383636"/>
          <w:w w:val="105"/>
          <w:sz w:val="21"/>
        </w:rPr>
        <w:t>Use</w:t>
      </w:r>
    </w:p>
    <w:p>
      <w:pPr>
        <w:pStyle w:val="ListParagraph"/>
        <w:numPr>
          <w:ilvl w:val="1"/>
          <w:numId w:val="111"/>
        </w:numPr>
        <w:tabs>
          <w:tab w:pos="1347" w:val="left" w:leader="none"/>
        </w:tabs>
        <w:spacing w:line="236" w:lineRule="exact" w:before="0" w:after="0"/>
        <w:ind w:left="1346" w:right="0" w:hanging="622"/>
        <w:jc w:val="left"/>
        <w:rPr>
          <w:rFonts w:ascii="Arial"/>
          <w:b/>
          <w:color w:val="383636"/>
          <w:sz w:val="20"/>
        </w:rPr>
      </w:pPr>
      <w:r>
        <w:rPr>
          <w:color w:val="383636"/>
          <w:w w:val="105"/>
          <w:sz w:val="21"/>
        </w:rPr>
        <w:t>Public</w:t>
      </w:r>
      <w:r>
        <w:rPr>
          <w:color w:val="383636"/>
          <w:spacing w:val="-6"/>
          <w:w w:val="105"/>
          <w:sz w:val="21"/>
        </w:rPr>
        <w:t> </w:t>
      </w:r>
      <w:r>
        <w:rPr>
          <w:color w:val="383636"/>
          <w:w w:val="105"/>
          <w:sz w:val="21"/>
        </w:rPr>
        <w:t>Speaking Tips</w:t>
      </w:r>
    </w:p>
    <w:p>
      <w:pPr>
        <w:pStyle w:val="ListParagraph"/>
        <w:numPr>
          <w:ilvl w:val="1"/>
          <w:numId w:val="111"/>
        </w:numPr>
        <w:tabs>
          <w:tab w:pos="1337" w:val="left" w:leader="none"/>
        </w:tabs>
        <w:spacing w:line="236" w:lineRule="exact" w:before="0" w:after="0"/>
        <w:ind w:left="1336" w:right="0" w:hanging="612"/>
        <w:jc w:val="left"/>
        <w:rPr>
          <w:rFonts w:ascii="Arial"/>
          <w:b/>
          <w:color w:val="282426"/>
          <w:sz w:val="20"/>
        </w:rPr>
      </w:pPr>
      <w:r>
        <w:rPr>
          <w:color w:val="383636"/>
          <w:w w:val="110"/>
          <w:sz w:val="21"/>
        </w:rPr>
        <w:t>Summary</w:t>
      </w:r>
    </w:p>
    <w:p>
      <w:pPr>
        <w:pStyle w:val="BodyText"/>
        <w:spacing w:before="1"/>
      </w:pPr>
    </w:p>
    <w:p>
      <w:pPr>
        <w:pStyle w:val="BodyText"/>
        <w:spacing w:line="235" w:lineRule="auto" w:before="96"/>
        <w:ind w:left="106" w:right="715" w:firstLine="553"/>
        <w:jc w:val="both"/>
      </w:pPr>
      <w:r>
        <w:rPr>
          <w:color w:val="383636"/>
          <w:w w:val="115"/>
        </w:rPr>
        <w:t>Supreme Court Rule 28.1 provides that oral argument "should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emphasize and clarify the written arguments in the briefs on the merits.</w:t>
      </w:r>
      <w:r>
        <w:rPr>
          <w:color w:val="383636"/>
          <w:spacing w:val="1"/>
          <w:w w:val="110"/>
        </w:rPr>
        <w:t> </w:t>
      </w:r>
      <w:r>
        <w:rPr>
          <w:color w:val="494849"/>
          <w:w w:val="110"/>
        </w:rPr>
        <w:t>Counsel </w:t>
      </w:r>
      <w:r>
        <w:rPr>
          <w:color w:val="383636"/>
          <w:w w:val="110"/>
        </w:rPr>
        <w:t>should assume that all </w:t>
      </w:r>
      <w:r>
        <w:rPr>
          <w:color w:val="282426"/>
          <w:w w:val="110"/>
        </w:rPr>
        <w:t>Justices </w:t>
      </w:r>
      <w:r>
        <w:rPr>
          <w:color w:val="383636"/>
          <w:w w:val="110"/>
        </w:rPr>
        <w:t>have read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briefs before oral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argument.</w:t>
      </w:r>
      <w:r>
        <w:rPr>
          <w:color w:val="383636"/>
          <w:spacing w:val="-1"/>
          <w:w w:val="110"/>
        </w:rPr>
        <w:t> </w:t>
      </w:r>
      <w:r>
        <w:rPr>
          <w:color w:val="383636"/>
          <w:w w:val="110"/>
        </w:rPr>
        <w:t>Oral</w:t>
      </w:r>
      <w:r>
        <w:rPr>
          <w:color w:val="383636"/>
          <w:spacing w:val="-8"/>
          <w:w w:val="110"/>
        </w:rPr>
        <w:t> </w:t>
      </w:r>
      <w:r>
        <w:rPr>
          <w:color w:val="383636"/>
          <w:w w:val="110"/>
        </w:rPr>
        <w:t>argument</w:t>
      </w:r>
      <w:r>
        <w:rPr>
          <w:color w:val="383636"/>
          <w:spacing w:val="17"/>
          <w:w w:val="110"/>
        </w:rPr>
        <w:t> </w:t>
      </w:r>
      <w:r>
        <w:rPr>
          <w:color w:val="383636"/>
          <w:w w:val="110"/>
        </w:rPr>
        <w:t>read</w:t>
      </w:r>
      <w:r>
        <w:rPr>
          <w:color w:val="383636"/>
          <w:spacing w:val="-1"/>
          <w:w w:val="110"/>
        </w:rPr>
        <w:t> </w:t>
      </w:r>
      <w:r>
        <w:rPr>
          <w:color w:val="383636"/>
          <w:w w:val="110"/>
        </w:rPr>
        <w:t>from</w:t>
      </w:r>
      <w:r>
        <w:rPr>
          <w:color w:val="383636"/>
          <w:spacing w:val="9"/>
          <w:w w:val="110"/>
        </w:rPr>
        <w:t> </w:t>
      </w:r>
      <w:r>
        <w:rPr>
          <w:color w:val="383636"/>
          <w:w w:val="110"/>
        </w:rPr>
        <w:t>a</w:t>
      </w:r>
      <w:r>
        <w:rPr>
          <w:color w:val="383636"/>
          <w:spacing w:val="11"/>
          <w:w w:val="110"/>
        </w:rPr>
        <w:t> </w:t>
      </w:r>
      <w:r>
        <w:rPr>
          <w:color w:val="383636"/>
          <w:w w:val="110"/>
        </w:rPr>
        <w:t>prepared</w:t>
      </w:r>
      <w:r>
        <w:rPr>
          <w:color w:val="383636"/>
          <w:spacing w:val="25"/>
          <w:w w:val="110"/>
        </w:rPr>
        <w:t> </w:t>
      </w:r>
      <w:r>
        <w:rPr>
          <w:color w:val="383636"/>
          <w:w w:val="110"/>
        </w:rPr>
        <w:t>text</w:t>
      </w:r>
      <w:r>
        <w:rPr>
          <w:color w:val="383636"/>
          <w:spacing w:val="-9"/>
          <w:w w:val="110"/>
        </w:rPr>
        <w:t> </w:t>
      </w:r>
      <w:r>
        <w:rPr>
          <w:color w:val="383636"/>
          <w:w w:val="110"/>
        </w:rPr>
        <w:t>is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not</w:t>
      </w:r>
      <w:r>
        <w:rPr>
          <w:color w:val="383636"/>
          <w:spacing w:val="12"/>
          <w:w w:val="110"/>
        </w:rPr>
        <w:t> </w:t>
      </w:r>
      <w:r>
        <w:rPr>
          <w:color w:val="383636"/>
          <w:w w:val="110"/>
        </w:rPr>
        <w:t>favored."</w:t>
      </w:r>
    </w:p>
    <w:p>
      <w:pPr>
        <w:pStyle w:val="BodyText"/>
        <w:spacing w:line="232" w:lineRule="auto"/>
        <w:ind w:left="100" w:right="619" w:firstLine="350"/>
        <w:jc w:val="both"/>
      </w:pPr>
      <w:r>
        <w:rPr>
          <w:color w:val="383636"/>
          <w:w w:val="110"/>
        </w:rPr>
        <w:t>Although most law students think of the oral argument first when they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think of appellate advocacy and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motions, most  judges agree that the brief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is more important than the oral argument. Justice Ginsburg has observed</w:t>
      </w:r>
      <w:r>
        <w:rPr>
          <w:color w:val="383636"/>
          <w:spacing w:val="1"/>
          <w:w w:val="110"/>
        </w:rPr>
        <w:t> </w:t>
      </w:r>
      <w:r>
        <w:rPr>
          <w:color w:val="383636"/>
          <w:spacing w:val="-1"/>
          <w:w w:val="115"/>
        </w:rPr>
        <w:t>that "[a]s </w:t>
      </w:r>
      <w:r>
        <w:rPr>
          <w:color w:val="383636"/>
          <w:w w:val="115"/>
        </w:rPr>
        <w:t>between briefing and argument, there is near-universal agree­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ment among federal appellate judges that the brief is more important."</w:t>
      </w:r>
      <w:r>
        <w:rPr>
          <w:color w:val="383636"/>
          <w:w w:val="115"/>
          <w:vertAlign w:val="superscript"/>
        </w:rPr>
        <w:t>1</w:t>
      </w:r>
      <w:r>
        <w:rPr>
          <w:color w:val="383636"/>
          <w:spacing w:val="1"/>
          <w:w w:val="115"/>
          <w:vertAlign w:val="baseline"/>
        </w:rPr>
        <w:t> </w:t>
      </w:r>
      <w:r>
        <w:rPr>
          <w:color w:val="383636"/>
          <w:w w:val="115"/>
          <w:vertAlign w:val="baseline"/>
        </w:rPr>
        <w:t>In many federal </w:t>
      </w:r>
      <w:r>
        <w:rPr>
          <w:color w:val="494849"/>
          <w:w w:val="115"/>
          <w:vertAlign w:val="baseline"/>
        </w:rPr>
        <w:t>courts, </w:t>
      </w:r>
      <w:r>
        <w:rPr>
          <w:color w:val="383636"/>
          <w:w w:val="115"/>
          <w:vertAlign w:val="baseline"/>
        </w:rPr>
        <w:t>most cases are decided without oral argument.</w:t>
      </w:r>
      <w:r>
        <w:rPr>
          <w:color w:val="383636"/>
          <w:spacing w:val="1"/>
          <w:w w:val="115"/>
          <w:vertAlign w:val="baseline"/>
        </w:rPr>
        <w:t> </w:t>
      </w:r>
      <w:r>
        <w:rPr>
          <w:color w:val="383636"/>
          <w:w w:val="110"/>
          <w:vertAlign w:val="baseline"/>
        </w:rPr>
        <w:t>Justice Ginsburg noted </w:t>
      </w:r>
      <w:r>
        <w:rPr>
          <w:color w:val="282426"/>
          <w:w w:val="110"/>
          <w:vertAlign w:val="baseline"/>
        </w:rPr>
        <w:t>that </w:t>
      </w:r>
      <w:r>
        <w:rPr>
          <w:color w:val="383636"/>
          <w:w w:val="110"/>
          <w:vertAlign w:val="baseline"/>
        </w:rPr>
        <w:t>the Fourth, Tenth, and Eleventh Circuits dis­</w:t>
      </w:r>
      <w:r>
        <w:rPr>
          <w:color w:val="383636"/>
          <w:spacing w:val="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pense with oral argument in about 70 percent of </w:t>
      </w:r>
      <w:r>
        <w:rPr>
          <w:color w:val="494849"/>
          <w:w w:val="110"/>
          <w:vertAlign w:val="baseline"/>
        </w:rPr>
        <w:t>cases</w:t>
      </w:r>
      <w:r>
        <w:rPr>
          <w:color w:val="282426"/>
          <w:w w:val="110"/>
          <w:vertAlign w:val="baseline"/>
        </w:rPr>
        <w:t>, </w:t>
      </w:r>
      <w:r>
        <w:rPr>
          <w:color w:val="383636"/>
          <w:w w:val="110"/>
          <w:vertAlign w:val="baseline"/>
        </w:rPr>
        <w:t>and Judge Wiener</w:t>
      </w:r>
      <w:r>
        <w:rPr>
          <w:color w:val="383636"/>
          <w:spacing w:val="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pointed out that almost two-thirds of the appeals filed in the Fifth Circuit</w:t>
      </w:r>
      <w:r>
        <w:rPr>
          <w:color w:val="383636"/>
          <w:spacing w:val="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are decided without oral argument.</w:t>
      </w:r>
      <w:r>
        <w:rPr>
          <w:rFonts w:ascii="Arial" w:hAnsi="Arial"/>
          <w:color w:val="383636"/>
          <w:w w:val="110"/>
          <w:vertAlign w:val="superscript"/>
        </w:rPr>
        <w:t>2</w:t>
      </w:r>
      <w:r>
        <w:rPr>
          <w:rFonts w:ascii="Arial" w:hAnsi="Arial"/>
          <w:color w:val="383636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In many trial courts, oral argument is</w:t>
      </w:r>
      <w:r>
        <w:rPr>
          <w:color w:val="383636"/>
          <w:spacing w:val="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not presumed unless counsel requests it when a motion is filed; even then,</w:t>
      </w:r>
      <w:r>
        <w:rPr>
          <w:color w:val="383636"/>
          <w:spacing w:val="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the</w:t>
      </w:r>
      <w:r>
        <w:rPr>
          <w:color w:val="383636"/>
          <w:spacing w:val="-32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judge</w:t>
      </w:r>
      <w:r>
        <w:rPr>
          <w:color w:val="383636"/>
          <w:spacing w:val="-10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may</w:t>
      </w:r>
      <w:r>
        <w:rPr>
          <w:color w:val="383636"/>
          <w:spacing w:val="27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not</w:t>
      </w:r>
      <w:r>
        <w:rPr>
          <w:color w:val="383636"/>
          <w:spacing w:val="32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grant</w:t>
      </w:r>
      <w:r>
        <w:rPr>
          <w:color w:val="383636"/>
          <w:spacing w:val="-2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the</w:t>
      </w:r>
      <w:r>
        <w:rPr>
          <w:color w:val="383636"/>
          <w:spacing w:val="13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request.</w:t>
      </w:r>
      <w:r>
        <w:rPr>
          <w:color w:val="383636"/>
          <w:spacing w:val="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Even</w:t>
      </w:r>
      <w:r>
        <w:rPr>
          <w:color w:val="383636"/>
          <w:spacing w:val="-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in</w:t>
      </w:r>
      <w:r>
        <w:rPr>
          <w:color w:val="383636"/>
          <w:spacing w:val="23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cases</w:t>
      </w:r>
      <w:r>
        <w:rPr>
          <w:color w:val="383636"/>
          <w:spacing w:val="-12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in</w:t>
      </w:r>
      <w:r>
        <w:rPr>
          <w:color w:val="383636"/>
          <w:spacing w:val="26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which</w:t>
      </w:r>
      <w:r>
        <w:rPr>
          <w:color w:val="383636"/>
          <w:spacing w:val="-2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oral</w:t>
      </w:r>
      <w:r>
        <w:rPr>
          <w:color w:val="383636"/>
          <w:spacing w:val="-10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argument</w:t>
      </w:r>
    </w:p>
    <w:p>
      <w:pPr>
        <w:pStyle w:val="BodyText"/>
        <w:spacing w:before="7"/>
        <w:rPr>
          <w:sz w:val="28"/>
        </w:rPr>
      </w:pPr>
    </w:p>
    <w:p>
      <w:pPr>
        <w:spacing w:line="205" w:lineRule="exact" w:before="1"/>
        <w:ind w:left="469" w:right="0" w:firstLine="0"/>
        <w:jc w:val="left"/>
        <w:rPr>
          <w:sz w:val="17"/>
        </w:rPr>
      </w:pPr>
      <w:r>
        <w:rPr>
          <w:rFonts w:ascii="Arial"/>
          <w:color w:val="383636"/>
          <w:w w:val="105"/>
          <w:position w:val="4"/>
          <w:sz w:val="11"/>
        </w:rPr>
        <w:t>1</w:t>
      </w:r>
      <w:r>
        <w:rPr>
          <w:rFonts w:ascii="Arial"/>
          <w:i/>
          <w:color w:val="383636"/>
          <w:w w:val="105"/>
          <w:sz w:val="16"/>
        </w:rPr>
        <w:t>See,</w:t>
      </w:r>
      <w:r>
        <w:rPr>
          <w:rFonts w:ascii="Arial"/>
          <w:i/>
          <w:color w:val="383636"/>
          <w:spacing w:val="-20"/>
          <w:w w:val="105"/>
          <w:sz w:val="16"/>
        </w:rPr>
        <w:t> </w:t>
      </w:r>
      <w:r>
        <w:rPr>
          <w:rFonts w:ascii="Arial"/>
          <w:i/>
          <w:color w:val="383636"/>
          <w:w w:val="105"/>
          <w:sz w:val="16"/>
        </w:rPr>
        <w:t>e.g.,</w:t>
      </w:r>
      <w:r>
        <w:rPr>
          <w:rFonts w:ascii="Arial"/>
          <w:i/>
          <w:color w:val="383636"/>
          <w:spacing w:val="-8"/>
          <w:w w:val="105"/>
          <w:sz w:val="16"/>
        </w:rPr>
        <w:t> </w:t>
      </w:r>
      <w:r>
        <w:rPr>
          <w:color w:val="383636"/>
          <w:w w:val="105"/>
          <w:sz w:val="17"/>
        </w:rPr>
        <w:t>Ruth</w:t>
      </w:r>
      <w:r>
        <w:rPr>
          <w:color w:val="383636"/>
          <w:spacing w:val="12"/>
          <w:w w:val="105"/>
          <w:sz w:val="17"/>
        </w:rPr>
        <w:t> </w:t>
      </w:r>
      <w:r>
        <w:rPr>
          <w:color w:val="383636"/>
          <w:w w:val="105"/>
          <w:sz w:val="17"/>
        </w:rPr>
        <w:t>Bader</w:t>
      </w:r>
      <w:r>
        <w:rPr>
          <w:color w:val="383636"/>
          <w:spacing w:val="-6"/>
          <w:w w:val="105"/>
          <w:sz w:val="17"/>
        </w:rPr>
        <w:t> </w:t>
      </w:r>
      <w:r>
        <w:rPr>
          <w:color w:val="383636"/>
          <w:w w:val="105"/>
          <w:sz w:val="17"/>
        </w:rPr>
        <w:t>Ginsburg,</w:t>
      </w:r>
      <w:r>
        <w:rPr>
          <w:color w:val="383636"/>
          <w:spacing w:val="-5"/>
          <w:w w:val="105"/>
          <w:sz w:val="17"/>
        </w:rPr>
        <w:t> </w:t>
      </w:r>
      <w:r>
        <w:rPr>
          <w:rFonts w:ascii="Arial"/>
          <w:i/>
          <w:color w:val="383636"/>
          <w:w w:val="105"/>
          <w:sz w:val="16"/>
        </w:rPr>
        <w:t>Remarks</w:t>
      </w:r>
      <w:r>
        <w:rPr>
          <w:rFonts w:ascii="Arial"/>
          <w:i/>
          <w:color w:val="383636"/>
          <w:spacing w:val="-7"/>
          <w:w w:val="105"/>
          <w:sz w:val="16"/>
        </w:rPr>
        <w:t> </w:t>
      </w:r>
      <w:r>
        <w:rPr>
          <w:rFonts w:ascii="Arial"/>
          <w:i/>
          <w:color w:val="383636"/>
          <w:w w:val="105"/>
          <w:sz w:val="12"/>
        </w:rPr>
        <w:t>011</w:t>
      </w:r>
      <w:r>
        <w:rPr>
          <w:rFonts w:ascii="Arial"/>
          <w:i/>
          <w:color w:val="383636"/>
          <w:spacing w:val="-16"/>
          <w:w w:val="105"/>
          <w:sz w:val="12"/>
        </w:rPr>
        <w:t> </w:t>
      </w:r>
      <w:r>
        <w:rPr>
          <w:rFonts w:ascii="Arial"/>
          <w:i/>
          <w:color w:val="383636"/>
          <w:w w:val="105"/>
          <w:sz w:val="16"/>
        </w:rPr>
        <w:t>Appellate</w:t>
      </w:r>
      <w:r>
        <w:rPr>
          <w:rFonts w:ascii="Arial"/>
          <w:i/>
          <w:color w:val="383636"/>
          <w:spacing w:val="-12"/>
          <w:w w:val="105"/>
          <w:sz w:val="16"/>
        </w:rPr>
        <w:t> </w:t>
      </w:r>
      <w:r>
        <w:rPr>
          <w:rFonts w:ascii="Arial"/>
          <w:i/>
          <w:color w:val="383636"/>
          <w:w w:val="105"/>
          <w:sz w:val="16"/>
        </w:rPr>
        <w:t>Advocacy,</w:t>
      </w:r>
      <w:r>
        <w:rPr>
          <w:rFonts w:ascii="Arial"/>
          <w:i/>
          <w:color w:val="383636"/>
          <w:spacing w:val="-14"/>
          <w:w w:val="105"/>
          <w:sz w:val="16"/>
        </w:rPr>
        <w:t> </w:t>
      </w:r>
      <w:r>
        <w:rPr>
          <w:color w:val="494849"/>
          <w:w w:val="105"/>
          <w:sz w:val="17"/>
        </w:rPr>
        <w:t>50</w:t>
      </w:r>
      <w:r>
        <w:rPr>
          <w:color w:val="494849"/>
          <w:spacing w:val="32"/>
          <w:w w:val="105"/>
          <w:sz w:val="17"/>
        </w:rPr>
        <w:t> </w:t>
      </w:r>
      <w:r>
        <w:rPr>
          <w:color w:val="494849"/>
          <w:w w:val="105"/>
          <w:sz w:val="17"/>
        </w:rPr>
        <w:t>S.C.</w:t>
      </w:r>
      <w:r>
        <w:rPr>
          <w:color w:val="494849"/>
          <w:spacing w:val="-16"/>
          <w:w w:val="105"/>
          <w:sz w:val="17"/>
        </w:rPr>
        <w:t> </w:t>
      </w:r>
      <w:r>
        <w:rPr>
          <w:color w:val="383636"/>
          <w:w w:val="105"/>
          <w:sz w:val="18"/>
        </w:rPr>
        <w:t>L.</w:t>
      </w:r>
      <w:r>
        <w:rPr>
          <w:color w:val="383636"/>
          <w:spacing w:val="-8"/>
          <w:w w:val="105"/>
          <w:sz w:val="18"/>
        </w:rPr>
        <w:t> </w:t>
      </w:r>
      <w:r>
        <w:rPr>
          <w:color w:val="383636"/>
          <w:w w:val="105"/>
          <w:sz w:val="17"/>
        </w:rPr>
        <w:t>Rev</w:t>
      </w:r>
      <w:r>
        <w:rPr>
          <w:color w:val="5E5E60"/>
          <w:w w:val="105"/>
          <w:sz w:val="17"/>
        </w:rPr>
        <w:t>.</w:t>
      </w:r>
      <w:r>
        <w:rPr>
          <w:color w:val="5E5E60"/>
          <w:spacing w:val="-3"/>
          <w:w w:val="105"/>
          <w:sz w:val="17"/>
        </w:rPr>
        <w:t> </w:t>
      </w:r>
      <w:r>
        <w:rPr>
          <w:color w:val="494849"/>
          <w:w w:val="105"/>
          <w:sz w:val="17"/>
        </w:rPr>
        <w:t>567.</w:t>
      </w:r>
      <w:r>
        <w:rPr>
          <w:color w:val="494849"/>
          <w:spacing w:val="-13"/>
          <w:w w:val="105"/>
          <w:sz w:val="17"/>
        </w:rPr>
        <w:t> </w:t>
      </w:r>
      <w:r>
        <w:rPr>
          <w:color w:val="494849"/>
          <w:w w:val="105"/>
          <w:sz w:val="17"/>
        </w:rPr>
        <w:t>567(</w:t>
      </w:r>
      <w:r>
        <w:rPr>
          <w:color w:val="383636"/>
          <w:w w:val="105"/>
          <w:sz w:val="17"/>
        </w:rPr>
        <w:t>1999)</w:t>
      </w:r>
      <w:r>
        <w:rPr>
          <w:color w:val="5E5E60"/>
          <w:w w:val="105"/>
          <w:sz w:val="17"/>
        </w:rPr>
        <w:t>.</w:t>
      </w:r>
    </w:p>
    <w:p>
      <w:pPr>
        <w:spacing w:line="237" w:lineRule="auto" w:before="0"/>
        <w:ind w:left="118" w:right="591" w:firstLine="351"/>
        <w:jc w:val="both"/>
        <w:rPr>
          <w:sz w:val="17"/>
        </w:rPr>
      </w:pPr>
      <w:r>
        <w:rPr>
          <w:color w:val="383636"/>
          <w:spacing w:val="-1"/>
          <w:w w:val="110"/>
          <w:position w:val="4"/>
          <w:sz w:val="11"/>
        </w:rPr>
        <w:t>2</w:t>
      </w:r>
      <w:r>
        <w:rPr>
          <w:color w:val="383636"/>
          <w:spacing w:val="-16"/>
          <w:w w:val="110"/>
          <w:position w:val="4"/>
          <w:sz w:val="11"/>
        </w:rPr>
        <w:t> </w:t>
      </w:r>
      <w:r>
        <w:rPr>
          <w:rFonts w:ascii="Arial"/>
          <w:i/>
          <w:color w:val="383636"/>
          <w:spacing w:val="-1"/>
          <w:w w:val="110"/>
          <w:sz w:val="16"/>
        </w:rPr>
        <w:t>/d.</w:t>
      </w:r>
      <w:r>
        <w:rPr>
          <w:rFonts w:ascii="Arial"/>
          <w:i/>
          <w:color w:val="383636"/>
          <w:spacing w:val="-26"/>
          <w:w w:val="110"/>
          <w:sz w:val="16"/>
        </w:rPr>
        <w:t> </w:t>
      </w:r>
      <w:r>
        <w:rPr>
          <w:rFonts w:ascii="Arial"/>
          <w:color w:val="383636"/>
          <w:spacing w:val="-1"/>
          <w:w w:val="110"/>
          <w:sz w:val="14"/>
        </w:rPr>
        <w:t>at</w:t>
      </w:r>
      <w:r>
        <w:rPr>
          <w:rFonts w:ascii="Arial"/>
          <w:color w:val="383636"/>
          <w:spacing w:val="32"/>
          <w:w w:val="110"/>
          <w:sz w:val="14"/>
        </w:rPr>
        <w:t> </w:t>
      </w:r>
      <w:r>
        <w:rPr>
          <w:color w:val="383636"/>
          <w:spacing w:val="-1"/>
          <w:w w:val="110"/>
          <w:sz w:val="17"/>
        </w:rPr>
        <w:t>568</w:t>
      </w:r>
      <w:r>
        <w:rPr>
          <w:color w:val="5E5E60"/>
          <w:spacing w:val="-1"/>
          <w:w w:val="110"/>
          <w:sz w:val="17"/>
        </w:rPr>
        <w:t>.</w:t>
      </w:r>
      <w:r>
        <w:rPr>
          <w:color w:val="5E5E60"/>
          <w:spacing w:val="-3"/>
          <w:w w:val="110"/>
          <w:sz w:val="17"/>
        </w:rPr>
        <w:t> </w:t>
      </w:r>
      <w:r>
        <w:rPr>
          <w:rFonts w:ascii="Arial"/>
          <w:i/>
          <w:color w:val="494849"/>
          <w:spacing w:val="-1"/>
          <w:w w:val="110"/>
          <w:sz w:val="16"/>
        </w:rPr>
        <w:t>See</w:t>
      </w:r>
      <w:r>
        <w:rPr>
          <w:rFonts w:ascii="Arial"/>
          <w:i/>
          <w:color w:val="494849"/>
          <w:spacing w:val="-14"/>
          <w:w w:val="110"/>
          <w:sz w:val="16"/>
        </w:rPr>
        <w:t> </w:t>
      </w:r>
      <w:r>
        <w:rPr>
          <w:rFonts w:ascii="Arial"/>
          <w:i/>
          <w:color w:val="383636"/>
          <w:spacing w:val="-1"/>
          <w:w w:val="110"/>
          <w:sz w:val="16"/>
        </w:rPr>
        <w:t>also</w:t>
      </w:r>
      <w:r>
        <w:rPr>
          <w:rFonts w:ascii="Arial"/>
          <w:i/>
          <w:color w:val="383636"/>
          <w:spacing w:val="-21"/>
          <w:w w:val="110"/>
          <w:sz w:val="16"/>
        </w:rPr>
        <w:t> </w:t>
      </w:r>
      <w:r>
        <w:rPr>
          <w:color w:val="383636"/>
          <w:spacing w:val="-1"/>
          <w:w w:val="110"/>
          <w:sz w:val="17"/>
        </w:rPr>
        <w:t>Jacques</w:t>
      </w:r>
      <w:r>
        <w:rPr>
          <w:color w:val="383636"/>
          <w:spacing w:val="8"/>
          <w:w w:val="110"/>
          <w:sz w:val="17"/>
        </w:rPr>
        <w:t> </w:t>
      </w:r>
      <w:r>
        <w:rPr>
          <w:color w:val="383636"/>
          <w:spacing w:val="-1"/>
          <w:w w:val="110"/>
          <w:sz w:val="17"/>
        </w:rPr>
        <w:t>L. Wiener,</w:t>
      </w:r>
      <w:r>
        <w:rPr>
          <w:color w:val="383636"/>
          <w:spacing w:val="-12"/>
          <w:w w:val="110"/>
          <w:sz w:val="17"/>
        </w:rPr>
        <w:t> </w:t>
      </w:r>
      <w:r>
        <w:rPr>
          <w:color w:val="383636"/>
          <w:spacing w:val="-1"/>
          <w:w w:val="110"/>
          <w:sz w:val="17"/>
        </w:rPr>
        <w:t>Jr.,</w:t>
      </w:r>
      <w:r>
        <w:rPr>
          <w:color w:val="383636"/>
          <w:spacing w:val="-14"/>
          <w:w w:val="110"/>
          <w:sz w:val="17"/>
        </w:rPr>
        <w:t> </w:t>
      </w:r>
      <w:r>
        <w:rPr>
          <w:rFonts w:ascii="Arial"/>
          <w:i/>
          <w:color w:val="383636"/>
          <w:spacing w:val="-1"/>
          <w:w w:val="110"/>
          <w:sz w:val="16"/>
        </w:rPr>
        <w:t>Ruminati</w:t>
      </w:r>
      <w:r>
        <w:rPr>
          <w:rFonts w:ascii="Arial"/>
          <w:i/>
          <w:color w:val="5E5E60"/>
          <w:spacing w:val="-1"/>
          <w:w w:val="110"/>
          <w:sz w:val="16"/>
        </w:rPr>
        <w:t>o</w:t>
      </w:r>
      <w:r>
        <w:rPr>
          <w:rFonts w:ascii="Arial"/>
          <w:i/>
          <w:color w:val="383636"/>
          <w:spacing w:val="-1"/>
          <w:w w:val="110"/>
          <w:sz w:val="16"/>
        </w:rPr>
        <w:t>ns</w:t>
      </w:r>
      <w:r>
        <w:rPr>
          <w:rFonts w:ascii="Arial"/>
          <w:i/>
          <w:color w:val="383636"/>
          <w:spacing w:val="-18"/>
          <w:w w:val="110"/>
          <w:sz w:val="16"/>
        </w:rPr>
        <w:t> </w:t>
      </w:r>
      <w:r>
        <w:rPr>
          <w:rFonts w:ascii="Arial"/>
          <w:i/>
          <w:color w:val="383636"/>
          <w:spacing w:val="-1"/>
          <w:w w:val="110"/>
          <w:sz w:val="16"/>
        </w:rPr>
        <w:t>from</w:t>
      </w:r>
      <w:r>
        <w:rPr>
          <w:rFonts w:ascii="Arial"/>
          <w:i/>
          <w:color w:val="383636"/>
          <w:spacing w:val="3"/>
          <w:w w:val="110"/>
          <w:sz w:val="16"/>
        </w:rPr>
        <w:t> </w:t>
      </w:r>
      <w:r>
        <w:rPr>
          <w:rFonts w:ascii="Arial"/>
          <w:i/>
          <w:color w:val="383636"/>
          <w:spacing w:val="-1"/>
          <w:w w:val="115"/>
          <w:sz w:val="13"/>
        </w:rPr>
        <w:t>tlll.'</w:t>
      </w:r>
      <w:r>
        <w:rPr>
          <w:rFonts w:ascii="Arial"/>
          <w:i/>
          <w:color w:val="383636"/>
          <w:spacing w:val="2"/>
          <w:w w:val="115"/>
          <w:sz w:val="13"/>
        </w:rPr>
        <w:t> </w:t>
      </w:r>
      <w:r>
        <w:rPr>
          <w:rFonts w:ascii="Arial"/>
          <w:i/>
          <w:color w:val="383636"/>
          <w:w w:val="110"/>
          <w:sz w:val="16"/>
        </w:rPr>
        <w:t>Bench:</w:t>
      </w:r>
      <w:r>
        <w:rPr>
          <w:rFonts w:ascii="Arial"/>
          <w:i/>
          <w:color w:val="383636"/>
          <w:spacing w:val="1"/>
          <w:w w:val="110"/>
          <w:sz w:val="16"/>
        </w:rPr>
        <w:t> </w:t>
      </w:r>
      <w:r>
        <w:rPr>
          <w:rFonts w:ascii="Arial"/>
          <w:i/>
          <w:color w:val="494849"/>
          <w:w w:val="110"/>
          <w:sz w:val="16"/>
        </w:rPr>
        <w:t>Bri&lt;!(</w:t>
      </w:r>
      <w:r>
        <w:rPr>
          <w:rFonts w:ascii="Arial"/>
          <w:i/>
          <w:color w:val="494849"/>
          <w:spacing w:val="-19"/>
          <w:w w:val="110"/>
          <w:sz w:val="16"/>
        </w:rPr>
        <w:t> </w:t>
      </w:r>
      <w:r>
        <w:rPr>
          <w:rFonts w:ascii="Arial"/>
          <w:i/>
          <w:color w:val="494849"/>
          <w:w w:val="110"/>
          <w:sz w:val="16"/>
        </w:rPr>
        <w:t>Writing</w:t>
      </w:r>
      <w:r>
        <w:rPr>
          <w:rFonts w:ascii="Arial"/>
          <w:i/>
          <w:color w:val="494849"/>
          <w:spacing w:val="-8"/>
          <w:w w:val="110"/>
          <w:sz w:val="16"/>
        </w:rPr>
        <w:t> </w:t>
      </w:r>
      <w:r>
        <w:rPr>
          <w:rFonts w:ascii="Arial"/>
          <w:i/>
          <w:color w:val="494849"/>
          <w:w w:val="110"/>
          <w:sz w:val="16"/>
        </w:rPr>
        <w:t>and</w:t>
      </w:r>
      <w:r>
        <w:rPr>
          <w:rFonts w:ascii="Arial"/>
          <w:i/>
          <w:color w:val="494849"/>
          <w:spacing w:val="-20"/>
          <w:w w:val="110"/>
          <w:sz w:val="16"/>
        </w:rPr>
        <w:t> </w:t>
      </w:r>
      <w:r>
        <w:rPr>
          <w:rFonts w:ascii="Arial"/>
          <w:i/>
          <w:color w:val="494849"/>
          <w:w w:val="110"/>
          <w:sz w:val="16"/>
        </w:rPr>
        <w:t>Oral</w:t>
      </w:r>
      <w:r>
        <w:rPr>
          <w:rFonts w:ascii="Arial"/>
          <w:i/>
          <w:color w:val="494849"/>
          <w:spacing w:val="1"/>
          <w:w w:val="110"/>
          <w:sz w:val="16"/>
        </w:rPr>
        <w:t> </w:t>
      </w:r>
      <w:r>
        <w:rPr>
          <w:rFonts w:ascii="Arial"/>
          <w:i/>
          <w:color w:val="383636"/>
          <w:w w:val="105"/>
          <w:sz w:val="16"/>
        </w:rPr>
        <w:t>Argument</w:t>
      </w:r>
      <w:r>
        <w:rPr>
          <w:rFonts w:ascii="Arial"/>
          <w:i/>
          <w:color w:val="383636"/>
          <w:spacing w:val="11"/>
          <w:w w:val="105"/>
          <w:sz w:val="16"/>
        </w:rPr>
        <w:t> </w:t>
      </w:r>
      <w:r>
        <w:rPr>
          <w:rFonts w:ascii="Arial"/>
          <w:i/>
          <w:color w:val="383636"/>
          <w:w w:val="105"/>
          <w:sz w:val="16"/>
        </w:rPr>
        <w:t>in</w:t>
      </w:r>
      <w:r>
        <w:rPr>
          <w:rFonts w:ascii="Arial"/>
          <w:i/>
          <w:color w:val="383636"/>
          <w:spacing w:val="25"/>
          <w:w w:val="105"/>
          <w:sz w:val="16"/>
        </w:rPr>
        <w:t> </w:t>
      </w:r>
      <w:r>
        <w:rPr>
          <w:rFonts w:ascii="Arial"/>
          <w:i/>
          <w:color w:val="383636"/>
          <w:w w:val="105"/>
          <w:sz w:val="16"/>
        </w:rPr>
        <w:t>the</w:t>
      </w:r>
      <w:r>
        <w:rPr>
          <w:rFonts w:ascii="Arial"/>
          <w:i/>
          <w:color w:val="383636"/>
          <w:spacing w:val="-16"/>
          <w:w w:val="105"/>
          <w:sz w:val="16"/>
        </w:rPr>
        <w:t> </w:t>
      </w:r>
      <w:r>
        <w:rPr>
          <w:rFonts w:ascii="Arial"/>
          <w:i/>
          <w:color w:val="383636"/>
          <w:w w:val="105"/>
          <w:sz w:val="16"/>
        </w:rPr>
        <w:t>Fi</w:t>
      </w:r>
      <w:r>
        <w:rPr>
          <w:rFonts w:ascii="Arial"/>
          <w:i/>
          <w:color w:val="383636"/>
          <w:spacing w:val="16"/>
          <w:w w:val="105"/>
          <w:sz w:val="16"/>
        </w:rPr>
        <w:t> </w:t>
      </w:r>
      <w:r>
        <w:rPr>
          <w:rFonts w:ascii="Arial"/>
          <w:i/>
          <w:color w:val="383636"/>
          <w:w w:val="105"/>
          <w:sz w:val="16"/>
        </w:rPr>
        <w:t>h</w:t>
      </w:r>
      <w:r>
        <w:rPr>
          <w:rFonts w:ascii="Arial"/>
          <w:i/>
          <w:color w:val="383636"/>
          <w:spacing w:val="-28"/>
          <w:w w:val="105"/>
          <w:sz w:val="16"/>
        </w:rPr>
        <w:t> </w:t>
      </w:r>
      <w:r>
        <w:rPr>
          <w:rFonts w:ascii="Arial"/>
          <w:i/>
          <w:color w:val="494849"/>
          <w:w w:val="105"/>
          <w:sz w:val="16"/>
        </w:rPr>
        <w:t>Circuit,</w:t>
      </w:r>
      <w:r>
        <w:rPr>
          <w:rFonts w:ascii="Arial"/>
          <w:i/>
          <w:color w:val="494849"/>
          <w:spacing w:val="-5"/>
          <w:w w:val="105"/>
          <w:sz w:val="16"/>
        </w:rPr>
        <w:t> </w:t>
      </w:r>
      <w:r>
        <w:rPr>
          <w:color w:val="383636"/>
          <w:w w:val="105"/>
          <w:sz w:val="17"/>
        </w:rPr>
        <w:t>70</w:t>
      </w:r>
      <w:r>
        <w:rPr>
          <w:color w:val="383636"/>
          <w:spacing w:val="-4"/>
          <w:w w:val="105"/>
          <w:sz w:val="17"/>
        </w:rPr>
        <w:t> </w:t>
      </w:r>
      <w:r>
        <w:rPr>
          <w:color w:val="383636"/>
          <w:w w:val="105"/>
          <w:sz w:val="18"/>
        </w:rPr>
        <w:t>Toi.</w:t>
      </w:r>
      <w:r>
        <w:rPr>
          <w:color w:val="383636"/>
          <w:spacing w:val="-11"/>
          <w:w w:val="105"/>
          <w:sz w:val="18"/>
        </w:rPr>
        <w:t> </w:t>
      </w:r>
      <w:r>
        <w:rPr>
          <w:color w:val="383636"/>
          <w:w w:val="105"/>
          <w:sz w:val="17"/>
        </w:rPr>
        <w:t>L.</w:t>
      </w:r>
      <w:r>
        <w:rPr>
          <w:color w:val="383636"/>
          <w:spacing w:val="2"/>
          <w:w w:val="105"/>
          <w:sz w:val="17"/>
        </w:rPr>
        <w:t> </w:t>
      </w:r>
      <w:r>
        <w:rPr>
          <w:color w:val="383636"/>
          <w:w w:val="105"/>
          <w:sz w:val="17"/>
        </w:rPr>
        <w:t>Rev.</w:t>
      </w:r>
      <w:r>
        <w:rPr>
          <w:color w:val="383636"/>
          <w:spacing w:val="8"/>
          <w:w w:val="105"/>
          <w:sz w:val="17"/>
        </w:rPr>
        <w:t> </w:t>
      </w:r>
      <w:r>
        <w:rPr>
          <w:color w:val="282426"/>
          <w:w w:val="105"/>
          <w:sz w:val="17"/>
        </w:rPr>
        <w:t>1</w:t>
      </w:r>
      <w:r>
        <w:rPr>
          <w:color w:val="494849"/>
          <w:w w:val="105"/>
          <w:sz w:val="17"/>
        </w:rPr>
        <w:t>87,</w:t>
      </w:r>
      <w:r>
        <w:rPr>
          <w:color w:val="494849"/>
          <w:spacing w:val="11"/>
          <w:w w:val="105"/>
          <w:sz w:val="17"/>
        </w:rPr>
        <w:t> </w:t>
      </w:r>
      <w:r>
        <w:rPr>
          <w:color w:val="383636"/>
          <w:w w:val="105"/>
          <w:sz w:val="17"/>
        </w:rPr>
        <w:t>189</w:t>
      </w:r>
      <w:r>
        <w:rPr>
          <w:color w:val="383636"/>
          <w:spacing w:val="23"/>
          <w:w w:val="105"/>
          <w:sz w:val="17"/>
        </w:rPr>
        <w:t> </w:t>
      </w:r>
      <w:r>
        <w:rPr>
          <w:color w:val="383636"/>
          <w:w w:val="105"/>
          <w:sz w:val="17"/>
        </w:rPr>
        <w:t>(1995).</w:t>
      </w:r>
    </w:p>
    <w:p>
      <w:pPr>
        <w:spacing w:after="0" w:line="237" w:lineRule="auto"/>
        <w:jc w:val="both"/>
        <w:rPr>
          <w:sz w:val="17"/>
        </w:rPr>
        <w:sectPr>
          <w:headerReference w:type="default" r:id="rId323"/>
          <w:pgSz w:w="9680" w:h="14010"/>
          <w:pgMar w:header="0" w:footer="0" w:top="0" w:bottom="280" w:left="300" w:right="1040"/>
        </w:sectPr>
      </w:pPr>
    </w:p>
    <w:p>
      <w:pPr>
        <w:pStyle w:val="BodyText"/>
        <w:spacing w:line="230" w:lineRule="auto" w:before="89"/>
        <w:ind w:left="668" w:right="120" w:hanging="1"/>
        <w:jc w:val="both"/>
        <w:rPr>
          <w:rFonts w:ascii="Arial"/>
        </w:rPr>
      </w:pPr>
      <w:r>
        <w:rPr>
          <w:color w:val="3D3B3D"/>
          <w:w w:val="105"/>
        </w:rPr>
        <w:t>occurs, the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brief usually has more to do with the outcome of the case. A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1986 article conducted a limited study of three appellate judges and noted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that oral arguments changed the  views they held  before the  oral argument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in</w:t>
      </w:r>
      <w:r>
        <w:rPr>
          <w:color w:val="3D3B3D"/>
          <w:spacing w:val="46"/>
          <w:w w:val="105"/>
        </w:rPr>
        <w:t> </w:t>
      </w:r>
      <w:r>
        <w:rPr>
          <w:color w:val="3D3B3D"/>
          <w:w w:val="105"/>
        </w:rPr>
        <w:t>31</w:t>
      </w:r>
      <w:r>
        <w:rPr>
          <w:color w:val="3D3B3D"/>
          <w:spacing w:val="36"/>
          <w:w w:val="105"/>
        </w:rPr>
        <w:t> </w:t>
      </w:r>
      <w:r>
        <w:rPr>
          <w:color w:val="3D3B3D"/>
          <w:w w:val="105"/>
        </w:rPr>
        <w:t>percent,</w:t>
      </w:r>
      <w:r>
        <w:rPr>
          <w:color w:val="3D3B3D"/>
          <w:spacing w:val="5"/>
          <w:w w:val="105"/>
        </w:rPr>
        <w:t> </w:t>
      </w:r>
      <w:r>
        <w:rPr>
          <w:color w:val="3D3B3D"/>
          <w:w w:val="105"/>
        </w:rPr>
        <w:t>17</w:t>
      </w:r>
      <w:r>
        <w:rPr>
          <w:color w:val="3D3B3D"/>
          <w:spacing w:val="17"/>
          <w:w w:val="105"/>
        </w:rPr>
        <w:t> </w:t>
      </w:r>
      <w:r>
        <w:rPr>
          <w:color w:val="3D3B3D"/>
          <w:w w:val="105"/>
        </w:rPr>
        <w:t>percent,</w:t>
      </w:r>
      <w:r>
        <w:rPr>
          <w:color w:val="3D3B3D"/>
          <w:spacing w:val="7"/>
          <w:w w:val="105"/>
        </w:rPr>
        <w:t> </w:t>
      </w:r>
      <w:r>
        <w:rPr>
          <w:color w:val="3D3B3D"/>
          <w:w w:val="105"/>
        </w:rPr>
        <w:t>and</w:t>
      </w:r>
      <w:r>
        <w:rPr>
          <w:color w:val="3D3B3D"/>
          <w:spacing w:val="18"/>
          <w:w w:val="105"/>
        </w:rPr>
        <w:t> </w:t>
      </w:r>
      <w:r>
        <w:rPr>
          <w:color w:val="3D3B3D"/>
          <w:w w:val="105"/>
        </w:rPr>
        <w:t>13</w:t>
      </w:r>
      <w:r>
        <w:rPr>
          <w:color w:val="3D3B3D"/>
          <w:spacing w:val="14"/>
          <w:w w:val="105"/>
        </w:rPr>
        <w:t> </w:t>
      </w:r>
      <w:r>
        <w:rPr>
          <w:color w:val="3D3B3D"/>
          <w:w w:val="105"/>
        </w:rPr>
        <w:t>percent</w:t>
      </w:r>
      <w:r>
        <w:rPr>
          <w:color w:val="3D3B3D"/>
          <w:spacing w:val="9"/>
          <w:w w:val="105"/>
        </w:rPr>
        <w:t> </w:t>
      </w:r>
      <w:r>
        <w:rPr>
          <w:color w:val="3D3B3D"/>
          <w:w w:val="105"/>
        </w:rPr>
        <w:t>of</w:t>
      </w:r>
      <w:r>
        <w:rPr>
          <w:color w:val="3D3B3D"/>
          <w:spacing w:val="21"/>
          <w:w w:val="105"/>
        </w:rPr>
        <w:t> </w:t>
      </w:r>
      <w:r>
        <w:rPr>
          <w:color w:val="3D3B3D"/>
          <w:w w:val="105"/>
        </w:rPr>
        <w:t>the</w:t>
      </w:r>
      <w:r>
        <w:rPr>
          <w:color w:val="3D3B3D"/>
          <w:spacing w:val="42"/>
          <w:w w:val="105"/>
        </w:rPr>
        <w:t> </w:t>
      </w:r>
      <w:r>
        <w:rPr>
          <w:color w:val="3D3B3D"/>
          <w:w w:val="105"/>
        </w:rPr>
        <w:t>cases heard.</w:t>
      </w:r>
      <w:r>
        <w:rPr>
          <w:rFonts w:ascii="Arial"/>
          <w:color w:val="3D3B3D"/>
          <w:w w:val="105"/>
          <w:vertAlign w:val="superscript"/>
        </w:rPr>
        <w:t>3</w:t>
      </w:r>
    </w:p>
    <w:p>
      <w:pPr>
        <w:pStyle w:val="BodyText"/>
        <w:spacing w:line="232" w:lineRule="auto" w:before="3"/>
        <w:ind w:left="676" w:right="117" w:firstLine="358"/>
        <w:jc w:val="both"/>
      </w:pPr>
      <w:r>
        <w:rPr>
          <w:color w:val="3D3B3D"/>
          <w:w w:val="110"/>
        </w:rPr>
        <w:t>This is not  to say that oral argument  is unimportant. After reading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the  briefs and relevant authorities, many judges form a sort of rebutta­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ble presumption about how the case should be decided. The oral argu­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ment usually convinces them that their presumption was correct, but an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ill-prepared attorney may convince them that they were wrong. As one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05"/>
        </w:rPr>
        <w:t>judge observed, "if the  court intends to rule in your favor, the  easiest way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10"/>
        </w:rPr>
        <w:t>to change the panel's mind is to be utterly unprepared or ineffective at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09"/>
        </w:rPr>
        <w:t>oral</w:t>
      </w:r>
      <w:r>
        <w:rPr>
          <w:color w:val="3D3B3D"/>
          <w:spacing w:val="4"/>
        </w:rPr>
        <w:t> </w:t>
      </w:r>
      <w:r>
        <w:rPr>
          <w:color w:val="3D3B3D"/>
          <w:spacing w:val="-1"/>
          <w:w w:val="112"/>
        </w:rPr>
        <w:t>argument</w:t>
      </w:r>
      <w:r>
        <w:rPr>
          <w:color w:val="3D3B3D"/>
          <w:spacing w:val="-6"/>
          <w:w w:val="112"/>
        </w:rPr>
        <w:t>.</w:t>
      </w:r>
      <w:r>
        <w:rPr>
          <w:color w:val="3D3B3D"/>
          <w:w w:val="116"/>
        </w:rPr>
        <w:t>"</w:t>
      </w:r>
      <w:r>
        <w:rPr>
          <w:rFonts w:ascii="Arial" w:hAnsi="Arial"/>
          <w:color w:val="3D3B3D"/>
          <w:w w:val="116"/>
          <w:position w:val="9"/>
          <w:sz w:val="11"/>
        </w:rPr>
        <w:t>4</w:t>
      </w:r>
      <w:r>
        <w:rPr>
          <w:rFonts w:ascii="Arial" w:hAnsi="Arial"/>
          <w:color w:val="3D3B3D"/>
          <w:position w:val="9"/>
          <w:sz w:val="11"/>
        </w:rPr>
        <w:t> </w:t>
      </w:r>
      <w:r>
        <w:rPr>
          <w:rFonts w:ascii="Arial" w:hAnsi="Arial"/>
          <w:color w:val="3D3B3D"/>
          <w:spacing w:val="7"/>
          <w:position w:val="9"/>
          <w:sz w:val="11"/>
        </w:rPr>
        <w:t> </w:t>
      </w:r>
      <w:r>
        <w:rPr>
          <w:color w:val="3D3B3D"/>
          <w:spacing w:val="-1"/>
          <w:w w:val="116"/>
        </w:rPr>
        <w:t>Th</w:t>
      </w:r>
      <w:r>
        <w:rPr>
          <w:color w:val="3D3B3D"/>
          <w:w w:val="116"/>
        </w:rPr>
        <w:t>e</w:t>
      </w:r>
      <w:r>
        <w:rPr>
          <w:color w:val="3D3B3D"/>
          <w:spacing w:val="-12"/>
        </w:rPr>
        <w:t> </w:t>
      </w:r>
      <w:r>
        <w:rPr>
          <w:color w:val="3D3B3D"/>
          <w:spacing w:val="-1"/>
          <w:w w:val="113"/>
        </w:rPr>
        <w:t>lat</w:t>
      </w:r>
      <w:r>
        <w:rPr>
          <w:color w:val="3D3B3D"/>
          <w:w w:val="113"/>
        </w:rPr>
        <w:t>e</w:t>
      </w:r>
      <w:r>
        <w:rPr>
          <w:color w:val="3D3B3D"/>
          <w:spacing w:val="-27"/>
        </w:rPr>
        <w:t> </w:t>
      </w:r>
      <w:r>
        <w:rPr>
          <w:color w:val="3D3B3D"/>
          <w:spacing w:val="-1"/>
          <w:w w:val="111"/>
        </w:rPr>
        <w:t>Justic</w:t>
      </w:r>
      <w:r>
        <w:rPr>
          <w:color w:val="3D3B3D"/>
          <w:w w:val="111"/>
        </w:rPr>
        <w:t>e</w:t>
      </w:r>
      <w:r>
        <w:rPr>
          <w:color w:val="3D3B3D"/>
          <w:spacing w:val="7"/>
        </w:rPr>
        <w:t> </w:t>
      </w:r>
      <w:r>
        <w:rPr>
          <w:color w:val="3D3B3D"/>
          <w:spacing w:val="-1"/>
          <w:w w:val="110"/>
        </w:rPr>
        <w:t>Brenna</w:t>
      </w:r>
      <w:r>
        <w:rPr>
          <w:color w:val="3D3B3D"/>
          <w:w w:val="110"/>
        </w:rPr>
        <w:t>n</w:t>
      </w:r>
      <w:r>
        <w:rPr>
          <w:color w:val="3D3B3D"/>
          <w:spacing w:val="4"/>
        </w:rPr>
        <w:t> </w:t>
      </w:r>
      <w:r>
        <w:rPr>
          <w:color w:val="3D3B3D"/>
          <w:w w:val="117"/>
        </w:rPr>
        <w:t>once</w:t>
      </w:r>
      <w:r>
        <w:rPr>
          <w:color w:val="3D3B3D"/>
          <w:spacing w:val="-9"/>
        </w:rPr>
        <w:t> </w:t>
      </w:r>
      <w:r>
        <w:rPr>
          <w:color w:val="3D3B3D"/>
          <w:w w:val="110"/>
        </w:rPr>
        <w:t>observed,</w:t>
      </w:r>
      <w:r>
        <w:rPr>
          <w:color w:val="3D3B3D"/>
          <w:spacing w:val="5"/>
        </w:rPr>
        <w:t> </w:t>
      </w:r>
      <w:r>
        <w:rPr>
          <w:color w:val="3D3B3D"/>
          <w:spacing w:val="-1"/>
          <w:w w:val="110"/>
        </w:rPr>
        <w:t>"</w:t>
      </w:r>
      <w:r>
        <w:rPr>
          <w:color w:val="3D3B3D"/>
          <w:w w:val="110"/>
        </w:rPr>
        <w:t>I</w:t>
      </w:r>
      <w:r>
        <w:rPr>
          <w:color w:val="3D3B3D"/>
          <w:spacing w:val="8"/>
        </w:rPr>
        <w:t> </w:t>
      </w:r>
      <w:r>
        <w:rPr>
          <w:color w:val="3D3B3D"/>
          <w:w w:val="111"/>
        </w:rPr>
        <w:t>have</w:t>
      </w:r>
      <w:r>
        <w:rPr>
          <w:color w:val="3D3B3D"/>
          <w:spacing w:val="-2"/>
        </w:rPr>
        <w:t> </w:t>
      </w:r>
      <w:r>
        <w:rPr>
          <w:color w:val="3D3B3D"/>
          <w:w w:val="105"/>
        </w:rPr>
        <w:t>had</w:t>
      </w:r>
      <w:r>
        <w:rPr>
          <w:color w:val="3D3B3D"/>
          <w:spacing w:val="-4"/>
        </w:rPr>
        <w:t> </w:t>
      </w:r>
      <w:r>
        <w:rPr>
          <w:color w:val="3D3B3D"/>
          <w:spacing w:val="-1"/>
          <w:w w:val="99"/>
        </w:rPr>
        <w:t>too </w:t>
      </w:r>
      <w:r>
        <w:rPr>
          <w:color w:val="3D3B3D"/>
          <w:spacing w:val="-1"/>
          <w:w w:val="110"/>
        </w:rPr>
        <w:t>many</w:t>
      </w:r>
      <w:r>
        <w:rPr>
          <w:color w:val="3D3B3D"/>
          <w:spacing w:val="-27"/>
          <w:w w:val="110"/>
        </w:rPr>
        <w:t> </w:t>
      </w:r>
      <w:r>
        <w:rPr>
          <w:color w:val="3D3B3D"/>
          <w:spacing w:val="-1"/>
          <w:w w:val="110"/>
        </w:rPr>
        <w:t>occasions</w:t>
      </w:r>
      <w:r>
        <w:rPr>
          <w:color w:val="3D3B3D"/>
          <w:spacing w:val="-13"/>
          <w:w w:val="110"/>
        </w:rPr>
        <w:t> </w:t>
      </w:r>
      <w:r>
        <w:rPr>
          <w:color w:val="3D3B3D"/>
          <w:w w:val="110"/>
        </w:rPr>
        <w:t>when</w:t>
      </w:r>
      <w:r>
        <w:rPr>
          <w:color w:val="3D3B3D"/>
          <w:spacing w:val="-2"/>
          <w:w w:val="110"/>
        </w:rPr>
        <w:t> </w:t>
      </w:r>
      <w:r>
        <w:rPr>
          <w:rFonts w:ascii="Arial" w:hAnsi="Arial"/>
          <w:i/>
          <w:color w:val="3D3B3D"/>
          <w:w w:val="110"/>
          <w:sz w:val="22"/>
        </w:rPr>
        <w:t>my</w:t>
      </w:r>
      <w:r>
        <w:rPr>
          <w:rFonts w:ascii="Arial" w:hAnsi="Arial"/>
          <w:i/>
          <w:color w:val="3D3B3D"/>
          <w:spacing w:val="20"/>
          <w:w w:val="110"/>
          <w:sz w:val="22"/>
        </w:rPr>
        <w:t> </w:t>
      </w:r>
      <w:r>
        <w:rPr>
          <w:color w:val="3D3B3D"/>
          <w:w w:val="110"/>
        </w:rPr>
        <w:t>judgment</w:t>
      </w:r>
      <w:r>
        <w:rPr>
          <w:color w:val="3D3B3D"/>
          <w:spacing w:val="-16"/>
          <w:w w:val="110"/>
        </w:rPr>
        <w:t> </w:t>
      </w:r>
      <w:r>
        <w:rPr>
          <w:color w:val="3D3B3D"/>
          <w:w w:val="110"/>
        </w:rPr>
        <w:t>of</w:t>
      </w:r>
      <w:r>
        <w:rPr>
          <w:color w:val="3D3B3D"/>
          <w:spacing w:val="-15"/>
          <w:w w:val="110"/>
        </w:rPr>
        <w:t> </w:t>
      </w:r>
      <w:r>
        <w:rPr>
          <w:color w:val="3D3B3D"/>
          <w:w w:val="110"/>
        </w:rPr>
        <w:t>a</w:t>
      </w:r>
      <w:r>
        <w:rPr>
          <w:color w:val="3D3B3D"/>
          <w:spacing w:val="-6"/>
          <w:w w:val="110"/>
        </w:rPr>
        <w:t> </w:t>
      </w:r>
      <w:r>
        <w:rPr>
          <w:color w:val="3D3B3D"/>
          <w:w w:val="110"/>
        </w:rPr>
        <w:t>decision</w:t>
      </w:r>
      <w:r>
        <w:rPr>
          <w:color w:val="3D3B3D"/>
          <w:spacing w:val="3"/>
          <w:w w:val="110"/>
        </w:rPr>
        <w:t> </w:t>
      </w:r>
      <w:r>
        <w:rPr>
          <w:color w:val="3D3B3D"/>
          <w:w w:val="110"/>
        </w:rPr>
        <w:t>has</w:t>
      </w:r>
      <w:r>
        <w:rPr>
          <w:color w:val="3D3B3D"/>
          <w:spacing w:val="-7"/>
          <w:w w:val="110"/>
        </w:rPr>
        <w:t> </w:t>
      </w:r>
      <w:r>
        <w:rPr>
          <w:color w:val="3D3B3D"/>
          <w:w w:val="110"/>
        </w:rPr>
        <w:t>turned</w:t>
      </w:r>
      <w:r>
        <w:rPr>
          <w:color w:val="3D3B3D"/>
          <w:spacing w:val="-10"/>
          <w:w w:val="110"/>
        </w:rPr>
        <w:t> </w:t>
      </w:r>
      <w:r>
        <w:rPr>
          <w:color w:val="3D3B3D"/>
          <w:w w:val="110"/>
        </w:rPr>
        <w:t>on</w:t>
      </w:r>
      <w:r>
        <w:rPr>
          <w:color w:val="3D3B3D"/>
          <w:spacing w:val="-16"/>
          <w:w w:val="110"/>
        </w:rPr>
        <w:t> </w:t>
      </w:r>
      <w:r>
        <w:rPr>
          <w:color w:val="3D3B3D"/>
          <w:w w:val="110"/>
        </w:rPr>
        <w:t>what</w:t>
      </w:r>
      <w:r>
        <w:rPr>
          <w:color w:val="3D3B3D"/>
          <w:spacing w:val="-19"/>
          <w:w w:val="110"/>
        </w:rPr>
        <w:t> </w:t>
      </w:r>
      <w:r>
        <w:rPr>
          <w:color w:val="3D3B3D"/>
          <w:w w:val="110"/>
        </w:rPr>
        <w:t>hap­</w:t>
      </w:r>
      <w:r>
        <w:rPr>
          <w:color w:val="3D3B3D"/>
          <w:spacing w:val="-60"/>
          <w:w w:val="110"/>
        </w:rPr>
        <w:t> </w:t>
      </w:r>
      <w:r>
        <w:rPr>
          <w:color w:val="3D3B3D"/>
          <w:spacing w:val="-1"/>
          <w:w w:val="110"/>
        </w:rPr>
        <w:t>pened in oral argument, not to be terribly </w:t>
      </w:r>
      <w:r>
        <w:rPr>
          <w:color w:val="3D3B3D"/>
          <w:w w:val="110"/>
        </w:rPr>
        <w:t>concerned for myself were I to</w:t>
      </w:r>
      <w:r>
        <w:rPr>
          <w:color w:val="3D3B3D"/>
          <w:spacing w:val="1"/>
          <w:w w:val="110"/>
        </w:rPr>
        <w:t> </w:t>
      </w:r>
      <w:r>
        <w:rPr>
          <w:color w:val="3D3B3D"/>
          <w:spacing w:val="-1"/>
          <w:w w:val="110"/>
        </w:rPr>
        <w:t>be denied </w:t>
      </w:r>
      <w:r>
        <w:rPr>
          <w:color w:val="3D3B3D"/>
          <w:w w:val="110"/>
        </w:rPr>
        <w:t>oral argument."</w:t>
      </w:r>
      <w:r>
        <w:rPr>
          <w:rFonts w:ascii="Arial" w:hAnsi="Arial"/>
          <w:color w:val="3D3B3D"/>
          <w:w w:val="110"/>
          <w:position w:val="10"/>
          <w:sz w:val="12"/>
        </w:rPr>
        <w:t>5 </w:t>
      </w:r>
      <w:r>
        <w:rPr>
          <w:color w:val="3D3B3D"/>
          <w:w w:val="110"/>
        </w:rPr>
        <w:t>Judge Bright, of the Eighth Circuit, has com­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mented that "oral argument is an essential component of the decision­</w:t>
      </w:r>
      <w:r>
        <w:rPr>
          <w:color w:val="3D3B3D"/>
          <w:spacing w:val="1"/>
          <w:w w:val="110"/>
        </w:rPr>
        <w:t> </w:t>
      </w:r>
      <w:r>
        <w:rPr>
          <w:color w:val="3D3B3D"/>
          <w:spacing w:val="-1"/>
          <w:w w:val="108"/>
        </w:rPr>
        <w:t>makin</w:t>
      </w:r>
      <w:r>
        <w:rPr>
          <w:color w:val="3D3B3D"/>
          <w:w w:val="108"/>
        </w:rPr>
        <w:t>g</w:t>
      </w:r>
      <w:r>
        <w:rPr>
          <w:color w:val="3D3B3D"/>
          <w:spacing w:val="-12"/>
        </w:rPr>
        <w:t> </w:t>
      </w:r>
      <w:r>
        <w:rPr>
          <w:color w:val="3D3B3D"/>
          <w:w w:val="105"/>
        </w:rPr>
        <w:t>process."</w:t>
      </w:r>
      <w:r>
        <w:rPr>
          <w:rFonts w:ascii="Arial" w:hAnsi="Arial"/>
          <w:color w:val="3D3B3D"/>
          <w:w w:val="105"/>
          <w:position w:val="9"/>
          <w:sz w:val="11"/>
        </w:rPr>
        <w:t>6</w:t>
      </w:r>
      <w:r>
        <w:rPr>
          <w:rFonts w:ascii="Arial" w:hAnsi="Arial"/>
          <w:color w:val="3D3B3D"/>
          <w:position w:val="9"/>
          <w:sz w:val="11"/>
        </w:rPr>
        <w:t> </w:t>
      </w:r>
      <w:r>
        <w:rPr>
          <w:rFonts w:ascii="Arial" w:hAnsi="Arial"/>
          <w:color w:val="3D3B3D"/>
          <w:spacing w:val="-3"/>
          <w:position w:val="9"/>
          <w:sz w:val="11"/>
        </w:rPr>
        <w:t> </w:t>
      </w:r>
      <w:r>
        <w:rPr>
          <w:color w:val="3D3B3D"/>
          <w:spacing w:val="-1"/>
          <w:w w:val="105"/>
        </w:rPr>
        <w:t>l</w:t>
      </w:r>
      <w:r>
        <w:rPr>
          <w:color w:val="3D3B3D"/>
          <w:w w:val="105"/>
        </w:rPr>
        <w:t>t</w:t>
      </w:r>
      <w:r>
        <w:rPr>
          <w:color w:val="3D3B3D"/>
          <w:spacing w:val="20"/>
        </w:rPr>
        <w:t> </w:t>
      </w:r>
      <w:r>
        <w:rPr>
          <w:color w:val="3D3B3D"/>
          <w:spacing w:val="-1"/>
          <w:w w:val="109"/>
        </w:rPr>
        <w:t>i</w:t>
      </w:r>
      <w:r>
        <w:rPr>
          <w:color w:val="3D3B3D"/>
          <w:w w:val="109"/>
        </w:rPr>
        <w:t>s</w:t>
      </w:r>
      <w:r>
        <w:rPr>
          <w:color w:val="3D3B3D"/>
          <w:spacing w:val="-24"/>
        </w:rPr>
        <w:t> </w:t>
      </w:r>
      <w:r>
        <w:rPr>
          <w:color w:val="3D3B3D"/>
          <w:spacing w:val="-1"/>
          <w:w w:val="112"/>
        </w:rPr>
        <w:t>certainl</w:t>
      </w:r>
      <w:r>
        <w:rPr>
          <w:color w:val="3D3B3D"/>
          <w:w w:val="112"/>
        </w:rPr>
        <w:t>y</w:t>
      </w:r>
      <w:r>
        <w:rPr>
          <w:color w:val="3D3B3D"/>
        </w:rPr>
        <w:t> </w:t>
      </w:r>
      <w:r>
        <w:rPr>
          <w:color w:val="3D3B3D"/>
          <w:w w:val="108"/>
        </w:rPr>
        <w:t>responsible</w:t>
      </w:r>
      <w:r>
        <w:rPr>
          <w:color w:val="3D3B3D"/>
          <w:spacing w:val="4"/>
        </w:rPr>
        <w:t> </w:t>
      </w:r>
      <w:r>
        <w:rPr>
          <w:color w:val="3D3B3D"/>
          <w:w w:val="108"/>
        </w:rPr>
        <w:t>for</w:t>
      </w:r>
      <w:r>
        <w:rPr>
          <w:color w:val="3D3B3D"/>
          <w:spacing w:val="-10"/>
        </w:rPr>
        <w:t> </w:t>
      </w:r>
      <w:r>
        <w:rPr>
          <w:color w:val="3D3B3D"/>
          <w:w w:val="112"/>
        </w:rPr>
        <w:t>generating</w:t>
      </w:r>
      <w:r>
        <w:rPr>
          <w:color w:val="3D3B3D"/>
          <w:spacing w:val="2"/>
        </w:rPr>
        <w:t> </w:t>
      </w:r>
      <w:r>
        <w:rPr>
          <w:color w:val="3D3B3D"/>
          <w:spacing w:val="-1"/>
          <w:w w:val="112"/>
        </w:rPr>
        <w:t>mor</w:t>
      </w:r>
      <w:r>
        <w:rPr>
          <w:color w:val="3D3B3D"/>
          <w:w w:val="112"/>
        </w:rPr>
        <w:t>e</w:t>
      </w:r>
      <w:r>
        <w:rPr>
          <w:color w:val="3D3B3D"/>
          <w:spacing w:val="-26"/>
        </w:rPr>
        <w:t> </w:t>
      </w:r>
      <w:r>
        <w:rPr>
          <w:color w:val="3D3B3D"/>
          <w:spacing w:val="-1"/>
          <w:w w:val="102"/>
        </w:rPr>
        <w:t>adrenalin.</w:t>
      </w:r>
    </w:p>
    <w:p>
      <w:pPr>
        <w:pStyle w:val="BodyText"/>
        <w:rPr>
          <w:sz w:val="26"/>
        </w:rPr>
      </w:pPr>
    </w:p>
    <w:p>
      <w:pPr>
        <w:spacing w:before="224"/>
        <w:ind w:left="1276" w:right="0" w:firstLine="0"/>
        <w:jc w:val="left"/>
        <w:rPr>
          <w:rFonts w:ascii="Arial"/>
          <w:b/>
          <w:sz w:val="33"/>
        </w:rPr>
      </w:pPr>
      <w:r>
        <w:rPr>
          <w:rFonts w:ascii="Arial"/>
          <w:b/>
          <w:color w:val="8A8C8E"/>
          <w:w w:val="105"/>
          <w:sz w:val="33"/>
        </w:rPr>
        <w:t>13</w:t>
      </w:r>
      <w:r>
        <w:rPr>
          <w:rFonts w:ascii="Arial"/>
          <w:b/>
          <w:color w:val="626264"/>
          <w:w w:val="105"/>
          <w:sz w:val="33"/>
        </w:rPr>
        <w:t>.</w:t>
      </w:r>
      <w:r>
        <w:rPr>
          <w:rFonts w:ascii="Arial"/>
          <w:b/>
          <w:color w:val="8A8C8E"/>
          <w:w w:val="105"/>
          <w:sz w:val="33"/>
        </w:rPr>
        <w:t>1</w:t>
      </w:r>
    </w:p>
    <w:p>
      <w:pPr>
        <w:spacing w:before="62"/>
        <w:ind w:left="1274" w:right="0" w:firstLine="0"/>
        <w:jc w:val="left"/>
        <w:rPr>
          <w:rFonts w:ascii="Arial"/>
          <w:sz w:val="25"/>
        </w:rPr>
      </w:pPr>
      <w:r>
        <w:rPr>
          <w:rFonts w:ascii="Arial"/>
          <w:color w:val="8A8C8E"/>
          <w:w w:val="105"/>
          <w:sz w:val="25"/>
        </w:rPr>
        <w:t>PURPOSE</w:t>
      </w:r>
      <w:r>
        <w:rPr>
          <w:rFonts w:ascii="Arial"/>
          <w:color w:val="8A8C8E"/>
          <w:spacing w:val="11"/>
          <w:w w:val="105"/>
          <w:sz w:val="25"/>
        </w:rPr>
        <w:t> </w:t>
      </w:r>
      <w:r>
        <w:rPr>
          <w:rFonts w:ascii="Arial"/>
          <w:color w:val="8A8C8E"/>
          <w:w w:val="105"/>
          <w:sz w:val="25"/>
        </w:rPr>
        <w:t>OF</w:t>
      </w:r>
      <w:r>
        <w:rPr>
          <w:rFonts w:ascii="Arial"/>
          <w:color w:val="8A8C8E"/>
          <w:spacing w:val="4"/>
          <w:w w:val="105"/>
          <w:sz w:val="25"/>
        </w:rPr>
        <w:t> </w:t>
      </w:r>
      <w:r>
        <w:rPr>
          <w:rFonts w:ascii="Arial"/>
          <w:color w:val="8A8C8E"/>
          <w:w w:val="105"/>
          <w:sz w:val="27"/>
        </w:rPr>
        <w:t>ORAL</w:t>
      </w:r>
      <w:r>
        <w:rPr>
          <w:rFonts w:ascii="Arial"/>
          <w:color w:val="8A8C8E"/>
          <w:spacing w:val="6"/>
          <w:w w:val="105"/>
          <w:sz w:val="27"/>
        </w:rPr>
        <w:t> </w:t>
      </w:r>
      <w:r>
        <w:rPr>
          <w:rFonts w:ascii="Arial"/>
          <w:color w:val="8A8C8E"/>
          <w:w w:val="105"/>
          <w:sz w:val="25"/>
        </w:rPr>
        <w:t>ARGUMEN</w:t>
      </w:r>
      <w:r>
        <w:rPr>
          <w:rFonts w:ascii="Arial"/>
          <w:color w:val="626264"/>
          <w:w w:val="105"/>
          <w:sz w:val="25"/>
        </w:rPr>
        <w:t>T</w:t>
      </w:r>
    </w:p>
    <w:p>
      <w:pPr>
        <w:pStyle w:val="BodyText"/>
        <w:spacing w:before="9"/>
        <w:rPr>
          <w:rFonts w:ascii="Arial"/>
        </w:rPr>
      </w:pPr>
    </w:p>
    <w:p>
      <w:pPr>
        <w:pStyle w:val="BodyText"/>
        <w:spacing w:line="232" w:lineRule="auto"/>
        <w:ind w:left="635" w:right="126" w:firstLine="612"/>
        <w:jc w:val="both"/>
        <w:rPr>
          <w:rFonts w:ascii="Arial" w:hAnsi="Arial"/>
          <w:sz w:val="12"/>
        </w:rPr>
      </w:pPr>
      <w:r>
        <w:rPr>
          <w:color w:val="3D3B3D"/>
          <w:w w:val="110"/>
        </w:rPr>
        <w:t>The purpose of the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oral argument is not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to give an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impressive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speech. Rather, your goal as an oral advocate is simply to highlight your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best arguments and to answer any questions that the judges have about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05"/>
        </w:rPr>
        <w:t>the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case. Judge Pierce has explained that oral arguments give judges "the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10"/>
        </w:rPr>
        <w:t>opportunity to discuss ...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the issues they consider dispositive or particu­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larly troublesome-issues that may not have been briefed or at least not</w:t>
      </w:r>
      <w:r>
        <w:rPr>
          <w:color w:val="3D3B3D"/>
          <w:spacing w:val="1"/>
          <w:w w:val="110"/>
        </w:rPr>
        <w:t> </w:t>
      </w:r>
      <w:r>
        <w:rPr>
          <w:color w:val="3D3B3D"/>
          <w:w w:val="110"/>
        </w:rPr>
        <w:t>briefed fully."</w:t>
      </w:r>
      <w:r>
        <w:rPr>
          <w:color w:val="3D3B3D"/>
          <w:w w:val="110"/>
          <w:vertAlign w:val="superscript"/>
        </w:rPr>
        <w:t>7</w:t>
      </w:r>
      <w:r>
        <w:rPr>
          <w:color w:val="3D3B3D"/>
          <w:w w:val="110"/>
          <w:vertAlign w:val="baseline"/>
        </w:rPr>
        <w:t> Justice Ginsburg has observed that questions during oral</w:t>
      </w:r>
      <w:r>
        <w:rPr>
          <w:color w:val="3D3B3D"/>
          <w:spacing w:val="1"/>
          <w:w w:val="110"/>
          <w:vertAlign w:val="baseline"/>
        </w:rPr>
        <w:t> </w:t>
      </w:r>
      <w:r>
        <w:rPr>
          <w:color w:val="3D3B3D"/>
          <w:spacing w:val="-1"/>
          <w:w w:val="110"/>
          <w:vertAlign w:val="baseline"/>
        </w:rPr>
        <w:t>argument "give counsel a chance to satisfy the court on matters </w:t>
      </w:r>
      <w:r>
        <w:rPr>
          <w:color w:val="3D3B3D"/>
          <w:w w:val="110"/>
          <w:vertAlign w:val="baseline"/>
        </w:rPr>
        <w:t>the judges</w:t>
      </w:r>
      <w:r>
        <w:rPr>
          <w:color w:val="3D3B3D"/>
          <w:spacing w:val="-61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think significant, issues the</w:t>
      </w:r>
      <w:r>
        <w:rPr>
          <w:color w:val="3D3B3D"/>
          <w:spacing w:val="1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judges might puzzle over in chambers, and</w:t>
      </w:r>
      <w:r>
        <w:rPr>
          <w:color w:val="3D3B3D"/>
          <w:spacing w:val="1"/>
          <w:w w:val="110"/>
          <w:vertAlign w:val="baseline"/>
        </w:rPr>
        <w:t> </w:t>
      </w:r>
      <w:r>
        <w:rPr>
          <w:color w:val="3D3B3D"/>
          <w:spacing w:val="-1"/>
          <w:w w:val="110"/>
          <w:vertAlign w:val="baseline"/>
        </w:rPr>
        <w:t>resolve</w:t>
      </w:r>
      <w:r>
        <w:rPr>
          <w:color w:val="3D3B3D"/>
          <w:spacing w:val="-5"/>
          <w:w w:val="110"/>
          <w:vertAlign w:val="baseline"/>
        </w:rPr>
        <w:t> </w:t>
      </w:r>
      <w:r>
        <w:rPr>
          <w:color w:val="3D3B3D"/>
          <w:spacing w:val="-1"/>
          <w:w w:val="110"/>
          <w:vertAlign w:val="baseline"/>
        </w:rPr>
        <w:t>less</w:t>
      </w:r>
      <w:r>
        <w:rPr>
          <w:color w:val="3D3B3D"/>
          <w:spacing w:val="-30"/>
          <w:w w:val="110"/>
          <w:vertAlign w:val="baseline"/>
        </w:rPr>
        <w:t> </w:t>
      </w:r>
      <w:r>
        <w:rPr>
          <w:color w:val="3D3B3D"/>
          <w:spacing w:val="-1"/>
          <w:w w:val="110"/>
          <w:vertAlign w:val="baseline"/>
        </w:rPr>
        <w:t>satisfactorily</w:t>
      </w:r>
      <w:r>
        <w:rPr>
          <w:color w:val="3D3B3D"/>
          <w:spacing w:val="-15"/>
          <w:w w:val="110"/>
          <w:vertAlign w:val="baseline"/>
        </w:rPr>
        <w:t> </w:t>
      </w:r>
      <w:r>
        <w:rPr>
          <w:color w:val="3D3B3D"/>
          <w:spacing w:val="-1"/>
          <w:w w:val="110"/>
          <w:vertAlign w:val="baseline"/>
        </w:rPr>
        <w:t>without</w:t>
      </w:r>
      <w:r>
        <w:rPr>
          <w:color w:val="3D3B3D"/>
          <w:w w:val="110"/>
          <w:vertAlign w:val="baseline"/>
        </w:rPr>
        <w:t> counsel's</w:t>
      </w:r>
      <w:r>
        <w:rPr>
          <w:color w:val="3D3B3D"/>
          <w:spacing w:val="-9"/>
          <w:w w:val="110"/>
          <w:vertAlign w:val="baseline"/>
        </w:rPr>
        <w:t> </w:t>
      </w:r>
      <w:r>
        <w:rPr>
          <w:color w:val="3D3B3D"/>
          <w:w w:val="110"/>
          <w:vertAlign w:val="baseline"/>
        </w:rPr>
        <w:t>aid."</w:t>
      </w:r>
      <w:r>
        <w:rPr>
          <w:rFonts w:ascii="Arial" w:hAnsi="Arial"/>
          <w:color w:val="3D3B3D"/>
          <w:w w:val="110"/>
          <w:position w:val="10"/>
          <w:sz w:val="12"/>
          <w:vertAlign w:val="baseline"/>
        </w:rPr>
        <w:t>8</w:t>
      </w:r>
    </w:p>
    <w:p>
      <w:pPr>
        <w:pStyle w:val="BodyText"/>
        <w:rPr>
          <w:rFonts w:ascii="Arial"/>
          <w:sz w:val="26"/>
        </w:rPr>
      </w:pPr>
    </w:p>
    <w:p>
      <w:pPr>
        <w:spacing w:line="201" w:lineRule="exact" w:before="210"/>
        <w:ind w:left="981" w:right="0" w:firstLine="0"/>
        <w:jc w:val="both"/>
        <w:rPr>
          <w:rFonts w:ascii="Arial"/>
          <w:sz w:val="18"/>
        </w:rPr>
      </w:pPr>
      <w:r>
        <w:rPr>
          <w:i/>
          <w:color w:val="3D3B3D"/>
          <w:sz w:val="17"/>
        </w:rPr>
        <w:t>'See</w:t>
      </w:r>
      <w:r>
        <w:rPr>
          <w:i/>
          <w:color w:val="3D3B3D"/>
          <w:spacing w:val="-4"/>
          <w:sz w:val="17"/>
        </w:rPr>
        <w:t> </w:t>
      </w:r>
      <w:r>
        <w:rPr>
          <w:color w:val="3D3B3D"/>
          <w:sz w:val="18"/>
        </w:rPr>
        <w:t>Myron</w:t>
      </w:r>
      <w:r>
        <w:rPr>
          <w:color w:val="3D3B3D"/>
          <w:spacing w:val="31"/>
          <w:sz w:val="18"/>
        </w:rPr>
        <w:t> </w:t>
      </w:r>
      <w:r>
        <w:rPr>
          <w:color w:val="3D3B3D"/>
          <w:sz w:val="17"/>
        </w:rPr>
        <w:t>H</w:t>
      </w:r>
      <w:r>
        <w:rPr>
          <w:color w:val="626264"/>
          <w:sz w:val="17"/>
        </w:rPr>
        <w:t>.</w:t>
      </w:r>
      <w:r>
        <w:rPr>
          <w:color w:val="626264"/>
          <w:spacing w:val="33"/>
          <w:sz w:val="17"/>
        </w:rPr>
        <w:t> </w:t>
      </w:r>
      <w:r>
        <w:rPr>
          <w:color w:val="3D3B3D"/>
          <w:sz w:val="18"/>
        </w:rPr>
        <w:t>Bright,</w:t>
      </w:r>
      <w:r>
        <w:rPr>
          <w:color w:val="3D3B3D"/>
          <w:spacing w:val="15"/>
          <w:sz w:val="18"/>
        </w:rPr>
        <w:t> </w:t>
      </w:r>
      <w:r>
        <w:rPr>
          <w:i/>
          <w:color w:val="3D3B3D"/>
          <w:sz w:val="17"/>
        </w:rPr>
        <w:t>The</w:t>
      </w:r>
      <w:r>
        <w:rPr>
          <w:i/>
          <w:color w:val="3D3B3D"/>
          <w:spacing w:val="4"/>
          <w:sz w:val="17"/>
        </w:rPr>
        <w:t> </w:t>
      </w:r>
      <w:r>
        <w:rPr>
          <w:i/>
          <w:color w:val="3D3B3D"/>
          <w:sz w:val="17"/>
        </w:rPr>
        <w:t>Power</w:t>
      </w:r>
      <w:r>
        <w:rPr>
          <w:i/>
          <w:color w:val="3D3B3D"/>
          <w:spacing w:val="14"/>
          <w:sz w:val="17"/>
        </w:rPr>
        <w:t> </w:t>
      </w:r>
      <w:r>
        <w:rPr>
          <w:i/>
          <w:color w:val="3D3B3D"/>
          <w:sz w:val="17"/>
        </w:rPr>
        <w:t>of</w:t>
      </w:r>
      <w:r>
        <w:rPr>
          <w:i/>
          <w:color w:val="3D3B3D"/>
          <w:spacing w:val="33"/>
          <w:sz w:val="17"/>
        </w:rPr>
        <w:t> </w:t>
      </w:r>
      <w:r>
        <w:rPr>
          <w:i/>
          <w:color w:val="3D3B3D"/>
          <w:sz w:val="17"/>
        </w:rPr>
        <w:t>the</w:t>
      </w:r>
      <w:r>
        <w:rPr>
          <w:i/>
          <w:color w:val="3D3B3D"/>
          <w:spacing w:val="46"/>
          <w:sz w:val="17"/>
        </w:rPr>
        <w:t> </w:t>
      </w:r>
      <w:r>
        <w:rPr>
          <w:i/>
          <w:color w:val="3D3B3D"/>
          <w:sz w:val="17"/>
        </w:rPr>
        <w:t>Spoken</w:t>
      </w:r>
      <w:r>
        <w:rPr>
          <w:i/>
          <w:color w:val="3D3B3D"/>
          <w:spacing w:val="20"/>
          <w:sz w:val="17"/>
        </w:rPr>
        <w:t> </w:t>
      </w:r>
      <w:r>
        <w:rPr>
          <w:i/>
          <w:color w:val="3D3B3D"/>
          <w:sz w:val="17"/>
        </w:rPr>
        <w:t>Word:</w:t>
      </w:r>
      <w:r>
        <w:rPr>
          <w:i/>
          <w:color w:val="3D3B3D"/>
          <w:spacing w:val="18"/>
          <w:sz w:val="17"/>
        </w:rPr>
        <w:t> </w:t>
      </w:r>
      <w:r>
        <w:rPr>
          <w:i/>
          <w:color w:val="3D3B3D"/>
          <w:sz w:val="17"/>
        </w:rPr>
        <w:t>In</w:t>
      </w:r>
      <w:r>
        <w:rPr>
          <w:i/>
          <w:color w:val="3D3B3D"/>
          <w:spacing w:val="27"/>
          <w:sz w:val="17"/>
        </w:rPr>
        <w:t> </w:t>
      </w:r>
      <w:r>
        <w:rPr>
          <w:i/>
          <w:color w:val="3D3B3D"/>
          <w:sz w:val="17"/>
        </w:rPr>
        <w:t>Defense</w:t>
      </w:r>
      <w:r>
        <w:rPr>
          <w:i/>
          <w:color w:val="3D3B3D"/>
          <w:spacing w:val="6"/>
          <w:sz w:val="17"/>
        </w:rPr>
        <w:t> </w:t>
      </w:r>
      <w:r>
        <w:rPr>
          <w:i/>
          <w:color w:val="3D3B3D"/>
          <w:sz w:val="17"/>
        </w:rPr>
        <w:t>of</w:t>
      </w:r>
      <w:r>
        <w:rPr>
          <w:i/>
          <w:color w:val="3D3B3D"/>
          <w:spacing w:val="29"/>
          <w:sz w:val="17"/>
        </w:rPr>
        <w:t> </w:t>
      </w:r>
      <w:r>
        <w:rPr>
          <w:i/>
          <w:color w:val="3D3B3D"/>
          <w:sz w:val="17"/>
        </w:rPr>
        <w:t>Oral</w:t>
      </w:r>
      <w:r>
        <w:rPr>
          <w:i/>
          <w:color w:val="3D3B3D"/>
          <w:spacing w:val="26"/>
          <w:sz w:val="17"/>
        </w:rPr>
        <w:t> </w:t>
      </w:r>
      <w:r>
        <w:rPr>
          <w:i/>
          <w:color w:val="3D3B3D"/>
          <w:sz w:val="17"/>
        </w:rPr>
        <w:t>Argument,</w:t>
      </w:r>
      <w:r>
        <w:rPr>
          <w:i/>
          <w:color w:val="3D3B3D"/>
          <w:spacing w:val="16"/>
          <w:sz w:val="17"/>
        </w:rPr>
        <w:t> </w:t>
      </w:r>
      <w:r>
        <w:rPr>
          <w:color w:val="3D3B3D"/>
          <w:sz w:val="17"/>
        </w:rPr>
        <w:t>72</w:t>
      </w:r>
      <w:r>
        <w:rPr>
          <w:color w:val="3D3B3D"/>
          <w:spacing w:val="33"/>
          <w:sz w:val="17"/>
        </w:rPr>
        <w:t> </w:t>
      </w:r>
      <w:r>
        <w:rPr>
          <w:color w:val="3D3B3D"/>
          <w:sz w:val="17"/>
        </w:rPr>
        <w:t>lowa</w:t>
      </w:r>
      <w:r>
        <w:rPr>
          <w:color w:val="3D3B3D"/>
          <w:spacing w:val="6"/>
          <w:sz w:val="17"/>
        </w:rPr>
        <w:t> </w:t>
      </w:r>
      <w:r>
        <w:rPr>
          <w:rFonts w:ascii="Arial"/>
          <w:color w:val="3D3B3D"/>
          <w:sz w:val="18"/>
        </w:rPr>
        <w:t>L.</w:t>
      </w:r>
    </w:p>
    <w:p>
      <w:pPr>
        <w:spacing w:line="160" w:lineRule="exact" w:before="0"/>
        <w:ind w:left="615" w:right="0" w:firstLine="0"/>
        <w:jc w:val="both"/>
        <w:rPr>
          <w:sz w:val="17"/>
        </w:rPr>
      </w:pPr>
      <w:r>
        <w:rPr>
          <w:color w:val="3D3B3D"/>
          <w:w w:val="105"/>
          <w:sz w:val="18"/>
        </w:rPr>
        <w:t>Rev.</w:t>
      </w:r>
      <w:r>
        <w:rPr>
          <w:color w:val="3D3B3D"/>
          <w:spacing w:val="-6"/>
          <w:w w:val="105"/>
          <w:sz w:val="18"/>
        </w:rPr>
        <w:t> </w:t>
      </w:r>
      <w:r>
        <w:rPr>
          <w:color w:val="3D3B3D"/>
          <w:w w:val="105"/>
          <w:sz w:val="17"/>
        </w:rPr>
        <w:t>35,</w:t>
      </w:r>
      <w:r>
        <w:rPr>
          <w:color w:val="3D3B3D"/>
          <w:spacing w:val="10"/>
          <w:w w:val="105"/>
          <w:sz w:val="17"/>
        </w:rPr>
        <w:t> </w:t>
      </w:r>
      <w:r>
        <w:rPr>
          <w:color w:val="3D3B3D"/>
          <w:w w:val="105"/>
          <w:sz w:val="18"/>
        </w:rPr>
        <w:t>40</w:t>
      </w:r>
      <w:r>
        <w:rPr>
          <w:color w:val="3D3B3D"/>
          <w:spacing w:val="30"/>
          <w:w w:val="105"/>
          <w:sz w:val="18"/>
        </w:rPr>
        <w:t> </w:t>
      </w:r>
      <w:r>
        <w:rPr>
          <w:color w:val="3D3B3D"/>
          <w:w w:val="105"/>
          <w:sz w:val="18"/>
        </w:rPr>
        <w:t>nn</w:t>
      </w:r>
      <w:r>
        <w:rPr>
          <w:color w:val="626264"/>
          <w:w w:val="105"/>
          <w:sz w:val="18"/>
        </w:rPr>
        <w:t>.</w:t>
      </w:r>
      <w:r>
        <w:rPr>
          <w:color w:val="626264"/>
          <w:spacing w:val="4"/>
          <w:w w:val="105"/>
          <w:sz w:val="18"/>
        </w:rPr>
        <w:t> </w:t>
      </w:r>
      <w:r>
        <w:rPr>
          <w:color w:val="3D3B3D"/>
          <w:w w:val="105"/>
          <w:sz w:val="17"/>
        </w:rPr>
        <w:t>32-33</w:t>
      </w:r>
      <w:r>
        <w:rPr>
          <w:color w:val="3D3B3D"/>
          <w:spacing w:val="-8"/>
          <w:w w:val="105"/>
          <w:sz w:val="17"/>
        </w:rPr>
        <w:t> </w:t>
      </w:r>
      <w:r>
        <w:rPr>
          <w:color w:val="3D3B3D"/>
          <w:w w:val="105"/>
          <w:sz w:val="17"/>
        </w:rPr>
        <w:t>(1986).</w:t>
      </w:r>
    </w:p>
    <w:p>
      <w:pPr>
        <w:spacing w:line="238" w:lineRule="exact" w:before="0"/>
        <w:ind w:left="987" w:right="0" w:firstLine="0"/>
        <w:jc w:val="both"/>
        <w:rPr>
          <w:sz w:val="25"/>
        </w:rPr>
      </w:pPr>
      <w:r>
        <w:rPr>
          <w:color w:val="3D3B3D"/>
          <w:sz w:val="18"/>
        </w:rPr>
        <w:t>'Judge</w:t>
      </w:r>
      <w:r>
        <w:rPr>
          <w:color w:val="3D3B3D"/>
          <w:spacing w:val="-27"/>
          <w:sz w:val="18"/>
        </w:rPr>
        <w:t> </w:t>
      </w:r>
      <w:r>
        <w:rPr>
          <w:color w:val="3D3B3D"/>
          <w:sz w:val="18"/>
        </w:rPr>
        <w:t>Stephen</w:t>
      </w:r>
      <w:r>
        <w:rPr>
          <w:color w:val="3D3B3D"/>
          <w:spacing w:val="-10"/>
          <w:sz w:val="18"/>
        </w:rPr>
        <w:t> </w:t>
      </w:r>
      <w:r>
        <w:rPr>
          <w:color w:val="3D3B3D"/>
          <w:sz w:val="21"/>
        </w:rPr>
        <w:t>J.</w:t>
      </w:r>
      <w:r>
        <w:rPr>
          <w:color w:val="3D3B3D"/>
          <w:spacing w:val="-19"/>
          <w:sz w:val="21"/>
        </w:rPr>
        <w:t> </w:t>
      </w:r>
      <w:r>
        <w:rPr>
          <w:color w:val="3D3B3D"/>
          <w:sz w:val="18"/>
        </w:rPr>
        <w:t>Dwyer,</w:t>
      </w:r>
      <w:r>
        <w:rPr>
          <w:color w:val="3D3B3D"/>
          <w:spacing w:val="3"/>
          <w:sz w:val="18"/>
        </w:rPr>
        <w:t> </w:t>
      </w:r>
      <w:r>
        <w:rPr>
          <w:color w:val="3D3B3D"/>
          <w:sz w:val="18"/>
        </w:rPr>
        <w:t>Leonard</w:t>
      </w:r>
      <w:r>
        <w:rPr>
          <w:color w:val="3D3B3D"/>
          <w:spacing w:val="-17"/>
          <w:sz w:val="18"/>
        </w:rPr>
        <w:t> </w:t>
      </w:r>
      <w:r>
        <w:rPr>
          <w:color w:val="3D3B3D"/>
          <w:sz w:val="21"/>
        </w:rPr>
        <w:t>J.</w:t>
      </w:r>
      <w:r>
        <w:rPr>
          <w:color w:val="3D3B3D"/>
          <w:spacing w:val="-21"/>
          <w:sz w:val="21"/>
        </w:rPr>
        <w:t> </w:t>
      </w:r>
      <w:r>
        <w:rPr>
          <w:color w:val="3D3B3D"/>
          <w:sz w:val="18"/>
        </w:rPr>
        <w:t>Feldman</w:t>
      </w:r>
      <w:r>
        <w:rPr>
          <w:color w:val="3D3B3D"/>
          <w:spacing w:val="1"/>
          <w:sz w:val="18"/>
        </w:rPr>
        <w:t> </w:t>
      </w:r>
      <w:r>
        <w:rPr>
          <w:color w:val="3D3B3D"/>
          <w:sz w:val="16"/>
        </w:rPr>
        <w:t>&amp;</w:t>
      </w:r>
      <w:r>
        <w:rPr>
          <w:color w:val="3D3B3D"/>
          <w:spacing w:val="19"/>
          <w:sz w:val="16"/>
        </w:rPr>
        <w:t> </w:t>
      </w:r>
      <w:r>
        <w:rPr>
          <w:color w:val="3D3B3D"/>
          <w:sz w:val="18"/>
        </w:rPr>
        <w:t>Robert</w:t>
      </w:r>
      <w:r>
        <w:rPr>
          <w:color w:val="3D3B3D"/>
          <w:spacing w:val="-13"/>
          <w:sz w:val="18"/>
        </w:rPr>
        <w:t> </w:t>
      </w:r>
      <w:r>
        <w:rPr>
          <w:color w:val="3D3B3D"/>
          <w:sz w:val="18"/>
        </w:rPr>
        <w:t>G.</w:t>
      </w:r>
      <w:r>
        <w:rPr>
          <w:color w:val="3D3B3D"/>
          <w:spacing w:val="18"/>
          <w:sz w:val="18"/>
        </w:rPr>
        <w:t> </w:t>
      </w:r>
      <w:r>
        <w:rPr>
          <w:color w:val="3D3B3D"/>
          <w:sz w:val="18"/>
        </w:rPr>
        <w:t>Nylander,</w:t>
      </w:r>
      <w:r>
        <w:rPr>
          <w:color w:val="3D3B3D"/>
          <w:spacing w:val="6"/>
          <w:sz w:val="18"/>
        </w:rPr>
        <w:t> </w:t>
      </w:r>
      <w:r>
        <w:rPr>
          <w:i/>
          <w:color w:val="3D3B3D"/>
          <w:sz w:val="17"/>
        </w:rPr>
        <w:t>Effective</w:t>
      </w:r>
      <w:r>
        <w:rPr>
          <w:i/>
          <w:color w:val="3D3B3D"/>
          <w:spacing w:val="-7"/>
          <w:sz w:val="17"/>
        </w:rPr>
        <w:t> </w:t>
      </w:r>
      <w:r>
        <w:rPr>
          <w:i/>
          <w:color w:val="3D3B3D"/>
          <w:sz w:val="17"/>
        </w:rPr>
        <w:t>Oral</w:t>
      </w:r>
      <w:r>
        <w:rPr>
          <w:i/>
          <w:color w:val="3D3B3D"/>
          <w:spacing w:val="-5"/>
          <w:sz w:val="17"/>
        </w:rPr>
        <w:t> </w:t>
      </w:r>
      <w:r>
        <w:rPr>
          <w:i/>
          <w:color w:val="3D3B3D"/>
          <w:sz w:val="17"/>
        </w:rPr>
        <w:t>Argument:</w:t>
      </w:r>
      <w:r>
        <w:rPr>
          <w:color w:val="3D3B3D"/>
          <w:sz w:val="25"/>
        </w:rPr>
        <w:t>Su</w:t>
      </w:r>
    </w:p>
    <w:p>
      <w:pPr>
        <w:spacing w:line="235" w:lineRule="auto" w:before="0"/>
        <w:ind w:left="593" w:right="138" w:firstLine="9"/>
        <w:jc w:val="right"/>
        <w:rPr>
          <w:i/>
          <w:sz w:val="17"/>
        </w:rPr>
      </w:pPr>
      <w:r>
        <w:rPr>
          <w:i/>
          <w:color w:val="3D3B3D"/>
          <w:sz w:val="17"/>
        </w:rPr>
        <w:t>Pitches, Five Do's, and Five Don'ts fromOne fudge and Two Lawyers, </w:t>
      </w:r>
      <w:r>
        <w:rPr>
          <w:color w:val="3D3B3D"/>
          <w:sz w:val="17"/>
        </w:rPr>
        <w:t>33 </w:t>
      </w:r>
      <w:r>
        <w:rPr>
          <w:color w:val="3D3B3D"/>
          <w:sz w:val="18"/>
        </w:rPr>
        <w:t>Seattle U. L. Rev. </w:t>
      </w:r>
      <w:r>
        <w:rPr>
          <w:color w:val="3D3B3D"/>
          <w:sz w:val="17"/>
        </w:rPr>
        <w:t>347,347</w:t>
      </w:r>
      <w:r>
        <w:rPr>
          <w:color w:val="3D3B3D"/>
          <w:sz w:val="18"/>
        </w:rPr>
        <w:t>(2010).</w:t>
      </w:r>
      <w:r>
        <w:rPr>
          <w:color w:val="3D3B3D"/>
          <w:spacing w:val="-42"/>
          <w:sz w:val="18"/>
        </w:rPr>
        <w:t> </w:t>
      </w:r>
      <w:r>
        <w:rPr>
          <w:i/>
          <w:color w:val="3D3B3D"/>
          <w:w w:val="105"/>
          <w:sz w:val="17"/>
        </w:rPr>
        <w:t>commission</w:t>
      </w:r>
      <w:r>
        <w:rPr>
          <w:i/>
          <w:color w:val="3D3B3D"/>
          <w:spacing w:val="1"/>
          <w:w w:val="105"/>
          <w:sz w:val="17"/>
        </w:rPr>
        <w:t> </w:t>
      </w:r>
      <w:r>
        <w:rPr>
          <w:rFonts w:ascii="Arial"/>
          <w:i/>
          <w:color w:val="3D3B3D"/>
          <w:w w:val="105"/>
          <w:sz w:val="11"/>
        </w:rPr>
        <w:t>011</w:t>
      </w:r>
      <w:r>
        <w:rPr>
          <w:rFonts w:ascii="Arial"/>
          <w:i/>
          <w:color w:val="3D3B3D"/>
          <w:spacing w:val="1"/>
          <w:w w:val="105"/>
          <w:sz w:val="11"/>
        </w:rPr>
        <w:t> </w:t>
      </w:r>
      <w:r>
        <w:rPr>
          <w:i/>
          <w:color w:val="3D3B3D"/>
          <w:w w:val="105"/>
          <w:sz w:val="17"/>
        </w:rPr>
        <w:t>Revision</w:t>
      </w:r>
      <w:r>
        <w:rPr>
          <w:i/>
          <w:color w:val="3D3B3D"/>
          <w:spacing w:val="1"/>
          <w:w w:val="105"/>
          <w:sz w:val="17"/>
        </w:rPr>
        <w:t> </w:t>
      </w:r>
      <w:r>
        <w:rPr>
          <w:i/>
          <w:color w:val="3D3B3D"/>
          <w:w w:val="105"/>
          <w:sz w:val="17"/>
        </w:rPr>
        <w:t>of</w:t>
      </w:r>
      <w:r>
        <w:rPr>
          <w:i/>
          <w:color w:val="3D3B3D"/>
          <w:spacing w:val="1"/>
          <w:w w:val="105"/>
          <w:sz w:val="17"/>
        </w:rPr>
        <w:t> </w:t>
      </w:r>
      <w:r>
        <w:rPr>
          <w:i/>
          <w:color w:val="3D3B3D"/>
          <w:w w:val="105"/>
          <w:sz w:val="17"/>
        </w:rPr>
        <w:t>the</w:t>
      </w:r>
      <w:r>
        <w:rPr>
          <w:i/>
          <w:color w:val="3D3B3D"/>
          <w:spacing w:val="1"/>
          <w:w w:val="105"/>
          <w:sz w:val="17"/>
        </w:rPr>
        <w:t> </w:t>
      </w:r>
      <w:r>
        <w:rPr>
          <w:i/>
          <w:color w:val="3D3B3D"/>
          <w:w w:val="105"/>
          <w:sz w:val="17"/>
        </w:rPr>
        <w:t>Fed. Court App</w:t>
      </w:r>
      <w:r>
        <w:rPr>
          <w:i/>
          <w:color w:val="626264"/>
          <w:w w:val="105"/>
          <w:sz w:val="17"/>
        </w:rPr>
        <w:t>e</w:t>
      </w:r>
      <w:r>
        <w:rPr>
          <w:i/>
          <w:color w:val="3D3B3D"/>
          <w:w w:val="105"/>
          <w:sz w:val="17"/>
        </w:rPr>
        <w:t>llate</w:t>
      </w:r>
      <w:r>
        <w:rPr>
          <w:i/>
          <w:color w:val="3D3B3D"/>
          <w:spacing w:val="1"/>
          <w:w w:val="105"/>
          <w:sz w:val="17"/>
        </w:rPr>
        <w:t> </w:t>
      </w:r>
      <w:r>
        <w:rPr>
          <w:i/>
          <w:color w:val="3D3B3D"/>
          <w:w w:val="105"/>
          <w:sz w:val="17"/>
        </w:rPr>
        <w:t>Sys</w:t>
      </w:r>
      <w:r>
        <w:rPr>
          <w:i/>
          <w:color w:val="626264"/>
          <w:w w:val="105"/>
          <w:sz w:val="17"/>
        </w:rPr>
        <w:t>.</w:t>
      </w:r>
      <w:r>
        <w:rPr>
          <w:i/>
          <w:color w:val="3D3B3D"/>
          <w:w w:val="105"/>
          <w:sz w:val="17"/>
        </w:rPr>
        <w:t>,</w:t>
      </w:r>
      <w:r>
        <w:rPr>
          <w:i/>
          <w:color w:val="3D3B3D"/>
          <w:spacing w:val="1"/>
          <w:w w:val="105"/>
          <w:sz w:val="17"/>
        </w:rPr>
        <w:t> </w:t>
      </w:r>
      <w:r>
        <w:rPr>
          <w:i/>
          <w:color w:val="3D3B3D"/>
          <w:w w:val="105"/>
          <w:sz w:val="17"/>
        </w:rPr>
        <w:t>Stmcture</w:t>
      </w:r>
      <w:r>
        <w:rPr>
          <w:i/>
          <w:color w:val="3D3B3D"/>
          <w:spacing w:val="1"/>
          <w:w w:val="105"/>
          <w:sz w:val="17"/>
        </w:rPr>
        <w:t> </w:t>
      </w:r>
      <w:r>
        <w:rPr>
          <w:i/>
          <w:color w:val="3D3B3D"/>
          <w:w w:val="105"/>
          <w:sz w:val="17"/>
        </w:rPr>
        <w:t>and</w:t>
      </w:r>
      <w:r>
        <w:rPr>
          <w:i/>
          <w:color w:val="3D3B3D"/>
          <w:spacing w:val="1"/>
          <w:w w:val="105"/>
          <w:sz w:val="17"/>
        </w:rPr>
        <w:t> </w:t>
      </w:r>
      <w:r>
        <w:rPr>
          <w:i/>
          <w:color w:val="3D3B3D"/>
          <w:w w:val="105"/>
          <w:sz w:val="17"/>
        </w:rPr>
        <w:t>/ntema/</w:t>
      </w:r>
      <w:r>
        <w:rPr>
          <w:i/>
          <w:color w:val="3D3B3D"/>
          <w:spacing w:val="1"/>
          <w:w w:val="105"/>
          <w:sz w:val="17"/>
        </w:rPr>
        <w:t> </w:t>
      </w:r>
      <w:r>
        <w:rPr>
          <w:i/>
          <w:color w:val="3D3B3D"/>
          <w:w w:val="105"/>
          <w:sz w:val="17"/>
        </w:rPr>
        <w:t>Procedures:</w:t>
      </w:r>
      <w:r>
        <w:rPr>
          <w:i/>
          <w:color w:val="3D3B3D"/>
          <w:spacing w:val="1"/>
          <w:w w:val="105"/>
          <w:sz w:val="17"/>
        </w:rPr>
        <w:t> </w:t>
      </w:r>
      <w:r>
        <w:rPr>
          <w:i/>
          <w:color w:val="3D3B3D"/>
          <w:w w:val="105"/>
          <w:sz w:val="17"/>
        </w:rPr>
        <w:t>Recommendations</w:t>
      </w:r>
      <w:r>
        <w:rPr>
          <w:i/>
          <w:color w:val="3D3B3D"/>
          <w:spacing w:val="1"/>
          <w:w w:val="105"/>
          <w:sz w:val="17"/>
        </w:rPr>
        <w:t> </w:t>
      </w:r>
      <w:r>
        <w:rPr>
          <w:i/>
          <w:color w:val="3D3B3D"/>
          <w:w w:val="105"/>
          <w:sz w:val="17"/>
        </w:rPr>
        <w:t>for Change, </w:t>
      </w:r>
      <w:r>
        <w:rPr>
          <w:color w:val="3D3B3D"/>
          <w:w w:val="105"/>
          <w:sz w:val="17"/>
        </w:rPr>
        <w:t>67</w:t>
      </w:r>
      <w:r>
        <w:rPr>
          <w:color w:val="3D3B3D"/>
          <w:spacing w:val="1"/>
          <w:w w:val="105"/>
          <w:sz w:val="17"/>
        </w:rPr>
        <w:t> </w:t>
      </w:r>
      <w:r>
        <w:rPr>
          <w:color w:val="3D3B3D"/>
          <w:w w:val="105"/>
          <w:sz w:val="18"/>
        </w:rPr>
        <w:t>F.R.D.</w:t>
      </w:r>
      <w:r>
        <w:rPr>
          <w:color w:val="3D3B3D"/>
          <w:spacing w:val="1"/>
          <w:w w:val="105"/>
          <w:sz w:val="18"/>
        </w:rPr>
        <w:t> </w:t>
      </w:r>
      <w:r>
        <w:rPr>
          <w:color w:val="3D3B3D"/>
          <w:w w:val="105"/>
          <w:sz w:val="17"/>
        </w:rPr>
        <w:t>195, 254 (1975) </w:t>
      </w:r>
      <w:r>
        <w:rPr>
          <w:color w:val="3D3B3D"/>
          <w:w w:val="105"/>
          <w:sz w:val="18"/>
        </w:rPr>
        <w:t>(quoting Justice</w:t>
      </w:r>
      <w:r>
        <w:rPr>
          <w:color w:val="3D3B3D"/>
          <w:spacing w:val="1"/>
          <w:w w:val="105"/>
          <w:sz w:val="18"/>
        </w:rPr>
        <w:t> </w:t>
      </w:r>
      <w:r>
        <w:rPr>
          <w:color w:val="3D3B3D"/>
          <w:w w:val="105"/>
          <w:sz w:val="18"/>
        </w:rPr>
        <w:t>Brennan</w:t>
      </w:r>
      <w:r>
        <w:rPr>
          <w:color w:val="626264"/>
          <w:w w:val="105"/>
          <w:sz w:val="18"/>
        </w:rPr>
        <w:t>'</w:t>
      </w:r>
      <w:r>
        <w:rPr>
          <w:color w:val="3D3B3D"/>
          <w:w w:val="105"/>
          <w:sz w:val="18"/>
        </w:rPr>
        <w:t>s comments </w:t>
      </w:r>
      <w:r>
        <w:rPr>
          <w:b/>
          <w:color w:val="3D3B3D"/>
          <w:w w:val="105"/>
          <w:sz w:val="18"/>
        </w:rPr>
        <w:t>at</w:t>
      </w:r>
      <w:r>
        <w:rPr>
          <w:b/>
          <w:color w:val="3D3B3D"/>
          <w:spacing w:val="-45"/>
          <w:w w:val="105"/>
          <w:sz w:val="18"/>
        </w:rPr>
        <w:t> </w:t>
      </w:r>
      <w:r>
        <w:rPr>
          <w:color w:val="3D3B3D"/>
          <w:spacing w:val="-1"/>
          <w:w w:val="105"/>
          <w:sz w:val="18"/>
        </w:rPr>
        <w:t>the</w:t>
      </w:r>
      <w:r>
        <w:rPr>
          <w:color w:val="3D3B3D"/>
          <w:spacing w:val="48"/>
          <w:w w:val="105"/>
          <w:sz w:val="18"/>
        </w:rPr>
        <w:t> </w:t>
      </w:r>
      <w:r>
        <w:rPr>
          <w:color w:val="3D3B3D"/>
          <w:spacing w:val="-1"/>
          <w:w w:val="105"/>
          <w:sz w:val="17"/>
        </w:rPr>
        <w:t>1972</w:t>
      </w:r>
      <w:r>
        <w:rPr>
          <w:color w:val="3D3B3D"/>
          <w:spacing w:val="-10"/>
          <w:w w:val="105"/>
          <w:sz w:val="17"/>
        </w:rPr>
        <w:t> </w:t>
      </w:r>
      <w:r>
        <w:rPr>
          <w:color w:val="3D3B3D"/>
          <w:spacing w:val="-1"/>
          <w:w w:val="105"/>
          <w:sz w:val="18"/>
        </w:rPr>
        <w:t>Third</w:t>
      </w:r>
      <w:r>
        <w:rPr>
          <w:color w:val="3D3B3D"/>
          <w:spacing w:val="12"/>
          <w:w w:val="105"/>
          <w:sz w:val="18"/>
        </w:rPr>
        <w:t> </w:t>
      </w:r>
      <w:r>
        <w:rPr>
          <w:color w:val="3D3B3D"/>
          <w:spacing w:val="-1"/>
          <w:w w:val="105"/>
          <w:sz w:val="18"/>
        </w:rPr>
        <w:t>Circuit</w:t>
      </w:r>
      <w:r>
        <w:rPr>
          <w:color w:val="3D3B3D"/>
          <w:spacing w:val="-2"/>
          <w:w w:val="105"/>
          <w:sz w:val="18"/>
        </w:rPr>
        <w:t> </w:t>
      </w:r>
      <w:r>
        <w:rPr>
          <w:color w:val="3D3B3D"/>
          <w:spacing w:val="-1"/>
          <w:w w:val="105"/>
          <w:sz w:val="18"/>
        </w:rPr>
        <w:t>Judicial</w:t>
      </w:r>
      <w:r>
        <w:rPr>
          <w:color w:val="3D3B3D"/>
          <w:spacing w:val="19"/>
          <w:w w:val="105"/>
          <w:sz w:val="18"/>
        </w:rPr>
        <w:t> </w:t>
      </w:r>
      <w:r>
        <w:rPr>
          <w:color w:val="3D3B3D"/>
          <w:spacing w:val="-1"/>
          <w:w w:val="105"/>
          <w:sz w:val="18"/>
        </w:rPr>
        <w:t>Conference)</w:t>
      </w:r>
      <w:r>
        <w:rPr>
          <w:color w:val="3D3B3D"/>
          <w:spacing w:val="9"/>
          <w:w w:val="105"/>
          <w:sz w:val="18"/>
        </w:rPr>
        <w:t> </w:t>
      </w:r>
      <w:r>
        <w:rPr>
          <w:color w:val="3D3B3D"/>
          <w:spacing w:val="-1"/>
          <w:w w:val="105"/>
          <w:sz w:val="18"/>
        </w:rPr>
        <w:t>(quoted</w:t>
      </w:r>
      <w:r>
        <w:rPr>
          <w:color w:val="3D3B3D"/>
          <w:spacing w:val="28"/>
          <w:w w:val="105"/>
          <w:sz w:val="18"/>
        </w:rPr>
        <w:t> </w:t>
      </w:r>
      <w:r>
        <w:rPr>
          <w:color w:val="3D3B3D"/>
          <w:spacing w:val="-1"/>
          <w:w w:val="105"/>
          <w:sz w:val="18"/>
        </w:rPr>
        <w:t>in</w:t>
      </w:r>
      <w:r>
        <w:rPr>
          <w:color w:val="3D3B3D"/>
          <w:spacing w:val="23"/>
          <w:w w:val="105"/>
          <w:sz w:val="18"/>
        </w:rPr>
        <w:t> </w:t>
      </w:r>
      <w:r>
        <w:rPr>
          <w:color w:val="3D3B3D"/>
          <w:spacing w:val="-1"/>
          <w:w w:val="105"/>
          <w:sz w:val="18"/>
        </w:rPr>
        <w:t>Lawrence</w:t>
      </w:r>
      <w:r>
        <w:rPr>
          <w:color w:val="3D3B3D"/>
          <w:spacing w:val="14"/>
          <w:w w:val="105"/>
          <w:sz w:val="18"/>
        </w:rPr>
        <w:t> </w:t>
      </w:r>
      <w:r>
        <w:rPr>
          <w:color w:val="3D3B3D"/>
          <w:spacing w:val="-1"/>
          <w:w w:val="105"/>
          <w:sz w:val="18"/>
        </w:rPr>
        <w:t>W.</w:t>
      </w:r>
      <w:r>
        <w:rPr>
          <w:color w:val="3D3B3D"/>
          <w:spacing w:val="17"/>
          <w:w w:val="105"/>
          <w:sz w:val="18"/>
        </w:rPr>
        <w:t> </w:t>
      </w:r>
      <w:r>
        <w:rPr>
          <w:color w:val="3D3B3D"/>
          <w:w w:val="105"/>
          <w:sz w:val="18"/>
        </w:rPr>
        <w:t>Pierce,</w:t>
      </w:r>
      <w:r>
        <w:rPr>
          <w:color w:val="3D3B3D"/>
          <w:spacing w:val="16"/>
          <w:w w:val="105"/>
          <w:sz w:val="18"/>
        </w:rPr>
        <w:t> </w:t>
      </w:r>
      <w:r>
        <w:rPr>
          <w:i/>
          <w:color w:val="3D3B3D"/>
          <w:w w:val="105"/>
          <w:sz w:val="17"/>
        </w:rPr>
        <w:t>Appellate</w:t>
      </w:r>
      <w:r>
        <w:rPr>
          <w:i/>
          <w:color w:val="3D3B3D"/>
          <w:spacing w:val="15"/>
          <w:w w:val="105"/>
          <w:sz w:val="17"/>
        </w:rPr>
        <w:t> </w:t>
      </w:r>
      <w:r>
        <w:rPr>
          <w:i/>
          <w:color w:val="3D3B3D"/>
          <w:w w:val="105"/>
          <w:sz w:val="17"/>
        </w:rPr>
        <w:t>Advocacy</w:t>
      </w:r>
      <w:r>
        <w:rPr>
          <w:i/>
          <w:color w:val="626264"/>
          <w:w w:val="105"/>
          <w:sz w:val="17"/>
        </w:rPr>
        <w:t>:</w:t>
      </w:r>
    </w:p>
    <w:p>
      <w:pPr>
        <w:spacing w:line="177" w:lineRule="exact" w:before="0"/>
        <w:ind w:left="578" w:right="0" w:firstLine="0"/>
        <w:jc w:val="both"/>
        <w:rPr>
          <w:sz w:val="17"/>
        </w:rPr>
      </w:pPr>
      <w:r>
        <w:rPr>
          <w:i/>
          <w:color w:val="3D3B3D"/>
          <w:w w:val="105"/>
          <w:sz w:val="17"/>
        </w:rPr>
        <w:t>Some</w:t>
      </w:r>
      <w:r>
        <w:rPr>
          <w:i/>
          <w:color w:val="3D3B3D"/>
          <w:spacing w:val="4"/>
          <w:w w:val="105"/>
          <w:sz w:val="17"/>
        </w:rPr>
        <w:t> </w:t>
      </w:r>
      <w:r>
        <w:rPr>
          <w:i/>
          <w:color w:val="3D3B3D"/>
          <w:w w:val="105"/>
          <w:sz w:val="17"/>
        </w:rPr>
        <w:t>Reflections  from</w:t>
      </w:r>
      <w:r>
        <w:rPr>
          <w:i/>
          <w:color w:val="3D3B3D"/>
          <w:spacing w:val="-1"/>
          <w:w w:val="105"/>
          <w:sz w:val="17"/>
        </w:rPr>
        <w:t> </w:t>
      </w:r>
      <w:r>
        <w:rPr>
          <w:i/>
          <w:color w:val="3D3B3D"/>
          <w:w w:val="105"/>
          <w:sz w:val="17"/>
        </w:rPr>
        <w:t>the</w:t>
      </w:r>
      <w:r>
        <w:rPr>
          <w:i/>
          <w:color w:val="3D3B3D"/>
          <w:spacing w:val="25"/>
          <w:w w:val="105"/>
          <w:sz w:val="17"/>
        </w:rPr>
        <w:t> </w:t>
      </w:r>
      <w:r>
        <w:rPr>
          <w:i/>
          <w:color w:val="3D3B3D"/>
          <w:w w:val="105"/>
          <w:sz w:val="17"/>
        </w:rPr>
        <w:t>Bench,</w:t>
      </w:r>
      <w:r>
        <w:rPr>
          <w:i/>
          <w:color w:val="3D3B3D"/>
          <w:spacing w:val="-1"/>
          <w:w w:val="105"/>
          <w:sz w:val="17"/>
        </w:rPr>
        <w:t> </w:t>
      </w:r>
      <w:r>
        <w:rPr>
          <w:color w:val="3D3B3D"/>
          <w:w w:val="105"/>
          <w:sz w:val="17"/>
        </w:rPr>
        <w:t>61</w:t>
      </w:r>
      <w:r>
        <w:rPr>
          <w:color w:val="3D3B3D"/>
          <w:spacing w:val="18"/>
          <w:w w:val="105"/>
          <w:sz w:val="17"/>
        </w:rPr>
        <w:t> </w:t>
      </w:r>
      <w:r>
        <w:rPr>
          <w:color w:val="3D3B3D"/>
          <w:w w:val="105"/>
          <w:sz w:val="18"/>
        </w:rPr>
        <w:t>Fordham</w:t>
      </w:r>
      <w:r>
        <w:rPr>
          <w:color w:val="3D3B3D"/>
          <w:spacing w:val="10"/>
          <w:w w:val="105"/>
          <w:sz w:val="18"/>
        </w:rPr>
        <w:t> </w:t>
      </w:r>
      <w:r>
        <w:rPr>
          <w:color w:val="3D3B3D"/>
          <w:w w:val="105"/>
          <w:sz w:val="17"/>
        </w:rPr>
        <w:t>L.</w:t>
      </w:r>
      <w:r>
        <w:rPr>
          <w:color w:val="3D3B3D"/>
          <w:spacing w:val="-7"/>
          <w:w w:val="105"/>
          <w:sz w:val="17"/>
        </w:rPr>
        <w:t> </w:t>
      </w:r>
      <w:r>
        <w:rPr>
          <w:color w:val="3D3B3D"/>
          <w:w w:val="105"/>
          <w:sz w:val="18"/>
        </w:rPr>
        <w:t>Rev.</w:t>
      </w:r>
      <w:r>
        <w:rPr>
          <w:color w:val="3D3B3D"/>
          <w:spacing w:val="-22"/>
          <w:w w:val="105"/>
          <w:sz w:val="18"/>
        </w:rPr>
        <w:t> </w:t>
      </w:r>
      <w:r>
        <w:rPr>
          <w:color w:val="3D3B3D"/>
          <w:w w:val="105"/>
          <w:sz w:val="17"/>
        </w:rPr>
        <w:t>829,</w:t>
      </w:r>
      <w:r>
        <w:rPr>
          <w:color w:val="3D3B3D"/>
          <w:spacing w:val="-13"/>
          <w:w w:val="105"/>
          <w:sz w:val="17"/>
        </w:rPr>
        <w:t> </w:t>
      </w:r>
      <w:r>
        <w:rPr>
          <w:color w:val="3D3B3D"/>
          <w:w w:val="105"/>
          <w:sz w:val="17"/>
        </w:rPr>
        <w:t>833</w:t>
      </w:r>
      <w:r>
        <w:rPr>
          <w:color w:val="3D3B3D"/>
          <w:spacing w:val="-6"/>
          <w:w w:val="105"/>
          <w:sz w:val="17"/>
        </w:rPr>
        <w:t> </w:t>
      </w:r>
      <w:r>
        <w:rPr>
          <w:color w:val="3D3B3D"/>
          <w:w w:val="105"/>
          <w:sz w:val="17"/>
        </w:rPr>
        <w:t>(1993)).</w:t>
      </w:r>
    </w:p>
    <w:p>
      <w:pPr>
        <w:spacing w:line="197" w:lineRule="exact" w:before="0"/>
        <w:ind w:left="959" w:right="0" w:firstLine="0"/>
        <w:jc w:val="both"/>
        <w:rPr>
          <w:sz w:val="17"/>
        </w:rPr>
      </w:pPr>
      <w:r>
        <w:rPr>
          <w:i/>
          <w:color w:val="3D3B3D"/>
          <w:spacing w:val="-1"/>
          <w:w w:val="110"/>
          <w:position w:val="4"/>
          <w:sz w:val="10"/>
        </w:rPr>
        <w:t>6</w:t>
      </w:r>
      <w:r>
        <w:rPr>
          <w:i/>
          <w:color w:val="3D3B3D"/>
          <w:spacing w:val="5"/>
          <w:w w:val="110"/>
          <w:position w:val="4"/>
          <w:sz w:val="10"/>
        </w:rPr>
        <w:t> </w:t>
      </w:r>
      <w:r>
        <w:rPr>
          <w:color w:val="3D3B3D"/>
          <w:spacing w:val="-1"/>
          <w:w w:val="110"/>
          <w:sz w:val="18"/>
        </w:rPr>
        <w:t>Bright,</w:t>
      </w:r>
      <w:r>
        <w:rPr>
          <w:color w:val="3D3B3D"/>
          <w:spacing w:val="2"/>
          <w:w w:val="110"/>
          <w:sz w:val="18"/>
        </w:rPr>
        <w:t> </w:t>
      </w:r>
      <w:r>
        <w:rPr>
          <w:i/>
          <w:color w:val="3D3B3D"/>
          <w:spacing w:val="-1"/>
          <w:w w:val="110"/>
          <w:sz w:val="17"/>
        </w:rPr>
        <w:t>supra</w:t>
      </w:r>
      <w:r>
        <w:rPr>
          <w:i/>
          <w:color w:val="3D3B3D"/>
          <w:w w:val="110"/>
          <w:sz w:val="17"/>
        </w:rPr>
        <w:t> </w:t>
      </w:r>
      <w:r>
        <w:rPr>
          <w:color w:val="3D3B3D"/>
          <w:w w:val="110"/>
          <w:sz w:val="18"/>
        </w:rPr>
        <w:t>note</w:t>
      </w:r>
      <w:r>
        <w:rPr>
          <w:color w:val="3D3B3D"/>
          <w:spacing w:val="-18"/>
          <w:w w:val="110"/>
          <w:sz w:val="18"/>
        </w:rPr>
        <w:t> </w:t>
      </w:r>
      <w:r>
        <w:rPr>
          <w:color w:val="3D3B3D"/>
          <w:w w:val="110"/>
          <w:sz w:val="17"/>
        </w:rPr>
        <w:t>3,</w:t>
      </w:r>
      <w:r>
        <w:rPr>
          <w:color w:val="3D3B3D"/>
          <w:spacing w:val="-1"/>
          <w:w w:val="110"/>
          <w:sz w:val="17"/>
        </w:rPr>
        <w:t> </w:t>
      </w:r>
      <w:r>
        <w:rPr>
          <w:color w:val="3D3B3D"/>
          <w:w w:val="110"/>
          <w:sz w:val="18"/>
        </w:rPr>
        <w:t>at</w:t>
      </w:r>
      <w:r>
        <w:rPr>
          <w:color w:val="3D3B3D"/>
          <w:spacing w:val="-7"/>
          <w:w w:val="110"/>
          <w:sz w:val="18"/>
        </w:rPr>
        <w:t> </w:t>
      </w:r>
      <w:r>
        <w:rPr>
          <w:color w:val="3D3B3D"/>
          <w:w w:val="110"/>
          <w:sz w:val="17"/>
        </w:rPr>
        <w:t>36.</w:t>
      </w:r>
    </w:p>
    <w:p>
      <w:pPr>
        <w:spacing w:line="197" w:lineRule="exact" w:before="0"/>
        <w:ind w:left="958" w:right="0" w:firstLine="0"/>
        <w:jc w:val="both"/>
        <w:rPr>
          <w:sz w:val="17"/>
        </w:rPr>
      </w:pPr>
      <w:r>
        <w:rPr>
          <w:color w:val="626264"/>
          <w:w w:val="110"/>
          <w:sz w:val="18"/>
        </w:rPr>
        <w:t>'</w:t>
      </w:r>
      <w:r>
        <w:rPr>
          <w:color w:val="3D3B3D"/>
          <w:w w:val="110"/>
          <w:sz w:val="18"/>
        </w:rPr>
        <w:t>Pierce,</w:t>
      </w:r>
      <w:r>
        <w:rPr>
          <w:color w:val="3D3B3D"/>
          <w:spacing w:val="6"/>
          <w:w w:val="110"/>
          <w:sz w:val="18"/>
        </w:rPr>
        <w:t> </w:t>
      </w:r>
      <w:r>
        <w:rPr>
          <w:i/>
          <w:color w:val="3D3B3D"/>
          <w:w w:val="110"/>
          <w:sz w:val="17"/>
        </w:rPr>
        <w:t>supra</w:t>
      </w:r>
      <w:r>
        <w:rPr>
          <w:i/>
          <w:color w:val="3D3B3D"/>
          <w:spacing w:val="1"/>
          <w:w w:val="110"/>
          <w:sz w:val="17"/>
        </w:rPr>
        <w:t> </w:t>
      </w:r>
      <w:r>
        <w:rPr>
          <w:color w:val="3D3B3D"/>
          <w:w w:val="110"/>
          <w:sz w:val="18"/>
        </w:rPr>
        <w:t>note</w:t>
      </w:r>
      <w:r>
        <w:rPr>
          <w:color w:val="3D3B3D"/>
          <w:spacing w:val="-22"/>
          <w:w w:val="110"/>
          <w:sz w:val="18"/>
        </w:rPr>
        <w:t> </w:t>
      </w:r>
      <w:r>
        <w:rPr>
          <w:color w:val="3D3B3D"/>
          <w:w w:val="110"/>
          <w:sz w:val="18"/>
        </w:rPr>
        <w:t>S,</w:t>
      </w:r>
      <w:r>
        <w:rPr>
          <w:color w:val="3D3B3D"/>
          <w:spacing w:val="-15"/>
          <w:w w:val="110"/>
          <w:sz w:val="18"/>
        </w:rPr>
        <w:t> </w:t>
      </w:r>
      <w:r>
        <w:rPr>
          <w:color w:val="3D3B3D"/>
          <w:w w:val="110"/>
          <w:sz w:val="18"/>
        </w:rPr>
        <w:t>at</w:t>
      </w:r>
      <w:r>
        <w:rPr>
          <w:color w:val="3D3B3D"/>
          <w:spacing w:val="3"/>
          <w:w w:val="110"/>
          <w:sz w:val="18"/>
        </w:rPr>
        <w:t> </w:t>
      </w:r>
      <w:r>
        <w:rPr>
          <w:color w:val="3D3B3D"/>
          <w:w w:val="110"/>
          <w:sz w:val="17"/>
        </w:rPr>
        <w:t>833-34</w:t>
      </w:r>
      <w:r>
        <w:rPr>
          <w:color w:val="626264"/>
          <w:w w:val="110"/>
          <w:sz w:val="17"/>
        </w:rPr>
        <w:t>.</w:t>
      </w:r>
    </w:p>
    <w:p>
      <w:pPr>
        <w:pStyle w:val="ListParagraph"/>
        <w:numPr>
          <w:ilvl w:val="0"/>
          <w:numId w:val="113"/>
        </w:numPr>
        <w:tabs>
          <w:tab w:pos="1018" w:val="left" w:leader="none"/>
        </w:tabs>
        <w:spacing w:line="228" w:lineRule="auto" w:before="0" w:after="0"/>
        <w:ind w:left="554" w:right="148" w:firstLine="391"/>
        <w:jc w:val="both"/>
        <w:rPr>
          <w:sz w:val="18"/>
        </w:rPr>
      </w:pPr>
      <w:r>
        <w:rPr>
          <w:color w:val="3D3B3D"/>
          <w:w w:val="105"/>
          <w:sz w:val="18"/>
        </w:rPr>
        <w:t>Ginsburg, </w:t>
      </w:r>
      <w:r>
        <w:rPr>
          <w:i/>
          <w:color w:val="3D3B3D"/>
          <w:w w:val="105"/>
          <w:sz w:val="17"/>
        </w:rPr>
        <w:t>supra </w:t>
      </w:r>
      <w:r>
        <w:rPr>
          <w:color w:val="3D3B3D"/>
          <w:w w:val="105"/>
          <w:sz w:val="18"/>
        </w:rPr>
        <w:t>note </w:t>
      </w:r>
      <w:r>
        <w:rPr>
          <w:color w:val="3D3B3D"/>
          <w:w w:val="105"/>
          <w:sz w:val="17"/>
        </w:rPr>
        <w:t>I</w:t>
      </w:r>
      <w:r>
        <w:rPr>
          <w:color w:val="626264"/>
          <w:w w:val="105"/>
          <w:sz w:val="17"/>
        </w:rPr>
        <w:t>, </w:t>
      </w:r>
      <w:r>
        <w:rPr>
          <w:b/>
          <w:color w:val="3D3B3D"/>
          <w:w w:val="105"/>
          <w:sz w:val="15"/>
        </w:rPr>
        <w:t>at </w:t>
      </w:r>
      <w:r>
        <w:rPr>
          <w:color w:val="3D3B3D"/>
          <w:w w:val="105"/>
          <w:sz w:val="17"/>
        </w:rPr>
        <w:t>569. </w:t>
      </w:r>
      <w:r>
        <w:rPr>
          <w:i/>
          <w:color w:val="3D3B3D"/>
          <w:w w:val="105"/>
          <w:sz w:val="17"/>
        </w:rPr>
        <w:t>See also </w:t>
      </w:r>
      <w:r>
        <w:rPr>
          <w:color w:val="3D3B3D"/>
          <w:w w:val="105"/>
          <w:sz w:val="18"/>
        </w:rPr>
        <w:t>Wiener, </w:t>
      </w:r>
      <w:r>
        <w:rPr>
          <w:i/>
          <w:color w:val="3D3B3D"/>
          <w:w w:val="105"/>
          <w:sz w:val="17"/>
        </w:rPr>
        <w:t>supra </w:t>
      </w:r>
      <w:r>
        <w:rPr>
          <w:color w:val="3D3B3D"/>
          <w:w w:val="105"/>
          <w:sz w:val="18"/>
        </w:rPr>
        <w:t>note </w:t>
      </w:r>
      <w:r>
        <w:rPr>
          <w:color w:val="3D3B3D"/>
          <w:w w:val="105"/>
          <w:sz w:val="17"/>
        </w:rPr>
        <w:t>2</w:t>
      </w:r>
      <w:r>
        <w:rPr>
          <w:color w:val="626264"/>
          <w:w w:val="105"/>
          <w:sz w:val="17"/>
        </w:rPr>
        <w:t>, </w:t>
      </w:r>
      <w:r>
        <w:rPr>
          <w:color w:val="3D3B3D"/>
          <w:w w:val="105"/>
          <w:sz w:val="18"/>
        </w:rPr>
        <w:t>at </w:t>
      </w:r>
      <w:r>
        <w:rPr>
          <w:color w:val="3D3B3D"/>
          <w:w w:val="105"/>
          <w:sz w:val="17"/>
        </w:rPr>
        <w:t>199 </w:t>
      </w:r>
      <w:r>
        <w:rPr>
          <w:color w:val="3D3B3D"/>
          <w:w w:val="105"/>
          <w:sz w:val="18"/>
        </w:rPr>
        <w:t>(noting that oral argu­</w:t>
      </w:r>
      <w:r>
        <w:rPr>
          <w:color w:val="3D3B3D"/>
          <w:spacing w:val="1"/>
          <w:w w:val="105"/>
          <w:sz w:val="18"/>
        </w:rPr>
        <w:t> </w:t>
      </w:r>
      <w:r>
        <w:rPr>
          <w:color w:val="3D3B3D"/>
          <w:w w:val="105"/>
          <w:sz w:val="18"/>
        </w:rPr>
        <w:t>ment "further crystallize(s] the issues (and enhances the court's] understanding of the factual and</w:t>
      </w:r>
      <w:r>
        <w:rPr>
          <w:color w:val="3D3B3D"/>
          <w:spacing w:val="1"/>
          <w:w w:val="105"/>
          <w:sz w:val="18"/>
        </w:rPr>
        <w:t> </w:t>
      </w:r>
      <w:r>
        <w:rPr>
          <w:color w:val="3D3B3D"/>
          <w:w w:val="110"/>
          <w:sz w:val="18"/>
        </w:rPr>
        <w:t>legal</w:t>
      </w:r>
      <w:r>
        <w:rPr>
          <w:color w:val="3D3B3D"/>
          <w:spacing w:val="-6"/>
          <w:w w:val="110"/>
          <w:sz w:val="18"/>
        </w:rPr>
        <w:t> </w:t>
      </w:r>
      <w:r>
        <w:rPr>
          <w:color w:val="3D3B3D"/>
          <w:w w:val="110"/>
          <w:sz w:val="18"/>
        </w:rPr>
        <w:t>details,</w:t>
      </w:r>
      <w:r>
        <w:rPr>
          <w:color w:val="3D3B3D"/>
          <w:spacing w:val="-10"/>
          <w:w w:val="110"/>
          <w:sz w:val="18"/>
        </w:rPr>
        <w:t> </w:t>
      </w:r>
      <w:r>
        <w:rPr>
          <w:color w:val="3D3B3D"/>
          <w:w w:val="110"/>
          <w:sz w:val="18"/>
        </w:rPr>
        <w:t>subtleties,</w:t>
      </w:r>
      <w:r>
        <w:rPr>
          <w:color w:val="3D3B3D"/>
          <w:spacing w:val="-5"/>
          <w:w w:val="110"/>
          <w:sz w:val="18"/>
        </w:rPr>
        <w:t> </w:t>
      </w:r>
      <w:r>
        <w:rPr>
          <w:color w:val="3D3B3D"/>
          <w:w w:val="110"/>
          <w:sz w:val="18"/>
        </w:rPr>
        <w:t>and</w:t>
      </w:r>
      <w:r>
        <w:rPr>
          <w:color w:val="3D3B3D"/>
          <w:spacing w:val="19"/>
          <w:w w:val="110"/>
          <w:sz w:val="18"/>
        </w:rPr>
        <w:t> </w:t>
      </w:r>
      <w:r>
        <w:rPr>
          <w:color w:val="3D3B3D"/>
          <w:w w:val="110"/>
          <w:sz w:val="18"/>
        </w:rPr>
        <w:t>nuances</w:t>
      </w:r>
      <w:r>
        <w:rPr>
          <w:color w:val="3D3B3D"/>
          <w:spacing w:val="-15"/>
          <w:w w:val="110"/>
          <w:sz w:val="18"/>
        </w:rPr>
        <w:t> </w:t>
      </w:r>
      <w:r>
        <w:rPr>
          <w:color w:val="3D3B3D"/>
          <w:w w:val="110"/>
          <w:sz w:val="18"/>
        </w:rPr>
        <w:t>of</w:t>
      </w:r>
      <w:r>
        <w:rPr>
          <w:color w:val="3D3B3D"/>
          <w:spacing w:val="-2"/>
          <w:w w:val="110"/>
          <w:sz w:val="18"/>
        </w:rPr>
        <w:t> </w:t>
      </w:r>
      <w:r>
        <w:rPr>
          <w:color w:val="3D3B3D"/>
          <w:w w:val="110"/>
          <w:sz w:val="18"/>
        </w:rPr>
        <w:t>the</w:t>
      </w:r>
      <w:r>
        <w:rPr>
          <w:color w:val="3D3B3D"/>
          <w:spacing w:val="11"/>
          <w:w w:val="110"/>
          <w:sz w:val="18"/>
        </w:rPr>
        <w:t> </w:t>
      </w:r>
      <w:r>
        <w:rPr>
          <w:color w:val="3D3B3D"/>
          <w:w w:val="110"/>
          <w:sz w:val="18"/>
        </w:rPr>
        <w:t>case").</w:t>
      </w:r>
    </w:p>
    <w:p>
      <w:pPr>
        <w:spacing w:after="0" w:line="228" w:lineRule="auto"/>
        <w:jc w:val="both"/>
        <w:rPr>
          <w:sz w:val="18"/>
        </w:rPr>
        <w:sectPr>
          <w:headerReference w:type="even" r:id="rId324"/>
          <w:headerReference w:type="default" r:id="rId325"/>
          <w:pgSz w:w="9680" w:h="14010"/>
          <w:pgMar w:header="514" w:footer="0" w:top="1100" w:bottom="0" w:left="1340" w:right="140"/>
        </w:sectPr>
      </w:pPr>
    </w:p>
    <w:p>
      <w:pPr>
        <w:pStyle w:val="BodyText"/>
        <w:spacing w:line="230" w:lineRule="auto" w:before="89"/>
        <w:ind w:left="100" w:right="645" w:firstLine="311"/>
        <w:jc w:val="both"/>
      </w:pPr>
      <w:r>
        <w:rPr>
          <w:color w:val="3B383B"/>
          <w:w w:val="110"/>
        </w:rPr>
        <w:t>Judges useoral argument to test their presumptions about the case and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05"/>
        </w:rPr>
        <w:t>to probe the case's limits, strengths, and weaknesses by asking counsel to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clarify difficult issues or to speculate on the impact of a decision on future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10"/>
        </w:rPr>
        <w:t>cases. Because of their intimate knowledge of 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facts of the  case and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  <w:sz w:val="22"/>
        </w:rPr>
        <w:t>the </w:t>
      </w:r>
      <w:r>
        <w:rPr>
          <w:color w:val="3B383B"/>
          <w:w w:val="110"/>
        </w:rPr>
        <w:t>relevant law, counsel for the parties are uniquely qualified to help 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judges</w:t>
      </w:r>
      <w:r>
        <w:rPr>
          <w:color w:val="3B383B"/>
          <w:spacing w:val="-12"/>
          <w:w w:val="110"/>
        </w:rPr>
        <w:t> </w:t>
      </w:r>
      <w:r>
        <w:rPr>
          <w:color w:val="3B383B"/>
          <w:w w:val="110"/>
        </w:rPr>
        <w:t>as</w:t>
      </w:r>
      <w:r>
        <w:rPr>
          <w:color w:val="3B383B"/>
          <w:spacing w:val="19"/>
          <w:w w:val="110"/>
        </w:rPr>
        <w:t> </w:t>
      </w:r>
      <w:r>
        <w:rPr>
          <w:color w:val="3B383B"/>
          <w:w w:val="110"/>
        </w:rPr>
        <w:t>they</w:t>
      </w:r>
      <w:r>
        <w:rPr>
          <w:color w:val="3B383B"/>
          <w:spacing w:val="-6"/>
          <w:w w:val="110"/>
        </w:rPr>
        <w:t> </w:t>
      </w:r>
      <w:r>
        <w:rPr>
          <w:color w:val="3B383B"/>
          <w:w w:val="110"/>
        </w:rPr>
        <w:t>wrestle</w:t>
      </w:r>
      <w:r>
        <w:rPr>
          <w:color w:val="3B383B"/>
          <w:spacing w:val="-3"/>
          <w:w w:val="110"/>
        </w:rPr>
        <w:t> </w:t>
      </w:r>
      <w:r>
        <w:rPr>
          <w:color w:val="3B383B"/>
          <w:w w:val="110"/>
        </w:rPr>
        <w:t>with</w:t>
      </w:r>
      <w:r>
        <w:rPr>
          <w:color w:val="3B383B"/>
          <w:spacing w:val="-8"/>
          <w:w w:val="110"/>
        </w:rPr>
        <w:t> </w:t>
      </w:r>
      <w:r>
        <w:rPr>
          <w:color w:val="3B383B"/>
          <w:w w:val="110"/>
        </w:rPr>
        <w:t>the issues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presented</w:t>
      </w:r>
      <w:r>
        <w:rPr>
          <w:color w:val="3B383B"/>
          <w:spacing w:val="-2"/>
          <w:w w:val="110"/>
        </w:rPr>
        <w:t> </w:t>
      </w:r>
      <w:r>
        <w:rPr>
          <w:color w:val="3B383B"/>
          <w:w w:val="110"/>
        </w:rPr>
        <w:t>by</w:t>
      </w:r>
      <w:r>
        <w:rPr>
          <w:color w:val="3B383B"/>
          <w:spacing w:val="-6"/>
          <w:w w:val="110"/>
        </w:rPr>
        <w:t> </w:t>
      </w:r>
      <w:r>
        <w:rPr>
          <w:color w:val="3B383B"/>
          <w:w w:val="110"/>
        </w:rPr>
        <w:t>the</w:t>
      </w:r>
      <w:r>
        <w:rPr>
          <w:color w:val="3B383B"/>
          <w:spacing w:val="12"/>
          <w:w w:val="110"/>
        </w:rPr>
        <w:t> </w:t>
      </w:r>
      <w:r>
        <w:rPr>
          <w:color w:val="3B383B"/>
          <w:w w:val="110"/>
        </w:rPr>
        <w:t>case.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0"/>
        <w:ind w:left="662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797C7E"/>
          <w:w w:val="110"/>
          <w:sz w:val="32"/>
        </w:rPr>
        <w:t>13.2</w:t>
      </w:r>
    </w:p>
    <w:p>
      <w:pPr>
        <w:spacing w:before="64"/>
        <w:ind w:left="658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797C7E"/>
          <w:sz w:val="26"/>
        </w:rPr>
        <w:t>FORMAT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spacing w:line="232" w:lineRule="auto"/>
        <w:ind w:left="116" w:right="564" w:firstLine="555"/>
        <w:jc w:val="both"/>
      </w:pPr>
      <w:r>
        <w:rPr>
          <w:color w:val="3B383B"/>
          <w:w w:val="115"/>
        </w:rPr>
        <w:t>In appellate arguments, the petitioner (or appellant) argues first,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0"/>
        </w:rPr>
        <w:t>standing at a podium or </w:t>
      </w:r>
      <w:r>
        <w:rPr>
          <w:color w:val="282426"/>
          <w:w w:val="110"/>
        </w:rPr>
        <w:t>lectern, </w:t>
      </w:r>
      <w:r>
        <w:rPr>
          <w:color w:val="3B383B"/>
          <w:w w:val="110"/>
        </w:rPr>
        <w:t>and facing a panel of judges. Petitioner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5"/>
        </w:rPr>
        <w:t>may reserve some of the allotted time for </w:t>
      </w:r>
      <w:r>
        <w:rPr>
          <w:color w:val="282426"/>
          <w:w w:val="115"/>
        </w:rPr>
        <w:t>rebuttal. </w:t>
      </w:r>
      <w:r>
        <w:rPr>
          <w:color w:val="3B383B"/>
          <w:w w:val="115"/>
        </w:rPr>
        <w:t>Counsel for respon­</w:t>
      </w:r>
      <w:r>
        <w:rPr>
          <w:color w:val="3B383B"/>
          <w:spacing w:val="-64"/>
          <w:w w:val="115"/>
        </w:rPr>
        <w:t> </w:t>
      </w:r>
      <w:r>
        <w:rPr>
          <w:color w:val="3B383B"/>
          <w:w w:val="110"/>
        </w:rPr>
        <w:t>dent (or appellee) follows, after which counsel for petitioner  may present</w:t>
      </w:r>
      <w:r>
        <w:rPr>
          <w:color w:val="3B383B"/>
          <w:spacing w:val="-61"/>
          <w:w w:val="110"/>
        </w:rPr>
        <w:t> </w:t>
      </w:r>
      <w:r>
        <w:rPr>
          <w:color w:val="3B383B"/>
          <w:w w:val="115"/>
        </w:rPr>
        <w:t>a rebuttal. Time allotted to each side for argument varies from 10 to 30</w:t>
      </w:r>
      <w:r>
        <w:rPr>
          <w:color w:val="3B383B"/>
          <w:spacing w:val="-64"/>
          <w:w w:val="115"/>
        </w:rPr>
        <w:t> </w:t>
      </w:r>
      <w:r>
        <w:rPr>
          <w:color w:val="3B383B"/>
          <w:w w:val="110"/>
        </w:rPr>
        <w:t>minutes; in many courts, each side is allotted 15 minutes, and counsel for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petitioner may reserve one, two, or three of those 15 minutes for rebuttal.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Counsel</w:t>
      </w:r>
      <w:r>
        <w:rPr>
          <w:color w:val="3B383B"/>
          <w:spacing w:val="14"/>
          <w:w w:val="110"/>
        </w:rPr>
        <w:t> </w:t>
      </w:r>
      <w:r>
        <w:rPr>
          <w:color w:val="3B383B"/>
          <w:w w:val="110"/>
        </w:rPr>
        <w:t>for</w:t>
      </w:r>
      <w:r>
        <w:rPr>
          <w:color w:val="3B383B"/>
          <w:spacing w:val="37"/>
          <w:w w:val="110"/>
        </w:rPr>
        <w:t> </w:t>
      </w:r>
      <w:r>
        <w:rPr>
          <w:color w:val="3B383B"/>
          <w:w w:val="110"/>
        </w:rPr>
        <w:t>respondent</w:t>
      </w:r>
      <w:r>
        <w:rPr>
          <w:color w:val="3B383B"/>
          <w:spacing w:val="14"/>
          <w:w w:val="110"/>
        </w:rPr>
        <w:t> </w:t>
      </w:r>
      <w:r>
        <w:rPr>
          <w:color w:val="3B383B"/>
          <w:w w:val="110"/>
        </w:rPr>
        <w:t>does</w:t>
      </w:r>
      <w:r>
        <w:rPr>
          <w:color w:val="3B383B"/>
          <w:spacing w:val="-7"/>
          <w:w w:val="110"/>
        </w:rPr>
        <w:t> </w:t>
      </w:r>
      <w:r>
        <w:rPr>
          <w:color w:val="3B383B"/>
          <w:w w:val="110"/>
        </w:rPr>
        <w:t>not</w:t>
      </w:r>
      <w:r>
        <w:rPr>
          <w:color w:val="3B383B"/>
          <w:spacing w:val="26"/>
          <w:w w:val="110"/>
        </w:rPr>
        <w:t> </w:t>
      </w:r>
      <w:r>
        <w:rPr>
          <w:color w:val="3B383B"/>
          <w:w w:val="110"/>
        </w:rPr>
        <w:t>have</w:t>
      </w:r>
      <w:r>
        <w:rPr>
          <w:color w:val="3B383B"/>
          <w:spacing w:val="-4"/>
          <w:w w:val="110"/>
        </w:rPr>
        <w:t> </w:t>
      </w:r>
      <w:r>
        <w:rPr>
          <w:color w:val="3B383B"/>
          <w:w w:val="110"/>
        </w:rPr>
        <w:t>the</w:t>
      </w:r>
      <w:r>
        <w:rPr>
          <w:color w:val="3B383B"/>
          <w:spacing w:val="23"/>
          <w:w w:val="110"/>
        </w:rPr>
        <w:t> </w:t>
      </w:r>
      <w:r>
        <w:rPr>
          <w:color w:val="3B383B"/>
          <w:w w:val="110"/>
        </w:rPr>
        <w:t>opportunity</w:t>
      </w:r>
      <w:r>
        <w:rPr>
          <w:color w:val="3B383B"/>
          <w:spacing w:val="23"/>
          <w:w w:val="110"/>
        </w:rPr>
        <w:t> </w:t>
      </w:r>
      <w:r>
        <w:rPr>
          <w:color w:val="3B383B"/>
          <w:w w:val="110"/>
        </w:rPr>
        <w:t>for</w:t>
      </w:r>
      <w:r>
        <w:rPr>
          <w:color w:val="3B383B"/>
          <w:spacing w:val="-6"/>
          <w:w w:val="110"/>
        </w:rPr>
        <w:t> </w:t>
      </w:r>
      <w:r>
        <w:rPr>
          <w:color w:val="3B383B"/>
          <w:w w:val="110"/>
        </w:rPr>
        <w:t>rebuttal.</w:t>
      </w:r>
    </w:p>
    <w:p>
      <w:pPr>
        <w:pStyle w:val="BodyText"/>
        <w:spacing w:line="232" w:lineRule="auto" w:before="9"/>
        <w:ind w:left="132" w:right="508" w:firstLine="336"/>
        <w:jc w:val="both"/>
      </w:pPr>
      <w:r>
        <w:rPr>
          <w:color w:val="3B383B"/>
          <w:w w:val="110"/>
        </w:rPr>
        <w:t>In a motion argument, the party who has brought the motion argues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first. Motions to dismiss are almost always brought by the defendant, but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motions for summary judgment may be brought by either party. The for­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mal requirements for motion oral arguments vary from court to court.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Some courts have a "motion docket," where all motions are heard by 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same judge, who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may  not </w:t>
      </w:r>
      <w:r>
        <w:rPr>
          <w:rFonts w:ascii="Arial" w:hAnsi="Arial"/>
          <w:color w:val="3B383B"/>
          <w:w w:val="110"/>
          <w:sz w:val="21"/>
        </w:rPr>
        <w:t>be </w:t>
      </w:r>
      <w:r>
        <w:rPr>
          <w:color w:val="3B383B"/>
          <w:w w:val="110"/>
        </w:rPr>
        <w:t>the  judge that the case is assigned to for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trial. Other courts may use a "motion day," once a week or on some other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schedule. The  typical method for oral argument is for a  judge or  judges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to question an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attorney standing at a podium, to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use strict timekeeping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methods, and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to allow only the first speaker to present a rebuttal. Some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05"/>
        </w:rPr>
        <w:t>trial  judges, however, may dispense with some of these formalities. Because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10"/>
        </w:rPr>
        <w:t>It is usually easier to move from more formal requirements to less formal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requirements, this chapter presumes a more formal motion argument. </w:t>
      </w:r>
      <w:r>
        <w:rPr>
          <w:color w:val="282426"/>
          <w:w w:val="110"/>
        </w:rPr>
        <w:t>In</w:t>
      </w:r>
      <w:r>
        <w:rPr>
          <w:color w:val="282426"/>
          <w:spacing w:val="1"/>
          <w:w w:val="110"/>
        </w:rPr>
        <w:t> </w:t>
      </w:r>
      <w:r>
        <w:rPr>
          <w:color w:val="3B383B"/>
          <w:w w:val="105"/>
        </w:rPr>
        <w:t>practice,</w:t>
      </w:r>
      <w:r>
        <w:rPr>
          <w:color w:val="3B383B"/>
          <w:spacing w:val="14"/>
          <w:w w:val="105"/>
        </w:rPr>
        <w:t> </w:t>
      </w:r>
      <w:r>
        <w:rPr>
          <w:color w:val="3B383B"/>
          <w:w w:val="105"/>
        </w:rPr>
        <w:t>of</w:t>
      </w:r>
      <w:r>
        <w:rPr>
          <w:color w:val="3B383B"/>
          <w:spacing w:val="18"/>
          <w:w w:val="105"/>
        </w:rPr>
        <w:t> </w:t>
      </w:r>
      <w:r>
        <w:rPr>
          <w:color w:val="3B383B"/>
          <w:w w:val="105"/>
        </w:rPr>
        <w:t>course,</w:t>
      </w:r>
      <w:r>
        <w:rPr>
          <w:color w:val="3B383B"/>
          <w:spacing w:val="15"/>
          <w:w w:val="105"/>
        </w:rPr>
        <w:t> </w:t>
      </w:r>
      <w:r>
        <w:rPr>
          <w:color w:val="3B383B"/>
          <w:w w:val="105"/>
        </w:rPr>
        <w:t>you</w:t>
      </w:r>
      <w:r>
        <w:rPr>
          <w:color w:val="3B383B"/>
          <w:spacing w:val="6"/>
          <w:w w:val="105"/>
        </w:rPr>
        <w:t> </w:t>
      </w:r>
      <w:r>
        <w:rPr>
          <w:color w:val="3B383B"/>
          <w:w w:val="105"/>
        </w:rPr>
        <w:t>should</w:t>
      </w:r>
      <w:r>
        <w:rPr>
          <w:color w:val="3B383B"/>
          <w:spacing w:val="19"/>
          <w:w w:val="105"/>
        </w:rPr>
        <w:t> </w:t>
      </w:r>
      <w:r>
        <w:rPr>
          <w:color w:val="3B383B"/>
          <w:w w:val="105"/>
        </w:rPr>
        <w:t>follow</w:t>
      </w:r>
      <w:r>
        <w:rPr>
          <w:color w:val="3B383B"/>
          <w:spacing w:val="17"/>
          <w:w w:val="105"/>
        </w:rPr>
        <w:t> </w:t>
      </w:r>
      <w:r>
        <w:rPr>
          <w:color w:val="3B383B"/>
          <w:w w:val="105"/>
        </w:rPr>
        <w:t>local</w:t>
      </w:r>
      <w:r>
        <w:rPr>
          <w:color w:val="3B383B"/>
          <w:spacing w:val="21"/>
          <w:w w:val="105"/>
        </w:rPr>
        <w:t> </w:t>
      </w:r>
      <w:r>
        <w:rPr>
          <w:color w:val="3B383B"/>
          <w:w w:val="105"/>
        </w:rPr>
        <w:t>rules</w:t>
      </w:r>
      <w:r>
        <w:rPr>
          <w:color w:val="3B383B"/>
          <w:spacing w:val="-4"/>
          <w:w w:val="105"/>
        </w:rPr>
        <w:t> </w:t>
      </w:r>
      <w:r>
        <w:rPr>
          <w:color w:val="3B383B"/>
          <w:w w:val="105"/>
        </w:rPr>
        <w:t>and</w:t>
      </w:r>
      <w:r>
        <w:rPr>
          <w:color w:val="3B383B"/>
          <w:spacing w:val="52"/>
          <w:w w:val="105"/>
        </w:rPr>
        <w:t> </w:t>
      </w:r>
      <w:r>
        <w:rPr>
          <w:color w:val="282426"/>
          <w:w w:val="105"/>
        </w:rPr>
        <w:t>local</w:t>
      </w:r>
      <w:r>
        <w:rPr>
          <w:color w:val="282426"/>
          <w:spacing w:val="14"/>
          <w:w w:val="105"/>
        </w:rPr>
        <w:t> </w:t>
      </w:r>
      <w:r>
        <w:rPr>
          <w:color w:val="3B383B"/>
          <w:w w:val="105"/>
        </w:rPr>
        <w:t>customs</w:t>
      </w:r>
      <w:r>
        <w:rPr>
          <w:color w:val="626264"/>
          <w:w w:val="105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0"/>
        <w:ind w:left="710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626264"/>
          <w:w w:val="110"/>
          <w:sz w:val="32"/>
        </w:rPr>
        <w:t>1</w:t>
      </w:r>
      <w:r>
        <w:rPr>
          <w:rFonts w:ascii="Arial"/>
          <w:b/>
          <w:color w:val="797C7E"/>
          <w:w w:val="110"/>
          <w:sz w:val="32"/>
        </w:rPr>
        <w:t>3.3</w:t>
      </w:r>
    </w:p>
    <w:p>
      <w:pPr>
        <w:spacing w:before="55"/>
        <w:ind w:left="708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797C7E"/>
          <w:sz w:val="26"/>
        </w:rPr>
        <w:t>INTELLECTUAL</w:t>
      </w:r>
      <w:r>
        <w:rPr>
          <w:rFonts w:ascii="Arial"/>
          <w:b/>
          <w:color w:val="797C7E"/>
          <w:spacing w:val="63"/>
          <w:sz w:val="26"/>
        </w:rPr>
        <w:t> </w:t>
      </w:r>
      <w:r>
        <w:rPr>
          <w:rFonts w:ascii="Arial"/>
          <w:b/>
          <w:color w:val="797C7E"/>
          <w:sz w:val="26"/>
        </w:rPr>
        <w:t>PREPARATION</w:t>
      </w:r>
      <w:r>
        <w:rPr>
          <w:rFonts w:ascii="Arial"/>
          <w:b/>
          <w:color w:val="626264"/>
          <w:sz w:val="26"/>
        </w:rPr>
        <w:t>:</w:t>
      </w:r>
      <w:r>
        <w:rPr>
          <w:rFonts w:ascii="Arial"/>
          <w:b/>
          <w:color w:val="626264"/>
          <w:spacing w:val="20"/>
          <w:sz w:val="26"/>
        </w:rPr>
        <w:t> </w:t>
      </w:r>
      <w:r>
        <w:rPr>
          <w:rFonts w:ascii="Arial"/>
          <w:b/>
          <w:color w:val="797C7E"/>
          <w:sz w:val="26"/>
        </w:rPr>
        <w:t>WHA</w:t>
      </w:r>
      <w:r>
        <w:rPr>
          <w:rFonts w:ascii="Arial"/>
          <w:b/>
          <w:color w:val="626264"/>
          <w:sz w:val="26"/>
        </w:rPr>
        <w:t>T</w:t>
      </w:r>
      <w:r>
        <w:rPr>
          <w:rFonts w:ascii="Arial"/>
          <w:b/>
          <w:color w:val="626264"/>
          <w:spacing w:val="55"/>
          <w:sz w:val="26"/>
        </w:rPr>
        <w:t> </w:t>
      </w:r>
      <w:r>
        <w:rPr>
          <w:rFonts w:ascii="Arial"/>
          <w:b/>
          <w:color w:val="797C7E"/>
          <w:sz w:val="26"/>
        </w:rPr>
        <w:t>DO</w:t>
      </w:r>
      <w:r>
        <w:rPr>
          <w:rFonts w:ascii="Arial"/>
          <w:b/>
          <w:color w:val="797C7E"/>
          <w:spacing w:val="106"/>
          <w:sz w:val="26"/>
        </w:rPr>
        <w:t> </w:t>
      </w:r>
      <w:r>
        <w:rPr>
          <w:rFonts w:ascii="Arial"/>
          <w:b/>
          <w:color w:val="626264"/>
          <w:sz w:val="26"/>
        </w:rPr>
        <w:t>Y</w:t>
      </w:r>
      <w:r>
        <w:rPr>
          <w:rFonts w:ascii="Arial"/>
          <w:b/>
          <w:color w:val="797C7E"/>
          <w:sz w:val="26"/>
        </w:rPr>
        <w:t>OU</w:t>
      </w:r>
    </w:p>
    <w:p>
      <w:pPr>
        <w:spacing w:before="78"/>
        <w:ind w:left="722" w:right="0" w:firstLine="0"/>
        <w:jc w:val="left"/>
        <w:rPr>
          <w:rFonts w:ascii="Arial"/>
          <w:b/>
          <w:sz w:val="26"/>
        </w:rPr>
      </w:pPr>
      <w:r>
        <w:rPr>
          <w:b/>
          <w:color w:val="797C7E"/>
          <w:w w:val="105"/>
          <w:sz w:val="28"/>
        </w:rPr>
        <w:t>NEED</w:t>
      </w:r>
      <w:r>
        <w:rPr>
          <w:b/>
          <w:color w:val="797C7E"/>
          <w:spacing w:val="-5"/>
          <w:w w:val="105"/>
          <w:sz w:val="28"/>
        </w:rPr>
        <w:t> </w:t>
      </w:r>
      <w:r>
        <w:rPr>
          <w:rFonts w:ascii="Arial"/>
          <w:b/>
          <w:color w:val="797C7E"/>
          <w:w w:val="105"/>
          <w:sz w:val="26"/>
        </w:rPr>
        <w:t>TO</w:t>
      </w:r>
      <w:r>
        <w:rPr>
          <w:rFonts w:ascii="Arial"/>
          <w:b/>
          <w:color w:val="797C7E"/>
          <w:spacing w:val="55"/>
          <w:w w:val="105"/>
          <w:sz w:val="26"/>
        </w:rPr>
        <w:t> </w:t>
      </w:r>
      <w:r>
        <w:rPr>
          <w:rFonts w:ascii="Arial"/>
          <w:b/>
          <w:color w:val="8E9091"/>
          <w:w w:val="105"/>
          <w:sz w:val="26"/>
        </w:rPr>
        <w:t>KNOW</w:t>
      </w:r>
      <w:r>
        <w:rPr>
          <w:rFonts w:ascii="Arial"/>
          <w:b/>
          <w:color w:val="626264"/>
          <w:w w:val="105"/>
          <w:sz w:val="26"/>
        </w:rPr>
        <w:t>?</w:t>
      </w:r>
    </w:p>
    <w:p>
      <w:pPr>
        <w:pStyle w:val="BodyText"/>
        <w:spacing w:line="235" w:lineRule="auto" w:before="230"/>
        <w:ind w:left="184" w:right="432" w:firstLine="538"/>
        <w:jc w:val="both"/>
      </w:pPr>
      <w:r>
        <w:rPr>
          <w:color w:val="3B383B"/>
          <w:w w:val="110"/>
        </w:rPr>
        <w:t>You complete the most important preparation for the oral argument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  <w:sz w:val="21"/>
        </w:rPr>
        <w:t>when </w:t>
      </w:r>
      <w:r>
        <w:rPr>
          <w:color w:val="3B383B"/>
          <w:w w:val="110"/>
        </w:rPr>
        <w:t>you write 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brief, for it is in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writing 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brief that you gain an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understanding</w:t>
      </w:r>
      <w:r>
        <w:rPr>
          <w:color w:val="3B383B"/>
          <w:spacing w:val="36"/>
          <w:w w:val="110"/>
        </w:rPr>
        <w:t> </w:t>
      </w:r>
      <w:r>
        <w:rPr>
          <w:color w:val="3B383B"/>
          <w:w w:val="110"/>
        </w:rPr>
        <w:t>of</w:t>
      </w:r>
      <w:r>
        <w:rPr>
          <w:color w:val="3B383B"/>
          <w:spacing w:val="45"/>
          <w:w w:val="110"/>
        </w:rPr>
        <w:t> </w:t>
      </w:r>
      <w:r>
        <w:rPr>
          <w:color w:val="3B383B"/>
          <w:w w:val="110"/>
        </w:rPr>
        <w:t>the</w:t>
      </w:r>
      <w:r>
        <w:rPr>
          <w:color w:val="3B383B"/>
          <w:spacing w:val="13"/>
          <w:w w:val="110"/>
        </w:rPr>
        <w:t> </w:t>
      </w:r>
      <w:r>
        <w:rPr>
          <w:color w:val="3B383B"/>
          <w:w w:val="110"/>
        </w:rPr>
        <w:t>facts,</w:t>
      </w:r>
      <w:r>
        <w:rPr>
          <w:color w:val="3B383B"/>
          <w:spacing w:val="26"/>
          <w:w w:val="110"/>
        </w:rPr>
        <w:t> </w:t>
      </w:r>
      <w:r>
        <w:rPr>
          <w:color w:val="3B383B"/>
          <w:w w:val="110"/>
        </w:rPr>
        <w:t>issues,</w:t>
      </w:r>
      <w:r>
        <w:rPr>
          <w:color w:val="3B383B"/>
          <w:spacing w:val="27"/>
          <w:w w:val="110"/>
        </w:rPr>
        <w:t> </w:t>
      </w:r>
      <w:r>
        <w:rPr>
          <w:color w:val="3B383B"/>
          <w:w w:val="110"/>
        </w:rPr>
        <w:t>and</w:t>
      </w:r>
      <w:r>
        <w:rPr>
          <w:color w:val="3B383B"/>
          <w:spacing w:val="62"/>
          <w:w w:val="110"/>
        </w:rPr>
        <w:t> </w:t>
      </w:r>
      <w:r>
        <w:rPr>
          <w:color w:val="3B383B"/>
          <w:w w:val="110"/>
        </w:rPr>
        <w:t>authorities</w:t>
      </w:r>
      <w:r>
        <w:rPr>
          <w:color w:val="3B383B"/>
          <w:spacing w:val="33"/>
          <w:w w:val="110"/>
        </w:rPr>
        <w:t> </w:t>
      </w:r>
      <w:r>
        <w:rPr>
          <w:color w:val="3B383B"/>
          <w:w w:val="110"/>
        </w:rPr>
        <w:t>that</w:t>
      </w:r>
      <w:r>
        <w:rPr>
          <w:color w:val="3B383B"/>
          <w:spacing w:val="18"/>
          <w:w w:val="110"/>
        </w:rPr>
        <w:t> </w:t>
      </w:r>
      <w:r>
        <w:rPr>
          <w:color w:val="3B383B"/>
          <w:w w:val="110"/>
        </w:rPr>
        <w:t>control</w:t>
      </w:r>
      <w:r>
        <w:rPr>
          <w:color w:val="3B383B"/>
          <w:spacing w:val="44"/>
          <w:w w:val="110"/>
        </w:rPr>
        <w:t> </w:t>
      </w:r>
      <w:r>
        <w:rPr>
          <w:color w:val="3B383B"/>
          <w:w w:val="110"/>
        </w:rPr>
        <w:t>the</w:t>
      </w:r>
      <w:r>
        <w:rPr>
          <w:color w:val="3B383B"/>
          <w:spacing w:val="27"/>
          <w:w w:val="110"/>
        </w:rPr>
        <w:t> </w:t>
      </w:r>
      <w:r>
        <w:rPr>
          <w:color w:val="3B383B"/>
          <w:w w:val="110"/>
        </w:rPr>
        <w:t>case.</w:t>
      </w:r>
    </w:p>
    <w:p>
      <w:pPr>
        <w:spacing w:after="0" w:line="235" w:lineRule="auto"/>
        <w:jc w:val="both"/>
        <w:sectPr>
          <w:pgSz w:w="9760" w:h="14010"/>
          <w:pgMar w:header="639" w:footer="0" w:top="1240" w:bottom="280" w:left="200" w:right="1360"/>
        </w:sectPr>
      </w:pPr>
    </w:p>
    <w:p>
      <w:pPr>
        <w:pStyle w:val="BodyText"/>
        <w:spacing w:line="232" w:lineRule="auto" w:before="87"/>
        <w:ind w:left="889" w:right="107" w:firstLine="11"/>
        <w:jc w:val="both"/>
      </w:pPr>
      <w:r>
        <w:rPr>
          <w:color w:val="3A3838"/>
          <w:w w:val="110"/>
        </w:rPr>
        <w:t>Nevertheless, there are two practical things that you must do in specific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0"/>
        </w:rPr>
        <w:t>preparation </w:t>
      </w:r>
      <w:r>
        <w:rPr>
          <w:color w:val="3A3838"/>
          <w:w w:val="110"/>
        </w:rPr>
        <w:t>for the oral argument. First, you must decide what points to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0"/>
        </w:rPr>
        <w:t>argue</w:t>
      </w:r>
      <w:r>
        <w:rPr>
          <w:color w:val="3A3838"/>
          <w:spacing w:val="-30"/>
          <w:w w:val="110"/>
        </w:rPr>
        <w:t> </w:t>
      </w:r>
      <w:r>
        <w:rPr>
          <w:color w:val="3A3838"/>
          <w:spacing w:val="-1"/>
          <w:w w:val="110"/>
        </w:rPr>
        <w:t>and</w:t>
      </w:r>
      <w:r>
        <w:rPr>
          <w:color w:val="3A3838"/>
          <w:spacing w:val="4"/>
          <w:w w:val="110"/>
        </w:rPr>
        <w:t> </w:t>
      </w:r>
      <w:r>
        <w:rPr>
          <w:color w:val="3A3838"/>
          <w:spacing w:val="-1"/>
          <w:w w:val="110"/>
        </w:rPr>
        <w:t>then</w:t>
      </w:r>
      <w:r>
        <w:rPr>
          <w:color w:val="3A3838"/>
          <w:spacing w:val="-8"/>
          <w:w w:val="110"/>
        </w:rPr>
        <w:t> </w:t>
      </w:r>
      <w:r>
        <w:rPr>
          <w:color w:val="3A3838"/>
          <w:spacing w:val="-1"/>
          <w:w w:val="110"/>
        </w:rPr>
        <w:t>prepare</w:t>
      </w:r>
      <w:r>
        <w:rPr>
          <w:color w:val="3A3838"/>
          <w:spacing w:val="-11"/>
          <w:w w:val="110"/>
        </w:rPr>
        <w:t> </w:t>
      </w:r>
      <w:r>
        <w:rPr>
          <w:color w:val="3A3838"/>
          <w:w w:val="110"/>
        </w:rPr>
        <w:t>your</w:t>
      </w:r>
      <w:r>
        <w:rPr>
          <w:color w:val="3A3838"/>
          <w:spacing w:val="-11"/>
          <w:w w:val="110"/>
        </w:rPr>
        <w:t> </w:t>
      </w:r>
      <w:r>
        <w:rPr>
          <w:color w:val="3A3838"/>
          <w:w w:val="110"/>
        </w:rPr>
        <w:t>argument.</w:t>
      </w:r>
      <w:r>
        <w:rPr>
          <w:color w:val="3A3838"/>
          <w:spacing w:val="-29"/>
          <w:w w:val="110"/>
        </w:rPr>
        <w:t> </w:t>
      </w:r>
      <w:r>
        <w:rPr>
          <w:color w:val="3A3838"/>
          <w:w w:val="110"/>
        </w:rPr>
        <w:t>Second,</w:t>
      </w:r>
      <w:r>
        <w:rPr>
          <w:color w:val="3A3838"/>
          <w:spacing w:val="-16"/>
          <w:w w:val="110"/>
        </w:rPr>
        <w:t> </w:t>
      </w:r>
      <w:r>
        <w:rPr>
          <w:color w:val="3A3838"/>
          <w:w w:val="110"/>
        </w:rPr>
        <w:t>you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must</w:t>
      </w:r>
      <w:r>
        <w:rPr>
          <w:color w:val="3A3838"/>
          <w:spacing w:val="-20"/>
          <w:w w:val="110"/>
        </w:rPr>
        <w:t> </w:t>
      </w:r>
      <w:r>
        <w:rPr>
          <w:color w:val="3A3838"/>
          <w:w w:val="110"/>
        </w:rPr>
        <w:t>gather</w:t>
      </w:r>
      <w:r>
        <w:rPr>
          <w:color w:val="3A3838"/>
          <w:spacing w:val="-15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-24"/>
          <w:w w:val="110"/>
        </w:rPr>
        <w:t> </w:t>
      </w:r>
      <w:r>
        <w:rPr>
          <w:color w:val="3A3838"/>
          <w:w w:val="110"/>
        </w:rPr>
        <w:t>infor­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mation that the court will expect you to know-to have at your mental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5"/>
        </w:rPr>
        <w:t>fingertips-when</w:t>
      </w:r>
      <w:r>
        <w:rPr>
          <w:color w:val="3A3838"/>
          <w:spacing w:val="-19"/>
          <w:w w:val="115"/>
        </w:rPr>
        <w:t> </w:t>
      </w:r>
      <w:r>
        <w:rPr>
          <w:color w:val="3A3838"/>
          <w:w w:val="115"/>
        </w:rPr>
        <w:t>youareat</w:t>
      </w:r>
      <w:r>
        <w:rPr>
          <w:color w:val="3A3838"/>
          <w:spacing w:val="-2"/>
          <w:w w:val="115"/>
        </w:rPr>
        <w:t> </w:t>
      </w:r>
      <w:r>
        <w:rPr>
          <w:color w:val="3A3838"/>
          <w:w w:val="115"/>
        </w:rPr>
        <w:t>the</w:t>
      </w:r>
      <w:r>
        <w:rPr>
          <w:color w:val="3A3838"/>
          <w:spacing w:val="-25"/>
          <w:w w:val="115"/>
        </w:rPr>
        <w:t> </w:t>
      </w:r>
      <w:r>
        <w:rPr>
          <w:color w:val="3A3838"/>
          <w:w w:val="115"/>
        </w:rPr>
        <w:t>podium.</w:t>
      </w:r>
    </w:p>
    <w:p>
      <w:pPr>
        <w:pStyle w:val="BodyText"/>
        <w:spacing w:before="6"/>
        <w:rPr>
          <w:sz w:val="34"/>
        </w:rPr>
      </w:pPr>
    </w:p>
    <w:p>
      <w:pPr>
        <w:spacing w:before="0"/>
        <w:ind w:left="1271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A3838"/>
          <w:w w:val="105"/>
          <w:sz w:val="28"/>
        </w:rPr>
        <w:t>13.3.1</w:t>
      </w:r>
    </w:p>
    <w:p>
      <w:pPr>
        <w:spacing w:before="33"/>
        <w:ind w:left="1257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3A3838"/>
          <w:w w:val="105"/>
          <w:sz w:val="22"/>
        </w:rPr>
        <w:t>DECIDING</w:t>
      </w:r>
      <w:r>
        <w:rPr>
          <w:rFonts w:ascii="Arial"/>
          <w:b/>
          <w:color w:val="3A3838"/>
          <w:spacing w:val="14"/>
          <w:w w:val="105"/>
          <w:sz w:val="22"/>
        </w:rPr>
        <w:t> </w:t>
      </w:r>
      <w:r>
        <w:rPr>
          <w:rFonts w:ascii="Arial"/>
          <w:b/>
          <w:color w:val="3A3838"/>
          <w:w w:val="105"/>
          <w:sz w:val="22"/>
        </w:rPr>
        <w:t>WHAT</w:t>
      </w:r>
      <w:r>
        <w:rPr>
          <w:rFonts w:ascii="Arial"/>
          <w:b/>
          <w:color w:val="3A3838"/>
          <w:spacing w:val="-13"/>
          <w:w w:val="105"/>
          <w:sz w:val="22"/>
        </w:rPr>
        <w:t> </w:t>
      </w:r>
      <w:r>
        <w:rPr>
          <w:rFonts w:ascii="Arial"/>
          <w:b/>
          <w:color w:val="3A3838"/>
          <w:w w:val="105"/>
          <w:sz w:val="22"/>
        </w:rPr>
        <w:t>POINTS</w:t>
      </w:r>
      <w:r>
        <w:rPr>
          <w:rFonts w:ascii="Arial"/>
          <w:b/>
          <w:color w:val="3A3838"/>
          <w:spacing w:val="3"/>
          <w:w w:val="105"/>
          <w:sz w:val="22"/>
        </w:rPr>
        <w:t> </w:t>
      </w:r>
      <w:r>
        <w:rPr>
          <w:rFonts w:ascii="Arial"/>
          <w:b/>
          <w:color w:val="3A3838"/>
          <w:w w:val="105"/>
          <w:sz w:val="22"/>
        </w:rPr>
        <w:t>TO</w:t>
      </w:r>
      <w:r>
        <w:rPr>
          <w:rFonts w:ascii="Arial"/>
          <w:b/>
          <w:color w:val="3A3838"/>
          <w:spacing w:val="-9"/>
          <w:w w:val="105"/>
          <w:sz w:val="22"/>
        </w:rPr>
        <w:t> </w:t>
      </w:r>
      <w:r>
        <w:rPr>
          <w:rFonts w:ascii="Arial"/>
          <w:b/>
          <w:color w:val="3A3838"/>
          <w:w w:val="105"/>
          <w:sz w:val="22"/>
        </w:rPr>
        <w:t>ARGUE</w:t>
      </w:r>
    </w:p>
    <w:p>
      <w:pPr>
        <w:pStyle w:val="BodyText"/>
        <w:spacing w:line="235" w:lineRule="auto" w:before="138"/>
        <w:ind w:left="782" w:right="137" w:firstLine="469"/>
        <w:jc w:val="both"/>
        <w:rPr>
          <w:rFonts w:ascii="Arial" w:hAnsi="Arial"/>
          <w:sz w:val="12"/>
        </w:rPr>
      </w:pPr>
      <w:r>
        <w:rPr>
          <w:color w:val="3A3838"/>
          <w:w w:val="110"/>
        </w:rPr>
        <w:t>Your</w:t>
      </w:r>
      <w:r>
        <w:rPr>
          <w:color w:val="3A3838"/>
          <w:spacing w:val="10"/>
          <w:w w:val="110"/>
        </w:rPr>
        <w:t> </w:t>
      </w:r>
      <w:r>
        <w:rPr>
          <w:color w:val="3A3838"/>
          <w:w w:val="110"/>
        </w:rPr>
        <w:t>job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on</w:t>
      </w:r>
      <w:r>
        <w:rPr>
          <w:color w:val="3A3838"/>
          <w:spacing w:val="17"/>
          <w:w w:val="110"/>
        </w:rPr>
        <w:t> </w:t>
      </w:r>
      <w:r>
        <w:rPr>
          <w:color w:val="3A3838"/>
          <w:w w:val="110"/>
        </w:rPr>
        <w:t>oral</w:t>
      </w:r>
      <w:r>
        <w:rPr>
          <w:color w:val="3A3838"/>
          <w:spacing w:val="-11"/>
          <w:w w:val="110"/>
        </w:rPr>
        <w:t> </w:t>
      </w:r>
      <w:r>
        <w:rPr>
          <w:color w:val="3A3838"/>
          <w:w w:val="110"/>
        </w:rPr>
        <w:t>argument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is</w:t>
      </w:r>
      <w:r>
        <w:rPr>
          <w:color w:val="3A3838"/>
          <w:spacing w:val="-7"/>
          <w:w w:val="110"/>
        </w:rPr>
        <w:t> </w:t>
      </w:r>
      <w:r>
        <w:rPr>
          <w:color w:val="3A3838"/>
          <w:w w:val="110"/>
        </w:rPr>
        <w:t>not</w:t>
      </w:r>
      <w:r>
        <w:rPr>
          <w:color w:val="3A3838"/>
          <w:spacing w:val="8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present</w:t>
      </w:r>
      <w:r>
        <w:rPr>
          <w:color w:val="3A3838"/>
          <w:spacing w:val="-9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-15"/>
          <w:w w:val="110"/>
        </w:rPr>
        <w:t> </w:t>
      </w:r>
      <w:r>
        <w:rPr>
          <w:color w:val="3A3838"/>
          <w:w w:val="110"/>
        </w:rPr>
        <w:t>summary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your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brief.'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05"/>
        </w:rPr>
        <w:t>Your short time at the podium will not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be sufficient to discuss all of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issues and arguments that you raised in the brief. When planning your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oral argument, identify the two or three points that are most necessary to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convince the court of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justice of the result you seek. Frequently, these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points will be those that could be resolved in favor of either party,</w:t>
      </w:r>
      <w:r>
        <w:rPr>
          <w:color w:val="3A3838"/>
          <w:w w:val="110"/>
          <w:vertAlign w:val="superscript"/>
        </w:rPr>
        <w:t>10</w:t>
      </w:r>
      <w:r>
        <w:rPr>
          <w:color w:val="3A3838"/>
          <w:w w:val="110"/>
          <w:vertAlign w:val="baseline"/>
        </w:rPr>
        <w:t> and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thus, spending time on these points in oral argument will be particularly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important. When deciding what points to argue, you may ignore points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that you included for completeness but that are not crucial for your argu­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ment. For example, most statutory interpretation arguments include at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least a short discussion of the statute's plain language, even if counsel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believes that the plain language argument is a sure loser. In that situation,</w:t>
      </w:r>
      <w:r>
        <w:rPr>
          <w:color w:val="3A3838"/>
          <w:spacing w:val="-6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some unfortunate attorneys will begin an oral argument with what they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plan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to be a short discussion  of plain language,  thinking they will get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past it and move to their more important arguments. Unfortunately, the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05"/>
          <w:vertAlign w:val="baseline"/>
        </w:rPr>
        <w:t>court is not always in on the plan. As Florida Appeals Judge David Gersten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w w:val="110"/>
          <w:vertAlign w:val="baseline"/>
        </w:rPr>
        <w:t>warns, attorneys who try to address too many points may "get bogged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down on questions on [their] weaker points and never get to the crux of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[the]</w:t>
      </w:r>
      <w:r>
        <w:rPr>
          <w:color w:val="3A3838"/>
          <w:spacing w:val="-20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case."</w:t>
      </w:r>
      <w:r>
        <w:rPr>
          <w:rFonts w:ascii="Arial" w:hAnsi="Arial"/>
          <w:color w:val="3A3838"/>
          <w:w w:val="110"/>
          <w:position w:val="9"/>
          <w:sz w:val="12"/>
          <w:vertAlign w:val="baseline"/>
        </w:rPr>
        <w:t>11</w:t>
      </w:r>
    </w:p>
    <w:p>
      <w:pPr>
        <w:pStyle w:val="BodyText"/>
        <w:spacing w:line="228" w:lineRule="auto"/>
        <w:ind w:left="774" w:right="166" w:firstLine="381"/>
        <w:jc w:val="both"/>
      </w:pPr>
      <w:r>
        <w:rPr>
          <w:color w:val="3A3838"/>
          <w:w w:val="110"/>
        </w:rPr>
        <w:t>As you take notes on the points you will present to the court</w:t>
      </w:r>
      <w:r>
        <w:rPr>
          <w:color w:val="5D5D5E"/>
          <w:w w:val="110"/>
        </w:rPr>
        <w:t>, </w:t>
      </w:r>
      <w:r>
        <w:rPr>
          <w:color w:val="3A3838"/>
          <w:w w:val="110"/>
        </w:rPr>
        <w:t>write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0"/>
        </w:rPr>
        <w:t>down</w:t>
      </w:r>
      <w:r>
        <w:rPr>
          <w:color w:val="3A3838"/>
          <w:spacing w:val="-18"/>
          <w:w w:val="110"/>
        </w:rPr>
        <w:t> </w:t>
      </w:r>
      <w:r>
        <w:rPr>
          <w:color w:val="3A3838"/>
          <w:spacing w:val="-1"/>
          <w:w w:val="110"/>
        </w:rPr>
        <w:t>citations</w:t>
      </w:r>
      <w:r>
        <w:rPr>
          <w:color w:val="3A3838"/>
          <w:spacing w:val="-12"/>
          <w:w w:val="110"/>
        </w:rPr>
        <w:t> </w:t>
      </w:r>
      <w:r>
        <w:rPr>
          <w:color w:val="3A3838"/>
          <w:spacing w:val="-1"/>
          <w:w w:val="110"/>
        </w:rPr>
        <w:t>to</w:t>
      </w:r>
      <w:r>
        <w:rPr>
          <w:color w:val="3A3838"/>
          <w:spacing w:val="-24"/>
          <w:w w:val="110"/>
        </w:rPr>
        <w:t> </w:t>
      </w:r>
      <w:r>
        <w:rPr>
          <w:color w:val="3A3838"/>
          <w:spacing w:val="-1"/>
          <w:w w:val="110"/>
        </w:rPr>
        <w:t>cases</w:t>
      </w:r>
      <w:r>
        <w:rPr>
          <w:color w:val="3A3838"/>
          <w:spacing w:val="-34"/>
          <w:w w:val="110"/>
        </w:rPr>
        <w:t> </w:t>
      </w:r>
      <w:r>
        <w:rPr>
          <w:color w:val="3A3838"/>
          <w:w w:val="110"/>
        </w:rPr>
        <w:t>and</w:t>
      </w:r>
      <w:r>
        <w:rPr>
          <w:color w:val="3A3838"/>
          <w:spacing w:val="13"/>
          <w:w w:val="110"/>
        </w:rPr>
        <w:t> </w:t>
      </w:r>
      <w:r>
        <w:rPr>
          <w:color w:val="3A3838"/>
          <w:w w:val="110"/>
        </w:rPr>
        <w:t>statutes</w:t>
      </w:r>
      <w:r>
        <w:rPr>
          <w:color w:val="3A3838"/>
          <w:spacing w:val="-24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-29"/>
          <w:w w:val="110"/>
        </w:rPr>
        <w:t> </w:t>
      </w:r>
      <w:r>
        <w:rPr>
          <w:color w:val="3A3838"/>
          <w:w w:val="110"/>
        </w:rPr>
        <w:t>support</w:t>
      </w:r>
      <w:r>
        <w:rPr>
          <w:color w:val="3A3838"/>
          <w:spacing w:val="-13"/>
          <w:w w:val="110"/>
        </w:rPr>
        <w:t> </w:t>
      </w:r>
      <w:r>
        <w:rPr>
          <w:color w:val="3A3838"/>
          <w:w w:val="110"/>
        </w:rPr>
        <w:t>your</w:t>
      </w:r>
      <w:r>
        <w:rPr>
          <w:color w:val="3A3838"/>
          <w:spacing w:val="-24"/>
          <w:w w:val="110"/>
        </w:rPr>
        <w:t> </w:t>
      </w:r>
      <w:r>
        <w:rPr>
          <w:color w:val="3A3838"/>
          <w:w w:val="110"/>
        </w:rPr>
        <w:t>assertions.</w:t>
      </w:r>
      <w:r>
        <w:rPr>
          <w:color w:val="3A3838"/>
          <w:spacing w:val="-3"/>
          <w:w w:val="110"/>
        </w:rPr>
        <w:t> </w:t>
      </w:r>
      <w:r>
        <w:rPr>
          <w:color w:val="3A3838"/>
          <w:w w:val="110"/>
        </w:rPr>
        <w:t>Although</w:t>
      </w:r>
    </w:p>
    <w:p>
      <w:pPr>
        <w:pStyle w:val="BodyText"/>
        <w:spacing w:line="235" w:lineRule="auto"/>
        <w:ind w:left="754" w:right="173" w:firstLine="16"/>
        <w:jc w:val="both"/>
        <w:rPr>
          <w:sz w:val="14"/>
        </w:rPr>
      </w:pPr>
      <w:r>
        <w:rPr>
          <w:color w:val="3A3838"/>
          <w:w w:val="105"/>
        </w:rPr>
        <w:t>you wiJI not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be reading from your notes, the act of writing down the points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and</w:t>
      </w:r>
      <w:r>
        <w:rPr>
          <w:color w:val="3A3838"/>
          <w:spacing w:val="34"/>
          <w:w w:val="110"/>
        </w:rPr>
        <w:t> </w:t>
      </w:r>
      <w:r>
        <w:rPr>
          <w:color w:val="3A3838"/>
          <w:w w:val="110"/>
        </w:rPr>
        <w:t>their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supporting</w:t>
      </w:r>
      <w:r>
        <w:rPr>
          <w:color w:val="3A3838"/>
          <w:spacing w:val="-5"/>
          <w:w w:val="110"/>
        </w:rPr>
        <w:t> </w:t>
      </w:r>
      <w:r>
        <w:rPr>
          <w:color w:val="3A3838"/>
          <w:w w:val="110"/>
        </w:rPr>
        <w:t>authorities</w:t>
      </w:r>
      <w:r>
        <w:rPr>
          <w:color w:val="3A3838"/>
          <w:spacing w:val="-3"/>
          <w:w w:val="110"/>
        </w:rPr>
        <w:t> </w:t>
      </w:r>
      <w:r>
        <w:rPr>
          <w:color w:val="3A3838"/>
          <w:w w:val="110"/>
        </w:rPr>
        <w:t>will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help</w:t>
      </w:r>
      <w:r>
        <w:rPr>
          <w:color w:val="3A3838"/>
          <w:spacing w:val="-11"/>
          <w:w w:val="110"/>
        </w:rPr>
        <w:t> </w:t>
      </w:r>
      <w:r>
        <w:rPr>
          <w:color w:val="3A3838"/>
          <w:w w:val="110"/>
        </w:rPr>
        <w:t>cement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them</w:t>
      </w:r>
      <w:r>
        <w:rPr>
          <w:color w:val="3A3838"/>
          <w:spacing w:val="13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22"/>
          <w:w w:val="110"/>
        </w:rPr>
        <w:t> </w:t>
      </w:r>
      <w:r>
        <w:rPr>
          <w:color w:val="3A3838"/>
          <w:w w:val="110"/>
        </w:rPr>
        <w:t>your</w:t>
      </w:r>
      <w:r>
        <w:rPr>
          <w:color w:val="3A3838"/>
          <w:spacing w:val="-2"/>
          <w:w w:val="110"/>
        </w:rPr>
        <w:t> </w:t>
      </w:r>
      <w:r>
        <w:rPr>
          <w:color w:val="3A3838"/>
          <w:w w:val="110"/>
        </w:rPr>
        <w:t>mind.</w:t>
      </w:r>
      <w:r>
        <w:rPr>
          <w:color w:val="5D5D5E"/>
          <w:w w:val="110"/>
          <w:position w:val="6"/>
          <w:sz w:val="14"/>
        </w:rPr>
        <w:t>1</w:t>
      </w:r>
      <w:r>
        <w:rPr>
          <w:color w:val="3A3838"/>
          <w:w w:val="110"/>
          <w:position w:val="6"/>
          <w:sz w:val="14"/>
        </w:rPr>
        <w:t>2</w:t>
      </w:r>
    </w:p>
    <w:p>
      <w:pPr>
        <w:pStyle w:val="BodyText"/>
        <w:spacing w:line="232" w:lineRule="auto"/>
        <w:ind w:left="703" w:right="180" w:firstLine="429"/>
        <w:jc w:val="both"/>
      </w:pPr>
      <w:r>
        <w:rPr>
          <w:color w:val="3A3838"/>
          <w:w w:val="110"/>
        </w:rPr>
        <w:t>In your brief, you may have followed a CREXAC (Conclusion, Rule,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Explanation,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Application,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Connection-Conclusion)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model of analysis.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When planning your oral argument, think in terms of a pared-down ver­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sion of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that model-more like "CRAC," if you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will. That is, first, you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should state the point, or the conclusion, that you want the court to agree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with.</w:t>
      </w:r>
      <w:r>
        <w:rPr>
          <w:color w:val="3A3838"/>
          <w:spacing w:val="19"/>
          <w:w w:val="110"/>
        </w:rPr>
        <w:t> </w:t>
      </w:r>
      <w:r>
        <w:rPr>
          <w:color w:val="3A3838"/>
          <w:w w:val="110"/>
        </w:rPr>
        <w:t>Then</w:t>
      </w:r>
      <w:r>
        <w:rPr>
          <w:color w:val="3A3838"/>
          <w:spacing w:val="24"/>
          <w:w w:val="110"/>
        </w:rPr>
        <w:t> </w:t>
      </w:r>
      <w:r>
        <w:rPr>
          <w:color w:val="3A3838"/>
          <w:w w:val="110"/>
        </w:rPr>
        <w:t>support</w:t>
      </w:r>
      <w:r>
        <w:rPr>
          <w:color w:val="3A3838"/>
          <w:spacing w:val="40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29"/>
          <w:w w:val="110"/>
        </w:rPr>
        <w:t> </w:t>
      </w:r>
      <w:r>
        <w:rPr>
          <w:color w:val="3A3838"/>
          <w:w w:val="110"/>
        </w:rPr>
        <w:t>conclusion</w:t>
      </w:r>
      <w:r>
        <w:rPr>
          <w:color w:val="3A3838"/>
          <w:spacing w:val="63"/>
          <w:w w:val="110"/>
        </w:rPr>
        <w:t> </w:t>
      </w:r>
      <w:r>
        <w:rPr>
          <w:color w:val="3A3838"/>
          <w:w w:val="110"/>
        </w:rPr>
        <w:t>by</w:t>
      </w:r>
      <w:r>
        <w:rPr>
          <w:color w:val="3A3838"/>
          <w:spacing w:val="17"/>
          <w:w w:val="110"/>
        </w:rPr>
        <w:t> </w:t>
      </w:r>
      <w:r>
        <w:rPr>
          <w:color w:val="3A3838"/>
          <w:w w:val="110"/>
        </w:rPr>
        <w:t>stating</w:t>
      </w:r>
      <w:r>
        <w:rPr>
          <w:color w:val="3A3838"/>
          <w:spacing w:val="24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58"/>
          <w:w w:val="110"/>
        </w:rPr>
        <w:t> </w:t>
      </w:r>
      <w:r>
        <w:rPr>
          <w:color w:val="3A3838"/>
          <w:w w:val="110"/>
        </w:rPr>
        <w:t>rule</w:t>
      </w:r>
      <w:r>
        <w:rPr>
          <w:color w:val="3A3838"/>
          <w:spacing w:val="39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20"/>
          <w:w w:val="110"/>
        </w:rPr>
        <w:t> </w:t>
      </w:r>
      <w:r>
        <w:rPr>
          <w:color w:val="3A3838"/>
          <w:w w:val="110"/>
        </w:rPr>
        <w:t>governs</w:t>
      </w:r>
      <w:r>
        <w:rPr>
          <w:color w:val="3A3838"/>
          <w:spacing w:val="10"/>
          <w:w w:val="110"/>
        </w:rPr>
        <w:t> </w:t>
      </w:r>
      <w:r>
        <w:rPr>
          <w:color w:val="3A3838"/>
          <w:w w:val="110"/>
        </w:rPr>
        <w:t>the</w:t>
      </w:r>
    </w:p>
    <w:p>
      <w:pPr>
        <w:pStyle w:val="BodyText"/>
        <w:rPr>
          <w:sz w:val="26"/>
        </w:rPr>
      </w:pPr>
    </w:p>
    <w:p>
      <w:pPr>
        <w:spacing w:line="216" w:lineRule="auto" w:before="151"/>
        <w:ind w:left="665" w:right="0" w:firstLine="372"/>
        <w:jc w:val="left"/>
        <w:rPr>
          <w:sz w:val="17"/>
        </w:rPr>
      </w:pPr>
      <w:r>
        <w:rPr>
          <w:i/>
          <w:color w:val="3A3838"/>
          <w:w w:val="95"/>
          <w:sz w:val="18"/>
        </w:rPr>
        <w:t>'See</w:t>
      </w:r>
      <w:r>
        <w:rPr>
          <w:i/>
          <w:color w:val="5D5D5E"/>
          <w:w w:val="95"/>
          <w:sz w:val="18"/>
        </w:rPr>
        <w:t>,</w:t>
      </w:r>
      <w:r>
        <w:rPr>
          <w:i/>
          <w:color w:val="5D5D5E"/>
          <w:spacing w:val="1"/>
          <w:w w:val="95"/>
          <w:sz w:val="18"/>
        </w:rPr>
        <w:t> </w:t>
      </w:r>
      <w:r>
        <w:rPr>
          <w:rFonts w:ascii="Arial"/>
          <w:b/>
          <w:i/>
          <w:color w:val="3A3838"/>
          <w:w w:val="95"/>
          <w:sz w:val="16"/>
        </w:rPr>
        <w:t>e.g., </w:t>
      </w:r>
      <w:r>
        <w:rPr>
          <w:color w:val="3A3838"/>
          <w:w w:val="95"/>
          <w:sz w:val="18"/>
        </w:rPr>
        <w:t>Karen </w:t>
      </w:r>
      <w:r>
        <w:rPr>
          <w:color w:val="3A3838"/>
          <w:w w:val="95"/>
          <w:sz w:val="21"/>
        </w:rPr>
        <w:t>J. </w:t>
      </w:r>
      <w:r>
        <w:rPr>
          <w:color w:val="3A3838"/>
          <w:w w:val="95"/>
          <w:sz w:val="17"/>
        </w:rPr>
        <w:t>WJlllams, </w:t>
      </w:r>
      <w:r>
        <w:rPr>
          <w:i/>
          <w:color w:val="3A3838"/>
          <w:w w:val="95"/>
          <w:sz w:val="18"/>
        </w:rPr>
        <w:t>Help Us Help You: A</w:t>
      </w:r>
      <w:r>
        <w:rPr>
          <w:i/>
          <w:color w:val="3A3838"/>
          <w:spacing w:val="1"/>
          <w:w w:val="95"/>
          <w:sz w:val="18"/>
        </w:rPr>
        <w:t> </w:t>
      </w:r>
      <w:r>
        <w:rPr>
          <w:i/>
          <w:color w:val="3A3838"/>
          <w:w w:val="95"/>
          <w:sz w:val="18"/>
        </w:rPr>
        <w:t>Fourth Circuit Primer on</w:t>
      </w:r>
      <w:r>
        <w:rPr>
          <w:i/>
          <w:color w:val="3A3838"/>
          <w:spacing w:val="1"/>
          <w:w w:val="95"/>
          <w:sz w:val="18"/>
        </w:rPr>
        <w:t> </w:t>
      </w:r>
      <w:r>
        <w:rPr>
          <w:i/>
          <w:color w:val="3A3838"/>
          <w:w w:val="95"/>
          <w:sz w:val="18"/>
        </w:rPr>
        <w:t>Effective AppellateOral</w:t>
      </w:r>
      <w:r>
        <w:rPr>
          <w:i/>
          <w:color w:val="3A3838"/>
          <w:spacing w:val="1"/>
          <w:w w:val="95"/>
          <w:sz w:val="18"/>
        </w:rPr>
        <w:t> </w:t>
      </w:r>
      <w:r>
        <w:rPr>
          <w:i/>
          <w:color w:val="3A3838"/>
          <w:w w:val="105"/>
          <w:sz w:val="18"/>
        </w:rPr>
        <w:t>ArgumenlS,</w:t>
      </w:r>
      <w:r>
        <w:rPr>
          <w:i/>
          <w:color w:val="3A3838"/>
          <w:spacing w:val="-13"/>
          <w:w w:val="105"/>
          <w:sz w:val="18"/>
        </w:rPr>
        <w:t> </w:t>
      </w:r>
      <w:r>
        <w:rPr>
          <w:color w:val="3A3838"/>
          <w:w w:val="105"/>
          <w:sz w:val="18"/>
        </w:rPr>
        <w:t>50</w:t>
      </w:r>
      <w:r>
        <w:rPr>
          <w:color w:val="3A3838"/>
          <w:spacing w:val="9"/>
          <w:w w:val="105"/>
          <w:sz w:val="18"/>
        </w:rPr>
        <w:t> </w:t>
      </w:r>
      <w:r>
        <w:rPr>
          <w:color w:val="3A3838"/>
          <w:w w:val="105"/>
          <w:sz w:val="17"/>
        </w:rPr>
        <w:t>S.C. L.</w:t>
      </w:r>
      <w:r>
        <w:rPr>
          <w:color w:val="3A3838"/>
          <w:spacing w:val="-9"/>
          <w:w w:val="105"/>
          <w:sz w:val="17"/>
        </w:rPr>
        <w:t> </w:t>
      </w:r>
      <w:r>
        <w:rPr>
          <w:color w:val="3A3838"/>
          <w:w w:val="105"/>
          <w:sz w:val="17"/>
        </w:rPr>
        <w:t>Rev.</w:t>
      </w:r>
      <w:r>
        <w:rPr>
          <w:color w:val="3A3838"/>
          <w:spacing w:val="-11"/>
          <w:w w:val="105"/>
          <w:sz w:val="17"/>
        </w:rPr>
        <w:t> </w:t>
      </w:r>
      <w:r>
        <w:rPr>
          <w:color w:val="3A3838"/>
          <w:w w:val="105"/>
          <w:sz w:val="18"/>
        </w:rPr>
        <w:t>591,595</w:t>
      </w:r>
      <w:r>
        <w:rPr>
          <w:color w:val="3A3838"/>
          <w:spacing w:val="-11"/>
          <w:w w:val="105"/>
          <w:sz w:val="18"/>
        </w:rPr>
        <w:t> </w:t>
      </w:r>
      <w:r>
        <w:rPr>
          <w:color w:val="3A3838"/>
          <w:w w:val="105"/>
          <w:sz w:val="17"/>
        </w:rPr>
        <w:t>(1999).</w:t>
      </w:r>
    </w:p>
    <w:p>
      <w:pPr>
        <w:spacing w:line="183" w:lineRule="exact" w:before="0"/>
        <w:ind w:left="1053" w:right="0" w:firstLine="0"/>
        <w:jc w:val="left"/>
        <w:rPr>
          <w:i/>
          <w:sz w:val="16"/>
        </w:rPr>
      </w:pPr>
      <w:r>
        <w:rPr>
          <w:i/>
          <w:color w:val="3A3838"/>
          <w:sz w:val="16"/>
        </w:rPr>
        <w:t>i</w:t>
      </w:r>
      <w:r>
        <w:rPr>
          <w:i/>
          <w:color w:val="5D5D5E"/>
          <w:sz w:val="16"/>
        </w:rPr>
        <w:t>o</w:t>
      </w:r>
      <w:r>
        <w:rPr>
          <w:i/>
          <w:color w:val="3A3838"/>
          <w:sz w:val="16"/>
        </w:rPr>
        <w:t>1d</w:t>
      </w:r>
      <w:r>
        <w:rPr>
          <w:i/>
          <w:color w:val="5D5D5E"/>
          <w:sz w:val="16"/>
        </w:rPr>
        <w:t>.</w:t>
      </w:r>
    </w:p>
    <w:p>
      <w:pPr>
        <w:spacing w:line="205" w:lineRule="exact" w:before="9"/>
        <w:ind w:left="1042" w:right="0" w:firstLine="0"/>
        <w:jc w:val="left"/>
        <w:rPr>
          <w:i/>
          <w:sz w:val="18"/>
        </w:rPr>
      </w:pPr>
      <w:r>
        <w:rPr>
          <w:rFonts w:ascii="Arial"/>
          <w:color w:val="3A3838"/>
          <w:spacing w:val="-1"/>
          <w:position w:val="5"/>
          <w:sz w:val="9"/>
        </w:rPr>
        <w:t>11</w:t>
      </w:r>
      <w:r>
        <w:rPr>
          <w:rFonts w:ascii="Arial"/>
          <w:color w:val="3A3838"/>
          <w:spacing w:val="-1"/>
          <w:sz w:val="17"/>
        </w:rPr>
        <w:t>Judge</w:t>
      </w:r>
      <w:r>
        <w:rPr>
          <w:rFonts w:ascii="Arial"/>
          <w:color w:val="3A3838"/>
          <w:spacing w:val="-9"/>
          <w:sz w:val="17"/>
        </w:rPr>
        <w:t> </w:t>
      </w:r>
      <w:r>
        <w:rPr>
          <w:rFonts w:ascii="Arial"/>
          <w:color w:val="3A3838"/>
          <w:spacing w:val="-1"/>
          <w:sz w:val="17"/>
        </w:rPr>
        <w:t>David</w:t>
      </w:r>
      <w:r>
        <w:rPr>
          <w:rFonts w:ascii="Arial"/>
          <w:color w:val="3A3838"/>
          <w:spacing w:val="-19"/>
          <w:sz w:val="17"/>
        </w:rPr>
        <w:t> </w:t>
      </w:r>
      <w:r>
        <w:rPr>
          <w:rFonts w:ascii="Arial"/>
          <w:color w:val="3A3838"/>
          <w:spacing w:val="-1"/>
          <w:sz w:val="17"/>
        </w:rPr>
        <w:t>M.</w:t>
      </w:r>
      <w:r>
        <w:rPr>
          <w:rFonts w:ascii="Arial"/>
          <w:color w:val="3A3838"/>
          <w:spacing w:val="11"/>
          <w:sz w:val="17"/>
        </w:rPr>
        <w:t> </w:t>
      </w:r>
      <w:r>
        <w:rPr>
          <w:color w:val="3A3838"/>
          <w:spacing w:val="-1"/>
          <w:sz w:val="18"/>
        </w:rPr>
        <w:t>Gersten,</w:t>
      </w:r>
      <w:r>
        <w:rPr>
          <w:color w:val="3A3838"/>
          <w:spacing w:val="10"/>
          <w:sz w:val="18"/>
        </w:rPr>
        <w:t> </w:t>
      </w:r>
      <w:r>
        <w:rPr>
          <w:i/>
          <w:color w:val="3A3838"/>
          <w:spacing w:val="-1"/>
          <w:sz w:val="18"/>
        </w:rPr>
        <w:t>Effective</w:t>
      </w:r>
      <w:r>
        <w:rPr>
          <w:i/>
          <w:color w:val="3A3838"/>
          <w:spacing w:val="8"/>
          <w:sz w:val="18"/>
        </w:rPr>
        <w:t> </w:t>
      </w:r>
      <w:r>
        <w:rPr>
          <w:i/>
          <w:color w:val="3A3838"/>
          <w:spacing w:val="-1"/>
          <w:sz w:val="18"/>
        </w:rPr>
        <w:t>Brief</w:t>
      </w:r>
      <w:r>
        <w:rPr>
          <w:i/>
          <w:color w:val="3A3838"/>
          <w:spacing w:val="3"/>
          <w:sz w:val="18"/>
        </w:rPr>
        <w:t> </w:t>
      </w:r>
      <w:r>
        <w:rPr>
          <w:i/>
          <w:color w:val="3A3838"/>
          <w:spacing w:val="-1"/>
          <w:sz w:val="18"/>
        </w:rPr>
        <w:t>Writing</w:t>
      </w:r>
      <w:r>
        <w:rPr>
          <w:i/>
          <w:color w:val="3A3838"/>
          <w:spacing w:val="-2"/>
          <w:sz w:val="18"/>
        </w:rPr>
        <w:t> </w:t>
      </w:r>
      <w:r>
        <w:rPr>
          <w:rFonts w:ascii="Arial"/>
          <w:i/>
          <w:color w:val="3A3838"/>
          <w:spacing w:val="-1"/>
          <w:sz w:val="16"/>
        </w:rPr>
        <w:t>and</w:t>
      </w:r>
      <w:r>
        <w:rPr>
          <w:rFonts w:ascii="Arial"/>
          <w:i/>
          <w:color w:val="3A3838"/>
          <w:spacing w:val="-9"/>
          <w:sz w:val="16"/>
        </w:rPr>
        <w:t> </w:t>
      </w:r>
      <w:r>
        <w:rPr>
          <w:rFonts w:ascii="Arial"/>
          <w:i/>
          <w:color w:val="3A3838"/>
          <w:spacing w:val="-1"/>
          <w:sz w:val="16"/>
        </w:rPr>
        <w:t>Oral</w:t>
      </w:r>
      <w:r>
        <w:rPr>
          <w:rFonts w:ascii="Arial"/>
          <w:i/>
          <w:color w:val="3A3838"/>
          <w:spacing w:val="15"/>
          <w:sz w:val="16"/>
        </w:rPr>
        <w:t> </w:t>
      </w:r>
      <w:r>
        <w:rPr>
          <w:i/>
          <w:color w:val="3A3838"/>
          <w:sz w:val="18"/>
        </w:rPr>
        <w:t>Argument:</w:t>
      </w:r>
      <w:r>
        <w:rPr>
          <w:i/>
          <w:color w:val="3A3838"/>
          <w:spacing w:val="-13"/>
          <w:sz w:val="18"/>
        </w:rPr>
        <w:t> </w:t>
      </w:r>
      <w:r>
        <w:rPr>
          <w:rFonts w:ascii="Arial"/>
          <w:i/>
          <w:color w:val="3A3838"/>
          <w:sz w:val="16"/>
        </w:rPr>
        <w:t>Ga/11l11g</w:t>
      </w:r>
      <w:r>
        <w:rPr>
          <w:rFonts w:ascii="Arial"/>
          <w:i/>
          <w:color w:val="3A3838"/>
          <w:spacing w:val="17"/>
          <w:sz w:val="16"/>
        </w:rPr>
        <w:t> </w:t>
      </w:r>
      <w:r>
        <w:rPr>
          <w:i/>
          <w:color w:val="3A3838"/>
          <w:sz w:val="18"/>
        </w:rPr>
        <w:t>the</w:t>
      </w:r>
      <w:r>
        <w:rPr>
          <w:i/>
          <w:color w:val="3A3838"/>
          <w:spacing w:val="-20"/>
          <w:sz w:val="18"/>
        </w:rPr>
        <w:t> </w:t>
      </w:r>
      <w:r>
        <w:rPr>
          <w:rFonts w:ascii="Arial"/>
          <w:i/>
          <w:color w:val="3A3838"/>
          <w:sz w:val="16"/>
        </w:rPr>
        <w:t>l11slde</w:t>
      </w:r>
      <w:r>
        <w:rPr>
          <w:rFonts w:ascii="Arial"/>
          <w:i/>
          <w:color w:val="3A3838"/>
          <w:spacing w:val="-23"/>
          <w:sz w:val="16"/>
        </w:rPr>
        <w:t> </w:t>
      </w:r>
      <w:r>
        <w:rPr>
          <w:i/>
          <w:color w:val="3A3838"/>
          <w:sz w:val="18"/>
        </w:rPr>
        <w:t>'Itad:,</w:t>
      </w:r>
    </w:p>
    <w:p>
      <w:pPr>
        <w:spacing w:line="198" w:lineRule="exact" w:before="0"/>
        <w:ind w:left="636" w:right="0" w:firstLine="0"/>
        <w:jc w:val="left"/>
        <w:rPr>
          <w:sz w:val="17"/>
        </w:rPr>
      </w:pPr>
      <w:r>
        <w:rPr>
          <w:color w:val="3A3838"/>
          <w:w w:val="105"/>
          <w:sz w:val="17"/>
        </w:rPr>
        <w:t>81</w:t>
      </w:r>
      <w:r>
        <w:rPr>
          <w:color w:val="3A3838"/>
          <w:spacing w:val="17"/>
          <w:w w:val="105"/>
          <w:sz w:val="17"/>
        </w:rPr>
        <w:t> </w:t>
      </w:r>
      <w:r>
        <w:rPr>
          <w:color w:val="3A3838"/>
          <w:w w:val="105"/>
          <w:sz w:val="17"/>
        </w:rPr>
        <w:t>Fla.</w:t>
      </w:r>
      <w:r>
        <w:rPr>
          <w:color w:val="3A3838"/>
          <w:spacing w:val="-8"/>
          <w:w w:val="105"/>
          <w:sz w:val="17"/>
        </w:rPr>
        <w:t> </w:t>
      </w:r>
      <w:r>
        <w:rPr>
          <w:color w:val="3A3838"/>
          <w:w w:val="105"/>
          <w:sz w:val="17"/>
        </w:rPr>
        <w:t>B</w:t>
      </w:r>
      <w:r>
        <w:rPr>
          <w:color w:val="5D5D5E"/>
          <w:w w:val="105"/>
          <w:sz w:val="17"/>
        </w:rPr>
        <w:t>.</w:t>
      </w:r>
      <w:r>
        <w:rPr>
          <w:color w:val="3A3838"/>
          <w:w w:val="105"/>
          <w:sz w:val="17"/>
        </w:rPr>
        <w:t>J</w:t>
      </w:r>
      <w:r>
        <w:rPr>
          <w:color w:val="5D5D5E"/>
          <w:w w:val="105"/>
          <w:sz w:val="17"/>
        </w:rPr>
        <w:t>.</w:t>
      </w:r>
      <w:r>
        <w:rPr>
          <w:color w:val="5D5D5E"/>
          <w:spacing w:val="8"/>
          <w:w w:val="105"/>
          <w:sz w:val="17"/>
        </w:rPr>
        <w:t> </w:t>
      </w:r>
      <w:r>
        <w:rPr>
          <w:color w:val="3A3838"/>
          <w:w w:val="105"/>
          <w:sz w:val="17"/>
        </w:rPr>
        <w:t>26,</w:t>
      </w:r>
      <w:r>
        <w:rPr>
          <w:color w:val="3A3838"/>
          <w:spacing w:val="43"/>
          <w:w w:val="105"/>
          <w:sz w:val="17"/>
        </w:rPr>
        <w:t> </w:t>
      </w:r>
      <w:r>
        <w:rPr>
          <w:color w:val="3A3838"/>
          <w:w w:val="105"/>
          <w:sz w:val="17"/>
        </w:rPr>
        <w:t>29</w:t>
      </w:r>
      <w:r>
        <w:rPr>
          <w:color w:val="3A3838"/>
          <w:spacing w:val="24"/>
          <w:w w:val="105"/>
          <w:sz w:val="17"/>
        </w:rPr>
        <w:t> </w:t>
      </w:r>
      <w:r>
        <w:rPr>
          <w:color w:val="3A3838"/>
          <w:w w:val="105"/>
          <w:sz w:val="18"/>
        </w:rPr>
        <w:t>(Apr.</w:t>
      </w:r>
      <w:r>
        <w:rPr>
          <w:color w:val="3A3838"/>
          <w:spacing w:val="-7"/>
          <w:w w:val="105"/>
          <w:sz w:val="18"/>
        </w:rPr>
        <w:t> </w:t>
      </w:r>
      <w:r>
        <w:rPr>
          <w:color w:val="3A3838"/>
          <w:w w:val="105"/>
          <w:sz w:val="17"/>
        </w:rPr>
        <w:t>2007).</w:t>
      </w:r>
    </w:p>
    <w:p>
      <w:pPr>
        <w:spacing w:line="200" w:lineRule="exact" w:before="0"/>
        <w:ind w:left="1029" w:right="0" w:firstLine="0"/>
        <w:jc w:val="left"/>
        <w:rPr>
          <w:sz w:val="18"/>
        </w:rPr>
      </w:pPr>
      <w:r>
        <w:rPr>
          <w:color w:val="3A3838"/>
          <w:w w:val="110"/>
          <w:position w:val="5"/>
          <w:sz w:val="11"/>
        </w:rPr>
        <w:t>12</w:t>
      </w:r>
      <w:r>
        <w:rPr>
          <w:i/>
          <w:color w:val="3A3838"/>
          <w:w w:val="110"/>
          <w:sz w:val="18"/>
        </w:rPr>
        <w:t>See,</w:t>
      </w:r>
      <w:r>
        <w:rPr>
          <w:i/>
          <w:color w:val="3A3838"/>
          <w:spacing w:val="-23"/>
          <w:w w:val="110"/>
          <w:sz w:val="18"/>
        </w:rPr>
        <w:t> </w:t>
      </w:r>
      <w:r>
        <w:rPr>
          <w:i/>
          <w:color w:val="3A3838"/>
          <w:w w:val="110"/>
          <w:sz w:val="18"/>
        </w:rPr>
        <w:t>e.g</w:t>
      </w:r>
      <w:r>
        <w:rPr>
          <w:i/>
          <w:color w:val="5D5D5E"/>
          <w:w w:val="110"/>
          <w:sz w:val="18"/>
        </w:rPr>
        <w:t>.</w:t>
      </w:r>
      <w:r>
        <w:rPr>
          <w:i/>
          <w:color w:val="3A3838"/>
          <w:w w:val="110"/>
          <w:sz w:val="18"/>
        </w:rPr>
        <w:t>,</w:t>
      </w:r>
      <w:r>
        <w:rPr>
          <w:i/>
          <w:color w:val="3A3838"/>
          <w:spacing w:val="26"/>
          <w:w w:val="110"/>
          <w:sz w:val="18"/>
        </w:rPr>
        <w:t> </w:t>
      </w:r>
      <w:r>
        <w:rPr>
          <w:color w:val="3A3838"/>
          <w:w w:val="110"/>
          <w:sz w:val="17"/>
        </w:rPr>
        <w:t>Williams,</w:t>
      </w:r>
      <w:r>
        <w:rPr>
          <w:color w:val="3A3838"/>
          <w:spacing w:val="-9"/>
          <w:w w:val="110"/>
          <w:sz w:val="17"/>
        </w:rPr>
        <w:t> </w:t>
      </w:r>
      <w:r>
        <w:rPr>
          <w:rFonts w:ascii="Arial"/>
          <w:i/>
          <w:color w:val="3A3838"/>
          <w:w w:val="110"/>
          <w:sz w:val="16"/>
        </w:rPr>
        <w:t>supra</w:t>
      </w:r>
      <w:r>
        <w:rPr>
          <w:rFonts w:ascii="Arial"/>
          <w:i/>
          <w:color w:val="3A3838"/>
          <w:spacing w:val="-8"/>
          <w:w w:val="110"/>
          <w:sz w:val="16"/>
        </w:rPr>
        <w:t> </w:t>
      </w:r>
      <w:r>
        <w:rPr>
          <w:color w:val="3A3838"/>
          <w:w w:val="110"/>
          <w:sz w:val="18"/>
        </w:rPr>
        <w:t>note</w:t>
      </w:r>
      <w:r>
        <w:rPr>
          <w:color w:val="3A3838"/>
          <w:spacing w:val="-25"/>
          <w:w w:val="110"/>
          <w:sz w:val="18"/>
        </w:rPr>
        <w:t> </w:t>
      </w:r>
      <w:r>
        <w:rPr>
          <w:color w:val="3A3838"/>
          <w:w w:val="110"/>
          <w:sz w:val="18"/>
        </w:rPr>
        <w:t>9,</w:t>
      </w:r>
      <w:r>
        <w:rPr>
          <w:color w:val="3A3838"/>
          <w:spacing w:val="-7"/>
          <w:w w:val="110"/>
          <w:sz w:val="18"/>
        </w:rPr>
        <w:t> </w:t>
      </w:r>
      <w:r>
        <w:rPr>
          <w:color w:val="3A3838"/>
          <w:w w:val="110"/>
          <w:sz w:val="17"/>
        </w:rPr>
        <w:t>at</w:t>
      </w:r>
      <w:r>
        <w:rPr>
          <w:color w:val="3A3838"/>
          <w:spacing w:val="8"/>
          <w:w w:val="110"/>
          <w:sz w:val="17"/>
        </w:rPr>
        <w:t> </w:t>
      </w:r>
      <w:r>
        <w:rPr>
          <w:color w:val="3A3838"/>
          <w:w w:val="110"/>
          <w:sz w:val="18"/>
        </w:rPr>
        <w:t>594.</w:t>
      </w:r>
    </w:p>
    <w:p>
      <w:pPr>
        <w:spacing w:after="0" w:line="200" w:lineRule="exact"/>
        <w:jc w:val="left"/>
        <w:rPr>
          <w:sz w:val="18"/>
        </w:rPr>
        <w:sectPr>
          <w:headerReference w:type="even" r:id="rId326"/>
          <w:headerReference w:type="default" r:id="rId327"/>
          <w:pgSz w:w="9730" w:h="13990"/>
          <w:pgMar w:header="514" w:footer="0" w:top="1080" w:bottom="280" w:left="1340" w:right="20"/>
          <w:pgNumType w:start="29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32" w:lineRule="auto"/>
        <w:ind w:left="105" w:right="502" w:firstLine="1"/>
        <w:jc w:val="both"/>
      </w:pPr>
      <w:r>
        <w:rPr>
          <w:color w:val="383638"/>
          <w:w w:val="110"/>
        </w:rPr>
        <w:t>issue. </w:t>
      </w:r>
      <w:r>
        <w:rPr>
          <w:rFonts w:ascii="Arial" w:hAnsi="Arial"/>
          <w:color w:val="383638"/>
          <w:w w:val="110"/>
          <w:sz w:val="22"/>
        </w:rPr>
        <w:t>If </w:t>
      </w:r>
      <w:r>
        <w:rPr>
          <w:color w:val="383638"/>
          <w:w w:val="110"/>
        </w:rPr>
        <w:t>a case or statute is significant to your argument, you may men­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tion it, but  in oral argument, the rule is frequently more important than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citation to authority for that rule. On the other hand, you must be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thoroughly familiar with all of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relevant authorities so that you may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answer any questions about them</w:t>
      </w:r>
      <w:r>
        <w:rPr>
          <w:color w:val="545456"/>
          <w:w w:val="110"/>
        </w:rPr>
        <w:t>. </w:t>
      </w:r>
      <w:r>
        <w:rPr>
          <w:color w:val="383638"/>
          <w:w w:val="110"/>
        </w:rPr>
        <w:t>In addition, in some cases the relevant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authorities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become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an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important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part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1"/>
          <w:w w:val="110"/>
        </w:rPr>
        <w:t> </w:t>
      </w:r>
      <w:r>
        <w:rPr>
          <w:color w:val="383638"/>
          <w:w w:val="110"/>
        </w:rPr>
        <w:t>argument.</w:t>
      </w:r>
    </w:p>
    <w:p>
      <w:pPr>
        <w:pStyle w:val="BodyText"/>
        <w:spacing w:line="232" w:lineRule="auto" w:before="1"/>
        <w:ind w:left="101" w:right="479" w:firstLine="321"/>
        <w:jc w:val="both"/>
      </w:pPr>
      <w:r>
        <w:rPr>
          <w:color w:val="383638"/>
          <w:w w:val="110"/>
        </w:rPr>
        <w:t>Generally, the  explanation part of the  formula that was so important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 the brief may be all but eliminated in the oral argument. The judges</w:t>
      </w:r>
      <w:r>
        <w:rPr>
          <w:color w:val="545456"/>
          <w:w w:val="110"/>
        </w:rPr>
        <w:t>'</w:t>
      </w:r>
      <w:r>
        <w:rPr>
          <w:color w:val="545456"/>
          <w:spacing w:val="1"/>
          <w:w w:val="110"/>
        </w:rPr>
        <w:t> </w:t>
      </w:r>
      <w:r>
        <w:rPr>
          <w:color w:val="383638"/>
          <w:w w:val="110"/>
        </w:rPr>
        <w:t>eyes may glaze over during any lengthy recitation of authority case facts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and holdings unless it is given 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response to a specific question. How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much support you should give for the  rule varies from issue to issue</w:t>
      </w:r>
      <w:r>
        <w:rPr>
          <w:color w:val="545456"/>
          <w:w w:val="110"/>
        </w:rPr>
        <w:t>. </w:t>
      </w:r>
      <w:r>
        <w:rPr>
          <w:rFonts w:ascii="Arial"/>
          <w:color w:val="383638"/>
          <w:w w:val="110"/>
          <w:sz w:val="22"/>
        </w:rPr>
        <w:t>If</w:t>
      </w:r>
      <w:r>
        <w:rPr>
          <w:rFonts w:ascii="Arial"/>
          <w:color w:val="383638"/>
          <w:spacing w:val="1"/>
          <w:w w:val="110"/>
          <w:sz w:val="22"/>
        </w:rPr>
        <w:t> </w:t>
      </w:r>
      <w:r>
        <w:rPr>
          <w:color w:val="383638"/>
          <w:spacing w:val="-1"/>
          <w:w w:val="110"/>
        </w:rPr>
        <w:t>the meaning of a rule, or which </w:t>
      </w:r>
      <w:r>
        <w:rPr>
          <w:color w:val="383638"/>
          <w:w w:val="110"/>
        </w:rPr>
        <w:t>rule to apply, is at issue, you may need to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spend more time talking about </w:t>
      </w:r>
      <w:r>
        <w:rPr>
          <w:color w:val="383638"/>
          <w:w w:val="110"/>
        </w:rPr>
        <w:t>relevant authorities. In contrast, if you are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arguing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about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how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an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established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rule</w:t>
      </w:r>
      <w:r>
        <w:rPr>
          <w:color w:val="383638"/>
          <w:spacing w:val="-31"/>
          <w:w w:val="110"/>
        </w:rPr>
        <w:t> </w:t>
      </w:r>
      <w:r>
        <w:rPr>
          <w:color w:val="383638"/>
          <w:w w:val="110"/>
        </w:rPr>
        <w:t>applies</w:t>
      </w:r>
      <w:r>
        <w:rPr>
          <w:color w:val="383638"/>
          <w:spacing w:val="-23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the facts</w:t>
      </w:r>
      <w:r>
        <w:rPr>
          <w:color w:val="383638"/>
          <w:spacing w:val="-24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case,</w:t>
      </w:r>
      <w:r>
        <w:rPr>
          <w:color w:val="383638"/>
          <w:spacing w:val="-21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should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plan to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go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into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more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detail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about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client's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facts.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cour</w:t>
      </w:r>
      <w:r>
        <w:rPr>
          <w:color w:val="545456"/>
          <w:w w:val="110"/>
        </w:rPr>
        <w:t>s</w:t>
      </w:r>
      <w:r>
        <w:rPr>
          <w:color w:val="383638"/>
          <w:w w:val="110"/>
        </w:rPr>
        <w:t>e,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-60"/>
          <w:w w:val="110"/>
        </w:rPr>
        <w:t> </w:t>
      </w:r>
      <w:r>
        <w:rPr>
          <w:color w:val="383638"/>
          <w:w w:val="110"/>
        </w:rPr>
        <w:t>must still be prepared to discuss the relevant authorities if the court asks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 questions about those authorities or about how they might apply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hypothetical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situations.</w:t>
      </w:r>
    </w:p>
    <w:p>
      <w:pPr>
        <w:pStyle w:val="BodyText"/>
        <w:spacing w:line="232" w:lineRule="auto" w:before="12"/>
        <w:ind w:left="105" w:right="428" w:firstLine="334"/>
        <w:jc w:val="both"/>
      </w:pPr>
      <w:r>
        <w:rPr>
          <w:color w:val="383638"/>
          <w:w w:val="110"/>
        </w:rPr>
        <w:t>After you have stated the rule and supported it (if needed), apply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rule to  the  facts by naming the  particular facts that mandate the result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that you seek. Remember that the meaning of the word </w:t>
      </w:r>
      <w:r>
        <w:rPr>
          <w:i/>
          <w:color w:val="383638"/>
          <w:w w:val="110"/>
        </w:rPr>
        <w:t>facts </w:t>
      </w:r>
      <w:r>
        <w:rPr>
          <w:color w:val="383638"/>
          <w:w w:val="110"/>
        </w:rPr>
        <w:t>in this con­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text may vary from issue to issue. </w:t>
      </w:r>
      <w:r>
        <w:rPr>
          <w:color w:val="383638"/>
          <w:w w:val="110"/>
          <w:sz w:val="22"/>
        </w:rPr>
        <w:t>If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meaning of statutory language is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at issue, for example, the facts may consist of the words from the statute.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While the  explanation section of the  formula may be all but nonexistent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 an oral argument, do not skimp on the application of law to facts.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judges </w:t>
      </w:r>
      <w:r>
        <w:rPr>
          <w:color w:val="383638"/>
          <w:w w:val="110"/>
          <w:sz w:val="22"/>
        </w:rPr>
        <w:t>will </w:t>
      </w:r>
      <w:r>
        <w:rPr>
          <w:color w:val="383638"/>
          <w:w w:val="110"/>
        </w:rPr>
        <w:t>be particularly interested in why the facts of the case mandate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application of the rule in the manner that you suggest. Similarly, they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will benefit from a detailed discussion of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result that occurs when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rule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applied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facts.</w:t>
      </w:r>
    </w:p>
    <w:p>
      <w:pPr>
        <w:pStyle w:val="BodyText"/>
        <w:spacing w:line="230" w:lineRule="auto" w:before="11"/>
        <w:ind w:left="106" w:right="401" w:firstLine="342"/>
        <w:jc w:val="both"/>
      </w:pPr>
      <w:r>
        <w:rPr>
          <w:color w:val="383638"/>
          <w:w w:val="110"/>
        </w:rPr>
        <w:t>Although planning your argument is useful, realize that you</w:t>
      </w:r>
      <w:r>
        <w:rPr>
          <w:color w:val="383638"/>
          <w:w w:val="110"/>
          <w:sz w:val="22"/>
        </w:rPr>
        <w:t>will </w:t>
      </w:r>
      <w:r>
        <w:rPr>
          <w:color w:val="383638"/>
          <w:w w:val="110"/>
        </w:rPr>
        <w:t>rarely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be permitted to proceed through the argument of an entire point without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interruption.</w:t>
      </w:r>
      <w:r>
        <w:rPr>
          <w:color w:val="383638"/>
          <w:w w:val="110"/>
          <w:vertAlign w:val="superscript"/>
        </w:rPr>
        <w:t>13</w:t>
      </w:r>
      <w:r>
        <w:rPr>
          <w:color w:val="383638"/>
          <w:w w:val="110"/>
          <w:vertAlign w:val="baseline"/>
        </w:rPr>
        <w:t> Nonetheless, you should outline a full discussion of each of</w:t>
      </w:r>
      <w:r>
        <w:rPr>
          <w:color w:val="383638"/>
          <w:spacing w:val="-6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the points you plan to make during the argume.x;it. Doing so teaches you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more</w:t>
      </w:r>
      <w:r>
        <w:rPr>
          <w:color w:val="383638"/>
          <w:spacing w:val="-3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about</w:t>
      </w:r>
      <w:r>
        <w:rPr>
          <w:color w:val="383638"/>
          <w:spacing w:val="6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your</w:t>
      </w:r>
      <w:r>
        <w:rPr>
          <w:color w:val="383638"/>
          <w:spacing w:val="-13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case</w:t>
      </w:r>
      <w:r>
        <w:rPr>
          <w:color w:val="383638"/>
          <w:spacing w:val="-2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as</w:t>
      </w:r>
      <w:r>
        <w:rPr>
          <w:color w:val="383638"/>
          <w:spacing w:val="-9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you</w:t>
      </w:r>
      <w:r>
        <w:rPr>
          <w:color w:val="383638"/>
          <w:spacing w:val="17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prepare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to</w:t>
      </w:r>
      <w:r>
        <w:rPr>
          <w:color w:val="383638"/>
          <w:spacing w:val="23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face</w:t>
      </w:r>
      <w:r>
        <w:rPr>
          <w:color w:val="383638"/>
          <w:spacing w:val="-9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the</w:t>
      </w:r>
      <w:r>
        <w:rPr>
          <w:color w:val="383638"/>
          <w:spacing w:val="4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panel.</w:t>
      </w:r>
    </w:p>
    <w:p>
      <w:pPr>
        <w:pStyle w:val="BodyText"/>
        <w:spacing w:before="4"/>
        <w:rPr>
          <w:sz w:val="35"/>
        </w:rPr>
      </w:pPr>
    </w:p>
    <w:p>
      <w:pPr>
        <w:spacing w:before="0"/>
        <w:ind w:left="487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383638"/>
          <w:w w:val="110"/>
          <w:sz w:val="27"/>
        </w:rPr>
        <w:t>13.3.2</w:t>
      </w:r>
    </w:p>
    <w:p>
      <w:pPr>
        <w:spacing w:before="45"/>
        <w:ind w:left="478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383638"/>
          <w:w w:val="105"/>
          <w:sz w:val="22"/>
        </w:rPr>
        <w:t>GATHERING</w:t>
      </w:r>
      <w:r>
        <w:rPr>
          <w:rFonts w:ascii="Arial"/>
          <w:b/>
          <w:color w:val="383638"/>
          <w:spacing w:val="9"/>
          <w:w w:val="105"/>
          <w:sz w:val="22"/>
        </w:rPr>
        <w:t> </w:t>
      </w:r>
      <w:r>
        <w:rPr>
          <w:rFonts w:ascii="Arial"/>
          <w:b/>
          <w:color w:val="383638"/>
          <w:w w:val="105"/>
          <w:sz w:val="22"/>
        </w:rPr>
        <w:t>INFORMATION</w:t>
      </w:r>
    </w:p>
    <w:p>
      <w:pPr>
        <w:pStyle w:val="BodyText"/>
        <w:spacing w:line="230" w:lineRule="auto" w:before="142"/>
        <w:ind w:left="105" w:right="323" w:firstLine="362"/>
        <w:jc w:val="both"/>
      </w:pPr>
      <w:r>
        <w:rPr>
          <w:color w:val="383638"/>
          <w:w w:val="110"/>
        </w:rPr>
        <w:t>After 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have planned your argument, make sure that you know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case, the issues, and the relevant authorities well enough to answer the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court's questions. Although you should limit your prepared presentation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-10"/>
          <w:w w:val="115"/>
        </w:rPr>
        <w:t> </w:t>
      </w:r>
      <w:r>
        <w:rPr>
          <w:color w:val="383638"/>
          <w:w w:val="115"/>
        </w:rPr>
        <w:t>only</w:t>
      </w:r>
      <w:r>
        <w:rPr>
          <w:color w:val="383638"/>
          <w:spacing w:val="2"/>
          <w:w w:val="115"/>
        </w:rPr>
        <w:t> </w:t>
      </w:r>
      <w:r>
        <w:rPr>
          <w:color w:val="383638"/>
          <w:w w:val="115"/>
        </w:rPr>
        <w:t>two</w:t>
      </w:r>
      <w:r>
        <w:rPr>
          <w:color w:val="383638"/>
          <w:spacing w:val="5"/>
          <w:w w:val="115"/>
        </w:rPr>
        <w:t> </w:t>
      </w:r>
      <w:r>
        <w:rPr>
          <w:color w:val="383638"/>
          <w:w w:val="115"/>
        </w:rPr>
        <w:t>or</w:t>
      </w:r>
      <w:r>
        <w:rPr>
          <w:color w:val="383638"/>
          <w:spacing w:val="8"/>
          <w:w w:val="115"/>
        </w:rPr>
        <w:t> </w:t>
      </w:r>
      <w:r>
        <w:rPr>
          <w:color w:val="383638"/>
          <w:w w:val="115"/>
        </w:rPr>
        <w:t>three</w:t>
      </w:r>
      <w:r>
        <w:rPr>
          <w:color w:val="383638"/>
          <w:spacing w:val="10"/>
          <w:w w:val="115"/>
        </w:rPr>
        <w:t> </w:t>
      </w:r>
      <w:r>
        <w:rPr>
          <w:color w:val="383638"/>
          <w:w w:val="115"/>
        </w:rPr>
        <w:t>points,</w:t>
      </w:r>
      <w:r>
        <w:rPr>
          <w:color w:val="383638"/>
          <w:spacing w:val="13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19"/>
          <w:w w:val="115"/>
        </w:rPr>
        <w:t> </w:t>
      </w:r>
      <w:r>
        <w:rPr>
          <w:color w:val="383638"/>
          <w:w w:val="115"/>
        </w:rPr>
        <w:t>court</w:t>
      </w:r>
      <w:r>
        <w:rPr>
          <w:color w:val="383638"/>
          <w:spacing w:val="13"/>
          <w:w w:val="115"/>
        </w:rPr>
        <w:t> </w:t>
      </w:r>
      <w:r>
        <w:rPr>
          <w:color w:val="383638"/>
          <w:w w:val="115"/>
        </w:rPr>
        <w:t>will</w:t>
      </w:r>
      <w:r>
        <w:rPr>
          <w:color w:val="383638"/>
          <w:spacing w:val="10"/>
          <w:w w:val="115"/>
        </w:rPr>
        <w:t> </w:t>
      </w:r>
      <w:r>
        <w:rPr>
          <w:color w:val="383638"/>
          <w:w w:val="115"/>
        </w:rPr>
        <w:t>probably</w:t>
      </w:r>
      <w:r>
        <w:rPr>
          <w:color w:val="383638"/>
          <w:spacing w:val="13"/>
          <w:w w:val="115"/>
        </w:rPr>
        <w:t> </w:t>
      </w:r>
      <w:r>
        <w:rPr>
          <w:color w:val="383638"/>
          <w:w w:val="115"/>
        </w:rPr>
        <w:t>ask</w:t>
      </w:r>
      <w:r>
        <w:rPr>
          <w:color w:val="383638"/>
          <w:spacing w:val="4"/>
          <w:w w:val="115"/>
        </w:rPr>
        <w:t> </w:t>
      </w:r>
      <w:r>
        <w:rPr>
          <w:color w:val="383638"/>
          <w:w w:val="115"/>
        </w:rPr>
        <w:t>you</w:t>
      </w:r>
      <w:r>
        <w:rPr>
          <w:color w:val="383638"/>
          <w:spacing w:val="22"/>
          <w:w w:val="115"/>
        </w:rPr>
        <w:t> </w:t>
      </w:r>
      <w:r>
        <w:rPr>
          <w:color w:val="383638"/>
          <w:w w:val="115"/>
        </w:rPr>
        <w:t>about</w:t>
      </w:r>
      <w:r>
        <w:rPr>
          <w:color w:val="383638"/>
          <w:spacing w:val="9"/>
          <w:w w:val="115"/>
        </w:rPr>
        <w:t> </w:t>
      </w:r>
      <w:r>
        <w:rPr>
          <w:color w:val="383638"/>
          <w:w w:val="115"/>
        </w:rPr>
        <w:t>other</w:t>
      </w:r>
    </w:p>
    <w:p>
      <w:pPr>
        <w:pStyle w:val="BodyText"/>
        <w:spacing w:before="4"/>
        <w:rPr>
          <w:sz w:val="36"/>
        </w:rPr>
      </w:pPr>
    </w:p>
    <w:p>
      <w:pPr>
        <w:spacing w:before="1"/>
        <w:ind w:left="469" w:right="0" w:firstLine="0"/>
        <w:jc w:val="left"/>
        <w:rPr>
          <w:sz w:val="18"/>
        </w:rPr>
      </w:pPr>
      <w:r>
        <w:rPr>
          <w:rFonts w:ascii="Arial"/>
          <w:color w:val="383638"/>
          <w:spacing w:val="-1"/>
          <w:w w:val="120"/>
          <w:position w:val="5"/>
          <w:sz w:val="9"/>
        </w:rPr>
        <w:t>1</w:t>
      </w:r>
      <w:r>
        <w:rPr>
          <w:rFonts w:ascii="Arial"/>
          <w:color w:val="383638"/>
          <w:spacing w:val="3"/>
          <w:w w:val="120"/>
          <w:position w:val="5"/>
          <w:sz w:val="9"/>
        </w:rPr>
        <w:t>3</w:t>
      </w:r>
      <w:r>
        <w:rPr>
          <w:i/>
          <w:color w:val="383638"/>
          <w:w w:val="86"/>
          <w:sz w:val="19"/>
        </w:rPr>
        <w:t>Se</w:t>
      </w:r>
      <w:r>
        <w:rPr>
          <w:i/>
          <w:color w:val="545456"/>
          <w:w w:val="86"/>
          <w:sz w:val="19"/>
        </w:rPr>
        <w:t>e</w:t>
      </w:r>
      <w:r>
        <w:rPr>
          <w:i/>
          <w:color w:val="383638"/>
          <w:w w:val="86"/>
          <w:sz w:val="19"/>
        </w:rPr>
        <w:t>,</w:t>
      </w:r>
      <w:r>
        <w:rPr>
          <w:i/>
          <w:color w:val="383638"/>
          <w:spacing w:val="6"/>
          <w:sz w:val="19"/>
        </w:rPr>
        <w:t> </w:t>
      </w:r>
      <w:r>
        <w:rPr>
          <w:i/>
          <w:color w:val="383638"/>
          <w:w w:val="90"/>
          <w:sz w:val="19"/>
        </w:rPr>
        <w:t>e</w:t>
      </w:r>
      <w:r>
        <w:rPr>
          <w:i/>
          <w:color w:val="545456"/>
          <w:w w:val="90"/>
          <w:sz w:val="19"/>
        </w:rPr>
        <w:t>.</w:t>
      </w:r>
      <w:r>
        <w:rPr>
          <w:i/>
          <w:color w:val="383638"/>
          <w:w w:val="90"/>
          <w:sz w:val="19"/>
        </w:rPr>
        <w:t>g.</w:t>
      </w:r>
      <w:r>
        <w:rPr>
          <w:i/>
          <w:color w:val="545456"/>
          <w:w w:val="90"/>
          <w:sz w:val="19"/>
        </w:rPr>
        <w:t>,</w:t>
      </w:r>
      <w:r>
        <w:rPr>
          <w:i/>
          <w:color w:val="545456"/>
          <w:spacing w:val="2"/>
          <w:sz w:val="19"/>
        </w:rPr>
        <w:t> </w:t>
      </w:r>
      <w:r>
        <w:rPr>
          <w:i/>
          <w:color w:val="383638"/>
          <w:spacing w:val="-1"/>
          <w:w w:val="110"/>
          <w:sz w:val="19"/>
        </w:rPr>
        <w:t>id</w:t>
      </w:r>
      <w:r>
        <w:rPr>
          <w:i/>
          <w:color w:val="383638"/>
          <w:w w:val="110"/>
          <w:sz w:val="19"/>
        </w:rPr>
        <w:t>.</w:t>
      </w:r>
      <w:r>
        <w:rPr>
          <w:i/>
          <w:color w:val="383638"/>
          <w:spacing w:val="-28"/>
          <w:sz w:val="19"/>
        </w:rPr>
        <w:t> </w:t>
      </w:r>
      <w:r>
        <w:rPr>
          <w:color w:val="383638"/>
          <w:spacing w:val="-1"/>
          <w:w w:val="110"/>
          <w:sz w:val="17"/>
        </w:rPr>
        <w:t>a</w:t>
      </w:r>
      <w:r>
        <w:rPr>
          <w:color w:val="383638"/>
          <w:w w:val="110"/>
          <w:sz w:val="17"/>
        </w:rPr>
        <w:t>t</w:t>
      </w:r>
      <w:r>
        <w:rPr>
          <w:color w:val="383638"/>
          <w:sz w:val="17"/>
        </w:rPr>
        <w:t> </w:t>
      </w:r>
      <w:r>
        <w:rPr>
          <w:color w:val="383638"/>
          <w:spacing w:val="-21"/>
          <w:sz w:val="17"/>
        </w:rPr>
        <w:t> </w:t>
      </w:r>
      <w:r>
        <w:rPr>
          <w:color w:val="383638"/>
          <w:w w:val="108"/>
          <w:sz w:val="18"/>
        </w:rPr>
        <w:t>598</w:t>
      </w:r>
      <w:r>
        <w:rPr>
          <w:color w:val="545456"/>
          <w:w w:val="108"/>
          <w:sz w:val="18"/>
        </w:rPr>
        <w:t>.</w:t>
      </w:r>
    </w:p>
    <w:p>
      <w:pPr>
        <w:spacing w:after="0"/>
        <w:jc w:val="left"/>
        <w:rPr>
          <w:sz w:val="18"/>
        </w:rPr>
        <w:sectPr>
          <w:pgSz w:w="9780" w:h="13990"/>
          <w:pgMar w:header="617" w:footer="0" w:top="800" w:bottom="280" w:left="340" w:right="1360"/>
        </w:sectPr>
      </w:pPr>
    </w:p>
    <w:p>
      <w:pPr>
        <w:pStyle w:val="BodyText"/>
        <w:spacing w:line="244" w:lineRule="auto" w:before="81"/>
        <w:ind w:left="932" w:right="117" w:hanging="5"/>
        <w:jc w:val="both"/>
      </w:pPr>
      <w:r>
        <w:rPr>
          <w:color w:val="3A3838"/>
          <w:w w:val="110"/>
        </w:rPr>
        <w:t>issues. You must be prepared for all relevant-and some irrelevant-ques­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5"/>
        </w:rPr>
        <w:t>tions</w:t>
      </w:r>
      <w:r>
        <w:rPr>
          <w:color w:val="3A3838"/>
          <w:spacing w:val="-21"/>
          <w:w w:val="115"/>
        </w:rPr>
        <w:t> </w:t>
      </w:r>
      <w:r>
        <w:rPr>
          <w:color w:val="3A3838"/>
          <w:w w:val="115"/>
        </w:rPr>
        <w:t>from</w:t>
      </w:r>
      <w:r>
        <w:rPr>
          <w:color w:val="3A3838"/>
          <w:spacing w:val="5"/>
          <w:w w:val="115"/>
        </w:rPr>
        <w:t> </w:t>
      </w:r>
      <w:r>
        <w:rPr>
          <w:color w:val="3A3838"/>
          <w:w w:val="115"/>
        </w:rPr>
        <w:t>the</w:t>
      </w:r>
      <w:r>
        <w:rPr>
          <w:color w:val="3A3838"/>
          <w:spacing w:val="12"/>
          <w:w w:val="115"/>
        </w:rPr>
        <w:t> </w:t>
      </w:r>
      <w:r>
        <w:rPr>
          <w:color w:val="3A3838"/>
          <w:w w:val="115"/>
        </w:rPr>
        <w:t>bench.</w:t>
      </w:r>
    </w:p>
    <w:p>
      <w:pPr>
        <w:pStyle w:val="BodyText"/>
        <w:spacing w:line="233" w:lineRule="exact"/>
        <w:ind w:left="1306"/>
        <w:jc w:val="both"/>
      </w:pPr>
      <w:r>
        <w:rPr>
          <w:color w:val="3A3838"/>
          <w:w w:val="110"/>
        </w:rPr>
        <w:t>First,</w:t>
      </w:r>
      <w:r>
        <w:rPr>
          <w:color w:val="3A3838"/>
          <w:spacing w:val="29"/>
          <w:w w:val="110"/>
        </w:rPr>
        <w:t> </w:t>
      </w:r>
      <w:r>
        <w:rPr>
          <w:color w:val="3A3838"/>
          <w:w w:val="110"/>
        </w:rPr>
        <w:t>renew</w:t>
      </w:r>
      <w:r>
        <w:rPr>
          <w:color w:val="3A3838"/>
          <w:spacing w:val="15"/>
          <w:w w:val="110"/>
        </w:rPr>
        <w:t> </w:t>
      </w:r>
      <w:r>
        <w:rPr>
          <w:color w:val="3A3838"/>
          <w:w w:val="110"/>
        </w:rPr>
        <w:t>your</w:t>
      </w:r>
      <w:r>
        <w:rPr>
          <w:color w:val="3A3838"/>
          <w:spacing w:val="18"/>
          <w:w w:val="110"/>
        </w:rPr>
        <w:t> </w:t>
      </w:r>
      <w:r>
        <w:rPr>
          <w:color w:val="3A3838"/>
          <w:w w:val="110"/>
        </w:rPr>
        <w:t>acquaintance</w:t>
      </w:r>
      <w:r>
        <w:rPr>
          <w:color w:val="3A3838"/>
          <w:spacing w:val="28"/>
          <w:w w:val="110"/>
        </w:rPr>
        <w:t> </w:t>
      </w:r>
      <w:r>
        <w:rPr>
          <w:color w:val="3A3838"/>
          <w:w w:val="110"/>
        </w:rPr>
        <w:t>with</w:t>
      </w:r>
      <w:r>
        <w:rPr>
          <w:color w:val="3A3838"/>
          <w:spacing w:val="22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30"/>
          <w:w w:val="110"/>
        </w:rPr>
        <w:t> </w:t>
      </w:r>
      <w:r>
        <w:rPr>
          <w:color w:val="3A3838"/>
          <w:w w:val="110"/>
        </w:rPr>
        <w:t>facts</w:t>
      </w:r>
      <w:r>
        <w:rPr>
          <w:color w:val="3A3838"/>
          <w:spacing w:val="7"/>
          <w:w w:val="110"/>
        </w:rPr>
        <w:t> </w:t>
      </w:r>
      <w:r>
        <w:rPr>
          <w:color w:val="3A3838"/>
          <w:w w:val="110"/>
        </w:rPr>
        <w:t>and</w:t>
      </w:r>
      <w:r>
        <w:rPr>
          <w:color w:val="3A3838"/>
          <w:spacing w:val="50"/>
          <w:w w:val="110"/>
        </w:rPr>
        <w:t> </w:t>
      </w:r>
      <w:r>
        <w:rPr>
          <w:color w:val="3A3838"/>
          <w:w w:val="110"/>
        </w:rPr>
        <w:t>procedure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14"/>
          <w:w w:val="110"/>
        </w:rPr>
        <w:t> </w:t>
      </w:r>
      <w:r>
        <w:rPr>
          <w:color w:val="3A3838"/>
          <w:w w:val="110"/>
        </w:rPr>
        <w:t>the</w:t>
      </w:r>
    </w:p>
    <w:p>
      <w:pPr>
        <w:pStyle w:val="BodyText"/>
        <w:spacing w:line="230" w:lineRule="auto" w:before="6"/>
        <w:ind w:left="896" w:right="108" w:firstLine="19"/>
        <w:jc w:val="both"/>
      </w:pPr>
      <w:r>
        <w:rPr>
          <w:color w:val="3A3838"/>
          <w:w w:val="105"/>
        </w:rPr>
        <w:t>case. You should be able to answer  the  court's questions about the details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of any  relevant facts and  be able to tell the court where in the complaint,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record, the decisions below, or the  joint appendix certain facts have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been recorded. Make sure that you understand all of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details surround­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ing </w:t>
      </w:r>
      <w:r>
        <w:rPr>
          <w:color w:val="3A3838"/>
          <w:spacing w:val="7"/>
          <w:w w:val="105"/>
        </w:rPr>
        <w:t> </w:t>
      </w:r>
      <w:r>
        <w:rPr>
          <w:color w:val="3A3838"/>
          <w:w w:val="105"/>
        </w:rPr>
        <w:t>the </w:t>
      </w:r>
      <w:r>
        <w:rPr>
          <w:color w:val="3A3838"/>
          <w:spacing w:val="12"/>
          <w:w w:val="105"/>
        </w:rPr>
        <w:t> </w:t>
      </w:r>
      <w:r>
        <w:rPr>
          <w:color w:val="3A3838"/>
          <w:w w:val="105"/>
        </w:rPr>
        <w:t>legally</w:t>
      </w:r>
      <w:r>
        <w:rPr>
          <w:color w:val="3A3838"/>
          <w:spacing w:val="-2"/>
          <w:w w:val="105"/>
        </w:rPr>
        <w:t> </w:t>
      </w:r>
      <w:r>
        <w:rPr>
          <w:color w:val="3A3838"/>
          <w:w w:val="105"/>
        </w:rPr>
        <w:t>significant</w:t>
      </w:r>
      <w:r>
        <w:rPr>
          <w:color w:val="3A3838"/>
          <w:spacing w:val="18"/>
          <w:w w:val="105"/>
        </w:rPr>
        <w:t> </w:t>
      </w:r>
      <w:r>
        <w:rPr>
          <w:color w:val="3A3838"/>
          <w:w w:val="105"/>
        </w:rPr>
        <w:t>facts;</w:t>
      </w:r>
      <w:r>
        <w:rPr>
          <w:color w:val="3A3838"/>
          <w:spacing w:val="8"/>
          <w:w w:val="105"/>
        </w:rPr>
        <w:t> </w:t>
      </w:r>
      <w:r>
        <w:rPr>
          <w:color w:val="3A3838"/>
          <w:w w:val="105"/>
        </w:rPr>
        <w:t>very</w:t>
      </w:r>
      <w:r>
        <w:rPr>
          <w:color w:val="3A3838"/>
          <w:spacing w:val="-5"/>
          <w:w w:val="105"/>
        </w:rPr>
        <w:t> </w:t>
      </w:r>
      <w:r>
        <w:rPr>
          <w:color w:val="3A3838"/>
          <w:w w:val="105"/>
        </w:rPr>
        <w:t>often,</w:t>
      </w:r>
      <w:r>
        <w:rPr>
          <w:color w:val="3A3838"/>
          <w:spacing w:val="18"/>
          <w:w w:val="105"/>
        </w:rPr>
        <w:t> </w:t>
      </w:r>
      <w:r>
        <w:rPr>
          <w:color w:val="3A3838"/>
          <w:w w:val="105"/>
        </w:rPr>
        <w:t>these</w:t>
      </w:r>
      <w:r>
        <w:rPr>
          <w:color w:val="3A3838"/>
          <w:spacing w:val="9"/>
          <w:w w:val="105"/>
        </w:rPr>
        <w:t> </w:t>
      </w:r>
      <w:r>
        <w:rPr>
          <w:color w:val="3A3838"/>
          <w:w w:val="105"/>
        </w:rPr>
        <w:t>factual</w:t>
      </w:r>
      <w:r>
        <w:rPr>
          <w:color w:val="3A3838"/>
          <w:spacing w:val="15"/>
          <w:w w:val="105"/>
        </w:rPr>
        <w:t> </w:t>
      </w:r>
      <w:r>
        <w:rPr>
          <w:color w:val="3A3838"/>
          <w:w w:val="105"/>
        </w:rPr>
        <w:t>details</w:t>
      </w:r>
      <w:r>
        <w:rPr>
          <w:color w:val="3A3838"/>
          <w:spacing w:val="-4"/>
          <w:w w:val="105"/>
        </w:rPr>
        <w:t> </w:t>
      </w:r>
      <w:r>
        <w:rPr>
          <w:color w:val="3A3838"/>
          <w:w w:val="105"/>
        </w:rPr>
        <w:t>can</w:t>
      </w:r>
      <w:r>
        <w:rPr>
          <w:color w:val="3A3838"/>
          <w:spacing w:val="-4"/>
          <w:w w:val="105"/>
        </w:rPr>
        <w:t> </w:t>
      </w:r>
      <w:r>
        <w:rPr>
          <w:color w:val="3A3838"/>
          <w:w w:val="105"/>
        </w:rPr>
        <w:t>make</w:t>
      </w:r>
      <w:r>
        <w:rPr>
          <w:color w:val="3A3838"/>
          <w:spacing w:val="1"/>
          <w:w w:val="105"/>
        </w:rPr>
        <w:t> </w:t>
      </w:r>
      <w:r>
        <w:rPr>
          <w:color w:val="3A3838"/>
          <w:spacing w:val="-1"/>
          <w:w w:val="105"/>
        </w:rPr>
        <w:t>a legal difference. In </w:t>
      </w:r>
      <w:r>
        <w:rPr>
          <w:i/>
          <w:color w:val="3A3838"/>
          <w:spacing w:val="-1"/>
          <w:w w:val="105"/>
          <w:sz w:val="24"/>
        </w:rPr>
        <w:t>Bentsen </w:t>
      </w:r>
      <w:r>
        <w:rPr>
          <w:color w:val="3A3838"/>
          <w:spacing w:val="-1"/>
          <w:w w:val="105"/>
        </w:rPr>
        <w:t>v. </w:t>
      </w:r>
      <w:r>
        <w:rPr>
          <w:i/>
          <w:color w:val="3A3838"/>
          <w:spacing w:val="-1"/>
          <w:w w:val="105"/>
          <w:sz w:val="24"/>
        </w:rPr>
        <w:t>Coors, </w:t>
      </w:r>
      <w:r>
        <w:rPr>
          <w:color w:val="3A3838"/>
          <w:spacing w:val="-1"/>
          <w:w w:val="105"/>
        </w:rPr>
        <w:t>for example, counsel for </w:t>
      </w:r>
      <w:r>
        <w:rPr>
          <w:color w:val="3A3838"/>
          <w:w w:val="105"/>
        </w:rPr>
        <w:t>the </w:t>
      </w:r>
      <w:r>
        <w:rPr>
          <w:color w:val="3A3838"/>
          <w:w w:val="105"/>
          <w:sz w:val="21"/>
        </w:rPr>
        <w:t>Coors</w:t>
      </w:r>
      <w:r>
        <w:rPr>
          <w:color w:val="3A3838"/>
          <w:spacing w:val="1"/>
          <w:w w:val="105"/>
          <w:sz w:val="21"/>
        </w:rPr>
        <w:t> </w:t>
      </w:r>
      <w:r>
        <w:rPr>
          <w:color w:val="3A3838"/>
          <w:spacing w:val="-1"/>
          <w:w w:val="110"/>
        </w:rPr>
        <w:t>Brewing</w:t>
      </w:r>
      <w:r>
        <w:rPr>
          <w:color w:val="3A3838"/>
          <w:spacing w:val="-9"/>
          <w:w w:val="110"/>
        </w:rPr>
        <w:t> </w:t>
      </w:r>
      <w:r>
        <w:rPr>
          <w:color w:val="3A3838"/>
          <w:spacing w:val="-1"/>
          <w:w w:val="110"/>
        </w:rPr>
        <w:t>Company spent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bit</w:t>
      </w:r>
      <w:r>
        <w:rPr>
          <w:color w:val="3A3838"/>
          <w:spacing w:val="-16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3"/>
          <w:w w:val="110"/>
        </w:rPr>
        <w:t> </w:t>
      </w:r>
      <w:r>
        <w:rPr>
          <w:color w:val="3A3838"/>
          <w:w w:val="110"/>
        </w:rPr>
        <w:t>time</w:t>
      </w:r>
      <w:r>
        <w:rPr>
          <w:color w:val="3A3838"/>
          <w:spacing w:val="-24"/>
          <w:w w:val="110"/>
        </w:rPr>
        <w:t> </w:t>
      </w:r>
      <w:r>
        <w:rPr>
          <w:color w:val="3A3838"/>
          <w:w w:val="110"/>
        </w:rPr>
        <w:t>at</w:t>
      </w:r>
      <w:r>
        <w:rPr>
          <w:color w:val="3A3838"/>
          <w:spacing w:val="3"/>
          <w:w w:val="110"/>
        </w:rPr>
        <w:t> </w:t>
      </w:r>
      <w:r>
        <w:rPr>
          <w:color w:val="3A3838"/>
          <w:w w:val="110"/>
        </w:rPr>
        <w:t>oral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argument</w:t>
      </w:r>
      <w:r>
        <w:rPr>
          <w:color w:val="3A3838"/>
          <w:spacing w:val="-5"/>
          <w:w w:val="110"/>
        </w:rPr>
        <w:t> </w:t>
      </w:r>
      <w:r>
        <w:rPr>
          <w:color w:val="3A3838"/>
          <w:w w:val="110"/>
        </w:rPr>
        <w:t>discussing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-24"/>
          <w:w w:val="110"/>
        </w:rPr>
        <w:t> </w:t>
      </w:r>
      <w:r>
        <w:rPr>
          <w:color w:val="3A3838"/>
          <w:w w:val="110"/>
        </w:rPr>
        <w:t>dif.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05"/>
        </w:rPr>
        <w:t>ference between beer and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ale.</w:t>
      </w:r>
      <w:r>
        <w:rPr>
          <w:rFonts w:ascii="Arial" w:hAnsi="Arial"/>
          <w:color w:val="3A3838"/>
          <w:w w:val="105"/>
          <w:vertAlign w:val="superscript"/>
        </w:rPr>
        <w:t>14</w:t>
      </w:r>
      <w:r>
        <w:rPr>
          <w:rFonts w:ascii="Arial" w:hAnsi="Arial"/>
          <w:color w:val="3A3838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Judge Wald has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w w:val="105"/>
          <w:vertAlign w:val="baseline"/>
        </w:rPr>
        <w:t>remarked that counsel's</w:t>
      </w:r>
      <w:r>
        <w:rPr>
          <w:color w:val="3A3838"/>
          <w:spacing w:val="1"/>
          <w:w w:val="105"/>
          <w:vertAlign w:val="baseline"/>
        </w:rPr>
        <w:t> </w:t>
      </w:r>
      <w:r>
        <w:rPr>
          <w:color w:val="3A3838"/>
          <w:spacing w:val="-1"/>
          <w:w w:val="110"/>
          <w:vertAlign w:val="baseline"/>
        </w:rPr>
        <w:t>familiarity with</w:t>
      </w:r>
      <w:r>
        <w:rPr>
          <w:color w:val="3A3838"/>
          <w:spacing w:val="-4"/>
          <w:w w:val="110"/>
          <w:vertAlign w:val="baseline"/>
        </w:rPr>
        <w:t> </w:t>
      </w:r>
      <w:r>
        <w:rPr>
          <w:color w:val="3A3838"/>
          <w:spacing w:val="-1"/>
          <w:w w:val="110"/>
          <w:vertAlign w:val="baseline"/>
        </w:rPr>
        <w:t>the</w:t>
      </w:r>
      <w:r>
        <w:rPr>
          <w:color w:val="3A3838"/>
          <w:spacing w:val="17"/>
          <w:w w:val="110"/>
          <w:vertAlign w:val="baseline"/>
        </w:rPr>
        <w:t> </w:t>
      </w:r>
      <w:r>
        <w:rPr>
          <w:color w:val="3A3838"/>
          <w:spacing w:val="-1"/>
          <w:w w:val="110"/>
          <w:vertAlign w:val="baseline"/>
        </w:rPr>
        <w:t>record</w:t>
      </w:r>
      <w:r>
        <w:rPr>
          <w:color w:val="3A3838"/>
          <w:spacing w:val="-9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can</w:t>
      </w:r>
      <w:r>
        <w:rPr>
          <w:color w:val="3A3838"/>
          <w:spacing w:val="20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play</w:t>
      </w:r>
      <w:r>
        <w:rPr>
          <w:color w:val="3A3838"/>
          <w:spacing w:val="-16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</w:t>
      </w:r>
      <w:r>
        <w:rPr>
          <w:color w:val="3A3838"/>
          <w:spacing w:val="-5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crucial</w:t>
      </w:r>
      <w:r>
        <w:rPr>
          <w:color w:val="3A3838"/>
          <w:spacing w:val="9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role</w:t>
      </w:r>
      <w:r>
        <w:rPr>
          <w:color w:val="3A3838"/>
          <w:spacing w:val="-15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in</w:t>
      </w:r>
      <w:r>
        <w:rPr>
          <w:color w:val="3A3838"/>
          <w:spacing w:val="12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the</w:t>
      </w:r>
      <w:r>
        <w:rPr>
          <w:color w:val="3A3838"/>
          <w:spacing w:val="23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argument:</w:t>
      </w:r>
    </w:p>
    <w:p>
      <w:pPr>
        <w:spacing w:line="235" w:lineRule="auto" w:before="143"/>
        <w:ind w:left="1241" w:right="424" w:firstLine="14"/>
        <w:jc w:val="both"/>
        <w:rPr>
          <w:i/>
          <w:sz w:val="21"/>
        </w:rPr>
      </w:pPr>
      <w:r>
        <w:rPr>
          <w:color w:val="3A3838"/>
          <w:w w:val="110"/>
          <w:sz w:val="21"/>
        </w:rPr>
        <w:t>The more arcane the subject matter ...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the more intimate with the record</w:t>
      </w:r>
      <w:r>
        <w:rPr>
          <w:color w:val="3A3838"/>
          <w:spacing w:val="-55"/>
          <w:w w:val="110"/>
          <w:sz w:val="21"/>
        </w:rPr>
        <w:t> </w:t>
      </w:r>
      <w:r>
        <w:rPr>
          <w:color w:val="3A3838"/>
          <w:w w:val="105"/>
          <w:sz w:val="21"/>
        </w:rPr>
        <w:t>the</w:t>
      </w:r>
      <w:r>
        <w:rPr>
          <w:color w:val="3A3838"/>
          <w:spacing w:val="1"/>
          <w:w w:val="105"/>
          <w:sz w:val="21"/>
        </w:rPr>
        <w:t> </w:t>
      </w:r>
      <w:r>
        <w:rPr>
          <w:color w:val="3A3838"/>
          <w:w w:val="105"/>
          <w:sz w:val="21"/>
        </w:rPr>
        <w:t>advocate needs to be. All the</w:t>
      </w:r>
      <w:r>
        <w:rPr>
          <w:color w:val="3A3838"/>
          <w:spacing w:val="1"/>
          <w:w w:val="105"/>
          <w:sz w:val="21"/>
        </w:rPr>
        <w:t> </w:t>
      </w:r>
      <w:r>
        <w:rPr>
          <w:color w:val="3A3838"/>
          <w:w w:val="105"/>
          <w:sz w:val="21"/>
        </w:rPr>
        <w:t>questions of fact ... </w:t>
      </w:r>
      <w:r>
        <w:rPr>
          <w:color w:val="3A3838"/>
          <w:spacing w:val="1"/>
          <w:w w:val="105"/>
          <w:sz w:val="21"/>
        </w:rPr>
        <w:t> </w:t>
      </w:r>
      <w:r>
        <w:rPr>
          <w:color w:val="3A3838"/>
          <w:w w:val="105"/>
          <w:sz w:val="21"/>
        </w:rPr>
        <w:t>that the brief </w:t>
      </w:r>
      <w:r>
        <w:rPr>
          <w:color w:val="3A3838"/>
          <w:w w:val="105"/>
          <w:sz w:val="22"/>
        </w:rPr>
        <w:t>may</w:t>
      </w:r>
      <w:r>
        <w:rPr>
          <w:color w:val="3A3838"/>
          <w:spacing w:val="1"/>
          <w:w w:val="105"/>
          <w:sz w:val="22"/>
        </w:rPr>
        <w:t> </w:t>
      </w:r>
      <w:r>
        <w:rPr>
          <w:color w:val="3A3838"/>
          <w:w w:val="110"/>
          <w:sz w:val="21"/>
        </w:rPr>
        <w:t>have raised in the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10"/>
          <w:sz w:val="21"/>
        </w:rPr>
        <w:t>judges' minds will surface at argument, and nothing</w:t>
      </w:r>
      <w:r>
        <w:rPr>
          <w:color w:val="3A3838"/>
          <w:spacing w:val="1"/>
          <w:w w:val="110"/>
          <w:sz w:val="21"/>
        </w:rPr>
        <w:t> </w:t>
      </w:r>
      <w:r>
        <w:rPr>
          <w:color w:val="3A3838"/>
          <w:w w:val="105"/>
          <w:sz w:val="21"/>
        </w:rPr>
        <w:t>frustrates a bench more than an advocate who does not know the answers.</w:t>
      </w:r>
      <w:r>
        <w:rPr>
          <w:color w:val="3A3838"/>
          <w:spacing w:val="1"/>
          <w:w w:val="105"/>
          <w:sz w:val="21"/>
        </w:rPr>
        <w:t> </w:t>
      </w:r>
      <w:r>
        <w:rPr>
          <w:color w:val="3A3838"/>
          <w:w w:val="110"/>
          <w:sz w:val="21"/>
        </w:rPr>
        <w:t>Your credibility as a legal maven spurts as soon as you show familiarity</w:t>
      </w:r>
      <w:r>
        <w:rPr>
          <w:color w:val="3A3838"/>
          <w:spacing w:val="-55"/>
          <w:w w:val="110"/>
          <w:sz w:val="21"/>
        </w:rPr>
        <w:t> </w:t>
      </w:r>
      <w:r>
        <w:rPr>
          <w:color w:val="3A3838"/>
          <w:w w:val="105"/>
          <w:sz w:val="21"/>
        </w:rPr>
        <w:t>with</w:t>
      </w:r>
      <w:r>
        <w:rPr>
          <w:color w:val="3A3838"/>
          <w:spacing w:val="-1"/>
          <w:w w:val="105"/>
          <w:sz w:val="21"/>
        </w:rPr>
        <w:t> </w:t>
      </w:r>
      <w:r>
        <w:rPr>
          <w:color w:val="3A3838"/>
          <w:w w:val="105"/>
          <w:sz w:val="21"/>
        </w:rPr>
        <w:t>the</w:t>
      </w:r>
      <w:r>
        <w:rPr>
          <w:color w:val="3A3838"/>
          <w:spacing w:val="17"/>
          <w:w w:val="105"/>
          <w:sz w:val="21"/>
        </w:rPr>
        <w:t> </w:t>
      </w:r>
      <w:r>
        <w:rPr>
          <w:color w:val="3A3838"/>
          <w:w w:val="105"/>
          <w:sz w:val="21"/>
        </w:rPr>
        <w:t>facts</w:t>
      </w:r>
      <w:r>
        <w:rPr>
          <w:color w:val="3A3838"/>
          <w:spacing w:val="-15"/>
          <w:w w:val="105"/>
          <w:sz w:val="21"/>
        </w:rPr>
        <w:t> </w:t>
      </w:r>
      <w:r>
        <w:rPr>
          <w:color w:val="3A3838"/>
          <w:w w:val="105"/>
          <w:sz w:val="21"/>
        </w:rPr>
        <w:t>of</w:t>
      </w:r>
      <w:r>
        <w:rPr>
          <w:color w:val="3A3838"/>
          <w:spacing w:val="9"/>
          <w:w w:val="105"/>
          <w:sz w:val="21"/>
        </w:rPr>
        <w:t> </w:t>
      </w:r>
      <w:r>
        <w:rPr>
          <w:color w:val="3A3838"/>
          <w:w w:val="105"/>
          <w:sz w:val="21"/>
        </w:rPr>
        <w:t>the</w:t>
      </w:r>
      <w:r>
        <w:rPr>
          <w:color w:val="3A3838"/>
          <w:spacing w:val="47"/>
          <w:w w:val="105"/>
          <w:sz w:val="21"/>
        </w:rPr>
        <w:t> </w:t>
      </w:r>
      <w:r>
        <w:rPr>
          <w:color w:val="3A3838"/>
          <w:w w:val="105"/>
          <w:sz w:val="21"/>
        </w:rPr>
        <w:t>underlying</w:t>
      </w:r>
      <w:r>
        <w:rPr>
          <w:color w:val="3A3838"/>
          <w:spacing w:val="-4"/>
          <w:w w:val="105"/>
          <w:sz w:val="21"/>
        </w:rPr>
        <w:t> </w:t>
      </w:r>
      <w:r>
        <w:rPr>
          <w:color w:val="3A3838"/>
          <w:w w:val="105"/>
          <w:sz w:val="21"/>
        </w:rPr>
        <w:t>dispute.</w:t>
      </w:r>
      <w:r>
        <w:rPr>
          <w:i/>
          <w:color w:val="3A3838"/>
          <w:w w:val="105"/>
          <w:sz w:val="21"/>
          <w:vertAlign w:val="superscript"/>
        </w:rPr>
        <w:t>15</w:t>
      </w:r>
    </w:p>
    <w:p>
      <w:pPr>
        <w:pStyle w:val="BodyText"/>
        <w:spacing w:line="235" w:lineRule="auto" w:before="139"/>
        <w:ind w:left="858" w:right="109" w:firstLine="4"/>
        <w:jc w:val="both"/>
      </w:pPr>
      <w:r>
        <w:rPr>
          <w:color w:val="3A3838"/>
          <w:w w:val="110"/>
        </w:rPr>
        <w:t>Similarly, make sure you know the procedural details of the case.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judges may rely on you to clear up momentary confusion about what hap­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pened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13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6"/>
          <w:w w:val="110"/>
        </w:rPr>
        <w:t> </w:t>
      </w:r>
      <w:r>
        <w:rPr>
          <w:color w:val="3A3838"/>
          <w:w w:val="110"/>
        </w:rPr>
        <w:t>courts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below.</w:t>
      </w:r>
    </w:p>
    <w:p>
      <w:pPr>
        <w:pStyle w:val="BodyText"/>
        <w:spacing w:line="232" w:lineRule="auto"/>
        <w:ind w:left="807" w:right="105" w:firstLine="392"/>
        <w:jc w:val="both"/>
        <w:rPr>
          <w:sz w:val="14"/>
        </w:rPr>
      </w:pPr>
      <w:r>
        <w:rPr>
          <w:color w:val="3A3838"/>
          <w:w w:val="110"/>
        </w:rPr>
        <w:t>Second, familiarize </w:t>
      </w:r>
      <w:r>
        <w:rPr>
          <w:color w:val="4F4D4F"/>
          <w:w w:val="110"/>
        </w:rPr>
        <w:t>yourself </w:t>
      </w:r>
      <w:r>
        <w:rPr>
          <w:color w:val="3A3838"/>
          <w:w w:val="110"/>
        </w:rPr>
        <w:t>with all filed briefs and the authorities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cited in those briefs. You should be able to tell the  court the facts, holding,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or reasoning of any significant authority cases, and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you should be able to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explain how your case is similar to or distinguishable from those cases.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0"/>
        </w:rPr>
        <w:t>Obviously, </w:t>
      </w:r>
      <w:r>
        <w:rPr>
          <w:color w:val="3A3838"/>
          <w:w w:val="110"/>
        </w:rPr>
        <w:t>it is particularly important to be familiar with any mandatory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authorities that are on point or that may be relevant. Furthermore, if you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are asking the court to apply a multipart test, make sure that you under­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stand</w:t>
      </w:r>
      <w:r>
        <w:rPr>
          <w:color w:val="3A3838"/>
          <w:spacing w:val="11"/>
          <w:w w:val="110"/>
        </w:rPr>
        <w:t> </w:t>
      </w:r>
      <w:r>
        <w:rPr>
          <w:color w:val="3A3838"/>
          <w:w w:val="110"/>
        </w:rPr>
        <w:t>all</w:t>
      </w:r>
      <w:r>
        <w:rPr>
          <w:color w:val="3A3838"/>
          <w:spacing w:val="-11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17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49"/>
          <w:w w:val="110"/>
        </w:rPr>
        <w:t> </w:t>
      </w:r>
      <w:r>
        <w:rPr>
          <w:color w:val="3A3838"/>
          <w:w w:val="110"/>
        </w:rPr>
        <w:t>parts</w:t>
      </w:r>
      <w:r>
        <w:rPr>
          <w:color w:val="3A3838"/>
          <w:spacing w:val="-23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20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33"/>
          <w:w w:val="110"/>
        </w:rPr>
        <w:t> </w:t>
      </w:r>
      <w:r>
        <w:rPr>
          <w:color w:val="3A3838"/>
          <w:w w:val="110"/>
        </w:rPr>
        <w:t>test,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even</w:t>
      </w:r>
      <w:r>
        <w:rPr>
          <w:color w:val="3A3838"/>
          <w:spacing w:val="6"/>
          <w:w w:val="110"/>
        </w:rPr>
        <w:t> </w:t>
      </w:r>
      <w:r>
        <w:rPr>
          <w:color w:val="3A3838"/>
          <w:w w:val="110"/>
        </w:rPr>
        <w:t>those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are</w:t>
      </w:r>
      <w:r>
        <w:rPr>
          <w:color w:val="3A3838"/>
          <w:spacing w:val="-17"/>
          <w:w w:val="110"/>
        </w:rPr>
        <w:t> </w:t>
      </w:r>
      <w:r>
        <w:rPr>
          <w:color w:val="3A3838"/>
          <w:w w:val="110"/>
        </w:rPr>
        <w:t>not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controversial.</w:t>
      </w:r>
      <w:r>
        <w:rPr>
          <w:color w:val="3A3838"/>
          <w:w w:val="110"/>
          <w:position w:val="6"/>
          <w:sz w:val="14"/>
        </w:rPr>
        <w:t>16</w:t>
      </w:r>
    </w:p>
    <w:p>
      <w:pPr>
        <w:pStyle w:val="BodyText"/>
        <w:spacing w:line="232" w:lineRule="auto" w:before="3"/>
        <w:ind w:left="713" w:right="108" w:firstLine="467"/>
        <w:jc w:val="both"/>
      </w:pPr>
      <w:r>
        <w:rPr>
          <w:color w:val="3A3838"/>
          <w:w w:val="105"/>
        </w:rPr>
        <w:t>Finally, and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perhaps most importantly, figure out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what you are asking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for. What rule are you asking the  court to create or apply? What will be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impact of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that rule on  future cases?  Knowing the  impact of  a  decision</w:t>
      </w:r>
      <w:r>
        <w:rPr>
          <w:color w:val="3A3838"/>
          <w:spacing w:val="-58"/>
          <w:w w:val="105"/>
        </w:rPr>
        <w:t> </w:t>
      </w:r>
      <w:r>
        <w:rPr>
          <w:color w:val="3A3838"/>
          <w:w w:val="105"/>
        </w:rPr>
        <w:t>in  your favor will enable you to respond effectively to  hypotheticals posed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by  the  court. On a related note, try to anticipate what concessions you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may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be asked to make. For example, you may be asked to concede that the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rule in the case applies to a certain type of plaintiff or defendant, or that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your client has or has not met all or part of the standard your opponent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espouses.</w:t>
      </w:r>
      <w:r>
        <w:rPr>
          <w:color w:val="3A3838"/>
          <w:spacing w:val="22"/>
          <w:w w:val="110"/>
        </w:rPr>
        <w:t> </w:t>
      </w:r>
      <w:r>
        <w:rPr>
          <w:color w:val="3A3838"/>
          <w:w w:val="110"/>
        </w:rPr>
        <w:t>You</w:t>
      </w:r>
      <w:r>
        <w:rPr>
          <w:color w:val="3A3838"/>
          <w:spacing w:val="3"/>
          <w:w w:val="110"/>
        </w:rPr>
        <w:t> </w:t>
      </w:r>
      <w:r>
        <w:rPr>
          <w:color w:val="3A3838"/>
          <w:w w:val="110"/>
        </w:rPr>
        <w:t>should</w:t>
      </w:r>
      <w:r>
        <w:rPr>
          <w:color w:val="3A3838"/>
          <w:spacing w:val="30"/>
          <w:w w:val="110"/>
        </w:rPr>
        <w:t> </w:t>
      </w:r>
      <w:r>
        <w:rPr>
          <w:color w:val="3A3838"/>
          <w:w w:val="110"/>
        </w:rPr>
        <w:t>know</w:t>
      </w:r>
      <w:r>
        <w:rPr>
          <w:color w:val="3A3838"/>
          <w:spacing w:val="5"/>
          <w:w w:val="110"/>
        </w:rPr>
        <w:t> </w:t>
      </w:r>
      <w:r>
        <w:rPr>
          <w:color w:val="3A3838"/>
          <w:w w:val="110"/>
        </w:rPr>
        <w:t>which</w:t>
      </w:r>
      <w:r>
        <w:rPr>
          <w:color w:val="3A3838"/>
          <w:spacing w:val="19"/>
          <w:w w:val="110"/>
        </w:rPr>
        <w:t> </w:t>
      </w:r>
      <w:r>
        <w:rPr>
          <w:color w:val="3A3838"/>
          <w:w w:val="110"/>
        </w:rPr>
        <w:t>points</w:t>
      </w:r>
      <w:r>
        <w:rPr>
          <w:color w:val="3A3838"/>
          <w:spacing w:val="-5"/>
          <w:w w:val="110"/>
        </w:rPr>
        <w:t> </w:t>
      </w:r>
      <w:r>
        <w:rPr>
          <w:color w:val="3A3838"/>
          <w:w w:val="110"/>
        </w:rPr>
        <w:t>you would</w:t>
      </w:r>
      <w:r>
        <w:rPr>
          <w:color w:val="3A3838"/>
          <w:spacing w:val="20"/>
          <w:w w:val="110"/>
        </w:rPr>
        <w:t> </w:t>
      </w:r>
      <w:r>
        <w:rPr>
          <w:color w:val="3A3838"/>
          <w:w w:val="110"/>
        </w:rPr>
        <w:t>(or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should)</w:t>
      </w:r>
      <w:r>
        <w:rPr>
          <w:color w:val="3A3838"/>
          <w:spacing w:val="-2"/>
          <w:w w:val="110"/>
        </w:rPr>
        <w:t> </w:t>
      </w:r>
      <w:r>
        <w:rPr>
          <w:color w:val="3A3838"/>
          <w:w w:val="110"/>
        </w:rPr>
        <w:t>concede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line="200" w:lineRule="exact" w:before="0"/>
        <w:ind w:left="1069" w:right="0" w:firstLine="0"/>
        <w:jc w:val="left"/>
        <w:rPr>
          <w:sz w:val="17"/>
        </w:rPr>
      </w:pPr>
      <w:r>
        <w:rPr>
          <w:color w:val="3A3838"/>
          <w:w w:val="105"/>
          <w:sz w:val="18"/>
        </w:rPr>
        <w:t>,.</w:t>
      </w:r>
      <w:r>
        <w:rPr>
          <w:color w:val="3A3838"/>
          <w:spacing w:val="3"/>
          <w:w w:val="105"/>
          <w:sz w:val="18"/>
        </w:rPr>
        <w:t> </w:t>
      </w:r>
      <w:r>
        <w:rPr>
          <w:i/>
          <w:color w:val="3A3838"/>
          <w:w w:val="105"/>
          <w:sz w:val="18"/>
        </w:rPr>
        <w:t>See</w:t>
      </w:r>
      <w:r>
        <w:rPr>
          <w:i/>
          <w:color w:val="3A3838"/>
          <w:spacing w:val="-12"/>
          <w:w w:val="105"/>
          <w:sz w:val="18"/>
        </w:rPr>
        <w:t> </w:t>
      </w:r>
      <w:r>
        <w:rPr>
          <w:color w:val="3A3838"/>
          <w:w w:val="105"/>
          <w:sz w:val="17"/>
        </w:rPr>
        <w:t>1994</w:t>
      </w:r>
      <w:r>
        <w:rPr>
          <w:color w:val="3A3838"/>
          <w:spacing w:val="20"/>
          <w:w w:val="105"/>
          <w:sz w:val="17"/>
        </w:rPr>
        <w:t> </w:t>
      </w:r>
      <w:r>
        <w:rPr>
          <w:color w:val="3A3838"/>
          <w:w w:val="105"/>
          <w:sz w:val="17"/>
        </w:rPr>
        <w:t>U.S.</w:t>
      </w:r>
      <w:r>
        <w:rPr>
          <w:color w:val="3A3838"/>
          <w:spacing w:val="-1"/>
          <w:w w:val="105"/>
          <w:sz w:val="17"/>
        </w:rPr>
        <w:t> </w:t>
      </w:r>
      <w:r>
        <w:rPr>
          <w:color w:val="3A3838"/>
          <w:w w:val="105"/>
          <w:sz w:val="18"/>
        </w:rPr>
        <w:t>Tr.</w:t>
      </w:r>
      <w:r>
        <w:rPr>
          <w:color w:val="3A3838"/>
          <w:spacing w:val="-3"/>
          <w:w w:val="105"/>
          <w:sz w:val="18"/>
        </w:rPr>
        <w:t> </w:t>
      </w:r>
      <w:r>
        <w:rPr>
          <w:rFonts w:ascii="Arial"/>
          <w:color w:val="3A3838"/>
          <w:w w:val="105"/>
          <w:sz w:val="16"/>
        </w:rPr>
        <w:t>Lex.Is</w:t>
      </w:r>
      <w:r>
        <w:rPr>
          <w:rFonts w:ascii="Arial"/>
          <w:color w:val="3A3838"/>
          <w:spacing w:val="1"/>
          <w:w w:val="105"/>
          <w:sz w:val="16"/>
        </w:rPr>
        <w:t> </w:t>
      </w:r>
      <w:r>
        <w:rPr>
          <w:color w:val="3A3838"/>
          <w:w w:val="105"/>
          <w:sz w:val="17"/>
        </w:rPr>
        <w:t>163</w:t>
      </w:r>
      <w:r>
        <w:rPr>
          <w:color w:val="3A3838"/>
          <w:spacing w:val="17"/>
          <w:w w:val="105"/>
          <w:sz w:val="17"/>
        </w:rPr>
        <w:t> </w:t>
      </w:r>
      <w:r>
        <w:rPr>
          <w:color w:val="3A3838"/>
          <w:w w:val="105"/>
          <w:sz w:val="18"/>
        </w:rPr>
        <w:t>at</w:t>
      </w:r>
      <w:r>
        <w:rPr>
          <w:color w:val="3A3838"/>
          <w:spacing w:val="47"/>
          <w:w w:val="105"/>
          <w:sz w:val="18"/>
        </w:rPr>
        <w:t> </w:t>
      </w:r>
      <w:r>
        <w:rPr>
          <w:color w:val="3A3838"/>
          <w:w w:val="105"/>
          <w:sz w:val="17"/>
        </w:rPr>
        <w:t>*45-46</w:t>
      </w:r>
      <w:r>
        <w:rPr>
          <w:color w:val="3A3838"/>
          <w:spacing w:val="-10"/>
          <w:w w:val="105"/>
          <w:sz w:val="17"/>
        </w:rPr>
        <w:t> </w:t>
      </w:r>
      <w:r>
        <w:rPr>
          <w:rFonts w:ascii="Arial"/>
          <w:color w:val="3A3838"/>
          <w:w w:val="105"/>
          <w:sz w:val="16"/>
        </w:rPr>
        <w:t>(Nov.</w:t>
      </w:r>
      <w:r>
        <w:rPr>
          <w:rFonts w:ascii="Arial"/>
          <w:color w:val="3A3838"/>
          <w:spacing w:val="-11"/>
          <w:w w:val="105"/>
          <w:sz w:val="16"/>
        </w:rPr>
        <w:t> </w:t>
      </w:r>
      <w:r>
        <w:rPr>
          <w:color w:val="3A3838"/>
          <w:w w:val="105"/>
          <w:sz w:val="17"/>
        </w:rPr>
        <w:t>30,</w:t>
      </w:r>
      <w:r>
        <w:rPr>
          <w:color w:val="3A3838"/>
          <w:spacing w:val="1"/>
          <w:w w:val="105"/>
          <w:sz w:val="17"/>
        </w:rPr>
        <w:t> </w:t>
      </w:r>
      <w:r>
        <w:rPr>
          <w:color w:val="3A3838"/>
          <w:w w:val="105"/>
          <w:sz w:val="17"/>
        </w:rPr>
        <w:t>1994) (U.S.</w:t>
      </w:r>
      <w:r>
        <w:rPr>
          <w:color w:val="3A3838"/>
          <w:spacing w:val="-6"/>
          <w:w w:val="105"/>
          <w:sz w:val="17"/>
        </w:rPr>
        <w:t> </w:t>
      </w:r>
      <w:r>
        <w:rPr>
          <w:color w:val="3A3838"/>
          <w:w w:val="105"/>
          <w:sz w:val="17"/>
        </w:rPr>
        <w:t>Sup.</w:t>
      </w:r>
      <w:r>
        <w:rPr>
          <w:color w:val="3A3838"/>
          <w:spacing w:val="-6"/>
          <w:w w:val="105"/>
          <w:sz w:val="17"/>
        </w:rPr>
        <w:t> </w:t>
      </w:r>
      <w:r>
        <w:rPr>
          <w:color w:val="3A3838"/>
          <w:w w:val="105"/>
          <w:sz w:val="18"/>
        </w:rPr>
        <w:t>Ct. Oral</w:t>
      </w:r>
      <w:r>
        <w:rPr>
          <w:color w:val="3A3838"/>
          <w:spacing w:val="14"/>
          <w:w w:val="105"/>
          <w:sz w:val="18"/>
        </w:rPr>
        <w:t> </w:t>
      </w:r>
      <w:r>
        <w:rPr>
          <w:color w:val="3A3838"/>
          <w:w w:val="105"/>
          <w:sz w:val="17"/>
        </w:rPr>
        <w:t>Argument</w:t>
      </w:r>
      <w:r>
        <w:rPr>
          <w:color w:val="3A3838"/>
          <w:spacing w:val="1"/>
          <w:w w:val="105"/>
          <w:sz w:val="17"/>
        </w:rPr>
        <w:t> </w:t>
      </w:r>
      <w:r>
        <w:rPr>
          <w:color w:val="4F4D4F"/>
          <w:w w:val="105"/>
          <w:sz w:val="17"/>
        </w:rPr>
        <w:t>Tr.).</w:t>
      </w:r>
    </w:p>
    <w:p>
      <w:pPr>
        <w:spacing w:line="211" w:lineRule="exact" w:before="0"/>
        <w:ind w:left="1060" w:right="0" w:firstLine="0"/>
        <w:jc w:val="left"/>
        <w:rPr>
          <w:sz w:val="18"/>
        </w:rPr>
      </w:pPr>
      <w:r>
        <w:rPr>
          <w:rFonts w:ascii="Arial"/>
          <w:color w:val="3A3838"/>
          <w:sz w:val="14"/>
        </w:rPr>
        <w:t>rs</w:t>
      </w:r>
      <w:r>
        <w:rPr>
          <w:rFonts w:ascii="Arial"/>
          <w:color w:val="3A3838"/>
          <w:spacing w:val="-10"/>
          <w:sz w:val="14"/>
        </w:rPr>
        <w:t> </w:t>
      </w:r>
      <w:r>
        <w:rPr>
          <w:color w:val="3A3838"/>
          <w:sz w:val="18"/>
        </w:rPr>
        <w:t>Patricia</w:t>
      </w:r>
      <w:r>
        <w:rPr>
          <w:color w:val="3A3838"/>
          <w:spacing w:val="23"/>
          <w:sz w:val="18"/>
        </w:rPr>
        <w:t> </w:t>
      </w:r>
      <w:r>
        <w:rPr>
          <w:color w:val="3A3838"/>
          <w:sz w:val="18"/>
        </w:rPr>
        <w:t>M.</w:t>
      </w:r>
      <w:r>
        <w:rPr>
          <w:color w:val="3A3838"/>
          <w:spacing w:val="21"/>
          <w:sz w:val="18"/>
        </w:rPr>
        <w:t> </w:t>
      </w:r>
      <w:r>
        <w:rPr>
          <w:color w:val="3A3838"/>
          <w:sz w:val="18"/>
        </w:rPr>
        <w:t>Wald,</w:t>
      </w:r>
      <w:r>
        <w:rPr>
          <w:color w:val="3A3838"/>
          <w:spacing w:val="12"/>
          <w:sz w:val="18"/>
        </w:rPr>
        <w:t> </w:t>
      </w:r>
      <w:r>
        <w:rPr>
          <w:i/>
          <w:color w:val="3A3838"/>
          <w:sz w:val="18"/>
        </w:rPr>
        <w:t>19</w:t>
      </w:r>
      <w:r>
        <w:rPr>
          <w:i/>
          <w:color w:val="3A3838"/>
          <w:spacing w:val="12"/>
          <w:sz w:val="18"/>
        </w:rPr>
        <w:t> </w:t>
      </w:r>
      <w:r>
        <w:rPr>
          <w:i/>
          <w:color w:val="3A3838"/>
          <w:sz w:val="18"/>
        </w:rPr>
        <w:t>Tips</w:t>
      </w:r>
      <w:r>
        <w:rPr>
          <w:i/>
          <w:color w:val="3A3838"/>
          <w:spacing w:val="25"/>
          <w:sz w:val="18"/>
        </w:rPr>
        <w:t> </w:t>
      </w:r>
      <w:r>
        <w:rPr>
          <w:i/>
          <w:color w:val="3A3838"/>
          <w:sz w:val="18"/>
        </w:rPr>
        <w:t>from</w:t>
      </w:r>
      <w:r>
        <w:rPr>
          <w:i/>
          <w:color w:val="3A3838"/>
          <w:spacing w:val="15"/>
          <w:sz w:val="18"/>
        </w:rPr>
        <w:t> </w:t>
      </w:r>
      <w:r>
        <w:rPr>
          <w:i/>
          <w:color w:val="3A3838"/>
          <w:sz w:val="18"/>
        </w:rPr>
        <w:t>19</w:t>
      </w:r>
      <w:r>
        <w:rPr>
          <w:i/>
          <w:color w:val="3A3838"/>
          <w:spacing w:val="35"/>
          <w:sz w:val="18"/>
        </w:rPr>
        <w:t> </w:t>
      </w:r>
      <w:r>
        <w:rPr>
          <w:i/>
          <w:color w:val="3A3838"/>
          <w:sz w:val="18"/>
        </w:rPr>
        <w:t>Years</w:t>
      </w:r>
      <w:r>
        <w:rPr>
          <w:i/>
          <w:color w:val="3A3838"/>
          <w:spacing w:val="-6"/>
          <w:sz w:val="18"/>
        </w:rPr>
        <w:t> </w:t>
      </w:r>
      <w:r>
        <w:rPr>
          <w:i/>
          <w:color w:val="3A3838"/>
          <w:sz w:val="18"/>
        </w:rPr>
        <w:t>on</w:t>
      </w:r>
      <w:r>
        <w:rPr>
          <w:i/>
          <w:color w:val="3A3838"/>
          <w:spacing w:val="36"/>
          <w:sz w:val="18"/>
        </w:rPr>
        <w:t> </w:t>
      </w:r>
      <w:r>
        <w:rPr>
          <w:i/>
          <w:color w:val="3A3838"/>
          <w:sz w:val="18"/>
        </w:rPr>
        <w:t>the</w:t>
      </w:r>
      <w:r>
        <w:rPr>
          <w:i/>
          <w:color w:val="3A3838"/>
          <w:spacing w:val="36"/>
          <w:sz w:val="18"/>
        </w:rPr>
        <w:t> </w:t>
      </w:r>
      <w:r>
        <w:rPr>
          <w:i/>
          <w:color w:val="3A3838"/>
          <w:sz w:val="18"/>
        </w:rPr>
        <w:t>Appellate Bench,</w:t>
      </w:r>
      <w:r>
        <w:rPr>
          <w:i/>
          <w:color w:val="3A3838"/>
          <w:spacing w:val="15"/>
          <w:sz w:val="18"/>
        </w:rPr>
        <w:t> </w:t>
      </w:r>
      <w:r>
        <w:rPr>
          <w:color w:val="3A3838"/>
          <w:sz w:val="17"/>
        </w:rPr>
        <w:t>l</w:t>
      </w:r>
      <w:r>
        <w:rPr>
          <w:color w:val="3A3838"/>
          <w:spacing w:val="29"/>
          <w:sz w:val="17"/>
        </w:rPr>
        <w:t> </w:t>
      </w:r>
      <w:r>
        <w:rPr>
          <w:color w:val="3A3838"/>
          <w:sz w:val="19"/>
        </w:rPr>
        <w:t>J.</w:t>
      </w:r>
      <w:r>
        <w:rPr>
          <w:color w:val="3A3838"/>
          <w:spacing w:val="18"/>
          <w:sz w:val="19"/>
        </w:rPr>
        <w:t> </w:t>
      </w:r>
      <w:r>
        <w:rPr>
          <w:color w:val="3A3838"/>
          <w:sz w:val="18"/>
        </w:rPr>
        <w:t>App.</w:t>
      </w:r>
      <w:r>
        <w:rPr>
          <w:color w:val="3A3838"/>
          <w:spacing w:val="3"/>
          <w:sz w:val="18"/>
        </w:rPr>
        <w:t> </w:t>
      </w:r>
      <w:r>
        <w:rPr>
          <w:color w:val="3A3838"/>
          <w:sz w:val="18"/>
        </w:rPr>
        <w:t>Prac. </w:t>
      </w:r>
      <w:r>
        <w:rPr>
          <w:color w:val="3A3838"/>
          <w:sz w:val="17"/>
        </w:rPr>
        <w:t>&amp;</w:t>
      </w:r>
      <w:r>
        <w:rPr>
          <w:color w:val="3A3838"/>
          <w:spacing w:val="11"/>
          <w:sz w:val="17"/>
        </w:rPr>
        <w:t> </w:t>
      </w:r>
      <w:r>
        <w:rPr>
          <w:color w:val="3A3838"/>
          <w:sz w:val="18"/>
        </w:rPr>
        <w:t>Process</w:t>
      </w:r>
      <w:r>
        <w:rPr>
          <w:color w:val="3A3838"/>
          <w:spacing w:val="-6"/>
          <w:sz w:val="18"/>
        </w:rPr>
        <w:t> </w:t>
      </w:r>
      <w:r>
        <w:rPr>
          <w:color w:val="3A3838"/>
          <w:sz w:val="18"/>
        </w:rPr>
        <w:t>7,</w:t>
      </w:r>
    </w:p>
    <w:p>
      <w:pPr>
        <w:spacing w:line="185" w:lineRule="exact" w:before="12"/>
        <w:ind w:left="664" w:right="0" w:firstLine="0"/>
        <w:jc w:val="left"/>
        <w:rPr>
          <w:sz w:val="17"/>
        </w:rPr>
      </w:pPr>
      <w:r>
        <w:rPr>
          <w:color w:val="3A3838"/>
          <w:w w:val="115"/>
          <w:sz w:val="17"/>
        </w:rPr>
        <w:t>19</w:t>
      </w:r>
      <w:r>
        <w:rPr>
          <w:color w:val="6B6B6E"/>
          <w:w w:val="115"/>
          <w:sz w:val="17"/>
        </w:rPr>
        <w:t>-</w:t>
      </w:r>
      <w:r>
        <w:rPr>
          <w:color w:val="3A3838"/>
          <w:w w:val="115"/>
          <w:sz w:val="17"/>
        </w:rPr>
        <w:t>20</w:t>
      </w:r>
      <w:r>
        <w:rPr>
          <w:color w:val="3A3838"/>
          <w:spacing w:val="6"/>
          <w:w w:val="115"/>
          <w:sz w:val="17"/>
        </w:rPr>
        <w:t> </w:t>
      </w:r>
      <w:r>
        <w:rPr>
          <w:color w:val="4F4D4F"/>
          <w:w w:val="115"/>
          <w:sz w:val="17"/>
        </w:rPr>
        <w:t>(1999).</w:t>
      </w:r>
    </w:p>
    <w:p>
      <w:pPr>
        <w:spacing w:line="208" w:lineRule="exact" w:before="0"/>
        <w:ind w:left="1037" w:right="0" w:firstLine="0"/>
        <w:jc w:val="left"/>
        <w:rPr>
          <w:sz w:val="18"/>
        </w:rPr>
      </w:pPr>
      <w:r>
        <w:rPr>
          <w:color w:val="3A3838"/>
          <w:w w:val="110"/>
          <w:position w:val="5"/>
          <w:sz w:val="11"/>
        </w:rPr>
        <w:t>16</w:t>
      </w:r>
      <w:r>
        <w:rPr>
          <w:color w:val="3A3838"/>
          <w:w w:val="110"/>
          <w:sz w:val="18"/>
        </w:rPr>
        <w:t>Willlams,</w:t>
      </w:r>
      <w:r>
        <w:rPr>
          <w:color w:val="3A3838"/>
          <w:spacing w:val="11"/>
          <w:w w:val="110"/>
          <w:sz w:val="18"/>
        </w:rPr>
        <w:t> </w:t>
      </w:r>
      <w:r>
        <w:rPr>
          <w:i/>
          <w:color w:val="3A3838"/>
          <w:w w:val="110"/>
          <w:sz w:val="18"/>
        </w:rPr>
        <w:t>supra</w:t>
      </w:r>
      <w:r>
        <w:rPr>
          <w:i/>
          <w:color w:val="3A3838"/>
          <w:spacing w:val="1"/>
          <w:w w:val="110"/>
          <w:sz w:val="18"/>
        </w:rPr>
        <w:t> </w:t>
      </w:r>
      <w:r>
        <w:rPr>
          <w:color w:val="3A3838"/>
          <w:w w:val="110"/>
          <w:sz w:val="19"/>
        </w:rPr>
        <w:t>note</w:t>
      </w:r>
      <w:r>
        <w:rPr>
          <w:color w:val="3A3838"/>
          <w:spacing w:val="-19"/>
          <w:w w:val="110"/>
          <w:sz w:val="19"/>
        </w:rPr>
        <w:t> </w:t>
      </w:r>
      <w:r>
        <w:rPr>
          <w:color w:val="3A3838"/>
          <w:w w:val="110"/>
          <w:sz w:val="18"/>
        </w:rPr>
        <w:t>9,</w:t>
      </w:r>
      <w:r>
        <w:rPr>
          <w:color w:val="3A3838"/>
          <w:spacing w:val="-12"/>
          <w:w w:val="110"/>
          <w:sz w:val="18"/>
        </w:rPr>
        <w:t> </w:t>
      </w:r>
      <w:r>
        <w:rPr>
          <w:color w:val="3A3838"/>
          <w:w w:val="110"/>
          <w:sz w:val="18"/>
        </w:rPr>
        <w:t>at</w:t>
      </w:r>
      <w:r>
        <w:rPr>
          <w:color w:val="3A3838"/>
          <w:spacing w:val="14"/>
          <w:w w:val="110"/>
          <w:sz w:val="18"/>
        </w:rPr>
        <w:t> </w:t>
      </w:r>
      <w:r>
        <w:rPr>
          <w:color w:val="3A3838"/>
          <w:w w:val="110"/>
          <w:sz w:val="18"/>
        </w:rPr>
        <w:t>597.</w:t>
      </w:r>
    </w:p>
    <w:p>
      <w:pPr>
        <w:spacing w:after="0" w:line="208" w:lineRule="exact"/>
        <w:jc w:val="left"/>
        <w:rPr>
          <w:sz w:val="18"/>
        </w:rPr>
        <w:sectPr>
          <w:headerReference w:type="even" r:id="rId328"/>
          <w:headerReference w:type="default" r:id="rId329"/>
          <w:pgSz w:w="9830" w:h="13990"/>
          <w:pgMar w:header="523" w:footer="0" w:top="1080" w:bottom="280" w:left="1360" w:right="100"/>
          <w:pgNumType w:start="292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32" w:lineRule="auto"/>
        <w:ind w:left="102" w:right="436" w:firstLine="3"/>
        <w:jc w:val="right"/>
      </w:pPr>
      <w:r>
        <w:rPr>
          <w:color w:val="3A3838"/>
          <w:w w:val="110"/>
        </w:rPr>
        <w:t>immediately (those that have little or no effect on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your argument), which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points you can concede if pressed by the court (those that areimportant to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your argument, but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that do not determine victory), 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which points you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can never concede (any point that would cause you to lose the argument).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Not all  judges try  to force counsel to concede either minor or signifi­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cant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points, but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is wise to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be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prepared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for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ones who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do. Justice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Ginsburg has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pointed out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that "questions are sometimes designed to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nail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down</w:t>
      </w:r>
      <w:r>
        <w:rPr>
          <w:color w:val="3A3838"/>
          <w:spacing w:val="30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27"/>
          <w:w w:val="110"/>
        </w:rPr>
        <w:t> </w:t>
      </w:r>
      <w:r>
        <w:rPr>
          <w:color w:val="3A3838"/>
          <w:w w:val="110"/>
        </w:rPr>
        <w:t>concession</w:t>
      </w:r>
      <w:r>
        <w:rPr>
          <w:color w:val="3A3838"/>
          <w:spacing w:val="43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26"/>
          <w:w w:val="110"/>
        </w:rPr>
        <w:t> </w:t>
      </w:r>
      <w:r>
        <w:rPr>
          <w:color w:val="3A3838"/>
          <w:w w:val="110"/>
        </w:rPr>
        <w:t>will</w:t>
      </w:r>
      <w:r>
        <w:rPr>
          <w:color w:val="3A3838"/>
          <w:spacing w:val="20"/>
          <w:w w:val="110"/>
        </w:rPr>
        <w:t> </w:t>
      </w:r>
      <w:r>
        <w:rPr>
          <w:color w:val="3A3838"/>
          <w:w w:val="110"/>
        </w:rPr>
        <w:t>show</w:t>
      </w:r>
      <w:r>
        <w:rPr>
          <w:color w:val="3A3838"/>
          <w:spacing w:val="35"/>
          <w:w w:val="110"/>
        </w:rPr>
        <w:t> </w:t>
      </w:r>
      <w:r>
        <w:rPr>
          <w:color w:val="3A3838"/>
          <w:w w:val="110"/>
        </w:rPr>
        <w:t>up</w:t>
      </w:r>
      <w:r>
        <w:rPr>
          <w:color w:val="3A3838"/>
          <w:spacing w:val="17"/>
          <w:w w:val="110"/>
        </w:rPr>
        <w:t> </w:t>
      </w:r>
      <w:r>
        <w:rPr>
          <w:rFonts w:ascii="Arial" w:hAnsi="Arial"/>
          <w:color w:val="3A3838"/>
          <w:w w:val="110"/>
          <w:sz w:val="20"/>
        </w:rPr>
        <w:t>in</w:t>
      </w:r>
      <w:r>
        <w:rPr>
          <w:rFonts w:ascii="Arial" w:hAnsi="Arial"/>
          <w:color w:val="3A3838"/>
          <w:spacing w:val="16"/>
          <w:w w:val="110"/>
          <w:sz w:val="20"/>
        </w:rPr>
        <w:t> </w:t>
      </w:r>
      <w:r>
        <w:rPr>
          <w:color w:val="3A3838"/>
          <w:w w:val="110"/>
        </w:rPr>
        <w:t>an</w:t>
      </w:r>
      <w:r>
        <w:rPr>
          <w:color w:val="3A3838"/>
          <w:spacing w:val="47"/>
          <w:w w:val="110"/>
        </w:rPr>
        <w:t> </w:t>
      </w:r>
      <w:r>
        <w:rPr>
          <w:color w:val="3A3838"/>
          <w:w w:val="110"/>
        </w:rPr>
        <w:t>opinion,</w:t>
      </w:r>
      <w:r>
        <w:rPr>
          <w:color w:val="3A3838"/>
          <w:spacing w:val="31"/>
          <w:w w:val="110"/>
        </w:rPr>
        <w:t> </w:t>
      </w:r>
      <w:r>
        <w:rPr>
          <w:color w:val="3A3838"/>
          <w:w w:val="110"/>
        </w:rPr>
        <w:t>perhaps</w:t>
      </w:r>
      <w:r>
        <w:rPr>
          <w:color w:val="3A3838"/>
          <w:spacing w:val="26"/>
          <w:w w:val="110"/>
        </w:rPr>
        <w:t> </w:t>
      </w:r>
      <w:r>
        <w:rPr>
          <w:color w:val="3A3838"/>
          <w:w w:val="110"/>
        </w:rPr>
        <w:t>in</w:t>
      </w:r>
      <w:r>
        <w:rPr>
          <w:color w:val="3A3838"/>
          <w:spacing w:val="40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31"/>
          <w:w w:val="110"/>
        </w:rPr>
        <w:t> </w:t>
      </w:r>
      <w:r>
        <w:rPr>
          <w:color w:val="3A3838"/>
          <w:w w:val="110"/>
        </w:rPr>
        <w:t>foot­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note that reads: 'At argument, counsel conceded thus and so.' That doesn't</w:t>
      </w:r>
      <w:r>
        <w:rPr>
          <w:color w:val="3A3838"/>
          <w:spacing w:val="-61"/>
          <w:w w:val="110"/>
        </w:rPr>
        <w:t> </w:t>
      </w:r>
      <w:r>
        <w:rPr>
          <w:color w:val="3A3838"/>
          <w:spacing w:val="-1"/>
          <w:w w:val="110"/>
        </w:rPr>
        <w:t>mean lawyers should avoid concessions </w:t>
      </w:r>
      <w:r>
        <w:rPr>
          <w:color w:val="3A3838"/>
          <w:w w:val="110"/>
        </w:rPr>
        <w:t>as inevitably damaging. As Judge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Wald</w:t>
      </w:r>
      <w:r>
        <w:rPr>
          <w:color w:val="3A3838"/>
          <w:spacing w:val="17"/>
          <w:w w:val="110"/>
        </w:rPr>
        <w:t> </w:t>
      </w:r>
      <w:r>
        <w:rPr>
          <w:color w:val="3A3838"/>
          <w:w w:val="110"/>
        </w:rPr>
        <w:t>has</w:t>
      </w:r>
      <w:r>
        <w:rPr>
          <w:color w:val="3A3838"/>
          <w:spacing w:val="46"/>
          <w:w w:val="110"/>
        </w:rPr>
        <w:t> </w:t>
      </w:r>
      <w:r>
        <w:rPr>
          <w:color w:val="3A3838"/>
          <w:w w:val="110"/>
        </w:rPr>
        <w:t>observed,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concession</w:t>
      </w:r>
      <w:r>
        <w:rPr>
          <w:color w:val="3A3838"/>
          <w:spacing w:val="15"/>
          <w:w w:val="110"/>
        </w:rPr>
        <w:t> </w:t>
      </w:r>
      <w:r>
        <w:rPr>
          <w:color w:val="3A3838"/>
          <w:w w:val="110"/>
        </w:rPr>
        <w:t>once</w:t>
      </w:r>
      <w:r>
        <w:rPr>
          <w:color w:val="3A3838"/>
          <w:spacing w:val="-13"/>
          <w:w w:val="110"/>
        </w:rPr>
        <w:t> </w:t>
      </w:r>
      <w:r>
        <w:rPr>
          <w:rFonts w:ascii="Arial" w:hAnsi="Arial"/>
          <w:color w:val="3A3838"/>
          <w:w w:val="110"/>
          <w:sz w:val="20"/>
        </w:rPr>
        <w:t>in</w:t>
      </w:r>
      <w:r>
        <w:rPr>
          <w:rFonts w:ascii="Arial" w:hAnsi="Arial"/>
          <w:color w:val="3A3838"/>
          <w:spacing w:val="44"/>
          <w:w w:val="110"/>
          <w:sz w:val="2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12"/>
          <w:w w:val="110"/>
        </w:rPr>
        <w:t> </w:t>
      </w:r>
      <w:r>
        <w:rPr>
          <w:color w:val="3A3838"/>
          <w:w w:val="110"/>
        </w:rPr>
        <w:t>while</w:t>
      </w:r>
      <w:r>
        <w:rPr>
          <w:color w:val="3A3838"/>
          <w:spacing w:val="3"/>
          <w:w w:val="110"/>
        </w:rPr>
        <w:t> </w:t>
      </w:r>
      <w:r>
        <w:rPr>
          <w:color w:val="3A3838"/>
          <w:w w:val="110"/>
        </w:rPr>
        <w:t>can</w:t>
      </w:r>
      <w:r>
        <w:rPr>
          <w:color w:val="3A3838"/>
          <w:spacing w:val="10"/>
          <w:w w:val="110"/>
        </w:rPr>
        <w:t> </w:t>
      </w:r>
      <w:r>
        <w:rPr>
          <w:color w:val="3A3838"/>
          <w:w w:val="110"/>
        </w:rPr>
        <w:t>enhance</w:t>
      </w:r>
      <w:r>
        <w:rPr>
          <w:color w:val="3A3838"/>
          <w:spacing w:val="2"/>
          <w:w w:val="110"/>
        </w:rPr>
        <w:t> </w:t>
      </w:r>
      <w:r>
        <w:rPr>
          <w:color w:val="3A3838"/>
          <w:w w:val="110"/>
        </w:rPr>
        <w:t>a</w:t>
      </w:r>
      <w:r>
        <w:rPr>
          <w:color w:val="3A3838"/>
          <w:spacing w:val="7"/>
          <w:w w:val="110"/>
        </w:rPr>
        <w:t> </w:t>
      </w:r>
      <w:r>
        <w:rPr>
          <w:color w:val="3A3838"/>
          <w:w w:val="110"/>
        </w:rPr>
        <w:t>lawyer's</w:t>
      </w:r>
    </w:p>
    <w:p>
      <w:pPr>
        <w:pStyle w:val="BodyText"/>
        <w:spacing w:line="257" w:lineRule="exact" w:before="4"/>
        <w:ind w:left="105"/>
      </w:pPr>
      <w:r>
        <w:rPr>
          <w:color w:val="3A3838"/>
          <w:w w:val="105"/>
        </w:rPr>
        <w:t>credibility."</w:t>
      </w:r>
      <w:r>
        <w:rPr>
          <w:color w:val="3A3838"/>
          <w:w w:val="105"/>
          <w:vertAlign w:val="superscript"/>
        </w:rPr>
        <w:t>17</w:t>
      </w:r>
    </w:p>
    <w:p>
      <w:pPr>
        <w:pStyle w:val="BodyText"/>
        <w:spacing w:line="232" w:lineRule="auto"/>
        <w:ind w:left="114" w:right="402" w:firstLine="321"/>
        <w:jc w:val="both"/>
        <w:rPr>
          <w:rFonts w:ascii="Arial" w:hAnsi="Arial"/>
          <w:sz w:val="12"/>
        </w:rPr>
      </w:pPr>
      <w:r>
        <w:rPr>
          <w:color w:val="3A3838"/>
          <w:w w:val="110"/>
        </w:rPr>
        <w:t>Judge Karen Williams, of the Fourth Circuit, has also cautioned that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judges may ask questions that try to getattorneys to "concede away [their]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case[s)," stating that counsel should listen carefully to questions that seek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concessions, to ensure that "the judge has accurately restated your argu­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ment. The judge may be leading you down the slippery slope to an absurd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result. At the same time, nothing hurts an advocate's credibility with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court</w:t>
      </w:r>
      <w:r>
        <w:rPr>
          <w:color w:val="3A3838"/>
          <w:spacing w:val="9"/>
          <w:w w:val="110"/>
        </w:rPr>
        <w:t> </w:t>
      </w:r>
      <w:r>
        <w:rPr>
          <w:color w:val="3A3838"/>
          <w:w w:val="110"/>
        </w:rPr>
        <w:t>more</w:t>
      </w:r>
      <w:r>
        <w:rPr>
          <w:color w:val="3A3838"/>
          <w:spacing w:val="-3"/>
          <w:w w:val="110"/>
        </w:rPr>
        <w:t> </w:t>
      </w:r>
      <w:r>
        <w:rPr>
          <w:color w:val="3A3838"/>
          <w:w w:val="110"/>
        </w:rPr>
        <w:t>than</w:t>
      </w:r>
      <w:r>
        <w:rPr>
          <w:color w:val="3A3838"/>
          <w:spacing w:val="2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-18"/>
          <w:w w:val="110"/>
        </w:rPr>
        <w:t> </w:t>
      </w:r>
      <w:r>
        <w:rPr>
          <w:color w:val="3A3838"/>
          <w:w w:val="110"/>
        </w:rPr>
        <w:t>failure</w:t>
      </w:r>
      <w:r>
        <w:rPr>
          <w:color w:val="3A3838"/>
          <w:spacing w:val="-9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17"/>
          <w:w w:val="110"/>
        </w:rPr>
        <w:t> </w:t>
      </w:r>
      <w:r>
        <w:rPr>
          <w:color w:val="3A3838"/>
          <w:w w:val="110"/>
        </w:rPr>
        <w:t>concede an</w:t>
      </w:r>
      <w:r>
        <w:rPr>
          <w:color w:val="3A3838"/>
          <w:spacing w:val="16"/>
          <w:w w:val="110"/>
        </w:rPr>
        <w:t> </w:t>
      </w:r>
      <w:r>
        <w:rPr>
          <w:color w:val="3A3838"/>
          <w:w w:val="110"/>
        </w:rPr>
        <w:t>obvious</w:t>
      </w:r>
      <w:r>
        <w:rPr>
          <w:color w:val="3A3838"/>
          <w:spacing w:val="11"/>
          <w:w w:val="110"/>
        </w:rPr>
        <w:t> </w:t>
      </w:r>
      <w:r>
        <w:rPr>
          <w:color w:val="3A3838"/>
          <w:w w:val="110"/>
        </w:rPr>
        <w:t>point."</w:t>
      </w:r>
      <w:r>
        <w:rPr>
          <w:rFonts w:ascii="Arial" w:hAnsi="Arial"/>
          <w:color w:val="3A3838"/>
          <w:w w:val="110"/>
          <w:position w:val="8"/>
          <w:sz w:val="12"/>
        </w:rPr>
        <w:t>18</w:t>
      </w:r>
    </w:p>
    <w:p>
      <w:pPr>
        <w:pStyle w:val="BodyText"/>
        <w:spacing w:line="232" w:lineRule="auto" w:before="6"/>
        <w:ind w:left="123" w:right="363" w:firstLine="330"/>
        <w:jc w:val="both"/>
      </w:pPr>
      <w:r>
        <w:rPr>
          <w:color w:val="3A3838"/>
          <w:w w:val="110"/>
        </w:rPr>
        <w:t>To sum up, at the end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of your intellectual preparation for the argu­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ment, you should have a command of the issues you plan to discuss,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boundaries of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rule you are advocating, the concessions you are will­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ing to make, the facts of your case, and knowledge of the cases and other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authorities</w:t>
      </w:r>
      <w:r>
        <w:rPr>
          <w:color w:val="3A3838"/>
          <w:spacing w:val="12"/>
          <w:w w:val="110"/>
        </w:rPr>
        <w:t> </w:t>
      </w:r>
      <w:r>
        <w:rPr>
          <w:color w:val="3A3838"/>
          <w:w w:val="110"/>
        </w:rPr>
        <w:t>relevant</w:t>
      </w:r>
      <w:r>
        <w:rPr>
          <w:color w:val="3A3838"/>
          <w:spacing w:val="19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10"/>
          <w:w w:val="110"/>
        </w:rPr>
        <w:t> </w:t>
      </w:r>
      <w:r>
        <w:rPr>
          <w:color w:val="3A3838"/>
          <w:w w:val="110"/>
        </w:rPr>
        <w:t>your</w:t>
      </w:r>
      <w:r>
        <w:rPr>
          <w:color w:val="3A3838"/>
          <w:spacing w:val="-5"/>
          <w:w w:val="110"/>
        </w:rPr>
        <w:t> </w:t>
      </w:r>
      <w:r>
        <w:rPr>
          <w:color w:val="3A3838"/>
          <w:w w:val="110"/>
        </w:rPr>
        <w:t>argument</w:t>
      </w:r>
      <w:r>
        <w:rPr>
          <w:color w:val="3A3838"/>
          <w:spacing w:val="18"/>
          <w:w w:val="110"/>
        </w:rPr>
        <w:t> </w:t>
      </w:r>
      <w:r>
        <w:rPr>
          <w:color w:val="3A3838"/>
          <w:w w:val="110"/>
        </w:rPr>
        <w:t>and</w:t>
      </w:r>
      <w:r>
        <w:rPr>
          <w:color w:val="3A3838"/>
          <w:spacing w:val="15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5"/>
          <w:w w:val="110"/>
        </w:rPr>
        <w:t> </w:t>
      </w:r>
      <w:r>
        <w:rPr>
          <w:color w:val="3A3838"/>
          <w:w w:val="110"/>
        </w:rPr>
        <w:t>your</w:t>
      </w:r>
      <w:r>
        <w:rPr>
          <w:color w:val="3A3838"/>
          <w:spacing w:val="-3"/>
          <w:w w:val="110"/>
        </w:rPr>
        <w:t> </w:t>
      </w:r>
      <w:r>
        <w:rPr>
          <w:color w:val="3A3838"/>
          <w:w w:val="110"/>
        </w:rPr>
        <w:t>opponent.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0"/>
        <w:ind w:left="724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7C7E80"/>
          <w:w w:val="115"/>
          <w:sz w:val="32"/>
        </w:rPr>
        <w:t>13.4</w:t>
      </w:r>
    </w:p>
    <w:p>
      <w:pPr>
        <w:spacing w:line="309" w:lineRule="auto" w:before="74"/>
        <w:ind w:left="728" w:right="0" w:hanging="18"/>
        <w:jc w:val="left"/>
        <w:rPr>
          <w:rFonts w:ascii="Arial"/>
          <w:sz w:val="26"/>
        </w:rPr>
      </w:pPr>
      <w:r>
        <w:rPr>
          <w:rFonts w:ascii="Arial"/>
          <w:color w:val="7C7E80"/>
          <w:w w:val="105"/>
          <w:sz w:val="26"/>
        </w:rPr>
        <w:t>PREPARATION</w:t>
      </w:r>
      <w:r>
        <w:rPr>
          <w:rFonts w:ascii="Arial"/>
          <w:color w:val="7C7E80"/>
          <w:spacing w:val="27"/>
          <w:w w:val="105"/>
          <w:sz w:val="26"/>
        </w:rPr>
        <w:t> </w:t>
      </w:r>
      <w:r>
        <w:rPr>
          <w:rFonts w:ascii="Arial"/>
          <w:color w:val="7C7E80"/>
          <w:w w:val="105"/>
          <w:sz w:val="26"/>
        </w:rPr>
        <w:t>OF</w:t>
      </w:r>
      <w:r>
        <w:rPr>
          <w:rFonts w:ascii="Arial"/>
          <w:color w:val="7C7E80"/>
          <w:spacing w:val="-2"/>
          <w:w w:val="105"/>
          <w:sz w:val="26"/>
        </w:rPr>
        <w:t> </w:t>
      </w:r>
      <w:r>
        <w:rPr>
          <w:rFonts w:ascii="Arial"/>
          <w:color w:val="909193"/>
          <w:w w:val="105"/>
          <w:sz w:val="26"/>
        </w:rPr>
        <w:t>WRITTEN</w:t>
      </w:r>
      <w:r>
        <w:rPr>
          <w:rFonts w:ascii="Arial"/>
          <w:color w:val="909193"/>
          <w:spacing w:val="20"/>
          <w:w w:val="105"/>
          <w:sz w:val="26"/>
        </w:rPr>
        <w:t> </w:t>
      </w:r>
      <w:r>
        <w:rPr>
          <w:rFonts w:ascii="Arial"/>
          <w:color w:val="909193"/>
          <w:w w:val="105"/>
          <w:sz w:val="26"/>
        </w:rPr>
        <w:t>MATERIALS:</w:t>
      </w:r>
      <w:r>
        <w:rPr>
          <w:rFonts w:ascii="Arial"/>
          <w:color w:val="909193"/>
          <w:spacing w:val="24"/>
          <w:w w:val="105"/>
          <w:sz w:val="26"/>
        </w:rPr>
        <w:t> </w:t>
      </w:r>
      <w:r>
        <w:rPr>
          <w:rFonts w:ascii="Arial"/>
          <w:color w:val="909193"/>
          <w:w w:val="105"/>
          <w:sz w:val="26"/>
        </w:rPr>
        <w:t>WHAT</w:t>
      </w:r>
      <w:r>
        <w:rPr>
          <w:rFonts w:ascii="Arial"/>
          <w:color w:val="909193"/>
          <w:spacing w:val="-73"/>
          <w:w w:val="105"/>
          <w:sz w:val="26"/>
        </w:rPr>
        <w:t> </w:t>
      </w:r>
      <w:r>
        <w:rPr>
          <w:rFonts w:ascii="Arial"/>
          <w:color w:val="7C7E80"/>
          <w:w w:val="105"/>
          <w:sz w:val="26"/>
        </w:rPr>
        <w:t>SHOULD</w:t>
      </w:r>
      <w:r>
        <w:rPr>
          <w:rFonts w:ascii="Arial"/>
          <w:color w:val="7C7E80"/>
          <w:spacing w:val="40"/>
          <w:w w:val="105"/>
          <w:sz w:val="26"/>
        </w:rPr>
        <w:t> </w:t>
      </w:r>
      <w:r>
        <w:rPr>
          <w:rFonts w:ascii="Arial"/>
          <w:color w:val="7C7E80"/>
          <w:w w:val="105"/>
          <w:sz w:val="26"/>
        </w:rPr>
        <w:t>YOU</w:t>
      </w:r>
      <w:r>
        <w:rPr>
          <w:rFonts w:ascii="Arial"/>
          <w:color w:val="7C7E80"/>
          <w:spacing w:val="44"/>
          <w:w w:val="105"/>
          <w:sz w:val="26"/>
        </w:rPr>
        <w:t> </w:t>
      </w:r>
      <w:r>
        <w:rPr>
          <w:rFonts w:ascii="Arial"/>
          <w:color w:val="7C7E80"/>
          <w:w w:val="105"/>
          <w:sz w:val="26"/>
        </w:rPr>
        <w:t>BRING</w:t>
      </w:r>
      <w:r>
        <w:rPr>
          <w:rFonts w:ascii="Arial"/>
          <w:color w:val="7C7E80"/>
          <w:spacing w:val="10"/>
          <w:w w:val="105"/>
          <w:sz w:val="26"/>
        </w:rPr>
        <w:t> </w:t>
      </w:r>
      <w:r>
        <w:rPr>
          <w:rFonts w:ascii="Arial"/>
          <w:color w:val="7C7E80"/>
          <w:w w:val="105"/>
          <w:sz w:val="26"/>
        </w:rPr>
        <w:t>TO</w:t>
      </w:r>
      <w:r>
        <w:rPr>
          <w:rFonts w:ascii="Arial"/>
          <w:color w:val="7C7E80"/>
          <w:spacing w:val="15"/>
          <w:w w:val="105"/>
          <w:sz w:val="26"/>
        </w:rPr>
        <w:t> </w:t>
      </w:r>
      <w:r>
        <w:rPr>
          <w:rFonts w:ascii="Arial"/>
          <w:color w:val="7C7E80"/>
          <w:w w:val="105"/>
          <w:sz w:val="26"/>
        </w:rPr>
        <w:t>THE</w:t>
      </w:r>
      <w:r>
        <w:rPr>
          <w:rFonts w:ascii="Arial"/>
          <w:color w:val="7C7E80"/>
          <w:spacing w:val="-2"/>
          <w:w w:val="105"/>
          <w:sz w:val="26"/>
        </w:rPr>
        <w:t> </w:t>
      </w:r>
      <w:r>
        <w:rPr>
          <w:rFonts w:ascii="Arial"/>
          <w:color w:val="7C7E80"/>
          <w:w w:val="105"/>
          <w:sz w:val="26"/>
        </w:rPr>
        <w:t>COURTROOM?</w:t>
      </w:r>
    </w:p>
    <w:p>
      <w:pPr>
        <w:pStyle w:val="BodyText"/>
        <w:spacing w:line="230" w:lineRule="auto" w:before="172"/>
        <w:ind w:left="143" w:right="271" w:firstLine="575"/>
        <w:jc w:val="both"/>
      </w:pPr>
      <w:r>
        <w:rPr>
          <w:color w:val="3A3838"/>
          <w:w w:val="110"/>
        </w:rPr>
        <w:t>At a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minimum, the well-prepared oral advocate should bring two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things to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courtroom: the briefs that have been filed in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current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hearing of the case, and the  joint appendix or other record materials that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are before the  court. In the unusual (but not unheard of) event that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court should ask you to consider information on a particular page in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record or a brief, you want to have the materials there with you. </w:t>
      </w:r>
      <w:r>
        <w:rPr>
          <w:color w:val="3A3838"/>
          <w:w w:val="110"/>
          <w:sz w:val="22"/>
        </w:rPr>
        <w:t>If </w:t>
      </w:r>
      <w:r>
        <w:rPr>
          <w:color w:val="3A3838"/>
          <w:w w:val="110"/>
        </w:rPr>
        <w:t>there is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not enough room at the podium, you may leave them at counsel table so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you</w:t>
      </w:r>
      <w:r>
        <w:rPr>
          <w:color w:val="3A3838"/>
          <w:spacing w:val="-7"/>
          <w:w w:val="110"/>
        </w:rPr>
        <w:t> </w:t>
      </w:r>
      <w:r>
        <w:rPr>
          <w:color w:val="3A3838"/>
          <w:w w:val="110"/>
        </w:rPr>
        <w:t>can</w:t>
      </w:r>
      <w:r>
        <w:rPr>
          <w:color w:val="3A3838"/>
          <w:spacing w:val="34"/>
          <w:w w:val="110"/>
        </w:rPr>
        <w:t> </w:t>
      </w:r>
      <w:r>
        <w:rPr>
          <w:color w:val="3A3838"/>
          <w:w w:val="110"/>
        </w:rPr>
        <w:t>retrieve</w:t>
      </w:r>
      <w:r>
        <w:rPr>
          <w:color w:val="3A3838"/>
          <w:spacing w:val="-1"/>
          <w:w w:val="110"/>
        </w:rPr>
        <w:t> </w:t>
      </w:r>
      <w:r>
        <w:rPr>
          <w:color w:val="3A3838"/>
          <w:w w:val="110"/>
        </w:rPr>
        <w:t>them</w:t>
      </w:r>
      <w:r>
        <w:rPr>
          <w:color w:val="3A3838"/>
          <w:spacing w:val="4"/>
          <w:w w:val="110"/>
        </w:rPr>
        <w:t> </w:t>
      </w:r>
      <w:r>
        <w:rPr>
          <w:color w:val="3A3838"/>
          <w:w w:val="110"/>
        </w:rPr>
        <w:t>if</w:t>
      </w:r>
      <w:r>
        <w:rPr>
          <w:color w:val="3A3838"/>
          <w:spacing w:val="10"/>
          <w:w w:val="110"/>
        </w:rPr>
        <w:t> </w:t>
      </w:r>
      <w:r>
        <w:rPr>
          <w:color w:val="3A3838"/>
          <w:w w:val="110"/>
        </w:rPr>
        <w:t>needed.</w:t>
      </w:r>
    </w:p>
    <w:p>
      <w:pPr>
        <w:pStyle w:val="BodyText"/>
        <w:spacing w:line="235" w:lineRule="auto"/>
        <w:ind w:left="159" w:right="263" w:firstLine="343"/>
        <w:jc w:val="both"/>
      </w:pPr>
      <w:r>
        <w:rPr>
          <w:color w:val="3A3838"/>
          <w:spacing w:val="-1"/>
          <w:w w:val="115"/>
        </w:rPr>
        <w:t>It is </w:t>
      </w:r>
      <w:r>
        <w:rPr>
          <w:color w:val="3A3838"/>
          <w:w w:val="115"/>
        </w:rPr>
        <w:t>also appropriate to bring an outline or some form of notes up to</w:t>
      </w:r>
      <w:r>
        <w:rPr>
          <w:color w:val="3A3838"/>
          <w:spacing w:val="1"/>
          <w:w w:val="115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-2"/>
          <w:w w:val="110"/>
        </w:rPr>
        <w:t> </w:t>
      </w:r>
      <w:r>
        <w:rPr>
          <w:color w:val="3A3838"/>
          <w:w w:val="110"/>
        </w:rPr>
        <w:t>podium,</w:t>
      </w:r>
      <w:r>
        <w:rPr>
          <w:color w:val="3A3838"/>
          <w:spacing w:val="36"/>
          <w:w w:val="110"/>
        </w:rPr>
        <w:t> </w:t>
      </w:r>
      <w:r>
        <w:rPr>
          <w:color w:val="3A3838"/>
          <w:w w:val="110"/>
        </w:rPr>
        <w:t>but</w:t>
      </w:r>
      <w:r>
        <w:rPr>
          <w:color w:val="3A3838"/>
          <w:spacing w:val="28"/>
          <w:w w:val="110"/>
        </w:rPr>
        <w:t> </w:t>
      </w:r>
      <w:r>
        <w:rPr>
          <w:color w:val="3A3838"/>
          <w:w w:val="110"/>
        </w:rPr>
        <w:t>you</w:t>
      </w:r>
      <w:r>
        <w:rPr>
          <w:color w:val="3A3838"/>
          <w:spacing w:val="28"/>
          <w:w w:val="110"/>
        </w:rPr>
        <w:t> </w:t>
      </w:r>
      <w:r>
        <w:rPr>
          <w:color w:val="3A3838"/>
          <w:w w:val="110"/>
        </w:rPr>
        <w:t>should</w:t>
      </w:r>
      <w:r>
        <w:rPr>
          <w:color w:val="3A3838"/>
          <w:spacing w:val="35"/>
          <w:w w:val="110"/>
        </w:rPr>
        <w:t> </w:t>
      </w:r>
      <w:r>
        <w:rPr>
          <w:color w:val="3A3838"/>
          <w:w w:val="110"/>
        </w:rPr>
        <w:t>plan</w:t>
      </w:r>
      <w:r>
        <w:rPr>
          <w:color w:val="3A3838"/>
          <w:spacing w:val="24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39"/>
          <w:w w:val="110"/>
        </w:rPr>
        <w:t> </w:t>
      </w:r>
      <w:r>
        <w:rPr>
          <w:color w:val="3A3838"/>
          <w:w w:val="110"/>
        </w:rPr>
        <w:t>make</w:t>
      </w:r>
      <w:r>
        <w:rPr>
          <w:color w:val="3A3838"/>
          <w:spacing w:val="20"/>
          <w:w w:val="110"/>
        </w:rPr>
        <w:t> </w:t>
      </w:r>
      <w:r>
        <w:rPr>
          <w:color w:val="3A3838"/>
          <w:w w:val="110"/>
        </w:rPr>
        <w:t>these</w:t>
      </w:r>
      <w:r>
        <w:rPr>
          <w:color w:val="3A3838"/>
          <w:spacing w:val="21"/>
          <w:w w:val="110"/>
        </w:rPr>
        <w:t> </w:t>
      </w:r>
      <w:r>
        <w:rPr>
          <w:color w:val="3A3838"/>
          <w:w w:val="110"/>
        </w:rPr>
        <w:t>materials</w:t>
      </w:r>
      <w:r>
        <w:rPr>
          <w:color w:val="3A3838"/>
          <w:spacing w:val="18"/>
          <w:w w:val="110"/>
        </w:rPr>
        <w:t> </w:t>
      </w:r>
      <w:r>
        <w:rPr>
          <w:color w:val="3A3838"/>
          <w:w w:val="110"/>
        </w:rPr>
        <w:t>succinct.</w:t>
      </w:r>
      <w:r>
        <w:rPr>
          <w:color w:val="3A3838"/>
          <w:spacing w:val="-22"/>
          <w:w w:val="110"/>
        </w:rPr>
        <w:t> </w:t>
      </w:r>
      <w:r>
        <w:rPr>
          <w:color w:val="3A3838"/>
          <w:w w:val="110"/>
        </w:rPr>
        <w:t>Judge</w:t>
      </w:r>
    </w:p>
    <w:p>
      <w:pPr>
        <w:pStyle w:val="BodyText"/>
        <w:rPr>
          <w:sz w:val="26"/>
        </w:rPr>
      </w:pPr>
    </w:p>
    <w:p>
      <w:pPr>
        <w:spacing w:line="200" w:lineRule="exact" w:before="195"/>
        <w:ind w:left="516" w:right="0" w:firstLine="0"/>
        <w:jc w:val="left"/>
        <w:rPr>
          <w:sz w:val="18"/>
        </w:rPr>
      </w:pPr>
      <w:r>
        <w:rPr>
          <w:color w:val="3A3838"/>
          <w:w w:val="110"/>
          <w:sz w:val="18"/>
        </w:rPr>
        <w:t>"Ginsburg,</w:t>
      </w:r>
      <w:r>
        <w:rPr>
          <w:color w:val="3A3838"/>
          <w:spacing w:val="-1"/>
          <w:w w:val="110"/>
          <w:sz w:val="18"/>
        </w:rPr>
        <w:t> </w:t>
      </w:r>
      <w:r>
        <w:rPr>
          <w:rFonts w:ascii="Arial"/>
          <w:i/>
          <w:color w:val="3A3838"/>
          <w:w w:val="110"/>
          <w:sz w:val="16"/>
        </w:rPr>
        <w:t>supra</w:t>
      </w:r>
      <w:r>
        <w:rPr>
          <w:rFonts w:ascii="Arial"/>
          <w:i/>
          <w:color w:val="3A3838"/>
          <w:spacing w:val="3"/>
          <w:w w:val="110"/>
          <w:sz w:val="16"/>
        </w:rPr>
        <w:t> </w:t>
      </w:r>
      <w:r>
        <w:rPr>
          <w:color w:val="3A3838"/>
          <w:w w:val="110"/>
          <w:sz w:val="18"/>
        </w:rPr>
        <w:t>note</w:t>
      </w:r>
      <w:r>
        <w:rPr>
          <w:color w:val="3A3838"/>
          <w:spacing w:val="-10"/>
          <w:w w:val="110"/>
          <w:sz w:val="18"/>
        </w:rPr>
        <w:t> </w:t>
      </w:r>
      <w:r>
        <w:rPr>
          <w:rFonts w:ascii="Arial"/>
          <w:color w:val="3A3838"/>
          <w:w w:val="110"/>
          <w:sz w:val="17"/>
        </w:rPr>
        <w:t>1.</w:t>
      </w:r>
      <w:r>
        <w:rPr>
          <w:rFonts w:ascii="Arial"/>
          <w:color w:val="3A3838"/>
          <w:spacing w:val="-15"/>
          <w:w w:val="110"/>
          <w:sz w:val="17"/>
        </w:rPr>
        <w:t> </w:t>
      </w:r>
      <w:r>
        <w:rPr>
          <w:color w:val="3A3838"/>
          <w:w w:val="110"/>
          <w:sz w:val="18"/>
        </w:rPr>
        <w:t>at</w:t>
      </w:r>
      <w:r>
        <w:rPr>
          <w:color w:val="3A3838"/>
          <w:spacing w:val="14"/>
          <w:w w:val="110"/>
          <w:sz w:val="18"/>
        </w:rPr>
        <w:t> </w:t>
      </w:r>
      <w:r>
        <w:rPr>
          <w:color w:val="3A3838"/>
          <w:w w:val="110"/>
          <w:sz w:val="18"/>
        </w:rPr>
        <w:t>569.</w:t>
      </w:r>
    </w:p>
    <w:p>
      <w:pPr>
        <w:spacing w:line="200" w:lineRule="exact" w:before="0"/>
        <w:ind w:left="516" w:right="0" w:firstLine="0"/>
        <w:jc w:val="left"/>
        <w:rPr>
          <w:sz w:val="18"/>
        </w:rPr>
      </w:pPr>
      <w:r>
        <w:rPr>
          <w:color w:val="3A3838"/>
          <w:w w:val="110"/>
          <w:sz w:val="18"/>
        </w:rPr>
        <w:t>"Williams,</w:t>
      </w:r>
      <w:r>
        <w:rPr>
          <w:color w:val="3A3838"/>
          <w:spacing w:val="2"/>
          <w:w w:val="110"/>
          <w:sz w:val="18"/>
        </w:rPr>
        <w:t> </w:t>
      </w:r>
      <w:r>
        <w:rPr>
          <w:rFonts w:ascii="Arial"/>
          <w:i/>
          <w:color w:val="3A3838"/>
          <w:w w:val="110"/>
          <w:sz w:val="16"/>
        </w:rPr>
        <w:t>supra </w:t>
      </w:r>
      <w:r>
        <w:rPr>
          <w:color w:val="3A3838"/>
          <w:w w:val="110"/>
          <w:sz w:val="18"/>
        </w:rPr>
        <w:t>note</w:t>
      </w:r>
      <w:r>
        <w:rPr>
          <w:color w:val="3A3838"/>
          <w:spacing w:val="-13"/>
          <w:w w:val="110"/>
          <w:sz w:val="18"/>
        </w:rPr>
        <w:t> </w:t>
      </w:r>
      <w:r>
        <w:rPr>
          <w:color w:val="3A3838"/>
          <w:w w:val="110"/>
          <w:sz w:val="18"/>
        </w:rPr>
        <w:t>9,</w:t>
      </w:r>
      <w:r>
        <w:rPr>
          <w:color w:val="3A3838"/>
          <w:spacing w:val="-10"/>
          <w:w w:val="110"/>
          <w:sz w:val="18"/>
        </w:rPr>
        <w:t> </w:t>
      </w:r>
      <w:r>
        <w:rPr>
          <w:color w:val="3A3838"/>
          <w:w w:val="110"/>
          <w:sz w:val="18"/>
        </w:rPr>
        <w:t>at</w:t>
      </w:r>
      <w:r>
        <w:rPr>
          <w:color w:val="3A3838"/>
          <w:spacing w:val="5"/>
          <w:w w:val="110"/>
          <w:sz w:val="18"/>
        </w:rPr>
        <w:t> </w:t>
      </w:r>
      <w:r>
        <w:rPr>
          <w:color w:val="4F4F50"/>
          <w:w w:val="110"/>
          <w:sz w:val="18"/>
        </w:rPr>
        <w:t>599.</w:t>
      </w:r>
    </w:p>
    <w:p>
      <w:pPr>
        <w:spacing w:after="0" w:line="200" w:lineRule="exact"/>
        <w:jc w:val="left"/>
        <w:rPr>
          <w:sz w:val="18"/>
        </w:rPr>
        <w:sectPr>
          <w:pgSz w:w="9710" w:h="13990"/>
          <w:pgMar w:header="582" w:footer="0" w:top="780" w:bottom="280" w:left="340" w:right="1340"/>
        </w:sectPr>
      </w:pPr>
    </w:p>
    <w:p>
      <w:pPr>
        <w:pStyle w:val="BodyText"/>
        <w:spacing w:line="235" w:lineRule="auto" w:before="85"/>
        <w:ind w:left="657" w:right="123" w:firstLine="5"/>
        <w:jc w:val="both"/>
      </w:pPr>
      <w:r>
        <w:rPr>
          <w:color w:val="383636"/>
          <w:w w:val="110"/>
        </w:rPr>
        <w:t>Wiener, of the Fifth Circuit, has advised that counsel should not "bring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lots of documents to the lectern-shuffling books and papers and reading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from them interrupts the flow of your presentation and paints a pictureof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an</w:t>
      </w:r>
      <w:r>
        <w:rPr>
          <w:color w:val="383636"/>
          <w:spacing w:val="54"/>
          <w:w w:val="110"/>
        </w:rPr>
        <w:t> </w:t>
      </w:r>
      <w:r>
        <w:rPr>
          <w:color w:val="383636"/>
          <w:w w:val="110"/>
        </w:rPr>
        <w:t>unprepared</w:t>
      </w:r>
      <w:r>
        <w:rPr>
          <w:color w:val="383636"/>
          <w:spacing w:val="-1"/>
          <w:w w:val="110"/>
        </w:rPr>
        <w:t> </w:t>
      </w:r>
      <w:r>
        <w:rPr>
          <w:color w:val="383636"/>
          <w:w w:val="110"/>
        </w:rPr>
        <w:t>or</w:t>
      </w:r>
      <w:r>
        <w:rPr>
          <w:color w:val="383636"/>
          <w:spacing w:val="9"/>
          <w:w w:val="110"/>
        </w:rPr>
        <w:t> </w:t>
      </w:r>
      <w:r>
        <w:rPr>
          <w:color w:val="383636"/>
          <w:w w:val="110"/>
        </w:rPr>
        <w:t>bumbling</w:t>
      </w:r>
      <w:r>
        <w:rPr>
          <w:color w:val="383636"/>
          <w:spacing w:val="-14"/>
          <w:w w:val="110"/>
        </w:rPr>
        <w:t> </w:t>
      </w:r>
      <w:r>
        <w:rPr>
          <w:color w:val="383636"/>
          <w:w w:val="110"/>
        </w:rPr>
        <w:t>advocate."</w:t>
      </w:r>
      <w:r>
        <w:rPr>
          <w:color w:val="383636"/>
          <w:w w:val="110"/>
          <w:vertAlign w:val="superscript"/>
        </w:rPr>
        <w:t>19</w:t>
      </w:r>
    </w:p>
    <w:p>
      <w:pPr>
        <w:pStyle w:val="BodyText"/>
        <w:spacing w:line="232" w:lineRule="auto"/>
        <w:ind w:left="638" w:right="117" w:firstLine="397"/>
        <w:jc w:val="both"/>
      </w:pPr>
      <w:r>
        <w:rPr>
          <w:color w:val="383636"/>
          <w:w w:val="110"/>
        </w:rPr>
        <w:t>It is the tradition at many law schools for students to use a manila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folder</w:t>
      </w:r>
      <w:r>
        <w:rPr>
          <w:color w:val="383636"/>
          <w:spacing w:val="-5"/>
          <w:w w:val="110"/>
        </w:rPr>
        <w:t> </w:t>
      </w:r>
      <w:r>
        <w:rPr>
          <w:color w:val="383636"/>
          <w:w w:val="110"/>
        </w:rPr>
        <w:t>for</w:t>
      </w:r>
      <w:r>
        <w:rPr>
          <w:color w:val="383636"/>
          <w:spacing w:val="-13"/>
          <w:w w:val="110"/>
        </w:rPr>
        <w:t> </w:t>
      </w:r>
      <w:r>
        <w:rPr>
          <w:color w:val="383636"/>
          <w:w w:val="110"/>
        </w:rPr>
        <w:t>their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notes;</w:t>
      </w:r>
      <w:r>
        <w:rPr>
          <w:color w:val="383636"/>
          <w:spacing w:val="-16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5"/>
          <w:w w:val="110"/>
        </w:rPr>
        <w:t> </w:t>
      </w:r>
      <w:r>
        <w:rPr>
          <w:color w:val="383636"/>
          <w:w w:val="110"/>
        </w:rPr>
        <w:t>students</w:t>
      </w:r>
      <w:r>
        <w:rPr>
          <w:color w:val="383636"/>
          <w:spacing w:val="-9"/>
          <w:w w:val="110"/>
        </w:rPr>
        <w:t> </w:t>
      </w:r>
      <w:r>
        <w:rPr>
          <w:color w:val="383636"/>
          <w:w w:val="110"/>
        </w:rPr>
        <w:t>either</w:t>
      </w:r>
      <w:r>
        <w:rPr>
          <w:color w:val="383636"/>
          <w:spacing w:val="-5"/>
          <w:w w:val="110"/>
        </w:rPr>
        <w:t> </w:t>
      </w:r>
      <w:r>
        <w:rPr>
          <w:color w:val="383636"/>
          <w:w w:val="110"/>
        </w:rPr>
        <w:t>write</w:t>
      </w:r>
      <w:r>
        <w:rPr>
          <w:color w:val="383636"/>
          <w:spacing w:val="-22"/>
          <w:w w:val="110"/>
        </w:rPr>
        <w:t> </w:t>
      </w:r>
      <w:r>
        <w:rPr>
          <w:color w:val="383636"/>
          <w:w w:val="110"/>
        </w:rPr>
        <w:t>their</w:t>
      </w:r>
      <w:r>
        <w:rPr>
          <w:color w:val="383636"/>
          <w:spacing w:val="-8"/>
          <w:w w:val="110"/>
        </w:rPr>
        <w:t> </w:t>
      </w:r>
      <w:r>
        <w:rPr>
          <w:color w:val="383636"/>
          <w:w w:val="110"/>
        </w:rPr>
        <w:t>noteson</w:t>
      </w:r>
      <w:r>
        <w:rPr>
          <w:color w:val="383636"/>
          <w:spacing w:val="1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-29"/>
          <w:w w:val="110"/>
        </w:rPr>
        <w:t> </w:t>
      </w:r>
      <w:r>
        <w:rPr>
          <w:color w:val="383636"/>
          <w:w w:val="110"/>
        </w:rPr>
        <w:t>four</w:t>
      </w:r>
      <w:r>
        <w:rPr>
          <w:color w:val="383636"/>
          <w:spacing w:val="-20"/>
          <w:w w:val="110"/>
        </w:rPr>
        <w:t> </w:t>
      </w:r>
      <w:r>
        <w:rPr>
          <w:color w:val="383636"/>
          <w:w w:val="110"/>
        </w:rPr>
        <w:t>sides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of the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folder, or prepare them on a word processor and  tape or staple them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in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place. The advantage of a manila folder is that it gives the advocate four</w:t>
      </w:r>
      <w:r>
        <w:rPr>
          <w:color w:val="383636"/>
          <w:spacing w:val="1"/>
          <w:w w:val="105"/>
        </w:rPr>
        <w:t> </w:t>
      </w:r>
      <w:r>
        <w:rPr>
          <w:color w:val="383636"/>
          <w:spacing w:val="-1"/>
          <w:w w:val="110"/>
        </w:rPr>
        <w:t>pages</w:t>
      </w:r>
      <w:r>
        <w:rPr>
          <w:color w:val="383636"/>
          <w:spacing w:val="-17"/>
          <w:w w:val="110"/>
        </w:rPr>
        <w:t> </w:t>
      </w:r>
      <w:r>
        <w:rPr>
          <w:color w:val="383636"/>
          <w:spacing w:val="-1"/>
          <w:w w:val="110"/>
        </w:rPr>
        <w:t>that</w:t>
      </w:r>
      <w:r>
        <w:rPr>
          <w:color w:val="383636"/>
          <w:spacing w:val="-29"/>
          <w:w w:val="110"/>
        </w:rPr>
        <w:t> </w:t>
      </w:r>
      <w:r>
        <w:rPr>
          <w:color w:val="383636"/>
          <w:spacing w:val="-1"/>
          <w:w w:val="110"/>
        </w:rPr>
        <w:t>stay</w:t>
      </w:r>
      <w:r>
        <w:rPr>
          <w:color w:val="383636"/>
          <w:spacing w:val="-28"/>
          <w:w w:val="110"/>
        </w:rPr>
        <w:t> </w:t>
      </w:r>
      <w:r>
        <w:rPr>
          <w:color w:val="383636"/>
          <w:spacing w:val="-1"/>
          <w:w w:val="110"/>
        </w:rPr>
        <w:t>in</w:t>
      </w:r>
      <w:r>
        <w:rPr>
          <w:color w:val="383636"/>
          <w:spacing w:val="6"/>
          <w:w w:val="110"/>
        </w:rPr>
        <w:t> </w:t>
      </w:r>
      <w:r>
        <w:rPr>
          <w:color w:val="383636"/>
          <w:spacing w:val="-1"/>
          <w:w w:val="110"/>
        </w:rPr>
        <w:t>order</w:t>
      </w:r>
      <w:r>
        <w:rPr>
          <w:color w:val="383636"/>
          <w:spacing w:val="-22"/>
          <w:w w:val="110"/>
        </w:rPr>
        <w:t> </w:t>
      </w:r>
      <w:r>
        <w:rPr>
          <w:color w:val="383636"/>
          <w:spacing w:val="-1"/>
          <w:w w:val="110"/>
        </w:rPr>
        <w:t>even</w:t>
      </w:r>
      <w:r>
        <w:rPr>
          <w:color w:val="383636"/>
          <w:spacing w:val="-14"/>
          <w:w w:val="110"/>
        </w:rPr>
        <w:t> </w:t>
      </w:r>
      <w:r>
        <w:rPr>
          <w:color w:val="383636"/>
          <w:spacing w:val="-1"/>
          <w:w w:val="110"/>
        </w:rPr>
        <w:t>if</w:t>
      </w:r>
      <w:r>
        <w:rPr>
          <w:color w:val="383636"/>
          <w:spacing w:val="-16"/>
          <w:w w:val="110"/>
        </w:rPr>
        <w:t> </w:t>
      </w:r>
      <w:r>
        <w:rPr>
          <w:color w:val="383636"/>
          <w:w w:val="110"/>
        </w:rPr>
        <w:t>dropped.</w:t>
      </w:r>
      <w:r>
        <w:rPr>
          <w:color w:val="383636"/>
          <w:spacing w:val="-13"/>
          <w:w w:val="110"/>
        </w:rPr>
        <w:t> </w:t>
      </w:r>
      <w:r>
        <w:rPr>
          <w:color w:val="383636"/>
          <w:w w:val="110"/>
        </w:rPr>
        <w:t>Also,</w:t>
      </w:r>
      <w:r>
        <w:rPr>
          <w:color w:val="383636"/>
          <w:spacing w:val="-14"/>
          <w:w w:val="110"/>
        </w:rPr>
        <w:t> </w:t>
      </w:r>
      <w:r>
        <w:rPr>
          <w:color w:val="383636"/>
          <w:w w:val="110"/>
        </w:rPr>
        <w:t>four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pages</w:t>
      </w:r>
      <w:r>
        <w:rPr>
          <w:color w:val="383636"/>
          <w:spacing w:val="-32"/>
          <w:w w:val="110"/>
        </w:rPr>
        <w:t> </w:t>
      </w:r>
      <w:r>
        <w:rPr>
          <w:color w:val="383636"/>
          <w:w w:val="110"/>
        </w:rPr>
        <w:t>is</w:t>
      </w:r>
      <w:r>
        <w:rPr>
          <w:color w:val="383636"/>
          <w:spacing w:val="-18"/>
          <w:w w:val="110"/>
        </w:rPr>
        <w:t> </w:t>
      </w:r>
      <w:r>
        <w:rPr>
          <w:color w:val="383636"/>
          <w:w w:val="110"/>
        </w:rPr>
        <w:t>about</w:t>
      </w:r>
      <w:r>
        <w:rPr>
          <w:color w:val="383636"/>
          <w:spacing w:val="-16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-19"/>
          <w:w w:val="110"/>
        </w:rPr>
        <w:t> </w:t>
      </w:r>
      <w:r>
        <w:rPr>
          <w:color w:val="383636"/>
          <w:w w:val="110"/>
        </w:rPr>
        <w:t>max­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imum nwnber that the oral advocate should try to look at. Many students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use the interior of the folder for their main outline and store information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about</w:t>
      </w:r>
      <w:r>
        <w:rPr>
          <w:color w:val="383636"/>
          <w:spacing w:val="-3"/>
          <w:w w:val="105"/>
        </w:rPr>
        <w:t> </w:t>
      </w:r>
      <w:r>
        <w:rPr>
          <w:color w:val="383636"/>
          <w:w w:val="105"/>
        </w:rPr>
        <w:t>facts</w:t>
      </w:r>
      <w:r>
        <w:rPr>
          <w:color w:val="383636"/>
          <w:spacing w:val="-19"/>
          <w:w w:val="105"/>
        </w:rPr>
        <w:t> </w:t>
      </w:r>
      <w:r>
        <w:rPr>
          <w:color w:val="383636"/>
          <w:w w:val="105"/>
        </w:rPr>
        <w:t>and</w:t>
      </w:r>
      <w:r>
        <w:rPr>
          <w:color w:val="383636"/>
          <w:spacing w:val="23"/>
          <w:w w:val="105"/>
        </w:rPr>
        <w:t> </w:t>
      </w:r>
      <w:r>
        <w:rPr>
          <w:color w:val="383636"/>
          <w:w w:val="105"/>
        </w:rPr>
        <w:t>cases,</w:t>
      </w:r>
      <w:r>
        <w:rPr>
          <w:color w:val="383636"/>
          <w:spacing w:val="12"/>
          <w:w w:val="105"/>
        </w:rPr>
        <w:t> </w:t>
      </w:r>
      <w:r>
        <w:rPr>
          <w:color w:val="383636"/>
          <w:w w:val="105"/>
        </w:rPr>
        <w:t>to</w:t>
      </w:r>
      <w:r>
        <w:rPr>
          <w:color w:val="383636"/>
          <w:spacing w:val="33"/>
          <w:w w:val="105"/>
        </w:rPr>
        <w:t> </w:t>
      </w:r>
      <w:r>
        <w:rPr>
          <w:color w:val="383636"/>
          <w:w w:val="105"/>
        </w:rPr>
        <w:t>be</w:t>
      </w:r>
      <w:r>
        <w:rPr>
          <w:color w:val="383636"/>
          <w:spacing w:val="23"/>
          <w:w w:val="105"/>
        </w:rPr>
        <w:t> </w:t>
      </w:r>
      <w:r>
        <w:rPr>
          <w:color w:val="383636"/>
          <w:w w:val="105"/>
        </w:rPr>
        <w:t>referred</w:t>
      </w:r>
      <w:r>
        <w:rPr>
          <w:color w:val="383636"/>
          <w:spacing w:val="30"/>
          <w:w w:val="105"/>
        </w:rPr>
        <w:t> </w:t>
      </w:r>
      <w:r>
        <w:rPr>
          <w:color w:val="383636"/>
          <w:w w:val="105"/>
        </w:rPr>
        <w:t>to</w:t>
      </w:r>
      <w:r>
        <w:rPr>
          <w:color w:val="383636"/>
          <w:spacing w:val="26"/>
          <w:w w:val="105"/>
        </w:rPr>
        <w:t> </w:t>
      </w:r>
      <w:r>
        <w:rPr>
          <w:color w:val="383636"/>
          <w:w w:val="105"/>
        </w:rPr>
        <w:t>if</w:t>
      </w:r>
      <w:r>
        <w:rPr>
          <w:color w:val="383636"/>
          <w:spacing w:val="11"/>
          <w:w w:val="105"/>
        </w:rPr>
        <w:t> </w:t>
      </w:r>
      <w:r>
        <w:rPr>
          <w:color w:val="383636"/>
          <w:w w:val="105"/>
        </w:rPr>
        <w:t>needed,</w:t>
      </w:r>
      <w:r>
        <w:rPr>
          <w:color w:val="383636"/>
          <w:spacing w:val="8"/>
          <w:w w:val="105"/>
        </w:rPr>
        <w:t> </w:t>
      </w:r>
      <w:r>
        <w:rPr>
          <w:color w:val="383636"/>
          <w:w w:val="105"/>
        </w:rPr>
        <w:t>on</w:t>
      </w:r>
      <w:r>
        <w:rPr>
          <w:color w:val="383636"/>
          <w:spacing w:val="36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26"/>
          <w:w w:val="105"/>
        </w:rPr>
        <w:t> </w:t>
      </w:r>
      <w:r>
        <w:rPr>
          <w:color w:val="383636"/>
          <w:w w:val="105"/>
        </w:rPr>
        <w:t>outside.</w:t>
      </w:r>
    </w:p>
    <w:p>
      <w:pPr>
        <w:pStyle w:val="BodyText"/>
        <w:spacing w:line="235" w:lineRule="auto"/>
        <w:ind w:left="615" w:right="120" w:firstLine="392"/>
        <w:jc w:val="both"/>
      </w:pPr>
      <w:r>
        <w:rPr>
          <w:color w:val="383636"/>
          <w:w w:val="105"/>
          <w:sz w:val="22"/>
        </w:rPr>
        <w:t>If </w:t>
      </w:r>
      <w:r>
        <w:rPr>
          <w:color w:val="383636"/>
          <w:w w:val="105"/>
        </w:rPr>
        <w:t>you want a more professional look, it is fine to use a </w:t>
      </w:r>
      <w:r>
        <w:rPr>
          <w:i/>
          <w:color w:val="383636"/>
          <w:w w:val="105"/>
        </w:rPr>
        <w:t>slim </w:t>
      </w:r>
      <w:r>
        <w:rPr>
          <w:color w:val="383636"/>
          <w:w w:val="105"/>
        </w:rPr>
        <w:t>three-ring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binder instead of a manila folder. A binder will look better on the way to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and from the podium, although the pages may be more difficult to tum.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Furthermore, having a binder that allows multiple pages may tempt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advocate to write a more detailed outline, or even to write out the text of</w:t>
      </w:r>
      <w:r>
        <w:rPr>
          <w:color w:val="383636"/>
          <w:spacing w:val="1"/>
          <w:w w:val="110"/>
        </w:rPr>
        <w:t> </w:t>
      </w:r>
      <w:r>
        <w:rPr>
          <w:color w:val="383636"/>
          <w:spacing w:val="-1"/>
          <w:w w:val="110"/>
        </w:rPr>
        <w:t>the</w:t>
      </w:r>
      <w:r>
        <w:rPr>
          <w:color w:val="383636"/>
          <w:spacing w:val="41"/>
          <w:w w:val="110"/>
        </w:rPr>
        <w:t> </w:t>
      </w:r>
      <w:r>
        <w:rPr>
          <w:color w:val="383636"/>
          <w:spacing w:val="-1"/>
          <w:w w:val="110"/>
        </w:rPr>
        <w:t>argument.</w:t>
      </w:r>
      <w:r>
        <w:rPr>
          <w:color w:val="383636"/>
          <w:spacing w:val="-12"/>
          <w:w w:val="110"/>
        </w:rPr>
        <w:t> </w:t>
      </w:r>
      <w:r>
        <w:rPr>
          <w:color w:val="383636"/>
          <w:spacing w:val="-1"/>
          <w:w w:val="110"/>
          <w:sz w:val="22"/>
        </w:rPr>
        <w:t>If</w:t>
      </w:r>
      <w:r>
        <w:rPr>
          <w:color w:val="383636"/>
          <w:spacing w:val="-7"/>
          <w:w w:val="110"/>
          <w:sz w:val="22"/>
        </w:rPr>
        <w:t> </w:t>
      </w:r>
      <w:r>
        <w:rPr>
          <w:color w:val="383636"/>
          <w:spacing w:val="-1"/>
          <w:w w:val="110"/>
        </w:rPr>
        <w:t>you</w:t>
      </w:r>
      <w:r>
        <w:rPr>
          <w:color w:val="383636"/>
          <w:spacing w:val="-18"/>
          <w:w w:val="110"/>
        </w:rPr>
        <w:t> </w:t>
      </w:r>
      <w:r>
        <w:rPr>
          <w:color w:val="383636"/>
          <w:spacing w:val="-1"/>
          <w:w w:val="110"/>
        </w:rPr>
        <w:t>do</w:t>
      </w:r>
      <w:r>
        <w:rPr>
          <w:color w:val="383636"/>
          <w:spacing w:val="-2"/>
          <w:w w:val="110"/>
        </w:rPr>
        <w:t> </w:t>
      </w:r>
      <w:r>
        <w:rPr>
          <w:color w:val="383636"/>
          <w:spacing w:val="-1"/>
          <w:w w:val="110"/>
        </w:rPr>
        <w:t>use</w:t>
      </w:r>
      <w:r>
        <w:rPr>
          <w:color w:val="383636"/>
          <w:spacing w:val="-24"/>
          <w:w w:val="110"/>
        </w:rPr>
        <w:t> </w:t>
      </w:r>
      <w:r>
        <w:rPr>
          <w:color w:val="383636"/>
          <w:spacing w:val="-1"/>
          <w:w w:val="110"/>
        </w:rPr>
        <w:t>a</w:t>
      </w:r>
      <w:r>
        <w:rPr>
          <w:color w:val="383636"/>
          <w:spacing w:val="-4"/>
          <w:w w:val="110"/>
        </w:rPr>
        <w:t> </w:t>
      </w:r>
      <w:r>
        <w:rPr>
          <w:color w:val="383636"/>
          <w:spacing w:val="-1"/>
          <w:w w:val="110"/>
        </w:rPr>
        <w:t>binder,</w:t>
      </w:r>
      <w:r>
        <w:rPr>
          <w:color w:val="383636"/>
          <w:spacing w:val="-24"/>
          <w:w w:val="110"/>
        </w:rPr>
        <w:t> </w:t>
      </w:r>
      <w:r>
        <w:rPr>
          <w:color w:val="383636"/>
          <w:spacing w:val="-1"/>
          <w:w w:val="110"/>
        </w:rPr>
        <w:t>consider</w:t>
      </w:r>
      <w:r>
        <w:rPr>
          <w:color w:val="383636"/>
          <w:spacing w:val="-14"/>
          <w:w w:val="110"/>
        </w:rPr>
        <w:t> </w:t>
      </w:r>
      <w:r>
        <w:rPr>
          <w:color w:val="383636"/>
          <w:w w:val="110"/>
        </w:rPr>
        <w:t>adding</w:t>
      </w:r>
      <w:r>
        <w:rPr>
          <w:color w:val="383636"/>
          <w:spacing w:val="-18"/>
          <w:w w:val="110"/>
        </w:rPr>
        <w:t> </w:t>
      </w:r>
      <w:r>
        <w:rPr>
          <w:color w:val="383636"/>
          <w:w w:val="110"/>
        </w:rPr>
        <w:t>tabs</w:t>
      </w:r>
      <w:r>
        <w:rPr>
          <w:color w:val="383636"/>
          <w:spacing w:val="-27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-10"/>
          <w:w w:val="110"/>
        </w:rPr>
        <w:t> </w:t>
      </w:r>
      <w:r>
        <w:rPr>
          <w:color w:val="383636"/>
          <w:w w:val="110"/>
        </w:rPr>
        <w:t>make</w:t>
      </w:r>
      <w:r>
        <w:rPr>
          <w:color w:val="383636"/>
          <w:spacing w:val="-16"/>
          <w:w w:val="110"/>
        </w:rPr>
        <w:t> </w:t>
      </w:r>
      <w:r>
        <w:rPr>
          <w:color w:val="383636"/>
          <w:w w:val="110"/>
        </w:rPr>
        <w:t>turning</w:t>
      </w:r>
      <w:r>
        <w:rPr>
          <w:color w:val="383636"/>
          <w:spacing w:val="1"/>
          <w:w w:val="110"/>
        </w:rPr>
        <w:t> </w:t>
      </w:r>
      <w:r>
        <w:rPr>
          <w:color w:val="383636"/>
          <w:spacing w:val="-1"/>
          <w:w w:val="110"/>
        </w:rPr>
        <w:t>the</w:t>
      </w:r>
      <w:r>
        <w:rPr>
          <w:color w:val="383636"/>
          <w:spacing w:val="38"/>
          <w:w w:val="110"/>
        </w:rPr>
        <w:t> </w:t>
      </w:r>
      <w:r>
        <w:rPr>
          <w:color w:val="383636"/>
          <w:spacing w:val="-1"/>
          <w:w w:val="110"/>
        </w:rPr>
        <w:t>pages</w:t>
      </w:r>
      <w:r>
        <w:rPr>
          <w:color w:val="383636"/>
          <w:spacing w:val="-13"/>
          <w:w w:val="110"/>
        </w:rPr>
        <w:t> </w:t>
      </w:r>
      <w:r>
        <w:rPr>
          <w:color w:val="383636"/>
          <w:spacing w:val="-1"/>
          <w:w w:val="110"/>
        </w:rPr>
        <w:t>easier,</w:t>
      </w:r>
      <w:r>
        <w:rPr>
          <w:color w:val="383636"/>
          <w:spacing w:val="-4"/>
          <w:w w:val="110"/>
        </w:rPr>
        <w:t> </w:t>
      </w:r>
      <w:r>
        <w:rPr>
          <w:color w:val="383636"/>
          <w:spacing w:val="-1"/>
          <w:w w:val="110"/>
        </w:rPr>
        <w:t>and</w:t>
      </w:r>
      <w:r>
        <w:rPr>
          <w:color w:val="383636"/>
          <w:spacing w:val="37"/>
          <w:w w:val="110"/>
        </w:rPr>
        <w:t> </w:t>
      </w:r>
      <w:r>
        <w:rPr>
          <w:color w:val="383636"/>
          <w:w w:val="110"/>
        </w:rPr>
        <w:t>strive</w:t>
      </w:r>
      <w:r>
        <w:rPr>
          <w:color w:val="383636"/>
          <w:spacing w:val="-6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2"/>
          <w:w w:val="110"/>
        </w:rPr>
        <w:t> </w:t>
      </w:r>
      <w:r>
        <w:rPr>
          <w:color w:val="383636"/>
          <w:w w:val="110"/>
        </w:rPr>
        <w:t>include</w:t>
      </w:r>
      <w:r>
        <w:rPr>
          <w:color w:val="383636"/>
          <w:spacing w:val="-2"/>
          <w:w w:val="110"/>
        </w:rPr>
        <w:t> </w:t>
      </w:r>
      <w:r>
        <w:rPr>
          <w:color w:val="383636"/>
          <w:w w:val="110"/>
        </w:rPr>
        <w:t>no</w:t>
      </w:r>
      <w:r>
        <w:rPr>
          <w:color w:val="383636"/>
          <w:spacing w:val="9"/>
          <w:w w:val="110"/>
        </w:rPr>
        <w:t> </w:t>
      </w:r>
      <w:r>
        <w:rPr>
          <w:color w:val="383636"/>
          <w:w w:val="110"/>
        </w:rPr>
        <w:t>more</w:t>
      </w:r>
      <w:r>
        <w:rPr>
          <w:color w:val="383636"/>
          <w:spacing w:val="-16"/>
          <w:w w:val="110"/>
        </w:rPr>
        <w:t> </w:t>
      </w:r>
      <w:r>
        <w:rPr>
          <w:color w:val="383636"/>
          <w:w w:val="110"/>
        </w:rPr>
        <w:t>than</w:t>
      </w:r>
      <w:r>
        <w:rPr>
          <w:color w:val="383636"/>
          <w:spacing w:val="-8"/>
          <w:w w:val="110"/>
        </w:rPr>
        <w:t> </w:t>
      </w:r>
      <w:r>
        <w:rPr>
          <w:color w:val="383636"/>
          <w:w w:val="110"/>
        </w:rPr>
        <w:t>four</w:t>
      </w:r>
      <w:r>
        <w:rPr>
          <w:color w:val="383636"/>
          <w:spacing w:val="-9"/>
          <w:w w:val="110"/>
        </w:rPr>
        <w:t> </w:t>
      </w:r>
      <w:r>
        <w:rPr>
          <w:color w:val="383636"/>
          <w:w w:val="110"/>
        </w:rPr>
        <w:t>pages</w:t>
      </w:r>
      <w:r>
        <w:rPr>
          <w:color w:val="383636"/>
          <w:spacing w:val="-23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notes.</w:t>
      </w:r>
    </w:p>
    <w:p>
      <w:pPr>
        <w:pStyle w:val="BodyText"/>
        <w:spacing w:line="235" w:lineRule="auto"/>
        <w:ind w:left="580" w:right="120" w:firstLine="391"/>
        <w:jc w:val="both"/>
      </w:pPr>
      <w:r>
        <w:rPr>
          <w:color w:val="383636"/>
          <w:w w:val="110"/>
        </w:rPr>
        <w:t>Although the anxious advocate may believe that writing out a pre­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pared speech will be a tonic to the nerves, reading from a prepared text is</w:t>
      </w:r>
      <w:r>
        <w:rPr>
          <w:color w:val="383636"/>
          <w:spacing w:val="1"/>
          <w:w w:val="105"/>
        </w:rPr>
        <w:t> </w:t>
      </w:r>
      <w:r>
        <w:rPr>
          <w:color w:val="383636"/>
          <w:spacing w:val="-1"/>
          <w:w w:val="110"/>
        </w:rPr>
        <w:t>certain</w:t>
      </w:r>
      <w:r>
        <w:rPr>
          <w:color w:val="383636"/>
          <w:spacing w:val="-8"/>
          <w:w w:val="110"/>
        </w:rPr>
        <w:t> </w:t>
      </w:r>
      <w:r>
        <w:rPr>
          <w:color w:val="383636"/>
          <w:spacing w:val="-1"/>
          <w:w w:val="110"/>
        </w:rPr>
        <w:t>to</w:t>
      </w:r>
      <w:r>
        <w:rPr>
          <w:color w:val="383636"/>
          <w:spacing w:val="-4"/>
          <w:w w:val="110"/>
        </w:rPr>
        <w:t> </w:t>
      </w:r>
      <w:r>
        <w:rPr>
          <w:color w:val="383636"/>
          <w:spacing w:val="-1"/>
          <w:w w:val="110"/>
        </w:rPr>
        <w:t>antagonize</w:t>
      </w:r>
      <w:r>
        <w:rPr>
          <w:color w:val="383636"/>
          <w:spacing w:val="-9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-2"/>
          <w:w w:val="110"/>
        </w:rPr>
        <w:t> </w:t>
      </w:r>
      <w:r>
        <w:rPr>
          <w:color w:val="383636"/>
          <w:w w:val="110"/>
        </w:rPr>
        <w:t>court.</w:t>
      </w:r>
      <w:r>
        <w:rPr>
          <w:color w:val="383636"/>
          <w:spacing w:val="-31"/>
          <w:w w:val="110"/>
        </w:rPr>
        <w:t> </w:t>
      </w:r>
      <w:r>
        <w:rPr>
          <w:color w:val="383636"/>
          <w:w w:val="110"/>
        </w:rPr>
        <w:t>Supreme</w:t>
      </w:r>
      <w:r>
        <w:rPr>
          <w:color w:val="383636"/>
          <w:spacing w:val="-15"/>
          <w:w w:val="110"/>
        </w:rPr>
        <w:t> </w:t>
      </w:r>
      <w:r>
        <w:rPr>
          <w:color w:val="383636"/>
          <w:w w:val="110"/>
        </w:rPr>
        <w:t>Court</w:t>
      </w:r>
      <w:r>
        <w:rPr>
          <w:color w:val="383636"/>
          <w:spacing w:val="-16"/>
          <w:w w:val="110"/>
        </w:rPr>
        <w:t> </w:t>
      </w:r>
      <w:r>
        <w:rPr>
          <w:color w:val="383636"/>
          <w:w w:val="110"/>
        </w:rPr>
        <w:t>Rule</w:t>
      </w:r>
      <w:r>
        <w:rPr>
          <w:color w:val="383636"/>
          <w:spacing w:val="-19"/>
          <w:w w:val="110"/>
        </w:rPr>
        <w:t> </w:t>
      </w:r>
      <w:r>
        <w:rPr>
          <w:color w:val="383636"/>
          <w:w w:val="110"/>
        </w:rPr>
        <w:t>28.1</w:t>
      </w:r>
      <w:r>
        <w:rPr>
          <w:color w:val="383636"/>
          <w:spacing w:val="-33"/>
          <w:w w:val="110"/>
        </w:rPr>
        <w:t> </w:t>
      </w:r>
      <w:r>
        <w:rPr>
          <w:color w:val="383636"/>
          <w:w w:val="110"/>
        </w:rPr>
        <w:t>notes,</w:t>
      </w:r>
      <w:r>
        <w:rPr>
          <w:color w:val="383636"/>
          <w:spacing w:val="-17"/>
          <w:w w:val="110"/>
        </w:rPr>
        <w:t> </w:t>
      </w:r>
      <w:r>
        <w:rPr>
          <w:color w:val="383636"/>
          <w:w w:val="110"/>
        </w:rPr>
        <w:t>delicately,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that "[o]ral argument read from a prepared text is not favored." Judge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Williams has made the point more directly, suggesting that reading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argument</w:t>
      </w:r>
      <w:r>
        <w:rPr>
          <w:color w:val="383636"/>
          <w:spacing w:val="10"/>
          <w:w w:val="110"/>
        </w:rPr>
        <w:t> </w:t>
      </w:r>
      <w:r>
        <w:rPr>
          <w:color w:val="383636"/>
          <w:w w:val="110"/>
        </w:rPr>
        <w:t>hurts</w:t>
      </w:r>
      <w:r>
        <w:rPr>
          <w:color w:val="383636"/>
          <w:spacing w:val="-12"/>
          <w:w w:val="110"/>
        </w:rPr>
        <w:t> </w:t>
      </w:r>
      <w:r>
        <w:rPr>
          <w:color w:val="383636"/>
          <w:w w:val="110"/>
        </w:rPr>
        <w:t>both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its</w:t>
      </w:r>
      <w:r>
        <w:rPr>
          <w:color w:val="383636"/>
          <w:spacing w:val="-15"/>
          <w:w w:val="110"/>
        </w:rPr>
        <w:t> </w:t>
      </w:r>
      <w:r>
        <w:rPr>
          <w:color w:val="383636"/>
          <w:w w:val="110"/>
        </w:rPr>
        <w:t>style</w:t>
      </w:r>
      <w:r>
        <w:rPr>
          <w:color w:val="383636"/>
          <w:spacing w:val="-13"/>
          <w:w w:val="110"/>
        </w:rPr>
        <w:t> </w:t>
      </w:r>
      <w:r>
        <w:rPr>
          <w:color w:val="383636"/>
          <w:w w:val="110"/>
        </w:rPr>
        <w:t>and</w:t>
      </w:r>
      <w:r>
        <w:rPr>
          <w:color w:val="383636"/>
          <w:spacing w:val="24"/>
          <w:w w:val="110"/>
        </w:rPr>
        <w:t> </w:t>
      </w:r>
      <w:r>
        <w:rPr>
          <w:color w:val="383636"/>
          <w:w w:val="110"/>
        </w:rPr>
        <w:t>its</w:t>
      </w:r>
      <w:r>
        <w:rPr>
          <w:color w:val="383636"/>
          <w:spacing w:val="-9"/>
          <w:w w:val="110"/>
        </w:rPr>
        <w:t> </w:t>
      </w:r>
      <w:r>
        <w:rPr>
          <w:color w:val="383636"/>
          <w:w w:val="110"/>
        </w:rPr>
        <w:t>substance:</w:t>
      </w:r>
    </w:p>
    <w:p>
      <w:pPr>
        <w:spacing w:line="237" w:lineRule="auto" w:before="108"/>
        <w:ind w:left="909" w:right="455" w:firstLine="29"/>
        <w:jc w:val="both"/>
        <w:rPr>
          <w:rFonts w:ascii="Arial" w:hAnsi="Arial"/>
          <w:sz w:val="11"/>
        </w:rPr>
      </w:pPr>
      <w:r>
        <w:rPr>
          <w:color w:val="383636"/>
          <w:w w:val="110"/>
          <w:sz w:val="21"/>
        </w:rPr>
        <w:t>The worst  thing you can do is deliver a stiff  presentation  by attempt­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ing to read your argument verbatim. Such a presentation style is tedious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05"/>
          <w:sz w:val="21"/>
        </w:rPr>
        <w:t>and</w:t>
      </w:r>
      <w:r>
        <w:rPr>
          <w:color w:val="383636"/>
          <w:spacing w:val="1"/>
          <w:w w:val="105"/>
          <w:sz w:val="21"/>
        </w:rPr>
        <w:t> </w:t>
      </w:r>
      <w:r>
        <w:rPr>
          <w:color w:val="383636"/>
          <w:w w:val="105"/>
          <w:sz w:val="21"/>
        </w:rPr>
        <w:t>makes it difficult for you to answer questions from the bench. If you</w:t>
      </w:r>
      <w:r>
        <w:rPr>
          <w:color w:val="383636"/>
          <w:spacing w:val="1"/>
          <w:w w:val="105"/>
          <w:sz w:val="21"/>
        </w:rPr>
        <w:t> </w:t>
      </w:r>
      <w:r>
        <w:rPr>
          <w:color w:val="383636"/>
          <w:w w:val="110"/>
          <w:sz w:val="21"/>
        </w:rPr>
        <w:t>spend your time looking down at  the  podium reading your argument,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you are likely to miss signals from the bench, and you cannot engage in a</w:t>
      </w:r>
      <w:r>
        <w:rPr>
          <w:color w:val="383636"/>
          <w:spacing w:val="-55"/>
          <w:w w:val="110"/>
          <w:sz w:val="21"/>
        </w:rPr>
        <w:t> </w:t>
      </w:r>
      <w:r>
        <w:rPr>
          <w:color w:val="383636"/>
          <w:w w:val="105"/>
          <w:sz w:val="21"/>
        </w:rPr>
        <w:t>dialogue with the</w:t>
      </w:r>
      <w:r>
        <w:rPr>
          <w:color w:val="383636"/>
          <w:spacing w:val="1"/>
          <w:w w:val="105"/>
          <w:sz w:val="21"/>
        </w:rPr>
        <w:t> </w:t>
      </w:r>
      <w:r>
        <w:rPr>
          <w:color w:val="383636"/>
          <w:w w:val="105"/>
          <w:sz w:val="21"/>
        </w:rPr>
        <w:t>judges. </w:t>
      </w:r>
      <w:r>
        <w:rPr>
          <w:color w:val="383636"/>
          <w:w w:val="105"/>
          <w:sz w:val="20"/>
        </w:rPr>
        <w:t>Try </w:t>
      </w:r>
      <w:r>
        <w:rPr>
          <w:color w:val="383636"/>
          <w:w w:val="105"/>
          <w:sz w:val="21"/>
        </w:rPr>
        <w:t>to  argue extemporaneously, or at  least leave</w:t>
      </w:r>
      <w:r>
        <w:rPr>
          <w:color w:val="383636"/>
          <w:spacing w:val="1"/>
          <w:w w:val="105"/>
          <w:sz w:val="21"/>
        </w:rPr>
        <w:t> </w:t>
      </w:r>
      <w:r>
        <w:rPr>
          <w:color w:val="383636"/>
          <w:w w:val="110"/>
          <w:sz w:val="21"/>
        </w:rPr>
        <w:t>us</w:t>
      </w:r>
      <w:r>
        <w:rPr>
          <w:color w:val="383636"/>
          <w:spacing w:val="8"/>
          <w:w w:val="110"/>
          <w:sz w:val="21"/>
        </w:rPr>
        <w:t> </w:t>
      </w:r>
      <w:r>
        <w:rPr>
          <w:color w:val="383636"/>
          <w:w w:val="110"/>
          <w:sz w:val="21"/>
        </w:rPr>
        <w:t>with</w:t>
      </w:r>
      <w:r>
        <w:rPr>
          <w:color w:val="383636"/>
          <w:spacing w:val="4"/>
          <w:w w:val="110"/>
          <w:sz w:val="21"/>
        </w:rPr>
        <w:t> </w:t>
      </w:r>
      <w:r>
        <w:rPr>
          <w:color w:val="383636"/>
          <w:w w:val="110"/>
          <w:sz w:val="21"/>
        </w:rPr>
        <w:t>the</w:t>
      </w:r>
      <w:r>
        <w:rPr>
          <w:color w:val="383636"/>
          <w:spacing w:val="7"/>
          <w:w w:val="110"/>
          <w:sz w:val="21"/>
        </w:rPr>
        <w:t> </w:t>
      </w:r>
      <w:r>
        <w:rPr>
          <w:color w:val="383636"/>
          <w:w w:val="110"/>
          <w:sz w:val="21"/>
        </w:rPr>
        <w:t>impression</w:t>
      </w:r>
      <w:r>
        <w:rPr>
          <w:color w:val="383636"/>
          <w:spacing w:val="20"/>
          <w:w w:val="110"/>
          <w:sz w:val="21"/>
        </w:rPr>
        <w:t> </w:t>
      </w:r>
      <w:r>
        <w:rPr>
          <w:color w:val="383636"/>
          <w:w w:val="110"/>
          <w:sz w:val="21"/>
        </w:rPr>
        <w:t>that</w:t>
      </w:r>
      <w:r>
        <w:rPr>
          <w:color w:val="383636"/>
          <w:spacing w:val="-13"/>
          <w:w w:val="110"/>
          <w:sz w:val="21"/>
        </w:rPr>
        <w:t> </w:t>
      </w:r>
      <w:r>
        <w:rPr>
          <w:color w:val="383636"/>
          <w:w w:val="110"/>
          <w:sz w:val="21"/>
        </w:rPr>
        <w:t>youare.</w:t>
      </w:r>
      <w:r>
        <w:rPr>
          <w:rFonts w:ascii="Arial" w:hAnsi="Arial"/>
          <w:color w:val="383636"/>
          <w:w w:val="110"/>
          <w:position w:val="9"/>
          <w:sz w:val="11"/>
        </w:rPr>
        <w:t>20</w:t>
      </w:r>
    </w:p>
    <w:p>
      <w:pPr>
        <w:pStyle w:val="BodyText"/>
        <w:spacing w:line="232" w:lineRule="auto" w:before="142"/>
        <w:ind w:left="445" w:right="131" w:firstLine="59"/>
        <w:jc w:val="both"/>
      </w:pPr>
      <w:r>
        <w:rPr>
          <w:color w:val="383636"/>
          <w:w w:val="110"/>
        </w:rPr>
        <w:t>Thus, when preparing materials to bring up to the podium, think in terms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words,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phrases, and  lists, rather than sentences,  paragraphs,  or pages.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  <w:sz w:val="22"/>
        </w:rPr>
        <w:t>If </w:t>
      </w:r>
      <w:r>
        <w:rPr>
          <w:color w:val="383636"/>
          <w:w w:val="110"/>
        </w:rPr>
        <w:t>you write full sentences, you will be tempted to read them because you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  <w:sz w:val="22"/>
        </w:rPr>
        <w:t>will </w:t>
      </w:r>
      <w:r>
        <w:rPr>
          <w:color w:val="383636"/>
          <w:w w:val="110"/>
        </w:rPr>
        <w:t>presume that a prefabricated sentence will sound better than an off­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the-top-of-your-head remark. Remember, however, that the judges expect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oral argument to be, to some extent, a spontaneous dialogue</w:t>
      </w:r>
      <w:r>
        <w:rPr>
          <w:color w:val="545456"/>
          <w:w w:val="110"/>
        </w:rPr>
        <w:t>. </w:t>
      </w:r>
      <w:r>
        <w:rPr>
          <w:color w:val="383636"/>
          <w:w w:val="110"/>
        </w:rPr>
        <w:t>Most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judges would rather hear an imperfect sentence from an advocate who is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engaged</w:t>
      </w:r>
      <w:r>
        <w:rPr>
          <w:color w:val="383636"/>
          <w:spacing w:val="29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35"/>
          <w:w w:val="110"/>
        </w:rPr>
        <w:t> </w:t>
      </w:r>
      <w:r>
        <w:rPr>
          <w:color w:val="383636"/>
          <w:w w:val="110"/>
        </w:rPr>
        <w:t>conversation</w:t>
      </w:r>
      <w:r>
        <w:rPr>
          <w:color w:val="383636"/>
          <w:spacing w:val="39"/>
          <w:w w:val="110"/>
        </w:rPr>
        <w:t> </w:t>
      </w:r>
      <w:r>
        <w:rPr>
          <w:color w:val="383636"/>
          <w:w w:val="110"/>
        </w:rPr>
        <w:t>with</w:t>
      </w:r>
      <w:r>
        <w:rPr>
          <w:color w:val="383636"/>
          <w:spacing w:val="27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6"/>
          <w:w w:val="110"/>
        </w:rPr>
        <w:t> </w:t>
      </w:r>
      <w:r>
        <w:rPr>
          <w:color w:val="383636"/>
          <w:w w:val="110"/>
        </w:rPr>
        <w:t>court</w:t>
      </w:r>
      <w:r>
        <w:rPr>
          <w:color w:val="383636"/>
          <w:spacing w:val="18"/>
          <w:w w:val="110"/>
        </w:rPr>
        <w:t> </w:t>
      </w:r>
      <w:r>
        <w:rPr>
          <w:color w:val="383636"/>
          <w:w w:val="110"/>
        </w:rPr>
        <w:t>than</w:t>
      </w:r>
      <w:r>
        <w:rPr>
          <w:color w:val="383636"/>
          <w:spacing w:val="31"/>
          <w:w w:val="110"/>
        </w:rPr>
        <w:t> </w:t>
      </w:r>
      <w:r>
        <w:rPr>
          <w:color w:val="383636"/>
          <w:w w:val="110"/>
        </w:rPr>
        <w:t>perfect</w:t>
      </w:r>
      <w:r>
        <w:rPr>
          <w:color w:val="383636"/>
          <w:spacing w:val="18"/>
          <w:w w:val="110"/>
        </w:rPr>
        <w:t> </w:t>
      </w:r>
      <w:r>
        <w:rPr>
          <w:color w:val="383636"/>
          <w:w w:val="110"/>
        </w:rPr>
        <w:t>prose</w:t>
      </w:r>
      <w:r>
        <w:rPr>
          <w:color w:val="383636"/>
          <w:spacing w:val="5"/>
          <w:w w:val="110"/>
        </w:rPr>
        <w:t> </w:t>
      </w:r>
      <w:r>
        <w:rPr>
          <w:color w:val="383636"/>
          <w:w w:val="110"/>
        </w:rPr>
        <w:t>from a</w:t>
      </w:r>
      <w:r>
        <w:rPr>
          <w:color w:val="383636"/>
          <w:spacing w:val="18"/>
          <w:w w:val="110"/>
        </w:rPr>
        <w:t> </w:t>
      </w:r>
      <w:r>
        <w:rPr>
          <w:color w:val="383636"/>
          <w:w w:val="110"/>
        </w:rPr>
        <w:t>reader.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spacing w:line="210" w:lineRule="exact" w:before="1"/>
        <w:ind w:left="798" w:right="0" w:firstLine="0"/>
        <w:jc w:val="left"/>
        <w:rPr>
          <w:b/>
          <w:sz w:val="17"/>
        </w:rPr>
      </w:pPr>
      <w:r>
        <w:rPr>
          <w:rFonts w:ascii="Arial"/>
          <w:color w:val="383636"/>
          <w:w w:val="105"/>
          <w:position w:val="5"/>
          <w:sz w:val="11"/>
        </w:rPr>
        <w:t>19</w:t>
      </w:r>
      <w:r>
        <w:rPr>
          <w:color w:val="383636"/>
          <w:w w:val="105"/>
          <w:sz w:val="19"/>
        </w:rPr>
        <w:t>Wlen</w:t>
      </w:r>
      <w:r>
        <w:rPr>
          <w:color w:val="545456"/>
          <w:w w:val="105"/>
          <w:sz w:val="19"/>
        </w:rPr>
        <w:t>e</w:t>
      </w:r>
      <w:r>
        <w:rPr>
          <w:color w:val="383636"/>
          <w:w w:val="105"/>
          <w:sz w:val="19"/>
        </w:rPr>
        <w:t>r,</w:t>
      </w:r>
      <w:r>
        <w:rPr>
          <w:color w:val="383636"/>
          <w:spacing w:val="-1"/>
          <w:w w:val="105"/>
          <w:sz w:val="19"/>
        </w:rPr>
        <w:t> </w:t>
      </w:r>
      <w:r>
        <w:rPr>
          <w:i/>
          <w:color w:val="545456"/>
          <w:w w:val="105"/>
          <w:sz w:val="17"/>
        </w:rPr>
        <w:t>s</w:t>
      </w:r>
      <w:r>
        <w:rPr>
          <w:i/>
          <w:color w:val="383636"/>
          <w:w w:val="105"/>
          <w:sz w:val="17"/>
        </w:rPr>
        <w:t>upra</w:t>
      </w:r>
      <w:r>
        <w:rPr>
          <w:i/>
          <w:color w:val="383636"/>
          <w:spacing w:val="28"/>
          <w:w w:val="105"/>
          <w:sz w:val="17"/>
        </w:rPr>
        <w:t> </w:t>
      </w:r>
      <w:r>
        <w:rPr>
          <w:color w:val="383636"/>
          <w:w w:val="105"/>
          <w:sz w:val="19"/>
        </w:rPr>
        <w:t>note</w:t>
      </w:r>
      <w:r>
        <w:rPr>
          <w:color w:val="383636"/>
          <w:spacing w:val="-10"/>
          <w:w w:val="105"/>
          <w:sz w:val="19"/>
        </w:rPr>
        <w:t> </w:t>
      </w:r>
      <w:r>
        <w:rPr>
          <w:color w:val="383636"/>
          <w:w w:val="105"/>
          <w:sz w:val="19"/>
        </w:rPr>
        <w:t>2</w:t>
      </w:r>
      <w:r>
        <w:rPr>
          <w:color w:val="545456"/>
          <w:w w:val="105"/>
          <w:sz w:val="19"/>
        </w:rPr>
        <w:t>,</w:t>
      </w:r>
      <w:r>
        <w:rPr>
          <w:color w:val="545456"/>
          <w:spacing w:val="1"/>
          <w:w w:val="105"/>
          <w:sz w:val="19"/>
        </w:rPr>
        <w:t> </w:t>
      </w:r>
      <w:r>
        <w:rPr>
          <w:b/>
          <w:color w:val="383636"/>
          <w:w w:val="105"/>
          <w:sz w:val="16"/>
        </w:rPr>
        <w:t>at</w:t>
      </w:r>
      <w:r>
        <w:rPr>
          <w:b/>
          <w:color w:val="383636"/>
          <w:spacing w:val="40"/>
          <w:w w:val="105"/>
          <w:sz w:val="16"/>
        </w:rPr>
        <w:t> </w:t>
      </w:r>
      <w:r>
        <w:rPr>
          <w:b/>
          <w:color w:val="383636"/>
          <w:w w:val="105"/>
          <w:sz w:val="17"/>
        </w:rPr>
        <w:t>204.</w:t>
      </w:r>
    </w:p>
    <w:p>
      <w:pPr>
        <w:spacing w:line="210" w:lineRule="exact" w:before="0"/>
        <w:ind w:left="798" w:right="0" w:firstLine="0"/>
        <w:jc w:val="left"/>
        <w:rPr>
          <w:sz w:val="19"/>
        </w:rPr>
      </w:pPr>
      <w:r>
        <w:rPr>
          <w:color w:val="383636"/>
          <w:w w:val="105"/>
          <w:position w:val="6"/>
          <w:sz w:val="11"/>
        </w:rPr>
        <w:t>210</w:t>
      </w:r>
      <w:r>
        <w:rPr>
          <w:color w:val="383636"/>
          <w:w w:val="105"/>
          <w:sz w:val="17"/>
        </w:rPr>
        <w:t>Wllllams,</w:t>
      </w:r>
      <w:r>
        <w:rPr>
          <w:color w:val="383636"/>
          <w:spacing w:val="32"/>
          <w:w w:val="105"/>
          <w:sz w:val="17"/>
        </w:rPr>
        <w:t> </w:t>
      </w:r>
      <w:r>
        <w:rPr>
          <w:i/>
          <w:color w:val="383636"/>
          <w:w w:val="105"/>
          <w:sz w:val="17"/>
        </w:rPr>
        <w:t>supra</w:t>
      </w:r>
      <w:r>
        <w:rPr>
          <w:i/>
          <w:color w:val="383636"/>
          <w:spacing w:val="14"/>
          <w:w w:val="105"/>
          <w:sz w:val="17"/>
        </w:rPr>
        <w:t> </w:t>
      </w:r>
      <w:r>
        <w:rPr>
          <w:color w:val="383636"/>
          <w:w w:val="105"/>
          <w:sz w:val="19"/>
        </w:rPr>
        <w:t>note</w:t>
      </w:r>
      <w:r>
        <w:rPr>
          <w:color w:val="383636"/>
          <w:spacing w:val="-10"/>
          <w:w w:val="105"/>
          <w:sz w:val="19"/>
        </w:rPr>
        <w:t> </w:t>
      </w:r>
      <w:r>
        <w:rPr>
          <w:color w:val="383636"/>
          <w:w w:val="105"/>
          <w:sz w:val="19"/>
        </w:rPr>
        <w:t>9,</w:t>
      </w:r>
      <w:r>
        <w:rPr>
          <w:color w:val="383636"/>
          <w:spacing w:val="-10"/>
          <w:w w:val="105"/>
          <w:sz w:val="19"/>
        </w:rPr>
        <w:t> </w:t>
      </w:r>
      <w:r>
        <w:rPr>
          <w:color w:val="383636"/>
          <w:w w:val="105"/>
          <w:sz w:val="17"/>
        </w:rPr>
        <w:t>at</w:t>
      </w:r>
      <w:r>
        <w:rPr>
          <w:color w:val="383636"/>
          <w:spacing w:val="33"/>
          <w:w w:val="105"/>
          <w:sz w:val="17"/>
        </w:rPr>
        <w:t> </w:t>
      </w:r>
      <w:r>
        <w:rPr>
          <w:color w:val="383636"/>
          <w:w w:val="105"/>
          <w:sz w:val="19"/>
        </w:rPr>
        <w:t>598.</w:t>
      </w:r>
    </w:p>
    <w:p>
      <w:pPr>
        <w:spacing w:after="0" w:line="210" w:lineRule="exact"/>
        <w:jc w:val="left"/>
        <w:rPr>
          <w:sz w:val="19"/>
        </w:rPr>
        <w:sectPr>
          <w:headerReference w:type="even" r:id="rId330"/>
          <w:headerReference w:type="default" r:id="rId331"/>
          <w:pgSz w:w="9720" w:h="14030"/>
          <w:pgMar w:header="533" w:footer="0" w:top="1120" w:bottom="0" w:left="1340" w:right="220"/>
          <w:pgNumType w:start="294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30" w:lineRule="auto"/>
        <w:ind w:left="107" w:right="519" w:firstLine="4"/>
        <w:jc w:val="both"/>
      </w:pPr>
      <w:r>
        <w:rPr>
          <w:color w:val="383638"/>
          <w:w w:val="110"/>
        </w:rPr>
        <w:t>Watch a few oral arguments on court Web sites, or read the transcripts,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and you will see that many effective oral arguments are full of half-fin­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ished sentences and apparent lapses in grammar. This is because an oral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argument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conversation,</w:t>
      </w:r>
      <w:r>
        <w:rPr>
          <w:color w:val="383638"/>
          <w:spacing w:val="29"/>
          <w:w w:val="110"/>
        </w:rPr>
        <w:t> </w:t>
      </w:r>
      <w:r>
        <w:rPr>
          <w:color w:val="383638"/>
          <w:w w:val="110"/>
        </w:rPr>
        <w:t>not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speech.</w:t>
      </w:r>
    </w:p>
    <w:p>
      <w:pPr>
        <w:pStyle w:val="BodyText"/>
        <w:spacing w:line="232" w:lineRule="auto" w:before="4"/>
        <w:ind w:left="116" w:right="496" w:firstLine="333"/>
        <w:jc w:val="both"/>
      </w:pPr>
      <w:r>
        <w:rPr>
          <w:color w:val="383638"/>
          <w:w w:val="110"/>
        </w:rPr>
        <w:t>Write your outlineon full-sized paper rather than index cards, and use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felt-tipped markers or large, boldfaced fonts to make your points easy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read</w:t>
      </w:r>
      <w:r>
        <w:rPr>
          <w:color w:val="565659"/>
          <w:w w:val="110"/>
        </w:rPr>
        <w:t>. </w:t>
      </w:r>
      <w:r>
        <w:rPr>
          <w:color w:val="383638"/>
          <w:w w:val="110"/>
        </w:rPr>
        <w:t>List your points in the order in which you plan to address them,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list supporting authorities under each point</w:t>
      </w:r>
      <w:r>
        <w:rPr>
          <w:color w:val="565659"/>
          <w:w w:val="110"/>
        </w:rPr>
        <w:t>. </w:t>
      </w:r>
      <w:r>
        <w:rPr>
          <w:color w:val="383638"/>
          <w:w w:val="110"/>
        </w:rPr>
        <w:t>You may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want to write key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words, or even the main phrases-that-pa</w:t>
      </w:r>
      <w:r>
        <w:rPr>
          <w:color w:val="565659"/>
          <w:spacing w:val="-1"/>
          <w:w w:val="110"/>
        </w:rPr>
        <w:t>y</w:t>
      </w:r>
      <w:r>
        <w:rPr>
          <w:color w:val="383638"/>
          <w:spacing w:val="-1"/>
          <w:w w:val="110"/>
        </w:rPr>
        <w:t>, in boldfaced </w:t>
      </w:r>
      <w:r>
        <w:rPr>
          <w:color w:val="383638"/>
          <w:w w:val="110"/>
        </w:rPr>
        <w:t>type across the top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5"/>
        </w:rPr>
        <w:t>of the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outline-or onevery  pageof  your materials-so that youhaveonly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to glance down at the podium to see words that will remind you of your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main</w:t>
      </w:r>
      <w:r>
        <w:rPr>
          <w:color w:val="383638"/>
          <w:spacing w:val="-17"/>
          <w:w w:val="115"/>
        </w:rPr>
        <w:t> </w:t>
      </w:r>
      <w:r>
        <w:rPr>
          <w:color w:val="383638"/>
          <w:w w:val="115"/>
        </w:rPr>
        <w:t>contentions.</w:t>
      </w:r>
    </w:p>
    <w:p>
      <w:pPr>
        <w:pStyle w:val="BodyText"/>
        <w:spacing w:line="235" w:lineRule="auto"/>
        <w:ind w:left="126" w:right="461" w:firstLine="322"/>
        <w:jc w:val="both"/>
      </w:pPr>
      <w:r>
        <w:rPr>
          <w:color w:val="383638"/>
          <w:w w:val="110"/>
        </w:rPr>
        <w:t>Some advocates create both a case list and a fact list. On the case list,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they list the name, citation, and relevant information (facts, reasoning,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05"/>
        </w:rPr>
        <w:t>etc.) about each case</w:t>
      </w:r>
      <w:r>
        <w:rPr>
          <w:color w:val="565659"/>
          <w:w w:val="105"/>
        </w:rPr>
        <w:t>. </w:t>
      </w:r>
      <w:r>
        <w:rPr>
          <w:color w:val="383638"/>
          <w:w w:val="105"/>
        </w:rPr>
        <w:t>On the  fact list, they list the legally significant facts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5"/>
        </w:rPr>
        <w:t>and relevant background facts that either side might mention, noting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where in the record each fact can be found. Creating these lists can be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helpful, even if you never consult them during the argument. Both creat­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ing and studying them provides excellent opportunities to help you to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commit</w:t>
      </w:r>
      <w:r>
        <w:rPr>
          <w:color w:val="383638"/>
          <w:spacing w:val="-5"/>
          <w:w w:val="115"/>
        </w:rPr>
        <w:t> </w:t>
      </w:r>
      <w:r>
        <w:rPr>
          <w:color w:val="383638"/>
          <w:w w:val="115"/>
        </w:rPr>
        <w:t>important information</w:t>
      </w:r>
      <w:r>
        <w:rPr>
          <w:color w:val="383638"/>
          <w:spacing w:val="16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-2"/>
          <w:w w:val="115"/>
        </w:rPr>
        <w:t> </w:t>
      </w:r>
      <w:r>
        <w:rPr>
          <w:color w:val="383638"/>
          <w:w w:val="115"/>
        </w:rPr>
        <w:t>memory.</w:t>
      </w:r>
    </w:p>
    <w:p>
      <w:pPr>
        <w:pStyle w:val="BodyText"/>
        <w:rPr>
          <w:sz w:val="26"/>
        </w:rPr>
      </w:pPr>
    </w:p>
    <w:p>
      <w:pPr>
        <w:spacing w:before="232"/>
        <w:ind w:left="0" w:right="6716" w:firstLine="0"/>
        <w:jc w:val="right"/>
        <w:rPr>
          <w:rFonts w:ascii="Arial"/>
          <w:b/>
          <w:sz w:val="33"/>
        </w:rPr>
      </w:pPr>
      <w:r>
        <w:rPr>
          <w:rFonts w:ascii="Arial"/>
          <w:b/>
          <w:color w:val="383638"/>
          <w:w w:val="105"/>
          <w:sz w:val="33"/>
        </w:rPr>
        <w:t>1</w:t>
      </w:r>
      <w:r>
        <w:rPr>
          <w:rFonts w:ascii="Arial"/>
          <w:b/>
          <w:color w:val="565659"/>
          <w:w w:val="105"/>
          <w:sz w:val="33"/>
        </w:rPr>
        <w:t>3</w:t>
      </w:r>
      <w:r>
        <w:rPr>
          <w:rFonts w:ascii="Arial"/>
          <w:b/>
          <w:color w:val="7E8082"/>
          <w:w w:val="105"/>
          <w:sz w:val="33"/>
        </w:rPr>
        <w:t>.5</w:t>
      </w:r>
    </w:p>
    <w:p>
      <w:pPr>
        <w:spacing w:before="62"/>
        <w:ind w:left="713" w:right="0" w:firstLine="0"/>
        <w:jc w:val="left"/>
        <w:rPr>
          <w:rFonts w:ascii="Arial"/>
          <w:b/>
          <w:sz w:val="26"/>
        </w:rPr>
      </w:pPr>
      <w:r>
        <w:rPr>
          <w:rFonts w:ascii="Arial"/>
          <w:color w:val="383638"/>
          <w:w w:val="105"/>
          <w:sz w:val="25"/>
        </w:rPr>
        <w:t>P</w:t>
      </w:r>
      <w:r>
        <w:rPr>
          <w:rFonts w:ascii="Arial"/>
          <w:color w:val="6E6E70"/>
          <w:w w:val="105"/>
          <w:sz w:val="25"/>
        </w:rPr>
        <w:t>RESENTI</w:t>
      </w:r>
      <w:r>
        <w:rPr>
          <w:rFonts w:ascii="Arial"/>
          <w:color w:val="383638"/>
          <w:w w:val="105"/>
          <w:sz w:val="25"/>
        </w:rPr>
        <w:t>NG</w:t>
      </w:r>
      <w:r>
        <w:rPr>
          <w:rFonts w:ascii="Arial"/>
          <w:color w:val="383638"/>
          <w:spacing w:val="20"/>
          <w:w w:val="105"/>
          <w:sz w:val="25"/>
        </w:rPr>
        <w:t> </w:t>
      </w:r>
      <w:r>
        <w:rPr>
          <w:rFonts w:ascii="Arial"/>
          <w:b/>
          <w:color w:val="383638"/>
          <w:w w:val="105"/>
          <w:sz w:val="26"/>
        </w:rPr>
        <w:t>THE</w:t>
      </w:r>
      <w:r>
        <w:rPr>
          <w:rFonts w:ascii="Arial"/>
          <w:b/>
          <w:color w:val="383638"/>
          <w:spacing w:val="-2"/>
          <w:w w:val="105"/>
          <w:sz w:val="26"/>
        </w:rPr>
        <w:t> </w:t>
      </w:r>
      <w:r>
        <w:rPr>
          <w:rFonts w:ascii="Arial"/>
          <w:b/>
          <w:color w:val="383638"/>
          <w:w w:val="105"/>
          <w:sz w:val="26"/>
        </w:rPr>
        <w:t>ARGUMENT</w:t>
      </w: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232" w:lineRule="auto"/>
        <w:ind w:left="148" w:right="434" w:firstLine="562"/>
        <w:jc w:val="both"/>
      </w:pPr>
      <w:r>
        <w:rPr>
          <w:color w:val="383638"/>
          <w:w w:val="110"/>
        </w:rPr>
        <w:t>When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planning your argument, think </w:t>
      </w:r>
      <w:r>
        <w:rPr>
          <w:color w:val="383638"/>
          <w:w w:val="110"/>
          <w:sz w:val="22"/>
        </w:rPr>
        <w:t>in</w:t>
      </w:r>
      <w:r>
        <w:rPr>
          <w:color w:val="383638"/>
          <w:spacing w:val="1"/>
          <w:w w:val="110"/>
          <w:sz w:val="22"/>
        </w:rPr>
        <w:t> </w:t>
      </w:r>
      <w:r>
        <w:rPr>
          <w:color w:val="383638"/>
          <w:w w:val="110"/>
        </w:rPr>
        <w:t>terms of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three parts: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Introduction,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Argument itself,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Conclusion. You will spend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most of your time at the podium on the Argument, but  be sure to spend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needed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time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planning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0"/>
          <w:w w:val="110"/>
        </w:rPr>
        <w:t> </w:t>
      </w:r>
      <w:r>
        <w:rPr>
          <w:color w:val="383638"/>
          <w:w w:val="110"/>
        </w:rPr>
        <w:t>Introduction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36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Conclusion</w:t>
      </w:r>
      <w:r>
        <w:rPr>
          <w:color w:val="565659"/>
          <w:w w:val="110"/>
        </w:rPr>
        <w:t>.</w:t>
      </w:r>
    </w:p>
    <w:p>
      <w:pPr>
        <w:pStyle w:val="BodyText"/>
        <w:rPr>
          <w:sz w:val="35"/>
        </w:rPr>
      </w:pPr>
    </w:p>
    <w:p>
      <w:pPr>
        <w:spacing w:before="0"/>
        <w:ind w:left="0" w:right="6773" w:firstLine="0"/>
        <w:jc w:val="right"/>
        <w:rPr>
          <w:rFonts w:ascii="Arial"/>
          <w:b/>
          <w:sz w:val="28"/>
        </w:rPr>
      </w:pPr>
      <w:r>
        <w:rPr>
          <w:rFonts w:ascii="Arial"/>
          <w:b/>
          <w:color w:val="383638"/>
          <w:w w:val="105"/>
          <w:sz w:val="28"/>
        </w:rPr>
        <w:t>13.5.1</w:t>
      </w:r>
    </w:p>
    <w:p>
      <w:pPr>
        <w:spacing w:before="43"/>
        <w:ind w:left="505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383638"/>
          <w:w w:val="105"/>
          <w:sz w:val="22"/>
        </w:rPr>
        <w:t>INT</w:t>
      </w:r>
      <w:r>
        <w:rPr>
          <w:rFonts w:ascii="Arial"/>
          <w:b/>
          <w:color w:val="565659"/>
          <w:w w:val="105"/>
          <w:sz w:val="22"/>
        </w:rPr>
        <w:t>ROD</w:t>
      </w:r>
      <w:r>
        <w:rPr>
          <w:rFonts w:ascii="Arial"/>
          <w:b/>
          <w:color w:val="383638"/>
          <w:w w:val="105"/>
          <w:sz w:val="22"/>
        </w:rPr>
        <w:t>UCTION</w:t>
      </w:r>
    </w:p>
    <w:p>
      <w:pPr>
        <w:pStyle w:val="BodyText"/>
        <w:spacing w:line="230" w:lineRule="auto" w:before="142"/>
        <w:ind w:left="166" w:right="347" w:firstLine="342"/>
        <w:jc w:val="both"/>
      </w:pPr>
      <w:r>
        <w:rPr>
          <w:color w:val="383638"/>
          <w:w w:val="110"/>
        </w:rPr>
        <w:t>Although your introductory material should be short (often less than a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minute, and always less than twominutes), the introduction fulfills several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important functions. A good introduction tells the court what is happen­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ing procedurally-who you are, who your client is, and what your client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wants; it provides sufficient factual context, it outlines the argument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tells the court why you are asking for the result that youseek, and it grabs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5"/>
        </w:rPr>
        <w:t>the</w:t>
      </w:r>
      <w:r>
        <w:rPr>
          <w:color w:val="383638"/>
          <w:spacing w:val="-29"/>
          <w:w w:val="115"/>
        </w:rPr>
        <w:t> </w:t>
      </w:r>
      <w:r>
        <w:rPr>
          <w:color w:val="383638"/>
          <w:spacing w:val="-1"/>
          <w:w w:val="115"/>
        </w:rPr>
        <w:t>court's</w:t>
      </w:r>
      <w:r>
        <w:rPr>
          <w:color w:val="383638"/>
          <w:spacing w:val="-12"/>
          <w:w w:val="115"/>
        </w:rPr>
        <w:t> </w:t>
      </w:r>
      <w:r>
        <w:rPr>
          <w:color w:val="383638"/>
          <w:spacing w:val="-1"/>
          <w:w w:val="115"/>
        </w:rPr>
        <w:t>attention</w:t>
      </w:r>
      <w:r>
        <w:rPr>
          <w:color w:val="383638"/>
          <w:spacing w:val="15"/>
          <w:w w:val="115"/>
        </w:rPr>
        <w:t> </w:t>
      </w:r>
      <w:r>
        <w:rPr>
          <w:color w:val="383638"/>
          <w:spacing w:val="-1"/>
          <w:w w:val="115"/>
        </w:rPr>
        <w:t>by</w:t>
      </w:r>
      <w:r>
        <w:rPr>
          <w:color w:val="383638"/>
          <w:spacing w:val="-24"/>
          <w:w w:val="115"/>
        </w:rPr>
        <w:t> </w:t>
      </w:r>
      <w:r>
        <w:rPr>
          <w:color w:val="383638"/>
          <w:spacing w:val="-1"/>
          <w:w w:val="115"/>
        </w:rPr>
        <w:t>focusing</w:t>
      </w:r>
      <w:r>
        <w:rPr>
          <w:color w:val="383638"/>
          <w:spacing w:val="2"/>
          <w:w w:val="115"/>
        </w:rPr>
        <w:t> </w:t>
      </w:r>
      <w:r>
        <w:rPr>
          <w:color w:val="383638"/>
          <w:spacing w:val="-1"/>
          <w:w w:val="115"/>
        </w:rPr>
        <w:t>the</w:t>
      </w:r>
      <w:r>
        <w:rPr>
          <w:color w:val="383638"/>
          <w:spacing w:val="10"/>
          <w:w w:val="115"/>
        </w:rPr>
        <w:t> </w:t>
      </w:r>
      <w:r>
        <w:rPr>
          <w:color w:val="383638"/>
          <w:w w:val="115"/>
        </w:rPr>
        <w:t>court</w:t>
      </w:r>
      <w:r>
        <w:rPr>
          <w:color w:val="383638"/>
          <w:spacing w:val="-9"/>
          <w:w w:val="115"/>
        </w:rPr>
        <w:t> </w:t>
      </w:r>
      <w:r>
        <w:rPr>
          <w:color w:val="383638"/>
          <w:w w:val="115"/>
        </w:rPr>
        <w:t>on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your</w:t>
      </w:r>
      <w:r>
        <w:rPr>
          <w:color w:val="383638"/>
          <w:spacing w:val="-1"/>
          <w:w w:val="115"/>
        </w:rPr>
        <w:t> </w:t>
      </w:r>
      <w:r>
        <w:rPr>
          <w:color w:val="383638"/>
          <w:w w:val="115"/>
        </w:rPr>
        <w:t>theme.</w:t>
      </w:r>
    </w:p>
    <w:p>
      <w:pPr>
        <w:pStyle w:val="BodyText"/>
        <w:spacing w:line="235" w:lineRule="auto"/>
        <w:ind w:left="174" w:right="330" w:firstLine="344"/>
        <w:jc w:val="both"/>
      </w:pPr>
      <w:r>
        <w:rPr>
          <w:color w:val="383638"/>
          <w:spacing w:val="-1"/>
          <w:w w:val="110"/>
        </w:rPr>
        <w:t>As </w:t>
      </w:r>
      <w:r>
        <w:rPr>
          <w:color w:val="383638"/>
          <w:w w:val="110"/>
        </w:rPr>
        <w:t>always, you must be aware of local rules and local practice</w:t>
      </w:r>
      <w:r>
        <w:rPr>
          <w:color w:val="565659"/>
          <w:w w:val="110"/>
        </w:rPr>
        <w:t>. </w:t>
      </w:r>
      <w:r>
        <w:rPr>
          <w:color w:val="383638"/>
          <w:w w:val="110"/>
        </w:rPr>
        <w:t>In some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courts, you may be asked to "enter an appearance on the record" before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either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party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begins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5"/>
          <w:w w:val="110"/>
        </w:rPr>
        <w:t> </w:t>
      </w:r>
      <w:r>
        <w:rPr>
          <w:color w:val="383638"/>
          <w:w w:val="110"/>
        </w:rPr>
        <w:t>oral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argument.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If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so,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will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stand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(as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34"/>
          <w:w w:val="110"/>
        </w:rPr>
        <w:t> </w:t>
      </w:r>
      <w:r>
        <w:rPr>
          <w:color w:val="383638"/>
          <w:w w:val="110"/>
        </w:rPr>
        <w:t>should</w:t>
      </w:r>
    </w:p>
    <w:p>
      <w:pPr>
        <w:spacing w:after="0" w:line="235" w:lineRule="auto"/>
        <w:jc w:val="both"/>
        <w:sectPr>
          <w:pgSz w:w="9730" w:h="14030"/>
          <w:pgMar w:header="668" w:footer="0" w:top="860" w:bottom="0" w:left="280" w:right="1340"/>
        </w:sectPr>
      </w:pPr>
    </w:p>
    <w:p>
      <w:pPr>
        <w:pStyle w:val="BodyText"/>
        <w:spacing w:line="232" w:lineRule="auto" w:before="87"/>
        <w:ind w:left="706" w:right="148" w:firstLine="6"/>
        <w:jc w:val="both"/>
      </w:pPr>
      <w:r>
        <w:rPr>
          <w:color w:val="383638"/>
          <w:spacing w:val="-1"/>
          <w:w w:val="110"/>
        </w:rPr>
        <w:t>whenever</w:t>
      </w:r>
      <w:r>
        <w:rPr>
          <w:color w:val="383638"/>
          <w:spacing w:val="-9"/>
          <w:w w:val="110"/>
        </w:rPr>
        <w:t> </w:t>
      </w:r>
      <w:r>
        <w:rPr>
          <w:color w:val="383638"/>
          <w:spacing w:val="-1"/>
          <w:w w:val="110"/>
        </w:rPr>
        <w:t>you</w:t>
      </w:r>
      <w:r>
        <w:rPr>
          <w:color w:val="383638"/>
          <w:spacing w:val="-11"/>
          <w:w w:val="110"/>
        </w:rPr>
        <w:t> </w:t>
      </w:r>
      <w:r>
        <w:rPr>
          <w:color w:val="383638"/>
          <w:spacing w:val="-1"/>
          <w:w w:val="110"/>
        </w:rPr>
        <w:t>address the</w:t>
      </w:r>
      <w:r>
        <w:rPr>
          <w:color w:val="383638"/>
          <w:w w:val="110"/>
        </w:rPr>
        <w:t> </w:t>
      </w:r>
      <w:r>
        <w:rPr>
          <w:color w:val="383638"/>
          <w:spacing w:val="-1"/>
          <w:w w:val="110"/>
        </w:rPr>
        <w:t>court),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state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name,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law</w:t>
      </w:r>
      <w:r>
        <w:rPr>
          <w:color w:val="383638"/>
          <w:spacing w:val="-30"/>
          <w:w w:val="110"/>
        </w:rPr>
        <w:t> </w:t>
      </w:r>
      <w:r>
        <w:rPr>
          <w:color w:val="383638"/>
          <w:w w:val="110"/>
        </w:rPr>
        <w:t>firm,</w:t>
      </w:r>
      <w:r>
        <w:rPr>
          <w:color w:val="383638"/>
          <w:spacing w:val="-35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05"/>
        </w:rPr>
        <w:t>the  party you represent. The party speaking first may be asked if he or she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is reserving rebuttal time. </w:t>
      </w:r>
      <w:r>
        <w:rPr>
          <w:color w:val="383638"/>
          <w:w w:val="105"/>
          <w:sz w:val="22"/>
        </w:rPr>
        <w:t>If </w:t>
      </w:r>
      <w:r>
        <w:rPr>
          <w:color w:val="383638"/>
          <w:w w:val="105"/>
        </w:rPr>
        <w:t>you enter an appearance in this way, you may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or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may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not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be expected to take time </w:t>
      </w:r>
      <w:r>
        <w:rPr>
          <w:color w:val="383638"/>
          <w:w w:val="105"/>
          <w:sz w:val="21"/>
        </w:rPr>
        <w:t>in </w:t>
      </w:r>
      <w:r>
        <w:rPr>
          <w:color w:val="383638"/>
          <w:w w:val="105"/>
        </w:rPr>
        <w:t>your formal presentation to restate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name</w:t>
      </w:r>
      <w:r>
        <w:rPr>
          <w:color w:val="383638"/>
          <w:spacing w:val="-22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client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reserve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rebuttal time.</w:t>
      </w:r>
    </w:p>
    <w:p>
      <w:pPr>
        <w:pStyle w:val="BodyText"/>
        <w:spacing w:line="232" w:lineRule="auto" w:before="9"/>
        <w:ind w:left="690" w:right="136" w:firstLine="383"/>
        <w:jc w:val="both"/>
      </w:pPr>
      <w:r>
        <w:rPr>
          <w:color w:val="383638"/>
          <w:w w:val="110"/>
        </w:rPr>
        <w:t>Traditionally, advocates begin their arguments by saying, "May It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please the court," although "Good afternoon, your honors" or any other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respectful greeting will probably be acceptable to most judges.</w:t>
      </w:r>
      <w:r>
        <w:rPr>
          <w:color w:val="383638"/>
          <w:w w:val="105"/>
          <w:vertAlign w:val="superscript"/>
        </w:rPr>
        <w:t>21</w:t>
      </w:r>
      <w:r>
        <w:rPr>
          <w:color w:val="383638"/>
          <w:w w:val="105"/>
          <w:vertAlign w:val="baseline"/>
        </w:rPr>
        <w:t> Of course,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10"/>
          <w:vertAlign w:val="baseline"/>
        </w:rPr>
        <w:t>you should review local rules to see </w:t>
      </w:r>
      <w:r>
        <w:rPr>
          <w:color w:val="383638"/>
          <w:w w:val="110"/>
          <w:sz w:val="20"/>
          <w:vertAlign w:val="baseline"/>
        </w:rPr>
        <w:t>if </w:t>
      </w:r>
      <w:r>
        <w:rPr>
          <w:color w:val="383638"/>
          <w:w w:val="110"/>
          <w:vertAlign w:val="baseline"/>
        </w:rPr>
        <w:t>they require any particular open­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05"/>
          <w:vertAlign w:val="baseline"/>
        </w:rPr>
        <w:t>ing, and, whenever possible, observe some arguments in that court before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10"/>
          <w:vertAlign w:val="baseline"/>
        </w:rPr>
        <w:t>your debut so that you can learn the court's customs. In the United States</w:t>
      </w:r>
      <w:r>
        <w:rPr>
          <w:color w:val="383638"/>
          <w:spacing w:val="-6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Supreme Court, for example, advocates never introduce themselves, and</w:t>
      </w:r>
      <w:r>
        <w:rPr>
          <w:color w:val="383638"/>
          <w:spacing w:val="-6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they traditionally begin their arguments by addressing the Chief Justice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05"/>
          <w:vertAlign w:val="baseline"/>
        </w:rPr>
        <w:t>directly,</w:t>
      </w:r>
      <w:r>
        <w:rPr>
          <w:color w:val="383638"/>
          <w:spacing w:val="-4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saying,</w:t>
      </w:r>
      <w:r>
        <w:rPr>
          <w:color w:val="383638"/>
          <w:spacing w:val="11"/>
          <w:w w:val="105"/>
          <w:vertAlign w:val="baseline"/>
        </w:rPr>
        <w:t> </w:t>
      </w:r>
      <w:r>
        <w:rPr>
          <w:color w:val="4D4B4D"/>
          <w:w w:val="105"/>
          <w:vertAlign w:val="baseline"/>
        </w:rPr>
        <w:t>"Mr.</w:t>
      </w:r>
      <w:r>
        <w:rPr>
          <w:color w:val="4D4B4D"/>
          <w:spacing w:val="-7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Chief</w:t>
      </w:r>
      <w:r>
        <w:rPr>
          <w:color w:val="383638"/>
          <w:spacing w:val="-8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Justice,</w:t>
      </w:r>
      <w:r>
        <w:rPr>
          <w:color w:val="383638"/>
          <w:spacing w:val="-2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and</w:t>
      </w:r>
      <w:r>
        <w:rPr>
          <w:color w:val="383638"/>
          <w:spacing w:val="43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may</w:t>
      </w:r>
      <w:r>
        <w:rPr>
          <w:color w:val="383638"/>
          <w:spacing w:val="16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it</w:t>
      </w:r>
      <w:r>
        <w:rPr>
          <w:color w:val="383638"/>
          <w:spacing w:val="17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please</w:t>
      </w:r>
      <w:r>
        <w:rPr>
          <w:color w:val="383638"/>
          <w:spacing w:val="-3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the</w:t>
      </w:r>
      <w:r>
        <w:rPr>
          <w:color w:val="383638"/>
          <w:spacing w:val="42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Court."</w:t>
      </w:r>
      <w:r>
        <w:rPr>
          <w:color w:val="383638"/>
          <w:w w:val="105"/>
          <w:vertAlign w:val="superscript"/>
        </w:rPr>
        <w:t>22</w:t>
      </w:r>
    </w:p>
    <w:p>
      <w:pPr>
        <w:pStyle w:val="BodyText"/>
        <w:spacing w:line="232" w:lineRule="auto"/>
        <w:ind w:left="616" w:right="116" w:firstLine="451"/>
        <w:jc w:val="right"/>
      </w:pPr>
      <w:r>
        <w:rPr>
          <w:color w:val="383638"/>
          <w:w w:val="110"/>
        </w:rPr>
        <w:t>However</w:t>
      </w:r>
      <w:r>
        <w:rPr>
          <w:color w:val="383638"/>
          <w:spacing w:val="31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begin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argument,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should</w:t>
      </w:r>
      <w:r>
        <w:rPr>
          <w:color w:val="383638"/>
          <w:spacing w:val="26"/>
          <w:w w:val="110"/>
        </w:rPr>
        <w:t> </w:t>
      </w:r>
      <w:r>
        <w:rPr>
          <w:color w:val="383638"/>
          <w:w w:val="110"/>
        </w:rPr>
        <w:t>never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start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Without</w:t>
      </w:r>
      <w:r>
        <w:rPr>
          <w:color w:val="383638"/>
          <w:spacing w:val="-60"/>
          <w:w w:val="110"/>
        </w:rPr>
        <w:t> </w:t>
      </w:r>
      <w:r>
        <w:rPr>
          <w:color w:val="383638"/>
          <w:w w:val="110"/>
        </w:rPr>
        <w:t>having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attention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33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Judge,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or,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on</w:t>
      </w:r>
      <w:r>
        <w:rPr>
          <w:color w:val="383638"/>
          <w:spacing w:val="40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multi-judge</w:t>
      </w:r>
      <w:r>
        <w:rPr>
          <w:color w:val="383638"/>
          <w:spacing w:val="32"/>
          <w:w w:val="110"/>
        </w:rPr>
        <w:t> </w:t>
      </w:r>
      <w:r>
        <w:rPr>
          <w:color w:val="383638"/>
          <w:w w:val="110"/>
        </w:rPr>
        <w:t>panel,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the Chief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Judge or Justice.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This requirement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may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mean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have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wait a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moment while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judge finishes with note-taking from a previous advo­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cate, but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the  benefit  it  provides in  professionalism is well  worth any cost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in time. Just stand at the podium and wait in silence for the  judge to nod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 or to give you some other signal telling you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begin. Do not take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notes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or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review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notes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while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waiting,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because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want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be</w:t>
      </w:r>
      <w:r>
        <w:rPr>
          <w:color w:val="383638"/>
          <w:spacing w:val="-24"/>
          <w:w w:val="110"/>
        </w:rPr>
        <w:t> </w:t>
      </w:r>
      <w:r>
        <w:rPr>
          <w:color w:val="383638"/>
          <w:w w:val="110"/>
        </w:rPr>
        <w:t>able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pick up on  either verbal or  nonverbal signals as soon as the  judge is ready.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If you are the  petitioner or the  party supporting the motion, you may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need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reserve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rebuttal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time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at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this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point.</w:t>
      </w:r>
      <w:r>
        <w:rPr>
          <w:color w:val="383638"/>
          <w:spacing w:val="-25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30"/>
          <w:w w:val="110"/>
        </w:rPr>
        <w:t> </w:t>
      </w:r>
      <w:r>
        <w:rPr>
          <w:color w:val="383638"/>
          <w:w w:val="110"/>
        </w:rPr>
        <w:t>manner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-29"/>
          <w:w w:val="110"/>
        </w:rPr>
        <w:t> </w:t>
      </w:r>
      <w:r>
        <w:rPr>
          <w:color w:val="383638"/>
          <w:w w:val="110"/>
        </w:rPr>
        <w:t>reserving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rebut­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tal</w:t>
      </w:r>
      <w:r>
        <w:rPr>
          <w:color w:val="383638"/>
          <w:spacing w:val="34"/>
          <w:w w:val="110"/>
        </w:rPr>
        <w:t> </w:t>
      </w:r>
      <w:r>
        <w:rPr>
          <w:color w:val="383638"/>
          <w:w w:val="110"/>
        </w:rPr>
        <w:t>varies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from</w:t>
      </w:r>
      <w:r>
        <w:rPr>
          <w:color w:val="383638"/>
          <w:spacing w:val="27"/>
          <w:w w:val="110"/>
        </w:rPr>
        <w:t> </w:t>
      </w:r>
      <w:r>
        <w:rPr>
          <w:color w:val="383638"/>
          <w:w w:val="110"/>
        </w:rPr>
        <w:t>court</w:t>
      </w:r>
      <w:r>
        <w:rPr>
          <w:color w:val="383638"/>
          <w:spacing w:val="44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26"/>
          <w:w w:val="110"/>
        </w:rPr>
        <w:t> </w:t>
      </w:r>
      <w:r>
        <w:rPr>
          <w:color w:val="383638"/>
          <w:w w:val="110"/>
        </w:rPr>
        <w:t>court.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36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44"/>
          <w:w w:val="110"/>
        </w:rPr>
        <w:t> </w:t>
      </w:r>
      <w:r>
        <w:rPr>
          <w:color w:val="383638"/>
          <w:w w:val="110"/>
        </w:rPr>
        <w:t>United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States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Supreme</w:t>
      </w:r>
      <w:r>
        <w:rPr>
          <w:color w:val="383638"/>
          <w:spacing w:val="27"/>
          <w:w w:val="110"/>
        </w:rPr>
        <w:t> </w:t>
      </w:r>
      <w:r>
        <w:rPr>
          <w:color w:val="383638"/>
          <w:w w:val="110"/>
        </w:rPr>
        <w:t>Court,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example,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do</w:t>
      </w:r>
      <w:r>
        <w:rPr>
          <w:color w:val="383638"/>
          <w:spacing w:val="42"/>
          <w:w w:val="110"/>
        </w:rPr>
        <w:t> </w:t>
      </w:r>
      <w:r>
        <w:rPr>
          <w:color w:val="383638"/>
          <w:w w:val="110"/>
        </w:rPr>
        <w:t>not</w:t>
      </w:r>
      <w:r>
        <w:rPr>
          <w:color w:val="383638"/>
          <w:spacing w:val="42"/>
          <w:w w:val="110"/>
        </w:rPr>
        <w:t> </w:t>
      </w:r>
      <w:r>
        <w:rPr>
          <w:color w:val="383638"/>
          <w:w w:val="110"/>
        </w:rPr>
        <w:t>set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aside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rebuttal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time;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simply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make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best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effort to end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your argument while you still have time remaining. In other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courts,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may</w:t>
      </w:r>
      <w:r>
        <w:rPr>
          <w:color w:val="383638"/>
          <w:spacing w:val="25"/>
          <w:w w:val="110"/>
        </w:rPr>
        <w:t> </w:t>
      </w:r>
      <w:r>
        <w:rPr>
          <w:color w:val="383638"/>
          <w:w w:val="110"/>
        </w:rPr>
        <w:t>reserve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time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by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speaking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directly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29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4"/>
          <w:w w:val="110"/>
        </w:rPr>
        <w:t> </w:t>
      </w:r>
      <w:r>
        <w:rPr>
          <w:color w:val="383638"/>
          <w:w w:val="110"/>
        </w:rPr>
        <w:t>bailiff.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some</w:t>
      </w:r>
      <w:r>
        <w:rPr>
          <w:color w:val="383638"/>
          <w:spacing w:val="-60"/>
          <w:w w:val="110"/>
        </w:rPr>
        <w:t> </w:t>
      </w:r>
      <w:r>
        <w:rPr>
          <w:color w:val="383638"/>
          <w:w w:val="110"/>
        </w:rPr>
        <w:t>courts, you may need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 both request time from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bailiff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make the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request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orally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from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1"/>
          <w:w w:val="110"/>
        </w:rPr>
        <w:t> </w:t>
      </w:r>
      <w:r>
        <w:rPr>
          <w:color w:val="383638"/>
          <w:w w:val="110"/>
        </w:rPr>
        <w:t>podium.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Section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13.7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provides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more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detail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on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pre­</w:t>
      </w:r>
    </w:p>
    <w:p>
      <w:pPr>
        <w:pStyle w:val="BodyText"/>
        <w:spacing w:line="262" w:lineRule="exact" w:before="12"/>
        <w:ind w:left="609"/>
      </w:pPr>
      <w:r>
        <w:rPr>
          <w:color w:val="383638"/>
          <w:w w:val="110"/>
        </w:rPr>
        <w:t>paring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42"/>
          <w:w w:val="110"/>
        </w:rPr>
        <w:t> </w:t>
      </w:r>
      <w:r>
        <w:rPr>
          <w:color w:val="383638"/>
          <w:w w:val="110"/>
        </w:rPr>
        <w:t>making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51"/>
          <w:w w:val="110"/>
        </w:rPr>
        <w:t> </w:t>
      </w:r>
      <w:r>
        <w:rPr>
          <w:color w:val="383638"/>
          <w:w w:val="110"/>
        </w:rPr>
        <w:t>rebuttal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argument.</w:t>
      </w:r>
    </w:p>
    <w:p>
      <w:pPr>
        <w:pStyle w:val="BodyText"/>
        <w:tabs>
          <w:tab w:pos="2635" w:val="left" w:leader="none"/>
        </w:tabs>
        <w:spacing w:line="230" w:lineRule="auto" w:before="6"/>
        <w:ind w:left="571" w:right="116" w:firstLine="410"/>
      </w:pPr>
      <w:r>
        <w:rPr>
          <w:color w:val="383638"/>
          <w:w w:val="105"/>
        </w:rPr>
        <w:t>Your</w:t>
      </w:r>
      <w:r>
        <w:rPr>
          <w:color w:val="383638"/>
          <w:spacing w:val="7"/>
          <w:w w:val="105"/>
        </w:rPr>
        <w:t> </w:t>
      </w:r>
      <w:r>
        <w:rPr>
          <w:color w:val="383638"/>
          <w:w w:val="105"/>
        </w:rPr>
        <w:t>next</w:t>
      </w:r>
      <w:r>
        <w:rPr>
          <w:color w:val="383638"/>
          <w:spacing w:val="14"/>
          <w:w w:val="105"/>
        </w:rPr>
        <w:t> </w:t>
      </w:r>
      <w:r>
        <w:rPr>
          <w:color w:val="383638"/>
          <w:w w:val="105"/>
        </w:rPr>
        <w:t>task is</w:t>
      </w:r>
      <w:r>
        <w:rPr>
          <w:color w:val="383638"/>
          <w:spacing w:val="13"/>
          <w:w w:val="105"/>
        </w:rPr>
        <w:t> </w:t>
      </w:r>
      <w:r>
        <w:rPr>
          <w:color w:val="383638"/>
          <w:w w:val="105"/>
        </w:rPr>
        <w:t>to</w:t>
      </w:r>
      <w:r>
        <w:rPr>
          <w:color w:val="383638"/>
          <w:spacing w:val="27"/>
          <w:w w:val="105"/>
        </w:rPr>
        <w:t> </w:t>
      </w:r>
      <w:r>
        <w:rPr>
          <w:color w:val="383638"/>
          <w:w w:val="105"/>
        </w:rPr>
        <w:t>introduce</w:t>
      </w:r>
      <w:r>
        <w:rPr>
          <w:color w:val="383638"/>
          <w:spacing w:val="5"/>
          <w:w w:val="105"/>
        </w:rPr>
        <w:t> </w:t>
      </w:r>
      <w:r>
        <w:rPr>
          <w:color w:val="383638"/>
          <w:w w:val="105"/>
        </w:rPr>
        <w:t>yourself</w:t>
      </w:r>
      <w:r>
        <w:rPr>
          <w:color w:val="383638"/>
          <w:spacing w:val="28"/>
          <w:w w:val="105"/>
        </w:rPr>
        <w:t> </w:t>
      </w:r>
      <w:r>
        <w:rPr>
          <w:color w:val="383638"/>
          <w:w w:val="105"/>
        </w:rPr>
        <w:t>and</w:t>
      </w:r>
      <w:r>
        <w:rPr>
          <w:color w:val="383638"/>
          <w:spacing w:val="6"/>
          <w:w w:val="105"/>
        </w:rPr>
        <w:t> </w:t>
      </w:r>
      <w:r>
        <w:rPr>
          <w:color w:val="383638"/>
          <w:w w:val="105"/>
        </w:rPr>
        <w:t>your</w:t>
      </w:r>
      <w:r>
        <w:rPr>
          <w:color w:val="383638"/>
          <w:spacing w:val="-2"/>
          <w:w w:val="105"/>
        </w:rPr>
        <w:t> </w:t>
      </w:r>
      <w:r>
        <w:rPr>
          <w:color w:val="383638"/>
          <w:w w:val="105"/>
        </w:rPr>
        <w:t>case.</w:t>
      </w:r>
      <w:r>
        <w:rPr>
          <w:color w:val="383638"/>
          <w:spacing w:val="-33"/>
          <w:w w:val="105"/>
        </w:rPr>
        <w:t> </w:t>
      </w:r>
      <w:r>
        <w:rPr>
          <w:color w:val="383638"/>
          <w:w w:val="105"/>
        </w:rPr>
        <w:t>Judge</w:t>
      </w:r>
      <w:r>
        <w:rPr>
          <w:color w:val="383638"/>
          <w:spacing w:val="-1"/>
          <w:w w:val="105"/>
        </w:rPr>
        <w:t> </w:t>
      </w:r>
      <w:r>
        <w:rPr>
          <w:color w:val="383638"/>
          <w:w w:val="105"/>
        </w:rPr>
        <w:t>Wiener has</w:t>
      </w:r>
      <w:r>
        <w:rPr>
          <w:color w:val="383638"/>
          <w:spacing w:val="-58"/>
          <w:w w:val="105"/>
        </w:rPr>
        <w:t> </w:t>
      </w:r>
      <w:r>
        <w:rPr>
          <w:color w:val="383638"/>
          <w:w w:val="110"/>
        </w:rPr>
        <w:t>recommended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opening with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"a short, simple introduction: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tell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panel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name,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name of  your client, your client's role in  the  appeal </w:t>
      </w:r>
      <w:r>
        <w:rPr>
          <w:color w:val="4D4B4D"/>
          <w:w w:val="110"/>
        </w:rPr>
        <w:t>...</w:t>
      </w:r>
      <w:r>
        <w:rPr>
          <w:color w:val="4D4B4D"/>
          <w:spacing w:val="1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41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38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7"/>
          <w:w w:val="110"/>
        </w:rPr>
        <w:t> </w:t>
      </w:r>
      <w:r>
        <w:rPr>
          <w:color w:val="383638"/>
          <w:w w:val="110"/>
        </w:rPr>
        <w:t>trial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...</w:t>
        <w:tab/>
        <w:t>but</w:t>
      </w:r>
      <w:r>
        <w:rPr>
          <w:color w:val="383638"/>
          <w:spacing w:val="27"/>
          <w:w w:val="110"/>
        </w:rPr>
        <w:t> </w:t>
      </w:r>
      <w:r>
        <w:rPr>
          <w:color w:val="383638"/>
          <w:w w:val="110"/>
        </w:rPr>
        <w:t>refrain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from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blowing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lot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'smoke'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at</w:t>
      </w:r>
      <w:r>
        <w:rPr>
          <w:color w:val="383638"/>
          <w:spacing w:val="26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court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spacing w:line="210" w:lineRule="exact" w:before="1"/>
        <w:ind w:left="926" w:right="0" w:firstLine="0"/>
        <w:jc w:val="both"/>
        <w:rPr>
          <w:sz w:val="18"/>
        </w:rPr>
      </w:pPr>
      <w:r>
        <w:rPr>
          <w:rFonts w:ascii="Arial"/>
          <w:color w:val="383638"/>
          <w:w w:val="105"/>
          <w:position w:val="7"/>
          <w:sz w:val="9"/>
        </w:rPr>
        <w:t>11</w:t>
      </w:r>
      <w:r>
        <w:rPr>
          <w:rFonts w:ascii="Arial"/>
          <w:color w:val="383638"/>
          <w:spacing w:val="21"/>
          <w:w w:val="105"/>
          <w:position w:val="7"/>
          <w:sz w:val="9"/>
        </w:rPr>
        <w:t> </w:t>
      </w:r>
      <w:r>
        <w:rPr>
          <w:color w:val="383638"/>
          <w:w w:val="105"/>
          <w:sz w:val="18"/>
        </w:rPr>
        <w:t>Wiener,</w:t>
      </w:r>
      <w:r>
        <w:rPr>
          <w:color w:val="383638"/>
          <w:spacing w:val="15"/>
          <w:w w:val="105"/>
          <w:sz w:val="18"/>
        </w:rPr>
        <w:t> </w:t>
      </w:r>
      <w:r>
        <w:rPr>
          <w:i/>
          <w:color w:val="4D4B4D"/>
          <w:w w:val="105"/>
          <w:sz w:val="19"/>
        </w:rPr>
        <w:t>supra</w:t>
      </w:r>
      <w:r>
        <w:rPr>
          <w:i/>
          <w:color w:val="4D4B4D"/>
          <w:spacing w:val="7"/>
          <w:w w:val="105"/>
          <w:sz w:val="19"/>
        </w:rPr>
        <w:t> </w:t>
      </w:r>
      <w:r>
        <w:rPr>
          <w:color w:val="383638"/>
          <w:w w:val="105"/>
          <w:sz w:val="18"/>
        </w:rPr>
        <w:t>note</w:t>
      </w:r>
      <w:r>
        <w:rPr>
          <w:color w:val="383638"/>
          <w:spacing w:val="-3"/>
          <w:w w:val="105"/>
          <w:sz w:val="18"/>
        </w:rPr>
        <w:t> </w:t>
      </w:r>
      <w:r>
        <w:rPr>
          <w:color w:val="383638"/>
          <w:w w:val="105"/>
          <w:sz w:val="18"/>
        </w:rPr>
        <w:t>2,</w:t>
      </w:r>
      <w:r>
        <w:rPr>
          <w:color w:val="383638"/>
          <w:spacing w:val="-14"/>
          <w:w w:val="105"/>
          <w:sz w:val="18"/>
        </w:rPr>
        <w:t> </w:t>
      </w:r>
      <w:r>
        <w:rPr>
          <w:color w:val="383638"/>
          <w:w w:val="105"/>
          <w:sz w:val="18"/>
        </w:rPr>
        <w:t>at</w:t>
      </w:r>
      <w:r>
        <w:rPr>
          <w:color w:val="383638"/>
          <w:spacing w:val="12"/>
          <w:w w:val="105"/>
          <w:sz w:val="18"/>
        </w:rPr>
        <w:t> </w:t>
      </w:r>
      <w:r>
        <w:rPr>
          <w:color w:val="383638"/>
          <w:w w:val="105"/>
          <w:sz w:val="18"/>
        </w:rPr>
        <w:t>203.</w:t>
      </w:r>
    </w:p>
    <w:p>
      <w:pPr>
        <w:spacing w:line="225" w:lineRule="auto" w:before="1"/>
        <w:ind w:left="491" w:right="109" w:firstLine="432"/>
        <w:jc w:val="both"/>
        <w:rPr>
          <w:sz w:val="18"/>
        </w:rPr>
      </w:pPr>
      <w:r>
        <w:rPr>
          <w:rFonts w:ascii="Arial"/>
          <w:color w:val="383638"/>
          <w:w w:val="105"/>
          <w:position w:val="6"/>
          <w:sz w:val="10"/>
        </w:rPr>
        <w:t>22 </w:t>
      </w:r>
      <w:r>
        <w:rPr>
          <w:color w:val="383638"/>
          <w:w w:val="105"/>
          <w:sz w:val="18"/>
        </w:rPr>
        <w:t>Because the  United States Supreme Court has never had a Chief </w:t>
      </w:r>
      <w:r>
        <w:rPr>
          <w:color w:val="4D4B4D"/>
          <w:w w:val="105"/>
          <w:sz w:val="18"/>
        </w:rPr>
        <w:t>Justice </w:t>
      </w:r>
      <w:r>
        <w:rPr>
          <w:color w:val="383638"/>
          <w:w w:val="105"/>
          <w:sz w:val="18"/>
        </w:rPr>
        <w:t>who Is a woman,</w:t>
      </w:r>
      <w:r>
        <w:rPr>
          <w:color w:val="383638"/>
          <w:spacing w:val="1"/>
          <w:w w:val="105"/>
          <w:sz w:val="18"/>
        </w:rPr>
        <w:t> </w:t>
      </w:r>
      <w:r>
        <w:rPr>
          <w:color w:val="383638"/>
          <w:spacing w:val="-1"/>
          <w:w w:val="110"/>
          <w:sz w:val="18"/>
        </w:rPr>
        <w:t>the</w:t>
      </w:r>
      <w:r>
        <w:rPr>
          <w:color w:val="383638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Court has </w:t>
      </w:r>
      <w:r>
        <w:rPr>
          <w:i/>
          <w:color w:val="383638"/>
          <w:spacing w:val="-1"/>
          <w:w w:val="110"/>
          <w:sz w:val="20"/>
        </w:rPr>
        <w:t>no </w:t>
      </w:r>
      <w:r>
        <w:rPr>
          <w:color w:val="383638"/>
          <w:spacing w:val="-1"/>
          <w:w w:val="110"/>
          <w:sz w:val="18"/>
        </w:rPr>
        <w:t>protocol </w:t>
      </w:r>
      <w:r>
        <w:rPr>
          <w:color w:val="383638"/>
          <w:w w:val="110"/>
          <w:sz w:val="18"/>
        </w:rPr>
        <w:t>for addressing a female Chief Justice. Some students who are faced</w:t>
      </w:r>
      <w:r>
        <w:rPr>
          <w:color w:val="383638"/>
          <w:spacing w:val="1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with</w:t>
      </w:r>
      <w:r>
        <w:rPr>
          <w:color w:val="383638"/>
          <w:spacing w:val="-14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a</w:t>
      </w:r>
      <w:r>
        <w:rPr>
          <w:color w:val="383638"/>
          <w:spacing w:val="-6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female</w:t>
      </w:r>
      <w:r>
        <w:rPr>
          <w:color w:val="383638"/>
          <w:spacing w:val="-27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Chief</w:t>
      </w:r>
      <w:r>
        <w:rPr>
          <w:color w:val="383638"/>
          <w:spacing w:val="-25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Justice</w:t>
      </w:r>
      <w:r>
        <w:rPr>
          <w:color w:val="383638"/>
          <w:spacing w:val="-23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In</w:t>
      </w:r>
      <w:r>
        <w:rPr>
          <w:color w:val="383638"/>
          <w:spacing w:val="-12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a</w:t>
      </w:r>
      <w:r>
        <w:rPr>
          <w:color w:val="383638"/>
          <w:spacing w:val="-2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Moot</w:t>
      </w:r>
      <w:r>
        <w:rPr>
          <w:color w:val="383638"/>
          <w:spacing w:val="-20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Court</w:t>
      </w:r>
      <w:r>
        <w:rPr>
          <w:color w:val="383638"/>
          <w:spacing w:val="-2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setting</w:t>
      </w:r>
      <w:r>
        <w:rPr>
          <w:color w:val="383638"/>
          <w:spacing w:val="-23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address</w:t>
      </w:r>
      <w:r>
        <w:rPr>
          <w:color w:val="383638"/>
          <w:spacing w:val="2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her</w:t>
      </w:r>
      <w:r>
        <w:rPr>
          <w:color w:val="383638"/>
          <w:spacing w:val="-12"/>
          <w:w w:val="110"/>
          <w:sz w:val="18"/>
        </w:rPr>
        <w:t> </w:t>
      </w:r>
      <w:r>
        <w:rPr>
          <w:color w:val="4D4B4D"/>
          <w:w w:val="110"/>
          <w:sz w:val="18"/>
        </w:rPr>
        <w:t>as</w:t>
      </w:r>
      <w:r>
        <w:rPr>
          <w:color w:val="4D4B4D"/>
          <w:spacing w:val="-13"/>
          <w:w w:val="110"/>
          <w:sz w:val="18"/>
        </w:rPr>
        <w:t> </w:t>
      </w:r>
      <w:r>
        <w:rPr>
          <w:color w:val="4D4B4D"/>
          <w:w w:val="110"/>
          <w:sz w:val="18"/>
        </w:rPr>
        <w:t>"Madame</w:t>
      </w:r>
      <w:r>
        <w:rPr>
          <w:color w:val="4D4B4D"/>
          <w:spacing w:val="-12"/>
          <w:w w:val="110"/>
          <w:sz w:val="18"/>
        </w:rPr>
        <w:t> </w:t>
      </w:r>
      <w:r>
        <w:rPr>
          <w:color w:val="383638"/>
          <w:w w:val="110"/>
          <w:sz w:val="18"/>
        </w:rPr>
        <w:t>Chief</w:t>
      </w:r>
      <w:r>
        <w:rPr>
          <w:color w:val="383638"/>
          <w:spacing w:val="-14"/>
          <w:w w:val="110"/>
          <w:sz w:val="18"/>
        </w:rPr>
        <w:t> </w:t>
      </w:r>
      <w:r>
        <w:rPr>
          <w:color w:val="383638"/>
          <w:w w:val="110"/>
          <w:sz w:val="18"/>
        </w:rPr>
        <w:t>Justice.#</w:t>
      </w:r>
      <w:r>
        <w:rPr>
          <w:color w:val="383638"/>
          <w:spacing w:val="-3"/>
          <w:w w:val="110"/>
          <w:sz w:val="18"/>
        </w:rPr>
        <w:t> </w:t>
      </w:r>
      <w:r>
        <w:rPr>
          <w:color w:val="383638"/>
          <w:w w:val="110"/>
          <w:sz w:val="16"/>
        </w:rPr>
        <w:t>While</w:t>
      </w:r>
      <w:r>
        <w:rPr>
          <w:color w:val="383638"/>
          <w:spacing w:val="1"/>
          <w:w w:val="110"/>
          <w:sz w:val="16"/>
        </w:rPr>
        <w:t> </w:t>
      </w:r>
      <w:r>
        <w:rPr>
          <w:color w:val="383638"/>
          <w:w w:val="110"/>
          <w:sz w:val="18"/>
        </w:rPr>
        <w:t>this may </w:t>
      </w:r>
      <w:r>
        <w:rPr>
          <w:rFonts w:ascii="Arial"/>
          <w:color w:val="383638"/>
          <w:w w:val="110"/>
          <w:sz w:val="16"/>
        </w:rPr>
        <w:t>be </w:t>
      </w:r>
      <w:r>
        <w:rPr>
          <w:color w:val="383638"/>
          <w:w w:val="110"/>
          <w:sz w:val="18"/>
        </w:rPr>
        <w:t>acceptable, resorting to a foreign </w:t>
      </w:r>
      <w:r>
        <w:rPr>
          <w:color w:val="4D4B4D"/>
          <w:w w:val="110"/>
          <w:sz w:val="18"/>
        </w:rPr>
        <w:t>language </w:t>
      </w:r>
      <w:r>
        <w:rPr>
          <w:color w:val="383638"/>
          <w:w w:val="110"/>
          <w:sz w:val="18"/>
        </w:rPr>
        <w:t>strikes me as odd</w:t>
      </w:r>
      <w:r>
        <w:rPr>
          <w:color w:val="606062"/>
          <w:w w:val="110"/>
          <w:sz w:val="18"/>
        </w:rPr>
        <w:t>. </w:t>
      </w:r>
      <w:r>
        <w:rPr>
          <w:color w:val="383638"/>
          <w:w w:val="110"/>
          <w:sz w:val="18"/>
        </w:rPr>
        <w:t>Alternatives could</w:t>
      </w:r>
      <w:r>
        <w:rPr>
          <w:color w:val="383638"/>
          <w:spacing w:val="1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Include addressing </w:t>
      </w:r>
      <w:r>
        <w:rPr>
          <w:color w:val="383638"/>
          <w:w w:val="110"/>
          <w:sz w:val="18"/>
        </w:rPr>
        <w:t>the Chief by name, or by the title without </w:t>
      </w:r>
      <w:r>
        <w:rPr>
          <w:color w:val="4D4B4D"/>
          <w:w w:val="110"/>
          <w:sz w:val="18"/>
        </w:rPr>
        <w:t>the </w:t>
      </w:r>
      <w:r>
        <w:rPr>
          <w:color w:val="383638"/>
          <w:w w:val="110"/>
          <w:sz w:val="18"/>
        </w:rPr>
        <w:t>gender designator. Thus, either</w:t>
      </w:r>
      <w:r>
        <w:rPr>
          <w:color w:val="383638"/>
          <w:spacing w:val="-47"/>
          <w:w w:val="110"/>
          <w:sz w:val="18"/>
        </w:rPr>
        <w:t> </w:t>
      </w:r>
      <w:r>
        <w:rPr>
          <w:color w:val="383638"/>
          <w:w w:val="110"/>
          <w:sz w:val="18"/>
        </w:rPr>
        <w:t>say, "Chief Justice </w:t>
      </w:r>
      <w:r>
        <w:rPr>
          <w:color w:val="4D4B4D"/>
          <w:w w:val="110"/>
          <w:sz w:val="18"/>
        </w:rPr>
        <w:t>(with </w:t>
      </w:r>
      <w:r>
        <w:rPr>
          <w:color w:val="383638"/>
          <w:w w:val="110"/>
          <w:sz w:val="18"/>
        </w:rPr>
        <w:t>a nod to the Chief), and may It please the Court," or "Chief Justice</w:t>
      </w:r>
      <w:r>
        <w:rPr>
          <w:color w:val="383638"/>
          <w:spacing w:val="1"/>
          <w:w w:val="110"/>
          <w:sz w:val="18"/>
        </w:rPr>
        <w:t> </w:t>
      </w:r>
      <w:r>
        <w:rPr>
          <w:color w:val="383638"/>
          <w:w w:val="110"/>
          <w:sz w:val="18"/>
        </w:rPr>
        <w:t>Sotomayor,</w:t>
      </w:r>
      <w:r>
        <w:rPr>
          <w:color w:val="383638"/>
          <w:spacing w:val="-13"/>
          <w:w w:val="110"/>
          <w:sz w:val="18"/>
        </w:rPr>
        <w:t> </w:t>
      </w:r>
      <w:r>
        <w:rPr>
          <w:color w:val="383638"/>
          <w:w w:val="110"/>
          <w:sz w:val="18"/>
        </w:rPr>
        <w:t>and</w:t>
      </w:r>
      <w:r>
        <w:rPr>
          <w:color w:val="383638"/>
          <w:spacing w:val="25"/>
          <w:w w:val="110"/>
          <w:sz w:val="18"/>
        </w:rPr>
        <w:t> </w:t>
      </w:r>
      <w:r>
        <w:rPr>
          <w:color w:val="383638"/>
          <w:w w:val="110"/>
          <w:sz w:val="18"/>
        </w:rPr>
        <w:t>may</w:t>
      </w:r>
      <w:r>
        <w:rPr>
          <w:color w:val="383638"/>
          <w:spacing w:val="-1"/>
          <w:w w:val="110"/>
          <w:sz w:val="18"/>
        </w:rPr>
        <w:t> </w:t>
      </w:r>
      <w:r>
        <w:rPr>
          <w:color w:val="383638"/>
          <w:w w:val="110"/>
          <w:sz w:val="18"/>
        </w:rPr>
        <w:t>it</w:t>
      </w:r>
      <w:r>
        <w:rPr>
          <w:color w:val="383638"/>
          <w:spacing w:val="10"/>
          <w:w w:val="110"/>
          <w:sz w:val="18"/>
        </w:rPr>
        <w:t> </w:t>
      </w:r>
      <w:r>
        <w:rPr>
          <w:color w:val="383638"/>
          <w:w w:val="110"/>
          <w:sz w:val="18"/>
        </w:rPr>
        <w:t>please</w:t>
      </w:r>
      <w:r>
        <w:rPr>
          <w:color w:val="383638"/>
          <w:spacing w:val="-1"/>
          <w:w w:val="110"/>
          <w:sz w:val="18"/>
        </w:rPr>
        <w:t> </w:t>
      </w:r>
      <w:r>
        <w:rPr>
          <w:color w:val="383638"/>
          <w:w w:val="110"/>
          <w:sz w:val="18"/>
        </w:rPr>
        <w:t>the</w:t>
      </w:r>
      <w:r>
        <w:rPr>
          <w:color w:val="383638"/>
          <w:spacing w:val="16"/>
          <w:w w:val="110"/>
          <w:sz w:val="18"/>
        </w:rPr>
        <w:t> </w:t>
      </w:r>
      <w:r>
        <w:rPr>
          <w:color w:val="383638"/>
          <w:w w:val="110"/>
          <w:sz w:val="18"/>
        </w:rPr>
        <w:t>Court."</w:t>
      </w:r>
    </w:p>
    <w:p>
      <w:pPr>
        <w:spacing w:after="0" w:line="225" w:lineRule="auto"/>
        <w:jc w:val="both"/>
        <w:rPr>
          <w:sz w:val="18"/>
        </w:rPr>
        <w:sectPr>
          <w:headerReference w:type="even" r:id="rId332"/>
          <w:headerReference w:type="default" r:id="rId333"/>
          <w:pgSz w:w="9710" w:h="14020"/>
          <w:pgMar w:header="534" w:footer="0" w:top="1100" w:bottom="0" w:left="134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30" w:lineRule="auto"/>
        <w:ind w:left="106" w:right="537"/>
        <w:jc w:val="both"/>
      </w:pPr>
      <w:r>
        <w:rPr>
          <w:color w:val="383636"/>
          <w:spacing w:val="-1"/>
          <w:w w:val="165"/>
        </w:rPr>
        <w:t>.... </w:t>
      </w:r>
      <w:r>
        <w:rPr>
          <w:color w:val="383636"/>
          <w:spacing w:val="-1"/>
          <w:w w:val="115"/>
        </w:rPr>
        <w:t>Begin your presentation with a short, attention-getting </w:t>
      </w:r>
      <w:r>
        <w:rPr>
          <w:color w:val="383636"/>
          <w:w w:val="115"/>
        </w:rPr>
        <w:t>'simple and</w:t>
      </w:r>
      <w:r>
        <w:rPr>
          <w:color w:val="383636"/>
          <w:spacing w:val="-64"/>
          <w:w w:val="115"/>
        </w:rPr>
        <w:t> </w:t>
      </w:r>
      <w:r>
        <w:rPr>
          <w:color w:val="383636"/>
          <w:w w:val="110"/>
        </w:rPr>
        <w:t>direct' introduction of the points you plan to make."</w:t>
      </w:r>
      <w:r>
        <w:rPr>
          <w:rFonts w:ascii="Arial"/>
          <w:color w:val="383636"/>
          <w:w w:val="110"/>
          <w:vertAlign w:val="superscript"/>
        </w:rPr>
        <w:t>23</w:t>
      </w:r>
      <w:r>
        <w:rPr>
          <w:rFonts w:ascii="Arial"/>
          <w:color w:val="383636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Judge Williams has</w:t>
      </w:r>
      <w:r>
        <w:rPr>
          <w:color w:val="383636"/>
          <w:spacing w:val="-6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warned that the only uninterrupted time most oral advocates will have is</w:t>
      </w:r>
      <w:r>
        <w:rPr>
          <w:color w:val="383636"/>
          <w:spacing w:val="1"/>
          <w:w w:val="110"/>
          <w:vertAlign w:val="baseline"/>
        </w:rPr>
        <w:t> </w:t>
      </w:r>
      <w:r>
        <w:rPr>
          <w:color w:val="383636"/>
          <w:w w:val="115"/>
          <w:vertAlign w:val="baseline"/>
        </w:rPr>
        <w:t>at the beginning of the argument, and that they must use this time "to</w:t>
      </w:r>
      <w:r>
        <w:rPr>
          <w:color w:val="383636"/>
          <w:spacing w:val="1"/>
          <w:w w:val="115"/>
          <w:vertAlign w:val="baseline"/>
        </w:rPr>
        <w:t> </w:t>
      </w:r>
      <w:r>
        <w:rPr>
          <w:color w:val="383636"/>
          <w:w w:val="110"/>
          <w:vertAlign w:val="baseline"/>
        </w:rPr>
        <w:t>succinctly present the issue and explain to the court the most important</w:t>
      </w:r>
      <w:r>
        <w:rPr>
          <w:color w:val="383636"/>
          <w:spacing w:val="1"/>
          <w:w w:val="110"/>
          <w:vertAlign w:val="baseline"/>
        </w:rPr>
        <w:t> </w:t>
      </w:r>
      <w:r>
        <w:rPr>
          <w:color w:val="383636"/>
          <w:w w:val="105"/>
          <w:vertAlign w:val="baseline"/>
        </w:rPr>
        <w:t>reason why  [they] should prevail. [They) may wish to use this time to give</w:t>
      </w:r>
      <w:r>
        <w:rPr>
          <w:color w:val="383636"/>
          <w:spacing w:val="1"/>
          <w:w w:val="105"/>
          <w:vertAlign w:val="baseline"/>
        </w:rPr>
        <w:t> </w:t>
      </w:r>
      <w:r>
        <w:rPr>
          <w:color w:val="383636"/>
          <w:w w:val="110"/>
          <w:vertAlign w:val="baseline"/>
        </w:rPr>
        <w:t>an</w:t>
      </w:r>
      <w:r>
        <w:rPr>
          <w:color w:val="383636"/>
          <w:spacing w:val="-20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outline</w:t>
      </w:r>
      <w:r>
        <w:rPr>
          <w:color w:val="383636"/>
          <w:spacing w:val="-5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of</w:t>
      </w:r>
      <w:r>
        <w:rPr>
          <w:color w:val="383636"/>
          <w:spacing w:val="13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the</w:t>
      </w:r>
      <w:r>
        <w:rPr>
          <w:color w:val="383636"/>
          <w:spacing w:val="44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points"</w:t>
      </w:r>
      <w:r>
        <w:rPr>
          <w:color w:val="383636"/>
          <w:spacing w:val="-13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to</w:t>
      </w:r>
      <w:r>
        <w:rPr>
          <w:color w:val="383636"/>
          <w:spacing w:val="7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be</w:t>
      </w:r>
      <w:r>
        <w:rPr>
          <w:color w:val="383636"/>
          <w:spacing w:val="-13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covered</w:t>
      </w:r>
      <w:r>
        <w:rPr>
          <w:color w:val="383636"/>
          <w:spacing w:val="-8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during</w:t>
      </w:r>
      <w:r>
        <w:rPr>
          <w:color w:val="383636"/>
          <w:spacing w:val="-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the</w:t>
      </w:r>
      <w:r>
        <w:rPr>
          <w:color w:val="383636"/>
          <w:spacing w:val="7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argument.</w:t>
      </w:r>
      <w:r>
        <w:rPr>
          <w:color w:val="383636"/>
          <w:w w:val="110"/>
          <w:vertAlign w:val="superscript"/>
        </w:rPr>
        <w:t>24</w:t>
      </w:r>
    </w:p>
    <w:p>
      <w:pPr>
        <w:pStyle w:val="BodyText"/>
        <w:spacing w:line="232" w:lineRule="auto" w:before="11"/>
        <w:ind w:left="124" w:right="487" w:firstLine="342"/>
        <w:jc w:val="both"/>
        <w:rPr>
          <w:rFonts w:ascii="Arial" w:hAnsi="Arial"/>
          <w:sz w:val="12"/>
        </w:rPr>
      </w:pPr>
      <w:r>
        <w:rPr>
          <w:color w:val="383636"/>
          <w:w w:val="110"/>
        </w:rPr>
        <w:t>Many advocates spend too much time providing factual context. </w:t>
      </w:r>
      <w:r>
        <w:rPr>
          <w:color w:val="383636"/>
          <w:w w:val="110"/>
          <w:sz w:val="21"/>
        </w:rPr>
        <w:t>An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</w:rPr>
        <w:t>oral</w:t>
      </w:r>
      <w:r>
        <w:rPr>
          <w:color w:val="383636"/>
          <w:spacing w:val="-20"/>
          <w:w w:val="110"/>
        </w:rPr>
        <w:t> </w:t>
      </w:r>
      <w:r>
        <w:rPr>
          <w:color w:val="383636"/>
          <w:w w:val="110"/>
        </w:rPr>
        <w:t>argument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does</w:t>
      </w:r>
      <w:r>
        <w:rPr>
          <w:color w:val="383636"/>
          <w:spacing w:val="-17"/>
          <w:w w:val="110"/>
        </w:rPr>
        <w:t> </w:t>
      </w:r>
      <w:r>
        <w:rPr>
          <w:color w:val="383636"/>
          <w:w w:val="110"/>
        </w:rPr>
        <w:t>not</w:t>
      </w:r>
      <w:r>
        <w:rPr>
          <w:color w:val="383636"/>
          <w:spacing w:val="10"/>
          <w:w w:val="110"/>
        </w:rPr>
        <w:t> </w:t>
      </w:r>
      <w:r>
        <w:rPr>
          <w:color w:val="383636"/>
          <w:w w:val="110"/>
        </w:rPr>
        <w:t>have</w:t>
      </w:r>
      <w:r>
        <w:rPr>
          <w:color w:val="383636"/>
          <w:spacing w:val="-20"/>
          <w:w w:val="110"/>
        </w:rPr>
        <w:t> </w:t>
      </w:r>
      <w:r>
        <w:rPr>
          <w:color w:val="383636"/>
          <w:w w:val="110"/>
        </w:rPr>
        <w:t>a</w:t>
      </w:r>
      <w:r>
        <w:rPr>
          <w:color w:val="383636"/>
          <w:spacing w:val="-13"/>
          <w:w w:val="110"/>
        </w:rPr>
        <w:t> </w:t>
      </w:r>
      <w:r>
        <w:rPr>
          <w:color w:val="383636"/>
          <w:w w:val="110"/>
        </w:rPr>
        <w:t>formal</w:t>
      </w:r>
      <w:r>
        <w:rPr>
          <w:color w:val="383636"/>
          <w:spacing w:val="-20"/>
          <w:w w:val="110"/>
        </w:rPr>
        <w:t> </w:t>
      </w:r>
      <w:r>
        <w:rPr>
          <w:color w:val="383636"/>
          <w:w w:val="110"/>
        </w:rPr>
        <w:t>statement</w:t>
      </w:r>
      <w:r>
        <w:rPr>
          <w:color w:val="383636"/>
          <w:spacing w:val="-15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-3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4"/>
          <w:w w:val="110"/>
        </w:rPr>
        <w:t> </w:t>
      </w:r>
      <w:r>
        <w:rPr>
          <w:color w:val="383636"/>
          <w:w w:val="110"/>
        </w:rPr>
        <w:t>case</w:t>
      </w:r>
      <w:r>
        <w:rPr>
          <w:color w:val="383636"/>
          <w:spacing w:val="-23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6"/>
          <w:w w:val="110"/>
        </w:rPr>
        <w:t> </w:t>
      </w:r>
      <w:r>
        <w:rPr>
          <w:color w:val="383636"/>
          <w:w w:val="110"/>
        </w:rPr>
        <w:t>way</w:t>
      </w:r>
      <w:r>
        <w:rPr>
          <w:color w:val="383636"/>
          <w:spacing w:val="-15"/>
          <w:w w:val="110"/>
        </w:rPr>
        <w:t> </w:t>
      </w:r>
      <w:r>
        <w:rPr>
          <w:color w:val="383636"/>
          <w:w w:val="110"/>
        </w:rPr>
        <w:t>a</w:t>
      </w:r>
      <w:r>
        <w:rPr>
          <w:color w:val="383636"/>
          <w:spacing w:val="-9"/>
          <w:w w:val="110"/>
        </w:rPr>
        <w:t> </w:t>
      </w:r>
      <w:r>
        <w:rPr>
          <w:color w:val="383636"/>
          <w:w w:val="110"/>
        </w:rPr>
        <w:t>brief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does. You can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presume that the court has read your brief and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relevant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record materials. The Internal Operating Procedures of the United States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Court of Appeals for the Third Circuit, for example, require that briefs and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appendices be </w:t>
      </w:r>
      <w:r>
        <w:rPr>
          <w:color w:val="49494B"/>
          <w:w w:val="105"/>
        </w:rPr>
        <w:t>"distributed </w:t>
      </w:r>
      <w:r>
        <w:rPr>
          <w:color w:val="383636"/>
          <w:w w:val="105"/>
        </w:rPr>
        <w:t>sufficiently in advance to afford at least four (4)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  <w:sz w:val="21"/>
        </w:rPr>
        <w:t>full </w:t>
      </w:r>
      <w:r>
        <w:rPr>
          <w:color w:val="383636"/>
          <w:w w:val="105"/>
        </w:rPr>
        <w:t>weeks' study in chambers prior to the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panel sitting.2S Rule 1.2 lays out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-26"/>
          <w:w w:val="110"/>
        </w:rPr>
        <w:t> </w:t>
      </w:r>
      <w:r>
        <w:rPr>
          <w:color w:val="383636"/>
          <w:w w:val="110"/>
        </w:rPr>
        <w:t>"Responsibility</w:t>
      </w:r>
      <w:r>
        <w:rPr>
          <w:color w:val="383636"/>
          <w:spacing w:val="-36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Panel</w:t>
      </w:r>
      <w:r>
        <w:rPr>
          <w:color w:val="383636"/>
          <w:spacing w:val="-15"/>
          <w:w w:val="110"/>
        </w:rPr>
        <w:t> </w:t>
      </w:r>
      <w:r>
        <w:rPr>
          <w:color w:val="383636"/>
          <w:w w:val="110"/>
        </w:rPr>
        <w:t>Prior</w:t>
      </w:r>
      <w:r>
        <w:rPr>
          <w:color w:val="383636"/>
          <w:spacing w:val="-5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-6"/>
          <w:w w:val="110"/>
        </w:rPr>
        <w:t> </w:t>
      </w:r>
      <w:r>
        <w:rPr>
          <w:color w:val="383636"/>
          <w:w w:val="110"/>
        </w:rPr>
        <w:t>Scheduled</w:t>
      </w:r>
      <w:r>
        <w:rPr>
          <w:color w:val="383636"/>
          <w:spacing w:val="-12"/>
          <w:w w:val="110"/>
        </w:rPr>
        <w:t> </w:t>
      </w:r>
      <w:r>
        <w:rPr>
          <w:color w:val="383636"/>
          <w:w w:val="110"/>
        </w:rPr>
        <w:t>Sitting,"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noting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that</w:t>
      </w:r>
      <w:r>
        <w:rPr>
          <w:color w:val="383636"/>
          <w:spacing w:val="-32"/>
          <w:w w:val="110"/>
        </w:rPr>
        <w:t> </w:t>
      </w:r>
      <w:r>
        <w:rPr>
          <w:color w:val="383636"/>
          <w:w w:val="110"/>
        </w:rPr>
        <w:t>"[t}his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court has the tradition of carefully reading briefs and reviewing appendi­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ces</w:t>
      </w:r>
      <w:r>
        <w:rPr>
          <w:color w:val="383636"/>
          <w:spacing w:val="-18"/>
          <w:w w:val="110"/>
        </w:rPr>
        <w:t> </w:t>
      </w:r>
      <w:r>
        <w:rPr>
          <w:color w:val="383636"/>
          <w:w w:val="110"/>
        </w:rPr>
        <w:t>prior</w:t>
      </w:r>
      <w:r>
        <w:rPr>
          <w:color w:val="383636"/>
          <w:spacing w:val="-6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15"/>
          <w:w w:val="110"/>
        </w:rPr>
        <w:t> </w:t>
      </w:r>
      <w:r>
        <w:rPr>
          <w:color w:val="383636"/>
          <w:w w:val="110"/>
        </w:rPr>
        <w:t>oral</w:t>
      </w:r>
      <w:r>
        <w:rPr>
          <w:color w:val="383636"/>
          <w:spacing w:val="-12"/>
          <w:w w:val="110"/>
        </w:rPr>
        <w:t> </w:t>
      </w:r>
      <w:r>
        <w:rPr>
          <w:color w:val="383636"/>
          <w:w w:val="110"/>
        </w:rPr>
        <w:t>argument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or</w:t>
      </w:r>
      <w:r>
        <w:rPr>
          <w:color w:val="383636"/>
          <w:spacing w:val="-5"/>
          <w:w w:val="110"/>
        </w:rPr>
        <w:t> </w:t>
      </w:r>
      <w:r>
        <w:rPr>
          <w:color w:val="383636"/>
          <w:w w:val="110"/>
        </w:rPr>
        <w:t>conference."</w:t>
      </w:r>
      <w:r>
        <w:rPr>
          <w:rFonts w:ascii="Arial" w:hAnsi="Arial"/>
          <w:color w:val="383636"/>
          <w:w w:val="110"/>
          <w:position w:val="9"/>
          <w:sz w:val="12"/>
        </w:rPr>
        <w:t>26</w:t>
      </w:r>
    </w:p>
    <w:p>
      <w:pPr>
        <w:pStyle w:val="BodyText"/>
        <w:spacing w:line="235" w:lineRule="auto" w:before="4"/>
        <w:ind w:left="150" w:right="436" w:firstLine="336"/>
        <w:jc w:val="both"/>
      </w:pPr>
      <w:r>
        <w:rPr>
          <w:color w:val="383636"/>
          <w:w w:val="110"/>
        </w:rPr>
        <w:t>Most advocates can give enough factual context simply by articulating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-20"/>
          <w:w w:val="110"/>
        </w:rPr>
        <w:t> </w:t>
      </w:r>
      <w:r>
        <w:rPr>
          <w:color w:val="383636"/>
          <w:w w:val="110"/>
        </w:rPr>
        <w:t>issue.</w:t>
      </w:r>
      <w:r>
        <w:rPr>
          <w:color w:val="383636"/>
          <w:spacing w:val="-28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8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36"/>
          <w:w w:val="110"/>
        </w:rPr>
        <w:t> </w:t>
      </w:r>
      <w:r>
        <w:rPr>
          <w:color w:val="383636"/>
          <w:w w:val="110"/>
        </w:rPr>
        <w:t>rare</w:t>
      </w:r>
      <w:r>
        <w:rPr>
          <w:color w:val="383636"/>
          <w:spacing w:val="-37"/>
          <w:w w:val="110"/>
        </w:rPr>
        <w:t> </w:t>
      </w:r>
      <w:r>
        <w:rPr>
          <w:color w:val="383636"/>
          <w:w w:val="110"/>
        </w:rPr>
        <w:t>situation</w:t>
      </w:r>
      <w:r>
        <w:rPr>
          <w:color w:val="383636"/>
          <w:spacing w:val="-10"/>
          <w:w w:val="110"/>
        </w:rPr>
        <w:t> </w:t>
      </w:r>
      <w:r>
        <w:rPr>
          <w:color w:val="383636"/>
          <w:w w:val="110"/>
        </w:rPr>
        <w:t>where</w:t>
      </w:r>
      <w:r>
        <w:rPr>
          <w:color w:val="383636"/>
          <w:spacing w:val="-19"/>
          <w:w w:val="110"/>
        </w:rPr>
        <w:t> </w:t>
      </w:r>
      <w:r>
        <w:rPr>
          <w:color w:val="383636"/>
          <w:w w:val="110"/>
        </w:rPr>
        <w:t>more</w:t>
      </w:r>
      <w:r>
        <w:rPr>
          <w:color w:val="383636"/>
          <w:spacing w:val="-21"/>
          <w:w w:val="110"/>
        </w:rPr>
        <w:t> </w:t>
      </w:r>
      <w:r>
        <w:rPr>
          <w:color w:val="383636"/>
          <w:w w:val="110"/>
        </w:rPr>
        <w:t>factual</w:t>
      </w:r>
      <w:r>
        <w:rPr>
          <w:color w:val="383636"/>
          <w:spacing w:val="-19"/>
          <w:w w:val="110"/>
        </w:rPr>
        <w:t> </w:t>
      </w:r>
      <w:r>
        <w:rPr>
          <w:color w:val="383636"/>
          <w:w w:val="110"/>
        </w:rPr>
        <w:t>background</w:t>
      </w:r>
      <w:r>
        <w:rPr>
          <w:color w:val="383636"/>
          <w:spacing w:val="2"/>
          <w:w w:val="110"/>
        </w:rPr>
        <w:t> </w:t>
      </w:r>
      <w:r>
        <w:rPr>
          <w:color w:val="383636"/>
          <w:w w:val="110"/>
        </w:rPr>
        <w:t>is</w:t>
      </w:r>
      <w:r>
        <w:rPr>
          <w:color w:val="383636"/>
          <w:spacing w:val="-26"/>
          <w:w w:val="110"/>
        </w:rPr>
        <w:t> </w:t>
      </w:r>
      <w:r>
        <w:rPr>
          <w:color w:val="383636"/>
          <w:w w:val="110"/>
        </w:rPr>
        <w:t>necessary,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try to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spend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no  more than one or two sentences on  these facts. Ideally,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 court should not even realize that youare laying out facts; if it does, it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should do so only at the moment you move to your argument. Of course,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later in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argument, you should discuss facts in detail as they relate to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your points or in answering questions; in the introduction, however, you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must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be</w:t>
      </w:r>
      <w:r>
        <w:rPr>
          <w:color w:val="383636"/>
          <w:spacing w:val="-8"/>
          <w:w w:val="110"/>
        </w:rPr>
        <w:t> </w:t>
      </w:r>
      <w:r>
        <w:rPr>
          <w:color w:val="383636"/>
          <w:w w:val="110"/>
        </w:rPr>
        <w:t>succinct.</w:t>
      </w:r>
    </w:p>
    <w:p>
      <w:pPr>
        <w:pStyle w:val="BodyText"/>
        <w:spacing w:line="232" w:lineRule="auto"/>
        <w:ind w:left="168" w:right="337" w:firstLine="346"/>
        <w:jc w:val="both"/>
      </w:pPr>
      <w:r>
        <w:rPr>
          <w:color w:val="383636"/>
          <w:w w:val="110"/>
        </w:rPr>
        <w:t>Presenting a roadmap of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points you plan to cover has two advan­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tages. First, it gives you at least one opportunity to make those points.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With</w:t>
      </w:r>
      <w:r>
        <w:rPr>
          <w:color w:val="383636"/>
          <w:spacing w:val="-23"/>
          <w:w w:val="115"/>
        </w:rPr>
        <w:t> </w:t>
      </w:r>
      <w:r>
        <w:rPr>
          <w:color w:val="383636"/>
          <w:w w:val="115"/>
        </w:rPr>
        <w:t>some</w:t>
      </w:r>
      <w:r>
        <w:rPr>
          <w:color w:val="383636"/>
          <w:spacing w:val="-13"/>
          <w:w w:val="115"/>
        </w:rPr>
        <w:t> </w:t>
      </w:r>
      <w:r>
        <w:rPr>
          <w:color w:val="383636"/>
          <w:w w:val="115"/>
        </w:rPr>
        <w:t>"hot"</w:t>
      </w:r>
      <w:r>
        <w:rPr>
          <w:color w:val="383636"/>
          <w:spacing w:val="-32"/>
          <w:w w:val="115"/>
        </w:rPr>
        <w:t> </w:t>
      </w:r>
      <w:r>
        <w:rPr>
          <w:color w:val="383636"/>
          <w:w w:val="115"/>
        </w:rPr>
        <w:t>courts, that</w:t>
      </w:r>
      <w:r>
        <w:rPr>
          <w:color w:val="383636"/>
          <w:spacing w:val="-18"/>
          <w:w w:val="115"/>
        </w:rPr>
        <w:t> </w:t>
      </w:r>
      <w:r>
        <w:rPr>
          <w:color w:val="383636"/>
          <w:w w:val="115"/>
        </w:rPr>
        <w:t>opportunity</w:t>
      </w:r>
      <w:r>
        <w:rPr>
          <w:color w:val="383636"/>
          <w:spacing w:val="10"/>
          <w:w w:val="115"/>
        </w:rPr>
        <w:t> </w:t>
      </w:r>
      <w:r>
        <w:rPr>
          <w:color w:val="383636"/>
          <w:w w:val="115"/>
        </w:rPr>
        <w:t>may</w:t>
      </w:r>
      <w:r>
        <w:rPr>
          <w:color w:val="383636"/>
          <w:spacing w:val="-23"/>
          <w:w w:val="115"/>
        </w:rPr>
        <w:t> </w:t>
      </w:r>
      <w:r>
        <w:rPr>
          <w:color w:val="383636"/>
          <w:w w:val="115"/>
        </w:rPr>
        <w:t>be</w:t>
      </w:r>
      <w:r>
        <w:rPr>
          <w:color w:val="383636"/>
          <w:spacing w:val="-12"/>
          <w:w w:val="115"/>
        </w:rPr>
        <w:t> </w:t>
      </w:r>
      <w:r>
        <w:rPr>
          <w:color w:val="383636"/>
          <w:w w:val="115"/>
        </w:rPr>
        <w:t>the</w:t>
      </w:r>
      <w:r>
        <w:rPr>
          <w:color w:val="383636"/>
          <w:spacing w:val="-3"/>
          <w:w w:val="115"/>
        </w:rPr>
        <w:t> </w:t>
      </w:r>
      <w:r>
        <w:rPr>
          <w:color w:val="383636"/>
          <w:w w:val="115"/>
        </w:rPr>
        <w:t>only</w:t>
      </w:r>
      <w:r>
        <w:rPr>
          <w:color w:val="383636"/>
          <w:spacing w:val="-20"/>
          <w:w w:val="115"/>
        </w:rPr>
        <w:t> </w:t>
      </w:r>
      <w:r>
        <w:rPr>
          <w:color w:val="383636"/>
          <w:w w:val="115"/>
        </w:rPr>
        <w:t>one.</w:t>
      </w:r>
      <w:r>
        <w:rPr>
          <w:color w:val="383636"/>
          <w:spacing w:val="-39"/>
          <w:w w:val="115"/>
        </w:rPr>
        <w:t> </w:t>
      </w:r>
      <w:r>
        <w:rPr>
          <w:color w:val="383636"/>
          <w:w w:val="115"/>
        </w:rPr>
        <w:t>Second,</w:t>
      </w:r>
      <w:r>
        <w:rPr>
          <w:color w:val="383636"/>
          <w:spacing w:val="-27"/>
          <w:w w:val="115"/>
        </w:rPr>
        <w:t> </w:t>
      </w:r>
      <w:r>
        <w:rPr>
          <w:color w:val="383636"/>
          <w:w w:val="115"/>
        </w:rPr>
        <w:t>a</w:t>
      </w:r>
      <w:r>
        <w:rPr>
          <w:color w:val="383636"/>
          <w:spacing w:val="1"/>
          <w:w w:val="115"/>
        </w:rPr>
        <w:t> </w:t>
      </w:r>
      <w:r>
        <w:rPr>
          <w:color w:val="383636"/>
          <w:spacing w:val="-1"/>
          <w:w w:val="115"/>
        </w:rPr>
        <w:t>roadmap provides the </w:t>
      </w:r>
      <w:r>
        <w:rPr>
          <w:color w:val="383636"/>
          <w:w w:val="115"/>
        </w:rPr>
        <w:t>obvious benefit of telling the court the points you</w:t>
      </w:r>
      <w:r>
        <w:rPr>
          <w:color w:val="383636"/>
          <w:spacing w:val="-64"/>
          <w:w w:val="115"/>
        </w:rPr>
        <w:t> </w:t>
      </w:r>
      <w:r>
        <w:rPr>
          <w:color w:val="383636"/>
          <w:w w:val="110"/>
        </w:rPr>
        <w:t>plan to address and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 order in which you plan to address them. Some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courts will let you proceed with your argument if you have named the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points that the court is interested in; if you do not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provide a roadmap, on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the other hand, the judges may interrupt quickly to make sure that you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discuss an issue that has provoked their interest. You should not state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points in your roadmap objectively (e.g., don't say, "First, I will address</w:t>
      </w:r>
      <w:r>
        <w:rPr>
          <w:color w:val="383636"/>
          <w:spacing w:val="-64"/>
          <w:w w:val="115"/>
        </w:rPr>
        <w:t> </w:t>
      </w:r>
      <w:r>
        <w:rPr>
          <w:color w:val="383636"/>
          <w:w w:val="115"/>
        </w:rPr>
        <w:t>whether the statute passes the heightened scrutiny test"). Instead, state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your points argumentatively, and use the roadmap to explain why you are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asking</w:t>
      </w:r>
      <w:r>
        <w:rPr>
          <w:color w:val="383636"/>
          <w:spacing w:val="-11"/>
          <w:w w:val="115"/>
        </w:rPr>
        <w:t> </w:t>
      </w:r>
      <w:r>
        <w:rPr>
          <w:color w:val="383636"/>
          <w:w w:val="115"/>
        </w:rPr>
        <w:t>for</w:t>
      </w:r>
      <w:r>
        <w:rPr>
          <w:color w:val="383636"/>
          <w:spacing w:val="3"/>
          <w:w w:val="115"/>
        </w:rPr>
        <w:t> </w:t>
      </w:r>
      <w:r>
        <w:rPr>
          <w:color w:val="383636"/>
          <w:w w:val="115"/>
        </w:rPr>
        <w:t>the</w:t>
      </w:r>
      <w:r>
        <w:rPr>
          <w:color w:val="383636"/>
          <w:spacing w:val="42"/>
          <w:w w:val="115"/>
        </w:rPr>
        <w:t> </w:t>
      </w:r>
      <w:r>
        <w:rPr>
          <w:color w:val="383636"/>
          <w:w w:val="115"/>
        </w:rPr>
        <w:t>result</w:t>
      </w:r>
      <w:r>
        <w:rPr>
          <w:color w:val="383636"/>
          <w:spacing w:val="-2"/>
          <w:w w:val="115"/>
        </w:rPr>
        <w:t> </w:t>
      </w:r>
      <w:r>
        <w:rPr>
          <w:color w:val="383636"/>
          <w:w w:val="115"/>
        </w:rPr>
        <w:t>you</w:t>
      </w:r>
      <w:r>
        <w:rPr>
          <w:color w:val="383636"/>
          <w:spacing w:val="-1"/>
          <w:w w:val="115"/>
        </w:rPr>
        <w:t> </w:t>
      </w:r>
      <w:r>
        <w:rPr>
          <w:color w:val="383636"/>
          <w:w w:val="115"/>
        </w:rPr>
        <w:t>seek.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4"/>
        </w:rPr>
      </w:pPr>
    </w:p>
    <w:p>
      <w:pPr>
        <w:spacing w:line="206" w:lineRule="exact" w:before="0"/>
        <w:ind w:left="554" w:right="0" w:firstLine="0"/>
        <w:jc w:val="both"/>
        <w:rPr>
          <w:sz w:val="18"/>
        </w:rPr>
      </w:pPr>
      <w:r>
        <w:rPr>
          <w:color w:val="383636"/>
          <w:w w:val="105"/>
          <w:position w:val="5"/>
          <w:sz w:val="11"/>
        </w:rPr>
        <w:t>23</w:t>
      </w:r>
      <w:r>
        <w:rPr>
          <w:color w:val="383636"/>
          <w:w w:val="105"/>
          <w:sz w:val="18"/>
        </w:rPr>
        <w:t>Wlencr,</w:t>
      </w:r>
      <w:r>
        <w:rPr>
          <w:color w:val="383636"/>
          <w:spacing w:val="-1"/>
          <w:w w:val="105"/>
          <w:sz w:val="18"/>
        </w:rPr>
        <w:t> </w:t>
      </w:r>
      <w:r>
        <w:rPr>
          <w:i/>
          <w:color w:val="383636"/>
          <w:sz w:val="19"/>
        </w:rPr>
        <w:t>s11pra</w:t>
      </w:r>
      <w:r>
        <w:rPr>
          <w:i/>
          <w:color w:val="383636"/>
          <w:spacing w:val="3"/>
          <w:sz w:val="19"/>
        </w:rPr>
        <w:t> </w:t>
      </w:r>
      <w:r>
        <w:rPr>
          <w:color w:val="383636"/>
          <w:w w:val="105"/>
          <w:sz w:val="18"/>
        </w:rPr>
        <w:t>note 2,</w:t>
      </w:r>
      <w:r>
        <w:rPr>
          <w:color w:val="383636"/>
          <w:spacing w:val="-26"/>
          <w:w w:val="105"/>
          <w:sz w:val="18"/>
        </w:rPr>
        <w:t> </w:t>
      </w:r>
      <w:r>
        <w:rPr>
          <w:color w:val="383636"/>
          <w:w w:val="105"/>
          <w:sz w:val="18"/>
        </w:rPr>
        <w:t>at</w:t>
      </w:r>
      <w:r>
        <w:rPr>
          <w:color w:val="383636"/>
          <w:spacing w:val="7"/>
          <w:w w:val="105"/>
          <w:sz w:val="18"/>
        </w:rPr>
        <w:t> </w:t>
      </w:r>
      <w:r>
        <w:rPr>
          <w:color w:val="383636"/>
          <w:w w:val="105"/>
          <w:sz w:val="18"/>
        </w:rPr>
        <w:t>201,</w:t>
      </w:r>
      <w:r>
        <w:rPr>
          <w:color w:val="383636"/>
          <w:spacing w:val="-4"/>
          <w:w w:val="105"/>
          <w:sz w:val="18"/>
        </w:rPr>
        <w:t> </w:t>
      </w:r>
      <w:r>
        <w:rPr>
          <w:color w:val="383636"/>
          <w:w w:val="105"/>
          <w:sz w:val="18"/>
        </w:rPr>
        <w:t>203.</w:t>
      </w:r>
    </w:p>
    <w:p>
      <w:pPr>
        <w:spacing w:line="197" w:lineRule="exact" w:before="0"/>
        <w:ind w:left="559" w:right="0" w:firstLine="0"/>
        <w:jc w:val="both"/>
        <w:rPr>
          <w:sz w:val="16"/>
        </w:rPr>
      </w:pPr>
      <w:r>
        <w:rPr>
          <w:color w:val="383636"/>
          <w:w w:val="105"/>
          <w:sz w:val="18"/>
        </w:rPr>
        <w:t>NWi!liams,</w:t>
      </w:r>
      <w:r>
        <w:rPr>
          <w:color w:val="383636"/>
          <w:spacing w:val="21"/>
          <w:w w:val="105"/>
          <w:sz w:val="18"/>
        </w:rPr>
        <w:t> </w:t>
      </w:r>
      <w:r>
        <w:rPr>
          <w:i/>
          <w:color w:val="383636"/>
          <w:w w:val="105"/>
          <w:sz w:val="19"/>
        </w:rPr>
        <w:t>supra</w:t>
      </w:r>
      <w:r>
        <w:rPr>
          <w:i/>
          <w:color w:val="383636"/>
          <w:spacing w:val="5"/>
          <w:w w:val="105"/>
          <w:sz w:val="19"/>
        </w:rPr>
        <w:t> </w:t>
      </w:r>
      <w:r>
        <w:rPr>
          <w:color w:val="383636"/>
          <w:w w:val="105"/>
          <w:sz w:val="18"/>
        </w:rPr>
        <w:t>note</w:t>
      </w:r>
      <w:r>
        <w:rPr>
          <w:color w:val="383636"/>
          <w:spacing w:val="-22"/>
          <w:w w:val="105"/>
          <w:sz w:val="18"/>
        </w:rPr>
        <w:t> </w:t>
      </w:r>
      <w:r>
        <w:rPr>
          <w:color w:val="383636"/>
          <w:w w:val="105"/>
          <w:sz w:val="16"/>
        </w:rPr>
        <w:t>9,</w:t>
      </w:r>
      <w:r>
        <w:rPr>
          <w:color w:val="383636"/>
          <w:spacing w:val="29"/>
          <w:w w:val="105"/>
          <w:sz w:val="16"/>
        </w:rPr>
        <w:t> </w:t>
      </w:r>
      <w:r>
        <w:rPr>
          <w:color w:val="383636"/>
          <w:w w:val="105"/>
          <w:sz w:val="18"/>
        </w:rPr>
        <w:t>at</w:t>
      </w:r>
      <w:r>
        <w:rPr>
          <w:color w:val="383636"/>
          <w:spacing w:val="8"/>
          <w:w w:val="105"/>
          <w:sz w:val="18"/>
        </w:rPr>
        <w:t> </w:t>
      </w:r>
      <w:r>
        <w:rPr>
          <w:color w:val="49494B"/>
          <w:w w:val="105"/>
          <w:sz w:val="16"/>
        </w:rPr>
        <w:t>598.</w:t>
      </w:r>
    </w:p>
    <w:p>
      <w:pPr>
        <w:spacing w:line="235" w:lineRule="auto" w:before="0"/>
        <w:ind w:left="196" w:right="292" w:firstLine="348"/>
        <w:jc w:val="both"/>
        <w:rPr>
          <w:sz w:val="18"/>
        </w:rPr>
      </w:pPr>
      <w:r>
        <w:rPr>
          <w:color w:val="383636"/>
          <w:w w:val="110"/>
          <w:sz w:val="18"/>
        </w:rPr>
        <w:t>"Internal Operating rrocedures, </w:t>
      </w:r>
      <w:r>
        <w:rPr>
          <w:color w:val="383636"/>
          <w:w w:val="110"/>
          <w:sz w:val="17"/>
        </w:rPr>
        <w:t>U.S. </w:t>
      </w:r>
      <w:r>
        <w:rPr>
          <w:color w:val="383636"/>
          <w:w w:val="110"/>
          <w:sz w:val="18"/>
        </w:rPr>
        <w:t>Court of Appeals for the Third Circuit </w:t>
      </w:r>
      <w:r>
        <w:rPr>
          <w:color w:val="383636"/>
          <w:w w:val="110"/>
          <w:sz w:val="17"/>
        </w:rPr>
        <w:t>1.1 </w:t>
      </w:r>
      <w:r>
        <w:rPr>
          <w:color w:val="49494B"/>
          <w:w w:val="110"/>
          <w:sz w:val="18"/>
        </w:rPr>
        <w:t>(effective</w:t>
      </w:r>
      <w:r>
        <w:rPr>
          <w:color w:val="49494B"/>
          <w:spacing w:val="1"/>
          <w:w w:val="110"/>
          <w:sz w:val="18"/>
        </w:rPr>
        <w:t> </w:t>
      </w:r>
      <w:r>
        <w:rPr>
          <w:color w:val="383636"/>
          <w:w w:val="110"/>
          <w:sz w:val="18"/>
        </w:rPr>
        <w:t>July </w:t>
      </w:r>
      <w:r>
        <w:rPr>
          <w:color w:val="383636"/>
          <w:w w:val="110"/>
          <w:sz w:val="17"/>
        </w:rPr>
        <w:t>JO, </w:t>
      </w:r>
      <w:r>
        <w:rPr>
          <w:color w:val="383636"/>
          <w:w w:val="110"/>
          <w:sz w:val="18"/>
        </w:rPr>
        <w:t>2010), </w:t>
      </w:r>
      <w:r>
        <w:rPr>
          <w:color w:val="49494B"/>
          <w:w w:val="110"/>
          <w:sz w:val="18"/>
        </w:rPr>
        <w:t>available at </w:t>
      </w:r>
      <w:hyperlink r:id="rId334">
        <w:r>
          <w:rPr>
            <w:color w:val="383636"/>
            <w:w w:val="110"/>
            <w:sz w:val="18"/>
          </w:rPr>
          <w:t>http://www2.ca3.uscourts.gov/legacyftles/lOP</w:t>
        </w:r>
        <w:r>
          <w:rPr>
            <w:color w:val="49494B"/>
            <w:w w:val="110"/>
            <w:sz w:val="18"/>
          </w:rPr>
          <w:t>_2010_fina\2</w:t>
        </w:r>
        <w:r>
          <w:rPr>
            <w:color w:val="646466"/>
            <w:w w:val="110"/>
            <w:sz w:val="18"/>
          </w:rPr>
          <w:t>.</w:t>
        </w:r>
        <w:r>
          <w:rPr>
            <w:color w:val="383636"/>
            <w:w w:val="110"/>
            <w:sz w:val="18"/>
          </w:rPr>
          <w:t>pdf</w:t>
        </w:r>
      </w:hyperlink>
      <w:r>
        <w:rPr>
          <w:color w:val="383636"/>
          <w:w w:val="110"/>
          <w:sz w:val="18"/>
        </w:rPr>
        <w:t> </w:t>
      </w:r>
      <w:r>
        <w:rPr>
          <w:color w:val="49494B"/>
          <w:w w:val="110"/>
          <w:sz w:val="18"/>
        </w:rPr>
        <w:t>(last</w:t>
      </w:r>
      <w:r>
        <w:rPr>
          <w:color w:val="49494B"/>
          <w:spacing w:val="-47"/>
          <w:w w:val="110"/>
          <w:sz w:val="18"/>
        </w:rPr>
        <w:t> </w:t>
      </w:r>
      <w:r>
        <w:rPr>
          <w:color w:val="383636"/>
          <w:w w:val="110"/>
          <w:sz w:val="17"/>
        </w:rPr>
        <w:t>accessed</w:t>
      </w:r>
      <w:r>
        <w:rPr>
          <w:color w:val="383636"/>
          <w:spacing w:val="11"/>
          <w:w w:val="110"/>
          <w:sz w:val="17"/>
        </w:rPr>
        <w:t> </w:t>
      </w:r>
      <w:r>
        <w:rPr>
          <w:color w:val="383636"/>
          <w:w w:val="110"/>
          <w:sz w:val="18"/>
        </w:rPr>
        <w:t>Mar</w:t>
      </w:r>
      <w:r>
        <w:rPr>
          <w:color w:val="646466"/>
          <w:w w:val="110"/>
          <w:sz w:val="18"/>
        </w:rPr>
        <w:t>.</w:t>
      </w:r>
      <w:r>
        <w:rPr>
          <w:color w:val="646466"/>
          <w:spacing w:val="-2"/>
          <w:w w:val="110"/>
          <w:sz w:val="18"/>
        </w:rPr>
        <w:t> </w:t>
      </w:r>
      <w:r>
        <w:rPr>
          <w:color w:val="383636"/>
          <w:w w:val="110"/>
          <w:sz w:val="17"/>
        </w:rPr>
        <w:t>21,</w:t>
      </w:r>
      <w:r>
        <w:rPr>
          <w:color w:val="383636"/>
          <w:spacing w:val="38"/>
          <w:w w:val="110"/>
          <w:sz w:val="17"/>
        </w:rPr>
        <w:t> </w:t>
      </w:r>
      <w:r>
        <w:rPr>
          <w:color w:val="383636"/>
          <w:w w:val="110"/>
          <w:sz w:val="18"/>
        </w:rPr>
        <w:t>2014).</w:t>
      </w:r>
    </w:p>
    <w:p>
      <w:pPr>
        <w:spacing w:line="192" w:lineRule="exact" w:before="0"/>
        <w:ind w:left="553" w:right="0" w:firstLine="0"/>
        <w:jc w:val="both"/>
        <w:rPr>
          <w:sz w:val="18"/>
        </w:rPr>
      </w:pPr>
      <w:r>
        <w:rPr>
          <w:color w:val="383636"/>
          <w:sz w:val="15"/>
        </w:rPr>
        <w:t>:u</w:t>
      </w:r>
      <w:r>
        <w:rPr>
          <w:i/>
          <w:color w:val="383636"/>
          <w:sz w:val="18"/>
        </w:rPr>
        <w:t>lei.</w:t>
      </w:r>
      <w:r>
        <w:rPr>
          <w:i/>
          <w:color w:val="383636"/>
          <w:spacing w:val="-17"/>
          <w:sz w:val="18"/>
        </w:rPr>
        <w:t> </w:t>
      </w:r>
      <w:r>
        <w:rPr>
          <w:color w:val="383636"/>
          <w:sz w:val="18"/>
        </w:rPr>
        <w:t>at</w:t>
      </w:r>
      <w:r>
        <w:rPr>
          <w:color w:val="383636"/>
          <w:spacing w:val="48"/>
          <w:sz w:val="18"/>
        </w:rPr>
        <w:t> </w:t>
      </w:r>
      <w:r>
        <w:rPr>
          <w:color w:val="383636"/>
          <w:sz w:val="18"/>
        </w:rPr>
        <w:t>1</w:t>
      </w:r>
      <w:r>
        <w:rPr>
          <w:color w:val="646466"/>
          <w:sz w:val="18"/>
        </w:rPr>
        <w:t>.</w:t>
      </w:r>
      <w:r>
        <w:rPr>
          <w:color w:val="49494B"/>
          <w:sz w:val="18"/>
        </w:rPr>
        <w:t>2.</w:t>
      </w:r>
    </w:p>
    <w:p>
      <w:pPr>
        <w:spacing w:after="0" w:line="192" w:lineRule="exact"/>
        <w:jc w:val="both"/>
        <w:rPr>
          <w:sz w:val="18"/>
        </w:rPr>
        <w:sectPr>
          <w:pgSz w:w="9800" w:h="14020"/>
          <w:pgMar w:header="677" w:footer="0" w:top="860" w:bottom="280" w:left="320" w:right="1360"/>
        </w:sectPr>
      </w:pPr>
    </w:p>
    <w:p>
      <w:pPr>
        <w:pStyle w:val="BodyText"/>
        <w:spacing w:line="232" w:lineRule="auto" w:before="87"/>
        <w:ind w:left="698" w:right="115" w:firstLine="9"/>
        <w:jc w:val="both"/>
      </w:pPr>
      <w:r>
        <w:rPr>
          <w:color w:val="3A383A"/>
        </w:rPr>
        <w:t>whenever </w:t>
      </w:r>
      <w:r>
        <w:rPr>
          <w:color w:val="4D4D4D"/>
        </w:rPr>
        <w:t>you </w:t>
      </w:r>
      <w:r>
        <w:rPr>
          <w:color w:val="3A383A"/>
        </w:rPr>
        <w:t>address the court), and state your name, your law firm, and</w:t>
      </w:r>
      <w:r>
        <w:rPr>
          <w:color w:val="3A383A"/>
          <w:spacing w:val="-55"/>
        </w:rPr>
        <w:t> </w:t>
      </w:r>
      <w:r>
        <w:rPr>
          <w:color w:val="3A383A"/>
          <w:spacing w:val="-1"/>
        </w:rPr>
        <w:t>the</w:t>
      </w:r>
      <w:r>
        <w:rPr>
          <w:color w:val="3A383A"/>
          <w:spacing w:val="27"/>
        </w:rPr>
        <w:t> </w:t>
      </w:r>
      <w:r>
        <w:rPr>
          <w:color w:val="3A383A"/>
          <w:spacing w:val="-1"/>
        </w:rPr>
        <w:t>party</w:t>
      </w:r>
      <w:r>
        <w:rPr>
          <w:color w:val="3A383A"/>
          <w:spacing w:val="-23"/>
        </w:rPr>
        <w:t> </w:t>
      </w:r>
      <w:r>
        <w:rPr>
          <w:color w:val="3A383A"/>
          <w:spacing w:val="-1"/>
        </w:rPr>
        <w:t>you</w:t>
      </w:r>
      <w:r>
        <w:rPr>
          <w:color w:val="3A383A"/>
          <w:spacing w:val="4"/>
        </w:rPr>
        <w:t> </w:t>
      </w:r>
      <w:r>
        <w:rPr>
          <w:color w:val="3A383A"/>
        </w:rPr>
        <w:t>represent.</w:t>
      </w:r>
      <w:r>
        <w:rPr>
          <w:color w:val="3A383A"/>
          <w:spacing w:val="-15"/>
        </w:rPr>
        <w:t> </w:t>
      </w:r>
      <w:r>
        <w:rPr>
          <w:color w:val="3A383A"/>
        </w:rPr>
        <w:t>The</w:t>
      </w:r>
      <w:r>
        <w:rPr>
          <w:color w:val="3A383A"/>
          <w:spacing w:val="-7"/>
        </w:rPr>
        <w:t> </w:t>
      </w:r>
      <w:r>
        <w:rPr>
          <w:color w:val="3A383A"/>
        </w:rPr>
        <w:t>party</w:t>
      </w:r>
      <w:r>
        <w:rPr>
          <w:color w:val="3A383A"/>
          <w:spacing w:val="-24"/>
        </w:rPr>
        <w:t> </w:t>
      </w:r>
      <w:r>
        <w:rPr>
          <w:color w:val="3A383A"/>
        </w:rPr>
        <w:t>speaking</w:t>
      </w:r>
      <w:r>
        <w:rPr>
          <w:color w:val="3A383A"/>
          <w:spacing w:val="-4"/>
        </w:rPr>
        <w:t> </w:t>
      </w:r>
      <w:r>
        <w:rPr>
          <w:color w:val="3A383A"/>
        </w:rPr>
        <w:t>first</w:t>
      </w:r>
      <w:r>
        <w:rPr>
          <w:color w:val="3A383A"/>
          <w:spacing w:val="-4"/>
        </w:rPr>
        <w:t> </w:t>
      </w:r>
      <w:r>
        <w:rPr>
          <w:color w:val="3A383A"/>
        </w:rPr>
        <w:t>may</w:t>
      </w:r>
      <w:r>
        <w:rPr>
          <w:color w:val="3A383A"/>
          <w:spacing w:val="13"/>
        </w:rPr>
        <w:t> </w:t>
      </w:r>
      <w:r>
        <w:rPr>
          <w:color w:val="3A383A"/>
        </w:rPr>
        <w:t>be</w:t>
      </w:r>
      <w:r>
        <w:rPr>
          <w:color w:val="3A383A"/>
          <w:spacing w:val="-5"/>
        </w:rPr>
        <w:t> </w:t>
      </w:r>
      <w:r>
        <w:rPr>
          <w:color w:val="3A383A"/>
        </w:rPr>
        <w:t>asked</w:t>
      </w:r>
      <w:r>
        <w:rPr>
          <w:color w:val="3A383A"/>
          <w:spacing w:val="-7"/>
        </w:rPr>
        <w:t> </w:t>
      </w:r>
      <w:r>
        <w:rPr>
          <w:color w:val="3A383A"/>
        </w:rPr>
        <w:t>if</w:t>
      </w:r>
      <w:r>
        <w:rPr>
          <w:color w:val="3A383A"/>
          <w:spacing w:val="5"/>
        </w:rPr>
        <w:t> </w:t>
      </w:r>
      <w:r>
        <w:rPr>
          <w:color w:val="3A383A"/>
        </w:rPr>
        <w:t>he</w:t>
      </w:r>
      <w:r>
        <w:rPr>
          <w:color w:val="3A383A"/>
          <w:spacing w:val="6"/>
        </w:rPr>
        <w:t> </w:t>
      </w:r>
      <w:r>
        <w:rPr>
          <w:color w:val="3A383A"/>
        </w:rPr>
        <w:t>or</w:t>
      </w:r>
      <w:r>
        <w:rPr>
          <w:color w:val="3A383A"/>
          <w:spacing w:val="-36"/>
        </w:rPr>
        <w:t> </w:t>
      </w:r>
      <w:r>
        <w:rPr>
          <w:color w:val="3A383A"/>
        </w:rPr>
        <w:t>she</w:t>
      </w:r>
      <w:r>
        <w:rPr>
          <w:color w:val="3A383A"/>
          <w:spacing w:val="-56"/>
        </w:rPr>
        <w:t> </w:t>
      </w:r>
      <w:r>
        <w:rPr>
          <w:color w:val="3A383A"/>
        </w:rPr>
        <w:t>is reserving rebuttal time. </w:t>
      </w:r>
      <w:r>
        <w:rPr>
          <w:color w:val="3A383A"/>
          <w:sz w:val="22"/>
        </w:rPr>
        <w:t>If </w:t>
      </w:r>
      <w:r>
        <w:rPr>
          <w:color w:val="3A383A"/>
        </w:rPr>
        <w:t>you enter an appearance in this way, you may</w:t>
      </w:r>
      <w:r>
        <w:rPr>
          <w:color w:val="3A383A"/>
          <w:spacing w:val="-55"/>
        </w:rPr>
        <w:t> </w:t>
      </w:r>
      <w:r>
        <w:rPr>
          <w:color w:val="3A383A"/>
        </w:rPr>
        <w:t>or may not </w:t>
      </w:r>
      <w:r>
        <w:rPr>
          <w:color w:val="3A383A"/>
          <w:sz w:val="21"/>
        </w:rPr>
        <w:t>be </w:t>
      </w:r>
      <w:r>
        <w:rPr>
          <w:color w:val="3A383A"/>
        </w:rPr>
        <w:t>expected to take time in your formal presentation to restate</w:t>
      </w:r>
      <w:r>
        <w:rPr>
          <w:color w:val="3A383A"/>
          <w:spacing w:val="1"/>
        </w:rPr>
        <w:t> </w:t>
      </w:r>
      <w:r>
        <w:rPr>
          <w:color w:val="3A383A"/>
        </w:rPr>
        <w:t>your</w:t>
      </w:r>
      <w:r>
        <w:rPr>
          <w:color w:val="3A383A"/>
          <w:spacing w:val="-8"/>
        </w:rPr>
        <w:t> </w:t>
      </w:r>
      <w:r>
        <w:rPr>
          <w:color w:val="3A383A"/>
        </w:rPr>
        <w:t>name</w:t>
      </w:r>
      <w:r>
        <w:rPr>
          <w:color w:val="3A383A"/>
          <w:spacing w:val="-22"/>
        </w:rPr>
        <w:t> </w:t>
      </w:r>
      <w:r>
        <w:rPr>
          <w:color w:val="3A383A"/>
        </w:rPr>
        <w:t>and your</w:t>
      </w:r>
      <w:r>
        <w:rPr>
          <w:color w:val="3A383A"/>
          <w:spacing w:val="-13"/>
        </w:rPr>
        <w:t> </w:t>
      </w:r>
      <w:r>
        <w:rPr>
          <w:color w:val="3A383A"/>
        </w:rPr>
        <w:t>client</w:t>
      </w:r>
      <w:r>
        <w:rPr>
          <w:color w:val="3A383A"/>
          <w:spacing w:val="-1"/>
        </w:rPr>
        <w:t> </w:t>
      </w:r>
      <w:r>
        <w:rPr>
          <w:color w:val="3A383A"/>
        </w:rPr>
        <w:t>and</w:t>
      </w:r>
      <w:r>
        <w:rPr>
          <w:color w:val="3A383A"/>
          <w:spacing w:val="12"/>
        </w:rPr>
        <w:t> </w:t>
      </w:r>
      <w:r>
        <w:rPr>
          <w:color w:val="3A383A"/>
        </w:rPr>
        <w:t>to</w:t>
      </w:r>
      <w:r>
        <w:rPr>
          <w:color w:val="3A383A"/>
          <w:spacing w:val="-3"/>
        </w:rPr>
        <w:t> </w:t>
      </w:r>
      <w:r>
        <w:rPr>
          <w:color w:val="3A383A"/>
        </w:rPr>
        <w:t>reserve</w:t>
      </w:r>
      <w:r>
        <w:rPr>
          <w:color w:val="3A383A"/>
          <w:spacing w:val="7"/>
        </w:rPr>
        <w:t> </w:t>
      </w:r>
      <w:r>
        <w:rPr>
          <w:color w:val="3A383A"/>
        </w:rPr>
        <w:t>rebuttal</w:t>
      </w:r>
      <w:r>
        <w:rPr>
          <w:color w:val="3A383A"/>
          <w:spacing w:val="10"/>
        </w:rPr>
        <w:t> </w:t>
      </w:r>
      <w:r>
        <w:rPr>
          <w:color w:val="3A383A"/>
        </w:rPr>
        <w:t>time.</w:t>
      </w:r>
    </w:p>
    <w:p>
      <w:pPr>
        <w:pStyle w:val="BodyText"/>
        <w:spacing w:line="232" w:lineRule="auto"/>
        <w:ind w:left="666" w:right="112" w:firstLine="364"/>
        <w:jc w:val="both"/>
      </w:pPr>
      <w:r>
        <w:rPr>
          <w:color w:val="3A383A"/>
        </w:rPr>
        <w:t>Traditionally, advocates</w:t>
      </w:r>
      <w:r>
        <w:rPr>
          <w:color w:val="3A383A"/>
          <w:spacing w:val="1"/>
        </w:rPr>
        <w:t> </w:t>
      </w:r>
      <w:r>
        <w:rPr>
          <w:color w:val="3A383A"/>
        </w:rPr>
        <w:t>begin</w:t>
      </w:r>
      <w:r>
        <w:rPr>
          <w:color w:val="3A383A"/>
          <w:spacing w:val="1"/>
        </w:rPr>
        <w:t> </w:t>
      </w:r>
      <w:r>
        <w:rPr>
          <w:color w:val="3A383A"/>
        </w:rPr>
        <w:t>their</w:t>
      </w:r>
      <w:r>
        <w:rPr>
          <w:color w:val="3A383A"/>
          <w:spacing w:val="1"/>
        </w:rPr>
        <w:t> </w:t>
      </w:r>
      <w:r>
        <w:rPr>
          <w:color w:val="3A383A"/>
        </w:rPr>
        <w:t>arguments</w:t>
      </w:r>
      <w:r>
        <w:rPr>
          <w:color w:val="3A383A"/>
          <w:spacing w:val="1"/>
        </w:rPr>
        <w:t> </w:t>
      </w:r>
      <w:r>
        <w:rPr>
          <w:color w:val="3A383A"/>
        </w:rPr>
        <w:t>by</w:t>
      </w:r>
      <w:r>
        <w:rPr>
          <w:color w:val="3A383A"/>
          <w:spacing w:val="1"/>
        </w:rPr>
        <w:t> </w:t>
      </w:r>
      <w:r>
        <w:rPr>
          <w:color w:val="3A383A"/>
        </w:rPr>
        <w:t>saying, "May it</w:t>
      </w:r>
      <w:r>
        <w:rPr>
          <w:color w:val="3A383A"/>
          <w:spacing w:val="1"/>
        </w:rPr>
        <w:t> </w:t>
      </w:r>
      <w:r>
        <w:rPr>
          <w:color w:val="3A383A"/>
        </w:rPr>
        <w:t>please the court," although "Good afternoon, your honors" or any other</w:t>
      </w:r>
      <w:r>
        <w:rPr>
          <w:color w:val="3A383A"/>
          <w:spacing w:val="1"/>
        </w:rPr>
        <w:t> </w:t>
      </w:r>
      <w:r>
        <w:rPr>
          <w:color w:val="3A383A"/>
          <w:w w:val="95"/>
        </w:rPr>
        <w:t>respectful greeting will probably be acceptable to most judges.</w:t>
      </w:r>
      <w:r>
        <w:rPr>
          <w:color w:val="3A383A"/>
          <w:w w:val="95"/>
          <w:vertAlign w:val="superscript"/>
        </w:rPr>
        <w:t>21</w:t>
      </w:r>
      <w:r>
        <w:rPr>
          <w:color w:val="3A383A"/>
          <w:w w:val="95"/>
          <w:vertAlign w:val="baseline"/>
        </w:rPr>
        <w:t> Of course,</w:t>
      </w:r>
      <w:r>
        <w:rPr>
          <w:color w:val="3A383A"/>
          <w:spacing w:val="1"/>
          <w:w w:val="95"/>
          <w:vertAlign w:val="baseline"/>
        </w:rPr>
        <w:t> </w:t>
      </w:r>
      <w:r>
        <w:rPr>
          <w:color w:val="3A383A"/>
          <w:vertAlign w:val="baseline"/>
        </w:rPr>
        <w:t>you should review local rules to see if they require any</w:t>
      </w:r>
      <w:r>
        <w:rPr>
          <w:color w:val="3A383A"/>
          <w:spacing w:val="1"/>
          <w:vertAlign w:val="baseline"/>
        </w:rPr>
        <w:t> </w:t>
      </w:r>
      <w:r>
        <w:rPr>
          <w:color w:val="3A383A"/>
          <w:vertAlign w:val="baseline"/>
        </w:rPr>
        <w:t>particular open•</w:t>
      </w:r>
      <w:r>
        <w:rPr>
          <w:color w:val="3A383A"/>
          <w:spacing w:val="1"/>
          <w:vertAlign w:val="baseline"/>
        </w:rPr>
        <w:t> </w:t>
      </w:r>
      <w:r>
        <w:rPr>
          <w:color w:val="3A383A"/>
          <w:vertAlign w:val="baseline"/>
        </w:rPr>
        <w:t>ing, and, whenever possible, observe some arguments in that court before</w:t>
      </w:r>
      <w:r>
        <w:rPr>
          <w:color w:val="3A383A"/>
          <w:spacing w:val="1"/>
          <w:vertAlign w:val="baseline"/>
        </w:rPr>
        <w:t> </w:t>
      </w:r>
      <w:r>
        <w:rPr>
          <w:color w:val="3A383A"/>
          <w:vertAlign w:val="baseline"/>
        </w:rPr>
        <w:t>your debut so that you can learn the court's customs. In the United States</w:t>
      </w:r>
      <w:r>
        <w:rPr>
          <w:color w:val="3A383A"/>
          <w:spacing w:val="1"/>
          <w:vertAlign w:val="baseline"/>
        </w:rPr>
        <w:t> </w:t>
      </w:r>
      <w:r>
        <w:rPr>
          <w:color w:val="3A383A"/>
          <w:vertAlign w:val="baseline"/>
        </w:rPr>
        <w:t>Supreme Court, for example, advocates never introduce themselves, and</w:t>
      </w:r>
      <w:r>
        <w:rPr>
          <w:color w:val="3A383A"/>
          <w:spacing w:val="1"/>
          <w:vertAlign w:val="baseline"/>
        </w:rPr>
        <w:t> </w:t>
      </w:r>
      <w:r>
        <w:rPr>
          <w:color w:val="3A383A"/>
          <w:vertAlign w:val="baseline"/>
        </w:rPr>
        <w:t>they traditionally begin their arguments by addressing the</w:t>
      </w:r>
      <w:r>
        <w:rPr>
          <w:color w:val="3A383A"/>
          <w:spacing w:val="1"/>
          <w:vertAlign w:val="baseline"/>
        </w:rPr>
        <w:t> </w:t>
      </w:r>
      <w:r>
        <w:rPr>
          <w:color w:val="3A383A"/>
          <w:vertAlign w:val="baseline"/>
        </w:rPr>
        <w:t>Chief Justice</w:t>
      </w:r>
      <w:r>
        <w:rPr>
          <w:color w:val="3A383A"/>
          <w:spacing w:val="1"/>
          <w:vertAlign w:val="baseline"/>
        </w:rPr>
        <w:t> </w:t>
      </w:r>
      <w:r>
        <w:rPr>
          <w:color w:val="3A383A"/>
          <w:vertAlign w:val="baseline"/>
        </w:rPr>
        <w:t>directly,</w:t>
      </w:r>
      <w:r>
        <w:rPr>
          <w:color w:val="3A383A"/>
          <w:spacing w:val="-2"/>
          <w:vertAlign w:val="baseline"/>
        </w:rPr>
        <w:t> </w:t>
      </w:r>
      <w:r>
        <w:rPr>
          <w:color w:val="3A383A"/>
          <w:vertAlign w:val="baseline"/>
        </w:rPr>
        <w:t>saying,</w:t>
      </w:r>
      <w:r>
        <w:rPr>
          <w:color w:val="3A383A"/>
          <w:spacing w:val="1"/>
          <w:vertAlign w:val="baseline"/>
        </w:rPr>
        <w:t> </w:t>
      </w:r>
      <w:r>
        <w:rPr>
          <w:color w:val="3A383A"/>
          <w:vertAlign w:val="baseline"/>
        </w:rPr>
        <w:t>"Mr.</w:t>
      </w:r>
      <w:r>
        <w:rPr>
          <w:color w:val="3A383A"/>
          <w:spacing w:val="-15"/>
          <w:vertAlign w:val="baseline"/>
        </w:rPr>
        <w:t> </w:t>
      </w:r>
      <w:r>
        <w:rPr>
          <w:color w:val="3A383A"/>
          <w:vertAlign w:val="baseline"/>
        </w:rPr>
        <w:t>Chief</w:t>
      </w:r>
      <w:r>
        <w:rPr>
          <w:color w:val="3A383A"/>
          <w:spacing w:val="-19"/>
          <w:vertAlign w:val="baseline"/>
        </w:rPr>
        <w:t> </w:t>
      </w:r>
      <w:r>
        <w:rPr>
          <w:color w:val="3A383A"/>
          <w:vertAlign w:val="baseline"/>
        </w:rPr>
        <w:t>Justice,</w:t>
      </w:r>
      <w:r>
        <w:rPr>
          <w:color w:val="3A383A"/>
          <w:spacing w:val="-8"/>
          <w:vertAlign w:val="baseline"/>
        </w:rPr>
        <w:t> </w:t>
      </w:r>
      <w:r>
        <w:rPr>
          <w:color w:val="3A383A"/>
          <w:vertAlign w:val="baseline"/>
        </w:rPr>
        <w:t>and</w:t>
      </w:r>
      <w:r>
        <w:rPr>
          <w:color w:val="3A383A"/>
          <w:spacing w:val="36"/>
          <w:vertAlign w:val="baseline"/>
        </w:rPr>
        <w:t> </w:t>
      </w:r>
      <w:r>
        <w:rPr>
          <w:color w:val="3A383A"/>
          <w:vertAlign w:val="baseline"/>
        </w:rPr>
        <w:t>may</w:t>
      </w:r>
      <w:r>
        <w:rPr>
          <w:color w:val="3A383A"/>
          <w:spacing w:val="2"/>
          <w:vertAlign w:val="baseline"/>
        </w:rPr>
        <w:t> </w:t>
      </w:r>
      <w:r>
        <w:rPr>
          <w:color w:val="3A383A"/>
          <w:vertAlign w:val="baseline"/>
        </w:rPr>
        <w:t>it</w:t>
      </w:r>
      <w:r>
        <w:rPr>
          <w:color w:val="3A383A"/>
          <w:spacing w:val="17"/>
          <w:vertAlign w:val="baseline"/>
        </w:rPr>
        <w:t> </w:t>
      </w:r>
      <w:r>
        <w:rPr>
          <w:color w:val="3A383A"/>
          <w:vertAlign w:val="baseline"/>
        </w:rPr>
        <w:t>please</w:t>
      </w:r>
      <w:r>
        <w:rPr>
          <w:color w:val="3A383A"/>
          <w:spacing w:val="2"/>
          <w:vertAlign w:val="baseline"/>
        </w:rPr>
        <w:t> </w:t>
      </w:r>
      <w:r>
        <w:rPr>
          <w:color w:val="3A383A"/>
          <w:vertAlign w:val="baseline"/>
        </w:rPr>
        <w:t>the</w:t>
      </w:r>
      <w:r>
        <w:rPr>
          <w:color w:val="3A383A"/>
          <w:spacing w:val="31"/>
          <w:vertAlign w:val="baseline"/>
        </w:rPr>
        <w:t> </w:t>
      </w:r>
      <w:r>
        <w:rPr>
          <w:color w:val="3A383A"/>
          <w:vertAlign w:val="baseline"/>
        </w:rPr>
        <w:t>Court."</w:t>
      </w:r>
      <w:r>
        <w:rPr>
          <w:color w:val="3A383A"/>
          <w:vertAlign w:val="superscript"/>
        </w:rPr>
        <w:t>22</w:t>
      </w:r>
    </w:p>
    <w:p>
      <w:pPr>
        <w:pStyle w:val="BodyText"/>
        <w:spacing w:line="232" w:lineRule="auto" w:before="3"/>
        <w:ind w:left="575" w:right="106" w:firstLine="419"/>
        <w:jc w:val="right"/>
      </w:pPr>
      <w:r>
        <w:rPr>
          <w:color w:val="3A383A"/>
        </w:rPr>
        <w:t>However</w:t>
      </w:r>
      <w:r>
        <w:rPr>
          <w:color w:val="3A383A"/>
          <w:spacing w:val="37"/>
        </w:rPr>
        <w:t> </w:t>
      </w:r>
      <w:r>
        <w:rPr>
          <w:color w:val="3A383A"/>
        </w:rPr>
        <w:t>you</w:t>
      </w:r>
      <w:r>
        <w:rPr>
          <w:color w:val="3A383A"/>
          <w:spacing w:val="31"/>
        </w:rPr>
        <w:t> </w:t>
      </w:r>
      <w:r>
        <w:rPr>
          <w:color w:val="3A383A"/>
        </w:rPr>
        <w:t>begin</w:t>
      </w:r>
      <w:r>
        <w:rPr>
          <w:color w:val="3A383A"/>
          <w:spacing w:val="33"/>
        </w:rPr>
        <w:t> </w:t>
      </w:r>
      <w:r>
        <w:rPr>
          <w:color w:val="3A383A"/>
        </w:rPr>
        <w:t>your</w:t>
      </w:r>
      <w:r>
        <w:rPr>
          <w:color w:val="3A383A"/>
          <w:spacing w:val="15"/>
        </w:rPr>
        <w:t> </w:t>
      </w:r>
      <w:r>
        <w:rPr>
          <w:color w:val="3A383A"/>
        </w:rPr>
        <w:t>argument,</w:t>
      </w:r>
      <w:r>
        <w:rPr>
          <w:color w:val="3A383A"/>
          <w:spacing w:val="43"/>
        </w:rPr>
        <w:t> </w:t>
      </w:r>
      <w:r>
        <w:rPr>
          <w:color w:val="3A383A"/>
        </w:rPr>
        <w:t>you</w:t>
      </w:r>
      <w:r>
        <w:rPr>
          <w:color w:val="3A383A"/>
          <w:spacing w:val="30"/>
        </w:rPr>
        <w:t> </w:t>
      </w:r>
      <w:r>
        <w:rPr>
          <w:color w:val="3A383A"/>
        </w:rPr>
        <w:t>should</w:t>
      </w:r>
      <w:r>
        <w:rPr>
          <w:color w:val="3A383A"/>
          <w:spacing w:val="48"/>
        </w:rPr>
        <w:t> </w:t>
      </w:r>
      <w:r>
        <w:rPr>
          <w:color w:val="3A383A"/>
        </w:rPr>
        <w:t>never</w:t>
      </w:r>
      <w:r>
        <w:rPr>
          <w:color w:val="3A383A"/>
          <w:spacing w:val="34"/>
        </w:rPr>
        <w:t> </w:t>
      </w:r>
      <w:r>
        <w:rPr>
          <w:color w:val="3A383A"/>
        </w:rPr>
        <w:t>start</w:t>
      </w:r>
      <w:r>
        <w:rPr>
          <w:color w:val="3A383A"/>
          <w:spacing w:val="28"/>
        </w:rPr>
        <w:t> </w:t>
      </w:r>
      <w:r>
        <w:rPr>
          <w:color w:val="3A383A"/>
        </w:rPr>
        <w:t>Without</w:t>
      </w:r>
      <w:r>
        <w:rPr>
          <w:color w:val="3A383A"/>
          <w:spacing w:val="1"/>
        </w:rPr>
        <w:t> </w:t>
      </w:r>
      <w:r>
        <w:rPr>
          <w:color w:val="3A383A"/>
        </w:rPr>
        <w:t>having the attention of</w:t>
      </w:r>
      <w:r>
        <w:rPr>
          <w:color w:val="3A383A"/>
          <w:spacing w:val="1"/>
        </w:rPr>
        <w:t> </w:t>
      </w:r>
      <w:r>
        <w:rPr>
          <w:color w:val="3A383A"/>
        </w:rPr>
        <w:t>the</w:t>
      </w:r>
      <w:r>
        <w:rPr>
          <w:color w:val="3A383A"/>
          <w:spacing w:val="1"/>
        </w:rPr>
        <w:t> </w:t>
      </w:r>
      <w:r>
        <w:rPr>
          <w:color w:val="3A383A"/>
        </w:rPr>
        <w:t>Judge, or, on</w:t>
      </w:r>
      <w:r>
        <w:rPr>
          <w:color w:val="3A383A"/>
          <w:spacing w:val="1"/>
        </w:rPr>
        <w:t> </w:t>
      </w:r>
      <w:r>
        <w:rPr>
          <w:color w:val="3A383A"/>
        </w:rPr>
        <w:t>a</w:t>
      </w:r>
      <w:r>
        <w:rPr>
          <w:color w:val="3A383A"/>
          <w:spacing w:val="1"/>
        </w:rPr>
        <w:t> </w:t>
      </w:r>
      <w:r>
        <w:rPr>
          <w:color w:val="3A383A"/>
        </w:rPr>
        <w:t>multi-judge</w:t>
      </w:r>
      <w:r>
        <w:rPr>
          <w:color w:val="3A383A"/>
          <w:spacing w:val="1"/>
        </w:rPr>
        <w:t> </w:t>
      </w:r>
      <w:r>
        <w:rPr>
          <w:color w:val="3A383A"/>
        </w:rPr>
        <w:t>panel,</w:t>
      </w:r>
      <w:r>
        <w:rPr>
          <w:color w:val="3A383A"/>
          <w:spacing w:val="1"/>
        </w:rPr>
        <w:t> </w:t>
      </w:r>
      <w:r>
        <w:rPr>
          <w:color w:val="3A383A"/>
        </w:rPr>
        <w:t>the Chief</w:t>
      </w:r>
      <w:r>
        <w:rPr>
          <w:color w:val="3A383A"/>
          <w:spacing w:val="1"/>
        </w:rPr>
        <w:t> </w:t>
      </w:r>
      <w:r>
        <w:rPr>
          <w:color w:val="3A383A"/>
        </w:rPr>
        <w:t>Judge</w:t>
      </w:r>
      <w:r>
        <w:rPr>
          <w:color w:val="3A383A"/>
          <w:spacing w:val="1"/>
        </w:rPr>
        <w:t> </w:t>
      </w:r>
      <w:r>
        <w:rPr>
          <w:color w:val="3A383A"/>
        </w:rPr>
        <w:t>or Justice</w:t>
      </w:r>
      <w:r>
        <w:rPr>
          <w:color w:val="606264"/>
        </w:rPr>
        <w:t>.</w:t>
      </w:r>
      <w:r>
        <w:rPr>
          <w:color w:val="606264"/>
          <w:spacing w:val="1"/>
        </w:rPr>
        <w:t> </w:t>
      </w:r>
      <w:r>
        <w:rPr>
          <w:color w:val="3A383A"/>
        </w:rPr>
        <w:t>This</w:t>
      </w:r>
      <w:r>
        <w:rPr>
          <w:color w:val="3A383A"/>
          <w:spacing w:val="1"/>
        </w:rPr>
        <w:t> </w:t>
      </w:r>
      <w:r>
        <w:rPr>
          <w:color w:val="3A383A"/>
        </w:rPr>
        <w:t>requirement</w:t>
      </w:r>
      <w:r>
        <w:rPr>
          <w:color w:val="3A383A"/>
          <w:spacing w:val="1"/>
        </w:rPr>
        <w:t> </w:t>
      </w:r>
      <w:r>
        <w:rPr>
          <w:color w:val="3A383A"/>
        </w:rPr>
        <w:t>may</w:t>
      </w:r>
      <w:r>
        <w:rPr>
          <w:color w:val="3A383A"/>
          <w:spacing w:val="1"/>
        </w:rPr>
        <w:t> </w:t>
      </w:r>
      <w:r>
        <w:rPr>
          <w:color w:val="3A383A"/>
        </w:rPr>
        <w:t>mean</w:t>
      </w:r>
      <w:r>
        <w:rPr>
          <w:color w:val="3A383A"/>
          <w:spacing w:val="1"/>
        </w:rPr>
        <w:t> </w:t>
      </w:r>
      <w:r>
        <w:rPr>
          <w:color w:val="3A383A"/>
        </w:rPr>
        <w:t>that</w:t>
      </w:r>
      <w:r>
        <w:rPr>
          <w:color w:val="3A383A"/>
          <w:spacing w:val="1"/>
        </w:rPr>
        <w:t> </w:t>
      </w:r>
      <w:r>
        <w:rPr>
          <w:color w:val="3A383A"/>
        </w:rPr>
        <w:t>you</w:t>
      </w:r>
      <w:r>
        <w:rPr>
          <w:color w:val="3A383A"/>
          <w:spacing w:val="1"/>
        </w:rPr>
        <w:t> </w:t>
      </w:r>
      <w:r>
        <w:rPr>
          <w:color w:val="3A383A"/>
        </w:rPr>
        <w:t>have</w:t>
      </w:r>
      <w:r>
        <w:rPr>
          <w:color w:val="3A383A"/>
          <w:spacing w:val="1"/>
        </w:rPr>
        <w:t> </w:t>
      </w:r>
      <w:r>
        <w:rPr>
          <w:color w:val="3A383A"/>
        </w:rPr>
        <w:t>to</w:t>
      </w:r>
      <w:r>
        <w:rPr>
          <w:color w:val="3A383A"/>
          <w:spacing w:val="1"/>
        </w:rPr>
        <w:t> </w:t>
      </w:r>
      <w:r>
        <w:rPr>
          <w:color w:val="3A383A"/>
        </w:rPr>
        <w:t>wait a</w:t>
      </w:r>
      <w:r>
        <w:rPr>
          <w:color w:val="3A383A"/>
          <w:spacing w:val="1"/>
        </w:rPr>
        <w:t> </w:t>
      </w:r>
      <w:r>
        <w:rPr>
          <w:color w:val="3A383A"/>
        </w:rPr>
        <w:t>moment while the</w:t>
      </w:r>
      <w:r>
        <w:rPr>
          <w:color w:val="3A383A"/>
          <w:spacing w:val="1"/>
        </w:rPr>
        <w:t> </w:t>
      </w:r>
      <w:r>
        <w:rPr>
          <w:color w:val="3A383A"/>
        </w:rPr>
        <w:t>judge finishes with</w:t>
      </w:r>
      <w:r>
        <w:rPr>
          <w:color w:val="3A383A"/>
          <w:spacing w:val="1"/>
        </w:rPr>
        <w:t> </w:t>
      </w:r>
      <w:r>
        <w:rPr>
          <w:color w:val="3A383A"/>
        </w:rPr>
        <w:t>note-taking</w:t>
      </w:r>
      <w:r>
        <w:rPr>
          <w:color w:val="3A383A"/>
          <w:spacing w:val="1"/>
        </w:rPr>
        <w:t> </w:t>
      </w:r>
      <w:r>
        <w:rPr>
          <w:color w:val="3A383A"/>
        </w:rPr>
        <w:t>from a</w:t>
      </w:r>
      <w:r>
        <w:rPr>
          <w:color w:val="3A383A"/>
          <w:spacing w:val="1"/>
        </w:rPr>
        <w:t> </w:t>
      </w:r>
      <w:r>
        <w:rPr>
          <w:color w:val="3A383A"/>
        </w:rPr>
        <w:t>previous advo­</w:t>
      </w:r>
      <w:r>
        <w:rPr>
          <w:color w:val="3A383A"/>
          <w:spacing w:val="1"/>
        </w:rPr>
        <w:t> </w:t>
      </w:r>
      <w:r>
        <w:rPr>
          <w:color w:val="4D4D4D"/>
        </w:rPr>
        <w:t>cate, </w:t>
      </w:r>
      <w:r>
        <w:rPr>
          <w:color w:val="3A383A"/>
        </w:rPr>
        <w:t>but the benefit it</w:t>
      </w:r>
      <w:r>
        <w:rPr>
          <w:color w:val="3A383A"/>
          <w:spacing w:val="1"/>
        </w:rPr>
        <w:t> </w:t>
      </w:r>
      <w:r>
        <w:rPr>
          <w:color w:val="3A383A"/>
        </w:rPr>
        <w:t>provides in</w:t>
      </w:r>
      <w:r>
        <w:rPr>
          <w:color w:val="3A383A"/>
          <w:spacing w:val="57"/>
        </w:rPr>
        <w:t> </w:t>
      </w:r>
      <w:r>
        <w:rPr>
          <w:color w:val="3A383A"/>
        </w:rPr>
        <w:t>professionalism is</w:t>
      </w:r>
      <w:r>
        <w:rPr>
          <w:color w:val="3A383A"/>
          <w:spacing w:val="58"/>
        </w:rPr>
        <w:t> </w:t>
      </w:r>
      <w:r>
        <w:rPr>
          <w:color w:val="3A383A"/>
        </w:rPr>
        <w:t>well worth any cost</w:t>
      </w:r>
      <w:r>
        <w:rPr>
          <w:color w:val="3A383A"/>
          <w:spacing w:val="1"/>
        </w:rPr>
        <w:t> </w:t>
      </w:r>
      <w:r>
        <w:rPr>
          <w:color w:val="3A383A"/>
        </w:rPr>
        <w:t>in time. Just stand at the podium and</w:t>
      </w:r>
      <w:r>
        <w:rPr>
          <w:color w:val="3A383A"/>
          <w:spacing w:val="1"/>
        </w:rPr>
        <w:t> </w:t>
      </w:r>
      <w:r>
        <w:rPr>
          <w:color w:val="3A383A"/>
        </w:rPr>
        <w:t>wait in</w:t>
      </w:r>
      <w:r>
        <w:rPr>
          <w:color w:val="3A383A"/>
          <w:spacing w:val="57"/>
        </w:rPr>
        <w:t> </w:t>
      </w:r>
      <w:r>
        <w:rPr>
          <w:color w:val="3A383A"/>
        </w:rPr>
        <w:t>silence for</w:t>
      </w:r>
      <w:r>
        <w:rPr>
          <w:color w:val="3A383A"/>
          <w:spacing w:val="58"/>
        </w:rPr>
        <w:t> </w:t>
      </w:r>
      <w:r>
        <w:rPr>
          <w:color w:val="3A383A"/>
        </w:rPr>
        <w:t>the</w:t>
      </w:r>
      <w:r>
        <w:rPr>
          <w:color w:val="3A383A"/>
          <w:spacing w:val="57"/>
        </w:rPr>
        <w:t> </w:t>
      </w:r>
      <w:r>
        <w:rPr>
          <w:color w:val="3A383A"/>
        </w:rPr>
        <w:t>judge to nod</w:t>
      </w:r>
      <w:r>
        <w:rPr>
          <w:color w:val="3A383A"/>
          <w:spacing w:val="1"/>
        </w:rPr>
        <w:t> </w:t>
      </w:r>
      <w:r>
        <w:rPr>
          <w:color w:val="3A383A"/>
        </w:rPr>
        <w:t>at you or to give </w:t>
      </w:r>
      <w:r>
        <w:rPr>
          <w:color w:val="4D4D4D"/>
        </w:rPr>
        <w:t>you </w:t>
      </w:r>
      <w:r>
        <w:rPr>
          <w:color w:val="3A383A"/>
        </w:rPr>
        <w:t>some other signal</w:t>
      </w:r>
      <w:r>
        <w:rPr>
          <w:color w:val="3A383A"/>
          <w:spacing w:val="1"/>
        </w:rPr>
        <w:t> </w:t>
      </w:r>
      <w:r>
        <w:rPr>
          <w:color w:val="3A383A"/>
        </w:rPr>
        <w:t>telJing you</w:t>
      </w:r>
      <w:r>
        <w:rPr>
          <w:color w:val="3A383A"/>
          <w:spacing w:val="1"/>
        </w:rPr>
        <w:t> </w:t>
      </w:r>
      <w:r>
        <w:rPr>
          <w:color w:val="3A383A"/>
        </w:rPr>
        <w:t>to</w:t>
      </w:r>
      <w:r>
        <w:rPr>
          <w:color w:val="3A383A"/>
          <w:spacing w:val="1"/>
        </w:rPr>
        <w:t> </w:t>
      </w:r>
      <w:r>
        <w:rPr>
          <w:color w:val="3A383A"/>
        </w:rPr>
        <w:t>begin.</w:t>
      </w:r>
      <w:r>
        <w:rPr>
          <w:color w:val="3A383A"/>
          <w:spacing w:val="1"/>
        </w:rPr>
        <w:t> </w:t>
      </w:r>
      <w:r>
        <w:rPr>
          <w:color w:val="3A383A"/>
        </w:rPr>
        <w:t>Do not take</w:t>
      </w:r>
      <w:r>
        <w:rPr>
          <w:color w:val="3A383A"/>
          <w:spacing w:val="1"/>
        </w:rPr>
        <w:t> </w:t>
      </w:r>
      <w:r>
        <w:rPr>
          <w:color w:val="3A383A"/>
        </w:rPr>
        <w:t>notes or review your notes while waiting,</w:t>
      </w:r>
      <w:r>
        <w:rPr>
          <w:color w:val="3A383A"/>
          <w:spacing w:val="1"/>
        </w:rPr>
        <w:t> </w:t>
      </w:r>
      <w:r>
        <w:rPr>
          <w:color w:val="3A383A"/>
        </w:rPr>
        <w:t>because you</w:t>
      </w:r>
      <w:r>
        <w:rPr>
          <w:color w:val="3A383A"/>
          <w:spacing w:val="1"/>
        </w:rPr>
        <w:t> </w:t>
      </w:r>
      <w:r>
        <w:rPr>
          <w:color w:val="3A383A"/>
        </w:rPr>
        <w:t>want</w:t>
      </w:r>
      <w:r>
        <w:rPr>
          <w:color w:val="3A383A"/>
          <w:spacing w:val="1"/>
        </w:rPr>
        <w:t> </w:t>
      </w:r>
      <w:r>
        <w:rPr>
          <w:color w:val="3A383A"/>
        </w:rPr>
        <w:t>to be able to</w:t>
      </w:r>
      <w:r>
        <w:rPr>
          <w:color w:val="3A383A"/>
          <w:spacing w:val="1"/>
        </w:rPr>
        <w:t> </w:t>
      </w:r>
      <w:r>
        <w:rPr>
          <w:color w:val="3A383A"/>
        </w:rPr>
        <w:t>pick</w:t>
      </w:r>
      <w:r>
        <w:rPr>
          <w:color w:val="3A383A"/>
          <w:spacing w:val="10"/>
        </w:rPr>
        <w:t> </w:t>
      </w:r>
      <w:r>
        <w:rPr>
          <w:color w:val="3A383A"/>
        </w:rPr>
        <w:t>upon</w:t>
      </w:r>
      <w:r>
        <w:rPr>
          <w:color w:val="3A383A"/>
          <w:spacing w:val="5"/>
        </w:rPr>
        <w:t> </w:t>
      </w:r>
      <w:r>
        <w:rPr>
          <w:color w:val="3A383A"/>
        </w:rPr>
        <w:t>either</w:t>
      </w:r>
      <w:r>
        <w:rPr>
          <w:color w:val="3A383A"/>
          <w:spacing w:val="3"/>
        </w:rPr>
        <w:t> </w:t>
      </w:r>
      <w:r>
        <w:rPr>
          <w:color w:val="3A383A"/>
        </w:rPr>
        <w:t>verbal</w:t>
      </w:r>
      <w:r>
        <w:rPr>
          <w:color w:val="3A383A"/>
          <w:spacing w:val="-2"/>
        </w:rPr>
        <w:t> </w:t>
      </w:r>
      <w:r>
        <w:rPr>
          <w:color w:val="3A383A"/>
        </w:rPr>
        <w:t>or</w:t>
      </w:r>
      <w:r>
        <w:rPr>
          <w:color w:val="3A383A"/>
          <w:spacing w:val="5"/>
        </w:rPr>
        <w:t> </w:t>
      </w:r>
      <w:r>
        <w:rPr>
          <w:color w:val="3A383A"/>
        </w:rPr>
        <w:t>nonverbal</w:t>
      </w:r>
      <w:r>
        <w:rPr>
          <w:color w:val="3A383A"/>
          <w:spacing w:val="15"/>
        </w:rPr>
        <w:t> </w:t>
      </w:r>
      <w:r>
        <w:rPr>
          <w:color w:val="3A383A"/>
        </w:rPr>
        <w:t>signals</w:t>
      </w:r>
      <w:r>
        <w:rPr>
          <w:color w:val="3A383A"/>
          <w:spacing w:val="5"/>
        </w:rPr>
        <w:t> </w:t>
      </w:r>
      <w:r>
        <w:rPr>
          <w:color w:val="3A383A"/>
        </w:rPr>
        <w:t>as</w:t>
      </w:r>
      <w:r>
        <w:rPr>
          <w:color w:val="3A383A"/>
          <w:spacing w:val="-3"/>
        </w:rPr>
        <w:t> </w:t>
      </w:r>
      <w:r>
        <w:rPr>
          <w:color w:val="4D4D4D"/>
        </w:rPr>
        <w:t>soon</w:t>
      </w:r>
      <w:r>
        <w:rPr>
          <w:color w:val="4D4D4D"/>
          <w:spacing w:val="9"/>
        </w:rPr>
        <w:t> </w:t>
      </w:r>
      <w:r>
        <w:rPr>
          <w:color w:val="3A383A"/>
        </w:rPr>
        <w:t>as</w:t>
      </w:r>
      <w:r>
        <w:rPr>
          <w:color w:val="3A383A"/>
          <w:spacing w:val="6"/>
        </w:rPr>
        <w:t> </w:t>
      </w:r>
      <w:r>
        <w:rPr>
          <w:color w:val="3A383A"/>
        </w:rPr>
        <w:t>the</w:t>
      </w:r>
      <w:r>
        <w:rPr>
          <w:color w:val="3A383A"/>
          <w:spacing w:val="48"/>
        </w:rPr>
        <w:t> </w:t>
      </w:r>
      <w:r>
        <w:rPr>
          <w:color w:val="3A383A"/>
        </w:rPr>
        <w:t>judge</w:t>
      </w:r>
      <w:r>
        <w:rPr>
          <w:color w:val="3A383A"/>
          <w:spacing w:val="-4"/>
        </w:rPr>
        <w:t> </w:t>
      </w:r>
      <w:r>
        <w:rPr>
          <w:color w:val="3A383A"/>
        </w:rPr>
        <w:t>is</w:t>
      </w:r>
      <w:r>
        <w:rPr>
          <w:color w:val="3A383A"/>
          <w:spacing w:val="-22"/>
        </w:rPr>
        <w:t> </w:t>
      </w:r>
      <w:r>
        <w:rPr>
          <w:color w:val="3A383A"/>
        </w:rPr>
        <w:t>ready.</w:t>
      </w:r>
      <w:r>
        <w:rPr>
          <w:color w:val="3A383A"/>
          <w:spacing w:val="1"/>
        </w:rPr>
        <w:t> </w:t>
      </w:r>
      <w:r>
        <w:rPr>
          <w:color w:val="3A383A"/>
        </w:rPr>
        <w:t>If you are the petitioner or</w:t>
      </w:r>
      <w:r>
        <w:rPr>
          <w:color w:val="3A383A"/>
          <w:spacing w:val="57"/>
        </w:rPr>
        <w:t> </w:t>
      </w:r>
      <w:r>
        <w:rPr>
          <w:color w:val="3A383A"/>
        </w:rPr>
        <w:t>the</w:t>
      </w:r>
      <w:r>
        <w:rPr>
          <w:color w:val="3A383A"/>
          <w:spacing w:val="58"/>
        </w:rPr>
        <w:t> </w:t>
      </w:r>
      <w:r>
        <w:rPr>
          <w:color w:val="3A383A"/>
        </w:rPr>
        <w:t>party supporting</w:t>
      </w:r>
      <w:r>
        <w:rPr>
          <w:color w:val="3A383A"/>
          <w:spacing w:val="57"/>
        </w:rPr>
        <w:t> </w:t>
      </w:r>
      <w:r>
        <w:rPr>
          <w:color w:val="3A383A"/>
        </w:rPr>
        <w:t>the</w:t>
      </w:r>
      <w:r>
        <w:rPr>
          <w:color w:val="3A383A"/>
          <w:spacing w:val="58"/>
        </w:rPr>
        <w:t> </w:t>
      </w:r>
      <w:r>
        <w:rPr>
          <w:color w:val="3A383A"/>
        </w:rPr>
        <w:t>motion,</w:t>
      </w:r>
      <w:r>
        <w:rPr>
          <w:color w:val="3A383A"/>
          <w:spacing w:val="57"/>
        </w:rPr>
        <w:t> </w:t>
      </w:r>
      <w:r>
        <w:rPr>
          <w:color w:val="3A383A"/>
        </w:rPr>
        <w:t>you may</w:t>
      </w:r>
      <w:r>
        <w:rPr>
          <w:color w:val="3A383A"/>
          <w:spacing w:val="1"/>
        </w:rPr>
        <w:t> </w:t>
      </w:r>
      <w:r>
        <w:rPr>
          <w:color w:val="3A383A"/>
        </w:rPr>
        <w:t>need to reserve rebuttal time at</w:t>
      </w:r>
      <w:r>
        <w:rPr>
          <w:color w:val="3A383A"/>
          <w:spacing w:val="1"/>
        </w:rPr>
        <w:t> </w:t>
      </w:r>
      <w:r>
        <w:rPr>
          <w:color w:val="3A383A"/>
        </w:rPr>
        <w:t>this point. The manner for reserving rebut­</w:t>
      </w:r>
      <w:r>
        <w:rPr>
          <w:color w:val="3A383A"/>
          <w:spacing w:val="1"/>
        </w:rPr>
        <w:t> </w:t>
      </w:r>
      <w:r>
        <w:rPr>
          <w:color w:val="3A383A"/>
        </w:rPr>
        <w:t>tal</w:t>
      </w:r>
      <w:r>
        <w:rPr>
          <w:color w:val="3A383A"/>
          <w:spacing w:val="39"/>
        </w:rPr>
        <w:t> </w:t>
      </w:r>
      <w:r>
        <w:rPr>
          <w:color w:val="3A383A"/>
        </w:rPr>
        <w:t>varies</w:t>
      </w:r>
      <w:r>
        <w:rPr>
          <w:color w:val="3A383A"/>
          <w:spacing w:val="26"/>
        </w:rPr>
        <w:t> </w:t>
      </w:r>
      <w:r>
        <w:rPr>
          <w:color w:val="3A383A"/>
        </w:rPr>
        <w:t>from</w:t>
      </w:r>
      <w:r>
        <w:rPr>
          <w:color w:val="3A383A"/>
          <w:spacing w:val="28"/>
        </w:rPr>
        <w:t> </w:t>
      </w:r>
      <w:r>
        <w:rPr>
          <w:color w:val="3A383A"/>
        </w:rPr>
        <w:t>court</w:t>
      </w:r>
      <w:r>
        <w:rPr>
          <w:color w:val="3A383A"/>
          <w:spacing w:val="40"/>
        </w:rPr>
        <w:t> </w:t>
      </w:r>
      <w:r>
        <w:rPr>
          <w:color w:val="3A383A"/>
        </w:rPr>
        <w:t>to</w:t>
      </w:r>
      <w:r>
        <w:rPr>
          <w:color w:val="3A383A"/>
          <w:spacing w:val="46"/>
        </w:rPr>
        <w:t> </w:t>
      </w:r>
      <w:r>
        <w:rPr>
          <w:color w:val="3A383A"/>
        </w:rPr>
        <w:t>court.</w:t>
      </w:r>
      <w:r>
        <w:rPr>
          <w:color w:val="3A383A"/>
          <w:spacing w:val="27"/>
        </w:rPr>
        <w:t> </w:t>
      </w:r>
      <w:r>
        <w:rPr>
          <w:color w:val="3A383A"/>
        </w:rPr>
        <w:t>In</w:t>
      </w:r>
      <w:r>
        <w:rPr>
          <w:color w:val="3A383A"/>
          <w:spacing w:val="42"/>
        </w:rPr>
        <w:t> </w:t>
      </w:r>
      <w:r>
        <w:rPr>
          <w:color w:val="3A383A"/>
        </w:rPr>
        <w:t>the</w:t>
      </w:r>
      <w:r>
        <w:rPr>
          <w:color w:val="3A383A"/>
          <w:spacing w:val="18"/>
        </w:rPr>
        <w:t> </w:t>
      </w:r>
      <w:r>
        <w:rPr>
          <w:color w:val="3A383A"/>
        </w:rPr>
        <w:t>United</w:t>
      </w:r>
      <w:r>
        <w:rPr>
          <w:color w:val="3A383A"/>
          <w:spacing w:val="40"/>
        </w:rPr>
        <w:t> </w:t>
      </w:r>
      <w:r>
        <w:rPr>
          <w:color w:val="3A383A"/>
        </w:rPr>
        <w:t>States</w:t>
      </w:r>
      <w:r>
        <w:rPr>
          <w:color w:val="3A383A"/>
          <w:spacing w:val="36"/>
        </w:rPr>
        <w:t> </w:t>
      </w:r>
      <w:r>
        <w:rPr>
          <w:color w:val="3A383A"/>
        </w:rPr>
        <w:t>Supreme</w:t>
      </w:r>
      <w:r>
        <w:rPr>
          <w:color w:val="3A383A"/>
          <w:spacing w:val="41"/>
        </w:rPr>
        <w:t> </w:t>
      </w:r>
      <w:r>
        <w:rPr>
          <w:color w:val="3A383A"/>
        </w:rPr>
        <w:t>Court,</w:t>
      </w:r>
      <w:r>
        <w:rPr>
          <w:color w:val="3A383A"/>
          <w:spacing w:val="22"/>
        </w:rPr>
        <w:t> </w:t>
      </w:r>
      <w:r>
        <w:rPr>
          <w:color w:val="3A383A"/>
        </w:rPr>
        <w:t>for</w:t>
      </w:r>
      <w:r>
        <w:rPr>
          <w:color w:val="3A383A"/>
          <w:spacing w:val="1"/>
        </w:rPr>
        <w:t> </w:t>
      </w:r>
      <w:r>
        <w:rPr>
          <w:color w:val="3A383A"/>
        </w:rPr>
        <w:t>example,</w:t>
      </w:r>
      <w:r>
        <w:rPr>
          <w:color w:val="3A383A"/>
          <w:spacing w:val="1"/>
        </w:rPr>
        <w:t> </w:t>
      </w:r>
      <w:r>
        <w:rPr>
          <w:color w:val="3A383A"/>
        </w:rPr>
        <w:t>you do not set aside</w:t>
      </w:r>
      <w:r>
        <w:rPr>
          <w:color w:val="3A383A"/>
          <w:spacing w:val="1"/>
        </w:rPr>
        <w:t> </w:t>
      </w:r>
      <w:r>
        <w:rPr>
          <w:color w:val="3A383A"/>
        </w:rPr>
        <w:t>rebuttal</w:t>
      </w:r>
      <w:r>
        <w:rPr>
          <w:color w:val="3A383A"/>
          <w:spacing w:val="1"/>
        </w:rPr>
        <w:t> </w:t>
      </w:r>
      <w:r>
        <w:rPr>
          <w:color w:val="3A383A"/>
        </w:rPr>
        <w:t>time;</w:t>
      </w:r>
      <w:r>
        <w:rPr>
          <w:color w:val="3A383A"/>
          <w:spacing w:val="1"/>
        </w:rPr>
        <w:t> </w:t>
      </w:r>
      <w:r>
        <w:rPr>
          <w:color w:val="3A383A"/>
        </w:rPr>
        <w:t>you</w:t>
      </w:r>
      <w:r>
        <w:rPr>
          <w:color w:val="3A383A"/>
          <w:spacing w:val="1"/>
        </w:rPr>
        <w:t> </w:t>
      </w:r>
      <w:r>
        <w:rPr>
          <w:color w:val="3A383A"/>
        </w:rPr>
        <w:t>simply</w:t>
      </w:r>
      <w:r>
        <w:rPr>
          <w:color w:val="3A383A"/>
          <w:spacing w:val="1"/>
        </w:rPr>
        <w:t> </w:t>
      </w:r>
      <w:r>
        <w:rPr>
          <w:color w:val="3A383A"/>
        </w:rPr>
        <w:t>make</w:t>
      </w:r>
      <w:r>
        <w:rPr>
          <w:color w:val="3A383A"/>
          <w:spacing w:val="1"/>
        </w:rPr>
        <w:t> </w:t>
      </w:r>
      <w:r>
        <w:rPr>
          <w:color w:val="3A383A"/>
        </w:rPr>
        <w:t>your best</w:t>
      </w:r>
      <w:r>
        <w:rPr>
          <w:color w:val="3A383A"/>
          <w:spacing w:val="-55"/>
        </w:rPr>
        <w:t> </w:t>
      </w:r>
      <w:r>
        <w:rPr>
          <w:color w:val="3A383A"/>
        </w:rPr>
        <w:t>effort</w:t>
      </w:r>
      <w:r>
        <w:rPr>
          <w:color w:val="3A383A"/>
          <w:spacing w:val="12"/>
        </w:rPr>
        <w:t> </w:t>
      </w:r>
      <w:r>
        <w:rPr>
          <w:color w:val="3A383A"/>
        </w:rPr>
        <w:t>to</w:t>
      </w:r>
      <w:r>
        <w:rPr>
          <w:color w:val="3A383A"/>
          <w:spacing w:val="29"/>
        </w:rPr>
        <w:t> </w:t>
      </w:r>
      <w:r>
        <w:rPr>
          <w:color w:val="3A383A"/>
        </w:rPr>
        <w:t>end</w:t>
      </w:r>
      <w:r>
        <w:rPr>
          <w:color w:val="3A383A"/>
          <w:spacing w:val="17"/>
        </w:rPr>
        <w:t> </w:t>
      </w:r>
      <w:r>
        <w:rPr>
          <w:color w:val="3A383A"/>
        </w:rPr>
        <w:t>your argument</w:t>
      </w:r>
      <w:r>
        <w:rPr>
          <w:color w:val="3A383A"/>
          <w:spacing w:val="20"/>
        </w:rPr>
        <w:t> </w:t>
      </w:r>
      <w:r>
        <w:rPr>
          <w:color w:val="3A383A"/>
        </w:rPr>
        <w:t>while</w:t>
      </w:r>
      <w:r>
        <w:rPr>
          <w:color w:val="3A383A"/>
          <w:spacing w:val="13"/>
        </w:rPr>
        <w:t> </w:t>
      </w:r>
      <w:r>
        <w:rPr>
          <w:color w:val="3A383A"/>
        </w:rPr>
        <w:t>you</w:t>
      </w:r>
      <w:r>
        <w:rPr>
          <w:color w:val="3A383A"/>
          <w:spacing w:val="17"/>
        </w:rPr>
        <w:t> </w:t>
      </w:r>
      <w:r>
        <w:rPr>
          <w:color w:val="3A383A"/>
        </w:rPr>
        <w:t>still</w:t>
      </w:r>
      <w:r>
        <w:rPr>
          <w:color w:val="3A383A"/>
          <w:spacing w:val="22"/>
        </w:rPr>
        <w:t> </w:t>
      </w:r>
      <w:r>
        <w:rPr>
          <w:color w:val="3A383A"/>
        </w:rPr>
        <w:t>have</w:t>
      </w:r>
      <w:r>
        <w:rPr>
          <w:color w:val="3A383A"/>
          <w:spacing w:val="20"/>
        </w:rPr>
        <w:t> </w:t>
      </w:r>
      <w:r>
        <w:rPr>
          <w:color w:val="3A383A"/>
        </w:rPr>
        <w:t>time</w:t>
      </w:r>
      <w:r>
        <w:rPr>
          <w:color w:val="3A383A"/>
          <w:spacing w:val="20"/>
        </w:rPr>
        <w:t> </w:t>
      </w:r>
      <w:r>
        <w:rPr>
          <w:color w:val="3A383A"/>
        </w:rPr>
        <w:t>remaining.</w:t>
      </w:r>
      <w:r>
        <w:rPr>
          <w:color w:val="3A383A"/>
          <w:spacing w:val="24"/>
        </w:rPr>
        <w:t> </w:t>
      </w:r>
      <w:r>
        <w:rPr>
          <w:color w:val="3A383A"/>
        </w:rPr>
        <w:t>In</w:t>
      </w:r>
      <w:r>
        <w:rPr>
          <w:color w:val="3A383A"/>
          <w:spacing w:val="-11"/>
        </w:rPr>
        <w:t> </w:t>
      </w:r>
      <w:r>
        <w:rPr>
          <w:color w:val="3A383A"/>
        </w:rPr>
        <w:t>other</w:t>
      </w:r>
      <w:r>
        <w:rPr>
          <w:color w:val="3A383A"/>
          <w:spacing w:val="1"/>
        </w:rPr>
        <w:t> </w:t>
      </w:r>
      <w:r>
        <w:rPr>
          <w:color w:val="3A383A"/>
        </w:rPr>
        <w:t>courts, you may</w:t>
      </w:r>
      <w:r>
        <w:rPr>
          <w:color w:val="3A383A"/>
          <w:spacing w:val="1"/>
        </w:rPr>
        <w:t> </w:t>
      </w:r>
      <w:r>
        <w:rPr>
          <w:color w:val="3A383A"/>
        </w:rPr>
        <w:t>reserve time by speaking directly</w:t>
      </w:r>
      <w:r>
        <w:rPr>
          <w:color w:val="3A383A"/>
          <w:spacing w:val="1"/>
        </w:rPr>
        <w:t> </w:t>
      </w:r>
      <w:r>
        <w:rPr>
          <w:color w:val="3A383A"/>
        </w:rPr>
        <w:t>to</w:t>
      </w:r>
      <w:r>
        <w:rPr>
          <w:color w:val="3A383A"/>
          <w:spacing w:val="1"/>
        </w:rPr>
        <w:t> </w:t>
      </w:r>
      <w:r>
        <w:rPr>
          <w:color w:val="3A383A"/>
        </w:rPr>
        <w:t>the</w:t>
      </w:r>
      <w:r>
        <w:rPr>
          <w:color w:val="3A383A"/>
          <w:spacing w:val="1"/>
        </w:rPr>
        <w:t> </w:t>
      </w:r>
      <w:r>
        <w:rPr>
          <w:color w:val="3A383A"/>
        </w:rPr>
        <w:t>bailiff</w:t>
      </w:r>
      <w:r>
        <w:rPr>
          <w:color w:val="606264"/>
        </w:rPr>
        <w:t>.</w:t>
      </w:r>
      <w:r>
        <w:rPr>
          <w:color w:val="606264"/>
          <w:spacing w:val="1"/>
        </w:rPr>
        <w:t> </w:t>
      </w:r>
      <w:r>
        <w:rPr>
          <w:color w:val="3A383A"/>
        </w:rPr>
        <w:t>In some</w:t>
      </w:r>
      <w:r>
        <w:rPr>
          <w:color w:val="3A383A"/>
          <w:spacing w:val="-55"/>
        </w:rPr>
        <w:t> </w:t>
      </w:r>
      <w:r>
        <w:rPr>
          <w:color w:val="3A383A"/>
        </w:rPr>
        <w:t>courts,</w:t>
      </w:r>
      <w:r>
        <w:rPr>
          <w:color w:val="3A383A"/>
          <w:spacing w:val="12"/>
        </w:rPr>
        <w:t> </w:t>
      </w:r>
      <w:r>
        <w:rPr>
          <w:color w:val="3A383A"/>
        </w:rPr>
        <w:t>you</w:t>
      </w:r>
      <w:r>
        <w:rPr>
          <w:color w:val="3A383A"/>
          <w:spacing w:val="13"/>
        </w:rPr>
        <w:t> </w:t>
      </w:r>
      <w:r>
        <w:rPr>
          <w:color w:val="3A383A"/>
        </w:rPr>
        <w:t>may</w:t>
      </w:r>
      <w:r>
        <w:rPr>
          <w:color w:val="3A383A"/>
          <w:spacing w:val="17"/>
        </w:rPr>
        <w:t> </w:t>
      </w:r>
      <w:r>
        <w:rPr>
          <w:color w:val="3A383A"/>
        </w:rPr>
        <w:t>need</w:t>
      </w:r>
      <w:r>
        <w:rPr>
          <w:color w:val="3A383A"/>
          <w:spacing w:val="6"/>
        </w:rPr>
        <w:t> </w:t>
      </w:r>
      <w:r>
        <w:rPr>
          <w:color w:val="3A383A"/>
        </w:rPr>
        <w:t>to</w:t>
      </w:r>
      <w:r>
        <w:rPr>
          <w:color w:val="3A383A"/>
          <w:spacing w:val="27"/>
        </w:rPr>
        <w:t> </w:t>
      </w:r>
      <w:r>
        <w:rPr>
          <w:color w:val="3A383A"/>
        </w:rPr>
        <w:t>both</w:t>
      </w:r>
      <w:r>
        <w:rPr>
          <w:color w:val="3A383A"/>
          <w:spacing w:val="26"/>
        </w:rPr>
        <w:t> </w:t>
      </w:r>
      <w:r>
        <w:rPr>
          <w:color w:val="3A383A"/>
        </w:rPr>
        <w:t>request</w:t>
      </w:r>
      <w:r>
        <w:rPr>
          <w:color w:val="3A383A"/>
          <w:spacing w:val="36"/>
        </w:rPr>
        <w:t> </w:t>
      </w:r>
      <w:r>
        <w:rPr>
          <w:color w:val="3A383A"/>
        </w:rPr>
        <w:t>time</w:t>
      </w:r>
      <w:r>
        <w:rPr>
          <w:color w:val="3A383A"/>
          <w:spacing w:val="-1"/>
        </w:rPr>
        <w:t> </w:t>
      </w:r>
      <w:r>
        <w:rPr>
          <w:color w:val="3A383A"/>
        </w:rPr>
        <w:t>from</w:t>
      </w:r>
      <w:r>
        <w:rPr>
          <w:color w:val="3A383A"/>
          <w:spacing w:val="36"/>
        </w:rPr>
        <w:t> </w:t>
      </w:r>
      <w:r>
        <w:rPr>
          <w:color w:val="3A383A"/>
        </w:rPr>
        <w:t>the</w:t>
      </w:r>
      <w:r>
        <w:rPr>
          <w:color w:val="3A383A"/>
          <w:spacing w:val="44"/>
        </w:rPr>
        <w:t> </w:t>
      </w:r>
      <w:r>
        <w:rPr>
          <w:color w:val="3A383A"/>
        </w:rPr>
        <w:t>bailiff</w:t>
      </w:r>
      <w:r>
        <w:rPr>
          <w:color w:val="3A383A"/>
          <w:spacing w:val="38"/>
        </w:rPr>
        <w:t> </w:t>
      </w:r>
      <w:r>
        <w:rPr>
          <w:color w:val="3A383A"/>
        </w:rPr>
        <w:t>and</w:t>
      </w:r>
      <w:r>
        <w:rPr>
          <w:color w:val="3A383A"/>
          <w:spacing w:val="12"/>
        </w:rPr>
        <w:t> </w:t>
      </w:r>
      <w:r>
        <w:rPr>
          <w:color w:val="3A383A"/>
        </w:rPr>
        <w:t>make</w:t>
      </w:r>
      <w:r>
        <w:rPr>
          <w:color w:val="3A383A"/>
          <w:spacing w:val="-1"/>
        </w:rPr>
        <w:t> </w:t>
      </w:r>
      <w:r>
        <w:rPr>
          <w:color w:val="3A383A"/>
        </w:rPr>
        <w:t>the</w:t>
      </w:r>
      <w:r>
        <w:rPr>
          <w:color w:val="3A383A"/>
          <w:spacing w:val="-55"/>
        </w:rPr>
        <w:t> </w:t>
      </w:r>
      <w:r>
        <w:rPr>
          <w:color w:val="3A383A"/>
        </w:rPr>
        <w:t>request orally</w:t>
      </w:r>
      <w:r>
        <w:rPr>
          <w:color w:val="3A383A"/>
          <w:spacing w:val="11"/>
        </w:rPr>
        <w:t> </w:t>
      </w:r>
      <w:r>
        <w:rPr>
          <w:color w:val="3A383A"/>
        </w:rPr>
        <w:t>from</w:t>
      </w:r>
      <w:r>
        <w:rPr>
          <w:color w:val="3A383A"/>
          <w:spacing w:val="14"/>
        </w:rPr>
        <w:t> </w:t>
      </w:r>
      <w:r>
        <w:rPr>
          <w:color w:val="3A383A"/>
        </w:rPr>
        <w:t>the</w:t>
      </w:r>
      <w:r>
        <w:rPr>
          <w:color w:val="3A383A"/>
          <w:spacing w:val="20"/>
        </w:rPr>
        <w:t> </w:t>
      </w:r>
      <w:r>
        <w:rPr>
          <w:color w:val="3A383A"/>
        </w:rPr>
        <w:t>podium.</w:t>
      </w:r>
      <w:r>
        <w:rPr>
          <w:color w:val="3A383A"/>
          <w:spacing w:val="2"/>
        </w:rPr>
        <w:t> </w:t>
      </w:r>
      <w:r>
        <w:rPr>
          <w:color w:val="3A383A"/>
        </w:rPr>
        <w:t>Section</w:t>
      </w:r>
      <w:r>
        <w:rPr>
          <w:color w:val="3A383A"/>
          <w:spacing w:val="25"/>
        </w:rPr>
        <w:t> </w:t>
      </w:r>
      <w:r>
        <w:rPr>
          <w:color w:val="3A383A"/>
        </w:rPr>
        <w:t>13.7</w:t>
      </w:r>
      <w:r>
        <w:rPr>
          <w:color w:val="3A383A"/>
          <w:spacing w:val="-2"/>
        </w:rPr>
        <w:t> </w:t>
      </w:r>
      <w:r>
        <w:rPr>
          <w:color w:val="3A383A"/>
        </w:rPr>
        <w:t>provides</w:t>
      </w:r>
      <w:r>
        <w:rPr>
          <w:color w:val="3A383A"/>
          <w:spacing w:val="29"/>
        </w:rPr>
        <w:t> </w:t>
      </w:r>
      <w:r>
        <w:rPr>
          <w:color w:val="3A383A"/>
        </w:rPr>
        <w:t>more</w:t>
      </w:r>
      <w:r>
        <w:rPr>
          <w:color w:val="3A383A"/>
          <w:spacing w:val="12"/>
        </w:rPr>
        <w:t> </w:t>
      </w:r>
      <w:r>
        <w:rPr>
          <w:color w:val="3A383A"/>
        </w:rPr>
        <w:t>detail</w:t>
      </w:r>
      <w:r>
        <w:rPr>
          <w:color w:val="3A383A"/>
          <w:spacing w:val="11"/>
        </w:rPr>
        <w:t> </w:t>
      </w:r>
      <w:r>
        <w:rPr>
          <w:color w:val="3A383A"/>
        </w:rPr>
        <w:t>on</w:t>
      </w:r>
      <w:r>
        <w:rPr>
          <w:color w:val="3A383A"/>
          <w:spacing w:val="11"/>
        </w:rPr>
        <w:t> </w:t>
      </w:r>
      <w:r>
        <w:rPr>
          <w:color w:val="3A383A"/>
        </w:rPr>
        <w:t>pre­</w:t>
      </w:r>
    </w:p>
    <w:p>
      <w:pPr>
        <w:pStyle w:val="BodyText"/>
        <w:spacing w:line="262" w:lineRule="exact" w:before="7"/>
        <w:ind w:left="565"/>
        <w:jc w:val="both"/>
      </w:pPr>
      <w:r>
        <w:rPr>
          <w:color w:val="3A383A"/>
        </w:rPr>
        <w:t>paring</w:t>
      </w:r>
      <w:r>
        <w:rPr>
          <w:color w:val="3A383A"/>
          <w:spacing w:val="4"/>
        </w:rPr>
        <w:t> </w:t>
      </w:r>
      <w:r>
        <w:rPr>
          <w:color w:val="3A383A"/>
        </w:rPr>
        <w:t>and</w:t>
      </w:r>
      <w:r>
        <w:rPr>
          <w:color w:val="3A383A"/>
          <w:spacing w:val="17"/>
        </w:rPr>
        <w:t> </w:t>
      </w:r>
      <w:r>
        <w:rPr>
          <w:color w:val="3A383A"/>
        </w:rPr>
        <w:t>making</w:t>
      </w:r>
      <w:r>
        <w:rPr>
          <w:color w:val="3A383A"/>
          <w:spacing w:val="18"/>
        </w:rPr>
        <w:t> </w:t>
      </w:r>
      <w:r>
        <w:rPr>
          <w:color w:val="3A383A"/>
        </w:rPr>
        <w:t>the</w:t>
      </w:r>
      <w:r>
        <w:rPr>
          <w:color w:val="3A383A"/>
          <w:spacing w:val="20"/>
        </w:rPr>
        <w:t> </w:t>
      </w:r>
      <w:r>
        <w:rPr>
          <w:color w:val="3A383A"/>
        </w:rPr>
        <w:t>rebuttal</w:t>
      </w:r>
      <w:r>
        <w:rPr>
          <w:color w:val="3A383A"/>
          <w:spacing w:val="17"/>
        </w:rPr>
        <w:t> </w:t>
      </w:r>
      <w:r>
        <w:rPr>
          <w:color w:val="3A383A"/>
        </w:rPr>
        <w:t>argument</w:t>
      </w:r>
      <w:r>
        <w:rPr>
          <w:color w:val="606264"/>
        </w:rPr>
        <w:t>.</w:t>
      </w:r>
    </w:p>
    <w:p>
      <w:pPr>
        <w:pStyle w:val="BodyText"/>
        <w:spacing w:line="230" w:lineRule="auto" w:before="6"/>
        <w:ind w:left="527" w:right="110" w:firstLine="381"/>
        <w:jc w:val="both"/>
        <w:rPr>
          <w:rFonts w:ascii="Arial"/>
          <w:sz w:val="20"/>
        </w:rPr>
      </w:pPr>
      <w:r>
        <w:rPr>
          <w:color w:val="3A383A"/>
        </w:rPr>
        <w:t>Your next task is to introduce yourself and</w:t>
      </w:r>
      <w:r>
        <w:rPr>
          <w:color w:val="3A383A"/>
          <w:spacing w:val="1"/>
        </w:rPr>
        <w:t> </w:t>
      </w:r>
      <w:r>
        <w:rPr>
          <w:color w:val="3A383A"/>
        </w:rPr>
        <w:t>your case.Judge Wiener has</w:t>
      </w:r>
      <w:r>
        <w:rPr>
          <w:color w:val="3A383A"/>
          <w:spacing w:val="-55"/>
        </w:rPr>
        <w:t> </w:t>
      </w:r>
      <w:r>
        <w:rPr>
          <w:color w:val="3A383A"/>
          <w:w w:val="105"/>
        </w:rPr>
        <w:t>recommended opening with "a short, simple introduction: tell the panel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your name, the name of your client, your client's role in the appeal .. ,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and</w:t>
      </w:r>
      <w:r>
        <w:rPr>
          <w:color w:val="3A383A"/>
          <w:spacing w:val="10"/>
          <w:w w:val="105"/>
        </w:rPr>
        <w:t> </w:t>
      </w:r>
      <w:r>
        <w:rPr>
          <w:color w:val="3A383A"/>
          <w:w w:val="105"/>
        </w:rPr>
        <w:t>in</w:t>
      </w:r>
      <w:r>
        <w:rPr>
          <w:color w:val="3A383A"/>
          <w:spacing w:val="14"/>
          <w:w w:val="105"/>
        </w:rPr>
        <w:t> </w:t>
      </w:r>
      <w:r>
        <w:rPr>
          <w:color w:val="3A383A"/>
          <w:w w:val="105"/>
        </w:rPr>
        <w:t>the</w:t>
      </w:r>
      <w:r>
        <w:rPr>
          <w:color w:val="3A383A"/>
          <w:spacing w:val="-4"/>
          <w:w w:val="105"/>
        </w:rPr>
        <w:t> </w:t>
      </w:r>
      <w:r>
        <w:rPr>
          <w:color w:val="3A383A"/>
          <w:w w:val="105"/>
        </w:rPr>
        <w:t>trial</w:t>
      </w:r>
      <w:r>
        <w:rPr>
          <w:color w:val="3A383A"/>
          <w:spacing w:val="-7"/>
          <w:w w:val="105"/>
        </w:rPr>
        <w:t> </w:t>
      </w:r>
      <w:r>
        <w:rPr>
          <w:color w:val="4D4D4D"/>
          <w:w w:val="105"/>
        </w:rPr>
        <w:t>...</w:t>
      </w:r>
      <w:r>
        <w:rPr>
          <w:color w:val="4D4D4D"/>
          <w:spacing w:val="8"/>
          <w:w w:val="105"/>
        </w:rPr>
        <w:t> </w:t>
      </w:r>
      <w:r>
        <w:rPr>
          <w:color w:val="3A383A"/>
          <w:w w:val="105"/>
        </w:rPr>
        <w:t>but</w:t>
      </w:r>
      <w:r>
        <w:rPr>
          <w:color w:val="3A383A"/>
          <w:spacing w:val="15"/>
          <w:w w:val="105"/>
        </w:rPr>
        <w:t> </w:t>
      </w:r>
      <w:r>
        <w:rPr>
          <w:color w:val="3A383A"/>
          <w:w w:val="105"/>
        </w:rPr>
        <w:t>refrain</w:t>
      </w:r>
      <w:r>
        <w:rPr>
          <w:color w:val="3A383A"/>
          <w:spacing w:val="-1"/>
          <w:w w:val="105"/>
        </w:rPr>
        <w:t> </w:t>
      </w:r>
      <w:r>
        <w:rPr>
          <w:color w:val="3A383A"/>
          <w:w w:val="105"/>
        </w:rPr>
        <w:t>from</w:t>
      </w:r>
      <w:r>
        <w:rPr>
          <w:color w:val="3A383A"/>
          <w:spacing w:val="19"/>
          <w:w w:val="105"/>
        </w:rPr>
        <w:t> </w:t>
      </w:r>
      <w:r>
        <w:rPr>
          <w:color w:val="3A383A"/>
          <w:w w:val="105"/>
        </w:rPr>
        <w:t>blowing</w:t>
      </w:r>
      <w:r>
        <w:rPr>
          <w:color w:val="3A383A"/>
          <w:spacing w:val="3"/>
          <w:w w:val="105"/>
        </w:rPr>
        <w:t> </w:t>
      </w:r>
      <w:r>
        <w:rPr>
          <w:color w:val="3A383A"/>
          <w:w w:val="105"/>
        </w:rPr>
        <w:t>a</w:t>
      </w:r>
      <w:r>
        <w:rPr>
          <w:color w:val="3A383A"/>
          <w:spacing w:val="20"/>
          <w:w w:val="105"/>
        </w:rPr>
        <w:t> </w:t>
      </w:r>
      <w:r>
        <w:rPr>
          <w:color w:val="3A383A"/>
          <w:w w:val="105"/>
        </w:rPr>
        <w:t>lot</w:t>
      </w:r>
      <w:r>
        <w:rPr>
          <w:color w:val="3A383A"/>
          <w:spacing w:val="35"/>
          <w:w w:val="105"/>
        </w:rPr>
        <w:t> </w:t>
      </w:r>
      <w:r>
        <w:rPr>
          <w:color w:val="3A383A"/>
          <w:w w:val="105"/>
        </w:rPr>
        <w:t>of</w:t>
      </w:r>
      <w:r>
        <w:rPr>
          <w:color w:val="3A383A"/>
          <w:spacing w:val="20"/>
          <w:w w:val="105"/>
        </w:rPr>
        <w:t> </w:t>
      </w:r>
      <w:r>
        <w:rPr>
          <w:color w:val="3A383A"/>
          <w:w w:val="105"/>
        </w:rPr>
        <w:t>'smoke'</w:t>
      </w:r>
      <w:r>
        <w:rPr>
          <w:color w:val="3A383A"/>
          <w:spacing w:val="-2"/>
          <w:w w:val="105"/>
        </w:rPr>
        <w:t> </w:t>
      </w:r>
      <w:r>
        <w:rPr>
          <w:color w:val="3A383A"/>
          <w:w w:val="105"/>
        </w:rPr>
        <w:t>at</w:t>
      </w:r>
      <w:r>
        <w:rPr>
          <w:color w:val="3A383A"/>
          <w:spacing w:val="12"/>
          <w:w w:val="105"/>
        </w:rPr>
        <w:t> </w:t>
      </w:r>
      <w:r>
        <w:rPr>
          <w:color w:val="3A383A"/>
          <w:w w:val="105"/>
        </w:rPr>
        <w:t>the</w:t>
      </w:r>
      <w:r>
        <w:rPr>
          <w:color w:val="3A383A"/>
          <w:spacing w:val="-29"/>
          <w:w w:val="105"/>
        </w:rPr>
        <w:t> </w:t>
      </w:r>
      <w:r>
        <w:rPr>
          <w:rFonts w:ascii="Arial"/>
          <w:color w:val="3A383A"/>
          <w:w w:val="105"/>
          <w:sz w:val="20"/>
        </w:rPr>
        <w:t>court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7"/>
        <w:rPr>
          <w:rFonts w:ascii="Arial"/>
          <w:sz w:val="20"/>
        </w:rPr>
      </w:pPr>
    </w:p>
    <w:p>
      <w:pPr>
        <w:spacing w:before="0"/>
        <w:ind w:left="850" w:right="0" w:firstLine="0"/>
        <w:jc w:val="both"/>
        <w:rPr>
          <w:sz w:val="17"/>
        </w:rPr>
      </w:pPr>
      <w:r>
        <w:rPr>
          <w:color w:val="3A383A"/>
          <w:sz w:val="17"/>
        </w:rPr>
        <w:t>z,Wiener,</w:t>
      </w:r>
      <w:r>
        <w:rPr>
          <w:color w:val="3A383A"/>
          <w:spacing w:val="-10"/>
          <w:sz w:val="17"/>
        </w:rPr>
        <w:t> </w:t>
      </w:r>
      <w:r>
        <w:rPr>
          <w:i/>
          <w:color w:val="3A383A"/>
          <w:sz w:val="19"/>
        </w:rPr>
        <w:t>supra</w:t>
      </w:r>
      <w:r>
        <w:rPr>
          <w:i/>
          <w:color w:val="3A383A"/>
          <w:spacing w:val="-10"/>
          <w:sz w:val="19"/>
        </w:rPr>
        <w:t> </w:t>
      </w:r>
      <w:r>
        <w:rPr>
          <w:color w:val="4D4D4D"/>
          <w:sz w:val="17"/>
        </w:rPr>
        <w:t>note</w:t>
      </w:r>
      <w:r>
        <w:rPr>
          <w:color w:val="4D4D4D"/>
          <w:spacing w:val="-8"/>
          <w:sz w:val="17"/>
        </w:rPr>
        <w:t> </w:t>
      </w:r>
      <w:r>
        <w:rPr>
          <w:color w:val="3A383A"/>
          <w:sz w:val="17"/>
        </w:rPr>
        <w:t>2,</w:t>
      </w:r>
      <w:r>
        <w:rPr>
          <w:color w:val="3A383A"/>
          <w:spacing w:val="-16"/>
          <w:sz w:val="17"/>
        </w:rPr>
        <w:t> </w:t>
      </w:r>
      <w:r>
        <w:rPr>
          <w:color w:val="3A383A"/>
          <w:sz w:val="17"/>
        </w:rPr>
        <w:t>at</w:t>
      </w:r>
      <w:r>
        <w:rPr>
          <w:color w:val="3A383A"/>
          <w:spacing w:val="12"/>
          <w:sz w:val="17"/>
        </w:rPr>
        <w:t> </w:t>
      </w:r>
      <w:r>
        <w:rPr>
          <w:color w:val="3A383A"/>
          <w:sz w:val="17"/>
        </w:rPr>
        <w:t>203.</w:t>
      </w:r>
    </w:p>
    <w:p>
      <w:pPr>
        <w:spacing w:line="240" w:lineRule="auto" w:before="12"/>
        <w:ind w:left="447" w:right="102" w:firstLine="406"/>
        <w:jc w:val="both"/>
        <w:rPr>
          <w:sz w:val="17"/>
        </w:rPr>
      </w:pPr>
      <w:r>
        <w:rPr>
          <w:color w:val="3A383A"/>
          <w:w w:val="105"/>
          <w:sz w:val="17"/>
        </w:rPr>
        <w:t>uBecause the  United </w:t>
      </w:r>
      <w:r>
        <w:rPr>
          <w:color w:val="4D4D4D"/>
          <w:w w:val="105"/>
          <w:sz w:val="17"/>
        </w:rPr>
        <w:t>States Supreme </w:t>
      </w:r>
      <w:r>
        <w:rPr>
          <w:color w:val="3A383A"/>
          <w:w w:val="105"/>
          <w:sz w:val="17"/>
        </w:rPr>
        <w:t>Court has never had  a Chief Justice who Is a woman</w:t>
      </w:r>
      <w:r>
        <w:rPr>
          <w:color w:val="3A383A"/>
          <w:spacing w:val="1"/>
          <w:w w:val="105"/>
          <w:sz w:val="17"/>
        </w:rPr>
        <w:t> </w:t>
      </w:r>
      <w:r>
        <w:rPr>
          <w:color w:val="3A383A"/>
          <w:w w:val="105"/>
          <w:sz w:val="17"/>
        </w:rPr>
        <w:t>the</w:t>
      </w:r>
      <w:r>
        <w:rPr>
          <w:color w:val="3A383A"/>
          <w:spacing w:val="1"/>
          <w:w w:val="105"/>
          <w:sz w:val="17"/>
        </w:rPr>
        <w:t> </w:t>
      </w:r>
      <w:r>
        <w:rPr>
          <w:color w:val="3A383A"/>
          <w:w w:val="105"/>
          <w:sz w:val="17"/>
        </w:rPr>
        <w:t>Court  has no  protocol for addressing a  female </w:t>
      </w:r>
      <w:r>
        <w:rPr>
          <w:color w:val="4D4D4D"/>
          <w:w w:val="105"/>
          <w:sz w:val="17"/>
        </w:rPr>
        <w:t>Chief </w:t>
      </w:r>
      <w:r>
        <w:rPr>
          <w:color w:val="3A383A"/>
          <w:w w:val="105"/>
          <w:sz w:val="17"/>
        </w:rPr>
        <w:t>Justice. Some students who are faced</w:t>
      </w:r>
      <w:r>
        <w:rPr>
          <w:color w:val="3A383A"/>
          <w:spacing w:val="1"/>
          <w:w w:val="105"/>
          <w:sz w:val="17"/>
        </w:rPr>
        <w:t> </w:t>
      </w:r>
      <w:r>
        <w:rPr>
          <w:color w:val="3A383A"/>
          <w:w w:val="105"/>
          <w:sz w:val="17"/>
        </w:rPr>
        <w:t>with a female </w:t>
      </w:r>
      <w:r>
        <w:rPr>
          <w:color w:val="4D4D4D"/>
          <w:w w:val="105"/>
          <w:sz w:val="17"/>
        </w:rPr>
        <w:t>Chief </w:t>
      </w:r>
      <w:r>
        <w:rPr>
          <w:color w:val="3A383A"/>
          <w:w w:val="105"/>
          <w:sz w:val="17"/>
        </w:rPr>
        <w:t>Justice In a Moot Court </w:t>
      </w:r>
      <w:r>
        <w:rPr>
          <w:color w:val="4D4D4D"/>
          <w:w w:val="105"/>
          <w:sz w:val="17"/>
        </w:rPr>
        <w:t>setting </w:t>
      </w:r>
      <w:r>
        <w:rPr>
          <w:color w:val="3A383A"/>
          <w:w w:val="105"/>
          <w:sz w:val="17"/>
        </w:rPr>
        <w:t>address her as </w:t>
      </w:r>
      <w:r>
        <w:rPr>
          <w:color w:val="4D4D4D"/>
          <w:w w:val="105"/>
          <w:sz w:val="17"/>
        </w:rPr>
        <w:t>"Madame Chief </w:t>
      </w:r>
      <w:r>
        <w:rPr>
          <w:color w:val="3A383A"/>
          <w:w w:val="105"/>
          <w:sz w:val="17"/>
        </w:rPr>
        <w:t>Justice</w:t>
      </w:r>
      <w:r>
        <w:rPr>
          <w:color w:val="606264"/>
          <w:w w:val="105"/>
          <w:sz w:val="17"/>
        </w:rPr>
        <w:t>.• </w:t>
      </w:r>
      <w:r>
        <w:rPr>
          <w:color w:val="3A383A"/>
          <w:w w:val="105"/>
          <w:sz w:val="17"/>
        </w:rPr>
        <w:t>Whllt</w:t>
      </w:r>
      <w:r>
        <w:rPr>
          <w:color w:val="3A383A"/>
          <w:spacing w:val="1"/>
          <w:w w:val="105"/>
          <w:sz w:val="17"/>
        </w:rPr>
        <w:t> </w:t>
      </w:r>
      <w:r>
        <w:rPr>
          <w:color w:val="4D4D4D"/>
          <w:w w:val="105"/>
          <w:sz w:val="17"/>
        </w:rPr>
        <w:t>this </w:t>
      </w:r>
      <w:r>
        <w:rPr>
          <w:color w:val="3A383A"/>
          <w:w w:val="105"/>
          <w:sz w:val="17"/>
        </w:rPr>
        <w:t>may be acceptable, resorting to a foreign </w:t>
      </w:r>
      <w:r>
        <w:rPr>
          <w:color w:val="4D4D4D"/>
          <w:w w:val="105"/>
          <w:sz w:val="17"/>
        </w:rPr>
        <w:t>language </w:t>
      </w:r>
      <w:r>
        <w:rPr>
          <w:color w:val="3A383A"/>
          <w:w w:val="105"/>
          <w:sz w:val="17"/>
        </w:rPr>
        <w:t>strikes me</w:t>
      </w:r>
      <w:r>
        <w:rPr>
          <w:color w:val="3A383A"/>
          <w:spacing w:val="1"/>
          <w:w w:val="105"/>
          <w:sz w:val="17"/>
        </w:rPr>
        <w:t> </w:t>
      </w:r>
      <w:r>
        <w:rPr>
          <w:color w:val="3A383A"/>
          <w:w w:val="105"/>
          <w:sz w:val="17"/>
        </w:rPr>
        <w:t>as </w:t>
      </w:r>
      <w:r>
        <w:rPr>
          <w:color w:val="4D4D4D"/>
          <w:w w:val="105"/>
          <w:sz w:val="17"/>
        </w:rPr>
        <w:t>odd. </w:t>
      </w:r>
      <w:r>
        <w:rPr>
          <w:color w:val="3A383A"/>
          <w:w w:val="105"/>
          <w:sz w:val="17"/>
        </w:rPr>
        <w:t>Alternatives could</w:t>
      </w:r>
      <w:r>
        <w:rPr>
          <w:color w:val="3A383A"/>
          <w:spacing w:val="1"/>
          <w:w w:val="105"/>
          <w:sz w:val="17"/>
        </w:rPr>
        <w:t> </w:t>
      </w:r>
      <w:r>
        <w:rPr>
          <w:color w:val="3A383A"/>
          <w:w w:val="110"/>
          <w:sz w:val="17"/>
        </w:rPr>
        <w:t>Include</w:t>
      </w:r>
      <w:r>
        <w:rPr>
          <w:color w:val="3A383A"/>
          <w:spacing w:val="-18"/>
          <w:w w:val="110"/>
          <w:sz w:val="17"/>
        </w:rPr>
        <w:t> </w:t>
      </w:r>
      <w:r>
        <w:rPr>
          <w:color w:val="3A383A"/>
          <w:w w:val="110"/>
          <w:sz w:val="17"/>
        </w:rPr>
        <w:t>addressing</w:t>
      </w:r>
      <w:r>
        <w:rPr>
          <w:color w:val="3A383A"/>
          <w:spacing w:val="-9"/>
          <w:w w:val="110"/>
          <w:sz w:val="17"/>
        </w:rPr>
        <w:t> </w:t>
      </w:r>
      <w:r>
        <w:rPr>
          <w:color w:val="3A383A"/>
          <w:w w:val="110"/>
          <w:sz w:val="17"/>
        </w:rPr>
        <w:t>the</w:t>
      </w:r>
      <w:r>
        <w:rPr>
          <w:color w:val="3A383A"/>
          <w:spacing w:val="4"/>
          <w:w w:val="110"/>
          <w:sz w:val="17"/>
        </w:rPr>
        <w:t> </w:t>
      </w:r>
      <w:r>
        <w:rPr>
          <w:color w:val="3A383A"/>
          <w:w w:val="110"/>
          <w:sz w:val="17"/>
        </w:rPr>
        <w:t>Chief</w:t>
      </w:r>
      <w:r>
        <w:rPr>
          <w:color w:val="3A383A"/>
          <w:spacing w:val="9"/>
          <w:w w:val="110"/>
          <w:sz w:val="17"/>
        </w:rPr>
        <w:t> </w:t>
      </w:r>
      <w:r>
        <w:rPr>
          <w:color w:val="3A383A"/>
          <w:w w:val="110"/>
          <w:sz w:val="17"/>
        </w:rPr>
        <w:t>by</w:t>
      </w:r>
      <w:r>
        <w:rPr>
          <w:color w:val="3A383A"/>
          <w:spacing w:val="-16"/>
          <w:w w:val="110"/>
          <w:sz w:val="17"/>
        </w:rPr>
        <w:t> </w:t>
      </w:r>
      <w:r>
        <w:rPr>
          <w:color w:val="3A383A"/>
          <w:w w:val="110"/>
          <w:sz w:val="17"/>
        </w:rPr>
        <w:t>name,</w:t>
      </w:r>
      <w:r>
        <w:rPr>
          <w:color w:val="3A383A"/>
          <w:spacing w:val="-14"/>
          <w:w w:val="110"/>
          <w:sz w:val="17"/>
        </w:rPr>
        <w:t> </w:t>
      </w:r>
      <w:r>
        <w:rPr>
          <w:color w:val="3A383A"/>
          <w:w w:val="110"/>
          <w:sz w:val="17"/>
        </w:rPr>
        <w:t>or by</w:t>
      </w:r>
      <w:r>
        <w:rPr>
          <w:color w:val="3A383A"/>
          <w:spacing w:val="-11"/>
          <w:w w:val="110"/>
          <w:sz w:val="17"/>
        </w:rPr>
        <w:t> </w:t>
      </w:r>
      <w:r>
        <w:rPr>
          <w:color w:val="3A383A"/>
          <w:w w:val="110"/>
          <w:sz w:val="17"/>
        </w:rPr>
        <w:t>the</w:t>
      </w:r>
      <w:r>
        <w:rPr>
          <w:color w:val="3A383A"/>
          <w:spacing w:val="20"/>
          <w:w w:val="110"/>
          <w:sz w:val="17"/>
        </w:rPr>
        <w:t> </w:t>
      </w:r>
      <w:r>
        <w:rPr>
          <w:color w:val="3A383A"/>
          <w:w w:val="110"/>
          <w:sz w:val="17"/>
        </w:rPr>
        <w:t>title</w:t>
      </w:r>
      <w:r>
        <w:rPr>
          <w:color w:val="3A383A"/>
          <w:spacing w:val="-20"/>
          <w:w w:val="110"/>
          <w:sz w:val="17"/>
        </w:rPr>
        <w:t> </w:t>
      </w:r>
      <w:r>
        <w:rPr>
          <w:color w:val="3A383A"/>
          <w:w w:val="110"/>
          <w:sz w:val="17"/>
        </w:rPr>
        <w:t>without</w:t>
      </w:r>
      <w:r>
        <w:rPr>
          <w:color w:val="3A383A"/>
          <w:spacing w:val="-1"/>
          <w:w w:val="110"/>
          <w:sz w:val="17"/>
        </w:rPr>
        <w:t> </w:t>
      </w:r>
      <w:r>
        <w:rPr>
          <w:color w:val="3A383A"/>
          <w:w w:val="110"/>
          <w:sz w:val="17"/>
        </w:rPr>
        <w:t>the</w:t>
      </w:r>
      <w:r>
        <w:rPr>
          <w:color w:val="3A383A"/>
          <w:spacing w:val="6"/>
          <w:w w:val="110"/>
          <w:sz w:val="17"/>
        </w:rPr>
        <w:t> </w:t>
      </w:r>
      <w:r>
        <w:rPr>
          <w:color w:val="3A383A"/>
          <w:w w:val="110"/>
          <w:sz w:val="17"/>
        </w:rPr>
        <w:t>gender</w:t>
      </w:r>
      <w:r>
        <w:rPr>
          <w:color w:val="3A383A"/>
          <w:spacing w:val="-1"/>
          <w:w w:val="110"/>
          <w:sz w:val="17"/>
        </w:rPr>
        <w:t> </w:t>
      </w:r>
      <w:r>
        <w:rPr>
          <w:color w:val="3A383A"/>
          <w:w w:val="110"/>
          <w:sz w:val="17"/>
        </w:rPr>
        <w:t>designator.</w:t>
      </w:r>
      <w:r>
        <w:rPr>
          <w:color w:val="3A383A"/>
          <w:spacing w:val="-17"/>
          <w:w w:val="110"/>
          <w:sz w:val="17"/>
        </w:rPr>
        <w:t> </w:t>
      </w:r>
      <w:r>
        <w:rPr>
          <w:color w:val="3A383A"/>
          <w:w w:val="110"/>
          <w:sz w:val="17"/>
        </w:rPr>
        <w:t>Thus,</w:t>
      </w:r>
      <w:r>
        <w:rPr>
          <w:color w:val="3A383A"/>
          <w:spacing w:val="-26"/>
          <w:w w:val="110"/>
          <w:sz w:val="17"/>
        </w:rPr>
        <w:t> </w:t>
      </w:r>
      <w:r>
        <w:rPr>
          <w:color w:val="4D4D4D"/>
          <w:w w:val="110"/>
          <w:sz w:val="17"/>
        </w:rPr>
        <w:t>eith"</w:t>
      </w:r>
      <w:r>
        <w:rPr>
          <w:color w:val="4D4D4D"/>
          <w:spacing w:val="1"/>
          <w:w w:val="110"/>
          <w:sz w:val="17"/>
        </w:rPr>
        <w:t> </w:t>
      </w:r>
      <w:r>
        <w:rPr>
          <w:color w:val="3A383A"/>
          <w:w w:val="110"/>
          <w:sz w:val="17"/>
        </w:rPr>
        <w:t>say, </w:t>
      </w:r>
      <w:r>
        <w:rPr>
          <w:color w:val="4D4D4D"/>
          <w:w w:val="110"/>
          <w:sz w:val="17"/>
        </w:rPr>
        <w:t>"Chief </w:t>
      </w:r>
      <w:r>
        <w:rPr>
          <w:color w:val="3A383A"/>
          <w:w w:val="110"/>
          <w:sz w:val="17"/>
        </w:rPr>
        <w:t>Justice (with a nod to the Chief), and may it please the Court," or </w:t>
      </w:r>
      <w:r>
        <w:rPr>
          <w:color w:val="4D4D4D"/>
          <w:w w:val="110"/>
          <w:sz w:val="17"/>
        </w:rPr>
        <w:t>"Chief Justice</w:t>
      </w:r>
      <w:r>
        <w:rPr>
          <w:color w:val="4D4D4D"/>
          <w:spacing w:val="1"/>
          <w:w w:val="110"/>
          <w:sz w:val="17"/>
        </w:rPr>
        <w:t> </w:t>
      </w:r>
      <w:r>
        <w:rPr>
          <w:color w:val="3A383A"/>
          <w:w w:val="110"/>
          <w:sz w:val="17"/>
        </w:rPr>
        <w:t>Sotomayor</w:t>
      </w:r>
      <w:r>
        <w:rPr>
          <w:color w:val="606264"/>
          <w:w w:val="110"/>
          <w:sz w:val="17"/>
        </w:rPr>
        <w:t>,</w:t>
      </w:r>
      <w:r>
        <w:rPr>
          <w:color w:val="606264"/>
          <w:spacing w:val="-10"/>
          <w:w w:val="110"/>
          <w:sz w:val="17"/>
        </w:rPr>
        <w:t> </w:t>
      </w:r>
      <w:r>
        <w:rPr>
          <w:color w:val="3A383A"/>
          <w:w w:val="110"/>
          <w:sz w:val="17"/>
        </w:rPr>
        <w:t>and</w:t>
      </w:r>
      <w:r>
        <w:rPr>
          <w:color w:val="3A383A"/>
          <w:spacing w:val="15"/>
          <w:w w:val="110"/>
          <w:sz w:val="17"/>
        </w:rPr>
        <w:t> </w:t>
      </w:r>
      <w:r>
        <w:rPr>
          <w:color w:val="3A383A"/>
          <w:w w:val="110"/>
          <w:sz w:val="17"/>
        </w:rPr>
        <w:t>may</w:t>
      </w:r>
      <w:r>
        <w:rPr>
          <w:color w:val="3A383A"/>
          <w:spacing w:val="-10"/>
          <w:w w:val="110"/>
          <w:sz w:val="17"/>
        </w:rPr>
        <w:t> </w:t>
      </w:r>
      <w:r>
        <w:rPr>
          <w:color w:val="3A383A"/>
          <w:w w:val="110"/>
          <w:sz w:val="16"/>
        </w:rPr>
        <w:t>ii</w:t>
      </w:r>
      <w:r>
        <w:rPr>
          <w:color w:val="3A383A"/>
          <w:spacing w:val="11"/>
          <w:w w:val="110"/>
          <w:sz w:val="16"/>
        </w:rPr>
        <w:t> </w:t>
      </w:r>
      <w:r>
        <w:rPr>
          <w:color w:val="3A383A"/>
          <w:w w:val="110"/>
          <w:sz w:val="17"/>
        </w:rPr>
        <w:t>please</w:t>
      </w:r>
      <w:r>
        <w:rPr>
          <w:color w:val="3A383A"/>
          <w:spacing w:val="-10"/>
          <w:w w:val="110"/>
          <w:sz w:val="17"/>
        </w:rPr>
        <w:t> </w:t>
      </w:r>
      <w:r>
        <w:rPr>
          <w:color w:val="3A383A"/>
          <w:w w:val="110"/>
          <w:sz w:val="17"/>
        </w:rPr>
        <w:t>the</w:t>
      </w:r>
      <w:r>
        <w:rPr>
          <w:color w:val="3A383A"/>
          <w:spacing w:val="6"/>
          <w:w w:val="110"/>
          <w:sz w:val="17"/>
        </w:rPr>
        <w:t> </w:t>
      </w:r>
      <w:r>
        <w:rPr>
          <w:color w:val="3A383A"/>
          <w:w w:val="110"/>
          <w:sz w:val="17"/>
        </w:rPr>
        <w:t>Court</w:t>
      </w:r>
      <w:r>
        <w:rPr>
          <w:color w:val="606264"/>
          <w:w w:val="110"/>
          <w:sz w:val="17"/>
        </w:rPr>
        <w:t>.</w:t>
      </w:r>
      <w:r>
        <w:rPr>
          <w:color w:val="3A383A"/>
          <w:w w:val="110"/>
          <w:sz w:val="17"/>
        </w:rPr>
        <w:t>"</w:t>
      </w:r>
    </w:p>
    <w:p>
      <w:pPr>
        <w:spacing w:after="0" w:line="240" w:lineRule="auto"/>
        <w:jc w:val="both"/>
        <w:rPr>
          <w:sz w:val="17"/>
        </w:rPr>
        <w:sectPr>
          <w:headerReference w:type="even" r:id="rId335"/>
          <w:headerReference w:type="default" r:id="rId336"/>
          <w:pgSz w:w="8990" w:h="14010"/>
          <w:pgMar w:header="540" w:footer="0" w:top="1100" w:bottom="0" w:left="1240" w:right="100"/>
        </w:sectPr>
      </w:pPr>
    </w:p>
    <w:p>
      <w:pPr>
        <w:spacing w:line="244" w:lineRule="auto" w:before="81"/>
        <w:ind w:left="121" w:right="454" w:hanging="9"/>
        <w:jc w:val="both"/>
        <w:rPr>
          <w:sz w:val="12"/>
        </w:rPr>
      </w:pPr>
      <w:r>
        <w:rPr>
          <w:color w:val="3A3838"/>
          <w:spacing w:val="-1"/>
          <w:w w:val="150"/>
          <w:sz w:val="22"/>
        </w:rPr>
        <w:t>.... </w:t>
      </w:r>
      <w:r>
        <w:rPr>
          <w:color w:val="3A3838"/>
          <w:spacing w:val="-1"/>
          <w:w w:val="115"/>
          <w:sz w:val="22"/>
        </w:rPr>
        <w:t>Begin your presentation with a short, </w:t>
      </w:r>
      <w:r>
        <w:rPr>
          <w:color w:val="3A3838"/>
          <w:w w:val="115"/>
          <w:sz w:val="22"/>
        </w:rPr>
        <w:t>attention-getting 'simple and</w:t>
      </w:r>
      <w:r>
        <w:rPr>
          <w:color w:val="3A3838"/>
          <w:spacing w:val="-61"/>
          <w:w w:val="115"/>
          <w:sz w:val="22"/>
        </w:rPr>
        <w:t> </w:t>
      </w:r>
      <w:r>
        <w:rPr>
          <w:color w:val="3A3838"/>
          <w:w w:val="105"/>
          <w:sz w:val="22"/>
        </w:rPr>
        <w:t>direct' introduction of the</w:t>
      </w:r>
      <w:r>
        <w:rPr>
          <w:color w:val="3A3838"/>
          <w:spacing w:val="1"/>
          <w:w w:val="105"/>
          <w:sz w:val="22"/>
        </w:rPr>
        <w:t> </w:t>
      </w:r>
      <w:r>
        <w:rPr>
          <w:color w:val="3A3838"/>
          <w:w w:val="105"/>
          <w:sz w:val="22"/>
        </w:rPr>
        <w:t>points you plan to make."</w:t>
      </w:r>
      <w:r>
        <w:rPr>
          <w:color w:val="3A3838"/>
          <w:w w:val="105"/>
          <w:sz w:val="22"/>
          <w:vertAlign w:val="superscript"/>
        </w:rPr>
        <w:t>23</w:t>
      </w:r>
      <w:r>
        <w:rPr>
          <w:color w:val="3A3838"/>
          <w:w w:val="105"/>
          <w:sz w:val="22"/>
          <w:vertAlign w:val="baseline"/>
        </w:rPr>
        <w:t>Judge Williams has</w:t>
      </w:r>
      <w:r>
        <w:rPr>
          <w:color w:val="3A3838"/>
          <w:spacing w:val="1"/>
          <w:w w:val="105"/>
          <w:sz w:val="22"/>
          <w:vertAlign w:val="baseline"/>
        </w:rPr>
        <w:t> </w:t>
      </w:r>
      <w:r>
        <w:rPr>
          <w:color w:val="3A3838"/>
          <w:w w:val="110"/>
          <w:sz w:val="22"/>
          <w:vertAlign w:val="baseline"/>
        </w:rPr>
        <w:t>warned that the only uninterrupted time most oral advocates will have is</w:t>
      </w:r>
      <w:r>
        <w:rPr>
          <w:color w:val="3A3838"/>
          <w:spacing w:val="1"/>
          <w:w w:val="110"/>
          <w:sz w:val="22"/>
          <w:vertAlign w:val="baseline"/>
        </w:rPr>
        <w:t> </w:t>
      </w:r>
      <w:r>
        <w:rPr>
          <w:color w:val="3A3838"/>
          <w:w w:val="110"/>
          <w:sz w:val="22"/>
          <w:vertAlign w:val="baseline"/>
        </w:rPr>
        <w:t>at the beginning of the argument</w:t>
      </w:r>
      <w:r>
        <w:rPr>
          <w:color w:val="595759"/>
          <w:w w:val="110"/>
          <w:sz w:val="22"/>
          <w:vertAlign w:val="baseline"/>
        </w:rPr>
        <w:t>, </w:t>
      </w:r>
      <w:r>
        <w:rPr>
          <w:color w:val="3A3838"/>
          <w:w w:val="110"/>
          <w:sz w:val="22"/>
          <w:vertAlign w:val="baseline"/>
        </w:rPr>
        <w:t>and that they must use this time "to</w:t>
      </w:r>
      <w:r>
        <w:rPr>
          <w:color w:val="3A3838"/>
          <w:spacing w:val="1"/>
          <w:w w:val="110"/>
          <w:sz w:val="22"/>
          <w:vertAlign w:val="baseline"/>
        </w:rPr>
        <w:t> </w:t>
      </w:r>
      <w:r>
        <w:rPr>
          <w:color w:val="3A3838"/>
          <w:w w:val="110"/>
          <w:sz w:val="22"/>
          <w:vertAlign w:val="baseline"/>
        </w:rPr>
        <w:t>succinctly present the issue and explain to the court the most important</w:t>
      </w:r>
      <w:r>
        <w:rPr>
          <w:color w:val="3A3838"/>
          <w:spacing w:val="1"/>
          <w:w w:val="110"/>
          <w:sz w:val="22"/>
          <w:vertAlign w:val="baseline"/>
        </w:rPr>
        <w:t> </w:t>
      </w:r>
      <w:r>
        <w:rPr>
          <w:color w:val="3A3838"/>
          <w:w w:val="105"/>
          <w:sz w:val="22"/>
          <w:vertAlign w:val="baseline"/>
        </w:rPr>
        <w:t>reason why</w:t>
      </w:r>
      <w:r>
        <w:rPr>
          <w:color w:val="3A3838"/>
          <w:spacing w:val="1"/>
          <w:w w:val="105"/>
          <w:sz w:val="22"/>
          <w:vertAlign w:val="baseline"/>
        </w:rPr>
        <w:t> </w:t>
      </w:r>
      <w:r>
        <w:rPr>
          <w:color w:val="3A3838"/>
          <w:w w:val="105"/>
          <w:sz w:val="22"/>
          <w:vertAlign w:val="baseline"/>
        </w:rPr>
        <w:t>[they] should prevail. {They] may wish to use this time to give</w:t>
      </w:r>
      <w:r>
        <w:rPr>
          <w:color w:val="3A3838"/>
          <w:spacing w:val="1"/>
          <w:w w:val="105"/>
          <w:sz w:val="22"/>
          <w:vertAlign w:val="baseline"/>
        </w:rPr>
        <w:t> </w:t>
      </w:r>
      <w:r>
        <w:rPr>
          <w:color w:val="3A3838"/>
          <w:w w:val="110"/>
          <w:sz w:val="22"/>
          <w:vertAlign w:val="baseline"/>
        </w:rPr>
        <w:t>an</w:t>
      </w:r>
      <w:r>
        <w:rPr>
          <w:color w:val="3A3838"/>
          <w:spacing w:val="-16"/>
          <w:w w:val="110"/>
          <w:sz w:val="22"/>
          <w:vertAlign w:val="baseline"/>
        </w:rPr>
        <w:t> </w:t>
      </w:r>
      <w:r>
        <w:rPr>
          <w:color w:val="3A3838"/>
          <w:w w:val="110"/>
          <w:sz w:val="22"/>
          <w:vertAlign w:val="baseline"/>
        </w:rPr>
        <w:t>outline</w:t>
      </w:r>
      <w:r>
        <w:rPr>
          <w:color w:val="3A3838"/>
          <w:spacing w:val="-17"/>
          <w:w w:val="110"/>
          <w:sz w:val="22"/>
          <w:vertAlign w:val="baseline"/>
        </w:rPr>
        <w:t> </w:t>
      </w:r>
      <w:r>
        <w:rPr>
          <w:color w:val="3A3838"/>
          <w:w w:val="110"/>
          <w:sz w:val="22"/>
          <w:vertAlign w:val="baseline"/>
        </w:rPr>
        <w:t>of</w:t>
      </w:r>
      <w:r>
        <w:rPr>
          <w:color w:val="3A3838"/>
          <w:spacing w:val="16"/>
          <w:w w:val="110"/>
          <w:sz w:val="22"/>
          <w:vertAlign w:val="baseline"/>
        </w:rPr>
        <w:t> </w:t>
      </w:r>
      <w:r>
        <w:rPr>
          <w:color w:val="3A3838"/>
          <w:w w:val="110"/>
          <w:sz w:val="22"/>
          <w:vertAlign w:val="baseline"/>
        </w:rPr>
        <w:t>the</w:t>
      </w:r>
      <w:r>
        <w:rPr>
          <w:color w:val="3A3838"/>
          <w:spacing w:val="34"/>
          <w:w w:val="110"/>
          <w:sz w:val="22"/>
          <w:vertAlign w:val="baseline"/>
        </w:rPr>
        <w:t> </w:t>
      </w:r>
      <w:r>
        <w:rPr>
          <w:color w:val="3A3838"/>
          <w:w w:val="110"/>
          <w:sz w:val="22"/>
          <w:vertAlign w:val="baseline"/>
        </w:rPr>
        <w:t>points"</w:t>
      </w:r>
      <w:r>
        <w:rPr>
          <w:color w:val="3A3838"/>
          <w:spacing w:val="-6"/>
          <w:w w:val="110"/>
          <w:sz w:val="22"/>
          <w:vertAlign w:val="baseline"/>
        </w:rPr>
        <w:t> </w:t>
      </w:r>
      <w:r>
        <w:rPr>
          <w:color w:val="3A3838"/>
          <w:w w:val="110"/>
          <w:sz w:val="22"/>
          <w:vertAlign w:val="baseline"/>
        </w:rPr>
        <w:t>to</w:t>
      </w:r>
      <w:r>
        <w:rPr>
          <w:color w:val="3A3838"/>
          <w:spacing w:val="6"/>
          <w:w w:val="110"/>
          <w:sz w:val="22"/>
          <w:vertAlign w:val="baseline"/>
        </w:rPr>
        <w:t> </w:t>
      </w:r>
      <w:r>
        <w:rPr>
          <w:color w:val="3A3838"/>
          <w:w w:val="110"/>
          <w:sz w:val="22"/>
          <w:vertAlign w:val="baseline"/>
        </w:rPr>
        <w:t>be</w:t>
      </w:r>
      <w:r>
        <w:rPr>
          <w:color w:val="3A3838"/>
          <w:spacing w:val="-18"/>
          <w:w w:val="110"/>
          <w:sz w:val="22"/>
          <w:vertAlign w:val="baseline"/>
        </w:rPr>
        <w:t> </w:t>
      </w:r>
      <w:r>
        <w:rPr>
          <w:color w:val="3A3838"/>
          <w:w w:val="110"/>
          <w:sz w:val="22"/>
          <w:vertAlign w:val="baseline"/>
        </w:rPr>
        <w:t>covered</w:t>
      </w:r>
      <w:r>
        <w:rPr>
          <w:color w:val="3A3838"/>
          <w:spacing w:val="-11"/>
          <w:w w:val="110"/>
          <w:sz w:val="22"/>
          <w:vertAlign w:val="baseline"/>
        </w:rPr>
        <w:t> </w:t>
      </w:r>
      <w:r>
        <w:rPr>
          <w:color w:val="3A3838"/>
          <w:w w:val="110"/>
          <w:sz w:val="22"/>
          <w:vertAlign w:val="baseline"/>
        </w:rPr>
        <w:t>during the</w:t>
      </w:r>
      <w:r>
        <w:rPr>
          <w:color w:val="3A3838"/>
          <w:spacing w:val="-7"/>
          <w:w w:val="110"/>
          <w:sz w:val="22"/>
          <w:vertAlign w:val="baseline"/>
        </w:rPr>
        <w:t> </w:t>
      </w:r>
      <w:r>
        <w:rPr>
          <w:color w:val="3A3838"/>
          <w:w w:val="110"/>
          <w:sz w:val="22"/>
          <w:vertAlign w:val="baseline"/>
        </w:rPr>
        <w:t>argument</w:t>
      </w:r>
      <w:r>
        <w:rPr>
          <w:color w:val="595759"/>
          <w:w w:val="110"/>
          <w:sz w:val="22"/>
          <w:vertAlign w:val="baseline"/>
        </w:rPr>
        <w:t>.</w:t>
      </w:r>
      <w:r>
        <w:rPr>
          <w:color w:val="3A3838"/>
          <w:w w:val="110"/>
          <w:position w:val="9"/>
          <w:sz w:val="12"/>
          <w:vertAlign w:val="baseline"/>
        </w:rPr>
        <w:t>24</w:t>
      </w:r>
    </w:p>
    <w:p>
      <w:pPr>
        <w:tabs>
          <w:tab w:pos="6968" w:val="left" w:leader="none"/>
        </w:tabs>
        <w:spacing w:line="244" w:lineRule="auto" w:before="0"/>
        <w:ind w:left="140" w:right="444" w:firstLine="322"/>
        <w:jc w:val="both"/>
        <w:rPr>
          <w:sz w:val="14"/>
        </w:rPr>
      </w:pPr>
      <w:r>
        <w:rPr>
          <w:color w:val="3A3838"/>
          <w:w w:val="110"/>
          <w:sz w:val="22"/>
        </w:rPr>
        <w:t>Many ad</w:t>
      </w:r>
      <w:r>
        <w:rPr>
          <w:color w:val="595759"/>
          <w:w w:val="110"/>
          <w:sz w:val="22"/>
        </w:rPr>
        <w:t>v</w:t>
      </w:r>
      <w:r>
        <w:rPr>
          <w:color w:val="3A3838"/>
          <w:w w:val="110"/>
          <w:sz w:val="22"/>
        </w:rPr>
        <w:t>ocates spend too much time providing factual context. An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05"/>
          <w:sz w:val="22"/>
        </w:rPr>
        <w:t>oral argument does not havea formal statement of the case the way a brief</w:t>
      </w:r>
      <w:r>
        <w:rPr>
          <w:color w:val="3A3838"/>
          <w:spacing w:val="1"/>
          <w:w w:val="105"/>
          <w:sz w:val="22"/>
        </w:rPr>
        <w:t> </w:t>
      </w:r>
      <w:r>
        <w:rPr>
          <w:color w:val="3A3838"/>
          <w:w w:val="105"/>
          <w:sz w:val="22"/>
        </w:rPr>
        <w:t>does. You can</w:t>
      </w:r>
      <w:r>
        <w:rPr>
          <w:color w:val="3A3838"/>
          <w:spacing w:val="1"/>
          <w:w w:val="105"/>
          <w:sz w:val="22"/>
        </w:rPr>
        <w:t> </w:t>
      </w:r>
      <w:r>
        <w:rPr>
          <w:color w:val="3A3838"/>
          <w:w w:val="105"/>
          <w:sz w:val="22"/>
        </w:rPr>
        <w:t>presume that the court has read your brief and</w:t>
      </w:r>
      <w:r>
        <w:rPr>
          <w:color w:val="3A3838"/>
          <w:spacing w:val="1"/>
          <w:w w:val="105"/>
          <w:sz w:val="22"/>
        </w:rPr>
        <w:t> </w:t>
      </w:r>
      <w:r>
        <w:rPr>
          <w:color w:val="3A3838"/>
          <w:w w:val="105"/>
          <w:sz w:val="22"/>
        </w:rPr>
        <w:t>the</w:t>
      </w:r>
      <w:r>
        <w:rPr>
          <w:color w:val="3A3838"/>
          <w:spacing w:val="1"/>
          <w:w w:val="105"/>
          <w:sz w:val="22"/>
        </w:rPr>
        <w:t> </w:t>
      </w:r>
      <w:r>
        <w:rPr>
          <w:color w:val="3A3838"/>
          <w:w w:val="105"/>
          <w:sz w:val="22"/>
        </w:rPr>
        <w:t>relevant</w:t>
      </w:r>
      <w:r>
        <w:rPr>
          <w:color w:val="3A3838"/>
          <w:spacing w:val="1"/>
          <w:w w:val="105"/>
          <w:sz w:val="22"/>
        </w:rPr>
        <w:t> </w:t>
      </w:r>
      <w:r>
        <w:rPr>
          <w:color w:val="3A3838"/>
          <w:w w:val="110"/>
          <w:sz w:val="22"/>
        </w:rPr>
        <w:t>record materials. The Internal Operating Procedures of the United States</w:t>
      </w:r>
      <w:r>
        <w:rPr>
          <w:color w:val="3A3838"/>
          <w:spacing w:val="-58"/>
          <w:w w:val="110"/>
          <w:sz w:val="22"/>
        </w:rPr>
        <w:t> </w:t>
      </w:r>
      <w:r>
        <w:rPr>
          <w:color w:val="3A3838"/>
          <w:w w:val="105"/>
          <w:sz w:val="22"/>
        </w:rPr>
        <w:t>Court of Appeals for the Third Circuit, for example, require that briefs and</w:t>
      </w:r>
      <w:r>
        <w:rPr>
          <w:color w:val="3A3838"/>
          <w:spacing w:val="1"/>
          <w:w w:val="105"/>
          <w:sz w:val="22"/>
        </w:rPr>
        <w:t> </w:t>
      </w:r>
      <w:r>
        <w:rPr>
          <w:color w:val="3A3838"/>
          <w:w w:val="105"/>
          <w:sz w:val="22"/>
        </w:rPr>
        <w:t>appendices be "distributed sufficiently in advance to afford at least four (4)</w:t>
      </w:r>
      <w:r>
        <w:rPr>
          <w:color w:val="3A3838"/>
          <w:spacing w:val="1"/>
          <w:w w:val="105"/>
          <w:sz w:val="22"/>
        </w:rPr>
        <w:t> </w:t>
      </w:r>
      <w:r>
        <w:rPr>
          <w:color w:val="3A3838"/>
          <w:w w:val="105"/>
          <w:sz w:val="22"/>
        </w:rPr>
        <w:t>full weeks' study in chambers prior to the panel sitting.</w:t>
      </w:r>
      <w:r>
        <w:rPr>
          <w:color w:val="3A3838"/>
          <w:w w:val="105"/>
          <w:position w:val="8"/>
          <w:sz w:val="12"/>
        </w:rPr>
        <w:t>25</w:t>
      </w:r>
      <w:r>
        <w:rPr>
          <w:color w:val="3A3838"/>
          <w:spacing w:val="1"/>
          <w:w w:val="105"/>
          <w:position w:val="8"/>
          <w:sz w:val="12"/>
        </w:rPr>
        <w:t> </w:t>
      </w:r>
      <w:r>
        <w:rPr>
          <w:color w:val="3A3838"/>
          <w:w w:val="105"/>
          <w:sz w:val="22"/>
        </w:rPr>
        <w:t>Rule 1.2 lays out</w:t>
      </w:r>
      <w:r>
        <w:rPr>
          <w:color w:val="3A3838"/>
          <w:spacing w:val="1"/>
          <w:w w:val="105"/>
          <w:sz w:val="22"/>
        </w:rPr>
        <w:t> </w:t>
      </w:r>
      <w:r>
        <w:rPr>
          <w:color w:val="3A3838"/>
          <w:w w:val="105"/>
          <w:sz w:val="22"/>
        </w:rPr>
        <w:t>the "Responsibility of Panel Prior to Scheduled Sitting," noting that "[t</w:t>
      </w:r>
      <w:r>
        <w:rPr>
          <w:color w:val="595759"/>
          <w:w w:val="105"/>
          <w:sz w:val="22"/>
        </w:rPr>
        <w:t>]</w:t>
      </w:r>
      <w:r>
        <w:rPr>
          <w:color w:val="3A3838"/>
          <w:w w:val="105"/>
          <w:sz w:val="22"/>
        </w:rPr>
        <w:t>his</w:t>
      </w:r>
      <w:r>
        <w:rPr>
          <w:color w:val="3A3838"/>
          <w:spacing w:val="1"/>
          <w:w w:val="105"/>
          <w:sz w:val="22"/>
        </w:rPr>
        <w:t> </w:t>
      </w:r>
      <w:r>
        <w:rPr>
          <w:color w:val="3A3838"/>
          <w:w w:val="105"/>
          <w:sz w:val="22"/>
        </w:rPr>
        <w:t>court has the  tradition of carefully reading briefs and reviewing appendi­</w:t>
      </w:r>
      <w:r>
        <w:rPr>
          <w:color w:val="3A3838"/>
          <w:spacing w:val="1"/>
          <w:w w:val="105"/>
          <w:sz w:val="22"/>
        </w:rPr>
        <w:t> </w:t>
      </w:r>
      <w:r>
        <w:rPr>
          <w:color w:val="3A3838"/>
          <w:w w:val="110"/>
          <w:sz w:val="22"/>
        </w:rPr>
        <w:t>ces</w:t>
      </w:r>
      <w:r>
        <w:rPr>
          <w:color w:val="3A3838"/>
          <w:spacing w:val="-13"/>
          <w:w w:val="110"/>
          <w:sz w:val="22"/>
        </w:rPr>
        <w:t> </w:t>
      </w:r>
      <w:r>
        <w:rPr>
          <w:color w:val="3A3838"/>
          <w:w w:val="110"/>
          <w:sz w:val="22"/>
        </w:rPr>
        <w:t>prior</w:t>
      </w:r>
      <w:r>
        <w:rPr>
          <w:color w:val="3A3838"/>
          <w:spacing w:val="-4"/>
          <w:w w:val="110"/>
          <w:sz w:val="22"/>
        </w:rPr>
        <w:t> </w:t>
      </w:r>
      <w:r>
        <w:rPr>
          <w:color w:val="3A3838"/>
          <w:w w:val="110"/>
          <w:sz w:val="22"/>
        </w:rPr>
        <w:t>to</w:t>
      </w:r>
      <w:r>
        <w:rPr>
          <w:color w:val="3A3838"/>
          <w:spacing w:val="27"/>
          <w:w w:val="110"/>
          <w:sz w:val="22"/>
        </w:rPr>
        <w:t> </w:t>
      </w:r>
      <w:r>
        <w:rPr>
          <w:color w:val="3A3838"/>
          <w:w w:val="110"/>
          <w:sz w:val="22"/>
        </w:rPr>
        <w:t>oral</w:t>
      </w:r>
      <w:r>
        <w:rPr>
          <w:color w:val="3A3838"/>
          <w:spacing w:val="-7"/>
          <w:w w:val="110"/>
          <w:sz w:val="22"/>
        </w:rPr>
        <w:t> </w:t>
      </w:r>
      <w:r>
        <w:rPr>
          <w:color w:val="3A3838"/>
          <w:w w:val="110"/>
          <w:sz w:val="22"/>
        </w:rPr>
        <w:t>argument</w:t>
      </w:r>
      <w:r>
        <w:rPr>
          <w:color w:val="3A3838"/>
          <w:spacing w:val="-4"/>
          <w:w w:val="110"/>
          <w:sz w:val="22"/>
        </w:rPr>
        <w:t> </w:t>
      </w:r>
      <w:r>
        <w:rPr>
          <w:color w:val="3A3838"/>
          <w:w w:val="110"/>
          <w:sz w:val="22"/>
        </w:rPr>
        <w:t>or</w:t>
      </w:r>
      <w:r>
        <w:rPr>
          <w:color w:val="3A3838"/>
          <w:spacing w:val="-11"/>
          <w:w w:val="110"/>
          <w:sz w:val="22"/>
        </w:rPr>
        <w:t> </w:t>
      </w:r>
      <w:r>
        <w:rPr>
          <w:color w:val="3A3838"/>
          <w:w w:val="110"/>
          <w:sz w:val="22"/>
        </w:rPr>
        <w:t>conference."</w:t>
      </w:r>
      <w:r>
        <w:rPr>
          <w:color w:val="3A3838"/>
          <w:w w:val="110"/>
          <w:sz w:val="22"/>
          <w:vertAlign w:val="superscript"/>
        </w:rPr>
        <w:t>26</w:t>
      </w:r>
      <w:r>
        <w:rPr>
          <w:color w:val="3A3838"/>
          <w:w w:val="110"/>
          <w:sz w:val="22"/>
          <w:vertAlign w:val="baseline"/>
        </w:rPr>
        <w:tab/>
      </w:r>
      <w:r>
        <w:rPr>
          <w:color w:val="A5A7AA"/>
          <w:w w:val="110"/>
          <w:sz w:val="14"/>
          <w:vertAlign w:val="baseline"/>
        </w:rPr>
        <w:t>.</w:t>
      </w:r>
    </w:p>
    <w:p>
      <w:pPr>
        <w:spacing w:line="244" w:lineRule="auto" w:before="0"/>
        <w:ind w:left="193" w:right="414" w:firstLine="297"/>
        <w:jc w:val="both"/>
        <w:rPr>
          <w:sz w:val="22"/>
        </w:rPr>
      </w:pPr>
      <w:r>
        <w:rPr>
          <w:color w:val="3A3838"/>
          <w:spacing w:val="-1"/>
          <w:w w:val="110"/>
          <w:sz w:val="22"/>
        </w:rPr>
        <w:t>Most</w:t>
      </w:r>
      <w:r>
        <w:rPr>
          <w:color w:val="3A3838"/>
          <w:spacing w:val="-11"/>
          <w:w w:val="110"/>
          <w:sz w:val="22"/>
        </w:rPr>
        <w:t> </w:t>
      </w:r>
      <w:r>
        <w:rPr>
          <w:color w:val="3A3838"/>
          <w:spacing w:val="-1"/>
          <w:w w:val="110"/>
          <w:sz w:val="22"/>
        </w:rPr>
        <w:t>advocates</w:t>
      </w:r>
      <w:r>
        <w:rPr>
          <w:color w:val="3A3838"/>
          <w:spacing w:val="-11"/>
          <w:w w:val="110"/>
          <w:sz w:val="22"/>
        </w:rPr>
        <w:t> </w:t>
      </w:r>
      <w:r>
        <w:rPr>
          <w:color w:val="3A3838"/>
          <w:spacing w:val="-1"/>
          <w:w w:val="110"/>
          <w:sz w:val="22"/>
        </w:rPr>
        <w:t>can</w:t>
      </w:r>
      <w:r>
        <w:rPr>
          <w:color w:val="3A3838"/>
          <w:spacing w:val="-5"/>
          <w:w w:val="110"/>
          <w:sz w:val="22"/>
        </w:rPr>
        <w:t> </w:t>
      </w:r>
      <w:r>
        <w:rPr>
          <w:color w:val="3A3838"/>
          <w:spacing w:val="-1"/>
          <w:w w:val="110"/>
          <w:sz w:val="22"/>
        </w:rPr>
        <w:t>give</w:t>
      </w:r>
      <w:r>
        <w:rPr>
          <w:color w:val="3A3838"/>
          <w:spacing w:val="-22"/>
          <w:w w:val="110"/>
          <w:sz w:val="22"/>
        </w:rPr>
        <w:t> </w:t>
      </w:r>
      <w:r>
        <w:rPr>
          <w:color w:val="3A3838"/>
          <w:spacing w:val="-1"/>
          <w:w w:val="110"/>
          <w:sz w:val="22"/>
        </w:rPr>
        <w:t>enough</w:t>
      </w:r>
      <w:r>
        <w:rPr>
          <w:color w:val="3A3838"/>
          <w:spacing w:val="-11"/>
          <w:w w:val="110"/>
          <w:sz w:val="22"/>
        </w:rPr>
        <w:t> </w:t>
      </w:r>
      <w:r>
        <w:rPr>
          <w:color w:val="3A3838"/>
          <w:spacing w:val="-1"/>
          <w:w w:val="110"/>
          <w:sz w:val="22"/>
        </w:rPr>
        <w:t>factual</w:t>
      </w:r>
      <w:r>
        <w:rPr>
          <w:color w:val="3A3838"/>
          <w:spacing w:val="-16"/>
          <w:w w:val="110"/>
          <w:sz w:val="22"/>
        </w:rPr>
        <w:t> </w:t>
      </w:r>
      <w:r>
        <w:rPr>
          <w:color w:val="3A3838"/>
          <w:spacing w:val="-1"/>
          <w:w w:val="110"/>
          <w:sz w:val="22"/>
        </w:rPr>
        <w:t>context</w:t>
      </w:r>
      <w:r>
        <w:rPr>
          <w:color w:val="3A3838"/>
          <w:spacing w:val="-13"/>
          <w:w w:val="110"/>
          <w:sz w:val="22"/>
        </w:rPr>
        <w:t> </w:t>
      </w:r>
      <w:r>
        <w:rPr>
          <w:color w:val="3A3838"/>
          <w:spacing w:val="-1"/>
          <w:w w:val="110"/>
          <w:sz w:val="22"/>
        </w:rPr>
        <w:t>simply</w:t>
      </w:r>
      <w:r>
        <w:rPr>
          <w:color w:val="3A3838"/>
          <w:spacing w:val="-22"/>
          <w:w w:val="110"/>
          <w:sz w:val="22"/>
        </w:rPr>
        <w:t> </w:t>
      </w:r>
      <w:r>
        <w:rPr>
          <w:color w:val="3A3838"/>
          <w:w w:val="110"/>
          <w:sz w:val="22"/>
        </w:rPr>
        <w:t>by</w:t>
      </w:r>
      <w:r>
        <w:rPr>
          <w:color w:val="3A3838"/>
          <w:spacing w:val="-26"/>
          <w:w w:val="110"/>
          <w:sz w:val="22"/>
        </w:rPr>
        <w:t> </w:t>
      </w:r>
      <w:r>
        <w:rPr>
          <w:color w:val="3A3838"/>
          <w:w w:val="110"/>
          <w:sz w:val="22"/>
        </w:rPr>
        <w:t>articulating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05"/>
          <w:sz w:val="22"/>
        </w:rPr>
        <w:t>the issue. In the</w:t>
      </w:r>
      <w:r>
        <w:rPr>
          <w:color w:val="3A3838"/>
          <w:spacing w:val="1"/>
          <w:w w:val="105"/>
          <w:sz w:val="22"/>
        </w:rPr>
        <w:t> </w:t>
      </w:r>
      <w:r>
        <w:rPr>
          <w:color w:val="3A3838"/>
          <w:w w:val="105"/>
          <w:sz w:val="22"/>
        </w:rPr>
        <w:t>rare situation where more factual background is necessary,</w:t>
      </w:r>
      <w:r>
        <w:rPr>
          <w:color w:val="3A3838"/>
          <w:spacing w:val="-55"/>
          <w:w w:val="105"/>
          <w:sz w:val="22"/>
        </w:rPr>
        <w:t> </w:t>
      </w:r>
      <w:r>
        <w:rPr>
          <w:color w:val="3A3838"/>
          <w:w w:val="110"/>
          <w:sz w:val="20"/>
        </w:rPr>
        <w:t>try </w:t>
      </w:r>
      <w:r>
        <w:rPr>
          <w:color w:val="3A3838"/>
          <w:w w:val="110"/>
          <w:sz w:val="22"/>
        </w:rPr>
        <w:t>to spend no more than one or two sentences on these facts. Ideally,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spacing w:val="-1"/>
          <w:w w:val="110"/>
          <w:sz w:val="22"/>
        </w:rPr>
        <w:t>the</w:t>
      </w:r>
      <w:r>
        <w:rPr>
          <w:color w:val="3A3838"/>
          <w:spacing w:val="-22"/>
          <w:w w:val="110"/>
          <w:sz w:val="22"/>
        </w:rPr>
        <w:t> </w:t>
      </w:r>
      <w:r>
        <w:rPr>
          <w:color w:val="3A3838"/>
          <w:spacing w:val="-1"/>
          <w:w w:val="110"/>
          <w:sz w:val="22"/>
        </w:rPr>
        <w:t>court</w:t>
      </w:r>
      <w:r>
        <w:rPr>
          <w:color w:val="3A3838"/>
          <w:spacing w:val="-6"/>
          <w:w w:val="110"/>
          <w:sz w:val="22"/>
        </w:rPr>
        <w:t> </w:t>
      </w:r>
      <w:r>
        <w:rPr>
          <w:color w:val="3A3838"/>
          <w:spacing w:val="-1"/>
          <w:w w:val="110"/>
          <w:sz w:val="22"/>
        </w:rPr>
        <w:t>should</w:t>
      </w:r>
      <w:r>
        <w:rPr>
          <w:color w:val="3A3838"/>
          <w:spacing w:val="3"/>
          <w:w w:val="110"/>
          <w:sz w:val="22"/>
        </w:rPr>
        <w:t> </w:t>
      </w:r>
      <w:r>
        <w:rPr>
          <w:color w:val="3A3838"/>
          <w:spacing w:val="-1"/>
          <w:w w:val="110"/>
          <w:sz w:val="22"/>
        </w:rPr>
        <w:t>not</w:t>
      </w:r>
      <w:r>
        <w:rPr>
          <w:color w:val="3A3838"/>
          <w:spacing w:val="-11"/>
          <w:w w:val="110"/>
          <w:sz w:val="22"/>
        </w:rPr>
        <w:t> </w:t>
      </w:r>
      <w:r>
        <w:rPr>
          <w:color w:val="3A3838"/>
          <w:spacing w:val="-1"/>
          <w:w w:val="110"/>
          <w:sz w:val="22"/>
        </w:rPr>
        <w:t>even</w:t>
      </w:r>
      <w:r>
        <w:rPr>
          <w:color w:val="3A3838"/>
          <w:spacing w:val="-9"/>
          <w:w w:val="110"/>
          <w:sz w:val="22"/>
        </w:rPr>
        <w:t> </w:t>
      </w:r>
      <w:r>
        <w:rPr>
          <w:color w:val="3A3838"/>
          <w:spacing w:val="-1"/>
          <w:w w:val="110"/>
          <w:sz w:val="22"/>
        </w:rPr>
        <w:t>realize</w:t>
      </w:r>
      <w:r>
        <w:rPr>
          <w:color w:val="3A3838"/>
          <w:spacing w:val="-10"/>
          <w:w w:val="110"/>
          <w:sz w:val="22"/>
        </w:rPr>
        <w:t> </w:t>
      </w:r>
      <w:r>
        <w:rPr>
          <w:color w:val="3A3838"/>
          <w:spacing w:val="-1"/>
          <w:w w:val="110"/>
          <w:sz w:val="22"/>
        </w:rPr>
        <w:t>that</w:t>
      </w:r>
      <w:r>
        <w:rPr>
          <w:color w:val="3A3838"/>
          <w:spacing w:val="-16"/>
          <w:w w:val="110"/>
          <w:sz w:val="22"/>
        </w:rPr>
        <w:t> </w:t>
      </w:r>
      <w:r>
        <w:rPr>
          <w:color w:val="3A3838"/>
          <w:spacing w:val="-1"/>
          <w:w w:val="110"/>
          <w:sz w:val="22"/>
        </w:rPr>
        <w:t>you</w:t>
      </w:r>
      <w:r>
        <w:rPr>
          <w:color w:val="3A3838"/>
          <w:spacing w:val="-5"/>
          <w:w w:val="110"/>
          <w:sz w:val="22"/>
        </w:rPr>
        <w:t> </w:t>
      </w:r>
      <w:r>
        <w:rPr>
          <w:color w:val="3A3838"/>
          <w:w w:val="110"/>
          <w:sz w:val="22"/>
        </w:rPr>
        <w:t>are</w:t>
      </w:r>
      <w:r>
        <w:rPr>
          <w:color w:val="3A3838"/>
          <w:spacing w:val="-10"/>
          <w:w w:val="110"/>
          <w:sz w:val="22"/>
        </w:rPr>
        <w:t> </w:t>
      </w:r>
      <w:r>
        <w:rPr>
          <w:color w:val="3A3838"/>
          <w:w w:val="110"/>
          <w:sz w:val="22"/>
        </w:rPr>
        <w:t>laying</w:t>
      </w:r>
      <w:r>
        <w:rPr>
          <w:color w:val="3A3838"/>
          <w:spacing w:val="-26"/>
          <w:w w:val="110"/>
          <w:sz w:val="22"/>
        </w:rPr>
        <w:t> </w:t>
      </w:r>
      <w:r>
        <w:rPr>
          <w:color w:val="3A3838"/>
          <w:w w:val="110"/>
          <w:sz w:val="22"/>
        </w:rPr>
        <w:t>out</w:t>
      </w:r>
      <w:r>
        <w:rPr>
          <w:color w:val="3A3838"/>
          <w:spacing w:val="13"/>
          <w:w w:val="110"/>
          <w:sz w:val="22"/>
        </w:rPr>
        <w:t> </w:t>
      </w:r>
      <w:r>
        <w:rPr>
          <w:color w:val="3A3838"/>
          <w:w w:val="110"/>
          <w:sz w:val="22"/>
        </w:rPr>
        <w:t>facts;</w:t>
      </w:r>
      <w:r>
        <w:rPr>
          <w:color w:val="3A3838"/>
          <w:spacing w:val="-16"/>
          <w:w w:val="110"/>
          <w:sz w:val="22"/>
        </w:rPr>
        <w:t> </w:t>
      </w:r>
      <w:r>
        <w:rPr>
          <w:color w:val="3A3838"/>
          <w:w w:val="110"/>
          <w:sz w:val="22"/>
        </w:rPr>
        <w:t>if</w:t>
      </w:r>
      <w:r>
        <w:rPr>
          <w:color w:val="3A3838"/>
          <w:spacing w:val="-7"/>
          <w:w w:val="110"/>
          <w:sz w:val="22"/>
        </w:rPr>
        <w:t> </w:t>
      </w:r>
      <w:r>
        <w:rPr>
          <w:color w:val="3A3838"/>
          <w:w w:val="110"/>
          <w:sz w:val="22"/>
        </w:rPr>
        <w:t>it</w:t>
      </w:r>
      <w:r>
        <w:rPr>
          <w:color w:val="3A3838"/>
          <w:spacing w:val="14"/>
          <w:w w:val="110"/>
          <w:sz w:val="22"/>
        </w:rPr>
        <w:t> </w:t>
      </w:r>
      <w:r>
        <w:rPr>
          <w:color w:val="3A3838"/>
          <w:w w:val="110"/>
          <w:sz w:val="22"/>
        </w:rPr>
        <w:t>does,</w:t>
      </w:r>
      <w:r>
        <w:rPr>
          <w:color w:val="3A3838"/>
          <w:spacing w:val="-14"/>
          <w:w w:val="110"/>
          <w:sz w:val="22"/>
        </w:rPr>
        <w:t> </w:t>
      </w:r>
      <w:r>
        <w:rPr>
          <w:color w:val="3A3838"/>
          <w:w w:val="110"/>
          <w:sz w:val="22"/>
        </w:rPr>
        <w:t>it</w:t>
      </w:r>
      <w:r>
        <w:rPr>
          <w:color w:val="3A3838"/>
          <w:spacing w:val="-58"/>
          <w:w w:val="110"/>
          <w:sz w:val="22"/>
        </w:rPr>
        <w:t> </w:t>
      </w:r>
      <w:r>
        <w:rPr>
          <w:color w:val="3A3838"/>
          <w:spacing w:val="-1"/>
          <w:w w:val="110"/>
          <w:sz w:val="22"/>
        </w:rPr>
        <w:t>should </w:t>
      </w:r>
      <w:r>
        <w:rPr>
          <w:color w:val="3A3838"/>
          <w:w w:val="110"/>
          <w:sz w:val="22"/>
        </w:rPr>
        <w:t>do so only at the moment you move to your argument. Of course,</w:t>
      </w:r>
      <w:r>
        <w:rPr>
          <w:color w:val="3A3838"/>
          <w:spacing w:val="-59"/>
          <w:w w:val="110"/>
          <w:sz w:val="22"/>
        </w:rPr>
        <w:t> </w:t>
      </w:r>
      <w:r>
        <w:rPr>
          <w:color w:val="3A3838"/>
          <w:w w:val="105"/>
          <w:sz w:val="22"/>
        </w:rPr>
        <w:t>later in</w:t>
      </w:r>
      <w:r>
        <w:rPr>
          <w:color w:val="3A3838"/>
          <w:spacing w:val="1"/>
          <w:w w:val="105"/>
          <w:sz w:val="22"/>
        </w:rPr>
        <w:t> </w:t>
      </w:r>
      <w:r>
        <w:rPr>
          <w:color w:val="3A3838"/>
          <w:w w:val="105"/>
          <w:sz w:val="22"/>
        </w:rPr>
        <w:t>the</w:t>
      </w:r>
      <w:r>
        <w:rPr>
          <w:color w:val="3A3838"/>
          <w:spacing w:val="1"/>
          <w:w w:val="105"/>
          <w:sz w:val="22"/>
        </w:rPr>
        <w:t> </w:t>
      </w:r>
      <w:r>
        <w:rPr>
          <w:color w:val="3A3838"/>
          <w:w w:val="105"/>
          <w:sz w:val="22"/>
        </w:rPr>
        <w:t>argument, you should discuss facts in detail as they relate to</w:t>
      </w:r>
      <w:r>
        <w:rPr>
          <w:color w:val="3A3838"/>
          <w:spacing w:val="1"/>
          <w:w w:val="105"/>
          <w:sz w:val="22"/>
        </w:rPr>
        <w:t> </w:t>
      </w:r>
      <w:r>
        <w:rPr>
          <w:color w:val="3A3838"/>
          <w:w w:val="110"/>
          <w:sz w:val="22"/>
        </w:rPr>
        <w:t>your points or in answering questions; in the introduction, however, you</w:t>
      </w:r>
      <w:r>
        <w:rPr>
          <w:color w:val="3A3838"/>
          <w:spacing w:val="-58"/>
          <w:w w:val="110"/>
          <w:sz w:val="22"/>
        </w:rPr>
        <w:t> </w:t>
      </w:r>
      <w:r>
        <w:rPr>
          <w:color w:val="3A3838"/>
          <w:w w:val="110"/>
          <w:sz w:val="22"/>
        </w:rPr>
        <w:t>must</w:t>
      </w:r>
      <w:r>
        <w:rPr>
          <w:color w:val="3A3838"/>
          <w:spacing w:val="5"/>
          <w:w w:val="110"/>
          <w:sz w:val="22"/>
        </w:rPr>
        <w:t> </w:t>
      </w:r>
      <w:r>
        <w:rPr>
          <w:color w:val="3A3838"/>
          <w:w w:val="110"/>
          <w:sz w:val="22"/>
        </w:rPr>
        <w:t>be</w:t>
      </w:r>
      <w:r>
        <w:rPr>
          <w:color w:val="3A3838"/>
          <w:spacing w:val="4"/>
          <w:w w:val="110"/>
          <w:sz w:val="22"/>
        </w:rPr>
        <w:t> </w:t>
      </w:r>
      <w:r>
        <w:rPr>
          <w:color w:val="3A3838"/>
          <w:w w:val="110"/>
          <w:sz w:val="22"/>
        </w:rPr>
        <w:t>succinct.</w:t>
      </w:r>
    </w:p>
    <w:p>
      <w:pPr>
        <w:spacing w:line="242" w:lineRule="auto" w:before="0"/>
        <w:ind w:left="222" w:right="319" w:firstLine="317"/>
        <w:jc w:val="both"/>
        <w:rPr>
          <w:sz w:val="22"/>
        </w:rPr>
      </w:pPr>
      <w:r>
        <w:rPr>
          <w:color w:val="3A3838"/>
          <w:w w:val="110"/>
          <w:sz w:val="22"/>
        </w:rPr>
        <w:t>Presenting a roadmap of the points you plan to cover has two advan­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10"/>
          <w:sz w:val="22"/>
        </w:rPr>
        <w:t>tages. First, it gives you at least one opportunity to make those points.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10"/>
          <w:sz w:val="22"/>
        </w:rPr>
        <w:t>With some "hot" courts, that opportunity may be the only one</w:t>
      </w:r>
      <w:r>
        <w:rPr>
          <w:color w:val="595759"/>
          <w:w w:val="110"/>
          <w:sz w:val="22"/>
        </w:rPr>
        <w:t>. </w:t>
      </w:r>
      <w:r>
        <w:rPr>
          <w:color w:val="3A3838"/>
          <w:w w:val="110"/>
          <w:sz w:val="22"/>
        </w:rPr>
        <w:t>Second, a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10"/>
          <w:sz w:val="22"/>
        </w:rPr>
        <w:t>roadmap provides the obvious benefit of telling the court the points you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spacing w:val="-1"/>
          <w:w w:val="110"/>
          <w:sz w:val="22"/>
        </w:rPr>
        <w:t>plan to address and the order in which </w:t>
      </w:r>
      <w:r>
        <w:rPr>
          <w:color w:val="3A3838"/>
          <w:w w:val="110"/>
          <w:sz w:val="22"/>
        </w:rPr>
        <w:t>you plan to address them. Some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10"/>
          <w:sz w:val="22"/>
        </w:rPr>
        <w:t>courts will let you proceed with your argument if you have named the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05"/>
          <w:sz w:val="22"/>
        </w:rPr>
        <w:t>points that the court is interested in; if you  do not  provide a roadmap, on</w:t>
      </w:r>
      <w:r>
        <w:rPr>
          <w:color w:val="3A3838"/>
          <w:spacing w:val="1"/>
          <w:w w:val="105"/>
          <w:sz w:val="22"/>
        </w:rPr>
        <w:t> </w:t>
      </w:r>
      <w:r>
        <w:rPr>
          <w:color w:val="3A3838"/>
          <w:w w:val="110"/>
          <w:sz w:val="22"/>
        </w:rPr>
        <w:t>the other hand, the judges may interrupt quickly to make sure that you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05"/>
          <w:sz w:val="22"/>
        </w:rPr>
        <w:t>discuss an</w:t>
      </w:r>
      <w:r>
        <w:rPr>
          <w:color w:val="3A3838"/>
          <w:spacing w:val="1"/>
          <w:w w:val="105"/>
          <w:sz w:val="22"/>
        </w:rPr>
        <w:t> </w:t>
      </w:r>
      <w:r>
        <w:rPr>
          <w:color w:val="3A3838"/>
          <w:w w:val="105"/>
          <w:sz w:val="22"/>
        </w:rPr>
        <w:t>issue that hasprovoked their interest. You should not state the</w:t>
      </w:r>
      <w:r>
        <w:rPr>
          <w:color w:val="3A3838"/>
          <w:spacing w:val="1"/>
          <w:w w:val="105"/>
          <w:sz w:val="22"/>
        </w:rPr>
        <w:t> </w:t>
      </w:r>
      <w:r>
        <w:rPr>
          <w:color w:val="3A3838"/>
          <w:w w:val="110"/>
          <w:sz w:val="22"/>
        </w:rPr>
        <w:t>points in your roadmap objectively (e.g., don't say, "First, I </w:t>
      </w:r>
      <w:r>
        <w:rPr>
          <w:color w:val="3A3838"/>
          <w:w w:val="110"/>
          <w:sz w:val="23"/>
        </w:rPr>
        <w:t>will </w:t>
      </w:r>
      <w:r>
        <w:rPr>
          <w:color w:val="3A3838"/>
          <w:w w:val="110"/>
          <w:sz w:val="22"/>
        </w:rPr>
        <w:t>address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10"/>
          <w:sz w:val="22"/>
        </w:rPr>
        <w:t>whether the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10"/>
          <w:sz w:val="22"/>
        </w:rPr>
        <w:t>statute passes the heightened scrutiny test"). Instead, state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10"/>
          <w:sz w:val="22"/>
        </w:rPr>
        <w:t>your</w:t>
      </w:r>
      <w:r>
        <w:rPr>
          <w:color w:val="3A3838"/>
          <w:spacing w:val="-3"/>
          <w:w w:val="110"/>
          <w:sz w:val="22"/>
        </w:rPr>
        <w:t> </w:t>
      </w:r>
      <w:r>
        <w:rPr>
          <w:color w:val="3A3838"/>
          <w:w w:val="110"/>
          <w:sz w:val="22"/>
        </w:rPr>
        <w:t>points</w:t>
      </w:r>
      <w:r>
        <w:rPr>
          <w:color w:val="3A3838"/>
          <w:spacing w:val="-7"/>
          <w:w w:val="110"/>
          <w:sz w:val="22"/>
        </w:rPr>
        <w:t> </w:t>
      </w:r>
      <w:r>
        <w:rPr>
          <w:color w:val="3A3838"/>
          <w:w w:val="110"/>
          <w:sz w:val="22"/>
        </w:rPr>
        <w:t>argumentatively,</w:t>
      </w:r>
      <w:r>
        <w:rPr>
          <w:color w:val="3A3838"/>
          <w:spacing w:val="-17"/>
          <w:w w:val="110"/>
          <w:sz w:val="22"/>
        </w:rPr>
        <w:t> </w:t>
      </w:r>
      <w:r>
        <w:rPr>
          <w:color w:val="3A3838"/>
          <w:w w:val="110"/>
          <w:sz w:val="22"/>
        </w:rPr>
        <w:t>and</w:t>
      </w:r>
      <w:r>
        <w:rPr>
          <w:color w:val="3A3838"/>
          <w:spacing w:val="5"/>
          <w:w w:val="110"/>
          <w:sz w:val="22"/>
        </w:rPr>
        <w:t> </w:t>
      </w:r>
      <w:r>
        <w:rPr>
          <w:color w:val="3A3838"/>
          <w:w w:val="110"/>
          <w:sz w:val="22"/>
        </w:rPr>
        <w:t>use</w:t>
      </w:r>
      <w:r>
        <w:rPr>
          <w:color w:val="3A3838"/>
          <w:spacing w:val="-27"/>
          <w:w w:val="110"/>
          <w:sz w:val="22"/>
        </w:rPr>
        <w:t> </w:t>
      </w:r>
      <w:r>
        <w:rPr>
          <w:color w:val="3A3838"/>
          <w:w w:val="110"/>
          <w:sz w:val="22"/>
        </w:rPr>
        <w:t>the</w:t>
      </w:r>
      <w:r>
        <w:rPr>
          <w:color w:val="3A3838"/>
          <w:spacing w:val="22"/>
          <w:w w:val="110"/>
          <w:sz w:val="22"/>
        </w:rPr>
        <w:t> </w:t>
      </w:r>
      <w:r>
        <w:rPr>
          <w:color w:val="3A3838"/>
          <w:w w:val="110"/>
          <w:sz w:val="22"/>
        </w:rPr>
        <w:t>roadmap</w:t>
      </w:r>
      <w:r>
        <w:rPr>
          <w:color w:val="3A3838"/>
          <w:spacing w:val="-11"/>
          <w:w w:val="110"/>
          <w:sz w:val="22"/>
        </w:rPr>
        <w:t> </w:t>
      </w:r>
      <w:r>
        <w:rPr>
          <w:color w:val="3A3838"/>
          <w:w w:val="110"/>
          <w:sz w:val="22"/>
        </w:rPr>
        <w:t>to</w:t>
      </w:r>
      <w:r>
        <w:rPr>
          <w:color w:val="3A3838"/>
          <w:spacing w:val="-9"/>
          <w:w w:val="110"/>
          <w:sz w:val="22"/>
        </w:rPr>
        <w:t> </w:t>
      </w:r>
      <w:r>
        <w:rPr>
          <w:color w:val="3A3838"/>
          <w:w w:val="110"/>
          <w:sz w:val="22"/>
        </w:rPr>
        <w:t>explain</w:t>
      </w:r>
      <w:r>
        <w:rPr>
          <w:color w:val="3A3838"/>
          <w:spacing w:val="-19"/>
          <w:w w:val="110"/>
          <w:sz w:val="22"/>
        </w:rPr>
        <w:t> </w:t>
      </w:r>
      <w:r>
        <w:rPr>
          <w:color w:val="3A3838"/>
          <w:w w:val="110"/>
          <w:sz w:val="22"/>
        </w:rPr>
        <w:t>why</w:t>
      </w:r>
      <w:r>
        <w:rPr>
          <w:color w:val="3A3838"/>
          <w:spacing w:val="-18"/>
          <w:w w:val="110"/>
          <w:sz w:val="22"/>
        </w:rPr>
        <w:t> </w:t>
      </w:r>
      <w:r>
        <w:rPr>
          <w:color w:val="3A3838"/>
          <w:w w:val="110"/>
          <w:sz w:val="22"/>
        </w:rPr>
        <w:t>you</w:t>
      </w:r>
      <w:r>
        <w:rPr>
          <w:color w:val="3A3838"/>
          <w:spacing w:val="-24"/>
          <w:w w:val="110"/>
          <w:sz w:val="22"/>
        </w:rPr>
        <w:t> </w:t>
      </w:r>
      <w:r>
        <w:rPr>
          <w:color w:val="3A3838"/>
          <w:w w:val="110"/>
          <w:sz w:val="22"/>
        </w:rPr>
        <w:t>are</w:t>
      </w:r>
      <w:r>
        <w:rPr>
          <w:color w:val="3A3838"/>
          <w:spacing w:val="1"/>
          <w:w w:val="110"/>
          <w:sz w:val="22"/>
        </w:rPr>
        <w:t> </w:t>
      </w:r>
      <w:r>
        <w:rPr>
          <w:color w:val="3A3838"/>
          <w:w w:val="110"/>
          <w:sz w:val="22"/>
        </w:rPr>
        <w:t>asking</w:t>
      </w:r>
      <w:r>
        <w:rPr>
          <w:color w:val="3A3838"/>
          <w:spacing w:val="-7"/>
          <w:w w:val="110"/>
          <w:sz w:val="22"/>
        </w:rPr>
        <w:t> </w:t>
      </w:r>
      <w:r>
        <w:rPr>
          <w:color w:val="3A3838"/>
          <w:w w:val="110"/>
          <w:sz w:val="22"/>
        </w:rPr>
        <w:t>for</w:t>
      </w:r>
      <w:r>
        <w:rPr>
          <w:color w:val="3A3838"/>
          <w:spacing w:val="36"/>
          <w:w w:val="110"/>
          <w:sz w:val="22"/>
        </w:rPr>
        <w:t> </w:t>
      </w:r>
      <w:r>
        <w:rPr>
          <w:color w:val="3A3838"/>
          <w:w w:val="110"/>
          <w:sz w:val="22"/>
        </w:rPr>
        <w:t>the</w:t>
      </w:r>
      <w:r>
        <w:rPr>
          <w:color w:val="3A3838"/>
          <w:spacing w:val="25"/>
          <w:w w:val="110"/>
          <w:sz w:val="22"/>
        </w:rPr>
        <w:t> </w:t>
      </w:r>
      <w:r>
        <w:rPr>
          <w:color w:val="3A3838"/>
          <w:w w:val="110"/>
          <w:sz w:val="22"/>
        </w:rPr>
        <w:t>result</w:t>
      </w:r>
      <w:r>
        <w:rPr>
          <w:color w:val="3A3838"/>
          <w:spacing w:val="5"/>
          <w:w w:val="110"/>
          <w:sz w:val="22"/>
        </w:rPr>
        <w:t> </w:t>
      </w:r>
      <w:r>
        <w:rPr>
          <w:color w:val="3A3838"/>
          <w:w w:val="110"/>
          <w:sz w:val="22"/>
        </w:rPr>
        <w:t>you</w:t>
      </w:r>
      <w:r>
        <w:rPr>
          <w:color w:val="3A3838"/>
          <w:spacing w:val="-7"/>
          <w:w w:val="110"/>
          <w:sz w:val="22"/>
        </w:rPr>
        <w:t> </w:t>
      </w:r>
      <w:r>
        <w:rPr>
          <w:color w:val="3A3838"/>
          <w:w w:val="110"/>
          <w:sz w:val="22"/>
        </w:rPr>
        <w:t>seek.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6"/>
        </w:rPr>
      </w:pPr>
    </w:p>
    <w:p>
      <w:pPr>
        <w:spacing w:line="194" w:lineRule="exact" w:before="1"/>
        <w:ind w:left="591" w:right="0" w:firstLine="0"/>
        <w:jc w:val="left"/>
        <w:rPr>
          <w:sz w:val="17"/>
        </w:rPr>
      </w:pPr>
      <w:r>
        <w:rPr>
          <w:color w:val="3A3838"/>
          <w:w w:val="110"/>
          <w:sz w:val="17"/>
        </w:rPr>
        <w:t>uwiener,</w:t>
      </w:r>
      <w:r>
        <w:rPr>
          <w:color w:val="3A3838"/>
          <w:spacing w:val="-12"/>
          <w:w w:val="110"/>
          <w:sz w:val="17"/>
        </w:rPr>
        <w:t> </w:t>
      </w:r>
      <w:r>
        <w:rPr>
          <w:rFonts w:ascii="Arial"/>
          <w:i/>
          <w:color w:val="3A3838"/>
          <w:w w:val="105"/>
          <w:sz w:val="16"/>
        </w:rPr>
        <w:t>s11pra</w:t>
      </w:r>
      <w:r>
        <w:rPr>
          <w:rFonts w:ascii="Arial"/>
          <w:i/>
          <w:color w:val="3A3838"/>
          <w:spacing w:val="3"/>
          <w:w w:val="105"/>
          <w:sz w:val="16"/>
        </w:rPr>
        <w:t> </w:t>
      </w:r>
      <w:r>
        <w:rPr>
          <w:color w:val="3A3838"/>
          <w:w w:val="110"/>
          <w:sz w:val="17"/>
        </w:rPr>
        <w:t>note</w:t>
      </w:r>
      <w:r>
        <w:rPr>
          <w:color w:val="3A3838"/>
          <w:spacing w:val="-22"/>
          <w:w w:val="110"/>
          <w:sz w:val="17"/>
        </w:rPr>
        <w:t> </w:t>
      </w:r>
      <w:r>
        <w:rPr>
          <w:color w:val="3A3838"/>
          <w:w w:val="110"/>
          <w:sz w:val="17"/>
        </w:rPr>
        <w:t>2</w:t>
      </w:r>
      <w:r>
        <w:rPr>
          <w:color w:val="595759"/>
          <w:w w:val="110"/>
          <w:sz w:val="17"/>
        </w:rPr>
        <w:t>,</w:t>
      </w:r>
      <w:r>
        <w:rPr>
          <w:color w:val="595759"/>
          <w:spacing w:val="6"/>
          <w:w w:val="110"/>
          <w:sz w:val="17"/>
        </w:rPr>
        <w:t> </w:t>
      </w:r>
      <w:r>
        <w:rPr>
          <w:color w:val="3A3838"/>
          <w:w w:val="110"/>
          <w:sz w:val="17"/>
        </w:rPr>
        <w:t>at</w:t>
      </w:r>
      <w:r>
        <w:rPr>
          <w:color w:val="3A3838"/>
          <w:spacing w:val="18"/>
          <w:w w:val="110"/>
          <w:sz w:val="17"/>
        </w:rPr>
        <w:t> </w:t>
      </w:r>
      <w:r>
        <w:rPr>
          <w:color w:val="3A3838"/>
          <w:w w:val="110"/>
          <w:sz w:val="17"/>
        </w:rPr>
        <w:t>201</w:t>
      </w:r>
      <w:r>
        <w:rPr>
          <w:color w:val="595759"/>
          <w:w w:val="110"/>
          <w:sz w:val="17"/>
        </w:rPr>
        <w:t>,</w:t>
      </w:r>
      <w:r>
        <w:rPr>
          <w:color w:val="595759"/>
          <w:spacing w:val="8"/>
          <w:w w:val="110"/>
          <w:sz w:val="17"/>
        </w:rPr>
        <w:t> </w:t>
      </w:r>
      <w:r>
        <w:rPr>
          <w:color w:val="3A3838"/>
          <w:w w:val="110"/>
          <w:sz w:val="17"/>
        </w:rPr>
        <w:t>203.</w:t>
      </w:r>
    </w:p>
    <w:p>
      <w:pPr>
        <w:spacing w:line="193" w:lineRule="exact" w:before="0"/>
        <w:ind w:left="586" w:right="0" w:firstLine="0"/>
        <w:jc w:val="left"/>
        <w:rPr>
          <w:sz w:val="17"/>
        </w:rPr>
      </w:pPr>
      <w:r>
        <w:rPr>
          <w:color w:val="3A3838"/>
          <w:w w:val="110"/>
          <w:sz w:val="17"/>
        </w:rPr>
        <w:t>i&lt;Willlams,</w:t>
      </w:r>
      <w:r>
        <w:rPr>
          <w:color w:val="3A3838"/>
          <w:spacing w:val="7"/>
          <w:w w:val="110"/>
          <w:sz w:val="17"/>
        </w:rPr>
        <w:t> </w:t>
      </w:r>
      <w:r>
        <w:rPr>
          <w:rFonts w:ascii="Arial"/>
          <w:i/>
          <w:color w:val="3A3838"/>
          <w:w w:val="110"/>
          <w:sz w:val="16"/>
        </w:rPr>
        <w:t>mpra</w:t>
      </w:r>
      <w:r>
        <w:rPr>
          <w:rFonts w:ascii="Arial"/>
          <w:i/>
          <w:color w:val="3A3838"/>
          <w:spacing w:val="-3"/>
          <w:w w:val="110"/>
          <w:sz w:val="16"/>
        </w:rPr>
        <w:t> </w:t>
      </w:r>
      <w:r>
        <w:rPr>
          <w:color w:val="3A3838"/>
          <w:w w:val="110"/>
          <w:sz w:val="17"/>
        </w:rPr>
        <w:t>note</w:t>
      </w:r>
      <w:r>
        <w:rPr>
          <w:color w:val="3A3838"/>
          <w:spacing w:val="-22"/>
          <w:w w:val="110"/>
          <w:sz w:val="17"/>
        </w:rPr>
        <w:t> </w:t>
      </w:r>
      <w:r>
        <w:rPr>
          <w:color w:val="3A3838"/>
          <w:w w:val="110"/>
          <w:sz w:val="17"/>
        </w:rPr>
        <w:t>9</w:t>
      </w:r>
      <w:r>
        <w:rPr>
          <w:color w:val="595759"/>
          <w:w w:val="110"/>
          <w:sz w:val="17"/>
        </w:rPr>
        <w:t>,</w:t>
      </w:r>
      <w:r>
        <w:rPr>
          <w:color w:val="595759"/>
          <w:spacing w:val="9"/>
          <w:w w:val="110"/>
          <w:sz w:val="17"/>
        </w:rPr>
        <w:t> </w:t>
      </w:r>
      <w:r>
        <w:rPr>
          <w:color w:val="3A3838"/>
          <w:w w:val="110"/>
          <w:sz w:val="17"/>
        </w:rPr>
        <w:t>at</w:t>
      </w:r>
      <w:r>
        <w:rPr>
          <w:color w:val="3A3838"/>
          <w:spacing w:val="13"/>
          <w:w w:val="110"/>
          <w:sz w:val="17"/>
        </w:rPr>
        <w:t> </w:t>
      </w:r>
      <w:r>
        <w:rPr>
          <w:color w:val="3A3838"/>
          <w:w w:val="110"/>
          <w:sz w:val="17"/>
        </w:rPr>
        <w:t>598</w:t>
      </w:r>
      <w:r>
        <w:rPr>
          <w:color w:val="595759"/>
          <w:w w:val="110"/>
          <w:sz w:val="17"/>
        </w:rPr>
        <w:t>.</w:t>
      </w:r>
    </w:p>
    <w:p>
      <w:pPr>
        <w:spacing w:line="247" w:lineRule="auto" w:before="0"/>
        <w:ind w:left="289" w:right="319" w:firstLine="308"/>
        <w:jc w:val="left"/>
        <w:rPr>
          <w:sz w:val="17"/>
        </w:rPr>
      </w:pPr>
      <w:r>
        <w:rPr>
          <w:rFonts w:ascii="Arial"/>
          <w:i/>
          <w:color w:val="3A3838"/>
          <w:w w:val="105"/>
          <w:sz w:val="11"/>
        </w:rPr>
        <w:t>is </w:t>
      </w:r>
      <w:r>
        <w:rPr>
          <w:color w:val="3A3838"/>
          <w:w w:val="105"/>
          <w:sz w:val="17"/>
        </w:rPr>
        <w:t>internal</w:t>
      </w:r>
      <w:r>
        <w:rPr>
          <w:color w:val="3A3838"/>
          <w:spacing w:val="1"/>
          <w:w w:val="105"/>
          <w:sz w:val="17"/>
        </w:rPr>
        <w:t> </w:t>
      </w:r>
      <w:r>
        <w:rPr>
          <w:color w:val="3A3838"/>
          <w:w w:val="105"/>
          <w:sz w:val="17"/>
        </w:rPr>
        <w:t>Op</w:t>
      </w:r>
      <w:r>
        <w:rPr>
          <w:color w:val="595759"/>
          <w:w w:val="105"/>
          <w:sz w:val="17"/>
        </w:rPr>
        <w:t>c</w:t>
      </w:r>
      <w:r>
        <w:rPr>
          <w:color w:val="3A3838"/>
          <w:w w:val="105"/>
          <w:sz w:val="17"/>
        </w:rPr>
        <w:t>ratlng</w:t>
      </w:r>
      <w:r>
        <w:rPr>
          <w:color w:val="3A3838"/>
          <w:spacing w:val="1"/>
          <w:w w:val="105"/>
          <w:sz w:val="17"/>
        </w:rPr>
        <w:t> </w:t>
      </w:r>
      <w:r>
        <w:rPr>
          <w:color w:val="3A3838"/>
          <w:w w:val="105"/>
          <w:sz w:val="17"/>
        </w:rPr>
        <w:t>Procedures,</w:t>
      </w:r>
      <w:r>
        <w:rPr>
          <w:color w:val="3A3838"/>
          <w:spacing w:val="1"/>
          <w:w w:val="105"/>
          <w:sz w:val="17"/>
        </w:rPr>
        <w:t> </w:t>
      </w:r>
      <w:r>
        <w:rPr>
          <w:color w:val="3A3838"/>
          <w:w w:val="105"/>
          <w:sz w:val="16"/>
        </w:rPr>
        <w:t>U.S. </w:t>
      </w:r>
      <w:r>
        <w:rPr>
          <w:color w:val="3A3838"/>
          <w:w w:val="105"/>
          <w:sz w:val="17"/>
        </w:rPr>
        <w:t>Court</w:t>
      </w:r>
      <w:r>
        <w:rPr>
          <w:color w:val="3A3838"/>
          <w:spacing w:val="1"/>
          <w:w w:val="105"/>
          <w:sz w:val="17"/>
        </w:rPr>
        <w:t> </w:t>
      </w:r>
      <w:r>
        <w:rPr>
          <w:color w:val="3A3838"/>
          <w:w w:val="105"/>
          <w:sz w:val="17"/>
        </w:rPr>
        <w:t>of</w:t>
      </w:r>
      <w:r>
        <w:rPr>
          <w:color w:val="3A3838"/>
          <w:spacing w:val="1"/>
          <w:w w:val="105"/>
          <w:sz w:val="17"/>
        </w:rPr>
        <w:t> </w:t>
      </w:r>
      <w:r>
        <w:rPr>
          <w:color w:val="3A3838"/>
          <w:w w:val="105"/>
          <w:sz w:val="17"/>
        </w:rPr>
        <w:t>Appeals </w:t>
      </w:r>
      <w:r>
        <w:rPr>
          <w:rFonts w:ascii="Arial"/>
          <w:color w:val="3A3838"/>
          <w:w w:val="105"/>
          <w:sz w:val="16"/>
        </w:rPr>
        <w:t>for</w:t>
      </w:r>
      <w:r>
        <w:rPr>
          <w:rFonts w:ascii="Arial"/>
          <w:color w:val="3A3838"/>
          <w:spacing w:val="1"/>
          <w:w w:val="105"/>
          <w:sz w:val="16"/>
        </w:rPr>
        <w:t> </w:t>
      </w:r>
      <w:r>
        <w:rPr>
          <w:color w:val="3A3838"/>
          <w:w w:val="105"/>
          <w:sz w:val="16"/>
        </w:rPr>
        <w:t>the  Third </w:t>
      </w:r>
      <w:r>
        <w:rPr>
          <w:color w:val="3A3838"/>
          <w:w w:val="105"/>
          <w:sz w:val="17"/>
        </w:rPr>
        <w:t>Cltcult  1.1  (effective</w:t>
      </w:r>
      <w:r>
        <w:rPr>
          <w:color w:val="3A3838"/>
          <w:spacing w:val="-42"/>
          <w:w w:val="105"/>
          <w:sz w:val="17"/>
        </w:rPr>
        <w:t> </w:t>
      </w:r>
      <w:r>
        <w:rPr>
          <w:color w:val="3A3838"/>
          <w:w w:val="105"/>
          <w:sz w:val="17"/>
        </w:rPr>
        <w:t>July</w:t>
      </w:r>
      <w:r>
        <w:rPr>
          <w:color w:val="3A3838"/>
          <w:spacing w:val="22"/>
          <w:w w:val="105"/>
          <w:sz w:val="17"/>
        </w:rPr>
        <w:t> </w:t>
      </w:r>
      <w:r>
        <w:rPr>
          <w:color w:val="3A3838"/>
          <w:w w:val="105"/>
          <w:sz w:val="17"/>
        </w:rPr>
        <w:t>30,</w:t>
      </w:r>
      <w:r>
        <w:rPr>
          <w:color w:val="3A3838"/>
          <w:spacing w:val="37"/>
          <w:w w:val="105"/>
          <w:sz w:val="17"/>
        </w:rPr>
        <w:t> </w:t>
      </w:r>
      <w:r>
        <w:rPr>
          <w:color w:val="3A3838"/>
          <w:w w:val="105"/>
          <w:sz w:val="17"/>
        </w:rPr>
        <w:t>2010),</w:t>
      </w:r>
      <w:r>
        <w:rPr>
          <w:color w:val="3A3838"/>
          <w:spacing w:val="42"/>
          <w:w w:val="105"/>
          <w:sz w:val="17"/>
        </w:rPr>
        <w:t> </w:t>
      </w:r>
      <w:r>
        <w:rPr>
          <w:color w:val="3A3838"/>
          <w:w w:val="105"/>
          <w:sz w:val="17"/>
        </w:rPr>
        <w:t>available</w:t>
      </w:r>
      <w:r>
        <w:rPr>
          <w:color w:val="3A3838"/>
          <w:spacing w:val="25"/>
          <w:w w:val="105"/>
          <w:sz w:val="17"/>
        </w:rPr>
        <w:t> </w:t>
      </w:r>
      <w:r>
        <w:rPr>
          <w:color w:val="3A3838"/>
          <w:w w:val="105"/>
          <w:sz w:val="17"/>
        </w:rPr>
        <w:t>at</w:t>
      </w:r>
      <w:r>
        <w:rPr>
          <w:color w:val="3A3838"/>
          <w:spacing w:val="25"/>
          <w:w w:val="105"/>
          <w:sz w:val="17"/>
        </w:rPr>
        <w:t> </w:t>
      </w:r>
      <w:hyperlink r:id="rId337">
        <w:r>
          <w:rPr>
            <w:color w:val="3A3838"/>
            <w:w w:val="105"/>
            <w:sz w:val="17"/>
          </w:rPr>
          <w:t>http</w:t>
        </w:r>
        <w:r>
          <w:rPr>
            <w:color w:val="595759"/>
            <w:w w:val="105"/>
            <w:sz w:val="17"/>
          </w:rPr>
          <w:t>:</w:t>
        </w:r>
        <w:r>
          <w:rPr>
            <w:color w:val="3A3838"/>
            <w:w w:val="105"/>
            <w:sz w:val="17"/>
          </w:rPr>
          <w:t>//www2.ca3</w:t>
        </w:r>
        <w:r>
          <w:rPr>
            <w:color w:val="595759"/>
            <w:w w:val="105"/>
            <w:sz w:val="17"/>
          </w:rPr>
          <w:t>.</w:t>
        </w:r>
        <w:r>
          <w:rPr>
            <w:color w:val="3A3838"/>
            <w:w w:val="105"/>
            <w:sz w:val="17"/>
          </w:rPr>
          <w:t>uscourts</w:t>
        </w:r>
        <w:r>
          <w:rPr>
            <w:color w:val="6B6B6E"/>
            <w:w w:val="105"/>
            <w:sz w:val="17"/>
          </w:rPr>
          <w:t>.</w:t>
        </w:r>
        <w:r>
          <w:rPr>
            <w:color w:val="3A3838"/>
            <w:w w:val="105"/>
            <w:sz w:val="17"/>
          </w:rPr>
          <w:t>gov/</w:t>
        </w:r>
        <w:r>
          <w:rPr>
            <w:color w:val="595759"/>
            <w:w w:val="105"/>
            <w:sz w:val="17"/>
          </w:rPr>
          <w:t>l</w:t>
        </w:r>
        <w:r>
          <w:rPr>
            <w:color w:val="3A3838"/>
            <w:w w:val="105"/>
            <w:sz w:val="17"/>
          </w:rPr>
          <w:t>egacyflles/lOP_2010</w:t>
        </w:r>
        <w:r>
          <w:rPr>
            <w:color w:val="6B6B6E"/>
            <w:w w:val="105"/>
            <w:sz w:val="17"/>
          </w:rPr>
          <w:t>_</w:t>
        </w:r>
        <w:r>
          <w:rPr>
            <w:color w:val="3A3838"/>
            <w:w w:val="105"/>
            <w:sz w:val="17"/>
          </w:rPr>
          <w:t>flnal2</w:t>
        </w:r>
        <w:r>
          <w:rPr>
            <w:color w:val="595759"/>
            <w:w w:val="105"/>
            <w:sz w:val="17"/>
          </w:rPr>
          <w:t>.</w:t>
        </w:r>
        <w:r>
          <w:rPr>
            <w:color w:val="3A3838"/>
            <w:w w:val="105"/>
            <w:sz w:val="17"/>
          </w:rPr>
          <w:t>pdf(la</w:t>
        </w:r>
        <w:r>
          <w:rPr>
            <w:color w:val="595759"/>
            <w:w w:val="105"/>
            <w:sz w:val="17"/>
          </w:rPr>
          <w:t>s</w:t>
        </w:r>
        <w:r>
          <w:rPr>
            <w:color w:val="3A3838"/>
            <w:w w:val="105"/>
            <w:sz w:val="17"/>
          </w:rPr>
          <w:t>t</w:t>
        </w:r>
      </w:hyperlink>
    </w:p>
    <w:p>
      <w:pPr>
        <w:spacing w:line="194" w:lineRule="exact" w:before="10"/>
        <w:ind w:left="296" w:right="0" w:firstLine="0"/>
        <w:jc w:val="left"/>
        <w:rPr>
          <w:sz w:val="17"/>
        </w:rPr>
      </w:pPr>
      <w:r>
        <w:rPr>
          <w:color w:val="3A3838"/>
          <w:w w:val="105"/>
          <w:sz w:val="17"/>
        </w:rPr>
        <w:t>accessed Mar</w:t>
      </w:r>
      <w:r>
        <w:rPr>
          <w:color w:val="595759"/>
          <w:w w:val="105"/>
          <w:sz w:val="17"/>
        </w:rPr>
        <w:t>.</w:t>
      </w:r>
      <w:r>
        <w:rPr>
          <w:color w:val="595759"/>
          <w:spacing w:val="1"/>
          <w:w w:val="105"/>
          <w:sz w:val="17"/>
        </w:rPr>
        <w:t> </w:t>
      </w:r>
      <w:r>
        <w:rPr>
          <w:color w:val="3A3838"/>
          <w:w w:val="105"/>
          <w:sz w:val="17"/>
        </w:rPr>
        <w:t>21,</w:t>
      </w:r>
      <w:r>
        <w:rPr>
          <w:color w:val="3A3838"/>
          <w:spacing w:val="16"/>
          <w:w w:val="105"/>
          <w:sz w:val="17"/>
        </w:rPr>
        <w:t> </w:t>
      </w:r>
      <w:r>
        <w:rPr>
          <w:color w:val="3A3838"/>
          <w:w w:val="105"/>
          <w:sz w:val="17"/>
        </w:rPr>
        <w:t>2014).</w:t>
      </w:r>
    </w:p>
    <w:p>
      <w:pPr>
        <w:spacing w:line="194" w:lineRule="exact" w:before="0"/>
        <w:ind w:left="594" w:right="0" w:firstLine="0"/>
        <w:jc w:val="left"/>
        <w:rPr>
          <w:sz w:val="17"/>
        </w:rPr>
      </w:pPr>
      <w:r>
        <w:rPr>
          <w:rFonts w:ascii="Arial"/>
          <w:i/>
          <w:color w:val="3A3838"/>
          <w:w w:val="110"/>
          <w:position w:val="5"/>
          <w:sz w:val="11"/>
        </w:rPr>
        <w:t>16</w:t>
      </w:r>
      <w:r>
        <w:rPr>
          <w:i/>
          <w:color w:val="3A3838"/>
          <w:w w:val="110"/>
          <w:sz w:val="16"/>
        </w:rPr>
        <w:t>/d.</w:t>
      </w:r>
      <w:r>
        <w:rPr>
          <w:i/>
          <w:color w:val="3A3838"/>
          <w:spacing w:val="2"/>
          <w:w w:val="110"/>
          <w:sz w:val="16"/>
        </w:rPr>
        <w:t> </w:t>
      </w:r>
      <w:r>
        <w:rPr>
          <w:color w:val="3A3838"/>
          <w:w w:val="110"/>
          <w:sz w:val="17"/>
        </w:rPr>
        <w:t>at</w:t>
      </w:r>
      <w:r>
        <w:rPr>
          <w:color w:val="3A3838"/>
          <w:spacing w:val="25"/>
          <w:w w:val="110"/>
          <w:sz w:val="17"/>
        </w:rPr>
        <w:t> </w:t>
      </w:r>
      <w:r>
        <w:rPr>
          <w:color w:val="3A3838"/>
          <w:w w:val="110"/>
          <w:sz w:val="17"/>
        </w:rPr>
        <w:t>1</w:t>
      </w:r>
      <w:r>
        <w:rPr>
          <w:color w:val="595759"/>
          <w:w w:val="110"/>
          <w:sz w:val="17"/>
        </w:rPr>
        <w:t>.</w:t>
      </w:r>
      <w:r>
        <w:rPr>
          <w:color w:val="3A3838"/>
          <w:w w:val="110"/>
          <w:sz w:val="17"/>
        </w:rPr>
        <w:t>2.</w:t>
      </w:r>
    </w:p>
    <w:p>
      <w:pPr>
        <w:spacing w:after="0" w:line="194" w:lineRule="exact"/>
        <w:jc w:val="left"/>
        <w:rPr>
          <w:sz w:val="17"/>
        </w:rPr>
        <w:sectPr>
          <w:pgSz w:w="9060" w:h="14010"/>
          <w:pgMar w:header="665" w:footer="0" w:top="1280" w:bottom="0" w:left="180" w:right="1240"/>
        </w:sectPr>
      </w:pPr>
    </w:p>
    <w:p>
      <w:pPr>
        <w:pStyle w:val="BodyText"/>
        <w:spacing w:line="232" w:lineRule="auto" w:before="87"/>
        <w:ind w:left="630" w:right="114" w:firstLine="396"/>
        <w:jc w:val="both"/>
      </w:pPr>
      <w:r>
        <w:rPr>
          <w:color w:val="383636"/>
          <w:w w:val="110"/>
        </w:rPr>
        <w:t>If you are the first speaker, you may wish to grab the court's atten­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tion </w:t>
      </w:r>
      <w:r>
        <w:rPr>
          <w:color w:val="383636"/>
          <w:w w:val="110"/>
          <w:sz w:val="20"/>
        </w:rPr>
        <w:t>in</w:t>
      </w:r>
      <w:r>
        <w:rPr>
          <w:color w:val="383636"/>
          <w:spacing w:val="1"/>
          <w:w w:val="110"/>
          <w:sz w:val="20"/>
        </w:rPr>
        <w:t> </w:t>
      </w:r>
      <w:r>
        <w:rPr>
          <w:color w:val="383636"/>
          <w:w w:val="110"/>
        </w:rPr>
        <w:t>the manner </w:t>
      </w:r>
      <w:r>
        <w:rPr>
          <w:rFonts w:ascii="Arial" w:hAnsi="Arial"/>
          <w:color w:val="383636"/>
          <w:w w:val="110"/>
          <w:sz w:val="20"/>
        </w:rPr>
        <w:t>in</w:t>
      </w:r>
      <w:r>
        <w:rPr>
          <w:rFonts w:ascii="Arial" w:hAnsi="Arial"/>
          <w:color w:val="383636"/>
          <w:spacing w:val="1"/>
          <w:w w:val="110"/>
          <w:sz w:val="20"/>
        </w:rPr>
        <w:t> </w:t>
      </w:r>
      <w:r>
        <w:rPr>
          <w:color w:val="383636"/>
          <w:w w:val="110"/>
        </w:rPr>
        <w:t>which you describe the case or in your roadmap.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Although you should not be overdramatic, you can be argumentative.</w:t>
      </w:r>
      <w:r>
        <w:rPr>
          <w:rFonts w:ascii="Arial" w:hAnsi="Arial"/>
          <w:color w:val="383636"/>
          <w:w w:val="110"/>
          <w:sz w:val="21"/>
        </w:rPr>
        <w:t>If</w:t>
      </w:r>
      <w:r>
        <w:rPr>
          <w:rFonts w:ascii="Arial" w:hAnsi="Arial"/>
          <w:color w:val="383636"/>
          <w:spacing w:val="1"/>
          <w:w w:val="110"/>
          <w:sz w:val="21"/>
        </w:rPr>
        <w:t> </w:t>
      </w:r>
      <w:r>
        <w:rPr>
          <w:color w:val="383636"/>
          <w:w w:val="105"/>
        </w:rPr>
        <w:t>you  are the  respondent or  the  party opposing the  motion,  you may wish</w:t>
      </w:r>
      <w:r>
        <w:rPr>
          <w:color w:val="383636"/>
          <w:spacing w:val="1"/>
          <w:w w:val="105"/>
        </w:rPr>
        <w:t> </w:t>
      </w:r>
      <w:r>
        <w:rPr>
          <w:color w:val="383636"/>
          <w:spacing w:val="-1"/>
          <w:w w:val="110"/>
        </w:rPr>
        <w:t>to</w:t>
      </w:r>
      <w:r>
        <w:rPr>
          <w:color w:val="383636"/>
          <w:spacing w:val="29"/>
          <w:w w:val="110"/>
        </w:rPr>
        <w:t> </w:t>
      </w:r>
      <w:r>
        <w:rPr>
          <w:color w:val="383636"/>
          <w:spacing w:val="-1"/>
          <w:w w:val="110"/>
        </w:rPr>
        <w:t>grab</w:t>
      </w:r>
      <w:r>
        <w:rPr>
          <w:color w:val="383636"/>
          <w:spacing w:val="-19"/>
          <w:w w:val="110"/>
        </w:rPr>
        <w:t> </w:t>
      </w:r>
      <w:r>
        <w:rPr>
          <w:color w:val="383636"/>
          <w:spacing w:val="-1"/>
          <w:w w:val="110"/>
        </w:rPr>
        <w:t>the</w:t>
      </w:r>
      <w:r>
        <w:rPr>
          <w:color w:val="383636"/>
          <w:spacing w:val="-4"/>
          <w:w w:val="110"/>
        </w:rPr>
        <w:t> </w:t>
      </w:r>
      <w:r>
        <w:rPr>
          <w:color w:val="4B494B"/>
          <w:spacing w:val="-1"/>
          <w:w w:val="110"/>
        </w:rPr>
        <w:t>court's</w:t>
      </w:r>
      <w:r>
        <w:rPr>
          <w:color w:val="4B494B"/>
          <w:spacing w:val="-30"/>
          <w:w w:val="110"/>
        </w:rPr>
        <w:t> </w:t>
      </w:r>
      <w:r>
        <w:rPr>
          <w:color w:val="383636"/>
          <w:w w:val="110"/>
        </w:rPr>
        <w:t>attention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by</w:t>
      </w:r>
      <w:r>
        <w:rPr>
          <w:color w:val="383636"/>
          <w:spacing w:val="-29"/>
          <w:w w:val="110"/>
        </w:rPr>
        <w:t> </w:t>
      </w:r>
      <w:r>
        <w:rPr>
          <w:color w:val="383636"/>
          <w:w w:val="110"/>
        </w:rPr>
        <w:t>referring</w:t>
      </w:r>
      <w:r>
        <w:rPr>
          <w:color w:val="383636"/>
          <w:spacing w:val="-13"/>
          <w:w w:val="110"/>
        </w:rPr>
        <w:t> </w:t>
      </w:r>
      <w:r>
        <w:rPr>
          <w:color w:val="383636"/>
          <w:w w:val="110"/>
        </w:rPr>
        <w:t>specifically</w:t>
      </w:r>
      <w:r>
        <w:rPr>
          <w:color w:val="383636"/>
          <w:spacing w:val="5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2"/>
          <w:w w:val="110"/>
        </w:rPr>
        <w:t> </w:t>
      </w:r>
      <w:r>
        <w:rPr>
          <w:color w:val="383636"/>
          <w:w w:val="110"/>
        </w:rPr>
        <w:t>a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question</w:t>
      </w:r>
      <w:r>
        <w:rPr>
          <w:color w:val="383636"/>
          <w:spacing w:val="-17"/>
          <w:w w:val="110"/>
        </w:rPr>
        <w:t> </w:t>
      </w:r>
      <w:r>
        <w:rPr>
          <w:color w:val="383636"/>
          <w:w w:val="110"/>
        </w:rPr>
        <w:t>that</w:t>
      </w:r>
      <w:r>
        <w:rPr>
          <w:color w:val="383636"/>
          <w:spacing w:val="-36"/>
          <w:w w:val="110"/>
        </w:rPr>
        <w:t> </w:t>
      </w:r>
      <w:r>
        <w:rPr>
          <w:color w:val="383636"/>
          <w:w w:val="110"/>
        </w:rPr>
        <w:t>one</w:t>
      </w:r>
      <w:r>
        <w:rPr>
          <w:color w:val="383636"/>
          <w:spacing w:val="1"/>
          <w:w w:val="110"/>
        </w:rPr>
        <w:t> </w:t>
      </w:r>
      <w:r>
        <w:rPr>
          <w:color w:val="383636"/>
          <w:spacing w:val="-1"/>
          <w:w w:val="110"/>
        </w:rPr>
        <w:t>of</w:t>
      </w:r>
      <w:r>
        <w:rPr>
          <w:color w:val="383636"/>
          <w:w w:val="110"/>
        </w:rPr>
        <w:t> </w:t>
      </w:r>
      <w:r>
        <w:rPr>
          <w:color w:val="383636"/>
          <w:spacing w:val="-1"/>
          <w:w w:val="110"/>
        </w:rPr>
        <w:t>the</w:t>
      </w:r>
      <w:r>
        <w:rPr>
          <w:color w:val="383636"/>
          <w:spacing w:val="46"/>
          <w:w w:val="110"/>
        </w:rPr>
        <w:t> </w:t>
      </w:r>
      <w:r>
        <w:rPr>
          <w:color w:val="383636"/>
          <w:spacing w:val="-1"/>
          <w:w w:val="110"/>
        </w:rPr>
        <w:t>judges</w:t>
      </w:r>
      <w:r>
        <w:rPr>
          <w:color w:val="383636"/>
          <w:spacing w:val="-25"/>
          <w:w w:val="110"/>
        </w:rPr>
        <w:t> </w:t>
      </w:r>
      <w:r>
        <w:rPr>
          <w:color w:val="383636"/>
          <w:spacing w:val="-1"/>
          <w:w w:val="110"/>
        </w:rPr>
        <w:t>asked</w:t>
      </w:r>
      <w:r>
        <w:rPr>
          <w:color w:val="383636"/>
          <w:spacing w:val="-23"/>
          <w:w w:val="110"/>
        </w:rPr>
        <w:t> </w:t>
      </w:r>
      <w:r>
        <w:rPr>
          <w:color w:val="383636"/>
          <w:spacing w:val="-1"/>
          <w:w w:val="110"/>
        </w:rPr>
        <w:t>of</w:t>
      </w:r>
      <w:r>
        <w:rPr>
          <w:color w:val="383636"/>
          <w:spacing w:val="-16"/>
          <w:w w:val="110"/>
        </w:rPr>
        <w:t> </w:t>
      </w:r>
      <w:r>
        <w:rPr>
          <w:color w:val="383636"/>
          <w:spacing w:val="-1"/>
          <w:w w:val="110"/>
        </w:rPr>
        <w:t>your</w:t>
      </w:r>
      <w:r>
        <w:rPr>
          <w:color w:val="383636"/>
          <w:spacing w:val="-23"/>
          <w:w w:val="110"/>
        </w:rPr>
        <w:t> </w:t>
      </w:r>
      <w:r>
        <w:rPr>
          <w:color w:val="383636"/>
          <w:spacing w:val="-1"/>
          <w:w w:val="110"/>
        </w:rPr>
        <w:t>opponent</w:t>
      </w:r>
      <w:r>
        <w:rPr>
          <w:color w:val="383636"/>
          <w:spacing w:val="-9"/>
          <w:w w:val="110"/>
        </w:rPr>
        <w:t> </w:t>
      </w:r>
      <w:r>
        <w:rPr>
          <w:color w:val="383636"/>
          <w:w w:val="110"/>
        </w:rPr>
        <w:t>and</w:t>
      </w:r>
      <w:r>
        <w:rPr>
          <w:color w:val="383636"/>
          <w:spacing w:val="-17"/>
          <w:w w:val="110"/>
        </w:rPr>
        <w:t> </w:t>
      </w:r>
      <w:r>
        <w:rPr>
          <w:color w:val="383636"/>
          <w:w w:val="110"/>
        </w:rPr>
        <w:t>explaining</w:t>
      </w:r>
      <w:r>
        <w:rPr>
          <w:color w:val="383636"/>
          <w:spacing w:val="-15"/>
          <w:w w:val="110"/>
        </w:rPr>
        <w:t> </w:t>
      </w:r>
      <w:r>
        <w:rPr>
          <w:color w:val="383636"/>
          <w:w w:val="110"/>
        </w:rPr>
        <w:t>its</w:t>
      </w:r>
      <w:r>
        <w:rPr>
          <w:color w:val="383636"/>
          <w:spacing w:val="-24"/>
          <w:w w:val="110"/>
        </w:rPr>
        <w:t> </w:t>
      </w:r>
      <w:r>
        <w:rPr>
          <w:color w:val="383636"/>
          <w:w w:val="110"/>
        </w:rPr>
        <w:t>significance</w:t>
      </w:r>
      <w:r>
        <w:rPr>
          <w:color w:val="383636"/>
          <w:spacing w:val="-23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-23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case.</w:t>
      </w:r>
      <w:r>
        <w:rPr>
          <w:color w:val="383636"/>
          <w:spacing w:val="-32"/>
          <w:w w:val="110"/>
        </w:rPr>
        <w:t> </w:t>
      </w:r>
      <w:r>
        <w:rPr>
          <w:color w:val="383636"/>
          <w:w w:val="110"/>
        </w:rPr>
        <w:t>There</w:t>
      </w:r>
      <w:r>
        <w:rPr>
          <w:color w:val="383636"/>
          <w:spacing w:val="-17"/>
          <w:w w:val="110"/>
        </w:rPr>
        <w:t> </w:t>
      </w:r>
      <w:r>
        <w:rPr>
          <w:color w:val="383636"/>
          <w:w w:val="110"/>
        </w:rPr>
        <w:t>is</w:t>
      </w:r>
      <w:r>
        <w:rPr>
          <w:color w:val="383636"/>
          <w:spacing w:val="-14"/>
          <w:w w:val="110"/>
        </w:rPr>
        <w:t> </w:t>
      </w:r>
      <w:r>
        <w:rPr>
          <w:color w:val="383636"/>
          <w:w w:val="110"/>
        </w:rPr>
        <w:t>no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formula</w:t>
      </w:r>
      <w:r>
        <w:rPr>
          <w:color w:val="383636"/>
          <w:spacing w:val="-8"/>
          <w:w w:val="110"/>
        </w:rPr>
        <w:t> </w:t>
      </w:r>
      <w:r>
        <w:rPr>
          <w:color w:val="383636"/>
          <w:w w:val="110"/>
        </w:rPr>
        <w:t>for</w:t>
      </w:r>
      <w:r>
        <w:rPr>
          <w:color w:val="383636"/>
          <w:spacing w:val="-13"/>
          <w:w w:val="110"/>
        </w:rPr>
        <w:t> </w:t>
      </w:r>
      <w:r>
        <w:rPr>
          <w:color w:val="383636"/>
          <w:w w:val="110"/>
        </w:rPr>
        <w:t>what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you</w:t>
      </w:r>
      <w:r>
        <w:rPr>
          <w:color w:val="383636"/>
          <w:spacing w:val="-19"/>
          <w:w w:val="110"/>
        </w:rPr>
        <w:t> </w:t>
      </w:r>
      <w:r>
        <w:rPr>
          <w:color w:val="383636"/>
          <w:w w:val="110"/>
        </w:rPr>
        <w:t>should</w:t>
      </w:r>
      <w:r>
        <w:rPr>
          <w:color w:val="383636"/>
          <w:spacing w:val="-12"/>
          <w:w w:val="110"/>
        </w:rPr>
        <w:t> </w:t>
      </w:r>
      <w:r>
        <w:rPr>
          <w:color w:val="383636"/>
          <w:w w:val="110"/>
        </w:rPr>
        <w:t>say</w:t>
      </w:r>
      <w:r>
        <w:rPr>
          <w:color w:val="383636"/>
          <w:spacing w:val="-28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grab</w:t>
      </w:r>
      <w:r>
        <w:rPr>
          <w:color w:val="383636"/>
          <w:spacing w:val="-29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-5"/>
          <w:w w:val="110"/>
        </w:rPr>
        <w:t> </w:t>
      </w:r>
      <w:r>
        <w:rPr>
          <w:color w:val="383636"/>
          <w:w w:val="110"/>
        </w:rPr>
        <w:t>court's</w:t>
      </w:r>
      <w:r>
        <w:rPr>
          <w:color w:val="383636"/>
          <w:spacing w:val="-27"/>
          <w:w w:val="110"/>
        </w:rPr>
        <w:t> </w:t>
      </w:r>
      <w:r>
        <w:rPr>
          <w:color w:val="383636"/>
          <w:w w:val="110"/>
        </w:rPr>
        <w:t>atten­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tion. You must review your case and decide what aspect of the facts,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law, or your argument epitomizes the injustice you seek to have corrected.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This is the time to exploit your argument's theme. Identify the common­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sense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reason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why</w:t>
      </w:r>
      <w:r>
        <w:rPr>
          <w:color w:val="383636"/>
          <w:spacing w:val="22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5"/>
          <w:w w:val="110"/>
        </w:rPr>
        <w:t> </w:t>
      </w:r>
      <w:r>
        <w:rPr>
          <w:color w:val="383636"/>
          <w:w w:val="110"/>
        </w:rPr>
        <w:t>court</w:t>
      </w:r>
      <w:r>
        <w:rPr>
          <w:color w:val="383636"/>
          <w:spacing w:val="-9"/>
          <w:w w:val="110"/>
        </w:rPr>
        <w:t> </w:t>
      </w:r>
      <w:r>
        <w:rPr>
          <w:color w:val="383636"/>
          <w:w w:val="110"/>
        </w:rPr>
        <w:t>should</w:t>
      </w:r>
      <w:r>
        <w:rPr>
          <w:color w:val="383636"/>
          <w:spacing w:val="-3"/>
          <w:w w:val="110"/>
        </w:rPr>
        <w:t> </w:t>
      </w:r>
      <w:r>
        <w:rPr>
          <w:color w:val="383636"/>
          <w:w w:val="110"/>
        </w:rPr>
        <w:t>decide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4"/>
          <w:w w:val="110"/>
        </w:rPr>
        <w:t> </w:t>
      </w:r>
      <w:r>
        <w:rPr>
          <w:color w:val="383636"/>
          <w:w w:val="110"/>
        </w:rPr>
        <w:t>case</w:t>
      </w:r>
      <w:r>
        <w:rPr>
          <w:color w:val="383636"/>
          <w:spacing w:val="-13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17"/>
          <w:w w:val="110"/>
        </w:rPr>
        <w:t> </w:t>
      </w:r>
      <w:r>
        <w:rPr>
          <w:color w:val="383636"/>
          <w:w w:val="110"/>
        </w:rPr>
        <w:t>your</w:t>
      </w:r>
      <w:r>
        <w:rPr>
          <w:color w:val="383636"/>
          <w:spacing w:val="-13"/>
          <w:w w:val="110"/>
        </w:rPr>
        <w:t> </w:t>
      </w:r>
      <w:r>
        <w:rPr>
          <w:color w:val="383636"/>
          <w:w w:val="110"/>
        </w:rPr>
        <w:t>favor.</w:t>
      </w:r>
    </w:p>
    <w:p>
      <w:pPr>
        <w:pStyle w:val="BodyText"/>
        <w:spacing w:line="232" w:lineRule="auto" w:before="2"/>
        <w:ind w:left="578" w:right="104" w:firstLine="430"/>
        <w:jc w:val="both"/>
      </w:pPr>
      <w:r>
        <w:rPr>
          <w:color w:val="383636"/>
          <w:w w:val="110"/>
          <w:sz w:val="22"/>
        </w:rPr>
        <w:t>If </w:t>
      </w:r>
      <w:r>
        <w:rPr>
          <w:color w:val="4B494B"/>
          <w:w w:val="110"/>
        </w:rPr>
        <w:t>you  </w:t>
      </w:r>
      <w:r>
        <w:rPr>
          <w:color w:val="383636"/>
          <w:w w:val="110"/>
        </w:rPr>
        <w:t>must  provide information  about  your name, your client, and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 request for rebuttal, you may believe that the opportunity for an atten­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tion-getting opening is lost, but that is not necessarily true. Once you fin­</w:t>
      </w:r>
      <w:r>
        <w:rPr>
          <w:color w:val="383636"/>
          <w:spacing w:val="-61"/>
          <w:w w:val="110"/>
        </w:rPr>
        <w:t> </w:t>
      </w:r>
      <w:r>
        <w:rPr>
          <w:color w:val="383636"/>
          <w:spacing w:val="-1"/>
          <w:w w:val="110"/>
        </w:rPr>
        <w:t>ish</w:t>
      </w:r>
      <w:r>
        <w:rPr>
          <w:color w:val="383636"/>
          <w:spacing w:val="29"/>
          <w:w w:val="110"/>
        </w:rPr>
        <w:t> </w:t>
      </w:r>
      <w:r>
        <w:rPr>
          <w:color w:val="383636"/>
          <w:spacing w:val="-1"/>
          <w:w w:val="110"/>
        </w:rPr>
        <w:t>this</w:t>
      </w:r>
      <w:r>
        <w:rPr>
          <w:color w:val="383636"/>
          <w:spacing w:val="-23"/>
          <w:w w:val="110"/>
        </w:rPr>
        <w:t> </w:t>
      </w:r>
      <w:r>
        <w:rPr>
          <w:color w:val="383636"/>
          <w:spacing w:val="-1"/>
          <w:w w:val="110"/>
        </w:rPr>
        <w:t>logistical</w:t>
      </w:r>
      <w:r>
        <w:rPr>
          <w:color w:val="383636"/>
          <w:spacing w:val="-19"/>
          <w:w w:val="110"/>
        </w:rPr>
        <w:t> </w:t>
      </w:r>
      <w:r>
        <w:rPr>
          <w:color w:val="383636"/>
          <w:spacing w:val="-1"/>
          <w:w w:val="110"/>
        </w:rPr>
        <w:t>step,</w:t>
      </w:r>
      <w:r>
        <w:rPr>
          <w:color w:val="383636"/>
          <w:spacing w:val="-25"/>
          <w:w w:val="110"/>
        </w:rPr>
        <w:t> </w:t>
      </w:r>
      <w:r>
        <w:rPr>
          <w:color w:val="383636"/>
          <w:spacing w:val="-1"/>
          <w:w w:val="110"/>
        </w:rPr>
        <w:t>simply</w:t>
      </w:r>
      <w:r>
        <w:rPr>
          <w:color w:val="383636"/>
          <w:spacing w:val="-13"/>
          <w:w w:val="110"/>
        </w:rPr>
        <w:t> </w:t>
      </w:r>
      <w:r>
        <w:rPr>
          <w:color w:val="383636"/>
          <w:spacing w:val="-1"/>
          <w:w w:val="110"/>
        </w:rPr>
        <w:t>pause</w:t>
      </w:r>
      <w:r>
        <w:rPr>
          <w:color w:val="383636"/>
          <w:spacing w:val="-31"/>
          <w:w w:val="110"/>
        </w:rPr>
        <w:t> </w:t>
      </w:r>
      <w:r>
        <w:rPr>
          <w:color w:val="383636"/>
          <w:spacing w:val="-1"/>
          <w:w w:val="110"/>
        </w:rPr>
        <w:t>for</w:t>
      </w:r>
      <w:r>
        <w:rPr>
          <w:color w:val="383636"/>
          <w:spacing w:val="-15"/>
          <w:w w:val="110"/>
        </w:rPr>
        <w:t> </w:t>
      </w:r>
      <w:r>
        <w:rPr>
          <w:color w:val="383636"/>
          <w:w w:val="110"/>
        </w:rPr>
        <w:t>a</w:t>
      </w:r>
      <w:r>
        <w:rPr>
          <w:color w:val="383636"/>
          <w:spacing w:val="-5"/>
          <w:w w:val="110"/>
        </w:rPr>
        <w:t> </w:t>
      </w:r>
      <w:r>
        <w:rPr>
          <w:color w:val="383636"/>
          <w:w w:val="110"/>
        </w:rPr>
        <w:t>brief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moment.Just</w:t>
      </w:r>
      <w:r>
        <w:rPr>
          <w:color w:val="383636"/>
          <w:spacing w:val="-18"/>
          <w:w w:val="110"/>
        </w:rPr>
        <w:t> </w:t>
      </w:r>
      <w:r>
        <w:rPr>
          <w:color w:val="383636"/>
          <w:w w:val="110"/>
        </w:rPr>
        <w:t>as</w:t>
      </w:r>
      <w:r>
        <w:rPr>
          <w:color w:val="383636"/>
          <w:spacing w:val="-37"/>
          <w:w w:val="110"/>
        </w:rPr>
        <w:t> </w:t>
      </w:r>
      <w:r>
        <w:rPr>
          <w:color w:val="383636"/>
          <w:w w:val="110"/>
        </w:rPr>
        <w:t>white</w:t>
      </w:r>
      <w:r>
        <w:rPr>
          <w:color w:val="383636"/>
          <w:spacing w:val="-35"/>
          <w:w w:val="110"/>
        </w:rPr>
        <w:t> </w:t>
      </w:r>
      <w:r>
        <w:rPr>
          <w:color w:val="383636"/>
          <w:w w:val="110"/>
        </w:rPr>
        <w:t>space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provides a position of emphasis in a written presentation, a pause provides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one  </w:t>
      </w:r>
      <w:r>
        <w:rPr>
          <w:rFonts w:ascii="Arial" w:hAnsi="Arial"/>
          <w:color w:val="383636"/>
          <w:w w:val="105"/>
          <w:sz w:val="20"/>
        </w:rPr>
        <w:t>in  </w:t>
      </w:r>
      <w:r>
        <w:rPr>
          <w:color w:val="383636"/>
          <w:w w:val="105"/>
        </w:rPr>
        <w:t>an  oral presentation. You should use the pause sparingly, but it can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be an effective way to separate mundane identification information from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 substance of your argument</w:t>
      </w:r>
      <w:r>
        <w:rPr>
          <w:color w:val="5B5B5D"/>
          <w:w w:val="110"/>
        </w:rPr>
        <w:t>. </w:t>
      </w:r>
      <w:r>
        <w:rPr>
          <w:color w:val="383636"/>
          <w:w w:val="110"/>
          <w:sz w:val="22"/>
        </w:rPr>
        <w:t>If </w:t>
      </w:r>
      <w:r>
        <w:rPr>
          <w:color w:val="383636"/>
          <w:w w:val="110"/>
        </w:rPr>
        <w:t>you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believe that the issue is complex,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and that the court needs some legal, factual, or procedural context before</w:t>
      </w:r>
      <w:r>
        <w:rPr>
          <w:color w:val="383636"/>
          <w:spacing w:val="1"/>
          <w:w w:val="110"/>
        </w:rPr>
        <w:t> </w:t>
      </w:r>
      <w:r>
        <w:rPr>
          <w:color w:val="383636"/>
          <w:spacing w:val="-1"/>
          <w:w w:val="110"/>
        </w:rPr>
        <w:t>it can</w:t>
      </w:r>
      <w:r>
        <w:rPr>
          <w:color w:val="383636"/>
          <w:w w:val="110"/>
        </w:rPr>
        <w:t> </w:t>
      </w:r>
      <w:r>
        <w:rPr>
          <w:color w:val="383636"/>
          <w:spacing w:val="-1"/>
          <w:w w:val="110"/>
        </w:rPr>
        <w:t>grasp the </w:t>
      </w:r>
      <w:r>
        <w:rPr>
          <w:color w:val="383636"/>
          <w:w w:val="110"/>
        </w:rPr>
        <w:t>crucial point of your argument, move the dramatic state­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ment of  your thesis-and  the pause-accordingly. </w:t>
      </w:r>
      <w:r>
        <w:rPr>
          <w:color w:val="4B494B"/>
          <w:w w:val="110"/>
        </w:rPr>
        <w:t>That is, </w:t>
      </w:r>
      <w:r>
        <w:rPr>
          <w:color w:val="383636"/>
          <w:w w:val="110"/>
        </w:rPr>
        <w:t>identify your­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self </w:t>
      </w:r>
      <w:r>
        <w:rPr>
          <w:rFonts w:ascii="Arial" w:hAnsi="Arial"/>
          <w:color w:val="383636"/>
          <w:w w:val="110"/>
          <w:sz w:val="20"/>
        </w:rPr>
        <w:t>(if</w:t>
      </w:r>
      <w:r>
        <w:rPr>
          <w:rFonts w:ascii="Arial" w:hAnsi="Arial"/>
          <w:color w:val="383636"/>
          <w:spacing w:val="1"/>
          <w:w w:val="110"/>
          <w:sz w:val="20"/>
        </w:rPr>
        <w:t> </w:t>
      </w:r>
      <w:r>
        <w:rPr>
          <w:color w:val="383636"/>
          <w:w w:val="110"/>
        </w:rPr>
        <w:t>needed), provide needed context, and then pause before stating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your</w:t>
      </w:r>
      <w:r>
        <w:rPr>
          <w:color w:val="383636"/>
          <w:spacing w:val="4"/>
          <w:w w:val="110"/>
        </w:rPr>
        <w:t> </w:t>
      </w:r>
      <w:r>
        <w:rPr>
          <w:color w:val="383636"/>
          <w:w w:val="110"/>
        </w:rPr>
        <w:t>thesis</w:t>
      </w:r>
      <w:r>
        <w:rPr>
          <w:color w:val="383636"/>
          <w:spacing w:val="-9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11"/>
          <w:w w:val="110"/>
        </w:rPr>
        <w:t> </w:t>
      </w:r>
      <w:r>
        <w:rPr>
          <w:color w:val="383636"/>
          <w:w w:val="110"/>
        </w:rPr>
        <w:t>a dramatic</w:t>
      </w:r>
      <w:r>
        <w:rPr>
          <w:color w:val="383636"/>
          <w:spacing w:val="-13"/>
          <w:w w:val="110"/>
        </w:rPr>
        <w:t> </w:t>
      </w:r>
      <w:r>
        <w:rPr>
          <w:color w:val="383636"/>
          <w:w w:val="110"/>
        </w:rPr>
        <w:t>way</w:t>
      </w:r>
      <w:r>
        <w:rPr>
          <w:color w:val="5B5B5D"/>
          <w:w w:val="110"/>
        </w:rPr>
        <w:t>.</w:t>
      </w:r>
    </w:p>
    <w:p>
      <w:pPr>
        <w:pStyle w:val="BodyText"/>
        <w:spacing w:line="262" w:lineRule="exact"/>
        <w:ind w:left="949"/>
        <w:jc w:val="both"/>
        <w:rPr>
          <w:i/>
          <w:sz w:val="24"/>
        </w:rPr>
      </w:pPr>
      <w:r>
        <w:rPr>
          <w:color w:val="383636"/>
          <w:w w:val="105"/>
        </w:rPr>
        <w:t>The</w:t>
      </w:r>
      <w:r>
        <w:rPr>
          <w:color w:val="383636"/>
          <w:spacing w:val="7"/>
          <w:w w:val="105"/>
        </w:rPr>
        <w:t> </w:t>
      </w:r>
      <w:r>
        <w:rPr>
          <w:color w:val="383636"/>
          <w:w w:val="105"/>
        </w:rPr>
        <w:t>sample</w:t>
      </w:r>
      <w:r>
        <w:rPr>
          <w:color w:val="383636"/>
          <w:spacing w:val="-12"/>
          <w:w w:val="105"/>
        </w:rPr>
        <w:t> </w:t>
      </w:r>
      <w:r>
        <w:rPr>
          <w:color w:val="383636"/>
          <w:w w:val="105"/>
        </w:rPr>
        <w:t>introduction</w:t>
      </w:r>
      <w:r>
        <w:rPr>
          <w:color w:val="383636"/>
          <w:spacing w:val="42"/>
          <w:w w:val="105"/>
        </w:rPr>
        <w:t> </w:t>
      </w:r>
      <w:r>
        <w:rPr>
          <w:color w:val="383636"/>
          <w:w w:val="105"/>
        </w:rPr>
        <w:t>below</w:t>
      </w:r>
      <w:r>
        <w:rPr>
          <w:color w:val="383636"/>
          <w:spacing w:val="-5"/>
          <w:w w:val="105"/>
        </w:rPr>
        <w:t> </w:t>
      </w:r>
      <w:r>
        <w:rPr>
          <w:color w:val="383636"/>
          <w:w w:val="105"/>
        </w:rPr>
        <w:t>is</w:t>
      </w:r>
      <w:r>
        <w:rPr>
          <w:color w:val="383636"/>
          <w:spacing w:val="3"/>
          <w:w w:val="105"/>
        </w:rPr>
        <w:t> </w:t>
      </w:r>
      <w:r>
        <w:rPr>
          <w:color w:val="383636"/>
          <w:w w:val="105"/>
        </w:rPr>
        <w:t>from</w:t>
      </w:r>
      <w:r>
        <w:rPr>
          <w:color w:val="383636"/>
          <w:spacing w:val="8"/>
          <w:w w:val="105"/>
        </w:rPr>
        <w:t> </w:t>
      </w:r>
      <w:r>
        <w:rPr>
          <w:color w:val="383636"/>
          <w:w w:val="105"/>
        </w:rPr>
        <w:t>a</w:t>
      </w:r>
      <w:r>
        <w:rPr>
          <w:color w:val="383636"/>
          <w:spacing w:val="27"/>
          <w:w w:val="105"/>
        </w:rPr>
        <w:t> </w:t>
      </w:r>
      <w:r>
        <w:rPr>
          <w:color w:val="383636"/>
          <w:w w:val="105"/>
        </w:rPr>
        <w:t>petitioner's</w:t>
      </w:r>
      <w:r>
        <w:rPr>
          <w:color w:val="383636"/>
          <w:spacing w:val="-5"/>
          <w:w w:val="105"/>
        </w:rPr>
        <w:t> </w:t>
      </w:r>
      <w:r>
        <w:rPr>
          <w:color w:val="383636"/>
          <w:w w:val="105"/>
        </w:rPr>
        <w:t>argument</w:t>
      </w:r>
      <w:r>
        <w:rPr>
          <w:color w:val="383636"/>
          <w:spacing w:val="12"/>
          <w:w w:val="105"/>
        </w:rPr>
        <w:t> </w:t>
      </w:r>
      <w:r>
        <w:rPr>
          <w:color w:val="383636"/>
          <w:w w:val="105"/>
        </w:rPr>
        <w:t>in</w:t>
      </w:r>
      <w:r>
        <w:rPr>
          <w:color w:val="383636"/>
          <w:spacing w:val="-13"/>
          <w:w w:val="105"/>
        </w:rPr>
        <w:t> </w:t>
      </w:r>
      <w:r>
        <w:rPr>
          <w:i/>
          <w:color w:val="383636"/>
          <w:w w:val="105"/>
          <w:sz w:val="24"/>
        </w:rPr>
        <w:t>Miller</w:t>
      </w:r>
    </w:p>
    <w:p>
      <w:pPr>
        <w:pStyle w:val="BodyText"/>
        <w:spacing w:line="232" w:lineRule="auto"/>
        <w:ind w:left="558" w:firstLine="25"/>
      </w:pPr>
      <w:r>
        <w:rPr>
          <w:i/>
          <w:color w:val="383636"/>
          <w:w w:val="105"/>
          <w:sz w:val="24"/>
        </w:rPr>
        <w:t>v. </w:t>
      </w:r>
      <w:r>
        <w:rPr>
          <w:rFonts w:ascii="Arial"/>
          <w:i/>
          <w:color w:val="383636"/>
          <w:w w:val="105"/>
          <w:sz w:val="21"/>
        </w:rPr>
        <w:t>Albright, </w:t>
      </w:r>
      <w:r>
        <w:rPr>
          <w:color w:val="383636"/>
          <w:w w:val="105"/>
        </w:rPr>
        <w:t>523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U</w:t>
      </w:r>
      <w:r>
        <w:rPr>
          <w:color w:val="5B5B5D"/>
          <w:w w:val="105"/>
        </w:rPr>
        <w:t>.</w:t>
      </w:r>
      <w:r>
        <w:rPr>
          <w:color w:val="383636"/>
          <w:w w:val="105"/>
        </w:rPr>
        <w:t>S. 420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(1998).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Note that the advocate introduces herself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asks</w:t>
      </w:r>
      <w:r>
        <w:rPr>
          <w:color w:val="383636"/>
          <w:spacing w:val="19"/>
          <w:w w:val="110"/>
        </w:rPr>
        <w:t> </w:t>
      </w:r>
      <w:r>
        <w:rPr>
          <w:color w:val="383636"/>
          <w:w w:val="110"/>
        </w:rPr>
        <w:t>for</w:t>
      </w:r>
      <w:r>
        <w:rPr>
          <w:color w:val="383636"/>
          <w:spacing w:val="28"/>
          <w:w w:val="110"/>
        </w:rPr>
        <w:t> </w:t>
      </w:r>
      <w:r>
        <w:rPr>
          <w:color w:val="383636"/>
          <w:w w:val="110"/>
        </w:rPr>
        <w:t>rebuttal</w:t>
      </w:r>
      <w:r>
        <w:rPr>
          <w:color w:val="383636"/>
          <w:spacing w:val="39"/>
          <w:w w:val="110"/>
        </w:rPr>
        <w:t> </w:t>
      </w:r>
      <w:r>
        <w:rPr>
          <w:color w:val="383636"/>
          <w:w w:val="110"/>
        </w:rPr>
        <w:t>time,</w:t>
      </w:r>
      <w:r>
        <w:rPr>
          <w:color w:val="383636"/>
          <w:spacing w:val="34"/>
          <w:w w:val="110"/>
        </w:rPr>
        <w:t> </w:t>
      </w:r>
      <w:r>
        <w:rPr>
          <w:color w:val="383636"/>
          <w:w w:val="110"/>
        </w:rPr>
        <w:t>tells</w:t>
      </w:r>
      <w:r>
        <w:rPr>
          <w:color w:val="383636"/>
          <w:spacing w:val="14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49"/>
          <w:w w:val="110"/>
        </w:rPr>
        <w:t> </w:t>
      </w:r>
      <w:r>
        <w:rPr>
          <w:color w:val="383636"/>
          <w:w w:val="110"/>
        </w:rPr>
        <w:t>court</w:t>
      </w:r>
      <w:r>
        <w:rPr>
          <w:color w:val="383636"/>
          <w:spacing w:val="29"/>
          <w:w w:val="110"/>
        </w:rPr>
        <w:t> </w:t>
      </w:r>
      <w:r>
        <w:rPr>
          <w:color w:val="383636"/>
          <w:w w:val="110"/>
        </w:rPr>
        <w:t>what</w:t>
      </w:r>
      <w:r>
        <w:rPr>
          <w:color w:val="383636"/>
          <w:spacing w:val="20"/>
          <w:w w:val="110"/>
        </w:rPr>
        <w:t> </w:t>
      </w:r>
      <w:r>
        <w:rPr>
          <w:color w:val="383636"/>
          <w:w w:val="110"/>
        </w:rPr>
        <w:t>she</w:t>
      </w:r>
      <w:r>
        <w:rPr>
          <w:color w:val="383636"/>
          <w:spacing w:val="22"/>
          <w:w w:val="110"/>
        </w:rPr>
        <w:t> </w:t>
      </w:r>
      <w:r>
        <w:rPr>
          <w:color w:val="383636"/>
          <w:w w:val="110"/>
        </w:rPr>
        <w:t>is</w:t>
      </w:r>
      <w:r>
        <w:rPr>
          <w:color w:val="383636"/>
          <w:spacing w:val="7"/>
          <w:w w:val="110"/>
        </w:rPr>
        <w:t> </w:t>
      </w:r>
      <w:r>
        <w:rPr>
          <w:color w:val="383636"/>
          <w:w w:val="110"/>
        </w:rPr>
        <w:t>asking</w:t>
      </w:r>
      <w:r>
        <w:rPr>
          <w:color w:val="383636"/>
          <w:spacing w:val="24"/>
          <w:w w:val="110"/>
        </w:rPr>
        <w:t> </w:t>
      </w:r>
      <w:r>
        <w:rPr>
          <w:color w:val="383636"/>
          <w:w w:val="110"/>
        </w:rPr>
        <w:t>it</w:t>
      </w:r>
      <w:r>
        <w:rPr>
          <w:color w:val="383636"/>
          <w:spacing w:val="49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27"/>
          <w:w w:val="110"/>
        </w:rPr>
        <w:t> </w:t>
      </w:r>
      <w:r>
        <w:rPr>
          <w:color w:val="383636"/>
          <w:w w:val="110"/>
        </w:rPr>
        <w:t>do,</w:t>
      </w:r>
      <w:r>
        <w:rPr>
          <w:color w:val="383636"/>
          <w:spacing w:val="26"/>
          <w:w w:val="110"/>
        </w:rPr>
        <w:t> </w:t>
      </w:r>
      <w:r>
        <w:rPr>
          <w:color w:val="383636"/>
          <w:w w:val="110"/>
        </w:rPr>
        <w:t>pause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before</w:t>
      </w:r>
      <w:r>
        <w:rPr>
          <w:color w:val="383636"/>
          <w:spacing w:val="-6"/>
          <w:w w:val="110"/>
        </w:rPr>
        <w:t> </w:t>
      </w:r>
      <w:r>
        <w:rPr>
          <w:color w:val="383636"/>
          <w:w w:val="110"/>
        </w:rPr>
        <w:t>describing</w:t>
      </w:r>
      <w:r>
        <w:rPr>
          <w:color w:val="383636"/>
          <w:spacing w:val="18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25"/>
          <w:w w:val="110"/>
        </w:rPr>
        <w:t> </w:t>
      </w:r>
      <w:r>
        <w:rPr>
          <w:color w:val="4B494B"/>
          <w:w w:val="110"/>
        </w:rPr>
        <w:t>case</w:t>
      </w:r>
      <w:r>
        <w:rPr>
          <w:color w:val="4B494B"/>
          <w:spacing w:val="-7"/>
          <w:w w:val="110"/>
        </w:rPr>
        <w:t> </w:t>
      </w:r>
      <w:r>
        <w:rPr>
          <w:color w:val="4B494B"/>
          <w:w w:val="110"/>
        </w:rPr>
        <w:t>in</w:t>
      </w:r>
      <w:r>
        <w:rPr>
          <w:color w:val="4B494B"/>
          <w:spacing w:val="43"/>
          <w:w w:val="110"/>
        </w:rPr>
        <w:t> </w:t>
      </w:r>
      <w:r>
        <w:rPr>
          <w:color w:val="383636"/>
          <w:w w:val="110"/>
        </w:rPr>
        <w:t>practical</w:t>
      </w:r>
      <w:r>
        <w:rPr>
          <w:color w:val="383636"/>
          <w:spacing w:val="18"/>
          <w:w w:val="110"/>
        </w:rPr>
        <w:t> </w:t>
      </w:r>
      <w:r>
        <w:rPr>
          <w:color w:val="383636"/>
          <w:w w:val="110"/>
        </w:rPr>
        <w:t>terms,</w:t>
      </w:r>
      <w:r>
        <w:rPr>
          <w:color w:val="383636"/>
          <w:spacing w:val="7"/>
          <w:w w:val="110"/>
        </w:rPr>
        <w:t> </w:t>
      </w:r>
      <w:r>
        <w:rPr>
          <w:color w:val="383636"/>
          <w:w w:val="110"/>
        </w:rPr>
        <w:t>and</w:t>
      </w:r>
      <w:r>
        <w:rPr>
          <w:color w:val="383636"/>
          <w:spacing w:val="27"/>
          <w:w w:val="110"/>
        </w:rPr>
        <w:t> </w:t>
      </w:r>
      <w:r>
        <w:rPr>
          <w:color w:val="383636"/>
          <w:w w:val="110"/>
        </w:rPr>
        <w:t>outlines</w:t>
      </w:r>
      <w:r>
        <w:rPr>
          <w:color w:val="383636"/>
          <w:spacing w:val="-2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22"/>
          <w:w w:val="110"/>
        </w:rPr>
        <w:t> </w:t>
      </w:r>
      <w:r>
        <w:rPr>
          <w:color w:val="383636"/>
          <w:w w:val="110"/>
        </w:rPr>
        <w:t>points</w:t>
      </w:r>
      <w:r>
        <w:rPr>
          <w:color w:val="383636"/>
          <w:spacing w:val="-10"/>
          <w:w w:val="110"/>
        </w:rPr>
        <w:t> </w:t>
      </w:r>
      <w:r>
        <w:rPr>
          <w:color w:val="383636"/>
          <w:w w:val="110"/>
        </w:rPr>
        <w:t>that</w:t>
      </w:r>
      <w:r>
        <w:rPr>
          <w:color w:val="383636"/>
          <w:spacing w:val="-60"/>
          <w:w w:val="110"/>
        </w:rPr>
        <w:t> </w:t>
      </w:r>
      <w:r>
        <w:rPr>
          <w:color w:val="383636"/>
          <w:w w:val="110"/>
        </w:rPr>
        <w:t>she</w:t>
      </w:r>
      <w:r>
        <w:rPr>
          <w:color w:val="383636"/>
          <w:spacing w:val="21"/>
          <w:w w:val="110"/>
        </w:rPr>
        <w:t> </w:t>
      </w:r>
      <w:r>
        <w:rPr>
          <w:color w:val="383636"/>
          <w:w w:val="110"/>
        </w:rPr>
        <w:t>will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address</w:t>
      </w:r>
      <w:r>
        <w:rPr>
          <w:color w:val="383636"/>
          <w:spacing w:val="-16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25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8"/>
          <w:w w:val="110"/>
        </w:rPr>
        <w:t> </w:t>
      </w:r>
      <w:r>
        <w:rPr>
          <w:color w:val="383636"/>
          <w:w w:val="110"/>
        </w:rPr>
        <w:t>argument:</w:t>
      </w:r>
    </w:p>
    <w:p>
      <w:pPr>
        <w:spacing w:line="235" w:lineRule="auto" w:before="134"/>
        <w:ind w:left="861" w:right="431" w:firstLine="71"/>
        <w:jc w:val="both"/>
        <w:rPr>
          <w:sz w:val="21"/>
        </w:rPr>
      </w:pPr>
      <w:r>
        <w:rPr>
          <w:color w:val="383636"/>
          <w:w w:val="110"/>
          <w:sz w:val="21"/>
        </w:rPr>
        <w:t>May it please the Court, I am Glenda de Guzman, and I represent the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05"/>
          <w:sz w:val="21"/>
        </w:rPr>
        <w:t>petitioner, Ms. Lorelyn Penero Miller. At this time I would like to reserve</w:t>
      </w:r>
      <w:r>
        <w:rPr>
          <w:color w:val="383636"/>
          <w:spacing w:val="1"/>
          <w:w w:val="105"/>
          <w:sz w:val="21"/>
        </w:rPr>
        <w:t> </w:t>
      </w:r>
      <w:r>
        <w:rPr>
          <w:color w:val="383636"/>
          <w:w w:val="110"/>
          <w:sz w:val="21"/>
        </w:rPr>
        <w:t>three minutes for rebuttal. Ms. Miller, who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was the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plaintiff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below, is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asking this Court to reverse the decision of the United </w:t>
      </w:r>
      <w:r>
        <w:rPr>
          <w:color w:val="4B494B"/>
          <w:w w:val="110"/>
          <w:sz w:val="21"/>
        </w:rPr>
        <w:t>States </w:t>
      </w:r>
      <w:r>
        <w:rPr>
          <w:color w:val="383636"/>
          <w:w w:val="110"/>
          <w:sz w:val="21"/>
        </w:rPr>
        <w:t>Court of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Appeals for the District of Columbia Circuit. That court upheld the con­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stitutionality of 8 U.S.C. Section 1409(a), which governs the citizenship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of </w:t>
      </w:r>
      <w:r>
        <w:rPr>
          <w:color w:val="4B494B"/>
          <w:w w:val="110"/>
          <w:sz w:val="21"/>
        </w:rPr>
        <w:t>children</w:t>
      </w:r>
      <w:r>
        <w:rPr>
          <w:color w:val="4B494B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born outside the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United States to  unmarried  parents when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only one of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the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parents has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U.S. citizenship. Section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1409(a) distin­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guishes among </w:t>
      </w:r>
      <w:r>
        <w:rPr>
          <w:color w:val="4B494B"/>
          <w:w w:val="110"/>
          <w:sz w:val="21"/>
        </w:rPr>
        <w:t>these </w:t>
      </w:r>
      <w:r>
        <w:rPr>
          <w:color w:val="383636"/>
          <w:w w:val="110"/>
          <w:sz w:val="21"/>
        </w:rPr>
        <w:t>children based solely on the gender of the child's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  <w:sz w:val="21"/>
        </w:rPr>
        <w:t>citizen</w:t>
      </w:r>
      <w:r>
        <w:rPr>
          <w:color w:val="383636"/>
          <w:spacing w:val="11"/>
          <w:w w:val="110"/>
          <w:sz w:val="21"/>
        </w:rPr>
        <w:t> </w:t>
      </w:r>
      <w:r>
        <w:rPr>
          <w:color w:val="383636"/>
          <w:w w:val="110"/>
          <w:sz w:val="21"/>
        </w:rPr>
        <w:t>parent.</w:t>
      </w:r>
      <w:r>
        <w:rPr>
          <w:color w:val="383636"/>
          <w:spacing w:val="-2"/>
          <w:w w:val="110"/>
          <w:sz w:val="21"/>
        </w:rPr>
        <w:t> </w:t>
      </w:r>
      <w:r>
        <w:rPr>
          <w:color w:val="383636"/>
          <w:w w:val="110"/>
          <w:sz w:val="21"/>
        </w:rPr>
        <w:t>[Pause.]</w:t>
      </w:r>
    </w:p>
    <w:p>
      <w:pPr>
        <w:spacing w:line="235" w:lineRule="auto" w:before="4"/>
        <w:ind w:left="813" w:right="444" w:firstLine="418"/>
        <w:jc w:val="both"/>
        <w:rPr>
          <w:sz w:val="21"/>
        </w:rPr>
      </w:pPr>
      <w:r>
        <w:rPr>
          <w:color w:val="383636"/>
          <w:w w:val="105"/>
          <w:sz w:val="21"/>
        </w:rPr>
        <w:t>Section 1409(a) wrongly uses an lrrebuttable gender </w:t>
      </w:r>
      <w:r>
        <w:rPr>
          <w:color w:val="4B494B"/>
          <w:w w:val="105"/>
          <w:sz w:val="21"/>
        </w:rPr>
        <w:t>stereotype </w:t>
      </w:r>
      <w:r>
        <w:rPr>
          <w:color w:val="383636"/>
          <w:w w:val="105"/>
          <w:sz w:val="21"/>
        </w:rPr>
        <w:t>to put a</w:t>
      </w:r>
      <w:r>
        <w:rPr>
          <w:color w:val="383636"/>
          <w:spacing w:val="1"/>
          <w:w w:val="105"/>
          <w:sz w:val="21"/>
        </w:rPr>
        <w:t> </w:t>
      </w:r>
      <w:r>
        <w:rPr>
          <w:color w:val="383636"/>
          <w:w w:val="110"/>
          <w:sz w:val="21"/>
        </w:rPr>
        <w:t>time</w:t>
      </w:r>
      <w:r>
        <w:rPr>
          <w:color w:val="383636"/>
          <w:spacing w:val="-17"/>
          <w:w w:val="110"/>
          <w:sz w:val="21"/>
        </w:rPr>
        <w:t> </w:t>
      </w:r>
      <w:r>
        <w:rPr>
          <w:color w:val="383636"/>
          <w:w w:val="110"/>
          <w:sz w:val="21"/>
        </w:rPr>
        <w:t>limit</w:t>
      </w:r>
      <w:r>
        <w:rPr>
          <w:color w:val="383636"/>
          <w:spacing w:val="-21"/>
          <w:w w:val="110"/>
          <w:sz w:val="21"/>
        </w:rPr>
        <w:t> </w:t>
      </w:r>
      <w:r>
        <w:rPr>
          <w:color w:val="383636"/>
          <w:w w:val="110"/>
          <w:sz w:val="21"/>
        </w:rPr>
        <w:t>on</w:t>
      </w:r>
      <w:r>
        <w:rPr>
          <w:color w:val="383636"/>
          <w:spacing w:val="15"/>
          <w:w w:val="110"/>
          <w:sz w:val="21"/>
        </w:rPr>
        <w:t> </w:t>
      </w:r>
      <w:r>
        <w:rPr>
          <w:color w:val="383636"/>
          <w:w w:val="110"/>
          <w:sz w:val="21"/>
        </w:rPr>
        <w:t>the</w:t>
      </w:r>
      <w:r>
        <w:rPr>
          <w:color w:val="383636"/>
          <w:spacing w:val="-4"/>
          <w:w w:val="110"/>
          <w:sz w:val="21"/>
        </w:rPr>
        <w:t> </w:t>
      </w:r>
      <w:r>
        <w:rPr>
          <w:color w:val="383636"/>
          <w:w w:val="110"/>
          <w:sz w:val="21"/>
        </w:rPr>
        <w:t>relationship</w:t>
      </w:r>
      <w:r>
        <w:rPr>
          <w:color w:val="383636"/>
          <w:spacing w:val="6"/>
          <w:w w:val="110"/>
          <w:sz w:val="21"/>
        </w:rPr>
        <w:t> </w:t>
      </w:r>
      <w:r>
        <w:rPr>
          <w:color w:val="383636"/>
          <w:w w:val="110"/>
          <w:sz w:val="21"/>
        </w:rPr>
        <w:t>between</w:t>
      </w:r>
      <w:r>
        <w:rPr>
          <w:color w:val="383636"/>
          <w:spacing w:val="-8"/>
          <w:w w:val="110"/>
          <w:sz w:val="21"/>
        </w:rPr>
        <w:t> </w:t>
      </w:r>
      <w:r>
        <w:rPr>
          <w:color w:val="383636"/>
          <w:w w:val="110"/>
          <w:sz w:val="21"/>
        </w:rPr>
        <w:t>a</w:t>
      </w:r>
      <w:r>
        <w:rPr>
          <w:color w:val="383636"/>
          <w:spacing w:val="-7"/>
          <w:w w:val="110"/>
          <w:sz w:val="21"/>
        </w:rPr>
        <w:t> </w:t>
      </w:r>
      <w:r>
        <w:rPr>
          <w:color w:val="383636"/>
          <w:w w:val="110"/>
          <w:sz w:val="21"/>
        </w:rPr>
        <w:t>father</w:t>
      </w:r>
      <w:r>
        <w:rPr>
          <w:color w:val="383636"/>
          <w:spacing w:val="-15"/>
          <w:w w:val="110"/>
          <w:sz w:val="21"/>
        </w:rPr>
        <w:t> </w:t>
      </w:r>
      <w:r>
        <w:rPr>
          <w:color w:val="383636"/>
          <w:w w:val="110"/>
          <w:sz w:val="21"/>
        </w:rPr>
        <w:t>and</w:t>
      </w:r>
      <w:r>
        <w:rPr>
          <w:color w:val="383636"/>
          <w:spacing w:val="13"/>
          <w:w w:val="110"/>
          <w:sz w:val="21"/>
        </w:rPr>
        <w:t> </w:t>
      </w:r>
      <w:r>
        <w:rPr>
          <w:color w:val="383636"/>
          <w:w w:val="110"/>
          <w:sz w:val="21"/>
        </w:rPr>
        <w:t>his</w:t>
      </w:r>
      <w:r>
        <w:rPr>
          <w:color w:val="383636"/>
          <w:spacing w:val="-14"/>
          <w:w w:val="110"/>
          <w:sz w:val="21"/>
        </w:rPr>
        <w:t> </w:t>
      </w:r>
      <w:r>
        <w:rPr>
          <w:color w:val="383636"/>
          <w:w w:val="110"/>
          <w:sz w:val="21"/>
        </w:rPr>
        <w:t>children.</w:t>
      </w:r>
      <w:r>
        <w:rPr>
          <w:color w:val="383636"/>
          <w:spacing w:val="-15"/>
          <w:w w:val="110"/>
          <w:sz w:val="21"/>
        </w:rPr>
        <w:t> </w:t>
      </w:r>
      <w:r>
        <w:rPr>
          <w:color w:val="383636"/>
          <w:w w:val="110"/>
          <w:sz w:val="21"/>
        </w:rPr>
        <w:t>This</w:t>
      </w:r>
      <w:r>
        <w:rPr>
          <w:color w:val="383636"/>
          <w:spacing w:val="-30"/>
          <w:w w:val="110"/>
          <w:sz w:val="21"/>
        </w:rPr>
        <w:t> </w:t>
      </w:r>
      <w:r>
        <w:rPr>
          <w:color w:val="383636"/>
          <w:w w:val="110"/>
          <w:sz w:val="21"/>
        </w:rPr>
        <w:t>Court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05"/>
          <w:sz w:val="21"/>
        </w:rPr>
        <w:t>should find Section 1409(a) unconstitutional and reverse the decision below</w:t>
      </w:r>
      <w:r>
        <w:rPr>
          <w:color w:val="383636"/>
          <w:spacing w:val="1"/>
          <w:w w:val="105"/>
          <w:sz w:val="21"/>
        </w:rPr>
        <w:t> </w:t>
      </w:r>
      <w:r>
        <w:rPr>
          <w:color w:val="383636"/>
          <w:w w:val="105"/>
          <w:sz w:val="21"/>
        </w:rPr>
        <w:t>for</w:t>
      </w:r>
      <w:r>
        <w:rPr>
          <w:color w:val="383636"/>
          <w:spacing w:val="1"/>
          <w:w w:val="105"/>
          <w:sz w:val="21"/>
        </w:rPr>
        <w:t> </w:t>
      </w:r>
      <w:r>
        <w:rPr>
          <w:color w:val="383636"/>
          <w:w w:val="105"/>
          <w:sz w:val="21"/>
        </w:rPr>
        <w:t>two</w:t>
      </w:r>
      <w:r>
        <w:rPr>
          <w:color w:val="383636"/>
          <w:spacing w:val="1"/>
          <w:w w:val="105"/>
          <w:sz w:val="21"/>
        </w:rPr>
        <w:t> </w:t>
      </w:r>
      <w:r>
        <w:rPr>
          <w:color w:val="383636"/>
          <w:w w:val="105"/>
          <w:sz w:val="21"/>
        </w:rPr>
        <w:t>reasons. First, Section 1409's requirement that only fathers prove </w:t>
      </w:r>
      <w:r>
        <w:rPr>
          <w:rFonts w:ascii="Arial"/>
          <w:b/>
          <w:color w:val="383636"/>
          <w:w w:val="105"/>
          <w:sz w:val="19"/>
        </w:rPr>
        <w:t>a</w:t>
      </w:r>
      <w:r>
        <w:rPr>
          <w:rFonts w:ascii="Arial"/>
          <w:b/>
          <w:color w:val="383636"/>
          <w:spacing w:val="1"/>
          <w:w w:val="105"/>
          <w:sz w:val="19"/>
        </w:rPr>
        <w:t> </w:t>
      </w:r>
      <w:r>
        <w:rPr>
          <w:color w:val="383636"/>
          <w:w w:val="105"/>
          <w:sz w:val="21"/>
        </w:rPr>
        <w:t>close,</w:t>
      </w:r>
      <w:r>
        <w:rPr>
          <w:color w:val="383636"/>
          <w:spacing w:val="23"/>
          <w:w w:val="105"/>
          <w:sz w:val="21"/>
        </w:rPr>
        <w:t> </w:t>
      </w:r>
      <w:r>
        <w:rPr>
          <w:color w:val="383636"/>
          <w:w w:val="105"/>
          <w:sz w:val="21"/>
        </w:rPr>
        <w:t>personal</w:t>
      </w:r>
      <w:r>
        <w:rPr>
          <w:color w:val="383636"/>
          <w:spacing w:val="36"/>
          <w:w w:val="105"/>
          <w:sz w:val="21"/>
        </w:rPr>
        <w:t> </w:t>
      </w:r>
      <w:r>
        <w:rPr>
          <w:color w:val="383636"/>
          <w:w w:val="105"/>
          <w:sz w:val="21"/>
        </w:rPr>
        <w:t>relationship</w:t>
      </w:r>
      <w:r>
        <w:rPr>
          <w:color w:val="383636"/>
          <w:spacing w:val="31"/>
          <w:w w:val="105"/>
          <w:sz w:val="21"/>
        </w:rPr>
        <w:t> </w:t>
      </w:r>
      <w:r>
        <w:rPr>
          <w:color w:val="383636"/>
          <w:w w:val="105"/>
          <w:sz w:val="21"/>
        </w:rPr>
        <w:t>before</w:t>
      </w:r>
      <w:r>
        <w:rPr>
          <w:color w:val="383636"/>
          <w:spacing w:val="16"/>
          <w:w w:val="105"/>
          <w:sz w:val="21"/>
        </w:rPr>
        <w:t> </w:t>
      </w:r>
      <w:r>
        <w:rPr>
          <w:color w:val="383636"/>
          <w:w w:val="105"/>
          <w:sz w:val="21"/>
        </w:rPr>
        <w:t>their</w:t>
      </w:r>
      <w:r>
        <w:rPr>
          <w:color w:val="383636"/>
          <w:spacing w:val="14"/>
          <w:w w:val="105"/>
          <w:sz w:val="21"/>
        </w:rPr>
        <w:t> </w:t>
      </w:r>
      <w:r>
        <w:rPr>
          <w:color w:val="383636"/>
          <w:w w:val="105"/>
          <w:sz w:val="21"/>
        </w:rPr>
        <w:t>children</w:t>
      </w:r>
      <w:r>
        <w:rPr>
          <w:color w:val="383636"/>
          <w:spacing w:val="28"/>
          <w:w w:val="105"/>
          <w:sz w:val="21"/>
        </w:rPr>
        <w:t> </w:t>
      </w:r>
      <w:r>
        <w:rPr>
          <w:color w:val="383636"/>
          <w:w w:val="105"/>
          <w:sz w:val="21"/>
        </w:rPr>
        <w:t>can</w:t>
      </w:r>
      <w:r>
        <w:rPr>
          <w:color w:val="383636"/>
          <w:spacing w:val="43"/>
          <w:w w:val="105"/>
          <w:sz w:val="21"/>
        </w:rPr>
        <w:t> </w:t>
      </w:r>
      <w:r>
        <w:rPr>
          <w:color w:val="383636"/>
          <w:w w:val="105"/>
          <w:sz w:val="21"/>
        </w:rPr>
        <w:t>be</w:t>
      </w:r>
      <w:r>
        <w:rPr>
          <w:color w:val="383636"/>
          <w:spacing w:val="3"/>
          <w:w w:val="105"/>
          <w:sz w:val="21"/>
        </w:rPr>
        <w:t> </w:t>
      </w:r>
      <w:r>
        <w:rPr>
          <w:color w:val="383636"/>
          <w:w w:val="105"/>
          <w:sz w:val="21"/>
        </w:rPr>
        <w:t>declared</w:t>
      </w:r>
      <w:r>
        <w:rPr>
          <w:color w:val="383636"/>
          <w:spacing w:val="16"/>
          <w:w w:val="105"/>
          <w:sz w:val="21"/>
        </w:rPr>
        <w:t> </w:t>
      </w:r>
      <w:r>
        <w:rPr>
          <w:color w:val="383636"/>
          <w:w w:val="105"/>
          <w:sz w:val="21"/>
        </w:rPr>
        <w:t>citizens</w:t>
      </w:r>
      <w:r>
        <w:rPr>
          <w:color w:val="383636"/>
          <w:spacing w:val="11"/>
          <w:w w:val="105"/>
          <w:sz w:val="21"/>
        </w:rPr>
        <w:t> </w:t>
      </w:r>
      <w:r>
        <w:rPr>
          <w:color w:val="383636"/>
          <w:w w:val="105"/>
          <w:sz w:val="21"/>
        </w:rPr>
        <w:t>is</w:t>
      </w:r>
    </w:p>
    <w:p>
      <w:pPr>
        <w:spacing w:after="0" w:line="235" w:lineRule="auto"/>
        <w:jc w:val="both"/>
        <w:rPr>
          <w:sz w:val="21"/>
        </w:rPr>
        <w:sectPr>
          <w:headerReference w:type="even" r:id="rId338"/>
          <w:headerReference w:type="default" r:id="rId339"/>
          <w:pgSz w:w="9710" w:h="14020"/>
          <w:pgMar w:header="505" w:footer="0" w:top="1100" w:bottom="0" w:left="1340" w:right="220"/>
          <w:pgNumType w:start="298"/>
        </w:sectPr>
      </w:pPr>
    </w:p>
    <w:p>
      <w:pPr>
        <w:pStyle w:val="BodyText"/>
        <w:rPr>
          <w:sz w:val="20"/>
        </w:rPr>
      </w:pPr>
    </w:p>
    <w:p>
      <w:pPr>
        <w:spacing w:line="242" w:lineRule="auto" w:before="149"/>
        <w:ind w:left="1528" w:right="256" w:hanging="636"/>
        <w:jc w:val="left"/>
        <w:rPr>
          <w:sz w:val="19"/>
        </w:rPr>
      </w:pPr>
      <w:r>
        <w:rPr>
          <w:color w:val="3B3A3B"/>
          <w:w w:val="110"/>
          <w:sz w:val="19"/>
        </w:rPr>
        <w:t>Using</w:t>
      </w:r>
      <w:r>
        <w:rPr>
          <w:color w:val="3B3A3B"/>
          <w:spacing w:val="8"/>
          <w:w w:val="110"/>
          <w:sz w:val="19"/>
        </w:rPr>
        <w:t> </w:t>
      </w:r>
      <w:r>
        <w:rPr>
          <w:color w:val="3B3A3B"/>
          <w:w w:val="110"/>
          <w:sz w:val="19"/>
        </w:rPr>
        <w:t>the</w:t>
      </w:r>
      <w:r>
        <w:rPr>
          <w:color w:val="3B3A3B"/>
          <w:spacing w:val="7"/>
          <w:w w:val="110"/>
          <w:sz w:val="19"/>
        </w:rPr>
        <w:t> </w:t>
      </w:r>
      <w:r>
        <w:rPr>
          <w:color w:val="3B3A3B"/>
          <w:w w:val="110"/>
          <w:sz w:val="19"/>
        </w:rPr>
        <w:t>Theme</w:t>
      </w:r>
      <w:r>
        <w:rPr>
          <w:color w:val="3B3A3B"/>
          <w:spacing w:val="2"/>
          <w:w w:val="110"/>
          <w:sz w:val="19"/>
        </w:rPr>
        <w:t> </w:t>
      </w:r>
      <w:r>
        <w:rPr>
          <w:color w:val="3B3A3B"/>
          <w:w w:val="110"/>
          <w:sz w:val="18"/>
        </w:rPr>
        <w:t>of</w:t>
      </w:r>
      <w:r>
        <w:rPr>
          <w:color w:val="3B3A3B"/>
          <w:spacing w:val="8"/>
          <w:w w:val="110"/>
          <w:sz w:val="18"/>
        </w:rPr>
        <w:t> </w:t>
      </w:r>
      <w:r>
        <w:rPr>
          <w:color w:val="3B3A3B"/>
          <w:w w:val="110"/>
          <w:sz w:val="19"/>
        </w:rPr>
        <w:t>Your</w:t>
      </w:r>
      <w:r>
        <w:rPr>
          <w:color w:val="3B3A3B"/>
          <w:spacing w:val="-49"/>
          <w:w w:val="110"/>
          <w:sz w:val="19"/>
        </w:rPr>
        <w:t> </w:t>
      </w:r>
      <w:r>
        <w:rPr>
          <w:color w:val="3B3A3B"/>
          <w:w w:val="115"/>
          <w:sz w:val="19"/>
        </w:rPr>
        <w:t>Argument</w:t>
      </w:r>
    </w:p>
    <w:p>
      <w:pPr>
        <w:spacing w:line="249" w:lineRule="auto" w:before="137"/>
        <w:ind w:left="115" w:right="256" w:firstLine="357"/>
        <w:jc w:val="left"/>
        <w:rPr>
          <w:sz w:val="18"/>
        </w:rPr>
      </w:pPr>
      <w:r>
        <w:rPr>
          <w:color w:val="3B3A3B"/>
          <w:w w:val="105"/>
          <w:sz w:val="18"/>
        </w:rPr>
        <w:t>Trial courts and intennediate appellate courts</w:t>
      </w:r>
      <w:r>
        <w:rPr>
          <w:color w:val="3B3A3B"/>
          <w:spacing w:val="-45"/>
          <w:w w:val="105"/>
          <w:sz w:val="18"/>
        </w:rPr>
        <w:t> </w:t>
      </w:r>
      <w:r>
        <w:rPr>
          <w:color w:val="3B3A3B"/>
          <w:sz w:val="18"/>
        </w:rPr>
        <w:t>must</w:t>
      </w:r>
      <w:r>
        <w:rPr>
          <w:color w:val="3B3A3B"/>
          <w:spacing w:val="6"/>
          <w:sz w:val="18"/>
        </w:rPr>
        <w:t> </w:t>
      </w:r>
      <w:r>
        <w:rPr>
          <w:color w:val="3B3A3B"/>
          <w:sz w:val="18"/>
        </w:rPr>
        <w:t>follow</w:t>
      </w:r>
      <w:r>
        <w:rPr>
          <w:color w:val="3B3A3B"/>
          <w:spacing w:val="4"/>
          <w:sz w:val="18"/>
        </w:rPr>
        <w:t> </w:t>
      </w:r>
      <w:r>
        <w:rPr>
          <w:color w:val="3B3A3B"/>
          <w:sz w:val="18"/>
        </w:rPr>
        <w:t>the</w:t>
      </w:r>
      <w:r>
        <w:rPr>
          <w:color w:val="3B3A3B"/>
          <w:spacing w:val="-6"/>
          <w:sz w:val="18"/>
        </w:rPr>
        <w:t> </w:t>
      </w:r>
      <w:r>
        <w:rPr>
          <w:color w:val="3B3A3B"/>
          <w:sz w:val="18"/>
        </w:rPr>
        <w:t>mandatory</w:t>
      </w:r>
      <w:r>
        <w:rPr>
          <w:color w:val="3B3A3B"/>
          <w:spacing w:val="6"/>
          <w:sz w:val="18"/>
        </w:rPr>
        <w:t> </w:t>
      </w:r>
      <w:r>
        <w:rPr>
          <w:color w:val="3B3A3B"/>
          <w:sz w:val="18"/>
        </w:rPr>
        <w:t>authorities</w:t>
      </w:r>
      <w:r>
        <w:rPr>
          <w:color w:val="3B3A3B"/>
          <w:spacing w:val="3"/>
          <w:sz w:val="18"/>
        </w:rPr>
        <w:t> </w:t>
      </w:r>
      <w:r>
        <w:rPr>
          <w:color w:val="3B3A3B"/>
          <w:sz w:val="18"/>
        </w:rPr>
        <w:t>of</w:t>
      </w:r>
      <w:r>
        <w:rPr>
          <w:color w:val="3B3A3B"/>
          <w:spacing w:val="12"/>
          <w:sz w:val="18"/>
        </w:rPr>
        <w:t> </w:t>
      </w:r>
      <w:r>
        <w:rPr>
          <w:color w:val="3B3A3B"/>
          <w:sz w:val="18"/>
        </w:rPr>
        <w:t>the</w:t>
      </w:r>
      <w:r>
        <w:rPr>
          <w:color w:val="3B3A3B"/>
          <w:spacing w:val="1"/>
          <w:sz w:val="18"/>
        </w:rPr>
        <w:t> </w:t>
      </w:r>
      <w:r>
        <w:rPr>
          <w:color w:val="3B3A3B"/>
          <w:spacing w:val="-1"/>
          <w:w w:val="105"/>
          <w:sz w:val="18"/>
        </w:rPr>
        <w:t>Court(s) above </w:t>
      </w:r>
      <w:r>
        <w:rPr>
          <w:color w:val="3B3A3B"/>
          <w:w w:val="105"/>
          <w:sz w:val="18"/>
        </w:rPr>
        <w:t>them</w:t>
      </w:r>
      <w:r>
        <w:rPr>
          <w:color w:val="575759"/>
          <w:w w:val="105"/>
          <w:sz w:val="18"/>
        </w:rPr>
        <w:t>, </w:t>
      </w:r>
      <w:r>
        <w:rPr>
          <w:color w:val="3B3A3B"/>
          <w:w w:val="105"/>
          <w:sz w:val="18"/>
        </w:rPr>
        <w:t>if any on-point authority</w:t>
      </w:r>
      <w:r>
        <w:rPr>
          <w:color w:val="3B3A3B"/>
          <w:spacing w:val="1"/>
          <w:w w:val="105"/>
          <w:sz w:val="18"/>
        </w:rPr>
        <w:t> </w:t>
      </w:r>
      <w:r>
        <w:rPr>
          <w:color w:val="3B3A3B"/>
          <w:w w:val="105"/>
          <w:sz w:val="18"/>
        </w:rPr>
        <w:t>governs the case. Courts of last resort, however,</w:t>
      </w:r>
      <w:r>
        <w:rPr>
          <w:color w:val="3B3A3B"/>
          <w:spacing w:val="1"/>
          <w:w w:val="105"/>
          <w:sz w:val="18"/>
        </w:rPr>
        <w:t> </w:t>
      </w:r>
      <w:r>
        <w:rPr>
          <w:color w:val="3B3A3B"/>
          <w:w w:val="105"/>
          <w:sz w:val="18"/>
        </w:rPr>
        <w:t>and</w:t>
      </w:r>
      <w:r>
        <w:rPr>
          <w:color w:val="3B3A3B"/>
          <w:spacing w:val="-5"/>
          <w:w w:val="105"/>
          <w:sz w:val="18"/>
        </w:rPr>
        <w:t> </w:t>
      </w:r>
      <w:r>
        <w:rPr>
          <w:color w:val="3B3A3B"/>
          <w:w w:val="105"/>
          <w:sz w:val="18"/>
        </w:rPr>
        <w:t>other</w:t>
      </w:r>
      <w:r>
        <w:rPr>
          <w:color w:val="3B3A3B"/>
          <w:spacing w:val="-14"/>
          <w:w w:val="105"/>
          <w:sz w:val="18"/>
        </w:rPr>
        <w:t> </w:t>
      </w:r>
      <w:r>
        <w:rPr>
          <w:color w:val="3B3A3B"/>
          <w:w w:val="105"/>
          <w:sz w:val="18"/>
        </w:rPr>
        <w:t>court</w:t>
      </w:r>
      <w:r>
        <w:rPr>
          <w:color w:val="575759"/>
          <w:w w:val="105"/>
          <w:sz w:val="18"/>
        </w:rPr>
        <w:t>s</w:t>
      </w:r>
      <w:r>
        <w:rPr>
          <w:color w:val="575759"/>
          <w:spacing w:val="-12"/>
          <w:w w:val="105"/>
          <w:sz w:val="18"/>
        </w:rPr>
        <w:t> </w:t>
      </w:r>
      <w:r>
        <w:rPr>
          <w:color w:val="3B3A3B"/>
          <w:w w:val="105"/>
          <w:sz w:val="18"/>
        </w:rPr>
        <w:t>deciding</w:t>
      </w:r>
      <w:r>
        <w:rPr>
          <w:color w:val="3B3A3B"/>
          <w:spacing w:val="-17"/>
          <w:w w:val="105"/>
          <w:sz w:val="18"/>
        </w:rPr>
        <w:t> </w:t>
      </w:r>
      <w:r>
        <w:rPr>
          <w:color w:val="3B3A3B"/>
          <w:w w:val="105"/>
          <w:sz w:val="18"/>
        </w:rPr>
        <w:t>cases</w:t>
      </w:r>
      <w:r>
        <w:rPr>
          <w:color w:val="3B3A3B"/>
          <w:spacing w:val="-24"/>
          <w:w w:val="105"/>
          <w:sz w:val="18"/>
        </w:rPr>
        <w:t> </w:t>
      </w:r>
      <w:r>
        <w:rPr>
          <w:color w:val="3B3A3B"/>
          <w:w w:val="105"/>
          <w:sz w:val="18"/>
        </w:rPr>
        <w:t>of</w:t>
      </w:r>
      <w:r>
        <w:rPr>
          <w:color w:val="3B3A3B"/>
          <w:spacing w:val="3"/>
          <w:w w:val="105"/>
          <w:sz w:val="18"/>
        </w:rPr>
        <w:t> </w:t>
      </w:r>
      <w:r>
        <w:rPr>
          <w:color w:val="3B3A3B"/>
          <w:w w:val="105"/>
          <w:sz w:val="18"/>
        </w:rPr>
        <w:t>first</w:t>
      </w:r>
      <w:r>
        <w:rPr>
          <w:color w:val="3B3A3B"/>
          <w:spacing w:val="-13"/>
          <w:w w:val="105"/>
          <w:sz w:val="18"/>
        </w:rPr>
        <w:t> </w:t>
      </w:r>
      <w:r>
        <w:rPr>
          <w:color w:val="3B3A3B"/>
          <w:w w:val="105"/>
          <w:sz w:val="18"/>
        </w:rPr>
        <w:t>impression,</w:t>
      </w:r>
      <w:r>
        <w:rPr>
          <w:color w:val="3B3A3B"/>
          <w:spacing w:val="-44"/>
          <w:w w:val="105"/>
          <w:sz w:val="18"/>
        </w:rPr>
        <w:t> </w:t>
      </w:r>
      <w:r>
        <w:rPr>
          <w:color w:val="3B3A3B"/>
          <w:w w:val="105"/>
          <w:sz w:val="18"/>
        </w:rPr>
        <w:t>are more likely to consider the impact that their</w:t>
      </w:r>
      <w:r>
        <w:rPr>
          <w:color w:val="3B3A3B"/>
          <w:spacing w:val="1"/>
          <w:w w:val="105"/>
          <w:sz w:val="18"/>
        </w:rPr>
        <w:t> </w:t>
      </w:r>
      <w:r>
        <w:rPr>
          <w:color w:val="3B3A3B"/>
          <w:w w:val="105"/>
          <w:sz w:val="18"/>
        </w:rPr>
        <w:t>decision</w:t>
      </w:r>
      <w:r>
        <w:rPr>
          <w:color w:val="3B3A3B"/>
          <w:spacing w:val="-10"/>
          <w:w w:val="105"/>
          <w:sz w:val="18"/>
        </w:rPr>
        <w:t> </w:t>
      </w:r>
      <w:r>
        <w:rPr>
          <w:color w:val="3B3A3B"/>
          <w:w w:val="105"/>
          <w:sz w:val="18"/>
        </w:rPr>
        <w:t>will</w:t>
      </w:r>
      <w:r>
        <w:rPr>
          <w:color w:val="3B3A3B"/>
          <w:spacing w:val="2"/>
          <w:w w:val="105"/>
          <w:sz w:val="18"/>
        </w:rPr>
        <w:t> </w:t>
      </w:r>
      <w:r>
        <w:rPr>
          <w:color w:val="3B3A3B"/>
          <w:w w:val="105"/>
          <w:sz w:val="18"/>
        </w:rPr>
        <w:t>haveon</w:t>
      </w:r>
      <w:r>
        <w:rPr>
          <w:color w:val="3B3A3B"/>
          <w:spacing w:val="11"/>
          <w:w w:val="105"/>
          <w:sz w:val="18"/>
        </w:rPr>
        <w:t> </w:t>
      </w:r>
      <w:r>
        <w:rPr>
          <w:color w:val="3B3A3B"/>
          <w:w w:val="105"/>
          <w:sz w:val="18"/>
        </w:rPr>
        <w:t>real</w:t>
      </w:r>
      <w:r>
        <w:rPr>
          <w:color w:val="575759"/>
          <w:w w:val="105"/>
          <w:sz w:val="18"/>
        </w:rPr>
        <w:t>-</w:t>
      </w:r>
      <w:r>
        <w:rPr>
          <w:color w:val="3B3A3B"/>
          <w:w w:val="105"/>
          <w:sz w:val="18"/>
        </w:rPr>
        <w:t>world</w:t>
      </w:r>
      <w:r>
        <w:rPr>
          <w:color w:val="3B3A3B"/>
          <w:spacing w:val="-10"/>
          <w:w w:val="105"/>
          <w:sz w:val="18"/>
        </w:rPr>
        <w:t> </w:t>
      </w:r>
      <w:r>
        <w:rPr>
          <w:color w:val="3B3A3B"/>
          <w:w w:val="105"/>
          <w:sz w:val="18"/>
        </w:rPr>
        <w:t>situations.</w:t>
      </w:r>
    </w:p>
    <w:p>
      <w:pPr>
        <w:spacing w:line="252" w:lineRule="auto" w:before="5"/>
        <w:ind w:left="125" w:right="340" w:firstLine="380"/>
        <w:jc w:val="left"/>
        <w:rPr>
          <w:sz w:val="18"/>
        </w:rPr>
      </w:pPr>
      <w:r>
        <w:rPr>
          <w:color w:val="3B3A3B"/>
          <w:sz w:val="18"/>
        </w:rPr>
        <w:t>Accordingly</w:t>
      </w:r>
      <w:r>
        <w:rPr>
          <w:color w:val="575759"/>
          <w:sz w:val="18"/>
        </w:rPr>
        <w:t>, </w:t>
      </w:r>
      <w:r>
        <w:rPr>
          <w:color w:val="3B3A3B"/>
          <w:sz w:val="18"/>
        </w:rPr>
        <w:t>you must know the com­</w:t>
      </w:r>
      <w:r>
        <w:rPr>
          <w:color w:val="3B3A3B"/>
          <w:spacing w:val="1"/>
          <w:sz w:val="18"/>
        </w:rPr>
        <w:t> </w:t>
      </w:r>
      <w:r>
        <w:rPr>
          <w:color w:val="3B3A3B"/>
          <w:sz w:val="18"/>
        </w:rPr>
        <w:t>monsen</w:t>
      </w:r>
      <w:r>
        <w:rPr>
          <w:color w:val="575759"/>
          <w:sz w:val="18"/>
        </w:rPr>
        <w:t>s</w:t>
      </w:r>
      <w:r>
        <w:rPr>
          <w:color w:val="3B3A3B"/>
          <w:sz w:val="18"/>
        </w:rPr>
        <w:t>e</w:t>
      </w:r>
      <w:r>
        <w:rPr>
          <w:color w:val="3B3A3B"/>
          <w:spacing w:val="1"/>
          <w:sz w:val="18"/>
        </w:rPr>
        <w:t> </w:t>
      </w:r>
      <w:r>
        <w:rPr>
          <w:color w:val="3B3A3B"/>
          <w:sz w:val="18"/>
        </w:rPr>
        <w:t>reason</w:t>
      </w:r>
      <w:r>
        <w:rPr>
          <w:color w:val="3B3A3B"/>
          <w:spacing w:val="1"/>
          <w:sz w:val="18"/>
        </w:rPr>
        <w:t> </w:t>
      </w:r>
      <w:r>
        <w:rPr>
          <w:color w:val="3B3A3B"/>
          <w:sz w:val="18"/>
        </w:rPr>
        <w:t>behind what you are asking the</w:t>
      </w:r>
      <w:r>
        <w:rPr>
          <w:color w:val="3B3A3B"/>
          <w:spacing w:val="1"/>
          <w:sz w:val="18"/>
        </w:rPr>
        <w:t> </w:t>
      </w:r>
      <w:r>
        <w:rPr>
          <w:color w:val="3B3A3B"/>
          <w:sz w:val="18"/>
        </w:rPr>
        <w:t>court to do. Why</w:t>
      </w:r>
      <w:r>
        <w:rPr>
          <w:color w:val="3B3A3B"/>
          <w:spacing w:val="45"/>
          <w:sz w:val="18"/>
        </w:rPr>
        <w:t> </w:t>
      </w:r>
      <w:r>
        <w:rPr>
          <w:color w:val="3B3A3B"/>
          <w:sz w:val="18"/>
        </w:rPr>
        <w:t>would a decision</w:t>
      </w:r>
      <w:r>
        <w:rPr>
          <w:color w:val="3B3A3B"/>
          <w:spacing w:val="45"/>
          <w:sz w:val="18"/>
        </w:rPr>
        <w:t> </w:t>
      </w:r>
      <w:r>
        <w:rPr>
          <w:color w:val="3B3A3B"/>
          <w:sz w:val="18"/>
        </w:rPr>
        <w:t>in your favor</w:t>
      </w:r>
      <w:r>
        <w:rPr>
          <w:color w:val="3B3A3B"/>
          <w:spacing w:val="1"/>
          <w:sz w:val="18"/>
        </w:rPr>
        <w:t> </w:t>
      </w:r>
      <w:r>
        <w:rPr>
          <w:color w:val="3B3A3B"/>
          <w:sz w:val="18"/>
        </w:rPr>
        <w:t>be</w:t>
      </w:r>
      <w:r>
        <w:rPr>
          <w:color w:val="3B3A3B"/>
          <w:spacing w:val="-6"/>
          <w:sz w:val="18"/>
        </w:rPr>
        <w:t> </w:t>
      </w:r>
      <w:r>
        <w:rPr>
          <w:color w:val="3B3A3B"/>
          <w:sz w:val="18"/>
        </w:rPr>
        <w:t>fair</w:t>
      </w:r>
      <w:r>
        <w:rPr>
          <w:color w:val="3B3A3B"/>
          <w:spacing w:val="-9"/>
          <w:sz w:val="18"/>
        </w:rPr>
        <w:t> </w:t>
      </w:r>
      <w:r>
        <w:rPr>
          <w:color w:val="3B3A3B"/>
          <w:sz w:val="18"/>
        </w:rPr>
        <w:t>or</w:t>
      </w:r>
      <w:r>
        <w:rPr>
          <w:color w:val="3B3A3B"/>
          <w:spacing w:val="7"/>
          <w:sz w:val="18"/>
        </w:rPr>
        <w:t> </w:t>
      </w:r>
      <w:r>
        <w:rPr>
          <w:color w:val="3B3A3B"/>
          <w:sz w:val="18"/>
        </w:rPr>
        <w:t>just?</w:t>
      </w:r>
      <w:r>
        <w:rPr>
          <w:color w:val="3B3A3B"/>
          <w:spacing w:val="13"/>
          <w:sz w:val="18"/>
        </w:rPr>
        <w:t> </w:t>
      </w:r>
      <w:r>
        <w:rPr>
          <w:color w:val="3B3A3B"/>
          <w:sz w:val="18"/>
        </w:rPr>
        <w:t>In</w:t>
      </w:r>
      <w:r>
        <w:rPr>
          <w:color w:val="3B3A3B"/>
          <w:spacing w:val="4"/>
          <w:sz w:val="18"/>
        </w:rPr>
        <w:t> </w:t>
      </w:r>
      <w:r>
        <w:rPr>
          <w:color w:val="3B3A3B"/>
          <w:sz w:val="18"/>
        </w:rPr>
        <w:t>the</w:t>
      </w:r>
      <w:r>
        <w:rPr>
          <w:color w:val="3B3A3B"/>
          <w:spacing w:val="2"/>
          <w:sz w:val="18"/>
        </w:rPr>
        <w:t> </w:t>
      </w:r>
      <w:r>
        <w:rPr>
          <w:color w:val="3B3A3B"/>
          <w:sz w:val="18"/>
        </w:rPr>
        <w:t>case</w:t>
      </w:r>
      <w:r>
        <w:rPr>
          <w:color w:val="3B3A3B"/>
          <w:spacing w:val="-18"/>
          <w:sz w:val="18"/>
        </w:rPr>
        <w:t> </w:t>
      </w:r>
      <w:r>
        <w:rPr>
          <w:color w:val="3B3A3B"/>
          <w:sz w:val="18"/>
        </w:rPr>
        <w:t>of</w:t>
      </w:r>
      <w:r>
        <w:rPr>
          <w:color w:val="3B3A3B"/>
          <w:spacing w:val="9"/>
          <w:sz w:val="18"/>
        </w:rPr>
        <w:t> </w:t>
      </w:r>
      <w:r>
        <w:rPr>
          <w:i/>
          <w:color w:val="3B3A3B"/>
          <w:sz w:val="18"/>
        </w:rPr>
        <w:t>Miller</w:t>
      </w:r>
      <w:r>
        <w:rPr>
          <w:i/>
          <w:color w:val="3B3A3B"/>
          <w:spacing w:val="3"/>
          <w:sz w:val="18"/>
        </w:rPr>
        <w:t> </w:t>
      </w:r>
      <w:r>
        <w:rPr>
          <w:i/>
          <w:color w:val="3B3A3B"/>
          <w:sz w:val="18"/>
        </w:rPr>
        <w:t>v</w:t>
      </w:r>
      <w:r>
        <w:rPr>
          <w:i/>
          <w:color w:val="575759"/>
          <w:sz w:val="18"/>
        </w:rPr>
        <w:t>.</w:t>
      </w:r>
      <w:r>
        <w:rPr>
          <w:i/>
          <w:color w:val="575759"/>
          <w:spacing w:val="8"/>
          <w:sz w:val="18"/>
        </w:rPr>
        <w:t> </w:t>
      </w:r>
      <w:r>
        <w:rPr>
          <w:i/>
          <w:color w:val="3B3A3B"/>
          <w:sz w:val="18"/>
        </w:rPr>
        <w:t>Albright,</w:t>
      </w:r>
      <w:r>
        <w:rPr>
          <w:i/>
          <w:color w:val="3B3A3B"/>
          <w:spacing w:val="1"/>
          <w:sz w:val="18"/>
        </w:rPr>
        <w:t> </w:t>
      </w:r>
      <w:r>
        <w:rPr>
          <w:color w:val="3B3A3B"/>
          <w:sz w:val="18"/>
        </w:rPr>
        <w:t>couns</w:t>
      </w:r>
      <w:r>
        <w:rPr>
          <w:color w:val="575759"/>
          <w:sz w:val="18"/>
        </w:rPr>
        <w:t>e</w:t>
      </w:r>
      <w:r>
        <w:rPr>
          <w:color w:val="3B3A3B"/>
          <w:sz w:val="18"/>
        </w:rPr>
        <w:t>l</w:t>
      </w:r>
      <w:r>
        <w:rPr>
          <w:color w:val="3B3A3B"/>
          <w:spacing w:val="1"/>
          <w:sz w:val="18"/>
        </w:rPr>
        <w:t> </w:t>
      </w:r>
      <w:r>
        <w:rPr>
          <w:color w:val="3B3A3B"/>
          <w:sz w:val="18"/>
        </w:rPr>
        <w:t>for the young woman</w:t>
      </w:r>
      <w:r>
        <w:rPr>
          <w:color w:val="3B3A3B"/>
          <w:spacing w:val="1"/>
          <w:sz w:val="18"/>
        </w:rPr>
        <w:t> </w:t>
      </w:r>
      <w:r>
        <w:rPr>
          <w:rFonts w:ascii="Arial" w:hAnsi="Arial"/>
          <w:b/>
          <w:color w:val="3B3A3B"/>
          <w:sz w:val="17"/>
        </w:rPr>
        <w:t>seeking</w:t>
      </w:r>
      <w:r>
        <w:rPr>
          <w:color w:val="3B3A3B"/>
          <w:sz w:val="18"/>
        </w:rPr>
        <w:t>citizenship</w:t>
      </w:r>
      <w:r>
        <w:rPr>
          <w:color w:val="3B3A3B"/>
          <w:spacing w:val="-42"/>
          <w:sz w:val="18"/>
        </w:rPr>
        <w:t> </w:t>
      </w:r>
      <w:r>
        <w:rPr>
          <w:color w:val="3B3A3B"/>
          <w:sz w:val="18"/>
        </w:rPr>
        <w:t>could</w:t>
      </w:r>
      <w:r>
        <w:rPr>
          <w:color w:val="3B3A3B"/>
          <w:spacing w:val="1"/>
          <w:sz w:val="18"/>
        </w:rPr>
        <w:t> </w:t>
      </w:r>
      <w:r>
        <w:rPr>
          <w:color w:val="3B3A3B"/>
          <w:sz w:val="18"/>
        </w:rPr>
        <w:t>focus on the inherent unfairness of</w:t>
      </w:r>
      <w:r>
        <w:rPr>
          <w:color w:val="3B3A3B"/>
          <w:spacing w:val="1"/>
          <w:sz w:val="18"/>
        </w:rPr>
        <w:t> </w:t>
      </w:r>
      <w:r>
        <w:rPr>
          <w:color w:val="3B3A3B"/>
          <w:sz w:val="18"/>
        </w:rPr>
        <w:t>gender</w:t>
      </w:r>
      <w:r>
        <w:rPr>
          <w:color w:val="3B3A3B"/>
          <w:spacing w:val="1"/>
          <w:sz w:val="18"/>
        </w:rPr>
        <w:t> </w:t>
      </w:r>
      <w:r>
        <w:rPr>
          <w:color w:val="3B3A3B"/>
          <w:sz w:val="18"/>
        </w:rPr>
        <w:t>stereotypes or</w:t>
      </w:r>
      <w:r>
        <w:rPr>
          <w:color w:val="3B3A3B"/>
          <w:spacing w:val="1"/>
          <w:sz w:val="18"/>
        </w:rPr>
        <w:t> </w:t>
      </w:r>
      <w:r>
        <w:rPr>
          <w:color w:val="3B3A3B"/>
          <w:sz w:val="18"/>
        </w:rPr>
        <w:t>on the problems with</w:t>
      </w:r>
      <w:r>
        <w:rPr>
          <w:color w:val="3B3A3B"/>
          <w:spacing w:val="1"/>
          <w:sz w:val="18"/>
        </w:rPr>
        <w:t> </w:t>
      </w:r>
      <w:r>
        <w:rPr>
          <w:color w:val="3B3A3B"/>
          <w:sz w:val="18"/>
        </w:rPr>
        <w:t>imposing an</w:t>
      </w:r>
      <w:r>
        <w:rPr>
          <w:color w:val="3B3A3B"/>
          <w:spacing w:val="1"/>
          <w:sz w:val="18"/>
        </w:rPr>
        <w:t> </w:t>
      </w:r>
      <w:r>
        <w:rPr>
          <w:color w:val="3B3A3B"/>
          <w:sz w:val="18"/>
        </w:rPr>
        <w:t>arbitrary</w:t>
      </w:r>
      <w:r>
        <w:rPr>
          <w:color w:val="3B3A3B"/>
          <w:spacing w:val="1"/>
          <w:sz w:val="18"/>
        </w:rPr>
        <w:t> </w:t>
      </w:r>
      <w:r>
        <w:rPr>
          <w:color w:val="3B3A3B"/>
          <w:sz w:val="18"/>
        </w:rPr>
        <w:t>time limit on father-daughter relation•</w:t>
      </w:r>
      <w:r>
        <w:rPr>
          <w:color w:val="3B3A3B"/>
          <w:spacing w:val="1"/>
          <w:sz w:val="18"/>
        </w:rPr>
        <w:t> </w:t>
      </w:r>
      <w:r>
        <w:rPr>
          <w:color w:val="3B3A3B"/>
          <w:sz w:val="18"/>
        </w:rPr>
        <w:t>ships</w:t>
      </w:r>
      <w:r>
        <w:rPr>
          <w:color w:val="575759"/>
          <w:sz w:val="18"/>
        </w:rPr>
        <w:t>.</w:t>
      </w:r>
      <w:r>
        <w:rPr>
          <w:color w:val="575759"/>
          <w:spacing w:val="-8"/>
          <w:sz w:val="18"/>
        </w:rPr>
        <w:t> </w:t>
      </w:r>
      <w:r>
        <w:rPr>
          <w:color w:val="3B3A3B"/>
          <w:sz w:val="18"/>
        </w:rPr>
        <w:t>Coun</w:t>
      </w:r>
      <w:r>
        <w:rPr>
          <w:color w:val="575759"/>
          <w:sz w:val="18"/>
        </w:rPr>
        <w:t>s</w:t>
      </w:r>
      <w:r>
        <w:rPr>
          <w:color w:val="3B3A3B"/>
          <w:sz w:val="18"/>
        </w:rPr>
        <w:t>el</w:t>
      </w:r>
      <w:r>
        <w:rPr>
          <w:color w:val="3B3A3B"/>
          <w:spacing w:val="27"/>
          <w:sz w:val="18"/>
        </w:rPr>
        <w:t> </w:t>
      </w:r>
      <w:r>
        <w:rPr>
          <w:color w:val="3B3A3B"/>
          <w:sz w:val="18"/>
        </w:rPr>
        <w:t>for</w:t>
      </w:r>
      <w:r>
        <w:rPr>
          <w:color w:val="3B3A3B"/>
          <w:spacing w:val="1"/>
          <w:sz w:val="18"/>
        </w:rPr>
        <w:t> </w:t>
      </w:r>
      <w:r>
        <w:rPr>
          <w:color w:val="3B3A3B"/>
          <w:sz w:val="18"/>
        </w:rPr>
        <w:t>the government,</w:t>
      </w:r>
      <w:r>
        <w:rPr>
          <w:color w:val="3B3A3B"/>
          <w:spacing w:val="-6"/>
          <w:sz w:val="18"/>
        </w:rPr>
        <w:t> </w:t>
      </w:r>
      <w:r>
        <w:rPr>
          <w:color w:val="3B3A3B"/>
          <w:sz w:val="18"/>
        </w:rPr>
        <w:t>on</w:t>
      </w:r>
      <w:r>
        <w:rPr>
          <w:color w:val="3B3A3B"/>
          <w:spacing w:val="36"/>
          <w:sz w:val="18"/>
        </w:rPr>
        <w:t> </w:t>
      </w:r>
      <w:r>
        <w:rPr>
          <w:rFonts w:ascii="Arial" w:hAnsi="Arial"/>
          <w:color w:val="3B3A3B"/>
          <w:sz w:val="16"/>
        </w:rPr>
        <w:t>the</w:t>
      </w:r>
      <w:r>
        <w:rPr>
          <w:rFonts w:ascii="Arial" w:hAnsi="Arial"/>
          <w:color w:val="3B3A3B"/>
          <w:spacing w:val="3"/>
          <w:sz w:val="16"/>
        </w:rPr>
        <w:t> </w:t>
      </w:r>
      <w:r>
        <w:rPr>
          <w:color w:val="3B3A3B"/>
          <w:sz w:val="18"/>
        </w:rPr>
        <w:t>other</w:t>
      </w:r>
    </w:p>
    <w:p>
      <w:pPr>
        <w:spacing w:line="256" w:lineRule="auto" w:before="0"/>
        <w:ind w:left="154" w:right="143" w:firstLine="5"/>
        <w:jc w:val="left"/>
        <w:rPr>
          <w:sz w:val="18"/>
        </w:rPr>
      </w:pPr>
      <w:r>
        <w:rPr>
          <w:color w:val="3B3A3B"/>
          <w:spacing w:val="-1"/>
          <w:w w:val="105"/>
          <w:sz w:val="18"/>
        </w:rPr>
        <w:t>hand,</w:t>
      </w:r>
      <w:r>
        <w:rPr>
          <w:color w:val="3B3A3B"/>
          <w:spacing w:val="-4"/>
          <w:w w:val="105"/>
          <w:sz w:val="18"/>
        </w:rPr>
        <w:t> </w:t>
      </w:r>
      <w:r>
        <w:rPr>
          <w:color w:val="3B3A3B"/>
          <w:w w:val="105"/>
          <w:sz w:val="18"/>
        </w:rPr>
        <w:t>might</w:t>
      </w:r>
      <w:r>
        <w:rPr>
          <w:color w:val="3B3A3B"/>
          <w:spacing w:val="-9"/>
          <w:w w:val="105"/>
          <w:sz w:val="18"/>
        </w:rPr>
        <w:t> </w:t>
      </w:r>
      <w:r>
        <w:rPr>
          <w:color w:val="3B3A3B"/>
          <w:w w:val="105"/>
          <w:sz w:val="18"/>
        </w:rPr>
        <w:t>focus</w:t>
      </w:r>
      <w:r>
        <w:rPr>
          <w:color w:val="3B3A3B"/>
          <w:spacing w:val="-26"/>
          <w:w w:val="105"/>
          <w:sz w:val="18"/>
        </w:rPr>
        <w:t> </w:t>
      </w:r>
      <w:r>
        <w:rPr>
          <w:color w:val="3B3A3B"/>
          <w:w w:val="105"/>
          <w:sz w:val="18"/>
        </w:rPr>
        <w:t>on</w:t>
      </w:r>
      <w:r>
        <w:rPr>
          <w:color w:val="3B3A3B"/>
          <w:spacing w:val="-12"/>
          <w:w w:val="105"/>
          <w:sz w:val="18"/>
        </w:rPr>
        <w:t> </w:t>
      </w:r>
      <w:r>
        <w:rPr>
          <w:color w:val="3B3A3B"/>
          <w:w w:val="105"/>
          <w:sz w:val="18"/>
        </w:rPr>
        <w:t>Congress</w:t>
      </w:r>
      <w:r>
        <w:rPr>
          <w:color w:val="3B3A3B"/>
          <w:spacing w:val="-17"/>
          <w:w w:val="105"/>
          <w:sz w:val="18"/>
        </w:rPr>
        <w:t> </w:t>
      </w:r>
      <w:r>
        <w:rPr>
          <w:color w:val="3B3A3B"/>
          <w:w w:val="105"/>
          <w:sz w:val="18"/>
        </w:rPr>
        <w:t>and</w:t>
      </w:r>
      <w:r>
        <w:rPr>
          <w:color w:val="3B3A3B"/>
          <w:spacing w:val="-7"/>
          <w:w w:val="105"/>
          <w:sz w:val="18"/>
        </w:rPr>
        <w:t> </w:t>
      </w:r>
      <w:r>
        <w:rPr>
          <w:color w:val="3B3A3B"/>
          <w:w w:val="105"/>
          <w:sz w:val="18"/>
        </w:rPr>
        <w:t>the</w:t>
      </w:r>
      <w:r>
        <w:rPr>
          <w:color w:val="3B3A3B"/>
          <w:spacing w:val="-5"/>
          <w:w w:val="105"/>
          <w:sz w:val="18"/>
        </w:rPr>
        <w:t> </w:t>
      </w:r>
      <w:r>
        <w:rPr>
          <w:color w:val="3B3A3B"/>
          <w:w w:val="105"/>
          <w:sz w:val="18"/>
        </w:rPr>
        <w:t>importance</w:t>
      </w:r>
      <w:r>
        <w:rPr>
          <w:color w:val="3B3A3B"/>
          <w:spacing w:val="-44"/>
          <w:w w:val="105"/>
          <w:sz w:val="18"/>
        </w:rPr>
        <w:t> </w:t>
      </w:r>
      <w:r>
        <w:rPr>
          <w:color w:val="3B3A3B"/>
          <w:w w:val="105"/>
          <w:sz w:val="18"/>
        </w:rPr>
        <w:t>of respecting Congress's decisions in certain lim­</w:t>
      </w:r>
      <w:r>
        <w:rPr>
          <w:color w:val="3B3A3B"/>
          <w:spacing w:val="1"/>
          <w:w w:val="105"/>
          <w:sz w:val="18"/>
        </w:rPr>
        <w:t> </w:t>
      </w:r>
      <w:r>
        <w:rPr>
          <w:color w:val="3B3A3B"/>
          <w:w w:val="105"/>
          <w:sz w:val="18"/>
        </w:rPr>
        <w:t>ited</w:t>
      </w:r>
      <w:r>
        <w:rPr>
          <w:color w:val="3B3A3B"/>
          <w:spacing w:val="-10"/>
          <w:w w:val="105"/>
          <w:sz w:val="18"/>
        </w:rPr>
        <w:t> </w:t>
      </w:r>
      <w:r>
        <w:rPr>
          <w:color w:val="3B3A3B"/>
          <w:w w:val="105"/>
          <w:sz w:val="18"/>
        </w:rPr>
        <w:t>areas</w:t>
      </w:r>
      <w:r>
        <w:rPr>
          <w:color w:val="3B3A3B"/>
          <w:spacing w:val="-24"/>
          <w:w w:val="105"/>
          <w:sz w:val="18"/>
        </w:rPr>
        <w:t> </w:t>
      </w:r>
      <w:r>
        <w:rPr>
          <w:color w:val="3B3A3B"/>
          <w:w w:val="105"/>
          <w:sz w:val="18"/>
        </w:rPr>
        <w:t>of</w:t>
      </w:r>
      <w:r>
        <w:rPr>
          <w:color w:val="3B3A3B"/>
          <w:spacing w:val="3"/>
          <w:w w:val="105"/>
          <w:sz w:val="18"/>
        </w:rPr>
        <w:t> </w:t>
      </w:r>
      <w:r>
        <w:rPr>
          <w:color w:val="3B3A3B"/>
          <w:w w:val="105"/>
          <w:sz w:val="18"/>
        </w:rPr>
        <w:t>law</w:t>
      </w:r>
      <w:r>
        <w:rPr>
          <w:color w:val="575759"/>
          <w:w w:val="105"/>
          <w:sz w:val="18"/>
        </w:rPr>
        <w:t>.</w:t>
      </w:r>
    </w:p>
    <w:p>
      <w:pPr>
        <w:spacing w:line="254" w:lineRule="auto" w:before="0"/>
        <w:ind w:left="164" w:right="143" w:firstLine="367"/>
        <w:jc w:val="left"/>
        <w:rPr>
          <w:sz w:val="18"/>
        </w:rPr>
      </w:pPr>
      <w:r>
        <w:rPr>
          <w:color w:val="3B3A3B"/>
          <w:spacing w:val="-1"/>
          <w:w w:val="105"/>
          <w:sz w:val="18"/>
        </w:rPr>
        <w:t>The</w:t>
      </w:r>
      <w:r>
        <w:rPr>
          <w:color w:val="3B3A3B"/>
          <w:w w:val="105"/>
          <w:sz w:val="18"/>
        </w:rPr>
        <w:t> </w:t>
      </w:r>
      <w:r>
        <w:rPr>
          <w:color w:val="3B3A3B"/>
          <w:spacing w:val="-1"/>
          <w:w w:val="105"/>
          <w:sz w:val="18"/>
        </w:rPr>
        <w:t>theme is particularly </w:t>
      </w:r>
      <w:r>
        <w:rPr>
          <w:color w:val="3B3A3B"/>
          <w:w w:val="105"/>
          <w:sz w:val="18"/>
        </w:rPr>
        <w:t>important in oral</w:t>
      </w:r>
      <w:r>
        <w:rPr>
          <w:color w:val="3B3A3B"/>
          <w:spacing w:val="1"/>
          <w:w w:val="105"/>
          <w:sz w:val="18"/>
        </w:rPr>
        <w:t> </w:t>
      </w:r>
      <w:r>
        <w:rPr>
          <w:color w:val="3B3A3B"/>
          <w:w w:val="105"/>
          <w:sz w:val="18"/>
        </w:rPr>
        <w:t>argument. Having a theme in mind can help you</w:t>
      </w:r>
      <w:r>
        <w:rPr>
          <w:color w:val="3B3A3B"/>
          <w:spacing w:val="1"/>
          <w:w w:val="105"/>
          <w:sz w:val="18"/>
        </w:rPr>
        <w:t> </w:t>
      </w:r>
      <w:r>
        <w:rPr>
          <w:color w:val="3B3A3B"/>
          <w:w w:val="105"/>
          <w:sz w:val="18"/>
        </w:rPr>
        <w:t>keep the court focused on the reason for a decision</w:t>
      </w:r>
      <w:r>
        <w:rPr>
          <w:color w:val="3B3A3B"/>
          <w:spacing w:val="-45"/>
          <w:w w:val="105"/>
          <w:sz w:val="18"/>
        </w:rPr>
        <w:t> </w:t>
      </w:r>
      <w:r>
        <w:rPr>
          <w:color w:val="3B3A3B"/>
          <w:w w:val="105"/>
          <w:sz w:val="18"/>
        </w:rPr>
        <w:t>in your favor. Frequently, when questions have led</w:t>
      </w:r>
      <w:r>
        <w:rPr>
          <w:color w:val="3B3A3B"/>
          <w:spacing w:val="-45"/>
          <w:w w:val="105"/>
          <w:sz w:val="18"/>
        </w:rPr>
        <w:t> </w:t>
      </w:r>
      <w:r>
        <w:rPr>
          <w:color w:val="3B3A3B"/>
          <w:w w:val="105"/>
          <w:sz w:val="18"/>
        </w:rPr>
        <w:t>you</w:t>
      </w:r>
      <w:r>
        <w:rPr>
          <w:color w:val="3B3A3B"/>
          <w:spacing w:val="-5"/>
          <w:w w:val="105"/>
          <w:sz w:val="18"/>
        </w:rPr>
        <w:t> </w:t>
      </w:r>
      <w:r>
        <w:rPr>
          <w:color w:val="3B3A3B"/>
          <w:w w:val="105"/>
          <w:sz w:val="18"/>
        </w:rPr>
        <w:t>away</w:t>
      </w:r>
      <w:r>
        <w:rPr>
          <w:color w:val="3B3A3B"/>
          <w:spacing w:val="9"/>
          <w:w w:val="105"/>
          <w:sz w:val="18"/>
        </w:rPr>
        <w:t> </w:t>
      </w:r>
      <w:r>
        <w:rPr>
          <w:color w:val="3B3A3B"/>
          <w:w w:val="105"/>
          <w:sz w:val="18"/>
        </w:rPr>
        <w:t>from</w:t>
      </w:r>
      <w:r>
        <w:rPr>
          <w:color w:val="3B3A3B"/>
          <w:spacing w:val="3"/>
          <w:w w:val="105"/>
          <w:sz w:val="18"/>
        </w:rPr>
        <w:t> </w:t>
      </w:r>
      <w:r>
        <w:rPr>
          <w:color w:val="3B3A3B"/>
          <w:w w:val="105"/>
          <w:sz w:val="18"/>
        </w:rPr>
        <w:t>the</w:t>
      </w:r>
      <w:r>
        <w:rPr>
          <w:color w:val="3B3A3B"/>
          <w:spacing w:val="-3"/>
          <w:w w:val="105"/>
          <w:sz w:val="18"/>
        </w:rPr>
        <w:t> </w:t>
      </w:r>
      <w:r>
        <w:rPr>
          <w:color w:val="3B3A3B"/>
          <w:w w:val="105"/>
          <w:sz w:val="18"/>
        </w:rPr>
        <w:t>pointof</w:t>
      </w:r>
      <w:r>
        <w:rPr>
          <w:color w:val="3B3A3B"/>
          <w:spacing w:val="15"/>
          <w:w w:val="105"/>
          <w:sz w:val="18"/>
        </w:rPr>
        <w:t> </w:t>
      </w:r>
      <w:r>
        <w:rPr>
          <w:color w:val="3B3A3B"/>
          <w:w w:val="105"/>
          <w:sz w:val="18"/>
        </w:rPr>
        <w:t>your</w:t>
      </w:r>
      <w:r>
        <w:rPr>
          <w:color w:val="3B3A3B"/>
          <w:spacing w:val="-10"/>
          <w:w w:val="105"/>
          <w:sz w:val="18"/>
        </w:rPr>
        <w:t> </w:t>
      </w:r>
      <w:r>
        <w:rPr>
          <w:color w:val="3B3A3B"/>
          <w:w w:val="105"/>
          <w:sz w:val="18"/>
        </w:rPr>
        <w:t>argument,</w:t>
      </w:r>
      <w:r>
        <w:rPr>
          <w:color w:val="3B3A3B"/>
          <w:spacing w:val="-7"/>
          <w:w w:val="105"/>
          <w:sz w:val="18"/>
        </w:rPr>
        <w:t> </w:t>
      </w:r>
      <w:r>
        <w:rPr>
          <w:color w:val="3B3A3B"/>
          <w:w w:val="105"/>
          <w:sz w:val="18"/>
        </w:rPr>
        <w:t>you</w:t>
      </w:r>
    </w:p>
    <w:p>
      <w:pPr>
        <w:spacing w:line="244" w:lineRule="auto" w:before="0"/>
        <w:ind w:left="179" w:right="0" w:hanging="6"/>
        <w:jc w:val="left"/>
        <w:rPr>
          <w:sz w:val="18"/>
        </w:rPr>
      </w:pPr>
      <w:r>
        <w:rPr>
          <w:color w:val="3B3A3B"/>
          <w:w w:val="105"/>
          <w:sz w:val="18"/>
        </w:rPr>
        <w:t>can recover by returning to your theme. This docs</w:t>
      </w:r>
      <w:r>
        <w:rPr>
          <w:color w:val="3B3A3B"/>
          <w:spacing w:val="1"/>
          <w:w w:val="105"/>
          <w:sz w:val="18"/>
        </w:rPr>
        <w:t> </w:t>
      </w:r>
      <w:r>
        <w:rPr>
          <w:color w:val="727475"/>
          <w:w w:val="105"/>
          <w:sz w:val="18"/>
        </w:rPr>
        <w:t>·</w:t>
      </w:r>
      <w:r>
        <w:rPr>
          <w:color w:val="727475"/>
          <w:spacing w:val="-45"/>
          <w:w w:val="105"/>
          <w:sz w:val="18"/>
        </w:rPr>
        <w:t> </w:t>
      </w:r>
      <w:r>
        <w:rPr>
          <w:color w:val="3B3A3B"/>
          <w:w w:val="105"/>
          <w:sz w:val="18"/>
        </w:rPr>
        <w:t>not</w:t>
      </w:r>
      <w:r>
        <w:rPr>
          <w:color w:val="3B3A3B"/>
          <w:spacing w:val="8"/>
          <w:w w:val="105"/>
          <w:sz w:val="18"/>
        </w:rPr>
        <w:t> </w:t>
      </w:r>
      <w:r>
        <w:rPr>
          <w:color w:val="3B3A3B"/>
          <w:w w:val="105"/>
          <w:sz w:val="18"/>
        </w:rPr>
        <w:t>mean</w:t>
      </w:r>
      <w:r>
        <w:rPr>
          <w:color w:val="3B3A3B"/>
          <w:spacing w:val="-10"/>
          <w:w w:val="105"/>
          <w:sz w:val="18"/>
        </w:rPr>
        <w:t> </w:t>
      </w:r>
      <w:r>
        <w:rPr>
          <w:color w:val="3B3A3B"/>
          <w:w w:val="105"/>
          <w:sz w:val="18"/>
        </w:rPr>
        <w:t>that</w:t>
      </w:r>
      <w:r>
        <w:rPr>
          <w:color w:val="3B3A3B"/>
          <w:spacing w:val="1"/>
          <w:w w:val="105"/>
          <w:sz w:val="18"/>
        </w:rPr>
        <w:t> </w:t>
      </w:r>
      <w:r>
        <w:rPr>
          <w:color w:val="3B3A3B"/>
          <w:w w:val="105"/>
          <w:sz w:val="18"/>
        </w:rPr>
        <w:t>you</w:t>
      </w:r>
      <w:r>
        <w:rPr>
          <w:color w:val="3B3A3B"/>
          <w:spacing w:val="-6"/>
          <w:w w:val="105"/>
          <w:sz w:val="18"/>
        </w:rPr>
        <w:t> </w:t>
      </w:r>
      <w:r>
        <w:rPr>
          <w:color w:val="3B3A3B"/>
          <w:w w:val="105"/>
          <w:sz w:val="18"/>
        </w:rPr>
        <w:t>can</w:t>
      </w:r>
      <w:r>
        <w:rPr>
          <w:color w:val="3B3A3B"/>
          <w:spacing w:val="14"/>
          <w:w w:val="105"/>
          <w:sz w:val="18"/>
        </w:rPr>
        <w:t> </w:t>
      </w:r>
      <w:r>
        <w:rPr>
          <w:color w:val="3B3A3B"/>
          <w:w w:val="105"/>
          <w:sz w:val="18"/>
        </w:rPr>
        <w:t>avoid</w:t>
      </w:r>
      <w:r>
        <w:rPr>
          <w:color w:val="3B3A3B"/>
          <w:spacing w:val="-15"/>
          <w:w w:val="105"/>
          <w:sz w:val="18"/>
        </w:rPr>
        <w:t> </w:t>
      </w:r>
      <w:r>
        <w:rPr>
          <w:color w:val="3B3A3B"/>
          <w:w w:val="105"/>
          <w:sz w:val="18"/>
        </w:rPr>
        <w:t>answering</w:t>
      </w:r>
      <w:r>
        <w:rPr>
          <w:color w:val="3B3A3B"/>
          <w:spacing w:val="3"/>
          <w:w w:val="105"/>
          <w:sz w:val="18"/>
        </w:rPr>
        <w:t> </w:t>
      </w:r>
      <w:r>
        <w:rPr>
          <w:color w:val="3B3A3B"/>
          <w:w w:val="105"/>
          <w:sz w:val="18"/>
        </w:rPr>
        <w:t>a</w:t>
      </w:r>
      <w:r>
        <w:rPr>
          <w:color w:val="3B3A3B"/>
          <w:spacing w:val="-4"/>
          <w:w w:val="105"/>
          <w:sz w:val="18"/>
        </w:rPr>
        <w:t> </w:t>
      </w:r>
      <w:r>
        <w:rPr>
          <w:color w:val="3B3A3B"/>
          <w:w w:val="105"/>
          <w:sz w:val="18"/>
        </w:rPr>
        <w:t>question.</w:t>
      </w:r>
    </w:p>
    <w:p>
      <w:pPr>
        <w:spacing w:line="252" w:lineRule="auto" w:before="2"/>
        <w:ind w:left="178" w:right="220" w:firstLine="6"/>
        <w:jc w:val="left"/>
        <w:rPr>
          <w:sz w:val="18"/>
        </w:rPr>
      </w:pPr>
      <w:r>
        <w:rPr>
          <w:color w:val="3B3A3B"/>
          <w:w w:val="105"/>
          <w:sz w:val="18"/>
        </w:rPr>
        <w:t>Instead</w:t>
      </w:r>
      <w:r>
        <w:rPr>
          <w:color w:val="575759"/>
          <w:w w:val="105"/>
          <w:sz w:val="18"/>
        </w:rPr>
        <w:t>,</w:t>
      </w:r>
      <w:r>
        <w:rPr>
          <w:color w:val="575759"/>
          <w:spacing w:val="1"/>
          <w:w w:val="105"/>
          <w:sz w:val="18"/>
        </w:rPr>
        <w:t> </w:t>
      </w:r>
      <w:r>
        <w:rPr>
          <w:color w:val="3B3A3B"/>
          <w:w w:val="105"/>
          <w:sz w:val="18"/>
        </w:rPr>
        <w:t>answer  the question, and  then remind</w:t>
      </w:r>
      <w:r>
        <w:rPr>
          <w:color w:val="3B3A3B"/>
          <w:spacing w:val="1"/>
          <w:w w:val="105"/>
          <w:sz w:val="18"/>
        </w:rPr>
        <w:t> </w:t>
      </w:r>
      <w:r>
        <w:rPr>
          <w:color w:val="3B3A3B"/>
          <w:w w:val="105"/>
          <w:sz w:val="18"/>
        </w:rPr>
        <w:t>the court of your theme</w:t>
      </w:r>
      <w:r>
        <w:rPr>
          <w:color w:val="727475"/>
          <w:w w:val="105"/>
          <w:sz w:val="18"/>
        </w:rPr>
        <w:t>. </w:t>
      </w:r>
      <w:r>
        <w:rPr>
          <w:color w:val="3B3A3B"/>
          <w:w w:val="105"/>
          <w:sz w:val="18"/>
        </w:rPr>
        <w:t>For example, if counsel</w:t>
      </w:r>
      <w:r>
        <w:rPr>
          <w:color w:val="3B3A3B"/>
          <w:spacing w:val="1"/>
          <w:w w:val="105"/>
          <w:sz w:val="18"/>
        </w:rPr>
        <w:t> </w:t>
      </w:r>
      <w:r>
        <w:rPr>
          <w:color w:val="3B3A3B"/>
          <w:w w:val="105"/>
          <w:sz w:val="18"/>
        </w:rPr>
        <w:t>for the government</w:t>
      </w:r>
      <w:r>
        <w:rPr>
          <w:color w:val="3B3A3B"/>
          <w:spacing w:val="1"/>
          <w:w w:val="105"/>
          <w:sz w:val="18"/>
        </w:rPr>
        <w:t> </w:t>
      </w:r>
      <w:r>
        <w:rPr>
          <w:color w:val="3B3A3B"/>
          <w:w w:val="105"/>
          <w:sz w:val="18"/>
        </w:rPr>
        <w:t>were asked about the irrcbut•</w:t>
      </w:r>
      <w:r>
        <w:rPr>
          <w:color w:val="3B3A3B"/>
          <w:spacing w:val="-45"/>
          <w:w w:val="105"/>
          <w:sz w:val="18"/>
        </w:rPr>
        <w:t> </w:t>
      </w:r>
      <w:r>
        <w:rPr>
          <w:color w:val="3B3A3B"/>
          <w:w w:val="105"/>
          <w:sz w:val="18"/>
        </w:rPr>
        <w:t>table gender stereotype in the statute, he or she</w:t>
      </w:r>
      <w:r>
        <w:rPr>
          <w:color w:val="3B3A3B"/>
          <w:spacing w:val="1"/>
          <w:w w:val="105"/>
          <w:sz w:val="18"/>
        </w:rPr>
        <w:t> </w:t>
      </w:r>
      <w:r>
        <w:rPr>
          <w:color w:val="3B3A3B"/>
          <w:w w:val="105"/>
          <w:sz w:val="18"/>
        </w:rPr>
        <w:t>could</w:t>
      </w:r>
      <w:r>
        <w:rPr>
          <w:color w:val="3B3A3B"/>
          <w:spacing w:val="8"/>
          <w:w w:val="105"/>
          <w:sz w:val="18"/>
        </w:rPr>
        <w:t> </w:t>
      </w:r>
      <w:r>
        <w:rPr>
          <w:color w:val="3B3A3B"/>
          <w:w w:val="105"/>
          <w:sz w:val="18"/>
        </w:rPr>
        <w:t>provide</w:t>
      </w:r>
      <w:r>
        <w:rPr>
          <w:color w:val="3B3A3B"/>
          <w:spacing w:val="-2"/>
          <w:w w:val="105"/>
          <w:sz w:val="18"/>
        </w:rPr>
        <w:t> </w:t>
      </w:r>
      <w:r>
        <w:rPr>
          <w:color w:val="3B3A3B"/>
          <w:w w:val="105"/>
          <w:sz w:val="18"/>
        </w:rPr>
        <w:t>a</w:t>
      </w:r>
      <w:r>
        <w:rPr>
          <w:color w:val="3B3A3B"/>
          <w:spacing w:val="-4"/>
          <w:w w:val="105"/>
          <w:sz w:val="18"/>
        </w:rPr>
        <w:t> </w:t>
      </w:r>
      <w:r>
        <w:rPr>
          <w:color w:val="3B3A3B"/>
          <w:w w:val="105"/>
          <w:sz w:val="18"/>
        </w:rPr>
        <w:t>sub</w:t>
      </w:r>
      <w:r>
        <w:rPr>
          <w:color w:val="575759"/>
          <w:w w:val="105"/>
          <w:sz w:val="18"/>
        </w:rPr>
        <w:t>s</w:t>
      </w:r>
      <w:r>
        <w:rPr>
          <w:color w:val="3B3A3B"/>
          <w:w w:val="105"/>
          <w:sz w:val="18"/>
        </w:rPr>
        <w:t>tantive</w:t>
      </w:r>
      <w:r>
        <w:rPr>
          <w:color w:val="3B3A3B"/>
          <w:spacing w:val="14"/>
          <w:w w:val="105"/>
          <w:sz w:val="18"/>
        </w:rPr>
        <w:t> </w:t>
      </w:r>
      <w:r>
        <w:rPr>
          <w:rFonts w:ascii="Arial" w:hAnsi="Arial"/>
          <w:b/>
          <w:color w:val="3B3A3B"/>
          <w:w w:val="105"/>
          <w:sz w:val="15"/>
        </w:rPr>
        <w:t>answer</w:t>
      </w:r>
      <w:r>
        <w:rPr>
          <w:rFonts w:ascii="Arial" w:hAnsi="Arial"/>
          <w:b/>
          <w:color w:val="575759"/>
          <w:w w:val="105"/>
          <w:sz w:val="15"/>
        </w:rPr>
        <w:t>,</w:t>
      </w:r>
      <w:r>
        <w:rPr>
          <w:rFonts w:ascii="Arial" w:hAnsi="Arial"/>
          <w:b/>
          <w:color w:val="575759"/>
          <w:spacing w:val="11"/>
          <w:w w:val="105"/>
          <w:sz w:val="15"/>
        </w:rPr>
        <w:t> </w:t>
      </w:r>
      <w:r>
        <w:rPr>
          <w:color w:val="3B3A3B"/>
          <w:w w:val="105"/>
          <w:sz w:val="18"/>
        </w:rPr>
        <w:t>but</w:t>
      </w:r>
      <w:r>
        <w:rPr>
          <w:color w:val="3B3A3B"/>
          <w:spacing w:val="-9"/>
          <w:w w:val="105"/>
          <w:sz w:val="18"/>
        </w:rPr>
        <w:t> </w:t>
      </w:r>
      <w:r>
        <w:rPr>
          <w:color w:val="3B3A3B"/>
          <w:w w:val="105"/>
          <w:sz w:val="18"/>
        </w:rPr>
        <w:t>then</w:t>
      </w:r>
      <w:r>
        <w:rPr>
          <w:color w:val="3B3A3B"/>
          <w:spacing w:val="-4"/>
          <w:w w:val="105"/>
          <w:sz w:val="18"/>
        </w:rPr>
        <w:t> </w:t>
      </w:r>
      <w:r>
        <w:rPr>
          <w:color w:val="3B3A3B"/>
          <w:w w:val="105"/>
          <w:sz w:val="18"/>
        </w:rPr>
        <w:t>say,</w:t>
      </w:r>
      <w:r>
        <w:rPr>
          <w:color w:val="3B3A3B"/>
          <w:spacing w:val="-44"/>
          <w:w w:val="105"/>
          <w:sz w:val="18"/>
        </w:rPr>
        <w:t> </w:t>
      </w:r>
      <w:r>
        <w:rPr>
          <w:color w:val="3B3A3B"/>
          <w:w w:val="105"/>
          <w:sz w:val="18"/>
        </w:rPr>
        <w:t>e</w:t>
      </w:r>
      <w:r>
        <w:rPr>
          <w:color w:val="575759"/>
          <w:w w:val="105"/>
          <w:sz w:val="18"/>
        </w:rPr>
        <w:t>.</w:t>
      </w:r>
      <w:r>
        <w:rPr>
          <w:color w:val="3B3A3B"/>
          <w:w w:val="105"/>
          <w:sz w:val="18"/>
        </w:rPr>
        <w:t>g.</w:t>
      </w:r>
      <w:r>
        <w:rPr>
          <w:color w:val="575759"/>
          <w:w w:val="105"/>
          <w:sz w:val="18"/>
        </w:rPr>
        <w:t>,</w:t>
      </w:r>
      <w:r>
        <w:rPr>
          <w:color w:val="575759"/>
          <w:spacing w:val="4"/>
          <w:w w:val="105"/>
          <w:sz w:val="18"/>
        </w:rPr>
        <w:t> </w:t>
      </w:r>
      <w:r>
        <w:rPr>
          <w:color w:val="3B3A3B"/>
          <w:w w:val="105"/>
          <w:sz w:val="18"/>
        </w:rPr>
        <w:t>"this</w:t>
      </w:r>
      <w:r>
        <w:rPr>
          <w:color w:val="3B3A3B"/>
          <w:spacing w:val="-11"/>
          <w:w w:val="105"/>
          <w:sz w:val="18"/>
        </w:rPr>
        <w:t> </w:t>
      </w:r>
      <w:r>
        <w:rPr>
          <w:color w:val="3B3A3B"/>
          <w:w w:val="105"/>
          <w:sz w:val="18"/>
        </w:rPr>
        <w:t>Court</w:t>
      </w:r>
      <w:r>
        <w:rPr>
          <w:color w:val="3B3A3B"/>
          <w:spacing w:val="10"/>
          <w:w w:val="105"/>
          <w:sz w:val="18"/>
        </w:rPr>
        <w:t> </w:t>
      </w:r>
      <w:r>
        <w:rPr>
          <w:color w:val="3B3A3B"/>
          <w:w w:val="105"/>
          <w:sz w:val="18"/>
        </w:rPr>
        <w:t>has</w:t>
      </w:r>
      <w:r>
        <w:rPr>
          <w:color w:val="3B3A3B"/>
          <w:spacing w:val="-5"/>
          <w:w w:val="105"/>
          <w:sz w:val="18"/>
        </w:rPr>
        <w:t> </w:t>
      </w:r>
      <w:r>
        <w:rPr>
          <w:color w:val="3B3A3B"/>
          <w:w w:val="105"/>
          <w:sz w:val="18"/>
        </w:rPr>
        <w:t>never</w:t>
      </w:r>
      <w:r>
        <w:rPr>
          <w:color w:val="3B3A3B"/>
          <w:spacing w:val="-10"/>
          <w:w w:val="105"/>
          <w:sz w:val="18"/>
        </w:rPr>
        <w:t> </w:t>
      </w:r>
      <w:r>
        <w:rPr>
          <w:color w:val="3B3A3B"/>
          <w:w w:val="105"/>
          <w:sz w:val="18"/>
        </w:rPr>
        <w:t>examined</w:t>
      </w:r>
      <w:r>
        <w:rPr>
          <w:color w:val="3B3A3B"/>
          <w:spacing w:val="19"/>
          <w:w w:val="105"/>
          <w:sz w:val="18"/>
        </w:rPr>
        <w:t> </w:t>
      </w:r>
      <w:r>
        <w:rPr>
          <w:color w:val="3B3A3B"/>
          <w:w w:val="105"/>
          <w:sz w:val="18"/>
        </w:rPr>
        <w:t>this</w:t>
      </w:r>
      <w:r>
        <w:rPr>
          <w:color w:val="3B3A3B"/>
          <w:spacing w:val="-2"/>
          <w:w w:val="105"/>
          <w:sz w:val="18"/>
        </w:rPr>
        <w:t> </w:t>
      </w:r>
      <w:r>
        <w:rPr>
          <w:color w:val="3B3A3B"/>
          <w:w w:val="105"/>
          <w:sz w:val="18"/>
        </w:rPr>
        <w:t>type</w:t>
      </w:r>
      <w:r>
        <w:rPr>
          <w:color w:val="3B3A3B"/>
          <w:spacing w:val="-18"/>
          <w:w w:val="105"/>
          <w:sz w:val="18"/>
        </w:rPr>
        <w:t> </w:t>
      </w:r>
      <w:r>
        <w:rPr>
          <w:color w:val="3B3A3B"/>
          <w:w w:val="105"/>
          <w:sz w:val="18"/>
        </w:rPr>
        <w:t>of</w:t>
      </w:r>
    </w:p>
    <w:p>
      <w:pPr>
        <w:tabs>
          <w:tab w:pos="3942" w:val="left" w:leader="none"/>
        </w:tabs>
        <w:spacing w:line="256" w:lineRule="auto" w:before="0"/>
        <w:ind w:left="193" w:right="38" w:hanging="1"/>
        <w:jc w:val="left"/>
        <w:rPr>
          <w:rFonts w:ascii="Arial" w:hAnsi="Arial"/>
          <w:sz w:val="15"/>
        </w:rPr>
      </w:pPr>
      <w:r>
        <w:rPr>
          <w:color w:val="3B3A3B"/>
          <w:w w:val="105"/>
          <w:sz w:val="18"/>
        </w:rPr>
        <w:t>claim</w:t>
      </w:r>
      <w:r>
        <w:rPr>
          <w:color w:val="3B3A3B"/>
          <w:spacing w:val="3"/>
          <w:w w:val="105"/>
          <w:sz w:val="18"/>
        </w:rPr>
        <w:t> </w:t>
      </w:r>
      <w:r>
        <w:rPr>
          <w:color w:val="3B3A3B"/>
          <w:w w:val="105"/>
          <w:sz w:val="18"/>
        </w:rPr>
        <w:t>in</w:t>
      </w:r>
      <w:r>
        <w:rPr>
          <w:color w:val="3B3A3B"/>
          <w:spacing w:val="-2"/>
          <w:w w:val="105"/>
          <w:sz w:val="18"/>
        </w:rPr>
        <w:t> </w:t>
      </w:r>
      <w:r>
        <w:rPr>
          <w:color w:val="3B3A3B"/>
          <w:w w:val="105"/>
          <w:sz w:val="18"/>
        </w:rPr>
        <w:t>an</w:t>
      </w:r>
      <w:r>
        <w:rPr>
          <w:color w:val="3B3A3B"/>
          <w:spacing w:val="7"/>
          <w:w w:val="105"/>
          <w:sz w:val="18"/>
        </w:rPr>
        <w:t> </w:t>
      </w:r>
      <w:r>
        <w:rPr>
          <w:color w:val="3B3A3B"/>
          <w:w w:val="105"/>
          <w:sz w:val="18"/>
        </w:rPr>
        <w:t>immigration</w:t>
      </w:r>
      <w:r>
        <w:rPr>
          <w:color w:val="3B3A3B"/>
          <w:spacing w:val="-1"/>
          <w:w w:val="105"/>
          <w:sz w:val="18"/>
        </w:rPr>
        <w:t> </w:t>
      </w:r>
      <w:r>
        <w:rPr>
          <w:color w:val="3B3A3B"/>
          <w:w w:val="105"/>
          <w:sz w:val="18"/>
        </w:rPr>
        <w:t>statute</w:t>
      </w:r>
      <w:r>
        <w:rPr>
          <w:color w:val="575759"/>
          <w:w w:val="105"/>
          <w:sz w:val="18"/>
        </w:rPr>
        <w:t>,</w:t>
      </w:r>
      <w:r>
        <w:rPr>
          <w:color w:val="575759"/>
          <w:spacing w:val="-2"/>
          <w:w w:val="105"/>
          <w:sz w:val="18"/>
        </w:rPr>
        <w:t> </w:t>
      </w:r>
      <w:r>
        <w:rPr>
          <w:color w:val="3B3A3B"/>
          <w:w w:val="105"/>
          <w:sz w:val="18"/>
        </w:rPr>
        <w:t>because</w:t>
      </w:r>
      <w:r>
        <w:rPr>
          <w:color w:val="3B3A3B"/>
          <w:spacing w:val="8"/>
          <w:w w:val="105"/>
          <w:sz w:val="18"/>
        </w:rPr>
        <w:t> </w:t>
      </w:r>
      <w:r>
        <w:rPr>
          <w:color w:val="3B3A3B"/>
          <w:w w:val="105"/>
          <w:sz w:val="18"/>
        </w:rPr>
        <w:t>the</w:t>
      </w:r>
      <w:r>
        <w:rPr>
          <w:color w:val="3B3A3B"/>
          <w:spacing w:val="-2"/>
          <w:w w:val="105"/>
          <w:sz w:val="18"/>
        </w:rPr>
        <w:t> </w:t>
      </w:r>
      <w:r>
        <w:rPr>
          <w:color w:val="3B3A3B"/>
          <w:w w:val="105"/>
          <w:sz w:val="18"/>
        </w:rPr>
        <w:t>Court</w:t>
      </w:r>
      <w:r>
        <w:rPr>
          <w:color w:val="A5A7AA"/>
          <w:w w:val="105"/>
          <w:sz w:val="18"/>
        </w:rPr>
        <w:t>_</w:t>
      </w:r>
      <w:r>
        <w:rPr>
          <w:color w:val="A5A7AA"/>
          <w:spacing w:val="-44"/>
          <w:w w:val="105"/>
          <w:sz w:val="18"/>
        </w:rPr>
        <w:t> </w:t>
      </w:r>
      <w:r>
        <w:rPr>
          <w:color w:val="3B3A3B"/>
          <w:spacing w:val="-1"/>
          <w:w w:val="110"/>
          <w:sz w:val="18"/>
        </w:rPr>
        <w:t>defers</w:t>
      </w:r>
      <w:r>
        <w:rPr>
          <w:color w:val="3B3A3B"/>
          <w:spacing w:val="-3"/>
          <w:w w:val="110"/>
          <w:sz w:val="18"/>
        </w:rPr>
        <w:t> </w:t>
      </w:r>
      <w:r>
        <w:rPr>
          <w:color w:val="3B3A3B"/>
          <w:spacing w:val="-1"/>
          <w:w w:val="110"/>
          <w:sz w:val="18"/>
        </w:rPr>
        <w:t>to</w:t>
      </w:r>
      <w:r>
        <w:rPr>
          <w:color w:val="3B3A3B"/>
          <w:spacing w:val="-23"/>
          <w:w w:val="110"/>
          <w:sz w:val="18"/>
        </w:rPr>
        <w:t> </w:t>
      </w:r>
      <w:r>
        <w:rPr>
          <w:color w:val="3B3A3B"/>
          <w:spacing w:val="-1"/>
          <w:w w:val="110"/>
          <w:sz w:val="18"/>
        </w:rPr>
        <w:t>Congress</w:t>
      </w:r>
      <w:r>
        <w:rPr>
          <w:color w:val="3B3A3B"/>
          <w:spacing w:val="-10"/>
          <w:w w:val="110"/>
          <w:sz w:val="18"/>
        </w:rPr>
        <w:t> </w:t>
      </w:r>
      <w:r>
        <w:rPr>
          <w:color w:val="3B3A3B"/>
          <w:spacing w:val="-1"/>
          <w:w w:val="110"/>
          <w:sz w:val="18"/>
        </w:rPr>
        <w:t>in</w:t>
      </w:r>
      <w:r>
        <w:rPr>
          <w:color w:val="3B3A3B"/>
          <w:spacing w:val="-6"/>
          <w:w w:val="110"/>
          <w:sz w:val="18"/>
        </w:rPr>
        <w:t> </w:t>
      </w:r>
      <w:r>
        <w:rPr>
          <w:color w:val="3B3A3B"/>
          <w:w w:val="110"/>
          <w:sz w:val="18"/>
        </w:rPr>
        <w:t>this</w:t>
      </w:r>
      <w:r>
        <w:rPr>
          <w:color w:val="3B3A3B"/>
          <w:spacing w:val="-18"/>
          <w:w w:val="110"/>
          <w:sz w:val="18"/>
        </w:rPr>
        <w:t> </w:t>
      </w:r>
      <w:r>
        <w:rPr>
          <w:rFonts w:ascii="Arial" w:hAnsi="Arial"/>
          <w:b/>
          <w:color w:val="3B3A3B"/>
          <w:w w:val="110"/>
          <w:sz w:val="15"/>
        </w:rPr>
        <w:t>area."</w:t>
        <w:tab/>
      </w:r>
      <w:r>
        <w:rPr>
          <w:rFonts w:ascii="Arial" w:hAnsi="Arial"/>
          <w:color w:val="A5A7AA"/>
          <w:w w:val="110"/>
          <w:sz w:val="15"/>
        </w:rPr>
        <w:t>·</w:t>
      </w:r>
    </w:p>
    <w:p>
      <w:pPr>
        <w:spacing w:line="252" w:lineRule="auto" w:before="0"/>
        <w:ind w:left="207" w:right="91" w:firstLine="382"/>
        <w:jc w:val="left"/>
        <w:rPr>
          <w:sz w:val="18"/>
        </w:rPr>
      </w:pPr>
      <w:r>
        <w:rPr>
          <w:color w:val="3B3A3B"/>
          <w:w w:val="105"/>
          <w:sz w:val="18"/>
        </w:rPr>
        <w:t>In other words, a good theme is a statement</w:t>
      </w:r>
      <w:r>
        <w:rPr>
          <w:color w:val="3B3A3B"/>
          <w:spacing w:val="1"/>
          <w:w w:val="105"/>
          <w:sz w:val="18"/>
        </w:rPr>
        <w:t> </w:t>
      </w:r>
      <w:r>
        <w:rPr>
          <w:color w:val="3B3A3B"/>
          <w:w w:val="105"/>
          <w:sz w:val="18"/>
        </w:rPr>
        <w:t>that</w:t>
      </w:r>
      <w:r>
        <w:rPr>
          <w:color w:val="3B3A3B"/>
          <w:spacing w:val="-2"/>
          <w:w w:val="105"/>
          <w:sz w:val="18"/>
        </w:rPr>
        <w:t> </w:t>
      </w:r>
      <w:r>
        <w:rPr>
          <w:color w:val="3B3A3B"/>
          <w:w w:val="105"/>
          <w:sz w:val="18"/>
        </w:rPr>
        <w:t>is</w:t>
      </w:r>
      <w:r>
        <w:rPr>
          <w:color w:val="3B3A3B"/>
          <w:spacing w:val="11"/>
          <w:w w:val="105"/>
          <w:sz w:val="18"/>
        </w:rPr>
        <w:t> </w:t>
      </w:r>
      <w:r>
        <w:rPr>
          <w:color w:val="3B3A3B"/>
          <w:w w:val="105"/>
          <w:sz w:val="18"/>
        </w:rPr>
        <w:t>tme</w:t>
      </w:r>
      <w:r>
        <w:rPr>
          <w:color w:val="3B3A3B"/>
          <w:spacing w:val="8"/>
          <w:w w:val="105"/>
          <w:sz w:val="18"/>
        </w:rPr>
        <w:t> </w:t>
      </w:r>
      <w:r>
        <w:rPr>
          <w:color w:val="3B3A3B"/>
          <w:w w:val="105"/>
          <w:sz w:val="18"/>
        </w:rPr>
        <w:t>even</w:t>
      </w:r>
      <w:r>
        <w:rPr>
          <w:color w:val="3B3A3B"/>
          <w:spacing w:val="7"/>
          <w:w w:val="105"/>
          <w:sz w:val="18"/>
        </w:rPr>
        <w:t> </w:t>
      </w:r>
      <w:r>
        <w:rPr>
          <w:color w:val="3B3A3B"/>
          <w:w w:val="105"/>
          <w:sz w:val="18"/>
        </w:rPr>
        <w:t>in</w:t>
      </w:r>
      <w:r>
        <w:rPr>
          <w:color w:val="3B3A3B"/>
          <w:spacing w:val="-7"/>
          <w:w w:val="105"/>
          <w:sz w:val="18"/>
        </w:rPr>
        <w:t> </w:t>
      </w:r>
      <w:r>
        <w:rPr>
          <w:color w:val="3B3A3B"/>
          <w:w w:val="105"/>
          <w:sz w:val="18"/>
        </w:rPr>
        <w:t>the</w:t>
      </w:r>
      <w:r>
        <w:rPr>
          <w:color w:val="3B3A3B"/>
          <w:spacing w:val="4"/>
          <w:w w:val="105"/>
          <w:sz w:val="18"/>
        </w:rPr>
        <w:t> </w:t>
      </w:r>
      <w:r>
        <w:rPr>
          <w:color w:val="3B3A3B"/>
          <w:w w:val="105"/>
          <w:sz w:val="18"/>
        </w:rPr>
        <w:t>face</w:t>
      </w:r>
      <w:r>
        <w:rPr>
          <w:color w:val="3B3A3B"/>
          <w:spacing w:val="-10"/>
          <w:w w:val="105"/>
          <w:sz w:val="18"/>
        </w:rPr>
        <w:t> </w:t>
      </w:r>
      <w:r>
        <w:rPr>
          <w:color w:val="3B3A3B"/>
          <w:w w:val="105"/>
          <w:sz w:val="18"/>
        </w:rPr>
        <w:t>of</w:t>
      </w:r>
      <w:r>
        <w:rPr>
          <w:color w:val="3B3A3B"/>
          <w:spacing w:val="5"/>
          <w:w w:val="105"/>
          <w:sz w:val="18"/>
        </w:rPr>
        <w:t> </w:t>
      </w:r>
      <w:r>
        <w:rPr>
          <w:color w:val="3B3A3B"/>
          <w:w w:val="105"/>
          <w:sz w:val="18"/>
        </w:rPr>
        <w:t>your</w:t>
      </w:r>
      <w:r>
        <w:rPr>
          <w:color w:val="3B3A3B"/>
          <w:spacing w:val="-12"/>
          <w:w w:val="105"/>
          <w:sz w:val="18"/>
        </w:rPr>
        <w:t> </w:t>
      </w:r>
      <w:r>
        <w:rPr>
          <w:color w:val="3B3A3B"/>
          <w:w w:val="105"/>
          <w:sz w:val="18"/>
        </w:rPr>
        <w:t>opponent's</w:t>
      </w:r>
      <w:r>
        <w:rPr>
          <w:color w:val="3B3A3B"/>
          <w:spacing w:val="6"/>
          <w:w w:val="105"/>
          <w:sz w:val="18"/>
        </w:rPr>
        <w:t> </w:t>
      </w:r>
      <w:r>
        <w:rPr>
          <w:color w:val="3B3A3B"/>
          <w:w w:val="105"/>
          <w:sz w:val="18"/>
        </w:rPr>
        <w:t>best</w:t>
      </w:r>
      <w:r>
        <w:rPr>
          <w:color w:val="3B3A3B"/>
          <w:spacing w:val="-45"/>
          <w:w w:val="105"/>
          <w:sz w:val="18"/>
        </w:rPr>
        <w:t> </w:t>
      </w:r>
      <w:r>
        <w:rPr>
          <w:color w:val="3B3A3B"/>
          <w:w w:val="105"/>
          <w:sz w:val="18"/>
        </w:rPr>
        <w:t>point. A theme is not a statement of how a legal</w:t>
      </w:r>
      <w:r>
        <w:rPr>
          <w:color w:val="3B3A3B"/>
          <w:spacing w:val="1"/>
          <w:w w:val="105"/>
          <w:sz w:val="18"/>
        </w:rPr>
        <w:t> </w:t>
      </w:r>
      <w:r>
        <w:rPr>
          <w:color w:val="3B3A3B"/>
          <w:w w:val="105"/>
          <w:sz w:val="18"/>
        </w:rPr>
        <w:t>rule applies, because the court may accept or reject</w:t>
      </w:r>
      <w:r>
        <w:rPr>
          <w:color w:val="3B3A3B"/>
          <w:spacing w:val="-45"/>
          <w:w w:val="105"/>
          <w:sz w:val="18"/>
        </w:rPr>
        <w:t> </w:t>
      </w:r>
      <w:r>
        <w:rPr>
          <w:rFonts w:ascii="Arial"/>
          <w:b/>
          <w:color w:val="3B3A3B"/>
          <w:w w:val="105"/>
          <w:sz w:val="15"/>
        </w:rPr>
        <w:t>a </w:t>
      </w:r>
      <w:r>
        <w:rPr>
          <w:color w:val="3B3A3B"/>
          <w:w w:val="105"/>
          <w:sz w:val="18"/>
        </w:rPr>
        <w:t>statement of this type</w:t>
      </w:r>
      <w:r>
        <w:rPr>
          <w:color w:val="575759"/>
          <w:w w:val="105"/>
          <w:sz w:val="18"/>
        </w:rPr>
        <w:t>. </w:t>
      </w:r>
      <w:r>
        <w:rPr>
          <w:color w:val="3B3A3B"/>
          <w:w w:val="105"/>
          <w:sz w:val="18"/>
        </w:rPr>
        <w:t>Instead, it is based on </w:t>
      </w:r>
      <w:r>
        <w:rPr>
          <w:i/>
          <w:color w:val="3B3A3B"/>
          <w:w w:val="105"/>
          <w:sz w:val="17"/>
        </w:rPr>
        <w:t>why</w:t>
      </w:r>
      <w:r>
        <w:rPr>
          <w:i/>
          <w:color w:val="3B3A3B"/>
          <w:spacing w:val="1"/>
          <w:w w:val="105"/>
          <w:sz w:val="17"/>
        </w:rPr>
        <w:t> </w:t>
      </w:r>
      <w:r>
        <w:rPr>
          <w:color w:val="3B3A3B"/>
          <w:w w:val="105"/>
          <w:sz w:val="18"/>
        </w:rPr>
        <w:t>the</w:t>
      </w:r>
      <w:r>
        <w:rPr>
          <w:color w:val="3B3A3B"/>
          <w:spacing w:val="-13"/>
          <w:w w:val="105"/>
          <w:sz w:val="18"/>
        </w:rPr>
        <w:t> </w:t>
      </w:r>
      <w:r>
        <w:rPr>
          <w:color w:val="3B3A3B"/>
          <w:w w:val="105"/>
          <w:sz w:val="18"/>
        </w:rPr>
        <w:t>court</w:t>
      </w:r>
      <w:r>
        <w:rPr>
          <w:color w:val="3B3A3B"/>
          <w:spacing w:val="-17"/>
          <w:w w:val="105"/>
          <w:sz w:val="18"/>
        </w:rPr>
        <w:t> </w:t>
      </w:r>
      <w:r>
        <w:rPr>
          <w:color w:val="3B3A3B"/>
          <w:w w:val="105"/>
          <w:sz w:val="18"/>
        </w:rPr>
        <w:t>should</w:t>
      </w:r>
      <w:r>
        <w:rPr>
          <w:color w:val="3B3A3B"/>
          <w:spacing w:val="-12"/>
          <w:w w:val="105"/>
          <w:sz w:val="18"/>
        </w:rPr>
        <w:t> </w:t>
      </w:r>
      <w:r>
        <w:rPr>
          <w:color w:val="3B3A3B"/>
          <w:w w:val="105"/>
          <w:sz w:val="18"/>
        </w:rPr>
        <w:t>apply</w:t>
      </w:r>
      <w:r>
        <w:rPr>
          <w:color w:val="3B3A3B"/>
          <w:spacing w:val="-13"/>
          <w:w w:val="105"/>
          <w:sz w:val="18"/>
        </w:rPr>
        <w:t> </w:t>
      </w:r>
      <w:r>
        <w:rPr>
          <w:color w:val="3B3A3B"/>
          <w:w w:val="105"/>
          <w:sz w:val="18"/>
        </w:rPr>
        <w:t>the</w:t>
      </w:r>
      <w:r>
        <w:rPr>
          <w:color w:val="3B3A3B"/>
          <w:spacing w:val="2"/>
          <w:w w:val="105"/>
          <w:sz w:val="18"/>
        </w:rPr>
        <w:t> </w:t>
      </w:r>
      <w:r>
        <w:rPr>
          <w:color w:val="3B3A3B"/>
          <w:w w:val="105"/>
          <w:sz w:val="18"/>
        </w:rPr>
        <w:t>rule in</w:t>
      </w:r>
      <w:r>
        <w:rPr>
          <w:color w:val="3B3A3B"/>
          <w:spacing w:val="-10"/>
          <w:w w:val="105"/>
          <w:sz w:val="18"/>
        </w:rPr>
        <w:t> </w:t>
      </w:r>
      <w:r>
        <w:rPr>
          <w:color w:val="3B3A3B"/>
          <w:w w:val="105"/>
          <w:sz w:val="18"/>
        </w:rPr>
        <w:t>a</w:t>
      </w:r>
      <w:r>
        <w:rPr>
          <w:color w:val="3B3A3B"/>
          <w:spacing w:val="-2"/>
          <w:w w:val="105"/>
          <w:sz w:val="18"/>
        </w:rPr>
        <w:t> </w:t>
      </w:r>
      <w:r>
        <w:rPr>
          <w:color w:val="3B3A3B"/>
          <w:w w:val="105"/>
          <w:sz w:val="18"/>
        </w:rPr>
        <w:t>certain</w:t>
      </w:r>
      <w:r>
        <w:rPr>
          <w:color w:val="3B3A3B"/>
          <w:spacing w:val="-9"/>
          <w:w w:val="105"/>
          <w:sz w:val="18"/>
        </w:rPr>
        <w:t> </w:t>
      </w:r>
      <w:r>
        <w:rPr>
          <w:color w:val="3B3A3B"/>
          <w:w w:val="105"/>
          <w:sz w:val="18"/>
        </w:rPr>
        <w:t>way.</w:t>
      </w:r>
    </w:p>
    <w:p>
      <w:pPr>
        <w:spacing w:line="194" w:lineRule="exact" w:before="0"/>
        <w:ind w:left="224" w:right="0" w:firstLine="0"/>
        <w:jc w:val="left"/>
        <w:rPr>
          <w:sz w:val="18"/>
        </w:rPr>
      </w:pPr>
      <w:r>
        <w:rPr>
          <w:color w:val="3B3A3B"/>
          <w:w w:val="105"/>
          <w:sz w:val="18"/>
        </w:rPr>
        <w:t>In</w:t>
      </w:r>
      <w:r>
        <w:rPr>
          <w:color w:val="3B3A3B"/>
          <w:spacing w:val="2"/>
          <w:w w:val="105"/>
          <w:sz w:val="18"/>
        </w:rPr>
        <w:t> </w:t>
      </w:r>
      <w:r>
        <w:rPr>
          <w:color w:val="3B3A3B"/>
          <w:w w:val="105"/>
          <w:sz w:val="18"/>
        </w:rPr>
        <w:t>the</w:t>
      </w:r>
      <w:r>
        <w:rPr>
          <w:color w:val="3B3A3B"/>
          <w:spacing w:val="2"/>
          <w:w w:val="105"/>
          <w:sz w:val="18"/>
        </w:rPr>
        <w:t> </w:t>
      </w:r>
      <w:r>
        <w:rPr>
          <w:i/>
          <w:color w:val="3B3A3B"/>
          <w:w w:val="105"/>
          <w:sz w:val="18"/>
        </w:rPr>
        <w:t>Miller</w:t>
      </w:r>
      <w:r>
        <w:rPr>
          <w:i/>
          <w:color w:val="3B3A3B"/>
          <w:spacing w:val="-9"/>
          <w:w w:val="105"/>
          <w:sz w:val="18"/>
        </w:rPr>
        <w:t> </w:t>
      </w:r>
      <w:r>
        <w:rPr>
          <w:i/>
          <w:color w:val="3B3A3B"/>
          <w:w w:val="105"/>
          <w:sz w:val="18"/>
        </w:rPr>
        <w:t>v</w:t>
      </w:r>
      <w:r>
        <w:rPr>
          <w:i/>
          <w:color w:val="575759"/>
          <w:w w:val="105"/>
          <w:sz w:val="18"/>
        </w:rPr>
        <w:t>.</w:t>
      </w:r>
      <w:r>
        <w:rPr>
          <w:i/>
          <w:color w:val="575759"/>
          <w:spacing w:val="-4"/>
          <w:w w:val="105"/>
          <w:sz w:val="18"/>
        </w:rPr>
        <w:t> </w:t>
      </w:r>
      <w:r>
        <w:rPr>
          <w:i/>
          <w:color w:val="3B3A3B"/>
          <w:w w:val="105"/>
          <w:sz w:val="18"/>
        </w:rPr>
        <w:t>Albright</w:t>
      </w:r>
      <w:r>
        <w:rPr>
          <w:i/>
          <w:color w:val="3B3A3B"/>
          <w:spacing w:val="-5"/>
          <w:w w:val="105"/>
          <w:sz w:val="18"/>
        </w:rPr>
        <w:t> </w:t>
      </w:r>
      <w:r>
        <w:rPr>
          <w:color w:val="3B3A3B"/>
          <w:w w:val="105"/>
          <w:sz w:val="18"/>
        </w:rPr>
        <w:t>example,</w:t>
      </w:r>
      <w:r>
        <w:rPr>
          <w:color w:val="3B3A3B"/>
          <w:spacing w:val="-15"/>
          <w:w w:val="105"/>
          <w:sz w:val="18"/>
        </w:rPr>
        <w:t> </w:t>
      </w:r>
      <w:r>
        <w:rPr>
          <w:color w:val="3B3A3B"/>
          <w:w w:val="105"/>
          <w:sz w:val="18"/>
        </w:rPr>
        <w:t>both</w:t>
      </w:r>
      <w:r>
        <w:rPr>
          <w:color w:val="3B3A3B"/>
          <w:spacing w:val="-3"/>
          <w:w w:val="105"/>
          <w:sz w:val="18"/>
        </w:rPr>
        <w:t> </w:t>
      </w:r>
      <w:r>
        <w:rPr>
          <w:color w:val="3B3A3B"/>
          <w:w w:val="105"/>
          <w:sz w:val="18"/>
        </w:rPr>
        <w:t>th</w:t>
      </w:r>
      <w:r>
        <w:rPr>
          <w:color w:val="575759"/>
          <w:w w:val="105"/>
          <w:sz w:val="18"/>
        </w:rPr>
        <w:t>e</w:t>
      </w:r>
      <w:r>
        <w:rPr>
          <w:color w:val="3B3A3B"/>
          <w:w w:val="105"/>
          <w:sz w:val="18"/>
        </w:rPr>
        <w:t>mes</w:t>
      </w:r>
      <w:r>
        <w:rPr>
          <w:color w:val="3B3A3B"/>
          <w:spacing w:val="-6"/>
          <w:w w:val="105"/>
          <w:sz w:val="18"/>
        </w:rPr>
        <w:t> </w:t>
      </w:r>
      <w:r>
        <w:rPr>
          <w:color w:val="3B3A3B"/>
          <w:w w:val="105"/>
          <w:sz w:val="18"/>
        </w:rPr>
        <w:t>are</w:t>
      </w:r>
    </w:p>
    <w:p>
      <w:pPr>
        <w:spacing w:line="256" w:lineRule="auto" w:before="10"/>
        <w:ind w:left="223" w:right="91" w:firstLine="3"/>
        <w:jc w:val="left"/>
        <w:rPr>
          <w:sz w:val="18"/>
        </w:rPr>
      </w:pPr>
      <w:r>
        <w:rPr>
          <w:color w:val="3B3A3B"/>
          <w:spacing w:val="-1"/>
          <w:w w:val="105"/>
          <w:sz w:val="18"/>
        </w:rPr>
        <w:t>true</w:t>
      </w:r>
      <w:r>
        <w:rPr>
          <w:color w:val="575759"/>
          <w:spacing w:val="-1"/>
          <w:w w:val="105"/>
          <w:sz w:val="18"/>
        </w:rPr>
        <w:t>:</w:t>
      </w:r>
      <w:r>
        <w:rPr>
          <w:color w:val="575759"/>
          <w:spacing w:val="-16"/>
          <w:w w:val="105"/>
          <w:sz w:val="18"/>
        </w:rPr>
        <w:t> </w:t>
      </w:r>
      <w:r>
        <w:rPr>
          <w:color w:val="3B3A3B"/>
          <w:w w:val="105"/>
          <w:sz w:val="18"/>
        </w:rPr>
        <w:t>The</w:t>
      </w:r>
      <w:r>
        <w:rPr>
          <w:color w:val="3B3A3B"/>
          <w:spacing w:val="8"/>
          <w:w w:val="105"/>
          <w:sz w:val="18"/>
        </w:rPr>
        <w:t> </w:t>
      </w:r>
      <w:r>
        <w:rPr>
          <w:color w:val="3B3A3B"/>
          <w:w w:val="105"/>
          <w:sz w:val="18"/>
        </w:rPr>
        <w:t>Supreme</w:t>
      </w:r>
      <w:r>
        <w:rPr>
          <w:color w:val="3B3A3B"/>
          <w:spacing w:val="-10"/>
          <w:w w:val="105"/>
          <w:sz w:val="18"/>
        </w:rPr>
        <w:t> </w:t>
      </w:r>
      <w:r>
        <w:rPr>
          <w:color w:val="3B3A3B"/>
          <w:w w:val="105"/>
          <w:sz w:val="18"/>
        </w:rPr>
        <w:t>Court has</w:t>
      </w:r>
      <w:r>
        <w:rPr>
          <w:color w:val="3B3A3B"/>
          <w:spacing w:val="-14"/>
          <w:w w:val="105"/>
          <w:sz w:val="18"/>
        </w:rPr>
        <w:t> </w:t>
      </w:r>
      <w:r>
        <w:rPr>
          <w:color w:val="3B3A3B"/>
          <w:w w:val="105"/>
          <w:sz w:val="18"/>
        </w:rPr>
        <w:t>traditionally</w:t>
      </w:r>
      <w:r>
        <w:rPr>
          <w:color w:val="3B3A3B"/>
          <w:spacing w:val="-5"/>
          <w:w w:val="105"/>
          <w:sz w:val="18"/>
        </w:rPr>
        <w:t> </w:t>
      </w:r>
      <w:r>
        <w:rPr>
          <w:color w:val="3B3A3B"/>
          <w:w w:val="105"/>
          <w:sz w:val="18"/>
        </w:rPr>
        <w:t>deferred</w:t>
      </w:r>
      <w:r>
        <w:rPr>
          <w:color w:val="3B3A3B"/>
          <w:spacing w:val="-45"/>
          <w:w w:val="105"/>
          <w:sz w:val="18"/>
        </w:rPr>
        <w:t> </w:t>
      </w:r>
      <w:r>
        <w:rPr>
          <w:color w:val="3B3A3B"/>
          <w:w w:val="105"/>
          <w:sz w:val="18"/>
        </w:rPr>
        <w:t>to Congress in the area of immigration law, and</w:t>
      </w:r>
      <w:r>
        <w:rPr>
          <w:color w:val="3B3A3B"/>
          <w:spacing w:val="1"/>
          <w:w w:val="105"/>
          <w:sz w:val="18"/>
        </w:rPr>
        <w:t> </w:t>
      </w:r>
      <w:r>
        <w:rPr>
          <w:color w:val="3B3A3B"/>
          <w:w w:val="105"/>
          <w:sz w:val="18"/>
        </w:rPr>
        <w:t>gender</w:t>
      </w:r>
      <w:r>
        <w:rPr>
          <w:color w:val="3B3A3B"/>
          <w:spacing w:val="-18"/>
          <w:w w:val="105"/>
          <w:sz w:val="18"/>
        </w:rPr>
        <w:t> </w:t>
      </w:r>
      <w:r>
        <w:rPr>
          <w:color w:val="3B3A3B"/>
          <w:w w:val="105"/>
          <w:sz w:val="18"/>
        </w:rPr>
        <w:t>stereotypes</w:t>
      </w:r>
      <w:r>
        <w:rPr>
          <w:color w:val="3B3A3B"/>
          <w:spacing w:val="-16"/>
          <w:w w:val="105"/>
          <w:sz w:val="18"/>
        </w:rPr>
        <w:t> </w:t>
      </w:r>
      <w:r>
        <w:rPr>
          <w:color w:val="3B3A3B"/>
          <w:w w:val="105"/>
          <w:sz w:val="18"/>
        </w:rPr>
        <w:t>are</w:t>
      </w:r>
      <w:r>
        <w:rPr>
          <w:color w:val="3B3A3B"/>
          <w:spacing w:val="6"/>
          <w:w w:val="105"/>
          <w:sz w:val="18"/>
        </w:rPr>
        <w:t> </w:t>
      </w:r>
      <w:r>
        <w:rPr>
          <w:color w:val="3B3A3B"/>
          <w:w w:val="105"/>
          <w:sz w:val="18"/>
        </w:rPr>
        <w:t>inherently</w:t>
      </w:r>
      <w:r>
        <w:rPr>
          <w:color w:val="3B3A3B"/>
          <w:spacing w:val="-7"/>
          <w:w w:val="105"/>
          <w:sz w:val="18"/>
        </w:rPr>
        <w:t> </w:t>
      </w:r>
      <w:r>
        <w:rPr>
          <w:color w:val="3B3A3B"/>
          <w:w w:val="105"/>
          <w:sz w:val="18"/>
        </w:rPr>
        <w:t>unfair</w:t>
      </w:r>
      <w:r>
        <w:rPr>
          <w:color w:val="575759"/>
          <w:w w:val="105"/>
          <w:sz w:val="18"/>
        </w:rPr>
        <w:t>.</w:t>
      </w:r>
    </w:p>
    <w:p>
      <w:pPr>
        <w:spacing w:line="188" w:lineRule="exact" w:before="0"/>
        <w:ind w:left="619" w:right="0" w:firstLine="0"/>
        <w:jc w:val="left"/>
        <w:rPr>
          <w:sz w:val="18"/>
        </w:rPr>
      </w:pPr>
      <w:r>
        <w:rPr>
          <w:color w:val="3B3A3B"/>
          <w:w w:val="105"/>
          <w:sz w:val="18"/>
        </w:rPr>
        <w:t>Identifying</w:t>
      </w:r>
      <w:r>
        <w:rPr>
          <w:color w:val="3B3A3B"/>
          <w:spacing w:val="-7"/>
          <w:w w:val="105"/>
          <w:sz w:val="18"/>
        </w:rPr>
        <w:t> </w:t>
      </w:r>
      <w:r>
        <w:rPr>
          <w:color w:val="3B3A3B"/>
          <w:w w:val="105"/>
          <w:sz w:val="18"/>
        </w:rPr>
        <w:t>and</w:t>
      </w:r>
      <w:r>
        <w:rPr>
          <w:color w:val="3B3A3B"/>
          <w:spacing w:val="17"/>
          <w:w w:val="105"/>
          <w:sz w:val="18"/>
        </w:rPr>
        <w:t> </w:t>
      </w:r>
      <w:r>
        <w:rPr>
          <w:color w:val="3B3A3B"/>
          <w:w w:val="105"/>
          <w:sz w:val="18"/>
        </w:rPr>
        <w:t>u</w:t>
      </w:r>
      <w:r>
        <w:rPr>
          <w:color w:val="575759"/>
          <w:w w:val="105"/>
          <w:sz w:val="18"/>
        </w:rPr>
        <w:t>s</w:t>
      </w:r>
      <w:r>
        <w:rPr>
          <w:color w:val="3B3A3B"/>
          <w:w w:val="105"/>
          <w:sz w:val="18"/>
        </w:rPr>
        <w:t>ing</w:t>
      </w:r>
      <w:r>
        <w:rPr>
          <w:color w:val="3B3A3B"/>
          <w:spacing w:val="10"/>
          <w:w w:val="105"/>
          <w:sz w:val="18"/>
        </w:rPr>
        <w:t> </w:t>
      </w:r>
      <w:r>
        <w:rPr>
          <w:color w:val="3B3A3B"/>
          <w:w w:val="105"/>
          <w:sz w:val="18"/>
        </w:rPr>
        <w:t>a</w:t>
      </w:r>
      <w:r>
        <w:rPr>
          <w:color w:val="3B3A3B"/>
          <w:spacing w:val="11"/>
          <w:w w:val="105"/>
          <w:sz w:val="18"/>
        </w:rPr>
        <w:t> </w:t>
      </w:r>
      <w:r>
        <w:rPr>
          <w:color w:val="3B3A3B"/>
          <w:w w:val="105"/>
          <w:sz w:val="18"/>
        </w:rPr>
        <w:t>good</w:t>
      </w:r>
      <w:r>
        <w:rPr>
          <w:color w:val="3B3A3B"/>
          <w:spacing w:val="4"/>
          <w:w w:val="105"/>
          <w:sz w:val="18"/>
        </w:rPr>
        <w:t> </w:t>
      </w:r>
      <w:r>
        <w:rPr>
          <w:color w:val="3B3A3B"/>
          <w:w w:val="105"/>
          <w:sz w:val="18"/>
        </w:rPr>
        <w:t>theme</w:t>
      </w:r>
      <w:r>
        <w:rPr>
          <w:color w:val="3B3A3B"/>
          <w:spacing w:val="-7"/>
          <w:w w:val="105"/>
          <w:sz w:val="18"/>
        </w:rPr>
        <w:t> </w:t>
      </w:r>
      <w:r>
        <w:rPr>
          <w:color w:val="3B3A3B"/>
          <w:w w:val="105"/>
          <w:sz w:val="18"/>
        </w:rPr>
        <w:t>gives</w:t>
      </w:r>
      <w:r>
        <w:rPr>
          <w:color w:val="3B3A3B"/>
          <w:spacing w:val="-17"/>
          <w:w w:val="105"/>
          <w:sz w:val="18"/>
        </w:rPr>
        <w:t> </w:t>
      </w:r>
      <w:r>
        <w:rPr>
          <w:color w:val="3B3A3B"/>
          <w:w w:val="105"/>
          <w:sz w:val="18"/>
        </w:rPr>
        <w:t>you</w:t>
      </w:r>
    </w:p>
    <w:p>
      <w:pPr>
        <w:spacing w:line="261" w:lineRule="auto" w:before="15"/>
        <w:ind w:left="231" w:right="0" w:hanging="3"/>
        <w:jc w:val="left"/>
        <w:rPr>
          <w:sz w:val="18"/>
        </w:rPr>
      </w:pPr>
      <w:r>
        <w:rPr>
          <w:color w:val="3B3A3B"/>
          <w:w w:val="105"/>
          <w:sz w:val="18"/>
        </w:rPr>
        <w:t>somewhere</w:t>
      </w:r>
      <w:r>
        <w:rPr>
          <w:color w:val="3B3A3B"/>
          <w:spacing w:val="2"/>
          <w:w w:val="105"/>
          <w:sz w:val="18"/>
        </w:rPr>
        <w:t> </w:t>
      </w:r>
      <w:r>
        <w:rPr>
          <w:color w:val="3B3A3B"/>
          <w:w w:val="105"/>
          <w:sz w:val="18"/>
        </w:rPr>
        <w:t>to</w:t>
      </w:r>
      <w:r>
        <w:rPr>
          <w:color w:val="3B3A3B"/>
          <w:spacing w:val="2"/>
          <w:w w:val="105"/>
          <w:sz w:val="18"/>
        </w:rPr>
        <w:t> </w:t>
      </w:r>
      <w:r>
        <w:rPr>
          <w:color w:val="3B3A3B"/>
          <w:w w:val="105"/>
          <w:sz w:val="18"/>
        </w:rPr>
        <w:t>"run"</w:t>
      </w:r>
      <w:r>
        <w:rPr>
          <w:color w:val="3B3A3B"/>
          <w:spacing w:val="-11"/>
          <w:w w:val="105"/>
          <w:sz w:val="18"/>
        </w:rPr>
        <w:t> </w:t>
      </w:r>
      <w:r>
        <w:rPr>
          <w:color w:val="3B3A3B"/>
          <w:w w:val="105"/>
          <w:sz w:val="18"/>
        </w:rPr>
        <w:t>when</w:t>
      </w:r>
      <w:r>
        <w:rPr>
          <w:color w:val="3B3A3B"/>
          <w:spacing w:val="4"/>
          <w:w w:val="105"/>
          <w:sz w:val="18"/>
        </w:rPr>
        <w:t> </w:t>
      </w:r>
      <w:r>
        <w:rPr>
          <w:color w:val="3B3A3B"/>
          <w:w w:val="105"/>
          <w:sz w:val="18"/>
        </w:rPr>
        <w:t>you</w:t>
      </w:r>
      <w:r>
        <w:rPr>
          <w:color w:val="3B3A3B"/>
          <w:spacing w:val="2"/>
          <w:w w:val="105"/>
          <w:sz w:val="18"/>
        </w:rPr>
        <w:t> </w:t>
      </w:r>
      <w:r>
        <w:rPr>
          <w:color w:val="3B3A3B"/>
          <w:w w:val="105"/>
          <w:sz w:val="18"/>
        </w:rPr>
        <w:t>must</w:t>
      </w:r>
      <w:r>
        <w:rPr>
          <w:color w:val="3B3A3B"/>
          <w:spacing w:val="1"/>
          <w:w w:val="105"/>
          <w:sz w:val="18"/>
        </w:rPr>
        <w:t> </w:t>
      </w:r>
      <w:r>
        <w:rPr>
          <w:color w:val="3B3A3B"/>
          <w:w w:val="105"/>
          <w:sz w:val="18"/>
        </w:rPr>
        <w:t>concede</w:t>
      </w:r>
      <w:r>
        <w:rPr>
          <w:color w:val="3B3A3B"/>
          <w:spacing w:val="4"/>
          <w:w w:val="105"/>
          <w:sz w:val="18"/>
        </w:rPr>
        <w:t> </w:t>
      </w:r>
      <w:r>
        <w:rPr>
          <w:color w:val="3B3A3B"/>
          <w:w w:val="105"/>
          <w:sz w:val="18"/>
        </w:rPr>
        <w:t>the</w:t>
      </w:r>
      <w:r>
        <w:rPr>
          <w:color w:val="3B3A3B"/>
          <w:spacing w:val="1"/>
          <w:w w:val="105"/>
          <w:sz w:val="18"/>
        </w:rPr>
        <w:t> </w:t>
      </w:r>
      <w:r>
        <w:rPr>
          <w:color w:val="3B3A3B"/>
          <w:w w:val="105"/>
          <w:sz w:val="18"/>
        </w:rPr>
        <w:t>existenc</w:t>
      </w:r>
      <w:r>
        <w:rPr>
          <w:color w:val="575759"/>
          <w:w w:val="105"/>
          <w:sz w:val="18"/>
        </w:rPr>
        <w:t>e</w:t>
      </w:r>
      <w:r>
        <w:rPr>
          <w:color w:val="575759"/>
          <w:spacing w:val="6"/>
          <w:w w:val="105"/>
          <w:sz w:val="18"/>
        </w:rPr>
        <w:t> </w:t>
      </w:r>
      <w:r>
        <w:rPr>
          <w:color w:val="3B3A3B"/>
          <w:w w:val="105"/>
          <w:sz w:val="18"/>
        </w:rPr>
        <w:t>of</w:t>
      </w:r>
      <w:r>
        <w:rPr>
          <w:color w:val="3B3A3B"/>
          <w:spacing w:val="11"/>
          <w:w w:val="105"/>
          <w:sz w:val="18"/>
        </w:rPr>
        <w:t> </w:t>
      </w:r>
      <w:r>
        <w:rPr>
          <w:color w:val="3B3A3B"/>
          <w:w w:val="105"/>
          <w:sz w:val="18"/>
        </w:rPr>
        <w:t>a</w:t>
      </w:r>
      <w:r>
        <w:rPr>
          <w:color w:val="3B3A3B"/>
          <w:spacing w:val="12"/>
          <w:w w:val="105"/>
          <w:sz w:val="18"/>
        </w:rPr>
        <w:t> </w:t>
      </w:r>
      <w:r>
        <w:rPr>
          <w:color w:val="3B3A3B"/>
          <w:w w:val="105"/>
          <w:sz w:val="18"/>
        </w:rPr>
        <w:t>negative</w:t>
      </w:r>
      <w:r>
        <w:rPr>
          <w:color w:val="3B3A3B"/>
          <w:spacing w:val="3"/>
          <w:w w:val="105"/>
          <w:sz w:val="18"/>
        </w:rPr>
        <w:t> </w:t>
      </w:r>
      <w:r>
        <w:rPr>
          <w:color w:val="3B3A3B"/>
          <w:w w:val="105"/>
          <w:sz w:val="18"/>
        </w:rPr>
        <w:t>fact</w:t>
      </w:r>
      <w:r>
        <w:rPr>
          <w:color w:val="3B3A3B"/>
          <w:spacing w:val="-10"/>
          <w:w w:val="105"/>
          <w:sz w:val="18"/>
        </w:rPr>
        <w:t> </w:t>
      </w:r>
      <w:r>
        <w:rPr>
          <w:color w:val="3B3A3B"/>
          <w:w w:val="105"/>
          <w:sz w:val="18"/>
        </w:rPr>
        <w:t>or</w:t>
      </w:r>
      <w:r>
        <w:rPr>
          <w:color w:val="3B3A3B"/>
          <w:spacing w:val="7"/>
          <w:w w:val="105"/>
          <w:sz w:val="18"/>
        </w:rPr>
        <w:t> </w:t>
      </w:r>
      <w:r>
        <w:rPr>
          <w:color w:val="3B3A3B"/>
          <w:w w:val="105"/>
          <w:sz w:val="18"/>
        </w:rPr>
        <w:t>legal</w:t>
      </w:r>
      <w:r>
        <w:rPr>
          <w:color w:val="3B3A3B"/>
          <w:spacing w:val="9"/>
          <w:w w:val="105"/>
          <w:sz w:val="18"/>
        </w:rPr>
        <w:t> </w:t>
      </w:r>
      <w:r>
        <w:rPr>
          <w:color w:val="3B3A3B"/>
          <w:w w:val="105"/>
          <w:sz w:val="18"/>
        </w:rPr>
        <w:t>prec</w:t>
      </w:r>
      <w:r>
        <w:rPr>
          <w:color w:val="575759"/>
          <w:w w:val="105"/>
          <w:sz w:val="18"/>
        </w:rPr>
        <w:t>e</w:t>
      </w:r>
      <w:r>
        <w:rPr>
          <w:color w:val="3B3A3B"/>
          <w:w w:val="105"/>
          <w:sz w:val="18"/>
        </w:rPr>
        <w:t>dent,</w:t>
      </w:r>
      <w:r>
        <w:rPr>
          <w:color w:val="3B3A3B"/>
          <w:spacing w:val="-9"/>
          <w:w w:val="105"/>
          <w:sz w:val="18"/>
        </w:rPr>
        <w:t> </w:t>
      </w:r>
      <w:r>
        <w:rPr>
          <w:color w:val="3B3A3B"/>
          <w:w w:val="105"/>
          <w:sz w:val="18"/>
        </w:rPr>
        <w:t>and</w:t>
      </w:r>
      <w:r>
        <w:rPr>
          <w:color w:val="3B3A3B"/>
          <w:spacing w:val="-44"/>
          <w:w w:val="105"/>
          <w:sz w:val="18"/>
        </w:rPr>
        <w:t> </w:t>
      </w:r>
      <w:r>
        <w:rPr>
          <w:color w:val="3B3A3B"/>
          <w:w w:val="105"/>
          <w:sz w:val="18"/>
        </w:rPr>
        <w:t>helps you to refocu</w:t>
      </w:r>
      <w:r>
        <w:rPr>
          <w:color w:val="575759"/>
          <w:w w:val="105"/>
          <w:sz w:val="18"/>
        </w:rPr>
        <w:t>s </w:t>
      </w:r>
      <w:r>
        <w:rPr>
          <w:color w:val="3B3A3B"/>
          <w:w w:val="105"/>
          <w:sz w:val="18"/>
        </w:rPr>
        <w:t>the court's attention on the</w:t>
      </w:r>
      <w:r>
        <w:rPr>
          <w:color w:val="3B3A3B"/>
          <w:spacing w:val="1"/>
          <w:w w:val="105"/>
          <w:sz w:val="18"/>
        </w:rPr>
        <w:t> </w:t>
      </w:r>
      <w:r>
        <w:rPr>
          <w:color w:val="3B3A3B"/>
          <w:w w:val="105"/>
          <w:sz w:val="18"/>
        </w:rPr>
        <w:t>equities</w:t>
      </w:r>
      <w:r>
        <w:rPr>
          <w:color w:val="3B3A3B"/>
          <w:spacing w:val="-11"/>
          <w:w w:val="105"/>
          <w:sz w:val="18"/>
        </w:rPr>
        <w:t> </w:t>
      </w:r>
      <w:r>
        <w:rPr>
          <w:color w:val="3B3A3B"/>
          <w:w w:val="105"/>
          <w:sz w:val="18"/>
        </w:rPr>
        <w:t>of</w:t>
      </w:r>
      <w:r>
        <w:rPr>
          <w:color w:val="3B3A3B"/>
          <w:spacing w:val="11"/>
          <w:w w:val="105"/>
          <w:sz w:val="18"/>
        </w:rPr>
        <w:t> </w:t>
      </w:r>
      <w:r>
        <w:rPr>
          <w:color w:val="3B3A3B"/>
          <w:w w:val="105"/>
          <w:sz w:val="18"/>
        </w:rPr>
        <w:t>your</w:t>
      </w:r>
      <w:r>
        <w:rPr>
          <w:color w:val="3B3A3B"/>
          <w:spacing w:val="-16"/>
          <w:w w:val="105"/>
          <w:sz w:val="18"/>
        </w:rPr>
        <w:t> </w:t>
      </w:r>
      <w:r>
        <w:rPr>
          <w:color w:val="3B3A3B"/>
          <w:w w:val="105"/>
          <w:sz w:val="18"/>
        </w:rPr>
        <w:t>case.</w:t>
      </w:r>
    </w:p>
    <w:p>
      <w:pPr>
        <w:spacing w:line="237" w:lineRule="auto" w:before="83"/>
        <w:ind w:left="115" w:right="736" w:firstLine="17"/>
        <w:jc w:val="both"/>
        <w:rPr>
          <w:sz w:val="21"/>
        </w:rPr>
      </w:pPr>
      <w:r>
        <w:rPr/>
        <w:br w:type="column"/>
      </w:r>
      <w:r>
        <w:rPr>
          <w:color w:val="3B3A3B"/>
          <w:w w:val="110"/>
          <w:sz w:val="21"/>
        </w:rPr>
        <w:t>premised on overbroad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generalizations abut the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relative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capabilities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of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men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and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women, and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thus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violates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the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stan­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dard that this Court laid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down in the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VMI case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just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last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year. Second</w:t>
      </w:r>
      <w:r>
        <w:rPr>
          <w:color w:val="575759"/>
          <w:w w:val="110"/>
          <w:sz w:val="21"/>
        </w:rPr>
        <w:t>,</w:t>
      </w:r>
      <w:r>
        <w:rPr>
          <w:color w:val="575759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even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0"/>
        </w:rPr>
        <w:t>if</w:t>
      </w:r>
      <w:r>
        <w:rPr>
          <w:color w:val="3B3A3B"/>
          <w:spacing w:val="1"/>
          <w:w w:val="110"/>
          <w:sz w:val="20"/>
        </w:rPr>
        <w:t> </w:t>
      </w:r>
      <w:r>
        <w:rPr>
          <w:color w:val="3B3A3B"/>
          <w:w w:val="110"/>
          <w:sz w:val="21"/>
        </w:rPr>
        <w:t>this 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Court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should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apply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a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less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stringent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test,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Section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1409(a)</w:t>
      </w:r>
      <w:r>
        <w:rPr>
          <w:color w:val="3B3A3B"/>
          <w:spacing w:val="1"/>
          <w:w w:val="110"/>
          <w:sz w:val="21"/>
        </w:rPr>
        <w:t> </w:t>
      </w:r>
      <w:r>
        <w:rPr>
          <w:rFonts w:ascii="Arial" w:hAnsi="Arial"/>
          <w:color w:val="3B3A3B"/>
          <w:w w:val="110"/>
          <w:sz w:val="18"/>
        </w:rPr>
        <w:t>is</w:t>
      </w:r>
      <w:r>
        <w:rPr>
          <w:rFonts w:ascii="Arial" w:hAnsi="Arial"/>
          <w:color w:val="3B3A3B"/>
          <w:spacing w:val="1"/>
          <w:w w:val="110"/>
          <w:sz w:val="18"/>
        </w:rPr>
        <w:t> </w:t>
      </w:r>
      <w:r>
        <w:rPr>
          <w:color w:val="3B3A3B"/>
          <w:w w:val="110"/>
          <w:sz w:val="21"/>
        </w:rPr>
        <w:t>still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uncon­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stitutional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because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0"/>
        </w:rPr>
        <w:t>its</w:t>
      </w:r>
      <w:r>
        <w:rPr>
          <w:color w:val="3B3A3B"/>
          <w:spacing w:val="1"/>
          <w:w w:val="110"/>
          <w:sz w:val="20"/>
        </w:rPr>
        <w:t> </w:t>
      </w:r>
      <w:r>
        <w:rPr>
          <w:color w:val="3B3A3B"/>
          <w:w w:val="110"/>
          <w:sz w:val="21"/>
        </w:rPr>
        <w:t>concern with unreliable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0"/>
        </w:rPr>
        <w:t>proof of paternity </w:t>
      </w:r>
      <w:r>
        <w:rPr>
          <w:rFonts w:ascii="Arial" w:hAnsi="Arial"/>
          <w:color w:val="3B3A3B"/>
          <w:w w:val="110"/>
          <w:sz w:val="18"/>
        </w:rPr>
        <w:t>is </w:t>
      </w:r>
      <w:r>
        <w:rPr>
          <w:color w:val="3B3A3B"/>
          <w:w w:val="110"/>
          <w:sz w:val="20"/>
        </w:rPr>
        <w:t>nei­</w:t>
      </w:r>
      <w:r>
        <w:rPr>
          <w:color w:val="3B3A3B"/>
          <w:spacing w:val="1"/>
          <w:w w:val="110"/>
          <w:sz w:val="20"/>
        </w:rPr>
        <w:t> </w:t>
      </w:r>
      <w:r>
        <w:rPr>
          <w:color w:val="3B3A3B"/>
          <w:w w:val="110"/>
          <w:sz w:val="21"/>
        </w:rPr>
        <w:t>ther facially legitimate</w:t>
      </w:r>
      <w:r>
        <w:rPr>
          <w:color w:val="3B3A3B"/>
          <w:spacing w:val="1"/>
          <w:w w:val="110"/>
          <w:sz w:val="21"/>
        </w:rPr>
        <w:t> </w:t>
      </w:r>
      <w:r>
        <w:rPr>
          <w:color w:val="3B3A3B"/>
          <w:w w:val="110"/>
          <w:sz w:val="21"/>
        </w:rPr>
        <w:t>nor</w:t>
      </w:r>
      <w:r>
        <w:rPr>
          <w:color w:val="3B3A3B"/>
          <w:spacing w:val="13"/>
          <w:w w:val="110"/>
          <w:sz w:val="21"/>
        </w:rPr>
        <w:t> </w:t>
      </w:r>
      <w:r>
        <w:rPr>
          <w:color w:val="3B3A3B"/>
          <w:w w:val="110"/>
          <w:sz w:val="21"/>
        </w:rPr>
        <w:t>rational</w:t>
      </w:r>
      <w:r>
        <w:rPr>
          <w:color w:val="3B3A3B"/>
          <w:spacing w:val="-8"/>
          <w:w w:val="110"/>
          <w:sz w:val="21"/>
        </w:rPr>
        <w:t> </w:t>
      </w:r>
      <w:r>
        <w:rPr>
          <w:color w:val="3B3A3B"/>
          <w:w w:val="110"/>
          <w:sz w:val="20"/>
        </w:rPr>
        <w:t>in</w:t>
      </w:r>
      <w:r>
        <w:rPr>
          <w:color w:val="3B3A3B"/>
          <w:spacing w:val="15"/>
          <w:w w:val="110"/>
          <w:sz w:val="20"/>
        </w:rPr>
        <w:t> </w:t>
      </w:r>
      <w:r>
        <w:rPr>
          <w:color w:val="3B3A3B"/>
          <w:w w:val="110"/>
          <w:sz w:val="21"/>
        </w:rPr>
        <w:t>1997.</w:t>
      </w:r>
    </w:p>
    <w:p>
      <w:pPr>
        <w:pStyle w:val="BodyText"/>
        <w:spacing w:line="232" w:lineRule="auto" w:before="152"/>
        <w:ind w:left="207" w:right="260" w:hanging="4"/>
        <w:jc w:val="both"/>
      </w:pPr>
      <w:r>
        <w:rPr>
          <w:color w:val="3B3A3B"/>
          <w:w w:val="105"/>
        </w:rPr>
        <w:t>In the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second paragraph,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the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writer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identified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her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broad themes:The statute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should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not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use  irrebut­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table gender stereotypes,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and  it should not impose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an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arbitrary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time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limit.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Before making this point,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she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identified  the  issue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that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the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court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is  being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asked to decide, and pro</w:t>
      </w:r>
      <w:r>
        <w:rPr>
          <w:color w:val="575759"/>
          <w:w w:val="105"/>
        </w:rPr>
        <w:t>­</w:t>
      </w:r>
      <w:r>
        <w:rPr>
          <w:color w:val="575759"/>
          <w:spacing w:val="1"/>
          <w:w w:val="105"/>
        </w:rPr>
        <w:t> </w:t>
      </w:r>
      <w:r>
        <w:rPr>
          <w:color w:val="3B3A3B"/>
          <w:w w:val="105"/>
        </w:rPr>
        <w:t>vided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legal,  procedural,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and factual context. After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stating her themes some­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what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dramatically,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she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provided a roadmap that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laid out the legal support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behind these themes and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told  the  Court  the  order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in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which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she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plans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to</w:t>
      </w:r>
      <w:r>
        <w:rPr>
          <w:color w:val="3B3A3B"/>
          <w:spacing w:val="1"/>
          <w:w w:val="105"/>
        </w:rPr>
        <w:t> </w:t>
      </w:r>
      <w:r>
        <w:rPr>
          <w:color w:val="3B3A3B"/>
          <w:w w:val="105"/>
        </w:rPr>
        <w:t>proceed</w:t>
      </w:r>
      <w:r>
        <w:rPr>
          <w:color w:val="575759"/>
          <w:w w:val="105"/>
        </w:rPr>
        <w:t>.</w:t>
      </w:r>
    </w:p>
    <w:p>
      <w:pPr>
        <w:pStyle w:val="BodyText"/>
        <w:spacing w:line="228" w:lineRule="auto"/>
        <w:ind w:left="317" w:right="191" w:firstLine="357"/>
        <w:jc w:val="both"/>
      </w:pPr>
      <w:r>
        <w:rPr>
          <w:color w:val="3B3A3B"/>
          <w:w w:val="110"/>
        </w:rPr>
        <w:t>The respondent need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not ask for rebuttal time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and 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can 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spend 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much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less time introducing the</w:t>
      </w:r>
      <w:r>
        <w:rPr>
          <w:color w:val="3B3A3B"/>
          <w:spacing w:val="1"/>
          <w:w w:val="110"/>
        </w:rPr>
        <w:t> </w:t>
      </w:r>
      <w:r>
        <w:rPr>
          <w:color w:val="575759"/>
          <w:w w:val="110"/>
        </w:rPr>
        <w:t>c</w:t>
      </w:r>
      <w:r>
        <w:rPr>
          <w:color w:val="3B3A3B"/>
          <w:w w:val="110"/>
        </w:rPr>
        <w:t>ase. The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Court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should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have any needed context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thanks to the first speak­</w:t>
      </w:r>
      <w:r>
        <w:rPr>
          <w:color w:val="3B3A3B"/>
          <w:spacing w:val="1"/>
          <w:w w:val="110"/>
        </w:rPr>
        <w:t> </w:t>
      </w:r>
      <w:r>
        <w:rPr>
          <w:color w:val="3B3A3B"/>
          <w:w w:val="110"/>
        </w:rPr>
        <w:t>er's</w:t>
      </w:r>
      <w:r>
        <w:rPr>
          <w:color w:val="3B3A3B"/>
          <w:spacing w:val="-26"/>
          <w:w w:val="110"/>
        </w:rPr>
        <w:t> </w:t>
      </w:r>
      <w:r>
        <w:rPr>
          <w:color w:val="3B3A3B"/>
          <w:w w:val="110"/>
        </w:rPr>
        <w:t>argument.</w:t>
      </w:r>
    </w:p>
    <w:p>
      <w:pPr>
        <w:spacing w:after="0" w:line="228" w:lineRule="auto"/>
        <w:jc w:val="both"/>
        <w:sectPr>
          <w:pgSz w:w="9630" w:h="14020"/>
          <w:pgMar w:header="617" w:footer="0" w:top="1220" w:bottom="0" w:left="880" w:right="1340"/>
          <w:cols w:num="2" w:equalWidth="0">
            <w:col w:w="4175" w:space="115"/>
            <w:col w:w="3120"/>
          </w:cols>
        </w:sectPr>
      </w:pPr>
    </w:p>
    <w:p>
      <w:pPr>
        <w:pStyle w:val="BodyText"/>
        <w:spacing w:line="235" w:lineRule="auto" w:before="85"/>
        <w:ind w:left="704" w:right="134" w:firstLine="368"/>
        <w:jc w:val="both"/>
      </w:pPr>
      <w:r>
        <w:rPr>
          <w:color w:val="3A383A"/>
          <w:w w:val="105"/>
        </w:rPr>
        <w:t>The</w:t>
      </w:r>
      <w:r>
        <w:rPr>
          <w:color w:val="3A383A"/>
          <w:spacing w:val="61"/>
          <w:w w:val="105"/>
        </w:rPr>
        <w:t> </w:t>
      </w:r>
      <w:r>
        <w:rPr>
          <w:color w:val="3A383A"/>
          <w:w w:val="105"/>
        </w:rPr>
        <w:t>respondent should,  however, strive to  grab  the  court's attention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by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showing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that he or she is "responsive"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to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the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court's concerns. For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example, a respondent representing the other side in the case of </w:t>
      </w:r>
      <w:r>
        <w:rPr>
          <w:i/>
          <w:color w:val="3A383A"/>
          <w:w w:val="105"/>
        </w:rPr>
        <w:t>Miller v.</w:t>
      </w:r>
      <w:r>
        <w:rPr>
          <w:i/>
          <w:color w:val="3A383A"/>
          <w:spacing w:val="1"/>
          <w:w w:val="105"/>
        </w:rPr>
        <w:t> </w:t>
      </w:r>
      <w:r>
        <w:rPr>
          <w:i/>
          <w:color w:val="3A383A"/>
          <w:w w:val="105"/>
          <w:sz w:val="22"/>
        </w:rPr>
        <w:t>Albright</w:t>
      </w:r>
      <w:r>
        <w:rPr>
          <w:i/>
          <w:color w:val="3A383A"/>
          <w:spacing w:val="-3"/>
          <w:w w:val="105"/>
          <w:sz w:val="22"/>
        </w:rPr>
        <w:t> </w:t>
      </w:r>
      <w:r>
        <w:rPr>
          <w:color w:val="3A383A"/>
          <w:w w:val="105"/>
        </w:rPr>
        <w:t>might</w:t>
      </w:r>
      <w:r>
        <w:rPr>
          <w:color w:val="3A383A"/>
          <w:spacing w:val="2"/>
          <w:w w:val="105"/>
        </w:rPr>
        <w:t> </w:t>
      </w:r>
      <w:r>
        <w:rPr>
          <w:color w:val="3A383A"/>
          <w:w w:val="105"/>
        </w:rPr>
        <w:t>begin</w:t>
      </w:r>
      <w:r>
        <w:rPr>
          <w:color w:val="3A383A"/>
          <w:spacing w:val="18"/>
          <w:w w:val="105"/>
        </w:rPr>
        <w:t> </w:t>
      </w:r>
      <w:r>
        <w:rPr>
          <w:color w:val="3A383A"/>
          <w:w w:val="105"/>
        </w:rPr>
        <w:t>the</w:t>
      </w:r>
      <w:r>
        <w:rPr>
          <w:color w:val="3A383A"/>
          <w:spacing w:val="21"/>
          <w:w w:val="105"/>
        </w:rPr>
        <w:t> </w:t>
      </w:r>
      <w:r>
        <w:rPr>
          <w:color w:val="3A383A"/>
          <w:w w:val="105"/>
        </w:rPr>
        <w:t>argument</w:t>
      </w:r>
      <w:r>
        <w:rPr>
          <w:color w:val="3A383A"/>
          <w:spacing w:val="8"/>
          <w:w w:val="105"/>
        </w:rPr>
        <w:t> </w:t>
      </w:r>
      <w:r>
        <w:rPr>
          <w:color w:val="3A383A"/>
          <w:w w:val="105"/>
        </w:rPr>
        <w:t>as</w:t>
      </w:r>
      <w:r>
        <w:rPr>
          <w:color w:val="3A383A"/>
          <w:spacing w:val="-14"/>
          <w:w w:val="105"/>
        </w:rPr>
        <w:t> </w:t>
      </w:r>
      <w:r>
        <w:rPr>
          <w:color w:val="3A383A"/>
          <w:w w:val="105"/>
        </w:rPr>
        <w:t>follows:</w:t>
      </w:r>
    </w:p>
    <w:p>
      <w:pPr>
        <w:spacing w:line="237" w:lineRule="auto" w:before="125"/>
        <w:ind w:left="1029" w:right="439" w:firstLine="46"/>
        <w:jc w:val="both"/>
        <w:rPr>
          <w:sz w:val="21"/>
        </w:rPr>
      </w:pPr>
      <w:r>
        <w:rPr>
          <w:color w:val="3A383A"/>
          <w:w w:val="110"/>
          <w:sz w:val="21"/>
        </w:rPr>
        <w:t>May it please the Court, I am Bradley Walent, and I am counsel for the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05"/>
          <w:sz w:val="21"/>
        </w:rPr>
        <w:t>Respondent, Secretary of State Madeline Albright. (Pause</w:t>
      </w:r>
      <w:r>
        <w:rPr>
          <w:color w:val="5D5D5E"/>
          <w:w w:val="105"/>
          <w:sz w:val="21"/>
        </w:rPr>
        <w:t>.</w:t>
      </w:r>
      <w:r>
        <w:rPr>
          <w:color w:val="3A383A"/>
          <w:w w:val="105"/>
          <w:sz w:val="21"/>
        </w:rPr>
        <w:t>] A moment ago,</w:t>
      </w:r>
      <w:r>
        <w:rPr>
          <w:color w:val="3A383A"/>
          <w:spacing w:val="1"/>
          <w:w w:val="105"/>
          <w:sz w:val="21"/>
        </w:rPr>
        <w:t> </w:t>
      </w:r>
      <w:r>
        <w:rPr>
          <w:color w:val="3A383A"/>
          <w:spacing w:val="-1"/>
          <w:w w:val="110"/>
          <w:sz w:val="21"/>
        </w:rPr>
        <w:t>Justice </w:t>
      </w:r>
      <w:r>
        <w:rPr>
          <w:color w:val="3A383A"/>
          <w:w w:val="110"/>
          <w:sz w:val="21"/>
        </w:rPr>
        <w:t>Vargo asked counsel for Petitioner whether Section 1409(a) is or</w:t>
      </w:r>
      <w:r>
        <w:rPr>
          <w:color w:val="3A383A"/>
          <w:spacing w:val="-55"/>
          <w:w w:val="110"/>
          <w:sz w:val="21"/>
        </w:rPr>
        <w:t> </w:t>
      </w:r>
      <w:r>
        <w:rPr>
          <w:color w:val="3A383A"/>
          <w:w w:val="110"/>
          <w:sz w:val="21"/>
        </w:rPr>
        <w:t>is not an immigration statute. Your honors, that question is at the very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spacing w:val="-1"/>
          <w:w w:val="110"/>
          <w:sz w:val="21"/>
        </w:rPr>
        <w:t>heart of this argument. </w:t>
      </w:r>
      <w:r>
        <w:rPr>
          <w:color w:val="3A383A"/>
          <w:w w:val="110"/>
          <w:sz w:val="21"/>
        </w:rPr>
        <w:t>This Court has consistently refused to interfere in</w:t>
      </w:r>
      <w:r>
        <w:rPr>
          <w:color w:val="3A383A"/>
          <w:spacing w:val="-55"/>
          <w:w w:val="110"/>
          <w:sz w:val="21"/>
        </w:rPr>
        <w:t> </w:t>
      </w:r>
      <w:r>
        <w:rPr>
          <w:color w:val="3A383A"/>
          <w:w w:val="105"/>
          <w:sz w:val="21"/>
        </w:rPr>
        <w:t>Congress's decisions about immigration</w:t>
      </w:r>
      <w:r>
        <w:rPr>
          <w:color w:val="3A383A"/>
          <w:spacing w:val="1"/>
          <w:w w:val="105"/>
          <w:sz w:val="21"/>
        </w:rPr>
        <w:t> </w:t>
      </w:r>
      <w:r>
        <w:rPr>
          <w:color w:val="3A383A"/>
          <w:w w:val="105"/>
          <w:sz w:val="21"/>
        </w:rPr>
        <w:t>law, and  this case is not  the  time</w:t>
      </w:r>
      <w:r>
        <w:rPr>
          <w:color w:val="3A383A"/>
          <w:spacing w:val="1"/>
          <w:w w:val="105"/>
          <w:sz w:val="21"/>
        </w:rPr>
        <w:t> </w:t>
      </w:r>
      <w:r>
        <w:rPr>
          <w:color w:val="3A383A"/>
          <w:w w:val="105"/>
          <w:sz w:val="21"/>
        </w:rPr>
        <w:t>to start. This Court should affirm the decision of the</w:t>
      </w:r>
      <w:r>
        <w:rPr>
          <w:color w:val="3A383A"/>
          <w:spacing w:val="1"/>
          <w:w w:val="105"/>
          <w:sz w:val="21"/>
        </w:rPr>
        <w:t> </w:t>
      </w:r>
      <w:r>
        <w:rPr>
          <w:color w:val="3A383A"/>
          <w:w w:val="105"/>
          <w:sz w:val="21"/>
        </w:rPr>
        <w:t>District of Columbia</w:t>
      </w:r>
      <w:r>
        <w:rPr>
          <w:color w:val="3A383A"/>
          <w:spacing w:val="1"/>
          <w:w w:val="105"/>
          <w:sz w:val="21"/>
        </w:rPr>
        <w:t> </w:t>
      </w:r>
      <w:r>
        <w:rPr>
          <w:color w:val="3A383A"/>
          <w:w w:val="105"/>
          <w:sz w:val="21"/>
        </w:rPr>
        <w:t>Court of Appeals precisely because Section 1409(a) is an immigration stat­</w:t>
      </w:r>
      <w:r>
        <w:rPr>
          <w:color w:val="3A383A"/>
          <w:spacing w:val="1"/>
          <w:w w:val="105"/>
          <w:sz w:val="21"/>
        </w:rPr>
        <w:t> </w:t>
      </w:r>
      <w:r>
        <w:rPr>
          <w:color w:val="3A383A"/>
          <w:w w:val="110"/>
          <w:sz w:val="21"/>
        </w:rPr>
        <w:t>ute, and this Court has traditionally applied a deferential standard when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05"/>
          <w:sz w:val="21"/>
        </w:rPr>
        <w:t>reviewing federal immigration legislation. Furthermore, under that defer­</w:t>
      </w:r>
      <w:r>
        <w:rPr>
          <w:color w:val="3A383A"/>
          <w:spacing w:val="1"/>
          <w:w w:val="105"/>
          <w:sz w:val="21"/>
        </w:rPr>
        <w:t> </w:t>
      </w:r>
      <w:r>
        <w:rPr>
          <w:color w:val="3A383A"/>
          <w:w w:val="110"/>
          <w:sz w:val="21"/>
        </w:rPr>
        <w:t>ential standard, Section 1409(a) is facially legitimate, and it is rationally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spacing w:val="-1"/>
          <w:w w:val="110"/>
          <w:sz w:val="21"/>
        </w:rPr>
        <w:t>related to Congress's </w:t>
      </w:r>
      <w:r>
        <w:rPr>
          <w:color w:val="3A383A"/>
          <w:w w:val="110"/>
          <w:sz w:val="21"/>
        </w:rPr>
        <w:t>goal of promoting close, early family ties with U.S.</w:t>
      </w:r>
      <w:r>
        <w:rPr>
          <w:color w:val="3A383A"/>
          <w:spacing w:val="-55"/>
          <w:w w:val="110"/>
          <w:sz w:val="21"/>
        </w:rPr>
        <w:t> </w:t>
      </w:r>
      <w:r>
        <w:rPr>
          <w:color w:val="3A383A"/>
          <w:w w:val="110"/>
          <w:sz w:val="21"/>
        </w:rPr>
        <w:t>relatives.</w:t>
      </w:r>
    </w:p>
    <w:p>
      <w:pPr>
        <w:pStyle w:val="BodyText"/>
        <w:spacing w:line="235" w:lineRule="auto" w:before="120"/>
        <w:ind w:left="634" w:right="123" w:firstLine="385"/>
        <w:jc w:val="both"/>
      </w:pPr>
      <w:r>
        <w:rPr>
          <w:color w:val="3A383A"/>
          <w:w w:val="115"/>
        </w:rPr>
        <w:t>Although the respondent's attorney above did not use a traditional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0"/>
        </w:rPr>
        <w:t>"first, second, third" roadmap, his introduction revealed his theme (def­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erence to Congress), the two points that he planned to make, and the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order in which he planned to make them: First, he planned to address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requirement that the Court use a deferential standard; second </w:t>
      </w:r>
      <w:r>
        <w:rPr>
          <w:rFonts w:ascii="Arial" w:hAnsi="Arial"/>
          <w:color w:val="3A383A"/>
          <w:w w:val="110"/>
          <w:sz w:val="21"/>
        </w:rPr>
        <w:t>("fur­</w:t>
      </w:r>
      <w:r>
        <w:rPr>
          <w:rFonts w:ascii="Arial" w:hAnsi="Arial"/>
          <w:color w:val="3A383A"/>
          <w:spacing w:val="1"/>
          <w:w w:val="110"/>
          <w:sz w:val="21"/>
        </w:rPr>
        <w:t> </w:t>
      </w:r>
      <w:r>
        <w:rPr>
          <w:color w:val="3A383A"/>
          <w:w w:val="115"/>
        </w:rPr>
        <w:t>thermore"), he planned to explain what happens when that deferential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standard</w:t>
      </w:r>
      <w:r>
        <w:rPr>
          <w:color w:val="3A383A"/>
          <w:spacing w:val="-6"/>
          <w:w w:val="115"/>
        </w:rPr>
        <w:t> </w:t>
      </w:r>
      <w:r>
        <w:rPr>
          <w:color w:val="3A383A"/>
          <w:w w:val="115"/>
        </w:rPr>
        <w:t>is</w:t>
      </w:r>
      <w:r>
        <w:rPr>
          <w:color w:val="3A383A"/>
          <w:spacing w:val="-27"/>
          <w:w w:val="115"/>
        </w:rPr>
        <w:t> </w:t>
      </w:r>
      <w:r>
        <w:rPr>
          <w:color w:val="3A383A"/>
          <w:w w:val="115"/>
        </w:rPr>
        <w:t>applied</w:t>
      </w:r>
      <w:r>
        <w:rPr>
          <w:color w:val="5D5D5E"/>
          <w:w w:val="115"/>
        </w:rPr>
        <w:t>.</w:t>
      </w:r>
    </w:p>
    <w:p>
      <w:pPr>
        <w:pStyle w:val="BodyText"/>
        <w:spacing w:line="235" w:lineRule="auto"/>
        <w:ind w:left="626" w:right="129" w:firstLine="368"/>
        <w:jc w:val="both"/>
      </w:pPr>
      <w:r>
        <w:rPr>
          <w:color w:val="3A383A"/>
          <w:w w:val="115"/>
        </w:rPr>
        <w:t>The</w:t>
      </w:r>
      <w:r>
        <w:rPr>
          <w:color w:val="3A383A"/>
          <w:spacing w:val="-9"/>
          <w:w w:val="115"/>
        </w:rPr>
        <w:t> </w:t>
      </w:r>
      <w:r>
        <w:rPr>
          <w:color w:val="3A383A"/>
          <w:w w:val="115"/>
        </w:rPr>
        <w:t>introduction</w:t>
      </w:r>
      <w:r>
        <w:rPr>
          <w:color w:val="3A383A"/>
          <w:spacing w:val="15"/>
          <w:w w:val="115"/>
        </w:rPr>
        <w:t> </w:t>
      </w:r>
      <w:r>
        <w:rPr>
          <w:color w:val="3A383A"/>
          <w:w w:val="115"/>
          <w:sz w:val="22"/>
        </w:rPr>
        <w:t>will</w:t>
      </w:r>
      <w:r>
        <w:rPr>
          <w:color w:val="3A383A"/>
          <w:spacing w:val="1"/>
          <w:w w:val="115"/>
          <w:sz w:val="22"/>
        </w:rPr>
        <w:t> </w:t>
      </w:r>
      <w:r>
        <w:rPr>
          <w:color w:val="3A383A"/>
          <w:w w:val="115"/>
        </w:rPr>
        <w:t>take</w:t>
      </w:r>
      <w:r>
        <w:rPr>
          <w:color w:val="3A383A"/>
          <w:spacing w:val="-4"/>
          <w:w w:val="115"/>
        </w:rPr>
        <w:t> </w:t>
      </w:r>
      <w:r>
        <w:rPr>
          <w:color w:val="3A383A"/>
          <w:w w:val="115"/>
        </w:rPr>
        <w:t>up</w:t>
      </w:r>
      <w:r>
        <w:rPr>
          <w:color w:val="3A383A"/>
          <w:spacing w:val="-10"/>
          <w:w w:val="115"/>
        </w:rPr>
        <w:t> </w:t>
      </w:r>
      <w:r>
        <w:rPr>
          <w:color w:val="3A383A"/>
          <w:w w:val="115"/>
        </w:rPr>
        <w:t>only</w:t>
      </w:r>
      <w:r>
        <w:rPr>
          <w:color w:val="3A383A"/>
          <w:spacing w:val="-5"/>
          <w:w w:val="115"/>
        </w:rPr>
        <w:t> </w:t>
      </w:r>
      <w:r>
        <w:rPr>
          <w:color w:val="3A383A"/>
          <w:w w:val="115"/>
        </w:rPr>
        <w:t>a</w:t>
      </w:r>
      <w:r>
        <w:rPr>
          <w:color w:val="3A383A"/>
          <w:spacing w:val="-7"/>
          <w:w w:val="115"/>
        </w:rPr>
        <w:t> </w:t>
      </w:r>
      <w:r>
        <w:rPr>
          <w:color w:val="3A383A"/>
          <w:w w:val="115"/>
        </w:rPr>
        <w:t>small</w:t>
      </w:r>
      <w:r>
        <w:rPr>
          <w:color w:val="3A383A"/>
          <w:spacing w:val="-1"/>
          <w:w w:val="115"/>
        </w:rPr>
        <w:t> </w:t>
      </w:r>
      <w:r>
        <w:rPr>
          <w:color w:val="3A383A"/>
          <w:w w:val="115"/>
        </w:rPr>
        <w:t>percentage</w:t>
      </w:r>
      <w:r>
        <w:rPr>
          <w:color w:val="3A383A"/>
          <w:spacing w:val="-10"/>
          <w:w w:val="115"/>
        </w:rPr>
        <w:t> </w:t>
      </w:r>
      <w:r>
        <w:rPr>
          <w:color w:val="3A383A"/>
          <w:w w:val="115"/>
        </w:rPr>
        <w:t>of</w:t>
      </w:r>
      <w:r>
        <w:rPr>
          <w:color w:val="3A383A"/>
          <w:spacing w:val="-3"/>
          <w:w w:val="115"/>
        </w:rPr>
        <w:t> </w:t>
      </w:r>
      <w:r>
        <w:rPr>
          <w:color w:val="3A383A"/>
          <w:w w:val="115"/>
        </w:rPr>
        <w:t>your</w:t>
      </w:r>
      <w:r>
        <w:rPr>
          <w:color w:val="3A383A"/>
          <w:spacing w:val="-14"/>
          <w:w w:val="115"/>
        </w:rPr>
        <w:t> </w:t>
      </w:r>
      <w:r>
        <w:rPr>
          <w:color w:val="3A383A"/>
          <w:w w:val="115"/>
        </w:rPr>
        <w:t>argu­</w:t>
      </w:r>
      <w:r>
        <w:rPr>
          <w:color w:val="3A383A"/>
          <w:spacing w:val="-64"/>
          <w:w w:val="115"/>
        </w:rPr>
        <w:t> </w:t>
      </w:r>
      <w:r>
        <w:rPr>
          <w:color w:val="3A383A"/>
          <w:w w:val="110"/>
        </w:rPr>
        <w:t>ment time, but you should plan it carefully so that you can obtain optimal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5"/>
        </w:rPr>
        <w:t>benefits.</w:t>
      </w:r>
    </w:p>
    <w:p>
      <w:pPr>
        <w:pStyle w:val="BodyText"/>
        <w:rPr>
          <w:sz w:val="26"/>
        </w:rPr>
      </w:pPr>
    </w:p>
    <w:p>
      <w:pPr>
        <w:spacing w:before="157"/>
        <w:ind w:left="1009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7B7C7E"/>
          <w:w w:val="110"/>
          <w:sz w:val="27"/>
        </w:rPr>
        <w:t>13</w:t>
      </w:r>
      <w:r>
        <w:rPr>
          <w:rFonts w:ascii="Arial"/>
          <w:b/>
          <w:color w:val="5D5D5E"/>
          <w:w w:val="110"/>
          <w:sz w:val="27"/>
        </w:rPr>
        <w:t>.</w:t>
      </w:r>
      <w:r>
        <w:rPr>
          <w:rFonts w:ascii="Arial"/>
          <w:b/>
          <w:color w:val="7B7C7E"/>
          <w:w w:val="110"/>
          <w:sz w:val="27"/>
        </w:rPr>
        <w:t>5</w:t>
      </w:r>
      <w:r>
        <w:rPr>
          <w:rFonts w:ascii="Arial"/>
          <w:b/>
          <w:color w:val="3A383A"/>
          <w:w w:val="110"/>
          <w:sz w:val="27"/>
        </w:rPr>
        <w:t>.</w:t>
      </w:r>
      <w:r>
        <w:rPr>
          <w:rFonts w:ascii="Arial"/>
          <w:b/>
          <w:color w:val="7B7C7E"/>
          <w:w w:val="110"/>
          <w:sz w:val="27"/>
        </w:rPr>
        <w:t>2</w:t>
      </w:r>
    </w:p>
    <w:p>
      <w:pPr>
        <w:spacing w:before="36"/>
        <w:ind w:left="987" w:right="0" w:firstLine="0"/>
        <w:jc w:val="both"/>
        <w:rPr>
          <w:sz w:val="24"/>
        </w:rPr>
      </w:pPr>
      <w:r>
        <w:rPr>
          <w:rFonts w:ascii="Arial"/>
          <w:color w:val="7B7C7E"/>
          <w:spacing w:val="-1"/>
          <w:sz w:val="22"/>
        </w:rPr>
        <w:t>THE</w:t>
      </w:r>
      <w:r>
        <w:rPr>
          <w:rFonts w:ascii="Arial"/>
          <w:color w:val="7B7C7E"/>
          <w:spacing w:val="-13"/>
          <w:sz w:val="22"/>
        </w:rPr>
        <w:t> </w:t>
      </w:r>
      <w:r>
        <w:rPr>
          <w:color w:val="7B7C7E"/>
          <w:spacing w:val="-1"/>
          <w:sz w:val="24"/>
        </w:rPr>
        <w:t>ARGUMENT</w:t>
      </w:r>
      <w:r>
        <w:rPr>
          <w:color w:val="7B7C7E"/>
          <w:spacing w:val="21"/>
          <w:sz w:val="24"/>
        </w:rPr>
        <w:t> </w:t>
      </w:r>
      <w:r>
        <w:rPr>
          <w:color w:val="7B7C7E"/>
          <w:sz w:val="24"/>
        </w:rPr>
        <w:t>ITSEL</w:t>
      </w:r>
      <w:r>
        <w:rPr>
          <w:color w:val="5D5D5E"/>
          <w:sz w:val="24"/>
        </w:rPr>
        <w:t>F</w:t>
      </w:r>
    </w:p>
    <w:p>
      <w:pPr>
        <w:pStyle w:val="BodyText"/>
        <w:spacing w:line="232" w:lineRule="auto" w:before="144"/>
        <w:ind w:left="466" w:right="115" w:firstLine="484"/>
        <w:jc w:val="both"/>
      </w:pPr>
      <w:r>
        <w:rPr>
          <w:color w:val="3A383A"/>
          <w:w w:val="110"/>
        </w:rPr>
        <w:t>We have already discussed substantive and organizational information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0"/>
        </w:rPr>
        <w:t>regarding the argument itself; Section 13.6 below addresses how to handle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questions during the argument. The transition point from the introduc­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0"/>
        </w:rPr>
        <w:t>tion to the argument is simple. After you have finished the introduction,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simply move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to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your first  point. Do not  wait for  the  court to tell you</w:t>
      </w:r>
      <w:r>
        <w:rPr>
          <w:color w:val="3A383A"/>
          <w:spacing w:val="-64"/>
          <w:w w:val="115"/>
        </w:rPr>
        <w:t> </w:t>
      </w:r>
      <w:r>
        <w:rPr>
          <w:color w:val="3A383A"/>
          <w:w w:val="110"/>
        </w:rPr>
        <w:t>to go on.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Although many advocates provide a full sentence of transition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between introductory material and the argument, rarely is such a formal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shift</w:t>
      </w:r>
      <w:r>
        <w:rPr>
          <w:color w:val="3A383A"/>
          <w:spacing w:val="2"/>
          <w:w w:val="115"/>
        </w:rPr>
        <w:t> </w:t>
      </w:r>
      <w:r>
        <w:rPr>
          <w:color w:val="3A383A"/>
          <w:w w:val="115"/>
        </w:rPr>
        <w:t>necessary.</w:t>
      </w:r>
      <w:r>
        <w:rPr>
          <w:color w:val="3A383A"/>
          <w:spacing w:val="11"/>
          <w:w w:val="115"/>
        </w:rPr>
        <w:t> </w:t>
      </w:r>
      <w:r>
        <w:rPr>
          <w:color w:val="3A383A"/>
          <w:w w:val="115"/>
        </w:rPr>
        <w:t>Instead</w:t>
      </w:r>
      <w:r>
        <w:rPr>
          <w:color w:val="3A383A"/>
          <w:spacing w:val="8"/>
          <w:w w:val="115"/>
        </w:rPr>
        <w:t> </w:t>
      </w:r>
      <w:r>
        <w:rPr>
          <w:color w:val="3A383A"/>
          <w:w w:val="115"/>
        </w:rPr>
        <w:t>of</w:t>
      </w:r>
      <w:r>
        <w:rPr>
          <w:color w:val="3A383A"/>
          <w:spacing w:val="6"/>
          <w:w w:val="115"/>
        </w:rPr>
        <w:t> </w:t>
      </w:r>
      <w:r>
        <w:rPr>
          <w:color w:val="3A383A"/>
          <w:w w:val="115"/>
        </w:rPr>
        <w:t>saying,</w:t>
      </w:r>
      <w:r>
        <w:rPr>
          <w:color w:val="3A383A"/>
          <w:spacing w:val="2"/>
          <w:w w:val="115"/>
        </w:rPr>
        <w:t> </w:t>
      </w:r>
      <w:r>
        <w:rPr>
          <w:color w:val="3A383A"/>
          <w:w w:val="115"/>
        </w:rPr>
        <w:t>"Now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that</w:t>
      </w:r>
      <w:r>
        <w:rPr>
          <w:color w:val="3A383A"/>
          <w:spacing w:val="8"/>
          <w:w w:val="115"/>
        </w:rPr>
        <w:t> </w:t>
      </w:r>
      <w:r>
        <w:rPr>
          <w:color w:val="3A383A"/>
          <w:w w:val="115"/>
        </w:rPr>
        <w:t>I</w:t>
      </w:r>
      <w:r>
        <w:rPr>
          <w:color w:val="3A383A"/>
          <w:spacing w:val="10"/>
          <w:w w:val="115"/>
        </w:rPr>
        <w:t> </w:t>
      </w:r>
      <w:r>
        <w:rPr>
          <w:color w:val="3A383A"/>
          <w:w w:val="115"/>
        </w:rPr>
        <w:t>have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laid</w:t>
      </w:r>
      <w:r>
        <w:rPr>
          <w:color w:val="3A383A"/>
          <w:spacing w:val="5"/>
          <w:w w:val="115"/>
        </w:rPr>
        <w:t> </w:t>
      </w:r>
      <w:r>
        <w:rPr>
          <w:color w:val="3A383A"/>
          <w:w w:val="115"/>
        </w:rPr>
        <w:t>out</w:t>
      </w:r>
      <w:r>
        <w:rPr>
          <w:color w:val="3A383A"/>
          <w:spacing w:val="23"/>
          <w:w w:val="115"/>
        </w:rPr>
        <w:t> </w:t>
      </w:r>
      <w:r>
        <w:rPr>
          <w:color w:val="3A383A"/>
          <w:w w:val="115"/>
        </w:rPr>
        <w:t>the</w:t>
      </w:r>
      <w:r>
        <w:rPr>
          <w:color w:val="3A383A"/>
          <w:spacing w:val="19"/>
          <w:w w:val="115"/>
        </w:rPr>
        <w:t> </w:t>
      </w:r>
      <w:r>
        <w:rPr>
          <w:color w:val="3A383A"/>
          <w:w w:val="115"/>
        </w:rPr>
        <w:t>issues,</w:t>
      </w:r>
      <w:r>
        <w:rPr>
          <w:color w:val="3A383A"/>
          <w:spacing w:val="-63"/>
          <w:w w:val="115"/>
        </w:rPr>
        <w:t> </w:t>
      </w:r>
      <w:r>
        <w:rPr>
          <w:color w:val="3A383A"/>
          <w:w w:val="115"/>
        </w:rPr>
        <w:t>I </w:t>
      </w:r>
      <w:r>
        <w:rPr>
          <w:color w:val="3A383A"/>
          <w:w w:val="115"/>
          <w:sz w:val="22"/>
        </w:rPr>
        <w:t>will </w:t>
      </w:r>
      <w:r>
        <w:rPr>
          <w:color w:val="3A383A"/>
          <w:w w:val="115"/>
        </w:rPr>
        <w:t>address the first of the three points of my outline," </w:t>
      </w:r>
      <w:r>
        <w:rPr>
          <w:color w:val="3A383A"/>
          <w:w w:val="115"/>
          <w:sz w:val="22"/>
        </w:rPr>
        <w:t>it </w:t>
      </w:r>
      <w:r>
        <w:rPr>
          <w:color w:val="3A383A"/>
          <w:w w:val="115"/>
        </w:rPr>
        <w:t>is usually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more effective to be briefer, e.g., "turning to the first issue ...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5"/>
        </w:rPr>
        <w:t>" or even</w:t>
      </w:r>
      <w:r>
        <w:rPr>
          <w:color w:val="3A383A"/>
          <w:spacing w:val="1"/>
          <w:w w:val="115"/>
        </w:rPr>
        <w:t> </w:t>
      </w:r>
      <w:r>
        <w:rPr>
          <w:color w:val="3A383A"/>
          <w:spacing w:val="-1"/>
          <w:w w:val="115"/>
        </w:rPr>
        <w:t>"First, ...</w:t>
      </w:r>
      <w:r>
        <w:rPr>
          <w:color w:val="3A383A"/>
          <w:w w:val="115"/>
        </w:rPr>
        <w:t> </w:t>
      </w:r>
      <w:r>
        <w:rPr>
          <w:color w:val="3A383A"/>
          <w:spacing w:val="-1"/>
          <w:w w:val="115"/>
        </w:rPr>
        <w:t>" A shorter transition saves both time and the </w:t>
      </w:r>
      <w:r>
        <w:rPr>
          <w:color w:val="3A383A"/>
          <w:w w:val="115"/>
        </w:rPr>
        <w:t>court's patience.</w:t>
      </w:r>
      <w:r>
        <w:rPr>
          <w:color w:val="3A383A"/>
          <w:spacing w:val="1"/>
          <w:w w:val="115"/>
        </w:rPr>
        <w:t> </w:t>
      </w:r>
      <w:r>
        <w:rPr>
          <w:color w:val="3A383A"/>
          <w:w w:val="110"/>
        </w:rPr>
        <w:t>If</w:t>
      </w:r>
      <w:r>
        <w:rPr>
          <w:color w:val="3A383A"/>
          <w:spacing w:val="19"/>
          <w:w w:val="110"/>
        </w:rPr>
        <w:t> </w:t>
      </w:r>
      <w:r>
        <w:rPr>
          <w:color w:val="3A383A"/>
          <w:w w:val="110"/>
        </w:rPr>
        <w:t>you</w:t>
      </w:r>
      <w:r>
        <w:rPr>
          <w:color w:val="3A383A"/>
          <w:spacing w:val="2"/>
          <w:w w:val="110"/>
        </w:rPr>
        <w:t> </w:t>
      </w:r>
      <w:r>
        <w:rPr>
          <w:color w:val="3A383A"/>
          <w:w w:val="110"/>
        </w:rPr>
        <w:t>have</w:t>
      </w:r>
      <w:r>
        <w:rPr>
          <w:color w:val="3A383A"/>
          <w:spacing w:val="3"/>
          <w:w w:val="110"/>
        </w:rPr>
        <w:t> </w:t>
      </w:r>
      <w:r>
        <w:rPr>
          <w:color w:val="3A383A"/>
          <w:w w:val="110"/>
        </w:rPr>
        <w:t>prepared</w:t>
      </w:r>
      <w:r>
        <w:rPr>
          <w:color w:val="3A383A"/>
          <w:spacing w:val="18"/>
          <w:w w:val="110"/>
        </w:rPr>
        <w:t> </w:t>
      </w:r>
      <w:r>
        <w:rPr>
          <w:color w:val="3A383A"/>
          <w:w w:val="110"/>
        </w:rPr>
        <w:t>effectively,</w:t>
      </w:r>
      <w:r>
        <w:rPr>
          <w:color w:val="3A383A"/>
          <w:spacing w:val="22"/>
          <w:w w:val="110"/>
        </w:rPr>
        <w:t> </w:t>
      </w:r>
      <w:r>
        <w:rPr>
          <w:color w:val="3A383A"/>
          <w:w w:val="110"/>
        </w:rPr>
        <w:t>you</w:t>
      </w:r>
      <w:r>
        <w:rPr>
          <w:color w:val="3A383A"/>
          <w:spacing w:val="27"/>
          <w:w w:val="110"/>
        </w:rPr>
        <w:t> </w:t>
      </w:r>
      <w:r>
        <w:rPr>
          <w:color w:val="3A383A"/>
          <w:w w:val="110"/>
        </w:rPr>
        <w:t>can</w:t>
      </w:r>
      <w:r>
        <w:rPr>
          <w:color w:val="3A383A"/>
          <w:spacing w:val="42"/>
          <w:w w:val="110"/>
        </w:rPr>
        <w:t> </w:t>
      </w:r>
      <w:r>
        <w:rPr>
          <w:color w:val="3A383A"/>
          <w:w w:val="110"/>
        </w:rPr>
        <w:t>proceed</w:t>
      </w:r>
      <w:r>
        <w:rPr>
          <w:color w:val="3A383A"/>
          <w:spacing w:val="25"/>
          <w:w w:val="110"/>
        </w:rPr>
        <w:t> </w:t>
      </w:r>
      <w:r>
        <w:rPr>
          <w:color w:val="3A383A"/>
          <w:w w:val="110"/>
        </w:rPr>
        <w:t>to</w:t>
      </w:r>
      <w:r>
        <w:rPr>
          <w:color w:val="3A383A"/>
          <w:spacing w:val="30"/>
          <w:w w:val="110"/>
        </w:rPr>
        <w:t> </w:t>
      </w:r>
      <w:r>
        <w:rPr>
          <w:color w:val="3A383A"/>
          <w:w w:val="110"/>
        </w:rPr>
        <w:t>your</w:t>
      </w:r>
      <w:r>
        <w:rPr>
          <w:color w:val="3A383A"/>
          <w:spacing w:val="12"/>
          <w:w w:val="110"/>
        </w:rPr>
        <w:t> </w:t>
      </w:r>
      <w:r>
        <w:rPr>
          <w:color w:val="3A383A"/>
          <w:w w:val="110"/>
        </w:rPr>
        <w:t>first</w:t>
      </w:r>
      <w:r>
        <w:rPr>
          <w:color w:val="3A383A"/>
          <w:spacing w:val="20"/>
          <w:w w:val="110"/>
        </w:rPr>
        <w:t> </w:t>
      </w:r>
      <w:r>
        <w:rPr>
          <w:color w:val="3A383A"/>
          <w:w w:val="110"/>
        </w:rPr>
        <w:t>point,</w:t>
      </w:r>
      <w:r>
        <w:rPr>
          <w:color w:val="3A383A"/>
          <w:spacing w:val="6"/>
          <w:w w:val="110"/>
        </w:rPr>
        <w:t> </w:t>
      </w:r>
      <w:r>
        <w:rPr>
          <w:color w:val="3A383A"/>
          <w:w w:val="110"/>
        </w:rPr>
        <w:t>the</w:t>
      </w:r>
    </w:p>
    <w:p>
      <w:pPr>
        <w:spacing w:after="0" w:line="232" w:lineRule="auto"/>
        <w:jc w:val="both"/>
        <w:sectPr>
          <w:headerReference w:type="even" r:id="rId340"/>
          <w:headerReference w:type="default" r:id="rId341"/>
          <w:pgSz w:w="9780" w:h="14010"/>
          <w:pgMar w:header="520" w:footer="0" w:top="1080" w:bottom="0" w:left="1360" w:right="220"/>
          <w:pgNumType w:start="300"/>
        </w:sectPr>
      </w:pPr>
    </w:p>
    <w:p>
      <w:pPr>
        <w:pStyle w:val="BodyText"/>
        <w:spacing w:line="232" w:lineRule="auto" w:before="87"/>
        <w:ind w:left="118" w:right="605" w:firstLine="16"/>
        <w:jc w:val="both"/>
      </w:pPr>
      <w:r>
        <w:rPr>
          <w:color w:val="3B383A"/>
          <w:w w:val="110"/>
        </w:rPr>
        <w:t>rule governing it, the support for that rule </w:t>
      </w:r>
      <w:r>
        <w:rPr>
          <w:rFonts w:ascii="Arial"/>
          <w:color w:val="3B383A"/>
          <w:w w:val="110"/>
          <w:sz w:val="20"/>
        </w:rPr>
        <w:t>(if </w:t>
      </w:r>
      <w:r>
        <w:rPr>
          <w:color w:val="3B383A"/>
          <w:w w:val="110"/>
        </w:rPr>
        <w:t>needed), and the discussion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of how that rule applies to  the facts. Handling questions from the  bench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is</w:t>
      </w:r>
      <w:r>
        <w:rPr>
          <w:color w:val="3B383A"/>
          <w:spacing w:val="-30"/>
          <w:w w:val="110"/>
        </w:rPr>
        <w:t> </w:t>
      </w:r>
      <w:r>
        <w:rPr>
          <w:color w:val="3B383A"/>
          <w:w w:val="110"/>
        </w:rPr>
        <w:t>discussed</w:t>
      </w:r>
      <w:r>
        <w:rPr>
          <w:color w:val="3B383A"/>
          <w:spacing w:val="7"/>
          <w:w w:val="110"/>
        </w:rPr>
        <w:t> </w:t>
      </w:r>
      <w:r>
        <w:rPr>
          <w:color w:val="3B383A"/>
          <w:w w:val="110"/>
        </w:rPr>
        <w:t>in</w:t>
      </w:r>
      <w:r>
        <w:rPr>
          <w:color w:val="3B383A"/>
          <w:spacing w:val="4"/>
          <w:w w:val="110"/>
        </w:rPr>
        <w:t> </w:t>
      </w:r>
      <w:r>
        <w:rPr>
          <w:color w:val="3B383A"/>
          <w:w w:val="110"/>
        </w:rPr>
        <w:t>Section</w:t>
      </w:r>
      <w:r>
        <w:rPr>
          <w:color w:val="3B383A"/>
          <w:spacing w:val="-3"/>
          <w:w w:val="110"/>
        </w:rPr>
        <w:t> </w:t>
      </w:r>
      <w:r>
        <w:rPr>
          <w:color w:val="3B383A"/>
          <w:w w:val="110"/>
        </w:rPr>
        <w:t>13.6.</w:t>
      </w:r>
    </w:p>
    <w:p>
      <w:pPr>
        <w:pStyle w:val="BodyText"/>
        <w:spacing w:before="1"/>
        <w:rPr>
          <w:sz w:val="33"/>
        </w:rPr>
      </w:pPr>
    </w:p>
    <w:p>
      <w:pPr>
        <w:spacing w:before="0"/>
        <w:ind w:left="46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B383A"/>
          <w:w w:val="105"/>
          <w:sz w:val="28"/>
        </w:rPr>
        <w:t>13.5.3</w:t>
      </w:r>
    </w:p>
    <w:p>
      <w:pPr>
        <w:spacing w:before="42"/>
        <w:ind w:left="459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3B383A"/>
          <w:sz w:val="22"/>
        </w:rPr>
        <w:t>THE</w:t>
      </w:r>
      <w:r>
        <w:rPr>
          <w:rFonts w:ascii="Arial"/>
          <w:b/>
          <w:color w:val="3B383A"/>
          <w:spacing w:val="23"/>
          <w:sz w:val="22"/>
        </w:rPr>
        <w:t> </w:t>
      </w:r>
      <w:r>
        <w:rPr>
          <w:rFonts w:ascii="Arial"/>
          <w:b/>
          <w:color w:val="3B383A"/>
          <w:sz w:val="22"/>
        </w:rPr>
        <w:t>CONCLUSI</w:t>
      </w:r>
      <w:r>
        <w:rPr>
          <w:rFonts w:ascii="Arial"/>
          <w:b/>
          <w:color w:val="545456"/>
          <w:sz w:val="22"/>
        </w:rPr>
        <w:t>O</w:t>
      </w:r>
      <w:r>
        <w:rPr>
          <w:rFonts w:ascii="Arial"/>
          <w:b/>
          <w:color w:val="3B383A"/>
          <w:sz w:val="22"/>
        </w:rPr>
        <w:t>N</w:t>
      </w:r>
    </w:p>
    <w:p>
      <w:pPr>
        <w:pStyle w:val="BodyText"/>
        <w:spacing w:line="235" w:lineRule="auto" w:before="158"/>
        <w:ind w:left="137" w:right="534" w:firstLine="343"/>
        <w:jc w:val="both"/>
      </w:pPr>
      <w:r>
        <w:rPr>
          <w:color w:val="3B383A"/>
          <w:spacing w:val="-1"/>
          <w:w w:val="115"/>
        </w:rPr>
        <w:t>Although </w:t>
      </w:r>
      <w:r>
        <w:rPr>
          <w:color w:val="3B383A"/>
          <w:w w:val="115"/>
        </w:rPr>
        <w:t>the court will often control the amount of time you spend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0"/>
        </w:rPr>
        <w:t>talking about particular points, the good advocate is aware of the passage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5"/>
        </w:rPr>
        <w:t>of time and trie</w:t>
      </w:r>
      <w:r>
        <w:rPr>
          <w:color w:val="545456"/>
          <w:w w:val="115"/>
        </w:rPr>
        <w:t>s </w:t>
      </w:r>
      <w:r>
        <w:rPr>
          <w:color w:val="3B383A"/>
          <w:w w:val="115"/>
        </w:rPr>
        <w:t>to provide an effective conclusion to his or her argu­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ment. In many courts, a podium light system is used: A green light is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displayed throughout most of the argument; a yellow light signals that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time is running short (how short varies from court to court-e.g., there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may be two to five minutes remaining when the light turns on); and a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red light signals that time is up. Counsel should never stop the court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0"/>
        </w:rPr>
        <w:t>from asking questions in order to conclude. However, </w:t>
      </w:r>
      <w:r>
        <w:rPr>
          <w:color w:val="3B383A"/>
          <w:w w:val="110"/>
          <w:sz w:val="22"/>
        </w:rPr>
        <w:t>if </w:t>
      </w:r>
      <w:r>
        <w:rPr>
          <w:color w:val="3B383A"/>
          <w:w w:val="110"/>
        </w:rPr>
        <w:t>the court is quiet,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5"/>
        </w:rPr>
        <w:t>and the yellow light is on, counsel may decide to conclude rather than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to launch into his or her final (and perhaps weakest) point. </w:t>
      </w:r>
      <w:r>
        <w:rPr>
          <w:color w:val="3B383A"/>
          <w:w w:val="115"/>
          <w:sz w:val="22"/>
        </w:rPr>
        <w:t>If </w:t>
      </w:r>
      <w:r>
        <w:rPr>
          <w:color w:val="3B383A"/>
          <w:w w:val="115"/>
        </w:rPr>
        <w:t>you are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5"/>
        </w:rPr>
        <w:t>arguing before the United States Supreme Court, or another court that</w:t>
      </w:r>
      <w:r>
        <w:rPr>
          <w:color w:val="3B383A"/>
          <w:spacing w:val="1"/>
          <w:w w:val="115"/>
        </w:rPr>
        <w:t> </w:t>
      </w:r>
      <w:r>
        <w:rPr>
          <w:color w:val="3B383A"/>
          <w:w w:val="110"/>
        </w:rPr>
        <w:t>requires you to preserve your time for rebuttal, you might look for a way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5"/>
        </w:rPr>
        <w:t>to</w:t>
      </w:r>
      <w:r>
        <w:rPr>
          <w:color w:val="3B383A"/>
          <w:spacing w:val="-28"/>
          <w:w w:val="115"/>
        </w:rPr>
        <w:t> </w:t>
      </w:r>
      <w:r>
        <w:rPr>
          <w:color w:val="3B383A"/>
          <w:w w:val="115"/>
        </w:rPr>
        <w:t>conclude</w:t>
      </w:r>
      <w:r>
        <w:rPr>
          <w:color w:val="3B383A"/>
          <w:spacing w:val="-7"/>
          <w:w w:val="115"/>
        </w:rPr>
        <w:t> </w:t>
      </w:r>
      <w:r>
        <w:rPr>
          <w:color w:val="3B383A"/>
          <w:w w:val="115"/>
        </w:rPr>
        <w:t>early.</w:t>
      </w:r>
    </w:p>
    <w:p>
      <w:pPr>
        <w:pStyle w:val="BodyText"/>
        <w:spacing w:line="232" w:lineRule="exact"/>
        <w:ind w:left="507"/>
        <w:jc w:val="both"/>
      </w:pPr>
      <w:r>
        <w:rPr>
          <w:color w:val="3B383A"/>
          <w:w w:val="110"/>
        </w:rPr>
        <w:t>Like</w:t>
      </w:r>
      <w:r>
        <w:rPr>
          <w:color w:val="3B383A"/>
          <w:spacing w:val="19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29"/>
          <w:w w:val="110"/>
        </w:rPr>
        <w:t> </w:t>
      </w:r>
      <w:r>
        <w:rPr>
          <w:color w:val="3B383A"/>
          <w:w w:val="110"/>
        </w:rPr>
        <w:t>conclusion</w:t>
      </w:r>
      <w:r>
        <w:rPr>
          <w:color w:val="3B383A"/>
          <w:spacing w:val="45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35"/>
          <w:w w:val="110"/>
        </w:rPr>
        <w:t> </w:t>
      </w:r>
      <w:r>
        <w:rPr>
          <w:color w:val="3B383A"/>
          <w:w w:val="110"/>
        </w:rPr>
        <w:t>a</w:t>
      </w:r>
      <w:r>
        <w:rPr>
          <w:color w:val="3B383A"/>
          <w:spacing w:val="41"/>
          <w:w w:val="110"/>
        </w:rPr>
        <w:t> </w:t>
      </w:r>
      <w:r>
        <w:rPr>
          <w:color w:val="3B383A"/>
          <w:w w:val="110"/>
        </w:rPr>
        <w:t>brief,</w:t>
      </w:r>
      <w:r>
        <w:rPr>
          <w:color w:val="3B383A"/>
          <w:spacing w:val="43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57"/>
          <w:w w:val="110"/>
        </w:rPr>
        <w:t> </w:t>
      </w:r>
      <w:r>
        <w:rPr>
          <w:color w:val="3B383A"/>
          <w:w w:val="110"/>
        </w:rPr>
        <w:t>conclusion</w:t>
      </w:r>
      <w:r>
        <w:rPr>
          <w:color w:val="3B383A"/>
          <w:spacing w:val="55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47"/>
          <w:w w:val="110"/>
        </w:rPr>
        <w:t> </w:t>
      </w:r>
      <w:r>
        <w:rPr>
          <w:color w:val="3B383A"/>
          <w:w w:val="110"/>
        </w:rPr>
        <w:t>an</w:t>
      </w:r>
      <w:r>
        <w:rPr>
          <w:color w:val="3B383A"/>
          <w:spacing w:val="48"/>
          <w:w w:val="110"/>
        </w:rPr>
        <w:t> </w:t>
      </w:r>
      <w:r>
        <w:rPr>
          <w:color w:val="3B383A"/>
          <w:w w:val="110"/>
        </w:rPr>
        <w:t>oral</w:t>
      </w:r>
      <w:r>
        <w:rPr>
          <w:color w:val="3B383A"/>
          <w:spacing w:val="34"/>
          <w:w w:val="110"/>
        </w:rPr>
        <w:t> </w:t>
      </w:r>
      <w:r>
        <w:rPr>
          <w:color w:val="3B383A"/>
          <w:w w:val="110"/>
        </w:rPr>
        <w:t>argument</w:t>
      </w:r>
    </w:p>
    <w:p>
      <w:pPr>
        <w:pStyle w:val="BodyText"/>
        <w:spacing w:line="232" w:lineRule="auto" w:before="4"/>
        <w:ind w:left="163" w:right="517" w:hanging="1"/>
        <w:jc w:val="both"/>
        <w:rPr>
          <w:rFonts w:ascii="Arial"/>
          <w:i/>
          <w:sz w:val="21"/>
        </w:rPr>
      </w:pPr>
      <w:r>
        <w:rPr>
          <w:color w:val="3B383A"/>
          <w:w w:val="110"/>
        </w:rPr>
        <w:t>should be short and sweet</w:t>
      </w:r>
      <w:r>
        <w:rPr>
          <w:color w:val="545456"/>
          <w:w w:val="110"/>
        </w:rPr>
        <w:t>. </w:t>
      </w:r>
      <w:r>
        <w:rPr>
          <w:color w:val="3B383A"/>
          <w:w w:val="110"/>
        </w:rPr>
        <w:t>At a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minimum, it should tell the  court what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you want it to do. In an appellate argument, you will typically be asking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the court to affirm, reverse, or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reverse and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remand a decision; in a motion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argument, you will be asking the court to grant or deny the motion</w:t>
      </w:r>
      <w:r>
        <w:rPr>
          <w:color w:val="545456"/>
          <w:w w:val="110"/>
        </w:rPr>
        <w:t>. </w:t>
      </w:r>
      <w:r>
        <w:rPr>
          <w:color w:val="3B383A"/>
          <w:w w:val="110"/>
          <w:sz w:val="22"/>
        </w:rPr>
        <w:t>If</w:t>
      </w:r>
      <w:r>
        <w:rPr>
          <w:color w:val="3B383A"/>
          <w:spacing w:val="1"/>
          <w:w w:val="110"/>
          <w:sz w:val="22"/>
        </w:rPr>
        <w:t> </w:t>
      </w:r>
      <w:r>
        <w:rPr>
          <w:color w:val="3B383A"/>
          <w:w w:val="110"/>
        </w:rPr>
        <w:t>more time is available, counsel may want to recap the main reasons that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support his or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her  conclusion,</w:t>
      </w:r>
      <w:r>
        <w:rPr>
          <w:color w:val="696B6D"/>
          <w:w w:val="110"/>
        </w:rPr>
        <w:t>.</w:t>
      </w:r>
      <w:r>
        <w:rPr>
          <w:color w:val="3B383A"/>
          <w:w w:val="110"/>
        </w:rPr>
        <w:t>as in the  following conclusion that might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  <w:sz w:val="22"/>
        </w:rPr>
        <w:t>be</w:t>
      </w:r>
      <w:r>
        <w:rPr>
          <w:color w:val="3B383A"/>
          <w:spacing w:val="-22"/>
          <w:w w:val="110"/>
          <w:sz w:val="22"/>
        </w:rPr>
        <w:t> </w:t>
      </w:r>
      <w:r>
        <w:rPr>
          <w:color w:val="3B383A"/>
          <w:w w:val="110"/>
        </w:rPr>
        <w:t>appropriate</w:t>
      </w:r>
      <w:r>
        <w:rPr>
          <w:color w:val="3B383A"/>
          <w:spacing w:val="-5"/>
          <w:w w:val="110"/>
        </w:rPr>
        <w:t> </w:t>
      </w:r>
      <w:r>
        <w:rPr>
          <w:color w:val="3B383A"/>
          <w:w w:val="110"/>
        </w:rPr>
        <w:t>for the</w:t>
      </w:r>
      <w:r>
        <w:rPr>
          <w:color w:val="3B383A"/>
          <w:spacing w:val="30"/>
          <w:w w:val="110"/>
        </w:rPr>
        <w:t> </w:t>
      </w:r>
      <w:r>
        <w:rPr>
          <w:color w:val="3B383A"/>
          <w:w w:val="110"/>
        </w:rPr>
        <w:t>petitioner</w:t>
      </w:r>
      <w:r>
        <w:rPr>
          <w:color w:val="3B383A"/>
          <w:spacing w:val="10"/>
          <w:w w:val="110"/>
        </w:rPr>
        <w:t> </w:t>
      </w:r>
      <w:r>
        <w:rPr>
          <w:color w:val="3B383A"/>
          <w:w w:val="110"/>
        </w:rPr>
        <w:t>in</w:t>
      </w:r>
      <w:r>
        <w:rPr>
          <w:color w:val="3B383A"/>
          <w:spacing w:val="11"/>
          <w:w w:val="110"/>
        </w:rPr>
        <w:t> </w:t>
      </w:r>
      <w:r>
        <w:rPr>
          <w:rFonts w:ascii="Arial"/>
          <w:i/>
          <w:color w:val="3B383A"/>
          <w:w w:val="110"/>
          <w:sz w:val="21"/>
        </w:rPr>
        <w:t>Miller</w:t>
      </w:r>
      <w:r>
        <w:rPr>
          <w:rFonts w:ascii="Arial"/>
          <w:i/>
          <w:color w:val="3B383A"/>
          <w:spacing w:val="-2"/>
          <w:w w:val="110"/>
          <w:sz w:val="21"/>
        </w:rPr>
        <w:t> </w:t>
      </w:r>
      <w:r>
        <w:rPr>
          <w:rFonts w:ascii="Arial"/>
          <w:i/>
          <w:color w:val="3B383A"/>
          <w:w w:val="110"/>
          <w:sz w:val="21"/>
        </w:rPr>
        <w:t>v.</w:t>
      </w:r>
      <w:r>
        <w:rPr>
          <w:rFonts w:ascii="Arial"/>
          <w:i/>
          <w:color w:val="3B383A"/>
          <w:spacing w:val="-32"/>
          <w:w w:val="110"/>
          <w:sz w:val="21"/>
        </w:rPr>
        <w:t> </w:t>
      </w:r>
      <w:r>
        <w:rPr>
          <w:rFonts w:ascii="Arial"/>
          <w:i/>
          <w:color w:val="3B383A"/>
          <w:w w:val="110"/>
          <w:sz w:val="21"/>
        </w:rPr>
        <w:t>Albright:</w:t>
      </w:r>
    </w:p>
    <w:p>
      <w:pPr>
        <w:spacing w:line="247" w:lineRule="auto" w:before="162"/>
        <w:ind w:left="509" w:right="867" w:firstLine="18"/>
        <w:jc w:val="both"/>
        <w:rPr>
          <w:sz w:val="20"/>
        </w:rPr>
      </w:pPr>
      <w:r>
        <w:rPr>
          <w:color w:val="3B383A"/>
          <w:w w:val="115"/>
          <w:sz w:val="20"/>
        </w:rPr>
        <w:t>Even in the area of immigration</w:t>
      </w:r>
      <w:r>
        <w:rPr>
          <w:color w:val="545456"/>
          <w:w w:val="115"/>
          <w:sz w:val="20"/>
        </w:rPr>
        <w:t>, </w:t>
      </w:r>
      <w:r>
        <w:rPr>
          <w:color w:val="3B383A"/>
          <w:w w:val="115"/>
          <w:sz w:val="20"/>
        </w:rPr>
        <w:t>Cong</w:t>
      </w:r>
      <w:r>
        <w:rPr>
          <w:color w:val="545456"/>
          <w:w w:val="115"/>
          <w:sz w:val="20"/>
        </w:rPr>
        <w:t>r</w:t>
      </w:r>
      <w:r>
        <w:rPr>
          <w:color w:val="3B383A"/>
          <w:w w:val="115"/>
          <w:sz w:val="20"/>
        </w:rPr>
        <w:t>ess does not have the authority to</w:t>
      </w:r>
      <w:r>
        <w:rPr>
          <w:color w:val="3B383A"/>
          <w:spacing w:val="1"/>
          <w:w w:val="115"/>
          <w:sz w:val="20"/>
        </w:rPr>
        <w:t> </w:t>
      </w:r>
      <w:r>
        <w:rPr>
          <w:color w:val="3B383A"/>
          <w:w w:val="115"/>
          <w:sz w:val="20"/>
        </w:rPr>
        <w:t>pass a law that violates the Equal Protection Clause of the Constitution.</w:t>
      </w:r>
      <w:r>
        <w:rPr>
          <w:color w:val="3B383A"/>
          <w:spacing w:val="1"/>
          <w:w w:val="115"/>
          <w:sz w:val="20"/>
        </w:rPr>
        <w:t> </w:t>
      </w:r>
      <w:r>
        <w:rPr>
          <w:color w:val="3B383A"/>
          <w:w w:val="115"/>
          <w:sz w:val="20"/>
        </w:rPr>
        <w:t>Section 1409(a) denies equal protection to children of men who are U.S.</w:t>
      </w:r>
      <w:r>
        <w:rPr>
          <w:color w:val="3B383A"/>
          <w:spacing w:val="1"/>
          <w:w w:val="115"/>
          <w:sz w:val="20"/>
        </w:rPr>
        <w:t> </w:t>
      </w:r>
      <w:r>
        <w:rPr>
          <w:color w:val="3B383A"/>
          <w:w w:val="115"/>
          <w:sz w:val="20"/>
        </w:rPr>
        <w:t>citi</w:t>
      </w:r>
      <w:r>
        <w:rPr>
          <w:color w:val="545456"/>
          <w:w w:val="115"/>
          <w:sz w:val="20"/>
        </w:rPr>
        <w:t>z</w:t>
      </w:r>
      <w:r>
        <w:rPr>
          <w:color w:val="3B383A"/>
          <w:w w:val="115"/>
          <w:sz w:val="20"/>
        </w:rPr>
        <w:t>ens. Rather than promoting family ties between a father and a child,</w:t>
      </w:r>
      <w:r>
        <w:rPr>
          <w:color w:val="3B383A"/>
          <w:spacing w:val="1"/>
          <w:w w:val="115"/>
          <w:sz w:val="20"/>
        </w:rPr>
        <w:t> </w:t>
      </w:r>
      <w:r>
        <w:rPr>
          <w:color w:val="3B383A"/>
          <w:w w:val="115"/>
          <w:sz w:val="20"/>
        </w:rPr>
        <w:t>Section 1409(a) prevents those ties from developing further</w:t>
      </w:r>
      <w:r>
        <w:rPr>
          <w:color w:val="545456"/>
          <w:w w:val="115"/>
          <w:sz w:val="20"/>
        </w:rPr>
        <w:t>. </w:t>
      </w:r>
      <w:r>
        <w:rPr>
          <w:color w:val="3B383A"/>
          <w:w w:val="115"/>
          <w:sz w:val="20"/>
        </w:rPr>
        <w:t>For all of</w:t>
      </w:r>
      <w:r>
        <w:rPr>
          <w:color w:val="3B383A"/>
          <w:spacing w:val="1"/>
          <w:w w:val="115"/>
          <w:sz w:val="20"/>
        </w:rPr>
        <w:t> </w:t>
      </w:r>
      <w:r>
        <w:rPr>
          <w:color w:val="3B383A"/>
          <w:w w:val="115"/>
          <w:sz w:val="20"/>
        </w:rPr>
        <w:t>these reasons, this Court should rever</w:t>
      </w:r>
      <w:r>
        <w:rPr>
          <w:color w:val="545456"/>
          <w:w w:val="115"/>
          <w:sz w:val="20"/>
        </w:rPr>
        <w:t>s</w:t>
      </w:r>
      <w:r>
        <w:rPr>
          <w:color w:val="3B383A"/>
          <w:w w:val="115"/>
          <w:sz w:val="20"/>
        </w:rPr>
        <w:t>e the</w:t>
      </w:r>
      <w:r>
        <w:rPr>
          <w:color w:val="3B383A"/>
          <w:spacing w:val="1"/>
          <w:w w:val="115"/>
          <w:sz w:val="20"/>
        </w:rPr>
        <w:t> </w:t>
      </w:r>
      <w:r>
        <w:rPr>
          <w:color w:val="3B383A"/>
          <w:w w:val="115"/>
          <w:sz w:val="20"/>
        </w:rPr>
        <w:t>decision of the</w:t>
      </w:r>
      <w:r>
        <w:rPr>
          <w:color w:val="3B383A"/>
          <w:spacing w:val="1"/>
          <w:w w:val="115"/>
          <w:sz w:val="20"/>
        </w:rPr>
        <w:t> </w:t>
      </w:r>
      <w:r>
        <w:rPr>
          <w:color w:val="3B383A"/>
          <w:w w:val="115"/>
          <w:sz w:val="20"/>
        </w:rPr>
        <w:t>District of</w:t>
      </w:r>
      <w:r>
        <w:rPr>
          <w:color w:val="3B383A"/>
          <w:spacing w:val="1"/>
          <w:w w:val="115"/>
          <w:sz w:val="20"/>
        </w:rPr>
        <w:t> </w:t>
      </w:r>
      <w:r>
        <w:rPr>
          <w:color w:val="3B383A"/>
          <w:w w:val="115"/>
          <w:sz w:val="20"/>
        </w:rPr>
        <w:t>Columbia</w:t>
      </w:r>
      <w:r>
        <w:rPr>
          <w:color w:val="3B383A"/>
          <w:spacing w:val="4"/>
          <w:w w:val="115"/>
          <w:sz w:val="20"/>
        </w:rPr>
        <w:t> </w:t>
      </w:r>
      <w:r>
        <w:rPr>
          <w:color w:val="3B383A"/>
          <w:w w:val="115"/>
          <w:sz w:val="20"/>
        </w:rPr>
        <w:t>Court</w:t>
      </w:r>
      <w:r>
        <w:rPr>
          <w:color w:val="3B383A"/>
          <w:spacing w:val="2"/>
          <w:w w:val="115"/>
          <w:sz w:val="20"/>
        </w:rPr>
        <w:t> </w:t>
      </w:r>
      <w:r>
        <w:rPr>
          <w:color w:val="3B383A"/>
          <w:w w:val="115"/>
          <w:sz w:val="20"/>
        </w:rPr>
        <w:t>of</w:t>
      </w:r>
      <w:r>
        <w:rPr>
          <w:color w:val="3B383A"/>
          <w:spacing w:val="22"/>
          <w:w w:val="115"/>
          <w:sz w:val="20"/>
        </w:rPr>
        <w:t> </w:t>
      </w:r>
      <w:r>
        <w:rPr>
          <w:color w:val="3B383A"/>
          <w:w w:val="115"/>
          <w:sz w:val="20"/>
        </w:rPr>
        <w:t>Appeals</w:t>
      </w:r>
      <w:r>
        <w:rPr>
          <w:color w:val="545456"/>
          <w:w w:val="115"/>
          <w:sz w:val="20"/>
        </w:rPr>
        <w:t>.</w:t>
      </w:r>
      <w:r>
        <w:rPr>
          <w:color w:val="545456"/>
          <w:spacing w:val="-16"/>
          <w:w w:val="115"/>
          <w:sz w:val="20"/>
        </w:rPr>
        <w:t> </w:t>
      </w:r>
      <w:r>
        <w:rPr>
          <w:color w:val="3B383A"/>
          <w:w w:val="115"/>
          <w:sz w:val="20"/>
        </w:rPr>
        <w:t>Thank</w:t>
      </w:r>
      <w:r>
        <w:rPr>
          <w:color w:val="3B383A"/>
          <w:spacing w:val="2"/>
          <w:w w:val="115"/>
          <w:sz w:val="20"/>
        </w:rPr>
        <w:t> </w:t>
      </w:r>
      <w:r>
        <w:rPr>
          <w:color w:val="3B383A"/>
          <w:w w:val="115"/>
          <w:sz w:val="20"/>
        </w:rPr>
        <w:t>you.</w:t>
      </w:r>
    </w:p>
    <w:p>
      <w:pPr>
        <w:pStyle w:val="BodyText"/>
        <w:spacing w:line="230" w:lineRule="auto" w:before="162"/>
        <w:ind w:left="202" w:right="421" w:firstLine="342"/>
        <w:jc w:val="both"/>
      </w:pPr>
      <w:r>
        <w:rPr>
          <w:color w:val="3B383A"/>
          <w:w w:val="110"/>
        </w:rPr>
        <w:t>If you are still in conversation with the court when your time elapses,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you must acknowledg</w:t>
      </w:r>
      <w:r>
        <w:rPr>
          <w:color w:val="545456"/>
          <w:w w:val="110"/>
        </w:rPr>
        <w:t>e </w:t>
      </w:r>
      <w:r>
        <w:rPr>
          <w:color w:val="3B383A"/>
          <w:w w:val="110"/>
        </w:rPr>
        <w:t>that time has run out and ask for permission to</w:t>
      </w:r>
      <w:r>
        <w:rPr>
          <w:color w:val="3B383A"/>
          <w:spacing w:val="1"/>
          <w:w w:val="110"/>
        </w:rPr>
        <w:t> </w:t>
      </w:r>
      <w:r>
        <w:rPr>
          <w:color w:val="3B383A"/>
          <w:spacing w:val="-1"/>
          <w:w w:val="110"/>
        </w:rPr>
        <w:t>continue. </w:t>
      </w:r>
      <w:r>
        <w:rPr>
          <w:color w:val="3B383A"/>
          <w:spacing w:val="-1"/>
          <w:w w:val="110"/>
          <w:sz w:val="22"/>
        </w:rPr>
        <w:t>If </w:t>
      </w:r>
      <w:r>
        <w:rPr>
          <w:color w:val="3B383A"/>
          <w:spacing w:val="-1"/>
          <w:w w:val="110"/>
        </w:rPr>
        <w:t>the court is asking you a question </w:t>
      </w:r>
      <w:r>
        <w:rPr>
          <w:color w:val="3B383A"/>
          <w:w w:val="110"/>
        </w:rPr>
        <w:t>when your time elapses, pay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careful attention to the question and plan your answer. Before answering</w:t>
      </w:r>
      <w:r>
        <w:rPr>
          <w:color w:val="545456"/>
          <w:w w:val="110"/>
        </w:rPr>
        <w:t>,</w:t>
      </w:r>
      <w:r>
        <w:rPr>
          <w:color w:val="545456"/>
          <w:spacing w:val="1"/>
          <w:w w:val="110"/>
        </w:rPr>
        <w:t> </w:t>
      </w:r>
      <w:r>
        <w:rPr>
          <w:color w:val="3B383A"/>
          <w:w w:val="110"/>
        </w:rPr>
        <w:t>however, inform the court that time is up and ask </w:t>
      </w:r>
      <w:r>
        <w:rPr>
          <w:color w:val="3B383A"/>
          <w:w w:val="110"/>
          <w:sz w:val="22"/>
        </w:rPr>
        <w:t>if </w:t>
      </w:r>
      <w:r>
        <w:rPr>
          <w:color w:val="3B383A"/>
          <w:w w:val="110"/>
        </w:rPr>
        <w:t>you may have time to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answer the question. Most courts will give you permission. Unless you are</w:t>
      </w:r>
      <w:r>
        <w:rPr>
          <w:color w:val="3B383A"/>
          <w:spacing w:val="-61"/>
          <w:w w:val="110"/>
        </w:rPr>
        <w:t> </w:t>
      </w:r>
      <w:r>
        <w:rPr>
          <w:color w:val="3B383A"/>
          <w:w w:val="110"/>
        </w:rPr>
        <w:t>asked</w:t>
      </w:r>
      <w:r>
        <w:rPr>
          <w:color w:val="3B383A"/>
          <w:spacing w:val="11"/>
          <w:w w:val="110"/>
        </w:rPr>
        <w:t> </w:t>
      </w:r>
      <w:r>
        <w:rPr>
          <w:color w:val="3B383A"/>
          <w:w w:val="110"/>
        </w:rPr>
        <w:t>still</w:t>
      </w:r>
      <w:r>
        <w:rPr>
          <w:color w:val="3B383A"/>
          <w:spacing w:val="31"/>
          <w:w w:val="110"/>
        </w:rPr>
        <w:t> </w:t>
      </w:r>
      <w:r>
        <w:rPr>
          <w:color w:val="3B383A"/>
          <w:w w:val="110"/>
        </w:rPr>
        <w:t>more</w:t>
      </w:r>
      <w:r>
        <w:rPr>
          <w:color w:val="3B383A"/>
          <w:spacing w:val="7"/>
          <w:w w:val="110"/>
        </w:rPr>
        <w:t> </w:t>
      </w:r>
      <w:r>
        <w:rPr>
          <w:color w:val="3B383A"/>
          <w:w w:val="110"/>
        </w:rPr>
        <w:t>questions,</w:t>
      </w:r>
      <w:r>
        <w:rPr>
          <w:color w:val="3B383A"/>
          <w:spacing w:val="17"/>
          <w:w w:val="110"/>
        </w:rPr>
        <w:t> </w:t>
      </w:r>
      <w:r>
        <w:rPr>
          <w:color w:val="3B383A"/>
          <w:w w:val="110"/>
        </w:rPr>
        <w:t>segue</w:t>
      </w:r>
      <w:r>
        <w:rPr>
          <w:color w:val="3B383A"/>
          <w:spacing w:val="6"/>
          <w:w w:val="110"/>
        </w:rPr>
        <w:t> </w:t>
      </w:r>
      <w:r>
        <w:rPr>
          <w:color w:val="3B383A"/>
          <w:w w:val="110"/>
        </w:rPr>
        <w:t>from</w:t>
      </w:r>
      <w:r>
        <w:rPr>
          <w:color w:val="3B383A"/>
          <w:spacing w:val="18"/>
          <w:w w:val="110"/>
        </w:rPr>
        <w:t> </w:t>
      </w:r>
      <w:r>
        <w:rPr>
          <w:color w:val="3B383A"/>
          <w:w w:val="110"/>
        </w:rPr>
        <w:t>your</w:t>
      </w:r>
      <w:r>
        <w:rPr>
          <w:color w:val="3B383A"/>
          <w:spacing w:val="7"/>
          <w:w w:val="110"/>
        </w:rPr>
        <w:t> </w:t>
      </w:r>
      <w:r>
        <w:rPr>
          <w:color w:val="3B383A"/>
          <w:w w:val="110"/>
        </w:rPr>
        <w:t>answer</w:t>
      </w:r>
      <w:r>
        <w:rPr>
          <w:color w:val="3B383A"/>
          <w:spacing w:val="22"/>
          <w:w w:val="110"/>
        </w:rPr>
        <w:t> </w:t>
      </w:r>
      <w:r>
        <w:rPr>
          <w:color w:val="3B383A"/>
          <w:w w:val="110"/>
        </w:rPr>
        <w:t>into</w:t>
      </w:r>
      <w:r>
        <w:rPr>
          <w:color w:val="3B383A"/>
          <w:spacing w:val="9"/>
          <w:w w:val="110"/>
        </w:rPr>
        <w:t> </w:t>
      </w:r>
      <w:r>
        <w:rPr>
          <w:color w:val="3B383A"/>
          <w:w w:val="110"/>
        </w:rPr>
        <w:t>your</w:t>
      </w:r>
      <w:r>
        <w:rPr>
          <w:color w:val="3B383A"/>
          <w:spacing w:val="16"/>
          <w:w w:val="110"/>
        </w:rPr>
        <w:t> </w:t>
      </w:r>
      <w:r>
        <w:rPr>
          <w:color w:val="3B383A"/>
          <w:w w:val="110"/>
        </w:rPr>
        <w:t>conclusion.</w:t>
      </w:r>
    </w:p>
    <w:p>
      <w:pPr>
        <w:spacing w:after="0" w:line="230" w:lineRule="auto"/>
        <w:jc w:val="both"/>
        <w:sectPr>
          <w:pgSz w:w="9810" w:h="14010"/>
          <w:pgMar w:header="607" w:footer="0" w:top="1200" w:bottom="280" w:left="240" w:right="1360"/>
        </w:sectPr>
      </w:pPr>
    </w:p>
    <w:p>
      <w:pPr>
        <w:pStyle w:val="BodyText"/>
        <w:spacing w:line="232" w:lineRule="auto" w:before="87"/>
        <w:ind w:left="775" w:right="141" w:firstLine="11"/>
        <w:jc w:val="both"/>
        <w:rPr>
          <w:rFonts w:ascii="Arial" w:hAnsi="Arial"/>
        </w:rPr>
      </w:pPr>
      <w:r>
        <w:rPr>
          <w:color w:val="3A383A"/>
          <w:w w:val="105"/>
        </w:rPr>
        <w:t>Even if you havea strong, dramatic conclusion planned, do not use </w:t>
      </w:r>
      <w:r>
        <w:rPr>
          <w:color w:val="3A383A"/>
          <w:w w:val="105"/>
          <w:sz w:val="21"/>
        </w:rPr>
        <w:t>it </w:t>
      </w:r>
      <w:r>
        <w:rPr>
          <w:color w:val="3A383A"/>
          <w:w w:val="105"/>
        </w:rPr>
        <w:t>if time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has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already elapsed</w:t>
      </w:r>
      <w:r>
        <w:rPr>
          <w:color w:val="565456"/>
          <w:w w:val="105"/>
        </w:rPr>
        <w:t>, </w:t>
      </w:r>
      <w:r>
        <w:rPr>
          <w:color w:val="3A383A"/>
          <w:w w:val="105"/>
        </w:rPr>
        <w:t>even </w:t>
      </w:r>
      <w:r>
        <w:rPr>
          <w:color w:val="3A383A"/>
          <w:w w:val="105"/>
          <w:sz w:val="22"/>
        </w:rPr>
        <w:t>if </w:t>
      </w:r>
      <w:r>
        <w:rPr>
          <w:color w:val="3A383A"/>
          <w:w w:val="105"/>
        </w:rPr>
        <w:t>the court hasgiven you permission to continue.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10"/>
        </w:rPr>
        <w:t>This is the time to move to a one-sentence conclusion, e.g.</w:t>
      </w:r>
      <w:r>
        <w:rPr>
          <w:color w:val="565456"/>
          <w:w w:val="110"/>
        </w:rPr>
        <w:t>, "</w:t>
      </w:r>
      <w:r>
        <w:rPr>
          <w:color w:val="3A383A"/>
          <w:w w:val="110"/>
        </w:rPr>
        <w:t>Therefore,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05"/>
        </w:rPr>
        <w:t>because Section 1409(a) makes unconstitutional distinctions based on gen­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der</w:t>
      </w:r>
      <w:r>
        <w:rPr>
          <w:color w:val="3A383A"/>
          <w:spacing w:val="4"/>
          <w:w w:val="105"/>
        </w:rPr>
        <w:t> </w:t>
      </w:r>
      <w:r>
        <w:rPr>
          <w:color w:val="3A383A"/>
          <w:w w:val="105"/>
        </w:rPr>
        <w:t>stereotypes,</w:t>
      </w:r>
      <w:r>
        <w:rPr>
          <w:color w:val="3A383A"/>
          <w:spacing w:val="11"/>
          <w:w w:val="105"/>
        </w:rPr>
        <w:t> </w:t>
      </w:r>
      <w:r>
        <w:rPr>
          <w:color w:val="3A383A"/>
          <w:w w:val="105"/>
        </w:rPr>
        <w:t>this</w:t>
      </w:r>
      <w:r>
        <w:rPr>
          <w:color w:val="3A383A"/>
          <w:spacing w:val="-15"/>
          <w:w w:val="105"/>
        </w:rPr>
        <w:t> </w:t>
      </w:r>
      <w:r>
        <w:rPr>
          <w:color w:val="3A383A"/>
          <w:w w:val="105"/>
        </w:rPr>
        <w:t>Court</w:t>
      </w:r>
      <w:r>
        <w:rPr>
          <w:color w:val="3A383A"/>
          <w:spacing w:val="-6"/>
          <w:w w:val="105"/>
        </w:rPr>
        <w:t> </w:t>
      </w:r>
      <w:r>
        <w:rPr>
          <w:color w:val="3A383A"/>
          <w:w w:val="105"/>
        </w:rPr>
        <w:t>should</w:t>
      </w:r>
      <w:r>
        <w:rPr>
          <w:color w:val="3A383A"/>
          <w:spacing w:val="-1"/>
          <w:w w:val="105"/>
        </w:rPr>
        <w:t> </w:t>
      </w:r>
      <w:r>
        <w:rPr>
          <w:color w:val="3A383A"/>
          <w:w w:val="105"/>
        </w:rPr>
        <w:t>affirm</w:t>
      </w:r>
      <w:r>
        <w:rPr>
          <w:color w:val="3A383A"/>
          <w:spacing w:val="17"/>
          <w:w w:val="105"/>
        </w:rPr>
        <w:t> </w:t>
      </w:r>
      <w:r>
        <w:rPr>
          <w:color w:val="3A383A"/>
          <w:w w:val="105"/>
        </w:rPr>
        <w:t>the</w:t>
      </w:r>
      <w:r>
        <w:rPr>
          <w:color w:val="3A383A"/>
          <w:spacing w:val="34"/>
          <w:w w:val="105"/>
        </w:rPr>
        <w:t> </w:t>
      </w:r>
      <w:r>
        <w:rPr>
          <w:color w:val="3A383A"/>
          <w:w w:val="105"/>
        </w:rPr>
        <w:t>decision</w:t>
      </w:r>
      <w:r>
        <w:rPr>
          <w:color w:val="3A383A"/>
          <w:spacing w:val="17"/>
          <w:w w:val="105"/>
        </w:rPr>
        <w:t> </w:t>
      </w:r>
      <w:r>
        <w:rPr>
          <w:color w:val="3A383A"/>
          <w:w w:val="105"/>
        </w:rPr>
        <w:t>below.</w:t>
      </w:r>
      <w:r>
        <w:rPr>
          <w:color w:val="3A383A"/>
          <w:spacing w:val="-21"/>
          <w:w w:val="105"/>
        </w:rPr>
        <w:t> </w:t>
      </w:r>
      <w:r>
        <w:rPr>
          <w:color w:val="3A383A"/>
          <w:w w:val="105"/>
        </w:rPr>
        <w:t>Thank</w:t>
      </w:r>
      <w:r>
        <w:rPr>
          <w:color w:val="3A383A"/>
          <w:spacing w:val="-15"/>
          <w:w w:val="105"/>
        </w:rPr>
        <w:t> </w:t>
      </w:r>
      <w:r>
        <w:rPr>
          <w:color w:val="3A383A"/>
          <w:w w:val="105"/>
        </w:rPr>
        <w:t>you."</w:t>
      </w:r>
      <w:r>
        <w:rPr>
          <w:rFonts w:ascii="Arial" w:hAnsi="Arial"/>
          <w:color w:val="3A383A"/>
          <w:w w:val="105"/>
          <w:vertAlign w:val="superscript"/>
        </w:rPr>
        <w:t>21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headerReference w:type="even" r:id="rId342"/>
          <w:headerReference w:type="default" r:id="rId343"/>
          <w:pgSz w:w="9730" w:h="13990"/>
          <w:pgMar w:header="520" w:footer="0" w:top="1080" w:bottom="280" w:left="1340" w:right="100"/>
          <w:pgNumType w:start="302"/>
        </w:sect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37"/>
        </w:rPr>
      </w:pPr>
    </w:p>
    <w:p>
      <w:pPr>
        <w:pStyle w:val="BodyText"/>
        <w:jc w:val="right"/>
      </w:pPr>
      <w:r>
        <w:rPr>
          <w:color w:val="3A383A"/>
        </w:rPr>
        <w:t>the</w:t>
      </w:r>
    </w:p>
    <w:p>
      <w:pPr>
        <w:spacing w:before="91"/>
        <w:ind w:left="319" w:right="0" w:firstLine="0"/>
        <w:jc w:val="left"/>
        <w:rPr>
          <w:rFonts w:ascii="Arial"/>
          <w:b/>
          <w:sz w:val="33"/>
        </w:rPr>
      </w:pPr>
      <w:r>
        <w:rPr/>
        <w:br w:type="column"/>
      </w:r>
      <w:r>
        <w:rPr>
          <w:rFonts w:ascii="Arial"/>
          <w:b/>
          <w:color w:val="3A383A"/>
          <w:w w:val="110"/>
          <w:sz w:val="33"/>
        </w:rPr>
        <w:t>13.6</w:t>
      </w:r>
    </w:p>
    <w:p>
      <w:pPr>
        <w:spacing w:before="52"/>
        <w:ind w:left="316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3A383A"/>
          <w:w w:val="105"/>
          <w:sz w:val="26"/>
        </w:rPr>
        <w:t>HANDLING</w:t>
      </w:r>
      <w:r>
        <w:rPr>
          <w:rFonts w:ascii="Arial"/>
          <w:b/>
          <w:color w:val="3A383A"/>
          <w:spacing w:val="11"/>
          <w:w w:val="105"/>
          <w:sz w:val="26"/>
        </w:rPr>
        <w:t> </w:t>
      </w:r>
      <w:r>
        <w:rPr>
          <w:rFonts w:ascii="Arial"/>
          <w:b/>
          <w:color w:val="3A383A"/>
          <w:w w:val="105"/>
          <w:sz w:val="26"/>
        </w:rPr>
        <w:t>QUESTIONS</w:t>
      </w:r>
      <w:r>
        <w:rPr>
          <w:rFonts w:ascii="Arial"/>
          <w:b/>
          <w:color w:val="3A383A"/>
          <w:spacing w:val="17"/>
          <w:w w:val="105"/>
          <w:sz w:val="26"/>
        </w:rPr>
        <w:t> </w:t>
      </w:r>
      <w:r>
        <w:rPr>
          <w:rFonts w:ascii="Arial"/>
          <w:b/>
          <w:color w:val="3A383A"/>
          <w:w w:val="105"/>
          <w:sz w:val="26"/>
        </w:rPr>
        <w:t>FROM</w:t>
      </w:r>
      <w:r>
        <w:rPr>
          <w:rFonts w:ascii="Arial"/>
          <w:b/>
          <w:color w:val="3A383A"/>
          <w:spacing w:val="-5"/>
          <w:w w:val="105"/>
          <w:sz w:val="26"/>
        </w:rPr>
        <w:t> </w:t>
      </w:r>
      <w:r>
        <w:rPr>
          <w:rFonts w:ascii="Arial"/>
          <w:b/>
          <w:color w:val="3A383A"/>
          <w:w w:val="105"/>
          <w:sz w:val="26"/>
        </w:rPr>
        <w:t>THE</w:t>
      </w:r>
      <w:r>
        <w:rPr>
          <w:rFonts w:ascii="Arial"/>
          <w:b/>
          <w:color w:val="3A383A"/>
          <w:spacing w:val="-4"/>
          <w:w w:val="105"/>
          <w:sz w:val="26"/>
        </w:rPr>
        <w:t> </w:t>
      </w:r>
      <w:r>
        <w:rPr>
          <w:rFonts w:ascii="Arial"/>
          <w:b/>
          <w:color w:val="3A383A"/>
          <w:w w:val="105"/>
          <w:sz w:val="26"/>
        </w:rPr>
        <w:t>B</w:t>
      </w:r>
      <w:r>
        <w:rPr>
          <w:rFonts w:ascii="Arial"/>
          <w:b/>
          <w:color w:val="565456"/>
          <w:w w:val="105"/>
          <w:sz w:val="26"/>
        </w:rPr>
        <w:t>EN</w:t>
      </w:r>
      <w:r>
        <w:rPr>
          <w:rFonts w:ascii="Arial"/>
          <w:b/>
          <w:color w:val="3A383A"/>
          <w:w w:val="105"/>
          <w:sz w:val="26"/>
        </w:rPr>
        <w:t>CH</w:t>
      </w:r>
    </w:p>
    <w:p>
      <w:pPr>
        <w:pStyle w:val="BodyText"/>
        <w:spacing w:line="235" w:lineRule="auto" w:before="245"/>
        <w:ind w:left="144" w:firstLine="170"/>
      </w:pPr>
      <w:r>
        <w:rPr>
          <w:color w:val="3A383A"/>
          <w:w w:val="110"/>
        </w:rPr>
        <w:t>All</w:t>
      </w:r>
      <w:r>
        <w:rPr>
          <w:color w:val="3A383A"/>
          <w:spacing w:val="11"/>
          <w:w w:val="110"/>
        </w:rPr>
        <w:t> </w:t>
      </w:r>
      <w:r>
        <w:rPr>
          <w:color w:val="3A383A"/>
          <w:w w:val="110"/>
        </w:rPr>
        <w:t>of</w:t>
      </w:r>
      <w:r>
        <w:rPr>
          <w:color w:val="3A383A"/>
          <w:spacing w:val="32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48"/>
          <w:w w:val="110"/>
        </w:rPr>
        <w:t> </w:t>
      </w:r>
      <w:r>
        <w:rPr>
          <w:color w:val="3A383A"/>
          <w:w w:val="110"/>
        </w:rPr>
        <w:t>hard</w:t>
      </w:r>
      <w:r>
        <w:rPr>
          <w:color w:val="3A383A"/>
          <w:spacing w:val="14"/>
          <w:w w:val="110"/>
        </w:rPr>
        <w:t> </w:t>
      </w:r>
      <w:r>
        <w:rPr>
          <w:color w:val="3A383A"/>
          <w:w w:val="110"/>
        </w:rPr>
        <w:t>work</w:t>
      </w:r>
      <w:r>
        <w:rPr>
          <w:color w:val="3A383A"/>
          <w:spacing w:val="25"/>
          <w:w w:val="110"/>
        </w:rPr>
        <w:t> </w:t>
      </w:r>
      <w:r>
        <w:rPr>
          <w:color w:val="3A383A"/>
          <w:w w:val="110"/>
        </w:rPr>
        <w:t>that</w:t>
      </w:r>
      <w:r>
        <w:rPr>
          <w:color w:val="3A383A"/>
          <w:spacing w:val="15"/>
          <w:w w:val="110"/>
        </w:rPr>
        <w:t> </w:t>
      </w:r>
      <w:r>
        <w:rPr>
          <w:color w:val="3A383A"/>
          <w:w w:val="110"/>
        </w:rPr>
        <w:t>you</w:t>
      </w:r>
      <w:r>
        <w:rPr>
          <w:color w:val="3A383A"/>
          <w:spacing w:val="31"/>
          <w:w w:val="110"/>
        </w:rPr>
        <w:t> </w:t>
      </w:r>
      <w:r>
        <w:rPr>
          <w:color w:val="3A383A"/>
          <w:w w:val="110"/>
        </w:rPr>
        <w:t>have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completed</w:t>
      </w:r>
      <w:r>
        <w:rPr>
          <w:color w:val="3A383A"/>
          <w:spacing w:val="36"/>
          <w:w w:val="110"/>
        </w:rPr>
        <w:t> </w:t>
      </w:r>
      <w:r>
        <w:rPr>
          <w:color w:val="3A383A"/>
          <w:w w:val="110"/>
        </w:rPr>
        <w:t>to</w:t>
      </w:r>
      <w:r>
        <w:rPr>
          <w:color w:val="3A383A"/>
          <w:spacing w:val="32"/>
          <w:w w:val="110"/>
        </w:rPr>
        <w:t> </w:t>
      </w:r>
      <w:r>
        <w:rPr>
          <w:color w:val="3A383A"/>
          <w:w w:val="110"/>
        </w:rPr>
        <w:t>prepare</w:t>
      </w:r>
      <w:r>
        <w:rPr>
          <w:color w:val="3A383A"/>
          <w:spacing w:val="2"/>
          <w:w w:val="110"/>
        </w:rPr>
        <w:t> </w:t>
      </w:r>
      <w:r>
        <w:rPr>
          <w:color w:val="3A383A"/>
          <w:w w:val="110"/>
        </w:rPr>
        <w:t>you</w:t>
      </w:r>
      <w:r>
        <w:rPr>
          <w:color w:val="3A383A"/>
          <w:spacing w:val="-11"/>
          <w:w w:val="110"/>
        </w:rPr>
        <w:t> </w:t>
      </w:r>
      <w:r>
        <w:rPr>
          <w:color w:val="3A383A"/>
          <w:w w:val="110"/>
        </w:rPr>
        <w:t>for</w:t>
      </w:r>
      <w:r>
        <w:rPr>
          <w:color w:val="3A383A"/>
          <w:spacing w:val="-60"/>
          <w:w w:val="110"/>
        </w:rPr>
        <w:t> </w:t>
      </w:r>
      <w:r>
        <w:rPr>
          <w:color w:val="3A383A"/>
          <w:w w:val="110"/>
        </w:rPr>
        <w:t>argument</w:t>
      </w:r>
      <w:r>
        <w:rPr>
          <w:color w:val="3A383A"/>
          <w:spacing w:val="61"/>
          <w:w w:val="110"/>
        </w:rPr>
        <w:t> </w:t>
      </w:r>
      <w:r>
        <w:rPr>
          <w:color w:val="3A383A"/>
          <w:w w:val="110"/>
        </w:rPr>
        <w:t>should</w:t>
      </w:r>
      <w:r>
        <w:rPr>
          <w:color w:val="3A383A"/>
          <w:spacing w:val="7"/>
          <w:w w:val="110"/>
        </w:rPr>
        <w:t> </w:t>
      </w:r>
      <w:r>
        <w:rPr>
          <w:color w:val="3A383A"/>
          <w:w w:val="110"/>
        </w:rPr>
        <w:t>have</w:t>
      </w:r>
      <w:r>
        <w:rPr>
          <w:color w:val="3A383A"/>
          <w:spacing w:val="49"/>
          <w:w w:val="110"/>
        </w:rPr>
        <w:t> </w:t>
      </w:r>
      <w:r>
        <w:rPr>
          <w:color w:val="3A383A"/>
          <w:w w:val="110"/>
        </w:rPr>
        <w:t>one</w:t>
      </w:r>
      <w:r>
        <w:rPr>
          <w:color w:val="3A383A"/>
          <w:spacing w:val="12"/>
          <w:w w:val="110"/>
        </w:rPr>
        <w:t> </w:t>
      </w:r>
      <w:r>
        <w:rPr>
          <w:color w:val="3A383A"/>
          <w:w w:val="110"/>
        </w:rPr>
        <w:t>purpose:</w:t>
      </w:r>
      <w:r>
        <w:rPr>
          <w:color w:val="3A383A"/>
          <w:spacing w:val="41"/>
          <w:w w:val="110"/>
        </w:rPr>
        <w:t> </w:t>
      </w:r>
      <w:r>
        <w:rPr>
          <w:color w:val="3A383A"/>
          <w:w w:val="110"/>
        </w:rPr>
        <w:t>enabling</w:t>
      </w:r>
      <w:r>
        <w:rPr>
          <w:color w:val="3A383A"/>
          <w:spacing w:val="57"/>
          <w:w w:val="110"/>
        </w:rPr>
        <w:t> </w:t>
      </w:r>
      <w:r>
        <w:rPr>
          <w:color w:val="3A383A"/>
          <w:w w:val="110"/>
        </w:rPr>
        <w:t>you</w:t>
      </w:r>
      <w:r>
        <w:rPr>
          <w:color w:val="3A383A"/>
          <w:spacing w:val="53"/>
          <w:w w:val="110"/>
        </w:rPr>
        <w:t> </w:t>
      </w:r>
      <w:r>
        <w:rPr>
          <w:color w:val="3A383A"/>
          <w:w w:val="110"/>
        </w:rPr>
        <w:t>to</w:t>
      </w:r>
      <w:r>
        <w:rPr>
          <w:color w:val="3A383A"/>
          <w:spacing w:val="56"/>
          <w:w w:val="110"/>
        </w:rPr>
        <w:t> </w:t>
      </w:r>
      <w:r>
        <w:rPr>
          <w:color w:val="3A383A"/>
          <w:w w:val="110"/>
        </w:rPr>
        <w:t>answer</w:t>
      </w:r>
      <w:r>
        <w:rPr>
          <w:color w:val="3A383A"/>
          <w:spacing w:val="48"/>
          <w:w w:val="110"/>
        </w:rPr>
        <w:t> </w:t>
      </w:r>
      <w:r>
        <w:rPr>
          <w:color w:val="3A383A"/>
          <w:w w:val="110"/>
        </w:rPr>
        <w:t>the</w:t>
      </w:r>
    </w:p>
    <w:p>
      <w:pPr>
        <w:spacing w:after="0" w:line="235" w:lineRule="auto"/>
        <w:sectPr>
          <w:type w:val="continuous"/>
          <w:pgSz w:w="9730" w:h="13990"/>
          <w:pgMar w:header="524" w:footer="0" w:top="340" w:bottom="280" w:left="1340" w:right="100"/>
          <w:cols w:num="2" w:equalWidth="0">
            <w:col w:w="1034" w:space="40"/>
            <w:col w:w="7216"/>
          </w:cols>
        </w:sectPr>
      </w:pPr>
    </w:p>
    <w:p>
      <w:pPr>
        <w:pStyle w:val="BodyText"/>
        <w:spacing w:line="230" w:lineRule="auto" w:before="4"/>
        <w:ind w:left="755" w:right="136" w:firstLine="18"/>
        <w:jc w:val="both"/>
      </w:pPr>
      <w:r>
        <w:rPr>
          <w:color w:val="3A383A"/>
          <w:w w:val="110"/>
        </w:rPr>
        <w:t>court's questions.</w:t>
      </w:r>
      <w:r>
        <w:rPr>
          <w:rFonts w:ascii="Arial" w:hAnsi="Arial"/>
          <w:color w:val="3A383A"/>
          <w:w w:val="110"/>
          <w:position w:val="9"/>
          <w:sz w:val="12"/>
        </w:rPr>
        <w:t>28</w:t>
      </w:r>
      <w:r>
        <w:rPr>
          <w:rFonts w:ascii="Arial" w:hAnsi="Arial"/>
          <w:color w:val="3A383A"/>
          <w:spacing w:val="1"/>
          <w:w w:val="110"/>
          <w:position w:val="9"/>
          <w:sz w:val="12"/>
        </w:rPr>
        <w:t> </w:t>
      </w:r>
      <w:r>
        <w:rPr>
          <w:color w:val="3A383A"/>
          <w:w w:val="110"/>
        </w:rPr>
        <w:t>Some questions may be answered by your argument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itself-that is, you will have anticipated the court's concerns-but many</w:t>
      </w:r>
      <w:r>
        <w:rPr>
          <w:color w:val="3A383A"/>
          <w:spacing w:val="1"/>
          <w:w w:val="110"/>
        </w:rPr>
        <w:t> </w:t>
      </w:r>
      <w:r>
        <w:rPr>
          <w:color w:val="3A383A"/>
          <w:spacing w:val="-1"/>
          <w:w w:val="110"/>
        </w:rPr>
        <w:t>others will </w:t>
      </w:r>
      <w:r>
        <w:rPr>
          <w:color w:val="3A383A"/>
          <w:w w:val="110"/>
        </w:rPr>
        <w:t>come up the old-fashioned way: The court will interrupt </w:t>
      </w:r>
      <w:r>
        <w:rPr>
          <w:color w:val="3A383A"/>
          <w:w w:val="110"/>
          <w:sz w:val="24"/>
        </w:rPr>
        <w:t>yow</w:t>
      </w:r>
      <w:r>
        <w:rPr>
          <w:color w:val="3A383A"/>
          <w:spacing w:val="1"/>
          <w:w w:val="110"/>
          <w:sz w:val="24"/>
        </w:rPr>
        <w:t> </w:t>
      </w:r>
      <w:r>
        <w:rPr>
          <w:color w:val="3A383A"/>
          <w:w w:val="110"/>
        </w:rPr>
        <w:t>presentation and demand your attention</w:t>
      </w:r>
      <w:r>
        <w:rPr>
          <w:color w:val="565456"/>
          <w:w w:val="110"/>
        </w:rPr>
        <w:t>. </w:t>
      </w:r>
      <w:r>
        <w:rPr>
          <w:color w:val="3A383A"/>
          <w:w w:val="110"/>
        </w:rPr>
        <w:t>How you handle these interrup­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tions says everything about your skill as an oral advocate and may even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determine</w:t>
      </w:r>
      <w:r>
        <w:rPr>
          <w:color w:val="3A383A"/>
          <w:spacing w:val="-11"/>
          <w:w w:val="110"/>
        </w:rPr>
        <w:t> </w:t>
      </w:r>
      <w:r>
        <w:rPr>
          <w:color w:val="3A383A"/>
          <w:w w:val="110"/>
        </w:rPr>
        <w:t>whether</w:t>
      </w:r>
      <w:r>
        <w:rPr>
          <w:color w:val="3A383A"/>
          <w:spacing w:val="4"/>
          <w:w w:val="110"/>
        </w:rPr>
        <w:t> </w:t>
      </w:r>
      <w:r>
        <w:rPr>
          <w:color w:val="3A383A"/>
          <w:w w:val="110"/>
        </w:rPr>
        <w:t>you</w:t>
      </w:r>
      <w:r>
        <w:rPr>
          <w:color w:val="3A383A"/>
          <w:spacing w:val="-1"/>
          <w:w w:val="110"/>
        </w:rPr>
        <w:t> </w:t>
      </w:r>
      <w:r>
        <w:rPr>
          <w:color w:val="3A383A"/>
          <w:w w:val="110"/>
        </w:rPr>
        <w:t>win</w:t>
      </w:r>
      <w:r>
        <w:rPr>
          <w:color w:val="3A383A"/>
          <w:spacing w:val="-7"/>
          <w:w w:val="110"/>
        </w:rPr>
        <w:t> </w:t>
      </w:r>
      <w:r>
        <w:rPr>
          <w:color w:val="3A383A"/>
          <w:w w:val="110"/>
        </w:rPr>
        <w:t>or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lose</w:t>
      </w:r>
      <w:r>
        <w:rPr>
          <w:color w:val="3A383A"/>
          <w:spacing w:val="-16"/>
          <w:w w:val="110"/>
        </w:rPr>
        <w:t> </w:t>
      </w:r>
      <w:r>
        <w:rPr>
          <w:color w:val="3A383A"/>
          <w:w w:val="110"/>
        </w:rPr>
        <w:t>your</w:t>
      </w:r>
      <w:r>
        <w:rPr>
          <w:color w:val="3A383A"/>
          <w:spacing w:val="-13"/>
          <w:w w:val="110"/>
        </w:rPr>
        <w:t> </w:t>
      </w:r>
      <w:r>
        <w:rPr>
          <w:color w:val="3A383A"/>
          <w:w w:val="110"/>
        </w:rPr>
        <w:t>case.</w:t>
      </w:r>
    </w:p>
    <w:p>
      <w:pPr>
        <w:pStyle w:val="BodyText"/>
        <w:spacing w:line="235" w:lineRule="auto"/>
        <w:ind w:left="754" w:right="134" w:firstLine="358"/>
        <w:jc w:val="both"/>
      </w:pPr>
      <w:r>
        <w:rPr>
          <w:color w:val="3A383A"/>
          <w:w w:val="110"/>
        </w:rPr>
        <w:t>The first thing you must do is let the court interrupt you. As Justice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Ginsburg has noted, some attorneys-foolishly-try tosquekh </w:t>
      </w:r>
      <w:r>
        <w:rPr>
          <w:color w:val="3A383A"/>
          <w:w w:val="110"/>
        </w:rPr>
        <w:t>thecourt's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05"/>
        </w:rPr>
        <w:t>questions</w:t>
      </w:r>
      <w:r>
        <w:rPr>
          <w:color w:val="3A383A"/>
          <w:spacing w:val="6"/>
          <w:w w:val="105"/>
        </w:rPr>
        <w:t> </w:t>
      </w:r>
      <w:r>
        <w:rPr>
          <w:color w:val="3A383A"/>
          <w:w w:val="105"/>
        </w:rPr>
        <w:t>by</w:t>
      </w:r>
      <w:r>
        <w:rPr>
          <w:color w:val="3A383A"/>
          <w:spacing w:val="16"/>
          <w:w w:val="105"/>
        </w:rPr>
        <w:t> </w:t>
      </w:r>
      <w:r>
        <w:rPr>
          <w:color w:val="3A383A"/>
          <w:w w:val="105"/>
        </w:rPr>
        <w:t>talking</w:t>
      </w:r>
      <w:r>
        <w:rPr>
          <w:color w:val="3A383A"/>
          <w:spacing w:val="12"/>
          <w:w w:val="105"/>
        </w:rPr>
        <w:t> </w:t>
      </w:r>
      <w:r>
        <w:rPr>
          <w:color w:val="3A383A"/>
          <w:w w:val="105"/>
        </w:rPr>
        <w:t>louder</w:t>
      </w:r>
      <w:r>
        <w:rPr>
          <w:color w:val="3A383A"/>
          <w:spacing w:val="24"/>
          <w:w w:val="105"/>
        </w:rPr>
        <w:t> </w:t>
      </w:r>
      <w:r>
        <w:rPr>
          <w:color w:val="3A383A"/>
          <w:w w:val="105"/>
        </w:rPr>
        <w:t>and</w:t>
      </w:r>
      <w:r>
        <w:rPr>
          <w:color w:val="3A383A"/>
          <w:spacing w:val="59"/>
          <w:w w:val="105"/>
        </w:rPr>
        <w:t> </w:t>
      </w:r>
      <w:r>
        <w:rPr>
          <w:color w:val="3A383A"/>
          <w:w w:val="105"/>
        </w:rPr>
        <w:t>more</w:t>
      </w:r>
      <w:r>
        <w:rPr>
          <w:color w:val="3A383A"/>
          <w:spacing w:val="7"/>
          <w:w w:val="105"/>
        </w:rPr>
        <w:t> </w:t>
      </w:r>
      <w:r>
        <w:rPr>
          <w:color w:val="3A383A"/>
          <w:w w:val="105"/>
        </w:rPr>
        <w:t>quickly when</w:t>
      </w:r>
      <w:r>
        <w:rPr>
          <w:color w:val="3A383A"/>
          <w:spacing w:val="16"/>
          <w:w w:val="105"/>
        </w:rPr>
        <w:t> </w:t>
      </w:r>
      <w:r>
        <w:rPr>
          <w:color w:val="3A383A"/>
          <w:w w:val="105"/>
        </w:rPr>
        <w:t>a</w:t>
      </w:r>
      <w:r>
        <w:rPr>
          <w:color w:val="3A383A"/>
          <w:spacing w:val="57"/>
          <w:w w:val="105"/>
        </w:rPr>
        <w:t> </w:t>
      </w:r>
      <w:r>
        <w:rPr>
          <w:color w:val="3A383A"/>
          <w:w w:val="105"/>
        </w:rPr>
        <w:t>judge</w:t>
      </w:r>
      <w:r>
        <w:rPr>
          <w:color w:val="3A383A"/>
          <w:spacing w:val="15"/>
          <w:w w:val="105"/>
        </w:rPr>
        <w:t> </w:t>
      </w:r>
      <w:r>
        <w:rPr>
          <w:color w:val="3A383A"/>
          <w:w w:val="105"/>
        </w:rPr>
        <w:t>tries</w:t>
      </w:r>
      <w:r>
        <w:rPr>
          <w:color w:val="3A383A"/>
          <w:spacing w:val="8"/>
          <w:w w:val="105"/>
        </w:rPr>
        <w:t> </w:t>
      </w:r>
      <w:r>
        <w:rPr>
          <w:color w:val="3A383A"/>
          <w:w w:val="105"/>
        </w:rPr>
        <w:t>to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speak:</w:t>
      </w:r>
    </w:p>
    <w:p>
      <w:pPr>
        <w:spacing w:line="237" w:lineRule="auto" w:before="128"/>
        <w:ind w:left="1103" w:right="426" w:firstLine="14"/>
        <w:jc w:val="both"/>
        <w:rPr>
          <w:sz w:val="21"/>
        </w:rPr>
      </w:pPr>
      <w:r>
        <w:rPr>
          <w:color w:val="3A383A"/>
          <w:w w:val="110"/>
          <w:sz w:val="21"/>
        </w:rPr>
        <w:t>A race the lawyer is bound to lose is the press-straight-on run when a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judge attempts to interject a question. More than occasionally, I have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repeated a lawyer's name three times before he gives way to my inquiry.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Despite</w:t>
      </w:r>
      <w:r>
        <w:rPr>
          <w:color w:val="3A383A"/>
          <w:spacing w:val="-4"/>
          <w:w w:val="110"/>
          <w:sz w:val="21"/>
        </w:rPr>
        <w:t> </w:t>
      </w:r>
      <w:r>
        <w:rPr>
          <w:color w:val="3A383A"/>
          <w:w w:val="110"/>
          <w:sz w:val="21"/>
        </w:rPr>
        <w:t>his</w:t>
      </w:r>
      <w:r>
        <w:rPr>
          <w:color w:val="3A383A"/>
          <w:spacing w:val="2"/>
          <w:w w:val="110"/>
          <w:sz w:val="21"/>
        </w:rPr>
        <w:t> </w:t>
      </w:r>
      <w:r>
        <w:rPr>
          <w:color w:val="3A383A"/>
          <w:w w:val="110"/>
          <w:sz w:val="21"/>
        </w:rPr>
        <w:t>strong</w:t>
      </w:r>
      <w:r>
        <w:rPr>
          <w:color w:val="3A383A"/>
          <w:spacing w:val="-23"/>
          <w:w w:val="110"/>
          <w:sz w:val="21"/>
        </w:rPr>
        <w:t> </w:t>
      </w:r>
      <w:r>
        <w:rPr>
          <w:color w:val="3A383A"/>
          <w:w w:val="110"/>
          <w:sz w:val="21"/>
        </w:rPr>
        <w:t>desire</w:t>
      </w:r>
      <w:r>
        <w:rPr>
          <w:color w:val="3A383A"/>
          <w:spacing w:val="-17"/>
          <w:w w:val="110"/>
          <w:sz w:val="21"/>
        </w:rPr>
        <w:t> </w:t>
      </w:r>
      <w:r>
        <w:rPr>
          <w:color w:val="3A383A"/>
          <w:w w:val="110"/>
          <w:sz w:val="21"/>
        </w:rPr>
        <w:t>to</w:t>
      </w:r>
      <w:r>
        <w:rPr>
          <w:color w:val="3A383A"/>
          <w:spacing w:val="10"/>
          <w:w w:val="110"/>
          <w:sz w:val="21"/>
        </w:rPr>
        <w:t> </w:t>
      </w:r>
      <w:r>
        <w:rPr>
          <w:color w:val="3A383A"/>
          <w:w w:val="110"/>
          <w:sz w:val="21"/>
        </w:rPr>
        <w:t>continue</w:t>
      </w:r>
      <w:r>
        <w:rPr>
          <w:color w:val="3A383A"/>
          <w:spacing w:val="-21"/>
          <w:w w:val="110"/>
          <w:sz w:val="21"/>
        </w:rPr>
        <w:t> </w:t>
      </w:r>
      <w:r>
        <w:rPr>
          <w:color w:val="3A383A"/>
          <w:w w:val="110"/>
          <w:sz w:val="21"/>
        </w:rPr>
        <w:t>orating,</w:t>
      </w:r>
      <w:r>
        <w:rPr>
          <w:color w:val="3A383A"/>
          <w:spacing w:val="13"/>
          <w:w w:val="110"/>
          <w:sz w:val="21"/>
        </w:rPr>
        <w:t> </w:t>
      </w:r>
      <w:r>
        <w:rPr>
          <w:color w:val="3A383A"/>
          <w:w w:val="110"/>
          <w:sz w:val="21"/>
        </w:rPr>
        <w:t>the</w:t>
      </w:r>
      <w:r>
        <w:rPr>
          <w:color w:val="3A383A"/>
          <w:spacing w:val="9"/>
          <w:w w:val="110"/>
          <w:sz w:val="21"/>
        </w:rPr>
        <w:t> </w:t>
      </w:r>
      <w:r>
        <w:rPr>
          <w:color w:val="3A383A"/>
          <w:w w:val="110"/>
          <w:sz w:val="21"/>
        </w:rPr>
        <w:t>lawyer</w:t>
      </w:r>
      <w:r>
        <w:rPr>
          <w:color w:val="3A383A"/>
          <w:spacing w:val="-8"/>
          <w:w w:val="110"/>
          <w:sz w:val="21"/>
        </w:rPr>
        <w:t> </w:t>
      </w:r>
      <w:r>
        <w:rPr>
          <w:color w:val="3A383A"/>
          <w:w w:val="110"/>
          <w:sz w:val="21"/>
        </w:rPr>
        <w:t>should</w:t>
      </w:r>
      <w:r>
        <w:rPr>
          <w:color w:val="3A383A"/>
          <w:spacing w:val="-7"/>
          <w:w w:val="110"/>
          <w:sz w:val="21"/>
        </w:rPr>
        <w:t> </w:t>
      </w:r>
      <w:r>
        <w:rPr>
          <w:color w:val="3A383A"/>
          <w:w w:val="110"/>
          <w:sz w:val="21"/>
        </w:rPr>
        <w:t>stop</w:t>
      </w:r>
      <w:r>
        <w:rPr>
          <w:color w:val="3A383A"/>
          <w:spacing w:val="-23"/>
          <w:w w:val="110"/>
          <w:sz w:val="21"/>
        </w:rPr>
        <w:t> </w:t>
      </w:r>
      <w:r>
        <w:rPr>
          <w:color w:val="3A383A"/>
          <w:w w:val="110"/>
          <w:sz w:val="21"/>
        </w:rPr>
        <w:t>talk­</w:t>
      </w:r>
      <w:r>
        <w:rPr>
          <w:color w:val="3A383A"/>
          <w:spacing w:val="1"/>
          <w:w w:val="110"/>
          <w:sz w:val="21"/>
        </w:rPr>
        <w:t> </w:t>
      </w:r>
      <w:r>
        <w:rPr>
          <w:color w:val="3A383A"/>
          <w:w w:val="110"/>
          <w:sz w:val="21"/>
        </w:rPr>
        <w:t>ing</w:t>
      </w:r>
      <w:r>
        <w:rPr>
          <w:color w:val="3A383A"/>
          <w:spacing w:val="21"/>
          <w:w w:val="110"/>
          <w:sz w:val="21"/>
        </w:rPr>
        <w:t> </w:t>
      </w:r>
      <w:r>
        <w:rPr>
          <w:color w:val="3A383A"/>
          <w:w w:val="110"/>
          <w:sz w:val="21"/>
        </w:rPr>
        <w:t>when</w:t>
      </w:r>
      <w:r>
        <w:rPr>
          <w:color w:val="3A383A"/>
          <w:spacing w:val="3"/>
          <w:w w:val="110"/>
          <w:sz w:val="21"/>
        </w:rPr>
        <w:t> </w:t>
      </w:r>
      <w:r>
        <w:rPr>
          <w:color w:val="3A383A"/>
          <w:w w:val="110"/>
          <w:sz w:val="21"/>
        </w:rPr>
        <w:t>the</w:t>
      </w:r>
      <w:r>
        <w:rPr>
          <w:color w:val="3A383A"/>
          <w:spacing w:val="26"/>
          <w:w w:val="110"/>
          <w:sz w:val="21"/>
        </w:rPr>
        <w:t> </w:t>
      </w:r>
      <w:r>
        <w:rPr>
          <w:color w:val="3A383A"/>
          <w:w w:val="110"/>
          <w:sz w:val="21"/>
        </w:rPr>
        <w:t>judge</w:t>
      </w:r>
      <w:r>
        <w:rPr>
          <w:color w:val="3A383A"/>
          <w:spacing w:val="-17"/>
          <w:w w:val="110"/>
          <w:sz w:val="21"/>
        </w:rPr>
        <w:t> </w:t>
      </w:r>
      <w:r>
        <w:rPr>
          <w:color w:val="3A383A"/>
          <w:w w:val="110"/>
          <w:sz w:val="21"/>
        </w:rPr>
        <w:t>starts.</w:t>
      </w:r>
      <w:r>
        <w:rPr>
          <w:color w:val="3A383A"/>
          <w:w w:val="110"/>
          <w:sz w:val="21"/>
          <w:vertAlign w:val="superscript"/>
        </w:rPr>
        <w:t>29</w:t>
      </w:r>
    </w:p>
    <w:p>
      <w:pPr>
        <w:pStyle w:val="BodyText"/>
        <w:spacing w:line="232" w:lineRule="auto" w:before="140"/>
        <w:ind w:left="667" w:right="117" w:firstLine="62"/>
        <w:jc w:val="both"/>
        <w:rPr>
          <w:rFonts w:ascii="Arial"/>
        </w:rPr>
      </w:pPr>
      <w:r>
        <w:rPr>
          <w:color w:val="3A383A"/>
          <w:spacing w:val="-1"/>
          <w:w w:val="110"/>
        </w:rPr>
        <w:t>Remember</w:t>
      </w:r>
      <w:r>
        <w:rPr>
          <w:color w:val="3A383A"/>
          <w:spacing w:val="-7"/>
          <w:w w:val="110"/>
        </w:rPr>
        <w:t> </w:t>
      </w:r>
      <w:r>
        <w:rPr>
          <w:color w:val="3A383A"/>
          <w:w w:val="110"/>
        </w:rPr>
        <w:t>that</w:t>
      </w:r>
      <w:r>
        <w:rPr>
          <w:color w:val="3A383A"/>
          <w:spacing w:val="-9"/>
          <w:w w:val="110"/>
        </w:rPr>
        <w:t> </w:t>
      </w:r>
      <w:r>
        <w:rPr>
          <w:color w:val="3A383A"/>
          <w:w w:val="110"/>
        </w:rPr>
        <w:t>your</w:t>
      </w:r>
      <w:r>
        <w:rPr>
          <w:color w:val="3A383A"/>
          <w:spacing w:val="12"/>
          <w:w w:val="110"/>
        </w:rPr>
        <w:t> </w:t>
      </w:r>
      <w:r>
        <w:rPr>
          <w:color w:val="3A383A"/>
          <w:w w:val="110"/>
        </w:rPr>
        <w:t>job</w:t>
      </w:r>
      <w:r>
        <w:rPr>
          <w:color w:val="3A383A"/>
          <w:spacing w:val="-25"/>
          <w:w w:val="110"/>
        </w:rPr>
        <w:t> </w:t>
      </w:r>
      <w:r>
        <w:rPr>
          <w:color w:val="3A383A"/>
          <w:w w:val="110"/>
        </w:rPr>
        <w:t>is</w:t>
      </w:r>
      <w:r>
        <w:rPr>
          <w:color w:val="3A383A"/>
          <w:spacing w:val="-24"/>
          <w:w w:val="110"/>
        </w:rPr>
        <w:t> </w:t>
      </w:r>
      <w:r>
        <w:rPr>
          <w:color w:val="3A383A"/>
          <w:w w:val="110"/>
        </w:rPr>
        <w:t>not</w:t>
      </w:r>
      <w:r>
        <w:rPr>
          <w:color w:val="3A383A"/>
          <w:spacing w:val="19"/>
          <w:w w:val="110"/>
        </w:rPr>
        <w:t> </w:t>
      </w:r>
      <w:r>
        <w:rPr>
          <w:color w:val="3A383A"/>
          <w:w w:val="110"/>
        </w:rPr>
        <w:t>to</w:t>
      </w:r>
      <w:r>
        <w:rPr>
          <w:color w:val="3A383A"/>
          <w:spacing w:val="-2"/>
          <w:w w:val="110"/>
        </w:rPr>
        <w:t> </w:t>
      </w:r>
      <w:r>
        <w:rPr>
          <w:color w:val="3A383A"/>
          <w:w w:val="110"/>
        </w:rPr>
        <w:t>"get</w:t>
      </w:r>
      <w:r>
        <w:rPr>
          <w:color w:val="3A383A"/>
          <w:spacing w:val="-23"/>
          <w:w w:val="110"/>
        </w:rPr>
        <w:t> </w:t>
      </w:r>
      <w:r>
        <w:rPr>
          <w:color w:val="3A383A"/>
          <w:w w:val="110"/>
        </w:rPr>
        <w:t>through your</w:t>
      </w:r>
      <w:r>
        <w:rPr>
          <w:color w:val="3A383A"/>
          <w:spacing w:val="-28"/>
          <w:w w:val="110"/>
        </w:rPr>
        <w:t> </w:t>
      </w:r>
      <w:r>
        <w:rPr>
          <w:color w:val="3A383A"/>
          <w:w w:val="110"/>
        </w:rPr>
        <w:t>stuff."</w:t>
      </w:r>
      <w:r>
        <w:rPr>
          <w:color w:val="3A383A"/>
          <w:spacing w:val="-20"/>
          <w:w w:val="110"/>
        </w:rPr>
        <w:t> </w:t>
      </w:r>
      <w:r>
        <w:rPr>
          <w:color w:val="3A383A"/>
          <w:w w:val="110"/>
        </w:rPr>
        <w:t>Instead,</w:t>
      </w:r>
      <w:r>
        <w:rPr>
          <w:color w:val="3A383A"/>
          <w:spacing w:val="-26"/>
          <w:w w:val="110"/>
        </w:rPr>
        <w:t> </w:t>
      </w:r>
      <w:r>
        <w:rPr>
          <w:color w:val="3A383A"/>
          <w:w w:val="110"/>
        </w:rPr>
        <w:t>you</w:t>
      </w:r>
      <w:r>
        <w:rPr>
          <w:color w:val="3A383A"/>
          <w:spacing w:val="-26"/>
          <w:w w:val="110"/>
        </w:rPr>
        <w:t> </w:t>
      </w:r>
      <w:r>
        <w:rPr>
          <w:color w:val="3A383A"/>
          <w:w w:val="110"/>
        </w:rPr>
        <w:t>are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0"/>
        </w:rPr>
        <w:t>there to find out what the judges are interested in, and so you should stop</w:t>
      </w:r>
      <w:r>
        <w:rPr>
          <w:color w:val="3A383A"/>
          <w:spacing w:val="1"/>
          <w:w w:val="110"/>
        </w:rPr>
        <w:t> </w:t>
      </w:r>
      <w:r>
        <w:rPr>
          <w:color w:val="3A383A"/>
          <w:spacing w:val="-1"/>
          <w:w w:val="110"/>
        </w:rPr>
        <w:t>talking immediately when one of them tries </w:t>
      </w:r>
      <w:r>
        <w:rPr>
          <w:color w:val="3A383A"/>
          <w:w w:val="110"/>
        </w:rPr>
        <w:t>to reveal an area of interest </w:t>
      </w:r>
      <w:r>
        <w:rPr>
          <w:rFonts w:ascii="Arial"/>
          <w:color w:val="3A383A"/>
          <w:w w:val="110"/>
          <w:sz w:val="22"/>
        </w:rPr>
        <w:t>by</w:t>
      </w:r>
      <w:r>
        <w:rPr>
          <w:rFonts w:ascii="Arial"/>
          <w:color w:val="3A383A"/>
          <w:spacing w:val="-65"/>
          <w:w w:val="110"/>
          <w:sz w:val="22"/>
        </w:rPr>
        <w:t> </w:t>
      </w:r>
      <w:r>
        <w:rPr>
          <w:color w:val="3A383A"/>
          <w:spacing w:val="-1"/>
          <w:w w:val="110"/>
        </w:rPr>
        <w:t>asking </w:t>
      </w:r>
      <w:r>
        <w:rPr>
          <w:color w:val="3A383A"/>
          <w:w w:val="110"/>
        </w:rPr>
        <w:t>a question. As one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judge has noted, "questions are your friends."</w:t>
      </w:r>
      <w:r>
        <w:rPr>
          <w:color w:val="3A383A"/>
          <w:w w:val="110"/>
          <w:position w:val="5"/>
          <w:sz w:val="14"/>
        </w:rPr>
        <w:t>30</w:t>
      </w:r>
      <w:r>
        <w:rPr>
          <w:color w:val="3A383A"/>
          <w:spacing w:val="-36"/>
          <w:w w:val="110"/>
          <w:position w:val="5"/>
          <w:sz w:val="14"/>
        </w:rPr>
        <w:t> </w:t>
      </w:r>
      <w:r>
        <w:rPr>
          <w:color w:val="3A383A"/>
          <w:spacing w:val="-1"/>
          <w:w w:val="110"/>
        </w:rPr>
        <w:t>Judge Williams has suggested that </w:t>
      </w:r>
      <w:r>
        <w:rPr>
          <w:color w:val="3A383A"/>
          <w:w w:val="110"/>
        </w:rPr>
        <w:t>"[q]uestions are not interruptions, </w:t>
      </w:r>
      <w:r>
        <w:rPr>
          <w:color w:val="3A383A"/>
          <w:w w:val="110"/>
          <w:sz w:val="24"/>
        </w:rPr>
        <w:t>they</w:t>
      </w:r>
      <w:r>
        <w:rPr>
          <w:color w:val="3A383A"/>
          <w:spacing w:val="1"/>
          <w:w w:val="110"/>
          <w:sz w:val="24"/>
        </w:rPr>
        <w:t> </w:t>
      </w:r>
      <w:r>
        <w:rPr>
          <w:color w:val="3A383A"/>
          <w:w w:val="110"/>
        </w:rPr>
        <w:t>are opportunities. The questions from the bench are the only indication of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05"/>
        </w:rPr>
        <w:t>what issues are bothering the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judges(,] and  [the questions] may clue you in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10"/>
        </w:rPr>
        <w:t>on</w:t>
      </w:r>
      <w:r>
        <w:rPr>
          <w:color w:val="3A383A"/>
          <w:spacing w:val="2"/>
          <w:w w:val="110"/>
        </w:rPr>
        <w:t> </w:t>
      </w:r>
      <w:r>
        <w:rPr>
          <w:color w:val="3A383A"/>
          <w:w w:val="110"/>
        </w:rPr>
        <w:t>what</w:t>
      </w:r>
      <w:r>
        <w:rPr>
          <w:color w:val="3A383A"/>
          <w:spacing w:val="-2"/>
          <w:w w:val="110"/>
        </w:rPr>
        <w:t> </w:t>
      </w:r>
      <w:r>
        <w:rPr>
          <w:color w:val="3A383A"/>
          <w:w w:val="110"/>
        </w:rPr>
        <w:t>is</w:t>
      </w:r>
      <w:r>
        <w:rPr>
          <w:color w:val="3A383A"/>
          <w:spacing w:val="-8"/>
          <w:w w:val="110"/>
        </w:rPr>
        <w:t> </w:t>
      </w:r>
      <w:r>
        <w:rPr>
          <w:color w:val="3A383A"/>
          <w:w w:val="110"/>
        </w:rPr>
        <w:t>preventing</w:t>
      </w:r>
      <w:r>
        <w:rPr>
          <w:color w:val="3A383A"/>
          <w:spacing w:val="4"/>
          <w:w w:val="110"/>
        </w:rPr>
        <w:t> </w:t>
      </w:r>
      <w:r>
        <w:rPr>
          <w:color w:val="3A383A"/>
          <w:w w:val="110"/>
        </w:rPr>
        <w:t>them</w:t>
      </w:r>
      <w:r>
        <w:rPr>
          <w:color w:val="3A383A"/>
          <w:spacing w:val="4"/>
          <w:w w:val="110"/>
        </w:rPr>
        <w:t> </w:t>
      </w:r>
      <w:r>
        <w:rPr>
          <w:color w:val="3A383A"/>
          <w:w w:val="110"/>
        </w:rPr>
        <w:t>from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seeing</w:t>
      </w:r>
      <w:r>
        <w:rPr>
          <w:color w:val="3A383A"/>
          <w:spacing w:val="-3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21"/>
          <w:w w:val="110"/>
        </w:rPr>
        <w:t> </w:t>
      </w:r>
      <w:r>
        <w:rPr>
          <w:color w:val="3A383A"/>
          <w:w w:val="110"/>
        </w:rPr>
        <w:t>case</w:t>
      </w:r>
      <w:r>
        <w:rPr>
          <w:color w:val="3A383A"/>
          <w:spacing w:val="-14"/>
          <w:w w:val="110"/>
        </w:rPr>
        <w:t> </w:t>
      </w:r>
      <w:r>
        <w:rPr>
          <w:color w:val="3A383A"/>
          <w:w w:val="110"/>
        </w:rPr>
        <w:t>your</w:t>
      </w:r>
      <w:r>
        <w:rPr>
          <w:color w:val="3A383A"/>
          <w:spacing w:val="-5"/>
          <w:w w:val="110"/>
        </w:rPr>
        <w:t> </w:t>
      </w:r>
      <w:r>
        <w:rPr>
          <w:color w:val="3A383A"/>
          <w:w w:val="110"/>
        </w:rPr>
        <w:t>way."</w:t>
      </w:r>
      <w:r>
        <w:rPr>
          <w:rFonts w:ascii="Arial"/>
          <w:color w:val="3A383A"/>
          <w:w w:val="110"/>
          <w:vertAlign w:val="superscript"/>
        </w:rPr>
        <w:t>31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spacing w:line="200" w:lineRule="exact" w:before="200"/>
        <w:ind w:left="1030" w:right="0" w:firstLine="0"/>
        <w:jc w:val="left"/>
        <w:rPr>
          <w:sz w:val="18"/>
        </w:rPr>
      </w:pPr>
      <w:r>
        <w:rPr>
          <w:color w:val="3A383A"/>
          <w:w w:val="110"/>
          <w:position w:val="6"/>
          <w:sz w:val="10"/>
        </w:rPr>
        <w:t>27</w:t>
      </w:r>
      <w:r>
        <w:rPr>
          <w:color w:val="3A383A"/>
          <w:w w:val="110"/>
          <w:sz w:val="18"/>
        </w:rPr>
        <w:t>for</w:t>
      </w:r>
      <w:r>
        <w:rPr>
          <w:color w:val="3A383A"/>
          <w:spacing w:val="6"/>
          <w:w w:val="110"/>
          <w:sz w:val="18"/>
        </w:rPr>
        <w:t> </w:t>
      </w:r>
      <w:r>
        <w:rPr>
          <w:color w:val="3A383A"/>
          <w:w w:val="110"/>
          <w:sz w:val="18"/>
        </w:rPr>
        <w:t>more</w:t>
      </w:r>
      <w:r>
        <w:rPr>
          <w:color w:val="3A383A"/>
          <w:spacing w:val="-16"/>
          <w:w w:val="110"/>
          <w:sz w:val="18"/>
        </w:rPr>
        <w:t> </w:t>
      </w:r>
      <w:r>
        <w:rPr>
          <w:color w:val="3A383A"/>
          <w:w w:val="110"/>
          <w:sz w:val="18"/>
        </w:rPr>
        <w:t>information on</w:t>
      </w:r>
      <w:r>
        <w:rPr>
          <w:color w:val="3A383A"/>
          <w:spacing w:val="22"/>
          <w:w w:val="110"/>
          <w:sz w:val="18"/>
        </w:rPr>
        <w:t> </w:t>
      </w:r>
      <w:r>
        <w:rPr>
          <w:color w:val="3A383A"/>
          <w:w w:val="110"/>
          <w:sz w:val="18"/>
        </w:rPr>
        <w:t>making</w:t>
      </w:r>
      <w:r>
        <w:rPr>
          <w:color w:val="3A383A"/>
          <w:spacing w:val="-13"/>
          <w:w w:val="110"/>
          <w:sz w:val="18"/>
        </w:rPr>
        <w:t> </w:t>
      </w:r>
      <w:r>
        <w:rPr>
          <w:color w:val="3A383A"/>
          <w:w w:val="110"/>
          <w:sz w:val="18"/>
        </w:rPr>
        <w:t>your</w:t>
      </w:r>
      <w:r>
        <w:rPr>
          <w:color w:val="3A383A"/>
          <w:spacing w:val="-18"/>
          <w:w w:val="110"/>
          <w:sz w:val="18"/>
        </w:rPr>
        <w:t> </w:t>
      </w:r>
      <w:r>
        <w:rPr>
          <w:color w:val="3A383A"/>
          <w:w w:val="110"/>
          <w:sz w:val="18"/>
        </w:rPr>
        <w:t>conclusion</w:t>
      </w:r>
      <w:r>
        <w:rPr>
          <w:color w:val="3A383A"/>
          <w:spacing w:val="-4"/>
          <w:w w:val="110"/>
          <w:sz w:val="18"/>
        </w:rPr>
        <w:t> </w:t>
      </w:r>
      <w:r>
        <w:rPr>
          <w:color w:val="3A383A"/>
          <w:w w:val="110"/>
          <w:sz w:val="18"/>
        </w:rPr>
        <w:t>effective,</w:t>
      </w:r>
      <w:r>
        <w:rPr>
          <w:color w:val="3A383A"/>
          <w:spacing w:val="-6"/>
          <w:w w:val="110"/>
          <w:sz w:val="18"/>
        </w:rPr>
        <w:t> </w:t>
      </w:r>
      <w:r>
        <w:rPr>
          <w:color w:val="3A383A"/>
          <w:w w:val="110"/>
          <w:sz w:val="18"/>
        </w:rPr>
        <w:t>see</w:t>
      </w:r>
      <w:r>
        <w:rPr>
          <w:color w:val="3A383A"/>
          <w:spacing w:val="-24"/>
          <w:w w:val="110"/>
          <w:sz w:val="18"/>
        </w:rPr>
        <w:t> </w:t>
      </w:r>
      <w:r>
        <w:rPr>
          <w:color w:val="3A383A"/>
          <w:w w:val="110"/>
          <w:sz w:val="18"/>
        </w:rPr>
        <w:t>Section</w:t>
      </w:r>
      <w:r>
        <w:rPr>
          <w:color w:val="3A383A"/>
          <w:spacing w:val="-4"/>
          <w:w w:val="110"/>
          <w:sz w:val="18"/>
        </w:rPr>
        <w:t> </w:t>
      </w:r>
      <w:r>
        <w:rPr>
          <w:color w:val="3A383A"/>
          <w:w w:val="110"/>
          <w:sz w:val="18"/>
        </w:rPr>
        <w:t>14.S</w:t>
      </w:r>
      <w:r>
        <w:rPr>
          <w:color w:val="565456"/>
          <w:w w:val="110"/>
          <w:sz w:val="18"/>
        </w:rPr>
        <w:t>.</w:t>
      </w:r>
      <w:r>
        <w:rPr>
          <w:color w:val="3A383A"/>
          <w:w w:val="110"/>
          <w:sz w:val="18"/>
        </w:rPr>
        <w:t>3.</w:t>
      </w:r>
    </w:p>
    <w:p>
      <w:pPr>
        <w:spacing w:line="203" w:lineRule="exact" w:before="0"/>
        <w:ind w:left="923" w:right="0" w:firstLine="0"/>
        <w:jc w:val="left"/>
        <w:rPr>
          <w:sz w:val="18"/>
        </w:rPr>
      </w:pPr>
      <w:r>
        <w:rPr>
          <w:i/>
          <w:color w:val="3A383A"/>
          <w:w w:val="95"/>
          <w:sz w:val="17"/>
        </w:rPr>
        <w:t>u</w:t>
      </w:r>
      <w:r>
        <w:rPr>
          <w:i/>
          <w:color w:val="3A383A"/>
          <w:spacing w:val="82"/>
          <w:sz w:val="17"/>
        </w:rPr>
        <w:t> </w:t>
      </w:r>
      <w:r>
        <w:rPr>
          <w:i/>
          <w:color w:val="3A383A"/>
          <w:w w:val="95"/>
          <w:sz w:val="17"/>
        </w:rPr>
        <w:t>See</w:t>
      </w:r>
      <w:r>
        <w:rPr>
          <w:i/>
          <w:color w:val="3A383A"/>
          <w:spacing w:val="-8"/>
          <w:w w:val="95"/>
          <w:sz w:val="17"/>
        </w:rPr>
        <w:t> </w:t>
      </w:r>
      <w:r>
        <w:rPr>
          <w:color w:val="3A383A"/>
          <w:w w:val="95"/>
          <w:sz w:val="18"/>
        </w:rPr>
        <w:t>Richard</w:t>
      </w:r>
      <w:r>
        <w:rPr>
          <w:color w:val="3A383A"/>
          <w:spacing w:val="10"/>
          <w:w w:val="95"/>
          <w:sz w:val="18"/>
        </w:rPr>
        <w:t> </w:t>
      </w:r>
      <w:r>
        <w:rPr>
          <w:color w:val="3A383A"/>
          <w:w w:val="95"/>
          <w:sz w:val="18"/>
        </w:rPr>
        <w:t>H.</w:t>
      </w:r>
      <w:r>
        <w:rPr>
          <w:color w:val="3A383A"/>
          <w:spacing w:val="-10"/>
          <w:w w:val="95"/>
          <w:sz w:val="18"/>
        </w:rPr>
        <w:t> </w:t>
      </w:r>
      <w:r>
        <w:rPr>
          <w:color w:val="3A383A"/>
          <w:w w:val="95"/>
          <w:sz w:val="18"/>
        </w:rPr>
        <w:t>Seamon,</w:t>
      </w:r>
      <w:r>
        <w:rPr>
          <w:color w:val="3A383A"/>
          <w:spacing w:val="5"/>
          <w:w w:val="95"/>
          <w:sz w:val="18"/>
        </w:rPr>
        <w:t> </w:t>
      </w:r>
      <w:r>
        <w:rPr>
          <w:i/>
          <w:color w:val="3A383A"/>
          <w:w w:val="95"/>
          <w:sz w:val="19"/>
        </w:rPr>
        <w:t>Preparing</w:t>
      </w:r>
      <w:r>
        <w:rPr>
          <w:i/>
          <w:color w:val="3A383A"/>
          <w:spacing w:val="38"/>
          <w:w w:val="95"/>
          <w:sz w:val="19"/>
        </w:rPr>
        <w:t> </w:t>
      </w:r>
      <w:r>
        <w:rPr>
          <w:i/>
          <w:color w:val="3A383A"/>
          <w:w w:val="95"/>
          <w:sz w:val="19"/>
        </w:rPr>
        <w:t>forOral</w:t>
      </w:r>
      <w:r>
        <w:rPr>
          <w:i/>
          <w:color w:val="3A383A"/>
          <w:spacing w:val="2"/>
          <w:w w:val="95"/>
          <w:sz w:val="19"/>
        </w:rPr>
        <w:t> </w:t>
      </w:r>
      <w:r>
        <w:rPr>
          <w:i/>
          <w:color w:val="3A383A"/>
          <w:w w:val="95"/>
          <w:sz w:val="19"/>
        </w:rPr>
        <w:t>Argument</w:t>
      </w:r>
      <w:r>
        <w:rPr>
          <w:i/>
          <w:color w:val="3A383A"/>
          <w:spacing w:val="5"/>
          <w:w w:val="95"/>
          <w:sz w:val="19"/>
        </w:rPr>
        <w:t> </w:t>
      </w:r>
      <w:r>
        <w:rPr>
          <w:i/>
          <w:color w:val="3A383A"/>
          <w:w w:val="95"/>
          <w:sz w:val="19"/>
        </w:rPr>
        <w:t>In</w:t>
      </w:r>
      <w:r>
        <w:rPr>
          <w:i/>
          <w:color w:val="3A383A"/>
          <w:spacing w:val="-14"/>
          <w:w w:val="95"/>
          <w:sz w:val="19"/>
        </w:rPr>
        <w:t> </w:t>
      </w:r>
      <w:r>
        <w:rPr>
          <w:i/>
          <w:color w:val="3A383A"/>
          <w:w w:val="95"/>
          <w:sz w:val="19"/>
        </w:rPr>
        <w:t>the</w:t>
      </w:r>
      <w:r>
        <w:rPr>
          <w:i/>
          <w:color w:val="3A383A"/>
          <w:spacing w:val="-23"/>
          <w:w w:val="95"/>
          <w:sz w:val="19"/>
        </w:rPr>
        <w:t> </w:t>
      </w:r>
      <w:r>
        <w:rPr>
          <w:i/>
          <w:color w:val="3A383A"/>
          <w:w w:val="95"/>
          <w:sz w:val="19"/>
        </w:rPr>
        <w:t>United</w:t>
      </w:r>
      <w:r>
        <w:rPr>
          <w:i/>
          <w:color w:val="3A383A"/>
          <w:spacing w:val="3"/>
          <w:w w:val="95"/>
          <w:sz w:val="19"/>
        </w:rPr>
        <w:t> </w:t>
      </w:r>
      <w:r>
        <w:rPr>
          <w:i/>
          <w:color w:val="3A383A"/>
          <w:w w:val="95"/>
          <w:sz w:val="19"/>
        </w:rPr>
        <w:t>Sta</w:t>
      </w:r>
      <w:r>
        <w:rPr>
          <w:i/>
          <w:color w:val="565456"/>
          <w:w w:val="95"/>
          <w:sz w:val="19"/>
        </w:rPr>
        <w:t>t</w:t>
      </w:r>
      <w:r>
        <w:rPr>
          <w:i/>
          <w:color w:val="3A383A"/>
          <w:w w:val="95"/>
          <w:sz w:val="19"/>
        </w:rPr>
        <w:t>es</w:t>
      </w:r>
      <w:r>
        <w:rPr>
          <w:i/>
          <w:color w:val="3A383A"/>
          <w:spacing w:val="-10"/>
          <w:w w:val="95"/>
          <w:sz w:val="19"/>
        </w:rPr>
        <w:t> </w:t>
      </w:r>
      <w:r>
        <w:rPr>
          <w:i/>
          <w:color w:val="3A383A"/>
          <w:w w:val="95"/>
          <w:sz w:val="19"/>
        </w:rPr>
        <w:t>Supreme</w:t>
      </w:r>
      <w:r>
        <w:rPr>
          <w:i/>
          <w:color w:val="3A383A"/>
          <w:spacing w:val="-11"/>
          <w:w w:val="95"/>
          <w:sz w:val="19"/>
        </w:rPr>
        <w:t> </w:t>
      </w:r>
      <w:r>
        <w:rPr>
          <w:i/>
          <w:color w:val="3A383A"/>
          <w:w w:val="95"/>
          <w:sz w:val="19"/>
        </w:rPr>
        <w:t>Court</w:t>
      </w:r>
      <w:r>
        <w:rPr>
          <w:i/>
          <w:color w:val="565456"/>
          <w:w w:val="95"/>
          <w:sz w:val="19"/>
        </w:rPr>
        <w:t>,</w:t>
      </w:r>
      <w:r>
        <w:rPr>
          <w:i/>
          <w:color w:val="565456"/>
          <w:spacing w:val="-9"/>
          <w:w w:val="95"/>
          <w:sz w:val="19"/>
        </w:rPr>
        <w:t> </w:t>
      </w:r>
      <w:r>
        <w:rPr>
          <w:color w:val="3A383A"/>
          <w:w w:val="95"/>
          <w:sz w:val="18"/>
        </w:rPr>
        <w:t>50S</w:t>
      </w:r>
      <w:r>
        <w:rPr>
          <w:color w:val="565456"/>
          <w:w w:val="95"/>
          <w:sz w:val="18"/>
        </w:rPr>
        <w:t>.</w:t>
      </w:r>
      <w:r>
        <w:rPr>
          <w:color w:val="3A383A"/>
          <w:w w:val="95"/>
          <w:sz w:val="18"/>
        </w:rPr>
        <w:t>C.</w:t>
      </w:r>
    </w:p>
    <w:p>
      <w:pPr>
        <w:spacing w:line="235" w:lineRule="auto" w:before="0"/>
        <w:ind w:left="626" w:right="0" w:firstLine="7"/>
        <w:jc w:val="left"/>
        <w:rPr>
          <w:sz w:val="18"/>
        </w:rPr>
      </w:pPr>
      <w:r>
        <w:rPr>
          <w:color w:val="3A383A"/>
          <w:w w:val="105"/>
          <w:sz w:val="18"/>
        </w:rPr>
        <w:t>L. Rev. 603</w:t>
      </w:r>
      <w:r>
        <w:rPr>
          <w:color w:val="3A383A"/>
          <w:spacing w:val="1"/>
          <w:w w:val="105"/>
          <w:sz w:val="18"/>
        </w:rPr>
        <w:t> </w:t>
      </w:r>
      <w:r>
        <w:rPr>
          <w:color w:val="3A383A"/>
          <w:w w:val="105"/>
          <w:sz w:val="18"/>
        </w:rPr>
        <w:t>(1999</w:t>
      </w:r>
      <w:r>
        <w:rPr>
          <w:color w:val="565456"/>
          <w:w w:val="105"/>
          <w:sz w:val="18"/>
        </w:rPr>
        <w:t>)</w:t>
      </w:r>
      <w:r>
        <w:rPr>
          <w:color w:val="3A383A"/>
          <w:w w:val="105"/>
          <w:sz w:val="18"/>
        </w:rPr>
        <w:t>, for advice on</w:t>
      </w:r>
      <w:r>
        <w:rPr>
          <w:color w:val="3A383A"/>
          <w:spacing w:val="1"/>
          <w:w w:val="105"/>
          <w:sz w:val="18"/>
        </w:rPr>
        <w:t> </w:t>
      </w:r>
      <w:r>
        <w:rPr>
          <w:color w:val="3A383A"/>
          <w:w w:val="105"/>
          <w:sz w:val="18"/>
        </w:rPr>
        <w:t>preparing for oral argument</w:t>
      </w:r>
      <w:r>
        <w:rPr>
          <w:color w:val="3A383A"/>
          <w:spacing w:val="1"/>
          <w:w w:val="105"/>
          <w:sz w:val="18"/>
        </w:rPr>
        <w:t> </w:t>
      </w:r>
      <w:r>
        <w:rPr>
          <w:color w:val="3A383A"/>
          <w:w w:val="105"/>
          <w:sz w:val="18"/>
        </w:rPr>
        <w:t>primarily by anticipating and plan­</w:t>
      </w:r>
      <w:r>
        <w:rPr>
          <w:color w:val="3A383A"/>
          <w:spacing w:val="-45"/>
          <w:w w:val="105"/>
          <w:sz w:val="18"/>
        </w:rPr>
        <w:t> </w:t>
      </w:r>
      <w:r>
        <w:rPr>
          <w:color w:val="3A383A"/>
          <w:w w:val="110"/>
          <w:sz w:val="18"/>
        </w:rPr>
        <w:t>ning</w:t>
      </w:r>
      <w:r>
        <w:rPr>
          <w:color w:val="3A383A"/>
          <w:spacing w:val="-27"/>
          <w:w w:val="110"/>
          <w:sz w:val="18"/>
        </w:rPr>
        <w:t> </w:t>
      </w:r>
      <w:r>
        <w:rPr>
          <w:color w:val="3A383A"/>
          <w:w w:val="110"/>
          <w:sz w:val="18"/>
        </w:rPr>
        <w:t>answers</w:t>
      </w:r>
      <w:r>
        <w:rPr>
          <w:color w:val="3A383A"/>
          <w:spacing w:val="-5"/>
          <w:w w:val="110"/>
          <w:sz w:val="18"/>
        </w:rPr>
        <w:t> </w:t>
      </w:r>
      <w:r>
        <w:rPr>
          <w:color w:val="3A383A"/>
          <w:w w:val="110"/>
          <w:sz w:val="18"/>
        </w:rPr>
        <w:t>for</w:t>
      </w:r>
      <w:r>
        <w:rPr>
          <w:color w:val="3A383A"/>
          <w:spacing w:val="-6"/>
          <w:w w:val="110"/>
          <w:sz w:val="18"/>
        </w:rPr>
        <w:t> </w:t>
      </w:r>
      <w:r>
        <w:rPr>
          <w:color w:val="3A383A"/>
          <w:w w:val="110"/>
          <w:sz w:val="18"/>
        </w:rPr>
        <w:t>the</w:t>
      </w:r>
      <w:r>
        <w:rPr>
          <w:color w:val="3A383A"/>
          <w:spacing w:val="13"/>
          <w:w w:val="110"/>
          <w:sz w:val="18"/>
        </w:rPr>
        <w:t> </w:t>
      </w:r>
      <w:r>
        <w:rPr>
          <w:color w:val="3A383A"/>
          <w:w w:val="110"/>
          <w:sz w:val="18"/>
        </w:rPr>
        <w:t>Court's</w:t>
      </w:r>
      <w:r>
        <w:rPr>
          <w:color w:val="3A383A"/>
          <w:spacing w:val="-12"/>
          <w:w w:val="110"/>
          <w:sz w:val="18"/>
        </w:rPr>
        <w:t> </w:t>
      </w:r>
      <w:r>
        <w:rPr>
          <w:color w:val="3A383A"/>
          <w:w w:val="110"/>
          <w:sz w:val="18"/>
        </w:rPr>
        <w:t>quest</w:t>
      </w:r>
      <w:r>
        <w:rPr>
          <w:color w:val="565456"/>
          <w:w w:val="110"/>
          <w:sz w:val="18"/>
        </w:rPr>
        <w:t>i</w:t>
      </w:r>
      <w:r>
        <w:rPr>
          <w:color w:val="3A383A"/>
          <w:w w:val="110"/>
          <w:sz w:val="18"/>
        </w:rPr>
        <w:t>ons.</w:t>
      </w:r>
    </w:p>
    <w:p>
      <w:pPr>
        <w:spacing w:line="192" w:lineRule="exact" w:before="0"/>
        <w:ind w:left="1010" w:right="0" w:firstLine="0"/>
        <w:jc w:val="left"/>
        <w:rPr>
          <w:sz w:val="18"/>
        </w:rPr>
      </w:pPr>
      <w:r>
        <w:rPr>
          <w:rFonts w:ascii="Arial"/>
          <w:color w:val="3A383A"/>
          <w:position w:val="6"/>
          <w:sz w:val="10"/>
        </w:rPr>
        <w:t>2</w:t>
      </w:r>
      <w:r>
        <w:rPr>
          <w:rFonts w:ascii="Arial"/>
          <w:color w:val="565456"/>
          <w:position w:val="6"/>
          <w:sz w:val="10"/>
        </w:rPr>
        <w:t>9</w:t>
      </w:r>
      <w:r>
        <w:rPr>
          <w:color w:val="3A383A"/>
          <w:sz w:val="18"/>
        </w:rPr>
        <w:t>Ginsburg</w:t>
      </w:r>
      <w:r>
        <w:rPr>
          <w:color w:val="565456"/>
          <w:sz w:val="18"/>
        </w:rPr>
        <w:t>,</w:t>
      </w:r>
      <w:r>
        <w:rPr>
          <w:color w:val="565456"/>
          <w:spacing w:val="19"/>
          <w:sz w:val="18"/>
        </w:rPr>
        <w:t> </w:t>
      </w:r>
      <w:r>
        <w:rPr>
          <w:i/>
          <w:color w:val="3A383A"/>
          <w:sz w:val="19"/>
        </w:rPr>
        <w:t>s11pra</w:t>
      </w:r>
      <w:r>
        <w:rPr>
          <w:i/>
          <w:color w:val="3A383A"/>
          <w:spacing w:val="21"/>
          <w:sz w:val="19"/>
        </w:rPr>
        <w:t> </w:t>
      </w:r>
      <w:r>
        <w:rPr>
          <w:color w:val="3A383A"/>
          <w:sz w:val="18"/>
        </w:rPr>
        <w:t>note</w:t>
      </w:r>
      <w:r>
        <w:rPr>
          <w:color w:val="3A383A"/>
          <w:spacing w:val="33"/>
          <w:sz w:val="18"/>
        </w:rPr>
        <w:t> </w:t>
      </w:r>
      <w:r>
        <w:rPr>
          <w:color w:val="3A383A"/>
          <w:sz w:val="18"/>
        </w:rPr>
        <w:t>I,</w:t>
      </w:r>
      <w:r>
        <w:rPr>
          <w:color w:val="3A383A"/>
          <w:spacing w:val="19"/>
          <w:sz w:val="18"/>
        </w:rPr>
        <w:t> </w:t>
      </w:r>
      <w:r>
        <w:rPr>
          <w:color w:val="3A383A"/>
          <w:sz w:val="18"/>
        </w:rPr>
        <w:t>at</w:t>
      </w:r>
      <w:r>
        <w:rPr>
          <w:color w:val="3A383A"/>
          <w:spacing w:val="17"/>
          <w:sz w:val="18"/>
        </w:rPr>
        <w:t> </w:t>
      </w:r>
      <w:r>
        <w:rPr>
          <w:color w:val="3A383A"/>
          <w:sz w:val="18"/>
        </w:rPr>
        <w:t>569.</w:t>
      </w:r>
    </w:p>
    <w:p>
      <w:pPr>
        <w:spacing w:line="198" w:lineRule="exact" w:before="0"/>
        <w:ind w:left="1001" w:right="0" w:firstLine="0"/>
        <w:jc w:val="left"/>
        <w:rPr>
          <w:i/>
          <w:sz w:val="18"/>
        </w:rPr>
      </w:pPr>
      <w:r>
        <w:rPr>
          <w:color w:val="3A383A"/>
          <w:w w:val="95"/>
          <w:sz w:val="11"/>
        </w:rPr>
        <w:t>JO</w:t>
      </w:r>
      <w:r>
        <w:rPr>
          <w:color w:val="3A383A"/>
          <w:w w:val="95"/>
          <w:sz w:val="18"/>
        </w:rPr>
        <w:t>Judge</w:t>
      </w:r>
      <w:r>
        <w:rPr>
          <w:color w:val="3A383A"/>
          <w:spacing w:val="16"/>
          <w:w w:val="95"/>
          <w:sz w:val="18"/>
        </w:rPr>
        <w:t> </w:t>
      </w:r>
      <w:r>
        <w:rPr>
          <w:color w:val="3A383A"/>
          <w:w w:val="95"/>
          <w:sz w:val="18"/>
        </w:rPr>
        <w:t>Bruce</w:t>
      </w:r>
      <w:r>
        <w:rPr>
          <w:color w:val="3A383A"/>
          <w:spacing w:val="36"/>
          <w:w w:val="95"/>
          <w:sz w:val="18"/>
        </w:rPr>
        <w:t> </w:t>
      </w:r>
      <w:r>
        <w:rPr>
          <w:i/>
          <w:color w:val="3A383A"/>
          <w:w w:val="95"/>
          <w:sz w:val="19"/>
        </w:rPr>
        <w:t>D</w:t>
      </w:r>
      <w:r>
        <w:rPr>
          <w:i/>
          <w:color w:val="565456"/>
          <w:w w:val="95"/>
          <w:sz w:val="19"/>
        </w:rPr>
        <w:t>.</w:t>
      </w:r>
      <w:r>
        <w:rPr>
          <w:i/>
          <w:color w:val="565456"/>
          <w:spacing w:val="12"/>
          <w:w w:val="95"/>
          <w:sz w:val="19"/>
        </w:rPr>
        <w:t> </w:t>
      </w:r>
      <w:r>
        <w:rPr>
          <w:color w:val="3A383A"/>
          <w:w w:val="95"/>
          <w:sz w:val="18"/>
        </w:rPr>
        <w:t>Willis</w:t>
      </w:r>
      <w:r>
        <w:rPr>
          <w:color w:val="565456"/>
          <w:w w:val="95"/>
          <w:sz w:val="18"/>
        </w:rPr>
        <w:t>,</w:t>
      </w:r>
      <w:r>
        <w:rPr>
          <w:color w:val="565456"/>
          <w:spacing w:val="18"/>
          <w:w w:val="95"/>
          <w:sz w:val="18"/>
        </w:rPr>
        <w:t> </w:t>
      </w:r>
      <w:r>
        <w:rPr>
          <w:i/>
          <w:color w:val="3A383A"/>
          <w:w w:val="95"/>
          <w:sz w:val="19"/>
        </w:rPr>
        <w:t>Suggestions</w:t>
      </w:r>
      <w:r>
        <w:rPr>
          <w:i/>
          <w:color w:val="3A383A"/>
          <w:spacing w:val="51"/>
          <w:sz w:val="19"/>
        </w:rPr>
        <w:t> </w:t>
      </w:r>
      <w:r>
        <w:rPr>
          <w:i/>
          <w:color w:val="3A383A"/>
          <w:w w:val="95"/>
          <w:sz w:val="19"/>
        </w:rPr>
        <w:t>from</w:t>
      </w:r>
      <w:r>
        <w:rPr>
          <w:i/>
          <w:color w:val="3A383A"/>
          <w:spacing w:val="-13"/>
          <w:w w:val="95"/>
          <w:sz w:val="19"/>
        </w:rPr>
        <w:t> </w:t>
      </w:r>
      <w:r>
        <w:rPr>
          <w:i/>
          <w:color w:val="3A383A"/>
          <w:w w:val="95"/>
          <w:sz w:val="19"/>
        </w:rPr>
        <w:t>th</w:t>
      </w:r>
      <w:r>
        <w:rPr>
          <w:i/>
          <w:color w:val="565456"/>
          <w:w w:val="95"/>
          <w:sz w:val="19"/>
        </w:rPr>
        <w:t>e</w:t>
      </w:r>
      <w:r>
        <w:rPr>
          <w:i/>
          <w:color w:val="565456"/>
          <w:spacing w:val="-1"/>
          <w:w w:val="95"/>
          <w:sz w:val="19"/>
        </w:rPr>
        <w:t> </w:t>
      </w:r>
      <w:r>
        <w:rPr>
          <w:i/>
          <w:color w:val="3A383A"/>
          <w:w w:val="95"/>
          <w:sz w:val="19"/>
        </w:rPr>
        <w:t>Bench:</w:t>
      </w:r>
      <w:r>
        <w:rPr>
          <w:i/>
          <w:color w:val="3A383A"/>
          <w:spacing w:val="-3"/>
          <w:w w:val="95"/>
          <w:sz w:val="19"/>
        </w:rPr>
        <w:t> </w:t>
      </w:r>
      <w:r>
        <w:rPr>
          <w:i/>
          <w:color w:val="3A383A"/>
          <w:w w:val="95"/>
          <w:sz w:val="19"/>
        </w:rPr>
        <w:t>Things</w:t>
      </w:r>
      <w:r>
        <w:rPr>
          <w:i/>
          <w:color w:val="3A383A"/>
          <w:spacing w:val="-8"/>
          <w:w w:val="95"/>
          <w:sz w:val="19"/>
        </w:rPr>
        <w:t> </w:t>
      </w:r>
      <w:r>
        <w:rPr>
          <w:i/>
          <w:color w:val="3A383A"/>
          <w:w w:val="95"/>
          <w:sz w:val="19"/>
        </w:rPr>
        <w:t>Judges</w:t>
      </w:r>
      <w:r>
        <w:rPr>
          <w:i/>
          <w:color w:val="3A383A"/>
          <w:spacing w:val="1"/>
          <w:w w:val="95"/>
          <w:sz w:val="19"/>
        </w:rPr>
        <w:t> </w:t>
      </w:r>
      <w:r>
        <w:rPr>
          <w:i/>
          <w:color w:val="3A383A"/>
          <w:w w:val="95"/>
          <w:sz w:val="19"/>
        </w:rPr>
        <w:t>Wish</w:t>
      </w:r>
      <w:r>
        <w:rPr>
          <w:i/>
          <w:color w:val="3A383A"/>
          <w:spacing w:val="-7"/>
          <w:w w:val="95"/>
          <w:sz w:val="19"/>
        </w:rPr>
        <w:t> </w:t>
      </w:r>
      <w:r>
        <w:rPr>
          <w:i/>
          <w:color w:val="3A383A"/>
          <w:w w:val="95"/>
          <w:sz w:val="19"/>
        </w:rPr>
        <w:t>That</w:t>
      </w:r>
      <w:r>
        <w:rPr>
          <w:i/>
          <w:color w:val="3A383A"/>
          <w:spacing w:val="-2"/>
          <w:w w:val="95"/>
          <w:sz w:val="19"/>
        </w:rPr>
        <w:t> </w:t>
      </w:r>
      <w:r>
        <w:rPr>
          <w:i/>
          <w:color w:val="3A383A"/>
          <w:w w:val="95"/>
          <w:sz w:val="19"/>
        </w:rPr>
        <w:t>Appellate</w:t>
      </w:r>
      <w:r>
        <w:rPr>
          <w:i/>
          <w:color w:val="3A383A"/>
          <w:spacing w:val="10"/>
          <w:w w:val="95"/>
          <w:sz w:val="19"/>
        </w:rPr>
        <w:t> </w:t>
      </w:r>
      <w:r>
        <w:rPr>
          <w:i/>
          <w:color w:val="3A383A"/>
          <w:w w:val="95"/>
          <w:sz w:val="18"/>
        </w:rPr>
        <w:t>I..awym</w:t>
      </w:r>
    </w:p>
    <w:p>
      <w:pPr>
        <w:spacing w:line="198" w:lineRule="exact" w:before="0"/>
        <w:ind w:left="594" w:right="0" w:firstLine="0"/>
        <w:jc w:val="left"/>
        <w:rPr>
          <w:sz w:val="18"/>
        </w:rPr>
      </w:pPr>
      <w:r>
        <w:rPr>
          <w:i/>
          <w:color w:val="3A383A"/>
          <w:sz w:val="19"/>
        </w:rPr>
        <w:t>Would</w:t>
      </w:r>
      <w:r>
        <w:rPr>
          <w:i/>
          <w:color w:val="3A383A"/>
          <w:spacing w:val="22"/>
          <w:sz w:val="19"/>
        </w:rPr>
        <w:t> </w:t>
      </w:r>
      <w:r>
        <w:rPr>
          <w:i/>
          <w:color w:val="3A383A"/>
          <w:sz w:val="19"/>
        </w:rPr>
        <w:t>Do</w:t>
      </w:r>
      <w:r>
        <w:rPr>
          <w:i/>
          <w:color w:val="3A383A"/>
          <w:spacing w:val="-1"/>
          <w:sz w:val="19"/>
        </w:rPr>
        <w:t> </w:t>
      </w:r>
      <w:r>
        <w:rPr>
          <w:i/>
          <w:color w:val="3A383A"/>
          <w:sz w:val="19"/>
        </w:rPr>
        <w:t>Differently,</w:t>
      </w:r>
      <w:r>
        <w:rPr>
          <w:i/>
          <w:color w:val="3A383A"/>
          <w:spacing w:val="3"/>
          <w:sz w:val="19"/>
        </w:rPr>
        <w:t> </w:t>
      </w:r>
      <w:r>
        <w:rPr>
          <w:color w:val="3A383A"/>
          <w:sz w:val="18"/>
        </w:rPr>
        <w:t>35</w:t>
      </w:r>
      <w:r>
        <w:rPr>
          <w:color w:val="3A383A"/>
          <w:spacing w:val="4"/>
          <w:sz w:val="18"/>
        </w:rPr>
        <w:t> </w:t>
      </w:r>
      <w:r>
        <w:rPr>
          <w:color w:val="3A383A"/>
          <w:sz w:val="18"/>
        </w:rPr>
        <w:t>Wm.</w:t>
      </w:r>
      <w:r>
        <w:rPr>
          <w:color w:val="3A383A"/>
          <w:spacing w:val="60"/>
          <w:sz w:val="18"/>
        </w:rPr>
        <w:t> </w:t>
      </w:r>
      <w:r>
        <w:rPr>
          <w:color w:val="3A383A"/>
          <w:sz w:val="18"/>
        </w:rPr>
        <w:t>Mitchell</w:t>
      </w:r>
      <w:r>
        <w:rPr>
          <w:color w:val="3A383A"/>
          <w:spacing w:val="14"/>
          <w:sz w:val="18"/>
        </w:rPr>
        <w:t> </w:t>
      </w:r>
      <w:r>
        <w:rPr>
          <w:color w:val="3A383A"/>
          <w:sz w:val="18"/>
        </w:rPr>
        <w:t>L.</w:t>
      </w:r>
      <w:r>
        <w:rPr>
          <w:color w:val="3A383A"/>
          <w:spacing w:val="5"/>
          <w:sz w:val="18"/>
        </w:rPr>
        <w:t> </w:t>
      </w:r>
      <w:r>
        <w:rPr>
          <w:color w:val="3A383A"/>
          <w:sz w:val="18"/>
        </w:rPr>
        <w:t>Rev.</w:t>
      </w:r>
      <w:r>
        <w:rPr>
          <w:color w:val="3A383A"/>
          <w:spacing w:val="4"/>
          <w:sz w:val="18"/>
        </w:rPr>
        <w:t> </w:t>
      </w:r>
      <w:r>
        <w:rPr>
          <w:color w:val="3A383A"/>
          <w:sz w:val="18"/>
        </w:rPr>
        <w:t>1281,</w:t>
      </w:r>
      <w:r>
        <w:rPr>
          <w:color w:val="3A383A"/>
          <w:spacing w:val="-11"/>
          <w:sz w:val="18"/>
        </w:rPr>
        <w:t> </w:t>
      </w:r>
      <w:r>
        <w:rPr>
          <w:color w:val="3A383A"/>
          <w:sz w:val="18"/>
        </w:rPr>
        <w:t>1285</w:t>
      </w:r>
      <w:r>
        <w:rPr>
          <w:color w:val="3A383A"/>
          <w:spacing w:val="-8"/>
          <w:sz w:val="18"/>
        </w:rPr>
        <w:t> </w:t>
      </w:r>
      <w:r>
        <w:rPr>
          <w:color w:val="3A383A"/>
          <w:sz w:val="18"/>
        </w:rPr>
        <w:t>(2009).</w:t>
      </w:r>
    </w:p>
    <w:p>
      <w:pPr>
        <w:spacing w:line="206" w:lineRule="exact" w:before="0"/>
        <w:ind w:left="942" w:right="0" w:firstLine="0"/>
        <w:jc w:val="left"/>
        <w:rPr>
          <w:sz w:val="18"/>
        </w:rPr>
      </w:pPr>
      <w:r>
        <w:rPr>
          <w:color w:val="565456"/>
          <w:w w:val="110"/>
          <w:sz w:val="11"/>
        </w:rPr>
        <w:t>J</w:t>
      </w:r>
      <w:r>
        <w:rPr>
          <w:color w:val="3A383A"/>
          <w:w w:val="110"/>
          <w:sz w:val="11"/>
        </w:rPr>
        <w:t>i</w:t>
      </w:r>
      <w:r>
        <w:rPr>
          <w:color w:val="3A383A"/>
          <w:spacing w:val="4"/>
          <w:w w:val="110"/>
          <w:sz w:val="11"/>
        </w:rPr>
        <w:t> </w:t>
      </w:r>
      <w:r>
        <w:rPr>
          <w:color w:val="3A383A"/>
          <w:w w:val="110"/>
          <w:sz w:val="18"/>
        </w:rPr>
        <w:t>Wllliams,</w:t>
      </w:r>
      <w:r>
        <w:rPr>
          <w:color w:val="3A383A"/>
          <w:spacing w:val="-8"/>
          <w:w w:val="110"/>
          <w:sz w:val="18"/>
        </w:rPr>
        <w:t> </w:t>
      </w:r>
      <w:r>
        <w:rPr>
          <w:i/>
          <w:color w:val="3A383A"/>
          <w:w w:val="110"/>
          <w:sz w:val="19"/>
        </w:rPr>
        <w:t>supra</w:t>
      </w:r>
      <w:r>
        <w:rPr>
          <w:i/>
          <w:color w:val="3A383A"/>
          <w:spacing w:val="-5"/>
          <w:w w:val="110"/>
          <w:sz w:val="19"/>
        </w:rPr>
        <w:t> </w:t>
      </w:r>
      <w:r>
        <w:rPr>
          <w:color w:val="3A383A"/>
          <w:w w:val="110"/>
          <w:sz w:val="18"/>
        </w:rPr>
        <w:t>not</w:t>
      </w:r>
      <w:r>
        <w:rPr>
          <w:color w:val="565456"/>
          <w:w w:val="110"/>
          <w:sz w:val="18"/>
        </w:rPr>
        <w:t>e</w:t>
      </w:r>
      <w:r>
        <w:rPr>
          <w:color w:val="565456"/>
          <w:spacing w:val="10"/>
          <w:w w:val="110"/>
          <w:sz w:val="18"/>
        </w:rPr>
        <w:t> </w:t>
      </w:r>
      <w:r>
        <w:rPr>
          <w:color w:val="3A383A"/>
          <w:w w:val="110"/>
          <w:sz w:val="18"/>
        </w:rPr>
        <w:t>9,</w:t>
      </w:r>
      <w:r>
        <w:rPr>
          <w:color w:val="3A383A"/>
          <w:spacing w:val="-7"/>
          <w:w w:val="110"/>
          <w:sz w:val="18"/>
        </w:rPr>
        <w:t> </w:t>
      </w:r>
      <w:r>
        <w:rPr>
          <w:color w:val="3A383A"/>
          <w:w w:val="110"/>
          <w:sz w:val="18"/>
        </w:rPr>
        <w:t>at</w:t>
      </w:r>
      <w:r>
        <w:rPr>
          <w:color w:val="3A383A"/>
          <w:spacing w:val="5"/>
          <w:w w:val="110"/>
          <w:sz w:val="18"/>
        </w:rPr>
        <w:t> </w:t>
      </w:r>
      <w:r>
        <w:rPr>
          <w:color w:val="3A383A"/>
          <w:w w:val="110"/>
          <w:sz w:val="18"/>
        </w:rPr>
        <w:t>599.</w:t>
      </w:r>
    </w:p>
    <w:p>
      <w:pPr>
        <w:spacing w:after="0" w:line="206" w:lineRule="exact"/>
        <w:jc w:val="left"/>
        <w:rPr>
          <w:sz w:val="18"/>
        </w:rPr>
        <w:sectPr>
          <w:type w:val="continuous"/>
          <w:pgSz w:w="9730" w:h="13990"/>
          <w:pgMar w:header="524" w:footer="0" w:top="340" w:bottom="280" w:left="134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30" w:lineRule="auto" w:before="1"/>
        <w:ind w:left="108" w:right="510" w:firstLine="319"/>
        <w:jc w:val="both"/>
      </w:pPr>
      <w:r>
        <w:rPr>
          <w:color w:val="383636"/>
          <w:w w:val="115"/>
        </w:rPr>
        <w:t>Thus,</w:t>
      </w:r>
      <w:r>
        <w:rPr>
          <w:color w:val="383636"/>
          <w:spacing w:val="-4"/>
          <w:w w:val="115"/>
        </w:rPr>
        <w:t> </w:t>
      </w:r>
      <w:r>
        <w:rPr>
          <w:color w:val="383636"/>
          <w:w w:val="115"/>
        </w:rPr>
        <w:t>maintain</w:t>
      </w:r>
      <w:r>
        <w:rPr>
          <w:color w:val="383636"/>
          <w:spacing w:val="2"/>
          <w:w w:val="115"/>
        </w:rPr>
        <w:t> </w:t>
      </w:r>
      <w:r>
        <w:rPr>
          <w:color w:val="383636"/>
          <w:w w:val="115"/>
        </w:rPr>
        <w:t>eye</w:t>
      </w:r>
      <w:r>
        <w:rPr>
          <w:color w:val="383636"/>
          <w:spacing w:val="-26"/>
          <w:w w:val="115"/>
        </w:rPr>
        <w:t> </w:t>
      </w:r>
      <w:r>
        <w:rPr>
          <w:color w:val="383636"/>
          <w:w w:val="115"/>
        </w:rPr>
        <w:t>contact</w:t>
      </w:r>
      <w:r>
        <w:rPr>
          <w:color w:val="383636"/>
          <w:spacing w:val="-8"/>
          <w:w w:val="115"/>
        </w:rPr>
        <w:t> </w:t>
      </w:r>
      <w:r>
        <w:rPr>
          <w:color w:val="383636"/>
          <w:w w:val="115"/>
        </w:rPr>
        <w:t>so</w:t>
      </w:r>
      <w:r>
        <w:rPr>
          <w:color w:val="383636"/>
          <w:spacing w:val="-1"/>
          <w:w w:val="115"/>
        </w:rPr>
        <w:t> </w:t>
      </w:r>
      <w:r>
        <w:rPr>
          <w:color w:val="383636"/>
          <w:w w:val="115"/>
        </w:rPr>
        <w:t>that</w:t>
      </w:r>
      <w:r>
        <w:rPr>
          <w:color w:val="383636"/>
          <w:spacing w:val="-10"/>
          <w:w w:val="115"/>
        </w:rPr>
        <w:t> </w:t>
      </w:r>
      <w:r>
        <w:rPr>
          <w:color w:val="383636"/>
          <w:w w:val="115"/>
        </w:rPr>
        <w:t>you</w:t>
      </w:r>
      <w:r>
        <w:rPr>
          <w:color w:val="383636"/>
          <w:spacing w:val="-29"/>
          <w:w w:val="115"/>
        </w:rPr>
        <w:t> </w:t>
      </w:r>
      <w:r>
        <w:rPr>
          <w:color w:val="383636"/>
          <w:w w:val="115"/>
        </w:rPr>
        <w:t>can</w:t>
      </w:r>
      <w:r>
        <w:rPr>
          <w:color w:val="383636"/>
          <w:spacing w:val="-22"/>
          <w:w w:val="115"/>
        </w:rPr>
        <w:t> </w:t>
      </w:r>
      <w:r>
        <w:rPr>
          <w:color w:val="383636"/>
          <w:w w:val="115"/>
        </w:rPr>
        <w:t>seeany</w:t>
      </w:r>
      <w:r>
        <w:rPr>
          <w:color w:val="383636"/>
          <w:spacing w:val="-8"/>
          <w:w w:val="115"/>
        </w:rPr>
        <w:t> </w:t>
      </w:r>
      <w:r>
        <w:rPr>
          <w:color w:val="383636"/>
          <w:w w:val="115"/>
        </w:rPr>
        <w:t>nonverbal signals</w:t>
      </w:r>
      <w:r>
        <w:rPr>
          <w:color w:val="383636"/>
          <w:spacing w:val="-64"/>
          <w:w w:val="115"/>
        </w:rPr>
        <w:t> </w:t>
      </w:r>
      <w:r>
        <w:rPr>
          <w:color w:val="383636"/>
          <w:w w:val="110"/>
        </w:rPr>
        <w:t>that one of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judges has a question. Speak slowly enough to allow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judges time to interject. </w:t>
      </w:r>
      <w:r>
        <w:rPr>
          <w:color w:val="383636"/>
          <w:w w:val="115"/>
          <w:sz w:val="24"/>
        </w:rPr>
        <w:t>If </w:t>
      </w:r>
      <w:r>
        <w:rPr>
          <w:color w:val="383636"/>
          <w:w w:val="115"/>
        </w:rPr>
        <w:t>one of the judges makes the slightest noise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or attempts to interrupt, you should stop speaking to give the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judge a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moment to </w:t>
      </w:r>
      <w:r>
        <w:rPr>
          <w:b/>
          <w:color w:val="383636"/>
          <w:w w:val="110"/>
          <w:sz w:val="22"/>
        </w:rPr>
        <w:t>ask a </w:t>
      </w:r>
      <w:r>
        <w:rPr>
          <w:color w:val="383636"/>
          <w:w w:val="110"/>
        </w:rPr>
        <w:t>question. Use every technique possible to let the court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know that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you</w:t>
      </w:r>
      <w:r>
        <w:rPr>
          <w:color w:val="383636"/>
          <w:spacing w:val="-30"/>
          <w:w w:val="110"/>
        </w:rPr>
        <w:t> </w:t>
      </w:r>
      <w:r>
        <w:rPr>
          <w:color w:val="383636"/>
          <w:w w:val="110"/>
        </w:rPr>
        <w:t>welcome</w:t>
      </w:r>
      <w:r>
        <w:rPr>
          <w:color w:val="383636"/>
          <w:spacing w:val="-13"/>
          <w:w w:val="110"/>
        </w:rPr>
        <w:t> </w:t>
      </w:r>
      <w:r>
        <w:rPr>
          <w:color w:val="383636"/>
          <w:w w:val="110"/>
        </w:rPr>
        <w:t>its</w:t>
      </w:r>
      <w:r>
        <w:rPr>
          <w:color w:val="383636"/>
          <w:spacing w:val="-2"/>
          <w:w w:val="110"/>
        </w:rPr>
        <w:t> </w:t>
      </w:r>
      <w:r>
        <w:rPr>
          <w:color w:val="383636"/>
          <w:w w:val="110"/>
        </w:rPr>
        <w:t>questions.</w:t>
      </w:r>
    </w:p>
    <w:p>
      <w:pPr>
        <w:pStyle w:val="BodyText"/>
        <w:spacing w:line="232" w:lineRule="auto" w:before="5"/>
        <w:ind w:left="111" w:right="485" w:firstLine="348"/>
        <w:jc w:val="both"/>
      </w:pPr>
      <w:r>
        <w:rPr>
          <w:color w:val="383636"/>
          <w:w w:val="115"/>
        </w:rPr>
        <w:t>Do not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presume that all questions will be hostile. On multi-judge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panels, judges frequently use counsel to advance an argument that they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already agree with, in hopes of gathering more votes.Justice Ginsburg has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admitted that "[s]ometimes we ask questions with persuasion of our col­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leagues in mind, in an effort to assist counsel to strengthen a position."</w:t>
      </w:r>
      <w:r>
        <w:rPr>
          <w:color w:val="383636"/>
          <w:w w:val="110"/>
          <w:vertAlign w:val="superscript"/>
        </w:rPr>
        <w:t>32</w:t>
      </w:r>
      <w:r>
        <w:rPr>
          <w:color w:val="383636"/>
          <w:spacing w:val="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Judge Williams has advised that "you may encounter a judge who is in</w:t>
      </w:r>
      <w:r>
        <w:rPr>
          <w:color w:val="383636"/>
          <w:spacing w:val="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favor</w:t>
      </w:r>
      <w:r>
        <w:rPr>
          <w:color w:val="383636"/>
          <w:spacing w:val="-13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of</w:t>
      </w:r>
      <w:r>
        <w:rPr>
          <w:color w:val="383636"/>
          <w:spacing w:val="2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your</w:t>
      </w:r>
      <w:r>
        <w:rPr>
          <w:color w:val="383636"/>
          <w:spacing w:val="-5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position</w:t>
      </w:r>
      <w:r>
        <w:rPr>
          <w:color w:val="383636"/>
          <w:spacing w:val="-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and</w:t>
      </w:r>
      <w:r>
        <w:rPr>
          <w:color w:val="383636"/>
          <w:spacing w:val="15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spends</w:t>
      </w:r>
      <w:r>
        <w:rPr>
          <w:color w:val="383636"/>
          <w:spacing w:val="-12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time</w:t>
      </w:r>
      <w:r>
        <w:rPr>
          <w:color w:val="383636"/>
          <w:spacing w:val="-29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asking</w:t>
      </w:r>
      <w:r>
        <w:rPr>
          <w:color w:val="383636"/>
          <w:spacing w:val="-14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you</w:t>
      </w:r>
      <w:r>
        <w:rPr>
          <w:color w:val="383636"/>
          <w:spacing w:val="-14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easy</w:t>
      </w:r>
      <w:r>
        <w:rPr>
          <w:color w:val="383636"/>
          <w:spacing w:val="-10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questions</w:t>
      </w:r>
      <w:r>
        <w:rPr>
          <w:color w:val="383636"/>
          <w:spacing w:val="-4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that</w:t>
      </w:r>
      <w:r>
        <w:rPr>
          <w:color w:val="383636"/>
          <w:spacing w:val="-8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lead</w:t>
      </w:r>
      <w:r>
        <w:rPr>
          <w:color w:val="383636"/>
          <w:spacing w:val="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you</w:t>
      </w:r>
      <w:r>
        <w:rPr>
          <w:color w:val="383636"/>
          <w:spacing w:val="-1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to</w:t>
      </w:r>
      <w:r>
        <w:rPr>
          <w:color w:val="383636"/>
          <w:spacing w:val="5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an</w:t>
      </w:r>
      <w:r>
        <w:rPr>
          <w:color w:val="383636"/>
          <w:spacing w:val="28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even</w:t>
      </w:r>
      <w:r>
        <w:rPr>
          <w:color w:val="383636"/>
          <w:spacing w:val="-9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stronger</w:t>
      </w:r>
      <w:r>
        <w:rPr>
          <w:color w:val="383636"/>
          <w:spacing w:val="-4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version</w:t>
      </w:r>
      <w:r>
        <w:rPr>
          <w:color w:val="383636"/>
          <w:spacing w:val="-15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of</w:t>
      </w:r>
      <w:r>
        <w:rPr>
          <w:color w:val="383636"/>
          <w:spacing w:val="14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your</w:t>
      </w:r>
      <w:r>
        <w:rPr>
          <w:color w:val="383636"/>
          <w:spacing w:val="-6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position."</w:t>
      </w:r>
      <w:r>
        <w:rPr>
          <w:color w:val="383636"/>
          <w:w w:val="110"/>
          <w:vertAlign w:val="superscript"/>
        </w:rPr>
        <w:t>33</w:t>
      </w:r>
    </w:p>
    <w:p>
      <w:pPr>
        <w:pStyle w:val="BodyText"/>
        <w:spacing w:line="232" w:lineRule="auto" w:before="9"/>
        <w:ind w:left="127" w:right="439" w:firstLine="331"/>
        <w:jc w:val="both"/>
      </w:pPr>
      <w:r>
        <w:rPr>
          <w:color w:val="383636"/>
          <w:w w:val="110"/>
        </w:rPr>
        <w:t>Second, you must listen to the question. Do not rush to give an answer.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Oral argument is not  a quiz show in.which you must beat your opponent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to the buzzer. Instead, listen carefully to make sure that you understand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what the court is trying to do.</w:t>
      </w:r>
      <w:r>
        <w:rPr>
          <w:rFonts w:ascii="Arial" w:hAnsi="Arial"/>
          <w:color w:val="383636"/>
          <w:w w:val="110"/>
          <w:vertAlign w:val="superscript"/>
        </w:rPr>
        <w:t>34</w:t>
      </w:r>
      <w:r>
        <w:rPr>
          <w:rFonts w:ascii="Arial" w:hAnsi="Arial"/>
          <w:color w:val="383636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Some questions ask for a concession. At</w:t>
      </w:r>
      <w:r>
        <w:rPr>
          <w:color w:val="383636"/>
          <w:spacing w:val="1"/>
          <w:w w:val="110"/>
          <w:vertAlign w:val="baseline"/>
        </w:rPr>
        <w:t> </w:t>
      </w:r>
      <w:r>
        <w:rPr>
          <w:color w:val="383636"/>
          <w:spacing w:val="-1"/>
          <w:w w:val="110"/>
          <w:vertAlign w:val="baseline"/>
        </w:rPr>
        <w:t>other times, as noted previously, </w:t>
      </w:r>
      <w:r>
        <w:rPr>
          <w:color w:val="383636"/>
          <w:w w:val="110"/>
          <w:vertAlign w:val="baseline"/>
        </w:rPr>
        <w:t>a judge may </w:t>
      </w:r>
      <w:r>
        <w:rPr>
          <w:color w:val="383636"/>
          <w:w w:val="110"/>
          <w:sz w:val="22"/>
          <w:vertAlign w:val="baseline"/>
        </w:rPr>
        <w:t>try </w:t>
      </w:r>
      <w:r>
        <w:rPr>
          <w:color w:val="383636"/>
          <w:w w:val="110"/>
          <w:vertAlign w:val="baseline"/>
        </w:rPr>
        <w:t>to advance your point of</w:t>
      </w:r>
      <w:r>
        <w:rPr>
          <w:color w:val="383636"/>
          <w:spacing w:val="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view by asking a question designed to reveal your best arguments</w:t>
      </w:r>
      <w:r>
        <w:rPr>
          <w:color w:val="545456"/>
          <w:w w:val="110"/>
          <w:vertAlign w:val="baseline"/>
        </w:rPr>
        <w:t>. </w:t>
      </w:r>
      <w:r>
        <w:rPr>
          <w:color w:val="383636"/>
          <w:w w:val="110"/>
          <w:vertAlign w:val="baseline"/>
        </w:rPr>
        <w:t>Some</w:t>
      </w:r>
      <w:r>
        <w:rPr>
          <w:color w:val="383636"/>
          <w:spacing w:val="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questions ask you to identify or explain a policy supporting your thesis or</w:t>
      </w:r>
      <w:r>
        <w:rPr>
          <w:color w:val="383636"/>
          <w:spacing w:val="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seek information about a case or other authority. Some questions focus on</w:t>
      </w:r>
      <w:r>
        <w:rPr>
          <w:color w:val="383636"/>
          <w:spacing w:val="-6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the point you are addressing, while others show that the court has moved</w:t>
      </w:r>
      <w:r>
        <w:rPr>
          <w:color w:val="383636"/>
          <w:spacing w:val="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on to a new issue. Listen to the question and assess what the court is ask­</w:t>
      </w:r>
      <w:r>
        <w:rPr>
          <w:color w:val="383636"/>
          <w:spacing w:val="1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ing</w:t>
      </w:r>
      <w:r>
        <w:rPr>
          <w:color w:val="383636"/>
          <w:spacing w:val="-14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before</w:t>
      </w:r>
      <w:r>
        <w:rPr>
          <w:color w:val="383636"/>
          <w:spacing w:val="-12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you</w:t>
      </w:r>
      <w:r>
        <w:rPr>
          <w:color w:val="383636"/>
          <w:spacing w:val="16"/>
          <w:w w:val="110"/>
          <w:vertAlign w:val="baseline"/>
        </w:rPr>
        <w:t> </w:t>
      </w:r>
      <w:r>
        <w:rPr>
          <w:color w:val="383636"/>
          <w:w w:val="110"/>
          <w:sz w:val="22"/>
          <w:vertAlign w:val="baseline"/>
        </w:rPr>
        <w:t>try</w:t>
      </w:r>
      <w:r>
        <w:rPr>
          <w:color w:val="383636"/>
          <w:spacing w:val="32"/>
          <w:w w:val="110"/>
          <w:sz w:val="22"/>
          <w:vertAlign w:val="baseline"/>
        </w:rPr>
        <w:t> </w:t>
      </w:r>
      <w:r>
        <w:rPr>
          <w:color w:val="383636"/>
          <w:w w:val="110"/>
          <w:vertAlign w:val="baseline"/>
        </w:rPr>
        <w:t>to</w:t>
      </w:r>
      <w:r>
        <w:rPr>
          <w:color w:val="383636"/>
          <w:spacing w:val="17"/>
          <w:w w:val="110"/>
          <w:vertAlign w:val="baseline"/>
        </w:rPr>
        <w:t> </w:t>
      </w:r>
      <w:r>
        <w:rPr>
          <w:color w:val="383636"/>
          <w:w w:val="110"/>
          <w:vertAlign w:val="baseline"/>
        </w:rPr>
        <w:t>answer.</w:t>
      </w:r>
    </w:p>
    <w:p>
      <w:pPr>
        <w:pStyle w:val="BodyText"/>
        <w:spacing w:line="232" w:lineRule="auto"/>
        <w:ind w:left="165" w:right="373" w:firstLine="330"/>
        <w:jc w:val="both"/>
      </w:pPr>
      <w:r>
        <w:rPr>
          <w:color w:val="383636"/>
          <w:w w:val="110"/>
          <w:sz w:val="24"/>
        </w:rPr>
        <w:t>If </w:t>
      </w:r>
      <w:r>
        <w:rPr>
          <w:color w:val="383636"/>
          <w:w w:val="110"/>
        </w:rPr>
        <w:t>you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do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not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understand the question, you may seek clarification.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Ideally, you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should try to articulate what you think the court has asked,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e.g., "I'm not sure that I understand your question</w:t>
      </w:r>
      <w:r>
        <w:rPr>
          <w:color w:val="545456"/>
          <w:w w:val="110"/>
        </w:rPr>
        <w:t>, </w:t>
      </w:r>
      <w:r>
        <w:rPr>
          <w:color w:val="383636"/>
          <w:w w:val="110"/>
        </w:rPr>
        <w:t>Judge Lowe. I believe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that you are asking whether this Court has ever invalidated an immigra­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tion statute." This statement does not demand an answer from a court, but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  <w:sz w:val="21"/>
        </w:rPr>
        <w:t>it </w:t>
      </w:r>
      <w:r>
        <w:rPr>
          <w:color w:val="383636"/>
          <w:w w:val="110"/>
        </w:rPr>
        <w:t>allows the court to correct you if you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are mistaken. Tone is important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here; do not emphasize the word "believe" in any way, lest you imply that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you are struggling to  understand a poorly worded question. Admittedly,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 question may have been poorly worded (which is not surprising, since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 judge may  be figuring out the  question while asking it), but you do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not want to point this out to the court</w:t>
      </w:r>
      <w:r>
        <w:rPr>
          <w:color w:val="545456"/>
          <w:w w:val="110"/>
        </w:rPr>
        <w:t>. </w:t>
      </w:r>
      <w:r>
        <w:rPr>
          <w:color w:val="383636"/>
          <w:w w:val="110"/>
        </w:rPr>
        <w:t>After you signal that you may need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clarification, pause very briefly to give the court an opportunity to correct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you</w:t>
      </w:r>
      <w:r>
        <w:rPr>
          <w:color w:val="383636"/>
          <w:spacing w:val="6"/>
          <w:w w:val="110"/>
        </w:rPr>
        <w:t> </w:t>
      </w:r>
      <w:r>
        <w:rPr>
          <w:color w:val="383636"/>
          <w:w w:val="110"/>
        </w:rPr>
        <w:t>if</w:t>
      </w:r>
      <w:r>
        <w:rPr>
          <w:color w:val="383636"/>
          <w:spacing w:val="20"/>
          <w:w w:val="110"/>
        </w:rPr>
        <w:t> </w:t>
      </w:r>
      <w:r>
        <w:rPr>
          <w:color w:val="383636"/>
          <w:w w:val="110"/>
        </w:rPr>
        <w:t>needed.</w:t>
      </w:r>
      <w:r>
        <w:rPr>
          <w:color w:val="383636"/>
          <w:spacing w:val="7"/>
          <w:w w:val="110"/>
        </w:rPr>
        <w:t> </w:t>
      </w:r>
      <w:r>
        <w:rPr>
          <w:color w:val="383636"/>
          <w:w w:val="110"/>
        </w:rPr>
        <w:t>If</w:t>
      </w:r>
      <w:r>
        <w:rPr>
          <w:color w:val="383636"/>
          <w:spacing w:val="21"/>
          <w:w w:val="110"/>
        </w:rPr>
        <w:t> </w:t>
      </w:r>
      <w:r>
        <w:rPr>
          <w:color w:val="383636"/>
          <w:w w:val="110"/>
        </w:rPr>
        <w:t>no</w:t>
      </w:r>
      <w:r>
        <w:rPr>
          <w:color w:val="383636"/>
          <w:spacing w:val="54"/>
          <w:w w:val="110"/>
        </w:rPr>
        <w:t> </w:t>
      </w:r>
      <w:r>
        <w:rPr>
          <w:color w:val="383636"/>
          <w:w w:val="110"/>
        </w:rPr>
        <w:t>correction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comes,</w:t>
      </w:r>
      <w:r>
        <w:rPr>
          <w:color w:val="383636"/>
          <w:spacing w:val="-5"/>
          <w:w w:val="110"/>
        </w:rPr>
        <w:t> </w:t>
      </w:r>
      <w:r>
        <w:rPr>
          <w:color w:val="383636"/>
          <w:w w:val="110"/>
        </w:rPr>
        <w:t>simply answer</w:t>
      </w:r>
      <w:r>
        <w:rPr>
          <w:color w:val="383636"/>
          <w:spacing w:val="6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9"/>
          <w:w w:val="110"/>
        </w:rPr>
        <w:t> </w:t>
      </w:r>
      <w:r>
        <w:rPr>
          <w:color w:val="383636"/>
          <w:w w:val="110"/>
        </w:rPr>
        <w:t>question</w:t>
      </w:r>
      <w:r>
        <w:rPr>
          <w:color w:val="383636"/>
          <w:spacing w:val="3"/>
          <w:w w:val="110"/>
        </w:rPr>
        <w:t> </w:t>
      </w:r>
      <w:r>
        <w:rPr>
          <w:color w:val="383636"/>
          <w:w w:val="110"/>
        </w:rPr>
        <w:t>as</w:t>
      </w:r>
      <w:r>
        <w:rPr>
          <w:color w:val="383636"/>
          <w:spacing w:val="-6"/>
          <w:w w:val="110"/>
        </w:rPr>
        <w:t> </w:t>
      </w:r>
      <w:r>
        <w:rPr>
          <w:color w:val="383636"/>
          <w:w w:val="110"/>
        </w:rPr>
        <w:t>you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4"/>
        </w:rPr>
      </w:pPr>
    </w:p>
    <w:p>
      <w:pPr>
        <w:spacing w:line="210" w:lineRule="exact" w:before="0"/>
        <w:ind w:left="539" w:right="0" w:firstLine="0"/>
        <w:jc w:val="both"/>
        <w:rPr>
          <w:sz w:val="18"/>
        </w:rPr>
      </w:pPr>
      <w:r>
        <w:rPr>
          <w:color w:val="383636"/>
          <w:sz w:val="18"/>
        </w:rPr>
        <w:t>no1nsburg,</w:t>
      </w:r>
      <w:r>
        <w:rPr>
          <w:color w:val="383636"/>
          <w:spacing w:val="33"/>
          <w:sz w:val="18"/>
        </w:rPr>
        <w:t> </w:t>
      </w:r>
      <w:r>
        <w:rPr>
          <w:i/>
          <w:color w:val="383636"/>
          <w:sz w:val="19"/>
        </w:rPr>
        <w:t>s11pra</w:t>
      </w:r>
      <w:r>
        <w:rPr>
          <w:i/>
          <w:color w:val="383636"/>
          <w:spacing w:val="32"/>
          <w:sz w:val="19"/>
        </w:rPr>
        <w:t> </w:t>
      </w:r>
      <w:r>
        <w:rPr>
          <w:color w:val="383636"/>
          <w:sz w:val="18"/>
        </w:rPr>
        <w:t>note</w:t>
      </w:r>
      <w:r>
        <w:rPr>
          <w:color w:val="383636"/>
          <w:spacing w:val="4"/>
          <w:sz w:val="18"/>
        </w:rPr>
        <w:t> </w:t>
      </w:r>
      <w:r>
        <w:rPr>
          <w:rFonts w:ascii="Arial"/>
          <w:b/>
          <w:color w:val="383636"/>
          <w:sz w:val="16"/>
        </w:rPr>
        <w:t>1, </w:t>
      </w:r>
      <w:r>
        <w:rPr>
          <w:color w:val="383636"/>
          <w:sz w:val="18"/>
        </w:rPr>
        <w:t>at</w:t>
      </w:r>
      <w:r>
        <w:rPr>
          <w:color w:val="383636"/>
          <w:spacing w:val="19"/>
          <w:sz w:val="18"/>
        </w:rPr>
        <w:t> </w:t>
      </w:r>
      <w:r>
        <w:rPr>
          <w:color w:val="383636"/>
          <w:sz w:val="18"/>
        </w:rPr>
        <w:t>569.</w:t>
      </w:r>
    </w:p>
    <w:p>
      <w:pPr>
        <w:spacing w:line="193" w:lineRule="exact" w:before="0"/>
        <w:ind w:left="528" w:right="0" w:firstLine="0"/>
        <w:jc w:val="both"/>
        <w:rPr>
          <w:sz w:val="18"/>
        </w:rPr>
      </w:pPr>
      <w:r>
        <w:rPr>
          <w:color w:val="383636"/>
          <w:w w:val="110"/>
          <w:sz w:val="18"/>
        </w:rPr>
        <w:t>"Williams</w:t>
      </w:r>
      <w:r>
        <w:rPr>
          <w:color w:val="545456"/>
          <w:w w:val="110"/>
          <w:sz w:val="18"/>
        </w:rPr>
        <w:t>,</w:t>
      </w:r>
      <w:r>
        <w:rPr>
          <w:color w:val="545456"/>
          <w:spacing w:val="6"/>
          <w:w w:val="110"/>
          <w:sz w:val="18"/>
        </w:rPr>
        <w:t> </w:t>
      </w:r>
      <w:r>
        <w:rPr>
          <w:i/>
          <w:color w:val="383636"/>
          <w:w w:val="110"/>
          <w:sz w:val="19"/>
        </w:rPr>
        <w:t>supra</w:t>
      </w:r>
      <w:r>
        <w:rPr>
          <w:i/>
          <w:color w:val="383636"/>
          <w:spacing w:val="-4"/>
          <w:w w:val="110"/>
          <w:sz w:val="19"/>
        </w:rPr>
        <w:t> </w:t>
      </w:r>
      <w:r>
        <w:rPr>
          <w:color w:val="383636"/>
          <w:w w:val="110"/>
          <w:sz w:val="18"/>
        </w:rPr>
        <w:t>note</w:t>
      </w:r>
      <w:r>
        <w:rPr>
          <w:color w:val="383636"/>
          <w:spacing w:val="-18"/>
          <w:w w:val="110"/>
          <w:sz w:val="18"/>
        </w:rPr>
        <w:t> </w:t>
      </w:r>
      <w:r>
        <w:rPr>
          <w:color w:val="383636"/>
          <w:w w:val="110"/>
          <w:sz w:val="18"/>
        </w:rPr>
        <w:t>9,</w:t>
      </w:r>
      <w:r>
        <w:rPr>
          <w:color w:val="383636"/>
          <w:spacing w:val="-15"/>
          <w:w w:val="110"/>
          <w:sz w:val="18"/>
        </w:rPr>
        <w:t> </w:t>
      </w:r>
      <w:r>
        <w:rPr>
          <w:color w:val="383636"/>
          <w:w w:val="110"/>
          <w:sz w:val="18"/>
        </w:rPr>
        <w:t>at</w:t>
      </w:r>
      <w:r>
        <w:rPr>
          <w:color w:val="383636"/>
          <w:spacing w:val="-2"/>
          <w:w w:val="110"/>
          <w:sz w:val="18"/>
        </w:rPr>
        <w:t> </w:t>
      </w:r>
      <w:r>
        <w:rPr>
          <w:color w:val="383636"/>
          <w:w w:val="110"/>
          <w:sz w:val="18"/>
        </w:rPr>
        <w:t>599.</w:t>
      </w:r>
    </w:p>
    <w:p>
      <w:pPr>
        <w:spacing w:line="220" w:lineRule="auto" w:before="0"/>
        <w:ind w:left="197" w:right="325" w:firstLine="457"/>
        <w:jc w:val="both"/>
        <w:rPr>
          <w:sz w:val="18"/>
        </w:rPr>
      </w:pPr>
      <w:r>
        <w:rPr>
          <w:rFonts w:ascii="Arial"/>
          <w:i/>
          <w:color w:val="383636"/>
          <w:w w:val="110"/>
          <w:sz w:val="16"/>
        </w:rPr>
        <w:t>See </w:t>
      </w:r>
      <w:r>
        <w:rPr>
          <w:color w:val="383636"/>
          <w:w w:val="110"/>
          <w:sz w:val="18"/>
        </w:rPr>
        <w:t>Gersten, </w:t>
      </w:r>
      <w:r>
        <w:rPr>
          <w:i/>
          <w:color w:val="383636"/>
          <w:w w:val="110"/>
          <w:sz w:val="19"/>
        </w:rPr>
        <w:t>supra </w:t>
      </w:r>
      <w:r>
        <w:rPr>
          <w:color w:val="383636"/>
          <w:w w:val="110"/>
          <w:sz w:val="18"/>
        </w:rPr>
        <w:t>note </w:t>
      </w:r>
      <w:r>
        <w:rPr>
          <w:color w:val="383636"/>
          <w:w w:val="110"/>
          <w:sz w:val="16"/>
        </w:rPr>
        <w:t>11, </w:t>
      </w:r>
      <w:r>
        <w:rPr>
          <w:color w:val="383636"/>
          <w:w w:val="110"/>
          <w:sz w:val="18"/>
        </w:rPr>
        <w:t>at 28 (noting that oneof the two most common oral argument</w:t>
      </w:r>
      <w:r>
        <w:rPr>
          <w:color w:val="383636"/>
          <w:spacing w:val="-47"/>
          <w:w w:val="110"/>
          <w:sz w:val="18"/>
        </w:rPr>
        <w:t> </w:t>
      </w:r>
      <w:r>
        <w:rPr>
          <w:color w:val="383636"/>
          <w:w w:val="105"/>
          <w:sz w:val="18"/>
        </w:rPr>
        <w:t>mistakes Is </w:t>
      </w:r>
      <w:r>
        <w:rPr>
          <w:color w:val="545456"/>
          <w:w w:val="105"/>
          <w:sz w:val="18"/>
        </w:rPr>
        <w:t>"</w:t>
      </w:r>
      <w:r>
        <w:rPr>
          <w:color w:val="383636"/>
          <w:w w:val="105"/>
          <w:sz w:val="18"/>
        </w:rPr>
        <w:t>not listening to the</w:t>
      </w:r>
      <w:r>
        <w:rPr>
          <w:color w:val="383636"/>
          <w:spacing w:val="1"/>
          <w:w w:val="105"/>
          <w:sz w:val="18"/>
        </w:rPr>
        <w:t> </w:t>
      </w:r>
      <w:r>
        <w:rPr>
          <w:color w:val="383636"/>
          <w:w w:val="105"/>
          <w:sz w:val="18"/>
        </w:rPr>
        <w:t>judges' questions and the tenor of the discoursen); </w:t>
      </w:r>
      <w:r>
        <w:rPr>
          <w:i/>
          <w:color w:val="383636"/>
          <w:w w:val="105"/>
          <w:sz w:val="19"/>
        </w:rPr>
        <w:t>see also </w:t>
      </w:r>
      <w:r>
        <w:rPr>
          <w:color w:val="383636"/>
          <w:w w:val="105"/>
          <w:sz w:val="18"/>
        </w:rPr>
        <w:t>Dwyer,</w:t>
      </w:r>
      <w:r>
        <w:rPr>
          <w:color w:val="383636"/>
          <w:spacing w:val="-45"/>
          <w:w w:val="105"/>
          <w:sz w:val="18"/>
        </w:rPr>
        <w:t> </w:t>
      </w:r>
      <w:r>
        <w:rPr>
          <w:color w:val="383636"/>
          <w:w w:val="105"/>
          <w:sz w:val="18"/>
        </w:rPr>
        <w:t>Feldman </w:t>
      </w:r>
      <w:r>
        <w:rPr>
          <w:color w:val="383636"/>
          <w:w w:val="105"/>
          <w:sz w:val="17"/>
        </w:rPr>
        <w:t>&amp; </w:t>
      </w:r>
      <w:r>
        <w:rPr>
          <w:color w:val="383636"/>
          <w:w w:val="105"/>
          <w:sz w:val="18"/>
        </w:rPr>
        <w:t>Nylander, </w:t>
      </w:r>
      <w:r>
        <w:rPr>
          <w:i/>
          <w:color w:val="383636"/>
          <w:w w:val="105"/>
          <w:sz w:val="19"/>
        </w:rPr>
        <w:t>supra </w:t>
      </w:r>
      <w:r>
        <w:rPr>
          <w:color w:val="383636"/>
          <w:w w:val="105"/>
          <w:sz w:val="18"/>
        </w:rPr>
        <w:t>note 4, al 348-51 (Identifying common categories of questions and</w:t>
      </w:r>
      <w:r>
        <w:rPr>
          <w:color w:val="383636"/>
          <w:spacing w:val="1"/>
          <w:w w:val="105"/>
          <w:sz w:val="18"/>
        </w:rPr>
        <w:t> </w:t>
      </w:r>
      <w:r>
        <w:rPr>
          <w:color w:val="383636"/>
          <w:w w:val="110"/>
          <w:sz w:val="18"/>
        </w:rPr>
        <w:t>describing</w:t>
      </w:r>
      <w:r>
        <w:rPr>
          <w:color w:val="383636"/>
          <w:spacing w:val="-5"/>
          <w:w w:val="110"/>
          <w:sz w:val="18"/>
        </w:rPr>
        <w:t> </w:t>
      </w:r>
      <w:r>
        <w:rPr>
          <w:color w:val="383636"/>
          <w:w w:val="110"/>
          <w:sz w:val="18"/>
        </w:rPr>
        <w:t>how</w:t>
      </w:r>
      <w:r>
        <w:rPr>
          <w:color w:val="383636"/>
          <w:spacing w:val="26"/>
          <w:w w:val="110"/>
          <w:sz w:val="18"/>
        </w:rPr>
        <w:t> </w:t>
      </w:r>
      <w:r>
        <w:rPr>
          <w:color w:val="383636"/>
          <w:w w:val="110"/>
          <w:sz w:val="18"/>
        </w:rPr>
        <w:t>to</w:t>
      </w:r>
      <w:r>
        <w:rPr>
          <w:color w:val="383636"/>
          <w:spacing w:val="5"/>
          <w:w w:val="110"/>
          <w:sz w:val="18"/>
        </w:rPr>
        <w:t> </w:t>
      </w:r>
      <w:r>
        <w:rPr>
          <w:color w:val="383636"/>
          <w:w w:val="110"/>
          <w:sz w:val="18"/>
        </w:rPr>
        <w:t>deal</w:t>
      </w:r>
      <w:r>
        <w:rPr>
          <w:color w:val="383636"/>
          <w:spacing w:val="-22"/>
          <w:w w:val="110"/>
          <w:sz w:val="18"/>
        </w:rPr>
        <w:t> </w:t>
      </w:r>
      <w:r>
        <w:rPr>
          <w:color w:val="383636"/>
          <w:w w:val="110"/>
          <w:sz w:val="18"/>
        </w:rPr>
        <w:t>with</w:t>
      </w:r>
      <w:r>
        <w:rPr>
          <w:color w:val="383636"/>
          <w:spacing w:val="-1"/>
          <w:w w:val="110"/>
          <w:sz w:val="18"/>
        </w:rPr>
        <w:t> </w:t>
      </w:r>
      <w:r>
        <w:rPr>
          <w:color w:val="383636"/>
          <w:w w:val="110"/>
          <w:sz w:val="18"/>
        </w:rPr>
        <w:t>them</w:t>
      </w:r>
      <w:r>
        <w:rPr>
          <w:color w:val="383636"/>
          <w:spacing w:val="-11"/>
          <w:w w:val="110"/>
          <w:sz w:val="18"/>
        </w:rPr>
        <w:t> </w:t>
      </w:r>
      <w:r>
        <w:rPr>
          <w:color w:val="383636"/>
          <w:w w:val="110"/>
          <w:sz w:val="18"/>
        </w:rPr>
        <w:t>effectively).</w:t>
      </w:r>
    </w:p>
    <w:p>
      <w:pPr>
        <w:spacing w:after="0" w:line="220" w:lineRule="auto"/>
        <w:jc w:val="both"/>
        <w:rPr>
          <w:sz w:val="18"/>
        </w:rPr>
        <w:sectPr>
          <w:pgSz w:w="9710" w:h="13990"/>
          <w:pgMar w:header="524" w:footer="0" w:top="720" w:bottom="0" w:left="260" w:right="1340"/>
        </w:sectPr>
      </w:pPr>
    </w:p>
    <w:p>
      <w:pPr>
        <w:pStyle w:val="BodyText"/>
        <w:spacing w:line="244" w:lineRule="auto" w:before="81"/>
        <w:ind w:left="772" w:right="146" w:firstLine="6"/>
        <w:jc w:val="both"/>
      </w:pPr>
      <w:r>
        <w:rPr>
          <w:color w:val="383638"/>
          <w:w w:val="105"/>
        </w:rPr>
        <w:t>have stated it. Few judges will take offense at an  attempt for clarification,</w:t>
      </w:r>
      <w:r>
        <w:rPr>
          <w:color w:val="383638"/>
          <w:spacing w:val="1"/>
          <w:w w:val="105"/>
        </w:rPr>
        <w:t> </w:t>
      </w:r>
      <w:r>
        <w:rPr>
          <w:color w:val="383638"/>
          <w:spacing w:val="-1"/>
          <w:w w:val="110"/>
        </w:rPr>
        <w:t>as</w:t>
      </w:r>
      <w:r>
        <w:rPr>
          <w:color w:val="383638"/>
          <w:spacing w:val="9"/>
          <w:w w:val="110"/>
        </w:rPr>
        <w:t> </w:t>
      </w:r>
      <w:r>
        <w:rPr>
          <w:color w:val="383638"/>
          <w:spacing w:val="-1"/>
          <w:w w:val="110"/>
        </w:rPr>
        <w:t>long</w:t>
      </w:r>
      <w:r>
        <w:rPr>
          <w:color w:val="383638"/>
          <w:spacing w:val="-10"/>
          <w:w w:val="110"/>
        </w:rPr>
        <w:t> </w:t>
      </w:r>
      <w:r>
        <w:rPr>
          <w:color w:val="383638"/>
          <w:spacing w:val="-1"/>
          <w:w w:val="110"/>
        </w:rPr>
        <w:t>as</w:t>
      </w:r>
      <w:r>
        <w:rPr>
          <w:color w:val="383638"/>
          <w:spacing w:val="-26"/>
          <w:w w:val="110"/>
        </w:rPr>
        <w:t> </w:t>
      </w:r>
      <w:r>
        <w:rPr>
          <w:color w:val="383638"/>
          <w:spacing w:val="-1"/>
          <w:w w:val="110"/>
        </w:rPr>
        <w:t>counsel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does</w:t>
      </w:r>
      <w:r>
        <w:rPr>
          <w:color w:val="383638"/>
          <w:spacing w:val="-21"/>
          <w:w w:val="110"/>
        </w:rPr>
        <w:t> </w:t>
      </w:r>
      <w:r>
        <w:rPr>
          <w:color w:val="383638"/>
          <w:w w:val="110"/>
        </w:rPr>
        <w:t>so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respectful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way.</w:t>
      </w:r>
    </w:p>
    <w:p>
      <w:pPr>
        <w:pStyle w:val="BodyText"/>
        <w:spacing w:line="228" w:lineRule="exact"/>
        <w:ind w:left="1140"/>
        <w:jc w:val="both"/>
      </w:pPr>
      <w:r>
        <w:rPr>
          <w:color w:val="383638"/>
          <w:w w:val="110"/>
        </w:rPr>
        <w:t>Third,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should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answer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4"/>
          <w:w w:val="110"/>
        </w:rPr>
        <w:t> </w:t>
      </w:r>
      <w:r>
        <w:rPr>
          <w:color w:val="383638"/>
          <w:w w:val="110"/>
        </w:rPr>
        <w:t>question</w:t>
      </w:r>
      <w:r>
        <w:rPr>
          <w:color w:val="383638"/>
          <w:spacing w:val="26"/>
          <w:w w:val="110"/>
        </w:rPr>
        <w:t> </w:t>
      </w:r>
      <w:r>
        <w:rPr>
          <w:color w:val="383638"/>
          <w:w w:val="110"/>
        </w:rPr>
        <w:t>directly.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Judge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Williams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has</w:t>
      </w:r>
    </w:p>
    <w:p>
      <w:pPr>
        <w:pStyle w:val="BodyText"/>
        <w:spacing w:line="232" w:lineRule="auto"/>
        <w:ind w:left="743" w:right="124" w:firstLine="35"/>
        <w:jc w:val="both"/>
      </w:pPr>
      <w:r>
        <w:rPr>
          <w:color w:val="383638"/>
          <w:w w:val="110"/>
        </w:rPr>
        <w:t>recommended that advocates "(r]espond immediately to a question with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 'yes,' 'no,' </w:t>
      </w:r>
      <w:r>
        <w:rPr>
          <w:color w:val="4B4B4B"/>
          <w:w w:val="110"/>
        </w:rPr>
        <w:t>'it </w:t>
      </w:r>
      <w:r>
        <w:rPr>
          <w:color w:val="383638"/>
          <w:w w:val="110"/>
        </w:rPr>
        <w:t>depends,' or 'I don't know."'</w:t>
      </w:r>
      <w:r>
        <w:rPr>
          <w:color w:val="383638"/>
          <w:w w:val="110"/>
          <w:vertAlign w:val="superscript"/>
        </w:rPr>
        <w:t>35</w:t>
      </w:r>
      <w:r>
        <w:rPr>
          <w:color w:val="383638"/>
          <w:w w:val="110"/>
          <w:vertAlign w:val="baseline"/>
        </w:rPr>
        <w:t> Some advocates, perhaps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05"/>
          <w:vertAlign w:val="baseline"/>
        </w:rPr>
        <w:t>fearful that a direct answer will reveal a weakness in the case, try to launch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into an explanation of the significance of the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answer before they give the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10"/>
          <w:vertAlign w:val="baseline"/>
        </w:rPr>
        <w:t>answer itself.</w:t>
      </w:r>
      <w:r>
        <w:rPr>
          <w:color w:val="5D5B5D"/>
          <w:w w:val="110"/>
          <w:position w:val="7"/>
          <w:sz w:val="13"/>
          <w:vertAlign w:val="baseline"/>
        </w:rPr>
        <w:t>3</w:t>
      </w:r>
      <w:r>
        <w:rPr>
          <w:color w:val="383638"/>
          <w:w w:val="110"/>
          <w:position w:val="7"/>
          <w:sz w:val="13"/>
          <w:vertAlign w:val="baseline"/>
        </w:rPr>
        <w:t>6 </w:t>
      </w:r>
      <w:r>
        <w:rPr>
          <w:color w:val="383638"/>
          <w:w w:val="110"/>
          <w:vertAlign w:val="baseline"/>
        </w:rPr>
        <w:t>This tactic is a mistake because the court doesn't hear the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05"/>
          <w:vertAlign w:val="baseline"/>
        </w:rPr>
        <w:t>explanation; it hears only that counsel has refused to answer a direct ques­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tion with a direct answer.</w:t>
      </w:r>
      <w:r>
        <w:rPr>
          <w:rFonts w:ascii="Arial" w:hAnsi="Arial"/>
          <w:color w:val="383638"/>
          <w:w w:val="105"/>
          <w:position w:val="9"/>
          <w:sz w:val="12"/>
          <w:vertAlign w:val="baseline"/>
        </w:rPr>
        <w:t>37</w:t>
      </w:r>
      <w:r>
        <w:rPr>
          <w:rFonts w:ascii="Arial" w:hAnsi="Arial"/>
          <w:color w:val="383638"/>
          <w:spacing w:val="1"/>
          <w:w w:val="105"/>
          <w:position w:val="9"/>
          <w:sz w:val="12"/>
          <w:vertAlign w:val="baseline"/>
        </w:rPr>
        <w:t> </w:t>
      </w:r>
      <w:r>
        <w:rPr>
          <w:color w:val="383638"/>
          <w:w w:val="105"/>
          <w:vertAlign w:val="baseline"/>
        </w:rPr>
        <w:t>Furthermore, you risk forgetting to answer the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10"/>
          <w:vertAlign w:val="baseline"/>
        </w:rPr>
        <w:t>question directly or, more commonly, being interrupted before you can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spacing w:val="-1"/>
          <w:w w:val="110"/>
          <w:vertAlign w:val="baseline"/>
        </w:rPr>
        <w:t>do so. The court </w:t>
      </w:r>
      <w:r>
        <w:rPr>
          <w:color w:val="383638"/>
          <w:w w:val="110"/>
          <w:vertAlign w:val="baseline"/>
        </w:rPr>
        <w:t>will be much better able to listen to your explanation </w:t>
      </w:r>
      <w:r>
        <w:rPr>
          <w:rFonts w:ascii="Arial" w:hAnsi="Arial"/>
          <w:color w:val="383638"/>
          <w:w w:val="110"/>
          <w:sz w:val="22"/>
          <w:vertAlign w:val="baseline"/>
        </w:rPr>
        <w:t>if</w:t>
      </w:r>
      <w:r>
        <w:rPr>
          <w:rFonts w:ascii="Arial" w:hAnsi="Arial"/>
          <w:color w:val="383638"/>
          <w:spacing w:val="1"/>
          <w:w w:val="110"/>
          <w:sz w:val="22"/>
          <w:vertAlign w:val="baseline"/>
        </w:rPr>
        <w:t> </w:t>
      </w:r>
      <w:r>
        <w:rPr>
          <w:color w:val="383638"/>
          <w:w w:val="110"/>
          <w:vertAlign w:val="baseline"/>
        </w:rPr>
        <w:t>you first satisfy the court's need for an answer to its question. Of course,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it  is very important that you </w:t>
      </w:r>
      <w:r>
        <w:rPr>
          <w:i/>
          <w:color w:val="383638"/>
          <w:w w:val="110"/>
          <w:sz w:val="22"/>
          <w:vertAlign w:val="baseline"/>
        </w:rPr>
        <w:t>give </w:t>
      </w:r>
      <w:r>
        <w:rPr>
          <w:color w:val="383638"/>
          <w:w w:val="110"/>
          <w:vertAlign w:val="baseline"/>
        </w:rPr>
        <w:t>the explanation. Many attorneys refer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spacing w:val="-1"/>
          <w:w w:val="110"/>
          <w:vertAlign w:val="baseline"/>
        </w:rPr>
        <w:t>to this kind of exchange as a "yes, </w:t>
      </w:r>
      <w:r>
        <w:rPr>
          <w:color w:val="383638"/>
          <w:w w:val="110"/>
          <w:vertAlign w:val="baseline"/>
        </w:rPr>
        <w:t>but" answer. You must agree with the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05"/>
          <w:vertAlign w:val="baseline"/>
        </w:rPr>
        <w:t>fact or legal  rule that the court has la.id before you, but you disagree as to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spacing w:val="-2"/>
          <w:w w:val="110"/>
          <w:vertAlign w:val="baseline"/>
        </w:rPr>
        <w:t>its significance. </w:t>
      </w:r>
      <w:r>
        <w:rPr>
          <w:color w:val="383638"/>
          <w:spacing w:val="-1"/>
          <w:w w:val="110"/>
          <w:vertAlign w:val="baseline"/>
        </w:rPr>
        <w:t>It is perfectly appropriate to make a concession and then</w:t>
      </w:r>
      <w:r>
        <w:rPr>
          <w:color w:val="383638"/>
          <w:w w:val="110"/>
          <w:vertAlign w:val="baseline"/>
        </w:rPr>
        <w:t> explain</w:t>
      </w:r>
      <w:r>
        <w:rPr>
          <w:color w:val="383638"/>
          <w:spacing w:val="10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why</w:t>
      </w:r>
      <w:r>
        <w:rPr>
          <w:color w:val="383638"/>
          <w:spacing w:val="15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that</w:t>
      </w:r>
      <w:r>
        <w:rPr>
          <w:color w:val="383638"/>
          <w:spacing w:val="-4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concession</w:t>
      </w:r>
      <w:r>
        <w:rPr>
          <w:color w:val="383638"/>
          <w:spacing w:val="13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does</w:t>
      </w:r>
      <w:r>
        <w:rPr>
          <w:color w:val="383638"/>
          <w:spacing w:val="-8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not</w:t>
      </w:r>
      <w:r>
        <w:rPr>
          <w:color w:val="383638"/>
          <w:spacing w:val="10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affect</w:t>
      </w:r>
      <w:r>
        <w:rPr>
          <w:color w:val="383638"/>
          <w:spacing w:val="-4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your</w:t>
      </w:r>
      <w:r>
        <w:rPr>
          <w:color w:val="383638"/>
          <w:spacing w:val="-12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argument.</w:t>
      </w:r>
    </w:p>
    <w:p>
      <w:pPr>
        <w:pStyle w:val="BodyText"/>
        <w:spacing w:line="232" w:lineRule="auto" w:before="13"/>
        <w:ind w:left="676" w:right="109" w:firstLine="438"/>
        <w:jc w:val="both"/>
      </w:pPr>
      <w:r>
        <w:rPr>
          <w:color w:val="383638"/>
          <w:w w:val="105"/>
        </w:rPr>
        <w:t>Fourth, you should tie your answer to your argument. Judge Williams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has advised, "Follow your </w:t>
      </w:r>
      <w:r>
        <w:rPr>
          <w:color w:val="4B4B4B"/>
          <w:w w:val="110"/>
        </w:rPr>
        <w:t>short </w:t>
      </w:r>
      <w:r>
        <w:rPr>
          <w:color w:val="383638"/>
          <w:w w:val="110"/>
        </w:rPr>
        <w:t>answer with a concise explanation and</w:t>
      </w:r>
      <w:r>
        <w:rPr>
          <w:color w:val="383638"/>
          <w:spacing w:val="1"/>
          <w:w w:val="110"/>
        </w:rPr>
        <w:t> </w:t>
      </w:r>
      <w:r>
        <w:rPr>
          <w:color w:val="4B4B4B"/>
          <w:w w:val="110"/>
        </w:rPr>
        <w:t>citation </w:t>
      </w:r>
      <w:r>
        <w:rPr>
          <w:color w:val="383638"/>
          <w:w w:val="110"/>
        </w:rPr>
        <w:t>to the record or precedent as necessary."</w:t>
      </w:r>
      <w:r>
        <w:rPr>
          <w:color w:val="383638"/>
          <w:w w:val="110"/>
          <w:vertAlign w:val="superscript"/>
        </w:rPr>
        <w:t>38</w:t>
      </w:r>
      <w:r>
        <w:rPr>
          <w:color w:val="383638"/>
          <w:w w:val="110"/>
          <w:vertAlign w:val="baseline"/>
        </w:rPr>
        <w:t> This technique is just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as important with friendly questions as it is with more challenging ques­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tions. </w:t>
      </w:r>
      <w:r>
        <w:rPr>
          <w:color w:val="383638"/>
          <w:w w:val="110"/>
          <w:sz w:val="22"/>
          <w:vertAlign w:val="baseline"/>
        </w:rPr>
        <w:t>If </w:t>
      </w:r>
      <w:r>
        <w:rPr>
          <w:color w:val="383638"/>
          <w:w w:val="110"/>
          <w:vertAlign w:val="baseline"/>
        </w:rPr>
        <w:t>a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judge asks you a question that advances your argument, you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should use the opportunity to advance that point to its end</w:t>
      </w:r>
      <w:r>
        <w:rPr>
          <w:color w:val="5D5B5D"/>
          <w:w w:val="110"/>
          <w:vertAlign w:val="baseline"/>
        </w:rPr>
        <w:t>. </w:t>
      </w:r>
      <w:r>
        <w:rPr>
          <w:color w:val="383638"/>
          <w:w w:val="110"/>
          <w:vertAlign w:val="baseline"/>
        </w:rPr>
        <w:t>If you must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answer</w:t>
      </w:r>
      <w:r>
        <w:rPr>
          <w:color w:val="383638"/>
          <w:spacing w:val="5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</w:t>
      </w:r>
      <w:r>
        <w:rPr>
          <w:color w:val="383638"/>
          <w:spacing w:val="26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difficult</w:t>
      </w:r>
      <w:r>
        <w:rPr>
          <w:color w:val="383638"/>
          <w:spacing w:val="17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question</w:t>
      </w:r>
      <w:r>
        <w:rPr>
          <w:color w:val="383638"/>
          <w:spacing w:val="20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with</w:t>
      </w:r>
      <w:r>
        <w:rPr>
          <w:color w:val="383638"/>
          <w:spacing w:val="8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</w:t>
      </w:r>
      <w:r>
        <w:rPr>
          <w:color w:val="383638"/>
          <w:spacing w:val="22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"yes,</w:t>
      </w:r>
      <w:r>
        <w:rPr>
          <w:color w:val="383638"/>
          <w:spacing w:val="7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but"</w:t>
      </w:r>
      <w:r>
        <w:rPr>
          <w:color w:val="383638"/>
          <w:spacing w:val="-6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answer,</w:t>
      </w:r>
      <w:r>
        <w:rPr>
          <w:color w:val="383638"/>
          <w:spacing w:val="24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you</w:t>
      </w:r>
      <w:r>
        <w:rPr>
          <w:color w:val="383638"/>
          <w:spacing w:val="18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should</w:t>
      </w:r>
      <w:r>
        <w:rPr>
          <w:color w:val="383638"/>
          <w:spacing w:val="3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answer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05"/>
          <w:vertAlign w:val="baseline"/>
        </w:rPr>
        <w:t>a friendly question with a "yes, and" answer, as in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"yes, and  here's why."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10"/>
          <w:vertAlign w:val="baseline"/>
        </w:rPr>
        <w:t>The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judge who asks you a friendly question may well be disappointed if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05"/>
          <w:vertAlign w:val="baseline"/>
        </w:rPr>
        <w:t>you do not do so. As one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judge has noted, "a judge might ask you whether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05"/>
          <w:vertAlign w:val="baseline"/>
        </w:rPr>
        <w:t>there is sufficient evidence in the record to </w:t>
      </w:r>
      <w:r>
        <w:rPr>
          <w:color w:val="4B4B4B"/>
          <w:w w:val="105"/>
          <w:vertAlign w:val="baseline"/>
        </w:rPr>
        <w:t>support </w:t>
      </w:r>
      <w:r>
        <w:rPr>
          <w:color w:val="383638"/>
          <w:w w:val="105"/>
          <w:vertAlign w:val="baseline"/>
        </w:rPr>
        <w:t>a  jury's finding{.] [S)he</w:t>
      </w:r>
      <w:r>
        <w:rPr>
          <w:color w:val="383638"/>
          <w:spacing w:val="1"/>
          <w:w w:val="105"/>
          <w:vertAlign w:val="baseline"/>
        </w:rPr>
        <w:t> </w:t>
      </w:r>
      <w:r>
        <w:rPr>
          <w:color w:val="383638"/>
          <w:w w:val="110"/>
          <w:vertAlign w:val="baseline"/>
        </w:rPr>
        <w:t>is not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asking because she thinks the evidence is insufficient, but because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she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wants you to describe that evidence in detail for the benefit of the</w:t>
      </w:r>
      <w:r>
        <w:rPr>
          <w:color w:val="383638"/>
          <w:spacing w:val="1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other</w:t>
      </w:r>
      <w:r>
        <w:rPr>
          <w:color w:val="383638"/>
          <w:spacing w:val="18"/>
          <w:w w:val="110"/>
          <w:vertAlign w:val="baseline"/>
        </w:rPr>
        <w:t> </w:t>
      </w:r>
      <w:r>
        <w:rPr>
          <w:color w:val="383638"/>
          <w:w w:val="110"/>
          <w:vertAlign w:val="baseline"/>
        </w:rPr>
        <w:t>judges."</w:t>
      </w:r>
      <w:r>
        <w:rPr>
          <w:color w:val="383638"/>
          <w:w w:val="110"/>
          <w:vertAlign w:val="superscript"/>
        </w:rPr>
        <w:t>39</w:t>
      </w:r>
    </w:p>
    <w:p>
      <w:pPr>
        <w:pStyle w:val="BodyText"/>
        <w:spacing w:line="228" w:lineRule="auto" w:before="15"/>
        <w:ind w:left="653" w:right="116" w:firstLine="395"/>
        <w:jc w:val="both"/>
      </w:pPr>
      <w:r>
        <w:rPr>
          <w:color w:val="383638"/>
          <w:w w:val="110"/>
        </w:rPr>
        <w:t>After you have finished answering the question and explaining your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answer, </w:t>
      </w:r>
      <w:r>
        <w:rPr>
          <w:b/>
          <w:color w:val="383638"/>
          <w:w w:val="110"/>
          <w:sz w:val="22"/>
        </w:rPr>
        <w:t>it is </w:t>
      </w:r>
      <w:r>
        <w:rPr>
          <w:color w:val="383638"/>
          <w:w w:val="110"/>
        </w:rPr>
        <w:t>time to move back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your argument. Do not  </w:t>
      </w:r>
      <w:r>
        <w:rPr>
          <w:b/>
          <w:color w:val="383638"/>
          <w:w w:val="110"/>
          <w:sz w:val="22"/>
        </w:rPr>
        <w:t>wait </w:t>
      </w:r>
      <w:r>
        <w:rPr>
          <w:color w:val="383638"/>
          <w:w w:val="110"/>
        </w:rPr>
        <w:t>to be told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to go on.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If the  court is not asking </w:t>
      </w:r>
      <w:r>
        <w:rPr>
          <w:i/>
          <w:color w:val="383638"/>
          <w:w w:val="105"/>
          <w:sz w:val="24"/>
        </w:rPr>
        <w:t>you </w:t>
      </w:r>
      <w:r>
        <w:rPr>
          <w:color w:val="383638"/>
          <w:w w:val="105"/>
        </w:rPr>
        <w:t>a question</w:t>
      </w:r>
      <w:r>
        <w:rPr>
          <w:color w:val="5D5B5D"/>
          <w:w w:val="105"/>
        </w:rPr>
        <w:t>, </w:t>
      </w:r>
      <w:r>
        <w:rPr>
          <w:color w:val="383638"/>
          <w:w w:val="105"/>
        </w:rPr>
        <w:t>you have the floor, and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you set the agenda. At this juncture, you must decide whether to return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62"/>
          <w:w w:val="110"/>
        </w:rPr>
        <w:t> </w:t>
      </w:r>
      <w:r>
        <w:rPr>
          <w:color w:val="383638"/>
          <w:w w:val="110"/>
        </w:rPr>
        <w:t>point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were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making,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or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continue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on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another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point.</w:t>
      </w:r>
    </w:p>
    <w:p>
      <w:pPr>
        <w:pStyle w:val="BodyText"/>
        <w:spacing w:before="8"/>
        <w:rPr>
          <w:sz w:val="38"/>
        </w:rPr>
      </w:pPr>
    </w:p>
    <w:p>
      <w:pPr>
        <w:spacing w:line="210" w:lineRule="exact" w:before="0"/>
        <w:ind w:left="1018" w:right="0" w:firstLine="0"/>
        <w:jc w:val="both"/>
        <w:rPr>
          <w:sz w:val="18"/>
        </w:rPr>
      </w:pPr>
      <w:r>
        <w:rPr>
          <w:color w:val="383638"/>
          <w:w w:val="105"/>
          <w:position w:val="5"/>
          <w:sz w:val="10"/>
        </w:rPr>
        <w:t>35</w:t>
      </w:r>
      <w:r>
        <w:rPr>
          <w:color w:val="383638"/>
          <w:w w:val="105"/>
          <w:sz w:val="18"/>
        </w:rPr>
        <w:t>Wllliams</w:t>
      </w:r>
      <w:r>
        <w:rPr>
          <w:color w:val="5D5B5D"/>
          <w:w w:val="105"/>
          <w:sz w:val="18"/>
        </w:rPr>
        <w:t>,</w:t>
      </w:r>
      <w:r>
        <w:rPr>
          <w:color w:val="5D5B5D"/>
          <w:spacing w:val="4"/>
          <w:w w:val="105"/>
          <w:sz w:val="18"/>
        </w:rPr>
        <w:t> </w:t>
      </w:r>
      <w:r>
        <w:rPr>
          <w:i/>
          <w:color w:val="4B4B4B"/>
          <w:w w:val="105"/>
          <w:sz w:val="19"/>
        </w:rPr>
        <w:t>supra</w:t>
      </w:r>
      <w:r>
        <w:rPr>
          <w:i/>
          <w:color w:val="4B4B4B"/>
          <w:spacing w:val="14"/>
          <w:w w:val="105"/>
          <w:sz w:val="19"/>
        </w:rPr>
        <w:t> </w:t>
      </w:r>
      <w:r>
        <w:rPr>
          <w:color w:val="383638"/>
          <w:w w:val="105"/>
          <w:sz w:val="18"/>
        </w:rPr>
        <w:t>note</w:t>
      </w:r>
      <w:r>
        <w:rPr>
          <w:color w:val="383638"/>
          <w:spacing w:val="-11"/>
          <w:w w:val="105"/>
          <w:sz w:val="18"/>
        </w:rPr>
        <w:t> </w:t>
      </w:r>
      <w:r>
        <w:rPr>
          <w:color w:val="383638"/>
          <w:w w:val="105"/>
          <w:sz w:val="18"/>
        </w:rPr>
        <w:t>9,</w:t>
      </w:r>
      <w:r>
        <w:rPr>
          <w:color w:val="383638"/>
          <w:spacing w:val="8"/>
          <w:w w:val="105"/>
          <w:sz w:val="18"/>
        </w:rPr>
        <w:t> </w:t>
      </w:r>
      <w:r>
        <w:rPr>
          <w:b/>
          <w:color w:val="383638"/>
          <w:w w:val="105"/>
          <w:sz w:val="15"/>
        </w:rPr>
        <w:t>at</w:t>
      </w:r>
      <w:r>
        <w:rPr>
          <w:b/>
          <w:color w:val="383638"/>
          <w:spacing w:val="26"/>
          <w:w w:val="105"/>
          <w:sz w:val="15"/>
        </w:rPr>
        <w:t> </w:t>
      </w:r>
      <w:r>
        <w:rPr>
          <w:color w:val="383638"/>
          <w:w w:val="105"/>
          <w:sz w:val="18"/>
        </w:rPr>
        <w:t>599</w:t>
      </w:r>
      <w:r>
        <w:rPr>
          <w:color w:val="5D5B5D"/>
          <w:w w:val="105"/>
          <w:sz w:val="18"/>
        </w:rPr>
        <w:t>.</w:t>
      </w:r>
    </w:p>
    <w:p>
      <w:pPr>
        <w:spacing w:line="220" w:lineRule="auto" w:before="6"/>
        <w:ind w:left="624" w:right="117" w:firstLine="383"/>
        <w:jc w:val="both"/>
        <w:rPr>
          <w:sz w:val="18"/>
        </w:rPr>
      </w:pPr>
      <w:r>
        <w:rPr>
          <w:rFonts w:ascii="Arial" w:hAnsi="Arial"/>
          <w:color w:val="4B4B4B"/>
          <w:w w:val="105"/>
          <w:position w:val="6"/>
          <w:sz w:val="9"/>
        </w:rPr>
        <w:t>36</w:t>
      </w:r>
      <w:r>
        <w:rPr>
          <w:rFonts w:ascii="Arial" w:hAnsi="Arial"/>
          <w:color w:val="4B4B4B"/>
          <w:spacing w:val="-5"/>
          <w:w w:val="105"/>
          <w:position w:val="6"/>
          <w:sz w:val="9"/>
        </w:rPr>
        <w:t> </w:t>
      </w:r>
      <w:r>
        <w:rPr>
          <w:i/>
          <w:color w:val="383638"/>
          <w:w w:val="105"/>
          <w:sz w:val="19"/>
        </w:rPr>
        <w:t>See</w:t>
      </w:r>
      <w:r>
        <w:rPr>
          <w:i/>
          <w:color w:val="383638"/>
          <w:spacing w:val="-19"/>
          <w:w w:val="105"/>
          <w:sz w:val="19"/>
        </w:rPr>
        <w:t> </w:t>
      </w:r>
      <w:r>
        <w:rPr>
          <w:i/>
          <w:color w:val="4B4B4B"/>
          <w:w w:val="105"/>
          <w:sz w:val="19"/>
        </w:rPr>
        <w:t>also</w:t>
      </w:r>
      <w:r>
        <w:rPr>
          <w:i/>
          <w:color w:val="4B4B4B"/>
          <w:spacing w:val="-26"/>
          <w:w w:val="105"/>
          <w:sz w:val="19"/>
        </w:rPr>
        <w:t> </w:t>
      </w:r>
      <w:r>
        <w:rPr>
          <w:color w:val="4B4B4B"/>
          <w:w w:val="105"/>
          <w:sz w:val="18"/>
        </w:rPr>
        <w:t>Gersten,</w:t>
      </w:r>
      <w:r>
        <w:rPr>
          <w:color w:val="4B4B4B"/>
          <w:spacing w:val="9"/>
          <w:w w:val="105"/>
          <w:sz w:val="18"/>
        </w:rPr>
        <w:t> </w:t>
      </w:r>
      <w:r>
        <w:rPr>
          <w:i/>
          <w:color w:val="383638"/>
          <w:w w:val="105"/>
          <w:sz w:val="19"/>
        </w:rPr>
        <w:t>supra</w:t>
      </w:r>
      <w:r>
        <w:rPr>
          <w:i/>
          <w:color w:val="383638"/>
          <w:spacing w:val="2"/>
          <w:w w:val="105"/>
          <w:sz w:val="19"/>
        </w:rPr>
        <w:t> </w:t>
      </w:r>
      <w:r>
        <w:rPr>
          <w:color w:val="383638"/>
          <w:w w:val="105"/>
          <w:sz w:val="18"/>
        </w:rPr>
        <w:t>note</w:t>
      </w:r>
      <w:r>
        <w:rPr>
          <w:color w:val="383638"/>
          <w:spacing w:val="-17"/>
          <w:w w:val="105"/>
          <w:sz w:val="18"/>
        </w:rPr>
        <w:t> </w:t>
      </w:r>
      <w:r>
        <w:rPr>
          <w:color w:val="383638"/>
          <w:w w:val="105"/>
          <w:sz w:val="18"/>
        </w:rPr>
        <w:t>11,at</w:t>
      </w:r>
      <w:r>
        <w:rPr>
          <w:color w:val="383638"/>
          <w:spacing w:val="11"/>
          <w:w w:val="105"/>
          <w:sz w:val="18"/>
        </w:rPr>
        <w:t> </w:t>
      </w:r>
      <w:r>
        <w:rPr>
          <w:color w:val="383638"/>
          <w:w w:val="105"/>
          <w:sz w:val="18"/>
        </w:rPr>
        <w:t>29</w:t>
      </w:r>
      <w:r>
        <w:rPr>
          <w:color w:val="383638"/>
          <w:spacing w:val="-20"/>
          <w:w w:val="105"/>
          <w:sz w:val="18"/>
        </w:rPr>
        <w:t> </w:t>
      </w:r>
      <w:r>
        <w:rPr>
          <w:color w:val="383638"/>
          <w:w w:val="105"/>
          <w:sz w:val="18"/>
        </w:rPr>
        <w:t>("Answer</w:t>
      </w:r>
      <w:r>
        <w:rPr>
          <w:color w:val="383638"/>
          <w:spacing w:val="6"/>
          <w:w w:val="105"/>
          <w:sz w:val="18"/>
        </w:rPr>
        <w:t> </w:t>
      </w:r>
      <w:r>
        <w:rPr>
          <w:color w:val="383638"/>
          <w:w w:val="105"/>
          <w:sz w:val="18"/>
        </w:rPr>
        <w:t>the</w:t>
      </w:r>
      <w:r>
        <w:rPr>
          <w:color w:val="383638"/>
          <w:spacing w:val="18"/>
          <w:w w:val="105"/>
          <w:sz w:val="18"/>
        </w:rPr>
        <w:t> </w:t>
      </w:r>
      <w:r>
        <w:rPr>
          <w:color w:val="383638"/>
          <w:w w:val="105"/>
          <w:sz w:val="18"/>
        </w:rPr>
        <w:t>question</w:t>
      </w:r>
      <w:r>
        <w:rPr>
          <w:color w:val="383638"/>
          <w:spacing w:val="4"/>
          <w:w w:val="105"/>
          <w:sz w:val="18"/>
        </w:rPr>
        <w:t> </w:t>
      </w:r>
      <w:r>
        <w:rPr>
          <w:color w:val="383638"/>
          <w:w w:val="105"/>
          <w:sz w:val="18"/>
        </w:rPr>
        <w:t>hone</w:t>
      </w:r>
      <w:r>
        <w:rPr>
          <w:color w:val="5D5B5D"/>
          <w:w w:val="105"/>
          <w:sz w:val="18"/>
        </w:rPr>
        <w:t>st</w:t>
      </w:r>
      <w:r>
        <w:rPr>
          <w:color w:val="383638"/>
          <w:w w:val="105"/>
          <w:sz w:val="18"/>
        </w:rPr>
        <w:t>ly,</w:t>
      </w:r>
      <w:r>
        <w:rPr>
          <w:color w:val="383638"/>
          <w:spacing w:val="4"/>
          <w:w w:val="105"/>
          <w:sz w:val="18"/>
        </w:rPr>
        <w:t> </w:t>
      </w:r>
      <w:r>
        <w:rPr>
          <w:color w:val="383638"/>
          <w:w w:val="105"/>
          <w:sz w:val="18"/>
        </w:rPr>
        <w:t>even</w:t>
      </w:r>
      <w:r>
        <w:rPr>
          <w:color w:val="383638"/>
          <w:spacing w:val="7"/>
          <w:w w:val="105"/>
          <w:sz w:val="18"/>
        </w:rPr>
        <w:t> </w:t>
      </w:r>
      <w:r>
        <w:rPr>
          <w:color w:val="4B4B4B"/>
          <w:w w:val="105"/>
          <w:sz w:val="18"/>
        </w:rPr>
        <w:t>If</w:t>
      </w:r>
      <w:r>
        <w:rPr>
          <w:color w:val="4B4B4B"/>
          <w:spacing w:val="-4"/>
          <w:w w:val="105"/>
          <w:sz w:val="18"/>
        </w:rPr>
        <w:t> </w:t>
      </w:r>
      <w:r>
        <w:rPr>
          <w:color w:val="383638"/>
          <w:w w:val="105"/>
          <w:sz w:val="18"/>
        </w:rPr>
        <w:t>you</w:t>
      </w:r>
      <w:r>
        <w:rPr>
          <w:color w:val="383638"/>
          <w:spacing w:val="-18"/>
          <w:w w:val="105"/>
          <w:sz w:val="18"/>
        </w:rPr>
        <w:t> </w:t>
      </w:r>
      <w:r>
        <w:rPr>
          <w:color w:val="383638"/>
          <w:w w:val="105"/>
          <w:sz w:val="18"/>
        </w:rPr>
        <w:t>are</w:t>
      </w:r>
      <w:r>
        <w:rPr>
          <w:color w:val="383638"/>
          <w:spacing w:val="-24"/>
          <w:w w:val="105"/>
          <w:sz w:val="18"/>
        </w:rPr>
        <w:t> </w:t>
      </w:r>
      <w:r>
        <w:rPr>
          <w:color w:val="383638"/>
          <w:w w:val="105"/>
          <w:sz w:val="18"/>
        </w:rPr>
        <w:t>afraid</w:t>
      </w:r>
      <w:r>
        <w:rPr>
          <w:color w:val="383638"/>
          <w:spacing w:val="1"/>
          <w:w w:val="105"/>
          <w:sz w:val="18"/>
        </w:rPr>
        <w:t> </w:t>
      </w:r>
      <w:r>
        <w:rPr>
          <w:color w:val="383638"/>
          <w:w w:val="110"/>
          <w:sz w:val="18"/>
        </w:rPr>
        <w:t>this</w:t>
      </w:r>
      <w:r>
        <w:rPr>
          <w:color w:val="383638"/>
          <w:spacing w:val="-4"/>
          <w:w w:val="110"/>
          <w:sz w:val="18"/>
        </w:rPr>
        <w:t> </w:t>
      </w:r>
      <w:r>
        <w:rPr>
          <w:color w:val="383638"/>
          <w:w w:val="110"/>
          <w:sz w:val="18"/>
        </w:rPr>
        <w:t>might</w:t>
      </w:r>
      <w:r>
        <w:rPr>
          <w:color w:val="383638"/>
          <w:spacing w:val="-2"/>
          <w:w w:val="110"/>
          <w:sz w:val="18"/>
        </w:rPr>
        <w:t> </w:t>
      </w:r>
      <w:r>
        <w:rPr>
          <w:color w:val="383638"/>
          <w:w w:val="110"/>
          <w:sz w:val="18"/>
        </w:rPr>
        <w:t>hurt</w:t>
      </w:r>
      <w:r>
        <w:rPr>
          <w:color w:val="383638"/>
          <w:spacing w:val="5"/>
          <w:w w:val="110"/>
          <w:sz w:val="18"/>
        </w:rPr>
        <w:t> </w:t>
      </w:r>
      <w:r>
        <w:rPr>
          <w:color w:val="383638"/>
          <w:w w:val="110"/>
          <w:sz w:val="18"/>
        </w:rPr>
        <w:t>your</w:t>
      </w:r>
      <w:r>
        <w:rPr>
          <w:color w:val="383638"/>
          <w:spacing w:val="-16"/>
          <w:w w:val="110"/>
          <w:sz w:val="18"/>
        </w:rPr>
        <w:t> </w:t>
      </w:r>
      <w:r>
        <w:rPr>
          <w:color w:val="4B4B4B"/>
          <w:w w:val="110"/>
          <w:sz w:val="18"/>
        </w:rPr>
        <w:t>case.</w:t>
      </w:r>
      <w:r>
        <w:rPr>
          <w:color w:val="4B4B4B"/>
          <w:spacing w:val="-25"/>
          <w:w w:val="110"/>
          <w:sz w:val="18"/>
        </w:rPr>
        <w:t> </w:t>
      </w:r>
      <w:r>
        <w:rPr>
          <w:color w:val="383638"/>
          <w:w w:val="110"/>
          <w:sz w:val="18"/>
        </w:rPr>
        <w:t>There</w:t>
      </w:r>
      <w:r>
        <w:rPr>
          <w:color w:val="383638"/>
          <w:spacing w:val="-11"/>
          <w:w w:val="110"/>
          <w:sz w:val="18"/>
        </w:rPr>
        <w:t> </w:t>
      </w:r>
      <w:r>
        <w:rPr>
          <w:color w:val="383638"/>
          <w:w w:val="110"/>
          <w:sz w:val="18"/>
        </w:rPr>
        <w:t>Is</w:t>
      </w:r>
      <w:r>
        <w:rPr>
          <w:color w:val="383638"/>
          <w:spacing w:val="-6"/>
          <w:w w:val="110"/>
          <w:sz w:val="18"/>
        </w:rPr>
        <w:t> </w:t>
      </w:r>
      <w:r>
        <w:rPr>
          <w:color w:val="383638"/>
          <w:w w:val="110"/>
          <w:sz w:val="18"/>
        </w:rPr>
        <w:t>nothing</w:t>
      </w:r>
      <w:r>
        <w:rPr>
          <w:color w:val="383638"/>
          <w:spacing w:val="-4"/>
          <w:w w:val="110"/>
          <w:sz w:val="18"/>
        </w:rPr>
        <w:t> </w:t>
      </w:r>
      <w:r>
        <w:rPr>
          <w:color w:val="4B4B4B"/>
          <w:w w:val="110"/>
          <w:sz w:val="18"/>
        </w:rPr>
        <w:t>worse </w:t>
      </w:r>
      <w:r>
        <w:rPr>
          <w:color w:val="383638"/>
          <w:w w:val="110"/>
          <w:sz w:val="18"/>
        </w:rPr>
        <w:t>than losing</w:t>
      </w:r>
      <w:r>
        <w:rPr>
          <w:color w:val="383638"/>
          <w:spacing w:val="-8"/>
          <w:w w:val="110"/>
          <w:sz w:val="18"/>
        </w:rPr>
        <w:t> </w:t>
      </w:r>
      <w:r>
        <w:rPr>
          <w:color w:val="383638"/>
          <w:w w:val="110"/>
          <w:sz w:val="18"/>
        </w:rPr>
        <w:t>credibility</w:t>
      </w:r>
      <w:r>
        <w:rPr>
          <w:color w:val="383638"/>
          <w:spacing w:val="-5"/>
          <w:w w:val="110"/>
          <w:sz w:val="18"/>
        </w:rPr>
        <w:t> </w:t>
      </w:r>
      <w:r>
        <w:rPr>
          <w:color w:val="383638"/>
          <w:w w:val="110"/>
          <w:sz w:val="18"/>
        </w:rPr>
        <w:t>with</w:t>
      </w:r>
      <w:r>
        <w:rPr>
          <w:color w:val="383638"/>
          <w:spacing w:val="-6"/>
          <w:w w:val="110"/>
          <w:sz w:val="18"/>
        </w:rPr>
        <w:t> </w:t>
      </w:r>
      <w:r>
        <w:rPr>
          <w:color w:val="4B4B4B"/>
          <w:w w:val="110"/>
          <w:sz w:val="18"/>
        </w:rPr>
        <w:t>the</w:t>
      </w:r>
      <w:r>
        <w:rPr>
          <w:color w:val="4B4B4B"/>
          <w:spacing w:val="-10"/>
          <w:w w:val="110"/>
          <w:sz w:val="18"/>
        </w:rPr>
        <w:t> </w:t>
      </w:r>
      <w:r>
        <w:rPr>
          <w:color w:val="383638"/>
          <w:w w:val="110"/>
          <w:sz w:val="18"/>
        </w:rPr>
        <w:t>court.»)</w:t>
      </w:r>
      <w:r>
        <w:rPr>
          <w:color w:val="5D5B5D"/>
          <w:w w:val="110"/>
          <w:sz w:val="18"/>
        </w:rPr>
        <w:t>.</w:t>
      </w:r>
    </w:p>
    <w:p>
      <w:pPr>
        <w:spacing w:line="228" w:lineRule="auto" w:before="0"/>
        <w:ind w:left="606" w:right="109" w:firstLine="392"/>
        <w:jc w:val="both"/>
        <w:rPr>
          <w:sz w:val="18"/>
        </w:rPr>
      </w:pPr>
      <w:r>
        <w:rPr>
          <w:rFonts w:ascii="Arial"/>
          <w:color w:val="4B4B4B"/>
          <w:position w:val="6"/>
          <w:sz w:val="10"/>
        </w:rPr>
        <w:t>37 </w:t>
      </w:r>
      <w:r>
        <w:rPr>
          <w:i/>
          <w:color w:val="383638"/>
          <w:sz w:val="19"/>
        </w:rPr>
        <w:t>See also </w:t>
      </w:r>
      <w:r>
        <w:rPr>
          <w:rFonts w:ascii="Arial"/>
          <w:i/>
          <w:color w:val="383638"/>
          <w:sz w:val="16"/>
        </w:rPr>
        <w:t>id.</w:t>
      </w:r>
      <w:r>
        <w:rPr>
          <w:rFonts w:ascii="Arial"/>
          <w:i/>
          <w:color w:val="383638"/>
          <w:spacing w:val="1"/>
          <w:sz w:val="16"/>
        </w:rPr>
        <w:t> </w:t>
      </w:r>
      <w:r>
        <w:rPr>
          <w:color w:val="4B4B4B"/>
          <w:sz w:val="18"/>
        </w:rPr>
        <w:t>("If you </w:t>
      </w:r>
      <w:r>
        <w:rPr>
          <w:color w:val="383638"/>
          <w:sz w:val="18"/>
        </w:rPr>
        <w:t>do</w:t>
      </w:r>
      <w:r>
        <w:rPr>
          <w:color w:val="383638"/>
          <w:spacing w:val="1"/>
          <w:sz w:val="18"/>
        </w:rPr>
        <w:t> </w:t>
      </w:r>
      <w:r>
        <w:rPr>
          <w:color w:val="383638"/>
          <w:sz w:val="18"/>
        </w:rPr>
        <w:t>not</w:t>
      </w:r>
      <w:r>
        <w:rPr>
          <w:color w:val="383638"/>
          <w:spacing w:val="45"/>
          <w:sz w:val="18"/>
        </w:rPr>
        <w:t> </w:t>
      </w:r>
      <w:r>
        <w:rPr>
          <w:color w:val="383638"/>
          <w:sz w:val="18"/>
        </w:rPr>
        <w:t>answer the question directly, or if you</w:t>
      </w:r>
      <w:r>
        <w:rPr>
          <w:color w:val="383638"/>
          <w:spacing w:val="45"/>
          <w:sz w:val="18"/>
        </w:rPr>
        <w:t> </w:t>
      </w:r>
      <w:r>
        <w:rPr>
          <w:color w:val="383638"/>
          <w:sz w:val="18"/>
        </w:rPr>
        <w:t>become evasive, the </w:t>
      </w:r>
      <w:r>
        <w:rPr>
          <w:color w:val="4B4B4B"/>
          <w:sz w:val="18"/>
        </w:rPr>
        <w:t>judge</w:t>
      </w:r>
      <w:r>
        <w:rPr>
          <w:color w:val="4B4B4B"/>
          <w:spacing w:val="1"/>
          <w:sz w:val="18"/>
        </w:rPr>
        <w:t> </w:t>
      </w:r>
      <w:r>
        <w:rPr>
          <w:color w:val="383638"/>
          <w:w w:val="105"/>
          <w:sz w:val="18"/>
        </w:rPr>
        <w:t>wlll find it diHlcult to listen to your argument because he or she wlll </w:t>
      </w:r>
      <w:r>
        <w:rPr>
          <w:color w:val="4B4B4B"/>
          <w:w w:val="105"/>
          <w:sz w:val="18"/>
        </w:rPr>
        <w:t>still </w:t>
      </w:r>
      <w:r>
        <w:rPr>
          <w:color w:val="383638"/>
          <w:w w:val="105"/>
          <w:sz w:val="18"/>
        </w:rPr>
        <w:t>be thinking about the</w:t>
      </w:r>
      <w:r>
        <w:rPr>
          <w:color w:val="383638"/>
          <w:spacing w:val="1"/>
          <w:w w:val="105"/>
          <w:sz w:val="18"/>
        </w:rPr>
        <w:t> </w:t>
      </w:r>
      <w:r>
        <w:rPr>
          <w:color w:val="383638"/>
          <w:w w:val="105"/>
          <w:sz w:val="18"/>
        </w:rPr>
        <w:t>unanswered question</w:t>
      </w:r>
      <w:r>
        <w:rPr>
          <w:color w:val="5D5B5D"/>
          <w:w w:val="105"/>
          <w:sz w:val="18"/>
        </w:rPr>
        <w:t>.</w:t>
      </w:r>
      <w:r>
        <w:rPr>
          <w:color w:val="383638"/>
          <w:w w:val="105"/>
          <w:sz w:val="18"/>
        </w:rPr>
        <w:t>")</w:t>
      </w:r>
      <w:r>
        <w:rPr>
          <w:color w:val="5D5B5D"/>
          <w:w w:val="105"/>
          <w:sz w:val="18"/>
        </w:rPr>
        <w:t>.</w:t>
      </w:r>
    </w:p>
    <w:p>
      <w:pPr>
        <w:spacing w:line="183" w:lineRule="exact" w:before="0"/>
        <w:ind w:left="980" w:right="0" w:firstLine="0"/>
        <w:jc w:val="both"/>
        <w:rPr>
          <w:sz w:val="18"/>
        </w:rPr>
      </w:pPr>
      <w:r>
        <w:rPr>
          <w:color w:val="4B4B4B"/>
          <w:w w:val="105"/>
          <w:sz w:val="18"/>
        </w:rPr>
        <w:t>MWilllams,</w:t>
      </w:r>
      <w:r>
        <w:rPr>
          <w:color w:val="4B4B4B"/>
          <w:spacing w:val="1"/>
          <w:w w:val="105"/>
          <w:sz w:val="18"/>
        </w:rPr>
        <w:t> </w:t>
      </w:r>
      <w:r>
        <w:rPr>
          <w:i/>
          <w:color w:val="4B4B4B"/>
          <w:w w:val="105"/>
          <w:sz w:val="19"/>
        </w:rPr>
        <w:t>supra</w:t>
      </w:r>
      <w:r>
        <w:rPr>
          <w:i/>
          <w:color w:val="4B4B4B"/>
          <w:spacing w:val="11"/>
          <w:w w:val="105"/>
          <w:sz w:val="19"/>
        </w:rPr>
        <w:t> </w:t>
      </w:r>
      <w:r>
        <w:rPr>
          <w:color w:val="383638"/>
          <w:w w:val="105"/>
          <w:sz w:val="18"/>
        </w:rPr>
        <w:t>note</w:t>
      </w:r>
      <w:r>
        <w:rPr>
          <w:color w:val="383638"/>
          <w:spacing w:val="-14"/>
          <w:w w:val="105"/>
          <w:sz w:val="18"/>
        </w:rPr>
        <w:t> </w:t>
      </w:r>
      <w:r>
        <w:rPr>
          <w:color w:val="383638"/>
          <w:w w:val="105"/>
          <w:sz w:val="18"/>
        </w:rPr>
        <w:t>9,</w:t>
      </w:r>
      <w:r>
        <w:rPr>
          <w:color w:val="383638"/>
          <w:spacing w:val="-11"/>
          <w:w w:val="105"/>
          <w:sz w:val="18"/>
        </w:rPr>
        <w:t> </w:t>
      </w:r>
      <w:r>
        <w:rPr>
          <w:color w:val="383638"/>
          <w:w w:val="105"/>
          <w:sz w:val="18"/>
        </w:rPr>
        <w:t>at</w:t>
      </w:r>
      <w:r>
        <w:rPr>
          <w:color w:val="383638"/>
          <w:spacing w:val="3"/>
          <w:w w:val="105"/>
          <w:sz w:val="18"/>
        </w:rPr>
        <w:t> </w:t>
      </w:r>
      <w:r>
        <w:rPr>
          <w:color w:val="383638"/>
          <w:w w:val="105"/>
          <w:sz w:val="18"/>
        </w:rPr>
        <w:t>599.</w:t>
      </w:r>
    </w:p>
    <w:p>
      <w:pPr>
        <w:spacing w:line="206" w:lineRule="exact" w:before="0"/>
        <w:ind w:left="971" w:right="0" w:firstLine="0"/>
        <w:jc w:val="both"/>
        <w:rPr>
          <w:sz w:val="18"/>
        </w:rPr>
      </w:pPr>
      <w:r>
        <w:rPr>
          <w:color w:val="4B4B4B"/>
          <w:spacing w:val="-1"/>
          <w:w w:val="110"/>
          <w:sz w:val="18"/>
        </w:rPr>
        <w:t>"Dwyer,</w:t>
      </w:r>
      <w:r>
        <w:rPr>
          <w:color w:val="4B4B4B"/>
          <w:spacing w:val="-8"/>
          <w:w w:val="110"/>
          <w:sz w:val="18"/>
        </w:rPr>
        <w:t> </w:t>
      </w:r>
      <w:r>
        <w:rPr>
          <w:color w:val="383638"/>
          <w:spacing w:val="-1"/>
          <w:w w:val="110"/>
          <w:sz w:val="18"/>
        </w:rPr>
        <w:t>Feldman</w:t>
      </w:r>
      <w:r>
        <w:rPr>
          <w:color w:val="383638"/>
          <w:spacing w:val="3"/>
          <w:w w:val="110"/>
          <w:sz w:val="18"/>
        </w:rPr>
        <w:t> </w:t>
      </w:r>
      <w:r>
        <w:rPr>
          <w:color w:val="383638"/>
          <w:spacing w:val="-1"/>
          <w:w w:val="110"/>
          <w:sz w:val="16"/>
        </w:rPr>
        <w:t>&amp;</w:t>
      </w:r>
      <w:r>
        <w:rPr>
          <w:color w:val="383638"/>
          <w:spacing w:val="23"/>
          <w:w w:val="110"/>
          <w:sz w:val="16"/>
        </w:rPr>
        <w:t> </w:t>
      </w:r>
      <w:r>
        <w:rPr>
          <w:color w:val="383638"/>
          <w:spacing w:val="-1"/>
          <w:w w:val="110"/>
          <w:sz w:val="18"/>
        </w:rPr>
        <w:t>Nylander,</w:t>
      </w:r>
      <w:r>
        <w:rPr>
          <w:color w:val="383638"/>
          <w:spacing w:val="-9"/>
          <w:w w:val="110"/>
          <w:sz w:val="18"/>
        </w:rPr>
        <w:t> </w:t>
      </w:r>
      <w:r>
        <w:rPr>
          <w:i/>
          <w:color w:val="383638"/>
          <w:spacing w:val="-1"/>
          <w:w w:val="110"/>
          <w:sz w:val="19"/>
        </w:rPr>
        <w:t>supra</w:t>
      </w:r>
      <w:r>
        <w:rPr>
          <w:i/>
          <w:color w:val="383638"/>
          <w:spacing w:val="-5"/>
          <w:w w:val="110"/>
          <w:sz w:val="19"/>
        </w:rPr>
        <w:t> </w:t>
      </w:r>
      <w:r>
        <w:rPr>
          <w:color w:val="383638"/>
          <w:w w:val="110"/>
          <w:sz w:val="18"/>
        </w:rPr>
        <w:t>note</w:t>
      </w:r>
      <w:r>
        <w:rPr>
          <w:color w:val="383638"/>
          <w:spacing w:val="-15"/>
          <w:w w:val="110"/>
          <w:sz w:val="18"/>
        </w:rPr>
        <w:t> </w:t>
      </w:r>
      <w:r>
        <w:rPr>
          <w:color w:val="383638"/>
          <w:w w:val="110"/>
          <w:sz w:val="18"/>
        </w:rPr>
        <w:t>4,</w:t>
      </w:r>
      <w:r>
        <w:rPr>
          <w:color w:val="383638"/>
          <w:spacing w:val="-20"/>
          <w:w w:val="110"/>
          <w:sz w:val="18"/>
        </w:rPr>
        <w:t> </w:t>
      </w:r>
      <w:r>
        <w:rPr>
          <w:color w:val="383638"/>
          <w:w w:val="110"/>
          <w:sz w:val="18"/>
        </w:rPr>
        <w:t>at</w:t>
      </w:r>
      <w:r>
        <w:rPr>
          <w:color w:val="383638"/>
          <w:spacing w:val="-2"/>
          <w:w w:val="110"/>
          <w:sz w:val="18"/>
        </w:rPr>
        <w:t> </w:t>
      </w:r>
      <w:r>
        <w:rPr>
          <w:color w:val="383638"/>
          <w:w w:val="110"/>
          <w:sz w:val="18"/>
        </w:rPr>
        <w:t>350.</w:t>
      </w:r>
    </w:p>
    <w:p>
      <w:pPr>
        <w:spacing w:after="0" w:line="206" w:lineRule="exact"/>
        <w:jc w:val="both"/>
        <w:rPr>
          <w:sz w:val="18"/>
        </w:rPr>
        <w:sectPr>
          <w:pgSz w:w="9750" w:h="14000"/>
          <w:pgMar w:header="520" w:footer="0" w:top="1120" w:bottom="0" w:left="1360" w:right="120"/>
        </w:sect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32" w:lineRule="auto" w:before="97"/>
        <w:ind w:left="102" w:right="461" w:firstLine="337"/>
        <w:jc w:val="both"/>
      </w:pPr>
      <w:r>
        <w:rPr>
          <w:rFonts w:ascii="Arial"/>
          <w:color w:val="3A3838"/>
          <w:w w:val="110"/>
          <w:sz w:val="22"/>
        </w:rPr>
        <w:t>If </w:t>
      </w:r>
      <w:r>
        <w:rPr>
          <w:color w:val="3A3838"/>
          <w:w w:val="110"/>
        </w:rPr>
        <w:t>the court has asked a question that moves you to your second issue</w:t>
      </w:r>
      <w:r>
        <w:rPr>
          <w:color w:val="3A3838"/>
          <w:spacing w:val="1"/>
          <w:w w:val="110"/>
        </w:rPr>
        <w:t> </w:t>
      </w:r>
      <w:r>
        <w:rPr>
          <w:color w:val="3A3838"/>
          <w:spacing w:val="-1"/>
          <w:w w:val="110"/>
        </w:rPr>
        <w:t>while</w:t>
      </w:r>
      <w:r>
        <w:rPr>
          <w:color w:val="3A3838"/>
          <w:spacing w:val="-14"/>
          <w:w w:val="110"/>
        </w:rPr>
        <w:t> </w:t>
      </w:r>
      <w:r>
        <w:rPr>
          <w:color w:val="3A3838"/>
          <w:spacing w:val="-1"/>
          <w:w w:val="110"/>
        </w:rPr>
        <w:t>you</w:t>
      </w:r>
      <w:r>
        <w:rPr>
          <w:color w:val="3A3838"/>
          <w:spacing w:val="15"/>
          <w:w w:val="110"/>
        </w:rPr>
        <w:t> </w:t>
      </w:r>
      <w:r>
        <w:rPr>
          <w:color w:val="3A3838"/>
          <w:spacing w:val="-1"/>
          <w:w w:val="110"/>
        </w:rPr>
        <w:t>were</w:t>
      </w:r>
      <w:r>
        <w:rPr>
          <w:color w:val="3A3838"/>
          <w:spacing w:val="-23"/>
          <w:w w:val="110"/>
        </w:rPr>
        <w:t> </w:t>
      </w:r>
      <w:r>
        <w:rPr>
          <w:color w:val="3A3838"/>
          <w:spacing w:val="-1"/>
          <w:w w:val="110"/>
        </w:rPr>
        <w:t>still</w:t>
      </w:r>
      <w:r>
        <w:rPr>
          <w:color w:val="3A3838"/>
          <w:spacing w:val="-25"/>
          <w:w w:val="110"/>
        </w:rPr>
        <w:t> </w:t>
      </w:r>
      <w:r>
        <w:rPr>
          <w:color w:val="3A3838"/>
          <w:spacing w:val="-1"/>
          <w:w w:val="110"/>
        </w:rPr>
        <w:t>addressing</w:t>
      </w:r>
      <w:r>
        <w:rPr>
          <w:color w:val="3A3838"/>
          <w:spacing w:val="-14"/>
          <w:w w:val="110"/>
        </w:rPr>
        <w:t> </w:t>
      </w:r>
      <w:r>
        <w:rPr>
          <w:color w:val="3A3838"/>
          <w:spacing w:val="-1"/>
          <w:w w:val="110"/>
        </w:rPr>
        <w:t>your</w:t>
      </w:r>
      <w:r>
        <w:rPr>
          <w:color w:val="3A3838"/>
          <w:spacing w:val="-5"/>
          <w:w w:val="110"/>
        </w:rPr>
        <w:t> </w:t>
      </w:r>
      <w:r>
        <w:rPr>
          <w:color w:val="3A3838"/>
          <w:spacing w:val="-1"/>
          <w:w w:val="110"/>
        </w:rPr>
        <w:t>first,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for</w:t>
      </w:r>
      <w:r>
        <w:rPr>
          <w:color w:val="3A3838"/>
          <w:spacing w:val="-7"/>
          <w:w w:val="110"/>
        </w:rPr>
        <w:t> </w:t>
      </w:r>
      <w:r>
        <w:rPr>
          <w:color w:val="3A3838"/>
          <w:w w:val="110"/>
        </w:rPr>
        <w:t>example,</w:t>
      </w:r>
      <w:r>
        <w:rPr>
          <w:color w:val="3A3838"/>
          <w:spacing w:val="-3"/>
          <w:w w:val="110"/>
        </w:rPr>
        <w:t> </w:t>
      </w:r>
      <w:r>
        <w:rPr>
          <w:color w:val="3A3838"/>
          <w:w w:val="110"/>
        </w:rPr>
        <w:t>you may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be</w:t>
      </w:r>
      <w:r>
        <w:rPr>
          <w:color w:val="3A3838"/>
          <w:spacing w:val="-11"/>
          <w:w w:val="110"/>
        </w:rPr>
        <w:t> </w:t>
      </w:r>
      <w:r>
        <w:rPr>
          <w:color w:val="3A3838"/>
          <w:w w:val="110"/>
        </w:rPr>
        <w:t>wise</w:t>
      </w:r>
      <w:r>
        <w:rPr>
          <w:color w:val="3A3838"/>
          <w:spacing w:val="-7"/>
          <w:w w:val="110"/>
        </w:rPr>
        <w:t> </w:t>
      </w:r>
      <w:r>
        <w:rPr>
          <w:color w:val="3A3838"/>
          <w:w w:val="110"/>
        </w:rPr>
        <w:t>to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continue with other support for that second point. The court may have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been signaling you that it is not interested in the first issue, either because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it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already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agrees</w:t>
      </w:r>
      <w:r>
        <w:rPr>
          <w:color w:val="3A3838"/>
          <w:spacing w:val="-11"/>
          <w:w w:val="110"/>
        </w:rPr>
        <w:t> </w:t>
      </w:r>
      <w:r>
        <w:rPr>
          <w:color w:val="3A3838"/>
          <w:w w:val="110"/>
        </w:rPr>
        <w:t>with</w:t>
      </w:r>
      <w:r>
        <w:rPr>
          <w:color w:val="3A3838"/>
          <w:spacing w:val="-9"/>
          <w:w w:val="110"/>
        </w:rPr>
        <w:t> </w:t>
      </w:r>
      <w:r>
        <w:rPr>
          <w:color w:val="3A3838"/>
          <w:w w:val="110"/>
        </w:rPr>
        <w:t>you</w:t>
      </w:r>
      <w:r>
        <w:rPr>
          <w:color w:val="3A3838"/>
          <w:spacing w:val="-21"/>
          <w:w w:val="110"/>
        </w:rPr>
        <w:t> </w:t>
      </w:r>
      <w:r>
        <w:rPr>
          <w:color w:val="3A3838"/>
          <w:w w:val="110"/>
        </w:rPr>
        <w:t>or</w:t>
      </w:r>
      <w:r>
        <w:rPr>
          <w:color w:val="3A3838"/>
          <w:spacing w:val="-3"/>
          <w:w w:val="110"/>
        </w:rPr>
        <w:t> </w:t>
      </w:r>
      <w:r>
        <w:rPr>
          <w:color w:val="3A3838"/>
          <w:w w:val="110"/>
        </w:rPr>
        <w:t>because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there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is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no way</w:t>
      </w:r>
      <w:r>
        <w:rPr>
          <w:color w:val="3A3838"/>
          <w:spacing w:val="-2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-3"/>
          <w:w w:val="110"/>
        </w:rPr>
        <w:t> </w:t>
      </w:r>
      <w:r>
        <w:rPr>
          <w:color w:val="3A3838"/>
          <w:w w:val="110"/>
        </w:rPr>
        <w:t>it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will</w:t>
      </w:r>
      <w:r>
        <w:rPr>
          <w:color w:val="3A3838"/>
          <w:spacing w:val="-10"/>
          <w:w w:val="110"/>
        </w:rPr>
        <w:t> </w:t>
      </w:r>
      <w:r>
        <w:rPr>
          <w:color w:val="3A3838"/>
          <w:w w:val="110"/>
        </w:rPr>
        <w:t>ever</w:t>
      </w:r>
      <w:r>
        <w:rPr>
          <w:color w:val="3A3838"/>
          <w:spacing w:val="-13"/>
          <w:w w:val="110"/>
        </w:rPr>
        <w:t> </w:t>
      </w:r>
      <w:r>
        <w:rPr>
          <w:color w:val="3A3838"/>
          <w:w w:val="110"/>
        </w:rPr>
        <w:t>agree</w:t>
      </w:r>
      <w:r>
        <w:rPr>
          <w:color w:val="3A3838"/>
          <w:spacing w:val="-60"/>
          <w:w w:val="110"/>
        </w:rPr>
        <w:t> </w:t>
      </w:r>
      <w:r>
        <w:rPr>
          <w:color w:val="3A3838"/>
          <w:w w:val="110"/>
        </w:rPr>
        <w:t>with you. In either circumstance, time is better spent on an issue in which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court</w:t>
      </w:r>
      <w:r>
        <w:rPr>
          <w:color w:val="3A3838"/>
          <w:spacing w:val="-9"/>
          <w:w w:val="110"/>
        </w:rPr>
        <w:t> </w:t>
      </w:r>
      <w:r>
        <w:rPr>
          <w:color w:val="3A3838"/>
          <w:w w:val="110"/>
        </w:rPr>
        <w:t>has</w:t>
      </w:r>
      <w:r>
        <w:rPr>
          <w:color w:val="3A3838"/>
          <w:spacing w:val="-19"/>
          <w:w w:val="110"/>
        </w:rPr>
        <w:t> </w:t>
      </w:r>
      <w:r>
        <w:rPr>
          <w:color w:val="3A3838"/>
          <w:w w:val="110"/>
        </w:rPr>
        <w:t>shown</w:t>
      </w:r>
      <w:r>
        <w:rPr>
          <w:color w:val="3A3838"/>
          <w:spacing w:val="-4"/>
          <w:w w:val="110"/>
        </w:rPr>
        <w:t> </w:t>
      </w:r>
      <w:r>
        <w:rPr>
          <w:color w:val="3A3838"/>
          <w:w w:val="110"/>
        </w:rPr>
        <w:t>its</w:t>
      </w:r>
      <w:r>
        <w:rPr>
          <w:color w:val="3A3838"/>
          <w:spacing w:val="-12"/>
          <w:w w:val="110"/>
        </w:rPr>
        <w:t> </w:t>
      </w:r>
      <w:r>
        <w:rPr>
          <w:color w:val="3A3838"/>
          <w:w w:val="110"/>
        </w:rPr>
        <w:t>interest.</w:t>
      </w:r>
    </w:p>
    <w:p>
      <w:pPr>
        <w:pStyle w:val="BodyText"/>
        <w:spacing w:line="232" w:lineRule="auto" w:before="6"/>
        <w:ind w:left="115" w:right="431" w:firstLine="333"/>
        <w:jc w:val="both"/>
      </w:pPr>
      <w:r>
        <w:rPr>
          <w:rFonts w:ascii="Arial"/>
          <w:color w:val="3A3838"/>
          <w:w w:val="110"/>
          <w:sz w:val="22"/>
        </w:rPr>
        <w:t>If </w:t>
      </w:r>
      <w:r>
        <w:rPr>
          <w:color w:val="3A3838"/>
          <w:w w:val="110"/>
        </w:rPr>
        <w:t>the court has asked you about an issue that you believe is irrelevant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to the case, you must still answer the question, </w:t>
      </w:r>
      <w:r>
        <w:rPr>
          <w:color w:val="3A3838"/>
          <w:w w:val="110"/>
          <w:sz w:val="22"/>
        </w:rPr>
        <w:t>if </w:t>
      </w:r>
      <w:r>
        <w:rPr>
          <w:color w:val="3A3838"/>
          <w:w w:val="110"/>
        </w:rPr>
        <w:t>you  are able. You may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let the court know that youthink the question is irrelevant by respectfully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pointing out the fact, legal rule, or other information that shows that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resolution</w:t>
      </w:r>
      <w:r>
        <w:rPr>
          <w:color w:val="3A3838"/>
          <w:spacing w:val="-8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-7"/>
          <w:w w:val="110"/>
        </w:rPr>
        <w:t> </w:t>
      </w:r>
      <w:r>
        <w:rPr>
          <w:color w:val="3A3838"/>
          <w:w w:val="110"/>
        </w:rPr>
        <w:t>your</w:t>
      </w:r>
      <w:r>
        <w:rPr>
          <w:color w:val="3A3838"/>
          <w:spacing w:val="-24"/>
          <w:w w:val="110"/>
        </w:rPr>
        <w:t> </w:t>
      </w:r>
      <w:r>
        <w:rPr>
          <w:color w:val="3A3838"/>
          <w:w w:val="110"/>
        </w:rPr>
        <w:t>case</w:t>
      </w:r>
      <w:r>
        <w:rPr>
          <w:color w:val="3A3838"/>
          <w:spacing w:val="-24"/>
          <w:w w:val="110"/>
        </w:rPr>
        <w:t> </w:t>
      </w:r>
      <w:r>
        <w:rPr>
          <w:color w:val="3A3838"/>
          <w:w w:val="110"/>
        </w:rPr>
        <w:t>does</w:t>
      </w:r>
      <w:r>
        <w:rPr>
          <w:color w:val="3A3838"/>
          <w:spacing w:val="-28"/>
          <w:w w:val="110"/>
        </w:rPr>
        <w:t> </w:t>
      </w:r>
      <w:r>
        <w:rPr>
          <w:color w:val="3A3838"/>
          <w:w w:val="110"/>
        </w:rPr>
        <w:t>not</w:t>
      </w:r>
      <w:r>
        <w:rPr>
          <w:color w:val="3A3838"/>
          <w:spacing w:val="15"/>
          <w:w w:val="110"/>
        </w:rPr>
        <w:t> </w:t>
      </w:r>
      <w:r>
        <w:rPr>
          <w:color w:val="3A3838"/>
          <w:w w:val="110"/>
        </w:rPr>
        <w:t>require</w:t>
      </w:r>
      <w:r>
        <w:rPr>
          <w:color w:val="3A3838"/>
          <w:spacing w:val="-11"/>
          <w:w w:val="110"/>
        </w:rPr>
        <w:t> </w:t>
      </w:r>
      <w:r>
        <w:rPr>
          <w:color w:val="3A3838"/>
          <w:w w:val="110"/>
        </w:rPr>
        <w:t>resolution</w:t>
      </w:r>
      <w:r>
        <w:rPr>
          <w:color w:val="3A3838"/>
          <w:spacing w:val="-6"/>
          <w:w w:val="110"/>
        </w:rPr>
        <w:t> </w:t>
      </w:r>
      <w:r>
        <w:rPr>
          <w:color w:val="3A3838"/>
          <w:w w:val="110"/>
        </w:rPr>
        <w:t>of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22"/>
          <w:w w:val="110"/>
        </w:rPr>
        <w:t> </w:t>
      </w:r>
      <w:r>
        <w:rPr>
          <w:color w:val="3A3838"/>
          <w:w w:val="110"/>
        </w:rPr>
        <w:t>issue</w:t>
      </w:r>
      <w:r>
        <w:rPr>
          <w:color w:val="3A3838"/>
          <w:spacing w:val="-18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-14"/>
          <w:w w:val="110"/>
        </w:rPr>
        <w:t> </w:t>
      </w:r>
      <w:r>
        <w:rPr>
          <w:color w:val="3A3838"/>
          <w:w w:val="110"/>
        </w:rPr>
        <w:t>it</w:t>
      </w:r>
      <w:r>
        <w:rPr>
          <w:color w:val="3A3838"/>
          <w:spacing w:val="-17"/>
          <w:w w:val="110"/>
        </w:rPr>
        <w:t> </w:t>
      </w:r>
      <w:r>
        <w:rPr>
          <w:color w:val="3A3838"/>
          <w:w w:val="110"/>
        </w:rPr>
        <w:t>asked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about, e</w:t>
      </w:r>
      <w:r>
        <w:rPr>
          <w:color w:val="545254"/>
          <w:w w:val="110"/>
        </w:rPr>
        <w:t>.</w:t>
      </w:r>
      <w:r>
        <w:rPr>
          <w:color w:val="3A3838"/>
          <w:w w:val="110"/>
        </w:rPr>
        <w:t>g.</w:t>
      </w:r>
      <w:r>
        <w:rPr>
          <w:color w:val="545254"/>
          <w:w w:val="110"/>
        </w:rPr>
        <w:t>, </w:t>
      </w:r>
      <w:r>
        <w:rPr>
          <w:color w:val="3A3838"/>
          <w:w w:val="110"/>
        </w:rPr>
        <w:t>"Yes, your honor, that is true</w:t>
      </w:r>
      <w:r>
        <w:rPr>
          <w:color w:val="545254"/>
          <w:w w:val="110"/>
        </w:rPr>
        <w:t>. </w:t>
      </w:r>
      <w:r>
        <w:rPr>
          <w:color w:val="3A3838"/>
          <w:w w:val="110"/>
        </w:rPr>
        <w:t>However, in this case, Officer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O'Donnell testified that he had no reason to believe that Ms. Restrepo was</w:t>
      </w:r>
      <w:r>
        <w:rPr>
          <w:color w:val="3A3838"/>
          <w:spacing w:val="-61"/>
          <w:w w:val="110"/>
        </w:rPr>
        <w:t> </w:t>
      </w:r>
      <w:r>
        <w:rPr>
          <w:color w:val="3A3838"/>
          <w:w w:val="110"/>
        </w:rPr>
        <w:t>violating</w:t>
      </w:r>
      <w:r>
        <w:rPr>
          <w:color w:val="3A3838"/>
          <w:spacing w:val="-11"/>
          <w:w w:val="110"/>
        </w:rPr>
        <w:t> </w:t>
      </w:r>
      <w:r>
        <w:rPr>
          <w:color w:val="3A3838"/>
          <w:w w:val="110"/>
        </w:rPr>
        <w:t>any</w:t>
      </w:r>
      <w:r>
        <w:rPr>
          <w:color w:val="3A3838"/>
          <w:spacing w:val="32"/>
          <w:w w:val="110"/>
        </w:rPr>
        <w:t> </w:t>
      </w:r>
      <w:r>
        <w:rPr>
          <w:color w:val="3A3838"/>
          <w:w w:val="110"/>
        </w:rPr>
        <w:t>laws</w:t>
      </w:r>
      <w:r>
        <w:rPr>
          <w:color w:val="3A3838"/>
          <w:spacing w:val="-18"/>
          <w:w w:val="110"/>
        </w:rPr>
        <w:t> </w:t>
      </w:r>
      <w:r>
        <w:rPr>
          <w:color w:val="3A3838"/>
          <w:w w:val="110"/>
        </w:rPr>
        <w:t>when</w:t>
      </w:r>
      <w:r>
        <w:rPr>
          <w:color w:val="3A3838"/>
          <w:spacing w:val="13"/>
          <w:w w:val="110"/>
        </w:rPr>
        <w:t> </w:t>
      </w:r>
      <w:r>
        <w:rPr>
          <w:color w:val="3A3838"/>
          <w:w w:val="110"/>
        </w:rPr>
        <w:t>he</w:t>
      </w:r>
      <w:r>
        <w:rPr>
          <w:color w:val="3A3838"/>
          <w:spacing w:val="-9"/>
          <w:w w:val="110"/>
        </w:rPr>
        <w:t> </w:t>
      </w:r>
      <w:r>
        <w:rPr>
          <w:color w:val="3A3838"/>
          <w:w w:val="110"/>
        </w:rPr>
        <w:t>conducted</w:t>
      </w:r>
      <w:r>
        <w:rPr>
          <w:color w:val="3A3838"/>
          <w:spacing w:val="1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2"/>
          <w:w w:val="110"/>
        </w:rPr>
        <w:t> </w:t>
      </w:r>
      <w:r>
        <w:rPr>
          <w:color w:val="3A3838"/>
          <w:w w:val="110"/>
        </w:rPr>
        <w:t>search."</w:t>
      </w:r>
    </w:p>
    <w:p>
      <w:pPr>
        <w:pStyle w:val="BodyText"/>
        <w:spacing w:line="232" w:lineRule="auto" w:before="9"/>
        <w:ind w:left="118" w:right="382" w:firstLine="357"/>
        <w:jc w:val="both"/>
      </w:pPr>
      <w:r>
        <w:rPr>
          <w:color w:val="3A3838"/>
          <w:w w:val="110"/>
        </w:rPr>
        <w:t>Similarly, do not dismiss hypothetical questions without an answer.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Justice Ginsburg has expressed  dismay over advocates'  repeated  dismissals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of hypothetical questions with the pat answer, "That is not this case, your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honor": "[The judge] knows, of course, that her hypothetical is not this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case, but she also knows the opinion she writes generally will affect more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than this case. The precedent set may reach her hypothetical."</w:t>
      </w:r>
      <w:r>
        <w:rPr>
          <w:color w:val="3A3838"/>
          <w:w w:val="110"/>
          <w:vertAlign w:val="superscript"/>
        </w:rPr>
        <w:t>4</w:t>
      </w:r>
      <w:r>
        <w:rPr>
          <w:color w:val="545254"/>
          <w:w w:val="110"/>
          <w:vertAlign w:val="superscript"/>
        </w:rPr>
        <w:t>0</w:t>
      </w:r>
      <w:r>
        <w:rPr>
          <w:color w:val="545254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When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judges pose hypotheticals, they are testing the boundaries of the rule you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spacing w:val="-1"/>
          <w:w w:val="110"/>
          <w:vertAlign w:val="baseline"/>
        </w:rPr>
        <w:t>suggest.</w:t>
      </w:r>
      <w:r>
        <w:rPr>
          <w:color w:val="3A3838"/>
          <w:spacing w:val="-23"/>
          <w:w w:val="110"/>
          <w:vertAlign w:val="baseline"/>
        </w:rPr>
        <w:t> </w:t>
      </w:r>
      <w:r>
        <w:rPr>
          <w:color w:val="3A3838"/>
          <w:spacing w:val="-1"/>
          <w:w w:val="110"/>
          <w:vertAlign w:val="baseline"/>
        </w:rPr>
        <w:t>The</w:t>
      </w:r>
      <w:r>
        <w:rPr>
          <w:color w:val="3A3838"/>
          <w:spacing w:val="20"/>
          <w:w w:val="110"/>
          <w:vertAlign w:val="baseline"/>
        </w:rPr>
        <w:t> </w:t>
      </w:r>
      <w:r>
        <w:rPr>
          <w:color w:val="3A3838"/>
          <w:spacing w:val="-1"/>
          <w:w w:val="110"/>
          <w:vertAlign w:val="baseline"/>
        </w:rPr>
        <w:t>good</w:t>
      </w:r>
      <w:r>
        <w:rPr>
          <w:color w:val="3A3838"/>
          <w:spacing w:val="-3"/>
          <w:w w:val="110"/>
          <w:vertAlign w:val="baseline"/>
        </w:rPr>
        <w:t> </w:t>
      </w:r>
      <w:r>
        <w:rPr>
          <w:color w:val="3A3838"/>
          <w:spacing w:val="-1"/>
          <w:w w:val="110"/>
          <w:vertAlign w:val="baseline"/>
        </w:rPr>
        <w:t>advocate</w:t>
      </w:r>
      <w:r>
        <w:rPr>
          <w:color w:val="3A3838"/>
          <w:spacing w:val="-3"/>
          <w:w w:val="110"/>
          <w:vertAlign w:val="baseline"/>
        </w:rPr>
        <w:t> </w:t>
      </w:r>
      <w:r>
        <w:rPr>
          <w:color w:val="3A3838"/>
          <w:spacing w:val="-1"/>
          <w:w w:val="110"/>
          <w:vertAlign w:val="baseline"/>
        </w:rPr>
        <w:t>knows</w:t>
      </w:r>
      <w:r>
        <w:rPr>
          <w:color w:val="3A3838"/>
          <w:spacing w:val="-24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the</w:t>
      </w:r>
      <w:r>
        <w:rPr>
          <w:color w:val="3A3838"/>
          <w:spacing w:val="16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boundaries</w:t>
      </w:r>
      <w:r>
        <w:rPr>
          <w:color w:val="3A3838"/>
          <w:spacing w:val="-22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of</w:t>
      </w:r>
      <w:r>
        <w:rPr>
          <w:color w:val="3A3838"/>
          <w:spacing w:val="-8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the</w:t>
      </w:r>
      <w:r>
        <w:rPr>
          <w:color w:val="3A3838"/>
          <w:spacing w:val="25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rule</w:t>
      </w:r>
      <w:r>
        <w:rPr>
          <w:color w:val="3A3838"/>
          <w:spacing w:val="-17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he</w:t>
      </w:r>
      <w:r>
        <w:rPr>
          <w:color w:val="3A3838"/>
          <w:spacing w:val="-17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or</w:t>
      </w:r>
      <w:r>
        <w:rPr>
          <w:color w:val="3A3838"/>
          <w:spacing w:val="-15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she</w:t>
      </w:r>
      <w:r>
        <w:rPr>
          <w:color w:val="3A3838"/>
          <w:spacing w:val="-7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rec­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ommends, and so is able to explain how the proposed rule would govern</w:t>
      </w:r>
      <w:r>
        <w:rPr>
          <w:color w:val="3A3838"/>
          <w:spacing w:val="1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the</w:t>
      </w:r>
      <w:r>
        <w:rPr>
          <w:color w:val="3A3838"/>
          <w:spacing w:val="9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hypotheticals</w:t>
      </w:r>
      <w:r>
        <w:rPr>
          <w:color w:val="3A3838"/>
          <w:spacing w:val="4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posed</w:t>
      </w:r>
      <w:r>
        <w:rPr>
          <w:color w:val="3A3838"/>
          <w:spacing w:val="6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by the</w:t>
      </w:r>
      <w:r>
        <w:rPr>
          <w:color w:val="3A3838"/>
          <w:spacing w:val="20"/>
          <w:w w:val="110"/>
          <w:vertAlign w:val="baseline"/>
        </w:rPr>
        <w:t> </w:t>
      </w:r>
      <w:r>
        <w:rPr>
          <w:color w:val="3A3838"/>
          <w:w w:val="110"/>
          <w:vertAlign w:val="baseline"/>
        </w:rPr>
        <w:t>court.</w:t>
      </w:r>
    </w:p>
    <w:p>
      <w:pPr>
        <w:pStyle w:val="BodyText"/>
        <w:rPr>
          <w:sz w:val="26"/>
        </w:rPr>
      </w:pPr>
    </w:p>
    <w:p>
      <w:pPr>
        <w:spacing w:before="213"/>
        <w:ind w:left="771" w:right="0" w:firstLine="0"/>
        <w:jc w:val="left"/>
        <w:rPr>
          <w:rFonts w:ascii="Arial"/>
          <w:b/>
          <w:sz w:val="33"/>
        </w:rPr>
      </w:pPr>
      <w:r>
        <w:rPr>
          <w:rFonts w:ascii="Arial"/>
          <w:b/>
          <w:color w:val="747577"/>
          <w:w w:val="110"/>
          <w:sz w:val="33"/>
        </w:rPr>
        <w:t>13.7</w:t>
      </w:r>
    </w:p>
    <w:p>
      <w:pPr>
        <w:spacing w:before="90"/>
        <w:ind w:left="77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89898C"/>
          <w:w w:val="110"/>
          <w:sz w:val="24"/>
        </w:rPr>
        <w:t>REBUTTA</w:t>
      </w:r>
      <w:r>
        <w:rPr>
          <w:rFonts w:ascii="Arial"/>
          <w:b/>
          <w:color w:val="626264"/>
          <w:w w:val="110"/>
          <w:sz w:val="24"/>
        </w:rPr>
        <w:t>L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BodyText"/>
        <w:spacing w:line="232" w:lineRule="auto"/>
        <w:ind w:left="175" w:right="261" w:firstLine="575"/>
        <w:jc w:val="both"/>
      </w:pPr>
      <w:r>
        <w:rPr>
          <w:color w:val="3A3838"/>
          <w:w w:val="110"/>
        </w:rPr>
        <w:t>Counsel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for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petitioner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or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moving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party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should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not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reserve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important </w:t>
      </w:r>
      <w:r>
        <w:rPr>
          <w:i/>
          <w:color w:val="3A3838"/>
          <w:w w:val="110"/>
        </w:rPr>
        <w:t>arguments </w:t>
      </w:r>
      <w:r>
        <w:rPr>
          <w:color w:val="3A3838"/>
          <w:w w:val="110"/>
        </w:rPr>
        <w:t>for rebuttal. Supreme Court Rule 28.5 provides that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"counsel making the opening argument shall present the case fairly 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completely and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not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reserve points of substance for rebuttal." In many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courts, including the United States Suprem</w:t>
      </w:r>
      <w:r>
        <w:rPr>
          <w:color w:val="545254"/>
          <w:w w:val="110"/>
        </w:rPr>
        <w:t>e </w:t>
      </w:r>
      <w:r>
        <w:rPr>
          <w:color w:val="3A3838"/>
          <w:w w:val="110"/>
        </w:rPr>
        <w:t>Court, counsel may not set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aside time for rebuttal; counsel can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preserve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time for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rebuttal only by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stemming the tide of the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justices' questions before his or her allotted time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05"/>
        </w:rPr>
        <w:t>has elapsed. You may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05"/>
        </w:rPr>
        <w:t>wish to reserve time strategically, depending on local</w:t>
      </w:r>
      <w:r>
        <w:rPr>
          <w:color w:val="3A3838"/>
          <w:spacing w:val="1"/>
          <w:w w:val="105"/>
        </w:rPr>
        <w:t> </w:t>
      </w:r>
      <w:r>
        <w:rPr>
          <w:color w:val="3A3838"/>
          <w:w w:val="110"/>
        </w:rPr>
        <w:t>custom. For example, some courts allow counsel to res</w:t>
      </w:r>
      <w:r>
        <w:rPr>
          <w:color w:val="545254"/>
          <w:w w:val="110"/>
        </w:rPr>
        <w:t>e</w:t>
      </w:r>
      <w:r>
        <w:rPr>
          <w:color w:val="3A3838"/>
          <w:w w:val="110"/>
        </w:rPr>
        <w:t>rve time for rebut­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tal, and give counsel only the time reserved. Other courts, in contrast, give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counsel</w:t>
      </w:r>
      <w:r>
        <w:rPr>
          <w:color w:val="3A3838"/>
          <w:spacing w:val="17"/>
          <w:w w:val="110"/>
        </w:rPr>
        <w:t> </w:t>
      </w:r>
      <w:r>
        <w:rPr>
          <w:color w:val="3A3838"/>
          <w:w w:val="110"/>
        </w:rPr>
        <w:t>the</w:t>
      </w:r>
      <w:r>
        <w:rPr>
          <w:color w:val="3A3838"/>
          <w:spacing w:val="11"/>
          <w:w w:val="110"/>
        </w:rPr>
        <w:t> </w:t>
      </w:r>
      <w:r>
        <w:rPr>
          <w:color w:val="3A3838"/>
          <w:w w:val="110"/>
        </w:rPr>
        <w:t>reserved</w:t>
      </w:r>
      <w:r>
        <w:rPr>
          <w:color w:val="3A3838"/>
          <w:spacing w:val="28"/>
          <w:w w:val="110"/>
        </w:rPr>
        <w:t> </w:t>
      </w:r>
      <w:r>
        <w:rPr>
          <w:color w:val="3A3838"/>
          <w:w w:val="110"/>
        </w:rPr>
        <w:t>time</w:t>
      </w:r>
      <w:r>
        <w:rPr>
          <w:color w:val="3A3838"/>
          <w:spacing w:val="2"/>
          <w:w w:val="110"/>
        </w:rPr>
        <w:t> </w:t>
      </w:r>
      <w:r>
        <w:rPr>
          <w:color w:val="3A3838"/>
          <w:w w:val="110"/>
        </w:rPr>
        <w:t>along</w:t>
      </w:r>
      <w:r>
        <w:rPr>
          <w:color w:val="3A3838"/>
          <w:spacing w:val="1"/>
          <w:w w:val="110"/>
        </w:rPr>
        <w:t> </w:t>
      </w:r>
      <w:r>
        <w:rPr>
          <w:color w:val="3A3838"/>
          <w:w w:val="110"/>
        </w:rPr>
        <w:t>with</w:t>
      </w:r>
      <w:r>
        <w:rPr>
          <w:color w:val="3A3838"/>
          <w:spacing w:val="10"/>
          <w:w w:val="110"/>
        </w:rPr>
        <w:t> </w:t>
      </w:r>
      <w:r>
        <w:rPr>
          <w:color w:val="3A3838"/>
          <w:w w:val="110"/>
        </w:rPr>
        <w:t>any</w:t>
      </w:r>
      <w:r>
        <w:rPr>
          <w:color w:val="3A3838"/>
          <w:spacing w:val="7"/>
          <w:w w:val="110"/>
        </w:rPr>
        <w:t> </w:t>
      </w:r>
      <w:r>
        <w:rPr>
          <w:color w:val="3A3838"/>
          <w:w w:val="110"/>
        </w:rPr>
        <w:t>argument</w:t>
      </w:r>
      <w:r>
        <w:rPr>
          <w:color w:val="3A3838"/>
          <w:spacing w:val="33"/>
          <w:w w:val="110"/>
        </w:rPr>
        <w:t> </w:t>
      </w:r>
      <w:r>
        <w:rPr>
          <w:color w:val="3A3838"/>
          <w:w w:val="110"/>
        </w:rPr>
        <w:t>time</w:t>
      </w:r>
      <w:r>
        <w:rPr>
          <w:color w:val="3A3838"/>
          <w:spacing w:val="11"/>
          <w:w w:val="110"/>
        </w:rPr>
        <w:t> </w:t>
      </w:r>
      <w:r>
        <w:rPr>
          <w:color w:val="3A3838"/>
          <w:w w:val="110"/>
        </w:rPr>
        <w:t>that</w:t>
      </w:r>
      <w:r>
        <w:rPr>
          <w:color w:val="3A3838"/>
          <w:spacing w:val="9"/>
          <w:w w:val="110"/>
        </w:rPr>
        <w:t> </w:t>
      </w:r>
      <w:r>
        <w:rPr>
          <w:color w:val="3A3838"/>
          <w:w w:val="110"/>
        </w:rPr>
        <w:t>wasunused.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0"/>
        <w:ind w:left="555" w:right="0" w:firstLine="0"/>
        <w:jc w:val="left"/>
        <w:rPr>
          <w:sz w:val="17"/>
        </w:rPr>
      </w:pPr>
      <w:r>
        <w:rPr>
          <w:color w:val="3A3838"/>
          <w:w w:val="110"/>
          <w:sz w:val="17"/>
        </w:rPr>
        <w:t>"'Ginsburg</w:t>
      </w:r>
      <w:r>
        <w:rPr>
          <w:color w:val="545254"/>
          <w:w w:val="110"/>
          <w:sz w:val="17"/>
        </w:rPr>
        <w:t>,</w:t>
      </w:r>
      <w:r>
        <w:rPr>
          <w:color w:val="545254"/>
          <w:spacing w:val="26"/>
          <w:w w:val="110"/>
          <w:sz w:val="17"/>
        </w:rPr>
        <w:t> </w:t>
      </w:r>
      <w:r>
        <w:rPr>
          <w:i/>
          <w:color w:val="3A3838"/>
          <w:w w:val="110"/>
          <w:sz w:val="19"/>
        </w:rPr>
        <w:t>supra</w:t>
      </w:r>
      <w:r>
        <w:rPr>
          <w:i/>
          <w:color w:val="3A3838"/>
          <w:spacing w:val="21"/>
          <w:w w:val="110"/>
          <w:sz w:val="19"/>
        </w:rPr>
        <w:t> </w:t>
      </w:r>
      <w:r>
        <w:rPr>
          <w:color w:val="3A3838"/>
          <w:w w:val="110"/>
          <w:sz w:val="17"/>
        </w:rPr>
        <w:t>note</w:t>
      </w:r>
      <w:r>
        <w:rPr>
          <w:color w:val="3A3838"/>
          <w:spacing w:val="3"/>
          <w:w w:val="110"/>
          <w:sz w:val="17"/>
        </w:rPr>
        <w:t> </w:t>
      </w:r>
      <w:r>
        <w:rPr>
          <w:color w:val="3A3838"/>
          <w:w w:val="110"/>
          <w:sz w:val="17"/>
        </w:rPr>
        <w:t>1,</w:t>
      </w:r>
      <w:r>
        <w:rPr>
          <w:color w:val="3A3838"/>
          <w:spacing w:val="-12"/>
          <w:w w:val="110"/>
          <w:sz w:val="17"/>
        </w:rPr>
        <w:t> </w:t>
      </w:r>
      <w:r>
        <w:rPr>
          <w:color w:val="3A3838"/>
          <w:w w:val="110"/>
          <w:sz w:val="17"/>
        </w:rPr>
        <w:t>at</w:t>
      </w:r>
      <w:r>
        <w:rPr>
          <w:color w:val="3A3838"/>
          <w:spacing w:val="13"/>
          <w:w w:val="110"/>
          <w:sz w:val="17"/>
        </w:rPr>
        <w:t> </w:t>
      </w:r>
      <w:r>
        <w:rPr>
          <w:color w:val="3A3838"/>
          <w:w w:val="110"/>
          <w:sz w:val="17"/>
        </w:rPr>
        <w:t>569•70.</w:t>
      </w:r>
    </w:p>
    <w:p>
      <w:pPr>
        <w:spacing w:after="0"/>
        <w:jc w:val="left"/>
        <w:rPr>
          <w:sz w:val="17"/>
        </w:rPr>
        <w:sectPr>
          <w:headerReference w:type="default" r:id="rId344"/>
          <w:headerReference w:type="even" r:id="rId345"/>
          <w:pgSz w:w="9780" w:h="14000"/>
          <w:pgMar w:header="601" w:footer="0" w:top="960" w:bottom="0" w:left="340" w:right="1360"/>
        </w:sectPr>
      </w:pPr>
    </w:p>
    <w:p>
      <w:pPr>
        <w:pStyle w:val="BodyText"/>
        <w:spacing w:line="232" w:lineRule="auto" w:before="87"/>
        <w:ind w:left="1736" w:right="101" w:firstLine="1"/>
        <w:jc w:val="both"/>
      </w:pPr>
      <w:r>
        <w:rPr>
          <w:color w:val="383636"/>
          <w:w w:val="105"/>
        </w:rPr>
        <w:t>If the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court limits rebuttal to the time reserved, </w:t>
      </w:r>
      <w:r>
        <w:rPr>
          <w:i/>
          <w:color w:val="383636"/>
          <w:w w:val="105"/>
          <w:sz w:val="24"/>
        </w:rPr>
        <w:t>you </w:t>
      </w:r>
      <w:r>
        <w:rPr>
          <w:color w:val="383636"/>
          <w:w w:val="105"/>
        </w:rPr>
        <w:t>should reserve a more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generous amount of time; if the court adds unused argument time to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rebuttal, you can reserve less time. Be sure you understand your own local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rules</w:t>
      </w:r>
      <w:r>
        <w:rPr>
          <w:color w:val="383636"/>
          <w:spacing w:val="-23"/>
          <w:w w:val="110"/>
        </w:rPr>
        <w:t> </w:t>
      </w:r>
      <w:r>
        <w:rPr>
          <w:color w:val="383636"/>
          <w:w w:val="110"/>
        </w:rPr>
        <w:t>as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11"/>
          <w:w w:val="110"/>
        </w:rPr>
        <w:t> </w:t>
      </w:r>
      <w:r>
        <w:rPr>
          <w:color w:val="383636"/>
          <w:w w:val="110"/>
        </w:rPr>
        <w:t>rebuttal before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0"/>
          <w:w w:val="110"/>
        </w:rPr>
        <w:t> </w:t>
      </w:r>
      <w:r>
        <w:rPr>
          <w:color w:val="383636"/>
          <w:w w:val="110"/>
        </w:rPr>
        <w:t>day</w:t>
      </w:r>
      <w:r>
        <w:rPr>
          <w:color w:val="383636"/>
          <w:spacing w:val="8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3"/>
          <w:w w:val="110"/>
        </w:rPr>
        <w:t> </w:t>
      </w:r>
      <w:r>
        <w:rPr>
          <w:color w:val="383636"/>
          <w:w w:val="110"/>
        </w:rPr>
        <w:t>your</w:t>
      </w:r>
      <w:r>
        <w:rPr>
          <w:color w:val="383636"/>
          <w:spacing w:val="-14"/>
          <w:w w:val="110"/>
        </w:rPr>
        <w:t> </w:t>
      </w:r>
      <w:r>
        <w:rPr>
          <w:color w:val="383636"/>
          <w:w w:val="110"/>
        </w:rPr>
        <w:t>argument.</w:t>
      </w:r>
    </w:p>
    <w:p>
      <w:pPr>
        <w:pStyle w:val="BodyText"/>
        <w:spacing w:line="235" w:lineRule="auto"/>
        <w:ind w:left="1722" w:right="100" w:firstLine="385"/>
        <w:jc w:val="both"/>
      </w:pPr>
      <w:r>
        <w:rPr>
          <w:color w:val="383636"/>
          <w:w w:val="110"/>
        </w:rPr>
        <w:t>Although final decisions about what to say in rebuttal must be made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on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the  spot, there are some guidelines you can follow to make your rebut­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tal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more effective. First, remember that rebuttal is for rebuttal only.</w:t>
      </w:r>
      <w:r>
        <w:rPr>
          <w:color w:val="383636"/>
          <w:w w:val="105"/>
          <w:position w:val="8"/>
          <w:sz w:val="12"/>
        </w:rPr>
        <w:t>41</w:t>
      </w:r>
      <w:r>
        <w:rPr>
          <w:color w:val="383636"/>
          <w:spacing w:val="1"/>
          <w:w w:val="105"/>
          <w:position w:val="8"/>
          <w:sz w:val="12"/>
        </w:rPr>
        <w:t> </w:t>
      </w:r>
      <w:r>
        <w:rPr>
          <w:rFonts w:ascii="Arial" w:hAnsi="Arial"/>
          <w:color w:val="383636"/>
          <w:w w:val="105"/>
          <w:sz w:val="22"/>
        </w:rPr>
        <w:t>Any</w:t>
      </w:r>
      <w:r>
        <w:rPr>
          <w:rFonts w:ascii="Arial" w:hAnsi="Arial"/>
          <w:color w:val="383636"/>
          <w:spacing w:val="1"/>
          <w:w w:val="105"/>
          <w:sz w:val="22"/>
        </w:rPr>
        <w:t> </w:t>
      </w:r>
      <w:r>
        <w:rPr>
          <w:color w:val="383636"/>
          <w:w w:val="110"/>
        </w:rPr>
        <w:t>point you make on rebuttal should be a response to a point made during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your opponent's argument. Some courts will interrupt counsel who </w:t>
      </w:r>
      <w:r>
        <w:rPr>
          <w:rFonts w:ascii="Arial" w:hAnsi="Arial"/>
          <w:color w:val="383636"/>
          <w:w w:val="110"/>
          <w:sz w:val="21"/>
        </w:rPr>
        <w:t>try </w:t>
      </w:r>
      <w:r>
        <w:rPr>
          <w:color w:val="383636"/>
          <w:w w:val="110"/>
        </w:rPr>
        <w:t>to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use</w:t>
      </w:r>
      <w:r>
        <w:rPr>
          <w:color w:val="383636"/>
          <w:spacing w:val="-23"/>
          <w:w w:val="110"/>
        </w:rPr>
        <w:t> </w:t>
      </w:r>
      <w:r>
        <w:rPr>
          <w:color w:val="383636"/>
          <w:w w:val="110"/>
        </w:rPr>
        <w:t>rebuttal</w:t>
      </w:r>
      <w:r>
        <w:rPr>
          <w:color w:val="383636"/>
          <w:spacing w:val="-6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-2"/>
          <w:w w:val="110"/>
        </w:rPr>
        <w:t> </w:t>
      </w:r>
      <w:r>
        <w:rPr>
          <w:color w:val="383636"/>
          <w:w w:val="110"/>
        </w:rPr>
        <w:t>"finish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up"</w:t>
      </w:r>
      <w:r>
        <w:rPr>
          <w:color w:val="383636"/>
          <w:spacing w:val="-13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2"/>
          <w:w w:val="110"/>
        </w:rPr>
        <w:t> </w:t>
      </w:r>
      <w:r>
        <w:rPr>
          <w:color w:val="383636"/>
          <w:w w:val="110"/>
        </w:rPr>
        <w:t>main</w:t>
      </w:r>
      <w:r>
        <w:rPr>
          <w:color w:val="383636"/>
          <w:spacing w:val="-15"/>
          <w:w w:val="110"/>
        </w:rPr>
        <w:t> </w:t>
      </w:r>
      <w:r>
        <w:rPr>
          <w:color w:val="383636"/>
          <w:w w:val="110"/>
        </w:rPr>
        <w:t>argument,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saying,</w:t>
      </w:r>
      <w:r>
        <w:rPr>
          <w:color w:val="383636"/>
          <w:spacing w:val="-10"/>
          <w:w w:val="110"/>
        </w:rPr>
        <w:t> </w:t>
      </w:r>
      <w:r>
        <w:rPr>
          <w:color w:val="383636"/>
          <w:w w:val="110"/>
        </w:rPr>
        <w:t>"Counselor,</w:t>
      </w:r>
      <w:r>
        <w:rPr>
          <w:color w:val="383636"/>
          <w:spacing w:val="2"/>
          <w:w w:val="110"/>
        </w:rPr>
        <w:t> </w:t>
      </w:r>
      <w:r>
        <w:rPr>
          <w:color w:val="383636"/>
          <w:w w:val="110"/>
        </w:rPr>
        <w:t>do</w:t>
      </w:r>
      <w:r>
        <w:rPr>
          <w:color w:val="383636"/>
          <w:spacing w:val="-30"/>
          <w:w w:val="110"/>
        </w:rPr>
        <w:t> </w:t>
      </w:r>
      <w:r>
        <w:rPr>
          <w:color w:val="383636"/>
          <w:w w:val="110"/>
        </w:rPr>
        <w:t>you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have</w:t>
      </w:r>
      <w:r>
        <w:rPr>
          <w:color w:val="383636"/>
          <w:spacing w:val="-23"/>
          <w:w w:val="110"/>
        </w:rPr>
        <w:t> </w:t>
      </w:r>
      <w:r>
        <w:rPr>
          <w:color w:val="383636"/>
          <w:w w:val="110"/>
        </w:rPr>
        <w:t>any</w:t>
      </w:r>
      <w:r>
        <w:rPr>
          <w:color w:val="383636"/>
          <w:spacing w:val="11"/>
          <w:w w:val="110"/>
        </w:rPr>
        <w:t> </w:t>
      </w:r>
      <w:r>
        <w:rPr>
          <w:color w:val="383636"/>
          <w:w w:val="110"/>
        </w:rPr>
        <w:t>rebuttal</w:t>
      </w:r>
      <w:r>
        <w:rPr>
          <w:color w:val="383636"/>
          <w:spacing w:val="-8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12"/>
          <w:w w:val="110"/>
        </w:rPr>
        <w:t> </w:t>
      </w:r>
      <w:r>
        <w:rPr>
          <w:color w:val="383636"/>
          <w:w w:val="110"/>
        </w:rPr>
        <w:t>offer?"</w:t>
      </w:r>
    </w:p>
    <w:p>
      <w:pPr>
        <w:pStyle w:val="BodyText"/>
        <w:spacing w:line="232" w:lineRule="auto"/>
        <w:ind w:left="1682" w:right="110" w:firstLine="393"/>
        <w:jc w:val="both"/>
      </w:pPr>
      <w:r>
        <w:rPr>
          <w:color w:val="383636"/>
          <w:w w:val="110"/>
        </w:rPr>
        <w:t>Second, even though you must use rebuttal to respond to statements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that opposing counsel has made during the argument, you should prepare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05"/>
        </w:rPr>
        <w:t>for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rebuttal while you prepare your argument</w:t>
      </w:r>
      <w:r>
        <w:rPr>
          <w:color w:val="565456"/>
          <w:w w:val="105"/>
        </w:rPr>
        <w:t>. </w:t>
      </w:r>
      <w:r>
        <w:rPr>
          <w:color w:val="383636"/>
          <w:w w:val="105"/>
        </w:rPr>
        <w:t>You can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reasonably antici­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5"/>
        </w:rPr>
        <w:t>pate many of the points that your opponent will make. In a moot court</w:t>
      </w:r>
      <w:r>
        <w:rPr>
          <w:color w:val="383636"/>
          <w:spacing w:val="-64"/>
          <w:w w:val="115"/>
        </w:rPr>
        <w:t> </w:t>
      </w:r>
      <w:r>
        <w:rPr>
          <w:color w:val="383636"/>
          <w:w w:val="115"/>
        </w:rPr>
        <w:t>argument, you might identify the points to which you have a "clean"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response-that is, a response that will not draw painful questions </w:t>
      </w:r>
      <w:r>
        <w:rPr>
          <w:rFonts w:ascii="Arial" w:hAnsi="Arial"/>
          <w:color w:val="383636"/>
          <w:w w:val="115"/>
          <w:sz w:val="20"/>
        </w:rPr>
        <w:t>from</w:t>
      </w:r>
      <w:r>
        <w:rPr>
          <w:rFonts w:ascii="Arial" w:hAnsi="Arial"/>
          <w:color w:val="383636"/>
          <w:spacing w:val="1"/>
          <w:w w:val="115"/>
          <w:sz w:val="20"/>
        </w:rPr>
        <w:t> </w:t>
      </w:r>
      <w:r>
        <w:rPr>
          <w:color w:val="383636"/>
          <w:w w:val="110"/>
        </w:rPr>
        <w:t>the bench. In real life, of course, you should identify the points that are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most crucial to your argument, for you must address those points even if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they</w:t>
      </w:r>
      <w:r>
        <w:rPr>
          <w:color w:val="383636"/>
          <w:spacing w:val="-13"/>
          <w:w w:val="110"/>
        </w:rPr>
        <w:t> </w:t>
      </w:r>
      <w:r>
        <w:rPr>
          <w:color w:val="383636"/>
          <w:w w:val="110"/>
        </w:rPr>
        <w:t>result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29"/>
          <w:w w:val="110"/>
        </w:rPr>
        <w:t> </w:t>
      </w:r>
      <w:r>
        <w:rPr>
          <w:color w:val="383636"/>
          <w:w w:val="110"/>
        </w:rPr>
        <w:t>painful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questions.</w:t>
      </w:r>
    </w:p>
    <w:p>
      <w:pPr>
        <w:pStyle w:val="BodyText"/>
        <w:spacing w:line="232" w:lineRule="auto"/>
        <w:ind w:left="1635" w:right="119" w:firstLine="412"/>
        <w:jc w:val="both"/>
      </w:pPr>
      <w:r>
        <w:rPr>
          <w:color w:val="383636"/>
          <w:w w:val="115"/>
        </w:rPr>
        <w:t>Plan ahead, even make an outline, and then, during the argument,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note which points your opponent actually makes. You might even jot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down a word or phrase from your opponent's presentation to make your</w:t>
      </w:r>
      <w:r>
        <w:rPr>
          <w:color w:val="383636"/>
          <w:spacing w:val="1"/>
          <w:w w:val="110"/>
        </w:rPr>
        <w:t> </w:t>
      </w:r>
      <w:r>
        <w:rPr>
          <w:color w:val="383636"/>
          <w:spacing w:val="-1"/>
          <w:w w:val="115"/>
        </w:rPr>
        <w:t>point</w:t>
      </w:r>
      <w:r>
        <w:rPr>
          <w:color w:val="383636"/>
          <w:spacing w:val="-10"/>
          <w:w w:val="115"/>
        </w:rPr>
        <w:t> </w:t>
      </w:r>
      <w:r>
        <w:rPr>
          <w:color w:val="383636"/>
          <w:spacing w:val="-1"/>
          <w:w w:val="115"/>
        </w:rPr>
        <w:t>more</w:t>
      </w:r>
      <w:r>
        <w:rPr>
          <w:color w:val="383636"/>
          <w:spacing w:val="-14"/>
          <w:w w:val="115"/>
        </w:rPr>
        <w:t> </w:t>
      </w:r>
      <w:r>
        <w:rPr>
          <w:color w:val="383636"/>
          <w:spacing w:val="-1"/>
          <w:w w:val="115"/>
        </w:rPr>
        <w:t>effective,</w:t>
      </w:r>
      <w:r>
        <w:rPr>
          <w:color w:val="383636"/>
          <w:spacing w:val="-4"/>
          <w:w w:val="115"/>
        </w:rPr>
        <w:t> </w:t>
      </w:r>
      <w:r>
        <w:rPr>
          <w:color w:val="383636"/>
          <w:spacing w:val="-1"/>
          <w:w w:val="115"/>
        </w:rPr>
        <w:t>e.g.,</w:t>
      </w:r>
      <w:r>
        <w:rPr>
          <w:color w:val="383636"/>
          <w:spacing w:val="-11"/>
          <w:w w:val="115"/>
        </w:rPr>
        <w:t> </w:t>
      </w:r>
      <w:r>
        <w:rPr>
          <w:color w:val="383636"/>
          <w:w w:val="115"/>
        </w:rPr>
        <w:t>"Your</w:t>
      </w:r>
      <w:r>
        <w:rPr>
          <w:color w:val="383636"/>
          <w:spacing w:val="-10"/>
          <w:w w:val="115"/>
        </w:rPr>
        <w:t> </w:t>
      </w:r>
      <w:r>
        <w:rPr>
          <w:color w:val="383636"/>
          <w:w w:val="115"/>
        </w:rPr>
        <w:t>honors,</w:t>
      </w:r>
      <w:r>
        <w:rPr>
          <w:color w:val="383636"/>
          <w:spacing w:val="-13"/>
          <w:w w:val="115"/>
        </w:rPr>
        <w:t> </w:t>
      </w:r>
      <w:r>
        <w:rPr>
          <w:color w:val="383636"/>
          <w:w w:val="115"/>
        </w:rPr>
        <w:t>counsel</w:t>
      </w:r>
      <w:r>
        <w:rPr>
          <w:color w:val="383636"/>
          <w:spacing w:val="-13"/>
          <w:w w:val="115"/>
        </w:rPr>
        <w:t> </w:t>
      </w:r>
      <w:r>
        <w:rPr>
          <w:color w:val="383636"/>
          <w:w w:val="115"/>
        </w:rPr>
        <w:t>for</w:t>
      </w:r>
      <w:r>
        <w:rPr>
          <w:color w:val="383636"/>
          <w:spacing w:val="-5"/>
          <w:w w:val="115"/>
        </w:rPr>
        <w:t> </w:t>
      </w:r>
      <w:r>
        <w:rPr>
          <w:color w:val="383636"/>
          <w:w w:val="115"/>
        </w:rPr>
        <w:t>Respondent</w:t>
      </w:r>
      <w:r>
        <w:rPr>
          <w:color w:val="383636"/>
          <w:spacing w:val="-9"/>
          <w:w w:val="115"/>
        </w:rPr>
        <w:t> </w:t>
      </w:r>
      <w:r>
        <w:rPr>
          <w:color w:val="383636"/>
          <w:w w:val="115"/>
        </w:rPr>
        <w:t>stated</w:t>
      </w:r>
      <w:r>
        <w:rPr>
          <w:color w:val="383636"/>
          <w:spacing w:val="-64"/>
          <w:w w:val="115"/>
        </w:rPr>
        <w:t> </w:t>
      </w:r>
      <w:r>
        <w:rPr>
          <w:color w:val="383636"/>
          <w:w w:val="110"/>
        </w:rPr>
        <w:t>that Ms. Miller's attempts to establish a relationship with her father were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'too little, too late</w:t>
      </w:r>
      <w:r>
        <w:rPr>
          <w:color w:val="565456"/>
          <w:w w:val="115"/>
        </w:rPr>
        <w:t>.</w:t>
      </w:r>
      <w:r>
        <w:rPr>
          <w:color w:val="383636"/>
          <w:w w:val="115"/>
        </w:rPr>
        <w:t>' This time limit on family relationships is precisely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what</w:t>
      </w:r>
      <w:r>
        <w:rPr>
          <w:color w:val="383636"/>
          <w:spacing w:val="-2"/>
          <w:w w:val="110"/>
        </w:rPr>
        <w:t> </w:t>
      </w:r>
      <w:r>
        <w:rPr>
          <w:color w:val="383636"/>
          <w:w w:val="110"/>
        </w:rPr>
        <w:t>is</w:t>
      </w:r>
      <w:r>
        <w:rPr>
          <w:color w:val="383636"/>
          <w:spacing w:val="-21"/>
          <w:w w:val="110"/>
        </w:rPr>
        <w:t> </w:t>
      </w:r>
      <w:r>
        <w:rPr>
          <w:color w:val="383636"/>
          <w:w w:val="110"/>
        </w:rPr>
        <w:t>wrong</w:t>
      </w:r>
      <w:r>
        <w:rPr>
          <w:color w:val="383636"/>
          <w:spacing w:val="-10"/>
          <w:w w:val="110"/>
        </w:rPr>
        <w:t> </w:t>
      </w:r>
      <w:r>
        <w:rPr>
          <w:color w:val="383636"/>
          <w:w w:val="110"/>
        </w:rPr>
        <w:t>with</w:t>
      </w:r>
      <w:r>
        <w:rPr>
          <w:color w:val="383636"/>
          <w:spacing w:val="-22"/>
          <w:w w:val="110"/>
        </w:rPr>
        <w:t> </w:t>
      </w:r>
      <w:r>
        <w:rPr>
          <w:color w:val="383636"/>
          <w:w w:val="110"/>
        </w:rPr>
        <w:t>Section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1409(a)."</w:t>
      </w:r>
    </w:p>
    <w:p>
      <w:pPr>
        <w:pStyle w:val="BodyText"/>
        <w:spacing w:line="232" w:lineRule="auto"/>
        <w:ind w:left="1596" w:right="123" w:firstLine="399"/>
        <w:jc w:val="both"/>
      </w:pPr>
      <w:r>
        <w:rPr>
          <w:color w:val="383636"/>
          <w:w w:val="110"/>
        </w:rPr>
        <w:t>Third, don't sweat the small stuff. Unless an otherwise small error has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legal significance in your case, rebuttal is not the time to point out that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your opponent has given the wrong year in a case citation, confused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parties' names, or made some other picayune error. This kind of fussiness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hurts</w:t>
      </w:r>
      <w:r>
        <w:rPr>
          <w:color w:val="383636"/>
          <w:spacing w:val="-18"/>
          <w:w w:val="110"/>
        </w:rPr>
        <w:t> </w:t>
      </w:r>
      <w:r>
        <w:rPr>
          <w:color w:val="383636"/>
          <w:w w:val="110"/>
        </w:rPr>
        <w:t>you</w:t>
      </w:r>
      <w:r>
        <w:rPr>
          <w:color w:val="383636"/>
          <w:spacing w:val="-26"/>
          <w:w w:val="110"/>
        </w:rPr>
        <w:t> </w:t>
      </w:r>
      <w:r>
        <w:rPr>
          <w:color w:val="383636"/>
          <w:w w:val="110"/>
        </w:rPr>
        <w:t>more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than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it</w:t>
      </w:r>
      <w:r>
        <w:rPr>
          <w:color w:val="383636"/>
          <w:spacing w:val="8"/>
          <w:w w:val="110"/>
        </w:rPr>
        <w:t> </w:t>
      </w:r>
      <w:r>
        <w:rPr>
          <w:color w:val="383636"/>
          <w:w w:val="110"/>
        </w:rPr>
        <w:t>helps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you.</w:t>
      </w:r>
    </w:p>
    <w:p>
      <w:pPr>
        <w:pStyle w:val="BodyText"/>
        <w:spacing w:line="232" w:lineRule="auto"/>
        <w:ind w:left="1547" w:right="133" w:firstLine="422"/>
        <w:jc w:val="both"/>
      </w:pPr>
      <w:r>
        <w:rPr>
          <w:color w:val="383636"/>
          <w:w w:val="110"/>
        </w:rPr>
        <w:t>Finally,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make your points and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then sit down. Although this advice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holds true at aU stages in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argument, it is particularly important on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rebuttal. When you stand up to give your rebuttal, address the court and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then tell it how many points you plan to make, e.g., "Your honors, I have</w:t>
      </w:r>
      <w:r>
        <w:rPr>
          <w:color w:val="383636"/>
          <w:spacing w:val="1"/>
          <w:w w:val="110"/>
        </w:rPr>
        <w:t> </w:t>
      </w:r>
      <w:r>
        <w:rPr>
          <w:color w:val="383636"/>
          <w:spacing w:val="-1"/>
          <w:w w:val="110"/>
        </w:rPr>
        <w:t>two</w:t>
      </w:r>
      <w:r>
        <w:rPr>
          <w:color w:val="383636"/>
          <w:spacing w:val="50"/>
          <w:w w:val="110"/>
        </w:rPr>
        <w:t> </w:t>
      </w:r>
      <w:r>
        <w:rPr>
          <w:rFonts w:ascii="Arial"/>
          <w:i/>
          <w:color w:val="383636"/>
          <w:spacing w:val="-1"/>
          <w:w w:val="110"/>
          <w:sz w:val="22"/>
        </w:rPr>
        <w:t>points</w:t>
      </w:r>
      <w:r>
        <w:rPr>
          <w:rFonts w:ascii="Arial"/>
          <w:i/>
          <w:color w:val="383636"/>
          <w:spacing w:val="-9"/>
          <w:w w:val="110"/>
          <w:sz w:val="22"/>
        </w:rPr>
        <w:t> </w:t>
      </w:r>
      <w:r>
        <w:rPr>
          <w:color w:val="383636"/>
          <w:spacing w:val="-1"/>
          <w:w w:val="110"/>
        </w:rPr>
        <w:t>on</w:t>
      </w:r>
      <w:r>
        <w:rPr>
          <w:color w:val="383636"/>
          <w:spacing w:val="34"/>
          <w:w w:val="110"/>
        </w:rPr>
        <w:t> </w:t>
      </w:r>
      <w:r>
        <w:rPr>
          <w:color w:val="383636"/>
          <w:spacing w:val="-1"/>
          <w:w w:val="110"/>
        </w:rPr>
        <w:t>rebuttal.</w:t>
      </w:r>
      <w:r>
        <w:rPr>
          <w:color w:val="383636"/>
          <w:spacing w:val="3"/>
          <w:w w:val="110"/>
        </w:rPr>
        <w:t> </w:t>
      </w:r>
      <w:r>
        <w:rPr>
          <w:color w:val="383636"/>
          <w:spacing w:val="-1"/>
          <w:w w:val="110"/>
        </w:rPr>
        <w:t>First,</w:t>
      </w:r>
      <w:r>
        <w:rPr>
          <w:color w:val="383636"/>
          <w:spacing w:val="1"/>
          <w:w w:val="110"/>
        </w:rPr>
        <w:t> </w:t>
      </w:r>
      <w:r>
        <w:rPr>
          <w:color w:val="383636"/>
          <w:spacing w:val="-1"/>
          <w:w w:val="110"/>
        </w:rPr>
        <w:t>counsel</w:t>
      </w:r>
      <w:r>
        <w:rPr>
          <w:color w:val="383636"/>
          <w:spacing w:val="-5"/>
          <w:w w:val="110"/>
        </w:rPr>
        <w:t> </w:t>
      </w:r>
      <w:r>
        <w:rPr>
          <w:color w:val="383636"/>
          <w:spacing w:val="-1"/>
          <w:w w:val="110"/>
        </w:rPr>
        <w:t>for</w:t>
      </w:r>
      <w:r>
        <w:rPr>
          <w:color w:val="383636"/>
          <w:spacing w:val="6"/>
          <w:w w:val="110"/>
        </w:rPr>
        <w:t> </w:t>
      </w:r>
      <w:r>
        <w:rPr>
          <w:color w:val="383636"/>
          <w:w w:val="110"/>
        </w:rPr>
        <w:t>Respondent</w:t>
      </w:r>
      <w:r>
        <w:rPr>
          <w:color w:val="383636"/>
          <w:spacing w:val="3"/>
          <w:w w:val="110"/>
        </w:rPr>
        <w:t> </w:t>
      </w:r>
      <w:r>
        <w:rPr>
          <w:color w:val="383636"/>
          <w:w w:val="110"/>
        </w:rPr>
        <w:t>stated        </w:t>
      </w:r>
      <w:r>
        <w:rPr>
          <w:color w:val="383636"/>
          <w:spacing w:val="2"/>
          <w:w w:val="110"/>
        </w:rPr>
        <w:t> </w:t>
      </w:r>
      <w:r>
        <w:rPr>
          <w:color w:val="383636"/>
          <w:w w:val="110"/>
        </w:rPr>
        <w:t>This</w:t>
      </w:r>
      <w:r>
        <w:rPr>
          <w:color w:val="383636"/>
          <w:spacing w:val="-24"/>
          <w:w w:val="110"/>
        </w:rPr>
        <w:t> </w:t>
      </w:r>
      <w:r>
        <w:rPr>
          <w:color w:val="383636"/>
          <w:w w:val="110"/>
        </w:rPr>
        <w:t>fact</w:t>
      </w:r>
    </w:p>
    <w:p>
      <w:pPr>
        <w:pStyle w:val="BodyText"/>
        <w:spacing w:line="249" w:lineRule="exact"/>
        <w:ind w:left="1533"/>
        <w:jc w:val="both"/>
      </w:pPr>
      <w:r>
        <w:rPr>
          <w:color w:val="383636"/>
          <w:spacing w:val="-1"/>
          <w:w w:val="95"/>
        </w:rPr>
        <w:t>i</w:t>
      </w:r>
      <w:r>
        <w:rPr>
          <w:color w:val="383636"/>
          <w:w w:val="95"/>
        </w:rPr>
        <w:t>s</w:t>
      </w:r>
      <w:r>
        <w:rPr>
          <w:color w:val="383636"/>
        </w:rPr>
        <w:t> </w:t>
      </w:r>
      <w:r>
        <w:rPr>
          <w:color w:val="383636"/>
          <w:spacing w:val="-21"/>
        </w:rPr>
        <w:t> </w:t>
      </w:r>
      <w:r>
        <w:rPr>
          <w:color w:val="383636"/>
          <w:spacing w:val="-1"/>
          <w:w w:val="113"/>
        </w:rPr>
        <w:t>irrelevan</w:t>
      </w:r>
      <w:r>
        <w:rPr>
          <w:color w:val="383636"/>
          <w:w w:val="113"/>
        </w:rPr>
        <w:t>t</w:t>
      </w:r>
      <w:r>
        <w:rPr>
          <w:color w:val="383636"/>
        </w:rPr>
        <w:t> </w:t>
      </w:r>
      <w:r>
        <w:rPr>
          <w:color w:val="383636"/>
          <w:spacing w:val="-26"/>
        </w:rPr>
        <w:t> </w:t>
      </w:r>
      <w:r>
        <w:rPr>
          <w:color w:val="383636"/>
          <w:w w:val="110"/>
        </w:rPr>
        <w:t>because</w:t>
      </w:r>
      <w:r>
        <w:rPr>
          <w:color w:val="383636"/>
          <w:spacing w:val="8"/>
        </w:rPr>
        <w:t> </w:t>
      </w:r>
      <w:r>
        <w:rPr>
          <w:color w:val="383636"/>
          <w:w w:val="247"/>
        </w:rPr>
        <w:t>...</w:t>
      </w:r>
      <w:r>
        <w:rPr>
          <w:color w:val="383636"/>
          <w:spacing w:val="2"/>
          <w:w w:val="247"/>
        </w:rPr>
        <w:t>.</w:t>
      </w:r>
      <w:r>
        <w:rPr>
          <w:color w:val="383636"/>
          <w:spacing w:val="-1"/>
          <w:w w:val="110"/>
        </w:rPr>
        <w:t>Second</w:t>
      </w:r>
      <w:r>
        <w:rPr>
          <w:color w:val="383636"/>
          <w:w w:val="110"/>
        </w:rPr>
        <w:t>,</w:t>
      </w:r>
      <w:r>
        <w:rPr>
          <w:color w:val="383636"/>
          <w:spacing w:val="14"/>
        </w:rPr>
        <w:t> </w:t>
      </w:r>
      <w:r>
        <w:rPr>
          <w:color w:val="383636"/>
          <w:spacing w:val="-1"/>
          <w:w w:val="114"/>
        </w:rPr>
        <w:t>counse</w:t>
      </w:r>
      <w:r>
        <w:rPr>
          <w:color w:val="383636"/>
          <w:w w:val="114"/>
        </w:rPr>
        <w:t>l</w:t>
      </w:r>
      <w:r>
        <w:rPr>
          <w:color w:val="383636"/>
          <w:spacing w:val="7"/>
        </w:rPr>
        <w:t> </w:t>
      </w:r>
      <w:r>
        <w:rPr>
          <w:color w:val="383636"/>
          <w:spacing w:val="-1"/>
          <w:w w:val="114"/>
        </w:rPr>
        <w:t>cited</w:t>
      </w:r>
      <w:r>
        <w:rPr>
          <w:color w:val="383636"/>
          <w:w w:val="100"/>
        </w:rPr>
        <w:t> </w:t>
      </w:r>
      <w:r>
        <w:rPr>
          <w:color w:val="383636"/>
        </w:rPr>
        <w:t>         </w:t>
      </w:r>
      <w:r>
        <w:rPr>
          <w:color w:val="383636"/>
          <w:spacing w:val="5"/>
        </w:rPr>
        <w:t> </w:t>
      </w:r>
      <w:r>
        <w:rPr>
          <w:color w:val="383636"/>
          <w:spacing w:val="-1"/>
          <w:w w:val="116"/>
        </w:rPr>
        <w:t>Tha</w:t>
      </w:r>
      <w:r>
        <w:rPr>
          <w:color w:val="383636"/>
          <w:w w:val="116"/>
        </w:rPr>
        <w:t>t</w:t>
      </w:r>
      <w:r>
        <w:rPr>
          <w:color w:val="383636"/>
          <w:spacing w:val="10"/>
        </w:rPr>
        <w:t> </w:t>
      </w:r>
      <w:r>
        <w:rPr>
          <w:color w:val="383636"/>
          <w:spacing w:val="-1"/>
          <w:w w:val="109"/>
        </w:rPr>
        <w:t>cas</w:t>
      </w:r>
      <w:r>
        <w:rPr>
          <w:color w:val="383636"/>
          <w:w w:val="109"/>
        </w:rPr>
        <w:t>e</w:t>
      </w:r>
      <w:r>
        <w:rPr>
          <w:color w:val="383636"/>
          <w:spacing w:val="2"/>
        </w:rPr>
        <w:t> </w:t>
      </w:r>
      <w:r>
        <w:rPr>
          <w:color w:val="383636"/>
          <w:w w:val="107"/>
        </w:rPr>
        <w:t>does</w:t>
      </w:r>
      <w:r>
        <w:rPr>
          <w:color w:val="383636"/>
          <w:spacing w:val="6"/>
        </w:rPr>
        <w:t> </w:t>
      </w:r>
      <w:r>
        <w:rPr>
          <w:color w:val="383636"/>
          <w:w w:val="103"/>
        </w:rPr>
        <w:t>not</w:t>
      </w:r>
    </w:p>
    <w:p>
      <w:pPr>
        <w:pStyle w:val="BodyText"/>
        <w:spacing w:line="255" w:lineRule="exact"/>
        <w:ind w:left="1522"/>
        <w:jc w:val="both"/>
      </w:pPr>
      <w:r>
        <w:rPr>
          <w:color w:val="383636"/>
          <w:w w:val="115"/>
        </w:rPr>
        <w:t>apply</w:t>
      </w:r>
      <w:r>
        <w:rPr>
          <w:color w:val="383636"/>
          <w:spacing w:val="-5"/>
          <w:w w:val="115"/>
        </w:rPr>
        <w:t> </w:t>
      </w:r>
      <w:r>
        <w:rPr>
          <w:color w:val="383636"/>
          <w:w w:val="115"/>
        </w:rPr>
        <w:t>here</w:t>
      </w:r>
      <w:r>
        <w:rPr>
          <w:color w:val="383636"/>
          <w:spacing w:val="-10"/>
          <w:w w:val="115"/>
        </w:rPr>
        <w:t> </w:t>
      </w:r>
      <w:r>
        <w:rPr>
          <w:color w:val="383636"/>
          <w:w w:val="115"/>
        </w:rPr>
        <w:t>because      </w:t>
      </w:r>
      <w:r>
        <w:rPr>
          <w:color w:val="383636"/>
          <w:spacing w:val="26"/>
          <w:w w:val="115"/>
        </w:rPr>
        <w:t> </w:t>
      </w:r>
      <w:r>
        <w:rPr>
          <w:color w:val="383636"/>
          <w:w w:val="115"/>
        </w:rPr>
        <w:t>Thank</w:t>
      </w:r>
      <w:r>
        <w:rPr>
          <w:color w:val="383636"/>
          <w:spacing w:val="-7"/>
          <w:w w:val="115"/>
        </w:rPr>
        <w:t> </w:t>
      </w:r>
      <w:r>
        <w:rPr>
          <w:color w:val="383636"/>
          <w:w w:val="115"/>
        </w:rPr>
        <w:t>you."</w:t>
      </w:r>
    </w:p>
    <w:p>
      <w:pPr>
        <w:pStyle w:val="BodyText"/>
        <w:spacing w:line="235" w:lineRule="auto"/>
        <w:ind w:left="1490" w:right="144" w:firstLine="412"/>
        <w:jc w:val="both"/>
      </w:pPr>
      <w:r>
        <w:rPr>
          <w:color w:val="383636"/>
          <w:w w:val="110"/>
        </w:rPr>
        <w:t>Be aware that many courts do not listen passively to a rebuttal. Thus,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you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must be as prepared to answer questions during the rebuttal as you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were</w:t>
      </w:r>
      <w:r>
        <w:rPr>
          <w:color w:val="383636"/>
          <w:spacing w:val="23"/>
          <w:w w:val="110"/>
        </w:rPr>
        <w:t> </w:t>
      </w:r>
      <w:r>
        <w:rPr>
          <w:color w:val="383636"/>
          <w:w w:val="110"/>
        </w:rPr>
        <w:t>during</w:t>
      </w:r>
      <w:r>
        <w:rPr>
          <w:color w:val="383636"/>
          <w:spacing w:val="23"/>
          <w:w w:val="110"/>
        </w:rPr>
        <w:t> </w:t>
      </w:r>
      <w:r>
        <w:rPr>
          <w:color w:val="383636"/>
          <w:w w:val="110"/>
        </w:rPr>
        <w:t>your</w:t>
      </w:r>
      <w:r>
        <w:rPr>
          <w:color w:val="383636"/>
          <w:spacing w:val="42"/>
          <w:w w:val="110"/>
        </w:rPr>
        <w:t> </w:t>
      </w:r>
      <w:r>
        <w:rPr>
          <w:color w:val="383636"/>
          <w:w w:val="110"/>
        </w:rPr>
        <w:t>main</w:t>
      </w:r>
      <w:r>
        <w:rPr>
          <w:color w:val="383636"/>
          <w:spacing w:val="31"/>
          <w:w w:val="110"/>
        </w:rPr>
        <w:t> </w:t>
      </w:r>
      <w:r>
        <w:rPr>
          <w:color w:val="383636"/>
          <w:w w:val="110"/>
        </w:rPr>
        <w:t>argument.</w:t>
      </w:r>
      <w:r>
        <w:rPr>
          <w:color w:val="383636"/>
          <w:spacing w:val="51"/>
          <w:w w:val="110"/>
        </w:rPr>
        <w:t> </w:t>
      </w:r>
      <w:r>
        <w:rPr>
          <w:color w:val="383636"/>
          <w:w w:val="110"/>
          <w:sz w:val="22"/>
        </w:rPr>
        <w:t>It</w:t>
      </w:r>
      <w:r>
        <w:rPr>
          <w:color w:val="383636"/>
          <w:spacing w:val="30"/>
          <w:w w:val="110"/>
          <w:sz w:val="22"/>
        </w:rPr>
        <w:t> </w:t>
      </w:r>
      <w:r>
        <w:rPr>
          <w:color w:val="383636"/>
          <w:w w:val="110"/>
        </w:rPr>
        <w:t>can</w:t>
      </w:r>
      <w:r>
        <w:rPr>
          <w:color w:val="383636"/>
          <w:spacing w:val="48"/>
          <w:w w:val="110"/>
        </w:rPr>
        <w:t> </w:t>
      </w:r>
      <w:r>
        <w:rPr>
          <w:color w:val="383636"/>
          <w:w w:val="110"/>
        </w:rPr>
        <w:t>be</w:t>
      </w:r>
      <w:r>
        <w:rPr>
          <w:color w:val="383636"/>
          <w:spacing w:val="15"/>
          <w:w w:val="110"/>
        </w:rPr>
        <w:t> </w:t>
      </w:r>
      <w:r>
        <w:rPr>
          <w:color w:val="383636"/>
          <w:w w:val="110"/>
        </w:rPr>
        <w:t>helpful,</w:t>
      </w:r>
      <w:r>
        <w:rPr>
          <w:color w:val="383636"/>
          <w:spacing w:val="38"/>
          <w:w w:val="110"/>
        </w:rPr>
        <w:t> </w:t>
      </w:r>
      <w:r>
        <w:rPr>
          <w:color w:val="383636"/>
          <w:w w:val="110"/>
        </w:rPr>
        <w:t>therefore,</w:t>
      </w:r>
      <w:r>
        <w:rPr>
          <w:color w:val="383636"/>
          <w:spacing w:val="52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30"/>
          <w:w w:val="110"/>
        </w:rPr>
        <w:t> </w:t>
      </w:r>
      <w:r>
        <w:rPr>
          <w:color w:val="383636"/>
          <w:w w:val="110"/>
        </w:rPr>
        <w:t>let</w:t>
      </w:r>
      <w:r>
        <w:rPr>
          <w:color w:val="383636"/>
          <w:spacing w:val="20"/>
          <w:w w:val="110"/>
        </w:rPr>
        <w:t> </w:t>
      </w:r>
      <w:r>
        <w:rPr>
          <w:color w:val="383636"/>
          <w:w w:val="110"/>
        </w:rPr>
        <w:t>the</w:t>
      </w:r>
    </w:p>
    <w:p>
      <w:pPr>
        <w:pStyle w:val="BodyText"/>
        <w:rPr>
          <w:sz w:val="26"/>
        </w:rPr>
      </w:pPr>
    </w:p>
    <w:p>
      <w:pPr>
        <w:spacing w:before="233"/>
        <w:ind w:left="1820" w:right="0" w:firstLine="0"/>
        <w:jc w:val="both"/>
        <w:rPr>
          <w:sz w:val="18"/>
        </w:rPr>
      </w:pPr>
      <w:r>
        <w:rPr>
          <w:rFonts w:ascii="Arial" w:hAnsi="Arial"/>
          <w:color w:val="383636"/>
          <w:sz w:val="20"/>
        </w:rPr>
        <w:t>◄</w:t>
      </w:r>
      <w:r>
        <w:rPr>
          <w:rFonts w:ascii="Arial" w:hAnsi="Arial"/>
          <w:i/>
          <w:color w:val="383636"/>
          <w:position w:val="5"/>
          <w:sz w:val="11"/>
        </w:rPr>
        <w:t>1</w:t>
      </w:r>
      <w:r>
        <w:rPr>
          <w:i/>
          <w:color w:val="383636"/>
          <w:sz w:val="20"/>
        </w:rPr>
        <w:t>see,</w:t>
      </w:r>
      <w:r>
        <w:rPr>
          <w:i/>
          <w:color w:val="383636"/>
          <w:spacing w:val="15"/>
          <w:sz w:val="20"/>
        </w:rPr>
        <w:t> </w:t>
      </w:r>
      <w:r>
        <w:rPr>
          <w:b/>
          <w:i/>
          <w:color w:val="383636"/>
          <w:sz w:val="17"/>
        </w:rPr>
        <w:t>e</w:t>
      </w:r>
      <w:r>
        <w:rPr>
          <w:b/>
          <w:i/>
          <w:color w:val="565456"/>
          <w:sz w:val="17"/>
        </w:rPr>
        <w:t>.</w:t>
      </w:r>
      <w:r>
        <w:rPr>
          <w:b/>
          <w:i/>
          <w:color w:val="383636"/>
          <w:sz w:val="17"/>
        </w:rPr>
        <w:t>g.,</w:t>
      </w:r>
      <w:r>
        <w:rPr>
          <w:b/>
          <w:i/>
          <w:color w:val="383636"/>
          <w:spacing w:val="35"/>
          <w:sz w:val="17"/>
        </w:rPr>
        <w:t> </w:t>
      </w:r>
      <w:r>
        <w:rPr>
          <w:color w:val="383636"/>
          <w:sz w:val="18"/>
        </w:rPr>
        <w:t>Wiener,</w:t>
      </w:r>
      <w:r>
        <w:rPr>
          <w:color w:val="383636"/>
          <w:spacing w:val="6"/>
          <w:sz w:val="18"/>
        </w:rPr>
        <w:t> </w:t>
      </w:r>
      <w:r>
        <w:rPr>
          <w:i/>
          <w:color w:val="383636"/>
          <w:sz w:val="20"/>
        </w:rPr>
        <w:t>supra</w:t>
      </w:r>
      <w:r>
        <w:rPr>
          <w:i/>
          <w:color w:val="383636"/>
          <w:spacing w:val="-8"/>
          <w:sz w:val="20"/>
        </w:rPr>
        <w:t> </w:t>
      </w:r>
      <w:r>
        <w:rPr>
          <w:color w:val="383636"/>
          <w:sz w:val="18"/>
        </w:rPr>
        <w:t>note</w:t>
      </w:r>
      <w:r>
        <w:rPr>
          <w:color w:val="383636"/>
          <w:spacing w:val="-1"/>
          <w:sz w:val="18"/>
        </w:rPr>
        <w:t> </w:t>
      </w:r>
      <w:r>
        <w:rPr>
          <w:color w:val="383636"/>
          <w:sz w:val="18"/>
        </w:rPr>
        <w:t>2</w:t>
      </w:r>
      <w:r>
        <w:rPr>
          <w:color w:val="565456"/>
          <w:sz w:val="18"/>
        </w:rPr>
        <w:t>,</w:t>
      </w:r>
      <w:r>
        <w:rPr>
          <w:color w:val="565456"/>
          <w:spacing w:val="12"/>
          <w:sz w:val="18"/>
        </w:rPr>
        <w:t> </w:t>
      </w:r>
      <w:r>
        <w:rPr>
          <w:color w:val="383636"/>
          <w:sz w:val="18"/>
        </w:rPr>
        <w:t>at</w:t>
      </w:r>
      <w:r>
        <w:rPr>
          <w:color w:val="383636"/>
          <w:spacing w:val="17"/>
          <w:sz w:val="18"/>
        </w:rPr>
        <w:t> </w:t>
      </w:r>
      <w:r>
        <w:rPr>
          <w:color w:val="383636"/>
          <w:sz w:val="18"/>
        </w:rPr>
        <w:t>199</w:t>
      </w:r>
      <w:r>
        <w:rPr>
          <w:color w:val="565456"/>
          <w:sz w:val="18"/>
        </w:rPr>
        <w:t>,</w:t>
      </w:r>
      <w:r>
        <w:rPr>
          <w:color w:val="383636"/>
          <w:sz w:val="18"/>
        </w:rPr>
        <w:t>202.</w:t>
      </w:r>
    </w:p>
    <w:p>
      <w:pPr>
        <w:spacing w:after="0"/>
        <w:jc w:val="both"/>
        <w:rPr>
          <w:sz w:val="18"/>
        </w:rPr>
        <w:sectPr>
          <w:pgSz w:w="9790" w:h="14040"/>
          <w:pgMar w:header="533" w:footer="0" w:top="1100" w:bottom="0" w:left="340" w:right="220"/>
        </w:sect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spacing w:line="230" w:lineRule="auto" w:before="100"/>
        <w:ind w:left="120" w:right="1602" w:hanging="6"/>
        <w:jc w:val="both"/>
      </w:pPr>
      <w:r>
        <w:rPr>
          <w:color w:val="383638"/>
          <w:w w:val="110"/>
        </w:rPr>
        <w:t>court know how many points you intend to make; courts that have this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knowledge may allow you to make all of your points, even if they have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used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up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time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with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questions.</w:t>
      </w:r>
    </w:p>
    <w:p>
      <w:pPr>
        <w:pStyle w:val="BodyText"/>
        <w:rPr>
          <w:sz w:val="26"/>
        </w:rPr>
      </w:pPr>
    </w:p>
    <w:p>
      <w:pPr>
        <w:spacing w:before="213"/>
        <w:ind w:left="704" w:right="0" w:firstLine="0"/>
        <w:jc w:val="left"/>
        <w:rPr>
          <w:rFonts w:ascii="Arial"/>
          <w:b/>
          <w:sz w:val="33"/>
        </w:rPr>
      </w:pPr>
      <w:r>
        <w:rPr>
          <w:rFonts w:ascii="Arial"/>
          <w:b/>
          <w:color w:val="383638"/>
          <w:w w:val="110"/>
          <w:sz w:val="33"/>
        </w:rPr>
        <w:t>13.8</w:t>
      </w:r>
    </w:p>
    <w:p>
      <w:pPr>
        <w:spacing w:before="44"/>
        <w:ind w:left="708" w:right="0" w:firstLine="0"/>
        <w:jc w:val="left"/>
        <w:rPr>
          <w:b/>
          <w:sz w:val="29"/>
        </w:rPr>
      </w:pPr>
      <w:r>
        <w:rPr>
          <w:b/>
          <w:color w:val="383638"/>
          <w:sz w:val="29"/>
        </w:rPr>
        <w:t>WORD</w:t>
      </w:r>
      <w:r>
        <w:rPr>
          <w:b/>
          <w:color w:val="383638"/>
          <w:spacing w:val="-2"/>
          <w:sz w:val="29"/>
        </w:rPr>
        <w:t> </w:t>
      </w:r>
      <w:r>
        <w:rPr>
          <w:b/>
          <w:color w:val="383638"/>
          <w:sz w:val="29"/>
        </w:rPr>
        <w:t>USE</w:t>
      </w:r>
    </w:p>
    <w:p>
      <w:pPr>
        <w:pStyle w:val="BodyText"/>
        <w:tabs>
          <w:tab w:pos="5109" w:val="left" w:leader="none"/>
        </w:tabs>
        <w:spacing w:line="232" w:lineRule="auto" w:before="269"/>
        <w:ind w:left="124" w:right="1559" w:firstLine="584"/>
        <w:jc w:val="both"/>
      </w:pPr>
      <w:r>
        <w:rPr>
          <w:color w:val="383638"/>
          <w:w w:val="115"/>
        </w:rPr>
        <w:t>Although the model for an oral argument is a conversation rather</w:t>
      </w:r>
      <w:r>
        <w:rPr>
          <w:color w:val="383638"/>
          <w:spacing w:val="1"/>
          <w:w w:val="115"/>
        </w:rPr>
        <w:t> </w:t>
      </w:r>
      <w:r>
        <w:rPr>
          <w:color w:val="383638"/>
          <w:spacing w:val="-1"/>
          <w:w w:val="115"/>
        </w:rPr>
        <w:t>than a speech, </w:t>
      </w:r>
      <w:r>
        <w:rPr>
          <w:color w:val="383638"/>
          <w:w w:val="115"/>
        </w:rPr>
        <w:t>in most cases it will be a more formal conversation than</w:t>
      </w:r>
      <w:r>
        <w:rPr>
          <w:color w:val="383638"/>
          <w:spacing w:val="1"/>
          <w:w w:val="115"/>
        </w:rPr>
        <w:t> </w:t>
      </w:r>
      <w:r>
        <w:rPr>
          <w:color w:val="383638"/>
          <w:spacing w:val="-1"/>
          <w:w w:val="110"/>
        </w:rPr>
        <w:t>you are accustomed </w:t>
      </w:r>
      <w:r>
        <w:rPr>
          <w:color w:val="383638"/>
          <w:w w:val="110"/>
        </w:rPr>
        <w:t>to. Because most law students have never seen an oral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argument before law school, some may imitate lawyers' oral presentations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that they have seen on television. Unfortunately, these presentations are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almost always set during trials, such as opening and closing arguments,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and the guidelines for an oral argument are different. For example, dur­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ing an opening statement in a trial, counsel for each party may talk about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what they </w:t>
      </w:r>
      <w:r>
        <w:rPr>
          <w:color w:val="383638"/>
          <w:w w:val="115"/>
          <w:sz w:val="22"/>
        </w:rPr>
        <w:t>will </w:t>
      </w:r>
      <w:r>
        <w:rPr>
          <w:color w:val="383638"/>
          <w:w w:val="115"/>
        </w:rPr>
        <w:t>"show": "We will show you that the defendant was not</w:t>
      </w:r>
      <w:r>
        <w:rPr>
          <w:color w:val="383638"/>
          <w:spacing w:val="1"/>
          <w:w w:val="115"/>
        </w:rPr>
        <w:t> </w:t>
      </w:r>
      <w:r>
        <w:rPr>
          <w:color w:val="383638"/>
          <w:spacing w:val="-1"/>
          <w:w w:val="108"/>
        </w:rPr>
        <w:t>anywher</w:t>
      </w:r>
      <w:r>
        <w:rPr>
          <w:color w:val="383638"/>
          <w:w w:val="108"/>
        </w:rPr>
        <w:t>e</w:t>
      </w:r>
      <w:r>
        <w:rPr>
          <w:color w:val="383638"/>
          <w:spacing w:val="22"/>
        </w:rPr>
        <w:t> </w:t>
      </w:r>
      <w:r>
        <w:rPr>
          <w:color w:val="383638"/>
          <w:w w:val="115"/>
        </w:rPr>
        <w:t>near</w:t>
      </w:r>
      <w:r>
        <w:rPr>
          <w:color w:val="383638"/>
          <w:spacing w:val="14"/>
        </w:rPr>
        <w:t> </w:t>
      </w:r>
      <w:r>
        <w:rPr>
          <w:color w:val="383638"/>
          <w:spacing w:val="-1"/>
          <w:w w:val="115"/>
        </w:rPr>
        <w:t>th</w:t>
      </w:r>
      <w:r>
        <w:rPr>
          <w:color w:val="383638"/>
          <w:w w:val="115"/>
        </w:rPr>
        <w:t>e</w:t>
      </w:r>
      <w:r>
        <w:rPr>
          <w:color w:val="383638"/>
          <w:spacing w:val="24"/>
        </w:rPr>
        <w:t> </w:t>
      </w:r>
      <w:r>
        <w:rPr>
          <w:color w:val="383638"/>
          <w:spacing w:val="-1"/>
          <w:w w:val="113"/>
        </w:rPr>
        <w:t>scen</w:t>
      </w:r>
      <w:r>
        <w:rPr>
          <w:color w:val="383638"/>
          <w:w w:val="113"/>
        </w:rPr>
        <w:t>e</w:t>
      </w:r>
      <w:r>
        <w:rPr>
          <w:color w:val="383638"/>
          <w:spacing w:val="2"/>
        </w:rPr>
        <w:t> </w:t>
      </w:r>
      <w:r>
        <w:rPr>
          <w:color w:val="383638"/>
          <w:w w:val="105"/>
        </w:rPr>
        <w:t>of</w:t>
      </w:r>
      <w:r>
        <w:rPr>
          <w:color w:val="383638"/>
        </w:rPr>
        <w:t> </w:t>
      </w:r>
      <w:r>
        <w:rPr>
          <w:color w:val="383638"/>
          <w:spacing w:val="-22"/>
        </w:rPr>
        <w:t> </w:t>
      </w:r>
      <w:r>
        <w:rPr>
          <w:color w:val="383638"/>
          <w:spacing w:val="-1"/>
          <w:w w:val="105"/>
        </w:rPr>
        <w:t>th</w:t>
      </w:r>
      <w:r>
        <w:rPr>
          <w:color w:val="383638"/>
          <w:w w:val="105"/>
        </w:rPr>
        <w:t>e</w:t>
      </w:r>
      <w:r>
        <w:rPr>
          <w:color w:val="383638"/>
        </w:rPr>
        <w:t> </w:t>
      </w:r>
      <w:r>
        <w:rPr>
          <w:color w:val="383638"/>
          <w:spacing w:val="-12"/>
        </w:rPr>
        <w:t> </w:t>
      </w:r>
      <w:r>
        <w:rPr>
          <w:color w:val="383638"/>
          <w:spacing w:val="-1"/>
          <w:w w:val="113"/>
        </w:rPr>
        <w:t>crim</w:t>
      </w:r>
      <w:r>
        <w:rPr>
          <w:color w:val="383638"/>
          <w:w w:val="113"/>
        </w:rPr>
        <w:t>e</w:t>
      </w:r>
      <w:r>
        <w:rPr>
          <w:color w:val="383638"/>
          <w:spacing w:val="6"/>
        </w:rPr>
        <w:t> </w:t>
      </w:r>
      <w:r>
        <w:rPr>
          <w:color w:val="383638"/>
          <w:w w:val="242"/>
        </w:rPr>
        <w:t>...</w:t>
      </w:r>
      <w:r>
        <w:rPr>
          <w:color w:val="383638"/>
          <w:spacing w:val="-64"/>
          <w:w w:val="242"/>
        </w:rPr>
        <w:t>.</w:t>
      </w:r>
      <w:r>
        <w:rPr>
          <w:color w:val="383638"/>
          <w:spacing w:val="-46"/>
          <w:w w:val="242"/>
        </w:rPr>
        <w:t>"</w:t>
      </w:r>
      <w:r>
        <w:rPr>
          <w:color w:val="383638"/>
          <w:spacing w:val="-1"/>
          <w:w w:val="113"/>
        </w:rPr>
        <w:t>Thi</w:t>
      </w:r>
      <w:r>
        <w:rPr>
          <w:color w:val="383638"/>
          <w:w w:val="113"/>
        </w:rPr>
        <w:t>s</w:t>
      </w:r>
      <w:r>
        <w:rPr>
          <w:color w:val="383638"/>
          <w:spacing w:val="5"/>
        </w:rPr>
        <w:t> </w:t>
      </w:r>
      <w:r>
        <w:rPr>
          <w:color w:val="383638"/>
          <w:spacing w:val="-1"/>
          <w:w w:val="115"/>
        </w:rPr>
        <w:t>statemen</w:t>
      </w:r>
      <w:r>
        <w:rPr>
          <w:color w:val="383638"/>
          <w:w w:val="115"/>
        </w:rPr>
        <w:t>t</w:t>
      </w:r>
      <w:r>
        <w:rPr>
          <w:color w:val="383638"/>
        </w:rPr>
        <w:t> </w:t>
      </w:r>
      <w:r>
        <w:rPr>
          <w:color w:val="383638"/>
          <w:spacing w:val="-24"/>
        </w:rPr>
        <w:t> </w:t>
      </w:r>
      <w:r>
        <w:rPr>
          <w:color w:val="383638"/>
          <w:w w:val="105"/>
        </w:rPr>
        <w:t>refers</w:t>
      </w:r>
      <w:r>
        <w:rPr>
          <w:color w:val="383638"/>
          <w:spacing w:val="6"/>
        </w:rPr>
        <w:t> </w:t>
      </w:r>
      <w:r>
        <w:rPr>
          <w:color w:val="383638"/>
          <w:spacing w:val="-1"/>
          <w:w w:val="105"/>
        </w:rPr>
        <w:t>t</w:t>
      </w:r>
      <w:r>
        <w:rPr>
          <w:color w:val="383638"/>
          <w:w w:val="105"/>
        </w:rPr>
        <w:t>o</w:t>
      </w:r>
      <w:r>
        <w:rPr>
          <w:color w:val="383638"/>
        </w:rPr>
        <w:t> </w:t>
      </w:r>
      <w:r>
        <w:rPr>
          <w:color w:val="383638"/>
          <w:spacing w:val="-15"/>
        </w:rPr>
        <w:t> </w:t>
      </w:r>
      <w:r>
        <w:rPr>
          <w:color w:val="383638"/>
          <w:spacing w:val="-1"/>
          <w:w w:val="105"/>
        </w:rPr>
        <w:t>the </w:t>
      </w:r>
      <w:r>
        <w:rPr>
          <w:color w:val="383638"/>
          <w:w w:val="110"/>
        </w:rPr>
        <w:t>testimony and exhibits that counsel plans to offer into evidence. It is inap­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propriate to </w:t>
      </w:r>
      <w:r>
        <w:rPr>
          <w:color w:val="545456"/>
          <w:w w:val="110"/>
        </w:rPr>
        <w:t>i</w:t>
      </w:r>
      <w:r>
        <w:rPr>
          <w:color w:val="383638"/>
          <w:w w:val="110"/>
        </w:rPr>
        <w:t>mitate this language in an oral argument because, even </w:t>
      </w:r>
      <w:r>
        <w:rPr>
          <w:color w:val="383638"/>
          <w:w w:val="110"/>
          <w:sz w:val="21"/>
        </w:rPr>
        <w:t>in </w:t>
      </w:r>
      <w:r>
        <w:rPr>
          <w:color w:val="383638"/>
          <w:w w:val="110"/>
        </w:rPr>
        <w:t>a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motion argument, you will not be presenting evidence. Thus, you will not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be</w:t>
      </w:r>
      <w:r>
        <w:rPr>
          <w:color w:val="383638"/>
          <w:spacing w:val="-24"/>
          <w:w w:val="110"/>
        </w:rPr>
        <w:t> </w:t>
      </w:r>
      <w:r>
        <w:rPr>
          <w:color w:val="383638"/>
          <w:w w:val="110"/>
        </w:rPr>
        <w:t>"showing"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0"/>
          <w:w w:val="110"/>
        </w:rPr>
        <w:t> </w:t>
      </w:r>
      <w:r>
        <w:rPr>
          <w:color w:val="383638"/>
          <w:w w:val="110"/>
        </w:rPr>
        <w:t>court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anything</w:t>
      </w:r>
      <w:r>
        <w:rPr>
          <w:color w:val="545456"/>
          <w:w w:val="110"/>
        </w:rPr>
        <w:t>.</w:t>
        <w:tab/>
      </w:r>
      <w:r>
        <w:rPr>
          <w:color w:val="383638"/>
          <w:w w:val="90"/>
        </w:rPr>
        <w:t>-...</w:t>
      </w:r>
    </w:p>
    <w:p>
      <w:pPr>
        <w:pStyle w:val="BodyText"/>
        <w:spacing w:line="232" w:lineRule="auto" w:before="19"/>
        <w:ind w:left="150" w:right="1528" w:firstLine="334"/>
        <w:jc w:val="both"/>
      </w:pPr>
      <w:r>
        <w:rPr>
          <w:color w:val="383638"/>
          <w:w w:val="115"/>
        </w:rPr>
        <w:t>Similarly, some students think they sound more lawyer-like if they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speak in terms of "contentions," saying</w:t>
      </w:r>
      <w:r>
        <w:rPr>
          <w:color w:val="545456"/>
          <w:w w:val="115"/>
        </w:rPr>
        <w:t>, </w:t>
      </w:r>
      <w:r>
        <w:rPr>
          <w:color w:val="383638"/>
          <w:w w:val="115"/>
        </w:rPr>
        <w:t>e.g</w:t>
      </w:r>
      <w:r>
        <w:rPr>
          <w:color w:val="545456"/>
          <w:w w:val="115"/>
        </w:rPr>
        <w:t>.</w:t>
      </w:r>
      <w:r>
        <w:rPr>
          <w:color w:val="383638"/>
          <w:w w:val="115"/>
        </w:rPr>
        <w:t>, "Petitioner contends that</w:t>
      </w:r>
      <w:r>
        <w:rPr>
          <w:color w:val="383638"/>
          <w:spacing w:val="1"/>
          <w:w w:val="115"/>
        </w:rPr>
        <w:t> </w:t>
      </w:r>
      <w:r>
        <w:rPr>
          <w:color w:val="383638"/>
          <w:spacing w:val="-1"/>
          <w:w w:val="118"/>
        </w:rPr>
        <w:t>th</w:t>
      </w:r>
      <w:r>
        <w:rPr>
          <w:color w:val="383638"/>
          <w:w w:val="118"/>
        </w:rPr>
        <w:t>e</w:t>
      </w:r>
      <w:r>
        <w:rPr>
          <w:color w:val="383638"/>
          <w:spacing w:val="-6"/>
        </w:rPr>
        <w:t> </w:t>
      </w:r>
      <w:r>
        <w:rPr>
          <w:color w:val="383638"/>
          <w:spacing w:val="-1"/>
          <w:w w:val="101"/>
        </w:rPr>
        <w:t>Firs</w:t>
      </w:r>
      <w:r>
        <w:rPr>
          <w:color w:val="383638"/>
          <w:w w:val="101"/>
        </w:rPr>
        <w:t>t</w:t>
      </w:r>
      <w:r>
        <w:rPr>
          <w:color w:val="383638"/>
          <w:spacing w:val="8"/>
        </w:rPr>
        <w:t> </w:t>
      </w:r>
      <w:r>
        <w:rPr>
          <w:color w:val="383638"/>
          <w:spacing w:val="-1"/>
          <w:w w:val="113"/>
        </w:rPr>
        <w:t>Amendmen</w:t>
      </w:r>
      <w:r>
        <w:rPr>
          <w:color w:val="383638"/>
          <w:w w:val="113"/>
        </w:rPr>
        <w:t>t</w:t>
      </w:r>
      <w:r>
        <w:rPr>
          <w:color w:val="383638"/>
          <w:spacing w:val="25"/>
        </w:rPr>
        <w:t> </w:t>
      </w:r>
      <w:r>
        <w:rPr>
          <w:color w:val="383638"/>
          <w:w w:val="112"/>
        </w:rPr>
        <w:t>does</w:t>
      </w:r>
      <w:r>
        <w:rPr>
          <w:color w:val="383638"/>
          <w:spacing w:val="4"/>
        </w:rPr>
        <w:t> </w:t>
      </w:r>
      <w:r>
        <w:rPr>
          <w:color w:val="383638"/>
          <w:w w:val="112"/>
        </w:rPr>
        <w:t>not</w:t>
      </w:r>
      <w:r>
        <w:rPr>
          <w:color w:val="383638"/>
        </w:rPr>
        <w:t> </w:t>
      </w:r>
      <w:r>
        <w:rPr>
          <w:color w:val="383638"/>
          <w:spacing w:val="-18"/>
        </w:rPr>
        <w:t> </w:t>
      </w:r>
      <w:r>
        <w:rPr>
          <w:color w:val="383638"/>
          <w:w w:val="233"/>
        </w:rPr>
        <w:t>...</w:t>
      </w:r>
      <w:r>
        <w:rPr>
          <w:color w:val="383638"/>
          <w:spacing w:val="-63"/>
          <w:w w:val="233"/>
        </w:rPr>
        <w:t>.</w:t>
      </w:r>
      <w:r>
        <w:rPr>
          <w:color w:val="383638"/>
          <w:spacing w:val="-33"/>
          <w:w w:val="233"/>
        </w:rPr>
        <w:t>"</w:t>
      </w:r>
      <w:r>
        <w:rPr>
          <w:color w:val="383638"/>
          <w:spacing w:val="-1"/>
          <w:w w:val="110"/>
        </w:rPr>
        <w:t>Althoug</w:t>
      </w:r>
      <w:r>
        <w:rPr>
          <w:color w:val="383638"/>
          <w:w w:val="110"/>
        </w:rPr>
        <w:t>h</w:t>
      </w:r>
      <w:r>
        <w:rPr>
          <w:color w:val="383638"/>
        </w:rPr>
        <w:t> </w:t>
      </w:r>
      <w:r>
        <w:rPr>
          <w:color w:val="383638"/>
          <w:spacing w:val="-25"/>
        </w:rPr>
        <w:t> </w:t>
      </w:r>
      <w:r>
        <w:rPr>
          <w:color w:val="383638"/>
          <w:spacing w:val="-1"/>
          <w:w w:val="120"/>
        </w:rPr>
        <w:t>thi</w:t>
      </w:r>
      <w:r>
        <w:rPr>
          <w:color w:val="383638"/>
          <w:w w:val="120"/>
        </w:rPr>
        <w:t>s</w:t>
      </w:r>
      <w:r>
        <w:rPr>
          <w:color w:val="383638"/>
          <w:spacing w:val="-1"/>
        </w:rPr>
        <w:t> </w:t>
      </w:r>
      <w:r>
        <w:rPr>
          <w:color w:val="383638"/>
          <w:w w:val="112"/>
        </w:rPr>
        <w:t>phrasing</w:t>
      </w:r>
      <w:r>
        <w:rPr>
          <w:color w:val="383638"/>
          <w:spacing w:val="12"/>
        </w:rPr>
        <w:t> </w:t>
      </w:r>
      <w:r>
        <w:rPr>
          <w:color w:val="383638"/>
          <w:spacing w:val="-1"/>
          <w:w w:val="112"/>
        </w:rPr>
        <w:t>ma</w:t>
      </w:r>
      <w:r>
        <w:rPr>
          <w:color w:val="383638"/>
          <w:w w:val="112"/>
        </w:rPr>
        <w:t>y</w:t>
      </w:r>
      <w:r>
        <w:rPr>
          <w:color w:val="383638"/>
          <w:spacing w:val="8"/>
        </w:rPr>
        <w:t> </w:t>
      </w:r>
      <w:r>
        <w:rPr>
          <w:color w:val="383638"/>
          <w:w w:val="113"/>
        </w:rPr>
        <w:t>have</w:t>
      </w:r>
      <w:r>
        <w:rPr>
          <w:color w:val="383638"/>
          <w:spacing w:val="-17"/>
        </w:rPr>
        <w:t> </w:t>
      </w:r>
      <w:r>
        <w:rPr>
          <w:color w:val="383638"/>
          <w:w w:val="113"/>
        </w:rPr>
        <w:t>a </w:t>
      </w:r>
      <w:r>
        <w:rPr>
          <w:color w:val="383638"/>
          <w:w w:val="110"/>
        </w:rPr>
        <w:t>lawyerly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ring</w:t>
      </w:r>
      <w:r>
        <w:rPr>
          <w:color w:val="383638"/>
          <w:spacing w:val="-25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it,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most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experienced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attorneys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do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not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use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phrases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like</w:t>
      </w:r>
      <w:r>
        <w:rPr>
          <w:color w:val="383638"/>
          <w:spacing w:val="-25"/>
          <w:w w:val="110"/>
        </w:rPr>
        <w:t> </w:t>
      </w:r>
      <w:r>
        <w:rPr>
          <w:color w:val="383638"/>
          <w:w w:val="110"/>
        </w:rPr>
        <w:t>this</w:t>
      </w:r>
      <w:r>
        <w:rPr>
          <w:color w:val="545456"/>
          <w:w w:val="110"/>
        </w:rPr>
        <w:t>.</w:t>
      </w:r>
      <w:r>
        <w:rPr>
          <w:color w:val="545456"/>
          <w:spacing w:val="1"/>
          <w:w w:val="110"/>
        </w:rPr>
        <w:t> </w:t>
      </w:r>
      <w:r>
        <w:rPr>
          <w:color w:val="383638"/>
          <w:w w:val="115"/>
        </w:rPr>
        <w:t>Announcing what you contend only reminds the court that your state­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ments are merely contentions</w:t>
      </w:r>
      <w:r>
        <w:rPr>
          <w:color w:val="545456"/>
          <w:w w:val="115"/>
        </w:rPr>
        <w:t>, </w:t>
      </w:r>
      <w:r>
        <w:rPr>
          <w:color w:val="383638"/>
          <w:w w:val="115"/>
        </w:rPr>
        <w:t>rather than the truth. Instead of labeling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all of your statements as contentions, just make the statement: "The First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09"/>
        </w:rPr>
        <w:t>Amendmen</w:t>
      </w:r>
      <w:r>
        <w:rPr>
          <w:color w:val="383638"/>
          <w:w w:val="109"/>
        </w:rPr>
        <w:t>t</w:t>
      </w:r>
      <w:r>
        <w:rPr>
          <w:color w:val="383638"/>
          <w:spacing w:val="13"/>
        </w:rPr>
        <w:t> </w:t>
      </w:r>
      <w:r>
        <w:rPr>
          <w:color w:val="383638"/>
          <w:w w:val="116"/>
        </w:rPr>
        <w:t>does</w:t>
      </w:r>
      <w:r>
        <w:rPr>
          <w:color w:val="383638"/>
          <w:spacing w:val="7"/>
        </w:rPr>
        <w:t> </w:t>
      </w:r>
      <w:r>
        <w:rPr>
          <w:color w:val="383638"/>
          <w:w w:val="116"/>
        </w:rPr>
        <w:t>not</w:t>
      </w:r>
      <w:r>
        <w:rPr>
          <w:color w:val="383638"/>
          <w:spacing w:val="18"/>
        </w:rPr>
        <w:t> </w:t>
      </w:r>
      <w:r>
        <w:rPr>
          <w:color w:val="383638"/>
          <w:w w:val="228"/>
        </w:rPr>
        <w:t>...</w:t>
      </w:r>
      <w:r>
        <w:rPr>
          <w:color w:val="383638"/>
          <w:spacing w:val="-61"/>
          <w:w w:val="228"/>
        </w:rPr>
        <w:t>.</w:t>
      </w:r>
      <w:r>
        <w:rPr>
          <w:color w:val="383638"/>
          <w:spacing w:val="-32"/>
          <w:w w:val="228"/>
        </w:rPr>
        <w:t>"</w:t>
      </w:r>
      <w:r>
        <w:rPr>
          <w:color w:val="383638"/>
          <w:w w:val="98"/>
          <w:sz w:val="22"/>
        </w:rPr>
        <w:t>If</w:t>
      </w:r>
      <w:r>
        <w:rPr>
          <w:color w:val="383638"/>
          <w:spacing w:val="17"/>
          <w:sz w:val="22"/>
        </w:rPr>
        <w:t> </w:t>
      </w:r>
      <w:r>
        <w:rPr>
          <w:color w:val="383638"/>
          <w:w w:val="98"/>
        </w:rPr>
        <w:t>you</w:t>
      </w:r>
      <w:r>
        <w:rPr>
          <w:color w:val="383638"/>
        </w:rPr>
        <w:t> </w:t>
      </w:r>
      <w:r>
        <w:rPr>
          <w:color w:val="383638"/>
          <w:spacing w:val="17"/>
        </w:rPr>
        <w:t> </w:t>
      </w:r>
      <w:r>
        <w:rPr>
          <w:color w:val="383638"/>
          <w:w w:val="111"/>
        </w:rPr>
        <w:t>need</w:t>
      </w:r>
      <w:r>
        <w:rPr>
          <w:color w:val="383638"/>
          <w:spacing w:val="16"/>
        </w:rPr>
        <w:t> </w:t>
      </w:r>
      <w:r>
        <w:rPr>
          <w:color w:val="383638"/>
          <w:spacing w:val="-1"/>
          <w:w w:val="111"/>
        </w:rPr>
        <w:t>to</w:t>
      </w:r>
      <w:r>
        <w:rPr>
          <w:color w:val="383638"/>
          <w:w w:val="111"/>
        </w:rPr>
        <w:t>,</w:t>
      </w:r>
      <w:r>
        <w:rPr>
          <w:color w:val="383638"/>
          <w:spacing w:val="17"/>
        </w:rPr>
        <w:t> </w:t>
      </w:r>
      <w:r>
        <w:rPr>
          <w:color w:val="383638"/>
          <w:spacing w:val="-1"/>
          <w:w w:val="111"/>
        </w:rPr>
        <w:t>sa</w:t>
      </w:r>
      <w:r>
        <w:rPr>
          <w:color w:val="383638"/>
          <w:w w:val="111"/>
        </w:rPr>
        <w:t>y</w:t>
      </w:r>
      <w:r>
        <w:rPr>
          <w:color w:val="383638"/>
          <w:spacing w:val="-4"/>
        </w:rPr>
        <w:t> </w:t>
      </w:r>
      <w:r>
        <w:rPr>
          <w:color w:val="383638"/>
          <w:spacing w:val="-1"/>
          <w:w w:val="111"/>
        </w:rPr>
        <w:t>silentl</w:t>
      </w:r>
      <w:r>
        <w:rPr>
          <w:color w:val="383638"/>
          <w:w w:val="111"/>
        </w:rPr>
        <w:t>y</w:t>
      </w:r>
      <w:r>
        <w:rPr>
          <w:color w:val="383638"/>
          <w:spacing w:val="16"/>
        </w:rPr>
        <w:t> </w:t>
      </w:r>
      <w:r>
        <w:rPr>
          <w:color w:val="383638"/>
          <w:spacing w:val="-1"/>
          <w:w w:val="111"/>
        </w:rPr>
        <w:t>t</w:t>
      </w:r>
      <w:r>
        <w:rPr>
          <w:color w:val="383638"/>
          <w:w w:val="111"/>
        </w:rPr>
        <w:t>o</w:t>
      </w:r>
      <w:r>
        <w:rPr>
          <w:color w:val="383638"/>
          <w:spacing w:val="14"/>
        </w:rPr>
        <w:t> </w:t>
      </w:r>
      <w:r>
        <w:rPr>
          <w:color w:val="383638"/>
          <w:w w:val="104"/>
        </w:rPr>
        <w:t>yourself</w:t>
      </w:r>
      <w:r>
        <w:rPr>
          <w:color w:val="383638"/>
        </w:rPr>
        <w:t> </w:t>
      </w:r>
      <w:r>
        <w:rPr>
          <w:color w:val="383638"/>
          <w:spacing w:val="-24"/>
        </w:rPr>
        <w:t> </w:t>
      </w:r>
      <w:r>
        <w:rPr>
          <w:color w:val="383638"/>
          <w:w w:val="107"/>
        </w:rPr>
        <w:t>before </w:t>
      </w:r>
      <w:r>
        <w:rPr>
          <w:color w:val="383638"/>
          <w:w w:val="115"/>
        </w:rPr>
        <w:t>you</w:t>
      </w:r>
      <w:r>
        <w:rPr>
          <w:color w:val="383638"/>
          <w:spacing w:val="-2"/>
          <w:w w:val="115"/>
        </w:rPr>
        <w:t> </w:t>
      </w:r>
      <w:r>
        <w:rPr>
          <w:color w:val="383638"/>
          <w:w w:val="115"/>
        </w:rPr>
        <w:t>begin</w:t>
      </w:r>
      <w:r>
        <w:rPr>
          <w:color w:val="383638"/>
          <w:spacing w:val="-4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3"/>
          <w:w w:val="115"/>
        </w:rPr>
        <w:t> </w:t>
      </w:r>
      <w:r>
        <w:rPr>
          <w:color w:val="383638"/>
          <w:w w:val="115"/>
        </w:rPr>
        <w:t>speak</w:t>
      </w:r>
      <w:r>
        <w:rPr>
          <w:color w:val="383638"/>
          <w:spacing w:val="-16"/>
          <w:w w:val="115"/>
        </w:rPr>
        <w:t> </w:t>
      </w:r>
      <w:r>
        <w:rPr>
          <w:color w:val="383638"/>
          <w:w w:val="115"/>
        </w:rPr>
        <w:t>aloud,</w:t>
      </w:r>
      <w:r>
        <w:rPr>
          <w:color w:val="383638"/>
          <w:spacing w:val="-7"/>
          <w:w w:val="115"/>
        </w:rPr>
        <w:t> </w:t>
      </w:r>
      <w:r>
        <w:rPr>
          <w:color w:val="383638"/>
          <w:w w:val="115"/>
        </w:rPr>
        <w:t>"The</w:t>
      </w:r>
      <w:r>
        <w:rPr>
          <w:color w:val="383638"/>
          <w:spacing w:val="-14"/>
          <w:w w:val="115"/>
        </w:rPr>
        <w:t> </w:t>
      </w:r>
      <w:r>
        <w:rPr>
          <w:color w:val="383638"/>
          <w:w w:val="115"/>
        </w:rPr>
        <w:t>Petitioner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contends</w:t>
      </w:r>
      <w:r>
        <w:rPr>
          <w:color w:val="383638"/>
          <w:spacing w:val="-1"/>
          <w:w w:val="115"/>
        </w:rPr>
        <w:t> </w:t>
      </w:r>
      <w:r>
        <w:rPr>
          <w:color w:val="383638"/>
          <w:w w:val="115"/>
        </w:rPr>
        <w:t>that</w:t>
      </w:r>
      <w:r>
        <w:rPr>
          <w:color w:val="383638"/>
          <w:spacing w:val="24"/>
          <w:w w:val="115"/>
        </w:rPr>
        <w:t> </w:t>
      </w:r>
      <w:r>
        <w:rPr>
          <w:color w:val="383638"/>
          <w:w w:val="125"/>
        </w:rPr>
        <w:t>"</w:t>
      </w:r>
    </w:p>
    <w:p>
      <w:pPr>
        <w:pStyle w:val="BodyText"/>
        <w:spacing w:line="230" w:lineRule="auto" w:before="14"/>
        <w:ind w:left="163" w:right="1479" w:firstLine="347"/>
        <w:jc w:val="both"/>
        <w:rPr>
          <w:rFonts w:ascii="Arial"/>
          <w:sz w:val="13"/>
        </w:rPr>
      </w:pPr>
      <w:r>
        <w:rPr>
          <w:color w:val="383638"/>
          <w:spacing w:val="-1"/>
          <w:w w:val="212"/>
        </w:rPr>
        <w:t>O</w:t>
      </w:r>
      <w:r>
        <w:rPr>
          <w:color w:val="383638"/>
          <w:spacing w:val="-213"/>
          <w:w w:val="212"/>
        </w:rPr>
        <w:t>n</w:t>
      </w:r>
      <w:r>
        <w:rPr>
          <w:color w:val="383638"/>
          <w:spacing w:val="-38"/>
          <w:w w:val="212"/>
        </w:rPr>
        <w:t>a</w:t>
      </w:r>
      <w:r>
        <w:rPr>
          <w:color w:val="383638"/>
          <w:spacing w:val="-1"/>
          <w:w w:val="111"/>
        </w:rPr>
        <w:t>simila</w:t>
      </w:r>
      <w:r>
        <w:rPr>
          <w:color w:val="383638"/>
          <w:w w:val="111"/>
        </w:rPr>
        <w:t>r</w:t>
      </w:r>
      <w:r>
        <w:rPr>
          <w:color w:val="383638"/>
          <w:spacing w:val="21"/>
        </w:rPr>
        <w:t> </w:t>
      </w:r>
      <w:r>
        <w:rPr>
          <w:color w:val="383638"/>
          <w:w w:val="118"/>
        </w:rPr>
        <w:t>note,</w:t>
      </w:r>
      <w:r>
        <w:rPr>
          <w:color w:val="383638"/>
          <w:spacing w:val="6"/>
        </w:rPr>
        <w:t> </w:t>
      </w:r>
      <w:r>
        <w:rPr>
          <w:color w:val="383638"/>
          <w:spacing w:val="-1"/>
          <w:w w:val="118"/>
        </w:rPr>
        <w:t>i</w:t>
      </w:r>
      <w:r>
        <w:rPr>
          <w:color w:val="383638"/>
          <w:w w:val="118"/>
        </w:rPr>
        <w:t>t</w:t>
      </w:r>
      <w:r>
        <w:rPr>
          <w:color w:val="383638"/>
          <w:spacing w:val="3"/>
        </w:rPr>
        <w:t> </w:t>
      </w:r>
      <w:r>
        <w:rPr>
          <w:color w:val="383638"/>
          <w:spacing w:val="-1"/>
          <w:w w:val="118"/>
        </w:rPr>
        <w:t>i</w:t>
      </w:r>
      <w:r>
        <w:rPr>
          <w:color w:val="383638"/>
          <w:w w:val="118"/>
        </w:rPr>
        <w:t>s</w:t>
      </w:r>
      <w:r>
        <w:rPr>
          <w:color w:val="383638"/>
          <w:spacing w:val="-1"/>
        </w:rPr>
        <w:t> </w:t>
      </w:r>
      <w:r>
        <w:rPr>
          <w:color w:val="383638"/>
          <w:w w:val="110"/>
        </w:rPr>
        <w:t>usually</w:t>
      </w:r>
      <w:r>
        <w:rPr>
          <w:color w:val="383638"/>
          <w:spacing w:val="16"/>
        </w:rPr>
        <w:t> </w:t>
      </w:r>
      <w:r>
        <w:rPr>
          <w:color w:val="383638"/>
          <w:spacing w:val="-1"/>
          <w:w w:val="112"/>
        </w:rPr>
        <w:t>mor</w:t>
      </w:r>
      <w:r>
        <w:rPr>
          <w:color w:val="383638"/>
          <w:w w:val="112"/>
        </w:rPr>
        <w:t>e</w:t>
      </w:r>
      <w:r>
        <w:rPr>
          <w:color w:val="383638"/>
          <w:spacing w:val="3"/>
        </w:rPr>
        <w:t> </w:t>
      </w:r>
      <w:r>
        <w:rPr>
          <w:color w:val="383638"/>
          <w:spacing w:val="-1"/>
          <w:w w:val="112"/>
        </w:rPr>
        <w:t>appropriat</w:t>
      </w:r>
      <w:r>
        <w:rPr>
          <w:color w:val="383638"/>
          <w:w w:val="112"/>
        </w:rPr>
        <w:t>e</w:t>
      </w:r>
      <w:r>
        <w:rPr>
          <w:color w:val="383638"/>
          <w:spacing w:val="16"/>
        </w:rPr>
        <w:t> </w:t>
      </w:r>
      <w:r>
        <w:rPr>
          <w:color w:val="383638"/>
          <w:spacing w:val="-1"/>
          <w:w w:val="112"/>
        </w:rPr>
        <w:t>t</w:t>
      </w:r>
      <w:r>
        <w:rPr>
          <w:color w:val="383638"/>
          <w:w w:val="112"/>
        </w:rPr>
        <w:t>o</w:t>
      </w:r>
      <w:r>
        <w:rPr>
          <w:color w:val="383638"/>
        </w:rPr>
        <w:t> </w:t>
      </w:r>
      <w:r>
        <w:rPr>
          <w:color w:val="383638"/>
          <w:spacing w:val="-27"/>
        </w:rPr>
        <w:t> </w:t>
      </w:r>
      <w:r>
        <w:rPr>
          <w:color w:val="383638"/>
          <w:w w:val="104"/>
        </w:rPr>
        <w:t>refer</w:t>
      </w:r>
      <w:r>
        <w:rPr>
          <w:color w:val="383638"/>
          <w:spacing w:val="9"/>
        </w:rPr>
        <w:t> </w:t>
      </w:r>
      <w:r>
        <w:rPr>
          <w:color w:val="383638"/>
          <w:spacing w:val="-1"/>
          <w:w w:val="104"/>
        </w:rPr>
        <w:t>t</w:t>
      </w:r>
      <w:r>
        <w:rPr>
          <w:color w:val="383638"/>
          <w:w w:val="104"/>
        </w:rPr>
        <w:t>o</w:t>
      </w:r>
      <w:r>
        <w:rPr>
          <w:color w:val="383638"/>
        </w:rPr>
        <w:t> </w:t>
      </w:r>
      <w:r>
        <w:rPr>
          <w:color w:val="383638"/>
          <w:spacing w:val="-23"/>
        </w:rPr>
        <w:t> </w:t>
      </w:r>
      <w:r>
        <w:rPr>
          <w:color w:val="383638"/>
          <w:spacing w:val="-1"/>
          <w:w w:val="104"/>
        </w:rPr>
        <w:t>th</w:t>
      </w:r>
      <w:r>
        <w:rPr>
          <w:color w:val="383638"/>
          <w:w w:val="104"/>
        </w:rPr>
        <w:t>e</w:t>
      </w:r>
      <w:r>
        <w:rPr>
          <w:color w:val="383638"/>
        </w:rPr>
        <w:t> </w:t>
      </w:r>
      <w:r>
        <w:rPr>
          <w:color w:val="383638"/>
          <w:spacing w:val="16"/>
        </w:rPr>
        <w:t> </w:t>
      </w:r>
      <w:r>
        <w:rPr>
          <w:color w:val="383638"/>
          <w:spacing w:val="-1"/>
          <w:w w:val="105"/>
        </w:rPr>
        <w:t>judges </w:t>
      </w:r>
      <w:r>
        <w:rPr>
          <w:color w:val="383638"/>
          <w:w w:val="110"/>
        </w:rPr>
        <w:t>or justices by name rather than constantly saying "your honor." It is not so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much that saying "your honor" is wrong; it is just as respectful and more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natural, however, to use someone's name when you know it. Judge Willis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notes that "many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judges prefer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be addressed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by name" and advises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counsel to be certain of how to pronounce each name, and of whether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judges</w:t>
      </w:r>
      <w:r>
        <w:rPr>
          <w:color w:val="383638"/>
          <w:spacing w:val="-8"/>
          <w:w w:val="105"/>
        </w:rPr>
        <w:t> </w:t>
      </w:r>
      <w:r>
        <w:rPr>
          <w:color w:val="383638"/>
          <w:w w:val="105"/>
        </w:rPr>
        <w:t>on</w:t>
      </w:r>
      <w:r>
        <w:rPr>
          <w:color w:val="383638"/>
          <w:spacing w:val="59"/>
          <w:w w:val="105"/>
        </w:rPr>
        <w:t> </w:t>
      </w:r>
      <w:r>
        <w:rPr>
          <w:color w:val="383638"/>
          <w:w w:val="105"/>
        </w:rPr>
        <w:t>a</w:t>
      </w:r>
      <w:r>
        <w:rPr>
          <w:color w:val="383638"/>
          <w:spacing w:val="52"/>
          <w:w w:val="105"/>
        </w:rPr>
        <w:t> </w:t>
      </w:r>
      <w:r>
        <w:rPr>
          <w:color w:val="383638"/>
          <w:w w:val="105"/>
        </w:rPr>
        <w:t>particular</w:t>
      </w:r>
      <w:r>
        <w:rPr>
          <w:color w:val="383638"/>
          <w:spacing w:val="17"/>
          <w:w w:val="105"/>
        </w:rPr>
        <w:t> </w:t>
      </w:r>
      <w:r>
        <w:rPr>
          <w:color w:val="383638"/>
          <w:w w:val="105"/>
        </w:rPr>
        <w:t>court</w:t>
      </w:r>
      <w:r>
        <w:rPr>
          <w:color w:val="383638"/>
          <w:spacing w:val="-7"/>
          <w:w w:val="105"/>
        </w:rPr>
        <w:t> </w:t>
      </w:r>
      <w:r>
        <w:rPr>
          <w:color w:val="383638"/>
          <w:w w:val="105"/>
        </w:rPr>
        <w:t>are</w:t>
      </w:r>
      <w:r>
        <w:rPr>
          <w:color w:val="383638"/>
          <w:spacing w:val="-14"/>
          <w:w w:val="105"/>
        </w:rPr>
        <w:t> </w:t>
      </w:r>
      <w:r>
        <w:rPr>
          <w:color w:val="383638"/>
          <w:w w:val="105"/>
        </w:rPr>
        <w:t>styled</w:t>
      </w:r>
      <w:r>
        <w:rPr>
          <w:color w:val="383638"/>
          <w:spacing w:val="9"/>
          <w:w w:val="105"/>
        </w:rPr>
        <w:t> </w:t>
      </w:r>
      <w:r>
        <w:rPr>
          <w:color w:val="383638"/>
          <w:w w:val="105"/>
        </w:rPr>
        <w:t>as</w:t>
      </w:r>
      <w:r>
        <w:rPr>
          <w:color w:val="383638"/>
          <w:spacing w:val="-2"/>
          <w:w w:val="105"/>
        </w:rPr>
        <w:t> </w:t>
      </w:r>
      <w:r>
        <w:rPr>
          <w:color w:val="383638"/>
          <w:w w:val="105"/>
        </w:rPr>
        <w:t>"judges"</w:t>
      </w:r>
      <w:r>
        <w:rPr>
          <w:color w:val="383638"/>
          <w:spacing w:val="2"/>
          <w:w w:val="105"/>
        </w:rPr>
        <w:t> </w:t>
      </w:r>
      <w:r>
        <w:rPr>
          <w:color w:val="383638"/>
          <w:w w:val="105"/>
        </w:rPr>
        <w:t>or</w:t>
      </w:r>
      <w:r>
        <w:rPr>
          <w:color w:val="383638"/>
          <w:spacing w:val="15"/>
          <w:w w:val="105"/>
        </w:rPr>
        <w:t> </w:t>
      </w:r>
      <w:r>
        <w:rPr>
          <w:color w:val="383638"/>
          <w:w w:val="105"/>
        </w:rPr>
        <w:t>"justices.""</w:t>
      </w:r>
      <w:r>
        <w:rPr>
          <w:rFonts w:ascii="Arial"/>
          <w:color w:val="383638"/>
          <w:w w:val="105"/>
          <w:position w:val="7"/>
          <w:sz w:val="13"/>
        </w:rPr>
        <w:t>2</w:t>
      </w:r>
    </w:p>
    <w:p>
      <w:pPr>
        <w:pStyle w:val="BodyText"/>
        <w:spacing w:line="230" w:lineRule="auto" w:before="5"/>
        <w:ind w:left="188" w:right="1432" w:firstLine="341"/>
        <w:jc w:val="both"/>
      </w:pPr>
      <w:r>
        <w:rPr>
          <w:color w:val="383638"/>
          <w:w w:val="110"/>
        </w:rPr>
        <w:t>Of course, no one expects a flawless presentation. Just accept that 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will probably use the wrong word from time to time. If 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have actually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misspoken,</w:t>
      </w:r>
      <w:r>
        <w:rPr>
          <w:color w:val="383638"/>
          <w:spacing w:val="7"/>
          <w:w w:val="115"/>
        </w:rPr>
        <w:t> </w:t>
      </w:r>
      <w:r>
        <w:rPr>
          <w:color w:val="383638"/>
          <w:w w:val="115"/>
        </w:rPr>
        <w:t>take</w:t>
      </w:r>
      <w:r>
        <w:rPr>
          <w:color w:val="383638"/>
          <w:spacing w:val="-3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12"/>
          <w:w w:val="115"/>
        </w:rPr>
        <w:t> </w:t>
      </w:r>
      <w:r>
        <w:rPr>
          <w:color w:val="383638"/>
          <w:w w:val="115"/>
        </w:rPr>
        <w:t>time</w:t>
      </w:r>
      <w:r>
        <w:rPr>
          <w:color w:val="383638"/>
          <w:spacing w:val="-2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-9"/>
          <w:w w:val="115"/>
        </w:rPr>
        <w:t> </w:t>
      </w:r>
      <w:r>
        <w:rPr>
          <w:color w:val="383638"/>
          <w:w w:val="115"/>
        </w:rPr>
        <w:t>correct</w:t>
      </w:r>
      <w:r>
        <w:rPr>
          <w:color w:val="383638"/>
          <w:spacing w:val="3"/>
          <w:w w:val="115"/>
        </w:rPr>
        <w:t> </w:t>
      </w:r>
      <w:r>
        <w:rPr>
          <w:color w:val="383638"/>
          <w:w w:val="115"/>
        </w:rPr>
        <w:t>it:</w:t>
      </w:r>
      <w:r>
        <w:rPr>
          <w:color w:val="383638"/>
          <w:spacing w:val="-7"/>
          <w:w w:val="115"/>
        </w:rPr>
        <w:t> </w:t>
      </w:r>
      <w:r>
        <w:rPr>
          <w:color w:val="383638"/>
          <w:w w:val="115"/>
        </w:rPr>
        <w:t>"The</w:t>
      </w:r>
      <w:r>
        <w:rPr>
          <w:color w:val="383638"/>
          <w:spacing w:val="-4"/>
          <w:w w:val="115"/>
        </w:rPr>
        <w:t> </w:t>
      </w:r>
      <w:r>
        <w:rPr>
          <w:color w:val="383638"/>
          <w:w w:val="115"/>
        </w:rPr>
        <w:t>Fourth</w:t>
      </w:r>
      <w:r>
        <w:rPr>
          <w:color w:val="383638"/>
          <w:spacing w:val="-1"/>
          <w:w w:val="115"/>
        </w:rPr>
        <w:t> </w:t>
      </w:r>
      <w:r>
        <w:rPr>
          <w:color w:val="383638"/>
          <w:w w:val="115"/>
        </w:rPr>
        <w:t>Amendment,</w:t>
      </w:r>
      <w:r>
        <w:rPr>
          <w:color w:val="383638"/>
          <w:spacing w:val="-2"/>
          <w:w w:val="115"/>
        </w:rPr>
        <w:t> </w:t>
      </w:r>
      <w:r>
        <w:rPr>
          <w:color w:val="383638"/>
          <w:w w:val="115"/>
        </w:rPr>
        <w:t>excuse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</w:pPr>
    </w:p>
    <w:p>
      <w:pPr>
        <w:spacing w:before="0"/>
        <w:ind w:left="540" w:right="0" w:firstLine="0"/>
        <w:jc w:val="left"/>
        <w:rPr>
          <w:sz w:val="18"/>
        </w:rPr>
      </w:pPr>
      <w:r>
        <w:rPr>
          <w:color w:val="383638"/>
          <w:w w:val="105"/>
          <w:sz w:val="18"/>
        </w:rPr>
        <w:t>owm1s,</w:t>
      </w:r>
      <w:r>
        <w:rPr>
          <w:color w:val="383638"/>
          <w:spacing w:val="-1"/>
          <w:w w:val="105"/>
          <w:sz w:val="18"/>
        </w:rPr>
        <w:t> </w:t>
      </w:r>
      <w:r>
        <w:rPr>
          <w:i/>
          <w:color w:val="383638"/>
          <w:w w:val="105"/>
          <w:sz w:val="18"/>
        </w:rPr>
        <w:t>511pm</w:t>
      </w:r>
      <w:r>
        <w:rPr>
          <w:i/>
          <w:color w:val="383638"/>
          <w:spacing w:val="10"/>
          <w:w w:val="105"/>
          <w:sz w:val="18"/>
        </w:rPr>
        <w:t> </w:t>
      </w:r>
      <w:r>
        <w:rPr>
          <w:color w:val="383638"/>
          <w:w w:val="105"/>
          <w:sz w:val="18"/>
        </w:rPr>
        <w:t>note</w:t>
      </w:r>
      <w:r>
        <w:rPr>
          <w:color w:val="383638"/>
          <w:spacing w:val="-10"/>
          <w:w w:val="105"/>
          <w:sz w:val="18"/>
        </w:rPr>
        <w:t> </w:t>
      </w:r>
      <w:r>
        <w:rPr>
          <w:color w:val="383638"/>
          <w:w w:val="105"/>
          <w:sz w:val="18"/>
        </w:rPr>
        <w:t>30,</w:t>
      </w:r>
      <w:r>
        <w:rPr>
          <w:color w:val="383638"/>
          <w:spacing w:val="-20"/>
          <w:w w:val="105"/>
          <w:sz w:val="18"/>
        </w:rPr>
        <w:t> </w:t>
      </w:r>
      <w:r>
        <w:rPr>
          <w:color w:val="383638"/>
          <w:w w:val="105"/>
          <w:sz w:val="18"/>
        </w:rPr>
        <w:t>at</w:t>
      </w:r>
      <w:r>
        <w:rPr>
          <w:color w:val="383638"/>
          <w:spacing w:val="28"/>
          <w:w w:val="105"/>
          <w:sz w:val="18"/>
        </w:rPr>
        <w:t> </w:t>
      </w:r>
      <w:r>
        <w:rPr>
          <w:color w:val="383638"/>
          <w:w w:val="105"/>
          <w:sz w:val="18"/>
        </w:rPr>
        <w:t>1284</w:t>
      </w:r>
      <w:r>
        <w:rPr>
          <w:color w:val="545456"/>
          <w:w w:val="105"/>
          <w:sz w:val="18"/>
        </w:rPr>
        <w:t>.</w:t>
      </w:r>
    </w:p>
    <w:p>
      <w:pPr>
        <w:spacing w:after="0"/>
        <w:jc w:val="left"/>
        <w:rPr>
          <w:sz w:val="18"/>
        </w:rPr>
        <w:sectPr>
          <w:headerReference w:type="default" r:id="rId346"/>
          <w:headerReference w:type="even" r:id="rId347"/>
          <w:pgSz w:w="9790" w:h="14040"/>
          <w:pgMar w:header="678" w:footer="0" w:top="1100" w:bottom="0" w:left="340" w:right="220"/>
        </w:sectPr>
      </w:pPr>
    </w:p>
    <w:p>
      <w:pPr>
        <w:pStyle w:val="BodyText"/>
        <w:spacing w:line="257" w:lineRule="exact" w:before="81"/>
        <w:ind w:left="692"/>
        <w:jc w:val="both"/>
      </w:pPr>
      <w:r>
        <w:rPr>
          <w:color w:val="3A383A"/>
          <w:spacing w:val="-1"/>
          <w:w w:val="110"/>
        </w:rPr>
        <w:t>me</w:t>
      </w:r>
      <w:r>
        <w:rPr>
          <w:color w:val="3A383A"/>
          <w:w w:val="110"/>
        </w:rPr>
        <w:t>,</w:t>
      </w:r>
      <w:r>
        <w:rPr>
          <w:color w:val="3A383A"/>
          <w:spacing w:val="18"/>
        </w:rPr>
        <w:t> </w:t>
      </w:r>
      <w:r>
        <w:rPr>
          <w:color w:val="3A383A"/>
          <w:w w:val="110"/>
        </w:rPr>
        <w:t>I</w:t>
      </w:r>
      <w:r>
        <w:rPr>
          <w:color w:val="3A383A"/>
          <w:spacing w:val="25"/>
        </w:rPr>
        <w:t> </w:t>
      </w:r>
      <w:r>
        <w:rPr>
          <w:color w:val="3A383A"/>
          <w:spacing w:val="-1"/>
          <w:w w:val="111"/>
        </w:rPr>
        <w:t>mea</w:t>
      </w:r>
      <w:r>
        <w:rPr>
          <w:color w:val="3A383A"/>
          <w:w w:val="111"/>
        </w:rPr>
        <w:t>n</w:t>
      </w:r>
      <w:r>
        <w:rPr>
          <w:color w:val="3A383A"/>
        </w:rPr>
        <w:t> </w:t>
      </w:r>
      <w:r>
        <w:rPr>
          <w:color w:val="3A383A"/>
          <w:spacing w:val="-15"/>
        </w:rPr>
        <w:t> </w:t>
      </w:r>
      <w:r>
        <w:rPr>
          <w:color w:val="3A383A"/>
          <w:spacing w:val="-1"/>
          <w:w w:val="111"/>
        </w:rPr>
        <w:t>t</w:t>
      </w:r>
      <w:r>
        <w:rPr>
          <w:color w:val="3A383A"/>
          <w:w w:val="111"/>
        </w:rPr>
        <w:t>o</w:t>
      </w:r>
      <w:r>
        <w:rPr>
          <w:color w:val="3A383A"/>
          <w:spacing w:val="13"/>
        </w:rPr>
        <w:t> </w:t>
      </w:r>
      <w:r>
        <w:rPr>
          <w:color w:val="3A383A"/>
          <w:spacing w:val="-1"/>
          <w:w w:val="111"/>
        </w:rPr>
        <w:t>sa</w:t>
      </w:r>
      <w:r>
        <w:rPr>
          <w:color w:val="3A383A"/>
          <w:w w:val="111"/>
        </w:rPr>
        <w:t>y</w:t>
      </w:r>
      <w:r>
        <w:rPr>
          <w:color w:val="3A383A"/>
          <w:spacing w:val="14"/>
        </w:rPr>
        <w:t> </w:t>
      </w:r>
      <w:r>
        <w:rPr>
          <w:color w:val="3A383A"/>
          <w:spacing w:val="-1"/>
          <w:w w:val="111"/>
        </w:rPr>
        <w:t>th</w:t>
      </w:r>
      <w:r>
        <w:rPr>
          <w:color w:val="3A383A"/>
          <w:w w:val="111"/>
        </w:rPr>
        <w:t>e</w:t>
      </w:r>
      <w:r>
        <w:rPr>
          <w:color w:val="3A383A"/>
        </w:rPr>
        <w:t> </w:t>
      </w:r>
      <w:r>
        <w:rPr>
          <w:color w:val="3A383A"/>
          <w:spacing w:val="-5"/>
        </w:rPr>
        <w:t> </w:t>
      </w:r>
      <w:r>
        <w:rPr>
          <w:color w:val="3A383A"/>
          <w:spacing w:val="-1"/>
          <w:w w:val="101"/>
        </w:rPr>
        <w:t>Firs</w:t>
      </w:r>
      <w:r>
        <w:rPr>
          <w:color w:val="3A383A"/>
          <w:w w:val="101"/>
        </w:rPr>
        <w:t>t</w:t>
      </w:r>
      <w:r>
        <w:rPr>
          <w:color w:val="3A383A"/>
          <w:spacing w:val="18"/>
        </w:rPr>
        <w:t> </w:t>
      </w:r>
      <w:r>
        <w:rPr>
          <w:color w:val="3A383A"/>
          <w:spacing w:val="-1"/>
          <w:w w:val="111"/>
        </w:rPr>
        <w:t>Amendment</w:t>
      </w:r>
      <w:r>
        <w:rPr>
          <w:color w:val="3A383A"/>
          <w:w w:val="100"/>
        </w:rPr>
        <w:t> </w:t>
      </w:r>
      <w:r>
        <w:rPr>
          <w:color w:val="3A383A"/>
        </w:rPr>
        <w:t>        </w:t>
      </w:r>
      <w:r>
        <w:rPr>
          <w:color w:val="3A383A"/>
          <w:spacing w:val="5"/>
        </w:rPr>
        <w:t> </w:t>
      </w:r>
      <w:r>
        <w:rPr>
          <w:color w:val="3A383A"/>
          <w:spacing w:val="-33"/>
          <w:w w:val="242"/>
        </w:rPr>
        <w:t>"</w:t>
      </w:r>
      <w:r>
        <w:rPr>
          <w:color w:val="3A383A"/>
          <w:spacing w:val="-14"/>
          <w:w w:val="242"/>
        </w:rPr>
        <w:t>D</w:t>
      </w:r>
      <w:r>
        <w:rPr>
          <w:color w:val="3A383A"/>
          <w:spacing w:val="-265"/>
          <w:w w:val="242"/>
        </w:rPr>
        <w:t>n</w:t>
      </w:r>
      <w:r>
        <w:rPr>
          <w:color w:val="3A383A"/>
          <w:spacing w:val="-14"/>
          <w:w w:val="242"/>
        </w:rPr>
        <w:t>o</w:t>
      </w:r>
      <w:r>
        <w:rPr>
          <w:color w:val="3A383A"/>
          <w:spacing w:val="-131"/>
          <w:w w:val="242"/>
        </w:rPr>
        <w:t>o</w:t>
      </w:r>
      <w:r>
        <w:rPr>
          <w:color w:val="3A383A"/>
          <w:spacing w:val="-2"/>
          <w:w w:val="114"/>
        </w:rPr>
        <w:t>b</w:t>
      </w:r>
      <w:r>
        <w:rPr>
          <w:color w:val="3A383A"/>
          <w:spacing w:val="-154"/>
          <w:w w:val="242"/>
        </w:rPr>
        <w:t>t</w:t>
      </w:r>
      <w:r>
        <w:rPr>
          <w:color w:val="3A383A"/>
          <w:w w:val="114"/>
        </w:rPr>
        <w:t>other</w:t>
      </w:r>
      <w:r>
        <w:rPr>
          <w:color w:val="3A383A"/>
          <w:spacing w:val="18"/>
        </w:rPr>
        <w:t> </w:t>
      </w:r>
      <w:r>
        <w:rPr>
          <w:color w:val="3A383A"/>
          <w:spacing w:val="-1"/>
          <w:w w:val="114"/>
        </w:rPr>
        <w:t>t</w:t>
      </w:r>
      <w:r>
        <w:rPr>
          <w:color w:val="3A383A"/>
          <w:w w:val="114"/>
        </w:rPr>
        <w:t>o</w:t>
      </w:r>
      <w:r>
        <w:rPr>
          <w:color w:val="3A383A"/>
          <w:spacing w:val="2"/>
        </w:rPr>
        <w:t> </w:t>
      </w:r>
      <w:r>
        <w:rPr>
          <w:color w:val="3A383A"/>
          <w:spacing w:val="-1"/>
          <w:w w:val="94"/>
        </w:rPr>
        <w:t>correct</w:t>
      </w:r>
    </w:p>
    <w:p>
      <w:pPr>
        <w:pStyle w:val="BodyText"/>
        <w:spacing w:line="235" w:lineRule="auto"/>
        <w:ind w:left="686" w:right="120" w:hanging="1"/>
        <w:jc w:val="both"/>
      </w:pPr>
      <w:r>
        <w:rPr>
          <w:color w:val="3A383A"/>
          <w:w w:val="110"/>
        </w:rPr>
        <w:t>errors that are not misstatements. I have occasionally seen a nervous stu.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9"/>
        </w:rPr>
        <w:t>dent</w:t>
      </w:r>
      <w:r>
        <w:rPr>
          <w:color w:val="3A383A"/>
          <w:spacing w:val="-12"/>
        </w:rPr>
        <w:t> </w:t>
      </w:r>
      <w:r>
        <w:rPr>
          <w:color w:val="3A383A"/>
          <w:w w:val="109"/>
        </w:rPr>
        <w:t>begin</w:t>
      </w:r>
      <w:r>
        <w:rPr>
          <w:color w:val="3A383A"/>
          <w:spacing w:val="1"/>
        </w:rPr>
        <w:t> </w:t>
      </w:r>
      <w:r>
        <w:rPr>
          <w:color w:val="3A383A"/>
          <w:w w:val="109"/>
        </w:rPr>
        <w:t>a</w:t>
      </w:r>
      <w:r>
        <w:rPr>
          <w:color w:val="3A383A"/>
          <w:spacing w:val="-9"/>
        </w:rPr>
        <w:t> </w:t>
      </w:r>
      <w:r>
        <w:rPr>
          <w:color w:val="3A383A"/>
          <w:spacing w:val="-1"/>
          <w:w w:val="113"/>
        </w:rPr>
        <w:t>sentenc</w:t>
      </w:r>
      <w:r>
        <w:rPr>
          <w:color w:val="3A383A"/>
          <w:w w:val="113"/>
        </w:rPr>
        <w:t>e</w:t>
      </w:r>
      <w:r>
        <w:rPr>
          <w:color w:val="3A383A"/>
          <w:spacing w:val="1"/>
        </w:rPr>
        <w:t> </w:t>
      </w:r>
      <w:r>
        <w:rPr>
          <w:color w:val="3A383A"/>
          <w:w w:val="113"/>
        </w:rPr>
        <w:t>by</w:t>
      </w:r>
      <w:r>
        <w:rPr>
          <w:color w:val="3A383A"/>
          <w:spacing w:val="-32"/>
        </w:rPr>
        <w:t> </w:t>
      </w:r>
      <w:r>
        <w:rPr>
          <w:color w:val="3A383A"/>
          <w:spacing w:val="-1"/>
          <w:w w:val="110"/>
        </w:rPr>
        <w:t>saying</w:t>
      </w:r>
      <w:r>
        <w:rPr>
          <w:color w:val="3A383A"/>
          <w:w w:val="110"/>
        </w:rPr>
        <w:t>,</w:t>
      </w:r>
      <w:r>
        <w:rPr>
          <w:color w:val="3A383A"/>
          <w:spacing w:val="-7"/>
        </w:rPr>
        <w:t> </w:t>
      </w:r>
      <w:r>
        <w:rPr>
          <w:color w:val="3A383A"/>
          <w:spacing w:val="-1"/>
          <w:w w:val="110"/>
        </w:rPr>
        <w:t>"</w:t>
      </w:r>
      <w:r>
        <w:rPr>
          <w:color w:val="3A383A"/>
          <w:w w:val="110"/>
        </w:rPr>
        <w:t>I</w:t>
      </w:r>
      <w:r>
        <w:rPr>
          <w:color w:val="3A383A"/>
          <w:spacing w:val="-18"/>
        </w:rPr>
        <w:t> </w:t>
      </w:r>
      <w:r>
        <w:rPr>
          <w:color w:val="3A383A"/>
          <w:spacing w:val="-1"/>
          <w:w w:val="115"/>
        </w:rPr>
        <w:t>conten</w:t>
      </w:r>
      <w:r>
        <w:rPr>
          <w:color w:val="3A383A"/>
          <w:w w:val="115"/>
        </w:rPr>
        <w:t>d</w:t>
      </w:r>
      <w:r>
        <w:rPr>
          <w:color w:val="3A383A"/>
          <w:spacing w:val="15"/>
        </w:rPr>
        <w:t> </w:t>
      </w:r>
      <w:r>
        <w:rPr>
          <w:color w:val="3A383A"/>
          <w:spacing w:val="-1"/>
          <w:w w:val="121"/>
        </w:rPr>
        <w:t>that</w:t>
      </w:r>
      <w:r>
        <w:rPr>
          <w:color w:val="3A383A"/>
          <w:w w:val="100"/>
        </w:rPr>
        <w:t> </w:t>
      </w:r>
      <w:r>
        <w:rPr>
          <w:color w:val="3A383A"/>
        </w:rPr>
        <w:t>      </w:t>
      </w:r>
      <w:r>
        <w:rPr>
          <w:color w:val="3A383A"/>
          <w:spacing w:val="5"/>
        </w:rPr>
        <w:t> </w:t>
      </w:r>
      <w:r>
        <w:rPr>
          <w:color w:val="3A383A"/>
          <w:spacing w:val="-27"/>
          <w:w w:val="202"/>
        </w:rPr>
        <w:t>"</w:t>
      </w:r>
      <w:r>
        <w:rPr>
          <w:color w:val="3A383A"/>
          <w:spacing w:val="-36"/>
          <w:w w:val="202"/>
        </w:rPr>
        <w:t>I</w:t>
      </w:r>
      <w:r>
        <w:rPr>
          <w:color w:val="3A383A"/>
          <w:spacing w:val="-1"/>
          <w:w w:val="202"/>
        </w:rPr>
        <w:t>s</w:t>
      </w:r>
      <w:r>
        <w:rPr>
          <w:color w:val="3A383A"/>
          <w:spacing w:val="-18"/>
          <w:w w:val="202"/>
        </w:rPr>
        <w:t>e</w:t>
      </w:r>
      <w:r>
        <w:rPr>
          <w:color w:val="3A383A"/>
          <w:spacing w:val="-112"/>
          <w:w w:val="202"/>
        </w:rPr>
        <w:t>i</w:t>
      </w:r>
      <w:r>
        <w:rPr>
          <w:color w:val="3A383A"/>
          <w:spacing w:val="-96"/>
          <w:w w:val="202"/>
        </w:rPr>
        <w:t>e</w:t>
      </w:r>
      <w:r>
        <w:rPr>
          <w:color w:val="3A383A"/>
          <w:spacing w:val="-88"/>
          <w:w w:val="202"/>
        </w:rPr>
        <w:t>n</w:t>
      </w:r>
      <w:r>
        <w:rPr>
          <w:color w:val="3A383A"/>
          <w:w w:val="202"/>
        </w:rPr>
        <w:t>h</w:t>
      </w:r>
      <w:r>
        <w:rPr>
          <w:color w:val="3A383A"/>
          <w:spacing w:val="-33"/>
          <w:w w:val="202"/>
        </w:rPr>
        <w:t>i</w:t>
      </w:r>
      <w:r>
        <w:rPr>
          <w:color w:val="3A383A"/>
          <w:spacing w:val="-45"/>
          <w:w w:val="100"/>
        </w:rPr>
        <w:t>f</w:t>
      </w:r>
      <w:r>
        <w:rPr>
          <w:color w:val="3A383A"/>
          <w:spacing w:val="-138"/>
          <w:w w:val="202"/>
        </w:rPr>
        <w:t>s</w:t>
      </w:r>
      <w:r>
        <w:rPr>
          <w:color w:val="3A383A"/>
          <w:w w:val="100"/>
        </w:rPr>
        <w:t>ace</w:t>
      </w:r>
      <w:r>
        <w:rPr>
          <w:color w:val="3A383A"/>
          <w:spacing w:val="-31"/>
        </w:rPr>
        <w:t> </w:t>
      </w:r>
      <w:r>
        <w:rPr>
          <w:color w:val="3A383A"/>
          <w:spacing w:val="-1"/>
          <w:w w:val="104"/>
        </w:rPr>
        <w:t>that</w:t>
      </w:r>
    </w:p>
    <w:p>
      <w:pPr>
        <w:pStyle w:val="BodyText"/>
        <w:spacing w:line="235" w:lineRule="auto"/>
        <w:ind w:left="679" w:right="132" w:firstLine="13"/>
        <w:jc w:val="both"/>
      </w:pPr>
      <w:r>
        <w:rPr>
          <w:color w:val="3A383A"/>
          <w:w w:val="110"/>
        </w:rPr>
        <w:t>he  realizes he should avoid referring to himself, so he corrects himself: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"I  mean the Petitioner contends that </w:t>
      </w:r>
      <w:r>
        <w:rPr>
          <w:color w:val="5D5E60"/>
          <w:w w:val="125"/>
        </w:rPr>
        <w:t>.</w:t>
      </w:r>
      <w:r>
        <w:rPr>
          <w:color w:val="2A2828"/>
          <w:w w:val="125"/>
        </w:rPr>
        <w:t>..."</w:t>
      </w:r>
      <w:r>
        <w:rPr>
          <w:color w:val="3A383A"/>
          <w:w w:val="125"/>
        </w:rPr>
        <w:t>Suddenly, </w:t>
      </w:r>
      <w:r>
        <w:rPr>
          <w:color w:val="3A383A"/>
          <w:w w:val="110"/>
        </w:rPr>
        <w:t>he  remembers that</w:t>
      </w:r>
      <w:r>
        <w:rPr>
          <w:color w:val="3A383A"/>
          <w:spacing w:val="1"/>
          <w:w w:val="110"/>
        </w:rPr>
        <w:t> </w:t>
      </w:r>
      <w:r>
        <w:rPr>
          <w:color w:val="2A2828"/>
          <w:w w:val="110"/>
        </w:rPr>
        <w:t>I </w:t>
      </w:r>
      <w:r>
        <w:rPr>
          <w:color w:val="3A383A"/>
          <w:w w:val="110"/>
        </w:rPr>
        <w:t>advised in class against using labels of any kind, and he freezes </w:t>
      </w:r>
      <w:r>
        <w:rPr>
          <w:color w:val="3A383A"/>
          <w:w w:val="110"/>
          <w:sz w:val="22"/>
        </w:rPr>
        <w:t>in </w:t>
      </w:r>
      <w:r>
        <w:rPr>
          <w:color w:val="3A383A"/>
          <w:w w:val="110"/>
        </w:rPr>
        <w:t>dis­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05"/>
        </w:rPr>
        <w:t>may.  No court will rule against you  for a style error. This advice is meant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10"/>
        </w:rPr>
        <w:t>to make your presentation as smooth as possible</w:t>
      </w:r>
      <w:r>
        <w:rPr>
          <w:color w:val="5D5E60"/>
          <w:w w:val="110"/>
        </w:rPr>
        <w:t>, </w:t>
      </w:r>
      <w:r>
        <w:rPr>
          <w:color w:val="3A383A"/>
          <w:w w:val="110"/>
        </w:rPr>
        <w:t>but try not to become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hypersensitive. Unless you say something offensive, if you make a style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error, you should just keep going. To quote the old adage: "Least said,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soonest</w:t>
      </w:r>
      <w:r>
        <w:rPr>
          <w:color w:val="3A383A"/>
          <w:spacing w:val="-7"/>
          <w:w w:val="110"/>
        </w:rPr>
        <w:t> </w:t>
      </w:r>
      <w:r>
        <w:rPr>
          <w:color w:val="3A383A"/>
          <w:w w:val="110"/>
        </w:rPr>
        <w:t>mended."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after="0"/>
        <w:rPr>
          <w:sz w:val="19"/>
        </w:rPr>
        <w:sectPr>
          <w:pgSz w:w="9790" w:h="14020"/>
          <w:pgMar w:header="531" w:footer="0" w:top="1100" w:bottom="0" w:left="1360" w:right="2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260" w:lineRule="exact"/>
        <w:jc w:val="right"/>
      </w:pPr>
      <w:r>
        <w:rPr>
          <w:color w:val="3A383A"/>
        </w:rPr>
        <w:t>ing</w:t>
      </w:r>
    </w:p>
    <w:p>
      <w:pPr>
        <w:spacing w:before="91"/>
        <w:ind w:left="320" w:right="0" w:firstLine="0"/>
        <w:jc w:val="left"/>
        <w:rPr>
          <w:rFonts w:ascii="Arial"/>
          <w:b/>
          <w:sz w:val="32"/>
        </w:rPr>
      </w:pPr>
      <w:r>
        <w:rPr/>
        <w:br w:type="column"/>
      </w:r>
      <w:r>
        <w:rPr>
          <w:rFonts w:ascii="Arial"/>
          <w:b/>
          <w:color w:val="5D5E60"/>
          <w:w w:val="115"/>
          <w:sz w:val="32"/>
        </w:rPr>
        <w:t>13.9</w:t>
      </w:r>
    </w:p>
    <w:p>
      <w:pPr>
        <w:spacing w:before="46"/>
        <w:ind w:left="317" w:right="0" w:firstLine="0"/>
        <w:jc w:val="left"/>
        <w:rPr>
          <w:b/>
          <w:sz w:val="28"/>
        </w:rPr>
      </w:pPr>
      <w:r>
        <w:rPr>
          <w:rFonts w:ascii="Arial"/>
          <w:b/>
          <w:color w:val="5D5E60"/>
          <w:sz w:val="25"/>
        </w:rPr>
        <w:t>PUBLI</w:t>
      </w:r>
      <w:r>
        <w:rPr>
          <w:rFonts w:ascii="Arial"/>
          <w:b/>
          <w:color w:val="3A383A"/>
          <w:sz w:val="25"/>
        </w:rPr>
        <w:t>C</w:t>
      </w:r>
      <w:r>
        <w:rPr>
          <w:rFonts w:ascii="Arial"/>
          <w:b/>
          <w:color w:val="3A383A"/>
          <w:spacing w:val="38"/>
          <w:sz w:val="25"/>
        </w:rPr>
        <w:t> </w:t>
      </w:r>
      <w:r>
        <w:rPr>
          <w:rFonts w:ascii="Arial"/>
          <w:b/>
          <w:color w:val="5D5E60"/>
          <w:sz w:val="25"/>
        </w:rPr>
        <w:t>SPEAKING</w:t>
      </w:r>
      <w:r>
        <w:rPr>
          <w:rFonts w:ascii="Arial"/>
          <w:b/>
          <w:color w:val="5D5E60"/>
          <w:spacing w:val="30"/>
          <w:sz w:val="25"/>
        </w:rPr>
        <w:t> </w:t>
      </w:r>
      <w:r>
        <w:rPr>
          <w:b/>
          <w:color w:val="5D5E60"/>
          <w:sz w:val="28"/>
        </w:rPr>
        <w:t>TIPS</w:t>
      </w:r>
    </w:p>
    <w:p>
      <w:pPr>
        <w:pStyle w:val="BodyText"/>
        <w:spacing w:line="235" w:lineRule="auto" w:before="227"/>
        <w:ind w:left="121" w:right="115" w:firstLine="149"/>
      </w:pPr>
      <w:r>
        <w:rPr>
          <w:color w:val="3A383A"/>
          <w:w w:val="110"/>
        </w:rPr>
        <w:t>This</w:t>
      </w:r>
      <w:r>
        <w:rPr>
          <w:color w:val="3A383A"/>
          <w:spacing w:val="9"/>
          <w:w w:val="110"/>
        </w:rPr>
        <w:t> </w:t>
      </w:r>
      <w:r>
        <w:rPr>
          <w:color w:val="3A383A"/>
          <w:w w:val="110"/>
        </w:rPr>
        <w:t>point</w:t>
      </w:r>
      <w:r>
        <w:rPr>
          <w:color w:val="3A383A"/>
          <w:spacing w:val="25"/>
          <w:w w:val="110"/>
        </w:rPr>
        <w:t> </w:t>
      </w:r>
      <w:r>
        <w:rPr>
          <w:color w:val="3A383A"/>
          <w:w w:val="110"/>
        </w:rPr>
        <w:t>appears</w:t>
      </w:r>
      <w:r>
        <w:rPr>
          <w:color w:val="3A383A"/>
          <w:spacing w:val="21"/>
          <w:w w:val="110"/>
        </w:rPr>
        <w:t> </w:t>
      </w:r>
      <w:r>
        <w:rPr>
          <w:color w:val="2A2828"/>
          <w:w w:val="110"/>
        </w:rPr>
        <w:t>last</w:t>
      </w:r>
      <w:r>
        <w:rPr>
          <w:color w:val="2A2828"/>
          <w:spacing w:val="27"/>
          <w:w w:val="110"/>
        </w:rPr>
        <w:t> </w:t>
      </w:r>
      <w:r>
        <w:rPr>
          <w:color w:val="3A383A"/>
          <w:w w:val="110"/>
        </w:rPr>
        <w:t>because</w:t>
      </w:r>
      <w:r>
        <w:rPr>
          <w:color w:val="3A383A"/>
          <w:spacing w:val="35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56"/>
          <w:w w:val="110"/>
        </w:rPr>
        <w:t> </w:t>
      </w:r>
      <w:r>
        <w:rPr>
          <w:color w:val="3A383A"/>
          <w:w w:val="110"/>
        </w:rPr>
        <w:t>most</w:t>
      </w:r>
      <w:r>
        <w:rPr>
          <w:color w:val="3A383A"/>
          <w:spacing w:val="26"/>
          <w:w w:val="110"/>
        </w:rPr>
        <w:t> </w:t>
      </w:r>
      <w:r>
        <w:rPr>
          <w:color w:val="3A383A"/>
          <w:w w:val="110"/>
        </w:rPr>
        <w:t>important</w:t>
      </w:r>
      <w:r>
        <w:rPr>
          <w:color w:val="3A383A"/>
          <w:spacing w:val="49"/>
          <w:w w:val="110"/>
        </w:rPr>
        <w:t> </w:t>
      </w:r>
      <w:r>
        <w:rPr>
          <w:color w:val="3A383A"/>
          <w:w w:val="110"/>
        </w:rPr>
        <w:t>public</w:t>
      </w:r>
      <w:r>
        <w:rPr>
          <w:color w:val="3A383A"/>
          <w:spacing w:val="3"/>
          <w:w w:val="110"/>
        </w:rPr>
        <w:t> </w:t>
      </w:r>
      <w:r>
        <w:rPr>
          <w:color w:val="3A383A"/>
          <w:w w:val="110"/>
        </w:rPr>
        <w:t>speak­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20"/>
        </w:rPr>
        <w:t>tips-don't</w:t>
      </w:r>
      <w:r>
        <w:rPr>
          <w:color w:val="3A383A"/>
          <w:spacing w:val="30"/>
          <w:w w:val="120"/>
        </w:rPr>
        <w:t> </w:t>
      </w:r>
      <w:r>
        <w:rPr>
          <w:color w:val="3A383A"/>
          <w:w w:val="120"/>
        </w:rPr>
        <w:t>read</w:t>
      </w:r>
      <w:r>
        <w:rPr>
          <w:color w:val="3A383A"/>
          <w:spacing w:val="31"/>
          <w:w w:val="120"/>
        </w:rPr>
        <w:t> </w:t>
      </w:r>
      <w:r>
        <w:rPr>
          <w:color w:val="3A383A"/>
          <w:w w:val="120"/>
        </w:rPr>
        <w:t>to</w:t>
      </w:r>
      <w:r>
        <w:rPr>
          <w:color w:val="3A383A"/>
          <w:spacing w:val="46"/>
          <w:w w:val="120"/>
        </w:rPr>
        <w:t> </w:t>
      </w:r>
      <w:r>
        <w:rPr>
          <w:color w:val="3A383A"/>
          <w:w w:val="120"/>
        </w:rPr>
        <w:t>the</w:t>
      </w:r>
      <w:r>
        <w:rPr>
          <w:color w:val="3A383A"/>
          <w:spacing w:val="55"/>
          <w:w w:val="120"/>
        </w:rPr>
        <w:t> </w:t>
      </w:r>
      <w:r>
        <w:rPr>
          <w:color w:val="3A383A"/>
          <w:w w:val="120"/>
        </w:rPr>
        <w:t>court</w:t>
      </w:r>
      <w:r>
        <w:rPr>
          <w:color w:val="3A383A"/>
          <w:spacing w:val="18"/>
          <w:w w:val="120"/>
        </w:rPr>
        <w:t> </w:t>
      </w:r>
      <w:r>
        <w:rPr>
          <w:color w:val="3A383A"/>
          <w:w w:val="120"/>
        </w:rPr>
        <w:t>and</w:t>
      </w:r>
      <w:r>
        <w:rPr>
          <w:color w:val="3A383A"/>
          <w:spacing w:val="36"/>
          <w:w w:val="120"/>
        </w:rPr>
        <w:t> </w:t>
      </w:r>
      <w:r>
        <w:rPr>
          <w:color w:val="3A383A"/>
          <w:w w:val="120"/>
        </w:rPr>
        <w:t>maintain</w:t>
      </w:r>
      <w:r>
        <w:rPr>
          <w:color w:val="3A383A"/>
          <w:spacing w:val="28"/>
          <w:w w:val="120"/>
        </w:rPr>
        <w:t> </w:t>
      </w:r>
      <w:r>
        <w:rPr>
          <w:color w:val="3A383A"/>
          <w:w w:val="120"/>
        </w:rPr>
        <w:t>eye</w:t>
      </w:r>
      <w:r>
        <w:rPr>
          <w:color w:val="3A383A"/>
          <w:spacing w:val="-2"/>
          <w:w w:val="120"/>
        </w:rPr>
        <w:t> </w:t>
      </w:r>
      <w:r>
        <w:rPr>
          <w:color w:val="3A383A"/>
          <w:w w:val="120"/>
        </w:rPr>
        <w:t>contact</w:t>
      </w:r>
      <w:r>
        <w:rPr>
          <w:color w:val="3A383A"/>
          <w:spacing w:val="20"/>
          <w:w w:val="120"/>
        </w:rPr>
        <w:t> </w:t>
      </w:r>
      <w:r>
        <w:rPr>
          <w:color w:val="3A383A"/>
          <w:w w:val="120"/>
        </w:rPr>
        <w:t>with</w:t>
      </w:r>
      <w:r>
        <w:rPr>
          <w:color w:val="3A383A"/>
          <w:spacing w:val="6"/>
          <w:w w:val="120"/>
        </w:rPr>
        <w:t> </w:t>
      </w:r>
      <w:r>
        <w:rPr>
          <w:color w:val="3A383A"/>
          <w:w w:val="120"/>
        </w:rPr>
        <w:t>the</w:t>
      </w:r>
    </w:p>
    <w:p>
      <w:pPr>
        <w:spacing w:after="0" w:line="235" w:lineRule="auto"/>
        <w:sectPr>
          <w:type w:val="continuous"/>
          <w:pgSz w:w="9790" w:h="14020"/>
          <w:pgMar w:header="678" w:footer="0" w:top="340" w:bottom="280" w:left="1360" w:right="220"/>
          <w:cols w:num="2" w:equalWidth="0">
            <w:col w:w="945" w:space="40"/>
            <w:col w:w="7225"/>
          </w:cols>
        </w:sectPr>
      </w:pPr>
    </w:p>
    <w:p>
      <w:pPr>
        <w:pStyle w:val="BodyText"/>
        <w:spacing w:line="235" w:lineRule="auto"/>
        <w:ind w:left="682" w:hanging="16"/>
      </w:pPr>
      <w:r>
        <w:rPr>
          <w:color w:val="3A383A"/>
          <w:w w:val="110"/>
        </w:rPr>
        <w:t>court-have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been</w:t>
      </w:r>
      <w:r>
        <w:rPr>
          <w:color w:val="3A383A"/>
          <w:spacing w:val="7"/>
          <w:w w:val="110"/>
        </w:rPr>
        <w:t> </w:t>
      </w:r>
      <w:r>
        <w:rPr>
          <w:color w:val="3A383A"/>
          <w:w w:val="110"/>
        </w:rPr>
        <w:t>made</w:t>
      </w:r>
      <w:r>
        <w:rPr>
          <w:color w:val="3A383A"/>
          <w:spacing w:val="55"/>
          <w:w w:val="110"/>
        </w:rPr>
        <w:t> </w:t>
      </w:r>
      <w:r>
        <w:rPr>
          <w:color w:val="3A383A"/>
          <w:w w:val="110"/>
        </w:rPr>
        <w:t>previously</w:t>
      </w:r>
      <w:r>
        <w:rPr>
          <w:color w:val="3A383A"/>
          <w:spacing w:val="62"/>
          <w:w w:val="110"/>
        </w:rPr>
        <w:t> </w:t>
      </w:r>
      <w:r>
        <w:rPr>
          <w:color w:val="3A383A"/>
          <w:w w:val="110"/>
        </w:rPr>
        <w:t>in</w:t>
      </w:r>
      <w:r>
        <w:rPr>
          <w:color w:val="3A383A"/>
          <w:spacing w:val="17"/>
          <w:w w:val="110"/>
        </w:rPr>
        <w:t> </w:t>
      </w:r>
      <w:r>
        <w:rPr>
          <w:color w:val="3A383A"/>
          <w:w w:val="110"/>
        </w:rPr>
        <w:t>this</w:t>
      </w:r>
      <w:r>
        <w:rPr>
          <w:color w:val="3A383A"/>
          <w:spacing w:val="40"/>
          <w:w w:val="110"/>
        </w:rPr>
        <w:t> </w:t>
      </w:r>
      <w:r>
        <w:rPr>
          <w:color w:val="3A383A"/>
          <w:w w:val="110"/>
        </w:rPr>
        <w:t>chapter.</w:t>
      </w:r>
      <w:r>
        <w:rPr>
          <w:color w:val="3A383A"/>
          <w:spacing w:val="38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49"/>
          <w:w w:val="110"/>
        </w:rPr>
        <w:t> </w:t>
      </w:r>
      <w:r>
        <w:rPr>
          <w:color w:val="3A383A"/>
          <w:w w:val="110"/>
        </w:rPr>
        <w:t>court</w:t>
      </w:r>
      <w:r>
        <w:rPr>
          <w:color w:val="3A383A"/>
          <w:spacing w:val="41"/>
          <w:w w:val="110"/>
        </w:rPr>
        <w:t> </w:t>
      </w:r>
      <w:r>
        <w:rPr>
          <w:color w:val="3A383A"/>
          <w:w w:val="110"/>
        </w:rPr>
        <w:t>is</w:t>
      </w:r>
      <w:r>
        <w:rPr>
          <w:color w:val="3A383A"/>
          <w:spacing w:val="41"/>
          <w:w w:val="110"/>
        </w:rPr>
        <w:t> </w:t>
      </w:r>
      <w:r>
        <w:rPr>
          <w:color w:val="3A383A"/>
          <w:w w:val="110"/>
        </w:rPr>
        <w:t>much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more</w:t>
      </w:r>
      <w:r>
        <w:rPr>
          <w:color w:val="3A383A"/>
          <w:spacing w:val="-7"/>
          <w:w w:val="110"/>
        </w:rPr>
        <w:t> </w:t>
      </w:r>
      <w:r>
        <w:rPr>
          <w:color w:val="3A383A"/>
          <w:w w:val="110"/>
        </w:rPr>
        <w:t>interested</w:t>
      </w:r>
      <w:r>
        <w:rPr>
          <w:color w:val="3A383A"/>
          <w:spacing w:val="5"/>
          <w:w w:val="110"/>
        </w:rPr>
        <w:t> </w:t>
      </w:r>
      <w:r>
        <w:rPr>
          <w:color w:val="3A383A"/>
          <w:w w:val="110"/>
        </w:rPr>
        <w:t>in</w:t>
      </w:r>
      <w:r>
        <w:rPr>
          <w:color w:val="3A383A"/>
          <w:spacing w:val="15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20"/>
          <w:w w:val="110"/>
        </w:rPr>
        <w:t> </w:t>
      </w:r>
      <w:r>
        <w:rPr>
          <w:color w:val="3A383A"/>
          <w:w w:val="110"/>
        </w:rPr>
        <w:t>law</w:t>
      </w:r>
      <w:r>
        <w:rPr>
          <w:color w:val="3A383A"/>
          <w:spacing w:val="-5"/>
          <w:w w:val="110"/>
        </w:rPr>
        <w:t> </w:t>
      </w:r>
      <w:r>
        <w:rPr>
          <w:color w:val="3A383A"/>
          <w:w w:val="110"/>
        </w:rPr>
        <w:t>and</w:t>
      </w:r>
      <w:r>
        <w:rPr>
          <w:color w:val="3A383A"/>
          <w:spacing w:val="35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23"/>
          <w:w w:val="110"/>
        </w:rPr>
        <w:t> </w:t>
      </w:r>
      <w:r>
        <w:rPr>
          <w:color w:val="3A383A"/>
          <w:w w:val="110"/>
        </w:rPr>
        <w:t>facts</w:t>
      </w:r>
      <w:r>
        <w:rPr>
          <w:color w:val="3A383A"/>
          <w:spacing w:val="-12"/>
          <w:w w:val="110"/>
        </w:rPr>
        <w:t> </w:t>
      </w:r>
      <w:r>
        <w:rPr>
          <w:color w:val="3A383A"/>
          <w:w w:val="110"/>
        </w:rPr>
        <w:t>of</w:t>
      </w:r>
      <w:r>
        <w:rPr>
          <w:color w:val="3A383A"/>
          <w:spacing w:val="6"/>
          <w:w w:val="110"/>
        </w:rPr>
        <w:t> </w:t>
      </w:r>
      <w:r>
        <w:rPr>
          <w:color w:val="3A383A"/>
          <w:w w:val="110"/>
        </w:rPr>
        <w:t>the</w:t>
      </w:r>
      <w:r>
        <w:rPr>
          <w:color w:val="3A383A"/>
          <w:spacing w:val="21"/>
          <w:w w:val="110"/>
        </w:rPr>
        <w:t> </w:t>
      </w:r>
      <w:r>
        <w:rPr>
          <w:color w:val="3A383A"/>
          <w:w w:val="110"/>
        </w:rPr>
        <w:t>case</w:t>
      </w:r>
      <w:r>
        <w:rPr>
          <w:color w:val="3A383A"/>
          <w:spacing w:val="5"/>
          <w:w w:val="110"/>
        </w:rPr>
        <w:t> </w:t>
      </w:r>
      <w:r>
        <w:rPr>
          <w:color w:val="3A383A"/>
          <w:w w:val="110"/>
        </w:rPr>
        <w:t>than</w:t>
      </w:r>
      <w:r>
        <w:rPr>
          <w:color w:val="3A383A"/>
          <w:spacing w:val="-1"/>
          <w:w w:val="110"/>
        </w:rPr>
        <w:t> </w:t>
      </w:r>
      <w:r>
        <w:rPr>
          <w:color w:val="3A383A"/>
          <w:w w:val="110"/>
        </w:rPr>
        <w:t>it</w:t>
      </w:r>
      <w:r>
        <w:rPr>
          <w:color w:val="3A383A"/>
          <w:spacing w:val="8"/>
          <w:w w:val="110"/>
        </w:rPr>
        <w:t> </w:t>
      </w:r>
      <w:r>
        <w:rPr>
          <w:color w:val="3A383A"/>
          <w:w w:val="110"/>
        </w:rPr>
        <w:t>is</w:t>
      </w:r>
      <w:r>
        <w:rPr>
          <w:color w:val="3A383A"/>
          <w:spacing w:val="-14"/>
          <w:w w:val="110"/>
        </w:rPr>
        <w:t> </w:t>
      </w:r>
      <w:r>
        <w:rPr>
          <w:color w:val="3A383A"/>
          <w:w w:val="110"/>
        </w:rPr>
        <w:t>in</w:t>
      </w:r>
      <w:r>
        <w:rPr>
          <w:color w:val="3A383A"/>
          <w:spacing w:val="3"/>
          <w:w w:val="110"/>
        </w:rPr>
        <w:t> </w:t>
      </w:r>
      <w:r>
        <w:rPr>
          <w:color w:val="3A383A"/>
          <w:w w:val="110"/>
        </w:rPr>
        <w:t>a</w:t>
      </w:r>
      <w:r>
        <w:rPr>
          <w:color w:val="3A383A"/>
          <w:spacing w:val="9"/>
          <w:w w:val="110"/>
        </w:rPr>
        <w:t> </w:t>
      </w:r>
      <w:r>
        <w:rPr>
          <w:color w:val="3A383A"/>
          <w:w w:val="110"/>
        </w:rPr>
        <w:t>profes­</w:t>
      </w:r>
    </w:p>
    <w:p>
      <w:pPr>
        <w:pStyle w:val="BodyText"/>
        <w:spacing w:line="257" w:lineRule="exact" w:before="3"/>
        <w:ind w:left="716"/>
      </w:pPr>
      <w:r>
        <w:rPr>
          <w:color w:val="3A383A"/>
          <w:w w:val="105"/>
        </w:rPr>
        <w:t>.ional</w:t>
      </w:r>
      <w:r>
        <w:rPr>
          <w:color w:val="3A383A"/>
          <w:spacing w:val="25"/>
          <w:w w:val="105"/>
        </w:rPr>
        <w:t> </w:t>
      </w:r>
      <w:r>
        <w:rPr>
          <w:color w:val="3A383A"/>
          <w:w w:val="105"/>
        </w:rPr>
        <w:t>oratorical</w:t>
      </w:r>
      <w:r>
        <w:rPr>
          <w:color w:val="3A383A"/>
          <w:spacing w:val="26"/>
          <w:w w:val="105"/>
        </w:rPr>
        <w:t> </w:t>
      </w:r>
      <w:r>
        <w:rPr>
          <w:color w:val="3A383A"/>
          <w:w w:val="105"/>
        </w:rPr>
        <w:t>style.</w:t>
      </w:r>
      <w:r>
        <w:rPr>
          <w:color w:val="3A383A"/>
          <w:spacing w:val="4"/>
          <w:w w:val="105"/>
        </w:rPr>
        <w:t> </w:t>
      </w:r>
      <w:r>
        <w:rPr>
          <w:color w:val="3A383A"/>
          <w:w w:val="105"/>
        </w:rPr>
        <w:t>That</w:t>
      </w:r>
      <w:r>
        <w:rPr>
          <w:color w:val="3A383A"/>
          <w:spacing w:val="37"/>
          <w:w w:val="105"/>
        </w:rPr>
        <w:t> </w:t>
      </w:r>
      <w:r>
        <w:rPr>
          <w:color w:val="3A383A"/>
          <w:w w:val="105"/>
        </w:rPr>
        <w:t>said,</w:t>
      </w:r>
      <w:r>
        <w:rPr>
          <w:color w:val="3A383A"/>
          <w:spacing w:val="30"/>
          <w:w w:val="105"/>
        </w:rPr>
        <w:t> </w:t>
      </w:r>
      <w:r>
        <w:rPr>
          <w:color w:val="3A383A"/>
          <w:w w:val="105"/>
        </w:rPr>
        <w:t>there</w:t>
      </w:r>
      <w:r>
        <w:rPr>
          <w:color w:val="3A383A"/>
          <w:spacing w:val="21"/>
          <w:w w:val="105"/>
        </w:rPr>
        <w:t> </w:t>
      </w:r>
      <w:r>
        <w:rPr>
          <w:color w:val="3A383A"/>
          <w:w w:val="105"/>
        </w:rPr>
        <w:t>are</w:t>
      </w:r>
      <w:r>
        <w:rPr>
          <w:color w:val="3A383A"/>
          <w:spacing w:val="14"/>
          <w:w w:val="105"/>
        </w:rPr>
        <w:t> </w:t>
      </w:r>
      <w:r>
        <w:rPr>
          <w:color w:val="3A383A"/>
          <w:w w:val="105"/>
        </w:rPr>
        <w:t>a</w:t>
      </w:r>
      <w:r>
        <w:rPr>
          <w:color w:val="3A383A"/>
          <w:spacing w:val="35"/>
          <w:w w:val="105"/>
        </w:rPr>
        <w:t> </w:t>
      </w:r>
      <w:r>
        <w:rPr>
          <w:color w:val="3A383A"/>
          <w:w w:val="105"/>
        </w:rPr>
        <w:t>few</w:t>
      </w:r>
      <w:r>
        <w:rPr>
          <w:color w:val="3A383A"/>
          <w:spacing w:val="24"/>
          <w:w w:val="105"/>
        </w:rPr>
        <w:t> </w:t>
      </w:r>
      <w:r>
        <w:rPr>
          <w:color w:val="3A383A"/>
          <w:w w:val="105"/>
        </w:rPr>
        <w:t>general</w:t>
      </w:r>
      <w:r>
        <w:rPr>
          <w:color w:val="3A383A"/>
          <w:spacing w:val="50"/>
          <w:w w:val="105"/>
        </w:rPr>
        <w:t> </w:t>
      </w:r>
      <w:r>
        <w:rPr>
          <w:color w:val="3A383A"/>
          <w:w w:val="105"/>
        </w:rPr>
        <w:t>pieces</w:t>
      </w:r>
      <w:r>
        <w:rPr>
          <w:color w:val="3A383A"/>
          <w:spacing w:val="36"/>
          <w:w w:val="105"/>
        </w:rPr>
        <w:t> </w:t>
      </w:r>
      <w:r>
        <w:rPr>
          <w:color w:val="3A383A"/>
          <w:w w:val="105"/>
        </w:rPr>
        <w:t>of</w:t>
      </w:r>
      <w:r>
        <w:rPr>
          <w:color w:val="3A383A"/>
          <w:spacing w:val="43"/>
          <w:w w:val="105"/>
        </w:rPr>
        <w:t> </w:t>
      </w:r>
      <w:r>
        <w:rPr>
          <w:color w:val="3A383A"/>
          <w:w w:val="105"/>
        </w:rPr>
        <w:t>advice</w:t>
      </w:r>
    </w:p>
    <w:p>
      <w:pPr>
        <w:pStyle w:val="BodyText"/>
        <w:spacing w:line="255" w:lineRule="exact"/>
        <w:ind w:left="696"/>
      </w:pPr>
      <w:r>
        <w:rPr>
          <w:color w:val="5D5E60"/>
          <w:w w:val="110"/>
        </w:rPr>
        <w:t>.</w:t>
      </w:r>
      <w:r>
        <w:rPr>
          <w:color w:val="3A383A"/>
          <w:w w:val="110"/>
        </w:rPr>
        <w:t>hat</w:t>
      </w:r>
      <w:r>
        <w:rPr>
          <w:color w:val="3A383A"/>
          <w:spacing w:val="18"/>
          <w:w w:val="110"/>
        </w:rPr>
        <w:t> </w:t>
      </w:r>
      <w:r>
        <w:rPr>
          <w:color w:val="3A383A"/>
          <w:w w:val="110"/>
        </w:rPr>
        <w:t>can</w:t>
      </w:r>
      <w:r>
        <w:rPr>
          <w:color w:val="3A383A"/>
          <w:spacing w:val="32"/>
          <w:w w:val="110"/>
        </w:rPr>
        <w:t> </w:t>
      </w:r>
      <w:r>
        <w:rPr>
          <w:color w:val="3A383A"/>
          <w:w w:val="110"/>
        </w:rPr>
        <w:t>help</w:t>
      </w:r>
      <w:r>
        <w:rPr>
          <w:color w:val="3A383A"/>
          <w:spacing w:val="-14"/>
          <w:w w:val="110"/>
        </w:rPr>
        <w:t> </w:t>
      </w:r>
      <w:r>
        <w:rPr>
          <w:color w:val="3A383A"/>
          <w:w w:val="110"/>
        </w:rPr>
        <w:t>to</w:t>
      </w:r>
      <w:r>
        <w:rPr>
          <w:color w:val="3A383A"/>
          <w:spacing w:val="15"/>
          <w:w w:val="110"/>
        </w:rPr>
        <w:t> </w:t>
      </w:r>
      <w:r>
        <w:rPr>
          <w:color w:val="3A383A"/>
          <w:w w:val="110"/>
        </w:rPr>
        <w:t>make</w:t>
      </w:r>
      <w:r>
        <w:rPr>
          <w:color w:val="3A383A"/>
          <w:spacing w:val="-9"/>
          <w:w w:val="110"/>
        </w:rPr>
        <w:t> </w:t>
      </w:r>
      <w:r>
        <w:rPr>
          <w:color w:val="3A383A"/>
          <w:w w:val="110"/>
        </w:rPr>
        <w:t>your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presentation</w:t>
      </w:r>
      <w:r>
        <w:rPr>
          <w:color w:val="3A383A"/>
          <w:spacing w:val="27"/>
          <w:w w:val="110"/>
        </w:rPr>
        <w:t> </w:t>
      </w:r>
      <w:r>
        <w:rPr>
          <w:color w:val="3A383A"/>
          <w:w w:val="110"/>
        </w:rPr>
        <w:t>more</w:t>
      </w:r>
      <w:r>
        <w:rPr>
          <w:color w:val="3A383A"/>
          <w:spacing w:val="-18"/>
          <w:w w:val="110"/>
        </w:rPr>
        <w:t> </w:t>
      </w:r>
      <w:r>
        <w:rPr>
          <w:color w:val="3A383A"/>
          <w:w w:val="110"/>
        </w:rPr>
        <w:t>effective</w:t>
      </w:r>
      <w:r>
        <w:rPr>
          <w:color w:val="5D5E60"/>
          <w:w w:val="110"/>
        </w:rPr>
        <w:t>.</w:t>
      </w:r>
    </w:p>
    <w:p>
      <w:pPr>
        <w:pStyle w:val="BodyText"/>
        <w:spacing w:line="235" w:lineRule="auto" w:before="2"/>
        <w:ind w:left="585" w:right="106" w:firstLine="442"/>
        <w:jc w:val="both"/>
      </w:pPr>
      <w:r>
        <w:rPr>
          <w:color w:val="3A383A"/>
          <w:w w:val="105"/>
        </w:rPr>
        <w:t>First, speak </w:t>
      </w:r>
      <w:r>
        <w:rPr>
          <w:color w:val="2A2828"/>
          <w:w w:val="105"/>
        </w:rPr>
        <w:t>loudly </w:t>
      </w:r>
      <w:r>
        <w:rPr>
          <w:color w:val="3A383A"/>
          <w:w w:val="105"/>
        </w:rPr>
        <w:t>enough and slowly enough </w:t>
      </w:r>
      <w:r>
        <w:rPr>
          <w:color w:val="2A2828"/>
          <w:w w:val="105"/>
        </w:rPr>
        <w:t>to </w:t>
      </w:r>
      <w:r>
        <w:rPr>
          <w:color w:val="3A383A"/>
          <w:w w:val="105"/>
        </w:rPr>
        <w:t>be </w:t>
      </w:r>
      <w:r>
        <w:rPr>
          <w:color w:val="2A2828"/>
          <w:w w:val="105"/>
        </w:rPr>
        <w:t>heard </w:t>
      </w:r>
      <w:r>
        <w:rPr>
          <w:color w:val="3A383A"/>
          <w:w w:val="105"/>
        </w:rPr>
        <w:t>and </w:t>
      </w:r>
      <w:r>
        <w:rPr>
          <w:color w:val="2A2828"/>
          <w:w w:val="105"/>
        </w:rPr>
        <w:t>under­</w:t>
      </w:r>
      <w:r>
        <w:rPr>
          <w:color w:val="2A2828"/>
          <w:spacing w:val="1"/>
          <w:w w:val="105"/>
        </w:rPr>
        <w:t> </w:t>
      </w:r>
      <w:r>
        <w:rPr>
          <w:color w:val="3A383A"/>
          <w:w w:val="105"/>
        </w:rPr>
        <w:t>stood. Visit the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court  before the  day  of  your argument to  find out what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kind of amplification  system, if any, is in  use,  and  how  effective it </w:t>
      </w:r>
      <w:r>
        <w:rPr>
          <w:color w:val="2A2828"/>
          <w:w w:val="105"/>
        </w:rPr>
        <w:t>is. </w:t>
      </w:r>
      <w:r>
        <w:rPr>
          <w:color w:val="3A383A"/>
          <w:w w:val="105"/>
        </w:rPr>
        <w:t>If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you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see several arguments in which the court is easily able to understand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counsel who speak normally in front of a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microphone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that is six to eight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inches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from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them,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you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can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presume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that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you do not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need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to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hold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the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microphone  up  to your lips in  order to  be understood</w:t>
      </w:r>
      <w:r>
        <w:rPr>
          <w:color w:val="5D5E60"/>
          <w:w w:val="105"/>
        </w:rPr>
        <w:t>. </w:t>
      </w:r>
      <w:r>
        <w:rPr>
          <w:color w:val="3A383A"/>
          <w:w w:val="105"/>
        </w:rPr>
        <w:t>Make sure, how.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ever, to  adjust  the  microphone  so  that it is pointing at  your face, rather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than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your shirt front or the air above your head. </w:t>
      </w:r>
      <w:r>
        <w:rPr>
          <w:color w:val="2A2828"/>
          <w:w w:val="105"/>
          <w:sz w:val="22"/>
        </w:rPr>
        <w:t>If</w:t>
      </w:r>
      <w:r>
        <w:rPr>
          <w:color w:val="2A2828"/>
          <w:spacing w:val="1"/>
          <w:w w:val="105"/>
          <w:sz w:val="22"/>
        </w:rPr>
        <w:t> </w:t>
      </w:r>
      <w:r>
        <w:rPr>
          <w:color w:val="3A383A"/>
          <w:w w:val="105"/>
        </w:rPr>
        <w:t>you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realize you are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speaking too quickly, try to slow down. If this is not possible, try to pause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briefly between sentences to give the   judges a  chance to catch up, and </w:t>
      </w:r>
      <w:r>
        <w:rPr>
          <w:rFonts w:ascii="Arial" w:hAnsi="Arial"/>
          <w:color w:val="3A383A"/>
          <w:w w:val="105"/>
          <w:sz w:val="21"/>
        </w:rPr>
        <w:t>for</w:t>
      </w:r>
      <w:r>
        <w:rPr>
          <w:rFonts w:ascii="Arial" w:hAnsi="Arial"/>
          <w:color w:val="3A383A"/>
          <w:spacing w:val="1"/>
          <w:w w:val="105"/>
          <w:sz w:val="21"/>
        </w:rPr>
        <w:t> </w:t>
      </w:r>
      <w:r>
        <w:rPr>
          <w:color w:val="3A383A"/>
          <w:w w:val="105"/>
        </w:rPr>
        <w:t>the</w:t>
      </w:r>
      <w:r>
        <w:rPr>
          <w:color w:val="3A383A"/>
          <w:spacing w:val="51"/>
          <w:w w:val="105"/>
        </w:rPr>
        <w:t> </w:t>
      </w:r>
      <w:r>
        <w:rPr>
          <w:color w:val="3A383A"/>
          <w:w w:val="105"/>
        </w:rPr>
        <w:t>court</w:t>
      </w:r>
      <w:r>
        <w:rPr>
          <w:color w:val="3A383A"/>
          <w:spacing w:val="-5"/>
          <w:w w:val="105"/>
        </w:rPr>
        <w:t> </w:t>
      </w:r>
      <w:r>
        <w:rPr>
          <w:color w:val="3A383A"/>
          <w:w w:val="105"/>
        </w:rPr>
        <w:t>to</w:t>
      </w:r>
      <w:r>
        <w:rPr>
          <w:color w:val="3A383A"/>
          <w:spacing w:val="7"/>
          <w:w w:val="105"/>
        </w:rPr>
        <w:t> </w:t>
      </w:r>
      <w:r>
        <w:rPr>
          <w:color w:val="3A383A"/>
          <w:w w:val="105"/>
        </w:rPr>
        <w:t>ask</w:t>
      </w:r>
      <w:r>
        <w:rPr>
          <w:color w:val="3A383A"/>
          <w:spacing w:val="15"/>
          <w:w w:val="105"/>
        </w:rPr>
        <w:t> </w:t>
      </w:r>
      <w:r>
        <w:rPr>
          <w:color w:val="3A383A"/>
          <w:w w:val="105"/>
        </w:rPr>
        <w:t>you</w:t>
      </w:r>
      <w:r>
        <w:rPr>
          <w:color w:val="3A383A"/>
          <w:spacing w:val="7"/>
          <w:w w:val="105"/>
        </w:rPr>
        <w:t> </w:t>
      </w:r>
      <w:r>
        <w:rPr>
          <w:color w:val="3A383A"/>
          <w:w w:val="105"/>
        </w:rPr>
        <w:t>questions.</w:t>
      </w:r>
    </w:p>
    <w:p>
      <w:pPr>
        <w:pStyle w:val="BodyText"/>
        <w:spacing w:line="241" w:lineRule="exact"/>
        <w:ind w:left="940"/>
        <w:jc w:val="both"/>
      </w:pPr>
      <w:r>
        <w:rPr>
          <w:color w:val="3A383A"/>
          <w:spacing w:val="-1"/>
          <w:w w:val="110"/>
        </w:rPr>
        <w:t>Second, avoid</w:t>
      </w:r>
      <w:r>
        <w:rPr>
          <w:color w:val="3A383A"/>
          <w:spacing w:val="-15"/>
          <w:w w:val="110"/>
        </w:rPr>
        <w:t> </w:t>
      </w:r>
      <w:r>
        <w:rPr>
          <w:color w:val="3A383A"/>
          <w:w w:val="110"/>
        </w:rPr>
        <w:t>distracting</w:t>
      </w:r>
      <w:r>
        <w:rPr>
          <w:color w:val="3A383A"/>
          <w:spacing w:val="-18"/>
          <w:w w:val="110"/>
        </w:rPr>
        <w:t> </w:t>
      </w:r>
      <w:r>
        <w:rPr>
          <w:color w:val="3A383A"/>
          <w:w w:val="110"/>
        </w:rPr>
        <w:t>gestures,</w:t>
      </w:r>
      <w:r>
        <w:rPr>
          <w:color w:val="3A383A"/>
          <w:spacing w:val="7"/>
          <w:w w:val="110"/>
        </w:rPr>
        <w:t> </w:t>
      </w:r>
      <w:r>
        <w:rPr>
          <w:color w:val="3A383A"/>
          <w:w w:val="110"/>
        </w:rPr>
        <w:t>mannerisms,</w:t>
      </w:r>
      <w:r>
        <w:rPr>
          <w:color w:val="3A383A"/>
          <w:spacing w:val="-2"/>
          <w:w w:val="110"/>
        </w:rPr>
        <w:t> </w:t>
      </w:r>
      <w:r>
        <w:rPr>
          <w:color w:val="3A383A"/>
          <w:w w:val="110"/>
        </w:rPr>
        <w:t>and</w:t>
      </w:r>
      <w:r>
        <w:rPr>
          <w:color w:val="3A383A"/>
          <w:spacing w:val="11"/>
          <w:w w:val="110"/>
        </w:rPr>
        <w:t> </w:t>
      </w:r>
      <w:r>
        <w:rPr>
          <w:color w:val="3A383A"/>
          <w:w w:val="110"/>
        </w:rPr>
        <w:t>dress.</w:t>
      </w:r>
      <w:r>
        <w:rPr>
          <w:color w:val="3A383A"/>
          <w:spacing w:val="-30"/>
          <w:w w:val="110"/>
        </w:rPr>
        <w:t> </w:t>
      </w:r>
      <w:r>
        <w:rPr>
          <w:color w:val="3A383A"/>
          <w:w w:val="110"/>
        </w:rPr>
        <w:t>Most</w:t>
      </w:r>
      <w:r>
        <w:rPr>
          <w:color w:val="3A383A"/>
          <w:spacing w:val="-32"/>
          <w:w w:val="110"/>
        </w:rPr>
        <w:t> </w:t>
      </w:r>
      <w:r>
        <w:rPr>
          <w:color w:val="3A383A"/>
          <w:w w:val="110"/>
        </w:rPr>
        <w:t>courts</w:t>
      </w:r>
    </w:p>
    <w:p>
      <w:pPr>
        <w:pStyle w:val="BodyText"/>
        <w:spacing w:line="230" w:lineRule="auto" w:before="6"/>
        <w:ind w:left="512" w:right="105" w:firstLine="57"/>
        <w:jc w:val="both"/>
      </w:pPr>
      <w:r>
        <w:rPr>
          <w:color w:val="3A383A"/>
          <w:w w:val="110"/>
        </w:rPr>
        <w:t>appreciate normal hand gestures. They are distracted</w:t>
      </w:r>
      <w:r>
        <w:rPr>
          <w:color w:val="5D5E60"/>
          <w:w w:val="110"/>
        </w:rPr>
        <w:t>, </w:t>
      </w:r>
      <w:r>
        <w:rPr>
          <w:color w:val="3A383A"/>
          <w:w w:val="110"/>
        </w:rPr>
        <w:t>however, by both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arms waving at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once or by hands that go beyond the boundaries of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podium (e.g., pointing at the judges). You should maintain a professional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posture before, during, and after your </w:t>
      </w:r>
      <w:r>
        <w:rPr>
          <w:color w:val="2A2828"/>
          <w:w w:val="110"/>
        </w:rPr>
        <w:t>time </w:t>
      </w:r>
      <w:r>
        <w:rPr>
          <w:color w:val="3A383A"/>
          <w:w w:val="110"/>
        </w:rPr>
        <w:t>at the podium. While at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podium, stay </w:t>
      </w:r>
      <w:r>
        <w:rPr>
          <w:i/>
          <w:color w:val="3A383A"/>
          <w:w w:val="110"/>
          <w:sz w:val="24"/>
        </w:rPr>
        <w:t>at the podium. </w:t>
      </w:r>
      <w:r>
        <w:rPr>
          <w:color w:val="3A383A"/>
          <w:w w:val="110"/>
        </w:rPr>
        <w:t>Most judges (and court recording systems)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expect that the attorney will stand behind </w:t>
      </w:r>
      <w:r>
        <w:rPr>
          <w:color w:val="2A2828"/>
          <w:w w:val="110"/>
        </w:rPr>
        <w:t>the </w:t>
      </w:r>
      <w:r>
        <w:rPr>
          <w:color w:val="3A383A"/>
          <w:w w:val="110"/>
        </w:rPr>
        <w:t>podium for the entire argu.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ment. Generally, it is good advice not to touch your face or your clothes: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don't</w:t>
      </w:r>
      <w:r>
        <w:rPr>
          <w:color w:val="3A383A"/>
          <w:spacing w:val="6"/>
          <w:w w:val="110"/>
        </w:rPr>
        <w:t> </w:t>
      </w:r>
      <w:r>
        <w:rPr>
          <w:color w:val="3A383A"/>
          <w:w w:val="110"/>
        </w:rPr>
        <w:t>adjust</w:t>
      </w:r>
      <w:r>
        <w:rPr>
          <w:color w:val="3A383A"/>
          <w:spacing w:val="18"/>
          <w:w w:val="110"/>
        </w:rPr>
        <w:t> </w:t>
      </w:r>
      <w:r>
        <w:rPr>
          <w:color w:val="3A383A"/>
          <w:w w:val="110"/>
        </w:rPr>
        <w:t>your</w:t>
      </w:r>
      <w:r>
        <w:rPr>
          <w:color w:val="3A383A"/>
          <w:spacing w:val="11"/>
          <w:w w:val="110"/>
        </w:rPr>
        <w:t> </w:t>
      </w:r>
      <w:r>
        <w:rPr>
          <w:color w:val="3A383A"/>
          <w:w w:val="110"/>
        </w:rPr>
        <w:t>collar</w:t>
      </w:r>
      <w:r>
        <w:rPr>
          <w:color w:val="3A383A"/>
          <w:spacing w:val="15"/>
          <w:w w:val="110"/>
        </w:rPr>
        <w:t> </w:t>
      </w:r>
      <w:r>
        <w:rPr>
          <w:color w:val="3A383A"/>
          <w:w w:val="110"/>
        </w:rPr>
        <w:t>or</w:t>
      </w:r>
      <w:r>
        <w:rPr>
          <w:color w:val="3A383A"/>
          <w:spacing w:val="26"/>
          <w:w w:val="110"/>
        </w:rPr>
        <w:t> </w:t>
      </w:r>
      <w:r>
        <w:rPr>
          <w:color w:val="3A383A"/>
          <w:w w:val="110"/>
        </w:rPr>
        <w:t>tie,</w:t>
      </w:r>
      <w:r>
        <w:rPr>
          <w:color w:val="3A383A"/>
          <w:spacing w:val="6"/>
          <w:w w:val="110"/>
        </w:rPr>
        <w:t> </w:t>
      </w:r>
      <w:r>
        <w:rPr>
          <w:color w:val="3A383A"/>
          <w:w w:val="110"/>
        </w:rPr>
        <w:t>run</w:t>
      </w:r>
      <w:r>
        <w:rPr>
          <w:color w:val="3A383A"/>
          <w:spacing w:val="25"/>
          <w:w w:val="110"/>
        </w:rPr>
        <w:t> </w:t>
      </w:r>
      <w:r>
        <w:rPr>
          <w:color w:val="3A383A"/>
          <w:w w:val="110"/>
        </w:rPr>
        <w:t>your</w:t>
      </w:r>
      <w:r>
        <w:rPr>
          <w:color w:val="3A383A"/>
          <w:spacing w:val="10"/>
          <w:w w:val="110"/>
        </w:rPr>
        <w:t> </w:t>
      </w:r>
      <w:r>
        <w:rPr>
          <w:color w:val="3A383A"/>
          <w:w w:val="110"/>
        </w:rPr>
        <w:t>fingers</w:t>
      </w:r>
      <w:r>
        <w:rPr>
          <w:color w:val="3A383A"/>
          <w:spacing w:val="22"/>
          <w:w w:val="110"/>
        </w:rPr>
        <w:t> </w:t>
      </w:r>
      <w:r>
        <w:rPr>
          <w:color w:val="3A383A"/>
          <w:w w:val="110"/>
        </w:rPr>
        <w:t>through</w:t>
      </w:r>
      <w:r>
        <w:rPr>
          <w:color w:val="3A383A"/>
          <w:spacing w:val="28"/>
          <w:w w:val="110"/>
        </w:rPr>
        <w:t> </w:t>
      </w:r>
      <w:r>
        <w:rPr>
          <w:color w:val="3A383A"/>
          <w:w w:val="110"/>
        </w:rPr>
        <w:t>your</w:t>
      </w:r>
      <w:r>
        <w:rPr>
          <w:color w:val="3A383A"/>
          <w:spacing w:val="18"/>
          <w:w w:val="110"/>
        </w:rPr>
        <w:t> </w:t>
      </w:r>
      <w:r>
        <w:rPr>
          <w:color w:val="2A2828"/>
          <w:w w:val="110"/>
        </w:rPr>
        <w:t>hair,</w:t>
      </w:r>
      <w:r>
        <w:rPr>
          <w:color w:val="2A2828"/>
          <w:spacing w:val="1"/>
          <w:w w:val="110"/>
        </w:rPr>
        <w:t> </w:t>
      </w:r>
      <w:r>
        <w:rPr>
          <w:color w:val="3A383A"/>
          <w:w w:val="110"/>
        </w:rPr>
        <w:t>scratch</w:t>
      </w:r>
    </w:p>
    <w:p>
      <w:pPr>
        <w:spacing w:after="0" w:line="230" w:lineRule="auto"/>
        <w:jc w:val="both"/>
        <w:sectPr>
          <w:type w:val="continuous"/>
          <w:pgSz w:w="9790" w:h="14020"/>
          <w:pgMar w:header="678" w:footer="0" w:top="340" w:bottom="280" w:left="1360" w:right="220"/>
        </w:sectPr>
      </w:pPr>
    </w:p>
    <w:p>
      <w:pPr>
        <w:tabs>
          <w:tab w:pos="8336" w:val="right" w:leader="none"/>
        </w:tabs>
        <w:spacing w:before="73"/>
        <w:ind w:left="5471" w:right="0" w:firstLine="0"/>
        <w:jc w:val="left"/>
        <w:rPr>
          <w:b/>
          <w:sz w:val="20"/>
        </w:rPr>
      </w:pPr>
      <w:r>
        <w:rPr>
          <w:rFonts w:ascii="Arial"/>
          <w:color w:val="383638"/>
          <w:w w:val="110"/>
          <w:sz w:val="17"/>
        </w:rPr>
        <w:t>13.9</w:t>
      </w:r>
      <w:r>
        <w:rPr>
          <w:rFonts w:ascii="Arial"/>
          <w:color w:val="383638"/>
          <w:spacing w:val="17"/>
          <w:w w:val="110"/>
          <w:sz w:val="17"/>
        </w:rPr>
        <w:t> </w:t>
      </w:r>
      <w:r>
        <w:rPr>
          <w:rFonts w:ascii="Arial"/>
          <w:color w:val="383638"/>
          <w:w w:val="110"/>
          <w:sz w:val="17"/>
        </w:rPr>
        <w:t>Public</w:t>
      </w:r>
      <w:r>
        <w:rPr>
          <w:rFonts w:ascii="Arial"/>
          <w:color w:val="383638"/>
          <w:spacing w:val="-9"/>
          <w:w w:val="110"/>
          <w:sz w:val="17"/>
        </w:rPr>
        <w:t> </w:t>
      </w:r>
      <w:r>
        <w:rPr>
          <w:color w:val="383638"/>
          <w:w w:val="110"/>
          <w:sz w:val="19"/>
        </w:rPr>
        <w:t>Speaking</w:t>
      </w:r>
      <w:r>
        <w:rPr>
          <w:color w:val="383638"/>
          <w:spacing w:val="-10"/>
          <w:w w:val="110"/>
          <w:sz w:val="19"/>
        </w:rPr>
        <w:t> </w:t>
      </w:r>
      <w:r>
        <w:rPr>
          <w:color w:val="383638"/>
          <w:w w:val="110"/>
          <w:sz w:val="19"/>
        </w:rPr>
        <w:t>lips</w:t>
        <w:tab/>
      </w:r>
      <w:r>
        <w:rPr>
          <w:b/>
          <w:color w:val="383638"/>
          <w:w w:val="110"/>
          <w:sz w:val="20"/>
        </w:rPr>
        <w:t>309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pStyle w:val="BodyText"/>
        <w:spacing w:line="235" w:lineRule="auto"/>
        <w:ind w:left="119" w:right="892" w:firstLine="7"/>
        <w:jc w:val="both"/>
      </w:pPr>
      <w:r>
        <w:rPr>
          <w:color w:val="383638"/>
          <w:w w:val="105"/>
        </w:rPr>
        <w:t>your ear, or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jingle the coins in your pockets</w:t>
      </w:r>
      <w:r>
        <w:rPr>
          <w:color w:val="525254"/>
          <w:w w:val="105"/>
        </w:rPr>
        <w:t>. </w:t>
      </w:r>
      <w:r>
        <w:rPr>
          <w:color w:val="383638"/>
          <w:w w:val="105"/>
          <w:sz w:val="22"/>
        </w:rPr>
        <w:t>If </w:t>
      </w:r>
      <w:r>
        <w:rPr>
          <w:color w:val="383638"/>
          <w:w w:val="105"/>
        </w:rPr>
        <w:t>you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are unsure whether you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have any of these mannerisms, make a video of a practice argument,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then run through it at high speed</w:t>
      </w:r>
      <w:r>
        <w:rPr>
          <w:color w:val="525254"/>
          <w:w w:val="110"/>
        </w:rPr>
        <w:t>. </w:t>
      </w:r>
      <w:r>
        <w:rPr>
          <w:color w:val="383638"/>
          <w:w w:val="110"/>
        </w:rPr>
        <w:t>Any overused mannerisms will become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obvious</w:t>
      </w:r>
      <w:r>
        <w:rPr>
          <w:color w:val="525254"/>
          <w:w w:val="110"/>
        </w:rPr>
        <w:t>.</w:t>
      </w:r>
    </w:p>
    <w:p>
      <w:pPr>
        <w:pStyle w:val="BodyText"/>
        <w:spacing w:line="232" w:lineRule="auto"/>
        <w:ind w:left="119" w:right="845" w:firstLine="329"/>
        <w:jc w:val="both"/>
      </w:pPr>
      <w:r>
        <w:rPr>
          <w:color w:val="383638"/>
          <w:w w:val="110"/>
        </w:rPr>
        <w:t>The standards for dress vary somewhat from court to court and are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constantly evolving. When you are a student, choices like this affect only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yourself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and  perhaps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-22"/>
          <w:w w:val="110"/>
        </w:rPr>
        <w:t> </w:t>
      </w:r>
      <w:r>
        <w:rPr>
          <w:color w:val="383638"/>
          <w:w w:val="110"/>
        </w:rPr>
        <w:t>grade;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practice,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they</w:t>
      </w:r>
      <w:r>
        <w:rPr>
          <w:color w:val="383638"/>
          <w:spacing w:val="-31"/>
          <w:w w:val="110"/>
        </w:rPr>
        <w:t> </w:t>
      </w:r>
      <w:r>
        <w:rPr>
          <w:color w:val="383638"/>
          <w:w w:val="110"/>
        </w:rPr>
        <w:t>mayaffect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-22"/>
          <w:w w:val="110"/>
        </w:rPr>
        <w:t> </w:t>
      </w:r>
      <w:r>
        <w:rPr>
          <w:color w:val="383638"/>
          <w:w w:val="110"/>
        </w:rPr>
        <w:t>client</w:t>
      </w:r>
      <w:r>
        <w:rPr>
          <w:color w:val="383638"/>
          <w:spacing w:val="-22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05"/>
        </w:rPr>
        <w:t>well. Your goal should be to dress professionally, in a way that will not dis­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tract the court from your message. You must determine how to meet that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standard in your particular courtroom. You might want to take a look 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your outfit in the mirror to see how it looks not only when you are stand­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ing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still,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but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also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when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are</w:t>
      </w:r>
      <w:r>
        <w:rPr>
          <w:color w:val="383638"/>
          <w:spacing w:val="-22"/>
          <w:w w:val="110"/>
        </w:rPr>
        <w:t> </w:t>
      </w:r>
      <w:r>
        <w:rPr>
          <w:color w:val="383638"/>
          <w:w w:val="110"/>
        </w:rPr>
        <w:t>sitting,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bending,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moving,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32"/>
          <w:w w:val="110"/>
        </w:rPr>
        <w:t> </w:t>
      </w:r>
      <w:r>
        <w:rPr>
          <w:color w:val="383638"/>
          <w:w w:val="110"/>
        </w:rPr>
        <w:t>gesturing.</w:t>
      </w:r>
    </w:p>
    <w:p>
      <w:pPr>
        <w:pStyle w:val="BodyText"/>
        <w:spacing w:line="232" w:lineRule="auto" w:before="6"/>
        <w:ind w:left="135" w:right="834" w:firstLine="332"/>
        <w:jc w:val="both"/>
      </w:pPr>
      <w:r>
        <w:rPr>
          <w:color w:val="383638"/>
          <w:w w:val="110"/>
        </w:rPr>
        <w:t>Third, just as you use sentence variety when writing, use vocal variety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when speaking. Vary your speed and your tone of voice; don't speak, for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instance, </w:t>
      </w:r>
      <w:r>
        <w:rPr>
          <w:color w:val="383638"/>
          <w:w w:val="110"/>
          <w:sz w:val="21"/>
        </w:rPr>
        <w:t>in </w:t>
      </w:r>
      <w:r>
        <w:rPr>
          <w:color w:val="383638"/>
          <w:w w:val="110"/>
        </w:rPr>
        <w:t>the monotone that the actor Ben Stein has made famous</w:t>
      </w:r>
      <w:r>
        <w:rPr>
          <w:color w:val="525254"/>
          <w:w w:val="110"/>
        </w:rPr>
        <w:t>. </w:t>
      </w:r>
      <w:r>
        <w:rPr>
          <w:color w:val="383638"/>
          <w:w w:val="110"/>
        </w:rPr>
        <w:t>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can pause occasionally to let an important point sink in. Likewise, if a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point is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important,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speaking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slowly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will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draw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4"/>
          <w:w w:val="110"/>
        </w:rPr>
        <w:t> </w:t>
      </w:r>
      <w:r>
        <w:rPr>
          <w:color w:val="383638"/>
          <w:w w:val="110"/>
        </w:rPr>
        <w:t>court's attention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it.</w:t>
      </w:r>
    </w:p>
    <w:p>
      <w:pPr>
        <w:pStyle w:val="BodyText"/>
        <w:spacing w:line="235" w:lineRule="auto"/>
        <w:ind w:left="147" w:right="778" w:firstLine="332"/>
        <w:jc w:val="both"/>
      </w:pPr>
      <w:r>
        <w:rPr>
          <w:color w:val="383638"/>
          <w:w w:val="110"/>
        </w:rPr>
        <w:t>Finally, a word about your face. Realize that you are "on stage" from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the moment you enter the courtroom until the moment you leave it</w:t>
      </w:r>
      <w:r>
        <w:rPr>
          <w:color w:val="525254"/>
          <w:w w:val="115"/>
        </w:rPr>
        <w:t>.</w:t>
      </w:r>
      <w:r>
        <w:rPr>
          <w:color w:val="525254"/>
          <w:spacing w:val="1"/>
          <w:w w:val="115"/>
        </w:rPr>
        <w:t> </w:t>
      </w:r>
      <w:r>
        <w:rPr>
          <w:color w:val="383638"/>
          <w:w w:val="105"/>
        </w:rPr>
        <w:t>When you are at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podium, keep a poker face: Don't reveal your feelings,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even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if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42"/>
          <w:w w:val="110"/>
        </w:rPr>
        <w:t> </w:t>
      </w:r>
      <w:r>
        <w:rPr>
          <w:color w:val="383638"/>
          <w:w w:val="110"/>
        </w:rPr>
        <w:t>are</w:t>
      </w:r>
      <w:r>
        <w:rPr>
          <w:color w:val="383638"/>
          <w:spacing w:val="32"/>
          <w:w w:val="110"/>
        </w:rPr>
        <w:t> </w:t>
      </w:r>
      <w:r>
        <w:rPr>
          <w:color w:val="383638"/>
          <w:w w:val="110"/>
        </w:rPr>
        <w:t>upset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or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confused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by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question.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law</w:t>
      </w:r>
      <w:r>
        <w:rPr>
          <w:color w:val="383638"/>
          <w:spacing w:val="-39"/>
          <w:w w:val="110"/>
        </w:rPr>
        <w:t> </w:t>
      </w:r>
      <w:r>
        <w:rPr>
          <w:color w:val="383638"/>
          <w:w w:val="110"/>
        </w:rPr>
        <w:t>school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settings,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probably did not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choose which side to argue, but you must still act as if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 are confident in your argument</w:t>
      </w:r>
      <w:r>
        <w:rPr>
          <w:color w:val="525254"/>
          <w:w w:val="110"/>
        </w:rPr>
        <w:t>. </w:t>
      </w:r>
      <w:r>
        <w:rPr>
          <w:color w:val="383638"/>
          <w:w w:val="110"/>
        </w:rPr>
        <w:t>Too often, I have seen students react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 a probing question with a look that says</w:t>
      </w:r>
      <w:r>
        <w:rPr>
          <w:color w:val="525254"/>
          <w:w w:val="110"/>
        </w:rPr>
        <w:t>, </w:t>
      </w:r>
      <w:r>
        <w:rPr>
          <w:color w:val="383638"/>
          <w:w w:val="110"/>
        </w:rPr>
        <w:t>"You are right; I'm sorry that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I'm on this side of the case." Practice controlling your reactions now;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skill </w:t>
      </w:r>
      <w:r>
        <w:rPr>
          <w:color w:val="383638"/>
          <w:w w:val="115"/>
          <w:sz w:val="22"/>
        </w:rPr>
        <w:t>will </w:t>
      </w:r>
      <w:r>
        <w:rPr>
          <w:color w:val="383638"/>
          <w:w w:val="115"/>
        </w:rPr>
        <w:t>come in handy in a variety of situations in which you have to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project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more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confidence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than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-34"/>
          <w:w w:val="110"/>
        </w:rPr>
        <w:t> </w:t>
      </w:r>
      <w:r>
        <w:rPr>
          <w:color w:val="383638"/>
          <w:w w:val="110"/>
        </w:rPr>
        <w:t>feel.</w:t>
      </w:r>
    </w:p>
    <w:p>
      <w:pPr>
        <w:pStyle w:val="BodyText"/>
        <w:spacing w:line="235" w:lineRule="auto"/>
        <w:ind w:left="154" w:right="757" w:firstLine="354"/>
        <w:jc w:val="both"/>
      </w:pPr>
      <w:r>
        <w:rPr>
          <w:color w:val="383638"/>
          <w:w w:val="110"/>
        </w:rPr>
        <w:t>Remember also that the court can see you even while you are at coun­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sel's table,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act professionally there as well. Judge Wiener has aptly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illustrated the unprofessionalism of an attorney who overreacts to his or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her</w:t>
      </w:r>
      <w:r>
        <w:rPr>
          <w:color w:val="383638"/>
          <w:spacing w:val="-21"/>
          <w:w w:val="115"/>
        </w:rPr>
        <w:t> </w:t>
      </w:r>
      <w:r>
        <w:rPr>
          <w:color w:val="383638"/>
          <w:w w:val="115"/>
        </w:rPr>
        <w:t>opponent's</w:t>
      </w:r>
      <w:r>
        <w:rPr>
          <w:color w:val="383638"/>
          <w:spacing w:val="-12"/>
          <w:w w:val="115"/>
        </w:rPr>
        <w:t> </w:t>
      </w:r>
      <w:r>
        <w:rPr>
          <w:color w:val="383638"/>
          <w:w w:val="115"/>
        </w:rPr>
        <w:t>argument:</w:t>
      </w:r>
    </w:p>
    <w:p>
      <w:pPr>
        <w:spacing w:line="235" w:lineRule="auto" w:before="124"/>
        <w:ind w:left="510" w:right="1079" w:hanging="2"/>
        <w:jc w:val="both"/>
        <w:rPr>
          <w:sz w:val="21"/>
        </w:rPr>
      </w:pPr>
      <w:r>
        <w:rPr>
          <w:color w:val="383638"/>
          <w:w w:val="110"/>
          <w:sz w:val="21"/>
        </w:rPr>
        <w:t>Don't "act out" </w:t>
      </w:r>
      <w:r>
        <w:rPr>
          <w:b/>
          <w:color w:val="383638"/>
          <w:w w:val="110"/>
          <w:sz w:val="21"/>
        </w:rPr>
        <w:t>while </w:t>
      </w:r>
      <w:r>
        <w:rPr>
          <w:color w:val="383638"/>
          <w:w w:val="110"/>
          <w:sz w:val="21"/>
        </w:rPr>
        <w:t>seated at the counsel table during your opponent's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turn at the lectern. Most judges resent being distracted by seated counsel's</w:t>
      </w:r>
      <w:r>
        <w:rPr>
          <w:color w:val="383638"/>
          <w:spacing w:val="-55"/>
          <w:w w:val="110"/>
          <w:sz w:val="21"/>
        </w:rPr>
        <w:t> </w:t>
      </w:r>
      <w:r>
        <w:rPr>
          <w:color w:val="383638"/>
          <w:w w:val="115"/>
          <w:sz w:val="21"/>
        </w:rPr>
        <w:t>body language and nonverbal comment-shakingor nodding your head,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rolling your eyes, grimacing, squirming in your chair, and the like-in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response to your opponent's remarks from the lectern or our questions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0"/>
          <w:sz w:val="21"/>
        </w:rPr>
        <w:t>from the  bench</w:t>
      </w:r>
      <w:r>
        <w:rPr>
          <w:color w:val="525254"/>
          <w:w w:val="110"/>
          <w:sz w:val="21"/>
        </w:rPr>
        <w:t>. </w:t>
      </w:r>
      <w:r>
        <w:rPr>
          <w:color w:val="383638"/>
          <w:w w:val="110"/>
          <w:sz w:val="21"/>
        </w:rPr>
        <w:t>Just sit still and  pay attention to opposing counsel and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  <w:sz w:val="21"/>
        </w:rPr>
        <w:t>the court. Likewise, don't make a big production out of taking notes while</w:t>
      </w:r>
      <w:r>
        <w:rPr>
          <w:color w:val="383638"/>
          <w:spacing w:val="-55"/>
          <w:w w:val="110"/>
          <w:sz w:val="21"/>
        </w:rPr>
        <w:t> </w:t>
      </w:r>
      <w:r>
        <w:rPr>
          <w:color w:val="383638"/>
          <w:w w:val="115"/>
          <w:sz w:val="21"/>
        </w:rPr>
        <w:t>your opponent is arguing. When you must look at your papers or take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05"/>
          <w:sz w:val="21"/>
        </w:rPr>
        <w:t>notes,</w:t>
      </w:r>
      <w:r>
        <w:rPr>
          <w:color w:val="383638"/>
          <w:spacing w:val="-14"/>
          <w:w w:val="105"/>
          <w:sz w:val="21"/>
        </w:rPr>
        <w:t> </w:t>
      </w:r>
      <w:r>
        <w:rPr>
          <w:color w:val="383638"/>
          <w:w w:val="105"/>
          <w:sz w:val="21"/>
        </w:rPr>
        <w:t>do</w:t>
      </w:r>
      <w:r>
        <w:rPr>
          <w:color w:val="383638"/>
          <w:spacing w:val="22"/>
          <w:w w:val="105"/>
          <w:sz w:val="21"/>
        </w:rPr>
        <w:t> </w:t>
      </w:r>
      <w:r>
        <w:rPr>
          <w:color w:val="383638"/>
          <w:w w:val="105"/>
          <w:sz w:val="21"/>
        </w:rPr>
        <w:t>so</w:t>
      </w:r>
      <w:r>
        <w:rPr>
          <w:color w:val="383638"/>
          <w:spacing w:val="13"/>
          <w:w w:val="105"/>
          <w:sz w:val="21"/>
        </w:rPr>
        <w:t> </w:t>
      </w:r>
      <w:r>
        <w:rPr>
          <w:color w:val="383638"/>
          <w:w w:val="105"/>
          <w:sz w:val="21"/>
        </w:rPr>
        <w:t>unobtrusively</w:t>
      </w:r>
      <w:r>
        <w:rPr>
          <w:color w:val="383638"/>
          <w:spacing w:val="13"/>
          <w:w w:val="105"/>
          <w:sz w:val="21"/>
        </w:rPr>
        <w:t> </w:t>
      </w:r>
      <w:r>
        <w:rPr>
          <w:color w:val="383638"/>
          <w:w w:val="105"/>
          <w:sz w:val="21"/>
        </w:rPr>
        <w:t>and</w:t>
      </w:r>
      <w:r>
        <w:rPr>
          <w:color w:val="383638"/>
          <w:spacing w:val="15"/>
          <w:w w:val="105"/>
          <w:sz w:val="21"/>
        </w:rPr>
        <w:t> </w:t>
      </w:r>
      <w:r>
        <w:rPr>
          <w:color w:val="383638"/>
          <w:w w:val="105"/>
          <w:sz w:val="21"/>
        </w:rPr>
        <w:t>discreetly.H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31" w:right="0" w:firstLine="0"/>
        <w:jc w:val="both"/>
        <w:rPr>
          <w:sz w:val="18"/>
        </w:rPr>
      </w:pPr>
      <w:r>
        <w:rPr>
          <w:rFonts w:ascii="Arial"/>
          <w:color w:val="383638"/>
          <w:w w:val="105"/>
          <w:position w:val="6"/>
          <w:sz w:val="10"/>
        </w:rPr>
        <w:t>43</w:t>
      </w:r>
      <w:r>
        <w:rPr>
          <w:color w:val="383638"/>
          <w:w w:val="105"/>
          <w:sz w:val="18"/>
        </w:rPr>
        <w:t>Wiener,</w:t>
      </w:r>
      <w:r>
        <w:rPr>
          <w:color w:val="383638"/>
          <w:spacing w:val="12"/>
          <w:w w:val="105"/>
          <w:sz w:val="18"/>
        </w:rPr>
        <w:t> </w:t>
      </w:r>
      <w:r>
        <w:rPr>
          <w:i/>
          <w:color w:val="383638"/>
          <w:w w:val="105"/>
          <w:sz w:val="20"/>
        </w:rPr>
        <w:t>supra</w:t>
      </w:r>
      <w:r>
        <w:rPr>
          <w:i/>
          <w:color w:val="383638"/>
          <w:spacing w:val="-4"/>
          <w:w w:val="105"/>
          <w:sz w:val="20"/>
        </w:rPr>
        <w:t> </w:t>
      </w:r>
      <w:r>
        <w:rPr>
          <w:color w:val="383638"/>
          <w:w w:val="105"/>
          <w:sz w:val="18"/>
        </w:rPr>
        <w:t>note</w:t>
      </w:r>
      <w:r>
        <w:rPr>
          <w:color w:val="383638"/>
          <w:spacing w:val="-9"/>
          <w:w w:val="105"/>
          <w:sz w:val="18"/>
        </w:rPr>
        <w:t> </w:t>
      </w:r>
      <w:r>
        <w:rPr>
          <w:color w:val="383638"/>
          <w:w w:val="105"/>
          <w:sz w:val="18"/>
        </w:rPr>
        <w:t>2,</w:t>
      </w:r>
      <w:r>
        <w:rPr>
          <w:color w:val="383638"/>
          <w:spacing w:val="-14"/>
          <w:w w:val="105"/>
          <w:sz w:val="18"/>
        </w:rPr>
        <w:t> </w:t>
      </w:r>
      <w:r>
        <w:rPr>
          <w:color w:val="383638"/>
          <w:w w:val="105"/>
          <w:sz w:val="18"/>
        </w:rPr>
        <w:t>at</w:t>
      </w:r>
      <w:r>
        <w:rPr>
          <w:color w:val="383638"/>
          <w:spacing w:val="9"/>
          <w:w w:val="105"/>
          <w:sz w:val="18"/>
        </w:rPr>
        <w:t> </w:t>
      </w:r>
      <w:r>
        <w:rPr>
          <w:color w:val="383638"/>
          <w:w w:val="105"/>
          <w:sz w:val="18"/>
        </w:rPr>
        <w:t>205.</w:t>
      </w:r>
    </w:p>
    <w:p>
      <w:pPr>
        <w:spacing w:after="0"/>
        <w:jc w:val="both"/>
        <w:rPr>
          <w:sz w:val="18"/>
        </w:rPr>
        <w:sectPr>
          <w:headerReference w:type="default" r:id="rId348"/>
          <w:pgSz w:w="9780" w:h="14020"/>
          <w:pgMar w:header="0" w:footer="0" w:top="540" w:bottom="280" w:left="220" w:right="1100"/>
        </w:sectPr>
      </w:pPr>
    </w:p>
    <w:p>
      <w:pPr>
        <w:pStyle w:val="BodyText"/>
        <w:spacing w:line="228" w:lineRule="auto" w:before="91"/>
        <w:ind w:left="856" w:right="104" w:firstLine="6"/>
        <w:jc w:val="both"/>
      </w:pPr>
      <w:r>
        <w:rPr>
          <w:color w:val="363436"/>
          <w:w w:val="110"/>
        </w:rPr>
        <w:t>Because your goal on oral argument is to convince the court to adopt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05"/>
        </w:rPr>
        <w:t>your point of view, you must take pains at every stage of the argument to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10"/>
        </w:rPr>
        <w:t>impress</w:t>
      </w:r>
      <w:r>
        <w:rPr>
          <w:color w:val="363436"/>
          <w:spacing w:val="-1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22"/>
          <w:w w:val="110"/>
        </w:rPr>
        <w:t> </w:t>
      </w:r>
      <w:r>
        <w:rPr>
          <w:color w:val="363436"/>
          <w:w w:val="110"/>
        </w:rPr>
        <w:t>court</w:t>
      </w:r>
      <w:r>
        <w:rPr>
          <w:color w:val="363436"/>
          <w:spacing w:val="2"/>
          <w:w w:val="110"/>
        </w:rPr>
        <w:t> </w:t>
      </w:r>
      <w:r>
        <w:rPr>
          <w:color w:val="363436"/>
          <w:w w:val="110"/>
        </w:rPr>
        <w:t>with</w:t>
      </w:r>
      <w:r>
        <w:rPr>
          <w:color w:val="363436"/>
          <w:spacing w:val="-8"/>
          <w:w w:val="110"/>
        </w:rPr>
        <w:t> </w:t>
      </w:r>
      <w:r>
        <w:rPr>
          <w:color w:val="363436"/>
          <w:w w:val="110"/>
        </w:rPr>
        <w:t>your</w:t>
      </w:r>
      <w:r>
        <w:rPr>
          <w:color w:val="363436"/>
          <w:spacing w:val="-12"/>
          <w:w w:val="110"/>
        </w:rPr>
        <w:t> </w:t>
      </w:r>
      <w:r>
        <w:rPr>
          <w:color w:val="49494B"/>
          <w:w w:val="110"/>
        </w:rPr>
        <w:t>credibility</w:t>
      </w:r>
      <w:r>
        <w:rPr>
          <w:color w:val="49494B"/>
          <w:spacing w:val="-5"/>
          <w:w w:val="110"/>
        </w:rPr>
        <w:t> </w:t>
      </w:r>
      <w:r>
        <w:rPr>
          <w:color w:val="363436"/>
          <w:w w:val="110"/>
        </w:rPr>
        <w:t>and</w:t>
      </w:r>
      <w:r>
        <w:rPr>
          <w:color w:val="363436"/>
          <w:spacing w:val="24"/>
          <w:w w:val="110"/>
        </w:rPr>
        <w:t> </w:t>
      </w:r>
      <w:r>
        <w:rPr>
          <w:color w:val="363436"/>
          <w:w w:val="110"/>
        </w:rPr>
        <w:t>your</w:t>
      </w:r>
      <w:r>
        <w:rPr>
          <w:color w:val="363436"/>
          <w:spacing w:val="-4"/>
          <w:w w:val="110"/>
        </w:rPr>
        <w:t> </w:t>
      </w:r>
      <w:r>
        <w:rPr>
          <w:color w:val="363436"/>
          <w:w w:val="110"/>
        </w:rPr>
        <w:t>professionalism.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0"/>
        <w:ind w:left="1468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49494B"/>
          <w:w w:val="110"/>
          <w:sz w:val="32"/>
        </w:rPr>
        <w:t>13.10</w:t>
      </w:r>
    </w:p>
    <w:p>
      <w:pPr>
        <w:spacing w:before="56"/>
        <w:ind w:left="1459" w:right="0" w:firstLine="0"/>
        <w:jc w:val="left"/>
        <w:rPr>
          <w:b/>
          <w:sz w:val="28"/>
        </w:rPr>
      </w:pPr>
      <w:r>
        <w:rPr>
          <w:b/>
          <w:color w:val="49494B"/>
          <w:sz w:val="28"/>
        </w:rPr>
        <w:t>SUMMARY</w:t>
      </w:r>
    </w:p>
    <w:p>
      <w:pPr>
        <w:pStyle w:val="BodyText"/>
        <w:spacing w:line="230" w:lineRule="auto" w:before="262"/>
        <w:ind w:left="839" w:right="118" w:firstLine="613"/>
        <w:jc w:val="both"/>
        <w:rPr>
          <w:sz w:val="22"/>
        </w:rPr>
      </w:pPr>
      <w:r>
        <w:rPr>
          <w:color w:val="363436"/>
          <w:w w:val="105"/>
        </w:rPr>
        <w:t>All of this detailed advice may seem overwhelming to the new attor­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ney, but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it really boils down to a few points: Know what you're asking the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10"/>
        </w:rPr>
        <w:t>court</w:t>
      </w:r>
      <w:r>
        <w:rPr>
          <w:color w:val="363436"/>
          <w:spacing w:val="12"/>
          <w:w w:val="110"/>
        </w:rPr>
        <w:t> </w:t>
      </w:r>
      <w:r>
        <w:rPr>
          <w:color w:val="363436"/>
          <w:w w:val="110"/>
        </w:rPr>
        <w:t>to</w:t>
      </w:r>
      <w:r>
        <w:rPr>
          <w:color w:val="363436"/>
          <w:spacing w:val="28"/>
          <w:w w:val="110"/>
        </w:rPr>
        <w:t> </w:t>
      </w:r>
      <w:r>
        <w:rPr>
          <w:color w:val="363436"/>
          <w:w w:val="110"/>
        </w:rPr>
        <w:t>do</w:t>
      </w:r>
      <w:r>
        <w:rPr>
          <w:color w:val="363436"/>
          <w:spacing w:val="22"/>
          <w:w w:val="110"/>
        </w:rPr>
        <w:t> </w:t>
      </w:r>
      <w:r>
        <w:rPr>
          <w:color w:val="363436"/>
          <w:w w:val="110"/>
        </w:rPr>
        <w:t>and</w:t>
      </w:r>
      <w:r>
        <w:rPr>
          <w:color w:val="363436"/>
          <w:spacing w:val="40"/>
          <w:w w:val="110"/>
        </w:rPr>
        <w:t> </w:t>
      </w:r>
      <w:r>
        <w:rPr>
          <w:color w:val="363436"/>
          <w:w w:val="110"/>
        </w:rPr>
        <w:t>what</w:t>
      </w:r>
      <w:r>
        <w:rPr>
          <w:color w:val="363436"/>
          <w:spacing w:val="26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32"/>
          <w:w w:val="110"/>
        </w:rPr>
        <w:t> </w:t>
      </w:r>
      <w:r>
        <w:rPr>
          <w:color w:val="363436"/>
          <w:w w:val="110"/>
        </w:rPr>
        <w:t>impact</w:t>
      </w:r>
      <w:r>
        <w:rPr>
          <w:color w:val="363436"/>
          <w:spacing w:val="13"/>
          <w:w w:val="110"/>
        </w:rPr>
        <w:t> </w:t>
      </w:r>
      <w:r>
        <w:rPr>
          <w:color w:val="363436"/>
          <w:w w:val="110"/>
        </w:rPr>
        <w:t>of</w:t>
      </w:r>
      <w:r>
        <w:rPr>
          <w:color w:val="363436"/>
          <w:spacing w:val="31"/>
          <w:w w:val="110"/>
        </w:rPr>
        <w:t> </w:t>
      </w:r>
      <w:r>
        <w:rPr>
          <w:color w:val="363436"/>
          <w:w w:val="110"/>
        </w:rPr>
        <w:t>its</w:t>
      </w:r>
      <w:r>
        <w:rPr>
          <w:color w:val="363436"/>
          <w:spacing w:val="35"/>
          <w:w w:val="110"/>
        </w:rPr>
        <w:t> </w:t>
      </w:r>
      <w:r>
        <w:rPr>
          <w:color w:val="363436"/>
          <w:w w:val="110"/>
        </w:rPr>
        <w:t>holding will</w:t>
      </w:r>
      <w:r>
        <w:rPr>
          <w:color w:val="363436"/>
          <w:spacing w:val="18"/>
          <w:w w:val="110"/>
        </w:rPr>
        <w:t> </w:t>
      </w:r>
      <w:r>
        <w:rPr>
          <w:color w:val="363436"/>
          <w:w w:val="110"/>
        </w:rPr>
        <w:t>be.</w:t>
      </w:r>
      <w:r>
        <w:rPr>
          <w:color w:val="363436"/>
          <w:spacing w:val="38"/>
          <w:w w:val="110"/>
        </w:rPr>
        <w:t> </w:t>
      </w:r>
      <w:r>
        <w:rPr>
          <w:color w:val="363436"/>
          <w:w w:val="110"/>
        </w:rPr>
        <w:t>Know</w:t>
      </w:r>
      <w:r>
        <w:rPr>
          <w:color w:val="363436"/>
          <w:spacing w:val="15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30"/>
          <w:w w:val="110"/>
        </w:rPr>
        <w:t> </w:t>
      </w:r>
      <w:r>
        <w:rPr>
          <w:color w:val="363436"/>
          <w:w w:val="110"/>
          <w:sz w:val="22"/>
        </w:rPr>
        <w:t>facts</w:t>
      </w:r>
    </w:p>
    <w:p>
      <w:pPr>
        <w:pStyle w:val="BodyText"/>
        <w:spacing w:line="232" w:lineRule="auto" w:before="7"/>
        <w:ind w:left="837" w:right="131" w:firstLine="2"/>
        <w:jc w:val="both"/>
      </w:pPr>
      <w:r>
        <w:rPr>
          <w:color w:val="363436"/>
          <w:w w:val="105"/>
        </w:rPr>
        <w:t>and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authorities behind your </w:t>
      </w:r>
      <w:r>
        <w:rPr>
          <w:color w:val="49494B"/>
          <w:w w:val="105"/>
        </w:rPr>
        <w:t>case </w:t>
      </w:r>
      <w:r>
        <w:rPr>
          <w:color w:val="363436"/>
          <w:w w:val="105"/>
        </w:rPr>
        <w:t>so that you can answer questions about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them. Treat the  oral argument like a conversation, let the court interrupt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you, and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be willing to answer all of the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court's questions. Dress and act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professionally.</w:t>
      </w:r>
    </w:p>
    <w:p>
      <w:pPr>
        <w:pStyle w:val="BodyText"/>
        <w:spacing w:line="235" w:lineRule="auto" w:before="2"/>
        <w:ind w:left="810" w:right="129" w:firstLine="381"/>
        <w:jc w:val="both"/>
      </w:pPr>
      <w:r>
        <w:rPr>
          <w:color w:val="363436"/>
          <w:w w:val="110"/>
        </w:rPr>
        <w:t>You should also know that the most common remarks I hear after a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law student's first oral argument are: (1) "They didn't even ask me about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everything</w:t>
      </w:r>
      <w:r>
        <w:rPr>
          <w:color w:val="363436"/>
          <w:spacing w:val="3"/>
          <w:w w:val="110"/>
        </w:rPr>
        <w:t> </w:t>
      </w:r>
      <w:r>
        <w:rPr>
          <w:color w:val="363436"/>
          <w:w w:val="110"/>
        </w:rPr>
        <w:t>I</w:t>
      </w:r>
      <w:r>
        <w:rPr>
          <w:color w:val="363436"/>
          <w:spacing w:val="-7"/>
          <w:w w:val="110"/>
        </w:rPr>
        <w:t> </w:t>
      </w:r>
      <w:r>
        <w:rPr>
          <w:color w:val="363436"/>
          <w:w w:val="110"/>
        </w:rPr>
        <w:t>know!"</w:t>
      </w:r>
      <w:r>
        <w:rPr>
          <w:color w:val="363436"/>
          <w:spacing w:val="-4"/>
          <w:w w:val="110"/>
        </w:rPr>
        <w:t> </w:t>
      </w:r>
      <w:r>
        <w:rPr>
          <w:color w:val="363436"/>
          <w:w w:val="110"/>
        </w:rPr>
        <w:t>and</w:t>
      </w:r>
      <w:r>
        <w:rPr>
          <w:color w:val="363436"/>
          <w:spacing w:val="39"/>
          <w:w w:val="110"/>
        </w:rPr>
        <w:t> </w:t>
      </w:r>
      <w:r>
        <w:rPr>
          <w:color w:val="49494B"/>
          <w:w w:val="110"/>
        </w:rPr>
        <w:t>(2)</w:t>
      </w:r>
      <w:r>
        <w:rPr>
          <w:color w:val="49494B"/>
          <w:spacing w:val="-6"/>
          <w:w w:val="110"/>
        </w:rPr>
        <w:t> </w:t>
      </w:r>
      <w:r>
        <w:rPr>
          <w:color w:val="49494B"/>
          <w:w w:val="110"/>
        </w:rPr>
        <w:t>"I</w:t>
      </w:r>
      <w:r>
        <w:rPr>
          <w:color w:val="49494B"/>
          <w:spacing w:val="3"/>
          <w:w w:val="110"/>
        </w:rPr>
        <w:t> </w:t>
      </w:r>
      <w:r>
        <w:rPr>
          <w:color w:val="363436"/>
          <w:w w:val="110"/>
        </w:rPr>
        <w:t>want</w:t>
      </w:r>
      <w:r>
        <w:rPr>
          <w:color w:val="363436"/>
          <w:spacing w:val="6"/>
          <w:w w:val="110"/>
        </w:rPr>
        <w:t> </w:t>
      </w:r>
      <w:r>
        <w:rPr>
          <w:color w:val="363436"/>
          <w:w w:val="110"/>
        </w:rPr>
        <w:t>to</w:t>
      </w:r>
      <w:r>
        <w:rPr>
          <w:color w:val="363436"/>
          <w:spacing w:val="-6"/>
          <w:w w:val="110"/>
        </w:rPr>
        <w:t> </w:t>
      </w:r>
      <w:r>
        <w:rPr>
          <w:color w:val="363436"/>
          <w:w w:val="110"/>
        </w:rPr>
        <w:t>do</w:t>
      </w:r>
      <w:r>
        <w:rPr>
          <w:color w:val="363436"/>
          <w:spacing w:val="4"/>
          <w:w w:val="110"/>
        </w:rPr>
        <w:t> </w:t>
      </w:r>
      <w:r>
        <w:rPr>
          <w:color w:val="363436"/>
          <w:w w:val="110"/>
        </w:rPr>
        <w:t>that</w:t>
      </w:r>
      <w:r>
        <w:rPr>
          <w:color w:val="363436"/>
          <w:spacing w:val="-14"/>
          <w:w w:val="110"/>
        </w:rPr>
        <w:t> </w:t>
      </w:r>
      <w:r>
        <w:rPr>
          <w:color w:val="363436"/>
          <w:w w:val="110"/>
        </w:rPr>
        <w:t>again."</w:t>
      </w:r>
    </w:p>
    <w:p>
      <w:pPr>
        <w:pStyle w:val="BodyText"/>
        <w:spacing w:line="253" w:lineRule="exact"/>
        <w:ind w:left="1172"/>
        <w:jc w:val="both"/>
      </w:pPr>
      <w:r>
        <w:rPr>
          <w:color w:val="363436"/>
          <w:w w:val="105"/>
        </w:rPr>
        <w:t>You'll do</w:t>
      </w:r>
      <w:r>
        <w:rPr>
          <w:color w:val="363436"/>
          <w:spacing w:val="29"/>
          <w:w w:val="105"/>
        </w:rPr>
        <w:t> </w:t>
      </w:r>
      <w:r>
        <w:rPr>
          <w:color w:val="363436"/>
          <w:w w:val="105"/>
        </w:rPr>
        <w:t>fine.</w:t>
      </w:r>
    </w:p>
    <w:p>
      <w:pPr>
        <w:spacing w:after="0" w:line="253" w:lineRule="exact"/>
        <w:jc w:val="both"/>
        <w:sectPr>
          <w:headerReference w:type="even" r:id="rId349"/>
          <w:headerReference w:type="default" r:id="rId350"/>
          <w:pgSz w:w="9830" w:h="14040"/>
          <w:pgMar w:header="502" w:footer="0" w:top="1100" w:bottom="0" w:left="1360" w:right="120"/>
          <w:pgNumType w:start="31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9760" w:h="14040"/>
          <w:pgMar w:header="637" w:footer="0" w:top="980" w:bottom="280" w:left="340" w:right="1360"/>
        </w:sectPr>
      </w:pPr>
    </w:p>
    <w:p>
      <w:pPr>
        <w:pStyle w:val="BodyText"/>
        <w:spacing w:before="6"/>
      </w:pPr>
    </w:p>
    <w:p>
      <w:pPr>
        <w:spacing w:line="163" w:lineRule="exact" w:before="0"/>
        <w:ind w:left="184" w:right="0" w:firstLine="0"/>
        <w:jc w:val="left"/>
        <w:rPr>
          <w:rFonts w:ascii="Arial"/>
          <w:sz w:val="17"/>
        </w:rPr>
      </w:pPr>
      <w:r>
        <w:rPr/>
        <w:pict>
          <v:shape style="position:absolute;margin-left:25.119499pt;margin-top:4.987740pt;width:8.550pt;height:29.5pt;mso-position-horizontal-relative:page;mso-position-vertical-relative:paragraph;z-index:-21589504" type="#_x0000_t202" id="docshape566" filled="false" stroked="false">
            <v:textbox inset="0,0,0,0">
              <w:txbxContent>
                <w:p>
                  <w:pPr>
                    <w:spacing w:line="589" w:lineRule="exact" w:before="0"/>
                    <w:ind w:left="0" w:right="0" w:firstLine="0"/>
                    <w:jc w:val="left"/>
                    <w:rPr>
                      <w:sz w:val="53"/>
                    </w:rPr>
                  </w:pPr>
                  <w:r>
                    <w:rPr>
                      <w:color w:val="383638"/>
                      <w:w w:val="60"/>
                      <w:sz w:val="53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.78438pt;margin-top:-25.048626pt;width:8.85pt;height:34.5pt;mso-position-horizontal-relative:page;mso-position-vertical-relative:paragraph;z-index:-21588992" type="#_x0000_t202" id="docshape567" filled="false" stroked="false">
            <v:textbox inset="0,0,0,0">
              <w:txbxContent>
                <w:p>
                  <w:pPr>
                    <w:spacing w:line="689" w:lineRule="exact" w:before="0"/>
                    <w:ind w:left="0" w:right="0" w:firstLine="0"/>
                    <w:jc w:val="left"/>
                    <w:rPr>
                      <w:sz w:val="62"/>
                    </w:rPr>
                  </w:pPr>
                  <w:r>
                    <w:rPr>
                      <w:color w:val="383638"/>
                      <w:w w:val="85"/>
                      <w:sz w:val="6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383638"/>
          <w:w w:val="110"/>
          <w:sz w:val="17"/>
        </w:rPr>
        <w:t>::,</w:t>
      </w:r>
    </w:p>
    <w:p>
      <w:pPr>
        <w:spacing w:line="297" w:lineRule="exact" w:before="0"/>
        <w:ind w:left="147" w:right="0" w:firstLine="0"/>
        <w:jc w:val="left"/>
        <w:rPr>
          <w:b/>
          <w:sz w:val="32"/>
        </w:rPr>
      </w:pPr>
      <w:r>
        <w:rPr>
          <w:b/>
          <w:color w:val="383638"/>
          <w:spacing w:val="-8"/>
          <w:w w:val="85"/>
          <w:sz w:val="32"/>
        </w:rPr>
        <w:t>.2</w:t>
      </w:r>
    </w:p>
    <w:p>
      <w:pPr>
        <w:spacing w:line="371" w:lineRule="exact" w:before="0"/>
        <w:ind w:left="142" w:right="0" w:firstLine="0"/>
        <w:jc w:val="left"/>
        <w:rPr>
          <w:sz w:val="40"/>
        </w:rPr>
      </w:pPr>
      <w:r>
        <w:rPr/>
        <w:pict>
          <v:shape style="position:absolute;margin-left:25.8671pt;margin-top:4.480003pt;width:1.35pt;height:19.45pt;mso-position-horizontal-relative:page;mso-position-vertical-relative:paragraph;z-index:-21588480" type="#_x0000_t202" id="docshape568" filled="false" stroked="false">
            <v:textbox inset="0,0,0,0">
              <w:txbxContent>
                <w:p>
                  <w:pPr>
                    <w:spacing w:line="389" w:lineRule="exact" w:before="0"/>
                    <w:ind w:left="0" w:right="0" w:firstLine="0"/>
                    <w:jc w:val="left"/>
                    <w:rPr>
                      <w:sz w:val="35"/>
                    </w:rPr>
                  </w:pPr>
                  <w:r>
                    <w:rPr>
                      <w:color w:val="383638"/>
                      <w:spacing w:val="-66"/>
                      <w:w w:val="64"/>
                      <w:sz w:val="35"/>
                    </w:rPr>
                    <w:t>"</w:t>
                  </w:r>
                </w:p>
              </w:txbxContent>
            </v:textbox>
            <w10:wrap type="none"/>
          </v:shape>
        </w:pict>
      </w:r>
      <w:r>
        <w:rPr>
          <w:color w:val="383638"/>
          <w:w w:val="70"/>
          <w:sz w:val="40"/>
        </w:rPr>
        <w:t>...</w:t>
      </w:r>
    </w:p>
    <w:p>
      <w:pPr>
        <w:spacing w:line="114" w:lineRule="exact" w:before="0"/>
        <w:ind w:left="193" w:right="0" w:firstLine="0"/>
        <w:jc w:val="left"/>
        <w:rPr>
          <w:b/>
          <w:sz w:val="17"/>
        </w:rPr>
      </w:pPr>
      <w:r>
        <w:rPr>
          <w:b/>
          <w:color w:val="383638"/>
          <w:w w:val="70"/>
          <w:sz w:val="17"/>
        </w:rPr>
        <w:t>C.</w:t>
      </w:r>
    </w:p>
    <w:p>
      <w:pPr>
        <w:spacing w:line="113" w:lineRule="exact" w:before="0"/>
        <w:ind w:left="197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383638"/>
          <w:sz w:val="16"/>
        </w:rPr>
        <w:t>ta</w:t>
      </w:r>
    </w:p>
    <w:p>
      <w:pPr>
        <w:spacing w:line="362" w:lineRule="exact" w:before="0"/>
        <w:ind w:left="148" w:right="0" w:firstLine="0"/>
        <w:jc w:val="left"/>
        <w:rPr>
          <w:sz w:val="35"/>
        </w:rPr>
      </w:pPr>
      <w:r>
        <w:rPr>
          <w:color w:val="383638"/>
          <w:w w:val="91"/>
          <w:sz w:val="35"/>
        </w:rPr>
        <w:t>0</w:t>
      </w:r>
    </w:p>
    <w:p>
      <w:pPr>
        <w:spacing w:line="240" w:lineRule="auto" w:before="0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pStyle w:val="BodyText"/>
        <w:rPr>
          <w:sz w:val="44"/>
        </w:rPr>
      </w:pPr>
    </w:p>
    <w:p>
      <w:pPr>
        <w:pStyle w:val="Heading4"/>
        <w:spacing w:before="315"/>
        <w:ind w:left="142"/>
      </w:pPr>
      <w:r>
        <w:rPr>
          <w:color w:val="565657"/>
          <w:w w:val="110"/>
        </w:rPr>
        <w:t>MO</w:t>
      </w:r>
      <w:r>
        <w:rPr>
          <w:color w:val="383638"/>
          <w:w w:val="110"/>
        </w:rPr>
        <w:t>OT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COU</w:t>
      </w:r>
      <w:r>
        <w:rPr>
          <w:color w:val="565657"/>
          <w:w w:val="110"/>
        </w:rPr>
        <w:t>R</w:t>
      </w:r>
      <w:r>
        <w:rPr>
          <w:color w:val="383638"/>
          <w:w w:val="110"/>
        </w:rPr>
        <w:t>T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CO</w:t>
      </w:r>
      <w:r>
        <w:rPr>
          <w:color w:val="565657"/>
          <w:w w:val="110"/>
        </w:rPr>
        <w:t>MP</w:t>
      </w:r>
      <w:r>
        <w:rPr>
          <w:color w:val="383638"/>
          <w:w w:val="110"/>
        </w:rPr>
        <w:t>ETITIONS</w:t>
      </w:r>
    </w:p>
    <w:p>
      <w:pPr>
        <w:pStyle w:val="BodyText"/>
        <w:spacing w:before="7"/>
        <w:rPr>
          <w:rFonts w:ascii="Arial"/>
          <w:b/>
          <w:sz w:val="57"/>
        </w:rPr>
      </w:pPr>
    </w:p>
    <w:p>
      <w:pPr>
        <w:pStyle w:val="ListParagraph"/>
        <w:numPr>
          <w:ilvl w:val="1"/>
          <w:numId w:val="114"/>
        </w:numPr>
        <w:tabs>
          <w:tab w:pos="802" w:val="left" w:leader="none"/>
        </w:tabs>
        <w:spacing w:line="237" w:lineRule="exact" w:before="0" w:after="0"/>
        <w:ind w:left="801" w:right="0" w:hanging="609"/>
        <w:jc w:val="left"/>
        <w:rPr>
          <w:rFonts w:ascii="Arial"/>
          <w:b/>
          <w:color w:val="383638"/>
          <w:sz w:val="21"/>
        </w:rPr>
      </w:pPr>
      <w:r>
        <w:rPr>
          <w:color w:val="383638"/>
          <w:spacing w:val="-1"/>
          <w:w w:val="110"/>
          <w:sz w:val="21"/>
        </w:rPr>
        <w:t>Typical</w:t>
      </w:r>
      <w:r>
        <w:rPr>
          <w:color w:val="383638"/>
          <w:spacing w:val="-11"/>
          <w:w w:val="110"/>
          <w:sz w:val="21"/>
        </w:rPr>
        <w:t> </w:t>
      </w:r>
      <w:r>
        <w:rPr>
          <w:color w:val="383638"/>
          <w:spacing w:val="-1"/>
          <w:w w:val="110"/>
          <w:sz w:val="21"/>
        </w:rPr>
        <w:t>Competition</w:t>
      </w:r>
      <w:r>
        <w:rPr>
          <w:color w:val="383638"/>
          <w:spacing w:val="15"/>
          <w:w w:val="110"/>
          <w:sz w:val="21"/>
        </w:rPr>
        <w:t> </w:t>
      </w:r>
      <w:r>
        <w:rPr>
          <w:color w:val="383638"/>
          <w:spacing w:val="-1"/>
          <w:w w:val="110"/>
          <w:sz w:val="21"/>
        </w:rPr>
        <w:t>Requirements</w:t>
      </w:r>
    </w:p>
    <w:p>
      <w:pPr>
        <w:pStyle w:val="ListParagraph"/>
        <w:numPr>
          <w:ilvl w:val="1"/>
          <w:numId w:val="114"/>
        </w:numPr>
        <w:tabs>
          <w:tab w:pos="814" w:val="left" w:leader="none"/>
        </w:tabs>
        <w:spacing w:line="240" w:lineRule="auto" w:before="0" w:after="0"/>
        <w:ind w:left="810" w:right="2371" w:hanging="618"/>
        <w:jc w:val="left"/>
        <w:rPr>
          <w:rFonts w:ascii="Arial"/>
          <w:b/>
          <w:color w:val="383638"/>
          <w:sz w:val="21"/>
        </w:rPr>
      </w:pPr>
      <w:r>
        <w:rPr>
          <w:color w:val="383638"/>
          <w:w w:val="110"/>
          <w:sz w:val="21"/>
        </w:rPr>
        <w:t>Differences Between Moot </w:t>
      </w:r>
      <w:r>
        <w:rPr>
          <w:color w:val="383638"/>
          <w:w w:val="110"/>
          <w:sz w:val="20"/>
        </w:rPr>
        <w:t>Court </w:t>
      </w:r>
      <w:r>
        <w:rPr>
          <w:color w:val="383638"/>
          <w:w w:val="110"/>
          <w:sz w:val="21"/>
        </w:rPr>
        <w:t>Competitions</w:t>
      </w:r>
      <w:r>
        <w:rPr>
          <w:color w:val="383638"/>
          <w:spacing w:val="-55"/>
          <w:w w:val="110"/>
          <w:sz w:val="21"/>
        </w:rPr>
        <w:t> </w:t>
      </w:r>
      <w:r>
        <w:rPr>
          <w:color w:val="383638"/>
          <w:w w:val="110"/>
          <w:sz w:val="21"/>
        </w:rPr>
        <w:t>and</w:t>
      </w:r>
      <w:r>
        <w:rPr>
          <w:color w:val="383638"/>
          <w:spacing w:val="8"/>
          <w:w w:val="110"/>
          <w:sz w:val="21"/>
        </w:rPr>
        <w:t> </w:t>
      </w:r>
      <w:r>
        <w:rPr>
          <w:color w:val="383638"/>
          <w:w w:val="110"/>
          <w:sz w:val="21"/>
        </w:rPr>
        <w:t>"Real</w:t>
      </w:r>
      <w:r>
        <w:rPr>
          <w:color w:val="383638"/>
          <w:spacing w:val="-10"/>
          <w:w w:val="110"/>
          <w:sz w:val="21"/>
        </w:rPr>
        <w:t> </w:t>
      </w:r>
      <w:r>
        <w:rPr>
          <w:color w:val="383638"/>
          <w:w w:val="110"/>
          <w:sz w:val="21"/>
        </w:rPr>
        <w:t>Life"</w:t>
      </w:r>
    </w:p>
    <w:p>
      <w:pPr>
        <w:pStyle w:val="ListParagraph"/>
        <w:numPr>
          <w:ilvl w:val="1"/>
          <w:numId w:val="114"/>
        </w:numPr>
        <w:tabs>
          <w:tab w:pos="820" w:val="left" w:leader="none"/>
        </w:tabs>
        <w:spacing w:line="239" w:lineRule="exact" w:before="0" w:after="0"/>
        <w:ind w:left="819" w:right="0" w:hanging="627"/>
        <w:jc w:val="left"/>
        <w:rPr>
          <w:rFonts w:ascii="Arial"/>
          <w:b/>
          <w:color w:val="383638"/>
          <w:sz w:val="21"/>
        </w:rPr>
      </w:pPr>
      <w:r>
        <w:rPr>
          <w:color w:val="383638"/>
          <w:spacing w:val="-1"/>
          <w:w w:val="110"/>
          <w:sz w:val="21"/>
        </w:rPr>
        <w:t>Choosing</w:t>
      </w:r>
      <w:r>
        <w:rPr>
          <w:color w:val="383638"/>
          <w:spacing w:val="-14"/>
          <w:w w:val="110"/>
          <w:sz w:val="21"/>
        </w:rPr>
        <w:t> </w:t>
      </w:r>
      <w:r>
        <w:rPr>
          <w:color w:val="383638"/>
          <w:w w:val="110"/>
          <w:sz w:val="20"/>
        </w:rPr>
        <w:t>Which</w:t>
      </w:r>
      <w:r>
        <w:rPr>
          <w:color w:val="383638"/>
          <w:spacing w:val="-13"/>
          <w:w w:val="110"/>
          <w:sz w:val="20"/>
        </w:rPr>
        <w:t> </w:t>
      </w:r>
      <w:r>
        <w:rPr>
          <w:color w:val="383638"/>
          <w:w w:val="110"/>
          <w:sz w:val="21"/>
        </w:rPr>
        <w:t>Side</w:t>
      </w:r>
      <w:r>
        <w:rPr>
          <w:color w:val="383638"/>
          <w:spacing w:val="-13"/>
          <w:w w:val="110"/>
          <w:sz w:val="21"/>
        </w:rPr>
        <w:t> </w:t>
      </w:r>
      <w:r>
        <w:rPr>
          <w:color w:val="383638"/>
          <w:w w:val="110"/>
          <w:sz w:val="21"/>
        </w:rPr>
        <w:t>to</w:t>
      </w:r>
      <w:r>
        <w:rPr>
          <w:color w:val="383638"/>
          <w:spacing w:val="11"/>
          <w:w w:val="110"/>
          <w:sz w:val="21"/>
        </w:rPr>
        <w:t> </w:t>
      </w:r>
      <w:r>
        <w:rPr>
          <w:color w:val="383638"/>
          <w:w w:val="110"/>
          <w:sz w:val="21"/>
        </w:rPr>
        <w:t>Brief</w:t>
      </w:r>
    </w:p>
    <w:p>
      <w:pPr>
        <w:pStyle w:val="ListParagraph"/>
        <w:numPr>
          <w:ilvl w:val="1"/>
          <w:numId w:val="114"/>
        </w:numPr>
        <w:tabs>
          <w:tab w:pos="825" w:val="left" w:leader="none"/>
        </w:tabs>
        <w:spacing w:line="236" w:lineRule="exact" w:before="0" w:after="0"/>
        <w:ind w:left="824" w:right="0" w:hanging="632"/>
        <w:jc w:val="left"/>
        <w:rPr>
          <w:rFonts w:ascii="Arial"/>
          <w:b/>
          <w:color w:val="383638"/>
          <w:sz w:val="21"/>
        </w:rPr>
      </w:pPr>
      <w:r>
        <w:rPr>
          <w:color w:val="383638"/>
          <w:w w:val="105"/>
          <w:sz w:val="21"/>
        </w:rPr>
        <w:t>Writing</w:t>
      </w:r>
      <w:r>
        <w:rPr>
          <w:color w:val="383638"/>
          <w:spacing w:val="-14"/>
          <w:w w:val="105"/>
          <w:sz w:val="21"/>
        </w:rPr>
        <w:t> </w:t>
      </w:r>
      <w:r>
        <w:rPr>
          <w:color w:val="383638"/>
          <w:w w:val="105"/>
          <w:sz w:val="21"/>
        </w:rPr>
        <w:t>the</w:t>
      </w:r>
      <w:r>
        <w:rPr>
          <w:color w:val="383638"/>
          <w:spacing w:val="26"/>
          <w:w w:val="105"/>
          <w:sz w:val="21"/>
        </w:rPr>
        <w:t> </w:t>
      </w:r>
      <w:r>
        <w:rPr>
          <w:color w:val="383638"/>
          <w:w w:val="105"/>
          <w:sz w:val="21"/>
        </w:rPr>
        <w:t>Brief</w:t>
      </w:r>
    </w:p>
    <w:p>
      <w:pPr>
        <w:pStyle w:val="ListParagraph"/>
        <w:numPr>
          <w:ilvl w:val="2"/>
          <w:numId w:val="114"/>
        </w:numPr>
        <w:tabs>
          <w:tab w:pos="1730" w:val="left" w:leader="none"/>
          <w:tab w:pos="1731" w:val="left" w:leader="none"/>
        </w:tabs>
        <w:spacing w:line="236" w:lineRule="exact" w:before="0" w:after="0"/>
        <w:ind w:left="1730" w:right="0" w:hanging="900"/>
        <w:jc w:val="left"/>
        <w:rPr>
          <w:rFonts w:ascii="Arial"/>
          <w:b/>
          <w:color w:val="383638"/>
          <w:sz w:val="19"/>
        </w:rPr>
      </w:pPr>
      <w:r>
        <w:rPr>
          <w:color w:val="383638"/>
          <w:w w:val="105"/>
          <w:sz w:val="20"/>
        </w:rPr>
        <w:t>Dividing</w:t>
      </w:r>
      <w:r>
        <w:rPr>
          <w:color w:val="383638"/>
          <w:spacing w:val="-5"/>
          <w:w w:val="105"/>
          <w:sz w:val="20"/>
        </w:rPr>
        <w:t> </w:t>
      </w:r>
      <w:r>
        <w:rPr>
          <w:color w:val="383638"/>
          <w:w w:val="105"/>
          <w:sz w:val="20"/>
        </w:rPr>
        <w:t>Up</w:t>
      </w:r>
      <w:r>
        <w:rPr>
          <w:color w:val="383638"/>
          <w:spacing w:val="1"/>
          <w:w w:val="105"/>
          <w:sz w:val="20"/>
        </w:rPr>
        <w:t> </w:t>
      </w:r>
      <w:r>
        <w:rPr>
          <w:color w:val="383638"/>
          <w:w w:val="105"/>
          <w:sz w:val="19"/>
        </w:rPr>
        <w:t>the</w:t>
      </w:r>
      <w:r>
        <w:rPr>
          <w:color w:val="383638"/>
          <w:spacing w:val="47"/>
          <w:w w:val="105"/>
          <w:sz w:val="19"/>
        </w:rPr>
        <w:t> </w:t>
      </w:r>
      <w:r>
        <w:rPr>
          <w:color w:val="383638"/>
          <w:w w:val="105"/>
          <w:sz w:val="21"/>
        </w:rPr>
        <w:t>Work</w:t>
      </w:r>
    </w:p>
    <w:p>
      <w:pPr>
        <w:pStyle w:val="ListParagraph"/>
        <w:numPr>
          <w:ilvl w:val="2"/>
          <w:numId w:val="114"/>
        </w:numPr>
        <w:tabs>
          <w:tab w:pos="1726" w:val="left" w:leader="none"/>
          <w:tab w:pos="1727" w:val="left" w:leader="none"/>
        </w:tabs>
        <w:spacing w:line="240" w:lineRule="auto" w:before="12" w:after="0"/>
        <w:ind w:left="1726" w:right="0" w:hanging="896"/>
        <w:jc w:val="left"/>
        <w:rPr>
          <w:rFonts w:ascii="Arial"/>
          <w:b/>
          <w:color w:val="383638"/>
          <w:sz w:val="19"/>
        </w:rPr>
      </w:pPr>
      <w:r>
        <w:rPr>
          <w:color w:val="383638"/>
          <w:w w:val="105"/>
          <w:sz w:val="20"/>
        </w:rPr>
        <w:t>Critiquing</w:t>
      </w:r>
      <w:r>
        <w:rPr>
          <w:color w:val="383638"/>
          <w:spacing w:val="10"/>
          <w:w w:val="105"/>
          <w:sz w:val="20"/>
        </w:rPr>
        <w:t> </w:t>
      </w:r>
      <w:r>
        <w:rPr>
          <w:color w:val="383638"/>
          <w:w w:val="105"/>
          <w:sz w:val="20"/>
        </w:rPr>
        <w:t>Your</w:t>
      </w:r>
      <w:r>
        <w:rPr>
          <w:color w:val="383638"/>
          <w:spacing w:val="-10"/>
          <w:w w:val="105"/>
          <w:sz w:val="20"/>
        </w:rPr>
        <w:t> </w:t>
      </w:r>
      <w:r>
        <w:rPr>
          <w:color w:val="383638"/>
          <w:w w:val="105"/>
          <w:sz w:val="20"/>
        </w:rPr>
        <w:t>Teammates'</w:t>
      </w:r>
      <w:r>
        <w:rPr>
          <w:color w:val="383638"/>
          <w:spacing w:val="23"/>
          <w:w w:val="105"/>
          <w:sz w:val="20"/>
        </w:rPr>
        <w:t> </w:t>
      </w:r>
      <w:r>
        <w:rPr>
          <w:color w:val="383638"/>
          <w:w w:val="105"/>
          <w:sz w:val="20"/>
        </w:rPr>
        <w:t>Work</w:t>
      </w:r>
    </w:p>
    <w:p>
      <w:pPr>
        <w:pStyle w:val="ListParagraph"/>
        <w:numPr>
          <w:ilvl w:val="2"/>
          <w:numId w:val="114"/>
        </w:numPr>
        <w:tabs>
          <w:tab w:pos="1730" w:val="left" w:leader="none"/>
          <w:tab w:pos="1731" w:val="left" w:leader="none"/>
        </w:tabs>
        <w:spacing w:line="240" w:lineRule="auto" w:before="2" w:after="0"/>
        <w:ind w:left="1730" w:right="0" w:hanging="900"/>
        <w:jc w:val="left"/>
        <w:rPr>
          <w:rFonts w:ascii="Arial"/>
          <w:b/>
          <w:color w:val="282426"/>
          <w:sz w:val="19"/>
        </w:rPr>
      </w:pPr>
      <w:r>
        <w:rPr>
          <w:color w:val="383638"/>
          <w:w w:val="105"/>
          <w:sz w:val="20"/>
        </w:rPr>
        <w:t>Polishing</w:t>
      </w:r>
      <w:r>
        <w:rPr>
          <w:color w:val="383638"/>
          <w:spacing w:val="3"/>
          <w:w w:val="105"/>
          <w:sz w:val="20"/>
        </w:rPr>
        <w:t> </w:t>
      </w:r>
      <w:r>
        <w:rPr>
          <w:color w:val="383638"/>
          <w:w w:val="105"/>
          <w:sz w:val="20"/>
        </w:rPr>
        <w:t>the</w:t>
      </w:r>
      <w:r>
        <w:rPr>
          <w:color w:val="383638"/>
          <w:spacing w:val="14"/>
          <w:w w:val="105"/>
          <w:sz w:val="20"/>
        </w:rPr>
        <w:t> </w:t>
      </w:r>
      <w:r>
        <w:rPr>
          <w:color w:val="383638"/>
          <w:w w:val="105"/>
          <w:sz w:val="20"/>
        </w:rPr>
        <w:t>Brief</w:t>
      </w:r>
    </w:p>
    <w:p>
      <w:pPr>
        <w:pStyle w:val="ListParagraph"/>
        <w:numPr>
          <w:ilvl w:val="1"/>
          <w:numId w:val="114"/>
        </w:numPr>
        <w:tabs>
          <w:tab w:pos="844" w:val="left" w:leader="none"/>
        </w:tabs>
        <w:spacing w:line="242" w:lineRule="exact" w:before="0" w:after="0"/>
        <w:ind w:left="843" w:right="0" w:hanging="642"/>
        <w:jc w:val="left"/>
        <w:rPr>
          <w:rFonts w:ascii="Arial"/>
          <w:b/>
          <w:color w:val="383638"/>
          <w:sz w:val="21"/>
        </w:rPr>
      </w:pPr>
      <w:r>
        <w:rPr>
          <w:color w:val="383638"/>
          <w:w w:val="105"/>
          <w:sz w:val="21"/>
        </w:rPr>
        <w:t>Practice</w:t>
      </w:r>
      <w:r>
        <w:rPr>
          <w:color w:val="383638"/>
          <w:spacing w:val="4"/>
          <w:w w:val="105"/>
          <w:sz w:val="21"/>
        </w:rPr>
        <w:t> </w:t>
      </w:r>
      <w:r>
        <w:rPr>
          <w:color w:val="383638"/>
          <w:w w:val="105"/>
          <w:sz w:val="21"/>
        </w:rPr>
        <w:t>Arguments</w:t>
      </w:r>
    </w:p>
    <w:p>
      <w:pPr>
        <w:pStyle w:val="ListParagraph"/>
        <w:numPr>
          <w:ilvl w:val="2"/>
          <w:numId w:val="114"/>
        </w:numPr>
        <w:tabs>
          <w:tab w:pos="1727" w:val="left" w:leader="none"/>
          <w:tab w:pos="1728" w:val="left" w:leader="none"/>
        </w:tabs>
        <w:spacing w:line="241" w:lineRule="exact" w:before="0" w:after="0"/>
        <w:ind w:left="1727" w:right="0" w:hanging="899"/>
        <w:jc w:val="left"/>
        <w:rPr>
          <w:rFonts w:ascii="Arial"/>
          <w:b/>
          <w:color w:val="383638"/>
          <w:sz w:val="21"/>
        </w:rPr>
      </w:pPr>
      <w:r>
        <w:rPr>
          <w:color w:val="383638"/>
          <w:w w:val="110"/>
          <w:sz w:val="20"/>
        </w:rPr>
        <w:t>The</w:t>
      </w:r>
      <w:r>
        <w:rPr>
          <w:color w:val="383638"/>
          <w:spacing w:val="16"/>
          <w:w w:val="110"/>
          <w:sz w:val="20"/>
        </w:rPr>
        <w:t> </w:t>
      </w:r>
      <w:r>
        <w:rPr>
          <w:color w:val="383638"/>
          <w:w w:val="110"/>
          <w:sz w:val="20"/>
        </w:rPr>
        <w:t>Introduction</w:t>
      </w:r>
    </w:p>
    <w:p>
      <w:pPr>
        <w:pStyle w:val="ListParagraph"/>
        <w:numPr>
          <w:ilvl w:val="2"/>
          <w:numId w:val="114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910"/>
        <w:jc w:val="left"/>
        <w:rPr>
          <w:rFonts w:ascii="Arial"/>
          <w:b/>
          <w:color w:val="383638"/>
          <w:sz w:val="19"/>
        </w:rPr>
      </w:pPr>
      <w:r>
        <w:rPr>
          <w:color w:val="383638"/>
          <w:spacing w:val="-1"/>
          <w:w w:val="110"/>
          <w:sz w:val="20"/>
        </w:rPr>
        <w:t>Planning</w:t>
      </w:r>
      <w:r>
        <w:rPr>
          <w:color w:val="383638"/>
          <w:spacing w:val="-13"/>
          <w:w w:val="110"/>
          <w:sz w:val="20"/>
        </w:rPr>
        <w:t> </w:t>
      </w:r>
      <w:r>
        <w:rPr>
          <w:rFonts w:ascii="Arial"/>
          <w:color w:val="383638"/>
          <w:spacing w:val="-1"/>
          <w:w w:val="110"/>
          <w:sz w:val="18"/>
        </w:rPr>
        <w:t>for</w:t>
      </w:r>
      <w:r>
        <w:rPr>
          <w:rFonts w:ascii="Arial"/>
          <w:color w:val="383638"/>
          <w:spacing w:val="4"/>
          <w:w w:val="110"/>
          <w:sz w:val="18"/>
        </w:rPr>
        <w:t> </w:t>
      </w:r>
      <w:r>
        <w:rPr>
          <w:color w:val="383638"/>
          <w:spacing w:val="-1"/>
          <w:w w:val="110"/>
          <w:sz w:val="20"/>
        </w:rPr>
        <w:t>Awkward</w:t>
      </w:r>
      <w:r>
        <w:rPr>
          <w:color w:val="383638"/>
          <w:spacing w:val="-8"/>
          <w:w w:val="110"/>
          <w:sz w:val="20"/>
        </w:rPr>
        <w:t> </w:t>
      </w:r>
      <w:r>
        <w:rPr>
          <w:color w:val="383638"/>
          <w:w w:val="110"/>
          <w:sz w:val="20"/>
        </w:rPr>
        <w:t>Moments</w:t>
      </w:r>
    </w:p>
    <w:p>
      <w:pPr>
        <w:pStyle w:val="ListParagraph"/>
        <w:numPr>
          <w:ilvl w:val="3"/>
          <w:numId w:val="114"/>
        </w:numPr>
        <w:tabs>
          <w:tab w:pos="1690" w:val="left" w:leader="none"/>
        </w:tabs>
        <w:spacing w:line="240" w:lineRule="auto" w:before="12" w:after="0"/>
        <w:ind w:left="1689" w:right="0" w:hanging="333"/>
        <w:jc w:val="left"/>
        <w:rPr>
          <w:b/>
          <w:color w:val="383638"/>
          <w:sz w:val="22"/>
        </w:rPr>
      </w:pPr>
      <w:r>
        <w:rPr>
          <w:color w:val="383638"/>
          <w:w w:val="110"/>
          <w:sz w:val="19"/>
        </w:rPr>
        <w:t>The</w:t>
      </w:r>
      <w:r>
        <w:rPr>
          <w:color w:val="383638"/>
          <w:spacing w:val="19"/>
          <w:w w:val="110"/>
          <w:sz w:val="19"/>
        </w:rPr>
        <w:t> </w:t>
      </w:r>
      <w:r>
        <w:rPr>
          <w:color w:val="383638"/>
          <w:w w:val="110"/>
          <w:sz w:val="20"/>
        </w:rPr>
        <w:t>Cold</w:t>
      </w:r>
      <w:r>
        <w:rPr>
          <w:color w:val="383638"/>
          <w:spacing w:val="-7"/>
          <w:w w:val="110"/>
          <w:sz w:val="20"/>
        </w:rPr>
        <w:t> </w:t>
      </w:r>
      <w:r>
        <w:rPr>
          <w:color w:val="383638"/>
          <w:w w:val="110"/>
          <w:sz w:val="20"/>
        </w:rPr>
        <w:t>Court</w:t>
      </w:r>
    </w:p>
    <w:p>
      <w:pPr>
        <w:pStyle w:val="ListParagraph"/>
        <w:numPr>
          <w:ilvl w:val="3"/>
          <w:numId w:val="114"/>
        </w:numPr>
        <w:tabs>
          <w:tab w:pos="1702" w:val="left" w:leader="none"/>
        </w:tabs>
        <w:spacing w:line="240" w:lineRule="auto" w:before="16" w:after="0"/>
        <w:ind w:left="1701" w:right="0" w:hanging="330"/>
        <w:jc w:val="left"/>
        <w:rPr>
          <w:b/>
          <w:color w:val="282426"/>
          <w:sz w:val="21"/>
        </w:rPr>
      </w:pPr>
      <w:r>
        <w:rPr>
          <w:color w:val="383638"/>
          <w:w w:val="110"/>
          <w:sz w:val="20"/>
        </w:rPr>
        <w:t>Dealing</w:t>
      </w:r>
      <w:r>
        <w:rPr>
          <w:color w:val="383638"/>
          <w:spacing w:val="-19"/>
          <w:w w:val="110"/>
          <w:sz w:val="20"/>
        </w:rPr>
        <w:t> </w:t>
      </w:r>
      <w:r>
        <w:rPr>
          <w:color w:val="383638"/>
          <w:w w:val="110"/>
          <w:sz w:val="20"/>
        </w:rPr>
        <w:t>with</w:t>
      </w:r>
      <w:r>
        <w:rPr>
          <w:color w:val="383638"/>
          <w:spacing w:val="-2"/>
          <w:w w:val="110"/>
          <w:sz w:val="20"/>
        </w:rPr>
        <w:t> </w:t>
      </w:r>
      <w:r>
        <w:rPr>
          <w:color w:val="383638"/>
          <w:w w:val="110"/>
          <w:sz w:val="20"/>
        </w:rPr>
        <w:t>Opponents'</w:t>
      </w:r>
      <w:r>
        <w:rPr>
          <w:color w:val="383638"/>
          <w:spacing w:val="3"/>
          <w:w w:val="110"/>
          <w:sz w:val="20"/>
        </w:rPr>
        <w:t> </w:t>
      </w:r>
      <w:r>
        <w:rPr>
          <w:color w:val="383638"/>
          <w:w w:val="110"/>
          <w:sz w:val="20"/>
        </w:rPr>
        <w:t>Misstatements</w:t>
      </w:r>
      <w:r>
        <w:rPr>
          <w:color w:val="383638"/>
          <w:spacing w:val="2"/>
          <w:w w:val="110"/>
          <w:sz w:val="20"/>
        </w:rPr>
        <w:t> </w:t>
      </w:r>
      <w:r>
        <w:rPr>
          <w:color w:val="383638"/>
          <w:w w:val="110"/>
          <w:sz w:val="20"/>
        </w:rPr>
        <w:t>of</w:t>
      </w:r>
    </w:p>
    <w:p>
      <w:pPr>
        <w:spacing w:line="236" w:lineRule="exact" w:before="19"/>
        <w:ind w:left="1701" w:right="0" w:firstLine="0"/>
        <w:jc w:val="left"/>
        <w:rPr>
          <w:sz w:val="21"/>
        </w:rPr>
      </w:pPr>
      <w:r>
        <w:rPr>
          <w:rFonts w:ascii="Arial"/>
          <w:color w:val="383638"/>
          <w:sz w:val="18"/>
        </w:rPr>
        <w:t>Law</w:t>
      </w:r>
      <w:r>
        <w:rPr>
          <w:rFonts w:ascii="Arial"/>
          <w:color w:val="383638"/>
          <w:spacing w:val="6"/>
          <w:sz w:val="18"/>
        </w:rPr>
        <w:t> </w:t>
      </w:r>
      <w:r>
        <w:rPr>
          <w:color w:val="383638"/>
          <w:sz w:val="20"/>
        </w:rPr>
        <w:t>or</w:t>
      </w:r>
      <w:r>
        <w:rPr>
          <w:color w:val="383638"/>
          <w:spacing w:val="34"/>
          <w:sz w:val="20"/>
        </w:rPr>
        <w:t> </w:t>
      </w:r>
      <w:r>
        <w:rPr>
          <w:color w:val="383638"/>
          <w:sz w:val="21"/>
        </w:rPr>
        <w:t>Facts</w:t>
      </w:r>
    </w:p>
    <w:p>
      <w:pPr>
        <w:pStyle w:val="ListParagraph"/>
        <w:numPr>
          <w:ilvl w:val="2"/>
          <w:numId w:val="114"/>
        </w:numPr>
        <w:tabs>
          <w:tab w:pos="1737" w:val="left" w:leader="none"/>
          <w:tab w:pos="1738" w:val="left" w:leader="none"/>
        </w:tabs>
        <w:spacing w:line="236" w:lineRule="exact" w:before="0" w:after="0"/>
        <w:ind w:left="1737" w:right="0" w:hanging="889"/>
        <w:jc w:val="left"/>
        <w:rPr>
          <w:rFonts w:ascii="Arial"/>
          <w:b/>
          <w:color w:val="282426"/>
          <w:sz w:val="21"/>
        </w:rPr>
      </w:pPr>
      <w:r>
        <w:rPr>
          <w:color w:val="383638"/>
          <w:w w:val="110"/>
          <w:sz w:val="20"/>
        </w:rPr>
        <w:t>The</w:t>
      </w:r>
      <w:r>
        <w:rPr>
          <w:color w:val="383638"/>
          <w:spacing w:val="5"/>
          <w:w w:val="110"/>
          <w:sz w:val="20"/>
        </w:rPr>
        <w:t> </w:t>
      </w:r>
      <w:r>
        <w:rPr>
          <w:color w:val="383638"/>
          <w:w w:val="110"/>
          <w:sz w:val="20"/>
        </w:rPr>
        <w:t>Conclusion</w:t>
      </w:r>
    </w:p>
    <w:p>
      <w:pPr>
        <w:pStyle w:val="ListParagraph"/>
        <w:numPr>
          <w:ilvl w:val="1"/>
          <w:numId w:val="114"/>
        </w:numPr>
        <w:tabs>
          <w:tab w:pos="853" w:val="left" w:leader="none"/>
        </w:tabs>
        <w:spacing w:line="241" w:lineRule="exact" w:before="0" w:after="0"/>
        <w:ind w:left="852" w:right="0" w:hanging="631"/>
        <w:jc w:val="left"/>
        <w:rPr>
          <w:rFonts w:ascii="Arial"/>
          <w:b/>
          <w:color w:val="282426"/>
          <w:sz w:val="21"/>
        </w:rPr>
      </w:pPr>
      <w:r>
        <w:rPr>
          <w:color w:val="383638"/>
          <w:w w:val="110"/>
          <w:sz w:val="21"/>
        </w:rPr>
        <w:t>Professionalism</w:t>
      </w:r>
    </w:p>
    <w:p>
      <w:pPr>
        <w:pStyle w:val="ListParagraph"/>
        <w:numPr>
          <w:ilvl w:val="1"/>
          <w:numId w:val="114"/>
        </w:numPr>
        <w:tabs>
          <w:tab w:pos="834" w:val="left" w:leader="none"/>
        </w:tabs>
        <w:spacing w:line="242" w:lineRule="exact" w:before="0" w:after="0"/>
        <w:ind w:left="833" w:right="0" w:hanging="612"/>
        <w:jc w:val="left"/>
        <w:rPr>
          <w:rFonts w:ascii="Arial"/>
          <w:b/>
          <w:color w:val="383638"/>
          <w:sz w:val="21"/>
        </w:rPr>
      </w:pPr>
      <w:r>
        <w:rPr>
          <w:color w:val="383638"/>
          <w:w w:val="115"/>
          <w:sz w:val="21"/>
        </w:rPr>
        <w:t>Summary</w:t>
      </w:r>
    </w:p>
    <w:p>
      <w:pPr>
        <w:spacing w:after="0" w:line="242" w:lineRule="exact"/>
        <w:jc w:val="left"/>
        <w:rPr>
          <w:rFonts w:ascii="Arial"/>
          <w:sz w:val="21"/>
        </w:rPr>
        <w:sectPr>
          <w:type w:val="continuous"/>
          <w:pgSz w:w="9760" w:h="14040"/>
          <w:pgMar w:header="502" w:footer="0" w:top="340" w:bottom="280" w:left="340" w:right="1360"/>
          <w:cols w:num="2" w:equalWidth="0">
            <w:col w:w="381" w:space="130"/>
            <w:col w:w="7549"/>
          </w:cols>
        </w:sectPr>
      </w:pPr>
    </w:p>
    <w:p>
      <w:pPr>
        <w:pStyle w:val="BodyText"/>
        <w:spacing w:before="1"/>
      </w:pPr>
    </w:p>
    <w:p>
      <w:pPr>
        <w:pStyle w:val="BodyText"/>
        <w:spacing w:line="232" w:lineRule="auto" w:before="97"/>
        <w:ind w:left="105" w:right="376" w:firstLine="582"/>
        <w:jc w:val="both"/>
      </w:pPr>
      <w:r>
        <w:rPr>
          <w:color w:val="383638"/>
          <w:w w:val="115"/>
        </w:rPr>
        <w:t>Each year, dozens of interscholastic moot court competitions take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0"/>
        </w:rPr>
        <w:t>place around the country. There are two reasons to participate in a com­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petition: to learn and to win</w:t>
      </w:r>
      <w:r>
        <w:rPr>
          <w:color w:val="565657"/>
          <w:w w:val="110"/>
        </w:rPr>
        <w:t>. </w:t>
      </w:r>
      <w:r>
        <w:rPr>
          <w:color w:val="383638"/>
          <w:w w:val="110"/>
        </w:rPr>
        <w:t>Everyone who participates in a moot court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competition learns a great deal about the subject matter at issue and  quite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a bit about the practice of law. Nevertheless, despite the many tangible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and intangible benefits of learning for the sake of learning, most teams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still want to win. If you are a team member on an interscholastic moot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court team, this chapter is meant to help you to enhance your learning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experience</w:t>
      </w:r>
      <w:r>
        <w:rPr>
          <w:color w:val="383638"/>
          <w:spacing w:val="-6"/>
          <w:w w:val="115"/>
        </w:rPr>
        <w:t> </w:t>
      </w:r>
      <w:r>
        <w:rPr>
          <w:color w:val="383638"/>
          <w:w w:val="115"/>
        </w:rPr>
        <w:t>in</w:t>
      </w:r>
      <w:r>
        <w:rPr>
          <w:color w:val="383638"/>
          <w:spacing w:val="24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26"/>
          <w:w w:val="115"/>
        </w:rPr>
        <w:t> </w:t>
      </w:r>
      <w:r>
        <w:rPr>
          <w:color w:val="383638"/>
          <w:w w:val="115"/>
        </w:rPr>
        <w:t>hopes</w:t>
      </w:r>
      <w:r>
        <w:rPr>
          <w:color w:val="383638"/>
          <w:spacing w:val="-12"/>
          <w:w w:val="115"/>
        </w:rPr>
        <w:t> </w:t>
      </w:r>
      <w:r>
        <w:rPr>
          <w:color w:val="383638"/>
          <w:w w:val="115"/>
        </w:rPr>
        <w:t>that</w:t>
      </w:r>
      <w:r>
        <w:rPr>
          <w:color w:val="383638"/>
          <w:spacing w:val="-8"/>
          <w:w w:val="115"/>
        </w:rPr>
        <w:t> </w:t>
      </w:r>
      <w:r>
        <w:rPr>
          <w:color w:val="383638"/>
          <w:w w:val="115"/>
        </w:rPr>
        <w:t>it</w:t>
      </w:r>
      <w:r>
        <w:rPr>
          <w:color w:val="383638"/>
          <w:spacing w:val="-8"/>
          <w:w w:val="115"/>
        </w:rPr>
        <w:t> </w:t>
      </w:r>
      <w:r>
        <w:rPr>
          <w:color w:val="383638"/>
          <w:w w:val="115"/>
        </w:rPr>
        <w:t>mayhelp</w:t>
      </w:r>
      <w:r>
        <w:rPr>
          <w:color w:val="383638"/>
          <w:spacing w:val="-11"/>
          <w:w w:val="115"/>
        </w:rPr>
        <w:t> </w:t>
      </w:r>
      <w:r>
        <w:rPr>
          <w:color w:val="383638"/>
          <w:w w:val="115"/>
        </w:rPr>
        <w:t>you</w:t>
      </w:r>
      <w:r>
        <w:rPr>
          <w:color w:val="383638"/>
          <w:spacing w:val="-19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-5"/>
          <w:w w:val="115"/>
        </w:rPr>
        <w:t> </w:t>
      </w:r>
      <w:r>
        <w:rPr>
          <w:color w:val="383638"/>
          <w:w w:val="115"/>
        </w:rPr>
        <w:t>win.</w:t>
      </w:r>
    </w:p>
    <w:p>
      <w:pPr>
        <w:pStyle w:val="BodyText"/>
        <w:spacing w:line="235" w:lineRule="auto" w:before="1"/>
        <w:ind w:left="130" w:right="315" w:firstLine="347"/>
        <w:jc w:val="both"/>
      </w:pPr>
      <w:r>
        <w:rPr>
          <w:color w:val="383638"/>
          <w:w w:val="115"/>
        </w:rPr>
        <w:t>Appellate advocacy is about mastery</w:t>
      </w:r>
      <w:r>
        <w:rPr>
          <w:color w:val="565657"/>
          <w:w w:val="115"/>
        </w:rPr>
        <w:t>. </w:t>
      </w:r>
      <w:r>
        <w:rPr>
          <w:color w:val="383638"/>
          <w:w w:val="115"/>
        </w:rPr>
        <w:t>You must master the facts in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the case so that you can research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write effectively. You must master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the law at issue so that you can explain why the law dictates the result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that you seek. Moot court competitions are about demonstrating your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mastery of the </w:t>
      </w:r>
      <w:r>
        <w:rPr>
          <w:color w:val="282426"/>
          <w:w w:val="115"/>
        </w:rPr>
        <w:t>law </w:t>
      </w:r>
      <w:r>
        <w:rPr>
          <w:color w:val="383638"/>
          <w:w w:val="115"/>
        </w:rPr>
        <w:t>and the facts through the vehicles of briefs and oral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arguments.</w:t>
      </w:r>
    </w:p>
    <w:p>
      <w:pPr>
        <w:pStyle w:val="BodyText"/>
        <w:spacing w:line="225" w:lineRule="exact"/>
        <w:ind w:left="494"/>
        <w:jc w:val="both"/>
      </w:pPr>
      <w:r>
        <w:rPr>
          <w:color w:val="383638"/>
          <w:w w:val="110"/>
        </w:rPr>
        <w:t>Like</w:t>
      </w:r>
      <w:r>
        <w:rPr>
          <w:color w:val="383638"/>
          <w:spacing w:val="37"/>
          <w:w w:val="110"/>
        </w:rPr>
        <w:t> </w:t>
      </w:r>
      <w:r>
        <w:rPr>
          <w:color w:val="383638"/>
          <w:w w:val="110"/>
        </w:rPr>
        <w:t>th</w:t>
      </w:r>
      <w:r>
        <w:rPr>
          <w:color w:val="565657"/>
          <w:w w:val="110"/>
        </w:rPr>
        <w:t>e</w:t>
      </w:r>
      <w:r>
        <w:rPr>
          <w:color w:val="565657"/>
          <w:spacing w:val="46"/>
          <w:w w:val="110"/>
        </w:rPr>
        <w:t> </w:t>
      </w:r>
      <w:r>
        <w:rPr>
          <w:color w:val="383638"/>
          <w:w w:val="110"/>
        </w:rPr>
        <w:t>writing</w:t>
      </w:r>
      <w:r>
        <w:rPr>
          <w:color w:val="383638"/>
          <w:spacing w:val="53"/>
          <w:w w:val="110"/>
        </w:rPr>
        <w:t> </w:t>
      </w:r>
      <w:r>
        <w:rPr>
          <w:color w:val="383638"/>
          <w:w w:val="110"/>
        </w:rPr>
        <w:t>process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generally,</w:t>
      </w:r>
      <w:r>
        <w:rPr>
          <w:color w:val="383638"/>
          <w:spacing w:val="38"/>
          <w:w w:val="110"/>
        </w:rPr>
        <w:t> </w:t>
      </w:r>
      <w:r>
        <w:rPr>
          <w:color w:val="383638"/>
          <w:w w:val="110"/>
        </w:rPr>
        <w:t>moot</w:t>
      </w:r>
      <w:r>
        <w:rPr>
          <w:color w:val="383638"/>
          <w:spacing w:val="32"/>
          <w:w w:val="110"/>
        </w:rPr>
        <w:t> </w:t>
      </w:r>
      <w:r>
        <w:rPr>
          <w:color w:val="383638"/>
          <w:w w:val="110"/>
        </w:rPr>
        <w:t>court</w:t>
      </w:r>
      <w:r>
        <w:rPr>
          <w:color w:val="383638"/>
          <w:spacing w:val="28"/>
          <w:w w:val="110"/>
        </w:rPr>
        <w:t> </w:t>
      </w:r>
      <w:r>
        <w:rPr>
          <w:color w:val="383638"/>
          <w:w w:val="110"/>
        </w:rPr>
        <w:t>competitions</w:t>
      </w:r>
      <w:r>
        <w:rPr>
          <w:color w:val="383638"/>
          <w:spacing w:val="46"/>
          <w:w w:val="110"/>
        </w:rPr>
        <w:t> </w:t>
      </w:r>
      <w:r>
        <w:rPr>
          <w:color w:val="383638"/>
          <w:w w:val="110"/>
        </w:rPr>
        <w:t>are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also</w:t>
      </w:r>
    </w:p>
    <w:p>
      <w:pPr>
        <w:pStyle w:val="BodyText"/>
        <w:spacing w:line="228" w:lineRule="auto" w:before="9"/>
        <w:ind w:left="140" w:right="289" w:hanging="7"/>
        <w:jc w:val="both"/>
      </w:pPr>
      <w:r>
        <w:rPr>
          <w:color w:val="383638"/>
          <w:w w:val="115"/>
        </w:rPr>
        <w:t>about</w:t>
      </w:r>
      <w:r>
        <w:rPr>
          <w:color w:val="383638"/>
          <w:spacing w:val="-11"/>
          <w:w w:val="115"/>
        </w:rPr>
        <w:t> </w:t>
      </w:r>
      <w:r>
        <w:rPr>
          <w:color w:val="383638"/>
          <w:w w:val="115"/>
        </w:rPr>
        <w:t>making</w:t>
      </w:r>
      <w:r>
        <w:rPr>
          <w:color w:val="383638"/>
          <w:spacing w:val="-13"/>
          <w:w w:val="115"/>
        </w:rPr>
        <w:t> </w:t>
      </w:r>
      <w:r>
        <w:rPr>
          <w:color w:val="383638"/>
          <w:w w:val="115"/>
        </w:rPr>
        <w:t>decisions.</w:t>
      </w:r>
      <w:r>
        <w:rPr>
          <w:color w:val="383638"/>
          <w:spacing w:val="-10"/>
          <w:w w:val="115"/>
        </w:rPr>
        <w:t> </w:t>
      </w:r>
      <w:r>
        <w:rPr>
          <w:color w:val="383638"/>
          <w:w w:val="115"/>
        </w:rPr>
        <w:t>You</w:t>
      </w:r>
      <w:r>
        <w:rPr>
          <w:color w:val="383638"/>
          <w:spacing w:val="-15"/>
          <w:w w:val="115"/>
        </w:rPr>
        <w:t> </w:t>
      </w:r>
      <w:r>
        <w:rPr>
          <w:color w:val="383638"/>
          <w:w w:val="115"/>
        </w:rPr>
        <w:t>and</w:t>
      </w:r>
      <w:r>
        <w:rPr>
          <w:color w:val="383638"/>
          <w:spacing w:val="48"/>
          <w:w w:val="115"/>
        </w:rPr>
        <w:t> </w:t>
      </w:r>
      <w:r>
        <w:rPr>
          <w:color w:val="383638"/>
          <w:w w:val="115"/>
        </w:rPr>
        <w:t>your</w:t>
      </w:r>
      <w:r>
        <w:rPr>
          <w:color w:val="383638"/>
          <w:spacing w:val="-11"/>
          <w:w w:val="115"/>
        </w:rPr>
        <w:t> </w:t>
      </w:r>
      <w:r>
        <w:rPr>
          <w:color w:val="383638"/>
          <w:w w:val="115"/>
        </w:rPr>
        <w:t>teammate</w:t>
      </w:r>
      <w:r>
        <w:rPr>
          <w:color w:val="565657"/>
          <w:w w:val="115"/>
        </w:rPr>
        <w:t>s</w:t>
      </w:r>
      <w:r>
        <w:rPr>
          <w:color w:val="565657"/>
          <w:spacing w:val="-3"/>
          <w:w w:val="115"/>
        </w:rPr>
        <w:t> </w:t>
      </w:r>
      <w:r>
        <w:rPr>
          <w:color w:val="383638"/>
          <w:w w:val="115"/>
        </w:rPr>
        <w:t>may</w:t>
      </w:r>
      <w:r>
        <w:rPr>
          <w:color w:val="383638"/>
          <w:spacing w:val="-8"/>
          <w:w w:val="115"/>
        </w:rPr>
        <w:t> </w:t>
      </w:r>
      <w:r>
        <w:rPr>
          <w:color w:val="383638"/>
          <w:w w:val="115"/>
        </w:rPr>
        <w:t>be</w:t>
      </w:r>
      <w:r>
        <w:rPr>
          <w:color w:val="383638"/>
          <w:spacing w:val="-10"/>
          <w:w w:val="115"/>
        </w:rPr>
        <w:t> </w:t>
      </w:r>
      <w:r>
        <w:rPr>
          <w:color w:val="383638"/>
          <w:w w:val="115"/>
        </w:rPr>
        <w:t>able</w:t>
      </w:r>
      <w:r>
        <w:rPr>
          <w:color w:val="383638"/>
          <w:spacing w:val="-11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-5"/>
          <w:w w:val="115"/>
        </w:rPr>
        <w:t> </w:t>
      </w:r>
      <w:r>
        <w:rPr>
          <w:color w:val="383638"/>
          <w:w w:val="115"/>
        </w:rPr>
        <w:t>decide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0"/>
        </w:rPr>
        <w:t>which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competition</w:t>
      </w:r>
      <w:r>
        <w:rPr>
          <w:color w:val="383638"/>
          <w:spacing w:val="26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43"/>
          <w:w w:val="110"/>
        </w:rPr>
        <w:t> </w:t>
      </w:r>
      <w:r>
        <w:rPr>
          <w:color w:val="383638"/>
          <w:w w:val="110"/>
        </w:rPr>
        <w:t>join or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which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side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argue.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will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definitely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have</w:t>
      </w:r>
    </w:p>
    <w:p>
      <w:pPr>
        <w:spacing w:after="0" w:line="228" w:lineRule="auto"/>
        <w:jc w:val="both"/>
        <w:sectPr>
          <w:type w:val="continuous"/>
          <w:pgSz w:w="9760" w:h="14040"/>
          <w:pgMar w:header="502" w:footer="0" w:top="340" w:bottom="280" w:left="340" w:right="1360"/>
        </w:sectPr>
      </w:pPr>
    </w:p>
    <w:p>
      <w:pPr>
        <w:pStyle w:val="BodyText"/>
        <w:spacing w:line="232" w:lineRule="auto" w:before="87"/>
        <w:ind w:left="540" w:right="115" w:firstLine="16"/>
        <w:jc w:val="both"/>
      </w:pPr>
      <w:r>
        <w:rPr>
          <w:color w:val="363436"/>
          <w:w w:val="110"/>
        </w:rPr>
        <w:t>Because your goal on  oral argument is to convince the court to adopt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your point of view, you must take pains at every stage of the argument to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impress</w:t>
      </w:r>
      <w:r>
        <w:rPr>
          <w:color w:val="363436"/>
          <w:spacing w:val="5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22"/>
          <w:w w:val="110"/>
        </w:rPr>
        <w:t> </w:t>
      </w:r>
      <w:r>
        <w:rPr>
          <w:color w:val="363436"/>
          <w:w w:val="110"/>
        </w:rPr>
        <w:t>court</w:t>
      </w:r>
      <w:r>
        <w:rPr>
          <w:color w:val="363436"/>
          <w:spacing w:val="-4"/>
          <w:w w:val="110"/>
        </w:rPr>
        <w:t> </w:t>
      </w:r>
      <w:r>
        <w:rPr>
          <w:color w:val="363436"/>
          <w:w w:val="110"/>
        </w:rPr>
        <w:t>with</w:t>
      </w:r>
      <w:r>
        <w:rPr>
          <w:color w:val="363436"/>
          <w:spacing w:val="5"/>
          <w:w w:val="110"/>
        </w:rPr>
        <w:t> </w:t>
      </w:r>
      <w:r>
        <w:rPr>
          <w:color w:val="363436"/>
          <w:w w:val="110"/>
        </w:rPr>
        <w:t>your</w:t>
      </w:r>
      <w:r>
        <w:rPr>
          <w:color w:val="363436"/>
          <w:spacing w:val="-10"/>
          <w:w w:val="110"/>
        </w:rPr>
        <w:t> </w:t>
      </w:r>
      <w:r>
        <w:rPr>
          <w:color w:val="363436"/>
          <w:w w:val="110"/>
        </w:rPr>
        <w:t>credibility</w:t>
      </w:r>
      <w:r>
        <w:rPr>
          <w:color w:val="363436"/>
          <w:spacing w:val="-12"/>
          <w:w w:val="110"/>
        </w:rPr>
        <w:t> </w:t>
      </w:r>
      <w:r>
        <w:rPr>
          <w:color w:val="363436"/>
          <w:w w:val="110"/>
        </w:rPr>
        <w:t>and</w:t>
      </w:r>
      <w:r>
        <w:rPr>
          <w:color w:val="363436"/>
          <w:spacing w:val="24"/>
          <w:w w:val="110"/>
        </w:rPr>
        <w:t> </w:t>
      </w:r>
      <w:r>
        <w:rPr>
          <w:color w:val="363436"/>
          <w:w w:val="110"/>
        </w:rPr>
        <w:t>your</w:t>
      </w:r>
      <w:r>
        <w:rPr>
          <w:color w:val="363436"/>
          <w:spacing w:val="-2"/>
          <w:w w:val="110"/>
        </w:rPr>
        <w:t> </w:t>
      </w:r>
      <w:r>
        <w:rPr>
          <w:color w:val="363436"/>
          <w:w w:val="110"/>
        </w:rPr>
        <w:t>professionalism.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0"/>
        <w:ind w:left="1162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525052"/>
          <w:w w:val="110"/>
          <w:sz w:val="32"/>
        </w:rPr>
        <w:t>13</w:t>
      </w:r>
      <w:r>
        <w:rPr>
          <w:rFonts w:ascii="Arial"/>
          <w:b/>
          <w:color w:val="363436"/>
          <w:w w:val="110"/>
          <w:sz w:val="32"/>
        </w:rPr>
        <w:t>.</w:t>
      </w:r>
      <w:r>
        <w:rPr>
          <w:rFonts w:ascii="Arial"/>
          <w:b/>
          <w:color w:val="525052"/>
          <w:w w:val="110"/>
          <w:sz w:val="32"/>
        </w:rPr>
        <w:t>10</w:t>
      </w:r>
    </w:p>
    <w:p>
      <w:pPr>
        <w:spacing w:before="56"/>
        <w:ind w:left="1163" w:right="0" w:firstLine="0"/>
        <w:jc w:val="left"/>
        <w:rPr>
          <w:b/>
          <w:sz w:val="28"/>
        </w:rPr>
      </w:pPr>
      <w:r>
        <w:rPr>
          <w:b/>
          <w:color w:val="525052"/>
          <w:sz w:val="28"/>
        </w:rPr>
        <w:t>SUMMARY</w:t>
      </w:r>
    </w:p>
    <w:p>
      <w:pPr>
        <w:pStyle w:val="BodyText"/>
        <w:spacing w:line="235" w:lineRule="auto" w:before="247"/>
        <w:ind w:left="542" w:right="137" w:firstLine="623"/>
        <w:jc w:val="both"/>
        <w:rPr>
          <w:sz w:val="22"/>
        </w:rPr>
      </w:pPr>
      <w:r>
        <w:rPr>
          <w:color w:val="363436"/>
          <w:spacing w:val="-1"/>
          <w:w w:val="110"/>
        </w:rPr>
        <w:t>All</w:t>
      </w:r>
      <w:r>
        <w:rPr>
          <w:color w:val="363436"/>
          <w:spacing w:val="-24"/>
          <w:w w:val="110"/>
        </w:rPr>
        <w:t> </w:t>
      </w:r>
      <w:r>
        <w:rPr>
          <w:color w:val="363436"/>
          <w:spacing w:val="-1"/>
          <w:w w:val="110"/>
        </w:rPr>
        <w:t>of</w:t>
      </w:r>
      <w:r>
        <w:rPr>
          <w:color w:val="363436"/>
          <w:spacing w:val="-7"/>
          <w:w w:val="110"/>
        </w:rPr>
        <w:t> </w:t>
      </w:r>
      <w:r>
        <w:rPr>
          <w:color w:val="363436"/>
          <w:spacing w:val="-1"/>
          <w:w w:val="110"/>
        </w:rPr>
        <w:t>this</w:t>
      </w:r>
      <w:r>
        <w:rPr>
          <w:color w:val="363436"/>
          <w:spacing w:val="-25"/>
          <w:w w:val="110"/>
        </w:rPr>
        <w:t> </w:t>
      </w:r>
      <w:r>
        <w:rPr>
          <w:color w:val="363436"/>
          <w:spacing w:val="-1"/>
          <w:w w:val="110"/>
        </w:rPr>
        <w:t>detailed</w:t>
      </w:r>
      <w:r>
        <w:rPr>
          <w:color w:val="363436"/>
          <w:spacing w:val="-8"/>
          <w:w w:val="110"/>
        </w:rPr>
        <w:t> </w:t>
      </w:r>
      <w:r>
        <w:rPr>
          <w:color w:val="363436"/>
          <w:w w:val="110"/>
        </w:rPr>
        <w:t>advice</w:t>
      </w:r>
      <w:r>
        <w:rPr>
          <w:color w:val="363436"/>
          <w:spacing w:val="-15"/>
          <w:w w:val="110"/>
        </w:rPr>
        <w:t> </w:t>
      </w:r>
      <w:r>
        <w:rPr>
          <w:color w:val="363436"/>
          <w:w w:val="110"/>
        </w:rPr>
        <w:t>may</w:t>
      </w:r>
      <w:r>
        <w:rPr>
          <w:color w:val="363436"/>
          <w:spacing w:val="-27"/>
          <w:w w:val="110"/>
        </w:rPr>
        <w:t> </w:t>
      </w:r>
      <w:r>
        <w:rPr>
          <w:color w:val="363436"/>
          <w:w w:val="110"/>
        </w:rPr>
        <w:t>seem</w:t>
      </w:r>
      <w:r>
        <w:rPr>
          <w:color w:val="363436"/>
          <w:spacing w:val="-18"/>
          <w:w w:val="110"/>
        </w:rPr>
        <w:t> </w:t>
      </w:r>
      <w:r>
        <w:rPr>
          <w:color w:val="363436"/>
          <w:w w:val="110"/>
        </w:rPr>
        <w:t>overwhelming</w:t>
      </w:r>
      <w:r>
        <w:rPr>
          <w:color w:val="363436"/>
          <w:spacing w:val="-6"/>
          <w:w w:val="110"/>
        </w:rPr>
        <w:t> </w:t>
      </w:r>
      <w:r>
        <w:rPr>
          <w:color w:val="363436"/>
          <w:w w:val="110"/>
        </w:rPr>
        <w:t>to</w:t>
      </w:r>
      <w:r>
        <w:rPr>
          <w:color w:val="363436"/>
          <w:spacing w:val="8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new</w:t>
      </w:r>
      <w:r>
        <w:rPr>
          <w:color w:val="363436"/>
          <w:spacing w:val="-26"/>
          <w:w w:val="110"/>
        </w:rPr>
        <w:t> </w:t>
      </w:r>
      <w:r>
        <w:rPr>
          <w:color w:val="363436"/>
          <w:w w:val="110"/>
        </w:rPr>
        <w:t>attor­</w:t>
      </w:r>
      <w:r>
        <w:rPr>
          <w:color w:val="363436"/>
          <w:spacing w:val="-61"/>
          <w:w w:val="110"/>
        </w:rPr>
        <w:t> </w:t>
      </w:r>
      <w:r>
        <w:rPr>
          <w:color w:val="363436"/>
          <w:w w:val="110"/>
        </w:rPr>
        <w:t>ney</w:t>
      </w:r>
      <w:r>
        <w:rPr>
          <w:color w:val="525052"/>
          <w:w w:val="110"/>
        </w:rPr>
        <w:t>,</w:t>
      </w:r>
      <w:r>
        <w:rPr>
          <w:color w:val="525052"/>
          <w:spacing w:val="-3"/>
          <w:w w:val="110"/>
        </w:rPr>
        <w:t> </w:t>
      </w:r>
      <w:r>
        <w:rPr>
          <w:color w:val="363436"/>
          <w:w w:val="110"/>
        </w:rPr>
        <w:t>but</w:t>
      </w:r>
      <w:r>
        <w:rPr>
          <w:color w:val="363436"/>
          <w:spacing w:val="27"/>
          <w:w w:val="110"/>
        </w:rPr>
        <w:t> </w:t>
      </w:r>
      <w:r>
        <w:rPr>
          <w:color w:val="363436"/>
          <w:w w:val="110"/>
        </w:rPr>
        <w:t>it</w:t>
      </w:r>
      <w:r>
        <w:rPr>
          <w:color w:val="363436"/>
          <w:spacing w:val="17"/>
          <w:w w:val="110"/>
        </w:rPr>
        <w:t> </w:t>
      </w:r>
      <w:r>
        <w:rPr>
          <w:color w:val="363436"/>
          <w:w w:val="110"/>
        </w:rPr>
        <w:t>really</w:t>
      </w:r>
      <w:r>
        <w:rPr>
          <w:color w:val="363436"/>
          <w:spacing w:val="-17"/>
          <w:w w:val="110"/>
        </w:rPr>
        <w:t> </w:t>
      </w:r>
      <w:r>
        <w:rPr>
          <w:color w:val="363436"/>
          <w:w w:val="110"/>
        </w:rPr>
        <w:t>boils</w:t>
      </w:r>
      <w:r>
        <w:rPr>
          <w:color w:val="363436"/>
          <w:spacing w:val="-25"/>
          <w:w w:val="110"/>
        </w:rPr>
        <w:t> </w:t>
      </w:r>
      <w:r>
        <w:rPr>
          <w:color w:val="363436"/>
          <w:w w:val="110"/>
        </w:rPr>
        <w:t>down to</w:t>
      </w:r>
      <w:r>
        <w:rPr>
          <w:color w:val="363436"/>
          <w:spacing w:val="-2"/>
          <w:w w:val="110"/>
        </w:rPr>
        <w:t> </w:t>
      </w:r>
      <w:r>
        <w:rPr>
          <w:color w:val="363436"/>
          <w:w w:val="110"/>
        </w:rPr>
        <w:t>a</w:t>
      </w:r>
      <w:r>
        <w:rPr>
          <w:color w:val="363436"/>
          <w:spacing w:val="-5"/>
          <w:w w:val="110"/>
        </w:rPr>
        <w:t> </w:t>
      </w:r>
      <w:r>
        <w:rPr>
          <w:color w:val="363436"/>
          <w:w w:val="110"/>
        </w:rPr>
        <w:t>few</w:t>
      </w:r>
      <w:r>
        <w:rPr>
          <w:color w:val="363436"/>
          <w:spacing w:val="-9"/>
          <w:w w:val="110"/>
        </w:rPr>
        <w:t> </w:t>
      </w:r>
      <w:r>
        <w:rPr>
          <w:color w:val="363436"/>
          <w:w w:val="110"/>
        </w:rPr>
        <w:t>points</w:t>
      </w:r>
      <w:r>
        <w:rPr>
          <w:color w:val="525052"/>
          <w:w w:val="110"/>
        </w:rPr>
        <w:t>:</w:t>
      </w:r>
      <w:r>
        <w:rPr>
          <w:color w:val="525052"/>
          <w:spacing w:val="-14"/>
          <w:w w:val="110"/>
        </w:rPr>
        <w:t> </w:t>
      </w:r>
      <w:r>
        <w:rPr>
          <w:color w:val="363436"/>
          <w:w w:val="110"/>
        </w:rPr>
        <w:t>Know</w:t>
      </w:r>
      <w:r>
        <w:rPr>
          <w:color w:val="363436"/>
          <w:spacing w:val="-18"/>
          <w:w w:val="110"/>
        </w:rPr>
        <w:t> </w:t>
      </w:r>
      <w:r>
        <w:rPr>
          <w:color w:val="363436"/>
          <w:w w:val="110"/>
        </w:rPr>
        <w:t>what</w:t>
      </w:r>
      <w:r>
        <w:rPr>
          <w:color w:val="363436"/>
          <w:spacing w:val="-5"/>
          <w:w w:val="110"/>
        </w:rPr>
        <w:t> </w:t>
      </w:r>
      <w:r>
        <w:rPr>
          <w:color w:val="363436"/>
          <w:w w:val="110"/>
        </w:rPr>
        <w:t>you're</w:t>
      </w:r>
      <w:r>
        <w:rPr>
          <w:color w:val="363436"/>
          <w:spacing w:val="-19"/>
          <w:w w:val="110"/>
        </w:rPr>
        <w:t> </w:t>
      </w:r>
      <w:r>
        <w:rPr>
          <w:color w:val="363436"/>
          <w:w w:val="110"/>
        </w:rPr>
        <w:t>asking</w:t>
      </w:r>
      <w:r>
        <w:rPr>
          <w:color w:val="363436"/>
          <w:spacing w:val="-11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-61"/>
          <w:w w:val="110"/>
        </w:rPr>
        <w:t> </w:t>
      </w:r>
      <w:r>
        <w:rPr>
          <w:color w:val="363436"/>
          <w:w w:val="110"/>
        </w:rPr>
        <w:t>court</w:t>
      </w:r>
      <w:r>
        <w:rPr>
          <w:color w:val="363436"/>
          <w:spacing w:val="22"/>
          <w:w w:val="110"/>
        </w:rPr>
        <w:t> </w:t>
      </w:r>
      <w:r>
        <w:rPr>
          <w:color w:val="363436"/>
          <w:w w:val="110"/>
        </w:rPr>
        <w:t>to</w:t>
      </w:r>
      <w:r>
        <w:rPr>
          <w:color w:val="363436"/>
          <w:spacing w:val="25"/>
          <w:w w:val="110"/>
        </w:rPr>
        <w:t> </w:t>
      </w:r>
      <w:r>
        <w:rPr>
          <w:color w:val="363436"/>
          <w:w w:val="110"/>
        </w:rPr>
        <w:t>do</w:t>
      </w:r>
      <w:r>
        <w:rPr>
          <w:color w:val="363436"/>
          <w:spacing w:val="29"/>
          <w:w w:val="110"/>
        </w:rPr>
        <w:t> </w:t>
      </w:r>
      <w:r>
        <w:rPr>
          <w:color w:val="363436"/>
          <w:w w:val="110"/>
        </w:rPr>
        <w:t>and</w:t>
      </w:r>
      <w:r>
        <w:rPr>
          <w:color w:val="363436"/>
          <w:spacing w:val="44"/>
          <w:w w:val="110"/>
        </w:rPr>
        <w:t> </w:t>
      </w:r>
      <w:r>
        <w:rPr>
          <w:color w:val="363436"/>
          <w:w w:val="110"/>
        </w:rPr>
        <w:t>what</w:t>
      </w:r>
      <w:r>
        <w:rPr>
          <w:color w:val="363436"/>
          <w:spacing w:val="25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39"/>
          <w:w w:val="110"/>
        </w:rPr>
        <w:t> </w:t>
      </w:r>
      <w:r>
        <w:rPr>
          <w:color w:val="363436"/>
          <w:w w:val="110"/>
        </w:rPr>
        <w:t>impact</w:t>
      </w:r>
      <w:r>
        <w:rPr>
          <w:color w:val="363436"/>
          <w:spacing w:val="23"/>
          <w:w w:val="110"/>
        </w:rPr>
        <w:t> </w:t>
      </w:r>
      <w:r>
        <w:rPr>
          <w:color w:val="363436"/>
          <w:w w:val="110"/>
        </w:rPr>
        <w:t>of</w:t>
      </w:r>
      <w:r>
        <w:rPr>
          <w:color w:val="363436"/>
          <w:spacing w:val="30"/>
          <w:w w:val="110"/>
        </w:rPr>
        <w:t> </w:t>
      </w:r>
      <w:r>
        <w:rPr>
          <w:color w:val="363436"/>
          <w:w w:val="110"/>
          <w:sz w:val="22"/>
        </w:rPr>
        <w:t>its</w:t>
      </w:r>
      <w:r>
        <w:rPr>
          <w:color w:val="363436"/>
          <w:spacing w:val="50"/>
          <w:w w:val="110"/>
          <w:sz w:val="22"/>
        </w:rPr>
        <w:t> </w:t>
      </w:r>
      <w:r>
        <w:rPr>
          <w:color w:val="363436"/>
          <w:w w:val="110"/>
        </w:rPr>
        <w:t>holding</w:t>
      </w:r>
      <w:r>
        <w:rPr>
          <w:color w:val="363436"/>
          <w:spacing w:val="12"/>
          <w:w w:val="110"/>
        </w:rPr>
        <w:t> </w:t>
      </w:r>
      <w:r>
        <w:rPr>
          <w:color w:val="363436"/>
          <w:w w:val="110"/>
          <w:sz w:val="22"/>
        </w:rPr>
        <w:t>will</w:t>
      </w:r>
      <w:r>
        <w:rPr>
          <w:color w:val="363436"/>
          <w:spacing w:val="22"/>
          <w:w w:val="110"/>
          <w:sz w:val="22"/>
        </w:rPr>
        <w:t> </w:t>
      </w:r>
      <w:r>
        <w:rPr>
          <w:color w:val="363436"/>
          <w:w w:val="110"/>
        </w:rPr>
        <w:t>be</w:t>
      </w:r>
      <w:r>
        <w:rPr>
          <w:color w:val="525052"/>
          <w:w w:val="110"/>
        </w:rPr>
        <w:t>.</w:t>
      </w:r>
      <w:r>
        <w:rPr>
          <w:color w:val="525052"/>
          <w:spacing w:val="35"/>
          <w:w w:val="110"/>
        </w:rPr>
        <w:t> </w:t>
      </w:r>
      <w:r>
        <w:rPr>
          <w:color w:val="363436"/>
          <w:w w:val="110"/>
        </w:rPr>
        <w:t>Know</w:t>
      </w:r>
      <w:r>
        <w:rPr>
          <w:color w:val="363436"/>
          <w:spacing w:val="14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43"/>
          <w:w w:val="110"/>
        </w:rPr>
        <w:t> </w:t>
      </w:r>
      <w:r>
        <w:rPr>
          <w:color w:val="363436"/>
          <w:w w:val="110"/>
          <w:sz w:val="22"/>
        </w:rPr>
        <w:t>facts</w:t>
      </w:r>
    </w:p>
    <w:p>
      <w:pPr>
        <w:pStyle w:val="BodyText"/>
        <w:spacing w:line="235" w:lineRule="auto"/>
        <w:ind w:left="540" w:right="154" w:firstLine="2"/>
        <w:jc w:val="both"/>
      </w:pPr>
      <w:r>
        <w:rPr>
          <w:color w:val="363436"/>
          <w:w w:val="110"/>
        </w:rPr>
        <w:t>and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authorities b</w:t>
      </w:r>
      <w:r>
        <w:rPr>
          <w:color w:val="525052"/>
          <w:w w:val="110"/>
        </w:rPr>
        <w:t>e</w:t>
      </w:r>
      <w:r>
        <w:rPr>
          <w:color w:val="363436"/>
          <w:w w:val="110"/>
        </w:rPr>
        <w:t>hind your case so that you can answer questions about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them</w:t>
      </w:r>
      <w:r>
        <w:rPr>
          <w:color w:val="525052"/>
          <w:w w:val="110"/>
        </w:rPr>
        <w:t>. </w:t>
      </w:r>
      <w:r>
        <w:rPr>
          <w:color w:val="363436"/>
          <w:w w:val="110"/>
        </w:rPr>
        <w:t>Treat the oral argument like a conversation</w:t>
      </w:r>
      <w:r>
        <w:rPr>
          <w:color w:val="525052"/>
          <w:w w:val="110"/>
        </w:rPr>
        <w:t>, </w:t>
      </w:r>
      <w:r>
        <w:rPr>
          <w:color w:val="363436"/>
          <w:w w:val="110"/>
        </w:rPr>
        <w:t>let the court interrupt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you, and be willing to answer all of the court's questions</w:t>
      </w:r>
      <w:r>
        <w:rPr>
          <w:color w:val="525052"/>
          <w:w w:val="110"/>
        </w:rPr>
        <w:t>. </w:t>
      </w:r>
      <w:r>
        <w:rPr>
          <w:color w:val="363436"/>
          <w:w w:val="110"/>
        </w:rPr>
        <w:t>Dress and act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professionally</w:t>
      </w:r>
      <w:r>
        <w:rPr>
          <w:color w:val="525052"/>
          <w:w w:val="110"/>
        </w:rPr>
        <w:t>.</w:t>
      </w:r>
    </w:p>
    <w:p>
      <w:pPr>
        <w:pStyle w:val="BodyText"/>
        <w:spacing w:line="232" w:lineRule="auto" w:before="1"/>
        <w:ind w:left="532" w:right="169" w:firstLine="391"/>
        <w:jc w:val="both"/>
      </w:pPr>
      <w:r>
        <w:rPr>
          <w:color w:val="363436"/>
          <w:w w:val="110"/>
        </w:rPr>
        <w:t>You should also know that the most common remarks I hear after a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law student's first oral argument are: (1) "They didn't even ask me about</w:t>
      </w:r>
      <w:r>
        <w:rPr>
          <w:color w:val="363436"/>
          <w:spacing w:val="1"/>
          <w:w w:val="110"/>
        </w:rPr>
        <w:t> </w:t>
      </w:r>
      <w:r>
        <w:rPr>
          <w:color w:val="363436"/>
          <w:spacing w:val="-1"/>
          <w:w w:val="112"/>
        </w:rPr>
        <w:t>everythin</w:t>
      </w:r>
      <w:r>
        <w:rPr>
          <w:color w:val="363436"/>
          <w:w w:val="112"/>
        </w:rPr>
        <w:t>g</w:t>
      </w:r>
      <w:r>
        <w:rPr>
          <w:color w:val="363436"/>
          <w:spacing w:val="17"/>
        </w:rPr>
        <w:t> </w:t>
      </w:r>
      <w:r>
        <w:rPr>
          <w:color w:val="363436"/>
          <w:w w:val="101"/>
        </w:rPr>
        <w:t>I</w:t>
      </w:r>
      <w:r>
        <w:rPr>
          <w:color w:val="363436"/>
          <w:spacing w:val="3"/>
        </w:rPr>
        <w:t> </w:t>
      </w:r>
      <w:r>
        <w:rPr>
          <w:color w:val="363436"/>
          <w:w w:val="105"/>
        </w:rPr>
        <w:t>know!</w:t>
      </w:r>
      <w:r>
        <w:rPr>
          <w:rFonts w:ascii="Arial"/>
          <w:color w:val="363436"/>
          <w:spacing w:val="-1"/>
          <w:w w:val="105"/>
          <w:position w:val="9"/>
          <w:sz w:val="10"/>
        </w:rPr>
        <w:t>1</w:t>
      </w:r>
      <w:r>
        <w:rPr>
          <w:rFonts w:ascii="Arial"/>
          <w:color w:val="363436"/>
          <w:w w:val="105"/>
          <w:position w:val="9"/>
          <w:sz w:val="10"/>
        </w:rPr>
        <w:t>1</w:t>
      </w:r>
      <w:r>
        <w:rPr>
          <w:rFonts w:ascii="Arial"/>
          <w:color w:val="363436"/>
          <w:position w:val="9"/>
          <w:sz w:val="10"/>
        </w:rPr>
        <w:t> </w:t>
      </w:r>
      <w:r>
        <w:rPr>
          <w:rFonts w:ascii="Arial"/>
          <w:color w:val="363436"/>
          <w:spacing w:val="-9"/>
          <w:position w:val="9"/>
          <w:sz w:val="10"/>
        </w:rPr>
        <w:t> </w:t>
      </w:r>
      <w:r>
        <w:rPr>
          <w:color w:val="363436"/>
          <w:spacing w:val="-1"/>
          <w:w w:val="105"/>
        </w:rPr>
        <w:t>an</w:t>
      </w:r>
      <w:r>
        <w:rPr>
          <w:color w:val="363436"/>
          <w:w w:val="105"/>
        </w:rPr>
        <w:t>d</w:t>
      </w:r>
      <w:r>
        <w:rPr>
          <w:color w:val="363436"/>
        </w:rPr>
        <w:t> </w:t>
      </w:r>
      <w:r>
        <w:rPr>
          <w:color w:val="363436"/>
          <w:spacing w:val="-13"/>
        </w:rPr>
        <w:t> </w:t>
      </w:r>
      <w:r>
        <w:rPr>
          <w:color w:val="363436"/>
          <w:w w:val="106"/>
        </w:rPr>
        <w:t>(2)</w:t>
      </w:r>
      <w:r>
        <w:rPr>
          <w:color w:val="363436"/>
          <w:spacing w:val="-12"/>
        </w:rPr>
        <w:t> </w:t>
      </w:r>
      <w:r>
        <w:rPr>
          <w:color w:val="363436"/>
          <w:spacing w:val="-1"/>
          <w:w w:val="106"/>
        </w:rPr>
        <w:t>"</w:t>
      </w:r>
      <w:r>
        <w:rPr>
          <w:color w:val="363436"/>
          <w:w w:val="106"/>
        </w:rPr>
        <w:t>I</w:t>
      </w:r>
      <w:r>
        <w:rPr>
          <w:color w:val="363436"/>
          <w:spacing w:val="15"/>
        </w:rPr>
        <w:t> </w:t>
      </w:r>
      <w:r>
        <w:rPr>
          <w:color w:val="363436"/>
          <w:spacing w:val="-1"/>
          <w:w w:val="114"/>
        </w:rPr>
        <w:t>wan</w:t>
      </w:r>
      <w:r>
        <w:rPr>
          <w:color w:val="363436"/>
          <w:w w:val="114"/>
        </w:rPr>
        <w:t>t</w:t>
      </w:r>
      <w:r>
        <w:rPr>
          <w:color w:val="363436"/>
          <w:spacing w:val="-2"/>
        </w:rPr>
        <w:t> </w:t>
      </w:r>
      <w:r>
        <w:rPr>
          <w:color w:val="363436"/>
          <w:spacing w:val="-1"/>
          <w:w w:val="114"/>
        </w:rPr>
        <w:t>t</w:t>
      </w:r>
      <w:r>
        <w:rPr>
          <w:color w:val="363436"/>
          <w:w w:val="114"/>
        </w:rPr>
        <w:t>o</w:t>
      </w:r>
      <w:r>
        <w:rPr>
          <w:color w:val="363436"/>
          <w:spacing w:val="12"/>
        </w:rPr>
        <w:t> </w:t>
      </w:r>
      <w:r>
        <w:rPr>
          <w:color w:val="363436"/>
          <w:w w:val="114"/>
        </w:rPr>
        <w:t>do</w:t>
      </w:r>
      <w:r>
        <w:rPr>
          <w:color w:val="363436"/>
          <w:spacing w:val="2"/>
        </w:rPr>
        <w:t> </w:t>
      </w:r>
      <w:r>
        <w:rPr>
          <w:color w:val="363436"/>
          <w:spacing w:val="-1"/>
          <w:w w:val="124"/>
        </w:rPr>
        <w:t>tha</w:t>
      </w:r>
      <w:r>
        <w:rPr>
          <w:color w:val="363436"/>
          <w:w w:val="124"/>
        </w:rPr>
        <w:t>t</w:t>
      </w:r>
      <w:r>
        <w:rPr>
          <w:color w:val="363436"/>
          <w:spacing w:val="-10"/>
        </w:rPr>
        <w:t> </w:t>
      </w:r>
      <w:r>
        <w:rPr>
          <w:color w:val="363436"/>
          <w:spacing w:val="-1"/>
          <w:w w:val="113"/>
        </w:rPr>
        <w:t>a</w:t>
      </w:r>
      <w:r>
        <w:rPr>
          <w:color w:val="363436"/>
          <w:w w:val="113"/>
        </w:rPr>
        <w:t>g</w:t>
      </w:r>
      <w:r>
        <w:rPr>
          <w:color w:val="363436"/>
          <w:spacing w:val="-1"/>
          <w:w w:val="113"/>
        </w:rPr>
        <w:t>ai</w:t>
      </w:r>
      <w:r>
        <w:rPr>
          <w:color w:val="363436"/>
          <w:w w:val="113"/>
        </w:rPr>
        <w:t>n</w:t>
      </w:r>
      <w:r>
        <w:rPr>
          <w:color w:val="525052"/>
          <w:w w:val="113"/>
        </w:rPr>
        <w:t>.</w:t>
      </w:r>
      <w:r>
        <w:rPr>
          <w:color w:val="363436"/>
          <w:w w:val="113"/>
        </w:rPr>
        <w:t>"</w:t>
      </w:r>
    </w:p>
    <w:p>
      <w:pPr>
        <w:pStyle w:val="BodyText"/>
        <w:spacing w:line="259" w:lineRule="exact"/>
        <w:ind w:left="914"/>
        <w:jc w:val="both"/>
      </w:pPr>
      <w:r>
        <w:rPr>
          <w:color w:val="363436"/>
          <w:w w:val="105"/>
        </w:rPr>
        <w:t>You'll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do</w:t>
      </w:r>
      <w:r>
        <w:rPr>
          <w:color w:val="363436"/>
          <w:spacing w:val="26"/>
          <w:w w:val="105"/>
        </w:rPr>
        <w:t> </w:t>
      </w:r>
      <w:r>
        <w:rPr>
          <w:color w:val="363436"/>
          <w:w w:val="105"/>
        </w:rPr>
        <w:t>fine.</w:t>
      </w:r>
    </w:p>
    <w:p>
      <w:pPr>
        <w:spacing w:after="0" w:line="259" w:lineRule="exact"/>
        <w:jc w:val="both"/>
        <w:sectPr>
          <w:headerReference w:type="even" r:id="rId351"/>
          <w:headerReference w:type="default" r:id="rId352"/>
          <w:pgSz w:w="9540" w:h="14050"/>
          <w:pgMar w:header="540" w:footer="0" w:top="1120" w:bottom="0" w:left="1320" w:right="100"/>
        </w:sectPr>
      </w:pPr>
    </w:p>
    <w:p>
      <w:pPr>
        <w:pStyle w:val="Heading1"/>
        <w:ind w:left="225"/>
      </w:pPr>
      <w:r>
        <w:rPr>
          <w:color w:val="383636"/>
          <w:spacing w:val="-78"/>
          <w:w w:val="95"/>
        </w:rPr>
        <w:t>I</w:t>
      </w:r>
      <w:r>
        <w:rPr>
          <w:color w:val="282426"/>
          <w:spacing w:val="-78"/>
          <w:w w:val="95"/>
          <w:vertAlign w:val="subscript"/>
        </w:rPr>
        <w:t>,</w:t>
      </w:r>
    </w:p>
    <w:p>
      <w:pPr>
        <w:spacing w:line="474" w:lineRule="exact" w:before="0"/>
        <w:ind w:left="224" w:right="0" w:firstLine="0"/>
        <w:jc w:val="left"/>
        <w:rPr>
          <w:sz w:val="51"/>
        </w:rPr>
      </w:pPr>
      <w:r>
        <w:rPr>
          <w:color w:val="383636"/>
          <w:w w:val="70"/>
          <w:sz w:val="51"/>
        </w:rPr>
        <w:t>..</w:t>
      </w:r>
    </w:p>
    <w:p>
      <w:pPr>
        <w:spacing w:line="425" w:lineRule="exact" w:before="0"/>
        <w:ind w:left="228" w:right="0" w:firstLine="0"/>
        <w:jc w:val="left"/>
        <w:rPr>
          <w:sz w:val="40"/>
        </w:rPr>
      </w:pPr>
      <w:r>
        <w:rPr>
          <w:color w:val="383636"/>
          <w:spacing w:val="-36"/>
          <w:w w:val="75"/>
          <w:position w:val="6"/>
          <w:sz w:val="36"/>
        </w:rPr>
        <w:t>t</w:t>
      </w:r>
      <w:r>
        <w:rPr>
          <w:color w:val="383636"/>
          <w:spacing w:val="-36"/>
          <w:w w:val="75"/>
          <w:sz w:val="40"/>
        </w:rPr>
        <w:t>.</w:t>
      </w:r>
      <w:r>
        <w:rPr>
          <w:color w:val="383636"/>
          <w:spacing w:val="-36"/>
          <w:w w:val="75"/>
          <w:position w:val="15"/>
          <w:sz w:val="33"/>
        </w:rPr>
        <w:t>"</w:t>
      </w:r>
      <w:r>
        <w:rPr>
          <w:color w:val="383636"/>
          <w:spacing w:val="-36"/>
          <w:w w:val="75"/>
          <w:sz w:val="40"/>
        </w:rPr>
        <w:t>,</w:t>
      </w:r>
    </w:p>
    <w:p>
      <w:pPr>
        <w:pStyle w:val="Heading8"/>
        <w:spacing w:line="378" w:lineRule="exact"/>
        <w:ind w:left="199"/>
      </w:pPr>
      <w:r>
        <w:rPr>
          <w:color w:val="383636"/>
          <w:w w:val="101"/>
        </w:rPr>
        <w:t>0</w:t>
      </w:r>
    </w:p>
    <w:p>
      <w:pPr>
        <w:spacing w:line="240" w:lineRule="auto" w:before="0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pStyle w:val="BodyText"/>
        <w:rPr>
          <w:sz w:val="44"/>
        </w:rPr>
      </w:pPr>
    </w:p>
    <w:p>
      <w:pPr>
        <w:pStyle w:val="BodyText"/>
        <w:spacing w:before="4"/>
        <w:rPr>
          <w:sz w:val="47"/>
        </w:rPr>
      </w:pPr>
    </w:p>
    <w:p>
      <w:pPr>
        <w:pStyle w:val="Heading4"/>
        <w:ind w:left="199"/>
      </w:pPr>
      <w:r>
        <w:rPr>
          <w:color w:val="504F52"/>
          <w:w w:val="110"/>
        </w:rPr>
        <w:t>MOO</w:t>
      </w:r>
      <w:r>
        <w:rPr>
          <w:color w:val="383636"/>
          <w:w w:val="110"/>
        </w:rPr>
        <w:t>T C</w:t>
      </w:r>
      <w:r>
        <w:rPr>
          <w:color w:val="504F52"/>
          <w:w w:val="110"/>
        </w:rPr>
        <w:t>OUR</w:t>
      </w:r>
      <w:r>
        <w:rPr>
          <w:color w:val="383636"/>
          <w:w w:val="110"/>
        </w:rPr>
        <w:t>T</w:t>
      </w:r>
      <w:r>
        <w:rPr>
          <w:color w:val="383636"/>
          <w:spacing w:val="2"/>
          <w:w w:val="110"/>
        </w:rPr>
        <w:t> </w:t>
      </w:r>
      <w:r>
        <w:rPr>
          <w:color w:val="383636"/>
          <w:w w:val="110"/>
        </w:rPr>
        <w:t>C</w:t>
      </w:r>
      <w:r>
        <w:rPr>
          <w:color w:val="504F52"/>
          <w:w w:val="110"/>
        </w:rPr>
        <w:t>OMPE</w:t>
      </w:r>
      <w:r>
        <w:rPr>
          <w:color w:val="383636"/>
          <w:w w:val="110"/>
        </w:rPr>
        <w:t>TIT</w:t>
      </w:r>
      <w:r>
        <w:rPr>
          <w:color w:val="504F52"/>
          <w:w w:val="110"/>
        </w:rPr>
        <w:t>ION</w:t>
      </w:r>
      <w:r>
        <w:rPr>
          <w:color w:val="383636"/>
          <w:w w:val="110"/>
        </w:rPr>
        <w:t>S</w:t>
      </w:r>
    </w:p>
    <w:p>
      <w:pPr>
        <w:pStyle w:val="BodyText"/>
        <w:spacing w:before="6"/>
        <w:rPr>
          <w:rFonts w:ascii="Arial"/>
          <w:b/>
          <w:sz w:val="57"/>
        </w:rPr>
      </w:pPr>
    </w:p>
    <w:p>
      <w:pPr>
        <w:pStyle w:val="ListParagraph"/>
        <w:numPr>
          <w:ilvl w:val="1"/>
          <w:numId w:val="115"/>
        </w:numPr>
        <w:tabs>
          <w:tab w:pos="848" w:val="left" w:leader="none"/>
        </w:tabs>
        <w:spacing w:line="242" w:lineRule="exact" w:before="0" w:after="0"/>
        <w:ind w:left="847" w:right="0" w:hanging="599"/>
        <w:jc w:val="left"/>
        <w:rPr>
          <w:rFonts w:ascii="Arial"/>
          <w:b/>
          <w:color w:val="383636"/>
          <w:sz w:val="21"/>
        </w:rPr>
      </w:pPr>
      <w:r>
        <w:rPr>
          <w:color w:val="383636"/>
          <w:w w:val="110"/>
          <w:sz w:val="21"/>
        </w:rPr>
        <w:t>Typical</w:t>
      </w:r>
      <w:r>
        <w:rPr>
          <w:color w:val="383636"/>
          <w:spacing w:val="-10"/>
          <w:w w:val="110"/>
          <w:sz w:val="21"/>
        </w:rPr>
        <w:t> </w:t>
      </w:r>
      <w:r>
        <w:rPr>
          <w:color w:val="383636"/>
          <w:w w:val="110"/>
          <w:sz w:val="21"/>
        </w:rPr>
        <w:t>Competition Requirements</w:t>
      </w:r>
    </w:p>
    <w:p>
      <w:pPr>
        <w:pStyle w:val="ListParagraph"/>
        <w:numPr>
          <w:ilvl w:val="1"/>
          <w:numId w:val="115"/>
        </w:numPr>
        <w:tabs>
          <w:tab w:pos="861" w:val="left" w:leader="none"/>
        </w:tabs>
        <w:spacing w:line="240" w:lineRule="auto" w:before="0" w:after="0"/>
        <w:ind w:left="856" w:right="2514" w:hanging="607"/>
        <w:jc w:val="left"/>
        <w:rPr>
          <w:rFonts w:ascii="Arial"/>
          <w:b/>
          <w:color w:val="383636"/>
          <w:sz w:val="21"/>
        </w:rPr>
      </w:pPr>
      <w:r>
        <w:rPr>
          <w:color w:val="383636"/>
          <w:spacing w:val="-1"/>
          <w:w w:val="110"/>
          <w:sz w:val="21"/>
        </w:rPr>
        <w:t>Differences Between Moot Court Competitions</w:t>
      </w:r>
      <w:r>
        <w:rPr>
          <w:color w:val="383636"/>
          <w:spacing w:val="-55"/>
          <w:w w:val="110"/>
          <w:sz w:val="21"/>
        </w:rPr>
        <w:t> </w:t>
      </w:r>
      <w:r>
        <w:rPr>
          <w:color w:val="383636"/>
          <w:w w:val="110"/>
          <w:sz w:val="21"/>
        </w:rPr>
        <w:t>and</w:t>
      </w:r>
      <w:r>
        <w:rPr>
          <w:color w:val="383636"/>
          <w:spacing w:val="8"/>
          <w:w w:val="110"/>
          <w:sz w:val="21"/>
        </w:rPr>
        <w:t> </w:t>
      </w:r>
      <w:r>
        <w:rPr>
          <w:color w:val="383636"/>
          <w:w w:val="110"/>
          <w:sz w:val="21"/>
        </w:rPr>
        <w:t>"Real</w:t>
      </w:r>
      <w:r>
        <w:rPr>
          <w:color w:val="383636"/>
          <w:spacing w:val="-1"/>
          <w:w w:val="110"/>
          <w:sz w:val="21"/>
        </w:rPr>
        <w:t> </w:t>
      </w:r>
      <w:r>
        <w:rPr>
          <w:color w:val="383636"/>
          <w:w w:val="110"/>
          <w:sz w:val="21"/>
        </w:rPr>
        <w:t>Life"</w:t>
      </w:r>
    </w:p>
    <w:p>
      <w:pPr>
        <w:pStyle w:val="ListParagraph"/>
        <w:numPr>
          <w:ilvl w:val="1"/>
          <w:numId w:val="115"/>
        </w:numPr>
        <w:tabs>
          <w:tab w:pos="857" w:val="left" w:leader="none"/>
        </w:tabs>
        <w:spacing w:line="239" w:lineRule="exact" w:before="0" w:after="0"/>
        <w:ind w:left="856" w:right="0" w:hanging="608"/>
        <w:jc w:val="left"/>
        <w:rPr>
          <w:rFonts w:ascii="Arial"/>
          <w:b/>
          <w:color w:val="383636"/>
          <w:sz w:val="21"/>
        </w:rPr>
      </w:pPr>
      <w:r>
        <w:rPr>
          <w:color w:val="383636"/>
          <w:w w:val="105"/>
          <w:sz w:val="21"/>
        </w:rPr>
        <w:t>Choosing</w:t>
      </w:r>
      <w:r>
        <w:rPr>
          <w:color w:val="383636"/>
          <w:spacing w:val="3"/>
          <w:w w:val="105"/>
          <w:sz w:val="21"/>
        </w:rPr>
        <w:t> </w:t>
      </w:r>
      <w:r>
        <w:rPr>
          <w:color w:val="383636"/>
          <w:w w:val="105"/>
          <w:sz w:val="21"/>
        </w:rPr>
        <w:t>Which</w:t>
      </w:r>
      <w:r>
        <w:rPr>
          <w:color w:val="383636"/>
          <w:spacing w:val="1"/>
          <w:w w:val="105"/>
          <w:sz w:val="21"/>
        </w:rPr>
        <w:t> </w:t>
      </w:r>
      <w:r>
        <w:rPr>
          <w:color w:val="383636"/>
          <w:w w:val="105"/>
          <w:sz w:val="21"/>
        </w:rPr>
        <w:t>Side</w:t>
      </w:r>
      <w:r>
        <w:rPr>
          <w:color w:val="383636"/>
          <w:spacing w:val="4"/>
          <w:w w:val="105"/>
          <w:sz w:val="21"/>
        </w:rPr>
        <w:t> </w:t>
      </w:r>
      <w:r>
        <w:rPr>
          <w:color w:val="383636"/>
          <w:w w:val="105"/>
          <w:sz w:val="21"/>
        </w:rPr>
        <w:t>to</w:t>
      </w:r>
      <w:r>
        <w:rPr>
          <w:color w:val="383636"/>
          <w:spacing w:val="36"/>
          <w:w w:val="105"/>
          <w:sz w:val="21"/>
        </w:rPr>
        <w:t> </w:t>
      </w:r>
      <w:r>
        <w:rPr>
          <w:color w:val="383636"/>
          <w:w w:val="105"/>
          <w:sz w:val="21"/>
        </w:rPr>
        <w:t>Brief</w:t>
      </w:r>
    </w:p>
    <w:p>
      <w:pPr>
        <w:pStyle w:val="ListParagraph"/>
        <w:numPr>
          <w:ilvl w:val="1"/>
          <w:numId w:val="115"/>
        </w:numPr>
        <w:tabs>
          <w:tab w:pos="861" w:val="left" w:leader="none"/>
        </w:tabs>
        <w:spacing w:line="241" w:lineRule="exact" w:before="0" w:after="0"/>
        <w:ind w:left="860" w:right="0" w:hanging="612"/>
        <w:jc w:val="left"/>
        <w:rPr>
          <w:rFonts w:ascii="Arial"/>
          <w:b/>
          <w:color w:val="383636"/>
          <w:sz w:val="21"/>
        </w:rPr>
      </w:pPr>
      <w:r>
        <w:rPr>
          <w:color w:val="383636"/>
          <w:w w:val="105"/>
          <w:sz w:val="21"/>
        </w:rPr>
        <w:t>Writing</w:t>
      </w:r>
      <w:r>
        <w:rPr>
          <w:color w:val="383636"/>
          <w:spacing w:val="-1"/>
          <w:w w:val="105"/>
          <w:sz w:val="21"/>
        </w:rPr>
        <w:t> </w:t>
      </w:r>
      <w:r>
        <w:rPr>
          <w:color w:val="383636"/>
          <w:w w:val="105"/>
          <w:sz w:val="21"/>
        </w:rPr>
        <w:t>the</w:t>
      </w:r>
      <w:r>
        <w:rPr>
          <w:color w:val="383636"/>
          <w:spacing w:val="21"/>
          <w:w w:val="105"/>
          <w:sz w:val="21"/>
        </w:rPr>
        <w:t> </w:t>
      </w:r>
      <w:r>
        <w:rPr>
          <w:color w:val="383636"/>
          <w:w w:val="105"/>
          <w:sz w:val="21"/>
        </w:rPr>
        <w:t>Brief</w:t>
      </w:r>
    </w:p>
    <w:p>
      <w:pPr>
        <w:pStyle w:val="ListParagraph"/>
        <w:numPr>
          <w:ilvl w:val="2"/>
          <w:numId w:val="115"/>
        </w:numPr>
        <w:tabs>
          <w:tab w:pos="1766" w:val="left" w:leader="none"/>
          <w:tab w:pos="1767" w:val="left" w:leader="none"/>
        </w:tabs>
        <w:spacing w:line="236" w:lineRule="exact" w:before="0" w:after="0"/>
        <w:ind w:left="1766" w:right="0" w:hanging="901"/>
        <w:jc w:val="left"/>
        <w:rPr>
          <w:rFonts w:ascii="Arial"/>
          <w:b/>
          <w:color w:val="383636"/>
          <w:sz w:val="21"/>
        </w:rPr>
      </w:pPr>
      <w:r>
        <w:rPr>
          <w:color w:val="383636"/>
          <w:sz w:val="21"/>
        </w:rPr>
        <w:t>Dividing</w:t>
      </w:r>
      <w:r>
        <w:rPr>
          <w:color w:val="383636"/>
          <w:spacing w:val="19"/>
          <w:sz w:val="21"/>
        </w:rPr>
        <w:t> </w:t>
      </w:r>
      <w:r>
        <w:rPr>
          <w:color w:val="383636"/>
          <w:sz w:val="21"/>
        </w:rPr>
        <w:t>Up</w:t>
      </w:r>
      <w:r>
        <w:rPr>
          <w:color w:val="383636"/>
          <w:spacing w:val="-11"/>
          <w:sz w:val="21"/>
        </w:rPr>
        <w:t> </w:t>
      </w:r>
      <w:r>
        <w:rPr>
          <w:color w:val="383636"/>
          <w:sz w:val="21"/>
        </w:rPr>
        <w:t>the</w:t>
      </w:r>
      <w:r>
        <w:rPr>
          <w:color w:val="383636"/>
          <w:spacing w:val="25"/>
          <w:sz w:val="21"/>
        </w:rPr>
        <w:t> </w:t>
      </w:r>
      <w:r>
        <w:rPr>
          <w:color w:val="383636"/>
          <w:sz w:val="21"/>
        </w:rPr>
        <w:t>Work</w:t>
      </w:r>
    </w:p>
    <w:p>
      <w:pPr>
        <w:pStyle w:val="ListParagraph"/>
        <w:numPr>
          <w:ilvl w:val="2"/>
          <w:numId w:val="115"/>
        </w:numPr>
        <w:tabs>
          <w:tab w:pos="1752" w:val="left" w:leader="none"/>
          <w:tab w:pos="1753" w:val="left" w:leader="none"/>
        </w:tabs>
        <w:spacing w:line="236" w:lineRule="exact" w:before="0" w:after="0"/>
        <w:ind w:left="1752" w:right="0" w:hanging="896"/>
        <w:jc w:val="left"/>
        <w:rPr>
          <w:rFonts w:ascii="Arial"/>
          <w:b/>
          <w:color w:val="383636"/>
          <w:sz w:val="20"/>
        </w:rPr>
      </w:pPr>
      <w:r>
        <w:rPr>
          <w:color w:val="383636"/>
          <w:sz w:val="21"/>
        </w:rPr>
        <w:t>Critiquing</w:t>
      </w:r>
      <w:r>
        <w:rPr>
          <w:color w:val="383636"/>
          <w:spacing w:val="21"/>
          <w:sz w:val="21"/>
        </w:rPr>
        <w:t> </w:t>
      </w:r>
      <w:r>
        <w:rPr>
          <w:color w:val="383636"/>
          <w:sz w:val="21"/>
        </w:rPr>
        <w:t>Your</w:t>
      </w:r>
      <w:r>
        <w:rPr>
          <w:color w:val="383636"/>
          <w:spacing w:val="-6"/>
          <w:sz w:val="21"/>
        </w:rPr>
        <w:t> </w:t>
      </w:r>
      <w:r>
        <w:rPr>
          <w:color w:val="383636"/>
          <w:sz w:val="21"/>
        </w:rPr>
        <w:t>Teammates'</w:t>
      </w:r>
      <w:r>
        <w:rPr>
          <w:color w:val="383636"/>
          <w:spacing w:val="21"/>
          <w:sz w:val="21"/>
        </w:rPr>
        <w:t> </w:t>
      </w:r>
      <w:r>
        <w:rPr>
          <w:color w:val="383636"/>
          <w:sz w:val="21"/>
        </w:rPr>
        <w:t>Work</w:t>
      </w:r>
    </w:p>
    <w:p>
      <w:pPr>
        <w:pStyle w:val="ListParagraph"/>
        <w:numPr>
          <w:ilvl w:val="2"/>
          <w:numId w:val="115"/>
        </w:numPr>
        <w:tabs>
          <w:tab w:pos="1766" w:val="left" w:leader="none"/>
          <w:tab w:pos="1767" w:val="left" w:leader="none"/>
        </w:tabs>
        <w:spacing w:line="240" w:lineRule="exact" w:before="0" w:after="0"/>
        <w:ind w:left="1766" w:right="0" w:hanging="910"/>
        <w:jc w:val="left"/>
        <w:rPr>
          <w:rFonts w:ascii="Arial"/>
          <w:b/>
          <w:color w:val="383636"/>
          <w:sz w:val="20"/>
        </w:rPr>
      </w:pPr>
      <w:r>
        <w:rPr>
          <w:color w:val="383636"/>
          <w:sz w:val="21"/>
        </w:rPr>
        <w:t>Polishing</w:t>
      </w:r>
      <w:r>
        <w:rPr>
          <w:color w:val="383636"/>
          <w:spacing w:val="-4"/>
          <w:sz w:val="21"/>
        </w:rPr>
        <w:t> </w:t>
      </w:r>
      <w:r>
        <w:rPr>
          <w:color w:val="383636"/>
          <w:sz w:val="21"/>
        </w:rPr>
        <w:t>the</w:t>
      </w:r>
      <w:r>
        <w:rPr>
          <w:color w:val="383636"/>
          <w:spacing w:val="25"/>
          <w:sz w:val="21"/>
        </w:rPr>
        <w:t> </w:t>
      </w:r>
      <w:r>
        <w:rPr>
          <w:color w:val="383636"/>
          <w:sz w:val="21"/>
        </w:rPr>
        <w:t>Brief</w:t>
      </w:r>
    </w:p>
    <w:p>
      <w:pPr>
        <w:pStyle w:val="ListParagraph"/>
        <w:numPr>
          <w:ilvl w:val="1"/>
          <w:numId w:val="115"/>
        </w:numPr>
        <w:tabs>
          <w:tab w:pos="870" w:val="left" w:leader="none"/>
          <w:tab w:pos="871" w:val="left" w:leader="none"/>
        </w:tabs>
        <w:spacing w:line="236" w:lineRule="exact" w:before="0" w:after="0"/>
        <w:ind w:left="870" w:right="0" w:hanging="622"/>
        <w:jc w:val="left"/>
        <w:rPr>
          <w:rFonts w:ascii="Arial"/>
          <w:b/>
          <w:color w:val="282426"/>
          <w:sz w:val="21"/>
        </w:rPr>
      </w:pPr>
      <w:r>
        <w:rPr>
          <w:color w:val="383636"/>
          <w:w w:val="105"/>
          <w:sz w:val="21"/>
        </w:rPr>
        <w:t>Practice</w:t>
      </w:r>
      <w:r>
        <w:rPr>
          <w:color w:val="383636"/>
          <w:spacing w:val="1"/>
          <w:w w:val="105"/>
          <w:sz w:val="21"/>
        </w:rPr>
        <w:t> </w:t>
      </w:r>
      <w:r>
        <w:rPr>
          <w:color w:val="383636"/>
          <w:w w:val="105"/>
          <w:sz w:val="21"/>
        </w:rPr>
        <w:t>Arguments</w:t>
      </w:r>
    </w:p>
    <w:p>
      <w:pPr>
        <w:pStyle w:val="ListParagraph"/>
        <w:numPr>
          <w:ilvl w:val="2"/>
          <w:numId w:val="115"/>
        </w:numPr>
        <w:tabs>
          <w:tab w:pos="1754" w:val="left" w:leader="none"/>
          <w:tab w:pos="1755" w:val="left" w:leader="none"/>
        </w:tabs>
        <w:spacing w:line="236" w:lineRule="exact" w:before="0" w:after="0"/>
        <w:ind w:left="1754" w:right="0" w:hanging="888"/>
        <w:jc w:val="left"/>
        <w:rPr>
          <w:rFonts w:ascii="Arial"/>
          <w:b/>
          <w:color w:val="282426"/>
          <w:sz w:val="20"/>
        </w:rPr>
      </w:pPr>
      <w:r>
        <w:rPr>
          <w:color w:val="383636"/>
          <w:w w:val="105"/>
          <w:sz w:val="21"/>
        </w:rPr>
        <w:t>The</w:t>
      </w:r>
      <w:r>
        <w:rPr>
          <w:color w:val="383636"/>
          <w:spacing w:val="6"/>
          <w:w w:val="105"/>
          <w:sz w:val="21"/>
        </w:rPr>
        <w:t> </w:t>
      </w:r>
      <w:r>
        <w:rPr>
          <w:color w:val="383636"/>
          <w:w w:val="105"/>
          <w:sz w:val="21"/>
        </w:rPr>
        <w:t>Introduction</w:t>
      </w:r>
    </w:p>
    <w:p>
      <w:pPr>
        <w:pStyle w:val="ListParagraph"/>
        <w:numPr>
          <w:ilvl w:val="2"/>
          <w:numId w:val="115"/>
        </w:numPr>
        <w:tabs>
          <w:tab w:pos="1766" w:val="left" w:leader="none"/>
          <w:tab w:pos="1767" w:val="left" w:leader="none"/>
        </w:tabs>
        <w:spacing w:line="241" w:lineRule="exact" w:before="0" w:after="0"/>
        <w:ind w:left="1766" w:right="0" w:hanging="900"/>
        <w:jc w:val="left"/>
        <w:rPr>
          <w:rFonts w:ascii="Arial"/>
          <w:b/>
          <w:color w:val="383636"/>
          <w:sz w:val="20"/>
        </w:rPr>
      </w:pPr>
      <w:r>
        <w:rPr>
          <w:color w:val="383636"/>
          <w:sz w:val="21"/>
        </w:rPr>
        <w:t>Planning</w:t>
      </w:r>
      <w:r>
        <w:rPr>
          <w:color w:val="383636"/>
          <w:spacing w:val="18"/>
          <w:sz w:val="21"/>
        </w:rPr>
        <w:t> </w:t>
      </w:r>
      <w:r>
        <w:rPr>
          <w:color w:val="383636"/>
          <w:sz w:val="21"/>
        </w:rPr>
        <w:t>for</w:t>
      </w:r>
      <w:r>
        <w:rPr>
          <w:color w:val="383636"/>
          <w:spacing w:val="7"/>
          <w:sz w:val="21"/>
        </w:rPr>
        <w:t> </w:t>
      </w:r>
      <w:r>
        <w:rPr>
          <w:color w:val="383636"/>
          <w:sz w:val="21"/>
        </w:rPr>
        <w:t>Awkward</w:t>
      </w:r>
      <w:r>
        <w:rPr>
          <w:color w:val="383636"/>
          <w:spacing w:val="31"/>
          <w:sz w:val="21"/>
        </w:rPr>
        <w:t> </w:t>
      </w:r>
      <w:r>
        <w:rPr>
          <w:color w:val="383636"/>
          <w:sz w:val="21"/>
        </w:rPr>
        <w:t>Moments</w:t>
      </w:r>
    </w:p>
    <w:p>
      <w:pPr>
        <w:pStyle w:val="ListParagraph"/>
        <w:numPr>
          <w:ilvl w:val="3"/>
          <w:numId w:val="115"/>
        </w:numPr>
        <w:tabs>
          <w:tab w:pos="1717" w:val="left" w:leader="none"/>
        </w:tabs>
        <w:spacing w:line="251" w:lineRule="exact" w:before="19" w:after="0"/>
        <w:ind w:left="1716" w:right="0" w:hanging="333"/>
        <w:jc w:val="left"/>
        <w:rPr>
          <w:b/>
          <w:color w:val="383636"/>
          <w:sz w:val="22"/>
        </w:rPr>
      </w:pPr>
      <w:r>
        <w:rPr>
          <w:color w:val="383636"/>
          <w:w w:val="115"/>
          <w:sz w:val="19"/>
        </w:rPr>
        <w:t>The</w:t>
      </w:r>
      <w:r>
        <w:rPr>
          <w:color w:val="383636"/>
          <w:spacing w:val="21"/>
          <w:w w:val="115"/>
          <w:sz w:val="19"/>
        </w:rPr>
        <w:t> </w:t>
      </w:r>
      <w:r>
        <w:rPr>
          <w:color w:val="383636"/>
          <w:w w:val="115"/>
          <w:sz w:val="19"/>
        </w:rPr>
        <w:t>Cold</w:t>
      </w:r>
      <w:r>
        <w:rPr>
          <w:color w:val="383636"/>
          <w:spacing w:val="-6"/>
          <w:w w:val="115"/>
          <w:sz w:val="19"/>
        </w:rPr>
        <w:t> </w:t>
      </w:r>
      <w:r>
        <w:rPr>
          <w:color w:val="383636"/>
          <w:w w:val="115"/>
          <w:sz w:val="19"/>
        </w:rPr>
        <w:t>Court</w:t>
      </w:r>
    </w:p>
    <w:p>
      <w:pPr>
        <w:pStyle w:val="ListParagraph"/>
        <w:numPr>
          <w:ilvl w:val="3"/>
          <w:numId w:val="115"/>
        </w:numPr>
        <w:tabs>
          <w:tab w:pos="1728" w:val="left" w:leader="none"/>
        </w:tabs>
        <w:spacing w:line="251" w:lineRule="exact" w:before="0" w:after="0"/>
        <w:ind w:left="1727" w:right="0" w:hanging="349"/>
        <w:jc w:val="left"/>
        <w:rPr>
          <w:rFonts w:ascii="Arial"/>
          <w:b/>
          <w:color w:val="383636"/>
          <w:sz w:val="22"/>
        </w:rPr>
      </w:pPr>
      <w:r>
        <w:rPr>
          <w:color w:val="383636"/>
          <w:w w:val="105"/>
          <w:sz w:val="21"/>
        </w:rPr>
        <w:t>Dealing</w:t>
      </w:r>
      <w:r>
        <w:rPr>
          <w:color w:val="383636"/>
          <w:spacing w:val="-4"/>
          <w:w w:val="105"/>
          <w:sz w:val="21"/>
        </w:rPr>
        <w:t> </w:t>
      </w:r>
      <w:r>
        <w:rPr>
          <w:color w:val="383636"/>
          <w:w w:val="105"/>
          <w:sz w:val="21"/>
        </w:rPr>
        <w:t>with</w:t>
      </w:r>
      <w:r>
        <w:rPr>
          <w:color w:val="383636"/>
          <w:spacing w:val="-4"/>
          <w:w w:val="105"/>
          <w:sz w:val="21"/>
        </w:rPr>
        <w:t> </w:t>
      </w:r>
      <w:r>
        <w:rPr>
          <w:color w:val="383636"/>
          <w:w w:val="105"/>
          <w:sz w:val="21"/>
        </w:rPr>
        <w:t>Opponents'</w:t>
      </w:r>
      <w:r>
        <w:rPr>
          <w:color w:val="383636"/>
          <w:spacing w:val="6"/>
          <w:w w:val="105"/>
          <w:sz w:val="21"/>
        </w:rPr>
        <w:t> </w:t>
      </w:r>
      <w:r>
        <w:rPr>
          <w:color w:val="383636"/>
          <w:w w:val="105"/>
          <w:sz w:val="21"/>
        </w:rPr>
        <w:t>Misstatements</w:t>
      </w:r>
      <w:r>
        <w:rPr>
          <w:color w:val="383636"/>
          <w:spacing w:val="-2"/>
          <w:w w:val="105"/>
          <w:sz w:val="21"/>
        </w:rPr>
        <w:t> </w:t>
      </w:r>
      <w:r>
        <w:rPr>
          <w:color w:val="383636"/>
          <w:w w:val="105"/>
          <w:sz w:val="21"/>
        </w:rPr>
        <w:t>of</w:t>
      </w:r>
    </w:p>
    <w:p>
      <w:pPr>
        <w:spacing w:line="241" w:lineRule="exact" w:before="17"/>
        <w:ind w:left="1718" w:right="0" w:firstLine="0"/>
        <w:jc w:val="left"/>
        <w:rPr>
          <w:sz w:val="21"/>
        </w:rPr>
      </w:pPr>
      <w:r>
        <w:rPr>
          <w:rFonts w:ascii="Arial"/>
          <w:color w:val="383636"/>
          <w:w w:val="105"/>
          <w:sz w:val="18"/>
        </w:rPr>
        <w:t>Law</w:t>
      </w:r>
      <w:r>
        <w:rPr>
          <w:rFonts w:ascii="Arial"/>
          <w:color w:val="383636"/>
          <w:spacing w:val="1"/>
          <w:w w:val="105"/>
          <w:sz w:val="18"/>
        </w:rPr>
        <w:t> </w:t>
      </w:r>
      <w:r>
        <w:rPr>
          <w:color w:val="383636"/>
          <w:w w:val="105"/>
          <w:sz w:val="21"/>
        </w:rPr>
        <w:t>or</w:t>
      </w:r>
      <w:r>
        <w:rPr>
          <w:color w:val="383636"/>
          <w:spacing w:val="5"/>
          <w:w w:val="105"/>
          <w:sz w:val="21"/>
        </w:rPr>
        <w:t> </w:t>
      </w:r>
      <w:r>
        <w:rPr>
          <w:color w:val="383636"/>
          <w:w w:val="105"/>
          <w:sz w:val="21"/>
        </w:rPr>
        <w:t>Facts</w:t>
      </w:r>
    </w:p>
    <w:p>
      <w:pPr>
        <w:pStyle w:val="ListParagraph"/>
        <w:numPr>
          <w:ilvl w:val="2"/>
          <w:numId w:val="115"/>
        </w:numPr>
        <w:tabs>
          <w:tab w:pos="1754" w:val="left" w:leader="none"/>
          <w:tab w:pos="1755" w:val="left" w:leader="none"/>
        </w:tabs>
        <w:spacing w:line="241" w:lineRule="exact" w:before="0" w:after="0"/>
        <w:ind w:left="1754" w:right="0" w:hanging="889"/>
        <w:jc w:val="left"/>
        <w:rPr>
          <w:rFonts w:ascii="Arial"/>
          <w:b/>
          <w:color w:val="282426"/>
          <w:sz w:val="21"/>
        </w:rPr>
      </w:pPr>
      <w:r>
        <w:rPr>
          <w:color w:val="383636"/>
          <w:w w:val="105"/>
          <w:sz w:val="21"/>
        </w:rPr>
        <w:t>The</w:t>
      </w:r>
      <w:r>
        <w:rPr>
          <w:color w:val="383636"/>
          <w:spacing w:val="1"/>
          <w:w w:val="105"/>
          <w:sz w:val="21"/>
        </w:rPr>
        <w:t> </w:t>
      </w:r>
      <w:r>
        <w:rPr>
          <w:color w:val="383636"/>
          <w:w w:val="105"/>
          <w:sz w:val="21"/>
        </w:rPr>
        <w:t>Conclusion</w:t>
      </w:r>
    </w:p>
    <w:p>
      <w:pPr>
        <w:pStyle w:val="ListParagraph"/>
        <w:numPr>
          <w:ilvl w:val="1"/>
          <w:numId w:val="115"/>
        </w:numPr>
        <w:tabs>
          <w:tab w:pos="871" w:val="left" w:leader="none"/>
        </w:tabs>
        <w:spacing w:line="241" w:lineRule="exact" w:before="0" w:after="0"/>
        <w:ind w:left="870" w:right="0" w:hanging="622"/>
        <w:jc w:val="left"/>
        <w:rPr>
          <w:rFonts w:ascii="Arial"/>
          <w:b/>
          <w:color w:val="383636"/>
          <w:sz w:val="21"/>
        </w:rPr>
      </w:pPr>
      <w:r>
        <w:rPr>
          <w:color w:val="383636"/>
          <w:w w:val="110"/>
          <w:sz w:val="21"/>
        </w:rPr>
        <w:t>Professionalism</w:t>
      </w:r>
    </w:p>
    <w:p>
      <w:pPr>
        <w:pStyle w:val="ListParagraph"/>
        <w:numPr>
          <w:ilvl w:val="1"/>
          <w:numId w:val="115"/>
        </w:numPr>
        <w:tabs>
          <w:tab w:pos="851" w:val="left" w:leader="none"/>
        </w:tabs>
        <w:spacing w:line="242" w:lineRule="exact" w:before="0" w:after="0"/>
        <w:ind w:left="850" w:right="0" w:hanging="602"/>
        <w:jc w:val="left"/>
        <w:rPr>
          <w:rFonts w:ascii="Arial"/>
          <w:b/>
          <w:color w:val="383636"/>
          <w:sz w:val="21"/>
        </w:rPr>
      </w:pPr>
      <w:r>
        <w:rPr>
          <w:color w:val="383636"/>
          <w:w w:val="110"/>
          <w:sz w:val="21"/>
        </w:rPr>
        <w:t>Summary</w:t>
      </w:r>
    </w:p>
    <w:p>
      <w:pPr>
        <w:spacing w:after="0" w:line="242" w:lineRule="exact"/>
        <w:jc w:val="left"/>
        <w:rPr>
          <w:rFonts w:ascii="Arial"/>
          <w:sz w:val="21"/>
        </w:rPr>
        <w:sectPr>
          <w:pgSz w:w="9830" w:h="14050"/>
          <w:pgMar w:header="598" w:footer="0" w:top="940" w:bottom="280" w:left="260" w:right="1360"/>
          <w:cols w:num="2" w:equalWidth="0">
            <w:col w:w="427" w:space="40"/>
            <w:col w:w="7743"/>
          </w:cols>
        </w:sectPr>
      </w:pPr>
    </w:p>
    <w:p>
      <w:pPr>
        <w:pStyle w:val="BodyText"/>
        <w:spacing w:before="1"/>
      </w:pPr>
    </w:p>
    <w:p>
      <w:pPr>
        <w:pStyle w:val="BodyText"/>
        <w:spacing w:line="235" w:lineRule="auto" w:before="95"/>
        <w:ind w:left="104" w:right="526" w:firstLine="556"/>
        <w:jc w:val="both"/>
      </w:pPr>
      <w:r>
        <w:rPr>
          <w:color w:val="383636"/>
          <w:w w:val="115"/>
        </w:rPr>
        <w:t>Each year, dozens of interscholastic moot court competitions take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place around the country. There are two reasons to participate in a com­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petition</w:t>
      </w:r>
      <w:r>
        <w:rPr>
          <w:color w:val="504F52"/>
          <w:w w:val="110"/>
        </w:rPr>
        <w:t>: </w:t>
      </w:r>
      <w:r>
        <w:rPr>
          <w:color w:val="383636"/>
          <w:w w:val="110"/>
        </w:rPr>
        <w:t>to learn and to win. Everyone who participates in a moot court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competition learns a great deal about the subject matter at issue and  quite</w:t>
      </w:r>
      <w:r>
        <w:rPr>
          <w:color w:val="383636"/>
          <w:spacing w:val="1"/>
          <w:w w:val="110"/>
        </w:rPr>
        <w:t> </w:t>
      </w:r>
      <w:r>
        <w:rPr>
          <w:color w:val="383636"/>
          <w:spacing w:val="-1"/>
          <w:w w:val="115"/>
        </w:rPr>
        <w:t>a bit about the practice of </w:t>
      </w:r>
      <w:r>
        <w:rPr>
          <w:color w:val="282426"/>
          <w:spacing w:val="-1"/>
          <w:w w:val="115"/>
        </w:rPr>
        <w:t>law. </w:t>
      </w:r>
      <w:r>
        <w:rPr>
          <w:color w:val="383636"/>
          <w:spacing w:val="-1"/>
          <w:w w:val="115"/>
        </w:rPr>
        <w:t>Nevertheless, despite </w:t>
      </w:r>
      <w:r>
        <w:rPr>
          <w:color w:val="383636"/>
          <w:w w:val="115"/>
        </w:rPr>
        <w:t>the many tangible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and intangible benefits of learning for the sake of learning, most teams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still want to win. </w:t>
      </w:r>
      <w:r>
        <w:rPr>
          <w:color w:val="383636"/>
          <w:w w:val="115"/>
          <w:sz w:val="22"/>
        </w:rPr>
        <w:t>If </w:t>
      </w:r>
      <w:r>
        <w:rPr>
          <w:color w:val="383636"/>
          <w:w w:val="115"/>
        </w:rPr>
        <w:t>you are a team member on an interscholastic moot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court team, this chapter is meant to help you to enhance your learning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experience</w:t>
      </w:r>
      <w:r>
        <w:rPr>
          <w:color w:val="383636"/>
          <w:spacing w:val="9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28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54"/>
          <w:w w:val="110"/>
        </w:rPr>
        <w:t> </w:t>
      </w:r>
      <w:r>
        <w:rPr>
          <w:color w:val="383636"/>
          <w:w w:val="110"/>
        </w:rPr>
        <w:t>hopes</w:t>
      </w:r>
      <w:r>
        <w:rPr>
          <w:color w:val="383636"/>
          <w:spacing w:val="-9"/>
          <w:w w:val="110"/>
        </w:rPr>
        <w:t> </w:t>
      </w:r>
      <w:r>
        <w:rPr>
          <w:color w:val="383636"/>
          <w:w w:val="110"/>
        </w:rPr>
        <w:t>that</w:t>
      </w:r>
      <w:r>
        <w:rPr>
          <w:color w:val="383636"/>
          <w:spacing w:val="-14"/>
          <w:w w:val="110"/>
        </w:rPr>
        <w:t> </w:t>
      </w:r>
      <w:r>
        <w:rPr>
          <w:color w:val="383636"/>
          <w:w w:val="110"/>
        </w:rPr>
        <w:t>it</w:t>
      </w:r>
      <w:r>
        <w:rPr>
          <w:color w:val="383636"/>
          <w:spacing w:val="6"/>
          <w:w w:val="110"/>
        </w:rPr>
        <w:t> </w:t>
      </w:r>
      <w:r>
        <w:rPr>
          <w:color w:val="383636"/>
          <w:w w:val="110"/>
        </w:rPr>
        <w:t>may</w:t>
      </w:r>
      <w:r>
        <w:rPr>
          <w:color w:val="383636"/>
          <w:spacing w:val="-35"/>
          <w:w w:val="110"/>
        </w:rPr>
        <w:t> </w:t>
      </w:r>
      <w:r>
        <w:rPr>
          <w:color w:val="383636"/>
          <w:w w:val="110"/>
        </w:rPr>
        <w:t>h</w:t>
      </w:r>
      <w:r>
        <w:rPr>
          <w:color w:val="504F52"/>
          <w:w w:val="110"/>
        </w:rPr>
        <w:t>e</w:t>
      </w:r>
      <w:r>
        <w:rPr>
          <w:color w:val="383636"/>
          <w:w w:val="110"/>
        </w:rPr>
        <w:t>lp</w:t>
      </w:r>
      <w:r>
        <w:rPr>
          <w:color w:val="383636"/>
          <w:spacing w:val="27"/>
          <w:w w:val="110"/>
        </w:rPr>
        <w:t> </w:t>
      </w:r>
      <w:r>
        <w:rPr>
          <w:color w:val="383636"/>
          <w:w w:val="110"/>
        </w:rPr>
        <w:t>you</w:t>
      </w:r>
      <w:r>
        <w:rPr>
          <w:color w:val="383636"/>
          <w:spacing w:val="16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24"/>
          <w:w w:val="110"/>
        </w:rPr>
        <w:t> </w:t>
      </w:r>
      <w:r>
        <w:rPr>
          <w:color w:val="383636"/>
          <w:w w:val="110"/>
        </w:rPr>
        <w:t>win.</w:t>
      </w:r>
    </w:p>
    <w:p>
      <w:pPr>
        <w:pStyle w:val="BodyText"/>
        <w:spacing w:line="235" w:lineRule="auto"/>
        <w:ind w:left="107" w:right="488" w:firstLine="334"/>
        <w:jc w:val="both"/>
      </w:pPr>
      <w:r>
        <w:rPr>
          <w:color w:val="383636"/>
          <w:w w:val="115"/>
        </w:rPr>
        <w:t>Appellate advocacy is about mastery</w:t>
      </w:r>
      <w:r>
        <w:rPr>
          <w:color w:val="504F52"/>
          <w:w w:val="115"/>
        </w:rPr>
        <w:t>. </w:t>
      </w:r>
      <w:r>
        <w:rPr>
          <w:color w:val="383636"/>
          <w:w w:val="115"/>
        </w:rPr>
        <w:t>You must master the facts in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the case so that you can research and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write effectively. You must master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the law at issue so that you can explain why the law dictates the result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that you seek</w:t>
      </w:r>
      <w:r>
        <w:rPr>
          <w:color w:val="504F52"/>
          <w:w w:val="115"/>
        </w:rPr>
        <w:t>. </w:t>
      </w:r>
      <w:r>
        <w:rPr>
          <w:color w:val="383636"/>
          <w:w w:val="115"/>
        </w:rPr>
        <w:t>Moot court competitions are about demonstrating your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mastery of the law and the facts through the vehicles of briefs and oral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arguments.</w:t>
      </w:r>
    </w:p>
    <w:p>
      <w:pPr>
        <w:pStyle w:val="BodyText"/>
        <w:spacing w:line="232" w:lineRule="auto"/>
        <w:ind w:left="107" w:right="471" w:firstLine="340"/>
        <w:jc w:val="both"/>
      </w:pPr>
      <w:r>
        <w:rPr>
          <w:color w:val="383636"/>
          <w:w w:val="110"/>
        </w:rPr>
        <w:t>Like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writing process generally, moot court competition</w:t>
      </w:r>
      <w:r>
        <w:rPr>
          <w:color w:val="504F52"/>
          <w:w w:val="110"/>
        </w:rPr>
        <w:t>s </w:t>
      </w:r>
      <w:r>
        <w:rPr>
          <w:color w:val="383636"/>
          <w:w w:val="110"/>
        </w:rPr>
        <w:t>are also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about making decisions</w:t>
      </w:r>
      <w:r>
        <w:rPr>
          <w:color w:val="504F52"/>
          <w:w w:val="110"/>
        </w:rPr>
        <w:t>. </w:t>
      </w:r>
      <w:r>
        <w:rPr>
          <w:color w:val="383636"/>
          <w:w w:val="110"/>
        </w:rPr>
        <w:t>You and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your teammates m</w:t>
      </w:r>
      <w:r>
        <w:rPr>
          <w:color w:val="504F52"/>
          <w:w w:val="110"/>
        </w:rPr>
        <w:t>a</w:t>
      </w:r>
      <w:r>
        <w:rPr>
          <w:color w:val="383636"/>
          <w:w w:val="110"/>
        </w:rPr>
        <w:t>y be able to decide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which</w:t>
      </w:r>
      <w:r>
        <w:rPr>
          <w:color w:val="383636"/>
          <w:spacing w:val="9"/>
          <w:w w:val="110"/>
        </w:rPr>
        <w:t> </w:t>
      </w:r>
      <w:r>
        <w:rPr>
          <w:color w:val="383636"/>
          <w:w w:val="110"/>
        </w:rPr>
        <w:t>competition</w:t>
      </w:r>
      <w:r>
        <w:rPr>
          <w:color w:val="383636"/>
          <w:spacing w:val="23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53"/>
          <w:w w:val="110"/>
        </w:rPr>
        <w:t> </w:t>
      </w:r>
      <w:r>
        <w:rPr>
          <w:color w:val="383636"/>
          <w:w w:val="110"/>
        </w:rPr>
        <w:t>join</w:t>
      </w:r>
      <w:r>
        <w:rPr>
          <w:color w:val="383636"/>
          <w:spacing w:val="8"/>
          <w:w w:val="110"/>
        </w:rPr>
        <w:t> </w:t>
      </w:r>
      <w:r>
        <w:rPr>
          <w:color w:val="383636"/>
          <w:w w:val="110"/>
        </w:rPr>
        <w:t>or</w:t>
      </w:r>
      <w:r>
        <w:rPr>
          <w:color w:val="383636"/>
          <w:spacing w:val="21"/>
          <w:w w:val="110"/>
        </w:rPr>
        <w:t> </w:t>
      </w:r>
      <w:r>
        <w:rPr>
          <w:color w:val="383636"/>
          <w:w w:val="110"/>
        </w:rPr>
        <w:t>which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side</w:t>
      </w:r>
      <w:r>
        <w:rPr>
          <w:color w:val="383636"/>
          <w:spacing w:val="-10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18"/>
          <w:w w:val="110"/>
        </w:rPr>
        <w:t> </w:t>
      </w:r>
      <w:r>
        <w:rPr>
          <w:color w:val="383636"/>
          <w:w w:val="110"/>
        </w:rPr>
        <w:t>argue</w:t>
      </w:r>
      <w:r>
        <w:rPr>
          <w:color w:val="626264"/>
          <w:w w:val="110"/>
        </w:rPr>
        <w:t>.</w:t>
      </w:r>
      <w:r>
        <w:rPr>
          <w:color w:val="626264"/>
          <w:spacing w:val="6"/>
          <w:w w:val="110"/>
        </w:rPr>
        <w:t> </w:t>
      </w:r>
      <w:r>
        <w:rPr>
          <w:color w:val="383636"/>
          <w:w w:val="110"/>
        </w:rPr>
        <w:t>You </w:t>
      </w:r>
      <w:r>
        <w:rPr>
          <w:color w:val="383636"/>
          <w:w w:val="110"/>
          <w:sz w:val="22"/>
        </w:rPr>
        <w:t>will</w:t>
      </w:r>
      <w:r>
        <w:rPr>
          <w:color w:val="383636"/>
          <w:spacing w:val="2"/>
          <w:w w:val="110"/>
          <w:sz w:val="22"/>
        </w:rPr>
        <w:t> </w:t>
      </w:r>
      <w:r>
        <w:rPr>
          <w:color w:val="383636"/>
          <w:w w:val="110"/>
        </w:rPr>
        <w:t>ddinitely</w:t>
      </w:r>
      <w:r>
        <w:rPr>
          <w:color w:val="383636"/>
          <w:spacing w:val="17"/>
          <w:w w:val="110"/>
        </w:rPr>
        <w:t> </w:t>
      </w:r>
      <w:r>
        <w:rPr>
          <w:color w:val="383636"/>
          <w:w w:val="110"/>
        </w:rPr>
        <w:t>have</w:t>
      </w:r>
    </w:p>
    <w:p>
      <w:pPr>
        <w:spacing w:after="0" w:line="232" w:lineRule="auto"/>
        <w:jc w:val="both"/>
        <w:sectPr>
          <w:type w:val="continuous"/>
          <w:pgSz w:w="9830" w:h="14050"/>
          <w:pgMar w:header="540" w:footer="0" w:top="340" w:bottom="280" w:left="260" w:right="1360"/>
        </w:sectPr>
      </w:pPr>
    </w:p>
    <w:p>
      <w:pPr>
        <w:pStyle w:val="BodyText"/>
        <w:spacing w:line="235" w:lineRule="auto" w:before="85"/>
        <w:ind w:left="526" w:right="130" w:firstLine="5"/>
        <w:jc w:val="both"/>
      </w:pPr>
      <w:r>
        <w:rPr>
          <w:color w:val="3D3B3B"/>
        </w:rPr>
        <w:t>to decide how to divide your workload, how to assign the</w:t>
      </w:r>
      <w:r>
        <w:rPr>
          <w:color w:val="3D3B3B"/>
          <w:spacing w:val="1"/>
        </w:rPr>
        <w:t> </w:t>
      </w:r>
      <w:r>
        <w:rPr>
          <w:color w:val="3D3B3B"/>
        </w:rPr>
        <w:t>issues that the</w:t>
      </w:r>
      <w:r>
        <w:rPr>
          <w:color w:val="3D3B3B"/>
          <w:spacing w:val="1"/>
        </w:rPr>
        <w:t> </w:t>
      </w:r>
      <w:r>
        <w:rPr>
          <w:color w:val="3D3B3B"/>
        </w:rPr>
        <w:t>case</w:t>
      </w:r>
      <w:r>
        <w:rPr>
          <w:color w:val="3D3B3B"/>
          <w:spacing w:val="5"/>
        </w:rPr>
        <w:t> </w:t>
      </w:r>
      <w:r>
        <w:rPr>
          <w:color w:val="3D3B3B"/>
        </w:rPr>
        <w:t>presents,</w:t>
      </w:r>
      <w:r>
        <w:rPr>
          <w:color w:val="3D3B3B"/>
          <w:spacing w:val="29"/>
        </w:rPr>
        <w:t> </w:t>
      </w:r>
      <w:r>
        <w:rPr>
          <w:color w:val="3D3B3B"/>
        </w:rPr>
        <w:t>how</w:t>
      </w:r>
      <w:r>
        <w:rPr>
          <w:color w:val="3D3B3B"/>
          <w:spacing w:val="8"/>
        </w:rPr>
        <w:t> </w:t>
      </w:r>
      <w:r>
        <w:rPr>
          <w:color w:val="3D3B3B"/>
        </w:rPr>
        <w:t>to</w:t>
      </w:r>
      <w:r>
        <w:rPr>
          <w:color w:val="3D3B3B"/>
          <w:spacing w:val="27"/>
        </w:rPr>
        <w:t> </w:t>
      </w:r>
      <w:r>
        <w:rPr>
          <w:color w:val="3D3B3B"/>
        </w:rPr>
        <w:t>write</w:t>
      </w:r>
      <w:r>
        <w:rPr>
          <w:color w:val="3D3B3B"/>
          <w:spacing w:val="6"/>
        </w:rPr>
        <w:t> </w:t>
      </w:r>
      <w:r>
        <w:rPr>
          <w:color w:val="3D3B3B"/>
        </w:rPr>
        <w:t>the</w:t>
      </w:r>
      <w:r>
        <w:rPr>
          <w:color w:val="3D3B3B"/>
          <w:spacing w:val="42"/>
        </w:rPr>
        <w:t> </w:t>
      </w:r>
      <w:r>
        <w:rPr>
          <w:color w:val="3D3B3B"/>
        </w:rPr>
        <w:t>brief,</w:t>
      </w:r>
      <w:r>
        <w:rPr>
          <w:color w:val="3D3B3B"/>
          <w:spacing w:val="15"/>
        </w:rPr>
        <w:t> </w:t>
      </w:r>
      <w:r>
        <w:rPr>
          <w:color w:val="3D3B3B"/>
        </w:rPr>
        <w:t>and</w:t>
      </w:r>
      <w:r>
        <w:rPr>
          <w:color w:val="3D3B3B"/>
          <w:spacing w:val="23"/>
        </w:rPr>
        <w:t> </w:t>
      </w:r>
      <w:r>
        <w:rPr>
          <w:color w:val="3D3B3B"/>
        </w:rPr>
        <w:t>how</w:t>
      </w:r>
      <w:r>
        <w:rPr>
          <w:color w:val="3D3B3B"/>
          <w:spacing w:val="10"/>
        </w:rPr>
        <w:t> </w:t>
      </w:r>
      <w:r>
        <w:rPr>
          <w:color w:val="3D3B3B"/>
        </w:rPr>
        <w:t>to</w:t>
      </w:r>
      <w:r>
        <w:rPr>
          <w:color w:val="3D3B3B"/>
          <w:spacing w:val="27"/>
        </w:rPr>
        <w:t> </w:t>
      </w:r>
      <w:r>
        <w:rPr>
          <w:color w:val="3D3B3B"/>
        </w:rPr>
        <w:t>conduct</w:t>
      </w:r>
      <w:r>
        <w:rPr>
          <w:color w:val="3D3B3B"/>
          <w:spacing w:val="22"/>
        </w:rPr>
        <w:t> </w:t>
      </w:r>
      <w:r>
        <w:rPr>
          <w:color w:val="3D3B3B"/>
        </w:rPr>
        <w:t>the</w:t>
      </w:r>
      <w:r>
        <w:rPr>
          <w:color w:val="3D3B3B"/>
          <w:spacing w:val="25"/>
        </w:rPr>
        <w:t> </w:t>
      </w:r>
      <w:r>
        <w:rPr>
          <w:color w:val="3D3B3B"/>
        </w:rPr>
        <w:t>argument.</w:t>
      </w:r>
    </w:p>
    <w:p>
      <w:pPr>
        <w:pStyle w:val="BodyText"/>
        <w:spacing w:line="230" w:lineRule="auto" w:before="6"/>
        <w:ind w:left="536" w:right="136" w:firstLine="340"/>
        <w:jc w:val="both"/>
      </w:pPr>
      <w:r>
        <w:rPr>
          <w:color w:val="3D3B3B"/>
          <w:w w:val="105"/>
        </w:rPr>
        <w:t>Like real practitioners, you will be able to seek advice, to greater or</w:t>
      </w:r>
      <w:r>
        <w:rPr>
          <w:color w:val="3D3B3B"/>
          <w:spacing w:val="1"/>
          <w:w w:val="105"/>
        </w:rPr>
        <w:t> </w:t>
      </w:r>
      <w:r>
        <w:rPr>
          <w:color w:val="3D3B3B"/>
        </w:rPr>
        <w:t>lesser degrees, from colleagues or mentors. Ultimately, however, you must</w:t>
      </w:r>
      <w:r>
        <w:rPr>
          <w:color w:val="3D3B3B"/>
          <w:spacing w:val="1"/>
        </w:rPr>
        <w:t> </w:t>
      </w:r>
      <w:r>
        <w:rPr>
          <w:color w:val="3D3B3B"/>
          <w:spacing w:val="-1"/>
          <w:w w:val="105"/>
        </w:rPr>
        <w:t>decide</w:t>
      </w:r>
      <w:r>
        <w:rPr>
          <w:color w:val="3D3B3B"/>
          <w:spacing w:val="-12"/>
          <w:w w:val="105"/>
        </w:rPr>
        <w:t> </w:t>
      </w:r>
      <w:r>
        <w:rPr>
          <w:color w:val="3D3B3B"/>
          <w:spacing w:val="-1"/>
          <w:w w:val="105"/>
        </w:rPr>
        <w:t>which</w:t>
      </w:r>
      <w:r>
        <w:rPr>
          <w:color w:val="3D3B3B"/>
          <w:spacing w:val="-13"/>
          <w:w w:val="105"/>
        </w:rPr>
        <w:t> </w:t>
      </w:r>
      <w:r>
        <w:rPr>
          <w:color w:val="3D3B3B"/>
          <w:spacing w:val="-1"/>
          <w:w w:val="105"/>
        </w:rPr>
        <w:t>advice</w:t>
      </w:r>
      <w:r>
        <w:rPr>
          <w:color w:val="3D3B3B"/>
          <w:spacing w:val="-11"/>
          <w:w w:val="105"/>
        </w:rPr>
        <w:t> </w:t>
      </w:r>
      <w:r>
        <w:rPr>
          <w:color w:val="3D3B3B"/>
          <w:spacing w:val="-1"/>
          <w:w w:val="105"/>
        </w:rPr>
        <w:t>to</w:t>
      </w:r>
      <w:r>
        <w:rPr>
          <w:color w:val="3D3B3B"/>
          <w:spacing w:val="10"/>
          <w:w w:val="105"/>
        </w:rPr>
        <w:t> </w:t>
      </w:r>
      <w:r>
        <w:rPr>
          <w:color w:val="3D3B3B"/>
          <w:spacing w:val="-1"/>
          <w:w w:val="105"/>
        </w:rPr>
        <w:t>take</w:t>
      </w:r>
      <w:r>
        <w:rPr>
          <w:color w:val="3D3B3B"/>
          <w:spacing w:val="-19"/>
          <w:w w:val="105"/>
        </w:rPr>
        <w:t> </w:t>
      </w:r>
      <w:r>
        <w:rPr>
          <w:color w:val="3D3B3B"/>
          <w:w w:val="105"/>
        </w:rPr>
        <w:t>and</w:t>
      </w:r>
      <w:r>
        <w:rPr>
          <w:color w:val="3D3B3B"/>
          <w:spacing w:val="5"/>
          <w:w w:val="105"/>
        </w:rPr>
        <w:t> </w:t>
      </w:r>
      <w:r>
        <w:rPr>
          <w:color w:val="3D3B3B"/>
          <w:w w:val="105"/>
        </w:rPr>
        <w:t>which</w:t>
      </w:r>
      <w:r>
        <w:rPr>
          <w:color w:val="3D3B3B"/>
          <w:spacing w:val="-3"/>
          <w:w w:val="105"/>
        </w:rPr>
        <w:t> </w:t>
      </w:r>
      <w:r>
        <w:rPr>
          <w:color w:val="3D3B3B"/>
          <w:w w:val="105"/>
        </w:rPr>
        <w:t>advice</w:t>
      </w:r>
      <w:r>
        <w:rPr>
          <w:color w:val="3D3B3B"/>
          <w:spacing w:val="-9"/>
          <w:w w:val="105"/>
        </w:rPr>
        <w:t> </w:t>
      </w:r>
      <w:r>
        <w:rPr>
          <w:color w:val="3D3B3B"/>
          <w:w w:val="105"/>
        </w:rPr>
        <w:t>to</w:t>
      </w:r>
      <w:r>
        <w:rPr>
          <w:color w:val="3D3B3B"/>
          <w:spacing w:val="24"/>
          <w:w w:val="105"/>
        </w:rPr>
        <w:t> </w:t>
      </w:r>
      <w:r>
        <w:rPr>
          <w:color w:val="3D3B3B"/>
          <w:w w:val="105"/>
        </w:rPr>
        <w:t>leave</w:t>
      </w:r>
      <w:r>
        <w:rPr>
          <w:color w:val="3D3B3B"/>
          <w:spacing w:val="-9"/>
          <w:w w:val="105"/>
        </w:rPr>
        <w:t> </w:t>
      </w:r>
      <w:r>
        <w:rPr>
          <w:color w:val="3D3B3B"/>
          <w:w w:val="105"/>
        </w:rPr>
        <w:t>alone.</w:t>
      </w:r>
    </w:p>
    <w:p>
      <w:pPr>
        <w:pStyle w:val="BodyText"/>
        <w:spacing w:line="235" w:lineRule="auto"/>
        <w:ind w:left="545" w:right="122" w:firstLine="340"/>
        <w:jc w:val="both"/>
        <w:rPr>
          <w:sz w:val="12"/>
        </w:rPr>
      </w:pPr>
      <w:r>
        <w:rPr>
          <w:color w:val="3D3B3B"/>
          <w:w w:val="105"/>
        </w:rPr>
        <w:t>Every year, when I meet for the  first time with  my team, and wh</w:t>
      </w:r>
      <w:r>
        <w:rPr>
          <w:color w:val="565657"/>
          <w:w w:val="105"/>
        </w:rPr>
        <w:t>e</w:t>
      </w:r>
      <w:r>
        <w:rPr>
          <w:color w:val="3D3B3B"/>
          <w:w w:val="105"/>
        </w:rPr>
        <w:t>n</w:t>
      </w:r>
      <w:r>
        <w:rPr>
          <w:color w:val="3D3B3B"/>
          <w:spacing w:val="-58"/>
          <w:w w:val="105"/>
        </w:rPr>
        <w:t> </w:t>
      </w:r>
      <w:r>
        <w:rPr>
          <w:color w:val="3D3B3B"/>
          <w:w w:val="105"/>
        </w:rPr>
        <w:t>I judge practice arguments for other teams, I tell them that they must</w:t>
      </w:r>
      <w:r>
        <w:rPr>
          <w:color w:val="3D3B3B"/>
          <w:spacing w:val="1"/>
          <w:w w:val="105"/>
        </w:rPr>
        <w:t> </w:t>
      </w:r>
      <w:r>
        <w:rPr>
          <w:color w:val="3D3B3B"/>
          <w:w w:val="105"/>
        </w:rPr>
        <w:t>decide whether they agree with my advice</w:t>
      </w:r>
      <w:r>
        <w:rPr>
          <w:color w:val="6E7072"/>
          <w:w w:val="105"/>
        </w:rPr>
        <w:t>. </w:t>
      </w:r>
      <w:r>
        <w:rPr>
          <w:color w:val="3D3B3B"/>
          <w:w w:val="105"/>
        </w:rPr>
        <w:t>I explain the reasons beh</w:t>
      </w:r>
      <w:r>
        <w:rPr>
          <w:color w:val="565657"/>
          <w:w w:val="105"/>
        </w:rPr>
        <w:t>i</w:t>
      </w:r>
      <w:r>
        <w:rPr>
          <w:color w:val="3D3B3B"/>
          <w:w w:val="105"/>
        </w:rPr>
        <w:t>nd</w:t>
      </w:r>
      <w:r>
        <w:rPr>
          <w:color w:val="3D3B3B"/>
          <w:spacing w:val="-58"/>
          <w:w w:val="105"/>
        </w:rPr>
        <w:t> </w:t>
      </w:r>
      <w:r>
        <w:rPr>
          <w:color w:val="3D3B3B"/>
        </w:rPr>
        <w:t>my suggestions, but they will be the ones at the</w:t>
      </w:r>
      <w:r>
        <w:rPr>
          <w:color w:val="3D3B3B"/>
          <w:spacing w:val="1"/>
        </w:rPr>
        <w:t> </w:t>
      </w:r>
      <w:r>
        <w:rPr>
          <w:color w:val="3D3B3B"/>
        </w:rPr>
        <w:t>podium during the com­</w:t>
      </w:r>
      <w:r>
        <w:rPr>
          <w:color w:val="3D3B3B"/>
          <w:spacing w:val="1"/>
        </w:rPr>
        <w:t> </w:t>
      </w:r>
      <w:r>
        <w:rPr>
          <w:color w:val="3D3B3B"/>
        </w:rPr>
        <w:t>petition. No matter whose advice they follow, they may well be victims of</w:t>
      </w:r>
      <w:r>
        <w:rPr>
          <w:color w:val="3D3B3B"/>
          <w:spacing w:val="1"/>
        </w:rPr>
        <w:t> </w:t>
      </w:r>
      <w:r>
        <w:rPr>
          <w:color w:val="3D3B3B"/>
        </w:rPr>
        <w:t>what I call "pet p</w:t>
      </w:r>
      <w:r>
        <w:rPr>
          <w:color w:val="565657"/>
        </w:rPr>
        <w:t>e</w:t>
      </w:r>
      <w:r>
        <w:rPr>
          <w:color w:val="3D3B3B"/>
        </w:rPr>
        <w:t>eve-itis": Someone will deduct points from their score</w:t>
      </w:r>
      <w:r>
        <w:rPr>
          <w:color w:val="3D3B3B"/>
          <w:spacing w:val="1"/>
        </w:rPr>
        <w:t> </w:t>
      </w:r>
      <w:r>
        <w:rPr>
          <w:color w:val="3D3B3B"/>
          <w:w w:val="105"/>
        </w:rPr>
        <w:t>because</w:t>
      </w:r>
      <w:r>
        <w:rPr>
          <w:color w:val="3D3B3B"/>
          <w:spacing w:val="-6"/>
          <w:w w:val="105"/>
        </w:rPr>
        <w:t> </w:t>
      </w:r>
      <w:r>
        <w:rPr>
          <w:color w:val="3D3B3B"/>
          <w:w w:val="105"/>
        </w:rPr>
        <w:t>they</w:t>
      </w:r>
      <w:r>
        <w:rPr>
          <w:color w:val="3D3B3B"/>
          <w:spacing w:val="-14"/>
          <w:w w:val="105"/>
        </w:rPr>
        <w:t> </w:t>
      </w:r>
      <w:r>
        <w:rPr>
          <w:color w:val="3D3B3B"/>
          <w:w w:val="105"/>
        </w:rPr>
        <w:t>did</w:t>
      </w:r>
      <w:r>
        <w:rPr>
          <w:color w:val="3D3B3B"/>
          <w:spacing w:val="-15"/>
          <w:w w:val="105"/>
        </w:rPr>
        <w:t> </w:t>
      </w:r>
      <w:r>
        <w:rPr>
          <w:color w:val="3D3B3B"/>
          <w:w w:val="105"/>
        </w:rPr>
        <w:t>or</w:t>
      </w:r>
      <w:r>
        <w:rPr>
          <w:color w:val="3D3B3B"/>
          <w:spacing w:val="-25"/>
          <w:w w:val="105"/>
        </w:rPr>
        <w:t> </w:t>
      </w:r>
      <w:r>
        <w:rPr>
          <w:color w:val="3D3B3B"/>
          <w:w w:val="105"/>
        </w:rPr>
        <w:t>did</w:t>
      </w:r>
      <w:r>
        <w:rPr>
          <w:color w:val="3D3B3B"/>
          <w:spacing w:val="2"/>
          <w:w w:val="105"/>
        </w:rPr>
        <w:t> </w:t>
      </w:r>
      <w:r>
        <w:rPr>
          <w:color w:val="3D3B3B"/>
          <w:w w:val="105"/>
        </w:rPr>
        <w:t>not</w:t>
      </w:r>
      <w:r>
        <w:rPr>
          <w:color w:val="3D3B3B"/>
          <w:spacing w:val="-23"/>
          <w:w w:val="105"/>
        </w:rPr>
        <w:t> </w:t>
      </w:r>
      <w:r>
        <w:rPr>
          <w:color w:val="3D3B3B"/>
          <w:w w:val="105"/>
        </w:rPr>
        <w:t>do</w:t>
      </w:r>
      <w:r>
        <w:rPr>
          <w:color w:val="3D3B3B"/>
          <w:spacing w:val="-27"/>
          <w:w w:val="105"/>
        </w:rPr>
        <w:t> </w:t>
      </w:r>
      <w:r>
        <w:rPr>
          <w:color w:val="3D3B3B"/>
          <w:w w:val="105"/>
        </w:rPr>
        <w:t>something</w:t>
      </w:r>
      <w:r>
        <w:rPr>
          <w:color w:val="3D3B3B"/>
          <w:spacing w:val="-2"/>
          <w:w w:val="105"/>
        </w:rPr>
        <w:t> </w:t>
      </w:r>
      <w:r>
        <w:rPr>
          <w:color w:val="3D3B3B"/>
          <w:w w:val="105"/>
        </w:rPr>
        <w:t>that</w:t>
      </w:r>
      <w:r>
        <w:rPr>
          <w:color w:val="3D3B3B"/>
          <w:spacing w:val="2"/>
          <w:w w:val="105"/>
        </w:rPr>
        <w:t> </w:t>
      </w:r>
      <w:r>
        <w:rPr>
          <w:color w:val="3D3B3B"/>
          <w:w w:val="105"/>
        </w:rPr>
        <w:t>happened to</w:t>
      </w:r>
      <w:r>
        <w:rPr>
          <w:color w:val="3D3B3B"/>
          <w:spacing w:val="7"/>
          <w:w w:val="105"/>
        </w:rPr>
        <w:t> </w:t>
      </w:r>
      <w:r>
        <w:rPr>
          <w:color w:val="3D3B3B"/>
          <w:spacing w:val="6"/>
          <w:w w:val="105"/>
        </w:rPr>
        <w:t>bea</w:t>
      </w:r>
      <w:r>
        <w:rPr>
          <w:color w:val="3D3B3B"/>
          <w:spacing w:val="-4"/>
          <w:w w:val="105"/>
        </w:rPr>
        <w:t> </w:t>
      </w:r>
      <w:r>
        <w:rPr>
          <w:color w:val="3D3B3B"/>
          <w:w w:val="105"/>
        </w:rPr>
        <w:t>pet</w:t>
      </w:r>
      <w:r>
        <w:rPr>
          <w:color w:val="3D3B3B"/>
          <w:spacing w:val="-16"/>
          <w:w w:val="105"/>
        </w:rPr>
        <w:t> </w:t>
      </w:r>
      <w:r>
        <w:rPr>
          <w:color w:val="3D3B3B"/>
          <w:w w:val="105"/>
        </w:rPr>
        <w:t>peeve</w:t>
      </w:r>
      <w:r>
        <w:rPr>
          <w:color w:val="3D3B3B"/>
          <w:spacing w:val="-58"/>
          <w:w w:val="105"/>
        </w:rPr>
        <w:t> </w:t>
      </w:r>
      <w:r>
        <w:rPr>
          <w:color w:val="3D3B3B"/>
        </w:rPr>
        <w:t>of one of the judges. Therefore, they must sift through the often conflict­</w:t>
      </w:r>
      <w:r>
        <w:rPr>
          <w:color w:val="3D3B3B"/>
          <w:spacing w:val="1"/>
        </w:rPr>
        <w:t> </w:t>
      </w:r>
      <w:r>
        <w:rPr>
          <w:color w:val="3D3B3B"/>
        </w:rPr>
        <w:t>ing advice they will receive from the many people who judge their practice</w:t>
      </w:r>
      <w:r>
        <w:rPr>
          <w:color w:val="3D3B3B"/>
          <w:spacing w:val="-55"/>
        </w:rPr>
        <w:t> </w:t>
      </w:r>
      <w:r>
        <w:rPr>
          <w:color w:val="3D3B3B"/>
          <w:spacing w:val="-1"/>
          <w:w w:val="105"/>
        </w:rPr>
        <w:t>arguments </w:t>
      </w:r>
      <w:r>
        <w:rPr>
          <w:color w:val="3D3B3B"/>
          <w:w w:val="105"/>
        </w:rPr>
        <w:t>and decide which advice best fits their theory of the case and</w:t>
      </w:r>
      <w:r>
        <w:rPr>
          <w:color w:val="3D3B3B"/>
          <w:spacing w:val="-58"/>
          <w:w w:val="105"/>
        </w:rPr>
        <w:t> </w:t>
      </w:r>
      <w:r>
        <w:rPr>
          <w:color w:val="3D3B3B"/>
          <w:w w:val="105"/>
        </w:rPr>
        <w:t>their</w:t>
      </w:r>
      <w:r>
        <w:rPr>
          <w:color w:val="3D3B3B"/>
          <w:spacing w:val="-4"/>
          <w:w w:val="105"/>
        </w:rPr>
        <w:t> </w:t>
      </w:r>
      <w:r>
        <w:rPr>
          <w:color w:val="3D3B3B"/>
          <w:w w:val="105"/>
        </w:rPr>
        <w:t>performance</w:t>
      </w:r>
      <w:r>
        <w:rPr>
          <w:color w:val="3D3B3B"/>
          <w:spacing w:val="-11"/>
          <w:w w:val="105"/>
        </w:rPr>
        <w:t> </w:t>
      </w:r>
      <w:r>
        <w:rPr>
          <w:color w:val="3D3B3B"/>
          <w:w w:val="105"/>
        </w:rPr>
        <w:t>style</w:t>
      </w:r>
      <w:r>
        <w:rPr>
          <w:color w:val="565657"/>
          <w:w w:val="105"/>
        </w:rPr>
        <w:t>.</w:t>
      </w:r>
      <w:r>
        <w:rPr>
          <w:color w:val="3D3B3B"/>
          <w:w w:val="105"/>
          <w:position w:val="10"/>
          <w:sz w:val="12"/>
        </w:rPr>
        <w:t>1</w:t>
      </w:r>
    </w:p>
    <w:p>
      <w:pPr>
        <w:pStyle w:val="BodyText"/>
        <w:spacing w:line="238" w:lineRule="exact"/>
        <w:ind w:left="877"/>
        <w:jc w:val="both"/>
      </w:pPr>
      <w:r>
        <w:rPr>
          <w:color w:val="3D3B3B"/>
        </w:rPr>
        <w:t>Because</w:t>
      </w:r>
      <w:r>
        <w:rPr>
          <w:color w:val="3D3B3B"/>
          <w:spacing w:val="33"/>
        </w:rPr>
        <w:t> </w:t>
      </w:r>
      <w:r>
        <w:rPr>
          <w:color w:val="3D3B3B"/>
        </w:rPr>
        <w:t>law</w:t>
      </w:r>
      <w:r>
        <w:rPr>
          <w:color w:val="3D3B3B"/>
          <w:spacing w:val="31"/>
        </w:rPr>
        <w:t> </w:t>
      </w:r>
      <w:r>
        <w:rPr>
          <w:color w:val="3D3B3B"/>
        </w:rPr>
        <w:t>practice</w:t>
      </w:r>
      <w:r>
        <w:rPr>
          <w:color w:val="3D3B3B"/>
          <w:spacing w:val="36"/>
        </w:rPr>
        <w:t> </w:t>
      </w:r>
      <w:r>
        <w:rPr>
          <w:color w:val="3D3B3B"/>
        </w:rPr>
        <w:t>is</w:t>
      </w:r>
      <w:r>
        <w:rPr>
          <w:color w:val="3D3B3B"/>
          <w:spacing w:val="29"/>
        </w:rPr>
        <w:t> </w:t>
      </w:r>
      <w:r>
        <w:rPr>
          <w:color w:val="3D3B3B"/>
        </w:rPr>
        <w:t>full</w:t>
      </w:r>
      <w:r>
        <w:rPr>
          <w:color w:val="3D3B3B"/>
          <w:spacing w:val="24"/>
        </w:rPr>
        <w:t> </w:t>
      </w:r>
      <w:r>
        <w:rPr>
          <w:color w:val="3D3B3B"/>
        </w:rPr>
        <w:t>of</w:t>
      </w:r>
      <w:r>
        <w:rPr>
          <w:color w:val="3D3B3B"/>
          <w:spacing w:val="52"/>
        </w:rPr>
        <w:t> </w:t>
      </w:r>
      <w:r>
        <w:rPr>
          <w:color w:val="3D3B3B"/>
        </w:rPr>
        <w:t>real-life</w:t>
      </w:r>
      <w:r>
        <w:rPr>
          <w:color w:val="3D3B3B"/>
          <w:spacing w:val="30"/>
        </w:rPr>
        <w:t> </w:t>
      </w:r>
      <w:r>
        <w:rPr>
          <w:color w:val="3D3B3B"/>
        </w:rPr>
        <w:t>decision</w:t>
      </w:r>
      <w:r>
        <w:rPr>
          <w:color w:val="3D3B3B"/>
          <w:spacing w:val="12"/>
        </w:rPr>
        <w:t> </w:t>
      </w:r>
      <w:r>
        <w:rPr>
          <w:color w:val="3D3B3B"/>
        </w:rPr>
        <w:t>making,</w:t>
      </w:r>
      <w:r>
        <w:rPr>
          <w:color w:val="3D3B3B"/>
          <w:spacing w:val="36"/>
        </w:rPr>
        <w:t> </w:t>
      </w:r>
      <w:r>
        <w:rPr>
          <w:color w:val="3D3B3B"/>
        </w:rPr>
        <w:t>one</w:t>
      </w:r>
      <w:r>
        <w:rPr>
          <w:color w:val="3D3B3B"/>
          <w:spacing w:val="37"/>
        </w:rPr>
        <w:t> </w:t>
      </w:r>
      <w:r>
        <w:rPr>
          <w:color w:val="3D3B3B"/>
        </w:rPr>
        <w:t>of</w:t>
      </w:r>
      <w:r>
        <w:rPr>
          <w:color w:val="3D3B3B"/>
          <w:spacing w:val="28"/>
        </w:rPr>
        <w:t> </w:t>
      </w:r>
      <w:r>
        <w:rPr>
          <w:color w:val="3D3B3B"/>
        </w:rPr>
        <w:t>the</w:t>
      </w:r>
    </w:p>
    <w:p>
      <w:pPr>
        <w:pStyle w:val="BodyText"/>
        <w:spacing w:line="232" w:lineRule="auto"/>
        <w:ind w:left="523" w:right="149" w:firstLine="18"/>
        <w:jc w:val="both"/>
      </w:pPr>
      <w:r>
        <w:rPr>
          <w:color w:val="3D3B3B"/>
        </w:rPr>
        <w:t>many benefits of moot court competitions is that they give students prac­</w:t>
      </w:r>
      <w:r>
        <w:rPr>
          <w:color w:val="3D3B3B"/>
          <w:spacing w:val="1"/>
        </w:rPr>
        <w:t> </w:t>
      </w:r>
      <w:r>
        <w:rPr>
          <w:color w:val="3D3B3B"/>
        </w:rPr>
        <w:t>tice in making decisions in a context in which there </w:t>
      </w:r>
      <w:r>
        <w:rPr>
          <w:color w:val="3D3B3B"/>
          <w:sz w:val="22"/>
        </w:rPr>
        <w:t>will</w:t>
      </w:r>
      <w:r>
        <w:rPr>
          <w:color w:val="3D3B3B"/>
          <w:spacing w:val="1"/>
          <w:sz w:val="22"/>
        </w:rPr>
        <w:t> </w:t>
      </w:r>
      <w:r>
        <w:rPr>
          <w:color w:val="3D3B3B"/>
        </w:rPr>
        <w:t>be real conse­</w:t>
      </w:r>
      <w:r>
        <w:rPr>
          <w:color w:val="3D3B3B"/>
          <w:spacing w:val="1"/>
        </w:rPr>
        <w:t> </w:t>
      </w:r>
      <w:r>
        <w:rPr>
          <w:color w:val="3D3B3B"/>
        </w:rPr>
        <w:t>qu</w:t>
      </w:r>
      <w:r>
        <w:rPr>
          <w:color w:val="565657"/>
        </w:rPr>
        <w:t>e</w:t>
      </w:r>
      <w:r>
        <w:rPr>
          <w:color w:val="3D3B3B"/>
        </w:rPr>
        <w:t>nces: their victory or defeat in an argument round. The information in</w:t>
      </w:r>
      <w:r>
        <w:rPr>
          <w:color w:val="3D3B3B"/>
          <w:spacing w:val="1"/>
        </w:rPr>
        <w:t> </w:t>
      </w:r>
      <w:r>
        <w:rPr>
          <w:color w:val="3D3B3B"/>
        </w:rPr>
        <w:t>this book is meant to help you make those decisions, but it is </w:t>
      </w:r>
      <w:r>
        <w:rPr>
          <w:rFonts w:ascii="Arial" w:hAnsi="Arial"/>
          <w:i/>
          <w:color w:val="3D3B3B"/>
          <w:sz w:val="21"/>
        </w:rPr>
        <w:t>advice. </w:t>
      </w:r>
      <w:r>
        <w:rPr>
          <w:color w:val="3D3B3B"/>
        </w:rPr>
        <w:t>Only</w:t>
      </w:r>
      <w:r>
        <w:rPr>
          <w:color w:val="3D3B3B"/>
          <w:spacing w:val="1"/>
        </w:rPr>
        <w:t> </w:t>
      </w:r>
      <w:r>
        <w:rPr>
          <w:color w:val="3D3B3B"/>
        </w:rPr>
        <w:t>you</w:t>
      </w:r>
      <w:r>
        <w:rPr>
          <w:color w:val="3D3B3B"/>
          <w:spacing w:val="-6"/>
        </w:rPr>
        <w:t> </w:t>
      </w:r>
      <w:r>
        <w:rPr>
          <w:color w:val="3D3B3B"/>
        </w:rPr>
        <w:t>and</w:t>
      </w:r>
      <w:r>
        <w:rPr>
          <w:color w:val="3D3B3B"/>
          <w:spacing w:val="5"/>
        </w:rPr>
        <w:t> </w:t>
      </w:r>
      <w:r>
        <w:rPr>
          <w:color w:val="3D3B3B"/>
        </w:rPr>
        <w:t>your</w:t>
      </w:r>
      <w:r>
        <w:rPr>
          <w:color w:val="3D3B3B"/>
          <w:spacing w:val="6"/>
        </w:rPr>
        <w:t> </w:t>
      </w:r>
      <w:r>
        <w:rPr>
          <w:color w:val="3D3B3B"/>
        </w:rPr>
        <w:t>teammates</w:t>
      </w:r>
      <w:r>
        <w:rPr>
          <w:color w:val="3D3B3B"/>
          <w:spacing w:val="-2"/>
        </w:rPr>
        <w:t> </w:t>
      </w:r>
      <w:r>
        <w:rPr>
          <w:color w:val="3D3B3B"/>
        </w:rPr>
        <w:t>can</w:t>
      </w:r>
      <w:r>
        <w:rPr>
          <w:color w:val="3D3B3B"/>
          <w:spacing w:val="2"/>
        </w:rPr>
        <w:t> </w:t>
      </w:r>
      <w:r>
        <w:rPr>
          <w:color w:val="3D3B3B"/>
        </w:rPr>
        <w:t>decide</w:t>
      </w:r>
      <w:r>
        <w:rPr>
          <w:color w:val="3D3B3B"/>
          <w:spacing w:val="-3"/>
        </w:rPr>
        <w:t> </w:t>
      </w:r>
      <w:r>
        <w:rPr>
          <w:color w:val="3D3B3B"/>
        </w:rPr>
        <w:t>how</w:t>
      </w:r>
      <w:r>
        <w:rPr>
          <w:color w:val="3D3B3B"/>
          <w:spacing w:val="1"/>
        </w:rPr>
        <w:t> </w:t>
      </w:r>
      <w:r>
        <w:rPr>
          <w:color w:val="3D3B3B"/>
        </w:rPr>
        <w:t>to</w:t>
      </w:r>
      <w:r>
        <w:rPr>
          <w:color w:val="3D3B3B"/>
          <w:spacing w:val="30"/>
        </w:rPr>
        <w:t> </w:t>
      </w:r>
      <w:r>
        <w:rPr>
          <w:color w:val="3D3B3B"/>
        </w:rPr>
        <w:t>use</w:t>
      </w:r>
      <w:r>
        <w:rPr>
          <w:color w:val="3D3B3B"/>
          <w:spacing w:val="4"/>
        </w:rPr>
        <w:t> </w:t>
      </w:r>
      <w:r>
        <w:rPr>
          <w:color w:val="3D3B3B"/>
        </w:rPr>
        <w:t>this</w:t>
      </w:r>
      <w:r>
        <w:rPr>
          <w:color w:val="3D3B3B"/>
          <w:spacing w:val="-4"/>
        </w:rPr>
        <w:t> </w:t>
      </w:r>
      <w:r>
        <w:rPr>
          <w:color w:val="3D3B3B"/>
        </w:rPr>
        <w:t>advice.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spacing w:before="0"/>
        <w:ind w:left="1067" w:right="0" w:firstLine="0"/>
        <w:jc w:val="left"/>
        <w:rPr>
          <w:rFonts w:ascii="Arial"/>
          <w:b/>
          <w:sz w:val="33"/>
        </w:rPr>
      </w:pPr>
      <w:r>
        <w:rPr>
          <w:rFonts w:ascii="Arial"/>
          <w:b/>
          <w:color w:val="6E7072"/>
          <w:sz w:val="33"/>
        </w:rPr>
        <w:t>14.</w:t>
      </w:r>
      <w:r>
        <w:rPr>
          <w:rFonts w:ascii="Arial"/>
          <w:b/>
          <w:color w:val="565657"/>
          <w:sz w:val="33"/>
        </w:rPr>
        <w:t>1</w:t>
      </w:r>
    </w:p>
    <w:p>
      <w:pPr>
        <w:spacing w:before="71"/>
        <w:ind w:left="1048" w:right="0" w:firstLine="0"/>
        <w:jc w:val="left"/>
        <w:rPr>
          <w:rFonts w:ascii="Arial"/>
          <w:sz w:val="25"/>
        </w:rPr>
      </w:pPr>
      <w:r>
        <w:rPr>
          <w:rFonts w:ascii="Arial"/>
          <w:color w:val="565657"/>
          <w:sz w:val="26"/>
        </w:rPr>
        <w:t>T</w:t>
      </w:r>
      <w:r>
        <w:rPr>
          <w:rFonts w:ascii="Arial"/>
          <w:color w:val="6E7072"/>
          <w:sz w:val="26"/>
        </w:rPr>
        <w:t>YPICAL</w:t>
      </w:r>
      <w:r>
        <w:rPr>
          <w:rFonts w:ascii="Arial"/>
          <w:color w:val="6E7072"/>
          <w:spacing w:val="-18"/>
          <w:sz w:val="26"/>
        </w:rPr>
        <w:t> </w:t>
      </w:r>
      <w:r>
        <w:rPr>
          <w:rFonts w:ascii="Arial"/>
          <w:color w:val="6E7072"/>
          <w:sz w:val="25"/>
        </w:rPr>
        <w:t>COMPETITION</w:t>
      </w:r>
      <w:r>
        <w:rPr>
          <w:rFonts w:ascii="Arial"/>
          <w:color w:val="6E7072"/>
          <w:spacing w:val="52"/>
          <w:sz w:val="25"/>
        </w:rPr>
        <w:t> </w:t>
      </w:r>
      <w:r>
        <w:rPr>
          <w:rFonts w:ascii="Arial"/>
          <w:color w:val="828385"/>
          <w:sz w:val="25"/>
        </w:rPr>
        <w:t>REQUIREMENTS</w:t>
      </w:r>
    </w:p>
    <w:p>
      <w:pPr>
        <w:pStyle w:val="BodyText"/>
        <w:spacing w:before="4"/>
        <w:rPr>
          <w:rFonts w:ascii="Arial"/>
          <w:sz w:val="22"/>
        </w:rPr>
      </w:pPr>
    </w:p>
    <w:p>
      <w:pPr>
        <w:pStyle w:val="BodyText"/>
        <w:spacing w:line="232" w:lineRule="auto"/>
        <w:ind w:left="425" w:right="135" w:firstLine="592"/>
        <w:jc w:val="both"/>
      </w:pPr>
      <w:r>
        <w:rPr>
          <w:color w:val="3D3B3B"/>
          <w:w w:val="105"/>
        </w:rPr>
        <w:t>The typical moot court competition requires a team of two or m</w:t>
      </w:r>
      <w:r>
        <w:rPr>
          <w:color w:val="565657"/>
          <w:w w:val="105"/>
        </w:rPr>
        <w:t>o</w:t>
      </w:r>
      <w:r>
        <w:rPr>
          <w:color w:val="3D3B3B"/>
          <w:w w:val="105"/>
        </w:rPr>
        <w:t>re</w:t>
      </w:r>
      <w:r>
        <w:rPr>
          <w:color w:val="3D3B3B"/>
          <w:spacing w:val="-58"/>
          <w:w w:val="105"/>
        </w:rPr>
        <w:t> </w:t>
      </w:r>
      <w:r>
        <w:rPr>
          <w:color w:val="3D3B3B"/>
          <w:w w:val="105"/>
        </w:rPr>
        <w:t>students to complete an appellate brief and participate in a series of oral</w:t>
      </w:r>
      <w:r>
        <w:rPr>
          <w:color w:val="3D3B3B"/>
          <w:spacing w:val="1"/>
          <w:w w:val="105"/>
        </w:rPr>
        <w:t> </w:t>
      </w:r>
      <w:r>
        <w:rPr>
          <w:color w:val="3D3B3B"/>
        </w:rPr>
        <w:t>arguments. Competitors are usually provided a record of some kind, with</w:t>
      </w:r>
      <w:r>
        <w:rPr>
          <w:color w:val="3D3B3B"/>
          <w:spacing w:val="1"/>
        </w:rPr>
        <w:t> </w:t>
      </w:r>
      <w:r>
        <w:rPr>
          <w:color w:val="3D3B3B"/>
          <w:w w:val="105"/>
        </w:rPr>
        <w:t>varying amounts of factual and procedural information (e.g., depositions</w:t>
      </w:r>
      <w:r>
        <w:rPr>
          <w:color w:val="3D3B3B"/>
          <w:spacing w:val="1"/>
          <w:w w:val="105"/>
        </w:rPr>
        <w:t> </w:t>
      </w:r>
      <w:r>
        <w:rPr>
          <w:color w:val="3D3B3B"/>
          <w:spacing w:val="-1"/>
          <w:w w:val="105"/>
        </w:rPr>
        <w:t>or affidavits, stipulations</w:t>
      </w:r>
      <w:r>
        <w:rPr>
          <w:color w:val="565657"/>
          <w:spacing w:val="-1"/>
          <w:w w:val="105"/>
        </w:rPr>
        <w:t>, </w:t>
      </w:r>
      <w:r>
        <w:rPr>
          <w:color w:val="3D3B3B"/>
          <w:spacing w:val="-1"/>
          <w:w w:val="105"/>
        </w:rPr>
        <w:t>complaints) and complete or excerpted "deci­</w:t>
      </w:r>
      <w:r>
        <w:rPr>
          <w:color w:val="3D3B3B"/>
          <w:w w:val="105"/>
        </w:rPr>
        <w:t> </w:t>
      </w:r>
      <w:r>
        <w:rPr>
          <w:color w:val="3D3B3B"/>
        </w:rPr>
        <w:t>sions below." They must then write a brief and</w:t>
      </w:r>
      <w:r>
        <w:rPr>
          <w:color w:val="3D3B3B"/>
          <w:spacing w:val="57"/>
        </w:rPr>
        <w:t> </w:t>
      </w:r>
      <w:r>
        <w:rPr>
          <w:color w:val="3D3B3B"/>
        </w:rPr>
        <w:t>file it with the competition</w:t>
      </w:r>
      <w:r>
        <w:rPr>
          <w:color w:val="3D3B3B"/>
          <w:spacing w:val="1"/>
        </w:rPr>
        <w:t> </w:t>
      </w:r>
      <w:r>
        <w:rPr>
          <w:rFonts w:ascii="Arial" w:hAnsi="Arial"/>
          <w:i/>
          <w:color w:val="3D3B3B"/>
          <w:sz w:val="22"/>
        </w:rPr>
        <w:t>by </w:t>
      </w:r>
      <w:r>
        <w:rPr>
          <w:color w:val="3D3B3B"/>
        </w:rPr>
        <w:t>a certain date. Many competitions also require teams to file copies with</w:t>
      </w:r>
      <w:r>
        <w:rPr>
          <w:color w:val="3D3B3B"/>
          <w:spacing w:val="1"/>
        </w:rPr>
        <w:t> </w:t>
      </w:r>
      <w:r>
        <w:rPr>
          <w:color w:val="3D3B3B"/>
          <w:w w:val="105"/>
        </w:rPr>
        <w:t>the host of the competition and all of their potential opponents. Then</w:t>
      </w:r>
      <w:r>
        <w:rPr>
          <w:color w:val="565657"/>
          <w:w w:val="105"/>
        </w:rPr>
        <w:t>,</w:t>
      </w:r>
      <w:r>
        <w:rPr>
          <w:color w:val="565657"/>
          <w:spacing w:val="1"/>
          <w:w w:val="105"/>
        </w:rPr>
        <w:t> </w:t>
      </w:r>
      <w:r>
        <w:rPr>
          <w:color w:val="3D3B3B"/>
          <w:w w:val="105"/>
        </w:rPr>
        <w:t>after some time to allow for practice arguments and</w:t>
      </w:r>
      <w:r>
        <w:rPr>
          <w:color w:val="3D3B3B"/>
          <w:spacing w:val="1"/>
          <w:w w:val="105"/>
        </w:rPr>
        <w:t> </w:t>
      </w:r>
      <w:r>
        <w:rPr>
          <w:color w:val="3D3B3B"/>
          <w:w w:val="105"/>
        </w:rPr>
        <w:t>for scoring of the</w:t>
      </w:r>
      <w:r>
        <w:rPr>
          <w:color w:val="3D3B3B"/>
          <w:spacing w:val="1"/>
          <w:w w:val="105"/>
        </w:rPr>
        <w:t> </w:t>
      </w:r>
      <w:r>
        <w:rPr>
          <w:color w:val="3D3B3B"/>
        </w:rPr>
        <w:t>briefs by the competition's representatives, the</w:t>
      </w:r>
      <w:r>
        <w:rPr>
          <w:color w:val="3D3B3B"/>
          <w:spacing w:val="1"/>
        </w:rPr>
        <w:t> </w:t>
      </w:r>
      <w:r>
        <w:rPr>
          <w:color w:val="3D3B3B"/>
        </w:rPr>
        <w:t>teams gather for oral </w:t>
      </w:r>
      <w:r>
        <w:rPr>
          <w:color w:val="3D3B3B"/>
          <w:sz w:val="24"/>
        </w:rPr>
        <w:t>argu.</w:t>
      </w:r>
      <w:r>
        <w:rPr>
          <w:color w:val="3D3B3B"/>
          <w:spacing w:val="1"/>
          <w:sz w:val="24"/>
        </w:rPr>
        <w:t> </w:t>
      </w:r>
      <w:r>
        <w:rPr>
          <w:color w:val="3D3B3B"/>
          <w:w w:val="105"/>
        </w:rPr>
        <w:t>ment</w:t>
      </w:r>
      <w:r>
        <w:rPr>
          <w:color w:val="3D3B3B"/>
          <w:spacing w:val="-5"/>
          <w:w w:val="105"/>
        </w:rPr>
        <w:t> </w:t>
      </w:r>
      <w:r>
        <w:rPr>
          <w:color w:val="3D3B3B"/>
          <w:w w:val="105"/>
        </w:rPr>
        <w:t>rounds</w:t>
      </w:r>
      <w:r>
        <w:rPr>
          <w:color w:val="565657"/>
          <w:w w:val="105"/>
        </w:rPr>
        <w:t>.</w:t>
      </w:r>
    </w:p>
    <w:p>
      <w:pPr>
        <w:pStyle w:val="BodyText"/>
        <w:spacing w:line="230" w:lineRule="auto"/>
        <w:ind w:left="400" w:right="168" w:firstLine="363"/>
        <w:jc w:val="both"/>
      </w:pPr>
      <w:r>
        <w:rPr>
          <w:color w:val="3D3B3B"/>
          <w:w w:val="105"/>
        </w:rPr>
        <w:t>Unlike real</w:t>
      </w:r>
      <w:r>
        <w:rPr>
          <w:color w:val="565657"/>
          <w:w w:val="105"/>
        </w:rPr>
        <w:t>-</w:t>
      </w:r>
      <w:r>
        <w:rPr>
          <w:color w:val="3D3B3B"/>
          <w:w w:val="105"/>
        </w:rPr>
        <w:t>l</w:t>
      </w:r>
      <w:r>
        <w:rPr>
          <w:color w:val="565657"/>
          <w:w w:val="105"/>
        </w:rPr>
        <w:t>i</w:t>
      </w:r>
      <w:r>
        <w:rPr>
          <w:color w:val="3D3B3B"/>
          <w:w w:val="105"/>
        </w:rPr>
        <w:t>fe attorneys, students in moot court competitions often</w:t>
      </w:r>
      <w:r>
        <w:rPr>
          <w:color w:val="3D3B3B"/>
          <w:spacing w:val="1"/>
          <w:w w:val="105"/>
        </w:rPr>
        <w:t> </w:t>
      </w:r>
      <w:r>
        <w:rPr>
          <w:color w:val="3D3B3B"/>
          <w:w w:val="105"/>
        </w:rPr>
        <w:t>argue both sides of the case, although they usually complete only one</w:t>
      </w:r>
      <w:r>
        <w:rPr>
          <w:color w:val="3D3B3B"/>
          <w:spacing w:val="1"/>
          <w:w w:val="105"/>
        </w:rPr>
        <w:t> </w:t>
      </w:r>
      <w:r>
        <w:rPr>
          <w:color w:val="3D3B3B"/>
        </w:rPr>
        <w:t>brief.</w:t>
      </w:r>
      <w:r>
        <w:rPr>
          <w:color w:val="3D3B3B"/>
          <w:spacing w:val="-6"/>
        </w:rPr>
        <w:t> </w:t>
      </w:r>
      <w:r>
        <w:rPr>
          <w:color w:val="3D3B3B"/>
        </w:rPr>
        <w:t>The score</w:t>
      </w:r>
      <w:r>
        <w:rPr>
          <w:color w:val="3D3B3B"/>
          <w:spacing w:val="6"/>
        </w:rPr>
        <w:t> </w:t>
      </w:r>
      <w:r>
        <w:rPr>
          <w:color w:val="3D3B3B"/>
        </w:rPr>
        <w:t>in</w:t>
      </w:r>
      <w:r>
        <w:rPr>
          <w:color w:val="3D3B3B"/>
          <w:spacing w:val="29"/>
        </w:rPr>
        <w:t> </w:t>
      </w:r>
      <w:r>
        <w:rPr>
          <w:color w:val="3D3B3B"/>
        </w:rPr>
        <w:t>each</w:t>
      </w:r>
      <w:r>
        <w:rPr>
          <w:color w:val="3D3B3B"/>
          <w:spacing w:val="32"/>
        </w:rPr>
        <w:t> </w:t>
      </w:r>
      <w:r>
        <w:rPr>
          <w:color w:val="3D3B3B"/>
        </w:rPr>
        <w:t>round</w:t>
      </w:r>
      <w:r>
        <w:rPr>
          <w:color w:val="3D3B3B"/>
          <w:spacing w:val="40"/>
        </w:rPr>
        <w:t> </w:t>
      </w:r>
      <w:r>
        <w:rPr>
          <w:color w:val="3D3B3B"/>
        </w:rPr>
        <w:t>is</w:t>
      </w:r>
      <w:r>
        <w:rPr>
          <w:color w:val="3D3B3B"/>
          <w:spacing w:val="4"/>
        </w:rPr>
        <w:t> </w:t>
      </w:r>
      <w:r>
        <w:rPr>
          <w:color w:val="3D3B3B"/>
        </w:rPr>
        <w:t>typ</w:t>
      </w:r>
      <w:r>
        <w:rPr>
          <w:color w:val="565657"/>
        </w:rPr>
        <w:t>i</w:t>
      </w:r>
      <w:r>
        <w:rPr>
          <w:color w:val="3D3B3B"/>
        </w:rPr>
        <w:t>cally</w:t>
      </w:r>
      <w:r>
        <w:rPr>
          <w:color w:val="3D3B3B"/>
          <w:spacing w:val="30"/>
        </w:rPr>
        <w:t> </w:t>
      </w:r>
      <w:r>
        <w:rPr>
          <w:color w:val="3D3B3B"/>
        </w:rPr>
        <w:t>based</w:t>
      </w:r>
      <w:r>
        <w:rPr>
          <w:color w:val="3D3B3B"/>
          <w:spacing w:val="30"/>
        </w:rPr>
        <w:t> </w:t>
      </w:r>
      <w:r>
        <w:rPr>
          <w:color w:val="3D3B3B"/>
        </w:rPr>
        <w:t>on</w:t>
      </w:r>
      <w:r>
        <w:rPr>
          <w:color w:val="3D3B3B"/>
          <w:spacing w:val="16"/>
        </w:rPr>
        <w:t> </w:t>
      </w:r>
      <w:r>
        <w:rPr>
          <w:color w:val="3D3B3B"/>
        </w:rPr>
        <w:t>a</w:t>
      </w:r>
      <w:r>
        <w:rPr>
          <w:color w:val="3D3B3B"/>
          <w:spacing w:val="47"/>
        </w:rPr>
        <w:t> </w:t>
      </w:r>
      <w:r>
        <w:rPr>
          <w:color w:val="3D3B3B"/>
        </w:rPr>
        <w:t>combination</w:t>
      </w:r>
      <w:r>
        <w:rPr>
          <w:color w:val="3D3B3B"/>
          <w:spacing w:val="33"/>
        </w:rPr>
        <w:t> </w:t>
      </w:r>
      <w:r>
        <w:rPr>
          <w:color w:val="3D3B3B"/>
        </w:rPr>
        <w:t>of</w:t>
      </w:r>
      <w:r>
        <w:rPr>
          <w:color w:val="3D3B3B"/>
          <w:spacing w:val="19"/>
        </w:rPr>
        <w:t> </w:t>
      </w:r>
      <w:r>
        <w:rPr>
          <w:color w:val="3D3B3B"/>
        </w:rPr>
        <w:t>the</w:t>
      </w:r>
    </w:p>
    <w:p>
      <w:pPr>
        <w:pStyle w:val="BodyText"/>
        <w:spacing w:before="9"/>
        <w:rPr>
          <w:sz w:val="30"/>
        </w:rPr>
      </w:pPr>
    </w:p>
    <w:p>
      <w:pPr>
        <w:spacing w:line="206" w:lineRule="exact" w:before="1"/>
        <w:ind w:left="733" w:right="0" w:firstLine="0"/>
        <w:jc w:val="left"/>
        <w:rPr>
          <w:i/>
          <w:sz w:val="19"/>
        </w:rPr>
      </w:pPr>
      <w:r>
        <w:rPr>
          <w:color w:val="565657"/>
          <w:w w:val="90"/>
          <w:position w:val="4"/>
          <w:sz w:val="11"/>
        </w:rPr>
        <w:t>1</w:t>
      </w:r>
      <w:r>
        <w:rPr>
          <w:color w:val="565657"/>
          <w:spacing w:val="-9"/>
          <w:w w:val="90"/>
          <w:position w:val="4"/>
          <w:sz w:val="11"/>
        </w:rPr>
        <w:t> </w:t>
      </w:r>
      <w:r>
        <w:rPr>
          <w:i/>
          <w:color w:val="3D3B3B"/>
          <w:w w:val="90"/>
          <w:sz w:val="19"/>
        </w:rPr>
        <w:t>S</w:t>
      </w:r>
      <w:r>
        <w:rPr>
          <w:i/>
          <w:color w:val="565657"/>
          <w:w w:val="90"/>
          <w:sz w:val="19"/>
        </w:rPr>
        <w:t>e</w:t>
      </w:r>
      <w:r>
        <w:rPr>
          <w:i/>
          <w:color w:val="3D3B3B"/>
          <w:w w:val="90"/>
          <w:sz w:val="19"/>
        </w:rPr>
        <w:t>e</w:t>
      </w:r>
      <w:r>
        <w:rPr>
          <w:i/>
          <w:color w:val="3D3B3B"/>
          <w:spacing w:val="-12"/>
          <w:w w:val="90"/>
          <w:sz w:val="19"/>
        </w:rPr>
        <w:t> </w:t>
      </w:r>
      <w:r>
        <w:rPr>
          <w:i/>
          <w:color w:val="3D3B3B"/>
          <w:w w:val="90"/>
          <w:sz w:val="19"/>
        </w:rPr>
        <w:t>also</w:t>
      </w:r>
      <w:r>
        <w:rPr>
          <w:i/>
          <w:color w:val="3D3B3B"/>
          <w:spacing w:val="-11"/>
          <w:w w:val="90"/>
          <w:sz w:val="19"/>
        </w:rPr>
        <w:t> </w:t>
      </w:r>
      <w:r>
        <w:rPr>
          <w:color w:val="3D3B3B"/>
          <w:w w:val="90"/>
          <w:sz w:val="17"/>
        </w:rPr>
        <w:t>Sanford</w:t>
      </w:r>
      <w:r>
        <w:rPr>
          <w:color w:val="3D3B3B"/>
          <w:spacing w:val="41"/>
          <w:sz w:val="17"/>
        </w:rPr>
        <w:t> </w:t>
      </w:r>
      <w:r>
        <w:rPr>
          <w:color w:val="3D3B3B"/>
          <w:w w:val="90"/>
          <w:sz w:val="17"/>
        </w:rPr>
        <w:t>N.Greenberg</w:t>
      </w:r>
      <w:r>
        <w:rPr>
          <w:color w:val="565657"/>
          <w:w w:val="90"/>
          <w:sz w:val="17"/>
        </w:rPr>
        <w:t>,</w:t>
      </w:r>
      <w:r>
        <w:rPr>
          <w:color w:val="565657"/>
          <w:spacing w:val="35"/>
          <w:w w:val="90"/>
          <w:sz w:val="17"/>
        </w:rPr>
        <w:t> </w:t>
      </w:r>
      <w:r>
        <w:rPr>
          <w:i/>
          <w:color w:val="3D3B3B"/>
          <w:w w:val="90"/>
          <w:sz w:val="18"/>
        </w:rPr>
        <w:t>Appellate</w:t>
      </w:r>
      <w:r>
        <w:rPr>
          <w:i/>
          <w:color w:val="3D3B3B"/>
          <w:spacing w:val="35"/>
          <w:w w:val="90"/>
          <w:sz w:val="18"/>
        </w:rPr>
        <w:t> </w:t>
      </w:r>
      <w:r>
        <w:rPr>
          <w:i/>
          <w:color w:val="3D3B3B"/>
          <w:w w:val="90"/>
          <w:sz w:val="18"/>
        </w:rPr>
        <w:t>Advocacy</w:t>
      </w:r>
      <w:r>
        <w:rPr>
          <w:i/>
          <w:color w:val="3D3B3B"/>
          <w:spacing w:val="-7"/>
          <w:w w:val="90"/>
          <w:sz w:val="18"/>
        </w:rPr>
        <w:t> </w:t>
      </w:r>
      <w:r>
        <w:rPr>
          <w:i/>
          <w:color w:val="3D3B3B"/>
          <w:w w:val="90"/>
          <w:sz w:val="18"/>
        </w:rPr>
        <w:t>Competitio11s: Let</w:t>
      </w:r>
      <w:r>
        <w:rPr>
          <w:i/>
          <w:color w:val="565657"/>
          <w:w w:val="90"/>
          <w:sz w:val="18"/>
        </w:rPr>
        <w:t>'</w:t>
      </w:r>
      <w:r>
        <w:rPr>
          <w:i/>
          <w:color w:val="3D3B3B"/>
          <w:w w:val="90"/>
          <w:sz w:val="18"/>
        </w:rPr>
        <w:t>s</w:t>
      </w:r>
      <w:r>
        <w:rPr>
          <w:i/>
          <w:color w:val="3D3B3B"/>
          <w:spacing w:val="43"/>
          <w:sz w:val="18"/>
        </w:rPr>
        <w:t> </w:t>
      </w:r>
      <w:r>
        <w:rPr>
          <w:i/>
          <w:color w:val="3D3B3B"/>
          <w:w w:val="90"/>
          <w:sz w:val="18"/>
        </w:rPr>
        <w:t>Loosen</w:t>
      </w:r>
      <w:r>
        <w:rPr>
          <w:i/>
          <w:color w:val="3D3B3B"/>
          <w:spacing w:val="27"/>
          <w:w w:val="90"/>
          <w:sz w:val="18"/>
        </w:rPr>
        <w:t> </w:t>
      </w:r>
      <w:r>
        <w:rPr>
          <w:i/>
          <w:color w:val="3D3B3B"/>
          <w:w w:val="90"/>
          <w:sz w:val="19"/>
        </w:rPr>
        <w:t>Some</w:t>
      </w:r>
      <w:r>
        <w:rPr>
          <w:i/>
          <w:color w:val="3D3B3B"/>
          <w:spacing w:val="19"/>
          <w:w w:val="90"/>
          <w:sz w:val="19"/>
        </w:rPr>
        <w:t> </w:t>
      </w:r>
      <w:r>
        <w:rPr>
          <w:i/>
          <w:color w:val="3D3B3B"/>
          <w:w w:val="90"/>
          <w:sz w:val="19"/>
        </w:rPr>
        <w:t>Restri</w:t>
      </w:r>
      <w:r>
        <w:rPr>
          <w:i/>
          <w:color w:val="565657"/>
          <w:w w:val="90"/>
          <w:sz w:val="19"/>
        </w:rPr>
        <w:t>c</w:t>
      </w:r>
      <w:r>
        <w:rPr>
          <w:i/>
          <w:color w:val="3D3B3B"/>
          <w:w w:val="90"/>
          <w:sz w:val="19"/>
        </w:rPr>
        <w:t>tions</w:t>
      </w:r>
    </w:p>
    <w:p>
      <w:pPr>
        <w:spacing w:line="217" w:lineRule="exact" w:before="0"/>
        <w:ind w:left="364" w:right="0" w:firstLine="0"/>
        <w:jc w:val="left"/>
        <w:rPr>
          <w:sz w:val="16"/>
        </w:rPr>
      </w:pPr>
      <w:r>
        <w:rPr>
          <w:i/>
          <w:color w:val="3D3B3B"/>
          <w:w w:val="95"/>
          <w:sz w:val="18"/>
        </w:rPr>
        <w:t>on</w:t>
      </w:r>
      <w:r>
        <w:rPr>
          <w:i/>
          <w:color w:val="3D3B3B"/>
          <w:spacing w:val="-8"/>
          <w:w w:val="95"/>
          <w:sz w:val="18"/>
        </w:rPr>
        <w:t> </w:t>
      </w:r>
      <w:r>
        <w:rPr>
          <w:i/>
          <w:color w:val="3D3B3B"/>
          <w:w w:val="95"/>
          <w:sz w:val="18"/>
        </w:rPr>
        <w:t>Fac11/ty</w:t>
      </w:r>
      <w:r>
        <w:rPr>
          <w:i/>
          <w:color w:val="3D3B3B"/>
          <w:spacing w:val="-11"/>
          <w:w w:val="95"/>
          <w:sz w:val="18"/>
        </w:rPr>
        <w:t> </w:t>
      </w:r>
      <w:r>
        <w:rPr>
          <w:i/>
          <w:color w:val="3D3B3B"/>
          <w:w w:val="95"/>
          <w:sz w:val="18"/>
        </w:rPr>
        <w:t>A</w:t>
      </w:r>
      <w:r>
        <w:rPr>
          <w:i/>
          <w:color w:val="565657"/>
          <w:w w:val="95"/>
          <w:sz w:val="18"/>
        </w:rPr>
        <w:t>s</w:t>
      </w:r>
      <w:r>
        <w:rPr>
          <w:i/>
          <w:color w:val="3D3B3B"/>
          <w:w w:val="95"/>
          <w:sz w:val="18"/>
        </w:rPr>
        <w:t>sistance</w:t>
      </w:r>
      <w:r>
        <w:rPr>
          <w:i/>
          <w:color w:val="565657"/>
          <w:w w:val="95"/>
          <w:sz w:val="18"/>
        </w:rPr>
        <w:t>,</w:t>
      </w:r>
      <w:r>
        <w:rPr>
          <w:i/>
          <w:color w:val="565657"/>
          <w:spacing w:val="5"/>
          <w:w w:val="95"/>
          <w:sz w:val="18"/>
        </w:rPr>
        <w:t> </w:t>
      </w:r>
      <w:r>
        <w:rPr>
          <w:color w:val="3D3B3B"/>
          <w:w w:val="95"/>
          <w:sz w:val="16"/>
        </w:rPr>
        <w:t>49</w:t>
      </w:r>
      <w:r>
        <w:rPr>
          <w:color w:val="3D3B3B"/>
          <w:spacing w:val="28"/>
          <w:w w:val="95"/>
          <w:sz w:val="16"/>
        </w:rPr>
        <w:t> </w:t>
      </w:r>
      <w:r>
        <w:rPr>
          <w:color w:val="3D3B3B"/>
          <w:w w:val="95"/>
          <w:sz w:val="20"/>
        </w:rPr>
        <w:t>J</w:t>
      </w:r>
      <w:r>
        <w:rPr>
          <w:color w:val="565657"/>
          <w:w w:val="95"/>
          <w:sz w:val="20"/>
        </w:rPr>
        <w:t>.</w:t>
      </w:r>
      <w:r>
        <w:rPr>
          <w:color w:val="565657"/>
          <w:spacing w:val="-7"/>
          <w:w w:val="95"/>
          <w:sz w:val="20"/>
        </w:rPr>
        <w:t> </w:t>
      </w:r>
      <w:r>
        <w:rPr>
          <w:color w:val="3D3B3B"/>
          <w:w w:val="95"/>
          <w:sz w:val="16"/>
        </w:rPr>
        <w:t>Legal</w:t>
      </w:r>
      <w:r>
        <w:rPr>
          <w:color w:val="3D3B3B"/>
          <w:spacing w:val="7"/>
          <w:w w:val="95"/>
          <w:sz w:val="16"/>
        </w:rPr>
        <w:t> </w:t>
      </w:r>
      <w:r>
        <w:rPr>
          <w:color w:val="3D3B3B"/>
          <w:w w:val="95"/>
          <w:sz w:val="16"/>
        </w:rPr>
        <w:t>Educ.</w:t>
      </w:r>
      <w:r>
        <w:rPr>
          <w:color w:val="3D3B3B"/>
          <w:spacing w:val="-6"/>
          <w:w w:val="95"/>
          <w:sz w:val="16"/>
        </w:rPr>
        <w:t> </w:t>
      </w:r>
      <w:r>
        <w:rPr>
          <w:i/>
          <w:color w:val="3D3B3B"/>
          <w:w w:val="95"/>
          <w:sz w:val="18"/>
        </w:rPr>
        <w:t>545</w:t>
      </w:r>
      <w:r>
        <w:rPr>
          <w:i/>
          <w:color w:val="565657"/>
          <w:w w:val="95"/>
          <w:sz w:val="18"/>
        </w:rPr>
        <w:t>, </w:t>
      </w:r>
      <w:r>
        <w:rPr>
          <w:i/>
          <w:color w:val="3D3B3B"/>
          <w:w w:val="95"/>
          <w:sz w:val="18"/>
        </w:rPr>
        <w:t>555</w:t>
      </w:r>
      <w:r>
        <w:rPr>
          <w:i/>
          <w:color w:val="3D3B3B"/>
          <w:spacing w:val="9"/>
          <w:w w:val="95"/>
          <w:sz w:val="18"/>
        </w:rPr>
        <w:t> </w:t>
      </w:r>
      <w:r>
        <w:rPr>
          <w:color w:val="3D3B3B"/>
          <w:w w:val="95"/>
          <w:sz w:val="16"/>
        </w:rPr>
        <w:t>(1999).</w:t>
      </w:r>
    </w:p>
    <w:p>
      <w:pPr>
        <w:spacing w:after="0" w:line="217" w:lineRule="exact"/>
        <w:jc w:val="left"/>
        <w:rPr>
          <w:sz w:val="16"/>
        </w:rPr>
        <w:sectPr>
          <w:headerReference w:type="even" r:id="rId353"/>
          <w:pgSz w:w="8970" w:h="14020"/>
          <w:pgMar w:header="491" w:footer="0" w:top="1080" w:bottom="0" w:left="1240" w:right="100"/>
        </w:sectPr>
      </w:pPr>
    </w:p>
    <w:p>
      <w:pPr>
        <w:spacing w:line="569" w:lineRule="exact" w:before="0"/>
        <w:ind w:left="-23" w:right="0" w:firstLine="0"/>
        <w:jc w:val="left"/>
        <w:rPr>
          <w:rFonts w:ascii="Arial"/>
          <w:sz w:val="70"/>
        </w:rPr>
      </w:pPr>
      <w:r>
        <w:rPr>
          <w:rFonts w:ascii="Arial"/>
          <w:color w:val="383638"/>
          <w:w w:val="114"/>
          <w:sz w:val="70"/>
        </w:rPr>
        <w:t>'</w:t>
      </w:r>
    </w:p>
    <w:p>
      <w:pPr>
        <w:tabs>
          <w:tab w:pos="8431" w:val="right" w:leader="none"/>
        </w:tabs>
        <w:spacing w:line="202" w:lineRule="exact" w:before="0"/>
        <w:ind w:left="2392" w:right="0" w:firstLine="0"/>
        <w:jc w:val="left"/>
        <w:rPr>
          <w:rFonts w:ascii="Arial"/>
          <w:b/>
          <w:sz w:val="18"/>
        </w:rPr>
      </w:pPr>
      <w:r>
        <w:rPr>
          <w:rFonts w:ascii="Arial"/>
          <w:color w:val="383638"/>
          <w:sz w:val="17"/>
        </w:rPr>
        <w:t>14.2</w:t>
      </w:r>
      <w:r>
        <w:rPr>
          <w:rFonts w:ascii="Arial"/>
          <w:color w:val="383638"/>
          <w:spacing w:val="38"/>
          <w:sz w:val="17"/>
        </w:rPr>
        <w:t> </w:t>
      </w:r>
      <w:r>
        <w:rPr>
          <w:rFonts w:ascii="Arial"/>
          <w:color w:val="383638"/>
          <w:sz w:val="17"/>
        </w:rPr>
        <w:t>Differences</w:t>
      </w:r>
      <w:r>
        <w:rPr>
          <w:rFonts w:ascii="Arial"/>
          <w:color w:val="383638"/>
          <w:spacing w:val="1"/>
          <w:sz w:val="17"/>
        </w:rPr>
        <w:t> </w:t>
      </w:r>
      <w:r>
        <w:rPr>
          <w:rFonts w:ascii="Arial"/>
          <w:b/>
          <w:color w:val="383638"/>
          <w:sz w:val="18"/>
        </w:rPr>
        <w:t>Between</w:t>
      </w:r>
      <w:r>
        <w:rPr>
          <w:rFonts w:ascii="Arial"/>
          <w:b/>
          <w:color w:val="383638"/>
          <w:spacing w:val="-8"/>
          <w:sz w:val="18"/>
        </w:rPr>
        <w:t> </w:t>
      </w:r>
      <w:r>
        <w:rPr>
          <w:rFonts w:ascii="Arial"/>
          <w:color w:val="383638"/>
          <w:sz w:val="17"/>
        </w:rPr>
        <w:t>Moot</w:t>
      </w:r>
      <w:r>
        <w:rPr>
          <w:rFonts w:ascii="Arial"/>
          <w:color w:val="383638"/>
          <w:spacing w:val="-11"/>
          <w:sz w:val="17"/>
        </w:rPr>
        <w:t> </w:t>
      </w:r>
      <w:r>
        <w:rPr>
          <w:rFonts w:ascii="Arial"/>
          <w:color w:val="383638"/>
          <w:sz w:val="17"/>
        </w:rPr>
        <w:t>Court</w:t>
      </w:r>
      <w:r>
        <w:rPr>
          <w:rFonts w:ascii="Arial"/>
          <w:color w:val="383638"/>
          <w:spacing w:val="-20"/>
          <w:sz w:val="17"/>
        </w:rPr>
        <w:t> </w:t>
      </w:r>
      <w:r>
        <w:rPr>
          <w:rFonts w:ascii="Arial"/>
          <w:color w:val="383638"/>
          <w:sz w:val="17"/>
        </w:rPr>
        <w:t>Competitions</w:t>
      </w:r>
      <w:r>
        <w:rPr>
          <w:rFonts w:ascii="Arial"/>
          <w:color w:val="383638"/>
          <w:spacing w:val="3"/>
          <w:sz w:val="17"/>
        </w:rPr>
        <w:t> </w:t>
      </w:r>
      <w:r>
        <w:rPr>
          <w:rFonts w:ascii="Arial"/>
          <w:color w:val="383638"/>
          <w:sz w:val="17"/>
        </w:rPr>
        <w:t>and</w:t>
      </w:r>
      <w:r>
        <w:rPr>
          <w:rFonts w:ascii="Arial"/>
          <w:color w:val="383638"/>
          <w:spacing w:val="10"/>
          <w:sz w:val="17"/>
        </w:rPr>
        <w:t> </w:t>
      </w:r>
      <w:r>
        <w:rPr>
          <w:rFonts w:ascii="Arial"/>
          <w:color w:val="383638"/>
          <w:sz w:val="17"/>
        </w:rPr>
        <w:t>"Real</w:t>
      </w:r>
      <w:r>
        <w:rPr>
          <w:rFonts w:ascii="Arial"/>
          <w:color w:val="383638"/>
          <w:spacing w:val="-15"/>
          <w:sz w:val="17"/>
        </w:rPr>
        <w:t> </w:t>
      </w:r>
      <w:r>
        <w:rPr>
          <w:rFonts w:ascii="Arial"/>
          <w:color w:val="383638"/>
          <w:sz w:val="18"/>
        </w:rPr>
        <w:t>LifeH</w:t>
        <w:tab/>
      </w:r>
      <w:r>
        <w:rPr>
          <w:rFonts w:ascii="Arial"/>
          <w:b/>
          <w:color w:val="383638"/>
          <w:sz w:val="18"/>
        </w:rPr>
        <w:t>313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1"/>
        </w:rPr>
      </w:pPr>
    </w:p>
    <w:p>
      <w:pPr>
        <w:pStyle w:val="BodyText"/>
        <w:spacing w:line="232" w:lineRule="auto"/>
        <w:ind w:left="335" w:right="785" w:firstLine="18"/>
        <w:jc w:val="both"/>
      </w:pPr>
      <w:r>
        <w:rPr>
          <w:color w:val="383638"/>
          <w:w w:val="110"/>
        </w:rPr>
        <w:t>team's brief score and oral argument score. In real life, the brief usually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has much more impact than the oral argument, but in most moot court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competitions,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oral argument is worth a higher percentage of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score.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That said, however, the  brief score is often dispositive: </w:t>
      </w:r>
      <w:r>
        <w:rPr>
          <w:color w:val="383638"/>
          <w:w w:val="105"/>
          <w:sz w:val="22"/>
        </w:rPr>
        <w:t>If </w:t>
      </w:r>
      <w:r>
        <w:rPr>
          <w:color w:val="383638"/>
          <w:w w:val="105"/>
        </w:rPr>
        <w:t>the  brief scores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are spread over a broad range (as is common), the close oral argument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scores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are</w:t>
      </w:r>
      <w:r>
        <w:rPr>
          <w:color w:val="383638"/>
          <w:spacing w:val="-27"/>
          <w:w w:val="110"/>
        </w:rPr>
        <w:t> </w:t>
      </w:r>
      <w:r>
        <w:rPr>
          <w:color w:val="383638"/>
          <w:w w:val="110"/>
        </w:rPr>
        <w:t>awarded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31"/>
          <w:w w:val="110"/>
        </w:rPr>
        <w:t> </w:t>
      </w:r>
      <w:r>
        <w:rPr>
          <w:color w:val="383638"/>
          <w:w w:val="110"/>
        </w:rPr>
        <w:t>many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rounds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can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mean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brief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score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will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determine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47"/>
          <w:w w:val="110"/>
        </w:rPr>
        <w:t> </w:t>
      </w:r>
      <w:r>
        <w:rPr>
          <w:color w:val="383638"/>
          <w:w w:val="110"/>
        </w:rPr>
        <w:t>winning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team.</w:t>
      </w:r>
    </w:p>
    <w:p>
      <w:pPr>
        <w:pStyle w:val="BodyText"/>
        <w:spacing w:line="232" w:lineRule="auto" w:before="16"/>
        <w:ind w:left="319" w:right="737" w:firstLine="309"/>
        <w:jc w:val="both"/>
      </w:pPr>
      <w:r>
        <w:rPr>
          <w:color w:val="383638"/>
          <w:w w:val="110"/>
        </w:rPr>
        <w:t>The requirements as to faculty participation vary; usually</w:t>
      </w:r>
      <w:r>
        <w:rPr>
          <w:color w:val="575759"/>
          <w:w w:val="110"/>
        </w:rPr>
        <w:t>, </w:t>
      </w:r>
      <w:r>
        <w:rPr>
          <w:color w:val="383638"/>
          <w:w w:val="110"/>
        </w:rPr>
        <w:t>the amount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of outside help the students may receive during the briefing process is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more limited than the help available after the brief is turned in. Sadly,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some competitions even limit the amount of help students may receive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during practice arguments.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For many students, the learning that takes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place during these practice arguments is invaluable. They learn not only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about their own case, but </w:t>
      </w:r>
      <w:r>
        <w:rPr>
          <w:color w:val="383638"/>
          <w:w w:val="110"/>
        </w:rPr>
        <w:t>also, by listening to the stories the practice argu­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ment judges tell about their real-life experience with cases of this type,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they</w:t>
      </w:r>
      <w:r>
        <w:rPr>
          <w:color w:val="383638"/>
          <w:spacing w:val="-26"/>
          <w:w w:val="110"/>
        </w:rPr>
        <w:t> </w:t>
      </w:r>
      <w:r>
        <w:rPr>
          <w:color w:val="383638"/>
          <w:w w:val="110"/>
        </w:rPr>
        <w:t>learn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much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about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practice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law.</w:t>
      </w:r>
      <w:r>
        <w:rPr>
          <w:color w:val="383638"/>
          <w:spacing w:val="-34"/>
          <w:w w:val="110"/>
        </w:rPr>
        <w:t> </w:t>
      </w:r>
      <w:r>
        <w:rPr>
          <w:color w:val="383638"/>
          <w:w w:val="110"/>
        </w:rPr>
        <w:t>Thus,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if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36"/>
          <w:w w:val="110"/>
        </w:rPr>
        <w:t> </w:t>
      </w:r>
      <w:r>
        <w:rPr>
          <w:color w:val="383638"/>
          <w:w w:val="110"/>
        </w:rPr>
        <w:t>have</w:t>
      </w:r>
      <w:r>
        <w:rPr>
          <w:color w:val="383638"/>
          <w:spacing w:val="-23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choice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which competitions your school may enter or as to which team you wish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 try out for, you may want to review the rules of the competitions 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are interested in or talk to the coaches to see which competition's rules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will</w:t>
      </w:r>
      <w:r>
        <w:rPr>
          <w:color w:val="383638"/>
          <w:spacing w:val="-16"/>
          <w:w w:val="105"/>
        </w:rPr>
        <w:t> </w:t>
      </w:r>
      <w:r>
        <w:rPr>
          <w:color w:val="383638"/>
          <w:w w:val="105"/>
        </w:rPr>
        <w:t>give</w:t>
      </w:r>
      <w:r>
        <w:rPr>
          <w:color w:val="383638"/>
          <w:spacing w:val="-13"/>
          <w:w w:val="105"/>
        </w:rPr>
        <w:t> </w:t>
      </w:r>
      <w:r>
        <w:rPr>
          <w:color w:val="383638"/>
          <w:w w:val="105"/>
        </w:rPr>
        <w:t>you</w:t>
      </w:r>
      <w:r>
        <w:rPr>
          <w:color w:val="383638"/>
          <w:spacing w:val="41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3"/>
          <w:w w:val="105"/>
        </w:rPr>
        <w:t> </w:t>
      </w:r>
      <w:r>
        <w:rPr>
          <w:color w:val="383638"/>
          <w:w w:val="105"/>
        </w:rPr>
        <w:t>best</w:t>
      </w:r>
      <w:r>
        <w:rPr>
          <w:color w:val="383638"/>
          <w:spacing w:val="7"/>
          <w:w w:val="105"/>
        </w:rPr>
        <w:t> </w:t>
      </w:r>
      <w:r>
        <w:rPr>
          <w:color w:val="383638"/>
          <w:w w:val="105"/>
        </w:rPr>
        <w:t>possible</w:t>
      </w:r>
      <w:r>
        <w:rPr>
          <w:color w:val="383638"/>
          <w:spacing w:val="-1"/>
          <w:w w:val="105"/>
        </w:rPr>
        <w:t> </w:t>
      </w:r>
      <w:r>
        <w:rPr>
          <w:color w:val="383638"/>
          <w:w w:val="105"/>
        </w:rPr>
        <w:t>experience.</w:t>
      </w:r>
    </w:p>
    <w:p>
      <w:pPr>
        <w:pStyle w:val="BodyText"/>
        <w:spacing w:line="232" w:lineRule="auto" w:before="18"/>
        <w:ind w:left="319" w:right="728" w:firstLine="308"/>
        <w:jc w:val="both"/>
      </w:pPr>
      <w:r>
        <w:rPr>
          <w:color w:val="383638"/>
          <w:w w:val="110"/>
        </w:rPr>
        <w:t>Once you are on a team, your first task on receiving the materials for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competition should be to read the rules with a highlighter. Although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 </w:t>
      </w:r>
      <w:r>
        <w:rPr>
          <w:color w:val="383638"/>
          <w:w w:val="110"/>
          <w:sz w:val="22"/>
        </w:rPr>
        <w:t>will </w:t>
      </w:r>
      <w:r>
        <w:rPr>
          <w:color w:val="383638"/>
          <w:w w:val="110"/>
        </w:rPr>
        <w:t>need to be aware of formatting requirements (e.g., typeface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page limit specifications), your first focus should be on the requirements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as to </w:t>
      </w:r>
      <w:r>
        <w:rPr>
          <w:rFonts w:ascii="Arial" w:hAnsi="Arial"/>
          <w:color w:val="383638"/>
          <w:w w:val="110"/>
          <w:sz w:val="19"/>
        </w:rPr>
        <w:t>(1)</w:t>
      </w:r>
      <w:r>
        <w:rPr>
          <w:rFonts w:ascii="Arial" w:hAnsi="Arial"/>
          <w:color w:val="383638"/>
          <w:spacing w:val="1"/>
          <w:w w:val="110"/>
          <w:sz w:val="19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type of assistance that maybegiven</w:t>
      </w:r>
      <w:r>
        <w:rPr>
          <w:color w:val="575759"/>
          <w:w w:val="110"/>
        </w:rPr>
        <w:t>, </w:t>
      </w:r>
      <w:r>
        <w:rPr>
          <w:color w:val="383638"/>
          <w:w w:val="110"/>
        </w:rPr>
        <w:t>and (2) when that assis­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tance may be given. A typical requirement is that no assistance may be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given until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after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8"/>
          <w:w w:val="110"/>
        </w:rPr>
        <w:t> </w:t>
      </w:r>
      <w:r>
        <w:rPr>
          <w:color w:val="383638"/>
          <w:w w:val="110"/>
        </w:rPr>
        <w:t>brief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has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been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submitted.</w:t>
      </w:r>
    </w:p>
    <w:p>
      <w:pPr>
        <w:pStyle w:val="BodyText"/>
        <w:spacing w:line="235" w:lineRule="auto" w:before="4"/>
        <w:ind w:left="310" w:right="674" w:firstLine="312"/>
      </w:pPr>
      <w:r>
        <w:rPr>
          <w:color w:val="383638"/>
          <w:w w:val="110"/>
        </w:rPr>
        <w:t>Do not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rely 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your coach to read the rules for you</w:t>
      </w:r>
      <w:r>
        <w:rPr>
          <w:color w:val="575759"/>
          <w:w w:val="110"/>
        </w:rPr>
        <w:t>. </w:t>
      </w:r>
      <w:r>
        <w:rPr>
          <w:color w:val="383638"/>
          <w:w w:val="110"/>
        </w:rPr>
        <w:t>You are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one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who </w:t>
      </w:r>
      <w:r>
        <w:rPr>
          <w:color w:val="383638"/>
          <w:w w:val="110"/>
          <w:sz w:val="22"/>
        </w:rPr>
        <w:t>will</w:t>
      </w:r>
      <w:r>
        <w:rPr>
          <w:color w:val="383638"/>
          <w:spacing w:val="1"/>
          <w:w w:val="110"/>
          <w:sz w:val="22"/>
        </w:rPr>
        <w:t> </w:t>
      </w:r>
      <w:r>
        <w:rPr>
          <w:color w:val="383638"/>
          <w:w w:val="110"/>
        </w:rPr>
        <w:t>be competing,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must  know  the  rules intimately. They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are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"rules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civil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procedure"</w:t>
      </w:r>
      <w:r>
        <w:rPr>
          <w:color w:val="383638"/>
          <w:spacing w:val="29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25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8"/>
          <w:w w:val="110"/>
        </w:rPr>
        <w:t> </w:t>
      </w:r>
      <w:r>
        <w:rPr>
          <w:color w:val="383638"/>
          <w:w w:val="110"/>
        </w:rPr>
        <w:t>competition,</w:t>
      </w:r>
      <w:r>
        <w:rPr>
          <w:color w:val="383638"/>
          <w:spacing w:val="27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27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need</w:t>
      </w:r>
      <w:r>
        <w:rPr>
          <w:color w:val="383638"/>
          <w:spacing w:val="29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be aware of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how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they operate. Of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course, you can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consult your coach to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answer questions or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 decide if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necessary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ask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competition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administrator</w:t>
      </w:r>
      <w:r>
        <w:rPr>
          <w:color w:val="383638"/>
          <w:spacing w:val="48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50"/>
          <w:w w:val="110"/>
        </w:rPr>
        <w:t> </w:t>
      </w:r>
      <w:r>
        <w:rPr>
          <w:color w:val="383638"/>
          <w:w w:val="110"/>
        </w:rPr>
        <w:t>interpret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33"/>
          <w:w w:val="110"/>
        </w:rPr>
        <w:t> </w:t>
      </w:r>
      <w:r>
        <w:rPr>
          <w:color w:val="383638"/>
          <w:w w:val="110"/>
        </w:rPr>
        <w:t>rule.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But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you,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31"/>
          <w:w w:val="110"/>
        </w:rPr>
        <w:t> </w:t>
      </w:r>
      <w:r>
        <w:rPr>
          <w:color w:val="383638"/>
          <w:w w:val="110"/>
        </w:rPr>
        <w:t>team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member,</w:t>
      </w:r>
      <w:r>
        <w:rPr>
          <w:color w:val="383638"/>
          <w:spacing w:val="41"/>
          <w:w w:val="110"/>
        </w:rPr>
        <w:t> </w:t>
      </w:r>
      <w:r>
        <w:rPr>
          <w:color w:val="383638"/>
          <w:w w:val="110"/>
        </w:rPr>
        <w:t>must</w:t>
      </w:r>
      <w:r>
        <w:rPr>
          <w:color w:val="383638"/>
          <w:spacing w:val="27"/>
          <w:w w:val="110"/>
        </w:rPr>
        <w:t> </w:t>
      </w:r>
      <w:r>
        <w:rPr>
          <w:color w:val="383638"/>
          <w:w w:val="110"/>
        </w:rPr>
        <w:t>take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ultimate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responsibility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role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competition.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1"/>
        <w:ind w:left="842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575759"/>
          <w:w w:val="105"/>
          <w:sz w:val="32"/>
        </w:rPr>
        <w:t>1</w:t>
      </w:r>
      <w:r>
        <w:rPr>
          <w:rFonts w:ascii="Arial"/>
          <w:b/>
          <w:color w:val="808285"/>
          <w:w w:val="105"/>
          <w:sz w:val="32"/>
        </w:rPr>
        <w:t>4.2</w:t>
      </w:r>
    </w:p>
    <w:p>
      <w:pPr>
        <w:spacing w:line="288" w:lineRule="auto" w:before="73"/>
        <w:ind w:left="826" w:right="2393" w:firstLine="2"/>
        <w:jc w:val="left"/>
        <w:rPr>
          <w:rFonts w:ascii="Arial"/>
          <w:b/>
          <w:sz w:val="26"/>
        </w:rPr>
      </w:pPr>
      <w:r>
        <w:rPr>
          <w:rFonts w:ascii="Arial"/>
          <w:b/>
          <w:color w:val="707275"/>
          <w:w w:val="105"/>
          <w:sz w:val="26"/>
        </w:rPr>
        <w:t>D</w:t>
      </w:r>
      <w:r>
        <w:rPr>
          <w:rFonts w:ascii="Arial"/>
          <w:b/>
          <w:color w:val="575759"/>
          <w:w w:val="105"/>
          <w:sz w:val="26"/>
        </w:rPr>
        <w:t>I</w:t>
      </w:r>
      <w:r>
        <w:rPr>
          <w:rFonts w:ascii="Arial"/>
          <w:b/>
          <w:color w:val="707275"/>
          <w:w w:val="105"/>
          <w:sz w:val="26"/>
        </w:rPr>
        <w:t>FFERENCES </w:t>
      </w:r>
      <w:r>
        <w:rPr>
          <w:rFonts w:ascii="Arial"/>
          <w:b/>
          <w:color w:val="808285"/>
          <w:w w:val="105"/>
          <w:sz w:val="26"/>
        </w:rPr>
        <w:t>BETWEEN </w:t>
      </w:r>
      <w:r>
        <w:rPr>
          <w:rFonts w:ascii="Arial"/>
          <w:b/>
          <w:color w:val="707275"/>
          <w:w w:val="105"/>
          <w:sz w:val="26"/>
        </w:rPr>
        <w:t>MOOT COURT</w:t>
      </w:r>
      <w:r>
        <w:rPr>
          <w:rFonts w:ascii="Arial"/>
          <w:b/>
          <w:color w:val="707275"/>
          <w:spacing w:val="-73"/>
          <w:w w:val="105"/>
          <w:sz w:val="26"/>
        </w:rPr>
        <w:t> </w:t>
      </w:r>
      <w:r>
        <w:rPr>
          <w:rFonts w:ascii="Arial"/>
          <w:b/>
          <w:color w:val="575759"/>
          <w:sz w:val="26"/>
        </w:rPr>
        <w:t>C</w:t>
      </w:r>
      <w:r>
        <w:rPr>
          <w:rFonts w:ascii="Arial"/>
          <w:b/>
          <w:color w:val="707275"/>
          <w:sz w:val="26"/>
        </w:rPr>
        <w:t>OMPETITIONS</w:t>
      </w:r>
      <w:r>
        <w:rPr>
          <w:rFonts w:ascii="Arial"/>
          <w:b/>
          <w:color w:val="707275"/>
          <w:spacing w:val="-2"/>
          <w:sz w:val="26"/>
        </w:rPr>
        <w:t> </w:t>
      </w:r>
      <w:r>
        <w:rPr>
          <w:rFonts w:ascii="Arial"/>
          <w:b/>
          <w:color w:val="808285"/>
          <w:sz w:val="26"/>
        </w:rPr>
        <w:t>AND</w:t>
      </w:r>
      <w:r>
        <w:rPr>
          <w:rFonts w:ascii="Arial"/>
          <w:b/>
          <w:color w:val="808285"/>
          <w:spacing w:val="42"/>
          <w:sz w:val="26"/>
        </w:rPr>
        <w:t> </w:t>
      </w:r>
      <w:r>
        <w:rPr>
          <w:b/>
          <w:color w:val="575759"/>
          <w:sz w:val="28"/>
        </w:rPr>
        <w:t>"</w:t>
      </w:r>
      <w:r>
        <w:rPr>
          <w:b/>
          <w:color w:val="808285"/>
          <w:sz w:val="28"/>
        </w:rPr>
        <w:t>REAL</w:t>
      </w:r>
      <w:r>
        <w:rPr>
          <w:b/>
          <w:color w:val="808285"/>
          <w:spacing w:val="-39"/>
          <w:sz w:val="28"/>
        </w:rPr>
        <w:t> </w:t>
      </w:r>
      <w:r>
        <w:rPr>
          <w:rFonts w:ascii="Arial"/>
          <w:b/>
          <w:color w:val="707275"/>
          <w:sz w:val="26"/>
        </w:rPr>
        <w:t>LIFE</w:t>
      </w:r>
      <w:r>
        <w:rPr>
          <w:rFonts w:ascii="Arial"/>
          <w:b/>
          <w:color w:val="575759"/>
          <w:sz w:val="26"/>
        </w:rPr>
        <w:t>"</w:t>
      </w:r>
    </w:p>
    <w:p>
      <w:pPr>
        <w:pStyle w:val="BodyText"/>
        <w:spacing w:line="235" w:lineRule="auto" w:before="175"/>
        <w:ind w:left="311" w:right="658" w:firstLine="526"/>
        <w:jc w:val="both"/>
      </w:pPr>
      <w:r>
        <w:rPr>
          <w:color w:val="383638"/>
          <w:w w:val="110"/>
        </w:rPr>
        <w:t>Although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moot court competitions are meant to simulate real-life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legal Issues, no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simulation experience can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perfectly replicate real life.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First,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both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procedural</w:t>
      </w:r>
      <w:r>
        <w:rPr>
          <w:color w:val="383638"/>
          <w:spacing w:val="25"/>
          <w:w w:val="110"/>
        </w:rPr>
        <w:t> </w:t>
      </w:r>
      <w:r>
        <w:rPr>
          <w:color w:val="383638"/>
          <w:w w:val="110"/>
        </w:rPr>
        <w:t>facts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53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41"/>
          <w:w w:val="110"/>
        </w:rPr>
        <w:t> </w:t>
      </w:r>
      <w:r>
        <w:rPr>
          <w:color w:val="383638"/>
          <w:w w:val="110"/>
        </w:rPr>
        <w:t>client's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case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facts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are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limited</w:t>
      </w:r>
      <w:r>
        <w:rPr>
          <w:color w:val="383638"/>
          <w:spacing w:val="25"/>
          <w:w w:val="110"/>
        </w:rPr>
        <w:t> </w:t>
      </w:r>
      <w:r>
        <w:rPr>
          <w:color w:val="383638"/>
          <w:w w:val="110"/>
        </w:rPr>
        <w:t>to</w:t>
      </w:r>
    </w:p>
    <w:p>
      <w:pPr>
        <w:spacing w:after="0" w:line="235" w:lineRule="auto"/>
        <w:jc w:val="both"/>
        <w:sectPr>
          <w:headerReference w:type="default" r:id="rId354"/>
          <w:pgSz w:w="9730" w:h="14020"/>
          <w:pgMar w:header="0" w:footer="0" w:top="0" w:bottom="280" w:left="0" w:right="1180"/>
        </w:sectPr>
      </w:pPr>
    </w:p>
    <w:p>
      <w:pPr>
        <w:tabs>
          <w:tab w:pos="1198" w:val="left" w:leader="none"/>
          <w:tab w:pos="1872" w:val="left" w:leader="none"/>
        </w:tabs>
        <w:spacing w:before="61"/>
        <w:ind w:left="53" w:right="0" w:firstLine="0"/>
        <w:jc w:val="left"/>
        <w:rPr>
          <w:rFonts w:ascii="Arial"/>
          <w:sz w:val="17"/>
        </w:rPr>
      </w:pPr>
      <w:r>
        <w:rPr>
          <w:rFonts w:ascii="Arial"/>
          <w:color w:val="BABCBF"/>
          <w:w w:val="75"/>
          <w:position w:val="9"/>
          <w:sz w:val="23"/>
        </w:rPr>
        <w:t>\</w:t>
        <w:tab/>
      </w:r>
      <w:r>
        <w:rPr>
          <w:rFonts w:ascii="Arial"/>
          <w:b/>
          <w:color w:val="3A383A"/>
          <w:sz w:val="18"/>
        </w:rPr>
        <w:t>314</w:t>
        <w:tab/>
      </w:r>
      <w:r>
        <w:rPr>
          <w:rFonts w:ascii="Arial"/>
          <w:color w:val="3A383A"/>
          <w:sz w:val="17"/>
        </w:rPr>
        <w:t>Chapter</w:t>
      </w:r>
      <w:r>
        <w:rPr>
          <w:rFonts w:ascii="Arial"/>
          <w:color w:val="3A383A"/>
          <w:spacing w:val="-19"/>
          <w:sz w:val="17"/>
        </w:rPr>
        <w:t> </w:t>
      </w:r>
      <w:r>
        <w:rPr>
          <w:rFonts w:ascii="Arial"/>
          <w:color w:val="3A383A"/>
          <w:sz w:val="17"/>
        </w:rPr>
        <w:t>Fourteen</w:t>
      </w:r>
      <w:r>
        <w:rPr>
          <w:rFonts w:ascii="Arial"/>
          <w:color w:val="3A383A"/>
          <w:spacing w:val="52"/>
          <w:sz w:val="17"/>
        </w:rPr>
        <w:t> </w:t>
      </w:r>
      <w:r>
        <w:rPr>
          <w:rFonts w:ascii="Arial"/>
          <w:color w:val="3A383A"/>
          <w:sz w:val="17"/>
        </w:rPr>
        <w:t>Moot</w:t>
      </w:r>
      <w:r>
        <w:rPr>
          <w:rFonts w:ascii="Arial"/>
          <w:color w:val="3A383A"/>
          <w:spacing w:val="-25"/>
          <w:sz w:val="17"/>
        </w:rPr>
        <w:t> </w:t>
      </w:r>
      <w:r>
        <w:rPr>
          <w:rFonts w:ascii="Arial"/>
          <w:color w:val="3A383A"/>
          <w:sz w:val="17"/>
        </w:rPr>
        <w:t>Court</w:t>
      </w:r>
      <w:r>
        <w:rPr>
          <w:rFonts w:ascii="Arial"/>
          <w:color w:val="3A383A"/>
          <w:spacing w:val="-14"/>
          <w:sz w:val="17"/>
        </w:rPr>
        <w:t> </w:t>
      </w:r>
      <w:r>
        <w:rPr>
          <w:rFonts w:ascii="Arial"/>
          <w:color w:val="3A383A"/>
          <w:sz w:val="17"/>
        </w:rPr>
        <w:t>Competitions</w:t>
      </w:r>
    </w:p>
    <w:p>
      <w:pPr>
        <w:pStyle w:val="BodyText"/>
        <w:spacing w:before="7"/>
        <w:rPr>
          <w:rFonts w:ascii="Arial"/>
          <w:sz w:val="41"/>
        </w:rPr>
      </w:pPr>
    </w:p>
    <w:p>
      <w:pPr>
        <w:spacing w:line="240" w:lineRule="auto" w:before="1"/>
        <w:ind w:left="1882" w:right="109" w:firstLine="6"/>
        <w:jc w:val="both"/>
        <w:rPr>
          <w:sz w:val="22"/>
        </w:rPr>
      </w:pPr>
      <w:r>
        <w:rPr>
          <w:color w:val="3A383A"/>
          <w:w w:val="105"/>
          <w:sz w:val="22"/>
        </w:rPr>
        <w:t>what you have been given. If your research </w:t>
      </w:r>
      <w:r>
        <w:rPr>
          <w:color w:val="2A2828"/>
          <w:w w:val="105"/>
          <w:sz w:val="22"/>
        </w:rPr>
        <w:t>reveals </w:t>
      </w:r>
      <w:r>
        <w:rPr>
          <w:color w:val="3A383A"/>
          <w:w w:val="105"/>
          <w:sz w:val="22"/>
        </w:rPr>
        <w:t>an</w:t>
      </w:r>
      <w:r>
        <w:rPr>
          <w:color w:val="3A383A"/>
          <w:spacing w:val="1"/>
          <w:w w:val="105"/>
          <w:sz w:val="22"/>
        </w:rPr>
        <w:t> </w:t>
      </w:r>
      <w:r>
        <w:rPr>
          <w:color w:val="3A383A"/>
          <w:w w:val="105"/>
          <w:sz w:val="22"/>
        </w:rPr>
        <w:t>issue that would </w:t>
      </w:r>
      <w:r>
        <w:rPr>
          <w:color w:val="3A383A"/>
          <w:sz w:val="22"/>
        </w:rPr>
        <w:t>be</w:t>
      </w:r>
      <w:r>
        <w:rPr>
          <w:color w:val="3A383A"/>
          <w:spacing w:val="1"/>
          <w:sz w:val="22"/>
        </w:rPr>
        <w:t> </w:t>
      </w:r>
      <w:r>
        <w:rPr>
          <w:color w:val="3A383A"/>
          <w:w w:val="110"/>
          <w:sz w:val="22"/>
        </w:rPr>
        <w:t>affected by a fact that has inadvertently been left out of the record</w:t>
      </w:r>
      <w:r>
        <w:rPr>
          <w:color w:val="525254"/>
          <w:w w:val="110"/>
          <w:sz w:val="22"/>
        </w:rPr>
        <w:t>, </w:t>
      </w:r>
      <w:r>
        <w:rPr>
          <w:color w:val="3A383A"/>
          <w:sz w:val="22"/>
        </w:rPr>
        <w:t>you</w:t>
      </w:r>
      <w:r>
        <w:rPr>
          <w:color w:val="3A383A"/>
          <w:spacing w:val="1"/>
          <w:sz w:val="22"/>
        </w:rPr>
        <w:t> </w:t>
      </w:r>
      <w:r>
        <w:rPr>
          <w:color w:val="3A383A"/>
          <w:w w:val="110"/>
          <w:sz w:val="22"/>
        </w:rPr>
        <w:t>cannot do more investigation to discover that fact, as you would in </w:t>
      </w:r>
      <w:r>
        <w:rPr>
          <w:color w:val="3A383A"/>
          <w:sz w:val="22"/>
        </w:rPr>
        <w:t>real</w:t>
      </w:r>
      <w:r>
        <w:rPr>
          <w:color w:val="3A383A"/>
          <w:spacing w:val="1"/>
          <w:sz w:val="22"/>
        </w:rPr>
        <w:t> </w:t>
      </w:r>
      <w:r>
        <w:rPr>
          <w:color w:val="3A383A"/>
          <w:w w:val="105"/>
          <w:sz w:val="22"/>
        </w:rPr>
        <w:t>life</w:t>
      </w:r>
      <w:r>
        <w:rPr>
          <w:color w:val="525254"/>
          <w:w w:val="105"/>
          <w:sz w:val="22"/>
        </w:rPr>
        <w:t>. </w:t>
      </w:r>
      <w:r>
        <w:rPr>
          <w:color w:val="3A383A"/>
          <w:w w:val="105"/>
          <w:sz w:val="22"/>
        </w:rPr>
        <w:t>It would be wise to read the record and do some basic research </w:t>
      </w:r>
      <w:r>
        <w:rPr>
          <w:color w:val="3A383A"/>
          <w:sz w:val="22"/>
        </w:rPr>
        <w:t>imme­</w:t>
      </w:r>
      <w:r>
        <w:rPr>
          <w:color w:val="3A383A"/>
          <w:spacing w:val="1"/>
          <w:sz w:val="22"/>
        </w:rPr>
        <w:t> </w:t>
      </w:r>
      <w:r>
        <w:rPr>
          <w:color w:val="3A383A"/>
          <w:w w:val="105"/>
          <w:sz w:val="22"/>
        </w:rPr>
        <w:t>diately after you receive the</w:t>
      </w:r>
      <w:r>
        <w:rPr>
          <w:color w:val="3A383A"/>
          <w:spacing w:val="1"/>
          <w:w w:val="105"/>
          <w:sz w:val="22"/>
        </w:rPr>
        <w:t> </w:t>
      </w:r>
      <w:r>
        <w:rPr>
          <w:color w:val="3A383A"/>
          <w:w w:val="105"/>
          <w:sz w:val="22"/>
        </w:rPr>
        <w:t>record materials; in</w:t>
      </w:r>
      <w:r>
        <w:rPr>
          <w:color w:val="3A383A"/>
          <w:spacing w:val="1"/>
          <w:w w:val="105"/>
          <w:sz w:val="22"/>
        </w:rPr>
        <w:t> </w:t>
      </w:r>
      <w:r>
        <w:rPr>
          <w:color w:val="3A383A"/>
          <w:w w:val="105"/>
          <w:sz w:val="22"/>
        </w:rPr>
        <w:t>this way, you may </w:t>
      </w:r>
      <w:r>
        <w:rPr>
          <w:color w:val="3A383A"/>
          <w:sz w:val="22"/>
        </w:rPr>
        <w:t>dis­</w:t>
      </w:r>
      <w:r>
        <w:rPr>
          <w:color w:val="3A383A"/>
          <w:spacing w:val="1"/>
          <w:sz w:val="22"/>
        </w:rPr>
        <w:t> </w:t>
      </w:r>
      <w:r>
        <w:rPr>
          <w:color w:val="3A383A"/>
          <w:w w:val="105"/>
          <w:sz w:val="22"/>
        </w:rPr>
        <w:t>cover any legally significant gaps in the record while it is still early </w:t>
      </w:r>
      <w:r>
        <w:rPr>
          <w:color w:val="3A383A"/>
          <w:sz w:val="22"/>
        </w:rPr>
        <w:t>enough</w:t>
      </w:r>
      <w:r>
        <w:rPr>
          <w:color w:val="3A383A"/>
          <w:spacing w:val="1"/>
          <w:sz w:val="22"/>
        </w:rPr>
        <w:t> </w:t>
      </w:r>
      <w:r>
        <w:rPr>
          <w:color w:val="3A383A"/>
          <w:spacing w:val="-1"/>
          <w:sz w:val="22"/>
        </w:rPr>
        <w:t>to</w:t>
      </w:r>
      <w:r>
        <w:rPr>
          <w:color w:val="3A383A"/>
          <w:spacing w:val="16"/>
          <w:sz w:val="22"/>
        </w:rPr>
        <w:t> </w:t>
      </w:r>
      <w:r>
        <w:rPr>
          <w:color w:val="3A383A"/>
          <w:spacing w:val="-1"/>
          <w:w w:val="110"/>
          <w:sz w:val="22"/>
        </w:rPr>
        <w:t>consult</w:t>
      </w:r>
      <w:r>
        <w:rPr>
          <w:color w:val="3A383A"/>
          <w:spacing w:val="-16"/>
          <w:w w:val="110"/>
          <w:sz w:val="22"/>
        </w:rPr>
        <w:t> </w:t>
      </w:r>
      <w:r>
        <w:rPr>
          <w:color w:val="3A383A"/>
          <w:spacing w:val="-1"/>
          <w:w w:val="110"/>
          <w:sz w:val="22"/>
        </w:rPr>
        <w:t>competition</w:t>
      </w:r>
      <w:r>
        <w:rPr>
          <w:color w:val="3A383A"/>
          <w:spacing w:val="-13"/>
          <w:w w:val="110"/>
          <w:sz w:val="22"/>
        </w:rPr>
        <w:t> </w:t>
      </w:r>
      <w:r>
        <w:rPr>
          <w:color w:val="3A383A"/>
          <w:spacing w:val="-1"/>
          <w:w w:val="110"/>
          <w:sz w:val="22"/>
        </w:rPr>
        <w:t>administrators</w:t>
      </w:r>
      <w:r>
        <w:rPr>
          <w:color w:val="3A383A"/>
          <w:spacing w:val="-29"/>
          <w:w w:val="110"/>
          <w:sz w:val="22"/>
        </w:rPr>
        <w:t> </w:t>
      </w:r>
      <w:r>
        <w:rPr>
          <w:color w:val="3A383A"/>
          <w:w w:val="110"/>
          <w:sz w:val="22"/>
        </w:rPr>
        <w:t>for</w:t>
      </w:r>
      <w:r>
        <w:rPr>
          <w:color w:val="3A383A"/>
          <w:spacing w:val="-19"/>
          <w:w w:val="110"/>
          <w:sz w:val="22"/>
        </w:rPr>
        <w:t> </w:t>
      </w:r>
      <w:r>
        <w:rPr>
          <w:color w:val="3A383A"/>
          <w:w w:val="110"/>
          <w:sz w:val="22"/>
        </w:rPr>
        <w:t>guidance.</w:t>
      </w:r>
      <w:r>
        <w:rPr>
          <w:color w:val="3A383A"/>
          <w:spacing w:val="-11"/>
          <w:w w:val="110"/>
          <w:sz w:val="22"/>
        </w:rPr>
        <w:t> </w:t>
      </w:r>
      <w:r>
        <w:rPr>
          <w:color w:val="3A383A"/>
          <w:w w:val="110"/>
          <w:sz w:val="22"/>
        </w:rPr>
        <w:t>This</w:t>
      </w:r>
      <w:r>
        <w:rPr>
          <w:color w:val="3A383A"/>
          <w:spacing w:val="-26"/>
          <w:w w:val="110"/>
          <w:sz w:val="22"/>
        </w:rPr>
        <w:t> </w:t>
      </w:r>
      <w:r>
        <w:rPr>
          <w:color w:val="3A383A"/>
          <w:w w:val="110"/>
          <w:sz w:val="22"/>
        </w:rPr>
        <w:t>step</w:t>
      </w:r>
      <w:r>
        <w:rPr>
          <w:color w:val="3A383A"/>
          <w:spacing w:val="-19"/>
          <w:w w:val="110"/>
          <w:sz w:val="22"/>
        </w:rPr>
        <w:t> </w:t>
      </w:r>
      <w:r>
        <w:rPr>
          <w:color w:val="3A383A"/>
          <w:w w:val="110"/>
          <w:sz w:val="22"/>
        </w:rPr>
        <w:t>would</w:t>
      </w:r>
      <w:r>
        <w:rPr>
          <w:color w:val="3A383A"/>
          <w:spacing w:val="-17"/>
          <w:w w:val="110"/>
          <w:sz w:val="22"/>
        </w:rPr>
        <w:t> </w:t>
      </w:r>
      <w:r>
        <w:rPr>
          <w:color w:val="3A383A"/>
          <w:sz w:val="22"/>
        </w:rPr>
        <w:t>allow</w:t>
      </w:r>
      <w:r>
        <w:rPr>
          <w:color w:val="3A383A"/>
          <w:spacing w:val="1"/>
          <w:sz w:val="22"/>
        </w:rPr>
        <w:t> </w:t>
      </w:r>
      <w:r>
        <w:rPr>
          <w:color w:val="3A383A"/>
          <w:spacing w:val="-1"/>
          <w:sz w:val="22"/>
        </w:rPr>
        <w:t>the</w:t>
      </w:r>
      <w:r>
        <w:rPr>
          <w:color w:val="3A383A"/>
          <w:sz w:val="22"/>
        </w:rPr>
        <w:t> </w:t>
      </w:r>
      <w:r>
        <w:rPr>
          <w:color w:val="3A383A"/>
          <w:spacing w:val="-1"/>
          <w:w w:val="110"/>
          <w:sz w:val="22"/>
        </w:rPr>
        <w:t>competition </w:t>
      </w:r>
      <w:r>
        <w:rPr>
          <w:color w:val="3A383A"/>
          <w:w w:val="110"/>
          <w:sz w:val="22"/>
        </w:rPr>
        <w:t>to issue a clarifying memorandum to all of the </w:t>
      </w:r>
      <w:r>
        <w:rPr>
          <w:color w:val="3A383A"/>
          <w:sz w:val="22"/>
        </w:rPr>
        <w:t>competi­</w:t>
      </w:r>
      <w:r>
        <w:rPr>
          <w:color w:val="3A383A"/>
          <w:spacing w:val="1"/>
          <w:sz w:val="22"/>
        </w:rPr>
        <w:t> </w:t>
      </w:r>
      <w:r>
        <w:rPr>
          <w:color w:val="3A383A"/>
          <w:w w:val="110"/>
          <w:sz w:val="22"/>
        </w:rPr>
        <w:t>tors. </w:t>
      </w:r>
      <w:r>
        <w:rPr>
          <w:color w:val="3A383A"/>
          <w:sz w:val="22"/>
        </w:rPr>
        <w:t>If </w:t>
      </w:r>
      <w:r>
        <w:rPr>
          <w:color w:val="3A383A"/>
          <w:w w:val="110"/>
          <w:sz w:val="22"/>
        </w:rPr>
        <w:t>you find a gap too late, or </w:t>
      </w:r>
      <w:r>
        <w:rPr>
          <w:color w:val="3A383A"/>
          <w:sz w:val="24"/>
        </w:rPr>
        <w:t>if </w:t>
      </w:r>
      <w:r>
        <w:rPr>
          <w:color w:val="3A383A"/>
          <w:sz w:val="22"/>
        </w:rPr>
        <w:t>the</w:t>
      </w:r>
      <w:r>
        <w:rPr>
          <w:color w:val="3A383A"/>
          <w:spacing w:val="55"/>
          <w:sz w:val="22"/>
        </w:rPr>
        <w:t> </w:t>
      </w:r>
      <w:r>
        <w:rPr>
          <w:color w:val="3A383A"/>
          <w:sz w:val="22"/>
        </w:rPr>
        <w:t>gap</w:t>
      </w:r>
      <w:r>
        <w:rPr>
          <w:color w:val="3A383A"/>
          <w:spacing w:val="55"/>
          <w:sz w:val="22"/>
        </w:rPr>
        <w:t> </w:t>
      </w:r>
      <w:r>
        <w:rPr>
          <w:color w:val="3A383A"/>
          <w:sz w:val="22"/>
        </w:rPr>
        <w:t>is</w:t>
      </w:r>
      <w:r>
        <w:rPr>
          <w:color w:val="3A383A"/>
          <w:spacing w:val="55"/>
          <w:sz w:val="22"/>
        </w:rPr>
        <w:t> </w:t>
      </w:r>
      <w:r>
        <w:rPr>
          <w:color w:val="3A383A"/>
          <w:sz w:val="22"/>
        </w:rPr>
        <w:t>not   </w:t>
      </w:r>
      <w:r>
        <w:rPr>
          <w:color w:val="3A383A"/>
          <w:w w:val="110"/>
          <w:sz w:val="22"/>
        </w:rPr>
        <w:t>significant, it </w:t>
      </w:r>
      <w:r>
        <w:rPr>
          <w:color w:val="3A383A"/>
          <w:sz w:val="22"/>
        </w:rPr>
        <w:t>might</w:t>
      </w:r>
      <w:r>
        <w:rPr>
          <w:color w:val="3A383A"/>
          <w:spacing w:val="1"/>
          <w:sz w:val="22"/>
        </w:rPr>
        <w:t> </w:t>
      </w:r>
      <w:r>
        <w:rPr>
          <w:color w:val="3A383A"/>
          <w:w w:val="105"/>
          <w:sz w:val="22"/>
        </w:rPr>
        <w:t>be appropriate to make a realistic assumption based on</w:t>
      </w:r>
      <w:r>
        <w:rPr>
          <w:color w:val="3A383A"/>
          <w:spacing w:val="1"/>
          <w:w w:val="105"/>
          <w:sz w:val="22"/>
        </w:rPr>
        <w:t> </w:t>
      </w:r>
      <w:r>
        <w:rPr>
          <w:color w:val="3A383A"/>
          <w:w w:val="105"/>
          <w:sz w:val="22"/>
        </w:rPr>
        <w:t>other facts in </w:t>
      </w:r>
      <w:r>
        <w:rPr>
          <w:color w:val="3A383A"/>
          <w:sz w:val="22"/>
        </w:rPr>
        <w:t>the</w:t>
      </w:r>
      <w:r>
        <w:rPr>
          <w:color w:val="3A383A"/>
          <w:spacing w:val="1"/>
          <w:sz w:val="22"/>
        </w:rPr>
        <w:t> </w:t>
      </w:r>
      <w:r>
        <w:rPr>
          <w:color w:val="3A383A"/>
          <w:w w:val="110"/>
          <w:sz w:val="22"/>
        </w:rPr>
        <w:t>record and include that assumption in your argument (e.g., </w:t>
      </w:r>
      <w:r>
        <w:rPr>
          <w:color w:val="3A383A"/>
          <w:sz w:val="22"/>
        </w:rPr>
        <w:t>"Assuming</w:t>
      </w:r>
      <w:r>
        <w:rPr>
          <w:color w:val="3A383A"/>
          <w:spacing w:val="1"/>
          <w:sz w:val="22"/>
        </w:rPr>
        <w:t> </w:t>
      </w:r>
      <w:r>
        <w:rPr>
          <w:color w:val="3A383A"/>
          <w:spacing w:val="-1"/>
          <w:w w:val="115"/>
          <w:sz w:val="22"/>
        </w:rPr>
        <w:t>tha</w:t>
      </w:r>
      <w:r>
        <w:rPr>
          <w:color w:val="3A383A"/>
          <w:w w:val="115"/>
          <w:sz w:val="22"/>
        </w:rPr>
        <w:t>t</w:t>
      </w:r>
      <w:r>
        <w:rPr>
          <w:color w:val="3A383A"/>
          <w:spacing w:val="7"/>
          <w:sz w:val="22"/>
        </w:rPr>
        <w:t> </w:t>
      </w:r>
      <w:r>
        <w:rPr>
          <w:color w:val="3A383A"/>
          <w:spacing w:val="-1"/>
          <w:w w:val="101"/>
          <w:sz w:val="22"/>
        </w:rPr>
        <w:t>Ms</w:t>
      </w:r>
      <w:r>
        <w:rPr>
          <w:color w:val="3A383A"/>
          <w:w w:val="101"/>
          <w:sz w:val="22"/>
        </w:rPr>
        <w:t>.</w:t>
      </w:r>
      <w:r>
        <w:rPr>
          <w:color w:val="3A383A"/>
          <w:spacing w:val="-22"/>
          <w:sz w:val="22"/>
        </w:rPr>
        <w:t> </w:t>
      </w:r>
      <w:r>
        <w:rPr>
          <w:color w:val="3A383A"/>
          <w:spacing w:val="-1"/>
          <w:w w:val="111"/>
          <w:sz w:val="22"/>
        </w:rPr>
        <w:t>Johnso</w:t>
      </w:r>
      <w:r>
        <w:rPr>
          <w:color w:val="3A383A"/>
          <w:w w:val="111"/>
          <w:sz w:val="22"/>
        </w:rPr>
        <w:t>n</w:t>
      </w:r>
      <w:r>
        <w:rPr>
          <w:color w:val="3A383A"/>
          <w:spacing w:val="21"/>
          <w:sz w:val="22"/>
        </w:rPr>
        <w:t> </w:t>
      </w:r>
      <w:r>
        <w:rPr>
          <w:color w:val="3A383A"/>
          <w:w w:val="111"/>
          <w:sz w:val="22"/>
        </w:rPr>
        <w:t>had</w:t>
      </w:r>
      <w:r>
        <w:rPr>
          <w:color w:val="3A383A"/>
          <w:spacing w:val="19"/>
          <w:sz w:val="22"/>
        </w:rPr>
        <w:t> </w:t>
      </w:r>
      <w:r>
        <w:rPr>
          <w:color w:val="3A383A"/>
          <w:w w:val="108"/>
          <w:sz w:val="22"/>
        </w:rPr>
        <w:t>graduated</w:t>
      </w:r>
      <w:r>
        <w:rPr>
          <w:color w:val="3A383A"/>
          <w:spacing w:val="24"/>
          <w:sz w:val="22"/>
        </w:rPr>
        <w:t> </w:t>
      </w:r>
      <w:r>
        <w:rPr>
          <w:color w:val="3A383A"/>
          <w:w w:val="113"/>
          <w:sz w:val="22"/>
        </w:rPr>
        <w:t>from</w:t>
      </w:r>
      <w:r>
        <w:rPr>
          <w:color w:val="3A383A"/>
          <w:spacing w:val="16"/>
          <w:sz w:val="22"/>
        </w:rPr>
        <w:t> </w:t>
      </w:r>
      <w:r>
        <w:rPr>
          <w:color w:val="3A383A"/>
          <w:w w:val="117"/>
          <w:sz w:val="22"/>
        </w:rPr>
        <w:t>high</w:t>
      </w:r>
      <w:r>
        <w:rPr>
          <w:color w:val="3A383A"/>
          <w:spacing w:val="16"/>
          <w:sz w:val="22"/>
        </w:rPr>
        <w:t> </w:t>
      </w:r>
      <w:r>
        <w:rPr>
          <w:color w:val="3A383A"/>
          <w:spacing w:val="-1"/>
          <w:w w:val="116"/>
          <w:sz w:val="22"/>
        </w:rPr>
        <w:t>schoo</w:t>
      </w:r>
      <w:r>
        <w:rPr>
          <w:color w:val="3A383A"/>
          <w:w w:val="116"/>
          <w:sz w:val="22"/>
        </w:rPr>
        <w:t>l</w:t>
      </w:r>
      <w:r>
        <w:rPr>
          <w:color w:val="3A383A"/>
          <w:spacing w:val="23"/>
          <w:sz w:val="22"/>
        </w:rPr>
        <w:t> </w:t>
      </w:r>
      <w:r>
        <w:rPr>
          <w:color w:val="3A383A"/>
          <w:w w:val="223"/>
          <w:sz w:val="22"/>
        </w:rPr>
        <w:t>..</w:t>
      </w:r>
      <w:r>
        <w:rPr>
          <w:color w:val="525254"/>
          <w:spacing w:val="-1"/>
          <w:w w:val="223"/>
          <w:sz w:val="22"/>
        </w:rPr>
        <w:t>.</w:t>
      </w:r>
      <w:r>
        <w:rPr>
          <w:color w:val="3A383A"/>
          <w:spacing w:val="-1"/>
          <w:w w:val="223"/>
          <w:sz w:val="22"/>
        </w:rPr>
        <w:t>"</w:t>
      </w:r>
      <w:r>
        <w:rPr>
          <w:color w:val="3A383A"/>
          <w:spacing w:val="-19"/>
          <w:w w:val="223"/>
          <w:sz w:val="22"/>
        </w:rPr>
        <w:t>)</w:t>
      </w:r>
      <w:r>
        <w:rPr>
          <w:color w:val="3A383A"/>
          <w:spacing w:val="-148"/>
          <w:w w:val="104"/>
          <w:sz w:val="22"/>
        </w:rPr>
        <w:t>N</w:t>
      </w:r>
      <w:r>
        <w:rPr>
          <w:color w:val="3A383A"/>
          <w:w w:val="223"/>
          <w:sz w:val="22"/>
        </w:rPr>
        <w:t>.</w:t>
      </w:r>
      <w:r>
        <w:rPr>
          <w:color w:val="3A383A"/>
          <w:spacing w:val="-31"/>
          <w:sz w:val="22"/>
        </w:rPr>
        <w:t> </w:t>
      </w:r>
      <w:r>
        <w:rPr>
          <w:color w:val="3A383A"/>
          <w:spacing w:val="-1"/>
          <w:w w:val="104"/>
          <w:sz w:val="22"/>
        </w:rPr>
        <w:t>aturally</w:t>
      </w:r>
      <w:r>
        <w:rPr>
          <w:color w:val="3A383A"/>
          <w:w w:val="104"/>
          <w:sz w:val="22"/>
        </w:rPr>
        <w:t>,</w:t>
      </w:r>
      <w:r>
        <w:rPr>
          <w:color w:val="3A383A"/>
          <w:spacing w:val="9"/>
          <w:sz w:val="22"/>
        </w:rPr>
        <w:t> </w:t>
      </w:r>
      <w:r>
        <w:rPr>
          <w:color w:val="3A383A"/>
          <w:w w:val="83"/>
          <w:sz w:val="22"/>
        </w:rPr>
        <w:t>you </w:t>
      </w:r>
      <w:r>
        <w:rPr>
          <w:color w:val="3A383A"/>
          <w:w w:val="105"/>
          <w:sz w:val="22"/>
        </w:rPr>
        <w:t>should </w:t>
      </w:r>
      <w:r>
        <w:rPr>
          <w:i/>
          <w:color w:val="3A383A"/>
          <w:w w:val="105"/>
          <w:sz w:val="24"/>
        </w:rPr>
        <w:t>not </w:t>
      </w:r>
      <w:r>
        <w:rPr>
          <w:color w:val="3A383A"/>
          <w:w w:val="105"/>
          <w:sz w:val="22"/>
        </w:rPr>
        <w:t>make assumptions that </w:t>
      </w:r>
      <w:r>
        <w:rPr>
          <w:color w:val="2A2828"/>
          <w:w w:val="105"/>
          <w:sz w:val="22"/>
        </w:rPr>
        <w:t>are</w:t>
      </w:r>
      <w:r>
        <w:rPr>
          <w:color w:val="3A383A"/>
          <w:w w:val="105"/>
          <w:sz w:val="22"/>
        </w:rPr>
        <w:t>unrealistic or</w:t>
      </w:r>
      <w:r>
        <w:rPr>
          <w:color w:val="3A383A"/>
          <w:spacing w:val="1"/>
          <w:w w:val="105"/>
          <w:sz w:val="22"/>
        </w:rPr>
        <w:t> </w:t>
      </w:r>
      <w:r>
        <w:rPr>
          <w:color w:val="3A383A"/>
          <w:w w:val="105"/>
          <w:sz w:val="22"/>
        </w:rPr>
        <w:t>that will significant</w:t>
      </w:r>
      <w:r>
        <w:rPr>
          <w:color w:val="525254"/>
          <w:w w:val="105"/>
          <w:sz w:val="22"/>
        </w:rPr>
        <w:t>l</w:t>
      </w:r>
      <w:r>
        <w:rPr>
          <w:color w:val="3A383A"/>
          <w:w w:val="105"/>
          <w:sz w:val="22"/>
        </w:rPr>
        <w:t>y</w:t>
      </w:r>
      <w:r>
        <w:rPr>
          <w:color w:val="3A383A"/>
          <w:spacing w:val="1"/>
          <w:w w:val="105"/>
          <w:sz w:val="22"/>
        </w:rPr>
        <w:t> </w:t>
      </w:r>
      <w:r>
        <w:rPr>
          <w:color w:val="3A383A"/>
          <w:w w:val="105"/>
          <w:sz w:val="22"/>
        </w:rPr>
        <w:t>affect the issues in</w:t>
      </w:r>
      <w:r>
        <w:rPr>
          <w:color w:val="3A383A"/>
          <w:spacing w:val="1"/>
          <w:w w:val="105"/>
          <w:sz w:val="22"/>
        </w:rPr>
        <w:t> </w:t>
      </w:r>
      <w:r>
        <w:rPr>
          <w:color w:val="3A383A"/>
          <w:w w:val="105"/>
          <w:sz w:val="22"/>
        </w:rPr>
        <w:t>the case, (e.g., "Assuming that the police did not </w:t>
      </w:r>
      <w:r>
        <w:rPr>
          <w:color w:val="3A383A"/>
          <w:sz w:val="22"/>
        </w:rPr>
        <w:t>pro­</w:t>
      </w:r>
      <w:r>
        <w:rPr>
          <w:color w:val="3A383A"/>
          <w:spacing w:val="1"/>
          <w:sz w:val="22"/>
        </w:rPr>
        <w:t> </w:t>
      </w:r>
      <w:r>
        <w:rPr>
          <w:color w:val="3A383A"/>
          <w:w w:val="105"/>
          <w:sz w:val="22"/>
        </w:rPr>
        <w:t>vide</w:t>
      </w:r>
      <w:r>
        <w:rPr>
          <w:color w:val="3A383A"/>
          <w:spacing w:val="-11"/>
          <w:w w:val="105"/>
          <w:sz w:val="22"/>
        </w:rPr>
        <w:t> </w:t>
      </w:r>
      <w:r>
        <w:rPr>
          <w:color w:val="3A383A"/>
          <w:w w:val="105"/>
          <w:sz w:val="22"/>
        </w:rPr>
        <w:t>Mr.</w:t>
      </w:r>
      <w:r>
        <w:rPr>
          <w:color w:val="3A383A"/>
          <w:spacing w:val="-23"/>
          <w:w w:val="105"/>
          <w:sz w:val="22"/>
        </w:rPr>
        <w:t> </w:t>
      </w:r>
      <w:r>
        <w:rPr>
          <w:color w:val="3A383A"/>
          <w:w w:val="105"/>
          <w:sz w:val="22"/>
        </w:rPr>
        <w:t>Smith</w:t>
      </w:r>
      <w:r>
        <w:rPr>
          <w:color w:val="3A383A"/>
          <w:spacing w:val="-2"/>
          <w:w w:val="105"/>
          <w:sz w:val="22"/>
        </w:rPr>
        <w:t> </w:t>
      </w:r>
      <w:r>
        <w:rPr>
          <w:color w:val="3A383A"/>
          <w:w w:val="105"/>
          <w:sz w:val="22"/>
        </w:rPr>
        <w:t>with</w:t>
      </w:r>
      <w:r>
        <w:rPr>
          <w:color w:val="3A383A"/>
          <w:spacing w:val="5"/>
          <w:w w:val="105"/>
          <w:sz w:val="22"/>
        </w:rPr>
        <w:t> </w:t>
      </w:r>
      <w:r>
        <w:rPr>
          <w:color w:val="2A2828"/>
          <w:w w:val="105"/>
          <w:sz w:val="22"/>
        </w:rPr>
        <w:t>valid</w:t>
      </w:r>
      <w:r>
        <w:rPr>
          <w:color w:val="2A2828"/>
          <w:spacing w:val="-9"/>
          <w:w w:val="105"/>
          <w:sz w:val="22"/>
        </w:rPr>
        <w:t> </w:t>
      </w:r>
      <w:r>
        <w:rPr>
          <w:rFonts w:ascii="Arial" w:hAnsi="Arial"/>
          <w:i/>
          <w:color w:val="3A383A"/>
          <w:w w:val="105"/>
          <w:sz w:val="20"/>
        </w:rPr>
        <w:t>Miranda</w:t>
      </w:r>
      <w:r>
        <w:rPr>
          <w:rFonts w:ascii="Arial" w:hAnsi="Arial"/>
          <w:i/>
          <w:color w:val="3A383A"/>
          <w:spacing w:val="-5"/>
          <w:w w:val="105"/>
          <w:sz w:val="20"/>
        </w:rPr>
        <w:t> </w:t>
      </w:r>
      <w:r>
        <w:rPr>
          <w:color w:val="3A383A"/>
          <w:w w:val="105"/>
          <w:sz w:val="22"/>
        </w:rPr>
        <w:t>warnings</w:t>
      </w:r>
      <w:r>
        <w:rPr>
          <w:color w:val="3A383A"/>
          <w:spacing w:val="-6"/>
          <w:w w:val="105"/>
          <w:sz w:val="22"/>
        </w:rPr>
        <w:t> </w:t>
      </w:r>
      <w:r>
        <w:rPr>
          <w:color w:val="3A383A"/>
          <w:w w:val="105"/>
          <w:sz w:val="22"/>
        </w:rPr>
        <w:t>...</w:t>
      </w:r>
      <w:r>
        <w:rPr>
          <w:color w:val="3A383A"/>
          <w:spacing w:val="25"/>
          <w:w w:val="105"/>
          <w:sz w:val="22"/>
        </w:rPr>
        <w:t> </w:t>
      </w:r>
      <w:r>
        <w:rPr>
          <w:color w:val="3A383A"/>
          <w:w w:val="105"/>
          <w:sz w:val="22"/>
        </w:rPr>
        <w:t>").</w:t>
      </w:r>
    </w:p>
    <w:p>
      <w:pPr>
        <w:spacing w:line="244" w:lineRule="auto" w:before="22"/>
        <w:ind w:left="1862" w:right="133" w:firstLine="341"/>
        <w:jc w:val="both"/>
        <w:rPr>
          <w:sz w:val="22"/>
        </w:rPr>
      </w:pPr>
      <w:r>
        <w:rPr>
          <w:color w:val="3A383A"/>
          <w:w w:val="110"/>
          <w:sz w:val="22"/>
        </w:rPr>
        <w:t>Second, in a moot court competition, there are some expectations</w:t>
      </w:r>
      <w:r>
        <w:rPr>
          <w:color w:val="3A383A"/>
          <w:spacing w:val="1"/>
          <w:w w:val="110"/>
          <w:sz w:val="22"/>
        </w:rPr>
        <w:t> </w:t>
      </w:r>
      <w:r>
        <w:rPr>
          <w:color w:val="3A383A"/>
          <w:w w:val="110"/>
          <w:sz w:val="22"/>
        </w:rPr>
        <w:t>about what you </w:t>
      </w:r>
      <w:r>
        <w:rPr>
          <w:color w:val="3A383A"/>
          <w:w w:val="110"/>
          <w:sz w:val="21"/>
        </w:rPr>
        <w:t>will </w:t>
      </w:r>
      <w:r>
        <w:rPr>
          <w:color w:val="3A383A"/>
          <w:w w:val="110"/>
          <w:sz w:val="22"/>
        </w:rPr>
        <w:t>argue and what you will not argue. Many </w:t>
      </w:r>
      <w:r>
        <w:rPr>
          <w:color w:val="3A383A"/>
          <w:w w:val="105"/>
          <w:sz w:val="22"/>
        </w:rPr>
        <w:t>competi­</w:t>
      </w:r>
      <w:r>
        <w:rPr>
          <w:color w:val="3A383A"/>
          <w:spacing w:val="1"/>
          <w:w w:val="105"/>
          <w:sz w:val="22"/>
        </w:rPr>
        <w:t> </w:t>
      </w:r>
      <w:r>
        <w:rPr>
          <w:color w:val="3A383A"/>
          <w:w w:val="105"/>
          <w:sz w:val="22"/>
        </w:rPr>
        <w:t>tions provide the  parties with the  questions  presented; others will include</w:t>
      </w:r>
      <w:r>
        <w:rPr>
          <w:color w:val="3A383A"/>
          <w:spacing w:val="1"/>
          <w:w w:val="105"/>
          <w:sz w:val="22"/>
        </w:rPr>
        <w:t> </w:t>
      </w:r>
      <w:r>
        <w:rPr>
          <w:color w:val="3A383A"/>
          <w:w w:val="105"/>
          <w:sz w:val="22"/>
        </w:rPr>
        <w:t>a grant of certiorari that allows the parties to argue "all issues fairly raised</w:t>
      </w:r>
      <w:r>
        <w:rPr>
          <w:color w:val="3A383A"/>
          <w:spacing w:val="1"/>
          <w:w w:val="105"/>
          <w:sz w:val="22"/>
        </w:rPr>
        <w:t> </w:t>
      </w:r>
      <w:r>
        <w:rPr>
          <w:color w:val="3A383A"/>
          <w:w w:val="110"/>
          <w:sz w:val="22"/>
        </w:rPr>
        <w:t>by the record," but will include a </w:t>
      </w:r>
      <w:r>
        <w:rPr>
          <w:color w:val="2A2828"/>
          <w:w w:val="110"/>
          <w:sz w:val="22"/>
        </w:rPr>
        <w:t>lower </w:t>
      </w:r>
      <w:r>
        <w:rPr>
          <w:color w:val="3A383A"/>
          <w:w w:val="110"/>
          <w:sz w:val="22"/>
        </w:rPr>
        <w:t>court opinion that clearly </w:t>
      </w:r>
      <w:r>
        <w:rPr>
          <w:color w:val="3A383A"/>
          <w:w w:val="105"/>
          <w:sz w:val="22"/>
        </w:rPr>
        <w:t>identi•</w:t>
      </w:r>
      <w:r>
        <w:rPr>
          <w:color w:val="3A383A"/>
          <w:spacing w:val="-55"/>
          <w:w w:val="105"/>
          <w:sz w:val="22"/>
        </w:rPr>
        <w:t> </w:t>
      </w:r>
      <w:r>
        <w:rPr>
          <w:color w:val="3A383A"/>
          <w:w w:val="110"/>
          <w:sz w:val="22"/>
        </w:rPr>
        <w:t>fies</w:t>
      </w:r>
      <w:r>
        <w:rPr>
          <w:color w:val="3A383A"/>
          <w:spacing w:val="-19"/>
          <w:w w:val="110"/>
          <w:sz w:val="22"/>
        </w:rPr>
        <w:t> </w:t>
      </w:r>
      <w:r>
        <w:rPr>
          <w:color w:val="3A383A"/>
          <w:w w:val="110"/>
          <w:sz w:val="22"/>
        </w:rPr>
        <w:t>two</w:t>
      </w:r>
      <w:r>
        <w:rPr>
          <w:color w:val="3A383A"/>
          <w:spacing w:val="-17"/>
          <w:w w:val="110"/>
          <w:sz w:val="22"/>
        </w:rPr>
        <w:t> </w:t>
      </w:r>
      <w:r>
        <w:rPr>
          <w:color w:val="3A383A"/>
          <w:w w:val="110"/>
          <w:sz w:val="22"/>
        </w:rPr>
        <w:t>major</w:t>
      </w:r>
      <w:r>
        <w:rPr>
          <w:color w:val="3A383A"/>
          <w:spacing w:val="-10"/>
          <w:w w:val="110"/>
          <w:sz w:val="22"/>
        </w:rPr>
        <w:t> </w:t>
      </w:r>
      <w:r>
        <w:rPr>
          <w:color w:val="3A383A"/>
          <w:w w:val="110"/>
          <w:sz w:val="22"/>
        </w:rPr>
        <w:t>issues.</w:t>
      </w:r>
    </w:p>
    <w:p>
      <w:pPr>
        <w:spacing w:line="244" w:lineRule="auto" w:before="3"/>
        <w:ind w:left="1815" w:right="110" w:firstLine="379"/>
        <w:jc w:val="both"/>
        <w:rPr>
          <w:sz w:val="22"/>
        </w:rPr>
      </w:pPr>
      <w:r>
        <w:rPr>
          <w:color w:val="3A383A"/>
          <w:spacing w:val="-1"/>
          <w:w w:val="110"/>
          <w:sz w:val="22"/>
        </w:rPr>
        <w:t>Finally,</w:t>
      </w:r>
      <w:r>
        <w:rPr>
          <w:color w:val="3A383A"/>
          <w:spacing w:val="-23"/>
          <w:w w:val="110"/>
          <w:sz w:val="22"/>
        </w:rPr>
        <w:t> </w:t>
      </w:r>
      <w:r>
        <w:rPr>
          <w:color w:val="3A383A"/>
          <w:w w:val="110"/>
          <w:sz w:val="22"/>
        </w:rPr>
        <w:t>style</w:t>
      </w:r>
      <w:r>
        <w:rPr>
          <w:color w:val="3A383A"/>
          <w:spacing w:val="-30"/>
          <w:w w:val="110"/>
          <w:sz w:val="22"/>
        </w:rPr>
        <w:t> </w:t>
      </w:r>
      <w:r>
        <w:rPr>
          <w:color w:val="3A383A"/>
          <w:w w:val="110"/>
          <w:sz w:val="22"/>
        </w:rPr>
        <w:t>is</w:t>
      </w:r>
      <w:r>
        <w:rPr>
          <w:color w:val="3A383A"/>
          <w:spacing w:val="-27"/>
          <w:w w:val="110"/>
          <w:sz w:val="22"/>
        </w:rPr>
        <w:t> </w:t>
      </w:r>
      <w:r>
        <w:rPr>
          <w:color w:val="3A383A"/>
          <w:w w:val="110"/>
          <w:sz w:val="22"/>
        </w:rPr>
        <w:t>often</w:t>
      </w:r>
      <w:r>
        <w:rPr>
          <w:color w:val="3A383A"/>
          <w:spacing w:val="-24"/>
          <w:w w:val="110"/>
          <w:sz w:val="22"/>
        </w:rPr>
        <w:t> </w:t>
      </w:r>
      <w:r>
        <w:rPr>
          <w:color w:val="3A383A"/>
          <w:w w:val="110"/>
          <w:sz w:val="22"/>
        </w:rPr>
        <w:t>as</w:t>
      </w:r>
      <w:r>
        <w:rPr>
          <w:color w:val="3A383A"/>
          <w:spacing w:val="-23"/>
          <w:w w:val="110"/>
          <w:sz w:val="22"/>
        </w:rPr>
        <w:t> </w:t>
      </w:r>
      <w:r>
        <w:rPr>
          <w:color w:val="3A383A"/>
          <w:w w:val="110"/>
          <w:sz w:val="22"/>
        </w:rPr>
        <w:t>important</w:t>
      </w:r>
      <w:r>
        <w:rPr>
          <w:color w:val="3A383A"/>
          <w:spacing w:val="1"/>
          <w:w w:val="110"/>
          <w:sz w:val="22"/>
        </w:rPr>
        <w:t> </w:t>
      </w:r>
      <w:r>
        <w:rPr>
          <w:color w:val="3A383A"/>
          <w:w w:val="110"/>
          <w:sz w:val="22"/>
        </w:rPr>
        <w:t>as</w:t>
      </w:r>
      <w:r>
        <w:rPr>
          <w:color w:val="3A383A"/>
          <w:spacing w:val="-30"/>
          <w:w w:val="110"/>
          <w:sz w:val="22"/>
        </w:rPr>
        <w:t> </w:t>
      </w:r>
      <w:r>
        <w:rPr>
          <w:color w:val="3A383A"/>
          <w:w w:val="110"/>
          <w:sz w:val="22"/>
        </w:rPr>
        <w:t>substance</w:t>
      </w:r>
      <w:r>
        <w:rPr>
          <w:color w:val="3A383A"/>
          <w:spacing w:val="-13"/>
          <w:w w:val="110"/>
          <w:sz w:val="22"/>
        </w:rPr>
        <w:t> </w:t>
      </w:r>
      <w:r>
        <w:rPr>
          <w:color w:val="3A383A"/>
          <w:w w:val="110"/>
          <w:sz w:val="22"/>
        </w:rPr>
        <w:t>in</w:t>
      </w:r>
      <w:r>
        <w:rPr>
          <w:color w:val="3A383A"/>
          <w:spacing w:val="1"/>
          <w:w w:val="110"/>
          <w:sz w:val="22"/>
        </w:rPr>
        <w:t> </w:t>
      </w:r>
      <w:r>
        <w:rPr>
          <w:color w:val="3A383A"/>
          <w:w w:val="110"/>
          <w:sz w:val="22"/>
        </w:rPr>
        <w:t>a</w:t>
      </w:r>
      <w:r>
        <w:rPr>
          <w:color w:val="3A383A"/>
          <w:spacing w:val="5"/>
          <w:w w:val="110"/>
          <w:sz w:val="22"/>
        </w:rPr>
        <w:t> </w:t>
      </w:r>
      <w:r>
        <w:rPr>
          <w:color w:val="3A383A"/>
          <w:w w:val="110"/>
          <w:sz w:val="22"/>
        </w:rPr>
        <w:t>moot</w:t>
      </w:r>
      <w:r>
        <w:rPr>
          <w:color w:val="3A383A"/>
          <w:spacing w:val="-12"/>
          <w:w w:val="110"/>
          <w:sz w:val="22"/>
        </w:rPr>
        <w:t> </w:t>
      </w:r>
      <w:r>
        <w:rPr>
          <w:color w:val="3A383A"/>
          <w:w w:val="110"/>
          <w:sz w:val="22"/>
        </w:rPr>
        <w:t>court</w:t>
      </w:r>
      <w:r>
        <w:rPr>
          <w:color w:val="3A383A"/>
          <w:spacing w:val="-22"/>
          <w:w w:val="110"/>
          <w:sz w:val="22"/>
        </w:rPr>
        <w:t> </w:t>
      </w:r>
      <w:r>
        <w:rPr>
          <w:color w:val="3A383A"/>
          <w:sz w:val="22"/>
        </w:rPr>
        <w:t>compe­</w:t>
      </w:r>
      <w:r>
        <w:rPr>
          <w:color w:val="3A383A"/>
          <w:spacing w:val="1"/>
          <w:sz w:val="22"/>
        </w:rPr>
        <w:t> </w:t>
      </w:r>
      <w:r>
        <w:rPr>
          <w:color w:val="3A383A"/>
          <w:spacing w:val="-1"/>
          <w:w w:val="115"/>
          <w:sz w:val="22"/>
        </w:rPr>
        <w:t>tition. It is not </w:t>
      </w:r>
      <w:r>
        <w:rPr>
          <w:rFonts w:ascii="Arial" w:hAnsi="Arial"/>
          <w:i/>
          <w:color w:val="3A383A"/>
          <w:spacing w:val="-1"/>
          <w:sz w:val="22"/>
        </w:rPr>
        <w:t>more </w:t>
      </w:r>
      <w:r>
        <w:rPr>
          <w:color w:val="3A383A"/>
          <w:spacing w:val="-1"/>
          <w:w w:val="115"/>
          <w:sz w:val="22"/>
        </w:rPr>
        <w:t>important-most judges </w:t>
      </w:r>
      <w:r>
        <w:rPr>
          <w:color w:val="3A383A"/>
          <w:w w:val="115"/>
          <w:sz w:val="22"/>
        </w:rPr>
        <w:t>will notice significant </w:t>
      </w:r>
      <w:r>
        <w:rPr>
          <w:color w:val="3A383A"/>
          <w:sz w:val="22"/>
        </w:rPr>
        <w:t>mis­</w:t>
      </w:r>
      <w:r>
        <w:rPr>
          <w:color w:val="3A383A"/>
          <w:spacing w:val="-52"/>
          <w:sz w:val="22"/>
        </w:rPr>
        <w:t> </w:t>
      </w:r>
      <w:r>
        <w:rPr>
          <w:color w:val="3A383A"/>
          <w:spacing w:val="-1"/>
          <w:w w:val="115"/>
          <w:sz w:val="22"/>
        </w:rPr>
        <w:t>statements of the law-but </w:t>
      </w:r>
      <w:r>
        <w:rPr>
          <w:color w:val="3A383A"/>
          <w:w w:val="115"/>
          <w:sz w:val="22"/>
        </w:rPr>
        <w:t>it hasa much larger role in moot courts than</w:t>
      </w:r>
      <w:r>
        <w:rPr>
          <w:color w:val="3A383A"/>
          <w:spacing w:val="1"/>
          <w:w w:val="115"/>
          <w:sz w:val="22"/>
        </w:rPr>
        <w:t> </w:t>
      </w:r>
      <w:r>
        <w:rPr>
          <w:color w:val="3A383A"/>
          <w:w w:val="105"/>
          <w:sz w:val="22"/>
        </w:rPr>
        <w:t>it does in real life. </w:t>
      </w:r>
      <w:r>
        <w:rPr>
          <w:color w:val="2A2828"/>
          <w:w w:val="105"/>
          <w:sz w:val="22"/>
        </w:rPr>
        <w:t>In </w:t>
      </w:r>
      <w:r>
        <w:rPr>
          <w:color w:val="3A383A"/>
          <w:w w:val="105"/>
          <w:sz w:val="22"/>
        </w:rPr>
        <w:t>real </w:t>
      </w:r>
      <w:r>
        <w:rPr>
          <w:color w:val="2A2828"/>
          <w:w w:val="105"/>
          <w:sz w:val="22"/>
        </w:rPr>
        <w:t>life, </w:t>
      </w:r>
      <w:r>
        <w:rPr>
          <w:color w:val="3A383A"/>
          <w:w w:val="105"/>
          <w:sz w:val="22"/>
        </w:rPr>
        <w:t>the law and the facts will usually dictate </w:t>
      </w:r>
      <w:r>
        <w:rPr>
          <w:color w:val="3A383A"/>
          <w:sz w:val="22"/>
        </w:rPr>
        <w:t>the</w:t>
      </w:r>
      <w:r>
        <w:rPr>
          <w:color w:val="3A383A"/>
          <w:spacing w:val="1"/>
          <w:sz w:val="22"/>
        </w:rPr>
        <w:t> </w:t>
      </w:r>
      <w:r>
        <w:rPr>
          <w:color w:val="3A383A"/>
          <w:w w:val="110"/>
          <w:sz w:val="22"/>
        </w:rPr>
        <w:t>outcome, even though oratorical style may play a role in some extreme</w:t>
      </w:r>
      <w:r>
        <w:rPr>
          <w:color w:val="525254"/>
          <w:w w:val="110"/>
          <w:sz w:val="22"/>
        </w:rPr>
        <w:t>l</w:t>
      </w:r>
      <w:r>
        <w:rPr>
          <w:color w:val="3A383A"/>
          <w:w w:val="110"/>
          <w:sz w:val="22"/>
        </w:rPr>
        <w:t>y</w:t>
      </w:r>
      <w:r>
        <w:rPr>
          <w:color w:val="3A383A"/>
          <w:spacing w:val="-58"/>
          <w:w w:val="110"/>
          <w:sz w:val="22"/>
        </w:rPr>
        <w:t> </w:t>
      </w:r>
      <w:r>
        <w:rPr>
          <w:color w:val="3A383A"/>
          <w:w w:val="105"/>
          <w:sz w:val="22"/>
        </w:rPr>
        <w:t>close cases. </w:t>
      </w:r>
      <w:r>
        <w:rPr>
          <w:color w:val="2A2828"/>
          <w:w w:val="105"/>
          <w:sz w:val="22"/>
        </w:rPr>
        <w:t>In </w:t>
      </w:r>
      <w:r>
        <w:rPr>
          <w:color w:val="3A383A"/>
          <w:w w:val="105"/>
          <w:sz w:val="22"/>
        </w:rPr>
        <w:t>moot court competitions, in contrast</w:t>
      </w:r>
      <w:r>
        <w:rPr>
          <w:color w:val="525254"/>
          <w:w w:val="105"/>
          <w:sz w:val="22"/>
        </w:rPr>
        <w:t>, </w:t>
      </w:r>
      <w:r>
        <w:rPr>
          <w:color w:val="3A383A"/>
          <w:w w:val="105"/>
          <w:sz w:val="22"/>
        </w:rPr>
        <w:t>the substantive </w:t>
      </w:r>
      <w:r>
        <w:rPr>
          <w:color w:val="3A383A"/>
          <w:sz w:val="22"/>
        </w:rPr>
        <w:t>points</w:t>
      </w:r>
      <w:r>
        <w:rPr>
          <w:color w:val="3A383A"/>
          <w:spacing w:val="1"/>
          <w:sz w:val="22"/>
        </w:rPr>
        <w:t> </w:t>
      </w:r>
      <w:r>
        <w:rPr>
          <w:color w:val="3A383A"/>
          <w:w w:val="110"/>
          <w:sz w:val="22"/>
        </w:rPr>
        <w:t>are earned not based on which side has </w:t>
      </w:r>
      <w:r>
        <w:rPr>
          <w:color w:val="2A2828"/>
          <w:w w:val="110"/>
          <w:sz w:val="22"/>
        </w:rPr>
        <w:t>the </w:t>
      </w:r>
      <w:r>
        <w:rPr>
          <w:color w:val="3A383A"/>
          <w:w w:val="110"/>
          <w:sz w:val="22"/>
        </w:rPr>
        <w:t>better substance, but on </w:t>
      </w:r>
      <w:r>
        <w:rPr>
          <w:color w:val="3A383A"/>
          <w:sz w:val="22"/>
        </w:rPr>
        <w:t>which</w:t>
      </w:r>
      <w:r>
        <w:rPr>
          <w:color w:val="3A383A"/>
          <w:spacing w:val="-52"/>
          <w:sz w:val="22"/>
        </w:rPr>
        <w:t> </w:t>
      </w:r>
      <w:r>
        <w:rPr>
          <w:color w:val="3A383A"/>
          <w:w w:val="110"/>
          <w:sz w:val="22"/>
        </w:rPr>
        <w:t>side is best acquainted with the substantive arguments in the case, </w:t>
      </w:r>
      <w:r>
        <w:rPr>
          <w:color w:val="3A383A"/>
          <w:sz w:val="22"/>
        </w:rPr>
        <w:t>and</w:t>
      </w:r>
      <w:r>
        <w:rPr>
          <w:color w:val="3A383A"/>
          <w:spacing w:val="1"/>
          <w:sz w:val="22"/>
        </w:rPr>
        <w:t> </w:t>
      </w:r>
      <w:r>
        <w:rPr>
          <w:color w:val="3A383A"/>
          <w:spacing w:val="-1"/>
          <w:w w:val="110"/>
          <w:sz w:val="22"/>
        </w:rPr>
        <w:t>which side can best express itself </w:t>
      </w:r>
      <w:r>
        <w:rPr>
          <w:color w:val="2A2828"/>
          <w:spacing w:val="-1"/>
          <w:w w:val="110"/>
          <w:sz w:val="22"/>
        </w:rPr>
        <w:t>to </w:t>
      </w:r>
      <w:r>
        <w:rPr>
          <w:color w:val="3A383A"/>
          <w:w w:val="110"/>
          <w:sz w:val="22"/>
        </w:rPr>
        <w:t>the court when explaining that </w:t>
      </w:r>
      <w:r>
        <w:rPr>
          <w:rFonts w:ascii="Arial" w:hAnsi="Arial"/>
          <w:color w:val="3A383A"/>
          <w:sz w:val="21"/>
        </w:rPr>
        <w:t>sub­</w:t>
      </w:r>
      <w:r>
        <w:rPr>
          <w:rFonts w:ascii="Arial" w:hAnsi="Arial"/>
          <w:color w:val="3A383A"/>
          <w:spacing w:val="1"/>
          <w:sz w:val="21"/>
        </w:rPr>
        <w:t> </w:t>
      </w:r>
      <w:r>
        <w:rPr>
          <w:color w:val="3A383A"/>
          <w:w w:val="105"/>
          <w:sz w:val="22"/>
        </w:rPr>
        <w:t>stance. Because most students become fairly well acquainted with thelega</w:t>
      </w:r>
      <w:r>
        <w:rPr>
          <w:color w:val="525254"/>
          <w:w w:val="105"/>
          <w:sz w:val="22"/>
        </w:rPr>
        <w:t>l</w:t>
      </w:r>
      <w:r>
        <w:rPr>
          <w:color w:val="525254"/>
          <w:spacing w:val="1"/>
          <w:w w:val="105"/>
          <w:sz w:val="22"/>
        </w:rPr>
        <w:t> </w:t>
      </w:r>
      <w:r>
        <w:rPr>
          <w:color w:val="3A383A"/>
          <w:w w:val="105"/>
          <w:sz w:val="22"/>
        </w:rPr>
        <w:t>issues that the case presents, style differences may be the</w:t>
      </w:r>
      <w:r>
        <w:rPr>
          <w:color w:val="3A383A"/>
          <w:spacing w:val="1"/>
          <w:w w:val="105"/>
          <w:sz w:val="22"/>
        </w:rPr>
        <w:t> </w:t>
      </w:r>
      <w:r>
        <w:rPr>
          <w:color w:val="3A383A"/>
          <w:w w:val="105"/>
          <w:sz w:val="22"/>
        </w:rPr>
        <w:t>only significant</w:t>
      </w:r>
      <w:r>
        <w:rPr>
          <w:color w:val="3A383A"/>
          <w:spacing w:val="1"/>
          <w:w w:val="105"/>
          <w:sz w:val="22"/>
        </w:rPr>
        <w:t> </w:t>
      </w:r>
      <w:r>
        <w:rPr>
          <w:color w:val="3A383A"/>
          <w:w w:val="105"/>
          <w:sz w:val="22"/>
        </w:rPr>
        <w:t>distinctions</w:t>
      </w:r>
      <w:r>
        <w:rPr>
          <w:color w:val="3A383A"/>
          <w:spacing w:val="-2"/>
          <w:w w:val="105"/>
          <w:sz w:val="22"/>
        </w:rPr>
        <w:t> </w:t>
      </w:r>
      <w:r>
        <w:rPr>
          <w:color w:val="3A383A"/>
          <w:w w:val="105"/>
          <w:sz w:val="22"/>
        </w:rPr>
        <w:t>between</w:t>
      </w:r>
      <w:r>
        <w:rPr>
          <w:color w:val="3A383A"/>
          <w:spacing w:val="-9"/>
          <w:w w:val="105"/>
          <w:sz w:val="22"/>
        </w:rPr>
        <w:t> </w:t>
      </w:r>
      <w:r>
        <w:rPr>
          <w:color w:val="3A383A"/>
          <w:w w:val="105"/>
          <w:sz w:val="22"/>
        </w:rPr>
        <w:t>some</w:t>
      </w:r>
      <w:r>
        <w:rPr>
          <w:color w:val="3A383A"/>
          <w:spacing w:val="-17"/>
          <w:w w:val="105"/>
          <w:sz w:val="22"/>
        </w:rPr>
        <w:t> </w:t>
      </w:r>
      <w:r>
        <w:rPr>
          <w:color w:val="3A383A"/>
          <w:w w:val="105"/>
          <w:sz w:val="22"/>
        </w:rPr>
        <w:t>competitors.</w:t>
      </w:r>
    </w:p>
    <w:p>
      <w:pPr>
        <w:spacing w:line="235" w:lineRule="auto" w:before="8"/>
        <w:ind w:left="1773" w:right="131" w:firstLine="391"/>
        <w:jc w:val="both"/>
        <w:rPr>
          <w:sz w:val="22"/>
        </w:rPr>
      </w:pPr>
      <w:r>
        <w:rPr>
          <w:color w:val="3A383A"/>
          <w:w w:val="110"/>
          <w:sz w:val="22"/>
        </w:rPr>
        <w:t>I should stress at this point that not all students need to aim for the</w:t>
      </w:r>
      <w:r>
        <w:rPr>
          <w:color w:val="3A383A"/>
          <w:spacing w:val="1"/>
          <w:w w:val="110"/>
          <w:sz w:val="22"/>
        </w:rPr>
        <w:t> </w:t>
      </w:r>
      <w:r>
        <w:rPr>
          <w:i/>
          <w:color w:val="3A383A"/>
          <w:w w:val="105"/>
          <w:sz w:val="25"/>
        </w:rPr>
        <w:t>same </w:t>
      </w:r>
      <w:r>
        <w:rPr>
          <w:color w:val="3A383A"/>
          <w:w w:val="105"/>
          <w:sz w:val="22"/>
        </w:rPr>
        <w:t>style. Over my many years of judging and coaching moot court com­</w:t>
      </w:r>
      <w:r>
        <w:rPr>
          <w:color w:val="3A383A"/>
          <w:spacing w:val="1"/>
          <w:w w:val="105"/>
          <w:sz w:val="22"/>
        </w:rPr>
        <w:t> </w:t>
      </w:r>
      <w:r>
        <w:rPr>
          <w:color w:val="3A383A"/>
          <w:w w:val="105"/>
          <w:sz w:val="22"/>
        </w:rPr>
        <w:t>petitions, I have seen several different effective styles. Students whospeak</w:t>
      </w:r>
      <w:r>
        <w:rPr>
          <w:color w:val="3A383A"/>
          <w:spacing w:val="1"/>
          <w:w w:val="105"/>
          <w:sz w:val="22"/>
        </w:rPr>
        <w:t> </w:t>
      </w:r>
      <w:r>
        <w:rPr>
          <w:color w:val="3A383A"/>
          <w:spacing w:val="-1"/>
          <w:w w:val="110"/>
          <w:sz w:val="22"/>
        </w:rPr>
        <w:t>softly (but </w:t>
      </w:r>
      <w:r>
        <w:rPr>
          <w:color w:val="2A2828"/>
          <w:spacing w:val="-1"/>
          <w:w w:val="110"/>
          <w:sz w:val="22"/>
        </w:rPr>
        <w:t>loudly </w:t>
      </w:r>
      <w:r>
        <w:rPr>
          <w:color w:val="3A383A"/>
          <w:spacing w:val="-1"/>
          <w:w w:val="110"/>
          <w:sz w:val="22"/>
        </w:rPr>
        <w:t>enough to be heard) can be as effective </w:t>
      </w:r>
      <w:r>
        <w:rPr>
          <w:color w:val="3A383A"/>
          <w:w w:val="110"/>
          <w:sz w:val="22"/>
        </w:rPr>
        <w:t>as students who</w:t>
      </w:r>
      <w:r>
        <w:rPr>
          <w:color w:val="3A383A"/>
          <w:spacing w:val="-58"/>
          <w:w w:val="110"/>
          <w:sz w:val="22"/>
        </w:rPr>
        <w:t> </w:t>
      </w:r>
      <w:r>
        <w:rPr>
          <w:color w:val="3A383A"/>
          <w:spacing w:val="-1"/>
          <w:w w:val="110"/>
          <w:sz w:val="22"/>
        </w:rPr>
        <w:t>speak loudly; students who gesture can be as </w:t>
      </w:r>
      <w:r>
        <w:rPr>
          <w:color w:val="3A383A"/>
          <w:w w:val="110"/>
          <w:sz w:val="22"/>
        </w:rPr>
        <w:t>effective as more sedate stu,</w:t>
      </w:r>
      <w:r>
        <w:rPr>
          <w:color w:val="3A383A"/>
          <w:spacing w:val="-58"/>
          <w:w w:val="110"/>
          <w:sz w:val="22"/>
        </w:rPr>
        <w:t> </w:t>
      </w:r>
      <w:r>
        <w:rPr>
          <w:color w:val="3A383A"/>
          <w:w w:val="115"/>
          <w:sz w:val="22"/>
        </w:rPr>
        <w:t>dents.</w:t>
      </w:r>
      <w:r>
        <w:rPr>
          <w:color w:val="3A383A"/>
          <w:spacing w:val="1"/>
          <w:w w:val="115"/>
          <w:sz w:val="22"/>
        </w:rPr>
        <w:t> </w:t>
      </w:r>
      <w:r>
        <w:rPr>
          <w:color w:val="3A383A"/>
          <w:w w:val="115"/>
          <w:sz w:val="22"/>
        </w:rPr>
        <w:t>The</w:t>
      </w:r>
      <w:r>
        <w:rPr>
          <w:color w:val="3A383A"/>
          <w:spacing w:val="15"/>
          <w:w w:val="115"/>
          <w:sz w:val="22"/>
        </w:rPr>
        <w:t> </w:t>
      </w:r>
      <w:r>
        <w:rPr>
          <w:color w:val="3A383A"/>
          <w:w w:val="115"/>
          <w:sz w:val="22"/>
        </w:rPr>
        <w:t>main</w:t>
      </w:r>
      <w:r>
        <w:rPr>
          <w:color w:val="3A383A"/>
          <w:spacing w:val="28"/>
          <w:w w:val="115"/>
          <w:sz w:val="22"/>
        </w:rPr>
        <w:t> </w:t>
      </w:r>
      <w:r>
        <w:rPr>
          <w:color w:val="3A383A"/>
          <w:w w:val="115"/>
          <w:sz w:val="22"/>
        </w:rPr>
        <w:t>points</w:t>
      </w:r>
      <w:r>
        <w:rPr>
          <w:color w:val="3A383A"/>
          <w:spacing w:val="10"/>
          <w:w w:val="115"/>
          <w:sz w:val="22"/>
        </w:rPr>
        <w:t> </w:t>
      </w:r>
      <w:r>
        <w:rPr>
          <w:color w:val="3A383A"/>
          <w:w w:val="115"/>
          <w:sz w:val="22"/>
        </w:rPr>
        <w:t>of</w:t>
      </w:r>
      <w:r>
        <w:rPr>
          <w:color w:val="3A383A"/>
          <w:spacing w:val="27"/>
          <w:w w:val="115"/>
          <w:sz w:val="22"/>
        </w:rPr>
        <w:t> </w:t>
      </w:r>
      <w:r>
        <w:rPr>
          <w:color w:val="3A383A"/>
          <w:w w:val="115"/>
          <w:sz w:val="22"/>
        </w:rPr>
        <w:t>an</w:t>
      </w:r>
      <w:r>
        <w:rPr>
          <w:color w:val="3A383A"/>
          <w:spacing w:val="50"/>
          <w:w w:val="115"/>
          <w:sz w:val="22"/>
        </w:rPr>
        <w:t> </w:t>
      </w:r>
      <w:r>
        <w:rPr>
          <w:color w:val="3A383A"/>
          <w:w w:val="115"/>
          <w:sz w:val="22"/>
        </w:rPr>
        <w:t>effective</w:t>
      </w:r>
      <w:r>
        <w:rPr>
          <w:color w:val="3A383A"/>
          <w:spacing w:val="28"/>
          <w:w w:val="115"/>
          <w:sz w:val="22"/>
        </w:rPr>
        <w:t> </w:t>
      </w:r>
      <w:r>
        <w:rPr>
          <w:color w:val="3A383A"/>
          <w:w w:val="115"/>
          <w:sz w:val="22"/>
        </w:rPr>
        <w:t>style-maintaining</w:t>
      </w:r>
      <w:r>
        <w:rPr>
          <w:color w:val="3A383A"/>
          <w:spacing w:val="4"/>
          <w:w w:val="115"/>
          <w:sz w:val="22"/>
        </w:rPr>
        <w:t> </w:t>
      </w:r>
      <w:r>
        <w:rPr>
          <w:color w:val="3A383A"/>
          <w:w w:val="115"/>
          <w:sz w:val="22"/>
        </w:rPr>
        <w:t>eyecontact,</w:t>
      </w:r>
    </w:p>
    <w:p>
      <w:pPr>
        <w:spacing w:line="247" w:lineRule="auto" w:before="7"/>
        <w:ind w:left="1738" w:right="140" w:firstLine="25"/>
        <w:jc w:val="both"/>
        <w:rPr>
          <w:sz w:val="22"/>
        </w:rPr>
      </w:pPr>
      <w:r>
        <w:rPr>
          <w:color w:val="3A383A"/>
          <w:w w:val="115"/>
          <w:sz w:val="22"/>
        </w:rPr>
        <w:t>speaking </w:t>
      </w:r>
      <w:r>
        <w:rPr>
          <w:color w:val="2A2828"/>
          <w:w w:val="115"/>
          <w:sz w:val="22"/>
        </w:rPr>
        <w:t>loudly </w:t>
      </w:r>
      <w:r>
        <w:rPr>
          <w:color w:val="3A383A"/>
          <w:w w:val="115"/>
          <w:sz w:val="22"/>
        </w:rPr>
        <w:t>enough to be heard, listening when the court </w:t>
      </w:r>
      <w:r>
        <w:rPr>
          <w:color w:val="3A383A"/>
          <w:w w:val="105"/>
          <w:sz w:val="22"/>
        </w:rPr>
        <w:t>speaks</w:t>
      </w:r>
      <w:r>
        <w:rPr>
          <w:color w:val="525254"/>
          <w:w w:val="105"/>
          <w:sz w:val="22"/>
        </w:rPr>
        <w:t>,</w:t>
      </w:r>
      <w:r>
        <w:rPr>
          <w:color w:val="525254"/>
          <w:spacing w:val="1"/>
          <w:w w:val="105"/>
          <w:sz w:val="22"/>
        </w:rPr>
        <w:t> </w:t>
      </w:r>
      <w:r>
        <w:rPr>
          <w:color w:val="3A383A"/>
          <w:w w:val="110"/>
          <w:sz w:val="22"/>
        </w:rPr>
        <w:t>answering questions directly, supporting answers with reference to </w:t>
      </w:r>
      <w:r>
        <w:rPr>
          <w:color w:val="3A383A"/>
          <w:w w:val="105"/>
          <w:sz w:val="22"/>
        </w:rPr>
        <w:t>Jaw</w:t>
      </w:r>
      <w:r>
        <w:rPr>
          <w:color w:val="3A383A"/>
          <w:spacing w:val="1"/>
          <w:w w:val="105"/>
          <w:sz w:val="22"/>
        </w:rPr>
        <w:t> </w:t>
      </w:r>
      <w:r>
        <w:rPr>
          <w:color w:val="3A383A"/>
          <w:w w:val="105"/>
          <w:sz w:val="22"/>
        </w:rPr>
        <w:t>and</w:t>
      </w:r>
      <w:r>
        <w:rPr>
          <w:color w:val="3A383A"/>
          <w:spacing w:val="1"/>
          <w:w w:val="105"/>
          <w:sz w:val="22"/>
        </w:rPr>
        <w:t> </w:t>
      </w:r>
      <w:r>
        <w:rPr>
          <w:color w:val="3A383A"/>
          <w:w w:val="115"/>
          <w:sz w:val="22"/>
        </w:rPr>
        <w:t>facts, and integrating answers into the argument-work with </w:t>
      </w:r>
      <w:r>
        <w:rPr>
          <w:color w:val="3A383A"/>
          <w:w w:val="105"/>
          <w:sz w:val="22"/>
        </w:rPr>
        <w:t>many</w:t>
      </w:r>
      <w:r>
        <w:rPr>
          <w:color w:val="3A383A"/>
          <w:spacing w:val="1"/>
          <w:w w:val="105"/>
          <w:sz w:val="22"/>
        </w:rPr>
        <w:t> </w:t>
      </w:r>
      <w:r>
        <w:rPr>
          <w:color w:val="3A383A"/>
          <w:w w:val="110"/>
          <w:sz w:val="22"/>
        </w:rPr>
        <w:t>different</w:t>
      </w:r>
      <w:r>
        <w:rPr>
          <w:color w:val="3A383A"/>
          <w:spacing w:val="-3"/>
          <w:w w:val="110"/>
          <w:sz w:val="22"/>
        </w:rPr>
        <w:t> </w:t>
      </w:r>
      <w:r>
        <w:rPr>
          <w:color w:val="3A383A"/>
          <w:w w:val="110"/>
          <w:sz w:val="22"/>
        </w:rPr>
        <w:t>kinds</w:t>
      </w:r>
      <w:r>
        <w:rPr>
          <w:color w:val="3A383A"/>
          <w:spacing w:val="-20"/>
          <w:w w:val="110"/>
          <w:sz w:val="22"/>
        </w:rPr>
        <w:t> </w:t>
      </w:r>
      <w:r>
        <w:rPr>
          <w:color w:val="3A383A"/>
          <w:w w:val="110"/>
          <w:sz w:val="22"/>
        </w:rPr>
        <w:t>of</w:t>
      </w:r>
      <w:r>
        <w:rPr>
          <w:color w:val="3A383A"/>
          <w:spacing w:val="-7"/>
          <w:w w:val="110"/>
          <w:sz w:val="22"/>
        </w:rPr>
        <w:t> </w:t>
      </w:r>
      <w:r>
        <w:rPr>
          <w:color w:val="3A383A"/>
          <w:w w:val="110"/>
          <w:sz w:val="22"/>
        </w:rPr>
        <w:t>speaking</w:t>
      </w:r>
      <w:r>
        <w:rPr>
          <w:color w:val="3A383A"/>
          <w:spacing w:val="-13"/>
          <w:w w:val="110"/>
          <w:sz w:val="22"/>
        </w:rPr>
        <w:t> </w:t>
      </w:r>
      <w:r>
        <w:rPr>
          <w:color w:val="3A383A"/>
          <w:w w:val="110"/>
          <w:sz w:val="22"/>
        </w:rPr>
        <w:t>styles.</w:t>
      </w:r>
    </w:p>
    <w:p>
      <w:pPr>
        <w:spacing w:after="0" w:line="247" w:lineRule="auto"/>
        <w:jc w:val="both"/>
        <w:rPr>
          <w:sz w:val="22"/>
        </w:rPr>
        <w:sectPr>
          <w:headerReference w:type="even" r:id="rId355"/>
          <w:pgSz w:w="9060" w:h="14010"/>
          <w:pgMar w:header="0" w:footer="0" w:top="300" w:bottom="0" w:left="0" w:right="60"/>
        </w:sectPr>
      </w:pPr>
    </w:p>
    <w:p>
      <w:pPr>
        <w:pStyle w:val="BodyText"/>
        <w:spacing w:before="1"/>
        <w:rPr>
          <w:sz w:val="24"/>
        </w:rPr>
      </w:pPr>
    </w:p>
    <w:p>
      <w:pPr>
        <w:tabs>
          <w:tab w:pos="2172" w:val="left" w:leader="none"/>
        </w:tabs>
        <w:spacing w:before="90"/>
        <w:ind w:left="0" w:right="112" w:firstLine="0"/>
        <w:jc w:val="right"/>
        <w:rPr>
          <w:rFonts w:ascii="Arial" w:hAnsi="Arial"/>
          <w:b/>
          <w:i/>
          <w:sz w:val="18"/>
        </w:rPr>
      </w:pPr>
      <w:r>
        <w:rPr>
          <w:rFonts w:ascii="Arial" w:hAnsi="Arial"/>
          <w:color w:val="3A383A"/>
          <w:w w:val="102"/>
          <w:sz w:val="17"/>
        </w:rPr>
        <w:t>14.</w:t>
      </w:r>
      <w:r>
        <w:rPr>
          <w:rFonts w:ascii="Arial" w:hAnsi="Arial"/>
          <w:color w:val="3A383A"/>
          <w:spacing w:val="-129"/>
          <w:w w:val="102"/>
          <w:sz w:val="33"/>
        </w:rPr>
        <w:t>◄</w:t>
      </w:r>
      <w:r>
        <w:rPr>
          <w:rFonts w:ascii="Arial" w:hAnsi="Arial"/>
          <w:color w:val="3A383A"/>
          <w:spacing w:val="-1"/>
          <w:w w:val="112"/>
          <w:sz w:val="17"/>
        </w:rPr>
        <w:t>Writin</w:t>
      </w:r>
      <w:r>
        <w:rPr>
          <w:rFonts w:ascii="Arial" w:hAnsi="Arial"/>
          <w:color w:val="3A383A"/>
          <w:w w:val="112"/>
          <w:sz w:val="17"/>
        </w:rPr>
        <w:t>g</w:t>
      </w:r>
      <w:r>
        <w:rPr>
          <w:rFonts w:ascii="Arial" w:hAnsi="Arial"/>
          <w:color w:val="3A383A"/>
          <w:spacing w:val="-6"/>
          <w:sz w:val="17"/>
        </w:rPr>
        <w:t> </w:t>
      </w:r>
      <w:r>
        <w:rPr>
          <w:rFonts w:ascii="Arial" w:hAnsi="Arial"/>
          <w:color w:val="3A383A"/>
          <w:spacing w:val="-1"/>
          <w:w w:val="112"/>
          <w:sz w:val="17"/>
        </w:rPr>
        <w:t>th</w:t>
      </w:r>
      <w:r>
        <w:rPr>
          <w:rFonts w:ascii="Arial" w:hAnsi="Arial"/>
          <w:color w:val="3A383A"/>
          <w:w w:val="112"/>
          <w:sz w:val="17"/>
        </w:rPr>
        <w:t>e</w:t>
      </w:r>
      <w:r>
        <w:rPr>
          <w:rFonts w:ascii="Arial" w:hAnsi="Arial"/>
          <w:color w:val="3A383A"/>
          <w:spacing w:val="-14"/>
          <w:sz w:val="17"/>
        </w:rPr>
        <w:t> </w:t>
      </w:r>
      <w:r>
        <w:rPr>
          <w:rFonts w:ascii="Arial" w:hAnsi="Arial"/>
          <w:color w:val="3A383A"/>
          <w:spacing w:val="-1"/>
          <w:w w:val="102"/>
          <w:sz w:val="17"/>
        </w:rPr>
        <w:t>Brie</w:t>
      </w:r>
      <w:r>
        <w:rPr>
          <w:rFonts w:ascii="Arial" w:hAnsi="Arial"/>
          <w:color w:val="3A383A"/>
          <w:w w:val="102"/>
          <w:sz w:val="17"/>
        </w:rPr>
        <w:t>f</w:t>
      </w:r>
      <w:r>
        <w:rPr>
          <w:rFonts w:ascii="Arial" w:hAnsi="Arial"/>
          <w:color w:val="3A383A"/>
          <w:sz w:val="17"/>
        </w:rPr>
        <w:tab/>
      </w:r>
      <w:r>
        <w:rPr>
          <w:rFonts w:ascii="Arial" w:hAnsi="Arial"/>
          <w:b/>
          <w:color w:val="3A383A"/>
          <w:spacing w:val="-1"/>
          <w:w w:val="102"/>
          <w:sz w:val="18"/>
        </w:rPr>
        <w:t>3</w:t>
      </w:r>
      <w:r>
        <w:rPr>
          <w:rFonts w:ascii="Arial" w:hAnsi="Arial"/>
          <w:b/>
          <w:color w:val="3A383A"/>
          <w:spacing w:val="2"/>
          <w:w w:val="102"/>
          <w:sz w:val="18"/>
        </w:rPr>
        <w:t>1</w:t>
      </w:r>
      <w:r>
        <w:rPr>
          <w:rFonts w:ascii="Arial" w:hAnsi="Arial"/>
          <w:b/>
          <w:i/>
          <w:color w:val="3A383A"/>
          <w:w w:val="102"/>
          <w:sz w:val="18"/>
        </w:rPr>
        <w:t>S</w:t>
      </w:r>
    </w:p>
    <w:p>
      <w:pPr>
        <w:pStyle w:val="BodyText"/>
        <w:spacing w:before="6"/>
        <w:rPr>
          <w:rFonts w:ascii="Arial"/>
          <w:b/>
          <w:i/>
          <w:sz w:val="29"/>
        </w:rPr>
      </w:pPr>
    </w:p>
    <w:p>
      <w:pPr>
        <w:spacing w:before="90"/>
        <w:ind w:left="644" w:right="0" w:firstLine="0"/>
        <w:jc w:val="left"/>
        <w:rPr>
          <w:rFonts w:ascii="Arial"/>
          <w:b/>
          <w:sz w:val="33"/>
        </w:rPr>
      </w:pPr>
      <w:r>
        <w:rPr>
          <w:rFonts w:ascii="Arial"/>
          <w:b/>
          <w:color w:val="3A383A"/>
          <w:sz w:val="33"/>
        </w:rPr>
        <w:t>14</w:t>
      </w:r>
      <w:r>
        <w:rPr>
          <w:rFonts w:ascii="Arial"/>
          <w:b/>
          <w:color w:val="231F21"/>
          <w:sz w:val="33"/>
        </w:rPr>
        <w:t>.</w:t>
      </w:r>
      <w:r>
        <w:rPr>
          <w:rFonts w:ascii="Arial"/>
          <w:b/>
          <w:color w:val="3A383A"/>
          <w:sz w:val="33"/>
        </w:rPr>
        <w:t>3</w:t>
      </w:r>
    </w:p>
    <w:p>
      <w:pPr>
        <w:spacing w:before="72"/>
        <w:ind w:left="639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3A383A"/>
          <w:w w:val="105"/>
          <w:sz w:val="26"/>
        </w:rPr>
        <w:t>CHOOSING</w:t>
      </w:r>
      <w:r>
        <w:rPr>
          <w:rFonts w:ascii="Arial"/>
          <w:b/>
          <w:color w:val="3A383A"/>
          <w:spacing w:val="7"/>
          <w:w w:val="105"/>
          <w:sz w:val="26"/>
        </w:rPr>
        <w:t> </w:t>
      </w:r>
      <w:r>
        <w:rPr>
          <w:rFonts w:ascii="Arial"/>
          <w:b/>
          <w:color w:val="3A383A"/>
          <w:w w:val="105"/>
          <w:sz w:val="26"/>
        </w:rPr>
        <w:t>WHICH</w:t>
      </w:r>
      <w:r>
        <w:rPr>
          <w:rFonts w:ascii="Arial"/>
          <w:b/>
          <w:color w:val="3A383A"/>
          <w:spacing w:val="9"/>
          <w:w w:val="105"/>
          <w:sz w:val="26"/>
        </w:rPr>
        <w:t> </w:t>
      </w:r>
      <w:r>
        <w:rPr>
          <w:rFonts w:ascii="Arial"/>
          <w:b/>
          <w:color w:val="3A383A"/>
          <w:w w:val="105"/>
          <w:sz w:val="26"/>
        </w:rPr>
        <w:t>SIDE</w:t>
      </w:r>
      <w:r>
        <w:rPr>
          <w:rFonts w:ascii="Arial"/>
          <w:b/>
          <w:color w:val="3A383A"/>
          <w:spacing w:val="-15"/>
          <w:w w:val="105"/>
          <w:sz w:val="26"/>
        </w:rPr>
        <w:t> </w:t>
      </w:r>
      <w:r>
        <w:rPr>
          <w:rFonts w:ascii="Arial"/>
          <w:b/>
          <w:color w:val="3A383A"/>
          <w:w w:val="105"/>
          <w:sz w:val="26"/>
        </w:rPr>
        <w:t>TO</w:t>
      </w:r>
      <w:r>
        <w:rPr>
          <w:rFonts w:ascii="Arial"/>
          <w:b/>
          <w:color w:val="3A383A"/>
          <w:spacing w:val="24"/>
          <w:w w:val="105"/>
          <w:sz w:val="26"/>
        </w:rPr>
        <w:t> </w:t>
      </w:r>
      <w:r>
        <w:rPr>
          <w:rFonts w:ascii="Arial"/>
          <w:b/>
          <w:color w:val="3A383A"/>
          <w:w w:val="105"/>
          <w:sz w:val="26"/>
        </w:rPr>
        <w:t>BRIEF</w:t>
      </w: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BodyText"/>
        <w:spacing w:line="232" w:lineRule="auto" w:before="1"/>
        <w:ind w:left="123" w:right="802" w:firstLine="512"/>
        <w:jc w:val="both"/>
      </w:pPr>
      <w:r>
        <w:rPr>
          <w:color w:val="3A383A"/>
          <w:w w:val="110"/>
        </w:rPr>
        <w:t>If your school sends two teams to a particular competition, the rules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5"/>
        </w:rPr>
        <w:t>usually dictate that one team must act as petitioner and one team must</w:t>
      </w:r>
      <w:r>
        <w:rPr>
          <w:color w:val="3A383A"/>
          <w:spacing w:val="-64"/>
          <w:w w:val="115"/>
        </w:rPr>
        <w:t> </w:t>
      </w:r>
      <w:r>
        <w:rPr>
          <w:color w:val="3A383A"/>
          <w:w w:val="110"/>
        </w:rPr>
        <w:t>act as respondent. In that case, your choice of side will probably depend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on a coin flip or some other arbitrary method. If your school sends only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one team, however, you may be allowed to choose which side of the case</w:t>
      </w:r>
      <w:r>
        <w:rPr>
          <w:color w:val="3A383A"/>
          <w:spacing w:val="-61"/>
          <w:w w:val="110"/>
        </w:rPr>
        <w:t> </w:t>
      </w:r>
      <w:r>
        <w:rPr>
          <w:color w:val="3A383A"/>
          <w:spacing w:val="-1"/>
          <w:w w:val="110"/>
        </w:rPr>
        <w:t>to brief. Because you will be arguing </w:t>
      </w:r>
      <w:r>
        <w:rPr>
          <w:color w:val="3A383A"/>
          <w:w w:val="110"/>
        </w:rPr>
        <w:t>both sides of the case at the com­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petition, make this decision based mainly on how it relates to the brief.</w:t>
      </w:r>
      <w:r>
        <w:rPr>
          <w:color w:val="3A383A"/>
          <w:spacing w:val="1"/>
          <w:w w:val="110"/>
        </w:rPr>
        <w:t> </w:t>
      </w:r>
      <w:r>
        <w:rPr>
          <w:color w:val="4F4F50"/>
          <w:w w:val="110"/>
        </w:rPr>
        <w:t>Presuming </w:t>
      </w:r>
      <w:r>
        <w:rPr>
          <w:color w:val="3A383A"/>
          <w:w w:val="110"/>
        </w:rPr>
        <w:t>that there is no deadline for your decision (other than the brief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0"/>
        </w:rPr>
        <w:t>deadline), you may want to begin researching and writing based on your</w:t>
      </w:r>
      <w:r>
        <w:rPr>
          <w:color w:val="3A383A"/>
          <w:spacing w:val="1"/>
          <w:w w:val="110"/>
        </w:rPr>
        <w:t> </w:t>
      </w:r>
      <w:r>
        <w:rPr>
          <w:color w:val="3A383A"/>
          <w:spacing w:val="-1"/>
          <w:w w:val="110"/>
        </w:rPr>
        <w:t>gut instinct, </w:t>
      </w:r>
      <w:r>
        <w:rPr>
          <w:color w:val="3A383A"/>
          <w:w w:val="110"/>
        </w:rPr>
        <w:t>but allow yourself to change sides if you later decide that the</w:t>
      </w:r>
      <w:r>
        <w:rPr>
          <w:color w:val="3A383A"/>
          <w:spacing w:val="-61"/>
          <w:w w:val="110"/>
        </w:rPr>
        <w:t> </w:t>
      </w:r>
      <w:r>
        <w:rPr>
          <w:color w:val="4F4F50"/>
          <w:w w:val="115"/>
        </w:rPr>
        <w:t>other</w:t>
      </w:r>
      <w:r>
        <w:rPr>
          <w:color w:val="4F4F50"/>
          <w:spacing w:val="-22"/>
          <w:w w:val="115"/>
        </w:rPr>
        <w:t> </w:t>
      </w:r>
      <w:r>
        <w:rPr>
          <w:color w:val="3A383A"/>
          <w:w w:val="115"/>
        </w:rPr>
        <w:t>side</w:t>
      </w:r>
      <w:r>
        <w:rPr>
          <w:color w:val="3A383A"/>
          <w:spacing w:val="-24"/>
          <w:w w:val="115"/>
        </w:rPr>
        <w:t> </w:t>
      </w:r>
      <w:r>
        <w:rPr>
          <w:color w:val="3A383A"/>
          <w:w w:val="115"/>
        </w:rPr>
        <w:t>would</w:t>
      </w:r>
      <w:r>
        <w:rPr>
          <w:color w:val="3A383A"/>
          <w:spacing w:val="2"/>
          <w:w w:val="115"/>
        </w:rPr>
        <w:t> </w:t>
      </w:r>
      <w:r>
        <w:rPr>
          <w:color w:val="3A383A"/>
          <w:w w:val="115"/>
        </w:rPr>
        <w:t>be</w:t>
      </w:r>
      <w:r>
        <w:rPr>
          <w:color w:val="3A383A"/>
          <w:spacing w:val="-10"/>
          <w:w w:val="115"/>
        </w:rPr>
        <w:t> </w:t>
      </w:r>
      <w:r>
        <w:rPr>
          <w:color w:val="3A383A"/>
          <w:w w:val="115"/>
        </w:rPr>
        <w:t>better.</w:t>
      </w:r>
    </w:p>
    <w:p>
      <w:pPr>
        <w:pStyle w:val="BodyText"/>
        <w:spacing w:line="235" w:lineRule="auto" w:before="8"/>
        <w:ind w:left="119" w:right="770" w:firstLine="306"/>
        <w:jc w:val="both"/>
        <w:rPr>
          <w:i/>
          <w:sz w:val="24"/>
        </w:rPr>
      </w:pPr>
      <w:r>
        <w:rPr>
          <w:color w:val="3A383A"/>
          <w:w w:val="110"/>
        </w:rPr>
        <w:t>Do not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agonize too much over this decision; you cannot control how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the judges will react to  each side of  the  case. If  the 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judges think that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one side is much easier than the other, they may consciously or uncon­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sciously award more points to what they perceive to be the more chal­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lenging side. On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the other hand, if the 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judges are  not  overly perceptive</w:t>
      </w:r>
      <w:r>
        <w:rPr>
          <w:color w:val="3A383A"/>
          <w:spacing w:val="-61"/>
          <w:w w:val="110"/>
        </w:rPr>
        <w:t> </w:t>
      </w:r>
      <w:r>
        <w:rPr>
          <w:color w:val="3A383A"/>
          <w:w w:val="110"/>
        </w:rPr>
        <w:t>of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relative difficulties of the  two sides, they may award more points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to the briefs that seemed to make the better arguments. Thus, you should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choose 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side that you think will allow you to write the better brief. If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you think you are writing the easier side, be careful. Do not fall </w:t>
      </w:r>
      <w:r>
        <w:rPr>
          <w:color w:val="4F4F50"/>
          <w:w w:val="110"/>
        </w:rPr>
        <w:t>into </w:t>
      </w:r>
      <w:r>
        <w:rPr>
          <w:color w:val="3A383A"/>
          <w:w w:val="110"/>
        </w:rPr>
        <w:t>the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trap of failing to adequately brief issues because they seem easy or obvi­</w:t>
      </w:r>
      <w:r>
        <w:rPr>
          <w:color w:val="3A383A"/>
          <w:spacing w:val="1"/>
          <w:w w:val="110"/>
        </w:rPr>
        <w:t> </w:t>
      </w:r>
      <w:r>
        <w:rPr>
          <w:color w:val="3A383A"/>
          <w:w w:val="110"/>
        </w:rPr>
        <w:t>ous</w:t>
      </w:r>
      <w:r>
        <w:rPr>
          <w:color w:val="3A383A"/>
          <w:spacing w:val="-11"/>
          <w:w w:val="110"/>
        </w:rPr>
        <w:t> </w:t>
      </w:r>
      <w:r>
        <w:rPr>
          <w:color w:val="3A383A"/>
          <w:w w:val="110"/>
        </w:rPr>
        <w:t>to</w:t>
      </w:r>
      <w:r>
        <w:rPr>
          <w:color w:val="3A383A"/>
          <w:spacing w:val="45"/>
          <w:w w:val="110"/>
        </w:rPr>
        <w:t> </w:t>
      </w:r>
      <w:r>
        <w:rPr>
          <w:i/>
          <w:color w:val="3A383A"/>
          <w:w w:val="110"/>
          <w:sz w:val="24"/>
        </w:rPr>
        <w:t>you.</w:t>
      </w:r>
    </w:p>
    <w:p>
      <w:pPr>
        <w:pStyle w:val="BodyText"/>
        <w:rPr>
          <w:i/>
          <w:sz w:val="26"/>
        </w:rPr>
      </w:pPr>
    </w:p>
    <w:p>
      <w:pPr>
        <w:spacing w:before="217"/>
        <w:ind w:left="635" w:right="0" w:firstLine="0"/>
        <w:jc w:val="left"/>
        <w:rPr>
          <w:rFonts w:ascii="Arial"/>
          <w:b/>
          <w:sz w:val="33"/>
        </w:rPr>
      </w:pPr>
      <w:r>
        <w:rPr>
          <w:rFonts w:ascii="Arial"/>
          <w:b/>
          <w:color w:val="3A383A"/>
          <w:sz w:val="33"/>
        </w:rPr>
        <w:t>14</w:t>
      </w:r>
      <w:r>
        <w:rPr>
          <w:rFonts w:ascii="Arial"/>
          <w:b/>
          <w:color w:val="646467"/>
          <w:sz w:val="33"/>
        </w:rPr>
        <w:t>.4</w:t>
      </w:r>
    </w:p>
    <w:p>
      <w:pPr>
        <w:spacing w:before="72"/>
        <w:ind w:left="631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3A383A"/>
          <w:w w:val="105"/>
          <w:sz w:val="26"/>
        </w:rPr>
        <w:t>WRITING</w:t>
      </w:r>
      <w:r>
        <w:rPr>
          <w:rFonts w:ascii="Arial"/>
          <w:b/>
          <w:color w:val="3A383A"/>
          <w:spacing w:val="5"/>
          <w:w w:val="105"/>
          <w:sz w:val="26"/>
        </w:rPr>
        <w:t> </w:t>
      </w:r>
      <w:r>
        <w:rPr>
          <w:rFonts w:ascii="Arial"/>
          <w:b/>
          <w:color w:val="3A383A"/>
          <w:w w:val="105"/>
          <w:sz w:val="26"/>
        </w:rPr>
        <w:t>THE</w:t>
      </w:r>
      <w:r>
        <w:rPr>
          <w:rFonts w:ascii="Arial"/>
          <w:b/>
          <w:color w:val="3A383A"/>
          <w:spacing w:val="-4"/>
          <w:w w:val="105"/>
          <w:sz w:val="26"/>
        </w:rPr>
        <w:t> </w:t>
      </w:r>
      <w:r>
        <w:rPr>
          <w:rFonts w:ascii="Arial"/>
          <w:b/>
          <w:color w:val="4F4F50"/>
          <w:w w:val="105"/>
          <w:sz w:val="26"/>
        </w:rPr>
        <w:t>BRIEF</w:t>
      </w:r>
    </w:p>
    <w:p>
      <w:pPr>
        <w:pStyle w:val="BodyText"/>
        <w:spacing w:line="232" w:lineRule="auto" w:before="247"/>
        <w:ind w:left="122" w:right="706" w:firstLine="493"/>
        <w:jc w:val="both"/>
      </w:pPr>
      <w:r>
        <w:rPr>
          <w:color w:val="3A383A"/>
          <w:w w:val="105"/>
        </w:rPr>
        <w:t>The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research,  organization,  and</w:t>
      </w:r>
      <w:r>
        <w:rPr>
          <w:color w:val="3A383A"/>
          <w:spacing w:val="61"/>
          <w:w w:val="105"/>
        </w:rPr>
        <w:t> </w:t>
      </w:r>
      <w:r>
        <w:rPr>
          <w:color w:val="3A383A"/>
          <w:w w:val="105"/>
        </w:rPr>
        <w:t>writing  guidance  throughout</w:t>
      </w:r>
      <w:r>
        <w:rPr>
          <w:color w:val="3A383A"/>
          <w:spacing w:val="61"/>
          <w:w w:val="105"/>
        </w:rPr>
        <w:t> </w:t>
      </w:r>
      <w:r>
        <w:rPr>
          <w:color w:val="3A383A"/>
          <w:w w:val="105"/>
        </w:rPr>
        <w:t>this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book applies to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any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brief</w:t>
      </w:r>
      <w:r>
        <w:rPr>
          <w:color w:val="231F21"/>
          <w:w w:val="105"/>
        </w:rPr>
        <w:t>. </w:t>
      </w:r>
      <w:r>
        <w:rPr>
          <w:color w:val="3A383A"/>
          <w:w w:val="105"/>
        </w:rPr>
        <w:t>In a  moot court competition,  however,  you  will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be working collaboratively, and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so other issues may arise. Most moot court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competitions allow three students on a team. Some schools choose to  have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one person write the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brief and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the  other two argue, but  I do  not  recom­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mend this structure. While it may make for an easier writing process (espe­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cially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for the  students  who aren't  writing),  I believe  that  the final  product</w:t>
      </w:r>
      <w:r>
        <w:rPr>
          <w:color w:val="3A383A"/>
          <w:spacing w:val="-58"/>
          <w:w w:val="105"/>
        </w:rPr>
        <w:t> </w:t>
      </w:r>
      <w:r>
        <w:rPr>
          <w:color w:val="3A383A"/>
          <w:w w:val="105"/>
        </w:rPr>
        <w:t>is usually  better if  all  three team  members  participate. More importantly,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all three team members learn much  more about their case, and  about writ­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ing and oral argument, when all three participate in  both  writing the  brief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and</w:t>
      </w:r>
      <w:r>
        <w:rPr>
          <w:color w:val="3A383A"/>
          <w:spacing w:val="-14"/>
          <w:w w:val="105"/>
        </w:rPr>
        <w:t> </w:t>
      </w:r>
      <w:r>
        <w:rPr>
          <w:color w:val="3A383A"/>
          <w:w w:val="105"/>
        </w:rPr>
        <w:t>arguing</w:t>
      </w:r>
      <w:r>
        <w:rPr>
          <w:color w:val="3A383A"/>
          <w:spacing w:val="1"/>
          <w:w w:val="105"/>
        </w:rPr>
        <w:t> </w:t>
      </w:r>
      <w:r>
        <w:rPr>
          <w:color w:val="3A383A"/>
          <w:w w:val="105"/>
        </w:rPr>
        <w:t>the</w:t>
      </w:r>
      <w:r>
        <w:rPr>
          <w:color w:val="3A383A"/>
          <w:spacing w:val="36"/>
          <w:w w:val="105"/>
        </w:rPr>
        <w:t> </w:t>
      </w:r>
      <w:r>
        <w:rPr>
          <w:color w:val="3A383A"/>
          <w:w w:val="105"/>
        </w:rPr>
        <w:t>case.</w:t>
      </w:r>
    </w:p>
    <w:p>
      <w:pPr>
        <w:spacing w:after="0" w:line="232" w:lineRule="auto"/>
        <w:jc w:val="both"/>
        <w:sectPr>
          <w:headerReference w:type="default" r:id="rId356"/>
          <w:pgSz w:w="9480" w:h="14010"/>
          <w:pgMar w:header="0" w:footer="0" w:top="0" w:bottom="0" w:left="120" w:right="980"/>
        </w:sectPr>
      </w:pPr>
    </w:p>
    <w:p>
      <w:pPr>
        <w:spacing w:line="190" w:lineRule="exact" w:before="55"/>
        <w:ind w:left="101" w:right="0" w:firstLine="0"/>
        <w:jc w:val="left"/>
        <w:rPr>
          <w:rFonts w:ascii="Arial"/>
          <w:sz w:val="21"/>
        </w:rPr>
      </w:pPr>
      <w:r>
        <w:rPr>
          <w:rFonts w:ascii="Arial"/>
          <w:color w:val="B8BABC"/>
          <w:w w:val="36"/>
          <w:sz w:val="21"/>
        </w:rPr>
        <w:t>i</w:t>
      </w:r>
    </w:p>
    <w:p>
      <w:pPr>
        <w:spacing w:line="287" w:lineRule="exact" w:before="0"/>
        <w:ind w:left="92" w:right="0" w:firstLine="0"/>
        <w:jc w:val="left"/>
        <w:rPr>
          <w:rFonts w:ascii="Arial"/>
          <w:sz w:val="35"/>
        </w:rPr>
      </w:pPr>
      <w:r>
        <w:rPr>
          <w:rFonts w:ascii="Arial"/>
          <w:color w:val="B8BABC"/>
          <w:w w:val="36"/>
          <w:sz w:val="35"/>
        </w:rPr>
        <w:t>I</w:t>
      </w:r>
    </w:p>
    <w:p>
      <w:pPr>
        <w:tabs>
          <w:tab w:pos="1275" w:val="left" w:leader="none"/>
          <w:tab w:pos="2036" w:val="left" w:leader="none"/>
        </w:tabs>
        <w:spacing w:line="350" w:lineRule="exact" w:before="0"/>
        <w:ind w:left="101" w:right="0" w:firstLine="0"/>
        <w:jc w:val="left"/>
        <w:rPr>
          <w:sz w:val="19"/>
        </w:rPr>
      </w:pPr>
      <w:r>
        <w:rPr>
          <w:rFonts w:ascii="Arial"/>
          <w:color w:val="B8BABC"/>
          <w:w w:val="105"/>
          <w:position w:val="-13"/>
          <w:sz w:val="36"/>
        </w:rPr>
        <w:t>I</w:t>
        <w:tab/>
      </w:r>
      <w:r>
        <w:rPr>
          <w:rFonts w:ascii="Arial"/>
          <w:b/>
          <w:color w:val="3B383A"/>
          <w:w w:val="105"/>
          <w:sz w:val="18"/>
        </w:rPr>
        <w:t>316</w:t>
        <w:tab/>
      </w:r>
      <w:r>
        <w:rPr>
          <w:color w:val="3B383A"/>
          <w:spacing w:val="-1"/>
          <w:w w:val="105"/>
          <w:position w:val="1"/>
          <w:sz w:val="19"/>
        </w:rPr>
        <w:t>Chapter Fourteen</w:t>
      </w:r>
      <w:r>
        <w:rPr>
          <w:color w:val="3B383A"/>
          <w:spacing w:val="39"/>
          <w:w w:val="105"/>
          <w:position w:val="1"/>
          <w:sz w:val="19"/>
        </w:rPr>
        <w:t> </w:t>
      </w:r>
      <w:r>
        <w:rPr>
          <w:color w:val="3B383A"/>
          <w:spacing w:val="-1"/>
          <w:w w:val="105"/>
          <w:position w:val="1"/>
          <w:sz w:val="19"/>
        </w:rPr>
        <w:t>Moot </w:t>
      </w:r>
      <w:r>
        <w:rPr>
          <w:color w:val="3B383A"/>
          <w:w w:val="105"/>
          <w:position w:val="1"/>
          <w:sz w:val="19"/>
        </w:rPr>
        <w:t>Court</w:t>
      </w:r>
      <w:r>
        <w:rPr>
          <w:color w:val="3B383A"/>
          <w:spacing w:val="-17"/>
          <w:w w:val="105"/>
          <w:position w:val="1"/>
          <w:sz w:val="19"/>
        </w:rPr>
        <w:t> </w:t>
      </w:r>
      <w:r>
        <w:rPr>
          <w:color w:val="3B383A"/>
          <w:w w:val="105"/>
          <w:position w:val="1"/>
          <w:sz w:val="19"/>
        </w:rPr>
        <w:t>Competitions</w:t>
      </w:r>
    </w:p>
    <w:p>
      <w:pPr>
        <w:spacing w:before="292"/>
        <w:ind w:left="2378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4F4F52"/>
          <w:w w:val="110"/>
          <w:sz w:val="28"/>
        </w:rPr>
        <w:t>14.4.1</w:t>
      </w:r>
    </w:p>
    <w:p>
      <w:pPr>
        <w:spacing w:before="52"/>
        <w:ind w:left="2373" w:right="0" w:firstLine="0"/>
        <w:jc w:val="left"/>
        <w:rPr>
          <w:rFonts w:ascii="Arial"/>
          <w:sz w:val="22"/>
        </w:rPr>
      </w:pPr>
      <w:r>
        <w:rPr>
          <w:rFonts w:ascii="Arial"/>
          <w:color w:val="626264"/>
          <w:w w:val="110"/>
          <w:sz w:val="22"/>
        </w:rPr>
        <w:t>DIVIDING</w:t>
      </w:r>
      <w:r>
        <w:rPr>
          <w:rFonts w:ascii="Arial"/>
          <w:color w:val="626264"/>
          <w:spacing w:val="6"/>
          <w:w w:val="110"/>
          <w:sz w:val="22"/>
        </w:rPr>
        <w:t> </w:t>
      </w:r>
      <w:r>
        <w:rPr>
          <w:rFonts w:ascii="Arial"/>
          <w:color w:val="626264"/>
          <w:w w:val="110"/>
          <w:sz w:val="22"/>
        </w:rPr>
        <w:t>UP</w:t>
      </w:r>
      <w:r>
        <w:rPr>
          <w:rFonts w:ascii="Arial"/>
          <w:color w:val="626264"/>
          <w:spacing w:val="-13"/>
          <w:w w:val="110"/>
          <w:sz w:val="22"/>
        </w:rPr>
        <w:t> </w:t>
      </w:r>
      <w:r>
        <w:rPr>
          <w:rFonts w:ascii="Arial"/>
          <w:color w:val="4F4F52"/>
          <w:w w:val="110"/>
          <w:sz w:val="22"/>
        </w:rPr>
        <w:t>THE</w:t>
      </w:r>
      <w:r>
        <w:rPr>
          <w:rFonts w:ascii="Arial"/>
          <w:color w:val="4F4F52"/>
          <w:spacing w:val="-11"/>
          <w:w w:val="110"/>
          <w:sz w:val="22"/>
        </w:rPr>
        <w:t> </w:t>
      </w:r>
      <w:r>
        <w:rPr>
          <w:rFonts w:ascii="Arial"/>
          <w:color w:val="626264"/>
          <w:w w:val="110"/>
          <w:sz w:val="22"/>
        </w:rPr>
        <w:t>WORK</w:t>
      </w:r>
    </w:p>
    <w:p>
      <w:pPr>
        <w:pStyle w:val="BodyText"/>
        <w:spacing w:line="232" w:lineRule="auto" w:before="140"/>
        <w:ind w:left="2042" w:right="122" w:firstLine="383"/>
        <w:jc w:val="both"/>
      </w:pPr>
      <w:r>
        <w:rPr>
          <w:color w:val="3B383A"/>
          <w:w w:val="105"/>
        </w:rPr>
        <w:t>Because research and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writing are parts of the analytical process neces­</w:t>
      </w:r>
      <w:r>
        <w:rPr>
          <w:color w:val="3B383A"/>
          <w:spacing w:val="1"/>
          <w:w w:val="105"/>
        </w:rPr>
        <w:t> </w:t>
      </w:r>
      <w:r>
        <w:rPr>
          <w:color w:val="3B383A"/>
          <w:spacing w:val="-1"/>
          <w:w w:val="110"/>
        </w:rPr>
        <w:t>sary to fully understand the issues </w:t>
      </w:r>
      <w:r>
        <w:rPr>
          <w:color w:val="3B383A"/>
          <w:w w:val="110"/>
        </w:rPr>
        <w:t>in a case, the people doing the arguing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will be better prepared if they participate in the writing process. No less an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authority than the late Chief Justice Rehnquist has noted the importance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of</w:t>
      </w:r>
      <w:r>
        <w:rPr>
          <w:color w:val="3B383A"/>
          <w:spacing w:val="11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30"/>
          <w:w w:val="110"/>
        </w:rPr>
        <w:t> </w:t>
      </w:r>
      <w:r>
        <w:rPr>
          <w:color w:val="3B383A"/>
          <w:w w:val="110"/>
        </w:rPr>
        <w:t>oral</w:t>
      </w:r>
      <w:r>
        <w:rPr>
          <w:color w:val="3B383A"/>
          <w:spacing w:val="-12"/>
          <w:w w:val="110"/>
        </w:rPr>
        <w:t> </w:t>
      </w:r>
      <w:r>
        <w:rPr>
          <w:color w:val="3B383A"/>
          <w:w w:val="110"/>
        </w:rPr>
        <w:t>advocate's participation</w:t>
      </w:r>
      <w:r>
        <w:rPr>
          <w:color w:val="3B383A"/>
          <w:spacing w:val="22"/>
          <w:w w:val="110"/>
        </w:rPr>
        <w:t> </w:t>
      </w:r>
      <w:r>
        <w:rPr>
          <w:color w:val="3B383A"/>
          <w:w w:val="110"/>
        </w:rPr>
        <w:t>in</w:t>
      </w:r>
      <w:r>
        <w:rPr>
          <w:color w:val="3B383A"/>
          <w:spacing w:val="12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14"/>
          <w:w w:val="110"/>
        </w:rPr>
        <w:t> </w:t>
      </w:r>
      <w:r>
        <w:rPr>
          <w:color w:val="3B383A"/>
          <w:w w:val="110"/>
        </w:rPr>
        <w:t>drafting</w:t>
      </w:r>
      <w:r>
        <w:rPr>
          <w:color w:val="3B383A"/>
          <w:spacing w:val="-17"/>
          <w:w w:val="110"/>
        </w:rPr>
        <w:t> </w:t>
      </w:r>
      <w:r>
        <w:rPr>
          <w:color w:val="3B383A"/>
          <w:w w:val="110"/>
        </w:rPr>
        <w:t>of</w:t>
      </w:r>
      <w:r>
        <w:rPr>
          <w:color w:val="3B383A"/>
          <w:spacing w:val="3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38"/>
          <w:w w:val="110"/>
        </w:rPr>
        <w:t> </w:t>
      </w:r>
      <w:r>
        <w:rPr>
          <w:color w:val="3B383A"/>
          <w:w w:val="110"/>
        </w:rPr>
        <w:t>brief:</w:t>
      </w:r>
    </w:p>
    <w:p>
      <w:pPr>
        <w:spacing w:line="237" w:lineRule="auto" w:before="137"/>
        <w:ind w:left="2421" w:right="436" w:firstLine="1"/>
        <w:jc w:val="both"/>
        <w:rPr>
          <w:rFonts w:ascii="Arial"/>
          <w:sz w:val="21"/>
        </w:rPr>
      </w:pPr>
      <w:r>
        <w:rPr>
          <w:color w:val="3B383A"/>
          <w:w w:val="110"/>
          <w:sz w:val="21"/>
        </w:rPr>
        <w:t>The questions you get in 2n oral argument are often ones that are not</w:t>
      </w:r>
      <w:r>
        <w:rPr>
          <w:color w:val="3B383A"/>
          <w:spacing w:val="1"/>
          <w:w w:val="110"/>
          <w:sz w:val="21"/>
        </w:rPr>
        <w:t> </w:t>
      </w:r>
      <w:r>
        <w:rPr>
          <w:color w:val="3B383A"/>
          <w:w w:val="110"/>
          <w:sz w:val="21"/>
        </w:rPr>
        <w:t>squarely covered in the brief-indeed </w:t>
      </w:r>
      <w:r>
        <w:rPr>
          <w:color w:val="4F4F52"/>
          <w:w w:val="110"/>
          <w:sz w:val="21"/>
        </w:rPr>
        <w:t>that </w:t>
      </w:r>
      <w:r>
        <w:rPr>
          <w:color w:val="3B383A"/>
          <w:w w:val="110"/>
          <w:sz w:val="21"/>
        </w:rPr>
        <w:t>is probably the reason for the</w:t>
      </w:r>
      <w:r>
        <w:rPr>
          <w:color w:val="3B383A"/>
          <w:spacing w:val="1"/>
          <w:w w:val="110"/>
          <w:sz w:val="21"/>
        </w:rPr>
        <w:t> </w:t>
      </w:r>
      <w:r>
        <w:rPr>
          <w:color w:val="3B383A"/>
          <w:w w:val="110"/>
          <w:sz w:val="21"/>
        </w:rPr>
        <w:t>question from the bench. So an advocate who has not gone beneath the</w:t>
      </w:r>
      <w:r>
        <w:rPr>
          <w:color w:val="3B383A"/>
          <w:spacing w:val="1"/>
          <w:w w:val="110"/>
          <w:sz w:val="21"/>
        </w:rPr>
        <w:t> </w:t>
      </w:r>
      <w:r>
        <w:rPr>
          <w:color w:val="3B383A"/>
          <w:spacing w:val="-1"/>
          <w:w w:val="110"/>
          <w:sz w:val="21"/>
        </w:rPr>
        <w:t>surface</w:t>
      </w:r>
      <w:r>
        <w:rPr>
          <w:color w:val="3B383A"/>
          <w:spacing w:val="-23"/>
          <w:w w:val="110"/>
          <w:sz w:val="21"/>
        </w:rPr>
        <w:t> </w:t>
      </w:r>
      <w:r>
        <w:rPr>
          <w:color w:val="3B383A"/>
          <w:spacing w:val="-1"/>
          <w:w w:val="110"/>
          <w:sz w:val="21"/>
        </w:rPr>
        <w:t>of</w:t>
      </w:r>
      <w:r>
        <w:rPr>
          <w:color w:val="3B383A"/>
          <w:spacing w:val="-5"/>
          <w:w w:val="110"/>
          <w:sz w:val="21"/>
        </w:rPr>
        <w:t> </w:t>
      </w:r>
      <w:r>
        <w:rPr>
          <w:color w:val="3B383A"/>
          <w:spacing w:val="-1"/>
          <w:w w:val="110"/>
          <w:sz w:val="21"/>
        </w:rPr>
        <w:t>the</w:t>
      </w:r>
      <w:r>
        <w:rPr>
          <w:color w:val="3B383A"/>
          <w:spacing w:val="12"/>
          <w:w w:val="110"/>
          <w:sz w:val="21"/>
        </w:rPr>
        <w:t> </w:t>
      </w:r>
      <w:r>
        <w:rPr>
          <w:color w:val="3B383A"/>
          <w:spacing w:val="-1"/>
          <w:w w:val="110"/>
          <w:sz w:val="21"/>
        </w:rPr>
        <w:t>brief</w:t>
      </w:r>
      <w:r>
        <w:rPr>
          <w:color w:val="3B383A"/>
          <w:spacing w:val="-2"/>
          <w:w w:val="110"/>
          <w:sz w:val="21"/>
        </w:rPr>
        <w:t> </w:t>
      </w:r>
      <w:r>
        <w:rPr>
          <w:color w:val="3B383A"/>
          <w:w w:val="110"/>
          <w:sz w:val="21"/>
        </w:rPr>
        <w:t>to</w:t>
      </w:r>
      <w:r>
        <w:rPr>
          <w:color w:val="3B383A"/>
          <w:spacing w:val="15"/>
          <w:w w:val="110"/>
          <w:sz w:val="21"/>
        </w:rPr>
        <w:t> </w:t>
      </w:r>
      <w:r>
        <w:rPr>
          <w:color w:val="3B383A"/>
          <w:w w:val="110"/>
          <w:sz w:val="21"/>
        </w:rPr>
        <w:t>understand</w:t>
      </w:r>
      <w:r>
        <w:rPr>
          <w:color w:val="3B383A"/>
          <w:spacing w:val="3"/>
          <w:w w:val="110"/>
          <w:sz w:val="21"/>
        </w:rPr>
        <w:t> </w:t>
      </w:r>
      <w:r>
        <w:rPr>
          <w:color w:val="3B383A"/>
          <w:w w:val="110"/>
          <w:sz w:val="21"/>
        </w:rPr>
        <w:t>how</w:t>
      </w:r>
      <w:r>
        <w:rPr>
          <w:color w:val="3B383A"/>
          <w:spacing w:val="-17"/>
          <w:w w:val="110"/>
          <w:sz w:val="21"/>
        </w:rPr>
        <w:t> </w:t>
      </w:r>
      <w:r>
        <w:rPr>
          <w:color w:val="3B383A"/>
          <w:w w:val="110"/>
          <w:sz w:val="21"/>
        </w:rPr>
        <w:t>its</w:t>
      </w:r>
      <w:r>
        <w:rPr>
          <w:color w:val="3B383A"/>
          <w:spacing w:val="-13"/>
          <w:w w:val="110"/>
          <w:sz w:val="21"/>
        </w:rPr>
        <w:t> </w:t>
      </w:r>
      <w:r>
        <w:rPr>
          <w:color w:val="3B383A"/>
          <w:w w:val="110"/>
          <w:sz w:val="21"/>
        </w:rPr>
        <w:t>parts</w:t>
      </w:r>
      <w:r>
        <w:rPr>
          <w:color w:val="3B383A"/>
          <w:spacing w:val="-19"/>
          <w:w w:val="110"/>
          <w:sz w:val="21"/>
        </w:rPr>
        <w:t> </w:t>
      </w:r>
      <w:r>
        <w:rPr>
          <w:color w:val="3B383A"/>
          <w:w w:val="110"/>
          <w:sz w:val="21"/>
        </w:rPr>
        <w:t>fit</w:t>
      </w:r>
      <w:r>
        <w:rPr>
          <w:color w:val="3B383A"/>
          <w:spacing w:val="-13"/>
          <w:w w:val="110"/>
          <w:sz w:val="21"/>
        </w:rPr>
        <w:t> </w:t>
      </w:r>
      <w:r>
        <w:rPr>
          <w:color w:val="3B383A"/>
          <w:w w:val="110"/>
          <w:sz w:val="21"/>
        </w:rPr>
        <w:t>together</w:t>
      </w:r>
      <w:r>
        <w:rPr>
          <w:color w:val="3B383A"/>
          <w:spacing w:val="1"/>
          <w:w w:val="110"/>
          <w:sz w:val="21"/>
        </w:rPr>
        <w:t> </w:t>
      </w:r>
      <w:r>
        <w:rPr>
          <w:color w:val="3B383A"/>
          <w:w w:val="110"/>
          <w:sz w:val="21"/>
        </w:rPr>
        <w:t>into</w:t>
      </w:r>
      <w:r>
        <w:rPr>
          <w:color w:val="3B383A"/>
          <w:spacing w:val="-31"/>
          <w:w w:val="110"/>
          <w:sz w:val="21"/>
        </w:rPr>
        <w:t> </w:t>
      </w:r>
      <w:r>
        <w:rPr>
          <w:color w:val="3B383A"/>
          <w:w w:val="110"/>
          <w:sz w:val="21"/>
        </w:rPr>
        <w:t>a</w:t>
      </w:r>
      <w:r>
        <w:rPr>
          <w:color w:val="3B383A"/>
          <w:spacing w:val="-27"/>
          <w:w w:val="110"/>
          <w:sz w:val="21"/>
        </w:rPr>
        <w:t> </w:t>
      </w:r>
      <w:r>
        <w:rPr>
          <w:color w:val="3B383A"/>
          <w:w w:val="110"/>
          <w:sz w:val="21"/>
        </w:rPr>
        <w:t>coherent</w:t>
      </w:r>
      <w:r>
        <w:rPr>
          <w:color w:val="3B383A"/>
          <w:spacing w:val="1"/>
          <w:w w:val="110"/>
          <w:sz w:val="21"/>
        </w:rPr>
        <w:t> </w:t>
      </w:r>
      <w:r>
        <w:rPr>
          <w:color w:val="3B383A"/>
          <w:w w:val="110"/>
          <w:sz w:val="21"/>
        </w:rPr>
        <w:t>argument </w:t>
      </w:r>
      <w:r>
        <w:rPr>
          <w:color w:val="3B383A"/>
          <w:w w:val="110"/>
          <w:sz w:val="20"/>
        </w:rPr>
        <w:t>will </w:t>
      </w:r>
      <w:r>
        <w:rPr>
          <w:color w:val="3B383A"/>
          <w:w w:val="110"/>
          <w:sz w:val="21"/>
        </w:rPr>
        <w:t>be at a considerable disadvantage. Even an advocate who</w:t>
      </w:r>
      <w:r>
        <w:rPr>
          <w:color w:val="3B383A"/>
          <w:spacing w:val="1"/>
          <w:w w:val="110"/>
          <w:sz w:val="21"/>
        </w:rPr>
        <w:t> </w:t>
      </w:r>
      <w:r>
        <w:rPr>
          <w:color w:val="3B383A"/>
          <w:w w:val="105"/>
          <w:sz w:val="21"/>
        </w:rPr>
        <w:t>has all but memorized  the  brief </w:t>
      </w:r>
      <w:r>
        <w:rPr>
          <w:color w:val="3B383A"/>
          <w:w w:val="105"/>
          <w:sz w:val="20"/>
        </w:rPr>
        <w:t>will </w:t>
      </w:r>
      <w:r>
        <w:rPr>
          <w:color w:val="3B383A"/>
          <w:w w:val="105"/>
          <w:sz w:val="21"/>
        </w:rPr>
        <w:t>be at this kind of disadvantage, if [he</w:t>
      </w:r>
      <w:r>
        <w:rPr>
          <w:color w:val="3B383A"/>
          <w:spacing w:val="1"/>
          <w:w w:val="105"/>
          <w:sz w:val="21"/>
        </w:rPr>
        <w:t> </w:t>
      </w:r>
      <w:r>
        <w:rPr>
          <w:color w:val="3B383A"/>
          <w:w w:val="110"/>
          <w:sz w:val="21"/>
        </w:rPr>
        <w:t>or</w:t>
      </w:r>
      <w:r>
        <w:rPr>
          <w:color w:val="3B383A"/>
          <w:spacing w:val="7"/>
          <w:w w:val="110"/>
          <w:sz w:val="21"/>
        </w:rPr>
        <w:t> </w:t>
      </w:r>
      <w:r>
        <w:rPr>
          <w:color w:val="3B383A"/>
          <w:w w:val="110"/>
          <w:sz w:val="21"/>
        </w:rPr>
        <w:t>she]</w:t>
      </w:r>
      <w:r>
        <w:rPr>
          <w:color w:val="3B383A"/>
          <w:spacing w:val="-14"/>
          <w:w w:val="110"/>
          <w:sz w:val="21"/>
        </w:rPr>
        <w:t> </w:t>
      </w:r>
      <w:r>
        <w:rPr>
          <w:color w:val="3B383A"/>
          <w:w w:val="110"/>
          <w:sz w:val="21"/>
        </w:rPr>
        <w:t>has</w:t>
      </w:r>
      <w:r>
        <w:rPr>
          <w:color w:val="3B383A"/>
          <w:spacing w:val="-9"/>
          <w:w w:val="110"/>
          <w:sz w:val="21"/>
        </w:rPr>
        <w:t> </w:t>
      </w:r>
      <w:r>
        <w:rPr>
          <w:color w:val="3B383A"/>
          <w:w w:val="110"/>
          <w:sz w:val="21"/>
        </w:rPr>
        <w:t>done</w:t>
      </w:r>
      <w:r>
        <w:rPr>
          <w:color w:val="3B383A"/>
          <w:spacing w:val="-10"/>
          <w:w w:val="110"/>
          <w:sz w:val="21"/>
        </w:rPr>
        <w:t> </w:t>
      </w:r>
      <w:r>
        <w:rPr>
          <w:color w:val="3B383A"/>
          <w:w w:val="110"/>
          <w:sz w:val="21"/>
        </w:rPr>
        <w:t>no</w:t>
      </w:r>
      <w:r>
        <w:rPr>
          <w:color w:val="3B383A"/>
          <w:spacing w:val="3"/>
          <w:w w:val="110"/>
          <w:sz w:val="21"/>
        </w:rPr>
        <w:t> </w:t>
      </w:r>
      <w:r>
        <w:rPr>
          <w:color w:val="3B383A"/>
          <w:w w:val="110"/>
          <w:sz w:val="21"/>
        </w:rPr>
        <w:t>more</w:t>
      </w:r>
      <w:r>
        <w:rPr>
          <w:color w:val="3B383A"/>
          <w:spacing w:val="2"/>
          <w:w w:val="110"/>
          <w:sz w:val="21"/>
        </w:rPr>
        <w:t> </w:t>
      </w:r>
      <w:r>
        <w:rPr>
          <w:color w:val="3B383A"/>
          <w:w w:val="110"/>
          <w:sz w:val="21"/>
        </w:rPr>
        <w:t>than</w:t>
      </w:r>
      <w:r>
        <w:rPr>
          <w:color w:val="3B383A"/>
          <w:spacing w:val="3"/>
          <w:w w:val="110"/>
          <w:sz w:val="21"/>
        </w:rPr>
        <w:t> </w:t>
      </w:r>
      <w:r>
        <w:rPr>
          <w:color w:val="3B383A"/>
          <w:w w:val="110"/>
          <w:sz w:val="21"/>
        </w:rPr>
        <w:t>memorize</w:t>
      </w:r>
      <w:r>
        <w:rPr>
          <w:color w:val="3B383A"/>
          <w:spacing w:val="3"/>
          <w:w w:val="110"/>
          <w:sz w:val="21"/>
        </w:rPr>
        <w:t> </w:t>
      </w:r>
      <w:r>
        <w:rPr>
          <w:color w:val="3B383A"/>
          <w:w w:val="110"/>
          <w:sz w:val="21"/>
        </w:rPr>
        <w:t>it.</w:t>
      </w:r>
      <w:r>
        <w:rPr>
          <w:rFonts w:ascii="Arial"/>
          <w:color w:val="3B383A"/>
          <w:w w:val="110"/>
          <w:sz w:val="21"/>
          <w:vertAlign w:val="superscript"/>
        </w:rPr>
        <w:t>2</w:t>
      </w:r>
    </w:p>
    <w:p>
      <w:pPr>
        <w:pStyle w:val="BodyText"/>
        <w:spacing w:line="235" w:lineRule="auto" w:before="138"/>
        <w:ind w:left="2035" w:right="118" w:firstLine="377"/>
        <w:jc w:val="both"/>
      </w:pPr>
      <w:r>
        <w:rPr>
          <w:color w:val="3B383A"/>
          <w:w w:val="110"/>
        </w:rPr>
        <w:t>Thus, if you are the  one who conducted research, chose some cases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to include in your argument and rejected others, and hammered out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analysis, you </w:t>
      </w:r>
      <w:r>
        <w:rPr>
          <w:color w:val="3B383A"/>
          <w:w w:val="110"/>
          <w:sz w:val="22"/>
        </w:rPr>
        <w:t>will </w:t>
      </w:r>
      <w:r>
        <w:rPr>
          <w:color w:val="3B383A"/>
          <w:w w:val="110"/>
        </w:rPr>
        <w:t>be much better able to understand and respond to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questions from the bench. If you must argue an issue that youdidnotbrief,</w:t>
      </w:r>
      <w:r>
        <w:rPr>
          <w:color w:val="3B383A"/>
          <w:spacing w:val="-61"/>
          <w:w w:val="110"/>
        </w:rPr>
        <w:t> </w:t>
      </w:r>
      <w:r>
        <w:rPr>
          <w:color w:val="3B383A"/>
          <w:spacing w:val="-1"/>
          <w:w w:val="110"/>
        </w:rPr>
        <w:t>try to read </w:t>
      </w:r>
      <w:r>
        <w:rPr>
          <w:color w:val="3B383A"/>
          <w:w w:val="110"/>
        </w:rPr>
        <w:t>more than the cases that are cited in the brief. Get to know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area of the law thoroughly, so you can explain why certain authorities are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relevant</w:t>
      </w:r>
      <w:r>
        <w:rPr>
          <w:color w:val="3B383A"/>
          <w:spacing w:val="-6"/>
          <w:w w:val="110"/>
        </w:rPr>
        <w:t> </w:t>
      </w:r>
      <w:r>
        <w:rPr>
          <w:color w:val="3B383A"/>
          <w:w w:val="110"/>
        </w:rPr>
        <w:t>or</w:t>
      </w:r>
      <w:r>
        <w:rPr>
          <w:color w:val="3B383A"/>
          <w:spacing w:val="9"/>
          <w:w w:val="110"/>
        </w:rPr>
        <w:t> </w:t>
      </w:r>
      <w:r>
        <w:rPr>
          <w:color w:val="3B383A"/>
          <w:w w:val="110"/>
        </w:rPr>
        <w:t>irrelevant.</w:t>
      </w:r>
    </w:p>
    <w:p>
      <w:pPr>
        <w:pStyle w:val="BodyText"/>
        <w:spacing w:line="232" w:lineRule="auto"/>
        <w:ind w:left="1997" w:right="119" w:firstLine="386"/>
        <w:jc w:val="both"/>
      </w:pPr>
      <w:r>
        <w:rPr>
          <w:color w:val="3B383A"/>
          <w:w w:val="110"/>
        </w:rPr>
        <w:t>There is no one best way for two or three people to collaborate on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writing a brief. Because revising and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polishing should be team efforts, the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first decision to be made is how to complete the first draft. Some teams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divide up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two major issues-giving two of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the  team  members one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issue each, and  then  having the  third member handle the "extras" such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as the statement of the case, the summary of the argument, the table of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05"/>
        </w:rPr>
        <w:t>contents, and other format requirements. If one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of the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05"/>
        </w:rPr>
        <w:t>two issues is much</w:t>
      </w:r>
      <w:r>
        <w:rPr>
          <w:color w:val="3B383A"/>
          <w:spacing w:val="1"/>
          <w:w w:val="105"/>
        </w:rPr>
        <w:t> </w:t>
      </w:r>
      <w:r>
        <w:rPr>
          <w:color w:val="3B383A"/>
          <w:w w:val="110"/>
        </w:rPr>
        <w:t>more challenging than the other, however, you may wish to divide that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issue between two people, have the third person handle the second issue,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and</w:t>
      </w:r>
      <w:r>
        <w:rPr>
          <w:color w:val="3B383A"/>
          <w:spacing w:val="58"/>
          <w:w w:val="110"/>
        </w:rPr>
        <w:t> </w:t>
      </w:r>
      <w:r>
        <w:rPr>
          <w:color w:val="3B383A"/>
          <w:w w:val="110"/>
        </w:rPr>
        <w:t>collaborate</w:t>
      </w:r>
      <w:r>
        <w:rPr>
          <w:color w:val="3B383A"/>
          <w:spacing w:val="-5"/>
          <w:w w:val="110"/>
        </w:rPr>
        <w:t> </w:t>
      </w:r>
      <w:r>
        <w:rPr>
          <w:color w:val="3B383A"/>
          <w:w w:val="110"/>
        </w:rPr>
        <w:t>on</w:t>
      </w:r>
      <w:r>
        <w:rPr>
          <w:color w:val="3B383A"/>
          <w:spacing w:val="22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22"/>
          <w:w w:val="110"/>
        </w:rPr>
        <w:t> </w:t>
      </w:r>
      <w:r>
        <w:rPr>
          <w:color w:val="3B383A"/>
          <w:w w:val="110"/>
        </w:rPr>
        <w:t>extras.</w:t>
      </w:r>
    </w:p>
    <w:p>
      <w:pPr>
        <w:pStyle w:val="BodyText"/>
        <w:spacing w:line="232" w:lineRule="auto" w:before="3"/>
        <w:ind w:left="1945" w:right="120" w:firstLine="409"/>
        <w:jc w:val="both"/>
      </w:pPr>
      <w:r>
        <w:rPr>
          <w:color w:val="3B383A"/>
          <w:w w:val="110"/>
        </w:rPr>
        <w:t>The most demanding method, and perhaps the most effective, would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be to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have all three team members conduct separate initial research on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both issues with a short deadline. At that time, the team could meet and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discuss 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issues. Since three heads are better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than one, this method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would make best use of the intellectual strengths of all three team mem­</w:t>
      </w:r>
      <w:r>
        <w:rPr>
          <w:color w:val="3B383A"/>
          <w:spacing w:val="1"/>
          <w:w w:val="110"/>
        </w:rPr>
        <w:t> </w:t>
      </w:r>
      <w:r>
        <w:rPr>
          <w:color w:val="3B383A"/>
          <w:spacing w:val="-1"/>
          <w:w w:val="110"/>
        </w:rPr>
        <w:t>bers.</w:t>
      </w:r>
      <w:r>
        <w:rPr>
          <w:color w:val="3B383A"/>
          <w:spacing w:val="-28"/>
          <w:w w:val="110"/>
        </w:rPr>
        <w:t> </w:t>
      </w:r>
      <w:r>
        <w:rPr>
          <w:color w:val="3B383A"/>
          <w:spacing w:val="-1"/>
          <w:w w:val="110"/>
        </w:rPr>
        <w:t>After</w:t>
      </w:r>
      <w:r>
        <w:rPr>
          <w:color w:val="3B383A"/>
          <w:spacing w:val="-7"/>
          <w:w w:val="110"/>
        </w:rPr>
        <w:t> </w:t>
      </w:r>
      <w:r>
        <w:rPr>
          <w:color w:val="3B383A"/>
          <w:spacing w:val="-1"/>
          <w:w w:val="110"/>
        </w:rPr>
        <w:t>the</w:t>
      </w:r>
      <w:r>
        <w:rPr>
          <w:color w:val="3B383A"/>
          <w:spacing w:val="17"/>
          <w:w w:val="110"/>
        </w:rPr>
        <w:t> </w:t>
      </w:r>
      <w:r>
        <w:rPr>
          <w:color w:val="3B383A"/>
          <w:spacing w:val="-1"/>
          <w:w w:val="110"/>
        </w:rPr>
        <w:t>meeting,</w:t>
      </w:r>
      <w:r>
        <w:rPr>
          <w:color w:val="3B383A"/>
          <w:spacing w:val="-3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team</w:t>
      </w:r>
      <w:r>
        <w:rPr>
          <w:color w:val="3B383A"/>
          <w:spacing w:val="-2"/>
          <w:w w:val="110"/>
        </w:rPr>
        <w:t> </w:t>
      </w:r>
      <w:r>
        <w:rPr>
          <w:color w:val="3B383A"/>
          <w:w w:val="110"/>
        </w:rPr>
        <w:t>members</w:t>
      </w:r>
      <w:r>
        <w:rPr>
          <w:color w:val="3B383A"/>
          <w:spacing w:val="-24"/>
          <w:w w:val="110"/>
        </w:rPr>
        <w:t> </w:t>
      </w:r>
      <w:r>
        <w:rPr>
          <w:color w:val="3B383A"/>
          <w:w w:val="110"/>
        </w:rPr>
        <w:t>could</w:t>
      </w:r>
      <w:r>
        <w:rPr>
          <w:color w:val="3B383A"/>
          <w:spacing w:val="-11"/>
          <w:w w:val="110"/>
        </w:rPr>
        <w:t> </w:t>
      </w:r>
      <w:r>
        <w:rPr>
          <w:color w:val="3B383A"/>
          <w:w w:val="110"/>
        </w:rPr>
        <w:t>decide</w:t>
      </w:r>
      <w:r>
        <w:rPr>
          <w:color w:val="3B383A"/>
          <w:spacing w:val="-4"/>
          <w:w w:val="110"/>
        </w:rPr>
        <w:t> </w:t>
      </w:r>
      <w:r>
        <w:rPr>
          <w:color w:val="3B383A"/>
          <w:w w:val="110"/>
        </w:rPr>
        <w:t>how</w:t>
      </w:r>
      <w:r>
        <w:rPr>
          <w:color w:val="3B383A"/>
          <w:spacing w:val="-1"/>
          <w:w w:val="110"/>
        </w:rPr>
        <w:t> </w:t>
      </w:r>
      <w:r>
        <w:rPr>
          <w:color w:val="3B383A"/>
          <w:w w:val="110"/>
        </w:rPr>
        <w:t>best</w:t>
      </w:r>
      <w:r>
        <w:rPr>
          <w:color w:val="3B383A"/>
          <w:spacing w:val="-12"/>
          <w:w w:val="110"/>
        </w:rPr>
        <w:t> </w:t>
      </w:r>
      <w:r>
        <w:rPr>
          <w:color w:val="3B383A"/>
          <w:w w:val="110"/>
        </w:rPr>
        <w:t>to</w:t>
      </w:r>
      <w:r>
        <w:rPr>
          <w:color w:val="3B383A"/>
          <w:spacing w:val="-19"/>
          <w:w w:val="110"/>
        </w:rPr>
        <w:t> </w:t>
      </w:r>
      <w:r>
        <w:rPr>
          <w:color w:val="3B383A"/>
          <w:w w:val="110"/>
        </w:rPr>
        <w:t>divide</w:t>
      </w:r>
      <w:r>
        <w:rPr>
          <w:color w:val="3B383A"/>
          <w:spacing w:val="-61"/>
          <w:w w:val="110"/>
        </w:rPr>
        <w:t> </w:t>
      </w:r>
      <w:r>
        <w:rPr>
          <w:color w:val="3B383A"/>
          <w:w w:val="110"/>
        </w:rPr>
        <w:t>up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continued research and the drafting of the arguments, and each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writer</w:t>
      </w:r>
      <w:r>
        <w:rPr>
          <w:color w:val="3B383A"/>
          <w:spacing w:val="9"/>
          <w:w w:val="110"/>
        </w:rPr>
        <w:t> </w:t>
      </w:r>
      <w:r>
        <w:rPr>
          <w:color w:val="3B383A"/>
          <w:w w:val="110"/>
        </w:rPr>
        <w:t>would</w:t>
      </w:r>
      <w:r>
        <w:rPr>
          <w:color w:val="3B383A"/>
          <w:spacing w:val="19"/>
          <w:w w:val="110"/>
        </w:rPr>
        <w:t> </w:t>
      </w:r>
      <w:r>
        <w:rPr>
          <w:color w:val="3B383A"/>
          <w:w w:val="110"/>
        </w:rPr>
        <w:t>have</w:t>
      </w:r>
      <w:r>
        <w:rPr>
          <w:color w:val="3B383A"/>
          <w:spacing w:val="-4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32"/>
          <w:w w:val="110"/>
        </w:rPr>
        <w:t> </w:t>
      </w:r>
      <w:r>
        <w:rPr>
          <w:color w:val="3B383A"/>
          <w:w w:val="110"/>
        </w:rPr>
        <w:t>benefit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of</w:t>
      </w:r>
      <w:r>
        <w:rPr>
          <w:color w:val="3B383A"/>
          <w:spacing w:val="10"/>
          <w:w w:val="110"/>
        </w:rPr>
        <w:t> </w:t>
      </w:r>
      <w:r>
        <w:rPr>
          <w:color w:val="3B383A"/>
          <w:w w:val="110"/>
        </w:rPr>
        <w:t>input</w:t>
      </w:r>
      <w:r>
        <w:rPr>
          <w:color w:val="3B383A"/>
          <w:spacing w:val="1"/>
          <w:w w:val="110"/>
        </w:rPr>
        <w:t> </w:t>
      </w:r>
      <w:r>
        <w:rPr>
          <w:color w:val="3B383A"/>
          <w:w w:val="110"/>
        </w:rPr>
        <w:t>from</w:t>
      </w:r>
      <w:r>
        <w:rPr>
          <w:color w:val="3B383A"/>
          <w:spacing w:val="14"/>
          <w:w w:val="110"/>
        </w:rPr>
        <w:t> </w:t>
      </w:r>
      <w:r>
        <w:rPr>
          <w:color w:val="3B383A"/>
          <w:w w:val="110"/>
        </w:rPr>
        <w:t>the</w:t>
      </w:r>
      <w:r>
        <w:rPr>
          <w:color w:val="3B383A"/>
          <w:spacing w:val="26"/>
          <w:w w:val="110"/>
        </w:rPr>
        <w:t> </w:t>
      </w:r>
      <w:r>
        <w:rPr>
          <w:color w:val="3B383A"/>
          <w:w w:val="110"/>
        </w:rPr>
        <w:t>other</w:t>
      </w:r>
      <w:r>
        <w:rPr>
          <w:color w:val="3B383A"/>
          <w:spacing w:val="4"/>
          <w:w w:val="110"/>
        </w:rPr>
        <w:t> </w:t>
      </w:r>
      <w:r>
        <w:rPr>
          <w:color w:val="3B383A"/>
          <w:w w:val="110"/>
        </w:rPr>
        <w:t>team</w:t>
      </w:r>
      <w:r>
        <w:rPr>
          <w:color w:val="3B383A"/>
          <w:spacing w:val="13"/>
          <w:w w:val="110"/>
        </w:rPr>
        <w:t> </w:t>
      </w:r>
      <w:r>
        <w:rPr>
          <w:color w:val="3B383A"/>
          <w:w w:val="110"/>
        </w:rPr>
        <w:t>member(s).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</w:pPr>
    </w:p>
    <w:p>
      <w:pPr>
        <w:spacing w:line="195" w:lineRule="exact" w:before="0"/>
        <w:ind w:left="2291" w:right="0" w:firstLine="0"/>
        <w:jc w:val="left"/>
        <w:rPr>
          <w:rFonts w:ascii="Arial"/>
          <w:i/>
          <w:sz w:val="16"/>
        </w:rPr>
      </w:pPr>
      <w:r>
        <w:rPr>
          <w:rFonts w:ascii="Arial"/>
          <w:color w:val="3B383A"/>
          <w:w w:val="95"/>
          <w:position w:val="4"/>
          <w:sz w:val="11"/>
        </w:rPr>
        <w:t>2</w:t>
      </w:r>
      <w:r>
        <w:rPr>
          <w:color w:val="3B383A"/>
          <w:w w:val="95"/>
          <w:sz w:val="18"/>
        </w:rPr>
        <w:t>William</w:t>
      </w:r>
      <w:r>
        <w:rPr>
          <w:color w:val="3B383A"/>
          <w:spacing w:val="46"/>
          <w:sz w:val="18"/>
        </w:rPr>
        <w:t> </w:t>
      </w:r>
      <w:r>
        <w:rPr>
          <w:color w:val="3B383A"/>
          <w:w w:val="95"/>
          <w:sz w:val="18"/>
        </w:rPr>
        <w:t>H</w:t>
      </w:r>
      <w:r>
        <w:rPr>
          <w:color w:val="626264"/>
          <w:w w:val="95"/>
          <w:sz w:val="18"/>
        </w:rPr>
        <w:t>.</w:t>
      </w:r>
      <w:r>
        <w:rPr>
          <w:color w:val="626264"/>
          <w:spacing w:val="7"/>
          <w:w w:val="95"/>
          <w:sz w:val="18"/>
        </w:rPr>
        <w:t> </w:t>
      </w:r>
      <w:r>
        <w:rPr>
          <w:color w:val="3B383A"/>
          <w:w w:val="95"/>
          <w:sz w:val="18"/>
        </w:rPr>
        <w:t>Rehnquist,</w:t>
      </w:r>
      <w:r>
        <w:rPr>
          <w:color w:val="3B383A"/>
          <w:spacing w:val="18"/>
          <w:w w:val="95"/>
          <w:sz w:val="18"/>
        </w:rPr>
        <w:t> </w:t>
      </w:r>
      <w:r>
        <w:rPr>
          <w:rFonts w:ascii="Arial"/>
          <w:i/>
          <w:color w:val="3B383A"/>
          <w:w w:val="95"/>
          <w:sz w:val="16"/>
        </w:rPr>
        <w:t>From</w:t>
      </w:r>
      <w:r>
        <w:rPr>
          <w:rFonts w:ascii="Arial"/>
          <w:i/>
          <w:color w:val="3B383A"/>
          <w:spacing w:val="-5"/>
          <w:w w:val="95"/>
          <w:sz w:val="16"/>
        </w:rPr>
        <w:t> </w:t>
      </w:r>
      <w:r>
        <w:rPr>
          <w:rFonts w:ascii="Arial"/>
          <w:i/>
          <w:color w:val="3B383A"/>
          <w:w w:val="95"/>
          <w:sz w:val="16"/>
        </w:rPr>
        <w:t>Webster</w:t>
      </w:r>
      <w:r>
        <w:rPr>
          <w:rFonts w:ascii="Arial"/>
          <w:i/>
          <w:color w:val="3B383A"/>
          <w:spacing w:val="17"/>
          <w:w w:val="95"/>
          <w:sz w:val="16"/>
        </w:rPr>
        <w:t> </w:t>
      </w:r>
      <w:r>
        <w:rPr>
          <w:rFonts w:ascii="Arial"/>
          <w:i/>
          <w:color w:val="3B383A"/>
          <w:w w:val="95"/>
          <w:sz w:val="16"/>
        </w:rPr>
        <w:t>to</w:t>
      </w:r>
      <w:r>
        <w:rPr>
          <w:rFonts w:ascii="Arial"/>
          <w:i/>
          <w:color w:val="3B383A"/>
          <w:spacing w:val="32"/>
          <w:w w:val="95"/>
          <w:sz w:val="16"/>
        </w:rPr>
        <w:t> </w:t>
      </w:r>
      <w:r>
        <w:rPr>
          <w:rFonts w:ascii="Arial"/>
          <w:i/>
          <w:color w:val="3B383A"/>
          <w:w w:val="95"/>
          <w:sz w:val="16"/>
        </w:rPr>
        <w:t>Word-Process/,rg:</w:t>
      </w:r>
      <w:r>
        <w:rPr>
          <w:rFonts w:ascii="Arial"/>
          <w:i/>
          <w:color w:val="3B383A"/>
          <w:spacing w:val="-22"/>
          <w:w w:val="95"/>
          <w:sz w:val="16"/>
        </w:rPr>
        <w:t> </w:t>
      </w:r>
      <w:r>
        <w:rPr>
          <w:rFonts w:ascii="Arial"/>
          <w:i/>
          <w:color w:val="3B383A"/>
          <w:w w:val="95"/>
          <w:sz w:val="16"/>
        </w:rPr>
        <w:t>The</w:t>
      </w:r>
      <w:r>
        <w:rPr>
          <w:rFonts w:ascii="Arial"/>
          <w:i/>
          <w:color w:val="3B383A"/>
          <w:spacing w:val="45"/>
          <w:sz w:val="16"/>
        </w:rPr>
        <w:t> </w:t>
      </w:r>
      <w:r>
        <w:rPr>
          <w:rFonts w:ascii="Arial"/>
          <w:i/>
          <w:color w:val="3B383A"/>
          <w:w w:val="95"/>
          <w:sz w:val="16"/>
        </w:rPr>
        <w:t>Asce11da11ce</w:t>
      </w:r>
      <w:r>
        <w:rPr>
          <w:rFonts w:ascii="Arial"/>
          <w:i/>
          <w:color w:val="3B383A"/>
          <w:spacing w:val="17"/>
          <w:w w:val="95"/>
          <w:sz w:val="16"/>
        </w:rPr>
        <w:t> </w:t>
      </w:r>
      <w:r>
        <w:rPr>
          <w:rFonts w:ascii="Arial"/>
          <w:i/>
          <w:color w:val="3B383A"/>
          <w:w w:val="95"/>
          <w:sz w:val="16"/>
        </w:rPr>
        <w:t>of</w:t>
      </w:r>
      <w:r>
        <w:rPr>
          <w:rFonts w:ascii="Arial"/>
          <w:i/>
          <w:color w:val="3B383A"/>
          <w:spacing w:val="63"/>
          <w:sz w:val="16"/>
        </w:rPr>
        <w:t> </w:t>
      </w:r>
      <w:r>
        <w:rPr>
          <w:rFonts w:ascii="Arial"/>
          <w:i/>
          <w:color w:val="3B383A"/>
          <w:w w:val="95"/>
          <w:sz w:val="16"/>
        </w:rPr>
        <w:t>the</w:t>
      </w:r>
      <w:r>
        <w:rPr>
          <w:rFonts w:ascii="Arial"/>
          <w:i/>
          <w:color w:val="3B383A"/>
          <w:spacing w:val="-15"/>
          <w:w w:val="95"/>
          <w:sz w:val="16"/>
        </w:rPr>
        <w:t> </w:t>
      </w:r>
      <w:r>
        <w:rPr>
          <w:rFonts w:ascii="Arial"/>
          <w:i/>
          <w:color w:val="3B383A"/>
          <w:w w:val="95"/>
          <w:sz w:val="16"/>
        </w:rPr>
        <w:t>Appellate</w:t>
      </w:r>
      <w:r>
        <w:rPr>
          <w:rFonts w:ascii="Arial"/>
          <w:i/>
          <w:color w:val="3B383A"/>
          <w:spacing w:val="2"/>
          <w:w w:val="95"/>
          <w:sz w:val="16"/>
        </w:rPr>
        <w:t> </w:t>
      </w:r>
      <w:r>
        <w:rPr>
          <w:rFonts w:ascii="Arial"/>
          <w:i/>
          <w:color w:val="3B383A"/>
          <w:w w:val="95"/>
          <w:sz w:val="16"/>
        </w:rPr>
        <w:t>Brief,</w:t>
      </w:r>
    </w:p>
    <w:p>
      <w:pPr>
        <w:spacing w:line="230" w:lineRule="exact" w:before="0"/>
        <w:ind w:left="1913" w:right="0" w:firstLine="0"/>
        <w:jc w:val="left"/>
        <w:rPr>
          <w:sz w:val="17"/>
        </w:rPr>
      </w:pPr>
      <w:r>
        <w:rPr>
          <w:color w:val="3B383A"/>
          <w:w w:val="110"/>
          <w:sz w:val="17"/>
        </w:rPr>
        <w:t>l</w:t>
      </w:r>
      <w:r>
        <w:rPr>
          <w:color w:val="3B383A"/>
          <w:spacing w:val="29"/>
          <w:w w:val="110"/>
          <w:sz w:val="17"/>
        </w:rPr>
        <w:t> </w:t>
      </w:r>
      <w:r>
        <w:rPr>
          <w:color w:val="3B383A"/>
          <w:w w:val="110"/>
          <w:sz w:val="21"/>
        </w:rPr>
        <w:t>J.</w:t>
      </w:r>
      <w:r>
        <w:rPr>
          <w:color w:val="3B383A"/>
          <w:spacing w:val="-12"/>
          <w:w w:val="110"/>
          <w:sz w:val="21"/>
        </w:rPr>
        <w:t> </w:t>
      </w:r>
      <w:r>
        <w:rPr>
          <w:color w:val="3B383A"/>
          <w:w w:val="110"/>
          <w:sz w:val="17"/>
        </w:rPr>
        <w:t>App.</w:t>
      </w:r>
      <w:r>
        <w:rPr>
          <w:color w:val="3B383A"/>
          <w:spacing w:val="6"/>
          <w:w w:val="110"/>
          <w:sz w:val="17"/>
        </w:rPr>
        <w:t> </w:t>
      </w:r>
      <w:r>
        <w:rPr>
          <w:color w:val="3B383A"/>
          <w:w w:val="110"/>
          <w:sz w:val="17"/>
        </w:rPr>
        <w:t>Prac.</w:t>
      </w:r>
      <w:r>
        <w:rPr>
          <w:color w:val="3B383A"/>
          <w:spacing w:val="-10"/>
          <w:w w:val="110"/>
          <w:sz w:val="17"/>
        </w:rPr>
        <w:t> </w:t>
      </w:r>
      <w:r>
        <w:rPr>
          <w:color w:val="3B383A"/>
          <w:w w:val="110"/>
          <w:sz w:val="16"/>
        </w:rPr>
        <w:t>&amp;</w:t>
      </w:r>
      <w:r>
        <w:rPr>
          <w:color w:val="3B383A"/>
          <w:spacing w:val="17"/>
          <w:w w:val="110"/>
          <w:sz w:val="16"/>
        </w:rPr>
        <w:t> </w:t>
      </w:r>
      <w:r>
        <w:rPr>
          <w:color w:val="3B383A"/>
          <w:w w:val="110"/>
          <w:sz w:val="17"/>
        </w:rPr>
        <w:t>Process</w:t>
      </w:r>
      <w:r>
        <w:rPr>
          <w:color w:val="3B383A"/>
          <w:spacing w:val="-4"/>
          <w:w w:val="110"/>
          <w:sz w:val="17"/>
        </w:rPr>
        <w:t> </w:t>
      </w:r>
      <w:r>
        <w:rPr>
          <w:color w:val="3B383A"/>
          <w:w w:val="110"/>
          <w:sz w:val="17"/>
        </w:rPr>
        <w:t>1,</w:t>
      </w:r>
      <w:r>
        <w:rPr>
          <w:color w:val="3B383A"/>
          <w:spacing w:val="11"/>
          <w:w w:val="110"/>
          <w:sz w:val="17"/>
        </w:rPr>
        <w:t> </w:t>
      </w:r>
      <w:r>
        <w:rPr>
          <w:color w:val="3B383A"/>
          <w:w w:val="110"/>
          <w:sz w:val="17"/>
        </w:rPr>
        <w:t>5</w:t>
      </w:r>
      <w:r>
        <w:rPr>
          <w:color w:val="3B383A"/>
          <w:spacing w:val="8"/>
          <w:w w:val="110"/>
          <w:sz w:val="17"/>
        </w:rPr>
        <w:t> </w:t>
      </w:r>
      <w:r>
        <w:rPr>
          <w:color w:val="3B383A"/>
          <w:w w:val="110"/>
          <w:sz w:val="17"/>
        </w:rPr>
        <w:t>(1999).</w:t>
      </w:r>
    </w:p>
    <w:p>
      <w:pPr>
        <w:spacing w:after="0" w:line="230" w:lineRule="exact"/>
        <w:jc w:val="left"/>
        <w:rPr>
          <w:sz w:val="17"/>
        </w:rPr>
        <w:sectPr>
          <w:headerReference w:type="even" r:id="rId357"/>
          <w:pgSz w:w="9670" w:h="14010"/>
          <w:pgMar w:header="0" w:footer="0" w:top="0" w:bottom="0" w:left="0" w:right="80"/>
        </w:sect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1"/>
          <w:numId w:val="116"/>
        </w:numPr>
        <w:tabs>
          <w:tab w:pos="6246" w:val="left" w:leader="none"/>
          <w:tab w:pos="8227" w:val="right" w:leader="none"/>
        </w:tabs>
        <w:spacing w:line="240" w:lineRule="auto" w:before="93" w:after="0"/>
        <w:ind w:left="6245" w:right="0" w:hanging="445"/>
        <w:jc w:val="left"/>
        <w:rPr>
          <w:rFonts w:ascii="Arial"/>
          <w:b/>
          <w:color w:val="3B383B"/>
          <w:sz w:val="17"/>
        </w:rPr>
      </w:pPr>
      <w:r>
        <w:rPr>
          <w:color w:val="3B383B"/>
          <w:sz w:val="18"/>
        </w:rPr>
        <w:t>Writing</w:t>
      </w:r>
      <w:r>
        <w:rPr>
          <w:color w:val="3B383B"/>
          <w:spacing w:val="4"/>
          <w:sz w:val="18"/>
        </w:rPr>
        <w:t> </w:t>
      </w:r>
      <w:r>
        <w:rPr>
          <w:color w:val="3B383B"/>
          <w:sz w:val="18"/>
        </w:rPr>
        <w:t>the</w:t>
      </w:r>
      <w:r>
        <w:rPr>
          <w:color w:val="3B383B"/>
          <w:spacing w:val="18"/>
          <w:sz w:val="18"/>
        </w:rPr>
        <w:t> </w:t>
      </w:r>
      <w:r>
        <w:rPr>
          <w:rFonts w:ascii="Arial"/>
          <w:b/>
          <w:color w:val="3B383B"/>
          <w:sz w:val="17"/>
        </w:rPr>
        <w:t>Brief</w:t>
        <w:tab/>
        <w:t>317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1"/>
        </w:rPr>
      </w:pPr>
    </w:p>
    <w:p>
      <w:pPr>
        <w:pStyle w:val="BodyText"/>
        <w:spacing w:line="232" w:lineRule="auto" w:before="1"/>
        <w:ind w:left="104" w:right="754" w:firstLine="344"/>
        <w:jc w:val="both"/>
      </w:pPr>
      <w:r>
        <w:rPr>
          <w:color w:val="3B383B"/>
          <w:spacing w:val="-1"/>
          <w:w w:val="110"/>
        </w:rPr>
        <w:t>Even at </w:t>
      </w:r>
      <w:r>
        <w:rPr>
          <w:color w:val="2B282A"/>
          <w:w w:val="110"/>
        </w:rPr>
        <w:t>this </w:t>
      </w:r>
      <w:r>
        <w:rPr>
          <w:color w:val="3B383B"/>
          <w:w w:val="110"/>
        </w:rPr>
        <w:t>early stage of the writing process, it is important that you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have </w:t>
      </w:r>
      <w:r>
        <w:rPr>
          <w:color w:val="2B282A"/>
          <w:w w:val="110"/>
        </w:rPr>
        <w:t>a </w:t>
      </w:r>
      <w:r>
        <w:rPr>
          <w:color w:val="3B383B"/>
          <w:w w:val="110"/>
        </w:rPr>
        <w:t>specific understanding of length and typeface requirements. For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example, it wastes time to draft in Times Roman font if your final draft</w:t>
      </w:r>
      <w:r>
        <w:rPr>
          <w:color w:val="3B383B"/>
          <w:spacing w:val="1"/>
          <w:w w:val="110"/>
        </w:rPr>
        <w:t> </w:t>
      </w:r>
      <w:r>
        <w:rPr>
          <w:color w:val="3B383B"/>
          <w:spacing w:val="-1"/>
          <w:w w:val="110"/>
        </w:rPr>
        <w:t>must </w:t>
      </w:r>
      <w:r>
        <w:rPr>
          <w:color w:val="3B383B"/>
          <w:w w:val="110"/>
        </w:rPr>
        <w:t>be in Courier font. Similarly, if your competition requires that your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citations follow a particular citation format, you should make sure that all</w:t>
      </w:r>
      <w:r>
        <w:rPr>
          <w:color w:val="3B383B"/>
          <w:spacing w:val="-61"/>
          <w:w w:val="110"/>
        </w:rPr>
        <w:t> </w:t>
      </w:r>
      <w:r>
        <w:rPr>
          <w:color w:val="3B383B"/>
          <w:w w:val="110"/>
        </w:rPr>
        <w:t>of the citations are in that format from the very beginning. Find out 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specific requirements of your competition, and write with those in mind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from the start. Recording necessary citation information as you take your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notes,</w:t>
      </w:r>
      <w:r>
        <w:rPr>
          <w:color w:val="3B383B"/>
          <w:spacing w:val="-24"/>
          <w:w w:val="110"/>
        </w:rPr>
        <w:t> </w:t>
      </w:r>
      <w:r>
        <w:rPr>
          <w:color w:val="3B383B"/>
          <w:w w:val="110"/>
        </w:rPr>
        <w:t>and</w:t>
      </w:r>
      <w:r>
        <w:rPr>
          <w:color w:val="3B383B"/>
          <w:spacing w:val="24"/>
          <w:w w:val="110"/>
        </w:rPr>
        <w:t> </w:t>
      </w:r>
      <w:r>
        <w:rPr>
          <w:color w:val="3B383B"/>
          <w:w w:val="110"/>
        </w:rPr>
        <w:t>observing</w:t>
      </w:r>
      <w:r>
        <w:rPr>
          <w:color w:val="3B383B"/>
          <w:spacing w:val="-14"/>
          <w:w w:val="110"/>
        </w:rPr>
        <w:t> </w:t>
      </w:r>
      <w:r>
        <w:rPr>
          <w:color w:val="3B383B"/>
          <w:w w:val="110"/>
        </w:rPr>
        <w:t>length</w:t>
      </w:r>
      <w:r>
        <w:rPr>
          <w:color w:val="3B383B"/>
          <w:spacing w:val="-4"/>
          <w:w w:val="110"/>
        </w:rPr>
        <w:t> </w:t>
      </w:r>
      <w:r>
        <w:rPr>
          <w:color w:val="3B383B"/>
          <w:w w:val="110"/>
        </w:rPr>
        <w:t>limitations</w:t>
      </w:r>
      <w:r>
        <w:rPr>
          <w:color w:val="3B383B"/>
          <w:spacing w:val="-13"/>
          <w:w w:val="110"/>
        </w:rPr>
        <w:t> </w:t>
      </w:r>
      <w:r>
        <w:rPr>
          <w:color w:val="3B383B"/>
          <w:w w:val="110"/>
        </w:rPr>
        <w:t>from</w:t>
      </w:r>
      <w:r>
        <w:rPr>
          <w:color w:val="3B383B"/>
          <w:spacing w:val="-16"/>
          <w:w w:val="110"/>
        </w:rPr>
        <w:t> </w:t>
      </w:r>
      <w:r>
        <w:rPr>
          <w:color w:val="3B383B"/>
          <w:w w:val="110"/>
        </w:rPr>
        <w:t>early</w:t>
      </w:r>
      <w:r>
        <w:rPr>
          <w:color w:val="3B383B"/>
          <w:spacing w:val="-15"/>
          <w:w w:val="110"/>
        </w:rPr>
        <w:t> </w:t>
      </w:r>
      <w:r>
        <w:rPr>
          <w:color w:val="3B383B"/>
          <w:w w:val="110"/>
        </w:rPr>
        <w:t>in</w:t>
      </w:r>
      <w:r>
        <w:rPr>
          <w:color w:val="3B383B"/>
          <w:spacing w:val="7"/>
          <w:w w:val="110"/>
        </w:rPr>
        <w:t> </w:t>
      </w:r>
      <w:r>
        <w:rPr>
          <w:color w:val="3B383B"/>
          <w:w w:val="110"/>
        </w:rPr>
        <w:t>your</w:t>
      </w:r>
      <w:r>
        <w:rPr>
          <w:color w:val="3B383B"/>
          <w:spacing w:val="-8"/>
          <w:w w:val="110"/>
        </w:rPr>
        <w:t> </w:t>
      </w:r>
      <w:r>
        <w:rPr>
          <w:color w:val="3B383B"/>
          <w:w w:val="110"/>
        </w:rPr>
        <w:t>writing</w:t>
      </w:r>
      <w:r>
        <w:rPr>
          <w:color w:val="3B383B"/>
          <w:spacing w:val="-7"/>
          <w:w w:val="110"/>
        </w:rPr>
        <w:t> </w:t>
      </w:r>
      <w:r>
        <w:rPr>
          <w:color w:val="3B383B"/>
          <w:w w:val="110"/>
        </w:rPr>
        <w:t>process,</w:t>
      </w:r>
      <w:r>
        <w:rPr>
          <w:color w:val="3B383B"/>
          <w:spacing w:val="-61"/>
          <w:w w:val="110"/>
        </w:rPr>
        <w:t> </w:t>
      </w:r>
      <w:r>
        <w:rPr>
          <w:color w:val="3B383B"/>
          <w:w w:val="110"/>
        </w:rPr>
        <w:t>will</w:t>
      </w:r>
      <w:r>
        <w:rPr>
          <w:color w:val="3B383B"/>
          <w:spacing w:val="3"/>
          <w:w w:val="110"/>
        </w:rPr>
        <w:t> </w:t>
      </w:r>
      <w:r>
        <w:rPr>
          <w:color w:val="3B383B"/>
          <w:w w:val="110"/>
        </w:rPr>
        <w:t>help</w:t>
      </w:r>
      <w:r>
        <w:rPr>
          <w:color w:val="3B383B"/>
          <w:spacing w:val="-10"/>
          <w:w w:val="110"/>
        </w:rPr>
        <w:t> </w:t>
      </w:r>
      <w:r>
        <w:rPr>
          <w:color w:val="3B383B"/>
          <w:w w:val="110"/>
        </w:rPr>
        <w:t>to</w:t>
      </w:r>
      <w:r>
        <w:rPr>
          <w:color w:val="3B383B"/>
          <w:spacing w:val="12"/>
          <w:w w:val="110"/>
        </w:rPr>
        <w:t> </w:t>
      </w:r>
      <w:r>
        <w:rPr>
          <w:color w:val="3B383B"/>
          <w:w w:val="110"/>
        </w:rPr>
        <w:t>prevent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last-minute</w:t>
      </w:r>
      <w:r>
        <w:rPr>
          <w:color w:val="3B383B"/>
          <w:spacing w:val="-13"/>
          <w:w w:val="110"/>
        </w:rPr>
        <w:t> </w:t>
      </w:r>
      <w:r>
        <w:rPr>
          <w:color w:val="3B383B"/>
          <w:w w:val="110"/>
        </w:rPr>
        <w:t>editing</w:t>
      </w:r>
      <w:r>
        <w:rPr>
          <w:color w:val="3B383B"/>
          <w:spacing w:val="-9"/>
          <w:w w:val="110"/>
        </w:rPr>
        <w:t> </w:t>
      </w:r>
      <w:r>
        <w:rPr>
          <w:color w:val="3B383B"/>
          <w:w w:val="110"/>
        </w:rPr>
        <w:t>crises.</w:t>
      </w:r>
    </w:p>
    <w:p>
      <w:pPr>
        <w:pStyle w:val="BodyText"/>
        <w:spacing w:line="235" w:lineRule="auto" w:before="2"/>
        <w:ind w:left="107" w:right="736" w:firstLine="327"/>
        <w:jc w:val="both"/>
      </w:pPr>
      <w:r>
        <w:rPr>
          <w:color w:val="3B383B"/>
          <w:w w:val="110"/>
        </w:rPr>
        <w:t>Completing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multiple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drafts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guarantees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a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higher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quality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product</w:t>
      </w:r>
      <w:r>
        <w:rPr>
          <w:color w:val="676769"/>
          <w:w w:val="110"/>
        </w:rPr>
        <w:t>.</w:t>
      </w:r>
      <w:r>
        <w:rPr>
          <w:color w:val="676769"/>
          <w:spacing w:val="1"/>
          <w:w w:val="110"/>
        </w:rPr>
        <w:t> </w:t>
      </w:r>
      <w:r>
        <w:rPr>
          <w:color w:val="3B383B"/>
          <w:w w:val="110"/>
        </w:rPr>
        <w:t>Whatever method is used to divide up the work, it is important to decide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how many pre-final drafts you will complete and to set a date certain for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each draft to be completed. Even if your faculty advisor cannot critique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your brief before it is filed, he or she can require you to turn in drafts at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certain times during the time allotted for writing. Decide how and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when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you</w:t>
      </w:r>
      <w:r>
        <w:rPr>
          <w:color w:val="3B383B"/>
          <w:spacing w:val="-7"/>
          <w:w w:val="110"/>
        </w:rPr>
        <w:t> </w:t>
      </w:r>
      <w:r>
        <w:rPr>
          <w:color w:val="3B383B"/>
          <w:w w:val="110"/>
        </w:rPr>
        <w:t>are</w:t>
      </w:r>
      <w:r>
        <w:rPr>
          <w:color w:val="3B383B"/>
          <w:spacing w:val="-13"/>
          <w:w w:val="110"/>
        </w:rPr>
        <w:t> </w:t>
      </w:r>
      <w:r>
        <w:rPr>
          <w:color w:val="3B383B"/>
          <w:w w:val="110"/>
        </w:rPr>
        <w:t>going</w:t>
      </w:r>
      <w:r>
        <w:rPr>
          <w:color w:val="3B383B"/>
          <w:spacing w:val="-2"/>
          <w:w w:val="110"/>
        </w:rPr>
        <w:t> </w:t>
      </w:r>
      <w:r>
        <w:rPr>
          <w:color w:val="3B383B"/>
          <w:w w:val="110"/>
        </w:rPr>
        <w:t>to</w:t>
      </w:r>
      <w:r>
        <w:rPr>
          <w:color w:val="3B383B"/>
          <w:spacing w:val="-3"/>
          <w:w w:val="110"/>
        </w:rPr>
        <w:t> </w:t>
      </w:r>
      <w:r>
        <w:rPr>
          <w:color w:val="3B383B"/>
          <w:w w:val="110"/>
        </w:rPr>
        <w:t>work</w:t>
      </w:r>
      <w:r>
        <w:rPr>
          <w:color w:val="3B383B"/>
          <w:spacing w:val="3"/>
          <w:w w:val="110"/>
        </w:rPr>
        <w:t> </w:t>
      </w:r>
      <w:r>
        <w:rPr>
          <w:color w:val="3B383B"/>
          <w:w w:val="110"/>
        </w:rPr>
        <w:t>together</w:t>
      </w:r>
      <w:r>
        <w:rPr>
          <w:color w:val="3B383B"/>
          <w:spacing w:val="-7"/>
          <w:w w:val="110"/>
        </w:rPr>
        <w:t> </w:t>
      </w:r>
      <w:r>
        <w:rPr>
          <w:color w:val="3B383B"/>
          <w:w w:val="110"/>
        </w:rPr>
        <w:t>on</w:t>
      </w:r>
      <w:r>
        <w:rPr>
          <w:color w:val="3B383B"/>
          <w:spacing w:val="23"/>
          <w:w w:val="110"/>
        </w:rPr>
        <w:t> </w:t>
      </w:r>
      <w:r>
        <w:rPr>
          <w:color w:val="3B383B"/>
          <w:w w:val="110"/>
        </w:rPr>
        <w:t>critiquing</w:t>
      </w:r>
      <w:r>
        <w:rPr>
          <w:color w:val="3B383B"/>
          <w:spacing w:val="2"/>
          <w:w w:val="110"/>
        </w:rPr>
        <w:t> </w:t>
      </w:r>
      <w:r>
        <w:rPr>
          <w:color w:val="3B383B"/>
          <w:w w:val="110"/>
        </w:rPr>
        <w:t>the</w:t>
      </w:r>
      <w:r>
        <w:rPr>
          <w:color w:val="3B383B"/>
          <w:spacing w:val="6"/>
          <w:w w:val="110"/>
        </w:rPr>
        <w:t> </w:t>
      </w:r>
      <w:r>
        <w:rPr>
          <w:color w:val="3B383B"/>
          <w:w w:val="110"/>
        </w:rPr>
        <w:t>drafts.</w:t>
      </w:r>
    </w:p>
    <w:p>
      <w:pPr>
        <w:pStyle w:val="BodyText"/>
        <w:spacing w:before="11"/>
        <w:rPr>
          <w:sz w:val="31"/>
        </w:rPr>
      </w:pPr>
    </w:p>
    <w:p>
      <w:pPr>
        <w:spacing w:before="0"/>
        <w:ind w:left="44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B383B"/>
          <w:sz w:val="28"/>
        </w:rPr>
        <w:t>1</w:t>
      </w:r>
      <w:r>
        <w:rPr>
          <w:rFonts w:ascii="Arial"/>
          <w:b/>
          <w:color w:val="676769"/>
          <w:sz w:val="28"/>
        </w:rPr>
        <w:t>4</w:t>
      </w:r>
      <w:r>
        <w:rPr>
          <w:rFonts w:ascii="Arial"/>
          <w:b/>
          <w:color w:val="2B282A"/>
          <w:sz w:val="28"/>
        </w:rPr>
        <w:t>.</w:t>
      </w:r>
      <w:r>
        <w:rPr>
          <w:rFonts w:ascii="Arial"/>
          <w:b/>
          <w:color w:val="676769"/>
          <w:sz w:val="28"/>
        </w:rPr>
        <w:t>4</w:t>
      </w:r>
      <w:r>
        <w:rPr>
          <w:rFonts w:ascii="Arial"/>
          <w:b/>
          <w:color w:val="3B383B"/>
          <w:sz w:val="28"/>
        </w:rPr>
        <w:t>.</w:t>
      </w:r>
      <w:r>
        <w:rPr>
          <w:rFonts w:ascii="Arial"/>
          <w:b/>
          <w:color w:val="676769"/>
          <w:sz w:val="28"/>
        </w:rPr>
        <w:t>2</w:t>
      </w:r>
    </w:p>
    <w:p>
      <w:pPr>
        <w:spacing w:before="52"/>
        <w:ind w:left="43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3B383B"/>
          <w:w w:val="105"/>
          <w:sz w:val="22"/>
        </w:rPr>
        <w:t>CR</w:t>
      </w:r>
      <w:r>
        <w:rPr>
          <w:rFonts w:ascii="Arial"/>
          <w:b/>
          <w:color w:val="676769"/>
          <w:w w:val="105"/>
          <w:sz w:val="22"/>
        </w:rPr>
        <w:t>IT</w:t>
      </w:r>
      <w:r>
        <w:rPr>
          <w:rFonts w:ascii="Arial"/>
          <w:b/>
          <w:color w:val="3B383B"/>
          <w:w w:val="105"/>
          <w:sz w:val="22"/>
        </w:rPr>
        <w:t>I</w:t>
      </w:r>
      <w:r>
        <w:rPr>
          <w:rFonts w:ascii="Arial"/>
          <w:b/>
          <w:color w:val="676769"/>
          <w:w w:val="105"/>
          <w:sz w:val="22"/>
        </w:rPr>
        <w:t>QUING</w:t>
      </w:r>
      <w:r>
        <w:rPr>
          <w:rFonts w:ascii="Arial"/>
          <w:b/>
          <w:color w:val="676769"/>
          <w:spacing w:val="18"/>
          <w:w w:val="105"/>
          <w:sz w:val="22"/>
        </w:rPr>
        <w:t> </w:t>
      </w:r>
      <w:r>
        <w:rPr>
          <w:rFonts w:ascii="Arial"/>
          <w:b/>
          <w:color w:val="676769"/>
          <w:w w:val="105"/>
          <w:sz w:val="22"/>
        </w:rPr>
        <w:t>YOUR</w:t>
      </w:r>
      <w:r>
        <w:rPr>
          <w:rFonts w:ascii="Arial"/>
          <w:b/>
          <w:color w:val="676769"/>
          <w:spacing w:val="-4"/>
          <w:w w:val="105"/>
          <w:sz w:val="22"/>
        </w:rPr>
        <w:t> </w:t>
      </w:r>
      <w:r>
        <w:rPr>
          <w:rFonts w:ascii="Arial"/>
          <w:b/>
          <w:color w:val="77797C"/>
          <w:w w:val="105"/>
          <w:sz w:val="22"/>
        </w:rPr>
        <w:t>TEAMMATES'</w:t>
      </w:r>
      <w:r>
        <w:rPr>
          <w:rFonts w:ascii="Arial"/>
          <w:b/>
          <w:color w:val="77797C"/>
          <w:spacing w:val="13"/>
          <w:w w:val="105"/>
          <w:sz w:val="22"/>
        </w:rPr>
        <w:t> </w:t>
      </w:r>
      <w:r>
        <w:rPr>
          <w:rFonts w:ascii="Arial"/>
          <w:b/>
          <w:color w:val="77797C"/>
          <w:w w:val="105"/>
          <w:sz w:val="22"/>
        </w:rPr>
        <w:t>WORK</w:t>
      </w:r>
    </w:p>
    <w:p>
      <w:pPr>
        <w:pStyle w:val="BodyText"/>
        <w:spacing w:line="235" w:lineRule="auto" w:before="157"/>
        <w:ind w:left="101" w:right="680" w:firstLine="334"/>
      </w:pPr>
      <w:r>
        <w:rPr>
          <w:color w:val="3B383B"/>
          <w:w w:val="110"/>
        </w:rPr>
        <w:t>Often,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teams that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have begun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competition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with  much good  </w:t>
      </w:r>
      <w:r>
        <w:rPr>
          <w:b/>
          <w:color w:val="3B383B"/>
          <w:w w:val="110"/>
        </w:rPr>
        <w:t>will</w:t>
      </w:r>
      <w:r>
        <w:rPr>
          <w:b/>
          <w:color w:val="3B383B"/>
          <w:spacing w:val="-61"/>
          <w:w w:val="110"/>
        </w:rPr>
        <w:t> </w:t>
      </w:r>
      <w:r>
        <w:rPr>
          <w:color w:val="3B383B"/>
          <w:w w:val="110"/>
        </w:rPr>
        <w:t>fall apart at </w:t>
      </w:r>
      <w:r>
        <w:rPr>
          <w:color w:val="2B282A"/>
          <w:w w:val="110"/>
        </w:rPr>
        <w:t>the </w:t>
      </w:r>
      <w:r>
        <w:rPr>
          <w:color w:val="3B383B"/>
          <w:w w:val="110"/>
        </w:rPr>
        <w:t>critiquing stage. Either their work doesn't progress because</w:t>
      </w:r>
      <w:r>
        <w:rPr>
          <w:color w:val="3B383B"/>
          <w:spacing w:val="-62"/>
          <w:w w:val="110"/>
        </w:rPr>
        <w:t> </w:t>
      </w:r>
      <w:r>
        <w:rPr>
          <w:color w:val="3B383B"/>
          <w:w w:val="110"/>
        </w:rPr>
        <w:t>they don't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meet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regularly,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or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they are angered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by the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"stupidity" or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the</w:t>
      </w:r>
      <w:r>
        <w:rPr>
          <w:color w:val="3B383B"/>
          <w:spacing w:val="-61"/>
          <w:w w:val="110"/>
        </w:rPr>
        <w:t> </w:t>
      </w:r>
      <w:r>
        <w:rPr>
          <w:color w:val="3B383B"/>
          <w:w w:val="110"/>
        </w:rPr>
        <w:t>"rudeness"</w:t>
      </w:r>
      <w:r>
        <w:rPr>
          <w:color w:val="3B383B"/>
          <w:spacing w:val="-10"/>
          <w:w w:val="110"/>
        </w:rPr>
        <w:t> </w:t>
      </w:r>
      <w:r>
        <w:rPr>
          <w:color w:val="3B383B"/>
          <w:w w:val="110"/>
        </w:rPr>
        <w:t>of</w:t>
      </w:r>
      <w:r>
        <w:rPr>
          <w:color w:val="3B383B"/>
          <w:spacing w:val="20"/>
          <w:w w:val="110"/>
        </w:rPr>
        <w:t> </w:t>
      </w:r>
      <w:r>
        <w:rPr>
          <w:color w:val="3B383B"/>
          <w:w w:val="110"/>
        </w:rPr>
        <w:t>their</w:t>
      </w:r>
      <w:r>
        <w:rPr>
          <w:color w:val="3B383B"/>
          <w:spacing w:val="6"/>
          <w:w w:val="110"/>
        </w:rPr>
        <w:t> </w:t>
      </w:r>
      <w:r>
        <w:rPr>
          <w:color w:val="3B383B"/>
          <w:w w:val="110"/>
        </w:rPr>
        <w:t>teammates.</w:t>
      </w:r>
      <w:r>
        <w:rPr>
          <w:color w:val="3B383B"/>
          <w:spacing w:val="5"/>
          <w:w w:val="110"/>
        </w:rPr>
        <w:t> </w:t>
      </w:r>
      <w:r>
        <w:rPr>
          <w:color w:val="3B383B"/>
          <w:w w:val="110"/>
        </w:rPr>
        <w:t>Do</w:t>
      </w:r>
      <w:r>
        <w:rPr>
          <w:color w:val="3B383B"/>
          <w:spacing w:val="-9"/>
          <w:w w:val="110"/>
        </w:rPr>
        <w:t> </w:t>
      </w:r>
      <w:r>
        <w:rPr>
          <w:color w:val="3B383B"/>
          <w:w w:val="110"/>
        </w:rPr>
        <w:t>not</w:t>
      </w:r>
      <w:r>
        <w:rPr>
          <w:color w:val="3B383B"/>
          <w:spacing w:val="30"/>
          <w:w w:val="110"/>
        </w:rPr>
        <w:t> </w:t>
      </w:r>
      <w:r>
        <w:rPr>
          <w:color w:val="3B383B"/>
          <w:w w:val="110"/>
        </w:rPr>
        <w:t>let</w:t>
      </w:r>
      <w:r>
        <w:rPr>
          <w:color w:val="3B383B"/>
          <w:spacing w:val="-5"/>
          <w:w w:val="110"/>
        </w:rPr>
        <w:t> </w:t>
      </w:r>
      <w:r>
        <w:rPr>
          <w:color w:val="3B383B"/>
          <w:w w:val="110"/>
        </w:rPr>
        <w:t>your</w:t>
      </w:r>
      <w:r>
        <w:rPr>
          <w:color w:val="3B383B"/>
          <w:spacing w:val="-8"/>
          <w:w w:val="110"/>
        </w:rPr>
        <w:t> </w:t>
      </w:r>
      <w:r>
        <w:rPr>
          <w:color w:val="3B383B"/>
          <w:w w:val="110"/>
        </w:rPr>
        <w:t>desire to</w:t>
      </w:r>
      <w:r>
        <w:rPr>
          <w:color w:val="3B383B"/>
          <w:spacing w:val="15"/>
          <w:w w:val="110"/>
        </w:rPr>
        <w:t> </w:t>
      </w:r>
      <w:r>
        <w:rPr>
          <w:color w:val="3B383B"/>
          <w:w w:val="110"/>
        </w:rPr>
        <w:t>win</w:t>
      </w:r>
      <w:r>
        <w:rPr>
          <w:color w:val="3B383B"/>
          <w:spacing w:val="20"/>
          <w:w w:val="110"/>
        </w:rPr>
        <w:t> </w:t>
      </w:r>
      <w:r>
        <w:rPr>
          <w:color w:val="3B383B"/>
          <w:w w:val="110"/>
        </w:rPr>
        <w:t>the</w:t>
      </w:r>
      <w:r>
        <w:rPr>
          <w:color w:val="3B383B"/>
          <w:spacing w:val="21"/>
          <w:w w:val="110"/>
        </w:rPr>
        <w:t> </w:t>
      </w:r>
      <w:r>
        <w:rPr>
          <w:color w:val="3B383B"/>
          <w:w w:val="110"/>
        </w:rPr>
        <w:t>competi­</w:t>
      </w:r>
      <w:r>
        <w:rPr>
          <w:color w:val="3B383B"/>
          <w:spacing w:val="1"/>
          <w:w w:val="110"/>
        </w:rPr>
        <w:t> </w:t>
      </w:r>
      <w:r>
        <w:rPr>
          <w:color w:val="2B282A"/>
          <w:w w:val="110"/>
        </w:rPr>
        <w:t>tion</w:t>
      </w:r>
      <w:r>
        <w:rPr>
          <w:color w:val="2B282A"/>
          <w:spacing w:val="1"/>
          <w:w w:val="110"/>
        </w:rPr>
        <w:t> </w:t>
      </w:r>
      <w:r>
        <w:rPr>
          <w:color w:val="3B383B"/>
          <w:w w:val="110"/>
        </w:rPr>
        <w:t>rob</w:t>
      </w:r>
      <w:r>
        <w:rPr>
          <w:color w:val="3B383B"/>
          <w:spacing w:val="14"/>
          <w:w w:val="110"/>
        </w:rPr>
        <w:t> </w:t>
      </w:r>
      <w:r>
        <w:rPr>
          <w:color w:val="3B383B"/>
          <w:w w:val="110"/>
        </w:rPr>
        <w:t>you</w:t>
      </w:r>
      <w:r>
        <w:rPr>
          <w:color w:val="3B383B"/>
          <w:spacing w:val="3"/>
          <w:w w:val="110"/>
        </w:rPr>
        <w:t> </w:t>
      </w:r>
      <w:r>
        <w:rPr>
          <w:color w:val="3B383B"/>
          <w:w w:val="110"/>
        </w:rPr>
        <w:t>of</w:t>
      </w:r>
      <w:r>
        <w:rPr>
          <w:color w:val="3B383B"/>
          <w:spacing w:val="14"/>
          <w:w w:val="110"/>
        </w:rPr>
        <w:t> </w:t>
      </w:r>
      <w:r>
        <w:rPr>
          <w:color w:val="3B383B"/>
          <w:w w:val="110"/>
        </w:rPr>
        <w:t>your</w:t>
      </w:r>
      <w:r>
        <w:rPr>
          <w:color w:val="3B383B"/>
          <w:spacing w:val="6"/>
          <w:w w:val="110"/>
        </w:rPr>
        <w:t> </w:t>
      </w:r>
      <w:r>
        <w:rPr>
          <w:color w:val="3B383B"/>
          <w:w w:val="110"/>
        </w:rPr>
        <w:t>basic</w:t>
      </w:r>
      <w:r>
        <w:rPr>
          <w:color w:val="3B383B"/>
          <w:spacing w:val="-18"/>
          <w:w w:val="110"/>
        </w:rPr>
        <w:t> </w:t>
      </w:r>
      <w:r>
        <w:rPr>
          <w:color w:val="3B383B"/>
          <w:w w:val="110"/>
        </w:rPr>
        <w:t>good</w:t>
      </w:r>
      <w:r>
        <w:rPr>
          <w:color w:val="3B383B"/>
          <w:spacing w:val="14"/>
          <w:w w:val="110"/>
        </w:rPr>
        <w:t> </w:t>
      </w:r>
      <w:r>
        <w:rPr>
          <w:color w:val="3B383B"/>
          <w:w w:val="110"/>
        </w:rPr>
        <w:t>manners</w:t>
      </w:r>
      <w:r>
        <w:rPr>
          <w:color w:val="3B383B"/>
          <w:spacing w:val="6"/>
          <w:w w:val="110"/>
        </w:rPr>
        <w:t> </w:t>
      </w:r>
      <w:r>
        <w:rPr>
          <w:color w:val="3B383B"/>
          <w:w w:val="110"/>
        </w:rPr>
        <w:t>and</w:t>
      </w:r>
      <w:r>
        <w:rPr>
          <w:color w:val="3B383B"/>
          <w:spacing w:val="12"/>
          <w:w w:val="110"/>
        </w:rPr>
        <w:t> </w:t>
      </w:r>
      <w:r>
        <w:rPr>
          <w:color w:val="3B383B"/>
          <w:w w:val="110"/>
        </w:rPr>
        <w:t>civility.</w:t>
      </w:r>
      <w:r>
        <w:rPr>
          <w:color w:val="3B383B"/>
          <w:spacing w:val="4"/>
          <w:w w:val="110"/>
        </w:rPr>
        <w:t> </w:t>
      </w:r>
      <w:r>
        <w:rPr>
          <w:color w:val="3B383B"/>
          <w:w w:val="110"/>
        </w:rPr>
        <w:t>Remember</w:t>
      </w:r>
      <w:r>
        <w:rPr>
          <w:color w:val="3B383B"/>
          <w:spacing w:val="14"/>
          <w:w w:val="110"/>
        </w:rPr>
        <w:t> </w:t>
      </w:r>
      <w:r>
        <w:rPr>
          <w:color w:val="3B383B"/>
          <w:w w:val="110"/>
        </w:rPr>
        <w:t>that</w:t>
      </w:r>
      <w:r>
        <w:rPr>
          <w:color w:val="3B383B"/>
          <w:spacing w:val="4"/>
          <w:w w:val="110"/>
        </w:rPr>
        <w:t> </w:t>
      </w:r>
      <w:r>
        <w:rPr>
          <w:color w:val="3B383B"/>
          <w:w w:val="110"/>
        </w:rPr>
        <w:t>you</w:t>
      </w:r>
      <w:r>
        <w:rPr>
          <w:color w:val="3B383B"/>
          <w:spacing w:val="-60"/>
          <w:w w:val="110"/>
        </w:rPr>
        <w:t> </w:t>
      </w:r>
      <w:r>
        <w:rPr>
          <w:color w:val="3B383B"/>
          <w:w w:val="110"/>
        </w:rPr>
        <w:t>will have to work with colleagues in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this way when you practice </w:t>
      </w:r>
      <w:r>
        <w:rPr>
          <w:color w:val="2B282A"/>
          <w:w w:val="110"/>
        </w:rPr>
        <w:t>law, </w:t>
      </w:r>
      <w:r>
        <w:rPr>
          <w:color w:val="3B383B"/>
          <w:w w:val="110"/>
        </w:rPr>
        <w:t>and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that you must treat them politely if you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wish to keep your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job. Treat your</w:t>
      </w:r>
      <w:r>
        <w:rPr>
          <w:color w:val="3B383B"/>
          <w:spacing w:val="-61"/>
          <w:w w:val="110"/>
        </w:rPr>
        <w:t> </w:t>
      </w:r>
      <w:r>
        <w:rPr>
          <w:color w:val="2B282A"/>
          <w:w w:val="110"/>
        </w:rPr>
        <w:t>teammates</w:t>
      </w:r>
      <w:r>
        <w:rPr>
          <w:color w:val="2B282A"/>
          <w:spacing w:val="26"/>
          <w:w w:val="110"/>
        </w:rPr>
        <w:t> </w:t>
      </w:r>
      <w:r>
        <w:rPr>
          <w:color w:val="3B383B"/>
          <w:w w:val="110"/>
        </w:rPr>
        <w:t>with</w:t>
      </w:r>
      <w:r>
        <w:rPr>
          <w:color w:val="3B383B"/>
          <w:spacing w:val="42"/>
          <w:w w:val="110"/>
        </w:rPr>
        <w:t> </w:t>
      </w:r>
      <w:r>
        <w:rPr>
          <w:color w:val="3B383B"/>
          <w:w w:val="110"/>
        </w:rPr>
        <w:t>that</w:t>
      </w:r>
      <w:r>
        <w:rPr>
          <w:color w:val="3B383B"/>
          <w:spacing w:val="16"/>
          <w:w w:val="110"/>
        </w:rPr>
        <w:t> </w:t>
      </w:r>
      <w:r>
        <w:rPr>
          <w:color w:val="3B383B"/>
          <w:w w:val="110"/>
        </w:rPr>
        <w:t>same</w:t>
      </w:r>
      <w:r>
        <w:rPr>
          <w:color w:val="3B383B"/>
          <w:spacing w:val="29"/>
          <w:w w:val="110"/>
        </w:rPr>
        <w:t> </w:t>
      </w:r>
      <w:r>
        <w:rPr>
          <w:color w:val="3B383B"/>
          <w:w w:val="110"/>
        </w:rPr>
        <w:t>respect;</w:t>
      </w:r>
      <w:r>
        <w:rPr>
          <w:color w:val="3B383B"/>
          <w:spacing w:val="27"/>
          <w:w w:val="110"/>
        </w:rPr>
        <w:t> </w:t>
      </w:r>
      <w:r>
        <w:rPr>
          <w:color w:val="3B383B"/>
          <w:w w:val="110"/>
        </w:rPr>
        <w:t>meet</w:t>
      </w:r>
      <w:r>
        <w:rPr>
          <w:color w:val="3B383B"/>
          <w:spacing w:val="29"/>
          <w:w w:val="110"/>
        </w:rPr>
        <w:t> </w:t>
      </w:r>
      <w:r>
        <w:rPr>
          <w:color w:val="3B383B"/>
          <w:w w:val="110"/>
        </w:rPr>
        <w:t>the</w:t>
      </w:r>
      <w:r>
        <w:rPr>
          <w:color w:val="3B383B"/>
          <w:spacing w:val="42"/>
          <w:w w:val="110"/>
        </w:rPr>
        <w:t> </w:t>
      </w:r>
      <w:r>
        <w:rPr>
          <w:color w:val="3B383B"/>
          <w:w w:val="110"/>
        </w:rPr>
        <w:t>team's</w:t>
      </w:r>
      <w:r>
        <w:rPr>
          <w:color w:val="3B383B"/>
          <w:spacing w:val="13"/>
          <w:w w:val="110"/>
        </w:rPr>
        <w:t> </w:t>
      </w:r>
      <w:r>
        <w:rPr>
          <w:color w:val="3B383B"/>
          <w:w w:val="110"/>
        </w:rPr>
        <w:t>deadlines,</w:t>
      </w:r>
      <w:r>
        <w:rPr>
          <w:color w:val="3B383B"/>
          <w:spacing w:val="28"/>
          <w:w w:val="110"/>
        </w:rPr>
        <w:t> </w:t>
      </w:r>
      <w:r>
        <w:rPr>
          <w:color w:val="3B383B"/>
          <w:w w:val="110"/>
        </w:rPr>
        <w:t>and</w:t>
      </w:r>
      <w:r>
        <w:rPr>
          <w:color w:val="3B383B"/>
          <w:spacing w:val="44"/>
          <w:w w:val="110"/>
        </w:rPr>
        <w:t> </w:t>
      </w:r>
      <w:r>
        <w:rPr>
          <w:color w:val="3B383B"/>
          <w:w w:val="110"/>
        </w:rPr>
        <w:t>show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up</w:t>
      </w:r>
      <w:r>
        <w:rPr>
          <w:color w:val="3B383B"/>
          <w:spacing w:val="-28"/>
          <w:w w:val="110"/>
        </w:rPr>
        <w:t> </w:t>
      </w:r>
      <w:r>
        <w:rPr>
          <w:color w:val="3B383B"/>
          <w:w w:val="110"/>
        </w:rPr>
        <w:t>for</w:t>
      </w:r>
      <w:r>
        <w:rPr>
          <w:color w:val="3B383B"/>
          <w:spacing w:val="-2"/>
          <w:w w:val="110"/>
        </w:rPr>
        <w:t> </w:t>
      </w:r>
      <w:r>
        <w:rPr>
          <w:color w:val="3B383B"/>
          <w:w w:val="110"/>
        </w:rPr>
        <w:t>meetings</w:t>
      </w:r>
      <w:r>
        <w:rPr>
          <w:color w:val="3B383B"/>
          <w:spacing w:val="-2"/>
          <w:w w:val="110"/>
        </w:rPr>
        <w:t> </w:t>
      </w:r>
      <w:r>
        <w:rPr>
          <w:color w:val="3B383B"/>
          <w:w w:val="110"/>
        </w:rPr>
        <w:t>on</w:t>
      </w:r>
      <w:r>
        <w:rPr>
          <w:color w:val="3B383B"/>
          <w:spacing w:val="34"/>
          <w:w w:val="110"/>
        </w:rPr>
        <w:t> </w:t>
      </w:r>
      <w:r>
        <w:rPr>
          <w:color w:val="3B383B"/>
          <w:w w:val="110"/>
        </w:rPr>
        <w:t>time.</w:t>
      </w:r>
    </w:p>
    <w:p>
      <w:pPr>
        <w:pStyle w:val="BodyText"/>
        <w:spacing w:line="232" w:lineRule="auto"/>
        <w:ind w:left="107" w:right="627" w:firstLine="322"/>
        <w:jc w:val="both"/>
      </w:pPr>
      <w:r>
        <w:rPr>
          <w:color w:val="3B383B"/>
          <w:w w:val="110"/>
        </w:rPr>
        <w:t>First, you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must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decide how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to conduct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your critiques. Some team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members trade briefs and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read each others' work separately, trading writ­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ten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comments with  each  other. Some teams find  it  more efficient  to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meet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together and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review  each  team  member's  contribution  as a group.</w:t>
      </w:r>
      <w:r>
        <w:rPr>
          <w:color w:val="3B383B"/>
          <w:spacing w:val="-61"/>
          <w:w w:val="110"/>
        </w:rPr>
        <w:t> </w:t>
      </w:r>
      <w:r>
        <w:rPr>
          <w:color w:val="3B383B"/>
          <w:w w:val="110"/>
        </w:rPr>
        <w:t>A combination of these two approaches may be best. </w:t>
      </w:r>
      <w:r>
        <w:rPr>
          <w:color w:val="2B282A"/>
          <w:w w:val="110"/>
        </w:rPr>
        <w:t>If </w:t>
      </w:r>
      <w:r>
        <w:rPr>
          <w:color w:val="3B383B"/>
          <w:w w:val="110"/>
        </w:rPr>
        <w:t>the  team mem­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bers exchange their work and review it separately, someone with questions</w:t>
      </w:r>
      <w:r>
        <w:rPr>
          <w:color w:val="3B383B"/>
          <w:spacing w:val="-61"/>
          <w:w w:val="110"/>
        </w:rPr>
        <w:t> </w:t>
      </w:r>
      <w:r>
        <w:rPr>
          <w:color w:val="3B383B"/>
          <w:w w:val="110"/>
        </w:rPr>
        <w:t>about the  </w:t>
      </w:r>
      <w:r>
        <w:rPr>
          <w:color w:val="2B282A"/>
          <w:w w:val="110"/>
        </w:rPr>
        <w:t>law </w:t>
      </w:r>
      <w:r>
        <w:rPr>
          <w:color w:val="3B383B"/>
          <w:w w:val="110"/>
        </w:rPr>
        <w:t>or the facts may review the  record or research a narrow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point in order to answer the question before the team meets. This is much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more efficient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than interrupting </w:t>
      </w:r>
      <w:r>
        <w:rPr>
          <w:color w:val="2B282A"/>
          <w:w w:val="110"/>
        </w:rPr>
        <w:t>the </w:t>
      </w:r>
      <w:r>
        <w:rPr>
          <w:color w:val="3B383B"/>
          <w:w w:val="110"/>
        </w:rPr>
        <w:t>discussion  to  hop  on  line or </w:t>
      </w:r>
      <w:r>
        <w:rPr>
          <w:color w:val="2B282A"/>
          <w:w w:val="110"/>
        </w:rPr>
        <w:t>run </w:t>
      </w:r>
      <w:r>
        <w:rPr>
          <w:color w:val="3B383B"/>
          <w:w w:val="110"/>
        </w:rPr>
        <w:t>to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get a book (although you may end up doing this anyway, as the critique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progresses).</w:t>
      </w:r>
    </w:p>
    <w:p>
      <w:pPr>
        <w:pStyle w:val="BodyText"/>
        <w:spacing w:line="230" w:lineRule="auto"/>
        <w:ind w:left="107" w:right="619" w:firstLine="312"/>
        <w:jc w:val="both"/>
      </w:pPr>
      <w:r>
        <w:rPr>
          <w:color w:val="3B383B"/>
          <w:w w:val="115"/>
        </w:rPr>
        <w:t>Second,</w:t>
      </w:r>
      <w:r>
        <w:rPr>
          <w:color w:val="3B383B"/>
          <w:spacing w:val="-7"/>
          <w:w w:val="115"/>
        </w:rPr>
        <w:t> </w:t>
      </w:r>
      <w:r>
        <w:rPr>
          <w:color w:val="3B383B"/>
          <w:w w:val="115"/>
        </w:rPr>
        <w:t>you</w:t>
      </w:r>
      <w:r>
        <w:rPr>
          <w:color w:val="3B383B"/>
          <w:spacing w:val="2"/>
          <w:w w:val="115"/>
        </w:rPr>
        <w:t> </w:t>
      </w:r>
      <w:r>
        <w:rPr>
          <w:color w:val="3B383B"/>
          <w:w w:val="115"/>
        </w:rPr>
        <w:t>must</w:t>
      </w:r>
      <w:r>
        <w:rPr>
          <w:color w:val="3B383B"/>
          <w:spacing w:val="-14"/>
          <w:w w:val="115"/>
        </w:rPr>
        <w:t> </w:t>
      </w:r>
      <w:r>
        <w:rPr>
          <w:color w:val="3B383B"/>
          <w:w w:val="115"/>
        </w:rPr>
        <w:t>decide</w:t>
      </w:r>
      <w:r>
        <w:rPr>
          <w:color w:val="3B383B"/>
          <w:spacing w:val="-9"/>
          <w:w w:val="115"/>
        </w:rPr>
        <w:t> </w:t>
      </w:r>
      <w:r>
        <w:rPr>
          <w:color w:val="3B383B"/>
          <w:w w:val="115"/>
        </w:rPr>
        <w:t>when</w:t>
      </w:r>
      <w:r>
        <w:rPr>
          <w:color w:val="3B383B"/>
          <w:spacing w:val="6"/>
          <w:w w:val="115"/>
        </w:rPr>
        <w:t> </w:t>
      </w:r>
      <w:r>
        <w:rPr>
          <w:color w:val="3B383B"/>
          <w:w w:val="115"/>
        </w:rPr>
        <w:t>to</w:t>
      </w:r>
      <w:r>
        <w:rPr>
          <w:color w:val="3B383B"/>
          <w:spacing w:val="-16"/>
          <w:w w:val="115"/>
        </w:rPr>
        <w:t> </w:t>
      </w:r>
      <w:r>
        <w:rPr>
          <w:color w:val="3B383B"/>
          <w:w w:val="115"/>
        </w:rPr>
        <w:t>conduct</w:t>
      </w:r>
      <w:r>
        <w:rPr>
          <w:color w:val="3B383B"/>
          <w:spacing w:val="-6"/>
          <w:w w:val="115"/>
        </w:rPr>
        <w:t> </w:t>
      </w:r>
      <w:r>
        <w:rPr>
          <w:color w:val="3B383B"/>
          <w:w w:val="115"/>
        </w:rPr>
        <w:t>your</w:t>
      </w:r>
      <w:r>
        <w:rPr>
          <w:color w:val="3B383B"/>
          <w:spacing w:val="-15"/>
          <w:w w:val="115"/>
        </w:rPr>
        <w:t> </w:t>
      </w:r>
      <w:r>
        <w:rPr>
          <w:color w:val="3B383B"/>
          <w:w w:val="115"/>
        </w:rPr>
        <w:t>critiques.</w:t>
      </w:r>
      <w:r>
        <w:rPr>
          <w:color w:val="3B383B"/>
          <w:spacing w:val="-3"/>
          <w:w w:val="115"/>
        </w:rPr>
        <w:t> </w:t>
      </w:r>
      <w:r>
        <w:rPr>
          <w:color w:val="3B383B"/>
          <w:w w:val="115"/>
        </w:rPr>
        <w:t>Plan</w:t>
      </w:r>
      <w:r>
        <w:rPr>
          <w:color w:val="3B383B"/>
          <w:spacing w:val="-10"/>
          <w:w w:val="115"/>
        </w:rPr>
        <w:t> </w:t>
      </w:r>
      <w:r>
        <w:rPr>
          <w:color w:val="3B383B"/>
          <w:w w:val="115"/>
        </w:rPr>
        <w:t>ahead,</w:t>
      </w:r>
      <w:r>
        <w:rPr>
          <w:color w:val="3B383B"/>
          <w:spacing w:val="-64"/>
          <w:w w:val="115"/>
        </w:rPr>
        <w:t> </w:t>
      </w:r>
      <w:r>
        <w:rPr>
          <w:color w:val="3B383B"/>
          <w:w w:val="110"/>
        </w:rPr>
        <w:t>and be aware of each team member's needs. While many teams are com­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5"/>
        </w:rPr>
        <w:t>fortable</w:t>
      </w:r>
      <w:r>
        <w:rPr>
          <w:color w:val="3B383B"/>
          <w:spacing w:val="-5"/>
          <w:w w:val="115"/>
        </w:rPr>
        <w:t> </w:t>
      </w:r>
      <w:r>
        <w:rPr>
          <w:color w:val="3B383B"/>
          <w:w w:val="115"/>
        </w:rPr>
        <w:t>with</w:t>
      </w:r>
      <w:r>
        <w:rPr>
          <w:color w:val="3B383B"/>
          <w:spacing w:val="9"/>
          <w:w w:val="115"/>
        </w:rPr>
        <w:t> </w:t>
      </w:r>
      <w:r>
        <w:rPr>
          <w:color w:val="3B383B"/>
          <w:w w:val="115"/>
        </w:rPr>
        <w:t>the</w:t>
      </w:r>
      <w:r>
        <w:rPr>
          <w:color w:val="3B383B"/>
          <w:spacing w:val="10"/>
          <w:w w:val="115"/>
        </w:rPr>
        <w:t> </w:t>
      </w:r>
      <w:r>
        <w:rPr>
          <w:color w:val="3B383B"/>
          <w:w w:val="115"/>
        </w:rPr>
        <w:t>"all-nighter"</w:t>
      </w:r>
      <w:r>
        <w:rPr>
          <w:color w:val="3B383B"/>
          <w:spacing w:val="18"/>
          <w:w w:val="115"/>
        </w:rPr>
        <w:t> </w:t>
      </w:r>
      <w:r>
        <w:rPr>
          <w:color w:val="3B383B"/>
          <w:w w:val="115"/>
        </w:rPr>
        <w:t>method</w:t>
      </w:r>
      <w:r>
        <w:rPr>
          <w:color w:val="3B383B"/>
          <w:spacing w:val="13"/>
          <w:w w:val="115"/>
        </w:rPr>
        <w:t> </w:t>
      </w:r>
      <w:r>
        <w:rPr>
          <w:color w:val="3B383B"/>
          <w:w w:val="115"/>
        </w:rPr>
        <w:t>of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collaboration,</w:t>
      </w:r>
      <w:r>
        <w:rPr>
          <w:color w:val="3B383B"/>
          <w:spacing w:val="-4"/>
          <w:w w:val="115"/>
        </w:rPr>
        <w:t> </w:t>
      </w:r>
      <w:r>
        <w:rPr>
          <w:color w:val="3B383B"/>
          <w:w w:val="115"/>
        </w:rPr>
        <w:t>do</w:t>
      </w:r>
      <w:r>
        <w:rPr>
          <w:color w:val="3B383B"/>
          <w:spacing w:val="14"/>
          <w:w w:val="115"/>
        </w:rPr>
        <w:t> </w:t>
      </w:r>
      <w:r>
        <w:rPr>
          <w:color w:val="3B383B"/>
          <w:w w:val="115"/>
        </w:rPr>
        <w:t>not</w:t>
      </w:r>
      <w:r>
        <w:rPr>
          <w:color w:val="3B383B"/>
          <w:spacing w:val="30"/>
          <w:w w:val="115"/>
        </w:rPr>
        <w:t> </w:t>
      </w:r>
      <w:r>
        <w:rPr>
          <w:color w:val="3B383B"/>
          <w:w w:val="115"/>
        </w:rPr>
        <w:t>presume</w:t>
      </w:r>
    </w:p>
    <w:p>
      <w:pPr>
        <w:spacing w:after="0" w:line="230" w:lineRule="auto"/>
        <w:jc w:val="both"/>
        <w:sectPr>
          <w:headerReference w:type="default" r:id="rId358"/>
          <w:pgSz w:w="9530" w:h="14010"/>
          <w:pgMar w:header="0" w:footer="0" w:top="180" w:bottom="0" w:left="260" w:right="920"/>
        </w:sectPr>
      </w:pPr>
    </w:p>
    <w:p>
      <w:pPr>
        <w:pStyle w:val="BodyText"/>
        <w:spacing w:line="232" w:lineRule="auto" w:before="87"/>
        <w:ind w:left="683" w:right="127" w:hanging="1"/>
        <w:jc w:val="both"/>
      </w:pPr>
      <w:r>
        <w:rPr>
          <w:color w:val="383636"/>
          <w:w w:val="110"/>
        </w:rPr>
        <w:t>that this method will work for every member of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team</w:t>
      </w:r>
      <w:r>
        <w:rPr>
          <w:color w:val="525254"/>
          <w:w w:val="110"/>
        </w:rPr>
        <w:t>. </w:t>
      </w:r>
      <w:r>
        <w:rPr>
          <w:color w:val="383636"/>
          <w:w w:val="110"/>
        </w:rPr>
        <w:t>If one team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member is on a law journal and has a deadline during the brief-writing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time, plan around that date. If another team member has family responsi­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bilities,</w:t>
      </w:r>
      <w:r>
        <w:rPr>
          <w:color w:val="383636"/>
          <w:spacing w:val="7"/>
          <w:w w:val="110"/>
        </w:rPr>
        <w:t> </w:t>
      </w:r>
      <w:r>
        <w:rPr>
          <w:color w:val="383636"/>
          <w:w w:val="110"/>
        </w:rPr>
        <w:t>plan</w:t>
      </w:r>
      <w:r>
        <w:rPr>
          <w:color w:val="383636"/>
          <w:spacing w:val="-2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12"/>
          <w:w w:val="110"/>
        </w:rPr>
        <w:t> </w:t>
      </w:r>
      <w:r>
        <w:rPr>
          <w:color w:val="383636"/>
          <w:w w:val="110"/>
        </w:rPr>
        <w:t>meet</w:t>
      </w:r>
      <w:r>
        <w:rPr>
          <w:color w:val="383636"/>
          <w:spacing w:val="-14"/>
          <w:w w:val="110"/>
        </w:rPr>
        <w:t> </w:t>
      </w:r>
      <w:r>
        <w:rPr>
          <w:color w:val="383636"/>
          <w:w w:val="110"/>
        </w:rPr>
        <w:t>during</w:t>
      </w:r>
      <w:r>
        <w:rPr>
          <w:color w:val="383636"/>
          <w:spacing w:val="3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4"/>
          <w:w w:val="110"/>
        </w:rPr>
        <w:t> </w:t>
      </w:r>
      <w:r>
        <w:rPr>
          <w:color w:val="383636"/>
          <w:w w:val="110"/>
        </w:rPr>
        <w:t>day</w:t>
      </w:r>
      <w:r>
        <w:rPr>
          <w:color w:val="383636"/>
          <w:spacing w:val="-21"/>
          <w:w w:val="110"/>
        </w:rPr>
        <w:t> </w:t>
      </w:r>
      <w:r>
        <w:rPr>
          <w:color w:val="383636"/>
          <w:w w:val="110"/>
        </w:rPr>
        <w:t>if</w:t>
      </w:r>
      <w:r>
        <w:rPr>
          <w:color w:val="383636"/>
          <w:spacing w:val="-13"/>
          <w:w w:val="110"/>
        </w:rPr>
        <w:t> </w:t>
      </w:r>
      <w:r>
        <w:rPr>
          <w:color w:val="383636"/>
          <w:w w:val="110"/>
        </w:rPr>
        <w:t>at</w:t>
      </w:r>
      <w:r>
        <w:rPr>
          <w:color w:val="383636"/>
          <w:spacing w:val="20"/>
          <w:w w:val="110"/>
        </w:rPr>
        <w:t> </w:t>
      </w:r>
      <w:r>
        <w:rPr>
          <w:color w:val="383636"/>
          <w:w w:val="110"/>
        </w:rPr>
        <w:t>all</w:t>
      </w:r>
      <w:r>
        <w:rPr>
          <w:color w:val="383636"/>
          <w:spacing w:val="7"/>
          <w:w w:val="110"/>
        </w:rPr>
        <w:t> </w:t>
      </w:r>
      <w:r>
        <w:rPr>
          <w:color w:val="383636"/>
          <w:w w:val="110"/>
        </w:rPr>
        <w:t>possible.</w:t>
      </w:r>
    </w:p>
    <w:p>
      <w:pPr>
        <w:pStyle w:val="BodyText"/>
        <w:spacing w:line="235" w:lineRule="auto"/>
        <w:ind w:left="690" w:right="114" w:firstLine="386"/>
        <w:jc w:val="both"/>
      </w:pPr>
      <w:r>
        <w:rPr>
          <w:color w:val="383636"/>
          <w:spacing w:val="-1"/>
          <w:w w:val="110"/>
        </w:rPr>
        <w:t>Finally</w:t>
      </w:r>
      <w:r>
        <w:rPr>
          <w:color w:val="525254"/>
          <w:spacing w:val="-1"/>
          <w:w w:val="110"/>
        </w:rPr>
        <w:t>,</w:t>
      </w:r>
      <w:r>
        <w:rPr>
          <w:color w:val="525254"/>
          <w:spacing w:val="-6"/>
          <w:w w:val="110"/>
        </w:rPr>
        <w:t> </w:t>
      </w:r>
      <w:r>
        <w:rPr>
          <w:color w:val="383636"/>
          <w:w w:val="110"/>
        </w:rPr>
        <w:t>you</w:t>
      </w:r>
      <w:r>
        <w:rPr>
          <w:color w:val="383636"/>
          <w:spacing w:val="33"/>
          <w:w w:val="110"/>
        </w:rPr>
        <w:t> </w:t>
      </w:r>
      <w:r>
        <w:rPr>
          <w:color w:val="383636"/>
          <w:w w:val="110"/>
        </w:rPr>
        <w:t>must</w:t>
      </w:r>
      <w:r>
        <w:rPr>
          <w:color w:val="383636"/>
          <w:spacing w:val="-12"/>
          <w:w w:val="110"/>
        </w:rPr>
        <w:t> </w:t>
      </w:r>
      <w:r>
        <w:rPr>
          <w:color w:val="383636"/>
          <w:w w:val="110"/>
        </w:rPr>
        <w:t>conduct the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actual</w:t>
      </w:r>
      <w:r>
        <w:rPr>
          <w:color w:val="383636"/>
          <w:spacing w:val="-20"/>
          <w:w w:val="110"/>
        </w:rPr>
        <w:t> </w:t>
      </w:r>
      <w:r>
        <w:rPr>
          <w:color w:val="383636"/>
          <w:w w:val="110"/>
        </w:rPr>
        <w:t>critiques</w:t>
      </w:r>
      <w:r>
        <w:rPr>
          <w:color w:val="383636"/>
          <w:spacing w:val="-21"/>
          <w:w w:val="110"/>
        </w:rPr>
        <w:t> </w:t>
      </w:r>
      <w:r>
        <w:rPr>
          <w:color w:val="383636"/>
          <w:w w:val="110"/>
        </w:rPr>
        <w:t>with</w:t>
      </w:r>
      <w:r>
        <w:rPr>
          <w:color w:val="383636"/>
          <w:spacing w:val="-10"/>
          <w:w w:val="110"/>
        </w:rPr>
        <w:t> </w:t>
      </w:r>
      <w:r>
        <w:rPr>
          <w:color w:val="383636"/>
          <w:w w:val="110"/>
        </w:rPr>
        <w:t>tact</w:t>
      </w:r>
      <w:r>
        <w:rPr>
          <w:color w:val="383636"/>
          <w:spacing w:val="-15"/>
          <w:w w:val="110"/>
        </w:rPr>
        <w:t> </w:t>
      </w:r>
      <w:r>
        <w:rPr>
          <w:color w:val="383636"/>
          <w:w w:val="110"/>
        </w:rPr>
        <w:t>and</w:t>
      </w:r>
      <w:r>
        <w:rPr>
          <w:color w:val="383636"/>
          <w:spacing w:val="-12"/>
          <w:w w:val="110"/>
        </w:rPr>
        <w:t> </w:t>
      </w:r>
      <w:r>
        <w:rPr>
          <w:color w:val="383636"/>
          <w:w w:val="110"/>
        </w:rPr>
        <w:t>respect</w:t>
      </w:r>
      <w:r>
        <w:rPr>
          <w:color w:val="525254"/>
          <w:w w:val="110"/>
        </w:rPr>
        <w:t>.</w:t>
      </w:r>
      <w:r>
        <w:rPr>
          <w:color w:val="525254"/>
          <w:spacing w:val="-19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-61"/>
          <w:w w:val="110"/>
        </w:rPr>
        <w:t> </w:t>
      </w:r>
      <w:r>
        <w:rPr>
          <w:color w:val="383636"/>
          <w:spacing w:val="-1"/>
          <w:w w:val="110"/>
        </w:rPr>
        <w:t>practice, you will often be asked to critique </w:t>
      </w:r>
      <w:r>
        <w:rPr>
          <w:color w:val="383636"/>
          <w:w w:val="110"/>
        </w:rPr>
        <w:t>the work of others (as well as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deal with critiques of your own </w:t>
      </w:r>
      <w:r>
        <w:rPr>
          <w:rFonts w:ascii="Arial" w:hAnsi="Arial"/>
          <w:b/>
          <w:color w:val="383636"/>
          <w:w w:val="105"/>
          <w:sz w:val="21"/>
        </w:rPr>
        <w:t>work). </w:t>
      </w:r>
      <w:r>
        <w:rPr>
          <w:color w:val="383636"/>
          <w:w w:val="105"/>
        </w:rPr>
        <w:t>Start now to act like a professional.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Some of the advice here is obvious. Avoid words with extreme negative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connotations, such as </w:t>
      </w:r>
      <w:r>
        <w:rPr>
          <w:rFonts w:ascii="Arial" w:hAnsi="Arial"/>
          <w:i/>
          <w:color w:val="383636"/>
          <w:w w:val="110"/>
          <w:sz w:val="21"/>
        </w:rPr>
        <w:t>ridiculous </w:t>
      </w:r>
      <w:r>
        <w:rPr>
          <w:color w:val="383636"/>
          <w:w w:val="110"/>
        </w:rPr>
        <w:t>or </w:t>
      </w:r>
      <w:r>
        <w:rPr>
          <w:rFonts w:ascii="Arial" w:hAnsi="Arial"/>
          <w:i/>
          <w:color w:val="383636"/>
          <w:w w:val="110"/>
          <w:sz w:val="21"/>
        </w:rPr>
        <w:t>stupid. </w:t>
      </w:r>
      <w:r>
        <w:rPr>
          <w:color w:val="383636"/>
          <w:w w:val="110"/>
        </w:rPr>
        <w:t>If you believe that your team­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mate has made a mistake, use hedging language, such as "I believe" or</w:t>
      </w:r>
      <w:r>
        <w:rPr>
          <w:color w:val="383636"/>
          <w:spacing w:val="1"/>
          <w:w w:val="110"/>
        </w:rPr>
        <w:t> </w:t>
      </w:r>
      <w:r>
        <w:rPr>
          <w:color w:val="383636"/>
          <w:spacing w:val="-1"/>
          <w:w w:val="110"/>
        </w:rPr>
        <w:t>"this may be</w:t>
      </w:r>
      <w:r>
        <w:rPr>
          <w:color w:val="525254"/>
          <w:spacing w:val="-1"/>
          <w:w w:val="110"/>
        </w:rPr>
        <w:t>,</w:t>
      </w:r>
      <w:r>
        <w:rPr>
          <w:color w:val="383636"/>
          <w:spacing w:val="-1"/>
          <w:w w:val="110"/>
        </w:rPr>
        <w:t>" or the like</w:t>
      </w:r>
      <w:r>
        <w:rPr>
          <w:color w:val="525254"/>
          <w:spacing w:val="-1"/>
          <w:w w:val="110"/>
        </w:rPr>
        <w:t>. </w:t>
      </w:r>
      <w:r>
        <w:rPr>
          <w:color w:val="383636"/>
          <w:w w:val="110"/>
        </w:rPr>
        <w:t>Your critiques will be easier to </w:t>
      </w:r>
      <w:r>
        <w:rPr>
          <w:color w:val="383636"/>
          <w:w w:val="115"/>
        </w:rPr>
        <w:t>take-and </w:t>
      </w:r>
      <w:r>
        <w:rPr>
          <w:color w:val="383636"/>
          <w:w w:val="110"/>
        </w:rPr>
        <w:t>will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accomplish </w:t>
      </w:r>
      <w:r>
        <w:rPr>
          <w:color w:val="383636"/>
          <w:w w:val="115"/>
        </w:rPr>
        <w:t>more-if  </w:t>
      </w:r>
      <w:r>
        <w:rPr>
          <w:color w:val="383636"/>
          <w:w w:val="110"/>
        </w:rPr>
        <w:t>they presume the writer is intelligent, but that you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are</w:t>
      </w:r>
      <w:r>
        <w:rPr>
          <w:color w:val="383636"/>
          <w:spacing w:val="41"/>
          <w:w w:val="110"/>
        </w:rPr>
        <w:t> </w:t>
      </w:r>
      <w:r>
        <w:rPr>
          <w:color w:val="383636"/>
          <w:w w:val="110"/>
        </w:rPr>
        <w:t>having</w:t>
      </w:r>
      <w:r>
        <w:rPr>
          <w:color w:val="383636"/>
          <w:spacing w:val="2"/>
          <w:w w:val="110"/>
        </w:rPr>
        <w:t> </w:t>
      </w:r>
      <w:r>
        <w:rPr>
          <w:color w:val="383636"/>
          <w:w w:val="110"/>
        </w:rPr>
        <w:t>trouble</w:t>
      </w:r>
      <w:r>
        <w:rPr>
          <w:color w:val="383636"/>
          <w:spacing w:val="-10"/>
          <w:w w:val="110"/>
        </w:rPr>
        <w:t> </w:t>
      </w:r>
      <w:r>
        <w:rPr>
          <w:color w:val="383636"/>
          <w:w w:val="110"/>
        </w:rPr>
        <w:t>understanding</w:t>
      </w:r>
      <w:r>
        <w:rPr>
          <w:color w:val="383636"/>
          <w:spacing w:val="-3"/>
          <w:w w:val="110"/>
        </w:rPr>
        <w:t> </w:t>
      </w:r>
      <w:r>
        <w:rPr>
          <w:color w:val="383636"/>
          <w:w w:val="110"/>
        </w:rPr>
        <w:t>something.</w:t>
      </w:r>
    </w:p>
    <w:p>
      <w:pPr>
        <w:pStyle w:val="BodyText"/>
        <w:spacing w:line="245" w:lineRule="exact"/>
        <w:ind w:left="1075"/>
        <w:jc w:val="both"/>
        <w:rPr>
          <w:sz w:val="25"/>
        </w:rPr>
      </w:pPr>
      <w:r>
        <w:rPr>
          <w:color w:val="383636"/>
          <w:w w:val="115"/>
        </w:rPr>
        <w:t>In</w:t>
      </w:r>
      <w:r>
        <w:rPr>
          <w:color w:val="383636"/>
          <w:spacing w:val="5"/>
          <w:w w:val="115"/>
        </w:rPr>
        <w:t> </w:t>
      </w:r>
      <w:r>
        <w:rPr>
          <w:color w:val="383636"/>
          <w:w w:val="115"/>
        </w:rPr>
        <w:t>the</w:t>
      </w:r>
      <w:r>
        <w:rPr>
          <w:color w:val="383636"/>
          <w:spacing w:val="-12"/>
          <w:w w:val="115"/>
        </w:rPr>
        <w:t> </w:t>
      </w:r>
      <w:r>
        <w:rPr>
          <w:color w:val="383636"/>
          <w:w w:val="115"/>
        </w:rPr>
        <w:t>alternative,</w:t>
      </w:r>
      <w:r>
        <w:rPr>
          <w:color w:val="383636"/>
          <w:spacing w:val="6"/>
          <w:w w:val="115"/>
        </w:rPr>
        <w:t> </w:t>
      </w:r>
      <w:r>
        <w:rPr>
          <w:color w:val="383636"/>
          <w:w w:val="115"/>
        </w:rPr>
        <w:t>critique by</w:t>
      </w:r>
      <w:r>
        <w:rPr>
          <w:color w:val="383636"/>
          <w:spacing w:val="-20"/>
          <w:w w:val="115"/>
        </w:rPr>
        <w:t> </w:t>
      </w:r>
      <w:r>
        <w:rPr>
          <w:color w:val="383636"/>
          <w:w w:val="115"/>
        </w:rPr>
        <w:t>asking</w:t>
      </w:r>
      <w:r>
        <w:rPr>
          <w:color w:val="383636"/>
          <w:spacing w:val="-19"/>
          <w:w w:val="115"/>
        </w:rPr>
        <w:t> </w:t>
      </w:r>
      <w:r>
        <w:rPr>
          <w:color w:val="383636"/>
          <w:w w:val="115"/>
        </w:rPr>
        <w:t>questions-questions</w:t>
      </w:r>
      <w:r>
        <w:rPr>
          <w:color w:val="383636"/>
          <w:spacing w:val="-34"/>
          <w:w w:val="115"/>
        </w:rPr>
        <w:t> </w:t>
      </w:r>
      <w:r>
        <w:rPr>
          <w:color w:val="383636"/>
          <w:w w:val="115"/>
        </w:rPr>
        <w:t>that</w:t>
      </w:r>
      <w:r>
        <w:rPr>
          <w:color w:val="383636"/>
          <w:spacing w:val="-9"/>
          <w:w w:val="115"/>
        </w:rPr>
        <w:t> </w:t>
      </w:r>
      <w:r>
        <w:rPr>
          <w:color w:val="383636"/>
          <w:w w:val="115"/>
        </w:rPr>
        <w:t>are</w:t>
      </w:r>
      <w:r>
        <w:rPr>
          <w:color w:val="383636"/>
          <w:spacing w:val="-26"/>
          <w:w w:val="115"/>
        </w:rPr>
        <w:t> </w:t>
      </w:r>
      <w:r>
        <w:rPr>
          <w:color w:val="383636"/>
          <w:w w:val="115"/>
          <w:sz w:val="25"/>
        </w:rPr>
        <w:t>as</w:t>
      </w:r>
    </w:p>
    <w:p>
      <w:pPr>
        <w:pStyle w:val="BodyText"/>
        <w:spacing w:line="232" w:lineRule="auto"/>
        <w:ind w:left="687" w:right="104" w:firstLine="16"/>
        <w:jc w:val="both"/>
      </w:pPr>
      <w:r>
        <w:rPr>
          <w:color w:val="383636"/>
          <w:w w:val="110"/>
        </w:rPr>
        <w:t>specific as possible about what is confusing you. Instead of saying, "This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argument is wrong</w:t>
      </w:r>
      <w:r>
        <w:rPr>
          <w:color w:val="525254"/>
          <w:w w:val="110"/>
        </w:rPr>
        <w:t>,</w:t>
      </w:r>
      <w:r>
        <w:rPr>
          <w:color w:val="383636"/>
          <w:w w:val="110"/>
        </w:rPr>
        <w:t>" ask, "How does this argument support a reversal?"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Hearing your teammate's explanation may convince you of the validity of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argument and may inform all of you as to what further information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needs to be included in the brief. On the other hand</w:t>
      </w:r>
      <w:r>
        <w:rPr>
          <w:color w:val="525254"/>
          <w:w w:val="110"/>
        </w:rPr>
        <w:t>, </w:t>
      </w:r>
      <w:r>
        <w:rPr>
          <w:color w:val="383636"/>
          <w:w w:val="110"/>
        </w:rPr>
        <w:t>if the  argument is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not valid, your teammate may recogni</w:t>
      </w:r>
      <w:r>
        <w:rPr>
          <w:color w:val="525254"/>
          <w:w w:val="110"/>
        </w:rPr>
        <w:t>z</w:t>
      </w:r>
      <w:r>
        <w:rPr>
          <w:color w:val="383636"/>
          <w:w w:val="110"/>
        </w:rPr>
        <w:t>e its weakness himself or herself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when trying to explain it to you. By talking each argument out among the</w:t>
      </w:r>
      <w:r>
        <w:rPr>
          <w:color w:val="383636"/>
          <w:spacing w:val="-61"/>
          <w:w w:val="110"/>
        </w:rPr>
        <w:t> </w:t>
      </w:r>
      <w:r>
        <w:rPr>
          <w:color w:val="383636"/>
          <w:spacing w:val="-1"/>
          <w:w w:val="110"/>
        </w:rPr>
        <w:t>three</w:t>
      </w:r>
      <w:r>
        <w:rPr>
          <w:color w:val="383636"/>
          <w:spacing w:val="-22"/>
          <w:w w:val="110"/>
        </w:rPr>
        <w:t> </w:t>
      </w:r>
      <w:r>
        <w:rPr>
          <w:color w:val="383636"/>
          <w:spacing w:val="-1"/>
          <w:w w:val="110"/>
        </w:rPr>
        <w:t>of</w:t>
      </w:r>
      <w:r>
        <w:rPr>
          <w:color w:val="383636"/>
          <w:spacing w:val="-8"/>
          <w:w w:val="110"/>
        </w:rPr>
        <w:t> </w:t>
      </w:r>
      <w:r>
        <w:rPr>
          <w:color w:val="383636"/>
          <w:spacing w:val="-1"/>
          <w:w w:val="110"/>
        </w:rPr>
        <w:t>you,</w:t>
      </w:r>
      <w:r>
        <w:rPr>
          <w:color w:val="383636"/>
          <w:spacing w:val="-12"/>
          <w:w w:val="110"/>
        </w:rPr>
        <w:t> </w:t>
      </w:r>
      <w:r>
        <w:rPr>
          <w:color w:val="383636"/>
          <w:spacing w:val="-1"/>
          <w:w w:val="110"/>
        </w:rPr>
        <w:t>the</w:t>
      </w:r>
      <w:r>
        <w:rPr>
          <w:color w:val="383636"/>
          <w:spacing w:val="9"/>
          <w:w w:val="110"/>
        </w:rPr>
        <w:t> </w:t>
      </w:r>
      <w:r>
        <w:rPr>
          <w:color w:val="383636"/>
          <w:w w:val="110"/>
        </w:rPr>
        <w:t>team</w:t>
      </w:r>
      <w:r>
        <w:rPr>
          <w:color w:val="383636"/>
          <w:spacing w:val="-15"/>
          <w:w w:val="110"/>
        </w:rPr>
        <w:t> </w:t>
      </w:r>
      <w:r>
        <w:rPr>
          <w:color w:val="383636"/>
          <w:w w:val="110"/>
        </w:rPr>
        <w:t>can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get</w:t>
      </w:r>
      <w:r>
        <w:rPr>
          <w:color w:val="383636"/>
          <w:spacing w:val="-22"/>
          <w:w w:val="110"/>
        </w:rPr>
        <w:t> </w:t>
      </w:r>
      <w:r>
        <w:rPr>
          <w:color w:val="383636"/>
          <w:w w:val="110"/>
        </w:rPr>
        <w:t>a</w:t>
      </w:r>
      <w:r>
        <w:rPr>
          <w:color w:val="383636"/>
          <w:spacing w:val="-17"/>
          <w:w w:val="110"/>
        </w:rPr>
        <w:t> </w:t>
      </w:r>
      <w:r>
        <w:rPr>
          <w:color w:val="383636"/>
          <w:w w:val="110"/>
        </w:rPr>
        <w:t>good</w:t>
      </w:r>
      <w:r>
        <w:rPr>
          <w:color w:val="383636"/>
          <w:spacing w:val="-13"/>
          <w:w w:val="110"/>
        </w:rPr>
        <w:t> </w:t>
      </w:r>
      <w:r>
        <w:rPr>
          <w:color w:val="383636"/>
          <w:w w:val="110"/>
        </w:rPr>
        <w:t>idea</w:t>
      </w:r>
      <w:r>
        <w:rPr>
          <w:color w:val="383636"/>
          <w:spacing w:val="-16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2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7"/>
          <w:w w:val="110"/>
        </w:rPr>
        <w:t> </w:t>
      </w:r>
      <w:r>
        <w:rPr>
          <w:color w:val="383636"/>
          <w:w w:val="110"/>
        </w:rPr>
        <w:t>strengths</w:t>
      </w:r>
      <w:r>
        <w:rPr>
          <w:color w:val="383636"/>
          <w:spacing w:val="-17"/>
          <w:w w:val="110"/>
        </w:rPr>
        <w:t> </w:t>
      </w:r>
      <w:r>
        <w:rPr>
          <w:color w:val="383636"/>
          <w:w w:val="110"/>
        </w:rPr>
        <w:t>and</w:t>
      </w:r>
      <w:r>
        <w:rPr>
          <w:color w:val="383636"/>
          <w:spacing w:val="4"/>
          <w:w w:val="110"/>
        </w:rPr>
        <w:t> </w:t>
      </w:r>
      <w:r>
        <w:rPr>
          <w:color w:val="383636"/>
          <w:w w:val="110"/>
        </w:rPr>
        <w:t>weaknesses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28"/>
          <w:w w:val="110"/>
        </w:rPr>
        <w:t> </w:t>
      </w:r>
      <w:r>
        <w:rPr>
          <w:color w:val="383636"/>
          <w:w w:val="110"/>
        </w:rPr>
        <w:t>various</w:t>
      </w:r>
      <w:r>
        <w:rPr>
          <w:color w:val="383636"/>
          <w:spacing w:val="-20"/>
          <w:w w:val="110"/>
        </w:rPr>
        <w:t> </w:t>
      </w:r>
      <w:r>
        <w:rPr>
          <w:color w:val="383636"/>
          <w:w w:val="110"/>
        </w:rPr>
        <w:t>arguments,</w:t>
      </w:r>
      <w:r>
        <w:rPr>
          <w:color w:val="383636"/>
          <w:spacing w:val="2"/>
          <w:w w:val="110"/>
        </w:rPr>
        <w:t> </w:t>
      </w:r>
      <w:r>
        <w:rPr>
          <w:color w:val="383636"/>
          <w:w w:val="110"/>
        </w:rPr>
        <w:t>and</w:t>
      </w:r>
      <w:r>
        <w:rPr>
          <w:color w:val="383636"/>
          <w:spacing w:val="30"/>
          <w:w w:val="110"/>
        </w:rPr>
        <w:t> </w:t>
      </w:r>
      <w:r>
        <w:rPr>
          <w:color w:val="383636"/>
          <w:w w:val="110"/>
        </w:rPr>
        <w:t>then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revise</w:t>
      </w:r>
      <w:r>
        <w:rPr>
          <w:color w:val="383636"/>
          <w:spacing w:val="-19"/>
          <w:w w:val="110"/>
        </w:rPr>
        <w:t> </w:t>
      </w:r>
      <w:r>
        <w:rPr>
          <w:color w:val="383636"/>
          <w:w w:val="110"/>
        </w:rPr>
        <w:t>accordingly</w:t>
      </w:r>
      <w:r>
        <w:rPr>
          <w:color w:val="525254"/>
          <w:w w:val="110"/>
        </w:rPr>
        <w:t>.</w:t>
      </w:r>
    </w:p>
    <w:p>
      <w:pPr>
        <w:pStyle w:val="BodyText"/>
        <w:spacing w:line="232" w:lineRule="auto" w:before="3"/>
        <w:ind w:left="610" w:right="102" w:firstLine="445"/>
        <w:jc w:val="both"/>
      </w:pPr>
      <w:r>
        <w:rPr>
          <w:color w:val="383636"/>
          <w:w w:val="110"/>
        </w:rPr>
        <w:t>In addition, you may wish to hold a practice moot during the writing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process. Although most rules prohibit, or at least limit, coaching during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 brief-writing process, nothing prevents the three members of a team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from conducting an "internal moot." Review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authorities relevant to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your teammates</w:t>
      </w:r>
      <w:r>
        <w:rPr>
          <w:color w:val="525254"/>
          <w:w w:val="110"/>
        </w:rPr>
        <w:t>' </w:t>
      </w:r>
      <w:r>
        <w:rPr>
          <w:color w:val="383636"/>
          <w:w w:val="110"/>
        </w:rPr>
        <w:t>issues, and  question each teammate in turn. Challenge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  assumptions inherent in their arguments, and  probe their knowledge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of  the  relevant authorities. You could  even spur their research by ask</w:t>
      </w:r>
      <w:r>
        <w:rPr>
          <w:color w:val="525254"/>
          <w:w w:val="110"/>
        </w:rPr>
        <w:t>­</w:t>
      </w:r>
      <w:r>
        <w:rPr>
          <w:color w:val="525254"/>
          <w:spacing w:val="1"/>
          <w:w w:val="110"/>
        </w:rPr>
        <w:t> </w:t>
      </w:r>
      <w:r>
        <w:rPr>
          <w:color w:val="383636"/>
          <w:w w:val="110"/>
        </w:rPr>
        <w:t>ing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about the existence of other relevant cases, e.g., "Is there any case in</w:t>
      </w:r>
      <w:r>
        <w:rPr>
          <w:color w:val="383636"/>
          <w:spacing w:val="1"/>
          <w:w w:val="110"/>
        </w:rPr>
        <w:t> </w:t>
      </w:r>
      <w:r>
        <w:rPr>
          <w:color w:val="383636"/>
          <w:spacing w:val="-1"/>
          <w:w w:val="113"/>
        </w:rPr>
        <w:t>whic</w:t>
      </w:r>
      <w:r>
        <w:rPr>
          <w:color w:val="383636"/>
          <w:w w:val="113"/>
        </w:rPr>
        <w:t>h</w:t>
      </w:r>
      <w:r>
        <w:rPr>
          <w:color w:val="383636"/>
          <w:spacing w:val="27"/>
        </w:rPr>
        <w:t> </w:t>
      </w:r>
      <w:r>
        <w:rPr>
          <w:color w:val="383636"/>
          <w:spacing w:val="-1"/>
          <w:w w:val="113"/>
        </w:rPr>
        <w:t>th</w:t>
      </w:r>
      <w:r>
        <w:rPr>
          <w:color w:val="383636"/>
          <w:w w:val="113"/>
        </w:rPr>
        <w:t>e</w:t>
      </w:r>
      <w:r>
        <w:rPr>
          <w:color w:val="383636"/>
          <w:spacing w:val="23"/>
        </w:rPr>
        <w:t> </w:t>
      </w:r>
      <w:r>
        <w:rPr>
          <w:color w:val="383636"/>
          <w:spacing w:val="-1"/>
          <w:w w:val="116"/>
        </w:rPr>
        <w:t>cour</w:t>
      </w:r>
      <w:r>
        <w:rPr>
          <w:color w:val="383636"/>
          <w:w w:val="116"/>
        </w:rPr>
        <w:t>t</w:t>
      </w:r>
      <w:r>
        <w:rPr>
          <w:color w:val="383636"/>
          <w:spacing w:val="16"/>
        </w:rPr>
        <w:t> </w:t>
      </w:r>
      <w:r>
        <w:rPr>
          <w:color w:val="383636"/>
          <w:w w:val="116"/>
        </w:rPr>
        <w:t>has</w:t>
      </w:r>
      <w:r>
        <w:rPr>
          <w:color w:val="383636"/>
          <w:spacing w:val="9"/>
        </w:rPr>
        <w:t> </w:t>
      </w:r>
      <w:r>
        <w:rPr>
          <w:color w:val="383636"/>
          <w:w w:val="115"/>
        </w:rPr>
        <w:t>held</w:t>
      </w:r>
      <w:r>
        <w:rPr>
          <w:color w:val="383636"/>
          <w:spacing w:val="10"/>
        </w:rPr>
        <w:t> </w:t>
      </w:r>
      <w:r>
        <w:rPr>
          <w:color w:val="525254"/>
          <w:w w:val="210"/>
        </w:rPr>
        <w:t>.</w:t>
      </w:r>
      <w:r>
        <w:rPr>
          <w:color w:val="383636"/>
          <w:w w:val="210"/>
        </w:rPr>
        <w:t>..</w:t>
      </w:r>
      <w:r>
        <w:rPr>
          <w:color w:val="383636"/>
          <w:spacing w:val="10"/>
        </w:rPr>
        <w:t> </w:t>
      </w:r>
      <w:r>
        <w:rPr>
          <w:color w:val="383636"/>
          <w:spacing w:val="-1"/>
          <w:w w:val="210"/>
        </w:rPr>
        <w:t>?</w:t>
      </w:r>
      <w:r>
        <w:rPr>
          <w:color w:val="383636"/>
          <w:spacing w:val="-124"/>
          <w:w w:val="210"/>
        </w:rPr>
        <w:t>"</w:t>
      </w:r>
      <w:r>
        <w:rPr>
          <w:color w:val="383636"/>
          <w:spacing w:val="-1"/>
          <w:w w:val="98"/>
        </w:rPr>
        <w:t>Yo</w:t>
      </w:r>
      <w:r>
        <w:rPr>
          <w:color w:val="383636"/>
          <w:w w:val="98"/>
        </w:rPr>
        <w:t>u</w:t>
      </w:r>
      <w:r>
        <w:rPr>
          <w:color w:val="383636"/>
          <w:spacing w:val="10"/>
        </w:rPr>
        <w:t> </w:t>
      </w:r>
      <w:r>
        <w:rPr>
          <w:color w:val="383636"/>
          <w:spacing w:val="-1"/>
          <w:w w:val="98"/>
        </w:rPr>
        <w:t>ca</w:t>
      </w:r>
      <w:r>
        <w:rPr>
          <w:color w:val="383636"/>
          <w:w w:val="98"/>
        </w:rPr>
        <w:t>n</w:t>
      </w:r>
      <w:r>
        <w:rPr>
          <w:color w:val="383636"/>
        </w:rPr>
        <w:t> </w:t>
      </w:r>
      <w:r>
        <w:rPr>
          <w:color w:val="383636"/>
          <w:spacing w:val="25"/>
        </w:rPr>
        <w:t> </w:t>
      </w:r>
      <w:r>
        <w:rPr>
          <w:color w:val="383636"/>
          <w:spacing w:val="-1"/>
          <w:w w:val="114"/>
        </w:rPr>
        <w:t>identif</w:t>
      </w:r>
      <w:r>
        <w:rPr>
          <w:color w:val="383636"/>
          <w:w w:val="114"/>
        </w:rPr>
        <w:t>y</w:t>
      </w:r>
      <w:r>
        <w:rPr>
          <w:color w:val="383636"/>
          <w:spacing w:val="1"/>
        </w:rPr>
        <w:t> </w:t>
      </w:r>
      <w:r>
        <w:rPr>
          <w:color w:val="383636"/>
          <w:spacing w:val="-1"/>
          <w:w w:val="109"/>
        </w:rPr>
        <w:t>categorie</w:t>
      </w:r>
      <w:r>
        <w:rPr>
          <w:color w:val="383636"/>
          <w:w w:val="109"/>
        </w:rPr>
        <w:t>s</w:t>
      </w:r>
      <w:r>
        <w:rPr>
          <w:color w:val="383636"/>
          <w:spacing w:val="23"/>
        </w:rPr>
        <w:t> </w:t>
      </w:r>
      <w:r>
        <w:rPr>
          <w:color w:val="383636"/>
          <w:w w:val="105"/>
        </w:rPr>
        <w:t>of</w:t>
      </w:r>
      <w:r>
        <w:rPr>
          <w:color w:val="383636"/>
          <w:spacing w:val="20"/>
        </w:rPr>
        <w:t> </w:t>
      </w:r>
      <w:r>
        <w:rPr>
          <w:color w:val="383636"/>
          <w:w w:val="103"/>
        </w:rPr>
        <w:t>questions </w:t>
      </w:r>
      <w:r>
        <w:rPr>
          <w:color w:val="383636"/>
          <w:w w:val="110"/>
        </w:rPr>
        <w:t>before you begin and try to ask at least one question in every category.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Some of the categories may be generic (e</w:t>
      </w:r>
      <w:r>
        <w:rPr>
          <w:color w:val="525254"/>
          <w:w w:val="105"/>
        </w:rPr>
        <w:t>.</w:t>
      </w:r>
      <w:r>
        <w:rPr>
          <w:color w:val="383636"/>
          <w:w w:val="105"/>
        </w:rPr>
        <w:t>g</w:t>
      </w:r>
      <w:r>
        <w:rPr>
          <w:color w:val="525254"/>
          <w:w w:val="105"/>
        </w:rPr>
        <w:t>.</w:t>
      </w:r>
      <w:r>
        <w:rPr>
          <w:color w:val="383636"/>
          <w:w w:val="105"/>
        </w:rPr>
        <w:t>, </w:t>
      </w:r>
      <w:r>
        <w:rPr>
          <w:color w:val="525254"/>
          <w:w w:val="105"/>
        </w:rPr>
        <w:t>s</w:t>
      </w:r>
      <w:r>
        <w:rPr>
          <w:color w:val="383636"/>
          <w:w w:val="105"/>
        </w:rPr>
        <w:t>tandard of review, mandatory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authorities vs. lower court authorities,  etc.) while others may be specific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to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substance of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problem. An internal moot can provide obvious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substantive benefits, and it can also help the team rev up the sometimes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dry</w:t>
      </w:r>
      <w:r>
        <w:rPr>
          <w:color w:val="383636"/>
          <w:spacing w:val="47"/>
          <w:w w:val="110"/>
        </w:rPr>
        <w:t> </w:t>
      </w:r>
      <w:r>
        <w:rPr>
          <w:color w:val="383636"/>
          <w:w w:val="110"/>
        </w:rPr>
        <w:t>process</w:t>
      </w:r>
      <w:r>
        <w:rPr>
          <w:color w:val="383636"/>
          <w:spacing w:val="-1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6"/>
          <w:w w:val="110"/>
        </w:rPr>
        <w:t> </w:t>
      </w:r>
      <w:r>
        <w:rPr>
          <w:color w:val="383636"/>
          <w:w w:val="110"/>
        </w:rPr>
        <w:t>churning</w:t>
      </w:r>
      <w:r>
        <w:rPr>
          <w:color w:val="383636"/>
          <w:spacing w:val="-8"/>
          <w:w w:val="110"/>
        </w:rPr>
        <w:t> </w:t>
      </w:r>
      <w:r>
        <w:rPr>
          <w:color w:val="383636"/>
          <w:w w:val="110"/>
        </w:rPr>
        <w:t>out</w:t>
      </w:r>
      <w:r>
        <w:rPr>
          <w:color w:val="383636"/>
          <w:spacing w:val="9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3"/>
          <w:w w:val="110"/>
        </w:rPr>
        <w:t> </w:t>
      </w:r>
      <w:r>
        <w:rPr>
          <w:color w:val="383636"/>
          <w:w w:val="110"/>
        </w:rPr>
        <w:t>brief</w:t>
      </w:r>
      <w:r>
        <w:rPr>
          <w:color w:val="525254"/>
          <w:w w:val="110"/>
        </w:rPr>
        <w:t>.</w:t>
      </w:r>
    </w:p>
    <w:p>
      <w:pPr>
        <w:pStyle w:val="BodyText"/>
        <w:spacing w:line="232" w:lineRule="auto" w:before="6"/>
        <w:ind w:left="558" w:right="98" w:firstLine="434"/>
        <w:jc w:val="both"/>
      </w:pPr>
      <w:r>
        <w:rPr>
          <w:color w:val="383636"/>
          <w:w w:val="115"/>
        </w:rPr>
        <w:t>Although  you  must be polite to each other as you work on the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brief, you also have an obligation to raise issues that are bothering you.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Effective collaboration is a balancing act. Each member of the team must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feel comfortable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raising questions about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anything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that is troubling.</w:t>
      </w:r>
      <w:r>
        <w:rPr>
          <w:color w:val="383636"/>
          <w:spacing w:val="1"/>
          <w:w w:val="115"/>
        </w:rPr>
        <w:t> </w:t>
      </w:r>
      <w:r>
        <w:rPr>
          <w:color w:val="383636"/>
          <w:spacing w:val="-1"/>
          <w:w w:val="115"/>
        </w:rPr>
        <w:t>Once, </w:t>
      </w:r>
      <w:r>
        <w:rPr>
          <w:color w:val="383636"/>
          <w:w w:val="115"/>
        </w:rPr>
        <w:t>after a competition, I was discussing an issue that I thought had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not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been briefed effectively with one of the team members</w:t>
      </w:r>
      <w:r>
        <w:rPr>
          <w:color w:val="525254"/>
          <w:w w:val="115"/>
        </w:rPr>
        <w:t>. </w:t>
      </w:r>
      <w:r>
        <w:rPr>
          <w:color w:val="383636"/>
          <w:w w:val="115"/>
        </w:rPr>
        <w:t>He told me</w:t>
      </w:r>
      <w:r>
        <w:rPr>
          <w:color w:val="383636"/>
          <w:spacing w:val="-64"/>
          <w:w w:val="115"/>
        </w:rPr>
        <w:t> </w:t>
      </w:r>
      <w:r>
        <w:rPr>
          <w:color w:val="383636"/>
          <w:w w:val="115"/>
        </w:rPr>
        <w:t>that</w:t>
      </w:r>
      <w:r>
        <w:rPr>
          <w:color w:val="383636"/>
          <w:spacing w:val="-4"/>
          <w:w w:val="115"/>
        </w:rPr>
        <w:t> </w:t>
      </w:r>
      <w:r>
        <w:rPr>
          <w:color w:val="383636"/>
          <w:w w:val="115"/>
        </w:rPr>
        <w:t>he,</w:t>
      </w:r>
      <w:r>
        <w:rPr>
          <w:color w:val="383636"/>
          <w:spacing w:val="-19"/>
          <w:w w:val="115"/>
        </w:rPr>
        <w:t> </w:t>
      </w:r>
      <w:r>
        <w:rPr>
          <w:color w:val="383636"/>
          <w:w w:val="115"/>
        </w:rPr>
        <w:t>too,</w:t>
      </w:r>
      <w:r>
        <w:rPr>
          <w:color w:val="383636"/>
          <w:spacing w:val="5"/>
          <w:w w:val="115"/>
        </w:rPr>
        <w:t> </w:t>
      </w:r>
      <w:r>
        <w:rPr>
          <w:color w:val="383636"/>
          <w:w w:val="115"/>
        </w:rPr>
        <w:t>had</w:t>
      </w:r>
      <w:r>
        <w:rPr>
          <w:color w:val="383636"/>
          <w:spacing w:val="7"/>
          <w:w w:val="115"/>
        </w:rPr>
        <w:t> </w:t>
      </w:r>
      <w:r>
        <w:rPr>
          <w:color w:val="383636"/>
          <w:w w:val="115"/>
        </w:rPr>
        <w:t>seen</w:t>
      </w:r>
      <w:r>
        <w:rPr>
          <w:color w:val="383636"/>
          <w:spacing w:val="15"/>
          <w:w w:val="115"/>
        </w:rPr>
        <w:t> </w:t>
      </w:r>
      <w:r>
        <w:rPr>
          <w:color w:val="383636"/>
          <w:w w:val="115"/>
        </w:rPr>
        <w:t>the</w:t>
      </w:r>
      <w:r>
        <w:rPr>
          <w:color w:val="383636"/>
          <w:spacing w:val="24"/>
          <w:w w:val="115"/>
        </w:rPr>
        <w:t> </w:t>
      </w:r>
      <w:r>
        <w:rPr>
          <w:color w:val="383636"/>
          <w:w w:val="115"/>
        </w:rPr>
        <w:t>problem,</w:t>
      </w:r>
      <w:r>
        <w:rPr>
          <w:color w:val="383636"/>
          <w:spacing w:val="5"/>
          <w:w w:val="115"/>
        </w:rPr>
        <w:t> </w:t>
      </w:r>
      <w:r>
        <w:rPr>
          <w:color w:val="383636"/>
          <w:w w:val="115"/>
        </w:rPr>
        <w:t>but</w:t>
      </w:r>
      <w:r>
        <w:rPr>
          <w:color w:val="383636"/>
          <w:spacing w:val="18"/>
          <w:w w:val="115"/>
        </w:rPr>
        <w:t> </w:t>
      </w:r>
      <w:r>
        <w:rPr>
          <w:color w:val="383636"/>
          <w:w w:val="115"/>
        </w:rPr>
        <w:t>was</w:t>
      </w:r>
      <w:r>
        <w:rPr>
          <w:color w:val="383636"/>
          <w:spacing w:val="-26"/>
          <w:w w:val="115"/>
        </w:rPr>
        <w:t> </w:t>
      </w:r>
      <w:r>
        <w:rPr>
          <w:color w:val="383636"/>
          <w:w w:val="115"/>
        </w:rPr>
        <w:t>self-conscious</w:t>
      </w:r>
      <w:r>
        <w:rPr>
          <w:color w:val="383636"/>
          <w:spacing w:val="-31"/>
          <w:w w:val="115"/>
        </w:rPr>
        <w:t> </w:t>
      </w:r>
      <w:r>
        <w:rPr>
          <w:color w:val="383636"/>
          <w:w w:val="115"/>
        </w:rPr>
        <w:t>about</w:t>
      </w:r>
      <w:r>
        <w:rPr>
          <w:color w:val="383636"/>
          <w:spacing w:val="13"/>
          <w:w w:val="115"/>
        </w:rPr>
        <w:t> </w:t>
      </w:r>
      <w:r>
        <w:rPr>
          <w:color w:val="383636"/>
          <w:w w:val="115"/>
        </w:rPr>
        <w:t>raising</w:t>
      </w:r>
    </w:p>
    <w:p>
      <w:pPr>
        <w:spacing w:after="0" w:line="232" w:lineRule="auto"/>
        <w:jc w:val="both"/>
        <w:sectPr>
          <w:headerReference w:type="even" r:id="rId359"/>
          <w:pgSz w:w="9710" w:h="13990"/>
          <w:pgMar w:header="530" w:footer="0" w:top="1120" w:bottom="280" w:left="1340" w:right="120"/>
          <w:pgNumType w:start="318"/>
        </w:sectPr>
      </w:pPr>
    </w:p>
    <w:p>
      <w:pPr>
        <w:spacing w:line="298" w:lineRule="exact" w:before="0"/>
        <w:ind w:left="119" w:right="0" w:firstLine="0"/>
        <w:jc w:val="left"/>
        <w:rPr>
          <w:rFonts w:ascii="Arial"/>
          <w:sz w:val="27"/>
        </w:rPr>
      </w:pPr>
      <w:r>
        <w:rPr>
          <w:rFonts w:ascii="Arial"/>
          <w:color w:val="BABCBD"/>
          <w:w w:val="102"/>
          <w:sz w:val="27"/>
        </w:rPr>
        <w:t>I</w:t>
      </w:r>
    </w:p>
    <w:p>
      <w:pPr>
        <w:pStyle w:val="ListParagraph"/>
        <w:numPr>
          <w:ilvl w:val="1"/>
          <w:numId w:val="116"/>
        </w:numPr>
        <w:tabs>
          <w:tab w:pos="6344" w:val="left" w:leader="none"/>
          <w:tab w:pos="8604" w:val="right" w:leader="none"/>
        </w:tabs>
        <w:spacing w:line="240" w:lineRule="auto" w:before="199" w:after="0"/>
        <w:ind w:left="6343" w:right="0" w:hanging="454"/>
        <w:jc w:val="left"/>
        <w:rPr>
          <w:color w:val="383638"/>
          <w:sz w:val="19"/>
        </w:rPr>
      </w:pPr>
      <w:r>
        <w:rPr>
          <w:color w:val="383638"/>
          <w:w w:val="105"/>
          <w:sz w:val="19"/>
        </w:rPr>
        <w:t>Practice</w:t>
      </w:r>
      <w:r>
        <w:rPr>
          <w:color w:val="383638"/>
          <w:spacing w:val="-12"/>
          <w:w w:val="105"/>
          <w:sz w:val="19"/>
        </w:rPr>
        <w:t> </w:t>
      </w:r>
      <w:r>
        <w:rPr>
          <w:color w:val="383638"/>
          <w:w w:val="105"/>
          <w:sz w:val="19"/>
        </w:rPr>
        <w:t>Arguments</w:t>
        <w:tab/>
        <w:t>319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30" w:lineRule="auto"/>
        <w:ind w:left="445" w:right="820" w:firstLine="10"/>
        <w:jc w:val="both"/>
      </w:pPr>
      <w:r>
        <w:rPr>
          <w:color w:val="383638"/>
          <w:w w:val="110"/>
        </w:rPr>
        <w:t>it, since "the other twoseemed to think everything was okay." Each team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member has a responsibility to point out possible problems or mistakes.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That is the best way to get the full benefit of three collaborators working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on</w:t>
      </w:r>
      <w:r>
        <w:rPr>
          <w:color w:val="383638"/>
          <w:spacing w:val="-20"/>
          <w:w w:val="115"/>
        </w:rPr>
        <w:t> </w:t>
      </w:r>
      <w:r>
        <w:rPr>
          <w:color w:val="383638"/>
          <w:w w:val="115"/>
        </w:rPr>
        <w:t>a</w:t>
      </w:r>
      <w:r>
        <w:rPr>
          <w:color w:val="383638"/>
          <w:spacing w:val="2"/>
          <w:w w:val="115"/>
        </w:rPr>
        <w:t> </w:t>
      </w:r>
      <w:r>
        <w:rPr>
          <w:color w:val="383638"/>
          <w:w w:val="115"/>
        </w:rPr>
        <w:t>brief.</w:t>
      </w:r>
    </w:p>
    <w:p>
      <w:pPr>
        <w:pStyle w:val="BodyText"/>
        <w:spacing w:line="232" w:lineRule="auto" w:before="14"/>
        <w:ind w:left="445" w:right="800" w:firstLine="327"/>
        <w:jc w:val="both"/>
      </w:pPr>
      <w:r>
        <w:rPr>
          <w:color w:val="383638"/>
          <w:w w:val="110"/>
        </w:rPr>
        <w:t>On the other hand, you cannot beat an issue to death. After the team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has</w:t>
      </w:r>
      <w:r>
        <w:rPr>
          <w:color w:val="383638"/>
          <w:spacing w:val="-35"/>
          <w:w w:val="110"/>
        </w:rPr>
        <w:t> </w:t>
      </w:r>
      <w:r>
        <w:rPr>
          <w:color w:val="383638"/>
          <w:w w:val="110"/>
        </w:rPr>
        <w:t>fully</w:t>
      </w:r>
      <w:r>
        <w:rPr>
          <w:color w:val="383638"/>
          <w:spacing w:val="-21"/>
          <w:w w:val="110"/>
        </w:rPr>
        <w:t> </w:t>
      </w:r>
      <w:r>
        <w:rPr>
          <w:color w:val="383638"/>
          <w:w w:val="110"/>
        </w:rPr>
        <w:t>considered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problem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or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concern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decided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what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action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take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05"/>
        </w:rPr>
        <w:t>(or not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to take), that should be the end of it. Even if you disagree with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outcome, don't sulk, and don't second-guess. Once the decision is made,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it's</w:t>
      </w:r>
      <w:r>
        <w:rPr>
          <w:color w:val="383638"/>
          <w:spacing w:val="-29"/>
          <w:w w:val="110"/>
        </w:rPr>
        <w:t> </w:t>
      </w:r>
      <w:r>
        <w:rPr>
          <w:color w:val="383638"/>
          <w:w w:val="110"/>
        </w:rPr>
        <w:t>over,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unless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new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evidence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appears</w:t>
      </w:r>
      <w:r>
        <w:rPr>
          <w:color w:val="525254"/>
          <w:w w:val="110"/>
        </w:rPr>
        <w:t>.</w:t>
      </w:r>
    </w:p>
    <w:p>
      <w:pPr>
        <w:pStyle w:val="BodyText"/>
        <w:spacing w:before="4"/>
        <w:rPr>
          <w:sz w:val="35"/>
        </w:rPr>
      </w:pPr>
    </w:p>
    <w:p>
      <w:pPr>
        <w:spacing w:before="0"/>
        <w:ind w:left="0" w:right="7111" w:firstLine="0"/>
        <w:jc w:val="right"/>
        <w:rPr>
          <w:rFonts w:ascii="Arial"/>
          <w:b/>
          <w:sz w:val="28"/>
        </w:rPr>
      </w:pPr>
      <w:r>
        <w:rPr>
          <w:rFonts w:ascii="Arial"/>
          <w:b/>
          <w:color w:val="383638"/>
          <w:w w:val="105"/>
          <w:sz w:val="28"/>
        </w:rPr>
        <w:t>14.4</w:t>
      </w:r>
      <w:r>
        <w:rPr>
          <w:rFonts w:ascii="Arial"/>
          <w:b/>
          <w:color w:val="525254"/>
          <w:w w:val="105"/>
          <w:sz w:val="28"/>
        </w:rPr>
        <w:t>.</w:t>
      </w:r>
      <w:r>
        <w:rPr>
          <w:rFonts w:ascii="Arial"/>
          <w:b/>
          <w:color w:val="383638"/>
          <w:w w:val="105"/>
          <w:sz w:val="28"/>
        </w:rPr>
        <w:t>3</w:t>
      </w:r>
    </w:p>
    <w:p>
      <w:pPr>
        <w:spacing w:before="52"/>
        <w:ind w:left="784" w:right="0" w:firstLine="0"/>
        <w:jc w:val="left"/>
        <w:rPr>
          <w:rFonts w:ascii="Arial"/>
          <w:sz w:val="21"/>
        </w:rPr>
      </w:pPr>
      <w:r>
        <w:rPr>
          <w:rFonts w:ascii="Arial"/>
          <w:color w:val="383638"/>
          <w:w w:val="105"/>
          <w:sz w:val="21"/>
        </w:rPr>
        <w:t>POLISHING</w:t>
      </w:r>
      <w:r>
        <w:rPr>
          <w:rFonts w:ascii="Arial"/>
          <w:color w:val="383638"/>
          <w:spacing w:val="25"/>
          <w:w w:val="105"/>
          <w:sz w:val="21"/>
        </w:rPr>
        <w:t> </w:t>
      </w:r>
      <w:r>
        <w:rPr>
          <w:rFonts w:ascii="Arial"/>
          <w:color w:val="383638"/>
          <w:w w:val="105"/>
          <w:sz w:val="21"/>
        </w:rPr>
        <w:t>THE</w:t>
      </w:r>
      <w:r>
        <w:rPr>
          <w:rFonts w:ascii="Arial"/>
          <w:color w:val="383638"/>
          <w:spacing w:val="3"/>
          <w:w w:val="105"/>
          <w:sz w:val="21"/>
        </w:rPr>
        <w:t> </w:t>
      </w:r>
      <w:r>
        <w:rPr>
          <w:rFonts w:ascii="Arial"/>
          <w:color w:val="383638"/>
          <w:w w:val="105"/>
          <w:sz w:val="21"/>
        </w:rPr>
        <w:t>BRIEF</w:t>
      </w:r>
    </w:p>
    <w:p>
      <w:pPr>
        <w:pStyle w:val="BodyText"/>
        <w:spacing w:line="232" w:lineRule="auto" w:before="142"/>
        <w:ind w:left="432" w:right="767" w:firstLine="345"/>
        <w:jc w:val="both"/>
      </w:pPr>
      <w:r>
        <w:rPr>
          <w:color w:val="383638"/>
          <w:spacing w:val="-1"/>
          <w:w w:val="110"/>
        </w:rPr>
        <w:t>Particularly if you are not allowed </w:t>
      </w:r>
      <w:r>
        <w:rPr>
          <w:color w:val="383638"/>
          <w:w w:val="110"/>
        </w:rPr>
        <w:t>to seek faculty assistance, you must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work hard to see the brief through others' eyes as you edit and polish.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Imagine that your most demanding professor is reading the brief. What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would he or she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say? Where would he or she find weaknesses, unsup­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ported arguments, or inadequate analysis? When you are proofreading,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imagine your most demanding editor-perhaps a parent, a professor, or a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significant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other.</w:t>
      </w:r>
    </w:p>
    <w:p>
      <w:pPr>
        <w:pStyle w:val="BodyText"/>
        <w:spacing w:line="232" w:lineRule="auto" w:before="6"/>
        <w:ind w:left="425" w:right="732" w:firstLine="339"/>
        <w:jc w:val="both"/>
      </w:pPr>
      <w:r>
        <w:rPr>
          <w:color w:val="383638"/>
          <w:w w:val="110"/>
        </w:rPr>
        <w:t>The polishing advice given 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Chapter Twelve applies here, but  </w:t>
      </w:r>
      <w:r>
        <w:rPr>
          <w:color w:val="383638"/>
          <w:w w:val="110"/>
          <w:sz w:val="21"/>
        </w:rPr>
        <w:t>in</w:t>
      </w:r>
      <w:r>
        <w:rPr>
          <w:color w:val="383638"/>
          <w:spacing w:val="1"/>
          <w:w w:val="110"/>
          <w:sz w:val="21"/>
        </w:rPr>
        <w:t> </w:t>
      </w:r>
      <w:r>
        <w:rPr>
          <w:color w:val="383638"/>
          <w:w w:val="110"/>
        </w:rPr>
        <w:t>some ways, perfection is even more important for a moot court brief than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for any </w:t>
      </w:r>
      <w:r>
        <w:rPr>
          <w:i/>
          <w:color w:val="383638"/>
          <w:w w:val="110"/>
          <w:sz w:val="24"/>
        </w:rPr>
        <w:t>one </w:t>
      </w:r>
      <w:r>
        <w:rPr>
          <w:color w:val="383638"/>
          <w:w w:val="110"/>
        </w:rPr>
        <w:t>professional brief. While your reputation will suffer over the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long term if you</w:t>
      </w:r>
      <w:r>
        <w:rPr>
          <w:color w:val="383638"/>
          <w:w w:val="110"/>
        </w:rPr>
        <w:t> consistently have small errors in your briefs, it would be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extremely unusual for you to lose a case because of typographical errors,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wrong</w:t>
      </w:r>
      <w:r>
        <w:rPr>
          <w:color w:val="383638"/>
          <w:spacing w:val="-23"/>
          <w:w w:val="110"/>
        </w:rPr>
        <w:t> </w:t>
      </w:r>
      <w:r>
        <w:rPr>
          <w:color w:val="383638"/>
          <w:w w:val="110"/>
        </w:rPr>
        <w:t>font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size,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or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some</w:t>
      </w:r>
      <w:r>
        <w:rPr>
          <w:color w:val="383638"/>
          <w:spacing w:val="-27"/>
          <w:w w:val="110"/>
        </w:rPr>
        <w:t> </w:t>
      </w:r>
      <w:r>
        <w:rPr>
          <w:color w:val="383638"/>
          <w:w w:val="110"/>
        </w:rPr>
        <w:t>other minor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error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(of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course,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remember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cases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can and have been dismissed because counsel missed deadlines or violated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other more significant "format" rules of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court). In a close round in a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moot court competition, in contrast</w:t>
      </w:r>
      <w:r>
        <w:rPr>
          <w:color w:val="525254"/>
          <w:w w:val="110"/>
        </w:rPr>
        <w:t>, </w:t>
      </w:r>
      <w:r>
        <w:rPr>
          <w:color w:val="383638"/>
          <w:w w:val="110"/>
        </w:rPr>
        <w:t>a few points off for citation form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errors or for using the wrong font size can mean the difference between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victory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49"/>
          <w:w w:val="110"/>
        </w:rPr>
        <w:t> </w:t>
      </w:r>
      <w:r>
        <w:rPr>
          <w:color w:val="383638"/>
          <w:w w:val="110"/>
        </w:rPr>
        <w:t>defeat.</w:t>
      </w:r>
    </w:p>
    <w:p>
      <w:pPr>
        <w:pStyle w:val="BodyText"/>
        <w:spacing w:line="232" w:lineRule="auto" w:before="19"/>
        <w:ind w:left="425" w:right="703" w:firstLine="329"/>
        <w:jc w:val="both"/>
      </w:pPr>
      <w:r>
        <w:rPr>
          <w:color w:val="383638"/>
          <w:w w:val="110"/>
        </w:rPr>
        <w:t>Thus, take care with your proofreading.  Be sure to leave enough time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to</w:t>
      </w:r>
      <w:r>
        <w:rPr>
          <w:color w:val="383638"/>
          <w:spacing w:val="-38"/>
          <w:w w:val="110"/>
        </w:rPr>
        <w:t> </w:t>
      </w:r>
      <w:r>
        <w:rPr>
          <w:color w:val="383638"/>
          <w:spacing w:val="-1"/>
          <w:w w:val="110"/>
        </w:rPr>
        <w:t>allow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reprint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brief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after</w:t>
      </w:r>
      <w:r>
        <w:rPr>
          <w:color w:val="383638"/>
          <w:spacing w:val="-25"/>
          <w:w w:val="110"/>
        </w:rPr>
        <w:t> </w:t>
      </w:r>
      <w:r>
        <w:rPr>
          <w:color w:val="383638"/>
          <w:w w:val="110"/>
        </w:rPr>
        <w:t>correcting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errors.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Also,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be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sure</w:t>
      </w:r>
      <w:r>
        <w:rPr>
          <w:color w:val="383638"/>
          <w:spacing w:val="-21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read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brief from beginning to end, from the docket number to the certificate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service</w:t>
      </w:r>
      <w:r>
        <w:rPr>
          <w:color w:val="525254"/>
          <w:w w:val="110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0"/>
        <w:ind w:left="0" w:right="7013" w:firstLine="0"/>
        <w:jc w:val="right"/>
        <w:rPr>
          <w:rFonts w:ascii="Arial"/>
          <w:b/>
          <w:sz w:val="32"/>
        </w:rPr>
      </w:pPr>
      <w:r>
        <w:rPr>
          <w:rFonts w:ascii="Arial"/>
          <w:b/>
          <w:color w:val="383638"/>
          <w:w w:val="110"/>
          <w:sz w:val="32"/>
        </w:rPr>
        <w:t>14.5</w:t>
      </w:r>
    </w:p>
    <w:p>
      <w:pPr>
        <w:spacing w:before="73"/>
        <w:ind w:left="1022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383638"/>
          <w:w w:val="105"/>
          <w:sz w:val="26"/>
        </w:rPr>
        <w:t>PRACTICE ARGUM</w:t>
      </w:r>
      <w:r>
        <w:rPr>
          <w:rFonts w:ascii="Arial"/>
          <w:b/>
          <w:color w:val="525254"/>
          <w:w w:val="105"/>
          <w:sz w:val="26"/>
        </w:rPr>
        <w:t>E</w:t>
      </w:r>
      <w:r>
        <w:rPr>
          <w:rFonts w:ascii="Arial"/>
          <w:b/>
          <w:color w:val="383638"/>
          <w:w w:val="105"/>
          <w:sz w:val="26"/>
        </w:rPr>
        <w:t>NTS</w:t>
      </w: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232" w:lineRule="auto"/>
        <w:ind w:left="426" w:right="654" w:firstLine="582"/>
        <w:jc w:val="both"/>
      </w:pPr>
      <w:r>
        <w:rPr>
          <w:color w:val="383638"/>
          <w:w w:val="115"/>
        </w:rPr>
        <w:t>Hold as many practice arguments as you can. Practice arguments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do two things: First, they teach you about your case by presenting new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questions</w:t>
      </w:r>
      <w:r>
        <w:rPr>
          <w:color w:val="383638"/>
          <w:spacing w:val="43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49"/>
          <w:w w:val="115"/>
        </w:rPr>
        <w:t> </w:t>
      </w:r>
      <w:r>
        <w:rPr>
          <w:color w:val="383638"/>
          <w:w w:val="115"/>
        </w:rPr>
        <w:t>you</w:t>
      </w:r>
      <w:r>
        <w:rPr>
          <w:color w:val="383638"/>
          <w:spacing w:val="62"/>
          <w:w w:val="115"/>
        </w:rPr>
        <w:t> </w:t>
      </w:r>
      <w:r>
        <w:rPr>
          <w:color w:val="383638"/>
          <w:w w:val="115"/>
        </w:rPr>
        <w:t>and</w:t>
      </w:r>
      <w:r>
        <w:rPr>
          <w:color w:val="383638"/>
          <w:spacing w:val="9"/>
          <w:w w:val="115"/>
        </w:rPr>
        <w:t> </w:t>
      </w:r>
      <w:r>
        <w:rPr>
          <w:color w:val="383638"/>
          <w:w w:val="115"/>
        </w:rPr>
        <w:t>giving</w:t>
      </w:r>
      <w:r>
        <w:rPr>
          <w:color w:val="383638"/>
          <w:spacing w:val="22"/>
          <w:w w:val="115"/>
        </w:rPr>
        <w:t> </w:t>
      </w:r>
      <w:r>
        <w:rPr>
          <w:color w:val="383638"/>
          <w:w w:val="115"/>
        </w:rPr>
        <w:t>you</w:t>
      </w:r>
      <w:r>
        <w:rPr>
          <w:color w:val="383638"/>
          <w:spacing w:val="37"/>
          <w:w w:val="115"/>
        </w:rPr>
        <w:t> </w:t>
      </w:r>
      <w:r>
        <w:rPr>
          <w:color w:val="383638"/>
          <w:w w:val="115"/>
        </w:rPr>
        <w:t>a</w:t>
      </w:r>
      <w:r>
        <w:rPr>
          <w:color w:val="383638"/>
          <w:spacing w:val="36"/>
          <w:w w:val="115"/>
        </w:rPr>
        <w:t> </w:t>
      </w:r>
      <w:r>
        <w:rPr>
          <w:color w:val="383638"/>
          <w:w w:val="115"/>
        </w:rPr>
        <w:t>chance</w:t>
      </w:r>
      <w:r>
        <w:rPr>
          <w:color w:val="383638"/>
          <w:spacing w:val="40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33"/>
          <w:w w:val="115"/>
        </w:rPr>
        <w:t> </w:t>
      </w:r>
      <w:r>
        <w:rPr>
          <w:color w:val="383638"/>
          <w:w w:val="115"/>
        </w:rPr>
        <w:t>consider</w:t>
      </w:r>
      <w:r>
        <w:rPr>
          <w:color w:val="383638"/>
          <w:spacing w:val="42"/>
          <w:w w:val="115"/>
        </w:rPr>
        <w:t> </w:t>
      </w:r>
      <w:r>
        <w:rPr>
          <w:color w:val="383638"/>
          <w:w w:val="115"/>
        </w:rPr>
        <w:t>your</w:t>
      </w:r>
      <w:r>
        <w:rPr>
          <w:color w:val="383638"/>
          <w:spacing w:val="32"/>
          <w:w w:val="115"/>
        </w:rPr>
        <w:t> </w:t>
      </w:r>
      <w:r>
        <w:rPr>
          <w:color w:val="383638"/>
          <w:w w:val="115"/>
        </w:rPr>
        <w:t>answers.</w:t>
      </w:r>
    </w:p>
    <w:p>
      <w:pPr>
        <w:spacing w:after="0" w:line="232" w:lineRule="auto"/>
        <w:jc w:val="both"/>
        <w:sectPr>
          <w:headerReference w:type="default" r:id="rId360"/>
          <w:pgSz w:w="9450" w:h="13990"/>
          <w:pgMar w:header="0" w:footer="0" w:top="0" w:bottom="0" w:left="0" w:right="720"/>
        </w:sectPr>
      </w:pPr>
    </w:p>
    <w:p>
      <w:pPr>
        <w:pStyle w:val="BodyText"/>
        <w:spacing w:line="244" w:lineRule="auto" w:before="81"/>
        <w:ind w:left="667" w:right="106" w:hanging="16"/>
        <w:jc w:val="both"/>
      </w:pPr>
      <w:r>
        <w:rPr>
          <w:color w:val="383636"/>
          <w:w w:val="110"/>
        </w:rPr>
        <w:t>Second, they give you needed practice to polish your performance for the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competition.</w:t>
      </w:r>
    </w:p>
    <w:p>
      <w:pPr>
        <w:pStyle w:val="BodyText"/>
        <w:spacing w:line="233" w:lineRule="exact"/>
        <w:ind w:left="1049"/>
        <w:jc w:val="both"/>
      </w:pPr>
      <w:r>
        <w:rPr>
          <w:color w:val="383636"/>
          <w:w w:val="110"/>
        </w:rPr>
        <w:t>You</w:t>
      </w:r>
      <w:r>
        <w:rPr>
          <w:color w:val="383636"/>
          <w:spacing w:val="-5"/>
          <w:w w:val="110"/>
        </w:rPr>
        <w:t> </w:t>
      </w:r>
      <w:r>
        <w:rPr>
          <w:color w:val="383636"/>
          <w:w w:val="110"/>
        </w:rPr>
        <w:t>should</w:t>
      </w:r>
      <w:r>
        <w:rPr>
          <w:color w:val="383636"/>
          <w:spacing w:val="22"/>
          <w:w w:val="110"/>
        </w:rPr>
        <w:t> </w:t>
      </w:r>
      <w:r>
        <w:rPr>
          <w:color w:val="383636"/>
          <w:w w:val="110"/>
        </w:rPr>
        <w:t>recruit</w:t>
      </w:r>
      <w:r>
        <w:rPr>
          <w:color w:val="383636"/>
          <w:spacing w:val="6"/>
          <w:w w:val="110"/>
        </w:rPr>
        <w:t> </w:t>
      </w:r>
      <w:r>
        <w:rPr>
          <w:color w:val="383636"/>
          <w:w w:val="110"/>
        </w:rPr>
        <w:t>as</w:t>
      </w:r>
      <w:r>
        <w:rPr>
          <w:color w:val="383636"/>
          <w:spacing w:val="7"/>
          <w:w w:val="110"/>
        </w:rPr>
        <w:t> </w:t>
      </w:r>
      <w:r>
        <w:rPr>
          <w:color w:val="383636"/>
          <w:w w:val="110"/>
        </w:rPr>
        <w:t>many</w:t>
      </w:r>
      <w:r>
        <w:rPr>
          <w:color w:val="383636"/>
          <w:spacing w:val="37"/>
          <w:w w:val="110"/>
        </w:rPr>
        <w:t> </w:t>
      </w:r>
      <w:r>
        <w:rPr>
          <w:color w:val="383636"/>
          <w:w w:val="110"/>
        </w:rPr>
        <w:t>judges</w:t>
      </w:r>
      <w:r>
        <w:rPr>
          <w:color w:val="383636"/>
          <w:spacing w:val="-3"/>
          <w:w w:val="110"/>
        </w:rPr>
        <w:t> </w:t>
      </w:r>
      <w:r>
        <w:rPr>
          <w:color w:val="383636"/>
          <w:w w:val="110"/>
        </w:rPr>
        <w:t>as</w:t>
      </w:r>
      <w:r>
        <w:rPr>
          <w:color w:val="383636"/>
          <w:spacing w:val="14"/>
          <w:w w:val="110"/>
        </w:rPr>
        <w:t> </w:t>
      </w:r>
      <w:r>
        <w:rPr>
          <w:color w:val="383636"/>
          <w:w w:val="110"/>
        </w:rPr>
        <w:t>you</w:t>
      </w:r>
      <w:r>
        <w:rPr>
          <w:color w:val="383636"/>
          <w:spacing w:val="36"/>
          <w:w w:val="110"/>
        </w:rPr>
        <w:t> </w:t>
      </w:r>
      <w:r>
        <w:rPr>
          <w:color w:val="383636"/>
          <w:w w:val="110"/>
        </w:rPr>
        <w:t>can</w:t>
      </w:r>
      <w:r>
        <w:rPr>
          <w:color w:val="383636"/>
          <w:spacing w:val="33"/>
          <w:w w:val="110"/>
        </w:rPr>
        <w:t> </w:t>
      </w:r>
      <w:r>
        <w:rPr>
          <w:color w:val="383636"/>
          <w:w w:val="110"/>
        </w:rPr>
        <w:t>beg,</w:t>
      </w:r>
      <w:r>
        <w:rPr>
          <w:color w:val="383636"/>
          <w:spacing w:val="6"/>
          <w:w w:val="110"/>
        </w:rPr>
        <w:t> </w:t>
      </w:r>
      <w:r>
        <w:rPr>
          <w:color w:val="383636"/>
          <w:w w:val="110"/>
        </w:rPr>
        <w:t>borrow,</w:t>
      </w:r>
      <w:r>
        <w:rPr>
          <w:color w:val="383636"/>
          <w:spacing w:val="7"/>
          <w:w w:val="110"/>
        </w:rPr>
        <w:t> </w:t>
      </w:r>
      <w:r>
        <w:rPr>
          <w:color w:val="383636"/>
          <w:w w:val="110"/>
        </w:rPr>
        <w:t>or</w:t>
      </w:r>
      <w:r>
        <w:rPr>
          <w:color w:val="383636"/>
          <w:spacing w:val="5"/>
          <w:w w:val="110"/>
        </w:rPr>
        <w:t> </w:t>
      </w:r>
      <w:r>
        <w:rPr>
          <w:color w:val="383636"/>
          <w:w w:val="110"/>
        </w:rPr>
        <w:t>steal.</w:t>
      </w:r>
    </w:p>
    <w:p>
      <w:pPr>
        <w:pStyle w:val="BodyText"/>
        <w:spacing w:line="235" w:lineRule="auto" w:before="2"/>
        <w:ind w:left="667" w:right="103" w:firstLine="2"/>
        <w:jc w:val="both"/>
      </w:pPr>
      <w:r>
        <w:rPr>
          <w:color w:val="383636"/>
          <w:w w:val="115"/>
        </w:rPr>
        <w:t>Ideally, you should begin to plan a schedule of practice arguments as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early</w:t>
      </w:r>
      <w:r>
        <w:rPr>
          <w:color w:val="383636"/>
          <w:spacing w:val="-15"/>
          <w:w w:val="115"/>
        </w:rPr>
        <w:t> </w:t>
      </w:r>
      <w:r>
        <w:rPr>
          <w:color w:val="383636"/>
          <w:w w:val="115"/>
        </w:rPr>
        <w:t>as</w:t>
      </w:r>
      <w:r>
        <w:rPr>
          <w:color w:val="383636"/>
          <w:spacing w:val="-5"/>
          <w:w w:val="115"/>
        </w:rPr>
        <w:t> </w:t>
      </w:r>
      <w:r>
        <w:rPr>
          <w:color w:val="383636"/>
          <w:w w:val="115"/>
        </w:rPr>
        <w:t>possible.</w:t>
      </w:r>
      <w:r>
        <w:rPr>
          <w:color w:val="383636"/>
          <w:spacing w:val="-4"/>
          <w:w w:val="115"/>
        </w:rPr>
        <w:t> </w:t>
      </w:r>
      <w:r>
        <w:rPr>
          <w:color w:val="383636"/>
          <w:w w:val="115"/>
        </w:rPr>
        <w:t>Rules</w:t>
      </w:r>
      <w:r>
        <w:rPr>
          <w:color w:val="383636"/>
          <w:spacing w:val="-14"/>
          <w:w w:val="115"/>
        </w:rPr>
        <w:t> </w:t>
      </w:r>
      <w:r>
        <w:rPr>
          <w:color w:val="383636"/>
          <w:w w:val="115"/>
        </w:rPr>
        <w:t>often</w:t>
      </w:r>
      <w:r>
        <w:rPr>
          <w:color w:val="383636"/>
          <w:spacing w:val="-1"/>
          <w:w w:val="115"/>
        </w:rPr>
        <w:t> </w:t>
      </w:r>
      <w:r>
        <w:rPr>
          <w:color w:val="383636"/>
          <w:w w:val="115"/>
        </w:rPr>
        <w:t>prohibit</w:t>
      </w:r>
      <w:r>
        <w:rPr>
          <w:color w:val="383636"/>
          <w:spacing w:val="-5"/>
          <w:w w:val="115"/>
        </w:rPr>
        <w:t> </w:t>
      </w:r>
      <w:r>
        <w:rPr>
          <w:color w:val="383636"/>
          <w:w w:val="115"/>
        </w:rPr>
        <w:t>holding</w:t>
      </w:r>
      <w:r>
        <w:rPr>
          <w:color w:val="383636"/>
          <w:spacing w:val="-3"/>
          <w:w w:val="115"/>
        </w:rPr>
        <w:t> </w:t>
      </w:r>
      <w:r>
        <w:rPr>
          <w:color w:val="383636"/>
          <w:w w:val="115"/>
        </w:rPr>
        <w:t>practice</w:t>
      </w:r>
      <w:r>
        <w:rPr>
          <w:color w:val="383636"/>
          <w:spacing w:val="-9"/>
          <w:w w:val="115"/>
        </w:rPr>
        <w:t> </w:t>
      </w:r>
      <w:r>
        <w:rPr>
          <w:color w:val="383636"/>
          <w:w w:val="115"/>
        </w:rPr>
        <w:t>arguments</w:t>
      </w:r>
      <w:r>
        <w:rPr>
          <w:color w:val="383636"/>
          <w:spacing w:val="-13"/>
          <w:w w:val="115"/>
        </w:rPr>
        <w:t> </w:t>
      </w:r>
      <w:r>
        <w:rPr>
          <w:color w:val="383636"/>
          <w:w w:val="115"/>
        </w:rPr>
        <w:t>until</w:t>
      </w:r>
      <w:r>
        <w:rPr>
          <w:color w:val="383636"/>
          <w:spacing w:val="-64"/>
          <w:w w:val="115"/>
        </w:rPr>
        <w:t> </w:t>
      </w:r>
      <w:r>
        <w:rPr>
          <w:color w:val="383636"/>
          <w:w w:val="115"/>
        </w:rPr>
        <w:t>after the briefs are filed, but that doesn't mean you can't get them on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your schedule. Take advantage of the time leading up to the brief due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date to get as many practice arguments as pos</w:t>
      </w:r>
      <w:r>
        <w:rPr>
          <w:color w:val="525254"/>
          <w:w w:val="115"/>
        </w:rPr>
        <w:t>s</w:t>
      </w:r>
      <w:r>
        <w:rPr>
          <w:color w:val="383636"/>
          <w:w w:val="115"/>
        </w:rPr>
        <w:t>ible on your post-due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date schedule</w:t>
      </w:r>
      <w:r>
        <w:rPr>
          <w:color w:val="525254"/>
          <w:w w:val="110"/>
        </w:rPr>
        <w:t>. </w:t>
      </w:r>
      <w:r>
        <w:rPr>
          <w:color w:val="383636"/>
          <w:w w:val="110"/>
        </w:rPr>
        <w:t>The more different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judges you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have, the more different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questions you will be exposed to, and  the  less frequently you will face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unexpected question at the competition. At each practice, one of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team members not at the podium should be assigned the task of record­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ing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all of the questions that areasked. The team can study them later to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identify questions that require more research or thought. Furthermore,</w:t>
      </w:r>
      <w:r>
        <w:rPr>
          <w:color w:val="383636"/>
          <w:spacing w:val="-64"/>
          <w:w w:val="115"/>
        </w:rPr>
        <w:t> </w:t>
      </w:r>
      <w:r>
        <w:rPr>
          <w:color w:val="383636"/>
          <w:w w:val="110"/>
        </w:rPr>
        <w:t>you will discover which questions you are most likely to hear at the com­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5"/>
        </w:rPr>
        <w:t>petition, and you can take the time to develop strong answers to those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questions.</w:t>
      </w:r>
    </w:p>
    <w:p>
      <w:pPr>
        <w:pStyle w:val="BodyText"/>
        <w:spacing w:line="232" w:lineRule="exact"/>
        <w:ind w:left="1035"/>
        <w:jc w:val="both"/>
      </w:pPr>
      <w:r>
        <w:rPr>
          <w:color w:val="383636"/>
          <w:w w:val="110"/>
        </w:rPr>
        <w:t>The</w:t>
      </w:r>
      <w:r>
        <w:rPr>
          <w:color w:val="383636"/>
          <w:spacing w:val="-3"/>
          <w:w w:val="110"/>
        </w:rPr>
        <w:t> </w:t>
      </w:r>
      <w:r>
        <w:rPr>
          <w:color w:val="383636"/>
          <w:w w:val="110"/>
        </w:rPr>
        <w:t>typical</w:t>
      </w:r>
      <w:r>
        <w:rPr>
          <w:color w:val="383636"/>
          <w:spacing w:val="11"/>
          <w:w w:val="110"/>
        </w:rPr>
        <w:t> </w:t>
      </w:r>
      <w:r>
        <w:rPr>
          <w:color w:val="383636"/>
          <w:w w:val="110"/>
        </w:rPr>
        <w:t>format</w:t>
      </w:r>
      <w:r>
        <w:rPr>
          <w:color w:val="383636"/>
          <w:spacing w:val="18"/>
          <w:w w:val="110"/>
        </w:rPr>
        <w:t> </w:t>
      </w:r>
      <w:r>
        <w:rPr>
          <w:color w:val="383636"/>
          <w:w w:val="110"/>
        </w:rPr>
        <w:t>for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</w:t>
      </w:r>
      <w:r>
        <w:rPr>
          <w:color w:val="383636"/>
          <w:spacing w:val="24"/>
          <w:w w:val="110"/>
        </w:rPr>
        <w:t> </w:t>
      </w:r>
      <w:r>
        <w:rPr>
          <w:color w:val="383636"/>
          <w:w w:val="110"/>
        </w:rPr>
        <w:t>practice</w:t>
      </w:r>
      <w:r>
        <w:rPr>
          <w:color w:val="383636"/>
          <w:spacing w:val="8"/>
          <w:w w:val="110"/>
        </w:rPr>
        <w:t> </w:t>
      </w:r>
      <w:r>
        <w:rPr>
          <w:color w:val="383636"/>
          <w:w w:val="110"/>
        </w:rPr>
        <w:t>argument</w:t>
      </w:r>
      <w:r>
        <w:rPr>
          <w:color w:val="383636"/>
          <w:spacing w:val="14"/>
          <w:w w:val="110"/>
        </w:rPr>
        <w:t> </w:t>
      </w:r>
      <w:r>
        <w:rPr>
          <w:color w:val="383636"/>
          <w:w w:val="110"/>
        </w:rPr>
        <w:t>is</w:t>
      </w:r>
      <w:r>
        <w:rPr>
          <w:color w:val="383636"/>
          <w:spacing w:val="6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21"/>
          <w:w w:val="110"/>
        </w:rPr>
        <w:t> </w:t>
      </w:r>
      <w:r>
        <w:rPr>
          <w:color w:val="383636"/>
          <w:w w:val="110"/>
        </w:rPr>
        <w:t>treat</w:t>
      </w:r>
      <w:r>
        <w:rPr>
          <w:color w:val="383636"/>
          <w:spacing w:val="6"/>
          <w:w w:val="110"/>
        </w:rPr>
        <w:t> </w:t>
      </w:r>
      <w:r>
        <w:rPr>
          <w:color w:val="383636"/>
          <w:w w:val="110"/>
        </w:rPr>
        <w:t>it</w:t>
      </w:r>
      <w:r>
        <w:rPr>
          <w:color w:val="383636"/>
          <w:spacing w:val="19"/>
          <w:w w:val="110"/>
        </w:rPr>
        <w:t> </w:t>
      </w:r>
      <w:r>
        <w:rPr>
          <w:color w:val="383636"/>
          <w:w w:val="110"/>
        </w:rPr>
        <w:t>like</w:t>
      </w:r>
      <w:r>
        <w:rPr>
          <w:color w:val="383636"/>
          <w:spacing w:val="-14"/>
          <w:w w:val="110"/>
        </w:rPr>
        <w:t> </w:t>
      </w:r>
      <w:r>
        <w:rPr>
          <w:color w:val="383636"/>
          <w:w w:val="110"/>
        </w:rPr>
        <w:t>a</w:t>
      </w:r>
      <w:r>
        <w:rPr>
          <w:color w:val="383636"/>
          <w:spacing w:val="15"/>
          <w:w w:val="110"/>
        </w:rPr>
        <w:t> </w:t>
      </w:r>
      <w:r>
        <w:rPr>
          <w:color w:val="383636"/>
          <w:w w:val="110"/>
        </w:rPr>
        <w:t>regular</w:t>
      </w:r>
    </w:p>
    <w:p>
      <w:pPr>
        <w:pStyle w:val="BodyText"/>
        <w:spacing w:line="235" w:lineRule="auto" w:before="2"/>
        <w:ind w:left="654" w:right="100" w:firstLine="18"/>
        <w:jc w:val="both"/>
      </w:pPr>
      <w:r>
        <w:rPr>
          <w:color w:val="383636"/>
          <w:w w:val="115"/>
        </w:rPr>
        <w:t>moot court: to time it in the way that it will be timed at the competi­</w:t>
      </w:r>
      <w:r>
        <w:rPr>
          <w:color w:val="383636"/>
          <w:spacing w:val="1"/>
          <w:w w:val="115"/>
        </w:rPr>
        <w:t> </w:t>
      </w:r>
      <w:r>
        <w:rPr>
          <w:color w:val="383636"/>
          <w:spacing w:val="-1"/>
          <w:w w:val="115"/>
        </w:rPr>
        <w:t>tion and to hold a critique after </w:t>
      </w:r>
      <w:r>
        <w:rPr>
          <w:color w:val="383636"/>
          <w:w w:val="115"/>
        </w:rPr>
        <w:t>the argument. This format will be fine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for most of your practices. For at least some practices, however-perhaps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those with just your coach acting as judge-you maywant to break the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mold. If you get a question that stumps you, stop the clock and talk it out.</w:t>
      </w:r>
      <w:r>
        <w:rPr>
          <w:color w:val="383636"/>
          <w:spacing w:val="-61"/>
          <w:w w:val="110"/>
        </w:rPr>
        <w:t> </w:t>
      </w:r>
      <w:r>
        <w:rPr>
          <w:color w:val="383636"/>
          <w:spacing w:val="-1"/>
          <w:w w:val="115"/>
        </w:rPr>
        <w:t>Confer</w:t>
      </w:r>
      <w:r>
        <w:rPr>
          <w:color w:val="383636"/>
          <w:spacing w:val="-8"/>
          <w:w w:val="115"/>
        </w:rPr>
        <w:t> </w:t>
      </w:r>
      <w:r>
        <w:rPr>
          <w:color w:val="383636"/>
          <w:w w:val="115"/>
        </w:rPr>
        <w:t>with</w:t>
      </w:r>
      <w:r>
        <w:rPr>
          <w:color w:val="383636"/>
          <w:spacing w:val="-11"/>
          <w:w w:val="115"/>
        </w:rPr>
        <w:t> </w:t>
      </w:r>
      <w:r>
        <w:rPr>
          <w:color w:val="383636"/>
          <w:w w:val="115"/>
        </w:rPr>
        <w:t>your</w:t>
      </w:r>
      <w:r>
        <w:rPr>
          <w:color w:val="383636"/>
          <w:spacing w:val="-9"/>
          <w:w w:val="115"/>
        </w:rPr>
        <w:t> </w:t>
      </w:r>
      <w:r>
        <w:rPr>
          <w:color w:val="383636"/>
          <w:w w:val="115"/>
        </w:rPr>
        <w:t>teammates</w:t>
      </w:r>
      <w:r>
        <w:rPr>
          <w:color w:val="383636"/>
          <w:spacing w:val="-9"/>
          <w:w w:val="115"/>
        </w:rPr>
        <w:t> </w:t>
      </w:r>
      <w:r>
        <w:rPr>
          <w:color w:val="383636"/>
          <w:w w:val="115"/>
        </w:rPr>
        <w:t>or</w:t>
      </w:r>
      <w:r>
        <w:rPr>
          <w:color w:val="383636"/>
          <w:spacing w:val="-6"/>
          <w:w w:val="115"/>
        </w:rPr>
        <w:t> </w:t>
      </w:r>
      <w:r>
        <w:rPr>
          <w:color w:val="383636"/>
          <w:w w:val="115"/>
        </w:rPr>
        <w:t>your</w:t>
      </w:r>
      <w:r>
        <w:rPr>
          <w:color w:val="383636"/>
          <w:spacing w:val="-14"/>
          <w:w w:val="115"/>
        </w:rPr>
        <w:t> </w:t>
      </w:r>
      <w:r>
        <w:rPr>
          <w:color w:val="383636"/>
          <w:w w:val="115"/>
        </w:rPr>
        <w:t>coach</w:t>
      </w:r>
      <w:r>
        <w:rPr>
          <w:color w:val="383636"/>
          <w:spacing w:val="-7"/>
          <w:w w:val="115"/>
        </w:rPr>
        <w:t> </w:t>
      </w:r>
      <w:r>
        <w:rPr>
          <w:color w:val="383636"/>
          <w:w w:val="115"/>
        </w:rPr>
        <w:t>as</w:t>
      </w:r>
      <w:r>
        <w:rPr>
          <w:color w:val="383636"/>
          <w:spacing w:val="-7"/>
          <w:w w:val="115"/>
        </w:rPr>
        <w:t> </w:t>
      </w:r>
      <w:r>
        <w:rPr>
          <w:color w:val="383636"/>
          <w:w w:val="115"/>
        </w:rPr>
        <w:t>to</w:t>
      </w:r>
      <w:r>
        <w:rPr>
          <w:color w:val="383636"/>
          <w:spacing w:val="-7"/>
          <w:w w:val="115"/>
        </w:rPr>
        <w:t> </w:t>
      </w:r>
      <w:r>
        <w:rPr>
          <w:color w:val="383636"/>
          <w:w w:val="115"/>
        </w:rPr>
        <w:t>the</w:t>
      </w:r>
      <w:r>
        <w:rPr>
          <w:color w:val="383636"/>
          <w:spacing w:val="10"/>
          <w:w w:val="115"/>
        </w:rPr>
        <w:t> </w:t>
      </w:r>
      <w:r>
        <w:rPr>
          <w:color w:val="383636"/>
          <w:w w:val="115"/>
        </w:rPr>
        <w:t>best</w:t>
      </w:r>
      <w:r>
        <w:rPr>
          <w:color w:val="383636"/>
          <w:spacing w:val="-16"/>
          <w:w w:val="115"/>
        </w:rPr>
        <w:t> </w:t>
      </w:r>
      <w:r>
        <w:rPr>
          <w:color w:val="383636"/>
          <w:w w:val="115"/>
        </w:rPr>
        <w:t>way</w:t>
      </w:r>
      <w:r>
        <w:rPr>
          <w:color w:val="383636"/>
          <w:spacing w:val="-11"/>
          <w:w w:val="115"/>
        </w:rPr>
        <w:t> </w:t>
      </w:r>
      <w:r>
        <w:rPr>
          <w:color w:val="383636"/>
          <w:w w:val="115"/>
        </w:rPr>
        <w:t>to</w:t>
      </w:r>
      <w:r>
        <w:rPr>
          <w:color w:val="383636"/>
          <w:spacing w:val="-1"/>
          <w:w w:val="115"/>
        </w:rPr>
        <w:t> </w:t>
      </w:r>
      <w:r>
        <w:rPr>
          <w:color w:val="383636"/>
          <w:w w:val="115"/>
        </w:rPr>
        <w:t>handle</w:t>
      </w:r>
      <w:r>
        <w:rPr>
          <w:color w:val="383636"/>
          <w:spacing w:val="-64"/>
          <w:w w:val="115"/>
        </w:rPr>
        <w:t> </w:t>
      </w:r>
      <w:r>
        <w:rPr>
          <w:color w:val="383636"/>
          <w:w w:val="110"/>
        </w:rPr>
        <w:t>the question. </w:t>
      </w:r>
      <w:r>
        <w:rPr>
          <w:color w:val="383636"/>
          <w:w w:val="110"/>
          <w:sz w:val="22"/>
        </w:rPr>
        <w:t>If </w:t>
      </w:r>
      <w:r>
        <w:rPr>
          <w:color w:val="383636"/>
          <w:w w:val="110"/>
        </w:rPr>
        <w:t>you think you need to do more research, jot down ideas to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5"/>
        </w:rPr>
        <w:t>help</w:t>
      </w:r>
      <w:r>
        <w:rPr>
          <w:color w:val="383636"/>
          <w:spacing w:val="-22"/>
          <w:w w:val="115"/>
        </w:rPr>
        <w:t> </w:t>
      </w:r>
      <w:r>
        <w:rPr>
          <w:color w:val="383636"/>
          <w:w w:val="115"/>
        </w:rPr>
        <w:t>you</w:t>
      </w:r>
      <w:r>
        <w:rPr>
          <w:color w:val="383636"/>
          <w:spacing w:val="-10"/>
          <w:w w:val="115"/>
        </w:rPr>
        <w:t> </w:t>
      </w:r>
      <w:r>
        <w:rPr>
          <w:color w:val="383636"/>
          <w:w w:val="115"/>
        </w:rPr>
        <w:t>get</w:t>
      </w:r>
      <w:r>
        <w:rPr>
          <w:color w:val="383636"/>
          <w:spacing w:val="-6"/>
          <w:w w:val="115"/>
        </w:rPr>
        <w:t> </w:t>
      </w:r>
      <w:r>
        <w:rPr>
          <w:color w:val="383636"/>
          <w:w w:val="115"/>
        </w:rPr>
        <w:t>started.</w:t>
      </w:r>
    </w:p>
    <w:p>
      <w:pPr>
        <w:pStyle w:val="BodyText"/>
        <w:spacing w:line="232" w:lineRule="auto"/>
        <w:ind w:left="580" w:right="106" w:firstLine="425"/>
        <w:jc w:val="both"/>
      </w:pPr>
      <w:r>
        <w:rPr>
          <w:color w:val="383636"/>
          <w:w w:val="115"/>
        </w:rPr>
        <w:t>This type of practice can help</w:t>
      </w:r>
      <w:r>
        <w:rPr>
          <w:color w:val="AAACAF"/>
          <w:w w:val="115"/>
        </w:rPr>
        <w:t>.</w:t>
      </w:r>
      <w:r>
        <w:rPr>
          <w:color w:val="383636"/>
          <w:w w:val="115"/>
        </w:rPr>
        <w:t>to improve the presentation of your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most important points. Although in real life judges do not particularly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care about diction, an advocate whose arguments are easier to understand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  <w:sz w:val="22"/>
        </w:rPr>
        <w:t>will </w:t>
      </w:r>
      <w:r>
        <w:rPr>
          <w:color w:val="383636"/>
          <w:w w:val="110"/>
        </w:rPr>
        <w:t>score more points than one who struggles to put his or her thoughts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into words. If you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have a good answer but cannot phrase it effectively, stop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and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take the time to figure out the best way to make your point. Strong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subject-verb combinations and concrete language are even more impor­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tant to easy comprehension in oral argument than they are in writing</w:t>
      </w:r>
      <w:r>
        <w:rPr>
          <w:color w:val="525254"/>
          <w:w w:val="115"/>
        </w:rPr>
        <w:t>.</w:t>
      </w:r>
      <w:r>
        <w:rPr>
          <w:color w:val="525254"/>
          <w:spacing w:val="1"/>
          <w:w w:val="115"/>
        </w:rPr>
        <w:t> </w:t>
      </w:r>
      <w:r>
        <w:rPr>
          <w:color w:val="383636"/>
          <w:w w:val="110"/>
        </w:rPr>
        <w:t>Instead of saying, e.g., "The concerns over officer safety that justified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search incident to an arrest also justified the lesser intrusion presented by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issuance of a citation," say, "The search was justified because police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officers are in as much danger when they give a driver a ticket as when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they</w:t>
      </w:r>
      <w:r>
        <w:rPr>
          <w:color w:val="383636"/>
          <w:spacing w:val="-12"/>
          <w:w w:val="115"/>
        </w:rPr>
        <w:t> </w:t>
      </w:r>
      <w:r>
        <w:rPr>
          <w:color w:val="383636"/>
          <w:w w:val="115"/>
        </w:rPr>
        <w:t>put</w:t>
      </w:r>
      <w:r>
        <w:rPr>
          <w:color w:val="383636"/>
          <w:spacing w:val="-9"/>
          <w:w w:val="115"/>
        </w:rPr>
        <w:t> </w:t>
      </w:r>
      <w:r>
        <w:rPr>
          <w:color w:val="383636"/>
          <w:w w:val="115"/>
        </w:rPr>
        <w:t>a</w:t>
      </w:r>
      <w:r>
        <w:rPr>
          <w:color w:val="383636"/>
          <w:spacing w:val="-14"/>
          <w:w w:val="115"/>
        </w:rPr>
        <w:t> </w:t>
      </w:r>
      <w:r>
        <w:rPr>
          <w:color w:val="383636"/>
          <w:w w:val="115"/>
        </w:rPr>
        <w:t>driver</w:t>
      </w:r>
      <w:r>
        <w:rPr>
          <w:color w:val="383636"/>
          <w:spacing w:val="-7"/>
          <w:w w:val="115"/>
        </w:rPr>
        <w:t> </w:t>
      </w:r>
      <w:r>
        <w:rPr>
          <w:color w:val="383636"/>
          <w:w w:val="115"/>
        </w:rPr>
        <w:t>under</w:t>
      </w:r>
      <w:r>
        <w:rPr>
          <w:color w:val="383636"/>
          <w:spacing w:val="-16"/>
          <w:w w:val="115"/>
        </w:rPr>
        <w:t> </w:t>
      </w:r>
      <w:r>
        <w:rPr>
          <w:color w:val="383636"/>
          <w:w w:val="115"/>
        </w:rPr>
        <w:t>arrest</w:t>
      </w:r>
      <w:r>
        <w:rPr>
          <w:color w:val="525254"/>
          <w:w w:val="115"/>
        </w:rPr>
        <w:t>.</w:t>
      </w:r>
      <w:r>
        <w:rPr>
          <w:color w:val="383636"/>
          <w:w w:val="115"/>
        </w:rPr>
        <w:t>"</w:t>
      </w:r>
    </w:p>
    <w:p>
      <w:pPr>
        <w:pStyle w:val="BodyText"/>
        <w:spacing w:line="235" w:lineRule="auto"/>
        <w:ind w:left="548" w:right="108" w:firstLine="410"/>
        <w:jc w:val="both"/>
      </w:pPr>
      <w:r>
        <w:rPr>
          <w:color w:val="383636"/>
          <w:w w:val="115"/>
        </w:rPr>
        <w:t>In addition to planning how you will answer questions, you should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use your practice arguments to practice for "positions of emphasis" in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oral argument</w:t>
      </w:r>
      <w:r>
        <w:rPr>
          <w:color w:val="525254"/>
          <w:w w:val="115"/>
        </w:rPr>
        <w:t>: </w:t>
      </w:r>
      <w:r>
        <w:rPr>
          <w:color w:val="383636"/>
          <w:w w:val="115"/>
        </w:rPr>
        <w:t>the introduction and the conclusion. In addition, plan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how to deal with predictable problems, like a cold court or your oppo­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nent's</w:t>
      </w:r>
      <w:r>
        <w:rPr>
          <w:color w:val="383636"/>
          <w:spacing w:val="-14"/>
          <w:w w:val="115"/>
        </w:rPr>
        <w:t> </w:t>
      </w:r>
      <w:r>
        <w:rPr>
          <w:color w:val="383636"/>
          <w:w w:val="115"/>
        </w:rPr>
        <w:t>misstatements.</w:t>
      </w:r>
    </w:p>
    <w:p>
      <w:pPr>
        <w:spacing w:after="0" w:line="235" w:lineRule="auto"/>
        <w:jc w:val="both"/>
        <w:sectPr>
          <w:headerReference w:type="even" r:id="rId361"/>
          <w:pgSz w:w="9740" w:h="14030"/>
          <w:pgMar w:header="495" w:footer="0" w:top="1080" w:bottom="0" w:left="1360" w:right="160"/>
          <w:pgNumType w:start="320"/>
        </w:sectPr>
      </w:pPr>
    </w:p>
    <w:p>
      <w:pPr>
        <w:tabs>
          <w:tab w:pos="8283" w:val="right" w:leader="none"/>
        </w:tabs>
        <w:spacing w:before="69"/>
        <w:ind w:left="5565" w:right="0" w:firstLine="0"/>
        <w:jc w:val="left"/>
        <w:rPr>
          <w:rFonts w:ascii="Arial"/>
          <w:b/>
          <w:sz w:val="18"/>
        </w:rPr>
      </w:pPr>
      <w:r>
        <w:rPr>
          <w:color w:val="383638"/>
          <w:sz w:val="19"/>
        </w:rPr>
        <w:t>14.S</w:t>
      </w:r>
      <w:r>
        <w:rPr>
          <w:color w:val="383638"/>
          <w:spacing w:val="39"/>
          <w:sz w:val="19"/>
        </w:rPr>
        <w:t> </w:t>
      </w:r>
      <w:r>
        <w:rPr>
          <w:color w:val="383638"/>
          <w:sz w:val="19"/>
        </w:rPr>
        <w:t>Practice</w:t>
      </w:r>
      <w:r>
        <w:rPr>
          <w:color w:val="383638"/>
          <w:spacing w:val="-13"/>
          <w:sz w:val="19"/>
        </w:rPr>
        <w:t> </w:t>
      </w:r>
      <w:r>
        <w:rPr>
          <w:color w:val="383638"/>
          <w:sz w:val="19"/>
        </w:rPr>
        <w:t>Arguments</w:t>
        <w:tab/>
      </w:r>
      <w:r>
        <w:rPr>
          <w:rFonts w:ascii="Arial"/>
          <w:b/>
          <w:color w:val="383638"/>
          <w:sz w:val="18"/>
        </w:rPr>
        <w:t>321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4"/>
        </w:rPr>
      </w:pPr>
    </w:p>
    <w:p>
      <w:pPr>
        <w:spacing w:before="0"/>
        <w:ind w:left="414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6E7072"/>
          <w:w w:val="105"/>
          <w:sz w:val="27"/>
        </w:rPr>
        <w:t>14.5.1</w:t>
      </w:r>
    </w:p>
    <w:p>
      <w:pPr>
        <w:spacing w:before="55"/>
        <w:ind w:left="401" w:right="0" w:firstLine="0"/>
        <w:jc w:val="left"/>
        <w:rPr>
          <w:rFonts w:ascii="Arial"/>
          <w:sz w:val="22"/>
        </w:rPr>
      </w:pPr>
      <w:r>
        <w:rPr>
          <w:rFonts w:ascii="Arial"/>
          <w:color w:val="6E7072"/>
          <w:w w:val="105"/>
          <w:sz w:val="22"/>
        </w:rPr>
        <w:t>T</w:t>
      </w:r>
      <w:r>
        <w:rPr>
          <w:rFonts w:ascii="Arial"/>
          <w:color w:val="909195"/>
          <w:w w:val="105"/>
          <w:sz w:val="22"/>
        </w:rPr>
        <w:t>H</w:t>
      </w:r>
      <w:r>
        <w:rPr>
          <w:rFonts w:ascii="Arial"/>
          <w:color w:val="6E7072"/>
          <w:w w:val="105"/>
          <w:sz w:val="22"/>
        </w:rPr>
        <w:t>E</w:t>
      </w:r>
      <w:r>
        <w:rPr>
          <w:rFonts w:ascii="Arial"/>
          <w:color w:val="6E7072"/>
          <w:spacing w:val="-30"/>
          <w:w w:val="105"/>
          <w:sz w:val="22"/>
        </w:rPr>
        <w:t> </w:t>
      </w:r>
      <w:r>
        <w:rPr>
          <w:rFonts w:ascii="Arial"/>
          <w:color w:val="909195"/>
          <w:w w:val="105"/>
          <w:sz w:val="22"/>
        </w:rPr>
        <w:t>INTRODUCTION</w:t>
      </w:r>
    </w:p>
    <w:p>
      <w:pPr>
        <w:pStyle w:val="BodyText"/>
        <w:spacing w:line="235" w:lineRule="auto" w:before="118"/>
        <w:ind w:left="109" w:right="771" w:firstLine="342"/>
        <w:jc w:val="both"/>
      </w:pPr>
      <w:r>
        <w:rPr>
          <w:color w:val="383638"/>
          <w:w w:val="110"/>
        </w:rPr>
        <w:t>Because virtually every moot court competition features two oralists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on each team, the first speaker on each team faces another challenge.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Instead of the usual introduction, he or she must introduce the case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explain which issues each team member will address. Doing so is courte­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ous, for it helps the court to understand how things are organized. It is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also smart because it reduces the chances that one team member will be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asked about another's issues. After completing the introduction, pause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before moving to your part of the argument; doing so </w:t>
      </w:r>
      <w:r>
        <w:rPr>
          <w:color w:val="383638"/>
          <w:w w:val="115"/>
          <w:sz w:val="22"/>
        </w:rPr>
        <w:t>will </w:t>
      </w:r>
      <w:r>
        <w:rPr>
          <w:color w:val="383638"/>
          <w:w w:val="115"/>
        </w:rPr>
        <w:t>focus the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court</w:t>
      </w:r>
      <w:r>
        <w:rPr>
          <w:color w:val="545456"/>
          <w:w w:val="115"/>
        </w:rPr>
        <w:t>'</w:t>
      </w:r>
      <w:r>
        <w:rPr>
          <w:color w:val="383638"/>
          <w:w w:val="115"/>
        </w:rPr>
        <w:t>s</w:t>
      </w:r>
      <w:r>
        <w:rPr>
          <w:color w:val="383638"/>
          <w:spacing w:val="-8"/>
          <w:w w:val="115"/>
        </w:rPr>
        <w:t> </w:t>
      </w:r>
      <w:r>
        <w:rPr>
          <w:color w:val="383638"/>
          <w:w w:val="115"/>
        </w:rPr>
        <w:t>attention</w:t>
      </w:r>
      <w:r>
        <w:rPr>
          <w:color w:val="545456"/>
          <w:w w:val="115"/>
        </w:rPr>
        <w:t>.</w:t>
      </w:r>
    </w:p>
    <w:p>
      <w:pPr>
        <w:pStyle w:val="BodyText"/>
        <w:spacing w:line="235" w:lineRule="auto"/>
        <w:ind w:left="125" w:right="755" w:firstLine="313"/>
        <w:jc w:val="both"/>
      </w:pPr>
      <w:r>
        <w:rPr>
          <w:color w:val="383638"/>
          <w:w w:val="110"/>
        </w:rPr>
        <w:t>There are two common ways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present your introduction. The first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method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objective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method:</w:t>
      </w:r>
    </w:p>
    <w:p>
      <w:pPr>
        <w:spacing w:line="237" w:lineRule="auto" w:before="123"/>
        <w:ind w:left="445" w:right="1090" w:firstLine="5"/>
        <w:jc w:val="both"/>
        <w:rPr>
          <w:sz w:val="21"/>
        </w:rPr>
      </w:pPr>
      <w:r>
        <w:rPr>
          <w:b/>
          <w:color w:val="383638"/>
          <w:w w:val="110"/>
          <w:sz w:val="21"/>
        </w:rPr>
        <w:t>May it please the court. My name is Jennifer Manion, and along with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spacing w:val="-1"/>
          <w:w w:val="115"/>
          <w:sz w:val="21"/>
        </w:rPr>
        <w:t>my co-counsel, Susan Restrepo, </w:t>
      </w:r>
      <w:r>
        <w:rPr>
          <w:color w:val="383638"/>
          <w:w w:val="115"/>
          <w:sz w:val="21"/>
        </w:rPr>
        <w:t>I </w:t>
      </w:r>
      <w:r>
        <w:rPr>
          <w:b/>
          <w:color w:val="383638"/>
          <w:w w:val="115"/>
          <w:sz w:val="21"/>
        </w:rPr>
        <w:t>represent the Petitioners, Stitt </w:t>
      </w:r>
      <w:r>
        <w:rPr>
          <w:color w:val="383638"/>
          <w:w w:val="115"/>
          <w:sz w:val="19"/>
        </w:rPr>
        <w:t>&amp;</w:t>
      </w:r>
      <w:r>
        <w:rPr>
          <w:color w:val="383638"/>
          <w:spacing w:val="1"/>
          <w:w w:val="115"/>
          <w:sz w:val="19"/>
        </w:rPr>
        <w:t> </w:t>
      </w:r>
      <w:r>
        <w:rPr>
          <w:b/>
          <w:color w:val="383638"/>
          <w:w w:val="115"/>
          <w:sz w:val="21"/>
        </w:rPr>
        <w:t>Gallagher, Inc. At this time </w:t>
      </w:r>
      <w:r>
        <w:rPr>
          <w:color w:val="383638"/>
          <w:w w:val="115"/>
          <w:sz w:val="19"/>
        </w:rPr>
        <w:t>I </w:t>
      </w:r>
      <w:r>
        <w:rPr>
          <w:b/>
          <w:color w:val="383638"/>
          <w:w w:val="115"/>
          <w:sz w:val="21"/>
        </w:rPr>
        <w:t>would like to reserve two minutes for</w:t>
      </w:r>
      <w:r>
        <w:rPr>
          <w:b/>
          <w:color w:val="383638"/>
          <w:spacing w:val="-58"/>
          <w:w w:val="115"/>
          <w:sz w:val="21"/>
        </w:rPr>
        <w:t> </w:t>
      </w:r>
      <w:r>
        <w:rPr>
          <w:b/>
          <w:color w:val="383638"/>
          <w:w w:val="105"/>
          <w:sz w:val="21"/>
        </w:rPr>
        <w:t>rebuttal. Your honors, we are asking this Court to reverse the  decision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spacing w:val="-1"/>
          <w:w w:val="115"/>
          <w:sz w:val="21"/>
        </w:rPr>
        <w:t>of the Eighteenth </w:t>
      </w:r>
      <w:r>
        <w:rPr>
          <w:b/>
          <w:color w:val="383638"/>
          <w:w w:val="115"/>
          <w:sz w:val="21"/>
        </w:rPr>
        <w:t>Circuit Court of Appeals, which held that Stitt </w:t>
      </w:r>
      <w:r>
        <w:rPr>
          <w:color w:val="383638"/>
          <w:w w:val="115"/>
          <w:sz w:val="19"/>
        </w:rPr>
        <w:t>&amp;</w:t>
      </w:r>
      <w:r>
        <w:rPr>
          <w:color w:val="383638"/>
          <w:spacing w:val="-52"/>
          <w:w w:val="115"/>
          <w:sz w:val="19"/>
        </w:rPr>
        <w:t> </w:t>
      </w:r>
      <w:r>
        <w:rPr>
          <w:b/>
          <w:color w:val="383638"/>
          <w:w w:val="110"/>
          <w:sz w:val="21"/>
        </w:rPr>
        <w:t>Gallagher violated Mr</w:t>
      </w:r>
      <w:r>
        <w:rPr>
          <w:b/>
          <w:color w:val="545456"/>
          <w:w w:val="110"/>
          <w:sz w:val="21"/>
        </w:rPr>
        <w:t>. </w:t>
      </w:r>
      <w:r>
        <w:rPr>
          <w:b/>
          <w:color w:val="383638"/>
          <w:w w:val="110"/>
          <w:sz w:val="21"/>
        </w:rPr>
        <w:t>Jasiunas's constitutional rights when it fired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him</w:t>
      </w:r>
      <w:r>
        <w:rPr>
          <w:b/>
          <w:color w:val="545456"/>
          <w:w w:val="110"/>
          <w:sz w:val="21"/>
        </w:rPr>
        <w:t>. </w:t>
      </w:r>
      <w:r>
        <w:rPr>
          <w:color w:val="383638"/>
          <w:w w:val="110"/>
          <w:sz w:val="20"/>
        </w:rPr>
        <w:t>I will be </w:t>
      </w:r>
      <w:r>
        <w:rPr>
          <w:b/>
          <w:color w:val="383638"/>
          <w:w w:val="110"/>
          <w:sz w:val="21"/>
        </w:rPr>
        <w:t>addressing the privacy issue, and Ms. Restrepo will </w:t>
      </w:r>
      <w:r>
        <w:rPr>
          <w:color w:val="383638"/>
          <w:w w:val="110"/>
          <w:sz w:val="20"/>
        </w:rPr>
        <w:t>be</w:t>
      </w:r>
      <w:r>
        <w:rPr>
          <w:color w:val="383638"/>
          <w:spacing w:val="1"/>
          <w:w w:val="110"/>
          <w:sz w:val="20"/>
        </w:rPr>
        <w:t> </w:t>
      </w:r>
      <w:r>
        <w:rPr>
          <w:b/>
          <w:color w:val="383638"/>
          <w:w w:val="110"/>
          <w:sz w:val="21"/>
        </w:rPr>
        <w:t>addressing the issue of the applicability of the </w:t>
      </w:r>
      <w:r>
        <w:rPr>
          <w:rFonts w:ascii="Arial"/>
          <w:b/>
          <w:color w:val="383638"/>
          <w:w w:val="110"/>
          <w:sz w:val="21"/>
          <w:u w:val="thick" w:color="383638"/>
        </w:rPr>
        <w:t>McGuffin</w:t>
      </w:r>
      <w:r>
        <w:rPr>
          <w:rFonts w:ascii="Arial"/>
          <w:b/>
          <w:color w:val="38363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test</w:t>
      </w:r>
      <w:r>
        <w:rPr>
          <w:b/>
          <w:color w:val="545456"/>
          <w:w w:val="110"/>
          <w:sz w:val="21"/>
        </w:rPr>
        <w:t>. </w:t>
      </w:r>
      <w:r>
        <w:rPr>
          <w:b/>
          <w:color w:val="383638"/>
          <w:w w:val="110"/>
          <w:sz w:val="21"/>
        </w:rPr>
        <w:t>[Pause.]</w:t>
      </w:r>
      <w:r>
        <w:rPr>
          <w:b/>
          <w:color w:val="383638"/>
          <w:spacing w:val="-55"/>
          <w:w w:val="110"/>
          <w:sz w:val="21"/>
        </w:rPr>
        <w:t> </w:t>
      </w:r>
      <w:r>
        <w:rPr>
          <w:color w:val="383638"/>
          <w:w w:val="115"/>
          <w:sz w:val="21"/>
        </w:rPr>
        <w:t>Your honors, Stitt </w:t>
      </w:r>
      <w:r>
        <w:rPr>
          <w:color w:val="383638"/>
          <w:w w:val="115"/>
          <w:sz w:val="19"/>
        </w:rPr>
        <w:t>&amp; </w:t>
      </w:r>
      <w:r>
        <w:rPr>
          <w:color w:val="383638"/>
          <w:w w:val="115"/>
          <w:sz w:val="21"/>
        </w:rPr>
        <w:t>Gallagher</w:t>
      </w:r>
      <w:r>
        <w:rPr>
          <w:color w:val="545456"/>
          <w:w w:val="115"/>
          <w:sz w:val="21"/>
        </w:rPr>
        <w:t>,</w:t>
      </w:r>
      <w:r>
        <w:rPr>
          <w:color w:val="545456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Inc., did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not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violate Mr. Jasiunas's</w:t>
      </w:r>
      <w:r>
        <w:rPr>
          <w:color w:val="383638"/>
          <w:spacing w:val="1"/>
          <w:w w:val="115"/>
          <w:sz w:val="21"/>
        </w:rPr>
        <w:t> </w:t>
      </w:r>
      <w:r>
        <w:rPr>
          <w:b/>
          <w:color w:val="383638"/>
          <w:w w:val="110"/>
          <w:sz w:val="21"/>
        </w:rPr>
        <w:t>right to privacy when it dismissed him because of the contents of his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5"/>
          <w:sz w:val="21"/>
        </w:rPr>
        <w:t>e-mail</w:t>
      </w:r>
      <w:r>
        <w:rPr>
          <w:b/>
          <w:color w:val="383638"/>
          <w:spacing w:val="-1"/>
          <w:w w:val="115"/>
          <w:sz w:val="21"/>
        </w:rPr>
        <w:t> </w:t>
      </w:r>
      <w:r>
        <w:rPr>
          <w:b/>
          <w:color w:val="383638"/>
          <w:w w:val="120"/>
          <w:sz w:val="21"/>
        </w:rPr>
        <w:t>messages.</w:t>
      </w:r>
      <w:r>
        <w:rPr>
          <w:color w:val="383638"/>
          <w:w w:val="120"/>
          <w:sz w:val="21"/>
        </w:rPr>
        <w:t>...</w:t>
      </w:r>
    </w:p>
    <w:p>
      <w:pPr>
        <w:pStyle w:val="BodyText"/>
        <w:spacing w:line="235" w:lineRule="auto" w:before="146"/>
        <w:ind w:left="128" w:right="712"/>
        <w:jc w:val="both"/>
      </w:pPr>
      <w:r>
        <w:rPr>
          <w:color w:val="383638"/>
          <w:w w:val="115"/>
        </w:rPr>
        <w:t>On the other hand, you could deliver the same information in a more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argumentative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style:</w:t>
      </w:r>
    </w:p>
    <w:p>
      <w:pPr>
        <w:spacing w:line="232" w:lineRule="auto" w:before="138"/>
        <w:ind w:left="456" w:right="1031" w:firstLine="5"/>
        <w:jc w:val="both"/>
        <w:rPr>
          <w:b/>
          <w:sz w:val="21"/>
        </w:rPr>
      </w:pPr>
      <w:r>
        <w:rPr>
          <w:color w:val="383638"/>
          <w:w w:val="110"/>
          <w:sz w:val="21"/>
        </w:rPr>
        <w:t>May </w:t>
      </w:r>
      <w:r>
        <w:rPr>
          <w:color w:val="383638"/>
          <w:w w:val="110"/>
          <w:sz w:val="20"/>
        </w:rPr>
        <w:t>it </w:t>
      </w:r>
      <w:r>
        <w:rPr>
          <w:b/>
          <w:color w:val="383638"/>
          <w:w w:val="110"/>
          <w:sz w:val="21"/>
        </w:rPr>
        <w:t>please the court</w:t>
      </w:r>
      <w:r>
        <w:rPr>
          <w:b/>
          <w:color w:val="545456"/>
          <w:w w:val="110"/>
          <w:sz w:val="21"/>
        </w:rPr>
        <w:t>. </w:t>
      </w:r>
      <w:r>
        <w:rPr>
          <w:b/>
          <w:color w:val="383638"/>
          <w:w w:val="110"/>
          <w:sz w:val="21"/>
        </w:rPr>
        <w:t>My name is Jennifer Manion</w:t>
      </w:r>
      <w:r>
        <w:rPr>
          <w:b/>
          <w:color w:val="545456"/>
          <w:w w:val="110"/>
          <w:sz w:val="21"/>
        </w:rPr>
        <w:t>, </w:t>
      </w:r>
      <w:r>
        <w:rPr>
          <w:b/>
          <w:color w:val="383638"/>
          <w:w w:val="110"/>
          <w:sz w:val="21"/>
        </w:rPr>
        <w:t>and along with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my co-counsel, Susan Restrepo, </w:t>
      </w:r>
      <w:r>
        <w:rPr>
          <w:color w:val="383638"/>
          <w:w w:val="110"/>
          <w:sz w:val="21"/>
        </w:rPr>
        <w:t>I </w:t>
      </w:r>
      <w:r>
        <w:rPr>
          <w:b/>
          <w:color w:val="383638"/>
          <w:w w:val="110"/>
          <w:sz w:val="21"/>
        </w:rPr>
        <w:t>represent the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Petitioners, Stitt </w:t>
      </w:r>
      <w:r>
        <w:rPr>
          <w:color w:val="383638"/>
          <w:w w:val="110"/>
          <w:sz w:val="19"/>
        </w:rPr>
        <w:t>&amp;</w:t>
      </w:r>
      <w:r>
        <w:rPr>
          <w:color w:val="383638"/>
          <w:spacing w:val="1"/>
          <w:w w:val="110"/>
          <w:sz w:val="19"/>
        </w:rPr>
        <w:t> </w:t>
      </w:r>
      <w:r>
        <w:rPr>
          <w:b/>
          <w:color w:val="383638"/>
          <w:w w:val="110"/>
          <w:sz w:val="21"/>
        </w:rPr>
        <w:t>Gallagher, Inc. At this time </w:t>
      </w:r>
      <w:r>
        <w:rPr>
          <w:color w:val="383638"/>
          <w:w w:val="110"/>
          <w:sz w:val="21"/>
        </w:rPr>
        <w:t>I </w:t>
      </w:r>
      <w:r>
        <w:rPr>
          <w:b/>
          <w:color w:val="383638"/>
          <w:w w:val="110"/>
          <w:sz w:val="21"/>
        </w:rPr>
        <w:t>would like to reserve two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minutes for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rebuttal. Your honors, this Court should reverse the decision of the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Eighteenth Circuit Court of Appeals for two reasons. The first rea­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son, which </w:t>
      </w:r>
      <w:r>
        <w:rPr>
          <w:color w:val="383638"/>
          <w:w w:val="110"/>
          <w:sz w:val="21"/>
        </w:rPr>
        <w:t>I </w:t>
      </w:r>
      <w:r>
        <w:rPr>
          <w:b/>
          <w:color w:val="383638"/>
          <w:w w:val="110"/>
          <w:sz w:val="20"/>
        </w:rPr>
        <w:t>will </w:t>
      </w:r>
      <w:r>
        <w:rPr>
          <w:b/>
          <w:color w:val="383638"/>
          <w:w w:val="110"/>
          <w:sz w:val="21"/>
        </w:rPr>
        <w:t>explain, is that Stitt </w:t>
      </w:r>
      <w:r>
        <w:rPr>
          <w:color w:val="383638"/>
          <w:w w:val="110"/>
          <w:sz w:val="19"/>
        </w:rPr>
        <w:t>&amp; </w:t>
      </w:r>
      <w:r>
        <w:rPr>
          <w:b/>
          <w:color w:val="383638"/>
          <w:w w:val="110"/>
          <w:sz w:val="21"/>
        </w:rPr>
        <w:t>Gallagher,  </w:t>
      </w:r>
      <w:r>
        <w:rPr>
          <w:color w:val="383638"/>
          <w:w w:val="110"/>
          <w:sz w:val="21"/>
        </w:rPr>
        <w:t>Inc., </w:t>
      </w:r>
      <w:r>
        <w:rPr>
          <w:b/>
          <w:color w:val="383638"/>
          <w:w w:val="110"/>
          <w:sz w:val="21"/>
        </w:rPr>
        <w:t>did not vio­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spacing w:val="-1"/>
          <w:w w:val="110"/>
          <w:sz w:val="21"/>
        </w:rPr>
        <w:t>late Mr. Jasiunas's </w:t>
      </w:r>
      <w:r>
        <w:rPr>
          <w:b/>
          <w:color w:val="383638"/>
          <w:w w:val="110"/>
          <w:sz w:val="21"/>
        </w:rPr>
        <w:t>right to privacy when it dismissed him because of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 contents of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his e-mail messages. The s</w:t>
      </w:r>
      <w:r>
        <w:rPr>
          <w:b/>
          <w:color w:val="545456"/>
          <w:w w:val="110"/>
          <w:sz w:val="21"/>
        </w:rPr>
        <w:t>e</w:t>
      </w:r>
      <w:r>
        <w:rPr>
          <w:b/>
          <w:color w:val="383638"/>
          <w:w w:val="110"/>
          <w:sz w:val="21"/>
        </w:rPr>
        <w:t>cond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reason, which Ms.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Restrepo </w:t>
      </w:r>
      <w:r>
        <w:rPr>
          <w:b/>
          <w:color w:val="383638"/>
          <w:w w:val="110"/>
          <w:sz w:val="20"/>
        </w:rPr>
        <w:t>will </w:t>
      </w:r>
      <w:r>
        <w:rPr>
          <w:b/>
          <w:color w:val="383638"/>
          <w:w w:val="110"/>
          <w:sz w:val="21"/>
        </w:rPr>
        <w:t>explain, is that plaintiffs such as the Respondent are not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05"/>
          <w:sz w:val="21"/>
        </w:rPr>
        <w:t>entitled to recover under the </w:t>
      </w:r>
      <w:r>
        <w:rPr>
          <w:b/>
          <w:color w:val="383638"/>
          <w:w w:val="105"/>
          <w:sz w:val="24"/>
          <w:u w:val="thick" w:color="383638"/>
        </w:rPr>
        <w:t>M</w:t>
      </w:r>
      <w:r>
        <w:rPr>
          <w:b/>
          <w:color w:val="545456"/>
          <w:w w:val="105"/>
          <w:sz w:val="24"/>
          <w:u w:val="thick" w:color="383638"/>
        </w:rPr>
        <w:t>cG</w:t>
      </w:r>
      <w:r>
        <w:rPr>
          <w:b/>
          <w:color w:val="383638"/>
          <w:w w:val="105"/>
          <w:sz w:val="24"/>
          <w:u w:val="thick" w:color="383638"/>
        </w:rPr>
        <w:t>uffin</w:t>
      </w:r>
      <w:r>
        <w:rPr>
          <w:b/>
          <w:color w:val="383638"/>
          <w:w w:val="105"/>
          <w:sz w:val="24"/>
        </w:rPr>
        <w:t> </w:t>
      </w:r>
      <w:r>
        <w:rPr>
          <w:b/>
          <w:color w:val="383638"/>
          <w:w w:val="105"/>
          <w:sz w:val="21"/>
        </w:rPr>
        <w:t>test</w:t>
      </w:r>
      <w:r>
        <w:rPr>
          <w:b/>
          <w:color w:val="545456"/>
          <w:w w:val="105"/>
          <w:sz w:val="21"/>
        </w:rPr>
        <w:t>. </w:t>
      </w:r>
      <w:r>
        <w:rPr>
          <w:b/>
          <w:color w:val="383638"/>
          <w:w w:val="105"/>
          <w:sz w:val="21"/>
        </w:rPr>
        <w:t>[Pause.] Your honors, the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10"/>
          <w:sz w:val="21"/>
        </w:rPr>
        <w:t>Respondent has no privacy right in e-mails that he sends on company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time.</w:t>
      </w:r>
    </w:p>
    <w:p>
      <w:pPr>
        <w:pStyle w:val="BodyText"/>
        <w:spacing w:line="232" w:lineRule="auto" w:before="153"/>
        <w:ind w:left="135" w:right="620" w:hanging="1"/>
        <w:jc w:val="both"/>
      </w:pPr>
      <w:r>
        <w:rPr>
          <w:color w:val="383638"/>
          <w:w w:val="110"/>
        </w:rPr>
        <w:t>Although both introductions do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job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get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message across,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second example is more argumentative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may be seen as more persua­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sive</w:t>
      </w:r>
      <w:r>
        <w:rPr>
          <w:color w:val="545456"/>
          <w:w w:val="110"/>
        </w:rPr>
        <w:t>.</w:t>
      </w:r>
      <w:r>
        <w:rPr>
          <w:color w:val="545456"/>
          <w:spacing w:val="-15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must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identify</w:t>
      </w:r>
      <w:r>
        <w:rPr>
          <w:color w:val="383638"/>
          <w:spacing w:val="19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6"/>
          <w:w w:val="110"/>
        </w:rPr>
        <w:t> </w:t>
      </w:r>
      <w:r>
        <w:rPr>
          <w:color w:val="383638"/>
          <w:w w:val="110"/>
        </w:rPr>
        <w:t>introduction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works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best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for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you.</w:t>
      </w:r>
    </w:p>
    <w:p>
      <w:pPr>
        <w:spacing w:after="0" w:line="232" w:lineRule="auto"/>
        <w:jc w:val="both"/>
        <w:sectPr>
          <w:headerReference w:type="default" r:id="rId362"/>
          <w:pgSz w:w="9480" w:h="14030"/>
          <w:pgMar w:header="0" w:footer="0" w:top="500" w:bottom="280" w:left="220" w:right="860"/>
        </w:sectPr>
      </w:pPr>
    </w:p>
    <w:p>
      <w:pPr>
        <w:spacing w:before="19"/>
        <w:ind w:left="110" w:right="0" w:firstLine="0"/>
        <w:jc w:val="left"/>
        <w:rPr>
          <w:sz w:val="13"/>
        </w:rPr>
      </w:pPr>
      <w:r>
        <w:rPr>
          <w:color w:val="B1B3B5"/>
          <w:w w:val="102"/>
          <w:sz w:val="13"/>
        </w:rPr>
        <w:t>I</w:t>
      </w:r>
    </w:p>
    <w:p>
      <w:pPr>
        <w:pStyle w:val="BodyText"/>
        <w:spacing w:before="10"/>
        <w:rPr>
          <w:sz w:val="16"/>
        </w:rPr>
      </w:pPr>
    </w:p>
    <w:p>
      <w:pPr>
        <w:tabs>
          <w:tab w:pos="2052" w:val="left" w:leader="none"/>
        </w:tabs>
        <w:spacing w:before="92"/>
        <w:ind w:left="1306" w:right="0" w:firstLine="0"/>
        <w:jc w:val="left"/>
        <w:rPr>
          <w:rFonts w:ascii="Arial"/>
          <w:sz w:val="18"/>
        </w:rPr>
      </w:pPr>
      <w:r>
        <w:rPr>
          <w:b/>
          <w:color w:val="383638"/>
          <w:w w:val="105"/>
          <w:sz w:val="20"/>
        </w:rPr>
        <w:t>322</w:t>
        <w:tab/>
      </w:r>
      <w:r>
        <w:rPr>
          <w:rFonts w:ascii="Arial"/>
          <w:color w:val="383638"/>
          <w:sz w:val="18"/>
        </w:rPr>
        <w:t>Chapter</w:t>
      </w:r>
      <w:r>
        <w:rPr>
          <w:rFonts w:ascii="Arial"/>
          <w:color w:val="383638"/>
          <w:spacing w:val="1"/>
          <w:sz w:val="18"/>
        </w:rPr>
        <w:t> </w:t>
      </w:r>
      <w:r>
        <w:rPr>
          <w:rFonts w:ascii="Arial"/>
          <w:color w:val="383638"/>
          <w:sz w:val="18"/>
        </w:rPr>
        <w:t>Fourteen   </w:t>
      </w:r>
      <w:r>
        <w:rPr>
          <w:rFonts w:ascii="Arial"/>
          <w:color w:val="383638"/>
          <w:spacing w:val="28"/>
          <w:sz w:val="18"/>
        </w:rPr>
        <w:t> </w:t>
      </w:r>
      <w:r>
        <w:rPr>
          <w:rFonts w:ascii="Arial"/>
          <w:color w:val="383638"/>
          <w:sz w:val="18"/>
        </w:rPr>
        <w:t>Moot</w:t>
      </w:r>
      <w:r>
        <w:rPr>
          <w:rFonts w:ascii="Arial"/>
          <w:color w:val="383638"/>
          <w:spacing w:val="-8"/>
          <w:sz w:val="18"/>
        </w:rPr>
        <w:t> </w:t>
      </w:r>
      <w:r>
        <w:rPr>
          <w:rFonts w:ascii="Arial"/>
          <w:color w:val="383638"/>
          <w:sz w:val="18"/>
        </w:rPr>
        <w:t>Court</w:t>
      </w:r>
      <w:r>
        <w:rPr>
          <w:rFonts w:ascii="Arial"/>
          <w:color w:val="383638"/>
          <w:spacing w:val="-1"/>
          <w:sz w:val="18"/>
        </w:rPr>
        <w:t> </w:t>
      </w:r>
      <w:r>
        <w:rPr>
          <w:rFonts w:ascii="Arial"/>
          <w:color w:val="383638"/>
          <w:sz w:val="18"/>
        </w:rPr>
        <w:t>Competit</w:t>
      </w:r>
      <w:r>
        <w:rPr>
          <w:rFonts w:ascii="Arial"/>
          <w:color w:val="525252"/>
          <w:sz w:val="18"/>
        </w:rPr>
        <w:t>i</w:t>
      </w:r>
      <w:r>
        <w:rPr>
          <w:rFonts w:ascii="Arial"/>
          <w:color w:val="383638"/>
          <w:sz w:val="18"/>
        </w:rPr>
        <w:t>ons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11"/>
        <w:rPr>
          <w:rFonts w:ascii="Arial"/>
          <w:sz w:val="20"/>
        </w:rPr>
      </w:pPr>
    </w:p>
    <w:p>
      <w:pPr>
        <w:spacing w:before="0"/>
        <w:ind w:left="2453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83638"/>
          <w:w w:val="110"/>
          <w:sz w:val="28"/>
        </w:rPr>
        <w:t>14.5.2</w:t>
      </w:r>
    </w:p>
    <w:p>
      <w:pPr>
        <w:spacing w:before="33"/>
        <w:ind w:left="2449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383638"/>
          <w:w w:val="105"/>
          <w:sz w:val="22"/>
        </w:rPr>
        <w:t>PLANNING</w:t>
      </w:r>
      <w:r>
        <w:rPr>
          <w:rFonts w:ascii="Arial"/>
          <w:b/>
          <w:color w:val="383638"/>
          <w:spacing w:val="25"/>
          <w:w w:val="105"/>
          <w:sz w:val="22"/>
        </w:rPr>
        <w:t> </w:t>
      </w:r>
      <w:r>
        <w:rPr>
          <w:rFonts w:ascii="Arial"/>
          <w:b/>
          <w:color w:val="2A2628"/>
          <w:w w:val="105"/>
          <w:sz w:val="22"/>
        </w:rPr>
        <w:t>FOR</w:t>
      </w:r>
      <w:r>
        <w:rPr>
          <w:rFonts w:ascii="Arial"/>
          <w:b/>
          <w:color w:val="2A2628"/>
          <w:spacing w:val="10"/>
          <w:w w:val="105"/>
          <w:sz w:val="22"/>
        </w:rPr>
        <w:t> </w:t>
      </w:r>
      <w:r>
        <w:rPr>
          <w:rFonts w:ascii="Arial"/>
          <w:b/>
          <w:color w:val="383638"/>
          <w:w w:val="105"/>
          <w:sz w:val="22"/>
        </w:rPr>
        <w:t>AWKWARD</w:t>
      </w:r>
      <w:r>
        <w:rPr>
          <w:rFonts w:ascii="Arial"/>
          <w:b/>
          <w:color w:val="383638"/>
          <w:spacing w:val="14"/>
          <w:w w:val="105"/>
          <w:sz w:val="22"/>
        </w:rPr>
        <w:t> </w:t>
      </w:r>
      <w:r>
        <w:rPr>
          <w:rFonts w:ascii="Arial"/>
          <w:b/>
          <w:color w:val="383638"/>
          <w:w w:val="105"/>
          <w:sz w:val="22"/>
        </w:rPr>
        <w:t>MOMENTS</w:t>
      </w:r>
    </w:p>
    <w:p>
      <w:pPr>
        <w:pStyle w:val="ListParagraph"/>
        <w:numPr>
          <w:ilvl w:val="0"/>
          <w:numId w:val="117"/>
        </w:numPr>
        <w:tabs>
          <w:tab w:pos="2834" w:val="left" w:leader="none"/>
        </w:tabs>
        <w:spacing w:line="237" w:lineRule="exact" w:before="162" w:after="0"/>
        <w:ind w:left="2833" w:right="0" w:hanging="388"/>
        <w:jc w:val="both"/>
        <w:rPr>
          <w:b/>
          <w:color w:val="383638"/>
          <w:sz w:val="22"/>
        </w:rPr>
      </w:pPr>
      <w:r>
        <w:rPr>
          <w:b/>
          <w:color w:val="383638"/>
          <w:w w:val="115"/>
          <w:sz w:val="22"/>
        </w:rPr>
        <w:t>The</w:t>
      </w:r>
      <w:r>
        <w:rPr>
          <w:b/>
          <w:color w:val="383638"/>
          <w:spacing w:val="19"/>
          <w:w w:val="115"/>
          <w:sz w:val="22"/>
        </w:rPr>
        <w:t> </w:t>
      </w:r>
      <w:r>
        <w:rPr>
          <w:b/>
          <w:color w:val="383638"/>
          <w:w w:val="115"/>
          <w:sz w:val="22"/>
        </w:rPr>
        <w:t>Cold</w:t>
      </w:r>
      <w:r>
        <w:rPr>
          <w:b/>
          <w:color w:val="383638"/>
          <w:spacing w:val="-15"/>
          <w:w w:val="115"/>
          <w:sz w:val="22"/>
        </w:rPr>
        <w:t> </w:t>
      </w:r>
      <w:r>
        <w:rPr>
          <w:b/>
          <w:color w:val="383638"/>
          <w:w w:val="115"/>
          <w:sz w:val="21"/>
        </w:rPr>
        <w:t>Court</w:t>
      </w:r>
    </w:p>
    <w:p>
      <w:pPr>
        <w:pStyle w:val="BodyText"/>
        <w:spacing w:line="232" w:lineRule="auto"/>
        <w:ind w:left="2072" w:right="106" w:firstLine="380"/>
        <w:jc w:val="both"/>
      </w:pPr>
      <w:r>
        <w:rPr>
          <w:color w:val="383638"/>
          <w:w w:val="110"/>
        </w:rPr>
        <w:t>Most practice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arguments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are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before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"hot"</w:t>
      </w:r>
      <w:r>
        <w:rPr>
          <w:color w:val="383638"/>
          <w:spacing w:val="-33"/>
          <w:w w:val="110"/>
        </w:rPr>
        <w:t> </w:t>
      </w:r>
      <w:r>
        <w:rPr>
          <w:color w:val="383638"/>
          <w:w w:val="110"/>
        </w:rPr>
        <w:t>courts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are</w:t>
      </w:r>
      <w:r>
        <w:rPr>
          <w:color w:val="383638"/>
          <w:spacing w:val="-30"/>
          <w:w w:val="110"/>
        </w:rPr>
        <w:t> </w:t>
      </w:r>
      <w:r>
        <w:rPr>
          <w:color w:val="383638"/>
          <w:w w:val="110"/>
        </w:rPr>
        <w:t>well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prepared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and  pepper the team with questions. You should also practice, however</w:t>
      </w:r>
      <w:r>
        <w:rPr>
          <w:color w:val="525252"/>
          <w:w w:val="105"/>
        </w:rPr>
        <w:t>, </w:t>
      </w:r>
      <w:r>
        <w:rPr>
          <w:color w:val="383638"/>
          <w:w w:val="105"/>
        </w:rPr>
        <w:t>for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a "cold" court. In real life, a cold court is not a problem. You can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make the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points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think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are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most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important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sit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down,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even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if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only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few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min­</w:t>
      </w:r>
      <w:r>
        <w:rPr>
          <w:color w:val="383638"/>
          <w:spacing w:val="1"/>
          <w:w w:val="110"/>
        </w:rPr>
        <w:t> </w:t>
      </w:r>
      <w:r>
        <w:rPr>
          <w:color w:val="2A2628"/>
          <w:w w:val="110"/>
        </w:rPr>
        <w:t>utes </w:t>
      </w:r>
      <w:r>
        <w:rPr>
          <w:color w:val="383638"/>
          <w:w w:val="110"/>
        </w:rPr>
        <w:t>of your time have elapsed. In a competition setting, however, a quiet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court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-26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problem;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will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have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less</w:t>
      </w:r>
      <w:r>
        <w:rPr>
          <w:color w:val="383638"/>
          <w:spacing w:val="-26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chance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demonstrate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-26"/>
          <w:w w:val="110"/>
        </w:rPr>
        <w:t> </w:t>
      </w:r>
      <w:r>
        <w:rPr>
          <w:color w:val="383638"/>
          <w:w w:val="110"/>
        </w:rPr>
        <w:t>vast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knowledge of the case and its governing authorities. Furthermore, some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competitions require that youspend at least ten  minutes of your time 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the podium, and deduct points if you fail to do so. Thus, during your prac­</w:t>
      </w:r>
      <w:r>
        <w:rPr>
          <w:color w:val="383638"/>
          <w:spacing w:val="1"/>
          <w:w w:val="105"/>
        </w:rPr>
        <w:t> </w:t>
      </w:r>
      <w:r>
        <w:rPr>
          <w:color w:val="2A2628"/>
          <w:w w:val="110"/>
        </w:rPr>
        <w:t>tice</w:t>
      </w:r>
      <w:r>
        <w:rPr>
          <w:color w:val="2A2628"/>
          <w:spacing w:val="-20"/>
          <w:w w:val="110"/>
        </w:rPr>
        <w:t> </w:t>
      </w:r>
      <w:r>
        <w:rPr>
          <w:color w:val="383638"/>
          <w:w w:val="110"/>
        </w:rPr>
        <w:t>arguments, figure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out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what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do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if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38"/>
          <w:w w:val="110"/>
        </w:rPr>
        <w:t> </w:t>
      </w:r>
      <w:r>
        <w:rPr>
          <w:color w:val="383638"/>
          <w:w w:val="110"/>
        </w:rPr>
        <w:t>have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panel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hasnothing</w:t>
      </w:r>
    </w:p>
    <w:p>
      <w:pPr>
        <w:pStyle w:val="BodyText"/>
        <w:spacing w:line="248" w:lineRule="exact" w:before="19"/>
        <w:ind w:left="2087"/>
        <w:jc w:val="both"/>
      </w:pPr>
      <w:r>
        <w:rPr>
          <w:color w:val="383638"/>
          <w:w w:val="110"/>
        </w:rPr>
        <w:t>to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say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you.</w:t>
      </w:r>
    </w:p>
    <w:p>
      <w:pPr>
        <w:pStyle w:val="BodyText"/>
        <w:spacing w:line="235" w:lineRule="auto"/>
        <w:ind w:left="2030" w:right="106" w:firstLine="421"/>
        <w:jc w:val="both"/>
      </w:pPr>
      <w:r>
        <w:rPr>
          <w:color w:val="383638"/>
          <w:w w:val="105"/>
        </w:rPr>
        <w:t>Essentially, you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must impress every panel with your skill as an orator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and  your knowledge of the law. If you have a quiet panel, the first thing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to do is to slow the pace of your speech. Although many advocates could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benefit by speaking more slowly, talking too fast is even more of a prob­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lem with a quiet court. If 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are talking quickly, you are going through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your material </w:t>
      </w:r>
      <w:r>
        <w:rPr>
          <w:color w:val="383638"/>
          <w:w w:val="110"/>
        </w:rPr>
        <w:t>quickly, and you may not have enough to say to use up the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minimum </w:t>
      </w:r>
      <w:r>
        <w:rPr>
          <w:color w:val="383638"/>
          <w:w w:val="110"/>
        </w:rPr>
        <w:t>time required. </w:t>
      </w:r>
      <w:r>
        <w:rPr>
          <w:rFonts w:ascii="Arial" w:hAnsi="Arial"/>
          <w:color w:val="383638"/>
          <w:w w:val="110"/>
          <w:sz w:val="22"/>
        </w:rPr>
        <w:t>If </w:t>
      </w:r>
      <w:r>
        <w:rPr>
          <w:color w:val="383638"/>
          <w:w w:val="110"/>
        </w:rPr>
        <w:t>you talk more slowly, you take up more time;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furthermore, you provide more opportunities for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judges to interrupt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you. On a silent panel,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judges may be too intimidated by their own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silence to break into your rat-a-tat delivery. </w:t>
      </w:r>
      <w:r>
        <w:rPr>
          <w:rFonts w:ascii="Arial" w:hAnsi="Arial"/>
          <w:color w:val="383638"/>
          <w:w w:val="110"/>
          <w:sz w:val="22"/>
        </w:rPr>
        <w:t>If </w:t>
      </w:r>
      <w:r>
        <w:rPr>
          <w:color w:val="383638"/>
          <w:w w:val="110"/>
        </w:rPr>
        <w:t>you pause fairly often-but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not so often as </w:t>
      </w:r>
      <w:r>
        <w:rPr>
          <w:color w:val="2A2628"/>
          <w:w w:val="110"/>
        </w:rPr>
        <w:t>to  </w:t>
      </w:r>
      <w:r>
        <w:rPr>
          <w:color w:val="383638"/>
          <w:w w:val="110"/>
        </w:rPr>
        <w:t>be noticeable-a  judge  may  venture into the breach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with a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question.</w:t>
      </w:r>
    </w:p>
    <w:p>
      <w:pPr>
        <w:pStyle w:val="BodyText"/>
        <w:spacing w:line="232" w:lineRule="auto"/>
        <w:ind w:left="1991" w:right="118" w:firstLine="392"/>
        <w:jc w:val="both"/>
      </w:pPr>
      <w:r>
        <w:rPr>
          <w:color w:val="383638"/>
          <w:w w:val="110"/>
        </w:rPr>
        <w:t>Second, you must develop a strategy for impressing the quiet court.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 impress a hot court when the  judges ask you tough questions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you answer them</w:t>
      </w:r>
      <w:r>
        <w:rPr>
          <w:color w:val="525252"/>
          <w:w w:val="110"/>
        </w:rPr>
        <w:t>. </w:t>
      </w:r>
      <w:r>
        <w:rPr>
          <w:color w:val="383638"/>
          <w:w w:val="110"/>
        </w:rPr>
        <w:t>But how do you impress a court that won't ask you any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tough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questions?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One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method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-22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go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out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way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refer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authority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for the </w:t>
      </w:r>
      <w:r>
        <w:rPr>
          <w:color w:val="2A2628"/>
          <w:w w:val="110"/>
        </w:rPr>
        <w:t>legal </w:t>
      </w:r>
      <w:r>
        <w:rPr>
          <w:color w:val="383638"/>
          <w:w w:val="110"/>
        </w:rPr>
        <w:t>propositions you state. Give details from the cases that show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why they support your assertions. Cite to </w:t>
      </w:r>
      <w:r>
        <w:rPr>
          <w:color w:val="2A2628"/>
          <w:w w:val="110"/>
        </w:rPr>
        <w:t>the </w:t>
      </w:r>
      <w:r>
        <w:rPr>
          <w:color w:val="383638"/>
          <w:w w:val="110"/>
        </w:rPr>
        <w:t>record whenever you men­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tion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a particularly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significant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fact.</w:t>
      </w:r>
    </w:p>
    <w:p>
      <w:pPr>
        <w:pStyle w:val="BodyText"/>
        <w:spacing w:line="232" w:lineRule="auto"/>
        <w:ind w:left="1912" w:right="127" w:firstLine="445"/>
        <w:jc w:val="both"/>
        <w:rPr>
          <w:sz w:val="27"/>
        </w:rPr>
      </w:pPr>
      <w:r>
        <w:rPr>
          <w:color w:val="383638"/>
          <w:w w:val="110"/>
        </w:rPr>
        <w:t>Another way to impress a quiet court is to "ask yourself" the tough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questions. In your practice rounds, identify any apparently tough ques­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tions for which you have a strong answer. Keep those questions in mind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for when you have a quiet court. For example, let's say that one of your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practice  judges asked, "Won't allowing foreign-born  children to estab­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lish parentage 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any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time discourage early bonds between fathers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children?" You could "ask yourself" that question by stating, </w:t>
      </w:r>
      <w:r>
        <w:rPr>
          <w:color w:val="383638"/>
          <w:w w:val="105"/>
        </w:rPr>
        <w:t>"Allowing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foreign-born children to establish parentage at any time will not discour­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age early bonds between fath</w:t>
      </w:r>
      <w:r>
        <w:rPr>
          <w:color w:val="525252"/>
          <w:w w:val="110"/>
        </w:rPr>
        <w:t>e</w:t>
      </w:r>
      <w:r>
        <w:rPr>
          <w:color w:val="383638"/>
          <w:w w:val="110"/>
        </w:rPr>
        <w:t>rs and children. First, as this Court noted in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  <w:sz w:val="27"/>
          <w:u w:val="thick" w:color="383638"/>
        </w:rPr>
        <w:t>McGuffin</w:t>
      </w:r>
      <w:r>
        <w:rPr>
          <w:color w:val="383638"/>
          <w:spacing w:val="73"/>
          <w:w w:val="110"/>
          <w:sz w:val="27"/>
        </w:rPr>
        <w:t> </w:t>
      </w:r>
      <w:r>
        <w:rPr>
          <w:color w:val="383638"/>
          <w:w w:val="155"/>
          <w:sz w:val="27"/>
        </w:rPr>
        <w:t>"</w:t>
      </w:r>
    </w:p>
    <w:p>
      <w:pPr>
        <w:spacing w:after="0" w:line="232" w:lineRule="auto"/>
        <w:jc w:val="both"/>
        <w:rPr>
          <w:sz w:val="27"/>
        </w:rPr>
        <w:sectPr>
          <w:headerReference w:type="even" r:id="rId363"/>
          <w:pgSz w:w="9820" w:h="14020"/>
          <w:pgMar w:header="0" w:footer="0" w:top="0" w:bottom="0" w:left="4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32" w:lineRule="auto"/>
        <w:ind w:left="126" w:right="468" w:firstLine="315"/>
        <w:jc w:val="both"/>
      </w:pPr>
      <w:r>
        <w:rPr>
          <w:color w:val="383636"/>
          <w:w w:val="110"/>
        </w:rPr>
        <w:t>Some advocates try to wake up a quiet court by making bombastic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statements in the hope that someone on the court will rise to the bait and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challenge the assertion. While this technique may loosen the logjam if it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succeeds, it is a risky proposition. </w:t>
      </w:r>
      <w:r>
        <w:rPr>
          <w:color w:val="383636"/>
          <w:w w:val="105"/>
          <w:sz w:val="22"/>
        </w:rPr>
        <w:t>If </w:t>
      </w:r>
      <w:r>
        <w:rPr>
          <w:color w:val="383636"/>
          <w:w w:val="105"/>
        </w:rPr>
        <w:t>no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one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challenges your assertion, you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may</w:t>
      </w:r>
      <w:r>
        <w:rPr>
          <w:color w:val="383636"/>
          <w:spacing w:val="-22"/>
          <w:w w:val="105"/>
        </w:rPr>
        <w:t> </w:t>
      </w:r>
      <w:r>
        <w:rPr>
          <w:color w:val="383636"/>
          <w:w w:val="105"/>
        </w:rPr>
        <w:t>end</w:t>
      </w:r>
      <w:r>
        <w:rPr>
          <w:color w:val="383636"/>
          <w:spacing w:val="59"/>
          <w:w w:val="105"/>
        </w:rPr>
        <w:t> </w:t>
      </w:r>
      <w:r>
        <w:rPr>
          <w:color w:val="383636"/>
          <w:w w:val="105"/>
        </w:rPr>
        <w:t>up</w:t>
      </w:r>
      <w:r>
        <w:rPr>
          <w:color w:val="383636"/>
          <w:spacing w:val="43"/>
          <w:w w:val="105"/>
        </w:rPr>
        <w:t> </w:t>
      </w:r>
      <w:r>
        <w:rPr>
          <w:color w:val="383636"/>
          <w:w w:val="105"/>
        </w:rPr>
        <w:t>sounding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foolish</w:t>
      </w:r>
      <w:r>
        <w:rPr>
          <w:color w:val="383636"/>
          <w:spacing w:val="-2"/>
          <w:w w:val="105"/>
        </w:rPr>
        <w:t> </w:t>
      </w:r>
      <w:r>
        <w:rPr>
          <w:color w:val="383636"/>
          <w:w w:val="105"/>
        </w:rPr>
        <w:t>or</w:t>
      </w:r>
      <w:r>
        <w:rPr>
          <w:color w:val="383636"/>
          <w:spacing w:val="11"/>
          <w:w w:val="105"/>
        </w:rPr>
        <w:t> </w:t>
      </w:r>
      <w:r>
        <w:rPr>
          <w:color w:val="383636"/>
          <w:w w:val="105"/>
        </w:rPr>
        <w:t>ignorant.</w:t>
      </w:r>
    </w:p>
    <w:p>
      <w:pPr>
        <w:pStyle w:val="BodyText"/>
        <w:spacing w:before="11"/>
        <w:rPr>
          <w:sz w:val="31"/>
        </w:rPr>
      </w:pPr>
    </w:p>
    <w:p>
      <w:pPr>
        <w:pStyle w:val="ListParagraph"/>
        <w:numPr>
          <w:ilvl w:val="0"/>
          <w:numId w:val="117"/>
        </w:numPr>
        <w:tabs>
          <w:tab w:pos="830" w:val="left" w:leader="none"/>
        </w:tabs>
        <w:spacing w:line="240" w:lineRule="auto" w:before="0" w:after="0"/>
        <w:ind w:left="829" w:right="0" w:hanging="398"/>
        <w:jc w:val="both"/>
        <w:rPr>
          <w:b/>
          <w:color w:val="383636"/>
          <w:sz w:val="21"/>
        </w:rPr>
      </w:pPr>
      <w:r>
        <w:rPr>
          <w:b/>
          <w:color w:val="383636"/>
          <w:w w:val="120"/>
          <w:sz w:val="21"/>
        </w:rPr>
        <w:t>Dealing</w:t>
      </w:r>
      <w:r>
        <w:rPr>
          <w:b/>
          <w:color w:val="383636"/>
          <w:spacing w:val="4"/>
          <w:w w:val="120"/>
          <w:sz w:val="21"/>
        </w:rPr>
        <w:t> </w:t>
      </w:r>
      <w:r>
        <w:rPr>
          <w:b/>
          <w:color w:val="383636"/>
          <w:w w:val="120"/>
          <w:sz w:val="22"/>
        </w:rPr>
        <w:t>with</w:t>
      </w:r>
      <w:r>
        <w:rPr>
          <w:b/>
          <w:color w:val="383636"/>
          <w:spacing w:val="-10"/>
          <w:w w:val="120"/>
          <w:sz w:val="22"/>
        </w:rPr>
        <w:t> </w:t>
      </w:r>
      <w:r>
        <w:rPr>
          <w:b/>
          <w:color w:val="383636"/>
          <w:w w:val="120"/>
          <w:sz w:val="21"/>
        </w:rPr>
        <w:t>Opponents'</w:t>
      </w:r>
      <w:r>
        <w:rPr>
          <w:b/>
          <w:color w:val="383636"/>
          <w:spacing w:val="-11"/>
          <w:w w:val="120"/>
          <w:sz w:val="21"/>
        </w:rPr>
        <w:t> </w:t>
      </w:r>
      <w:r>
        <w:rPr>
          <w:b/>
          <w:color w:val="383636"/>
          <w:w w:val="120"/>
          <w:sz w:val="21"/>
        </w:rPr>
        <w:t>Misstatements</w:t>
      </w:r>
      <w:r>
        <w:rPr>
          <w:b/>
          <w:color w:val="383636"/>
          <w:spacing w:val="-1"/>
          <w:w w:val="120"/>
          <w:sz w:val="21"/>
        </w:rPr>
        <w:t> </w:t>
      </w:r>
      <w:r>
        <w:rPr>
          <w:b/>
          <w:color w:val="383636"/>
          <w:w w:val="120"/>
          <w:sz w:val="21"/>
        </w:rPr>
        <w:t>of</w:t>
      </w:r>
      <w:r>
        <w:rPr>
          <w:b/>
          <w:color w:val="383636"/>
          <w:spacing w:val="18"/>
          <w:w w:val="120"/>
          <w:sz w:val="21"/>
        </w:rPr>
        <w:t> </w:t>
      </w:r>
      <w:r>
        <w:rPr>
          <w:rFonts w:ascii="Arial"/>
          <w:b/>
          <w:color w:val="383636"/>
          <w:w w:val="120"/>
          <w:sz w:val="19"/>
        </w:rPr>
        <w:t>Law</w:t>
      </w:r>
      <w:r>
        <w:rPr>
          <w:rFonts w:ascii="Arial"/>
          <w:b/>
          <w:color w:val="383636"/>
          <w:spacing w:val="48"/>
          <w:w w:val="120"/>
          <w:sz w:val="19"/>
        </w:rPr>
        <w:t> </w:t>
      </w:r>
      <w:r>
        <w:rPr>
          <w:b/>
          <w:color w:val="383636"/>
          <w:w w:val="120"/>
          <w:sz w:val="21"/>
        </w:rPr>
        <w:t>or</w:t>
      </w:r>
      <w:r>
        <w:rPr>
          <w:b/>
          <w:color w:val="383636"/>
          <w:spacing w:val="7"/>
          <w:w w:val="120"/>
          <w:sz w:val="21"/>
        </w:rPr>
        <w:t> </w:t>
      </w:r>
      <w:r>
        <w:rPr>
          <w:b/>
          <w:color w:val="383636"/>
          <w:w w:val="120"/>
          <w:sz w:val="21"/>
        </w:rPr>
        <w:t>Facts</w:t>
      </w:r>
    </w:p>
    <w:p>
      <w:pPr>
        <w:pStyle w:val="BodyText"/>
        <w:spacing w:line="235" w:lineRule="auto" w:before="11"/>
        <w:ind w:left="119" w:right="412" w:firstLine="327"/>
        <w:jc w:val="both"/>
      </w:pPr>
      <w:r>
        <w:rPr>
          <w:color w:val="383636"/>
          <w:spacing w:val="-1"/>
          <w:w w:val="115"/>
        </w:rPr>
        <w:t>Oral arguments </w:t>
      </w:r>
      <w:r>
        <w:rPr>
          <w:color w:val="383636"/>
          <w:w w:val="115"/>
        </w:rPr>
        <w:t>serve a different purpose in moot courts than in real</w:t>
      </w:r>
      <w:r>
        <w:rPr>
          <w:color w:val="383636"/>
          <w:spacing w:val="-64"/>
          <w:w w:val="115"/>
        </w:rPr>
        <w:t> </w:t>
      </w:r>
      <w:r>
        <w:rPr>
          <w:color w:val="383636"/>
          <w:w w:val="115"/>
        </w:rPr>
        <w:t>life. In real life, as noted above, judges often read the briefs before the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argument and form a rebuttable presumption as to how the case will tum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out. They will often question the attorneys about specific points made in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 briefs, and attorneys may challenge specific points that the other party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5"/>
        </w:rPr>
        <w:t>has</w:t>
      </w:r>
      <w:r>
        <w:rPr>
          <w:color w:val="383636"/>
          <w:spacing w:val="-23"/>
          <w:w w:val="115"/>
        </w:rPr>
        <w:t> </w:t>
      </w:r>
      <w:r>
        <w:rPr>
          <w:color w:val="383636"/>
          <w:w w:val="115"/>
        </w:rPr>
        <w:t>made</w:t>
      </w:r>
      <w:r>
        <w:rPr>
          <w:color w:val="383636"/>
          <w:spacing w:val="-24"/>
          <w:w w:val="115"/>
        </w:rPr>
        <w:t> </w:t>
      </w:r>
      <w:r>
        <w:rPr>
          <w:color w:val="383636"/>
          <w:w w:val="115"/>
        </w:rPr>
        <w:t>in a</w:t>
      </w:r>
      <w:r>
        <w:rPr>
          <w:color w:val="383636"/>
          <w:spacing w:val="9"/>
          <w:w w:val="115"/>
        </w:rPr>
        <w:t> </w:t>
      </w:r>
      <w:r>
        <w:rPr>
          <w:color w:val="383636"/>
          <w:w w:val="115"/>
        </w:rPr>
        <w:t>brief.</w:t>
      </w:r>
    </w:p>
    <w:p>
      <w:pPr>
        <w:pStyle w:val="BodyText"/>
        <w:spacing w:line="235" w:lineRule="auto"/>
        <w:ind w:left="119" w:right="386" w:firstLine="332"/>
        <w:jc w:val="both"/>
      </w:pPr>
      <w:r>
        <w:rPr>
          <w:color w:val="383636"/>
          <w:w w:val="110"/>
        </w:rPr>
        <w:t>Furthermore, </w:t>
      </w:r>
      <w:r>
        <w:rPr>
          <w:color w:val="383636"/>
          <w:w w:val="110"/>
          <w:sz w:val="21"/>
        </w:rPr>
        <w:t>in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</w:rPr>
        <w:t>real life the oral argument is only a small part of the</w:t>
      </w:r>
      <w:r>
        <w:rPr>
          <w:color w:val="383636"/>
          <w:spacing w:val="1"/>
          <w:w w:val="110"/>
        </w:rPr>
        <w:t> </w:t>
      </w:r>
      <w:r>
        <w:rPr>
          <w:color w:val="383636"/>
          <w:spacing w:val="-1"/>
          <w:w w:val="110"/>
        </w:rPr>
        <w:t>decision-making process. After </w:t>
      </w:r>
      <w:r>
        <w:rPr>
          <w:color w:val="383636"/>
          <w:w w:val="110"/>
        </w:rPr>
        <w:t>the oral argument, the judges may cast an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initial vote on the outcome of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case and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justify that decision with a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written opinion. Claims made in the oral argument or the brief </w:t>
      </w:r>
      <w:r>
        <w:rPr>
          <w:color w:val="383636"/>
          <w:w w:val="110"/>
          <w:sz w:val="22"/>
        </w:rPr>
        <w:t>will </w:t>
      </w:r>
      <w:r>
        <w:rPr>
          <w:color w:val="383636"/>
          <w:w w:val="110"/>
        </w:rPr>
        <w:t>be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tested by the research and analysis of the  judges and their clerks. Finally,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 majority opinion and, perhaps, concurring or dissenting opinions, </w:t>
      </w:r>
      <w:r>
        <w:rPr>
          <w:color w:val="383636"/>
          <w:w w:val="110"/>
          <w:sz w:val="22"/>
        </w:rPr>
        <w:t>will</w:t>
      </w:r>
      <w:r>
        <w:rPr>
          <w:color w:val="383636"/>
          <w:spacing w:val="1"/>
          <w:w w:val="110"/>
          <w:sz w:val="22"/>
        </w:rPr>
        <w:t> </w:t>
      </w:r>
      <w:r>
        <w:rPr>
          <w:color w:val="383636"/>
          <w:w w:val="110"/>
        </w:rPr>
        <w:t>convey</w:t>
      </w:r>
      <w:r>
        <w:rPr>
          <w:color w:val="383636"/>
          <w:spacing w:val="-6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38"/>
          <w:w w:val="110"/>
        </w:rPr>
        <w:t> </w:t>
      </w:r>
      <w:r>
        <w:rPr>
          <w:color w:val="383636"/>
          <w:w w:val="110"/>
        </w:rPr>
        <w:t>court's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decision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on</w:t>
      </w:r>
      <w:r>
        <w:rPr>
          <w:color w:val="383636"/>
          <w:spacing w:val="30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20"/>
          <w:w w:val="110"/>
        </w:rPr>
        <w:t> </w:t>
      </w:r>
      <w:r>
        <w:rPr>
          <w:color w:val="383636"/>
          <w:w w:val="110"/>
        </w:rPr>
        <w:t>issue.</w:t>
      </w:r>
    </w:p>
    <w:p>
      <w:pPr>
        <w:pStyle w:val="BodyText"/>
        <w:spacing w:line="235" w:lineRule="auto"/>
        <w:ind w:left="119" w:right="353" w:firstLine="330"/>
        <w:jc w:val="both"/>
      </w:pPr>
      <w:r>
        <w:rPr>
          <w:color w:val="383636"/>
          <w:w w:val="110"/>
        </w:rPr>
        <w:t>In a  moot court argument, on  the other hand, the  judges have often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not seen any briefs in the case; they are relying only on the record and on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bench materials</w:t>
      </w:r>
      <w:r>
        <w:rPr>
          <w:color w:val="595759"/>
          <w:w w:val="110"/>
        </w:rPr>
        <w:t>. </w:t>
      </w:r>
      <w:r>
        <w:rPr>
          <w:color w:val="383636"/>
          <w:w w:val="110"/>
        </w:rPr>
        <w:t>They may question counsel on very narrow points of law</w:t>
      </w:r>
      <w:r>
        <w:rPr>
          <w:color w:val="595759"/>
          <w:w w:val="110"/>
        </w:rPr>
        <w:t>,</w:t>
      </w:r>
      <w:r>
        <w:rPr>
          <w:color w:val="595759"/>
          <w:spacing w:val="-61"/>
          <w:w w:val="110"/>
        </w:rPr>
        <w:t> </w:t>
      </w:r>
      <w:r>
        <w:rPr>
          <w:color w:val="383636"/>
          <w:w w:val="110"/>
        </w:rPr>
        <w:t>but they cannot challenge specific statements that appeared </w:t>
      </w:r>
      <w:r>
        <w:rPr>
          <w:color w:val="383636"/>
          <w:w w:val="110"/>
          <w:sz w:val="21"/>
        </w:rPr>
        <w:t>in</w:t>
      </w:r>
      <w:r>
        <w:rPr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</w:rPr>
        <w:t>the briefs.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Furthermore,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oral argument ends the decision-making process.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brief will have received a score earlier, and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that score will be combined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with a score that the judges give on the spot, right after the argument</w:t>
      </w:r>
      <w:r>
        <w:rPr>
          <w:color w:val="595759"/>
          <w:w w:val="110"/>
        </w:rPr>
        <w:t>. </w:t>
      </w:r>
      <w:r>
        <w:rPr>
          <w:color w:val="383636"/>
          <w:w w:val="110"/>
        </w:rPr>
        <w:t>If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either side makes claims about the law or the facts, those claims will be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evaluated immediately, without reference to cases cited, or, most likely,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record</w:t>
      </w:r>
      <w:r>
        <w:rPr>
          <w:color w:val="383636"/>
          <w:spacing w:val="15"/>
          <w:w w:val="110"/>
        </w:rPr>
        <w:t> </w:t>
      </w:r>
      <w:r>
        <w:rPr>
          <w:color w:val="383636"/>
          <w:w w:val="110"/>
        </w:rPr>
        <w:t>(even</w:t>
      </w:r>
      <w:r>
        <w:rPr>
          <w:color w:val="383636"/>
          <w:spacing w:val="9"/>
          <w:w w:val="110"/>
        </w:rPr>
        <w:t> </w:t>
      </w:r>
      <w:r>
        <w:rPr>
          <w:color w:val="383636"/>
          <w:w w:val="110"/>
        </w:rPr>
        <w:t>though</w:t>
      </w:r>
      <w:r>
        <w:rPr>
          <w:color w:val="383636"/>
          <w:spacing w:val="31"/>
          <w:w w:val="110"/>
        </w:rPr>
        <w:t> </w:t>
      </w:r>
      <w:r>
        <w:rPr>
          <w:color w:val="383636"/>
          <w:w w:val="110"/>
        </w:rPr>
        <w:t>judges</w:t>
      </w:r>
      <w:r>
        <w:rPr>
          <w:color w:val="383636"/>
          <w:spacing w:val="3"/>
          <w:w w:val="110"/>
        </w:rPr>
        <w:t> </w:t>
      </w:r>
      <w:r>
        <w:rPr>
          <w:color w:val="383636"/>
          <w:w w:val="110"/>
        </w:rPr>
        <w:t>will</w:t>
      </w:r>
      <w:r>
        <w:rPr>
          <w:color w:val="383636"/>
          <w:spacing w:val="13"/>
          <w:w w:val="110"/>
        </w:rPr>
        <w:t> </w:t>
      </w:r>
      <w:r>
        <w:rPr>
          <w:color w:val="383636"/>
          <w:w w:val="110"/>
        </w:rPr>
        <w:t>usually have</w:t>
      </w:r>
      <w:r>
        <w:rPr>
          <w:color w:val="383636"/>
          <w:spacing w:val="-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27"/>
          <w:w w:val="110"/>
        </w:rPr>
        <w:t> </w:t>
      </w:r>
      <w:r>
        <w:rPr>
          <w:color w:val="383636"/>
          <w:w w:val="110"/>
        </w:rPr>
        <w:t>record</w:t>
      </w:r>
      <w:r>
        <w:rPr>
          <w:color w:val="383636"/>
          <w:spacing w:val="14"/>
          <w:w w:val="110"/>
        </w:rPr>
        <w:t> </w:t>
      </w:r>
      <w:r>
        <w:rPr>
          <w:color w:val="383636"/>
          <w:w w:val="110"/>
        </w:rPr>
        <w:t>with</w:t>
      </w:r>
      <w:r>
        <w:rPr>
          <w:color w:val="383636"/>
          <w:spacing w:val="6"/>
          <w:w w:val="110"/>
        </w:rPr>
        <w:t> </w:t>
      </w:r>
      <w:r>
        <w:rPr>
          <w:color w:val="383636"/>
          <w:w w:val="110"/>
        </w:rPr>
        <w:t>them).</w:t>
      </w:r>
    </w:p>
    <w:p>
      <w:pPr>
        <w:pStyle w:val="BodyText"/>
        <w:spacing w:line="232" w:lineRule="auto"/>
        <w:ind w:left="116" w:right="309" w:firstLine="332"/>
        <w:jc w:val="both"/>
      </w:pPr>
      <w:r>
        <w:rPr>
          <w:color w:val="383636"/>
          <w:w w:val="110"/>
        </w:rPr>
        <w:t>This difference between moot courts and real arguments makes detailed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5"/>
        </w:rPr>
        <w:t>mastery of the law and the facts even more important for moot courts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than for real-life arguments. In real life, if your opponent innocently mis­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states a fact or misinterprets the meaning of a case, there is a good chance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that the error will be discovered during the decision-making process, and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that your opponent's misstatement </w:t>
      </w:r>
      <w:r>
        <w:rPr>
          <w:color w:val="383636"/>
          <w:w w:val="115"/>
          <w:sz w:val="22"/>
        </w:rPr>
        <w:t>will </w:t>
      </w:r>
      <w:r>
        <w:rPr>
          <w:color w:val="383636"/>
          <w:w w:val="115"/>
        </w:rPr>
        <w:t>have no impact on the decision.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In a moot court, however, if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two sides contradict each other as to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facts or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law,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judges must decide immediately which advocate to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believe. Some students try to prevail in this battle merely by contradicting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their opponents, sometimes forcefully. I believe that the best signals of</w:t>
      </w:r>
      <w:r>
        <w:rPr>
          <w:color w:val="383636"/>
          <w:spacing w:val="1"/>
          <w:w w:val="115"/>
        </w:rPr>
        <w:t> </w:t>
      </w:r>
      <w:r>
        <w:rPr>
          <w:color w:val="383636"/>
          <w:spacing w:val="-1"/>
          <w:w w:val="115"/>
        </w:rPr>
        <w:t>credibility</w:t>
      </w:r>
      <w:r>
        <w:rPr>
          <w:color w:val="383636"/>
          <w:spacing w:val="-6"/>
          <w:w w:val="115"/>
        </w:rPr>
        <w:t> </w:t>
      </w:r>
      <w:r>
        <w:rPr>
          <w:color w:val="383636"/>
          <w:w w:val="115"/>
        </w:rPr>
        <w:t>are</w:t>
      </w:r>
      <w:r>
        <w:rPr>
          <w:color w:val="383636"/>
          <w:spacing w:val="3"/>
          <w:w w:val="115"/>
        </w:rPr>
        <w:t> </w:t>
      </w:r>
      <w:r>
        <w:rPr>
          <w:color w:val="383636"/>
          <w:w w:val="115"/>
        </w:rPr>
        <w:t>citations</w:t>
      </w:r>
      <w:r>
        <w:rPr>
          <w:color w:val="383636"/>
          <w:spacing w:val="-7"/>
          <w:w w:val="115"/>
        </w:rPr>
        <w:t> </w:t>
      </w:r>
      <w:r>
        <w:rPr>
          <w:color w:val="383636"/>
          <w:w w:val="115"/>
        </w:rPr>
        <w:t>to</w:t>
      </w:r>
      <w:r>
        <w:rPr>
          <w:color w:val="383636"/>
          <w:spacing w:val="-1"/>
          <w:w w:val="115"/>
        </w:rPr>
        <w:t> </w:t>
      </w:r>
      <w:r>
        <w:rPr>
          <w:color w:val="383636"/>
          <w:w w:val="115"/>
        </w:rPr>
        <w:t>the</w:t>
      </w:r>
      <w:r>
        <w:rPr>
          <w:color w:val="383636"/>
          <w:spacing w:val="7"/>
          <w:w w:val="115"/>
        </w:rPr>
        <w:t> </w:t>
      </w:r>
      <w:r>
        <w:rPr>
          <w:color w:val="383636"/>
          <w:w w:val="115"/>
        </w:rPr>
        <w:t>record</w:t>
      </w:r>
      <w:r>
        <w:rPr>
          <w:color w:val="383636"/>
          <w:spacing w:val="-9"/>
          <w:w w:val="115"/>
        </w:rPr>
        <w:t> </w:t>
      </w:r>
      <w:r>
        <w:rPr>
          <w:color w:val="383636"/>
          <w:w w:val="115"/>
        </w:rPr>
        <w:t>or</w:t>
      </w:r>
      <w:r>
        <w:rPr>
          <w:color w:val="383636"/>
          <w:spacing w:val="9"/>
          <w:w w:val="115"/>
        </w:rPr>
        <w:t> </w:t>
      </w:r>
      <w:r>
        <w:rPr>
          <w:color w:val="383636"/>
          <w:w w:val="115"/>
        </w:rPr>
        <w:t>the</w:t>
      </w:r>
      <w:r>
        <w:rPr>
          <w:color w:val="383636"/>
          <w:spacing w:val="14"/>
          <w:w w:val="115"/>
        </w:rPr>
        <w:t> </w:t>
      </w:r>
      <w:r>
        <w:rPr>
          <w:color w:val="383636"/>
          <w:w w:val="115"/>
        </w:rPr>
        <w:t>opinions</w:t>
      </w:r>
      <w:r>
        <w:rPr>
          <w:color w:val="383636"/>
          <w:spacing w:val="-17"/>
          <w:w w:val="115"/>
        </w:rPr>
        <w:t> </w:t>
      </w:r>
      <w:r>
        <w:rPr>
          <w:color w:val="383636"/>
          <w:w w:val="115"/>
        </w:rPr>
        <w:t>at</w:t>
      </w:r>
      <w:r>
        <w:rPr>
          <w:color w:val="383636"/>
          <w:spacing w:val="-6"/>
          <w:w w:val="115"/>
        </w:rPr>
        <w:t> </w:t>
      </w:r>
      <w:r>
        <w:rPr>
          <w:color w:val="383636"/>
          <w:w w:val="115"/>
        </w:rPr>
        <w:t>issue.</w:t>
      </w:r>
    </w:p>
    <w:p>
      <w:pPr>
        <w:pStyle w:val="BodyText"/>
        <w:spacing w:line="232" w:lineRule="auto"/>
        <w:ind w:left="119" w:right="259" w:firstLine="329"/>
        <w:jc w:val="both"/>
      </w:pPr>
      <w:r>
        <w:rPr>
          <w:color w:val="383636"/>
          <w:w w:val="115"/>
        </w:rPr>
        <w:t>Thus, if your opponent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mistakenly mischaracterizes a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fact that is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crucial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to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the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argument,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you can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best correct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it-professionally and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politely-with</w:t>
      </w:r>
      <w:r>
        <w:rPr>
          <w:color w:val="383636"/>
          <w:spacing w:val="-7"/>
          <w:w w:val="115"/>
        </w:rPr>
        <w:t> </w:t>
      </w:r>
      <w:r>
        <w:rPr>
          <w:color w:val="383636"/>
          <w:w w:val="115"/>
        </w:rPr>
        <w:t>a</w:t>
      </w:r>
      <w:r>
        <w:rPr>
          <w:color w:val="383636"/>
          <w:spacing w:val="-7"/>
          <w:w w:val="115"/>
        </w:rPr>
        <w:t> </w:t>
      </w:r>
      <w:r>
        <w:rPr>
          <w:color w:val="383636"/>
          <w:w w:val="115"/>
        </w:rPr>
        <w:t>citation</w:t>
      </w:r>
      <w:r>
        <w:rPr>
          <w:color w:val="383636"/>
          <w:spacing w:val="9"/>
          <w:w w:val="115"/>
        </w:rPr>
        <w:t> </w:t>
      </w:r>
      <w:r>
        <w:rPr>
          <w:color w:val="383636"/>
          <w:w w:val="115"/>
        </w:rPr>
        <w:t>to</w:t>
      </w:r>
      <w:r>
        <w:rPr>
          <w:color w:val="383636"/>
          <w:spacing w:val="6"/>
          <w:w w:val="115"/>
        </w:rPr>
        <w:t> </w:t>
      </w:r>
      <w:r>
        <w:rPr>
          <w:color w:val="383636"/>
          <w:w w:val="115"/>
        </w:rPr>
        <w:t>the</w:t>
      </w:r>
      <w:r>
        <w:rPr>
          <w:color w:val="383636"/>
          <w:spacing w:val="11"/>
          <w:w w:val="115"/>
        </w:rPr>
        <w:t> </w:t>
      </w:r>
      <w:r>
        <w:rPr>
          <w:color w:val="383636"/>
          <w:w w:val="115"/>
        </w:rPr>
        <w:t>record:</w:t>
      </w:r>
    </w:p>
    <w:p>
      <w:pPr>
        <w:spacing w:after="0" w:line="232" w:lineRule="auto"/>
        <w:jc w:val="both"/>
        <w:sectPr>
          <w:headerReference w:type="default" r:id="rId364"/>
          <w:headerReference w:type="even" r:id="rId365"/>
          <w:pgSz w:w="9570" w:h="14020"/>
          <w:pgMar w:header="587" w:footer="0" w:top="780" w:bottom="280" w:left="200" w:right="1320"/>
          <w:pgNumType w:start="323"/>
        </w:sectPr>
      </w:pPr>
    </w:p>
    <w:p>
      <w:pPr>
        <w:spacing w:line="228" w:lineRule="auto" w:before="91"/>
        <w:ind w:left="1162" w:right="422" w:hanging="5"/>
        <w:jc w:val="both"/>
        <w:rPr>
          <w:b/>
          <w:sz w:val="21"/>
        </w:rPr>
      </w:pPr>
      <w:r>
        <w:rPr>
          <w:b/>
          <w:color w:val="383636"/>
          <w:w w:val="110"/>
          <w:sz w:val="21"/>
        </w:rPr>
        <w:t>Counsel for Respondent stated that the arrest occurred at 6:45 P.M.</w:t>
      </w:r>
      <w:r>
        <w:rPr>
          <w:b/>
          <w:color w:val="383636"/>
          <w:spacing w:val="-55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While</w:t>
      </w:r>
      <w:r>
        <w:rPr>
          <w:b/>
          <w:color w:val="383636"/>
          <w:spacing w:val="29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that</w:t>
      </w:r>
      <w:r>
        <w:rPr>
          <w:b/>
          <w:color w:val="383636"/>
          <w:spacing w:val="17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is</w:t>
      </w:r>
      <w:r>
        <w:rPr>
          <w:b/>
          <w:color w:val="383636"/>
          <w:spacing w:val="22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true,</w:t>
      </w:r>
      <w:r>
        <w:rPr>
          <w:b/>
          <w:color w:val="383636"/>
          <w:spacing w:val="24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that</w:t>
      </w:r>
      <w:r>
        <w:rPr>
          <w:b/>
          <w:color w:val="383636"/>
          <w:spacing w:val="19"/>
          <w:w w:val="110"/>
          <w:sz w:val="21"/>
        </w:rPr>
        <w:t> </w:t>
      </w:r>
      <w:r>
        <w:rPr>
          <w:rFonts w:ascii="Arial"/>
          <w:color w:val="383636"/>
          <w:w w:val="110"/>
          <w:sz w:val="19"/>
        </w:rPr>
        <w:t>is</w:t>
      </w:r>
      <w:r>
        <w:rPr>
          <w:rFonts w:ascii="Arial"/>
          <w:color w:val="383636"/>
          <w:spacing w:val="29"/>
          <w:w w:val="110"/>
          <w:sz w:val="19"/>
        </w:rPr>
        <w:t> </w:t>
      </w:r>
      <w:r>
        <w:rPr>
          <w:b/>
          <w:color w:val="383636"/>
          <w:w w:val="110"/>
          <w:sz w:val="21"/>
        </w:rPr>
        <w:t>not</w:t>
      </w:r>
      <w:r>
        <w:rPr>
          <w:b/>
          <w:color w:val="383636"/>
          <w:spacing w:val="24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the</w:t>
      </w:r>
      <w:r>
        <w:rPr>
          <w:b/>
          <w:color w:val="383636"/>
          <w:spacing w:val="2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crux</w:t>
      </w:r>
      <w:r>
        <w:rPr>
          <w:b/>
          <w:color w:val="383636"/>
          <w:spacing w:val="12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of</w:t>
      </w:r>
      <w:r>
        <w:rPr>
          <w:b/>
          <w:color w:val="383636"/>
          <w:spacing w:val="36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Petitioner's</w:t>
      </w:r>
      <w:r>
        <w:rPr>
          <w:b/>
          <w:color w:val="383636"/>
          <w:spacing w:val="2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argument.</w:t>
      </w:r>
      <w:r>
        <w:rPr>
          <w:b/>
          <w:color w:val="383636"/>
          <w:spacing w:val="19"/>
          <w:w w:val="110"/>
          <w:sz w:val="21"/>
        </w:rPr>
        <w:t> </w:t>
      </w:r>
      <w:r>
        <w:rPr>
          <w:color w:val="383636"/>
          <w:w w:val="110"/>
          <w:sz w:val="21"/>
        </w:rPr>
        <w:t>If</w:t>
      </w:r>
      <w:r>
        <w:rPr>
          <w:color w:val="383636"/>
          <w:spacing w:val="-56"/>
          <w:w w:val="110"/>
          <w:sz w:val="21"/>
        </w:rPr>
        <w:t> </w:t>
      </w:r>
      <w:r>
        <w:rPr>
          <w:color w:val="383636"/>
          <w:w w:val="110"/>
          <w:sz w:val="21"/>
        </w:rPr>
        <w:t>I </w:t>
      </w:r>
      <w:r>
        <w:rPr>
          <w:b/>
          <w:color w:val="383636"/>
          <w:w w:val="110"/>
          <w:sz w:val="21"/>
        </w:rPr>
        <w:t>may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direct the Court's attention to page 3 of the record; on that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page, in the second paragraph</w:t>
      </w:r>
      <w:r>
        <w:rPr>
          <w:b/>
          <w:color w:val="545456"/>
          <w:w w:val="110"/>
          <w:sz w:val="21"/>
        </w:rPr>
        <w:t>, </w:t>
      </w:r>
      <w:r>
        <w:rPr>
          <w:b/>
          <w:color w:val="383636"/>
          <w:w w:val="110"/>
          <w:sz w:val="21"/>
        </w:rPr>
        <w:t>Officer Perek explicitly stated that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Defendant was "taken into custody" after </w:t>
      </w:r>
      <w:r>
        <w:rPr>
          <w:color w:val="383636"/>
          <w:w w:val="110"/>
          <w:sz w:val="21"/>
        </w:rPr>
        <w:t>church </w:t>
      </w:r>
      <w:r>
        <w:rPr>
          <w:b/>
          <w:color w:val="383636"/>
          <w:w w:val="110"/>
          <w:sz w:val="21"/>
        </w:rPr>
        <w:t>"that morning."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rFonts w:ascii="Arial"/>
          <w:b/>
          <w:color w:val="383636"/>
          <w:w w:val="105"/>
          <w:sz w:val="19"/>
        </w:rPr>
        <w:t>This</w:t>
      </w:r>
      <w:r>
        <w:rPr>
          <w:rFonts w:ascii="Arial"/>
          <w:b/>
          <w:color w:val="383636"/>
          <w:spacing w:val="-9"/>
          <w:w w:val="105"/>
          <w:sz w:val="19"/>
        </w:rPr>
        <w:t> </w:t>
      </w:r>
      <w:r>
        <w:rPr>
          <w:b/>
          <w:color w:val="383636"/>
          <w:w w:val="105"/>
          <w:sz w:val="21"/>
        </w:rPr>
        <w:t>is</w:t>
      </w:r>
      <w:r>
        <w:rPr>
          <w:b/>
          <w:color w:val="383636"/>
          <w:spacing w:val="9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the</w:t>
      </w:r>
      <w:r>
        <w:rPr>
          <w:b/>
          <w:color w:val="383636"/>
          <w:spacing w:val="14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time when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b/>
          <w:color w:val="383636"/>
          <w:w w:val="105"/>
          <w:sz w:val="25"/>
          <w:u w:val="thick" w:color="383636"/>
        </w:rPr>
        <w:t>Miranda</w:t>
      </w:r>
      <w:r>
        <w:rPr>
          <w:b/>
          <w:color w:val="383636"/>
          <w:spacing w:val="13"/>
          <w:w w:val="105"/>
          <w:sz w:val="25"/>
        </w:rPr>
        <w:t> </w:t>
      </w:r>
      <w:r>
        <w:rPr>
          <w:b/>
          <w:color w:val="383636"/>
          <w:w w:val="105"/>
          <w:sz w:val="21"/>
        </w:rPr>
        <w:t>warnings</w:t>
      </w:r>
      <w:r>
        <w:rPr>
          <w:b/>
          <w:color w:val="383636"/>
          <w:spacing w:val="5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should</w:t>
      </w:r>
      <w:r>
        <w:rPr>
          <w:b/>
          <w:color w:val="383636"/>
          <w:spacing w:val="14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have</w:t>
      </w:r>
      <w:r>
        <w:rPr>
          <w:b/>
          <w:color w:val="383636"/>
          <w:spacing w:val="-11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been</w:t>
      </w:r>
      <w:r>
        <w:rPr>
          <w:b/>
          <w:color w:val="383636"/>
          <w:spacing w:val="-5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given.</w:t>
      </w:r>
    </w:p>
    <w:p>
      <w:pPr>
        <w:pStyle w:val="BodyText"/>
        <w:spacing w:line="235" w:lineRule="auto" w:before="127"/>
        <w:ind w:left="801" w:right="103" w:firstLine="2"/>
        <w:jc w:val="both"/>
      </w:pPr>
      <w:r>
        <w:rPr>
          <w:color w:val="383636"/>
          <w:w w:val="110"/>
          <w:sz w:val="24"/>
        </w:rPr>
        <w:t>If </w:t>
      </w:r>
      <w:r>
        <w:rPr>
          <w:color w:val="383636"/>
          <w:w w:val="110"/>
        </w:rPr>
        <w:t>your opponent mischaracteri</w:t>
      </w:r>
      <w:r>
        <w:rPr>
          <w:color w:val="545456"/>
          <w:w w:val="110"/>
        </w:rPr>
        <w:t>z</w:t>
      </w:r>
      <w:r>
        <w:rPr>
          <w:color w:val="383636"/>
          <w:w w:val="110"/>
        </w:rPr>
        <w:t>es an authority case</w:t>
      </w:r>
      <w:r>
        <w:rPr>
          <w:color w:val="545456"/>
          <w:w w:val="110"/>
        </w:rPr>
        <w:t>, </w:t>
      </w:r>
      <w:r>
        <w:rPr>
          <w:color w:val="383636"/>
          <w:w w:val="110"/>
        </w:rPr>
        <w:t>your best bet is to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counter that characterization with language from the opinion that shows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that</w:t>
      </w:r>
      <w:r>
        <w:rPr>
          <w:color w:val="383636"/>
          <w:spacing w:val="-1"/>
          <w:w w:val="115"/>
        </w:rPr>
        <w:t> </w:t>
      </w:r>
      <w:r>
        <w:rPr>
          <w:color w:val="383636"/>
          <w:w w:val="115"/>
        </w:rPr>
        <w:t>your</w:t>
      </w:r>
      <w:r>
        <w:rPr>
          <w:color w:val="383636"/>
          <w:spacing w:val="-17"/>
          <w:w w:val="115"/>
        </w:rPr>
        <w:t> </w:t>
      </w:r>
      <w:r>
        <w:rPr>
          <w:color w:val="383636"/>
          <w:w w:val="115"/>
        </w:rPr>
        <w:t>interpretation</w:t>
      </w:r>
      <w:r>
        <w:rPr>
          <w:color w:val="383636"/>
          <w:spacing w:val="-12"/>
          <w:w w:val="115"/>
        </w:rPr>
        <w:t> </w:t>
      </w:r>
      <w:r>
        <w:rPr>
          <w:color w:val="383636"/>
          <w:w w:val="115"/>
        </w:rPr>
        <w:t>is</w:t>
      </w:r>
      <w:r>
        <w:rPr>
          <w:color w:val="383636"/>
          <w:spacing w:val="-29"/>
          <w:w w:val="115"/>
        </w:rPr>
        <w:t> </w:t>
      </w:r>
      <w:r>
        <w:rPr>
          <w:color w:val="383636"/>
          <w:w w:val="115"/>
        </w:rPr>
        <w:t>the</w:t>
      </w:r>
      <w:r>
        <w:rPr>
          <w:color w:val="383636"/>
          <w:spacing w:val="-3"/>
          <w:w w:val="115"/>
        </w:rPr>
        <w:t> </w:t>
      </w:r>
      <w:r>
        <w:rPr>
          <w:color w:val="383636"/>
          <w:w w:val="115"/>
        </w:rPr>
        <w:t>correct</w:t>
      </w:r>
      <w:r>
        <w:rPr>
          <w:color w:val="383636"/>
          <w:spacing w:val="-16"/>
          <w:w w:val="115"/>
        </w:rPr>
        <w:t> </w:t>
      </w:r>
      <w:r>
        <w:rPr>
          <w:color w:val="383636"/>
          <w:w w:val="115"/>
        </w:rPr>
        <w:t>one:</w:t>
      </w:r>
    </w:p>
    <w:p>
      <w:pPr>
        <w:spacing w:line="206" w:lineRule="auto" w:before="142"/>
        <w:ind w:left="1159" w:right="418" w:firstLine="8"/>
        <w:jc w:val="both"/>
        <w:rPr>
          <w:b/>
          <w:sz w:val="21"/>
        </w:rPr>
      </w:pPr>
      <w:r>
        <w:rPr>
          <w:color w:val="383636"/>
          <w:w w:val="110"/>
          <w:sz w:val="21"/>
        </w:rPr>
        <w:t>Counsel for </w:t>
      </w:r>
      <w:r>
        <w:rPr>
          <w:b/>
          <w:color w:val="383636"/>
          <w:w w:val="110"/>
          <w:sz w:val="21"/>
        </w:rPr>
        <w:t>Petitioner has said that the </w:t>
      </w:r>
      <w:r>
        <w:rPr>
          <w:color w:val="383636"/>
          <w:w w:val="110"/>
          <w:sz w:val="23"/>
          <w:u w:val="thick" w:color="383636"/>
        </w:rPr>
        <w:t>McGuffin</w:t>
      </w:r>
      <w:r>
        <w:rPr>
          <w:color w:val="383636"/>
          <w:w w:val="110"/>
          <w:sz w:val="23"/>
        </w:rPr>
        <w:t> </w:t>
      </w:r>
      <w:r>
        <w:rPr>
          <w:color w:val="383636"/>
          <w:w w:val="110"/>
          <w:sz w:val="21"/>
        </w:rPr>
        <w:t>Court limited </w:t>
      </w:r>
      <w:r>
        <w:rPr>
          <w:color w:val="383636"/>
          <w:w w:val="110"/>
          <w:sz w:val="23"/>
        </w:rPr>
        <w:t>the</w:t>
      </w:r>
      <w:r>
        <w:rPr>
          <w:color w:val="383636"/>
          <w:spacing w:val="1"/>
          <w:w w:val="110"/>
          <w:sz w:val="23"/>
        </w:rPr>
        <w:t> </w:t>
      </w:r>
      <w:r>
        <w:rPr>
          <w:color w:val="383636"/>
          <w:w w:val="105"/>
          <w:sz w:val="22"/>
        </w:rPr>
        <w:t>impact </w:t>
      </w:r>
      <w:r>
        <w:rPr>
          <w:b/>
          <w:color w:val="383636"/>
          <w:w w:val="105"/>
          <w:sz w:val="21"/>
        </w:rPr>
        <w:t>of </w:t>
      </w:r>
      <w:r>
        <w:rPr>
          <w:b/>
          <w:color w:val="383636"/>
          <w:w w:val="105"/>
          <w:sz w:val="25"/>
          <w:u w:val="thick" w:color="383636"/>
        </w:rPr>
        <w:t>Miranda</w:t>
      </w:r>
      <w:r>
        <w:rPr>
          <w:b/>
          <w:color w:val="383636"/>
          <w:w w:val="105"/>
          <w:sz w:val="25"/>
        </w:rPr>
        <w:t> </w:t>
      </w:r>
      <w:r>
        <w:rPr>
          <w:b/>
          <w:color w:val="383636"/>
          <w:w w:val="105"/>
          <w:sz w:val="21"/>
        </w:rPr>
        <w:t>to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the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time after "arrest." This is inaccurate. On</w:t>
      </w:r>
      <w:r>
        <w:rPr>
          <w:b/>
          <w:color w:val="383636"/>
          <w:spacing w:val="1"/>
          <w:w w:val="105"/>
          <w:sz w:val="21"/>
        </w:rPr>
        <w:t> </w:t>
      </w:r>
      <w:r>
        <w:rPr>
          <w:b/>
          <w:color w:val="383636"/>
          <w:w w:val="110"/>
          <w:sz w:val="21"/>
        </w:rPr>
        <w:t>page </w:t>
      </w:r>
      <w:r>
        <w:rPr>
          <w:color w:val="383636"/>
          <w:w w:val="110"/>
          <w:sz w:val="21"/>
        </w:rPr>
        <w:t>372 of the decision, </w:t>
      </w:r>
      <w:r>
        <w:rPr>
          <w:b/>
          <w:color w:val="383636"/>
          <w:w w:val="110"/>
          <w:sz w:val="21"/>
        </w:rPr>
        <w:t>the </w:t>
      </w:r>
      <w:r>
        <w:rPr>
          <w:b/>
          <w:color w:val="383636"/>
          <w:w w:val="110"/>
          <w:sz w:val="25"/>
          <w:u w:val="thick" w:color="383636"/>
        </w:rPr>
        <w:t>McGuffin</w:t>
      </w:r>
      <w:r>
        <w:rPr>
          <w:b/>
          <w:color w:val="383636"/>
          <w:w w:val="110"/>
          <w:sz w:val="25"/>
        </w:rPr>
        <w:t> </w:t>
      </w:r>
      <w:r>
        <w:rPr>
          <w:color w:val="383636"/>
          <w:w w:val="110"/>
          <w:sz w:val="21"/>
        </w:rPr>
        <w:t>Court specifically noted that</w:t>
      </w:r>
      <w:r>
        <w:rPr>
          <w:color w:val="383636"/>
          <w:spacing w:val="1"/>
          <w:w w:val="110"/>
          <w:sz w:val="21"/>
        </w:rPr>
        <w:t> </w:t>
      </w:r>
      <w:r>
        <w:rPr>
          <w:rFonts w:ascii="Arial"/>
          <w:color w:val="383636"/>
          <w:spacing w:val="-1"/>
          <w:w w:val="110"/>
          <w:sz w:val="22"/>
          <w:u w:val="thick" w:color="545456"/>
        </w:rPr>
        <w:t>Mirand</w:t>
      </w:r>
      <w:r>
        <w:rPr>
          <w:rFonts w:ascii="Arial"/>
          <w:color w:val="545456"/>
          <w:spacing w:val="-1"/>
          <w:w w:val="110"/>
          <w:sz w:val="22"/>
          <w:u w:val="thick" w:color="545456"/>
        </w:rPr>
        <w:t>a</w:t>
      </w:r>
      <w:r>
        <w:rPr>
          <w:rFonts w:ascii="Arial"/>
          <w:color w:val="545456"/>
          <w:spacing w:val="-25"/>
          <w:w w:val="110"/>
          <w:sz w:val="22"/>
        </w:rPr>
        <w:t> </w:t>
      </w:r>
      <w:r>
        <w:rPr>
          <w:b/>
          <w:color w:val="383636"/>
          <w:spacing w:val="-1"/>
          <w:w w:val="110"/>
          <w:sz w:val="21"/>
        </w:rPr>
        <w:t>warnings</w:t>
      </w:r>
      <w:r>
        <w:rPr>
          <w:b/>
          <w:color w:val="383636"/>
          <w:spacing w:val="-8"/>
          <w:w w:val="110"/>
          <w:sz w:val="21"/>
        </w:rPr>
        <w:t> </w:t>
      </w:r>
      <w:r>
        <w:rPr>
          <w:b/>
          <w:color w:val="383636"/>
          <w:spacing w:val="-1"/>
          <w:w w:val="110"/>
          <w:sz w:val="21"/>
        </w:rPr>
        <w:t>must</w:t>
      </w:r>
      <w:r>
        <w:rPr>
          <w:b/>
          <w:color w:val="383636"/>
          <w:spacing w:val="-14"/>
          <w:w w:val="110"/>
          <w:sz w:val="21"/>
        </w:rPr>
        <w:t> </w:t>
      </w:r>
      <w:r>
        <w:rPr>
          <w:color w:val="383636"/>
          <w:w w:val="110"/>
          <w:sz w:val="20"/>
        </w:rPr>
        <w:t>be</w:t>
      </w:r>
      <w:r>
        <w:rPr>
          <w:color w:val="383636"/>
          <w:spacing w:val="6"/>
          <w:w w:val="110"/>
          <w:sz w:val="20"/>
        </w:rPr>
        <w:t> </w:t>
      </w:r>
      <w:r>
        <w:rPr>
          <w:b/>
          <w:color w:val="383636"/>
          <w:w w:val="110"/>
          <w:sz w:val="21"/>
        </w:rPr>
        <w:t>given</w:t>
      </w:r>
      <w:r>
        <w:rPr>
          <w:b/>
          <w:color w:val="383636"/>
          <w:spacing w:val="-18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not</w:t>
      </w:r>
      <w:r>
        <w:rPr>
          <w:b/>
          <w:color w:val="383636"/>
          <w:spacing w:val="-13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only</w:t>
      </w:r>
      <w:r>
        <w:rPr>
          <w:b/>
          <w:color w:val="383636"/>
          <w:spacing w:val="-2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upon</w:t>
      </w:r>
      <w:r>
        <w:rPr>
          <w:b/>
          <w:color w:val="383636"/>
          <w:spacing w:val="-18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arrest,</w:t>
      </w:r>
      <w:r>
        <w:rPr>
          <w:b/>
          <w:color w:val="383636"/>
          <w:spacing w:val="-12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but</w:t>
      </w:r>
      <w:r>
        <w:rPr>
          <w:b/>
          <w:color w:val="383636"/>
          <w:spacing w:val="1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before</w:t>
      </w:r>
      <w:r>
        <w:rPr>
          <w:b/>
          <w:color w:val="383636"/>
          <w:spacing w:val="-25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any</w:t>
      </w:r>
    </w:p>
    <w:p>
      <w:pPr>
        <w:spacing w:before="13"/>
        <w:ind w:left="1158" w:right="0" w:firstLine="0"/>
        <w:jc w:val="both"/>
        <w:rPr>
          <w:b/>
          <w:sz w:val="21"/>
        </w:rPr>
      </w:pPr>
      <w:r>
        <w:rPr>
          <w:b/>
          <w:color w:val="383636"/>
          <w:w w:val="110"/>
          <w:sz w:val="21"/>
        </w:rPr>
        <w:t>custodial</w:t>
      </w:r>
      <w:r>
        <w:rPr>
          <w:b/>
          <w:color w:val="383636"/>
          <w:spacing w:val="-3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interrogation.</w:t>
      </w:r>
    </w:p>
    <w:p>
      <w:pPr>
        <w:pStyle w:val="BodyText"/>
        <w:spacing w:line="235" w:lineRule="auto" w:before="119"/>
        <w:ind w:left="696" w:right="103" w:firstLine="91"/>
        <w:jc w:val="right"/>
      </w:pPr>
      <w:r>
        <w:rPr>
          <w:color w:val="383636"/>
          <w:w w:val="105"/>
        </w:rPr>
        <w:t>At first glance,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memorizing specific page numbers may seem to</w:t>
      </w:r>
      <w:r>
        <w:rPr>
          <w:color w:val="383636"/>
          <w:spacing w:val="1"/>
          <w:w w:val="105"/>
        </w:rPr>
        <w:t> </w:t>
      </w:r>
      <w:r>
        <w:rPr>
          <w:color w:val="383636"/>
          <w:spacing w:val="9"/>
          <w:w w:val="105"/>
        </w:rPr>
        <w:t>bea </w:t>
      </w:r>
      <w:r>
        <w:rPr>
          <w:color w:val="383636"/>
          <w:w w:val="105"/>
        </w:rPr>
        <w:t>daunt­</w:t>
      </w:r>
      <w:r>
        <w:rPr>
          <w:color w:val="383636"/>
          <w:spacing w:val="-58"/>
          <w:w w:val="105"/>
        </w:rPr>
        <w:t> </w:t>
      </w:r>
      <w:r>
        <w:rPr>
          <w:color w:val="383636"/>
          <w:w w:val="110"/>
        </w:rPr>
        <w:t>ing</w:t>
      </w:r>
      <w:r>
        <w:rPr>
          <w:color w:val="383636"/>
          <w:spacing w:val="24"/>
          <w:w w:val="110"/>
        </w:rPr>
        <w:t> </w:t>
      </w:r>
      <w:r>
        <w:rPr>
          <w:color w:val="383636"/>
          <w:w w:val="110"/>
        </w:rPr>
        <w:t>task.</w:t>
      </w:r>
      <w:r>
        <w:rPr>
          <w:color w:val="383636"/>
          <w:spacing w:val="-8"/>
          <w:w w:val="110"/>
        </w:rPr>
        <w:t> </w:t>
      </w:r>
      <w:r>
        <w:rPr>
          <w:color w:val="383636"/>
          <w:w w:val="110"/>
        </w:rPr>
        <w:t>However,</w:t>
      </w:r>
      <w:r>
        <w:rPr>
          <w:color w:val="383636"/>
          <w:spacing w:val="16"/>
          <w:w w:val="110"/>
        </w:rPr>
        <w:t> </w:t>
      </w:r>
      <w:r>
        <w:rPr>
          <w:color w:val="383636"/>
          <w:w w:val="110"/>
        </w:rPr>
        <w:t>you</w:t>
      </w:r>
      <w:r>
        <w:rPr>
          <w:color w:val="383636"/>
          <w:spacing w:val="6"/>
          <w:w w:val="110"/>
        </w:rPr>
        <w:t> </w:t>
      </w:r>
      <w:r>
        <w:rPr>
          <w:color w:val="383636"/>
          <w:w w:val="110"/>
          <w:sz w:val="21"/>
        </w:rPr>
        <w:t>will </w:t>
      </w:r>
      <w:r>
        <w:rPr>
          <w:color w:val="383636"/>
          <w:w w:val="110"/>
        </w:rPr>
        <w:t>discover</w:t>
      </w:r>
      <w:r>
        <w:rPr>
          <w:color w:val="383636"/>
          <w:spacing w:val="15"/>
          <w:w w:val="110"/>
        </w:rPr>
        <w:t> </w:t>
      </w:r>
      <w:r>
        <w:rPr>
          <w:color w:val="383636"/>
          <w:w w:val="110"/>
        </w:rPr>
        <w:t>that</w:t>
      </w:r>
      <w:r>
        <w:rPr>
          <w:color w:val="383636"/>
          <w:spacing w:val="7"/>
          <w:w w:val="110"/>
        </w:rPr>
        <w:t> </w:t>
      </w:r>
      <w:r>
        <w:rPr>
          <w:color w:val="383636"/>
          <w:w w:val="110"/>
        </w:rPr>
        <w:t>throughout</w:t>
      </w:r>
      <w:r>
        <w:rPr>
          <w:color w:val="383636"/>
          <w:spacing w:val="14"/>
          <w:w w:val="110"/>
        </w:rPr>
        <w:t> </w:t>
      </w:r>
      <w:r>
        <w:rPr>
          <w:color w:val="383636"/>
          <w:w w:val="110"/>
        </w:rPr>
        <w:t>your</w:t>
      </w:r>
      <w:r>
        <w:rPr>
          <w:color w:val="383636"/>
          <w:spacing w:val="11"/>
          <w:w w:val="110"/>
        </w:rPr>
        <w:t> </w:t>
      </w:r>
      <w:r>
        <w:rPr>
          <w:color w:val="383636"/>
          <w:w w:val="110"/>
        </w:rPr>
        <w:t>practices,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you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are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memorizing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many "sound bites" about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facts and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authorities rel•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evant</w:t>
      </w:r>
      <w:r>
        <w:rPr>
          <w:color w:val="383636"/>
          <w:spacing w:val="9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16"/>
          <w:w w:val="110"/>
        </w:rPr>
        <w:t> </w:t>
      </w:r>
      <w:r>
        <w:rPr>
          <w:color w:val="383636"/>
          <w:w w:val="110"/>
        </w:rPr>
        <w:t>your</w:t>
      </w:r>
      <w:r>
        <w:rPr>
          <w:color w:val="383636"/>
          <w:spacing w:val="7"/>
          <w:w w:val="110"/>
        </w:rPr>
        <w:t> </w:t>
      </w:r>
      <w:r>
        <w:rPr>
          <w:color w:val="383636"/>
          <w:w w:val="110"/>
        </w:rPr>
        <w:t>case.</w:t>
      </w:r>
      <w:r>
        <w:rPr>
          <w:color w:val="383636"/>
          <w:spacing w:val="-6"/>
          <w:w w:val="110"/>
        </w:rPr>
        <w:t> </w:t>
      </w:r>
      <w:r>
        <w:rPr>
          <w:color w:val="383636"/>
          <w:w w:val="110"/>
        </w:rPr>
        <w:t>Get</w:t>
      </w:r>
      <w:r>
        <w:rPr>
          <w:color w:val="383636"/>
          <w:spacing w:val="14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32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41"/>
          <w:w w:val="110"/>
        </w:rPr>
        <w:t> </w:t>
      </w:r>
      <w:r>
        <w:rPr>
          <w:color w:val="383636"/>
          <w:w w:val="110"/>
        </w:rPr>
        <w:t>habit</w:t>
      </w:r>
      <w:r>
        <w:rPr>
          <w:color w:val="383636"/>
          <w:spacing w:val="5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17"/>
          <w:w w:val="110"/>
        </w:rPr>
        <w:t> </w:t>
      </w:r>
      <w:r>
        <w:rPr>
          <w:color w:val="383636"/>
          <w:w w:val="110"/>
        </w:rPr>
        <w:t>including</w:t>
      </w:r>
      <w:r>
        <w:rPr>
          <w:color w:val="383636"/>
          <w:spacing w:val="16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35"/>
          <w:w w:val="110"/>
        </w:rPr>
        <w:t> </w:t>
      </w:r>
      <w:r>
        <w:rPr>
          <w:color w:val="383636"/>
          <w:w w:val="110"/>
        </w:rPr>
        <w:t>page</w:t>
      </w:r>
      <w:r>
        <w:rPr>
          <w:color w:val="383636"/>
          <w:spacing w:val="4"/>
          <w:w w:val="110"/>
        </w:rPr>
        <w:t> </w:t>
      </w:r>
      <w:r>
        <w:rPr>
          <w:color w:val="383636"/>
          <w:w w:val="110"/>
        </w:rPr>
        <w:t>number</w:t>
      </w:r>
      <w:r>
        <w:rPr>
          <w:color w:val="383636"/>
          <w:spacing w:val="8"/>
          <w:w w:val="110"/>
        </w:rPr>
        <w:t> </w:t>
      </w:r>
      <w:r>
        <w:rPr>
          <w:color w:val="383636"/>
          <w:w w:val="110"/>
        </w:rPr>
        <w:t>when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you</w:t>
      </w:r>
      <w:r>
        <w:rPr>
          <w:color w:val="383636"/>
          <w:spacing w:val="13"/>
          <w:w w:val="105"/>
        </w:rPr>
        <w:t> </w:t>
      </w:r>
      <w:r>
        <w:rPr>
          <w:color w:val="383636"/>
          <w:w w:val="105"/>
        </w:rPr>
        <w:t>talk</w:t>
      </w:r>
      <w:r>
        <w:rPr>
          <w:color w:val="383636"/>
          <w:spacing w:val="10"/>
          <w:w w:val="105"/>
        </w:rPr>
        <w:t> </w:t>
      </w:r>
      <w:r>
        <w:rPr>
          <w:color w:val="383636"/>
          <w:w w:val="105"/>
        </w:rPr>
        <w:t>about</w:t>
      </w:r>
      <w:r>
        <w:rPr>
          <w:color w:val="383636"/>
          <w:spacing w:val="22"/>
          <w:w w:val="105"/>
        </w:rPr>
        <w:t> </w:t>
      </w:r>
      <w:r>
        <w:rPr>
          <w:color w:val="383636"/>
          <w:w w:val="105"/>
        </w:rPr>
        <w:t>these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elements.</w:t>
      </w:r>
      <w:r>
        <w:rPr>
          <w:color w:val="383636"/>
          <w:spacing w:val="19"/>
          <w:w w:val="105"/>
        </w:rPr>
        <w:t> </w:t>
      </w:r>
      <w:r>
        <w:rPr>
          <w:color w:val="383636"/>
          <w:w w:val="105"/>
        </w:rPr>
        <w:t>After</w:t>
      </w:r>
      <w:r>
        <w:rPr>
          <w:color w:val="383636"/>
          <w:spacing w:val="13"/>
          <w:w w:val="105"/>
        </w:rPr>
        <w:t> </w:t>
      </w:r>
      <w:r>
        <w:rPr>
          <w:color w:val="383636"/>
          <w:w w:val="105"/>
        </w:rPr>
        <w:t>all,</w:t>
      </w:r>
      <w:r>
        <w:rPr>
          <w:color w:val="383636"/>
          <w:spacing w:val="22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51"/>
          <w:w w:val="105"/>
        </w:rPr>
        <w:t> </w:t>
      </w:r>
      <w:r>
        <w:rPr>
          <w:color w:val="383636"/>
          <w:w w:val="105"/>
        </w:rPr>
        <w:t>page</w:t>
      </w:r>
      <w:r>
        <w:rPr>
          <w:color w:val="383636"/>
          <w:spacing w:val="10"/>
          <w:w w:val="105"/>
        </w:rPr>
        <w:t> </w:t>
      </w:r>
      <w:r>
        <w:rPr>
          <w:color w:val="383636"/>
          <w:w w:val="105"/>
        </w:rPr>
        <w:t>number</w:t>
      </w:r>
      <w:r>
        <w:rPr>
          <w:color w:val="383636"/>
          <w:spacing w:val="20"/>
          <w:w w:val="105"/>
        </w:rPr>
        <w:t> </w:t>
      </w:r>
      <w:r>
        <w:rPr>
          <w:color w:val="383636"/>
          <w:w w:val="105"/>
        </w:rPr>
        <w:t>is</w:t>
      </w:r>
      <w:r>
        <w:rPr>
          <w:color w:val="383636"/>
          <w:spacing w:val="36"/>
          <w:w w:val="105"/>
        </w:rPr>
        <w:t> </w:t>
      </w:r>
      <w:r>
        <w:rPr>
          <w:color w:val="383636"/>
          <w:w w:val="105"/>
        </w:rPr>
        <w:t>just</w:t>
      </w:r>
      <w:r>
        <w:rPr>
          <w:color w:val="383636"/>
          <w:spacing w:val="-1"/>
          <w:w w:val="105"/>
        </w:rPr>
        <w:t> </w:t>
      </w:r>
      <w:r>
        <w:rPr>
          <w:color w:val="383636"/>
          <w:w w:val="105"/>
        </w:rPr>
        <w:t>one</w:t>
      </w:r>
      <w:r>
        <w:rPr>
          <w:color w:val="383636"/>
          <w:spacing w:val="24"/>
          <w:w w:val="105"/>
        </w:rPr>
        <w:t> </w:t>
      </w:r>
      <w:r>
        <w:rPr>
          <w:color w:val="383636"/>
          <w:w w:val="105"/>
        </w:rPr>
        <w:t>more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word to remember, and  the  benefits in  credibility are worth  the slight cost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of</w:t>
      </w:r>
      <w:r>
        <w:rPr>
          <w:color w:val="383636"/>
          <w:spacing w:val="13"/>
          <w:w w:val="105"/>
        </w:rPr>
        <w:t> </w:t>
      </w:r>
      <w:r>
        <w:rPr>
          <w:color w:val="383636"/>
          <w:w w:val="105"/>
        </w:rPr>
        <w:t>brainpower.</w:t>
      </w:r>
      <w:r>
        <w:rPr>
          <w:color w:val="383636"/>
          <w:spacing w:val="17"/>
          <w:w w:val="105"/>
        </w:rPr>
        <w:t> </w:t>
      </w:r>
      <w:r>
        <w:rPr>
          <w:color w:val="383636"/>
          <w:w w:val="105"/>
        </w:rPr>
        <w:t>Of</w:t>
      </w:r>
      <w:r>
        <w:rPr>
          <w:color w:val="383636"/>
          <w:spacing w:val="5"/>
          <w:w w:val="105"/>
        </w:rPr>
        <w:t> </w:t>
      </w:r>
      <w:r>
        <w:rPr>
          <w:color w:val="383636"/>
          <w:w w:val="105"/>
        </w:rPr>
        <w:t>course</w:t>
      </w:r>
      <w:r>
        <w:rPr>
          <w:color w:val="545456"/>
          <w:w w:val="105"/>
        </w:rPr>
        <w:t>,</w:t>
      </w:r>
      <w:r>
        <w:rPr>
          <w:color w:val="545456"/>
          <w:spacing w:val="2"/>
          <w:w w:val="105"/>
        </w:rPr>
        <w:t> </w:t>
      </w:r>
      <w:r>
        <w:rPr>
          <w:color w:val="383636"/>
          <w:w w:val="105"/>
        </w:rPr>
        <w:t>you</w:t>
      </w:r>
      <w:r>
        <w:rPr>
          <w:color w:val="383636"/>
          <w:spacing w:val="24"/>
          <w:w w:val="105"/>
        </w:rPr>
        <w:t> </w:t>
      </w:r>
      <w:r>
        <w:rPr>
          <w:color w:val="383636"/>
          <w:w w:val="105"/>
        </w:rPr>
        <w:t>must</w:t>
      </w:r>
      <w:r>
        <w:rPr>
          <w:color w:val="383636"/>
          <w:spacing w:val="7"/>
          <w:w w:val="105"/>
        </w:rPr>
        <w:t> </w:t>
      </w:r>
      <w:r>
        <w:rPr>
          <w:color w:val="383636"/>
          <w:w w:val="105"/>
        </w:rPr>
        <w:t>decide</w:t>
      </w:r>
      <w:r>
        <w:rPr>
          <w:color w:val="383636"/>
          <w:spacing w:val="-13"/>
          <w:w w:val="105"/>
        </w:rPr>
        <w:t> </w:t>
      </w:r>
      <w:r>
        <w:rPr>
          <w:color w:val="383636"/>
          <w:w w:val="105"/>
        </w:rPr>
        <w:t>whether</w:t>
      </w:r>
      <w:r>
        <w:rPr>
          <w:color w:val="383636"/>
          <w:spacing w:val="6"/>
          <w:w w:val="105"/>
        </w:rPr>
        <w:t> </w:t>
      </w:r>
      <w:r>
        <w:rPr>
          <w:color w:val="383636"/>
          <w:w w:val="105"/>
        </w:rPr>
        <w:t>your</w:t>
      </w:r>
      <w:r>
        <w:rPr>
          <w:color w:val="383636"/>
          <w:spacing w:val="2"/>
          <w:w w:val="105"/>
        </w:rPr>
        <w:t> </w:t>
      </w:r>
      <w:r>
        <w:rPr>
          <w:color w:val="383636"/>
          <w:w w:val="105"/>
        </w:rPr>
        <w:t>performance</w:t>
      </w:r>
      <w:r>
        <w:rPr>
          <w:color w:val="383636"/>
          <w:spacing w:val="-3"/>
          <w:w w:val="105"/>
        </w:rPr>
        <w:t> </w:t>
      </w:r>
      <w:r>
        <w:rPr>
          <w:color w:val="383636"/>
          <w:w w:val="105"/>
        </w:rPr>
        <w:t>argu­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ments</w:t>
      </w:r>
      <w:r>
        <w:rPr>
          <w:color w:val="383636"/>
          <w:spacing w:val="-23"/>
          <w:w w:val="110"/>
        </w:rPr>
        <w:t> </w:t>
      </w:r>
      <w:r>
        <w:rPr>
          <w:color w:val="383636"/>
          <w:w w:val="110"/>
        </w:rPr>
        <w:t>should</w:t>
      </w:r>
      <w:r>
        <w:rPr>
          <w:color w:val="383636"/>
          <w:spacing w:val="-8"/>
          <w:w w:val="110"/>
        </w:rPr>
        <w:t> </w:t>
      </w:r>
      <w:r>
        <w:rPr>
          <w:color w:val="383636"/>
          <w:w w:val="110"/>
        </w:rPr>
        <w:t>include page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numbers</w:t>
      </w:r>
      <w:r>
        <w:rPr>
          <w:color w:val="383636"/>
          <w:spacing w:val="-12"/>
          <w:w w:val="110"/>
        </w:rPr>
        <w:t> </w:t>
      </w:r>
      <w:r>
        <w:rPr>
          <w:color w:val="383636"/>
          <w:w w:val="110"/>
        </w:rPr>
        <w:t>every</w:t>
      </w:r>
      <w:r>
        <w:rPr>
          <w:color w:val="383636"/>
          <w:spacing w:val="-15"/>
          <w:w w:val="110"/>
        </w:rPr>
        <w:t> </w:t>
      </w:r>
      <w:r>
        <w:rPr>
          <w:color w:val="383636"/>
          <w:w w:val="110"/>
        </w:rPr>
        <w:t>time</w:t>
      </w:r>
      <w:r>
        <w:rPr>
          <w:color w:val="383636"/>
          <w:spacing w:val="-13"/>
          <w:w w:val="110"/>
        </w:rPr>
        <w:t> </w:t>
      </w:r>
      <w:r>
        <w:rPr>
          <w:color w:val="383636"/>
          <w:w w:val="110"/>
        </w:rPr>
        <w:t>you</w:t>
      </w:r>
      <w:r>
        <w:rPr>
          <w:color w:val="383636"/>
          <w:spacing w:val="-19"/>
          <w:w w:val="110"/>
        </w:rPr>
        <w:t> </w:t>
      </w:r>
      <w:r>
        <w:rPr>
          <w:color w:val="383636"/>
          <w:w w:val="110"/>
        </w:rPr>
        <w:t>mention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a</w:t>
      </w:r>
      <w:r>
        <w:rPr>
          <w:color w:val="383636"/>
          <w:spacing w:val="-14"/>
          <w:w w:val="110"/>
        </w:rPr>
        <w:t> </w:t>
      </w:r>
      <w:r>
        <w:rPr>
          <w:color w:val="383636"/>
          <w:w w:val="110"/>
        </w:rPr>
        <w:t>crucial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fact,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or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a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crucial point from an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authority case. While the  specific page numbers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can</w:t>
      </w:r>
      <w:r>
        <w:rPr>
          <w:color w:val="383636"/>
          <w:spacing w:val="3"/>
          <w:w w:val="105"/>
        </w:rPr>
        <w:t> </w:t>
      </w:r>
      <w:r>
        <w:rPr>
          <w:color w:val="383636"/>
          <w:w w:val="105"/>
        </w:rPr>
        <w:t>be</w:t>
      </w:r>
      <w:r>
        <w:rPr>
          <w:color w:val="383636"/>
          <w:spacing w:val="9"/>
          <w:w w:val="105"/>
        </w:rPr>
        <w:t> </w:t>
      </w:r>
      <w:r>
        <w:rPr>
          <w:color w:val="383636"/>
          <w:w w:val="105"/>
        </w:rPr>
        <w:t>effectively</w:t>
      </w:r>
      <w:r>
        <w:rPr>
          <w:color w:val="383636"/>
          <w:spacing w:val="-5"/>
          <w:w w:val="105"/>
        </w:rPr>
        <w:t> </w:t>
      </w:r>
      <w:r>
        <w:rPr>
          <w:color w:val="383636"/>
          <w:w w:val="105"/>
        </w:rPr>
        <w:t>used</w:t>
      </w:r>
      <w:r>
        <w:rPr>
          <w:color w:val="383636"/>
          <w:spacing w:val="7"/>
          <w:w w:val="105"/>
        </w:rPr>
        <w:t> </w:t>
      </w:r>
      <w:r>
        <w:rPr>
          <w:color w:val="383636"/>
          <w:w w:val="105"/>
        </w:rPr>
        <w:t>to</w:t>
      </w:r>
      <w:r>
        <w:rPr>
          <w:color w:val="383636"/>
          <w:spacing w:val="12"/>
          <w:w w:val="105"/>
        </w:rPr>
        <w:t> </w:t>
      </w:r>
      <w:r>
        <w:rPr>
          <w:color w:val="383636"/>
          <w:w w:val="105"/>
        </w:rPr>
        <w:t>contradict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an</w:t>
      </w:r>
      <w:r>
        <w:rPr>
          <w:color w:val="383636"/>
          <w:spacing w:val="18"/>
          <w:w w:val="105"/>
        </w:rPr>
        <w:t> </w:t>
      </w:r>
      <w:r>
        <w:rPr>
          <w:color w:val="383636"/>
          <w:w w:val="105"/>
        </w:rPr>
        <w:t>opponent's</w:t>
      </w:r>
      <w:r>
        <w:rPr>
          <w:color w:val="383636"/>
          <w:spacing w:val="6"/>
          <w:w w:val="105"/>
        </w:rPr>
        <w:t> </w:t>
      </w:r>
      <w:r>
        <w:rPr>
          <w:color w:val="383636"/>
          <w:w w:val="105"/>
        </w:rPr>
        <w:t>misstatement</w:t>
      </w:r>
      <w:r>
        <w:rPr>
          <w:color w:val="383636"/>
          <w:spacing w:val="17"/>
          <w:w w:val="105"/>
        </w:rPr>
        <w:t> </w:t>
      </w:r>
      <w:r>
        <w:rPr>
          <w:color w:val="383636"/>
          <w:w w:val="105"/>
        </w:rPr>
        <w:t>of</w:t>
      </w:r>
      <w:r>
        <w:rPr>
          <w:color w:val="383636"/>
          <w:spacing w:val="8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16"/>
          <w:w w:val="105"/>
        </w:rPr>
        <w:t> </w:t>
      </w:r>
      <w:r>
        <w:rPr>
          <w:color w:val="383636"/>
          <w:w w:val="105"/>
        </w:rPr>
        <w:t>law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or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facts, using them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throughout  the argument can look like showboat­</w:t>
      </w:r>
      <w:r>
        <w:rPr>
          <w:color w:val="383636"/>
          <w:spacing w:val="1"/>
          <w:w w:val="105"/>
        </w:rPr>
        <w:t> </w:t>
      </w:r>
      <w:r>
        <w:rPr>
          <w:color w:val="383636"/>
          <w:spacing w:val="-1"/>
          <w:w w:val="110"/>
        </w:rPr>
        <w:t>ing.</w:t>
      </w:r>
      <w:r>
        <w:rPr>
          <w:color w:val="383636"/>
          <w:spacing w:val="-26"/>
          <w:w w:val="110"/>
        </w:rPr>
        <w:t> </w:t>
      </w:r>
      <w:r>
        <w:rPr>
          <w:color w:val="383636"/>
          <w:spacing w:val="-1"/>
          <w:w w:val="110"/>
        </w:rPr>
        <w:t>On</w:t>
      </w:r>
      <w:r>
        <w:rPr>
          <w:color w:val="383636"/>
          <w:spacing w:val="-17"/>
          <w:w w:val="110"/>
        </w:rPr>
        <w:t> </w:t>
      </w:r>
      <w:r>
        <w:rPr>
          <w:color w:val="383636"/>
          <w:spacing w:val="-1"/>
          <w:w w:val="110"/>
        </w:rPr>
        <w:t>the</w:t>
      </w:r>
      <w:r>
        <w:rPr>
          <w:color w:val="383636"/>
          <w:spacing w:val="-9"/>
          <w:w w:val="110"/>
        </w:rPr>
        <w:t> </w:t>
      </w:r>
      <w:r>
        <w:rPr>
          <w:color w:val="383636"/>
          <w:spacing w:val="-1"/>
          <w:w w:val="110"/>
        </w:rPr>
        <w:t>other</w:t>
      </w:r>
      <w:r>
        <w:rPr>
          <w:color w:val="383636"/>
          <w:spacing w:val="-19"/>
          <w:w w:val="110"/>
        </w:rPr>
        <w:t> </w:t>
      </w:r>
      <w:r>
        <w:rPr>
          <w:color w:val="383636"/>
          <w:spacing w:val="-1"/>
          <w:w w:val="110"/>
        </w:rPr>
        <w:t>hand,</w:t>
      </w:r>
      <w:r>
        <w:rPr>
          <w:color w:val="383636"/>
          <w:spacing w:val="-21"/>
          <w:w w:val="110"/>
        </w:rPr>
        <w:t> </w:t>
      </w:r>
      <w:r>
        <w:rPr>
          <w:color w:val="383636"/>
          <w:spacing w:val="-1"/>
          <w:w w:val="110"/>
        </w:rPr>
        <w:t>some</w:t>
      </w:r>
      <w:r>
        <w:rPr>
          <w:color w:val="383636"/>
          <w:spacing w:val="3"/>
          <w:w w:val="110"/>
        </w:rPr>
        <w:t> </w:t>
      </w:r>
      <w:r>
        <w:rPr>
          <w:color w:val="383636"/>
          <w:spacing w:val="-1"/>
          <w:w w:val="110"/>
        </w:rPr>
        <w:t>judges</w:t>
      </w:r>
      <w:r>
        <w:rPr>
          <w:color w:val="383636"/>
          <w:spacing w:val="-15"/>
          <w:w w:val="110"/>
        </w:rPr>
        <w:t> </w:t>
      </w:r>
      <w:r>
        <w:rPr>
          <w:color w:val="383636"/>
          <w:spacing w:val="-1"/>
          <w:w w:val="110"/>
        </w:rPr>
        <w:t>are</w:t>
      </w:r>
      <w:r>
        <w:rPr>
          <w:color w:val="383636"/>
          <w:spacing w:val="3"/>
          <w:w w:val="110"/>
        </w:rPr>
        <w:t> </w:t>
      </w:r>
      <w:r>
        <w:rPr>
          <w:color w:val="383636"/>
          <w:spacing w:val="-1"/>
          <w:w w:val="110"/>
        </w:rPr>
        <w:t>duly</w:t>
      </w:r>
      <w:r>
        <w:rPr>
          <w:color w:val="383636"/>
          <w:spacing w:val="-28"/>
          <w:w w:val="110"/>
        </w:rPr>
        <w:t> </w:t>
      </w:r>
      <w:r>
        <w:rPr>
          <w:color w:val="383636"/>
          <w:spacing w:val="-1"/>
          <w:w w:val="110"/>
        </w:rPr>
        <w:t>impressed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by</w:t>
      </w:r>
      <w:r>
        <w:rPr>
          <w:color w:val="383636"/>
          <w:spacing w:val="-26"/>
          <w:w w:val="110"/>
        </w:rPr>
        <w:t> </w:t>
      </w:r>
      <w:r>
        <w:rPr>
          <w:color w:val="383636"/>
          <w:w w:val="110"/>
        </w:rPr>
        <w:t>counsel's</w:t>
      </w:r>
      <w:r>
        <w:rPr>
          <w:color w:val="383636"/>
          <w:spacing w:val="-21"/>
          <w:w w:val="110"/>
        </w:rPr>
        <w:t> </w:t>
      </w:r>
      <w:r>
        <w:rPr>
          <w:color w:val="383636"/>
          <w:w w:val="110"/>
        </w:rPr>
        <w:t>ability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to provide such specific support for statements about the lawand thefacts</w:t>
      </w:r>
      <w:r>
        <w:rPr>
          <w:color w:val="545456"/>
          <w:w w:val="110"/>
        </w:rPr>
        <w:t>.</w:t>
      </w:r>
      <w:r>
        <w:rPr>
          <w:color w:val="545456"/>
          <w:spacing w:val="1"/>
          <w:w w:val="110"/>
        </w:rPr>
        <w:t> </w:t>
      </w:r>
      <w:r>
        <w:rPr>
          <w:color w:val="383636"/>
          <w:w w:val="110"/>
        </w:rPr>
        <w:t>Keep</w:t>
      </w:r>
      <w:r>
        <w:rPr>
          <w:color w:val="383636"/>
          <w:spacing w:val="-9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53"/>
          <w:w w:val="110"/>
        </w:rPr>
        <w:t> </w:t>
      </w:r>
      <w:r>
        <w:rPr>
          <w:color w:val="383636"/>
          <w:w w:val="110"/>
        </w:rPr>
        <w:t>mind</w:t>
      </w:r>
      <w:r>
        <w:rPr>
          <w:color w:val="383636"/>
          <w:spacing w:val="14"/>
          <w:w w:val="110"/>
        </w:rPr>
        <w:t> </w:t>
      </w:r>
      <w:r>
        <w:rPr>
          <w:color w:val="383636"/>
          <w:w w:val="110"/>
        </w:rPr>
        <w:t>that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although</w:t>
      </w:r>
      <w:r>
        <w:rPr>
          <w:color w:val="383636"/>
          <w:spacing w:val="15"/>
          <w:w w:val="110"/>
        </w:rPr>
        <w:t> </w:t>
      </w:r>
      <w:r>
        <w:rPr>
          <w:color w:val="383636"/>
          <w:w w:val="110"/>
        </w:rPr>
        <w:t>citations</w:t>
      </w:r>
      <w:r>
        <w:rPr>
          <w:color w:val="383636"/>
          <w:spacing w:val="2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14"/>
          <w:w w:val="110"/>
        </w:rPr>
        <w:t> </w:t>
      </w:r>
      <w:r>
        <w:rPr>
          <w:color w:val="383636"/>
          <w:w w:val="110"/>
        </w:rPr>
        <w:t>cases</w:t>
      </w:r>
      <w:r>
        <w:rPr>
          <w:color w:val="383636"/>
          <w:spacing w:val="-14"/>
          <w:w w:val="110"/>
        </w:rPr>
        <w:t> </w:t>
      </w:r>
      <w:r>
        <w:rPr>
          <w:color w:val="383636"/>
          <w:w w:val="110"/>
        </w:rPr>
        <w:t>are</w:t>
      </w:r>
      <w:r>
        <w:rPr>
          <w:color w:val="383636"/>
          <w:spacing w:val="15"/>
          <w:w w:val="110"/>
        </w:rPr>
        <w:t> </w:t>
      </w:r>
      <w:r>
        <w:rPr>
          <w:color w:val="383636"/>
          <w:w w:val="110"/>
        </w:rPr>
        <w:t>unusual</w:t>
      </w:r>
      <w:r>
        <w:rPr>
          <w:color w:val="383636"/>
          <w:spacing w:val="5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5"/>
          <w:w w:val="110"/>
        </w:rPr>
        <w:t> </w:t>
      </w:r>
      <w:r>
        <w:rPr>
          <w:color w:val="383636"/>
          <w:w w:val="110"/>
        </w:rPr>
        <w:t>real</w:t>
      </w:r>
      <w:r>
        <w:rPr>
          <w:color w:val="383636"/>
          <w:spacing w:val="-9"/>
          <w:w w:val="110"/>
        </w:rPr>
        <w:t> </w:t>
      </w:r>
      <w:r>
        <w:rPr>
          <w:color w:val="383636"/>
          <w:w w:val="110"/>
        </w:rPr>
        <w:t>life,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citations to the record are not. If you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have had the opportunity to observe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more than a couple of oral arguments, you have probably seen a judge ask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counsel where a particular fact can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be found in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record. Upon receiv­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ing</w:t>
      </w:r>
      <w:r>
        <w:rPr>
          <w:color w:val="383636"/>
          <w:spacing w:val="4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3"/>
          <w:w w:val="110"/>
        </w:rPr>
        <w:t> </w:t>
      </w:r>
      <w:r>
        <w:rPr>
          <w:color w:val="383636"/>
          <w:w w:val="110"/>
        </w:rPr>
        <w:t>answer,</w:t>
      </w:r>
      <w:r>
        <w:rPr>
          <w:color w:val="383636"/>
          <w:spacing w:val="15"/>
          <w:w w:val="110"/>
        </w:rPr>
        <w:t> </w:t>
      </w:r>
      <w:r>
        <w:rPr>
          <w:color w:val="383636"/>
          <w:w w:val="110"/>
        </w:rPr>
        <w:t>most</w:t>
      </w:r>
      <w:r>
        <w:rPr>
          <w:color w:val="383636"/>
          <w:spacing w:val="34"/>
          <w:w w:val="110"/>
        </w:rPr>
        <w:t> </w:t>
      </w:r>
      <w:r>
        <w:rPr>
          <w:color w:val="383636"/>
          <w:w w:val="110"/>
        </w:rPr>
        <w:t>judges</w:t>
      </w:r>
      <w:r>
        <w:rPr>
          <w:color w:val="383636"/>
          <w:spacing w:val="9"/>
          <w:w w:val="110"/>
        </w:rPr>
        <w:t> </w:t>
      </w:r>
      <w:r>
        <w:rPr>
          <w:color w:val="383636"/>
          <w:w w:val="110"/>
        </w:rPr>
        <w:t>turn</w:t>
      </w:r>
      <w:r>
        <w:rPr>
          <w:color w:val="383636"/>
          <w:spacing w:val="11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2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7"/>
          <w:w w:val="110"/>
        </w:rPr>
        <w:t> </w:t>
      </w:r>
      <w:r>
        <w:rPr>
          <w:color w:val="383636"/>
          <w:w w:val="110"/>
        </w:rPr>
        <w:t>page</w:t>
      </w:r>
      <w:r>
        <w:rPr>
          <w:color w:val="383636"/>
          <w:spacing w:val="-1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17"/>
          <w:w w:val="110"/>
        </w:rPr>
        <w:t> </w:t>
      </w:r>
      <w:r>
        <w:rPr>
          <w:color w:val="383636"/>
          <w:w w:val="110"/>
        </w:rPr>
        <w:t>start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reviewing</w:t>
      </w:r>
      <w:r>
        <w:rPr>
          <w:color w:val="383636"/>
          <w:spacing w:val="1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7"/>
          <w:w w:val="110"/>
        </w:rPr>
        <w:t> </w:t>
      </w:r>
      <w:r>
        <w:rPr>
          <w:color w:val="383636"/>
          <w:w w:val="110"/>
        </w:rPr>
        <w:t>facts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immediately.</w:t>
      </w:r>
      <w:r>
        <w:rPr>
          <w:color w:val="383636"/>
          <w:spacing w:val="-5"/>
          <w:w w:val="110"/>
        </w:rPr>
        <w:t> </w:t>
      </w:r>
      <w:r>
        <w:rPr>
          <w:color w:val="383636"/>
          <w:w w:val="110"/>
        </w:rPr>
        <w:t>Thus,</w:t>
      </w:r>
      <w:r>
        <w:rPr>
          <w:color w:val="383636"/>
          <w:spacing w:val="-2"/>
          <w:w w:val="110"/>
        </w:rPr>
        <w:t> </w:t>
      </w:r>
      <w:r>
        <w:rPr>
          <w:color w:val="383636"/>
          <w:w w:val="110"/>
        </w:rPr>
        <w:t>memorizing</w:t>
      </w:r>
      <w:r>
        <w:rPr>
          <w:color w:val="383636"/>
          <w:spacing w:val="7"/>
          <w:w w:val="110"/>
        </w:rPr>
        <w:t> </w:t>
      </w:r>
      <w:r>
        <w:rPr>
          <w:color w:val="383636"/>
          <w:w w:val="110"/>
        </w:rPr>
        <w:t>certain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page</w:t>
      </w:r>
      <w:r>
        <w:rPr>
          <w:color w:val="383636"/>
          <w:spacing w:val="-13"/>
          <w:w w:val="110"/>
        </w:rPr>
        <w:t> </w:t>
      </w:r>
      <w:r>
        <w:rPr>
          <w:color w:val="383636"/>
          <w:w w:val="110"/>
        </w:rPr>
        <w:t>numbers</w:t>
      </w:r>
      <w:r>
        <w:rPr>
          <w:color w:val="383636"/>
          <w:spacing w:val="-18"/>
          <w:w w:val="110"/>
        </w:rPr>
        <w:t> </w:t>
      </w:r>
      <w:r>
        <w:rPr>
          <w:color w:val="383636"/>
          <w:w w:val="110"/>
        </w:rPr>
        <w:t>can be</w:t>
      </w:r>
      <w:r>
        <w:rPr>
          <w:color w:val="383636"/>
          <w:spacing w:val="-25"/>
          <w:w w:val="110"/>
        </w:rPr>
        <w:t> </w:t>
      </w:r>
      <w:r>
        <w:rPr>
          <w:color w:val="383636"/>
          <w:w w:val="110"/>
        </w:rPr>
        <w:t>a</w:t>
      </w:r>
      <w:r>
        <w:rPr>
          <w:color w:val="383636"/>
          <w:spacing w:val="-20"/>
          <w:w w:val="110"/>
        </w:rPr>
        <w:t> </w:t>
      </w:r>
      <w:r>
        <w:rPr>
          <w:color w:val="383636"/>
          <w:w w:val="110"/>
        </w:rPr>
        <w:t>skill</w:t>
      </w:r>
      <w:r>
        <w:rPr>
          <w:color w:val="383636"/>
          <w:spacing w:val="-5"/>
          <w:w w:val="110"/>
        </w:rPr>
        <w:t> </w:t>
      </w:r>
      <w:r>
        <w:rPr>
          <w:color w:val="383636"/>
          <w:w w:val="110"/>
        </w:rPr>
        <w:t>worth</w:t>
      </w:r>
    </w:p>
    <w:p>
      <w:pPr>
        <w:pStyle w:val="BodyText"/>
        <w:spacing w:line="242" w:lineRule="exact"/>
        <w:ind w:left="695"/>
      </w:pPr>
      <w:r>
        <w:rPr>
          <w:color w:val="383636"/>
          <w:w w:val="110"/>
        </w:rPr>
        <w:t>developing.</w:t>
      </w:r>
    </w:p>
    <w:p>
      <w:pPr>
        <w:pStyle w:val="BodyText"/>
        <w:spacing w:line="232" w:lineRule="auto"/>
        <w:ind w:left="608" w:right="128" w:firstLine="457"/>
        <w:jc w:val="both"/>
      </w:pPr>
      <w:r>
        <w:rPr>
          <w:color w:val="383636"/>
          <w:w w:val="110"/>
        </w:rPr>
        <w:t>Perhaps the best way to prepare for this situation is to make a "cheat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sheet" for both the lawand the facts</w:t>
      </w:r>
      <w:r>
        <w:rPr>
          <w:color w:val="545456"/>
          <w:w w:val="110"/>
        </w:rPr>
        <w:t>. </w:t>
      </w:r>
      <w:r>
        <w:rPr>
          <w:color w:val="383636"/>
          <w:w w:val="110"/>
        </w:rPr>
        <w:t>Make a chart of the most significant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  <w:sz w:val="22"/>
        </w:rPr>
        <w:t>facts, </w:t>
      </w:r>
      <w:r>
        <w:rPr>
          <w:color w:val="383636"/>
          <w:w w:val="115"/>
        </w:rPr>
        <w:t>and  note their location in the  record. Similarly, identify the two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or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three cases that are most significant to each argument</w:t>
      </w:r>
      <w:r>
        <w:rPr>
          <w:color w:val="545456"/>
          <w:w w:val="110"/>
        </w:rPr>
        <w:t>, </w:t>
      </w:r>
      <w:r>
        <w:rPr>
          <w:color w:val="383636"/>
          <w:w w:val="110"/>
        </w:rPr>
        <w:t>and identify a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statement from the case that crystallizes the point that each side might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05"/>
        </w:rPr>
        <w:t>use the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case to make. Not every case will yield effective arguments for each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side; when they don't, search for something you can use to argue the case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on one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side and to distinguish it on the other. Preparing a cheat sheet will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help you to learn the law and the facts, provide you with a study guide,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and</w:t>
      </w:r>
      <w:r>
        <w:rPr>
          <w:color w:val="383636"/>
          <w:spacing w:val="18"/>
          <w:w w:val="110"/>
        </w:rPr>
        <w:t> </w:t>
      </w:r>
      <w:r>
        <w:rPr>
          <w:color w:val="383636"/>
          <w:w w:val="110"/>
        </w:rPr>
        <w:t>give</w:t>
      </w:r>
      <w:r>
        <w:rPr>
          <w:color w:val="383636"/>
          <w:spacing w:val="-5"/>
          <w:w w:val="110"/>
        </w:rPr>
        <w:t> </w:t>
      </w:r>
      <w:r>
        <w:rPr>
          <w:color w:val="383636"/>
          <w:w w:val="110"/>
        </w:rPr>
        <w:t>you</w:t>
      </w:r>
      <w:r>
        <w:rPr>
          <w:color w:val="383636"/>
          <w:spacing w:val="11"/>
          <w:w w:val="110"/>
        </w:rPr>
        <w:t> </w:t>
      </w:r>
      <w:r>
        <w:rPr>
          <w:color w:val="383636"/>
          <w:w w:val="110"/>
        </w:rPr>
        <w:t>a</w:t>
      </w:r>
      <w:r>
        <w:rPr>
          <w:color w:val="383636"/>
          <w:spacing w:val="5"/>
          <w:w w:val="110"/>
        </w:rPr>
        <w:t> </w:t>
      </w:r>
      <w:r>
        <w:rPr>
          <w:color w:val="383636"/>
          <w:w w:val="110"/>
        </w:rPr>
        <w:t>ready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reference</w:t>
      </w:r>
      <w:r>
        <w:rPr>
          <w:color w:val="383636"/>
          <w:spacing w:val="8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21"/>
          <w:w w:val="110"/>
        </w:rPr>
        <w:t> </w:t>
      </w:r>
      <w:r>
        <w:rPr>
          <w:color w:val="383636"/>
          <w:w w:val="110"/>
        </w:rPr>
        <w:t>take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15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38"/>
          <w:w w:val="110"/>
        </w:rPr>
        <w:t> </w:t>
      </w:r>
      <w:r>
        <w:rPr>
          <w:color w:val="383636"/>
          <w:w w:val="110"/>
        </w:rPr>
        <w:t>podium</w:t>
      </w:r>
      <w:r>
        <w:rPr>
          <w:color w:val="383636"/>
          <w:spacing w:val="4"/>
          <w:w w:val="110"/>
        </w:rPr>
        <w:t> </w:t>
      </w:r>
      <w:r>
        <w:rPr>
          <w:color w:val="383636"/>
          <w:w w:val="110"/>
          <w:sz w:val="21"/>
        </w:rPr>
        <w:t>if</w:t>
      </w:r>
      <w:r>
        <w:rPr>
          <w:color w:val="383636"/>
          <w:spacing w:val="16"/>
          <w:w w:val="110"/>
          <w:sz w:val="21"/>
        </w:rPr>
        <w:t> </w:t>
      </w:r>
      <w:r>
        <w:rPr>
          <w:color w:val="383636"/>
          <w:w w:val="110"/>
        </w:rPr>
        <w:t>needed.</w:t>
      </w:r>
    </w:p>
    <w:p>
      <w:pPr>
        <w:spacing w:after="0" w:line="232" w:lineRule="auto"/>
        <w:jc w:val="both"/>
        <w:sectPr>
          <w:pgSz w:w="9840" w:h="13990"/>
          <w:pgMar w:header="534" w:footer="0" w:top="1120" w:bottom="0" w:left="1360" w:right="160"/>
        </w:sectPr>
      </w:pPr>
    </w:p>
    <w:p>
      <w:pPr>
        <w:pStyle w:val="BodyText"/>
        <w:rPr>
          <w:sz w:val="20"/>
        </w:rPr>
      </w:pPr>
    </w:p>
    <w:p>
      <w:pPr>
        <w:spacing w:before="210"/>
        <w:ind w:left="477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83636"/>
          <w:w w:val="105"/>
          <w:sz w:val="28"/>
        </w:rPr>
        <w:t>14.5</w:t>
      </w:r>
      <w:r>
        <w:rPr>
          <w:rFonts w:ascii="Arial"/>
          <w:b/>
          <w:color w:val="606062"/>
          <w:w w:val="105"/>
          <w:sz w:val="28"/>
        </w:rPr>
        <w:t>.</w:t>
      </w:r>
      <w:r>
        <w:rPr>
          <w:rFonts w:ascii="Arial"/>
          <w:b/>
          <w:color w:val="383636"/>
          <w:w w:val="105"/>
          <w:sz w:val="28"/>
        </w:rPr>
        <w:t>3</w:t>
      </w:r>
    </w:p>
    <w:p>
      <w:pPr>
        <w:spacing w:before="52"/>
        <w:ind w:left="465" w:right="0" w:firstLine="0"/>
        <w:jc w:val="left"/>
        <w:rPr>
          <w:rFonts w:ascii="Arial"/>
          <w:sz w:val="22"/>
        </w:rPr>
      </w:pPr>
      <w:r>
        <w:rPr>
          <w:rFonts w:ascii="Arial"/>
          <w:color w:val="383636"/>
          <w:w w:val="105"/>
          <w:sz w:val="22"/>
        </w:rPr>
        <w:t>THE</w:t>
      </w:r>
      <w:r>
        <w:rPr>
          <w:rFonts w:ascii="Arial"/>
          <w:color w:val="383636"/>
          <w:spacing w:val="-16"/>
          <w:w w:val="105"/>
          <w:sz w:val="22"/>
        </w:rPr>
        <w:t> </w:t>
      </w:r>
      <w:r>
        <w:rPr>
          <w:rFonts w:ascii="Arial"/>
          <w:color w:val="383636"/>
          <w:w w:val="105"/>
          <w:sz w:val="22"/>
        </w:rPr>
        <w:t>CONCLUSION</w:t>
      </w:r>
    </w:p>
    <w:p>
      <w:pPr>
        <w:pStyle w:val="BodyText"/>
        <w:spacing w:line="232" w:lineRule="auto" w:before="179"/>
        <w:ind w:left="102" w:right="334" w:firstLine="346"/>
        <w:jc w:val="both"/>
      </w:pPr>
      <w:r>
        <w:rPr>
          <w:color w:val="383636"/>
          <w:w w:val="110"/>
        </w:rPr>
        <w:t>Although  the  argument's  conclusion  may  take  less  than a  minute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of your time, it is important to do it right because it represents the last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impression that the court will have of you. To make life more interesting,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your conclusion should be structured differently depending on what is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happening when your time runs out or is about to run out. Your first job is</w:t>
      </w:r>
      <w:r>
        <w:rPr>
          <w:color w:val="383636"/>
          <w:spacing w:val="-61"/>
          <w:w w:val="110"/>
        </w:rPr>
        <w:t> </w:t>
      </w:r>
      <w:r>
        <w:rPr>
          <w:color w:val="383636"/>
          <w:spacing w:val="-1"/>
          <w:w w:val="110"/>
        </w:rPr>
        <w:t>to </w:t>
      </w:r>
      <w:r>
        <w:rPr>
          <w:rFonts w:ascii="Arial"/>
          <w:color w:val="383636"/>
          <w:spacing w:val="-1"/>
          <w:w w:val="110"/>
          <w:sz w:val="20"/>
        </w:rPr>
        <w:t>be </w:t>
      </w:r>
      <w:r>
        <w:rPr>
          <w:color w:val="383636"/>
          <w:spacing w:val="-1"/>
          <w:w w:val="110"/>
        </w:rPr>
        <w:t>aware of your </w:t>
      </w:r>
      <w:r>
        <w:rPr>
          <w:color w:val="383636"/>
          <w:w w:val="110"/>
        </w:rPr>
        <w:t>time</w:t>
      </w:r>
      <w:r>
        <w:rPr>
          <w:color w:val="606062"/>
          <w:w w:val="110"/>
        </w:rPr>
        <w:t>. </w:t>
      </w:r>
      <w:r>
        <w:rPr>
          <w:color w:val="383636"/>
          <w:w w:val="110"/>
        </w:rPr>
        <w:t>At the competition, talk to the bailiff before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round, and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make sure that he or she is sitting where you can see the time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cards. If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  bailiff is planning to sit in an  inconvenient place, don't be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shy</w:t>
      </w:r>
      <w:r>
        <w:rPr>
          <w:color w:val="383636"/>
          <w:spacing w:val="-36"/>
          <w:w w:val="110"/>
        </w:rPr>
        <w:t> </w:t>
      </w:r>
      <w:r>
        <w:rPr>
          <w:color w:val="383636"/>
          <w:w w:val="110"/>
        </w:rPr>
        <w:t>about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asking</w:t>
      </w:r>
      <w:r>
        <w:rPr>
          <w:color w:val="383636"/>
          <w:spacing w:val="-16"/>
          <w:w w:val="110"/>
        </w:rPr>
        <w:t> </w:t>
      </w:r>
      <w:r>
        <w:rPr>
          <w:color w:val="383636"/>
          <w:w w:val="110"/>
        </w:rPr>
        <w:t>for</w:t>
      </w:r>
      <w:r>
        <w:rPr>
          <w:color w:val="383636"/>
          <w:spacing w:val="-20"/>
          <w:w w:val="110"/>
        </w:rPr>
        <w:t> </w:t>
      </w:r>
      <w:r>
        <w:rPr>
          <w:color w:val="383636"/>
          <w:w w:val="110"/>
        </w:rPr>
        <w:t>a</w:t>
      </w:r>
      <w:r>
        <w:rPr>
          <w:color w:val="383636"/>
          <w:spacing w:val="9"/>
          <w:w w:val="110"/>
        </w:rPr>
        <w:t> </w:t>
      </w:r>
      <w:r>
        <w:rPr>
          <w:color w:val="383636"/>
          <w:w w:val="110"/>
        </w:rPr>
        <w:t>change</w:t>
      </w:r>
      <w:r>
        <w:rPr>
          <w:color w:val="383636"/>
          <w:spacing w:val="-17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12"/>
          <w:w w:val="110"/>
        </w:rPr>
        <w:t> </w:t>
      </w:r>
      <w:r>
        <w:rPr>
          <w:color w:val="383636"/>
          <w:w w:val="110"/>
        </w:rPr>
        <w:t>seating</w:t>
      </w:r>
      <w:r>
        <w:rPr>
          <w:color w:val="383636"/>
          <w:spacing w:val="-8"/>
          <w:w w:val="110"/>
        </w:rPr>
        <w:t> </w:t>
      </w:r>
      <w:r>
        <w:rPr>
          <w:color w:val="383636"/>
          <w:w w:val="110"/>
        </w:rPr>
        <w:t>arrangements.</w:t>
      </w:r>
      <w:r>
        <w:rPr>
          <w:color w:val="383636"/>
          <w:spacing w:val="-15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7"/>
          <w:w w:val="110"/>
        </w:rPr>
        <w:t> </w:t>
      </w:r>
      <w:r>
        <w:rPr>
          <w:color w:val="383636"/>
          <w:w w:val="110"/>
        </w:rPr>
        <w:t>whole</w:t>
      </w:r>
      <w:r>
        <w:rPr>
          <w:color w:val="383636"/>
          <w:spacing w:val="4"/>
          <w:w w:val="110"/>
        </w:rPr>
        <w:t> </w:t>
      </w:r>
      <w:r>
        <w:rPr>
          <w:color w:val="383636"/>
          <w:w w:val="110"/>
        </w:rPr>
        <w:t>purpose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of keeping time is for the participants and the judges to know how much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time</w:t>
      </w:r>
      <w:r>
        <w:rPr>
          <w:color w:val="383636"/>
          <w:spacing w:val="-9"/>
          <w:w w:val="110"/>
        </w:rPr>
        <w:t> </w:t>
      </w:r>
      <w:r>
        <w:rPr>
          <w:color w:val="383636"/>
          <w:w w:val="110"/>
        </w:rPr>
        <w:t>has</w:t>
      </w:r>
      <w:r>
        <w:rPr>
          <w:color w:val="383636"/>
          <w:spacing w:val="4"/>
          <w:w w:val="110"/>
        </w:rPr>
        <w:t> </w:t>
      </w:r>
      <w:r>
        <w:rPr>
          <w:color w:val="383636"/>
          <w:w w:val="110"/>
        </w:rPr>
        <w:t>elapsed.</w:t>
      </w:r>
    </w:p>
    <w:p>
      <w:pPr>
        <w:pStyle w:val="BodyText"/>
        <w:spacing w:line="235" w:lineRule="auto" w:before="6"/>
        <w:ind w:left="102" w:right="321" w:firstLine="334"/>
        <w:jc w:val="both"/>
      </w:pPr>
      <w:r>
        <w:rPr>
          <w:color w:val="383636"/>
          <w:w w:val="110"/>
        </w:rPr>
        <w:t>Second, during the argument, pay attention to the time cards. In real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life, many courts give extra time at the podium only grudgingly; in some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courts, your microphone will be turned off when time elapses</w:t>
      </w:r>
      <w:r>
        <w:rPr>
          <w:color w:val="757779"/>
          <w:w w:val="110"/>
        </w:rPr>
        <w:t>. </w:t>
      </w:r>
      <w:r>
        <w:rPr>
          <w:color w:val="383636"/>
          <w:w w:val="110"/>
        </w:rPr>
        <w:t>At a com­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petition, presume that time limits are strictly observed. </w:t>
      </w:r>
      <w:r>
        <w:rPr>
          <w:rFonts w:ascii="Arial" w:hAnsi="Arial"/>
          <w:color w:val="383636"/>
          <w:w w:val="115"/>
          <w:sz w:val="21"/>
        </w:rPr>
        <w:t>If </w:t>
      </w:r>
      <w:r>
        <w:rPr>
          <w:color w:val="383636"/>
          <w:w w:val="115"/>
        </w:rPr>
        <w:t>you are still at</w:t>
      </w:r>
      <w:r>
        <w:rPr>
          <w:color w:val="383636"/>
          <w:spacing w:val="-65"/>
          <w:w w:val="115"/>
        </w:rPr>
        <w:t> </w:t>
      </w:r>
      <w:r>
        <w:rPr>
          <w:color w:val="383636"/>
          <w:spacing w:val="-2"/>
          <w:w w:val="110"/>
        </w:rPr>
        <w:t>the podium when your time elapses</w:t>
      </w:r>
      <w:r>
        <w:rPr>
          <w:color w:val="858789"/>
          <w:spacing w:val="-2"/>
          <w:w w:val="110"/>
        </w:rPr>
        <w:t>·</w:t>
      </w:r>
      <w:r>
        <w:rPr>
          <w:color w:val="383636"/>
          <w:spacing w:val="-2"/>
          <w:w w:val="110"/>
        </w:rPr>
        <w:t>,you </w:t>
      </w:r>
      <w:r>
        <w:rPr>
          <w:color w:val="383636"/>
          <w:spacing w:val="-1"/>
          <w:w w:val="110"/>
        </w:rPr>
        <w:t>must </w:t>
      </w:r>
      <w:r>
        <w:rPr>
          <w:i/>
          <w:color w:val="383636"/>
          <w:spacing w:val="-1"/>
          <w:w w:val="110"/>
        </w:rPr>
        <w:t>acknowledge </w:t>
      </w:r>
      <w:r>
        <w:rPr>
          <w:color w:val="383636"/>
          <w:spacing w:val="-1"/>
          <w:w w:val="110"/>
        </w:rPr>
        <w:t>the end of your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time and ask the court's permission if you wish to continue speaking. You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should plan ahead and have a few different exit strategies planned for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various</w:t>
      </w:r>
      <w:r>
        <w:rPr>
          <w:color w:val="383636"/>
          <w:spacing w:val="-5"/>
          <w:w w:val="115"/>
        </w:rPr>
        <w:t> </w:t>
      </w:r>
      <w:r>
        <w:rPr>
          <w:color w:val="383636"/>
          <w:w w:val="115"/>
        </w:rPr>
        <w:t>possible</w:t>
      </w:r>
      <w:r>
        <w:rPr>
          <w:color w:val="383636"/>
          <w:spacing w:val="-21"/>
          <w:w w:val="115"/>
        </w:rPr>
        <w:t> </w:t>
      </w:r>
      <w:r>
        <w:rPr>
          <w:color w:val="383636"/>
          <w:w w:val="115"/>
        </w:rPr>
        <w:t>scenarios.</w:t>
      </w:r>
    </w:p>
    <w:p>
      <w:pPr>
        <w:pStyle w:val="BodyText"/>
        <w:spacing w:line="232" w:lineRule="auto"/>
        <w:ind w:left="105" w:right="306" w:firstLine="351"/>
        <w:jc w:val="both"/>
      </w:pPr>
      <w:r>
        <w:rPr>
          <w:color w:val="383636"/>
          <w:w w:val="110"/>
        </w:rPr>
        <w:t>First, you may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have a quiet panel. In this case, after you see the two­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minute card (or a while after you have seen the five-minute card), transi­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tion</w:t>
      </w:r>
      <w:r>
        <w:rPr>
          <w:color w:val="383636"/>
          <w:spacing w:val="-9"/>
          <w:w w:val="115"/>
        </w:rPr>
        <w:t> </w:t>
      </w:r>
      <w:r>
        <w:rPr>
          <w:color w:val="383636"/>
          <w:w w:val="115"/>
        </w:rPr>
        <w:t>into</w:t>
      </w:r>
      <w:r>
        <w:rPr>
          <w:color w:val="383636"/>
          <w:spacing w:val="-19"/>
          <w:w w:val="115"/>
        </w:rPr>
        <w:t> </w:t>
      </w:r>
      <w:r>
        <w:rPr>
          <w:color w:val="383636"/>
          <w:w w:val="115"/>
        </w:rPr>
        <w:t>a</w:t>
      </w:r>
      <w:r>
        <w:rPr>
          <w:color w:val="383636"/>
          <w:spacing w:val="-2"/>
          <w:w w:val="115"/>
        </w:rPr>
        <w:t> </w:t>
      </w:r>
      <w:r>
        <w:rPr>
          <w:color w:val="383636"/>
          <w:w w:val="115"/>
        </w:rPr>
        <w:t>rather</w:t>
      </w:r>
      <w:r>
        <w:rPr>
          <w:color w:val="383636"/>
          <w:spacing w:val="-1"/>
          <w:w w:val="115"/>
        </w:rPr>
        <w:t> </w:t>
      </w:r>
      <w:r>
        <w:rPr>
          <w:color w:val="383636"/>
          <w:w w:val="115"/>
        </w:rPr>
        <w:t>lengthy</w:t>
      </w:r>
      <w:r>
        <w:rPr>
          <w:color w:val="383636"/>
          <w:spacing w:val="-10"/>
          <w:w w:val="115"/>
        </w:rPr>
        <w:t> </w:t>
      </w:r>
      <w:r>
        <w:rPr>
          <w:color w:val="383636"/>
          <w:w w:val="115"/>
        </w:rPr>
        <w:t>conclusion.</w:t>
      </w:r>
      <w:r>
        <w:rPr>
          <w:color w:val="383636"/>
          <w:spacing w:val="-13"/>
          <w:w w:val="115"/>
        </w:rPr>
        <w:t> </w:t>
      </w:r>
      <w:r>
        <w:rPr>
          <w:color w:val="383636"/>
          <w:w w:val="115"/>
        </w:rPr>
        <w:t>State</w:t>
      </w:r>
      <w:r>
        <w:rPr>
          <w:color w:val="383636"/>
          <w:spacing w:val="-9"/>
          <w:w w:val="115"/>
        </w:rPr>
        <w:t> </w:t>
      </w:r>
      <w:r>
        <w:rPr>
          <w:color w:val="383636"/>
          <w:w w:val="115"/>
        </w:rPr>
        <w:t>your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two</w:t>
      </w:r>
      <w:r>
        <w:rPr>
          <w:color w:val="383636"/>
          <w:spacing w:val="-12"/>
          <w:w w:val="115"/>
        </w:rPr>
        <w:t> </w:t>
      </w:r>
      <w:r>
        <w:rPr>
          <w:color w:val="383636"/>
          <w:w w:val="115"/>
        </w:rPr>
        <w:t>or</w:t>
      </w:r>
      <w:r>
        <w:rPr>
          <w:color w:val="383636"/>
          <w:spacing w:val="12"/>
          <w:w w:val="115"/>
        </w:rPr>
        <w:t> </w:t>
      </w:r>
      <w:r>
        <w:rPr>
          <w:color w:val="383636"/>
          <w:w w:val="115"/>
        </w:rPr>
        <w:t>three</w:t>
      </w:r>
      <w:r>
        <w:rPr>
          <w:color w:val="383636"/>
          <w:spacing w:val="-9"/>
          <w:w w:val="115"/>
        </w:rPr>
        <w:t> </w:t>
      </w:r>
      <w:r>
        <w:rPr>
          <w:color w:val="383636"/>
          <w:w w:val="115"/>
        </w:rPr>
        <w:t>best</w:t>
      </w:r>
      <w:r>
        <w:rPr>
          <w:color w:val="383636"/>
          <w:spacing w:val="11"/>
          <w:w w:val="115"/>
        </w:rPr>
        <w:t> </w:t>
      </w:r>
      <w:r>
        <w:rPr>
          <w:color w:val="383636"/>
          <w:w w:val="115"/>
        </w:rPr>
        <w:t>points</w:t>
      </w:r>
      <w:r>
        <w:rPr>
          <w:color w:val="383636"/>
          <w:spacing w:val="-64"/>
          <w:w w:val="115"/>
        </w:rPr>
        <w:t> </w:t>
      </w:r>
      <w:r>
        <w:rPr>
          <w:color w:val="383636"/>
          <w:w w:val="110"/>
        </w:rPr>
        <w:t>affirmatively, and then say, "for these reasons, this Court should affirm [or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05"/>
        </w:rPr>
        <w:t>reverse]</w:t>
      </w:r>
      <w:r>
        <w:rPr>
          <w:color w:val="383636"/>
          <w:spacing w:val="4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54"/>
          <w:w w:val="105"/>
        </w:rPr>
        <w:t> </w:t>
      </w:r>
      <w:r>
        <w:rPr>
          <w:color w:val="383636"/>
          <w:w w:val="105"/>
        </w:rPr>
        <w:t>decision</w:t>
      </w:r>
      <w:r>
        <w:rPr>
          <w:color w:val="383636"/>
          <w:spacing w:val="4"/>
          <w:w w:val="105"/>
        </w:rPr>
        <w:t> </w:t>
      </w:r>
      <w:r>
        <w:rPr>
          <w:color w:val="383636"/>
          <w:w w:val="105"/>
        </w:rPr>
        <w:t>below.</w:t>
      </w:r>
      <w:r>
        <w:rPr>
          <w:color w:val="383636"/>
          <w:spacing w:val="-23"/>
          <w:w w:val="105"/>
        </w:rPr>
        <w:t> </w:t>
      </w:r>
      <w:r>
        <w:rPr>
          <w:color w:val="383636"/>
          <w:w w:val="105"/>
        </w:rPr>
        <w:t>Thank</w:t>
      </w:r>
      <w:r>
        <w:rPr>
          <w:color w:val="383636"/>
          <w:spacing w:val="-9"/>
          <w:w w:val="105"/>
        </w:rPr>
        <w:t> </w:t>
      </w:r>
      <w:r>
        <w:rPr>
          <w:color w:val="383636"/>
          <w:w w:val="105"/>
        </w:rPr>
        <w:t>you."</w:t>
      </w:r>
    </w:p>
    <w:p>
      <w:pPr>
        <w:pStyle w:val="BodyText"/>
        <w:spacing w:line="232" w:lineRule="auto" w:before="6"/>
        <w:ind w:left="102" w:right="246" w:firstLine="334"/>
        <w:jc w:val="both"/>
      </w:pPr>
      <w:r>
        <w:rPr>
          <w:color w:val="383636"/>
          <w:w w:val="115"/>
        </w:rPr>
        <w:t>Second, you may have a panel that keeps you frantically answering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questions every minute of your time. </w:t>
      </w:r>
      <w:r>
        <w:rPr>
          <w:rFonts w:ascii="Arial"/>
          <w:color w:val="383636"/>
          <w:w w:val="115"/>
          <w:sz w:val="21"/>
        </w:rPr>
        <w:t>If </w:t>
      </w:r>
      <w:r>
        <w:rPr>
          <w:color w:val="383636"/>
          <w:w w:val="115"/>
        </w:rPr>
        <w:t>you have lost track of your time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and see the "stop" card as you pause after answering a question, </w:t>
      </w:r>
      <w:r>
        <w:rPr>
          <w:i/>
          <w:color w:val="383636"/>
          <w:w w:val="110"/>
        </w:rPr>
        <w:t>don't </w:t>
      </w:r>
      <w:r>
        <w:rPr>
          <w:color w:val="383636"/>
          <w:w w:val="110"/>
        </w:rPr>
        <w:t>go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20"/>
        </w:rPr>
        <w:t>into</w:t>
      </w:r>
      <w:r>
        <w:rPr>
          <w:color w:val="383636"/>
          <w:spacing w:val="-15"/>
          <w:w w:val="120"/>
        </w:rPr>
        <w:t> </w:t>
      </w:r>
      <w:r>
        <w:rPr>
          <w:color w:val="383636"/>
          <w:w w:val="120"/>
        </w:rPr>
        <w:t>a</w:t>
      </w:r>
      <w:r>
        <w:rPr>
          <w:color w:val="383636"/>
          <w:spacing w:val="-6"/>
          <w:w w:val="120"/>
        </w:rPr>
        <w:t> </w:t>
      </w:r>
      <w:r>
        <w:rPr>
          <w:color w:val="383636"/>
          <w:w w:val="120"/>
        </w:rPr>
        <w:t>lengthy</w:t>
      </w:r>
      <w:r>
        <w:rPr>
          <w:color w:val="383636"/>
          <w:spacing w:val="-10"/>
          <w:w w:val="120"/>
        </w:rPr>
        <w:t> </w:t>
      </w:r>
      <w:r>
        <w:rPr>
          <w:color w:val="383636"/>
          <w:w w:val="120"/>
        </w:rPr>
        <w:t>formal</w:t>
      </w:r>
      <w:r>
        <w:rPr>
          <w:color w:val="383636"/>
          <w:spacing w:val="-7"/>
          <w:w w:val="120"/>
        </w:rPr>
        <w:t> </w:t>
      </w:r>
      <w:r>
        <w:rPr>
          <w:color w:val="383636"/>
          <w:w w:val="120"/>
        </w:rPr>
        <w:t>conclusion.</w:t>
      </w:r>
      <w:r>
        <w:rPr>
          <w:color w:val="383636"/>
          <w:spacing w:val="-6"/>
          <w:w w:val="120"/>
        </w:rPr>
        <w:t> </w:t>
      </w:r>
      <w:r>
        <w:rPr>
          <w:color w:val="383636"/>
          <w:w w:val="120"/>
        </w:rPr>
        <w:t>I</w:t>
      </w:r>
      <w:r>
        <w:rPr>
          <w:color w:val="383636"/>
          <w:spacing w:val="-4"/>
          <w:w w:val="120"/>
        </w:rPr>
        <w:t> </w:t>
      </w:r>
      <w:r>
        <w:rPr>
          <w:color w:val="383636"/>
          <w:w w:val="120"/>
        </w:rPr>
        <w:t>have</w:t>
      </w:r>
      <w:r>
        <w:rPr>
          <w:color w:val="383636"/>
          <w:spacing w:val="-14"/>
          <w:w w:val="120"/>
        </w:rPr>
        <w:t> </w:t>
      </w:r>
      <w:r>
        <w:rPr>
          <w:color w:val="383636"/>
          <w:w w:val="120"/>
        </w:rPr>
        <w:t>seen</w:t>
      </w:r>
      <w:r>
        <w:rPr>
          <w:color w:val="383636"/>
          <w:spacing w:val="3"/>
          <w:w w:val="120"/>
        </w:rPr>
        <w:t> </w:t>
      </w:r>
      <w:r>
        <w:rPr>
          <w:color w:val="383636"/>
          <w:w w:val="120"/>
        </w:rPr>
        <w:t>too</w:t>
      </w:r>
      <w:r>
        <w:rPr>
          <w:color w:val="383636"/>
          <w:spacing w:val="8"/>
          <w:w w:val="120"/>
        </w:rPr>
        <w:t> </w:t>
      </w:r>
      <w:r>
        <w:rPr>
          <w:color w:val="383636"/>
          <w:w w:val="120"/>
        </w:rPr>
        <w:t>many</w:t>
      </w:r>
      <w:r>
        <w:rPr>
          <w:color w:val="383636"/>
          <w:spacing w:val="-5"/>
          <w:w w:val="120"/>
        </w:rPr>
        <w:t> </w:t>
      </w:r>
      <w:r>
        <w:rPr>
          <w:color w:val="383636"/>
          <w:w w:val="120"/>
        </w:rPr>
        <w:t>oralists</w:t>
      </w:r>
      <w:r>
        <w:rPr>
          <w:color w:val="383636"/>
          <w:spacing w:val="-12"/>
          <w:w w:val="120"/>
        </w:rPr>
        <w:t> </w:t>
      </w:r>
      <w:r>
        <w:rPr>
          <w:color w:val="383636"/>
          <w:w w:val="120"/>
        </w:rPr>
        <w:t>stop</w:t>
      </w:r>
      <w:r>
        <w:rPr>
          <w:color w:val="383636"/>
          <w:spacing w:val="-8"/>
          <w:w w:val="120"/>
        </w:rPr>
        <w:t> </w:t>
      </w:r>
      <w:r>
        <w:rPr>
          <w:color w:val="383636"/>
          <w:w w:val="120"/>
        </w:rPr>
        <w:t>a</w:t>
      </w:r>
      <w:r>
        <w:rPr>
          <w:color w:val="383636"/>
          <w:spacing w:val="-67"/>
          <w:w w:val="120"/>
        </w:rPr>
        <w:t> </w:t>
      </w:r>
      <w:r>
        <w:rPr>
          <w:color w:val="383636"/>
          <w:w w:val="110"/>
        </w:rPr>
        <w:t>stirring colloquy to turn to a wooden, obviously prefabricated  conclusion.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If </w:t>
      </w:r>
      <w:r>
        <w:rPr>
          <w:color w:val="383636"/>
          <w:w w:val="115"/>
        </w:rPr>
        <w:t>you are surprised by the "stop" card</w:t>
      </w:r>
      <w:r>
        <w:rPr>
          <w:color w:val="606062"/>
          <w:w w:val="115"/>
        </w:rPr>
        <w:t>, </w:t>
      </w:r>
      <w:r>
        <w:rPr>
          <w:color w:val="383636"/>
          <w:w w:val="115"/>
        </w:rPr>
        <w:t>you may simply say, "I see that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my time is up. Thank you." </w:t>
      </w:r>
      <w:r>
        <w:rPr>
          <w:rFonts w:ascii="Arial"/>
          <w:color w:val="383636"/>
          <w:w w:val="110"/>
          <w:sz w:val="21"/>
        </w:rPr>
        <w:t>If</w:t>
      </w:r>
      <w:r>
        <w:rPr>
          <w:rFonts w:ascii="Arial"/>
          <w:color w:val="383636"/>
          <w:spacing w:val="1"/>
          <w:w w:val="110"/>
          <w:sz w:val="21"/>
        </w:rPr>
        <w:t> </w:t>
      </w:r>
      <w:r>
        <w:rPr>
          <w:color w:val="383636"/>
          <w:w w:val="110"/>
        </w:rPr>
        <w:t>you are a little braver, most courts will let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you</w:t>
      </w:r>
      <w:r>
        <w:rPr>
          <w:color w:val="383636"/>
          <w:spacing w:val="-18"/>
          <w:w w:val="115"/>
        </w:rPr>
        <w:t> </w:t>
      </w:r>
      <w:r>
        <w:rPr>
          <w:color w:val="383636"/>
          <w:w w:val="115"/>
        </w:rPr>
        <w:t>get</w:t>
      </w:r>
      <w:r>
        <w:rPr>
          <w:color w:val="383636"/>
          <w:spacing w:val="-11"/>
          <w:w w:val="115"/>
        </w:rPr>
        <w:t> </w:t>
      </w:r>
      <w:r>
        <w:rPr>
          <w:color w:val="383636"/>
          <w:w w:val="115"/>
        </w:rPr>
        <w:t>away</w:t>
      </w:r>
      <w:r>
        <w:rPr>
          <w:color w:val="383636"/>
          <w:spacing w:val="-1"/>
          <w:w w:val="115"/>
        </w:rPr>
        <w:t> </w:t>
      </w:r>
      <w:r>
        <w:rPr>
          <w:color w:val="383636"/>
          <w:w w:val="115"/>
        </w:rPr>
        <w:t>with</w:t>
      </w:r>
      <w:r>
        <w:rPr>
          <w:color w:val="383636"/>
          <w:spacing w:val="-9"/>
          <w:w w:val="115"/>
        </w:rPr>
        <w:t> </w:t>
      </w:r>
      <w:r>
        <w:rPr>
          <w:color w:val="383636"/>
          <w:w w:val="115"/>
        </w:rPr>
        <w:t>a little</w:t>
      </w:r>
      <w:r>
        <w:rPr>
          <w:color w:val="383636"/>
          <w:spacing w:val="-10"/>
          <w:w w:val="115"/>
        </w:rPr>
        <w:t> </w:t>
      </w:r>
      <w:r>
        <w:rPr>
          <w:color w:val="383636"/>
          <w:w w:val="115"/>
        </w:rPr>
        <w:t>more:</w:t>
      </w:r>
      <w:r>
        <w:rPr>
          <w:color w:val="383636"/>
          <w:spacing w:val="-27"/>
          <w:w w:val="115"/>
        </w:rPr>
        <w:t> </w:t>
      </w:r>
      <w:r>
        <w:rPr>
          <w:color w:val="383636"/>
          <w:w w:val="115"/>
        </w:rPr>
        <w:t>"I</w:t>
      </w:r>
      <w:r>
        <w:rPr>
          <w:color w:val="383636"/>
          <w:spacing w:val="-6"/>
          <w:w w:val="115"/>
        </w:rPr>
        <w:t> </w:t>
      </w:r>
      <w:r>
        <w:rPr>
          <w:color w:val="383636"/>
          <w:w w:val="115"/>
        </w:rPr>
        <w:t>see</w:t>
      </w:r>
      <w:r>
        <w:rPr>
          <w:color w:val="383636"/>
          <w:spacing w:val="-17"/>
          <w:w w:val="115"/>
        </w:rPr>
        <w:t> </w:t>
      </w:r>
      <w:r>
        <w:rPr>
          <w:color w:val="383636"/>
          <w:w w:val="115"/>
        </w:rPr>
        <w:t>that</w:t>
      </w:r>
      <w:r>
        <w:rPr>
          <w:color w:val="383636"/>
          <w:spacing w:val="-3"/>
          <w:w w:val="115"/>
        </w:rPr>
        <w:t> </w:t>
      </w:r>
      <w:r>
        <w:rPr>
          <w:color w:val="383636"/>
          <w:w w:val="115"/>
        </w:rPr>
        <w:t>my</w:t>
      </w:r>
      <w:r>
        <w:rPr>
          <w:color w:val="383636"/>
          <w:spacing w:val="-37"/>
          <w:w w:val="115"/>
        </w:rPr>
        <w:t> </w:t>
      </w:r>
      <w:r>
        <w:rPr>
          <w:color w:val="383636"/>
          <w:w w:val="115"/>
        </w:rPr>
        <w:t>time</w:t>
      </w:r>
      <w:r>
        <w:rPr>
          <w:color w:val="383636"/>
          <w:spacing w:val="-13"/>
          <w:w w:val="115"/>
        </w:rPr>
        <w:t> </w:t>
      </w:r>
      <w:r>
        <w:rPr>
          <w:color w:val="383636"/>
          <w:w w:val="115"/>
        </w:rPr>
        <w:t>is</w:t>
      </w:r>
      <w:r>
        <w:rPr>
          <w:color w:val="383636"/>
          <w:spacing w:val="-19"/>
          <w:w w:val="115"/>
        </w:rPr>
        <w:t> </w:t>
      </w:r>
      <w:r>
        <w:rPr>
          <w:color w:val="383636"/>
          <w:w w:val="115"/>
        </w:rPr>
        <w:t>up.</w:t>
      </w:r>
      <w:r>
        <w:rPr>
          <w:color w:val="383636"/>
          <w:spacing w:val="-14"/>
          <w:w w:val="115"/>
        </w:rPr>
        <w:t> </w:t>
      </w:r>
      <w:r>
        <w:rPr>
          <w:color w:val="383636"/>
          <w:w w:val="115"/>
        </w:rPr>
        <w:t>We</w:t>
      </w:r>
      <w:r>
        <w:rPr>
          <w:color w:val="383636"/>
          <w:spacing w:val="-9"/>
          <w:w w:val="115"/>
        </w:rPr>
        <w:t> </w:t>
      </w:r>
      <w:r>
        <w:rPr>
          <w:color w:val="383636"/>
          <w:w w:val="115"/>
        </w:rPr>
        <w:t>ask</w:t>
      </w:r>
      <w:r>
        <w:rPr>
          <w:color w:val="383636"/>
          <w:spacing w:val="-12"/>
          <w:w w:val="115"/>
        </w:rPr>
        <w:t> </w:t>
      </w:r>
      <w:r>
        <w:rPr>
          <w:color w:val="383636"/>
          <w:w w:val="115"/>
        </w:rPr>
        <w:t>that</w:t>
      </w:r>
      <w:r>
        <w:rPr>
          <w:color w:val="383636"/>
          <w:spacing w:val="-3"/>
          <w:w w:val="115"/>
        </w:rPr>
        <w:t> </w:t>
      </w:r>
      <w:r>
        <w:rPr>
          <w:color w:val="383636"/>
          <w:w w:val="115"/>
        </w:rPr>
        <w:t>the</w:t>
      </w:r>
      <w:r>
        <w:rPr>
          <w:color w:val="383636"/>
          <w:spacing w:val="-63"/>
          <w:w w:val="115"/>
        </w:rPr>
        <w:t> </w:t>
      </w:r>
      <w:r>
        <w:rPr>
          <w:color w:val="383636"/>
          <w:w w:val="110"/>
        </w:rPr>
        <w:t>Court affirm [or reverse] the decision below. Thank </w:t>
      </w:r>
      <w:r>
        <w:rPr>
          <w:color w:val="4D4B4D"/>
          <w:w w:val="110"/>
        </w:rPr>
        <w:t>you." </w:t>
      </w:r>
      <w:r>
        <w:rPr>
          <w:color w:val="383636"/>
          <w:w w:val="110"/>
        </w:rPr>
        <w:t>Do not presume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that you must end by asking for relief. As long as you have asked for it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20"/>
        </w:rPr>
        <w:t>at some point in your argument, it is perfectly appropriate-and often</w:t>
      </w:r>
      <w:r>
        <w:rPr>
          <w:color w:val="383636"/>
          <w:spacing w:val="1"/>
          <w:w w:val="120"/>
        </w:rPr>
        <w:t> </w:t>
      </w:r>
      <w:r>
        <w:rPr>
          <w:color w:val="383636"/>
          <w:w w:val="115"/>
        </w:rPr>
        <w:t>effective-to end</w:t>
      </w:r>
      <w:r>
        <w:rPr>
          <w:color w:val="383636"/>
          <w:spacing w:val="-11"/>
          <w:w w:val="115"/>
        </w:rPr>
        <w:t> </w:t>
      </w:r>
      <w:r>
        <w:rPr>
          <w:color w:val="383636"/>
          <w:w w:val="115"/>
        </w:rPr>
        <w:t>with</w:t>
      </w:r>
      <w:r>
        <w:rPr>
          <w:color w:val="383636"/>
          <w:spacing w:val="3"/>
          <w:w w:val="115"/>
        </w:rPr>
        <w:t> </w:t>
      </w:r>
      <w:r>
        <w:rPr>
          <w:color w:val="383636"/>
          <w:w w:val="115"/>
        </w:rPr>
        <w:t>a</w:t>
      </w:r>
      <w:r>
        <w:rPr>
          <w:color w:val="383636"/>
          <w:spacing w:val="-13"/>
          <w:w w:val="115"/>
        </w:rPr>
        <w:t> </w:t>
      </w:r>
      <w:r>
        <w:rPr>
          <w:color w:val="383636"/>
          <w:w w:val="115"/>
        </w:rPr>
        <w:t>simple</w:t>
      </w:r>
      <w:r>
        <w:rPr>
          <w:color w:val="383636"/>
          <w:spacing w:val="-9"/>
          <w:w w:val="115"/>
        </w:rPr>
        <w:t> </w:t>
      </w:r>
      <w:r>
        <w:rPr>
          <w:color w:val="383636"/>
          <w:w w:val="115"/>
        </w:rPr>
        <w:t>"thank</w:t>
      </w:r>
      <w:r>
        <w:rPr>
          <w:color w:val="383636"/>
          <w:spacing w:val="-4"/>
          <w:w w:val="115"/>
        </w:rPr>
        <w:t> </w:t>
      </w:r>
      <w:r>
        <w:rPr>
          <w:color w:val="383636"/>
          <w:w w:val="115"/>
        </w:rPr>
        <w:t>you."</w:t>
      </w:r>
    </w:p>
    <w:p>
      <w:pPr>
        <w:pStyle w:val="BodyText"/>
        <w:spacing w:line="232" w:lineRule="auto" w:before="2"/>
        <w:ind w:left="112" w:right="196" w:firstLine="346"/>
        <w:jc w:val="both"/>
      </w:pPr>
      <w:r>
        <w:rPr>
          <w:color w:val="383636"/>
          <w:w w:val="115"/>
        </w:rPr>
        <w:t>A sidebar on handling an active court: saying the words "in conclu­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sion" will cause many courts to stop paying attention and look to their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score sheets. While this technique is generally not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advised even in com­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petition (and is almost never appropriate in real life), </w:t>
      </w:r>
      <w:r>
        <w:rPr>
          <w:color w:val="383636"/>
          <w:w w:val="110"/>
          <w:sz w:val="22"/>
        </w:rPr>
        <w:t>it </w:t>
      </w:r>
      <w:r>
        <w:rPr>
          <w:color w:val="383636"/>
          <w:w w:val="110"/>
        </w:rPr>
        <w:t>may be helpful if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you have a relentless court.Saying "in conclusion" (when you see that you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have</w:t>
      </w:r>
      <w:r>
        <w:rPr>
          <w:color w:val="383636"/>
          <w:spacing w:val="-3"/>
          <w:w w:val="115"/>
        </w:rPr>
        <w:t> </w:t>
      </w:r>
      <w:r>
        <w:rPr>
          <w:color w:val="383636"/>
          <w:w w:val="115"/>
        </w:rPr>
        <w:t>only</w:t>
      </w:r>
      <w:r>
        <w:rPr>
          <w:color w:val="383636"/>
          <w:spacing w:val="-1"/>
          <w:w w:val="115"/>
        </w:rPr>
        <w:t> </w:t>
      </w:r>
      <w:r>
        <w:rPr>
          <w:color w:val="383636"/>
          <w:w w:val="115"/>
        </w:rPr>
        <w:t>a</w:t>
      </w:r>
      <w:r>
        <w:rPr>
          <w:color w:val="383636"/>
          <w:spacing w:val="15"/>
          <w:w w:val="115"/>
        </w:rPr>
        <w:t> </w:t>
      </w:r>
      <w:r>
        <w:rPr>
          <w:color w:val="383636"/>
          <w:w w:val="115"/>
        </w:rPr>
        <w:t>minute</w:t>
      </w:r>
      <w:r>
        <w:rPr>
          <w:color w:val="383636"/>
          <w:spacing w:val="-1"/>
          <w:w w:val="115"/>
        </w:rPr>
        <w:t> </w:t>
      </w:r>
      <w:r>
        <w:rPr>
          <w:color w:val="383636"/>
          <w:w w:val="115"/>
        </w:rPr>
        <w:t>or so</w:t>
      </w:r>
      <w:r>
        <w:rPr>
          <w:color w:val="383636"/>
          <w:spacing w:val="2"/>
          <w:w w:val="115"/>
        </w:rPr>
        <w:t> </w:t>
      </w:r>
      <w:r>
        <w:rPr>
          <w:color w:val="383636"/>
          <w:w w:val="115"/>
        </w:rPr>
        <w:t>left)</w:t>
      </w:r>
      <w:r>
        <w:rPr>
          <w:color w:val="383636"/>
          <w:spacing w:val="8"/>
          <w:w w:val="115"/>
        </w:rPr>
        <w:t> </w:t>
      </w:r>
      <w:r>
        <w:rPr>
          <w:color w:val="383636"/>
          <w:w w:val="115"/>
        </w:rPr>
        <w:t>may</w:t>
      </w:r>
      <w:r>
        <w:rPr>
          <w:color w:val="383636"/>
          <w:spacing w:val="21"/>
          <w:w w:val="115"/>
        </w:rPr>
        <w:t> </w:t>
      </w:r>
      <w:r>
        <w:rPr>
          <w:color w:val="383636"/>
          <w:w w:val="115"/>
        </w:rPr>
        <w:t>quiet</w:t>
      </w:r>
      <w:r>
        <w:rPr>
          <w:color w:val="383636"/>
          <w:spacing w:val="17"/>
          <w:w w:val="115"/>
        </w:rPr>
        <w:t> </w:t>
      </w:r>
      <w:r>
        <w:rPr>
          <w:color w:val="383636"/>
          <w:w w:val="115"/>
        </w:rPr>
        <w:t>the</w:t>
      </w:r>
      <w:r>
        <w:rPr>
          <w:color w:val="383636"/>
          <w:spacing w:val="15"/>
          <w:w w:val="115"/>
        </w:rPr>
        <w:t> </w:t>
      </w:r>
      <w:r>
        <w:rPr>
          <w:color w:val="383636"/>
          <w:w w:val="115"/>
        </w:rPr>
        <w:t>court</w:t>
      </w:r>
      <w:r>
        <w:rPr>
          <w:color w:val="383636"/>
          <w:spacing w:val="12"/>
          <w:w w:val="115"/>
        </w:rPr>
        <w:t> </w:t>
      </w:r>
      <w:r>
        <w:rPr>
          <w:color w:val="383636"/>
          <w:w w:val="115"/>
        </w:rPr>
        <w:t>enough</w:t>
      </w:r>
      <w:r>
        <w:rPr>
          <w:color w:val="383636"/>
          <w:spacing w:val="26"/>
          <w:w w:val="115"/>
        </w:rPr>
        <w:t> </w:t>
      </w:r>
      <w:r>
        <w:rPr>
          <w:color w:val="383636"/>
          <w:w w:val="115"/>
        </w:rPr>
        <w:t>to</w:t>
      </w:r>
      <w:r>
        <w:rPr>
          <w:color w:val="383636"/>
          <w:spacing w:val="18"/>
          <w:w w:val="115"/>
        </w:rPr>
        <w:t> </w:t>
      </w:r>
      <w:r>
        <w:rPr>
          <w:color w:val="383636"/>
          <w:w w:val="115"/>
        </w:rPr>
        <w:t>allow</w:t>
      </w:r>
      <w:r>
        <w:rPr>
          <w:color w:val="383636"/>
          <w:spacing w:val="-1"/>
          <w:w w:val="115"/>
        </w:rPr>
        <w:t> </w:t>
      </w:r>
      <w:r>
        <w:rPr>
          <w:color w:val="383636"/>
          <w:w w:val="115"/>
        </w:rPr>
        <w:t>you</w:t>
      </w:r>
    </w:p>
    <w:p>
      <w:pPr>
        <w:spacing w:after="0" w:line="232" w:lineRule="auto"/>
        <w:jc w:val="both"/>
        <w:sectPr>
          <w:headerReference w:type="default" r:id="rId366"/>
          <w:headerReference w:type="even" r:id="rId367"/>
          <w:pgSz w:w="9640" w:h="13990"/>
          <w:pgMar w:header="520" w:footer="0" w:top="720" w:bottom="280" w:left="320" w:right="1340"/>
          <w:pgNumType w:start="325"/>
        </w:sectPr>
      </w:pPr>
    </w:p>
    <w:p>
      <w:pPr>
        <w:pStyle w:val="BodyText"/>
        <w:spacing w:line="235" w:lineRule="auto" w:before="85"/>
        <w:ind w:left="537" w:right="132"/>
        <w:jc w:val="both"/>
      </w:pPr>
      <w:r>
        <w:rPr>
          <w:color w:val="383636"/>
          <w:w w:val="110"/>
        </w:rPr>
        <w:t>to end on a strong point. In the alternative, one of my moot court team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members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would sometimes  use the  two-minute  sign as an  opportunity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to say, "I see that my time grows short." This statement always made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judges sit up and take notice of the time, and often, they relaxed and let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him</w:t>
      </w:r>
      <w:r>
        <w:rPr>
          <w:color w:val="383636"/>
          <w:spacing w:val="59"/>
          <w:w w:val="110"/>
        </w:rPr>
        <w:t> </w:t>
      </w:r>
      <w:r>
        <w:rPr>
          <w:color w:val="383636"/>
          <w:w w:val="110"/>
        </w:rPr>
        <w:t>finish</w:t>
      </w:r>
      <w:r>
        <w:rPr>
          <w:color w:val="383636"/>
          <w:spacing w:val="-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5"/>
          <w:w w:val="110"/>
        </w:rPr>
        <w:t> </w:t>
      </w:r>
      <w:r>
        <w:rPr>
          <w:color w:val="383636"/>
          <w:w w:val="110"/>
        </w:rPr>
        <w:t>argument</w:t>
      </w:r>
      <w:r>
        <w:rPr>
          <w:color w:val="383636"/>
          <w:spacing w:val="-3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8"/>
          <w:w w:val="110"/>
        </w:rPr>
        <w:t> </w:t>
      </w:r>
      <w:r>
        <w:rPr>
          <w:color w:val="383636"/>
          <w:w w:val="110"/>
        </w:rPr>
        <w:t>peace.</w:t>
      </w:r>
    </w:p>
    <w:p>
      <w:pPr>
        <w:pStyle w:val="BodyText"/>
        <w:spacing w:line="235" w:lineRule="auto"/>
        <w:ind w:left="541" w:right="132" w:firstLine="367"/>
        <w:jc w:val="both"/>
      </w:pPr>
      <w:r>
        <w:rPr>
          <w:color w:val="383636"/>
          <w:w w:val="110"/>
        </w:rPr>
        <w:t>Third, you may be in the middle of answering a question, or the court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may </w:t>
      </w:r>
      <w:r>
        <w:rPr>
          <w:rFonts w:ascii="Arial" w:hAnsi="Arial"/>
          <w:color w:val="383636"/>
          <w:w w:val="110"/>
          <w:sz w:val="21"/>
        </w:rPr>
        <w:t>be </w:t>
      </w:r>
      <w:r>
        <w:rPr>
          <w:color w:val="383636"/>
          <w:w w:val="110"/>
        </w:rPr>
        <w:t>in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middle of asking a question, when the time elapses. If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court is talking, wait until the question is asked before noting the end of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your</w:t>
      </w:r>
      <w:r>
        <w:rPr>
          <w:color w:val="383636"/>
          <w:spacing w:val="-18"/>
          <w:w w:val="110"/>
        </w:rPr>
        <w:t> </w:t>
      </w:r>
      <w:r>
        <w:rPr>
          <w:color w:val="383636"/>
          <w:w w:val="110"/>
        </w:rPr>
        <w:t>time.</w:t>
      </w:r>
      <w:r>
        <w:rPr>
          <w:color w:val="383636"/>
          <w:spacing w:val="-12"/>
          <w:w w:val="110"/>
        </w:rPr>
        <w:t> </w:t>
      </w:r>
      <w:r>
        <w:rPr>
          <w:color w:val="383636"/>
          <w:w w:val="110"/>
        </w:rPr>
        <w:t>If you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are</w:t>
      </w:r>
      <w:r>
        <w:rPr>
          <w:color w:val="383636"/>
          <w:spacing w:val="-10"/>
          <w:w w:val="110"/>
        </w:rPr>
        <w:t> </w:t>
      </w:r>
      <w:r>
        <w:rPr>
          <w:color w:val="383636"/>
          <w:w w:val="110"/>
        </w:rPr>
        <w:t>speaking,</w:t>
      </w:r>
      <w:r>
        <w:rPr>
          <w:color w:val="383636"/>
          <w:spacing w:val="-8"/>
          <w:w w:val="110"/>
        </w:rPr>
        <w:t> </w:t>
      </w:r>
      <w:r>
        <w:rPr>
          <w:color w:val="383636"/>
          <w:w w:val="110"/>
        </w:rPr>
        <w:t>stop</w:t>
      </w:r>
      <w:r>
        <w:rPr>
          <w:color w:val="383636"/>
          <w:spacing w:val="-26"/>
          <w:w w:val="110"/>
        </w:rPr>
        <w:t> </w:t>
      </w:r>
      <w:r>
        <w:rPr>
          <w:color w:val="383636"/>
          <w:w w:val="110"/>
        </w:rPr>
        <w:t>immediately.</w:t>
      </w:r>
      <w:r>
        <w:rPr>
          <w:color w:val="383636"/>
          <w:spacing w:val="15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-8"/>
          <w:w w:val="110"/>
        </w:rPr>
        <w:t> </w:t>
      </w:r>
      <w:r>
        <w:rPr>
          <w:color w:val="383636"/>
          <w:w w:val="110"/>
        </w:rPr>
        <w:t>each</w:t>
      </w:r>
      <w:r>
        <w:rPr>
          <w:color w:val="383636"/>
          <w:spacing w:val="-8"/>
          <w:w w:val="110"/>
        </w:rPr>
        <w:t> </w:t>
      </w:r>
      <w:r>
        <w:rPr>
          <w:color w:val="383636"/>
          <w:w w:val="110"/>
        </w:rPr>
        <w:t>case,</w:t>
      </w:r>
      <w:r>
        <w:rPr>
          <w:color w:val="383636"/>
          <w:spacing w:val="-20"/>
          <w:w w:val="110"/>
        </w:rPr>
        <w:t> </w:t>
      </w:r>
      <w:r>
        <w:rPr>
          <w:color w:val="383636"/>
          <w:w w:val="110"/>
        </w:rPr>
        <w:t>begin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your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next</w:t>
      </w:r>
      <w:r>
        <w:rPr>
          <w:color w:val="383636"/>
          <w:spacing w:val="-23"/>
          <w:w w:val="110"/>
        </w:rPr>
        <w:t> </w:t>
      </w:r>
      <w:r>
        <w:rPr>
          <w:color w:val="383636"/>
          <w:w w:val="110"/>
        </w:rPr>
        <w:t>statement</w:t>
      </w:r>
      <w:r>
        <w:rPr>
          <w:color w:val="383636"/>
          <w:spacing w:val="13"/>
          <w:w w:val="110"/>
        </w:rPr>
        <w:t> </w:t>
      </w:r>
      <w:r>
        <w:rPr>
          <w:color w:val="383636"/>
          <w:w w:val="110"/>
        </w:rPr>
        <w:t>by</w:t>
      </w:r>
      <w:r>
        <w:rPr>
          <w:color w:val="383636"/>
          <w:spacing w:val="-35"/>
          <w:w w:val="110"/>
        </w:rPr>
        <w:t> </w:t>
      </w:r>
      <w:r>
        <w:rPr>
          <w:color w:val="383636"/>
          <w:w w:val="110"/>
        </w:rPr>
        <w:t>saying,</w:t>
      </w:r>
      <w:r>
        <w:rPr>
          <w:color w:val="383636"/>
          <w:spacing w:val="-3"/>
          <w:w w:val="110"/>
        </w:rPr>
        <w:t> </w:t>
      </w:r>
      <w:r>
        <w:rPr>
          <w:color w:val="383636"/>
          <w:w w:val="110"/>
        </w:rPr>
        <w:t>"I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see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that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mytime</w:t>
      </w:r>
      <w:r>
        <w:rPr>
          <w:color w:val="383636"/>
          <w:spacing w:val="-16"/>
          <w:w w:val="110"/>
        </w:rPr>
        <w:t> </w:t>
      </w:r>
      <w:r>
        <w:rPr>
          <w:color w:val="383636"/>
          <w:w w:val="110"/>
        </w:rPr>
        <w:t>is</w:t>
      </w:r>
      <w:r>
        <w:rPr>
          <w:color w:val="383636"/>
          <w:spacing w:val="-16"/>
          <w:w w:val="110"/>
        </w:rPr>
        <w:t> </w:t>
      </w:r>
      <w:r>
        <w:rPr>
          <w:color w:val="383636"/>
          <w:w w:val="110"/>
        </w:rPr>
        <w:t>up.</w:t>
      </w:r>
      <w:r>
        <w:rPr>
          <w:color w:val="383636"/>
          <w:spacing w:val="-18"/>
          <w:w w:val="110"/>
        </w:rPr>
        <w:t> </w:t>
      </w:r>
      <w:r>
        <w:rPr>
          <w:color w:val="383636"/>
          <w:w w:val="110"/>
        </w:rPr>
        <w:t>May</w:t>
      </w:r>
      <w:r>
        <w:rPr>
          <w:color w:val="383636"/>
          <w:spacing w:val="-18"/>
          <w:w w:val="110"/>
        </w:rPr>
        <w:t> </w:t>
      </w:r>
      <w:r>
        <w:rPr>
          <w:color w:val="383636"/>
          <w:w w:val="110"/>
        </w:rPr>
        <w:t>I</w:t>
      </w:r>
      <w:r>
        <w:rPr>
          <w:color w:val="383636"/>
          <w:spacing w:val="-17"/>
          <w:w w:val="110"/>
        </w:rPr>
        <w:t> </w:t>
      </w:r>
      <w:r>
        <w:rPr>
          <w:color w:val="383636"/>
          <w:w w:val="110"/>
        </w:rPr>
        <w:t>answer</w:t>
      </w:r>
      <w:r>
        <w:rPr>
          <w:color w:val="383636"/>
          <w:spacing w:val="-1"/>
          <w:w w:val="110"/>
        </w:rPr>
        <w:t> </w:t>
      </w:r>
      <w:r>
        <w:rPr>
          <w:color w:val="383636"/>
          <w:w w:val="110"/>
        </w:rPr>
        <w:t>[or</w:t>
      </w:r>
      <w:r>
        <w:rPr>
          <w:color w:val="383636"/>
          <w:spacing w:val="-21"/>
          <w:w w:val="110"/>
        </w:rPr>
        <w:t> </w:t>
      </w:r>
      <w:r>
        <w:rPr>
          <w:color w:val="383636"/>
          <w:w w:val="110"/>
        </w:rPr>
        <w:t>finish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answering] your question?" Almost every court will allow you to answer</w:t>
      </w:r>
      <w:r>
        <w:rPr>
          <w:color w:val="5D5B5D"/>
          <w:w w:val="105"/>
        </w:rPr>
        <w:t>. </w:t>
      </w:r>
      <w:r>
        <w:rPr>
          <w:color w:val="383636"/>
          <w:w w:val="105"/>
        </w:rPr>
        <w:t>I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do not recommend asking for time to conclude in this situation. Instead,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finish your answer with a few words that encompass one of your asser­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tions, and then segue to a brief "and therefore, this Court should reverse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44"/>
          <w:w w:val="110"/>
        </w:rPr>
        <w:t> </w:t>
      </w:r>
      <w:r>
        <w:rPr>
          <w:color w:val="383636"/>
          <w:w w:val="110"/>
        </w:rPr>
        <w:t>decision</w:t>
      </w:r>
      <w:r>
        <w:rPr>
          <w:color w:val="383636"/>
          <w:spacing w:val="9"/>
          <w:w w:val="110"/>
        </w:rPr>
        <w:t> </w:t>
      </w:r>
      <w:r>
        <w:rPr>
          <w:color w:val="383636"/>
          <w:w w:val="110"/>
        </w:rPr>
        <w:t>below."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16"/>
        </w:numPr>
        <w:tabs>
          <w:tab w:pos="1809" w:val="left" w:leader="none"/>
        </w:tabs>
        <w:spacing w:line="240" w:lineRule="auto" w:before="232" w:after="0"/>
        <w:ind w:left="1808" w:right="0" w:hanging="678"/>
        <w:jc w:val="left"/>
        <w:rPr>
          <w:rFonts w:ascii="Arial"/>
          <w:b/>
          <w:color w:val="383636"/>
          <w:sz w:val="30"/>
        </w:rPr>
      </w:pPr>
    </w:p>
    <w:p>
      <w:pPr>
        <w:spacing w:before="73"/>
        <w:ind w:left="1119" w:right="0" w:firstLine="0"/>
        <w:jc w:val="left"/>
        <w:rPr>
          <w:rFonts w:ascii="Arial"/>
          <w:b/>
          <w:sz w:val="25"/>
        </w:rPr>
      </w:pPr>
      <w:r>
        <w:rPr>
          <w:rFonts w:ascii="Arial"/>
          <w:b/>
          <w:color w:val="383636"/>
          <w:w w:val="105"/>
          <w:sz w:val="25"/>
        </w:rPr>
        <w:t>PROFESSIONALISM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pStyle w:val="BodyText"/>
        <w:spacing w:line="232" w:lineRule="auto"/>
        <w:ind w:left="478" w:right="116" w:firstLine="653"/>
        <w:jc w:val="both"/>
      </w:pPr>
      <w:r>
        <w:rPr>
          <w:color w:val="383636"/>
          <w:w w:val="110"/>
        </w:rPr>
        <w:t>Naturally, you will treat the court and your opponents with respect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at all times. You may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certainly address a judge as "your honor," but it is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more realistic, and more effective, to use names. Ask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bailiff if there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will be name plates, or  if he  or she  can  tell you who will be sitting where.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10"/>
        </w:rPr>
        <w:t>Of course, it is much better to call a judge "your honor" than to use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wrong name; one of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counsel for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Florida secretary of state pro­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vided an unintended moment of levity during the 2000 election oral argu­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ments byaddressing Justice Stevens-twice-as"Justice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Brennan." Justice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Brennan</w:t>
      </w:r>
      <w:r>
        <w:rPr>
          <w:color w:val="383636"/>
          <w:spacing w:val="19"/>
          <w:w w:val="110"/>
        </w:rPr>
        <w:t> </w:t>
      </w:r>
      <w:r>
        <w:rPr>
          <w:color w:val="383636"/>
          <w:w w:val="110"/>
        </w:rPr>
        <w:t>had</w:t>
      </w:r>
      <w:r>
        <w:rPr>
          <w:color w:val="383636"/>
          <w:spacing w:val="29"/>
          <w:w w:val="110"/>
        </w:rPr>
        <w:t> </w:t>
      </w:r>
      <w:r>
        <w:rPr>
          <w:color w:val="383636"/>
          <w:w w:val="110"/>
        </w:rPr>
        <w:t>retired</w:t>
      </w:r>
      <w:r>
        <w:rPr>
          <w:color w:val="383636"/>
          <w:spacing w:val="10"/>
          <w:w w:val="110"/>
        </w:rPr>
        <w:t> </w:t>
      </w:r>
      <w:r>
        <w:rPr>
          <w:color w:val="383636"/>
          <w:w w:val="110"/>
        </w:rPr>
        <w:t>from</w:t>
      </w:r>
      <w:r>
        <w:rPr>
          <w:color w:val="383636"/>
          <w:spacing w:val="4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35"/>
          <w:w w:val="110"/>
        </w:rPr>
        <w:t> </w:t>
      </w:r>
      <w:r>
        <w:rPr>
          <w:color w:val="383636"/>
          <w:w w:val="110"/>
        </w:rPr>
        <w:t>bench</w:t>
      </w:r>
      <w:r>
        <w:rPr>
          <w:color w:val="383636"/>
          <w:spacing w:val="8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15"/>
          <w:w w:val="110"/>
        </w:rPr>
        <w:t> </w:t>
      </w:r>
      <w:r>
        <w:rPr>
          <w:color w:val="383636"/>
          <w:w w:val="110"/>
        </w:rPr>
        <w:t>1990</w:t>
      </w:r>
      <w:r>
        <w:rPr>
          <w:color w:val="383636"/>
          <w:spacing w:val="-24"/>
          <w:w w:val="110"/>
        </w:rPr>
        <w:t> </w:t>
      </w:r>
      <w:r>
        <w:rPr>
          <w:color w:val="383636"/>
          <w:w w:val="110"/>
        </w:rPr>
        <w:t>and</w:t>
      </w:r>
      <w:r>
        <w:rPr>
          <w:color w:val="383636"/>
          <w:spacing w:val="22"/>
          <w:w w:val="110"/>
        </w:rPr>
        <w:t> </w:t>
      </w:r>
      <w:r>
        <w:rPr>
          <w:color w:val="383636"/>
          <w:w w:val="110"/>
        </w:rPr>
        <w:t>died</w:t>
      </w:r>
      <w:r>
        <w:rPr>
          <w:color w:val="383636"/>
          <w:spacing w:val="-2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16"/>
          <w:w w:val="110"/>
        </w:rPr>
        <w:t> </w:t>
      </w:r>
      <w:r>
        <w:rPr>
          <w:color w:val="383636"/>
          <w:w w:val="110"/>
        </w:rPr>
        <w:t>1997.</w:t>
      </w:r>
    </w:p>
    <w:p>
      <w:pPr>
        <w:pStyle w:val="BodyText"/>
        <w:spacing w:line="232" w:lineRule="auto" w:before="13"/>
        <w:ind w:left="384" w:right="130" w:firstLine="471"/>
        <w:jc w:val="both"/>
      </w:pPr>
      <w:r>
        <w:rPr>
          <w:color w:val="383636"/>
          <w:w w:val="110"/>
        </w:rPr>
        <w:t>You should dress professionally, as well. My general guideline is to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dress as if you are interviewing for an important job. Unfortunately, your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choices are rather limited; you are expected to wear conservative colors,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with no distracting accessories. You may decide that personal choices of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this kind are important  to you, and so you may wish  to  push the enve­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lope a bit. As long as you look professional, most reasonable judges will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not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change your score for this type of choice. Some judges may, however,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want to discuss your appearance during the critique. If this happens, listen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respectfully, thank the judge for his or her opinion, and then continue to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make your own decisions. This advice holds true for the entire critique. As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long as you are polite, you may certainly ask a question to clarify adVice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that a judge gives you, but it is both unprofessional and fruitless to argue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with</w:t>
      </w:r>
      <w:r>
        <w:rPr>
          <w:color w:val="383636"/>
          <w:spacing w:val="14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23"/>
          <w:w w:val="110"/>
        </w:rPr>
        <w:t> </w:t>
      </w:r>
      <w:r>
        <w:rPr>
          <w:color w:val="383636"/>
          <w:w w:val="110"/>
        </w:rPr>
        <w:t>court on</w:t>
      </w:r>
      <w:r>
        <w:rPr>
          <w:color w:val="383636"/>
          <w:spacing w:val="24"/>
          <w:w w:val="110"/>
        </w:rPr>
        <w:t> </w:t>
      </w:r>
      <w:r>
        <w:rPr>
          <w:color w:val="383636"/>
          <w:w w:val="110"/>
        </w:rPr>
        <w:t>a</w:t>
      </w:r>
      <w:r>
        <w:rPr>
          <w:color w:val="383636"/>
          <w:spacing w:val="17"/>
          <w:w w:val="110"/>
        </w:rPr>
        <w:t> </w:t>
      </w:r>
      <w:r>
        <w:rPr>
          <w:color w:val="383636"/>
          <w:w w:val="110"/>
        </w:rPr>
        <w:t>point</w:t>
      </w:r>
      <w:r>
        <w:rPr>
          <w:color w:val="383636"/>
          <w:spacing w:val="-11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15"/>
          <w:w w:val="110"/>
        </w:rPr>
        <w:t> </w:t>
      </w:r>
      <w:r>
        <w:rPr>
          <w:color w:val="383636"/>
          <w:w w:val="110"/>
        </w:rPr>
        <w:t>law</w:t>
      </w:r>
      <w:r>
        <w:rPr>
          <w:color w:val="383636"/>
          <w:spacing w:val="3"/>
          <w:w w:val="110"/>
        </w:rPr>
        <w:t> </w:t>
      </w:r>
      <w:r>
        <w:rPr>
          <w:color w:val="383636"/>
          <w:w w:val="110"/>
        </w:rPr>
        <w:t>or</w:t>
      </w:r>
      <w:r>
        <w:rPr>
          <w:color w:val="383636"/>
          <w:spacing w:val="14"/>
          <w:w w:val="110"/>
        </w:rPr>
        <w:t> </w:t>
      </w:r>
      <w:r>
        <w:rPr>
          <w:color w:val="383636"/>
          <w:w w:val="110"/>
        </w:rPr>
        <w:t>a</w:t>
      </w:r>
      <w:r>
        <w:rPr>
          <w:color w:val="383636"/>
          <w:spacing w:val="21"/>
          <w:w w:val="110"/>
        </w:rPr>
        <w:t> </w:t>
      </w:r>
      <w:r>
        <w:rPr>
          <w:color w:val="383636"/>
          <w:w w:val="110"/>
        </w:rPr>
        <w:t>method</w:t>
      </w:r>
      <w:r>
        <w:rPr>
          <w:color w:val="383636"/>
          <w:spacing w:val="16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22"/>
          <w:w w:val="110"/>
        </w:rPr>
        <w:t> </w:t>
      </w:r>
      <w:r>
        <w:rPr>
          <w:color w:val="383636"/>
          <w:w w:val="110"/>
        </w:rPr>
        <w:t>presentation.</w:t>
      </w:r>
    </w:p>
    <w:p>
      <w:pPr>
        <w:pStyle w:val="BodyText"/>
        <w:spacing w:line="235" w:lineRule="auto"/>
        <w:ind w:left="348" w:right="151" w:firstLine="409"/>
        <w:jc w:val="both"/>
      </w:pPr>
      <w:r>
        <w:rPr>
          <w:color w:val="383636"/>
          <w:w w:val="110"/>
        </w:rPr>
        <w:t>Finally, you must deal with your opponents professionally. Before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argument,</w:t>
      </w:r>
      <w:r>
        <w:rPr>
          <w:color w:val="383636"/>
          <w:spacing w:val="57"/>
          <w:w w:val="110"/>
        </w:rPr>
        <w:t> </w:t>
      </w:r>
      <w:r>
        <w:rPr>
          <w:color w:val="383636"/>
          <w:w w:val="110"/>
        </w:rPr>
        <w:t>it</w:t>
      </w:r>
      <w:r>
        <w:rPr>
          <w:color w:val="383636"/>
          <w:spacing w:val="58"/>
          <w:w w:val="110"/>
        </w:rPr>
        <w:t> </w:t>
      </w:r>
      <w:r>
        <w:rPr>
          <w:color w:val="383636"/>
          <w:w w:val="110"/>
        </w:rPr>
        <w:t>is</w:t>
      </w:r>
      <w:r>
        <w:rPr>
          <w:color w:val="383636"/>
          <w:spacing w:val="32"/>
          <w:w w:val="110"/>
        </w:rPr>
        <w:t> </w:t>
      </w:r>
      <w:r>
        <w:rPr>
          <w:color w:val="383636"/>
          <w:w w:val="110"/>
        </w:rPr>
        <w:t>courteous</w:t>
      </w:r>
      <w:r>
        <w:rPr>
          <w:color w:val="383636"/>
          <w:spacing w:val="60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54"/>
          <w:w w:val="110"/>
        </w:rPr>
        <w:t> </w:t>
      </w:r>
      <w:r>
        <w:rPr>
          <w:color w:val="383636"/>
          <w:w w:val="110"/>
        </w:rPr>
        <w:t>introduce  yourself,</w:t>
      </w:r>
      <w:r>
        <w:rPr>
          <w:color w:val="383636"/>
          <w:spacing w:val="50"/>
          <w:w w:val="110"/>
        </w:rPr>
        <w:t> </w:t>
      </w:r>
      <w:r>
        <w:rPr>
          <w:color w:val="383636"/>
          <w:w w:val="110"/>
        </w:rPr>
        <w:t>shake</w:t>
      </w:r>
      <w:r>
        <w:rPr>
          <w:color w:val="383636"/>
          <w:spacing w:val="38"/>
          <w:w w:val="110"/>
        </w:rPr>
        <w:t> </w:t>
      </w:r>
      <w:r>
        <w:rPr>
          <w:color w:val="383636"/>
          <w:w w:val="110"/>
        </w:rPr>
        <w:t>hands,</w:t>
      </w:r>
      <w:r>
        <w:rPr>
          <w:color w:val="383636"/>
          <w:spacing w:val="55"/>
          <w:w w:val="110"/>
        </w:rPr>
        <w:t> </w:t>
      </w:r>
      <w:r>
        <w:rPr>
          <w:color w:val="383636"/>
          <w:w w:val="110"/>
        </w:rPr>
        <w:t>and</w:t>
      </w:r>
      <w:r>
        <w:rPr>
          <w:color w:val="383636"/>
          <w:spacing w:val="53"/>
          <w:w w:val="110"/>
        </w:rPr>
        <w:t> </w:t>
      </w:r>
      <w:r>
        <w:rPr>
          <w:color w:val="383636"/>
          <w:w w:val="110"/>
        </w:rPr>
        <w:t>wish</w:t>
      </w:r>
    </w:p>
    <w:p>
      <w:pPr>
        <w:spacing w:after="0" w:line="235" w:lineRule="auto"/>
        <w:jc w:val="both"/>
        <w:sectPr>
          <w:pgSz w:w="9780" w:h="14010"/>
          <w:pgMar w:header="530" w:footer="0" w:top="1100" w:bottom="0" w:left="1360" w:right="280"/>
        </w:sectPr>
      </w:pPr>
    </w:p>
    <w:p>
      <w:pPr>
        <w:tabs>
          <w:tab w:pos="8266" w:val="right" w:leader="none"/>
        </w:tabs>
        <w:spacing w:before="61"/>
        <w:ind w:left="6324" w:right="0" w:firstLine="0"/>
        <w:jc w:val="left"/>
        <w:rPr>
          <w:sz w:val="19"/>
        </w:rPr>
      </w:pPr>
      <w:r>
        <w:rPr>
          <w:color w:val="383436"/>
          <w:w w:val="95"/>
          <w:sz w:val="19"/>
        </w:rPr>
        <w:t>1</w:t>
      </w:r>
      <w:r>
        <w:rPr>
          <w:rFonts w:ascii="Arial" w:hAnsi="Arial"/>
          <w:color w:val="383436"/>
          <w:w w:val="95"/>
          <w:sz w:val="32"/>
        </w:rPr>
        <w:t>◄</w:t>
      </w:r>
      <w:r>
        <w:rPr>
          <w:color w:val="383436"/>
          <w:w w:val="95"/>
          <w:sz w:val="19"/>
        </w:rPr>
        <w:t>.7</w:t>
      </w:r>
      <w:r>
        <w:rPr>
          <w:color w:val="383436"/>
          <w:spacing w:val="21"/>
          <w:w w:val="95"/>
          <w:sz w:val="19"/>
        </w:rPr>
        <w:t> </w:t>
      </w:r>
      <w:r>
        <w:rPr>
          <w:color w:val="383436"/>
          <w:sz w:val="19"/>
        </w:rPr>
        <w:t>Summary</w:t>
        <w:tab/>
        <w:t>327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235" w:lineRule="auto"/>
        <w:ind w:left="117" w:right="815" w:hanging="2"/>
        <w:jc w:val="both"/>
      </w:pPr>
      <w:r>
        <w:rPr>
          <w:color w:val="383436"/>
          <w:spacing w:val="-1"/>
          <w:w w:val="115"/>
        </w:rPr>
        <w:t>them luck. After the round, you should shake hands again and </w:t>
      </w:r>
      <w:r>
        <w:rPr>
          <w:color w:val="383436"/>
          <w:w w:val="115"/>
        </w:rPr>
        <w:t>congrat­</w:t>
      </w:r>
      <w:r>
        <w:rPr>
          <w:color w:val="383436"/>
          <w:spacing w:val="-64"/>
          <w:w w:val="115"/>
        </w:rPr>
        <w:t> </w:t>
      </w:r>
      <w:r>
        <w:rPr>
          <w:color w:val="383436"/>
          <w:w w:val="115"/>
        </w:rPr>
        <w:t>ulate your opponents before conducting any private postmortems with</w:t>
      </w:r>
      <w:r>
        <w:rPr>
          <w:color w:val="383436"/>
          <w:spacing w:val="-64"/>
          <w:w w:val="115"/>
        </w:rPr>
        <w:t> </w:t>
      </w:r>
      <w:r>
        <w:rPr>
          <w:color w:val="383436"/>
          <w:w w:val="115"/>
        </w:rPr>
        <w:t>your</w:t>
      </w:r>
      <w:r>
        <w:rPr>
          <w:color w:val="383436"/>
          <w:spacing w:val="-18"/>
          <w:w w:val="115"/>
        </w:rPr>
        <w:t> </w:t>
      </w:r>
      <w:r>
        <w:rPr>
          <w:color w:val="383436"/>
          <w:w w:val="115"/>
        </w:rPr>
        <w:t>coach</w:t>
      </w:r>
      <w:r>
        <w:rPr>
          <w:color w:val="383436"/>
          <w:spacing w:val="-19"/>
          <w:w w:val="115"/>
        </w:rPr>
        <w:t> </w:t>
      </w:r>
      <w:r>
        <w:rPr>
          <w:color w:val="383436"/>
          <w:w w:val="115"/>
        </w:rPr>
        <w:t>or</w:t>
      </w:r>
      <w:r>
        <w:rPr>
          <w:color w:val="383436"/>
          <w:spacing w:val="3"/>
          <w:w w:val="115"/>
        </w:rPr>
        <w:t> </w:t>
      </w:r>
      <w:r>
        <w:rPr>
          <w:color w:val="383436"/>
          <w:w w:val="115"/>
        </w:rPr>
        <w:t>teammates.</w:t>
      </w:r>
    </w:p>
    <w:p>
      <w:pPr>
        <w:pStyle w:val="BodyText"/>
        <w:spacing w:line="232" w:lineRule="auto"/>
        <w:ind w:left="117" w:right="782" w:firstLine="326"/>
        <w:jc w:val="both"/>
      </w:pPr>
      <w:r>
        <w:rPr>
          <w:color w:val="383436"/>
          <w:spacing w:val="-1"/>
          <w:w w:val="110"/>
        </w:rPr>
        <w:t>Whatever </w:t>
      </w:r>
      <w:r>
        <w:rPr>
          <w:color w:val="383436"/>
          <w:w w:val="110"/>
        </w:rPr>
        <w:t>the result o</w:t>
      </w:r>
      <w:r>
        <w:rPr>
          <w:color w:val="4D4D4F"/>
          <w:w w:val="110"/>
        </w:rPr>
        <w:t>f </w:t>
      </w:r>
      <w:r>
        <w:rPr>
          <w:color w:val="383436"/>
          <w:w w:val="110"/>
        </w:rPr>
        <w:t>the round, accept the news with dignity. </w:t>
      </w:r>
      <w:r>
        <w:rPr>
          <w:color w:val="383436"/>
          <w:w w:val="110"/>
          <w:sz w:val="22"/>
        </w:rPr>
        <w:t>If </w:t>
      </w:r>
      <w:r>
        <w:rPr>
          <w:color w:val="383436"/>
          <w:w w:val="110"/>
        </w:rPr>
        <w:t>you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  <w:sz w:val="21"/>
        </w:rPr>
        <w:t>win, </w:t>
      </w:r>
      <w:r>
        <w:rPr>
          <w:color w:val="383436"/>
          <w:w w:val="110"/>
        </w:rPr>
        <w:t>don't high-five your teammates or shoot your fist into the air. </w:t>
      </w:r>
      <w:r>
        <w:rPr>
          <w:rFonts w:ascii="Arial"/>
          <w:color w:val="383436"/>
          <w:w w:val="110"/>
          <w:sz w:val="22"/>
        </w:rPr>
        <w:t>If </w:t>
      </w:r>
      <w:r>
        <w:rPr>
          <w:color w:val="383436"/>
          <w:w w:val="110"/>
        </w:rPr>
        <w:t>you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lose, don</w:t>
      </w:r>
      <w:r>
        <w:rPr>
          <w:color w:val="4D4D4F"/>
          <w:w w:val="110"/>
        </w:rPr>
        <w:t>'</w:t>
      </w:r>
      <w:r>
        <w:rPr>
          <w:color w:val="383436"/>
          <w:w w:val="110"/>
        </w:rPr>
        <w:t>t lay your head on the table (as I have seen people do!). Again,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shake hands with your opponents, congratulate them on a job well done,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and</w:t>
      </w:r>
      <w:r>
        <w:rPr>
          <w:color w:val="383436"/>
          <w:spacing w:val="-11"/>
          <w:w w:val="110"/>
        </w:rPr>
        <w:t> </w:t>
      </w:r>
      <w:r>
        <w:rPr>
          <w:color w:val="383436"/>
          <w:w w:val="110"/>
        </w:rPr>
        <w:t>wish them</w:t>
      </w:r>
      <w:r>
        <w:rPr>
          <w:color w:val="383436"/>
          <w:spacing w:val="-5"/>
          <w:w w:val="110"/>
        </w:rPr>
        <w:t> </w:t>
      </w:r>
      <w:r>
        <w:rPr>
          <w:color w:val="383436"/>
          <w:w w:val="110"/>
        </w:rPr>
        <w:t>luck</w:t>
      </w:r>
      <w:r>
        <w:rPr>
          <w:color w:val="383436"/>
          <w:spacing w:val="-5"/>
          <w:w w:val="110"/>
        </w:rPr>
        <w:t> </w:t>
      </w:r>
      <w:r>
        <w:rPr>
          <w:color w:val="383436"/>
          <w:w w:val="110"/>
        </w:rPr>
        <w:t>or</w:t>
      </w:r>
      <w:r>
        <w:rPr>
          <w:color w:val="383436"/>
          <w:spacing w:val="7"/>
          <w:w w:val="110"/>
        </w:rPr>
        <w:t> </w:t>
      </w:r>
      <w:r>
        <w:rPr>
          <w:color w:val="383436"/>
          <w:w w:val="110"/>
        </w:rPr>
        <w:t>accept</w:t>
      </w:r>
      <w:r>
        <w:rPr>
          <w:color w:val="383436"/>
          <w:spacing w:val="5"/>
          <w:w w:val="110"/>
        </w:rPr>
        <w:t> </w:t>
      </w:r>
      <w:r>
        <w:rPr>
          <w:color w:val="383436"/>
          <w:w w:val="110"/>
        </w:rPr>
        <w:t>their</w:t>
      </w:r>
      <w:r>
        <w:rPr>
          <w:color w:val="383436"/>
          <w:spacing w:val="-4"/>
          <w:w w:val="110"/>
        </w:rPr>
        <w:t> </w:t>
      </w:r>
      <w:r>
        <w:rPr>
          <w:color w:val="383436"/>
          <w:w w:val="110"/>
        </w:rPr>
        <w:t>good</w:t>
      </w:r>
      <w:r>
        <w:rPr>
          <w:color w:val="383436"/>
          <w:spacing w:val="-6"/>
          <w:w w:val="110"/>
        </w:rPr>
        <w:t> </w:t>
      </w:r>
      <w:r>
        <w:rPr>
          <w:color w:val="383436"/>
          <w:w w:val="110"/>
        </w:rPr>
        <w:t>wishes</w:t>
      </w:r>
      <w:r>
        <w:rPr>
          <w:color w:val="4D4D4F"/>
          <w:w w:val="110"/>
        </w:rPr>
        <w:t>,</w:t>
      </w:r>
      <w:r>
        <w:rPr>
          <w:color w:val="4D4D4F"/>
          <w:spacing w:val="-3"/>
          <w:w w:val="110"/>
        </w:rPr>
        <w:t> </w:t>
      </w:r>
      <w:r>
        <w:rPr>
          <w:color w:val="383436"/>
          <w:w w:val="110"/>
        </w:rPr>
        <w:t>as</w:t>
      </w:r>
      <w:r>
        <w:rPr>
          <w:color w:val="383436"/>
          <w:spacing w:val="3"/>
          <w:w w:val="110"/>
        </w:rPr>
        <w:t> </w:t>
      </w:r>
      <w:r>
        <w:rPr>
          <w:color w:val="383436"/>
          <w:w w:val="110"/>
        </w:rPr>
        <w:t>appropriate.</w:t>
      </w:r>
    </w:p>
    <w:p>
      <w:pPr>
        <w:pStyle w:val="BodyText"/>
        <w:spacing w:line="232" w:lineRule="auto" w:before="2"/>
        <w:ind w:left="120" w:right="751" w:firstLine="319"/>
        <w:jc w:val="both"/>
      </w:pPr>
      <w:r>
        <w:rPr>
          <w:color w:val="383436"/>
          <w:w w:val="110"/>
        </w:rPr>
        <w:t>Through my many years of coaching I</w:t>
      </w:r>
      <w:r>
        <w:rPr>
          <w:color w:val="4D4D4F"/>
          <w:w w:val="110"/>
        </w:rPr>
        <w:t>, </w:t>
      </w:r>
      <w:r>
        <w:rPr>
          <w:color w:val="383436"/>
          <w:w w:val="110"/>
        </w:rPr>
        <w:t>alone</w:t>
      </w:r>
      <w:r>
        <w:rPr>
          <w:color w:val="4D4D4F"/>
          <w:w w:val="110"/>
        </w:rPr>
        <w:t>, </w:t>
      </w:r>
      <w:r>
        <w:rPr>
          <w:color w:val="383436"/>
          <w:w w:val="110"/>
        </w:rPr>
        <w:t>have gained this unique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insight: </w:t>
      </w:r>
      <w:r>
        <w:rPr>
          <w:rFonts w:ascii="Arial"/>
          <w:i/>
          <w:color w:val="383436"/>
          <w:w w:val="110"/>
          <w:sz w:val="21"/>
        </w:rPr>
        <w:t>People do not like to lose</w:t>
      </w:r>
      <w:r>
        <w:rPr>
          <w:rFonts w:ascii="Arial"/>
          <w:i/>
          <w:color w:val="4D4D4F"/>
          <w:w w:val="110"/>
          <w:sz w:val="21"/>
        </w:rPr>
        <w:t>. </w:t>
      </w:r>
      <w:r>
        <w:rPr>
          <w:color w:val="383436"/>
          <w:w w:val="110"/>
        </w:rPr>
        <w:t>In every competition, every team but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one has to lose at some point. It is all right to feel bad when you lose a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round or are eliminated from a competition</w:t>
      </w:r>
      <w:r>
        <w:rPr>
          <w:color w:val="4D4D4F"/>
          <w:w w:val="110"/>
        </w:rPr>
        <w:t>. </w:t>
      </w:r>
      <w:r>
        <w:rPr>
          <w:color w:val="383436"/>
          <w:w w:val="110"/>
        </w:rPr>
        <w:t>But don't get carried away.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Don't berate yourself, your teammates, or your coach. Some postmortem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analysis i</w:t>
      </w:r>
      <w:r>
        <w:rPr>
          <w:color w:val="4D4D4F"/>
          <w:w w:val="110"/>
        </w:rPr>
        <w:t>s </w:t>
      </w:r>
      <w:r>
        <w:rPr>
          <w:color w:val="383436"/>
          <w:w w:val="110"/>
        </w:rPr>
        <w:t>to be expected</w:t>
      </w:r>
      <w:r>
        <w:rPr>
          <w:color w:val="4D4D4F"/>
          <w:w w:val="110"/>
        </w:rPr>
        <w:t>, </w:t>
      </w:r>
      <w:r>
        <w:rPr>
          <w:color w:val="383436"/>
          <w:w w:val="110"/>
        </w:rPr>
        <w:t>and  may be helpful, but postmortems are best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in moderation. Especially if you lose in a preliminary round, don't let it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knock you for a loop, for you may still advance in the tournament. </w:t>
      </w:r>
      <w:r>
        <w:rPr>
          <w:rFonts w:ascii="Arial"/>
          <w:color w:val="383436"/>
          <w:w w:val="110"/>
          <w:sz w:val="22"/>
        </w:rPr>
        <w:t>If </w:t>
      </w:r>
      <w:r>
        <w:rPr>
          <w:color w:val="383436"/>
          <w:w w:val="110"/>
        </w:rPr>
        <w:t>you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05"/>
        </w:rPr>
        <w:t>get too  upset o</w:t>
      </w:r>
      <w:r>
        <w:rPr>
          <w:color w:val="4D4D4F"/>
          <w:w w:val="105"/>
        </w:rPr>
        <w:t>v</w:t>
      </w:r>
      <w:r>
        <w:rPr>
          <w:color w:val="383436"/>
          <w:w w:val="105"/>
        </w:rPr>
        <w:t>er an  early loss, howe</w:t>
      </w:r>
      <w:r>
        <w:rPr>
          <w:color w:val="4D4D4F"/>
          <w:w w:val="105"/>
        </w:rPr>
        <w:t>v</w:t>
      </w:r>
      <w:r>
        <w:rPr>
          <w:color w:val="383436"/>
          <w:w w:val="105"/>
        </w:rPr>
        <w:t>er, you  may  hurt your performance</w:t>
      </w:r>
      <w:r>
        <w:rPr>
          <w:color w:val="383436"/>
          <w:spacing w:val="1"/>
          <w:w w:val="105"/>
        </w:rPr>
        <w:t> </w:t>
      </w:r>
      <w:r>
        <w:rPr>
          <w:color w:val="383436"/>
          <w:w w:val="110"/>
        </w:rPr>
        <w:t>in</w:t>
      </w:r>
      <w:r>
        <w:rPr>
          <w:color w:val="383436"/>
          <w:spacing w:val="-23"/>
          <w:w w:val="110"/>
        </w:rPr>
        <w:t> </w:t>
      </w:r>
      <w:r>
        <w:rPr>
          <w:color w:val="383436"/>
          <w:w w:val="110"/>
        </w:rPr>
        <w:t>a</w:t>
      </w:r>
      <w:r>
        <w:rPr>
          <w:color w:val="383436"/>
          <w:spacing w:val="21"/>
          <w:w w:val="110"/>
        </w:rPr>
        <w:t> </w:t>
      </w:r>
      <w:r>
        <w:rPr>
          <w:color w:val="383436"/>
          <w:w w:val="110"/>
        </w:rPr>
        <w:t>later</w:t>
      </w:r>
      <w:r>
        <w:rPr>
          <w:color w:val="383436"/>
          <w:spacing w:val="15"/>
          <w:w w:val="110"/>
        </w:rPr>
        <w:t> </w:t>
      </w:r>
      <w:r>
        <w:rPr>
          <w:color w:val="383436"/>
          <w:w w:val="110"/>
        </w:rPr>
        <w:t>round,</w:t>
      </w:r>
      <w:r>
        <w:rPr>
          <w:color w:val="383436"/>
          <w:spacing w:val="19"/>
          <w:w w:val="110"/>
        </w:rPr>
        <w:t> </w:t>
      </w:r>
      <w:r>
        <w:rPr>
          <w:color w:val="383436"/>
          <w:w w:val="110"/>
        </w:rPr>
        <w:t>ensuring</w:t>
      </w:r>
      <w:r>
        <w:rPr>
          <w:color w:val="383436"/>
          <w:spacing w:val="28"/>
          <w:w w:val="110"/>
        </w:rPr>
        <w:t> </w:t>
      </w:r>
      <w:r>
        <w:rPr>
          <w:color w:val="383436"/>
          <w:w w:val="110"/>
        </w:rPr>
        <w:t>that</w:t>
      </w:r>
      <w:r>
        <w:rPr>
          <w:color w:val="383436"/>
          <w:spacing w:val="14"/>
          <w:w w:val="110"/>
        </w:rPr>
        <w:t> </w:t>
      </w:r>
      <w:r>
        <w:rPr>
          <w:color w:val="383436"/>
          <w:w w:val="110"/>
        </w:rPr>
        <w:t>youare</w:t>
      </w:r>
      <w:r>
        <w:rPr>
          <w:color w:val="383436"/>
          <w:spacing w:val="-13"/>
          <w:w w:val="110"/>
        </w:rPr>
        <w:t> </w:t>
      </w:r>
      <w:r>
        <w:rPr>
          <w:color w:val="383436"/>
          <w:w w:val="110"/>
        </w:rPr>
        <w:t>eliminated</w:t>
      </w:r>
      <w:r>
        <w:rPr>
          <w:color w:val="383436"/>
          <w:spacing w:val="44"/>
          <w:w w:val="110"/>
        </w:rPr>
        <w:t> </w:t>
      </w:r>
      <w:r>
        <w:rPr>
          <w:color w:val="383436"/>
          <w:w w:val="110"/>
        </w:rPr>
        <w:t>from</w:t>
      </w:r>
      <w:r>
        <w:rPr>
          <w:color w:val="383436"/>
          <w:spacing w:val="25"/>
          <w:w w:val="110"/>
        </w:rPr>
        <w:t> </w:t>
      </w:r>
      <w:r>
        <w:rPr>
          <w:color w:val="383436"/>
          <w:w w:val="110"/>
        </w:rPr>
        <w:t>the</w:t>
      </w:r>
      <w:r>
        <w:rPr>
          <w:color w:val="383436"/>
          <w:spacing w:val="41"/>
          <w:w w:val="110"/>
        </w:rPr>
        <w:t> </w:t>
      </w:r>
      <w:r>
        <w:rPr>
          <w:color w:val="383436"/>
          <w:w w:val="110"/>
        </w:rPr>
        <w:t>competition.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16"/>
        </w:numPr>
        <w:tabs>
          <w:tab w:pos="1370" w:val="left" w:leader="none"/>
        </w:tabs>
        <w:spacing w:line="240" w:lineRule="auto" w:before="221" w:after="0"/>
        <w:ind w:left="1369" w:right="0" w:hanging="680"/>
        <w:jc w:val="left"/>
        <w:rPr>
          <w:rFonts w:ascii="Arial"/>
          <w:b/>
          <w:color w:val="383436"/>
          <w:sz w:val="31"/>
        </w:rPr>
      </w:pPr>
    </w:p>
    <w:p>
      <w:pPr>
        <w:spacing w:before="53"/>
        <w:ind w:left="692" w:right="0" w:firstLine="0"/>
        <w:jc w:val="left"/>
        <w:rPr>
          <w:b/>
          <w:sz w:val="28"/>
        </w:rPr>
      </w:pPr>
      <w:r>
        <w:rPr>
          <w:b/>
          <w:color w:val="383436"/>
          <w:sz w:val="28"/>
        </w:rPr>
        <w:t>SU</w:t>
      </w:r>
      <w:r>
        <w:rPr>
          <w:b/>
          <w:color w:val="6B6D6E"/>
          <w:sz w:val="28"/>
        </w:rPr>
        <w:t>MMAR</w:t>
      </w:r>
      <w:r>
        <w:rPr>
          <w:b/>
          <w:color w:val="4D4D4F"/>
          <w:sz w:val="28"/>
        </w:rPr>
        <w:t>Y</w:t>
      </w:r>
    </w:p>
    <w:p>
      <w:pPr>
        <w:pStyle w:val="BodyText"/>
        <w:spacing w:line="235" w:lineRule="auto" w:before="268"/>
        <w:ind w:left="130" w:right="672" w:firstLine="562"/>
        <w:jc w:val="both"/>
      </w:pPr>
      <w:r>
        <w:rPr>
          <w:color w:val="383436"/>
          <w:w w:val="110"/>
        </w:rPr>
        <w:t>Even though moot court competitions do not  replicate the  practice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of law, participating gives you practice in collaboration and decision mak­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ing as well as in legal writing and oral argument. Take full advantage of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the learning opportunities that the competition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pre</w:t>
      </w:r>
      <w:r>
        <w:rPr>
          <w:color w:val="4D4D4F"/>
          <w:w w:val="110"/>
        </w:rPr>
        <w:t>s</w:t>
      </w:r>
      <w:r>
        <w:rPr>
          <w:color w:val="383436"/>
          <w:w w:val="110"/>
        </w:rPr>
        <w:t>ents, and  remember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that you need three things to win: a good brief</w:t>
      </w:r>
      <w:r>
        <w:rPr>
          <w:color w:val="4D4D4F"/>
          <w:w w:val="110"/>
        </w:rPr>
        <w:t>, </w:t>
      </w:r>
      <w:r>
        <w:rPr>
          <w:color w:val="383436"/>
          <w:w w:val="110"/>
        </w:rPr>
        <w:t>good oral arguments</w:t>
      </w:r>
      <w:r>
        <w:rPr>
          <w:color w:val="4D4D4F"/>
          <w:w w:val="110"/>
        </w:rPr>
        <w:t>, </w:t>
      </w:r>
      <w:r>
        <w:rPr>
          <w:color w:val="383436"/>
          <w:w w:val="110"/>
        </w:rPr>
        <w:t>and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good luck. I hope this chapter helps you with the good briefs and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oral</w:t>
      </w:r>
      <w:r>
        <w:rPr>
          <w:color w:val="383436"/>
          <w:spacing w:val="1"/>
          <w:w w:val="110"/>
        </w:rPr>
        <w:t> </w:t>
      </w:r>
      <w:r>
        <w:rPr>
          <w:color w:val="383436"/>
          <w:spacing w:val="-1"/>
          <w:w w:val="110"/>
        </w:rPr>
        <w:t>arguments;</w:t>
      </w:r>
      <w:r>
        <w:rPr>
          <w:color w:val="383436"/>
          <w:spacing w:val="4"/>
          <w:w w:val="110"/>
        </w:rPr>
        <w:t> </w:t>
      </w:r>
      <w:r>
        <w:rPr>
          <w:color w:val="383436"/>
          <w:w w:val="110"/>
        </w:rPr>
        <w:t>the</w:t>
      </w:r>
      <w:r>
        <w:rPr>
          <w:color w:val="383436"/>
          <w:spacing w:val="41"/>
          <w:w w:val="110"/>
        </w:rPr>
        <w:t> </w:t>
      </w:r>
      <w:r>
        <w:rPr>
          <w:color w:val="383436"/>
          <w:w w:val="110"/>
        </w:rPr>
        <w:t>good</w:t>
      </w:r>
      <w:r>
        <w:rPr>
          <w:color w:val="383436"/>
          <w:spacing w:val="-3"/>
          <w:w w:val="110"/>
        </w:rPr>
        <w:t> </w:t>
      </w:r>
      <w:r>
        <w:rPr>
          <w:color w:val="383436"/>
          <w:w w:val="110"/>
        </w:rPr>
        <w:t>luck</w:t>
      </w:r>
      <w:r>
        <w:rPr>
          <w:color w:val="383436"/>
          <w:spacing w:val="-3"/>
          <w:w w:val="110"/>
        </w:rPr>
        <w:t> </w:t>
      </w:r>
      <w:r>
        <w:rPr>
          <w:color w:val="383436"/>
          <w:w w:val="110"/>
        </w:rPr>
        <w:t>is</w:t>
      </w:r>
      <w:r>
        <w:rPr>
          <w:color w:val="383436"/>
          <w:spacing w:val="-15"/>
          <w:w w:val="110"/>
        </w:rPr>
        <w:t> </w:t>
      </w:r>
      <w:r>
        <w:rPr>
          <w:color w:val="383436"/>
          <w:w w:val="110"/>
        </w:rPr>
        <w:t>up</w:t>
      </w:r>
      <w:r>
        <w:rPr>
          <w:color w:val="383436"/>
          <w:spacing w:val="15"/>
          <w:w w:val="110"/>
        </w:rPr>
        <w:t> </w:t>
      </w:r>
      <w:r>
        <w:rPr>
          <w:color w:val="383436"/>
          <w:w w:val="110"/>
        </w:rPr>
        <w:t>to</w:t>
      </w:r>
      <w:r>
        <w:rPr>
          <w:color w:val="383436"/>
          <w:spacing w:val="18"/>
          <w:w w:val="110"/>
        </w:rPr>
        <w:t> </w:t>
      </w:r>
      <w:r>
        <w:rPr>
          <w:color w:val="383436"/>
          <w:w w:val="110"/>
        </w:rPr>
        <w:t>you.</w:t>
      </w:r>
    </w:p>
    <w:p>
      <w:pPr>
        <w:spacing w:after="0" w:line="235" w:lineRule="auto"/>
        <w:jc w:val="both"/>
        <w:sectPr>
          <w:headerReference w:type="default" r:id="rId368"/>
          <w:pgSz w:w="9630" w:h="14010"/>
          <w:pgMar w:header="0" w:footer="0" w:top="440" w:bottom="0" w:left="180" w:right="1060"/>
        </w:sectPr>
      </w:pPr>
    </w:p>
    <w:p>
      <w:pPr>
        <w:spacing w:line="330" w:lineRule="exact" w:before="0"/>
        <w:ind w:left="-14" w:right="0" w:firstLine="0"/>
        <w:jc w:val="left"/>
        <w:rPr>
          <w:sz w:val="42"/>
        </w:rPr>
      </w:pPr>
      <w:r>
        <w:rPr>
          <w:color w:val="727275"/>
          <w:w w:val="99"/>
          <w:sz w:val="42"/>
        </w:rPr>
        <w:t>l</w:t>
      </w:r>
    </w:p>
    <w:p>
      <w:pPr>
        <w:spacing w:before="187"/>
        <w:ind w:left="0" w:right="110" w:firstLine="0"/>
        <w:jc w:val="right"/>
        <w:rPr>
          <w:rFonts w:ascii="Courier New"/>
          <w:b/>
          <w:sz w:val="21"/>
        </w:rPr>
      </w:pPr>
      <w:r>
        <w:rPr>
          <w:rFonts w:ascii="Courier New"/>
          <w:b/>
          <w:color w:val="383638"/>
          <w:sz w:val="21"/>
        </w:rPr>
        <w:t>329</w:t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4"/>
        <w:rPr>
          <w:rFonts w:ascii="Courier New"/>
          <w:b/>
          <w:sz w:val="24"/>
        </w:rPr>
      </w:pPr>
    </w:p>
    <w:p>
      <w:pPr>
        <w:spacing w:line="252" w:lineRule="auto" w:before="83"/>
        <w:ind w:left="956" w:right="2137" w:firstLine="4"/>
        <w:jc w:val="both"/>
        <w:rPr>
          <w:rFonts w:ascii="Arial"/>
          <w:sz w:val="40"/>
        </w:rPr>
      </w:pPr>
      <w:r>
        <w:rPr>
          <w:rFonts w:ascii="Arial"/>
          <w:color w:val="A1A3A5"/>
          <w:sz w:val="40"/>
        </w:rPr>
        <w:t>FOR </w:t>
      </w:r>
      <w:r>
        <w:rPr>
          <w:color w:val="A1A3A5"/>
          <w:sz w:val="44"/>
        </w:rPr>
        <w:t>REFERENCE</w:t>
      </w:r>
      <w:r>
        <w:rPr>
          <w:color w:val="727275"/>
          <w:sz w:val="44"/>
        </w:rPr>
        <w:t>: </w:t>
      </w:r>
      <w:r>
        <w:rPr>
          <w:rFonts w:ascii="Arial"/>
          <w:color w:val="8A8C8E"/>
          <w:sz w:val="40"/>
        </w:rPr>
        <w:t>CITATION</w:t>
      </w:r>
      <w:r>
        <w:rPr>
          <w:rFonts w:ascii="Arial"/>
          <w:color w:val="8A8C8E"/>
          <w:spacing w:val="-109"/>
          <w:sz w:val="40"/>
        </w:rPr>
        <w:t> </w:t>
      </w:r>
      <w:r>
        <w:rPr>
          <w:color w:val="A1A3A5"/>
          <w:sz w:val="44"/>
        </w:rPr>
        <w:t>FORM</w:t>
      </w:r>
      <w:r>
        <w:rPr>
          <w:color w:val="A1A3A5"/>
          <w:spacing w:val="1"/>
          <w:sz w:val="44"/>
        </w:rPr>
        <w:t> </w:t>
      </w:r>
      <w:r>
        <w:rPr>
          <w:color w:val="A1A3A5"/>
          <w:sz w:val="44"/>
        </w:rPr>
        <w:t>AND </w:t>
      </w:r>
      <w:r>
        <w:rPr>
          <w:rFonts w:ascii="Arial"/>
          <w:color w:val="A1A3A5"/>
          <w:sz w:val="40"/>
        </w:rPr>
        <w:t>PUNCTUATION</w:t>
      </w:r>
      <w:r>
        <w:rPr>
          <w:rFonts w:ascii="Arial"/>
          <w:color w:val="A1A3A5"/>
          <w:spacing w:val="1"/>
          <w:sz w:val="40"/>
        </w:rPr>
        <w:t> </w:t>
      </w:r>
      <w:r>
        <w:rPr>
          <w:rFonts w:ascii="Arial"/>
          <w:color w:val="A1A3A5"/>
          <w:sz w:val="40"/>
        </w:rPr>
        <w:t>INFORMATION</w:t>
      </w:r>
    </w:p>
    <w:p>
      <w:pPr>
        <w:pStyle w:val="BodyText"/>
        <w:spacing w:before="1"/>
        <w:rPr>
          <w:rFonts w:ascii="Arial"/>
          <w:sz w:val="55"/>
        </w:rPr>
      </w:pPr>
    </w:p>
    <w:p>
      <w:pPr>
        <w:pStyle w:val="ListParagraph"/>
        <w:numPr>
          <w:ilvl w:val="1"/>
          <w:numId w:val="118"/>
        </w:numPr>
        <w:tabs>
          <w:tab w:pos="1454" w:val="left" w:leader="none"/>
        </w:tabs>
        <w:spacing w:line="261" w:lineRule="exact" w:before="0" w:after="0"/>
        <w:ind w:left="1453" w:right="0" w:hanging="501"/>
        <w:jc w:val="left"/>
        <w:rPr>
          <w:b/>
          <w:color w:val="383638"/>
          <w:sz w:val="23"/>
        </w:rPr>
      </w:pPr>
      <w:r>
        <w:rPr>
          <w:color w:val="383638"/>
          <w:w w:val="115"/>
          <w:sz w:val="20"/>
        </w:rPr>
        <w:t>Putting</w:t>
      </w:r>
      <w:r>
        <w:rPr>
          <w:color w:val="383638"/>
          <w:spacing w:val="-4"/>
          <w:w w:val="115"/>
          <w:sz w:val="20"/>
        </w:rPr>
        <w:t> </w:t>
      </w:r>
      <w:r>
        <w:rPr>
          <w:color w:val="383638"/>
          <w:w w:val="115"/>
          <w:sz w:val="20"/>
        </w:rPr>
        <w:t>Citations</w:t>
      </w:r>
      <w:r>
        <w:rPr>
          <w:color w:val="383638"/>
          <w:spacing w:val="-3"/>
          <w:w w:val="115"/>
          <w:sz w:val="20"/>
        </w:rPr>
        <w:t> </w:t>
      </w:r>
      <w:r>
        <w:rPr>
          <w:color w:val="383638"/>
          <w:w w:val="115"/>
          <w:sz w:val="20"/>
        </w:rPr>
        <w:t>in</w:t>
      </w:r>
      <w:r>
        <w:rPr>
          <w:color w:val="383638"/>
          <w:spacing w:val="-7"/>
          <w:w w:val="115"/>
          <w:sz w:val="20"/>
        </w:rPr>
        <w:t> </w:t>
      </w:r>
      <w:r>
        <w:rPr>
          <w:color w:val="383638"/>
          <w:w w:val="115"/>
          <w:sz w:val="20"/>
        </w:rPr>
        <w:t>Their</w:t>
      </w:r>
      <w:r>
        <w:rPr>
          <w:color w:val="383638"/>
          <w:spacing w:val="14"/>
          <w:w w:val="115"/>
          <w:sz w:val="20"/>
        </w:rPr>
        <w:t> </w:t>
      </w:r>
      <w:r>
        <w:rPr>
          <w:color w:val="383638"/>
          <w:w w:val="115"/>
          <w:sz w:val="20"/>
        </w:rPr>
        <w:t>Place</w:t>
      </w:r>
    </w:p>
    <w:p>
      <w:pPr>
        <w:pStyle w:val="ListParagraph"/>
        <w:numPr>
          <w:ilvl w:val="2"/>
          <w:numId w:val="118"/>
        </w:numPr>
        <w:tabs>
          <w:tab w:pos="2149" w:val="left" w:leader="none"/>
        </w:tabs>
        <w:spacing w:line="228" w:lineRule="exact" w:before="0" w:after="0"/>
        <w:ind w:left="2148" w:right="0" w:hanging="693"/>
        <w:jc w:val="left"/>
        <w:rPr>
          <w:rFonts w:ascii="Arial"/>
          <w:b/>
          <w:color w:val="383638"/>
          <w:sz w:val="20"/>
        </w:rPr>
      </w:pPr>
      <w:r>
        <w:rPr>
          <w:color w:val="383638"/>
          <w:w w:val="115"/>
          <w:sz w:val="20"/>
        </w:rPr>
        <w:t>When</w:t>
      </w:r>
      <w:r>
        <w:rPr>
          <w:color w:val="383638"/>
          <w:spacing w:val="-9"/>
          <w:w w:val="115"/>
          <w:sz w:val="20"/>
        </w:rPr>
        <w:t> </w:t>
      </w:r>
      <w:r>
        <w:rPr>
          <w:color w:val="383638"/>
          <w:w w:val="115"/>
          <w:sz w:val="20"/>
        </w:rPr>
        <w:t>to</w:t>
      </w:r>
      <w:r>
        <w:rPr>
          <w:color w:val="383638"/>
          <w:spacing w:val="-12"/>
          <w:w w:val="115"/>
          <w:sz w:val="20"/>
        </w:rPr>
        <w:t> </w:t>
      </w:r>
      <w:r>
        <w:rPr>
          <w:color w:val="383638"/>
          <w:w w:val="115"/>
          <w:sz w:val="20"/>
        </w:rPr>
        <w:t>Cite</w:t>
      </w:r>
    </w:p>
    <w:p>
      <w:pPr>
        <w:pStyle w:val="ListParagraph"/>
        <w:numPr>
          <w:ilvl w:val="2"/>
          <w:numId w:val="118"/>
        </w:numPr>
        <w:tabs>
          <w:tab w:pos="2149" w:val="left" w:leader="none"/>
        </w:tabs>
        <w:spacing w:line="240" w:lineRule="auto" w:before="10" w:after="0"/>
        <w:ind w:left="2148" w:right="0" w:hanging="693"/>
        <w:jc w:val="left"/>
        <w:rPr>
          <w:rFonts w:ascii="Arial"/>
          <w:b/>
          <w:color w:val="282628"/>
          <w:sz w:val="20"/>
        </w:rPr>
      </w:pPr>
      <w:r>
        <w:rPr>
          <w:color w:val="383638"/>
          <w:w w:val="110"/>
          <w:sz w:val="20"/>
        </w:rPr>
        <w:t>When</w:t>
      </w:r>
      <w:r>
        <w:rPr>
          <w:color w:val="383638"/>
          <w:spacing w:val="17"/>
          <w:w w:val="110"/>
          <w:sz w:val="20"/>
        </w:rPr>
        <w:t> </w:t>
      </w:r>
      <w:r>
        <w:rPr>
          <w:color w:val="383638"/>
          <w:w w:val="110"/>
          <w:sz w:val="20"/>
        </w:rPr>
        <w:t>Not</w:t>
      </w:r>
      <w:r>
        <w:rPr>
          <w:color w:val="383638"/>
          <w:spacing w:val="-8"/>
          <w:w w:val="110"/>
          <w:sz w:val="20"/>
        </w:rPr>
        <w:t> </w:t>
      </w:r>
      <w:r>
        <w:rPr>
          <w:color w:val="383638"/>
          <w:w w:val="110"/>
          <w:sz w:val="20"/>
        </w:rPr>
        <w:t>to</w:t>
      </w:r>
      <w:r>
        <w:rPr>
          <w:color w:val="383638"/>
          <w:spacing w:val="17"/>
          <w:w w:val="110"/>
          <w:sz w:val="20"/>
        </w:rPr>
        <w:t> </w:t>
      </w:r>
      <w:r>
        <w:rPr>
          <w:color w:val="383638"/>
          <w:w w:val="110"/>
          <w:sz w:val="20"/>
        </w:rPr>
        <w:t>Cite</w:t>
      </w:r>
    </w:p>
    <w:p>
      <w:pPr>
        <w:pStyle w:val="ListParagraph"/>
        <w:numPr>
          <w:ilvl w:val="1"/>
          <w:numId w:val="118"/>
        </w:numPr>
        <w:tabs>
          <w:tab w:pos="1459" w:val="left" w:leader="none"/>
        </w:tabs>
        <w:spacing w:line="240" w:lineRule="auto" w:before="10" w:after="0"/>
        <w:ind w:left="1458" w:right="0" w:hanging="505"/>
        <w:jc w:val="left"/>
        <w:rPr>
          <w:rFonts w:ascii="Arial"/>
          <w:b/>
          <w:color w:val="383638"/>
          <w:sz w:val="20"/>
        </w:rPr>
      </w:pPr>
      <w:r>
        <w:rPr>
          <w:color w:val="383638"/>
          <w:w w:val="115"/>
          <w:sz w:val="20"/>
        </w:rPr>
        <w:t>Common</w:t>
      </w:r>
      <w:r>
        <w:rPr>
          <w:color w:val="383638"/>
          <w:spacing w:val="17"/>
          <w:w w:val="115"/>
          <w:sz w:val="20"/>
        </w:rPr>
        <w:t> </w:t>
      </w:r>
      <w:r>
        <w:rPr>
          <w:color w:val="383638"/>
          <w:w w:val="115"/>
          <w:sz w:val="20"/>
        </w:rPr>
        <w:t>Case</w:t>
      </w:r>
      <w:r>
        <w:rPr>
          <w:color w:val="383638"/>
          <w:spacing w:val="-6"/>
          <w:w w:val="115"/>
          <w:sz w:val="20"/>
        </w:rPr>
        <w:t> </w:t>
      </w:r>
      <w:r>
        <w:rPr>
          <w:color w:val="383638"/>
          <w:w w:val="115"/>
          <w:sz w:val="20"/>
        </w:rPr>
        <w:t>Citation</w:t>
      </w:r>
      <w:r>
        <w:rPr>
          <w:color w:val="383638"/>
          <w:spacing w:val="20"/>
          <w:w w:val="115"/>
          <w:sz w:val="20"/>
        </w:rPr>
        <w:t> </w:t>
      </w:r>
      <w:r>
        <w:rPr>
          <w:color w:val="383638"/>
          <w:w w:val="115"/>
          <w:sz w:val="20"/>
        </w:rPr>
        <w:t>Formats</w:t>
      </w:r>
    </w:p>
    <w:p>
      <w:pPr>
        <w:pStyle w:val="ListParagraph"/>
        <w:numPr>
          <w:ilvl w:val="2"/>
          <w:numId w:val="118"/>
        </w:numPr>
        <w:tabs>
          <w:tab w:pos="2157" w:val="left" w:leader="none"/>
        </w:tabs>
        <w:spacing w:line="240" w:lineRule="auto" w:before="0" w:after="0"/>
        <w:ind w:left="2156" w:right="0" w:hanging="701"/>
        <w:jc w:val="left"/>
        <w:rPr>
          <w:rFonts w:ascii="Arial"/>
          <w:b/>
          <w:color w:val="282628"/>
          <w:sz w:val="20"/>
        </w:rPr>
      </w:pPr>
      <w:r>
        <w:rPr>
          <w:color w:val="383638"/>
          <w:w w:val="105"/>
          <w:sz w:val="20"/>
        </w:rPr>
        <w:t>Long</w:t>
      </w:r>
      <w:r>
        <w:rPr>
          <w:color w:val="383638"/>
          <w:spacing w:val="15"/>
          <w:w w:val="105"/>
          <w:sz w:val="20"/>
        </w:rPr>
        <w:t> </w:t>
      </w:r>
      <w:r>
        <w:rPr>
          <w:color w:val="383638"/>
          <w:w w:val="105"/>
          <w:sz w:val="20"/>
        </w:rPr>
        <w:t>Form</w:t>
      </w:r>
    </w:p>
    <w:p>
      <w:pPr>
        <w:pStyle w:val="ListParagraph"/>
        <w:numPr>
          <w:ilvl w:val="2"/>
          <w:numId w:val="118"/>
        </w:numPr>
        <w:tabs>
          <w:tab w:pos="2149" w:val="left" w:leader="none"/>
        </w:tabs>
        <w:spacing w:line="240" w:lineRule="auto" w:before="10" w:after="0"/>
        <w:ind w:left="2148" w:right="0" w:hanging="693"/>
        <w:jc w:val="left"/>
        <w:rPr>
          <w:rFonts w:ascii="Arial"/>
          <w:b/>
          <w:color w:val="383638"/>
          <w:sz w:val="20"/>
        </w:rPr>
      </w:pPr>
      <w:r>
        <w:rPr>
          <w:color w:val="383638"/>
          <w:w w:val="110"/>
          <w:sz w:val="20"/>
        </w:rPr>
        <w:t>Short</w:t>
      </w:r>
      <w:r>
        <w:rPr>
          <w:color w:val="383638"/>
          <w:spacing w:val="-7"/>
          <w:w w:val="110"/>
          <w:sz w:val="20"/>
        </w:rPr>
        <w:t> </w:t>
      </w:r>
      <w:r>
        <w:rPr>
          <w:color w:val="383638"/>
          <w:w w:val="110"/>
          <w:sz w:val="20"/>
        </w:rPr>
        <w:t>Form</w:t>
      </w:r>
    </w:p>
    <w:p>
      <w:pPr>
        <w:pStyle w:val="ListParagraph"/>
        <w:numPr>
          <w:ilvl w:val="2"/>
          <w:numId w:val="118"/>
        </w:numPr>
        <w:tabs>
          <w:tab w:pos="2163" w:val="left" w:leader="none"/>
        </w:tabs>
        <w:spacing w:line="240" w:lineRule="auto" w:before="10" w:after="0"/>
        <w:ind w:left="2162" w:right="0" w:hanging="707"/>
        <w:jc w:val="left"/>
        <w:rPr>
          <w:rFonts w:ascii="Arial"/>
          <w:b/>
          <w:color w:val="383638"/>
          <w:sz w:val="20"/>
        </w:rPr>
      </w:pPr>
      <w:r>
        <w:rPr>
          <w:color w:val="383638"/>
          <w:w w:val="110"/>
          <w:sz w:val="20"/>
        </w:rPr>
        <w:t>Citing</w:t>
      </w:r>
      <w:r>
        <w:rPr>
          <w:color w:val="383638"/>
          <w:spacing w:val="2"/>
          <w:w w:val="110"/>
          <w:sz w:val="20"/>
        </w:rPr>
        <w:t> </w:t>
      </w:r>
      <w:r>
        <w:rPr>
          <w:color w:val="383638"/>
          <w:w w:val="110"/>
          <w:sz w:val="20"/>
        </w:rPr>
        <w:t>Nonmajority</w:t>
      </w:r>
      <w:r>
        <w:rPr>
          <w:color w:val="383638"/>
          <w:spacing w:val="2"/>
          <w:w w:val="110"/>
          <w:sz w:val="20"/>
        </w:rPr>
        <w:t> </w:t>
      </w:r>
      <w:r>
        <w:rPr>
          <w:color w:val="383638"/>
          <w:w w:val="110"/>
          <w:sz w:val="20"/>
        </w:rPr>
        <w:t>Opinions</w:t>
      </w:r>
    </w:p>
    <w:p>
      <w:pPr>
        <w:pStyle w:val="ListParagraph"/>
        <w:numPr>
          <w:ilvl w:val="1"/>
          <w:numId w:val="118"/>
        </w:numPr>
        <w:tabs>
          <w:tab w:pos="1459" w:val="left" w:leader="none"/>
        </w:tabs>
        <w:spacing w:line="240" w:lineRule="auto" w:before="0" w:after="0"/>
        <w:ind w:left="1458" w:right="0" w:hanging="495"/>
        <w:jc w:val="left"/>
        <w:rPr>
          <w:rFonts w:ascii="Arial"/>
          <w:b/>
          <w:color w:val="383638"/>
          <w:sz w:val="20"/>
        </w:rPr>
      </w:pPr>
      <w:r>
        <w:rPr>
          <w:color w:val="383638"/>
          <w:w w:val="115"/>
          <w:sz w:val="20"/>
        </w:rPr>
        <w:t>Changing</w:t>
      </w:r>
      <w:r>
        <w:rPr>
          <w:color w:val="383638"/>
          <w:spacing w:val="-8"/>
          <w:w w:val="115"/>
          <w:sz w:val="20"/>
        </w:rPr>
        <w:t> </w:t>
      </w:r>
      <w:r>
        <w:rPr>
          <w:color w:val="383638"/>
          <w:w w:val="115"/>
          <w:sz w:val="20"/>
        </w:rPr>
        <w:t>Sentence</w:t>
      </w:r>
      <w:r>
        <w:rPr>
          <w:color w:val="383638"/>
          <w:spacing w:val="-23"/>
          <w:w w:val="115"/>
          <w:sz w:val="20"/>
        </w:rPr>
        <w:t> </w:t>
      </w:r>
      <w:r>
        <w:rPr>
          <w:color w:val="383638"/>
          <w:w w:val="115"/>
          <w:sz w:val="20"/>
        </w:rPr>
        <w:t>Structure</w:t>
      </w:r>
      <w:r>
        <w:rPr>
          <w:color w:val="383638"/>
          <w:spacing w:val="-1"/>
          <w:w w:val="115"/>
          <w:sz w:val="20"/>
        </w:rPr>
        <w:t> </w:t>
      </w:r>
      <w:r>
        <w:rPr>
          <w:color w:val="383638"/>
          <w:w w:val="115"/>
          <w:sz w:val="20"/>
        </w:rPr>
        <w:t>to</w:t>
      </w:r>
      <w:r>
        <w:rPr>
          <w:color w:val="383638"/>
          <w:spacing w:val="20"/>
          <w:w w:val="115"/>
          <w:sz w:val="20"/>
        </w:rPr>
        <w:t> </w:t>
      </w:r>
      <w:r>
        <w:rPr>
          <w:color w:val="383638"/>
          <w:w w:val="115"/>
          <w:sz w:val="20"/>
        </w:rPr>
        <w:t>Accommodate</w:t>
      </w:r>
      <w:r>
        <w:rPr>
          <w:color w:val="383638"/>
          <w:spacing w:val="10"/>
          <w:w w:val="115"/>
          <w:sz w:val="20"/>
        </w:rPr>
        <w:t> </w:t>
      </w:r>
      <w:r>
        <w:rPr>
          <w:color w:val="383638"/>
          <w:w w:val="115"/>
          <w:sz w:val="20"/>
        </w:rPr>
        <w:t>Citation</w:t>
      </w:r>
      <w:r>
        <w:rPr>
          <w:color w:val="383638"/>
          <w:spacing w:val="23"/>
          <w:w w:val="115"/>
          <w:sz w:val="20"/>
        </w:rPr>
        <w:t> </w:t>
      </w:r>
      <w:r>
        <w:rPr>
          <w:color w:val="383638"/>
          <w:w w:val="115"/>
          <w:sz w:val="20"/>
        </w:rPr>
        <w:t>Form</w:t>
      </w:r>
    </w:p>
    <w:p>
      <w:pPr>
        <w:pStyle w:val="ListParagraph"/>
        <w:numPr>
          <w:ilvl w:val="1"/>
          <w:numId w:val="118"/>
        </w:numPr>
        <w:tabs>
          <w:tab w:pos="1454" w:val="left" w:leader="none"/>
        </w:tabs>
        <w:spacing w:line="227" w:lineRule="exact" w:before="10" w:after="0"/>
        <w:ind w:left="1453" w:right="0" w:hanging="490"/>
        <w:jc w:val="left"/>
        <w:rPr>
          <w:rFonts w:ascii="Arial"/>
          <w:b/>
          <w:color w:val="383638"/>
          <w:sz w:val="20"/>
        </w:rPr>
      </w:pPr>
      <w:r>
        <w:rPr>
          <w:color w:val="383638"/>
          <w:spacing w:val="-1"/>
          <w:w w:val="120"/>
          <w:sz w:val="20"/>
        </w:rPr>
        <w:t>Statutory</w:t>
      </w:r>
      <w:r>
        <w:rPr>
          <w:color w:val="383638"/>
          <w:spacing w:val="-23"/>
          <w:w w:val="120"/>
          <w:sz w:val="20"/>
        </w:rPr>
        <w:t> </w:t>
      </w:r>
      <w:r>
        <w:rPr>
          <w:color w:val="383638"/>
          <w:spacing w:val="-1"/>
          <w:w w:val="120"/>
          <w:sz w:val="20"/>
        </w:rPr>
        <w:t>Citations</w:t>
      </w:r>
    </w:p>
    <w:p>
      <w:pPr>
        <w:spacing w:line="247" w:lineRule="exact" w:before="0"/>
        <w:ind w:left="977" w:right="0" w:firstLine="0"/>
        <w:jc w:val="left"/>
        <w:rPr>
          <w:sz w:val="20"/>
        </w:rPr>
      </w:pPr>
      <w:r>
        <w:rPr>
          <w:b/>
          <w:i/>
          <w:color w:val="383638"/>
          <w:w w:val="115"/>
          <w:sz w:val="22"/>
        </w:rPr>
        <w:t>A</w:t>
      </w:r>
      <w:r>
        <w:rPr>
          <w:b/>
          <w:i/>
          <w:color w:val="525254"/>
          <w:w w:val="115"/>
          <w:sz w:val="22"/>
        </w:rPr>
        <w:t>.</w:t>
      </w:r>
      <w:r>
        <w:rPr>
          <w:b/>
          <w:i/>
          <w:color w:val="383638"/>
          <w:w w:val="115"/>
          <w:sz w:val="22"/>
        </w:rPr>
        <w:t>S</w:t>
      </w:r>
      <w:r>
        <w:rPr>
          <w:b/>
          <w:i/>
          <w:color w:val="383638"/>
          <w:spacing w:val="36"/>
          <w:w w:val="115"/>
          <w:sz w:val="22"/>
        </w:rPr>
        <w:t> </w:t>
      </w:r>
      <w:r>
        <w:rPr>
          <w:color w:val="383638"/>
          <w:w w:val="115"/>
          <w:sz w:val="20"/>
        </w:rPr>
        <w:t>Common</w:t>
      </w:r>
      <w:r>
        <w:rPr>
          <w:color w:val="383638"/>
          <w:spacing w:val="6"/>
          <w:w w:val="115"/>
          <w:sz w:val="20"/>
        </w:rPr>
        <w:t> </w:t>
      </w:r>
      <w:r>
        <w:rPr>
          <w:color w:val="383638"/>
          <w:w w:val="115"/>
          <w:sz w:val="20"/>
        </w:rPr>
        <w:t>Punctuation</w:t>
      </w:r>
      <w:r>
        <w:rPr>
          <w:color w:val="383638"/>
          <w:spacing w:val="17"/>
          <w:w w:val="115"/>
          <w:sz w:val="20"/>
        </w:rPr>
        <w:t> </w:t>
      </w:r>
      <w:r>
        <w:rPr>
          <w:color w:val="383638"/>
          <w:w w:val="115"/>
          <w:sz w:val="20"/>
        </w:rPr>
        <w:t>Problems</w:t>
      </w:r>
    </w:p>
    <w:p>
      <w:pPr>
        <w:pStyle w:val="ListParagraph"/>
        <w:numPr>
          <w:ilvl w:val="2"/>
          <w:numId w:val="119"/>
        </w:numPr>
        <w:tabs>
          <w:tab w:pos="2169" w:val="left" w:leader="none"/>
        </w:tabs>
        <w:spacing w:line="229" w:lineRule="exact" w:before="0" w:after="0"/>
        <w:ind w:left="2168" w:right="0" w:hanging="703"/>
        <w:jc w:val="left"/>
        <w:rPr>
          <w:rFonts w:ascii="Arial"/>
          <w:b/>
          <w:color w:val="282628"/>
          <w:sz w:val="20"/>
        </w:rPr>
      </w:pPr>
      <w:r>
        <w:rPr>
          <w:color w:val="383638"/>
          <w:w w:val="110"/>
          <w:sz w:val="20"/>
        </w:rPr>
        <w:t>Apostrophe</w:t>
      </w:r>
      <w:r>
        <w:rPr>
          <w:color w:val="383638"/>
          <w:spacing w:val="-10"/>
          <w:w w:val="110"/>
          <w:sz w:val="20"/>
        </w:rPr>
        <w:t> </w:t>
      </w:r>
      <w:r>
        <w:rPr>
          <w:color w:val="383638"/>
          <w:w w:val="110"/>
          <w:sz w:val="20"/>
        </w:rPr>
        <w:t>Problems</w:t>
      </w:r>
    </w:p>
    <w:p>
      <w:pPr>
        <w:pStyle w:val="ListParagraph"/>
        <w:numPr>
          <w:ilvl w:val="3"/>
          <w:numId w:val="119"/>
        </w:numPr>
        <w:tabs>
          <w:tab w:pos="2501" w:val="left" w:leader="none"/>
        </w:tabs>
        <w:spacing w:line="240" w:lineRule="auto" w:before="12" w:after="0"/>
        <w:ind w:left="2500" w:right="0" w:hanging="341"/>
        <w:jc w:val="left"/>
        <w:rPr>
          <w:b/>
          <w:color w:val="383638"/>
          <w:sz w:val="22"/>
        </w:rPr>
      </w:pPr>
      <w:r>
        <w:rPr>
          <w:color w:val="383638"/>
          <w:w w:val="110"/>
          <w:sz w:val="20"/>
        </w:rPr>
        <w:t>Common</w:t>
      </w:r>
      <w:r>
        <w:rPr>
          <w:color w:val="383638"/>
          <w:spacing w:val="11"/>
          <w:w w:val="110"/>
          <w:sz w:val="20"/>
        </w:rPr>
        <w:t> </w:t>
      </w:r>
      <w:r>
        <w:rPr>
          <w:color w:val="383638"/>
          <w:w w:val="110"/>
          <w:sz w:val="20"/>
        </w:rPr>
        <w:t>Homonym</w:t>
      </w:r>
      <w:r>
        <w:rPr>
          <w:color w:val="383638"/>
          <w:spacing w:val="13"/>
          <w:w w:val="110"/>
          <w:sz w:val="20"/>
        </w:rPr>
        <w:t> </w:t>
      </w:r>
      <w:r>
        <w:rPr>
          <w:color w:val="383638"/>
          <w:w w:val="110"/>
          <w:sz w:val="20"/>
        </w:rPr>
        <w:t>Probl</w:t>
      </w:r>
      <w:r>
        <w:rPr>
          <w:color w:val="525254"/>
          <w:w w:val="110"/>
          <w:sz w:val="20"/>
        </w:rPr>
        <w:t>e</w:t>
      </w:r>
      <w:r>
        <w:rPr>
          <w:color w:val="383638"/>
          <w:w w:val="110"/>
          <w:sz w:val="20"/>
        </w:rPr>
        <w:t>ms</w:t>
      </w:r>
    </w:p>
    <w:p>
      <w:pPr>
        <w:pStyle w:val="ListParagraph"/>
        <w:numPr>
          <w:ilvl w:val="3"/>
          <w:numId w:val="119"/>
        </w:numPr>
        <w:tabs>
          <w:tab w:pos="2514" w:val="left" w:leader="none"/>
        </w:tabs>
        <w:spacing w:line="240" w:lineRule="auto" w:before="16" w:after="0"/>
        <w:ind w:left="2513" w:right="0" w:hanging="339"/>
        <w:jc w:val="left"/>
        <w:rPr>
          <w:b/>
          <w:color w:val="282628"/>
          <w:sz w:val="21"/>
        </w:rPr>
      </w:pPr>
      <w:r>
        <w:rPr>
          <w:color w:val="383638"/>
          <w:sz w:val="20"/>
        </w:rPr>
        <w:t>Rules</w:t>
      </w:r>
      <w:r>
        <w:rPr>
          <w:color w:val="383638"/>
          <w:spacing w:val="-13"/>
          <w:sz w:val="20"/>
        </w:rPr>
        <w:t> </w:t>
      </w:r>
      <w:r>
        <w:rPr>
          <w:color w:val="383638"/>
          <w:sz w:val="20"/>
        </w:rPr>
        <w:t>of</w:t>
      </w:r>
      <w:r>
        <w:rPr>
          <w:color w:val="383638"/>
          <w:spacing w:val="36"/>
          <w:sz w:val="20"/>
        </w:rPr>
        <w:t> </w:t>
      </w:r>
      <w:r>
        <w:rPr>
          <w:color w:val="383638"/>
          <w:sz w:val="20"/>
        </w:rPr>
        <w:t>Possessives</w:t>
      </w:r>
    </w:p>
    <w:p>
      <w:pPr>
        <w:pStyle w:val="ListParagraph"/>
        <w:numPr>
          <w:ilvl w:val="2"/>
          <w:numId w:val="119"/>
        </w:numPr>
        <w:tabs>
          <w:tab w:pos="2158" w:val="left" w:leader="none"/>
        </w:tabs>
        <w:spacing w:line="240" w:lineRule="auto" w:before="17" w:after="0"/>
        <w:ind w:left="2157" w:right="0" w:hanging="683"/>
        <w:jc w:val="left"/>
        <w:rPr>
          <w:rFonts w:ascii="Arial"/>
          <w:b/>
          <w:color w:val="383638"/>
          <w:sz w:val="20"/>
        </w:rPr>
      </w:pPr>
      <w:r>
        <w:rPr>
          <w:color w:val="383638"/>
          <w:w w:val="105"/>
          <w:sz w:val="20"/>
        </w:rPr>
        <w:t>Semicolon</w:t>
      </w:r>
      <w:r>
        <w:rPr>
          <w:color w:val="383638"/>
          <w:spacing w:val="25"/>
          <w:w w:val="105"/>
          <w:sz w:val="20"/>
        </w:rPr>
        <w:t> </w:t>
      </w:r>
      <w:r>
        <w:rPr>
          <w:color w:val="383638"/>
          <w:w w:val="105"/>
          <w:sz w:val="20"/>
        </w:rPr>
        <w:t>Use</w:t>
      </w:r>
    </w:p>
    <w:p>
      <w:pPr>
        <w:pStyle w:val="ListParagraph"/>
        <w:numPr>
          <w:ilvl w:val="2"/>
          <w:numId w:val="119"/>
        </w:numPr>
        <w:tabs>
          <w:tab w:pos="2163" w:val="left" w:leader="none"/>
        </w:tabs>
        <w:spacing w:line="240" w:lineRule="auto" w:before="1" w:after="0"/>
        <w:ind w:left="2162" w:right="0" w:hanging="688"/>
        <w:jc w:val="left"/>
        <w:rPr>
          <w:rFonts w:ascii="Arial"/>
          <w:b/>
          <w:color w:val="383638"/>
          <w:sz w:val="20"/>
        </w:rPr>
      </w:pPr>
      <w:r>
        <w:rPr>
          <w:color w:val="383638"/>
          <w:w w:val="110"/>
          <w:sz w:val="20"/>
        </w:rPr>
        <w:t>Common</w:t>
      </w:r>
      <w:r>
        <w:rPr>
          <w:color w:val="383638"/>
          <w:spacing w:val="10"/>
          <w:w w:val="110"/>
          <w:sz w:val="20"/>
        </w:rPr>
        <w:t> </w:t>
      </w:r>
      <w:r>
        <w:rPr>
          <w:color w:val="383638"/>
          <w:w w:val="110"/>
          <w:sz w:val="20"/>
        </w:rPr>
        <w:t>Comma</w:t>
      </w:r>
      <w:r>
        <w:rPr>
          <w:color w:val="383638"/>
          <w:spacing w:val="14"/>
          <w:w w:val="110"/>
          <w:sz w:val="20"/>
        </w:rPr>
        <w:t> </w:t>
      </w:r>
      <w:r>
        <w:rPr>
          <w:color w:val="383638"/>
          <w:w w:val="110"/>
          <w:sz w:val="20"/>
        </w:rPr>
        <w:t>Problems</w:t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spacing w:line="242" w:lineRule="auto"/>
        <w:ind w:left="393" w:right="732" w:firstLine="576"/>
        <w:jc w:val="both"/>
      </w:pPr>
      <w:r>
        <w:rPr>
          <w:color w:val="383638"/>
          <w:w w:val="115"/>
        </w:rPr>
        <w:t>Because even lawyers still make grammatical and citation form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mistakes, this appendix provides basic information about these pesky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problems. Review </w:t>
      </w:r>
      <w:r>
        <w:rPr>
          <w:color w:val="282628"/>
          <w:w w:val="110"/>
        </w:rPr>
        <w:t>it </w:t>
      </w:r>
      <w:r>
        <w:rPr>
          <w:color w:val="383638"/>
          <w:w w:val="110"/>
        </w:rPr>
        <w:t>now, and keep it handy when you are polishing your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final</w:t>
      </w:r>
      <w:r>
        <w:rPr>
          <w:color w:val="383638"/>
          <w:spacing w:val="-14"/>
          <w:w w:val="115"/>
        </w:rPr>
        <w:t> </w:t>
      </w:r>
      <w:r>
        <w:rPr>
          <w:color w:val="383638"/>
          <w:w w:val="115"/>
        </w:rPr>
        <w:t>draft.</w:t>
      </w:r>
    </w:p>
    <w:p>
      <w:pPr>
        <w:pStyle w:val="BodyText"/>
        <w:rPr>
          <w:sz w:val="26"/>
        </w:rPr>
      </w:pPr>
    </w:p>
    <w:p>
      <w:pPr>
        <w:spacing w:before="196"/>
        <w:ind w:left="1000" w:right="0" w:firstLine="0"/>
        <w:jc w:val="left"/>
        <w:rPr>
          <w:b/>
          <w:sz w:val="34"/>
        </w:rPr>
      </w:pPr>
      <w:r>
        <w:rPr>
          <w:b/>
          <w:color w:val="A1A3A5"/>
          <w:sz w:val="34"/>
        </w:rPr>
        <w:t>A.1</w:t>
      </w:r>
    </w:p>
    <w:p>
      <w:pPr>
        <w:spacing w:before="48"/>
        <w:ind w:left="1002" w:right="0" w:firstLine="0"/>
        <w:jc w:val="left"/>
        <w:rPr>
          <w:rFonts w:ascii="Arial"/>
          <w:sz w:val="26"/>
        </w:rPr>
      </w:pPr>
      <w:r>
        <w:rPr>
          <w:rFonts w:ascii="Arial"/>
          <w:color w:val="A1A3A5"/>
          <w:w w:val="105"/>
          <w:sz w:val="26"/>
        </w:rPr>
        <w:t>PUTT.ING</w:t>
      </w:r>
      <w:r>
        <w:rPr>
          <w:rFonts w:ascii="Arial"/>
          <w:color w:val="A1A3A5"/>
          <w:spacing w:val="-6"/>
          <w:w w:val="105"/>
          <w:sz w:val="26"/>
        </w:rPr>
        <w:t> </w:t>
      </w:r>
      <w:r>
        <w:rPr>
          <w:rFonts w:ascii="Arial"/>
          <w:color w:val="8A8C8E"/>
          <w:w w:val="105"/>
          <w:sz w:val="26"/>
        </w:rPr>
        <w:t>CITATIONS</w:t>
      </w:r>
      <w:r>
        <w:rPr>
          <w:rFonts w:ascii="Arial"/>
          <w:color w:val="8A8C8E"/>
          <w:spacing w:val="4"/>
          <w:w w:val="105"/>
          <w:sz w:val="26"/>
        </w:rPr>
        <w:t> </w:t>
      </w:r>
      <w:r>
        <w:rPr>
          <w:rFonts w:ascii="Arial"/>
          <w:color w:val="A1A3A5"/>
          <w:w w:val="105"/>
          <w:sz w:val="26"/>
        </w:rPr>
        <w:t>IN</w:t>
      </w:r>
      <w:r>
        <w:rPr>
          <w:rFonts w:ascii="Arial"/>
          <w:color w:val="A1A3A5"/>
          <w:spacing w:val="22"/>
          <w:w w:val="105"/>
          <w:sz w:val="26"/>
        </w:rPr>
        <w:t> </w:t>
      </w:r>
      <w:r>
        <w:rPr>
          <w:rFonts w:ascii="Arial"/>
          <w:color w:val="8A8C8E"/>
          <w:w w:val="105"/>
          <w:sz w:val="26"/>
        </w:rPr>
        <w:t>THEIR</w:t>
      </w:r>
      <w:r>
        <w:rPr>
          <w:rFonts w:ascii="Arial"/>
          <w:color w:val="8A8C8E"/>
          <w:spacing w:val="2"/>
          <w:w w:val="105"/>
          <w:sz w:val="26"/>
        </w:rPr>
        <w:t> </w:t>
      </w:r>
      <w:r>
        <w:rPr>
          <w:rFonts w:ascii="Arial"/>
          <w:color w:val="8A8C8E"/>
          <w:w w:val="105"/>
          <w:sz w:val="26"/>
        </w:rPr>
        <w:t>PLACE</w:t>
      </w:r>
    </w:p>
    <w:p>
      <w:pPr>
        <w:pStyle w:val="BodyText"/>
        <w:spacing w:before="3"/>
        <w:rPr>
          <w:rFonts w:ascii="Arial"/>
          <w:sz w:val="24"/>
        </w:rPr>
      </w:pPr>
    </w:p>
    <w:p>
      <w:pPr>
        <w:pStyle w:val="BodyText"/>
        <w:spacing w:line="257" w:lineRule="exact" w:before="1"/>
        <w:ind w:left="969"/>
        <w:jc w:val="both"/>
      </w:pPr>
      <w:r>
        <w:rPr>
          <w:color w:val="383638"/>
          <w:w w:val="110"/>
        </w:rPr>
        <w:t>Sections</w:t>
      </w:r>
      <w:r>
        <w:rPr>
          <w:color w:val="383638"/>
          <w:spacing w:val="58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525254"/>
          <w:w w:val="110"/>
        </w:rPr>
        <w:t>.</w:t>
      </w:r>
      <w:r>
        <w:rPr>
          <w:color w:val="383638"/>
          <w:w w:val="110"/>
        </w:rPr>
        <w:t>1</w:t>
      </w:r>
      <w:r>
        <w:rPr>
          <w:color w:val="383638"/>
          <w:spacing w:val="61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41"/>
          <w:w w:val="110"/>
        </w:rPr>
        <w:t> </w:t>
      </w:r>
      <w:r>
        <w:rPr>
          <w:color w:val="383638"/>
          <w:w w:val="110"/>
        </w:rPr>
        <w:t>A.4</w:t>
      </w:r>
      <w:r>
        <w:rPr>
          <w:color w:val="383638"/>
          <w:spacing w:val="49"/>
          <w:w w:val="110"/>
        </w:rPr>
        <w:t> </w:t>
      </w:r>
      <w:r>
        <w:rPr>
          <w:color w:val="383638"/>
          <w:w w:val="110"/>
        </w:rPr>
        <w:t>address</w:t>
      </w:r>
      <w:r>
        <w:rPr>
          <w:color w:val="383638"/>
          <w:spacing w:val="53"/>
          <w:w w:val="110"/>
        </w:rPr>
        <w:t> </w:t>
      </w:r>
      <w:r>
        <w:rPr>
          <w:color w:val="383638"/>
          <w:w w:val="110"/>
        </w:rPr>
        <w:t>four</w:t>
      </w:r>
      <w:r>
        <w:rPr>
          <w:color w:val="383638"/>
          <w:spacing w:val="55"/>
          <w:w w:val="110"/>
        </w:rPr>
        <w:t> </w:t>
      </w:r>
      <w:r>
        <w:rPr>
          <w:color w:val="383638"/>
          <w:w w:val="110"/>
        </w:rPr>
        <w:t>basic</w:t>
      </w:r>
      <w:r>
        <w:rPr>
          <w:color w:val="383638"/>
          <w:spacing w:val="54"/>
          <w:w w:val="110"/>
        </w:rPr>
        <w:t> </w:t>
      </w:r>
      <w:r>
        <w:rPr>
          <w:color w:val="383638"/>
          <w:w w:val="110"/>
        </w:rPr>
        <w:t>concerns</w:t>
      </w:r>
      <w:r>
        <w:rPr>
          <w:color w:val="383638"/>
          <w:spacing w:val="59"/>
          <w:w w:val="110"/>
        </w:rPr>
        <w:t> </w:t>
      </w:r>
      <w:r>
        <w:rPr>
          <w:color w:val="383638"/>
          <w:w w:val="110"/>
        </w:rPr>
        <w:t>about</w:t>
      </w:r>
      <w:r>
        <w:rPr>
          <w:color w:val="383638"/>
          <w:spacing w:val="62"/>
          <w:w w:val="110"/>
        </w:rPr>
        <w:t> </w:t>
      </w:r>
      <w:r>
        <w:rPr>
          <w:color w:val="383638"/>
          <w:w w:val="110"/>
        </w:rPr>
        <w:t>citations:</w:t>
      </w:r>
    </w:p>
    <w:p>
      <w:pPr>
        <w:pStyle w:val="ListParagraph"/>
        <w:numPr>
          <w:ilvl w:val="0"/>
          <w:numId w:val="120"/>
        </w:numPr>
        <w:tabs>
          <w:tab w:pos="732" w:val="left" w:leader="none"/>
        </w:tabs>
        <w:spacing w:line="235" w:lineRule="auto" w:before="0" w:after="0"/>
        <w:ind w:left="393" w:right="660" w:firstLine="1"/>
        <w:jc w:val="both"/>
        <w:rPr>
          <w:sz w:val="23"/>
        </w:rPr>
      </w:pPr>
      <w:r>
        <w:rPr>
          <w:color w:val="383638"/>
          <w:w w:val="115"/>
          <w:sz w:val="23"/>
        </w:rPr>
        <w:t>wh</w:t>
      </w:r>
      <w:r>
        <w:rPr>
          <w:color w:val="525254"/>
          <w:w w:val="115"/>
          <w:sz w:val="23"/>
        </w:rPr>
        <w:t>e</w:t>
      </w:r>
      <w:r>
        <w:rPr>
          <w:color w:val="383638"/>
          <w:w w:val="115"/>
          <w:sz w:val="23"/>
        </w:rPr>
        <w:t>n to cite and not to cite, (2) requirements for and common mis­</w:t>
      </w:r>
      <w:r>
        <w:rPr>
          <w:color w:val="383638"/>
          <w:spacing w:val="1"/>
          <w:w w:val="115"/>
          <w:sz w:val="23"/>
        </w:rPr>
        <w:t> </w:t>
      </w:r>
      <w:r>
        <w:rPr>
          <w:color w:val="383638"/>
          <w:w w:val="115"/>
          <w:sz w:val="23"/>
        </w:rPr>
        <w:t>takes </w:t>
      </w:r>
      <w:r>
        <w:rPr>
          <w:color w:val="282628"/>
          <w:w w:val="115"/>
          <w:sz w:val="23"/>
        </w:rPr>
        <w:t>in long-form </w:t>
      </w:r>
      <w:r>
        <w:rPr>
          <w:color w:val="383638"/>
          <w:w w:val="115"/>
          <w:sz w:val="23"/>
        </w:rPr>
        <w:t>and short-form citations, (3) how to adjust sentence</w:t>
      </w:r>
      <w:r>
        <w:rPr>
          <w:color w:val="383638"/>
          <w:spacing w:val="1"/>
          <w:w w:val="115"/>
          <w:sz w:val="23"/>
        </w:rPr>
        <w:t> </w:t>
      </w:r>
      <w:r>
        <w:rPr>
          <w:color w:val="383638"/>
          <w:w w:val="110"/>
          <w:sz w:val="23"/>
        </w:rPr>
        <w:t>structure</w:t>
      </w:r>
      <w:r>
        <w:rPr>
          <w:color w:val="383638"/>
          <w:spacing w:val="11"/>
          <w:w w:val="110"/>
          <w:sz w:val="23"/>
        </w:rPr>
        <w:t> </w:t>
      </w:r>
      <w:r>
        <w:rPr>
          <w:color w:val="383638"/>
          <w:w w:val="110"/>
          <w:sz w:val="23"/>
        </w:rPr>
        <w:t>to</w:t>
      </w:r>
      <w:r>
        <w:rPr>
          <w:color w:val="383638"/>
          <w:spacing w:val="28"/>
          <w:w w:val="110"/>
          <w:sz w:val="23"/>
        </w:rPr>
        <w:t> </w:t>
      </w:r>
      <w:r>
        <w:rPr>
          <w:color w:val="383638"/>
          <w:w w:val="110"/>
          <w:sz w:val="23"/>
        </w:rPr>
        <w:t>accommodate</w:t>
      </w:r>
      <w:r>
        <w:rPr>
          <w:color w:val="383638"/>
          <w:spacing w:val="15"/>
          <w:w w:val="110"/>
          <w:sz w:val="23"/>
        </w:rPr>
        <w:t> </w:t>
      </w:r>
      <w:r>
        <w:rPr>
          <w:color w:val="383638"/>
          <w:w w:val="110"/>
          <w:sz w:val="23"/>
        </w:rPr>
        <w:t>citation</w:t>
      </w:r>
      <w:r>
        <w:rPr>
          <w:color w:val="383638"/>
          <w:spacing w:val="16"/>
          <w:w w:val="110"/>
          <w:sz w:val="23"/>
        </w:rPr>
        <w:t> </w:t>
      </w:r>
      <w:r>
        <w:rPr>
          <w:color w:val="383638"/>
          <w:w w:val="110"/>
          <w:sz w:val="23"/>
        </w:rPr>
        <w:t>form,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and</w:t>
      </w:r>
      <w:r>
        <w:rPr>
          <w:color w:val="383638"/>
          <w:spacing w:val="47"/>
          <w:w w:val="110"/>
          <w:sz w:val="23"/>
        </w:rPr>
        <w:t> </w:t>
      </w:r>
      <w:r>
        <w:rPr>
          <w:color w:val="383638"/>
          <w:w w:val="110"/>
          <w:sz w:val="23"/>
        </w:rPr>
        <w:t>(4)</w:t>
      </w:r>
      <w:r>
        <w:rPr>
          <w:color w:val="383638"/>
          <w:spacing w:val="-5"/>
          <w:w w:val="110"/>
          <w:sz w:val="23"/>
        </w:rPr>
        <w:t> </w:t>
      </w:r>
      <w:r>
        <w:rPr>
          <w:color w:val="383638"/>
          <w:w w:val="110"/>
          <w:sz w:val="23"/>
        </w:rPr>
        <w:t>statutory</w:t>
      </w:r>
      <w:r>
        <w:rPr>
          <w:color w:val="383638"/>
          <w:spacing w:val="-2"/>
          <w:w w:val="110"/>
          <w:sz w:val="23"/>
        </w:rPr>
        <w:t> </w:t>
      </w:r>
      <w:r>
        <w:rPr>
          <w:color w:val="383638"/>
          <w:w w:val="110"/>
          <w:sz w:val="23"/>
        </w:rPr>
        <w:t>citations.</w:t>
      </w:r>
    </w:p>
    <w:p>
      <w:pPr>
        <w:pStyle w:val="BodyText"/>
        <w:spacing w:before="4"/>
        <w:rPr>
          <w:sz w:val="31"/>
        </w:rPr>
      </w:pPr>
    </w:p>
    <w:p>
      <w:pPr>
        <w:spacing w:before="1"/>
        <w:ind w:left="791" w:right="0" w:firstLine="0"/>
        <w:jc w:val="left"/>
        <w:rPr>
          <w:rFonts w:ascii="Arial"/>
          <w:sz w:val="28"/>
        </w:rPr>
      </w:pPr>
      <w:r>
        <w:rPr>
          <w:rFonts w:ascii="Arial"/>
          <w:color w:val="8A8C8E"/>
          <w:w w:val="105"/>
          <w:sz w:val="28"/>
        </w:rPr>
        <w:t>A.1.1</w:t>
      </w:r>
    </w:p>
    <w:p>
      <w:pPr>
        <w:spacing w:before="52"/>
        <w:ind w:left="778" w:right="0" w:firstLine="0"/>
        <w:jc w:val="left"/>
        <w:rPr>
          <w:rFonts w:ascii="Arial"/>
          <w:sz w:val="22"/>
        </w:rPr>
      </w:pPr>
      <w:r>
        <w:rPr>
          <w:rFonts w:ascii="Arial"/>
          <w:color w:val="8A8C8E"/>
          <w:w w:val="110"/>
          <w:sz w:val="22"/>
        </w:rPr>
        <w:t>WHEN</w:t>
      </w:r>
      <w:r>
        <w:rPr>
          <w:rFonts w:ascii="Arial"/>
          <w:color w:val="8A8C8E"/>
          <w:spacing w:val="-14"/>
          <w:w w:val="110"/>
          <w:sz w:val="22"/>
        </w:rPr>
        <w:t> </w:t>
      </w:r>
      <w:r>
        <w:rPr>
          <w:rFonts w:ascii="Arial"/>
          <w:color w:val="727275"/>
          <w:w w:val="110"/>
          <w:sz w:val="22"/>
        </w:rPr>
        <w:t>T</w:t>
      </w:r>
      <w:r>
        <w:rPr>
          <w:rFonts w:ascii="Arial"/>
          <w:color w:val="8A8C8E"/>
          <w:w w:val="110"/>
          <w:sz w:val="22"/>
        </w:rPr>
        <w:t>O</w:t>
      </w:r>
      <w:r>
        <w:rPr>
          <w:rFonts w:ascii="Arial"/>
          <w:color w:val="8A8C8E"/>
          <w:spacing w:val="13"/>
          <w:w w:val="110"/>
          <w:sz w:val="22"/>
        </w:rPr>
        <w:t> </w:t>
      </w:r>
      <w:r>
        <w:rPr>
          <w:rFonts w:ascii="Arial"/>
          <w:color w:val="8A8C8E"/>
          <w:w w:val="110"/>
          <w:sz w:val="22"/>
        </w:rPr>
        <w:t>CITE</w:t>
      </w:r>
    </w:p>
    <w:p>
      <w:pPr>
        <w:pStyle w:val="BodyText"/>
        <w:spacing w:line="253" w:lineRule="exact" w:before="152"/>
        <w:ind w:left="745"/>
      </w:pPr>
      <w:r>
        <w:rPr>
          <w:color w:val="383638"/>
          <w:spacing w:val="-1"/>
          <w:w w:val="115"/>
        </w:rPr>
        <w:t>There</w:t>
      </w:r>
      <w:r>
        <w:rPr>
          <w:color w:val="383638"/>
          <w:spacing w:val="-14"/>
          <w:w w:val="115"/>
        </w:rPr>
        <w:t> </w:t>
      </w:r>
      <w:r>
        <w:rPr>
          <w:color w:val="383638"/>
          <w:spacing w:val="-1"/>
          <w:w w:val="115"/>
        </w:rPr>
        <w:t>are</w:t>
      </w:r>
      <w:r>
        <w:rPr>
          <w:color w:val="383638"/>
          <w:w w:val="115"/>
        </w:rPr>
        <w:t> </w:t>
      </w:r>
      <w:r>
        <w:rPr>
          <w:color w:val="383638"/>
          <w:spacing w:val="-1"/>
          <w:w w:val="115"/>
        </w:rPr>
        <w:t>four</w:t>
      </w:r>
      <w:r>
        <w:rPr>
          <w:color w:val="383638"/>
          <w:spacing w:val="-21"/>
          <w:w w:val="115"/>
        </w:rPr>
        <w:t> </w:t>
      </w:r>
      <w:r>
        <w:rPr>
          <w:color w:val="383638"/>
          <w:spacing w:val="-1"/>
          <w:w w:val="115"/>
        </w:rPr>
        <w:t>common</w:t>
      </w:r>
      <w:r>
        <w:rPr>
          <w:color w:val="383638"/>
          <w:spacing w:val="-6"/>
          <w:w w:val="115"/>
        </w:rPr>
        <w:t> </w:t>
      </w:r>
      <w:r>
        <w:rPr>
          <w:color w:val="383638"/>
          <w:w w:val="115"/>
        </w:rPr>
        <w:t>occasions</w:t>
      </w:r>
      <w:r>
        <w:rPr>
          <w:color w:val="383638"/>
          <w:spacing w:val="-5"/>
          <w:w w:val="115"/>
        </w:rPr>
        <w:t> </w:t>
      </w:r>
      <w:r>
        <w:rPr>
          <w:color w:val="282628"/>
          <w:w w:val="115"/>
        </w:rPr>
        <w:t>that</w:t>
      </w:r>
      <w:r>
        <w:rPr>
          <w:color w:val="282628"/>
          <w:spacing w:val="-10"/>
          <w:w w:val="115"/>
        </w:rPr>
        <w:t> </w:t>
      </w:r>
      <w:r>
        <w:rPr>
          <w:color w:val="383638"/>
          <w:w w:val="115"/>
        </w:rPr>
        <w:t>call</w:t>
      </w:r>
      <w:r>
        <w:rPr>
          <w:color w:val="383638"/>
          <w:spacing w:val="-6"/>
          <w:w w:val="115"/>
        </w:rPr>
        <w:t> </w:t>
      </w:r>
      <w:r>
        <w:rPr>
          <w:color w:val="383638"/>
          <w:w w:val="115"/>
        </w:rPr>
        <w:t>for</w:t>
      </w:r>
      <w:r>
        <w:rPr>
          <w:color w:val="383638"/>
          <w:spacing w:val="-10"/>
          <w:w w:val="115"/>
        </w:rPr>
        <w:t> </w:t>
      </w:r>
      <w:r>
        <w:rPr>
          <w:color w:val="383638"/>
          <w:w w:val="115"/>
        </w:rPr>
        <w:t>a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citation:</w:t>
      </w:r>
    </w:p>
    <w:p>
      <w:pPr>
        <w:pStyle w:val="ListParagraph"/>
        <w:numPr>
          <w:ilvl w:val="1"/>
          <w:numId w:val="120"/>
        </w:numPr>
        <w:tabs>
          <w:tab w:pos="1155" w:val="left" w:leader="none"/>
        </w:tabs>
        <w:spacing w:line="235" w:lineRule="auto" w:before="0" w:after="0"/>
        <w:ind w:left="406" w:right="610" w:firstLine="345"/>
        <w:jc w:val="left"/>
        <w:rPr>
          <w:color w:val="383638"/>
          <w:sz w:val="23"/>
        </w:rPr>
      </w:pPr>
      <w:r>
        <w:rPr>
          <w:color w:val="383638"/>
          <w:w w:val="110"/>
          <w:sz w:val="23"/>
        </w:rPr>
        <w:t>When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you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are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either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4"/>
        </w:rPr>
        <w:t>quoting</w:t>
      </w:r>
      <w:r>
        <w:rPr>
          <w:color w:val="383638"/>
          <w:spacing w:val="1"/>
          <w:w w:val="110"/>
          <w:sz w:val="24"/>
        </w:rPr>
        <w:t> </w:t>
      </w:r>
      <w:r>
        <w:rPr>
          <w:color w:val="383638"/>
          <w:w w:val="110"/>
          <w:sz w:val="24"/>
        </w:rPr>
        <w:t>or</w:t>
      </w:r>
      <w:r>
        <w:rPr>
          <w:color w:val="383638"/>
          <w:spacing w:val="1"/>
          <w:w w:val="110"/>
          <w:sz w:val="24"/>
        </w:rPr>
        <w:t> </w:t>
      </w:r>
      <w:r>
        <w:rPr>
          <w:b/>
          <w:color w:val="383638"/>
          <w:w w:val="110"/>
          <w:sz w:val="23"/>
        </w:rPr>
        <w:t>paraphrasing</w:t>
      </w:r>
      <w:r>
        <w:rPr>
          <w:b/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language</w:t>
      </w:r>
      <w:r>
        <w:rPr>
          <w:color w:val="383638"/>
          <w:spacing w:val="1"/>
          <w:w w:val="110"/>
          <w:sz w:val="23"/>
        </w:rPr>
        <w:t> </w:t>
      </w:r>
      <w:r>
        <w:rPr>
          <w:color w:val="383638"/>
          <w:w w:val="110"/>
          <w:sz w:val="23"/>
        </w:rPr>
        <w:t>from</w:t>
      </w:r>
      <w:r>
        <w:rPr>
          <w:color w:val="383638"/>
          <w:spacing w:val="-61"/>
          <w:w w:val="110"/>
          <w:sz w:val="23"/>
        </w:rPr>
        <w:t> </w:t>
      </w:r>
      <w:r>
        <w:rPr>
          <w:color w:val="383638"/>
          <w:w w:val="110"/>
          <w:sz w:val="23"/>
        </w:rPr>
        <w:t>another</w:t>
      </w:r>
      <w:r>
        <w:rPr>
          <w:color w:val="383638"/>
          <w:spacing w:val="-1"/>
          <w:w w:val="110"/>
          <w:sz w:val="23"/>
        </w:rPr>
        <w:t> </w:t>
      </w:r>
      <w:r>
        <w:rPr>
          <w:color w:val="383638"/>
          <w:w w:val="110"/>
          <w:sz w:val="23"/>
        </w:rPr>
        <w:t>source,</w:t>
      </w:r>
      <w:r>
        <w:rPr>
          <w:color w:val="383638"/>
          <w:spacing w:val="4"/>
          <w:w w:val="110"/>
          <w:sz w:val="23"/>
        </w:rPr>
        <w:t> </w:t>
      </w:r>
      <w:r>
        <w:rPr>
          <w:color w:val="383638"/>
          <w:w w:val="110"/>
          <w:sz w:val="23"/>
        </w:rPr>
        <w:t>you</w:t>
      </w:r>
      <w:r>
        <w:rPr>
          <w:color w:val="383638"/>
          <w:spacing w:val="20"/>
          <w:w w:val="110"/>
          <w:sz w:val="23"/>
        </w:rPr>
        <w:t> </w:t>
      </w:r>
      <w:r>
        <w:rPr>
          <w:color w:val="383638"/>
          <w:w w:val="110"/>
          <w:sz w:val="23"/>
        </w:rPr>
        <w:t>must cite</w:t>
      </w:r>
      <w:r>
        <w:rPr>
          <w:color w:val="383638"/>
          <w:spacing w:val="-9"/>
          <w:w w:val="110"/>
          <w:sz w:val="23"/>
        </w:rPr>
        <w:t> </w:t>
      </w:r>
      <w:r>
        <w:rPr>
          <w:color w:val="383638"/>
          <w:w w:val="110"/>
          <w:sz w:val="23"/>
        </w:rPr>
        <w:t>the</w:t>
      </w:r>
      <w:r>
        <w:rPr>
          <w:color w:val="383638"/>
          <w:spacing w:val="-1"/>
          <w:w w:val="110"/>
          <w:sz w:val="23"/>
        </w:rPr>
        <w:t> </w:t>
      </w:r>
      <w:r>
        <w:rPr>
          <w:color w:val="383638"/>
          <w:w w:val="110"/>
          <w:sz w:val="23"/>
        </w:rPr>
        <w:t>source of</w:t>
      </w:r>
      <w:r>
        <w:rPr>
          <w:color w:val="383638"/>
          <w:spacing w:val="13"/>
          <w:w w:val="110"/>
          <w:sz w:val="23"/>
        </w:rPr>
        <w:t> </w:t>
      </w:r>
      <w:r>
        <w:rPr>
          <w:color w:val="383638"/>
          <w:w w:val="110"/>
          <w:sz w:val="23"/>
        </w:rPr>
        <w:t>the</w:t>
      </w:r>
      <w:r>
        <w:rPr>
          <w:color w:val="383638"/>
          <w:spacing w:val="54"/>
          <w:w w:val="110"/>
          <w:sz w:val="23"/>
        </w:rPr>
        <w:t> </w:t>
      </w:r>
      <w:r>
        <w:rPr>
          <w:color w:val="282628"/>
          <w:w w:val="110"/>
          <w:sz w:val="23"/>
        </w:rPr>
        <w:t>language.</w:t>
      </w:r>
    </w:p>
    <w:p>
      <w:pPr>
        <w:spacing w:after="0" w:line="235" w:lineRule="auto"/>
        <w:jc w:val="left"/>
        <w:rPr>
          <w:sz w:val="23"/>
        </w:rPr>
        <w:sectPr>
          <w:headerReference w:type="even" r:id="rId369"/>
          <w:pgSz w:w="9500" w:h="14010"/>
          <w:pgMar w:header="0" w:footer="0" w:top="0" w:bottom="280" w:left="0" w:right="800"/>
        </w:sectPr>
      </w:pPr>
    </w:p>
    <w:p>
      <w:pPr>
        <w:pStyle w:val="ListParagraph"/>
        <w:numPr>
          <w:ilvl w:val="1"/>
          <w:numId w:val="120"/>
        </w:numPr>
        <w:tabs>
          <w:tab w:pos="1327" w:val="left" w:leader="none"/>
        </w:tabs>
        <w:spacing w:line="232" w:lineRule="auto" w:before="87" w:after="0"/>
        <w:ind w:left="569" w:right="112" w:firstLine="384"/>
        <w:jc w:val="both"/>
        <w:rPr>
          <w:color w:val="383436"/>
          <w:sz w:val="23"/>
        </w:rPr>
      </w:pPr>
      <w:r>
        <w:rPr>
          <w:color w:val="383436"/>
          <w:w w:val="110"/>
          <w:sz w:val="23"/>
        </w:rPr>
        <w:t>When you state a legal  proposition,  you  must cite to authority</w:t>
      </w:r>
      <w:r>
        <w:rPr>
          <w:color w:val="383436"/>
          <w:spacing w:val="1"/>
          <w:w w:val="110"/>
          <w:sz w:val="23"/>
        </w:rPr>
        <w:t> </w:t>
      </w:r>
      <w:r>
        <w:rPr>
          <w:color w:val="383436"/>
          <w:w w:val="110"/>
          <w:sz w:val="23"/>
        </w:rPr>
        <w:t>for that proposition. This rule applies even when the legal proposition</w:t>
      </w:r>
      <w:r>
        <w:rPr>
          <w:color w:val="383436"/>
          <w:spacing w:val="1"/>
          <w:w w:val="110"/>
          <w:sz w:val="23"/>
        </w:rPr>
        <w:t> </w:t>
      </w:r>
      <w:r>
        <w:rPr>
          <w:color w:val="383436"/>
          <w:w w:val="110"/>
          <w:sz w:val="23"/>
        </w:rPr>
        <w:t>could be part of a lawyer's general knowledge. In a formal document, all</w:t>
      </w:r>
      <w:r>
        <w:rPr>
          <w:color w:val="383436"/>
          <w:spacing w:val="1"/>
          <w:w w:val="110"/>
          <w:sz w:val="23"/>
        </w:rPr>
        <w:t> </w:t>
      </w:r>
      <w:r>
        <w:rPr>
          <w:color w:val="383436"/>
          <w:w w:val="110"/>
          <w:sz w:val="23"/>
        </w:rPr>
        <w:t>legal</w:t>
      </w:r>
      <w:r>
        <w:rPr>
          <w:color w:val="383436"/>
          <w:spacing w:val="-8"/>
          <w:w w:val="110"/>
          <w:sz w:val="23"/>
        </w:rPr>
        <w:t> </w:t>
      </w:r>
      <w:r>
        <w:rPr>
          <w:color w:val="383436"/>
          <w:w w:val="110"/>
          <w:sz w:val="23"/>
        </w:rPr>
        <w:t>propositions</w:t>
      </w:r>
      <w:r>
        <w:rPr>
          <w:color w:val="383436"/>
          <w:spacing w:val="7"/>
          <w:w w:val="110"/>
          <w:sz w:val="23"/>
        </w:rPr>
        <w:t> </w:t>
      </w:r>
      <w:r>
        <w:rPr>
          <w:color w:val="383436"/>
          <w:w w:val="110"/>
          <w:sz w:val="23"/>
        </w:rPr>
        <w:t>must</w:t>
      </w:r>
      <w:r>
        <w:rPr>
          <w:color w:val="383436"/>
          <w:spacing w:val="-1"/>
          <w:w w:val="110"/>
          <w:sz w:val="23"/>
        </w:rPr>
        <w:t> </w:t>
      </w:r>
      <w:r>
        <w:rPr>
          <w:color w:val="383436"/>
          <w:w w:val="110"/>
          <w:sz w:val="23"/>
        </w:rPr>
        <w:t>be</w:t>
      </w:r>
      <w:r>
        <w:rPr>
          <w:color w:val="383436"/>
          <w:spacing w:val="-34"/>
          <w:w w:val="110"/>
          <w:sz w:val="23"/>
        </w:rPr>
        <w:t> </w:t>
      </w:r>
      <w:r>
        <w:rPr>
          <w:color w:val="383436"/>
          <w:w w:val="110"/>
          <w:sz w:val="23"/>
        </w:rPr>
        <w:t>supported</w:t>
      </w:r>
      <w:r>
        <w:rPr>
          <w:color w:val="383436"/>
          <w:spacing w:val="2"/>
          <w:w w:val="110"/>
          <w:sz w:val="23"/>
        </w:rPr>
        <w:t> </w:t>
      </w:r>
      <w:r>
        <w:rPr>
          <w:color w:val="383436"/>
          <w:w w:val="110"/>
          <w:sz w:val="23"/>
        </w:rPr>
        <w:t>by</w:t>
      </w:r>
      <w:r>
        <w:rPr>
          <w:color w:val="383436"/>
          <w:spacing w:val="-26"/>
          <w:w w:val="110"/>
          <w:sz w:val="23"/>
        </w:rPr>
        <w:t> </w:t>
      </w:r>
      <w:r>
        <w:rPr>
          <w:color w:val="383436"/>
          <w:w w:val="110"/>
          <w:sz w:val="23"/>
        </w:rPr>
        <w:t>a</w:t>
      </w:r>
      <w:r>
        <w:rPr>
          <w:color w:val="383436"/>
          <w:spacing w:val="-4"/>
          <w:w w:val="110"/>
          <w:sz w:val="23"/>
        </w:rPr>
        <w:t> </w:t>
      </w:r>
      <w:r>
        <w:rPr>
          <w:color w:val="383436"/>
          <w:w w:val="110"/>
          <w:sz w:val="23"/>
        </w:rPr>
        <w:t>citation</w:t>
      </w:r>
      <w:r>
        <w:rPr>
          <w:color w:val="383436"/>
          <w:spacing w:val="8"/>
          <w:w w:val="110"/>
          <w:sz w:val="23"/>
        </w:rPr>
        <w:t> </w:t>
      </w:r>
      <w:r>
        <w:rPr>
          <w:color w:val="383436"/>
          <w:w w:val="110"/>
          <w:sz w:val="23"/>
        </w:rPr>
        <w:t>to</w:t>
      </w:r>
      <w:r>
        <w:rPr>
          <w:color w:val="383436"/>
          <w:spacing w:val="-3"/>
          <w:w w:val="110"/>
          <w:sz w:val="23"/>
        </w:rPr>
        <w:t> </w:t>
      </w:r>
      <w:r>
        <w:rPr>
          <w:color w:val="383436"/>
          <w:w w:val="110"/>
          <w:sz w:val="23"/>
        </w:rPr>
        <w:t>authority,</w:t>
      </w:r>
      <w:r>
        <w:rPr>
          <w:color w:val="383436"/>
          <w:spacing w:val="2"/>
          <w:w w:val="110"/>
          <w:sz w:val="23"/>
        </w:rPr>
        <w:t> </w:t>
      </w:r>
      <w:r>
        <w:rPr>
          <w:color w:val="383436"/>
          <w:w w:val="110"/>
          <w:sz w:val="23"/>
        </w:rPr>
        <w:t>preferably</w:t>
      </w:r>
      <w:r>
        <w:rPr>
          <w:color w:val="383436"/>
          <w:spacing w:val="-61"/>
          <w:w w:val="110"/>
          <w:sz w:val="23"/>
        </w:rPr>
        <w:t> </w:t>
      </w:r>
      <w:r>
        <w:rPr>
          <w:color w:val="383436"/>
          <w:w w:val="110"/>
          <w:sz w:val="23"/>
        </w:rPr>
        <w:t>authority</w:t>
      </w:r>
      <w:r>
        <w:rPr>
          <w:color w:val="383436"/>
          <w:spacing w:val="1"/>
          <w:w w:val="110"/>
          <w:sz w:val="23"/>
        </w:rPr>
        <w:t> </w:t>
      </w:r>
      <w:r>
        <w:rPr>
          <w:color w:val="383436"/>
          <w:w w:val="110"/>
          <w:sz w:val="23"/>
        </w:rPr>
        <w:t>from</w:t>
      </w:r>
      <w:r>
        <w:rPr>
          <w:color w:val="383436"/>
          <w:spacing w:val="-1"/>
          <w:w w:val="110"/>
          <w:sz w:val="23"/>
        </w:rPr>
        <w:t> </w:t>
      </w:r>
      <w:r>
        <w:rPr>
          <w:color w:val="383436"/>
          <w:w w:val="110"/>
          <w:sz w:val="23"/>
        </w:rPr>
        <w:t>the</w:t>
      </w:r>
      <w:r>
        <w:rPr>
          <w:color w:val="383436"/>
          <w:spacing w:val="27"/>
          <w:w w:val="110"/>
          <w:sz w:val="23"/>
        </w:rPr>
        <w:t> </w:t>
      </w:r>
      <w:r>
        <w:rPr>
          <w:color w:val="383436"/>
          <w:w w:val="110"/>
          <w:sz w:val="23"/>
        </w:rPr>
        <w:t>controlling</w:t>
      </w:r>
      <w:r>
        <w:rPr>
          <w:color w:val="383436"/>
          <w:spacing w:val="26"/>
          <w:w w:val="110"/>
          <w:sz w:val="23"/>
        </w:rPr>
        <w:t> </w:t>
      </w:r>
      <w:r>
        <w:rPr>
          <w:color w:val="383436"/>
          <w:w w:val="110"/>
          <w:sz w:val="23"/>
        </w:rPr>
        <w:t>jurisdiction</w:t>
      </w:r>
      <w:r>
        <w:rPr>
          <w:color w:val="545456"/>
          <w:w w:val="110"/>
          <w:sz w:val="23"/>
        </w:rPr>
        <w:t>.</w:t>
      </w:r>
    </w:p>
    <w:p>
      <w:pPr>
        <w:pStyle w:val="ListParagraph"/>
        <w:numPr>
          <w:ilvl w:val="1"/>
          <w:numId w:val="120"/>
        </w:numPr>
        <w:tabs>
          <w:tab w:pos="1285" w:val="left" w:leader="none"/>
        </w:tabs>
        <w:spacing w:line="232" w:lineRule="auto" w:before="0" w:after="0"/>
        <w:ind w:left="560" w:right="114" w:firstLine="393"/>
        <w:jc w:val="both"/>
        <w:rPr>
          <w:color w:val="383436"/>
          <w:sz w:val="23"/>
        </w:rPr>
      </w:pPr>
      <w:r>
        <w:rPr>
          <w:color w:val="383436"/>
          <w:w w:val="110"/>
          <w:sz w:val="23"/>
        </w:rPr>
        <w:t>The</w:t>
      </w:r>
      <w:r>
        <w:rPr>
          <w:color w:val="383436"/>
          <w:spacing w:val="1"/>
          <w:w w:val="110"/>
          <w:sz w:val="23"/>
        </w:rPr>
        <w:t> </w:t>
      </w:r>
      <w:r>
        <w:rPr>
          <w:color w:val="383436"/>
          <w:w w:val="110"/>
          <w:sz w:val="23"/>
        </w:rPr>
        <w:t>first time you tell the</w:t>
      </w:r>
      <w:r>
        <w:rPr>
          <w:color w:val="383436"/>
          <w:spacing w:val="1"/>
          <w:w w:val="110"/>
          <w:sz w:val="23"/>
        </w:rPr>
        <w:t> </w:t>
      </w:r>
      <w:r>
        <w:rPr>
          <w:color w:val="383436"/>
          <w:w w:val="110"/>
          <w:sz w:val="23"/>
        </w:rPr>
        <w:t>reader about an authority-whether by</w:t>
      </w:r>
      <w:r>
        <w:rPr>
          <w:color w:val="383436"/>
          <w:spacing w:val="1"/>
          <w:w w:val="110"/>
          <w:sz w:val="23"/>
        </w:rPr>
        <w:t> </w:t>
      </w:r>
      <w:r>
        <w:rPr>
          <w:color w:val="383436"/>
          <w:w w:val="110"/>
          <w:sz w:val="23"/>
        </w:rPr>
        <w:t>quoting</w:t>
      </w:r>
      <w:r>
        <w:rPr>
          <w:color w:val="383436"/>
          <w:spacing w:val="-12"/>
          <w:w w:val="110"/>
          <w:sz w:val="23"/>
        </w:rPr>
        <w:t> </w:t>
      </w:r>
      <w:r>
        <w:rPr>
          <w:color w:val="383436"/>
          <w:w w:val="110"/>
          <w:sz w:val="23"/>
        </w:rPr>
        <w:t>language</w:t>
      </w:r>
      <w:r>
        <w:rPr>
          <w:color w:val="383436"/>
          <w:spacing w:val="-22"/>
          <w:w w:val="110"/>
          <w:sz w:val="23"/>
        </w:rPr>
        <w:t> </w:t>
      </w:r>
      <w:r>
        <w:rPr>
          <w:color w:val="383436"/>
          <w:w w:val="110"/>
          <w:sz w:val="23"/>
        </w:rPr>
        <w:t>from</w:t>
      </w:r>
      <w:r>
        <w:rPr>
          <w:color w:val="383436"/>
          <w:spacing w:val="-11"/>
          <w:w w:val="110"/>
          <w:sz w:val="23"/>
        </w:rPr>
        <w:t> </w:t>
      </w:r>
      <w:r>
        <w:rPr>
          <w:color w:val="383436"/>
          <w:w w:val="110"/>
          <w:sz w:val="23"/>
        </w:rPr>
        <w:t>it,</w:t>
      </w:r>
      <w:r>
        <w:rPr>
          <w:color w:val="383436"/>
          <w:spacing w:val="-4"/>
          <w:w w:val="110"/>
          <w:sz w:val="23"/>
        </w:rPr>
        <w:t> </w:t>
      </w:r>
      <w:r>
        <w:rPr>
          <w:color w:val="383436"/>
          <w:w w:val="110"/>
          <w:sz w:val="23"/>
        </w:rPr>
        <w:t>by</w:t>
      </w:r>
      <w:r>
        <w:rPr>
          <w:color w:val="383436"/>
          <w:spacing w:val="-16"/>
          <w:w w:val="110"/>
          <w:sz w:val="23"/>
        </w:rPr>
        <w:t> </w:t>
      </w:r>
      <w:r>
        <w:rPr>
          <w:color w:val="383436"/>
          <w:w w:val="110"/>
          <w:sz w:val="23"/>
        </w:rPr>
        <w:t>paraphrasing</w:t>
      </w:r>
      <w:r>
        <w:rPr>
          <w:color w:val="383436"/>
          <w:spacing w:val="-7"/>
          <w:w w:val="110"/>
          <w:sz w:val="23"/>
        </w:rPr>
        <w:t> </w:t>
      </w:r>
      <w:r>
        <w:rPr>
          <w:color w:val="383436"/>
          <w:w w:val="110"/>
          <w:sz w:val="23"/>
        </w:rPr>
        <w:t>a</w:t>
      </w:r>
      <w:r>
        <w:rPr>
          <w:color w:val="383436"/>
          <w:spacing w:val="-15"/>
          <w:w w:val="110"/>
          <w:sz w:val="23"/>
        </w:rPr>
        <w:t> </w:t>
      </w:r>
      <w:r>
        <w:rPr>
          <w:color w:val="383436"/>
          <w:w w:val="110"/>
          <w:sz w:val="23"/>
        </w:rPr>
        <w:t>summary</w:t>
      </w:r>
      <w:r>
        <w:rPr>
          <w:color w:val="383436"/>
          <w:spacing w:val="-15"/>
          <w:w w:val="110"/>
          <w:sz w:val="23"/>
        </w:rPr>
        <w:t> </w:t>
      </w:r>
      <w:r>
        <w:rPr>
          <w:color w:val="383436"/>
          <w:w w:val="110"/>
          <w:sz w:val="23"/>
        </w:rPr>
        <w:t>of</w:t>
      </w:r>
      <w:r>
        <w:rPr>
          <w:color w:val="383436"/>
          <w:spacing w:val="-8"/>
          <w:w w:val="110"/>
          <w:sz w:val="23"/>
        </w:rPr>
        <w:t> </w:t>
      </w:r>
      <w:r>
        <w:rPr>
          <w:color w:val="383436"/>
          <w:w w:val="110"/>
          <w:sz w:val="23"/>
        </w:rPr>
        <w:t>it,</w:t>
      </w:r>
      <w:r>
        <w:rPr>
          <w:color w:val="383436"/>
          <w:spacing w:val="6"/>
          <w:w w:val="110"/>
          <w:sz w:val="23"/>
        </w:rPr>
        <w:t> </w:t>
      </w:r>
      <w:r>
        <w:rPr>
          <w:color w:val="383436"/>
          <w:w w:val="110"/>
          <w:sz w:val="23"/>
        </w:rPr>
        <w:t>or</w:t>
      </w:r>
      <w:r>
        <w:rPr>
          <w:color w:val="383436"/>
          <w:spacing w:val="10"/>
          <w:w w:val="110"/>
          <w:sz w:val="23"/>
        </w:rPr>
        <w:t> </w:t>
      </w:r>
      <w:r>
        <w:rPr>
          <w:color w:val="383436"/>
          <w:w w:val="110"/>
          <w:sz w:val="23"/>
        </w:rPr>
        <w:t>by</w:t>
      </w:r>
      <w:r>
        <w:rPr>
          <w:color w:val="383436"/>
          <w:spacing w:val="-15"/>
          <w:w w:val="110"/>
          <w:sz w:val="23"/>
        </w:rPr>
        <w:t> </w:t>
      </w:r>
      <w:r>
        <w:rPr>
          <w:color w:val="383436"/>
          <w:w w:val="110"/>
          <w:sz w:val="23"/>
        </w:rPr>
        <w:t>referring</w:t>
      </w:r>
      <w:r>
        <w:rPr>
          <w:color w:val="383436"/>
          <w:spacing w:val="-61"/>
          <w:w w:val="110"/>
          <w:sz w:val="23"/>
        </w:rPr>
        <w:t> </w:t>
      </w:r>
      <w:r>
        <w:rPr>
          <w:color w:val="383436"/>
          <w:w w:val="110"/>
          <w:sz w:val="23"/>
        </w:rPr>
        <w:t>to</w:t>
      </w:r>
      <w:r>
        <w:rPr>
          <w:color w:val="383436"/>
          <w:spacing w:val="47"/>
          <w:w w:val="110"/>
          <w:sz w:val="23"/>
        </w:rPr>
        <w:t> </w:t>
      </w:r>
      <w:r>
        <w:rPr>
          <w:color w:val="383436"/>
          <w:w w:val="110"/>
          <w:sz w:val="23"/>
        </w:rPr>
        <w:t>it</w:t>
      </w:r>
      <w:r>
        <w:rPr>
          <w:color w:val="383436"/>
          <w:spacing w:val="22"/>
          <w:w w:val="110"/>
          <w:sz w:val="23"/>
        </w:rPr>
        <w:t> </w:t>
      </w:r>
      <w:r>
        <w:rPr>
          <w:color w:val="383436"/>
          <w:w w:val="110"/>
          <w:sz w:val="23"/>
        </w:rPr>
        <w:t>generally</w:t>
      </w:r>
      <w:r>
        <w:rPr>
          <w:color w:val="545456"/>
          <w:w w:val="110"/>
          <w:sz w:val="23"/>
        </w:rPr>
        <w:t>-</w:t>
      </w:r>
      <w:r>
        <w:rPr>
          <w:color w:val="383436"/>
          <w:w w:val="110"/>
          <w:sz w:val="23"/>
        </w:rPr>
        <w:t>you</w:t>
      </w:r>
      <w:r>
        <w:rPr>
          <w:color w:val="383436"/>
          <w:spacing w:val="22"/>
          <w:w w:val="110"/>
          <w:sz w:val="23"/>
        </w:rPr>
        <w:t> </w:t>
      </w:r>
      <w:r>
        <w:rPr>
          <w:color w:val="383436"/>
          <w:w w:val="110"/>
          <w:sz w:val="23"/>
        </w:rPr>
        <w:t>must</w:t>
      </w:r>
      <w:r>
        <w:rPr>
          <w:color w:val="383436"/>
          <w:spacing w:val="4"/>
          <w:w w:val="110"/>
          <w:sz w:val="23"/>
        </w:rPr>
        <w:t> </w:t>
      </w:r>
      <w:r>
        <w:rPr>
          <w:color w:val="383436"/>
          <w:w w:val="110"/>
          <w:sz w:val="23"/>
        </w:rPr>
        <w:t>cite</w:t>
      </w:r>
      <w:r>
        <w:rPr>
          <w:color w:val="383436"/>
          <w:spacing w:val="-4"/>
          <w:w w:val="110"/>
          <w:sz w:val="23"/>
        </w:rPr>
        <w:t> </w:t>
      </w:r>
      <w:r>
        <w:rPr>
          <w:color w:val="383436"/>
          <w:w w:val="110"/>
          <w:sz w:val="23"/>
        </w:rPr>
        <w:t>to</w:t>
      </w:r>
      <w:r>
        <w:rPr>
          <w:color w:val="383436"/>
          <w:spacing w:val="21"/>
          <w:w w:val="110"/>
          <w:sz w:val="23"/>
        </w:rPr>
        <w:t> </w:t>
      </w:r>
      <w:r>
        <w:rPr>
          <w:color w:val="383436"/>
          <w:w w:val="110"/>
          <w:sz w:val="23"/>
        </w:rPr>
        <w:t>that</w:t>
      </w:r>
      <w:r>
        <w:rPr>
          <w:color w:val="383436"/>
          <w:spacing w:val="1"/>
          <w:w w:val="110"/>
          <w:sz w:val="23"/>
        </w:rPr>
        <w:t> </w:t>
      </w:r>
      <w:r>
        <w:rPr>
          <w:color w:val="383436"/>
          <w:w w:val="110"/>
          <w:sz w:val="23"/>
        </w:rPr>
        <w:t>authority</w:t>
      </w:r>
      <w:r>
        <w:rPr>
          <w:color w:val="383436"/>
          <w:spacing w:val="10"/>
          <w:w w:val="110"/>
          <w:sz w:val="23"/>
        </w:rPr>
        <w:t> </w:t>
      </w:r>
      <w:r>
        <w:rPr>
          <w:color w:val="383436"/>
          <w:w w:val="110"/>
          <w:sz w:val="23"/>
        </w:rPr>
        <w:t>in</w:t>
      </w:r>
      <w:r>
        <w:rPr>
          <w:color w:val="383436"/>
          <w:spacing w:val="14"/>
          <w:w w:val="110"/>
          <w:sz w:val="23"/>
        </w:rPr>
        <w:t> </w:t>
      </w:r>
      <w:r>
        <w:rPr>
          <w:color w:val="383436"/>
          <w:w w:val="110"/>
          <w:sz w:val="23"/>
        </w:rPr>
        <w:t>full.</w:t>
      </w:r>
    </w:p>
    <w:p>
      <w:pPr>
        <w:pStyle w:val="ListParagraph"/>
        <w:numPr>
          <w:ilvl w:val="1"/>
          <w:numId w:val="120"/>
        </w:numPr>
        <w:tabs>
          <w:tab w:pos="1273" w:val="left" w:leader="none"/>
        </w:tabs>
        <w:spacing w:line="240" w:lineRule="auto" w:before="0" w:after="0"/>
        <w:ind w:left="565" w:right="121" w:firstLine="378"/>
        <w:jc w:val="both"/>
        <w:rPr>
          <w:color w:val="383436"/>
          <w:sz w:val="23"/>
        </w:rPr>
      </w:pPr>
      <w:r>
        <w:rPr>
          <w:rFonts w:ascii="Arial" w:hAnsi="Arial"/>
          <w:i/>
          <w:color w:val="383436"/>
          <w:w w:val="115"/>
          <w:sz w:val="21"/>
        </w:rPr>
        <w:t>Each time </w:t>
      </w:r>
      <w:r>
        <w:rPr>
          <w:color w:val="383436"/>
          <w:w w:val="115"/>
          <w:sz w:val="23"/>
        </w:rPr>
        <w:t>you tell the reader-through a quote or a paraphrase­</w:t>
      </w:r>
      <w:r>
        <w:rPr>
          <w:color w:val="383436"/>
          <w:spacing w:val="1"/>
          <w:w w:val="115"/>
          <w:sz w:val="23"/>
        </w:rPr>
        <w:t> </w:t>
      </w:r>
      <w:r>
        <w:rPr>
          <w:color w:val="383436"/>
          <w:w w:val="110"/>
          <w:sz w:val="23"/>
        </w:rPr>
        <w:t>what a court held, found, reasoned, decided, or stated, you must cite to</w:t>
      </w:r>
      <w:r>
        <w:rPr>
          <w:color w:val="383436"/>
          <w:spacing w:val="1"/>
          <w:w w:val="110"/>
          <w:sz w:val="23"/>
        </w:rPr>
        <w:t> </w:t>
      </w:r>
      <w:r>
        <w:rPr>
          <w:color w:val="383436"/>
          <w:w w:val="115"/>
          <w:sz w:val="23"/>
        </w:rPr>
        <w:t>the</w:t>
      </w:r>
      <w:r>
        <w:rPr>
          <w:color w:val="383436"/>
          <w:spacing w:val="35"/>
          <w:w w:val="115"/>
          <w:sz w:val="23"/>
        </w:rPr>
        <w:t> </w:t>
      </w:r>
      <w:r>
        <w:rPr>
          <w:color w:val="383436"/>
          <w:w w:val="115"/>
          <w:sz w:val="23"/>
        </w:rPr>
        <w:t>page</w:t>
      </w:r>
      <w:r>
        <w:rPr>
          <w:color w:val="383436"/>
          <w:spacing w:val="-22"/>
          <w:w w:val="115"/>
          <w:sz w:val="23"/>
        </w:rPr>
        <w:t> </w:t>
      </w:r>
      <w:r>
        <w:rPr>
          <w:color w:val="383436"/>
          <w:w w:val="115"/>
          <w:sz w:val="23"/>
        </w:rPr>
        <w:t>to</w:t>
      </w:r>
      <w:r>
        <w:rPr>
          <w:color w:val="383436"/>
          <w:spacing w:val="17"/>
          <w:w w:val="115"/>
          <w:sz w:val="23"/>
        </w:rPr>
        <w:t> </w:t>
      </w:r>
      <w:r>
        <w:rPr>
          <w:color w:val="383436"/>
          <w:w w:val="115"/>
          <w:sz w:val="23"/>
        </w:rPr>
        <w:t>which</w:t>
      </w:r>
      <w:r>
        <w:rPr>
          <w:color w:val="383436"/>
          <w:spacing w:val="-1"/>
          <w:w w:val="115"/>
          <w:sz w:val="23"/>
        </w:rPr>
        <w:t> </w:t>
      </w:r>
      <w:r>
        <w:rPr>
          <w:color w:val="383436"/>
          <w:w w:val="115"/>
          <w:sz w:val="23"/>
        </w:rPr>
        <w:t>you</w:t>
      </w:r>
      <w:r>
        <w:rPr>
          <w:color w:val="383436"/>
          <w:spacing w:val="-1"/>
          <w:w w:val="115"/>
          <w:sz w:val="23"/>
        </w:rPr>
        <w:t> </w:t>
      </w:r>
      <w:r>
        <w:rPr>
          <w:color w:val="383436"/>
          <w:w w:val="115"/>
          <w:sz w:val="23"/>
        </w:rPr>
        <w:t>refer.</w:t>
      </w:r>
    </w:p>
    <w:p>
      <w:pPr>
        <w:pStyle w:val="BodyText"/>
        <w:spacing w:before="9"/>
        <w:rPr>
          <w:sz w:val="31"/>
        </w:rPr>
      </w:pPr>
    </w:p>
    <w:p>
      <w:pPr>
        <w:spacing w:before="0"/>
        <w:ind w:left="925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83436"/>
          <w:sz w:val="28"/>
        </w:rPr>
        <w:t>A.1</w:t>
      </w:r>
      <w:r>
        <w:rPr>
          <w:rFonts w:ascii="Arial"/>
          <w:b/>
          <w:color w:val="646466"/>
          <w:sz w:val="28"/>
        </w:rPr>
        <w:t>.</w:t>
      </w:r>
      <w:r>
        <w:rPr>
          <w:rFonts w:ascii="Arial"/>
          <w:b/>
          <w:color w:val="383436"/>
          <w:sz w:val="28"/>
        </w:rPr>
        <w:t>2</w:t>
      </w:r>
    </w:p>
    <w:p>
      <w:pPr>
        <w:spacing w:before="34"/>
        <w:ind w:left="924" w:right="0" w:firstLine="0"/>
        <w:jc w:val="left"/>
        <w:rPr>
          <w:rFonts w:ascii="Arial"/>
          <w:sz w:val="22"/>
        </w:rPr>
      </w:pPr>
      <w:r>
        <w:rPr>
          <w:rFonts w:ascii="Arial"/>
          <w:b/>
          <w:color w:val="383436"/>
          <w:w w:val="105"/>
          <w:sz w:val="22"/>
        </w:rPr>
        <w:t>WHEN</w:t>
      </w:r>
      <w:r>
        <w:rPr>
          <w:rFonts w:ascii="Arial"/>
          <w:b/>
          <w:color w:val="383436"/>
          <w:spacing w:val="24"/>
          <w:w w:val="105"/>
          <w:sz w:val="22"/>
        </w:rPr>
        <w:t> </w:t>
      </w:r>
      <w:r>
        <w:rPr>
          <w:b/>
          <w:color w:val="383436"/>
          <w:w w:val="105"/>
          <w:sz w:val="23"/>
        </w:rPr>
        <w:t>NOT</w:t>
      </w:r>
      <w:r>
        <w:rPr>
          <w:b/>
          <w:color w:val="383436"/>
          <w:spacing w:val="-1"/>
          <w:w w:val="105"/>
          <w:sz w:val="23"/>
        </w:rPr>
        <w:t> </w:t>
      </w:r>
      <w:r>
        <w:rPr>
          <w:rFonts w:ascii="Arial"/>
          <w:color w:val="383436"/>
          <w:w w:val="105"/>
          <w:sz w:val="22"/>
        </w:rPr>
        <w:t>TO</w:t>
      </w:r>
      <w:r>
        <w:rPr>
          <w:rFonts w:ascii="Arial"/>
          <w:color w:val="383436"/>
          <w:spacing w:val="15"/>
          <w:w w:val="105"/>
          <w:sz w:val="22"/>
        </w:rPr>
        <w:t> </w:t>
      </w:r>
      <w:r>
        <w:rPr>
          <w:rFonts w:ascii="Arial"/>
          <w:color w:val="383436"/>
          <w:w w:val="105"/>
          <w:sz w:val="22"/>
        </w:rPr>
        <w:t>CITE</w:t>
      </w:r>
    </w:p>
    <w:p>
      <w:pPr>
        <w:pStyle w:val="BodyText"/>
        <w:spacing w:line="235" w:lineRule="auto" w:before="154"/>
        <w:ind w:left="541" w:right="119" w:firstLine="376"/>
        <w:jc w:val="both"/>
      </w:pPr>
      <w:r>
        <w:rPr>
          <w:color w:val="383436"/>
          <w:w w:val="110"/>
        </w:rPr>
        <w:t>Naturally, there are many times when you need not cite to an author­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ity. There are two occasions, however, that present dilemmas to many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legal</w:t>
      </w:r>
      <w:r>
        <w:rPr>
          <w:color w:val="383436"/>
          <w:spacing w:val="-5"/>
          <w:w w:val="110"/>
        </w:rPr>
        <w:t> </w:t>
      </w:r>
      <w:r>
        <w:rPr>
          <w:color w:val="383436"/>
          <w:w w:val="110"/>
        </w:rPr>
        <w:t>writers.</w:t>
      </w:r>
    </w:p>
    <w:p>
      <w:pPr>
        <w:pStyle w:val="ListParagraph"/>
        <w:numPr>
          <w:ilvl w:val="0"/>
          <w:numId w:val="121"/>
        </w:numPr>
        <w:tabs>
          <w:tab w:pos="1257" w:val="left" w:leader="none"/>
        </w:tabs>
        <w:spacing w:line="232" w:lineRule="auto" w:before="0" w:after="0"/>
        <w:ind w:left="527" w:right="111" w:firstLine="378"/>
        <w:jc w:val="both"/>
        <w:rPr>
          <w:sz w:val="23"/>
        </w:rPr>
      </w:pPr>
      <w:r>
        <w:rPr>
          <w:color w:val="383436"/>
          <w:w w:val="110"/>
          <w:sz w:val="23"/>
        </w:rPr>
        <w:t>It is appropriate</w:t>
      </w:r>
      <w:r>
        <w:rPr>
          <w:color w:val="383436"/>
          <w:spacing w:val="1"/>
          <w:w w:val="110"/>
          <w:sz w:val="23"/>
        </w:rPr>
        <w:t> </w:t>
      </w:r>
      <w:r>
        <w:rPr>
          <w:color w:val="383436"/>
          <w:w w:val="110"/>
          <w:sz w:val="23"/>
        </w:rPr>
        <w:t>to omit some or all citations to authority within</w:t>
      </w:r>
      <w:r>
        <w:rPr>
          <w:color w:val="383436"/>
          <w:spacing w:val="1"/>
          <w:w w:val="110"/>
          <w:sz w:val="23"/>
        </w:rPr>
        <w:t> </w:t>
      </w:r>
      <w:r>
        <w:rPr>
          <w:color w:val="383436"/>
          <w:w w:val="110"/>
          <w:sz w:val="23"/>
        </w:rPr>
        <w:t>the summary of the argument</w:t>
      </w:r>
      <w:r>
        <w:rPr>
          <w:color w:val="545456"/>
          <w:w w:val="110"/>
          <w:sz w:val="23"/>
        </w:rPr>
        <w:t>, </w:t>
      </w:r>
      <w:r>
        <w:rPr>
          <w:color w:val="383436"/>
          <w:w w:val="110"/>
          <w:sz w:val="23"/>
        </w:rPr>
        <w:t>within point headings, and Within a ques­</w:t>
      </w:r>
      <w:r>
        <w:rPr>
          <w:color w:val="383436"/>
          <w:spacing w:val="1"/>
          <w:w w:val="110"/>
          <w:sz w:val="23"/>
        </w:rPr>
        <w:t> </w:t>
      </w:r>
      <w:r>
        <w:rPr>
          <w:color w:val="383436"/>
          <w:w w:val="110"/>
          <w:sz w:val="23"/>
        </w:rPr>
        <w:t>tion presented, even though these items might include legal propositions.</w:t>
      </w:r>
      <w:r>
        <w:rPr>
          <w:color w:val="383436"/>
          <w:spacing w:val="1"/>
          <w:w w:val="110"/>
          <w:sz w:val="23"/>
        </w:rPr>
        <w:t> </w:t>
      </w:r>
      <w:r>
        <w:rPr>
          <w:color w:val="383436"/>
          <w:w w:val="115"/>
          <w:sz w:val="23"/>
        </w:rPr>
        <w:t>Consult Chapter Nine (and local practice) for more guidance on these</w:t>
      </w:r>
      <w:r>
        <w:rPr>
          <w:color w:val="383436"/>
          <w:spacing w:val="1"/>
          <w:w w:val="115"/>
          <w:sz w:val="23"/>
        </w:rPr>
        <w:t> </w:t>
      </w:r>
      <w:r>
        <w:rPr>
          <w:color w:val="383436"/>
          <w:w w:val="115"/>
          <w:sz w:val="23"/>
        </w:rPr>
        <w:t>matters.</w:t>
      </w:r>
    </w:p>
    <w:p>
      <w:pPr>
        <w:pStyle w:val="ListParagraph"/>
        <w:numPr>
          <w:ilvl w:val="0"/>
          <w:numId w:val="121"/>
        </w:numPr>
        <w:tabs>
          <w:tab w:pos="1240" w:val="left" w:leader="none"/>
        </w:tabs>
        <w:spacing w:line="235" w:lineRule="auto" w:before="1" w:after="0"/>
        <w:ind w:left="484" w:right="110" w:firstLine="402"/>
        <w:jc w:val="both"/>
        <w:rPr>
          <w:sz w:val="23"/>
        </w:rPr>
      </w:pPr>
      <w:r>
        <w:rPr>
          <w:color w:val="383436"/>
          <w:w w:val="110"/>
          <w:sz w:val="23"/>
        </w:rPr>
        <w:t>When you are comparing the facts of your case to the facts of an</w:t>
      </w:r>
      <w:r>
        <w:rPr>
          <w:color w:val="383436"/>
          <w:spacing w:val="1"/>
          <w:w w:val="110"/>
          <w:sz w:val="23"/>
        </w:rPr>
        <w:t> </w:t>
      </w:r>
      <w:r>
        <w:rPr>
          <w:color w:val="383436"/>
          <w:w w:val="110"/>
          <w:sz w:val="23"/>
        </w:rPr>
        <w:t>authority case that you have already introduced and explained within the</w:t>
      </w:r>
      <w:r>
        <w:rPr>
          <w:color w:val="383436"/>
          <w:spacing w:val="1"/>
          <w:w w:val="110"/>
          <w:sz w:val="23"/>
        </w:rPr>
        <w:t> </w:t>
      </w:r>
      <w:r>
        <w:rPr>
          <w:color w:val="383436"/>
          <w:w w:val="110"/>
          <w:sz w:val="23"/>
        </w:rPr>
        <w:t>same general discussion, you usually don't need to cite to the authority</w:t>
      </w:r>
      <w:r>
        <w:rPr>
          <w:color w:val="383436"/>
          <w:spacing w:val="1"/>
          <w:w w:val="110"/>
          <w:sz w:val="23"/>
        </w:rPr>
        <w:t> </w:t>
      </w:r>
      <w:r>
        <w:rPr>
          <w:color w:val="383436"/>
          <w:w w:val="110"/>
          <w:sz w:val="23"/>
        </w:rPr>
        <w:t>again. Citations are also omitted when you refer to a common law rule</w:t>
      </w:r>
      <w:r>
        <w:rPr>
          <w:color w:val="383436"/>
          <w:spacing w:val="1"/>
          <w:w w:val="110"/>
          <w:sz w:val="23"/>
        </w:rPr>
        <w:t> </w:t>
      </w:r>
      <w:r>
        <w:rPr>
          <w:color w:val="383436"/>
          <w:spacing w:val="-1"/>
          <w:w w:val="121"/>
          <w:sz w:val="23"/>
        </w:rPr>
        <w:t>tha</w:t>
      </w:r>
      <w:r>
        <w:rPr>
          <w:color w:val="383436"/>
          <w:w w:val="121"/>
          <w:sz w:val="23"/>
        </w:rPr>
        <w:t>t</w:t>
      </w:r>
      <w:r>
        <w:rPr>
          <w:color w:val="383436"/>
          <w:spacing w:val="17"/>
          <w:sz w:val="23"/>
        </w:rPr>
        <w:t> </w:t>
      </w:r>
      <w:r>
        <w:rPr>
          <w:color w:val="383436"/>
          <w:w w:val="112"/>
          <w:sz w:val="23"/>
        </w:rPr>
        <w:t>you've</w:t>
      </w:r>
      <w:r>
        <w:rPr>
          <w:color w:val="383436"/>
          <w:spacing w:val="8"/>
          <w:sz w:val="23"/>
        </w:rPr>
        <w:t> </w:t>
      </w:r>
      <w:r>
        <w:rPr>
          <w:color w:val="383436"/>
          <w:spacing w:val="-1"/>
          <w:w w:val="112"/>
          <w:sz w:val="23"/>
        </w:rPr>
        <w:t>alread</w:t>
      </w:r>
      <w:r>
        <w:rPr>
          <w:color w:val="383436"/>
          <w:w w:val="112"/>
          <w:sz w:val="23"/>
        </w:rPr>
        <w:t>y</w:t>
      </w:r>
      <w:r>
        <w:rPr>
          <w:color w:val="383436"/>
          <w:spacing w:val="2"/>
          <w:sz w:val="23"/>
        </w:rPr>
        <w:t> </w:t>
      </w:r>
      <w:r>
        <w:rPr>
          <w:color w:val="383436"/>
          <w:spacing w:val="-1"/>
          <w:w w:val="113"/>
          <w:sz w:val="23"/>
        </w:rPr>
        <w:t>cited</w:t>
      </w:r>
      <w:r>
        <w:rPr>
          <w:color w:val="383436"/>
          <w:w w:val="113"/>
          <w:sz w:val="23"/>
        </w:rPr>
        <w:t>,</w:t>
      </w:r>
      <w:r>
        <w:rPr>
          <w:color w:val="383436"/>
          <w:spacing w:val="6"/>
          <w:sz w:val="23"/>
        </w:rPr>
        <w:t> </w:t>
      </w:r>
      <w:r>
        <w:rPr>
          <w:color w:val="383436"/>
          <w:spacing w:val="-1"/>
          <w:w w:val="112"/>
          <w:sz w:val="23"/>
        </w:rPr>
        <w:t>e.g.</w:t>
      </w:r>
      <w:r>
        <w:rPr>
          <w:color w:val="383436"/>
          <w:w w:val="112"/>
          <w:sz w:val="23"/>
        </w:rPr>
        <w:t>,</w:t>
      </w:r>
      <w:r>
        <w:rPr>
          <w:color w:val="383436"/>
          <w:spacing w:val="19"/>
          <w:sz w:val="23"/>
        </w:rPr>
        <w:t> </w:t>
      </w:r>
      <w:r>
        <w:rPr>
          <w:i/>
          <w:color w:val="383436"/>
          <w:w w:val="110"/>
          <w:position w:val="11"/>
          <w:sz w:val="9"/>
        </w:rPr>
        <w:t>11</w:t>
      </w:r>
      <w:r>
        <w:rPr>
          <w:rFonts w:ascii="Arial"/>
          <w:i/>
          <w:color w:val="383436"/>
          <w:spacing w:val="-1"/>
          <w:w w:val="110"/>
          <w:sz w:val="21"/>
        </w:rPr>
        <w:t>T</w:t>
      </w:r>
      <w:r>
        <w:rPr>
          <w:rFonts w:ascii="Arial"/>
          <w:i/>
          <w:color w:val="383436"/>
          <w:w w:val="110"/>
          <w:sz w:val="21"/>
        </w:rPr>
        <w:t>hus,</w:t>
      </w:r>
      <w:r>
        <w:rPr>
          <w:rFonts w:ascii="Arial"/>
          <w:i/>
          <w:color w:val="383436"/>
          <w:spacing w:val="26"/>
          <w:sz w:val="21"/>
        </w:rPr>
        <w:t> </w:t>
      </w:r>
      <w:r>
        <w:rPr>
          <w:color w:val="383436"/>
          <w:spacing w:val="-1"/>
          <w:w w:val="110"/>
          <w:sz w:val="23"/>
        </w:rPr>
        <w:t>th</w:t>
      </w:r>
      <w:r>
        <w:rPr>
          <w:color w:val="383436"/>
          <w:w w:val="110"/>
          <w:sz w:val="23"/>
        </w:rPr>
        <w:t>e</w:t>
      </w:r>
      <w:r>
        <w:rPr>
          <w:color w:val="383436"/>
          <w:sz w:val="23"/>
        </w:rPr>
        <w:t> </w:t>
      </w:r>
      <w:r>
        <w:rPr>
          <w:color w:val="383436"/>
          <w:spacing w:val="-20"/>
          <w:sz w:val="23"/>
        </w:rPr>
        <w:t> </w:t>
      </w:r>
      <w:r>
        <w:rPr>
          <w:color w:val="383436"/>
          <w:w w:val="116"/>
          <w:sz w:val="23"/>
        </w:rPr>
        <w:t>rule</w:t>
      </w:r>
      <w:r>
        <w:rPr>
          <w:color w:val="383436"/>
          <w:spacing w:val="2"/>
          <w:sz w:val="23"/>
        </w:rPr>
        <w:t> </w:t>
      </w:r>
      <w:r>
        <w:rPr>
          <w:color w:val="383436"/>
          <w:spacing w:val="-1"/>
          <w:w w:val="116"/>
          <w:sz w:val="23"/>
        </w:rPr>
        <w:t>i</w:t>
      </w:r>
      <w:r>
        <w:rPr>
          <w:color w:val="383436"/>
          <w:w w:val="116"/>
          <w:sz w:val="23"/>
        </w:rPr>
        <w:t>n</w:t>
      </w:r>
      <w:r>
        <w:rPr>
          <w:color w:val="383436"/>
          <w:spacing w:val="27"/>
          <w:sz w:val="23"/>
        </w:rPr>
        <w:t> </w:t>
      </w:r>
      <w:r>
        <w:rPr>
          <w:color w:val="383436"/>
          <w:spacing w:val="-1"/>
          <w:w w:val="108"/>
          <w:sz w:val="23"/>
          <w:u w:val="thick" w:color="383436"/>
        </w:rPr>
        <w:t>McGuffi</w:t>
      </w:r>
      <w:r>
        <w:rPr>
          <w:color w:val="383436"/>
          <w:w w:val="108"/>
          <w:sz w:val="23"/>
          <w:u w:val="thick" w:color="383436"/>
        </w:rPr>
        <w:t>n</w:t>
      </w:r>
      <w:r>
        <w:rPr>
          <w:color w:val="383436"/>
          <w:spacing w:val="17"/>
          <w:sz w:val="23"/>
        </w:rPr>
        <w:t> </w:t>
      </w:r>
      <w:r>
        <w:rPr>
          <w:color w:val="383436"/>
          <w:spacing w:val="-1"/>
          <w:w w:val="113"/>
          <w:sz w:val="23"/>
        </w:rPr>
        <w:t>shoul</w:t>
      </w:r>
      <w:r>
        <w:rPr>
          <w:color w:val="383436"/>
          <w:w w:val="113"/>
          <w:sz w:val="23"/>
        </w:rPr>
        <w:t>d</w:t>
      </w:r>
      <w:r>
        <w:rPr>
          <w:color w:val="383436"/>
          <w:spacing w:val="11"/>
          <w:sz w:val="23"/>
        </w:rPr>
        <w:t> </w:t>
      </w:r>
      <w:r>
        <w:rPr>
          <w:color w:val="383436"/>
          <w:spacing w:val="-1"/>
          <w:w w:val="101"/>
          <w:sz w:val="23"/>
        </w:rPr>
        <w:t>apply </w:t>
      </w:r>
      <w:r>
        <w:rPr>
          <w:color w:val="383436"/>
          <w:w w:val="110"/>
          <w:sz w:val="23"/>
        </w:rPr>
        <w:t>in</w:t>
      </w:r>
      <w:r>
        <w:rPr>
          <w:color w:val="383436"/>
          <w:spacing w:val="30"/>
          <w:w w:val="110"/>
          <w:sz w:val="23"/>
        </w:rPr>
        <w:t> </w:t>
      </w:r>
      <w:r>
        <w:rPr>
          <w:color w:val="383436"/>
          <w:w w:val="110"/>
          <w:sz w:val="23"/>
        </w:rPr>
        <w:t>this</w:t>
      </w:r>
      <w:r>
        <w:rPr>
          <w:color w:val="383436"/>
          <w:spacing w:val="-16"/>
          <w:w w:val="110"/>
          <w:sz w:val="23"/>
        </w:rPr>
        <w:t> </w:t>
      </w:r>
      <w:r>
        <w:rPr>
          <w:color w:val="383436"/>
          <w:w w:val="110"/>
          <w:sz w:val="23"/>
        </w:rPr>
        <w:t>case."</w:t>
      </w:r>
    </w:p>
    <w:p>
      <w:pPr>
        <w:pStyle w:val="BodyText"/>
        <w:rPr>
          <w:sz w:val="26"/>
        </w:rPr>
      </w:pPr>
    </w:p>
    <w:p>
      <w:pPr>
        <w:spacing w:before="204"/>
        <w:ind w:left="1069" w:right="0" w:firstLine="0"/>
        <w:jc w:val="left"/>
        <w:rPr>
          <w:rFonts w:ascii="Arial"/>
          <w:b/>
          <w:sz w:val="33"/>
        </w:rPr>
      </w:pPr>
      <w:r>
        <w:rPr>
          <w:rFonts w:ascii="Arial"/>
          <w:b/>
          <w:color w:val="383436"/>
          <w:w w:val="110"/>
          <w:sz w:val="33"/>
        </w:rPr>
        <w:t>A.2</w:t>
      </w:r>
    </w:p>
    <w:p>
      <w:pPr>
        <w:spacing w:before="62"/>
        <w:ind w:left="1056" w:right="0" w:firstLine="0"/>
        <w:jc w:val="left"/>
        <w:rPr>
          <w:rFonts w:ascii="Arial"/>
          <w:sz w:val="26"/>
        </w:rPr>
      </w:pPr>
      <w:r>
        <w:rPr>
          <w:rFonts w:ascii="Arial"/>
          <w:color w:val="383436"/>
          <w:w w:val="110"/>
          <w:sz w:val="26"/>
        </w:rPr>
        <w:t>COMMON</w:t>
      </w:r>
      <w:r>
        <w:rPr>
          <w:rFonts w:ascii="Arial"/>
          <w:color w:val="383436"/>
          <w:spacing w:val="-12"/>
          <w:w w:val="110"/>
          <w:sz w:val="26"/>
        </w:rPr>
        <w:t> </w:t>
      </w:r>
      <w:r>
        <w:rPr>
          <w:rFonts w:ascii="Arial"/>
          <w:color w:val="383436"/>
          <w:w w:val="110"/>
          <w:sz w:val="26"/>
        </w:rPr>
        <w:t>CASE</w:t>
      </w:r>
      <w:r>
        <w:rPr>
          <w:rFonts w:ascii="Arial"/>
          <w:color w:val="383436"/>
          <w:spacing w:val="-18"/>
          <w:w w:val="110"/>
          <w:sz w:val="26"/>
        </w:rPr>
        <w:t> </w:t>
      </w:r>
      <w:r>
        <w:rPr>
          <w:rFonts w:ascii="Arial"/>
          <w:color w:val="383436"/>
          <w:w w:val="110"/>
          <w:sz w:val="26"/>
        </w:rPr>
        <w:t>CITATION</w:t>
      </w:r>
      <w:r>
        <w:rPr>
          <w:rFonts w:ascii="Arial"/>
          <w:color w:val="383436"/>
          <w:spacing w:val="-2"/>
          <w:w w:val="110"/>
          <w:sz w:val="26"/>
        </w:rPr>
        <w:t> </w:t>
      </w:r>
      <w:r>
        <w:rPr>
          <w:rFonts w:ascii="Arial"/>
          <w:color w:val="383436"/>
          <w:w w:val="110"/>
          <w:sz w:val="26"/>
        </w:rPr>
        <w:t>FORMATS</w:t>
      </w:r>
    </w:p>
    <w:p>
      <w:pPr>
        <w:pStyle w:val="BodyText"/>
        <w:spacing w:before="3"/>
        <w:rPr>
          <w:rFonts w:ascii="Arial"/>
          <w:sz w:val="24"/>
        </w:rPr>
      </w:pPr>
    </w:p>
    <w:p>
      <w:pPr>
        <w:spacing w:before="0"/>
        <w:ind w:left="799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83436"/>
          <w:w w:val="105"/>
          <w:sz w:val="28"/>
        </w:rPr>
        <w:t>A.2.1</w:t>
      </w:r>
    </w:p>
    <w:p>
      <w:pPr>
        <w:spacing w:before="43"/>
        <w:ind w:left="793" w:right="0" w:firstLine="0"/>
        <w:jc w:val="left"/>
        <w:rPr>
          <w:rFonts w:ascii="Arial"/>
          <w:sz w:val="22"/>
        </w:rPr>
      </w:pPr>
      <w:r>
        <w:rPr>
          <w:rFonts w:ascii="Arial"/>
          <w:color w:val="383436"/>
          <w:w w:val="110"/>
          <w:sz w:val="22"/>
        </w:rPr>
        <w:t>LONG</w:t>
      </w:r>
      <w:r>
        <w:rPr>
          <w:rFonts w:ascii="Arial"/>
          <w:color w:val="383436"/>
          <w:spacing w:val="12"/>
          <w:w w:val="110"/>
          <w:sz w:val="22"/>
        </w:rPr>
        <w:t> </w:t>
      </w:r>
      <w:r>
        <w:rPr>
          <w:rFonts w:ascii="Arial"/>
          <w:color w:val="383436"/>
          <w:w w:val="110"/>
          <w:sz w:val="22"/>
        </w:rPr>
        <w:t>FORM</w:t>
      </w:r>
    </w:p>
    <w:p>
      <w:pPr>
        <w:pStyle w:val="BodyText"/>
        <w:spacing w:line="228" w:lineRule="auto" w:before="173"/>
        <w:ind w:left="383" w:right="142" w:firstLine="380"/>
        <w:jc w:val="both"/>
      </w:pPr>
      <w:r>
        <w:rPr>
          <w:color w:val="383436"/>
          <w:w w:val="110"/>
        </w:rPr>
        <w:t>The guidelines below are based on both ALWD and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Bluebook citation</w:t>
      </w:r>
      <w:r>
        <w:rPr>
          <w:color w:val="383436"/>
          <w:spacing w:val="-61"/>
          <w:w w:val="110"/>
        </w:rPr>
        <w:t> </w:t>
      </w:r>
      <w:r>
        <w:rPr>
          <w:color w:val="383436"/>
          <w:w w:val="110"/>
        </w:rPr>
        <w:t>rules,</w:t>
      </w:r>
      <w:r>
        <w:rPr>
          <w:color w:val="383436"/>
          <w:spacing w:val="-12"/>
          <w:w w:val="110"/>
        </w:rPr>
        <w:t> </w:t>
      </w:r>
      <w:r>
        <w:rPr>
          <w:color w:val="383436"/>
          <w:w w:val="110"/>
        </w:rPr>
        <w:t>although</w:t>
      </w:r>
      <w:r>
        <w:rPr>
          <w:color w:val="383436"/>
          <w:spacing w:val="29"/>
          <w:w w:val="110"/>
        </w:rPr>
        <w:t> </w:t>
      </w:r>
      <w:r>
        <w:rPr>
          <w:color w:val="383436"/>
          <w:w w:val="110"/>
        </w:rPr>
        <w:t>they</w:t>
      </w:r>
      <w:r>
        <w:rPr>
          <w:color w:val="383436"/>
          <w:spacing w:val="2"/>
          <w:w w:val="110"/>
        </w:rPr>
        <w:t> </w:t>
      </w:r>
      <w:r>
        <w:rPr>
          <w:color w:val="383436"/>
          <w:w w:val="110"/>
        </w:rPr>
        <w:t>do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not</w:t>
      </w:r>
      <w:r>
        <w:rPr>
          <w:color w:val="383436"/>
          <w:spacing w:val="23"/>
          <w:w w:val="110"/>
        </w:rPr>
        <w:t> </w:t>
      </w:r>
      <w:r>
        <w:rPr>
          <w:color w:val="383436"/>
          <w:w w:val="110"/>
        </w:rPr>
        <w:t>cite</w:t>
      </w:r>
      <w:r>
        <w:rPr>
          <w:color w:val="383436"/>
          <w:spacing w:val="-3"/>
          <w:w w:val="110"/>
        </w:rPr>
        <w:t> </w:t>
      </w:r>
      <w:r>
        <w:rPr>
          <w:color w:val="383436"/>
          <w:w w:val="110"/>
        </w:rPr>
        <w:t>to</w:t>
      </w:r>
      <w:r>
        <w:rPr>
          <w:color w:val="383436"/>
          <w:spacing w:val="26"/>
          <w:w w:val="110"/>
        </w:rPr>
        <w:t> </w:t>
      </w:r>
      <w:r>
        <w:rPr>
          <w:color w:val="383436"/>
          <w:w w:val="110"/>
        </w:rPr>
        <w:t>particular</w:t>
      </w:r>
      <w:r>
        <w:rPr>
          <w:color w:val="383436"/>
          <w:spacing w:val="41"/>
          <w:w w:val="110"/>
        </w:rPr>
        <w:t> </w:t>
      </w:r>
      <w:r>
        <w:rPr>
          <w:color w:val="383436"/>
          <w:w w:val="110"/>
        </w:rPr>
        <w:t>rules.</w:t>
      </w:r>
      <w:r>
        <w:rPr>
          <w:color w:val="383436"/>
          <w:w w:val="110"/>
          <w:vertAlign w:val="superscript"/>
        </w:rPr>
        <w:t>1</w:t>
      </w:r>
      <w:r>
        <w:rPr>
          <w:color w:val="383436"/>
          <w:spacing w:val="-10"/>
          <w:w w:val="110"/>
          <w:vertAlign w:val="baseline"/>
        </w:rPr>
        <w:t> </w:t>
      </w:r>
      <w:r>
        <w:rPr>
          <w:color w:val="383436"/>
          <w:w w:val="110"/>
          <w:vertAlign w:val="baseline"/>
        </w:rPr>
        <w:t>They</w:t>
      </w:r>
      <w:r>
        <w:rPr>
          <w:color w:val="383436"/>
          <w:spacing w:val="-14"/>
          <w:w w:val="110"/>
          <w:vertAlign w:val="baseline"/>
        </w:rPr>
        <w:t> </w:t>
      </w:r>
      <w:r>
        <w:rPr>
          <w:color w:val="383436"/>
          <w:w w:val="110"/>
          <w:vertAlign w:val="baseline"/>
        </w:rPr>
        <w:t>explain</w:t>
      </w:r>
      <w:r>
        <w:rPr>
          <w:color w:val="383436"/>
          <w:spacing w:val="-10"/>
          <w:w w:val="110"/>
          <w:vertAlign w:val="baseline"/>
        </w:rPr>
        <w:t> </w:t>
      </w:r>
      <w:r>
        <w:rPr>
          <w:color w:val="383436"/>
          <w:w w:val="110"/>
          <w:vertAlign w:val="baseline"/>
        </w:rPr>
        <w:t>common</w:t>
      </w:r>
    </w:p>
    <w:p>
      <w:pPr>
        <w:pStyle w:val="BodyText"/>
        <w:spacing w:before="7"/>
        <w:rPr>
          <w:sz w:val="31"/>
        </w:rPr>
      </w:pPr>
    </w:p>
    <w:p>
      <w:pPr>
        <w:spacing w:line="223" w:lineRule="auto" w:before="1"/>
        <w:ind w:left="325" w:right="133" w:firstLine="422"/>
        <w:jc w:val="both"/>
        <w:rPr>
          <w:sz w:val="18"/>
        </w:rPr>
      </w:pPr>
      <w:r>
        <w:rPr>
          <w:color w:val="383436"/>
          <w:w w:val="105"/>
          <w:position w:val="5"/>
          <w:sz w:val="11"/>
        </w:rPr>
        <w:t>1</w:t>
      </w:r>
      <w:r>
        <w:rPr>
          <w:color w:val="383436"/>
          <w:w w:val="105"/>
          <w:sz w:val="18"/>
        </w:rPr>
        <w:t>For complete ALWD guidelines, consult Association of Legal Writing Directors </w:t>
      </w:r>
      <w:r>
        <w:rPr>
          <w:color w:val="383436"/>
          <w:w w:val="105"/>
          <w:sz w:val="17"/>
        </w:rPr>
        <w:t>&amp; </w:t>
      </w:r>
      <w:r>
        <w:rPr>
          <w:color w:val="383436"/>
          <w:w w:val="105"/>
          <w:sz w:val="18"/>
        </w:rPr>
        <w:t>Coleen M.</w:t>
      </w:r>
      <w:r>
        <w:rPr>
          <w:color w:val="383436"/>
          <w:spacing w:val="1"/>
          <w:w w:val="105"/>
          <w:sz w:val="18"/>
        </w:rPr>
        <w:t> </w:t>
      </w:r>
      <w:r>
        <w:rPr>
          <w:color w:val="383436"/>
          <w:w w:val="105"/>
          <w:sz w:val="18"/>
        </w:rPr>
        <w:t>Barger, </w:t>
      </w:r>
      <w:r>
        <w:rPr>
          <w:i/>
          <w:color w:val="383436"/>
          <w:w w:val="105"/>
          <w:sz w:val="18"/>
        </w:rPr>
        <w:t>ALWD Guide </w:t>
      </w:r>
      <w:r>
        <w:rPr>
          <w:i/>
          <w:color w:val="383436"/>
          <w:w w:val="105"/>
          <w:sz w:val="19"/>
        </w:rPr>
        <w:t>to </w:t>
      </w:r>
      <w:r>
        <w:rPr>
          <w:i/>
          <w:color w:val="383436"/>
          <w:w w:val="105"/>
          <w:sz w:val="18"/>
        </w:rPr>
        <w:t>Legal Citation </w:t>
      </w:r>
      <w:r>
        <w:rPr>
          <w:color w:val="383436"/>
          <w:w w:val="105"/>
          <w:sz w:val="18"/>
        </w:rPr>
        <w:t>(5th ed., Aspen 2014). For complete Bluebook guidelines</w:t>
      </w:r>
      <w:r>
        <w:rPr>
          <w:color w:val="545456"/>
          <w:w w:val="105"/>
          <w:sz w:val="18"/>
        </w:rPr>
        <w:t>,</w:t>
      </w:r>
      <w:r>
        <w:rPr>
          <w:color w:val="545456"/>
          <w:spacing w:val="1"/>
          <w:w w:val="105"/>
          <w:sz w:val="18"/>
        </w:rPr>
        <w:t> </w:t>
      </w:r>
      <w:r>
        <w:rPr>
          <w:color w:val="383436"/>
          <w:spacing w:val="-1"/>
          <w:w w:val="105"/>
          <w:sz w:val="18"/>
        </w:rPr>
        <w:t>con</w:t>
      </w:r>
      <w:r>
        <w:rPr>
          <w:color w:val="545456"/>
          <w:spacing w:val="-1"/>
          <w:w w:val="105"/>
          <w:sz w:val="18"/>
        </w:rPr>
        <w:t>s</w:t>
      </w:r>
      <w:r>
        <w:rPr>
          <w:color w:val="383436"/>
          <w:spacing w:val="-1"/>
          <w:w w:val="105"/>
          <w:sz w:val="18"/>
        </w:rPr>
        <w:t>ult</w:t>
      </w:r>
      <w:r>
        <w:rPr>
          <w:color w:val="383436"/>
          <w:spacing w:val="6"/>
          <w:w w:val="105"/>
          <w:sz w:val="18"/>
        </w:rPr>
        <w:t> </w:t>
      </w:r>
      <w:r>
        <w:rPr>
          <w:i/>
          <w:color w:val="383436"/>
          <w:spacing w:val="-1"/>
          <w:w w:val="105"/>
          <w:sz w:val="18"/>
        </w:rPr>
        <w:t>The</w:t>
      </w:r>
      <w:r>
        <w:rPr>
          <w:i/>
          <w:color w:val="383436"/>
          <w:spacing w:val="-16"/>
          <w:w w:val="105"/>
          <w:sz w:val="18"/>
        </w:rPr>
        <w:t> </w:t>
      </w:r>
      <w:r>
        <w:rPr>
          <w:i/>
          <w:color w:val="383436"/>
          <w:spacing w:val="-1"/>
          <w:w w:val="105"/>
          <w:sz w:val="18"/>
        </w:rPr>
        <w:t>Bluebook:</w:t>
      </w:r>
      <w:r>
        <w:rPr>
          <w:i/>
          <w:color w:val="383436"/>
          <w:spacing w:val="-15"/>
          <w:w w:val="105"/>
          <w:sz w:val="18"/>
        </w:rPr>
        <w:t> </w:t>
      </w:r>
      <w:r>
        <w:rPr>
          <w:i/>
          <w:color w:val="383436"/>
          <w:spacing w:val="-1"/>
          <w:w w:val="105"/>
          <w:sz w:val="18"/>
        </w:rPr>
        <w:t>A</w:t>
      </w:r>
      <w:r>
        <w:rPr>
          <w:i/>
          <w:color w:val="383436"/>
          <w:spacing w:val="9"/>
          <w:w w:val="105"/>
          <w:sz w:val="18"/>
        </w:rPr>
        <w:t> </w:t>
      </w:r>
      <w:r>
        <w:rPr>
          <w:i/>
          <w:color w:val="383436"/>
          <w:spacing w:val="-1"/>
          <w:w w:val="105"/>
          <w:sz w:val="18"/>
        </w:rPr>
        <w:t>Uniform</w:t>
      </w:r>
      <w:r>
        <w:rPr>
          <w:i/>
          <w:color w:val="383436"/>
          <w:spacing w:val="-27"/>
          <w:w w:val="105"/>
          <w:sz w:val="18"/>
        </w:rPr>
        <w:t> </w:t>
      </w:r>
      <w:r>
        <w:rPr>
          <w:rFonts w:ascii="Arial"/>
          <w:i/>
          <w:color w:val="383436"/>
          <w:spacing w:val="-1"/>
          <w:w w:val="105"/>
          <w:sz w:val="16"/>
        </w:rPr>
        <w:t>System</w:t>
      </w:r>
      <w:r>
        <w:rPr>
          <w:rFonts w:ascii="Arial"/>
          <w:i/>
          <w:color w:val="383436"/>
          <w:spacing w:val="-17"/>
          <w:w w:val="105"/>
          <w:sz w:val="16"/>
        </w:rPr>
        <w:t> </w:t>
      </w:r>
      <w:r>
        <w:rPr>
          <w:i/>
          <w:color w:val="383436"/>
          <w:spacing w:val="-1"/>
          <w:w w:val="105"/>
          <w:sz w:val="18"/>
        </w:rPr>
        <w:t>ofCltaHon</w:t>
      </w:r>
      <w:r>
        <w:rPr>
          <w:i/>
          <w:color w:val="383436"/>
          <w:spacing w:val="-10"/>
          <w:w w:val="105"/>
          <w:sz w:val="18"/>
        </w:rPr>
        <w:t> </w:t>
      </w:r>
      <w:r>
        <w:rPr>
          <w:color w:val="383436"/>
          <w:w w:val="105"/>
          <w:sz w:val="18"/>
        </w:rPr>
        <w:t>(19th</w:t>
      </w:r>
      <w:r>
        <w:rPr>
          <w:color w:val="383436"/>
          <w:spacing w:val="-9"/>
          <w:w w:val="105"/>
          <w:sz w:val="18"/>
        </w:rPr>
        <w:t> </w:t>
      </w:r>
      <w:r>
        <w:rPr>
          <w:color w:val="383436"/>
          <w:w w:val="105"/>
          <w:sz w:val="18"/>
        </w:rPr>
        <w:t>ed.,</w:t>
      </w:r>
      <w:r>
        <w:rPr>
          <w:color w:val="383436"/>
          <w:spacing w:val="-9"/>
          <w:w w:val="105"/>
          <w:sz w:val="18"/>
        </w:rPr>
        <w:t> </w:t>
      </w:r>
      <w:r>
        <w:rPr>
          <w:color w:val="383436"/>
          <w:w w:val="105"/>
          <w:sz w:val="18"/>
        </w:rPr>
        <w:t>Harv</w:t>
      </w:r>
      <w:r>
        <w:rPr>
          <w:color w:val="545456"/>
          <w:w w:val="105"/>
          <w:sz w:val="18"/>
        </w:rPr>
        <w:t>.</w:t>
      </w:r>
      <w:r>
        <w:rPr>
          <w:color w:val="545456"/>
          <w:spacing w:val="-9"/>
          <w:w w:val="105"/>
          <w:sz w:val="18"/>
        </w:rPr>
        <w:t> </w:t>
      </w:r>
      <w:r>
        <w:rPr>
          <w:color w:val="383436"/>
          <w:w w:val="105"/>
          <w:sz w:val="18"/>
        </w:rPr>
        <w:t>L.</w:t>
      </w:r>
      <w:r>
        <w:rPr>
          <w:color w:val="383436"/>
          <w:spacing w:val="-24"/>
          <w:w w:val="105"/>
          <w:sz w:val="18"/>
        </w:rPr>
        <w:t> </w:t>
      </w:r>
      <w:r>
        <w:rPr>
          <w:color w:val="383436"/>
          <w:w w:val="105"/>
          <w:sz w:val="18"/>
        </w:rPr>
        <w:t>R</w:t>
      </w:r>
      <w:r>
        <w:rPr>
          <w:color w:val="545456"/>
          <w:w w:val="105"/>
          <w:sz w:val="18"/>
        </w:rPr>
        <w:t>e</w:t>
      </w:r>
      <w:r>
        <w:rPr>
          <w:color w:val="383436"/>
          <w:w w:val="105"/>
          <w:sz w:val="18"/>
        </w:rPr>
        <w:t>v.</w:t>
      </w:r>
      <w:r>
        <w:rPr>
          <w:color w:val="383436"/>
          <w:spacing w:val="-5"/>
          <w:w w:val="105"/>
          <w:sz w:val="18"/>
        </w:rPr>
        <w:t> </w:t>
      </w:r>
      <w:r>
        <w:rPr>
          <w:color w:val="383436"/>
          <w:w w:val="105"/>
          <w:sz w:val="18"/>
        </w:rPr>
        <w:t>Assn.</w:t>
      </w:r>
      <w:r>
        <w:rPr>
          <w:color w:val="383436"/>
          <w:spacing w:val="-10"/>
          <w:w w:val="105"/>
          <w:sz w:val="18"/>
        </w:rPr>
        <w:t> </w:t>
      </w:r>
      <w:r>
        <w:rPr>
          <w:color w:val="383436"/>
          <w:w w:val="105"/>
          <w:sz w:val="18"/>
        </w:rPr>
        <w:t>2010)</w:t>
      </w:r>
      <w:r>
        <w:rPr>
          <w:color w:val="646466"/>
          <w:w w:val="105"/>
          <w:sz w:val="18"/>
        </w:rPr>
        <w:t>.</w:t>
      </w:r>
      <w:r>
        <w:rPr>
          <w:color w:val="646466"/>
          <w:spacing w:val="-7"/>
          <w:w w:val="105"/>
          <w:sz w:val="18"/>
        </w:rPr>
        <w:t> </w:t>
      </w:r>
      <w:r>
        <w:rPr>
          <w:color w:val="383436"/>
          <w:w w:val="105"/>
          <w:sz w:val="18"/>
        </w:rPr>
        <w:t>You</w:t>
      </w:r>
      <w:r>
        <w:rPr>
          <w:color w:val="383436"/>
          <w:spacing w:val="-22"/>
          <w:w w:val="105"/>
          <w:sz w:val="18"/>
        </w:rPr>
        <w:t> </w:t>
      </w:r>
      <w:r>
        <w:rPr>
          <w:color w:val="383436"/>
          <w:w w:val="105"/>
          <w:sz w:val="18"/>
        </w:rPr>
        <w:t>should</w:t>
      </w:r>
      <w:r>
        <w:rPr>
          <w:color w:val="383436"/>
          <w:spacing w:val="1"/>
          <w:w w:val="105"/>
          <w:sz w:val="18"/>
        </w:rPr>
        <w:t> </w:t>
      </w:r>
      <w:r>
        <w:rPr>
          <w:rFonts w:ascii="Arial"/>
          <w:color w:val="383436"/>
          <w:w w:val="110"/>
          <w:sz w:val="17"/>
        </w:rPr>
        <w:t>be</w:t>
      </w:r>
      <w:r>
        <w:rPr>
          <w:rFonts w:ascii="Arial"/>
          <w:color w:val="383436"/>
          <w:spacing w:val="1"/>
          <w:w w:val="110"/>
          <w:sz w:val="17"/>
        </w:rPr>
        <w:t> </w:t>
      </w:r>
      <w:r>
        <w:rPr>
          <w:color w:val="383436"/>
          <w:w w:val="110"/>
          <w:sz w:val="18"/>
        </w:rPr>
        <w:t>aware</w:t>
      </w:r>
      <w:r>
        <w:rPr>
          <w:color w:val="383436"/>
          <w:spacing w:val="-1"/>
          <w:w w:val="110"/>
          <w:sz w:val="18"/>
        </w:rPr>
        <w:t> </w:t>
      </w:r>
      <w:r>
        <w:rPr>
          <w:color w:val="383436"/>
          <w:w w:val="110"/>
          <w:sz w:val="18"/>
        </w:rPr>
        <w:t>that</w:t>
      </w:r>
      <w:r>
        <w:rPr>
          <w:color w:val="383436"/>
          <w:spacing w:val="5"/>
          <w:w w:val="110"/>
          <w:sz w:val="18"/>
        </w:rPr>
        <w:t> </w:t>
      </w:r>
      <w:r>
        <w:rPr>
          <w:color w:val="383436"/>
          <w:w w:val="110"/>
          <w:sz w:val="18"/>
        </w:rPr>
        <w:t>more</w:t>
      </w:r>
      <w:r>
        <w:rPr>
          <w:color w:val="383436"/>
          <w:spacing w:val="-11"/>
          <w:w w:val="110"/>
          <w:sz w:val="18"/>
        </w:rPr>
        <w:t> </w:t>
      </w:r>
      <w:r>
        <w:rPr>
          <w:color w:val="383436"/>
          <w:w w:val="110"/>
          <w:sz w:val="18"/>
        </w:rPr>
        <w:t>states</w:t>
      </w:r>
      <w:r>
        <w:rPr>
          <w:color w:val="383436"/>
          <w:spacing w:val="-9"/>
          <w:w w:val="110"/>
          <w:sz w:val="18"/>
        </w:rPr>
        <w:t> </w:t>
      </w:r>
      <w:r>
        <w:rPr>
          <w:color w:val="383436"/>
          <w:w w:val="110"/>
          <w:sz w:val="18"/>
        </w:rPr>
        <w:t>are</w:t>
      </w:r>
      <w:r>
        <w:rPr>
          <w:color w:val="383436"/>
          <w:spacing w:val="3"/>
          <w:w w:val="110"/>
          <w:sz w:val="18"/>
        </w:rPr>
        <w:t> </w:t>
      </w:r>
      <w:r>
        <w:rPr>
          <w:color w:val="383436"/>
          <w:w w:val="110"/>
          <w:sz w:val="18"/>
        </w:rPr>
        <w:t>now</w:t>
      </w:r>
      <w:r>
        <w:rPr>
          <w:color w:val="383436"/>
          <w:spacing w:val="8"/>
          <w:w w:val="110"/>
          <w:sz w:val="18"/>
        </w:rPr>
        <w:t> </w:t>
      </w:r>
      <w:r>
        <w:rPr>
          <w:color w:val="383436"/>
          <w:w w:val="110"/>
          <w:sz w:val="18"/>
        </w:rPr>
        <w:t>requiring</w:t>
      </w:r>
      <w:r>
        <w:rPr>
          <w:color w:val="383436"/>
          <w:spacing w:val="2"/>
          <w:w w:val="110"/>
          <w:sz w:val="18"/>
        </w:rPr>
        <w:t> </w:t>
      </w:r>
      <w:r>
        <w:rPr>
          <w:color w:val="383436"/>
          <w:w w:val="110"/>
          <w:sz w:val="18"/>
        </w:rPr>
        <w:t>publicdomain</w:t>
      </w:r>
      <w:r>
        <w:rPr>
          <w:color w:val="383436"/>
          <w:spacing w:val="-11"/>
          <w:w w:val="110"/>
          <w:sz w:val="18"/>
        </w:rPr>
        <w:t> </w:t>
      </w:r>
      <w:r>
        <w:rPr>
          <w:color w:val="383436"/>
          <w:w w:val="110"/>
          <w:sz w:val="18"/>
        </w:rPr>
        <w:t>citations</w:t>
      </w:r>
      <w:r>
        <w:rPr>
          <w:color w:val="383436"/>
          <w:spacing w:val="-5"/>
          <w:w w:val="110"/>
          <w:sz w:val="18"/>
        </w:rPr>
        <w:t> </w:t>
      </w:r>
      <w:r>
        <w:rPr>
          <w:color w:val="383436"/>
          <w:w w:val="110"/>
          <w:sz w:val="18"/>
        </w:rPr>
        <w:t>In</w:t>
      </w:r>
      <w:r>
        <w:rPr>
          <w:color w:val="383436"/>
          <w:spacing w:val="-5"/>
          <w:w w:val="110"/>
          <w:sz w:val="18"/>
        </w:rPr>
        <w:t> </w:t>
      </w:r>
      <w:r>
        <w:rPr>
          <w:color w:val="383436"/>
          <w:w w:val="110"/>
          <w:sz w:val="18"/>
        </w:rPr>
        <w:t>certain</w:t>
      </w:r>
      <w:r>
        <w:rPr>
          <w:color w:val="383436"/>
          <w:spacing w:val="-2"/>
          <w:w w:val="110"/>
          <w:sz w:val="18"/>
        </w:rPr>
        <w:t> </w:t>
      </w:r>
      <w:r>
        <w:rPr>
          <w:color w:val="383436"/>
          <w:w w:val="110"/>
          <w:sz w:val="18"/>
        </w:rPr>
        <w:t>documents.</w:t>
      </w:r>
    </w:p>
    <w:p>
      <w:pPr>
        <w:spacing w:after="0" w:line="223" w:lineRule="auto"/>
        <w:jc w:val="both"/>
        <w:rPr>
          <w:sz w:val="18"/>
        </w:rPr>
        <w:sectPr>
          <w:headerReference w:type="even" r:id="rId370"/>
          <w:pgSz w:w="9780" w:h="14000"/>
          <w:pgMar w:header="0" w:footer="0" w:top="1140" w:bottom="280" w:left="1360" w:right="300"/>
          <w:pgNumType w:start="330"/>
        </w:sectPr>
      </w:pPr>
    </w:p>
    <w:p>
      <w:pPr>
        <w:spacing w:before="76"/>
        <w:ind w:left="-17" w:right="0" w:firstLine="0"/>
        <w:jc w:val="left"/>
        <w:rPr>
          <w:rFonts w:ascii="Arial"/>
          <w:sz w:val="18"/>
        </w:rPr>
      </w:pPr>
      <w:r>
        <w:rPr>
          <w:rFonts w:ascii="Arial"/>
          <w:color w:val="C3C3C6"/>
          <w:w w:val="110"/>
          <w:sz w:val="18"/>
        </w:rPr>
        <w:t>I</w:t>
      </w:r>
    </w:p>
    <w:p>
      <w:pPr>
        <w:pStyle w:val="BodyText"/>
        <w:spacing w:before="2"/>
        <w:rPr>
          <w:rFonts w:ascii="Arial"/>
          <w:sz w:val="9"/>
        </w:rPr>
      </w:pPr>
    </w:p>
    <w:p>
      <w:pPr>
        <w:pStyle w:val="ListParagraph"/>
        <w:numPr>
          <w:ilvl w:val="1"/>
          <w:numId w:val="122"/>
        </w:numPr>
        <w:tabs>
          <w:tab w:pos="5345" w:val="left" w:leader="none"/>
          <w:tab w:pos="8597" w:val="right" w:leader="none"/>
        </w:tabs>
        <w:spacing w:line="240" w:lineRule="auto" w:before="93" w:after="0"/>
        <w:ind w:left="5344" w:right="0" w:hanging="352"/>
        <w:jc w:val="left"/>
        <w:rPr>
          <w:color w:val="363436"/>
          <w:sz w:val="19"/>
        </w:rPr>
      </w:pPr>
      <w:r>
        <w:rPr>
          <w:color w:val="363436"/>
          <w:sz w:val="19"/>
        </w:rPr>
        <w:t>Common</w:t>
      </w:r>
      <w:r>
        <w:rPr>
          <w:color w:val="363436"/>
          <w:spacing w:val="12"/>
          <w:sz w:val="19"/>
        </w:rPr>
        <w:t> </w:t>
      </w:r>
      <w:r>
        <w:rPr>
          <w:color w:val="363436"/>
          <w:sz w:val="19"/>
        </w:rPr>
        <w:t>Case</w:t>
      </w:r>
      <w:r>
        <w:rPr>
          <w:color w:val="363436"/>
          <w:spacing w:val="-11"/>
          <w:sz w:val="19"/>
        </w:rPr>
        <w:t> </w:t>
      </w:r>
      <w:r>
        <w:rPr>
          <w:color w:val="363436"/>
          <w:sz w:val="19"/>
        </w:rPr>
        <w:t>Citation</w:t>
      </w:r>
      <w:r>
        <w:rPr>
          <w:color w:val="363436"/>
          <w:spacing w:val="15"/>
          <w:sz w:val="19"/>
        </w:rPr>
        <w:t> </w:t>
      </w:r>
      <w:r>
        <w:rPr>
          <w:color w:val="363436"/>
          <w:sz w:val="19"/>
        </w:rPr>
        <w:t>Formats</w:t>
        <w:tab/>
      </w:r>
      <w:r>
        <w:rPr>
          <w:b/>
          <w:color w:val="363436"/>
          <w:sz w:val="19"/>
        </w:rPr>
        <w:t>331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235" w:lineRule="auto"/>
        <w:ind w:left="433" w:right="842" w:hanging="2"/>
        <w:jc w:val="both"/>
      </w:pPr>
      <w:r>
        <w:rPr>
          <w:color w:val="363436"/>
          <w:w w:val="110"/>
        </w:rPr>
        <w:t>mistakes and discuss which elements are most significant to readers and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users</w:t>
      </w:r>
      <w:r>
        <w:rPr>
          <w:color w:val="363436"/>
          <w:spacing w:val="-22"/>
          <w:w w:val="110"/>
        </w:rPr>
        <w:t> </w:t>
      </w:r>
      <w:r>
        <w:rPr>
          <w:color w:val="363436"/>
          <w:w w:val="110"/>
        </w:rPr>
        <w:t>of</w:t>
      </w:r>
      <w:r>
        <w:rPr>
          <w:color w:val="363436"/>
          <w:spacing w:val="5"/>
          <w:w w:val="110"/>
        </w:rPr>
        <w:t> </w:t>
      </w:r>
      <w:r>
        <w:rPr>
          <w:color w:val="363436"/>
          <w:w w:val="110"/>
        </w:rPr>
        <w:t>legal</w:t>
      </w:r>
      <w:r>
        <w:rPr>
          <w:color w:val="363436"/>
          <w:spacing w:val="-9"/>
          <w:w w:val="110"/>
        </w:rPr>
        <w:t> </w:t>
      </w:r>
      <w:r>
        <w:rPr>
          <w:color w:val="363436"/>
          <w:w w:val="110"/>
        </w:rPr>
        <w:t>documents.</w:t>
      </w:r>
    </w:p>
    <w:p>
      <w:pPr>
        <w:pStyle w:val="BodyText"/>
        <w:spacing w:line="245" w:lineRule="exact"/>
        <w:ind w:left="754"/>
        <w:jc w:val="both"/>
      </w:pPr>
      <w:r>
        <w:rPr>
          <w:color w:val="363436"/>
          <w:w w:val="110"/>
        </w:rPr>
        <w:t>The</w:t>
      </w:r>
      <w:r>
        <w:rPr>
          <w:color w:val="363436"/>
          <w:spacing w:val="-15"/>
          <w:w w:val="110"/>
        </w:rPr>
        <w:t> </w:t>
      </w:r>
      <w:r>
        <w:rPr>
          <w:color w:val="363436"/>
          <w:w w:val="110"/>
        </w:rPr>
        <w:t>typical</w:t>
      </w:r>
      <w:r>
        <w:rPr>
          <w:color w:val="363436"/>
          <w:spacing w:val="2"/>
          <w:w w:val="110"/>
        </w:rPr>
        <w:t> </w:t>
      </w:r>
      <w:r>
        <w:rPr>
          <w:color w:val="363436"/>
          <w:w w:val="110"/>
        </w:rPr>
        <w:t>long-form</w:t>
      </w:r>
      <w:r>
        <w:rPr>
          <w:color w:val="363436"/>
          <w:spacing w:val="5"/>
          <w:w w:val="110"/>
        </w:rPr>
        <w:t> </w:t>
      </w:r>
      <w:r>
        <w:rPr>
          <w:color w:val="363436"/>
          <w:w w:val="110"/>
        </w:rPr>
        <w:t>case</w:t>
      </w:r>
      <w:r>
        <w:rPr>
          <w:color w:val="363436"/>
          <w:spacing w:val="-16"/>
          <w:w w:val="110"/>
        </w:rPr>
        <w:t> </w:t>
      </w:r>
      <w:r>
        <w:rPr>
          <w:color w:val="363436"/>
          <w:w w:val="110"/>
        </w:rPr>
        <w:t>citation</w:t>
      </w:r>
      <w:r>
        <w:rPr>
          <w:color w:val="363436"/>
          <w:spacing w:val="10"/>
          <w:w w:val="110"/>
        </w:rPr>
        <w:t> </w:t>
      </w:r>
      <w:r>
        <w:rPr>
          <w:color w:val="363436"/>
          <w:w w:val="110"/>
        </w:rPr>
        <w:t>includes</w:t>
      </w:r>
      <w:r>
        <w:rPr>
          <w:color w:val="363436"/>
          <w:spacing w:val="-3"/>
          <w:w w:val="110"/>
        </w:rPr>
        <w:t> </w:t>
      </w:r>
      <w:r>
        <w:rPr>
          <w:color w:val="363436"/>
          <w:w w:val="110"/>
        </w:rPr>
        <w:t>five</w:t>
      </w:r>
      <w:r>
        <w:rPr>
          <w:color w:val="363436"/>
          <w:spacing w:val="-19"/>
          <w:w w:val="110"/>
        </w:rPr>
        <w:t> </w:t>
      </w:r>
      <w:r>
        <w:rPr>
          <w:color w:val="363436"/>
          <w:w w:val="110"/>
        </w:rPr>
        <w:t>elements:</w:t>
      </w:r>
    </w:p>
    <w:p>
      <w:pPr>
        <w:pStyle w:val="ListParagraph"/>
        <w:numPr>
          <w:ilvl w:val="0"/>
          <w:numId w:val="123"/>
        </w:numPr>
        <w:tabs>
          <w:tab w:pos="1102" w:val="left" w:leader="none"/>
        </w:tabs>
        <w:spacing w:line="232" w:lineRule="auto" w:before="0" w:after="0"/>
        <w:ind w:left="425" w:right="724" w:firstLine="342"/>
        <w:jc w:val="both"/>
        <w:rPr>
          <w:rFonts w:ascii="Arial" w:hAnsi="Arial"/>
          <w:color w:val="363436"/>
          <w:sz w:val="20"/>
        </w:rPr>
      </w:pPr>
      <w:r>
        <w:rPr>
          <w:color w:val="363436"/>
          <w:w w:val="110"/>
          <w:sz w:val="23"/>
        </w:rPr>
        <w:t>The case name. For most cases, the  name of the case consists of</w:t>
      </w:r>
      <w:r>
        <w:rPr>
          <w:color w:val="363436"/>
          <w:spacing w:val="1"/>
          <w:w w:val="110"/>
          <w:sz w:val="23"/>
        </w:rPr>
        <w:t> </w:t>
      </w:r>
      <w:r>
        <w:rPr>
          <w:color w:val="363436"/>
          <w:w w:val="110"/>
          <w:sz w:val="23"/>
        </w:rPr>
        <w:t>one name on  each side of the  "v." Do not use a party's first name (unless</w:t>
      </w:r>
      <w:r>
        <w:rPr>
          <w:color w:val="363436"/>
          <w:spacing w:val="1"/>
          <w:w w:val="110"/>
          <w:sz w:val="23"/>
        </w:rPr>
        <w:t> </w:t>
      </w:r>
      <w:r>
        <w:rPr>
          <w:color w:val="363436"/>
          <w:w w:val="110"/>
          <w:sz w:val="23"/>
        </w:rPr>
        <w:t>it</w:t>
      </w:r>
      <w:r>
        <w:rPr>
          <w:color w:val="363436"/>
          <w:spacing w:val="-22"/>
          <w:w w:val="110"/>
          <w:sz w:val="23"/>
        </w:rPr>
        <w:t> </w:t>
      </w:r>
      <w:r>
        <w:rPr>
          <w:color w:val="363436"/>
          <w:w w:val="110"/>
          <w:sz w:val="23"/>
        </w:rPr>
        <w:t>is</w:t>
      </w:r>
      <w:r>
        <w:rPr>
          <w:color w:val="363436"/>
          <w:spacing w:val="-28"/>
          <w:w w:val="110"/>
          <w:sz w:val="23"/>
        </w:rPr>
        <w:t> </w:t>
      </w:r>
      <w:r>
        <w:rPr>
          <w:color w:val="363436"/>
          <w:w w:val="110"/>
          <w:sz w:val="23"/>
        </w:rPr>
        <w:t>part</w:t>
      </w:r>
      <w:r>
        <w:rPr>
          <w:color w:val="363436"/>
          <w:spacing w:val="-24"/>
          <w:w w:val="110"/>
          <w:sz w:val="23"/>
        </w:rPr>
        <w:t> </w:t>
      </w:r>
      <w:r>
        <w:rPr>
          <w:color w:val="363436"/>
          <w:w w:val="110"/>
          <w:sz w:val="23"/>
        </w:rPr>
        <w:t>of</w:t>
      </w:r>
      <w:r>
        <w:rPr>
          <w:color w:val="363436"/>
          <w:spacing w:val="-9"/>
          <w:w w:val="110"/>
          <w:sz w:val="23"/>
        </w:rPr>
        <w:t> </w:t>
      </w:r>
      <w:r>
        <w:rPr>
          <w:color w:val="363436"/>
          <w:w w:val="110"/>
          <w:sz w:val="23"/>
        </w:rPr>
        <w:t>a</w:t>
      </w:r>
      <w:r>
        <w:rPr>
          <w:color w:val="363436"/>
          <w:spacing w:val="-9"/>
          <w:w w:val="110"/>
          <w:sz w:val="23"/>
        </w:rPr>
        <w:t> </w:t>
      </w:r>
      <w:r>
        <w:rPr>
          <w:color w:val="363436"/>
          <w:w w:val="110"/>
          <w:sz w:val="23"/>
        </w:rPr>
        <w:t>corporate</w:t>
      </w:r>
      <w:r>
        <w:rPr>
          <w:color w:val="363436"/>
          <w:spacing w:val="-14"/>
          <w:w w:val="110"/>
          <w:sz w:val="23"/>
        </w:rPr>
        <w:t> </w:t>
      </w:r>
      <w:r>
        <w:rPr>
          <w:color w:val="363436"/>
          <w:w w:val="110"/>
          <w:sz w:val="23"/>
        </w:rPr>
        <w:t>party</w:t>
      </w:r>
      <w:r>
        <w:rPr>
          <w:color w:val="363436"/>
          <w:spacing w:val="-16"/>
          <w:w w:val="110"/>
          <w:sz w:val="23"/>
        </w:rPr>
        <w:t> </w:t>
      </w:r>
      <w:r>
        <w:rPr>
          <w:color w:val="363436"/>
          <w:w w:val="110"/>
          <w:sz w:val="23"/>
        </w:rPr>
        <w:t>name,</w:t>
      </w:r>
      <w:r>
        <w:rPr>
          <w:color w:val="363436"/>
          <w:spacing w:val="-25"/>
          <w:w w:val="110"/>
          <w:sz w:val="23"/>
        </w:rPr>
        <w:t> </w:t>
      </w:r>
      <w:r>
        <w:rPr>
          <w:color w:val="363436"/>
          <w:w w:val="110"/>
          <w:sz w:val="23"/>
        </w:rPr>
        <w:t>e.g.,</w:t>
      </w:r>
      <w:r>
        <w:rPr>
          <w:color w:val="363436"/>
          <w:spacing w:val="-24"/>
          <w:w w:val="110"/>
          <w:sz w:val="23"/>
        </w:rPr>
        <w:t> </w:t>
      </w:r>
      <w:r>
        <w:rPr>
          <w:color w:val="363436"/>
          <w:w w:val="110"/>
          <w:sz w:val="24"/>
        </w:rPr>
        <w:t>"Larry</w:t>
      </w:r>
      <w:r>
        <w:rPr>
          <w:color w:val="363436"/>
          <w:spacing w:val="-5"/>
          <w:w w:val="110"/>
          <w:sz w:val="24"/>
        </w:rPr>
        <w:t> </w:t>
      </w:r>
      <w:r>
        <w:rPr>
          <w:color w:val="363436"/>
          <w:w w:val="110"/>
          <w:sz w:val="23"/>
        </w:rPr>
        <w:t>King,</w:t>
      </w:r>
      <w:r>
        <w:rPr>
          <w:color w:val="363436"/>
          <w:spacing w:val="1"/>
          <w:w w:val="110"/>
          <w:sz w:val="23"/>
        </w:rPr>
        <w:t> </w:t>
      </w:r>
      <w:r>
        <w:rPr>
          <w:color w:val="363436"/>
          <w:w w:val="110"/>
          <w:sz w:val="23"/>
        </w:rPr>
        <w:t>Inc.")</w:t>
      </w:r>
      <w:r>
        <w:rPr>
          <w:color w:val="363436"/>
          <w:spacing w:val="-14"/>
          <w:w w:val="110"/>
          <w:sz w:val="23"/>
        </w:rPr>
        <w:t> </w:t>
      </w:r>
      <w:r>
        <w:rPr>
          <w:color w:val="363436"/>
          <w:w w:val="110"/>
          <w:sz w:val="23"/>
        </w:rPr>
        <w:t>and</w:t>
      </w:r>
      <w:r>
        <w:rPr>
          <w:color w:val="363436"/>
          <w:spacing w:val="12"/>
          <w:w w:val="110"/>
          <w:sz w:val="23"/>
        </w:rPr>
        <w:t> </w:t>
      </w:r>
      <w:r>
        <w:rPr>
          <w:color w:val="363436"/>
          <w:w w:val="110"/>
          <w:sz w:val="23"/>
        </w:rPr>
        <w:t>do</w:t>
      </w:r>
      <w:r>
        <w:rPr>
          <w:color w:val="363436"/>
          <w:spacing w:val="16"/>
          <w:w w:val="110"/>
          <w:sz w:val="23"/>
        </w:rPr>
        <w:t> </w:t>
      </w:r>
      <w:r>
        <w:rPr>
          <w:color w:val="363436"/>
          <w:w w:val="110"/>
          <w:sz w:val="23"/>
        </w:rPr>
        <w:t>not</w:t>
      </w:r>
      <w:r>
        <w:rPr>
          <w:color w:val="363436"/>
          <w:spacing w:val="17"/>
          <w:w w:val="110"/>
          <w:sz w:val="23"/>
        </w:rPr>
        <w:t> </w:t>
      </w:r>
      <w:r>
        <w:rPr>
          <w:color w:val="363436"/>
          <w:w w:val="110"/>
          <w:sz w:val="23"/>
        </w:rPr>
        <w:t>use</w:t>
      </w:r>
      <w:r>
        <w:rPr>
          <w:color w:val="363436"/>
          <w:spacing w:val="1"/>
          <w:w w:val="110"/>
          <w:sz w:val="23"/>
        </w:rPr>
        <w:t> </w:t>
      </w:r>
      <w:r>
        <w:rPr>
          <w:color w:val="363436"/>
          <w:w w:val="110"/>
          <w:sz w:val="23"/>
        </w:rPr>
        <w:t>more than one name, even </w:t>
      </w:r>
      <w:r>
        <w:rPr>
          <w:color w:val="363436"/>
          <w:w w:val="110"/>
          <w:sz w:val="22"/>
        </w:rPr>
        <w:t>if </w:t>
      </w:r>
      <w:r>
        <w:rPr>
          <w:color w:val="363436"/>
          <w:w w:val="110"/>
          <w:sz w:val="23"/>
        </w:rPr>
        <w:t>there are multiple plaintiffs and defendants.</w:t>
      </w:r>
      <w:r>
        <w:rPr>
          <w:color w:val="363436"/>
          <w:spacing w:val="1"/>
          <w:w w:val="110"/>
          <w:sz w:val="23"/>
        </w:rPr>
        <w:t> </w:t>
      </w:r>
      <w:r>
        <w:rPr>
          <w:color w:val="363436"/>
          <w:w w:val="110"/>
          <w:sz w:val="23"/>
        </w:rPr>
        <w:t>To use abbreviations precisely, consult the appropriate rules; in general,</w:t>
      </w:r>
      <w:r>
        <w:rPr>
          <w:color w:val="363436"/>
          <w:spacing w:val="1"/>
          <w:w w:val="110"/>
          <w:sz w:val="23"/>
        </w:rPr>
        <w:t> </w:t>
      </w:r>
      <w:r>
        <w:rPr>
          <w:color w:val="363436"/>
          <w:w w:val="110"/>
          <w:sz w:val="23"/>
        </w:rPr>
        <w:t>never abbreviate the first word in a party name, and never use </w:t>
      </w:r>
      <w:r>
        <w:rPr>
          <w:i/>
          <w:color w:val="363436"/>
          <w:w w:val="110"/>
          <w:sz w:val="23"/>
        </w:rPr>
        <w:t>et al. </w:t>
      </w:r>
      <w:r>
        <w:rPr>
          <w:color w:val="363436"/>
          <w:w w:val="110"/>
          <w:sz w:val="23"/>
        </w:rPr>
        <w:t>in a</w:t>
      </w:r>
      <w:r>
        <w:rPr>
          <w:color w:val="363436"/>
          <w:spacing w:val="1"/>
          <w:w w:val="110"/>
          <w:sz w:val="23"/>
        </w:rPr>
        <w:t> </w:t>
      </w:r>
      <w:r>
        <w:rPr>
          <w:color w:val="363436"/>
          <w:w w:val="110"/>
          <w:sz w:val="23"/>
        </w:rPr>
        <w:t>citation. Case names should be underlined or italicized. Some writers mis­</w:t>
      </w:r>
      <w:r>
        <w:rPr>
          <w:color w:val="363436"/>
          <w:spacing w:val="-61"/>
          <w:w w:val="110"/>
          <w:sz w:val="23"/>
        </w:rPr>
        <w:t> </w:t>
      </w:r>
      <w:r>
        <w:rPr>
          <w:color w:val="363436"/>
          <w:w w:val="110"/>
          <w:sz w:val="23"/>
        </w:rPr>
        <w:t>takenly underline or italicize an entire citation, whether to a case or a stat­</w:t>
      </w:r>
      <w:r>
        <w:rPr>
          <w:color w:val="363436"/>
          <w:spacing w:val="1"/>
          <w:w w:val="110"/>
          <w:sz w:val="23"/>
        </w:rPr>
        <w:t> </w:t>
      </w:r>
      <w:r>
        <w:rPr>
          <w:color w:val="363436"/>
          <w:w w:val="110"/>
          <w:sz w:val="23"/>
        </w:rPr>
        <w:t>ute, because they have seen entire citations underlined in hypertext on a</w:t>
      </w:r>
      <w:r>
        <w:rPr>
          <w:color w:val="363436"/>
          <w:spacing w:val="1"/>
          <w:w w:val="110"/>
          <w:sz w:val="23"/>
        </w:rPr>
        <w:t> </w:t>
      </w:r>
      <w:r>
        <w:rPr>
          <w:color w:val="363436"/>
          <w:w w:val="110"/>
          <w:sz w:val="23"/>
        </w:rPr>
        <w:t>Web</w:t>
      </w:r>
      <w:r>
        <w:rPr>
          <w:color w:val="363436"/>
          <w:spacing w:val="-24"/>
          <w:w w:val="110"/>
          <w:sz w:val="23"/>
        </w:rPr>
        <w:t> </w:t>
      </w:r>
      <w:r>
        <w:rPr>
          <w:color w:val="363436"/>
          <w:w w:val="110"/>
          <w:sz w:val="23"/>
        </w:rPr>
        <w:t>site</w:t>
      </w:r>
      <w:r>
        <w:rPr>
          <w:color w:val="363436"/>
          <w:spacing w:val="-14"/>
          <w:w w:val="110"/>
          <w:sz w:val="23"/>
        </w:rPr>
        <w:t> </w:t>
      </w:r>
      <w:r>
        <w:rPr>
          <w:color w:val="363436"/>
          <w:w w:val="110"/>
          <w:sz w:val="23"/>
        </w:rPr>
        <w:t>or</w:t>
      </w:r>
      <w:r>
        <w:rPr>
          <w:color w:val="363436"/>
          <w:spacing w:val="-6"/>
          <w:w w:val="110"/>
          <w:sz w:val="23"/>
        </w:rPr>
        <w:t> </w:t>
      </w:r>
      <w:r>
        <w:rPr>
          <w:color w:val="363436"/>
          <w:w w:val="110"/>
          <w:sz w:val="23"/>
        </w:rPr>
        <w:t>another</w:t>
      </w:r>
      <w:r>
        <w:rPr>
          <w:color w:val="363436"/>
          <w:spacing w:val="-7"/>
          <w:w w:val="110"/>
          <w:sz w:val="23"/>
        </w:rPr>
        <w:t> </w:t>
      </w:r>
      <w:r>
        <w:rPr>
          <w:color w:val="363436"/>
          <w:w w:val="110"/>
          <w:sz w:val="23"/>
        </w:rPr>
        <w:t>online</w:t>
      </w:r>
      <w:r>
        <w:rPr>
          <w:color w:val="363436"/>
          <w:spacing w:val="-1"/>
          <w:w w:val="110"/>
          <w:sz w:val="23"/>
        </w:rPr>
        <w:t> </w:t>
      </w:r>
      <w:r>
        <w:rPr>
          <w:color w:val="363436"/>
          <w:w w:val="110"/>
          <w:sz w:val="23"/>
        </w:rPr>
        <w:t>resource.</w:t>
      </w:r>
      <w:r>
        <w:rPr>
          <w:color w:val="363436"/>
          <w:spacing w:val="-16"/>
          <w:w w:val="110"/>
          <w:sz w:val="23"/>
        </w:rPr>
        <w:t> </w:t>
      </w:r>
      <w:r>
        <w:rPr>
          <w:color w:val="363436"/>
          <w:w w:val="110"/>
          <w:sz w:val="23"/>
        </w:rPr>
        <w:t>Statutory</w:t>
      </w:r>
      <w:r>
        <w:rPr>
          <w:color w:val="363436"/>
          <w:spacing w:val="-7"/>
          <w:w w:val="110"/>
          <w:sz w:val="23"/>
        </w:rPr>
        <w:t> </w:t>
      </w:r>
      <w:r>
        <w:rPr>
          <w:color w:val="363436"/>
          <w:w w:val="110"/>
          <w:sz w:val="23"/>
        </w:rPr>
        <w:t>citations</w:t>
      </w:r>
      <w:r>
        <w:rPr>
          <w:color w:val="363436"/>
          <w:spacing w:val="-13"/>
          <w:w w:val="110"/>
          <w:sz w:val="23"/>
        </w:rPr>
        <w:t> </w:t>
      </w:r>
      <w:r>
        <w:rPr>
          <w:color w:val="363436"/>
          <w:w w:val="110"/>
          <w:sz w:val="23"/>
        </w:rPr>
        <w:t>are</w:t>
      </w:r>
      <w:r>
        <w:rPr>
          <w:color w:val="363436"/>
          <w:spacing w:val="-13"/>
          <w:w w:val="110"/>
          <w:sz w:val="23"/>
        </w:rPr>
        <w:t> </w:t>
      </w:r>
      <w:r>
        <w:rPr>
          <w:i/>
          <w:color w:val="363436"/>
          <w:w w:val="110"/>
          <w:sz w:val="24"/>
        </w:rPr>
        <w:t>never</w:t>
      </w:r>
      <w:r>
        <w:rPr>
          <w:i/>
          <w:color w:val="363436"/>
          <w:spacing w:val="-15"/>
          <w:w w:val="110"/>
          <w:sz w:val="24"/>
        </w:rPr>
        <w:t> </w:t>
      </w:r>
      <w:r>
        <w:rPr>
          <w:color w:val="363436"/>
          <w:w w:val="110"/>
          <w:sz w:val="23"/>
        </w:rPr>
        <w:t>italicized</w:t>
      </w:r>
      <w:r>
        <w:rPr>
          <w:color w:val="363436"/>
          <w:spacing w:val="1"/>
          <w:w w:val="110"/>
          <w:sz w:val="23"/>
        </w:rPr>
        <w:t> </w:t>
      </w:r>
      <w:r>
        <w:rPr>
          <w:color w:val="363436"/>
          <w:w w:val="105"/>
          <w:sz w:val="23"/>
        </w:rPr>
        <w:t>or underlined;  in  cases, </w:t>
      </w:r>
      <w:r>
        <w:rPr>
          <w:i/>
          <w:color w:val="363436"/>
          <w:w w:val="105"/>
          <w:sz w:val="24"/>
        </w:rPr>
        <w:t>only </w:t>
      </w:r>
      <w:r>
        <w:rPr>
          <w:color w:val="363436"/>
          <w:w w:val="105"/>
          <w:sz w:val="23"/>
        </w:rPr>
        <w:t>the  case name (e.g., </w:t>
      </w:r>
      <w:r>
        <w:rPr>
          <w:i/>
          <w:color w:val="363436"/>
          <w:w w:val="105"/>
          <w:sz w:val="24"/>
        </w:rPr>
        <w:t>"Smith v. Jones") </w:t>
      </w:r>
      <w:r>
        <w:rPr>
          <w:color w:val="363436"/>
          <w:w w:val="105"/>
          <w:sz w:val="23"/>
        </w:rPr>
        <w:t>should</w:t>
      </w:r>
      <w:r>
        <w:rPr>
          <w:color w:val="363436"/>
          <w:spacing w:val="1"/>
          <w:w w:val="105"/>
          <w:sz w:val="23"/>
        </w:rPr>
        <w:t> </w:t>
      </w:r>
      <w:r>
        <w:rPr>
          <w:color w:val="363436"/>
          <w:w w:val="110"/>
          <w:sz w:val="21"/>
        </w:rPr>
        <w:t>be </w:t>
      </w:r>
      <w:r>
        <w:rPr>
          <w:color w:val="363436"/>
          <w:w w:val="110"/>
          <w:sz w:val="23"/>
        </w:rPr>
        <w:t>italicized or underlined. Because the eye is drawn to underlined words</w:t>
      </w:r>
      <w:r>
        <w:rPr>
          <w:color w:val="363436"/>
          <w:spacing w:val="1"/>
          <w:w w:val="110"/>
          <w:sz w:val="23"/>
        </w:rPr>
        <w:t> </w:t>
      </w:r>
      <w:r>
        <w:rPr>
          <w:color w:val="363436"/>
          <w:w w:val="110"/>
          <w:sz w:val="23"/>
        </w:rPr>
        <w:t>more than to italicized words, I recommend underlining unless local ntles</w:t>
      </w:r>
      <w:r>
        <w:rPr>
          <w:color w:val="363436"/>
          <w:spacing w:val="1"/>
          <w:w w:val="110"/>
          <w:sz w:val="23"/>
        </w:rPr>
        <w:t> </w:t>
      </w:r>
      <w:r>
        <w:rPr>
          <w:color w:val="363436"/>
          <w:w w:val="110"/>
          <w:sz w:val="23"/>
        </w:rPr>
        <w:t>or</w:t>
      </w:r>
      <w:r>
        <w:rPr>
          <w:color w:val="363436"/>
          <w:spacing w:val="-28"/>
          <w:w w:val="110"/>
          <w:sz w:val="23"/>
        </w:rPr>
        <w:t> </w:t>
      </w:r>
      <w:r>
        <w:rPr>
          <w:color w:val="363436"/>
          <w:w w:val="110"/>
          <w:sz w:val="23"/>
        </w:rPr>
        <w:t>practice</w:t>
      </w:r>
      <w:r>
        <w:rPr>
          <w:color w:val="363436"/>
          <w:spacing w:val="-20"/>
          <w:w w:val="110"/>
          <w:sz w:val="23"/>
        </w:rPr>
        <w:t> </w:t>
      </w:r>
      <w:r>
        <w:rPr>
          <w:color w:val="363436"/>
          <w:w w:val="110"/>
          <w:sz w:val="23"/>
        </w:rPr>
        <w:t>dictate</w:t>
      </w:r>
      <w:r>
        <w:rPr>
          <w:color w:val="363436"/>
          <w:spacing w:val="-19"/>
          <w:w w:val="110"/>
          <w:sz w:val="23"/>
        </w:rPr>
        <w:t> </w:t>
      </w:r>
      <w:r>
        <w:rPr>
          <w:color w:val="363436"/>
          <w:w w:val="110"/>
          <w:sz w:val="23"/>
        </w:rPr>
        <w:t>otherwise.</w:t>
      </w:r>
    </w:p>
    <w:p>
      <w:pPr>
        <w:pStyle w:val="ListParagraph"/>
        <w:numPr>
          <w:ilvl w:val="0"/>
          <w:numId w:val="123"/>
        </w:numPr>
        <w:tabs>
          <w:tab w:pos="1106" w:val="left" w:leader="none"/>
        </w:tabs>
        <w:spacing w:line="243" w:lineRule="exact" w:before="0" w:after="0"/>
        <w:ind w:left="1105" w:right="0" w:hanging="325"/>
        <w:jc w:val="both"/>
        <w:rPr>
          <w:color w:val="363436"/>
          <w:sz w:val="23"/>
        </w:rPr>
      </w:pPr>
      <w:r>
        <w:rPr>
          <w:color w:val="363436"/>
          <w:w w:val="115"/>
          <w:sz w:val="23"/>
        </w:rPr>
        <w:t>Where</w:t>
      </w:r>
      <w:r>
        <w:rPr>
          <w:color w:val="363436"/>
          <w:spacing w:val="5"/>
          <w:w w:val="115"/>
          <w:sz w:val="23"/>
        </w:rPr>
        <w:t> </w:t>
      </w:r>
      <w:r>
        <w:rPr>
          <w:color w:val="363436"/>
          <w:w w:val="115"/>
          <w:sz w:val="23"/>
        </w:rPr>
        <w:t>the</w:t>
      </w:r>
      <w:r>
        <w:rPr>
          <w:color w:val="363436"/>
          <w:spacing w:val="45"/>
          <w:w w:val="115"/>
          <w:sz w:val="23"/>
        </w:rPr>
        <w:t> </w:t>
      </w:r>
      <w:r>
        <w:rPr>
          <w:color w:val="363436"/>
          <w:w w:val="115"/>
          <w:sz w:val="23"/>
        </w:rPr>
        <w:t>case</w:t>
      </w:r>
      <w:r>
        <w:rPr>
          <w:color w:val="363436"/>
          <w:spacing w:val="-7"/>
          <w:w w:val="115"/>
          <w:sz w:val="23"/>
        </w:rPr>
        <w:t> </w:t>
      </w:r>
      <w:r>
        <w:rPr>
          <w:color w:val="363436"/>
          <w:w w:val="115"/>
          <w:sz w:val="23"/>
        </w:rPr>
        <w:t>and  the</w:t>
      </w:r>
      <w:r>
        <w:rPr>
          <w:color w:val="363436"/>
          <w:spacing w:val="41"/>
          <w:w w:val="115"/>
          <w:sz w:val="23"/>
        </w:rPr>
        <w:t> </w:t>
      </w:r>
      <w:r>
        <w:rPr>
          <w:color w:val="363436"/>
          <w:w w:val="115"/>
          <w:sz w:val="23"/>
        </w:rPr>
        <w:t>information</w:t>
      </w:r>
      <w:r>
        <w:rPr>
          <w:color w:val="363436"/>
          <w:spacing w:val="19"/>
          <w:w w:val="115"/>
          <w:sz w:val="23"/>
        </w:rPr>
        <w:t> </w:t>
      </w:r>
      <w:r>
        <w:rPr>
          <w:color w:val="363436"/>
          <w:w w:val="115"/>
          <w:sz w:val="23"/>
        </w:rPr>
        <w:t>cited</w:t>
      </w:r>
      <w:r>
        <w:rPr>
          <w:color w:val="363436"/>
          <w:spacing w:val="8"/>
          <w:w w:val="115"/>
          <w:sz w:val="23"/>
        </w:rPr>
        <w:t> </w:t>
      </w:r>
      <w:r>
        <w:rPr>
          <w:color w:val="363436"/>
          <w:w w:val="115"/>
          <w:sz w:val="23"/>
        </w:rPr>
        <w:t>to</w:t>
      </w:r>
      <w:r>
        <w:rPr>
          <w:color w:val="363436"/>
          <w:spacing w:val="14"/>
          <w:w w:val="115"/>
          <w:sz w:val="23"/>
        </w:rPr>
        <w:t> </w:t>
      </w:r>
      <w:r>
        <w:rPr>
          <w:color w:val="363436"/>
          <w:w w:val="115"/>
          <w:sz w:val="23"/>
        </w:rPr>
        <w:t>can</w:t>
      </w:r>
      <w:r>
        <w:rPr>
          <w:color w:val="363436"/>
          <w:spacing w:val="7"/>
          <w:w w:val="115"/>
          <w:sz w:val="23"/>
        </w:rPr>
        <w:t> </w:t>
      </w:r>
      <w:r>
        <w:rPr>
          <w:rFonts w:ascii="Arial"/>
          <w:color w:val="363436"/>
          <w:w w:val="115"/>
          <w:sz w:val="21"/>
        </w:rPr>
        <w:t>be</w:t>
      </w:r>
      <w:r>
        <w:rPr>
          <w:rFonts w:ascii="Arial"/>
          <w:color w:val="363436"/>
          <w:spacing w:val="-21"/>
          <w:w w:val="115"/>
          <w:sz w:val="21"/>
        </w:rPr>
        <w:t> </w:t>
      </w:r>
      <w:r>
        <w:rPr>
          <w:color w:val="363436"/>
          <w:w w:val="115"/>
          <w:sz w:val="23"/>
        </w:rPr>
        <w:t>found.</w:t>
      </w:r>
      <w:r>
        <w:rPr>
          <w:color w:val="363436"/>
          <w:spacing w:val="-21"/>
          <w:w w:val="115"/>
          <w:sz w:val="23"/>
        </w:rPr>
        <w:t> </w:t>
      </w:r>
      <w:r>
        <w:rPr>
          <w:color w:val="363436"/>
          <w:w w:val="115"/>
          <w:sz w:val="23"/>
        </w:rPr>
        <w:t>This</w:t>
      </w:r>
    </w:p>
    <w:p>
      <w:pPr>
        <w:pStyle w:val="BodyText"/>
        <w:spacing w:line="232" w:lineRule="auto" w:before="4"/>
        <w:ind w:left="435" w:right="707" w:hanging="11"/>
        <w:jc w:val="both"/>
      </w:pPr>
      <w:r>
        <w:rPr>
          <w:color w:val="363436"/>
          <w:w w:val="110"/>
        </w:rPr>
        <w:t>element is the most important part of the citation for a reader who is actu­</w:t>
      </w:r>
      <w:r>
        <w:rPr>
          <w:color w:val="363436"/>
          <w:spacing w:val="1"/>
          <w:w w:val="110"/>
        </w:rPr>
        <w:t> </w:t>
      </w:r>
      <w:r>
        <w:rPr>
          <w:color w:val="363436"/>
          <w:spacing w:val="-1"/>
          <w:w w:val="110"/>
        </w:rPr>
        <w:t>ally</w:t>
      </w:r>
      <w:r>
        <w:rPr>
          <w:color w:val="363436"/>
          <w:spacing w:val="-16"/>
          <w:w w:val="110"/>
        </w:rPr>
        <w:t> </w:t>
      </w:r>
      <w:r>
        <w:rPr>
          <w:color w:val="363436"/>
          <w:spacing w:val="-1"/>
          <w:w w:val="110"/>
        </w:rPr>
        <w:t>looking</w:t>
      </w:r>
      <w:r>
        <w:rPr>
          <w:color w:val="363436"/>
          <w:spacing w:val="-6"/>
          <w:w w:val="110"/>
        </w:rPr>
        <w:t> </w:t>
      </w:r>
      <w:r>
        <w:rPr>
          <w:color w:val="363436"/>
          <w:spacing w:val="-1"/>
          <w:w w:val="110"/>
        </w:rPr>
        <w:t>up</w:t>
      </w:r>
      <w:r>
        <w:rPr>
          <w:color w:val="363436"/>
          <w:spacing w:val="-5"/>
          <w:w w:val="110"/>
        </w:rPr>
        <w:t> </w:t>
      </w:r>
      <w:r>
        <w:rPr>
          <w:color w:val="363436"/>
          <w:w w:val="110"/>
        </w:rPr>
        <w:t>a</w:t>
      </w:r>
      <w:r>
        <w:rPr>
          <w:color w:val="363436"/>
          <w:spacing w:val="-1"/>
          <w:w w:val="110"/>
        </w:rPr>
        <w:t> </w:t>
      </w:r>
      <w:r>
        <w:rPr>
          <w:color w:val="363436"/>
          <w:w w:val="110"/>
        </w:rPr>
        <w:t>case</w:t>
      </w:r>
      <w:r>
        <w:rPr>
          <w:color w:val="363436"/>
          <w:spacing w:val="-16"/>
          <w:w w:val="110"/>
        </w:rPr>
        <w:t> </w:t>
      </w:r>
      <w:r>
        <w:rPr>
          <w:color w:val="363436"/>
          <w:w w:val="110"/>
        </w:rPr>
        <w:t>that</w:t>
      </w:r>
      <w:r>
        <w:rPr>
          <w:color w:val="363436"/>
          <w:spacing w:val="-9"/>
          <w:w w:val="110"/>
        </w:rPr>
        <w:t> </w:t>
      </w:r>
      <w:r>
        <w:rPr>
          <w:color w:val="363436"/>
          <w:w w:val="110"/>
        </w:rPr>
        <w:t>you've</w:t>
      </w:r>
      <w:r>
        <w:rPr>
          <w:color w:val="363436"/>
          <w:spacing w:val="-16"/>
          <w:w w:val="110"/>
        </w:rPr>
        <w:t> </w:t>
      </w:r>
      <w:r>
        <w:rPr>
          <w:color w:val="363436"/>
          <w:w w:val="110"/>
        </w:rPr>
        <w:t>cited.</w:t>
      </w:r>
      <w:r>
        <w:rPr>
          <w:color w:val="363436"/>
          <w:spacing w:val="-19"/>
          <w:w w:val="110"/>
        </w:rPr>
        <w:t> </w:t>
      </w:r>
      <w:r>
        <w:rPr>
          <w:color w:val="363436"/>
          <w:w w:val="110"/>
        </w:rPr>
        <w:t>Provide</w:t>
      </w:r>
      <w:r>
        <w:rPr>
          <w:color w:val="363436"/>
          <w:spacing w:val="-12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12"/>
          <w:w w:val="110"/>
        </w:rPr>
        <w:t> </w:t>
      </w:r>
      <w:r>
        <w:rPr>
          <w:color w:val="363436"/>
          <w:w w:val="110"/>
        </w:rPr>
        <w:t>volume</w:t>
      </w:r>
      <w:r>
        <w:rPr>
          <w:color w:val="363436"/>
          <w:spacing w:val="-17"/>
          <w:w w:val="110"/>
        </w:rPr>
        <w:t> </w:t>
      </w:r>
      <w:r>
        <w:rPr>
          <w:color w:val="363436"/>
          <w:w w:val="110"/>
        </w:rPr>
        <w:t>of</w:t>
      </w:r>
      <w:r>
        <w:rPr>
          <w:color w:val="363436"/>
          <w:spacing w:val="-4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27"/>
          <w:w w:val="110"/>
        </w:rPr>
        <w:t> </w:t>
      </w:r>
      <w:r>
        <w:rPr>
          <w:color w:val="363436"/>
          <w:w w:val="110"/>
        </w:rPr>
        <w:t>reporter,</w:t>
      </w:r>
      <w:r>
        <w:rPr>
          <w:color w:val="363436"/>
          <w:spacing w:val="-61"/>
          <w:w w:val="110"/>
        </w:rPr>
        <w:t> </w:t>
      </w:r>
      <w:r>
        <w:rPr>
          <w:color w:val="363436"/>
          <w:spacing w:val="-1"/>
          <w:w w:val="110"/>
        </w:rPr>
        <w:t>the</w:t>
      </w:r>
      <w:r>
        <w:rPr>
          <w:color w:val="363436"/>
          <w:spacing w:val="-39"/>
          <w:w w:val="110"/>
        </w:rPr>
        <w:t> </w:t>
      </w:r>
      <w:r>
        <w:rPr>
          <w:color w:val="363436"/>
          <w:spacing w:val="-1"/>
          <w:w w:val="110"/>
        </w:rPr>
        <w:t>designated</w:t>
      </w:r>
      <w:r>
        <w:rPr>
          <w:color w:val="363436"/>
          <w:spacing w:val="5"/>
          <w:w w:val="110"/>
        </w:rPr>
        <w:t> </w:t>
      </w:r>
      <w:r>
        <w:rPr>
          <w:color w:val="363436"/>
          <w:w w:val="110"/>
        </w:rPr>
        <w:t>reporter</w:t>
      </w:r>
      <w:r>
        <w:rPr>
          <w:color w:val="363436"/>
          <w:spacing w:val="-28"/>
          <w:w w:val="110"/>
        </w:rPr>
        <w:t> </w:t>
      </w:r>
      <w:r>
        <w:rPr>
          <w:color w:val="363436"/>
          <w:w w:val="110"/>
        </w:rPr>
        <w:t>abbreviation,</w:t>
      </w:r>
      <w:r>
        <w:rPr>
          <w:color w:val="363436"/>
          <w:spacing w:val="-14"/>
          <w:w w:val="110"/>
        </w:rPr>
        <w:t> </w:t>
      </w:r>
      <w:r>
        <w:rPr>
          <w:color w:val="363436"/>
          <w:w w:val="110"/>
        </w:rPr>
        <w:t>and</w:t>
      </w:r>
      <w:r>
        <w:rPr>
          <w:color w:val="363436"/>
          <w:spacing w:val="10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6"/>
          <w:w w:val="110"/>
        </w:rPr>
        <w:t> </w:t>
      </w:r>
      <w:r>
        <w:rPr>
          <w:color w:val="363436"/>
          <w:w w:val="110"/>
        </w:rPr>
        <w:t>pageon</w:t>
      </w:r>
      <w:r>
        <w:rPr>
          <w:color w:val="363436"/>
          <w:spacing w:val="4"/>
          <w:w w:val="110"/>
        </w:rPr>
        <w:t> </w:t>
      </w:r>
      <w:r>
        <w:rPr>
          <w:color w:val="363436"/>
          <w:w w:val="110"/>
        </w:rPr>
        <w:t>which</w:t>
      </w:r>
      <w:r>
        <w:rPr>
          <w:color w:val="363436"/>
          <w:spacing w:val="-17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-11"/>
          <w:w w:val="110"/>
        </w:rPr>
        <w:t> </w:t>
      </w:r>
      <w:r>
        <w:rPr>
          <w:color w:val="363436"/>
          <w:w w:val="110"/>
        </w:rPr>
        <w:t>case</w:t>
      </w:r>
      <w:r>
        <w:rPr>
          <w:color w:val="363436"/>
          <w:spacing w:val="-24"/>
          <w:w w:val="110"/>
        </w:rPr>
        <w:t> </w:t>
      </w:r>
      <w:r>
        <w:rPr>
          <w:color w:val="363436"/>
          <w:w w:val="110"/>
        </w:rPr>
        <w:t>begins.</w:t>
      </w:r>
    </w:p>
    <w:p>
      <w:pPr>
        <w:pStyle w:val="ListParagraph"/>
        <w:numPr>
          <w:ilvl w:val="0"/>
          <w:numId w:val="123"/>
        </w:numPr>
        <w:tabs>
          <w:tab w:pos="1130" w:val="left" w:leader="none"/>
        </w:tabs>
        <w:spacing w:line="230" w:lineRule="auto" w:before="3" w:after="0"/>
        <w:ind w:left="432" w:right="707" w:firstLine="348"/>
        <w:jc w:val="left"/>
        <w:rPr>
          <w:color w:val="363436"/>
          <w:sz w:val="23"/>
        </w:rPr>
      </w:pPr>
      <w:r>
        <w:rPr>
          <w:b/>
          <w:color w:val="363436"/>
          <w:w w:val="110"/>
          <w:sz w:val="23"/>
        </w:rPr>
        <w:t>The</w:t>
      </w:r>
      <w:r>
        <w:rPr>
          <w:b/>
          <w:color w:val="363436"/>
          <w:spacing w:val="1"/>
          <w:w w:val="110"/>
          <w:sz w:val="23"/>
        </w:rPr>
        <w:t> </w:t>
      </w:r>
      <w:r>
        <w:rPr>
          <w:b/>
          <w:color w:val="363436"/>
          <w:w w:val="110"/>
          <w:sz w:val="23"/>
        </w:rPr>
        <w:t>pinpoint</w:t>
      </w:r>
      <w:r>
        <w:rPr>
          <w:b/>
          <w:color w:val="363436"/>
          <w:spacing w:val="1"/>
          <w:w w:val="110"/>
          <w:sz w:val="23"/>
        </w:rPr>
        <w:t> </w:t>
      </w:r>
      <w:r>
        <w:rPr>
          <w:b/>
          <w:color w:val="363436"/>
          <w:w w:val="110"/>
          <w:sz w:val="23"/>
        </w:rPr>
        <w:t>citation.</w:t>
      </w:r>
      <w:r>
        <w:rPr>
          <w:b/>
          <w:color w:val="363436"/>
          <w:spacing w:val="1"/>
          <w:w w:val="110"/>
          <w:sz w:val="23"/>
        </w:rPr>
        <w:t> </w:t>
      </w:r>
      <w:r>
        <w:rPr>
          <w:color w:val="363436"/>
          <w:w w:val="110"/>
          <w:sz w:val="23"/>
        </w:rPr>
        <w:t>With every</w:t>
      </w:r>
      <w:r>
        <w:rPr>
          <w:color w:val="363436"/>
          <w:spacing w:val="1"/>
          <w:w w:val="110"/>
          <w:sz w:val="23"/>
        </w:rPr>
        <w:t> </w:t>
      </w:r>
      <w:r>
        <w:rPr>
          <w:color w:val="363436"/>
          <w:w w:val="110"/>
          <w:sz w:val="23"/>
        </w:rPr>
        <w:t>cite,</w:t>
      </w:r>
      <w:r>
        <w:rPr>
          <w:color w:val="363436"/>
          <w:spacing w:val="1"/>
          <w:w w:val="110"/>
          <w:sz w:val="23"/>
        </w:rPr>
        <w:t> </w:t>
      </w:r>
      <w:r>
        <w:rPr>
          <w:color w:val="363436"/>
          <w:w w:val="110"/>
          <w:sz w:val="23"/>
        </w:rPr>
        <w:t>you should</w:t>
      </w:r>
      <w:r>
        <w:rPr>
          <w:color w:val="363436"/>
          <w:spacing w:val="1"/>
          <w:w w:val="110"/>
          <w:sz w:val="23"/>
        </w:rPr>
        <w:t> </w:t>
      </w:r>
      <w:r>
        <w:rPr>
          <w:color w:val="363436"/>
          <w:w w:val="110"/>
          <w:sz w:val="23"/>
        </w:rPr>
        <w:t>include</w:t>
      </w:r>
      <w:r>
        <w:rPr>
          <w:color w:val="363436"/>
          <w:spacing w:val="1"/>
          <w:w w:val="110"/>
          <w:sz w:val="23"/>
        </w:rPr>
        <w:t> </w:t>
      </w:r>
      <w:r>
        <w:rPr>
          <w:color w:val="363436"/>
          <w:w w:val="110"/>
          <w:sz w:val="23"/>
        </w:rPr>
        <w:t>the</w:t>
      </w:r>
      <w:r>
        <w:rPr>
          <w:color w:val="363436"/>
          <w:spacing w:val="-61"/>
          <w:w w:val="110"/>
          <w:sz w:val="23"/>
        </w:rPr>
        <w:t> </w:t>
      </w:r>
      <w:r>
        <w:rPr>
          <w:color w:val="363436"/>
          <w:w w:val="110"/>
          <w:sz w:val="23"/>
        </w:rPr>
        <w:t>specific</w:t>
      </w:r>
      <w:r>
        <w:rPr>
          <w:color w:val="363436"/>
          <w:spacing w:val="43"/>
          <w:w w:val="110"/>
          <w:sz w:val="23"/>
        </w:rPr>
        <w:t> </w:t>
      </w:r>
      <w:r>
        <w:rPr>
          <w:color w:val="363436"/>
          <w:w w:val="110"/>
          <w:sz w:val="23"/>
        </w:rPr>
        <w:t>page</w:t>
      </w:r>
      <w:r>
        <w:rPr>
          <w:color w:val="363436"/>
          <w:spacing w:val="43"/>
          <w:w w:val="110"/>
          <w:sz w:val="23"/>
        </w:rPr>
        <w:t> </w:t>
      </w:r>
      <w:r>
        <w:rPr>
          <w:color w:val="363436"/>
          <w:w w:val="110"/>
          <w:sz w:val="23"/>
        </w:rPr>
        <w:t>to</w:t>
      </w:r>
      <w:r>
        <w:rPr>
          <w:color w:val="363436"/>
          <w:spacing w:val="5"/>
          <w:w w:val="110"/>
          <w:sz w:val="23"/>
        </w:rPr>
        <w:t> </w:t>
      </w:r>
      <w:r>
        <w:rPr>
          <w:color w:val="363436"/>
          <w:w w:val="110"/>
          <w:sz w:val="23"/>
        </w:rPr>
        <w:t>which</w:t>
      </w:r>
      <w:r>
        <w:rPr>
          <w:color w:val="363436"/>
          <w:spacing w:val="51"/>
          <w:w w:val="110"/>
          <w:sz w:val="23"/>
        </w:rPr>
        <w:t> </w:t>
      </w:r>
      <w:r>
        <w:rPr>
          <w:color w:val="363436"/>
          <w:w w:val="110"/>
          <w:sz w:val="23"/>
        </w:rPr>
        <w:t>you</w:t>
      </w:r>
      <w:r>
        <w:rPr>
          <w:color w:val="363436"/>
          <w:spacing w:val="42"/>
          <w:w w:val="110"/>
          <w:sz w:val="23"/>
        </w:rPr>
        <w:t> </w:t>
      </w:r>
      <w:r>
        <w:rPr>
          <w:color w:val="363436"/>
          <w:w w:val="110"/>
          <w:sz w:val="23"/>
        </w:rPr>
        <w:t>are</w:t>
      </w:r>
      <w:r>
        <w:rPr>
          <w:color w:val="363436"/>
          <w:spacing w:val="37"/>
          <w:w w:val="110"/>
          <w:sz w:val="23"/>
        </w:rPr>
        <w:t> </w:t>
      </w:r>
      <w:r>
        <w:rPr>
          <w:color w:val="363436"/>
          <w:w w:val="110"/>
          <w:sz w:val="23"/>
        </w:rPr>
        <w:t>citing</w:t>
      </w:r>
      <w:r>
        <w:rPr>
          <w:color w:val="363436"/>
          <w:spacing w:val="51"/>
          <w:w w:val="110"/>
          <w:sz w:val="23"/>
        </w:rPr>
        <w:t> </w:t>
      </w:r>
      <w:r>
        <w:rPr>
          <w:color w:val="363436"/>
          <w:w w:val="110"/>
          <w:sz w:val="23"/>
        </w:rPr>
        <w:t>("pinpoint</w:t>
      </w:r>
      <w:r>
        <w:rPr>
          <w:color w:val="363436"/>
          <w:spacing w:val="53"/>
          <w:w w:val="110"/>
          <w:sz w:val="23"/>
        </w:rPr>
        <w:t> </w:t>
      </w:r>
      <w:r>
        <w:rPr>
          <w:color w:val="363436"/>
          <w:w w:val="110"/>
          <w:sz w:val="23"/>
        </w:rPr>
        <w:t>cite").</w:t>
      </w:r>
      <w:r>
        <w:rPr>
          <w:color w:val="363436"/>
          <w:spacing w:val="43"/>
          <w:w w:val="110"/>
          <w:sz w:val="23"/>
        </w:rPr>
        <w:t> </w:t>
      </w:r>
      <w:r>
        <w:rPr>
          <w:color w:val="363436"/>
          <w:w w:val="110"/>
          <w:sz w:val="23"/>
        </w:rPr>
        <w:t>Although</w:t>
      </w:r>
      <w:r>
        <w:rPr>
          <w:color w:val="363436"/>
          <w:spacing w:val="3"/>
          <w:w w:val="110"/>
          <w:sz w:val="23"/>
        </w:rPr>
        <w:t> </w:t>
      </w:r>
      <w:r>
        <w:rPr>
          <w:color w:val="363436"/>
          <w:w w:val="110"/>
          <w:sz w:val="23"/>
        </w:rPr>
        <w:t>it</w:t>
      </w:r>
      <w:r>
        <w:rPr>
          <w:color w:val="363436"/>
          <w:spacing w:val="3"/>
          <w:w w:val="110"/>
          <w:sz w:val="23"/>
        </w:rPr>
        <w:t> </w:t>
      </w:r>
      <w:r>
        <w:rPr>
          <w:color w:val="363436"/>
          <w:w w:val="110"/>
          <w:sz w:val="23"/>
        </w:rPr>
        <w:t>is</w:t>
      </w:r>
      <w:r>
        <w:rPr>
          <w:color w:val="363436"/>
          <w:spacing w:val="-61"/>
          <w:w w:val="110"/>
          <w:sz w:val="23"/>
        </w:rPr>
        <w:t> </w:t>
      </w:r>
      <w:r>
        <w:rPr>
          <w:color w:val="363436"/>
          <w:w w:val="110"/>
          <w:sz w:val="23"/>
        </w:rPr>
        <w:t>tempting</w:t>
      </w:r>
      <w:r>
        <w:rPr>
          <w:color w:val="363436"/>
          <w:spacing w:val="1"/>
          <w:w w:val="110"/>
          <w:sz w:val="23"/>
        </w:rPr>
        <w:t> </w:t>
      </w:r>
      <w:r>
        <w:rPr>
          <w:color w:val="363436"/>
          <w:w w:val="110"/>
          <w:sz w:val="23"/>
        </w:rPr>
        <w:t>not</w:t>
      </w:r>
      <w:r>
        <w:rPr>
          <w:color w:val="363436"/>
          <w:spacing w:val="1"/>
          <w:w w:val="110"/>
          <w:sz w:val="23"/>
        </w:rPr>
        <w:t> </w:t>
      </w:r>
      <w:r>
        <w:rPr>
          <w:color w:val="363436"/>
          <w:w w:val="110"/>
          <w:sz w:val="23"/>
        </w:rPr>
        <w:t>to</w:t>
      </w:r>
      <w:r>
        <w:rPr>
          <w:color w:val="363436"/>
          <w:spacing w:val="1"/>
          <w:w w:val="110"/>
          <w:sz w:val="23"/>
        </w:rPr>
        <w:t> </w:t>
      </w:r>
      <w:r>
        <w:rPr>
          <w:color w:val="363436"/>
          <w:w w:val="110"/>
          <w:sz w:val="23"/>
        </w:rPr>
        <w:t>bother with</w:t>
      </w:r>
      <w:r>
        <w:rPr>
          <w:color w:val="363436"/>
          <w:spacing w:val="1"/>
          <w:w w:val="110"/>
          <w:sz w:val="23"/>
        </w:rPr>
        <w:t> </w:t>
      </w:r>
      <w:r>
        <w:rPr>
          <w:color w:val="363436"/>
          <w:w w:val="110"/>
          <w:sz w:val="23"/>
        </w:rPr>
        <w:t>the</w:t>
      </w:r>
      <w:r>
        <w:rPr>
          <w:color w:val="363436"/>
          <w:spacing w:val="1"/>
          <w:w w:val="110"/>
          <w:sz w:val="23"/>
        </w:rPr>
        <w:t> </w:t>
      </w:r>
      <w:r>
        <w:rPr>
          <w:color w:val="363436"/>
          <w:w w:val="110"/>
          <w:sz w:val="23"/>
        </w:rPr>
        <w:t>pinpoint</w:t>
      </w:r>
      <w:r>
        <w:rPr>
          <w:color w:val="363436"/>
          <w:spacing w:val="1"/>
          <w:w w:val="110"/>
          <w:sz w:val="23"/>
        </w:rPr>
        <w:t> </w:t>
      </w:r>
      <w:r>
        <w:rPr>
          <w:color w:val="363436"/>
          <w:w w:val="110"/>
          <w:sz w:val="23"/>
        </w:rPr>
        <w:t>cite, you may be frustrating or</w:t>
      </w:r>
      <w:r>
        <w:rPr>
          <w:color w:val="363436"/>
          <w:spacing w:val="-61"/>
          <w:w w:val="110"/>
          <w:sz w:val="23"/>
        </w:rPr>
        <w:t> </w:t>
      </w:r>
      <w:r>
        <w:rPr>
          <w:color w:val="363436"/>
          <w:w w:val="110"/>
          <w:sz w:val="23"/>
        </w:rPr>
        <w:t>angering a busy clerk </w:t>
      </w:r>
      <w:r>
        <w:rPr>
          <w:color w:val="363436"/>
          <w:w w:val="110"/>
          <w:sz w:val="24"/>
        </w:rPr>
        <w:t>if </w:t>
      </w:r>
      <w:r>
        <w:rPr>
          <w:color w:val="363436"/>
          <w:w w:val="110"/>
          <w:sz w:val="23"/>
        </w:rPr>
        <w:t>you leave it out. Some writers tell themselves tha</w:t>
      </w:r>
      <w:r>
        <w:rPr>
          <w:color w:val="363436"/>
          <w:spacing w:val="1"/>
          <w:w w:val="110"/>
          <w:sz w:val="23"/>
        </w:rPr>
        <w:t> </w:t>
      </w:r>
      <w:r>
        <w:rPr>
          <w:color w:val="363436"/>
          <w:w w:val="110"/>
          <w:sz w:val="23"/>
        </w:rPr>
        <w:t>pinpoints</w:t>
      </w:r>
      <w:r>
        <w:rPr>
          <w:color w:val="363436"/>
          <w:spacing w:val="10"/>
          <w:w w:val="110"/>
          <w:sz w:val="23"/>
        </w:rPr>
        <w:t> </w:t>
      </w:r>
      <w:r>
        <w:rPr>
          <w:color w:val="363436"/>
          <w:w w:val="110"/>
          <w:sz w:val="23"/>
        </w:rPr>
        <w:t>are</w:t>
      </w:r>
      <w:r>
        <w:rPr>
          <w:color w:val="363436"/>
          <w:spacing w:val="19"/>
          <w:w w:val="110"/>
          <w:sz w:val="23"/>
        </w:rPr>
        <w:t> </w:t>
      </w:r>
      <w:r>
        <w:rPr>
          <w:color w:val="363436"/>
          <w:w w:val="110"/>
          <w:sz w:val="23"/>
        </w:rPr>
        <w:t>unnecessary</w:t>
      </w:r>
      <w:r>
        <w:rPr>
          <w:color w:val="363436"/>
          <w:spacing w:val="13"/>
          <w:w w:val="110"/>
          <w:sz w:val="23"/>
        </w:rPr>
        <w:t> </w:t>
      </w:r>
      <w:r>
        <w:rPr>
          <w:color w:val="363436"/>
          <w:w w:val="110"/>
          <w:sz w:val="23"/>
        </w:rPr>
        <w:t>because</w:t>
      </w:r>
      <w:r>
        <w:rPr>
          <w:color w:val="363436"/>
          <w:spacing w:val="14"/>
          <w:w w:val="110"/>
          <w:sz w:val="23"/>
        </w:rPr>
        <w:t> </w:t>
      </w:r>
      <w:r>
        <w:rPr>
          <w:color w:val="363436"/>
          <w:w w:val="110"/>
          <w:sz w:val="23"/>
        </w:rPr>
        <w:t>they</w:t>
      </w:r>
      <w:r>
        <w:rPr>
          <w:color w:val="363436"/>
          <w:spacing w:val="-1"/>
          <w:w w:val="110"/>
          <w:sz w:val="23"/>
        </w:rPr>
        <w:t> </w:t>
      </w:r>
      <w:r>
        <w:rPr>
          <w:color w:val="363436"/>
          <w:w w:val="110"/>
          <w:sz w:val="23"/>
        </w:rPr>
        <w:t>are</w:t>
      </w:r>
      <w:r>
        <w:rPr>
          <w:color w:val="363436"/>
          <w:spacing w:val="14"/>
          <w:w w:val="110"/>
          <w:sz w:val="23"/>
        </w:rPr>
        <w:t> </w:t>
      </w:r>
      <w:r>
        <w:rPr>
          <w:color w:val="363436"/>
          <w:w w:val="110"/>
          <w:sz w:val="23"/>
        </w:rPr>
        <w:t>just</w:t>
      </w:r>
      <w:r>
        <w:rPr>
          <w:color w:val="363436"/>
          <w:spacing w:val="1"/>
          <w:w w:val="110"/>
          <w:sz w:val="23"/>
        </w:rPr>
        <w:t> </w:t>
      </w:r>
      <w:r>
        <w:rPr>
          <w:color w:val="363436"/>
          <w:w w:val="110"/>
          <w:sz w:val="23"/>
        </w:rPr>
        <w:t>citing</w:t>
      </w:r>
      <w:r>
        <w:rPr>
          <w:color w:val="363436"/>
          <w:spacing w:val="5"/>
          <w:w w:val="110"/>
          <w:sz w:val="23"/>
        </w:rPr>
        <w:t> </w:t>
      </w:r>
      <w:r>
        <w:rPr>
          <w:color w:val="363436"/>
          <w:w w:val="110"/>
          <w:sz w:val="23"/>
        </w:rPr>
        <w:t>to</w:t>
      </w:r>
      <w:r>
        <w:rPr>
          <w:color w:val="363436"/>
          <w:spacing w:val="15"/>
          <w:w w:val="110"/>
          <w:sz w:val="23"/>
        </w:rPr>
        <w:t> </w:t>
      </w:r>
      <w:r>
        <w:rPr>
          <w:color w:val="363436"/>
          <w:w w:val="110"/>
          <w:sz w:val="23"/>
        </w:rPr>
        <w:t>the</w:t>
      </w:r>
      <w:r>
        <w:rPr>
          <w:color w:val="363436"/>
          <w:spacing w:val="28"/>
          <w:w w:val="110"/>
          <w:sz w:val="23"/>
        </w:rPr>
        <w:t> </w:t>
      </w:r>
      <w:r>
        <w:rPr>
          <w:color w:val="363436"/>
          <w:w w:val="110"/>
          <w:sz w:val="23"/>
        </w:rPr>
        <w:t>case</w:t>
      </w:r>
      <w:r>
        <w:rPr>
          <w:color w:val="363436"/>
          <w:spacing w:val="-6"/>
          <w:w w:val="110"/>
          <w:sz w:val="23"/>
        </w:rPr>
        <w:t> </w:t>
      </w:r>
      <w:r>
        <w:rPr>
          <w:color w:val="363436"/>
          <w:w w:val="110"/>
          <w:sz w:val="23"/>
        </w:rPr>
        <w:t>"gene1</w:t>
      </w:r>
    </w:p>
    <w:p>
      <w:pPr>
        <w:pStyle w:val="BodyText"/>
        <w:spacing w:line="284" w:lineRule="exact"/>
        <w:ind w:left="435"/>
        <w:jc w:val="both"/>
        <w:rPr>
          <w:sz w:val="37"/>
        </w:rPr>
      </w:pPr>
      <w:r>
        <w:rPr>
          <w:color w:val="363436"/>
          <w:w w:val="110"/>
        </w:rPr>
        <w:t>ally."</w:t>
      </w:r>
      <w:r>
        <w:rPr>
          <w:color w:val="363436"/>
          <w:spacing w:val="-33"/>
          <w:w w:val="110"/>
        </w:rPr>
        <w:t> </w:t>
      </w:r>
      <w:r>
        <w:rPr>
          <w:color w:val="363436"/>
          <w:w w:val="110"/>
        </w:rPr>
        <w:t>This</w:t>
      </w:r>
      <w:r>
        <w:rPr>
          <w:color w:val="363436"/>
          <w:spacing w:val="-27"/>
          <w:w w:val="110"/>
        </w:rPr>
        <w:t> </w:t>
      </w:r>
      <w:r>
        <w:rPr>
          <w:color w:val="363436"/>
          <w:w w:val="110"/>
        </w:rPr>
        <w:t>excuse</w:t>
      </w:r>
      <w:r>
        <w:rPr>
          <w:color w:val="363436"/>
          <w:spacing w:val="-1"/>
          <w:w w:val="110"/>
        </w:rPr>
        <w:t> </w:t>
      </w:r>
      <w:r>
        <w:rPr>
          <w:color w:val="363436"/>
          <w:w w:val="110"/>
        </w:rPr>
        <w:t>is</w:t>
      </w:r>
      <w:r>
        <w:rPr>
          <w:color w:val="363436"/>
          <w:spacing w:val="-2"/>
          <w:w w:val="110"/>
        </w:rPr>
        <w:t> </w:t>
      </w:r>
      <w:r>
        <w:rPr>
          <w:color w:val="363436"/>
          <w:w w:val="110"/>
        </w:rPr>
        <w:t>usually</w:t>
      </w:r>
      <w:r>
        <w:rPr>
          <w:color w:val="363436"/>
          <w:spacing w:val="5"/>
          <w:w w:val="110"/>
        </w:rPr>
        <w:t> </w:t>
      </w:r>
      <w:r>
        <w:rPr>
          <w:color w:val="363436"/>
          <w:w w:val="110"/>
        </w:rPr>
        <w:t>a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cop</w:t>
      </w:r>
      <w:r>
        <w:rPr>
          <w:color w:val="363436"/>
          <w:spacing w:val="20"/>
          <w:w w:val="110"/>
        </w:rPr>
        <w:t> </w:t>
      </w:r>
      <w:r>
        <w:rPr>
          <w:color w:val="363436"/>
          <w:w w:val="110"/>
        </w:rPr>
        <w:t>out.</w:t>
      </w:r>
      <w:r>
        <w:rPr>
          <w:color w:val="363436"/>
          <w:spacing w:val="-16"/>
          <w:w w:val="110"/>
        </w:rPr>
        <w:t> </w:t>
      </w:r>
      <w:r>
        <w:rPr>
          <w:color w:val="363436"/>
          <w:w w:val="110"/>
        </w:rPr>
        <w:t>In</w:t>
      </w:r>
      <w:r>
        <w:rPr>
          <w:color w:val="363436"/>
          <w:spacing w:val="-13"/>
          <w:w w:val="110"/>
        </w:rPr>
        <w:t> </w:t>
      </w:r>
      <w:r>
        <w:rPr>
          <w:color w:val="363436"/>
          <w:w w:val="110"/>
        </w:rPr>
        <w:t>almost</w:t>
      </w:r>
      <w:r>
        <w:rPr>
          <w:color w:val="363436"/>
          <w:spacing w:val="3"/>
          <w:w w:val="110"/>
        </w:rPr>
        <w:t> </w:t>
      </w:r>
      <w:r>
        <w:rPr>
          <w:color w:val="363436"/>
          <w:w w:val="110"/>
        </w:rPr>
        <w:t>every</w:t>
      </w:r>
      <w:r>
        <w:rPr>
          <w:color w:val="363436"/>
          <w:spacing w:val="-4"/>
          <w:w w:val="110"/>
        </w:rPr>
        <w:t> </w:t>
      </w:r>
      <w:r>
        <w:rPr>
          <w:color w:val="363436"/>
          <w:w w:val="110"/>
        </w:rPr>
        <w:t>situation,</w:t>
      </w:r>
      <w:r>
        <w:rPr>
          <w:color w:val="363436"/>
          <w:spacing w:val="-6"/>
          <w:w w:val="110"/>
        </w:rPr>
        <w:t> </w:t>
      </w:r>
      <w:r>
        <w:rPr>
          <w:color w:val="363436"/>
          <w:w w:val="110"/>
        </w:rPr>
        <w:t>you</w:t>
      </w:r>
      <w:r>
        <w:rPr>
          <w:color w:val="363436"/>
          <w:spacing w:val="-10"/>
          <w:w w:val="110"/>
        </w:rPr>
        <w:t> </w:t>
      </w:r>
      <w:r>
        <w:rPr>
          <w:color w:val="363436"/>
          <w:w w:val="110"/>
        </w:rPr>
        <w:t>are</w:t>
      </w:r>
      <w:r>
        <w:rPr>
          <w:color w:val="363436"/>
          <w:spacing w:val="-16"/>
          <w:w w:val="110"/>
        </w:rPr>
        <w:t> </w:t>
      </w:r>
      <w:r>
        <w:rPr>
          <w:color w:val="363436"/>
          <w:w w:val="110"/>
          <w:sz w:val="37"/>
        </w:rPr>
        <w:t>J</w:t>
      </w:r>
    </w:p>
    <w:p>
      <w:pPr>
        <w:pStyle w:val="BodyText"/>
        <w:spacing w:line="240" w:lineRule="exact"/>
        <w:ind w:left="446"/>
        <w:jc w:val="both"/>
      </w:pPr>
      <w:r>
        <w:rPr>
          <w:color w:val="363436"/>
          <w:w w:val="110"/>
        </w:rPr>
        <w:t>least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citing</w:t>
      </w:r>
      <w:r>
        <w:rPr>
          <w:color w:val="363436"/>
          <w:spacing w:val="-13"/>
          <w:w w:val="110"/>
        </w:rPr>
        <w:t> </w:t>
      </w:r>
      <w:r>
        <w:rPr>
          <w:color w:val="363436"/>
          <w:w w:val="110"/>
        </w:rPr>
        <w:t>to</w:t>
      </w:r>
      <w:r>
        <w:rPr>
          <w:color w:val="363436"/>
          <w:spacing w:val="34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11"/>
          <w:w w:val="110"/>
        </w:rPr>
        <w:t> </w:t>
      </w:r>
      <w:r>
        <w:rPr>
          <w:color w:val="363436"/>
          <w:w w:val="110"/>
        </w:rPr>
        <w:t>case's</w:t>
      </w:r>
      <w:r>
        <w:rPr>
          <w:color w:val="363436"/>
          <w:spacing w:val="13"/>
          <w:w w:val="110"/>
        </w:rPr>
        <w:t> </w:t>
      </w:r>
      <w:r>
        <w:rPr>
          <w:color w:val="363436"/>
          <w:w w:val="110"/>
        </w:rPr>
        <w:t>holding.</w:t>
      </w:r>
      <w:r>
        <w:rPr>
          <w:color w:val="363436"/>
          <w:spacing w:val="-13"/>
          <w:w w:val="110"/>
        </w:rPr>
        <w:t> </w:t>
      </w:r>
      <w:r>
        <w:rPr>
          <w:color w:val="363436"/>
          <w:w w:val="110"/>
        </w:rPr>
        <w:t>Make</w:t>
      </w:r>
      <w:r>
        <w:rPr>
          <w:color w:val="363436"/>
          <w:spacing w:val="17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49"/>
          <w:w w:val="110"/>
        </w:rPr>
        <w:t> </w:t>
      </w:r>
      <w:r>
        <w:rPr>
          <w:color w:val="363436"/>
          <w:w w:val="110"/>
        </w:rPr>
        <w:t>clerk's</w:t>
      </w:r>
      <w:r>
        <w:rPr>
          <w:color w:val="363436"/>
          <w:spacing w:val="11"/>
          <w:w w:val="110"/>
        </w:rPr>
        <w:t> </w:t>
      </w:r>
      <w:r>
        <w:rPr>
          <w:color w:val="363436"/>
          <w:w w:val="110"/>
        </w:rPr>
        <w:t>life</w:t>
      </w:r>
      <w:r>
        <w:rPr>
          <w:color w:val="363436"/>
          <w:spacing w:val="-14"/>
          <w:w w:val="110"/>
        </w:rPr>
        <w:t> </w:t>
      </w:r>
      <w:r>
        <w:rPr>
          <w:color w:val="363436"/>
          <w:w w:val="110"/>
        </w:rPr>
        <w:t>easier-and</w:t>
      </w:r>
      <w:r>
        <w:rPr>
          <w:color w:val="363436"/>
          <w:spacing w:val="32"/>
          <w:w w:val="110"/>
        </w:rPr>
        <w:t> </w:t>
      </w:r>
      <w:r>
        <w:rPr>
          <w:color w:val="363436"/>
          <w:w w:val="110"/>
        </w:rPr>
        <w:t>increase</w:t>
      </w:r>
    </w:p>
    <w:p>
      <w:pPr>
        <w:pStyle w:val="BodyText"/>
        <w:spacing w:line="235" w:lineRule="auto" w:before="2"/>
        <w:ind w:left="444" w:right="699" w:hanging="4"/>
        <w:jc w:val="both"/>
      </w:pPr>
      <w:r>
        <w:rPr>
          <w:color w:val="363436"/>
          <w:w w:val="120"/>
        </w:rPr>
        <w:t>the chance that the judge will understand that the case stands for the</w:t>
      </w:r>
      <w:r>
        <w:rPr>
          <w:color w:val="363436"/>
          <w:spacing w:val="-66"/>
          <w:w w:val="120"/>
        </w:rPr>
        <w:t> </w:t>
      </w:r>
      <w:r>
        <w:rPr>
          <w:color w:val="363436"/>
          <w:w w:val="120"/>
        </w:rPr>
        <w:t>point</w:t>
      </w:r>
      <w:r>
        <w:rPr>
          <w:color w:val="363436"/>
          <w:spacing w:val="-8"/>
          <w:w w:val="120"/>
        </w:rPr>
        <w:t> </w:t>
      </w:r>
      <w:r>
        <w:rPr>
          <w:color w:val="363436"/>
          <w:w w:val="120"/>
        </w:rPr>
        <w:t>you</w:t>
      </w:r>
      <w:r>
        <w:rPr>
          <w:color w:val="363436"/>
          <w:spacing w:val="-12"/>
          <w:w w:val="120"/>
        </w:rPr>
        <w:t> </w:t>
      </w:r>
      <w:r>
        <w:rPr>
          <w:color w:val="363436"/>
          <w:w w:val="120"/>
        </w:rPr>
        <w:t>say</w:t>
      </w:r>
      <w:r>
        <w:rPr>
          <w:color w:val="363436"/>
          <w:spacing w:val="-13"/>
          <w:w w:val="120"/>
        </w:rPr>
        <w:t> </w:t>
      </w:r>
      <w:r>
        <w:rPr>
          <w:color w:val="363436"/>
          <w:w w:val="120"/>
        </w:rPr>
        <w:t>it</w:t>
      </w:r>
      <w:r>
        <w:rPr>
          <w:color w:val="363436"/>
          <w:spacing w:val="2"/>
          <w:w w:val="120"/>
        </w:rPr>
        <w:t> </w:t>
      </w:r>
      <w:r>
        <w:rPr>
          <w:color w:val="363436"/>
          <w:w w:val="120"/>
        </w:rPr>
        <w:t>does-by</w:t>
      </w:r>
      <w:r>
        <w:rPr>
          <w:color w:val="363436"/>
          <w:spacing w:val="-13"/>
          <w:w w:val="120"/>
        </w:rPr>
        <w:t> </w:t>
      </w:r>
      <w:r>
        <w:rPr>
          <w:color w:val="363436"/>
          <w:w w:val="120"/>
        </w:rPr>
        <w:t>providing</w:t>
      </w:r>
      <w:r>
        <w:rPr>
          <w:color w:val="363436"/>
          <w:spacing w:val="-3"/>
          <w:w w:val="120"/>
        </w:rPr>
        <w:t> </w:t>
      </w:r>
      <w:r>
        <w:rPr>
          <w:color w:val="363436"/>
          <w:w w:val="120"/>
        </w:rPr>
        <w:t>pinpoints</w:t>
      </w:r>
      <w:r>
        <w:rPr>
          <w:color w:val="363436"/>
          <w:spacing w:val="-12"/>
          <w:w w:val="120"/>
        </w:rPr>
        <w:t> </w:t>
      </w:r>
      <w:r>
        <w:rPr>
          <w:color w:val="363436"/>
          <w:w w:val="120"/>
        </w:rPr>
        <w:t>that</w:t>
      </w:r>
      <w:r>
        <w:rPr>
          <w:color w:val="363436"/>
          <w:spacing w:val="-11"/>
          <w:w w:val="120"/>
        </w:rPr>
        <w:t> </w:t>
      </w:r>
      <w:r>
        <w:rPr>
          <w:color w:val="363436"/>
          <w:w w:val="120"/>
        </w:rPr>
        <w:t>take</w:t>
      </w:r>
      <w:r>
        <w:rPr>
          <w:color w:val="363436"/>
          <w:spacing w:val="-11"/>
          <w:w w:val="120"/>
        </w:rPr>
        <w:t> </w:t>
      </w:r>
      <w:r>
        <w:rPr>
          <w:color w:val="363436"/>
          <w:w w:val="120"/>
        </w:rPr>
        <w:t>the clerk</w:t>
      </w:r>
      <w:r>
        <w:rPr>
          <w:color w:val="363436"/>
          <w:spacing w:val="-8"/>
          <w:w w:val="120"/>
        </w:rPr>
        <w:t> </w:t>
      </w:r>
      <w:r>
        <w:rPr>
          <w:color w:val="363436"/>
          <w:w w:val="120"/>
        </w:rPr>
        <w:t>to</w:t>
      </w:r>
      <w:r>
        <w:rPr>
          <w:color w:val="363436"/>
          <w:spacing w:val="4"/>
          <w:w w:val="120"/>
        </w:rPr>
        <w:t> </w:t>
      </w:r>
      <w:r>
        <w:rPr>
          <w:color w:val="363436"/>
          <w:w w:val="120"/>
        </w:rPr>
        <w:t>the</w:t>
      </w:r>
      <w:r>
        <w:rPr>
          <w:color w:val="363436"/>
          <w:spacing w:val="-67"/>
          <w:w w:val="120"/>
        </w:rPr>
        <w:t> </w:t>
      </w:r>
      <w:r>
        <w:rPr>
          <w:color w:val="363436"/>
          <w:w w:val="110"/>
        </w:rPr>
        <w:t>parts</w:t>
      </w:r>
      <w:r>
        <w:rPr>
          <w:color w:val="363436"/>
          <w:spacing w:val="-23"/>
          <w:w w:val="110"/>
        </w:rPr>
        <w:t> </w:t>
      </w:r>
      <w:r>
        <w:rPr>
          <w:color w:val="363436"/>
          <w:w w:val="110"/>
        </w:rPr>
        <w:t>of</w:t>
      </w:r>
      <w:r>
        <w:rPr>
          <w:color w:val="363436"/>
          <w:spacing w:val="4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32"/>
          <w:w w:val="110"/>
        </w:rPr>
        <w:t> </w:t>
      </w:r>
      <w:r>
        <w:rPr>
          <w:color w:val="363436"/>
          <w:w w:val="110"/>
        </w:rPr>
        <w:t>case</w:t>
      </w:r>
      <w:r>
        <w:rPr>
          <w:color w:val="363436"/>
          <w:spacing w:val="-16"/>
          <w:w w:val="110"/>
        </w:rPr>
        <w:t> </w:t>
      </w:r>
      <w:r>
        <w:rPr>
          <w:color w:val="363436"/>
          <w:w w:val="110"/>
        </w:rPr>
        <w:t>that</w:t>
      </w:r>
      <w:r>
        <w:rPr>
          <w:color w:val="363436"/>
          <w:spacing w:val="4"/>
          <w:w w:val="110"/>
        </w:rPr>
        <w:t> </w:t>
      </w:r>
      <w:r>
        <w:rPr>
          <w:color w:val="363436"/>
          <w:w w:val="110"/>
        </w:rPr>
        <w:t>prove</w:t>
      </w:r>
      <w:r>
        <w:rPr>
          <w:color w:val="363436"/>
          <w:spacing w:val="-12"/>
          <w:w w:val="110"/>
        </w:rPr>
        <w:t> </w:t>
      </w:r>
      <w:r>
        <w:rPr>
          <w:color w:val="363436"/>
          <w:w w:val="110"/>
        </w:rPr>
        <w:t>your</w:t>
      </w:r>
      <w:r>
        <w:rPr>
          <w:color w:val="363436"/>
          <w:spacing w:val="-2"/>
          <w:w w:val="110"/>
        </w:rPr>
        <w:t> </w:t>
      </w:r>
      <w:r>
        <w:rPr>
          <w:color w:val="363436"/>
          <w:w w:val="110"/>
        </w:rPr>
        <w:t>argument.</w:t>
      </w:r>
    </w:p>
    <w:p>
      <w:pPr>
        <w:pStyle w:val="BodyText"/>
        <w:ind w:left="445" w:right="660" w:firstLine="331"/>
        <w:jc w:val="both"/>
      </w:pPr>
      <w:r>
        <w:rPr>
          <w:color w:val="363436"/>
          <w:w w:val="110"/>
        </w:rPr>
        <w:t>Some</w:t>
      </w:r>
      <w:r>
        <w:rPr>
          <w:color w:val="363436"/>
          <w:spacing w:val="-23"/>
          <w:w w:val="110"/>
        </w:rPr>
        <w:t> </w:t>
      </w:r>
      <w:r>
        <w:rPr>
          <w:color w:val="363436"/>
          <w:w w:val="110"/>
        </w:rPr>
        <w:t>local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rules</w:t>
      </w:r>
      <w:r>
        <w:rPr>
          <w:color w:val="363436"/>
          <w:spacing w:val="-4"/>
          <w:w w:val="110"/>
        </w:rPr>
        <w:t> </w:t>
      </w:r>
      <w:r>
        <w:rPr>
          <w:color w:val="363436"/>
          <w:w w:val="110"/>
        </w:rPr>
        <w:t>will</w:t>
      </w:r>
      <w:r>
        <w:rPr>
          <w:color w:val="363436"/>
          <w:spacing w:val="-13"/>
          <w:w w:val="110"/>
        </w:rPr>
        <w:t> </w:t>
      </w:r>
      <w:r>
        <w:rPr>
          <w:color w:val="363436"/>
          <w:w w:val="110"/>
        </w:rPr>
        <w:t>will</w:t>
      </w:r>
      <w:r>
        <w:rPr>
          <w:color w:val="363436"/>
          <w:spacing w:val="-1"/>
          <w:w w:val="110"/>
        </w:rPr>
        <w:t> </w:t>
      </w:r>
      <w:r>
        <w:rPr>
          <w:color w:val="363436"/>
          <w:w w:val="110"/>
        </w:rPr>
        <w:t>require</w:t>
      </w:r>
      <w:r>
        <w:rPr>
          <w:color w:val="363436"/>
          <w:spacing w:val="-9"/>
          <w:w w:val="110"/>
        </w:rPr>
        <w:t> </w:t>
      </w:r>
      <w:r>
        <w:rPr>
          <w:color w:val="363436"/>
          <w:w w:val="110"/>
        </w:rPr>
        <w:t>you</w:t>
      </w:r>
      <w:r>
        <w:rPr>
          <w:color w:val="363436"/>
          <w:spacing w:val="3"/>
          <w:w w:val="110"/>
        </w:rPr>
        <w:t> </w:t>
      </w:r>
      <w:r>
        <w:rPr>
          <w:color w:val="363436"/>
          <w:w w:val="110"/>
        </w:rPr>
        <w:t>to</w:t>
      </w:r>
      <w:r>
        <w:rPr>
          <w:color w:val="363436"/>
          <w:spacing w:val="28"/>
          <w:w w:val="110"/>
        </w:rPr>
        <w:t> </w:t>
      </w:r>
      <w:r>
        <w:rPr>
          <w:color w:val="363436"/>
          <w:w w:val="110"/>
        </w:rPr>
        <w:t>provide</w:t>
      </w:r>
      <w:r>
        <w:rPr>
          <w:color w:val="363436"/>
          <w:spacing w:val="-9"/>
          <w:w w:val="110"/>
        </w:rPr>
        <w:t> </w:t>
      </w:r>
      <w:r>
        <w:rPr>
          <w:color w:val="363436"/>
          <w:w w:val="110"/>
        </w:rPr>
        <w:t>"parallel</w:t>
      </w:r>
      <w:r>
        <w:rPr>
          <w:color w:val="363436"/>
          <w:spacing w:val="-17"/>
          <w:w w:val="110"/>
        </w:rPr>
        <w:t> </w:t>
      </w:r>
      <w:r>
        <w:rPr>
          <w:color w:val="363436"/>
          <w:w w:val="110"/>
        </w:rPr>
        <w:t>cites,"</w:t>
      </w:r>
      <w:r>
        <w:rPr>
          <w:color w:val="363436"/>
          <w:spacing w:val="-14"/>
          <w:w w:val="110"/>
        </w:rPr>
        <w:t> </w:t>
      </w:r>
      <w:r>
        <w:rPr>
          <w:color w:val="363436"/>
          <w:w w:val="110"/>
        </w:rPr>
        <w:t>that</w:t>
      </w:r>
      <w:r>
        <w:rPr>
          <w:color w:val="363436"/>
          <w:spacing w:val="-1"/>
          <w:w w:val="110"/>
        </w:rPr>
        <w:t> </w:t>
      </w:r>
      <w:r>
        <w:rPr>
          <w:color w:val="363436"/>
          <w:w w:val="110"/>
        </w:rPr>
        <w:t>is,</w:t>
      </w:r>
      <w:r>
        <w:rPr>
          <w:color w:val="363436"/>
          <w:spacing w:val="-61"/>
          <w:w w:val="110"/>
        </w:rPr>
        <w:t> </w:t>
      </w:r>
      <w:r>
        <w:rPr>
          <w:color w:val="363436"/>
          <w:w w:val="110"/>
        </w:rPr>
        <w:t>citations to two different reporters that contain the same case. Although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providing parallel citations is not  fun  for the  writer, take it seriously if </w:t>
      </w:r>
      <w:r>
        <w:rPr>
          <w:color w:val="363436"/>
          <w:w w:val="110"/>
          <w:sz w:val="22"/>
        </w:rPr>
        <w:t>it</w:t>
      </w:r>
      <w:r>
        <w:rPr>
          <w:color w:val="363436"/>
          <w:spacing w:val="1"/>
          <w:w w:val="110"/>
          <w:sz w:val="22"/>
        </w:rPr>
        <w:t> </w:t>
      </w:r>
      <w:r>
        <w:rPr>
          <w:color w:val="363436"/>
          <w:w w:val="110"/>
        </w:rPr>
        <w:t>is</w:t>
      </w:r>
      <w:r>
        <w:rPr>
          <w:color w:val="363436"/>
          <w:spacing w:val="-34"/>
          <w:w w:val="110"/>
        </w:rPr>
        <w:t> </w:t>
      </w:r>
      <w:r>
        <w:rPr>
          <w:color w:val="363436"/>
          <w:w w:val="110"/>
        </w:rPr>
        <w:t>required.</w:t>
      </w:r>
    </w:p>
    <w:p>
      <w:pPr>
        <w:pStyle w:val="ListParagraph"/>
        <w:numPr>
          <w:ilvl w:val="0"/>
          <w:numId w:val="123"/>
        </w:numPr>
        <w:tabs>
          <w:tab w:pos="1122" w:val="left" w:leader="none"/>
        </w:tabs>
        <w:spacing w:line="232" w:lineRule="auto" w:before="0" w:after="0"/>
        <w:ind w:left="445" w:right="565" w:firstLine="345"/>
        <w:jc w:val="both"/>
        <w:rPr>
          <w:color w:val="363436"/>
          <w:sz w:val="23"/>
        </w:rPr>
      </w:pPr>
      <w:r>
        <w:rPr>
          <w:color w:val="363436"/>
          <w:w w:val="115"/>
          <w:sz w:val="23"/>
        </w:rPr>
        <w:t>The year of decision. This element is the simplest: put the year of</w:t>
      </w:r>
      <w:r>
        <w:rPr>
          <w:color w:val="363436"/>
          <w:spacing w:val="1"/>
          <w:w w:val="115"/>
          <w:sz w:val="23"/>
        </w:rPr>
        <w:t> </w:t>
      </w:r>
      <w:r>
        <w:rPr>
          <w:color w:val="363436"/>
          <w:w w:val="110"/>
          <w:sz w:val="23"/>
        </w:rPr>
        <w:t>the decision into parentheses. Even readers who aren't fussy about minor</w:t>
      </w:r>
      <w:r>
        <w:rPr>
          <w:color w:val="363436"/>
          <w:spacing w:val="1"/>
          <w:w w:val="110"/>
          <w:sz w:val="23"/>
        </w:rPr>
        <w:t> </w:t>
      </w:r>
      <w:r>
        <w:rPr>
          <w:color w:val="363436"/>
          <w:w w:val="115"/>
          <w:sz w:val="23"/>
        </w:rPr>
        <w:t>citation form errors care deeply when you leave the date of decision out</w:t>
      </w:r>
      <w:r>
        <w:rPr>
          <w:color w:val="363436"/>
          <w:spacing w:val="1"/>
          <w:w w:val="115"/>
          <w:sz w:val="23"/>
        </w:rPr>
        <w:t> </w:t>
      </w:r>
      <w:r>
        <w:rPr>
          <w:color w:val="363436"/>
          <w:w w:val="110"/>
          <w:sz w:val="23"/>
        </w:rPr>
        <w:t>of a long-form citation. Because the</w:t>
      </w:r>
      <w:r>
        <w:rPr>
          <w:color w:val="363436"/>
          <w:spacing w:val="1"/>
          <w:w w:val="110"/>
          <w:sz w:val="23"/>
        </w:rPr>
        <w:t> </w:t>
      </w:r>
      <w:r>
        <w:rPr>
          <w:color w:val="363436"/>
          <w:w w:val="110"/>
          <w:sz w:val="23"/>
        </w:rPr>
        <w:t>date of a decision affects its current</w:t>
      </w:r>
      <w:r>
        <w:rPr>
          <w:color w:val="363436"/>
          <w:spacing w:val="1"/>
          <w:w w:val="110"/>
          <w:sz w:val="23"/>
        </w:rPr>
        <w:t> </w:t>
      </w:r>
      <w:r>
        <w:rPr>
          <w:color w:val="363436"/>
          <w:w w:val="115"/>
          <w:sz w:val="23"/>
        </w:rPr>
        <w:t>validity, readers always want to know the year in which authority cases</w:t>
      </w:r>
      <w:r>
        <w:rPr>
          <w:color w:val="363436"/>
          <w:spacing w:val="1"/>
          <w:w w:val="115"/>
          <w:sz w:val="23"/>
        </w:rPr>
        <w:t> </w:t>
      </w:r>
      <w:r>
        <w:rPr>
          <w:color w:val="363436"/>
          <w:w w:val="115"/>
          <w:sz w:val="23"/>
        </w:rPr>
        <w:t>were</w:t>
      </w:r>
      <w:r>
        <w:rPr>
          <w:color w:val="363436"/>
          <w:spacing w:val="-34"/>
          <w:w w:val="115"/>
          <w:sz w:val="23"/>
        </w:rPr>
        <w:t> </w:t>
      </w:r>
      <w:r>
        <w:rPr>
          <w:color w:val="363436"/>
          <w:w w:val="115"/>
          <w:sz w:val="23"/>
        </w:rPr>
        <w:t>decided</w:t>
      </w:r>
      <w:r>
        <w:rPr>
          <w:color w:val="5B5B5D"/>
          <w:w w:val="115"/>
          <w:sz w:val="23"/>
        </w:rPr>
        <w:t>.</w:t>
      </w:r>
      <w:r>
        <w:rPr>
          <w:color w:val="5B5B5D"/>
          <w:spacing w:val="-23"/>
          <w:w w:val="115"/>
          <w:sz w:val="23"/>
        </w:rPr>
        <w:t> </w:t>
      </w:r>
      <w:r>
        <w:rPr>
          <w:color w:val="363436"/>
          <w:w w:val="115"/>
          <w:sz w:val="23"/>
        </w:rPr>
        <w:t>Note</w:t>
      </w:r>
      <w:r>
        <w:rPr>
          <w:color w:val="363436"/>
          <w:spacing w:val="-28"/>
          <w:w w:val="115"/>
          <w:sz w:val="23"/>
        </w:rPr>
        <w:t> </w:t>
      </w:r>
      <w:r>
        <w:rPr>
          <w:color w:val="363436"/>
          <w:w w:val="115"/>
          <w:sz w:val="23"/>
        </w:rPr>
        <w:t>that</w:t>
      </w:r>
      <w:r>
        <w:rPr>
          <w:color w:val="363436"/>
          <w:spacing w:val="-19"/>
          <w:w w:val="115"/>
          <w:sz w:val="23"/>
        </w:rPr>
        <w:t> </w:t>
      </w:r>
      <w:r>
        <w:rPr>
          <w:color w:val="363436"/>
          <w:w w:val="115"/>
          <w:sz w:val="23"/>
        </w:rPr>
        <w:t>forsome</w:t>
      </w:r>
      <w:r>
        <w:rPr>
          <w:color w:val="363436"/>
          <w:spacing w:val="-29"/>
          <w:w w:val="115"/>
          <w:sz w:val="23"/>
        </w:rPr>
        <w:t> </w:t>
      </w:r>
      <w:r>
        <w:rPr>
          <w:color w:val="363436"/>
          <w:w w:val="115"/>
          <w:sz w:val="23"/>
        </w:rPr>
        <w:t>non-standard</w:t>
      </w:r>
      <w:r>
        <w:rPr>
          <w:color w:val="363436"/>
          <w:spacing w:val="-5"/>
          <w:w w:val="115"/>
          <w:sz w:val="23"/>
        </w:rPr>
        <w:t> </w:t>
      </w:r>
      <w:r>
        <w:rPr>
          <w:color w:val="363436"/>
          <w:w w:val="115"/>
          <w:sz w:val="23"/>
        </w:rPr>
        <w:t>citations</w:t>
      </w:r>
      <w:r>
        <w:rPr>
          <w:color w:val="363436"/>
          <w:spacing w:val="-25"/>
          <w:w w:val="115"/>
          <w:sz w:val="23"/>
        </w:rPr>
        <w:t> </w:t>
      </w:r>
      <w:r>
        <w:rPr>
          <w:color w:val="363436"/>
          <w:w w:val="115"/>
          <w:sz w:val="23"/>
        </w:rPr>
        <w:t>(e.g.,</w:t>
      </w:r>
      <w:r>
        <w:rPr>
          <w:color w:val="363436"/>
          <w:spacing w:val="-3"/>
          <w:w w:val="115"/>
          <w:sz w:val="23"/>
        </w:rPr>
        <w:t> </w:t>
      </w:r>
      <w:r>
        <w:rPr>
          <w:color w:val="363436"/>
          <w:w w:val="115"/>
          <w:sz w:val="23"/>
        </w:rPr>
        <w:t>to</w:t>
      </w:r>
      <w:r>
        <w:rPr>
          <w:color w:val="363436"/>
          <w:spacing w:val="2"/>
          <w:w w:val="115"/>
          <w:sz w:val="23"/>
        </w:rPr>
        <w:t> </w:t>
      </w:r>
      <w:r>
        <w:rPr>
          <w:color w:val="363436"/>
          <w:w w:val="115"/>
          <w:sz w:val="23"/>
        </w:rPr>
        <w:t>slip</w:t>
      </w:r>
      <w:r>
        <w:rPr>
          <w:color w:val="363436"/>
          <w:spacing w:val="-32"/>
          <w:w w:val="115"/>
          <w:sz w:val="23"/>
        </w:rPr>
        <w:t> </w:t>
      </w:r>
      <w:r>
        <w:rPr>
          <w:color w:val="363436"/>
          <w:w w:val="115"/>
          <w:sz w:val="23"/>
        </w:rPr>
        <w:t>opin­</w:t>
      </w:r>
      <w:r>
        <w:rPr>
          <w:color w:val="363436"/>
          <w:spacing w:val="1"/>
          <w:w w:val="115"/>
          <w:sz w:val="23"/>
        </w:rPr>
        <w:t> </w:t>
      </w:r>
      <w:r>
        <w:rPr>
          <w:color w:val="363436"/>
          <w:w w:val="110"/>
          <w:sz w:val="23"/>
        </w:rPr>
        <w:t>ions), you  may  need to include not  just the  year, but the  month and day</w:t>
      </w:r>
      <w:r>
        <w:rPr>
          <w:color w:val="363436"/>
          <w:spacing w:val="1"/>
          <w:w w:val="110"/>
          <w:sz w:val="23"/>
        </w:rPr>
        <w:t> </w:t>
      </w:r>
      <w:r>
        <w:rPr>
          <w:color w:val="363436"/>
          <w:w w:val="115"/>
          <w:sz w:val="23"/>
        </w:rPr>
        <w:t>of</w:t>
      </w:r>
      <w:r>
        <w:rPr>
          <w:color w:val="363436"/>
          <w:spacing w:val="5"/>
          <w:w w:val="115"/>
          <w:sz w:val="23"/>
        </w:rPr>
        <w:t> </w:t>
      </w:r>
      <w:r>
        <w:rPr>
          <w:color w:val="363436"/>
          <w:w w:val="115"/>
          <w:sz w:val="23"/>
        </w:rPr>
        <w:t>the</w:t>
      </w:r>
      <w:r>
        <w:rPr>
          <w:color w:val="363436"/>
          <w:spacing w:val="43"/>
          <w:w w:val="115"/>
          <w:sz w:val="23"/>
        </w:rPr>
        <w:t> </w:t>
      </w:r>
      <w:r>
        <w:rPr>
          <w:color w:val="363436"/>
          <w:w w:val="115"/>
          <w:sz w:val="23"/>
        </w:rPr>
        <w:t>decision</w:t>
      </w:r>
      <w:r>
        <w:rPr>
          <w:color w:val="363436"/>
          <w:spacing w:val="-7"/>
          <w:w w:val="115"/>
          <w:sz w:val="23"/>
        </w:rPr>
        <w:t> </w:t>
      </w:r>
      <w:r>
        <w:rPr>
          <w:color w:val="363436"/>
          <w:w w:val="115"/>
          <w:sz w:val="23"/>
        </w:rPr>
        <w:t>as</w:t>
      </w:r>
      <w:r>
        <w:rPr>
          <w:color w:val="363436"/>
          <w:spacing w:val="-6"/>
          <w:w w:val="115"/>
          <w:sz w:val="23"/>
        </w:rPr>
        <w:t> </w:t>
      </w:r>
      <w:r>
        <w:rPr>
          <w:color w:val="363436"/>
          <w:w w:val="115"/>
          <w:sz w:val="23"/>
        </w:rPr>
        <w:t>well.</w:t>
      </w:r>
    </w:p>
    <w:p>
      <w:pPr>
        <w:pStyle w:val="ListParagraph"/>
        <w:numPr>
          <w:ilvl w:val="0"/>
          <w:numId w:val="123"/>
        </w:numPr>
        <w:tabs>
          <w:tab w:pos="1135" w:val="left" w:leader="none"/>
        </w:tabs>
        <w:spacing w:line="235" w:lineRule="auto" w:before="0" w:after="0"/>
        <w:ind w:left="451" w:right="597" w:firstLine="348"/>
        <w:jc w:val="both"/>
        <w:rPr>
          <w:color w:val="363436"/>
          <w:sz w:val="23"/>
        </w:rPr>
      </w:pPr>
      <w:r>
        <w:rPr>
          <w:color w:val="363436"/>
          <w:w w:val="115"/>
          <w:sz w:val="23"/>
        </w:rPr>
        <w:t>Which court decided the case. It is even more important for the</w:t>
      </w:r>
      <w:r>
        <w:rPr>
          <w:color w:val="363436"/>
          <w:spacing w:val="1"/>
          <w:w w:val="115"/>
          <w:sz w:val="23"/>
        </w:rPr>
        <w:t> </w:t>
      </w:r>
      <w:r>
        <w:rPr>
          <w:color w:val="363436"/>
          <w:w w:val="110"/>
          <w:sz w:val="23"/>
        </w:rPr>
        <w:t>reader</w:t>
      </w:r>
      <w:r>
        <w:rPr>
          <w:color w:val="363436"/>
          <w:spacing w:val="-3"/>
          <w:w w:val="110"/>
          <w:sz w:val="23"/>
        </w:rPr>
        <w:t> </w:t>
      </w:r>
      <w:r>
        <w:rPr>
          <w:color w:val="363436"/>
          <w:w w:val="110"/>
          <w:sz w:val="23"/>
        </w:rPr>
        <w:t>to</w:t>
      </w:r>
      <w:r>
        <w:rPr>
          <w:color w:val="363436"/>
          <w:spacing w:val="39"/>
          <w:w w:val="110"/>
          <w:sz w:val="23"/>
        </w:rPr>
        <w:t> </w:t>
      </w:r>
      <w:r>
        <w:rPr>
          <w:color w:val="363436"/>
          <w:w w:val="110"/>
          <w:sz w:val="23"/>
        </w:rPr>
        <w:t>know</w:t>
      </w:r>
      <w:r>
        <w:rPr>
          <w:color w:val="363436"/>
          <w:spacing w:val="-8"/>
          <w:w w:val="110"/>
          <w:sz w:val="23"/>
        </w:rPr>
        <w:t> </w:t>
      </w:r>
      <w:r>
        <w:rPr>
          <w:color w:val="363436"/>
          <w:w w:val="110"/>
          <w:sz w:val="23"/>
        </w:rPr>
        <w:t>the</w:t>
      </w:r>
      <w:r>
        <w:rPr>
          <w:color w:val="363436"/>
          <w:spacing w:val="34"/>
          <w:w w:val="110"/>
          <w:sz w:val="23"/>
        </w:rPr>
        <w:t> </w:t>
      </w:r>
      <w:r>
        <w:rPr>
          <w:color w:val="363436"/>
          <w:w w:val="110"/>
          <w:sz w:val="23"/>
        </w:rPr>
        <w:t>deciding</w:t>
      </w:r>
      <w:r>
        <w:rPr>
          <w:color w:val="363436"/>
          <w:spacing w:val="-18"/>
          <w:w w:val="110"/>
          <w:sz w:val="23"/>
        </w:rPr>
        <w:t> </w:t>
      </w:r>
      <w:r>
        <w:rPr>
          <w:color w:val="363436"/>
          <w:w w:val="110"/>
          <w:sz w:val="23"/>
        </w:rPr>
        <w:t>court</w:t>
      </w:r>
      <w:r>
        <w:rPr>
          <w:color w:val="363436"/>
          <w:spacing w:val="2"/>
          <w:w w:val="110"/>
          <w:sz w:val="23"/>
        </w:rPr>
        <w:t> </w:t>
      </w:r>
      <w:r>
        <w:rPr>
          <w:color w:val="363436"/>
          <w:w w:val="110"/>
          <w:sz w:val="23"/>
        </w:rPr>
        <w:t>than to</w:t>
      </w:r>
      <w:r>
        <w:rPr>
          <w:color w:val="363436"/>
          <w:spacing w:val="-8"/>
          <w:w w:val="110"/>
          <w:sz w:val="23"/>
        </w:rPr>
        <w:t> </w:t>
      </w:r>
      <w:r>
        <w:rPr>
          <w:color w:val="363436"/>
          <w:w w:val="110"/>
          <w:sz w:val="23"/>
        </w:rPr>
        <w:t>know</w:t>
      </w:r>
      <w:r>
        <w:rPr>
          <w:color w:val="363436"/>
          <w:spacing w:val="-8"/>
          <w:w w:val="110"/>
          <w:sz w:val="23"/>
        </w:rPr>
        <w:t> </w:t>
      </w:r>
      <w:r>
        <w:rPr>
          <w:color w:val="363436"/>
          <w:w w:val="110"/>
          <w:sz w:val="23"/>
        </w:rPr>
        <w:t>the</w:t>
      </w:r>
      <w:r>
        <w:rPr>
          <w:color w:val="363436"/>
          <w:spacing w:val="23"/>
          <w:w w:val="110"/>
          <w:sz w:val="23"/>
        </w:rPr>
        <w:t> </w:t>
      </w:r>
      <w:r>
        <w:rPr>
          <w:color w:val="363436"/>
          <w:w w:val="110"/>
          <w:sz w:val="23"/>
        </w:rPr>
        <w:t>year</w:t>
      </w:r>
      <w:r>
        <w:rPr>
          <w:color w:val="363436"/>
          <w:spacing w:val="-16"/>
          <w:w w:val="110"/>
          <w:sz w:val="23"/>
        </w:rPr>
        <w:t> </w:t>
      </w:r>
      <w:r>
        <w:rPr>
          <w:color w:val="363436"/>
          <w:w w:val="110"/>
          <w:sz w:val="23"/>
        </w:rPr>
        <w:t>of</w:t>
      </w:r>
      <w:r>
        <w:rPr>
          <w:color w:val="363436"/>
          <w:spacing w:val="10"/>
          <w:w w:val="110"/>
          <w:sz w:val="23"/>
        </w:rPr>
        <w:t> </w:t>
      </w:r>
      <w:r>
        <w:rPr>
          <w:color w:val="363436"/>
          <w:w w:val="110"/>
          <w:sz w:val="23"/>
        </w:rPr>
        <w:t>decision.</w:t>
      </w:r>
      <w:r>
        <w:rPr>
          <w:color w:val="363436"/>
          <w:spacing w:val="-11"/>
          <w:w w:val="110"/>
          <w:sz w:val="23"/>
        </w:rPr>
        <w:t> </w:t>
      </w:r>
      <w:r>
        <w:rPr>
          <w:color w:val="363436"/>
          <w:w w:val="110"/>
          <w:sz w:val="23"/>
        </w:rPr>
        <w:t>If</w:t>
      </w:r>
      <w:r>
        <w:rPr>
          <w:color w:val="363436"/>
          <w:spacing w:val="12"/>
          <w:w w:val="110"/>
          <w:sz w:val="23"/>
        </w:rPr>
        <w:t> </w:t>
      </w:r>
      <w:r>
        <w:rPr>
          <w:color w:val="363436"/>
          <w:w w:val="110"/>
          <w:sz w:val="23"/>
        </w:rPr>
        <w:t>the</w:t>
      </w:r>
    </w:p>
    <w:p>
      <w:pPr>
        <w:spacing w:after="0" w:line="235" w:lineRule="auto"/>
        <w:jc w:val="both"/>
        <w:rPr>
          <w:sz w:val="23"/>
        </w:rPr>
        <w:sectPr>
          <w:headerReference w:type="default" r:id="rId371"/>
          <w:pgSz w:w="9610" w:h="14000"/>
          <w:pgMar w:header="0" w:footer="0" w:top="0" w:bottom="280" w:left="0" w:right="900"/>
        </w:sectPr>
      </w:pPr>
    </w:p>
    <w:p>
      <w:pPr>
        <w:pStyle w:val="BodyText"/>
        <w:spacing w:line="232" w:lineRule="auto" w:before="87"/>
        <w:ind w:left="531" w:right="109" w:firstLine="16"/>
        <w:jc w:val="both"/>
      </w:pPr>
      <w:r>
        <w:rPr>
          <w:color w:val="383638"/>
          <w:w w:val="110"/>
        </w:rPr>
        <w:t>reporter title conveys this information "unambiguously," you don't need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  include this information elsewhere within the citation. For example,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"U.S. Reports" (abbreviated as "U.S.") publish only decisions of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United States Supreme Court, so no further information is needed</w:t>
      </w:r>
      <w:r>
        <w:rPr>
          <w:color w:val="59595B"/>
          <w:w w:val="110"/>
        </w:rPr>
        <w:t>. </w:t>
      </w:r>
      <w:r>
        <w:rPr>
          <w:color w:val="383638"/>
          <w:w w:val="110"/>
        </w:rPr>
        <w:t>On the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other hand, "F.3d," for example, publishes decisions of all of the federal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courts of appeal, so when citing to decisions in that reporter, you need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put</w:t>
      </w:r>
      <w:r>
        <w:rPr>
          <w:color w:val="383638"/>
          <w:spacing w:val="42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4"/>
          <w:w w:val="110"/>
        </w:rPr>
        <w:t> </w:t>
      </w:r>
      <w:r>
        <w:rPr>
          <w:color w:val="383638"/>
          <w:w w:val="110"/>
        </w:rPr>
        <w:t>correct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circuit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into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parentheses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with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date.</w:t>
      </w:r>
    </w:p>
    <w:p>
      <w:pPr>
        <w:pStyle w:val="BodyText"/>
        <w:spacing w:line="230" w:lineRule="auto" w:before="7"/>
        <w:ind w:left="531" w:right="113" w:firstLine="380"/>
        <w:jc w:val="both"/>
      </w:pPr>
      <w:r>
        <w:rPr>
          <w:color w:val="383638"/>
          <w:spacing w:val="-1"/>
          <w:w w:val="110"/>
        </w:rPr>
        <w:t>Knowing which court decided the case </w:t>
      </w:r>
      <w:r>
        <w:rPr>
          <w:color w:val="383638"/>
          <w:w w:val="110"/>
        </w:rPr>
        <w:t>is vital for a reader who wants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 determine whether a case is controlling. Therefore, even readers </w:t>
      </w:r>
      <w:r>
        <w:rPr>
          <w:color w:val="383638"/>
          <w:w w:val="110"/>
          <w:sz w:val="24"/>
        </w:rPr>
        <w:t>who</w:t>
      </w:r>
      <w:r>
        <w:rPr>
          <w:color w:val="383638"/>
          <w:spacing w:val="1"/>
          <w:w w:val="110"/>
          <w:sz w:val="24"/>
        </w:rPr>
        <w:t> </w:t>
      </w:r>
      <w:r>
        <w:rPr>
          <w:color w:val="383638"/>
          <w:w w:val="110"/>
        </w:rPr>
        <w:t>are not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fussy about citation form want to know which court decided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case.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Make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sure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include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this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important element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citation</w:t>
      </w:r>
    </w:p>
    <w:p>
      <w:pPr>
        <w:spacing w:line="337" w:lineRule="exact" w:before="64"/>
        <w:ind w:left="491" w:right="0" w:firstLine="0"/>
        <w:jc w:val="both"/>
        <w:rPr>
          <w:sz w:val="14"/>
        </w:rPr>
      </w:pPr>
      <w:r>
        <w:rPr>
          <w:rFonts w:ascii="Arial"/>
          <w:color w:val="757779"/>
          <w:w w:val="110"/>
          <w:sz w:val="30"/>
          <w:u w:val="thick" w:color="757779"/>
        </w:rPr>
        <w:t>-A</w:t>
      </w:r>
      <w:r>
        <w:rPr>
          <w:rFonts w:ascii="Arial"/>
          <w:color w:val="757779"/>
          <w:spacing w:val="-37"/>
          <w:w w:val="110"/>
          <w:sz w:val="30"/>
        </w:rPr>
        <w:t> </w:t>
      </w:r>
      <w:r>
        <w:rPr>
          <w:color w:val="59595B"/>
          <w:w w:val="110"/>
          <w:sz w:val="14"/>
          <w:u w:val="thick" w:color="8C8E90"/>
        </w:rPr>
        <w:t>G</w:t>
      </w:r>
      <w:r>
        <w:rPr>
          <w:color w:val="757779"/>
          <w:w w:val="110"/>
          <w:sz w:val="14"/>
          <w:u w:val="thick" w:color="8C8E90"/>
        </w:rPr>
        <w:t>OOD</w:t>
      </w:r>
      <w:r>
        <w:rPr>
          <w:color w:val="757779"/>
          <w:spacing w:val="35"/>
          <w:w w:val="110"/>
          <w:sz w:val="14"/>
          <w:u w:val="thick" w:color="8C8E90"/>
        </w:rPr>
        <w:t> </w:t>
      </w:r>
      <w:r>
        <w:rPr>
          <w:color w:val="8C8E90"/>
          <w:w w:val="110"/>
          <w:sz w:val="14"/>
          <w:u w:val="thick" w:color="8C8E90"/>
        </w:rPr>
        <w:t>EXAMl'LES</w:t>
      </w:r>
    </w:p>
    <w:p>
      <w:pPr>
        <w:spacing w:line="299" w:lineRule="exact" w:before="0"/>
        <w:ind w:left="892" w:right="0" w:firstLine="0"/>
        <w:jc w:val="left"/>
        <w:rPr>
          <w:sz w:val="20"/>
        </w:rPr>
      </w:pPr>
      <w:r>
        <w:rPr>
          <w:color w:val="383638"/>
          <w:w w:val="105"/>
          <w:sz w:val="24"/>
          <w:u w:val="thick" w:color="383638"/>
        </w:rPr>
        <w:t>Donchatz</w:t>
      </w:r>
      <w:r>
        <w:rPr>
          <w:color w:val="383638"/>
          <w:spacing w:val="7"/>
          <w:w w:val="105"/>
          <w:sz w:val="24"/>
          <w:u w:val="thick" w:color="383638"/>
        </w:rPr>
        <w:t> </w:t>
      </w:r>
      <w:r>
        <w:rPr>
          <w:color w:val="383638"/>
          <w:w w:val="105"/>
          <w:sz w:val="22"/>
          <w:u w:val="thick" w:color="383638"/>
        </w:rPr>
        <w:t>v</w:t>
      </w:r>
      <w:r>
        <w:rPr>
          <w:color w:val="59595B"/>
          <w:w w:val="105"/>
          <w:sz w:val="22"/>
          <w:u w:val="thick" w:color="383638"/>
        </w:rPr>
        <w:t>,</w:t>
      </w:r>
      <w:r>
        <w:rPr>
          <w:color w:val="59595B"/>
          <w:spacing w:val="1"/>
          <w:w w:val="105"/>
          <w:sz w:val="22"/>
          <w:u w:val="thick" w:color="383638"/>
        </w:rPr>
        <w:t> </w:t>
      </w:r>
      <w:r>
        <w:rPr>
          <w:color w:val="383638"/>
          <w:w w:val="105"/>
          <w:sz w:val="24"/>
          <w:u w:val="thick" w:color="383638"/>
        </w:rPr>
        <w:t>Com</w:t>
      </w:r>
      <w:r>
        <w:rPr>
          <w:color w:val="383638"/>
          <w:w w:val="105"/>
          <w:sz w:val="24"/>
        </w:rPr>
        <w:t>.</w:t>
      </w:r>
      <w:r>
        <w:rPr>
          <w:color w:val="383638"/>
          <w:spacing w:val="-2"/>
          <w:w w:val="105"/>
          <w:sz w:val="24"/>
        </w:rPr>
        <w:t> </w:t>
      </w:r>
      <w:r>
        <w:rPr>
          <w:color w:val="383638"/>
          <w:w w:val="105"/>
          <w:sz w:val="20"/>
        </w:rPr>
        <w:t>101</w:t>
      </w:r>
      <w:r>
        <w:rPr>
          <w:color w:val="383638"/>
          <w:spacing w:val="34"/>
          <w:w w:val="105"/>
          <w:sz w:val="20"/>
        </w:rPr>
        <w:t> </w:t>
      </w:r>
      <w:r>
        <w:rPr>
          <w:color w:val="383638"/>
          <w:w w:val="105"/>
          <w:sz w:val="30"/>
        </w:rPr>
        <w:t>u</w:t>
      </w:r>
      <w:r>
        <w:rPr>
          <w:color w:val="59595B"/>
          <w:w w:val="105"/>
          <w:sz w:val="30"/>
        </w:rPr>
        <w:t>.</w:t>
      </w:r>
      <w:r>
        <w:rPr>
          <w:color w:val="383638"/>
          <w:w w:val="105"/>
          <w:sz w:val="30"/>
        </w:rPr>
        <w:t>s.</w:t>
      </w:r>
      <w:r>
        <w:rPr>
          <w:color w:val="383638"/>
          <w:spacing w:val="-42"/>
          <w:w w:val="105"/>
          <w:sz w:val="30"/>
        </w:rPr>
        <w:t> </w:t>
      </w:r>
      <w:r>
        <w:rPr>
          <w:color w:val="383638"/>
          <w:w w:val="105"/>
          <w:sz w:val="20"/>
        </w:rPr>
        <w:t>101,</w:t>
      </w:r>
      <w:r>
        <w:rPr>
          <w:color w:val="383638"/>
          <w:spacing w:val="4"/>
          <w:w w:val="105"/>
          <w:sz w:val="20"/>
        </w:rPr>
        <w:t> </w:t>
      </w:r>
      <w:r>
        <w:rPr>
          <w:color w:val="383638"/>
          <w:w w:val="105"/>
          <w:sz w:val="20"/>
        </w:rPr>
        <w:t>105</w:t>
      </w:r>
      <w:r>
        <w:rPr>
          <w:color w:val="383638"/>
          <w:spacing w:val="16"/>
          <w:w w:val="105"/>
          <w:sz w:val="20"/>
        </w:rPr>
        <w:t> </w:t>
      </w:r>
      <w:r>
        <w:rPr>
          <w:color w:val="383638"/>
          <w:w w:val="105"/>
          <w:sz w:val="20"/>
        </w:rPr>
        <w:t>(2010).</w:t>
      </w:r>
    </w:p>
    <w:p>
      <w:pPr>
        <w:spacing w:line="232" w:lineRule="exact" w:before="0"/>
        <w:ind w:left="880" w:right="0" w:firstLine="0"/>
        <w:jc w:val="left"/>
        <w:rPr>
          <w:sz w:val="20"/>
        </w:rPr>
      </w:pPr>
      <w:r>
        <w:rPr>
          <w:color w:val="383638"/>
          <w:w w:val="110"/>
          <w:sz w:val="20"/>
          <w:u w:val="thick" w:color="383638"/>
        </w:rPr>
        <w:t>Ohio</w:t>
      </w:r>
      <w:r>
        <w:rPr>
          <w:color w:val="383638"/>
          <w:spacing w:val="5"/>
          <w:w w:val="110"/>
          <w:sz w:val="20"/>
        </w:rPr>
        <w:t> </w:t>
      </w:r>
      <w:r>
        <w:rPr>
          <w:color w:val="383638"/>
          <w:w w:val="110"/>
          <w:sz w:val="14"/>
          <w:u w:val="thick" w:color="383638"/>
        </w:rPr>
        <w:t>V</w:t>
      </w:r>
      <w:r>
        <w:rPr>
          <w:color w:val="383638"/>
          <w:w w:val="110"/>
          <w:sz w:val="14"/>
        </w:rPr>
        <w:t>,</w:t>
      </w:r>
      <w:r>
        <w:rPr>
          <w:color w:val="383638"/>
          <w:spacing w:val="14"/>
          <w:w w:val="110"/>
          <w:sz w:val="14"/>
        </w:rPr>
        <w:t> </w:t>
      </w:r>
      <w:r>
        <w:rPr>
          <w:b/>
          <w:color w:val="383638"/>
          <w:sz w:val="26"/>
          <w:u w:val="thick" w:color="383638"/>
        </w:rPr>
        <w:t>Burpee.</w:t>
      </w:r>
      <w:r>
        <w:rPr>
          <w:b/>
          <w:color w:val="383638"/>
          <w:spacing w:val="-2"/>
          <w:sz w:val="26"/>
        </w:rPr>
        <w:t> </w:t>
      </w:r>
      <w:r>
        <w:rPr>
          <w:color w:val="383638"/>
          <w:sz w:val="20"/>
        </w:rPr>
        <w:t>101  </w:t>
      </w:r>
      <w:r>
        <w:rPr>
          <w:color w:val="383638"/>
          <w:spacing w:val="6"/>
          <w:sz w:val="20"/>
        </w:rPr>
        <w:t> </w:t>
      </w:r>
      <w:r>
        <w:rPr>
          <w:color w:val="383638"/>
          <w:w w:val="110"/>
          <w:sz w:val="20"/>
        </w:rPr>
        <w:t>N.E.2d</w:t>
      </w:r>
      <w:r>
        <w:rPr>
          <w:color w:val="383638"/>
          <w:spacing w:val="6"/>
          <w:w w:val="110"/>
          <w:sz w:val="20"/>
        </w:rPr>
        <w:t> </w:t>
      </w:r>
      <w:r>
        <w:rPr>
          <w:color w:val="383638"/>
          <w:w w:val="110"/>
          <w:sz w:val="20"/>
        </w:rPr>
        <w:t>122,</w:t>
      </w:r>
      <w:r>
        <w:rPr>
          <w:color w:val="383638"/>
          <w:spacing w:val="-6"/>
          <w:w w:val="110"/>
          <w:sz w:val="20"/>
        </w:rPr>
        <w:t> </w:t>
      </w:r>
      <w:r>
        <w:rPr>
          <w:color w:val="383638"/>
          <w:w w:val="110"/>
          <w:sz w:val="20"/>
        </w:rPr>
        <w:t>128</w:t>
      </w:r>
      <w:r>
        <w:rPr>
          <w:color w:val="383638"/>
          <w:spacing w:val="5"/>
          <w:w w:val="110"/>
          <w:sz w:val="20"/>
        </w:rPr>
        <w:t> </w:t>
      </w:r>
      <w:r>
        <w:rPr>
          <w:color w:val="383638"/>
          <w:w w:val="110"/>
          <w:sz w:val="20"/>
        </w:rPr>
        <w:t>(Ohio</w:t>
      </w:r>
      <w:r>
        <w:rPr>
          <w:color w:val="383638"/>
          <w:spacing w:val="6"/>
          <w:w w:val="110"/>
          <w:sz w:val="20"/>
        </w:rPr>
        <w:t> </w:t>
      </w:r>
      <w:r>
        <w:rPr>
          <w:color w:val="383638"/>
          <w:w w:val="110"/>
          <w:sz w:val="20"/>
        </w:rPr>
        <w:t>2010).</w:t>
      </w:r>
    </w:p>
    <w:p>
      <w:pPr>
        <w:spacing w:line="270" w:lineRule="exact" w:before="0"/>
        <w:ind w:left="883" w:right="0" w:firstLine="0"/>
        <w:jc w:val="left"/>
        <w:rPr>
          <w:sz w:val="20"/>
        </w:rPr>
      </w:pPr>
      <w:r>
        <w:rPr>
          <w:color w:val="383638"/>
          <w:spacing w:val="-1"/>
          <w:w w:val="105"/>
          <w:sz w:val="26"/>
          <w:u w:val="thick" w:color="383638"/>
        </w:rPr>
        <w:t>Maloon</w:t>
      </w:r>
      <w:r>
        <w:rPr>
          <w:color w:val="383638"/>
          <w:spacing w:val="-12"/>
          <w:w w:val="105"/>
          <w:sz w:val="26"/>
          <w:u w:val="thick" w:color="383638"/>
        </w:rPr>
        <w:t> </w:t>
      </w:r>
      <w:r>
        <w:rPr>
          <w:rFonts w:ascii="Arial"/>
          <w:color w:val="383638"/>
          <w:w w:val="110"/>
          <w:sz w:val="24"/>
          <w:u w:val="thick" w:color="383638"/>
        </w:rPr>
        <w:t>v.</w:t>
      </w:r>
      <w:r>
        <w:rPr>
          <w:rFonts w:ascii="Arial"/>
          <w:color w:val="383638"/>
          <w:spacing w:val="-30"/>
          <w:w w:val="110"/>
          <w:sz w:val="24"/>
          <w:u w:val="thick" w:color="383638"/>
        </w:rPr>
        <w:t> </w:t>
      </w:r>
      <w:r>
        <w:rPr>
          <w:b/>
          <w:color w:val="383638"/>
          <w:w w:val="105"/>
          <w:sz w:val="26"/>
          <w:u w:val="thick" w:color="383638"/>
        </w:rPr>
        <w:t>Hagen.</w:t>
      </w:r>
      <w:r>
        <w:rPr>
          <w:b/>
          <w:color w:val="383638"/>
          <w:spacing w:val="-11"/>
          <w:w w:val="105"/>
          <w:sz w:val="26"/>
        </w:rPr>
        <w:t> </w:t>
      </w:r>
      <w:r>
        <w:rPr>
          <w:color w:val="383638"/>
          <w:w w:val="105"/>
          <w:sz w:val="20"/>
        </w:rPr>
        <w:t>101</w:t>
      </w:r>
      <w:r>
        <w:rPr>
          <w:color w:val="383638"/>
          <w:spacing w:val="50"/>
          <w:w w:val="105"/>
          <w:sz w:val="20"/>
        </w:rPr>
        <w:t> </w:t>
      </w:r>
      <w:r>
        <w:rPr>
          <w:color w:val="383638"/>
          <w:w w:val="110"/>
          <w:sz w:val="20"/>
        </w:rPr>
        <w:t>F.</w:t>
      </w:r>
      <w:r>
        <w:rPr>
          <w:color w:val="383638"/>
          <w:spacing w:val="-21"/>
          <w:w w:val="110"/>
          <w:sz w:val="20"/>
        </w:rPr>
        <w:t> </w:t>
      </w:r>
      <w:r>
        <w:rPr>
          <w:color w:val="383638"/>
          <w:w w:val="110"/>
          <w:sz w:val="20"/>
        </w:rPr>
        <w:t>Supp.</w:t>
      </w:r>
      <w:r>
        <w:rPr>
          <w:color w:val="383638"/>
          <w:spacing w:val="-13"/>
          <w:w w:val="110"/>
          <w:sz w:val="20"/>
        </w:rPr>
        <w:t> </w:t>
      </w:r>
      <w:r>
        <w:rPr>
          <w:color w:val="383638"/>
          <w:w w:val="110"/>
          <w:sz w:val="20"/>
        </w:rPr>
        <w:t>2d</w:t>
      </w:r>
      <w:r>
        <w:rPr>
          <w:color w:val="383638"/>
          <w:spacing w:val="-9"/>
          <w:w w:val="110"/>
          <w:sz w:val="20"/>
        </w:rPr>
        <w:t> </w:t>
      </w:r>
      <w:r>
        <w:rPr>
          <w:color w:val="383638"/>
          <w:w w:val="110"/>
          <w:sz w:val="20"/>
        </w:rPr>
        <w:t>122,</w:t>
      </w:r>
      <w:r>
        <w:rPr>
          <w:color w:val="383638"/>
          <w:spacing w:val="-22"/>
          <w:w w:val="110"/>
          <w:sz w:val="20"/>
        </w:rPr>
        <w:t> </w:t>
      </w:r>
      <w:r>
        <w:rPr>
          <w:color w:val="383638"/>
          <w:w w:val="110"/>
          <w:sz w:val="20"/>
        </w:rPr>
        <w:t>128</w:t>
      </w:r>
      <w:r>
        <w:rPr>
          <w:color w:val="383638"/>
          <w:spacing w:val="-2"/>
          <w:w w:val="110"/>
          <w:sz w:val="20"/>
        </w:rPr>
        <w:t> </w:t>
      </w:r>
      <w:r>
        <w:rPr>
          <w:color w:val="383638"/>
          <w:w w:val="110"/>
          <w:sz w:val="20"/>
        </w:rPr>
        <w:t>(N.D.</w:t>
      </w:r>
      <w:r>
        <w:rPr>
          <w:color w:val="383638"/>
          <w:spacing w:val="-15"/>
          <w:w w:val="110"/>
          <w:sz w:val="20"/>
        </w:rPr>
        <w:t> </w:t>
      </w:r>
      <w:r>
        <w:rPr>
          <w:color w:val="383638"/>
          <w:w w:val="110"/>
          <w:sz w:val="20"/>
        </w:rPr>
        <w:t>Ohio</w:t>
      </w:r>
      <w:r>
        <w:rPr>
          <w:color w:val="383638"/>
          <w:spacing w:val="-13"/>
          <w:w w:val="110"/>
          <w:sz w:val="20"/>
        </w:rPr>
        <w:t> </w:t>
      </w:r>
      <w:r>
        <w:rPr>
          <w:color w:val="383638"/>
          <w:w w:val="110"/>
          <w:sz w:val="20"/>
        </w:rPr>
        <w:t>2010).</w:t>
      </w:r>
    </w:p>
    <w:p>
      <w:pPr>
        <w:pStyle w:val="BodyText"/>
        <w:spacing w:before="9"/>
        <w:rPr>
          <w:sz w:val="31"/>
        </w:rPr>
      </w:pPr>
    </w:p>
    <w:p>
      <w:pPr>
        <w:spacing w:before="1"/>
        <w:ind w:left="855" w:right="0" w:firstLine="0"/>
        <w:jc w:val="left"/>
        <w:rPr>
          <w:sz w:val="28"/>
        </w:rPr>
      </w:pPr>
      <w:r>
        <w:rPr>
          <w:color w:val="8C8E90"/>
          <w:w w:val="115"/>
          <w:sz w:val="28"/>
        </w:rPr>
        <w:t>A.2.2</w:t>
      </w:r>
    </w:p>
    <w:p>
      <w:pPr>
        <w:spacing w:before="42"/>
        <w:ind w:left="858" w:right="0" w:firstLine="0"/>
        <w:jc w:val="left"/>
        <w:rPr>
          <w:sz w:val="23"/>
        </w:rPr>
      </w:pPr>
      <w:r>
        <w:rPr>
          <w:rFonts w:ascii="Arial"/>
          <w:color w:val="757779"/>
          <w:w w:val="105"/>
          <w:sz w:val="21"/>
        </w:rPr>
        <w:t>SHORT</w:t>
      </w:r>
      <w:r>
        <w:rPr>
          <w:rFonts w:ascii="Arial"/>
          <w:color w:val="757779"/>
          <w:spacing w:val="4"/>
          <w:w w:val="105"/>
          <w:sz w:val="21"/>
        </w:rPr>
        <w:t> </w:t>
      </w:r>
      <w:r>
        <w:rPr>
          <w:color w:val="8C8E90"/>
          <w:w w:val="105"/>
          <w:sz w:val="23"/>
        </w:rPr>
        <w:t>FORM</w:t>
      </w:r>
    </w:p>
    <w:p>
      <w:pPr>
        <w:pStyle w:val="BodyText"/>
        <w:spacing w:line="228" w:lineRule="auto" w:before="160"/>
        <w:ind w:left="484" w:right="136" w:firstLine="366"/>
        <w:jc w:val="both"/>
      </w:pP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most basic guideline is that you should omit the date and court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information</w:t>
      </w:r>
      <w:r>
        <w:rPr>
          <w:color w:val="59595B"/>
          <w:w w:val="110"/>
        </w:rPr>
        <w:t>.</w:t>
      </w:r>
      <w:r>
        <w:rPr>
          <w:color w:val="59595B"/>
          <w:spacing w:val="4"/>
          <w:w w:val="110"/>
        </w:rPr>
        <w:t> </w:t>
      </w:r>
      <w:r>
        <w:rPr>
          <w:color w:val="383638"/>
          <w:w w:val="110"/>
        </w:rPr>
        <w:t>Otherwise,</w:t>
      </w:r>
      <w:r>
        <w:rPr>
          <w:color w:val="383638"/>
          <w:spacing w:val="22"/>
          <w:w w:val="110"/>
        </w:rPr>
        <w:t> </w:t>
      </w:r>
      <w:r>
        <w:rPr>
          <w:color w:val="383638"/>
          <w:w w:val="110"/>
        </w:rPr>
        <w:t>use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short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form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depends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on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context</w:t>
      </w:r>
      <w:r>
        <w:rPr>
          <w:color w:val="59595B"/>
          <w:w w:val="110"/>
        </w:rPr>
        <w:t>.</w:t>
      </w:r>
    </w:p>
    <w:p>
      <w:pPr>
        <w:pStyle w:val="BodyText"/>
        <w:spacing w:line="230" w:lineRule="auto"/>
        <w:ind w:left="461" w:right="128" w:firstLine="390"/>
        <w:jc w:val="both"/>
      </w:pPr>
      <w:r>
        <w:rPr>
          <w:color w:val="383638"/>
          <w:sz w:val="22"/>
        </w:rPr>
        <w:t>If </w:t>
      </w:r>
      <w:r>
        <w:rPr>
          <w:color w:val="383638"/>
        </w:rPr>
        <w:t>you</w:t>
      </w:r>
      <w:r>
        <w:rPr>
          <w:color w:val="383638"/>
          <w:spacing w:val="1"/>
        </w:rPr>
        <w:t> </w:t>
      </w:r>
      <w:r>
        <w:rPr>
          <w:color w:val="383638"/>
        </w:rPr>
        <w:t>are citing again to the </w:t>
      </w:r>
      <w:r>
        <w:rPr>
          <w:i/>
          <w:color w:val="383638"/>
          <w:sz w:val="24"/>
        </w:rPr>
        <w:t>last-cited and last-mentioned </w:t>
      </w:r>
      <w:r>
        <w:rPr>
          <w:color w:val="383638"/>
        </w:rPr>
        <w:t>authority, you</w:t>
      </w:r>
      <w:r>
        <w:rPr>
          <w:color w:val="383638"/>
          <w:spacing w:val="1"/>
        </w:rPr>
        <w:t> </w:t>
      </w:r>
      <w:r>
        <w:rPr>
          <w:color w:val="383638"/>
          <w:w w:val="105"/>
        </w:rPr>
        <w:t>may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use the </w:t>
      </w:r>
      <w:r>
        <w:rPr>
          <w:rFonts w:ascii="Arial"/>
          <w:color w:val="383638"/>
          <w:w w:val="105"/>
          <w:sz w:val="24"/>
        </w:rPr>
        <w:t>id.. </w:t>
      </w:r>
      <w:r>
        <w:rPr>
          <w:color w:val="383638"/>
          <w:w w:val="105"/>
        </w:rPr>
        <w:t>form. </w:t>
      </w:r>
      <w:r>
        <w:rPr>
          <w:color w:val="383638"/>
          <w:w w:val="105"/>
          <w:u w:val="thick" w:color="383638"/>
        </w:rPr>
        <w:t>"Id</w:t>
      </w:r>
      <w:r>
        <w:rPr>
          <w:color w:val="59595B"/>
          <w:w w:val="105"/>
          <w:u w:val="thick" w:color="383638"/>
        </w:rPr>
        <w:t>.</w:t>
      </w:r>
      <w:r>
        <w:rPr>
          <w:color w:val="383638"/>
          <w:w w:val="105"/>
          <w:u w:val="thick" w:color="383638"/>
        </w:rPr>
        <w:t>"</w:t>
      </w:r>
      <w:r>
        <w:rPr>
          <w:color w:val="383638"/>
          <w:w w:val="105"/>
        </w:rPr>
        <w:t>  replaces the  name of the  case, the  volume of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the   reporter, and  the abbreviation of the  reporter</w:t>
      </w:r>
      <w:r>
        <w:rPr>
          <w:color w:val="59595B"/>
          <w:w w:val="105"/>
        </w:rPr>
        <w:t>. </w:t>
      </w:r>
      <w:r>
        <w:rPr>
          <w:color w:val="383638"/>
          <w:w w:val="105"/>
        </w:rPr>
        <w:t>Thus, if you  cited again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to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the  case of </w:t>
      </w:r>
      <w:r>
        <w:rPr>
          <w:color w:val="383638"/>
          <w:w w:val="105"/>
          <w:u w:val="thick" w:color="383638"/>
        </w:rPr>
        <w:t>Donchatz v. Corn,</w:t>
      </w:r>
      <w:r>
        <w:rPr>
          <w:color w:val="383638"/>
          <w:w w:val="105"/>
        </w:rPr>
        <w:t> you could use the following short form if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you</w:t>
      </w:r>
      <w:r>
        <w:rPr>
          <w:color w:val="383638"/>
          <w:spacing w:val="21"/>
          <w:w w:val="105"/>
        </w:rPr>
        <w:t> </w:t>
      </w:r>
      <w:r>
        <w:rPr>
          <w:color w:val="383638"/>
          <w:w w:val="105"/>
        </w:rPr>
        <w:t>were</w:t>
      </w:r>
      <w:r>
        <w:rPr>
          <w:color w:val="383638"/>
          <w:spacing w:val="-4"/>
          <w:w w:val="105"/>
        </w:rPr>
        <w:t> </w:t>
      </w:r>
      <w:r>
        <w:rPr>
          <w:color w:val="383638"/>
          <w:w w:val="105"/>
        </w:rPr>
        <w:t>citing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to</w:t>
      </w:r>
      <w:r>
        <w:rPr>
          <w:color w:val="383638"/>
          <w:spacing w:val="2"/>
          <w:w w:val="105"/>
        </w:rPr>
        <w:t> </w:t>
      </w:r>
      <w:r>
        <w:rPr>
          <w:color w:val="383638"/>
          <w:w w:val="105"/>
        </w:rPr>
        <w:t>a</w:t>
      </w:r>
      <w:r>
        <w:rPr>
          <w:color w:val="383638"/>
          <w:spacing w:val="10"/>
          <w:w w:val="105"/>
        </w:rPr>
        <w:t> </w:t>
      </w:r>
      <w:r>
        <w:rPr>
          <w:color w:val="383638"/>
          <w:w w:val="105"/>
        </w:rPr>
        <w:t>different</w:t>
      </w:r>
      <w:r>
        <w:rPr>
          <w:color w:val="383638"/>
          <w:spacing w:val="7"/>
          <w:w w:val="105"/>
        </w:rPr>
        <w:t> </w:t>
      </w:r>
      <w:r>
        <w:rPr>
          <w:color w:val="383638"/>
          <w:w w:val="105"/>
        </w:rPr>
        <w:t>page</w:t>
      </w:r>
      <w:r>
        <w:rPr>
          <w:color w:val="383638"/>
          <w:spacing w:val="-4"/>
          <w:w w:val="105"/>
        </w:rPr>
        <w:t> </w:t>
      </w:r>
      <w:r>
        <w:rPr>
          <w:color w:val="383638"/>
          <w:w w:val="105"/>
        </w:rPr>
        <w:t>in</w:t>
      </w:r>
      <w:r>
        <w:rPr>
          <w:color w:val="383638"/>
          <w:spacing w:val="32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36"/>
          <w:w w:val="105"/>
        </w:rPr>
        <w:t> </w:t>
      </w:r>
      <w:r>
        <w:rPr>
          <w:color w:val="383638"/>
          <w:w w:val="105"/>
        </w:rPr>
        <w:t>opinion:</w:t>
      </w:r>
    </w:p>
    <w:p>
      <w:pPr>
        <w:spacing w:before="111"/>
        <w:ind w:left="802" w:right="0" w:firstLine="0"/>
        <w:jc w:val="both"/>
        <w:rPr>
          <w:sz w:val="20"/>
        </w:rPr>
      </w:pPr>
      <w:r>
        <w:rPr>
          <w:rFonts w:ascii="Arial"/>
          <w:b/>
          <w:color w:val="383638"/>
          <w:w w:val="95"/>
          <w:sz w:val="23"/>
        </w:rPr>
        <w:t>l.'1.</w:t>
      </w:r>
      <w:r>
        <w:rPr>
          <w:rFonts w:ascii="Arial"/>
          <w:b/>
          <w:color w:val="383638"/>
          <w:spacing w:val="-15"/>
          <w:w w:val="95"/>
          <w:sz w:val="23"/>
        </w:rPr>
        <w:t> </w:t>
      </w:r>
      <w:r>
        <w:rPr>
          <w:b/>
          <w:color w:val="383638"/>
          <w:w w:val="95"/>
          <w:sz w:val="20"/>
        </w:rPr>
        <w:t>at</w:t>
      </w:r>
      <w:r>
        <w:rPr>
          <w:b/>
          <w:color w:val="383638"/>
          <w:spacing w:val="35"/>
          <w:w w:val="95"/>
          <w:sz w:val="20"/>
        </w:rPr>
        <w:t> </w:t>
      </w:r>
      <w:r>
        <w:rPr>
          <w:color w:val="383638"/>
          <w:w w:val="95"/>
          <w:sz w:val="20"/>
        </w:rPr>
        <w:t>107.</w:t>
      </w:r>
    </w:p>
    <w:p>
      <w:pPr>
        <w:pStyle w:val="BodyText"/>
        <w:spacing w:line="223" w:lineRule="auto" w:before="156"/>
        <w:ind w:left="367" w:right="133" w:firstLine="80"/>
        <w:jc w:val="both"/>
      </w:pPr>
      <w:r>
        <w:rPr>
          <w:color w:val="383638"/>
          <w:w w:val="110"/>
          <w:sz w:val="22"/>
        </w:rPr>
        <w:t>If </w:t>
      </w:r>
      <w:r>
        <w:rPr>
          <w:color w:val="383638"/>
          <w:w w:val="110"/>
        </w:rPr>
        <w:t>you  were citing to the same page, you  would  use " "     alone. If 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are citing to an already-cited opinion, but (a) you have cited to or </w:t>
      </w:r>
      <w:r>
        <w:rPr>
          <w:i/>
          <w:color w:val="383638"/>
          <w:w w:val="110"/>
          <w:sz w:val="24"/>
        </w:rPr>
        <w:t>men­</w:t>
      </w:r>
      <w:r>
        <w:rPr>
          <w:i/>
          <w:color w:val="383638"/>
          <w:spacing w:val="1"/>
          <w:w w:val="110"/>
          <w:sz w:val="24"/>
        </w:rPr>
        <w:t> </w:t>
      </w:r>
      <w:r>
        <w:rPr>
          <w:i/>
          <w:color w:val="383638"/>
          <w:w w:val="110"/>
          <w:sz w:val="24"/>
        </w:rPr>
        <w:t>tioned </w:t>
      </w:r>
      <w:r>
        <w:rPr>
          <w:color w:val="383638"/>
          <w:w w:val="110"/>
        </w:rPr>
        <w:t>another authority in the  meantime,  </w:t>
      </w:r>
      <w:r>
        <w:rPr>
          <w:i/>
          <w:color w:val="383638"/>
          <w:w w:val="110"/>
          <w:sz w:val="24"/>
        </w:rPr>
        <w:t>or </w:t>
      </w:r>
      <w:r>
        <w:rPr>
          <w:rFonts w:ascii="Arial" w:hAnsi="Arial"/>
          <w:color w:val="383638"/>
          <w:w w:val="110"/>
          <w:sz w:val="20"/>
        </w:rPr>
        <w:t>(b)  </w:t>
      </w:r>
      <w:r>
        <w:rPr>
          <w:color w:val="383638"/>
          <w:w w:val="110"/>
        </w:rPr>
        <w:t>there is any doubt that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reader will know to which authority you are referring, use a short form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that identifies the name of the case. Make sure to use an identifiable case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name; if one of the parties is a governmental entity, for example, use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name of the other party in the short-form cite. If 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were citing again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  <w:u w:val="thick" w:color="383638"/>
        </w:rPr>
        <w:t>Ohio v,</w:t>
      </w:r>
      <w:r>
        <w:rPr>
          <w:color w:val="383638"/>
          <w:w w:val="110"/>
        </w:rPr>
        <w:t> </w:t>
      </w:r>
      <w:r>
        <w:rPr>
          <w:color w:val="383638"/>
          <w:w w:val="110"/>
          <w:sz w:val="27"/>
          <w:u w:val="thick" w:color="383638"/>
        </w:rPr>
        <w:t>Burpee,</w:t>
      </w:r>
      <w:r>
        <w:rPr>
          <w:color w:val="383638"/>
          <w:w w:val="110"/>
          <w:sz w:val="27"/>
        </w:rPr>
        <w:t> </w:t>
      </w:r>
      <w:r>
        <w:rPr>
          <w:color w:val="383638"/>
          <w:w w:val="110"/>
        </w:rPr>
        <w:t>but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there had been an intervening cite, use either of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following formats:</w:t>
      </w:r>
    </w:p>
    <w:p>
      <w:pPr>
        <w:spacing w:line="265" w:lineRule="exact" w:before="106"/>
        <w:ind w:left="738" w:right="0" w:firstLine="0"/>
        <w:jc w:val="both"/>
        <w:rPr>
          <w:sz w:val="20"/>
        </w:rPr>
      </w:pPr>
      <w:r>
        <w:rPr>
          <w:color w:val="383638"/>
          <w:w w:val="105"/>
          <w:sz w:val="26"/>
          <w:u w:val="thick" w:color="383638"/>
        </w:rPr>
        <w:t>Burpee.</w:t>
      </w:r>
      <w:r>
        <w:rPr>
          <w:color w:val="383638"/>
          <w:spacing w:val="-16"/>
          <w:w w:val="105"/>
          <w:sz w:val="26"/>
        </w:rPr>
        <w:t> </w:t>
      </w:r>
      <w:r>
        <w:rPr>
          <w:color w:val="383638"/>
          <w:w w:val="105"/>
          <w:sz w:val="20"/>
        </w:rPr>
        <w:t>101 </w:t>
      </w:r>
      <w:r>
        <w:rPr>
          <w:color w:val="383638"/>
          <w:spacing w:val="1"/>
          <w:w w:val="105"/>
          <w:sz w:val="20"/>
        </w:rPr>
        <w:t> </w:t>
      </w:r>
      <w:r>
        <w:rPr>
          <w:color w:val="383638"/>
          <w:w w:val="105"/>
          <w:sz w:val="20"/>
        </w:rPr>
        <w:t>N.E.2d</w:t>
      </w:r>
      <w:r>
        <w:rPr>
          <w:color w:val="383638"/>
          <w:spacing w:val="12"/>
          <w:w w:val="105"/>
          <w:sz w:val="20"/>
        </w:rPr>
        <w:t> </w:t>
      </w:r>
      <w:r>
        <w:rPr>
          <w:color w:val="383638"/>
          <w:w w:val="105"/>
          <w:sz w:val="21"/>
        </w:rPr>
        <w:t>at</w:t>
      </w:r>
      <w:r>
        <w:rPr>
          <w:color w:val="383638"/>
          <w:spacing w:val="26"/>
          <w:w w:val="105"/>
          <w:sz w:val="21"/>
        </w:rPr>
        <w:t> </w:t>
      </w:r>
      <w:r>
        <w:rPr>
          <w:color w:val="383638"/>
          <w:w w:val="105"/>
          <w:sz w:val="20"/>
        </w:rPr>
        <w:t>125.</w:t>
      </w:r>
    </w:p>
    <w:p>
      <w:pPr>
        <w:spacing w:line="265" w:lineRule="exact" w:before="0"/>
        <w:ind w:left="724" w:right="0" w:firstLine="0"/>
        <w:jc w:val="both"/>
        <w:rPr>
          <w:sz w:val="20"/>
        </w:rPr>
      </w:pPr>
      <w:r>
        <w:rPr>
          <w:color w:val="383638"/>
          <w:sz w:val="24"/>
          <w:u w:val="thick" w:color="383638"/>
        </w:rPr>
        <w:t>Ohio</w:t>
      </w:r>
      <w:r>
        <w:rPr>
          <w:color w:val="383638"/>
          <w:spacing w:val="-5"/>
          <w:sz w:val="24"/>
          <w:u w:val="thick" w:color="383638"/>
        </w:rPr>
        <w:t> </w:t>
      </w:r>
      <w:r>
        <w:rPr>
          <w:color w:val="383638"/>
          <w:sz w:val="18"/>
          <w:u w:val="thick" w:color="383638"/>
        </w:rPr>
        <w:t>y.</w:t>
      </w:r>
      <w:r>
        <w:rPr>
          <w:color w:val="383638"/>
          <w:spacing w:val="44"/>
          <w:sz w:val="18"/>
        </w:rPr>
        <w:t> </w:t>
      </w:r>
      <w:r>
        <w:rPr>
          <w:b/>
          <w:color w:val="383638"/>
          <w:sz w:val="26"/>
          <w:u w:val="thick" w:color="383638"/>
        </w:rPr>
        <w:t>Buepee.</w:t>
      </w:r>
      <w:r>
        <w:rPr>
          <w:b/>
          <w:color w:val="383638"/>
          <w:spacing w:val="9"/>
          <w:sz w:val="26"/>
        </w:rPr>
        <w:t> </w:t>
      </w:r>
      <w:r>
        <w:rPr>
          <w:color w:val="383638"/>
          <w:sz w:val="20"/>
        </w:rPr>
        <w:t>101  </w:t>
      </w:r>
      <w:r>
        <w:rPr>
          <w:color w:val="383638"/>
          <w:spacing w:val="6"/>
          <w:sz w:val="20"/>
        </w:rPr>
        <w:t> </w:t>
      </w:r>
      <w:r>
        <w:rPr>
          <w:color w:val="383638"/>
          <w:sz w:val="20"/>
        </w:rPr>
        <w:t>N.E.2d</w:t>
      </w:r>
      <w:r>
        <w:rPr>
          <w:color w:val="383638"/>
          <w:spacing w:val="10"/>
          <w:sz w:val="20"/>
        </w:rPr>
        <w:t> </w:t>
      </w:r>
      <w:r>
        <w:rPr>
          <w:color w:val="383638"/>
          <w:sz w:val="21"/>
        </w:rPr>
        <w:t>at</w:t>
      </w:r>
      <w:r>
        <w:rPr>
          <w:color w:val="383638"/>
          <w:spacing w:val="36"/>
          <w:sz w:val="21"/>
        </w:rPr>
        <w:t> </w:t>
      </w:r>
      <w:r>
        <w:rPr>
          <w:color w:val="383638"/>
          <w:sz w:val="20"/>
        </w:rPr>
        <w:t>125.</w:t>
      </w:r>
    </w:p>
    <w:p>
      <w:pPr>
        <w:pStyle w:val="BodyText"/>
        <w:tabs>
          <w:tab w:pos="5090" w:val="left" w:leader="none"/>
        </w:tabs>
        <w:spacing w:line="230" w:lineRule="auto" w:before="124"/>
        <w:ind w:left="301" w:right="155" w:firstLine="29"/>
        <w:jc w:val="both"/>
      </w:pPr>
      <w:r>
        <w:rPr>
          <w:color w:val="383638"/>
          <w:w w:val="110"/>
        </w:rPr>
        <w:t>Note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it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-18"/>
          <w:w w:val="110"/>
        </w:rPr>
        <w:t> </w:t>
      </w:r>
      <w:r>
        <w:rPr>
          <w:i/>
          <w:color w:val="383638"/>
          <w:w w:val="110"/>
          <w:sz w:val="24"/>
        </w:rPr>
        <w:t>never</w:t>
      </w:r>
      <w:r>
        <w:rPr>
          <w:i/>
          <w:color w:val="383638"/>
          <w:spacing w:val="12"/>
          <w:w w:val="110"/>
          <w:sz w:val="24"/>
        </w:rPr>
        <w:t> </w:t>
      </w:r>
      <w:r>
        <w:rPr>
          <w:color w:val="383638"/>
          <w:w w:val="110"/>
        </w:rPr>
        <w:t>appropriate</w:t>
      </w:r>
      <w:r>
        <w:rPr>
          <w:color w:val="383638"/>
          <w:spacing w:val="47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30"/>
          <w:w w:val="110"/>
        </w:rPr>
        <w:t> </w:t>
      </w:r>
      <w:r>
        <w:rPr>
          <w:color w:val="383638"/>
          <w:w w:val="110"/>
        </w:rPr>
        <w:t>use</w:t>
        <w:tab/>
        <w:t>when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citing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cases in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brief,</w:t>
      </w:r>
      <w:r>
        <w:rPr>
          <w:color w:val="383638"/>
          <w:spacing w:val="-60"/>
          <w:w w:val="110"/>
        </w:rPr>
        <w:t> </w:t>
      </w:r>
      <w:r>
        <w:rPr>
          <w:color w:val="383638"/>
          <w:w w:val="115"/>
        </w:rPr>
        <w:t>nor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is it appropriate to use a case name cite without including reporter</w:t>
      </w:r>
      <w:r>
        <w:rPr>
          <w:color w:val="383638"/>
          <w:spacing w:val="1"/>
          <w:w w:val="115"/>
        </w:rPr>
        <w:t> </w:t>
      </w:r>
      <w:r>
        <w:rPr>
          <w:color w:val="383638"/>
          <w:spacing w:val="-1"/>
          <w:w w:val="115"/>
        </w:rPr>
        <w:t>information.</w:t>
      </w:r>
      <w:r>
        <w:rPr>
          <w:color w:val="383638"/>
          <w:spacing w:val="-13"/>
          <w:w w:val="115"/>
        </w:rPr>
        <w:t> </w:t>
      </w:r>
      <w:r>
        <w:rPr>
          <w:color w:val="383638"/>
          <w:w w:val="115"/>
        </w:rPr>
        <w:t>Thus,</w:t>
      </w:r>
      <w:r>
        <w:rPr>
          <w:color w:val="383638"/>
          <w:spacing w:val="5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13"/>
          <w:w w:val="115"/>
        </w:rPr>
        <w:t> </w:t>
      </w:r>
      <w:r>
        <w:rPr>
          <w:color w:val="383638"/>
          <w:w w:val="115"/>
        </w:rPr>
        <w:t>two</w:t>
      </w:r>
      <w:r>
        <w:rPr>
          <w:color w:val="383638"/>
          <w:spacing w:val="-8"/>
          <w:w w:val="115"/>
        </w:rPr>
        <w:t> </w:t>
      </w:r>
      <w:r>
        <w:rPr>
          <w:color w:val="383638"/>
          <w:w w:val="115"/>
        </w:rPr>
        <w:t>examples</w:t>
      </w:r>
      <w:r>
        <w:rPr>
          <w:color w:val="383638"/>
          <w:spacing w:val="-2"/>
          <w:w w:val="115"/>
        </w:rPr>
        <w:t> </w:t>
      </w:r>
      <w:r>
        <w:rPr>
          <w:color w:val="383638"/>
          <w:w w:val="115"/>
        </w:rPr>
        <w:t>below</w:t>
      </w:r>
      <w:r>
        <w:rPr>
          <w:color w:val="383638"/>
          <w:spacing w:val="-17"/>
          <w:w w:val="115"/>
        </w:rPr>
        <w:t> </w:t>
      </w:r>
      <w:r>
        <w:rPr>
          <w:color w:val="383638"/>
          <w:w w:val="115"/>
        </w:rPr>
        <w:t>are</w:t>
      </w:r>
      <w:r>
        <w:rPr>
          <w:color w:val="383638"/>
          <w:spacing w:val="20"/>
          <w:w w:val="115"/>
        </w:rPr>
        <w:t> </w:t>
      </w:r>
      <w:r>
        <w:rPr>
          <w:color w:val="383638"/>
          <w:w w:val="115"/>
        </w:rPr>
        <w:t>both</w:t>
      </w:r>
      <w:r>
        <w:rPr>
          <w:color w:val="383638"/>
          <w:spacing w:val="3"/>
          <w:w w:val="115"/>
        </w:rPr>
        <w:t> </w:t>
      </w:r>
      <w:r>
        <w:rPr>
          <w:color w:val="383638"/>
          <w:w w:val="115"/>
        </w:rPr>
        <w:t>wrong:</w:t>
      </w:r>
    </w:p>
    <w:p>
      <w:pPr>
        <w:spacing w:after="0" w:line="230" w:lineRule="auto"/>
        <w:jc w:val="both"/>
        <w:sectPr>
          <w:headerReference w:type="even" r:id="rId372"/>
          <w:pgSz w:w="9750" w:h="14020"/>
          <w:pgMar w:header="0" w:footer="0" w:top="1120" w:bottom="0" w:left="1360" w:right="280"/>
          <w:pgNumType w:start="332"/>
        </w:sectPr>
      </w:pPr>
    </w:p>
    <w:p>
      <w:pPr>
        <w:pStyle w:val="ListParagraph"/>
        <w:numPr>
          <w:ilvl w:val="1"/>
          <w:numId w:val="122"/>
        </w:numPr>
        <w:tabs>
          <w:tab w:pos="2904" w:val="left" w:leader="none"/>
          <w:tab w:pos="8491" w:val="right" w:leader="none"/>
        </w:tabs>
        <w:spacing w:line="240" w:lineRule="auto" w:before="81" w:after="0"/>
        <w:ind w:left="2903" w:right="0" w:hanging="350"/>
        <w:jc w:val="left"/>
        <w:rPr>
          <w:rFonts w:ascii="Arial"/>
          <w:color w:val="363436"/>
          <w:sz w:val="17"/>
        </w:rPr>
      </w:pPr>
      <w:r>
        <w:rPr>
          <w:rFonts w:ascii="Arial"/>
          <w:color w:val="363436"/>
          <w:w w:val="105"/>
          <w:sz w:val="17"/>
        </w:rPr>
        <w:t>Changing</w:t>
      </w:r>
      <w:r>
        <w:rPr>
          <w:rFonts w:ascii="Arial"/>
          <w:color w:val="363436"/>
          <w:spacing w:val="-10"/>
          <w:w w:val="105"/>
          <w:sz w:val="17"/>
        </w:rPr>
        <w:t> </w:t>
      </w:r>
      <w:r>
        <w:rPr>
          <w:b/>
          <w:color w:val="363436"/>
          <w:w w:val="105"/>
          <w:sz w:val="18"/>
        </w:rPr>
        <w:t>Sentence</w:t>
      </w:r>
      <w:r>
        <w:rPr>
          <w:b/>
          <w:color w:val="363436"/>
          <w:spacing w:val="3"/>
          <w:w w:val="105"/>
          <w:sz w:val="18"/>
        </w:rPr>
        <w:t> </w:t>
      </w:r>
      <w:r>
        <w:rPr>
          <w:rFonts w:ascii="Arial"/>
          <w:color w:val="363436"/>
          <w:w w:val="105"/>
          <w:sz w:val="17"/>
        </w:rPr>
        <w:t>Structure</w:t>
      </w:r>
      <w:r>
        <w:rPr>
          <w:rFonts w:ascii="Arial"/>
          <w:color w:val="363436"/>
          <w:spacing w:val="-5"/>
          <w:w w:val="105"/>
          <w:sz w:val="17"/>
        </w:rPr>
        <w:t> </w:t>
      </w:r>
      <w:r>
        <w:rPr>
          <w:rFonts w:ascii="Arial"/>
          <w:color w:val="363436"/>
          <w:w w:val="105"/>
          <w:sz w:val="17"/>
        </w:rPr>
        <w:t>to</w:t>
      </w:r>
      <w:r>
        <w:rPr>
          <w:rFonts w:ascii="Arial"/>
          <w:color w:val="363436"/>
          <w:spacing w:val="11"/>
          <w:w w:val="105"/>
          <w:sz w:val="17"/>
        </w:rPr>
        <w:t> </w:t>
      </w:r>
      <w:r>
        <w:rPr>
          <w:rFonts w:ascii="Arial"/>
          <w:color w:val="363436"/>
          <w:w w:val="105"/>
          <w:sz w:val="17"/>
        </w:rPr>
        <w:t>Accommodate</w:t>
      </w:r>
      <w:r>
        <w:rPr>
          <w:rFonts w:ascii="Arial"/>
          <w:color w:val="363436"/>
          <w:spacing w:val="-5"/>
          <w:w w:val="105"/>
          <w:sz w:val="17"/>
        </w:rPr>
        <w:t> </w:t>
      </w:r>
      <w:r>
        <w:rPr>
          <w:rFonts w:ascii="Arial"/>
          <w:color w:val="363436"/>
          <w:w w:val="105"/>
          <w:sz w:val="17"/>
        </w:rPr>
        <w:t>Citation</w:t>
      </w:r>
      <w:r>
        <w:rPr>
          <w:rFonts w:ascii="Arial"/>
          <w:color w:val="363436"/>
          <w:spacing w:val="-16"/>
          <w:w w:val="105"/>
          <w:sz w:val="17"/>
        </w:rPr>
        <w:t> </w:t>
      </w:r>
      <w:r>
        <w:rPr>
          <w:rFonts w:ascii="Arial"/>
          <w:color w:val="363436"/>
          <w:w w:val="105"/>
          <w:sz w:val="17"/>
        </w:rPr>
        <w:t>Form</w:t>
        <w:tab/>
        <w:t>333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4"/>
        <w:rPr>
          <w:rFonts w:ascii="Arial"/>
          <w:sz w:val="14"/>
        </w:rPr>
      </w:pPr>
    </w:p>
    <w:p>
      <w:pPr>
        <w:tabs>
          <w:tab w:pos="462" w:val="left" w:leader="none"/>
        </w:tabs>
        <w:spacing w:before="1"/>
        <w:ind w:left="111" w:right="0" w:firstLine="0"/>
        <w:jc w:val="left"/>
        <w:rPr>
          <w:sz w:val="15"/>
        </w:rPr>
      </w:pPr>
      <w:r>
        <w:rPr>
          <w:color w:val="363436"/>
          <w:w w:val="100"/>
          <w:sz w:val="15"/>
          <w:u w:val="thick" w:color="5D5D5E"/>
        </w:rPr>
        <w:t> </w:t>
      </w:r>
      <w:r>
        <w:rPr>
          <w:color w:val="363436"/>
          <w:sz w:val="15"/>
          <w:u w:val="thick" w:color="5D5D5E"/>
        </w:rPr>
        <w:tab/>
      </w:r>
      <w:r>
        <w:rPr>
          <w:color w:val="363436"/>
          <w:sz w:val="15"/>
        </w:rPr>
        <w:t>    </w:t>
      </w:r>
      <w:r>
        <w:rPr>
          <w:color w:val="363436"/>
          <w:spacing w:val="-18"/>
          <w:sz w:val="15"/>
        </w:rPr>
        <w:t> </w:t>
      </w:r>
      <w:r>
        <w:rPr>
          <w:color w:val="363436"/>
          <w:spacing w:val="-1"/>
          <w:sz w:val="15"/>
          <w:u w:val="thick" w:color="5D5D5E"/>
        </w:rPr>
        <w:t>BAD</w:t>
      </w:r>
      <w:r>
        <w:rPr>
          <w:color w:val="363436"/>
          <w:spacing w:val="-8"/>
          <w:sz w:val="15"/>
          <w:u w:val="thick" w:color="5D5D5E"/>
        </w:rPr>
        <w:t> </w:t>
      </w:r>
      <w:r>
        <w:rPr>
          <w:color w:val="5D5D5E"/>
          <w:spacing w:val="-1"/>
          <w:sz w:val="15"/>
          <w:u w:val="thick" w:color="5D5D5E"/>
        </w:rPr>
        <w:t>EXAMP</w:t>
      </w:r>
      <w:r>
        <w:rPr>
          <w:color w:val="363436"/>
          <w:spacing w:val="-1"/>
          <w:sz w:val="15"/>
          <w:u w:val="thick" w:color="5D5D5E"/>
        </w:rPr>
        <w:t>L</w:t>
      </w:r>
      <w:r>
        <w:rPr>
          <w:color w:val="5D5D5E"/>
          <w:spacing w:val="-1"/>
          <w:sz w:val="15"/>
          <w:u w:val="thick" w:color="5D5D5E"/>
        </w:rPr>
        <w:t>ES</w:t>
      </w:r>
    </w:p>
    <w:p>
      <w:pPr>
        <w:spacing w:line="253" w:lineRule="exact" w:before="61"/>
        <w:ind w:left="651" w:right="0" w:firstLine="0"/>
        <w:jc w:val="left"/>
        <w:rPr>
          <w:sz w:val="20"/>
        </w:rPr>
      </w:pPr>
      <w:r>
        <w:rPr>
          <w:color w:val="363436"/>
          <w:w w:val="115"/>
          <w:sz w:val="23"/>
          <w:u w:val="thick" w:color="363436"/>
        </w:rPr>
        <w:t>Maloon.</w:t>
      </w:r>
      <w:r>
        <w:rPr>
          <w:color w:val="363436"/>
          <w:spacing w:val="-22"/>
          <w:w w:val="115"/>
          <w:sz w:val="23"/>
        </w:rPr>
        <w:t> </w:t>
      </w:r>
      <w:r>
        <w:rPr>
          <w:rFonts w:ascii="Arial"/>
          <w:color w:val="363436"/>
          <w:w w:val="115"/>
          <w:sz w:val="17"/>
        </w:rPr>
        <w:t>min:a,</w:t>
      </w:r>
      <w:r>
        <w:rPr>
          <w:rFonts w:ascii="Arial"/>
          <w:color w:val="363436"/>
          <w:spacing w:val="-6"/>
          <w:w w:val="115"/>
          <w:sz w:val="17"/>
        </w:rPr>
        <w:t> </w:t>
      </w:r>
      <w:r>
        <w:rPr>
          <w:color w:val="363436"/>
          <w:w w:val="115"/>
          <w:sz w:val="20"/>
        </w:rPr>
        <w:t>at</w:t>
      </w:r>
      <w:r>
        <w:rPr>
          <w:color w:val="363436"/>
          <w:spacing w:val="9"/>
          <w:w w:val="115"/>
          <w:sz w:val="20"/>
        </w:rPr>
        <w:t> </w:t>
      </w:r>
      <w:r>
        <w:rPr>
          <w:color w:val="363436"/>
          <w:w w:val="115"/>
          <w:sz w:val="20"/>
        </w:rPr>
        <w:t>126.</w:t>
      </w:r>
    </w:p>
    <w:p>
      <w:pPr>
        <w:spacing w:line="253" w:lineRule="exact" w:before="0"/>
        <w:ind w:left="640" w:right="0" w:firstLine="0"/>
        <w:jc w:val="left"/>
        <w:rPr>
          <w:sz w:val="20"/>
        </w:rPr>
      </w:pPr>
      <w:r>
        <w:rPr>
          <w:color w:val="363436"/>
          <w:sz w:val="23"/>
          <w:u w:val="thick" w:color="363436"/>
        </w:rPr>
        <w:t>Sanders</w:t>
      </w:r>
      <w:r>
        <w:rPr>
          <w:color w:val="363436"/>
          <w:spacing w:val="-8"/>
          <w:sz w:val="23"/>
        </w:rPr>
        <w:t> </w:t>
      </w:r>
      <w:r>
        <w:rPr>
          <w:color w:val="363436"/>
          <w:sz w:val="20"/>
        </w:rPr>
        <w:t>at</w:t>
      </w:r>
      <w:r>
        <w:rPr>
          <w:color w:val="363436"/>
          <w:spacing w:val="38"/>
          <w:sz w:val="20"/>
        </w:rPr>
        <w:t> </w:t>
      </w:r>
      <w:r>
        <w:rPr>
          <w:color w:val="363436"/>
          <w:sz w:val="20"/>
        </w:rPr>
        <w:t>I</w:t>
      </w:r>
      <w:r>
        <w:rPr>
          <w:color w:val="363436"/>
          <w:spacing w:val="-12"/>
          <w:sz w:val="20"/>
        </w:rPr>
        <w:t> </w:t>
      </w:r>
      <w:r>
        <w:rPr>
          <w:color w:val="363436"/>
          <w:sz w:val="20"/>
        </w:rPr>
        <w:t>35.</w:t>
      </w:r>
    </w:p>
    <w:p>
      <w:pPr>
        <w:pStyle w:val="BodyText"/>
        <w:spacing w:before="3"/>
        <w:rPr>
          <w:sz w:val="33"/>
        </w:rPr>
      </w:pPr>
    </w:p>
    <w:p>
      <w:pPr>
        <w:spacing w:before="0"/>
        <w:ind w:left="623" w:right="0" w:firstLine="0"/>
        <w:jc w:val="left"/>
        <w:rPr>
          <w:sz w:val="29"/>
        </w:rPr>
      </w:pPr>
      <w:r>
        <w:rPr>
          <w:color w:val="363436"/>
          <w:w w:val="105"/>
          <w:sz w:val="29"/>
        </w:rPr>
        <w:t>A.2</w:t>
      </w:r>
      <w:r>
        <w:rPr>
          <w:color w:val="6E6E70"/>
          <w:w w:val="105"/>
          <w:sz w:val="29"/>
        </w:rPr>
        <w:t>.</w:t>
      </w:r>
      <w:r>
        <w:rPr>
          <w:color w:val="4D4D4D"/>
          <w:w w:val="105"/>
          <w:sz w:val="29"/>
        </w:rPr>
        <w:t>3</w:t>
      </w:r>
    </w:p>
    <w:p>
      <w:pPr>
        <w:spacing w:line="302" w:lineRule="auto" w:before="39"/>
        <w:ind w:left="627" w:right="0" w:hanging="4"/>
        <w:jc w:val="left"/>
        <w:rPr>
          <w:rFonts w:ascii="Arial"/>
          <w:sz w:val="22"/>
        </w:rPr>
      </w:pPr>
      <w:r>
        <w:rPr>
          <w:rFonts w:ascii="Arial"/>
          <w:color w:val="363436"/>
          <w:w w:val="105"/>
          <w:sz w:val="22"/>
        </w:rPr>
        <w:t>CITING </w:t>
      </w:r>
      <w:r>
        <w:rPr>
          <w:rFonts w:ascii="Arial"/>
          <w:color w:val="4D4D4D"/>
          <w:w w:val="105"/>
          <w:sz w:val="22"/>
        </w:rPr>
        <w:t>TO </w:t>
      </w:r>
      <w:r>
        <w:rPr>
          <w:rFonts w:ascii="Arial"/>
          <w:color w:val="6E6E70"/>
          <w:w w:val="105"/>
          <w:sz w:val="22"/>
        </w:rPr>
        <w:t>LANGUAG</w:t>
      </w:r>
      <w:r>
        <w:rPr>
          <w:rFonts w:ascii="Arial"/>
          <w:color w:val="4D4D4D"/>
          <w:w w:val="105"/>
          <w:sz w:val="22"/>
        </w:rPr>
        <w:t>E F</w:t>
      </w:r>
      <w:r>
        <w:rPr>
          <w:rFonts w:ascii="Arial"/>
          <w:color w:val="6E6E70"/>
          <w:w w:val="105"/>
          <w:sz w:val="22"/>
        </w:rPr>
        <w:t>ROM</w:t>
      </w:r>
      <w:r>
        <w:rPr>
          <w:rFonts w:ascii="Arial"/>
          <w:color w:val="6E6E70"/>
          <w:spacing w:val="1"/>
          <w:w w:val="105"/>
          <w:sz w:val="22"/>
        </w:rPr>
        <w:t> </w:t>
      </w:r>
      <w:r>
        <w:rPr>
          <w:rFonts w:ascii="Arial"/>
          <w:color w:val="6E6E70"/>
          <w:w w:val="105"/>
          <w:sz w:val="22"/>
        </w:rPr>
        <w:t>CO</w:t>
      </w:r>
      <w:r>
        <w:rPr>
          <w:rFonts w:ascii="Arial"/>
          <w:color w:val="898A8C"/>
          <w:w w:val="105"/>
          <w:sz w:val="22"/>
        </w:rPr>
        <w:t>N</w:t>
      </w:r>
      <w:r>
        <w:rPr>
          <w:rFonts w:ascii="Arial"/>
          <w:color w:val="6E6E70"/>
          <w:w w:val="105"/>
          <w:sz w:val="22"/>
        </w:rPr>
        <w:t>CUR</w:t>
      </w:r>
      <w:r>
        <w:rPr>
          <w:rFonts w:ascii="Arial"/>
          <w:color w:val="898A8C"/>
          <w:w w:val="105"/>
          <w:sz w:val="22"/>
        </w:rPr>
        <w:t>RIN</w:t>
      </w:r>
      <w:r>
        <w:rPr>
          <w:rFonts w:ascii="Arial"/>
          <w:color w:val="6E6E70"/>
          <w:w w:val="105"/>
          <w:sz w:val="22"/>
        </w:rPr>
        <w:t>G, </w:t>
      </w:r>
      <w:r>
        <w:rPr>
          <w:rFonts w:ascii="Arial"/>
          <w:color w:val="898A8C"/>
          <w:w w:val="105"/>
          <w:sz w:val="22"/>
        </w:rPr>
        <w:t>D</w:t>
      </w:r>
      <w:r>
        <w:rPr>
          <w:rFonts w:ascii="Arial"/>
          <w:color w:val="6E6E70"/>
          <w:w w:val="105"/>
          <w:sz w:val="22"/>
        </w:rPr>
        <w:t>I</w:t>
      </w:r>
      <w:r>
        <w:rPr>
          <w:rFonts w:ascii="Arial"/>
          <w:color w:val="898A8C"/>
          <w:w w:val="105"/>
          <w:sz w:val="22"/>
        </w:rPr>
        <w:t>SSEN</w:t>
      </w:r>
      <w:r>
        <w:rPr>
          <w:rFonts w:ascii="Arial"/>
          <w:color w:val="6E6E70"/>
          <w:w w:val="105"/>
          <w:sz w:val="22"/>
        </w:rPr>
        <w:t>TI</w:t>
      </w:r>
      <w:r>
        <w:rPr>
          <w:rFonts w:ascii="Arial"/>
          <w:color w:val="898A8C"/>
          <w:w w:val="105"/>
          <w:sz w:val="22"/>
        </w:rPr>
        <w:t>N</w:t>
      </w:r>
      <w:r>
        <w:rPr>
          <w:rFonts w:ascii="Arial"/>
          <w:color w:val="6E6E70"/>
          <w:w w:val="105"/>
          <w:sz w:val="22"/>
        </w:rPr>
        <w:t>G, OR</w:t>
      </w:r>
      <w:r>
        <w:rPr>
          <w:rFonts w:ascii="Arial"/>
          <w:color w:val="6E6E70"/>
          <w:spacing w:val="-62"/>
          <w:w w:val="105"/>
          <w:sz w:val="22"/>
        </w:rPr>
        <w:t> </w:t>
      </w:r>
      <w:r>
        <w:rPr>
          <w:rFonts w:ascii="Arial"/>
          <w:color w:val="363436"/>
          <w:w w:val="105"/>
          <w:sz w:val="22"/>
        </w:rPr>
        <w:t>PLU</w:t>
      </w:r>
      <w:r>
        <w:rPr>
          <w:rFonts w:ascii="Arial"/>
          <w:color w:val="6E6E70"/>
          <w:w w:val="105"/>
          <w:sz w:val="22"/>
        </w:rPr>
        <w:t>RALITY</w:t>
      </w:r>
      <w:r>
        <w:rPr>
          <w:rFonts w:ascii="Arial"/>
          <w:color w:val="6E6E70"/>
          <w:spacing w:val="16"/>
          <w:w w:val="105"/>
          <w:sz w:val="22"/>
        </w:rPr>
        <w:t> </w:t>
      </w:r>
      <w:r>
        <w:rPr>
          <w:rFonts w:ascii="Arial"/>
          <w:color w:val="6E6E70"/>
          <w:w w:val="105"/>
          <w:sz w:val="22"/>
        </w:rPr>
        <w:t>OPINIONS</w:t>
      </w:r>
    </w:p>
    <w:p>
      <w:pPr>
        <w:pStyle w:val="BodyText"/>
        <w:spacing w:line="232" w:lineRule="auto" w:before="63"/>
        <w:ind w:left="325" w:right="745" w:firstLine="337"/>
        <w:jc w:val="both"/>
      </w:pPr>
      <w:r>
        <w:rPr>
          <w:color w:val="363436"/>
          <w:w w:val="110"/>
        </w:rPr>
        <w:t>Unless your citation indicates otherwise, the reader will presume that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you</w:t>
      </w:r>
      <w:r>
        <w:rPr>
          <w:color w:val="363436"/>
          <w:spacing w:val="-16"/>
          <w:w w:val="110"/>
        </w:rPr>
        <w:t> </w:t>
      </w:r>
      <w:r>
        <w:rPr>
          <w:color w:val="363436"/>
          <w:w w:val="110"/>
        </w:rPr>
        <w:t>are</w:t>
      </w:r>
      <w:r>
        <w:rPr>
          <w:color w:val="363436"/>
          <w:spacing w:val="16"/>
          <w:w w:val="110"/>
        </w:rPr>
        <w:t> </w:t>
      </w:r>
      <w:r>
        <w:rPr>
          <w:color w:val="363436"/>
          <w:w w:val="110"/>
        </w:rPr>
        <w:t>citing</w:t>
      </w:r>
      <w:r>
        <w:rPr>
          <w:color w:val="363436"/>
          <w:spacing w:val="-16"/>
          <w:w w:val="110"/>
        </w:rPr>
        <w:t> </w:t>
      </w:r>
      <w:r>
        <w:rPr>
          <w:color w:val="363436"/>
          <w:w w:val="110"/>
        </w:rPr>
        <w:t>to</w:t>
      </w:r>
      <w:r>
        <w:rPr>
          <w:color w:val="363436"/>
          <w:spacing w:val="-2"/>
          <w:w w:val="110"/>
        </w:rPr>
        <w:t> </w:t>
      </w:r>
      <w:r>
        <w:rPr>
          <w:color w:val="363436"/>
          <w:w w:val="110"/>
        </w:rPr>
        <w:t>language</w:t>
      </w:r>
      <w:r>
        <w:rPr>
          <w:color w:val="363436"/>
          <w:spacing w:val="-14"/>
          <w:w w:val="110"/>
        </w:rPr>
        <w:t> </w:t>
      </w:r>
      <w:r>
        <w:rPr>
          <w:color w:val="363436"/>
          <w:w w:val="110"/>
        </w:rPr>
        <w:t>from</w:t>
      </w:r>
      <w:r>
        <w:rPr>
          <w:color w:val="363436"/>
          <w:spacing w:val="-5"/>
          <w:w w:val="110"/>
        </w:rPr>
        <w:t> </w:t>
      </w:r>
      <w:r>
        <w:rPr>
          <w:color w:val="363436"/>
          <w:w w:val="110"/>
        </w:rPr>
        <w:t>a</w:t>
      </w:r>
      <w:r>
        <w:rPr>
          <w:color w:val="363436"/>
          <w:spacing w:val="6"/>
          <w:w w:val="110"/>
        </w:rPr>
        <w:t> </w:t>
      </w:r>
      <w:r>
        <w:rPr>
          <w:color w:val="363436"/>
          <w:w w:val="110"/>
        </w:rPr>
        <w:t>majority</w:t>
      </w:r>
      <w:r>
        <w:rPr>
          <w:color w:val="363436"/>
          <w:spacing w:val="-20"/>
          <w:w w:val="110"/>
        </w:rPr>
        <w:t> </w:t>
      </w:r>
      <w:r>
        <w:rPr>
          <w:color w:val="4D4D4D"/>
          <w:w w:val="110"/>
        </w:rPr>
        <w:t>opinion.</w:t>
      </w:r>
      <w:r>
        <w:rPr>
          <w:color w:val="4D4D4D"/>
          <w:spacing w:val="-31"/>
          <w:w w:val="110"/>
        </w:rPr>
        <w:t> </w:t>
      </w:r>
      <w:r>
        <w:rPr>
          <w:color w:val="363436"/>
          <w:w w:val="110"/>
        </w:rPr>
        <w:t>Thus,</w:t>
      </w:r>
      <w:r>
        <w:rPr>
          <w:color w:val="363436"/>
          <w:spacing w:val="-5"/>
          <w:w w:val="110"/>
        </w:rPr>
        <w:t> </w:t>
      </w:r>
      <w:r>
        <w:rPr>
          <w:color w:val="363436"/>
          <w:w w:val="110"/>
        </w:rPr>
        <w:t>when</w:t>
      </w:r>
      <w:r>
        <w:rPr>
          <w:color w:val="363436"/>
          <w:spacing w:val="-5"/>
          <w:w w:val="110"/>
        </w:rPr>
        <w:t> </w:t>
      </w:r>
      <w:r>
        <w:rPr>
          <w:color w:val="363436"/>
          <w:w w:val="110"/>
        </w:rPr>
        <w:t>you</w:t>
      </w:r>
      <w:r>
        <w:rPr>
          <w:color w:val="363436"/>
          <w:spacing w:val="-8"/>
          <w:w w:val="110"/>
        </w:rPr>
        <w:t> </w:t>
      </w:r>
      <w:r>
        <w:rPr>
          <w:color w:val="363436"/>
          <w:w w:val="110"/>
        </w:rPr>
        <w:t>cite</w:t>
      </w:r>
      <w:r>
        <w:rPr>
          <w:color w:val="363436"/>
          <w:spacing w:val="-8"/>
          <w:w w:val="110"/>
        </w:rPr>
        <w:t> </w:t>
      </w:r>
      <w:r>
        <w:rPr>
          <w:color w:val="363436"/>
          <w:w w:val="110"/>
        </w:rPr>
        <w:t>to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language from a plurality opinion, a concurrence, a dissent, etc., you must</w:t>
      </w:r>
      <w:r>
        <w:rPr>
          <w:color w:val="363436"/>
          <w:spacing w:val="-61"/>
          <w:w w:val="110"/>
        </w:rPr>
        <w:t> </w:t>
      </w:r>
      <w:r>
        <w:rPr>
          <w:color w:val="363436"/>
          <w:w w:val="110"/>
        </w:rPr>
        <w:t>indicate as much </w:t>
      </w:r>
      <w:r>
        <w:rPr>
          <w:color w:val="4D4D4D"/>
          <w:w w:val="110"/>
        </w:rPr>
        <w:t>in </w:t>
      </w:r>
      <w:r>
        <w:rPr>
          <w:color w:val="363436"/>
          <w:w w:val="110"/>
        </w:rPr>
        <w:t>a parenthetical after the citation. Use this parentheti­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cal even if you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have mentioned the type of opinion cited </w:t>
      </w:r>
      <w:r>
        <w:rPr>
          <w:color w:val="363436"/>
          <w:w w:val="110"/>
          <w:sz w:val="19"/>
        </w:rPr>
        <w:t>in</w:t>
      </w:r>
      <w:r>
        <w:rPr>
          <w:color w:val="363436"/>
          <w:spacing w:val="1"/>
          <w:w w:val="110"/>
          <w:sz w:val="19"/>
        </w:rPr>
        <w:t> </w:t>
      </w:r>
      <w:r>
        <w:rPr>
          <w:color w:val="363436"/>
          <w:w w:val="110"/>
        </w:rPr>
        <w:t>your text; it's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also true for both long-form and short-form citations. Thus, the following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citations</w:t>
      </w:r>
      <w:r>
        <w:rPr>
          <w:color w:val="363436"/>
          <w:spacing w:val="-6"/>
          <w:w w:val="110"/>
        </w:rPr>
        <w:t> </w:t>
      </w:r>
      <w:r>
        <w:rPr>
          <w:color w:val="363436"/>
          <w:w w:val="110"/>
        </w:rPr>
        <w:t>are</w:t>
      </w:r>
      <w:r>
        <w:rPr>
          <w:color w:val="363436"/>
          <w:spacing w:val="4"/>
          <w:w w:val="110"/>
        </w:rPr>
        <w:t> </w:t>
      </w:r>
      <w:r>
        <w:rPr>
          <w:color w:val="363436"/>
          <w:w w:val="110"/>
        </w:rPr>
        <w:t>all</w:t>
      </w:r>
      <w:r>
        <w:rPr>
          <w:color w:val="363436"/>
          <w:spacing w:val="9"/>
          <w:w w:val="110"/>
        </w:rPr>
        <w:t> </w:t>
      </w:r>
      <w:r>
        <w:rPr>
          <w:color w:val="363436"/>
          <w:w w:val="110"/>
        </w:rPr>
        <w:t>correct:</w:t>
      </w:r>
    </w:p>
    <w:p>
      <w:pPr>
        <w:spacing w:line="239" w:lineRule="exact" w:before="123"/>
        <w:ind w:left="670" w:right="0" w:firstLine="0"/>
        <w:jc w:val="left"/>
        <w:rPr>
          <w:sz w:val="20"/>
        </w:rPr>
      </w:pPr>
      <w:r>
        <w:rPr>
          <w:color w:val="363436"/>
          <w:spacing w:val="-1"/>
          <w:w w:val="120"/>
          <w:sz w:val="20"/>
          <w:u w:val="thick" w:color="363436"/>
        </w:rPr>
        <w:t>Donchatz</w:t>
      </w:r>
      <w:r>
        <w:rPr>
          <w:color w:val="363436"/>
          <w:spacing w:val="8"/>
          <w:w w:val="120"/>
          <w:sz w:val="20"/>
          <w:u w:val="thick" w:color="363436"/>
        </w:rPr>
        <w:t> </w:t>
      </w:r>
      <w:r>
        <w:rPr>
          <w:rFonts w:ascii="Arial"/>
          <w:color w:val="363436"/>
          <w:w w:val="120"/>
          <w:sz w:val="23"/>
          <w:u w:val="thick" w:color="363436"/>
        </w:rPr>
        <w:t>v.</w:t>
      </w:r>
      <w:r>
        <w:rPr>
          <w:rFonts w:ascii="Arial"/>
          <w:color w:val="363436"/>
          <w:spacing w:val="-46"/>
          <w:w w:val="120"/>
          <w:sz w:val="23"/>
          <w:u w:val="thick" w:color="363436"/>
        </w:rPr>
        <w:t> </w:t>
      </w:r>
      <w:r>
        <w:rPr>
          <w:color w:val="363436"/>
          <w:w w:val="120"/>
          <w:sz w:val="23"/>
          <w:u w:val="thick" w:color="363436"/>
        </w:rPr>
        <w:t>Com</w:t>
      </w:r>
      <w:r>
        <w:rPr>
          <w:color w:val="363436"/>
          <w:w w:val="120"/>
          <w:sz w:val="23"/>
        </w:rPr>
        <w:t>.</w:t>
      </w:r>
      <w:r>
        <w:rPr>
          <w:color w:val="363436"/>
          <w:spacing w:val="-34"/>
          <w:w w:val="120"/>
          <w:sz w:val="23"/>
        </w:rPr>
        <w:t> </w:t>
      </w:r>
      <w:r>
        <w:rPr>
          <w:color w:val="363436"/>
          <w:w w:val="120"/>
          <w:sz w:val="20"/>
        </w:rPr>
        <w:t>101</w:t>
      </w:r>
      <w:r>
        <w:rPr>
          <w:color w:val="363436"/>
          <w:spacing w:val="31"/>
          <w:w w:val="120"/>
          <w:sz w:val="20"/>
        </w:rPr>
        <w:t> </w:t>
      </w:r>
      <w:r>
        <w:rPr>
          <w:color w:val="363436"/>
          <w:w w:val="120"/>
          <w:sz w:val="20"/>
        </w:rPr>
        <w:t>U.S.</w:t>
      </w:r>
      <w:r>
        <w:rPr>
          <w:color w:val="363436"/>
          <w:spacing w:val="-26"/>
          <w:w w:val="120"/>
          <w:sz w:val="20"/>
        </w:rPr>
        <w:t> </w:t>
      </w:r>
      <w:r>
        <w:rPr>
          <w:color w:val="363436"/>
          <w:w w:val="120"/>
          <w:sz w:val="20"/>
        </w:rPr>
        <w:t>101,</w:t>
      </w:r>
      <w:r>
        <w:rPr>
          <w:color w:val="363436"/>
          <w:spacing w:val="-26"/>
          <w:w w:val="120"/>
          <w:sz w:val="20"/>
        </w:rPr>
        <w:t> </w:t>
      </w:r>
      <w:r>
        <w:rPr>
          <w:color w:val="363436"/>
          <w:w w:val="120"/>
          <w:sz w:val="20"/>
        </w:rPr>
        <w:t>125</w:t>
      </w:r>
      <w:r>
        <w:rPr>
          <w:color w:val="363436"/>
          <w:spacing w:val="-7"/>
          <w:w w:val="120"/>
          <w:sz w:val="20"/>
        </w:rPr>
        <w:t> </w:t>
      </w:r>
      <w:r>
        <w:rPr>
          <w:color w:val="363436"/>
          <w:w w:val="120"/>
          <w:sz w:val="20"/>
        </w:rPr>
        <w:t>(2006)</w:t>
      </w:r>
      <w:r>
        <w:rPr>
          <w:color w:val="363436"/>
          <w:spacing w:val="-1"/>
          <w:w w:val="120"/>
          <w:sz w:val="20"/>
        </w:rPr>
        <w:t> </w:t>
      </w:r>
      <w:r>
        <w:rPr>
          <w:color w:val="363436"/>
          <w:w w:val="120"/>
          <w:sz w:val="20"/>
        </w:rPr>
        <w:t>(plurality</w:t>
      </w:r>
      <w:r>
        <w:rPr>
          <w:color w:val="363436"/>
          <w:spacing w:val="-2"/>
          <w:w w:val="120"/>
          <w:sz w:val="20"/>
        </w:rPr>
        <w:t> </w:t>
      </w:r>
      <w:r>
        <w:rPr>
          <w:color w:val="363436"/>
          <w:w w:val="120"/>
          <w:sz w:val="20"/>
        </w:rPr>
        <w:t>opinion).</w:t>
      </w:r>
    </w:p>
    <w:p>
      <w:pPr>
        <w:spacing w:line="233" w:lineRule="exact" w:before="0"/>
        <w:ind w:left="657" w:right="0" w:firstLine="0"/>
        <w:jc w:val="left"/>
        <w:rPr>
          <w:sz w:val="20"/>
        </w:rPr>
      </w:pPr>
      <w:r>
        <w:rPr>
          <w:rFonts w:ascii="Arial"/>
          <w:color w:val="363436"/>
          <w:w w:val="120"/>
          <w:sz w:val="24"/>
        </w:rPr>
        <w:t>ill,</w:t>
      </w:r>
      <w:r>
        <w:rPr>
          <w:color w:val="363436"/>
          <w:w w:val="120"/>
          <w:sz w:val="20"/>
        </w:rPr>
        <w:t>at</w:t>
      </w:r>
      <w:r>
        <w:rPr>
          <w:color w:val="363436"/>
          <w:spacing w:val="19"/>
          <w:w w:val="120"/>
          <w:sz w:val="20"/>
        </w:rPr>
        <w:t> </w:t>
      </w:r>
      <w:r>
        <w:rPr>
          <w:color w:val="363436"/>
          <w:w w:val="120"/>
          <w:sz w:val="20"/>
        </w:rPr>
        <w:t>155(Williams,</w:t>
      </w:r>
      <w:r>
        <w:rPr>
          <w:color w:val="363436"/>
          <w:spacing w:val="-10"/>
          <w:w w:val="120"/>
          <w:sz w:val="20"/>
        </w:rPr>
        <w:t> </w:t>
      </w:r>
      <w:r>
        <w:rPr>
          <w:color w:val="363436"/>
          <w:w w:val="120"/>
          <w:sz w:val="24"/>
        </w:rPr>
        <w:t>J.,</w:t>
      </w:r>
      <w:r>
        <w:rPr>
          <w:color w:val="363436"/>
          <w:spacing w:val="-2"/>
          <w:w w:val="120"/>
          <w:sz w:val="24"/>
        </w:rPr>
        <w:t> </w:t>
      </w:r>
      <w:r>
        <w:rPr>
          <w:color w:val="363436"/>
          <w:w w:val="120"/>
          <w:sz w:val="20"/>
        </w:rPr>
        <w:t>dissenting).</w:t>
      </w:r>
    </w:p>
    <w:p>
      <w:pPr>
        <w:spacing w:line="270" w:lineRule="exact" w:before="0"/>
        <w:ind w:left="661" w:right="0" w:firstLine="0"/>
        <w:jc w:val="left"/>
        <w:rPr>
          <w:rFonts w:ascii="Arial"/>
          <w:sz w:val="19"/>
        </w:rPr>
      </w:pPr>
      <w:r>
        <w:rPr>
          <w:color w:val="363436"/>
          <w:w w:val="115"/>
          <w:sz w:val="20"/>
          <w:u w:val="thick" w:color="363436"/>
        </w:rPr>
        <w:t>Sanders</w:t>
      </w:r>
      <w:r>
        <w:rPr>
          <w:color w:val="363436"/>
          <w:w w:val="115"/>
          <w:sz w:val="20"/>
        </w:rPr>
        <w:t>. </w:t>
      </w:r>
      <w:r>
        <w:rPr>
          <w:color w:val="363436"/>
          <w:spacing w:val="3"/>
          <w:w w:val="115"/>
          <w:sz w:val="20"/>
        </w:rPr>
        <w:t> </w:t>
      </w:r>
      <w:r>
        <w:rPr>
          <w:color w:val="363436"/>
          <w:w w:val="115"/>
          <w:sz w:val="20"/>
        </w:rPr>
        <w:t>101 </w:t>
      </w:r>
      <w:r>
        <w:rPr>
          <w:color w:val="363436"/>
          <w:spacing w:val="27"/>
          <w:w w:val="115"/>
          <w:sz w:val="20"/>
        </w:rPr>
        <w:t> </w:t>
      </w:r>
      <w:r>
        <w:rPr>
          <w:color w:val="363436"/>
          <w:w w:val="115"/>
          <w:sz w:val="20"/>
        </w:rPr>
        <w:t>N.E.2d </w:t>
      </w:r>
      <w:r>
        <w:rPr>
          <w:color w:val="363436"/>
          <w:spacing w:val="18"/>
          <w:w w:val="115"/>
          <w:sz w:val="20"/>
        </w:rPr>
        <w:t> </w:t>
      </w:r>
      <w:r>
        <w:rPr>
          <w:color w:val="363436"/>
          <w:w w:val="115"/>
          <w:sz w:val="20"/>
        </w:rPr>
        <w:t>at </w:t>
      </w:r>
      <w:r>
        <w:rPr>
          <w:color w:val="363436"/>
          <w:spacing w:val="34"/>
          <w:w w:val="115"/>
          <w:sz w:val="20"/>
        </w:rPr>
        <w:t> </w:t>
      </w:r>
      <w:r>
        <w:rPr>
          <w:color w:val="363436"/>
          <w:w w:val="115"/>
          <w:sz w:val="20"/>
        </w:rPr>
        <w:t>135 </w:t>
      </w:r>
      <w:r>
        <w:rPr>
          <w:color w:val="363436"/>
          <w:spacing w:val="43"/>
          <w:w w:val="115"/>
          <w:sz w:val="20"/>
        </w:rPr>
        <w:t> </w:t>
      </w:r>
      <w:r>
        <w:rPr>
          <w:color w:val="363436"/>
          <w:w w:val="115"/>
          <w:sz w:val="20"/>
        </w:rPr>
        <w:t>(Moyer, </w:t>
      </w:r>
      <w:r>
        <w:rPr>
          <w:color w:val="363436"/>
          <w:spacing w:val="1"/>
          <w:w w:val="115"/>
          <w:sz w:val="20"/>
        </w:rPr>
        <w:t> </w:t>
      </w:r>
      <w:r>
        <w:rPr>
          <w:color w:val="363436"/>
          <w:w w:val="115"/>
          <w:sz w:val="25"/>
        </w:rPr>
        <w:t>C.J.,</w:t>
      </w:r>
      <w:r>
        <w:rPr>
          <w:color w:val="363436"/>
          <w:spacing w:val="55"/>
          <w:w w:val="115"/>
          <w:sz w:val="25"/>
        </w:rPr>
        <w:t> </w:t>
      </w:r>
      <w:r>
        <w:rPr>
          <w:color w:val="363436"/>
          <w:w w:val="115"/>
          <w:sz w:val="20"/>
        </w:rPr>
        <w:t>concurring </w:t>
      </w:r>
      <w:r>
        <w:rPr>
          <w:color w:val="363436"/>
          <w:spacing w:val="7"/>
          <w:w w:val="115"/>
          <w:sz w:val="20"/>
        </w:rPr>
        <w:t> </w:t>
      </w:r>
      <w:r>
        <w:rPr>
          <w:color w:val="363436"/>
          <w:w w:val="115"/>
          <w:sz w:val="19"/>
        </w:rPr>
        <w:t>in </w:t>
      </w:r>
      <w:r>
        <w:rPr>
          <w:color w:val="363436"/>
          <w:spacing w:val="9"/>
          <w:w w:val="115"/>
          <w:sz w:val="19"/>
        </w:rPr>
        <w:t> </w:t>
      </w:r>
      <w:r>
        <w:rPr>
          <w:color w:val="363436"/>
          <w:w w:val="115"/>
          <w:sz w:val="20"/>
        </w:rPr>
        <w:t>part </w:t>
      </w:r>
      <w:r>
        <w:rPr>
          <w:color w:val="363436"/>
          <w:spacing w:val="2"/>
          <w:w w:val="115"/>
          <w:sz w:val="20"/>
        </w:rPr>
        <w:t> </w:t>
      </w:r>
      <w:r>
        <w:rPr>
          <w:rFonts w:ascii="Arial"/>
          <w:color w:val="363436"/>
          <w:w w:val="115"/>
          <w:sz w:val="19"/>
        </w:rPr>
        <w:t>and</w:t>
      </w:r>
    </w:p>
    <w:p>
      <w:pPr>
        <w:spacing w:before="0"/>
        <w:ind w:left="675" w:right="0" w:firstLine="0"/>
        <w:jc w:val="left"/>
        <w:rPr>
          <w:b/>
          <w:sz w:val="20"/>
        </w:rPr>
      </w:pPr>
      <w:r>
        <w:rPr>
          <w:b/>
          <w:color w:val="363436"/>
          <w:w w:val="115"/>
          <w:sz w:val="20"/>
        </w:rPr>
        <w:t>dissenting</w:t>
      </w:r>
      <w:r>
        <w:rPr>
          <w:b/>
          <w:color w:val="363436"/>
          <w:spacing w:val="-10"/>
          <w:w w:val="115"/>
          <w:sz w:val="20"/>
        </w:rPr>
        <w:t> </w:t>
      </w:r>
      <w:r>
        <w:rPr>
          <w:b/>
          <w:color w:val="363436"/>
          <w:w w:val="115"/>
          <w:sz w:val="20"/>
        </w:rPr>
        <w:t>in</w:t>
      </w:r>
      <w:r>
        <w:rPr>
          <w:b/>
          <w:color w:val="363436"/>
          <w:spacing w:val="8"/>
          <w:w w:val="115"/>
          <w:sz w:val="20"/>
        </w:rPr>
        <w:t> </w:t>
      </w:r>
      <w:r>
        <w:rPr>
          <w:b/>
          <w:color w:val="363436"/>
          <w:w w:val="115"/>
          <w:sz w:val="20"/>
        </w:rPr>
        <w:t>part).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spacing w:before="0"/>
        <w:ind w:left="876" w:right="0" w:firstLine="0"/>
        <w:jc w:val="left"/>
        <w:rPr>
          <w:rFonts w:ascii="Arial"/>
          <w:b/>
          <w:sz w:val="31"/>
        </w:rPr>
      </w:pPr>
      <w:r>
        <w:rPr>
          <w:rFonts w:ascii="Arial"/>
          <w:b/>
          <w:color w:val="6E6E70"/>
          <w:w w:val="105"/>
          <w:sz w:val="31"/>
        </w:rPr>
        <w:t>A.</w:t>
      </w:r>
      <w:r>
        <w:rPr>
          <w:rFonts w:ascii="Arial"/>
          <w:b/>
          <w:color w:val="898A8C"/>
          <w:w w:val="105"/>
          <w:sz w:val="31"/>
        </w:rPr>
        <w:t>3</w:t>
      </w:r>
    </w:p>
    <w:p>
      <w:pPr>
        <w:spacing w:before="66"/>
        <w:ind w:left="872" w:right="0" w:firstLine="0"/>
        <w:jc w:val="left"/>
        <w:rPr>
          <w:rFonts w:ascii="Arial"/>
          <w:sz w:val="25"/>
        </w:rPr>
      </w:pPr>
      <w:r>
        <w:rPr>
          <w:rFonts w:ascii="Arial"/>
          <w:color w:val="5D5D5E"/>
          <w:w w:val="105"/>
          <w:sz w:val="26"/>
        </w:rPr>
        <w:t>C</w:t>
      </w:r>
      <w:r>
        <w:rPr>
          <w:rFonts w:ascii="Arial"/>
          <w:color w:val="898A8C"/>
          <w:w w:val="105"/>
          <w:sz w:val="26"/>
        </w:rPr>
        <w:t>HANGING</w:t>
      </w:r>
      <w:r>
        <w:rPr>
          <w:rFonts w:ascii="Arial"/>
          <w:color w:val="898A8C"/>
          <w:spacing w:val="63"/>
          <w:w w:val="105"/>
          <w:sz w:val="26"/>
        </w:rPr>
        <w:t> </w:t>
      </w:r>
      <w:r>
        <w:rPr>
          <w:rFonts w:ascii="Arial"/>
          <w:color w:val="898A8C"/>
          <w:w w:val="105"/>
          <w:sz w:val="25"/>
        </w:rPr>
        <w:t>SEN</w:t>
      </w:r>
      <w:r>
        <w:rPr>
          <w:rFonts w:ascii="Arial"/>
          <w:color w:val="6E6E70"/>
          <w:w w:val="105"/>
          <w:sz w:val="25"/>
        </w:rPr>
        <w:t>T</w:t>
      </w:r>
      <w:r>
        <w:rPr>
          <w:rFonts w:ascii="Arial"/>
          <w:color w:val="898A8C"/>
          <w:w w:val="105"/>
          <w:sz w:val="25"/>
        </w:rPr>
        <w:t>ENC</w:t>
      </w:r>
      <w:r>
        <w:rPr>
          <w:rFonts w:ascii="Arial"/>
          <w:color w:val="6E6E70"/>
          <w:w w:val="105"/>
          <w:sz w:val="25"/>
        </w:rPr>
        <w:t>E</w:t>
      </w:r>
      <w:r>
        <w:rPr>
          <w:rFonts w:ascii="Arial"/>
          <w:color w:val="6E6E70"/>
          <w:spacing w:val="11"/>
          <w:w w:val="105"/>
          <w:sz w:val="25"/>
        </w:rPr>
        <w:t> </w:t>
      </w:r>
      <w:r>
        <w:rPr>
          <w:rFonts w:ascii="Arial"/>
          <w:color w:val="898A8C"/>
          <w:w w:val="105"/>
          <w:sz w:val="25"/>
        </w:rPr>
        <w:t>S</w:t>
      </w:r>
      <w:r>
        <w:rPr>
          <w:rFonts w:ascii="Arial"/>
          <w:color w:val="6E6E70"/>
          <w:w w:val="105"/>
          <w:sz w:val="25"/>
        </w:rPr>
        <w:t>T</w:t>
      </w:r>
      <w:r>
        <w:rPr>
          <w:rFonts w:ascii="Arial"/>
          <w:color w:val="898A8C"/>
          <w:w w:val="105"/>
          <w:sz w:val="25"/>
        </w:rPr>
        <w:t>RUCTURE</w:t>
      </w:r>
      <w:r>
        <w:rPr>
          <w:rFonts w:ascii="Arial"/>
          <w:color w:val="898A8C"/>
          <w:spacing w:val="-17"/>
          <w:w w:val="105"/>
          <w:sz w:val="25"/>
        </w:rPr>
        <w:t> </w:t>
      </w:r>
      <w:r>
        <w:rPr>
          <w:rFonts w:ascii="Arial"/>
          <w:color w:val="898A8C"/>
          <w:w w:val="105"/>
          <w:sz w:val="25"/>
        </w:rPr>
        <w:t>TO</w:t>
      </w:r>
    </w:p>
    <w:p>
      <w:pPr>
        <w:spacing w:before="87"/>
        <w:ind w:left="876" w:right="0" w:firstLine="0"/>
        <w:jc w:val="left"/>
        <w:rPr>
          <w:rFonts w:ascii="Arial"/>
          <w:sz w:val="26"/>
        </w:rPr>
      </w:pPr>
      <w:r>
        <w:rPr>
          <w:rFonts w:ascii="Arial"/>
          <w:color w:val="6E6E70"/>
          <w:w w:val="105"/>
          <w:sz w:val="26"/>
        </w:rPr>
        <w:t>A</w:t>
      </w:r>
      <w:r>
        <w:rPr>
          <w:rFonts w:ascii="Arial"/>
          <w:color w:val="898A8C"/>
          <w:w w:val="105"/>
          <w:sz w:val="26"/>
        </w:rPr>
        <w:t>CCOM</w:t>
      </w:r>
      <w:r>
        <w:rPr>
          <w:rFonts w:ascii="Arial"/>
          <w:color w:val="A3A5A7"/>
          <w:w w:val="105"/>
          <w:sz w:val="26"/>
        </w:rPr>
        <w:t>tv</w:t>
      </w:r>
      <w:r>
        <w:rPr>
          <w:rFonts w:ascii="Arial"/>
          <w:color w:val="898A8C"/>
          <w:w w:val="105"/>
          <w:sz w:val="26"/>
        </w:rPr>
        <w:t>10DATE</w:t>
      </w:r>
      <w:r>
        <w:rPr>
          <w:rFonts w:ascii="Arial"/>
          <w:color w:val="898A8C"/>
          <w:spacing w:val="-7"/>
          <w:w w:val="105"/>
          <w:sz w:val="26"/>
        </w:rPr>
        <w:t> </w:t>
      </w:r>
      <w:r>
        <w:rPr>
          <w:rFonts w:ascii="Arial"/>
          <w:color w:val="6E6E70"/>
          <w:w w:val="105"/>
          <w:sz w:val="26"/>
        </w:rPr>
        <w:t>C</w:t>
      </w:r>
      <w:r>
        <w:rPr>
          <w:rFonts w:ascii="Arial"/>
          <w:color w:val="898A8C"/>
          <w:w w:val="105"/>
          <w:sz w:val="26"/>
        </w:rPr>
        <w:t>ITATION</w:t>
      </w:r>
      <w:r>
        <w:rPr>
          <w:rFonts w:ascii="Arial"/>
          <w:color w:val="898A8C"/>
          <w:spacing w:val="72"/>
          <w:w w:val="105"/>
          <w:sz w:val="26"/>
        </w:rPr>
        <w:t> </w:t>
      </w:r>
      <w:r>
        <w:rPr>
          <w:rFonts w:ascii="Arial"/>
          <w:color w:val="898A8C"/>
          <w:w w:val="105"/>
          <w:sz w:val="26"/>
        </w:rPr>
        <w:t>FORM</w:t>
      </w:r>
    </w:p>
    <w:p>
      <w:pPr>
        <w:pStyle w:val="BodyText"/>
        <w:spacing w:before="240"/>
        <w:ind w:left="911"/>
        <w:jc w:val="both"/>
      </w:pPr>
      <w:r>
        <w:rPr>
          <w:color w:val="363436"/>
          <w:w w:val="110"/>
        </w:rPr>
        <w:t>Many</w:t>
      </w:r>
      <w:r>
        <w:rPr>
          <w:color w:val="363436"/>
          <w:spacing w:val="19"/>
          <w:w w:val="110"/>
        </w:rPr>
        <w:t> </w:t>
      </w:r>
      <w:r>
        <w:rPr>
          <w:color w:val="363436"/>
          <w:w w:val="110"/>
        </w:rPr>
        <w:t>writers</w:t>
      </w:r>
      <w:r>
        <w:rPr>
          <w:color w:val="363436"/>
          <w:spacing w:val="9"/>
          <w:w w:val="110"/>
        </w:rPr>
        <w:t> </w:t>
      </w:r>
      <w:r>
        <w:rPr>
          <w:color w:val="363436"/>
          <w:w w:val="110"/>
        </w:rPr>
        <w:t>instinctively</w:t>
      </w:r>
      <w:r>
        <w:rPr>
          <w:color w:val="363436"/>
          <w:spacing w:val="26"/>
          <w:w w:val="110"/>
        </w:rPr>
        <w:t> </w:t>
      </w:r>
      <w:r>
        <w:rPr>
          <w:color w:val="363436"/>
          <w:w w:val="110"/>
        </w:rPr>
        <w:t>begin</w:t>
      </w:r>
      <w:r>
        <w:rPr>
          <w:color w:val="363436"/>
          <w:spacing w:val="5"/>
          <w:w w:val="110"/>
        </w:rPr>
        <w:t> </w:t>
      </w:r>
      <w:r>
        <w:rPr>
          <w:color w:val="363436"/>
          <w:w w:val="110"/>
        </w:rPr>
        <w:t>sentences</w:t>
      </w:r>
      <w:r>
        <w:rPr>
          <w:color w:val="363436"/>
          <w:spacing w:val="15"/>
          <w:w w:val="110"/>
        </w:rPr>
        <w:t> </w:t>
      </w:r>
      <w:r>
        <w:rPr>
          <w:color w:val="363436"/>
          <w:w w:val="110"/>
        </w:rPr>
        <w:t>with</w:t>
      </w:r>
      <w:r>
        <w:rPr>
          <w:color w:val="363436"/>
          <w:spacing w:val="9"/>
          <w:w w:val="110"/>
        </w:rPr>
        <w:t> </w:t>
      </w:r>
      <w:r>
        <w:rPr>
          <w:color w:val="363436"/>
          <w:w w:val="110"/>
        </w:rPr>
        <w:t>a</w:t>
      </w:r>
      <w:r>
        <w:rPr>
          <w:color w:val="363436"/>
          <w:spacing w:val="6"/>
          <w:w w:val="110"/>
        </w:rPr>
        <w:t> </w:t>
      </w:r>
      <w:r>
        <w:rPr>
          <w:color w:val="363436"/>
          <w:w w:val="110"/>
        </w:rPr>
        <w:t>citation:</w:t>
      </w:r>
    </w:p>
    <w:p>
      <w:pPr>
        <w:spacing w:line="237" w:lineRule="auto" w:before="122"/>
        <w:ind w:left="689" w:right="1045" w:hanging="2"/>
        <w:jc w:val="both"/>
        <w:rPr>
          <w:b/>
          <w:sz w:val="20"/>
        </w:rPr>
      </w:pPr>
      <w:r>
        <w:rPr>
          <w:color w:val="363436"/>
          <w:w w:val="110"/>
          <w:sz w:val="21"/>
        </w:rPr>
        <w:t>In </w:t>
      </w:r>
      <w:r>
        <w:rPr>
          <w:color w:val="363436"/>
          <w:w w:val="110"/>
          <w:sz w:val="20"/>
          <w:u w:val="thick" w:color="363436"/>
        </w:rPr>
        <w:t>McGuffin </w:t>
      </w:r>
      <w:r>
        <w:rPr>
          <w:rFonts w:ascii="Arial"/>
          <w:color w:val="363436"/>
          <w:w w:val="110"/>
          <w:sz w:val="23"/>
          <w:u w:val="thick" w:color="363436"/>
        </w:rPr>
        <w:t>v. </w:t>
      </w:r>
      <w:r>
        <w:rPr>
          <w:color w:val="363436"/>
          <w:w w:val="110"/>
          <w:sz w:val="23"/>
          <w:u w:val="thick" w:color="363436"/>
        </w:rPr>
        <w:t>Consolidated Ice Cream Board.</w:t>
      </w:r>
      <w:r>
        <w:rPr>
          <w:color w:val="363436"/>
          <w:w w:val="110"/>
          <w:sz w:val="23"/>
        </w:rPr>
        <w:t> </w:t>
      </w:r>
      <w:r>
        <w:rPr>
          <w:color w:val="363436"/>
          <w:w w:val="110"/>
          <w:sz w:val="21"/>
        </w:rPr>
        <w:t>44 </w:t>
      </w:r>
      <w:r>
        <w:rPr>
          <w:color w:val="363436"/>
          <w:w w:val="110"/>
          <w:sz w:val="20"/>
        </w:rPr>
        <w:t>N.E.2d 33, 39 (Ind.</w:t>
      </w:r>
      <w:r>
        <w:rPr>
          <w:color w:val="363436"/>
          <w:spacing w:val="1"/>
          <w:w w:val="110"/>
          <w:sz w:val="20"/>
        </w:rPr>
        <w:t> </w:t>
      </w:r>
      <w:r>
        <w:rPr>
          <w:b/>
          <w:color w:val="363436"/>
          <w:w w:val="115"/>
          <w:sz w:val="20"/>
        </w:rPr>
        <w:t>1981), the </w:t>
      </w:r>
      <w:r>
        <w:rPr>
          <w:b/>
          <w:color w:val="4D4D4D"/>
          <w:w w:val="115"/>
          <w:sz w:val="20"/>
        </w:rPr>
        <w:t>court </w:t>
      </w:r>
      <w:r>
        <w:rPr>
          <w:b/>
          <w:color w:val="363436"/>
          <w:w w:val="115"/>
          <w:sz w:val="20"/>
        </w:rPr>
        <w:t>found that ice cream is a </w:t>
      </w:r>
      <w:r>
        <w:rPr>
          <w:b/>
          <w:color w:val="4D4D4D"/>
          <w:w w:val="115"/>
          <w:sz w:val="20"/>
        </w:rPr>
        <w:t>"traditional </w:t>
      </w:r>
      <w:r>
        <w:rPr>
          <w:b/>
          <w:color w:val="363436"/>
          <w:w w:val="115"/>
          <w:sz w:val="20"/>
        </w:rPr>
        <w:t>dessert" within</w:t>
      </w:r>
      <w:r>
        <w:rPr>
          <w:b/>
          <w:color w:val="363436"/>
          <w:spacing w:val="1"/>
          <w:w w:val="115"/>
          <w:sz w:val="20"/>
        </w:rPr>
        <w:t> </w:t>
      </w:r>
      <w:r>
        <w:rPr>
          <w:b/>
          <w:color w:val="363436"/>
          <w:w w:val="115"/>
          <w:sz w:val="20"/>
        </w:rPr>
        <w:t>the</w:t>
      </w:r>
      <w:r>
        <w:rPr>
          <w:b/>
          <w:color w:val="363436"/>
          <w:spacing w:val="-31"/>
          <w:w w:val="115"/>
          <w:sz w:val="20"/>
        </w:rPr>
        <w:t> </w:t>
      </w:r>
      <w:r>
        <w:rPr>
          <w:b/>
          <w:color w:val="363436"/>
          <w:w w:val="115"/>
          <w:sz w:val="20"/>
        </w:rPr>
        <w:t>meaning</w:t>
      </w:r>
      <w:r>
        <w:rPr>
          <w:b/>
          <w:color w:val="363436"/>
          <w:spacing w:val="-7"/>
          <w:w w:val="115"/>
          <w:sz w:val="20"/>
        </w:rPr>
        <w:t> </w:t>
      </w:r>
      <w:r>
        <w:rPr>
          <w:b/>
          <w:color w:val="363436"/>
          <w:w w:val="115"/>
          <w:sz w:val="20"/>
        </w:rPr>
        <w:t>of</w:t>
      </w:r>
      <w:r>
        <w:rPr>
          <w:b/>
          <w:color w:val="363436"/>
          <w:spacing w:val="8"/>
          <w:w w:val="115"/>
          <w:sz w:val="20"/>
        </w:rPr>
        <w:t> </w:t>
      </w:r>
      <w:r>
        <w:rPr>
          <w:b/>
          <w:color w:val="363436"/>
          <w:w w:val="115"/>
          <w:sz w:val="20"/>
        </w:rPr>
        <w:t>the</w:t>
      </w:r>
      <w:r>
        <w:rPr>
          <w:b/>
          <w:color w:val="363436"/>
          <w:spacing w:val="10"/>
          <w:w w:val="115"/>
          <w:sz w:val="20"/>
        </w:rPr>
        <w:t> </w:t>
      </w:r>
      <w:r>
        <w:rPr>
          <w:b/>
          <w:color w:val="363436"/>
          <w:w w:val="115"/>
          <w:sz w:val="20"/>
        </w:rPr>
        <w:t>Mousse</w:t>
      </w:r>
      <w:r>
        <w:rPr>
          <w:b/>
          <w:color w:val="363436"/>
          <w:spacing w:val="-13"/>
          <w:w w:val="115"/>
          <w:sz w:val="20"/>
        </w:rPr>
        <w:t> </w:t>
      </w:r>
      <w:r>
        <w:rPr>
          <w:b/>
          <w:color w:val="363436"/>
          <w:w w:val="115"/>
          <w:sz w:val="20"/>
        </w:rPr>
        <w:t>Statute.</w:t>
      </w:r>
    </w:p>
    <w:p>
      <w:pPr>
        <w:pStyle w:val="BodyText"/>
        <w:spacing w:line="232" w:lineRule="auto" w:before="154"/>
        <w:ind w:left="347" w:right="630" w:hanging="9"/>
        <w:jc w:val="both"/>
      </w:pPr>
      <w:r>
        <w:rPr>
          <w:color w:val="363436"/>
          <w:w w:val="115"/>
        </w:rPr>
        <w:t>This sentence is hard to read because the citation takes up a lot of space</w:t>
      </w:r>
      <w:r>
        <w:rPr>
          <w:color w:val="363436"/>
          <w:spacing w:val="-64"/>
          <w:w w:val="115"/>
        </w:rPr>
        <w:t> </w:t>
      </w:r>
      <w:r>
        <w:rPr>
          <w:color w:val="363436"/>
          <w:w w:val="115"/>
        </w:rPr>
        <w:t>within the sentence. In addition, this structure puts too much emphasis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on the citation and not enough emphasis on the substance of the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sen­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0"/>
        </w:rPr>
        <w:t>tence. To solve this problem, some writers would separate the case name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5"/>
        </w:rPr>
        <w:t>from</w:t>
      </w:r>
      <w:r>
        <w:rPr>
          <w:color w:val="363436"/>
          <w:spacing w:val="-5"/>
          <w:w w:val="115"/>
        </w:rPr>
        <w:t> </w:t>
      </w:r>
      <w:r>
        <w:rPr>
          <w:color w:val="363436"/>
          <w:w w:val="115"/>
        </w:rPr>
        <w:t>the</w:t>
      </w:r>
      <w:r>
        <w:rPr>
          <w:color w:val="363436"/>
          <w:spacing w:val="42"/>
          <w:w w:val="115"/>
        </w:rPr>
        <w:t> </w:t>
      </w:r>
      <w:r>
        <w:rPr>
          <w:color w:val="363436"/>
          <w:w w:val="115"/>
        </w:rPr>
        <w:t>rest</w:t>
      </w:r>
      <w:r>
        <w:rPr>
          <w:color w:val="363436"/>
          <w:spacing w:val="-12"/>
          <w:w w:val="115"/>
        </w:rPr>
        <w:t> </w:t>
      </w:r>
      <w:r>
        <w:rPr>
          <w:color w:val="363436"/>
          <w:w w:val="115"/>
        </w:rPr>
        <w:t>of</w:t>
      </w:r>
      <w:r>
        <w:rPr>
          <w:color w:val="363436"/>
          <w:spacing w:val="6"/>
          <w:w w:val="115"/>
        </w:rPr>
        <w:t> </w:t>
      </w:r>
      <w:r>
        <w:rPr>
          <w:color w:val="363436"/>
          <w:w w:val="115"/>
        </w:rPr>
        <w:t>the</w:t>
      </w:r>
      <w:r>
        <w:rPr>
          <w:color w:val="363436"/>
          <w:spacing w:val="34"/>
          <w:w w:val="115"/>
        </w:rPr>
        <w:t> </w:t>
      </w:r>
      <w:r>
        <w:rPr>
          <w:color w:val="363436"/>
          <w:w w:val="115"/>
        </w:rPr>
        <w:t>citation:</w:t>
      </w:r>
    </w:p>
    <w:p>
      <w:pPr>
        <w:pStyle w:val="BodyText"/>
        <w:spacing w:before="9"/>
        <w:rPr>
          <w:sz w:val="11"/>
        </w:rPr>
      </w:pPr>
    </w:p>
    <w:p>
      <w:pPr>
        <w:tabs>
          <w:tab w:pos="482" w:val="left" w:leader="none"/>
        </w:tabs>
        <w:spacing w:before="95"/>
        <w:ind w:left="140" w:right="0" w:firstLine="0"/>
        <w:jc w:val="left"/>
        <w:rPr>
          <w:sz w:val="15"/>
        </w:rPr>
      </w:pPr>
      <w:r>
        <w:rPr>
          <w:color w:val="4D4D4D"/>
          <w:w w:val="100"/>
          <w:sz w:val="15"/>
          <w:u w:val="thick" w:color="5D5D5E"/>
        </w:rPr>
        <w:t> </w:t>
      </w:r>
      <w:r>
        <w:rPr>
          <w:color w:val="4D4D4D"/>
          <w:sz w:val="15"/>
          <w:u w:val="thick" w:color="5D5D5E"/>
        </w:rPr>
        <w:tab/>
      </w:r>
      <w:r>
        <w:rPr>
          <w:color w:val="4D4D4D"/>
          <w:sz w:val="15"/>
        </w:rPr>
        <w:t>    </w:t>
      </w:r>
      <w:r>
        <w:rPr>
          <w:color w:val="4D4D4D"/>
          <w:spacing w:val="-9"/>
          <w:sz w:val="15"/>
        </w:rPr>
        <w:t> </w:t>
      </w:r>
      <w:r>
        <w:rPr>
          <w:color w:val="4D4D4D"/>
          <w:sz w:val="15"/>
          <w:u w:val="thick" w:color="6E6E70"/>
        </w:rPr>
        <w:t>BAD</w:t>
      </w:r>
      <w:r>
        <w:rPr>
          <w:color w:val="4D4D4D"/>
          <w:spacing w:val="-3"/>
          <w:sz w:val="15"/>
          <w:u w:val="thick" w:color="6E6E70"/>
        </w:rPr>
        <w:t> </w:t>
      </w:r>
      <w:r>
        <w:rPr>
          <w:color w:val="6E6E70"/>
          <w:sz w:val="15"/>
          <w:u w:val="thick" w:color="6E6E70"/>
        </w:rPr>
        <w:t>EXAMPLE</w:t>
      </w:r>
    </w:p>
    <w:p>
      <w:pPr>
        <w:spacing w:line="232" w:lineRule="auto" w:before="56"/>
        <w:ind w:left="680" w:right="997" w:firstLine="17"/>
        <w:jc w:val="both"/>
        <w:rPr>
          <w:sz w:val="20"/>
        </w:rPr>
      </w:pPr>
      <w:r>
        <w:rPr>
          <w:color w:val="363436"/>
          <w:w w:val="110"/>
          <w:sz w:val="20"/>
        </w:rPr>
        <w:t>In</w:t>
      </w:r>
      <w:r>
        <w:rPr>
          <w:color w:val="363436"/>
          <w:spacing w:val="1"/>
          <w:w w:val="110"/>
          <w:sz w:val="20"/>
        </w:rPr>
        <w:t> </w:t>
      </w:r>
      <w:r>
        <w:rPr>
          <w:color w:val="363436"/>
          <w:w w:val="110"/>
          <w:sz w:val="20"/>
          <w:u w:val="thick" w:color="363436"/>
        </w:rPr>
        <w:t>McGuffin </w:t>
      </w:r>
      <w:r>
        <w:rPr>
          <w:rFonts w:ascii="Arial"/>
          <w:color w:val="363436"/>
          <w:w w:val="110"/>
          <w:sz w:val="23"/>
          <w:u w:val="thick" w:color="363436"/>
        </w:rPr>
        <w:t>v. </w:t>
      </w:r>
      <w:r>
        <w:rPr>
          <w:color w:val="363436"/>
          <w:w w:val="110"/>
          <w:sz w:val="23"/>
          <w:u w:val="thick" w:color="363436"/>
        </w:rPr>
        <w:t>Consolidated Ice Cream </w:t>
      </w:r>
      <w:r>
        <w:rPr>
          <w:rFonts w:ascii="Arial"/>
          <w:b/>
          <w:color w:val="363436"/>
          <w:w w:val="110"/>
          <w:sz w:val="22"/>
          <w:u w:val="thick" w:color="363436"/>
        </w:rPr>
        <w:t>Board</w:t>
      </w:r>
      <w:r>
        <w:rPr>
          <w:rFonts w:ascii="Arial"/>
          <w:b/>
          <w:color w:val="363436"/>
          <w:w w:val="110"/>
          <w:sz w:val="22"/>
        </w:rPr>
        <w:t>. </w:t>
      </w:r>
      <w:r>
        <w:rPr>
          <w:color w:val="363436"/>
          <w:w w:val="110"/>
          <w:sz w:val="20"/>
        </w:rPr>
        <w:t>the</w:t>
      </w:r>
      <w:r>
        <w:rPr>
          <w:color w:val="363436"/>
          <w:spacing w:val="1"/>
          <w:w w:val="110"/>
          <w:sz w:val="20"/>
        </w:rPr>
        <w:t> </w:t>
      </w:r>
      <w:r>
        <w:rPr>
          <w:color w:val="363436"/>
          <w:w w:val="110"/>
          <w:sz w:val="20"/>
        </w:rPr>
        <w:t>court found that</w:t>
      </w:r>
      <w:r>
        <w:rPr>
          <w:color w:val="363436"/>
          <w:spacing w:val="1"/>
          <w:w w:val="110"/>
          <w:sz w:val="20"/>
        </w:rPr>
        <w:t> </w:t>
      </w:r>
      <w:r>
        <w:rPr>
          <w:color w:val="363436"/>
          <w:w w:val="120"/>
          <w:sz w:val="20"/>
        </w:rPr>
        <w:t>icecream </w:t>
      </w:r>
      <w:r>
        <w:rPr>
          <w:b/>
          <w:color w:val="363436"/>
          <w:w w:val="120"/>
          <w:sz w:val="20"/>
        </w:rPr>
        <w:t>is a </w:t>
      </w:r>
      <w:r>
        <w:rPr>
          <w:color w:val="4D4D4D"/>
          <w:w w:val="120"/>
          <w:sz w:val="20"/>
        </w:rPr>
        <w:t>"traditional </w:t>
      </w:r>
      <w:r>
        <w:rPr>
          <w:color w:val="363436"/>
          <w:w w:val="120"/>
          <w:sz w:val="20"/>
        </w:rPr>
        <w:t>dessert" </w:t>
      </w:r>
      <w:r>
        <w:rPr>
          <w:b/>
          <w:color w:val="363436"/>
          <w:w w:val="120"/>
          <w:sz w:val="20"/>
        </w:rPr>
        <w:t>within the </w:t>
      </w:r>
      <w:r>
        <w:rPr>
          <w:color w:val="363436"/>
          <w:w w:val="120"/>
          <w:sz w:val="20"/>
        </w:rPr>
        <w:t>meaning </w:t>
      </w:r>
      <w:r>
        <w:rPr>
          <w:b/>
          <w:color w:val="363436"/>
          <w:w w:val="120"/>
          <w:sz w:val="20"/>
        </w:rPr>
        <w:t>of the Mousse</w:t>
      </w:r>
      <w:r>
        <w:rPr>
          <w:b/>
          <w:color w:val="363436"/>
          <w:spacing w:val="1"/>
          <w:w w:val="120"/>
          <w:sz w:val="20"/>
        </w:rPr>
        <w:t> </w:t>
      </w:r>
      <w:r>
        <w:rPr>
          <w:color w:val="363436"/>
          <w:w w:val="120"/>
          <w:sz w:val="20"/>
        </w:rPr>
        <w:t>Statute.</w:t>
      </w:r>
      <w:r>
        <w:rPr>
          <w:color w:val="363436"/>
          <w:spacing w:val="-27"/>
          <w:w w:val="120"/>
          <w:sz w:val="20"/>
        </w:rPr>
        <w:t> </w:t>
      </w:r>
      <w:r>
        <w:rPr>
          <w:color w:val="363436"/>
          <w:w w:val="120"/>
          <w:sz w:val="20"/>
        </w:rPr>
        <w:t>44</w:t>
      </w:r>
      <w:r>
        <w:rPr>
          <w:color w:val="363436"/>
          <w:spacing w:val="2"/>
          <w:w w:val="120"/>
          <w:sz w:val="20"/>
        </w:rPr>
        <w:t> </w:t>
      </w:r>
      <w:r>
        <w:rPr>
          <w:color w:val="363436"/>
          <w:w w:val="120"/>
          <w:sz w:val="20"/>
        </w:rPr>
        <w:t>N.E.2d</w:t>
      </w:r>
      <w:r>
        <w:rPr>
          <w:color w:val="363436"/>
          <w:spacing w:val="4"/>
          <w:w w:val="120"/>
          <w:sz w:val="20"/>
        </w:rPr>
        <w:t> </w:t>
      </w:r>
      <w:r>
        <w:rPr>
          <w:color w:val="363436"/>
          <w:w w:val="120"/>
          <w:sz w:val="20"/>
        </w:rPr>
        <w:t>33,</w:t>
      </w:r>
      <w:r>
        <w:rPr>
          <w:color w:val="363436"/>
          <w:spacing w:val="21"/>
          <w:w w:val="120"/>
          <w:sz w:val="20"/>
        </w:rPr>
        <w:t> </w:t>
      </w:r>
      <w:r>
        <w:rPr>
          <w:color w:val="363436"/>
          <w:w w:val="120"/>
          <w:sz w:val="20"/>
        </w:rPr>
        <w:t>39</w:t>
      </w:r>
      <w:r>
        <w:rPr>
          <w:color w:val="363436"/>
          <w:spacing w:val="10"/>
          <w:w w:val="120"/>
          <w:sz w:val="20"/>
        </w:rPr>
        <w:t> </w:t>
      </w:r>
      <w:r>
        <w:rPr>
          <w:color w:val="363436"/>
          <w:w w:val="120"/>
          <w:sz w:val="20"/>
        </w:rPr>
        <w:t>(Ind.</w:t>
      </w:r>
      <w:r>
        <w:rPr>
          <w:color w:val="363436"/>
          <w:spacing w:val="-29"/>
          <w:w w:val="120"/>
          <w:sz w:val="20"/>
        </w:rPr>
        <w:t> </w:t>
      </w:r>
      <w:r>
        <w:rPr>
          <w:color w:val="363436"/>
          <w:w w:val="120"/>
          <w:sz w:val="20"/>
        </w:rPr>
        <w:t>1981).</w:t>
      </w:r>
    </w:p>
    <w:p>
      <w:pPr>
        <w:pStyle w:val="BodyText"/>
        <w:spacing w:line="228" w:lineRule="auto" w:before="159"/>
        <w:ind w:left="365" w:right="339" w:hanging="8"/>
      </w:pPr>
      <w:r>
        <w:rPr>
          <w:color w:val="363436"/>
          <w:w w:val="110"/>
        </w:rPr>
        <w:t>This technique creates another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problem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because separating the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case name</w:t>
      </w:r>
      <w:r>
        <w:rPr>
          <w:color w:val="363436"/>
          <w:spacing w:val="-61"/>
          <w:w w:val="110"/>
        </w:rPr>
        <w:t> </w:t>
      </w:r>
      <w:r>
        <w:rPr>
          <w:color w:val="363436"/>
          <w:w w:val="110"/>
        </w:rPr>
        <w:t>from</w:t>
      </w:r>
      <w:r>
        <w:rPr>
          <w:color w:val="363436"/>
          <w:spacing w:val="-9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41"/>
          <w:w w:val="110"/>
        </w:rPr>
        <w:t> </w:t>
      </w:r>
      <w:r>
        <w:rPr>
          <w:color w:val="363436"/>
          <w:w w:val="110"/>
        </w:rPr>
        <w:t>rest</w:t>
      </w:r>
      <w:r>
        <w:rPr>
          <w:color w:val="363436"/>
          <w:spacing w:val="-14"/>
          <w:w w:val="110"/>
        </w:rPr>
        <w:t> </w:t>
      </w:r>
      <w:r>
        <w:rPr>
          <w:color w:val="363436"/>
          <w:w w:val="110"/>
        </w:rPr>
        <w:t>of</w:t>
      </w:r>
      <w:r>
        <w:rPr>
          <w:color w:val="363436"/>
          <w:spacing w:val="-2"/>
          <w:w w:val="110"/>
        </w:rPr>
        <w:t> </w:t>
      </w:r>
      <w:r>
        <w:rPr>
          <w:color w:val="363436"/>
          <w:w w:val="110"/>
        </w:rPr>
        <w:t>a</w:t>
      </w:r>
      <w:r>
        <w:rPr>
          <w:color w:val="363436"/>
          <w:spacing w:val="-9"/>
          <w:w w:val="110"/>
        </w:rPr>
        <w:t> </w:t>
      </w:r>
      <w:r>
        <w:rPr>
          <w:color w:val="363436"/>
          <w:w w:val="110"/>
        </w:rPr>
        <w:t>long-form</w:t>
      </w:r>
      <w:r>
        <w:rPr>
          <w:color w:val="363436"/>
          <w:spacing w:val="-1"/>
          <w:w w:val="110"/>
        </w:rPr>
        <w:t> </w:t>
      </w:r>
      <w:r>
        <w:rPr>
          <w:color w:val="363436"/>
          <w:w w:val="110"/>
        </w:rPr>
        <w:t>citation</w:t>
      </w:r>
      <w:r>
        <w:rPr>
          <w:color w:val="363436"/>
          <w:spacing w:val="-10"/>
          <w:w w:val="110"/>
        </w:rPr>
        <w:t> </w:t>
      </w:r>
      <w:r>
        <w:rPr>
          <w:color w:val="363436"/>
          <w:w w:val="110"/>
        </w:rPr>
        <w:t>can</w:t>
      </w:r>
      <w:r>
        <w:rPr>
          <w:color w:val="363436"/>
          <w:spacing w:val="-16"/>
          <w:w w:val="110"/>
        </w:rPr>
        <w:t> </w:t>
      </w:r>
      <w:r>
        <w:rPr>
          <w:color w:val="363436"/>
          <w:w w:val="110"/>
        </w:rPr>
        <w:t>confuse</w:t>
      </w:r>
      <w:r>
        <w:rPr>
          <w:color w:val="363436"/>
          <w:spacing w:val="-10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27"/>
          <w:w w:val="110"/>
        </w:rPr>
        <w:t> </w:t>
      </w:r>
      <w:r>
        <w:rPr>
          <w:color w:val="363436"/>
          <w:w w:val="110"/>
        </w:rPr>
        <w:t>reader.</w:t>
      </w:r>
      <w:r>
        <w:rPr>
          <w:color w:val="363436"/>
          <w:spacing w:val="-6"/>
          <w:w w:val="110"/>
        </w:rPr>
        <w:t> </w:t>
      </w:r>
      <w:r>
        <w:rPr>
          <w:color w:val="363436"/>
          <w:w w:val="110"/>
        </w:rPr>
        <w:t>If</w:t>
      </w:r>
      <w:r>
        <w:rPr>
          <w:color w:val="363436"/>
          <w:spacing w:val="-6"/>
          <w:w w:val="110"/>
        </w:rPr>
        <w:t> </w:t>
      </w:r>
      <w:r>
        <w:rPr>
          <w:color w:val="363436"/>
          <w:w w:val="110"/>
        </w:rPr>
        <w:t>a</w:t>
      </w:r>
      <w:r>
        <w:rPr>
          <w:color w:val="363436"/>
          <w:spacing w:val="23"/>
          <w:w w:val="110"/>
        </w:rPr>
        <w:t> </w:t>
      </w:r>
      <w:r>
        <w:rPr>
          <w:color w:val="363436"/>
          <w:w w:val="110"/>
        </w:rPr>
        <w:t>reader</w:t>
      </w:r>
      <w:r>
        <w:rPr>
          <w:color w:val="363436"/>
          <w:spacing w:val="-25"/>
          <w:w w:val="110"/>
        </w:rPr>
        <w:t> </w:t>
      </w:r>
      <w:r>
        <w:rPr>
          <w:color w:val="363436"/>
          <w:w w:val="110"/>
        </w:rPr>
        <w:t>sees</w:t>
      </w:r>
    </w:p>
    <w:p>
      <w:pPr>
        <w:spacing w:after="0" w:line="228" w:lineRule="auto"/>
        <w:sectPr>
          <w:headerReference w:type="default" r:id="rId373"/>
          <w:pgSz w:w="9730" w:h="14020"/>
          <w:pgMar w:header="0" w:footer="0" w:top="460" w:bottom="280" w:left="40" w:right="1080"/>
        </w:sectPr>
      </w:pPr>
    </w:p>
    <w:p>
      <w:pPr>
        <w:pStyle w:val="BodyText"/>
        <w:spacing w:line="232" w:lineRule="auto" w:before="87"/>
        <w:ind w:left="656" w:right="120" w:firstLine="6"/>
        <w:jc w:val="both"/>
      </w:pPr>
      <w:r>
        <w:rPr>
          <w:color w:val="383638"/>
          <w:w w:val="110"/>
        </w:rPr>
        <w:t>the name alone, the </w:t>
      </w:r>
      <w:r>
        <w:rPr>
          <w:color w:val="2A2628"/>
          <w:w w:val="110"/>
        </w:rPr>
        <w:t>reader </w:t>
      </w:r>
      <w:r>
        <w:rPr>
          <w:color w:val="383638"/>
          <w:w w:val="110"/>
        </w:rPr>
        <w:t>may presume that the writer is using a </w:t>
      </w:r>
      <w:r>
        <w:rPr>
          <w:color w:val="545456"/>
          <w:w w:val="110"/>
        </w:rPr>
        <w:t>s</w:t>
      </w:r>
      <w:r>
        <w:rPr>
          <w:color w:val="383638"/>
          <w:w w:val="110"/>
        </w:rPr>
        <w:t>hort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form and wonder why he or she does not recognize the case name; the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reader may even take </w:t>
      </w:r>
      <w:r>
        <w:rPr>
          <w:color w:val="383638"/>
          <w:w w:val="110"/>
        </w:rPr>
        <w:t>a moment and try to recall the case. Upon reaching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the  end  of the  sentence, the reader would see "full citation" information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then realize that this was the first citation</w:t>
      </w:r>
      <w:r>
        <w:rPr>
          <w:color w:val="545456"/>
          <w:w w:val="110"/>
        </w:rPr>
        <w:t>. </w:t>
      </w:r>
      <w:r>
        <w:rPr>
          <w:color w:val="383638"/>
          <w:w w:val="110"/>
        </w:rPr>
        <w:t>Because suspense is the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enemy of good </w:t>
      </w:r>
      <w:r>
        <w:rPr>
          <w:color w:val="2A2628"/>
          <w:spacing w:val="-1"/>
          <w:w w:val="110"/>
        </w:rPr>
        <w:t>legal </w:t>
      </w:r>
      <w:r>
        <w:rPr>
          <w:color w:val="383638"/>
          <w:spacing w:val="-1"/>
          <w:w w:val="110"/>
        </w:rPr>
        <w:t>writing, I </w:t>
      </w:r>
      <w:r>
        <w:rPr>
          <w:color w:val="2A2628"/>
          <w:spacing w:val="-1"/>
          <w:w w:val="110"/>
        </w:rPr>
        <w:t>recommend </w:t>
      </w:r>
      <w:r>
        <w:rPr>
          <w:color w:val="383638"/>
          <w:w w:val="110"/>
        </w:rPr>
        <w:t>against this structure. There is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way</w:t>
      </w:r>
      <w:r>
        <w:rPr>
          <w:color w:val="383638"/>
          <w:spacing w:val="26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25"/>
          <w:w w:val="110"/>
        </w:rPr>
        <w:t> </w:t>
      </w:r>
      <w:r>
        <w:rPr>
          <w:color w:val="383638"/>
          <w:w w:val="110"/>
        </w:rPr>
        <w:t>write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readable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sentence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still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use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correct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citation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form:</w:t>
      </w:r>
    </w:p>
    <w:p>
      <w:pPr>
        <w:spacing w:before="97"/>
        <w:ind w:left="660" w:right="0" w:firstLine="0"/>
        <w:jc w:val="left"/>
        <w:rPr>
          <w:b/>
          <w:sz w:val="16"/>
        </w:rPr>
      </w:pPr>
      <w:r>
        <w:rPr>
          <w:rFonts w:ascii="Arial"/>
          <w:i/>
          <w:color w:val="545456"/>
          <w:w w:val="85"/>
          <w:sz w:val="31"/>
          <w:u w:val="thick" w:color="545456"/>
        </w:rPr>
        <w:t>-I.&gt;</w:t>
      </w:r>
      <w:r>
        <w:rPr>
          <w:rFonts w:ascii="Arial"/>
          <w:i/>
          <w:color w:val="545456"/>
          <w:w w:val="85"/>
          <w:sz w:val="31"/>
        </w:rPr>
        <w:t>.</w:t>
      </w:r>
      <w:r>
        <w:rPr>
          <w:rFonts w:ascii="Arial"/>
          <w:i/>
          <w:color w:val="545456"/>
          <w:spacing w:val="-25"/>
          <w:w w:val="85"/>
          <w:sz w:val="31"/>
        </w:rPr>
        <w:t> </w:t>
      </w:r>
      <w:r>
        <w:rPr>
          <w:color w:val="383638"/>
          <w:w w:val="85"/>
          <w:sz w:val="15"/>
          <w:u w:val="thick" w:color="383638"/>
        </w:rPr>
        <w:t>GOOD</w:t>
      </w:r>
      <w:r>
        <w:rPr>
          <w:color w:val="383638"/>
          <w:spacing w:val="28"/>
          <w:w w:val="85"/>
          <w:sz w:val="15"/>
          <w:u w:val="thick" w:color="383638"/>
        </w:rPr>
        <w:t> </w:t>
      </w:r>
      <w:r>
        <w:rPr>
          <w:b/>
          <w:color w:val="383638"/>
          <w:w w:val="85"/>
          <w:sz w:val="16"/>
          <w:u w:val="thick" w:color="383638"/>
        </w:rPr>
        <w:t>EXAMP</w:t>
      </w:r>
      <w:r>
        <w:rPr>
          <w:b/>
          <w:color w:val="545456"/>
          <w:w w:val="85"/>
          <w:sz w:val="16"/>
          <w:u w:val="thick" w:color="383638"/>
        </w:rPr>
        <w:t>L</w:t>
      </w:r>
      <w:r>
        <w:rPr>
          <w:b/>
          <w:color w:val="383638"/>
          <w:w w:val="85"/>
          <w:sz w:val="16"/>
          <w:u w:val="thick" w:color="383638"/>
        </w:rPr>
        <w:t>E</w:t>
      </w:r>
    </w:p>
    <w:p>
      <w:pPr>
        <w:spacing w:line="228" w:lineRule="auto" w:before="18"/>
        <w:ind w:left="1027" w:right="427" w:firstLine="8"/>
        <w:jc w:val="both"/>
        <w:rPr>
          <w:b/>
          <w:sz w:val="21"/>
        </w:rPr>
      </w:pPr>
      <w:r>
        <w:rPr>
          <w:b/>
          <w:color w:val="383638"/>
          <w:w w:val="105"/>
          <w:sz w:val="21"/>
        </w:rPr>
        <w:t>Ice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cream is a traditional "dessert" within the meaning of the Mousse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color w:val="383638"/>
          <w:sz w:val="21"/>
        </w:rPr>
        <w:t>Statute. </w:t>
      </w:r>
      <w:r>
        <w:rPr>
          <w:color w:val="383638"/>
          <w:sz w:val="25"/>
          <w:u w:val="thick" w:color="383638"/>
        </w:rPr>
        <w:t>McGuffin</w:t>
      </w:r>
      <w:r>
        <w:rPr>
          <w:color w:val="383638"/>
          <w:sz w:val="25"/>
        </w:rPr>
        <w:t> </w:t>
      </w:r>
      <w:r>
        <w:rPr>
          <w:color w:val="383638"/>
          <w:sz w:val="21"/>
          <w:u w:val="thick" w:color="383638"/>
        </w:rPr>
        <w:t>v</w:t>
      </w:r>
      <w:r>
        <w:rPr>
          <w:color w:val="383638"/>
          <w:sz w:val="21"/>
        </w:rPr>
        <w:t>, </w:t>
      </w:r>
      <w:r>
        <w:rPr>
          <w:color w:val="383638"/>
          <w:sz w:val="25"/>
          <w:u w:val="thick" w:color="383638"/>
        </w:rPr>
        <w:t>Consolidated Ice Cream Bd.</w:t>
      </w:r>
      <w:r>
        <w:rPr>
          <w:color w:val="383638"/>
          <w:sz w:val="25"/>
        </w:rPr>
        <w:t>, </w:t>
      </w:r>
      <w:r>
        <w:rPr>
          <w:color w:val="383638"/>
          <w:sz w:val="21"/>
        </w:rPr>
        <w:t>44</w:t>
      </w:r>
      <w:r>
        <w:rPr>
          <w:color w:val="383638"/>
          <w:spacing w:val="1"/>
          <w:sz w:val="21"/>
        </w:rPr>
        <w:t> </w:t>
      </w:r>
      <w:r>
        <w:rPr>
          <w:color w:val="383638"/>
          <w:sz w:val="21"/>
        </w:rPr>
        <w:t>N.E.2d 33, 39</w:t>
      </w:r>
      <w:r>
        <w:rPr>
          <w:color w:val="383638"/>
          <w:spacing w:val="1"/>
          <w:sz w:val="21"/>
        </w:rPr>
        <w:t> </w:t>
      </w:r>
      <w:r>
        <w:rPr>
          <w:b/>
          <w:color w:val="383638"/>
          <w:w w:val="110"/>
          <w:sz w:val="21"/>
        </w:rPr>
        <w:t>(Ind.</w:t>
      </w:r>
      <w:r>
        <w:rPr>
          <w:b/>
          <w:color w:val="383638"/>
          <w:spacing w:val="2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1981).</w:t>
      </w:r>
    </w:p>
    <w:p>
      <w:pPr>
        <w:pStyle w:val="BodyText"/>
        <w:spacing w:line="228" w:lineRule="auto" w:before="127"/>
        <w:ind w:left="656" w:right="126" w:hanging="9"/>
        <w:jc w:val="both"/>
      </w:pPr>
      <w:r>
        <w:rPr>
          <w:color w:val="383638"/>
          <w:w w:val="110"/>
        </w:rPr>
        <w:t>This sentence emphasizes the rule itself. If you wanted to emphasize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court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decided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case,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you</w:t>
      </w:r>
      <w:r>
        <w:rPr>
          <w:color w:val="383638"/>
          <w:spacing w:val="26"/>
          <w:w w:val="110"/>
        </w:rPr>
        <w:t> </w:t>
      </w:r>
      <w:r>
        <w:rPr>
          <w:color w:val="383638"/>
          <w:w w:val="110"/>
        </w:rPr>
        <w:t>could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write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sentence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this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way:</w:t>
      </w:r>
    </w:p>
    <w:p>
      <w:pPr>
        <w:spacing w:before="141"/>
        <w:ind w:left="649" w:right="0" w:firstLine="0"/>
        <w:jc w:val="left"/>
        <w:rPr>
          <w:sz w:val="15"/>
        </w:rPr>
      </w:pPr>
      <w:r>
        <w:rPr>
          <w:rFonts w:ascii="Arial"/>
          <w:i/>
          <w:color w:val="383638"/>
          <w:w w:val="95"/>
          <w:sz w:val="26"/>
          <w:u w:val="thick" w:color="383638"/>
        </w:rPr>
        <w:t>../&gt;</w:t>
      </w:r>
      <w:r>
        <w:rPr>
          <w:rFonts w:ascii="Arial"/>
          <w:i/>
          <w:color w:val="383638"/>
          <w:w w:val="95"/>
          <w:sz w:val="26"/>
        </w:rPr>
        <w:t>,</w:t>
      </w:r>
      <w:r>
        <w:rPr>
          <w:rFonts w:ascii="Arial"/>
          <w:i/>
          <w:color w:val="383638"/>
          <w:spacing w:val="-21"/>
          <w:w w:val="95"/>
          <w:sz w:val="26"/>
        </w:rPr>
        <w:t> </w:t>
      </w:r>
      <w:r>
        <w:rPr>
          <w:color w:val="383638"/>
          <w:w w:val="95"/>
          <w:sz w:val="15"/>
          <w:u w:val="thick" w:color="383638"/>
        </w:rPr>
        <w:t>GOOD</w:t>
      </w:r>
      <w:r>
        <w:rPr>
          <w:color w:val="383638"/>
          <w:spacing w:val="26"/>
          <w:w w:val="95"/>
          <w:sz w:val="15"/>
          <w:u w:val="thick" w:color="383638"/>
        </w:rPr>
        <w:t> </w:t>
      </w:r>
      <w:r>
        <w:rPr>
          <w:color w:val="383638"/>
          <w:w w:val="95"/>
          <w:sz w:val="15"/>
          <w:u w:val="thick" w:color="383638"/>
        </w:rPr>
        <w:t>EXAMPLE</w:t>
      </w:r>
    </w:p>
    <w:p>
      <w:pPr>
        <w:spacing w:line="208" w:lineRule="auto" w:before="54"/>
        <w:ind w:left="1002" w:right="422" w:firstLine="12"/>
        <w:jc w:val="both"/>
        <w:rPr>
          <w:sz w:val="21"/>
        </w:rPr>
      </w:pPr>
      <w:r>
        <w:rPr>
          <w:color w:val="383638"/>
          <w:w w:val="105"/>
          <w:sz w:val="21"/>
        </w:rPr>
        <w:t>The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Indiana Supreme Court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has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held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that  icecream  is  a  "traditional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dessert"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within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the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meaning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5"/>
        </w:rPr>
        <w:t>of</w:t>
      </w:r>
      <w:r>
        <w:rPr>
          <w:color w:val="383638"/>
          <w:spacing w:val="1"/>
          <w:w w:val="105"/>
          <w:sz w:val="25"/>
        </w:rPr>
        <w:t> </w:t>
      </w:r>
      <w:r>
        <w:rPr>
          <w:color w:val="383638"/>
          <w:w w:val="105"/>
          <w:sz w:val="21"/>
        </w:rPr>
        <w:t>the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Mousse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Statute</w:t>
      </w:r>
      <w:r>
        <w:rPr>
          <w:color w:val="545456"/>
          <w:w w:val="105"/>
          <w:sz w:val="21"/>
        </w:rPr>
        <w:t>.</w:t>
      </w:r>
      <w:r>
        <w:rPr>
          <w:color w:val="545456"/>
          <w:spacing w:val="1"/>
          <w:w w:val="105"/>
          <w:sz w:val="21"/>
        </w:rPr>
        <w:t> </w:t>
      </w:r>
      <w:r>
        <w:rPr>
          <w:color w:val="383638"/>
          <w:w w:val="105"/>
          <w:sz w:val="25"/>
          <w:u w:val="thick" w:color="383638"/>
        </w:rPr>
        <w:t>McGuffin</w:t>
      </w:r>
      <w:r>
        <w:rPr>
          <w:color w:val="383638"/>
          <w:spacing w:val="1"/>
          <w:w w:val="105"/>
          <w:sz w:val="25"/>
        </w:rPr>
        <w:t> </w:t>
      </w:r>
      <w:r>
        <w:rPr>
          <w:color w:val="383638"/>
          <w:w w:val="105"/>
          <w:sz w:val="20"/>
          <w:u w:val="thick" w:color="383638"/>
        </w:rPr>
        <w:t>v</w:t>
      </w:r>
      <w:r>
        <w:rPr>
          <w:color w:val="383638"/>
          <w:w w:val="105"/>
          <w:sz w:val="20"/>
        </w:rPr>
        <w:t>.</w:t>
      </w:r>
      <w:r>
        <w:rPr>
          <w:color w:val="383638"/>
          <w:spacing w:val="1"/>
          <w:w w:val="105"/>
          <w:sz w:val="20"/>
        </w:rPr>
        <w:t> </w:t>
      </w:r>
      <w:r>
        <w:rPr>
          <w:color w:val="383638"/>
          <w:w w:val="105"/>
          <w:sz w:val="25"/>
          <w:u w:val="thick" w:color="383638"/>
        </w:rPr>
        <w:t>Consolidated</w:t>
      </w:r>
      <w:r>
        <w:rPr>
          <w:color w:val="383638"/>
          <w:spacing w:val="11"/>
          <w:w w:val="105"/>
          <w:sz w:val="25"/>
          <w:u w:val="thick" w:color="383638"/>
        </w:rPr>
        <w:t> </w:t>
      </w:r>
      <w:r>
        <w:rPr>
          <w:color w:val="383638"/>
          <w:w w:val="105"/>
          <w:sz w:val="25"/>
          <w:u w:val="thick" w:color="383638"/>
        </w:rPr>
        <w:t>Ice</w:t>
      </w:r>
      <w:r>
        <w:rPr>
          <w:color w:val="383638"/>
          <w:spacing w:val="-31"/>
          <w:w w:val="105"/>
          <w:sz w:val="25"/>
          <w:u w:val="thick" w:color="383638"/>
        </w:rPr>
        <w:t> </w:t>
      </w:r>
      <w:r>
        <w:rPr>
          <w:color w:val="383638"/>
          <w:w w:val="105"/>
          <w:sz w:val="25"/>
          <w:u w:val="thick" w:color="383638"/>
        </w:rPr>
        <w:t>Cream</w:t>
      </w:r>
      <w:r>
        <w:rPr>
          <w:color w:val="383638"/>
          <w:spacing w:val="-1"/>
          <w:w w:val="105"/>
          <w:sz w:val="25"/>
        </w:rPr>
        <w:t> </w:t>
      </w:r>
      <w:r>
        <w:rPr>
          <w:color w:val="383638"/>
          <w:w w:val="105"/>
          <w:sz w:val="21"/>
          <w:u w:val="thick" w:color="383638"/>
        </w:rPr>
        <w:t>Bd</w:t>
      </w:r>
      <w:r>
        <w:rPr>
          <w:color w:val="545456"/>
          <w:w w:val="105"/>
          <w:sz w:val="21"/>
          <w:u w:val="thick" w:color="383638"/>
        </w:rPr>
        <w:t>.</w:t>
      </w:r>
      <w:r>
        <w:rPr>
          <w:color w:val="383638"/>
          <w:w w:val="105"/>
          <w:sz w:val="21"/>
          <w:u w:val="thick" w:color="383638"/>
        </w:rPr>
        <w:t>,</w:t>
      </w:r>
      <w:r>
        <w:rPr>
          <w:color w:val="383638"/>
          <w:spacing w:val="6"/>
          <w:w w:val="105"/>
          <w:sz w:val="21"/>
        </w:rPr>
        <w:t> </w:t>
      </w:r>
      <w:r>
        <w:rPr>
          <w:color w:val="383638"/>
          <w:w w:val="105"/>
          <w:sz w:val="21"/>
        </w:rPr>
        <w:t>44</w:t>
      </w:r>
      <w:r>
        <w:rPr>
          <w:color w:val="383638"/>
          <w:spacing w:val="16"/>
          <w:w w:val="105"/>
          <w:sz w:val="21"/>
        </w:rPr>
        <w:t> </w:t>
      </w:r>
      <w:r>
        <w:rPr>
          <w:color w:val="383638"/>
          <w:w w:val="105"/>
          <w:sz w:val="21"/>
        </w:rPr>
        <w:t>N.E.2d</w:t>
      </w:r>
      <w:r>
        <w:rPr>
          <w:color w:val="383638"/>
          <w:spacing w:val="6"/>
          <w:w w:val="105"/>
          <w:sz w:val="21"/>
        </w:rPr>
        <w:t> </w:t>
      </w:r>
      <w:r>
        <w:rPr>
          <w:color w:val="383638"/>
          <w:w w:val="105"/>
          <w:sz w:val="21"/>
        </w:rPr>
        <w:t>33,</w:t>
      </w:r>
      <w:r>
        <w:rPr>
          <w:color w:val="383638"/>
          <w:spacing w:val="13"/>
          <w:w w:val="105"/>
          <w:sz w:val="21"/>
        </w:rPr>
        <w:t> </w:t>
      </w:r>
      <w:r>
        <w:rPr>
          <w:color w:val="383638"/>
          <w:w w:val="105"/>
          <w:sz w:val="21"/>
        </w:rPr>
        <w:t>39</w:t>
      </w:r>
      <w:r>
        <w:rPr>
          <w:color w:val="383638"/>
          <w:spacing w:val="14"/>
          <w:w w:val="105"/>
          <w:sz w:val="21"/>
        </w:rPr>
        <w:t> </w:t>
      </w:r>
      <w:r>
        <w:rPr>
          <w:color w:val="383638"/>
          <w:w w:val="105"/>
          <w:sz w:val="21"/>
        </w:rPr>
        <w:t>(Ind.</w:t>
      </w:r>
      <w:r>
        <w:rPr>
          <w:color w:val="383638"/>
          <w:spacing w:val="-15"/>
          <w:w w:val="105"/>
          <w:sz w:val="21"/>
        </w:rPr>
        <w:t> </w:t>
      </w:r>
      <w:r>
        <w:rPr>
          <w:color w:val="383638"/>
          <w:w w:val="105"/>
          <w:sz w:val="21"/>
        </w:rPr>
        <w:t>1981).</w:t>
      </w:r>
    </w:p>
    <w:p>
      <w:pPr>
        <w:pStyle w:val="BodyText"/>
        <w:spacing w:line="232" w:lineRule="auto" w:before="129"/>
        <w:ind w:left="614" w:right="114" w:firstLine="381"/>
        <w:jc w:val="both"/>
      </w:pPr>
      <w:r>
        <w:rPr>
          <w:color w:val="383638"/>
          <w:w w:val="110"/>
        </w:rPr>
        <w:t>Thus, write the sentence in a way that lets you put the citation in a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separate sentence at the end. Ideally, you should look at all of your cita­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tions to make sure that as few as possible are within textual sentences</w:t>
      </w:r>
      <w:r>
        <w:rPr>
          <w:color w:val="545456"/>
          <w:w w:val="110"/>
        </w:rPr>
        <w:t>. </w:t>
      </w:r>
      <w:r>
        <w:rPr>
          <w:color w:val="383638"/>
          <w:w w:val="110"/>
        </w:rPr>
        <w:t>Of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  <w:position w:val="2"/>
        </w:rPr>
        <w:t>course, if the material in the first half of a sentence comes from a source</w:t>
      </w:r>
      <w:r>
        <w:rPr>
          <w:color w:val="383638"/>
          <w:w w:val="110"/>
          <w:sz w:val="22"/>
        </w:rPr>
        <w:t>,</w:t>
      </w:r>
      <w:r>
        <w:rPr>
          <w:color w:val="383638"/>
          <w:spacing w:val="1"/>
          <w:w w:val="110"/>
          <w:sz w:val="22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second half comes from a different source (or no source), 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might mislead your reader if you put a citation at the end of the sentence.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In that situation, you might choose to revise so </w:t>
      </w:r>
      <w:r>
        <w:rPr>
          <w:color w:val="2A2628"/>
          <w:w w:val="110"/>
        </w:rPr>
        <w:t>that </w:t>
      </w:r>
      <w:r>
        <w:rPr>
          <w:color w:val="383638"/>
          <w:w w:val="110"/>
        </w:rPr>
        <w:t>each sentence con­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tains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information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from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only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one</w:t>
      </w:r>
      <w:r>
        <w:rPr>
          <w:color w:val="383638"/>
          <w:spacing w:val="-5"/>
          <w:w w:val="110"/>
        </w:rPr>
        <w:t> </w:t>
      </w:r>
      <w:r>
        <w:rPr>
          <w:color w:val="383638"/>
          <w:w w:val="110"/>
        </w:rPr>
        <w:t>source.</w:t>
      </w:r>
    </w:p>
    <w:p>
      <w:pPr>
        <w:pStyle w:val="BodyText"/>
        <w:spacing w:line="232" w:lineRule="auto"/>
        <w:ind w:left="569" w:right="102" w:firstLine="420"/>
        <w:jc w:val="both"/>
      </w:pPr>
      <w:r>
        <w:rPr>
          <w:color w:val="383638"/>
          <w:w w:val="110"/>
        </w:rPr>
        <w:t>Your sentence structure will change depending on what you want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emphasize, but you rarely want to emphasize the citation itself</w:t>
      </w:r>
      <w:r>
        <w:rPr>
          <w:color w:val="545456"/>
          <w:w w:val="110"/>
        </w:rPr>
        <w:t>. </w:t>
      </w:r>
      <w:r>
        <w:rPr>
          <w:color w:val="383638"/>
          <w:w w:val="110"/>
        </w:rPr>
        <w:t>At least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three of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four previous sample sentences are technically correct, but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they each emphasize something different. Notice also that in two of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examples above, the word </w:t>
      </w:r>
      <w:r>
        <w:rPr>
          <w:i/>
          <w:color w:val="383638"/>
          <w:w w:val="110"/>
          <w:sz w:val="24"/>
        </w:rPr>
        <w:t>Board </w:t>
      </w:r>
      <w:r>
        <w:rPr>
          <w:color w:val="383638"/>
          <w:w w:val="110"/>
        </w:rPr>
        <w:t>is spelled out, while in the other two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examples,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word is abbreviated. Citation rules usually instruct legal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writers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4"/>
          <w:w w:val="110"/>
        </w:rPr>
        <w:t> </w:t>
      </w:r>
      <w:r>
        <w:rPr>
          <w:color w:val="383638"/>
          <w:w w:val="110"/>
        </w:rPr>
        <w:t>spell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out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case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names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appear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20"/>
          <w:w w:val="110"/>
        </w:rPr>
        <w:t> </w:t>
      </w:r>
      <w:r>
        <w:rPr>
          <w:color w:val="383638"/>
          <w:w w:val="110"/>
        </w:rPr>
        <w:t>textual</w:t>
      </w:r>
      <w:r>
        <w:rPr>
          <w:color w:val="383638"/>
          <w:spacing w:val="-15"/>
          <w:w w:val="110"/>
        </w:rPr>
        <w:t> </w:t>
      </w:r>
      <w:r>
        <w:rPr>
          <w:color w:val="383638"/>
          <w:w w:val="110"/>
        </w:rPr>
        <w:t>sentences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(with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few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exceptions), but allow them to abbreviate case names that appear </w:t>
      </w:r>
      <w:r>
        <w:rPr>
          <w:color w:val="2A2628"/>
          <w:w w:val="110"/>
        </w:rPr>
        <w:t>in </w:t>
      </w:r>
      <w:r>
        <w:rPr>
          <w:color w:val="383638"/>
          <w:w w:val="110"/>
        </w:rPr>
        <w:t>cita­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tion</w:t>
      </w:r>
      <w:r>
        <w:rPr>
          <w:color w:val="383638"/>
          <w:spacing w:val="-10"/>
          <w:w w:val="110"/>
        </w:rPr>
        <w:t> </w:t>
      </w:r>
      <w:r>
        <w:rPr>
          <w:color w:val="383638"/>
          <w:w w:val="110"/>
        </w:rPr>
        <w:t>sentences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(also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with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few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exceptions).</w:t>
      </w:r>
    </w:p>
    <w:p>
      <w:pPr>
        <w:pStyle w:val="BodyText"/>
        <w:ind w:left="540" w:right="109" w:firstLine="403"/>
        <w:jc w:val="both"/>
      </w:pPr>
      <w:r>
        <w:rPr>
          <w:rFonts w:ascii="Arial"/>
          <w:color w:val="383638"/>
          <w:w w:val="115"/>
          <w:sz w:val="21"/>
        </w:rPr>
        <w:t>Of </w:t>
      </w:r>
      <w:r>
        <w:rPr>
          <w:color w:val="383638"/>
          <w:w w:val="115"/>
        </w:rPr>
        <w:t>course, if you have already cited to a case and wish to refer to it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again, it is appropriate to use the case name only, as in the following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example:</w:t>
      </w:r>
    </w:p>
    <w:p>
      <w:pPr>
        <w:spacing w:before="99"/>
        <w:ind w:left="527" w:right="0" w:firstLine="0"/>
        <w:jc w:val="left"/>
        <w:rPr>
          <w:b/>
          <w:sz w:val="16"/>
        </w:rPr>
      </w:pPr>
      <w:r>
        <w:rPr>
          <w:rFonts w:ascii="Arial"/>
          <w:i/>
          <w:color w:val="545456"/>
          <w:spacing w:val="-1"/>
          <w:w w:val="90"/>
          <w:sz w:val="26"/>
          <w:u w:val="thick" w:color="545456"/>
        </w:rPr>
        <w:t>-L::::</w:t>
      </w:r>
      <w:r>
        <w:rPr>
          <w:rFonts w:ascii="Arial"/>
          <w:i/>
          <w:color w:val="545456"/>
          <w:spacing w:val="-1"/>
          <w:w w:val="90"/>
          <w:sz w:val="26"/>
        </w:rPr>
        <w:t>,</w:t>
      </w:r>
      <w:r>
        <w:rPr>
          <w:rFonts w:ascii="Arial"/>
          <w:i/>
          <w:color w:val="545456"/>
          <w:spacing w:val="-10"/>
          <w:w w:val="90"/>
          <w:sz w:val="26"/>
        </w:rPr>
        <w:t> </w:t>
      </w:r>
      <w:r>
        <w:rPr>
          <w:color w:val="383638"/>
          <w:spacing w:val="-1"/>
          <w:w w:val="90"/>
          <w:sz w:val="15"/>
          <w:u w:val="thick" w:color="383638"/>
        </w:rPr>
        <w:t>GOOD</w:t>
      </w:r>
      <w:r>
        <w:rPr>
          <w:color w:val="383638"/>
          <w:spacing w:val="-4"/>
          <w:w w:val="90"/>
          <w:sz w:val="15"/>
          <w:u w:val="thick" w:color="383638"/>
        </w:rPr>
        <w:t> </w:t>
      </w:r>
      <w:r>
        <w:rPr>
          <w:b/>
          <w:color w:val="383638"/>
          <w:w w:val="90"/>
          <w:sz w:val="16"/>
          <w:u w:val="thick" w:color="383638"/>
        </w:rPr>
        <w:t>EXAMPLE</w:t>
      </w:r>
    </w:p>
    <w:p>
      <w:pPr>
        <w:spacing w:line="204" w:lineRule="auto" w:before="67"/>
        <w:ind w:left="892" w:right="427" w:firstLine="18"/>
        <w:jc w:val="both"/>
        <w:rPr>
          <w:b/>
          <w:sz w:val="21"/>
        </w:rPr>
      </w:pPr>
      <w:r>
        <w:rPr>
          <w:b/>
          <w:color w:val="383638"/>
          <w:w w:val="105"/>
          <w:sz w:val="21"/>
        </w:rPr>
        <w:t>Ice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cream is a "traditional dessert" within the </w:t>
      </w:r>
      <w:r>
        <w:rPr>
          <w:b/>
          <w:color w:val="2A2628"/>
          <w:w w:val="105"/>
          <w:sz w:val="21"/>
        </w:rPr>
        <w:t>meaning </w:t>
      </w:r>
      <w:r>
        <w:rPr>
          <w:rFonts w:ascii="Arial"/>
          <w:color w:val="383638"/>
          <w:w w:val="105"/>
          <w:sz w:val="19"/>
        </w:rPr>
        <w:t>of </w:t>
      </w:r>
      <w:r>
        <w:rPr>
          <w:b/>
          <w:color w:val="383638"/>
          <w:w w:val="105"/>
          <w:sz w:val="21"/>
        </w:rPr>
        <w:t>the Mousse</w:t>
      </w:r>
      <w:r>
        <w:rPr>
          <w:b/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Statute. </w:t>
      </w:r>
      <w:r>
        <w:rPr>
          <w:color w:val="383638"/>
          <w:w w:val="105"/>
          <w:sz w:val="25"/>
          <w:u w:val="thick" w:color="383638"/>
        </w:rPr>
        <w:t>McGuffin</w:t>
      </w:r>
      <w:r>
        <w:rPr>
          <w:color w:val="383638"/>
          <w:w w:val="105"/>
          <w:sz w:val="25"/>
        </w:rPr>
        <w:t> </w:t>
      </w:r>
      <w:r>
        <w:rPr>
          <w:color w:val="383638"/>
          <w:w w:val="105"/>
          <w:sz w:val="21"/>
          <w:u w:val="thick" w:color="383638"/>
        </w:rPr>
        <w:t>v,</w:t>
      </w:r>
      <w:r>
        <w:rPr>
          <w:color w:val="383638"/>
          <w:w w:val="105"/>
          <w:sz w:val="21"/>
        </w:rPr>
        <w:t> </w:t>
      </w:r>
      <w:r>
        <w:rPr>
          <w:color w:val="383638"/>
          <w:w w:val="105"/>
          <w:sz w:val="25"/>
          <w:u w:val="thick" w:color="383638"/>
        </w:rPr>
        <w:t>Consolidated Ice </w:t>
      </w:r>
      <w:r>
        <w:rPr>
          <w:rFonts w:ascii="Arial"/>
          <w:b/>
          <w:color w:val="383638"/>
          <w:w w:val="105"/>
          <w:sz w:val="23"/>
          <w:u w:val="thick" w:color="383638"/>
        </w:rPr>
        <w:t>Cream Bd</w:t>
      </w:r>
      <w:r>
        <w:rPr>
          <w:rFonts w:ascii="Arial"/>
          <w:b/>
          <w:color w:val="545456"/>
          <w:w w:val="105"/>
          <w:sz w:val="23"/>
          <w:u w:val="thick" w:color="383638"/>
        </w:rPr>
        <w:t>.</w:t>
      </w:r>
      <w:r>
        <w:rPr>
          <w:rFonts w:ascii="Arial"/>
          <w:b/>
          <w:color w:val="383638"/>
          <w:w w:val="105"/>
          <w:sz w:val="23"/>
          <w:u w:val="thick" w:color="383638"/>
        </w:rPr>
        <w:t>,</w:t>
      </w:r>
      <w:r>
        <w:rPr>
          <w:rFonts w:ascii="Arial"/>
          <w:b/>
          <w:color w:val="383638"/>
          <w:w w:val="105"/>
          <w:sz w:val="23"/>
        </w:rPr>
        <w:t> </w:t>
      </w:r>
      <w:r>
        <w:rPr>
          <w:color w:val="383638"/>
          <w:w w:val="105"/>
          <w:sz w:val="21"/>
        </w:rPr>
        <w:t>44</w:t>
      </w:r>
      <w:r>
        <w:rPr>
          <w:color w:val="383638"/>
          <w:spacing w:val="1"/>
          <w:w w:val="105"/>
          <w:sz w:val="21"/>
        </w:rPr>
        <w:t> </w:t>
      </w:r>
      <w:r>
        <w:rPr>
          <w:color w:val="383638"/>
          <w:w w:val="105"/>
          <w:sz w:val="21"/>
        </w:rPr>
        <w:t>N.E</w:t>
      </w:r>
      <w:r>
        <w:rPr>
          <w:color w:val="545456"/>
          <w:w w:val="105"/>
          <w:sz w:val="21"/>
        </w:rPr>
        <w:t>.</w:t>
      </w:r>
      <w:r>
        <w:rPr>
          <w:color w:val="383638"/>
          <w:w w:val="105"/>
          <w:sz w:val="21"/>
        </w:rPr>
        <w:t>2d 33, 39</w:t>
      </w:r>
      <w:r>
        <w:rPr>
          <w:color w:val="383638"/>
          <w:spacing w:val="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(Ind.</w:t>
      </w:r>
      <w:r>
        <w:rPr>
          <w:b/>
          <w:color w:val="383638"/>
          <w:spacing w:val="29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1981).</w:t>
      </w:r>
      <w:r>
        <w:rPr>
          <w:b/>
          <w:color w:val="383638"/>
          <w:spacing w:val="3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In</w:t>
      </w:r>
      <w:r>
        <w:rPr>
          <w:b/>
          <w:color w:val="383638"/>
          <w:spacing w:val="16"/>
          <w:w w:val="105"/>
          <w:sz w:val="21"/>
        </w:rPr>
        <w:t> </w:t>
      </w:r>
      <w:r>
        <w:rPr>
          <w:b/>
          <w:color w:val="383638"/>
          <w:w w:val="105"/>
          <w:sz w:val="24"/>
          <w:u w:val="thick" w:color="383638"/>
        </w:rPr>
        <w:t>McGuffin.</w:t>
      </w:r>
      <w:r>
        <w:rPr>
          <w:b/>
          <w:color w:val="383638"/>
          <w:spacing w:val="30"/>
          <w:w w:val="105"/>
          <w:sz w:val="24"/>
        </w:rPr>
        <w:t> </w:t>
      </w:r>
      <w:r>
        <w:rPr>
          <w:b/>
          <w:color w:val="383638"/>
          <w:w w:val="105"/>
          <w:sz w:val="21"/>
        </w:rPr>
        <w:t>the</w:t>
      </w:r>
      <w:r>
        <w:rPr>
          <w:b/>
          <w:color w:val="383638"/>
          <w:spacing w:val="42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court</w:t>
      </w:r>
      <w:r>
        <w:rPr>
          <w:b/>
          <w:color w:val="383638"/>
          <w:spacing w:val="-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examined</w:t>
      </w:r>
      <w:r>
        <w:rPr>
          <w:b/>
          <w:color w:val="383638"/>
          <w:spacing w:val="17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the</w:t>
      </w:r>
      <w:r>
        <w:rPr>
          <w:b/>
          <w:color w:val="383638"/>
          <w:spacing w:val="27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ingredient</w:t>
      </w:r>
      <w:r>
        <w:rPr>
          <w:b/>
          <w:color w:val="383638"/>
          <w:spacing w:val="31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lists</w:t>
      </w:r>
      <w:r>
        <w:rPr>
          <w:b/>
          <w:color w:val="383638"/>
          <w:spacing w:val="3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for</w:t>
      </w:r>
    </w:p>
    <w:p>
      <w:pPr>
        <w:spacing w:after="0" w:line="204" w:lineRule="auto"/>
        <w:jc w:val="both"/>
        <w:rPr>
          <w:sz w:val="21"/>
        </w:rPr>
        <w:sectPr>
          <w:headerReference w:type="even" r:id="rId374"/>
          <w:pgSz w:w="9760" w:h="13990"/>
          <w:pgMar w:header="0" w:footer="0" w:top="1100" w:bottom="280" w:left="1360" w:right="200"/>
          <w:pgNumType w:start="334"/>
        </w:sectPr>
      </w:pPr>
    </w:p>
    <w:p>
      <w:pPr>
        <w:spacing w:line="397" w:lineRule="exact" w:before="0"/>
        <w:ind w:left="-16" w:right="0" w:firstLine="0"/>
        <w:jc w:val="left"/>
        <w:rPr>
          <w:sz w:val="50"/>
        </w:rPr>
      </w:pPr>
      <w:r>
        <w:rPr>
          <w:color w:val="383636"/>
          <w:w w:val="99"/>
          <w:sz w:val="50"/>
        </w:rPr>
        <w:t>l</w:t>
      </w:r>
    </w:p>
    <w:p>
      <w:pPr>
        <w:pStyle w:val="ListParagraph"/>
        <w:numPr>
          <w:ilvl w:val="1"/>
          <w:numId w:val="122"/>
        </w:numPr>
        <w:tabs>
          <w:tab w:pos="6392" w:val="left" w:leader="none"/>
          <w:tab w:pos="8592" w:val="right" w:leader="none"/>
        </w:tabs>
        <w:spacing w:line="240" w:lineRule="auto" w:before="99" w:after="0"/>
        <w:ind w:left="6391" w:right="0" w:hanging="346"/>
        <w:jc w:val="left"/>
        <w:rPr>
          <w:rFonts w:ascii="Arial"/>
          <w:b/>
          <w:color w:val="383636"/>
          <w:sz w:val="17"/>
        </w:rPr>
      </w:pPr>
      <w:r>
        <w:rPr>
          <w:color w:val="383636"/>
          <w:w w:val="105"/>
          <w:sz w:val="19"/>
        </w:rPr>
        <w:t>Statutory</w:t>
      </w:r>
      <w:r>
        <w:rPr>
          <w:color w:val="383636"/>
          <w:spacing w:val="-11"/>
          <w:w w:val="105"/>
          <w:sz w:val="19"/>
        </w:rPr>
        <w:t> </w:t>
      </w:r>
      <w:r>
        <w:rPr>
          <w:color w:val="383636"/>
          <w:w w:val="105"/>
          <w:sz w:val="19"/>
        </w:rPr>
        <w:t>Citations</w:t>
        <w:tab/>
      </w:r>
      <w:r>
        <w:rPr>
          <w:rFonts w:ascii="Arial"/>
          <w:b/>
          <w:color w:val="383636"/>
          <w:w w:val="105"/>
          <w:sz w:val="17"/>
        </w:rPr>
        <w:t>335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spacing w:before="0"/>
        <w:ind w:left="766" w:right="1183" w:firstLine="11"/>
        <w:jc w:val="both"/>
        <w:rPr>
          <w:b/>
          <w:sz w:val="21"/>
        </w:rPr>
      </w:pPr>
      <w:r>
        <w:rPr>
          <w:b/>
          <w:color w:val="383636"/>
          <w:spacing w:val="-1"/>
          <w:w w:val="110"/>
          <w:sz w:val="21"/>
        </w:rPr>
        <w:t>the</w:t>
      </w:r>
      <w:r>
        <w:rPr>
          <w:b/>
          <w:color w:val="383636"/>
          <w:spacing w:val="16"/>
          <w:w w:val="110"/>
          <w:sz w:val="21"/>
        </w:rPr>
        <w:t> </w:t>
      </w:r>
      <w:r>
        <w:rPr>
          <w:b/>
          <w:color w:val="383636"/>
          <w:spacing w:val="-1"/>
          <w:w w:val="110"/>
          <w:sz w:val="21"/>
        </w:rPr>
        <w:t>plaintiff's</w:t>
      </w:r>
      <w:r>
        <w:rPr>
          <w:b/>
          <w:color w:val="383636"/>
          <w:spacing w:val="-10"/>
          <w:w w:val="110"/>
          <w:sz w:val="21"/>
        </w:rPr>
        <w:t> </w:t>
      </w:r>
      <w:r>
        <w:rPr>
          <w:b/>
          <w:color w:val="383636"/>
          <w:spacing w:val="-1"/>
          <w:w w:val="110"/>
          <w:sz w:val="21"/>
        </w:rPr>
        <w:t>product before</w:t>
      </w:r>
      <w:r>
        <w:rPr>
          <w:b/>
          <w:color w:val="383636"/>
          <w:spacing w:val="-9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finding</w:t>
      </w:r>
      <w:r>
        <w:rPr>
          <w:b/>
          <w:color w:val="383636"/>
          <w:spacing w:val="-17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that</w:t>
      </w:r>
      <w:r>
        <w:rPr>
          <w:b/>
          <w:color w:val="383636"/>
          <w:spacing w:val="-9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it was</w:t>
      </w:r>
      <w:r>
        <w:rPr>
          <w:b/>
          <w:color w:val="383636"/>
          <w:spacing w:val="-29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a</w:t>
      </w:r>
      <w:r>
        <w:rPr>
          <w:b/>
          <w:color w:val="383636"/>
          <w:spacing w:val="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traditional</w:t>
      </w:r>
      <w:r>
        <w:rPr>
          <w:b/>
          <w:color w:val="383636"/>
          <w:spacing w:val="-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dessert.</w:t>
      </w:r>
      <w:r>
        <w:rPr>
          <w:b/>
          <w:color w:val="383636"/>
          <w:spacing w:val="-55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44</w:t>
      </w:r>
      <w:r>
        <w:rPr>
          <w:b/>
          <w:color w:val="383636"/>
          <w:spacing w:val="4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N.E.2d</w:t>
      </w:r>
      <w:r>
        <w:rPr>
          <w:b/>
          <w:color w:val="383636"/>
          <w:spacing w:val="-11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at</w:t>
      </w:r>
      <w:r>
        <w:rPr>
          <w:b/>
          <w:color w:val="383636"/>
          <w:spacing w:val="17"/>
          <w:w w:val="110"/>
          <w:sz w:val="21"/>
        </w:rPr>
        <w:t> </w:t>
      </w:r>
      <w:r>
        <w:rPr>
          <w:b/>
          <w:color w:val="383636"/>
          <w:w w:val="110"/>
          <w:sz w:val="21"/>
        </w:rPr>
        <w:t>39.</w:t>
      </w:r>
    </w:p>
    <w:p>
      <w:pPr>
        <w:pStyle w:val="BodyText"/>
        <w:spacing w:line="235" w:lineRule="auto" w:before="138"/>
        <w:ind w:left="432" w:right="786" w:firstLine="3"/>
        <w:jc w:val="both"/>
      </w:pPr>
      <w:r>
        <w:rPr>
          <w:color w:val="383636"/>
          <w:w w:val="110"/>
        </w:rPr>
        <w:t>Opening the second sentence with "In </w:t>
      </w:r>
      <w:r>
        <w:rPr>
          <w:color w:val="383636"/>
          <w:w w:val="110"/>
          <w:u w:val="thick" w:color="383636"/>
        </w:rPr>
        <w:t>McGuffin"</w:t>
      </w:r>
      <w:r>
        <w:rPr>
          <w:color w:val="383636"/>
          <w:w w:val="110"/>
        </w:rPr>
        <w:t> provides an effective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transition. Because the case name is in the sentence, a "just the numbers"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short</w:t>
      </w:r>
      <w:r>
        <w:rPr>
          <w:color w:val="383636"/>
          <w:spacing w:val="-6"/>
          <w:w w:val="110"/>
        </w:rPr>
        <w:t> </w:t>
      </w:r>
      <w:r>
        <w:rPr>
          <w:color w:val="383636"/>
          <w:w w:val="110"/>
        </w:rPr>
        <w:t>fonn</w:t>
      </w:r>
      <w:r>
        <w:rPr>
          <w:color w:val="383636"/>
          <w:spacing w:val="-8"/>
          <w:w w:val="110"/>
        </w:rPr>
        <w:t> </w:t>
      </w:r>
      <w:r>
        <w:rPr>
          <w:color w:val="383636"/>
          <w:w w:val="110"/>
        </w:rPr>
        <w:t>is</w:t>
      </w:r>
      <w:r>
        <w:rPr>
          <w:color w:val="383636"/>
          <w:spacing w:val="-14"/>
          <w:w w:val="110"/>
        </w:rPr>
        <w:t> </w:t>
      </w:r>
      <w:r>
        <w:rPr>
          <w:color w:val="383636"/>
          <w:w w:val="110"/>
        </w:rPr>
        <w:t>permissible</w:t>
      </w:r>
      <w:r>
        <w:rPr>
          <w:color w:val="575659"/>
          <w:w w:val="110"/>
        </w:rPr>
        <w:t>.</w:t>
      </w:r>
    </w:p>
    <w:p>
      <w:pPr>
        <w:pStyle w:val="BodyText"/>
        <w:rPr>
          <w:sz w:val="26"/>
        </w:rPr>
      </w:pPr>
    </w:p>
    <w:p>
      <w:pPr>
        <w:spacing w:before="230"/>
        <w:ind w:left="1031" w:right="0" w:firstLine="0"/>
        <w:jc w:val="left"/>
        <w:rPr>
          <w:rFonts w:ascii="Arial"/>
          <w:b/>
          <w:sz w:val="33"/>
        </w:rPr>
      </w:pPr>
      <w:r>
        <w:rPr>
          <w:rFonts w:ascii="Arial"/>
          <w:b/>
          <w:color w:val="383636"/>
          <w:w w:val="105"/>
          <w:sz w:val="33"/>
        </w:rPr>
        <w:t>A.4</w:t>
      </w:r>
    </w:p>
    <w:p>
      <w:pPr>
        <w:spacing w:before="62"/>
        <w:ind w:left="1048" w:right="0" w:firstLine="0"/>
        <w:jc w:val="left"/>
        <w:rPr>
          <w:rFonts w:ascii="Arial"/>
          <w:sz w:val="26"/>
        </w:rPr>
      </w:pPr>
      <w:r>
        <w:rPr>
          <w:rFonts w:ascii="Arial"/>
          <w:color w:val="383636"/>
          <w:sz w:val="26"/>
        </w:rPr>
        <w:t>STATUTORY</w:t>
      </w:r>
      <w:r>
        <w:rPr>
          <w:rFonts w:ascii="Arial"/>
          <w:color w:val="383636"/>
          <w:spacing w:val="56"/>
          <w:sz w:val="26"/>
        </w:rPr>
        <w:t> </w:t>
      </w:r>
      <w:r>
        <w:rPr>
          <w:rFonts w:ascii="Arial"/>
          <w:color w:val="383636"/>
          <w:sz w:val="26"/>
        </w:rPr>
        <w:t>CITATIONS</w:t>
      </w:r>
    </w:p>
    <w:p>
      <w:pPr>
        <w:pStyle w:val="BodyText"/>
        <w:spacing w:before="1"/>
        <w:rPr>
          <w:rFonts w:ascii="Arial"/>
          <w:sz w:val="22"/>
        </w:rPr>
      </w:pPr>
    </w:p>
    <w:p>
      <w:pPr>
        <w:pStyle w:val="BodyText"/>
        <w:spacing w:line="235" w:lineRule="auto"/>
        <w:ind w:left="432" w:right="676" w:firstLine="573"/>
        <w:jc w:val="both"/>
      </w:pPr>
      <w:r>
        <w:rPr>
          <w:color w:val="383636"/>
          <w:w w:val="115"/>
        </w:rPr>
        <w:t>The first thing to remember when citing statutory citations is to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consult the appropriate charts in ALWD or  another citation guide. Look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up the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jurisdiction that you are citing to and check the recommended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method. Note that some citation guides illustrate statutory citations using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large and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small capitals, they generally advise writers to use this conven­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tion mostly in law review articles, not in briefs</w:t>
      </w:r>
      <w:r>
        <w:rPr>
          <w:color w:val="575659"/>
          <w:w w:val="115"/>
        </w:rPr>
        <w:t>. </w:t>
      </w:r>
      <w:r>
        <w:rPr>
          <w:color w:val="383636"/>
          <w:w w:val="115"/>
        </w:rPr>
        <w:t>Thus, presume that you</w:t>
      </w:r>
      <w:r>
        <w:rPr>
          <w:color w:val="383636"/>
          <w:spacing w:val="-64"/>
          <w:w w:val="115"/>
        </w:rPr>
        <w:t> </w:t>
      </w:r>
      <w:r>
        <w:rPr>
          <w:color w:val="383636"/>
          <w:spacing w:val="-1"/>
          <w:w w:val="115"/>
        </w:rPr>
        <w:t>should</w:t>
      </w:r>
      <w:r>
        <w:rPr>
          <w:color w:val="383636"/>
          <w:spacing w:val="-8"/>
          <w:w w:val="115"/>
        </w:rPr>
        <w:t> </w:t>
      </w:r>
      <w:r>
        <w:rPr>
          <w:color w:val="383636"/>
          <w:spacing w:val="-1"/>
          <w:w w:val="115"/>
        </w:rPr>
        <w:t>use</w:t>
      </w:r>
      <w:r>
        <w:rPr>
          <w:color w:val="383636"/>
          <w:spacing w:val="-12"/>
          <w:w w:val="115"/>
        </w:rPr>
        <w:t> </w:t>
      </w:r>
      <w:r>
        <w:rPr>
          <w:color w:val="383636"/>
          <w:w w:val="115"/>
        </w:rPr>
        <w:t>ordinary</w:t>
      </w:r>
      <w:r>
        <w:rPr>
          <w:color w:val="383636"/>
          <w:spacing w:val="-1"/>
          <w:w w:val="115"/>
        </w:rPr>
        <w:t> </w:t>
      </w:r>
      <w:r>
        <w:rPr>
          <w:color w:val="383636"/>
          <w:w w:val="115"/>
        </w:rPr>
        <w:t>roman</w:t>
      </w:r>
      <w:r>
        <w:rPr>
          <w:color w:val="383636"/>
          <w:spacing w:val="-13"/>
          <w:w w:val="115"/>
        </w:rPr>
        <w:t> </w:t>
      </w:r>
      <w:r>
        <w:rPr>
          <w:color w:val="383636"/>
          <w:w w:val="115"/>
        </w:rPr>
        <w:t>type,</w:t>
      </w:r>
      <w:r>
        <w:rPr>
          <w:color w:val="383636"/>
          <w:spacing w:val="-15"/>
          <w:w w:val="115"/>
        </w:rPr>
        <w:t> </w:t>
      </w:r>
      <w:r>
        <w:rPr>
          <w:color w:val="383636"/>
          <w:w w:val="115"/>
        </w:rPr>
        <w:t>without</w:t>
      </w:r>
      <w:r>
        <w:rPr>
          <w:color w:val="383636"/>
          <w:spacing w:val="-7"/>
          <w:w w:val="115"/>
        </w:rPr>
        <w:t> </w:t>
      </w:r>
      <w:r>
        <w:rPr>
          <w:color w:val="383636"/>
          <w:w w:val="115"/>
        </w:rPr>
        <w:t>underlining</w:t>
      </w:r>
      <w:r>
        <w:rPr>
          <w:color w:val="383636"/>
          <w:spacing w:val="-16"/>
          <w:w w:val="115"/>
        </w:rPr>
        <w:t> </w:t>
      </w:r>
      <w:r>
        <w:rPr>
          <w:color w:val="383636"/>
          <w:w w:val="115"/>
        </w:rPr>
        <w:t>or</w:t>
      </w:r>
      <w:r>
        <w:rPr>
          <w:color w:val="383636"/>
          <w:spacing w:val="-8"/>
          <w:w w:val="115"/>
        </w:rPr>
        <w:t> </w:t>
      </w:r>
      <w:r>
        <w:rPr>
          <w:color w:val="383636"/>
          <w:w w:val="115"/>
        </w:rPr>
        <w:t>italics,</w:t>
      </w:r>
      <w:r>
        <w:rPr>
          <w:color w:val="383636"/>
          <w:spacing w:val="-9"/>
          <w:w w:val="115"/>
        </w:rPr>
        <w:t> </w:t>
      </w:r>
      <w:r>
        <w:rPr>
          <w:color w:val="383636"/>
          <w:w w:val="115"/>
        </w:rPr>
        <w:t>for</w:t>
      </w:r>
      <w:r>
        <w:rPr>
          <w:color w:val="383636"/>
          <w:spacing w:val="-15"/>
          <w:w w:val="115"/>
        </w:rPr>
        <w:t> </w:t>
      </w:r>
      <w:r>
        <w:rPr>
          <w:color w:val="383636"/>
          <w:w w:val="115"/>
        </w:rPr>
        <w:t>statu­</w:t>
      </w:r>
      <w:r>
        <w:rPr>
          <w:color w:val="383636"/>
          <w:spacing w:val="-64"/>
          <w:w w:val="115"/>
        </w:rPr>
        <w:t> </w:t>
      </w:r>
      <w:r>
        <w:rPr>
          <w:color w:val="383636"/>
          <w:w w:val="115"/>
        </w:rPr>
        <w:t>tory</w:t>
      </w:r>
      <w:r>
        <w:rPr>
          <w:color w:val="383636"/>
          <w:spacing w:val="-11"/>
          <w:w w:val="115"/>
        </w:rPr>
        <w:t> </w:t>
      </w:r>
      <w:r>
        <w:rPr>
          <w:color w:val="383636"/>
          <w:w w:val="115"/>
        </w:rPr>
        <w:t>citations.</w:t>
      </w:r>
    </w:p>
    <w:p>
      <w:pPr>
        <w:pStyle w:val="BodyText"/>
        <w:spacing w:line="235" w:lineRule="auto"/>
        <w:ind w:left="435" w:right="667" w:firstLine="338"/>
        <w:jc w:val="both"/>
      </w:pPr>
      <w:r>
        <w:rPr>
          <w:color w:val="383636"/>
          <w:w w:val="115"/>
        </w:rPr>
        <w:t>The second thing to remember about statutory citations is that you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must include a date for the statute, and that the date required is the date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on the book and/or pocket part (supplement) that the language appears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in</w:t>
      </w:r>
      <w:r>
        <w:rPr>
          <w:color w:val="575659"/>
          <w:w w:val="115"/>
        </w:rPr>
        <w:t>. </w:t>
      </w:r>
      <w:r>
        <w:rPr>
          <w:color w:val="383636"/>
          <w:w w:val="115"/>
        </w:rPr>
        <w:t>(Neither citation guide contemplates citing statutory material to a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computer database.) ALWD Rule 14 and Bluebook Rule 12 address statu­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5"/>
        </w:rPr>
        <w:t>tory</w:t>
      </w:r>
      <w:r>
        <w:rPr>
          <w:color w:val="383636"/>
          <w:spacing w:val="-21"/>
          <w:w w:val="115"/>
        </w:rPr>
        <w:t> </w:t>
      </w:r>
      <w:r>
        <w:rPr>
          <w:color w:val="383636"/>
          <w:w w:val="115"/>
        </w:rPr>
        <w:t>citations</w:t>
      </w:r>
      <w:r>
        <w:rPr>
          <w:color w:val="575659"/>
          <w:w w:val="115"/>
        </w:rPr>
        <w:t>.</w:t>
      </w:r>
    </w:p>
    <w:p>
      <w:pPr>
        <w:pStyle w:val="BodyText"/>
        <w:spacing w:line="243" w:lineRule="exact"/>
        <w:ind w:left="774"/>
        <w:jc w:val="both"/>
      </w:pPr>
      <w:r>
        <w:rPr>
          <w:color w:val="383636"/>
          <w:w w:val="115"/>
        </w:rPr>
        <w:t>Thus,</w:t>
      </w:r>
      <w:r>
        <w:rPr>
          <w:color w:val="383636"/>
          <w:spacing w:val="-3"/>
          <w:w w:val="115"/>
        </w:rPr>
        <w:t> </w:t>
      </w:r>
      <w:r>
        <w:rPr>
          <w:color w:val="383636"/>
          <w:w w:val="115"/>
        </w:rPr>
        <w:t>a</w:t>
      </w:r>
      <w:r>
        <w:rPr>
          <w:color w:val="383636"/>
          <w:spacing w:val="11"/>
          <w:w w:val="115"/>
        </w:rPr>
        <w:t> </w:t>
      </w:r>
      <w:r>
        <w:rPr>
          <w:color w:val="383636"/>
          <w:w w:val="115"/>
        </w:rPr>
        <w:t>correct</w:t>
      </w:r>
      <w:r>
        <w:rPr>
          <w:color w:val="383636"/>
          <w:spacing w:val="7"/>
          <w:w w:val="115"/>
        </w:rPr>
        <w:t> </w:t>
      </w:r>
      <w:r>
        <w:rPr>
          <w:color w:val="383636"/>
          <w:w w:val="115"/>
        </w:rPr>
        <w:t>citation</w:t>
      </w:r>
      <w:r>
        <w:rPr>
          <w:color w:val="383636"/>
          <w:spacing w:val="7"/>
          <w:w w:val="115"/>
        </w:rPr>
        <w:t> </w:t>
      </w:r>
      <w:r>
        <w:rPr>
          <w:color w:val="383636"/>
          <w:w w:val="115"/>
        </w:rPr>
        <w:t>to</w:t>
      </w:r>
      <w:r>
        <w:rPr>
          <w:color w:val="383636"/>
          <w:spacing w:val="6"/>
          <w:w w:val="115"/>
        </w:rPr>
        <w:t> </w:t>
      </w:r>
      <w:r>
        <w:rPr>
          <w:color w:val="383636"/>
          <w:w w:val="115"/>
        </w:rPr>
        <w:t>a</w:t>
      </w:r>
      <w:r>
        <w:rPr>
          <w:color w:val="383636"/>
          <w:spacing w:val="3"/>
          <w:w w:val="115"/>
        </w:rPr>
        <w:t> </w:t>
      </w:r>
      <w:r>
        <w:rPr>
          <w:color w:val="383636"/>
          <w:w w:val="115"/>
        </w:rPr>
        <w:t>statute</w:t>
      </w:r>
      <w:r>
        <w:rPr>
          <w:color w:val="383636"/>
          <w:spacing w:val="3"/>
          <w:w w:val="115"/>
        </w:rPr>
        <w:t> </w:t>
      </w:r>
      <w:r>
        <w:rPr>
          <w:color w:val="383636"/>
          <w:w w:val="115"/>
        </w:rPr>
        <w:t>that</w:t>
      </w:r>
      <w:r>
        <w:rPr>
          <w:color w:val="383636"/>
          <w:spacing w:val="9"/>
          <w:w w:val="115"/>
        </w:rPr>
        <w:t> </w:t>
      </w:r>
      <w:r>
        <w:rPr>
          <w:color w:val="383636"/>
          <w:w w:val="115"/>
        </w:rPr>
        <w:t>appears</w:t>
      </w:r>
      <w:r>
        <w:rPr>
          <w:color w:val="383636"/>
          <w:spacing w:val="4"/>
          <w:w w:val="115"/>
        </w:rPr>
        <w:t> </w:t>
      </w:r>
      <w:r>
        <w:rPr>
          <w:color w:val="383636"/>
          <w:w w:val="115"/>
        </w:rPr>
        <w:t>partially</w:t>
      </w:r>
      <w:r>
        <w:rPr>
          <w:color w:val="383636"/>
          <w:spacing w:val="8"/>
          <w:w w:val="115"/>
        </w:rPr>
        <w:t> </w:t>
      </w:r>
      <w:r>
        <w:rPr>
          <w:color w:val="383636"/>
          <w:w w:val="115"/>
        </w:rPr>
        <w:t>in</w:t>
      </w:r>
      <w:r>
        <w:rPr>
          <w:color w:val="383636"/>
          <w:spacing w:val="20"/>
          <w:w w:val="115"/>
        </w:rPr>
        <w:t> </w:t>
      </w:r>
      <w:r>
        <w:rPr>
          <w:color w:val="383636"/>
          <w:w w:val="115"/>
        </w:rPr>
        <w:t>a</w:t>
      </w:r>
      <w:r>
        <w:rPr>
          <w:color w:val="383636"/>
          <w:spacing w:val="11"/>
          <w:w w:val="115"/>
        </w:rPr>
        <w:t> </w:t>
      </w:r>
      <w:r>
        <w:rPr>
          <w:color w:val="383636"/>
          <w:w w:val="115"/>
        </w:rPr>
        <w:t>bound</w:t>
      </w:r>
    </w:p>
    <w:p>
      <w:pPr>
        <w:pStyle w:val="BodyText"/>
        <w:spacing w:line="244" w:lineRule="auto"/>
        <w:ind w:left="434" w:right="666" w:hanging="3"/>
        <w:jc w:val="both"/>
      </w:pPr>
      <w:r>
        <w:rPr>
          <w:color w:val="383636"/>
          <w:w w:val="110"/>
        </w:rPr>
        <w:t>volume dated 2011 and partially in a pocket part dated 2014 would be as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follows:</w:t>
      </w:r>
    </w:p>
    <w:p>
      <w:pPr>
        <w:spacing w:before="99"/>
        <w:ind w:left="783" w:right="0" w:firstLine="0"/>
        <w:jc w:val="both"/>
        <w:rPr>
          <w:rFonts w:ascii="Arial" w:hAnsi="Arial"/>
          <w:b/>
          <w:sz w:val="20"/>
        </w:rPr>
      </w:pPr>
      <w:r>
        <w:rPr>
          <w:b/>
          <w:color w:val="383636"/>
          <w:w w:val="115"/>
          <w:sz w:val="20"/>
        </w:rPr>
        <w:t>Okla.</w:t>
      </w:r>
      <w:r>
        <w:rPr>
          <w:b/>
          <w:color w:val="383636"/>
          <w:spacing w:val="-19"/>
          <w:w w:val="115"/>
          <w:sz w:val="20"/>
        </w:rPr>
        <w:t> </w:t>
      </w:r>
      <w:r>
        <w:rPr>
          <w:b/>
          <w:color w:val="383636"/>
          <w:w w:val="115"/>
          <w:sz w:val="20"/>
        </w:rPr>
        <w:t>Stat.</w:t>
      </w:r>
      <w:r>
        <w:rPr>
          <w:b/>
          <w:color w:val="383636"/>
          <w:spacing w:val="-4"/>
          <w:w w:val="115"/>
          <w:sz w:val="20"/>
        </w:rPr>
        <w:t> </w:t>
      </w:r>
      <w:r>
        <w:rPr>
          <w:b/>
          <w:color w:val="383636"/>
          <w:w w:val="115"/>
          <w:sz w:val="20"/>
        </w:rPr>
        <w:t>tit.</w:t>
      </w:r>
      <w:r>
        <w:rPr>
          <w:b/>
          <w:color w:val="383636"/>
          <w:spacing w:val="-5"/>
          <w:w w:val="115"/>
          <w:sz w:val="20"/>
        </w:rPr>
        <w:t> </w:t>
      </w:r>
      <w:r>
        <w:rPr>
          <w:b/>
          <w:color w:val="383636"/>
          <w:w w:val="115"/>
          <w:sz w:val="20"/>
        </w:rPr>
        <w:t>19,</w:t>
      </w:r>
      <w:r>
        <w:rPr>
          <w:b/>
          <w:color w:val="383636"/>
          <w:spacing w:val="-14"/>
          <w:w w:val="115"/>
          <w:sz w:val="20"/>
        </w:rPr>
        <w:t> </w:t>
      </w:r>
      <w:r>
        <w:rPr>
          <w:rFonts w:ascii="Arial" w:hAnsi="Arial"/>
          <w:color w:val="383636"/>
          <w:w w:val="115"/>
          <w:sz w:val="18"/>
        </w:rPr>
        <w:t>§</w:t>
      </w:r>
      <w:r>
        <w:rPr>
          <w:rFonts w:ascii="Arial" w:hAnsi="Arial"/>
          <w:color w:val="383636"/>
          <w:spacing w:val="-1"/>
          <w:w w:val="115"/>
          <w:sz w:val="18"/>
        </w:rPr>
        <w:t> </w:t>
      </w:r>
      <w:r>
        <w:rPr>
          <w:b/>
          <w:color w:val="383636"/>
          <w:w w:val="115"/>
          <w:sz w:val="20"/>
        </w:rPr>
        <w:t>222.22</w:t>
      </w:r>
      <w:r>
        <w:rPr>
          <w:b/>
          <w:color w:val="383636"/>
          <w:spacing w:val="-7"/>
          <w:w w:val="115"/>
          <w:sz w:val="20"/>
        </w:rPr>
        <w:t> </w:t>
      </w:r>
      <w:r>
        <w:rPr>
          <w:b/>
          <w:color w:val="383636"/>
          <w:w w:val="115"/>
          <w:sz w:val="20"/>
        </w:rPr>
        <w:t>(2011</w:t>
      </w:r>
      <w:r>
        <w:rPr>
          <w:b/>
          <w:color w:val="383636"/>
          <w:spacing w:val="-2"/>
          <w:w w:val="115"/>
          <w:sz w:val="20"/>
        </w:rPr>
        <w:t> </w:t>
      </w:r>
      <w:r>
        <w:rPr>
          <w:rFonts w:ascii="Arial" w:hAnsi="Arial"/>
          <w:b/>
          <w:color w:val="383636"/>
          <w:w w:val="115"/>
          <w:sz w:val="20"/>
        </w:rPr>
        <w:t>6t</w:t>
      </w:r>
      <w:r>
        <w:rPr>
          <w:rFonts w:ascii="Arial" w:hAnsi="Arial"/>
          <w:b/>
          <w:color w:val="383636"/>
          <w:spacing w:val="-23"/>
          <w:w w:val="115"/>
          <w:sz w:val="20"/>
        </w:rPr>
        <w:t> </w:t>
      </w:r>
      <w:r>
        <w:rPr>
          <w:b/>
          <w:color w:val="383636"/>
          <w:w w:val="115"/>
          <w:sz w:val="21"/>
        </w:rPr>
        <w:t>Supp.</w:t>
      </w:r>
      <w:r>
        <w:rPr>
          <w:b/>
          <w:color w:val="383636"/>
          <w:spacing w:val="-1"/>
          <w:w w:val="115"/>
          <w:sz w:val="21"/>
        </w:rPr>
        <w:t> </w:t>
      </w:r>
      <w:r>
        <w:rPr>
          <w:b/>
          <w:color w:val="383636"/>
          <w:w w:val="115"/>
          <w:sz w:val="20"/>
        </w:rPr>
        <w:t>2014).</w:t>
      </w:r>
      <w:r>
        <w:rPr>
          <w:rFonts w:ascii="Arial" w:hAnsi="Arial"/>
          <w:b/>
          <w:color w:val="383636"/>
          <w:w w:val="115"/>
          <w:sz w:val="20"/>
          <w:vertAlign w:val="superscript"/>
        </w:rPr>
        <w:t>2</w:t>
      </w:r>
    </w:p>
    <w:p>
      <w:pPr>
        <w:pStyle w:val="BodyText"/>
        <w:spacing w:line="235" w:lineRule="auto" w:before="149"/>
        <w:ind w:left="435" w:right="766" w:firstLine="359"/>
      </w:pPr>
      <w:r>
        <w:rPr>
          <w:color w:val="383636"/>
          <w:w w:val="110"/>
        </w:rPr>
        <w:t>If</w:t>
      </w:r>
      <w:r>
        <w:rPr>
          <w:color w:val="383636"/>
          <w:spacing w:val="6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7"/>
          <w:w w:val="110"/>
        </w:rPr>
        <w:t> </w:t>
      </w:r>
      <w:r>
        <w:rPr>
          <w:color w:val="383636"/>
          <w:w w:val="110"/>
        </w:rPr>
        <w:t>entire</w:t>
      </w:r>
      <w:r>
        <w:rPr>
          <w:color w:val="383636"/>
          <w:spacing w:val="-19"/>
          <w:w w:val="110"/>
        </w:rPr>
        <w:t> </w:t>
      </w:r>
      <w:r>
        <w:rPr>
          <w:color w:val="383636"/>
          <w:w w:val="110"/>
        </w:rPr>
        <w:t>statute</w:t>
      </w:r>
      <w:r>
        <w:rPr>
          <w:color w:val="383636"/>
          <w:spacing w:val="-2"/>
          <w:w w:val="110"/>
        </w:rPr>
        <w:t> </w:t>
      </w:r>
      <w:r>
        <w:rPr>
          <w:color w:val="383636"/>
          <w:w w:val="110"/>
        </w:rPr>
        <w:t>appeared</w:t>
      </w:r>
      <w:r>
        <w:rPr>
          <w:color w:val="383636"/>
          <w:spacing w:val="18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22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46"/>
          <w:w w:val="110"/>
        </w:rPr>
        <w:t> </w:t>
      </w:r>
      <w:r>
        <w:rPr>
          <w:color w:val="383636"/>
          <w:w w:val="110"/>
        </w:rPr>
        <w:t>pocket</w:t>
      </w:r>
      <w:r>
        <w:rPr>
          <w:color w:val="383636"/>
          <w:spacing w:val="4"/>
          <w:w w:val="110"/>
        </w:rPr>
        <w:t> </w:t>
      </w:r>
      <w:r>
        <w:rPr>
          <w:color w:val="383636"/>
          <w:w w:val="110"/>
        </w:rPr>
        <w:t>part (or</w:t>
      </w:r>
      <w:r>
        <w:rPr>
          <w:color w:val="383636"/>
          <w:spacing w:val="-23"/>
          <w:w w:val="110"/>
        </w:rPr>
        <w:t> </w:t>
      </w:r>
      <w:r>
        <w:rPr>
          <w:color w:val="383636"/>
          <w:w w:val="110"/>
        </w:rPr>
        <w:t>at</w:t>
      </w:r>
      <w:r>
        <w:rPr>
          <w:color w:val="383636"/>
          <w:spacing w:val="3"/>
          <w:w w:val="110"/>
        </w:rPr>
        <w:t> </w:t>
      </w:r>
      <w:r>
        <w:rPr>
          <w:color w:val="383636"/>
          <w:w w:val="110"/>
        </w:rPr>
        <w:t>least</w:t>
      </w:r>
      <w:r>
        <w:rPr>
          <w:color w:val="383636"/>
          <w:spacing w:val="8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20"/>
          <w:w w:val="110"/>
        </w:rPr>
        <w:t> </w:t>
      </w:r>
      <w:r>
        <w:rPr>
          <w:color w:val="383636"/>
          <w:w w:val="110"/>
        </w:rPr>
        <w:t>entire</w:t>
      </w:r>
      <w:r>
        <w:rPr>
          <w:color w:val="383636"/>
          <w:spacing w:val="-61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-6"/>
          <w:w w:val="110"/>
        </w:rPr>
        <w:t> </w:t>
      </w:r>
      <w:r>
        <w:rPr>
          <w:color w:val="383636"/>
          <w:w w:val="110"/>
        </w:rPr>
        <w:t>what</w:t>
      </w:r>
      <w:r>
        <w:rPr>
          <w:color w:val="383636"/>
          <w:spacing w:val="6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5"/>
          <w:w w:val="110"/>
        </w:rPr>
        <w:t> </w:t>
      </w:r>
      <w:r>
        <w:rPr>
          <w:color w:val="383636"/>
          <w:w w:val="110"/>
        </w:rPr>
        <w:t>writer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referenced),</w:t>
      </w:r>
      <w:r>
        <w:rPr>
          <w:color w:val="383636"/>
          <w:spacing w:val="1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21"/>
          <w:w w:val="110"/>
        </w:rPr>
        <w:t> </w:t>
      </w:r>
      <w:r>
        <w:rPr>
          <w:color w:val="383636"/>
          <w:w w:val="110"/>
        </w:rPr>
        <w:t>citation</w:t>
      </w:r>
      <w:r>
        <w:rPr>
          <w:color w:val="383636"/>
          <w:spacing w:val="5"/>
          <w:w w:val="110"/>
        </w:rPr>
        <w:t> </w:t>
      </w:r>
      <w:r>
        <w:rPr>
          <w:color w:val="383636"/>
          <w:w w:val="110"/>
        </w:rPr>
        <w:t>would</w:t>
      </w:r>
      <w:r>
        <w:rPr>
          <w:color w:val="383636"/>
          <w:spacing w:val="9"/>
          <w:w w:val="110"/>
        </w:rPr>
        <w:t> </w:t>
      </w:r>
      <w:r>
        <w:rPr>
          <w:color w:val="383636"/>
          <w:w w:val="110"/>
        </w:rPr>
        <w:t>be</w:t>
      </w:r>
      <w:r>
        <w:rPr>
          <w:color w:val="383636"/>
          <w:spacing w:val="-5"/>
          <w:w w:val="110"/>
        </w:rPr>
        <w:t> </w:t>
      </w:r>
      <w:r>
        <w:rPr>
          <w:color w:val="383636"/>
          <w:w w:val="110"/>
        </w:rPr>
        <w:t>as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follows:</w:t>
      </w:r>
    </w:p>
    <w:p>
      <w:pPr>
        <w:spacing w:before="141"/>
        <w:ind w:left="792" w:right="0" w:firstLine="0"/>
        <w:jc w:val="both"/>
        <w:rPr>
          <w:b/>
          <w:sz w:val="20"/>
        </w:rPr>
      </w:pPr>
      <w:r>
        <w:rPr>
          <w:b/>
          <w:color w:val="383636"/>
          <w:w w:val="115"/>
          <w:sz w:val="20"/>
        </w:rPr>
        <w:t>Okla.</w:t>
      </w:r>
      <w:r>
        <w:rPr>
          <w:b/>
          <w:color w:val="383636"/>
          <w:spacing w:val="-5"/>
          <w:w w:val="115"/>
          <w:sz w:val="20"/>
        </w:rPr>
        <w:t> </w:t>
      </w:r>
      <w:r>
        <w:rPr>
          <w:b/>
          <w:color w:val="383636"/>
          <w:w w:val="115"/>
          <w:sz w:val="20"/>
        </w:rPr>
        <w:t>Stat.</w:t>
      </w:r>
      <w:r>
        <w:rPr>
          <w:b/>
          <w:color w:val="383636"/>
          <w:spacing w:val="2"/>
          <w:w w:val="115"/>
          <w:sz w:val="20"/>
        </w:rPr>
        <w:t> </w:t>
      </w:r>
      <w:r>
        <w:rPr>
          <w:b/>
          <w:color w:val="383636"/>
          <w:w w:val="115"/>
          <w:sz w:val="20"/>
        </w:rPr>
        <w:t>tit.</w:t>
      </w:r>
      <w:r>
        <w:rPr>
          <w:b/>
          <w:color w:val="383636"/>
          <w:spacing w:val="-4"/>
          <w:w w:val="115"/>
          <w:sz w:val="20"/>
        </w:rPr>
        <w:t> </w:t>
      </w:r>
      <w:r>
        <w:rPr>
          <w:b/>
          <w:color w:val="383636"/>
          <w:w w:val="115"/>
          <w:sz w:val="20"/>
        </w:rPr>
        <w:t>29,</w:t>
      </w:r>
      <w:r>
        <w:rPr>
          <w:b/>
          <w:color w:val="383636"/>
          <w:spacing w:val="1"/>
          <w:w w:val="115"/>
          <w:sz w:val="20"/>
        </w:rPr>
        <w:t> </w:t>
      </w:r>
      <w:r>
        <w:rPr>
          <w:rFonts w:ascii="Arial" w:hAnsi="Arial"/>
          <w:color w:val="383636"/>
          <w:w w:val="115"/>
          <w:sz w:val="18"/>
        </w:rPr>
        <w:t>§</w:t>
      </w:r>
      <w:r>
        <w:rPr>
          <w:rFonts w:ascii="Arial" w:hAnsi="Arial"/>
          <w:color w:val="383636"/>
          <w:spacing w:val="2"/>
          <w:w w:val="115"/>
          <w:sz w:val="18"/>
        </w:rPr>
        <w:t> </w:t>
      </w:r>
      <w:r>
        <w:rPr>
          <w:b/>
          <w:color w:val="383636"/>
          <w:w w:val="115"/>
          <w:sz w:val="20"/>
        </w:rPr>
        <w:t>122</w:t>
      </w:r>
      <w:r>
        <w:rPr>
          <w:b/>
          <w:color w:val="575659"/>
          <w:w w:val="115"/>
          <w:sz w:val="20"/>
        </w:rPr>
        <w:t>.</w:t>
      </w:r>
      <w:r>
        <w:rPr>
          <w:b/>
          <w:color w:val="383636"/>
          <w:w w:val="115"/>
          <w:sz w:val="20"/>
        </w:rPr>
        <w:t>22(h)</w:t>
      </w:r>
      <w:r>
        <w:rPr>
          <w:b/>
          <w:color w:val="383636"/>
          <w:spacing w:val="26"/>
          <w:w w:val="115"/>
          <w:sz w:val="20"/>
        </w:rPr>
        <w:t> </w:t>
      </w:r>
      <w:r>
        <w:rPr>
          <w:b/>
          <w:color w:val="383636"/>
          <w:w w:val="115"/>
          <w:sz w:val="20"/>
        </w:rPr>
        <w:t>(Supp.</w:t>
      </w:r>
      <w:r>
        <w:rPr>
          <w:b/>
          <w:color w:val="383636"/>
          <w:spacing w:val="1"/>
          <w:w w:val="115"/>
          <w:sz w:val="20"/>
        </w:rPr>
        <w:t> </w:t>
      </w:r>
      <w:r>
        <w:rPr>
          <w:b/>
          <w:color w:val="383636"/>
          <w:w w:val="115"/>
          <w:sz w:val="20"/>
        </w:rPr>
        <w:t>2014).</w:t>
      </w:r>
    </w:p>
    <w:p>
      <w:pPr>
        <w:pStyle w:val="BodyText"/>
        <w:spacing w:line="232" w:lineRule="auto" w:before="134"/>
        <w:ind w:left="442" w:right="635" w:hanging="5"/>
        <w:jc w:val="both"/>
      </w:pPr>
      <w:r>
        <w:rPr>
          <w:color w:val="383636"/>
          <w:w w:val="110"/>
          <w:sz w:val="24"/>
        </w:rPr>
        <w:t>If </w:t>
      </w:r>
      <w:r>
        <w:rPr>
          <w:color w:val="383636"/>
          <w:w w:val="110"/>
        </w:rPr>
        <w:t>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language cited appeared entirely in the bound volume, the citation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would</w:t>
      </w:r>
      <w:r>
        <w:rPr>
          <w:color w:val="383636"/>
          <w:spacing w:val="6"/>
          <w:w w:val="110"/>
        </w:rPr>
        <w:t> </w:t>
      </w:r>
      <w:r>
        <w:rPr>
          <w:color w:val="383636"/>
          <w:w w:val="110"/>
        </w:rPr>
        <w:t>be</w:t>
      </w:r>
      <w:r>
        <w:rPr>
          <w:color w:val="383636"/>
          <w:spacing w:val="7"/>
          <w:w w:val="110"/>
        </w:rPr>
        <w:t> </w:t>
      </w:r>
      <w:r>
        <w:rPr>
          <w:color w:val="383636"/>
          <w:w w:val="110"/>
        </w:rPr>
        <w:t>as</w:t>
      </w:r>
      <w:r>
        <w:rPr>
          <w:color w:val="383636"/>
          <w:spacing w:val="2"/>
          <w:w w:val="110"/>
        </w:rPr>
        <w:t> </w:t>
      </w:r>
      <w:r>
        <w:rPr>
          <w:color w:val="383636"/>
          <w:w w:val="110"/>
        </w:rPr>
        <w:t>follows:</w:t>
      </w:r>
    </w:p>
    <w:p>
      <w:pPr>
        <w:spacing w:before="132"/>
        <w:ind w:left="792" w:right="0" w:firstLine="0"/>
        <w:jc w:val="both"/>
        <w:rPr>
          <w:b/>
          <w:sz w:val="20"/>
        </w:rPr>
      </w:pPr>
      <w:r>
        <w:rPr>
          <w:b/>
          <w:color w:val="383636"/>
          <w:w w:val="115"/>
          <w:sz w:val="20"/>
        </w:rPr>
        <w:t>Okla.</w:t>
      </w:r>
      <w:r>
        <w:rPr>
          <w:b/>
          <w:color w:val="383636"/>
          <w:spacing w:val="-7"/>
          <w:w w:val="115"/>
          <w:sz w:val="20"/>
        </w:rPr>
        <w:t> </w:t>
      </w:r>
      <w:r>
        <w:rPr>
          <w:b/>
          <w:color w:val="383636"/>
          <w:w w:val="115"/>
          <w:sz w:val="20"/>
        </w:rPr>
        <w:t>Stat.</w:t>
      </w:r>
      <w:r>
        <w:rPr>
          <w:b/>
          <w:color w:val="383636"/>
          <w:spacing w:val="-3"/>
          <w:w w:val="115"/>
          <w:sz w:val="20"/>
        </w:rPr>
        <w:t> </w:t>
      </w:r>
      <w:r>
        <w:rPr>
          <w:b/>
          <w:color w:val="383636"/>
          <w:w w:val="115"/>
          <w:sz w:val="20"/>
        </w:rPr>
        <w:t>tit</w:t>
      </w:r>
      <w:r>
        <w:rPr>
          <w:b/>
          <w:color w:val="575659"/>
          <w:w w:val="115"/>
          <w:sz w:val="20"/>
        </w:rPr>
        <w:t>.</w:t>
      </w:r>
      <w:r>
        <w:rPr>
          <w:b/>
          <w:color w:val="575659"/>
          <w:spacing w:val="14"/>
          <w:w w:val="115"/>
          <w:sz w:val="20"/>
        </w:rPr>
        <w:t> </w:t>
      </w:r>
      <w:r>
        <w:rPr>
          <w:b/>
          <w:color w:val="383636"/>
          <w:w w:val="115"/>
          <w:sz w:val="20"/>
        </w:rPr>
        <w:t>15,</w:t>
      </w:r>
      <w:r>
        <w:rPr>
          <w:b/>
          <w:color w:val="383636"/>
          <w:spacing w:val="6"/>
          <w:w w:val="115"/>
          <w:sz w:val="20"/>
        </w:rPr>
        <w:t> </w:t>
      </w:r>
      <w:r>
        <w:rPr>
          <w:rFonts w:ascii="Arial" w:hAnsi="Arial"/>
          <w:color w:val="383636"/>
          <w:w w:val="115"/>
          <w:sz w:val="18"/>
        </w:rPr>
        <w:t>§</w:t>
      </w:r>
      <w:r>
        <w:rPr>
          <w:rFonts w:ascii="Arial" w:hAnsi="Arial"/>
          <w:color w:val="383636"/>
          <w:spacing w:val="9"/>
          <w:w w:val="115"/>
          <w:sz w:val="18"/>
        </w:rPr>
        <w:t> </w:t>
      </w:r>
      <w:r>
        <w:rPr>
          <w:b/>
          <w:color w:val="383636"/>
          <w:w w:val="115"/>
          <w:sz w:val="20"/>
        </w:rPr>
        <w:t>111.22(a)</w:t>
      </w:r>
      <w:r>
        <w:rPr>
          <w:b/>
          <w:color w:val="383636"/>
          <w:spacing w:val="11"/>
          <w:w w:val="115"/>
          <w:sz w:val="20"/>
        </w:rPr>
        <w:t> </w:t>
      </w:r>
      <w:r>
        <w:rPr>
          <w:b/>
          <w:color w:val="383636"/>
          <w:w w:val="115"/>
          <w:sz w:val="20"/>
        </w:rPr>
        <w:t>(2011).</w:t>
      </w:r>
    </w:p>
    <w:p>
      <w:pPr>
        <w:pStyle w:val="BodyText"/>
        <w:spacing w:line="235" w:lineRule="auto" w:before="141"/>
        <w:ind w:left="445" w:right="585" w:firstLine="1"/>
        <w:jc w:val="both"/>
      </w:pPr>
      <w:r>
        <w:rPr>
          <w:color w:val="383636"/>
          <w:w w:val="115"/>
        </w:rPr>
        <w:t>Note that although your instincts may be to provide the date of enact­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ment or am</w:t>
      </w:r>
      <w:r>
        <w:rPr>
          <w:color w:val="575659"/>
          <w:w w:val="110"/>
        </w:rPr>
        <w:t>e</w:t>
      </w:r>
      <w:r>
        <w:rPr>
          <w:color w:val="383636"/>
          <w:w w:val="110"/>
        </w:rPr>
        <w:t>ndment, that information is not required. You may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decide to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add</w:t>
      </w:r>
      <w:r>
        <w:rPr>
          <w:color w:val="383636"/>
          <w:spacing w:val="11"/>
          <w:w w:val="110"/>
        </w:rPr>
        <w:t> </w:t>
      </w:r>
      <w:r>
        <w:rPr>
          <w:color w:val="383636"/>
          <w:w w:val="110"/>
        </w:rPr>
        <w:t>this</w:t>
      </w:r>
      <w:r>
        <w:rPr>
          <w:color w:val="383636"/>
          <w:spacing w:val="6"/>
          <w:w w:val="110"/>
        </w:rPr>
        <w:t> </w:t>
      </w:r>
      <w:r>
        <w:rPr>
          <w:color w:val="383636"/>
          <w:w w:val="110"/>
        </w:rPr>
        <w:t>information,</w:t>
      </w:r>
      <w:r>
        <w:rPr>
          <w:color w:val="383636"/>
          <w:spacing w:val="26"/>
          <w:w w:val="110"/>
        </w:rPr>
        <w:t> </w:t>
      </w:r>
      <w:r>
        <w:rPr>
          <w:color w:val="383636"/>
          <w:w w:val="110"/>
        </w:rPr>
        <w:t>however,</w:t>
      </w:r>
      <w:r>
        <w:rPr>
          <w:color w:val="383636"/>
          <w:spacing w:val="16"/>
          <w:w w:val="110"/>
        </w:rPr>
        <w:t> </w:t>
      </w:r>
      <w:r>
        <w:rPr>
          <w:color w:val="383636"/>
          <w:w w:val="110"/>
        </w:rPr>
        <w:t>if</w:t>
      </w:r>
      <w:r>
        <w:rPr>
          <w:color w:val="383636"/>
          <w:spacing w:val="24"/>
          <w:w w:val="110"/>
        </w:rPr>
        <w:t> </w:t>
      </w:r>
      <w:r>
        <w:rPr>
          <w:color w:val="383636"/>
          <w:w w:val="110"/>
        </w:rPr>
        <w:t>you</w:t>
      </w:r>
      <w:r>
        <w:rPr>
          <w:color w:val="383636"/>
          <w:spacing w:val="2"/>
          <w:w w:val="110"/>
        </w:rPr>
        <w:t> </w:t>
      </w:r>
      <w:r>
        <w:rPr>
          <w:color w:val="383636"/>
          <w:w w:val="110"/>
        </w:rPr>
        <w:t>think</w:t>
      </w:r>
      <w:r>
        <w:rPr>
          <w:color w:val="383636"/>
          <w:spacing w:val="10"/>
          <w:w w:val="110"/>
        </w:rPr>
        <w:t> </w:t>
      </w:r>
      <w:r>
        <w:rPr>
          <w:color w:val="383636"/>
          <w:w w:val="110"/>
        </w:rPr>
        <w:t>it</w:t>
      </w:r>
      <w:r>
        <w:rPr>
          <w:color w:val="383636"/>
          <w:spacing w:val="16"/>
          <w:w w:val="110"/>
        </w:rPr>
        <w:t> </w:t>
      </w:r>
      <w:r>
        <w:rPr>
          <w:color w:val="383636"/>
          <w:w w:val="110"/>
        </w:rPr>
        <w:t>is</w:t>
      </w:r>
      <w:r>
        <w:rPr>
          <w:color w:val="383636"/>
          <w:spacing w:val="-14"/>
          <w:w w:val="110"/>
        </w:rPr>
        <w:t> </w:t>
      </w:r>
      <w:r>
        <w:rPr>
          <w:color w:val="383636"/>
          <w:w w:val="110"/>
        </w:rPr>
        <w:t>relevant</w:t>
      </w:r>
      <w:r>
        <w:rPr>
          <w:color w:val="383636"/>
          <w:spacing w:val="33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19"/>
          <w:w w:val="110"/>
        </w:rPr>
        <w:t> </w:t>
      </w:r>
      <w:r>
        <w:rPr>
          <w:color w:val="383636"/>
          <w:w w:val="110"/>
        </w:rPr>
        <w:t>your</w:t>
      </w:r>
      <w:r>
        <w:rPr>
          <w:color w:val="383636"/>
          <w:spacing w:val="8"/>
          <w:w w:val="110"/>
        </w:rPr>
        <w:t> </w:t>
      </w:r>
      <w:r>
        <w:rPr>
          <w:color w:val="383636"/>
          <w:w w:val="110"/>
        </w:rPr>
        <w:t>analysis: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spacing w:line="211" w:lineRule="auto" w:before="0"/>
        <w:ind w:left="446" w:right="554" w:firstLine="340"/>
        <w:jc w:val="left"/>
        <w:rPr>
          <w:sz w:val="18"/>
        </w:rPr>
      </w:pPr>
      <w:r>
        <w:rPr>
          <w:color w:val="383636"/>
          <w:w w:val="110"/>
          <w:position w:val="6"/>
          <w:sz w:val="11"/>
        </w:rPr>
        <w:t>1</w:t>
      </w:r>
      <w:r>
        <w:rPr>
          <w:color w:val="383636"/>
          <w:w w:val="110"/>
          <w:sz w:val="18"/>
        </w:rPr>
        <w:t>Note  that the supplements to the  United States Code are numbered;  thus, you might  have</w:t>
      </w:r>
      <w:r>
        <w:rPr>
          <w:color w:val="383636"/>
          <w:spacing w:val="-47"/>
          <w:w w:val="110"/>
          <w:sz w:val="18"/>
        </w:rPr>
        <w:t> </w:t>
      </w:r>
      <w:r>
        <w:rPr>
          <w:color w:val="383636"/>
          <w:w w:val="110"/>
          <w:sz w:val="18"/>
        </w:rPr>
        <w:t>a</w:t>
      </w:r>
      <w:r>
        <w:rPr>
          <w:color w:val="383636"/>
          <w:spacing w:val="-24"/>
          <w:w w:val="110"/>
          <w:sz w:val="18"/>
        </w:rPr>
        <w:t> </w:t>
      </w:r>
      <w:r>
        <w:rPr>
          <w:color w:val="383636"/>
          <w:w w:val="110"/>
          <w:sz w:val="18"/>
        </w:rPr>
        <w:t>cite</w:t>
      </w:r>
      <w:r>
        <w:rPr>
          <w:color w:val="383636"/>
          <w:spacing w:val="-8"/>
          <w:w w:val="110"/>
          <w:sz w:val="18"/>
        </w:rPr>
        <w:t> </w:t>
      </w:r>
      <w:r>
        <w:rPr>
          <w:color w:val="383636"/>
          <w:w w:val="110"/>
          <w:sz w:val="18"/>
        </w:rPr>
        <w:t>like</w:t>
      </w:r>
      <w:r>
        <w:rPr>
          <w:color w:val="383636"/>
          <w:spacing w:val="-6"/>
          <w:w w:val="110"/>
          <w:sz w:val="18"/>
        </w:rPr>
        <w:t> </w:t>
      </w:r>
      <w:r>
        <w:rPr>
          <w:color w:val="383636"/>
          <w:w w:val="110"/>
          <w:sz w:val="18"/>
        </w:rPr>
        <w:t>this:</w:t>
      </w:r>
      <w:r>
        <w:rPr>
          <w:color w:val="383636"/>
          <w:spacing w:val="-18"/>
          <w:w w:val="110"/>
          <w:sz w:val="18"/>
        </w:rPr>
        <w:t> </w:t>
      </w:r>
      <w:r>
        <w:rPr>
          <w:color w:val="383636"/>
          <w:w w:val="110"/>
          <w:sz w:val="18"/>
        </w:rPr>
        <w:t>29</w:t>
      </w:r>
      <w:r>
        <w:rPr>
          <w:color w:val="383636"/>
          <w:spacing w:val="-12"/>
          <w:w w:val="110"/>
          <w:sz w:val="18"/>
        </w:rPr>
        <w:t> </w:t>
      </w:r>
      <w:r>
        <w:rPr>
          <w:color w:val="383636"/>
          <w:w w:val="110"/>
          <w:sz w:val="18"/>
        </w:rPr>
        <w:t>U</w:t>
      </w:r>
      <w:r>
        <w:rPr>
          <w:color w:val="575659"/>
          <w:w w:val="110"/>
          <w:sz w:val="18"/>
        </w:rPr>
        <w:t>.</w:t>
      </w:r>
      <w:r>
        <w:rPr>
          <w:color w:val="383636"/>
          <w:w w:val="110"/>
          <w:sz w:val="18"/>
        </w:rPr>
        <w:t>S</w:t>
      </w:r>
      <w:r>
        <w:rPr>
          <w:color w:val="575659"/>
          <w:w w:val="110"/>
          <w:sz w:val="18"/>
        </w:rPr>
        <w:t>.</w:t>
      </w:r>
      <w:r>
        <w:rPr>
          <w:color w:val="383636"/>
          <w:w w:val="110"/>
          <w:sz w:val="18"/>
        </w:rPr>
        <w:t>C</w:t>
      </w:r>
      <w:r>
        <w:rPr>
          <w:color w:val="575659"/>
          <w:w w:val="110"/>
          <w:sz w:val="18"/>
        </w:rPr>
        <w:t>.</w:t>
      </w:r>
      <w:r>
        <w:rPr>
          <w:color w:val="575659"/>
          <w:spacing w:val="-14"/>
          <w:w w:val="110"/>
          <w:sz w:val="18"/>
        </w:rPr>
        <w:t> </w:t>
      </w:r>
      <w:r>
        <w:rPr>
          <w:rFonts w:ascii="Arial" w:hAnsi="Arial"/>
          <w:color w:val="383636"/>
          <w:w w:val="110"/>
          <w:sz w:val="15"/>
        </w:rPr>
        <w:t>§</w:t>
      </w:r>
      <w:r>
        <w:rPr>
          <w:rFonts w:ascii="Arial" w:hAnsi="Arial"/>
          <w:color w:val="383636"/>
          <w:spacing w:val="7"/>
          <w:w w:val="110"/>
          <w:sz w:val="15"/>
        </w:rPr>
        <w:t> </w:t>
      </w:r>
      <w:r>
        <w:rPr>
          <w:color w:val="383636"/>
          <w:w w:val="110"/>
          <w:sz w:val="18"/>
        </w:rPr>
        <w:t>122</w:t>
      </w:r>
      <w:r>
        <w:rPr>
          <w:color w:val="383636"/>
          <w:spacing w:val="13"/>
          <w:w w:val="110"/>
          <w:sz w:val="18"/>
        </w:rPr>
        <w:t> </w:t>
      </w:r>
      <w:r>
        <w:rPr>
          <w:color w:val="383636"/>
          <w:w w:val="110"/>
          <w:sz w:val="18"/>
        </w:rPr>
        <w:t>(2009</w:t>
      </w:r>
      <w:r>
        <w:rPr>
          <w:color w:val="383636"/>
          <w:spacing w:val="-7"/>
          <w:w w:val="110"/>
          <w:sz w:val="18"/>
        </w:rPr>
        <w:t> </w:t>
      </w:r>
      <w:r>
        <w:rPr>
          <w:color w:val="383636"/>
          <w:w w:val="110"/>
          <w:sz w:val="16"/>
        </w:rPr>
        <w:t>&amp;</w:t>
      </w:r>
      <w:r>
        <w:rPr>
          <w:color w:val="383636"/>
          <w:spacing w:val="-4"/>
          <w:w w:val="110"/>
          <w:sz w:val="16"/>
        </w:rPr>
        <w:t> </w:t>
      </w:r>
      <w:r>
        <w:rPr>
          <w:color w:val="383636"/>
          <w:w w:val="110"/>
          <w:sz w:val="18"/>
        </w:rPr>
        <w:t>Supp.</w:t>
      </w:r>
      <w:r>
        <w:rPr>
          <w:color w:val="383636"/>
          <w:spacing w:val="-4"/>
          <w:w w:val="110"/>
          <w:sz w:val="18"/>
        </w:rPr>
        <w:t> </w:t>
      </w:r>
      <w:r>
        <w:rPr>
          <w:color w:val="383636"/>
          <w:w w:val="110"/>
          <w:sz w:val="18"/>
        </w:rPr>
        <w:t>II</w:t>
      </w:r>
      <w:r>
        <w:rPr>
          <w:color w:val="383636"/>
          <w:spacing w:val="-10"/>
          <w:w w:val="110"/>
          <w:sz w:val="18"/>
        </w:rPr>
        <w:t> </w:t>
      </w:r>
      <w:r>
        <w:rPr>
          <w:color w:val="383636"/>
          <w:w w:val="110"/>
          <w:sz w:val="18"/>
        </w:rPr>
        <w:t>2013)</w:t>
      </w:r>
      <w:r>
        <w:rPr>
          <w:color w:val="575659"/>
          <w:w w:val="110"/>
          <w:sz w:val="18"/>
        </w:rPr>
        <w:t>.</w:t>
      </w:r>
    </w:p>
    <w:p>
      <w:pPr>
        <w:spacing w:after="0" w:line="211" w:lineRule="auto"/>
        <w:jc w:val="left"/>
        <w:rPr>
          <w:sz w:val="18"/>
        </w:rPr>
        <w:sectPr>
          <w:headerReference w:type="default" r:id="rId375"/>
          <w:pgSz w:w="9560" w:h="13990"/>
          <w:pgMar w:header="0" w:footer="0" w:top="0" w:bottom="280" w:left="0" w:right="860"/>
        </w:sectPr>
      </w:pPr>
    </w:p>
    <w:p>
      <w:pPr>
        <w:spacing w:before="82"/>
        <w:ind w:left="946" w:right="0" w:firstLine="0"/>
        <w:jc w:val="left"/>
        <w:rPr>
          <w:sz w:val="20"/>
        </w:rPr>
      </w:pPr>
      <w:r>
        <w:rPr>
          <w:b/>
          <w:color w:val="383638"/>
          <w:w w:val="115"/>
          <w:sz w:val="20"/>
        </w:rPr>
        <w:t>Okla.</w:t>
      </w:r>
      <w:r>
        <w:rPr>
          <w:b/>
          <w:color w:val="383638"/>
          <w:spacing w:val="22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Stat.</w:t>
      </w:r>
      <w:r>
        <w:rPr>
          <w:b/>
          <w:color w:val="383638"/>
          <w:spacing w:val="25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tit</w:t>
      </w:r>
      <w:r>
        <w:rPr>
          <w:b/>
          <w:color w:val="575759"/>
          <w:w w:val="115"/>
          <w:sz w:val="20"/>
        </w:rPr>
        <w:t>.</w:t>
      </w:r>
      <w:r>
        <w:rPr>
          <w:b/>
          <w:color w:val="575759"/>
          <w:spacing w:val="42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19,</w:t>
      </w:r>
      <w:r>
        <w:rPr>
          <w:b/>
          <w:color w:val="383638"/>
          <w:spacing w:val="34"/>
          <w:w w:val="115"/>
          <w:sz w:val="20"/>
        </w:rPr>
        <w:t> </w:t>
      </w:r>
      <w:r>
        <w:rPr>
          <w:rFonts w:ascii="Arial" w:hAnsi="Arial"/>
          <w:color w:val="383638"/>
          <w:w w:val="115"/>
          <w:sz w:val="18"/>
        </w:rPr>
        <w:t>§</w:t>
      </w:r>
      <w:r>
        <w:rPr>
          <w:rFonts w:ascii="Arial" w:hAnsi="Arial"/>
          <w:color w:val="383638"/>
          <w:spacing w:val="45"/>
          <w:w w:val="115"/>
          <w:sz w:val="18"/>
        </w:rPr>
        <w:t> </w:t>
      </w:r>
      <w:r>
        <w:rPr>
          <w:color w:val="383638"/>
          <w:w w:val="115"/>
          <w:sz w:val="20"/>
        </w:rPr>
        <w:t>222.22</w:t>
      </w:r>
      <w:r>
        <w:rPr>
          <w:color w:val="383638"/>
          <w:spacing w:val="30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(2011</w:t>
      </w:r>
      <w:r>
        <w:rPr>
          <w:b/>
          <w:color w:val="383638"/>
          <w:spacing w:val="37"/>
          <w:w w:val="115"/>
          <w:sz w:val="20"/>
        </w:rPr>
        <w:t> </w:t>
      </w:r>
      <w:r>
        <w:rPr>
          <w:color w:val="383638"/>
          <w:w w:val="115"/>
          <w:sz w:val="20"/>
        </w:rPr>
        <w:t>&amp;</w:t>
      </w:r>
      <w:r>
        <w:rPr>
          <w:color w:val="383638"/>
          <w:spacing w:val="2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Supp.</w:t>
      </w:r>
      <w:r>
        <w:rPr>
          <w:b/>
          <w:color w:val="383638"/>
          <w:spacing w:val="29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2014)</w:t>
      </w:r>
      <w:r>
        <w:rPr>
          <w:b/>
          <w:color w:val="383638"/>
          <w:spacing w:val="23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(effective</w:t>
      </w:r>
      <w:r>
        <w:rPr>
          <w:b/>
          <w:color w:val="383638"/>
          <w:spacing w:val="22"/>
          <w:w w:val="115"/>
          <w:sz w:val="20"/>
        </w:rPr>
        <w:t> </w:t>
      </w:r>
      <w:r>
        <w:rPr>
          <w:b/>
          <w:color w:val="383638"/>
          <w:w w:val="115"/>
          <w:sz w:val="19"/>
        </w:rPr>
        <w:t>May</w:t>
      </w:r>
      <w:r>
        <w:rPr>
          <w:b/>
          <w:color w:val="383638"/>
          <w:spacing w:val="1"/>
          <w:w w:val="115"/>
          <w:sz w:val="19"/>
        </w:rPr>
        <w:t> </w:t>
      </w:r>
      <w:r>
        <w:rPr>
          <w:color w:val="383638"/>
          <w:w w:val="115"/>
          <w:sz w:val="20"/>
        </w:rPr>
        <w:t>27,</w:t>
      </w:r>
    </w:p>
    <w:p>
      <w:pPr>
        <w:spacing w:before="30"/>
        <w:ind w:left="959" w:right="0" w:firstLine="0"/>
        <w:jc w:val="left"/>
        <w:rPr>
          <w:b/>
          <w:sz w:val="20"/>
        </w:rPr>
      </w:pPr>
      <w:r>
        <w:rPr>
          <w:b/>
          <w:color w:val="383638"/>
          <w:w w:val="120"/>
          <w:sz w:val="20"/>
        </w:rPr>
        <w:t>1987).</w:t>
      </w:r>
    </w:p>
    <w:p>
      <w:pPr>
        <w:pStyle w:val="BodyText"/>
        <w:spacing w:line="232" w:lineRule="auto" w:before="124"/>
        <w:ind w:left="576" w:right="119" w:firstLine="7"/>
        <w:jc w:val="both"/>
      </w:pPr>
      <w:r>
        <w:rPr>
          <w:color w:val="383638"/>
          <w:w w:val="110"/>
        </w:rPr>
        <w:t>Finally,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third thing to remember about citing statutes is that you can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use a short form to refer to statutes. The statute cited in the first example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above</w:t>
      </w:r>
      <w:r>
        <w:rPr>
          <w:color w:val="383638"/>
          <w:spacing w:val="-19"/>
          <w:w w:val="110"/>
        </w:rPr>
        <w:t> </w:t>
      </w:r>
      <w:r>
        <w:rPr>
          <w:color w:val="383638"/>
          <w:w w:val="110"/>
        </w:rPr>
        <w:t>could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be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cited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later</w:t>
      </w:r>
      <w:r>
        <w:rPr>
          <w:color w:val="383638"/>
          <w:spacing w:val="-12"/>
          <w:w w:val="110"/>
        </w:rPr>
        <w:t> </w:t>
      </w:r>
      <w:r>
        <w:rPr>
          <w:rFonts w:ascii="Arial" w:hAnsi="Arial"/>
          <w:i/>
          <w:color w:val="383638"/>
          <w:w w:val="110"/>
          <w:sz w:val="20"/>
        </w:rPr>
        <w:t>in</w:t>
      </w:r>
      <w:r>
        <w:rPr>
          <w:rFonts w:ascii="Arial" w:hAnsi="Arial"/>
          <w:i/>
          <w:color w:val="383638"/>
          <w:spacing w:val="41"/>
          <w:w w:val="110"/>
          <w:sz w:val="2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discussion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by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title</w:t>
      </w:r>
      <w:r>
        <w:rPr>
          <w:color w:val="383638"/>
          <w:spacing w:val="-21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section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number,</w:t>
      </w:r>
      <w:r>
        <w:rPr>
          <w:color w:val="383638"/>
          <w:spacing w:val="-28"/>
          <w:w w:val="110"/>
        </w:rPr>
        <w:t> </w:t>
      </w:r>
      <w:r>
        <w:rPr>
          <w:color w:val="383638"/>
          <w:w w:val="110"/>
        </w:rPr>
        <w:t>as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in "tit. 19,</w:t>
      </w:r>
      <w:r>
        <w:rPr>
          <w:rFonts w:ascii="Arial" w:hAnsi="Arial"/>
          <w:color w:val="383638"/>
          <w:w w:val="110"/>
          <w:sz w:val="20"/>
        </w:rPr>
        <w:t>§ </w:t>
      </w:r>
      <w:r>
        <w:rPr>
          <w:color w:val="383638"/>
          <w:w w:val="110"/>
        </w:rPr>
        <w:t>222</w:t>
      </w:r>
      <w:r>
        <w:rPr>
          <w:color w:val="676769"/>
          <w:w w:val="110"/>
        </w:rPr>
        <w:t>.</w:t>
      </w:r>
      <w:r>
        <w:rPr>
          <w:color w:val="383638"/>
          <w:w w:val="110"/>
        </w:rPr>
        <w:t>22," or simply </w:t>
      </w:r>
      <w:r>
        <w:rPr>
          <w:rFonts w:ascii="Arial" w:hAnsi="Arial"/>
          <w:color w:val="383638"/>
          <w:w w:val="110"/>
        </w:rPr>
        <w:t>by </w:t>
      </w:r>
      <w:r>
        <w:rPr>
          <w:color w:val="383638"/>
          <w:w w:val="110"/>
        </w:rPr>
        <w:t>section number, as in"§ 222.22." Note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that you should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never start a sentence with an  abbreviation  or a symbol.</w:t>
      </w:r>
      <w:r>
        <w:rPr>
          <w:color w:val="383638"/>
          <w:spacing w:val="-61"/>
          <w:w w:val="110"/>
        </w:rPr>
        <w:t> </w:t>
      </w:r>
      <w:r>
        <w:rPr>
          <w:rFonts w:ascii="Arial" w:hAnsi="Arial"/>
          <w:color w:val="383638"/>
          <w:w w:val="110"/>
          <w:sz w:val="22"/>
        </w:rPr>
        <w:t>If </w:t>
      </w:r>
      <w:r>
        <w:rPr>
          <w:color w:val="383638"/>
          <w:w w:val="110"/>
        </w:rPr>
        <w:t>you wish to open the sentence with a short-form reference to a statute,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spell</w:t>
      </w:r>
      <w:r>
        <w:rPr>
          <w:color w:val="383638"/>
          <w:spacing w:val="13"/>
          <w:w w:val="105"/>
        </w:rPr>
        <w:t> </w:t>
      </w:r>
      <w:r>
        <w:rPr>
          <w:color w:val="383638"/>
          <w:w w:val="105"/>
        </w:rPr>
        <w:t>out  the</w:t>
      </w:r>
      <w:r>
        <w:rPr>
          <w:color w:val="383638"/>
          <w:spacing w:val="38"/>
          <w:w w:val="105"/>
        </w:rPr>
        <w:t> </w:t>
      </w:r>
      <w:r>
        <w:rPr>
          <w:color w:val="383638"/>
          <w:w w:val="105"/>
        </w:rPr>
        <w:t>first</w:t>
      </w:r>
      <w:r>
        <w:rPr>
          <w:color w:val="383638"/>
          <w:spacing w:val="5"/>
          <w:w w:val="105"/>
        </w:rPr>
        <w:t> </w:t>
      </w:r>
      <w:r>
        <w:rPr>
          <w:color w:val="383638"/>
          <w:w w:val="105"/>
        </w:rPr>
        <w:t>word,</w:t>
      </w:r>
      <w:r>
        <w:rPr>
          <w:color w:val="383638"/>
          <w:spacing w:val="8"/>
          <w:w w:val="105"/>
        </w:rPr>
        <w:t> </w:t>
      </w:r>
      <w:r>
        <w:rPr>
          <w:color w:val="383638"/>
          <w:w w:val="105"/>
        </w:rPr>
        <w:t>e.g.,</w:t>
      </w:r>
      <w:r>
        <w:rPr>
          <w:color w:val="383638"/>
          <w:spacing w:val="5"/>
          <w:w w:val="105"/>
        </w:rPr>
        <w:t> </w:t>
      </w:r>
      <w:r>
        <w:rPr>
          <w:color w:val="383638"/>
          <w:w w:val="105"/>
        </w:rPr>
        <w:t>"Title</w:t>
      </w:r>
      <w:r>
        <w:rPr>
          <w:color w:val="383638"/>
          <w:spacing w:val="-1"/>
          <w:w w:val="105"/>
        </w:rPr>
        <w:t> </w:t>
      </w:r>
      <w:r>
        <w:rPr>
          <w:color w:val="383638"/>
          <w:w w:val="105"/>
        </w:rPr>
        <w:t>19,</w:t>
      </w:r>
      <w:r>
        <w:rPr>
          <w:color w:val="383638"/>
          <w:spacing w:val="-10"/>
          <w:w w:val="105"/>
        </w:rPr>
        <w:t> </w:t>
      </w:r>
      <w:r>
        <w:rPr>
          <w:color w:val="383638"/>
          <w:w w:val="105"/>
        </w:rPr>
        <w:t>§</w:t>
      </w:r>
      <w:r>
        <w:rPr>
          <w:color w:val="383638"/>
          <w:spacing w:val="18"/>
          <w:w w:val="105"/>
        </w:rPr>
        <w:t> </w:t>
      </w:r>
      <w:r>
        <w:rPr>
          <w:color w:val="383638"/>
          <w:w w:val="105"/>
        </w:rPr>
        <w:t>222</w:t>
      </w:r>
      <w:r>
        <w:rPr>
          <w:color w:val="575759"/>
          <w:w w:val="105"/>
        </w:rPr>
        <w:t>.</w:t>
      </w:r>
      <w:r>
        <w:rPr>
          <w:color w:val="383638"/>
          <w:w w:val="105"/>
        </w:rPr>
        <w:t>22,</w:t>
      </w:r>
      <w:r>
        <w:rPr>
          <w:color w:val="383638"/>
          <w:spacing w:val="23"/>
          <w:w w:val="105"/>
        </w:rPr>
        <w:t> </w:t>
      </w:r>
      <w:r>
        <w:rPr>
          <w:color w:val="383638"/>
          <w:w w:val="105"/>
        </w:rPr>
        <w:t>provides</w:t>
      </w:r>
      <w:r>
        <w:rPr>
          <w:color w:val="383638"/>
          <w:spacing w:val="10"/>
          <w:w w:val="105"/>
        </w:rPr>
        <w:t> </w:t>
      </w:r>
      <w:r>
        <w:rPr>
          <w:color w:val="383638"/>
          <w:w w:val="105"/>
        </w:rPr>
        <w:t>...</w:t>
      </w:r>
      <w:r>
        <w:rPr>
          <w:color w:val="383638"/>
          <w:spacing w:val="24"/>
          <w:w w:val="105"/>
        </w:rPr>
        <w:t> </w:t>
      </w:r>
      <w:r>
        <w:rPr>
          <w:color w:val="383638"/>
          <w:w w:val="105"/>
        </w:rPr>
        <w:t>"</w:t>
      </w:r>
      <w:r>
        <w:rPr>
          <w:color w:val="383638"/>
          <w:spacing w:val="32"/>
          <w:w w:val="105"/>
        </w:rPr>
        <w:t> </w:t>
      </w:r>
      <w:r>
        <w:rPr>
          <w:color w:val="383638"/>
          <w:w w:val="105"/>
        </w:rPr>
        <w:t>or</w:t>
      </w:r>
      <w:r>
        <w:rPr>
          <w:color w:val="383638"/>
          <w:spacing w:val="2"/>
          <w:w w:val="105"/>
        </w:rPr>
        <w:t> </w:t>
      </w:r>
      <w:r>
        <w:rPr>
          <w:color w:val="383638"/>
          <w:w w:val="105"/>
        </w:rPr>
        <w:t>"Section</w:t>
      </w:r>
    </w:p>
    <w:p>
      <w:pPr>
        <w:pStyle w:val="BodyText"/>
        <w:spacing w:line="253" w:lineRule="exact" w:before="7"/>
        <w:ind w:left="592"/>
        <w:jc w:val="both"/>
      </w:pPr>
      <w:r>
        <w:rPr>
          <w:color w:val="383638"/>
          <w:w w:val="115"/>
        </w:rPr>
        <w:t>222.22</w:t>
      </w:r>
      <w:r>
        <w:rPr>
          <w:color w:val="383638"/>
          <w:spacing w:val="-12"/>
          <w:w w:val="115"/>
        </w:rPr>
        <w:t> </w:t>
      </w:r>
      <w:r>
        <w:rPr>
          <w:color w:val="383638"/>
          <w:w w:val="115"/>
        </w:rPr>
        <w:t>provides    </w:t>
      </w:r>
      <w:r>
        <w:rPr>
          <w:color w:val="383638"/>
          <w:spacing w:val="53"/>
          <w:w w:val="115"/>
        </w:rPr>
        <w:t> </w:t>
      </w:r>
      <w:r>
        <w:rPr>
          <w:color w:val="383638"/>
          <w:w w:val="115"/>
        </w:rPr>
        <w:t>"</w:t>
      </w:r>
    </w:p>
    <w:p>
      <w:pPr>
        <w:pStyle w:val="BodyText"/>
        <w:spacing w:line="235" w:lineRule="auto"/>
        <w:ind w:left="572" w:right="114" w:firstLine="392"/>
        <w:jc w:val="both"/>
      </w:pPr>
      <w:r>
        <w:rPr>
          <w:color w:val="383638"/>
          <w:spacing w:val="-1"/>
          <w:w w:val="212"/>
        </w:rPr>
        <w:t>O</w:t>
      </w:r>
      <w:r>
        <w:rPr>
          <w:color w:val="383638"/>
          <w:spacing w:val="-120"/>
          <w:w w:val="212"/>
        </w:rPr>
        <w:t>n</w:t>
      </w:r>
      <w:r>
        <w:rPr>
          <w:color w:val="383638"/>
          <w:spacing w:val="-82"/>
          <w:w w:val="112"/>
        </w:rPr>
        <w:t>m</w:t>
      </w:r>
      <w:r>
        <w:rPr>
          <w:color w:val="383638"/>
          <w:spacing w:val="-137"/>
          <w:w w:val="212"/>
        </w:rPr>
        <w:t>e</w:t>
      </w:r>
      <w:r>
        <w:rPr>
          <w:color w:val="383638"/>
          <w:spacing w:val="-1"/>
          <w:w w:val="112"/>
        </w:rPr>
        <w:t>or</w:t>
      </w:r>
      <w:r>
        <w:rPr>
          <w:color w:val="383638"/>
          <w:w w:val="112"/>
        </w:rPr>
        <w:t>e</w:t>
      </w:r>
      <w:r>
        <w:rPr>
          <w:color w:val="383638"/>
          <w:spacing w:val="-10"/>
        </w:rPr>
        <w:t> </w:t>
      </w:r>
      <w:r>
        <w:rPr>
          <w:color w:val="383638"/>
          <w:w w:val="116"/>
        </w:rPr>
        <w:t>note:</w:t>
      </w:r>
      <w:r>
        <w:rPr>
          <w:color w:val="383638"/>
          <w:spacing w:val="-34"/>
        </w:rPr>
        <w:t> </w:t>
      </w:r>
      <w:r>
        <w:rPr>
          <w:rFonts w:ascii="Arial" w:hAnsi="Arial"/>
          <w:color w:val="383638"/>
          <w:spacing w:val="-1"/>
          <w:w w:val="116"/>
          <w:sz w:val="22"/>
        </w:rPr>
        <w:t>I</w:t>
      </w:r>
      <w:r>
        <w:rPr>
          <w:rFonts w:ascii="Arial" w:hAnsi="Arial"/>
          <w:color w:val="383638"/>
          <w:w w:val="116"/>
          <w:sz w:val="22"/>
        </w:rPr>
        <w:t>f</w:t>
      </w:r>
      <w:r>
        <w:rPr>
          <w:rFonts w:ascii="Arial" w:hAnsi="Arial"/>
          <w:color w:val="383638"/>
          <w:spacing w:val="-1"/>
          <w:sz w:val="22"/>
        </w:rPr>
        <w:t> </w:t>
      </w:r>
      <w:r>
        <w:rPr>
          <w:color w:val="383638"/>
          <w:w w:val="114"/>
        </w:rPr>
        <w:t>your</w:t>
      </w:r>
      <w:r>
        <w:rPr>
          <w:color w:val="383638"/>
          <w:spacing w:val="-17"/>
        </w:rPr>
        <w:t> </w:t>
      </w:r>
      <w:r>
        <w:rPr>
          <w:color w:val="383638"/>
          <w:spacing w:val="-1"/>
          <w:w w:val="114"/>
        </w:rPr>
        <w:t>citatio</w:t>
      </w:r>
      <w:r>
        <w:rPr>
          <w:color w:val="383638"/>
          <w:w w:val="114"/>
        </w:rPr>
        <w:t>n</w:t>
      </w:r>
      <w:r>
        <w:rPr>
          <w:color w:val="383638"/>
          <w:spacing w:val="-6"/>
        </w:rPr>
        <w:t> </w:t>
      </w:r>
      <w:r>
        <w:rPr>
          <w:color w:val="383638"/>
          <w:w w:val="114"/>
        </w:rPr>
        <w:t>guide</w:t>
      </w:r>
      <w:r>
        <w:rPr>
          <w:color w:val="383638"/>
          <w:spacing w:val="-27"/>
        </w:rPr>
        <w:t> </w:t>
      </w:r>
      <w:r>
        <w:rPr>
          <w:color w:val="383638"/>
          <w:spacing w:val="-1"/>
          <w:w w:val="110"/>
        </w:rPr>
        <w:t>allow</w:t>
      </w:r>
      <w:r>
        <w:rPr>
          <w:color w:val="383638"/>
          <w:w w:val="110"/>
        </w:rPr>
        <w:t>s</w:t>
      </w:r>
      <w:r>
        <w:rPr>
          <w:color w:val="383638"/>
          <w:spacing w:val="-26"/>
        </w:rPr>
        <w:t> </w:t>
      </w:r>
      <w:r>
        <w:rPr>
          <w:color w:val="383638"/>
          <w:spacing w:val="-1"/>
          <w:w w:val="115"/>
        </w:rPr>
        <w:t>citatio</w:t>
      </w:r>
      <w:r>
        <w:rPr>
          <w:color w:val="383638"/>
          <w:w w:val="115"/>
        </w:rPr>
        <w:t>n</w:t>
      </w:r>
      <w:r>
        <w:rPr>
          <w:color w:val="383638"/>
          <w:spacing w:val="1"/>
        </w:rPr>
        <w:t> </w:t>
      </w:r>
      <w:r>
        <w:rPr>
          <w:color w:val="383638"/>
          <w:spacing w:val="-1"/>
          <w:w w:val="115"/>
        </w:rPr>
        <w:t>t</w:t>
      </w:r>
      <w:r>
        <w:rPr>
          <w:color w:val="383638"/>
          <w:w w:val="115"/>
        </w:rPr>
        <w:t>o</w:t>
      </w:r>
      <w:r>
        <w:rPr>
          <w:color w:val="383638"/>
          <w:spacing w:val="-19"/>
        </w:rPr>
        <w:t> </w:t>
      </w:r>
      <w:r>
        <w:rPr>
          <w:color w:val="383638"/>
          <w:w w:val="115"/>
        </w:rPr>
        <w:t>a</w:t>
      </w:r>
      <w:r>
        <w:rPr>
          <w:color w:val="383638"/>
          <w:spacing w:val="-12"/>
        </w:rPr>
        <w:t> </w:t>
      </w:r>
      <w:r>
        <w:rPr>
          <w:color w:val="383638"/>
          <w:w w:val="106"/>
        </w:rPr>
        <w:t>database</w:t>
      </w:r>
      <w:r>
        <w:rPr>
          <w:color w:val="383638"/>
          <w:spacing w:val="-25"/>
        </w:rPr>
        <w:t> </w:t>
      </w:r>
      <w:r>
        <w:rPr>
          <w:color w:val="383638"/>
          <w:w w:val="93"/>
        </w:rPr>
        <w:t>(</w:t>
      </w:r>
      <w:r>
        <w:rPr>
          <w:color w:val="383638"/>
          <w:spacing w:val="-1"/>
          <w:w w:val="93"/>
        </w:rPr>
        <w:t>e.g., </w:t>
      </w:r>
      <w:r>
        <w:rPr>
          <w:color w:val="383638"/>
          <w:w w:val="105"/>
        </w:rPr>
        <w:t>ALWD rule 14.2(f)(2))</w:t>
      </w:r>
      <w:r>
        <w:rPr>
          <w:color w:val="575759"/>
          <w:w w:val="105"/>
        </w:rPr>
        <w:t>, </w:t>
      </w:r>
      <w:r>
        <w:rPr>
          <w:color w:val="383638"/>
          <w:w w:val="105"/>
        </w:rPr>
        <w:t>look to the website's currency information to pro­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  <w:position w:val="2"/>
        </w:rPr>
        <w:t>vide the needed date information for the parenthetical. On LexisAdvance</w:t>
      </w:r>
      <w:r>
        <w:rPr>
          <w:color w:val="383638"/>
          <w:w w:val="110"/>
          <w:sz w:val="22"/>
        </w:rPr>
        <w:t>,</w:t>
      </w:r>
      <w:r>
        <w:rPr>
          <w:color w:val="383638"/>
          <w:spacing w:val="-58"/>
          <w:w w:val="110"/>
          <w:sz w:val="22"/>
        </w:rPr>
        <w:t> </w:t>
      </w:r>
      <w:r>
        <w:rPr>
          <w:color w:val="383638"/>
          <w:w w:val="110"/>
        </w:rPr>
        <w:t>the "current through" information is printed at the top of the page, under­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neath the statutory citation. On WestlawNext, look for a hotlink that says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"currentness."</w:t>
      </w:r>
    </w:p>
    <w:p>
      <w:pPr>
        <w:spacing w:before="185"/>
        <w:ind w:left="931" w:right="0" w:firstLine="0"/>
        <w:jc w:val="left"/>
        <w:rPr>
          <w:b/>
          <w:sz w:val="16"/>
        </w:rPr>
      </w:pPr>
      <w:r>
        <w:rPr>
          <w:b/>
          <w:color w:val="383638"/>
          <w:sz w:val="16"/>
        </w:rPr>
        <w:t>EXAMPLES</w:t>
      </w:r>
    </w:p>
    <w:p>
      <w:pPr>
        <w:spacing w:before="77"/>
        <w:ind w:left="937" w:right="0" w:firstLine="0"/>
        <w:jc w:val="left"/>
        <w:rPr>
          <w:sz w:val="20"/>
        </w:rPr>
      </w:pPr>
      <w:r>
        <w:rPr>
          <w:color w:val="383638"/>
          <w:w w:val="115"/>
          <w:sz w:val="20"/>
        </w:rPr>
        <w:t>Ohio</w:t>
      </w:r>
      <w:r>
        <w:rPr>
          <w:color w:val="383638"/>
          <w:spacing w:val="-6"/>
          <w:w w:val="115"/>
          <w:sz w:val="20"/>
        </w:rPr>
        <w:t> </w:t>
      </w:r>
      <w:r>
        <w:rPr>
          <w:color w:val="383638"/>
          <w:w w:val="115"/>
          <w:sz w:val="20"/>
        </w:rPr>
        <w:t>Rev.</w:t>
      </w:r>
      <w:r>
        <w:rPr>
          <w:color w:val="383638"/>
          <w:spacing w:val="-16"/>
          <w:w w:val="115"/>
          <w:sz w:val="20"/>
        </w:rPr>
        <w:t> </w:t>
      </w:r>
      <w:r>
        <w:rPr>
          <w:color w:val="383638"/>
          <w:w w:val="115"/>
          <w:sz w:val="20"/>
        </w:rPr>
        <w:t>Code</w:t>
      </w:r>
      <w:r>
        <w:rPr>
          <w:color w:val="383638"/>
          <w:spacing w:val="-4"/>
          <w:w w:val="115"/>
          <w:sz w:val="20"/>
        </w:rPr>
        <w:t> </w:t>
      </w:r>
      <w:r>
        <w:rPr>
          <w:rFonts w:ascii="Arial" w:hAnsi="Arial"/>
          <w:color w:val="383638"/>
          <w:w w:val="115"/>
          <w:sz w:val="18"/>
        </w:rPr>
        <w:t>§ </w:t>
      </w:r>
      <w:r>
        <w:rPr>
          <w:color w:val="383638"/>
          <w:w w:val="115"/>
          <w:sz w:val="20"/>
        </w:rPr>
        <w:t>4506.19</w:t>
      </w:r>
      <w:r>
        <w:rPr>
          <w:color w:val="383638"/>
          <w:spacing w:val="-3"/>
          <w:w w:val="115"/>
          <w:sz w:val="20"/>
        </w:rPr>
        <w:t> </w:t>
      </w:r>
      <w:r>
        <w:rPr>
          <w:color w:val="383638"/>
          <w:w w:val="115"/>
          <w:sz w:val="20"/>
        </w:rPr>
        <w:t>(West,</w:t>
      </w:r>
      <w:r>
        <w:rPr>
          <w:color w:val="383638"/>
          <w:spacing w:val="9"/>
          <w:w w:val="115"/>
          <w:sz w:val="20"/>
        </w:rPr>
        <w:t> </w:t>
      </w:r>
      <w:r>
        <w:rPr>
          <w:color w:val="383638"/>
          <w:w w:val="115"/>
          <w:sz w:val="20"/>
        </w:rPr>
        <w:t>WestlawNext</w:t>
      </w:r>
      <w:r>
        <w:rPr>
          <w:color w:val="383638"/>
          <w:spacing w:val="36"/>
          <w:w w:val="115"/>
          <w:sz w:val="20"/>
        </w:rPr>
        <w:t> </w:t>
      </w:r>
      <w:r>
        <w:rPr>
          <w:color w:val="383638"/>
          <w:w w:val="115"/>
          <w:sz w:val="20"/>
        </w:rPr>
        <w:t>through</w:t>
      </w:r>
      <w:r>
        <w:rPr>
          <w:color w:val="383638"/>
          <w:spacing w:val="29"/>
          <w:w w:val="115"/>
          <w:sz w:val="20"/>
        </w:rPr>
        <w:t> </w:t>
      </w:r>
      <w:r>
        <w:rPr>
          <w:color w:val="383638"/>
          <w:w w:val="115"/>
          <w:sz w:val="20"/>
        </w:rPr>
        <w:t>Files</w:t>
      </w:r>
      <w:r>
        <w:rPr>
          <w:color w:val="383638"/>
          <w:spacing w:val="-29"/>
          <w:w w:val="115"/>
          <w:sz w:val="20"/>
        </w:rPr>
        <w:t> </w:t>
      </w:r>
      <w:r>
        <w:rPr>
          <w:color w:val="383638"/>
          <w:w w:val="115"/>
          <w:sz w:val="20"/>
        </w:rPr>
        <w:t>1</w:t>
      </w:r>
      <w:r>
        <w:rPr>
          <w:color w:val="383638"/>
          <w:spacing w:val="19"/>
          <w:w w:val="115"/>
          <w:sz w:val="20"/>
        </w:rPr>
        <w:t> </w:t>
      </w:r>
      <w:r>
        <w:rPr>
          <w:color w:val="383638"/>
          <w:w w:val="115"/>
          <w:sz w:val="20"/>
        </w:rPr>
        <w:t>to</w:t>
      </w:r>
      <w:r>
        <w:rPr>
          <w:color w:val="383638"/>
          <w:spacing w:val="26"/>
          <w:w w:val="115"/>
          <w:sz w:val="20"/>
        </w:rPr>
        <w:t> </w:t>
      </w:r>
      <w:r>
        <w:rPr>
          <w:color w:val="383638"/>
          <w:w w:val="115"/>
          <w:sz w:val="20"/>
        </w:rPr>
        <w:t>94</w:t>
      </w:r>
      <w:r>
        <w:rPr>
          <w:color w:val="383638"/>
          <w:spacing w:val="-8"/>
          <w:w w:val="115"/>
          <w:sz w:val="20"/>
        </w:rPr>
        <w:t> </w:t>
      </w:r>
      <w:r>
        <w:rPr>
          <w:color w:val="383638"/>
          <w:w w:val="115"/>
          <w:sz w:val="20"/>
        </w:rPr>
        <w:t>of</w:t>
      </w:r>
    </w:p>
    <w:p>
      <w:pPr>
        <w:spacing w:before="11"/>
        <w:ind w:left="931" w:right="0" w:firstLine="0"/>
        <w:jc w:val="left"/>
        <w:rPr>
          <w:b/>
          <w:sz w:val="20"/>
        </w:rPr>
      </w:pPr>
      <w:r>
        <w:rPr>
          <w:b/>
          <w:color w:val="383638"/>
          <w:w w:val="115"/>
          <w:sz w:val="20"/>
        </w:rPr>
        <w:t>the</w:t>
      </w:r>
      <w:r>
        <w:rPr>
          <w:b/>
          <w:color w:val="383638"/>
          <w:spacing w:val="33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130th</w:t>
      </w:r>
      <w:r>
        <w:rPr>
          <w:b/>
          <w:color w:val="383638"/>
          <w:spacing w:val="-12"/>
          <w:w w:val="115"/>
          <w:sz w:val="20"/>
        </w:rPr>
        <w:t> </w:t>
      </w:r>
      <w:r>
        <w:rPr>
          <w:b/>
          <w:color w:val="383638"/>
          <w:w w:val="115"/>
          <w:sz w:val="19"/>
        </w:rPr>
        <w:t>GA</w:t>
      </w:r>
      <w:r>
        <w:rPr>
          <w:b/>
          <w:color w:val="383638"/>
          <w:spacing w:val="-16"/>
          <w:w w:val="115"/>
          <w:sz w:val="19"/>
        </w:rPr>
        <w:t> </w:t>
      </w:r>
      <w:r>
        <w:rPr>
          <w:b/>
          <w:color w:val="383638"/>
          <w:w w:val="115"/>
          <w:sz w:val="20"/>
        </w:rPr>
        <w:t>(2013-2014))</w:t>
      </w:r>
      <w:r>
        <w:rPr>
          <w:b/>
          <w:color w:val="575759"/>
          <w:w w:val="115"/>
          <w:sz w:val="20"/>
        </w:rPr>
        <w:t>.</w:t>
      </w:r>
    </w:p>
    <w:p>
      <w:pPr>
        <w:spacing w:before="116"/>
        <w:ind w:left="921" w:right="0" w:firstLine="0"/>
        <w:jc w:val="left"/>
        <w:rPr>
          <w:sz w:val="20"/>
        </w:rPr>
      </w:pPr>
      <w:r>
        <w:rPr>
          <w:color w:val="383638"/>
          <w:w w:val="115"/>
          <w:sz w:val="20"/>
        </w:rPr>
        <w:t>42</w:t>
      </w:r>
      <w:r>
        <w:rPr>
          <w:color w:val="383638"/>
          <w:spacing w:val="17"/>
          <w:w w:val="115"/>
          <w:sz w:val="20"/>
        </w:rPr>
        <w:t> </w:t>
      </w:r>
      <w:r>
        <w:rPr>
          <w:color w:val="383638"/>
          <w:w w:val="115"/>
          <w:sz w:val="20"/>
        </w:rPr>
        <w:t>U.S.C.</w:t>
      </w:r>
      <w:r>
        <w:rPr>
          <w:color w:val="383638"/>
          <w:spacing w:val="-5"/>
          <w:w w:val="115"/>
          <w:sz w:val="20"/>
        </w:rPr>
        <w:t> </w:t>
      </w:r>
      <w:r>
        <w:rPr>
          <w:i/>
          <w:color w:val="383638"/>
          <w:w w:val="115"/>
          <w:sz w:val="19"/>
        </w:rPr>
        <w:t>§</w:t>
      </w:r>
      <w:r>
        <w:rPr>
          <w:i/>
          <w:color w:val="383638"/>
          <w:spacing w:val="24"/>
          <w:w w:val="115"/>
          <w:sz w:val="19"/>
        </w:rPr>
        <w:t> </w:t>
      </w:r>
      <w:r>
        <w:rPr>
          <w:color w:val="383638"/>
          <w:w w:val="115"/>
          <w:sz w:val="20"/>
        </w:rPr>
        <w:t>2000c</w:t>
      </w:r>
      <w:r>
        <w:rPr>
          <w:color w:val="383638"/>
          <w:spacing w:val="9"/>
          <w:w w:val="115"/>
          <w:sz w:val="20"/>
        </w:rPr>
        <w:t> </w:t>
      </w:r>
      <w:r>
        <w:rPr>
          <w:color w:val="383638"/>
          <w:w w:val="115"/>
          <w:sz w:val="20"/>
        </w:rPr>
        <w:t>(LexisNexis,</w:t>
      </w:r>
      <w:r>
        <w:rPr>
          <w:color w:val="383638"/>
          <w:spacing w:val="21"/>
          <w:w w:val="115"/>
          <w:sz w:val="20"/>
        </w:rPr>
        <w:t> </w:t>
      </w:r>
      <w:r>
        <w:rPr>
          <w:color w:val="383638"/>
          <w:w w:val="115"/>
          <w:sz w:val="20"/>
        </w:rPr>
        <w:t>Lexis</w:t>
      </w:r>
      <w:r>
        <w:rPr>
          <w:color w:val="383638"/>
          <w:spacing w:val="-14"/>
          <w:w w:val="115"/>
          <w:sz w:val="20"/>
        </w:rPr>
        <w:t> </w:t>
      </w:r>
      <w:r>
        <w:rPr>
          <w:color w:val="383638"/>
          <w:w w:val="115"/>
          <w:sz w:val="20"/>
        </w:rPr>
        <w:t>Advance</w:t>
      </w:r>
      <w:r>
        <w:rPr>
          <w:color w:val="383638"/>
          <w:spacing w:val="8"/>
          <w:w w:val="115"/>
          <w:sz w:val="20"/>
        </w:rPr>
        <w:t> </w:t>
      </w:r>
      <w:r>
        <w:rPr>
          <w:color w:val="383638"/>
          <w:w w:val="115"/>
          <w:sz w:val="20"/>
        </w:rPr>
        <w:t>through</w:t>
      </w:r>
      <w:r>
        <w:rPr>
          <w:color w:val="383638"/>
          <w:spacing w:val="27"/>
          <w:w w:val="115"/>
          <w:sz w:val="20"/>
        </w:rPr>
        <w:t> </w:t>
      </w:r>
      <w:r>
        <w:rPr>
          <w:color w:val="383638"/>
          <w:w w:val="115"/>
          <w:sz w:val="20"/>
        </w:rPr>
        <w:t>PL113-96, with</w:t>
      </w:r>
    </w:p>
    <w:p>
      <w:pPr>
        <w:spacing w:before="11"/>
        <w:ind w:left="916" w:right="0" w:firstLine="0"/>
        <w:jc w:val="left"/>
        <w:rPr>
          <w:b/>
          <w:sz w:val="20"/>
        </w:rPr>
      </w:pPr>
      <w:r>
        <w:rPr>
          <w:b/>
          <w:color w:val="383638"/>
          <w:w w:val="115"/>
          <w:sz w:val="21"/>
        </w:rPr>
        <w:t>gaps</w:t>
      </w:r>
      <w:r>
        <w:rPr>
          <w:b/>
          <w:color w:val="383638"/>
          <w:spacing w:val="-9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of</w:t>
      </w:r>
      <w:r>
        <w:rPr>
          <w:b/>
          <w:color w:val="383638"/>
          <w:spacing w:val="3"/>
          <w:w w:val="115"/>
          <w:sz w:val="21"/>
        </w:rPr>
        <w:t> </w:t>
      </w:r>
      <w:r>
        <w:rPr>
          <w:rFonts w:ascii="Arial"/>
          <w:b/>
          <w:color w:val="383638"/>
          <w:w w:val="115"/>
          <w:sz w:val="19"/>
        </w:rPr>
        <w:t>113-79</w:t>
      </w:r>
      <w:r>
        <w:rPr>
          <w:rFonts w:ascii="Arial"/>
          <w:b/>
          <w:color w:val="383638"/>
          <w:spacing w:val="-21"/>
          <w:w w:val="115"/>
          <w:sz w:val="19"/>
        </w:rPr>
        <w:t> </w:t>
      </w:r>
      <w:r>
        <w:rPr>
          <w:b/>
          <w:color w:val="383638"/>
          <w:w w:val="115"/>
          <w:sz w:val="21"/>
        </w:rPr>
        <w:t>and</w:t>
      </w:r>
      <w:r>
        <w:rPr>
          <w:b/>
          <w:color w:val="383638"/>
          <w:spacing w:val="5"/>
          <w:w w:val="115"/>
          <w:sz w:val="21"/>
        </w:rPr>
        <w:t> </w:t>
      </w:r>
      <w:r>
        <w:rPr>
          <w:rFonts w:ascii="Arial"/>
          <w:b/>
          <w:color w:val="383638"/>
          <w:w w:val="115"/>
          <w:sz w:val="19"/>
        </w:rPr>
        <w:t>113-93,</w:t>
      </w:r>
      <w:r>
        <w:rPr>
          <w:rFonts w:ascii="Arial"/>
          <w:b/>
          <w:color w:val="383638"/>
          <w:spacing w:val="-6"/>
          <w:w w:val="115"/>
          <w:sz w:val="19"/>
        </w:rPr>
        <w:t> </w:t>
      </w:r>
      <w:r>
        <w:rPr>
          <w:b/>
          <w:color w:val="383638"/>
          <w:w w:val="115"/>
          <w:sz w:val="20"/>
        </w:rPr>
        <w:t>approved</w:t>
      </w:r>
      <w:r>
        <w:rPr>
          <w:b/>
          <w:color w:val="383638"/>
          <w:spacing w:val="6"/>
          <w:w w:val="115"/>
          <w:sz w:val="20"/>
        </w:rPr>
        <w:t> </w:t>
      </w:r>
      <w:r>
        <w:rPr>
          <w:b/>
          <w:color w:val="383638"/>
          <w:w w:val="115"/>
          <w:sz w:val="20"/>
        </w:rPr>
        <w:t>4/3/14).</w:t>
      </w:r>
    </w:p>
    <w:p>
      <w:pPr>
        <w:pStyle w:val="BodyText"/>
        <w:spacing w:line="232" w:lineRule="auto" w:before="142"/>
        <w:ind w:left="529" w:right="118" w:firstLine="398"/>
        <w:jc w:val="both"/>
      </w:pPr>
      <w:r>
        <w:rPr>
          <w:color w:val="383638"/>
          <w:spacing w:val="-1"/>
          <w:w w:val="115"/>
        </w:rPr>
        <w:t>Note</w:t>
      </w:r>
      <w:r>
        <w:rPr>
          <w:color w:val="383638"/>
          <w:spacing w:val="-5"/>
          <w:w w:val="115"/>
        </w:rPr>
        <w:t> </w:t>
      </w:r>
      <w:r>
        <w:rPr>
          <w:color w:val="383638"/>
          <w:spacing w:val="-1"/>
          <w:w w:val="115"/>
        </w:rPr>
        <w:t>that</w:t>
      </w:r>
      <w:r>
        <w:rPr>
          <w:color w:val="383638"/>
          <w:spacing w:val="-6"/>
          <w:w w:val="115"/>
        </w:rPr>
        <w:t> </w:t>
      </w:r>
      <w:r>
        <w:rPr>
          <w:color w:val="383638"/>
          <w:spacing w:val="-1"/>
          <w:w w:val="115"/>
        </w:rPr>
        <w:t>not</w:t>
      </w:r>
      <w:r>
        <w:rPr>
          <w:color w:val="383638"/>
          <w:w w:val="115"/>
        </w:rPr>
        <w:t> </w:t>
      </w:r>
      <w:r>
        <w:rPr>
          <w:color w:val="383638"/>
          <w:spacing w:val="-1"/>
          <w:w w:val="115"/>
        </w:rPr>
        <w:t>every</w:t>
      </w:r>
      <w:r>
        <w:rPr>
          <w:color w:val="383638"/>
          <w:spacing w:val="-14"/>
          <w:w w:val="115"/>
        </w:rPr>
        <w:t> </w:t>
      </w:r>
      <w:r>
        <w:rPr>
          <w:color w:val="383638"/>
          <w:w w:val="115"/>
        </w:rPr>
        <w:t>statutory</w:t>
      </w:r>
      <w:r>
        <w:rPr>
          <w:color w:val="383638"/>
          <w:spacing w:val="-9"/>
          <w:w w:val="115"/>
        </w:rPr>
        <w:t> </w:t>
      </w:r>
      <w:r>
        <w:rPr>
          <w:color w:val="383638"/>
          <w:w w:val="115"/>
        </w:rPr>
        <w:t>compilation</w:t>
      </w:r>
      <w:r>
        <w:rPr>
          <w:color w:val="383638"/>
          <w:spacing w:val="14"/>
          <w:w w:val="115"/>
        </w:rPr>
        <w:t> </w:t>
      </w:r>
      <w:r>
        <w:rPr>
          <w:color w:val="383638"/>
          <w:w w:val="115"/>
        </w:rPr>
        <w:t>online</w:t>
      </w:r>
      <w:r>
        <w:rPr>
          <w:color w:val="383638"/>
          <w:spacing w:val="-16"/>
          <w:w w:val="115"/>
        </w:rPr>
        <w:t> </w:t>
      </w:r>
      <w:r>
        <w:rPr>
          <w:color w:val="383638"/>
          <w:w w:val="115"/>
        </w:rPr>
        <w:t>contains</w:t>
      </w:r>
      <w:r>
        <w:rPr>
          <w:color w:val="383638"/>
          <w:spacing w:val="-16"/>
          <w:w w:val="115"/>
        </w:rPr>
        <w:t> </w:t>
      </w:r>
      <w:r>
        <w:rPr>
          <w:color w:val="383638"/>
          <w:w w:val="115"/>
        </w:rPr>
        <w:t>a</w:t>
      </w:r>
      <w:r>
        <w:rPr>
          <w:color w:val="383638"/>
          <w:spacing w:val="-13"/>
          <w:w w:val="115"/>
        </w:rPr>
        <w:t> </w:t>
      </w:r>
      <w:r>
        <w:rPr>
          <w:color w:val="383638"/>
          <w:w w:val="115"/>
        </w:rPr>
        <w:t>"current</w:t>
      </w:r>
      <w:r>
        <w:rPr>
          <w:color w:val="383638"/>
          <w:spacing w:val="-63"/>
          <w:w w:val="115"/>
        </w:rPr>
        <w:t> </w:t>
      </w:r>
      <w:r>
        <w:rPr>
          <w:color w:val="383638"/>
          <w:w w:val="115"/>
        </w:rPr>
        <w:t>through" date. Some note only a reference to the last legislative enact­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ment. In that situation, you might consult a resource of the legislature to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determine the date of that enactment, or consult an alternative resource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(that</w:t>
      </w:r>
      <w:r>
        <w:rPr>
          <w:color w:val="383638"/>
          <w:spacing w:val="-2"/>
          <w:w w:val="115"/>
        </w:rPr>
        <w:t> </w:t>
      </w:r>
      <w:r>
        <w:rPr>
          <w:color w:val="383638"/>
          <w:w w:val="115"/>
        </w:rPr>
        <w:t>hasa</w:t>
      </w:r>
      <w:r>
        <w:rPr>
          <w:color w:val="383638"/>
          <w:spacing w:val="-13"/>
          <w:w w:val="115"/>
        </w:rPr>
        <w:t> </w:t>
      </w:r>
      <w:r>
        <w:rPr>
          <w:color w:val="383638"/>
          <w:w w:val="115"/>
        </w:rPr>
        <w:t>date)</w:t>
      </w:r>
      <w:r>
        <w:rPr>
          <w:color w:val="383638"/>
          <w:spacing w:val="-9"/>
          <w:w w:val="115"/>
        </w:rPr>
        <w:t> </w:t>
      </w:r>
      <w:r>
        <w:rPr>
          <w:color w:val="383638"/>
          <w:w w:val="115"/>
        </w:rPr>
        <w:t>for</w:t>
      </w:r>
      <w:r>
        <w:rPr>
          <w:color w:val="383638"/>
          <w:spacing w:val="-6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12"/>
          <w:w w:val="115"/>
        </w:rPr>
        <w:t> </w:t>
      </w:r>
      <w:r>
        <w:rPr>
          <w:color w:val="383638"/>
          <w:w w:val="115"/>
        </w:rPr>
        <w:t>statutory</w:t>
      </w:r>
      <w:r>
        <w:rPr>
          <w:color w:val="383638"/>
          <w:spacing w:val="-7"/>
          <w:w w:val="115"/>
        </w:rPr>
        <w:t> </w:t>
      </w:r>
      <w:r>
        <w:rPr>
          <w:color w:val="383638"/>
          <w:w w:val="115"/>
        </w:rPr>
        <w:t>enactment.</w:t>
      </w:r>
    </w:p>
    <w:p>
      <w:pPr>
        <w:pStyle w:val="BodyText"/>
        <w:rPr>
          <w:sz w:val="37"/>
        </w:rPr>
      </w:pPr>
    </w:p>
    <w:p>
      <w:pPr>
        <w:spacing w:before="0"/>
        <w:ind w:left="1118" w:right="0" w:firstLine="0"/>
        <w:jc w:val="left"/>
        <w:rPr>
          <w:rFonts w:ascii="Arial"/>
          <w:sz w:val="32"/>
        </w:rPr>
      </w:pPr>
      <w:r>
        <w:rPr>
          <w:rFonts w:ascii="Arial"/>
          <w:color w:val="676769"/>
          <w:w w:val="110"/>
          <w:sz w:val="32"/>
        </w:rPr>
        <w:t>A.5</w:t>
      </w:r>
    </w:p>
    <w:p>
      <w:pPr>
        <w:spacing w:before="64"/>
        <w:ind w:left="1104" w:right="0" w:firstLine="0"/>
        <w:jc w:val="left"/>
        <w:rPr>
          <w:rFonts w:ascii="Arial"/>
          <w:sz w:val="26"/>
        </w:rPr>
      </w:pPr>
      <w:r>
        <w:rPr>
          <w:rFonts w:ascii="Arial"/>
          <w:color w:val="575759"/>
          <w:w w:val="110"/>
          <w:sz w:val="26"/>
        </w:rPr>
        <w:t>COMMON</w:t>
      </w:r>
      <w:r>
        <w:rPr>
          <w:rFonts w:ascii="Arial"/>
          <w:color w:val="575759"/>
          <w:spacing w:val="-11"/>
          <w:w w:val="110"/>
          <w:sz w:val="26"/>
        </w:rPr>
        <w:t> </w:t>
      </w:r>
      <w:r>
        <w:rPr>
          <w:rFonts w:ascii="Arial"/>
          <w:color w:val="676769"/>
          <w:w w:val="110"/>
          <w:sz w:val="26"/>
        </w:rPr>
        <w:t>PUNCTUATIO</w:t>
      </w:r>
      <w:r>
        <w:rPr>
          <w:rFonts w:ascii="Arial"/>
          <w:color w:val="383638"/>
          <w:w w:val="110"/>
          <w:sz w:val="26"/>
        </w:rPr>
        <w:t>N</w:t>
      </w:r>
      <w:r>
        <w:rPr>
          <w:rFonts w:ascii="Arial"/>
          <w:color w:val="383638"/>
          <w:spacing w:val="9"/>
          <w:w w:val="110"/>
          <w:sz w:val="26"/>
        </w:rPr>
        <w:t> </w:t>
      </w:r>
      <w:r>
        <w:rPr>
          <w:rFonts w:ascii="Arial"/>
          <w:color w:val="575759"/>
          <w:w w:val="110"/>
          <w:sz w:val="26"/>
        </w:rPr>
        <w:t>PROBLEMS</w:t>
      </w:r>
    </w:p>
    <w:p>
      <w:pPr>
        <w:pStyle w:val="BodyText"/>
        <w:spacing w:before="3"/>
        <w:rPr>
          <w:rFonts w:ascii="Arial"/>
          <w:sz w:val="22"/>
        </w:rPr>
      </w:pPr>
    </w:p>
    <w:p>
      <w:pPr>
        <w:pStyle w:val="BodyText"/>
        <w:spacing w:line="232" w:lineRule="auto" w:before="1"/>
        <w:ind w:left="454" w:right="114" w:firstLine="671"/>
        <w:jc w:val="both"/>
      </w:pPr>
      <w:r>
        <w:rPr>
          <w:color w:val="383638"/>
          <w:w w:val="115"/>
        </w:rPr>
        <w:t>Unfortunately, many legal writers still have problems with basic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punctuation;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perhaps even more unfortunately, others will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judge the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competence of these writers based on punctuation mistakes. This section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addresses some of the most common punctuation problems and gives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commonsense</w:t>
      </w:r>
      <w:r>
        <w:rPr>
          <w:color w:val="383638"/>
          <w:spacing w:val="4"/>
          <w:w w:val="115"/>
        </w:rPr>
        <w:t> </w:t>
      </w:r>
      <w:r>
        <w:rPr>
          <w:color w:val="383638"/>
          <w:w w:val="115"/>
        </w:rPr>
        <w:t>advice</w:t>
      </w:r>
      <w:r>
        <w:rPr>
          <w:color w:val="383638"/>
          <w:spacing w:val="-13"/>
          <w:w w:val="115"/>
        </w:rPr>
        <w:t> </w:t>
      </w:r>
      <w:r>
        <w:rPr>
          <w:color w:val="383638"/>
          <w:w w:val="115"/>
        </w:rPr>
        <w:t>on</w:t>
      </w:r>
      <w:r>
        <w:rPr>
          <w:color w:val="383638"/>
          <w:spacing w:val="29"/>
          <w:w w:val="115"/>
        </w:rPr>
        <w:t> </w:t>
      </w:r>
      <w:r>
        <w:rPr>
          <w:color w:val="383638"/>
          <w:w w:val="115"/>
        </w:rPr>
        <w:t>how</w:t>
      </w:r>
      <w:r>
        <w:rPr>
          <w:color w:val="383638"/>
          <w:spacing w:val="21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-3"/>
          <w:w w:val="115"/>
        </w:rPr>
        <w:t> </w:t>
      </w:r>
      <w:r>
        <w:rPr>
          <w:color w:val="383638"/>
          <w:w w:val="115"/>
        </w:rPr>
        <w:t>avoid them</w:t>
      </w:r>
      <w:r>
        <w:rPr>
          <w:color w:val="575759"/>
          <w:w w:val="115"/>
        </w:rPr>
        <w:t>.</w:t>
      </w:r>
    </w:p>
    <w:p>
      <w:pPr>
        <w:pStyle w:val="BodyText"/>
        <w:spacing w:before="8"/>
        <w:rPr>
          <w:sz w:val="27"/>
        </w:rPr>
      </w:pPr>
    </w:p>
    <w:p>
      <w:pPr>
        <w:spacing w:before="0"/>
        <w:ind w:left="809" w:right="0" w:firstLine="0"/>
        <w:jc w:val="left"/>
        <w:rPr>
          <w:rFonts w:ascii="Arial"/>
          <w:sz w:val="27"/>
        </w:rPr>
      </w:pPr>
      <w:r>
        <w:rPr>
          <w:rFonts w:ascii="Arial"/>
          <w:color w:val="575759"/>
          <w:w w:val="115"/>
          <w:sz w:val="27"/>
        </w:rPr>
        <w:t>A.</w:t>
      </w:r>
      <w:r>
        <w:rPr>
          <w:rFonts w:ascii="Arial"/>
          <w:color w:val="383638"/>
          <w:w w:val="115"/>
          <w:sz w:val="27"/>
        </w:rPr>
        <w:t>5.</w:t>
      </w:r>
      <w:r>
        <w:rPr>
          <w:rFonts w:ascii="Arial"/>
          <w:color w:val="575759"/>
          <w:w w:val="115"/>
          <w:sz w:val="27"/>
        </w:rPr>
        <w:t>1</w:t>
      </w:r>
    </w:p>
    <w:p>
      <w:pPr>
        <w:spacing w:before="46"/>
        <w:ind w:left="788" w:right="0" w:firstLine="0"/>
        <w:jc w:val="left"/>
        <w:rPr>
          <w:sz w:val="22"/>
        </w:rPr>
      </w:pPr>
      <w:r>
        <w:rPr>
          <w:color w:val="676769"/>
          <w:w w:val="110"/>
          <w:sz w:val="22"/>
        </w:rPr>
        <w:t>APOSTROP</w:t>
      </w:r>
      <w:r>
        <w:rPr>
          <w:color w:val="383638"/>
          <w:w w:val="110"/>
          <w:sz w:val="22"/>
        </w:rPr>
        <w:t>HE</w:t>
      </w:r>
      <w:r>
        <w:rPr>
          <w:color w:val="383638"/>
          <w:spacing w:val="9"/>
          <w:w w:val="110"/>
          <w:sz w:val="22"/>
        </w:rPr>
        <w:t> </w:t>
      </w:r>
      <w:r>
        <w:rPr>
          <w:color w:val="575759"/>
          <w:w w:val="110"/>
          <w:sz w:val="22"/>
        </w:rPr>
        <w:t>PR</w:t>
      </w:r>
      <w:r>
        <w:rPr>
          <w:color w:val="383638"/>
          <w:w w:val="110"/>
          <w:sz w:val="22"/>
        </w:rPr>
        <w:t>O</w:t>
      </w:r>
      <w:r>
        <w:rPr>
          <w:color w:val="575759"/>
          <w:w w:val="110"/>
          <w:sz w:val="22"/>
        </w:rPr>
        <w:t>B</w:t>
      </w:r>
      <w:r>
        <w:rPr>
          <w:color w:val="383638"/>
          <w:w w:val="110"/>
          <w:sz w:val="22"/>
        </w:rPr>
        <w:t>LEMS</w:t>
      </w:r>
    </w:p>
    <w:p>
      <w:pPr>
        <w:pStyle w:val="BodyText"/>
        <w:spacing w:line="230" w:lineRule="auto" w:before="141"/>
        <w:ind w:left="412" w:right="122" w:firstLine="402"/>
        <w:jc w:val="both"/>
      </w:pPr>
      <w:r>
        <w:rPr>
          <w:color w:val="383638"/>
          <w:w w:val="110"/>
        </w:rPr>
        <w:t>Many apostrophe problems are caused by mixing homonyms (words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with</w:t>
      </w:r>
      <w:r>
        <w:rPr>
          <w:color w:val="383638"/>
          <w:spacing w:val="6"/>
          <w:w w:val="110"/>
        </w:rPr>
        <w:t> </w:t>
      </w:r>
      <w:r>
        <w:rPr>
          <w:color w:val="383638"/>
          <w:w w:val="110"/>
        </w:rPr>
        <w:t>different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meanings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that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sound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alike),</w:t>
      </w:r>
      <w:r>
        <w:rPr>
          <w:color w:val="383638"/>
          <w:spacing w:val="5"/>
          <w:w w:val="110"/>
        </w:rPr>
        <w:t> </w:t>
      </w:r>
      <w:r>
        <w:rPr>
          <w:color w:val="383638"/>
          <w:w w:val="110"/>
        </w:rPr>
        <w:t>while</w:t>
      </w:r>
      <w:r>
        <w:rPr>
          <w:color w:val="383638"/>
          <w:spacing w:val="-21"/>
          <w:w w:val="110"/>
        </w:rPr>
        <w:t> </w:t>
      </w:r>
      <w:r>
        <w:rPr>
          <w:color w:val="383638"/>
          <w:w w:val="110"/>
        </w:rPr>
        <w:t>others</w:t>
      </w:r>
      <w:r>
        <w:rPr>
          <w:color w:val="383638"/>
          <w:spacing w:val="-22"/>
          <w:w w:val="110"/>
        </w:rPr>
        <w:t> </w:t>
      </w:r>
      <w:r>
        <w:rPr>
          <w:color w:val="383638"/>
          <w:w w:val="110"/>
        </w:rPr>
        <w:t>are</w:t>
      </w:r>
      <w:r>
        <w:rPr>
          <w:color w:val="383638"/>
          <w:spacing w:val="-21"/>
          <w:w w:val="110"/>
        </w:rPr>
        <w:t> </w:t>
      </w:r>
      <w:r>
        <w:rPr>
          <w:color w:val="383638"/>
          <w:w w:val="110"/>
        </w:rPr>
        <w:t>caused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by</w:t>
      </w:r>
      <w:r>
        <w:rPr>
          <w:color w:val="383638"/>
          <w:spacing w:val="-18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mis­</w:t>
      </w:r>
      <w:r>
        <w:rPr>
          <w:color w:val="383638"/>
          <w:spacing w:val="-60"/>
          <w:w w:val="110"/>
        </w:rPr>
        <w:t> </w:t>
      </w:r>
      <w:r>
        <w:rPr>
          <w:color w:val="383638"/>
          <w:w w:val="105"/>
        </w:rPr>
        <w:t>understanding</w:t>
      </w:r>
      <w:r>
        <w:rPr>
          <w:color w:val="383638"/>
          <w:spacing w:val="18"/>
          <w:w w:val="105"/>
        </w:rPr>
        <w:t> </w:t>
      </w:r>
      <w:r>
        <w:rPr>
          <w:color w:val="383638"/>
          <w:w w:val="105"/>
        </w:rPr>
        <w:t>of</w:t>
      </w:r>
      <w:r>
        <w:rPr>
          <w:color w:val="383638"/>
          <w:spacing w:val="30"/>
          <w:w w:val="105"/>
        </w:rPr>
        <w:t> </w:t>
      </w:r>
      <w:r>
        <w:rPr>
          <w:color w:val="383638"/>
          <w:w w:val="105"/>
        </w:rPr>
        <w:t>the</w:t>
      </w:r>
      <w:r>
        <w:rPr>
          <w:color w:val="383638"/>
          <w:spacing w:val="55"/>
          <w:w w:val="105"/>
        </w:rPr>
        <w:t> </w:t>
      </w:r>
      <w:r>
        <w:rPr>
          <w:color w:val="383638"/>
          <w:w w:val="105"/>
        </w:rPr>
        <w:t>rules</w:t>
      </w:r>
      <w:r>
        <w:rPr>
          <w:color w:val="383638"/>
          <w:spacing w:val="-19"/>
          <w:w w:val="105"/>
        </w:rPr>
        <w:t> </w:t>
      </w:r>
      <w:r>
        <w:rPr>
          <w:color w:val="383638"/>
          <w:w w:val="105"/>
        </w:rPr>
        <w:t>of</w:t>
      </w:r>
      <w:r>
        <w:rPr>
          <w:color w:val="383638"/>
          <w:spacing w:val="25"/>
          <w:w w:val="105"/>
        </w:rPr>
        <w:t> </w:t>
      </w:r>
      <w:r>
        <w:rPr>
          <w:color w:val="383638"/>
          <w:w w:val="105"/>
        </w:rPr>
        <w:t>possessives.</w:t>
      </w:r>
      <w:r>
        <w:rPr>
          <w:color w:val="383638"/>
          <w:spacing w:val="-6"/>
          <w:w w:val="105"/>
        </w:rPr>
        <w:t> </w:t>
      </w:r>
      <w:r>
        <w:rPr>
          <w:color w:val="383638"/>
          <w:w w:val="105"/>
        </w:rPr>
        <w:t>This</w:t>
      </w:r>
      <w:r>
        <w:rPr>
          <w:color w:val="383638"/>
          <w:spacing w:val="-27"/>
          <w:w w:val="105"/>
        </w:rPr>
        <w:t> </w:t>
      </w:r>
      <w:r>
        <w:rPr>
          <w:color w:val="383638"/>
          <w:w w:val="105"/>
        </w:rPr>
        <w:t>section</w:t>
      </w:r>
      <w:r>
        <w:rPr>
          <w:color w:val="383638"/>
          <w:spacing w:val="9"/>
          <w:w w:val="105"/>
        </w:rPr>
        <w:t> </w:t>
      </w:r>
      <w:r>
        <w:rPr>
          <w:color w:val="383638"/>
          <w:w w:val="105"/>
        </w:rPr>
        <w:t>addresses</w:t>
      </w:r>
      <w:r>
        <w:rPr>
          <w:color w:val="383638"/>
          <w:spacing w:val="-7"/>
          <w:w w:val="105"/>
        </w:rPr>
        <w:t> </w:t>
      </w:r>
      <w:r>
        <w:rPr>
          <w:color w:val="383638"/>
          <w:w w:val="105"/>
        </w:rPr>
        <w:t>each</w:t>
      </w:r>
      <w:r>
        <w:rPr>
          <w:color w:val="383638"/>
          <w:spacing w:val="6"/>
          <w:w w:val="105"/>
        </w:rPr>
        <w:t> </w:t>
      </w:r>
      <w:r>
        <w:rPr>
          <w:color w:val="383638"/>
          <w:w w:val="105"/>
        </w:rPr>
        <w:t>in</w:t>
      </w:r>
      <w:r>
        <w:rPr>
          <w:color w:val="383638"/>
          <w:spacing w:val="13"/>
          <w:w w:val="105"/>
        </w:rPr>
        <w:t> </w:t>
      </w:r>
      <w:r>
        <w:rPr>
          <w:color w:val="383638"/>
          <w:w w:val="105"/>
        </w:rPr>
        <w:t>tum.</w:t>
      </w:r>
    </w:p>
    <w:p>
      <w:pPr>
        <w:spacing w:after="0" w:line="230" w:lineRule="auto"/>
        <w:jc w:val="both"/>
        <w:sectPr>
          <w:headerReference w:type="even" r:id="rId376"/>
          <w:headerReference w:type="default" r:id="rId377"/>
          <w:pgSz w:w="9780" w:h="14010"/>
          <w:pgMar w:header="588" w:footer="0" w:top="1160" w:bottom="280" w:left="1360" w:right="260"/>
          <w:pgNumType w:start="336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124"/>
        </w:numPr>
        <w:tabs>
          <w:tab w:pos="862" w:val="left" w:leader="none"/>
        </w:tabs>
        <w:spacing w:line="240" w:lineRule="auto" w:before="0" w:after="0"/>
        <w:ind w:left="861" w:right="0" w:hanging="379"/>
        <w:jc w:val="both"/>
        <w:rPr>
          <w:b/>
          <w:color w:val="383638"/>
          <w:sz w:val="21"/>
        </w:rPr>
      </w:pPr>
      <w:r>
        <w:rPr>
          <w:b/>
          <w:color w:val="383638"/>
          <w:w w:val="120"/>
          <w:sz w:val="21"/>
        </w:rPr>
        <w:t>Common</w:t>
      </w:r>
      <w:r>
        <w:rPr>
          <w:b/>
          <w:color w:val="383638"/>
          <w:spacing w:val="1"/>
          <w:w w:val="120"/>
          <w:sz w:val="21"/>
        </w:rPr>
        <w:t> </w:t>
      </w:r>
      <w:r>
        <w:rPr>
          <w:b/>
          <w:color w:val="383638"/>
          <w:w w:val="120"/>
          <w:sz w:val="21"/>
        </w:rPr>
        <w:t>Homonym</w:t>
      </w:r>
      <w:r>
        <w:rPr>
          <w:b/>
          <w:color w:val="383638"/>
          <w:spacing w:val="11"/>
          <w:w w:val="120"/>
          <w:sz w:val="21"/>
        </w:rPr>
        <w:t> </w:t>
      </w:r>
      <w:r>
        <w:rPr>
          <w:b/>
          <w:color w:val="383638"/>
          <w:w w:val="120"/>
          <w:sz w:val="21"/>
        </w:rPr>
        <w:t>Problems</w:t>
      </w:r>
    </w:p>
    <w:p>
      <w:pPr>
        <w:pStyle w:val="BodyText"/>
        <w:spacing w:line="232" w:lineRule="auto" w:before="26"/>
        <w:ind w:left="128" w:right="470" w:firstLine="351"/>
        <w:jc w:val="both"/>
      </w:pPr>
      <w:r>
        <w:rPr>
          <w:color w:val="383638"/>
          <w:spacing w:val="-1"/>
          <w:w w:val="110"/>
        </w:rPr>
        <w:t>Many writers confuse </w:t>
      </w:r>
      <w:r>
        <w:rPr>
          <w:i/>
          <w:color w:val="383638"/>
          <w:spacing w:val="-1"/>
          <w:w w:val="110"/>
          <w:sz w:val="22"/>
        </w:rPr>
        <w:t>their, </w:t>
      </w:r>
      <w:r>
        <w:rPr>
          <w:i/>
          <w:color w:val="383638"/>
          <w:w w:val="110"/>
          <w:sz w:val="22"/>
        </w:rPr>
        <w:t>theirs, </w:t>
      </w:r>
      <w:r>
        <w:rPr>
          <w:color w:val="383638"/>
          <w:w w:val="110"/>
        </w:rPr>
        <w:t>and </w:t>
      </w:r>
      <w:r>
        <w:rPr>
          <w:i/>
          <w:color w:val="383638"/>
          <w:w w:val="110"/>
          <w:sz w:val="22"/>
        </w:rPr>
        <w:t>they're, </w:t>
      </w:r>
      <w:r>
        <w:rPr>
          <w:color w:val="383638"/>
          <w:w w:val="110"/>
        </w:rPr>
        <w:t>while others confuse </w:t>
      </w:r>
      <w:r>
        <w:rPr>
          <w:i/>
          <w:color w:val="383638"/>
          <w:w w:val="110"/>
          <w:sz w:val="22"/>
        </w:rPr>
        <w:t>its</w:t>
      </w:r>
      <w:r>
        <w:rPr>
          <w:i/>
          <w:color w:val="383638"/>
          <w:spacing w:val="-58"/>
          <w:w w:val="110"/>
          <w:sz w:val="22"/>
        </w:rPr>
        <w:t> </w:t>
      </w:r>
      <w:r>
        <w:rPr>
          <w:color w:val="383638"/>
          <w:w w:val="105"/>
        </w:rPr>
        <w:t>and </w:t>
      </w:r>
      <w:r>
        <w:rPr>
          <w:i/>
          <w:color w:val="383638"/>
          <w:w w:val="105"/>
          <w:sz w:val="22"/>
        </w:rPr>
        <w:t>it's </w:t>
      </w:r>
      <w:r>
        <w:rPr>
          <w:color w:val="383638"/>
          <w:w w:val="105"/>
        </w:rPr>
        <w:t>or </w:t>
      </w:r>
      <w:r>
        <w:rPr>
          <w:i/>
          <w:color w:val="383638"/>
          <w:w w:val="105"/>
          <w:sz w:val="22"/>
        </w:rPr>
        <w:t>your, yours, </w:t>
      </w:r>
      <w:r>
        <w:rPr>
          <w:color w:val="383638"/>
          <w:w w:val="105"/>
        </w:rPr>
        <w:t>and  </w:t>
      </w:r>
      <w:r>
        <w:rPr>
          <w:i/>
          <w:color w:val="383638"/>
          <w:w w:val="105"/>
          <w:sz w:val="22"/>
        </w:rPr>
        <w:t>you're. </w:t>
      </w:r>
      <w:r>
        <w:rPr>
          <w:color w:val="383638"/>
          <w:w w:val="105"/>
        </w:rPr>
        <w:t>Making one  of these errors </w:t>
      </w:r>
      <w:r>
        <w:rPr>
          <w:color w:val="282626"/>
          <w:w w:val="105"/>
        </w:rPr>
        <w:t>is </w:t>
      </w:r>
      <w:r>
        <w:rPr>
          <w:color w:val="383638"/>
          <w:w w:val="105"/>
        </w:rPr>
        <w:t>a sure way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10"/>
        </w:rPr>
        <w:t>to irritate your reader and give an impression of carelessness. It's worth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 time to study these explanations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make sure you understand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differences</w:t>
      </w:r>
      <w:r>
        <w:rPr>
          <w:color w:val="626264"/>
          <w:w w:val="110"/>
        </w:rPr>
        <w:t>.</w:t>
      </w:r>
    </w:p>
    <w:p>
      <w:pPr>
        <w:spacing w:before="127"/>
        <w:ind w:left="466" w:right="0" w:firstLine="0"/>
        <w:jc w:val="both"/>
        <w:rPr>
          <w:b/>
          <w:sz w:val="21"/>
        </w:rPr>
      </w:pPr>
      <w:r>
        <w:rPr>
          <w:b/>
          <w:color w:val="383638"/>
          <w:w w:val="105"/>
          <w:sz w:val="21"/>
        </w:rPr>
        <w:t>Their,</w:t>
      </w:r>
      <w:r>
        <w:rPr>
          <w:b/>
          <w:color w:val="383638"/>
          <w:spacing w:val="-3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Theirs,</w:t>
      </w:r>
      <w:r>
        <w:rPr>
          <w:b/>
          <w:color w:val="383638"/>
          <w:spacing w:val="-2"/>
          <w:w w:val="105"/>
          <w:sz w:val="21"/>
        </w:rPr>
        <w:t> </w:t>
      </w:r>
      <w:r>
        <w:rPr>
          <w:b/>
          <w:i/>
          <w:color w:val="383638"/>
          <w:w w:val="105"/>
          <w:sz w:val="21"/>
        </w:rPr>
        <w:t>and</w:t>
      </w:r>
      <w:r>
        <w:rPr>
          <w:b/>
          <w:i/>
          <w:color w:val="383638"/>
          <w:spacing w:val="16"/>
          <w:w w:val="105"/>
          <w:sz w:val="21"/>
        </w:rPr>
        <w:t> </w:t>
      </w:r>
      <w:r>
        <w:rPr>
          <w:b/>
          <w:color w:val="383638"/>
          <w:w w:val="105"/>
          <w:sz w:val="21"/>
        </w:rPr>
        <w:t>They're</w:t>
      </w:r>
    </w:p>
    <w:p>
      <w:pPr>
        <w:pStyle w:val="BodyText"/>
        <w:spacing w:line="244" w:lineRule="auto" w:before="135"/>
        <w:ind w:left="127" w:right="447" w:firstLine="354"/>
        <w:jc w:val="both"/>
      </w:pPr>
      <w:r>
        <w:rPr>
          <w:color w:val="383638"/>
          <w:w w:val="115"/>
        </w:rPr>
        <w:t>Use </w:t>
      </w:r>
      <w:r>
        <w:rPr>
          <w:i/>
          <w:color w:val="383638"/>
          <w:w w:val="115"/>
          <w:sz w:val="22"/>
        </w:rPr>
        <w:t>their </w:t>
      </w:r>
      <w:r>
        <w:rPr>
          <w:color w:val="383638"/>
          <w:w w:val="115"/>
        </w:rPr>
        <w:t>to modify a noun that belongs to more than one person or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5"/>
        </w:rPr>
        <w:t>entity.</w:t>
      </w:r>
    </w:p>
    <w:p>
      <w:pPr>
        <w:spacing w:before="20"/>
        <w:ind w:left="128" w:right="0" w:firstLine="0"/>
        <w:jc w:val="left"/>
        <w:rPr>
          <w:rFonts w:ascii="Arial"/>
          <w:sz w:val="14"/>
        </w:rPr>
      </w:pPr>
      <w:r>
        <w:rPr>
          <w:rFonts w:ascii="Arial"/>
          <w:i/>
          <w:color w:val="383638"/>
          <w:sz w:val="30"/>
          <w:u w:val="thick" w:color="383638"/>
        </w:rPr>
        <w:t>..f\</w:t>
      </w:r>
      <w:r>
        <w:rPr>
          <w:rFonts w:ascii="Arial"/>
          <w:i/>
          <w:color w:val="383638"/>
          <w:spacing w:val="-3"/>
          <w:sz w:val="30"/>
        </w:rPr>
        <w:t> </w:t>
      </w:r>
      <w:r>
        <w:rPr>
          <w:rFonts w:ascii="Arial"/>
          <w:color w:val="383638"/>
          <w:sz w:val="14"/>
          <w:u w:val="thick" w:color="77797B"/>
        </w:rPr>
        <w:t>GO</w:t>
      </w:r>
      <w:r>
        <w:rPr>
          <w:rFonts w:ascii="Arial"/>
          <w:color w:val="626264"/>
          <w:sz w:val="14"/>
          <w:u w:val="thick" w:color="77797B"/>
        </w:rPr>
        <w:t>OD</w:t>
      </w:r>
      <w:r>
        <w:rPr>
          <w:rFonts w:ascii="Arial"/>
          <w:color w:val="626264"/>
          <w:spacing w:val="31"/>
          <w:sz w:val="14"/>
          <w:u w:val="thick" w:color="77797B"/>
        </w:rPr>
        <w:t> </w:t>
      </w:r>
      <w:r>
        <w:rPr>
          <w:rFonts w:ascii="Arial"/>
          <w:color w:val="77797B"/>
          <w:sz w:val="14"/>
          <w:u w:val="thick" w:color="77797B"/>
        </w:rPr>
        <w:t>EXAMPLE</w:t>
      </w:r>
    </w:p>
    <w:p>
      <w:pPr>
        <w:spacing w:before="68"/>
        <w:ind w:left="466" w:right="0" w:firstLine="0"/>
        <w:jc w:val="both"/>
        <w:rPr>
          <w:b/>
          <w:sz w:val="21"/>
        </w:rPr>
      </w:pPr>
      <w:r>
        <w:rPr>
          <w:b/>
          <w:color w:val="383638"/>
          <w:w w:val="110"/>
          <w:sz w:val="21"/>
        </w:rPr>
        <w:t>This</w:t>
      </w:r>
      <w:r>
        <w:rPr>
          <w:b/>
          <w:color w:val="383638"/>
          <w:spacing w:val="-1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animal</w:t>
      </w:r>
      <w:r>
        <w:rPr>
          <w:b/>
          <w:color w:val="383638"/>
          <w:spacing w:val="10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is</w:t>
      </w:r>
      <w:r>
        <w:rPr>
          <w:b/>
          <w:color w:val="383638"/>
          <w:spacing w:val="7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their</w:t>
      </w:r>
      <w:r>
        <w:rPr>
          <w:b/>
          <w:color w:val="383638"/>
          <w:spacing w:val="-1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dog.</w:t>
      </w:r>
    </w:p>
    <w:p>
      <w:pPr>
        <w:pStyle w:val="BodyText"/>
        <w:spacing w:line="235" w:lineRule="auto" w:before="139"/>
        <w:ind w:left="134" w:right="401" w:firstLine="357"/>
        <w:jc w:val="both"/>
      </w:pPr>
      <w:r>
        <w:rPr>
          <w:color w:val="383638"/>
          <w:w w:val="110"/>
        </w:rPr>
        <w:t>Use </w:t>
      </w:r>
      <w:r>
        <w:rPr>
          <w:i/>
          <w:color w:val="383638"/>
          <w:w w:val="110"/>
          <w:sz w:val="22"/>
        </w:rPr>
        <w:t>theirs </w:t>
      </w:r>
      <w:r>
        <w:rPr>
          <w:color w:val="383638"/>
          <w:w w:val="110"/>
        </w:rPr>
        <w:t>to stand alone as a possessive pronoun when the noun pos­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sessed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33"/>
          <w:w w:val="110"/>
        </w:rPr>
        <w:t> </w:t>
      </w:r>
      <w:r>
        <w:rPr>
          <w:color w:val="383638"/>
          <w:w w:val="110"/>
        </w:rPr>
        <w:t>another part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1"/>
          <w:w w:val="110"/>
        </w:rPr>
        <w:t> </w:t>
      </w:r>
      <w:r>
        <w:rPr>
          <w:color w:val="383638"/>
          <w:w w:val="110"/>
        </w:rPr>
        <w:t>sentence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or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-17"/>
          <w:w w:val="110"/>
        </w:rPr>
        <w:t> </w:t>
      </w:r>
      <w:r>
        <w:rPr>
          <w:color w:val="383638"/>
          <w:w w:val="110"/>
        </w:rPr>
        <w:t>in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previous</w:t>
      </w:r>
      <w:r>
        <w:rPr>
          <w:color w:val="383638"/>
          <w:spacing w:val="-20"/>
          <w:w w:val="110"/>
        </w:rPr>
        <w:t> </w:t>
      </w:r>
      <w:r>
        <w:rPr>
          <w:color w:val="383638"/>
          <w:w w:val="110"/>
        </w:rPr>
        <w:t>sentence.</w:t>
      </w:r>
    </w:p>
    <w:p>
      <w:pPr>
        <w:pStyle w:val="BodyText"/>
        <w:spacing w:before="3"/>
        <w:rPr>
          <w:sz w:val="16"/>
        </w:rPr>
      </w:pPr>
    </w:p>
    <w:p>
      <w:pPr>
        <w:spacing w:before="0"/>
        <w:ind w:left="123" w:right="0" w:firstLine="0"/>
        <w:jc w:val="left"/>
        <w:rPr>
          <w:rFonts w:ascii="Arial"/>
          <w:sz w:val="14"/>
        </w:rPr>
      </w:pPr>
      <w:r>
        <w:rPr>
          <w:rFonts w:ascii="Arial"/>
          <w:color w:val="383638"/>
          <w:spacing w:val="-1"/>
          <w:w w:val="145"/>
          <w:sz w:val="14"/>
          <w:u w:val="thick" w:color="383638"/>
        </w:rPr>
        <w:t>../\</w:t>
      </w:r>
      <w:r>
        <w:rPr>
          <w:rFonts w:ascii="Arial"/>
          <w:color w:val="383638"/>
          <w:spacing w:val="-12"/>
          <w:w w:val="145"/>
          <w:sz w:val="14"/>
        </w:rPr>
        <w:t> </w:t>
      </w:r>
      <w:r>
        <w:rPr>
          <w:rFonts w:ascii="Arial"/>
          <w:color w:val="383638"/>
          <w:spacing w:val="-1"/>
          <w:w w:val="120"/>
          <w:sz w:val="14"/>
          <w:u w:val="thick" w:color="77797B"/>
        </w:rPr>
        <w:t>G</w:t>
      </w:r>
      <w:r>
        <w:rPr>
          <w:rFonts w:ascii="Arial"/>
          <w:color w:val="626264"/>
          <w:spacing w:val="-1"/>
          <w:w w:val="120"/>
          <w:sz w:val="14"/>
          <w:u w:val="thick" w:color="77797B"/>
        </w:rPr>
        <w:t>OOD</w:t>
      </w:r>
      <w:r>
        <w:rPr>
          <w:rFonts w:ascii="Arial"/>
          <w:color w:val="626264"/>
          <w:spacing w:val="7"/>
          <w:w w:val="120"/>
          <w:sz w:val="14"/>
          <w:u w:val="thick" w:color="77797B"/>
        </w:rPr>
        <w:t> </w:t>
      </w:r>
      <w:r>
        <w:rPr>
          <w:rFonts w:ascii="Arial"/>
          <w:color w:val="77797B"/>
          <w:spacing w:val="-1"/>
          <w:w w:val="120"/>
          <w:sz w:val="14"/>
          <w:u w:val="thick" w:color="77797B"/>
        </w:rPr>
        <w:t>EXAMPLE</w:t>
      </w:r>
    </w:p>
    <w:p>
      <w:pPr>
        <w:spacing w:before="102"/>
        <w:ind w:left="475" w:right="0" w:firstLine="0"/>
        <w:jc w:val="left"/>
        <w:rPr>
          <w:b/>
          <w:sz w:val="21"/>
        </w:rPr>
      </w:pPr>
      <w:r>
        <w:rPr>
          <w:b/>
          <w:color w:val="383638"/>
          <w:w w:val="110"/>
          <w:sz w:val="21"/>
        </w:rPr>
        <w:t>This</w:t>
      </w:r>
      <w:r>
        <w:rPr>
          <w:b/>
          <w:color w:val="383638"/>
          <w:spacing w:val="-2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animal</w:t>
      </w:r>
      <w:r>
        <w:rPr>
          <w:b/>
          <w:color w:val="383638"/>
          <w:spacing w:val="12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is theirs.</w:t>
      </w:r>
    </w:p>
    <w:p>
      <w:pPr>
        <w:spacing w:before="135"/>
        <w:ind w:left="477" w:right="0" w:firstLine="0"/>
        <w:jc w:val="left"/>
        <w:rPr>
          <w:sz w:val="23"/>
        </w:rPr>
      </w:pPr>
      <w:r>
        <w:rPr>
          <w:i/>
          <w:color w:val="383638"/>
          <w:w w:val="110"/>
          <w:sz w:val="22"/>
        </w:rPr>
        <w:t>Theirs</w:t>
      </w:r>
      <w:r>
        <w:rPr>
          <w:i/>
          <w:color w:val="383638"/>
          <w:spacing w:val="7"/>
          <w:w w:val="110"/>
          <w:sz w:val="22"/>
        </w:rPr>
        <w:t> </w:t>
      </w:r>
      <w:r>
        <w:rPr>
          <w:color w:val="383638"/>
          <w:w w:val="110"/>
          <w:sz w:val="23"/>
        </w:rPr>
        <w:t>never</w:t>
      </w:r>
      <w:r>
        <w:rPr>
          <w:color w:val="383638"/>
          <w:spacing w:val="-2"/>
          <w:w w:val="110"/>
          <w:sz w:val="23"/>
        </w:rPr>
        <w:t> </w:t>
      </w:r>
      <w:r>
        <w:rPr>
          <w:color w:val="383638"/>
          <w:w w:val="110"/>
          <w:sz w:val="23"/>
        </w:rPr>
        <w:t>takes</w:t>
      </w:r>
      <w:r>
        <w:rPr>
          <w:color w:val="383638"/>
          <w:spacing w:val="-18"/>
          <w:w w:val="110"/>
          <w:sz w:val="23"/>
        </w:rPr>
        <w:t> </w:t>
      </w:r>
      <w:r>
        <w:rPr>
          <w:color w:val="383638"/>
          <w:w w:val="110"/>
          <w:sz w:val="23"/>
        </w:rPr>
        <w:t>an</w:t>
      </w:r>
      <w:r>
        <w:rPr>
          <w:color w:val="383638"/>
          <w:spacing w:val="30"/>
          <w:w w:val="110"/>
          <w:sz w:val="23"/>
        </w:rPr>
        <w:t> </w:t>
      </w:r>
      <w:r>
        <w:rPr>
          <w:color w:val="383638"/>
          <w:w w:val="110"/>
          <w:sz w:val="23"/>
        </w:rPr>
        <w:t>apostrophe.</w:t>
      </w:r>
    </w:p>
    <w:p>
      <w:pPr>
        <w:pStyle w:val="BodyText"/>
        <w:spacing w:before="111"/>
        <w:ind w:left="477"/>
      </w:pPr>
      <w:r>
        <w:rPr>
          <w:i/>
          <w:color w:val="383638"/>
          <w:w w:val="110"/>
          <w:sz w:val="22"/>
        </w:rPr>
        <w:t>They're</w:t>
      </w:r>
      <w:r>
        <w:rPr>
          <w:i/>
          <w:color w:val="383638"/>
          <w:spacing w:val="16"/>
          <w:w w:val="110"/>
          <w:sz w:val="22"/>
        </w:rPr>
        <w:t> </w:t>
      </w:r>
      <w:r>
        <w:rPr>
          <w:color w:val="383638"/>
          <w:w w:val="110"/>
        </w:rPr>
        <w:t>is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33"/>
          <w:w w:val="110"/>
        </w:rPr>
        <w:t> </w:t>
      </w:r>
      <w:r>
        <w:rPr>
          <w:color w:val="383638"/>
          <w:w w:val="110"/>
        </w:rPr>
        <w:t>contraction</w:t>
      </w:r>
      <w:r>
        <w:rPr>
          <w:color w:val="383638"/>
          <w:spacing w:val="48"/>
          <w:w w:val="110"/>
        </w:rPr>
        <w:t> </w:t>
      </w:r>
      <w:r>
        <w:rPr>
          <w:color w:val="383638"/>
          <w:w w:val="110"/>
        </w:rPr>
        <w:t>meaning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"they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are."</w:t>
      </w:r>
    </w:p>
    <w:p>
      <w:pPr>
        <w:spacing w:before="45"/>
        <w:ind w:left="118" w:right="0" w:firstLine="0"/>
        <w:jc w:val="left"/>
        <w:rPr>
          <w:rFonts w:ascii="Arial"/>
          <w:sz w:val="14"/>
        </w:rPr>
      </w:pPr>
      <w:r>
        <w:rPr>
          <w:rFonts w:ascii="Arial"/>
          <w:i/>
          <w:color w:val="383638"/>
          <w:w w:val="105"/>
          <w:sz w:val="30"/>
          <w:u w:val="thick" w:color="383638"/>
        </w:rPr>
        <w:t>..f\</w:t>
      </w:r>
      <w:r>
        <w:rPr>
          <w:rFonts w:ascii="Arial"/>
          <w:i/>
          <w:color w:val="383638"/>
          <w:spacing w:val="-22"/>
          <w:w w:val="105"/>
          <w:sz w:val="30"/>
        </w:rPr>
        <w:t> </w:t>
      </w:r>
      <w:r>
        <w:rPr>
          <w:rFonts w:ascii="Arial"/>
          <w:color w:val="383638"/>
          <w:w w:val="105"/>
          <w:sz w:val="14"/>
          <w:u w:val="thick" w:color="77797B"/>
        </w:rPr>
        <w:t>G</w:t>
      </w:r>
      <w:r>
        <w:rPr>
          <w:rFonts w:ascii="Arial"/>
          <w:color w:val="626264"/>
          <w:w w:val="105"/>
          <w:sz w:val="14"/>
          <w:u w:val="thick" w:color="77797B"/>
        </w:rPr>
        <w:t>OOD</w:t>
      </w:r>
      <w:r>
        <w:rPr>
          <w:rFonts w:ascii="Arial"/>
          <w:color w:val="626264"/>
          <w:spacing w:val="18"/>
          <w:w w:val="105"/>
          <w:sz w:val="14"/>
          <w:u w:val="thick" w:color="77797B"/>
        </w:rPr>
        <w:t> </w:t>
      </w:r>
      <w:r>
        <w:rPr>
          <w:rFonts w:ascii="Arial"/>
          <w:color w:val="77797B"/>
          <w:w w:val="105"/>
          <w:sz w:val="14"/>
          <w:u w:val="thick" w:color="77797B"/>
        </w:rPr>
        <w:t>EXAMPLE</w:t>
      </w:r>
    </w:p>
    <w:p>
      <w:pPr>
        <w:spacing w:line="249" w:lineRule="auto" w:before="58"/>
        <w:ind w:left="489" w:right="722" w:hanging="24"/>
        <w:jc w:val="left"/>
        <w:rPr>
          <w:b/>
          <w:sz w:val="21"/>
        </w:rPr>
      </w:pPr>
      <w:r>
        <w:rPr>
          <w:b/>
          <w:color w:val="383638"/>
          <w:w w:val="110"/>
          <w:sz w:val="21"/>
        </w:rPr>
        <w:t>They're happy to admit that this animal is their dog</w:t>
      </w:r>
      <w:r>
        <w:rPr>
          <w:b/>
          <w:color w:val="626264"/>
          <w:w w:val="110"/>
          <w:sz w:val="21"/>
        </w:rPr>
        <w:t>. </w:t>
      </w:r>
      <w:r>
        <w:rPr>
          <w:b/>
          <w:color w:val="383638"/>
          <w:w w:val="110"/>
          <w:sz w:val="21"/>
        </w:rPr>
        <w:t>The fleas arealso</w:t>
      </w:r>
      <w:r>
        <w:rPr>
          <w:b/>
          <w:color w:val="383638"/>
          <w:spacing w:val="-55"/>
          <w:w w:val="110"/>
          <w:sz w:val="21"/>
        </w:rPr>
        <w:t> </w:t>
      </w:r>
      <w:r>
        <w:rPr>
          <w:b/>
          <w:color w:val="383638"/>
          <w:w w:val="115"/>
          <w:sz w:val="21"/>
        </w:rPr>
        <w:t>theirs.</w:t>
      </w:r>
    </w:p>
    <w:p>
      <w:pPr>
        <w:spacing w:before="124"/>
        <w:ind w:left="489" w:right="0" w:firstLine="0"/>
        <w:jc w:val="left"/>
        <w:rPr>
          <w:b/>
          <w:sz w:val="21"/>
        </w:rPr>
      </w:pPr>
      <w:r>
        <w:rPr>
          <w:b/>
          <w:color w:val="383638"/>
          <w:w w:val="110"/>
          <w:sz w:val="19"/>
        </w:rPr>
        <w:t>It's</w:t>
      </w:r>
      <w:r>
        <w:rPr>
          <w:b/>
          <w:color w:val="383638"/>
          <w:spacing w:val="-20"/>
          <w:w w:val="110"/>
          <w:sz w:val="19"/>
        </w:rPr>
        <w:t> </w:t>
      </w:r>
      <w:r>
        <w:rPr>
          <w:b/>
          <w:i/>
          <w:color w:val="383638"/>
          <w:w w:val="110"/>
          <w:sz w:val="21"/>
        </w:rPr>
        <w:t>and</w:t>
      </w:r>
      <w:r>
        <w:rPr>
          <w:b/>
          <w:i/>
          <w:color w:val="383638"/>
          <w:spacing w:val="2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Its</w:t>
      </w:r>
    </w:p>
    <w:p>
      <w:pPr>
        <w:pStyle w:val="BodyText"/>
        <w:spacing w:before="135"/>
        <w:ind w:left="499"/>
      </w:pPr>
      <w:r>
        <w:rPr>
          <w:i/>
          <w:color w:val="383638"/>
          <w:w w:val="110"/>
          <w:sz w:val="21"/>
        </w:rPr>
        <w:t>It's </w:t>
      </w:r>
      <w:r>
        <w:rPr>
          <w:color w:val="383638"/>
          <w:w w:val="110"/>
        </w:rPr>
        <w:t>is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contraction</w:t>
      </w:r>
      <w:r>
        <w:rPr>
          <w:color w:val="383638"/>
          <w:spacing w:val="8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"it</w:t>
      </w:r>
      <w:r>
        <w:rPr>
          <w:color w:val="383638"/>
          <w:spacing w:val="62"/>
          <w:w w:val="110"/>
        </w:rPr>
        <w:t> </w:t>
      </w:r>
      <w:r>
        <w:rPr>
          <w:color w:val="383638"/>
          <w:w w:val="110"/>
        </w:rPr>
        <w:t>is"</w:t>
      </w:r>
      <w:r>
        <w:rPr>
          <w:color w:val="383638"/>
          <w:spacing w:val="15"/>
          <w:w w:val="110"/>
        </w:rPr>
        <w:t> </w:t>
      </w:r>
      <w:r>
        <w:rPr>
          <w:color w:val="383638"/>
          <w:w w:val="110"/>
        </w:rPr>
        <w:t>and,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less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often,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"it</w:t>
      </w:r>
      <w:r>
        <w:rPr>
          <w:color w:val="383638"/>
          <w:spacing w:val="55"/>
          <w:w w:val="110"/>
        </w:rPr>
        <w:t> </w:t>
      </w:r>
      <w:r>
        <w:rPr>
          <w:color w:val="383638"/>
          <w:w w:val="110"/>
        </w:rPr>
        <w:t>has."</w:t>
      </w:r>
    </w:p>
    <w:p>
      <w:pPr>
        <w:pStyle w:val="BodyText"/>
        <w:spacing w:before="1"/>
        <w:rPr>
          <w:sz w:val="16"/>
        </w:rPr>
      </w:pPr>
    </w:p>
    <w:p>
      <w:pPr>
        <w:spacing w:before="0"/>
        <w:ind w:left="123" w:right="0" w:firstLine="0"/>
        <w:jc w:val="left"/>
        <w:rPr>
          <w:rFonts w:ascii="Arial"/>
          <w:sz w:val="14"/>
        </w:rPr>
      </w:pPr>
      <w:r>
        <w:rPr>
          <w:rFonts w:ascii="Arial"/>
          <w:color w:val="626264"/>
          <w:spacing w:val="-1"/>
          <w:w w:val="140"/>
          <w:sz w:val="14"/>
          <w:u w:val="thick" w:color="626264"/>
        </w:rPr>
        <w:t>../\</w:t>
      </w:r>
      <w:r>
        <w:rPr>
          <w:rFonts w:ascii="Arial"/>
          <w:color w:val="626264"/>
          <w:spacing w:val="-13"/>
          <w:w w:val="140"/>
          <w:sz w:val="14"/>
        </w:rPr>
        <w:t> </w:t>
      </w:r>
      <w:r>
        <w:rPr>
          <w:rFonts w:ascii="Arial"/>
          <w:color w:val="626264"/>
          <w:spacing w:val="-1"/>
          <w:w w:val="120"/>
          <w:sz w:val="14"/>
          <w:u w:val="thick" w:color="8C8E90"/>
        </w:rPr>
        <w:t>GOOD</w:t>
      </w:r>
      <w:r>
        <w:rPr>
          <w:rFonts w:ascii="Arial"/>
          <w:color w:val="626264"/>
          <w:spacing w:val="-9"/>
          <w:w w:val="120"/>
          <w:sz w:val="14"/>
          <w:u w:val="thick" w:color="8C8E90"/>
        </w:rPr>
        <w:t> </w:t>
      </w:r>
      <w:r>
        <w:rPr>
          <w:rFonts w:ascii="Arial"/>
          <w:color w:val="8C8E90"/>
          <w:w w:val="120"/>
          <w:sz w:val="14"/>
          <w:u w:val="thick" w:color="8C8E90"/>
        </w:rPr>
        <w:t>EXAMPLES</w:t>
      </w:r>
    </w:p>
    <w:p>
      <w:pPr>
        <w:spacing w:line="241" w:lineRule="exact" w:before="102"/>
        <w:ind w:left="489" w:right="0" w:firstLine="0"/>
        <w:jc w:val="left"/>
        <w:rPr>
          <w:b/>
          <w:sz w:val="21"/>
        </w:rPr>
      </w:pPr>
      <w:r>
        <w:rPr>
          <w:b/>
          <w:color w:val="383638"/>
          <w:w w:val="110"/>
          <w:sz w:val="21"/>
        </w:rPr>
        <w:t>It's</w:t>
      </w:r>
      <w:r>
        <w:rPr>
          <w:b/>
          <w:color w:val="383638"/>
          <w:spacing w:val="-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time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to</w:t>
      </w:r>
      <w:r>
        <w:rPr>
          <w:b/>
          <w:color w:val="383638"/>
          <w:spacing w:val="-10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go.</w:t>
      </w:r>
    </w:p>
    <w:p>
      <w:pPr>
        <w:spacing w:line="241" w:lineRule="exact" w:before="0"/>
        <w:ind w:left="489" w:right="0" w:firstLine="0"/>
        <w:jc w:val="left"/>
        <w:rPr>
          <w:b/>
          <w:sz w:val="21"/>
        </w:rPr>
      </w:pPr>
      <w:r>
        <w:rPr>
          <w:b/>
          <w:color w:val="383638"/>
          <w:w w:val="110"/>
          <w:sz w:val="21"/>
        </w:rPr>
        <w:t>It's</w:t>
      </w:r>
      <w:r>
        <w:rPr>
          <w:b/>
          <w:color w:val="383638"/>
          <w:spacing w:val="-1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been</w:t>
      </w:r>
      <w:r>
        <w:rPr>
          <w:b/>
          <w:color w:val="383638"/>
          <w:spacing w:val="-1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</w:t>
      </w:r>
      <w:r>
        <w:rPr>
          <w:b/>
          <w:color w:val="383638"/>
          <w:spacing w:val="10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long</w:t>
      </w:r>
      <w:r>
        <w:rPr>
          <w:b/>
          <w:color w:val="383638"/>
          <w:spacing w:val="-1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day.</w:t>
      </w:r>
    </w:p>
    <w:p>
      <w:pPr>
        <w:pStyle w:val="BodyText"/>
        <w:spacing w:before="126"/>
        <w:ind w:left="500"/>
        <w:rPr>
          <w:i/>
          <w:sz w:val="24"/>
        </w:rPr>
      </w:pPr>
      <w:r>
        <w:rPr>
          <w:i/>
          <w:color w:val="383638"/>
          <w:w w:val="110"/>
          <w:sz w:val="22"/>
        </w:rPr>
        <w:t>Its</w:t>
      </w:r>
      <w:r>
        <w:rPr>
          <w:i/>
          <w:color w:val="383638"/>
          <w:spacing w:val="-9"/>
          <w:w w:val="110"/>
          <w:sz w:val="22"/>
        </w:rPr>
        <w:t> </w:t>
      </w:r>
      <w:r>
        <w:rPr>
          <w:color w:val="383638"/>
          <w:w w:val="110"/>
        </w:rPr>
        <w:t>is the</w:t>
      </w:r>
      <w:r>
        <w:rPr>
          <w:color w:val="383638"/>
          <w:spacing w:val="35"/>
          <w:w w:val="110"/>
        </w:rPr>
        <w:t> </w:t>
      </w:r>
      <w:r>
        <w:rPr>
          <w:color w:val="383638"/>
          <w:w w:val="110"/>
        </w:rPr>
        <w:t>possessive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form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of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35"/>
          <w:w w:val="110"/>
        </w:rPr>
        <w:t> </w:t>
      </w:r>
      <w:r>
        <w:rPr>
          <w:color w:val="383638"/>
          <w:w w:val="110"/>
        </w:rPr>
        <w:t>pronoun</w:t>
      </w:r>
      <w:r>
        <w:rPr>
          <w:color w:val="383638"/>
          <w:spacing w:val="13"/>
          <w:w w:val="110"/>
        </w:rPr>
        <w:t> </w:t>
      </w:r>
      <w:r>
        <w:rPr>
          <w:i/>
          <w:color w:val="383638"/>
          <w:w w:val="110"/>
          <w:sz w:val="24"/>
        </w:rPr>
        <w:t>it.</w:t>
      </w:r>
    </w:p>
    <w:p>
      <w:pPr>
        <w:spacing w:before="33"/>
        <w:ind w:left="118" w:right="0" w:firstLine="0"/>
        <w:jc w:val="left"/>
        <w:rPr>
          <w:rFonts w:ascii="Arial"/>
          <w:sz w:val="14"/>
        </w:rPr>
      </w:pPr>
      <w:r>
        <w:rPr>
          <w:rFonts w:ascii="Arial"/>
          <w:i/>
          <w:color w:val="626264"/>
          <w:w w:val="105"/>
          <w:sz w:val="30"/>
          <w:u w:val="thick" w:color="626264"/>
        </w:rPr>
        <w:t>..f\</w:t>
      </w:r>
      <w:r>
        <w:rPr>
          <w:rFonts w:ascii="Arial"/>
          <w:i/>
          <w:color w:val="626264"/>
          <w:spacing w:val="-2"/>
          <w:w w:val="105"/>
          <w:sz w:val="30"/>
        </w:rPr>
        <w:t> </w:t>
      </w:r>
      <w:r>
        <w:rPr>
          <w:rFonts w:ascii="Arial"/>
          <w:color w:val="626264"/>
          <w:w w:val="105"/>
          <w:sz w:val="14"/>
          <w:u w:val="thick" w:color="626264"/>
        </w:rPr>
        <w:t>GOOD</w:t>
      </w:r>
      <w:r>
        <w:rPr>
          <w:rFonts w:ascii="Arial"/>
          <w:color w:val="626264"/>
          <w:spacing w:val="12"/>
          <w:w w:val="105"/>
          <w:sz w:val="14"/>
        </w:rPr>
        <w:t> </w:t>
      </w:r>
      <w:r>
        <w:rPr>
          <w:rFonts w:ascii="Arial"/>
          <w:color w:val="77797B"/>
          <w:w w:val="105"/>
          <w:sz w:val="14"/>
          <w:u w:val="thick" w:color="77797B"/>
        </w:rPr>
        <w:t>t:XAMPLE</w:t>
      </w:r>
    </w:p>
    <w:p>
      <w:pPr>
        <w:spacing w:before="68"/>
        <w:ind w:left="498" w:right="0" w:hanging="14"/>
        <w:jc w:val="left"/>
        <w:rPr>
          <w:b/>
          <w:sz w:val="21"/>
        </w:rPr>
      </w:pPr>
      <w:r>
        <w:rPr>
          <w:b/>
          <w:color w:val="383638"/>
          <w:w w:val="110"/>
          <w:sz w:val="21"/>
        </w:rPr>
        <w:t>The</w:t>
      </w:r>
      <w:r>
        <w:rPr>
          <w:b/>
          <w:color w:val="383638"/>
          <w:spacing w:val="4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company</w:t>
      </w:r>
      <w:r>
        <w:rPr>
          <w:b/>
          <w:color w:val="383638"/>
          <w:spacing w:val="2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formed</w:t>
      </w:r>
      <w:r>
        <w:rPr>
          <w:b/>
          <w:color w:val="383638"/>
          <w:spacing w:val="21"/>
          <w:w w:val="110"/>
          <w:sz w:val="21"/>
        </w:rPr>
        <w:t> </w:t>
      </w:r>
      <w:r>
        <w:rPr>
          <w:b/>
          <w:color w:val="282626"/>
          <w:w w:val="110"/>
          <w:sz w:val="21"/>
        </w:rPr>
        <w:t>its</w:t>
      </w:r>
      <w:r>
        <w:rPr>
          <w:b/>
          <w:color w:val="282626"/>
          <w:spacing w:val="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board</w:t>
      </w:r>
      <w:r>
        <w:rPr>
          <w:b/>
          <w:color w:val="383638"/>
          <w:spacing w:val="7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of</w:t>
      </w:r>
      <w:r>
        <w:rPr>
          <w:b/>
          <w:color w:val="383638"/>
          <w:spacing w:val="3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directors</w:t>
      </w:r>
      <w:r>
        <w:rPr>
          <w:b/>
          <w:color w:val="383638"/>
          <w:spacing w:val="1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within</w:t>
      </w:r>
      <w:r>
        <w:rPr>
          <w:b/>
          <w:color w:val="383638"/>
          <w:spacing w:val="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one</w:t>
      </w:r>
      <w:r>
        <w:rPr>
          <w:b/>
          <w:color w:val="383638"/>
          <w:spacing w:val="12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week</w:t>
      </w:r>
      <w:r>
        <w:rPr>
          <w:b/>
          <w:color w:val="383638"/>
          <w:spacing w:val="12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of</w:t>
      </w:r>
      <w:r>
        <w:rPr>
          <w:b/>
          <w:color w:val="383638"/>
          <w:spacing w:val="-5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incorporation.</w:t>
      </w:r>
    </w:p>
    <w:p>
      <w:pPr>
        <w:pStyle w:val="BodyText"/>
        <w:spacing w:line="232" w:lineRule="auto" w:before="131"/>
        <w:ind w:left="144" w:right="287" w:firstLine="340"/>
        <w:jc w:val="both"/>
        <w:rPr>
          <w:i/>
          <w:sz w:val="24"/>
        </w:rPr>
      </w:pPr>
      <w:r>
        <w:rPr>
          <w:rFonts w:ascii="Arial" w:hAnsi="Arial"/>
          <w:i/>
          <w:color w:val="383638"/>
          <w:w w:val="115"/>
          <w:sz w:val="20"/>
        </w:rPr>
        <w:t>Note: </w:t>
      </w:r>
      <w:r>
        <w:rPr>
          <w:color w:val="383638"/>
          <w:w w:val="115"/>
        </w:rPr>
        <w:t>The </w:t>
      </w:r>
      <w:r>
        <w:rPr>
          <w:i/>
          <w:color w:val="383638"/>
          <w:w w:val="115"/>
          <w:sz w:val="22"/>
        </w:rPr>
        <w:t>it's/its </w:t>
      </w:r>
      <w:r>
        <w:rPr>
          <w:color w:val="383638"/>
          <w:w w:val="115"/>
        </w:rPr>
        <w:t>rule may be easier to remember if you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5"/>
        </w:rPr>
        <w:t>don't apply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logic. Just remember that someone made the arbitrary rule that the posses­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sive of </w:t>
      </w:r>
      <w:r>
        <w:rPr>
          <w:i/>
          <w:color w:val="383638"/>
          <w:w w:val="110"/>
          <w:sz w:val="22"/>
        </w:rPr>
        <w:t>it </w:t>
      </w:r>
      <w:r>
        <w:rPr>
          <w:color w:val="383638"/>
          <w:w w:val="110"/>
        </w:rPr>
        <w:t>does not  take an apostrophe. Perhaps an easier rule to remember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5"/>
        </w:rPr>
        <w:t>Is that the only </w:t>
      </w:r>
      <w:r>
        <w:rPr>
          <w:color w:val="383638"/>
          <w:w w:val="115"/>
        </w:rPr>
        <w:t>time </w:t>
      </w:r>
      <w:r>
        <w:rPr>
          <w:i/>
          <w:color w:val="383638"/>
          <w:w w:val="115"/>
          <w:sz w:val="22"/>
        </w:rPr>
        <w:t>it </w:t>
      </w:r>
      <w:r>
        <w:rPr>
          <w:color w:val="383638"/>
          <w:w w:val="115"/>
        </w:rPr>
        <w:t>does take an apostrophe is when the word is used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as a contraction. Because contractions are rare in formal </w:t>
      </w:r>
      <w:r>
        <w:rPr>
          <w:color w:val="282626"/>
          <w:w w:val="110"/>
        </w:rPr>
        <w:t>legal </w:t>
      </w:r>
      <w:r>
        <w:rPr>
          <w:color w:val="383638"/>
          <w:w w:val="110"/>
        </w:rPr>
        <w:t>writing, you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should</w:t>
      </w:r>
      <w:r>
        <w:rPr>
          <w:color w:val="383638"/>
          <w:spacing w:val="-7"/>
          <w:w w:val="115"/>
        </w:rPr>
        <w:t> </w:t>
      </w:r>
      <w:r>
        <w:rPr>
          <w:color w:val="383638"/>
          <w:w w:val="115"/>
        </w:rPr>
        <w:t>avoid</w:t>
      </w:r>
      <w:r>
        <w:rPr>
          <w:color w:val="383638"/>
          <w:spacing w:val="12"/>
          <w:w w:val="115"/>
        </w:rPr>
        <w:t> </w:t>
      </w:r>
      <w:r>
        <w:rPr>
          <w:color w:val="383638"/>
          <w:w w:val="115"/>
        </w:rPr>
        <w:t>using</w:t>
      </w:r>
      <w:r>
        <w:rPr>
          <w:color w:val="383638"/>
          <w:spacing w:val="-18"/>
          <w:w w:val="115"/>
        </w:rPr>
        <w:t> </w:t>
      </w:r>
      <w:r>
        <w:rPr>
          <w:i/>
          <w:color w:val="383638"/>
          <w:w w:val="115"/>
          <w:sz w:val="24"/>
        </w:rPr>
        <w:t>it's.</w:t>
      </w:r>
    </w:p>
    <w:p>
      <w:pPr>
        <w:pStyle w:val="BodyText"/>
        <w:spacing w:line="234" w:lineRule="exact"/>
        <w:ind w:left="486"/>
        <w:jc w:val="both"/>
      </w:pPr>
      <w:r>
        <w:rPr>
          <w:color w:val="383638"/>
          <w:w w:val="110"/>
        </w:rPr>
        <w:t>To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find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and</w:t>
      </w:r>
      <w:r>
        <w:rPr>
          <w:color w:val="383638"/>
          <w:spacing w:val="39"/>
          <w:w w:val="110"/>
        </w:rPr>
        <w:t> </w:t>
      </w:r>
      <w:r>
        <w:rPr>
          <w:color w:val="383638"/>
          <w:w w:val="110"/>
        </w:rPr>
        <w:t>correct</w:t>
      </w:r>
      <w:r>
        <w:rPr>
          <w:color w:val="383638"/>
          <w:spacing w:val="23"/>
          <w:w w:val="110"/>
        </w:rPr>
        <w:t> </w:t>
      </w:r>
      <w:r>
        <w:rPr>
          <w:i/>
          <w:color w:val="383638"/>
          <w:w w:val="110"/>
          <w:sz w:val="24"/>
        </w:rPr>
        <w:t>it's/its</w:t>
      </w:r>
      <w:r>
        <w:rPr>
          <w:i/>
          <w:color w:val="383638"/>
          <w:spacing w:val="16"/>
          <w:w w:val="110"/>
          <w:sz w:val="24"/>
        </w:rPr>
        <w:t> </w:t>
      </w:r>
      <w:r>
        <w:rPr>
          <w:color w:val="383638"/>
          <w:w w:val="110"/>
        </w:rPr>
        <w:t>problems,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use</w:t>
      </w:r>
      <w:r>
        <w:rPr>
          <w:color w:val="383638"/>
          <w:spacing w:val="12"/>
          <w:w w:val="110"/>
        </w:rPr>
        <w:t> </w:t>
      </w:r>
      <w:r>
        <w:rPr>
          <w:color w:val="383638"/>
          <w:w w:val="110"/>
        </w:rPr>
        <w:t>your</w:t>
      </w:r>
      <w:r>
        <w:rPr>
          <w:color w:val="383638"/>
          <w:spacing w:val="-2"/>
          <w:w w:val="110"/>
        </w:rPr>
        <w:t> </w:t>
      </w:r>
      <w:r>
        <w:rPr>
          <w:color w:val="383638"/>
          <w:w w:val="110"/>
        </w:rPr>
        <w:t>Search</w:t>
      </w:r>
      <w:r>
        <w:rPr>
          <w:color w:val="383638"/>
          <w:spacing w:val="17"/>
          <w:w w:val="110"/>
        </w:rPr>
        <w:t> </w:t>
      </w:r>
      <w:r>
        <w:rPr>
          <w:color w:val="383638"/>
          <w:w w:val="110"/>
        </w:rPr>
        <w:t>feature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to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search</w:t>
      </w:r>
    </w:p>
    <w:p>
      <w:pPr>
        <w:pStyle w:val="BodyText"/>
        <w:spacing w:line="235" w:lineRule="auto"/>
        <w:ind w:left="147" w:right="257" w:firstLine="15"/>
        <w:jc w:val="both"/>
      </w:pPr>
      <w:r>
        <w:rPr>
          <w:color w:val="383638"/>
          <w:w w:val="110"/>
        </w:rPr>
        <w:t>the word </w:t>
      </w:r>
      <w:r>
        <w:rPr>
          <w:i/>
          <w:color w:val="383638"/>
          <w:w w:val="110"/>
          <w:sz w:val="22"/>
        </w:rPr>
        <w:t>it's </w:t>
      </w:r>
      <w:r>
        <w:rPr>
          <w:color w:val="383638"/>
          <w:w w:val="110"/>
        </w:rPr>
        <w:t>and then </w:t>
      </w:r>
      <w:r>
        <w:rPr>
          <w:i/>
          <w:color w:val="383638"/>
          <w:w w:val="110"/>
          <w:sz w:val="24"/>
        </w:rPr>
        <w:t>its </w:t>
      </w:r>
      <w:r>
        <w:rPr>
          <w:color w:val="383638"/>
          <w:w w:val="110"/>
        </w:rPr>
        <w:t>and  check them both against this handy </w:t>
      </w:r>
      <w:r>
        <w:rPr>
          <w:color w:val="282626"/>
          <w:w w:val="110"/>
        </w:rPr>
        <w:t>refer­</w:t>
      </w:r>
      <w:r>
        <w:rPr>
          <w:color w:val="282626"/>
          <w:spacing w:val="1"/>
          <w:w w:val="110"/>
        </w:rPr>
        <w:t> </w:t>
      </w:r>
      <w:r>
        <w:rPr>
          <w:color w:val="383638"/>
          <w:w w:val="110"/>
        </w:rPr>
        <w:t>ence</w:t>
      </w:r>
      <w:r>
        <w:rPr>
          <w:color w:val="383638"/>
          <w:spacing w:val="-6"/>
          <w:w w:val="110"/>
        </w:rPr>
        <w:t> </w:t>
      </w:r>
      <w:r>
        <w:rPr>
          <w:color w:val="383638"/>
          <w:w w:val="110"/>
        </w:rPr>
        <w:t>(or</w:t>
      </w:r>
      <w:r>
        <w:rPr>
          <w:color w:val="383638"/>
          <w:spacing w:val="-4"/>
          <w:w w:val="110"/>
        </w:rPr>
        <w:t> </w:t>
      </w:r>
      <w:r>
        <w:rPr>
          <w:color w:val="383638"/>
          <w:w w:val="110"/>
        </w:rPr>
        <w:t>any</w:t>
      </w:r>
      <w:r>
        <w:rPr>
          <w:color w:val="383638"/>
          <w:spacing w:val="25"/>
          <w:w w:val="110"/>
        </w:rPr>
        <w:t> </w:t>
      </w:r>
      <w:r>
        <w:rPr>
          <w:color w:val="383638"/>
          <w:w w:val="110"/>
        </w:rPr>
        <w:t>grammar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reference).</w:t>
      </w:r>
    </w:p>
    <w:p>
      <w:pPr>
        <w:spacing w:after="0" w:line="235" w:lineRule="auto"/>
        <w:jc w:val="both"/>
        <w:sectPr>
          <w:pgSz w:w="9660" w:h="14010"/>
          <w:pgMar w:header="552" w:footer="0" w:top="780" w:bottom="280" w:left="240" w:right="1340"/>
        </w:sectPr>
      </w:pPr>
    </w:p>
    <w:p>
      <w:pPr>
        <w:spacing w:line="55" w:lineRule="exact" w:before="0"/>
        <w:ind w:left="120" w:right="0" w:firstLine="0"/>
        <w:jc w:val="left"/>
        <w:rPr>
          <w:sz w:val="13"/>
        </w:rPr>
      </w:pPr>
      <w:r>
        <w:rPr>
          <w:color w:val="A8AAAC"/>
          <w:w w:val="102"/>
          <w:sz w:val="13"/>
        </w:rPr>
        <w:t>I</w:t>
      </w:r>
    </w:p>
    <w:p>
      <w:pPr>
        <w:spacing w:line="172" w:lineRule="exact" w:before="0"/>
        <w:ind w:left="119" w:right="0" w:firstLine="0"/>
        <w:jc w:val="left"/>
        <w:rPr>
          <w:sz w:val="16"/>
        </w:rPr>
      </w:pPr>
      <w:r>
        <w:rPr>
          <w:color w:val="BDBFC1"/>
          <w:w w:val="83"/>
          <w:sz w:val="16"/>
        </w:rPr>
        <w:t>I</w:t>
      </w:r>
    </w:p>
    <w:p>
      <w:pPr>
        <w:pStyle w:val="BodyText"/>
        <w:spacing w:before="6"/>
        <w:rPr>
          <w:sz w:val="14"/>
        </w:rPr>
      </w:pPr>
    </w:p>
    <w:p>
      <w:pPr>
        <w:tabs>
          <w:tab w:pos="2051" w:val="left" w:leader="none"/>
        </w:tabs>
        <w:spacing w:before="93"/>
        <w:ind w:left="1306" w:right="0" w:firstLine="0"/>
        <w:jc w:val="left"/>
        <w:rPr>
          <w:rFonts w:ascii="Arial"/>
          <w:sz w:val="17"/>
        </w:rPr>
      </w:pPr>
      <w:r>
        <w:rPr>
          <w:b/>
          <w:color w:val="383638"/>
          <w:w w:val="105"/>
          <w:sz w:val="19"/>
        </w:rPr>
        <w:t>338</w:t>
        <w:tab/>
      </w:r>
      <w:r>
        <w:rPr>
          <w:rFonts w:ascii="Arial"/>
          <w:color w:val="383638"/>
          <w:w w:val="105"/>
          <w:sz w:val="17"/>
        </w:rPr>
        <w:t>Appendix</w:t>
      </w:r>
      <w:r>
        <w:rPr>
          <w:rFonts w:ascii="Arial"/>
          <w:color w:val="383638"/>
          <w:spacing w:val="7"/>
          <w:w w:val="105"/>
          <w:sz w:val="17"/>
        </w:rPr>
        <w:t> </w:t>
      </w:r>
      <w:r>
        <w:rPr>
          <w:rFonts w:ascii="Arial"/>
          <w:color w:val="383638"/>
          <w:w w:val="105"/>
          <w:sz w:val="17"/>
        </w:rPr>
        <w:t>A </w:t>
      </w:r>
      <w:r>
        <w:rPr>
          <w:rFonts w:ascii="Arial"/>
          <w:color w:val="383638"/>
          <w:spacing w:val="50"/>
          <w:w w:val="105"/>
          <w:sz w:val="17"/>
        </w:rPr>
        <w:t> </w:t>
      </w:r>
      <w:r>
        <w:rPr>
          <w:rFonts w:ascii="Arial"/>
          <w:color w:val="383638"/>
          <w:w w:val="105"/>
          <w:sz w:val="17"/>
        </w:rPr>
        <w:t>For</w:t>
      </w:r>
      <w:r>
        <w:rPr>
          <w:rFonts w:ascii="Arial"/>
          <w:color w:val="383638"/>
          <w:spacing w:val="-15"/>
          <w:w w:val="105"/>
          <w:sz w:val="17"/>
        </w:rPr>
        <w:t> </w:t>
      </w:r>
      <w:r>
        <w:rPr>
          <w:rFonts w:ascii="Arial"/>
          <w:color w:val="383638"/>
          <w:w w:val="105"/>
          <w:sz w:val="17"/>
        </w:rPr>
        <w:t>Reference:</w:t>
      </w:r>
      <w:r>
        <w:rPr>
          <w:rFonts w:ascii="Arial"/>
          <w:color w:val="383638"/>
          <w:spacing w:val="-7"/>
          <w:w w:val="105"/>
          <w:sz w:val="17"/>
        </w:rPr>
        <w:t> </w:t>
      </w:r>
      <w:r>
        <w:rPr>
          <w:rFonts w:ascii="Arial"/>
          <w:color w:val="383638"/>
          <w:w w:val="105"/>
          <w:sz w:val="17"/>
        </w:rPr>
        <w:t>Citation</w:t>
      </w:r>
      <w:r>
        <w:rPr>
          <w:rFonts w:ascii="Arial"/>
          <w:color w:val="383638"/>
          <w:spacing w:val="-15"/>
          <w:w w:val="105"/>
          <w:sz w:val="17"/>
        </w:rPr>
        <w:t> </w:t>
      </w:r>
      <w:r>
        <w:rPr>
          <w:rFonts w:ascii="Arial"/>
          <w:color w:val="383638"/>
          <w:w w:val="105"/>
          <w:sz w:val="17"/>
        </w:rPr>
        <w:t>Form</w:t>
      </w:r>
      <w:r>
        <w:rPr>
          <w:rFonts w:ascii="Arial"/>
          <w:color w:val="383638"/>
          <w:spacing w:val="-18"/>
          <w:w w:val="105"/>
          <w:sz w:val="17"/>
        </w:rPr>
        <w:t> </w:t>
      </w:r>
      <w:r>
        <w:rPr>
          <w:rFonts w:ascii="Arial"/>
          <w:color w:val="383638"/>
          <w:w w:val="105"/>
          <w:sz w:val="17"/>
        </w:rPr>
        <w:t>and</w:t>
      </w:r>
      <w:r>
        <w:rPr>
          <w:rFonts w:ascii="Arial"/>
          <w:color w:val="383638"/>
          <w:spacing w:val="-5"/>
          <w:w w:val="105"/>
          <w:sz w:val="17"/>
        </w:rPr>
        <w:t> </w:t>
      </w:r>
      <w:r>
        <w:rPr>
          <w:rFonts w:ascii="Arial"/>
          <w:color w:val="383638"/>
          <w:w w:val="105"/>
          <w:sz w:val="17"/>
        </w:rPr>
        <w:t>Punctuation</w:t>
      </w:r>
      <w:r>
        <w:rPr>
          <w:rFonts w:ascii="Arial"/>
          <w:color w:val="383638"/>
          <w:spacing w:val="-7"/>
          <w:w w:val="105"/>
          <w:sz w:val="17"/>
        </w:rPr>
        <w:t> </w:t>
      </w:r>
      <w:r>
        <w:rPr>
          <w:rFonts w:ascii="Arial"/>
          <w:color w:val="383638"/>
          <w:w w:val="105"/>
          <w:sz w:val="17"/>
        </w:rPr>
        <w:t>Information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0"/>
        </w:rPr>
      </w:pPr>
    </w:p>
    <w:p>
      <w:pPr>
        <w:spacing w:before="1"/>
        <w:ind w:left="2425" w:right="0" w:firstLine="0"/>
        <w:jc w:val="left"/>
        <w:rPr>
          <w:b/>
          <w:sz w:val="21"/>
        </w:rPr>
      </w:pPr>
      <w:r>
        <w:rPr>
          <w:b/>
          <w:color w:val="383638"/>
          <w:sz w:val="21"/>
        </w:rPr>
        <w:t>Your,</w:t>
      </w:r>
      <w:r>
        <w:rPr>
          <w:b/>
          <w:color w:val="383638"/>
          <w:spacing w:val="1"/>
          <w:sz w:val="21"/>
        </w:rPr>
        <w:t> </w:t>
      </w:r>
      <w:r>
        <w:rPr>
          <w:b/>
          <w:color w:val="383638"/>
          <w:sz w:val="21"/>
        </w:rPr>
        <w:t>Yours</w:t>
      </w:r>
      <w:r>
        <w:rPr>
          <w:b/>
          <w:color w:val="525252"/>
          <w:sz w:val="21"/>
        </w:rPr>
        <w:t>,</w:t>
      </w:r>
      <w:r>
        <w:rPr>
          <w:b/>
          <w:color w:val="525252"/>
          <w:spacing w:val="11"/>
          <w:sz w:val="21"/>
        </w:rPr>
        <w:t> </w:t>
      </w:r>
      <w:r>
        <w:rPr>
          <w:b/>
          <w:i/>
          <w:color w:val="383638"/>
          <w:sz w:val="22"/>
        </w:rPr>
        <w:t>and</w:t>
      </w:r>
      <w:r>
        <w:rPr>
          <w:b/>
          <w:i/>
          <w:color w:val="383638"/>
          <w:spacing w:val="38"/>
          <w:sz w:val="22"/>
        </w:rPr>
        <w:t> </w:t>
      </w:r>
      <w:r>
        <w:rPr>
          <w:b/>
          <w:color w:val="383638"/>
          <w:sz w:val="21"/>
        </w:rPr>
        <w:t>You're</w:t>
      </w:r>
    </w:p>
    <w:p>
      <w:pPr>
        <w:spacing w:line="225" w:lineRule="auto" w:before="136"/>
        <w:ind w:left="2049" w:right="0" w:firstLine="376"/>
        <w:jc w:val="left"/>
        <w:rPr>
          <w:sz w:val="24"/>
        </w:rPr>
      </w:pPr>
      <w:r>
        <w:rPr>
          <w:color w:val="383638"/>
          <w:sz w:val="24"/>
        </w:rPr>
        <w:t>A</w:t>
      </w:r>
      <w:r>
        <w:rPr>
          <w:color w:val="383638"/>
          <w:spacing w:val="6"/>
          <w:sz w:val="24"/>
        </w:rPr>
        <w:t> </w:t>
      </w:r>
      <w:r>
        <w:rPr>
          <w:i/>
          <w:color w:val="383638"/>
          <w:sz w:val="24"/>
        </w:rPr>
        <w:t>your/yours</w:t>
      </w:r>
      <w:r>
        <w:rPr>
          <w:i/>
          <w:color w:val="383638"/>
          <w:spacing w:val="17"/>
          <w:sz w:val="24"/>
        </w:rPr>
        <w:t> </w:t>
      </w:r>
      <w:r>
        <w:rPr>
          <w:color w:val="383638"/>
          <w:sz w:val="24"/>
        </w:rPr>
        <w:t>mistake</w:t>
      </w:r>
      <w:r>
        <w:rPr>
          <w:color w:val="383638"/>
          <w:spacing w:val="-4"/>
          <w:sz w:val="24"/>
        </w:rPr>
        <w:t> </w:t>
      </w:r>
      <w:r>
        <w:rPr>
          <w:color w:val="383638"/>
          <w:sz w:val="24"/>
        </w:rPr>
        <w:t>is</w:t>
      </w:r>
      <w:r>
        <w:rPr>
          <w:color w:val="383638"/>
          <w:spacing w:val="-3"/>
          <w:sz w:val="24"/>
        </w:rPr>
        <w:t> </w:t>
      </w:r>
      <w:r>
        <w:rPr>
          <w:color w:val="383638"/>
          <w:sz w:val="24"/>
        </w:rPr>
        <w:t>particularly</w:t>
      </w:r>
      <w:r>
        <w:rPr>
          <w:color w:val="383638"/>
          <w:spacing w:val="5"/>
          <w:sz w:val="24"/>
        </w:rPr>
        <w:t> </w:t>
      </w:r>
      <w:r>
        <w:rPr>
          <w:color w:val="383638"/>
          <w:sz w:val="24"/>
        </w:rPr>
        <w:t>grating</w:t>
      </w:r>
      <w:r>
        <w:rPr>
          <w:color w:val="383638"/>
          <w:spacing w:val="-2"/>
          <w:sz w:val="24"/>
        </w:rPr>
        <w:t> </w:t>
      </w:r>
      <w:r>
        <w:rPr>
          <w:color w:val="383638"/>
          <w:sz w:val="24"/>
        </w:rPr>
        <w:t>to</w:t>
      </w:r>
      <w:r>
        <w:rPr>
          <w:color w:val="383638"/>
          <w:spacing w:val="18"/>
          <w:sz w:val="24"/>
        </w:rPr>
        <w:t> </w:t>
      </w:r>
      <w:r>
        <w:rPr>
          <w:color w:val="383638"/>
          <w:sz w:val="24"/>
        </w:rPr>
        <w:t>fussy</w:t>
      </w:r>
      <w:r>
        <w:rPr>
          <w:color w:val="383638"/>
          <w:spacing w:val="-12"/>
          <w:sz w:val="24"/>
        </w:rPr>
        <w:t> </w:t>
      </w:r>
      <w:r>
        <w:rPr>
          <w:color w:val="383638"/>
          <w:sz w:val="24"/>
        </w:rPr>
        <w:t>readers.</w:t>
      </w:r>
      <w:r>
        <w:rPr>
          <w:color w:val="383638"/>
          <w:spacing w:val="9"/>
          <w:sz w:val="24"/>
        </w:rPr>
        <w:t> </w:t>
      </w:r>
      <w:r>
        <w:rPr>
          <w:color w:val="383638"/>
          <w:sz w:val="24"/>
        </w:rPr>
        <w:t>Use</w:t>
      </w:r>
      <w:r>
        <w:rPr>
          <w:color w:val="383638"/>
          <w:spacing w:val="5"/>
          <w:sz w:val="24"/>
        </w:rPr>
        <w:t> </w:t>
      </w:r>
      <w:r>
        <w:rPr>
          <w:i/>
          <w:color w:val="383638"/>
          <w:sz w:val="24"/>
        </w:rPr>
        <w:t>your</w:t>
      </w:r>
      <w:r>
        <w:rPr>
          <w:i/>
          <w:color w:val="383638"/>
          <w:spacing w:val="-19"/>
          <w:sz w:val="24"/>
        </w:rPr>
        <w:t> </w:t>
      </w:r>
      <w:r>
        <w:rPr>
          <w:color w:val="383638"/>
          <w:sz w:val="24"/>
        </w:rPr>
        <w:t>to</w:t>
      </w:r>
      <w:r>
        <w:rPr>
          <w:color w:val="383638"/>
          <w:spacing w:val="-57"/>
          <w:sz w:val="24"/>
        </w:rPr>
        <w:t> </w:t>
      </w:r>
      <w:r>
        <w:rPr>
          <w:color w:val="383638"/>
          <w:w w:val="105"/>
          <w:sz w:val="24"/>
        </w:rPr>
        <w:t>modify</w:t>
      </w:r>
      <w:r>
        <w:rPr>
          <w:color w:val="383638"/>
          <w:spacing w:val="-3"/>
          <w:w w:val="105"/>
          <w:sz w:val="24"/>
        </w:rPr>
        <w:t> </w:t>
      </w:r>
      <w:r>
        <w:rPr>
          <w:color w:val="383638"/>
          <w:w w:val="105"/>
          <w:sz w:val="24"/>
        </w:rPr>
        <w:t>a</w:t>
      </w:r>
      <w:r>
        <w:rPr>
          <w:color w:val="383638"/>
          <w:spacing w:val="5"/>
          <w:w w:val="105"/>
          <w:sz w:val="24"/>
        </w:rPr>
        <w:t> </w:t>
      </w:r>
      <w:r>
        <w:rPr>
          <w:color w:val="383638"/>
          <w:w w:val="105"/>
          <w:sz w:val="24"/>
        </w:rPr>
        <w:t>noun</w:t>
      </w:r>
      <w:r>
        <w:rPr>
          <w:color w:val="383638"/>
          <w:spacing w:val="12"/>
          <w:w w:val="105"/>
          <w:sz w:val="24"/>
        </w:rPr>
        <w:t> </w:t>
      </w:r>
      <w:r>
        <w:rPr>
          <w:color w:val="383638"/>
          <w:w w:val="105"/>
          <w:sz w:val="24"/>
        </w:rPr>
        <w:t>belonging</w:t>
      </w:r>
      <w:r>
        <w:rPr>
          <w:color w:val="383638"/>
          <w:spacing w:val="3"/>
          <w:w w:val="105"/>
          <w:sz w:val="24"/>
        </w:rPr>
        <w:t> </w:t>
      </w:r>
      <w:r>
        <w:rPr>
          <w:color w:val="383638"/>
          <w:w w:val="105"/>
          <w:sz w:val="24"/>
        </w:rPr>
        <w:t>to</w:t>
      </w:r>
      <w:r>
        <w:rPr>
          <w:color w:val="383638"/>
          <w:spacing w:val="9"/>
          <w:w w:val="105"/>
          <w:sz w:val="24"/>
        </w:rPr>
        <w:t> </w:t>
      </w:r>
      <w:r>
        <w:rPr>
          <w:color w:val="383638"/>
          <w:w w:val="105"/>
          <w:sz w:val="24"/>
        </w:rPr>
        <w:t>you.</w:t>
      </w:r>
    </w:p>
    <w:p>
      <w:pPr>
        <w:pStyle w:val="BodyText"/>
        <w:spacing w:before="10"/>
        <w:rPr>
          <w:sz w:val="9"/>
        </w:rPr>
      </w:pPr>
    </w:p>
    <w:p>
      <w:pPr>
        <w:spacing w:before="93"/>
        <w:ind w:left="2025" w:right="0" w:firstLine="0"/>
        <w:jc w:val="left"/>
        <w:rPr>
          <w:b/>
          <w:sz w:val="16"/>
        </w:rPr>
      </w:pPr>
      <w:r>
        <w:rPr>
          <w:rFonts w:ascii="Arial"/>
          <w:i/>
          <w:color w:val="383638"/>
          <w:sz w:val="15"/>
          <w:u w:val="thick" w:color="383638"/>
        </w:rPr>
        <w:t>-/:',.,</w:t>
      </w:r>
      <w:r>
        <w:rPr>
          <w:rFonts w:ascii="Arial"/>
          <w:i/>
          <w:color w:val="383638"/>
          <w:spacing w:val="10"/>
          <w:sz w:val="15"/>
          <w:u w:val="thick" w:color="383638"/>
        </w:rPr>
        <w:t> </w:t>
      </w:r>
      <w:r>
        <w:rPr>
          <w:rFonts w:ascii="Arial"/>
          <w:color w:val="383638"/>
          <w:sz w:val="15"/>
          <w:u w:val="thick" w:color="383638"/>
        </w:rPr>
        <w:t>GOOD</w:t>
      </w:r>
      <w:r>
        <w:rPr>
          <w:rFonts w:ascii="Arial"/>
          <w:color w:val="383638"/>
          <w:spacing w:val="-8"/>
          <w:sz w:val="15"/>
          <w:u w:val="thick" w:color="383638"/>
        </w:rPr>
        <w:t> </w:t>
      </w:r>
      <w:r>
        <w:rPr>
          <w:b/>
          <w:color w:val="383638"/>
          <w:sz w:val="16"/>
          <w:u w:val="thick" w:color="383638"/>
        </w:rPr>
        <w:t>EXAMPLE</w:t>
      </w:r>
    </w:p>
    <w:p>
      <w:pPr>
        <w:spacing w:before="78"/>
        <w:ind w:left="2410" w:right="0" w:firstLine="0"/>
        <w:jc w:val="left"/>
        <w:rPr>
          <w:b/>
          <w:sz w:val="21"/>
        </w:rPr>
      </w:pPr>
      <w:r>
        <w:rPr>
          <w:b/>
          <w:color w:val="383638"/>
          <w:w w:val="110"/>
          <w:sz w:val="21"/>
        </w:rPr>
        <w:t>This</w:t>
      </w:r>
      <w:r>
        <w:rPr>
          <w:b/>
          <w:color w:val="383638"/>
          <w:spacing w:val="-10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animal</w:t>
      </w:r>
      <w:r>
        <w:rPr>
          <w:b/>
          <w:color w:val="383638"/>
          <w:spacing w:val="2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is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your</w:t>
      </w:r>
      <w:r>
        <w:rPr>
          <w:b/>
          <w:color w:val="383638"/>
          <w:spacing w:val="-27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dog.</w:t>
      </w:r>
    </w:p>
    <w:p>
      <w:pPr>
        <w:spacing w:line="218" w:lineRule="auto" w:before="145"/>
        <w:ind w:left="2039" w:right="117" w:firstLine="376"/>
        <w:jc w:val="both"/>
        <w:rPr>
          <w:sz w:val="24"/>
        </w:rPr>
      </w:pPr>
      <w:r>
        <w:rPr>
          <w:color w:val="383638"/>
          <w:w w:val="105"/>
          <w:sz w:val="24"/>
        </w:rPr>
        <w:t>Use </w:t>
      </w:r>
      <w:r>
        <w:rPr>
          <w:i/>
          <w:color w:val="383638"/>
          <w:w w:val="105"/>
          <w:sz w:val="24"/>
        </w:rPr>
        <w:t>yours </w:t>
      </w:r>
      <w:r>
        <w:rPr>
          <w:color w:val="383638"/>
          <w:w w:val="105"/>
          <w:sz w:val="24"/>
        </w:rPr>
        <w:t>to stand alone as </w:t>
      </w:r>
      <w:r>
        <w:rPr>
          <w:rFonts w:ascii="Arial" w:hAnsi="Arial"/>
          <w:b/>
          <w:color w:val="383638"/>
          <w:w w:val="105"/>
          <w:sz w:val="19"/>
        </w:rPr>
        <w:t>a </w:t>
      </w:r>
      <w:r>
        <w:rPr>
          <w:color w:val="383638"/>
          <w:w w:val="105"/>
          <w:sz w:val="24"/>
        </w:rPr>
        <w:t>possessive pronoun when the noun pos­</w:t>
      </w:r>
      <w:r>
        <w:rPr>
          <w:color w:val="383638"/>
          <w:spacing w:val="1"/>
          <w:w w:val="105"/>
          <w:sz w:val="24"/>
        </w:rPr>
        <w:t> </w:t>
      </w:r>
      <w:r>
        <w:rPr>
          <w:color w:val="383638"/>
          <w:w w:val="105"/>
          <w:sz w:val="24"/>
        </w:rPr>
        <w:t>sessed</w:t>
      </w:r>
      <w:r>
        <w:rPr>
          <w:color w:val="383638"/>
          <w:spacing w:val="4"/>
          <w:w w:val="105"/>
          <w:sz w:val="24"/>
        </w:rPr>
        <w:t> </w:t>
      </w:r>
      <w:r>
        <w:rPr>
          <w:color w:val="383638"/>
          <w:w w:val="105"/>
          <w:sz w:val="24"/>
        </w:rPr>
        <w:t>is</w:t>
      </w:r>
      <w:r>
        <w:rPr>
          <w:color w:val="383638"/>
          <w:spacing w:val="2"/>
          <w:w w:val="105"/>
          <w:sz w:val="24"/>
        </w:rPr>
        <w:t> </w:t>
      </w:r>
      <w:r>
        <w:rPr>
          <w:color w:val="383638"/>
          <w:w w:val="105"/>
          <w:sz w:val="24"/>
        </w:rPr>
        <w:t>in</w:t>
      </w:r>
      <w:r>
        <w:rPr>
          <w:color w:val="383638"/>
          <w:spacing w:val="34"/>
          <w:w w:val="105"/>
          <w:sz w:val="24"/>
        </w:rPr>
        <w:t> </w:t>
      </w:r>
      <w:r>
        <w:rPr>
          <w:color w:val="383638"/>
          <w:w w:val="105"/>
          <w:sz w:val="24"/>
        </w:rPr>
        <w:t>another</w:t>
      </w:r>
      <w:r>
        <w:rPr>
          <w:color w:val="383638"/>
          <w:spacing w:val="-8"/>
          <w:w w:val="105"/>
          <w:sz w:val="24"/>
        </w:rPr>
        <w:t> </w:t>
      </w:r>
      <w:r>
        <w:rPr>
          <w:color w:val="383638"/>
          <w:w w:val="105"/>
          <w:sz w:val="24"/>
        </w:rPr>
        <w:t>part</w:t>
      </w:r>
      <w:r>
        <w:rPr>
          <w:color w:val="383638"/>
          <w:spacing w:val="-11"/>
          <w:w w:val="105"/>
          <w:sz w:val="24"/>
        </w:rPr>
        <w:t> </w:t>
      </w:r>
      <w:r>
        <w:rPr>
          <w:color w:val="383638"/>
          <w:w w:val="105"/>
          <w:sz w:val="24"/>
        </w:rPr>
        <w:t>of</w:t>
      </w:r>
      <w:r>
        <w:rPr>
          <w:color w:val="383638"/>
          <w:spacing w:val="6"/>
          <w:w w:val="105"/>
          <w:sz w:val="24"/>
        </w:rPr>
        <w:t> </w:t>
      </w:r>
      <w:r>
        <w:rPr>
          <w:color w:val="383638"/>
          <w:w w:val="105"/>
          <w:sz w:val="24"/>
        </w:rPr>
        <w:t>the</w:t>
      </w:r>
      <w:r>
        <w:rPr>
          <w:color w:val="383638"/>
          <w:spacing w:val="29"/>
          <w:w w:val="105"/>
          <w:sz w:val="24"/>
        </w:rPr>
        <w:t> </w:t>
      </w:r>
      <w:r>
        <w:rPr>
          <w:color w:val="383638"/>
          <w:w w:val="105"/>
          <w:sz w:val="24"/>
        </w:rPr>
        <w:t>sentence</w:t>
      </w:r>
      <w:r>
        <w:rPr>
          <w:color w:val="383638"/>
          <w:spacing w:val="-15"/>
          <w:w w:val="105"/>
          <w:sz w:val="24"/>
        </w:rPr>
        <w:t> </w:t>
      </w:r>
      <w:r>
        <w:rPr>
          <w:color w:val="383638"/>
          <w:w w:val="105"/>
          <w:sz w:val="24"/>
        </w:rPr>
        <w:t>or is</w:t>
      </w:r>
      <w:r>
        <w:rPr>
          <w:color w:val="383638"/>
          <w:spacing w:val="-15"/>
          <w:w w:val="105"/>
          <w:sz w:val="24"/>
        </w:rPr>
        <w:t> </w:t>
      </w:r>
      <w:r>
        <w:rPr>
          <w:color w:val="383638"/>
          <w:w w:val="105"/>
          <w:sz w:val="24"/>
        </w:rPr>
        <w:t>in</w:t>
      </w:r>
      <w:r>
        <w:rPr>
          <w:color w:val="383638"/>
          <w:spacing w:val="14"/>
          <w:w w:val="105"/>
          <w:sz w:val="24"/>
        </w:rPr>
        <w:t> </w:t>
      </w:r>
      <w:r>
        <w:rPr>
          <w:color w:val="383638"/>
          <w:w w:val="105"/>
          <w:sz w:val="24"/>
        </w:rPr>
        <w:t>a</w:t>
      </w:r>
      <w:r>
        <w:rPr>
          <w:color w:val="383638"/>
          <w:spacing w:val="15"/>
          <w:w w:val="105"/>
          <w:sz w:val="24"/>
        </w:rPr>
        <w:t> </w:t>
      </w:r>
      <w:r>
        <w:rPr>
          <w:color w:val="383638"/>
          <w:w w:val="105"/>
          <w:sz w:val="24"/>
        </w:rPr>
        <w:t>previous</w:t>
      </w:r>
      <w:r>
        <w:rPr>
          <w:color w:val="383638"/>
          <w:spacing w:val="-9"/>
          <w:w w:val="105"/>
          <w:sz w:val="24"/>
        </w:rPr>
        <w:t> </w:t>
      </w:r>
      <w:r>
        <w:rPr>
          <w:color w:val="383638"/>
          <w:w w:val="105"/>
          <w:sz w:val="24"/>
        </w:rPr>
        <w:t>sentence.</w:t>
      </w:r>
    </w:p>
    <w:p>
      <w:pPr>
        <w:spacing w:before="122"/>
        <w:ind w:left="2010" w:right="0" w:firstLine="0"/>
        <w:jc w:val="left"/>
        <w:rPr>
          <w:b/>
          <w:sz w:val="16"/>
        </w:rPr>
      </w:pPr>
      <w:r>
        <w:rPr>
          <w:rFonts w:ascii="Arial"/>
          <w:i/>
          <w:color w:val="525252"/>
          <w:sz w:val="26"/>
          <w:u w:val="thick" w:color="525252"/>
        </w:rPr>
        <w:t>-b,</w:t>
      </w:r>
      <w:r>
        <w:rPr>
          <w:rFonts w:ascii="Arial"/>
          <w:i/>
          <w:color w:val="525252"/>
          <w:spacing w:val="-10"/>
          <w:sz w:val="26"/>
        </w:rPr>
        <w:t> </w:t>
      </w:r>
      <w:r>
        <w:rPr>
          <w:rFonts w:ascii="Arial"/>
          <w:color w:val="383638"/>
          <w:sz w:val="15"/>
          <w:u w:val="thick" w:color="383638"/>
        </w:rPr>
        <w:t>GOOD</w:t>
      </w:r>
      <w:r>
        <w:rPr>
          <w:rFonts w:ascii="Arial"/>
          <w:color w:val="383638"/>
          <w:spacing w:val="-7"/>
          <w:sz w:val="15"/>
          <w:u w:val="thick" w:color="383638"/>
        </w:rPr>
        <w:t> </w:t>
      </w:r>
      <w:r>
        <w:rPr>
          <w:b/>
          <w:color w:val="383638"/>
          <w:sz w:val="16"/>
          <w:u w:val="thick" w:color="383638"/>
        </w:rPr>
        <w:t>EXAMPLE</w:t>
      </w:r>
    </w:p>
    <w:p>
      <w:pPr>
        <w:spacing w:before="57"/>
        <w:ind w:left="2400" w:right="0" w:firstLine="0"/>
        <w:jc w:val="left"/>
        <w:rPr>
          <w:b/>
          <w:sz w:val="21"/>
        </w:rPr>
      </w:pPr>
      <w:r>
        <w:rPr>
          <w:b/>
          <w:color w:val="383638"/>
          <w:w w:val="110"/>
          <w:sz w:val="21"/>
        </w:rPr>
        <w:t>This</w:t>
      </w:r>
      <w:r>
        <w:rPr>
          <w:b/>
          <w:color w:val="383638"/>
          <w:spacing w:val="-27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animal</w:t>
      </w:r>
      <w:r>
        <w:rPr>
          <w:b/>
          <w:color w:val="383638"/>
          <w:spacing w:val="1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is</w:t>
      </w:r>
      <w:r>
        <w:rPr>
          <w:b/>
          <w:color w:val="383638"/>
          <w:spacing w:val="-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yours.</w:t>
      </w:r>
    </w:p>
    <w:p>
      <w:pPr>
        <w:spacing w:before="116"/>
        <w:ind w:left="2405" w:right="0" w:firstLine="0"/>
        <w:jc w:val="left"/>
        <w:rPr>
          <w:sz w:val="24"/>
        </w:rPr>
      </w:pPr>
      <w:r>
        <w:rPr>
          <w:i/>
          <w:color w:val="383638"/>
          <w:sz w:val="24"/>
        </w:rPr>
        <w:t>Yours</w:t>
      </w:r>
      <w:r>
        <w:rPr>
          <w:i/>
          <w:color w:val="383638"/>
          <w:spacing w:val="24"/>
          <w:sz w:val="24"/>
        </w:rPr>
        <w:t> </w:t>
      </w:r>
      <w:r>
        <w:rPr>
          <w:color w:val="383638"/>
          <w:sz w:val="24"/>
        </w:rPr>
        <w:t>never</w:t>
      </w:r>
      <w:r>
        <w:rPr>
          <w:color w:val="383638"/>
          <w:spacing w:val="20"/>
          <w:sz w:val="24"/>
        </w:rPr>
        <w:t> </w:t>
      </w:r>
      <w:r>
        <w:rPr>
          <w:color w:val="383638"/>
          <w:sz w:val="24"/>
        </w:rPr>
        <w:t>takes</w:t>
      </w:r>
      <w:r>
        <w:rPr>
          <w:color w:val="383638"/>
          <w:spacing w:val="6"/>
          <w:sz w:val="24"/>
        </w:rPr>
        <w:t> </w:t>
      </w:r>
      <w:r>
        <w:rPr>
          <w:color w:val="383638"/>
          <w:sz w:val="24"/>
        </w:rPr>
        <w:t>an</w:t>
      </w:r>
      <w:r>
        <w:rPr>
          <w:color w:val="383638"/>
          <w:spacing w:val="46"/>
          <w:sz w:val="24"/>
        </w:rPr>
        <w:t> </w:t>
      </w:r>
      <w:r>
        <w:rPr>
          <w:color w:val="383638"/>
          <w:sz w:val="24"/>
        </w:rPr>
        <w:t>apostrophe.</w:t>
      </w:r>
    </w:p>
    <w:p>
      <w:pPr>
        <w:spacing w:before="128"/>
        <w:ind w:left="2396" w:right="0" w:firstLine="0"/>
        <w:jc w:val="left"/>
        <w:rPr>
          <w:sz w:val="24"/>
        </w:rPr>
      </w:pPr>
      <w:r>
        <w:rPr>
          <w:i/>
          <w:color w:val="383638"/>
          <w:w w:val="105"/>
          <w:sz w:val="24"/>
        </w:rPr>
        <w:t>You're</w:t>
      </w:r>
      <w:r>
        <w:rPr>
          <w:i/>
          <w:color w:val="383638"/>
          <w:spacing w:val="-8"/>
          <w:w w:val="105"/>
          <w:sz w:val="24"/>
        </w:rPr>
        <w:t> </w:t>
      </w:r>
      <w:r>
        <w:rPr>
          <w:color w:val="383638"/>
          <w:w w:val="105"/>
          <w:sz w:val="24"/>
        </w:rPr>
        <w:t>is a</w:t>
      </w:r>
      <w:r>
        <w:rPr>
          <w:color w:val="383638"/>
          <w:spacing w:val="26"/>
          <w:w w:val="105"/>
          <w:sz w:val="24"/>
        </w:rPr>
        <w:t> </w:t>
      </w:r>
      <w:r>
        <w:rPr>
          <w:color w:val="383638"/>
          <w:w w:val="105"/>
          <w:sz w:val="24"/>
        </w:rPr>
        <w:t>contraction</w:t>
      </w:r>
      <w:r>
        <w:rPr>
          <w:color w:val="383638"/>
          <w:spacing w:val="23"/>
          <w:w w:val="105"/>
          <w:sz w:val="24"/>
        </w:rPr>
        <w:t> </w:t>
      </w:r>
      <w:r>
        <w:rPr>
          <w:color w:val="383638"/>
          <w:w w:val="105"/>
          <w:sz w:val="24"/>
        </w:rPr>
        <w:t>meaning</w:t>
      </w:r>
      <w:r>
        <w:rPr>
          <w:color w:val="383638"/>
          <w:spacing w:val="-10"/>
          <w:w w:val="105"/>
          <w:sz w:val="24"/>
        </w:rPr>
        <w:t> </w:t>
      </w:r>
      <w:r>
        <w:rPr>
          <w:color w:val="383638"/>
          <w:w w:val="105"/>
          <w:sz w:val="24"/>
        </w:rPr>
        <w:t>"you</w:t>
      </w:r>
      <w:r>
        <w:rPr>
          <w:color w:val="383638"/>
          <w:spacing w:val="-13"/>
          <w:w w:val="105"/>
          <w:sz w:val="24"/>
        </w:rPr>
        <w:t> </w:t>
      </w:r>
      <w:r>
        <w:rPr>
          <w:color w:val="383638"/>
          <w:w w:val="105"/>
          <w:sz w:val="24"/>
        </w:rPr>
        <w:t>are</w:t>
      </w:r>
      <w:r>
        <w:rPr>
          <w:color w:val="525252"/>
          <w:w w:val="105"/>
          <w:sz w:val="24"/>
        </w:rPr>
        <w:t>.</w:t>
      </w:r>
      <w:r>
        <w:rPr>
          <w:color w:val="383638"/>
          <w:w w:val="105"/>
          <w:sz w:val="24"/>
        </w:rPr>
        <w:t>"</w:t>
      </w:r>
    </w:p>
    <w:p>
      <w:pPr>
        <w:spacing w:before="110"/>
        <w:ind w:left="1983" w:right="0" w:firstLine="0"/>
        <w:jc w:val="left"/>
        <w:rPr>
          <w:b/>
          <w:sz w:val="16"/>
        </w:rPr>
      </w:pPr>
      <w:r>
        <w:rPr>
          <w:color w:val="525252"/>
          <w:w w:val="95"/>
          <w:sz w:val="25"/>
          <w:u w:val="thick" w:color="525252"/>
        </w:rPr>
        <w:t>-b,</w:t>
      </w:r>
      <w:r>
        <w:rPr>
          <w:color w:val="525252"/>
          <w:w w:val="95"/>
          <w:sz w:val="25"/>
        </w:rPr>
        <w:t>.</w:t>
      </w:r>
      <w:r>
        <w:rPr>
          <w:color w:val="525252"/>
          <w:spacing w:val="-1"/>
          <w:w w:val="95"/>
          <w:sz w:val="25"/>
        </w:rPr>
        <w:t> </w:t>
      </w:r>
      <w:r>
        <w:rPr>
          <w:rFonts w:ascii="Arial"/>
          <w:color w:val="383638"/>
          <w:w w:val="95"/>
          <w:sz w:val="15"/>
          <w:u w:val="thick" w:color="383638"/>
        </w:rPr>
        <w:t>GOOD</w:t>
      </w:r>
      <w:r>
        <w:rPr>
          <w:rFonts w:ascii="Arial"/>
          <w:color w:val="383638"/>
          <w:spacing w:val="7"/>
          <w:w w:val="95"/>
          <w:sz w:val="15"/>
          <w:u w:val="thick" w:color="383638"/>
        </w:rPr>
        <w:t> </w:t>
      </w:r>
      <w:r>
        <w:rPr>
          <w:b/>
          <w:color w:val="383638"/>
          <w:w w:val="95"/>
          <w:sz w:val="16"/>
          <w:u w:val="thick" w:color="383638"/>
        </w:rPr>
        <w:t>EXAMPLE</w:t>
      </w:r>
    </w:p>
    <w:p>
      <w:pPr>
        <w:spacing w:before="68"/>
        <w:ind w:left="2377" w:right="0" w:firstLine="9"/>
        <w:jc w:val="left"/>
        <w:rPr>
          <w:b/>
          <w:sz w:val="21"/>
        </w:rPr>
      </w:pPr>
      <w:r>
        <w:rPr>
          <w:b/>
          <w:color w:val="383638"/>
          <w:w w:val="110"/>
          <w:sz w:val="21"/>
        </w:rPr>
        <w:t>You're</w:t>
      </w:r>
      <w:r>
        <w:rPr>
          <w:b/>
          <w:color w:val="383638"/>
          <w:spacing w:val="-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sure</w:t>
      </w:r>
      <w:r>
        <w:rPr>
          <w:b/>
          <w:color w:val="383638"/>
          <w:spacing w:val="-1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that</w:t>
      </w:r>
      <w:r>
        <w:rPr>
          <w:b/>
          <w:color w:val="383638"/>
          <w:spacing w:val="-7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this</w:t>
      </w:r>
      <w:r>
        <w:rPr>
          <w:b/>
          <w:color w:val="383638"/>
          <w:spacing w:val="-2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animal</w:t>
      </w:r>
      <w:r>
        <w:rPr>
          <w:b/>
          <w:color w:val="383638"/>
          <w:spacing w:val="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is</w:t>
      </w:r>
      <w:r>
        <w:rPr>
          <w:b/>
          <w:color w:val="383638"/>
          <w:spacing w:val="-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your</w:t>
      </w:r>
      <w:r>
        <w:rPr>
          <w:b/>
          <w:color w:val="383638"/>
          <w:spacing w:val="-1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dog?</w:t>
      </w:r>
      <w:r>
        <w:rPr>
          <w:b/>
          <w:color w:val="383638"/>
          <w:spacing w:val="-1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Well,</w:t>
      </w:r>
      <w:r>
        <w:rPr>
          <w:b/>
          <w:color w:val="383638"/>
          <w:spacing w:val="-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then,</w:t>
      </w:r>
      <w:r>
        <w:rPr>
          <w:b/>
          <w:color w:val="383638"/>
          <w:spacing w:val="-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 fleas</w:t>
      </w:r>
      <w:r>
        <w:rPr>
          <w:b/>
          <w:color w:val="383638"/>
          <w:spacing w:val="-1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are</w:t>
      </w:r>
      <w:r>
        <w:rPr>
          <w:b/>
          <w:color w:val="383638"/>
          <w:spacing w:val="-17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also</w:t>
      </w:r>
      <w:r>
        <w:rPr>
          <w:b/>
          <w:color w:val="383638"/>
          <w:spacing w:val="-5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yours.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124"/>
        </w:numPr>
        <w:tabs>
          <w:tab w:pos="2779" w:val="left" w:leader="none"/>
          <w:tab w:pos="2780" w:val="left" w:leader="none"/>
        </w:tabs>
        <w:spacing w:line="240" w:lineRule="auto" w:before="0" w:after="0"/>
        <w:ind w:left="2779" w:right="0" w:hanging="406"/>
        <w:jc w:val="left"/>
        <w:rPr>
          <w:b/>
          <w:color w:val="383638"/>
          <w:sz w:val="22"/>
        </w:rPr>
      </w:pPr>
      <w:r>
        <w:rPr>
          <w:b/>
          <w:color w:val="383638"/>
          <w:w w:val="110"/>
          <w:sz w:val="22"/>
        </w:rPr>
        <w:t>Rules</w:t>
      </w:r>
      <w:r>
        <w:rPr>
          <w:b/>
          <w:color w:val="383638"/>
          <w:spacing w:val="-11"/>
          <w:w w:val="110"/>
          <w:sz w:val="22"/>
        </w:rPr>
        <w:t> </w:t>
      </w:r>
      <w:r>
        <w:rPr>
          <w:b/>
          <w:color w:val="383638"/>
          <w:w w:val="110"/>
          <w:sz w:val="22"/>
        </w:rPr>
        <w:t>of</w:t>
      </w:r>
      <w:r>
        <w:rPr>
          <w:b/>
          <w:color w:val="383638"/>
          <w:spacing w:val="54"/>
          <w:w w:val="110"/>
          <w:sz w:val="22"/>
        </w:rPr>
        <w:t> </w:t>
      </w:r>
      <w:r>
        <w:rPr>
          <w:b/>
          <w:color w:val="383638"/>
          <w:w w:val="110"/>
          <w:sz w:val="22"/>
        </w:rPr>
        <w:t>Possessives</w:t>
      </w:r>
    </w:p>
    <w:p>
      <w:pPr>
        <w:spacing w:before="122"/>
        <w:ind w:left="2367" w:right="0" w:firstLine="0"/>
        <w:jc w:val="left"/>
        <w:rPr>
          <w:b/>
          <w:i/>
          <w:sz w:val="22"/>
        </w:rPr>
      </w:pPr>
      <w:r>
        <w:rPr>
          <w:b/>
          <w:i/>
          <w:color w:val="383638"/>
          <w:sz w:val="22"/>
        </w:rPr>
        <w:t>Making</w:t>
      </w:r>
      <w:r>
        <w:rPr>
          <w:b/>
          <w:i/>
          <w:color w:val="383638"/>
          <w:spacing w:val="-2"/>
          <w:sz w:val="22"/>
        </w:rPr>
        <w:t> </w:t>
      </w:r>
      <w:r>
        <w:rPr>
          <w:b/>
          <w:i/>
          <w:color w:val="383638"/>
          <w:sz w:val="22"/>
        </w:rPr>
        <w:t>a</w:t>
      </w:r>
      <w:r>
        <w:rPr>
          <w:b/>
          <w:i/>
          <w:color w:val="383638"/>
          <w:spacing w:val="22"/>
          <w:sz w:val="22"/>
        </w:rPr>
        <w:t> </w:t>
      </w:r>
      <w:r>
        <w:rPr>
          <w:b/>
          <w:i/>
          <w:color w:val="383638"/>
          <w:sz w:val="22"/>
        </w:rPr>
        <w:t>Singular</w:t>
      </w:r>
      <w:r>
        <w:rPr>
          <w:b/>
          <w:i/>
          <w:color w:val="383638"/>
          <w:spacing w:val="15"/>
          <w:sz w:val="22"/>
        </w:rPr>
        <w:t> </w:t>
      </w:r>
      <w:r>
        <w:rPr>
          <w:b/>
          <w:i/>
          <w:color w:val="383638"/>
          <w:sz w:val="22"/>
        </w:rPr>
        <w:t>Noun</w:t>
      </w:r>
      <w:r>
        <w:rPr>
          <w:b/>
          <w:i/>
          <w:color w:val="383638"/>
          <w:spacing w:val="6"/>
          <w:sz w:val="22"/>
        </w:rPr>
        <w:t> </w:t>
      </w:r>
      <w:r>
        <w:rPr>
          <w:b/>
          <w:i/>
          <w:color w:val="383638"/>
          <w:sz w:val="22"/>
        </w:rPr>
        <w:t>Possessive</w:t>
      </w:r>
    </w:p>
    <w:p>
      <w:pPr>
        <w:spacing w:line="223" w:lineRule="auto" w:before="149"/>
        <w:ind w:left="1981" w:right="124" w:firstLine="381"/>
        <w:jc w:val="both"/>
        <w:rPr>
          <w:sz w:val="24"/>
        </w:rPr>
      </w:pPr>
      <w:r>
        <w:rPr>
          <w:color w:val="383638"/>
          <w:sz w:val="24"/>
        </w:rPr>
        <w:t>If you wish to make a singular noun possessive, add an apostrophe and</w:t>
      </w:r>
      <w:r>
        <w:rPr>
          <w:color w:val="383638"/>
          <w:spacing w:val="1"/>
          <w:sz w:val="24"/>
        </w:rPr>
        <w:t> </w:t>
      </w:r>
      <w:r>
        <w:rPr>
          <w:color w:val="383638"/>
          <w:w w:val="105"/>
          <w:sz w:val="24"/>
        </w:rPr>
        <w:t>then an </w:t>
      </w:r>
      <w:r>
        <w:rPr>
          <w:i/>
          <w:color w:val="383638"/>
          <w:w w:val="105"/>
          <w:sz w:val="24"/>
        </w:rPr>
        <w:t>s. </w:t>
      </w:r>
      <w:r>
        <w:rPr>
          <w:color w:val="383638"/>
          <w:w w:val="105"/>
          <w:sz w:val="24"/>
        </w:rPr>
        <w:t>Typically, the</w:t>
      </w:r>
      <w:r>
        <w:rPr>
          <w:color w:val="383638"/>
          <w:spacing w:val="1"/>
          <w:w w:val="105"/>
          <w:sz w:val="24"/>
        </w:rPr>
        <w:t> </w:t>
      </w:r>
      <w:r>
        <w:rPr>
          <w:color w:val="383638"/>
          <w:w w:val="105"/>
          <w:sz w:val="24"/>
        </w:rPr>
        <w:t>word following the possessive noun will be the</w:t>
      </w:r>
      <w:r>
        <w:rPr>
          <w:color w:val="383638"/>
          <w:spacing w:val="1"/>
          <w:w w:val="105"/>
          <w:sz w:val="24"/>
        </w:rPr>
        <w:t> </w:t>
      </w:r>
      <w:r>
        <w:rPr>
          <w:color w:val="383638"/>
          <w:w w:val="105"/>
          <w:sz w:val="24"/>
        </w:rPr>
        <w:t>thing that belongs to the noun; on rare occasions</w:t>
      </w:r>
      <w:r>
        <w:rPr>
          <w:color w:val="525252"/>
          <w:w w:val="105"/>
          <w:sz w:val="24"/>
        </w:rPr>
        <w:t>, </w:t>
      </w:r>
      <w:r>
        <w:rPr>
          <w:color w:val="383638"/>
          <w:w w:val="105"/>
          <w:sz w:val="24"/>
        </w:rPr>
        <w:t>the thing belonging to</w:t>
      </w:r>
      <w:r>
        <w:rPr>
          <w:color w:val="383638"/>
          <w:spacing w:val="1"/>
          <w:w w:val="105"/>
          <w:sz w:val="24"/>
        </w:rPr>
        <w:t> </w:t>
      </w:r>
      <w:r>
        <w:rPr>
          <w:color w:val="383638"/>
          <w:w w:val="105"/>
          <w:sz w:val="24"/>
        </w:rPr>
        <w:t>the</w:t>
      </w:r>
      <w:r>
        <w:rPr>
          <w:color w:val="383638"/>
          <w:spacing w:val="24"/>
          <w:w w:val="105"/>
          <w:sz w:val="24"/>
        </w:rPr>
        <w:t> </w:t>
      </w:r>
      <w:r>
        <w:rPr>
          <w:color w:val="383638"/>
          <w:w w:val="105"/>
          <w:sz w:val="24"/>
        </w:rPr>
        <w:t>noun</w:t>
      </w:r>
      <w:r>
        <w:rPr>
          <w:color w:val="383638"/>
          <w:spacing w:val="-11"/>
          <w:w w:val="105"/>
          <w:sz w:val="24"/>
        </w:rPr>
        <w:t> </w:t>
      </w:r>
      <w:r>
        <w:rPr>
          <w:color w:val="383638"/>
          <w:w w:val="105"/>
          <w:sz w:val="24"/>
        </w:rPr>
        <w:t>will</w:t>
      </w:r>
      <w:r>
        <w:rPr>
          <w:color w:val="383638"/>
          <w:spacing w:val="-1"/>
          <w:w w:val="105"/>
          <w:sz w:val="24"/>
        </w:rPr>
        <w:t> </w:t>
      </w:r>
      <w:r>
        <w:rPr>
          <w:color w:val="383638"/>
          <w:w w:val="105"/>
          <w:sz w:val="24"/>
        </w:rPr>
        <w:t>be</w:t>
      </w:r>
      <w:r>
        <w:rPr>
          <w:color w:val="383638"/>
          <w:spacing w:val="-15"/>
          <w:w w:val="105"/>
          <w:sz w:val="24"/>
        </w:rPr>
        <w:t> </w:t>
      </w:r>
      <w:r>
        <w:rPr>
          <w:color w:val="383638"/>
          <w:w w:val="105"/>
          <w:sz w:val="24"/>
        </w:rPr>
        <w:t>implied.</w:t>
      </w:r>
    </w:p>
    <w:p>
      <w:pPr>
        <w:pStyle w:val="BodyText"/>
        <w:spacing w:before="3"/>
        <w:rPr>
          <w:sz w:val="16"/>
        </w:rPr>
      </w:pPr>
    </w:p>
    <w:p>
      <w:pPr>
        <w:spacing w:before="1"/>
        <w:ind w:left="1947" w:right="0" w:firstLine="0"/>
        <w:jc w:val="both"/>
        <w:rPr>
          <w:b/>
          <w:sz w:val="16"/>
        </w:rPr>
      </w:pPr>
      <w:r>
        <w:rPr>
          <w:rFonts w:ascii="Arial"/>
          <w:color w:val="383638"/>
          <w:sz w:val="15"/>
          <w:u w:val="thick" w:color="383638"/>
        </w:rPr>
        <w:t>_/\  </w:t>
      </w:r>
      <w:r>
        <w:rPr>
          <w:rFonts w:ascii="Arial"/>
          <w:color w:val="383638"/>
          <w:spacing w:val="37"/>
          <w:sz w:val="15"/>
          <w:u w:val="thick" w:color="383638"/>
        </w:rPr>
        <w:t> </w:t>
      </w:r>
      <w:r>
        <w:rPr>
          <w:rFonts w:ascii="Arial"/>
          <w:color w:val="383638"/>
          <w:sz w:val="15"/>
          <w:u w:val="thick" w:color="383638"/>
        </w:rPr>
        <w:t>GOOD</w:t>
      </w:r>
      <w:r>
        <w:rPr>
          <w:rFonts w:ascii="Arial"/>
          <w:color w:val="383638"/>
          <w:spacing w:val="-7"/>
          <w:sz w:val="15"/>
          <w:u w:val="thick" w:color="383638"/>
        </w:rPr>
        <w:t> </w:t>
      </w:r>
      <w:r>
        <w:rPr>
          <w:b/>
          <w:color w:val="383638"/>
          <w:sz w:val="16"/>
          <w:u w:val="thick" w:color="383638"/>
        </w:rPr>
        <w:t>E</w:t>
      </w:r>
      <w:r>
        <w:rPr>
          <w:b/>
          <w:color w:val="525252"/>
          <w:sz w:val="16"/>
          <w:u w:val="thick" w:color="383638"/>
        </w:rPr>
        <w:t>X</w:t>
      </w:r>
      <w:r>
        <w:rPr>
          <w:b/>
          <w:color w:val="383638"/>
          <w:sz w:val="16"/>
          <w:u w:val="thick" w:color="383638"/>
        </w:rPr>
        <w:t>AMPLES</w:t>
      </w:r>
    </w:p>
    <w:p>
      <w:pPr>
        <w:spacing w:line="230" w:lineRule="auto" w:before="104"/>
        <w:ind w:left="2323" w:right="0" w:hanging="1"/>
        <w:jc w:val="left"/>
        <w:rPr>
          <w:b/>
          <w:sz w:val="21"/>
        </w:rPr>
      </w:pPr>
      <w:r>
        <w:rPr>
          <w:b/>
          <w:color w:val="383638"/>
          <w:w w:val="110"/>
          <w:sz w:val="21"/>
        </w:rPr>
        <w:t>This</w:t>
      </w:r>
      <w:r>
        <w:rPr>
          <w:b/>
          <w:color w:val="383638"/>
          <w:spacing w:val="3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house</w:t>
      </w:r>
      <w:r>
        <w:rPr>
          <w:b/>
          <w:color w:val="383638"/>
          <w:spacing w:val="3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belongs</w:t>
      </w:r>
      <w:r>
        <w:rPr>
          <w:b/>
          <w:color w:val="383638"/>
          <w:spacing w:val="3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to</w:t>
      </w:r>
      <w:r>
        <w:rPr>
          <w:b/>
          <w:color w:val="383638"/>
          <w:spacing w:val="2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Bill</w:t>
      </w:r>
      <w:r>
        <w:rPr>
          <w:b/>
          <w:color w:val="383638"/>
          <w:spacing w:val="4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(no</w:t>
      </w:r>
      <w:r>
        <w:rPr>
          <w:b/>
          <w:color w:val="383638"/>
          <w:spacing w:val="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possessive</w:t>
      </w:r>
      <w:r>
        <w:rPr>
          <w:b/>
          <w:color w:val="383638"/>
          <w:spacing w:val="50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noun,</w:t>
      </w:r>
      <w:r>
        <w:rPr>
          <w:b/>
          <w:color w:val="383638"/>
          <w:spacing w:val="3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so</w:t>
      </w:r>
      <w:r>
        <w:rPr>
          <w:b/>
          <w:color w:val="383638"/>
          <w:spacing w:val="3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apostrophe</w:t>
      </w:r>
      <w:r>
        <w:rPr>
          <w:b/>
          <w:color w:val="383638"/>
          <w:spacing w:val="2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not</w:t>
      </w:r>
      <w:r>
        <w:rPr>
          <w:b/>
          <w:color w:val="383638"/>
          <w:spacing w:val="-5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needed).</w:t>
      </w:r>
    </w:p>
    <w:p>
      <w:pPr>
        <w:spacing w:line="236" w:lineRule="exact" w:before="10"/>
        <w:ind w:left="2304" w:right="0" w:firstLine="0"/>
        <w:jc w:val="left"/>
        <w:rPr>
          <w:b/>
          <w:sz w:val="21"/>
        </w:rPr>
      </w:pPr>
      <w:r>
        <w:rPr>
          <w:b/>
          <w:color w:val="383638"/>
          <w:w w:val="110"/>
          <w:sz w:val="21"/>
        </w:rPr>
        <w:t>This</w:t>
      </w:r>
      <w:r>
        <w:rPr>
          <w:b/>
          <w:color w:val="383638"/>
          <w:spacing w:val="-2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is</w:t>
      </w:r>
      <w:r>
        <w:rPr>
          <w:b/>
          <w:color w:val="383638"/>
          <w:spacing w:val="-22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Bill'shouse</w:t>
      </w:r>
      <w:r>
        <w:rPr>
          <w:b/>
          <w:color w:val="383638"/>
          <w:spacing w:val="-27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(possessive</w:t>
      </w:r>
      <w:r>
        <w:rPr>
          <w:b/>
          <w:color w:val="383638"/>
          <w:spacing w:val="-10"/>
          <w:w w:val="110"/>
          <w:sz w:val="21"/>
        </w:rPr>
        <w:t> </w:t>
      </w:r>
      <w:r>
        <w:rPr>
          <w:rFonts w:ascii="Arial"/>
          <w:b/>
          <w:color w:val="383638"/>
          <w:w w:val="110"/>
          <w:sz w:val="19"/>
        </w:rPr>
        <w:t>form</w:t>
      </w:r>
      <w:r>
        <w:rPr>
          <w:b/>
          <w:color w:val="383638"/>
          <w:w w:val="110"/>
          <w:sz w:val="21"/>
        </w:rPr>
        <w:t>needed;"owned"noun</w:t>
      </w:r>
      <w:r>
        <w:rPr>
          <w:b/>
          <w:color w:val="383638"/>
          <w:spacing w:val="-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in</w:t>
      </w:r>
      <w:r>
        <w:rPr>
          <w:b/>
          <w:color w:val="383638"/>
          <w:spacing w:val="-2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sentence).</w:t>
      </w:r>
    </w:p>
    <w:p>
      <w:pPr>
        <w:spacing w:line="236" w:lineRule="exact" w:before="0"/>
        <w:ind w:left="2295" w:right="0" w:firstLine="0"/>
        <w:jc w:val="left"/>
        <w:rPr>
          <w:sz w:val="21"/>
        </w:rPr>
      </w:pPr>
      <w:r>
        <w:rPr>
          <w:color w:val="383638"/>
          <w:w w:val="115"/>
          <w:sz w:val="21"/>
        </w:rPr>
        <w:t>This</w:t>
      </w:r>
      <w:r>
        <w:rPr>
          <w:color w:val="383638"/>
          <w:spacing w:val="8"/>
          <w:w w:val="115"/>
          <w:sz w:val="21"/>
        </w:rPr>
        <w:t> </w:t>
      </w:r>
      <w:r>
        <w:rPr>
          <w:color w:val="383638"/>
          <w:w w:val="115"/>
          <w:sz w:val="21"/>
        </w:rPr>
        <w:t>house</w:t>
      </w:r>
      <w:r>
        <w:rPr>
          <w:color w:val="383638"/>
          <w:spacing w:val="9"/>
          <w:w w:val="115"/>
          <w:sz w:val="21"/>
        </w:rPr>
        <w:t> </w:t>
      </w:r>
      <w:r>
        <w:rPr>
          <w:color w:val="383638"/>
          <w:w w:val="115"/>
          <w:sz w:val="21"/>
        </w:rPr>
        <w:t>is</w:t>
      </w:r>
      <w:r>
        <w:rPr>
          <w:color w:val="383638"/>
          <w:spacing w:val="-2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Bill's</w:t>
      </w:r>
      <w:r>
        <w:rPr>
          <w:b/>
          <w:color w:val="383638"/>
          <w:spacing w:val="-1"/>
          <w:w w:val="115"/>
          <w:sz w:val="21"/>
        </w:rPr>
        <w:t> </w:t>
      </w:r>
      <w:r>
        <w:rPr>
          <w:color w:val="383638"/>
          <w:w w:val="115"/>
          <w:sz w:val="21"/>
        </w:rPr>
        <w:t>(possessive</w:t>
      </w:r>
      <w:r>
        <w:rPr>
          <w:color w:val="383638"/>
          <w:spacing w:val="14"/>
          <w:w w:val="115"/>
          <w:sz w:val="21"/>
        </w:rPr>
        <w:t> </w:t>
      </w:r>
      <w:r>
        <w:rPr>
          <w:color w:val="383638"/>
          <w:w w:val="115"/>
          <w:sz w:val="21"/>
        </w:rPr>
        <w:t>needed;</w:t>
      </w:r>
      <w:r>
        <w:rPr>
          <w:color w:val="525252"/>
          <w:w w:val="115"/>
          <w:sz w:val="21"/>
        </w:rPr>
        <w:t>"</w:t>
      </w:r>
      <w:r>
        <w:rPr>
          <w:color w:val="383638"/>
          <w:w w:val="115"/>
          <w:sz w:val="21"/>
        </w:rPr>
        <w:t>owned" 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noun</w:t>
      </w:r>
      <w:r>
        <w:rPr>
          <w:color w:val="383638"/>
          <w:spacing w:val="14"/>
          <w:w w:val="115"/>
          <w:sz w:val="21"/>
        </w:rPr>
        <w:t> </w:t>
      </w:r>
      <w:r>
        <w:rPr>
          <w:color w:val="383638"/>
          <w:w w:val="115"/>
          <w:sz w:val="21"/>
        </w:rPr>
        <w:t>implied).</w:t>
      </w:r>
    </w:p>
    <w:p>
      <w:pPr>
        <w:spacing w:line="211" w:lineRule="auto" w:before="152"/>
        <w:ind w:left="1905" w:right="160" w:firstLine="9"/>
        <w:jc w:val="both"/>
        <w:rPr>
          <w:i/>
          <w:sz w:val="27"/>
        </w:rPr>
      </w:pPr>
      <w:r>
        <w:rPr>
          <w:color w:val="383638"/>
          <w:w w:val="105"/>
          <w:sz w:val="24"/>
        </w:rPr>
        <w:t>Although there is some controversy on</w:t>
      </w:r>
      <w:r>
        <w:rPr>
          <w:color w:val="383638"/>
          <w:spacing w:val="1"/>
          <w:w w:val="105"/>
          <w:sz w:val="24"/>
        </w:rPr>
        <w:t> </w:t>
      </w:r>
      <w:r>
        <w:rPr>
          <w:color w:val="383638"/>
          <w:w w:val="105"/>
          <w:sz w:val="24"/>
        </w:rPr>
        <w:t>this point, most formal writers</w:t>
      </w:r>
      <w:r>
        <w:rPr>
          <w:color w:val="383638"/>
          <w:spacing w:val="1"/>
          <w:w w:val="105"/>
          <w:sz w:val="24"/>
        </w:rPr>
        <w:t> </w:t>
      </w:r>
      <w:r>
        <w:rPr>
          <w:color w:val="383638"/>
          <w:w w:val="105"/>
          <w:sz w:val="24"/>
        </w:rPr>
        <w:t>(including the </w:t>
      </w:r>
      <w:r>
        <w:rPr>
          <w:i/>
          <w:color w:val="383638"/>
          <w:w w:val="105"/>
          <w:sz w:val="24"/>
        </w:rPr>
        <w:t>New York Times) </w:t>
      </w:r>
      <w:r>
        <w:rPr>
          <w:color w:val="383638"/>
          <w:w w:val="105"/>
          <w:sz w:val="24"/>
        </w:rPr>
        <w:t>add an </w:t>
      </w:r>
      <w:r>
        <w:rPr>
          <w:i/>
          <w:color w:val="383638"/>
          <w:w w:val="105"/>
          <w:sz w:val="24"/>
        </w:rPr>
        <w:t>[apostrophe] s </w:t>
      </w:r>
      <w:r>
        <w:rPr>
          <w:color w:val="383638"/>
          <w:w w:val="105"/>
          <w:sz w:val="24"/>
        </w:rPr>
        <w:t>to make a singular</w:t>
      </w:r>
      <w:r>
        <w:rPr>
          <w:color w:val="383638"/>
          <w:spacing w:val="1"/>
          <w:w w:val="105"/>
          <w:sz w:val="24"/>
        </w:rPr>
        <w:t> </w:t>
      </w:r>
      <w:r>
        <w:rPr>
          <w:color w:val="383638"/>
          <w:w w:val="105"/>
          <w:sz w:val="24"/>
        </w:rPr>
        <w:t>noun</w:t>
      </w:r>
      <w:r>
        <w:rPr>
          <w:color w:val="383638"/>
          <w:spacing w:val="12"/>
          <w:w w:val="105"/>
          <w:sz w:val="24"/>
        </w:rPr>
        <w:t> </w:t>
      </w:r>
      <w:r>
        <w:rPr>
          <w:color w:val="383638"/>
          <w:w w:val="105"/>
          <w:sz w:val="24"/>
        </w:rPr>
        <w:t>possessive,</w:t>
      </w:r>
      <w:r>
        <w:rPr>
          <w:color w:val="383638"/>
          <w:spacing w:val="14"/>
          <w:w w:val="105"/>
          <w:sz w:val="24"/>
        </w:rPr>
        <w:t> </w:t>
      </w:r>
      <w:r>
        <w:rPr>
          <w:color w:val="383638"/>
          <w:w w:val="105"/>
          <w:sz w:val="24"/>
        </w:rPr>
        <w:t>even</w:t>
      </w:r>
      <w:r>
        <w:rPr>
          <w:color w:val="383638"/>
          <w:spacing w:val="9"/>
          <w:w w:val="105"/>
          <w:sz w:val="24"/>
        </w:rPr>
        <w:t> </w:t>
      </w:r>
      <w:r>
        <w:rPr>
          <w:color w:val="383638"/>
          <w:w w:val="105"/>
          <w:sz w:val="24"/>
        </w:rPr>
        <w:t>when</w:t>
      </w:r>
      <w:r>
        <w:rPr>
          <w:color w:val="383638"/>
          <w:spacing w:val="13"/>
          <w:w w:val="105"/>
          <w:sz w:val="24"/>
        </w:rPr>
        <w:t> </w:t>
      </w:r>
      <w:r>
        <w:rPr>
          <w:color w:val="383638"/>
          <w:w w:val="105"/>
          <w:sz w:val="24"/>
        </w:rPr>
        <w:t>the</w:t>
      </w:r>
      <w:r>
        <w:rPr>
          <w:color w:val="383638"/>
          <w:spacing w:val="17"/>
          <w:w w:val="105"/>
          <w:sz w:val="24"/>
        </w:rPr>
        <w:t> </w:t>
      </w:r>
      <w:r>
        <w:rPr>
          <w:color w:val="383638"/>
          <w:w w:val="105"/>
          <w:sz w:val="24"/>
        </w:rPr>
        <w:t>singular</w:t>
      </w:r>
      <w:r>
        <w:rPr>
          <w:color w:val="383638"/>
          <w:spacing w:val="7"/>
          <w:w w:val="105"/>
          <w:sz w:val="24"/>
        </w:rPr>
        <w:t> </w:t>
      </w:r>
      <w:r>
        <w:rPr>
          <w:color w:val="383638"/>
          <w:w w:val="105"/>
          <w:sz w:val="24"/>
        </w:rPr>
        <w:t>noun</w:t>
      </w:r>
      <w:r>
        <w:rPr>
          <w:color w:val="383638"/>
          <w:spacing w:val="1"/>
          <w:w w:val="105"/>
          <w:sz w:val="24"/>
        </w:rPr>
        <w:t> </w:t>
      </w:r>
      <w:r>
        <w:rPr>
          <w:color w:val="383638"/>
          <w:w w:val="105"/>
          <w:sz w:val="24"/>
        </w:rPr>
        <w:t>already</w:t>
      </w:r>
      <w:r>
        <w:rPr>
          <w:color w:val="383638"/>
          <w:spacing w:val="8"/>
          <w:w w:val="105"/>
          <w:sz w:val="24"/>
        </w:rPr>
        <w:t> </w:t>
      </w:r>
      <w:r>
        <w:rPr>
          <w:color w:val="383638"/>
          <w:w w:val="105"/>
          <w:sz w:val="24"/>
        </w:rPr>
        <w:t>ends</w:t>
      </w:r>
      <w:r>
        <w:rPr>
          <w:color w:val="383638"/>
          <w:spacing w:val="-9"/>
          <w:w w:val="105"/>
          <w:sz w:val="24"/>
        </w:rPr>
        <w:t> </w:t>
      </w:r>
      <w:r>
        <w:rPr>
          <w:color w:val="383638"/>
          <w:w w:val="105"/>
          <w:sz w:val="24"/>
        </w:rPr>
        <w:t>in</w:t>
      </w:r>
      <w:r>
        <w:rPr>
          <w:color w:val="383638"/>
          <w:spacing w:val="18"/>
          <w:w w:val="105"/>
          <w:sz w:val="24"/>
        </w:rPr>
        <w:t> </w:t>
      </w:r>
      <w:r>
        <w:rPr>
          <w:i/>
          <w:color w:val="383638"/>
          <w:w w:val="105"/>
          <w:sz w:val="27"/>
        </w:rPr>
        <w:t>s.</w:t>
      </w:r>
    </w:p>
    <w:p>
      <w:pPr>
        <w:pStyle w:val="BodyText"/>
        <w:spacing w:before="2"/>
        <w:rPr>
          <w:i/>
          <w:sz w:val="10"/>
        </w:rPr>
      </w:pPr>
    </w:p>
    <w:p>
      <w:pPr>
        <w:tabs>
          <w:tab w:pos="2075" w:val="left" w:leader="none"/>
        </w:tabs>
        <w:spacing w:before="95"/>
        <w:ind w:left="1702" w:right="0" w:firstLine="0"/>
        <w:jc w:val="left"/>
        <w:rPr>
          <w:rFonts w:ascii="Arial"/>
          <w:sz w:val="15"/>
        </w:rPr>
      </w:pPr>
      <w:r>
        <w:rPr>
          <w:rFonts w:ascii="Arial"/>
          <w:color w:val="383638"/>
          <w:w w:val="100"/>
          <w:sz w:val="15"/>
          <w:u w:val="thick" w:color="525252"/>
        </w:rPr>
        <w:t> </w:t>
      </w:r>
      <w:r>
        <w:rPr>
          <w:rFonts w:ascii="Arial"/>
          <w:color w:val="383638"/>
          <w:sz w:val="15"/>
          <w:u w:val="thick" w:color="525252"/>
        </w:rPr>
        <w:tab/>
      </w:r>
      <w:r>
        <w:rPr>
          <w:rFonts w:ascii="Arial"/>
          <w:color w:val="383638"/>
          <w:sz w:val="15"/>
        </w:rPr>
        <w:t>    </w:t>
      </w:r>
      <w:r>
        <w:rPr>
          <w:rFonts w:ascii="Arial"/>
          <w:color w:val="383638"/>
          <w:spacing w:val="-19"/>
          <w:sz w:val="15"/>
        </w:rPr>
        <w:t> </w:t>
      </w:r>
      <w:r>
        <w:rPr>
          <w:rFonts w:ascii="Arial"/>
          <w:color w:val="383638"/>
          <w:sz w:val="15"/>
          <w:u w:val="thick" w:color="383638"/>
        </w:rPr>
        <w:t>CiOOD</w:t>
      </w:r>
      <w:r>
        <w:rPr>
          <w:rFonts w:ascii="Arial"/>
          <w:color w:val="383638"/>
          <w:spacing w:val="2"/>
          <w:sz w:val="15"/>
          <w:u w:val="thick" w:color="383638"/>
        </w:rPr>
        <w:t> </w:t>
      </w:r>
      <w:r>
        <w:rPr>
          <w:rFonts w:ascii="Arial"/>
          <w:color w:val="383638"/>
          <w:sz w:val="15"/>
          <w:u w:val="thick" w:color="383638"/>
        </w:rPr>
        <w:t>EXAMPLES</w:t>
      </w:r>
    </w:p>
    <w:p>
      <w:pPr>
        <w:spacing w:line="230" w:lineRule="auto" w:before="89"/>
        <w:ind w:left="2228" w:right="3739" w:firstLine="9"/>
        <w:jc w:val="left"/>
        <w:rPr>
          <w:sz w:val="21"/>
        </w:rPr>
      </w:pPr>
      <w:r>
        <w:rPr>
          <w:color w:val="383638"/>
          <w:w w:val="115"/>
          <w:sz w:val="21"/>
        </w:rPr>
        <w:t>This house belongs to</w:t>
      </w:r>
      <w:r>
        <w:rPr>
          <w:color w:val="383638"/>
          <w:spacing w:val="1"/>
          <w:w w:val="115"/>
          <w:sz w:val="21"/>
        </w:rPr>
        <w:t> </w:t>
      </w:r>
      <w:r>
        <w:rPr>
          <w:color w:val="383638"/>
          <w:w w:val="115"/>
          <w:sz w:val="21"/>
        </w:rPr>
        <w:t>Mr. Bums.</w:t>
      </w:r>
      <w:r>
        <w:rPr>
          <w:color w:val="383638"/>
          <w:spacing w:val="-58"/>
          <w:w w:val="115"/>
          <w:sz w:val="21"/>
        </w:rPr>
        <w:t> </w:t>
      </w:r>
      <w:r>
        <w:rPr>
          <w:color w:val="383638"/>
          <w:w w:val="115"/>
          <w:sz w:val="21"/>
        </w:rPr>
        <w:t>This</w:t>
      </w:r>
      <w:r>
        <w:rPr>
          <w:color w:val="383638"/>
          <w:spacing w:val="-10"/>
          <w:w w:val="115"/>
          <w:sz w:val="21"/>
        </w:rPr>
        <w:t> </w:t>
      </w:r>
      <w:r>
        <w:rPr>
          <w:color w:val="383638"/>
          <w:w w:val="115"/>
          <w:sz w:val="21"/>
        </w:rPr>
        <w:t>is</w:t>
      </w:r>
      <w:r>
        <w:rPr>
          <w:color w:val="383638"/>
          <w:spacing w:val="-3"/>
          <w:w w:val="115"/>
          <w:sz w:val="21"/>
        </w:rPr>
        <w:t> </w:t>
      </w:r>
      <w:r>
        <w:rPr>
          <w:color w:val="383638"/>
          <w:w w:val="115"/>
          <w:sz w:val="21"/>
        </w:rPr>
        <w:t>Mr.</w:t>
      </w:r>
      <w:r>
        <w:rPr>
          <w:color w:val="383638"/>
          <w:spacing w:val="-5"/>
          <w:w w:val="115"/>
          <w:sz w:val="21"/>
        </w:rPr>
        <w:t> </w:t>
      </w:r>
      <w:r>
        <w:rPr>
          <w:color w:val="383638"/>
          <w:w w:val="115"/>
          <w:sz w:val="21"/>
        </w:rPr>
        <w:t>Bums's</w:t>
      </w:r>
      <w:r>
        <w:rPr>
          <w:color w:val="383638"/>
          <w:spacing w:val="-5"/>
          <w:w w:val="115"/>
          <w:sz w:val="21"/>
        </w:rPr>
        <w:t> </w:t>
      </w:r>
      <w:r>
        <w:rPr>
          <w:color w:val="383638"/>
          <w:w w:val="115"/>
          <w:sz w:val="21"/>
        </w:rPr>
        <w:t>house.</w:t>
      </w:r>
    </w:p>
    <w:p>
      <w:pPr>
        <w:spacing w:line="241" w:lineRule="exact" w:before="0"/>
        <w:ind w:left="2228" w:right="0" w:firstLine="0"/>
        <w:jc w:val="left"/>
        <w:rPr>
          <w:sz w:val="21"/>
        </w:rPr>
      </w:pPr>
      <w:r>
        <w:rPr>
          <w:color w:val="383638"/>
          <w:w w:val="115"/>
          <w:sz w:val="21"/>
        </w:rPr>
        <w:t>This</w:t>
      </w:r>
      <w:r>
        <w:rPr>
          <w:color w:val="383638"/>
          <w:spacing w:val="6"/>
          <w:w w:val="115"/>
          <w:sz w:val="21"/>
        </w:rPr>
        <w:t> </w:t>
      </w:r>
      <w:r>
        <w:rPr>
          <w:color w:val="383638"/>
          <w:w w:val="115"/>
          <w:sz w:val="21"/>
        </w:rPr>
        <w:t>house</w:t>
      </w:r>
      <w:r>
        <w:rPr>
          <w:color w:val="383638"/>
          <w:spacing w:val="9"/>
          <w:w w:val="115"/>
          <w:sz w:val="21"/>
        </w:rPr>
        <w:t> </w:t>
      </w:r>
      <w:r>
        <w:rPr>
          <w:color w:val="383638"/>
          <w:w w:val="115"/>
          <w:sz w:val="21"/>
        </w:rPr>
        <w:t>is Mr.</w:t>
      </w:r>
      <w:r>
        <w:rPr>
          <w:color w:val="383638"/>
          <w:spacing w:val="6"/>
          <w:w w:val="115"/>
          <w:sz w:val="21"/>
        </w:rPr>
        <w:t> </w:t>
      </w:r>
      <w:r>
        <w:rPr>
          <w:color w:val="383638"/>
          <w:w w:val="115"/>
          <w:sz w:val="21"/>
        </w:rPr>
        <w:t>Bums's.</w:t>
      </w:r>
    </w:p>
    <w:p>
      <w:pPr>
        <w:spacing w:line="236" w:lineRule="exact" w:before="0"/>
        <w:ind w:left="2218" w:right="0" w:firstLine="0"/>
        <w:jc w:val="left"/>
        <w:rPr>
          <w:sz w:val="21"/>
        </w:rPr>
      </w:pPr>
      <w:r>
        <w:rPr>
          <w:color w:val="383638"/>
          <w:w w:val="120"/>
          <w:sz w:val="21"/>
        </w:rPr>
        <w:t>The</w:t>
      </w:r>
      <w:r>
        <w:rPr>
          <w:color w:val="383638"/>
          <w:spacing w:val="-8"/>
          <w:w w:val="120"/>
          <w:sz w:val="21"/>
        </w:rPr>
        <w:t> </w:t>
      </w:r>
      <w:r>
        <w:rPr>
          <w:color w:val="383638"/>
          <w:w w:val="120"/>
          <w:sz w:val="21"/>
        </w:rPr>
        <w:t>delay</w:t>
      </w:r>
      <w:r>
        <w:rPr>
          <w:color w:val="383638"/>
          <w:spacing w:val="-15"/>
          <w:w w:val="120"/>
          <w:sz w:val="21"/>
        </w:rPr>
        <w:t> </w:t>
      </w:r>
      <w:r>
        <w:rPr>
          <w:color w:val="383638"/>
          <w:w w:val="120"/>
          <w:sz w:val="21"/>
        </w:rPr>
        <w:t>in</w:t>
      </w:r>
      <w:r>
        <w:rPr>
          <w:color w:val="383638"/>
          <w:spacing w:val="14"/>
          <w:w w:val="120"/>
          <w:sz w:val="21"/>
        </w:rPr>
        <w:t> </w:t>
      </w:r>
      <w:r>
        <w:rPr>
          <w:color w:val="383638"/>
          <w:w w:val="120"/>
          <w:sz w:val="21"/>
        </w:rPr>
        <w:t>the</w:t>
      </w:r>
      <w:r>
        <w:rPr>
          <w:color w:val="383638"/>
          <w:spacing w:val="9"/>
          <w:w w:val="120"/>
          <w:sz w:val="21"/>
        </w:rPr>
        <w:t> </w:t>
      </w:r>
      <w:r>
        <w:rPr>
          <w:color w:val="383638"/>
          <w:w w:val="120"/>
          <w:sz w:val="21"/>
        </w:rPr>
        <w:t>vote</w:t>
      </w:r>
      <w:r>
        <w:rPr>
          <w:color w:val="383638"/>
          <w:spacing w:val="-25"/>
          <w:w w:val="120"/>
          <w:sz w:val="21"/>
        </w:rPr>
        <w:t> </w:t>
      </w:r>
      <w:r>
        <w:rPr>
          <w:color w:val="383638"/>
          <w:w w:val="120"/>
          <w:sz w:val="21"/>
        </w:rPr>
        <w:t>was</w:t>
      </w:r>
      <w:r>
        <w:rPr>
          <w:color w:val="383638"/>
          <w:spacing w:val="-28"/>
          <w:w w:val="120"/>
          <w:sz w:val="21"/>
        </w:rPr>
        <w:t> </w:t>
      </w:r>
      <w:r>
        <w:rPr>
          <w:color w:val="383638"/>
          <w:w w:val="120"/>
          <w:sz w:val="21"/>
        </w:rPr>
        <w:t>Congress's</w:t>
      </w:r>
      <w:r>
        <w:rPr>
          <w:color w:val="383638"/>
          <w:spacing w:val="-10"/>
          <w:w w:val="120"/>
          <w:sz w:val="21"/>
        </w:rPr>
        <w:t> </w:t>
      </w:r>
      <w:r>
        <w:rPr>
          <w:color w:val="383638"/>
          <w:w w:val="120"/>
          <w:sz w:val="21"/>
        </w:rPr>
        <w:t>fault.</w:t>
      </w:r>
    </w:p>
    <w:p>
      <w:pPr>
        <w:spacing w:line="240" w:lineRule="auto" w:before="0"/>
        <w:ind w:left="2199" w:right="2031" w:firstLine="9"/>
        <w:jc w:val="left"/>
        <w:rPr>
          <w:sz w:val="21"/>
        </w:rPr>
      </w:pPr>
      <w:r>
        <w:rPr>
          <w:color w:val="383638"/>
          <w:w w:val="120"/>
          <w:sz w:val="21"/>
        </w:rPr>
        <w:t>The</w:t>
      </w:r>
      <w:r>
        <w:rPr>
          <w:color w:val="383638"/>
          <w:spacing w:val="-32"/>
          <w:w w:val="120"/>
          <w:sz w:val="21"/>
        </w:rPr>
        <w:t> </w:t>
      </w:r>
      <w:r>
        <w:rPr>
          <w:color w:val="383638"/>
          <w:w w:val="120"/>
          <w:sz w:val="21"/>
        </w:rPr>
        <w:t>delay</w:t>
      </w:r>
      <w:r>
        <w:rPr>
          <w:color w:val="383638"/>
          <w:spacing w:val="-14"/>
          <w:w w:val="120"/>
          <w:sz w:val="21"/>
        </w:rPr>
        <w:t> </w:t>
      </w:r>
      <w:r>
        <w:rPr>
          <w:color w:val="383638"/>
          <w:w w:val="120"/>
          <w:sz w:val="21"/>
        </w:rPr>
        <w:t>in</w:t>
      </w:r>
      <w:r>
        <w:rPr>
          <w:color w:val="383638"/>
          <w:spacing w:val="15"/>
          <w:w w:val="120"/>
          <w:sz w:val="21"/>
        </w:rPr>
        <w:t> </w:t>
      </w:r>
      <w:r>
        <w:rPr>
          <w:color w:val="383638"/>
          <w:w w:val="120"/>
          <w:sz w:val="21"/>
        </w:rPr>
        <w:t>the</w:t>
      </w:r>
      <w:r>
        <w:rPr>
          <w:color w:val="383638"/>
          <w:spacing w:val="11"/>
          <w:w w:val="120"/>
          <w:sz w:val="21"/>
        </w:rPr>
        <w:t> </w:t>
      </w:r>
      <w:r>
        <w:rPr>
          <w:color w:val="383638"/>
          <w:w w:val="120"/>
          <w:sz w:val="21"/>
        </w:rPr>
        <w:t>vote</w:t>
      </w:r>
      <w:r>
        <w:rPr>
          <w:color w:val="383638"/>
          <w:spacing w:val="-20"/>
          <w:w w:val="120"/>
          <w:sz w:val="21"/>
        </w:rPr>
        <w:t> </w:t>
      </w:r>
      <w:r>
        <w:rPr>
          <w:color w:val="383638"/>
          <w:w w:val="120"/>
          <w:sz w:val="21"/>
        </w:rPr>
        <w:t>can</w:t>
      </w:r>
      <w:r>
        <w:rPr>
          <w:color w:val="383638"/>
          <w:spacing w:val="15"/>
          <w:w w:val="120"/>
          <w:sz w:val="21"/>
        </w:rPr>
        <w:t> </w:t>
      </w:r>
      <w:r>
        <w:rPr>
          <w:color w:val="383638"/>
          <w:w w:val="120"/>
          <w:sz w:val="21"/>
        </w:rPr>
        <w:t>be</w:t>
      </w:r>
      <w:r>
        <w:rPr>
          <w:color w:val="383638"/>
          <w:spacing w:val="-17"/>
          <w:w w:val="120"/>
          <w:sz w:val="21"/>
        </w:rPr>
        <w:t> </w:t>
      </w:r>
      <w:r>
        <w:rPr>
          <w:color w:val="383638"/>
          <w:w w:val="120"/>
          <w:sz w:val="21"/>
        </w:rPr>
        <w:t>blamed</w:t>
      </w:r>
      <w:r>
        <w:rPr>
          <w:color w:val="383638"/>
          <w:spacing w:val="-8"/>
          <w:w w:val="120"/>
          <w:sz w:val="21"/>
        </w:rPr>
        <w:t> </w:t>
      </w:r>
      <w:r>
        <w:rPr>
          <w:color w:val="383638"/>
          <w:w w:val="120"/>
          <w:sz w:val="21"/>
        </w:rPr>
        <w:t>on</w:t>
      </w:r>
      <w:r>
        <w:rPr>
          <w:color w:val="383638"/>
          <w:spacing w:val="14"/>
          <w:w w:val="120"/>
          <w:sz w:val="21"/>
        </w:rPr>
        <w:t> </w:t>
      </w:r>
      <w:r>
        <w:rPr>
          <w:color w:val="383638"/>
          <w:w w:val="120"/>
          <w:sz w:val="21"/>
        </w:rPr>
        <w:t>Congress.</w:t>
      </w:r>
      <w:r>
        <w:rPr>
          <w:color w:val="383638"/>
          <w:spacing w:val="-60"/>
          <w:w w:val="120"/>
          <w:sz w:val="21"/>
        </w:rPr>
        <w:t> </w:t>
      </w:r>
      <w:r>
        <w:rPr>
          <w:color w:val="383638"/>
          <w:w w:val="120"/>
          <w:sz w:val="21"/>
        </w:rPr>
        <w:t>The</w:t>
      </w:r>
      <w:r>
        <w:rPr>
          <w:color w:val="383638"/>
          <w:spacing w:val="10"/>
          <w:w w:val="120"/>
          <w:sz w:val="21"/>
        </w:rPr>
        <w:t> </w:t>
      </w:r>
      <w:r>
        <w:rPr>
          <w:color w:val="383638"/>
          <w:w w:val="120"/>
          <w:sz w:val="21"/>
        </w:rPr>
        <w:t>fault</w:t>
      </w:r>
      <w:r>
        <w:rPr>
          <w:color w:val="383638"/>
          <w:spacing w:val="-10"/>
          <w:w w:val="120"/>
          <w:sz w:val="21"/>
        </w:rPr>
        <w:t> </w:t>
      </w:r>
      <w:r>
        <w:rPr>
          <w:color w:val="383638"/>
          <w:w w:val="120"/>
          <w:sz w:val="21"/>
        </w:rPr>
        <w:t>was</w:t>
      </w:r>
      <w:r>
        <w:rPr>
          <w:color w:val="383638"/>
          <w:spacing w:val="-36"/>
          <w:w w:val="120"/>
          <w:sz w:val="21"/>
        </w:rPr>
        <w:t> </w:t>
      </w:r>
      <w:r>
        <w:rPr>
          <w:color w:val="383638"/>
          <w:w w:val="120"/>
          <w:sz w:val="21"/>
        </w:rPr>
        <w:t>Congress's.</w:t>
      </w:r>
    </w:p>
    <w:p>
      <w:pPr>
        <w:spacing w:after="0" w:line="240" w:lineRule="auto"/>
        <w:jc w:val="left"/>
        <w:rPr>
          <w:sz w:val="21"/>
        </w:rPr>
        <w:sectPr>
          <w:headerReference w:type="even" r:id="rId378"/>
          <w:pgSz w:w="9820" w:h="14020"/>
          <w:pgMar w:header="0" w:footer="0" w:top="0" w:bottom="0" w:left="4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32" w:lineRule="auto"/>
        <w:ind w:left="121" w:right="642" w:firstLine="333"/>
        <w:jc w:val="both"/>
      </w:pPr>
      <w:r>
        <w:rPr>
          <w:color w:val="383638"/>
          <w:w w:val="110"/>
        </w:rPr>
        <w:t>Adding </w:t>
      </w:r>
      <w:r>
        <w:rPr>
          <w:rFonts w:ascii="Arial" w:hAnsi="Arial"/>
          <w:i/>
          <w:color w:val="383638"/>
          <w:w w:val="110"/>
          <w:sz w:val="21"/>
        </w:rPr>
        <w:t>{apostrophe] s </w:t>
      </w:r>
      <w:r>
        <w:rPr>
          <w:color w:val="383638"/>
          <w:w w:val="110"/>
        </w:rPr>
        <w:t>when making any singular noun possessive is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preferable because most people pronounce the added </w:t>
      </w:r>
      <w:r>
        <w:rPr>
          <w:i/>
          <w:color w:val="383638"/>
          <w:w w:val="110"/>
          <w:sz w:val="25"/>
        </w:rPr>
        <w:t>s </w:t>
      </w:r>
      <w:r>
        <w:rPr>
          <w:color w:val="383638"/>
          <w:w w:val="110"/>
        </w:rPr>
        <w:t>without any prob­</w:t>
      </w:r>
      <w:r>
        <w:rPr>
          <w:color w:val="383638"/>
          <w:spacing w:val="-61"/>
          <w:w w:val="110"/>
        </w:rPr>
        <w:t> </w:t>
      </w:r>
      <w:r>
        <w:rPr>
          <w:color w:val="383638"/>
          <w:w w:val="110"/>
        </w:rPr>
        <w:t>lem. Furthermore, as a practical matter, one rule is easier to remember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than</w:t>
      </w:r>
      <w:r>
        <w:rPr>
          <w:color w:val="383638"/>
          <w:spacing w:val="-3"/>
          <w:w w:val="110"/>
        </w:rPr>
        <w:t> </w:t>
      </w:r>
      <w:r>
        <w:rPr>
          <w:color w:val="383638"/>
          <w:w w:val="110"/>
        </w:rPr>
        <w:t>two.</w:t>
      </w:r>
    </w:p>
    <w:p>
      <w:pPr>
        <w:spacing w:before="101"/>
        <w:ind w:left="454" w:right="0" w:firstLine="0"/>
        <w:jc w:val="both"/>
        <w:rPr>
          <w:b/>
          <w:i/>
          <w:sz w:val="21"/>
        </w:rPr>
      </w:pPr>
      <w:r>
        <w:rPr>
          <w:b/>
          <w:i/>
          <w:color w:val="383638"/>
          <w:spacing w:val="-1"/>
          <w:w w:val="105"/>
          <w:sz w:val="21"/>
        </w:rPr>
        <w:t>Making</w:t>
      </w:r>
      <w:r>
        <w:rPr>
          <w:b/>
          <w:i/>
          <w:color w:val="383638"/>
          <w:spacing w:val="-14"/>
          <w:w w:val="105"/>
          <w:sz w:val="21"/>
        </w:rPr>
        <w:t> </w:t>
      </w:r>
      <w:r>
        <w:rPr>
          <w:b/>
          <w:i/>
          <w:color w:val="383638"/>
          <w:spacing w:val="-1"/>
          <w:w w:val="105"/>
          <w:sz w:val="21"/>
        </w:rPr>
        <w:t>a</w:t>
      </w:r>
      <w:r>
        <w:rPr>
          <w:b/>
          <w:i/>
          <w:color w:val="383638"/>
          <w:spacing w:val="32"/>
          <w:w w:val="105"/>
          <w:sz w:val="21"/>
        </w:rPr>
        <w:t> </w:t>
      </w:r>
      <w:r>
        <w:rPr>
          <w:b/>
          <w:i/>
          <w:color w:val="383638"/>
          <w:spacing w:val="-1"/>
          <w:w w:val="105"/>
          <w:sz w:val="21"/>
        </w:rPr>
        <w:t>Plural</w:t>
      </w:r>
      <w:r>
        <w:rPr>
          <w:b/>
          <w:i/>
          <w:color w:val="383638"/>
          <w:spacing w:val="15"/>
          <w:w w:val="105"/>
          <w:sz w:val="21"/>
        </w:rPr>
        <w:t> </w:t>
      </w:r>
      <w:r>
        <w:rPr>
          <w:b/>
          <w:i/>
          <w:color w:val="383638"/>
          <w:spacing w:val="-1"/>
          <w:w w:val="105"/>
          <w:sz w:val="21"/>
        </w:rPr>
        <w:t>Noun</w:t>
      </w:r>
      <w:r>
        <w:rPr>
          <w:b/>
          <w:i/>
          <w:color w:val="383638"/>
          <w:spacing w:val="2"/>
          <w:w w:val="105"/>
          <w:sz w:val="21"/>
        </w:rPr>
        <w:t> </w:t>
      </w:r>
      <w:r>
        <w:rPr>
          <w:b/>
          <w:i/>
          <w:color w:val="383638"/>
          <w:spacing w:val="-1"/>
          <w:w w:val="105"/>
          <w:sz w:val="21"/>
        </w:rPr>
        <w:t>Possessive</w:t>
      </w:r>
    </w:p>
    <w:p>
      <w:pPr>
        <w:pStyle w:val="BodyText"/>
        <w:spacing w:line="225" w:lineRule="auto" w:before="167"/>
        <w:ind w:left="126" w:right="604" w:firstLine="328"/>
        <w:jc w:val="both"/>
        <w:rPr>
          <w:i/>
        </w:rPr>
      </w:pPr>
      <w:r>
        <w:rPr>
          <w:color w:val="383638"/>
          <w:w w:val="110"/>
        </w:rPr>
        <w:t>About this point there is no controversy. When you are making a plu­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ral noun possessive, and that plural noun already ends </w:t>
      </w:r>
      <w:r>
        <w:rPr>
          <w:color w:val="383638"/>
          <w:w w:val="110"/>
          <w:sz w:val="21"/>
        </w:rPr>
        <w:t>in </w:t>
      </w:r>
      <w:r>
        <w:rPr>
          <w:i/>
          <w:color w:val="383638"/>
          <w:w w:val="110"/>
          <w:sz w:val="24"/>
        </w:rPr>
        <w:t>s, </w:t>
      </w:r>
      <w:r>
        <w:rPr>
          <w:color w:val="383638"/>
          <w:w w:val="110"/>
        </w:rPr>
        <w:t>add an apos­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trophe</w:t>
      </w:r>
      <w:r>
        <w:rPr>
          <w:color w:val="383638"/>
          <w:spacing w:val="-13"/>
          <w:w w:val="110"/>
        </w:rPr>
        <w:t> </w:t>
      </w:r>
      <w:r>
        <w:rPr>
          <w:color w:val="383638"/>
          <w:w w:val="110"/>
        </w:rPr>
        <w:t>without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an</w:t>
      </w:r>
      <w:r>
        <w:rPr>
          <w:color w:val="383638"/>
          <w:spacing w:val="12"/>
          <w:w w:val="110"/>
        </w:rPr>
        <w:t> </w:t>
      </w:r>
      <w:r>
        <w:rPr>
          <w:i/>
          <w:color w:val="383638"/>
          <w:w w:val="110"/>
        </w:rPr>
        <w:t>s.</w:t>
      </w:r>
    </w:p>
    <w:p>
      <w:pPr>
        <w:spacing w:before="107"/>
        <w:ind w:left="144" w:right="0" w:firstLine="0"/>
        <w:jc w:val="left"/>
        <w:rPr>
          <w:b/>
          <w:sz w:val="16"/>
        </w:rPr>
      </w:pPr>
      <w:r>
        <w:rPr>
          <w:rFonts w:ascii="Arial"/>
          <w:i/>
          <w:color w:val="545254"/>
          <w:spacing w:val="-1"/>
          <w:w w:val="85"/>
          <w:sz w:val="25"/>
          <w:u w:val="thick" w:color="545254"/>
        </w:rPr>
        <w:t>_f::i</w:t>
      </w:r>
      <w:r>
        <w:rPr>
          <w:rFonts w:ascii="Arial"/>
          <w:i/>
          <w:color w:val="545254"/>
          <w:spacing w:val="-1"/>
          <w:w w:val="85"/>
          <w:sz w:val="25"/>
        </w:rPr>
        <w:t>,</w:t>
      </w:r>
      <w:r>
        <w:rPr>
          <w:rFonts w:ascii="Arial"/>
          <w:i/>
          <w:color w:val="545254"/>
          <w:spacing w:val="-31"/>
          <w:w w:val="85"/>
          <w:sz w:val="25"/>
        </w:rPr>
        <w:t> </w:t>
      </w:r>
      <w:r>
        <w:rPr>
          <w:rFonts w:ascii="Arial"/>
          <w:color w:val="383638"/>
          <w:w w:val="85"/>
          <w:sz w:val="15"/>
          <w:u w:val="thick" w:color="383638"/>
        </w:rPr>
        <w:t>GOOD</w:t>
      </w:r>
      <w:r>
        <w:rPr>
          <w:rFonts w:ascii="Arial"/>
          <w:color w:val="383638"/>
          <w:spacing w:val="4"/>
          <w:w w:val="85"/>
          <w:sz w:val="15"/>
          <w:u w:val="thick" w:color="383638"/>
        </w:rPr>
        <w:t> </w:t>
      </w:r>
      <w:r>
        <w:rPr>
          <w:b/>
          <w:color w:val="383638"/>
          <w:w w:val="85"/>
          <w:sz w:val="16"/>
          <w:u w:val="thick" w:color="383638"/>
        </w:rPr>
        <w:t>EXAMPLES</w:t>
      </w:r>
    </w:p>
    <w:p>
      <w:pPr>
        <w:spacing w:line="230" w:lineRule="auto" w:before="86"/>
        <w:ind w:left="439" w:right="4551" w:firstLine="0"/>
        <w:jc w:val="both"/>
        <w:rPr>
          <w:b/>
          <w:sz w:val="21"/>
        </w:rPr>
      </w:pPr>
      <w:r>
        <w:rPr>
          <w:b/>
          <w:color w:val="383638"/>
          <w:w w:val="110"/>
          <w:sz w:val="21"/>
        </w:rPr>
        <w:t>This house belongs to the Dukes.</w:t>
      </w:r>
      <w:r>
        <w:rPr>
          <w:b/>
          <w:color w:val="383638"/>
          <w:spacing w:val="-55"/>
          <w:w w:val="110"/>
          <w:sz w:val="21"/>
        </w:rPr>
        <w:t> </w:t>
      </w:r>
      <w:r>
        <w:rPr>
          <w:b/>
          <w:color w:val="383638"/>
          <w:spacing w:val="-1"/>
          <w:w w:val="110"/>
          <w:sz w:val="21"/>
        </w:rPr>
        <w:t>This</w:t>
      </w:r>
      <w:r>
        <w:rPr>
          <w:b/>
          <w:color w:val="383638"/>
          <w:spacing w:val="-26"/>
          <w:w w:val="110"/>
          <w:sz w:val="21"/>
        </w:rPr>
        <w:t> </w:t>
      </w:r>
      <w:r>
        <w:rPr>
          <w:b/>
          <w:color w:val="383638"/>
          <w:spacing w:val="-1"/>
          <w:w w:val="110"/>
          <w:sz w:val="21"/>
        </w:rPr>
        <w:t>is</w:t>
      </w:r>
      <w:r>
        <w:rPr>
          <w:b/>
          <w:color w:val="383638"/>
          <w:spacing w:val="11"/>
          <w:w w:val="110"/>
          <w:sz w:val="21"/>
        </w:rPr>
        <w:t> </w:t>
      </w:r>
      <w:r>
        <w:rPr>
          <w:b/>
          <w:color w:val="383638"/>
          <w:spacing w:val="-1"/>
          <w:w w:val="110"/>
          <w:sz w:val="21"/>
        </w:rPr>
        <w:t>the</w:t>
      </w:r>
      <w:r>
        <w:rPr>
          <w:b/>
          <w:color w:val="383638"/>
          <w:spacing w:val="1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Dukes'</w:t>
      </w:r>
      <w:r>
        <w:rPr>
          <w:b/>
          <w:color w:val="383638"/>
          <w:spacing w:val="-20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house.</w:t>
      </w:r>
    </w:p>
    <w:p>
      <w:pPr>
        <w:spacing w:before="1"/>
        <w:ind w:left="439" w:right="0" w:firstLine="0"/>
        <w:jc w:val="both"/>
        <w:rPr>
          <w:b/>
          <w:sz w:val="21"/>
        </w:rPr>
      </w:pPr>
      <w:r>
        <w:rPr>
          <w:b/>
          <w:color w:val="383638"/>
          <w:w w:val="110"/>
          <w:sz w:val="21"/>
        </w:rPr>
        <w:t>This</w:t>
      </w:r>
      <w:r>
        <w:rPr>
          <w:b/>
          <w:color w:val="383638"/>
          <w:spacing w:val="-2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house</w:t>
      </w:r>
      <w:r>
        <w:rPr>
          <w:b/>
          <w:color w:val="383638"/>
          <w:spacing w:val="-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is</w:t>
      </w:r>
      <w:r>
        <w:rPr>
          <w:b/>
          <w:color w:val="383638"/>
          <w:spacing w:val="-4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</w:t>
      </w:r>
      <w:r>
        <w:rPr>
          <w:b/>
          <w:color w:val="383638"/>
          <w:spacing w:val="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Dukes'</w:t>
      </w:r>
      <w:r>
        <w:rPr>
          <w:b/>
          <w:color w:val="545254"/>
          <w:w w:val="110"/>
          <w:sz w:val="21"/>
        </w:rPr>
        <w:t>.</w:t>
      </w:r>
    </w:p>
    <w:p>
      <w:pPr>
        <w:spacing w:before="144"/>
        <w:ind w:left="450" w:right="0" w:firstLine="0"/>
        <w:jc w:val="left"/>
        <w:rPr>
          <w:rFonts w:ascii="Arial"/>
          <w:i/>
          <w:sz w:val="21"/>
        </w:rPr>
      </w:pPr>
      <w:r>
        <w:rPr>
          <w:color w:val="383638"/>
          <w:w w:val="105"/>
          <w:sz w:val="23"/>
        </w:rPr>
        <w:t>If</w:t>
      </w:r>
      <w:r>
        <w:rPr>
          <w:color w:val="383638"/>
          <w:spacing w:val="8"/>
          <w:w w:val="105"/>
          <w:sz w:val="23"/>
        </w:rPr>
        <w:t> </w:t>
      </w:r>
      <w:r>
        <w:rPr>
          <w:color w:val="383638"/>
          <w:w w:val="105"/>
          <w:sz w:val="23"/>
        </w:rPr>
        <w:t>the</w:t>
      </w:r>
      <w:r>
        <w:rPr>
          <w:color w:val="383638"/>
          <w:spacing w:val="31"/>
          <w:w w:val="105"/>
          <w:sz w:val="23"/>
        </w:rPr>
        <w:t> </w:t>
      </w:r>
      <w:r>
        <w:rPr>
          <w:color w:val="383638"/>
          <w:w w:val="105"/>
          <w:sz w:val="23"/>
        </w:rPr>
        <w:t>plural</w:t>
      </w:r>
      <w:r>
        <w:rPr>
          <w:color w:val="383638"/>
          <w:spacing w:val="7"/>
          <w:w w:val="105"/>
          <w:sz w:val="23"/>
        </w:rPr>
        <w:t> </w:t>
      </w:r>
      <w:r>
        <w:rPr>
          <w:color w:val="383638"/>
          <w:w w:val="105"/>
          <w:sz w:val="23"/>
        </w:rPr>
        <w:t>noun</w:t>
      </w:r>
      <w:r>
        <w:rPr>
          <w:color w:val="383638"/>
          <w:spacing w:val="2"/>
          <w:w w:val="105"/>
          <w:sz w:val="23"/>
        </w:rPr>
        <w:t> </w:t>
      </w:r>
      <w:r>
        <w:rPr>
          <w:color w:val="383638"/>
          <w:w w:val="105"/>
          <w:sz w:val="23"/>
        </w:rPr>
        <w:t>does</w:t>
      </w:r>
      <w:r>
        <w:rPr>
          <w:color w:val="383638"/>
          <w:spacing w:val="1"/>
          <w:w w:val="105"/>
          <w:sz w:val="23"/>
        </w:rPr>
        <w:t> </w:t>
      </w:r>
      <w:r>
        <w:rPr>
          <w:color w:val="383638"/>
          <w:w w:val="105"/>
          <w:sz w:val="23"/>
        </w:rPr>
        <w:t>not</w:t>
      </w:r>
      <w:r>
        <w:rPr>
          <w:color w:val="383638"/>
          <w:spacing w:val="19"/>
          <w:w w:val="105"/>
          <w:sz w:val="23"/>
        </w:rPr>
        <w:t> </w:t>
      </w:r>
      <w:r>
        <w:rPr>
          <w:color w:val="383638"/>
          <w:w w:val="105"/>
          <w:sz w:val="23"/>
        </w:rPr>
        <w:t>end</w:t>
      </w:r>
      <w:r>
        <w:rPr>
          <w:color w:val="383638"/>
          <w:spacing w:val="25"/>
          <w:w w:val="105"/>
          <w:sz w:val="23"/>
        </w:rPr>
        <w:t> </w:t>
      </w:r>
      <w:r>
        <w:rPr>
          <w:color w:val="383638"/>
          <w:w w:val="105"/>
          <w:sz w:val="23"/>
        </w:rPr>
        <w:t>ins </w:t>
      </w:r>
      <w:r>
        <w:rPr>
          <w:color w:val="383638"/>
          <w:spacing w:val="19"/>
          <w:w w:val="105"/>
          <w:sz w:val="23"/>
        </w:rPr>
        <w:t> </w:t>
      </w:r>
      <w:r>
        <w:rPr>
          <w:color w:val="383638"/>
          <w:w w:val="105"/>
          <w:sz w:val="23"/>
        </w:rPr>
        <w:t>(e</w:t>
      </w:r>
      <w:r>
        <w:rPr>
          <w:color w:val="545254"/>
          <w:w w:val="105"/>
          <w:sz w:val="23"/>
        </w:rPr>
        <w:t>.</w:t>
      </w:r>
      <w:r>
        <w:rPr>
          <w:color w:val="383638"/>
          <w:w w:val="105"/>
          <w:sz w:val="23"/>
        </w:rPr>
        <w:t>g</w:t>
      </w:r>
      <w:r>
        <w:rPr>
          <w:color w:val="545254"/>
          <w:w w:val="105"/>
          <w:sz w:val="23"/>
        </w:rPr>
        <w:t>.</w:t>
      </w:r>
      <w:r>
        <w:rPr>
          <w:color w:val="383638"/>
          <w:w w:val="105"/>
          <w:sz w:val="23"/>
        </w:rPr>
        <w:t>,</w:t>
      </w:r>
      <w:r>
        <w:rPr>
          <w:color w:val="383638"/>
          <w:spacing w:val="4"/>
          <w:w w:val="105"/>
          <w:sz w:val="23"/>
        </w:rPr>
        <w:t> </w:t>
      </w:r>
      <w:r>
        <w:rPr>
          <w:rFonts w:ascii="Arial"/>
          <w:i/>
          <w:color w:val="383638"/>
          <w:w w:val="105"/>
          <w:sz w:val="21"/>
        </w:rPr>
        <w:t>children),</w:t>
      </w:r>
      <w:r>
        <w:rPr>
          <w:rFonts w:ascii="Arial"/>
          <w:i/>
          <w:color w:val="383638"/>
          <w:spacing w:val="-6"/>
          <w:w w:val="105"/>
          <w:sz w:val="21"/>
        </w:rPr>
        <w:t> </w:t>
      </w:r>
      <w:r>
        <w:rPr>
          <w:color w:val="383638"/>
          <w:w w:val="105"/>
          <w:sz w:val="23"/>
        </w:rPr>
        <w:t>add</w:t>
      </w:r>
      <w:r>
        <w:rPr>
          <w:color w:val="383638"/>
          <w:spacing w:val="27"/>
          <w:w w:val="105"/>
          <w:sz w:val="23"/>
        </w:rPr>
        <w:t> </w:t>
      </w:r>
      <w:r>
        <w:rPr>
          <w:rFonts w:ascii="Arial"/>
          <w:i/>
          <w:color w:val="383638"/>
          <w:w w:val="105"/>
          <w:sz w:val="21"/>
        </w:rPr>
        <w:t>{apostrophe]</w:t>
      </w:r>
      <w:r>
        <w:rPr>
          <w:rFonts w:ascii="Arial"/>
          <w:i/>
          <w:color w:val="383638"/>
          <w:spacing w:val="11"/>
          <w:w w:val="105"/>
          <w:sz w:val="21"/>
        </w:rPr>
        <w:t> </w:t>
      </w:r>
      <w:r>
        <w:rPr>
          <w:rFonts w:ascii="Arial"/>
          <w:i/>
          <w:color w:val="383638"/>
          <w:w w:val="105"/>
          <w:sz w:val="21"/>
        </w:rPr>
        <w:t>s.</w:t>
      </w:r>
    </w:p>
    <w:p>
      <w:pPr>
        <w:spacing w:before="73"/>
        <w:ind w:left="115" w:right="0" w:firstLine="0"/>
        <w:jc w:val="left"/>
        <w:rPr>
          <w:rFonts w:ascii="Arial"/>
          <w:sz w:val="15"/>
        </w:rPr>
      </w:pPr>
      <w:r>
        <w:rPr>
          <w:rFonts w:ascii="Arial"/>
          <w:i/>
          <w:color w:val="545254"/>
          <w:w w:val="85"/>
          <w:sz w:val="28"/>
          <w:u w:val="thick" w:color="545254"/>
        </w:rPr>
        <w:t>-I::::</w:t>
      </w:r>
      <w:r>
        <w:rPr>
          <w:rFonts w:ascii="Arial"/>
          <w:i/>
          <w:color w:val="545254"/>
          <w:w w:val="85"/>
          <w:sz w:val="28"/>
        </w:rPr>
        <w:t>.</w:t>
      </w:r>
      <w:r>
        <w:rPr>
          <w:rFonts w:ascii="Arial"/>
          <w:i/>
          <w:color w:val="545254"/>
          <w:spacing w:val="-28"/>
          <w:w w:val="85"/>
          <w:sz w:val="28"/>
        </w:rPr>
        <w:t> </w:t>
      </w:r>
      <w:r>
        <w:rPr>
          <w:rFonts w:ascii="Arial"/>
          <w:color w:val="383638"/>
          <w:w w:val="85"/>
          <w:sz w:val="15"/>
          <w:u w:val="thick" w:color="383638"/>
        </w:rPr>
        <w:t>GOOD</w:t>
      </w:r>
      <w:r>
        <w:rPr>
          <w:rFonts w:ascii="Arial"/>
          <w:color w:val="383638"/>
          <w:spacing w:val="11"/>
          <w:w w:val="85"/>
          <w:sz w:val="15"/>
          <w:u w:val="thick" w:color="383638"/>
        </w:rPr>
        <w:t> </w:t>
      </w:r>
      <w:r>
        <w:rPr>
          <w:rFonts w:ascii="Arial"/>
          <w:color w:val="383638"/>
          <w:w w:val="85"/>
          <w:sz w:val="15"/>
          <w:u w:val="thick" w:color="383638"/>
        </w:rPr>
        <w:t>EXAMPLES</w:t>
      </w:r>
    </w:p>
    <w:p>
      <w:pPr>
        <w:spacing w:line="230" w:lineRule="auto" w:before="80"/>
        <w:ind w:left="439" w:right="3924" w:firstLine="0"/>
        <w:jc w:val="left"/>
        <w:rPr>
          <w:b/>
          <w:sz w:val="21"/>
        </w:rPr>
      </w:pPr>
      <w:r>
        <w:rPr>
          <w:b/>
          <w:color w:val="383638"/>
          <w:w w:val="110"/>
          <w:sz w:val="21"/>
        </w:rPr>
        <w:t>These</w:t>
      </w:r>
      <w:r>
        <w:rPr>
          <w:b/>
          <w:color w:val="383638"/>
          <w:spacing w:val="3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toys</w:t>
      </w:r>
      <w:r>
        <w:rPr>
          <w:b/>
          <w:color w:val="383638"/>
          <w:spacing w:val="-1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belong</w:t>
      </w:r>
      <w:r>
        <w:rPr>
          <w:b/>
          <w:color w:val="383638"/>
          <w:spacing w:val="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to</w:t>
      </w:r>
      <w:r>
        <w:rPr>
          <w:b/>
          <w:color w:val="383638"/>
          <w:spacing w:val="1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children.</w:t>
      </w:r>
      <w:r>
        <w:rPr>
          <w:b/>
          <w:color w:val="383638"/>
          <w:spacing w:val="-54"/>
          <w:w w:val="110"/>
          <w:sz w:val="21"/>
        </w:rPr>
        <w:t> </w:t>
      </w:r>
      <w:r>
        <w:rPr>
          <w:b/>
          <w:color w:val="383638"/>
          <w:spacing w:val="-1"/>
          <w:w w:val="110"/>
          <w:sz w:val="21"/>
        </w:rPr>
        <w:t>These</w:t>
      </w:r>
      <w:r>
        <w:rPr>
          <w:b/>
          <w:color w:val="383638"/>
          <w:spacing w:val="-16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are</w:t>
      </w:r>
      <w:r>
        <w:rPr>
          <w:b/>
          <w:color w:val="383638"/>
          <w:spacing w:val="-1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</w:t>
      </w:r>
      <w:r>
        <w:rPr>
          <w:b/>
          <w:color w:val="383638"/>
          <w:spacing w:val="8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children's</w:t>
      </w:r>
      <w:r>
        <w:rPr>
          <w:b/>
          <w:color w:val="383638"/>
          <w:spacing w:val="-9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toys.</w:t>
      </w:r>
    </w:p>
    <w:p>
      <w:pPr>
        <w:spacing w:before="1"/>
        <w:ind w:left="439" w:right="0" w:firstLine="0"/>
        <w:jc w:val="left"/>
        <w:rPr>
          <w:b/>
          <w:sz w:val="21"/>
        </w:rPr>
      </w:pPr>
      <w:r>
        <w:rPr>
          <w:b/>
          <w:color w:val="383638"/>
          <w:spacing w:val="-1"/>
          <w:w w:val="110"/>
          <w:sz w:val="21"/>
        </w:rPr>
        <w:t>These</w:t>
      </w:r>
      <w:r>
        <w:rPr>
          <w:b/>
          <w:color w:val="383638"/>
          <w:spacing w:val="-11"/>
          <w:w w:val="110"/>
          <w:sz w:val="21"/>
        </w:rPr>
        <w:t> </w:t>
      </w:r>
      <w:r>
        <w:rPr>
          <w:b/>
          <w:color w:val="383638"/>
          <w:spacing w:val="-1"/>
          <w:w w:val="110"/>
          <w:sz w:val="21"/>
        </w:rPr>
        <w:t>toys</w:t>
      </w:r>
      <w:r>
        <w:rPr>
          <w:b/>
          <w:color w:val="383638"/>
          <w:spacing w:val="-22"/>
          <w:w w:val="110"/>
          <w:sz w:val="21"/>
        </w:rPr>
        <w:t> </w:t>
      </w:r>
      <w:r>
        <w:rPr>
          <w:b/>
          <w:color w:val="383638"/>
          <w:spacing w:val="-1"/>
          <w:w w:val="110"/>
          <w:sz w:val="21"/>
        </w:rPr>
        <w:t>are</w:t>
      </w:r>
      <w:r>
        <w:rPr>
          <w:b/>
          <w:color w:val="383638"/>
          <w:spacing w:val="-5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the</w:t>
      </w:r>
      <w:r>
        <w:rPr>
          <w:b/>
          <w:color w:val="383638"/>
          <w:spacing w:val="-2"/>
          <w:w w:val="110"/>
          <w:sz w:val="21"/>
        </w:rPr>
        <w:t> </w:t>
      </w:r>
      <w:r>
        <w:rPr>
          <w:b/>
          <w:color w:val="383638"/>
          <w:w w:val="110"/>
          <w:sz w:val="21"/>
        </w:rPr>
        <w:t>children's.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9"/>
        <w:rPr>
          <w:b/>
        </w:rPr>
      </w:pPr>
    </w:p>
    <w:p>
      <w:pPr>
        <w:spacing w:line="357" w:lineRule="exact" w:before="0"/>
        <w:ind w:left="473" w:right="0" w:firstLine="0"/>
        <w:jc w:val="left"/>
        <w:rPr>
          <w:rFonts w:ascii="Courier New"/>
          <w:b/>
          <w:sz w:val="32"/>
        </w:rPr>
      </w:pPr>
      <w:r>
        <w:rPr>
          <w:rFonts w:ascii="Courier New"/>
          <w:b/>
          <w:color w:val="383638"/>
          <w:w w:val="80"/>
          <w:sz w:val="32"/>
        </w:rPr>
        <w:t>A.5.2</w:t>
      </w:r>
    </w:p>
    <w:p>
      <w:pPr>
        <w:spacing w:line="270" w:lineRule="exact" w:before="0"/>
        <w:ind w:left="468" w:right="0" w:firstLine="0"/>
        <w:jc w:val="left"/>
        <w:rPr>
          <w:b/>
          <w:sz w:val="24"/>
        </w:rPr>
      </w:pPr>
      <w:r>
        <w:rPr>
          <w:rFonts w:ascii="Arial"/>
          <w:b/>
          <w:color w:val="383638"/>
          <w:sz w:val="22"/>
        </w:rPr>
        <w:t>SEMICOLON</w:t>
      </w:r>
      <w:r>
        <w:rPr>
          <w:rFonts w:ascii="Arial"/>
          <w:b/>
          <w:color w:val="383638"/>
          <w:spacing w:val="43"/>
          <w:sz w:val="22"/>
        </w:rPr>
        <w:t> </w:t>
      </w:r>
      <w:r>
        <w:rPr>
          <w:b/>
          <w:color w:val="383638"/>
          <w:sz w:val="24"/>
        </w:rPr>
        <w:t>USE</w:t>
      </w:r>
    </w:p>
    <w:p>
      <w:pPr>
        <w:pStyle w:val="BodyText"/>
        <w:spacing w:line="232" w:lineRule="auto" w:before="164"/>
        <w:ind w:left="110" w:right="536" w:firstLine="341"/>
        <w:jc w:val="both"/>
      </w:pPr>
      <w:r>
        <w:rPr>
          <w:color w:val="383638"/>
          <w:w w:val="110"/>
        </w:rPr>
        <w:t>Effective use of semicolons separates sophisticated writers from unso­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5"/>
        </w:rPr>
        <w:t>phisticated ones; it's worth taking </w:t>
      </w:r>
      <w:r>
        <w:rPr>
          <w:color w:val="383638"/>
          <w:w w:val="115"/>
        </w:rPr>
        <w:t>a little time to learn to use them prop­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0"/>
        </w:rPr>
        <w:t>erly.</w:t>
      </w:r>
      <w:r>
        <w:rPr>
          <w:color w:val="383638"/>
          <w:spacing w:val="-7"/>
          <w:w w:val="110"/>
        </w:rPr>
        <w:t> </w:t>
      </w:r>
      <w:r>
        <w:rPr>
          <w:color w:val="383638"/>
          <w:w w:val="110"/>
        </w:rPr>
        <w:t>Here</w:t>
      </w:r>
      <w:r>
        <w:rPr>
          <w:color w:val="383638"/>
          <w:spacing w:val="-14"/>
          <w:w w:val="110"/>
        </w:rPr>
        <w:t> </w:t>
      </w:r>
      <w:r>
        <w:rPr>
          <w:color w:val="383638"/>
          <w:w w:val="110"/>
        </w:rPr>
        <w:t>are</w:t>
      </w:r>
      <w:r>
        <w:rPr>
          <w:color w:val="383638"/>
          <w:spacing w:val="13"/>
          <w:w w:val="110"/>
        </w:rPr>
        <w:t> </w:t>
      </w:r>
      <w:r>
        <w:rPr>
          <w:color w:val="383638"/>
          <w:w w:val="110"/>
        </w:rPr>
        <w:t>a</w:t>
      </w:r>
      <w:r>
        <w:rPr>
          <w:color w:val="383638"/>
          <w:spacing w:val="-1"/>
          <w:w w:val="110"/>
        </w:rPr>
        <w:t> </w:t>
      </w:r>
      <w:r>
        <w:rPr>
          <w:color w:val="383638"/>
          <w:w w:val="110"/>
        </w:rPr>
        <w:t>few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basic</w:t>
      </w:r>
      <w:r>
        <w:rPr>
          <w:color w:val="383638"/>
          <w:spacing w:val="-16"/>
          <w:w w:val="110"/>
        </w:rPr>
        <w:t> </w:t>
      </w:r>
      <w:r>
        <w:rPr>
          <w:color w:val="383638"/>
          <w:w w:val="110"/>
        </w:rPr>
        <w:t>semicolon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rules:</w:t>
      </w:r>
    </w:p>
    <w:p>
      <w:pPr>
        <w:pStyle w:val="ListParagraph"/>
        <w:numPr>
          <w:ilvl w:val="0"/>
          <w:numId w:val="125"/>
        </w:numPr>
        <w:tabs>
          <w:tab w:pos="726" w:val="left" w:leader="none"/>
        </w:tabs>
        <w:spacing w:line="228" w:lineRule="auto" w:before="4" w:after="0"/>
        <w:ind w:left="120" w:right="551" w:firstLine="332"/>
        <w:jc w:val="both"/>
        <w:rPr>
          <w:rFonts w:ascii="Arial" w:hAnsi="Arial"/>
          <w:color w:val="383638"/>
          <w:sz w:val="21"/>
        </w:rPr>
      </w:pPr>
      <w:r>
        <w:rPr>
          <w:color w:val="383638"/>
          <w:w w:val="110"/>
          <w:sz w:val="23"/>
        </w:rPr>
        <w:t>Use a semicolon to separate independent clauses</w:t>
      </w:r>
      <w:r>
        <w:rPr>
          <w:rFonts w:ascii="Arial" w:hAnsi="Arial"/>
          <w:color w:val="383638"/>
          <w:w w:val="110"/>
          <w:sz w:val="23"/>
          <w:vertAlign w:val="superscript"/>
        </w:rPr>
        <w:t>3</w:t>
      </w:r>
      <w:r>
        <w:rPr>
          <w:rFonts w:ascii="Arial" w:hAnsi="Arial"/>
          <w:color w:val="383638"/>
          <w:w w:val="110"/>
          <w:sz w:val="23"/>
          <w:vertAlign w:val="baseline"/>
        </w:rPr>
        <w:t> </w:t>
      </w:r>
      <w:r>
        <w:rPr>
          <w:i/>
          <w:color w:val="383638"/>
          <w:w w:val="110"/>
          <w:sz w:val="23"/>
          <w:vertAlign w:val="baseline"/>
        </w:rPr>
        <w:t>not </w:t>
      </w:r>
      <w:r>
        <w:rPr>
          <w:color w:val="383638"/>
          <w:w w:val="110"/>
          <w:sz w:val="23"/>
          <w:vertAlign w:val="baseline"/>
        </w:rPr>
        <w:t>joined by a</w:t>
      </w:r>
      <w:r>
        <w:rPr>
          <w:color w:val="383638"/>
          <w:spacing w:val="1"/>
          <w:w w:val="110"/>
          <w:sz w:val="23"/>
          <w:vertAlign w:val="baseline"/>
        </w:rPr>
        <w:t> </w:t>
      </w:r>
      <w:r>
        <w:rPr>
          <w:color w:val="383638"/>
          <w:spacing w:val="-1"/>
          <w:w w:val="108"/>
          <w:sz w:val="23"/>
          <w:vertAlign w:val="baseline"/>
        </w:rPr>
        <w:t>coordinatin</w:t>
      </w:r>
      <w:r>
        <w:rPr>
          <w:color w:val="383638"/>
          <w:w w:val="108"/>
          <w:sz w:val="23"/>
          <w:vertAlign w:val="baseline"/>
        </w:rPr>
        <w:t>g</w:t>
      </w:r>
      <w:r>
        <w:rPr>
          <w:color w:val="383638"/>
          <w:spacing w:val="14"/>
          <w:sz w:val="23"/>
          <w:vertAlign w:val="baseline"/>
        </w:rPr>
        <w:t> </w:t>
      </w:r>
      <w:r>
        <w:rPr>
          <w:color w:val="383638"/>
          <w:spacing w:val="-1"/>
          <w:w w:val="114"/>
          <w:sz w:val="23"/>
          <w:vertAlign w:val="baseline"/>
        </w:rPr>
        <w:t>c</w:t>
      </w:r>
      <w:r>
        <w:rPr>
          <w:color w:val="383638"/>
          <w:w w:val="114"/>
          <w:sz w:val="23"/>
          <w:vertAlign w:val="baseline"/>
        </w:rPr>
        <w:t>on</w:t>
      </w:r>
      <w:r>
        <w:rPr>
          <w:color w:val="383638"/>
          <w:spacing w:val="-1"/>
          <w:w w:val="114"/>
          <w:sz w:val="23"/>
          <w:vertAlign w:val="baseline"/>
        </w:rPr>
        <w:t>j</w:t>
      </w:r>
      <w:r>
        <w:rPr>
          <w:color w:val="383638"/>
          <w:w w:val="114"/>
          <w:sz w:val="23"/>
          <w:vertAlign w:val="baseline"/>
        </w:rPr>
        <w:t>un</w:t>
      </w:r>
      <w:r>
        <w:rPr>
          <w:color w:val="383638"/>
          <w:spacing w:val="-1"/>
          <w:w w:val="114"/>
          <w:sz w:val="23"/>
          <w:vertAlign w:val="baseline"/>
        </w:rPr>
        <w:t>ct</w:t>
      </w:r>
      <w:r>
        <w:rPr>
          <w:color w:val="383638"/>
          <w:w w:val="114"/>
          <w:sz w:val="23"/>
          <w:vertAlign w:val="baseline"/>
        </w:rPr>
        <w:t>ion.</w:t>
      </w:r>
      <w:r>
        <w:rPr>
          <w:rFonts w:ascii="Arial" w:hAnsi="Arial"/>
          <w:color w:val="383638"/>
          <w:spacing w:val="-93"/>
          <w:w w:val="114"/>
          <w:sz w:val="24"/>
          <w:vertAlign w:val="baseline"/>
        </w:rPr>
        <w:t>◄</w:t>
      </w:r>
      <w:r>
        <w:rPr>
          <w:color w:val="383638"/>
          <w:spacing w:val="-1"/>
          <w:w w:val="104"/>
          <w:sz w:val="23"/>
          <w:vertAlign w:val="baseline"/>
        </w:rPr>
        <w:t>Fo</w:t>
      </w:r>
      <w:r>
        <w:rPr>
          <w:color w:val="383638"/>
          <w:w w:val="104"/>
          <w:sz w:val="23"/>
          <w:vertAlign w:val="baseline"/>
        </w:rPr>
        <w:t>r</w:t>
      </w:r>
      <w:r>
        <w:rPr>
          <w:color w:val="383638"/>
          <w:spacing w:val="-11"/>
          <w:sz w:val="23"/>
          <w:vertAlign w:val="baseline"/>
        </w:rPr>
        <w:t> </w:t>
      </w:r>
      <w:r>
        <w:rPr>
          <w:color w:val="383638"/>
          <w:spacing w:val="-1"/>
          <w:w w:val="114"/>
          <w:sz w:val="23"/>
          <w:vertAlign w:val="baseline"/>
        </w:rPr>
        <w:t>example:</w:t>
      </w:r>
    </w:p>
    <w:p>
      <w:pPr>
        <w:spacing w:before="74"/>
        <w:ind w:left="114" w:right="0" w:firstLine="0"/>
        <w:jc w:val="left"/>
        <w:rPr>
          <w:rFonts w:ascii="Arial"/>
          <w:sz w:val="15"/>
        </w:rPr>
      </w:pPr>
      <w:r>
        <w:rPr>
          <w:rFonts w:ascii="Arial"/>
          <w:color w:val="757577"/>
          <w:sz w:val="28"/>
          <w:u w:val="thick" w:color="757577"/>
        </w:rPr>
        <w:t>,&amp;</w:t>
      </w:r>
      <w:r>
        <w:rPr>
          <w:rFonts w:ascii="Arial"/>
          <w:color w:val="757577"/>
          <w:sz w:val="28"/>
        </w:rPr>
        <w:t>.</w:t>
      </w:r>
      <w:r>
        <w:rPr>
          <w:rFonts w:ascii="Arial"/>
          <w:color w:val="383638"/>
          <w:sz w:val="15"/>
          <w:u w:val="thick" w:color="383638"/>
        </w:rPr>
        <w:t>GOOD</w:t>
      </w:r>
      <w:r>
        <w:rPr>
          <w:rFonts w:ascii="Arial"/>
          <w:color w:val="383638"/>
          <w:spacing w:val="3"/>
          <w:sz w:val="15"/>
          <w:u w:val="thick" w:color="383638"/>
        </w:rPr>
        <w:t> </w:t>
      </w:r>
      <w:r>
        <w:rPr>
          <w:rFonts w:ascii="Arial"/>
          <w:color w:val="383638"/>
          <w:sz w:val="15"/>
          <w:u w:val="thick" w:color="383638"/>
        </w:rPr>
        <w:t>EXAMPLE</w:t>
      </w:r>
    </w:p>
    <w:p>
      <w:pPr>
        <w:spacing w:before="72"/>
        <w:ind w:left="448" w:right="894" w:firstLine="4"/>
        <w:jc w:val="both"/>
        <w:rPr>
          <w:b/>
          <w:sz w:val="21"/>
        </w:rPr>
      </w:pPr>
      <w:r>
        <w:rPr>
          <w:color w:val="383638"/>
          <w:w w:val="115"/>
          <w:sz w:val="21"/>
        </w:rPr>
        <w:t>Mr. Sanders refused to transfer to the production room; the salary of</w:t>
      </w:r>
      <w:r>
        <w:rPr>
          <w:color w:val="383638"/>
          <w:spacing w:val="1"/>
          <w:w w:val="115"/>
          <w:sz w:val="21"/>
        </w:rPr>
        <w:t> </w:t>
      </w:r>
      <w:r>
        <w:rPr>
          <w:b/>
          <w:color w:val="383638"/>
          <w:w w:val="110"/>
          <w:sz w:val="21"/>
        </w:rPr>
        <w:t>production room workers is $5,000 per year less than Mr. Sanders</w:t>
      </w:r>
      <w:r>
        <w:rPr>
          <w:b/>
          <w:color w:val="545254"/>
          <w:w w:val="110"/>
          <w:sz w:val="21"/>
        </w:rPr>
        <w:t>'</w:t>
      </w:r>
      <w:r>
        <w:rPr>
          <w:b/>
          <w:color w:val="383638"/>
          <w:w w:val="110"/>
          <w:sz w:val="21"/>
        </w:rPr>
        <w:t>s</w:t>
      </w:r>
      <w:r>
        <w:rPr>
          <w:b/>
          <w:color w:val="383638"/>
          <w:spacing w:val="1"/>
          <w:w w:val="110"/>
          <w:sz w:val="21"/>
        </w:rPr>
        <w:t> </w:t>
      </w:r>
      <w:r>
        <w:rPr>
          <w:b/>
          <w:color w:val="383638"/>
          <w:w w:val="115"/>
          <w:sz w:val="21"/>
        </w:rPr>
        <w:t>current</w:t>
      </w:r>
      <w:r>
        <w:rPr>
          <w:b/>
          <w:color w:val="383638"/>
          <w:spacing w:val="-10"/>
          <w:w w:val="115"/>
          <w:sz w:val="21"/>
        </w:rPr>
        <w:t> </w:t>
      </w:r>
      <w:r>
        <w:rPr>
          <w:b/>
          <w:color w:val="383638"/>
          <w:w w:val="115"/>
          <w:sz w:val="21"/>
        </w:rPr>
        <w:t>salary.</w:t>
      </w:r>
    </w:p>
    <w:p>
      <w:pPr>
        <w:pStyle w:val="BodyText"/>
        <w:spacing w:line="232" w:lineRule="auto" w:before="140"/>
        <w:ind w:left="110" w:right="476" w:firstLine="4"/>
        <w:jc w:val="both"/>
      </w:pPr>
      <w:r>
        <w:rPr>
          <w:color w:val="383638"/>
          <w:w w:val="115"/>
        </w:rPr>
        <w:t>Writers oft</w:t>
      </w:r>
      <w:r>
        <w:rPr>
          <w:color w:val="545254"/>
          <w:w w:val="115"/>
        </w:rPr>
        <w:t>e</w:t>
      </w:r>
      <w:r>
        <w:rPr>
          <w:color w:val="383638"/>
          <w:w w:val="115"/>
        </w:rPr>
        <w:t>n use semicolons to imply a relationship between the points</w:t>
      </w:r>
      <w:r>
        <w:rPr>
          <w:color w:val="383638"/>
          <w:spacing w:val="-64"/>
          <w:w w:val="115"/>
        </w:rPr>
        <w:t> </w:t>
      </w:r>
      <w:r>
        <w:rPr>
          <w:color w:val="383638"/>
          <w:w w:val="115"/>
        </w:rPr>
        <w:t>made in each of the two independent dauses</w:t>
      </w:r>
      <w:r>
        <w:rPr>
          <w:color w:val="545254"/>
          <w:w w:val="115"/>
        </w:rPr>
        <w:t>. </w:t>
      </w:r>
      <w:r>
        <w:rPr>
          <w:color w:val="383638"/>
          <w:w w:val="115"/>
        </w:rPr>
        <w:t>In the previous example,</w:t>
      </w:r>
      <w:r>
        <w:rPr>
          <w:color w:val="383638"/>
          <w:spacing w:val="1"/>
          <w:w w:val="115"/>
        </w:rPr>
        <w:t> </w:t>
      </w:r>
      <w:r>
        <w:rPr>
          <w:color w:val="383638"/>
          <w:w w:val="110"/>
        </w:rPr>
        <w:t>the writer is implying a cause and  effect relationship between  the  salary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of production room workers and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reason that Mr</w:t>
      </w:r>
      <w:r>
        <w:rPr>
          <w:color w:val="545254"/>
          <w:w w:val="110"/>
        </w:rPr>
        <w:t>. </w:t>
      </w:r>
      <w:r>
        <w:rPr>
          <w:color w:val="383638"/>
          <w:w w:val="110"/>
        </w:rPr>
        <w:t>Sanders refused the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5"/>
        </w:rPr>
        <w:t>transfer</w:t>
      </w:r>
      <w:r>
        <w:rPr>
          <w:color w:val="383638"/>
          <w:spacing w:val="-7"/>
          <w:w w:val="115"/>
        </w:rPr>
        <w:t> </w:t>
      </w:r>
      <w:r>
        <w:rPr>
          <w:color w:val="383638"/>
          <w:w w:val="115"/>
        </w:rPr>
        <w:t>to</w:t>
      </w:r>
      <w:r>
        <w:rPr>
          <w:color w:val="383638"/>
          <w:spacing w:val="22"/>
          <w:w w:val="115"/>
        </w:rPr>
        <w:t> </w:t>
      </w:r>
      <w:r>
        <w:rPr>
          <w:color w:val="383638"/>
          <w:w w:val="115"/>
        </w:rPr>
        <w:t>the</w:t>
      </w:r>
      <w:r>
        <w:rPr>
          <w:color w:val="383638"/>
          <w:spacing w:val="44"/>
          <w:w w:val="115"/>
        </w:rPr>
        <w:t> </w:t>
      </w:r>
      <w:r>
        <w:rPr>
          <w:color w:val="383638"/>
          <w:w w:val="115"/>
        </w:rPr>
        <w:t>production</w:t>
      </w:r>
      <w:r>
        <w:rPr>
          <w:color w:val="383638"/>
          <w:spacing w:val="3"/>
          <w:w w:val="115"/>
        </w:rPr>
        <w:t> </w:t>
      </w:r>
      <w:r>
        <w:rPr>
          <w:color w:val="383638"/>
          <w:w w:val="115"/>
        </w:rPr>
        <w:t>room.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spacing w:line="205" w:lineRule="exact" w:before="0"/>
        <w:ind w:left="443" w:right="0" w:firstLine="0"/>
        <w:jc w:val="both"/>
        <w:rPr>
          <w:sz w:val="18"/>
        </w:rPr>
      </w:pPr>
      <w:r>
        <w:rPr>
          <w:color w:val="383638"/>
          <w:w w:val="110"/>
          <w:position w:val="5"/>
          <w:sz w:val="11"/>
        </w:rPr>
        <w:t>1</w:t>
      </w:r>
      <w:r>
        <w:rPr>
          <w:color w:val="383638"/>
          <w:spacing w:val="3"/>
          <w:w w:val="110"/>
          <w:position w:val="5"/>
          <w:sz w:val="11"/>
        </w:rPr>
        <w:t> </w:t>
      </w:r>
      <w:r>
        <w:rPr>
          <w:color w:val="383638"/>
          <w:w w:val="110"/>
          <w:sz w:val="18"/>
        </w:rPr>
        <w:t>An</w:t>
      </w:r>
      <w:r>
        <w:rPr>
          <w:color w:val="383638"/>
          <w:spacing w:val="18"/>
          <w:w w:val="110"/>
          <w:sz w:val="18"/>
        </w:rPr>
        <w:t> </w:t>
      </w:r>
      <w:r>
        <w:rPr>
          <w:color w:val="383638"/>
          <w:w w:val="110"/>
          <w:sz w:val="18"/>
        </w:rPr>
        <w:t>Independent</w:t>
      </w:r>
      <w:r>
        <w:rPr>
          <w:color w:val="383638"/>
          <w:spacing w:val="20"/>
          <w:w w:val="110"/>
          <w:sz w:val="18"/>
        </w:rPr>
        <w:t> </w:t>
      </w:r>
      <w:r>
        <w:rPr>
          <w:color w:val="383638"/>
          <w:w w:val="110"/>
          <w:sz w:val="18"/>
        </w:rPr>
        <w:t>clause</w:t>
      </w:r>
      <w:r>
        <w:rPr>
          <w:color w:val="383638"/>
          <w:spacing w:val="2"/>
          <w:w w:val="110"/>
          <w:sz w:val="18"/>
        </w:rPr>
        <w:t> </w:t>
      </w:r>
      <w:r>
        <w:rPr>
          <w:color w:val="383638"/>
          <w:w w:val="110"/>
          <w:sz w:val="18"/>
        </w:rPr>
        <w:t>Is</w:t>
      </w:r>
      <w:r>
        <w:rPr>
          <w:color w:val="383638"/>
          <w:spacing w:val="-10"/>
          <w:w w:val="110"/>
          <w:sz w:val="18"/>
        </w:rPr>
        <w:t> </w:t>
      </w:r>
      <w:r>
        <w:rPr>
          <w:color w:val="383638"/>
          <w:w w:val="110"/>
          <w:sz w:val="18"/>
        </w:rPr>
        <w:t>a</w:t>
      </w:r>
      <w:r>
        <w:rPr>
          <w:color w:val="383638"/>
          <w:spacing w:val="15"/>
          <w:w w:val="110"/>
          <w:sz w:val="18"/>
        </w:rPr>
        <w:t> </w:t>
      </w:r>
      <w:r>
        <w:rPr>
          <w:color w:val="383638"/>
          <w:w w:val="110"/>
          <w:sz w:val="18"/>
        </w:rPr>
        <w:t>clause</w:t>
      </w:r>
      <w:r>
        <w:rPr>
          <w:color w:val="383638"/>
          <w:spacing w:val="5"/>
          <w:w w:val="110"/>
          <w:sz w:val="18"/>
        </w:rPr>
        <w:t> </w:t>
      </w:r>
      <w:r>
        <w:rPr>
          <w:color w:val="383638"/>
          <w:w w:val="110"/>
          <w:sz w:val="18"/>
        </w:rPr>
        <w:t>that</w:t>
      </w:r>
      <w:r>
        <w:rPr>
          <w:color w:val="383638"/>
          <w:spacing w:val="4"/>
          <w:w w:val="110"/>
          <w:sz w:val="18"/>
        </w:rPr>
        <w:t> </w:t>
      </w:r>
      <w:r>
        <w:rPr>
          <w:color w:val="383638"/>
          <w:w w:val="110"/>
          <w:sz w:val="18"/>
        </w:rPr>
        <w:t>canstand</w:t>
      </w:r>
      <w:r>
        <w:rPr>
          <w:color w:val="383638"/>
          <w:spacing w:val="5"/>
          <w:w w:val="110"/>
          <w:sz w:val="18"/>
        </w:rPr>
        <w:t> </w:t>
      </w:r>
      <w:r>
        <w:rPr>
          <w:color w:val="383638"/>
          <w:w w:val="110"/>
          <w:sz w:val="18"/>
        </w:rPr>
        <w:t>on</w:t>
      </w:r>
      <w:r>
        <w:rPr>
          <w:color w:val="383638"/>
          <w:spacing w:val="35"/>
          <w:w w:val="110"/>
          <w:sz w:val="18"/>
        </w:rPr>
        <w:t> </w:t>
      </w:r>
      <w:r>
        <w:rPr>
          <w:color w:val="383638"/>
          <w:w w:val="110"/>
          <w:sz w:val="18"/>
        </w:rPr>
        <w:t>Itsown</w:t>
      </w:r>
      <w:r>
        <w:rPr>
          <w:color w:val="383638"/>
          <w:spacing w:val="-6"/>
          <w:w w:val="110"/>
          <w:sz w:val="18"/>
        </w:rPr>
        <w:t> </w:t>
      </w:r>
      <w:r>
        <w:rPr>
          <w:color w:val="383638"/>
          <w:w w:val="110"/>
          <w:sz w:val="18"/>
        </w:rPr>
        <w:t>as</w:t>
      </w:r>
      <w:r>
        <w:rPr>
          <w:color w:val="383638"/>
          <w:spacing w:val="2"/>
          <w:w w:val="110"/>
          <w:sz w:val="18"/>
        </w:rPr>
        <w:t> </w:t>
      </w:r>
      <w:r>
        <w:rPr>
          <w:color w:val="383638"/>
          <w:w w:val="110"/>
          <w:sz w:val="18"/>
        </w:rPr>
        <w:t>a</w:t>
      </w:r>
      <w:r>
        <w:rPr>
          <w:color w:val="383638"/>
          <w:spacing w:val="4"/>
          <w:w w:val="110"/>
          <w:sz w:val="18"/>
        </w:rPr>
        <w:t> </w:t>
      </w:r>
      <w:r>
        <w:rPr>
          <w:color w:val="383638"/>
          <w:w w:val="110"/>
          <w:sz w:val="18"/>
        </w:rPr>
        <w:t>sentence.</w:t>
      </w:r>
    </w:p>
    <w:p>
      <w:pPr>
        <w:spacing w:line="205" w:lineRule="exact" w:before="0"/>
        <w:ind w:left="455" w:right="0" w:firstLine="0"/>
        <w:jc w:val="both"/>
        <w:rPr>
          <w:i/>
          <w:sz w:val="18"/>
        </w:rPr>
      </w:pPr>
      <w:r>
        <w:rPr>
          <w:rFonts w:ascii="Arial"/>
          <w:color w:val="383638"/>
          <w:w w:val="110"/>
          <w:position w:val="5"/>
          <w:sz w:val="9"/>
        </w:rPr>
        <w:t>4</w:t>
      </w:r>
      <w:r>
        <w:rPr>
          <w:color w:val="383638"/>
          <w:w w:val="110"/>
          <w:sz w:val="18"/>
        </w:rPr>
        <w:t>The</w:t>
      </w:r>
      <w:r>
        <w:rPr>
          <w:color w:val="383638"/>
          <w:spacing w:val="-1"/>
          <w:w w:val="110"/>
          <w:sz w:val="18"/>
        </w:rPr>
        <w:t> </w:t>
      </w:r>
      <w:r>
        <w:rPr>
          <w:color w:val="383638"/>
          <w:w w:val="110"/>
          <w:sz w:val="18"/>
        </w:rPr>
        <w:t>seven</w:t>
      </w:r>
      <w:r>
        <w:rPr>
          <w:color w:val="383638"/>
          <w:spacing w:val="-11"/>
          <w:w w:val="110"/>
          <w:sz w:val="18"/>
        </w:rPr>
        <w:t> </w:t>
      </w:r>
      <w:r>
        <w:rPr>
          <w:color w:val="383638"/>
          <w:w w:val="110"/>
          <w:sz w:val="18"/>
        </w:rPr>
        <w:t>coordinating</w:t>
      </w:r>
      <w:r>
        <w:rPr>
          <w:color w:val="383638"/>
          <w:spacing w:val="2"/>
          <w:w w:val="110"/>
          <w:sz w:val="18"/>
        </w:rPr>
        <w:t> </w:t>
      </w:r>
      <w:r>
        <w:rPr>
          <w:color w:val="383638"/>
          <w:w w:val="110"/>
          <w:sz w:val="18"/>
        </w:rPr>
        <w:t>conjunctions</w:t>
      </w:r>
      <w:r>
        <w:rPr>
          <w:color w:val="383638"/>
          <w:spacing w:val="-1"/>
          <w:w w:val="110"/>
          <w:sz w:val="18"/>
        </w:rPr>
        <w:t> </w:t>
      </w:r>
      <w:r>
        <w:rPr>
          <w:color w:val="383638"/>
          <w:w w:val="110"/>
          <w:sz w:val="18"/>
        </w:rPr>
        <w:t>are</w:t>
      </w:r>
      <w:r>
        <w:rPr>
          <w:color w:val="383638"/>
          <w:spacing w:val="-18"/>
          <w:w w:val="110"/>
          <w:sz w:val="18"/>
        </w:rPr>
        <w:t> </w:t>
      </w:r>
      <w:r>
        <w:rPr>
          <w:i/>
          <w:color w:val="383638"/>
          <w:w w:val="110"/>
          <w:sz w:val="18"/>
        </w:rPr>
        <w:t>and,</w:t>
      </w:r>
      <w:r>
        <w:rPr>
          <w:i/>
          <w:color w:val="383638"/>
          <w:spacing w:val="-27"/>
          <w:w w:val="110"/>
          <w:sz w:val="18"/>
        </w:rPr>
        <w:t> </w:t>
      </w:r>
      <w:r>
        <w:rPr>
          <w:i/>
          <w:color w:val="383638"/>
          <w:w w:val="110"/>
          <w:sz w:val="18"/>
        </w:rPr>
        <w:t>but,</w:t>
      </w:r>
      <w:r>
        <w:rPr>
          <w:i/>
          <w:color w:val="383638"/>
          <w:spacing w:val="-28"/>
          <w:w w:val="110"/>
          <w:sz w:val="18"/>
        </w:rPr>
        <w:t> </w:t>
      </w:r>
      <w:r>
        <w:rPr>
          <w:i/>
          <w:color w:val="383638"/>
          <w:w w:val="110"/>
          <w:sz w:val="18"/>
        </w:rPr>
        <w:t>or,</w:t>
      </w:r>
      <w:r>
        <w:rPr>
          <w:i/>
          <w:color w:val="383638"/>
          <w:spacing w:val="14"/>
          <w:w w:val="110"/>
          <w:sz w:val="18"/>
        </w:rPr>
        <w:t> </w:t>
      </w:r>
      <w:r>
        <w:rPr>
          <w:i/>
          <w:color w:val="383638"/>
          <w:w w:val="110"/>
          <w:sz w:val="18"/>
        </w:rPr>
        <w:t>for,</w:t>
      </w:r>
      <w:r>
        <w:rPr>
          <w:i/>
          <w:color w:val="383638"/>
          <w:spacing w:val="-31"/>
          <w:w w:val="110"/>
          <w:sz w:val="18"/>
        </w:rPr>
        <w:t> </w:t>
      </w:r>
      <w:r>
        <w:rPr>
          <w:i/>
          <w:color w:val="383638"/>
          <w:w w:val="110"/>
          <w:sz w:val="18"/>
        </w:rPr>
        <w:t>nor,</w:t>
      </w:r>
      <w:r>
        <w:rPr>
          <w:i/>
          <w:color w:val="383638"/>
          <w:spacing w:val="-13"/>
          <w:w w:val="110"/>
          <w:sz w:val="18"/>
        </w:rPr>
        <w:t> </w:t>
      </w:r>
      <w:r>
        <w:rPr>
          <w:i/>
          <w:color w:val="383638"/>
          <w:w w:val="110"/>
          <w:sz w:val="18"/>
        </w:rPr>
        <w:t>yet,</w:t>
      </w:r>
      <w:r>
        <w:rPr>
          <w:i/>
          <w:color w:val="383638"/>
          <w:spacing w:val="-24"/>
          <w:w w:val="110"/>
          <w:sz w:val="18"/>
        </w:rPr>
        <w:t> </w:t>
      </w:r>
      <w:r>
        <w:rPr>
          <w:color w:val="383638"/>
          <w:w w:val="110"/>
          <w:sz w:val="18"/>
        </w:rPr>
        <w:t>and</w:t>
      </w:r>
      <w:r>
        <w:rPr>
          <w:color w:val="383638"/>
          <w:spacing w:val="30"/>
          <w:w w:val="110"/>
          <w:sz w:val="18"/>
        </w:rPr>
        <w:t> </w:t>
      </w:r>
      <w:r>
        <w:rPr>
          <w:i/>
          <w:color w:val="383638"/>
          <w:w w:val="110"/>
          <w:sz w:val="18"/>
        </w:rPr>
        <w:t>so.</w:t>
      </w:r>
    </w:p>
    <w:p>
      <w:pPr>
        <w:spacing w:after="0" w:line="205" w:lineRule="exact"/>
        <w:jc w:val="both"/>
        <w:rPr>
          <w:sz w:val="18"/>
        </w:rPr>
        <w:sectPr>
          <w:headerReference w:type="default" r:id="rId379"/>
          <w:headerReference w:type="even" r:id="rId380"/>
          <w:pgSz w:w="9760" w:h="14020"/>
          <w:pgMar w:header="505" w:footer="0" w:top="820" w:bottom="280" w:left="180" w:right="1360"/>
          <w:pgNumType w:start="339"/>
        </w:sectPr>
      </w:pPr>
    </w:p>
    <w:p>
      <w:pPr>
        <w:pStyle w:val="ListParagraph"/>
        <w:numPr>
          <w:ilvl w:val="0"/>
          <w:numId w:val="125"/>
        </w:numPr>
        <w:tabs>
          <w:tab w:pos="1398" w:val="left" w:leader="none"/>
        </w:tabs>
        <w:spacing w:line="244" w:lineRule="auto" w:before="81" w:after="0"/>
        <w:ind w:left="725" w:right="109" w:firstLine="389"/>
        <w:jc w:val="left"/>
        <w:rPr>
          <w:color w:val="3A3638"/>
          <w:sz w:val="23"/>
        </w:rPr>
      </w:pPr>
      <w:r>
        <w:rPr>
          <w:color w:val="3A3638"/>
          <w:w w:val="110"/>
          <w:sz w:val="23"/>
        </w:rPr>
        <w:t>Use</w:t>
      </w:r>
      <w:r>
        <w:rPr>
          <w:color w:val="3A3638"/>
          <w:spacing w:val="4"/>
          <w:w w:val="110"/>
          <w:sz w:val="23"/>
        </w:rPr>
        <w:t> </w:t>
      </w:r>
      <w:r>
        <w:rPr>
          <w:color w:val="3A3638"/>
          <w:w w:val="110"/>
          <w:sz w:val="23"/>
        </w:rPr>
        <w:t>a</w:t>
      </w:r>
      <w:r>
        <w:rPr>
          <w:color w:val="3A3638"/>
          <w:spacing w:val="15"/>
          <w:w w:val="110"/>
          <w:sz w:val="23"/>
        </w:rPr>
        <w:t> </w:t>
      </w:r>
      <w:r>
        <w:rPr>
          <w:color w:val="3A3638"/>
          <w:w w:val="110"/>
          <w:sz w:val="23"/>
        </w:rPr>
        <w:t>semicolon</w:t>
      </w:r>
      <w:r>
        <w:rPr>
          <w:color w:val="3A3638"/>
          <w:spacing w:val="30"/>
          <w:w w:val="110"/>
          <w:sz w:val="23"/>
        </w:rPr>
        <w:t> </w:t>
      </w:r>
      <w:r>
        <w:rPr>
          <w:color w:val="3A3638"/>
          <w:w w:val="110"/>
          <w:sz w:val="23"/>
        </w:rPr>
        <w:t>when</w:t>
      </w:r>
      <w:r>
        <w:rPr>
          <w:color w:val="3A3638"/>
          <w:spacing w:val="30"/>
          <w:w w:val="110"/>
          <w:sz w:val="23"/>
        </w:rPr>
        <w:t> </w:t>
      </w:r>
      <w:r>
        <w:rPr>
          <w:color w:val="3A3638"/>
          <w:w w:val="110"/>
          <w:sz w:val="23"/>
        </w:rPr>
        <w:t>two</w:t>
      </w:r>
      <w:r>
        <w:rPr>
          <w:color w:val="3A3638"/>
          <w:spacing w:val="-7"/>
          <w:w w:val="110"/>
          <w:sz w:val="23"/>
        </w:rPr>
        <w:t> </w:t>
      </w:r>
      <w:r>
        <w:rPr>
          <w:color w:val="3A3638"/>
          <w:w w:val="110"/>
          <w:sz w:val="23"/>
        </w:rPr>
        <w:t>independent</w:t>
      </w:r>
      <w:r>
        <w:rPr>
          <w:color w:val="3A3638"/>
          <w:spacing w:val="16"/>
          <w:w w:val="110"/>
          <w:sz w:val="23"/>
        </w:rPr>
        <w:t> </w:t>
      </w:r>
      <w:r>
        <w:rPr>
          <w:color w:val="3A3638"/>
          <w:w w:val="110"/>
          <w:sz w:val="23"/>
        </w:rPr>
        <w:t>clauses</w:t>
      </w:r>
      <w:r>
        <w:rPr>
          <w:color w:val="3A3638"/>
          <w:spacing w:val="1"/>
          <w:w w:val="110"/>
          <w:sz w:val="23"/>
        </w:rPr>
        <w:t> </w:t>
      </w:r>
      <w:r>
        <w:rPr>
          <w:color w:val="3A3638"/>
          <w:w w:val="110"/>
          <w:sz w:val="23"/>
        </w:rPr>
        <w:t>are</w:t>
      </w:r>
      <w:r>
        <w:rPr>
          <w:color w:val="3A3638"/>
          <w:spacing w:val="40"/>
          <w:w w:val="110"/>
          <w:sz w:val="23"/>
        </w:rPr>
        <w:t> </w:t>
      </w:r>
      <w:r>
        <w:rPr>
          <w:color w:val="3A3638"/>
          <w:w w:val="110"/>
          <w:sz w:val="23"/>
        </w:rPr>
        <w:t>joined</w:t>
      </w:r>
      <w:r>
        <w:rPr>
          <w:color w:val="3A3638"/>
          <w:spacing w:val="4"/>
          <w:w w:val="110"/>
          <w:sz w:val="23"/>
        </w:rPr>
        <w:t> </w:t>
      </w:r>
      <w:r>
        <w:rPr>
          <w:color w:val="3A3638"/>
          <w:w w:val="110"/>
          <w:sz w:val="23"/>
        </w:rPr>
        <w:t>with</w:t>
      </w:r>
      <w:r>
        <w:rPr>
          <w:color w:val="3A3638"/>
          <w:spacing w:val="-6"/>
          <w:w w:val="110"/>
          <w:sz w:val="23"/>
        </w:rPr>
        <w:t> </w:t>
      </w:r>
      <w:r>
        <w:rPr>
          <w:color w:val="3A3638"/>
          <w:w w:val="110"/>
          <w:sz w:val="23"/>
        </w:rPr>
        <w:t>a</w:t>
      </w:r>
      <w:r>
        <w:rPr>
          <w:color w:val="3A3638"/>
          <w:spacing w:val="-60"/>
          <w:w w:val="110"/>
          <w:sz w:val="23"/>
        </w:rPr>
        <w:t> </w:t>
      </w:r>
      <w:r>
        <w:rPr>
          <w:color w:val="3A3638"/>
          <w:w w:val="110"/>
          <w:sz w:val="23"/>
        </w:rPr>
        <w:t>conjunctive</w:t>
      </w:r>
      <w:r>
        <w:rPr>
          <w:color w:val="3A3638"/>
          <w:spacing w:val="1"/>
          <w:w w:val="110"/>
          <w:sz w:val="23"/>
        </w:rPr>
        <w:t> </w:t>
      </w:r>
      <w:r>
        <w:rPr>
          <w:color w:val="3A3638"/>
          <w:w w:val="110"/>
          <w:sz w:val="23"/>
        </w:rPr>
        <w:t>adverb.</w:t>
      </w:r>
      <w:r>
        <w:rPr>
          <w:rFonts w:ascii="Arial"/>
          <w:color w:val="3A3638"/>
          <w:w w:val="110"/>
          <w:sz w:val="23"/>
          <w:vertAlign w:val="superscript"/>
        </w:rPr>
        <w:t>5</w:t>
      </w:r>
    </w:p>
    <w:p>
      <w:pPr>
        <w:pStyle w:val="BodyText"/>
        <w:spacing w:before="4"/>
        <w:rPr>
          <w:rFonts w:ascii="Arial"/>
          <w:sz w:val="16"/>
        </w:rPr>
      </w:pPr>
    </w:p>
    <w:p>
      <w:pPr>
        <w:tabs>
          <w:tab w:pos="1111" w:val="left" w:leader="none"/>
        </w:tabs>
        <w:spacing w:before="0"/>
        <w:ind w:left="754" w:right="0" w:firstLine="0"/>
        <w:jc w:val="left"/>
        <w:rPr>
          <w:rFonts w:ascii="Arial"/>
          <w:sz w:val="14"/>
        </w:rPr>
      </w:pPr>
      <w:r>
        <w:rPr>
          <w:rFonts w:ascii="Arial"/>
          <w:color w:val="3A3638"/>
          <w:w w:val="110"/>
          <w:sz w:val="14"/>
          <w:u w:val="thick" w:color="3A3638"/>
        </w:rPr>
        <w:t>_/\</w:t>
        <w:tab/>
        <w:t>GOOD EXAMPLE</w:t>
      </w:r>
    </w:p>
    <w:p>
      <w:pPr>
        <w:spacing w:before="93"/>
        <w:ind w:left="1115" w:right="408" w:hanging="4"/>
        <w:jc w:val="both"/>
        <w:rPr>
          <w:b/>
          <w:sz w:val="21"/>
        </w:rPr>
      </w:pPr>
      <w:r>
        <w:rPr>
          <w:b/>
          <w:color w:val="3A3638"/>
          <w:w w:val="105"/>
          <w:sz w:val="21"/>
        </w:rPr>
        <w:t>Toe salary of</w:t>
      </w:r>
      <w:r>
        <w:rPr>
          <w:b/>
          <w:color w:val="3A3638"/>
          <w:spacing w:val="1"/>
          <w:w w:val="105"/>
          <w:sz w:val="21"/>
        </w:rPr>
        <w:t> </w:t>
      </w:r>
      <w:r>
        <w:rPr>
          <w:b/>
          <w:color w:val="3A3638"/>
          <w:w w:val="105"/>
          <w:sz w:val="21"/>
        </w:rPr>
        <w:t>production  room workers is  $5,000 less per year than</w:t>
      </w:r>
      <w:r>
        <w:rPr>
          <w:b/>
          <w:color w:val="3A3638"/>
          <w:spacing w:val="1"/>
          <w:w w:val="105"/>
          <w:sz w:val="21"/>
        </w:rPr>
        <w:t> </w:t>
      </w:r>
      <w:r>
        <w:rPr>
          <w:b/>
          <w:color w:val="3A3638"/>
          <w:w w:val="105"/>
          <w:sz w:val="21"/>
        </w:rPr>
        <w:t>that of copy editors; therefore, Mr. Sanders refused an opportunity to</w:t>
      </w:r>
      <w:r>
        <w:rPr>
          <w:b/>
          <w:color w:val="3A3638"/>
          <w:spacing w:val="1"/>
          <w:w w:val="105"/>
          <w:sz w:val="21"/>
        </w:rPr>
        <w:t> </w:t>
      </w:r>
      <w:r>
        <w:rPr>
          <w:b/>
          <w:color w:val="3A3638"/>
          <w:w w:val="105"/>
          <w:sz w:val="21"/>
        </w:rPr>
        <w:t>transfer</w:t>
      </w:r>
      <w:r>
        <w:rPr>
          <w:b/>
          <w:color w:val="3A3638"/>
          <w:spacing w:val="-3"/>
          <w:w w:val="105"/>
          <w:sz w:val="21"/>
        </w:rPr>
        <w:t> </w:t>
      </w:r>
      <w:r>
        <w:rPr>
          <w:b/>
          <w:color w:val="3A3638"/>
          <w:w w:val="105"/>
          <w:sz w:val="21"/>
        </w:rPr>
        <w:t>to</w:t>
      </w:r>
      <w:r>
        <w:rPr>
          <w:b/>
          <w:color w:val="3A3638"/>
          <w:spacing w:val="19"/>
          <w:w w:val="105"/>
          <w:sz w:val="21"/>
        </w:rPr>
        <w:t> </w:t>
      </w:r>
      <w:r>
        <w:rPr>
          <w:b/>
          <w:color w:val="3A3638"/>
          <w:w w:val="105"/>
          <w:sz w:val="21"/>
        </w:rPr>
        <w:t>the</w:t>
      </w:r>
      <w:r>
        <w:rPr>
          <w:b/>
          <w:color w:val="3A3638"/>
          <w:spacing w:val="21"/>
          <w:w w:val="105"/>
          <w:sz w:val="21"/>
        </w:rPr>
        <w:t> </w:t>
      </w:r>
      <w:r>
        <w:rPr>
          <w:b/>
          <w:color w:val="3A3638"/>
          <w:w w:val="105"/>
          <w:sz w:val="21"/>
        </w:rPr>
        <w:t>production</w:t>
      </w:r>
      <w:r>
        <w:rPr>
          <w:b/>
          <w:color w:val="3A3638"/>
          <w:spacing w:val="3"/>
          <w:w w:val="105"/>
          <w:sz w:val="21"/>
        </w:rPr>
        <w:t> </w:t>
      </w:r>
      <w:r>
        <w:rPr>
          <w:b/>
          <w:color w:val="3A3638"/>
          <w:w w:val="105"/>
          <w:sz w:val="21"/>
        </w:rPr>
        <w:t>room.</w:t>
      </w:r>
    </w:p>
    <w:p>
      <w:pPr>
        <w:pStyle w:val="BodyText"/>
        <w:spacing w:line="235" w:lineRule="auto" w:before="128"/>
        <w:ind w:left="743" w:right="98" w:firstLine="381"/>
        <w:jc w:val="both"/>
      </w:pPr>
      <w:r>
        <w:rPr>
          <w:i/>
          <w:color w:val="3A3638"/>
          <w:w w:val="105"/>
          <w:sz w:val="22"/>
        </w:rPr>
        <w:t>Note: </w:t>
      </w:r>
      <w:r>
        <w:rPr>
          <w:color w:val="3A3638"/>
          <w:w w:val="105"/>
        </w:rPr>
        <w:t>Do not</w:t>
      </w:r>
      <w:r>
        <w:rPr>
          <w:color w:val="3A3638"/>
          <w:spacing w:val="1"/>
          <w:w w:val="105"/>
        </w:rPr>
        <w:t> </w:t>
      </w:r>
      <w:r>
        <w:rPr>
          <w:color w:val="3A3638"/>
          <w:w w:val="105"/>
        </w:rPr>
        <w:t>assume that every conjunctive adverb separates two inde­</w:t>
      </w:r>
      <w:r>
        <w:rPr>
          <w:color w:val="3A3638"/>
          <w:spacing w:val="1"/>
          <w:w w:val="105"/>
        </w:rPr>
        <w:t> </w:t>
      </w:r>
      <w:r>
        <w:rPr>
          <w:color w:val="3A3638"/>
          <w:w w:val="110"/>
        </w:rPr>
        <w:t>pendent</w:t>
      </w:r>
      <w:r>
        <w:rPr>
          <w:color w:val="3A3638"/>
          <w:spacing w:val="-16"/>
          <w:w w:val="110"/>
        </w:rPr>
        <w:t> </w:t>
      </w:r>
      <w:r>
        <w:rPr>
          <w:color w:val="3A3638"/>
          <w:w w:val="110"/>
        </w:rPr>
        <w:t>clauses</w:t>
      </w:r>
      <w:r>
        <w:rPr>
          <w:color w:val="3A3638"/>
          <w:spacing w:val="-11"/>
          <w:w w:val="110"/>
        </w:rPr>
        <w:t> </w:t>
      </w:r>
      <w:r>
        <w:rPr>
          <w:color w:val="3A3638"/>
          <w:w w:val="110"/>
        </w:rPr>
        <w:t>and</w:t>
      </w:r>
      <w:r>
        <w:rPr>
          <w:color w:val="3A3638"/>
          <w:spacing w:val="24"/>
          <w:w w:val="110"/>
        </w:rPr>
        <w:t> </w:t>
      </w:r>
      <w:r>
        <w:rPr>
          <w:color w:val="3A3638"/>
          <w:w w:val="110"/>
        </w:rPr>
        <w:t>therefore</w:t>
      </w:r>
      <w:r>
        <w:rPr>
          <w:color w:val="3A3638"/>
          <w:spacing w:val="-2"/>
          <w:w w:val="110"/>
        </w:rPr>
        <w:t> </w:t>
      </w:r>
      <w:r>
        <w:rPr>
          <w:color w:val="3A3638"/>
          <w:w w:val="110"/>
        </w:rPr>
        <w:t>needsa</w:t>
      </w:r>
      <w:r>
        <w:rPr>
          <w:color w:val="3A3638"/>
          <w:spacing w:val="-11"/>
          <w:w w:val="110"/>
        </w:rPr>
        <w:t> </w:t>
      </w:r>
      <w:r>
        <w:rPr>
          <w:color w:val="3A3638"/>
          <w:w w:val="110"/>
        </w:rPr>
        <w:t>semicolon;</w:t>
      </w:r>
      <w:r>
        <w:rPr>
          <w:color w:val="3A3638"/>
          <w:spacing w:val="-11"/>
          <w:w w:val="110"/>
        </w:rPr>
        <w:t> </w:t>
      </w:r>
      <w:r>
        <w:rPr>
          <w:color w:val="3A3638"/>
          <w:w w:val="110"/>
        </w:rPr>
        <w:t>instead,</w:t>
      </w:r>
      <w:r>
        <w:rPr>
          <w:color w:val="3A3638"/>
          <w:spacing w:val="-11"/>
          <w:w w:val="110"/>
        </w:rPr>
        <w:t> </w:t>
      </w:r>
      <w:r>
        <w:rPr>
          <w:color w:val="3A3638"/>
          <w:w w:val="110"/>
        </w:rPr>
        <w:t>realize</w:t>
      </w:r>
      <w:r>
        <w:rPr>
          <w:color w:val="3A3638"/>
          <w:spacing w:val="-6"/>
          <w:w w:val="110"/>
        </w:rPr>
        <w:t> </w:t>
      </w:r>
      <w:r>
        <w:rPr>
          <w:color w:val="3A3638"/>
          <w:w w:val="110"/>
        </w:rPr>
        <w:t>that</w:t>
      </w:r>
      <w:r>
        <w:rPr>
          <w:color w:val="3A3638"/>
          <w:spacing w:val="-31"/>
          <w:w w:val="110"/>
        </w:rPr>
        <w:t> </w:t>
      </w:r>
      <w:r>
        <w:rPr>
          <w:color w:val="3A3638"/>
          <w:w w:val="110"/>
        </w:rPr>
        <w:t>con.</w:t>
      </w:r>
      <w:r>
        <w:rPr>
          <w:color w:val="3A3638"/>
          <w:spacing w:val="-61"/>
          <w:w w:val="110"/>
        </w:rPr>
        <w:t> </w:t>
      </w:r>
      <w:r>
        <w:rPr>
          <w:color w:val="3A3638"/>
          <w:w w:val="110"/>
        </w:rPr>
        <w:t>junctive</w:t>
      </w:r>
      <w:r>
        <w:rPr>
          <w:color w:val="3A3638"/>
          <w:spacing w:val="-8"/>
          <w:w w:val="110"/>
        </w:rPr>
        <w:t> </w:t>
      </w:r>
      <w:r>
        <w:rPr>
          <w:color w:val="3A3638"/>
          <w:w w:val="110"/>
        </w:rPr>
        <w:t>adverbs</w:t>
      </w:r>
      <w:r>
        <w:rPr>
          <w:color w:val="3A3638"/>
          <w:spacing w:val="-8"/>
          <w:w w:val="110"/>
        </w:rPr>
        <w:t> </w:t>
      </w:r>
      <w:r>
        <w:rPr>
          <w:color w:val="3A3638"/>
          <w:w w:val="110"/>
        </w:rPr>
        <w:t>can</w:t>
      </w:r>
      <w:r>
        <w:rPr>
          <w:color w:val="3A3638"/>
          <w:spacing w:val="21"/>
          <w:w w:val="110"/>
        </w:rPr>
        <w:t> </w:t>
      </w:r>
      <w:r>
        <w:rPr>
          <w:color w:val="3A3638"/>
          <w:w w:val="110"/>
        </w:rPr>
        <w:t>also</w:t>
      </w:r>
      <w:r>
        <w:rPr>
          <w:color w:val="3A3638"/>
          <w:spacing w:val="-23"/>
          <w:w w:val="110"/>
        </w:rPr>
        <w:t> </w:t>
      </w:r>
      <w:r>
        <w:rPr>
          <w:color w:val="3A3638"/>
          <w:w w:val="110"/>
        </w:rPr>
        <w:t>appear</w:t>
      </w:r>
      <w:r>
        <w:rPr>
          <w:color w:val="3A3638"/>
          <w:spacing w:val="-7"/>
          <w:w w:val="110"/>
        </w:rPr>
        <w:t> </w:t>
      </w:r>
      <w:r>
        <w:rPr>
          <w:color w:val="3A3638"/>
          <w:w w:val="110"/>
        </w:rPr>
        <w:t>in</w:t>
      </w:r>
      <w:r>
        <w:rPr>
          <w:color w:val="3A3638"/>
          <w:spacing w:val="22"/>
          <w:w w:val="110"/>
        </w:rPr>
        <w:t> </w:t>
      </w:r>
      <w:r>
        <w:rPr>
          <w:color w:val="3A3638"/>
          <w:w w:val="110"/>
        </w:rPr>
        <w:t>many</w:t>
      </w:r>
      <w:r>
        <w:rPr>
          <w:color w:val="3A3638"/>
          <w:spacing w:val="-10"/>
          <w:w w:val="110"/>
        </w:rPr>
        <w:t> </w:t>
      </w:r>
      <w:r>
        <w:rPr>
          <w:color w:val="3A3638"/>
          <w:w w:val="110"/>
        </w:rPr>
        <w:t>other</w:t>
      </w:r>
      <w:r>
        <w:rPr>
          <w:color w:val="3A3638"/>
          <w:spacing w:val="-5"/>
          <w:w w:val="110"/>
        </w:rPr>
        <w:t> </w:t>
      </w:r>
      <w:r>
        <w:rPr>
          <w:color w:val="3A3638"/>
          <w:w w:val="110"/>
        </w:rPr>
        <w:t>sentence</w:t>
      </w:r>
      <w:r>
        <w:rPr>
          <w:color w:val="3A3638"/>
          <w:spacing w:val="-3"/>
          <w:w w:val="110"/>
        </w:rPr>
        <w:t> </w:t>
      </w:r>
      <w:r>
        <w:rPr>
          <w:color w:val="3A3638"/>
          <w:w w:val="110"/>
        </w:rPr>
        <w:t>structures.</w:t>
      </w:r>
    </w:p>
    <w:p>
      <w:pPr>
        <w:pStyle w:val="ListParagraph"/>
        <w:numPr>
          <w:ilvl w:val="0"/>
          <w:numId w:val="125"/>
        </w:numPr>
        <w:tabs>
          <w:tab w:pos="1359" w:val="left" w:leader="none"/>
        </w:tabs>
        <w:spacing w:line="235" w:lineRule="auto" w:before="3" w:after="0"/>
        <w:ind w:left="740" w:right="125" w:firstLine="369"/>
        <w:jc w:val="both"/>
        <w:rPr>
          <w:color w:val="3A3638"/>
          <w:sz w:val="23"/>
        </w:rPr>
      </w:pPr>
      <w:r>
        <w:rPr>
          <w:color w:val="3A3638"/>
          <w:w w:val="105"/>
          <w:sz w:val="23"/>
        </w:rPr>
        <w:t>Always use semicolons to separate items in a series if one</w:t>
      </w:r>
      <w:r>
        <w:rPr>
          <w:color w:val="3A3638"/>
          <w:spacing w:val="1"/>
          <w:w w:val="105"/>
          <w:sz w:val="23"/>
        </w:rPr>
        <w:t> </w:t>
      </w:r>
      <w:r>
        <w:rPr>
          <w:color w:val="3A3638"/>
          <w:w w:val="105"/>
          <w:sz w:val="23"/>
        </w:rPr>
        <w:t>or more of</w:t>
      </w:r>
      <w:r>
        <w:rPr>
          <w:color w:val="3A3638"/>
          <w:spacing w:val="-58"/>
          <w:w w:val="105"/>
          <w:sz w:val="23"/>
        </w:rPr>
        <w:t> </w:t>
      </w:r>
      <w:r>
        <w:rPr>
          <w:color w:val="3A3638"/>
          <w:w w:val="110"/>
          <w:sz w:val="23"/>
        </w:rPr>
        <w:t>the</w:t>
      </w:r>
      <w:r>
        <w:rPr>
          <w:color w:val="3A3638"/>
          <w:spacing w:val="36"/>
          <w:w w:val="110"/>
          <w:sz w:val="23"/>
        </w:rPr>
        <w:t> </w:t>
      </w:r>
      <w:r>
        <w:rPr>
          <w:color w:val="3A3638"/>
          <w:w w:val="110"/>
          <w:sz w:val="23"/>
        </w:rPr>
        <w:t>items</w:t>
      </w:r>
      <w:r>
        <w:rPr>
          <w:color w:val="3A3638"/>
          <w:spacing w:val="-7"/>
          <w:w w:val="110"/>
          <w:sz w:val="23"/>
        </w:rPr>
        <w:t> </w:t>
      </w:r>
      <w:r>
        <w:rPr>
          <w:color w:val="3A3638"/>
          <w:w w:val="110"/>
          <w:sz w:val="23"/>
        </w:rPr>
        <w:t>has</w:t>
      </w:r>
      <w:r>
        <w:rPr>
          <w:color w:val="3A3638"/>
          <w:spacing w:val="-3"/>
          <w:w w:val="110"/>
          <w:sz w:val="23"/>
        </w:rPr>
        <w:t> </w:t>
      </w:r>
      <w:r>
        <w:rPr>
          <w:color w:val="3A3638"/>
          <w:w w:val="110"/>
          <w:sz w:val="23"/>
        </w:rPr>
        <w:t>internal</w:t>
      </w:r>
      <w:r>
        <w:rPr>
          <w:color w:val="3A3638"/>
          <w:spacing w:val="2"/>
          <w:w w:val="110"/>
          <w:sz w:val="23"/>
        </w:rPr>
        <w:t> </w:t>
      </w:r>
      <w:r>
        <w:rPr>
          <w:color w:val="3A3638"/>
          <w:w w:val="110"/>
          <w:sz w:val="23"/>
        </w:rPr>
        <w:t>commas.</w:t>
      </w:r>
      <w:r>
        <w:rPr>
          <w:color w:val="3A3638"/>
          <w:spacing w:val="-2"/>
          <w:w w:val="110"/>
          <w:sz w:val="23"/>
        </w:rPr>
        <w:t> </w:t>
      </w:r>
      <w:r>
        <w:rPr>
          <w:color w:val="3A3638"/>
          <w:w w:val="110"/>
          <w:sz w:val="23"/>
        </w:rPr>
        <w:t>For</w:t>
      </w:r>
      <w:r>
        <w:rPr>
          <w:color w:val="3A3638"/>
          <w:spacing w:val="-8"/>
          <w:w w:val="110"/>
          <w:sz w:val="23"/>
        </w:rPr>
        <w:t> </w:t>
      </w:r>
      <w:r>
        <w:rPr>
          <w:color w:val="3A3638"/>
          <w:w w:val="110"/>
          <w:sz w:val="23"/>
        </w:rPr>
        <w:t>example:</w:t>
      </w:r>
    </w:p>
    <w:p>
      <w:pPr>
        <w:pStyle w:val="BodyText"/>
        <w:spacing w:before="7"/>
        <w:rPr>
          <w:sz w:val="9"/>
        </w:rPr>
      </w:pPr>
    </w:p>
    <w:p>
      <w:pPr>
        <w:spacing w:before="96"/>
        <w:ind w:left="735" w:right="0" w:firstLine="0"/>
        <w:jc w:val="both"/>
        <w:rPr>
          <w:rFonts w:ascii="Arial"/>
          <w:sz w:val="14"/>
        </w:rPr>
      </w:pPr>
      <w:r>
        <w:rPr>
          <w:rFonts w:ascii="Arial"/>
          <w:color w:val="59595B"/>
          <w:w w:val="110"/>
          <w:sz w:val="14"/>
          <w:u w:val="thick" w:color="59595B"/>
        </w:rPr>
        <w:t>_/\  </w:t>
      </w:r>
      <w:r>
        <w:rPr>
          <w:rFonts w:ascii="Arial"/>
          <w:color w:val="59595B"/>
          <w:spacing w:val="22"/>
          <w:w w:val="110"/>
          <w:sz w:val="14"/>
        </w:rPr>
        <w:t> </w:t>
      </w:r>
      <w:r>
        <w:rPr>
          <w:rFonts w:ascii="Arial"/>
          <w:color w:val="3A3638"/>
          <w:w w:val="110"/>
          <w:sz w:val="14"/>
          <w:u w:val="thick" w:color="3A3638"/>
        </w:rPr>
        <w:t>GO</w:t>
      </w:r>
      <w:r>
        <w:rPr>
          <w:rFonts w:ascii="Arial"/>
          <w:color w:val="59595B"/>
          <w:w w:val="110"/>
          <w:sz w:val="14"/>
          <w:u w:val="thick" w:color="3A3638"/>
        </w:rPr>
        <w:t>O</w:t>
      </w:r>
      <w:r>
        <w:rPr>
          <w:rFonts w:ascii="Arial"/>
          <w:color w:val="3A3638"/>
          <w:w w:val="110"/>
          <w:sz w:val="14"/>
          <w:u w:val="thick" w:color="3A3638"/>
        </w:rPr>
        <w:t>D</w:t>
      </w:r>
      <w:r>
        <w:rPr>
          <w:rFonts w:ascii="Arial"/>
          <w:color w:val="3A3638"/>
          <w:spacing w:val="17"/>
          <w:w w:val="110"/>
          <w:sz w:val="14"/>
          <w:u w:val="thick" w:color="3A3638"/>
        </w:rPr>
        <w:t> </w:t>
      </w:r>
      <w:r>
        <w:rPr>
          <w:rFonts w:ascii="Arial"/>
          <w:color w:val="3A3638"/>
          <w:w w:val="110"/>
          <w:sz w:val="14"/>
          <w:u w:val="thick" w:color="3A3638"/>
        </w:rPr>
        <w:t>E</w:t>
      </w:r>
      <w:r>
        <w:rPr>
          <w:rFonts w:ascii="Arial"/>
          <w:color w:val="59595B"/>
          <w:w w:val="110"/>
          <w:sz w:val="14"/>
          <w:u w:val="thick" w:color="3A3638"/>
        </w:rPr>
        <w:t>X</w:t>
      </w:r>
      <w:r>
        <w:rPr>
          <w:rFonts w:ascii="Arial"/>
          <w:color w:val="3A3638"/>
          <w:w w:val="110"/>
          <w:sz w:val="14"/>
          <w:u w:val="thick" w:color="3A3638"/>
        </w:rPr>
        <w:t>A</w:t>
      </w:r>
      <w:r>
        <w:rPr>
          <w:rFonts w:ascii="Arial"/>
          <w:color w:val="59595B"/>
          <w:w w:val="110"/>
          <w:sz w:val="14"/>
          <w:u w:val="thick" w:color="3A3638"/>
        </w:rPr>
        <w:t>M</w:t>
      </w:r>
      <w:r>
        <w:rPr>
          <w:rFonts w:ascii="Arial"/>
          <w:color w:val="3A3638"/>
          <w:w w:val="110"/>
          <w:sz w:val="14"/>
          <w:u w:val="thick" w:color="3A3638"/>
        </w:rPr>
        <w:t>PLE</w:t>
      </w:r>
    </w:p>
    <w:p>
      <w:pPr>
        <w:spacing w:before="92"/>
        <w:ind w:left="1088" w:right="418" w:firstLine="3"/>
        <w:jc w:val="both"/>
        <w:rPr>
          <w:b/>
          <w:sz w:val="21"/>
        </w:rPr>
      </w:pPr>
      <w:r>
        <w:rPr>
          <w:b/>
          <w:color w:val="3A3638"/>
          <w:w w:val="105"/>
          <w:sz w:val="21"/>
        </w:rPr>
        <w:t>The</w:t>
      </w:r>
      <w:r>
        <w:rPr>
          <w:b/>
          <w:color w:val="3A3638"/>
          <w:spacing w:val="1"/>
          <w:w w:val="105"/>
          <w:sz w:val="21"/>
        </w:rPr>
        <w:t> </w:t>
      </w:r>
      <w:r>
        <w:rPr>
          <w:b/>
          <w:color w:val="3A3638"/>
          <w:w w:val="105"/>
          <w:sz w:val="21"/>
        </w:rPr>
        <w:t>plaintiff</w:t>
      </w:r>
      <w:r>
        <w:rPr>
          <w:b/>
          <w:color w:val="3A3638"/>
          <w:spacing w:val="1"/>
          <w:w w:val="105"/>
          <w:sz w:val="21"/>
        </w:rPr>
        <w:t> </w:t>
      </w:r>
      <w:r>
        <w:rPr>
          <w:b/>
          <w:color w:val="3A3638"/>
          <w:w w:val="105"/>
          <w:sz w:val="21"/>
        </w:rPr>
        <w:t>has</w:t>
      </w:r>
      <w:r>
        <w:rPr>
          <w:b/>
          <w:color w:val="3A3638"/>
          <w:spacing w:val="1"/>
          <w:w w:val="105"/>
          <w:sz w:val="21"/>
        </w:rPr>
        <w:t> </w:t>
      </w:r>
      <w:r>
        <w:rPr>
          <w:b/>
          <w:color w:val="3A3638"/>
          <w:w w:val="105"/>
          <w:sz w:val="21"/>
        </w:rPr>
        <w:t>owned</w:t>
      </w:r>
      <w:r>
        <w:rPr>
          <w:b/>
          <w:color w:val="3A3638"/>
          <w:spacing w:val="1"/>
          <w:w w:val="105"/>
          <w:sz w:val="21"/>
        </w:rPr>
        <w:t> </w:t>
      </w:r>
      <w:r>
        <w:rPr>
          <w:b/>
          <w:color w:val="3A3638"/>
          <w:w w:val="105"/>
          <w:sz w:val="21"/>
        </w:rPr>
        <w:t>residences</w:t>
      </w:r>
      <w:r>
        <w:rPr>
          <w:b/>
          <w:color w:val="3A3638"/>
          <w:spacing w:val="1"/>
          <w:w w:val="105"/>
          <w:sz w:val="21"/>
        </w:rPr>
        <w:t> </w:t>
      </w:r>
      <w:r>
        <w:rPr>
          <w:b/>
          <w:color w:val="3A3638"/>
          <w:w w:val="105"/>
          <w:sz w:val="21"/>
        </w:rPr>
        <w:t>at</w:t>
      </w:r>
      <w:r>
        <w:rPr>
          <w:b/>
          <w:color w:val="3A3638"/>
          <w:spacing w:val="1"/>
          <w:w w:val="105"/>
          <w:sz w:val="21"/>
        </w:rPr>
        <w:t> </w:t>
      </w:r>
      <w:r>
        <w:rPr>
          <w:b/>
          <w:color w:val="3A3638"/>
          <w:w w:val="105"/>
          <w:sz w:val="21"/>
        </w:rPr>
        <w:t>5</w:t>
      </w:r>
      <w:r>
        <w:rPr>
          <w:b/>
          <w:color w:val="3A3638"/>
          <w:spacing w:val="1"/>
          <w:w w:val="105"/>
          <w:sz w:val="21"/>
        </w:rPr>
        <w:t> </w:t>
      </w:r>
      <w:r>
        <w:rPr>
          <w:b/>
          <w:color w:val="3A3638"/>
          <w:w w:val="105"/>
          <w:sz w:val="21"/>
        </w:rPr>
        <w:t>Main  Street,  </w:t>
      </w:r>
      <w:r>
        <w:rPr>
          <w:color w:val="3A3638"/>
          <w:w w:val="105"/>
          <w:sz w:val="21"/>
        </w:rPr>
        <w:t>Quechee,</w:t>
      </w:r>
      <w:r>
        <w:rPr>
          <w:color w:val="3A3638"/>
          <w:spacing w:val="1"/>
          <w:w w:val="105"/>
          <w:sz w:val="21"/>
        </w:rPr>
        <w:t> </w:t>
      </w:r>
      <w:r>
        <w:rPr>
          <w:b/>
          <w:color w:val="3A3638"/>
          <w:w w:val="105"/>
          <w:sz w:val="21"/>
        </w:rPr>
        <w:t>Vermont; </w:t>
      </w:r>
      <w:r>
        <w:rPr>
          <w:color w:val="3A3638"/>
          <w:w w:val="105"/>
          <w:sz w:val="20"/>
        </w:rPr>
        <w:t>4560 </w:t>
      </w:r>
      <w:r>
        <w:rPr>
          <w:b/>
          <w:color w:val="3A3638"/>
          <w:w w:val="105"/>
          <w:sz w:val="21"/>
        </w:rPr>
        <w:t>Hickory Street, Mishawaka,</w:t>
      </w:r>
      <w:r>
        <w:rPr>
          <w:b/>
          <w:color w:val="3A3638"/>
          <w:spacing w:val="1"/>
          <w:w w:val="105"/>
          <w:sz w:val="21"/>
        </w:rPr>
        <w:t> </w:t>
      </w:r>
      <w:r>
        <w:rPr>
          <w:b/>
          <w:color w:val="3A3638"/>
          <w:w w:val="105"/>
          <w:sz w:val="21"/>
        </w:rPr>
        <w:t>Indiana; and </w:t>
      </w:r>
      <w:r>
        <w:rPr>
          <w:color w:val="3A3638"/>
          <w:w w:val="105"/>
          <w:sz w:val="20"/>
        </w:rPr>
        <w:t>303 </w:t>
      </w:r>
      <w:r>
        <w:rPr>
          <w:color w:val="3A3638"/>
          <w:w w:val="105"/>
          <w:sz w:val="21"/>
        </w:rPr>
        <w:t>Jackson</w:t>
      </w:r>
      <w:r>
        <w:rPr>
          <w:color w:val="3A3638"/>
          <w:spacing w:val="1"/>
          <w:w w:val="105"/>
          <w:sz w:val="21"/>
        </w:rPr>
        <w:t> </w:t>
      </w:r>
      <w:r>
        <w:rPr>
          <w:b/>
          <w:color w:val="3A3638"/>
          <w:w w:val="105"/>
          <w:sz w:val="21"/>
        </w:rPr>
        <w:t>Street,</w:t>
      </w:r>
      <w:r>
        <w:rPr>
          <w:b/>
          <w:color w:val="3A3638"/>
          <w:spacing w:val="8"/>
          <w:w w:val="105"/>
          <w:sz w:val="21"/>
        </w:rPr>
        <w:t> </w:t>
      </w:r>
      <w:r>
        <w:rPr>
          <w:b/>
          <w:color w:val="3A3638"/>
          <w:w w:val="105"/>
          <w:sz w:val="21"/>
        </w:rPr>
        <w:t>Columbus,</w:t>
      </w:r>
      <w:r>
        <w:rPr>
          <w:b/>
          <w:color w:val="3A3638"/>
          <w:spacing w:val="7"/>
          <w:w w:val="105"/>
          <w:sz w:val="21"/>
        </w:rPr>
        <w:t> </w:t>
      </w:r>
      <w:r>
        <w:rPr>
          <w:b/>
          <w:color w:val="3A3638"/>
          <w:w w:val="105"/>
          <w:sz w:val="21"/>
        </w:rPr>
        <w:t>Ohio.</w:t>
      </w:r>
    </w:p>
    <w:p>
      <w:pPr>
        <w:pStyle w:val="BodyText"/>
        <w:spacing w:line="232" w:lineRule="auto" w:before="140"/>
        <w:ind w:left="696" w:right="98" w:firstLine="24"/>
        <w:jc w:val="both"/>
      </w:pPr>
      <w:r>
        <w:rPr>
          <w:color w:val="3A3638"/>
          <w:w w:val="105"/>
        </w:rPr>
        <w:t>You may</w:t>
      </w:r>
      <w:r>
        <w:rPr>
          <w:color w:val="3A3638"/>
          <w:spacing w:val="1"/>
          <w:w w:val="105"/>
        </w:rPr>
        <w:t> </w:t>
      </w:r>
      <w:r>
        <w:rPr>
          <w:color w:val="3A3638"/>
          <w:w w:val="105"/>
        </w:rPr>
        <w:t>use a couple of different techniques to search for semicolon prob­</w:t>
      </w:r>
      <w:r>
        <w:rPr>
          <w:color w:val="3A3638"/>
          <w:spacing w:val="1"/>
          <w:w w:val="105"/>
        </w:rPr>
        <w:t> </w:t>
      </w:r>
      <w:r>
        <w:rPr>
          <w:color w:val="3A3638"/>
          <w:w w:val="105"/>
        </w:rPr>
        <w:t>lems. </w:t>
      </w:r>
      <w:r>
        <w:rPr>
          <w:color w:val="3A3638"/>
          <w:w w:val="105"/>
          <w:sz w:val="22"/>
        </w:rPr>
        <w:t>If </w:t>
      </w:r>
      <w:r>
        <w:rPr>
          <w:color w:val="3A3638"/>
          <w:w w:val="105"/>
        </w:rPr>
        <w:t>you use too</w:t>
      </w:r>
      <w:r>
        <w:rPr>
          <w:color w:val="3A3638"/>
          <w:spacing w:val="1"/>
          <w:w w:val="105"/>
        </w:rPr>
        <w:t> </w:t>
      </w:r>
      <w:r>
        <w:rPr>
          <w:i/>
          <w:color w:val="3A3638"/>
          <w:w w:val="105"/>
          <w:sz w:val="24"/>
        </w:rPr>
        <w:t>many </w:t>
      </w:r>
      <w:r>
        <w:rPr>
          <w:color w:val="3A3638"/>
          <w:w w:val="105"/>
        </w:rPr>
        <w:t>semicolons, use the Find feature on your com­</w:t>
      </w:r>
      <w:r>
        <w:rPr>
          <w:color w:val="3A3638"/>
          <w:spacing w:val="1"/>
          <w:w w:val="105"/>
        </w:rPr>
        <w:t> </w:t>
      </w:r>
      <w:r>
        <w:rPr>
          <w:color w:val="3A3638"/>
          <w:w w:val="110"/>
        </w:rPr>
        <w:t>puter to search for and</w:t>
      </w:r>
      <w:r>
        <w:rPr>
          <w:color w:val="3A3638"/>
          <w:spacing w:val="1"/>
          <w:w w:val="110"/>
        </w:rPr>
        <w:t> </w:t>
      </w:r>
      <w:r>
        <w:rPr>
          <w:color w:val="3A3638"/>
          <w:w w:val="110"/>
        </w:rPr>
        <w:t>scrutinize your semicolons. If you use commas</w:t>
      </w:r>
      <w:r>
        <w:rPr>
          <w:color w:val="3A3638"/>
          <w:spacing w:val="1"/>
          <w:w w:val="110"/>
        </w:rPr>
        <w:t> </w:t>
      </w:r>
      <w:r>
        <w:rPr>
          <w:color w:val="3A3638"/>
          <w:w w:val="110"/>
        </w:rPr>
        <w:t>where semicolons belong, first, train your reader's "ear" by reading about</w:t>
      </w:r>
      <w:r>
        <w:rPr>
          <w:color w:val="3A3638"/>
          <w:spacing w:val="-61"/>
          <w:w w:val="110"/>
        </w:rPr>
        <w:t> </w:t>
      </w:r>
      <w:r>
        <w:rPr>
          <w:color w:val="3A3638"/>
          <w:w w:val="105"/>
        </w:rPr>
        <w:t>and</w:t>
      </w:r>
      <w:r>
        <w:rPr>
          <w:color w:val="3A3638"/>
          <w:spacing w:val="1"/>
          <w:w w:val="105"/>
        </w:rPr>
        <w:t> </w:t>
      </w:r>
      <w:r>
        <w:rPr>
          <w:color w:val="3A3638"/>
          <w:w w:val="105"/>
        </w:rPr>
        <w:t>doing exercises on</w:t>
      </w:r>
      <w:r>
        <w:rPr>
          <w:color w:val="3A3638"/>
          <w:spacing w:val="1"/>
          <w:w w:val="105"/>
        </w:rPr>
        <w:t> </w:t>
      </w:r>
      <w:r>
        <w:rPr>
          <w:color w:val="3A3638"/>
          <w:w w:val="105"/>
        </w:rPr>
        <w:t>semicolon use. Second, scrutinize your longer sen­</w:t>
      </w:r>
      <w:r>
        <w:rPr>
          <w:color w:val="3A3638"/>
          <w:spacing w:val="1"/>
          <w:w w:val="105"/>
        </w:rPr>
        <w:t> </w:t>
      </w:r>
      <w:r>
        <w:rPr>
          <w:color w:val="3A3638"/>
          <w:w w:val="110"/>
        </w:rPr>
        <w:t>tences</w:t>
      </w:r>
      <w:r>
        <w:rPr>
          <w:color w:val="3A3638"/>
          <w:spacing w:val="-9"/>
          <w:w w:val="110"/>
        </w:rPr>
        <w:t> </w:t>
      </w:r>
      <w:r>
        <w:rPr>
          <w:color w:val="3A3638"/>
          <w:w w:val="110"/>
        </w:rPr>
        <w:t>and/or</w:t>
      </w:r>
      <w:r>
        <w:rPr>
          <w:color w:val="3A3638"/>
          <w:spacing w:val="-5"/>
          <w:w w:val="110"/>
        </w:rPr>
        <w:t> </w:t>
      </w:r>
      <w:r>
        <w:rPr>
          <w:color w:val="3A3638"/>
          <w:w w:val="110"/>
        </w:rPr>
        <w:t>your</w:t>
      </w:r>
      <w:r>
        <w:rPr>
          <w:color w:val="3A3638"/>
          <w:spacing w:val="-2"/>
          <w:w w:val="110"/>
        </w:rPr>
        <w:t> </w:t>
      </w:r>
      <w:r>
        <w:rPr>
          <w:color w:val="3A3638"/>
          <w:w w:val="110"/>
        </w:rPr>
        <w:t>lists.</w:t>
      </w:r>
    </w:p>
    <w:p>
      <w:pPr>
        <w:pStyle w:val="BodyText"/>
        <w:spacing w:before="1"/>
        <w:rPr>
          <w:sz w:val="33"/>
        </w:rPr>
      </w:pPr>
    </w:p>
    <w:p>
      <w:pPr>
        <w:spacing w:before="0"/>
        <w:ind w:left="1061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color w:val="59595B"/>
          <w:w w:val="105"/>
          <w:sz w:val="27"/>
        </w:rPr>
        <w:t>A</w:t>
      </w:r>
      <w:r>
        <w:rPr>
          <w:rFonts w:ascii="Arial"/>
          <w:b/>
          <w:color w:val="3A3638"/>
          <w:w w:val="105"/>
          <w:sz w:val="27"/>
        </w:rPr>
        <w:t>.5.</w:t>
      </w:r>
      <w:r>
        <w:rPr>
          <w:rFonts w:ascii="Arial"/>
          <w:b/>
          <w:color w:val="59595B"/>
          <w:w w:val="105"/>
          <w:sz w:val="27"/>
        </w:rPr>
        <w:t>3</w:t>
      </w:r>
    </w:p>
    <w:p>
      <w:pPr>
        <w:spacing w:before="45"/>
        <w:ind w:left="1059" w:right="0" w:firstLine="0"/>
        <w:jc w:val="left"/>
        <w:rPr>
          <w:rFonts w:ascii="Arial"/>
          <w:sz w:val="22"/>
        </w:rPr>
      </w:pPr>
      <w:r>
        <w:rPr>
          <w:rFonts w:ascii="Arial"/>
          <w:color w:val="3A3638"/>
          <w:w w:val="110"/>
          <w:sz w:val="22"/>
        </w:rPr>
        <w:t>CO</w:t>
      </w:r>
      <w:r>
        <w:rPr>
          <w:rFonts w:ascii="Arial"/>
          <w:color w:val="59595B"/>
          <w:w w:val="110"/>
          <w:sz w:val="22"/>
        </w:rPr>
        <w:t>MMO</w:t>
      </w:r>
      <w:r>
        <w:rPr>
          <w:rFonts w:ascii="Arial"/>
          <w:color w:val="3A3638"/>
          <w:w w:val="110"/>
          <w:sz w:val="22"/>
        </w:rPr>
        <w:t>N</w:t>
      </w:r>
      <w:r>
        <w:rPr>
          <w:rFonts w:ascii="Arial"/>
          <w:color w:val="3A3638"/>
          <w:spacing w:val="-9"/>
          <w:w w:val="110"/>
          <w:sz w:val="22"/>
        </w:rPr>
        <w:t> </w:t>
      </w:r>
      <w:r>
        <w:rPr>
          <w:b/>
          <w:color w:val="3A3638"/>
          <w:w w:val="110"/>
          <w:sz w:val="22"/>
        </w:rPr>
        <w:t>C</w:t>
      </w:r>
      <w:r>
        <w:rPr>
          <w:b/>
          <w:color w:val="59595B"/>
          <w:w w:val="110"/>
          <w:sz w:val="22"/>
        </w:rPr>
        <w:t>OMMA</w:t>
      </w:r>
      <w:r>
        <w:rPr>
          <w:b/>
          <w:color w:val="59595B"/>
          <w:spacing w:val="-7"/>
          <w:w w:val="110"/>
          <w:sz w:val="22"/>
        </w:rPr>
        <w:t> </w:t>
      </w:r>
      <w:r>
        <w:rPr>
          <w:rFonts w:ascii="Arial"/>
          <w:color w:val="59595B"/>
          <w:w w:val="110"/>
          <w:sz w:val="22"/>
        </w:rPr>
        <w:t>PROBLEMS</w:t>
      </w:r>
    </w:p>
    <w:p>
      <w:pPr>
        <w:pStyle w:val="BodyText"/>
        <w:spacing w:line="232" w:lineRule="auto" w:before="168"/>
        <w:ind w:left="657" w:right="105" w:firstLine="392"/>
        <w:jc w:val="both"/>
      </w:pPr>
      <w:r>
        <w:rPr>
          <w:color w:val="3A3638"/>
          <w:w w:val="110"/>
        </w:rPr>
        <w:t>Although the simple little comma arrives on</w:t>
      </w:r>
      <w:r>
        <w:rPr>
          <w:color w:val="3A3638"/>
          <w:spacing w:val="1"/>
          <w:w w:val="110"/>
        </w:rPr>
        <w:t> </w:t>
      </w:r>
      <w:r>
        <w:rPr>
          <w:color w:val="3A3638"/>
          <w:w w:val="110"/>
        </w:rPr>
        <w:t>the</w:t>
      </w:r>
      <w:r>
        <w:rPr>
          <w:color w:val="3A3638"/>
          <w:spacing w:val="1"/>
          <w:w w:val="110"/>
        </w:rPr>
        <w:t> </w:t>
      </w:r>
      <w:r>
        <w:rPr>
          <w:color w:val="3A3638"/>
          <w:w w:val="110"/>
        </w:rPr>
        <w:t>punctuation scene</w:t>
      </w:r>
      <w:r>
        <w:rPr>
          <w:color w:val="3A3638"/>
          <w:spacing w:val="1"/>
          <w:w w:val="110"/>
        </w:rPr>
        <w:t> </w:t>
      </w:r>
      <w:r>
        <w:rPr>
          <w:color w:val="3A3638"/>
          <w:w w:val="110"/>
        </w:rPr>
        <w:t>with the baggage of many rules, only three of the most common problems</w:t>
      </w:r>
      <w:r>
        <w:rPr>
          <w:color w:val="3A3638"/>
          <w:spacing w:val="-61"/>
          <w:w w:val="110"/>
        </w:rPr>
        <w:t> </w:t>
      </w:r>
      <w:r>
        <w:rPr>
          <w:color w:val="3A3638"/>
          <w:w w:val="110"/>
        </w:rPr>
        <w:t>are addressed here. Two rules concern when you should have a comma</w:t>
      </w:r>
      <w:r>
        <w:rPr>
          <w:color w:val="3A3638"/>
          <w:spacing w:val="1"/>
          <w:w w:val="110"/>
        </w:rPr>
        <w:t> </w:t>
      </w:r>
      <w:r>
        <w:rPr>
          <w:color w:val="3A3638"/>
          <w:w w:val="110"/>
        </w:rPr>
        <w:t>and</w:t>
      </w:r>
      <w:r>
        <w:rPr>
          <w:color w:val="3A3638"/>
          <w:spacing w:val="10"/>
          <w:w w:val="110"/>
        </w:rPr>
        <w:t> </w:t>
      </w:r>
      <w:r>
        <w:rPr>
          <w:color w:val="3A3638"/>
          <w:w w:val="110"/>
        </w:rPr>
        <w:t>the</w:t>
      </w:r>
      <w:r>
        <w:rPr>
          <w:color w:val="3A3638"/>
          <w:spacing w:val="63"/>
          <w:w w:val="110"/>
        </w:rPr>
        <w:t> </w:t>
      </w:r>
      <w:r>
        <w:rPr>
          <w:color w:val="3A3638"/>
          <w:w w:val="110"/>
        </w:rPr>
        <w:t>other</w:t>
      </w:r>
      <w:r>
        <w:rPr>
          <w:color w:val="3A3638"/>
          <w:spacing w:val="3"/>
          <w:w w:val="110"/>
        </w:rPr>
        <w:t> </w:t>
      </w:r>
      <w:r>
        <w:rPr>
          <w:color w:val="3A3638"/>
          <w:w w:val="110"/>
        </w:rPr>
        <w:t>rule</w:t>
      </w:r>
      <w:r>
        <w:rPr>
          <w:color w:val="3A3638"/>
          <w:spacing w:val="-13"/>
          <w:w w:val="110"/>
        </w:rPr>
        <w:t> </w:t>
      </w:r>
      <w:r>
        <w:rPr>
          <w:color w:val="3A3638"/>
          <w:w w:val="110"/>
        </w:rPr>
        <w:t>concerns</w:t>
      </w:r>
      <w:r>
        <w:rPr>
          <w:color w:val="3A3638"/>
          <w:spacing w:val="6"/>
          <w:w w:val="110"/>
        </w:rPr>
        <w:t> </w:t>
      </w:r>
      <w:r>
        <w:rPr>
          <w:color w:val="3A3638"/>
          <w:w w:val="110"/>
        </w:rPr>
        <w:t>where</w:t>
      </w:r>
      <w:r>
        <w:rPr>
          <w:color w:val="3A3638"/>
          <w:spacing w:val="-8"/>
          <w:w w:val="110"/>
        </w:rPr>
        <w:t> </w:t>
      </w:r>
      <w:r>
        <w:rPr>
          <w:color w:val="3A3638"/>
          <w:w w:val="110"/>
        </w:rPr>
        <w:t>you</w:t>
      </w:r>
      <w:r>
        <w:rPr>
          <w:color w:val="3A3638"/>
          <w:spacing w:val="5"/>
          <w:w w:val="110"/>
        </w:rPr>
        <w:t> </w:t>
      </w:r>
      <w:r>
        <w:rPr>
          <w:color w:val="3A3638"/>
          <w:w w:val="110"/>
        </w:rPr>
        <w:t>should</w:t>
      </w:r>
      <w:r>
        <w:rPr>
          <w:color w:val="3A3638"/>
          <w:spacing w:val="19"/>
          <w:w w:val="110"/>
        </w:rPr>
        <w:t> </w:t>
      </w:r>
      <w:r>
        <w:rPr>
          <w:color w:val="3A3638"/>
          <w:w w:val="110"/>
        </w:rPr>
        <w:t>not</w:t>
      </w:r>
      <w:r>
        <w:rPr>
          <w:color w:val="3A3638"/>
          <w:spacing w:val="39"/>
          <w:w w:val="110"/>
        </w:rPr>
        <w:t> </w:t>
      </w:r>
      <w:r>
        <w:rPr>
          <w:color w:val="3A3638"/>
          <w:w w:val="110"/>
        </w:rPr>
        <w:t>have</w:t>
      </w:r>
      <w:r>
        <w:rPr>
          <w:color w:val="3A3638"/>
          <w:spacing w:val="-11"/>
          <w:w w:val="110"/>
        </w:rPr>
        <w:t> </w:t>
      </w:r>
      <w:r>
        <w:rPr>
          <w:color w:val="3A3638"/>
          <w:w w:val="110"/>
        </w:rPr>
        <w:t>a</w:t>
      </w:r>
      <w:r>
        <w:rPr>
          <w:color w:val="3A3638"/>
          <w:spacing w:val="-2"/>
          <w:w w:val="110"/>
        </w:rPr>
        <w:t> </w:t>
      </w:r>
      <w:r>
        <w:rPr>
          <w:color w:val="3A3638"/>
          <w:w w:val="110"/>
        </w:rPr>
        <w:t>comma.</w:t>
      </w:r>
      <w:r>
        <w:rPr>
          <w:color w:val="3A3638"/>
          <w:spacing w:val="44"/>
          <w:w w:val="110"/>
        </w:rPr>
        <w:t> </w:t>
      </w:r>
      <w:r>
        <w:rPr>
          <w:color w:val="3A3638"/>
          <w:w w:val="110"/>
        </w:rPr>
        <w:t>'</w:t>
      </w:r>
    </w:p>
    <w:p>
      <w:pPr>
        <w:pStyle w:val="ListParagraph"/>
        <w:numPr>
          <w:ilvl w:val="0"/>
          <w:numId w:val="126"/>
        </w:numPr>
        <w:tabs>
          <w:tab w:pos="1340" w:val="left" w:leader="none"/>
        </w:tabs>
        <w:spacing w:line="232" w:lineRule="auto" w:before="5" w:after="0"/>
        <w:ind w:left="644" w:right="107" w:firstLine="393"/>
        <w:jc w:val="both"/>
        <w:rPr>
          <w:rFonts w:ascii="Arial"/>
          <w:color w:val="3A3638"/>
          <w:sz w:val="21"/>
        </w:rPr>
      </w:pPr>
      <w:r>
        <w:rPr>
          <w:color w:val="3A3638"/>
          <w:w w:val="110"/>
          <w:sz w:val="23"/>
        </w:rPr>
        <w:t>Use commas between items in a series of more than two items.</w:t>
      </w:r>
      <w:r>
        <w:rPr>
          <w:color w:val="3A3638"/>
          <w:spacing w:val="1"/>
          <w:w w:val="110"/>
          <w:sz w:val="23"/>
        </w:rPr>
        <w:t> </w:t>
      </w:r>
      <w:r>
        <w:rPr>
          <w:color w:val="3A3638"/>
          <w:w w:val="110"/>
          <w:sz w:val="23"/>
        </w:rPr>
        <w:t>Make sure to put a comma before the conjunction, as in "tall, dark, and</w:t>
      </w:r>
      <w:r>
        <w:rPr>
          <w:color w:val="3A3638"/>
          <w:spacing w:val="1"/>
          <w:w w:val="110"/>
          <w:sz w:val="23"/>
        </w:rPr>
        <w:t> </w:t>
      </w:r>
      <w:r>
        <w:rPr>
          <w:color w:val="3A3638"/>
          <w:w w:val="110"/>
          <w:sz w:val="23"/>
        </w:rPr>
        <w:t>handsome."</w:t>
      </w:r>
    </w:p>
    <w:p>
      <w:pPr>
        <w:pStyle w:val="BodyText"/>
        <w:spacing w:line="230" w:lineRule="auto" w:before="3"/>
        <w:ind w:left="599" w:right="103" w:firstLine="398"/>
        <w:jc w:val="both"/>
      </w:pPr>
      <w:r>
        <w:rPr>
          <w:color w:val="3A3638"/>
          <w:w w:val="110"/>
        </w:rPr>
        <w:t>Some informal writers swear</w:t>
      </w:r>
      <w:r>
        <w:rPr>
          <w:color w:val="3A3638"/>
          <w:spacing w:val="1"/>
          <w:w w:val="110"/>
        </w:rPr>
        <w:t> </w:t>
      </w:r>
      <w:r>
        <w:rPr>
          <w:color w:val="3A3638"/>
          <w:w w:val="110"/>
        </w:rPr>
        <w:t>that you should eliminate the comma</w:t>
      </w:r>
      <w:r>
        <w:rPr>
          <w:color w:val="3A3638"/>
          <w:spacing w:val="1"/>
          <w:w w:val="110"/>
        </w:rPr>
        <w:t> </w:t>
      </w:r>
      <w:r>
        <w:rPr>
          <w:color w:val="3A3638"/>
          <w:w w:val="110"/>
        </w:rPr>
        <w:t>after the</w:t>
      </w:r>
      <w:r>
        <w:rPr>
          <w:color w:val="3A3638"/>
          <w:spacing w:val="1"/>
          <w:w w:val="110"/>
        </w:rPr>
        <w:t> </w:t>
      </w:r>
      <w:r>
        <w:rPr>
          <w:color w:val="3A3638"/>
          <w:w w:val="110"/>
        </w:rPr>
        <w:t>second-to-the-last item in a series (in our  example, after </w:t>
      </w:r>
      <w:r>
        <w:rPr>
          <w:i/>
          <w:color w:val="3A3638"/>
          <w:w w:val="110"/>
        </w:rPr>
        <w:t>dark),</w:t>
      </w:r>
      <w:r>
        <w:rPr>
          <w:i/>
          <w:color w:val="3A3638"/>
          <w:spacing w:val="1"/>
          <w:w w:val="110"/>
        </w:rPr>
        <w:t> </w:t>
      </w:r>
      <w:r>
        <w:rPr>
          <w:color w:val="3A3638"/>
          <w:spacing w:val="-1"/>
          <w:w w:val="110"/>
        </w:rPr>
        <w:t>but</w:t>
      </w:r>
      <w:r>
        <w:rPr>
          <w:color w:val="3A3638"/>
          <w:spacing w:val="73"/>
          <w:w w:val="110"/>
        </w:rPr>
        <w:t> </w:t>
      </w:r>
      <w:r>
        <w:rPr>
          <w:color w:val="3A3638"/>
          <w:spacing w:val="-1"/>
          <w:w w:val="110"/>
        </w:rPr>
        <w:t>this</w:t>
      </w:r>
      <w:r>
        <w:rPr>
          <w:color w:val="3A3638"/>
          <w:spacing w:val="-25"/>
          <w:w w:val="110"/>
        </w:rPr>
        <w:t> </w:t>
      </w:r>
      <w:r>
        <w:rPr>
          <w:color w:val="3A3638"/>
          <w:spacing w:val="-1"/>
          <w:w w:val="110"/>
        </w:rPr>
        <w:t>advice</w:t>
      </w:r>
      <w:r>
        <w:rPr>
          <w:color w:val="3A3638"/>
          <w:spacing w:val="-20"/>
          <w:w w:val="110"/>
        </w:rPr>
        <w:t> </w:t>
      </w:r>
      <w:r>
        <w:rPr>
          <w:color w:val="3A3638"/>
          <w:w w:val="110"/>
        </w:rPr>
        <w:t>is</w:t>
      </w:r>
      <w:r>
        <w:rPr>
          <w:color w:val="3A3638"/>
          <w:spacing w:val="-7"/>
          <w:w w:val="110"/>
        </w:rPr>
        <w:t> </w:t>
      </w:r>
      <w:r>
        <w:rPr>
          <w:color w:val="3A3638"/>
          <w:w w:val="110"/>
        </w:rPr>
        <w:t>bad</w:t>
      </w:r>
      <w:r>
        <w:rPr>
          <w:color w:val="3A3638"/>
          <w:spacing w:val="-7"/>
          <w:w w:val="110"/>
        </w:rPr>
        <w:t> </w:t>
      </w:r>
      <w:r>
        <w:rPr>
          <w:color w:val="3A3638"/>
          <w:w w:val="110"/>
        </w:rPr>
        <w:t>for</w:t>
      </w:r>
      <w:r>
        <w:rPr>
          <w:color w:val="3A3638"/>
          <w:spacing w:val="-19"/>
          <w:w w:val="110"/>
        </w:rPr>
        <w:t> </w:t>
      </w:r>
      <w:r>
        <w:rPr>
          <w:color w:val="3A3638"/>
          <w:w w:val="110"/>
        </w:rPr>
        <w:t>legal</w:t>
      </w:r>
      <w:r>
        <w:rPr>
          <w:color w:val="3A3638"/>
          <w:spacing w:val="-2"/>
          <w:w w:val="110"/>
        </w:rPr>
        <w:t> </w:t>
      </w:r>
      <w:r>
        <w:rPr>
          <w:color w:val="3A3638"/>
          <w:w w:val="110"/>
        </w:rPr>
        <w:t>writing.</w:t>
      </w:r>
      <w:r>
        <w:rPr>
          <w:color w:val="3A3638"/>
          <w:spacing w:val="-29"/>
          <w:w w:val="110"/>
        </w:rPr>
        <w:t> </w:t>
      </w:r>
      <w:r>
        <w:rPr>
          <w:color w:val="3A3638"/>
          <w:w w:val="110"/>
        </w:rPr>
        <w:t>There</w:t>
      </w:r>
      <w:r>
        <w:rPr>
          <w:color w:val="3A3638"/>
          <w:spacing w:val="-6"/>
          <w:w w:val="110"/>
        </w:rPr>
        <w:t> </w:t>
      </w:r>
      <w:r>
        <w:rPr>
          <w:color w:val="3A3638"/>
          <w:w w:val="110"/>
        </w:rPr>
        <w:t>have</w:t>
      </w:r>
      <w:r>
        <w:rPr>
          <w:color w:val="3A3638"/>
          <w:spacing w:val="-22"/>
          <w:w w:val="110"/>
        </w:rPr>
        <w:t> </w:t>
      </w:r>
      <w:r>
        <w:rPr>
          <w:color w:val="3A3638"/>
          <w:w w:val="110"/>
        </w:rPr>
        <w:t>been</w:t>
      </w:r>
      <w:r>
        <w:rPr>
          <w:color w:val="3A3638"/>
          <w:spacing w:val="-4"/>
          <w:w w:val="110"/>
        </w:rPr>
        <w:t> </w:t>
      </w:r>
      <w:r>
        <w:rPr>
          <w:color w:val="3A3638"/>
          <w:w w:val="110"/>
        </w:rPr>
        <w:t>law</w:t>
      </w:r>
      <w:r>
        <w:rPr>
          <w:color w:val="3A3638"/>
          <w:spacing w:val="-19"/>
          <w:w w:val="110"/>
        </w:rPr>
        <w:t> </w:t>
      </w:r>
      <w:r>
        <w:rPr>
          <w:color w:val="3A3638"/>
          <w:w w:val="110"/>
        </w:rPr>
        <w:t>cases</w:t>
      </w:r>
      <w:r>
        <w:rPr>
          <w:color w:val="3A3638"/>
          <w:spacing w:val="-24"/>
          <w:w w:val="110"/>
        </w:rPr>
        <w:t> </w:t>
      </w:r>
      <w:r>
        <w:rPr>
          <w:color w:val="3A3638"/>
          <w:w w:val="110"/>
        </w:rPr>
        <w:t>in</w:t>
      </w:r>
      <w:r>
        <w:rPr>
          <w:color w:val="3A3638"/>
          <w:spacing w:val="-5"/>
          <w:w w:val="110"/>
        </w:rPr>
        <w:t> </w:t>
      </w:r>
      <w:r>
        <w:rPr>
          <w:color w:val="3A3638"/>
          <w:w w:val="110"/>
        </w:rPr>
        <w:t>which</w:t>
      </w:r>
      <w:r>
        <w:rPr>
          <w:color w:val="3A3638"/>
          <w:spacing w:val="1"/>
          <w:w w:val="110"/>
        </w:rPr>
        <w:t> </w:t>
      </w:r>
      <w:r>
        <w:rPr>
          <w:color w:val="3A3638"/>
          <w:w w:val="110"/>
        </w:rPr>
        <w:t>a</w:t>
      </w:r>
      <w:r>
        <w:rPr>
          <w:color w:val="3A3638"/>
          <w:spacing w:val="61"/>
          <w:w w:val="110"/>
        </w:rPr>
        <w:t> </w:t>
      </w:r>
      <w:r>
        <w:rPr>
          <w:color w:val="3A3638"/>
          <w:w w:val="110"/>
        </w:rPr>
        <w:t>will,</w:t>
      </w:r>
      <w:r>
        <w:rPr>
          <w:color w:val="3A3638"/>
          <w:spacing w:val="25"/>
          <w:w w:val="110"/>
        </w:rPr>
        <w:t> </w:t>
      </w:r>
      <w:r>
        <w:rPr>
          <w:color w:val="3A3638"/>
          <w:w w:val="110"/>
        </w:rPr>
        <w:t>a</w:t>
      </w:r>
      <w:r>
        <w:rPr>
          <w:color w:val="3A3638"/>
          <w:spacing w:val="52"/>
          <w:w w:val="110"/>
        </w:rPr>
        <w:t> </w:t>
      </w:r>
      <w:r>
        <w:rPr>
          <w:color w:val="3A3638"/>
          <w:w w:val="110"/>
        </w:rPr>
        <w:t>contract,</w:t>
      </w:r>
      <w:r>
        <w:rPr>
          <w:color w:val="3A3638"/>
          <w:spacing w:val="38"/>
          <w:w w:val="110"/>
        </w:rPr>
        <w:t> </w:t>
      </w:r>
      <w:r>
        <w:rPr>
          <w:color w:val="3A3638"/>
          <w:w w:val="110"/>
        </w:rPr>
        <w:t>or</w:t>
      </w:r>
      <w:r>
        <w:rPr>
          <w:color w:val="3A3638"/>
          <w:spacing w:val="35"/>
          <w:w w:val="110"/>
        </w:rPr>
        <w:t> </w:t>
      </w:r>
      <w:r>
        <w:rPr>
          <w:color w:val="3A3638"/>
          <w:w w:val="110"/>
        </w:rPr>
        <w:t>a</w:t>
      </w:r>
      <w:r>
        <w:rPr>
          <w:color w:val="3A3638"/>
          <w:spacing w:val="40"/>
          <w:w w:val="110"/>
        </w:rPr>
        <w:t> </w:t>
      </w:r>
      <w:r>
        <w:rPr>
          <w:color w:val="3A3638"/>
          <w:w w:val="110"/>
        </w:rPr>
        <w:t>statute</w:t>
      </w:r>
      <w:r>
        <w:rPr>
          <w:color w:val="3A3638"/>
          <w:spacing w:val="41"/>
          <w:w w:val="110"/>
        </w:rPr>
        <w:t> </w:t>
      </w:r>
      <w:r>
        <w:rPr>
          <w:color w:val="3A3638"/>
          <w:w w:val="110"/>
        </w:rPr>
        <w:t>had</w:t>
      </w:r>
      <w:r>
        <w:rPr>
          <w:color w:val="3A3638"/>
          <w:spacing w:val="39"/>
          <w:w w:val="110"/>
        </w:rPr>
        <w:t> </w:t>
      </w:r>
      <w:r>
        <w:rPr>
          <w:color w:val="3A3638"/>
          <w:w w:val="110"/>
        </w:rPr>
        <w:t>to</w:t>
      </w:r>
      <w:r>
        <w:rPr>
          <w:color w:val="3A3638"/>
          <w:spacing w:val="42"/>
          <w:w w:val="110"/>
        </w:rPr>
        <w:t> </w:t>
      </w:r>
      <w:r>
        <w:rPr>
          <w:color w:val="3A3638"/>
          <w:w w:val="110"/>
        </w:rPr>
        <w:t>be</w:t>
      </w:r>
      <w:r>
        <w:rPr>
          <w:color w:val="6E7072"/>
          <w:w w:val="110"/>
        </w:rPr>
        <w:t>.</w:t>
      </w:r>
      <w:r>
        <w:rPr>
          <w:color w:val="3A3638"/>
          <w:w w:val="110"/>
        </w:rPr>
        <w:t>litigated</w:t>
      </w:r>
      <w:r>
        <w:rPr>
          <w:color w:val="3A3638"/>
          <w:spacing w:val="51"/>
          <w:w w:val="110"/>
        </w:rPr>
        <w:t> </w:t>
      </w:r>
      <w:r>
        <w:rPr>
          <w:color w:val="3A3638"/>
          <w:w w:val="110"/>
        </w:rPr>
        <w:t>because</w:t>
      </w:r>
      <w:r>
        <w:rPr>
          <w:color w:val="3A3638"/>
          <w:spacing w:val="30"/>
          <w:w w:val="110"/>
        </w:rPr>
        <w:t> </w:t>
      </w:r>
      <w:r>
        <w:rPr>
          <w:color w:val="3A3638"/>
          <w:w w:val="110"/>
        </w:rPr>
        <w:t>of</w:t>
      </w:r>
      <w:r>
        <w:rPr>
          <w:color w:val="3A3638"/>
          <w:spacing w:val="38"/>
          <w:w w:val="110"/>
        </w:rPr>
        <w:t> </w:t>
      </w:r>
      <w:r>
        <w:rPr>
          <w:color w:val="3A3638"/>
          <w:w w:val="110"/>
        </w:rPr>
        <w:t>a</w:t>
      </w:r>
      <w:r>
        <w:rPr>
          <w:color w:val="3A3638"/>
          <w:spacing w:val="42"/>
          <w:w w:val="110"/>
        </w:rPr>
        <w:t> </w:t>
      </w:r>
      <w:r>
        <w:rPr>
          <w:color w:val="3A3638"/>
          <w:w w:val="110"/>
        </w:rPr>
        <w:t>missing</w:t>
      </w:r>
    </w:p>
    <w:p>
      <w:pPr>
        <w:pStyle w:val="BodyText"/>
        <w:rPr>
          <w:sz w:val="26"/>
        </w:rPr>
      </w:pPr>
    </w:p>
    <w:p>
      <w:pPr>
        <w:spacing w:line="242" w:lineRule="auto" w:before="169"/>
        <w:ind w:left="561" w:right="102" w:firstLine="403"/>
        <w:jc w:val="both"/>
        <w:rPr>
          <w:sz w:val="18"/>
        </w:rPr>
      </w:pPr>
      <w:r>
        <w:rPr>
          <w:color w:val="3A3638"/>
          <w:w w:val="110"/>
          <w:sz w:val="18"/>
        </w:rPr>
        <w:t>sThe most common confunctlve adverbs are </w:t>
      </w:r>
      <w:r>
        <w:rPr>
          <w:rFonts w:ascii="Arial" w:hAnsi="Arial"/>
          <w:i/>
          <w:color w:val="3A3638"/>
          <w:w w:val="110"/>
          <w:sz w:val="15"/>
        </w:rPr>
        <w:t>accordingly, also, besides, consequently, further.</w:t>
      </w:r>
      <w:r>
        <w:rPr>
          <w:rFonts w:ascii="Arial" w:hAnsi="Arial"/>
          <w:i/>
          <w:color w:val="3A3638"/>
          <w:spacing w:val="1"/>
          <w:w w:val="110"/>
          <w:sz w:val="15"/>
        </w:rPr>
        <w:t> </w:t>
      </w:r>
      <w:r>
        <w:rPr>
          <w:rFonts w:ascii="Arial" w:hAnsi="Arial"/>
          <w:i/>
          <w:color w:val="3A3638"/>
          <w:w w:val="105"/>
          <w:sz w:val="15"/>
        </w:rPr>
        <w:t>more, henc</w:t>
      </w:r>
      <w:r>
        <w:rPr>
          <w:rFonts w:ascii="Arial" w:hAnsi="Arial"/>
          <w:i/>
          <w:color w:val="59595B"/>
          <w:w w:val="105"/>
          <w:sz w:val="15"/>
        </w:rPr>
        <w:t>e</w:t>
      </w:r>
      <w:r>
        <w:rPr>
          <w:rFonts w:ascii="Arial" w:hAnsi="Arial"/>
          <w:i/>
          <w:color w:val="3A3638"/>
          <w:w w:val="105"/>
          <w:sz w:val="15"/>
        </w:rPr>
        <w:t>, however, indeed, instead</w:t>
      </w:r>
      <w:r>
        <w:rPr>
          <w:rFonts w:ascii="Arial" w:hAnsi="Arial"/>
          <w:i/>
          <w:color w:val="59595B"/>
          <w:w w:val="105"/>
          <w:sz w:val="15"/>
        </w:rPr>
        <w:t>, </w:t>
      </w:r>
      <w:r>
        <w:rPr>
          <w:rFonts w:ascii="Arial" w:hAnsi="Arial"/>
          <w:i/>
          <w:color w:val="3A3638"/>
          <w:w w:val="105"/>
          <w:sz w:val="15"/>
        </w:rPr>
        <w:t>likewise, m</w:t>
      </w:r>
      <w:r>
        <w:rPr>
          <w:rFonts w:ascii="Arial" w:hAnsi="Arial"/>
          <w:i/>
          <w:color w:val="59595B"/>
          <w:w w:val="105"/>
          <w:sz w:val="15"/>
        </w:rPr>
        <w:t>e</w:t>
      </w:r>
      <w:r>
        <w:rPr>
          <w:rFonts w:ascii="Arial" w:hAnsi="Arial"/>
          <w:i/>
          <w:color w:val="3A3638"/>
          <w:w w:val="105"/>
          <w:sz w:val="15"/>
        </w:rPr>
        <w:t>anwhile, moreover, nevertheless, sN/1</w:t>
      </w:r>
      <w:r>
        <w:rPr>
          <w:rFonts w:ascii="Arial" w:hAnsi="Arial"/>
          <w:i/>
          <w:color w:val="59595B"/>
          <w:w w:val="105"/>
          <w:sz w:val="15"/>
        </w:rPr>
        <w:t>, </w:t>
      </w:r>
      <w:r>
        <w:rPr>
          <w:rFonts w:ascii="Arial" w:hAnsi="Arial"/>
          <w:i/>
          <w:color w:val="3A3638"/>
          <w:w w:val="105"/>
          <w:sz w:val="15"/>
        </w:rPr>
        <w:t>then</w:t>
      </w:r>
      <w:r>
        <w:rPr>
          <w:rFonts w:ascii="Arial" w:hAnsi="Arial"/>
          <w:i/>
          <w:color w:val="59595B"/>
          <w:w w:val="105"/>
          <w:sz w:val="15"/>
        </w:rPr>
        <w:t>, </w:t>
      </w:r>
      <w:r>
        <w:rPr>
          <w:rFonts w:ascii="Arial" w:hAnsi="Arial"/>
          <w:i/>
          <w:color w:val="3A3638"/>
          <w:w w:val="105"/>
          <w:sz w:val="15"/>
        </w:rPr>
        <w:t>thertforr,</w:t>
      </w:r>
      <w:r>
        <w:rPr>
          <w:rFonts w:ascii="Arial" w:hAnsi="Arial"/>
          <w:i/>
          <w:color w:val="3A3638"/>
          <w:spacing w:val="1"/>
          <w:w w:val="105"/>
          <w:sz w:val="15"/>
        </w:rPr>
        <w:t> </w:t>
      </w:r>
      <w:r>
        <w:rPr>
          <w:color w:val="3A3638"/>
          <w:w w:val="110"/>
          <w:sz w:val="18"/>
        </w:rPr>
        <w:t>and </w:t>
      </w:r>
      <w:r>
        <w:rPr>
          <w:i/>
          <w:color w:val="3A3638"/>
          <w:w w:val="110"/>
          <w:sz w:val="19"/>
        </w:rPr>
        <w:t>thus. </w:t>
      </w:r>
      <w:r>
        <w:rPr>
          <w:color w:val="3A3638"/>
          <w:w w:val="110"/>
          <w:sz w:val="18"/>
        </w:rPr>
        <w:t>For more Information</w:t>
      </w:r>
      <w:r>
        <w:rPr>
          <w:color w:val="59595B"/>
          <w:w w:val="110"/>
          <w:sz w:val="18"/>
        </w:rPr>
        <w:t>, </w:t>
      </w:r>
      <w:r>
        <w:rPr>
          <w:rFonts w:ascii="Arial" w:hAnsi="Arial"/>
          <w:i/>
          <w:color w:val="3A3638"/>
          <w:w w:val="110"/>
          <w:sz w:val="15"/>
        </w:rPr>
        <w:t>see </w:t>
      </w:r>
      <w:r>
        <w:rPr>
          <w:color w:val="3A3638"/>
          <w:w w:val="110"/>
          <w:sz w:val="18"/>
        </w:rPr>
        <w:t>Anne f.nqulst </w:t>
      </w:r>
      <w:r>
        <w:rPr>
          <w:color w:val="3A3638"/>
          <w:w w:val="110"/>
          <w:sz w:val="17"/>
        </w:rPr>
        <w:t>&amp; </w:t>
      </w:r>
      <w:r>
        <w:rPr>
          <w:color w:val="3A3638"/>
          <w:w w:val="110"/>
          <w:sz w:val="18"/>
        </w:rPr>
        <w:t>Laurel Currie Oates, </w:t>
      </w:r>
      <w:r>
        <w:rPr>
          <w:i/>
          <w:color w:val="3A3638"/>
          <w:w w:val="110"/>
          <w:sz w:val="19"/>
        </w:rPr>
        <w:t>Just </w:t>
      </w:r>
      <w:r>
        <w:rPr>
          <w:rFonts w:ascii="Arial" w:hAnsi="Arial"/>
          <w:i/>
          <w:color w:val="3A3638"/>
          <w:w w:val="110"/>
          <w:sz w:val="15"/>
        </w:rPr>
        <w:t>Writing§ </w:t>
      </w:r>
      <w:r>
        <w:rPr>
          <w:color w:val="3A3638"/>
          <w:w w:val="110"/>
          <w:sz w:val="18"/>
        </w:rPr>
        <w:t>8.l.6(c)</w:t>
      </w:r>
      <w:r>
        <w:rPr>
          <w:color w:val="3A3638"/>
          <w:spacing w:val="1"/>
          <w:w w:val="110"/>
          <w:sz w:val="18"/>
        </w:rPr>
        <w:t> </w:t>
      </w:r>
      <w:r>
        <w:rPr>
          <w:color w:val="59595B"/>
          <w:w w:val="110"/>
          <w:sz w:val="18"/>
        </w:rPr>
        <w:t>(</w:t>
      </w:r>
      <w:r>
        <w:rPr>
          <w:color w:val="3A3638"/>
          <w:w w:val="110"/>
          <w:sz w:val="18"/>
        </w:rPr>
        <w:t>4th</w:t>
      </w:r>
      <w:r>
        <w:rPr>
          <w:color w:val="3A3638"/>
          <w:spacing w:val="19"/>
          <w:w w:val="110"/>
          <w:sz w:val="18"/>
        </w:rPr>
        <w:t> </w:t>
      </w:r>
      <w:r>
        <w:rPr>
          <w:color w:val="3A3638"/>
          <w:w w:val="110"/>
          <w:sz w:val="18"/>
        </w:rPr>
        <w:t>ed.,</w:t>
      </w:r>
      <w:r>
        <w:rPr>
          <w:color w:val="3A3638"/>
          <w:spacing w:val="-10"/>
          <w:w w:val="110"/>
          <w:sz w:val="18"/>
        </w:rPr>
        <w:t> </w:t>
      </w:r>
      <w:r>
        <w:rPr>
          <w:color w:val="3A3638"/>
          <w:w w:val="110"/>
          <w:sz w:val="18"/>
        </w:rPr>
        <w:t>Aspen</w:t>
      </w:r>
      <w:r>
        <w:rPr>
          <w:color w:val="3A3638"/>
          <w:spacing w:val="4"/>
          <w:w w:val="110"/>
          <w:sz w:val="18"/>
        </w:rPr>
        <w:t> </w:t>
      </w:r>
      <w:r>
        <w:rPr>
          <w:color w:val="3A3638"/>
          <w:w w:val="110"/>
          <w:sz w:val="18"/>
        </w:rPr>
        <w:t>2013).</w:t>
      </w:r>
    </w:p>
    <w:p>
      <w:pPr>
        <w:spacing w:after="0" w:line="242" w:lineRule="auto"/>
        <w:jc w:val="both"/>
        <w:rPr>
          <w:sz w:val="18"/>
        </w:rPr>
        <w:sectPr>
          <w:pgSz w:w="9760" w:h="14040"/>
          <w:pgMar w:header="611" w:footer="0" w:top="1120" w:bottom="0" w:left="136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28" w:lineRule="auto" w:before="1"/>
        <w:ind w:left="280" w:right="364" w:hanging="16"/>
      </w:pPr>
      <w:r>
        <w:rPr>
          <w:color w:val="383636"/>
          <w:w w:val="115"/>
        </w:rPr>
        <w:t>comma. Thus, in legal writing, make sure to include the comma before</w:t>
      </w:r>
      <w:r>
        <w:rPr>
          <w:color w:val="383636"/>
          <w:spacing w:val="-64"/>
          <w:w w:val="115"/>
        </w:rPr>
        <w:t> </w:t>
      </w:r>
      <w:r>
        <w:rPr>
          <w:color w:val="383636"/>
          <w:w w:val="115"/>
        </w:rPr>
        <w:t>the</w:t>
      </w:r>
      <w:r>
        <w:rPr>
          <w:color w:val="383636"/>
          <w:spacing w:val="-16"/>
          <w:w w:val="115"/>
        </w:rPr>
        <w:t> </w:t>
      </w:r>
      <w:r>
        <w:rPr>
          <w:color w:val="383636"/>
          <w:w w:val="115"/>
        </w:rPr>
        <w:t>conjunction.</w:t>
      </w:r>
    </w:p>
    <w:p>
      <w:pPr>
        <w:pStyle w:val="BodyText"/>
        <w:spacing w:before="8"/>
        <w:rPr>
          <w:sz w:val="13"/>
        </w:rPr>
      </w:pPr>
    </w:p>
    <w:p>
      <w:pPr>
        <w:tabs>
          <w:tab w:pos="487" w:val="left" w:leader="none"/>
        </w:tabs>
        <w:spacing w:before="96"/>
        <w:ind w:left="107" w:right="0" w:firstLine="0"/>
        <w:jc w:val="left"/>
        <w:rPr>
          <w:rFonts w:ascii="Arial"/>
          <w:sz w:val="14"/>
        </w:rPr>
      </w:pPr>
      <w:r>
        <w:rPr>
          <w:rFonts w:ascii="Arial"/>
          <w:color w:val="383636"/>
          <w:w w:val="100"/>
          <w:sz w:val="14"/>
          <w:u w:val="thick" w:color="383636"/>
        </w:rPr>
        <w:t> </w:t>
      </w:r>
      <w:r>
        <w:rPr>
          <w:rFonts w:ascii="Arial"/>
          <w:color w:val="383636"/>
          <w:sz w:val="14"/>
          <w:u w:val="thick" w:color="383636"/>
        </w:rPr>
        <w:tab/>
      </w:r>
      <w:r>
        <w:rPr>
          <w:rFonts w:ascii="Arial"/>
          <w:color w:val="383636"/>
          <w:sz w:val="14"/>
        </w:rPr>
        <w:t>   </w:t>
      </w:r>
      <w:r>
        <w:rPr>
          <w:rFonts w:ascii="Arial"/>
          <w:color w:val="383636"/>
          <w:spacing w:val="-5"/>
          <w:sz w:val="14"/>
        </w:rPr>
        <w:t> </w:t>
      </w:r>
      <w:r>
        <w:rPr>
          <w:rFonts w:ascii="Arial"/>
          <w:color w:val="383636"/>
          <w:w w:val="110"/>
          <w:sz w:val="14"/>
          <w:u w:val="thick" w:color="383636"/>
        </w:rPr>
        <w:t>BAOE</w:t>
      </w:r>
      <w:r>
        <w:rPr>
          <w:rFonts w:ascii="Arial"/>
          <w:color w:val="5E6060"/>
          <w:w w:val="110"/>
          <w:sz w:val="14"/>
          <w:u w:val="thick" w:color="383636"/>
        </w:rPr>
        <w:t>X</w:t>
      </w:r>
      <w:r>
        <w:rPr>
          <w:rFonts w:ascii="Arial"/>
          <w:color w:val="383636"/>
          <w:w w:val="110"/>
          <w:sz w:val="14"/>
          <w:u w:val="thick" w:color="383636"/>
        </w:rPr>
        <w:t>AM</w:t>
      </w:r>
      <w:r>
        <w:rPr>
          <w:rFonts w:ascii="Arial"/>
          <w:color w:val="5E6060"/>
          <w:w w:val="110"/>
          <w:sz w:val="14"/>
          <w:u w:val="thick" w:color="383636"/>
        </w:rPr>
        <w:t>P</w:t>
      </w:r>
      <w:r>
        <w:rPr>
          <w:rFonts w:ascii="Arial"/>
          <w:color w:val="383636"/>
          <w:w w:val="110"/>
          <w:sz w:val="14"/>
          <w:u w:val="thick" w:color="383636"/>
        </w:rPr>
        <w:t>LE</w:t>
      </w:r>
    </w:p>
    <w:p>
      <w:pPr>
        <w:spacing w:before="54"/>
        <w:ind w:left="625" w:right="0" w:firstLine="0"/>
        <w:jc w:val="left"/>
        <w:rPr>
          <w:b/>
          <w:sz w:val="21"/>
        </w:rPr>
      </w:pPr>
      <w:r>
        <w:rPr>
          <w:b/>
          <w:color w:val="383636"/>
          <w:w w:val="105"/>
          <w:sz w:val="21"/>
        </w:rPr>
        <w:t>Mr.</w:t>
      </w:r>
      <w:r>
        <w:rPr>
          <w:b/>
          <w:color w:val="383636"/>
          <w:spacing w:val="-13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Johnson</w:t>
      </w:r>
      <w:r>
        <w:rPr>
          <w:b/>
          <w:color w:val="383636"/>
          <w:spacing w:val="11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is</w:t>
      </w:r>
      <w:r>
        <w:rPr>
          <w:b/>
          <w:color w:val="383636"/>
          <w:spacing w:val="16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tall,</w:t>
      </w:r>
      <w:r>
        <w:rPr>
          <w:b/>
          <w:color w:val="383636"/>
          <w:spacing w:val="6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dark</w:t>
      </w:r>
      <w:r>
        <w:rPr>
          <w:b/>
          <w:color w:val="383636"/>
          <w:spacing w:val="6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and</w:t>
      </w:r>
      <w:r>
        <w:rPr>
          <w:b/>
          <w:color w:val="383636"/>
          <w:spacing w:val="49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handsome.</w:t>
      </w:r>
    </w:p>
    <w:p>
      <w:pPr>
        <w:spacing w:before="71"/>
        <w:ind w:left="260" w:right="0" w:firstLine="0"/>
        <w:jc w:val="left"/>
        <w:rPr>
          <w:rFonts w:ascii="Arial"/>
          <w:sz w:val="14"/>
        </w:rPr>
      </w:pPr>
      <w:r>
        <w:rPr>
          <w:i/>
          <w:color w:val="383636"/>
          <w:w w:val="105"/>
          <w:sz w:val="33"/>
          <w:u w:val="thick" w:color="383636"/>
        </w:rPr>
        <w:t>SJ</w:t>
      </w:r>
      <w:r>
        <w:rPr>
          <w:i/>
          <w:color w:val="383636"/>
          <w:spacing w:val="1"/>
          <w:w w:val="105"/>
          <w:sz w:val="33"/>
          <w:u w:val="thick" w:color="383636"/>
        </w:rPr>
        <w:t> </w:t>
      </w:r>
      <w:r>
        <w:rPr>
          <w:rFonts w:ascii="Arial"/>
          <w:color w:val="383636"/>
          <w:w w:val="105"/>
          <w:sz w:val="14"/>
          <w:u w:val="thick" w:color="383636"/>
        </w:rPr>
        <w:t>GOOD</w:t>
      </w:r>
      <w:r>
        <w:rPr>
          <w:rFonts w:ascii="Arial"/>
          <w:color w:val="383636"/>
          <w:spacing w:val="7"/>
          <w:w w:val="105"/>
          <w:sz w:val="14"/>
          <w:u w:val="thick" w:color="383636"/>
        </w:rPr>
        <w:t> </w:t>
      </w:r>
      <w:r>
        <w:rPr>
          <w:rFonts w:ascii="Arial"/>
          <w:color w:val="383636"/>
          <w:w w:val="105"/>
          <w:sz w:val="14"/>
          <w:u w:val="thick" w:color="383636"/>
        </w:rPr>
        <w:t>E</w:t>
      </w:r>
      <w:r>
        <w:rPr>
          <w:rFonts w:ascii="Arial"/>
          <w:color w:val="5E6060"/>
          <w:w w:val="105"/>
          <w:sz w:val="14"/>
          <w:u w:val="thick" w:color="383636"/>
        </w:rPr>
        <w:t>X</w:t>
      </w:r>
      <w:r>
        <w:rPr>
          <w:rFonts w:ascii="Arial"/>
          <w:color w:val="383636"/>
          <w:w w:val="105"/>
          <w:sz w:val="14"/>
          <w:u w:val="thick" w:color="383636"/>
        </w:rPr>
        <w:t>A</w:t>
      </w:r>
      <w:r>
        <w:rPr>
          <w:rFonts w:ascii="Arial"/>
          <w:color w:val="5E6060"/>
          <w:w w:val="105"/>
          <w:sz w:val="14"/>
          <w:u w:val="thick" w:color="383636"/>
        </w:rPr>
        <w:t>M</w:t>
      </w:r>
      <w:r>
        <w:rPr>
          <w:rFonts w:ascii="Arial"/>
          <w:color w:val="383636"/>
          <w:w w:val="105"/>
          <w:sz w:val="14"/>
          <w:u w:val="thick" w:color="383636"/>
        </w:rPr>
        <w:t>P</w:t>
      </w:r>
      <w:r>
        <w:rPr>
          <w:rFonts w:ascii="Arial"/>
          <w:color w:val="5E6060"/>
          <w:w w:val="105"/>
          <w:sz w:val="14"/>
          <w:u w:val="thick" w:color="383636"/>
        </w:rPr>
        <w:t>L</w:t>
      </w:r>
      <w:r>
        <w:rPr>
          <w:rFonts w:ascii="Arial"/>
          <w:color w:val="383636"/>
          <w:w w:val="105"/>
          <w:sz w:val="14"/>
          <w:u w:val="thick" w:color="383636"/>
        </w:rPr>
        <w:t>E</w:t>
      </w:r>
    </w:p>
    <w:p>
      <w:pPr>
        <w:spacing w:before="21"/>
        <w:ind w:left="625" w:right="0" w:firstLine="0"/>
        <w:jc w:val="left"/>
        <w:rPr>
          <w:b/>
          <w:sz w:val="21"/>
        </w:rPr>
      </w:pPr>
      <w:r>
        <w:rPr>
          <w:b/>
          <w:color w:val="383636"/>
          <w:w w:val="105"/>
          <w:sz w:val="21"/>
        </w:rPr>
        <w:t>Mr.</w:t>
      </w:r>
      <w:r>
        <w:rPr>
          <w:b/>
          <w:color w:val="383636"/>
          <w:spacing w:val="-11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Johnson</w:t>
      </w:r>
      <w:r>
        <w:rPr>
          <w:b/>
          <w:color w:val="383636"/>
          <w:spacing w:val="28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is</w:t>
      </w:r>
      <w:r>
        <w:rPr>
          <w:b/>
          <w:color w:val="383636"/>
          <w:spacing w:val="7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tall,</w:t>
      </w:r>
      <w:r>
        <w:rPr>
          <w:b/>
          <w:color w:val="383636"/>
          <w:spacing w:val="10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dark,</w:t>
      </w:r>
      <w:r>
        <w:rPr>
          <w:b/>
          <w:color w:val="383636"/>
          <w:spacing w:val="7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and</w:t>
      </w:r>
      <w:r>
        <w:rPr>
          <w:b/>
          <w:color w:val="383636"/>
          <w:spacing w:val="40"/>
          <w:w w:val="105"/>
          <w:sz w:val="21"/>
        </w:rPr>
        <w:t> </w:t>
      </w:r>
      <w:r>
        <w:rPr>
          <w:b/>
          <w:color w:val="383636"/>
          <w:w w:val="105"/>
          <w:sz w:val="21"/>
        </w:rPr>
        <w:t>handsome.</w:t>
      </w:r>
    </w:p>
    <w:p>
      <w:pPr>
        <w:spacing w:before="154"/>
        <w:ind w:left="242" w:right="0" w:firstLine="0"/>
        <w:jc w:val="left"/>
        <w:rPr>
          <w:rFonts w:ascii="Arial"/>
          <w:sz w:val="14"/>
        </w:rPr>
      </w:pPr>
      <w:r>
        <w:rPr>
          <w:rFonts w:ascii="Arial"/>
          <w:i/>
          <w:color w:val="5E6060"/>
          <w:w w:val="105"/>
          <w:sz w:val="24"/>
          <w:u w:val="thick" w:color="5E6060"/>
        </w:rPr>
        <w:t>-s:j</w:t>
      </w:r>
      <w:r>
        <w:rPr>
          <w:rFonts w:ascii="Arial"/>
          <w:i/>
          <w:color w:val="5E6060"/>
          <w:spacing w:val="-10"/>
          <w:w w:val="105"/>
          <w:sz w:val="24"/>
        </w:rPr>
        <w:t> </w:t>
      </w:r>
      <w:r>
        <w:rPr>
          <w:rFonts w:ascii="Arial"/>
          <w:color w:val="383636"/>
          <w:w w:val="105"/>
          <w:sz w:val="14"/>
          <w:u w:val="thick" w:color="383636"/>
        </w:rPr>
        <w:t>BAD</w:t>
      </w:r>
      <w:r>
        <w:rPr>
          <w:rFonts w:ascii="Arial"/>
          <w:color w:val="383636"/>
          <w:spacing w:val="18"/>
          <w:w w:val="105"/>
          <w:sz w:val="14"/>
          <w:u w:val="thick" w:color="383636"/>
        </w:rPr>
        <w:t> </w:t>
      </w:r>
      <w:r>
        <w:rPr>
          <w:rFonts w:ascii="Arial"/>
          <w:color w:val="383636"/>
          <w:w w:val="105"/>
          <w:sz w:val="14"/>
          <w:u w:val="thick" w:color="383636"/>
        </w:rPr>
        <w:t>E</w:t>
      </w:r>
      <w:r>
        <w:rPr>
          <w:rFonts w:ascii="Arial"/>
          <w:color w:val="5E6060"/>
          <w:w w:val="105"/>
          <w:sz w:val="14"/>
          <w:u w:val="thick" w:color="383636"/>
        </w:rPr>
        <w:t>XA</w:t>
      </w:r>
      <w:r>
        <w:rPr>
          <w:rFonts w:ascii="Arial"/>
          <w:color w:val="383636"/>
          <w:w w:val="105"/>
          <w:sz w:val="14"/>
          <w:u w:val="thick" w:color="383636"/>
        </w:rPr>
        <w:t>MPLE</w:t>
      </w:r>
    </w:p>
    <w:p>
      <w:pPr>
        <w:spacing w:before="42"/>
        <w:ind w:left="626" w:right="0" w:firstLine="0"/>
        <w:jc w:val="left"/>
        <w:rPr>
          <w:sz w:val="21"/>
        </w:rPr>
      </w:pPr>
      <w:r>
        <w:rPr>
          <w:color w:val="383636"/>
          <w:w w:val="115"/>
          <w:sz w:val="21"/>
        </w:rPr>
        <w:t>Ms.</w:t>
      </w:r>
      <w:r>
        <w:rPr>
          <w:color w:val="383636"/>
          <w:spacing w:val="-37"/>
          <w:w w:val="115"/>
          <w:sz w:val="21"/>
        </w:rPr>
        <w:t> </w:t>
      </w:r>
      <w:r>
        <w:rPr>
          <w:color w:val="383636"/>
          <w:w w:val="115"/>
          <w:sz w:val="21"/>
        </w:rPr>
        <w:t>Gomez</w:t>
      </w:r>
      <w:r>
        <w:rPr>
          <w:color w:val="383636"/>
          <w:spacing w:val="-9"/>
          <w:w w:val="115"/>
          <w:sz w:val="21"/>
        </w:rPr>
        <w:t> </w:t>
      </w:r>
      <w:r>
        <w:rPr>
          <w:color w:val="383636"/>
          <w:w w:val="115"/>
          <w:sz w:val="21"/>
        </w:rPr>
        <w:t>researched</w:t>
      </w:r>
      <w:r>
        <w:rPr>
          <w:color w:val="383636"/>
          <w:spacing w:val="-1"/>
          <w:w w:val="115"/>
          <w:sz w:val="21"/>
        </w:rPr>
        <w:t> </w:t>
      </w:r>
      <w:r>
        <w:rPr>
          <w:color w:val="383636"/>
          <w:w w:val="115"/>
          <w:sz w:val="21"/>
        </w:rPr>
        <w:t>the</w:t>
      </w:r>
      <w:r>
        <w:rPr>
          <w:color w:val="383636"/>
          <w:spacing w:val="19"/>
          <w:w w:val="115"/>
          <w:sz w:val="21"/>
        </w:rPr>
        <w:t> </w:t>
      </w:r>
      <w:r>
        <w:rPr>
          <w:color w:val="383636"/>
          <w:w w:val="115"/>
          <w:sz w:val="21"/>
        </w:rPr>
        <w:t>law,</w:t>
      </w:r>
      <w:r>
        <w:rPr>
          <w:color w:val="383636"/>
          <w:spacing w:val="-24"/>
          <w:w w:val="115"/>
          <w:sz w:val="21"/>
        </w:rPr>
        <w:t> </w:t>
      </w:r>
      <w:r>
        <w:rPr>
          <w:color w:val="383636"/>
          <w:w w:val="115"/>
          <w:sz w:val="21"/>
        </w:rPr>
        <w:t>wrote</w:t>
      </w:r>
      <w:r>
        <w:rPr>
          <w:color w:val="383636"/>
          <w:spacing w:val="-15"/>
          <w:w w:val="115"/>
          <w:sz w:val="21"/>
        </w:rPr>
        <w:t> </w:t>
      </w:r>
      <w:r>
        <w:rPr>
          <w:color w:val="383636"/>
          <w:w w:val="115"/>
          <w:sz w:val="21"/>
        </w:rPr>
        <w:t>the</w:t>
      </w:r>
      <w:r>
        <w:rPr>
          <w:color w:val="383636"/>
          <w:spacing w:val="12"/>
          <w:w w:val="115"/>
          <w:sz w:val="21"/>
        </w:rPr>
        <w:t> </w:t>
      </w:r>
      <w:r>
        <w:rPr>
          <w:color w:val="383636"/>
          <w:w w:val="115"/>
          <w:sz w:val="21"/>
        </w:rPr>
        <w:t>motion</w:t>
      </w:r>
      <w:r>
        <w:rPr>
          <w:color w:val="383636"/>
          <w:spacing w:val="-21"/>
          <w:w w:val="115"/>
          <w:sz w:val="21"/>
        </w:rPr>
        <w:t> </w:t>
      </w:r>
      <w:r>
        <w:rPr>
          <w:color w:val="383636"/>
          <w:w w:val="115"/>
          <w:sz w:val="21"/>
        </w:rPr>
        <w:t>and</w:t>
      </w:r>
      <w:r>
        <w:rPr>
          <w:color w:val="383636"/>
          <w:spacing w:val="4"/>
          <w:w w:val="115"/>
          <w:sz w:val="21"/>
        </w:rPr>
        <w:t> </w:t>
      </w:r>
      <w:r>
        <w:rPr>
          <w:color w:val="383636"/>
          <w:w w:val="115"/>
          <w:sz w:val="21"/>
        </w:rPr>
        <w:t>filed</w:t>
      </w:r>
      <w:r>
        <w:rPr>
          <w:color w:val="383636"/>
          <w:spacing w:val="-24"/>
          <w:w w:val="115"/>
          <w:sz w:val="21"/>
        </w:rPr>
        <w:t> </w:t>
      </w:r>
      <w:r>
        <w:rPr>
          <w:color w:val="383636"/>
          <w:w w:val="115"/>
          <w:sz w:val="21"/>
        </w:rPr>
        <w:t>the</w:t>
      </w:r>
      <w:r>
        <w:rPr>
          <w:color w:val="383636"/>
          <w:spacing w:val="12"/>
          <w:w w:val="115"/>
          <w:sz w:val="21"/>
        </w:rPr>
        <w:t> </w:t>
      </w:r>
      <w:r>
        <w:rPr>
          <w:color w:val="383636"/>
          <w:w w:val="115"/>
          <w:sz w:val="21"/>
        </w:rPr>
        <w:t>motion.</w:t>
      </w:r>
    </w:p>
    <w:p>
      <w:pPr>
        <w:pStyle w:val="BodyText"/>
        <w:spacing w:before="2"/>
        <w:rPr>
          <w:sz w:val="13"/>
        </w:rPr>
      </w:pPr>
    </w:p>
    <w:p>
      <w:pPr>
        <w:spacing w:before="96"/>
        <w:ind w:left="269" w:right="0" w:firstLine="0"/>
        <w:jc w:val="left"/>
        <w:rPr>
          <w:rFonts w:ascii="Arial"/>
          <w:sz w:val="14"/>
        </w:rPr>
      </w:pPr>
      <w:r>
        <w:rPr>
          <w:rFonts w:ascii="Arial"/>
          <w:color w:val="5E6060"/>
          <w:w w:val="120"/>
          <w:sz w:val="14"/>
          <w:u w:val="thick" w:color="5E6060"/>
        </w:rPr>
        <w:t>../)</w:t>
      </w:r>
      <w:r>
        <w:rPr>
          <w:rFonts w:ascii="Arial"/>
          <w:color w:val="5E6060"/>
          <w:w w:val="120"/>
          <w:sz w:val="14"/>
        </w:rPr>
        <w:t>,</w:t>
      </w:r>
      <w:r>
        <w:rPr>
          <w:rFonts w:ascii="Arial"/>
          <w:color w:val="383636"/>
          <w:w w:val="120"/>
          <w:sz w:val="14"/>
          <w:u w:val="thick" w:color="383636"/>
        </w:rPr>
        <w:t>GOOD</w:t>
      </w:r>
      <w:r>
        <w:rPr>
          <w:rFonts w:ascii="Arial"/>
          <w:color w:val="383636"/>
          <w:spacing w:val="4"/>
          <w:w w:val="120"/>
          <w:sz w:val="14"/>
          <w:u w:val="thick" w:color="383636"/>
        </w:rPr>
        <w:t> </w:t>
      </w:r>
      <w:r>
        <w:rPr>
          <w:rFonts w:ascii="Arial"/>
          <w:color w:val="383636"/>
          <w:w w:val="120"/>
          <w:sz w:val="14"/>
          <w:u w:val="thick" w:color="383636"/>
        </w:rPr>
        <w:t>E</w:t>
      </w:r>
      <w:r>
        <w:rPr>
          <w:rFonts w:ascii="Arial"/>
          <w:color w:val="5E6060"/>
          <w:w w:val="120"/>
          <w:sz w:val="14"/>
          <w:u w:val="thick" w:color="383636"/>
        </w:rPr>
        <w:t>XA</w:t>
      </w:r>
      <w:r>
        <w:rPr>
          <w:rFonts w:ascii="Arial"/>
          <w:color w:val="383636"/>
          <w:w w:val="120"/>
          <w:sz w:val="14"/>
          <w:u w:val="thick" w:color="383636"/>
        </w:rPr>
        <w:t>M</w:t>
      </w:r>
      <w:r>
        <w:rPr>
          <w:rFonts w:ascii="Arial"/>
          <w:color w:val="5E6060"/>
          <w:w w:val="120"/>
          <w:sz w:val="14"/>
          <w:u w:val="thick" w:color="383636"/>
        </w:rPr>
        <w:t>P</w:t>
      </w:r>
      <w:r>
        <w:rPr>
          <w:rFonts w:ascii="Arial"/>
          <w:color w:val="383636"/>
          <w:w w:val="120"/>
          <w:sz w:val="14"/>
          <w:u w:val="thick" w:color="383636"/>
        </w:rPr>
        <w:t>LE</w:t>
      </w:r>
    </w:p>
    <w:p>
      <w:pPr>
        <w:spacing w:before="63"/>
        <w:ind w:left="626" w:right="0" w:firstLine="0"/>
        <w:jc w:val="left"/>
        <w:rPr>
          <w:sz w:val="21"/>
        </w:rPr>
      </w:pPr>
      <w:r>
        <w:rPr>
          <w:color w:val="383636"/>
          <w:w w:val="115"/>
          <w:sz w:val="21"/>
        </w:rPr>
        <w:t>Ms.</w:t>
      </w:r>
      <w:r>
        <w:rPr>
          <w:color w:val="383636"/>
          <w:spacing w:val="-35"/>
          <w:w w:val="115"/>
          <w:sz w:val="21"/>
        </w:rPr>
        <w:t> </w:t>
      </w:r>
      <w:r>
        <w:rPr>
          <w:color w:val="383636"/>
          <w:w w:val="115"/>
          <w:sz w:val="21"/>
        </w:rPr>
        <w:t>Gomez</w:t>
      </w:r>
      <w:r>
        <w:rPr>
          <w:color w:val="383636"/>
          <w:spacing w:val="-16"/>
          <w:w w:val="115"/>
          <w:sz w:val="21"/>
        </w:rPr>
        <w:t> </w:t>
      </w:r>
      <w:r>
        <w:rPr>
          <w:color w:val="383636"/>
          <w:w w:val="115"/>
          <w:sz w:val="21"/>
        </w:rPr>
        <w:t>researched</w:t>
      </w:r>
      <w:r>
        <w:rPr>
          <w:color w:val="383636"/>
          <w:spacing w:val="-7"/>
          <w:w w:val="115"/>
          <w:sz w:val="21"/>
        </w:rPr>
        <w:t> </w:t>
      </w:r>
      <w:r>
        <w:rPr>
          <w:color w:val="383636"/>
          <w:w w:val="115"/>
          <w:sz w:val="21"/>
        </w:rPr>
        <w:t>the</w:t>
      </w:r>
      <w:r>
        <w:rPr>
          <w:color w:val="383636"/>
          <w:spacing w:val="10"/>
          <w:w w:val="115"/>
          <w:sz w:val="21"/>
        </w:rPr>
        <w:t> </w:t>
      </w:r>
      <w:r>
        <w:rPr>
          <w:color w:val="383636"/>
          <w:w w:val="115"/>
          <w:sz w:val="21"/>
        </w:rPr>
        <w:t>law,</w:t>
      </w:r>
      <w:r>
        <w:rPr>
          <w:color w:val="383636"/>
          <w:spacing w:val="-20"/>
          <w:w w:val="115"/>
          <w:sz w:val="21"/>
        </w:rPr>
        <w:t> </w:t>
      </w:r>
      <w:r>
        <w:rPr>
          <w:color w:val="383636"/>
          <w:w w:val="115"/>
          <w:sz w:val="21"/>
        </w:rPr>
        <w:t>wrote</w:t>
      </w:r>
      <w:r>
        <w:rPr>
          <w:color w:val="383636"/>
          <w:spacing w:val="-21"/>
          <w:w w:val="115"/>
          <w:sz w:val="21"/>
        </w:rPr>
        <w:t> </w:t>
      </w:r>
      <w:r>
        <w:rPr>
          <w:color w:val="383636"/>
          <w:w w:val="115"/>
          <w:sz w:val="21"/>
        </w:rPr>
        <w:t>the</w:t>
      </w:r>
      <w:r>
        <w:rPr>
          <w:color w:val="383636"/>
          <w:spacing w:val="-1"/>
          <w:w w:val="115"/>
          <w:sz w:val="21"/>
        </w:rPr>
        <w:t> </w:t>
      </w:r>
      <w:r>
        <w:rPr>
          <w:color w:val="383636"/>
          <w:w w:val="115"/>
          <w:sz w:val="21"/>
        </w:rPr>
        <w:t>motion,</w:t>
      </w:r>
      <w:r>
        <w:rPr>
          <w:color w:val="383636"/>
          <w:spacing w:val="-25"/>
          <w:w w:val="115"/>
          <w:sz w:val="21"/>
        </w:rPr>
        <w:t> </w:t>
      </w:r>
      <w:r>
        <w:rPr>
          <w:color w:val="383636"/>
          <w:w w:val="115"/>
          <w:sz w:val="21"/>
        </w:rPr>
        <w:t>and</w:t>
      </w:r>
      <w:r>
        <w:rPr>
          <w:color w:val="383636"/>
          <w:spacing w:val="-2"/>
          <w:w w:val="115"/>
          <w:sz w:val="21"/>
        </w:rPr>
        <w:t> </w:t>
      </w:r>
      <w:r>
        <w:rPr>
          <w:color w:val="383636"/>
          <w:w w:val="115"/>
          <w:sz w:val="21"/>
        </w:rPr>
        <w:t>filed</w:t>
      </w:r>
      <w:r>
        <w:rPr>
          <w:color w:val="383636"/>
          <w:spacing w:val="-21"/>
          <w:w w:val="115"/>
          <w:sz w:val="21"/>
        </w:rPr>
        <w:t> </w:t>
      </w:r>
      <w:r>
        <w:rPr>
          <w:color w:val="383636"/>
          <w:w w:val="115"/>
          <w:sz w:val="21"/>
        </w:rPr>
        <w:t>the</w:t>
      </w:r>
      <w:r>
        <w:rPr>
          <w:color w:val="383636"/>
          <w:spacing w:val="7"/>
          <w:w w:val="115"/>
          <w:sz w:val="21"/>
        </w:rPr>
        <w:t> </w:t>
      </w:r>
      <w:r>
        <w:rPr>
          <w:color w:val="383636"/>
          <w:w w:val="115"/>
          <w:sz w:val="21"/>
        </w:rPr>
        <w:t>motion.</w:t>
      </w:r>
    </w:p>
    <w:p>
      <w:pPr>
        <w:pStyle w:val="ListParagraph"/>
        <w:numPr>
          <w:ilvl w:val="0"/>
          <w:numId w:val="126"/>
        </w:numPr>
        <w:tabs>
          <w:tab w:pos="906" w:val="left" w:leader="none"/>
        </w:tabs>
        <w:spacing w:line="228" w:lineRule="auto" w:before="155" w:after="0"/>
        <w:ind w:left="275" w:right="314" w:firstLine="349"/>
        <w:jc w:val="both"/>
        <w:rPr>
          <w:color w:val="383636"/>
          <w:sz w:val="23"/>
        </w:rPr>
      </w:pPr>
      <w:r>
        <w:rPr>
          <w:color w:val="383636"/>
          <w:w w:val="115"/>
          <w:sz w:val="23"/>
        </w:rPr>
        <w:t>Place a comma before a coordinating conjunction separating two</w:t>
      </w:r>
      <w:r>
        <w:rPr>
          <w:color w:val="383636"/>
          <w:spacing w:val="-64"/>
          <w:w w:val="115"/>
          <w:sz w:val="23"/>
        </w:rPr>
        <w:t> </w:t>
      </w:r>
      <w:r>
        <w:rPr>
          <w:color w:val="383636"/>
          <w:w w:val="115"/>
          <w:sz w:val="23"/>
        </w:rPr>
        <w:t>independent</w:t>
      </w:r>
      <w:r>
        <w:rPr>
          <w:color w:val="383636"/>
          <w:spacing w:val="-2"/>
          <w:w w:val="115"/>
          <w:sz w:val="23"/>
        </w:rPr>
        <w:t> </w:t>
      </w:r>
      <w:r>
        <w:rPr>
          <w:color w:val="383636"/>
          <w:w w:val="115"/>
          <w:sz w:val="23"/>
        </w:rPr>
        <w:t>clauses.</w:t>
      </w:r>
    </w:p>
    <w:p>
      <w:pPr>
        <w:pStyle w:val="BodyText"/>
        <w:spacing w:line="232" w:lineRule="auto" w:before="4"/>
        <w:ind w:left="264" w:right="293" w:firstLine="348"/>
        <w:jc w:val="both"/>
      </w:pPr>
      <w:r>
        <w:rPr>
          <w:color w:val="383636"/>
          <w:w w:val="110"/>
        </w:rPr>
        <w:t>The most common coordinating conjunctions are </w:t>
      </w:r>
      <w:r>
        <w:rPr>
          <w:rFonts w:ascii="Arial"/>
          <w:i/>
          <w:color w:val="383636"/>
          <w:w w:val="110"/>
          <w:sz w:val="21"/>
        </w:rPr>
        <w:t>and </w:t>
      </w:r>
      <w:r>
        <w:rPr>
          <w:color w:val="383636"/>
          <w:w w:val="110"/>
        </w:rPr>
        <w:t>and </w:t>
      </w:r>
      <w:r>
        <w:rPr>
          <w:rFonts w:ascii="Arial"/>
          <w:i/>
          <w:color w:val="383636"/>
          <w:w w:val="110"/>
          <w:sz w:val="21"/>
        </w:rPr>
        <w:t>or. </w:t>
      </w:r>
      <w:r>
        <w:rPr>
          <w:color w:val="383636"/>
          <w:w w:val="110"/>
        </w:rPr>
        <w:t>When a</w:t>
      </w:r>
      <w:r>
        <w:rPr>
          <w:color w:val="383636"/>
          <w:spacing w:val="1"/>
          <w:w w:val="110"/>
        </w:rPr>
        <w:t> </w:t>
      </w:r>
      <w:r>
        <w:rPr>
          <w:color w:val="383636"/>
          <w:spacing w:val="-1"/>
          <w:w w:val="115"/>
        </w:rPr>
        <w:t>coordinating</w:t>
      </w:r>
      <w:r>
        <w:rPr>
          <w:color w:val="383636"/>
          <w:spacing w:val="-12"/>
          <w:w w:val="115"/>
        </w:rPr>
        <w:t> </w:t>
      </w:r>
      <w:r>
        <w:rPr>
          <w:color w:val="383636"/>
          <w:spacing w:val="-1"/>
          <w:w w:val="115"/>
        </w:rPr>
        <w:t>conjunction</w:t>
      </w:r>
      <w:r>
        <w:rPr>
          <w:color w:val="383636"/>
          <w:spacing w:val="-9"/>
          <w:w w:val="115"/>
        </w:rPr>
        <w:t> </w:t>
      </w:r>
      <w:r>
        <w:rPr>
          <w:color w:val="383636"/>
          <w:w w:val="115"/>
        </w:rPr>
        <w:t>creates</w:t>
      </w:r>
      <w:r>
        <w:rPr>
          <w:color w:val="383636"/>
          <w:spacing w:val="-14"/>
          <w:w w:val="115"/>
        </w:rPr>
        <w:t> </w:t>
      </w:r>
      <w:r>
        <w:rPr>
          <w:color w:val="383636"/>
          <w:w w:val="115"/>
        </w:rPr>
        <w:t>a</w:t>
      </w:r>
      <w:r>
        <w:rPr>
          <w:color w:val="383636"/>
          <w:spacing w:val="-6"/>
          <w:w w:val="115"/>
        </w:rPr>
        <w:t> </w:t>
      </w:r>
      <w:r>
        <w:rPr>
          <w:color w:val="383636"/>
          <w:w w:val="115"/>
        </w:rPr>
        <w:t>compound</w:t>
      </w:r>
      <w:r>
        <w:rPr>
          <w:color w:val="383636"/>
          <w:spacing w:val="8"/>
          <w:w w:val="115"/>
        </w:rPr>
        <w:t> </w:t>
      </w:r>
      <w:r>
        <w:rPr>
          <w:color w:val="383636"/>
          <w:w w:val="115"/>
        </w:rPr>
        <w:t>noun</w:t>
      </w:r>
      <w:r>
        <w:rPr>
          <w:color w:val="383636"/>
          <w:spacing w:val="-10"/>
          <w:w w:val="115"/>
        </w:rPr>
        <w:t> </w:t>
      </w:r>
      <w:r>
        <w:rPr>
          <w:color w:val="383636"/>
          <w:w w:val="115"/>
        </w:rPr>
        <w:t>or</w:t>
      </w:r>
      <w:r>
        <w:rPr>
          <w:color w:val="383636"/>
          <w:spacing w:val="-30"/>
          <w:w w:val="115"/>
        </w:rPr>
        <w:t> </w:t>
      </w:r>
      <w:r>
        <w:rPr>
          <w:color w:val="383636"/>
          <w:w w:val="115"/>
        </w:rPr>
        <w:t>verb,</w:t>
      </w:r>
      <w:r>
        <w:rPr>
          <w:color w:val="383636"/>
          <w:spacing w:val="-6"/>
          <w:w w:val="115"/>
        </w:rPr>
        <w:t> </w:t>
      </w:r>
      <w:r>
        <w:rPr>
          <w:color w:val="383636"/>
          <w:w w:val="115"/>
        </w:rPr>
        <w:t>there</w:t>
      </w:r>
      <w:r>
        <w:rPr>
          <w:color w:val="383636"/>
          <w:spacing w:val="-12"/>
          <w:w w:val="115"/>
        </w:rPr>
        <w:t> </w:t>
      </w:r>
      <w:r>
        <w:rPr>
          <w:color w:val="383636"/>
          <w:w w:val="115"/>
        </w:rPr>
        <w:t>is</w:t>
      </w:r>
      <w:r>
        <w:rPr>
          <w:color w:val="383636"/>
          <w:spacing w:val="-22"/>
          <w:w w:val="115"/>
        </w:rPr>
        <w:t> </w:t>
      </w:r>
      <w:r>
        <w:rPr>
          <w:color w:val="383636"/>
          <w:w w:val="115"/>
        </w:rPr>
        <w:t>only</w:t>
      </w:r>
      <w:r>
        <w:rPr>
          <w:color w:val="383636"/>
          <w:spacing w:val="-64"/>
          <w:w w:val="115"/>
        </w:rPr>
        <w:t> </w:t>
      </w:r>
      <w:r>
        <w:rPr>
          <w:color w:val="383636"/>
          <w:w w:val="110"/>
        </w:rPr>
        <w:t>one</w:t>
      </w:r>
      <w:r>
        <w:rPr>
          <w:color w:val="383636"/>
          <w:spacing w:val="-31"/>
          <w:w w:val="110"/>
        </w:rPr>
        <w:t> </w:t>
      </w:r>
      <w:r>
        <w:rPr>
          <w:color w:val="383636"/>
          <w:w w:val="110"/>
        </w:rPr>
        <w:t>independent</w:t>
      </w:r>
      <w:r>
        <w:rPr>
          <w:color w:val="383636"/>
          <w:spacing w:val="-1"/>
          <w:w w:val="110"/>
        </w:rPr>
        <w:t> </w:t>
      </w:r>
      <w:r>
        <w:rPr>
          <w:color w:val="383636"/>
          <w:w w:val="110"/>
        </w:rPr>
        <w:t>clause,</w:t>
      </w:r>
      <w:r>
        <w:rPr>
          <w:color w:val="383636"/>
          <w:spacing w:val="-1"/>
          <w:w w:val="110"/>
        </w:rPr>
        <w:t> </w:t>
      </w:r>
      <w:r>
        <w:rPr>
          <w:color w:val="383636"/>
          <w:w w:val="110"/>
        </w:rPr>
        <w:t>and</w:t>
      </w:r>
      <w:r>
        <w:rPr>
          <w:color w:val="383636"/>
          <w:spacing w:val="36"/>
          <w:w w:val="110"/>
        </w:rPr>
        <w:t> </w:t>
      </w:r>
      <w:r>
        <w:rPr>
          <w:color w:val="383636"/>
          <w:w w:val="110"/>
        </w:rPr>
        <w:t>no</w:t>
      </w:r>
      <w:r>
        <w:rPr>
          <w:color w:val="383636"/>
          <w:spacing w:val="18"/>
          <w:w w:val="110"/>
        </w:rPr>
        <w:t> </w:t>
      </w:r>
      <w:r>
        <w:rPr>
          <w:color w:val="383636"/>
          <w:w w:val="110"/>
        </w:rPr>
        <w:t>comma</w:t>
      </w:r>
      <w:r>
        <w:rPr>
          <w:color w:val="383636"/>
          <w:spacing w:val="5"/>
          <w:w w:val="110"/>
        </w:rPr>
        <w:t> </w:t>
      </w:r>
      <w:r>
        <w:rPr>
          <w:color w:val="383636"/>
          <w:w w:val="110"/>
        </w:rPr>
        <w:t>is</w:t>
      </w:r>
      <w:r>
        <w:rPr>
          <w:color w:val="383636"/>
          <w:spacing w:val="-10"/>
          <w:w w:val="110"/>
        </w:rPr>
        <w:t> </w:t>
      </w:r>
      <w:r>
        <w:rPr>
          <w:color w:val="383636"/>
          <w:w w:val="110"/>
        </w:rPr>
        <w:t>necessary.</w:t>
      </w:r>
    </w:p>
    <w:p>
      <w:pPr>
        <w:spacing w:before="131"/>
        <w:ind w:left="284" w:right="0" w:firstLine="0"/>
        <w:jc w:val="left"/>
        <w:rPr>
          <w:rFonts w:ascii="Arial"/>
          <w:sz w:val="14"/>
        </w:rPr>
      </w:pPr>
      <w:r>
        <w:rPr>
          <w:i/>
          <w:color w:val="5E6060"/>
          <w:w w:val="90"/>
          <w:sz w:val="25"/>
          <w:u w:val="thick" w:color="5E6060"/>
        </w:rPr>
        <w:t>_f.:..</w:t>
      </w:r>
      <w:r>
        <w:rPr>
          <w:i/>
          <w:color w:val="5E6060"/>
          <w:w w:val="90"/>
          <w:sz w:val="25"/>
        </w:rPr>
        <w:t>,</w:t>
      </w:r>
      <w:r>
        <w:rPr>
          <w:i/>
          <w:color w:val="5E6060"/>
          <w:spacing w:val="-13"/>
          <w:w w:val="90"/>
          <w:sz w:val="25"/>
        </w:rPr>
        <w:t> </w:t>
      </w:r>
      <w:r>
        <w:rPr>
          <w:rFonts w:ascii="Arial"/>
          <w:color w:val="383636"/>
          <w:w w:val="90"/>
          <w:sz w:val="14"/>
          <w:u w:val="thick" w:color="383636"/>
        </w:rPr>
        <w:t>GOOD</w:t>
      </w:r>
      <w:r>
        <w:rPr>
          <w:rFonts w:ascii="Arial"/>
          <w:color w:val="383636"/>
          <w:spacing w:val="20"/>
          <w:w w:val="90"/>
          <w:sz w:val="14"/>
          <w:u w:val="thick" w:color="383636"/>
        </w:rPr>
        <w:t> </w:t>
      </w:r>
      <w:r>
        <w:rPr>
          <w:rFonts w:ascii="Arial"/>
          <w:color w:val="5E6060"/>
          <w:w w:val="90"/>
          <w:sz w:val="14"/>
          <w:u w:val="thick" w:color="383636"/>
        </w:rPr>
        <w:t>E</w:t>
      </w:r>
      <w:r>
        <w:rPr>
          <w:rFonts w:ascii="Arial"/>
          <w:color w:val="7C7C7E"/>
          <w:w w:val="90"/>
          <w:sz w:val="14"/>
          <w:u w:val="thick" w:color="383636"/>
        </w:rPr>
        <w:t>Y</w:t>
      </w:r>
      <w:r>
        <w:rPr>
          <w:rFonts w:ascii="Arial"/>
          <w:color w:val="5E6060"/>
          <w:w w:val="90"/>
          <w:sz w:val="14"/>
          <w:u w:val="thick" w:color="383636"/>
        </w:rPr>
        <w:t>,</w:t>
      </w:r>
      <w:r>
        <w:rPr>
          <w:rFonts w:ascii="Arial"/>
          <w:color w:val="7C7C7E"/>
          <w:w w:val="90"/>
          <w:sz w:val="14"/>
          <w:u w:val="thick" w:color="383636"/>
        </w:rPr>
        <w:t>AM</w:t>
      </w:r>
      <w:r>
        <w:rPr>
          <w:rFonts w:ascii="Arial"/>
          <w:color w:val="5E6060"/>
          <w:w w:val="90"/>
          <w:sz w:val="14"/>
          <w:u w:val="thick" w:color="383636"/>
        </w:rPr>
        <w:t>PLE</w:t>
      </w:r>
      <w:r>
        <w:rPr>
          <w:rFonts w:ascii="Arial"/>
          <w:color w:val="383636"/>
          <w:w w:val="90"/>
          <w:sz w:val="14"/>
          <w:u w:val="thick" w:color="383636"/>
        </w:rPr>
        <w:t>S</w:t>
      </w:r>
    </w:p>
    <w:p>
      <w:pPr>
        <w:spacing w:line="241" w:lineRule="exact" w:before="48"/>
        <w:ind w:left="626" w:right="0" w:firstLine="0"/>
        <w:jc w:val="left"/>
        <w:rPr>
          <w:sz w:val="21"/>
        </w:rPr>
      </w:pPr>
      <w:r>
        <w:rPr>
          <w:color w:val="383636"/>
          <w:w w:val="120"/>
          <w:sz w:val="21"/>
        </w:rPr>
        <w:t>Mr.</w:t>
      </w:r>
      <w:r>
        <w:rPr>
          <w:color w:val="383636"/>
          <w:spacing w:val="-40"/>
          <w:w w:val="120"/>
          <w:sz w:val="21"/>
        </w:rPr>
        <w:t> </w:t>
      </w:r>
      <w:r>
        <w:rPr>
          <w:color w:val="383636"/>
          <w:w w:val="120"/>
          <w:sz w:val="21"/>
        </w:rPr>
        <w:t>Johnson</w:t>
      </w:r>
      <w:r>
        <w:rPr>
          <w:color w:val="383636"/>
          <w:spacing w:val="2"/>
          <w:w w:val="120"/>
          <w:sz w:val="21"/>
        </w:rPr>
        <w:t> </w:t>
      </w:r>
      <w:r>
        <w:rPr>
          <w:color w:val="383636"/>
          <w:w w:val="120"/>
          <w:sz w:val="21"/>
        </w:rPr>
        <w:t>is</w:t>
      </w:r>
      <w:r>
        <w:rPr>
          <w:color w:val="383636"/>
          <w:spacing w:val="-15"/>
          <w:w w:val="120"/>
          <w:sz w:val="21"/>
        </w:rPr>
        <w:t> </w:t>
      </w:r>
      <w:r>
        <w:rPr>
          <w:color w:val="383636"/>
          <w:w w:val="120"/>
          <w:sz w:val="21"/>
        </w:rPr>
        <w:t>tall</w:t>
      </w:r>
      <w:r>
        <w:rPr>
          <w:color w:val="383636"/>
          <w:spacing w:val="-25"/>
          <w:w w:val="120"/>
          <w:sz w:val="21"/>
        </w:rPr>
        <w:t> </w:t>
      </w:r>
      <w:r>
        <w:rPr>
          <w:color w:val="383636"/>
          <w:w w:val="120"/>
          <w:sz w:val="21"/>
        </w:rPr>
        <w:t>and handsome.</w:t>
      </w:r>
    </w:p>
    <w:p>
      <w:pPr>
        <w:spacing w:line="241" w:lineRule="exact" w:before="0"/>
        <w:ind w:left="605" w:right="0" w:firstLine="0"/>
        <w:jc w:val="left"/>
        <w:rPr>
          <w:sz w:val="21"/>
        </w:rPr>
      </w:pPr>
      <w:r>
        <w:rPr>
          <w:color w:val="383636"/>
          <w:w w:val="120"/>
          <w:sz w:val="21"/>
        </w:rPr>
        <w:t>John</w:t>
      </w:r>
      <w:r>
        <w:rPr>
          <w:color w:val="383636"/>
          <w:spacing w:val="5"/>
          <w:w w:val="120"/>
          <w:sz w:val="21"/>
        </w:rPr>
        <w:t> </w:t>
      </w:r>
      <w:r>
        <w:rPr>
          <w:color w:val="383636"/>
          <w:w w:val="120"/>
          <w:sz w:val="21"/>
        </w:rPr>
        <w:t>laughed all</w:t>
      </w:r>
      <w:r>
        <w:rPr>
          <w:color w:val="383636"/>
          <w:spacing w:val="4"/>
          <w:w w:val="120"/>
          <w:sz w:val="21"/>
        </w:rPr>
        <w:t> </w:t>
      </w:r>
      <w:r>
        <w:rPr>
          <w:color w:val="383636"/>
          <w:w w:val="120"/>
          <w:sz w:val="21"/>
        </w:rPr>
        <w:t>the</w:t>
      </w:r>
      <w:r>
        <w:rPr>
          <w:color w:val="383636"/>
          <w:spacing w:val="12"/>
          <w:w w:val="120"/>
          <w:sz w:val="21"/>
        </w:rPr>
        <w:t> </w:t>
      </w:r>
      <w:r>
        <w:rPr>
          <w:color w:val="383636"/>
          <w:w w:val="120"/>
          <w:sz w:val="21"/>
        </w:rPr>
        <w:t>way</w:t>
      </w:r>
      <w:r>
        <w:rPr>
          <w:color w:val="383636"/>
          <w:spacing w:val="-4"/>
          <w:w w:val="120"/>
          <w:sz w:val="21"/>
        </w:rPr>
        <w:t> </w:t>
      </w:r>
      <w:r>
        <w:rPr>
          <w:color w:val="383636"/>
          <w:w w:val="120"/>
          <w:sz w:val="21"/>
        </w:rPr>
        <w:t>to</w:t>
      </w:r>
      <w:r>
        <w:rPr>
          <w:color w:val="383636"/>
          <w:spacing w:val="5"/>
          <w:w w:val="120"/>
          <w:sz w:val="21"/>
        </w:rPr>
        <w:t> </w:t>
      </w:r>
      <w:r>
        <w:rPr>
          <w:color w:val="383636"/>
          <w:w w:val="120"/>
          <w:sz w:val="21"/>
        </w:rPr>
        <w:t>the</w:t>
      </w:r>
      <w:r>
        <w:rPr>
          <w:color w:val="383636"/>
          <w:spacing w:val="14"/>
          <w:w w:val="120"/>
          <w:sz w:val="21"/>
        </w:rPr>
        <w:t> </w:t>
      </w:r>
      <w:r>
        <w:rPr>
          <w:color w:val="383636"/>
          <w:w w:val="120"/>
          <w:sz w:val="21"/>
        </w:rPr>
        <w:t>bank</w:t>
      </w:r>
      <w:r>
        <w:rPr>
          <w:color w:val="383636"/>
          <w:spacing w:val="-11"/>
          <w:w w:val="120"/>
          <w:sz w:val="21"/>
        </w:rPr>
        <w:t> </w:t>
      </w:r>
      <w:r>
        <w:rPr>
          <w:color w:val="383636"/>
          <w:w w:val="120"/>
          <w:sz w:val="21"/>
        </w:rPr>
        <w:t>and</w:t>
      </w:r>
      <w:r>
        <w:rPr>
          <w:color w:val="383636"/>
          <w:spacing w:val="7"/>
          <w:w w:val="120"/>
          <w:sz w:val="21"/>
        </w:rPr>
        <w:t> </w:t>
      </w:r>
      <w:r>
        <w:rPr>
          <w:color w:val="383636"/>
          <w:w w:val="120"/>
          <w:sz w:val="21"/>
        </w:rPr>
        <w:t>then</w:t>
      </w:r>
      <w:r>
        <w:rPr>
          <w:color w:val="383636"/>
          <w:spacing w:val="-9"/>
          <w:w w:val="120"/>
          <w:sz w:val="21"/>
        </w:rPr>
        <w:t> </w:t>
      </w:r>
      <w:r>
        <w:rPr>
          <w:color w:val="383636"/>
          <w:w w:val="120"/>
          <w:sz w:val="21"/>
        </w:rPr>
        <w:t>made</w:t>
      </w:r>
      <w:r>
        <w:rPr>
          <w:color w:val="383636"/>
          <w:spacing w:val="-21"/>
          <w:w w:val="120"/>
          <w:sz w:val="21"/>
        </w:rPr>
        <w:t> </w:t>
      </w:r>
      <w:r>
        <w:rPr>
          <w:color w:val="383636"/>
          <w:w w:val="120"/>
          <w:sz w:val="21"/>
        </w:rPr>
        <w:t>a</w:t>
      </w:r>
      <w:r>
        <w:rPr>
          <w:color w:val="383636"/>
          <w:spacing w:val="-2"/>
          <w:w w:val="120"/>
          <w:sz w:val="21"/>
        </w:rPr>
        <w:t> </w:t>
      </w:r>
      <w:r>
        <w:rPr>
          <w:color w:val="383636"/>
          <w:w w:val="120"/>
          <w:sz w:val="21"/>
        </w:rPr>
        <w:t>large</w:t>
      </w:r>
      <w:r>
        <w:rPr>
          <w:color w:val="383636"/>
          <w:spacing w:val="-20"/>
          <w:w w:val="120"/>
          <w:sz w:val="21"/>
        </w:rPr>
        <w:t> </w:t>
      </w:r>
      <w:r>
        <w:rPr>
          <w:color w:val="383636"/>
          <w:w w:val="120"/>
          <w:sz w:val="21"/>
        </w:rPr>
        <w:t>deposit.</w:t>
      </w:r>
    </w:p>
    <w:p>
      <w:pPr>
        <w:pStyle w:val="BodyText"/>
        <w:spacing w:line="228" w:lineRule="auto" w:before="156"/>
        <w:ind w:left="261" w:right="273" w:firstLine="17"/>
        <w:jc w:val="both"/>
      </w:pPr>
      <w:r>
        <w:rPr>
          <w:color w:val="383636"/>
          <w:w w:val="110"/>
        </w:rPr>
        <w:t>However, if the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two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parts of the sentence are independent clauses, they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should</w:t>
      </w:r>
      <w:r>
        <w:rPr>
          <w:color w:val="383636"/>
          <w:spacing w:val="8"/>
          <w:w w:val="110"/>
        </w:rPr>
        <w:t> </w:t>
      </w:r>
      <w:r>
        <w:rPr>
          <w:color w:val="383636"/>
          <w:w w:val="110"/>
        </w:rPr>
        <w:t>be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separated</w:t>
      </w:r>
      <w:r>
        <w:rPr>
          <w:color w:val="383636"/>
          <w:spacing w:val="11"/>
          <w:w w:val="110"/>
        </w:rPr>
        <w:t> </w:t>
      </w:r>
      <w:r>
        <w:rPr>
          <w:color w:val="383636"/>
          <w:w w:val="110"/>
        </w:rPr>
        <w:t>with</w:t>
      </w:r>
      <w:r>
        <w:rPr>
          <w:color w:val="383636"/>
          <w:spacing w:val="-5"/>
          <w:w w:val="110"/>
        </w:rPr>
        <w:t> </w:t>
      </w:r>
      <w:r>
        <w:rPr>
          <w:color w:val="383636"/>
          <w:w w:val="110"/>
        </w:rPr>
        <w:t>a</w:t>
      </w:r>
      <w:r>
        <w:rPr>
          <w:color w:val="383636"/>
          <w:spacing w:val="-8"/>
          <w:w w:val="110"/>
        </w:rPr>
        <w:t> </w:t>
      </w:r>
      <w:r>
        <w:rPr>
          <w:color w:val="383636"/>
          <w:w w:val="110"/>
        </w:rPr>
        <w:t>comma.</w:t>
      </w:r>
    </w:p>
    <w:p>
      <w:pPr>
        <w:spacing w:before="152"/>
        <w:ind w:left="276" w:right="0" w:firstLine="0"/>
        <w:jc w:val="both"/>
        <w:rPr>
          <w:rFonts w:ascii="Arial"/>
          <w:sz w:val="14"/>
        </w:rPr>
      </w:pPr>
      <w:r>
        <w:rPr>
          <w:i/>
          <w:color w:val="5E6060"/>
          <w:sz w:val="24"/>
          <w:u w:val="thick" w:color="5E6060"/>
        </w:rPr>
        <w:t>-f&gt;..</w:t>
      </w:r>
      <w:r>
        <w:rPr>
          <w:rFonts w:ascii="Arial"/>
          <w:color w:val="383636"/>
          <w:sz w:val="14"/>
          <w:u w:val="thick" w:color="5E6060"/>
        </w:rPr>
        <w:t>G</w:t>
      </w:r>
      <w:r>
        <w:rPr>
          <w:rFonts w:ascii="Arial"/>
          <w:color w:val="5E6060"/>
          <w:sz w:val="14"/>
          <w:u w:val="thick" w:color="5E6060"/>
        </w:rPr>
        <w:t>OOD</w:t>
      </w:r>
      <w:r>
        <w:rPr>
          <w:rFonts w:ascii="Arial"/>
          <w:color w:val="5E6060"/>
          <w:spacing w:val="36"/>
          <w:sz w:val="14"/>
          <w:u w:val="thick" w:color="5E6060"/>
        </w:rPr>
        <w:t> </w:t>
      </w:r>
      <w:r>
        <w:rPr>
          <w:rFonts w:ascii="Arial"/>
          <w:color w:val="5E6060"/>
          <w:sz w:val="14"/>
          <w:u w:val="thick" w:color="5E6060"/>
        </w:rPr>
        <w:t>EX</w:t>
      </w:r>
      <w:r>
        <w:rPr>
          <w:rFonts w:ascii="Arial"/>
          <w:color w:val="7C7C7E"/>
          <w:sz w:val="14"/>
          <w:u w:val="thick" w:color="5E6060"/>
        </w:rPr>
        <w:t>A</w:t>
      </w:r>
      <w:r>
        <w:rPr>
          <w:rFonts w:ascii="Arial"/>
          <w:color w:val="5E6060"/>
          <w:sz w:val="14"/>
          <w:u w:val="thick" w:color="5E6060"/>
        </w:rPr>
        <w:t>MPLES</w:t>
      </w:r>
    </w:p>
    <w:p>
      <w:pPr>
        <w:spacing w:line="236" w:lineRule="exact" w:before="50"/>
        <w:ind w:left="636" w:right="0" w:firstLine="0"/>
        <w:jc w:val="left"/>
        <w:rPr>
          <w:sz w:val="21"/>
        </w:rPr>
      </w:pPr>
      <w:r>
        <w:rPr>
          <w:color w:val="383636"/>
          <w:w w:val="120"/>
          <w:sz w:val="21"/>
        </w:rPr>
        <w:t>Mr</w:t>
      </w:r>
      <w:r>
        <w:rPr>
          <w:color w:val="5E6060"/>
          <w:w w:val="120"/>
          <w:sz w:val="21"/>
        </w:rPr>
        <w:t>.</w:t>
      </w:r>
      <w:r>
        <w:rPr>
          <w:color w:val="5E6060"/>
          <w:spacing w:val="-22"/>
          <w:w w:val="120"/>
          <w:sz w:val="21"/>
        </w:rPr>
        <w:t> </w:t>
      </w:r>
      <w:r>
        <w:rPr>
          <w:color w:val="383636"/>
          <w:w w:val="120"/>
          <w:sz w:val="21"/>
        </w:rPr>
        <w:t>Johnson</w:t>
      </w:r>
      <w:r>
        <w:rPr>
          <w:color w:val="383636"/>
          <w:spacing w:val="-17"/>
          <w:w w:val="120"/>
          <w:sz w:val="21"/>
        </w:rPr>
        <w:t> </w:t>
      </w:r>
      <w:r>
        <w:rPr>
          <w:color w:val="383636"/>
          <w:w w:val="120"/>
          <w:sz w:val="20"/>
        </w:rPr>
        <w:t>is</w:t>
      </w:r>
      <w:r>
        <w:rPr>
          <w:color w:val="383636"/>
          <w:spacing w:val="2"/>
          <w:w w:val="120"/>
          <w:sz w:val="20"/>
        </w:rPr>
        <w:t> </w:t>
      </w:r>
      <w:r>
        <w:rPr>
          <w:color w:val="383636"/>
          <w:w w:val="120"/>
          <w:sz w:val="21"/>
        </w:rPr>
        <w:t>tall,</w:t>
      </w:r>
      <w:r>
        <w:rPr>
          <w:color w:val="383636"/>
          <w:spacing w:val="-19"/>
          <w:w w:val="120"/>
          <w:sz w:val="21"/>
        </w:rPr>
        <w:t> </w:t>
      </w:r>
      <w:r>
        <w:rPr>
          <w:color w:val="383636"/>
          <w:w w:val="120"/>
          <w:sz w:val="21"/>
        </w:rPr>
        <w:t>and</w:t>
      </w:r>
      <w:r>
        <w:rPr>
          <w:color w:val="383636"/>
          <w:spacing w:val="13"/>
          <w:w w:val="120"/>
          <w:sz w:val="21"/>
        </w:rPr>
        <w:t> </w:t>
      </w:r>
      <w:r>
        <w:rPr>
          <w:color w:val="383636"/>
          <w:w w:val="120"/>
          <w:sz w:val="21"/>
        </w:rPr>
        <w:t>he</w:t>
      </w:r>
      <w:r>
        <w:rPr>
          <w:color w:val="383636"/>
          <w:spacing w:val="-13"/>
          <w:w w:val="120"/>
          <w:sz w:val="21"/>
        </w:rPr>
        <w:t> </w:t>
      </w:r>
      <w:r>
        <w:rPr>
          <w:color w:val="383636"/>
          <w:w w:val="120"/>
          <w:sz w:val="21"/>
        </w:rPr>
        <w:t>is</w:t>
      </w:r>
      <w:r>
        <w:rPr>
          <w:color w:val="383636"/>
          <w:spacing w:val="-18"/>
          <w:w w:val="120"/>
          <w:sz w:val="21"/>
        </w:rPr>
        <w:t> </w:t>
      </w:r>
      <w:r>
        <w:rPr>
          <w:color w:val="383636"/>
          <w:w w:val="120"/>
          <w:sz w:val="21"/>
        </w:rPr>
        <w:t>handsome,</w:t>
      </w:r>
      <w:r>
        <w:rPr>
          <w:color w:val="383636"/>
          <w:spacing w:val="-15"/>
          <w:w w:val="120"/>
          <w:sz w:val="21"/>
        </w:rPr>
        <w:t> </w:t>
      </w:r>
      <w:r>
        <w:rPr>
          <w:color w:val="383636"/>
          <w:w w:val="120"/>
          <w:sz w:val="21"/>
        </w:rPr>
        <w:t>too</w:t>
      </w:r>
      <w:r>
        <w:rPr>
          <w:color w:val="5E6060"/>
          <w:w w:val="120"/>
          <w:sz w:val="21"/>
        </w:rPr>
        <w:t>.</w:t>
      </w:r>
    </w:p>
    <w:p>
      <w:pPr>
        <w:spacing w:line="236" w:lineRule="exact" w:before="0"/>
        <w:ind w:left="605" w:right="0" w:firstLine="0"/>
        <w:jc w:val="left"/>
        <w:rPr>
          <w:sz w:val="21"/>
        </w:rPr>
      </w:pPr>
      <w:r>
        <w:rPr>
          <w:color w:val="383636"/>
          <w:w w:val="120"/>
          <w:sz w:val="21"/>
        </w:rPr>
        <w:t>John</w:t>
      </w:r>
      <w:r>
        <w:rPr>
          <w:color w:val="383636"/>
          <w:spacing w:val="-4"/>
          <w:w w:val="120"/>
          <w:sz w:val="21"/>
        </w:rPr>
        <w:t> </w:t>
      </w:r>
      <w:r>
        <w:rPr>
          <w:color w:val="383636"/>
          <w:w w:val="120"/>
          <w:sz w:val="21"/>
        </w:rPr>
        <w:t>laughed</w:t>
      </w:r>
      <w:r>
        <w:rPr>
          <w:color w:val="383636"/>
          <w:spacing w:val="-4"/>
          <w:w w:val="120"/>
          <w:sz w:val="21"/>
        </w:rPr>
        <w:t> </w:t>
      </w:r>
      <w:r>
        <w:rPr>
          <w:color w:val="383636"/>
          <w:w w:val="120"/>
          <w:sz w:val="21"/>
        </w:rPr>
        <w:t>all</w:t>
      </w:r>
      <w:r>
        <w:rPr>
          <w:color w:val="383636"/>
          <w:spacing w:val="17"/>
          <w:w w:val="120"/>
          <w:sz w:val="21"/>
        </w:rPr>
        <w:t> </w:t>
      </w:r>
      <w:r>
        <w:rPr>
          <w:color w:val="383636"/>
          <w:w w:val="120"/>
          <w:sz w:val="21"/>
        </w:rPr>
        <w:t>the</w:t>
      </w:r>
      <w:r>
        <w:rPr>
          <w:color w:val="383636"/>
          <w:spacing w:val="14"/>
          <w:w w:val="120"/>
          <w:sz w:val="21"/>
        </w:rPr>
        <w:t> </w:t>
      </w:r>
      <w:r>
        <w:rPr>
          <w:color w:val="383636"/>
          <w:w w:val="120"/>
          <w:sz w:val="21"/>
        </w:rPr>
        <w:t>way</w:t>
      </w:r>
      <w:r>
        <w:rPr>
          <w:color w:val="383636"/>
          <w:spacing w:val="-4"/>
          <w:w w:val="120"/>
          <w:sz w:val="21"/>
        </w:rPr>
        <w:t> </w:t>
      </w:r>
      <w:r>
        <w:rPr>
          <w:color w:val="383636"/>
          <w:w w:val="120"/>
          <w:sz w:val="21"/>
        </w:rPr>
        <w:t>to</w:t>
      </w:r>
      <w:r>
        <w:rPr>
          <w:color w:val="383636"/>
          <w:spacing w:val="8"/>
          <w:w w:val="120"/>
          <w:sz w:val="21"/>
        </w:rPr>
        <w:t> </w:t>
      </w:r>
      <w:r>
        <w:rPr>
          <w:color w:val="383636"/>
          <w:w w:val="120"/>
          <w:sz w:val="21"/>
        </w:rPr>
        <w:t>the</w:t>
      </w:r>
      <w:r>
        <w:rPr>
          <w:color w:val="383636"/>
          <w:spacing w:val="17"/>
          <w:w w:val="120"/>
          <w:sz w:val="21"/>
        </w:rPr>
        <w:t> </w:t>
      </w:r>
      <w:r>
        <w:rPr>
          <w:color w:val="383636"/>
          <w:w w:val="120"/>
          <w:sz w:val="21"/>
        </w:rPr>
        <w:t>bank,</w:t>
      </w:r>
      <w:r>
        <w:rPr>
          <w:color w:val="383636"/>
          <w:spacing w:val="-14"/>
          <w:w w:val="120"/>
          <w:sz w:val="21"/>
        </w:rPr>
        <w:t> </w:t>
      </w:r>
      <w:r>
        <w:rPr>
          <w:color w:val="383636"/>
          <w:w w:val="120"/>
          <w:sz w:val="21"/>
        </w:rPr>
        <w:t>and</w:t>
      </w:r>
      <w:r>
        <w:rPr>
          <w:color w:val="383636"/>
          <w:spacing w:val="15"/>
          <w:w w:val="120"/>
          <w:sz w:val="21"/>
        </w:rPr>
        <w:t> </w:t>
      </w:r>
      <w:r>
        <w:rPr>
          <w:color w:val="383636"/>
          <w:w w:val="120"/>
          <w:sz w:val="21"/>
        </w:rPr>
        <w:t>then</w:t>
      </w:r>
      <w:r>
        <w:rPr>
          <w:color w:val="383636"/>
          <w:spacing w:val="4"/>
          <w:w w:val="120"/>
          <w:sz w:val="21"/>
        </w:rPr>
        <w:t> </w:t>
      </w:r>
      <w:r>
        <w:rPr>
          <w:color w:val="383636"/>
          <w:w w:val="120"/>
          <w:sz w:val="21"/>
        </w:rPr>
        <w:t>he</w:t>
      </w:r>
      <w:r>
        <w:rPr>
          <w:color w:val="383636"/>
          <w:spacing w:val="-13"/>
          <w:w w:val="120"/>
          <w:sz w:val="21"/>
        </w:rPr>
        <w:t> </w:t>
      </w:r>
      <w:r>
        <w:rPr>
          <w:color w:val="383636"/>
          <w:w w:val="120"/>
          <w:sz w:val="21"/>
        </w:rPr>
        <w:t>made</w:t>
      </w:r>
      <w:r>
        <w:rPr>
          <w:color w:val="383636"/>
          <w:spacing w:val="-20"/>
          <w:w w:val="120"/>
          <w:sz w:val="21"/>
        </w:rPr>
        <w:t> </w:t>
      </w:r>
      <w:r>
        <w:rPr>
          <w:color w:val="383636"/>
          <w:w w:val="120"/>
          <w:sz w:val="21"/>
        </w:rPr>
        <w:t>a</w:t>
      </w:r>
      <w:r>
        <w:rPr>
          <w:color w:val="383636"/>
          <w:spacing w:val="3"/>
          <w:w w:val="120"/>
          <w:sz w:val="21"/>
        </w:rPr>
        <w:t> </w:t>
      </w:r>
      <w:r>
        <w:rPr>
          <w:color w:val="383636"/>
          <w:w w:val="120"/>
          <w:sz w:val="21"/>
        </w:rPr>
        <w:t>deposit.</w:t>
      </w:r>
    </w:p>
    <w:p>
      <w:pPr>
        <w:pStyle w:val="BodyText"/>
        <w:spacing w:line="232" w:lineRule="auto" w:before="152"/>
        <w:ind w:left="270" w:right="210" w:firstLine="7"/>
        <w:jc w:val="both"/>
      </w:pPr>
      <w:r>
        <w:rPr>
          <w:color w:val="383636"/>
          <w:w w:val="115"/>
        </w:rPr>
        <w:t>For most people, the hard part about using this comma properly is cor­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rectly identifying an independent clause. Usually, you can identify an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independent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clause by looking for an  independent subject and  a verb,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as long as the clause is not  introduced by a subordinating conjunction.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In the sentence "John laughed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all the  way to  the  bank and  then  made</w:t>
      </w:r>
      <w:r>
        <w:rPr>
          <w:color w:val="383636"/>
          <w:spacing w:val="-64"/>
          <w:w w:val="115"/>
        </w:rPr>
        <w:t> </w:t>
      </w:r>
      <w:r>
        <w:rPr>
          <w:color w:val="383636"/>
          <w:w w:val="115"/>
        </w:rPr>
        <w:t>a deposit," there is a verb </w:t>
      </w:r>
      <w:r>
        <w:rPr>
          <w:rFonts w:ascii="Arial" w:hAnsi="Arial"/>
          <w:i/>
          <w:color w:val="383636"/>
          <w:w w:val="115"/>
          <w:sz w:val="20"/>
        </w:rPr>
        <w:t>(made) </w:t>
      </w:r>
      <w:r>
        <w:rPr>
          <w:color w:val="383636"/>
          <w:w w:val="115"/>
        </w:rPr>
        <w:t>after the </w:t>
      </w:r>
      <w:r>
        <w:rPr>
          <w:rFonts w:ascii="Arial" w:hAnsi="Arial"/>
          <w:i/>
          <w:color w:val="383636"/>
          <w:w w:val="115"/>
          <w:sz w:val="20"/>
        </w:rPr>
        <w:t>and, </w:t>
      </w:r>
      <w:r>
        <w:rPr>
          <w:color w:val="383636"/>
          <w:w w:val="115"/>
        </w:rPr>
        <w:t>but there is no separate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5"/>
        </w:rPr>
        <w:t>subject-the subject from the first, independent, clause carries over into</w:t>
      </w:r>
      <w:r>
        <w:rPr>
          <w:color w:val="383636"/>
          <w:spacing w:val="1"/>
          <w:w w:val="115"/>
        </w:rPr>
        <w:t> </w:t>
      </w:r>
      <w:r>
        <w:rPr>
          <w:color w:val="383636"/>
          <w:w w:val="110"/>
        </w:rPr>
        <w:t>the second, dependent, clause. However,  in  the  sentence "John  laughed</w:t>
      </w:r>
      <w:r>
        <w:rPr>
          <w:color w:val="383636"/>
          <w:spacing w:val="1"/>
          <w:w w:val="110"/>
        </w:rPr>
        <w:t> </w:t>
      </w:r>
      <w:r>
        <w:rPr>
          <w:color w:val="383636"/>
          <w:spacing w:val="-1"/>
          <w:w w:val="115"/>
        </w:rPr>
        <w:t>all </w:t>
      </w:r>
      <w:r>
        <w:rPr>
          <w:color w:val="383636"/>
          <w:w w:val="115"/>
        </w:rPr>
        <w:t>the way to the bank, and then he made a deposit," you find a separate</w:t>
      </w:r>
      <w:r>
        <w:rPr>
          <w:color w:val="383636"/>
          <w:spacing w:val="-64"/>
          <w:w w:val="115"/>
        </w:rPr>
        <w:t> </w:t>
      </w:r>
      <w:r>
        <w:rPr>
          <w:color w:val="383636"/>
          <w:w w:val="110"/>
        </w:rPr>
        <w:t>subject (he) for the  verb </w:t>
      </w:r>
      <w:r>
        <w:rPr>
          <w:rFonts w:ascii="Arial" w:hAnsi="Arial"/>
          <w:i/>
          <w:color w:val="383636"/>
          <w:w w:val="110"/>
          <w:sz w:val="20"/>
        </w:rPr>
        <w:t>(made) </w:t>
      </w:r>
      <w:r>
        <w:rPr>
          <w:color w:val="383636"/>
          <w:w w:val="110"/>
        </w:rPr>
        <w:t>in  the second clause, which means that it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is an  independent clause. Although this rule is not foolproof, it can help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you</w:t>
      </w:r>
      <w:r>
        <w:rPr>
          <w:color w:val="383636"/>
          <w:spacing w:val="-4"/>
          <w:w w:val="110"/>
        </w:rPr>
        <w:t> </w:t>
      </w:r>
      <w:r>
        <w:rPr>
          <w:color w:val="383636"/>
          <w:w w:val="110"/>
        </w:rPr>
        <w:t>separate</w:t>
      </w:r>
      <w:r>
        <w:rPr>
          <w:color w:val="383636"/>
          <w:spacing w:val="7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29"/>
          <w:w w:val="110"/>
        </w:rPr>
        <w:t> </w:t>
      </w:r>
      <w:r>
        <w:rPr>
          <w:color w:val="383636"/>
          <w:w w:val="110"/>
        </w:rPr>
        <w:t>dependent</w:t>
      </w:r>
      <w:r>
        <w:rPr>
          <w:color w:val="383636"/>
          <w:spacing w:val="10"/>
          <w:w w:val="110"/>
        </w:rPr>
        <w:t> </w:t>
      </w:r>
      <w:r>
        <w:rPr>
          <w:color w:val="383636"/>
          <w:w w:val="110"/>
        </w:rPr>
        <w:t>clauses</w:t>
      </w:r>
      <w:r>
        <w:rPr>
          <w:color w:val="383636"/>
          <w:spacing w:val="-5"/>
          <w:w w:val="110"/>
        </w:rPr>
        <w:t> </w:t>
      </w:r>
      <w:r>
        <w:rPr>
          <w:color w:val="383636"/>
          <w:w w:val="110"/>
        </w:rPr>
        <w:t>from</w:t>
      </w:r>
      <w:r>
        <w:rPr>
          <w:color w:val="383636"/>
          <w:spacing w:val="20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27"/>
          <w:w w:val="110"/>
        </w:rPr>
        <w:t> </w:t>
      </w:r>
      <w:r>
        <w:rPr>
          <w:color w:val="383636"/>
          <w:w w:val="110"/>
        </w:rPr>
        <w:t>independent</w:t>
      </w:r>
      <w:r>
        <w:rPr>
          <w:color w:val="383636"/>
          <w:spacing w:val="15"/>
          <w:w w:val="110"/>
        </w:rPr>
        <w:t> </w:t>
      </w:r>
      <w:r>
        <w:rPr>
          <w:color w:val="383636"/>
          <w:w w:val="110"/>
        </w:rPr>
        <w:t>clauses.</w:t>
      </w:r>
    </w:p>
    <w:p>
      <w:pPr>
        <w:pStyle w:val="ListParagraph"/>
        <w:numPr>
          <w:ilvl w:val="0"/>
          <w:numId w:val="126"/>
        </w:numPr>
        <w:tabs>
          <w:tab w:pos="918" w:val="left" w:leader="none"/>
        </w:tabs>
        <w:spacing w:line="228" w:lineRule="auto" w:before="9" w:after="0"/>
        <w:ind w:left="283" w:right="213" w:firstLine="355"/>
        <w:jc w:val="both"/>
        <w:rPr>
          <w:color w:val="383636"/>
          <w:sz w:val="23"/>
        </w:rPr>
      </w:pPr>
      <w:r>
        <w:rPr>
          <w:color w:val="383636"/>
          <w:w w:val="115"/>
          <w:sz w:val="23"/>
        </w:rPr>
        <w:t>Unless a clause intervenes, do </w:t>
      </w:r>
      <w:r>
        <w:rPr>
          <w:i/>
          <w:color w:val="383636"/>
          <w:w w:val="115"/>
          <w:sz w:val="23"/>
        </w:rPr>
        <w:t>not </w:t>
      </w:r>
      <w:r>
        <w:rPr>
          <w:color w:val="383636"/>
          <w:w w:val="115"/>
          <w:sz w:val="23"/>
        </w:rPr>
        <w:t>put a comma between a subject</w:t>
      </w:r>
      <w:r>
        <w:rPr>
          <w:color w:val="383636"/>
          <w:spacing w:val="-64"/>
          <w:w w:val="115"/>
          <w:sz w:val="23"/>
        </w:rPr>
        <w:t> </w:t>
      </w:r>
      <w:r>
        <w:rPr>
          <w:color w:val="383636"/>
          <w:w w:val="115"/>
          <w:sz w:val="23"/>
        </w:rPr>
        <w:t>and</w:t>
      </w:r>
      <w:r>
        <w:rPr>
          <w:color w:val="383636"/>
          <w:spacing w:val="-9"/>
          <w:w w:val="115"/>
          <w:sz w:val="23"/>
        </w:rPr>
        <w:t> </w:t>
      </w:r>
      <w:r>
        <w:rPr>
          <w:color w:val="383636"/>
          <w:w w:val="115"/>
          <w:sz w:val="23"/>
        </w:rPr>
        <w:t>a verb.</w:t>
      </w:r>
    </w:p>
    <w:p>
      <w:pPr>
        <w:spacing w:after="0" w:line="228" w:lineRule="auto"/>
        <w:jc w:val="both"/>
        <w:rPr>
          <w:sz w:val="23"/>
        </w:rPr>
        <w:sectPr>
          <w:headerReference w:type="default" r:id="rId381"/>
          <w:headerReference w:type="even" r:id="rId382"/>
          <w:pgSz w:w="9680" w:h="14040"/>
          <w:pgMar w:header="543" w:footer="0" w:top="780" w:bottom="280" w:left="200" w:right="1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tabs>
          <w:tab w:pos="879" w:val="left" w:leader="none"/>
        </w:tabs>
        <w:spacing w:before="0"/>
        <w:ind w:left="469" w:right="0" w:firstLine="0"/>
        <w:jc w:val="left"/>
        <w:rPr>
          <w:b/>
          <w:sz w:val="16"/>
        </w:rPr>
      </w:pPr>
      <w:r>
        <w:rPr>
          <w:rFonts w:ascii="Arial"/>
          <w:color w:val="363434"/>
          <w:w w:val="100"/>
          <w:sz w:val="14"/>
          <w:u w:val="thick" w:color="363434"/>
        </w:rPr>
        <w:t> </w:t>
      </w:r>
      <w:r>
        <w:rPr>
          <w:rFonts w:ascii="Arial"/>
          <w:color w:val="363434"/>
          <w:sz w:val="14"/>
          <w:u w:val="thick" w:color="363434"/>
        </w:rPr>
        <w:tab/>
      </w:r>
      <w:r>
        <w:rPr>
          <w:rFonts w:ascii="Arial"/>
          <w:color w:val="363434"/>
          <w:sz w:val="14"/>
        </w:rPr>
        <w:t>   </w:t>
      </w:r>
      <w:r>
        <w:rPr>
          <w:rFonts w:ascii="Arial"/>
          <w:color w:val="363434"/>
          <w:spacing w:val="-5"/>
          <w:sz w:val="14"/>
        </w:rPr>
        <w:t> </w:t>
      </w:r>
      <w:r>
        <w:rPr>
          <w:rFonts w:ascii="Arial"/>
          <w:color w:val="363434"/>
          <w:w w:val="95"/>
          <w:sz w:val="14"/>
          <w:u w:val="thick" w:color="484648"/>
        </w:rPr>
        <w:t>BAO</w:t>
      </w:r>
      <w:r>
        <w:rPr>
          <w:rFonts w:ascii="Arial"/>
          <w:color w:val="363434"/>
          <w:spacing w:val="9"/>
          <w:w w:val="95"/>
          <w:sz w:val="14"/>
          <w:u w:val="thick" w:color="484648"/>
        </w:rPr>
        <w:t> </w:t>
      </w:r>
      <w:r>
        <w:rPr>
          <w:b/>
          <w:color w:val="484648"/>
          <w:w w:val="95"/>
          <w:sz w:val="16"/>
          <w:u w:val="thick" w:color="484648"/>
        </w:rPr>
        <w:t>EXAMPLE</w:t>
      </w:r>
    </w:p>
    <w:p>
      <w:pPr>
        <w:spacing w:before="97"/>
        <w:ind w:left="1022" w:right="0" w:firstLine="0"/>
        <w:jc w:val="left"/>
        <w:rPr>
          <w:b/>
          <w:sz w:val="21"/>
        </w:rPr>
      </w:pPr>
      <w:r>
        <w:rPr>
          <w:b/>
          <w:color w:val="363434"/>
          <w:w w:val="105"/>
          <w:sz w:val="21"/>
        </w:rPr>
        <w:t>The  </w:t>
      </w:r>
      <w:r>
        <w:rPr>
          <w:b/>
          <w:color w:val="363434"/>
          <w:spacing w:val="14"/>
          <w:w w:val="105"/>
          <w:sz w:val="21"/>
        </w:rPr>
        <w:t> </w:t>
      </w:r>
      <w:r>
        <w:rPr>
          <w:b/>
          <w:color w:val="363434"/>
          <w:w w:val="105"/>
          <w:sz w:val="21"/>
        </w:rPr>
        <w:t>infamous</w:t>
      </w:r>
      <w:r>
        <w:rPr>
          <w:b/>
          <w:color w:val="363434"/>
          <w:spacing w:val="13"/>
          <w:w w:val="105"/>
          <w:sz w:val="21"/>
        </w:rPr>
        <w:t> </w:t>
      </w:r>
      <w:r>
        <w:rPr>
          <w:b/>
          <w:color w:val="363434"/>
          <w:w w:val="105"/>
          <w:sz w:val="21"/>
        </w:rPr>
        <w:t>rule</w:t>
      </w:r>
      <w:r>
        <w:rPr>
          <w:b/>
          <w:color w:val="363434"/>
          <w:spacing w:val="-5"/>
          <w:w w:val="105"/>
          <w:sz w:val="21"/>
        </w:rPr>
        <w:t> </w:t>
      </w:r>
      <w:r>
        <w:rPr>
          <w:b/>
          <w:color w:val="363434"/>
          <w:w w:val="105"/>
          <w:sz w:val="21"/>
        </w:rPr>
        <w:t>against</w:t>
      </w:r>
      <w:r>
        <w:rPr>
          <w:b/>
          <w:color w:val="363434"/>
          <w:spacing w:val="18"/>
          <w:w w:val="105"/>
          <w:sz w:val="21"/>
        </w:rPr>
        <w:t> </w:t>
      </w:r>
      <w:r>
        <w:rPr>
          <w:b/>
          <w:color w:val="363434"/>
          <w:w w:val="105"/>
          <w:sz w:val="21"/>
        </w:rPr>
        <w:t>perpetuities,</w:t>
      </w:r>
      <w:r>
        <w:rPr>
          <w:b/>
          <w:color w:val="363434"/>
          <w:spacing w:val="16"/>
          <w:w w:val="105"/>
          <w:sz w:val="21"/>
        </w:rPr>
        <w:t> </w:t>
      </w:r>
      <w:r>
        <w:rPr>
          <w:rFonts w:ascii="Arial"/>
          <w:color w:val="363434"/>
          <w:w w:val="105"/>
          <w:sz w:val="19"/>
        </w:rPr>
        <w:t>is</w:t>
      </w:r>
      <w:r>
        <w:rPr>
          <w:rFonts w:ascii="Arial"/>
          <w:color w:val="363434"/>
          <w:spacing w:val="34"/>
          <w:w w:val="105"/>
          <w:sz w:val="19"/>
        </w:rPr>
        <w:t> </w:t>
      </w:r>
      <w:r>
        <w:rPr>
          <w:b/>
          <w:color w:val="363434"/>
          <w:w w:val="105"/>
          <w:sz w:val="21"/>
        </w:rPr>
        <w:t>hard</w:t>
      </w:r>
      <w:r>
        <w:rPr>
          <w:b/>
          <w:color w:val="363434"/>
          <w:spacing w:val="7"/>
          <w:w w:val="105"/>
          <w:sz w:val="21"/>
        </w:rPr>
        <w:t> </w:t>
      </w:r>
      <w:r>
        <w:rPr>
          <w:b/>
          <w:color w:val="363434"/>
          <w:w w:val="105"/>
          <w:sz w:val="21"/>
        </w:rPr>
        <w:t>to</w:t>
      </w:r>
      <w:r>
        <w:rPr>
          <w:b/>
          <w:color w:val="363434"/>
          <w:spacing w:val="30"/>
          <w:w w:val="105"/>
          <w:sz w:val="21"/>
        </w:rPr>
        <w:t> </w:t>
      </w:r>
      <w:r>
        <w:rPr>
          <w:b/>
          <w:color w:val="262324"/>
          <w:w w:val="105"/>
          <w:sz w:val="21"/>
        </w:rPr>
        <w:t>unders</w:t>
      </w:r>
      <w:r>
        <w:rPr>
          <w:b/>
          <w:color w:val="484648"/>
          <w:w w:val="105"/>
          <w:sz w:val="21"/>
        </w:rPr>
        <w:t>tand.</w:t>
      </w:r>
    </w:p>
    <w:p>
      <w:pPr>
        <w:spacing w:before="41"/>
        <w:ind w:left="607" w:right="0" w:firstLine="0"/>
        <w:jc w:val="both"/>
        <w:rPr>
          <w:b/>
          <w:sz w:val="16"/>
        </w:rPr>
      </w:pPr>
      <w:r>
        <w:rPr>
          <w:i/>
          <w:color w:val="363434"/>
          <w:sz w:val="32"/>
          <w:u w:val="thick" w:color="363434"/>
        </w:rPr>
        <w:t>-I\</w:t>
      </w:r>
      <w:r>
        <w:rPr>
          <w:i/>
          <w:color w:val="363434"/>
          <w:spacing w:val="11"/>
          <w:sz w:val="32"/>
        </w:rPr>
        <w:t> </w:t>
      </w:r>
      <w:r>
        <w:rPr>
          <w:rFonts w:ascii="Arial"/>
          <w:color w:val="363434"/>
          <w:sz w:val="14"/>
          <w:u w:val="thick" w:color="363434"/>
        </w:rPr>
        <w:t>GOOD</w:t>
      </w:r>
      <w:r>
        <w:rPr>
          <w:rFonts w:ascii="Arial"/>
          <w:color w:val="363434"/>
          <w:spacing w:val="2"/>
          <w:sz w:val="14"/>
          <w:u w:val="thick" w:color="363434"/>
        </w:rPr>
        <w:t> </w:t>
      </w:r>
      <w:r>
        <w:rPr>
          <w:b/>
          <w:color w:val="363434"/>
          <w:sz w:val="16"/>
          <w:u w:val="thick" w:color="363434"/>
        </w:rPr>
        <w:t>EXAMPLES</w:t>
      </w:r>
    </w:p>
    <w:p>
      <w:pPr>
        <w:spacing w:line="241" w:lineRule="exact" w:before="62"/>
        <w:ind w:left="1022" w:right="0" w:firstLine="0"/>
        <w:jc w:val="left"/>
        <w:rPr>
          <w:b/>
          <w:sz w:val="21"/>
        </w:rPr>
      </w:pPr>
      <w:r>
        <w:rPr>
          <w:b/>
          <w:color w:val="363434"/>
          <w:w w:val="105"/>
          <w:sz w:val="21"/>
        </w:rPr>
        <w:t>The  </w:t>
      </w:r>
      <w:r>
        <w:rPr>
          <w:b/>
          <w:color w:val="363434"/>
          <w:spacing w:val="10"/>
          <w:w w:val="105"/>
          <w:sz w:val="21"/>
        </w:rPr>
        <w:t> </w:t>
      </w:r>
      <w:r>
        <w:rPr>
          <w:b/>
          <w:color w:val="363434"/>
          <w:w w:val="105"/>
          <w:sz w:val="21"/>
        </w:rPr>
        <w:t>infamous</w:t>
      </w:r>
      <w:r>
        <w:rPr>
          <w:b/>
          <w:color w:val="363434"/>
          <w:spacing w:val="24"/>
          <w:w w:val="105"/>
          <w:sz w:val="21"/>
        </w:rPr>
        <w:t> </w:t>
      </w:r>
      <w:r>
        <w:rPr>
          <w:b/>
          <w:color w:val="363434"/>
          <w:w w:val="105"/>
          <w:sz w:val="21"/>
        </w:rPr>
        <w:t>rule</w:t>
      </w:r>
      <w:r>
        <w:rPr>
          <w:b/>
          <w:color w:val="363434"/>
          <w:spacing w:val="-4"/>
          <w:w w:val="105"/>
          <w:sz w:val="21"/>
        </w:rPr>
        <w:t> </w:t>
      </w:r>
      <w:r>
        <w:rPr>
          <w:b/>
          <w:color w:val="363434"/>
          <w:w w:val="105"/>
          <w:sz w:val="21"/>
        </w:rPr>
        <w:t>against</w:t>
      </w:r>
      <w:r>
        <w:rPr>
          <w:b/>
          <w:color w:val="363434"/>
          <w:spacing w:val="19"/>
          <w:w w:val="105"/>
          <w:sz w:val="21"/>
        </w:rPr>
        <w:t> </w:t>
      </w:r>
      <w:r>
        <w:rPr>
          <w:b/>
          <w:color w:val="363434"/>
          <w:w w:val="105"/>
          <w:sz w:val="21"/>
        </w:rPr>
        <w:t>perpetuities</w:t>
      </w:r>
      <w:r>
        <w:rPr>
          <w:b/>
          <w:color w:val="363434"/>
          <w:spacing w:val="14"/>
          <w:w w:val="105"/>
          <w:sz w:val="21"/>
        </w:rPr>
        <w:t> </w:t>
      </w:r>
      <w:r>
        <w:rPr>
          <w:b/>
          <w:color w:val="484648"/>
          <w:w w:val="105"/>
          <w:sz w:val="21"/>
        </w:rPr>
        <w:t>is</w:t>
      </w:r>
      <w:r>
        <w:rPr>
          <w:b/>
          <w:color w:val="484648"/>
          <w:spacing w:val="4"/>
          <w:w w:val="105"/>
          <w:sz w:val="21"/>
        </w:rPr>
        <w:t> </w:t>
      </w:r>
      <w:r>
        <w:rPr>
          <w:b/>
          <w:color w:val="363434"/>
          <w:w w:val="105"/>
          <w:sz w:val="21"/>
        </w:rPr>
        <w:t>hard</w:t>
      </w:r>
      <w:r>
        <w:rPr>
          <w:b/>
          <w:color w:val="363434"/>
          <w:spacing w:val="9"/>
          <w:w w:val="105"/>
          <w:sz w:val="21"/>
        </w:rPr>
        <w:t> </w:t>
      </w:r>
      <w:r>
        <w:rPr>
          <w:b/>
          <w:color w:val="262324"/>
          <w:w w:val="105"/>
          <w:sz w:val="21"/>
        </w:rPr>
        <w:t>to</w:t>
      </w:r>
      <w:r>
        <w:rPr>
          <w:b/>
          <w:color w:val="262324"/>
          <w:spacing w:val="26"/>
          <w:w w:val="105"/>
          <w:sz w:val="21"/>
        </w:rPr>
        <w:t> </w:t>
      </w:r>
      <w:r>
        <w:rPr>
          <w:b/>
          <w:color w:val="363434"/>
          <w:w w:val="105"/>
          <w:sz w:val="21"/>
        </w:rPr>
        <w:t>understand.</w:t>
      </w:r>
    </w:p>
    <w:p>
      <w:pPr>
        <w:spacing w:line="230" w:lineRule="auto" w:before="7"/>
        <w:ind w:left="1035" w:right="0" w:hanging="14"/>
        <w:jc w:val="left"/>
        <w:rPr>
          <w:b/>
          <w:sz w:val="21"/>
        </w:rPr>
      </w:pPr>
      <w:r>
        <w:rPr>
          <w:b/>
          <w:color w:val="363434"/>
          <w:w w:val="110"/>
          <w:sz w:val="21"/>
        </w:rPr>
        <w:t>The</w:t>
      </w:r>
      <w:r>
        <w:rPr>
          <w:b/>
          <w:color w:val="363434"/>
          <w:spacing w:val="1"/>
          <w:w w:val="110"/>
          <w:sz w:val="21"/>
        </w:rPr>
        <w:t> </w:t>
      </w:r>
      <w:r>
        <w:rPr>
          <w:b/>
          <w:color w:val="363434"/>
          <w:w w:val="110"/>
          <w:sz w:val="21"/>
        </w:rPr>
        <w:t>infamous</w:t>
      </w:r>
      <w:r>
        <w:rPr>
          <w:b/>
          <w:color w:val="363434"/>
          <w:spacing w:val="1"/>
          <w:w w:val="110"/>
          <w:sz w:val="21"/>
        </w:rPr>
        <w:t> </w:t>
      </w:r>
      <w:r>
        <w:rPr>
          <w:b/>
          <w:color w:val="363434"/>
          <w:w w:val="110"/>
          <w:sz w:val="21"/>
        </w:rPr>
        <w:t>rule against perpetuities,</w:t>
      </w:r>
      <w:r>
        <w:rPr>
          <w:b/>
          <w:color w:val="363434"/>
          <w:spacing w:val="1"/>
          <w:w w:val="110"/>
          <w:sz w:val="21"/>
        </w:rPr>
        <w:t> </w:t>
      </w:r>
      <w:r>
        <w:rPr>
          <w:b/>
          <w:color w:val="363434"/>
          <w:w w:val="110"/>
          <w:sz w:val="21"/>
        </w:rPr>
        <w:t>which</w:t>
      </w:r>
      <w:r>
        <w:rPr>
          <w:b/>
          <w:color w:val="363434"/>
          <w:spacing w:val="1"/>
          <w:w w:val="110"/>
          <w:sz w:val="21"/>
        </w:rPr>
        <w:t> </w:t>
      </w:r>
      <w:r>
        <w:rPr>
          <w:b/>
          <w:color w:val="363434"/>
          <w:w w:val="110"/>
          <w:sz w:val="21"/>
        </w:rPr>
        <w:t>is</w:t>
      </w:r>
      <w:r>
        <w:rPr>
          <w:b/>
          <w:color w:val="363434"/>
          <w:spacing w:val="1"/>
          <w:w w:val="110"/>
          <w:sz w:val="21"/>
        </w:rPr>
        <w:t> </w:t>
      </w:r>
      <w:r>
        <w:rPr>
          <w:b/>
          <w:color w:val="363434"/>
          <w:w w:val="110"/>
          <w:sz w:val="21"/>
        </w:rPr>
        <w:t>the bane of many</w:t>
      </w:r>
      <w:r>
        <w:rPr>
          <w:b/>
          <w:color w:val="363434"/>
          <w:spacing w:val="-55"/>
          <w:w w:val="110"/>
          <w:sz w:val="21"/>
        </w:rPr>
        <w:t> </w:t>
      </w:r>
      <w:r>
        <w:rPr>
          <w:b/>
          <w:color w:val="262324"/>
          <w:w w:val="110"/>
          <w:sz w:val="21"/>
        </w:rPr>
        <w:t>lawyers,</w:t>
      </w:r>
      <w:r>
        <w:rPr>
          <w:b/>
          <w:color w:val="262324"/>
          <w:spacing w:val="5"/>
          <w:w w:val="110"/>
          <w:sz w:val="21"/>
        </w:rPr>
        <w:t> </w:t>
      </w:r>
      <w:r>
        <w:rPr>
          <w:b/>
          <w:color w:val="363434"/>
          <w:w w:val="110"/>
          <w:sz w:val="21"/>
        </w:rPr>
        <w:t>is</w:t>
      </w:r>
      <w:r>
        <w:rPr>
          <w:b/>
          <w:color w:val="363434"/>
          <w:spacing w:val="9"/>
          <w:w w:val="110"/>
          <w:sz w:val="21"/>
        </w:rPr>
        <w:t> </w:t>
      </w:r>
      <w:r>
        <w:rPr>
          <w:b/>
          <w:color w:val="363434"/>
          <w:w w:val="110"/>
          <w:sz w:val="21"/>
        </w:rPr>
        <w:t>hard</w:t>
      </w:r>
      <w:r>
        <w:rPr>
          <w:b/>
          <w:color w:val="363434"/>
          <w:spacing w:val="-11"/>
          <w:w w:val="110"/>
          <w:sz w:val="21"/>
        </w:rPr>
        <w:t> </w:t>
      </w:r>
      <w:r>
        <w:rPr>
          <w:b/>
          <w:color w:val="363434"/>
          <w:w w:val="110"/>
          <w:sz w:val="21"/>
        </w:rPr>
        <w:t>to</w:t>
      </w:r>
      <w:r>
        <w:rPr>
          <w:b/>
          <w:color w:val="363434"/>
          <w:spacing w:val="5"/>
          <w:w w:val="110"/>
          <w:sz w:val="21"/>
        </w:rPr>
        <w:t> </w:t>
      </w:r>
      <w:r>
        <w:rPr>
          <w:b/>
          <w:color w:val="363434"/>
          <w:w w:val="110"/>
          <w:sz w:val="21"/>
        </w:rPr>
        <w:t>understand</w:t>
      </w:r>
      <w:r>
        <w:rPr>
          <w:b/>
          <w:color w:val="5E5D60"/>
          <w:w w:val="110"/>
          <w:sz w:val="21"/>
        </w:rPr>
        <w:t>.</w:t>
      </w:r>
    </w:p>
    <w:p>
      <w:pPr>
        <w:pStyle w:val="BodyText"/>
        <w:spacing w:line="208" w:lineRule="auto" w:before="173"/>
        <w:ind w:left="646" w:right="104" w:firstLine="1"/>
        <w:jc w:val="both"/>
        <w:rPr>
          <w:sz w:val="28"/>
        </w:rPr>
      </w:pPr>
      <w:r>
        <w:rPr>
          <w:color w:val="363434"/>
          <w:w w:val="110"/>
        </w:rPr>
        <w:t>This appendix is by no means comprehensive. If </w:t>
      </w:r>
      <w:r>
        <w:rPr>
          <w:rFonts w:ascii="Arial"/>
          <w:color w:val="363434"/>
          <w:w w:val="110"/>
          <w:sz w:val="22"/>
        </w:rPr>
        <w:t>you </w:t>
      </w:r>
      <w:r>
        <w:rPr>
          <w:color w:val="363434"/>
          <w:w w:val="110"/>
        </w:rPr>
        <w:t>have problems that</w:t>
      </w:r>
      <w:r>
        <w:rPr>
          <w:color w:val="363434"/>
          <w:spacing w:val="1"/>
          <w:w w:val="110"/>
        </w:rPr>
        <w:t> </w:t>
      </w:r>
      <w:r>
        <w:rPr>
          <w:color w:val="363434"/>
          <w:w w:val="110"/>
        </w:rPr>
        <w:t>are not</w:t>
      </w:r>
      <w:r>
        <w:rPr>
          <w:color w:val="363434"/>
          <w:spacing w:val="1"/>
          <w:w w:val="110"/>
        </w:rPr>
        <w:t> </w:t>
      </w:r>
      <w:r>
        <w:rPr>
          <w:color w:val="363434"/>
          <w:w w:val="110"/>
        </w:rPr>
        <w:t>covered here, you may wish to consult Anne Enquist &amp; </w:t>
      </w:r>
      <w:r>
        <w:rPr>
          <w:color w:val="363434"/>
          <w:w w:val="110"/>
          <w:sz w:val="24"/>
        </w:rPr>
        <w:t>Laurel</w:t>
      </w:r>
      <w:r>
        <w:rPr>
          <w:color w:val="363434"/>
          <w:spacing w:val="1"/>
          <w:w w:val="110"/>
          <w:sz w:val="24"/>
        </w:rPr>
        <w:t> </w:t>
      </w:r>
      <w:r>
        <w:rPr>
          <w:color w:val="363434"/>
          <w:w w:val="105"/>
        </w:rPr>
        <w:t>Currie</w:t>
      </w:r>
      <w:r>
        <w:rPr>
          <w:color w:val="363434"/>
          <w:spacing w:val="-13"/>
          <w:w w:val="105"/>
        </w:rPr>
        <w:t> </w:t>
      </w:r>
      <w:r>
        <w:rPr>
          <w:color w:val="363434"/>
          <w:w w:val="105"/>
        </w:rPr>
        <w:t>Oates,</w:t>
      </w:r>
      <w:r>
        <w:rPr>
          <w:color w:val="363434"/>
          <w:spacing w:val="-7"/>
          <w:w w:val="105"/>
        </w:rPr>
        <w:t> </w:t>
      </w:r>
      <w:r>
        <w:rPr>
          <w:rFonts w:ascii="Arial"/>
          <w:i/>
          <w:color w:val="363434"/>
          <w:w w:val="105"/>
          <w:sz w:val="21"/>
        </w:rPr>
        <w:t>fust</w:t>
      </w:r>
      <w:r>
        <w:rPr>
          <w:rFonts w:ascii="Arial"/>
          <w:i/>
          <w:color w:val="363434"/>
          <w:spacing w:val="-8"/>
          <w:w w:val="105"/>
          <w:sz w:val="21"/>
        </w:rPr>
        <w:t> </w:t>
      </w:r>
      <w:r>
        <w:rPr>
          <w:rFonts w:ascii="Arial"/>
          <w:i/>
          <w:color w:val="363434"/>
          <w:w w:val="105"/>
          <w:sz w:val="21"/>
        </w:rPr>
        <w:t>Writing</w:t>
      </w:r>
      <w:r>
        <w:rPr>
          <w:rFonts w:ascii="Arial"/>
          <w:i/>
          <w:color w:val="363434"/>
          <w:spacing w:val="-27"/>
          <w:w w:val="105"/>
          <w:sz w:val="21"/>
        </w:rPr>
        <w:t> </w:t>
      </w:r>
      <w:r>
        <w:rPr>
          <w:rFonts w:ascii="Arial"/>
          <w:color w:val="363434"/>
          <w:w w:val="105"/>
          <w:sz w:val="21"/>
        </w:rPr>
        <w:t>(</w:t>
      </w:r>
      <w:r>
        <w:rPr>
          <w:color w:val="363434"/>
          <w:w w:val="105"/>
          <w:sz w:val="22"/>
        </w:rPr>
        <w:t>4th</w:t>
      </w:r>
      <w:r>
        <w:rPr>
          <w:color w:val="363434"/>
          <w:spacing w:val="57"/>
          <w:w w:val="105"/>
          <w:sz w:val="22"/>
        </w:rPr>
        <w:t> </w:t>
      </w:r>
      <w:r>
        <w:rPr>
          <w:color w:val="363434"/>
          <w:w w:val="105"/>
        </w:rPr>
        <w:t>ed.,</w:t>
      </w:r>
      <w:r>
        <w:rPr>
          <w:color w:val="363434"/>
          <w:spacing w:val="6"/>
          <w:w w:val="105"/>
        </w:rPr>
        <w:t> </w:t>
      </w:r>
      <w:r>
        <w:rPr>
          <w:color w:val="363434"/>
          <w:w w:val="105"/>
        </w:rPr>
        <w:t>Aspen</w:t>
      </w:r>
      <w:r>
        <w:rPr>
          <w:color w:val="363434"/>
          <w:spacing w:val="15"/>
          <w:w w:val="105"/>
        </w:rPr>
        <w:t> </w:t>
      </w:r>
      <w:r>
        <w:rPr>
          <w:color w:val="363434"/>
          <w:w w:val="105"/>
          <w:sz w:val="22"/>
        </w:rPr>
        <w:t>2013),</w:t>
      </w:r>
      <w:r>
        <w:rPr>
          <w:color w:val="363434"/>
          <w:spacing w:val="11"/>
          <w:w w:val="105"/>
          <w:sz w:val="22"/>
        </w:rPr>
        <w:t> </w:t>
      </w:r>
      <w:r>
        <w:rPr>
          <w:color w:val="363434"/>
          <w:w w:val="105"/>
        </w:rPr>
        <w:t>or</w:t>
      </w:r>
      <w:r>
        <w:rPr>
          <w:color w:val="363434"/>
          <w:spacing w:val="16"/>
          <w:w w:val="105"/>
        </w:rPr>
        <w:t> </w:t>
      </w:r>
      <w:r>
        <w:rPr>
          <w:color w:val="363434"/>
          <w:w w:val="105"/>
        </w:rPr>
        <w:t>Mary</w:t>
      </w:r>
      <w:r>
        <w:rPr>
          <w:color w:val="363434"/>
          <w:spacing w:val="12"/>
          <w:w w:val="105"/>
        </w:rPr>
        <w:t> </w:t>
      </w:r>
      <w:r>
        <w:rPr>
          <w:color w:val="363434"/>
          <w:w w:val="105"/>
        </w:rPr>
        <w:t>Barnard</w:t>
      </w:r>
      <w:r>
        <w:rPr>
          <w:color w:val="363434"/>
          <w:spacing w:val="24"/>
          <w:w w:val="105"/>
        </w:rPr>
        <w:t> </w:t>
      </w:r>
      <w:r>
        <w:rPr>
          <w:color w:val="363434"/>
          <w:w w:val="105"/>
        </w:rPr>
        <w:t>Ray</w:t>
      </w:r>
      <w:r>
        <w:rPr>
          <w:color w:val="363434"/>
          <w:spacing w:val="-25"/>
          <w:w w:val="105"/>
        </w:rPr>
        <w:t> </w:t>
      </w:r>
      <w:r>
        <w:rPr>
          <w:color w:val="363434"/>
          <w:w w:val="105"/>
        </w:rPr>
        <w:t>&amp;</w:t>
      </w:r>
      <w:r>
        <w:rPr>
          <w:color w:val="363434"/>
          <w:w w:val="105"/>
          <w:sz w:val="28"/>
        </w:rPr>
        <w:t>Jill</w:t>
      </w:r>
    </w:p>
    <w:p>
      <w:pPr>
        <w:spacing w:line="250" w:lineRule="exact" w:before="0"/>
        <w:ind w:left="619" w:right="0" w:firstLine="0"/>
        <w:jc w:val="left"/>
        <w:rPr>
          <w:sz w:val="23"/>
        </w:rPr>
      </w:pPr>
      <w:r>
        <w:rPr>
          <w:color w:val="363434"/>
          <w:w w:val="105"/>
          <w:sz w:val="28"/>
        </w:rPr>
        <w:t>J.</w:t>
      </w:r>
      <w:r>
        <w:rPr>
          <w:color w:val="363434"/>
          <w:spacing w:val="-5"/>
          <w:w w:val="105"/>
          <w:sz w:val="28"/>
        </w:rPr>
        <w:t> </w:t>
      </w:r>
      <w:r>
        <w:rPr>
          <w:color w:val="363434"/>
          <w:w w:val="105"/>
          <w:sz w:val="23"/>
        </w:rPr>
        <w:t>Ramsfield,</w:t>
      </w:r>
      <w:r>
        <w:rPr>
          <w:color w:val="363434"/>
          <w:spacing w:val="25"/>
          <w:w w:val="105"/>
          <w:sz w:val="23"/>
        </w:rPr>
        <w:t> </w:t>
      </w:r>
      <w:r>
        <w:rPr>
          <w:rFonts w:ascii="Arial"/>
          <w:i/>
          <w:color w:val="363434"/>
          <w:w w:val="105"/>
          <w:sz w:val="21"/>
        </w:rPr>
        <w:t>Legal</w:t>
      </w:r>
      <w:r>
        <w:rPr>
          <w:rFonts w:ascii="Arial"/>
          <w:i/>
          <w:color w:val="363434"/>
          <w:spacing w:val="25"/>
          <w:w w:val="105"/>
          <w:sz w:val="21"/>
        </w:rPr>
        <w:t> </w:t>
      </w:r>
      <w:r>
        <w:rPr>
          <w:rFonts w:ascii="Arial"/>
          <w:i/>
          <w:color w:val="363434"/>
          <w:w w:val="105"/>
          <w:sz w:val="21"/>
        </w:rPr>
        <w:t>Writing:</w:t>
      </w:r>
      <w:r>
        <w:rPr>
          <w:rFonts w:ascii="Arial"/>
          <w:i/>
          <w:color w:val="363434"/>
          <w:spacing w:val="2"/>
          <w:w w:val="105"/>
          <w:sz w:val="21"/>
        </w:rPr>
        <w:t> </w:t>
      </w:r>
      <w:r>
        <w:rPr>
          <w:rFonts w:ascii="Arial"/>
          <w:i/>
          <w:color w:val="363434"/>
          <w:w w:val="105"/>
          <w:sz w:val="21"/>
        </w:rPr>
        <w:t>Getting</w:t>
      </w:r>
      <w:r>
        <w:rPr>
          <w:rFonts w:ascii="Arial"/>
          <w:i/>
          <w:color w:val="363434"/>
          <w:spacing w:val="-4"/>
          <w:w w:val="105"/>
          <w:sz w:val="21"/>
        </w:rPr>
        <w:t> </w:t>
      </w:r>
      <w:r>
        <w:rPr>
          <w:rFonts w:ascii="Arial"/>
          <w:i/>
          <w:color w:val="363434"/>
          <w:w w:val="105"/>
          <w:sz w:val="21"/>
        </w:rPr>
        <w:t>It</w:t>
      </w:r>
      <w:r>
        <w:rPr>
          <w:rFonts w:ascii="Arial"/>
          <w:i/>
          <w:color w:val="363434"/>
          <w:spacing w:val="57"/>
          <w:w w:val="105"/>
          <w:sz w:val="21"/>
        </w:rPr>
        <w:t> </w:t>
      </w:r>
      <w:r>
        <w:rPr>
          <w:rFonts w:ascii="Arial"/>
          <w:i/>
          <w:color w:val="363434"/>
          <w:w w:val="105"/>
          <w:sz w:val="21"/>
        </w:rPr>
        <w:t>Right</w:t>
      </w:r>
      <w:r>
        <w:rPr>
          <w:rFonts w:ascii="Arial"/>
          <w:i/>
          <w:color w:val="363434"/>
          <w:spacing w:val="2"/>
          <w:w w:val="105"/>
          <w:sz w:val="21"/>
        </w:rPr>
        <w:t> </w:t>
      </w:r>
      <w:r>
        <w:rPr>
          <w:rFonts w:ascii="Arial"/>
          <w:i/>
          <w:color w:val="363434"/>
          <w:w w:val="105"/>
          <w:sz w:val="21"/>
        </w:rPr>
        <w:t>and</w:t>
      </w:r>
      <w:r>
        <w:rPr>
          <w:rFonts w:ascii="Arial"/>
          <w:i/>
          <w:color w:val="363434"/>
          <w:spacing w:val="6"/>
          <w:w w:val="105"/>
          <w:sz w:val="21"/>
        </w:rPr>
        <w:t> </w:t>
      </w:r>
      <w:r>
        <w:rPr>
          <w:rFonts w:ascii="Arial"/>
          <w:i/>
          <w:color w:val="363434"/>
          <w:w w:val="105"/>
          <w:sz w:val="21"/>
        </w:rPr>
        <w:t>Getting</w:t>
      </w:r>
      <w:r>
        <w:rPr>
          <w:rFonts w:ascii="Arial"/>
          <w:i/>
          <w:color w:val="363434"/>
          <w:spacing w:val="-4"/>
          <w:w w:val="105"/>
          <w:sz w:val="21"/>
        </w:rPr>
        <w:t> </w:t>
      </w:r>
      <w:r>
        <w:rPr>
          <w:rFonts w:ascii="Arial"/>
          <w:i/>
          <w:color w:val="363434"/>
          <w:w w:val="105"/>
          <w:sz w:val="21"/>
        </w:rPr>
        <w:t>It</w:t>
      </w:r>
      <w:r>
        <w:rPr>
          <w:rFonts w:ascii="Arial"/>
          <w:i/>
          <w:color w:val="363434"/>
          <w:spacing w:val="60"/>
          <w:w w:val="105"/>
          <w:sz w:val="21"/>
        </w:rPr>
        <w:t> </w:t>
      </w:r>
      <w:r>
        <w:rPr>
          <w:rFonts w:ascii="Arial"/>
          <w:i/>
          <w:color w:val="363434"/>
          <w:w w:val="105"/>
          <w:sz w:val="21"/>
        </w:rPr>
        <w:t>Written</w:t>
      </w:r>
      <w:r>
        <w:rPr>
          <w:rFonts w:ascii="Arial"/>
          <w:i/>
          <w:color w:val="363434"/>
          <w:spacing w:val="20"/>
          <w:w w:val="105"/>
          <w:sz w:val="21"/>
        </w:rPr>
        <w:t> </w:t>
      </w:r>
      <w:r>
        <w:rPr>
          <w:color w:val="363434"/>
          <w:w w:val="105"/>
          <w:sz w:val="23"/>
        </w:rPr>
        <w:t>(5th ed.,</w:t>
      </w:r>
    </w:p>
    <w:p>
      <w:pPr>
        <w:spacing w:line="247" w:lineRule="exact" w:before="0"/>
        <w:ind w:left="641" w:right="0" w:firstLine="0"/>
        <w:jc w:val="both"/>
        <w:rPr>
          <w:sz w:val="22"/>
        </w:rPr>
      </w:pPr>
      <w:r>
        <w:rPr>
          <w:color w:val="363434"/>
          <w:w w:val="110"/>
          <w:sz w:val="23"/>
        </w:rPr>
        <w:t>West</w:t>
      </w:r>
      <w:r>
        <w:rPr>
          <w:color w:val="363434"/>
          <w:spacing w:val="-7"/>
          <w:w w:val="110"/>
          <w:sz w:val="23"/>
        </w:rPr>
        <w:t> </w:t>
      </w:r>
      <w:r>
        <w:rPr>
          <w:color w:val="363434"/>
          <w:w w:val="110"/>
          <w:sz w:val="22"/>
        </w:rPr>
        <w:t>2010).</w:t>
      </w:r>
    </w:p>
    <w:p>
      <w:pPr>
        <w:spacing w:after="0" w:line="247" w:lineRule="exact"/>
        <w:jc w:val="both"/>
        <w:rPr>
          <w:sz w:val="22"/>
        </w:rPr>
        <w:sectPr>
          <w:pgSz w:w="9850" w:h="14010"/>
          <w:pgMar w:header="598" w:footer="0" w:top="740" w:bottom="280" w:left="13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383"/>
          <w:headerReference w:type="even" r:id="rId384"/>
          <w:pgSz w:w="9480" w:h="14010"/>
          <w:pgMar w:header="515" w:footer="0" w:top="720" w:bottom="0" w:left="0" w:right="1320"/>
        </w:sectPr>
      </w:pPr>
    </w:p>
    <w:p>
      <w:pPr>
        <w:spacing w:line="112" w:lineRule="exact" w:before="96"/>
        <w:ind w:left="366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383436"/>
          <w:spacing w:val="-1"/>
          <w:w w:val="75"/>
          <w:sz w:val="12"/>
        </w:rPr>
        <w:t>1111</w:t>
      </w:r>
    </w:p>
    <w:p>
      <w:pPr>
        <w:spacing w:line="836" w:lineRule="exact" w:before="0"/>
        <w:ind w:left="118" w:right="0" w:firstLine="0"/>
        <w:jc w:val="left"/>
        <w:rPr>
          <w:rFonts w:ascii="Arial"/>
          <w:b/>
          <w:sz w:val="15"/>
        </w:rPr>
      </w:pPr>
      <w:r>
        <w:rPr/>
        <w:pict>
          <v:shape style="position:absolute;margin-left:17.185909pt;margin-top:4.802715pt;width:8.7pt;height:18.5pt;mso-position-horizontal-relative:page;mso-position-vertical-relative:paragraph;z-index:-21587968" type="#_x0000_t202" id="docshape607" filled="false" stroked="false">
            <v:textbox inset="0,0,0,0">
              <w:txbxContent>
                <w:p>
                  <w:pPr>
                    <w:spacing w:line="370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33"/>
                    </w:rPr>
                  </w:pPr>
                  <w:r>
                    <w:rPr>
                      <w:rFonts w:ascii="Arial"/>
                      <w:b/>
                      <w:color w:val="383436"/>
                      <w:w w:val="55"/>
                      <w:sz w:val="33"/>
                    </w:rPr>
                    <w:t>:a</w:t>
                  </w:r>
                </w:p>
              </w:txbxContent>
            </v:textbox>
            <w10:wrap type="none"/>
          </v:shape>
        </w:pict>
      </w:r>
      <w:r>
        <w:rPr>
          <w:b/>
          <w:color w:val="383436"/>
          <w:w w:val="60"/>
          <w:position w:val="-48"/>
          <w:sz w:val="75"/>
        </w:rPr>
        <w:t>l</w:t>
      </w:r>
      <w:r>
        <w:rPr>
          <w:b/>
          <w:color w:val="383436"/>
          <w:spacing w:val="54"/>
          <w:w w:val="60"/>
          <w:position w:val="-48"/>
          <w:sz w:val="75"/>
        </w:rPr>
        <w:t> </w:t>
      </w:r>
      <w:r>
        <w:rPr>
          <w:rFonts w:ascii="Arial"/>
          <w:b/>
          <w:color w:val="383436"/>
          <w:w w:val="60"/>
          <w:sz w:val="15"/>
        </w:rPr>
        <w:t>llC</w:t>
      </w:r>
    </w:p>
    <w:p>
      <w:pPr>
        <w:spacing w:before="59"/>
        <w:ind w:left="359" w:right="0" w:firstLine="0"/>
        <w:jc w:val="left"/>
        <w:rPr>
          <w:rFonts w:ascii="Arial"/>
          <w:sz w:val="30"/>
        </w:rPr>
      </w:pPr>
      <w:r>
        <w:rPr>
          <w:rFonts w:ascii="Arial"/>
          <w:color w:val="383436"/>
          <w:w w:val="103"/>
          <w:sz w:val="30"/>
        </w:rPr>
        <w:t>&lt;</w:t>
      </w:r>
    </w:p>
    <w:p>
      <w:pPr>
        <w:spacing w:line="240" w:lineRule="auto" w:before="4"/>
        <w:rPr>
          <w:rFonts w:ascii="Arial"/>
          <w:sz w:val="43"/>
        </w:rPr>
      </w:pPr>
      <w:r>
        <w:rPr/>
        <w:br w:type="column"/>
      </w:r>
      <w:r>
        <w:rPr>
          <w:rFonts w:ascii="Arial"/>
          <w:sz w:val="43"/>
        </w:rPr>
      </w:r>
    </w:p>
    <w:p>
      <w:pPr>
        <w:spacing w:line="259" w:lineRule="auto" w:before="0"/>
        <w:ind w:left="118" w:right="42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383436"/>
          <w:w w:val="95"/>
          <w:sz w:val="40"/>
        </w:rPr>
        <w:t>FO</w:t>
      </w:r>
      <w:r>
        <w:rPr>
          <w:rFonts w:ascii="Arial"/>
          <w:b/>
          <w:color w:val="4F4F52"/>
          <w:w w:val="95"/>
          <w:sz w:val="40"/>
        </w:rPr>
        <w:t>R</w:t>
      </w:r>
      <w:r>
        <w:rPr>
          <w:rFonts w:ascii="Arial"/>
          <w:b/>
          <w:color w:val="4F4F52"/>
          <w:spacing w:val="51"/>
          <w:w w:val="95"/>
          <w:sz w:val="40"/>
        </w:rPr>
        <w:t> </w:t>
      </w:r>
      <w:r>
        <w:rPr>
          <w:rFonts w:ascii="Arial"/>
          <w:b/>
          <w:color w:val="4F4F52"/>
          <w:w w:val="95"/>
          <w:sz w:val="41"/>
        </w:rPr>
        <w:t>R</w:t>
      </w:r>
      <w:r>
        <w:rPr>
          <w:rFonts w:ascii="Arial"/>
          <w:b/>
          <w:color w:val="383436"/>
          <w:w w:val="95"/>
          <w:sz w:val="41"/>
        </w:rPr>
        <w:t>EFE</w:t>
      </w:r>
      <w:r>
        <w:rPr>
          <w:rFonts w:ascii="Arial"/>
          <w:b/>
          <w:color w:val="4F4F52"/>
          <w:w w:val="95"/>
          <w:sz w:val="41"/>
        </w:rPr>
        <w:t>R</w:t>
      </w:r>
      <w:r>
        <w:rPr>
          <w:rFonts w:ascii="Arial"/>
          <w:b/>
          <w:color w:val="383436"/>
          <w:w w:val="95"/>
          <w:sz w:val="41"/>
        </w:rPr>
        <w:t>ENCE:</w:t>
      </w:r>
      <w:r>
        <w:rPr>
          <w:rFonts w:ascii="Arial"/>
          <w:b/>
          <w:color w:val="383436"/>
          <w:spacing w:val="78"/>
          <w:w w:val="95"/>
          <w:sz w:val="41"/>
        </w:rPr>
        <w:t> </w:t>
      </w:r>
      <w:r>
        <w:rPr>
          <w:rFonts w:ascii="Arial"/>
          <w:b/>
          <w:color w:val="383436"/>
          <w:w w:val="95"/>
          <w:sz w:val="40"/>
        </w:rPr>
        <w:t>COU</w:t>
      </w:r>
      <w:r>
        <w:rPr>
          <w:rFonts w:ascii="Arial"/>
          <w:b/>
          <w:color w:val="4F4F52"/>
          <w:w w:val="95"/>
          <w:sz w:val="40"/>
        </w:rPr>
        <w:t>R</w:t>
      </w:r>
      <w:r>
        <w:rPr>
          <w:rFonts w:ascii="Arial"/>
          <w:b/>
          <w:color w:val="383436"/>
          <w:w w:val="95"/>
          <w:sz w:val="40"/>
        </w:rPr>
        <w:t>T</w:t>
      </w:r>
      <w:r>
        <w:rPr>
          <w:rFonts w:ascii="Arial"/>
          <w:b/>
          <w:color w:val="383436"/>
          <w:spacing w:val="-103"/>
          <w:w w:val="95"/>
          <w:sz w:val="40"/>
        </w:rPr>
        <w:t> </w:t>
      </w:r>
      <w:r>
        <w:rPr>
          <w:rFonts w:ascii="Arial"/>
          <w:b/>
          <w:color w:val="383436"/>
          <w:w w:val="105"/>
          <w:sz w:val="40"/>
        </w:rPr>
        <w:t>W</w:t>
      </w:r>
      <w:r>
        <w:rPr>
          <w:rFonts w:ascii="Arial"/>
          <w:b/>
          <w:color w:val="4F4F52"/>
          <w:w w:val="105"/>
          <w:sz w:val="40"/>
        </w:rPr>
        <w:t>EB</w:t>
      </w:r>
      <w:r>
        <w:rPr>
          <w:rFonts w:ascii="Arial"/>
          <w:b/>
          <w:color w:val="383436"/>
          <w:w w:val="105"/>
          <w:sz w:val="40"/>
        </w:rPr>
        <w:t>SITE</w:t>
      </w:r>
      <w:r>
        <w:rPr>
          <w:rFonts w:ascii="Arial"/>
          <w:b/>
          <w:color w:val="383436"/>
          <w:spacing w:val="-22"/>
          <w:w w:val="105"/>
          <w:sz w:val="40"/>
        </w:rPr>
        <w:t> </w:t>
      </w:r>
      <w:r>
        <w:rPr>
          <w:rFonts w:ascii="Arial"/>
          <w:b/>
          <w:color w:val="383436"/>
          <w:w w:val="105"/>
          <w:sz w:val="40"/>
        </w:rPr>
        <w:t>INFO</w:t>
      </w:r>
      <w:r>
        <w:rPr>
          <w:rFonts w:ascii="Arial"/>
          <w:b/>
          <w:color w:val="4F4F52"/>
          <w:w w:val="105"/>
          <w:sz w:val="40"/>
        </w:rPr>
        <w:t>RMA</w:t>
      </w:r>
      <w:r>
        <w:rPr>
          <w:rFonts w:ascii="Arial"/>
          <w:b/>
          <w:color w:val="383436"/>
          <w:w w:val="105"/>
          <w:sz w:val="40"/>
        </w:rPr>
        <w:t>TION</w:t>
      </w:r>
    </w:p>
    <w:p>
      <w:pPr>
        <w:spacing w:after="0" w:line="259" w:lineRule="auto"/>
        <w:jc w:val="left"/>
        <w:rPr>
          <w:rFonts w:ascii="Arial"/>
          <w:sz w:val="40"/>
        </w:rPr>
        <w:sectPr>
          <w:type w:val="continuous"/>
          <w:pgSz w:w="9480" w:h="14010"/>
          <w:pgMar w:header="521" w:footer="0" w:top="340" w:bottom="280" w:left="0" w:right="1320"/>
          <w:cols w:num="2" w:equalWidth="0">
            <w:col w:w="581" w:space="119"/>
            <w:col w:w="7460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232" w:lineRule="auto" w:before="98"/>
        <w:ind w:left="282" w:right="386" w:firstLine="323"/>
        <w:jc w:val="both"/>
      </w:pPr>
      <w:r>
        <w:rPr>
          <w:color w:val="383436"/>
          <w:w w:val="110"/>
        </w:rPr>
        <w:t>Almost</w:t>
      </w:r>
      <w:r>
        <w:rPr>
          <w:color w:val="383436"/>
          <w:spacing w:val="-11"/>
          <w:w w:val="110"/>
        </w:rPr>
        <w:t> </w:t>
      </w:r>
      <w:r>
        <w:rPr>
          <w:color w:val="383436"/>
          <w:w w:val="110"/>
        </w:rPr>
        <w:t>every</w:t>
      </w:r>
      <w:r>
        <w:rPr>
          <w:color w:val="383436"/>
          <w:spacing w:val="-13"/>
          <w:w w:val="110"/>
        </w:rPr>
        <w:t> </w:t>
      </w:r>
      <w:r>
        <w:rPr>
          <w:color w:val="383436"/>
          <w:w w:val="110"/>
        </w:rPr>
        <w:t>court</w:t>
      </w:r>
      <w:r>
        <w:rPr>
          <w:color w:val="383436"/>
          <w:spacing w:val="-6"/>
          <w:w w:val="110"/>
        </w:rPr>
        <w:t> </w:t>
      </w:r>
      <w:r>
        <w:rPr>
          <w:color w:val="383436"/>
          <w:w w:val="110"/>
        </w:rPr>
        <w:t>posts</w:t>
      </w:r>
      <w:r>
        <w:rPr>
          <w:color w:val="383436"/>
          <w:spacing w:val="-5"/>
          <w:w w:val="110"/>
        </w:rPr>
        <w:t> </w:t>
      </w:r>
      <w:r>
        <w:rPr>
          <w:color w:val="383436"/>
          <w:w w:val="110"/>
        </w:rPr>
        <w:t>relevant</w:t>
      </w:r>
      <w:r>
        <w:rPr>
          <w:color w:val="383436"/>
          <w:spacing w:val="6"/>
          <w:w w:val="110"/>
        </w:rPr>
        <w:t> </w:t>
      </w:r>
      <w:r>
        <w:rPr>
          <w:color w:val="383436"/>
          <w:w w:val="110"/>
        </w:rPr>
        <w:t>rules</w:t>
      </w:r>
      <w:r>
        <w:rPr>
          <w:color w:val="383436"/>
          <w:spacing w:val="-23"/>
          <w:w w:val="110"/>
        </w:rPr>
        <w:t> </w:t>
      </w:r>
      <w:r>
        <w:rPr>
          <w:color w:val="383436"/>
          <w:w w:val="110"/>
        </w:rPr>
        <w:t>on</w:t>
      </w:r>
      <w:r>
        <w:rPr>
          <w:color w:val="383436"/>
          <w:spacing w:val="22"/>
          <w:w w:val="110"/>
        </w:rPr>
        <w:t> </w:t>
      </w:r>
      <w:r>
        <w:rPr>
          <w:color w:val="383436"/>
          <w:w w:val="110"/>
        </w:rPr>
        <w:t>its</w:t>
      </w:r>
      <w:r>
        <w:rPr>
          <w:color w:val="383436"/>
          <w:spacing w:val="-8"/>
          <w:w w:val="110"/>
        </w:rPr>
        <w:t> </w:t>
      </w:r>
      <w:r>
        <w:rPr>
          <w:color w:val="383436"/>
          <w:w w:val="110"/>
        </w:rPr>
        <w:t>website</w:t>
      </w:r>
      <w:r>
        <w:rPr>
          <w:color w:val="4F4F52"/>
          <w:w w:val="110"/>
        </w:rPr>
        <w:t>.</w:t>
      </w:r>
      <w:r>
        <w:rPr>
          <w:color w:val="4F4F52"/>
          <w:spacing w:val="-20"/>
          <w:w w:val="110"/>
        </w:rPr>
        <w:t> </w:t>
      </w:r>
      <w:r>
        <w:rPr>
          <w:color w:val="383436"/>
          <w:w w:val="110"/>
        </w:rPr>
        <w:t>These</w:t>
      </w:r>
      <w:r>
        <w:rPr>
          <w:color w:val="383436"/>
          <w:spacing w:val="-2"/>
          <w:w w:val="110"/>
        </w:rPr>
        <w:t> </w:t>
      </w:r>
      <w:r>
        <w:rPr>
          <w:color w:val="383436"/>
          <w:w w:val="110"/>
        </w:rPr>
        <w:t>rules</w:t>
      </w:r>
      <w:r>
        <w:rPr>
          <w:color w:val="383436"/>
          <w:spacing w:val="-18"/>
          <w:w w:val="110"/>
        </w:rPr>
        <w:t> </w:t>
      </w:r>
      <w:r>
        <w:rPr>
          <w:color w:val="383436"/>
          <w:w w:val="110"/>
        </w:rPr>
        <w:t>may</w:t>
      </w:r>
      <w:r>
        <w:rPr>
          <w:color w:val="383436"/>
          <w:spacing w:val="-60"/>
          <w:w w:val="110"/>
        </w:rPr>
        <w:t> </w:t>
      </w:r>
      <w:r>
        <w:rPr>
          <w:color w:val="383436"/>
          <w:w w:val="110"/>
        </w:rPr>
        <w:t>include the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applicable state or federal rules of civil procedure as well as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local</w:t>
      </w:r>
      <w:r>
        <w:rPr>
          <w:color w:val="383436"/>
          <w:spacing w:val="-2"/>
          <w:w w:val="110"/>
        </w:rPr>
        <w:t> </w:t>
      </w:r>
      <w:r>
        <w:rPr>
          <w:color w:val="383436"/>
          <w:w w:val="110"/>
        </w:rPr>
        <w:t>rules</w:t>
      </w:r>
      <w:r>
        <w:rPr>
          <w:color w:val="383436"/>
          <w:spacing w:val="-15"/>
          <w:w w:val="110"/>
        </w:rPr>
        <w:t> </w:t>
      </w:r>
      <w:r>
        <w:rPr>
          <w:color w:val="383436"/>
          <w:w w:val="110"/>
        </w:rPr>
        <w:t>and</w:t>
      </w:r>
      <w:r>
        <w:rPr>
          <w:color w:val="383436"/>
          <w:spacing w:val="27"/>
          <w:w w:val="110"/>
        </w:rPr>
        <w:t> </w:t>
      </w:r>
      <w:r>
        <w:rPr>
          <w:color w:val="383436"/>
          <w:w w:val="110"/>
        </w:rPr>
        <w:t>standing</w:t>
      </w:r>
      <w:r>
        <w:rPr>
          <w:color w:val="383436"/>
          <w:spacing w:val="-14"/>
          <w:w w:val="110"/>
        </w:rPr>
        <w:t> </w:t>
      </w:r>
      <w:r>
        <w:rPr>
          <w:color w:val="383436"/>
          <w:w w:val="110"/>
        </w:rPr>
        <w:t>orders.</w:t>
      </w:r>
    </w:p>
    <w:p>
      <w:pPr>
        <w:pStyle w:val="BodyText"/>
        <w:spacing w:line="235" w:lineRule="auto"/>
        <w:ind w:left="280" w:right="364" w:firstLine="319"/>
        <w:jc w:val="both"/>
      </w:pPr>
      <w:r>
        <w:rPr>
          <w:color w:val="383436"/>
          <w:w w:val="110"/>
        </w:rPr>
        <w:t>The rules of the United States Supreme Court, which have been refer­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enced throughout the text, can currently be found at this website</w:t>
      </w:r>
      <w:r>
        <w:rPr>
          <w:color w:val="4F4F52"/>
          <w:w w:val="110"/>
        </w:rPr>
        <w:t>: </w:t>
      </w:r>
      <w:r>
        <w:rPr>
          <w:color w:val="383436"/>
          <w:w w:val="110"/>
        </w:rPr>
        <w:t>http://</w:t>
      </w:r>
      <w:r>
        <w:rPr>
          <w:color w:val="383436"/>
          <w:spacing w:val="1"/>
          <w:w w:val="110"/>
        </w:rPr>
        <w:t> </w:t>
      </w:r>
      <w:hyperlink r:id="rId385">
        <w:r>
          <w:rPr>
            <w:color w:val="383436"/>
            <w:w w:val="110"/>
          </w:rPr>
          <w:t>www.supremecourt.gov/ctrules/2013RulesoftheCourt.pdf</w:t>
        </w:r>
      </w:hyperlink>
    </w:p>
    <w:p>
      <w:pPr>
        <w:pStyle w:val="BodyText"/>
        <w:spacing w:line="232" w:lineRule="auto" w:before="4"/>
        <w:ind w:left="281" w:right="328" w:firstLine="321"/>
        <w:jc w:val="both"/>
      </w:pPr>
      <w:r>
        <w:rPr>
          <w:color w:val="383436"/>
          <w:w w:val="105"/>
        </w:rPr>
        <w:t>Some federal courts combine the</w:t>
      </w:r>
      <w:r>
        <w:rPr>
          <w:color w:val="383436"/>
          <w:spacing w:val="1"/>
          <w:w w:val="105"/>
        </w:rPr>
        <w:t> </w:t>
      </w:r>
      <w:r>
        <w:rPr>
          <w:color w:val="383436"/>
          <w:w w:val="105"/>
        </w:rPr>
        <w:t>generally applicable  rules with  their</w:t>
      </w:r>
      <w:r>
        <w:rPr>
          <w:color w:val="383436"/>
          <w:spacing w:val="1"/>
          <w:w w:val="105"/>
        </w:rPr>
        <w:t> </w:t>
      </w:r>
      <w:r>
        <w:rPr>
          <w:color w:val="383436"/>
          <w:w w:val="105"/>
        </w:rPr>
        <w:t>own local rules. At the</w:t>
      </w:r>
      <w:r>
        <w:rPr>
          <w:color w:val="383436"/>
          <w:spacing w:val="1"/>
          <w:w w:val="105"/>
        </w:rPr>
        <w:t> </w:t>
      </w:r>
      <w:r>
        <w:rPr>
          <w:color w:val="383436"/>
          <w:w w:val="105"/>
        </w:rPr>
        <w:t>following link, for example, the tenth cirruit's local</w:t>
      </w:r>
      <w:r>
        <w:rPr>
          <w:color w:val="383436"/>
          <w:spacing w:val="1"/>
          <w:w w:val="105"/>
        </w:rPr>
        <w:t> </w:t>
      </w:r>
      <w:r>
        <w:rPr>
          <w:color w:val="383436"/>
          <w:w w:val="105"/>
        </w:rPr>
        <w:t>rules are interspersed with the relevant Federal Rules of Appellate Procedure:</w:t>
      </w:r>
      <w:r>
        <w:rPr>
          <w:color w:val="383436"/>
          <w:spacing w:val="-58"/>
          <w:w w:val="105"/>
        </w:rPr>
        <w:t> </w:t>
      </w:r>
      <w:hyperlink r:id="rId386">
        <w:r>
          <w:rPr>
            <w:color w:val="383436"/>
            <w:w w:val="105"/>
          </w:rPr>
          <w:t>http://www</w:t>
        </w:r>
        <w:r>
          <w:rPr>
            <w:color w:val="4F4F52"/>
            <w:w w:val="105"/>
          </w:rPr>
          <w:t>.</w:t>
        </w:r>
        <w:r>
          <w:rPr>
            <w:color w:val="383436"/>
            <w:w w:val="105"/>
          </w:rPr>
          <w:t>ca10.uscourts.gov/sites/default/files/clerk/FRAP%20RULE.s%20</w:t>
        </w:r>
      </w:hyperlink>
      <w:r>
        <w:rPr>
          <w:color w:val="383436"/>
          <w:spacing w:val="-58"/>
          <w:w w:val="105"/>
        </w:rPr>
        <w:t> </w:t>
      </w:r>
      <w:r>
        <w:rPr>
          <w:color w:val="383436"/>
          <w:w w:val="105"/>
        </w:rPr>
        <w:t>FINAL%202014-ll-15-2013.pdf</w:t>
      </w:r>
    </w:p>
    <w:p>
      <w:pPr>
        <w:pStyle w:val="BodyText"/>
        <w:spacing w:line="235" w:lineRule="auto"/>
        <w:ind w:left="282" w:right="335" w:firstLine="327"/>
        <w:jc w:val="both"/>
      </w:pPr>
      <w:r>
        <w:rPr>
          <w:color w:val="383436"/>
          <w:w w:val="110"/>
        </w:rPr>
        <w:t>Other courts may post their local rules as a separate document, as this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05"/>
        </w:rPr>
        <w:t>link</w:t>
      </w:r>
      <w:r>
        <w:rPr>
          <w:color w:val="383436"/>
          <w:spacing w:val="2"/>
          <w:w w:val="105"/>
        </w:rPr>
        <w:t> </w:t>
      </w:r>
      <w:r>
        <w:rPr>
          <w:color w:val="383436"/>
          <w:w w:val="105"/>
        </w:rPr>
        <w:t>shows:</w:t>
      </w:r>
      <w:r>
        <w:rPr>
          <w:color w:val="383436"/>
          <w:spacing w:val="27"/>
          <w:w w:val="105"/>
        </w:rPr>
        <w:t> </w:t>
      </w:r>
      <w:hyperlink r:id="rId387">
        <w:r>
          <w:rPr>
            <w:color w:val="383436"/>
            <w:w w:val="105"/>
          </w:rPr>
          <w:t>http://www.state</w:t>
        </w:r>
        <w:r>
          <w:rPr>
            <w:rFonts w:ascii="Arial"/>
            <w:color w:val="383436"/>
            <w:w w:val="105"/>
            <w:sz w:val="21"/>
          </w:rPr>
          <w:t>.ii.</w:t>
        </w:r>
        <w:r>
          <w:rPr>
            <w:color w:val="383436"/>
            <w:w w:val="105"/>
          </w:rPr>
          <w:t>us/court/AppellateCourt/LocalRules/3rd.pdf</w:t>
        </w:r>
      </w:hyperlink>
    </w:p>
    <w:p>
      <w:pPr>
        <w:pStyle w:val="BodyText"/>
        <w:spacing w:line="235" w:lineRule="auto"/>
        <w:ind w:left="278" w:right="262" w:firstLine="342"/>
      </w:pPr>
      <w:r>
        <w:rPr>
          <w:color w:val="383436"/>
          <w:w w:val="110"/>
          <w:sz w:val="24"/>
        </w:rPr>
        <w:t>If </w:t>
      </w:r>
      <w:r>
        <w:rPr>
          <w:color w:val="383436"/>
          <w:w w:val="110"/>
        </w:rPr>
        <w:t>you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are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writing a motion brief, remember that many trial courts do</w:t>
      </w:r>
      <w:r>
        <w:rPr>
          <w:color w:val="383436"/>
          <w:spacing w:val="-61"/>
          <w:w w:val="110"/>
        </w:rPr>
        <w:t> </w:t>
      </w:r>
      <w:r>
        <w:rPr>
          <w:color w:val="383436"/>
          <w:w w:val="110"/>
        </w:rPr>
        <w:t>not</w:t>
      </w:r>
      <w:r>
        <w:rPr>
          <w:color w:val="383436"/>
          <w:spacing w:val="-29"/>
          <w:w w:val="110"/>
        </w:rPr>
        <w:t> </w:t>
      </w:r>
      <w:r>
        <w:rPr>
          <w:color w:val="383436"/>
          <w:w w:val="110"/>
        </w:rPr>
        <w:t>use</w:t>
      </w:r>
      <w:r>
        <w:rPr>
          <w:color w:val="383436"/>
          <w:spacing w:val="-27"/>
          <w:w w:val="110"/>
        </w:rPr>
        <w:t> </w:t>
      </w:r>
      <w:r>
        <w:rPr>
          <w:color w:val="383436"/>
          <w:w w:val="110"/>
        </w:rPr>
        <w:t>rules</w:t>
      </w:r>
      <w:r>
        <w:rPr>
          <w:color w:val="383436"/>
          <w:spacing w:val="-29"/>
          <w:w w:val="110"/>
        </w:rPr>
        <w:t> </w:t>
      </w:r>
      <w:r>
        <w:rPr>
          <w:color w:val="383436"/>
          <w:w w:val="110"/>
        </w:rPr>
        <w:t>to</w:t>
      </w:r>
      <w:r>
        <w:rPr>
          <w:color w:val="383436"/>
          <w:spacing w:val="-12"/>
          <w:w w:val="110"/>
        </w:rPr>
        <w:t> </w:t>
      </w:r>
      <w:r>
        <w:rPr>
          <w:color w:val="383436"/>
          <w:w w:val="110"/>
        </w:rPr>
        <w:t>articulate</w:t>
      </w:r>
      <w:r>
        <w:rPr>
          <w:color w:val="383436"/>
          <w:spacing w:val="-21"/>
          <w:w w:val="110"/>
        </w:rPr>
        <w:t> </w:t>
      </w:r>
      <w:r>
        <w:rPr>
          <w:color w:val="383436"/>
          <w:w w:val="110"/>
        </w:rPr>
        <w:t>formal</w:t>
      </w:r>
      <w:r>
        <w:rPr>
          <w:color w:val="383436"/>
          <w:spacing w:val="-21"/>
          <w:w w:val="110"/>
        </w:rPr>
        <w:t> </w:t>
      </w:r>
      <w:r>
        <w:rPr>
          <w:color w:val="383436"/>
          <w:w w:val="110"/>
        </w:rPr>
        <w:t>requirements</w:t>
      </w:r>
      <w:r>
        <w:rPr>
          <w:color w:val="383436"/>
          <w:spacing w:val="-23"/>
          <w:w w:val="110"/>
        </w:rPr>
        <w:t> </w:t>
      </w:r>
      <w:r>
        <w:rPr>
          <w:color w:val="383436"/>
          <w:w w:val="110"/>
        </w:rPr>
        <w:t>for</w:t>
      </w:r>
      <w:r>
        <w:rPr>
          <w:color w:val="383436"/>
          <w:spacing w:val="-21"/>
          <w:w w:val="110"/>
        </w:rPr>
        <w:t> </w:t>
      </w:r>
      <w:r>
        <w:rPr>
          <w:color w:val="383436"/>
          <w:w w:val="110"/>
        </w:rPr>
        <w:t>these</w:t>
      </w:r>
      <w:r>
        <w:rPr>
          <w:color w:val="383436"/>
          <w:spacing w:val="-32"/>
          <w:w w:val="110"/>
        </w:rPr>
        <w:t> </w:t>
      </w:r>
      <w:r>
        <w:rPr>
          <w:color w:val="383436"/>
          <w:w w:val="110"/>
        </w:rPr>
        <w:t>brief</w:t>
      </w:r>
      <w:r>
        <w:rPr>
          <w:color w:val="4F4F52"/>
          <w:w w:val="110"/>
        </w:rPr>
        <w:t>s</w:t>
      </w:r>
      <w:r>
        <w:rPr>
          <w:color w:val="383436"/>
          <w:w w:val="110"/>
        </w:rPr>
        <w:t>.</w:t>
      </w:r>
      <w:r>
        <w:rPr>
          <w:color w:val="383436"/>
          <w:spacing w:val="-30"/>
          <w:w w:val="110"/>
        </w:rPr>
        <w:t> </w:t>
      </w:r>
      <w:r>
        <w:rPr>
          <w:color w:val="383436"/>
          <w:w w:val="110"/>
        </w:rPr>
        <w:t>Nevertheless,</w:t>
      </w:r>
      <w:r>
        <w:rPr>
          <w:color w:val="383436"/>
          <w:spacing w:val="-61"/>
          <w:w w:val="110"/>
        </w:rPr>
        <w:t> </w:t>
      </w:r>
      <w:r>
        <w:rPr>
          <w:color w:val="383436"/>
          <w:spacing w:val="-1"/>
          <w:w w:val="110"/>
        </w:rPr>
        <w:t>consult the appropriate civil or criminal </w:t>
      </w:r>
      <w:r>
        <w:rPr>
          <w:color w:val="383436"/>
          <w:w w:val="110"/>
        </w:rPr>
        <w:t>rules, the local rules, or the court</w:t>
      </w:r>
      <w:r>
        <w:rPr>
          <w:color w:val="4F4F52"/>
          <w:w w:val="110"/>
        </w:rPr>
        <w:t>'</w:t>
      </w:r>
      <w:r>
        <w:rPr>
          <w:color w:val="383436"/>
          <w:w w:val="110"/>
        </w:rPr>
        <w:t>s</w:t>
      </w:r>
      <w:r>
        <w:rPr>
          <w:color w:val="383436"/>
          <w:spacing w:val="-61"/>
          <w:w w:val="110"/>
        </w:rPr>
        <w:t> </w:t>
      </w:r>
      <w:r>
        <w:rPr>
          <w:color w:val="383436"/>
          <w:w w:val="110"/>
        </w:rPr>
        <w:t>standing</w:t>
      </w:r>
      <w:r>
        <w:rPr>
          <w:color w:val="383436"/>
          <w:spacing w:val="-15"/>
          <w:w w:val="110"/>
        </w:rPr>
        <w:t> </w:t>
      </w:r>
      <w:r>
        <w:rPr>
          <w:color w:val="383436"/>
          <w:w w:val="110"/>
        </w:rPr>
        <w:t>orders</w:t>
      </w:r>
      <w:r>
        <w:rPr>
          <w:color w:val="383436"/>
          <w:spacing w:val="-27"/>
          <w:w w:val="110"/>
        </w:rPr>
        <w:t> </w:t>
      </w:r>
      <w:r>
        <w:rPr>
          <w:color w:val="383436"/>
          <w:w w:val="110"/>
        </w:rPr>
        <w:t>for</w:t>
      </w:r>
      <w:r>
        <w:rPr>
          <w:color w:val="383436"/>
          <w:spacing w:val="-19"/>
          <w:w w:val="110"/>
        </w:rPr>
        <w:t> </w:t>
      </w:r>
      <w:r>
        <w:rPr>
          <w:color w:val="383436"/>
          <w:w w:val="110"/>
        </w:rPr>
        <w:t>any</w:t>
      </w:r>
      <w:r>
        <w:rPr>
          <w:color w:val="383436"/>
          <w:spacing w:val="-2"/>
          <w:w w:val="110"/>
        </w:rPr>
        <w:t> </w:t>
      </w:r>
      <w:r>
        <w:rPr>
          <w:color w:val="383436"/>
          <w:w w:val="110"/>
        </w:rPr>
        <w:t>existing</w:t>
      </w:r>
      <w:r>
        <w:rPr>
          <w:color w:val="383436"/>
          <w:spacing w:val="-21"/>
          <w:w w:val="110"/>
        </w:rPr>
        <w:t> </w:t>
      </w:r>
      <w:r>
        <w:rPr>
          <w:color w:val="383436"/>
          <w:w w:val="110"/>
        </w:rPr>
        <w:t>requirements</w:t>
      </w:r>
      <w:r>
        <w:rPr>
          <w:color w:val="383436"/>
          <w:spacing w:val="-18"/>
          <w:w w:val="110"/>
        </w:rPr>
        <w:t> </w:t>
      </w:r>
      <w:r>
        <w:rPr>
          <w:color w:val="383436"/>
          <w:w w:val="110"/>
        </w:rPr>
        <w:t>for</w:t>
      </w:r>
      <w:r>
        <w:rPr>
          <w:color w:val="383436"/>
          <w:spacing w:val="-15"/>
          <w:w w:val="110"/>
        </w:rPr>
        <w:t> </w:t>
      </w:r>
      <w:r>
        <w:rPr>
          <w:color w:val="383436"/>
          <w:w w:val="110"/>
        </w:rPr>
        <w:t>motion</w:t>
      </w:r>
      <w:r>
        <w:rPr>
          <w:color w:val="383436"/>
          <w:spacing w:val="-9"/>
          <w:w w:val="110"/>
        </w:rPr>
        <w:t> </w:t>
      </w:r>
      <w:r>
        <w:rPr>
          <w:color w:val="383436"/>
          <w:w w:val="110"/>
        </w:rPr>
        <w:t>briefs</w:t>
      </w:r>
      <w:r>
        <w:rPr>
          <w:color w:val="383436"/>
          <w:spacing w:val="-27"/>
          <w:w w:val="110"/>
        </w:rPr>
        <w:t> </w:t>
      </w:r>
      <w:r>
        <w:rPr>
          <w:color w:val="383436"/>
          <w:w w:val="110"/>
        </w:rPr>
        <w:t>or oral</w:t>
      </w:r>
      <w:r>
        <w:rPr>
          <w:color w:val="383436"/>
          <w:spacing w:val="-31"/>
          <w:w w:val="110"/>
        </w:rPr>
        <w:t> </w:t>
      </w:r>
      <w:r>
        <w:rPr>
          <w:color w:val="383436"/>
          <w:w w:val="110"/>
        </w:rPr>
        <w:t>argu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ments. This link shows a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standing order regarding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civil motions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for sum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mary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judgment:</w:t>
      </w:r>
      <w:r>
        <w:rPr>
          <w:color w:val="383436"/>
          <w:spacing w:val="1"/>
          <w:w w:val="110"/>
        </w:rPr>
        <w:t> </w:t>
      </w:r>
      <w:hyperlink r:id="rId388">
        <w:r>
          <w:rPr>
            <w:color w:val="383436"/>
            <w:w w:val="110"/>
          </w:rPr>
          <w:t>http://www</w:t>
        </w:r>
        <w:r>
          <w:rPr>
            <w:color w:val="4F4F52"/>
            <w:w w:val="110"/>
          </w:rPr>
          <w:t>.</w:t>
        </w:r>
        <w:r>
          <w:rPr>
            <w:color w:val="383436"/>
            <w:w w:val="110"/>
          </w:rPr>
          <w:t>ohsd</w:t>
        </w:r>
        <w:r>
          <w:rPr>
            <w:color w:val="4F4F52"/>
            <w:w w:val="110"/>
          </w:rPr>
          <w:t>.</w:t>
        </w:r>
        <w:r>
          <w:rPr>
            <w:color w:val="383436"/>
            <w:w w:val="110"/>
          </w:rPr>
          <w:t>uscourts.gov/judges/dlott/standing%20</w:t>
        </w:r>
      </w:hyperlink>
      <w:r>
        <w:rPr>
          <w:color w:val="383436"/>
          <w:spacing w:val="-61"/>
          <w:w w:val="110"/>
        </w:rPr>
        <w:t> </w:t>
      </w:r>
      <w:r>
        <w:rPr>
          <w:color w:val="383436"/>
          <w:w w:val="110"/>
        </w:rPr>
        <w:t>order%20civil%20may%202014.pdf</w:t>
      </w:r>
    </w:p>
    <w:p>
      <w:pPr>
        <w:pStyle w:val="BodyText"/>
        <w:spacing w:line="232" w:lineRule="auto"/>
        <w:ind w:left="282" w:right="285" w:firstLine="338"/>
        <w:jc w:val="both"/>
      </w:pPr>
      <w:r>
        <w:rPr>
          <w:color w:val="383436"/>
          <w:w w:val="115"/>
        </w:rPr>
        <w:t>Instead of a formal "standing order," some judges may post tips or</w:t>
      </w:r>
      <w:r>
        <w:rPr>
          <w:color w:val="383436"/>
          <w:spacing w:val="1"/>
          <w:w w:val="115"/>
        </w:rPr>
        <w:t> </w:t>
      </w:r>
      <w:r>
        <w:rPr>
          <w:color w:val="383436"/>
          <w:w w:val="110"/>
        </w:rPr>
        <w:t>guid</w:t>
      </w:r>
      <w:r>
        <w:rPr>
          <w:color w:val="4F4F52"/>
          <w:w w:val="110"/>
        </w:rPr>
        <w:t>e</w:t>
      </w:r>
      <w:r>
        <w:rPr>
          <w:color w:val="383436"/>
          <w:w w:val="110"/>
        </w:rPr>
        <w:t>lines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for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practitioners:</w:t>
      </w:r>
      <w:r>
        <w:rPr>
          <w:color w:val="383436"/>
          <w:spacing w:val="1"/>
          <w:w w:val="110"/>
        </w:rPr>
        <w:t> </w:t>
      </w:r>
      <w:hyperlink r:id="rId389">
        <w:r>
          <w:rPr>
            <w:color w:val="383436"/>
            <w:w w:val="110"/>
          </w:rPr>
          <w:t>http://www.ohsd.uscourts.gov/judges/frost/</w:t>
        </w:r>
      </w:hyperlink>
      <w:r>
        <w:rPr>
          <w:color w:val="383436"/>
          <w:spacing w:val="1"/>
          <w:w w:val="110"/>
        </w:rPr>
        <w:t> </w:t>
      </w:r>
      <w:r>
        <w:rPr>
          <w:color w:val="383436"/>
          <w:w w:val="115"/>
        </w:rPr>
        <w:t>Practice%20Pointers%20revised%201-2013.pdf</w:t>
      </w:r>
    </w:p>
    <w:p>
      <w:pPr>
        <w:pStyle w:val="BodyText"/>
        <w:spacing w:line="230" w:lineRule="auto"/>
        <w:ind w:left="275" w:right="240" w:firstLine="345"/>
        <w:jc w:val="both"/>
      </w:pPr>
      <w:r>
        <w:rPr>
          <w:color w:val="383436"/>
          <w:spacing w:val="-1"/>
          <w:w w:val="110"/>
          <w:sz w:val="24"/>
        </w:rPr>
        <w:t>If</w:t>
      </w:r>
      <w:r>
        <w:rPr>
          <w:color w:val="383436"/>
          <w:spacing w:val="-13"/>
          <w:w w:val="110"/>
          <w:sz w:val="24"/>
        </w:rPr>
        <w:t> </w:t>
      </w:r>
      <w:r>
        <w:rPr>
          <w:color w:val="383436"/>
          <w:spacing w:val="-1"/>
          <w:w w:val="110"/>
        </w:rPr>
        <w:t>you</w:t>
      </w:r>
      <w:r>
        <w:rPr>
          <w:color w:val="383436"/>
          <w:spacing w:val="60"/>
          <w:w w:val="110"/>
        </w:rPr>
        <w:t> </w:t>
      </w:r>
      <w:r>
        <w:rPr>
          <w:color w:val="383436"/>
          <w:spacing w:val="-1"/>
          <w:w w:val="110"/>
        </w:rPr>
        <w:t>are</w:t>
      </w:r>
      <w:r>
        <w:rPr>
          <w:color w:val="383436"/>
          <w:spacing w:val="50"/>
          <w:w w:val="110"/>
        </w:rPr>
        <w:t> </w:t>
      </w:r>
      <w:r>
        <w:rPr>
          <w:color w:val="383436"/>
          <w:spacing w:val="-1"/>
          <w:w w:val="110"/>
        </w:rPr>
        <w:t>looking</w:t>
      </w:r>
      <w:r>
        <w:rPr>
          <w:color w:val="383436"/>
          <w:spacing w:val="-22"/>
          <w:w w:val="110"/>
        </w:rPr>
        <w:t> </w:t>
      </w:r>
      <w:r>
        <w:rPr>
          <w:color w:val="383436"/>
          <w:spacing w:val="-1"/>
          <w:w w:val="110"/>
        </w:rPr>
        <w:t>for</w:t>
      </w:r>
      <w:r>
        <w:rPr>
          <w:color w:val="383436"/>
          <w:spacing w:val="-15"/>
          <w:w w:val="110"/>
        </w:rPr>
        <w:t> </w:t>
      </w:r>
      <w:r>
        <w:rPr>
          <w:color w:val="383436"/>
          <w:w w:val="110"/>
        </w:rPr>
        <w:t>the</w:t>
      </w:r>
      <w:r>
        <w:rPr>
          <w:color w:val="383436"/>
          <w:spacing w:val="4"/>
          <w:w w:val="110"/>
        </w:rPr>
        <w:t> </w:t>
      </w:r>
      <w:r>
        <w:rPr>
          <w:color w:val="383436"/>
          <w:w w:val="110"/>
        </w:rPr>
        <w:t>rules</w:t>
      </w:r>
      <w:r>
        <w:rPr>
          <w:color w:val="383436"/>
          <w:spacing w:val="-33"/>
          <w:w w:val="110"/>
        </w:rPr>
        <w:t> </w:t>
      </w:r>
      <w:r>
        <w:rPr>
          <w:color w:val="383436"/>
          <w:w w:val="110"/>
        </w:rPr>
        <w:t>of</w:t>
      </w:r>
      <w:r>
        <w:rPr>
          <w:color w:val="383436"/>
          <w:spacing w:val="-12"/>
          <w:w w:val="110"/>
        </w:rPr>
        <w:t> </w:t>
      </w:r>
      <w:r>
        <w:rPr>
          <w:color w:val="383436"/>
          <w:w w:val="110"/>
        </w:rPr>
        <w:t>a</w:t>
      </w:r>
      <w:r>
        <w:rPr>
          <w:color w:val="383436"/>
          <w:spacing w:val="-3"/>
          <w:w w:val="110"/>
        </w:rPr>
        <w:t> </w:t>
      </w:r>
      <w:r>
        <w:rPr>
          <w:color w:val="383436"/>
          <w:w w:val="110"/>
        </w:rPr>
        <w:t>particular</w:t>
      </w:r>
      <w:r>
        <w:rPr>
          <w:color w:val="383436"/>
          <w:spacing w:val="-13"/>
          <w:w w:val="110"/>
        </w:rPr>
        <w:t> </w:t>
      </w:r>
      <w:r>
        <w:rPr>
          <w:color w:val="383436"/>
          <w:w w:val="110"/>
        </w:rPr>
        <w:t>court,</w:t>
      </w:r>
      <w:r>
        <w:rPr>
          <w:color w:val="383436"/>
          <w:spacing w:val="-23"/>
          <w:w w:val="110"/>
        </w:rPr>
        <w:t> </w:t>
      </w:r>
      <w:r>
        <w:rPr>
          <w:color w:val="383436"/>
          <w:w w:val="110"/>
        </w:rPr>
        <w:t>search</w:t>
      </w:r>
      <w:r>
        <w:rPr>
          <w:color w:val="383436"/>
          <w:spacing w:val="-16"/>
          <w:w w:val="110"/>
        </w:rPr>
        <w:t> </w:t>
      </w:r>
      <w:r>
        <w:rPr>
          <w:color w:val="383436"/>
          <w:w w:val="110"/>
        </w:rPr>
        <w:t>for</w:t>
      </w:r>
      <w:r>
        <w:rPr>
          <w:color w:val="383436"/>
          <w:spacing w:val="-7"/>
          <w:w w:val="110"/>
        </w:rPr>
        <w:t> </w:t>
      </w:r>
      <w:r>
        <w:rPr>
          <w:color w:val="383436"/>
          <w:w w:val="110"/>
        </w:rPr>
        <w:t>the</w:t>
      </w:r>
      <w:r>
        <w:rPr>
          <w:color w:val="383436"/>
          <w:spacing w:val="16"/>
          <w:w w:val="110"/>
        </w:rPr>
        <w:t> </w:t>
      </w:r>
      <w:r>
        <w:rPr>
          <w:color w:val="383436"/>
          <w:w w:val="110"/>
        </w:rPr>
        <w:t>court</w:t>
      </w:r>
      <w:r>
        <w:rPr>
          <w:color w:val="383436"/>
          <w:spacing w:val="1"/>
          <w:w w:val="110"/>
        </w:rPr>
        <w:t> </w:t>
      </w:r>
      <w:r>
        <w:rPr>
          <w:rFonts w:ascii="Arial" w:hAnsi="Arial"/>
          <w:color w:val="383436"/>
          <w:spacing w:val="-1"/>
          <w:w w:val="115"/>
          <w:sz w:val="21"/>
        </w:rPr>
        <w:t>by </w:t>
      </w:r>
      <w:r>
        <w:rPr>
          <w:color w:val="383436"/>
          <w:spacing w:val="-1"/>
          <w:w w:val="115"/>
        </w:rPr>
        <w:t>its full name</w:t>
      </w:r>
      <w:r>
        <w:rPr>
          <w:color w:val="4F4F52"/>
          <w:spacing w:val="-1"/>
          <w:w w:val="115"/>
        </w:rPr>
        <w:t>, </w:t>
      </w:r>
      <w:r>
        <w:rPr>
          <w:color w:val="383436"/>
          <w:spacing w:val="-1"/>
          <w:w w:val="115"/>
        </w:rPr>
        <w:t>and then look on the main page </w:t>
      </w:r>
      <w:r>
        <w:rPr>
          <w:color w:val="383436"/>
          <w:w w:val="115"/>
        </w:rPr>
        <w:t>for a link to the court's</w:t>
      </w:r>
      <w:r>
        <w:rPr>
          <w:color w:val="383436"/>
          <w:spacing w:val="1"/>
          <w:w w:val="115"/>
        </w:rPr>
        <w:t> </w:t>
      </w:r>
      <w:r>
        <w:rPr>
          <w:color w:val="383436"/>
          <w:w w:val="110"/>
        </w:rPr>
        <w:t>rules. Be careful when searching. Sites other than the court's official web­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5"/>
        </w:rPr>
        <w:t>site may give you inaccurate information or no information due to </w:t>
      </w:r>
      <w:r>
        <w:rPr>
          <w:color w:val="383436"/>
          <w:w w:val="115"/>
          <w:sz w:val="22"/>
        </w:rPr>
        <w:t>"link</w:t>
      </w:r>
      <w:r>
        <w:rPr>
          <w:color w:val="383436"/>
          <w:spacing w:val="1"/>
          <w:w w:val="115"/>
          <w:sz w:val="22"/>
        </w:rPr>
        <w:t> </w:t>
      </w:r>
      <w:r>
        <w:rPr>
          <w:color w:val="383436"/>
          <w:w w:val="110"/>
        </w:rPr>
        <w:t>rot" or other problems. Be </w:t>
      </w:r>
      <w:r>
        <w:rPr>
          <w:color w:val="4F4F52"/>
          <w:w w:val="110"/>
        </w:rPr>
        <w:t>s</w:t>
      </w:r>
      <w:r>
        <w:rPr>
          <w:color w:val="383436"/>
          <w:w w:val="110"/>
        </w:rPr>
        <w:t>ure to link to the court's official website (per­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5"/>
        </w:rPr>
        <w:t>haps designated with a "dot-gov" url) so that you can be certain to have</w:t>
      </w:r>
      <w:r>
        <w:rPr>
          <w:color w:val="383436"/>
          <w:spacing w:val="1"/>
          <w:w w:val="115"/>
        </w:rPr>
        <w:t> </w:t>
      </w:r>
      <w:r>
        <w:rPr>
          <w:color w:val="383436"/>
          <w:w w:val="110"/>
        </w:rPr>
        <w:t>the most up-to-date rules</w:t>
      </w:r>
      <w:r>
        <w:rPr>
          <w:color w:val="4F4F52"/>
          <w:w w:val="110"/>
        </w:rPr>
        <w:t>. </w:t>
      </w:r>
      <w:r>
        <w:rPr>
          <w:color w:val="383436"/>
          <w:w w:val="110"/>
        </w:rPr>
        <w:t>Useful search term</w:t>
      </w:r>
      <w:r>
        <w:rPr>
          <w:color w:val="4F4F52"/>
          <w:w w:val="110"/>
        </w:rPr>
        <w:t>s </w:t>
      </w:r>
      <w:r>
        <w:rPr>
          <w:color w:val="383436"/>
          <w:w w:val="110"/>
        </w:rPr>
        <w:t>include phrases like "stand­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ing orders," "standard orders," "general orders," "forms and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procedures,"</w:t>
      </w:r>
      <w:r>
        <w:rPr>
          <w:color w:val="383436"/>
          <w:spacing w:val="1"/>
          <w:w w:val="110"/>
        </w:rPr>
        <w:t> </w:t>
      </w:r>
      <w:r>
        <w:rPr>
          <w:color w:val="383436"/>
          <w:w w:val="110"/>
        </w:rPr>
        <w:t>and,</w:t>
      </w:r>
      <w:r>
        <w:rPr>
          <w:color w:val="383436"/>
          <w:spacing w:val="-10"/>
          <w:w w:val="110"/>
        </w:rPr>
        <w:t> </w:t>
      </w:r>
      <w:r>
        <w:rPr>
          <w:color w:val="383436"/>
          <w:w w:val="110"/>
        </w:rPr>
        <w:t>of</w:t>
      </w:r>
      <w:r>
        <w:rPr>
          <w:color w:val="383436"/>
          <w:spacing w:val="4"/>
          <w:w w:val="110"/>
        </w:rPr>
        <w:t> </w:t>
      </w:r>
      <w:r>
        <w:rPr>
          <w:color w:val="383436"/>
          <w:w w:val="110"/>
        </w:rPr>
        <w:t>course,</w:t>
      </w:r>
      <w:r>
        <w:rPr>
          <w:color w:val="383436"/>
          <w:spacing w:val="-12"/>
          <w:w w:val="110"/>
        </w:rPr>
        <w:t> </w:t>
      </w:r>
      <w:r>
        <w:rPr>
          <w:color w:val="383436"/>
          <w:w w:val="110"/>
        </w:rPr>
        <w:t>"local</w:t>
      </w:r>
      <w:r>
        <w:rPr>
          <w:color w:val="383436"/>
          <w:spacing w:val="8"/>
          <w:w w:val="110"/>
        </w:rPr>
        <w:t> </w:t>
      </w:r>
      <w:r>
        <w:rPr>
          <w:color w:val="383436"/>
          <w:w w:val="110"/>
        </w:rPr>
        <w:t>rules."</w:t>
      </w:r>
    </w:p>
    <w:p>
      <w:pPr>
        <w:spacing w:after="0" w:line="230" w:lineRule="auto"/>
        <w:jc w:val="both"/>
        <w:sectPr>
          <w:type w:val="continuous"/>
          <w:pgSz w:w="9480" w:h="14010"/>
          <w:pgMar w:header="521" w:footer="0" w:top="340" w:bottom="280" w:left="0" w:right="1320"/>
        </w:sectPr>
      </w:pPr>
    </w:p>
    <w:p>
      <w:pPr>
        <w:spacing w:before="80"/>
        <w:ind w:left="559" w:right="0" w:firstLine="0"/>
        <w:jc w:val="both"/>
        <w:rPr>
          <w:sz w:val="17"/>
        </w:rPr>
      </w:pPr>
      <w:r>
        <w:rPr>
          <w:rFonts w:ascii="Arial"/>
          <w:color w:val="363434"/>
          <w:spacing w:val="-1"/>
          <w:w w:val="95"/>
          <w:sz w:val="32"/>
          <w:u w:val="thick" w:color="363434"/>
        </w:rPr>
        <w:t>-V</w:t>
      </w:r>
      <w:r>
        <w:rPr>
          <w:rFonts w:ascii="Arial"/>
          <w:color w:val="363434"/>
          <w:spacing w:val="-15"/>
          <w:w w:val="95"/>
          <w:sz w:val="32"/>
          <w:u w:val="thick" w:color="363434"/>
        </w:rPr>
        <w:t> </w:t>
      </w:r>
      <w:r>
        <w:rPr>
          <w:color w:val="363434"/>
          <w:w w:val="95"/>
          <w:sz w:val="17"/>
          <w:u w:val="thick" w:color="363434"/>
        </w:rPr>
        <w:t>BAD</w:t>
      </w:r>
      <w:r>
        <w:rPr>
          <w:color w:val="363434"/>
          <w:spacing w:val="-8"/>
          <w:w w:val="95"/>
          <w:sz w:val="17"/>
          <w:u w:val="thick" w:color="363434"/>
        </w:rPr>
        <w:t> </w:t>
      </w:r>
      <w:r>
        <w:rPr>
          <w:color w:val="363434"/>
          <w:w w:val="95"/>
          <w:sz w:val="17"/>
          <w:u w:val="thick" w:color="363434"/>
        </w:rPr>
        <w:t>EXAMPLE</w:t>
      </w:r>
    </w:p>
    <w:p>
      <w:pPr>
        <w:spacing w:before="45"/>
        <w:ind w:left="966" w:right="0" w:firstLine="0"/>
        <w:jc w:val="left"/>
        <w:rPr>
          <w:b/>
          <w:sz w:val="21"/>
        </w:rPr>
      </w:pPr>
      <w:r>
        <w:rPr>
          <w:b/>
          <w:color w:val="363434"/>
          <w:w w:val="105"/>
          <w:sz w:val="21"/>
        </w:rPr>
        <w:t>The  </w:t>
      </w:r>
      <w:r>
        <w:rPr>
          <w:b/>
          <w:color w:val="363434"/>
          <w:spacing w:val="9"/>
          <w:w w:val="105"/>
          <w:sz w:val="21"/>
        </w:rPr>
        <w:t> </w:t>
      </w:r>
      <w:r>
        <w:rPr>
          <w:b/>
          <w:color w:val="363434"/>
          <w:w w:val="105"/>
          <w:sz w:val="21"/>
        </w:rPr>
        <w:t>infamous</w:t>
      </w:r>
      <w:r>
        <w:rPr>
          <w:b/>
          <w:color w:val="363434"/>
          <w:spacing w:val="22"/>
          <w:w w:val="105"/>
          <w:sz w:val="21"/>
        </w:rPr>
        <w:t> </w:t>
      </w:r>
      <w:r>
        <w:rPr>
          <w:b/>
          <w:color w:val="363434"/>
          <w:w w:val="105"/>
          <w:sz w:val="21"/>
        </w:rPr>
        <w:t>rule</w:t>
      </w:r>
      <w:r>
        <w:rPr>
          <w:b/>
          <w:color w:val="363434"/>
          <w:spacing w:val="-5"/>
          <w:w w:val="105"/>
          <w:sz w:val="21"/>
        </w:rPr>
        <w:t> </w:t>
      </w:r>
      <w:r>
        <w:rPr>
          <w:b/>
          <w:color w:val="363434"/>
          <w:w w:val="105"/>
          <w:sz w:val="21"/>
        </w:rPr>
        <w:t>against</w:t>
      </w:r>
      <w:r>
        <w:rPr>
          <w:b/>
          <w:color w:val="363434"/>
          <w:spacing w:val="2"/>
          <w:w w:val="105"/>
          <w:sz w:val="21"/>
        </w:rPr>
        <w:t> </w:t>
      </w:r>
      <w:r>
        <w:rPr>
          <w:b/>
          <w:color w:val="363434"/>
          <w:w w:val="105"/>
          <w:sz w:val="21"/>
        </w:rPr>
        <w:t>perpetuities,</w:t>
      </w:r>
      <w:r>
        <w:rPr>
          <w:b/>
          <w:color w:val="363434"/>
          <w:spacing w:val="27"/>
          <w:w w:val="105"/>
          <w:sz w:val="21"/>
        </w:rPr>
        <w:t> </w:t>
      </w:r>
      <w:r>
        <w:rPr>
          <w:b/>
          <w:color w:val="363434"/>
          <w:w w:val="105"/>
          <w:sz w:val="21"/>
        </w:rPr>
        <w:t>is</w:t>
      </w:r>
      <w:r>
        <w:rPr>
          <w:b/>
          <w:color w:val="363434"/>
          <w:spacing w:val="16"/>
          <w:w w:val="105"/>
          <w:sz w:val="21"/>
        </w:rPr>
        <w:t> </w:t>
      </w:r>
      <w:r>
        <w:rPr>
          <w:b/>
          <w:color w:val="363434"/>
          <w:w w:val="105"/>
          <w:sz w:val="21"/>
        </w:rPr>
        <w:t>hard</w:t>
      </w:r>
      <w:r>
        <w:rPr>
          <w:b/>
          <w:color w:val="363434"/>
          <w:spacing w:val="6"/>
          <w:w w:val="105"/>
          <w:sz w:val="21"/>
        </w:rPr>
        <w:t> </w:t>
      </w:r>
      <w:r>
        <w:rPr>
          <w:b/>
          <w:color w:val="363434"/>
          <w:w w:val="105"/>
          <w:sz w:val="21"/>
        </w:rPr>
        <w:t>to</w:t>
      </w:r>
      <w:r>
        <w:rPr>
          <w:b/>
          <w:color w:val="363434"/>
          <w:spacing w:val="27"/>
          <w:w w:val="105"/>
          <w:sz w:val="21"/>
        </w:rPr>
        <w:t> </w:t>
      </w:r>
      <w:r>
        <w:rPr>
          <w:b/>
          <w:color w:val="363434"/>
          <w:w w:val="105"/>
          <w:sz w:val="21"/>
        </w:rPr>
        <w:t>understand.</w:t>
      </w:r>
    </w:p>
    <w:p>
      <w:pPr>
        <w:spacing w:before="107"/>
        <w:ind w:left="550" w:right="0" w:firstLine="0"/>
        <w:jc w:val="both"/>
        <w:rPr>
          <w:sz w:val="17"/>
        </w:rPr>
      </w:pPr>
      <w:r>
        <w:rPr>
          <w:color w:val="605E60"/>
          <w:w w:val="90"/>
          <w:sz w:val="26"/>
          <w:u w:val="thick" w:color="363434"/>
        </w:rPr>
        <w:t>..,0</w:t>
      </w:r>
      <w:r>
        <w:rPr>
          <w:color w:val="363434"/>
          <w:w w:val="90"/>
          <w:sz w:val="26"/>
          <w:u w:val="thick" w:color="363434"/>
        </w:rPr>
        <w:t>, </w:t>
      </w:r>
      <w:r>
        <w:rPr>
          <w:color w:val="363434"/>
          <w:w w:val="90"/>
          <w:sz w:val="17"/>
          <w:u w:val="thick" w:color="363434"/>
        </w:rPr>
        <w:t>GOOD</w:t>
      </w:r>
      <w:r>
        <w:rPr>
          <w:color w:val="363434"/>
          <w:spacing w:val="17"/>
          <w:w w:val="90"/>
          <w:sz w:val="17"/>
          <w:u w:val="thick" w:color="363434"/>
        </w:rPr>
        <w:t> </w:t>
      </w:r>
      <w:r>
        <w:rPr>
          <w:color w:val="363434"/>
          <w:w w:val="90"/>
          <w:sz w:val="17"/>
          <w:u w:val="thick" w:color="363434"/>
        </w:rPr>
        <w:t>EXAMPLES</w:t>
      </w:r>
    </w:p>
    <w:p>
      <w:pPr>
        <w:spacing w:line="241" w:lineRule="exact" w:before="66"/>
        <w:ind w:left="966" w:right="0" w:firstLine="0"/>
        <w:jc w:val="left"/>
        <w:rPr>
          <w:b/>
          <w:sz w:val="21"/>
        </w:rPr>
      </w:pPr>
      <w:r>
        <w:rPr>
          <w:b/>
          <w:color w:val="363434"/>
          <w:w w:val="105"/>
          <w:sz w:val="21"/>
        </w:rPr>
        <w:t>The </w:t>
      </w:r>
      <w:r>
        <w:rPr>
          <w:b/>
          <w:color w:val="363434"/>
          <w:spacing w:val="49"/>
          <w:w w:val="105"/>
          <w:sz w:val="21"/>
        </w:rPr>
        <w:t> </w:t>
      </w:r>
      <w:r>
        <w:rPr>
          <w:b/>
          <w:color w:val="363434"/>
          <w:w w:val="105"/>
          <w:sz w:val="21"/>
        </w:rPr>
        <w:t>infamous</w:t>
      </w:r>
      <w:r>
        <w:rPr>
          <w:b/>
          <w:color w:val="363434"/>
          <w:spacing w:val="22"/>
          <w:w w:val="105"/>
          <w:sz w:val="21"/>
        </w:rPr>
        <w:t> </w:t>
      </w:r>
      <w:r>
        <w:rPr>
          <w:b/>
          <w:color w:val="363434"/>
          <w:w w:val="105"/>
          <w:sz w:val="21"/>
        </w:rPr>
        <w:t>rule</w:t>
      </w:r>
      <w:r>
        <w:rPr>
          <w:b/>
          <w:color w:val="363434"/>
          <w:spacing w:val="-5"/>
          <w:w w:val="105"/>
          <w:sz w:val="21"/>
        </w:rPr>
        <w:t> </w:t>
      </w:r>
      <w:r>
        <w:rPr>
          <w:b/>
          <w:color w:val="363434"/>
          <w:w w:val="105"/>
          <w:sz w:val="21"/>
        </w:rPr>
        <w:t>against</w:t>
      </w:r>
      <w:r>
        <w:rPr>
          <w:b/>
          <w:color w:val="363434"/>
          <w:spacing w:val="15"/>
          <w:w w:val="105"/>
          <w:sz w:val="21"/>
        </w:rPr>
        <w:t> </w:t>
      </w:r>
      <w:r>
        <w:rPr>
          <w:b/>
          <w:color w:val="363434"/>
          <w:w w:val="105"/>
          <w:sz w:val="21"/>
        </w:rPr>
        <w:t>perpetuities</w:t>
      </w:r>
      <w:r>
        <w:rPr>
          <w:b/>
          <w:color w:val="363434"/>
          <w:spacing w:val="1"/>
          <w:w w:val="105"/>
          <w:sz w:val="21"/>
        </w:rPr>
        <w:t> </w:t>
      </w:r>
      <w:r>
        <w:rPr>
          <w:rFonts w:ascii="Arial"/>
          <w:color w:val="363434"/>
          <w:w w:val="105"/>
          <w:sz w:val="19"/>
        </w:rPr>
        <w:t>is</w:t>
      </w:r>
      <w:r>
        <w:rPr>
          <w:rFonts w:ascii="Arial"/>
          <w:color w:val="363434"/>
          <w:spacing w:val="31"/>
          <w:w w:val="105"/>
          <w:sz w:val="19"/>
        </w:rPr>
        <w:t> </w:t>
      </w:r>
      <w:r>
        <w:rPr>
          <w:b/>
          <w:color w:val="363434"/>
          <w:w w:val="105"/>
          <w:sz w:val="21"/>
        </w:rPr>
        <w:t>hard</w:t>
      </w:r>
      <w:r>
        <w:rPr>
          <w:b/>
          <w:color w:val="363434"/>
          <w:spacing w:val="5"/>
          <w:w w:val="105"/>
          <w:sz w:val="21"/>
        </w:rPr>
        <w:t> </w:t>
      </w:r>
      <w:r>
        <w:rPr>
          <w:b/>
          <w:color w:val="363434"/>
          <w:w w:val="105"/>
          <w:sz w:val="21"/>
        </w:rPr>
        <w:t>to</w:t>
      </w:r>
      <w:r>
        <w:rPr>
          <w:b/>
          <w:color w:val="363434"/>
          <w:spacing w:val="27"/>
          <w:w w:val="105"/>
          <w:sz w:val="21"/>
        </w:rPr>
        <w:t> </w:t>
      </w:r>
      <w:r>
        <w:rPr>
          <w:b/>
          <w:color w:val="363434"/>
          <w:w w:val="105"/>
          <w:sz w:val="21"/>
        </w:rPr>
        <w:t>understand.</w:t>
      </w:r>
    </w:p>
    <w:p>
      <w:pPr>
        <w:spacing w:line="236" w:lineRule="exact" w:before="0"/>
        <w:ind w:left="968" w:right="0" w:firstLine="0"/>
        <w:jc w:val="left"/>
        <w:rPr>
          <w:sz w:val="21"/>
        </w:rPr>
      </w:pPr>
      <w:r>
        <w:rPr>
          <w:color w:val="363434"/>
          <w:w w:val="110"/>
          <w:sz w:val="21"/>
        </w:rPr>
        <w:t>The</w:t>
      </w:r>
      <w:r>
        <w:rPr>
          <w:color w:val="363434"/>
          <w:spacing w:val="25"/>
          <w:w w:val="110"/>
          <w:sz w:val="21"/>
        </w:rPr>
        <w:t> </w:t>
      </w:r>
      <w:r>
        <w:rPr>
          <w:b/>
          <w:color w:val="363434"/>
          <w:w w:val="110"/>
          <w:sz w:val="21"/>
        </w:rPr>
        <w:t>infamous</w:t>
      </w:r>
      <w:r>
        <w:rPr>
          <w:b/>
          <w:color w:val="363434"/>
          <w:spacing w:val="29"/>
          <w:w w:val="110"/>
          <w:sz w:val="21"/>
        </w:rPr>
        <w:t> </w:t>
      </w:r>
      <w:r>
        <w:rPr>
          <w:b/>
          <w:color w:val="363434"/>
          <w:w w:val="110"/>
          <w:sz w:val="21"/>
        </w:rPr>
        <w:t>rule</w:t>
      </w:r>
      <w:r>
        <w:rPr>
          <w:b/>
          <w:color w:val="363434"/>
          <w:spacing w:val="18"/>
          <w:w w:val="110"/>
          <w:sz w:val="21"/>
        </w:rPr>
        <w:t> </w:t>
      </w:r>
      <w:r>
        <w:rPr>
          <w:b/>
          <w:color w:val="363434"/>
          <w:w w:val="110"/>
          <w:sz w:val="21"/>
        </w:rPr>
        <w:t>against</w:t>
      </w:r>
      <w:r>
        <w:rPr>
          <w:b/>
          <w:color w:val="363434"/>
          <w:spacing w:val="36"/>
          <w:w w:val="110"/>
          <w:sz w:val="21"/>
        </w:rPr>
        <w:t> </w:t>
      </w:r>
      <w:r>
        <w:rPr>
          <w:b/>
          <w:color w:val="363434"/>
          <w:w w:val="110"/>
          <w:sz w:val="21"/>
        </w:rPr>
        <w:t>perpetuities,</w:t>
      </w:r>
      <w:r>
        <w:rPr>
          <w:b/>
          <w:color w:val="363434"/>
          <w:spacing w:val="50"/>
          <w:w w:val="110"/>
          <w:sz w:val="21"/>
        </w:rPr>
        <w:t> </w:t>
      </w:r>
      <w:r>
        <w:rPr>
          <w:color w:val="363434"/>
          <w:w w:val="110"/>
          <w:sz w:val="21"/>
        </w:rPr>
        <w:t>which</w:t>
      </w:r>
      <w:r>
        <w:rPr>
          <w:color w:val="363434"/>
          <w:spacing w:val="34"/>
          <w:w w:val="110"/>
          <w:sz w:val="21"/>
        </w:rPr>
        <w:t> </w:t>
      </w:r>
      <w:r>
        <w:rPr>
          <w:b/>
          <w:color w:val="363434"/>
          <w:w w:val="110"/>
          <w:sz w:val="21"/>
        </w:rPr>
        <w:t>is</w:t>
      </w:r>
      <w:r>
        <w:rPr>
          <w:b/>
          <w:color w:val="363434"/>
          <w:spacing w:val="24"/>
          <w:w w:val="110"/>
          <w:sz w:val="21"/>
        </w:rPr>
        <w:t> </w:t>
      </w:r>
      <w:r>
        <w:rPr>
          <w:b/>
          <w:color w:val="363434"/>
          <w:w w:val="110"/>
          <w:sz w:val="21"/>
        </w:rPr>
        <w:t>the</w:t>
      </w:r>
      <w:r>
        <w:rPr>
          <w:b/>
          <w:color w:val="363434"/>
          <w:spacing w:val="17"/>
          <w:w w:val="110"/>
          <w:sz w:val="21"/>
        </w:rPr>
        <w:t> </w:t>
      </w:r>
      <w:r>
        <w:rPr>
          <w:b/>
          <w:color w:val="363434"/>
          <w:w w:val="110"/>
          <w:sz w:val="21"/>
        </w:rPr>
        <w:t>bane</w:t>
      </w:r>
      <w:r>
        <w:rPr>
          <w:b/>
          <w:color w:val="363434"/>
          <w:spacing w:val="10"/>
          <w:w w:val="110"/>
          <w:sz w:val="21"/>
        </w:rPr>
        <w:t> </w:t>
      </w:r>
      <w:r>
        <w:rPr>
          <w:b/>
          <w:color w:val="363434"/>
          <w:w w:val="110"/>
          <w:sz w:val="21"/>
        </w:rPr>
        <w:t>of</w:t>
      </w:r>
      <w:r>
        <w:rPr>
          <w:b/>
          <w:color w:val="363434"/>
          <w:spacing w:val="41"/>
          <w:w w:val="110"/>
          <w:sz w:val="21"/>
        </w:rPr>
        <w:t> </w:t>
      </w:r>
      <w:r>
        <w:rPr>
          <w:color w:val="363434"/>
          <w:w w:val="110"/>
          <w:sz w:val="21"/>
        </w:rPr>
        <w:t>many</w:t>
      </w:r>
    </w:p>
    <w:p>
      <w:pPr>
        <w:spacing w:line="236" w:lineRule="exact" w:before="0"/>
        <w:ind w:left="970" w:right="0" w:firstLine="0"/>
        <w:jc w:val="left"/>
        <w:rPr>
          <w:b/>
          <w:sz w:val="21"/>
        </w:rPr>
      </w:pPr>
      <w:r>
        <w:rPr>
          <w:b/>
          <w:color w:val="363434"/>
          <w:spacing w:val="-1"/>
          <w:w w:val="110"/>
          <w:sz w:val="21"/>
        </w:rPr>
        <w:t>lawyers,</w:t>
      </w:r>
      <w:r>
        <w:rPr>
          <w:b/>
          <w:color w:val="363434"/>
          <w:spacing w:val="-4"/>
          <w:w w:val="110"/>
          <w:sz w:val="21"/>
        </w:rPr>
        <w:t> </w:t>
      </w:r>
      <w:r>
        <w:rPr>
          <w:b/>
          <w:color w:val="363434"/>
          <w:w w:val="110"/>
          <w:sz w:val="21"/>
        </w:rPr>
        <w:t>is</w:t>
      </w:r>
      <w:r>
        <w:rPr>
          <w:b/>
          <w:color w:val="363434"/>
          <w:spacing w:val="-6"/>
          <w:w w:val="110"/>
          <w:sz w:val="21"/>
        </w:rPr>
        <w:t> </w:t>
      </w:r>
      <w:r>
        <w:rPr>
          <w:b/>
          <w:color w:val="363434"/>
          <w:w w:val="110"/>
          <w:sz w:val="21"/>
        </w:rPr>
        <w:t>hard</w:t>
      </w:r>
      <w:r>
        <w:rPr>
          <w:b/>
          <w:color w:val="363434"/>
          <w:spacing w:val="-14"/>
          <w:w w:val="110"/>
          <w:sz w:val="21"/>
        </w:rPr>
        <w:t> </w:t>
      </w:r>
      <w:r>
        <w:rPr>
          <w:b/>
          <w:color w:val="363434"/>
          <w:w w:val="110"/>
          <w:sz w:val="21"/>
        </w:rPr>
        <w:t>to</w:t>
      </w:r>
      <w:r>
        <w:rPr>
          <w:b/>
          <w:color w:val="363434"/>
          <w:spacing w:val="1"/>
          <w:w w:val="110"/>
          <w:sz w:val="21"/>
        </w:rPr>
        <w:t> </w:t>
      </w:r>
      <w:r>
        <w:rPr>
          <w:b/>
          <w:color w:val="363434"/>
          <w:w w:val="110"/>
          <w:sz w:val="21"/>
        </w:rPr>
        <w:t>understand.</w:t>
      </w:r>
    </w:p>
    <w:p>
      <w:pPr>
        <w:pStyle w:val="BodyText"/>
        <w:spacing w:line="232" w:lineRule="auto" w:before="151"/>
        <w:ind w:left="589" w:right="105" w:firstLine="1"/>
        <w:jc w:val="both"/>
      </w:pPr>
      <w:r>
        <w:rPr>
          <w:color w:val="363434"/>
          <w:w w:val="110"/>
        </w:rPr>
        <w:t>This appendix is by no means comprehensive. If you have problems that</w:t>
      </w:r>
      <w:r>
        <w:rPr>
          <w:color w:val="363434"/>
          <w:spacing w:val="1"/>
          <w:w w:val="110"/>
        </w:rPr>
        <w:t> </w:t>
      </w:r>
      <w:r>
        <w:rPr>
          <w:color w:val="363434"/>
          <w:w w:val="110"/>
        </w:rPr>
        <w:t>are not</w:t>
      </w:r>
      <w:r>
        <w:rPr>
          <w:color w:val="363434"/>
          <w:spacing w:val="1"/>
          <w:w w:val="110"/>
        </w:rPr>
        <w:t> </w:t>
      </w:r>
      <w:r>
        <w:rPr>
          <w:color w:val="484649"/>
          <w:w w:val="110"/>
        </w:rPr>
        <w:t>covered </w:t>
      </w:r>
      <w:r>
        <w:rPr>
          <w:color w:val="363434"/>
          <w:w w:val="110"/>
        </w:rPr>
        <w:t>here, you may wish to consult Anne Enquist &amp; Laurel</w:t>
      </w:r>
      <w:r>
        <w:rPr>
          <w:color w:val="363434"/>
          <w:spacing w:val="1"/>
          <w:w w:val="110"/>
        </w:rPr>
        <w:t> </w:t>
      </w:r>
      <w:r>
        <w:rPr>
          <w:color w:val="363434"/>
          <w:w w:val="105"/>
        </w:rPr>
        <w:t>Currie</w:t>
      </w:r>
      <w:r>
        <w:rPr>
          <w:color w:val="363434"/>
          <w:spacing w:val="-1"/>
          <w:w w:val="105"/>
        </w:rPr>
        <w:t> </w:t>
      </w:r>
      <w:r>
        <w:rPr>
          <w:color w:val="363434"/>
          <w:w w:val="105"/>
        </w:rPr>
        <w:t>Oates,</w:t>
      </w:r>
      <w:r>
        <w:rPr>
          <w:color w:val="363434"/>
          <w:spacing w:val="10"/>
          <w:w w:val="105"/>
        </w:rPr>
        <w:t> </w:t>
      </w:r>
      <w:r>
        <w:rPr>
          <w:i/>
          <w:color w:val="363434"/>
          <w:w w:val="105"/>
        </w:rPr>
        <w:t>Just</w:t>
      </w:r>
      <w:r>
        <w:rPr>
          <w:i/>
          <w:color w:val="363434"/>
          <w:spacing w:val="-20"/>
          <w:w w:val="105"/>
        </w:rPr>
        <w:t> </w:t>
      </w:r>
      <w:r>
        <w:rPr>
          <w:i/>
          <w:color w:val="363434"/>
          <w:w w:val="105"/>
        </w:rPr>
        <w:t>Writing</w:t>
      </w:r>
      <w:r>
        <w:rPr>
          <w:i/>
          <w:color w:val="363434"/>
          <w:spacing w:val="-4"/>
          <w:w w:val="105"/>
        </w:rPr>
        <w:t> </w:t>
      </w:r>
      <w:r>
        <w:rPr>
          <w:color w:val="363434"/>
          <w:w w:val="105"/>
        </w:rPr>
        <w:t>(4th</w:t>
      </w:r>
      <w:r>
        <w:rPr>
          <w:color w:val="363434"/>
          <w:spacing w:val="-5"/>
          <w:w w:val="105"/>
        </w:rPr>
        <w:t> </w:t>
      </w:r>
      <w:r>
        <w:rPr>
          <w:color w:val="363434"/>
          <w:w w:val="105"/>
        </w:rPr>
        <w:t>ed.,</w:t>
      </w:r>
      <w:r>
        <w:rPr>
          <w:color w:val="363434"/>
          <w:spacing w:val="-12"/>
          <w:w w:val="105"/>
        </w:rPr>
        <w:t> </w:t>
      </w:r>
      <w:r>
        <w:rPr>
          <w:color w:val="363434"/>
          <w:w w:val="105"/>
        </w:rPr>
        <w:t>Aspen</w:t>
      </w:r>
      <w:r>
        <w:rPr>
          <w:color w:val="363434"/>
          <w:spacing w:val="7"/>
          <w:w w:val="105"/>
        </w:rPr>
        <w:t> </w:t>
      </w:r>
      <w:r>
        <w:rPr>
          <w:rFonts w:ascii="Arial"/>
          <w:color w:val="363434"/>
          <w:w w:val="105"/>
          <w:sz w:val="21"/>
        </w:rPr>
        <w:t>2013),</w:t>
      </w:r>
      <w:r>
        <w:rPr>
          <w:rFonts w:ascii="Arial"/>
          <w:color w:val="363434"/>
          <w:spacing w:val="-13"/>
          <w:w w:val="105"/>
          <w:sz w:val="21"/>
        </w:rPr>
        <w:t> </w:t>
      </w:r>
      <w:r>
        <w:rPr>
          <w:color w:val="363434"/>
          <w:w w:val="105"/>
        </w:rPr>
        <w:t>or</w:t>
      </w:r>
      <w:r>
        <w:rPr>
          <w:color w:val="363434"/>
          <w:spacing w:val="17"/>
          <w:w w:val="105"/>
        </w:rPr>
        <w:t> </w:t>
      </w:r>
      <w:r>
        <w:rPr>
          <w:color w:val="363434"/>
          <w:w w:val="105"/>
        </w:rPr>
        <w:t>Mary</w:t>
      </w:r>
      <w:r>
        <w:rPr>
          <w:color w:val="363434"/>
          <w:spacing w:val="6"/>
          <w:w w:val="105"/>
        </w:rPr>
        <w:t> </w:t>
      </w:r>
      <w:r>
        <w:rPr>
          <w:color w:val="363434"/>
          <w:w w:val="105"/>
        </w:rPr>
        <w:t>Barnard</w:t>
      </w:r>
      <w:r>
        <w:rPr>
          <w:color w:val="363434"/>
          <w:spacing w:val="2"/>
          <w:w w:val="105"/>
        </w:rPr>
        <w:t> </w:t>
      </w:r>
      <w:r>
        <w:rPr>
          <w:rFonts w:ascii="Arial"/>
          <w:color w:val="363434"/>
          <w:w w:val="105"/>
          <w:sz w:val="21"/>
        </w:rPr>
        <w:t>Ray</w:t>
      </w:r>
      <w:r>
        <w:rPr>
          <w:rFonts w:ascii="Arial"/>
          <w:color w:val="363434"/>
          <w:spacing w:val="-15"/>
          <w:w w:val="105"/>
          <w:sz w:val="21"/>
        </w:rPr>
        <w:t> </w:t>
      </w:r>
      <w:r>
        <w:rPr>
          <w:color w:val="363434"/>
          <w:w w:val="105"/>
        </w:rPr>
        <w:t>&amp;Jill</w:t>
      </w:r>
    </w:p>
    <w:p>
      <w:pPr>
        <w:spacing w:line="258" w:lineRule="exact" w:before="0"/>
        <w:ind w:left="563" w:right="0" w:firstLine="0"/>
        <w:jc w:val="left"/>
        <w:rPr>
          <w:sz w:val="23"/>
        </w:rPr>
      </w:pPr>
      <w:r>
        <w:rPr>
          <w:color w:val="363434"/>
          <w:sz w:val="28"/>
        </w:rPr>
        <w:t>J.</w:t>
      </w:r>
      <w:r>
        <w:rPr>
          <w:color w:val="363434"/>
          <w:spacing w:val="1"/>
          <w:sz w:val="28"/>
        </w:rPr>
        <w:t> </w:t>
      </w:r>
      <w:r>
        <w:rPr>
          <w:color w:val="363434"/>
          <w:sz w:val="23"/>
        </w:rPr>
        <w:t>Ramsfield,</w:t>
      </w:r>
      <w:r>
        <w:rPr>
          <w:color w:val="363434"/>
          <w:spacing w:val="54"/>
          <w:sz w:val="23"/>
        </w:rPr>
        <w:t> </w:t>
      </w:r>
      <w:r>
        <w:rPr>
          <w:i/>
          <w:color w:val="363434"/>
          <w:sz w:val="23"/>
        </w:rPr>
        <w:t>Legal</w:t>
      </w:r>
      <w:r>
        <w:rPr>
          <w:i/>
          <w:color w:val="363434"/>
          <w:spacing w:val="44"/>
          <w:sz w:val="23"/>
        </w:rPr>
        <w:t> </w:t>
      </w:r>
      <w:r>
        <w:rPr>
          <w:i/>
          <w:color w:val="363434"/>
          <w:sz w:val="23"/>
        </w:rPr>
        <w:t>Writing:</w:t>
      </w:r>
      <w:r>
        <w:rPr>
          <w:i/>
          <w:color w:val="363434"/>
          <w:spacing w:val="19"/>
          <w:sz w:val="23"/>
        </w:rPr>
        <w:t> </w:t>
      </w:r>
      <w:r>
        <w:rPr>
          <w:i/>
          <w:color w:val="363434"/>
          <w:sz w:val="23"/>
        </w:rPr>
        <w:t>Getting</w:t>
      </w:r>
      <w:r>
        <w:rPr>
          <w:i/>
          <w:color w:val="363434"/>
          <w:spacing w:val="28"/>
          <w:sz w:val="23"/>
        </w:rPr>
        <w:t> </w:t>
      </w:r>
      <w:r>
        <w:rPr>
          <w:i/>
          <w:color w:val="363434"/>
          <w:sz w:val="23"/>
        </w:rPr>
        <w:t>It</w:t>
      </w:r>
      <w:r>
        <w:rPr>
          <w:i/>
          <w:color w:val="363434"/>
          <w:spacing w:val="52"/>
          <w:sz w:val="23"/>
        </w:rPr>
        <w:t> </w:t>
      </w:r>
      <w:r>
        <w:rPr>
          <w:i/>
          <w:color w:val="363434"/>
          <w:sz w:val="23"/>
        </w:rPr>
        <w:t>Right</w:t>
      </w:r>
      <w:r>
        <w:rPr>
          <w:i/>
          <w:color w:val="363434"/>
          <w:spacing w:val="19"/>
          <w:sz w:val="23"/>
        </w:rPr>
        <w:t> </w:t>
      </w:r>
      <w:r>
        <w:rPr>
          <w:i/>
          <w:color w:val="363434"/>
          <w:sz w:val="23"/>
        </w:rPr>
        <w:t>and</w:t>
      </w:r>
      <w:r>
        <w:rPr>
          <w:i/>
          <w:color w:val="363434"/>
          <w:spacing w:val="32"/>
          <w:sz w:val="23"/>
        </w:rPr>
        <w:t> </w:t>
      </w:r>
      <w:r>
        <w:rPr>
          <w:i/>
          <w:color w:val="363434"/>
          <w:sz w:val="23"/>
        </w:rPr>
        <w:t>Getting</w:t>
      </w:r>
      <w:r>
        <w:rPr>
          <w:i/>
          <w:color w:val="363434"/>
          <w:spacing w:val="40"/>
          <w:sz w:val="23"/>
        </w:rPr>
        <w:t> </w:t>
      </w:r>
      <w:r>
        <w:rPr>
          <w:i/>
          <w:color w:val="363434"/>
          <w:sz w:val="23"/>
        </w:rPr>
        <w:t>It</w:t>
      </w:r>
      <w:r>
        <w:rPr>
          <w:i/>
          <w:color w:val="363434"/>
          <w:spacing w:val="33"/>
          <w:sz w:val="23"/>
        </w:rPr>
        <w:t> </w:t>
      </w:r>
      <w:r>
        <w:rPr>
          <w:i/>
          <w:color w:val="363434"/>
          <w:sz w:val="23"/>
        </w:rPr>
        <w:t>Written</w:t>
      </w:r>
      <w:r>
        <w:rPr>
          <w:i/>
          <w:color w:val="363434"/>
          <w:spacing w:val="19"/>
          <w:sz w:val="23"/>
        </w:rPr>
        <w:t> </w:t>
      </w:r>
      <w:r>
        <w:rPr>
          <w:color w:val="484649"/>
          <w:sz w:val="23"/>
        </w:rPr>
        <w:t>(5th</w:t>
      </w:r>
      <w:r>
        <w:rPr>
          <w:color w:val="484649"/>
          <w:spacing w:val="14"/>
          <w:sz w:val="23"/>
        </w:rPr>
        <w:t> </w:t>
      </w:r>
      <w:r>
        <w:rPr>
          <w:color w:val="363434"/>
          <w:sz w:val="23"/>
        </w:rPr>
        <w:t>ed.,</w:t>
      </w:r>
    </w:p>
    <w:p>
      <w:pPr>
        <w:pStyle w:val="BodyText"/>
        <w:spacing w:line="252" w:lineRule="exact"/>
        <w:ind w:left="585"/>
        <w:jc w:val="both"/>
      </w:pPr>
      <w:r>
        <w:rPr>
          <w:color w:val="363434"/>
          <w:w w:val="105"/>
        </w:rPr>
        <w:t>West</w:t>
      </w:r>
      <w:r>
        <w:rPr>
          <w:color w:val="363434"/>
          <w:spacing w:val="13"/>
          <w:w w:val="105"/>
        </w:rPr>
        <w:t> </w:t>
      </w:r>
      <w:r>
        <w:rPr>
          <w:color w:val="363434"/>
          <w:w w:val="105"/>
        </w:rPr>
        <w:t>2010).</w:t>
      </w:r>
    </w:p>
    <w:p>
      <w:pPr>
        <w:spacing w:after="0" w:line="252" w:lineRule="exact"/>
        <w:jc w:val="both"/>
        <w:sectPr>
          <w:pgSz w:w="9760" w:h="14040"/>
          <w:pgMar w:header="521" w:footer="0" w:top="1000" w:bottom="280" w:left="136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390"/>
          <w:pgSz w:w="9680" w:h="14040"/>
          <w:pgMar w:header="515" w:footer="0" w:top="760" w:bottom="280" w:left="200" w:right="1340"/>
        </w:sectPr>
      </w:pPr>
    </w:p>
    <w:p>
      <w:pPr>
        <w:spacing w:line="153" w:lineRule="auto" w:before="160"/>
        <w:ind w:left="145" w:right="0" w:firstLine="0"/>
        <w:jc w:val="left"/>
        <w:rPr>
          <w:rFonts w:ascii="Arial" w:hAnsi="Arial"/>
          <w:sz w:val="41"/>
        </w:rPr>
      </w:pPr>
      <w:r>
        <w:rPr>
          <w:color w:val="363436"/>
          <w:spacing w:val="-192"/>
          <w:w w:val="106"/>
          <w:sz w:val="55"/>
        </w:rPr>
        <w:t>•</w:t>
      </w:r>
      <w:r>
        <w:rPr>
          <w:b/>
          <w:color w:val="363436"/>
          <w:spacing w:val="-209"/>
          <w:w w:val="102"/>
          <w:position w:val="-55"/>
          <w:sz w:val="85"/>
        </w:rPr>
        <w:t>l</w:t>
      </w:r>
      <w:r>
        <w:rPr>
          <w:rFonts w:ascii="Arial" w:hAnsi="Arial"/>
          <w:color w:val="363436"/>
          <w:w w:val="106"/>
          <w:position w:val="-16"/>
          <w:sz w:val="41"/>
        </w:rPr>
        <w:t>•</w:t>
      </w:r>
    </w:p>
    <w:p>
      <w:pPr>
        <w:spacing w:before="138"/>
        <w:ind w:left="177" w:right="0" w:firstLine="0"/>
        <w:jc w:val="left"/>
        <w:rPr>
          <w:b/>
          <w:i/>
          <w:sz w:val="47"/>
        </w:rPr>
      </w:pPr>
      <w:r>
        <w:rPr>
          <w:b/>
          <w:i/>
          <w:color w:val="363436"/>
          <w:w w:val="103"/>
          <w:sz w:val="47"/>
        </w:rPr>
        <w:t>t</w:t>
      </w:r>
    </w:p>
    <w:p>
      <w:pPr>
        <w:spacing w:line="240" w:lineRule="auto" w:before="0"/>
        <w:rPr>
          <w:b/>
          <w:i/>
          <w:sz w:val="44"/>
        </w:rPr>
      </w:pPr>
      <w:r>
        <w:rPr/>
        <w:br w:type="column"/>
      </w:r>
      <w:r>
        <w:rPr>
          <w:b/>
          <w:i/>
          <w:sz w:val="44"/>
        </w:rPr>
      </w:r>
    </w:p>
    <w:p>
      <w:pPr>
        <w:spacing w:before="269"/>
        <w:ind w:left="156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363436"/>
          <w:sz w:val="40"/>
        </w:rPr>
        <w:t>FOR</w:t>
      </w:r>
      <w:r>
        <w:rPr>
          <w:rFonts w:ascii="Arial"/>
          <w:b/>
          <w:color w:val="363436"/>
          <w:spacing w:val="45"/>
          <w:sz w:val="40"/>
        </w:rPr>
        <w:t> </w:t>
      </w:r>
      <w:r>
        <w:rPr>
          <w:rFonts w:ascii="Arial"/>
          <w:b/>
          <w:color w:val="363436"/>
          <w:sz w:val="37"/>
        </w:rPr>
        <w:t>REFERENCE:</w:t>
      </w:r>
      <w:r>
        <w:rPr>
          <w:rFonts w:ascii="Arial"/>
          <w:b/>
          <w:color w:val="363436"/>
          <w:spacing w:val="59"/>
          <w:sz w:val="37"/>
        </w:rPr>
        <w:t> </w:t>
      </w:r>
      <w:r>
        <w:rPr>
          <w:rFonts w:ascii="Arial"/>
          <w:b/>
          <w:color w:val="363436"/>
          <w:sz w:val="40"/>
        </w:rPr>
        <w:t>COU</w:t>
      </w:r>
      <w:r>
        <w:rPr>
          <w:rFonts w:ascii="Arial"/>
          <w:b/>
          <w:color w:val="525254"/>
          <w:sz w:val="40"/>
        </w:rPr>
        <w:t>R</w:t>
      </w:r>
      <w:r>
        <w:rPr>
          <w:rFonts w:ascii="Arial"/>
          <w:b/>
          <w:color w:val="363436"/>
          <w:sz w:val="40"/>
        </w:rPr>
        <w:t>T</w:t>
      </w:r>
    </w:p>
    <w:p>
      <w:pPr>
        <w:pStyle w:val="Heading7"/>
        <w:spacing w:before="70"/>
        <w:ind w:left="145"/>
      </w:pPr>
      <w:r>
        <w:rPr>
          <w:color w:val="363436"/>
          <w:w w:val="110"/>
        </w:rPr>
        <w:t>WEBSITE</w:t>
      </w:r>
      <w:r>
        <w:rPr>
          <w:color w:val="363436"/>
          <w:spacing w:val="76"/>
          <w:w w:val="110"/>
        </w:rPr>
        <w:t> </w:t>
      </w:r>
      <w:r>
        <w:rPr>
          <w:color w:val="363436"/>
          <w:w w:val="110"/>
        </w:rPr>
        <w:t>INFO</w:t>
      </w:r>
      <w:r>
        <w:rPr>
          <w:color w:val="525254"/>
          <w:w w:val="110"/>
        </w:rPr>
        <w:t>R</w:t>
      </w:r>
      <w:r>
        <w:rPr>
          <w:color w:val="363436"/>
          <w:w w:val="110"/>
        </w:rPr>
        <w:t>MATION</w:t>
      </w:r>
    </w:p>
    <w:p>
      <w:pPr>
        <w:spacing w:after="0"/>
        <w:sectPr>
          <w:type w:val="continuous"/>
          <w:pgSz w:w="9680" w:h="14040"/>
          <w:pgMar w:header="560" w:footer="0" w:top="340" w:bottom="280" w:left="200" w:right="1340"/>
          <w:cols w:num="2" w:equalWidth="0">
            <w:col w:w="442" w:space="51"/>
            <w:col w:w="7647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7"/>
        </w:rPr>
      </w:pPr>
    </w:p>
    <w:p>
      <w:pPr>
        <w:pStyle w:val="BodyText"/>
        <w:spacing w:line="232" w:lineRule="auto" w:before="97"/>
        <w:ind w:left="101" w:right="546" w:firstLine="333"/>
        <w:jc w:val="both"/>
      </w:pPr>
      <w:r>
        <w:rPr>
          <w:color w:val="363436"/>
          <w:spacing w:val="-1"/>
          <w:w w:val="110"/>
        </w:rPr>
        <w:t>Almost</w:t>
      </w:r>
      <w:r>
        <w:rPr>
          <w:color w:val="363436"/>
          <w:spacing w:val="-11"/>
          <w:w w:val="110"/>
        </w:rPr>
        <w:t> </w:t>
      </w:r>
      <w:r>
        <w:rPr>
          <w:color w:val="363436"/>
          <w:spacing w:val="-1"/>
          <w:w w:val="110"/>
        </w:rPr>
        <w:t>every</w:t>
      </w:r>
      <w:r>
        <w:rPr>
          <w:color w:val="363436"/>
          <w:spacing w:val="-14"/>
          <w:w w:val="110"/>
        </w:rPr>
        <w:t> </w:t>
      </w:r>
      <w:r>
        <w:rPr>
          <w:color w:val="363436"/>
          <w:spacing w:val="-1"/>
          <w:w w:val="110"/>
        </w:rPr>
        <w:t>court</w:t>
      </w:r>
      <w:r>
        <w:rPr>
          <w:color w:val="363436"/>
          <w:spacing w:val="4"/>
          <w:w w:val="110"/>
        </w:rPr>
        <w:t> </w:t>
      </w:r>
      <w:r>
        <w:rPr>
          <w:color w:val="363436"/>
          <w:spacing w:val="-1"/>
          <w:w w:val="110"/>
        </w:rPr>
        <w:t>posts</w:t>
      </w:r>
      <w:r>
        <w:rPr>
          <w:color w:val="363436"/>
          <w:spacing w:val="-15"/>
          <w:w w:val="110"/>
        </w:rPr>
        <w:t> </w:t>
      </w:r>
      <w:r>
        <w:rPr>
          <w:color w:val="363436"/>
          <w:w w:val="110"/>
        </w:rPr>
        <w:t>relevant</w:t>
      </w:r>
      <w:r>
        <w:rPr>
          <w:color w:val="363436"/>
          <w:spacing w:val="-3"/>
          <w:w w:val="110"/>
        </w:rPr>
        <w:t> </w:t>
      </w:r>
      <w:r>
        <w:rPr>
          <w:color w:val="363436"/>
          <w:w w:val="110"/>
        </w:rPr>
        <w:t>rules</w:t>
      </w:r>
      <w:r>
        <w:rPr>
          <w:color w:val="363436"/>
          <w:spacing w:val="-23"/>
          <w:w w:val="110"/>
        </w:rPr>
        <w:t> </w:t>
      </w:r>
      <w:r>
        <w:rPr>
          <w:color w:val="363436"/>
          <w:w w:val="110"/>
        </w:rPr>
        <w:t>on</w:t>
      </w:r>
      <w:r>
        <w:rPr>
          <w:color w:val="363436"/>
          <w:spacing w:val="21"/>
          <w:w w:val="110"/>
        </w:rPr>
        <w:t> </w:t>
      </w:r>
      <w:r>
        <w:rPr>
          <w:color w:val="363436"/>
          <w:w w:val="110"/>
        </w:rPr>
        <w:t>its</w:t>
      </w:r>
      <w:r>
        <w:rPr>
          <w:color w:val="363436"/>
          <w:spacing w:val="-9"/>
          <w:w w:val="110"/>
        </w:rPr>
        <w:t> </w:t>
      </w:r>
      <w:r>
        <w:rPr>
          <w:color w:val="363436"/>
          <w:w w:val="110"/>
        </w:rPr>
        <w:t>website.</w:t>
      </w:r>
      <w:r>
        <w:rPr>
          <w:color w:val="363436"/>
          <w:spacing w:val="-15"/>
          <w:w w:val="110"/>
        </w:rPr>
        <w:t> </w:t>
      </w:r>
      <w:r>
        <w:rPr>
          <w:color w:val="363436"/>
          <w:w w:val="110"/>
        </w:rPr>
        <w:t>These</w:t>
      </w:r>
      <w:r>
        <w:rPr>
          <w:color w:val="363436"/>
          <w:spacing w:val="-3"/>
          <w:w w:val="110"/>
        </w:rPr>
        <w:t> </w:t>
      </w:r>
      <w:r>
        <w:rPr>
          <w:color w:val="363436"/>
          <w:w w:val="110"/>
        </w:rPr>
        <w:t>rules</w:t>
      </w:r>
      <w:r>
        <w:rPr>
          <w:color w:val="363436"/>
          <w:spacing w:val="-8"/>
          <w:w w:val="110"/>
        </w:rPr>
        <w:t> </w:t>
      </w:r>
      <w:r>
        <w:rPr>
          <w:color w:val="363436"/>
          <w:w w:val="110"/>
        </w:rPr>
        <w:t>may</w:t>
      </w:r>
      <w:r>
        <w:rPr>
          <w:color w:val="363436"/>
          <w:spacing w:val="-61"/>
          <w:w w:val="110"/>
        </w:rPr>
        <w:t> </w:t>
      </w:r>
      <w:r>
        <w:rPr>
          <w:color w:val="363436"/>
          <w:w w:val="110"/>
        </w:rPr>
        <w:t>include the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applicable state or federal rules of civil procedure as well as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local</w:t>
      </w:r>
      <w:r>
        <w:rPr>
          <w:color w:val="363436"/>
          <w:spacing w:val="-5"/>
          <w:w w:val="110"/>
        </w:rPr>
        <w:t> </w:t>
      </w:r>
      <w:r>
        <w:rPr>
          <w:color w:val="363436"/>
          <w:w w:val="110"/>
        </w:rPr>
        <w:t>rules</w:t>
      </w:r>
      <w:r>
        <w:rPr>
          <w:color w:val="363436"/>
          <w:spacing w:val="-24"/>
          <w:w w:val="110"/>
        </w:rPr>
        <w:t> </w:t>
      </w:r>
      <w:r>
        <w:rPr>
          <w:color w:val="363436"/>
          <w:w w:val="110"/>
        </w:rPr>
        <w:t>and</w:t>
      </w:r>
      <w:r>
        <w:rPr>
          <w:color w:val="363436"/>
          <w:spacing w:val="20"/>
          <w:w w:val="110"/>
        </w:rPr>
        <w:t> </w:t>
      </w:r>
      <w:r>
        <w:rPr>
          <w:color w:val="363436"/>
          <w:w w:val="110"/>
        </w:rPr>
        <w:t>standing</w:t>
      </w:r>
      <w:r>
        <w:rPr>
          <w:color w:val="363436"/>
          <w:spacing w:val="-6"/>
          <w:w w:val="110"/>
        </w:rPr>
        <w:t> </w:t>
      </w:r>
      <w:r>
        <w:rPr>
          <w:color w:val="363436"/>
          <w:w w:val="110"/>
        </w:rPr>
        <w:t>orders.</w:t>
      </w:r>
    </w:p>
    <w:p>
      <w:pPr>
        <w:pStyle w:val="BodyText"/>
        <w:spacing w:line="235" w:lineRule="auto"/>
        <w:ind w:left="100" w:right="517" w:firstLine="329"/>
        <w:jc w:val="both"/>
      </w:pPr>
      <w:r>
        <w:rPr>
          <w:color w:val="363436"/>
          <w:w w:val="110"/>
        </w:rPr>
        <w:t>The rules of the United States Supreme Court, which have been refer­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enced throughout the text, can currently be found at this website: http://</w:t>
      </w:r>
      <w:r>
        <w:rPr>
          <w:color w:val="363436"/>
          <w:spacing w:val="1"/>
          <w:w w:val="110"/>
        </w:rPr>
        <w:t> </w:t>
      </w:r>
      <w:hyperlink r:id="rId385">
        <w:r>
          <w:rPr>
            <w:color w:val="363436"/>
            <w:w w:val="110"/>
          </w:rPr>
          <w:t>www.supremecourt</w:t>
        </w:r>
        <w:r>
          <w:rPr>
            <w:color w:val="525254"/>
            <w:w w:val="110"/>
          </w:rPr>
          <w:t>.</w:t>
        </w:r>
        <w:r>
          <w:rPr>
            <w:color w:val="363436"/>
            <w:w w:val="110"/>
          </w:rPr>
          <w:t>gov/ctrules/2013RulesoftheCourt.pdf</w:t>
        </w:r>
      </w:hyperlink>
    </w:p>
    <w:p>
      <w:pPr>
        <w:pStyle w:val="BodyText"/>
        <w:spacing w:line="232" w:lineRule="auto"/>
        <w:ind w:left="110" w:right="503" w:firstLine="321"/>
        <w:jc w:val="both"/>
      </w:pPr>
      <w:r>
        <w:rPr>
          <w:color w:val="363436"/>
          <w:w w:val="105"/>
        </w:rPr>
        <w:t>Some federal courts combine the  generally applicable rules with  their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own local rules. At the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following link, for example, the tenth circuit's local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rules are interspersed with the relevant Federal Rules of Appellate Procedure:</w:t>
      </w:r>
      <w:r>
        <w:rPr>
          <w:color w:val="363436"/>
          <w:spacing w:val="-58"/>
          <w:w w:val="105"/>
        </w:rPr>
        <w:t> </w:t>
      </w:r>
      <w:hyperlink r:id="rId391">
        <w:r>
          <w:rPr>
            <w:color w:val="363436"/>
          </w:rPr>
          <w:t>http://www.ca10.uscourts.gov/sites/default/files/clerk/FRAP%20RULF.S%20</w:t>
        </w:r>
      </w:hyperlink>
      <w:r>
        <w:rPr>
          <w:color w:val="363436"/>
          <w:spacing w:val="1"/>
        </w:rPr>
        <w:t> </w:t>
      </w:r>
      <w:r>
        <w:rPr>
          <w:color w:val="363436"/>
          <w:w w:val="105"/>
        </w:rPr>
        <w:t>FINAL%202014-11-15-2013.pdf</w:t>
      </w:r>
    </w:p>
    <w:p>
      <w:pPr>
        <w:pStyle w:val="BodyText"/>
        <w:spacing w:line="235" w:lineRule="auto" w:before="1"/>
        <w:ind w:left="120" w:right="489" w:firstLine="327"/>
        <w:jc w:val="both"/>
      </w:pPr>
      <w:r>
        <w:rPr>
          <w:color w:val="363436"/>
          <w:w w:val="110"/>
        </w:rPr>
        <w:t>Other courts may post their local rules as a separate document, as this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05"/>
        </w:rPr>
        <w:t>link</w:t>
      </w:r>
      <w:r>
        <w:rPr>
          <w:color w:val="363436"/>
          <w:spacing w:val="-2"/>
          <w:w w:val="105"/>
        </w:rPr>
        <w:t> </w:t>
      </w:r>
      <w:r>
        <w:rPr>
          <w:color w:val="363436"/>
          <w:w w:val="105"/>
        </w:rPr>
        <w:t>shows:</w:t>
      </w:r>
      <w:r>
        <w:rPr>
          <w:color w:val="363436"/>
          <w:spacing w:val="18"/>
          <w:w w:val="105"/>
        </w:rPr>
        <w:t> </w:t>
      </w:r>
      <w:hyperlink r:id="rId392">
        <w:r>
          <w:rPr>
            <w:color w:val="363436"/>
            <w:w w:val="105"/>
          </w:rPr>
          <w:t>http://www.state.il.us/court/AppellateCourt/LocalRules/3rd.pdf</w:t>
        </w:r>
      </w:hyperlink>
    </w:p>
    <w:p>
      <w:pPr>
        <w:pStyle w:val="BodyText"/>
        <w:spacing w:line="251" w:lineRule="exact"/>
        <w:ind w:left="459"/>
        <w:jc w:val="both"/>
      </w:pPr>
      <w:r>
        <w:rPr>
          <w:color w:val="363436"/>
          <w:w w:val="110"/>
          <w:sz w:val="24"/>
        </w:rPr>
        <w:t>If</w:t>
      </w:r>
      <w:r>
        <w:rPr>
          <w:color w:val="363436"/>
          <w:spacing w:val="15"/>
          <w:w w:val="110"/>
          <w:sz w:val="24"/>
        </w:rPr>
        <w:t> </w:t>
      </w:r>
      <w:r>
        <w:rPr>
          <w:color w:val="363436"/>
          <w:w w:val="110"/>
        </w:rPr>
        <w:t>you</w:t>
      </w:r>
      <w:r>
        <w:rPr>
          <w:color w:val="363436"/>
          <w:spacing w:val="10"/>
          <w:w w:val="110"/>
        </w:rPr>
        <w:t> </w:t>
      </w:r>
      <w:r>
        <w:rPr>
          <w:color w:val="363436"/>
          <w:w w:val="110"/>
        </w:rPr>
        <w:t>are</w:t>
      </w:r>
      <w:r>
        <w:rPr>
          <w:color w:val="363436"/>
          <w:spacing w:val="19"/>
          <w:w w:val="110"/>
        </w:rPr>
        <w:t> </w:t>
      </w:r>
      <w:r>
        <w:rPr>
          <w:color w:val="363436"/>
          <w:w w:val="110"/>
        </w:rPr>
        <w:t>writing</w:t>
      </w:r>
      <w:r>
        <w:rPr>
          <w:color w:val="363436"/>
          <w:spacing w:val="2"/>
          <w:w w:val="110"/>
        </w:rPr>
        <w:t> </w:t>
      </w:r>
      <w:r>
        <w:rPr>
          <w:color w:val="363436"/>
          <w:w w:val="110"/>
        </w:rPr>
        <w:t>a</w:t>
      </w:r>
      <w:r>
        <w:rPr>
          <w:color w:val="363436"/>
          <w:spacing w:val="31"/>
          <w:w w:val="110"/>
        </w:rPr>
        <w:t> </w:t>
      </w:r>
      <w:r>
        <w:rPr>
          <w:color w:val="363436"/>
          <w:w w:val="110"/>
        </w:rPr>
        <w:t>motion</w:t>
      </w:r>
      <w:r>
        <w:rPr>
          <w:color w:val="363436"/>
          <w:spacing w:val="16"/>
          <w:w w:val="110"/>
        </w:rPr>
        <w:t> </w:t>
      </w:r>
      <w:r>
        <w:rPr>
          <w:color w:val="363436"/>
          <w:w w:val="110"/>
        </w:rPr>
        <w:t>brief,</w:t>
      </w:r>
      <w:r>
        <w:rPr>
          <w:color w:val="363436"/>
          <w:spacing w:val="18"/>
          <w:w w:val="110"/>
        </w:rPr>
        <w:t> </w:t>
      </w:r>
      <w:r>
        <w:rPr>
          <w:color w:val="363436"/>
          <w:w w:val="110"/>
        </w:rPr>
        <w:t>remember</w:t>
      </w:r>
      <w:r>
        <w:rPr>
          <w:color w:val="363436"/>
          <w:spacing w:val="24"/>
          <w:w w:val="110"/>
        </w:rPr>
        <w:t> </w:t>
      </w:r>
      <w:r>
        <w:rPr>
          <w:color w:val="363436"/>
          <w:w w:val="110"/>
        </w:rPr>
        <w:t>that</w:t>
      </w:r>
      <w:r>
        <w:rPr>
          <w:color w:val="363436"/>
          <w:spacing w:val="19"/>
          <w:w w:val="110"/>
        </w:rPr>
        <w:t> </w:t>
      </w:r>
      <w:r>
        <w:rPr>
          <w:color w:val="363436"/>
          <w:w w:val="110"/>
        </w:rPr>
        <w:t>many</w:t>
      </w:r>
      <w:r>
        <w:rPr>
          <w:color w:val="363436"/>
          <w:spacing w:val="22"/>
          <w:w w:val="110"/>
        </w:rPr>
        <w:t> </w:t>
      </w:r>
      <w:r>
        <w:rPr>
          <w:color w:val="363436"/>
          <w:w w:val="110"/>
        </w:rPr>
        <w:t>trial</w:t>
      </w:r>
      <w:r>
        <w:rPr>
          <w:color w:val="363436"/>
          <w:spacing w:val="-6"/>
          <w:w w:val="110"/>
        </w:rPr>
        <w:t> </w:t>
      </w:r>
      <w:r>
        <w:rPr>
          <w:color w:val="363436"/>
          <w:w w:val="110"/>
        </w:rPr>
        <w:t>courts</w:t>
      </w:r>
      <w:r>
        <w:rPr>
          <w:color w:val="363436"/>
          <w:spacing w:val="-5"/>
          <w:w w:val="110"/>
        </w:rPr>
        <w:t> </w:t>
      </w:r>
      <w:r>
        <w:rPr>
          <w:color w:val="363436"/>
          <w:w w:val="110"/>
        </w:rPr>
        <w:t>de</w:t>
      </w:r>
    </w:p>
    <w:p>
      <w:pPr>
        <w:pStyle w:val="BodyText"/>
        <w:spacing w:line="235" w:lineRule="auto" w:before="2"/>
        <w:ind w:left="126" w:right="397" w:firstLine="9"/>
        <w:jc w:val="both"/>
      </w:pPr>
      <w:r>
        <w:rPr>
          <w:color w:val="363436"/>
          <w:spacing w:val="-1"/>
          <w:w w:val="110"/>
        </w:rPr>
        <w:t>not</w:t>
      </w:r>
      <w:r>
        <w:rPr>
          <w:color w:val="363436"/>
          <w:spacing w:val="-29"/>
          <w:w w:val="110"/>
        </w:rPr>
        <w:t> </w:t>
      </w:r>
      <w:r>
        <w:rPr>
          <w:color w:val="363436"/>
          <w:spacing w:val="-1"/>
          <w:w w:val="110"/>
        </w:rPr>
        <w:t>use</w:t>
      </w:r>
      <w:r>
        <w:rPr>
          <w:color w:val="363436"/>
          <w:spacing w:val="-27"/>
          <w:w w:val="110"/>
        </w:rPr>
        <w:t> </w:t>
      </w:r>
      <w:r>
        <w:rPr>
          <w:color w:val="363436"/>
          <w:spacing w:val="-1"/>
          <w:w w:val="110"/>
        </w:rPr>
        <w:t>rules</w:t>
      </w:r>
      <w:r>
        <w:rPr>
          <w:color w:val="363436"/>
          <w:spacing w:val="-37"/>
          <w:w w:val="110"/>
        </w:rPr>
        <w:t> </w:t>
      </w:r>
      <w:r>
        <w:rPr>
          <w:color w:val="363436"/>
          <w:spacing w:val="-1"/>
          <w:w w:val="110"/>
        </w:rPr>
        <w:t>to</w:t>
      </w:r>
      <w:r>
        <w:rPr>
          <w:color w:val="363436"/>
          <w:spacing w:val="-6"/>
          <w:w w:val="110"/>
        </w:rPr>
        <w:t> </w:t>
      </w:r>
      <w:r>
        <w:rPr>
          <w:color w:val="363436"/>
          <w:spacing w:val="-1"/>
          <w:w w:val="110"/>
        </w:rPr>
        <w:t>articulate</w:t>
      </w:r>
      <w:r>
        <w:rPr>
          <w:color w:val="363436"/>
          <w:spacing w:val="-21"/>
          <w:w w:val="110"/>
        </w:rPr>
        <w:t> </w:t>
      </w:r>
      <w:r>
        <w:rPr>
          <w:color w:val="363436"/>
          <w:w w:val="110"/>
        </w:rPr>
        <w:t>formal</w:t>
      </w:r>
      <w:r>
        <w:rPr>
          <w:color w:val="363436"/>
          <w:spacing w:val="-21"/>
          <w:w w:val="110"/>
        </w:rPr>
        <w:t> </w:t>
      </w:r>
      <w:r>
        <w:rPr>
          <w:color w:val="363436"/>
          <w:w w:val="110"/>
        </w:rPr>
        <w:t>requirements</w:t>
      </w:r>
      <w:r>
        <w:rPr>
          <w:color w:val="363436"/>
          <w:spacing w:val="-23"/>
          <w:w w:val="110"/>
        </w:rPr>
        <w:t> </w:t>
      </w:r>
      <w:r>
        <w:rPr>
          <w:color w:val="363436"/>
          <w:w w:val="110"/>
        </w:rPr>
        <w:t>for</w:t>
      </w:r>
      <w:r>
        <w:rPr>
          <w:color w:val="363436"/>
          <w:spacing w:val="-30"/>
          <w:w w:val="110"/>
        </w:rPr>
        <w:t> </w:t>
      </w:r>
      <w:r>
        <w:rPr>
          <w:color w:val="363436"/>
          <w:w w:val="110"/>
        </w:rPr>
        <w:t>these</w:t>
      </w:r>
      <w:r>
        <w:rPr>
          <w:color w:val="363436"/>
          <w:spacing w:val="-31"/>
          <w:w w:val="110"/>
        </w:rPr>
        <w:t> </w:t>
      </w:r>
      <w:r>
        <w:rPr>
          <w:color w:val="363436"/>
          <w:w w:val="110"/>
        </w:rPr>
        <w:t>briefs.</w:t>
      </w:r>
      <w:r>
        <w:rPr>
          <w:color w:val="363436"/>
          <w:spacing w:val="-21"/>
          <w:w w:val="110"/>
        </w:rPr>
        <w:t> </w:t>
      </w:r>
      <w:r>
        <w:rPr>
          <w:color w:val="363436"/>
          <w:w w:val="110"/>
        </w:rPr>
        <w:t>Nevertheless,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05"/>
        </w:rPr>
        <w:t>consult the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appropriate civil or criminal rules, the local rules, or the court's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10"/>
        </w:rPr>
        <w:t>standing</w:t>
      </w:r>
      <w:r>
        <w:rPr>
          <w:color w:val="363436"/>
          <w:spacing w:val="-22"/>
          <w:w w:val="110"/>
        </w:rPr>
        <w:t> </w:t>
      </w:r>
      <w:r>
        <w:rPr>
          <w:color w:val="363436"/>
          <w:w w:val="110"/>
        </w:rPr>
        <w:t>orders</w:t>
      </w:r>
      <w:r>
        <w:rPr>
          <w:color w:val="363436"/>
          <w:spacing w:val="-24"/>
          <w:w w:val="110"/>
        </w:rPr>
        <w:t> </w:t>
      </w:r>
      <w:r>
        <w:rPr>
          <w:color w:val="363436"/>
          <w:w w:val="110"/>
        </w:rPr>
        <w:t>for</w:t>
      </w:r>
      <w:r>
        <w:rPr>
          <w:color w:val="363436"/>
          <w:spacing w:val="-22"/>
          <w:w w:val="110"/>
        </w:rPr>
        <w:t> </w:t>
      </w:r>
      <w:r>
        <w:rPr>
          <w:color w:val="363436"/>
          <w:w w:val="110"/>
        </w:rPr>
        <w:t>any</w:t>
      </w:r>
      <w:r>
        <w:rPr>
          <w:color w:val="363436"/>
          <w:spacing w:val="-6"/>
          <w:w w:val="110"/>
        </w:rPr>
        <w:t> </w:t>
      </w:r>
      <w:r>
        <w:rPr>
          <w:color w:val="363436"/>
          <w:w w:val="110"/>
        </w:rPr>
        <w:t>existing</w:t>
      </w:r>
      <w:r>
        <w:rPr>
          <w:color w:val="363436"/>
          <w:spacing w:val="-5"/>
          <w:w w:val="110"/>
        </w:rPr>
        <w:t> </w:t>
      </w:r>
      <w:r>
        <w:rPr>
          <w:color w:val="363436"/>
          <w:w w:val="110"/>
        </w:rPr>
        <w:t>requirements</w:t>
      </w:r>
      <w:r>
        <w:rPr>
          <w:color w:val="363436"/>
          <w:spacing w:val="-11"/>
          <w:w w:val="110"/>
        </w:rPr>
        <w:t> </w:t>
      </w:r>
      <w:r>
        <w:rPr>
          <w:color w:val="363436"/>
          <w:w w:val="110"/>
        </w:rPr>
        <w:t>for</w:t>
      </w:r>
      <w:r>
        <w:rPr>
          <w:color w:val="363436"/>
          <w:spacing w:val="5"/>
          <w:w w:val="110"/>
        </w:rPr>
        <w:t> </w:t>
      </w:r>
      <w:r>
        <w:rPr>
          <w:color w:val="363436"/>
          <w:w w:val="110"/>
        </w:rPr>
        <w:t>motion</w:t>
      </w:r>
      <w:r>
        <w:rPr>
          <w:color w:val="363436"/>
          <w:spacing w:val="-12"/>
          <w:w w:val="110"/>
        </w:rPr>
        <w:t> </w:t>
      </w:r>
      <w:r>
        <w:rPr>
          <w:color w:val="363436"/>
          <w:w w:val="110"/>
        </w:rPr>
        <w:t>briefsor</w:t>
      </w:r>
      <w:r>
        <w:rPr>
          <w:color w:val="363436"/>
          <w:spacing w:val="2"/>
          <w:w w:val="110"/>
        </w:rPr>
        <w:t> </w:t>
      </w:r>
      <w:r>
        <w:rPr>
          <w:color w:val="363436"/>
          <w:w w:val="110"/>
        </w:rPr>
        <w:t>oral</w:t>
      </w:r>
      <w:r>
        <w:rPr>
          <w:color w:val="363436"/>
          <w:spacing w:val="-25"/>
          <w:w w:val="110"/>
        </w:rPr>
        <w:t> </w:t>
      </w:r>
      <w:r>
        <w:rPr>
          <w:color w:val="363436"/>
          <w:w w:val="110"/>
        </w:rPr>
        <w:t>argu­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ments. This link shows a standing order regarding civil motions for sum­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mary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judgment:</w:t>
      </w:r>
      <w:r>
        <w:rPr>
          <w:color w:val="363436"/>
          <w:spacing w:val="1"/>
          <w:w w:val="110"/>
        </w:rPr>
        <w:t> </w:t>
      </w:r>
      <w:hyperlink r:id="rId388">
        <w:r>
          <w:rPr>
            <w:color w:val="363436"/>
            <w:w w:val="110"/>
          </w:rPr>
          <w:t>http://www.ohsd.uscourts.gov/judges/dlott/standing%20</w:t>
        </w:r>
      </w:hyperlink>
      <w:r>
        <w:rPr>
          <w:color w:val="363436"/>
          <w:spacing w:val="1"/>
          <w:w w:val="110"/>
        </w:rPr>
        <w:t> </w:t>
      </w:r>
      <w:r>
        <w:rPr>
          <w:color w:val="363436"/>
          <w:w w:val="115"/>
        </w:rPr>
        <w:t>order%20civil%20may%202014.pdf</w:t>
      </w:r>
    </w:p>
    <w:p>
      <w:pPr>
        <w:pStyle w:val="BodyText"/>
        <w:spacing w:line="232" w:lineRule="auto"/>
        <w:ind w:left="149" w:right="410" w:firstLine="329"/>
        <w:jc w:val="both"/>
      </w:pPr>
      <w:r>
        <w:rPr>
          <w:color w:val="363436"/>
          <w:w w:val="115"/>
        </w:rPr>
        <w:t>Instead of a formal "standing order," some judges may post tips or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0"/>
        </w:rPr>
        <w:t>guidelines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for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practitioners:</w:t>
      </w:r>
      <w:r>
        <w:rPr>
          <w:color w:val="363436"/>
          <w:spacing w:val="1"/>
          <w:w w:val="110"/>
        </w:rPr>
        <w:t> </w:t>
      </w:r>
      <w:hyperlink r:id="rId389">
        <w:r>
          <w:rPr>
            <w:color w:val="363436"/>
            <w:w w:val="110"/>
          </w:rPr>
          <w:t>http://www.ohsd.uscourts.gov/judges/frost/</w:t>
        </w:r>
      </w:hyperlink>
      <w:r>
        <w:rPr>
          <w:color w:val="363436"/>
          <w:spacing w:val="1"/>
          <w:w w:val="110"/>
        </w:rPr>
        <w:t> </w:t>
      </w:r>
      <w:r>
        <w:rPr>
          <w:color w:val="363436"/>
          <w:w w:val="115"/>
        </w:rPr>
        <w:t>Practice%20Pointers%20revised%201-2013.pdf</w:t>
      </w:r>
    </w:p>
    <w:p>
      <w:pPr>
        <w:pStyle w:val="BodyText"/>
        <w:spacing w:line="232" w:lineRule="auto"/>
        <w:ind w:left="151" w:right="381" w:firstLine="327"/>
        <w:jc w:val="both"/>
      </w:pPr>
      <w:r>
        <w:rPr>
          <w:color w:val="363436"/>
          <w:w w:val="110"/>
        </w:rPr>
        <w:t>If you are looking for the rules of a particular court, search for the court</w:t>
      </w:r>
      <w:r>
        <w:rPr>
          <w:color w:val="363436"/>
          <w:spacing w:val="-61"/>
          <w:w w:val="110"/>
        </w:rPr>
        <w:t> </w:t>
      </w:r>
      <w:r>
        <w:rPr>
          <w:rFonts w:ascii="Arial" w:hAnsi="Arial"/>
          <w:color w:val="363436"/>
          <w:w w:val="110"/>
        </w:rPr>
        <w:t>by </w:t>
      </w:r>
      <w:r>
        <w:rPr>
          <w:color w:val="363436"/>
          <w:w w:val="110"/>
        </w:rPr>
        <w:t>its full name, and then look on the main page for a link to the court's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rules. Be careful when searching. Sites other than the court's official web­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site may give you  inaccurate information or no information due to </w:t>
      </w:r>
      <w:r>
        <w:rPr>
          <w:color w:val="363436"/>
          <w:w w:val="110"/>
          <w:sz w:val="21"/>
        </w:rPr>
        <w:t>"link</w:t>
      </w:r>
      <w:r>
        <w:rPr>
          <w:color w:val="363436"/>
          <w:spacing w:val="1"/>
          <w:w w:val="110"/>
          <w:sz w:val="21"/>
        </w:rPr>
        <w:t> </w:t>
      </w:r>
      <w:r>
        <w:rPr>
          <w:color w:val="363436"/>
          <w:w w:val="110"/>
        </w:rPr>
        <w:t>rot" or other problems. Be sure to link to the court's official website (per­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haps designated with a "dot-gov" url) so that you can be certain  to  have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the most up-to-date rules. Useful search terms include phrases like "stand­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ing orders," "standard orders," "general orders," "forms and procedures,"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and,</w:t>
      </w:r>
      <w:r>
        <w:rPr>
          <w:color w:val="363436"/>
          <w:spacing w:val="-19"/>
          <w:w w:val="110"/>
        </w:rPr>
        <w:t> </w:t>
      </w:r>
      <w:r>
        <w:rPr>
          <w:color w:val="363436"/>
          <w:w w:val="110"/>
        </w:rPr>
        <w:t>of</w:t>
      </w:r>
      <w:r>
        <w:rPr>
          <w:color w:val="363436"/>
          <w:spacing w:val="-6"/>
          <w:w w:val="110"/>
        </w:rPr>
        <w:t> </w:t>
      </w:r>
      <w:r>
        <w:rPr>
          <w:color w:val="363436"/>
          <w:w w:val="110"/>
        </w:rPr>
        <w:t>course,</w:t>
      </w:r>
      <w:r>
        <w:rPr>
          <w:color w:val="363436"/>
          <w:spacing w:val="-9"/>
          <w:w w:val="110"/>
        </w:rPr>
        <w:t> </w:t>
      </w:r>
      <w:r>
        <w:rPr>
          <w:color w:val="525254"/>
          <w:w w:val="110"/>
        </w:rPr>
        <w:t>"</w:t>
      </w:r>
      <w:r>
        <w:rPr>
          <w:color w:val="363436"/>
          <w:w w:val="110"/>
        </w:rPr>
        <w:t>local</w:t>
      </w:r>
      <w:r>
        <w:rPr>
          <w:color w:val="363436"/>
          <w:spacing w:val="8"/>
          <w:w w:val="110"/>
        </w:rPr>
        <w:t> </w:t>
      </w:r>
      <w:r>
        <w:rPr>
          <w:color w:val="363436"/>
          <w:w w:val="110"/>
        </w:rPr>
        <w:t>rules."</w:t>
      </w:r>
    </w:p>
    <w:p>
      <w:pPr>
        <w:spacing w:after="0" w:line="232" w:lineRule="auto"/>
        <w:jc w:val="both"/>
        <w:sectPr>
          <w:type w:val="continuous"/>
          <w:pgSz w:w="9680" w:h="14040"/>
          <w:pgMar w:header="560" w:footer="0" w:top="340" w:bottom="280" w:left="200" w:right="1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before="92"/>
        <w:ind w:left="0" w:right="106" w:firstLine="0"/>
        <w:jc w:val="right"/>
        <w:rPr>
          <w:b/>
          <w:sz w:val="20"/>
        </w:rPr>
      </w:pPr>
      <w:r>
        <w:rPr>
          <w:b/>
          <w:color w:val="363436"/>
          <w:w w:val="115"/>
          <w:sz w:val="20"/>
        </w:rPr>
        <w:t>345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spacing w:before="90"/>
        <w:ind w:left="309" w:right="0" w:firstLine="0"/>
        <w:jc w:val="left"/>
        <w:rPr>
          <w:b/>
          <w:sz w:val="27"/>
        </w:rPr>
      </w:pPr>
      <w:r>
        <w:rPr/>
        <w:pict>
          <v:shape style="position:absolute;margin-left:31.308069pt;margin-top:16.453384pt;width:7.1pt;height:12.8pt;mso-position-horizontal-relative:page;mso-position-vertical-relative:paragraph;z-index:-21587456" type="#_x0000_t202" id="docshape609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363436"/>
                      <w:w w:val="65"/>
                      <w:sz w:val="23"/>
                    </w:rPr>
                    <w:t>ac</w:t>
                  </w:r>
                </w:p>
              </w:txbxContent>
            </v:textbox>
            <w10:wrap type="none"/>
          </v:shape>
        </w:pict>
      </w:r>
      <w:r>
        <w:rPr>
          <w:b/>
          <w:color w:val="363436"/>
          <w:w w:val="112"/>
          <w:sz w:val="27"/>
        </w:rPr>
        <w:t>u</w:t>
      </w:r>
    </w:p>
    <w:p>
      <w:pPr>
        <w:spacing w:line="544" w:lineRule="exact" w:before="33"/>
        <w:ind w:left="278" w:right="0" w:firstLine="0"/>
        <w:jc w:val="left"/>
        <w:rPr>
          <w:rFonts w:ascii="Arial"/>
          <w:sz w:val="59"/>
        </w:rPr>
      </w:pPr>
      <w:r>
        <w:rPr>
          <w:rFonts w:ascii="Arial"/>
          <w:color w:val="363436"/>
          <w:w w:val="150"/>
          <w:sz w:val="59"/>
        </w:rPr>
        <w:t>i</w:t>
      </w:r>
      <w:r>
        <w:rPr>
          <w:rFonts w:ascii="Arial"/>
          <w:color w:val="B6B8BA"/>
          <w:w w:val="150"/>
          <w:sz w:val="59"/>
        </w:rPr>
        <w:t>i</w:t>
      </w:r>
    </w:p>
    <w:p>
      <w:pPr>
        <w:spacing w:line="728" w:lineRule="exact" w:before="0"/>
        <w:ind w:left="311" w:right="0" w:firstLine="0"/>
        <w:jc w:val="left"/>
        <w:rPr>
          <w:rFonts w:ascii="Arial"/>
          <w:b/>
          <w:sz w:val="40"/>
        </w:rPr>
      </w:pPr>
      <w:r>
        <w:rPr>
          <w:rFonts w:ascii="Arial"/>
          <w:color w:val="363436"/>
          <w:w w:val="95"/>
          <w:sz w:val="75"/>
        </w:rPr>
        <w:t>f</w:t>
      </w:r>
      <w:r>
        <w:rPr>
          <w:rFonts w:ascii="Arial"/>
          <w:color w:val="7E8082"/>
          <w:w w:val="95"/>
          <w:sz w:val="75"/>
        </w:rPr>
        <w:t>l</w:t>
      </w:r>
      <w:r>
        <w:rPr>
          <w:rFonts w:ascii="Arial"/>
          <w:color w:val="7E8082"/>
          <w:spacing w:val="-106"/>
          <w:w w:val="95"/>
          <w:sz w:val="75"/>
        </w:rPr>
        <w:t> </w:t>
      </w:r>
      <w:r>
        <w:rPr>
          <w:rFonts w:ascii="Arial"/>
          <w:b/>
          <w:color w:val="7E8082"/>
          <w:w w:val="95"/>
          <w:sz w:val="39"/>
        </w:rPr>
        <w:t>SAMPLE</w:t>
      </w:r>
      <w:r>
        <w:rPr>
          <w:rFonts w:ascii="Arial"/>
          <w:b/>
          <w:color w:val="7E8082"/>
          <w:spacing w:val="88"/>
          <w:w w:val="95"/>
          <w:sz w:val="39"/>
        </w:rPr>
        <w:t> </w:t>
      </w:r>
      <w:r>
        <w:rPr>
          <w:rFonts w:ascii="Arial"/>
          <w:b/>
          <w:color w:val="7E8082"/>
          <w:w w:val="95"/>
          <w:sz w:val="40"/>
        </w:rPr>
        <w:t>BRIEFS</w:t>
      </w:r>
    </w:p>
    <w:p>
      <w:pPr>
        <w:pStyle w:val="BodyText"/>
        <w:spacing w:line="232" w:lineRule="auto" w:before="587"/>
        <w:ind w:left="200" w:right="802" w:firstLine="364"/>
        <w:jc w:val="both"/>
      </w:pPr>
      <w:r>
        <w:rPr>
          <w:color w:val="363436"/>
          <w:w w:val="110"/>
        </w:rPr>
        <w:t>Many</w:t>
      </w:r>
      <w:r>
        <w:rPr>
          <w:color w:val="363436"/>
          <w:spacing w:val="-9"/>
          <w:w w:val="110"/>
        </w:rPr>
        <w:t> </w:t>
      </w:r>
      <w:r>
        <w:rPr>
          <w:color w:val="363436"/>
          <w:w w:val="110"/>
        </w:rPr>
        <w:t>writing</w:t>
      </w:r>
      <w:r>
        <w:rPr>
          <w:color w:val="363436"/>
          <w:spacing w:val="-4"/>
          <w:w w:val="110"/>
        </w:rPr>
        <w:t> </w:t>
      </w:r>
      <w:r>
        <w:rPr>
          <w:color w:val="363436"/>
          <w:w w:val="110"/>
        </w:rPr>
        <w:t>professors</w:t>
      </w:r>
      <w:r>
        <w:rPr>
          <w:color w:val="363436"/>
          <w:spacing w:val="8"/>
          <w:w w:val="110"/>
        </w:rPr>
        <w:t> </w:t>
      </w:r>
      <w:r>
        <w:rPr>
          <w:color w:val="363436"/>
          <w:w w:val="110"/>
        </w:rPr>
        <w:t>worry</w:t>
      </w:r>
      <w:r>
        <w:rPr>
          <w:color w:val="363436"/>
          <w:spacing w:val="-5"/>
          <w:w w:val="110"/>
        </w:rPr>
        <w:t> </w:t>
      </w:r>
      <w:r>
        <w:rPr>
          <w:color w:val="363436"/>
          <w:w w:val="110"/>
        </w:rPr>
        <w:t>about</w:t>
      </w:r>
      <w:r>
        <w:rPr>
          <w:color w:val="363436"/>
          <w:spacing w:val="-2"/>
          <w:w w:val="110"/>
        </w:rPr>
        <w:t> </w:t>
      </w:r>
      <w:r>
        <w:rPr>
          <w:color w:val="363436"/>
          <w:w w:val="110"/>
        </w:rPr>
        <w:t>proViding</w:t>
      </w:r>
      <w:r>
        <w:rPr>
          <w:color w:val="363436"/>
          <w:spacing w:val="-12"/>
          <w:w w:val="110"/>
        </w:rPr>
        <w:t> </w:t>
      </w:r>
      <w:r>
        <w:rPr>
          <w:color w:val="363436"/>
          <w:w w:val="110"/>
        </w:rPr>
        <w:t>samples</w:t>
      </w:r>
      <w:r>
        <w:rPr>
          <w:color w:val="363436"/>
          <w:spacing w:val="-19"/>
          <w:w w:val="110"/>
        </w:rPr>
        <w:t> </w:t>
      </w:r>
      <w:r>
        <w:rPr>
          <w:color w:val="363436"/>
          <w:w w:val="110"/>
        </w:rPr>
        <w:t>because</w:t>
      </w:r>
      <w:r>
        <w:rPr>
          <w:color w:val="363436"/>
          <w:spacing w:val="-21"/>
          <w:w w:val="110"/>
        </w:rPr>
        <w:t> </w:t>
      </w:r>
      <w:r>
        <w:rPr>
          <w:color w:val="363436"/>
          <w:w w:val="110"/>
        </w:rPr>
        <w:t>some</w:t>
      </w:r>
      <w:r>
        <w:rPr>
          <w:color w:val="363436"/>
          <w:spacing w:val="-61"/>
          <w:w w:val="110"/>
        </w:rPr>
        <w:t> </w:t>
      </w:r>
      <w:r>
        <w:rPr>
          <w:color w:val="363436"/>
          <w:w w:val="110"/>
        </w:rPr>
        <w:t>students follow them too closely, imitating structure, arguments, or style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that may have  been appropriate  for  the  issues in  the  sample but  may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not be appropriate for the issues in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the student's brief</w:t>
      </w:r>
      <w:r>
        <w:rPr>
          <w:color w:val="545456"/>
          <w:w w:val="110"/>
        </w:rPr>
        <w:t>. </w:t>
      </w:r>
      <w:r>
        <w:rPr>
          <w:color w:val="363436"/>
          <w:w w:val="110"/>
        </w:rPr>
        <w:t>Furthermore, no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sample is perfect. In the folloWing sample student briefs, I have included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annotations  that identify strengths, explain  possible problems, or  point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out unusual structures that may not be appropriate in different cases. By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design, not all possible problems are identified. You should not, of course,</w:t>
      </w:r>
      <w:r>
        <w:rPr>
          <w:color w:val="363436"/>
          <w:spacing w:val="-61"/>
          <w:w w:val="110"/>
        </w:rPr>
        <w:t> </w:t>
      </w:r>
      <w:r>
        <w:rPr>
          <w:color w:val="363436"/>
          <w:w w:val="105"/>
        </w:rPr>
        <w:t>rely on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the law in these samples. Your professor may have you critique the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10"/>
        </w:rPr>
        <w:t>sample briefs as part of your course work, or may identify other issues that</w:t>
      </w:r>
      <w:r>
        <w:rPr>
          <w:color w:val="363436"/>
          <w:spacing w:val="-61"/>
          <w:w w:val="110"/>
        </w:rPr>
        <w:t> </w:t>
      </w:r>
      <w:r>
        <w:rPr>
          <w:color w:val="363436"/>
          <w:w w:val="110"/>
        </w:rPr>
        <w:t>you should consider when deciding whether certain samples are effective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models</w:t>
      </w:r>
      <w:r>
        <w:rPr>
          <w:color w:val="363436"/>
          <w:spacing w:val="-9"/>
          <w:w w:val="110"/>
        </w:rPr>
        <w:t> </w:t>
      </w:r>
      <w:r>
        <w:rPr>
          <w:color w:val="363436"/>
          <w:w w:val="110"/>
        </w:rPr>
        <w:t>for</w:t>
      </w:r>
      <w:r>
        <w:rPr>
          <w:color w:val="363436"/>
          <w:spacing w:val="3"/>
          <w:w w:val="110"/>
        </w:rPr>
        <w:t> </w:t>
      </w:r>
      <w:r>
        <w:rPr>
          <w:color w:val="363436"/>
          <w:w w:val="110"/>
        </w:rPr>
        <w:t>certain</w:t>
      </w:r>
      <w:r>
        <w:rPr>
          <w:color w:val="363436"/>
          <w:spacing w:val="-8"/>
          <w:w w:val="110"/>
        </w:rPr>
        <w:t> </w:t>
      </w:r>
      <w:r>
        <w:rPr>
          <w:color w:val="363436"/>
          <w:w w:val="110"/>
        </w:rPr>
        <w:t>types</w:t>
      </w:r>
      <w:r>
        <w:rPr>
          <w:color w:val="363436"/>
          <w:spacing w:val="-12"/>
          <w:w w:val="110"/>
        </w:rPr>
        <w:t> </w:t>
      </w:r>
      <w:r>
        <w:rPr>
          <w:color w:val="363436"/>
          <w:w w:val="110"/>
        </w:rPr>
        <w:t>of</w:t>
      </w:r>
      <w:r>
        <w:rPr>
          <w:color w:val="363436"/>
          <w:spacing w:val="14"/>
          <w:w w:val="110"/>
        </w:rPr>
        <w:t> </w:t>
      </w:r>
      <w:r>
        <w:rPr>
          <w:color w:val="363436"/>
          <w:w w:val="110"/>
        </w:rPr>
        <w:t>briefs</w:t>
      </w:r>
      <w:r>
        <w:rPr>
          <w:color w:val="545456"/>
          <w:w w:val="110"/>
        </w:rPr>
        <w:t>.</w:t>
      </w:r>
    </w:p>
    <w:p>
      <w:pPr>
        <w:pStyle w:val="BodyText"/>
        <w:spacing w:line="232" w:lineRule="auto" w:before="14"/>
        <w:ind w:left="115" w:right="628" w:firstLine="436"/>
      </w:pPr>
      <w:r>
        <w:rPr>
          <w:color w:val="363436"/>
          <w:w w:val="110"/>
        </w:rPr>
        <w:t>The sample appellate briefsin thisappendix follow Supreme Court rules</w:t>
      </w:r>
      <w:r>
        <w:rPr>
          <w:color w:val="363436"/>
          <w:spacing w:val="-61"/>
          <w:w w:val="110"/>
        </w:rPr>
        <w:t> </w:t>
      </w:r>
      <w:r>
        <w:rPr>
          <w:color w:val="363436"/>
          <w:w w:val="110"/>
        </w:rPr>
        <w:t>as to format, and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sample motion brief follows a commonly acceptable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5"/>
        </w:rPr>
        <w:t>motion format. All of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the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sample briefs follow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publishing convention</w:t>
      </w:r>
      <w:r>
        <w:rPr>
          <w:color w:val="7E8082"/>
          <w:w w:val="115"/>
        </w:rPr>
        <w:t>i</w:t>
      </w:r>
      <w:r>
        <w:rPr>
          <w:color w:val="7E8082"/>
          <w:spacing w:val="1"/>
          <w:w w:val="115"/>
        </w:rPr>
        <w:t> </w:t>
      </w:r>
      <w:r>
        <w:rPr>
          <w:color w:val="363436"/>
          <w:w w:val="115"/>
        </w:rPr>
        <w:t>rather than word processing conventions. Thus, for example, briefs tha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0"/>
        </w:rPr>
        <w:t>you</w:t>
      </w:r>
      <w:r>
        <w:rPr>
          <w:color w:val="363436"/>
          <w:spacing w:val="16"/>
          <w:w w:val="110"/>
        </w:rPr>
        <w:t> </w:t>
      </w:r>
      <w:r>
        <w:rPr>
          <w:color w:val="363436"/>
          <w:w w:val="110"/>
        </w:rPr>
        <w:t>prepare</w:t>
      </w:r>
      <w:r>
        <w:rPr>
          <w:color w:val="363436"/>
          <w:spacing w:val="7"/>
          <w:w w:val="110"/>
        </w:rPr>
        <w:t> </w:t>
      </w:r>
      <w:r>
        <w:rPr>
          <w:color w:val="363436"/>
          <w:w w:val="110"/>
        </w:rPr>
        <w:t>for</w:t>
      </w:r>
      <w:r>
        <w:rPr>
          <w:color w:val="363436"/>
          <w:spacing w:val="12"/>
          <w:w w:val="110"/>
        </w:rPr>
        <w:t> </w:t>
      </w:r>
      <w:r>
        <w:rPr>
          <w:color w:val="363436"/>
          <w:w w:val="110"/>
        </w:rPr>
        <w:t>a</w:t>
      </w:r>
      <w:r>
        <w:rPr>
          <w:color w:val="363436"/>
          <w:spacing w:val="12"/>
          <w:w w:val="110"/>
        </w:rPr>
        <w:t> </w:t>
      </w:r>
      <w:r>
        <w:rPr>
          <w:color w:val="363436"/>
          <w:w w:val="110"/>
        </w:rPr>
        <w:t>law</w:t>
      </w:r>
      <w:r>
        <w:rPr>
          <w:color w:val="363436"/>
          <w:spacing w:val="-6"/>
          <w:w w:val="110"/>
        </w:rPr>
        <w:t> </w:t>
      </w:r>
      <w:r>
        <w:rPr>
          <w:color w:val="363436"/>
          <w:w w:val="110"/>
        </w:rPr>
        <w:t>school</w:t>
      </w:r>
      <w:r>
        <w:rPr>
          <w:color w:val="363436"/>
          <w:spacing w:val="2"/>
          <w:w w:val="110"/>
        </w:rPr>
        <w:t> </w:t>
      </w:r>
      <w:r>
        <w:rPr>
          <w:color w:val="363436"/>
          <w:w w:val="110"/>
        </w:rPr>
        <w:t>course</w:t>
      </w:r>
      <w:r>
        <w:rPr>
          <w:color w:val="363436"/>
          <w:spacing w:val="12"/>
          <w:w w:val="110"/>
        </w:rPr>
        <w:t> </w:t>
      </w:r>
      <w:r>
        <w:rPr>
          <w:color w:val="363436"/>
          <w:w w:val="110"/>
        </w:rPr>
        <w:t>may</w:t>
      </w:r>
      <w:r>
        <w:rPr>
          <w:color w:val="363436"/>
          <w:spacing w:val="12"/>
          <w:w w:val="110"/>
        </w:rPr>
        <w:t> </w:t>
      </w:r>
      <w:r>
        <w:rPr>
          <w:color w:val="363436"/>
          <w:w w:val="110"/>
        </w:rPr>
        <w:t>need</w:t>
      </w:r>
      <w:r>
        <w:rPr>
          <w:color w:val="363436"/>
          <w:spacing w:val="8"/>
          <w:w w:val="110"/>
        </w:rPr>
        <w:t> </w:t>
      </w:r>
      <w:r>
        <w:rPr>
          <w:color w:val="363436"/>
          <w:w w:val="110"/>
        </w:rPr>
        <w:t>to</w:t>
      </w:r>
      <w:r>
        <w:rPr>
          <w:color w:val="363436"/>
          <w:spacing w:val="17"/>
          <w:w w:val="110"/>
        </w:rPr>
        <w:t> </w:t>
      </w:r>
      <w:r>
        <w:rPr>
          <w:color w:val="363436"/>
          <w:w w:val="110"/>
        </w:rPr>
        <w:t>be</w:t>
      </w:r>
      <w:r>
        <w:rPr>
          <w:color w:val="363436"/>
          <w:spacing w:val="-1"/>
          <w:w w:val="110"/>
        </w:rPr>
        <w:t> </w:t>
      </w:r>
      <w:r>
        <w:rPr>
          <w:color w:val="363436"/>
          <w:w w:val="110"/>
        </w:rPr>
        <w:t>double-spaced</w:t>
      </w:r>
      <w:r>
        <w:rPr>
          <w:color w:val="363436"/>
          <w:spacing w:val="29"/>
          <w:w w:val="110"/>
        </w:rPr>
        <w:t> </w:t>
      </w:r>
      <w:r>
        <w:rPr>
          <w:color w:val="363436"/>
          <w:w w:val="110"/>
        </w:rPr>
        <w:t>(othe1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5"/>
        </w:rPr>
        <w:t>than</w:t>
      </w:r>
      <w:r>
        <w:rPr>
          <w:color w:val="363436"/>
          <w:spacing w:val="38"/>
          <w:w w:val="115"/>
        </w:rPr>
        <w:t> </w:t>
      </w:r>
      <w:r>
        <w:rPr>
          <w:color w:val="363436"/>
          <w:w w:val="115"/>
        </w:rPr>
        <w:t>headings</w:t>
      </w:r>
      <w:r>
        <w:rPr>
          <w:color w:val="363436"/>
          <w:spacing w:val="25"/>
          <w:w w:val="115"/>
        </w:rPr>
        <w:t> </w:t>
      </w:r>
      <w:r>
        <w:rPr>
          <w:color w:val="363436"/>
          <w:w w:val="115"/>
        </w:rPr>
        <w:t>and</w:t>
      </w:r>
      <w:r>
        <w:rPr>
          <w:color w:val="363436"/>
          <w:spacing w:val="62"/>
          <w:w w:val="115"/>
        </w:rPr>
        <w:t> </w:t>
      </w:r>
      <w:r>
        <w:rPr>
          <w:color w:val="363436"/>
          <w:w w:val="115"/>
        </w:rPr>
        <w:t>double-indented</w:t>
      </w:r>
      <w:r>
        <w:rPr>
          <w:color w:val="363436"/>
          <w:spacing w:val="25"/>
          <w:w w:val="115"/>
        </w:rPr>
        <w:t> </w:t>
      </w:r>
      <w:r>
        <w:rPr>
          <w:color w:val="363436"/>
          <w:w w:val="115"/>
        </w:rPr>
        <w:t>quotations),</w:t>
      </w:r>
      <w:r>
        <w:rPr>
          <w:color w:val="363436"/>
          <w:spacing w:val="50"/>
          <w:w w:val="115"/>
        </w:rPr>
        <w:t> </w:t>
      </w:r>
      <w:r>
        <w:rPr>
          <w:color w:val="363436"/>
          <w:w w:val="115"/>
        </w:rPr>
        <w:t>may</w:t>
      </w:r>
      <w:r>
        <w:rPr>
          <w:color w:val="363436"/>
          <w:spacing w:val="26"/>
          <w:w w:val="115"/>
        </w:rPr>
        <w:t> </w:t>
      </w:r>
      <w:r>
        <w:rPr>
          <w:color w:val="363436"/>
          <w:w w:val="115"/>
        </w:rPr>
        <w:t>require</w:t>
      </w:r>
      <w:r>
        <w:rPr>
          <w:color w:val="363436"/>
          <w:spacing w:val="22"/>
          <w:w w:val="115"/>
        </w:rPr>
        <w:t> </w:t>
      </w:r>
      <w:r>
        <w:rPr>
          <w:color w:val="363436"/>
          <w:w w:val="115"/>
        </w:rPr>
        <w:t>different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0"/>
        </w:rPr>
        <w:t>margins,</w:t>
      </w:r>
      <w:r>
        <w:rPr>
          <w:color w:val="363436"/>
          <w:spacing w:val="10"/>
          <w:w w:val="110"/>
        </w:rPr>
        <w:t> </w:t>
      </w:r>
      <w:r>
        <w:rPr>
          <w:color w:val="363436"/>
          <w:w w:val="110"/>
        </w:rPr>
        <w:t>and</w:t>
      </w:r>
      <w:r>
        <w:rPr>
          <w:color w:val="363436"/>
          <w:spacing w:val="61"/>
          <w:w w:val="110"/>
        </w:rPr>
        <w:t> </w:t>
      </w:r>
      <w:r>
        <w:rPr>
          <w:color w:val="363436"/>
          <w:w w:val="110"/>
        </w:rPr>
        <w:t>may</w:t>
      </w:r>
      <w:r>
        <w:rPr>
          <w:color w:val="363436"/>
          <w:spacing w:val="42"/>
          <w:w w:val="110"/>
        </w:rPr>
        <w:t> </w:t>
      </w:r>
      <w:r>
        <w:rPr>
          <w:color w:val="363436"/>
          <w:w w:val="110"/>
        </w:rPr>
        <w:t>require</w:t>
      </w:r>
      <w:r>
        <w:rPr>
          <w:color w:val="363436"/>
          <w:spacing w:val="-4"/>
          <w:w w:val="110"/>
        </w:rPr>
        <w:t> </w:t>
      </w:r>
      <w:r>
        <w:rPr>
          <w:color w:val="363436"/>
          <w:w w:val="110"/>
        </w:rPr>
        <w:t>other</w:t>
      </w:r>
      <w:r>
        <w:rPr>
          <w:color w:val="363436"/>
          <w:spacing w:val="2"/>
          <w:w w:val="110"/>
        </w:rPr>
        <w:t> </w:t>
      </w:r>
      <w:r>
        <w:rPr>
          <w:color w:val="363436"/>
          <w:w w:val="110"/>
        </w:rPr>
        <w:t>different</w:t>
      </w:r>
      <w:r>
        <w:rPr>
          <w:color w:val="363436"/>
          <w:spacing w:val="5"/>
          <w:w w:val="110"/>
        </w:rPr>
        <w:t> </w:t>
      </w:r>
      <w:r>
        <w:rPr>
          <w:color w:val="363436"/>
          <w:w w:val="110"/>
        </w:rPr>
        <w:t>spacing</w:t>
      </w:r>
      <w:r>
        <w:rPr>
          <w:color w:val="363436"/>
          <w:spacing w:val="-9"/>
          <w:w w:val="110"/>
        </w:rPr>
        <w:t> </w:t>
      </w:r>
      <w:r>
        <w:rPr>
          <w:color w:val="363436"/>
          <w:w w:val="110"/>
        </w:rPr>
        <w:t>conventions.</w:t>
      </w:r>
      <w:r>
        <w:rPr>
          <w:color w:val="363436"/>
          <w:spacing w:val="4"/>
          <w:w w:val="110"/>
        </w:rPr>
        <w:t> </w:t>
      </w:r>
      <w:r>
        <w:rPr>
          <w:color w:val="363436"/>
          <w:w w:val="110"/>
        </w:rPr>
        <w:t>Of</w:t>
      </w:r>
      <w:r>
        <w:rPr>
          <w:color w:val="363436"/>
          <w:spacing w:val="16"/>
          <w:w w:val="110"/>
        </w:rPr>
        <w:t> </w:t>
      </w:r>
      <w:r>
        <w:rPr>
          <w:color w:val="363436"/>
          <w:w w:val="110"/>
        </w:rPr>
        <w:t>course</w:t>
      </w:r>
      <w:r>
        <w:rPr>
          <w:color w:val="545456"/>
          <w:w w:val="110"/>
        </w:rPr>
        <w:t>,</w:t>
      </w:r>
      <w:r>
        <w:rPr>
          <w:color w:val="545456"/>
          <w:spacing w:val="1"/>
          <w:w w:val="110"/>
        </w:rPr>
        <w:t> </w:t>
      </w:r>
      <w:r>
        <w:rPr>
          <w:color w:val="363436"/>
          <w:w w:val="115"/>
        </w:rPr>
        <w:t>'you</w:t>
      </w:r>
      <w:r>
        <w:rPr>
          <w:color w:val="363436"/>
          <w:spacing w:val="-7"/>
          <w:w w:val="115"/>
        </w:rPr>
        <w:t> </w:t>
      </w:r>
      <w:r>
        <w:rPr>
          <w:color w:val="363436"/>
          <w:w w:val="115"/>
        </w:rPr>
        <w:t>should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always</w:t>
      </w:r>
      <w:r>
        <w:rPr>
          <w:color w:val="363436"/>
          <w:spacing w:val="-4"/>
          <w:w w:val="115"/>
        </w:rPr>
        <w:t> </w:t>
      </w:r>
      <w:r>
        <w:rPr>
          <w:color w:val="363436"/>
          <w:w w:val="115"/>
        </w:rPr>
        <w:t>consult</w:t>
      </w:r>
      <w:r>
        <w:rPr>
          <w:color w:val="363436"/>
          <w:spacing w:val="4"/>
          <w:w w:val="115"/>
        </w:rPr>
        <w:t> </w:t>
      </w:r>
      <w:r>
        <w:rPr>
          <w:color w:val="363436"/>
          <w:w w:val="115"/>
        </w:rPr>
        <w:t>local rules,</w:t>
      </w:r>
      <w:r>
        <w:rPr>
          <w:color w:val="363436"/>
          <w:spacing w:val="-4"/>
          <w:w w:val="115"/>
        </w:rPr>
        <w:t> </w:t>
      </w:r>
      <w:r>
        <w:rPr>
          <w:color w:val="363436"/>
          <w:w w:val="115"/>
        </w:rPr>
        <w:t>whether</w:t>
      </w:r>
      <w:r>
        <w:rPr>
          <w:color w:val="363436"/>
          <w:spacing w:val="11"/>
          <w:w w:val="115"/>
        </w:rPr>
        <w:t> </w:t>
      </w:r>
      <w:r>
        <w:rPr>
          <w:color w:val="363436"/>
          <w:w w:val="115"/>
        </w:rPr>
        <w:t>those rules</w:t>
      </w:r>
      <w:r>
        <w:rPr>
          <w:color w:val="363436"/>
          <w:spacing w:val="-8"/>
          <w:w w:val="115"/>
        </w:rPr>
        <w:t> </w:t>
      </w:r>
      <w:r>
        <w:rPr>
          <w:color w:val="363436"/>
          <w:w w:val="115"/>
        </w:rPr>
        <w:t>are</w:t>
      </w:r>
      <w:r>
        <w:rPr>
          <w:color w:val="363436"/>
          <w:spacing w:val="13"/>
          <w:w w:val="115"/>
        </w:rPr>
        <w:t> </w:t>
      </w:r>
      <w:r>
        <w:rPr>
          <w:color w:val="363436"/>
          <w:w w:val="115"/>
        </w:rPr>
        <w:t>rules</w:t>
      </w:r>
      <w:r>
        <w:rPr>
          <w:color w:val="363436"/>
          <w:spacing w:val="-8"/>
          <w:w w:val="115"/>
        </w:rPr>
        <w:t> </w:t>
      </w:r>
      <w:r>
        <w:rPr>
          <w:color w:val="363436"/>
          <w:w w:val="115"/>
        </w:rPr>
        <w:t>of</w:t>
      </w:r>
      <w:r>
        <w:rPr>
          <w:color w:val="363436"/>
          <w:spacing w:val="8"/>
          <w:w w:val="115"/>
        </w:rPr>
        <w:t> </w:t>
      </w:r>
      <w:r>
        <w:rPr>
          <w:color w:val="363436"/>
          <w:w w:val="115"/>
        </w:rPr>
        <w:t>a</w:t>
      </w:r>
      <w:r>
        <w:rPr>
          <w:color w:val="363436"/>
          <w:spacing w:val="-63"/>
          <w:w w:val="115"/>
        </w:rPr>
        <w:t> </w:t>
      </w:r>
      <w:r>
        <w:rPr>
          <w:color w:val="363436"/>
          <w:w w:val="115"/>
        </w:rPr>
        <w:t>court</w:t>
      </w:r>
      <w:r>
        <w:rPr>
          <w:color w:val="363436"/>
          <w:spacing w:val="-11"/>
          <w:w w:val="115"/>
        </w:rPr>
        <w:t> </w:t>
      </w:r>
      <w:r>
        <w:rPr>
          <w:color w:val="363436"/>
          <w:w w:val="115"/>
        </w:rPr>
        <w:t>or</w:t>
      </w:r>
      <w:r>
        <w:rPr>
          <w:color w:val="363436"/>
          <w:spacing w:val="3"/>
          <w:w w:val="115"/>
        </w:rPr>
        <w:t> </w:t>
      </w:r>
      <w:r>
        <w:rPr>
          <w:color w:val="363436"/>
          <w:w w:val="115"/>
        </w:rPr>
        <w:t>rules</w:t>
      </w:r>
      <w:r>
        <w:rPr>
          <w:color w:val="363436"/>
          <w:spacing w:val="-19"/>
          <w:w w:val="115"/>
        </w:rPr>
        <w:t> </w:t>
      </w:r>
      <w:r>
        <w:rPr>
          <w:color w:val="363436"/>
          <w:w w:val="115"/>
        </w:rPr>
        <w:t>of</w:t>
      </w:r>
      <w:r>
        <w:rPr>
          <w:color w:val="363436"/>
          <w:spacing w:val="3"/>
          <w:w w:val="115"/>
        </w:rPr>
        <w:t> </w:t>
      </w:r>
      <w:r>
        <w:rPr>
          <w:color w:val="363436"/>
          <w:w w:val="115"/>
        </w:rPr>
        <w:t>a</w:t>
      </w:r>
      <w:r>
        <w:rPr>
          <w:color w:val="363436"/>
          <w:spacing w:val="-6"/>
          <w:w w:val="115"/>
        </w:rPr>
        <w:t> </w:t>
      </w:r>
      <w:r>
        <w:rPr>
          <w:color w:val="363436"/>
          <w:w w:val="115"/>
        </w:rPr>
        <w:t>classroom</w:t>
      </w:r>
      <w:r>
        <w:rPr>
          <w:color w:val="545456"/>
          <w:w w:val="115"/>
        </w:rPr>
        <w:t>.</w:t>
      </w:r>
    </w:p>
    <w:sectPr>
      <w:headerReference w:type="even" r:id="rId393"/>
      <w:pgSz w:w="9700" w:h="14040"/>
      <w:pgMar w:header="0" w:footer="0" w:top="0" w:bottom="0" w:left="28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5.42691pt;margin-top:25.661066pt;width:37.5pt;height:12.6pt;mso-position-horizontal-relative:page;mso-position-vertical-relative:page;z-index:-21610496" type="#_x0000_t202" id="docshape1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43133"/>
                    <w:w w:val="105"/>
                    <w:sz w:val="19"/>
                  </w:rPr>
                  <w:t>Con</w:t>
                </w:r>
                <w:r>
                  <w:rPr>
                    <w:color w:val="565456"/>
                    <w:w w:val="105"/>
                    <w:sz w:val="19"/>
                  </w:rPr>
                  <w:t>t</w:t>
                </w:r>
                <w:r>
                  <w:rPr>
                    <w:color w:val="343133"/>
                    <w:w w:val="105"/>
                    <w:sz w:val="19"/>
                  </w:rPr>
                  <w:t>ents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.61047pt;margin-top:26.915588pt;width:17.25pt;height:11.55pt;mso-position-horizontal-relative:page;mso-position-vertical-relative:page;z-index:-21609984" type="#_x0000_t202" id="docshape2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rFonts w:ascii="Arial"/>
                    <w:b/>
                    <w:sz w:val="17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43133"/>
                    <w:w w:val="110"/>
                    <w:sz w:val="17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33.288086pt;margin-top:20.402767pt;width:17.45pt;height:13.15pt;mso-position-horizontal-relative:page;mso-position-vertical-relative:page;z-index:-21533696" type="#_x0000_t202" id="docshape164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A383A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53.074799pt;margin-top:20.849752pt;width:58.45pt;height:12.6pt;mso-position-horizontal-relative:page;mso-position-vertical-relative:page;z-index:-21533184" type="#_x0000_t202" id="docshape16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A383A"/>
                    <w:w w:val="105"/>
                    <w:sz w:val="19"/>
                  </w:rPr>
                  <w:t>4.4</w:t>
                </w:r>
                <w:r>
                  <w:rPr>
                    <w:color w:val="3A383A"/>
                    <w:spacing w:val="48"/>
                    <w:w w:val="105"/>
                    <w:sz w:val="19"/>
                  </w:rPr>
                  <w:t> </w:t>
                </w:r>
                <w:r>
                  <w:rPr>
                    <w:color w:val="3A383A"/>
                    <w:w w:val="105"/>
                    <w:sz w:val="19"/>
                  </w:rPr>
                  <w:t>Summary</w:t>
                </w:r>
              </w:p>
            </w:txbxContent>
          </v:textbox>
          <w10:wrap type="non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2.969643pt;margin-top:25.625391pt;width:12.15pt;height:12pt;mso-position-horizontal-relative:page;mso-position-vertical-relative:page;z-index:-21532672" type="#_x0000_t202" id="docshape167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3B3A3B"/>
                    <w:w w:val="115"/>
                    <w:sz w:val="18"/>
                  </w:rPr>
                  <w:t>88</w:t>
                </w:r>
              </w:p>
            </w:txbxContent>
          </v:textbox>
          <w10:wrap type="none"/>
        </v:shape>
      </w:pict>
    </w:r>
    <w:r>
      <w:rPr/>
      <w:pict>
        <v:shape style="position:absolute;margin-left:107.107903pt;margin-top:25.625391pt;width:193.15pt;height:12pt;mso-position-horizontal-relative:page;mso-position-vertical-relative:page;z-index:-21532160" type="#_x0000_t202" id="docshape168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/>
                    <w:i/>
                    <w:sz w:val="17"/>
                  </w:rPr>
                </w:pPr>
                <w:r>
                  <w:rPr>
                    <w:rFonts w:ascii="Arial"/>
                    <w:color w:val="3B3A3B"/>
                    <w:spacing w:val="-1"/>
                    <w:w w:val="90"/>
                    <w:sz w:val="17"/>
                  </w:rPr>
                  <w:t>Chapter</w:t>
                </w:r>
                <w:r>
                  <w:rPr>
                    <w:rFonts w:ascii="Arial"/>
                    <w:color w:val="3B3A3B"/>
                    <w:spacing w:val="-12"/>
                    <w:w w:val="90"/>
                    <w:sz w:val="17"/>
                  </w:rPr>
                  <w:t> </w:t>
                </w:r>
                <w:r>
                  <w:rPr>
                    <w:b/>
                    <w:color w:val="3B3A3B"/>
                    <w:spacing w:val="-1"/>
                    <w:w w:val="90"/>
                    <w:sz w:val="18"/>
                  </w:rPr>
                  <w:t>Five</w:t>
                </w:r>
                <w:r>
                  <w:rPr>
                    <w:b/>
                    <w:color w:val="3B3A3B"/>
                    <w:spacing w:val="47"/>
                    <w:sz w:val="18"/>
                  </w:rPr>
                  <w:t> </w:t>
                </w:r>
                <w:r>
                  <w:rPr>
                    <w:rFonts w:ascii="Arial"/>
                    <w:color w:val="3B3A3B"/>
                    <w:w w:val="90"/>
                    <w:sz w:val="17"/>
                  </w:rPr>
                  <w:t>One</w:t>
                </w:r>
                <w:r>
                  <w:rPr>
                    <w:rFonts w:ascii="Arial"/>
                    <w:color w:val="3B3A3B"/>
                    <w:spacing w:val="-8"/>
                    <w:w w:val="90"/>
                    <w:sz w:val="17"/>
                  </w:rPr>
                  <w:t> </w:t>
                </w:r>
                <w:r>
                  <w:rPr>
                    <w:b/>
                    <w:color w:val="3B3A3B"/>
                    <w:w w:val="90"/>
                    <w:sz w:val="18"/>
                  </w:rPr>
                  <w:t>Pieceata</w:t>
                </w:r>
                <w:r>
                  <w:rPr>
                    <w:b/>
                    <w:color w:val="3B3A3B"/>
                    <w:spacing w:val="-17"/>
                    <w:w w:val="90"/>
                    <w:sz w:val="18"/>
                  </w:rPr>
                  <w:t> </w:t>
                </w:r>
                <w:r>
                  <w:rPr>
                    <w:rFonts w:ascii="Arial"/>
                    <w:color w:val="3B3A3B"/>
                    <w:w w:val="90"/>
                    <w:sz w:val="17"/>
                  </w:rPr>
                  <w:t>Time:</w:t>
                </w:r>
                <w:r>
                  <w:rPr>
                    <w:rFonts w:ascii="Arial"/>
                    <w:color w:val="3B3A3B"/>
                    <w:spacing w:val="-10"/>
                    <w:w w:val="90"/>
                    <w:sz w:val="17"/>
                  </w:rPr>
                  <w:t> </w:t>
                </w:r>
                <w:r>
                  <w:rPr>
                    <w:rFonts w:ascii="Arial"/>
                    <w:color w:val="3B3A3B"/>
                    <w:w w:val="90"/>
                    <w:sz w:val="17"/>
                  </w:rPr>
                  <w:t>Drafting</w:t>
                </w:r>
                <w:r>
                  <w:rPr>
                    <w:rFonts w:ascii="Arial"/>
                    <w:color w:val="3B3A3B"/>
                    <w:spacing w:val="-17"/>
                    <w:w w:val="90"/>
                    <w:sz w:val="17"/>
                  </w:rPr>
                  <w:t> </w:t>
                </w:r>
                <w:r>
                  <w:rPr>
                    <w:rFonts w:ascii="Arial"/>
                    <w:color w:val="3B3A3B"/>
                    <w:w w:val="90"/>
                    <w:sz w:val="17"/>
                  </w:rPr>
                  <w:t>the</w:t>
                </w:r>
                <w:r>
                  <w:rPr>
                    <w:rFonts w:ascii="Arial"/>
                    <w:color w:val="3B3A3B"/>
                    <w:spacing w:val="-24"/>
                    <w:w w:val="90"/>
                    <w:sz w:val="17"/>
                  </w:rPr>
                  <w:t> </w:t>
                </w:r>
                <w:r>
                  <w:rPr>
                    <w:rFonts w:ascii="Arial"/>
                    <w:i/>
                    <w:color w:val="3B3A3B"/>
                    <w:w w:val="90"/>
                    <w:sz w:val="17"/>
                  </w:rPr>
                  <w:t>Argument</w:t>
                </w:r>
              </w:p>
            </w:txbxContent>
          </v:textbox>
          <w10:wrap type="non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9.072205pt;margin-top:21.838875pt;width:160.25pt;height:13.15pt;mso-position-horizontal-relative:page;mso-position-vertical-relative:page;z-index:-21531648" type="#_x0000_t202" id="docshape169" filled="false" stroked="false">
          <v:textbox inset="0,0,0,0">
            <w:txbxContent>
              <w:p>
                <w:pPr>
                  <w:tabs>
                    <w:tab w:pos="3184" w:val="right" w:leader="none"/>
                  </w:tabs>
                  <w:spacing w:before="12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rFonts w:ascii="Arial"/>
                    <w:color w:val="363436"/>
                    <w:spacing w:val="-1"/>
                    <w:sz w:val="17"/>
                  </w:rPr>
                  <w:t>5.1</w:t>
                </w:r>
                <w:r>
                  <w:rPr>
                    <w:rFonts w:ascii="Arial"/>
                    <w:color w:val="363436"/>
                    <w:spacing w:val="111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spacing w:val="-1"/>
                    <w:sz w:val="17"/>
                  </w:rPr>
                  <w:t>Using</w:t>
                </w:r>
                <w:r>
                  <w:rPr>
                    <w:rFonts w:ascii="Arial"/>
                    <w:color w:val="363436"/>
                    <w:spacing w:val="-9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spacing w:val="-1"/>
                    <w:sz w:val="17"/>
                  </w:rPr>
                  <w:t>an</w:t>
                </w:r>
                <w:r>
                  <w:rPr>
                    <w:rFonts w:ascii="Arial"/>
                    <w:color w:val="363436"/>
                    <w:spacing w:val="-28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spacing w:val="-1"/>
                    <w:sz w:val="17"/>
                  </w:rPr>
                  <w:t>Analytical</w:t>
                </w:r>
                <w:r>
                  <w:rPr>
                    <w:rFonts w:ascii="Arial"/>
                    <w:color w:val="363436"/>
                    <w:spacing w:val="-12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sz w:val="17"/>
                  </w:rPr>
                  <w:t>Formula</w:t>
                  <w:tab/>
                </w:r>
                <w:r>
                  <w:rPr>
                    <w:b/>
                    <w:color w:val="363436"/>
                    <w:sz w:val="20"/>
                  </w:rPr>
                  <w:t>89</w:t>
                </w:r>
              </w:p>
            </w:txbxContent>
          </v:textbox>
          <w10:wrap type="non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432823pt;margin-top:20.216913pt;width:18.150pt;height:13.15pt;mso-position-horizontal-relative:page;mso-position-vertical-relative:page;z-index:-21531136" type="#_x0000_t202" id="docshape170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A3838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23.921997pt;margin-top:21.43701pt;width:222.5pt;height:11.55pt;mso-position-horizontal-relative:page;mso-position-vertical-relative:page;z-index:-21530624" type="#_x0000_t202" id="docshape171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A3838"/>
                    <w:sz w:val="17"/>
                  </w:rPr>
                  <w:t>Chapter</w:t>
                </w:r>
                <w:r>
                  <w:rPr>
                    <w:rFonts w:ascii="Arial"/>
                    <w:color w:val="3A3838"/>
                    <w:spacing w:val="-8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Five</w:t>
                </w:r>
                <w:r>
                  <w:rPr>
                    <w:rFonts w:ascii="Arial"/>
                    <w:color w:val="3A3838"/>
                    <w:spacing w:val="73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One</w:t>
                </w:r>
                <w:r>
                  <w:rPr>
                    <w:rFonts w:ascii="Arial"/>
                    <w:color w:val="3A3838"/>
                    <w:spacing w:val="-23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Piece</w:t>
                </w:r>
                <w:r>
                  <w:rPr>
                    <w:rFonts w:ascii="Arial"/>
                    <w:color w:val="3A3838"/>
                    <w:spacing w:val="-11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at</w:t>
                </w:r>
                <w:r>
                  <w:rPr>
                    <w:rFonts w:ascii="Arial"/>
                    <w:color w:val="3A3838"/>
                    <w:spacing w:val="18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a</w:t>
                </w:r>
                <w:r>
                  <w:rPr>
                    <w:rFonts w:ascii="Arial"/>
                    <w:color w:val="3A3838"/>
                    <w:spacing w:val="-6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Time:</w:t>
                </w:r>
                <w:r>
                  <w:rPr>
                    <w:rFonts w:ascii="Arial"/>
                    <w:color w:val="3A3838"/>
                    <w:spacing w:val="-17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Drafting</w:t>
                </w:r>
                <w:r>
                  <w:rPr>
                    <w:rFonts w:ascii="Arial"/>
                    <w:color w:val="3A3838"/>
                    <w:spacing w:val="-12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the</w:t>
                </w:r>
                <w:r>
                  <w:rPr>
                    <w:rFonts w:ascii="Arial"/>
                    <w:color w:val="3A3838"/>
                    <w:spacing w:val="-19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Argument</w:t>
                </w:r>
              </w:p>
            </w:txbxContent>
          </v:textbox>
          <w10:wrap type="non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8.429993pt;margin-top:20.181829pt;width:129.85pt;height:11.55pt;mso-position-horizontal-relative:page;mso-position-vertical-relative:page;z-index:-21530112" type="#_x0000_t202" id="docshape17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8"/>
                    <w:w w:val="105"/>
                    <w:sz w:val="17"/>
                  </w:rPr>
                  <w:t>5.1</w:t>
                </w:r>
                <w:r>
                  <w:rPr>
                    <w:rFonts w:ascii="Arial"/>
                    <w:color w:val="383638"/>
                    <w:spacing w:val="24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Using</w:t>
                </w:r>
                <w:r>
                  <w:rPr>
                    <w:rFonts w:ascii="Arial"/>
                    <w:color w:val="383638"/>
                    <w:spacing w:val="-17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an</w:t>
                </w:r>
                <w:r>
                  <w:rPr>
                    <w:rFonts w:ascii="Arial"/>
                    <w:color w:val="383638"/>
                    <w:spacing w:val="1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Analytical</w:t>
                </w:r>
                <w:r>
                  <w:rPr>
                    <w:rFonts w:ascii="Arial"/>
                    <w:color w:val="383638"/>
                    <w:spacing w:val="-2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Formula</w:t>
                </w:r>
              </w:p>
            </w:txbxContent>
          </v:textbox>
          <w10:wrap type="none"/>
        </v:shape>
      </w:pict>
    </w:r>
    <w:r>
      <w:rPr/>
      <w:pict>
        <v:shape style="position:absolute;margin-left:429.900787pt;margin-top:19.727667pt;width:17.7pt;height:12.1pt;mso-position-horizontal-relative:page;mso-position-vertical-relative:page;z-index:-21529600" type="#_x0000_t202" id="docshape173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8"/>
                    <w:w w:val="10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1.917786pt;margin-top:18.917717pt;width:130.4500pt;height:12.6pt;mso-position-horizontal-relative:page;mso-position-vertical-relative:page;z-index:-21529088" type="#_x0000_t202" id="docshape174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i/>
                    <w:color w:val="3A3838"/>
                    <w:w w:val="105"/>
                    <w:sz w:val="19"/>
                  </w:rPr>
                  <w:t>5.</w:t>
                </w:r>
                <w:r>
                  <w:rPr>
                    <w:color w:val="3A3838"/>
                    <w:w w:val="105"/>
                    <w:sz w:val="18"/>
                  </w:rPr>
                  <w:t>1</w:t>
                </w:r>
                <w:r>
                  <w:rPr>
                    <w:color w:val="3A3838"/>
                    <w:spacing w:val="1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Using</w:t>
                </w:r>
                <w:r>
                  <w:rPr>
                    <w:color w:val="3A3838"/>
                    <w:spacing w:val="-8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an</w:t>
                </w:r>
                <w:r>
                  <w:rPr>
                    <w:color w:val="3A3838"/>
                    <w:spacing w:val="15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Analytical</w:t>
                </w:r>
                <w:r>
                  <w:rPr>
                    <w:color w:val="3A3838"/>
                    <w:spacing w:val="7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Formula</w:t>
                </w:r>
              </w:p>
            </w:txbxContent>
          </v:textbox>
          <w10:wrap type="none"/>
        </v:shape>
      </w:pict>
    </w:r>
    <w:r>
      <w:rPr/>
      <w:pict>
        <v:shape style="position:absolute;margin-left:425.150787pt;margin-top:18.917717pt;width:16.95pt;height:12.6pt;mso-position-horizontal-relative:page;mso-position-vertical-relative:page;z-index:-21528576" type="#_x0000_t202" id="docshape175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A3838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030502pt;margin-top:18.966532pt;width:14.3pt;height:13.15pt;mso-position-horizontal-relative:page;mso-position-vertical-relative:page;z-index:-21528064" type="#_x0000_t202" id="docshape176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383638"/>
                    <w:w w:val="125"/>
                    <w:sz w:val="20"/>
                  </w:rPr>
                  <w:t>94</w:t>
                </w:r>
              </w:p>
            </w:txbxContent>
          </v:textbox>
          <w10:wrap type="none"/>
        </v:shape>
      </w:pict>
    </w:r>
    <w:r>
      <w:rPr/>
      <w:pict>
        <v:shape style="position:absolute;margin-left:136.104507pt;margin-top:19.860899pt;width:224pt;height:12.05pt;mso-position-horizontal-relative:page;mso-position-vertical-relative:page;z-index:-21527552" type="#_x0000_t202" id="docshape177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83638"/>
                    <w:sz w:val="18"/>
                  </w:rPr>
                  <w:t>Chapter Five</w:t>
                </w:r>
                <w:r>
                  <w:rPr>
                    <w:color w:val="383638"/>
                    <w:spacing w:val="78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One</w:t>
                </w:r>
                <w:r>
                  <w:rPr>
                    <w:color w:val="383638"/>
                    <w:spacing w:val="54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Piece</w:t>
                </w:r>
                <w:r>
                  <w:rPr>
                    <w:color w:val="383638"/>
                    <w:spacing w:val="-18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at</w:t>
                </w:r>
                <w:r>
                  <w:rPr>
                    <w:color w:val="383638"/>
                    <w:spacing w:val="20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a</w:t>
                </w:r>
                <w:r>
                  <w:rPr>
                    <w:color w:val="383638"/>
                    <w:spacing w:val="14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Time: Drafting</w:t>
                </w:r>
                <w:r>
                  <w:rPr>
                    <w:color w:val="383638"/>
                    <w:spacing w:val="5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the</w:t>
                </w:r>
                <w:r>
                  <w:rPr>
                    <w:color w:val="383638"/>
                    <w:spacing w:val="11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Argument</w:t>
                </w:r>
              </w:p>
            </w:txbxContent>
          </v:textbox>
          <w10:wrap type="non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6.895905pt;margin-top:21.174421pt;width:17.7pt;height:12.1pt;mso-position-horizontal-relative:page;mso-position-vertical-relative:page;z-index:-21527040" type="#_x0000_t202" id="docshape179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i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i/>
                    <w:color w:val="3A383A"/>
                    <w:w w:val="10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73.888611pt;margin-top:21.628632pt;width:130.75pt;height:11.55pt;mso-position-horizontal-relative:page;mso-position-vertical-relative:page;z-index:-21526528" type="#_x0000_t202" id="docshape180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A383A"/>
                    <w:w w:val="105"/>
                    <w:sz w:val="17"/>
                  </w:rPr>
                  <w:t>5.1</w:t>
                </w:r>
                <w:r>
                  <w:rPr>
                    <w:rFonts w:ascii="Arial"/>
                    <w:color w:val="3A383A"/>
                    <w:spacing w:val="4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w w:val="105"/>
                    <w:sz w:val="17"/>
                  </w:rPr>
                  <w:t>Using</w:t>
                </w:r>
                <w:r>
                  <w:rPr>
                    <w:rFonts w:ascii="Arial"/>
                    <w:color w:val="3A383A"/>
                    <w:spacing w:val="-9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w w:val="105"/>
                    <w:sz w:val="17"/>
                  </w:rPr>
                  <w:t>an Analytical</w:t>
                </w:r>
                <w:r>
                  <w:rPr>
                    <w:rFonts w:ascii="Arial"/>
                    <w:color w:val="3A383A"/>
                    <w:spacing w:val="-9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w w:val="105"/>
                    <w:sz w:val="17"/>
                  </w:rPr>
                  <w:t>Formula</w:t>
                </w:r>
              </w:p>
            </w:txbxContent>
          </v:textbox>
          <w10:wrap type="none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5.5923pt;margin-top:20.194244pt;width:8.2pt;height:11.55pt;mso-position-horizontal-relative:page;mso-position-vertical-relative:page;z-index:-21526016" type="#_x0000_t202" id="docshape181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8"/>
                    <w:w w:val="70"/>
                    <w:sz w:val="17"/>
                  </w:rPr>
                  <w:t>96</w:t>
                </w:r>
              </w:p>
            </w:txbxContent>
          </v:textbox>
          <w10:wrap type="none"/>
        </v:shape>
      </w:pict>
    </w:r>
    <w:r>
      <w:rPr/>
      <w:pict>
        <v:shape style="position:absolute;margin-left:133.146805pt;margin-top:20.194244pt;width:221.65pt;height:11.55pt;mso-position-horizontal-relative:page;mso-position-vertical-relative:page;z-index:-21525504" type="#_x0000_t202" id="docshape18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8"/>
                    <w:sz w:val="17"/>
                  </w:rPr>
                  <w:t>Chapter</w:t>
                </w:r>
                <w:r>
                  <w:rPr>
                    <w:rFonts w:ascii="Arial"/>
                    <w:color w:val="383638"/>
                    <w:spacing w:val="1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Five  </w:t>
                </w:r>
                <w:r>
                  <w:rPr>
                    <w:rFonts w:ascii="Arial"/>
                    <w:color w:val="383638"/>
                    <w:spacing w:val="28"/>
                    <w:sz w:val="17"/>
                  </w:rPr>
                  <w:t> </w:t>
                </w:r>
                <w:r>
                  <w:rPr>
                    <w:rFonts w:ascii="Arial"/>
                    <w:i/>
                    <w:color w:val="383638"/>
                    <w:sz w:val="17"/>
                  </w:rPr>
                  <w:t>One</w:t>
                </w:r>
                <w:r>
                  <w:rPr>
                    <w:rFonts w:ascii="Arial"/>
                    <w:i/>
                    <w:color w:val="383638"/>
                    <w:spacing w:val="-1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Piece</w:t>
                </w:r>
                <w:r>
                  <w:rPr>
                    <w:rFonts w:ascii="Arial"/>
                    <w:color w:val="383638"/>
                    <w:spacing w:val="-16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at</w:t>
                </w:r>
                <w:r>
                  <w:rPr>
                    <w:rFonts w:ascii="Arial"/>
                    <w:color w:val="383638"/>
                    <w:spacing w:val="23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a</w:t>
                </w:r>
                <w:r>
                  <w:rPr>
                    <w:rFonts w:ascii="Arial"/>
                    <w:color w:val="383638"/>
                    <w:spacing w:val="-11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nme:</w:t>
                </w:r>
                <w:r>
                  <w:rPr>
                    <w:rFonts w:ascii="Arial"/>
                    <w:color w:val="383638"/>
                    <w:spacing w:val="-20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Drafting</w:t>
                </w:r>
                <w:r>
                  <w:rPr>
                    <w:rFonts w:ascii="Arial"/>
                    <w:color w:val="383638"/>
                    <w:spacing w:val="-8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the</w:t>
                </w:r>
                <w:r>
                  <w:rPr>
                    <w:rFonts w:ascii="Arial"/>
                    <w:color w:val="383638"/>
                    <w:spacing w:val="-1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Argument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0.938812pt;margin-top:22.101698pt;width:130.7pt;height:11.55pt;mso-position-horizontal-relative:page;mso-position-vertical-relative:page;z-index:-21524992" type="#_x0000_t202" id="docshape184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B383A"/>
                    <w:sz w:val="17"/>
                  </w:rPr>
                  <w:t>5.1   </w:t>
                </w:r>
                <w:r>
                  <w:rPr>
                    <w:rFonts w:ascii="Arial"/>
                    <w:color w:val="3B383A"/>
                    <w:spacing w:val="25"/>
                    <w:sz w:val="17"/>
                  </w:rPr>
                  <w:t> </w:t>
                </w:r>
                <w:r>
                  <w:rPr>
                    <w:rFonts w:ascii="Arial"/>
                    <w:color w:val="3B383A"/>
                    <w:sz w:val="17"/>
                  </w:rPr>
                  <w:t>Using</w:t>
                </w:r>
                <w:r>
                  <w:rPr>
                    <w:rFonts w:ascii="Arial"/>
                    <w:color w:val="3B383A"/>
                    <w:spacing w:val="-6"/>
                    <w:sz w:val="17"/>
                  </w:rPr>
                  <w:t> </w:t>
                </w:r>
                <w:r>
                  <w:rPr>
                    <w:rFonts w:ascii="Arial"/>
                    <w:color w:val="3B383A"/>
                    <w:sz w:val="17"/>
                  </w:rPr>
                  <w:t>an</w:t>
                </w:r>
                <w:r>
                  <w:rPr>
                    <w:rFonts w:ascii="Arial"/>
                    <w:color w:val="3B383A"/>
                    <w:spacing w:val="-16"/>
                    <w:sz w:val="17"/>
                  </w:rPr>
                  <w:t> </w:t>
                </w:r>
                <w:r>
                  <w:rPr>
                    <w:rFonts w:ascii="Arial"/>
                    <w:color w:val="3B383A"/>
                    <w:sz w:val="17"/>
                  </w:rPr>
                  <w:t>Analytical</w:t>
                </w:r>
                <w:r>
                  <w:rPr>
                    <w:rFonts w:ascii="Arial"/>
                    <w:color w:val="3B383A"/>
                    <w:spacing w:val="2"/>
                    <w:sz w:val="17"/>
                  </w:rPr>
                  <w:t> </w:t>
                </w:r>
                <w:r>
                  <w:rPr>
                    <w:rFonts w:ascii="Arial"/>
                    <w:color w:val="3B383A"/>
                    <w:sz w:val="17"/>
                  </w:rPr>
                  <w:t>Formula</w:t>
                </w:r>
              </w:p>
            </w:txbxContent>
          </v:textbox>
          <w10:wrap type="none"/>
        </v:shape>
      </w:pict>
    </w:r>
    <w:r>
      <w:rPr/>
      <w:pict>
        <v:shape style="position:absolute;margin-left:423.642212pt;margin-top:22.101698pt;width:17.1pt;height:11.55pt;mso-position-horizontal-relative:page;mso-position-vertical-relative:page;z-index:-21524480" type="#_x0000_t202" id="docshape185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3B383A"/>
                    <w:w w:val="105"/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3.387787pt;margin-top:20.375492pt;width:18.1pt;height:12.6pt;mso-position-horizontal-relative:page;mso-position-vertical-relative:page;z-index:-21523968" type="#_x0000_t202" id="docshape186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B3A3B"/>
                    <w:w w:val="11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2.503799pt;margin-top:21.269768pt;width:221.95pt;height:11.45pt;mso-position-horizontal-relative:page;mso-position-vertical-relative:page;z-index:-21523456" type="#_x0000_t202" id="docshape187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7"/>
                  </w:rPr>
                </w:pPr>
                <w:r>
                  <w:rPr>
                    <w:color w:val="3B3A3B"/>
                    <w:w w:val="105"/>
                    <w:sz w:val="17"/>
                  </w:rPr>
                  <w:t>Chapter</w:t>
                </w:r>
                <w:r>
                  <w:rPr>
                    <w:color w:val="3B3A3B"/>
                    <w:spacing w:val="6"/>
                    <w:w w:val="105"/>
                    <w:sz w:val="17"/>
                  </w:rPr>
                  <w:t> </w:t>
                </w:r>
                <w:r>
                  <w:rPr>
                    <w:color w:val="3B3A3B"/>
                    <w:w w:val="105"/>
                    <w:sz w:val="17"/>
                  </w:rPr>
                  <w:t>Five </w:t>
                </w:r>
                <w:r>
                  <w:rPr>
                    <w:color w:val="3B3A3B"/>
                    <w:spacing w:val="26"/>
                    <w:w w:val="105"/>
                    <w:sz w:val="17"/>
                  </w:rPr>
                  <w:t> </w:t>
                </w:r>
                <w:r>
                  <w:rPr>
                    <w:color w:val="3B3A3B"/>
                    <w:w w:val="105"/>
                    <w:sz w:val="17"/>
                  </w:rPr>
                  <w:t>One </w:t>
                </w:r>
                <w:r>
                  <w:rPr>
                    <w:color w:val="3B3A3B"/>
                    <w:spacing w:val="14"/>
                    <w:w w:val="105"/>
                    <w:sz w:val="17"/>
                  </w:rPr>
                  <w:t> </w:t>
                </w:r>
                <w:r>
                  <w:rPr>
                    <w:color w:val="3B3A3B"/>
                    <w:w w:val="105"/>
                    <w:sz w:val="17"/>
                  </w:rPr>
                  <w:t>Piece</w:t>
                </w:r>
                <w:r>
                  <w:rPr>
                    <w:color w:val="3B3A3B"/>
                    <w:spacing w:val="-17"/>
                    <w:w w:val="105"/>
                    <w:sz w:val="17"/>
                  </w:rPr>
                  <w:t> </w:t>
                </w:r>
                <w:r>
                  <w:rPr>
                    <w:color w:val="3B3A3B"/>
                    <w:w w:val="105"/>
                    <w:sz w:val="17"/>
                  </w:rPr>
                  <w:t>at</w:t>
                </w:r>
                <w:r>
                  <w:rPr>
                    <w:color w:val="3B3A3B"/>
                    <w:spacing w:val="19"/>
                    <w:w w:val="105"/>
                    <w:sz w:val="17"/>
                  </w:rPr>
                  <w:t> </w:t>
                </w:r>
                <w:r>
                  <w:rPr>
                    <w:color w:val="3B3A3B"/>
                    <w:w w:val="105"/>
                    <w:sz w:val="17"/>
                  </w:rPr>
                  <w:t>a</w:t>
                </w:r>
                <w:r>
                  <w:rPr>
                    <w:color w:val="3B3A3B"/>
                    <w:spacing w:val="14"/>
                    <w:w w:val="105"/>
                    <w:sz w:val="17"/>
                  </w:rPr>
                  <w:t> </w:t>
                </w:r>
                <w:r>
                  <w:rPr>
                    <w:color w:val="3B3A3B"/>
                    <w:w w:val="105"/>
                    <w:sz w:val="17"/>
                  </w:rPr>
                  <w:t>Time:</w:t>
                </w:r>
                <w:r>
                  <w:rPr>
                    <w:color w:val="3B3A3B"/>
                    <w:spacing w:val="-5"/>
                    <w:w w:val="105"/>
                    <w:sz w:val="17"/>
                  </w:rPr>
                  <w:t> </w:t>
                </w:r>
                <w:r>
                  <w:rPr>
                    <w:color w:val="3B3A3B"/>
                    <w:w w:val="105"/>
                    <w:sz w:val="17"/>
                  </w:rPr>
                  <w:t>Drafting</w:t>
                </w:r>
                <w:r>
                  <w:rPr>
                    <w:color w:val="3B3A3B"/>
                    <w:spacing w:val="2"/>
                    <w:w w:val="105"/>
                    <w:sz w:val="17"/>
                  </w:rPr>
                  <w:t> </w:t>
                </w:r>
                <w:r>
                  <w:rPr>
                    <w:color w:val="3B3A3B"/>
                    <w:w w:val="105"/>
                    <w:sz w:val="17"/>
                  </w:rPr>
                  <w:t>the</w:t>
                </w:r>
                <w:r>
                  <w:rPr>
                    <w:color w:val="3B3A3B"/>
                    <w:spacing w:val="17"/>
                    <w:w w:val="105"/>
                    <w:sz w:val="17"/>
                  </w:rPr>
                  <w:t> </w:t>
                </w:r>
                <w:r>
                  <w:rPr>
                    <w:color w:val="3B3A3B"/>
                    <w:w w:val="105"/>
                    <w:sz w:val="17"/>
                  </w:rPr>
                  <w:t>Argument</w:t>
                </w:r>
              </w:p>
            </w:txbxContent>
          </v:textbox>
          <w10:wrap type="none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.15934pt;margin-top:21.671631pt;width:23.9pt;height:12.65pt;mso-position-horizontal-relative:page;mso-position-vertical-relative:page;z-index:-21522944" type="#_x0000_t202" id="docshape188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6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130501pt;margin-top:22.125603pt;width:222.05pt;height:12.1pt;mso-position-horizontal-relative:page;mso-position-vertical-relative:page;z-index:-21522432" type="#_x0000_t202" id="docshape189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6"/>
                    <w:spacing w:val="-1"/>
                    <w:sz w:val="17"/>
                  </w:rPr>
                  <w:t>Chapter</w:t>
                </w:r>
                <w:r>
                  <w:rPr>
                    <w:rFonts w:ascii="Arial"/>
                    <w:color w:val="383636"/>
                    <w:spacing w:val="-7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pacing w:val="-1"/>
                    <w:sz w:val="17"/>
                  </w:rPr>
                  <w:t>Five</w:t>
                </w:r>
                <w:r>
                  <w:rPr>
                    <w:rFonts w:ascii="Arial"/>
                    <w:color w:val="383636"/>
                    <w:spacing w:val="53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pacing w:val="-1"/>
                    <w:sz w:val="17"/>
                  </w:rPr>
                  <w:t>One</w:t>
                </w:r>
                <w:r>
                  <w:rPr>
                    <w:rFonts w:ascii="Arial"/>
                    <w:color w:val="383636"/>
                    <w:spacing w:val="-19"/>
                    <w:sz w:val="17"/>
                  </w:rPr>
                  <w:t> </w:t>
                </w:r>
                <w:r>
                  <w:rPr>
                    <w:rFonts w:ascii="Arial"/>
                    <w:i/>
                    <w:color w:val="383636"/>
                    <w:sz w:val="18"/>
                  </w:rPr>
                  <w:t>Piece</w:t>
                </w:r>
                <w:r>
                  <w:rPr>
                    <w:rFonts w:ascii="Arial"/>
                    <w:i/>
                    <w:color w:val="383636"/>
                    <w:spacing w:val="-12"/>
                    <w:sz w:val="18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at</w:t>
                </w:r>
                <w:r>
                  <w:rPr>
                    <w:rFonts w:ascii="Arial"/>
                    <w:color w:val="383636"/>
                    <w:spacing w:val="10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a</w:t>
                </w:r>
                <w:r>
                  <w:rPr>
                    <w:rFonts w:ascii="Arial"/>
                    <w:color w:val="383636"/>
                    <w:spacing w:val="6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Time:</w:t>
                </w:r>
                <w:r>
                  <w:rPr>
                    <w:rFonts w:ascii="Arial"/>
                    <w:color w:val="383636"/>
                    <w:spacing w:val="-20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Drafting</w:t>
                </w:r>
                <w:r>
                  <w:rPr>
                    <w:rFonts w:ascii="Arial"/>
                    <w:color w:val="383636"/>
                    <w:spacing w:val="-13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the</w:t>
                </w:r>
                <w:r>
                  <w:rPr>
                    <w:rFonts w:ascii="Arial"/>
                    <w:color w:val="383636"/>
                    <w:spacing w:val="-21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Argument</w:t>
                </w:r>
              </w:p>
            </w:txbxContent>
          </v:textbox>
          <w10:wrap type="none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8.838989pt;margin-top:22.619421pt;width:130.5500pt;height:12.15pt;mso-position-horizontal-relative:page;mso-position-vertical-relative:page;z-index:-21521920" type="#_x0000_t202" id="docshape190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b/>
                    <w:color w:val="3B3A3B"/>
                    <w:w w:val="105"/>
                    <w:sz w:val="18"/>
                  </w:rPr>
                  <w:t>5.1</w:t>
                </w:r>
                <w:r>
                  <w:rPr>
                    <w:rFonts w:ascii="Arial"/>
                    <w:b/>
                    <w:color w:val="3B3A3B"/>
                    <w:spacing w:val="29"/>
                    <w:w w:val="105"/>
                    <w:sz w:val="18"/>
                  </w:rPr>
                  <w:t> </w:t>
                </w:r>
                <w:r>
                  <w:rPr>
                    <w:color w:val="3B3A3B"/>
                    <w:w w:val="105"/>
                    <w:sz w:val="18"/>
                  </w:rPr>
                  <w:t>Using</w:t>
                </w:r>
                <w:r>
                  <w:rPr>
                    <w:color w:val="3B3A3B"/>
                    <w:spacing w:val="-3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3B3A3B"/>
                    <w:w w:val="105"/>
                    <w:sz w:val="17"/>
                  </w:rPr>
                  <w:t>an</w:t>
                </w:r>
                <w:r>
                  <w:rPr>
                    <w:rFonts w:ascii="Arial"/>
                    <w:color w:val="3B3A3B"/>
                    <w:spacing w:val="-3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A3B"/>
                    <w:w w:val="105"/>
                    <w:sz w:val="17"/>
                  </w:rPr>
                  <w:t>Analytical</w:t>
                </w:r>
                <w:r>
                  <w:rPr>
                    <w:rFonts w:ascii="Arial"/>
                    <w:color w:val="3B3A3B"/>
                    <w:spacing w:val="-3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A3B"/>
                    <w:w w:val="105"/>
                    <w:sz w:val="17"/>
                  </w:rPr>
                  <w:t>Formula</w:t>
                </w:r>
              </w:p>
            </w:txbxContent>
          </v:textbox>
          <w10:wrap type="none"/>
        </v:shape>
      </w:pict>
    </w:r>
    <w:r>
      <w:rPr/>
      <w:pict>
        <v:shape style="position:absolute;margin-left:426.046509pt;margin-top:22.619421pt;width:23.6pt;height:12.1pt;mso-position-horizontal-relative:page;mso-position-vertical-relative:page;z-index:-21521408" type="#_x0000_t202" id="docshape19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B3A3B"/>
                    <w:w w:val="11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.53698pt;margin-top:20.681303pt;width:23.6pt;height:12.1pt;mso-position-horizontal-relative:page;mso-position-vertical-relative:page;z-index:-21520896" type="#_x0000_t202" id="docshape19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D3B3B"/>
                    <w:w w:val="11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9.077896pt;margin-top:20.80912pt;width:222.4pt;height:12pt;mso-position-horizontal-relative:page;mso-position-vertical-relative:page;z-index:-21520384" type="#_x0000_t202" id="docshape193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D3B3B"/>
                    <w:sz w:val="18"/>
                  </w:rPr>
                  <w:t>Chapter</w:t>
                </w:r>
                <w:r>
                  <w:rPr>
                    <w:color w:val="3D3B3B"/>
                    <w:spacing w:val="5"/>
                    <w:sz w:val="18"/>
                  </w:rPr>
                  <w:t> </w:t>
                </w:r>
                <w:r>
                  <w:rPr>
                    <w:color w:val="3D3B3B"/>
                    <w:sz w:val="18"/>
                  </w:rPr>
                  <w:t>Five</w:t>
                </w:r>
                <w:r>
                  <w:rPr>
                    <w:color w:val="3D3B3B"/>
                    <w:spacing w:val="70"/>
                    <w:sz w:val="18"/>
                  </w:rPr>
                  <w:t> </w:t>
                </w:r>
                <w:r>
                  <w:rPr>
                    <w:color w:val="3D3B3B"/>
                    <w:sz w:val="18"/>
                  </w:rPr>
                  <w:t>One</w:t>
                </w:r>
                <w:r>
                  <w:rPr>
                    <w:color w:val="3D3B3B"/>
                    <w:spacing w:val="55"/>
                    <w:sz w:val="18"/>
                  </w:rPr>
                  <w:t> </w:t>
                </w:r>
                <w:r>
                  <w:rPr>
                    <w:rFonts w:ascii="Arial"/>
                    <w:i/>
                    <w:color w:val="3D3B3B"/>
                    <w:sz w:val="17"/>
                  </w:rPr>
                  <w:t>Piece</w:t>
                </w:r>
                <w:r>
                  <w:rPr>
                    <w:rFonts w:ascii="Arial"/>
                    <w:i/>
                    <w:color w:val="3D3B3B"/>
                    <w:spacing w:val="-17"/>
                    <w:sz w:val="17"/>
                  </w:rPr>
                  <w:t> </w:t>
                </w:r>
                <w:r>
                  <w:rPr>
                    <w:color w:val="3D3B3B"/>
                    <w:sz w:val="18"/>
                  </w:rPr>
                  <w:t>at</w:t>
                </w:r>
                <w:r>
                  <w:rPr>
                    <w:color w:val="3D3B3B"/>
                    <w:spacing w:val="30"/>
                    <w:sz w:val="18"/>
                  </w:rPr>
                  <w:t> </w:t>
                </w:r>
                <w:r>
                  <w:rPr>
                    <w:color w:val="3D3B3B"/>
                    <w:sz w:val="18"/>
                  </w:rPr>
                  <w:t>a</w:t>
                </w:r>
                <w:r>
                  <w:rPr>
                    <w:color w:val="3D3B3B"/>
                    <w:spacing w:val="19"/>
                    <w:sz w:val="18"/>
                  </w:rPr>
                  <w:t> </w:t>
                </w:r>
                <w:r>
                  <w:rPr>
                    <w:color w:val="3D3B3B"/>
                    <w:sz w:val="18"/>
                  </w:rPr>
                  <w:t>lime:</w:t>
                </w:r>
                <w:r>
                  <w:rPr>
                    <w:color w:val="3D3B3B"/>
                    <w:spacing w:val="-8"/>
                    <w:sz w:val="18"/>
                  </w:rPr>
                  <w:t> </w:t>
                </w:r>
                <w:r>
                  <w:rPr>
                    <w:color w:val="3D3B3B"/>
                    <w:sz w:val="18"/>
                  </w:rPr>
                  <w:t>Drafting</w:t>
                </w:r>
                <w:r>
                  <w:rPr>
                    <w:color w:val="3D3B3B"/>
                    <w:spacing w:val="7"/>
                    <w:sz w:val="18"/>
                  </w:rPr>
                  <w:t> </w:t>
                </w:r>
                <w:r>
                  <w:rPr>
                    <w:rFonts w:ascii="Arial"/>
                    <w:i/>
                    <w:color w:val="3D3B3B"/>
                    <w:sz w:val="17"/>
                  </w:rPr>
                  <w:t>the</w:t>
                </w:r>
                <w:r>
                  <w:rPr>
                    <w:rFonts w:ascii="Arial"/>
                    <w:i/>
                    <w:color w:val="3D3B3B"/>
                    <w:spacing w:val="-19"/>
                    <w:sz w:val="17"/>
                  </w:rPr>
                  <w:t> </w:t>
                </w:r>
                <w:r>
                  <w:rPr>
                    <w:color w:val="3D3B3B"/>
                    <w:sz w:val="18"/>
                  </w:rPr>
                  <w:t>Argument</w:t>
                </w:r>
              </w:p>
            </w:txbxContent>
          </v:textbox>
          <w10:wrap type="none"/>
        </v:shape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364502pt;margin-top:25.481932pt;width:131.4pt;height:11.55pt;mso-position-horizontal-relative:page;mso-position-vertical-relative:page;z-index:-21519872" type="#_x0000_t202" id="docshape194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B3A3B"/>
                    <w:w w:val="105"/>
                    <w:sz w:val="17"/>
                  </w:rPr>
                  <w:t>5.1 </w:t>
                </w:r>
                <w:r>
                  <w:rPr>
                    <w:rFonts w:ascii="Arial"/>
                    <w:color w:val="3B3A3B"/>
                    <w:spacing w:val="1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A3B"/>
                    <w:w w:val="105"/>
                    <w:sz w:val="17"/>
                  </w:rPr>
                  <w:t>Using</w:t>
                </w:r>
                <w:r>
                  <w:rPr>
                    <w:rFonts w:ascii="Arial"/>
                    <w:color w:val="3B3A3B"/>
                    <w:spacing w:val="-7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A3B"/>
                    <w:w w:val="105"/>
                    <w:sz w:val="17"/>
                  </w:rPr>
                  <w:t>an</w:t>
                </w:r>
                <w:r>
                  <w:rPr>
                    <w:rFonts w:ascii="Arial"/>
                    <w:color w:val="3B3A3B"/>
                    <w:spacing w:val="3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A3B"/>
                    <w:w w:val="105"/>
                    <w:sz w:val="17"/>
                  </w:rPr>
                  <w:t>Analytical</w:t>
                </w:r>
                <w:r>
                  <w:rPr>
                    <w:rFonts w:ascii="Arial"/>
                    <w:color w:val="3B3A3B"/>
                    <w:spacing w:val="-9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A3B"/>
                    <w:w w:val="105"/>
                    <w:sz w:val="17"/>
                  </w:rPr>
                  <w:t>Formula</w:t>
                </w:r>
              </w:p>
            </w:txbxContent>
          </v:textbox>
          <w10:wrap type="none"/>
        </v:shape>
      </w:pict>
    </w:r>
    <w:r>
      <w:rPr/>
      <w:pict>
        <v:shape style="position:absolute;margin-left:424.234314pt;margin-top:25.481932pt;width:22.4pt;height:11.55pt;mso-position-horizontal-relative:page;mso-position-vertical-relative:page;z-index:-21519360" type="#_x0000_t202" id="docshape195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3B3A3B"/>
                    <w:w w:val="110"/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2.53846pt;margin-top:22.607004pt;width:19.5pt;height:12.1pt;mso-position-horizontal-relative:page;mso-position-vertical-relative:page;z-index:-21518848" type="#_x0000_t202" id="docshape196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3A3638"/>
                    <w:w w:val="115"/>
                    <w:sz w:val="18"/>
                  </w:rPr>
                  <w:t>104</w:t>
                </w:r>
              </w:p>
            </w:txbxContent>
          </v:textbox>
          <w10:wrap type="none"/>
        </v:shape>
      </w:pict>
    </w:r>
    <w:r>
      <w:rPr/>
      <w:pict>
        <v:shape style="position:absolute;margin-left:110.044502pt;margin-top:22.734821pt;width:220.95pt;height:12pt;mso-position-horizontal-relative:page;mso-position-vertical-relative:page;z-index:-21518336" type="#_x0000_t202" id="docshape197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A3638"/>
                    <w:spacing w:val="-1"/>
                    <w:sz w:val="18"/>
                  </w:rPr>
                  <w:t>Chapter</w:t>
                </w:r>
                <w:r>
                  <w:rPr>
                    <w:color w:val="3A3638"/>
                    <w:spacing w:val="-10"/>
                    <w:sz w:val="18"/>
                  </w:rPr>
                  <w:t> </w:t>
                </w:r>
                <w:r>
                  <w:rPr>
                    <w:rFonts w:ascii="Arial"/>
                    <w:i/>
                    <w:color w:val="2A2828"/>
                    <w:spacing w:val="-1"/>
                    <w:sz w:val="17"/>
                  </w:rPr>
                  <w:t>F</w:t>
                </w:r>
                <w:r>
                  <w:rPr>
                    <w:rFonts w:ascii="Arial"/>
                    <w:i/>
                    <w:color w:val="494849"/>
                    <w:spacing w:val="-1"/>
                    <w:sz w:val="17"/>
                  </w:rPr>
                  <w:t>ive</w:t>
                </w:r>
                <w:r>
                  <w:rPr>
                    <w:rFonts w:ascii="Arial"/>
                    <w:i/>
                    <w:color w:val="494849"/>
                    <w:spacing w:val="58"/>
                    <w:sz w:val="17"/>
                  </w:rPr>
                  <w:t> </w:t>
                </w:r>
                <w:r>
                  <w:rPr>
                    <w:color w:val="3A3638"/>
                    <w:spacing w:val="-1"/>
                    <w:sz w:val="18"/>
                  </w:rPr>
                  <w:t>One</w:t>
                </w:r>
                <w:r>
                  <w:rPr>
                    <w:color w:val="3A3638"/>
                    <w:spacing w:val="42"/>
                    <w:sz w:val="18"/>
                  </w:rPr>
                  <w:t> </w:t>
                </w:r>
                <w:r>
                  <w:rPr>
                    <w:color w:val="2A2828"/>
                    <w:spacing w:val="-1"/>
                    <w:sz w:val="18"/>
                  </w:rPr>
                  <w:t>P</w:t>
                </w:r>
                <w:r>
                  <w:rPr>
                    <w:color w:val="494849"/>
                    <w:spacing w:val="-1"/>
                    <w:sz w:val="18"/>
                  </w:rPr>
                  <w:t>iece</w:t>
                </w:r>
                <w:r>
                  <w:rPr>
                    <w:color w:val="494849"/>
                    <w:spacing w:val="5"/>
                    <w:sz w:val="18"/>
                  </w:rPr>
                  <w:t> </w:t>
                </w:r>
                <w:r>
                  <w:rPr>
                    <w:color w:val="3A3638"/>
                    <w:spacing w:val="-1"/>
                    <w:sz w:val="18"/>
                  </w:rPr>
                  <w:t>at</w:t>
                </w:r>
                <w:r>
                  <w:rPr>
                    <w:color w:val="3A3638"/>
                    <w:spacing w:val="15"/>
                    <w:sz w:val="18"/>
                  </w:rPr>
                  <w:t> </w:t>
                </w:r>
                <w:r>
                  <w:rPr>
                    <w:color w:val="3A3638"/>
                    <w:spacing w:val="-1"/>
                    <w:sz w:val="18"/>
                  </w:rPr>
                  <w:t>a</w:t>
                </w:r>
                <w:r>
                  <w:rPr>
                    <w:color w:val="3A3638"/>
                    <w:spacing w:val="15"/>
                    <w:sz w:val="18"/>
                  </w:rPr>
                  <w:t> </w:t>
                </w:r>
                <w:r>
                  <w:rPr>
                    <w:color w:val="3A3638"/>
                    <w:spacing w:val="-1"/>
                    <w:sz w:val="18"/>
                  </w:rPr>
                  <w:t>Time</w:t>
                </w:r>
                <w:r>
                  <w:rPr>
                    <w:color w:val="5B5B5D"/>
                    <w:spacing w:val="-1"/>
                    <w:sz w:val="18"/>
                  </w:rPr>
                  <w:t>: </w:t>
                </w:r>
                <w:r>
                  <w:rPr>
                    <w:color w:val="3A3638"/>
                    <w:spacing w:val="-1"/>
                    <w:sz w:val="18"/>
                  </w:rPr>
                  <w:t>Drafting</w:t>
                </w:r>
                <w:r>
                  <w:rPr>
                    <w:color w:val="3A3638"/>
                    <w:spacing w:val="3"/>
                    <w:sz w:val="18"/>
                  </w:rPr>
                  <w:t> </w:t>
                </w:r>
                <w:r>
                  <w:rPr>
                    <w:color w:val="3A3638"/>
                    <w:sz w:val="18"/>
                  </w:rPr>
                  <w:t>the</w:t>
                </w:r>
                <w:r>
                  <w:rPr>
                    <w:color w:val="3A3638"/>
                    <w:spacing w:val="18"/>
                    <w:sz w:val="18"/>
                  </w:rPr>
                  <w:t> </w:t>
                </w:r>
                <w:r>
                  <w:rPr>
                    <w:color w:val="3A3638"/>
                    <w:sz w:val="18"/>
                  </w:rPr>
                  <w:t>Argument</w:t>
                </w:r>
              </w:p>
            </w:txbxContent>
          </v:textbox>
          <w10:wrap type="none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321991pt;margin-top:24.064423pt;width:129.5pt;height:12.1pt;mso-position-horizontal-relative:page;mso-position-vertical-relative:page;z-index:-21517824" type="#_x0000_t202" id="docshape198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383638"/>
                    <w:sz w:val="18"/>
                  </w:rPr>
                  <w:t>5.1</w:t>
                </w:r>
                <w:r>
                  <w:rPr>
                    <w:rFonts w:ascii="Arial"/>
                    <w:color w:val="383638"/>
                    <w:spacing w:val="23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sz w:val="18"/>
                  </w:rPr>
                  <w:t>Using</w:t>
                </w:r>
                <w:r>
                  <w:rPr>
                    <w:rFonts w:ascii="Arial"/>
                    <w:color w:val="383638"/>
                    <w:spacing w:val="-11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sz w:val="18"/>
                  </w:rPr>
                  <w:t>an</w:t>
                </w:r>
                <w:r>
                  <w:rPr>
                    <w:rFonts w:ascii="Arial"/>
                    <w:color w:val="383638"/>
                    <w:spacing w:val="-21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sz w:val="18"/>
                  </w:rPr>
                  <w:t>Analytical</w:t>
                </w:r>
                <w:r>
                  <w:rPr>
                    <w:rFonts w:ascii="Arial"/>
                    <w:color w:val="383638"/>
                    <w:spacing w:val="-7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sz w:val="18"/>
                  </w:rPr>
                  <w:t>Formula</w:t>
                </w:r>
              </w:p>
            </w:txbxContent>
          </v:textbox>
          <w10:wrap type="none"/>
        </v:shape>
      </w:pict>
    </w:r>
    <w:r>
      <w:rPr/>
      <w:pict>
        <v:shape style="position:absolute;margin-left:427.794708pt;margin-top:24.064423pt;width:21.95pt;height:12.1pt;mso-position-horizontal-relative:page;mso-position-vertical-relative:page;z-index:-21517312" type="#_x0000_t202" id="docshape199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383638"/>
                    <w:sz w:val="18"/>
                  </w:rPr>
                  <w:t>105</w:t>
                </w:r>
              </w:p>
            </w:txbxContent>
          </v:textbox>
          <w10:wrap type="none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2.703491pt;margin-top:20.702904pt;width:20.45pt;height:12.1pt;mso-position-horizontal-relative:page;mso-position-vertical-relative:page;z-index:-21516800" type="#_x0000_t202" id="docshape200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383638"/>
                    <w:w w:val="125"/>
                    <w:sz w:val="18"/>
                  </w:rPr>
                  <w:t>106</w:t>
                </w:r>
              </w:p>
            </w:txbxContent>
          </v:textbox>
          <w10:wrap type="none"/>
        </v:shape>
      </w:pict>
    </w:r>
    <w:r>
      <w:rPr/>
      <w:pict>
        <v:shape style="position:absolute;margin-left:119.726303pt;margin-top:20.383541pt;width:220.95pt;height:12.6pt;mso-position-horizontal-relative:page;mso-position-vertical-relative:page;z-index:-21516288" type="#_x0000_t202" id="docshape201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83638"/>
                    <w:w w:val="95"/>
                    <w:sz w:val="19"/>
                  </w:rPr>
                  <w:t>Chapter</w:t>
                </w:r>
                <w:r>
                  <w:rPr>
                    <w:color w:val="383638"/>
                    <w:spacing w:val="-9"/>
                    <w:w w:val="95"/>
                    <w:sz w:val="19"/>
                  </w:rPr>
                  <w:t> </w:t>
                </w:r>
                <w:r>
                  <w:rPr>
                    <w:rFonts w:ascii="Arial"/>
                    <w:i/>
                    <w:color w:val="383638"/>
                    <w:w w:val="95"/>
                    <w:sz w:val="18"/>
                  </w:rPr>
                  <w:t>Five</w:t>
                </w:r>
                <w:r>
                  <w:rPr>
                    <w:rFonts w:ascii="Arial"/>
                    <w:i/>
                    <w:color w:val="383638"/>
                    <w:spacing w:val="50"/>
                    <w:sz w:val="18"/>
                  </w:rPr>
                  <w:t> </w:t>
                </w:r>
                <w:r>
                  <w:rPr>
                    <w:rFonts w:ascii="Arial"/>
                    <w:i/>
                    <w:color w:val="383638"/>
                    <w:w w:val="95"/>
                    <w:sz w:val="18"/>
                  </w:rPr>
                  <w:t>One</w:t>
                </w:r>
                <w:r>
                  <w:rPr>
                    <w:rFonts w:ascii="Arial"/>
                    <w:i/>
                    <w:color w:val="383638"/>
                    <w:spacing w:val="-24"/>
                    <w:w w:val="95"/>
                    <w:sz w:val="18"/>
                  </w:rPr>
                  <w:t> </w:t>
                </w:r>
                <w:r>
                  <w:rPr>
                    <w:rFonts w:ascii="Arial"/>
                    <w:i/>
                    <w:color w:val="383638"/>
                    <w:w w:val="95"/>
                    <w:sz w:val="18"/>
                  </w:rPr>
                  <w:t>Piece</w:t>
                </w:r>
                <w:r>
                  <w:rPr>
                    <w:rFonts w:ascii="Arial"/>
                    <w:i/>
                    <w:color w:val="383638"/>
                    <w:spacing w:val="-8"/>
                    <w:w w:val="95"/>
                    <w:sz w:val="18"/>
                  </w:rPr>
                  <w:t> </w:t>
                </w:r>
                <w:r>
                  <w:rPr>
                    <w:color w:val="383638"/>
                    <w:w w:val="95"/>
                    <w:sz w:val="19"/>
                  </w:rPr>
                  <w:t>at</w:t>
                </w:r>
                <w:r>
                  <w:rPr>
                    <w:color w:val="383638"/>
                    <w:spacing w:val="19"/>
                    <w:w w:val="95"/>
                    <w:sz w:val="19"/>
                  </w:rPr>
                  <w:t> </w:t>
                </w:r>
                <w:r>
                  <w:rPr>
                    <w:color w:val="383638"/>
                    <w:w w:val="95"/>
                    <w:sz w:val="19"/>
                  </w:rPr>
                  <w:t>a</w:t>
                </w:r>
                <w:r>
                  <w:rPr>
                    <w:color w:val="383638"/>
                    <w:spacing w:val="19"/>
                    <w:w w:val="95"/>
                    <w:sz w:val="19"/>
                  </w:rPr>
                  <w:t> </w:t>
                </w:r>
                <w:r>
                  <w:rPr>
                    <w:color w:val="383638"/>
                    <w:w w:val="95"/>
                    <w:sz w:val="19"/>
                  </w:rPr>
                  <w:t>Time:</w:t>
                </w:r>
                <w:r>
                  <w:rPr>
                    <w:color w:val="383638"/>
                    <w:spacing w:val="-6"/>
                    <w:w w:val="95"/>
                    <w:sz w:val="19"/>
                  </w:rPr>
                  <w:t> </w:t>
                </w:r>
                <w:r>
                  <w:rPr>
                    <w:color w:val="383638"/>
                    <w:w w:val="95"/>
                    <w:sz w:val="19"/>
                  </w:rPr>
                  <w:t>Drafting the</w:t>
                </w:r>
                <w:r>
                  <w:rPr>
                    <w:color w:val="383638"/>
                    <w:spacing w:val="-18"/>
                    <w:w w:val="95"/>
                    <w:sz w:val="19"/>
                  </w:rPr>
                  <w:t> </w:t>
                </w:r>
                <w:r>
                  <w:rPr>
                    <w:color w:val="383638"/>
                    <w:w w:val="95"/>
                    <w:sz w:val="19"/>
                  </w:rPr>
                  <w:t>Argument</w:t>
                </w:r>
              </w:p>
            </w:txbxContent>
          </v:textbox>
          <w10:wrap type="none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26.647003pt;margin-top:22.128269pt;width:179.9pt;height:12.1pt;mso-position-horizontal-relative:page;mso-position-vertical-relative:page;z-index:-21515776" type="#_x0000_t202" id="docshape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3B383A"/>
                    <w:w w:val="95"/>
                    <w:sz w:val="18"/>
                  </w:rPr>
                  <w:t>5.2</w:t>
                </w:r>
                <w:r>
                  <w:rPr>
                    <w:rFonts w:ascii="Arial"/>
                    <w:color w:val="3B383A"/>
                    <w:spacing w:val="38"/>
                    <w:w w:val="95"/>
                    <w:sz w:val="18"/>
                  </w:rPr>
                  <w:t> </w:t>
                </w:r>
                <w:r>
                  <w:rPr>
                    <w:rFonts w:ascii="Arial"/>
                    <w:color w:val="3B383A"/>
                    <w:w w:val="95"/>
                    <w:sz w:val="18"/>
                  </w:rPr>
                  <w:t>When</w:t>
                </w:r>
                <w:r>
                  <w:rPr>
                    <w:rFonts w:ascii="Arial"/>
                    <w:color w:val="3B383A"/>
                    <w:spacing w:val="-8"/>
                    <w:w w:val="95"/>
                    <w:sz w:val="18"/>
                  </w:rPr>
                  <w:t> </w:t>
                </w:r>
                <w:r>
                  <w:rPr>
                    <w:rFonts w:ascii="Arial"/>
                    <w:color w:val="3B383A"/>
                    <w:w w:val="95"/>
                    <w:sz w:val="18"/>
                  </w:rPr>
                  <w:t>Not</w:t>
                </w:r>
                <w:r>
                  <w:rPr>
                    <w:rFonts w:ascii="Arial"/>
                    <w:color w:val="3B383A"/>
                    <w:spacing w:val="35"/>
                    <w:w w:val="95"/>
                    <w:sz w:val="18"/>
                  </w:rPr>
                  <w:t> </w:t>
                </w:r>
                <w:r>
                  <w:rPr>
                    <w:rFonts w:ascii="Arial"/>
                    <w:color w:val="3B383A"/>
                    <w:w w:val="95"/>
                    <w:sz w:val="18"/>
                  </w:rPr>
                  <w:t>to</w:t>
                </w:r>
                <w:r>
                  <w:rPr>
                    <w:rFonts w:ascii="Arial"/>
                    <w:color w:val="3B383A"/>
                    <w:spacing w:val="19"/>
                    <w:w w:val="95"/>
                    <w:sz w:val="18"/>
                  </w:rPr>
                  <w:t> </w:t>
                </w:r>
                <w:r>
                  <w:rPr>
                    <w:rFonts w:ascii="Arial"/>
                    <w:color w:val="3B383A"/>
                    <w:w w:val="95"/>
                    <w:sz w:val="18"/>
                  </w:rPr>
                  <w:t>Provide</w:t>
                </w:r>
                <w:r>
                  <w:rPr>
                    <w:rFonts w:ascii="Arial"/>
                    <w:color w:val="3B383A"/>
                    <w:spacing w:val="1"/>
                    <w:w w:val="95"/>
                    <w:sz w:val="18"/>
                  </w:rPr>
                  <w:t> </w:t>
                </w:r>
                <w:r>
                  <w:rPr>
                    <w:rFonts w:ascii="Arial"/>
                    <w:color w:val="3B383A"/>
                    <w:w w:val="95"/>
                    <w:sz w:val="18"/>
                  </w:rPr>
                  <w:t>a</w:t>
                </w:r>
                <w:r>
                  <w:rPr>
                    <w:rFonts w:ascii="Arial"/>
                    <w:color w:val="3B383A"/>
                    <w:spacing w:val="-10"/>
                    <w:w w:val="95"/>
                    <w:sz w:val="18"/>
                  </w:rPr>
                  <w:t> </w:t>
                </w:r>
                <w:r>
                  <w:rPr>
                    <w:rFonts w:ascii="Arial"/>
                    <w:color w:val="3B383A"/>
                    <w:w w:val="95"/>
                    <w:sz w:val="18"/>
                  </w:rPr>
                  <w:t>CREXAC</w:t>
                </w:r>
                <w:r>
                  <w:rPr>
                    <w:rFonts w:ascii="Arial"/>
                    <w:color w:val="3B383A"/>
                    <w:spacing w:val="-5"/>
                    <w:w w:val="95"/>
                    <w:sz w:val="18"/>
                  </w:rPr>
                  <w:t> </w:t>
                </w:r>
                <w:r>
                  <w:rPr>
                    <w:rFonts w:ascii="Arial"/>
                    <w:color w:val="3B383A"/>
                    <w:w w:val="95"/>
                    <w:sz w:val="18"/>
                  </w:rPr>
                  <w:t>Analysis</w:t>
                </w:r>
              </w:p>
            </w:txbxContent>
          </v:textbox>
          <w10:wrap type="none"/>
        </v:shape>
      </w:pict>
    </w:r>
    <w:r>
      <w:rPr/>
      <w:pict>
        <v:shape style="position:absolute;margin-left:423.151794pt;margin-top:22.128269pt;width:21.35pt;height:12.1pt;mso-position-horizontal-relative:page;mso-position-vertical-relative:page;z-index:-21515264" type="#_x0000_t202" id="docshape203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3B383A"/>
                    <w:sz w:val="18"/>
                  </w:rPr>
                  <w:t>107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2.960701pt;margin-top:20.403093pt;width:20.1pt;height:13.15pt;mso-position-horizontal-relative:page;mso-position-vertical-relative:page;z-index:-21514752" type="#_x0000_t202" id="docshape20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3B3A3B"/>
                    <w:w w:val="120"/>
                    <w:sz w:val="20"/>
                  </w:rPr>
                  <w:t>108</w:t>
                </w:r>
              </w:p>
            </w:txbxContent>
          </v:textbox>
          <w10:wrap type="none"/>
        </v:shape>
      </w:pict>
    </w:r>
    <w:r>
      <w:rPr/>
      <w:pict>
        <v:shape style="position:absolute;margin-left:100.356499pt;margin-top:22.077408pt;width:220.85pt;height:11pt;mso-position-horizontal-relative:page;mso-position-vertical-relative:page;z-index:-21514240" type="#_x0000_t202" id="docshape206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3B3A3B"/>
                    <w:w w:val="105"/>
                    <w:sz w:val="16"/>
                  </w:rPr>
                  <w:t>Chapter</w:t>
                </w:r>
                <w:r>
                  <w:rPr>
                    <w:rFonts w:ascii="Arial"/>
                    <w:color w:val="3B3A3B"/>
                    <w:spacing w:val="-11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B3A3B"/>
                    <w:w w:val="105"/>
                    <w:sz w:val="16"/>
                  </w:rPr>
                  <w:t>Five  </w:t>
                </w:r>
                <w:r>
                  <w:rPr>
                    <w:rFonts w:ascii="Arial"/>
                    <w:color w:val="3B3A3B"/>
                    <w:spacing w:val="22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B3A3B"/>
                    <w:w w:val="105"/>
                    <w:sz w:val="16"/>
                  </w:rPr>
                  <w:t>One</w:t>
                </w:r>
                <w:r>
                  <w:rPr>
                    <w:rFonts w:ascii="Arial"/>
                    <w:color w:val="3B3A3B"/>
                    <w:spacing w:val="-5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B3A3B"/>
                    <w:w w:val="105"/>
                    <w:sz w:val="16"/>
                  </w:rPr>
                  <w:t>Piece</w:t>
                </w:r>
                <w:r>
                  <w:rPr>
                    <w:rFonts w:ascii="Arial"/>
                    <w:color w:val="3B3A3B"/>
                    <w:spacing w:val="-21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B3A3B"/>
                    <w:w w:val="105"/>
                    <w:sz w:val="16"/>
                  </w:rPr>
                  <w:t>at</w:t>
                </w:r>
                <w:r>
                  <w:rPr>
                    <w:rFonts w:ascii="Arial"/>
                    <w:color w:val="3B3A3B"/>
                    <w:spacing w:val="3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B3A3B"/>
                    <w:w w:val="105"/>
                    <w:sz w:val="16"/>
                  </w:rPr>
                  <w:t>a</w:t>
                </w:r>
                <w:r>
                  <w:rPr>
                    <w:rFonts w:ascii="Arial"/>
                    <w:color w:val="3B3A3B"/>
                    <w:spacing w:val="2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B3A3B"/>
                    <w:w w:val="105"/>
                    <w:sz w:val="16"/>
                  </w:rPr>
                  <w:t>Time;</w:t>
                </w:r>
                <w:r>
                  <w:rPr>
                    <w:rFonts w:ascii="Arial"/>
                    <w:color w:val="3B3A3B"/>
                    <w:spacing w:val="-16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B3A3B"/>
                    <w:w w:val="105"/>
                    <w:sz w:val="16"/>
                  </w:rPr>
                  <w:t>Drafting</w:t>
                </w:r>
                <w:r>
                  <w:rPr>
                    <w:rFonts w:ascii="Arial"/>
                    <w:color w:val="3B3A3B"/>
                    <w:spacing w:val="1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B3A3B"/>
                    <w:w w:val="105"/>
                    <w:sz w:val="16"/>
                  </w:rPr>
                  <w:t>the</w:t>
                </w:r>
                <w:r>
                  <w:rPr>
                    <w:rFonts w:ascii="Arial"/>
                    <w:color w:val="3B3A3B"/>
                    <w:spacing w:val="-13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B3A3B"/>
                    <w:w w:val="105"/>
                    <w:sz w:val="16"/>
                  </w:rPr>
                  <w:t>Argument</w:t>
                </w:r>
              </w:p>
            </w:txbxContent>
          </v:textbox>
          <w10:wrap type="none"/>
        </v:shape>
      </w:pic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25.132202pt;margin-top:22.256098pt;width:178.95pt;height:12pt;mso-position-horizontal-relative:page;mso-position-vertical-relative:page;z-index:-21513728" type="#_x0000_t202" id="docshape207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B3A3B"/>
                    <w:sz w:val="18"/>
                  </w:rPr>
                  <w:t>5.2</w:t>
                </w:r>
                <w:r>
                  <w:rPr>
                    <w:color w:val="3B3A3B"/>
                    <w:spacing w:val="54"/>
                    <w:sz w:val="18"/>
                  </w:rPr>
                  <w:t> </w:t>
                </w:r>
                <w:r>
                  <w:rPr>
                    <w:color w:val="3B3A3B"/>
                    <w:sz w:val="18"/>
                  </w:rPr>
                  <w:t>When</w:t>
                </w:r>
                <w:r>
                  <w:rPr>
                    <w:color w:val="3B3A3B"/>
                    <w:spacing w:val="29"/>
                    <w:sz w:val="18"/>
                  </w:rPr>
                  <w:t> </w:t>
                </w:r>
                <w:r>
                  <w:rPr>
                    <w:color w:val="3B3A3B"/>
                    <w:sz w:val="18"/>
                  </w:rPr>
                  <w:t>Not</w:t>
                </w:r>
                <w:r>
                  <w:rPr>
                    <w:color w:val="3B3A3B"/>
                    <w:spacing w:val="1"/>
                    <w:sz w:val="18"/>
                  </w:rPr>
                  <w:t> </w:t>
                </w:r>
                <w:r>
                  <w:rPr>
                    <w:color w:val="3B3A3B"/>
                    <w:sz w:val="18"/>
                  </w:rPr>
                  <w:t>to</w:t>
                </w:r>
                <w:r>
                  <w:rPr>
                    <w:color w:val="3B3A3B"/>
                    <w:spacing w:val="17"/>
                    <w:sz w:val="18"/>
                  </w:rPr>
                  <w:t> </w:t>
                </w:r>
                <w:r>
                  <w:rPr>
                    <w:color w:val="3B3A3B"/>
                    <w:sz w:val="18"/>
                  </w:rPr>
                  <w:t>Provide</w:t>
                </w:r>
                <w:r>
                  <w:rPr>
                    <w:color w:val="3B3A3B"/>
                    <w:spacing w:val="9"/>
                    <w:sz w:val="18"/>
                  </w:rPr>
                  <w:t> </w:t>
                </w:r>
                <w:r>
                  <w:rPr>
                    <w:color w:val="3B3A3B"/>
                    <w:sz w:val="18"/>
                  </w:rPr>
                  <w:t>a</w:t>
                </w:r>
                <w:r>
                  <w:rPr>
                    <w:color w:val="3B3A3B"/>
                    <w:spacing w:val="12"/>
                    <w:sz w:val="18"/>
                  </w:rPr>
                  <w:t> </w:t>
                </w:r>
                <w:r>
                  <w:rPr>
                    <w:color w:val="3B3A3B"/>
                    <w:sz w:val="18"/>
                  </w:rPr>
                  <w:t>CREXAC</w:t>
                </w:r>
                <w:r>
                  <w:rPr>
                    <w:color w:val="3B3A3B"/>
                    <w:spacing w:val="4"/>
                    <w:sz w:val="18"/>
                  </w:rPr>
                  <w:t> </w:t>
                </w:r>
                <w:r>
                  <w:rPr>
                    <w:color w:val="3B3A3B"/>
                    <w:sz w:val="18"/>
                  </w:rPr>
                  <w:t>Analysis</w:t>
                </w:r>
              </w:p>
            </w:txbxContent>
          </v:textbox>
          <w10:wrap type="none"/>
        </v:shape>
      </w:pict>
    </w:r>
    <w:r>
      <w:rPr/>
      <w:pict>
        <v:shape style="position:absolute;margin-left:421.458893pt;margin-top:22.128269pt;width:21.8pt;height:12.1pt;mso-position-horizontal-relative:page;mso-position-vertical-relative:page;z-index:-21513216" type="#_x0000_t202" id="docshape208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3B3A3B"/>
                    <w:sz w:val="18"/>
                  </w:rPr>
                  <w:t>109</w:t>
                </w:r>
              </w:p>
            </w:txbxContent>
          </v:textbox>
          <w10:wrap type="none"/>
        </v:shape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5.333778pt;margin-top:18.762117pt;width:19.05pt;height:12.1pt;mso-position-horizontal-relative:page;mso-position-vertical-relative:page;z-index:-21512704" type="#_x0000_t202" id="docshape209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383636"/>
                    <w:w w:val="115"/>
                    <w:sz w:val="18"/>
                  </w:rPr>
                  <w:t>110</w:t>
                </w:r>
              </w:p>
            </w:txbxContent>
          </v:textbox>
          <w10:wrap type="none"/>
        </v:shape>
      </w:pict>
    </w:r>
    <w:r>
      <w:rPr/>
      <w:pict>
        <v:shape style="position:absolute;margin-left:102.855499pt;margin-top:18.889977pt;width:222pt;height:12pt;mso-position-horizontal-relative:page;mso-position-vertical-relative:page;z-index:-21512192" type="#_x0000_t202" id="docshape210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83636"/>
                    <w:sz w:val="18"/>
                  </w:rPr>
                  <w:t>Chapter</w:t>
                </w:r>
                <w:r>
                  <w:rPr>
                    <w:color w:val="383636"/>
                    <w:spacing w:val="6"/>
                    <w:sz w:val="18"/>
                  </w:rPr>
                  <w:t> </w:t>
                </w:r>
                <w:r>
                  <w:rPr>
                    <w:color w:val="383636"/>
                    <w:sz w:val="18"/>
                  </w:rPr>
                  <w:t>Five</w:t>
                </w:r>
                <w:r>
                  <w:rPr>
                    <w:color w:val="383636"/>
                    <w:spacing w:val="80"/>
                    <w:sz w:val="18"/>
                  </w:rPr>
                  <w:t> </w:t>
                </w:r>
                <w:r>
                  <w:rPr>
                    <w:color w:val="383636"/>
                    <w:sz w:val="18"/>
                  </w:rPr>
                  <w:t>One</w:t>
                </w:r>
                <w:r>
                  <w:rPr>
                    <w:color w:val="383636"/>
                    <w:spacing w:val="67"/>
                    <w:sz w:val="18"/>
                  </w:rPr>
                  <w:t> </w:t>
                </w:r>
                <w:r>
                  <w:rPr>
                    <w:color w:val="383636"/>
                    <w:sz w:val="18"/>
                  </w:rPr>
                  <w:t>Piece</w:t>
                </w:r>
                <w:r>
                  <w:rPr>
                    <w:color w:val="383636"/>
                    <w:spacing w:val="-16"/>
                    <w:sz w:val="18"/>
                  </w:rPr>
                  <w:t> </w:t>
                </w:r>
                <w:r>
                  <w:rPr>
                    <w:color w:val="383636"/>
                    <w:sz w:val="18"/>
                  </w:rPr>
                  <w:t>at</w:t>
                </w:r>
                <w:r>
                  <w:rPr>
                    <w:color w:val="383636"/>
                    <w:spacing w:val="23"/>
                    <w:sz w:val="18"/>
                  </w:rPr>
                  <w:t> </w:t>
                </w:r>
                <w:r>
                  <w:rPr>
                    <w:color w:val="383636"/>
                    <w:sz w:val="18"/>
                  </w:rPr>
                  <w:t>a</w:t>
                </w:r>
                <w:r>
                  <w:rPr>
                    <w:color w:val="383636"/>
                    <w:spacing w:val="6"/>
                    <w:sz w:val="18"/>
                  </w:rPr>
                  <w:t> </w:t>
                </w:r>
                <w:r>
                  <w:rPr>
                    <w:color w:val="383636"/>
                    <w:sz w:val="18"/>
                  </w:rPr>
                  <w:t>lime:</w:t>
                </w:r>
                <w:r>
                  <w:rPr>
                    <w:color w:val="383636"/>
                    <w:spacing w:val="-7"/>
                    <w:sz w:val="18"/>
                  </w:rPr>
                  <w:t> </w:t>
                </w:r>
                <w:r>
                  <w:rPr>
                    <w:color w:val="383636"/>
                    <w:sz w:val="18"/>
                  </w:rPr>
                  <w:t>Drafting</w:t>
                </w:r>
                <w:r>
                  <w:rPr>
                    <w:color w:val="383636"/>
                    <w:spacing w:val="4"/>
                    <w:sz w:val="18"/>
                  </w:rPr>
                  <w:t> </w:t>
                </w:r>
                <w:r>
                  <w:rPr>
                    <w:color w:val="383636"/>
                    <w:sz w:val="18"/>
                  </w:rPr>
                  <w:t>the</w:t>
                </w:r>
                <w:r>
                  <w:rPr>
                    <w:color w:val="383636"/>
                    <w:spacing w:val="22"/>
                    <w:sz w:val="18"/>
                  </w:rPr>
                  <w:t> </w:t>
                </w:r>
                <w:r>
                  <w:rPr>
                    <w:color w:val="383636"/>
                    <w:sz w:val="18"/>
                  </w:rPr>
                  <w:t>Argument</w:t>
                </w:r>
              </w:p>
            </w:txbxContent>
          </v:textbox>
          <w10:wrap type="none"/>
        </v:shape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6.501495pt;margin-top:29.960793pt;width:186.3pt;height:12pt;mso-position-horizontal-relative:page;mso-position-vertical-relative:page;z-index:-21511680" type="#_x0000_t202" id="docshape211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A383A"/>
                    <w:w w:val="105"/>
                    <w:sz w:val="18"/>
                  </w:rPr>
                  <w:t>5.3  </w:t>
                </w:r>
                <w:r>
                  <w:rPr>
                    <w:color w:val="3A383A"/>
                    <w:spacing w:val="19"/>
                    <w:w w:val="105"/>
                    <w:sz w:val="18"/>
                  </w:rPr>
                  <w:t> </w:t>
                </w:r>
                <w:r>
                  <w:rPr>
                    <w:color w:val="3A383A"/>
                    <w:w w:val="105"/>
                    <w:sz w:val="18"/>
                  </w:rPr>
                  <w:t>Dealing</w:t>
                </w:r>
                <w:r>
                  <w:rPr>
                    <w:color w:val="3A383A"/>
                    <w:spacing w:val="26"/>
                    <w:w w:val="105"/>
                    <w:sz w:val="18"/>
                  </w:rPr>
                  <w:t> </w:t>
                </w:r>
                <w:r>
                  <w:rPr>
                    <w:color w:val="3A383A"/>
                    <w:w w:val="105"/>
                    <w:sz w:val="18"/>
                  </w:rPr>
                  <w:t>with</w:t>
                </w:r>
                <w:r>
                  <w:rPr>
                    <w:color w:val="3A383A"/>
                    <w:spacing w:val="7"/>
                    <w:w w:val="105"/>
                    <w:sz w:val="18"/>
                  </w:rPr>
                  <w:t> </w:t>
                </w:r>
                <w:r>
                  <w:rPr>
                    <w:color w:val="3A383A"/>
                    <w:w w:val="105"/>
                    <w:sz w:val="18"/>
                  </w:rPr>
                  <w:t>Your</w:t>
                </w:r>
                <w:r>
                  <w:rPr>
                    <w:color w:val="3A383A"/>
                    <w:spacing w:val="8"/>
                    <w:w w:val="105"/>
                    <w:sz w:val="18"/>
                  </w:rPr>
                  <w:t> </w:t>
                </w:r>
                <w:r>
                  <w:rPr>
                    <w:color w:val="3A383A"/>
                    <w:w w:val="105"/>
                    <w:sz w:val="18"/>
                  </w:rPr>
                  <w:t>Opponent's</w:t>
                </w:r>
                <w:r>
                  <w:rPr>
                    <w:color w:val="3A383A"/>
                    <w:spacing w:val="-5"/>
                    <w:w w:val="105"/>
                    <w:sz w:val="18"/>
                  </w:rPr>
                  <w:t> </w:t>
                </w:r>
                <w:r>
                  <w:rPr>
                    <w:color w:val="3A383A"/>
                    <w:w w:val="105"/>
                    <w:sz w:val="18"/>
                  </w:rPr>
                  <w:t>Arguments</w:t>
                </w:r>
              </w:p>
            </w:txbxContent>
          </v:textbox>
          <w10:wrap type="none"/>
        </v:shape>
      </w:pict>
    </w:r>
    <w:r>
      <w:rPr/>
      <w:pict>
        <v:shape style="position:absolute;margin-left:422.102814pt;margin-top:29.832956pt;width:18.75pt;height:12.1pt;mso-position-horizontal-relative:page;mso-position-vertical-relative:page;z-index:-21511168" type="#_x0000_t202" id="docshape21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3A383A"/>
                    <w:w w:val="110"/>
                    <w:sz w:val="18"/>
                  </w:rPr>
                  <w:t>111</w:t>
                </w:r>
              </w:p>
            </w:txbxContent>
          </v:textbox>
          <w10:wrap type="none"/>
        </v:shape>
      </w:pic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.279701pt;margin-top:17.774540pt;width:19.25pt;height:11.55pt;mso-position-horizontal-relative:page;mso-position-vertical-relative:page;z-index:-21510656" type="#_x0000_t202" id="docshape213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b/>
                    <w:sz w:val="17"/>
                  </w:rPr>
                </w:pPr>
                <w:r>
                  <w:rPr>
                    <w:rFonts w:ascii="Arial"/>
                    <w:b/>
                    <w:color w:val="3D3D3D"/>
                    <w:w w:val="120"/>
                    <w:sz w:val="17"/>
                  </w:rPr>
                  <w:t>112</w:t>
                </w:r>
              </w:p>
            </w:txbxContent>
          </v:textbox>
          <w10:wrap type="none"/>
        </v:shape>
      </w:pict>
    </w:r>
    <w:r>
      <w:rPr/>
      <w:pict>
        <v:shape style="position:absolute;margin-left:115.380302pt;margin-top:17.448223pt;width:189.75pt;height:12.05pt;mso-position-horizontal-relative:page;mso-position-vertical-relative:page;z-index:-21510144" type="#_x0000_t202" id="docshape214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D3D3D"/>
                    <w:w w:val="90"/>
                    <w:sz w:val="18"/>
                  </w:rPr>
                  <w:t>Chapter</w:t>
                </w:r>
                <w:r>
                  <w:rPr>
                    <w:color w:val="3D3D3D"/>
                    <w:spacing w:val="-4"/>
                    <w:w w:val="90"/>
                    <w:sz w:val="18"/>
                  </w:rPr>
                  <w:t> </w:t>
                </w:r>
                <w:r>
                  <w:rPr>
                    <w:color w:val="3D3D3D"/>
                    <w:w w:val="90"/>
                    <w:sz w:val="18"/>
                  </w:rPr>
                  <w:t>five</w:t>
                </w:r>
                <w:r>
                  <w:rPr>
                    <w:color w:val="3D3D3D"/>
                    <w:spacing w:val="26"/>
                    <w:w w:val="90"/>
                    <w:sz w:val="18"/>
                  </w:rPr>
                  <w:t> </w:t>
                </w:r>
                <w:r>
                  <w:rPr>
                    <w:rFonts w:ascii="Arial"/>
                    <w:i/>
                    <w:color w:val="3D3D3D"/>
                    <w:w w:val="90"/>
                    <w:sz w:val="17"/>
                  </w:rPr>
                  <w:t>One</w:t>
                </w:r>
                <w:r>
                  <w:rPr>
                    <w:rFonts w:ascii="Arial"/>
                    <w:i/>
                    <w:color w:val="3D3D3D"/>
                    <w:spacing w:val="-11"/>
                    <w:w w:val="90"/>
                    <w:sz w:val="17"/>
                  </w:rPr>
                  <w:t> </w:t>
                </w:r>
                <w:r>
                  <w:rPr>
                    <w:color w:val="3D3D3D"/>
                    <w:w w:val="90"/>
                    <w:sz w:val="18"/>
                  </w:rPr>
                  <w:t>Piece</w:t>
                </w:r>
                <w:r>
                  <w:rPr>
                    <w:color w:val="3D3D3D"/>
                    <w:spacing w:val="-13"/>
                    <w:w w:val="90"/>
                    <w:sz w:val="18"/>
                  </w:rPr>
                  <w:t> </w:t>
                </w:r>
                <w:r>
                  <w:rPr>
                    <w:color w:val="3D3D3D"/>
                    <w:w w:val="90"/>
                    <w:sz w:val="18"/>
                  </w:rPr>
                  <w:t>at</w:t>
                </w:r>
                <w:r>
                  <w:rPr>
                    <w:color w:val="3D3D3D"/>
                    <w:spacing w:val="-14"/>
                    <w:w w:val="90"/>
                    <w:sz w:val="18"/>
                  </w:rPr>
                  <w:t> </w:t>
                </w:r>
                <w:r>
                  <w:rPr>
                    <w:color w:val="3D3D3D"/>
                    <w:w w:val="90"/>
                    <w:sz w:val="18"/>
                  </w:rPr>
                  <w:t>a</w:t>
                </w:r>
                <w:r>
                  <w:rPr>
                    <w:rFonts w:ascii="Arial"/>
                    <w:i/>
                    <w:color w:val="3D3D3D"/>
                    <w:w w:val="90"/>
                    <w:sz w:val="17"/>
                  </w:rPr>
                  <w:t>Time:</w:t>
                </w:r>
                <w:r>
                  <w:rPr>
                    <w:rFonts w:ascii="Arial"/>
                    <w:i/>
                    <w:color w:val="3D3D3D"/>
                    <w:spacing w:val="7"/>
                    <w:w w:val="90"/>
                    <w:sz w:val="17"/>
                  </w:rPr>
                  <w:t> </w:t>
                </w:r>
                <w:r>
                  <w:rPr>
                    <w:color w:val="3D3D3D"/>
                    <w:w w:val="90"/>
                    <w:sz w:val="18"/>
                  </w:rPr>
                  <w:t>D</w:t>
                </w:r>
                <w:r>
                  <w:rPr>
                    <w:color w:val="545456"/>
                    <w:w w:val="90"/>
                    <w:sz w:val="18"/>
                  </w:rPr>
                  <w:t>r</w:t>
                </w:r>
                <w:r>
                  <w:rPr>
                    <w:color w:val="3D3D3D"/>
                    <w:w w:val="90"/>
                    <w:sz w:val="18"/>
                  </w:rPr>
                  <w:t>aft</w:t>
                </w:r>
                <w:r>
                  <w:rPr>
                    <w:color w:val="545456"/>
                    <w:w w:val="90"/>
                    <w:sz w:val="18"/>
                  </w:rPr>
                  <w:t>i</w:t>
                </w:r>
                <w:r>
                  <w:rPr>
                    <w:color w:val="3D3D3D"/>
                    <w:w w:val="90"/>
                    <w:sz w:val="18"/>
                  </w:rPr>
                  <w:t>ng</w:t>
                </w:r>
                <w:r>
                  <w:rPr>
                    <w:color w:val="3D3D3D"/>
                    <w:spacing w:val="6"/>
                    <w:w w:val="90"/>
                    <w:sz w:val="18"/>
                  </w:rPr>
                  <w:t> </w:t>
                </w:r>
                <w:r>
                  <w:rPr>
                    <w:color w:val="3D3D3D"/>
                    <w:w w:val="90"/>
                    <w:sz w:val="18"/>
                  </w:rPr>
                  <w:t>the</w:t>
                </w:r>
                <w:r>
                  <w:rPr>
                    <w:color w:val="3D3D3D"/>
                    <w:spacing w:val="-24"/>
                    <w:w w:val="90"/>
                    <w:sz w:val="18"/>
                  </w:rPr>
                  <w:t> </w:t>
                </w:r>
                <w:r>
                  <w:rPr>
                    <w:color w:val="3D3D3D"/>
                    <w:w w:val="90"/>
                    <w:sz w:val="18"/>
                  </w:rPr>
                  <w:t>Argument</w:t>
                </w:r>
              </w:p>
            </w:txbxContent>
          </v:textbox>
          <w10:wrap type="none"/>
        </v:shape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1.258698pt;margin-top:26.113232pt;width:176.55pt;height:12pt;mso-position-horizontal-relative:page;mso-position-vertical-relative:page;z-index:-21509632" type="#_x0000_t202" id="docshape215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A383A"/>
                    <w:sz w:val="17"/>
                  </w:rPr>
                  <w:t>5.3</w:t>
                </w:r>
                <w:r>
                  <w:rPr>
                    <w:rFonts w:ascii="Arial"/>
                    <w:color w:val="3A383A"/>
                    <w:spacing w:val="63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sz w:val="17"/>
                  </w:rPr>
                  <w:t>Dealing</w:t>
                </w:r>
                <w:r>
                  <w:rPr>
                    <w:rFonts w:ascii="Arial"/>
                    <w:color w:val="3A383A"/>
                    <w:spacing w:val="-8"/>
                    <w:sz w:val="17"/>
                  </w:rPr>
                  <w:t> </w:t>
                </w:r>
                <w:r>
                  <w:rPr>
                    <w:color w:val="3A383A"/>
                    <w:sz w:val="18"/>
                  </w:rPr>
                  <w:t>with</w:t>
                </w:r>
                <w:r>
                  <w:rPr>
                    <w:color w:val="3A383A"/>
                    <w:spacing w:val="1"/>
                    <w:sz w:val="18"/>
                  </w:rPr>
                  <w:t> </w:t>
                </w:r>
                <w:r>
                  <w:rPr>
                    <w:rFonts w:ascii="Arial"/>
                    <w:color w:val="3A383A"/>
                    <w:sz w:val="17"/>
                  </w:rPr>
                  <w:t>Your</w:t>
                </w:r>
                <w:r>
                  <w:rPr>
                    <w:rFonts w:ascii="Arial"/>
                    <w:color w:val="3A383A"/>
                    <w:spacing w:val="-13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sz w:val="17"/>
                  </w:rPr>
                  <w:t>Opponent's</w:t>
                </w:r>
                <w:r>
                  <w:rPr>
                    <w:rFonts w:ascii="Arial"/>
                    <w:color w:val="3A383A"/>
                    <w:spacing w:val="-2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sz w:val="17"/>
                  </w:rPr>
                  <w:t>Arguments</w:t>
                </w:r>
              </w:p>
            </w:txbxContent>
          </v:textbox>
          <w10:wrap type="none"/>
        </v:shape>
      </w:pict>
    </w:r>
    <w:r>
      <w:rPr/>
      <w:pict>
        <v:shape style="position:absolute;margin-left:406.645996pt;margin-top:25.985373pt;width:18.3pt;height:12.1pt;mso-position-horizontal-relative:page;mso-position-vertical-relative:page;z-index:-21509120" type="#_x0000_t202" id="docshape216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3A383A"/>
                    <w:w w:val="110"/>
                    <w:sz w:val="18"/>
                  </w:rPr>
                  <w:t>113</w:t>
                </w:r>
              </w:p>
            </w:txbxContent>
          </v:textbox>
          <w10:wrap type="none"/>
        </v:shape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1.476761pt;margin-top:21.652678pt;width:18.6pt;height:12.1pt;mso-position-horizontal-relative:page;mso-position-vertical-relative:page;z-index:-21508608" type="#_x0000_t202" id="docshape217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383638"/>
                    <w:w w:val="110"/>
                    <w:sz w:val="18"/>
                  </w:rPr>
                  <w:t>114</w:t>
                </w:r>
              </w:p>
            </w:txbxContent>
          </v:textbox>
          <w10:wrap type="none"/>
        </v:shape>
      </w:pict>
    </w:r>
    <w:r>
      <w:rPr/>
      <w:pict>
        <v:shape style="position:absolute;margin-left:98.424797pt;margin-top:22.106817pt;width:223.1pt;height:11.55pt;mso-position-horizontal-relative:page;mso-position-vertical-relative:page;z-index:-21508096" type="#_x0000_t202" id="docshape218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8"/>
                    <w:sz w:val="17"/>
                  </w:rPr>
                  <w:t>Chapter</w:t>
                </w:r>
                <w:r>
                  <w:rPr>
                    <w:rFonts w:ascii="Arial"/>
                    <w:color w:val="383638"/>
                    <w:spacing w:val="-6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Five</w:t>
                </w:r>
                <w:r>
                  <w:rPr>
                    <w:rFonts w:ascii="Arial"/>
                    <w:color w:val="383638"/>
                    <w:spacing w:val="82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One</w:t>
                </w:r>
                <w:r>
                  <w:rPr>
                    <w:rFonts w:ascii="Arial"/>
                    <w:color w:val="383638"/>
                    <w:spacing w:val="-22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Piece</w:t>
                </w:r>
                <w:r>
                  <w:rPr>
                    <w:rFonts w:ascii="Arial"/>
                    <w:color w:val="383638"/>
                    <w:spacing w:val="-7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at</w:t>
                </w:r>
                <w:r>
                  <w:rPr>
                    <w:rFonts w:ascii="Arial"/>
                    <w:color w:val="383638"/>
                    <w:spacing w:val="17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a</w:t>
                </w:r>
                <w:r>
                  <w:rPr>
                    <w:rFonts w:ascii="Arial"/>
                    <w:color w:val="383638"/>
                    <w:spacing w:val="-1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Time</w:t>
                </w:r>
                <w:r>
                  <w:rPr>
                    <w:rFonts w:ascii="Arial"/>
                    <w:color w:val="525254"/>
                    <w:sz w:val="17"/>
                  </w:rPr>
                  <w:t>:</w:t>
                </w:r>
                <w:r>
                  <w:rPr>
                    <w:rFonts w:ascii="Arial"/>
                    <w:color w:val="525254"/>
                    <w:spacing w:val="-17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Drafting</w:t>
                </w:r>
                <w:r>
                  <w:rPr>
                    <w:rFonts w:ascii="Arial"/>
                    <w:color w:val="383638"/>
                    <w:spacing w:val="-11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the</w:t>
                </w:r>
                <w:r>
                  <w:rPr>
                    <w:rFonts w:ascii="Arial"/>
                    <w:color w:val="383638"/>
                    <w:spacing w:val="-17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Argument</w:t>
                </w:r>
              </w:p>
            </w:txbxContent>
          </v:textbox>
          <w10:wrap type="none"/>
        </v:shape>
      </w:pic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0.94931pt;margin-top:27.90439pt;width:19.350pt;height:12.1pt;mso-position-horizontal-relative:page;mso-position-vertical-relative:page;z-index:-21507584" type="#_x0000_t202" id="docshape219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3B383A"/>
                    <w:w w:val="115"/>
                    <w:sz w:val="18"/>
                  </w:rPr>
                  <w:t>117</w:t>
                </w:r>
              </w:p>
            </w:txbxContent>
          </v:textbox>
          <w10:wrap type="none"/>
        </v:shape>
      </w:pic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608978pt;margin-top:18.789595pt;width:23.9pt;height:12.65pt;mso-position-horizontal-relative:page;mso-position-vertical-relative:page;z-index:-21507072" type="#_x0000_t202" id="docshape220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color w:val="383638"/>
                    <w:w w:val="105"/>
                    <w:sz w:val="19"/>
                  </w:rPr>
                  <w:t>118</w:t>
                </w:r>
              </w:p>
            </w:txbxContent>
          </v:textbox>
          <w10:wrap type="none"/>
        </v:shape>
      </w:pict>
    </w:r>
    <w:r>
      <w:rPr/>
      <w:pict>
        <v:shape style="position:absolute;margin-left:107.156403pt;margin-top:19.371576pt;width:237.8pt;height:12pt;mso-position-horizontal-relative:page;mso-position-vertical-relative:page;z-index:-21506560" type="#_x0000_t202" id="docshape221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83638"/>
                    <w:spacing w:val="-1"/>
                    <w:sz w:val="18"/>
                  </w:rPr>
                  <w:t>Chapter</w:t>
                </w:r>
                <w:r>
                  <w:rPr>
                    <w:color w:val="383638"/>
                    <w:spacing w:val="-17"/>
                    <w:sz w:val="18"/>
                  </w:rPr>
                  <w:t> </w:t>
                </w:r>
                <w:r>
                  <w:rPr>
                    <w:color w:val="383638"/>
                    <w:spacing w:val="-1"/>
                    <w:sz w:val="18"/>
                  </w:rPr>
                  <w:t>Six</w:t>
                </w:r>
                <w:r>
                  <w:rPr>
                    <w:color w:val="383638"/>
                    <w:spacing w:val="74"/>
                    <w:sz w:val="18"/>
                  </w:rPr>
                  <w:t> </w:t>
                </w:r>
                <w:r>
                  <w:rPr>
                    <w:color w:val="383638"/>
                    <w:spacing w:val="-1"/>
                    <w:sz w:val="18"/>
                  </w:rPr>
                  <w:t>Pract</w:t>
                </w:r>
                <w:r>
                  <w:rPr>
                    <w:color w:val="525252"/>
                    <w:spacing w:val="-1"/>
                    <w:sz w:val="18"/>
                  </w:rPr>
                  <w:t>ic</w:t>
                </w:r>
                <w:r>
                  <w:rPr>
                    <w:color w:val="383638"/>
                    <w:spacing w:val="-1"/>
                    <w:sz w:val="18"/>
                  </w:rPr>
                  <w:t>e</w:t>
                </w:r>
                <w:r>
                  <w:rPr>
                    <w:color w:val="383638"/>
                    <w:spacing w:val="18"/>
                    <w:sz w:val="18"/>
                  </w:rPr>
                  <w:t> </w:t>
                </w:r>
                <w:r>
                  <w:rPr>
                    <w:color w:val="383638"/>
                    <w:spacing w:val="-1"/>
                    <w:sz w:val="18"/>
                  </w:rPr>
                  <w:t>Pointers</w:t>
                </w:r>
                <w:r>
                  <w:rPr>
                    <w:color w:val="525252"/>
                    <w:spacing w:val="-1"/>
                    <w:sz w:val="18"/>
                  </w:rPr>
                  <w:t>:</w:t>
                </w:r>
                <w:r>
                  <w:rPr>
                    <w:color w:val="525252"/>
                    <w:spacing w:val="1"/>
                    <w:sz w:val="18"/>
                  </w:rPr>
                  <w:t> </w:t>
                </w:r>
                <w:r>
                  <w:rPr>
                    <w:color w:val="383638"/>
                    <w:spacing w:val="-1"/>
                    <w:sz w:val="18"/>
                  </w:rPr>
                  <w:t>Using</w:t>
                </w:r>
                <w:r>
                  <w:rPr>
                    <w:color w:val="383638"/>
                    <w:spacing w:val="-7"/>
                    <w:sz w:val="18"/>
                  </w:rPr>
                  <w:t> </w:t>
                </w:r>
                <w:r>
                  <w:rPr>
                    <w:color w:val="383638"/>
                    <w:spacing w:val="-1"/>
                    <w:sz w:val="18"/>
                  </w:rPr>
                  <w:t>Case</w:t>
                </w:r>
                <w:r>
                  <w:rPr>
                    <w:color w:val="383638"/>
                    <w:spacing w:val="-16"/>
                    <w:sz w:val="18"/>
                  </w:rPr>
                  <w:t> </w:t>
                </w:r>
                <w:r>
                  <w:rPr>
                    <w:color w:val="383638"/>
                    <w:spacing w:val="-1"/>
                    <w:sz w:val="18"/>
                  </w:rPr>
                  <w:t>Authority</w:t>
                </w:r>
                <w:r>
                  <w:rPr>
                    <w:color w:val="383638"/>
                    <w:spacing w:val="2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Effectively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5.203598pt;margin-top:25.661852pt;width:215.8pt;height:12.6pt;mso-position-horizontal-relative:page;mso-position-vertical-relative:page;z-index:-21506048" type="#_x0000_t202" id="docshape223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rFonts w:ascii="Arial"/>
                    <w:b/>
                    <w:color w:val="383638"/>
                    <w:sz w:val="18"/>
                  </w:rPr>
                  <w:t>6.1</w:t>
                </w:r>
                <w:r>
                  <w:rPr>
                    <w:rFonts w:ascii="Arial"/>
                    <w:b/>
                    <w:color w:val="383638"/>
                    <w:spacing w:val="52"/>
                    <w:sz w:val="18"/>
                  </w:rPr>
                  <w:t> </w:t>
                </w:r>
                <w:r>
                  <w:rPr>
                    <w:color w:val="383638"/>
                    <w:sz w:val="19"/>
                  </w:rPr>
                  <w:t>Providing</w:t>
                </w:r>
                <w:r>
                  <w:rPr>
                    <w:color w:val="383638"/>
                    <w:spacing w:val="-2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Appropriate</w:t>
                </w:r>
                <w:r>
                  <w:rPr>
                    <w:color w:val="383638"/>
                    <w:spacing w:val="26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Detail</w:t>
                </w:r>
                <w:r>
                  <w:rPr>
                    <w:color w:val="383638"/>
                    <w:spacing w:val="9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in</w:t>
                </w:r>
                <w:r>
                  <w:rPr>
                    <w:color w:val="383638"/>
                    <w:spacing w:val="-8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Case</w:t>
                </w:r>
                <w:r>
                  <w:rPr>
                    <w:color w:val="383638"/>
                    <w:spacing w:val="-2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Descriptions</w:t>
                </w:r>
              </w:p>
            </w:txbxContent>
          </v:textbox>
          <w10:wrap type="none"/>
        </v:shape>
      </w:pict>
    </w:r>
    <w:r>
      <w:rPr/>
      <w:pict>
        <v:shape style="position:absolute;margin-left:418.147308pt;margin-top:25.980955pt;width:22.55pt;height:12.1pt;mso-position-horizontal-relative:page;mso-position-vertical-relative:page;z-index:-21505536" type="#_x0000_t202" id="docshape224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8"/>
                    <w:w w:val="10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.148651pt;margin-top:20.235338pt;width:23.9pt;height:12.65pt;mso-position-horizontal-relative:page;mso-position-vertical-relative:page;z-index:-21505024" type="#_x0000_t202" id="docshape225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A3838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206497pt;margin-top:20.817343pt;width:237.75pt;height:12pt;mso-position-horizontal-relative:page;mso-position-vertical-relative:page;z-index:-21504512" type="#_x0000_t202" id="docshape226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A3838"/>
                    <w:spacing w:val="-1"/>
                    <w:sz w:val="18"/>
                  </w:rPr>
                  <w:t>Chapter</w:t>
                </w:r>
                <w:r>
                  <w:rPr>
                    <w:color w:val="3A3838"/>
                    <w:spacing w:val="-7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sz w:val="18"/>
                  </w:rPr>
                  <w:t>Six</w:t>
                </w:r>
                <w:r>
                  <w:rPr>
                    <w:color w:val="3A3838"/>
                    <w:spacing w:val="75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sz w:val="18"/>
                  </w:rPr>
                  <w:t>Practice</w:t>
                </w:r>
                <w:r>
                  <w:rPr>
                    <w:color w:val="3A3838"/>
                    <w:spacing w:val="-3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sz w:val="18"/>
                  </w:rPr>
                  <w:t>Pointers:</w:t>
                </w:r>
                <w:r>
                  <w:rPr>
                    <w:color w:val="3A3838"/>
                    <w:spacing w:val="2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sz w:val="18"/>
                  </w:rPr>
                  <w:t>Using</w:t>
                </w:r>
                <w:r>
                  <w:rPr>
                    <w:color w:val="3A3838"/>
                    <w:spacing w:val="-7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sz w:val="18"/>
                  </w:rPr>
                  <w:t>Case</w:t>
                </w:r>
                <w:r>
                  <w:rPr>
                    <w:color w:val="3A3838"/>
                    <w:spacing w:val="-15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sz w:val="18"/>
                  </w:rPr>
                  <w:t>Authority </w:t>
                </w:r>
                <w:r>
                  <w:rPr>
                    <w:color w:val="3A3838"/>
                    <w:sz w:val="18"/>
                  </w:rPr>
                  <w:t>Effectively</w:t>
                </w:r>
              </w:p>
            </w:txbxContent>
          </v:textbox>
          <w10:wrap type="none"/>
        </v:shape>
      </w:pic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9.438904pt;margin-top:23.737108pt;width:215.3pt;height:12.6pt;mso-position-horizontal-relative:page;mso-position-vertical-relative:page;z-index:-21504000" type="#_x0000_t202" id="docshape227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63434"/>
                    <w:sz w:val="19"/>
                  </w:rPr>
                  <w:t>6.1</w:t>
                </w:r>
                <w:r>
                  <w:rPr>
                    <w:color w:val="363434"/>
                    <w:spacing w:val="6"/>
                    <w:sz w:val="19"/>
                  </w:rPr>
                  <w:t> </w:t>
                </w:r>
                <w:r>
                  <w:rPr>
                    <w:color w:val="363434"/>
                    <w:sz w:val="19"/>
                  </w:rPr>
                  <w:t>Providing</w:t>
                </w:r>
                <w:r>
                  <w:rPr>
                    <w:color w:val="363434"/>
                    <w:spacing w:val="4"/>
                    <w:sz w:val="19"/>
                  </w:rPr>
                  <w:t> </w:t>
                </w:r>
                <w:r>
                  <w:rPr>
                    <w:color w:val="363434"/>
                    <w:sz w:val="19"/>
                  </w:rPr>
                  <w:t>Appropriate</w:t>
                </w:r>
                <w:r>
                  <w:rPr>
                    <w:color w:val="363434"/>
                    <w:spacing w:val="21"/>
                    <w:sz w:val="19"/>
                  </w:rPr>
                  <w:t> </w:t>
                </w:r>
                <w:r>
                  <w:rPr>
                    <w:color w:val="363434"/>
                    <w:sz w:val="19"/>
                  </w:rPr>
                  <w:t>Detail</w:t>
                </w:r>
                <w:r>
                  <w:rPr>
                    <w:color w:val="363434"/>
                    <w:spacing w:val="5"/>
                    <w:sz w:val="19"/>
                  </w:rPr>
                  <w:t> </w:t>
                </w:r>
                <w:r>
                  <w:rPr>
                    <w:color w:val="363434"/>
                    <w:sz w:val="19"/>
                  </w:rPr>
                  <w:t>in</w:t>
                </w:r>
                <w:r>
                  <w:rPr>
                    <w:color w:val="363434"/>
                    <w:spacing w:val="-1"/>
                    <w:sz w:val="19"/>
                  </w:rPr>
                  <w:t> </w:t>
                </w:r>
                <w:r>
                  <w:rPr>
                    <w:color w:val="363434"/>
                    <w:sz w:val="19"/>
                  </w:rPr>
                  <w:t>Case</w:t>
                </w:r>
                <w:r>
                  <w:rPr>
                    <w:color w:val="363434"/>
                    <w:spacing w:val="3"/>
                    <w:sz w:val="19"/>
                  </w:rPr>
                  <w:t> </w:t>
                </w:r>
                <w:r>
                  <w:rPr>
                    <w:color w:val="363434"/>
                    <w:sz w:val="19"/>
                  </w:rPr>
                  <w:t>Descriptions</w:t>
                </w:r>
              </w:p>
            </w:txbxContent>
          </v:textbox>
          <w10:wrap type="none"/>
        </v:shape>
      </w:pict>
    </w:r>
    <w:r>
      <w:rPr/>
      <w:pict>
        <v:shape style="position:absolute;margin-left:421.390106pt;margin-top:23.290152pt;width:22.25pt;height:13.15pt;mso-position-horizontal-relative:page;mso-position-vertical-relative:page;z-index:-21503488" type="#_x0000_t202" id="docshape228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363434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2.588089pt;margin-top:20.855541pt;width:23.65pt;height:12.6pt;mso-position-horizontal-relative:page;mso-position-vertical-relative:page;z-index:-21502976" type="#_x0000_t202" id="docshape229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color w:val="3B383A"/>
                    <w:w w:val="11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2.001801pt;margin-top:20.855541pt;width:235.2pt;height:12.6pt;mso-position-horizontal-relative:page;mso-position-vertical-relative:page;z-index:-21502464" type="#_x0000_t202" id="docshape230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B383A"/>
                    <w:w w:val="90"/>
                    <w:sz w:val="19"/>
                  </w:rPr>
                  <w:t>Chapter</w:t>
                </w:r>
                <w:r>
                  <w:rPr>
                    <w:color w:val="3B383A"/>
                    <w:spacing w:val="3"/>
                    <w:w w:val="90"/>
                    <w:sz w:val="19"/>
                  </w:rPr>
                  <w:t> </w:t>
                </w:r>
                <w:r>
                  <w:rPr>
                    <w:color w:val="3B383A"/>
                    <w:w w:val="90"/>
                    <w:sz w:val="19"/>
                  </w:rPr>
                  <w:t>Six</w:t>
                </w:r>
                <w:r>
                  <w:rPr>
                    <w:color w:val="3B383A"/>
                    <w:spacing w:val="115"/>
                    <w:sz w:val="19"/>
                  </w:rPr>
                  <w:t> </w:t>
                </w:r>
                <w:r>
                  <w:rPr>
                    <w:rFonts w:ascii="Arial"/>
                    <w:i/>
                    <w:color w:val="3B383A"/>
                    <w:w w:val="90"/>
                    <w:sz w:val="17"/>
                  </w:rPr>
                  <w:t>Practice</w:t>
                </w:r>
                <w:r>
                  <w:rPr>
                    <w:rFonts w:ascii="Arial"/>
                    <w:i/>
                    <w:color w:val="3B383A"/>
                    <w:spacing w:val="16"/>
                    <w:w w:val="90"/>
                    <w:sz w:val="17"/>
                  </w:rPr>
                  <w:t> </w:t>
                </w:r>
                <w:r>
                  <w:rPr>
                    <w:color w:val="3B383A"/>
                    <w:w w:val="90"/>
                    <w:sz w:val="19"/>
                  </w:rPr>
                  <w:t>Pointers:</w:t>
                </w:r>
                <w:r>
                  <w:rPr>
                    <w:color w:val="3B383A"/>
                    <w:spacing w:val="16"/>
                    <w:w w:val="90"/>
                    <w:sz w:val="19"/>
                  </w:rPr>
                  <w:t> </w:t>
                </w:r>
                <w:r>
                  <w:rPr>
                    <w:color w:val="3B383A"/>
                    <w:w w:val="90"/>
                    <w:sz w:val="19"/>
                  </w:rPr>
                  <w:t>Using</w:t>
                </w:r>
                <w:r>
                  <w:rPr>
                    <w:color w:val="3B383A"/>
                    <w:spacing w:val="3"/>
                    <w:w w:val="90"/>
                    <w:sz w:val="19"/>
                  </w:rPr>
                  <w:t> </w:t>
                </w:r>
                <w:r>
                  <w:rPr>
                    <w:color w:val="3B383A"/>
                    <w:w w:val="90"/>
                    <w:sz w:val="19"/>
                  </w:rPr>
                  <w:t>Case</w:t>
                </w:r>
                <w:r>
                  <w:rPr>
                    <w:color w:val="3B383A"/>
                    <w:spacing w:val="-8"/>
                    <w:w w:val="90"/>
                    <w:sz w:val="19"/>
                  </w:rPr>
                  <w:t> </w:t>
                </w:r>
                <w:r>
                  <w:rPr>
                    <w:color w:val="3B383A"/>
                    <w:w w:val="90"/>
                    <w:sz w:val="19"/>
                  </w:rPr>
                  <w:t>Authority</w:t>
                </w:r>
                <w:r>
                  <w:rPr>
                    <w:color w:val="3B383A"/>
                    <w:spacing w:val="18"/>
                    <w:w w:val="90"/>
                    <w:sz w:val="19"/>
                  </w:rPr>
                  <w:t> </w:t>
                </w:r>
                <w:r>
                  <w:rPr>
                    <w:color w:val="3B383A"/>
                    <w:w w:val="90"/>
                    <w:sz w:val="19"/>
                  </w:rPr>
                  <w:t>Effective</w:t>
                </w:r>
                <w:r>
                  <w:rPr>
                    <w:color w:val="565657"/>
                    <w:w w:val="90"/>
                    <w:sz w:val="19"/>
                  </w:rPr>
                  <w:t>l</w:t>
                </w:r>
                <w:r>
                  <w:rPr>
                    <w:color w:val="3B383A"/>
                    <w:w w:val="90"/>
                    <w:sz w:val="19"/>
                  </w:rPr>
                  <w:t>y</w:t>
                </w:r>
              </w:p>
            </w:txbxContent>
          </v:textbox>
          <w10:wrap type="none"/>
        </v:shape>
      </w:pic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645706pt;margin-top:21.298607pt;width:214.6pt;height:12pt;mso-position-horizontal-relative:page;mso-position-vertical-relative:page;z-index:-21501952" type="#_x0000_t202" id="docshape231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B383A"/>
                    <w:w w:val="105"/>
                    <w:sz w:val="18"/>
                  </w:rPr>
                  <w:t>6.1</w:t>
                </w:r>
                <w:r>
                  <w:rPr>
                    <w:color w:val="3B383A"/>
                    <w:spacing w:val="21"/>
                    <w:w w:val="105"/>
                    <w:sz w:val="18"/>
                  </w:rPr>
                  <w:t> </w:t>
                </w:r>
                <w:r>
                  <w:rPr>
                    <w:color w:val="3B383A"/>
                    <w:w w:val="105"/>
                    <w:sz w:val="18"/>
                  </w:rPr>
                  <w:t>Providing</w:t>
                </w:r>
                <w:r>
                  <w:rPr>
                    <w:color w:val="3B383A"/>
                    <w:spacing w:val="4"/>
                    <w:w w:val="105"/>
                    <w:sz w:val="18"/>
                  </w:rPr>
                  <w:t> </w:t>
                </w:r>
                <w:r>
                  <w:rPr>
                    <w:color w:val="3B383A"/>
                    <w:w w:val="105"/>
                    <w:sz w:val="18"/>
                  </w:rPr>
                  <w:t>Appropriate</w:t>
                </w:r>
                <w:r>
                  <w:rPr>
                    <w:color w:val="3B383A"/>
                    <w:spacing w:val="15"/>
                    <w:w w:val="105"/>
                    <w:sz w:val="18"/>
                  </w:rPr>
                  <w:t> </w:t>
                </w:r>
                <w:r>
                  <w:rPr>
                    <w:color w:val="3B383A"/>
                    <w:w w:val="105"/>
                    <w:sz w:val="18"/>
                  </w:rPr>
                  <w:t>Detail</w:t>
                </w:r>
                <w:r>
                  <w:rPr>
                    <w:color w:val="3B383A"/>
                    <w:spacing w:val="1"/>
                    <w:w w:val="105"/>
                    <w:sz w:val="18"/>
                  </w:rPr>
                  <w:t> </w:t>
                </w:r>
                <w:r>
                  <w:rPr>
                    <w:color w:val="4F4F50"/>
                    <w:w w:val="105"/>
                    <w:sz w:val="18"/>
                  </w:rPr>
                  <w:t>in</w:t>
                </w:r>
                <w:r>
                  <w:rPr>
                    <w:color w:val="4F4F50"/>
                    <w:spacing w:val="9"/>
                    <w:w w:val="105"/>
                    <w:sz w:val="18"/>
                  </w:rPr>
                  <w:t> </w:t>
                </w:r>
                <w:r>
                  <w:rPr>
                    <w:color w:val="3B383A"/>
                    <w:w w:val="105"/>
                    <w:sz w:val="18"/>
                  </w:rPr>
                  <w:t>Case</w:t>
                </w:r>
                <w:r>
                  <w:rPr>
                    <w:color w:val="3B383A"/>
                    <w:spacing w:val="1"/>
                    <w:w w:val="105"/>
                    <w:sz w:val="18"/>
                  </w:rPr>
                  <w:t> </w:t>
                </w:r>
                <w:r>
                  <w:rPr>
                    <w:color w:val="3B383A"/>
                    <w:w w:val="105"/>
                    <w:sz w:val="18"/>
                  </w:rPr>
                  <w:t>Descriptions</w:t>
                </w:r>
              </w:p>
            </w:txbxContent>
          </v:textbox>
          <w10:wrap type="none"/>
        </v:shape>
      </w:pict>
    </w:r>
    <w:r>
      <w:rPr/>
      <w:pict>
        <v:shape style="position:absolute;margin-left:419.202087pt;margin-top:21.170742pt;width:23.3pt;height:12.1pt;mso-position-horizontal-relative:page;mso-position-vertical-relative:page;z-index:-21501440" type="#_x0000_t202" id="docshape23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B383A"/>
                    <w:w w:val="11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06974pt;margin-top:16.834454pt;width:24.35pt;height:12.1pt;mso-position-horizontal-relative:page;mso-position-vertical-relative:page;z-index:-21500928" type="#_x0000_t202" id="docshape233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8"/>
                    <w:w w:val="11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8.1008pt;margin-top:17.409273pt;width:236.5pt;height:11.45pt;mso-position-horizontal-relative:page;mso-position-vertical-relative:page;z-index:-21500416" type="#_x0000_t202" id="docshape234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7"/>
                  </w:rPr>
                </w:pPr>
                <w:r>
                  <w:rPr>
                    <w:color w:val="383638"/>
                    <w:spacing w:val="-1"/>
                    <w:w w:val="105"/>
                    <w:sz w:val="17"/>
                  </w:rPr>
                  <w:t>Chapter</w:t>
                </w:r>
                <w:r>
                  <w:rPr>
                    <w:color w:val="383638"/>
                    <w:spacing w:val="-4"/>
                    <w:w w:val="105"/>
                    <w:sz w:val="17"/>
                  </w:rPr>
                  <w:t> </w:t>
                </w:r>
                <w:r>
                  <w:rPr>
                    <w:color w:val="383638"/>
                    <w:spacing w:val="-1"/>
                    <w:w w:val="105"/>
                    <w:sz w:val="17"/>
                  </w:rPr>
                  <w:t>Six</w:t>
                </w:r>
                <w:r>
                  <w:rPr>
                    <w:color w:val="383638"/>
                    <w:spacing w:val="77"/>
                    <w:w w:val="105"/>
                    <w:sz w:val="17"/>
                  </w:rPr>
                  <w:t> </w:t>
                </w:r>
                <w:r>
                  <w:rPr>
                    <w:color w:val="383638"/>
                    <w:spacing w:val="-1"/>
                    <w:w w:val="105"/>
                    <w:sz w:val="17"/>
                  </w:rPr>
                  <w:t>Practice</w:t>
                </w:r>
                <w:r>
                  <w:rPr>
                    <w:color w:val="383638"/>
                    <w:spacing w:val="-2"/>
                    <w:w w:val="105"/>
                    <w:sz w:val="17"/>
                  </w:rPr>
                  <w:t> </w:t>
                </w:r>
                <w:r>
                  <w:rPr>
                    <w:color w:val="383638"/>
                    <w:spacing w:val="-1"/>
                    <w:w w:val="105"/>
                    <w:sz w:val="17"/>
                  </w:rPr>
                  <w:t>Pointers:</w:t>
                </w:r>
                <w:r>
                  <w:rPr>
                    <w:color w:val="383638"/>
                    <w:spacing w:val="-5"/>
                    <w:w w:val="105"/>
                    <w:sz w:val="17"/>
                  </w:rPr>
                  <w:t> </w:t>
                </w:r>
                <w:r>
                  <w:rPr>
                    <w:color w:val="383638"/>
                    <w:spacing w:val="-1"/>
                    <w:w w:val="105"/>
                    <w:sz w:val="17"/>
                  </w:rPr>
                  <w:t>Using</w:t>
                </w:r>
                <w:r>
                  <w:rPr>
                    <w:color w:val="383638"/>
                    <w:spacing w:val="-9"/>
                    <w:w w:val="105"/>
                    <w:sz w:val="17"/>
                  </w:rPr>
                  <w:t> </w:t>
                </w:r>
                <w:r>
                  <w:rPr>
                    <w:color w:val="383638"/>
                    <w:w w:val="105"/>
                    <w:sz w:val="17"/>
                  </w:rPr>
                  <w:t>Case</w:t>
                </w:r>
                <w:r>
                  <w:rPr>
                    <w:color w:val="383638"/>
                    <w:spacing w:val="-16"/>
                    <w:w w:val="105"/>
                    <w:sz w:val="17"/>
                  </w:rPr>
                  <w:t> </w:t>
                </w:r>
                <w:r>
                  <w:rPr>
                    <w:color w:val="383638"/>
                    <w:w w:val="105"/>
                    <w:sz w:val="17"/>
                  </w:rPr>
                  <w:t>Authority</w:t>
                </w:r>
                <w:r>
                  <w:rPr>
                    <w:color w:val="383638"/>
                    <w:spacing w:val="3"/>
                    <w:w w:val="105"/>
                    <w:sz w:val="17"/>
                  </w:rPr>
                  <w:t> </w:t>
                </w:r>
                <w:r>
                  <w:rPr>
                    <w:color w:val="383638"/>
                    <w:w w:val="105"/>
                    <w:sz w:val="17"/>
                  </w:rPr>
                  <w:t>Effectively</w:t>
                </w:r>
              </w:p>
            </w:txbxContent>
          </v:textbox>
          <w10:wrap type="none"/>
        </v:shape>
      </w:pic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6.195206pt;margin-top:25.65962pt;width:252.35pt;height:12.6pt;mso-position-horizontal-relative:page;mso-position-vertical-relative:page;z-index:-21499904" type="#_x0000_t202" id="docshape235" filled="false" stroked="false">
          <v:textbox inset="0,0,0,0">
            <w:txbxContent>
              <w:p>
                <w:pPr>
                  <w:tabs>
                    <w:tab w:pos="4699" w:val="left" w:leader="none"/>
                  </w:tabs>
                  <w:spacing w:before="12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rFonts w:ascii="Arial"/>
                    <w:color w:val="3B3B3B"/>
                    <w:w w:val="105"/>
                    <w:sz w:val="17"/>
                  </w:rPr>
                  <w:t>6.1</w:t>
                </w:r>
                <w:r>
                  <w:rPr>
                    <w:rFonts w:ascii="Arial"/>
                    <w:color w:val="3B3B3B"/>
                    <w:spacing w:val="39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B3B"/>
                    <w:w w:val="105"/>
                    <w:sz w:val="17"/>
                  </w:rPr>
                  <w:t>Providing</w:t>
                </w:r>
                <w:r>
                  <w:rPr>
                    <w:rFonts w:ascii="Arial"/>
                    <w:color w:val="3B3B3B"/>
                    <w:spacing w:val="-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B3B"/>
                    <w:w w:val="105"/>
                    <w:sz w:val="17"/>
                  </w:rPr>
                  <w:t>Appropriate Detail</w:t>
                </w:r>
                <w:r>
                  <w:rPr>
                    <w:rFonts w:ascii="Arial"/>
                    <w:color w:val="3B3B3B"/>
                    <w:spacing w:val="-20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B3B"/>
                    <w:w w:val="105"/>
                    <w:sz w:val="17"/>
                  </w:rPr>
                  <w:t>in</w:t>
                </w:r>
                <w:r>
                  <w:rPr>
                    <w:rFonts w:ascii="Arial"/>
                    <w:color w:val="3B3B3B"/>
                    <w:spacing w:val="1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B3B"/>
                    <w:w w:val="105"/>
                    <w:sz w:val="17"/>
                  </w:rPr>
                  <w:t>Case</w:t>
                </w:r>
                <w:r>
                  <w:rPr>
                    <w:rFonts w:ascii="Arial"/>
                    <w:color w:val="3B3B3B"/>
                    <w:spacing w:val="-21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B3B"/>
                    <w:w w:val="105"/>
                    <w:sz w:val="17"/>
                  </w:rPr>
                  <w:t>Descriptions</w:t>
                  <w:tab/>
                </w:r>
                <w:r>
                  <w:rPr>
                    <w:b/>
                    <w:color w:val="3B3B3B"/>
                    <w:w w:val="110"/>
                    <w:sz w:val="19"/>
                  </w:rPr>
                  <w:t>12S</w:t>
                </w:r>
              </w:p>
            </w:txbxContent>
          </v:textbox>
          <w10:wrap type="none"/>
        </v:shape>
      </w:pic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9.090229pt;margin-top:16.357965pt;width:17.25pt;height:12.1pt;mso-position-horizontal-relative:page;mso-position-vertical-relative:page;z-index:-21499392" type="#_x0000_t202" id="docshape236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3D3B3D"/>
                    <w:sz w:val="18"/>
                  </w:rPr>
                  <w:t>126</w:t>
                </w:r>
              </w:p>
            </w:txbxContent>
          </v:textbox>
          <w10:wrap type="none"/>
        </v:shape>
      </w:pict>
    </w:r>
    <w:r>
      <w:rPr/>
      <w:pict>
        <v:shape style="position:absolute;margin-left:92.28569pt;margin-top:16.485851pt;width:207.5pt;height:12.05pt;mso-position-horizontal-relative:page;mso-position-vertical-relative:page;z-index:-21498880" type="#_x0000_t202" id="docshape237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D3B3D"/>
                    <w:w w:val="85"/>
                    <w:sz w:val="18"/>
                  </w:rPr>
                  <w:t>Chapter </w:t>
                </w:r>
                <w:r>
                  <w:rPr>
                    <w:color w:val="4F4F50"/>
                    <w:w w:val="85"/>
                    <w:sz w:val="18"/>
                  </w:rPr>
                  <w:t>Six</w:t>
                </w:r>
                <w:r>
                  <w:rPr>
                    <w:color w:val="4F4F50"/>
                    <w:spacing w:val="66"/>
                    <w:sz w:val="18"/>
                  </w:rPr>
                  <w:t> </w:t>
                </w:r>
                <w:r>
                  <w:rPr>
                    <w:color w:val="3D3B3D"/>
                    <w:w w:val="85"/>
                    <w:sz w:val="18"/>
                  </w:rPr>
                  <w:t>Practice</w:t>
                </w:r>
                <w:r>
                  <w:rPr>
                    <w:color w:val="3D3B3D"/>
                    <w:spacing w:val="3"/>
                    <w:w w:val="85"/>
                    <w:sz w:val="18"/>
                  </w:rPr>
                  <w:t> </w:t>
                </w:r>
                <w:r>
                  <w:rPr>
                    <w:color w:val="3D3B3D"/>
                    <w:w w:val="85"/>
                    <w:sz w:val="18"/>
                  </w:rPr>
                  <w:t>Pointers:</w:t>
                </w:r>
                <w:r>
                  <w:rPr>
                    <w:color w:val="3D3B3D"/>
                    <w:spacing w:val="9"/>
                    <w:w w:val="85"/>
                    <w:sz w:val="18"/>
                  </w:rPr>
                  <w:t> </w:t>
                </w:r>
                <w:r>
                  <w:rPr>
                    <w:color w:val="3D3B3D"/>
                    <w:w w:val="85"/>
                    <w:sz w:val="18"/>
                  </w:rPr>
                  <w:t>Using</w:t>
                </w:r>
                <w:r>
                  <w:rPr>
                    <w:color w:val="3D3B3D"/>
                    <w:spacing w:val="-7"/>
                    <w:w w:val="85"/>
                    <w:sz w:val="18"/>
                  </w:rPr>
                  <w:t> </w:t>
                </w:r>
                <w:r>
                  <w:rPr>
                    <w:color w:val="4F4F50"/>
                    <w:w w:val="85"/>
                    <w:sz w:val="18"/>
                  </w:rPr>
                  <w:t>Case</w:t>
                </w:r>
                <w:r>
                  <w:rPr>
                    <w:color w:val="4F4F50"/>
                    <w:spacing w:val="-4"/>
                    <w:w w:val="85"/>
                    <w:sz w:val="18"/>
                  </w:rPr>
                  <w:t> </w:t>
                </w:r>
                <w:r>
                  <w:rPr>
                    <w:color w:val="3D3B3D"/>
                    <w:w w:val="85"/>
                    <w:sz w:val="18"/>
                  </w:rPr>
                  <w:t>Authority</w:t>
                </w:r>
                <w:r>
                  <w:rPr>
                    <w:color w:val="3D3B3D"/>
                    <w:spacing w:val="9"/>
                    <w:w w:val="85"/>
                    <w:sz w:val="18"/>
                  </w:rPr>
                  <w:t> </w:t>
                </w:r>
                <w:r>
                  <w:rPr>
                    <w:color w:val="3D3B3D"/>
                    <w:w w:val="85"/>
                    <w:sz w:val="18"/>
                  </w:rPr>
                  <w:t>Effectively</w:t>
                </w:r>
              </w:p>
            </w:txbxContent>
          </v:textbox>
          <w10:wrap type="none"/>
        </v:shape>
      </w:pic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0.042908pt;margin-top:25.220444pt;width:18pt;height:13.15pt;mso-position-horizontal-relative:page;mso-position-vertical-relative:page;z-index:-21498368" type="#_x0000_t202" id="docshape238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A2628"/>
                    <w:w w:val="105"/>
                    <w:sz w:val="20"/>
                  </w:rPr>
                  <w:t>127</w:t>
                </w:r>
              </w:p>
            </w:txbxContent>
          </v:textbox>
          <w10:wrap type="none"/>
        </v:shape>
      </w:pict>
    </w:r>
    <w:r>
      <w:rPr/>
      <w:pict>
        <v:shape style="position:absolute;margin-left:177.552795pt;margin-top:26.079937pt;width:204.25pt;height:11.45pt;mso-position-horizontal-relative:page;mso-position-vertical-relative:page;z-index:-21497856" type="#_x0000_t202" id="docshape239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7"/>
                  </w:rPr>
                </w:pPr>
                <w:r>
                  <w:rPr>
                    <w:color w:val="383638"/>
                    <w:spacing w:val="-1"/>
                    <w:w w:val="110"/>
                    <w:sz w:val="17"/>
                  </w:rPr>
                  <w:t>6.1</w:t>
                </w:r>
                <w:r>
                  <w:rPr>
                    <w:color w:val="383638"/>
                    <w:w w:val="110"/>
                    <w:sz w:val="17"/>
                  </w:rPr>
                  <w:t> Providing</w:t>
                </w:r>
                <w:r>
                  <w:rPr>
                    <w:color w:val="383638"/>
                    <w:spacing w:val="-10"/>
                    <w:w w:val="110"/>
                    <w:sz w:val="17"/>
                  </w:rPr>
                  <w:t> </w:t>
                </w:r>
                <w:r>
                  <w:rPr>
                    <w:color w:val="383638"/>
                    <w:w w:val="110"/>
                    <w:sz w:val="17"/>
                  </w:rPr>
                  <w:t>Appropriate</w:t>
                </w:r>
                <w:r>
                  <w:rPr>
                    <w:color w:val="383638"/>
                    <w:spacing w:val="-10"/>
                    <w:w w:val="110"/>
                    <w:sz w:val="17"/>
                  </w:rPr>
                  <w:t> </w:t>
                </w:r>
                <w:r>
                  <w:rPr>
                    <w:color w:val="383638"/>
                    <w:w w:val="110"/>
                    <w:sz w:val="17"/>
                  </w:rPr>
                  <w:t>Detail</w:t>
                </w:r>
                <w:r>
                  <w:rPr>
                    <w:color w:val="383638"/>
                    <w:spacing w:val="-10"/>
                    <w:w w:val="110"/>
                    <w:sz w:val="17"/>
                  </w:rPr>
                  <w:t> </w:t>
                </w:r>
                <w:r>
                  <w:rPr>
                    <w:color w:val="2A2628"/>
                    <w:w w:val="110"/>
                    <w:sz w:val="17"/>
                  </w:rPr>
                  <w:t>in</w:t>
                </w:r>
                <w:r>
                  <w:rPr>
                    <w:color w:val="2A2628"/>
                    <w:spacing w:val="-11"/>
                    <w:w w:val="110"/>
                    <w:sz w:val="17"/>
                  </w:rPr>
                  <w:t> </w:t>
                </w:r>
                <w:r>
                  <w:rPr>
                    <w:color w:val="383638"/>
                    <w:w w:val="110"/>
                    <w:sz w:val="17"/>
                  </w:rPr>
                  <w:t>Case</w:t>
                </w:r>
                <w:r>
                  <w:rPr>
                    <w:color w:val="383638"/>
                    <w:spacing w:val="-9"/>
                    <w:w w:val="110"/>
                    <w:sz w:val="17"/>
                  </w:rPr>
                  <w:t> </w:t>
                </w:r>
                <w:r>
                  <w:rPr>
                    <w:color w:val="383638"/>
                    <w:w w:val="110"/>
                    <w:sz w:val="17"/>
                  </w:rPr>
                  <w:t>Descriptions</w:t>
                </w:r>
              </w:p>
            </w:txbxContent>
          </v:textbox>
          <w10:wrap type="none"/>
        </v:shape>
      </w:pic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.850861pt;margin-top:17.038155pt;width:19.2pt;height:13.15pt;mso-position-horizontal-relative:page;mso-position-vertical-relative:page;z-index:-21497344" type="#_x0000_t202" id="docshape240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3A3838"/>
                    <w:w w:val="115"/>
                    <w:sz w:val="20"/>
                  </w:rPr>
                  <w:t>128</w:t>
                </w:r>
              </w:p>
            </w:txbxContent>
          </v:textbox>
          <w10:wrap type="none"/>
        </v:shape>
      </w:pict>
    </w:r>
    <w:r>
      <w:rPr/>
      <w:pict>
        <v:shape style="position:absolute;margin-left:104.814201pt;margin-top:17.93243pt;width:237.95pt;height:12.05pt;mso-position-horizontal-relative:page;mso-position-vertical-relative:page;z-index:-21496832" type="#_x0000_t202" id="docshape241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A3838"/>
                    <w:spacing w:val="-1"/>
                    <w:sz w:val="18"/>
                  </w:rPr>
                  <w:t>Chapter</w:t>
                </w:r>
                <w:r>
                  <w:rPr>
                    <w:color w:val="3A3838"/>
                    <w:spacing w:val="-7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sz w:val="18"/>
                  </w:rPr>
                  <w:t>Six</w:t>
                </w:r>
                <w:r>
                  <w:rPr>
                    <w:color w:val="3A3838"/>
                    <w:spacing w:val="75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sz w:val="18"/>
                  </w:rPr>
                  <w:t>Practice</w:t>
                </w:r>
                <w:r>
                  <w:rPr>
                    <w:color w:val="3A3838"/>
                    <w:spacing w:val="-3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sz w:val="18"/>
                  </w:rPr>
                  <w:t>Pointet'l:</w:t>
                </w:r>
                <w:r>
                  <w:rPr>
                    <w:color w:val="3A3838"/>
                    <w:spacing w:val="-4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sz w:val="18"/>
                  </w:rPr>
                  <w:t>Using</w:t>
                </w:r>
                <w:r>
                  <w:rPr>
                    <w:color w:val="3A3838"/>
                    <w:spacing w:val="-8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sz w:val="18"/>
                  </w:rPr>
                  <w:t>Case</w:t>
                </w:r>
                <w:r>
                  <w:rPr>
                    <w:color w:val="3A3838"/>
                    <w:spacing w:val="-16"/>
                    <w:sz w:val="18"/>
                  </w:rPr>
                  <w:t> </w:t>
                </w:r>
                <w:r>
                  <w:rPr>
                    <w:color w:val="3A3838"/>
                    <w:sz w:val="18"/>
                  </w:rPr>
                  <w:t>Authority</w:t>
                </w:r>
                <w:r>
                  <w:rPr>
                    <w:color w:val="3A3838"/>
                    <w:spacing w:val="-1"/>
                    <w:sz w:val="18"/>
                  </w:rPr>
                  <w:t> </w:t>
                </w:r>
                <w:r>
                  <w:rPr>
                    <w:color w:val="3A3838"/>
                    <w:sz w:val="18"/>
                  </w:rPr>
                  <w:t>Effectively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.830421pt;margin-top:117.715729pt;width:284.75pt;height:29.25pt;mso-position-horizontal-relative:page;mso-position-vertical-relative:page;z-index:-21603328" type="#_x0000_t202" id="docshape15" filled="false" stroked="false">
          <v:textbox inset="0,0,0,0">
            <w:txbxContent>
              <w:p>
                <w:pPr>
                  <w:spacing w:before="0"/>
                  <w:ind w:left="20" w:right="0" w:firstLine="0"/>
                  <w:jc w:val="left"/>
                  <w:rPr>
                    <w:sz w:val="49"/>
                  </w:rPr>
                </w:pPr>
                <w:r>
                  <w:rPr>
                    <w:color w:val="909195"/>
                    <w:w w:val="115"/>
                    <w:sz w:val="49"/>
                  </w:rPr>
                  <w:t>Acknowledgments</w:t>
                </w:r>
                <w:r>
                  <w:rPr>
                    <w:color w:val="909195"/>
                    <w:spacing w:val="-25"/>
                    <w:w w:val="115"/>
                    <w:sz w:val="49"/>
                  </w:rPr>
                  <w:t> </w:t>
                </w:r>
                <w:r>
                  <w:rPr>
                    <w:color w:val="7E8082"/>
                    <w:w w:val="115"/>
                    <w:sz w:val="49"/>
                  </w:rPr>
                  <w:t>to</w:t>
                </w:r>
                <w:r>
                  <w:rPr>
                    <w:color w:val="7E8082"/>
                    <w:spacing w:val="29"/>
                    <w:w w:val="115"/>
                    <w:sz w:val="49"/>
                  </w:rPr>
                  <w:t> </w:t>
                </w:r>
                <w:r>
                  <w:rPr>
                    <w:color w:val="7E8082"/>
                    <w:w w:val="115"/>
                    <w:sz w:val="49"/>
                  </w:rPr>
                  <w:t>the</w:t>
                </w:r>
              </w:p>
            </w:txbxContent>
          </v:textbox>
          <w10:wrap type="none"/>
        </v:shape>
      </w:pic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0.544006pt;margin-top:21.654167pt;width:215pt;height:12.1pt;mso-position-horizontal-relative:page;mso-position-vertical-relative:page;z-index:-21496320" type="#_x0000_t202" id="docshape24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b/>
                    <w:color w:val="3A3838"/>
                    <w:w w:val="105"/>
                    <w:sz w:val="18"/>
                  </w:rPr>
                  <w:t>6.1</w:t>
                </w:r>
                <w:r>
                  <w:rPr>
                    <w:rFonts w:ascii="Arial"/>
                    <w:b/>
                    <w:color w:val="3A3838"/>
                    <w:spacing w:val="27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3A3838"/>
                    <w:w w:val="105"/>
                    <w:sz w:val="17"/>
                  </w:rPr>
                  <w:t>Providing</w:t>
                </w:r>
                <w:r>
                  <w:rPr>
                    <w:rFonts w:ascii="Arial"/>
                    <w:color w:val="3A3838"/>
                    <w:spacing w:val="-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w w:val="105"/>
                    <w:sz w:val="17"/>
                  </w:rPr>
                  <w:t>Appropriate</w:t>
                </w:r>
                <w:r>
                  <w:rPr>
                    <w:rFonts w:ascii="Arial"/>
                    <w:color w:val="3A3838"/>
                    <w:spacing w:val="1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w w:val="105"/>
                    <w:sz w:val="17"/>
                  </w:rPr>
                  <w:t>Detail</w:t>
                </w:r>
                <w:r>
                  <w:rPr>
                    <w:rFonts w:ascii="Arial"/>
                    <w:color w:val="3A3838"/>
                    <w:spacing w:val="-30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w w:val="105"/>
                    <w:sz w:val="17"/>
                  </w:rPr>
                  <w:t>in</w:t>
                </w:r>
                <w:r>
                  <w:rPr>
                    <w:rFonts w:ascii="Arial"/>
                    <w:color w:val="3A3838"/>
                    <w:spacing w:val="11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w w:val="105"/>
                    <w:sz w:val="17"/>
                  </w:rPr>
                  <w:t>Case</w:t>
                </w:r>
                <w:r>
                  <w:rPr>
                    <w:rFonts w:ascii="Arial"/>
                    <w:color w:val="3A3838"/>
                    <w:spacing w:val="-12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w w:val="105"/>
                    <w:sz w:val="17"/>
                  </w:rPr>
                  <w:t>Descriptions</w:t>
                </w:r>
              </w:p>
            </w:txbxContent>
          </v:textbox>
          <w10:wrap type="none"/>
        </v:shape>
      </w:pict>
    </w:r>
    <w:r>
      <w:rPr/>
      <w:pict>
        <v:shape style="position:absolute;margin-left:424.568695pt;margin-top:21.654167pt;width:17.850pt;height:12.1pt;mso-position-horizontal-relative:page;mso-position-vertical-relative:page;z-index:-21495808" type="#_x0000_t202" id="docshape243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3A3838"/>
                    <w:w w:val="105"/>
                    <w:sz w:val="18"/>
                  </w:rPr>
                  <w:t>129</w:t>
                </w:r>
              </w:p>
            </w:txbxContent>
          </v:textbox>
          <w10:wrap type="none"/>
        </v:shape>
      </w:pic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075684pt;margin-top:16.329538pt;width:22.4pt;height:11.55pt;mso-position-horizontal-relative:page;mso-position-vertical-relative:page;z-index:-21495296" type="#_x0000_t202" id="docshape244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8"/>
                    <w:w w:val="110"/>
                    <w:sz w:val="17"/>
                  </w:rPr>
                  <w:t>130</w:t>
                </w:r>
              </w:p>
            </w:txbxContent>
          </v:textbox>
          <w10:wrap type="none"/>
        </v:shape>
      </w:pict>
    </w:r>
    <w:r>
      <w:rPr/>
      <w:pict>
        <v:shape style="position:absolute;margin-left:103.704697pt;margin-top:16.329538pt;width:239.3pt;height:11.55pt;mso-position-horizontal-relative:page;mso-position-vertical-relative:page;z-index:-21494784" type="#_x0000_t202" id="docshape245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8"/>
                    <w:w w:val="95"/>
                    <w:sz w:val="17"/>
                  </w:rPr>
                  <w:t>Chapter</w:t>
                </w:r>
                <w:r>
                  <w:rPr>
                    <w:rFonts w:ascii="Arial"/>
                    <w:color w:val="383638"/>
                    <w:spacing w:val="16"/>
                    <w:w w:val="9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95"/>
                    <w:sz w:val="17"/>
                  </w:rPr>
                  <w:t>Six</w:t>
                </w:r>
                <w:r>
                  <w:rPr>
                    <w:rFonts w:ascii="Arial"/>
                    <w:color w:val="383638"/>
                    <w:spacing w:val="59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pacing w:val="60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95"/>
                    <w:sz w:val="17"/>
                  </w:rPr>
                  <w:t>Practice Pointers:</w:t>
                </w:r>
                <w:r>
                  <w:rPr>
                    <w:rFonts w:ascii="Arial"/>
                    <w:color w:val="383638"/>
                    <w:spacing w:val="2"/>
                    <w:w w:val="9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95"/>
                    <w:sz w:val="17"/>
                  </w:rPr>
                  <w:t>Using</w:t>
                </w:r>
                <w:r>
                  <w:rPr>
                    <w:rFonts w:ascii="Arial"/>
                    <w:color w:val="383638"/>
                    <w:spacing w:val="-9"/>
                    <w:w w:val="95"/>
                    <w:sz w:val="17"/>
                  </w:rPr>
                  <w:t> </w:t>
                </w:r>
                <w:r>
                  <w:rPr>
                    <w:rFonts w:ascii="Arial"/>
                    <w:color w:val="4B4B4B"/>
                    <w:w w:val="95"/>
                    <w:sz w:val="17"/>
                  </w:rPr>
                  <w:t>Case</w:t>
                </w:r>
                <w:r>
                  <w:rPr>
                    <w:rFonts w:ascii="Arial"/>
                    <w:color w:val="4B4B4B"/>
                    <w:spacing w:val="-4"/>
                    <w:w w:val="9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95"/>
                    <w:sz w:val="17"/>
                  </w:rPr>
                  <w:t>Authority</w:t>
                </w:r>
                <w:r>
                  <w:rPr>
                    <w:rFonts w:ascii="Arial"/>
                    <w:color w:val="383638"/>
                    <w:spacing w:val="4"/>
                    <w:w w:val="9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95"/>
                    <w:sz w:val="17"/>
                  </w:rPr>
                  <w:t>Effectively</w:t>
                </w:r>
              </w:p>
            </w:txbxContent>
          </v:textbox>
          <w10:wrap type="none"/>
        </v:shape>
      </w:pic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shape style="position:absolute;margin-left:186.717194pt;margin-top:27.043146pt;width:214.45pt;height:12.6pt;mso-position-horizontal-relative:page;mso-position-vertical-relative:page;z-index:-21494272" type="#_x0000_t202" id="docshape246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8"/>
                    <w:w w:val="105"/>
                    <w:sz w:val="17"/>
                  </w:rPr>
                  <w:t>6.2</w:t>
                </w:r>
                <w:r>
                  <w:rPr>
                    <w:rFonts w:ascii="Arial"/>
                    <w:color w:val="383638"/>
                    <w:spacing w:val="21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Using</w:t>
                </w:r>
                <w:r>
                  <w:rPr>
                    <w:rFonts w:ascii="Arial"/>
                    <w:color w:val="383638"/>
                    <w:spacing w:val="-21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Quotations</w:t>
                </w:r>
                <w:r>
                  <w:rPr>
                    <w:rFonts w:ascii="Arial"/>
                    <w:color w:val="383638"/>
                    <w:spacing w:val="-7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Effectively</w:t>
                </w:r>
                <w:r>
                  <w:rPr>
                    <w:rFonts w:ascii="Arial"/>
                    <w:color w:val="383638"/>
                    <w:spacing w:val="-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in</w:t>
                </w:r>
                <w:r>
                  <w:rPr>
                    <w:rFonts w:ascii="Arial"/>
                    <w:color w:val="383638"/>
                    <w:spacing w:val="14"/>
                    <w:w w:val="105"/>
                    <w:sz w:val="17"/>
                  </w:rPr>
                  <w:t> </w:t>
                </w:r>
                <w:r>
                  <w:rPr>
                    <w:b/>
                    <w:color w:val="383638"/>
                    <w:w w:val="105"/>
                    <w:sz w:val="19"/>
                  </w:rPr>
                  <w:t>Case</w:t>
                </w:r>
                <w:r>
                  <w:rPr>
                    <w:b/>
                    <w:color w:val="383638"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Descriptions</w:t>
                </w:r>
              </w:p>
            </w:txbxContent>
          </v:textbox>
          <w10:wrap type="none"/>
        </v:shape>
      </w:pict>
    </w:r>
    <w:r>
      <w:rPr/>
      <w:pict>
        <v:shape style="position:absolute;margin-left:420.740692pt;margin-top:27.043146pt;width:24.85pt;height:13.95pt;mso-position-horizontal-relative:page;mso-position-vertical-relative:page;z-index:-21493760" type="#_x0000_t202" id="docshape247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83638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9.600578pt;margin-top:19.844652pt;width:22.35pt;height:12pt;mso-position-horizontal-relative:page;mso-position-vertical-relative:page;z-index:-21493248" type="#_x0000_t202" id="docshape248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3A3838"/>
                    <w:w w:val="11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8.479202pt;margin-top:19.844652pt;width:237.7pt;height:12pt;mso-position-horizontal-relative:page;mso-position-vertical-relative:page;z-index:-21492736" type="#_x0000_t202" id="docshape249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A3838"/>
                    <w:spacing w:val="-1"/>
                    <w:sz w:val="18"/>
                  </w:rPr>
                  <w:t>Chapter</w:t>
                </w:r>
                <w:r>
                  <w:rPr>
                    <w:color w:val="3A3838"/>
                    <w:spacing w:val="-5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sz w:val="18"/>
                  </w:rPr>
                  <w:t>Six</w:t>
                </w:r>
                <w:r>
                  <w:rPr>
                    <w:color w:val="3A3838"/>
                    <w:spacing w:val="65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sz w:val="18"/>
                  </w:rPr>
                  <w:t>Practice</w:t>
                </w:r>
                <w:r>
                  <w:rPr>
                    <w:color w:val="3A3838"/>
                    <w:spacing w:val="-5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sz w:val="18"/>
                  </w:rPr>
                  <w:t>Pointers:</w:t>
                </w:r>
                <w:r>
                  <w:rPr>
                    <w:color w:val="3A3838"/>
                    <w:spacing w:val="-2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sz w:val="18"/>
                  </w:rPr>
                  <w:t>Us</w:t>
                </w:r>
                <w:r>
                  <w:rPr>
                    <w:color w:val="525254"/>
                    <w:spacing w:val="-1"/>
                    <w:sz w:val="18"/>
                  </w:rPr>
                  <w:t>i</w:t>
                </w:r>
                <w:r>
                  <w:rPr>
                    <w:color w:val="3A3838"/>
                    <w:spacing w:val="-1"/>
                    <w:sz w:val="18"/>
                  </w:rPr>
                  <w:t>ng</w:t>
                </w:r>
                <w:r>
                  <w:rPr>
                    <w:color w:val="3A3838"/>
                    <w:spacing w:val="4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sz w:val="18"/>
                  </w:rPr>
                  <w:t>Case</w:t>
                </w:r>
                <w:r>
                  <w:rPr>
                    <w:color w:val="3A3838"/>
                    <w:spacing w:val="-15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sz w:val="18"/>
                  </w:rPr>
                  <w:t>Authority</w:t>
                </w:r>
                <w:r>
                  <w:rPr>
                    <w:color w:val="3A3838"/>
                    <w:spacing w:val="13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sz w:val="18"/>
                  </w:rPr>
                  <w:t>Effectively</w:t>
                </w:r>
              </w:p>
            </w:txbxContent>
          </v:textbox>
          <w10:wrap type="none"/>
        </v:shape>
      </w:pic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.8256pt;margin-top:16.834454pt;width:23.6pt;height:12.1pt;mso-position-horizontal-relative:page;mso-position-vertical-relative:page;z-index:-21492224" type="#_x0000_t202" id="docshape250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8"/>
                    <w:w w:val="11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8.381157pt;margin-top:16.962299pt;width:243.6pt;height:12pt;mso-position-horizontal-relative:page;mso-position-vertical-relative:page;z-index:-21491712" type="#_x0000_t202" id="docshape251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83638"/>
                    <w:sz w:val="18"/>
                  </w:rPr>
                  <w:t>Chapter</w:t>
                </w:r>
                <w:r>
                  <w:rPr>
                    <w:color w:val="383638"/>
                    <w:spacing w:val="1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Six  </w:t>
                </w:r>
                <w:r>
                  <w:rPr>
                    <w:color w:val="383638"/>
                    <w:spacing w:val="11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Practice</w:t>
                </w:r>
                <w:r>
                  <w:rPr>
                    <w:color w:val="383638"/>
                    <w:spacing w:val="10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Pointers:</w:t>
                </w:r>
                <w:r>
                  <w:rPr>
                    <w:color w:val="383638"/>
                    <w:spacing w:val="13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Using</w:t>
                </w:r>
                <w:r>
                  <w:rPr>
                    <w:color w:val="383638"/>
                    <w:spacing w:val="-6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Case</w:t>
                </w:r>
                <w:r>
                  <w:rPr>
                    <w:color w:val="383638"/>
                    <w:spacing w:val="-16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Authority</w:t>
                </w:r>
                <w:r>
                  <w:rPr>
                    <w:color w:val="383638"/>
                    <w:spacing w:val="9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Effect</w:t>
                </w:r>
                <w:r>
                  <w:rPr>
                    <w:color w:val="565659"/>
                    <w:sz w:val="18"/>
                  </w:rPr>
                  <w:t>i</w:t>
                </w:r>
                <w:r>
                  <w:rPr>
                    <w:color w:val="383638"/>
                    <w:sz w:val="18"/>
                  </w:rPr>
                  <w:t>vely</w:t>
                </w:r>
              </w:p>
            </w:txbxContent>
          </v:textbox>
          <w10:wrap type="none"/>
        </v:shape>
      </w:pic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1.992004pt;margin-top:30.284187pt;width:213.95pt;height:11.55pt;mso-position-horizontal-relative:page;mso-position-vertical-relative:page;z-index:-21491200" type="#_x0000_t202" id="docshape25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6"/>
                    <w:sz w:val="17"/>
                  </w:rPr>
                  <w:t>6.2  </w:t>
                </w:r>
                <w:r>
                  <w:rPr>
                    <w:rFonts w:ascii="Arial"/>
                    <w:color w:val="383636"/>
                    <w:spacing w:val="22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Using</w:t>
                </w:r>
                <w:r>
                  <w:rPr>
                    <w:rFonts w:ascii="Arial"/>
                    <w:color w:val="383636"/>
                    <w:spacing w:val="-12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Quotations</w:t>
                </w:r>
                <w:r>
                  <w:rPr>
                    <w:rFonts w:ascii="Arial"/>
                    <w:color w:val="383636"/>
                    <w:spacing w:val="6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Effectively</w:t>
                </w:r>
                <w:r>
                  <w:rPr>
                    <w:rFonts w:ascii="Arial"/>
                    <w:color w:val="383636"/>
                    <w:spacing w:val="9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in</w:t>
                </w:r>
                <w:r>
                  <w:rPr>
                    <w:rFonts w:ascii="Arial"/>
                    <w:color w:val="383636"/>
                    <w:spacing w:val="44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Case</w:t>
                </w:r>
                <w:r>
                  <w:rPr>
                    <w:rFonts w:ascii="Arial"/>
                    <w:color w:val="383636"/>
                    <w:spacing w:val="-1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Descriptions</w:t>
                </w:r>
              </w:p>
            </w:txbxContent>
          </v:textbox>
          <w10:wrap type="none"/>
        </v:shape>
      </w:pict>
    </w:r>
    <w:r>
      <w:rPr/>
      <w:pict>
        <v:shape style="position:absolute;margin-left:423.41391pt;margin-top:29.830191pt;width:22.85pt;height:12.1pt;mso-position-horizontal-relative:page;mso-position-vertical-relative:page;z-index:-21490688" type="#_x0000_t202" id="docshape253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6"/>
                    <w:w w:val="10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.92828pt;margin-top:21.137066pt;width:22.85pt;height:11.55pt;mso-position-horizontal-relative:page;mso-position-vertical-relative:page;z-index:-21490176" type="#_x0000_t202" id="docshape254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363436"/>
                    <w:w w:val="110"/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3.061928pt;margin-top:21.137066pt;width:242.85pt;height:11.55pt;mso-position-horizontal-relative:page;mso-position-vertical-relative:page;z-index:-21489664" type="#_x0000_t202" id="docshape255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63436"/>
                    <w:spacing w:val="-1"/>
                    <w:sz w:val="17"/>
                  </w:rPr>
                  <w:t>Chapter</w:t>
                </w:r>
                <w:r>
                  <w:rPr>
                    <w:rFonts w:ascii="Arial"/>
                    <w:color w:val="363436"/>
                    <w:sz w:val="17"/>
                  </w:rPr>
                  <w:t> Six</w:t>
                </w:r>
                <w:r>
                  <w:rPr>
                    <w:rFonts w:ascii="Arial"/>
                    <w:color w:val="363436"/>
                    <w:spacing w:val="71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sz w:val="17"/>
                  </w:rPr>
                  <w:t>Practice</w:t>
                </w:r>
                <w:r>
                  <w:rPr>
                    <w:rFonts w:ascii="Arial"/>
                    <w:color w:val="363436"/>
                    <w:spacing w:val="-20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sz w:val="17"/>
                  </w:rPr>
                  <w:t>Pointers:</w:t>
                </w:r>
                <w:r>
                  <w:rPr>
                    <w:rFonts w:ascii="Arial"/>
                    <w:color w:val="363436"/>
                    <w:spacing w:val="-14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sz w:val="17"/>
                  </w:rPr>
                  <w:t>Using</w:t>
                </w:r>
                <w:r>
                  <w:rPr>
                    <w:rFonts w:ascii="Arial"/>
                    <w:color w:val="363436"/>
                    <w:spacing w:val="-10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sz w:val="17"/>
                  </w:rPr>
                  <w:t>Case</w:t>
                </w:r>
                <w:r>
                  <w:rPr>
                    <w:rFonts w:ascii="Arial"/>
                    <w:color w:val="363436"/>
                    <w:spacing w:val="-18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sz w:val="17"/>
                  </w:rPr>
                  <w:t>Authority</w:t>
                </w:r>
                <w:r>
                  <w:rPr>
                    <w:rFonts w:ascii="Arial"/>
                    <w:color w:val="363436"/>
                    <w:spacing w:val="-12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sz w:val="17"/>
                  </w:rPr>
                  <w:t>Effectively</w:t>
                </w:r>
              </w:p>
            </w:txbxContent>
          </v:textbox>
          <w10:wrap type="none"/>
        </v:shape>
      </w:pic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06.646698pt;margin-top:27.615274pt;width:334.25pt;height:13.15pt;mso-position-horizontal-relative:page;mso-position-vertical-relative:page;z-index:-21489152" type="#_x0000_t202" id="docshape256" filled="false" stroked="false">
          <v:textbox inset="0,0,0,0">
            <w:txbxContent>
              <w:p>
                <w:pPr>
                  <w:tabs>
                    <w:tab w:pos="6604" w:val="right" w:leader="none"/>
                  </w:tabs>
                  <w:spacing w:before="12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rFonts w:ascii="Arial"/>
                    <w:color w:val="363436"/>
                    <w:spacing w:val="-1"/>
                    <w:w w:val="105"/>
                    <w:sz w:val="17"/>
                  </w:rPr>
                  <w:t>6.3</w:t>
                </w:r>
                <w:r>
                  <w:rPr>
                    <w:rFonts w:ascii="Arial"/>
                    <w:color w:val="363436"/>
                    <w:spacing w:val="19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spacing w:val="-1"/>
                    <w:w w:val="105"/>
                    <w:sz w:val="17"/>
                  </w:rPr>
                  <w:t>Using</w:t>
                </w:r>
                <w:r>
                  <w:rPr>
                    <w:rFonts w:ascii="Arial"/>
                    <w:color w:val="363436"/>
                    <w:spacing w:val="-19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spacing w:val="-1"/>
                    <w:w w:val="105"/>
                    <w:sz w:val="17"/>
                  </w:rPr>
                  <w:t>Language</w:t>
                </w:r>
                <w:r>
                  <w:rPr>
                    <w:rFonts w:ascii="Arial"/>
                    <w:color w:val="363436"/>
                    <w:spacing w:val="-21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w w:val="105"/>
                    <w:sz w:val="17"/>
                  </w:rPr>
                  <w:t>Precisely</w:t>
                </w:r>
                <w:r>
                  <w:rPr>
                    <w:rFonts w:ascii="Arial"/>
                    <w:color w:val="363436"/>
                    <w:spacing w:val="-12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w w:val="105"/>
                    <w:sz w:val="17"/>
                  </w:rPr>
                  <w:t>When</w:t>
                </w:r>
                <w:r>
                  <w:rPr>
                    <w:rFonts w:ascii="Arial"/>
                    <w:color w:val="363436"/>
                    <w:spacing w:val="-27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w w:val="105"/>
                    <w:sz w:val="17"/>
                  </w:rPr>
                  <w:t>Analogizing</w:t>
                </w:r>
                <w:r>
                  <w:rPr>
                    <w:rFonts w:ascii="Arial"/>
                    <w:color w:val="363436"/>
                    <w:spacing w:val="-6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w w:val="105"/>
                    <w:sz w:val="17"/>
                  </w:rPr>
                  <w:t>and</w:t>
                </w:r>
                <w:r>
                  <w:rPr>
                    <w:rFonts w:ascii="Arial"/>
                    <w:color w:val="363436"/>
                    <w:spacing w:val="-13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w w:val="105"/>
                    <w:sz w:val="17"/>
                  </w:rPr>
                  <w:t>Distinguishing</w:t>
                </w:r>
                <w:r>
                  <w:rPr>
                    <w:rFonts w:ascii="Arial"/>
                    <w:color w:val="363436"/>
                    <w:spacing w:val="-29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w w:val="105"/>
                    <w:sz w:val="17"/>
                  </w:rPr>
                  <w:t>Cases</w:t>
                  <w:tab/>
                </w:r>
                <w:r>
                  <w:rPr/>
                  <w:fldChar w:fldCharType="begin"/>
                </w:r>
                <w:r>
                  <w:rPr>
                    <w:b/>
                    <w:color w:val="363436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079681pt;margin-top:20.213730pt;width:24.4pt;height:12.1pt;mso-position-horizontal-relative:page;mso-position-vertical-relative:page;z-index:-21488640" type="#_x0000_t202" id="docshape257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B383A"/>
                    <w:w w:val="11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6.129303pt;margin-top:20.341633pt;width:239.3pt;height:12.05pt;mso-position-horizontal-relative:page;mso-position-vertical-relative:page;z-index:-21488128" type="#_x0000_t202" id="docshape258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B383A"/>
                    <w:spacing w:val="-1"/>
                    <w:sz w:val="18"/>
                  </w:rPr>
                  <w:t>Chapter</w:t>
                </w:r>
                <w:r>
                  <w:rPr>
                    <w:color w:val="3B383A"/>
                    <w:spacing w:val="-3"/>
                    <w:sz w:val="18"/>
                  </w:rPr>
                  <w:t> </w:t>
                </w:r>
                <w:r>
                  <w:rPr>
                    <w:color w:val="3B383A"/>
                    <w:spacing w:val="-1"/>
                    <w:sz w:val="18"/>
                  </w:rPr>
                  <w:t>Six</w:t>
                </w:r>
                <w:r>
                  <w:rPr>
                    <w:color w:val="3B383A"/>
                    <w:spacing w:val="75"/>
                    <w:sz w:val="18"/>
                  </w:rPr>
                  <w:t> </w:t>
                </w:r>
                <w:r>
                  <w:rPr>
                    <w:color w:val="3B383A"/>
                    <w:spacing w:val="-1"/>
                    <w:sz w:val="18"/>
                  </w:rPr>
                  <w:t>Pract</w:t>
                </w:r>
                <w:r>
                  <w:rPr>
                    <w:color w:val="525254"/>
                    <w:spacing w:val="-1"/>
                    <w:sz w:val="18"/>
                  </w:rPr>
                  <w:t>i</w:t>
                </w:r>
                <w:r>
                  <w:rPr>
                    <w:color w:val="3B383A"/>
                    <w:spacing w:val="-1"/>
                    <w:sz w:val="18"/>
                  </w:rPr>
                  <w:t>ce</w:t>
                </w:r>
                <w:r>
                  <w:rPr>
                    <w:color w:val="3B383A"/>
                    <w:spacing w:val="18"/>
                    <w:sz w:val="18"/>
                  </w:rPr>
                  <w:t> </w:t>
                </w:r>
                <w:r>
                  <w:rPr>
                    <w:color w:val="3B383A"/>
                    <w:spacing w:val="-1"/>
                    <w:sz w:val="18"/>
                  </w:rPr>
                  <w:t>Pointers</w:t>
                </w:r>
                <w:r>
                  <w:rPr>
                    <w:color w:val="525254"/>
                    <w:spacing w:val="-1"/>
                    <w:sz w:val="18"/>
                  </w:rPr>
                  <w:t>:</w:t>
                </w:r>
                <w:r>
                  <w:rPr>
                    <w:color w:val="525254"/>
                    <w:spacing w:val="1"/>
                    <w:sz w:val="18"/>
                  </w:rPr>
                  <w:t> </w:t>
                </w:r>
                <w:r>
                  <w:rPr>
                    <w:color w:val="3B383A"/>
                    <w:sz w:val="18"/>
                  </w:rPr>
                  <w:t>Using</w:t>
                </w:r>
                <w:r>
                  <w:rPr>
                    <w:color w:val="3B383A"/>
                    <w:spacing w:val="-7"/>
                    <w:sz w:val="18"/>
                  </w:rPr>
                  <w:t> </w:t>
                </w:r>
                <w:r>
                  <w:rPr>
                    <w:color w:val="3B383A"/>
                    <w:sz w:val="18"/>
                  </w:rPr>
                  <w:t>Case</w:t>
                </w:r>
                <w:r>
                  <w:rPr>
                    <w:color w:val="3B383A"/>
                    <w:spacing w:val="-16"/>
                    <w:sz w:val="18"/>
                  </w:rPr>
                  <w:t> </w:t>
                </w:r>
                <w:r>
                  <w:rPr>
                    <w:color w:val="3B383A"/>
                    <w:sz w:val="18"/>
                  </w:rPr>
                  <w:t>Authority</w:t>
                </w:r>
                <w:r>
                  <w:rPr>
                    <w:color w:val="3B383A"/>
                    <w:spacing w:val="-1"/>
                    <w:sz w:val="18"/>
                  </w:rPr>
                  <w:t> </w:t>
                </w:r>
                <w:r>
                  <w:rPr>
                    <w:color w:val="3B383A"/>
                    <w:sz w:val="18"/>
                  </w:rPr>
                  <w:t>Effectively</w:t>
                </w:r>
              </w:p>
            </w:txbxContent>
          </v:textbox>
          <w10:wrap type="none"/>
        </v:shape>
      </w:pic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8.208405pt;margin-top:27.91646pt;width:256.7pt;height:12.1pt;mso-position-horizontal-relative:page;mso-position-vertical-relative:page;z-index:-21487616" type="#_x0000_t202" id="docshape259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383638"/>
                    <w:spacing w:val="-1"/>
                    <w:w w:val="105"/>
                    <w:sz w:val="18"/>
                  </w:rPr>
                  <w:t>6.4</w:t>
                </w:r>
                <w:r>
                  <w:rPr>
                    <w:rFonts w:ascii="Arial"/>
                    <w:color w:val="383638"/>
                    <w:spacing w:val="22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spacing w:val="-1"/>
                    <w:w w:val="105"/>
                    <w:sz w:val="18"/>
                  </w:rPr>
                  <w:t>Dealing</w:t>
                </w:r>
                <w:r>
                  <w:rPr>
                    <w:rFonts w:ascii="Arial"/>
                    <w:color w:val="383638"/>
                    <w:spacing w:val="-24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8"/>
                  </w:rPr>
                  <w:t>with</w:t>
                </w:r>
                <w:r>
                  <w:rPr>
                    <w:rFonts w:ascii="Arial"/>
                    <w:color w:val="383638"/>
                    <w:spacing w:val="-27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8"/>
                  </w:rPr>
                  <w:t>Nonprecedential,</w:t>
                </w:r>
                <w:r>
                  <w:rPr>
                    <w:rFonts w:ascii="Arial"/>
                    <w:color w:val="383638"/>
                    <w:spacing w:val="-36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8"/>
                  </w:rPr>
                  <w:t>or</w:t>
                </w:r>
                <w:r>
                  <w:rPr>
                    <w:rFonts w:ascii="Arial"/>
                    <w:color w:val="383638"/>
                    <w:spacing w:val="11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8"/>
                  </w:rPr>
                  <w:t>"Unpublished,"</w:t>
                </w:r>
                <w:r>
                  <w:rPr>
                    <w:rFonts w:ascii="Arial"/>
                    <w:color w:val="383638"/>
                    <w:spacing w:val="-25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8"/>
                  </w:rPr>
                  <w:t>Opinions</w:t>
                </w:r>
              </w:p>
            </w:txbxContent>
          </v:textbox>
          <w10:wrap type="none"/>
        </v:shape>
      </w:pict>
    </w:r>
    <w:r>
      <w:rPr/>
      <w:pict>
        <v:shape style="position:absolute;margin-left:422.267914pt;margin-top:27.91646pt;width:22.55pt;height:12.1pt;mso-position-horizontal-relative:page;mso-position-vertical-relative:page;z-index:-21487104" type="#_x0000_t202" id="docshape260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8"/>
                    <w:w w:val="10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1.845348pt;margin-top:19.239744pt;width:23.75pt;height:12.1pt;mso-position-horizontal-relative:page;mso-position-vertical-relative:page;z-index:-21486592" type="#_x0000_t202" id="docshape26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A3838"/>
                    <w:w w:val="11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0.861099pt;margin-top:19.367573pt;width:239.15pt;height:12pt;mso-position-horizontal-relative:page;mso-position-vertical-relative:page;z-index:-21486080" type="#_x0000_t202" id="docshape26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A3838"/>
                    <w:spacing w:val="-1"/>
                    <w:sz w:val="18"/>
                  </w:rPr>
                  <w:t>Chapter</w:t>
                </w:r>
                <w:r>
                  <w:rPr>
                    <w:color w:val="3A3838"/>
                    <w:spacing w:val="-5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sz w:val="18"/>
                  </w:rPr>
                  <w:t>Six</w:t>
                </w:r>
                <w:r>
                  <w:rPr>
                    <w:color w:val="3A3838"/>
                    <w:spacing w:val="75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sz w:val="18"/>
                  </w:rPr>
                  <w:t>Practice</w:t>
                </w:r>
                <w:r>
                  <w:rPr>
                    <w:color w:val="3A3838"/>
                    <w:spacing w:val="5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sz w:val="18"/>
                  </w:rPr>
                  <w:t>Pointers:</w:t>
                </w:r>
                <w:r>
                  <w:rPr>
                    <w:color w:val="3A3838"/>
                    <w:spacing w:val="3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sz w:val="18"/>
                  </w:rPr>
                  <w:t>Using</w:t>
                </w:r>
                <w:r>
                  <w:rPr>
                    <w:color w:val="3A3838"/>
                    <w:spacing w:val="2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sz w:val="18"/>
                  </w:rPr>
                  <w:t>Case</w:t>
                </w:r>
                <w:r>
                  <w:rPr>
                    <w:color w:val="3A3838"/>
                    <w:spacing w:val="-16"/>
                    <w:sz w:val="18"/>
                  </w:rPr>
                  <w:t> </w:t>
                </w:r>
                <w:r>
                  <w:rPr>
                    <w:color w:val="3A3838"/>
                    <w:sz w:val="18"/>
                  </w:rPr>
                  <w:t>Authority Effectively</w:t>
                </w:r>
              </w:p>
            </w:txbxContent>
          </v:textbox>
          <w10:wrap type="none"/>
        </v:shape>
      </w:pic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095306pt;margin-top:22.60589pt;width:123.9pt;height:12.1pt;mso-position-horizontal-relative:page;mso-position-vertical-relative:page;z-index:-21485568" type="#_x0000_t202" id="docshape263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i/>
                    <w:color w:val="383636"/>
                    <w:w w:val="105"/>
                    <w:sz w:val="18"/>
                  </w:rPr>
                  <w:t>6.5</w:t>
                </w:r>
                <w:r>
                  <w:rPr>
                    <w:rFonts w:ascii="Arial"/>
                    <w:i/>
                    <w:color w:val="383636"/>
                    <w:spacing w:val="52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Using</w:t>
                </w:r>
                <w:r>
                  <w:rPr>
                    <w:rFonts w:ascii="Arial"/>
                    <w:color w:val="383636"/>
                    <w:spacing w:val="-14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Citations</w:t>
                </w:r>
                <w:r>
                  <w:rPr>
                    <w:rFonts w:ascii="Arial"/>
                    <w:color w:val="383636"/>
                    <w:spacing w:val="-6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Effectively</w:t>
                </w:r>
              </w:p>
            </w:txbxContent>
          </v:textbox>
          <w10:wrap type="none"/>
        </v:shape>
      </w:pict>
    </w:r>
    <w:r>
      <w:rPr/>
      <w:pict>
        <v:shape style="position:absolute;margin-left:424.316711pt;margin-top:23.059828pt;width:21.85pt;height:11.55pt;mso-position-horizontal-relative:page;mso-position-vertical-relative:page;z-index:-21485056" type="#_x0000_t202" id="docshape264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rFonts w:ascii="Arial"/>
                    <w:b/>
                    <w:sz w:val="17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6"/>
                    <w:w w:val="105"/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.07365pt;margin-top:18.275866pt;width:24.35pt;height:12.1pt;mso-position-horizontal-relative:page;mso-position-vertical-relative:page;z-index:-21484544" type="#_x0000_t202" id="docshape265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8"/>
                    <w:w w:val="11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5.598297pt;margin-top:18.729866pt;width:239.85pt;height:11.6pt;mso-position-horizontal-relative:page;mso-position-vertical-relative:page;z-index:-21484032" type="#_x0000_t202" id="docshape266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7"/>
                  </w:rPr>
                </w:pPr>
                <w:r>
                  <w:rPr>
                    <w:color w:val="383638"/>
                    <w:w w:val="105"/>
                    <w:sz w:val="17"/>
                  </w:rPr>
                  <w:t>Chapter</w:t>
                </w:r>
                <w:r>
                  <w:rPr>
                    <w:color w:val="383638"/>
                    <w:spacing w:val="-6"/>
                    <w:w w:val="105"/>
                    <w:sz w:val="17"/>
                  </w:rPr>
                  <w:t> </w:t>
                </w:r>
                <w:r>
                  <w:rPr>
                    <w:color w:val="383638"/>
                    <w:w w:val="105"/>
                    <w:sz w:val="17"/>
                  </w:rPr>
                  <w:t>Six </w:t>
                </w:r>
                <w:r>
                  <w:rPr>
                    <w:color w:val="383638"/>
                    <w:spacing w:val="32"/>
                    <w:w w:val="105"/>
                    <w:sz w:val="17"/>
                  </w:rPr>
                  <w:t> </w:t>
                </w:r>
                <w:r>
                  <w:rPr>
                    <w:color w:val="383638"/>
                    <w:w w:val="105"/>
                    <w:sz w:val="17"/>
                  </w:rPr>
                  <w:t>Practice</w:t>
                </w:r>
                <w:r>
                  <w:rPr>
                    <w:color w:val="383638"/>
                    <w:spacing w:val="-3"/>
                    <w:w w:val="105"/>
                    <w:sz w:val="17"/>
                  </w:rPr>
                  <w:t> </w:t>
                </w:r>
                <w:r>
                  <w:rPr>
                    <w:color w:val="383638"/>
                    <w:w w:val="105"/>
                    <w:sz w:val="17"/>
                  </w:rPr>
                  <w:t>Pointers:</w:t>
                </w:r>
                <w:r>
                  <w:rPr>
                    <w:color w:val="383638"/>
                    <w:spacing w:val="-19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i/>
                    <w:color w:val="383638"/>
                    <w:w w:val="105"/>
                    <w:sz w:val="17"/>
                  </w:rPr>
                  <w:t>Using</w:t>
                </w:r>
                <w:r>
                  <w:rPr>
                    <w:rFonts w:ascii="Arial"/>
                    <w:i/>
                    <w:color w:val="383638"/>
                    <w:spacing w:val="5"/>
                    <w:w w:val="105"/>
                    <w:sz w:val="17"/>
                  </w:rPr>
                  <w:t> </w:t>
                </w:r>
                <w:r>
                  <w:rPr>
                    <w:color w:val="383638"/>
                    <w:w w:val="105"/>
                    <w:sz w:val="17"/>
                  </w:rPr>
                  <w:t>Case</w:t>
                </w:r>
                <w:r>
                  <w:rPr>
                    <w:color w:val="383638"/>
                    <w:spacing w:val="-16"/>
                    <w:w w:val="105"/>
                    <w:sz w:val="17"/>
                  </w:rPr>
                  <w:t> </w:t>
                </w:r>
                <w:r>
                  <w:rPr>
                    <w:color w:val="383638"/>
                    <w:w w:val="105"/>
                    <w:sz w:val="17"/>
                  </w:rPr>
                  <w:t>Authority</w:t>
                </w:r>
                <w:r>
                  <w:rPr>
                    <w:color w:val="383638"/>
                    <w:spacing w:val="2"/>
                    <w:w w:val="105"/>
                    <w:sz w:val="17"/>
                  </w:rPr>
                  <w:t> </w:t>
                </w:r>
                <w:r>
                  <w:rPr>
                    <w:color w:val="383638"/>
                    <w:w w:val="105"/>
                    <w:sz w:val="17"/>
                  </w:rPr>
                  <w:t>Effectively</w:t>
                </w:r>
              </w:p>
            </w:txbxContent>
          </v:textbox>
          <w10:wrap type="none"/>
        </v:shape>
      </w:pic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140991pt;margin-top:28.862411pt;width:123.15pt;height:12.1pt;mso-position-horizontal-relative:page;mso-position-vertical-relative:page;z-index:-21483520" type="#_x0000_t202" id="docshape267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6"/>
                    <w:sz w:val="18"/>
                  </w:rPr>
                  <w:t>6.5</w:t>
                </w:r>
                <w:r>
                  <w:rPr>
                    <w:rFonts w:ascii="Arial"/>
                    <w:color w:val="383636"/>
                    <w:spacing w:val="39"/>
                    <w:sz w:val="18"/>
                  </w:rPr>
                  <w:t> </w:t>
                </w:r>
                <w:r>
                  <w:rPr>
                    <w:rFonts w:ascii="Arial"/>
                    <w:color w:val="383636"/>
                    <w:sz w:val="18"/>
                  </w:rPr>
                  <w:t>Using</w:t>
                </w:r>
                <w:r>
                  <w:rPr>
                    <w:rFonts w:ascii="Arial"/>
                    <w:color w:val="383636"/>
                    <w:spacing w:val="-1"/>
                    <w:sz w:val="18"/>
                  </w:rPr>
                  <w:t> </w:t>
                </w:r>
                <w:r>
                  <w:rPr>
                    <w:rFonts w:ascii="Arial"/>
                    <w:color w:val="383636"/>
                    <w:sz w:val="18"/>
                  </w:rPr>
                  <w:t>Citations</w:t>
                </w:r>
                <w:r>
                  <w:rPr>
                    <w:rFonts w:ascii="Arial"/>
                    <w:color w:val="383636"/>
                    <w:spacing w:val="8"/>
                    <w:sz w:val="18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Effectively</w:t>
                </w:r>
              </w:p>
            </w:txbxContent>
          </v:textbox>
          <w10:wrap type="none"/>
        </v:shape>
      </w:pict>
    </w:r>
    <w:r>
      <w:rPr/>
      <w:pict>
        <v:shape style="position:absolute;margin-left:421.732513pt;margin-top:28.862411pt;width:22.55pt;height:12.1pt;mso-position-horizontal-relative:page;mso-position-vertical-relative:page;z-index:-21483008" type="#_x0000_t202" id="docshape268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383636"/>
                    <w:w w:val="10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630577pt;margin-top:21.678228pt;width:24.2pt;height:12.65pt;mso-position-horizontal-relative:page;mso-position-vertical-relative:page;z-index:-21482496" type="#_x0000_t202" id="docshape269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A3838"/>
                    <w:w w:val="11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6.688499pt;margin-top:21.813183pt;width:237.25pt;height:12.6pt;mso-position-horizontal-relative:page;mso-position-vertical-relative:page;z-index:-21481984" type="#_x0000_t202" id="docshape270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A3838"/>
                    <w:w w:val="90"/>
                    <w:sz w:val="19"/>
                  </w:rPr>
                  <w:t>Chapter</w:t>
                </w:r>
                <w:r>
                  <w:rPr>
                    <w:color w:val="3A3838"/>
                    <w:spacing w:val="-1"/>
                    <w:w w:val="90"/>
                    <w:sz w:val="19"/>
                  </w:rPr>
                  <w:t> </w:t>
                </w:r>
                <w:r>
                  <w:rPr>
                    <w:color w:val="3A3838"/>
                    <w:w w:val="90"/>
                    <w:sz w:val="19"/>
                  </w:rPr>
                  <w:t>Six</w:t>
                </w:r>
                <w:r>
                  <w:rPr>
                    <w:color w:val="3A3838"/>
                    <w:spacing w:val="65"/>
                    <w:sz w:val="19"/>
                  </w:rPr>
                  <w:t> </w:t>
                </w:r>
                <w:r>
                  <w:rPr>
                    <w:color w:val="3A3838"/>
                    <w:spacing w:val="65"/>
                    <w:sz w:val="19"/>
                  </w:rPr>
                  <w:t> </w:t>
                </w:r>
                <w:r>
                  <w:rPr>
                    <w:color w:val="3A3838"/>
                    <w:w w:val="90"/>
                    <w:sz w:val="19"/>
                  </w:rPr>
                  <w:t>Practice</w:t>
                </w:r>
                <w:r>
                  <w:rPr>
                    <w:color w:val="3A3838"/>
                    <w:spacing w:val="29"/>
                    <w:w w:val="90"/>
                    <w:sz w:val="19"/>
                  </w:rPr>
                  <w:t> </w:t>
                </w:r>
                <w:r>
                  <w:rPr>
                    <w:color w:val="3A3838"/>
                    <w:w w:val="90"/>
                    <w:sz w:val="19"/>
                  </w:rPr>
                  <w:t>Pointers: Using</w:t>
                </w:r>
                <w:r>
                  <w:rPr>
                    <w:color w:val="3A3838"/>
                    <w:spacing w:val="8"/>
                    <w:w w:val="90"/>
                    <w:sz w:val="19"/>
                  </w:rPr>
                  <w:t> </w:t>
                </w:r>
                <w:r>
                  <w:rPr>
                    <w:color w:val="3A3838"/>
                    <w:w w:val="90"/>
                    <w:sz w:val="19"/>
                  </w:rPr>
                  <w:t>Case</w:t>
                </w:r>
                <w:r>
                  <w:rPr>
                    <w:color w:val="3A3838"/>
                    <w:spacing w:val="-5"/>
                    <w:w w:val="90"/>
                    <w:sz w:val="19"/>
                  </w:rPr>
                  <w:t> </w:t>
                </w:r>
                <w:r>
                  <w:rPr>
                    <w:color w:val="3A3838"/>
                    <w:w w:val="90"/>
                    <w:sz w:val="19"/>
                  </w:rPr>
                  <w:t>Authority</w:t>
                </w:r>
                <w:r>
                  <w:rPr>
                    <w:color w:val="3A3838"/>
                    <w:spacing w:val="25"/>
                    <w:w w:val="90"/>
                    <w:sz w:val="19"/>
                  </w:rPr>
                  <w:t> </w:t>
                </w:r>
                <w:r>
                  <w:rPr>
                    <w:color w:val="3A3838"/>
                    <w:w w:val="90"/>
                    <w:sz w:val="19"/>
                  </w:rPr>
                  <w:t>Effectively</w:t>
                </w:r>
              </w:p>
            </w:txbxContent>
          </v:textbox>
          <w10:wrap type="none"/>
        </v:shape>
      </w:pic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215950pt;margin-top:20.234295pt;width:24.35pt;height:12.65pt;mso-position-horizontal-relative:page;mso-position-vertical-relative:page;z-index:-21481472" type="#_x0000_t202" id="docshape27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8"/>
                    <w:w w:val="11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3.686096pt;margin-top:21.596659pt;width:238pt;height:11pt;mso-position-horizontal-relative:page;mso-position-vertical-relative:page;z-index:-21480960" type="#_x0000_t202" id="docshape273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383638"/>
                    <w:spacing w:val="-1"/>
                    <w:w w:val="105"/>
                    <w:sz w:val="16"/>
                  </w:rPr>
                  <w:t>Chapter</w:t>
                </w:r>
                <w:r>
                  <w:rPr>
                    <w:rFonts w:ascii="Arial"/>
                    <w:color w:val="383638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83638"/>
                    <w:spacing w:val="-1"/>
                    <w:w w:val="105"/>
                    <w:sz w:val="16"/>
                  </w:rPr>
                  <w:t>Six</w:t>
                </w:r>
                <w:r>
                  <w:rPr>
                    <w:rFonts w:ascii="Arial"/>
                    <w:color w:val="383638"/>
                    <w:spacing w:val="63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83638"/>
                    <w:spacing w:val="-1"/>
                    <w:w w:val="105"/>
                    <w:sz w:val="16"/>
                  </w:rPr>
                  <w:t>Practice</w:t>
                </w:r>
                <w:r>
                  <w:rPr>
                    <w:rFonts w:ascii="Arial"/>
                    <w:color w:val="383638"/>
                    <w:spacing w:val="-19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83638"/>
                    <w:spacing w:val="-1"/>
                    <w:w w:val="105"/>
                    <w:sz w:val="16"/>
                  </w:rPr>
                  <w:t>Pointers:</w:t>
                </w:r>
                <w:r>
                  <w:rPr>
                    <w:rFonts w:ascii="Arial"/>
                    <w:color w:val="383638"/>
                    <w:spacing w:val="-15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83638"/>
                    <w:spacing w:val="-1"/>
                    <w:w w:val="105"/>
                    <w:sz w:val="16"/>
                  </w:rPr>
                  <w:t>Using</w:t>
                </w:r>
                <w:r>
                  <w:rPr>
                    <w:rFonts w:ascii="Arial"/>
                    <w:color w:val="383638"/>
                    <w:spacing w:val="-11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83638"/>
                    <w:spacing w:val="-1"/>
                    <w:w w:val="105"/>
                    <w:sz w:val="16"/>
                  </w:rPr>
                  <w:t>Case</w:t>
                </w:r>
                <w:r>
                  <w:rPr>
                    <w:rFonts w:ascii="Arial"/>
                    <w:color w:val="383638"/>
                    <w:spacing w:val="-17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83638"/>
                    <w:spacing w:val="-1"/>
                    <w:w w:val="105"/>
                    <w:sz w:val="16"/>
                  </w:rPr>
                  <w:t>Authority</w:t>
                </w:r>
                <w:r>
                  <w:rPr>
                    <w:rFonts w:ascii="Arial"/>
                    <w:color w:val="383638"/>
                    <w:spacing w:val="-7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6"/>
                  </w:rPr>
                  <w:t>Effectively</w:t>
                </w:r>
              </w:p>
            </w:txbxContent>
          </v:textbox>
          <w10:wrap type="none"/>
        </v:shape>
      </w:pic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063812pt;margin-top:28.842497pt;width:123pt;height:11.55pt;mso-position-horizontal-relative:page;mso-position-vertical-relative:page;z-index:-21480448" type="#_x0000_t202" id="docshape274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A3838"/>
                    <w:w w:val="105"/>
                    <w:sz w:val="17"/>
                  </w:rPr>
                  <w:t>6.5</w:t>
                </w:r>
                <w:r>
                  <w:rPr>
                    <w:rFonts w:ascii="Arial"/>
                    <w:color w:val="3A3838"/>
                    <w:spacing w:val="44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w w:val="105"/>
                    <w:sz w:val="17"/>
                  </w:rPr>
                  <w:t>Using</w:t>
                </w:r>
                <w:r>
                  <w:rPr>
                    <w:rFonts w:ascii="Arial"/>
                    <w:color w:val="3A3838"/>
                    <w:spacing w:val="-12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w w:val="105"/>
                    <w:sz w:val="17"/>
                  </w:rPr>
                  <w:t>Citatlons</w:t>
                </w:r>
                <w:r>
                  <w:rPr>
                    <w:rFonts w:ascii="Arial"/>
                    <w:color w:val="3A3838"/>
                    <w:spacing w:val="-3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w w:val="105"/>
                    <w:sz w:val="17"/>
                  </w:rPr>
                  <w:t>Effectively</w:t>
                </w:r>
              </w:p>
            </w:txbxContent>
          </v:textbox>
          <w10:wrap type="none"/>
        </v:shape>
      </w:pict>
    </w:r>
    <w:r>
      <w:rPr/>
      <w:pict>
        <v:shape style="position:absolute;margin-left:425.142395pt;margin-top:28.842497pt;width:16.850pt;height:11.55pt;mso-position-horizontal-relative:page;mso-position-vertical-relative:page;z-index:-21479936" type="#_x0000_t202" id="docshape275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A3838"/>
                    <w:w w:val="105"/>
                    <w:sz w:val="17"/>
                  </w:rPr>
                  <w:t>147</w:t>
                </w:r>
              </w:p>
            </w:txbxContent>
          </v:textbox>
          <w10:wrap type="none"/>
        </v:shape>
      </w:pic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8.974869pt;margin-top:19.721243pt;width:24.05pt;height:12.1pt;mso-position-horizontal-relative:page;mso-position-vertical-relative:page;z-index:-21479424" type="#_x0000_t202" id="docshape276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8"/>
                    <w:w w:val="11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7.5215pt;margin-top:19.849073pt;width:240.7pt;height:12pt;mso-position-horizontal-relative:page;mso-position-vertical-relative:page;z-index:-21478912" type="#_x0000_t202" id="docshape277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83638"/>
                    <w:sz w:val="18"/>
                  </w:rPr>
                  <w:t>Chapter</w:t>
                </w:r>
                <w:r>
                  <w:rPr>
                    <w:color w:val="383638"/>
                    <w:spacing w:val="-9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Six</w:t>
                </w:r>
                <w:r>
                  <w:rPr>
                    <w:color w:val="383638"/>
                    <w:spacing w:val="88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Practice</w:t>
                </w:r>
                <w:r>
                  <w:rPr>
                    <w:color w:val="383638"/>
                    <w:spacing w:val="-1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Pointers:</w:t>
                </w:r>
                <w:r>
                  <w:rPr>
                    <w:color w:val="383638"/>
                    <w:spacing w:val="-1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Using</w:t>
                </w:r>
                <w:r>
                  <w:rPr>
                    <w:color w:val="383638"/>
                    <w:spacing w:val="-6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Case</w:t>
                </w:r>
                <w:r>
                  <w:rPr>
                    <w:color w:val="383638"/>
                    <w:spacing w:val="-16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Authority Effectively</w:t>
                </w:r>
              </w:p>
            </w:txbxContent>
          </v:textbox>
          <w10:wrap type="none"/>
        </v:shape>
      </w:pic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6409pt;margin-top:22.124491pt;width:122.9pt;height:12.1pt;mso-position-horizontal-relative:page;mso-position-vertical-relative:page;z-index:-21478400" type="#_x0000_t202" id="docshape278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363436"/>
                    <w:sz w:val="18"/>
                  </w:rPr>
                  <w:t>6.5</w:t>
                </w:r>
                <w:r>
                  <w:rPr>
                    <w:rFonts w:ascii="Arial"/>
                    <w:color w:val="363436"/>
                    <w:spacing w:val="34"/>
                    <w:sz w:val="18"/>
                  </w:rPr>
                  <w:t> </w:t>
                </w:r>
                <w:r>
                  <w:rPr>
                    <w:rFonts w:ascii="Arial"/>
                    <w:color w:val="363436"/>
                    <w:sz w:val="18"/>
                  </w:rPr>
                  <w:t>Using</w:t>
                </w:r>
                <w:r>
                  <w:rPr>
                    <w:rFonts w:ascii="Arial"/>
                    <w:color w:val="363436"/>
                    <w:spacing w:val="-22"/>
                    <w:sz w:val="18"/>
                  </w:rPr>
                  <w:t> </w:t>
                </w:r>
                <w:r>
                  <w:rPr>
                    <w:rFonts w:ascii="Arial"/>
                    <w:color w:val="363436"/>
                    <w:sz w:val="18"/>
                  </w:rPr>
                  <w:t>Citations</w:t>
                </w:r>
                <w:r>
                  <w:rPr>
                    <w:rFonts w:ascii="Arial"/>
                    <w:color w:val="363436"/>
                    <w:spacing w:val="-5"/>
                    <w:sz w:val="18"/>
                  </w:rPr>
                  <w:t> </w:t>
                </w:r>
                <w:r>
                  <w:rPr>
                    <w:rFonts w:ascii="Arial"/>
                    <w:color w:val="363436"/>
                    <w:sz w:val="18"/>
                  </w:rPr>
                  <w:t>Effectively</w:t>
                </w:r>
              </w:p>
            </w:txbxContent>
          </v:textbox>
          <w10:wrap type="none"/>
        </v:shape>
      </w:pict>
    </w:r>
    <w:r>
      <w:rPr/>
      <w:pict>
        <v:shape style="position:absolute;margin-left:423.967712pt;margin-top:22.124491pt;width:16.8pt;height:12.1pt;mso-position-horizontal-relative:page;mso-position-vertical-relative:page;z-index:-21477888" type="#_x0000_t202" id="docshape279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363436"/>
                    <w:sz w:val="18"/>
                  </w:rPr>
                  <w:t>149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99361pt;margin-top:117.210052pt;width:287.05pt;height:26.7pt;mso-position-horizontal-relative:page;mso-position-vertical-relative:page;z-index:-21602816" type="#_x0000_t202" id="docshape16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Arial"/>
                    <w:b/>
                    <w:sz w:val="44"/>
                  </w:rPr>
                </w:pPr>
                <w:r>
                  <w:rPr>
                    <w:rFonts w:ascii="Arial"/>
                    <w:b/>
                    <w:color w:val="858789"/>
                    <w:w w:val="105"/>
                    <w:sz w:val="44"/>
                  </w:rPr>
                  <w:t>Acknowledgments</w:t>
                </w:r>
                <w:r>
                  <w:rPr>
                    <w:rFonts w:ascii="Arial"/>
                    <w:b/>
                    <w:color w:val="858789"/>
                    <w:spacing w:val="51"/>
                    <w:w w:val="105"/>
                    <w:sz w:val="44"/>
                  </w:rPr>
                  <w:t> </w:t>
                </w:r>
                <w:r>
                  <w:rPr>
                    <w:rFonts w:ascii="Arial"/>
                    <w:b/>
                    <w:color w:val="858789"/>
                    <w:w w:val="105"/>
                    <w:sz w:val="44"/>
                  </w:rPr>
                  <w:t>to </w:t>
                </w:r>
                <w:r>
                  <w:rPr>
                    <w:rFonts w:ascii="Arial"/>
                    <w:b/>
                    <w:color w:val="858789"/>
                    <w:spacing w:val="17"/>
                    <w:w w:val="105"/>
                    <w:sz w:val="44"/>
                  </w:rPr>
                  <w:t> </w:t>
                </w:r>
                <w:r>
                  <w:rPr>
                    <w:rFonts w:ascii="Arial"/>
                    <w:b/>
                    <w:color w:val="858789"/>
                    <w:w w:val="105"/>
                    <w:sz w:val="44"/>
                  </w:rPr>
                  <w:t>the</w:t>
                </w:r>
              </w:p>
            </w:txbxContent>
          </v:textbox>
          <w10:wrap type="none"/>
        </v:shape>
      </w:pic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3.337097pt;margin-top:29.361462pt;width:96.6pt;height:12.1pt;mso-position-horizontal-relative:page;mso-position-vertical-relative:page;z-index:-21477376" type="#_x0000_t202" id="docshape280" filled="false" stroked="false">
          <v:textbox inset="0,0,0,0">
            <w:txbxContent>
              <w:p>
                <w:pPr>
                  <w:tabs>
                    <w:tab w:pos="1583" w:val="left" w:leader="none"/>
                  </w:tabs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color w:val="363436"/>
                    <w:w w:val="105"/>
                    <w:sz w:val="17"/>
                  </w:rPr>
                  <w:t>6.6 </w:t>
                </w:r>
                <w:r>
                  <w:rPr>
                    <w:rFonts w:ascii="Arial"/>
                    <w:color w:val="363436"/>
                    <w:spacing w:val="24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w w:val="105"/>
                    <w:sz w:val="17"/>
                  </w:rPr>
                  <w:t>Summary</w:t>
                  <w:tab/>
                </w:r>
                <w:r>
                  <w:rPr>
                    <w:rFonts w:ascii="Arial"/>
                    <w:b/>
                    <w:color w:val="363436"/>
                    <w:w w:val="105"/>
                    <w:sz w:val="18"/>
                  </w:rPr>
                  <w:t>1S1</w:t>
                </w:r>
              </w:p>
            </w:txbxContent>
          </v:textbox>
          <w10:wrap type="none"/>
        </v:shape>
      </w:pic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2.763931pt;margin-top:19.749382pt;width:24.2pt;height:12.65pt;mso-position-horizontal-relative:page;mso-position-vertical-relative:page;z-index:-21476864" type="#_x0000_t202" id="docshape28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A3838"/>
                    <w:w w:val="11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1.816002pt;margin-top:20.203428pt;width:181.6pt;height:12.15pt;mso-position-horizontal-relative:page;mso-position-vertical-relative:page;z-index:-21476352" type="#_x0000_t202" id="docshape283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A3838"/>
                    <w:spacing w:val="-1"/>
                    <w:sz w:val="18"/>
                  </w:rPr>
                  <w:t>Chapter</w:t>
                </w:r>
                <w:r>
                  <w:rPr>
                    <w:color w:val="3A3838"/>
                    <w:spacing w:val="-5"/>
                    <w:sz w:val="18"/>
                  </w:rPr>
                  <w:t> </w:t>
                </w:r>
                <w:r>
                  <w:rPr>
                    <w:rFonts w:ascii="Arial"/>
                    <w:i/>
                    <w:color w:val="3A3838"/>
                    <w:spacing w:val="-1"/>
                    <w:sz w:val="18"/>
                  </w:rPr>
                  <w:t>Seven</w:t>
                </w:r>
                <w:r>
                  <w:rPr>
                    <w:rFonts w:ascii="Arial"/>
                    <w:i/>
                    <w:color w:val="3A3838"/>
                    <w:spacing w:val="75"/>
                    <w:sz w:val="18"/>
                  </w:rPr>
                  <w:t> </w:t>
                </w:r>
                <w:r>
                  <w:rPr>
                    <w:color w:val="3A3838"/>
                    <w:sz w:val="18"/>
                  </w:rPr>
                  <w:t>Seeing</w:t>
                </w:r>
                <w:r>
                  <w:rPr>
                    <w:color w:val="3A3838"/>
                    <w:spacing w:val="6"/>
                    <w:sz w:val="18"/>
                  </w:rPr>
                  <w:t> </w:t>
                </w:r>
                <w:r>
                  <w:rPr>
                    <w:color w:val="3A3838"/>
                    <w:sz w:val="18"/>
                  </w:rPr>
                  <w:t>What</w:t>
                </w:r>
                <w:r>
                  <w:rPr>
                    <w:color w:val="3A3838"/>
                    <w:spacing w:val="-12"/>
                    <w:sz w:val="18"/>
                  </w:rPr>
                  <w:t> </w:t>
                </w:r>
                <w:r>
                  <w:rPr>
                    <w:color w:val="3A3838"/>
                    <w:sz w:val="18"/>
                  </w:rPr>
                  <w:t>You</w:t>
                </w:r>
                <w:r>
                  <w:rPr>
                    <w:color w:val="3A3838"/>
                    <w:spacing w:val="5"/>
                    <w:sz w:val="18"/>
                  </w:rPr>
                  <w:t> </w:t>
                </w:r>
                <w:r>
                  <w:rPr>
                    <w:color w:val="3A3838"/>
                    <w:sz w:val="18"/>
                  </w:rPr>
                  <w:t>Have</w:t>
                </w:r>
                <w:r>
                  <w:rPr>
                    <w:color w:val="3A3838"/>
                    <w:spacing w:val="-18"/>
                    <w:sz w:val="18"/>
                  </w:rPr>
                  <w:t> </w:t>
                </w:r>
                <w:r>
                  <w:rPr>
                    <w:color w:val="3A3838"/>
                    <w:sz w:val="18"/>
                  </w:rPr>
                  <w:t>Written</w:t>
                </w:r>
              </w:p>
            </w:txbxContent>
          </v:textbox>
          <w10:wrap type="none"/>
        </v:shape>
      </w:pic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7.850494pt;margin-top:24.712667pt;width:229.2pt;height:12.6pt;mso-position-horizontal-relative:page;mso-position-vertical-relative:page;z-index:-21475840" type="#_x0000_t202" id="docshape284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i/>
                    <w:color w:val="383636"/>
                    <w:sz w:val="18"/>
                  </w:rPr>
                  <w:t>7</w:t>
                </w:r>
                <w:r>
                  <w:rPr>
                    <w:color w:val="383636"/>
                    <w:sz w:val="19"/>
                  </w:rPr>
                  <w:t>.1</w:t>
                </w:r>
                <w:r>
                  <w:rPr>
                    <w:color w:val="383636"/>
                    <w:spacing w:val="50"/>
                    <w:sz w:val="19"/>
                  </w:rPr>
                  <w:t> </w:t>
                </w:r>
                <w:r>
                  <w:rPr>
                    <w:color w:val="383636"/>
                    <w:sz w:val="19"/>
                  </w:rPr>
                  <w:t>Focusing</w:t>
                </w:r>
                <w:r>
                  <w:rPr>
                    <w:color w:val="383636"/>
                    <w:spacing w:val="-10"/>
                    <w:sz w:val="19"/>
                  </w:rPr>
                  <w:t> </w:t>
                </w:r>
                <w:r>
                  <w:rPr>
                    <w:color w:val="383636"/>
                    <w:sz w:val="19"/>
                  </w:rPr>
                  <w:t>Your</w:t>
                </w:r>
                <w:r>
                  <w:rPr>
                    <w:color w:val="383636"/>
                    <w:spacing w:val="-8"/>
                    <w:sz w:val="19"/>
                  </w:rPr>
                  <w:t> </w:t>
                </w:r>
                <w:r>
                  <w:rPr>
                    <w:color w:val="383636"/>
                    <w:sz w:val="19"/>
                  </w:rPr>
                  <w:t>Revision:</w:t>
                </w:r>
                <w:r>
                  <w:rPr>
                    <w:color w:val="383636"/>
                    <w:spacing w:val="-1"/>
                    <w:sz w:val="19"/>
                  </w:rPr>
                  <w:t> </w:t>
                </w:r>
                <w:r>
                  <w:rPr>
                    <w:color w:val="383636"/>
                    <w:sz w:val="19"/>
                  </w:rPr>
                  <w:t>Using the</w:t>
                </w:r>
                <w:r>
                  <w:rPr>
                    <w:color w:val="383636"/>
                    <w:spacing w:val="23"/>
                    <w:sz w:val="19"/>
                  </w:rPr>
                  <w:t> </w:t>
                </w:r>
                <w:r>
                  <w:rPr>
                    <w:color w:val="383636"/>
                    <w:sz w:val="19"/>
                  </w:rPr>
                  <w:t>Self-Graded</w:t>
                </w:r>
                <w:r>
                  <w:rPr>
                    <w:color w:val="383636"/>
                    <w:spacing w:val="14"/>
                    <w:sz w:val="19"/>
                  </w:rPr>
                  <w:t> </w:t>
                </w:r>
                <w:r>
                  <w:rPr>
                    <w:color w:val="383636"/>
                    <w:sz w:val="19"/>
                  </w:rPr>
                  <w:t>Draft</w:t>
                </w:r>
              </w:p>
            </w:txbxContent>
          </v:textbox>
          <w10:wrap type="none"/>
        </v:shape>
      </w:pict>
    </w:r>
    <w:r>
      <w:rPr/>
      <w:pict>
        <v:shape style="position:absolute;margin-left:425.631592pt;margin-top:24.712667pt;width:17.850pt;height:12.6pt;mso-position-horizontal-relative:page;mso-position-vertical-relative:page;z-index:-21475328" type="#_x0000_t202" id="docshape28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242123"/>
                    <w:sz w:val="19"/>
                  </w:rPr>
                  <w:t>1</w:t>
                </w:r>
                <w:r>
                  <w:rPr>
                    <w:color w:val="383636"/>
                    <w:sz w:val="19"/>
                  </w:rPr>
                  <w:t>SS</w:t>
                </w:r>
              </w:p>
            </w:txbxContent>
          </v:textbox>
          <w10:wrap type="none"/>
        </v:shape>
      </w:pic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528351pt;margin-top:19.755381pt;width:24.35pt;height:12.65pt;mso-position-horizontal-relative:page;mso-position-vertical-relative:page;z-index:-21474816" type="#_x0000_t202" id="docshape286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6"/>
                    <w:w w:val="11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8.588799pt;margin-top:20.337421pt;width:181.65pt;height:12.05pt;mso-position-horizontal-relative:page;mso-position-vertical-relative:page;z-index:-21474304" type="#_x0000_t202" id="docshape287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83636"/>
                    <w:sz w:val="18"/>
                  </w:rPr>
                  <w:t>Chapter</w:t>
                </w:r>
                <w:r>
                  <w:rPr>
                    <w:color w:val="383636"/>
                    <w:spacing w:val="2"/>
                    <w:sz w:val="18"/>
                  </w:rPr>
                  <w:t> </w:t>
                </w:r>
                <w:r>
                  <w:rPr>
                    <w:color w:val="383636"/>
                    <w:sz w:val="18"/>
                  </w:rPr>
                  <w:t>Seven   </w:t>
                </w:r>
                <w:r>
                  <w:rPr>
                    <w:color w:val="383636"/>
                    <w:spacing w:val="5"/>
                    <w:sz w:val="18"/>
                  </w:rPr>
                  <w:t> </w:t>
                </w:r>
                <w:r>
                  <w:rPr>
                    <w:color w:val="383636"/>
                    <w:sz w:val="18"/>
                  </w:rPr>
                  <w:t>Seeing</w:t>
                </w:r>
                <w:r>
                  <w:rPr>
                    <w:color w:val="383636"/>
                    <w:spacing w:val="3"/>
                    <w:sz w:val="18"/>
                  </w:rPr>
                  <w:t> </w:t>
                </w:r>
                <w:r>
                  <w:rPr>
                    <w:color w:val="383636"/>
                    <w:sz w:val="18"/>
                  </w:rPr>
                  <w:t>What</w:t>
                </w:r>
                <w:r>
                  <w:rPr>
                    <w:color w:val="383636"/>
                    <w:spacing w:val="6"/>
                    <w:sz w:val="18"/>
                  </w:rPr>
                  <w:t> </w:t>
                </w:r>
                <w:r>
                  <w:rPr>
                    <w:color w:val="383636"/>
                    <w:sz w:val="18"/>
                  </w:rPr>
                  <w:t>You</w:t>
                </w:r>
                <w:r>
                  <w:rPr>
                    <w:color w:val="383636"/>
                    <w:spacing w:val="16"/>
                    <w:sz w:val="18"/>
                  </w:rPr>
                  <w:t> </w:t>
                </w:r>
                <w:r>
                  <w:rPr>
                    <w:color w:val="383636"/>
                    <w:sz w:val="18"/>
                  </w:rPr>
                  <w:t>Have</w:t>
                </w:r>
                <w:r>
                  <w:rPr>
                    <w:color w:val="383636"/>
                    <w:spacing w:val="-12"/>
                    <w:sz w:val="18"/>
                  </w:rPr>
                  <w:t> </w:t>
                </w:r>
                <w:r>
                  <w:rPr>
                    <w:color w:val="383636"/>
                    <w:sz w:val="18"/>
                  </w:rPr>
                  <w:t>Written</w:t>
                </w:r>
              </w:p>
            </w:txbxContent>
          </v:textbox>
          <w10:wrap type="none"/>
        </v:shape>
      </w:pic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7.338898pt;margin-top:24.702051pt;width:203.85pt;height:12.6pt;mso-position-horizontal-relative:page;mso-position-vertical-relative:page;z-index:-21473792" type="#_x0000_t202" id="docshape288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63436"/>
                    <w:sz w:val="19"/>
                  </w:rPr>
                  <w:t>7.2</w:t>
                </w:r>
                <w:r>
                  <w:rPr>
                    <w:color w:val="363436"/>
                    <w:spacing w:val="28"/>
                    <w:sz w:val="19"/>
                  </w:rPr>
                  <w:t> </w:t>
                </w:r>
                <w:r>
                  <w:rPr>
                    <w:color w:val="363436"/>
                    <w:sz w:val="19"/>
                  </w:rPr>
                  <w:t>Common</w:t>
                </w:r>
                <w:r>
                  <w:rPr>
                    <w:color w:val="363436"/>
                    <w:spacing w:val="6"/>
                    <w:sz w:val="19"/>
                  </w:rPr>
                  <w:t> </w:t>
                </w:r>
                <w:r>
                  <w:rPr>
                    <w:color w:val="363436"/>
                    <w:sz w:val="19"/>
                  </w:rPr>
                  <w:t>Self-Grading</w:t>
                </w:r>
                <w:r>
                  <w:rPr>
                    <w:color w:val="363436"/>
                    <w:spacing w:val="12"/>
                    <w:sz w:val="19"/>
                  </w:rPr>
                  <w:t> </w:t>
                </w:r>
                <w:r>
                  <w:rPr>
                    <w:color w:val="363436"/>
                    <w:sz w:val="19"/>
                  </w:rPr>
                  <w:t>Tasks</w:t>
                </w:r>
                <w:r>
                  <w:rPr>
                    <w:color w:val="363436"/>
                    <w:spacing w:val="-7"/>
                    <w:sz w:val="19"/>
                  </w:rPr>
                  <w:t> </w:t>
                </w:r>
                <w:r>
                  <w:rPr>
                    <w:color w:val="363436"/>
                    <w:sz w:val="19"/>
                  </w:rPr>
                  <w:t>and</w:t>
                </w:r>
                <w:r>
                  <w:rPr>
                    <w:color w:val="363436"/>
                    <w:spacing w:val="74"/>
                    <w:sz w:val="19"/>
                  </w:rPr>
                  <w:t> </w:t>
                </w:r>
                <w:r>
                  <w:rPr>
                    <w:color w:val="363436"/>
                    <w:sz w:val="19"/>
                  </w:rPr>
                  <w:t>Explanations</w:t>
                </w:r>
              </w:p>
            </w:txbxContent>
          </v:textbox>
          <w10:wrap type="none"/>
        </v:shape>
      </w:pict>
    </w:r>
    <w:r>
      <w:rPr/>
      <w:pict>
        <v:shape style="position:absolute;margin-left:417.872314pt;margin-top:24.702051pt;width:21.65pt;height:12.6pt;mso-position-horizontal-relative:page;mso-position-vertical-relative:page;z-index:-21473280" type="#_x0000_t202" id="docshape289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color w:val="363436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.540901pt;margin-top:17.357666pt;width:23.9pt;height:12.7pt;mso-position-horizontal-relative:page;mso-position-vertical-relative:page;z-index:-21472768" type="#_x0000_t202" id="docshape290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8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9.607101pt;margin-top:17.492723pt;width:178.85pt;height:12.6pt;mso-position-horizontal-relative:page;mso-position-vertical-relative:page;z-index:-21472256" type="#_x0000_t202" id="docshape291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83638"/>
                    <w:w w:val="95"/>
                    <w:sz w:val="19"/>
                  </w:rPr>
                  <w:t>Chapter</w:t>
                </w:r>
                <w:r>
                  <w:rPr>
                    <w:color w:val="383638"/>
                    <w:spacing w:val="-6"/>
                    <w:w w:val="95"/>
                    <w:sz w:val="19"/>
                  </w:rPr>
                  <w:t> </w:t>
                </w:r>
                <w:r>
                  <w:rPr>
                    <w:rFonts w:ascii="Arial"/>
                    <w:i/>
                    <w:color w:val="383638"/>
                    <w:w w:val="95"/>
                    <w:sz w:val="17"/>
                  </w:rPr>
                  <w:t>Seven</w:t>
                </w:r>
                <w:r>
                  <w:rPr>
                    <w:rFonts w:ascii="Arial"/>
                    <w:i/>
                    <w:color w:val="383638"/>
                    <w:spacing w:val="67"/>
                    <w:sz w:val="17"/>
                  </w:rPr>
                  <w:t> </w:t>
                </w:r>
                <w:r>
                  <w:rPr>
                    <w:color w:val="383638"/>
                    <w:w w:val="95"/>
                    <w:sz w:val="19"/>
                  </w:rPr>
                  <w:t>Seeing</w:t>
                </w:r>
                <w:r>
                  <w:rPr>
                    <w:color w:val="383638"/>
                    <w:spacing w:val="-3"/>
                    <w:w w:val="95"/>
                    <w:sz w:val="19"/>
                  </w:rPr>
                  <w:t> </w:t>
                </w:r>
                <w:r>
                  <w:rPr>
                    <w:color w:val="383638"/>
                    <w:w w:val="95"/>
                    <w:sz w:val="19"/>
                  </w:rPr>
                  <w:t>What</w:t>
                </w:r>
                <w:r>
                  <w:rPr>
                    <w:color w:val="383638"/>
                    <w:spacing w:val="-9"/>
                    <w:w w:val="95"/>
                    <w:sz w:val="19"/>
                  </w:rPr>
                  <w:t> </w:t>
                </w:r>
                <w:r>
                  <w:rPr>
                    <w:color w:val="383638"/>
                    <w:w w:val="95"/>
                    <w:sz w:val="19"/>
                  </w:rPr>
                  <w:t>You</w:t>
                </w:r>
                <w:r>
                  <w:rPr>
                    <w:color w:val="383638"/>
                    <w:spacing w:val="-2"/>
                    <w:w w:val="95"/>
                    <w:sz w:val="19"/>
                  </w:rPr>
                  <w:t> </w:t>
                </w:r>
                <w:r>
                  <w:rPr>
                    <w:color w:val="383638"/>
                    <w:w w:val="95"/>
                    <w:sz w:val="19"/>
                  </w:rPr>
                  <w:t>Have</w:t>
                </w:r>
                <w:r>
                  <w:rPr>
                    <w:color w:val="383638"/>
                    <w:spacing w:val="-16"/>
                    <w:w w:val="95"/>
                    <w:sz w:val="19"/>
                  </w:rPr>
                  <w:t> </w:t>
                </w:r>
                <w:r>
                  <w:rPr>
                    <w:color w:val="383638"/>
                    <w:w w:val="95"/>
                    <w:sz w:val="19"/>
                  </w:rPr>
                  <w:t>Written</w:t>
                </w:r>
              </w:p>
            </w:txbxContent>
          </v:textbox>
          <w10:wrap type="none"/>
        </v:shape>
      </w:pic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8.647003pt;margin-top:22.101698pt;width:203.35pt;height:11.55pt;mso-position-horizontal-relative:page;mso-position-vertical-relative:page;z-index:-21471744" type="#_x0000_t202" id="docshape29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6"/>
                    <w:sz w:val="17"/>
                  </w:rPr>
                  <w:t>7.2</w:t>
                </w:r>
                <w:r>
                  <w:rPr>
                    <w:rFonts w:ascii="Arial"/>
                    <w:color w:val="383636"/>
                    <w:spacing w:val="72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Common</w:t>
                </w:r>
                <w:r>
                  <w:rPr>
                    <w:rFonts w:ascii="Arial"/>
                    <w:color w:val="383636"/>
                    <w:spacing w:val="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Self-Grading</w:t>
                </w:r>
                <w:r>
                  <w:rPr>
                    <w:rFonts w:ascii="Arial"/>
                    <w:color w:val="383636"/>
                    <w:spacing w:val="3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Tasks and</w:t>
                </w:r>
                <w:r>
                  <w:rPr>
                    <w:rFonts w:ascii="Arial"/>
                    <w:color w:val="383636"/>
                    <w:spacing w:val="71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Explanations</w:t>
                </w:r>
              </w:p>
            </w:txbxContent>
          </v:textbox>
          <w10:wrap type="none"/>
        </v:shape>
      </w:pict>
    </w:r>
    <w:r>
      <w:rPr/>
      <w:pict>
        <v:shape style="position:absolute;margin-left:418.556488pt;margin-top:21.647655pt;width:22.85pt;height:12.1pt;mso-position-horizontal-relative:page;mso-position-vertical-relative:page;z-index:-21471232" type="#_x0000_t202" id="docshape293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6"/>
                    <w:w w:val="10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06.147301pt;margin-top:16.515327pt;width:180.5pt;height:12.6pt;mso-position-horizontal-relative:page;mso-position-vertical-relative:page;z-index:-21470720" type="#_x0000_t202" id="docshape294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9"/>
                  </w:rPr>
                </w:pPr>
                <w:r>
                  <w:rPr>
                    <w:color w:val="3A3838"/>
                    <w:sz w:val="18"/>
                  </w:rPr>
                  <w:t>Chapter</w:t>
                </w:r>
                <w:r>
                  <w:rPr>
                    <w:color w:val="3A3838"/>
                    <w:spacing w:val="-9"/>
                    <w:sz w:val="18"/>
                  </w:rPr>
                  <w:t> </w:t>
                </w:r>
                <w:r>
                  <w:rPr>
                    <w:color w:val="3A3838"/>
                    <w:sz w:val="18"/>
                  </w:rPr>
                  <w:t>Seven   </w:t>
                </w:r>
                <w:r>
                  <w:rPr>
                    <w:color w:val="3A3838"/>
                    <w:spacing w:val="9"/>
                    <w:sz w:val="18"/>
                  </w:rPr>
                  <w:t> </w:t>
                </w:r>
                <w:r>
                  <w:rPr>
                    <w:color w:val="3A3838"/>
                    <w:sz w:val="18"/>
                  </w:rPr>
                  <w:t>Seeing</w:t>
                </w:r>
                <w:r>
                  <w:rPr>
                    <w:color w:val="3A3838"/>
                    <w:spacing w:val="-6"/>
                    <w:sz w:val="18"/>
                  </w:rPr>
                  <w:t> </w:t>
                </w:r>
                <w:r>
                  <w:rPr>
                    <w:color w:val="3A3838"/>
                    <w:sz w:val="18"/>
                  </w:rPr>
                  <w:t>What</w:t>
                </w:r>
                <w:r>
                  <w:rPr>
                    <w:color w:val="3A3838"/>
                    <w:spacing w:val="6"/>
                    <w:sz w:val="18"/>
                  </w:rPr>
                  <w:t> </w:t>
                </w:r>
                <w:r>
                  <w:rPr>
                    <w:color w:val="3A3838"/>
                    <w:sz w:val="18"/>
                  </w:rPr>
                  <w:t>You</w:t>
                </w:r>
                <w:r>
                  <w:rPr>
                    <w:color w:val="3A3838"/>
                    <w:spacing w:val="7"/>
                    <w:sz w:val="18"/>
                  </w:rPr>
                  <w:t> </w:t>
                </w:r>
                <w:r>
                  <w:rPr>
                    <w:color w:val="3A3838"/>
                    <w:sz w:val="18"/>
                  </w:rPr>
                  <w:t>Have</w:t>
                </w:r>
                <w:r>
                  <w:rPr>
                    <w:color w:val="3A3838"/>
                    <w:spacing w:val="-24"/>
                    <w:sz w:val="18"/>
                  </w:rPr>
                  <w:t> </w:t>
                </w:r>
                <w:r>
                  <w:rPr>
                    <w:i/>
                    <w:color w:val="3A3838"/>
                    <w:sz w:val="19"/>
                  </w:rPr>
                  <w:t>Written</w:t>
                </w:r>
              </w:p>
            </w:txbxContent>
          </v:textbox>
          <w10:wrap type="none"/>
        </v:shape>
      </w:pict>
    </w:r>
    <w:r>
      <w:rPr/>
      <w:pict>
        <v:shape style="position:absolute;margin-left:66.655243pt;margin-top:16.834454pt;width:25.55pt;height:12.1pt;mso-position-horizontal-relative:page;mso-position-vertical-relative:page;z-index:-21470208" type="#_x0000_t202" id="docshape295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A3838"/>
                    <w:w w:val="12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9.0755pt;margin-top:23.571491pt;width:201.75pt;height:12.1pt;mso-position-horizontal-relative:page;mso-position-vertical-relative:page;z-index:-21469696" type="#_x0000_t202" id="docshape296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383638"/>
                    <w:w w:val="95"/>
                    <w:sz w:val="18"/>
                  </w:rPr>
                  <w:t>7.2</w:t>
                </w:r>
                <w:r>
                  <w:rPr>
                    <w:rFonts w:ascii="Arial"/>
                    <w:color w:val="383638"/>
                    <w:spacing w:val="46"/>
                    <w:w w:val="95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w w:val="95"/>
                    <w:sz w:val="18"/>
                  </w:rPr>
                  <w:t>Common</w:t>
                </w:r>
                <w:r>
                  <w:rPr>
                    <w:rFonts w:ascii="Arial"/>
                    <w:color w:val="383638"/>
                    <w:spacing w:val="12"/>
                    <w:w w:val="95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w w:val="95"/>
                    <w:sz w:val="18"/>
                  </w:rPr>
                  <w:t>Self-Grading</w:t>
                </w:r>
                <w:r>
                  <w:rPr>
                    <w:rFonts w:ascii="Arial"/>
                    <w:color w:val="383638"/>
                    <w:spacing w:val="20"/>
                    <w:w w:val="95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w w:val="95"/>
                    <w:sz w:val="18"/>
                  </w:rPr>
                  <w:t>Tasks</w:t>
                </w:r>
                <w:r>
                  <w:rPr>
                    <w:rFonts w:ascii="Arial"/>
                    <w:color w:val="383638"/>
                    <w:spacing w:val="10"/>
                    <w:w w:val="95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w w:val="95"/>
                    <w:sz w:val="18"/>
                  </w:rPr>
                  <w:t>and</w:t>
                </w:r>
                <w:r>
                  <w:rPr>
                    <w:rFonts w:ascii="Arial"/>
                    <w:color w:val="383638"/>
                    <w:spacing w:val="-7"/>
                    <w:w w:val="95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w w:val="95"/>
                    <w:sz w:val="18"/>
                  </w:rPr>
                  <w:t>Explanations</w:t>
                </w:r>
              </w:p>
            </w:txbxContent>
          </v:textbox>
          <w10:wrap type="none"/>
        </v:shape>
      </w:pict>
    </w:r>
    <w:r>
      <w:rPr/>
      <w:pict>
        <v:shape style="position:absolute;margin-left:418.231293pt;margin-top:23.571491pt;width:21.8pt;height:12.1pt;mso-position-horizontal-relative:page;mso-position-vertical-relative:page;z-index:-21469184" type="#_x0000_t202" id="docshape297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38363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1.36747pt;margin-top:15.867204pt;width:24.5pt;height:12.1pt;mso-position-horizontal-relative:page;mso-position-vertical-relative:page;z-index:-21468672" type="#_x0000_t202" id="docshape298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6"/>
                    <w:w w:val="11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0.867699pt;margin-top:15.867204pt;width:180.35pt;height:12.15pt;mso-position-horizontal-relative:page;mso-position-vertical-relative:page;z-index:-21468160" type="#_x0000_t202" id="docshape299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83636"/>
                    <w:sz w:val="18"/>
                  </w:rPr>
                  <w:t>Chapter</w:t>
                </w:r>
                <w:r>
                  <w:rPr>
                    <w:color w:val="383636"/>
                    <w:spacing w:val="-10"/>
                    <w:sz w:val="18"/>
                  </w:rPr>
                  <w:t> </w:t>
                </w:r>
                <w:r>
                  <w:rPr>
                    <w:color w:val="383636"/>
                    <w:sz w:val="18"/>
                  </w:rPr>
                  <w:t>Seven   </w:t>
                </w:r>
                <w:r>
                  <w:rPr>
                    <w:color w:val="383636"/>
                    <w:spacing w:val="3"/>
                    <w:sz w:val="18"/>
                  </w:rPr>
                  <w:t> </w:t>
                </w:r>
                <w:r>
                  <w:rPr>
                    <w:color w:val="383636"/>
                    <w:sz w:val="18"/>
                  </w:rPr>
                  <w:t>Seeing</w:t>
                </w:r>
                <w:r>
                  <w:rPr>
                    <w:color w:val="383636"/>
                    <w:spacing w:val="3"/>
                    <w:sz w:val="18"/>
                  </w:rPr>
                  <w:t> </w:t>
                </w:r>
                <w:r>
                  <w:rPr>
                    <w:color w:val="383636"/>
                    <w:sz w:val="18"/>
                  </w:rPr>
                  <w:t>What</w:t>
                </w:r>
                <w:r>
                  <w:rPr>
                    <w:color w:val="383636"/>
                    <w:spacing w:val="-17"/>
                    <w:sz w:val="18"/>
                  </w:rPr>
                  <w:t> </w:t>
                </w:r>
                <w:r>
                  <w:rPr>
                    <w:rFonts w:ascii="Arial"/>
                    <w:i/>
                    <w:color w:val="383636"/>
                    <w:sz w:val="18"/>
                  </w:rPr>
                  <w:t>You </w:t>
                </w:r>
                <w:r>
                  <w:rPr>
                    <w:color w:val="383636"/>
                    <w:sz w:val="18"/>
                  </w:rPr>
                  <w:t>Have</w:t>
                </w:r>
                <w:r>
                  <w:rPr>
                    <w:color w:val="383636"/>
                    <w:spacing w:val="-1"/>
                    <w:sz w:val="18"/>
                  </w:rPr>
                  <w:t> </w:t>
                </w:r>
                <w:r>
                  <w:rPr>
                    <w:color w:val="383636"/>
                    <w:sz w:val="18"/>
                  </w:rPr>
                  <w:t>Written</w:t>
                </w:r>
              </w:p>
            </w:txbxContent>
          </v:textbox>
          <w10:wrap type="none"/>
        </v:shape>
      </w:pic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2.324097pt;margin-top:27.436121pt;width:57.6pt;height:12.1pt;mso-position-horizontal-relative:page;mso-position-vertical-relative:page;z-index:-21467648" type="#_x0000_t202" id="docshape300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363434"/>
                    <w:spacing w:val="-1"/>
                    <w:w w:val="105"/>
                    <w:sz w:val="18"/>
                  </w:rPr>
                  <w:t>7.3</w:t>
                </w:r>
                <w:r>
                  <w:rPr>
                    <w:rFonts w:ascii="Arial"/>
                    <w:color w:val="363434"/>
                    <w:spacing w:val="-2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363434"/>
                    <w:spacing w:val="-1"/>
                    <w:w w:val="105"/>
                    <w:sz w:val="18"/>
                  </w:rPr>
                  <w:t>Summary</w:t>
                </w:r>
              </w:p>
            </w:txbxContent>
          </v:textbox>
          <w10:wrap type="none"/>
        </v:shape>
      </w:pict>
    </w:r>
    <w:r>
      <w:rPr/>
      <w:pict>
        <v:shape style="position:absolute;margin-left:418.911285pt;margin-top:27.436121pt;width:16.95pt;height:12.1pt;mso-position-horizontal-relative:page;mso-position-vertical-relative:page;z-index:-21467136" type="#_x0000_t202" id="docshape301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363434"/>
                    <w:sz w:val="18"/>
                  </w:rPr>
                  <w:t>163</w:t>
                </w:r>
              </w:p>
            </w:txbxContent>
          </v:textbox>
          <w10:wrap type="none"/>
        </v:shape>
      </w:pic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0.683502pt;margin-top:25.502787pt;width:17.850pt;height:12.1pt;mso-position-horizontal-relative:page;mso-position-vertical-relative:page;z-index:-21466624" type="#_x0000_t202" id="docshape3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3B383A"/>
                    <w:w w:val="105"/>
                    <w:sz w:val="18"/>
                  </w:rPr>
                  <w:t>165</w:t>
                </w:r>
              </w:p>
            </w:txbxContent>
          </v:textbox>
          <w10:wrap type="none"/>
        </v:shape>
      </w:pic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.742699pt;margin-top:23.104389pt;width:20.25pt;height:12.1pt;mso-position-horizontal-relative:page;mso-position-vertical-relative:page;z-index:-21466112" type="#_x0000_t202" id="docshape303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383638"/>
                    <w:w w:val="120"/>
                    <w:sz w:val="18"/>
                  </w:rPr>
                  <w:t>166</w:t>
                </w:r>
              </w:p>
            </w:txbxContent>
          </v:textbox>
          <w10:wrap type="none"/>
        </v:shape>
      </w:pict>
    </w:r>
    <w:r>
      <w:rPr/>
      <w:pict>
        <v:shape style="position:absolute;margin-left:90.290077pt;margin-top:23.232288pt;width:213.95pt;height:12.05pt;mso-position-horizontal-relative:page;mso-position-vertical-relative:page;z-index:-21465600" type="#_x0000_t202" id="docshape304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83638"/>
                    <w:sz w:val="18"/>
                  </w:rPr>
                  <w:t>Chapter</w:t>
                </w:r>
                <w:r>
                  <w:rPr>
                    <w:color w:val="383638"/>
                    <w:spacing w:val="4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Eight</w:t>
                </w:r>
                <w:r>
                  <w:rPr>
                    <w:color w:val="383638"/>
                    <w:spacing w:val="85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Professionalism:</w:t>
                </w:r>
                <w:r>
                  <w:rPr>
                    <w:color w:val="383638"/>
                    <w:spacing w:val="-17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Following</w:t>
                </w:r>
                <w:r>
                  <w:rPr>
                    <w:color w:val="383638"/>
                    <w:spacing w:val="17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Format</w:t>
                </w:r>
                <w:r>
                  <w:rPr>
                    <w:color w:val="383638"/>
                    <w:spacing w:val="3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Rules</w:t>
                </w:r>
              </w:p>
            </w:txbxContent>
          </v:textbox>
          <w10:wrap type="none"/>
        </v:shape>
      </w:pic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296112pt;margin-top:25.670826pt;width:105.4pt;height:12.6pt;mso-position-horizontal-relative:page;mso-position-vertical-relative:page;z-index:-21465088" type="#_x0000_t202" id="docshape30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rFonts w:ascii="Arial"/>
                    <w:b/>
                    <w:color w:val="383638"/>
                    <w:w w:val="110"/>
                    <w:sz w:val="17"/>
                  </w:rPr>
                  <w:t>8.1</w:t>
                </w:r>
                <w:r>
                  <w:rPr>
                    <w:rFonts w:ascii="Arial"/>
                    <w:b/>
                    <w:color w:val="383638"/>
                    <w:spacing w:val="18"/>
                    <w:w w:val="110"/>
                    <w:sz w:val="17"/>
                  </w:rPr>
                  <w:t> </w:t>
                </w:r>
                <w:r>
                  <w:rPr>
                    <w:color w:val="383638"/>
                    <w:w w:val="110"/>
                    <w:sz w:val="19"/>
                  </w:rPr>
                  <w:t>length</w:t>
                </w:r>
                <w:r>
                  <w:rPr>
                    <w:color w:val="383638"/>
                    <w:spacing w:val="-6"/>
                    <w:w w:val="110"/>
                    <w:sz w:val="19"/>
                  </w:rPr>
                  <w:t> </w:t>
                </w:r>
                <w:r>
                  <w:rPr>
                    <w:color w:val="383638"/>
                    <w:w w:val="110"/>
                    <w:sz w:val="19"/>
                  </w:rPr>
                  <w:t>Requirements</w:t>
                </w:r>
              </w:p>
            </w:txbxContent>
          </v:textbox>
          <w10:wrap type="none"/>
        </v:shape>
      </w:pict>
    </w:r>
    <w:r>
      <w:rPr/>
      <w:pict>
        <v:shape style="position:absolute;margin-left:418.363708pt;margin-top:25.990026pt;width:17.55pt;height:12.1pt;mso-position-horizontal-relative:page;mso-position-vertical-relative:page;z-index:-21464576" type="#_x0000_t202" id="docshape306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383638"/>
                    <w:w w:val="105"/>
                    <w:sz w:val="18"/>
                  </w:rPr>
                  <w:t>167</w:t>
                </w:r>
              </w:p>
            </w:txbxContent>
          </v:textbox>
          <w10:wrap type="none"/>
        </v:shape>
      </w:pic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122238pt;margin-top:23.606537pt;width:23.9pt;height:12.65pt;mso-position-horizontal-relative:page;mso-position-vertical-relative:page;z-index:-21464064" type="#_x0000_t202" id="docshape307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color w:val="3B383A"/>
                    <w:w w:val="105"/>
                    <w:sz w:val="19"/>
                  </w:rPr>
                  <w:t>168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667198pt;margin-top:24.188541pt;width:210.05pt;height:12pt;mso-position-horizontal-relative:page;mso-position-vertical-relative:page;z-index:-21463552" type="#_x0000_t202" id="docshape308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B383A"/>
                    <w:sz w:val="18"/>
                  </w:rPr>
                  <w:t>Chapter</w:t>
                </w:r>
                <w:r>
                  <w:rPr>
                    <w:color w:val="3B383A"/>
                    <w:spacing w:val="-3"/>
                    <w:sz w:val="18"/>
                  </w:rPr>
                  <w:t> </w:t>
                </w:r>
                <w:r>
                  <w:rPr>
                    <w:color w:val="3B383A"/>
                    <w:sz w:val="18"/>
                  </w:rPr>
                  <w:t>Eight</w:t>
                </w:r>
                <w:r>
                  <w:rPr>
                    <w:color w:val="3B383A"/>
                    <w:spacing w:val="49"/>
                    <w:sz w:val="18"/>
                  </w:rPr>
                  <w:t> </w:t>
                </w:r>
                <w:r>
                  <w:rPr>
                    <w:color w:val="3B383A"/>
                    <w:sz w:val="18"/>
                  </w:rPr>
                  <w:t>Profe</w:t>
                </w:r>
                <w:r>
                  <w:rPr>
                    <w:color w:val="565659"/>
                    <w:sz w:val="18"/>
                  </w:rPr>
                  <w:t>s</w:t>
                </w:r>
                <w:r>
                  <w:rPr>
                    <w:color w:val="3B383A"/>
                    <w:sz w:val="18"/>
                  </w:rPr>
                  <w:t>sionalism</w:t>
                </w:r>
                <w:r>
                  <w:rPr>
                    <w:color w:val="565659"/>
                    <w:sz w:val="18"/>
                  </w:rPr>
                  <w:t>:</w:t>
                </w:r>
                <w:r>
                  <w:rPr>
                    <w:color w:val="565659"/>
                    <w:spacing w:val="-7"/>
                    <w:sz w:val="18"/>
                  </w:rPr>
                  <w:t> </w:t>
                </w:r>
                <w:r>
                  <w:rPr>
                    <w:color w:val="3B383A"/>
                    <w:sz w:val="18"/>
                  </w:rPr>
                  <w:t>Following</w:t>
                </w:r>
                <w:r>
                  <w:rPr>
                    <w:color w:val="3B383A"/>
                    <w:spacing w:val="3"/>
                    <w:sz w:val="18"/>
                  </w:rPr>
                  <w:t> </w:t>
                </w:r>
                <w:r>
                  <w:rPr>
                    <w:color w:val="3B383A"/>
                    <w:sz w:val="18"/>
                  </w:rPr>
                  <w:t>Format</w:t>
                </w:r>
                <w:r>
                  <w:rPr>
                    <w:color w:val="3B383A"/>
                    <w:spacing w:val="-5"/>
                    <w:sz w:val="18"/>
                  </w:rPr>
                  <w:t> </w:t>
                </w:r>
                <w:r>
                  <w:rPr>
                    <w:color w:val="3B383A"/>
                    <w:sz w:val="18"/>
                  </w:rPr>
                  <w:t>Rules</w:t>
                </w:r>
              </w:p>
            </w:txbxContent>
          </v:textbox>
          <w10:wrap type="none"/>
        </v:shape>
      </w:pic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5.026901pt;margin-top:25.982325pt;width:228.2pt;height:12.1pt;mso-position-horizontal-relative:page;mso-position-vertical-relative:page;z-index:-21463040" type="#_x0000_t202" id="docshape310" filled="false" stroked="false">
          <v:textbox inset="0,0,0,0">
            <w:txbxContent>
              <w:p>
                <w:pPr>
                  <w:tabs>
                    <w:tab w:pos="4543" w:val="right" w:leader="none"/>
                  </w:tabs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color w:val="383636"/>
                    <w:w w:val="105"/>
                    <w:sz w:val="17"/>
                  </w:rPr>
                  <w:t>8.3</w:t>
                </w:r>
                <w:r>
                  <w:rPr>
                    <w:rFonts w:ascii="Arial"/>
                    <w:color w:val="383636"/>
                    <w:spacing w:val="46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Filing</w:t>
                </w:r>
                <w:r>
                  <w:rPr>
                    <w:rFonts w:ascii="Arial"/>
                    <w:color w:val="383636"/>
                    <w:spacing w:val="-20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Requirements</w:t>
                </w:r>
                <w:r>
                  <w:rPr>
                    <w:rFonts w:ascii="Arial"/>
                    <w:color w:val="383636"/>
                    <w:spacing w:val="4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and</w:t>
                </w:r>
                <w:r>
                  <w:rPr>
                    <w:rFonts w:ascii="Arial"/>
                    <w:color w:val="383636"/>
                    <w:spacing w:val="10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Number</w:t>
                </w:r>
                <w:r>
                  <w:rPr>
                    <w:rFonts w:ascii="Arial"/>
                    <w:color w:val="383636"/>
                    <w:spacing w:val="-3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of</w:t>
                </w:r>
                <w:r>
                  <w:rPr>
                    <w:rFonts w:ascii="Arial"/>
                    <w:color w:val="383636"/>
                    <w:spacing w:val="-9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Cop</w:t>
                </w:r>
                <w:r>
                  <w:rPr>
                    <w:rFonts w:ascii="Arial"/>
                    <w:color w:val="565657"/>
                    <w:w w:val="105"/>
                    <w:sz w:val="17"/>
                  </w:rPr>
                  <w:t>i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es</w:t>
                  <w:tab/>
                </w:r>
                <w:r>
                  <w:rPr>
                    <w:rFonts w:ascii="Arial"/>
                    <w:b/>
                    <w:color w:val="383636"/>
                    <w:w w:val="105"/>
                    <w:sz w:val="18"/>
                  </w:rPr>
                  <w:t>169</w:t>
                </w:r>
              </w:p>
            </w:txbxContent>
          </v:textbox>
          <w10:wrap type="none"/>
        </v:shape>
      </w:pic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529518pt;margin-top:22.62269pt;width:23.9pt;height:12.1pt;mso-position-horizontal-relative:page;mso-position-vertical-relative:page;z-index:-21462528" type="#_x0000_t202" id="docshape31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383636"/>
                    <w:w w:val="115"/>
                    <w:sz w:val="18"/>
                  </w:rPr>
                  <w:t>170</w:t>
                </w:r>
              </w:p>
            </w:txbxContent>
          </v:textbox>
          <w10:wrap type="none"/>
        </v:shape>
      </w:pict>
    </w:r>
    <w:r>
      <w:rPr/>
      <w:pict>
        <v:shape style="position:absolute;margin-left:96.559097pt;margin-top:22.750587pt;width:212pt;height:12.05pt;mso-position-horizontal-relative:page;mso-position-vertical-relative:page;z-index:-21462016" type="#_x0000_t202" id="docshape31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83636"/>
                    <w:spacing w:val="-1"/>
                    <w:sz w:val="18"/>
                  </w:rPr>
                  <w:t>Chapter</w:t>
                </w:r>
                <w:r>
                  <w:rPr>
                    <w:color w:val="383636"/>
                    <w:spacing w:val="3"/>
                    <w:sz w:val="18"/>
                  </w:rPr>
                  <w:t> </w:t>
                </w:r>
                <w:r>
                  <w:rPr>
                    <w:color w:val="383636"/>
                    <w:spacing w:val="-1"/>
                    <w:sz w:val="18"/>
                  </w:rPr>
                  <w:t>Eight</w:t>
                </w:r>
                <w:r>
                  <w:rPr>
                    <w:color w:val="383636"/>
                    <w:spacing w:val="85"/>
                    <w:sz w:val="18"/>
                  </w:rPr>
                  <w:t> </w:t>
                </w:r>
                <w:r>
                  <w:rPr>
                    <w:color w:val="383636"/>
                    <w:spacing w:val="-1"/>
                    <w:sz w:val="18"/>
                  </w:rPr>
                  <w:t>Professionalism:</w:t>
                </w:r>
                <w:r>
                  <w:rPr>
                    <w:color w:val="383636"/>
                    <w:spacing w:val="-22"/>
                    <w:sz w:val="18"/>
                  </w:rPr>
                  <w:t> </w:t>
                </w:r>
                <w:r>
                  <w:rPr>
                    <w:color w:val="383636"/>
                    <w:sz w:val="18"/>
                  </w:rPr>
                  <w:t>Following</w:t>
                </w:r>
                <w:r>
                  <w:rPr>
                    <w:color w:val="383636"/>
                    <w:spacing w:val="6"/>
                    <w:sz w:val="18"/>
                  </w:rPr>
                  <w:t> </w:t>
                </w:r>
                <w:r>
                  <w:rPr>
                    <w:color w:val="383636"/>
                    <w:sz w:val="18"/>
                  </w:rPr>
                  <w:t>Format</w:t>
                </w:r>
                <w:r>
                  <w:rPr>
                    <w:color w:val="383636"/>
                    <w:spacing w:val="13"/>
                    <w:sz w:val="18"/>
                  </w:rPr>
                  <w:t> </w:t>
                </w:r>
                <w:r>
                  <w:rPr>
                    <w:color w:val="383636"/>
                    <w:sz w:val="18"/>
                  </w:rPr>
                  <w:t>Rules</w:t>
                </w:r>
              </w:p>
            </w:txbxContent>
          </v:textbox>
          <w10:wrap type="none"/>
        </v:shape>
      </w:pic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shape style="position:absolute;margin-left:69.065613pt;margin-top:18.625011pt;width:331.55pt;height:12.6pt;mso-position-horizontal-relative:page;mso-position-vertical-relative:page;z-index:-21461504" type="#_x0000_t202" id="docshape313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b/>
                    <w:color w:val="3A3838"/>
                    <w:sz w:val="19"/>
                  </w:rPr>
                  <w:t>8.4</w:t>
                </w:r>
                <w:r>
                  <w:rPr>
                    <w:b/>
                    <w:color w:val="3A3838"/>
                    <w:spacing w:val="49"/>
                    <w:sz w:val="19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Document</w:t>
                </w:r>
                <w:r>
                  <w:rPr>
                    <w:rFonts w:ascii="Arial"/>
                    <w:color w:val="3A3838"/>
                    <w:spacing w:val="16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Format</w:t>
                </w:r>
                <w:r>
                  <w:rPr>
                    <w:rFonts w:ascii="Arial"/>
                    <w:color w:val="3A3838"/>
                    <w:spacing w:val="10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Requirements</w:t>
                </w:r>
                <w:r>
                  <w:rPr>
                    <w:rFonts w:ascii="Arial"/>
                    <w:color w:val="3A3838"/>
                    <w:spacing w:val="9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and</w:t>
                </w:r>
                <w:r>
                  <w:rPr>
                    <w:rFonts w:ascii="Arial"/>
                    <w:color w:val="3A3838"/>
                    <w:spacing w:val="40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Service</w:t>
                </w:r>
                <w:r>
                  <w:rPr>
                    <w:rFonts w:ascii="Arial"/>
                    <w:color w:val="3A3838"/>
                    <w:spacing w:val="6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Requirements</w:t>
                </w:r>
                <w:r>
                  <w:rPr>
                    <w:rFonts w:ascii="Arial"/>
                    <w:color w:val="3A3838"/>
                    <w:spacing w:val="17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for</w:t>
                </w:r>
                <w:r>
                  <w:rPr>
                    <w:rFonts w:ascii="Arial"/>
                    <w:color w:val="3A3838"/>
                    <w:spacing w:val="61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Appellate</w:t>
                </w:r>
                <w:r>
                  <w:rPr>
                    <w:rFonts w:ascii="Arial"/>
                    <w:color w:val="3A3838"/>
                    <w:spacing w:val="13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Briefs</w:t>
                </w:r>
              </w:p>
            </w:txbxContent>
          </v:textbox>
          <w10:wrap type="none"/>
        </v:shape>
      </w:pict>
    </w:r>
    <w:r>
      <w:rPr/>
      <w:pict>
        <v:shape style="position:absolute;margin-left:416.965607pt;margin-top:18.625011pt;width:22.75pt;height:14.05pt;mso-position-horizontal-relative:page;mso-position-vertical-relative:page;z-index:-21460992" type="#_x0000_t202" id="docshape314" filled="false" stroked="false">
          <v:textbox inset="0,0,0,0">
            <w:txbxContent>
              <w:p>
                <w:pPr>
                  <w:spacing w:before="12"/>
                  <w:ind w:left="76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A3838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8.957039pt;margin-top:17.799978pt;width:24.05pt;height:12.1pt;mso-position-horizontal-relative:page;mso-position-vertical-relative:page;z-index:-21460480" type="#_x0000_t202" id="docshape315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A383A"/>
                    <w:w w:val="11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8.389999pt;margin-top:18.708258pt;width:210.6pt;height:11pt;mso-position-horizontal-relative:page;mso-position-vertical-relative:page;z-index:-21459968" type="#_x0000_t202" id="docshape316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3A383A"/>
                    <w:spacing w:val="-1"/>
                    <w:w w:val="105"/>
                    <w:sz w:val="16"/>
                  </w:rPr>
                  <w:t>Chapter</w:t>
                </w:r>
                <w:r>
                  <w:rPr>
                    <w:rFonts w:ascii="Arial"/>
                    <w:color w:val="3A383A"/>
                    <w:spacing w:val="-5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A383A"/>
                    <w:spacing w:val="-1"/>
                    <w:w w:val="105"/>
                    <w:sz w:val="16"/>
                  </w:rPr>
                  <w:t>Eight</w:t>
                </w:r>
                <w:r>
                  <w:rPr>
                    <w:rFonts w:ascii="Arial"/>
                    <w:color w:val="3A383A"/>
                    <w:spacing w:val="57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A383A"/>
                    <w:spacing w:val="-1"/>
                    <w:w w:val="105"/>
                    <w:sz w:val="16"/>
                  </w:rPr>
                  <w:t>Professionalism:</w:t>
                </w:r>
                <w:r>
                  <w:rPr>
                    <w:rFonts w:ascii="Arial"/>
                    <w:color w:val="3A383A"/>
                    <w:spacing w:val="-33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A383A"/>
                    <w:spacing w:val="-1"/>
                    <w:w w:val="105"/>
                    <w:sz w:val="16"/>
                  </w:rPr>
                  <w:t>Following</w:t>
                </w:r>
                <w:r>
                  <w:rPr>
                    <w:rFonts w:ascii="Arial"/>
                    <w:color w:val="3A383A"/>
                    <w:spacing w:val="-13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A383A"/>
                    <w:w w:val="105"/>
                    <w:sz w:val="16"/>
                  </w:rPr>
                  <w:t>Fo</w:t>
                </w:r>
                <w:r>
                  <w:rPr>
                    <w:rFonts w:ascii="Arial"/>
                    <w:color w:val="525254"/>
                    <w:w w:val="105"/>
                    <w:sz w:val="16"/>
                  </w:rPr>
                  <w:t>r</w:t>
                </w:r>
                <w:r>
                  <w:rPr>
                    <w:rFonts w:ascii="Arial"/>
                    <w:color w:val="3A383A"/>
                    <w:w w:val="105"/>
                    <w:sz w:val="16"/>
                  </w:rPr>
                  <w:t>mat</w:t>
                </w:r>
                <w:r>
                  <w:rPr>
                    <w:rFonts w:ascii="Arial"/>
                    <w:color w:val="3A383A"/>
                    <w:spacing w:val="4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A383A"/>
                    <w:w w:val="105"/>
                    <w:sz w:val="16"/>
                  </w:rPr>
                  <w:t>Rules</w:t>
                </w:r>
              </w:p>
            </w:txbxContent>
          </v:textbox>
          <w10:wrap type="none"/>
        </v:shape>
      </w:pic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305191pt;margin-top:15.418595pt;width:24.2pt;height:12.65pt;mso-position-horizontal-relative:page;mso-position-vertical-relative:page;z-index:-21459456" type="#_x0000_t202" id="docshape317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6"/>
                    <w:w w:val="11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5.378304pt;margin-top:16.000576pt;width:210.75pt;height:12pt;mso-position-horizontal-relative:page;mso-position-vertical-relative:page;z-index:-21458944" type="#_x0000_t202" id="docshape318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83636"/>
                    <w:spacing w:val="-1"/>
                    <w:sz w:val="18"/>
                  </w:rPr>
                  <w:t>Chapter</w:t>
                </w:r>
                <w:r>
                  <w:rPr>
                    <w:color w:val="383636"/>
                    <w:spacing w:val="4"/>
                    <w:sz w:val="18"/>
                  </w:rPr>
                  <w:t> </w:t>
                </w:r>
                <w:r>
                  <w:rPr>
                    <w:color w:val="383636"/>
                    <w:spacing w:val="-1"/>
                    <w:sz w:val="18"/>
                  </w:rPr>
                  <w:t>Eight</w:t>
                </w:r>
                <w:r>
                  <w:rPr>
                    <w:color w:val="383636"/>
                    <w:spacing w:val="73"/>
                    <w:sz w:val="18"/>
                  </w:rPr>
                  <w:t> </w:t>
                </w:r>
                <w:r>
                  <w:rPr>
                    <w:color w:val="383636"/>
                    <w:spacing w:val="-1"/>
                    <w:sz w:val="18"/>
                  </w:rPr>
                  <w:t>Professionalism:</w:t>
                </w:r>
                <w:r>
                  <w:rPr>
                    <w:color w:val="383636"/>
                    <w:spacing w:val="-11"/>
                    <w:sz w:val="18"/>
                  </w:rPr>
                  <w:t> </w:t>
                </w:r>
                <w:r>
                  <w:rPr>
                    <w:color w:val="383636"/>
                    <w:spacing w:val="-1"/>
                    <w:sz w:val="18"/>
                  </w:rPr>
                  <w:t>Following</w:t>
                </w:r>
                <w:r>
                  <w:rPr>
                    <w:color w:val="383636"/>
                    <w:spacing w:val="10"/>
                    <w:sz w:val="18"/>
                  </w:rPr>
                  <w:t> </w:t>
                </w:r>
                <w:r>
                  <w:rPr>
                    <w:color w:val="383636"/>
                    <w:spacing w:val="-1"/>
                    <w:sz w:val="18"/>
                  </w:rPr>
                  <w:t>Format</w:t>
                </w:r>
                <w:r>
                  <w:rPr>
                    <w:color w:val="383636"/>
                    <w:spacing w:val="2"/>
                    <w:sz w:val="18"/>
                  </w:rPr>
                  <w:t> </w:t>
                </w:r>
                <w:r>
                  <w:rPr>
                    <w:color w:val="383636"/>
                    <w:sz w:val="18"/>
                  </w:rPr>
                  <w:t>Ru</w:t>
                </w:r>
                <w:r>
                  <w:rPr>
                    <w:color w:val="5B5B5D"/>
                    <w:sz w:val="18"/>
                  </w:rPr>
                  <w:t>l</w:t>
                </w:r>
                <w:r>
                  <w:rPr>
                    <w:color w:val="383636"/>
                    <w:sz w:val="18"/>
                  </w:rPr>
                  <w:t>es</w:t>
                </w:r>
              </w:p>
            </w:txbxContent>
          </v:textbox>
          <w10:wrap type="none"/>
        </v:shape>
      </w:pic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075493pt;margin-top:25.490688pt;width:331.85pt;height:11.55pt;mso-position-horizontal-relative:page;mso-position-vertical-relative:page;z-index:-21458432" type="#_x0000_t202" id="docshape319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color w:val="383638"/>
                    <w:sz w:val="17"/>
                  </w:rPr>
                  <w:t>8.4</w:t>
                </w:r>
                <w:r>
                  <w:rPr>
                    <w:rFonts w:ascii="Arial"/>
                    <w:color w:val="383638"/>
                    <w:spacing w:val="46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Document</w:t>
                </w:r>
                <w:r>
                  <w:rPr>
                    <w:rFonts w:ascii="Arial"/>
                    <w:color w:val="383638"/>
                    <w:spacing w:val="4"/>
                    <w:sz w:val="17"/>
                  </w:rPr>
                  <w:t> </w:t>
                </w:r>
                <w:r>
                  <w:rPr>
                    <w:rFonts w:ascii="Arial"/>
                    <w:b/>
                    <w:color w:val="383638"/>
                    <w:sz w:val="16"/>
                  </w:rPr>
                  <w:t>Format</w:t>
                </w:r>
                <w:r>
                  <w:rPr>
                    <w:rFonts w:ascii="Arial"/>
                    <w:b/>
                    <w:color w:val="383638"/>
                    <w:spacing w:val="16"/>
                    <w:sz w:val="16"/>
                  </w:rPr>
                  <w:t> </w:t>
                </w:r>
                <w:r>
                  <w:rPr>
                    <w:rFonts w:ascii="Arial"/>
                    <w:b/>
                    <w:color w:val="383638"/>
                    <w:sz w:val="16"/>
                  </w:rPr>
                  <w:t>Requirements</w:t>
                </w:r>
                <w:r>
                  <w:rPr>
                    <w:rFonts w:ascii="Arial"/>
                    <w:b/>
                    <w:color w:val="383638"/>
                    <w:spacing w:val="10"/>
                    <w:sz w:val="16"/>
                  </w:rPr>
                  <w:t> </w:t>
                </w:r>
                <w:r>
                  <w:rPr>
                    <w:rFonts w:ascii="Arial"/>
                    <w:b/>
                    <w:color w:val="383638"/>
                    <w:sz w:val="16"/>
                  </w:rPr>
                  <w:t>and</w:t>
                </w:r>
                <w:r>
                  <w:rPr>
                    <w:rFonts w:ascii="Arial"/>
                    <w:b/>
                    <w:color w:val="383638"/>
                    <w:spacing w:val="43"/>
                    <w:sz w:val="16"/>
                  </w:rPr>
                  <w:t> </w:t>
                </w:r>
                <w:r>
                  <w:rPr>
                    <w:rFonts w:ascii="Arial"/>
                    <w:b/>
                    <w:color w:val="383638"/>
                    <w:sz w:val="16"/>
                  </w:rPr>
                  <w:t>Service</w:t>
                </w:r>
                <w:r>
                  <w:rPr>
                    <w:rFonts w:ascii="Arial"/>
                    <w:b/>
                    <w:color w:val="383638"/>
                    <w:spacing w:val="8"/>
                    <w:sz w:val="16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Requirements</w:t>
                </w:r>
                <w:r>
                  <w:rPr>
                    <w:rFonts w:ascii="Arial"/>
                    <w:color w:val="383638"/>
                    <w:spacing w:val="27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for</w:t>
                </w:r>
                <w:r>
                  <w:rPr>
                    <w:rFonts w:ascii="Arial"/>
                    <w:color w:val="383638"/>
                    <w:spacing w:val="41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Appellate</w:t>
                </w:r>
                <w:r>
                  <w:rPr>
                    <w:rFonts w:ascii="Arial"/>
                    <w:color w:val="383638"/>
                    <w:spacing w:val="16"/>
                    <w:sz w:val="17"/>
                  </w:rPr>
                  <w:t> </w:t>
                </w:r>
                <w:r>
                  <w:rPr>
                    <w:rFonts w:ascii="Arial"/>
                    <w:b/>
                    <w:color w:val="383638"/>
                    <w:sz w:val="16"/>
                  </w:rPr>
                  <w:t>Briefs</w:t>
                </w:r>
              </w:p>
            </w:txbxContent>
          </v:textbox>
          <w10:wrap type="none"/>
        </v:shape>
      </w:pict>
    </w:r>
    <w:r>
      <w:rPr/>
      <w:pict>
        <v:shape style="position:absolute;margin-left:416.989594pt;margin-top:25.945047pt;width:20.150pt;height:11pt;mso-position-horizontal-relative:page;mso-position-vertical-relative:page;z-index:-21457920" type="#_x0000_t202" id="docshape320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rFonts w:ascii="Arial"/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8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2.438110pt;margin-top:18.754047pt;width:23.15pt;height:12.1pt;mso-position-horizontal-relative:page;mso-position-vertical-relative:page;z-index:-21457408" type="#_x0000_t202" id="docshape32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8"/>
                    <w:w w:val="10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0.984299pt;margin-top:19.328678pt;width:210.55pt;height:11.45pt;mso-position-horizontal-relative:page;mso-position-vertical-relative:page;z-index:-21456896" type="#_x0000_t202" id="docshape32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7"/>
                  </w:rPr>
                </w:pPr>
                <w:r>
                  <w:rPr>
                    <w:color w:val="383638"/>
                    <w:spacing w:val="-1"/>
                    <w:w w:val="105"/>
                    <w:sz w:val="17"/>
                  </w:rPr>
                  <w:t>Chapter</w:t>
                </w:r>
                <w:r>
                  <w:rPr>
                    <w:color w:val="383638"/>
                    <w:spacing w:val="2"/>
                    <w:w w:val="105"/>
                    <w:sz w:val="17"/>
                  </w:rPr>
                  <w:t> </w:t>
                </w:r>
                <w:r>
                  <w:rPr>
                    <w:color w:val="383638"/>
                    <w:spacing w:val="-1"/>
                    <w:w w:val="105"/>
                    <w:sz w:val="17"/>
                  </w:rPr>
                  <w:t>Eight</w:t>
                </w:r>
                <w:r>
                  <w:rPr>
                    <w:color w:val="383638"/>
                    <w:spacing w:val="82"/>
                    <w:w w:val="105"/>
                    <w:sz w:val="17"/>
                  </w:rPr>
                  <w:t> </w:t>
                </w:r>
                <w:r>
                  <w:rPr>
                    <w:color w:val="383638"/>
                    <w:spacing w:val="-1"/>
                    <w:w w:val="105"/>
                    <w:sz w:val="17"/>
                  </w:rPr>
                  <w:t>Professionalism:</w:t>
                </w:r>
                <w:r>
                  <w:rPr>
                    <w:color w:val="383638"/>
                    <w:spacing w:val="-15"/>
                    <w:w w:val="105"/>
                    <w:sz w:val="17"/>
                  </w:rPr>
                  <w:t> </w:t>
                </w:r>
                <w:r>
                  <w:rPr>
                    <w:color w:val="383638"/>
                    <w:w w:val="105"/>
                    <w:sz w:val="17"/>
                  </w:rPr>
                  <w:t>Follow</w:t>
                </w:r>
                <w:r>
                  <w:rPr>
                    <w:color w:val="545454"/>
                    <w:w w:val="105"/>
                    <w:sz w:val="17"/>
                  </w:rPr>
                  <w:t>i</w:t>
                </w:r>
                <w:r>
                  <w:rPr>
                    <w:color w:val="383638"/>
                    <w:w w:val="105"/>
                    <w:sz w:val="17"/>
                  </w:rPr>
                  <w:t>ng</w:t>
                </w:r>
                <w:r>
                  <w:rPr>
                    <w:color w:val="383638"/>
                    <w:spacing w:val="24"/>
                    <w:w w:val="105"/>
                    <w:sz w:val="17"/>
                  </w:rPr>
                  <w:t> </w:t>
                </w:r>
                <w:r>
                  <w:rPr>
                    <w:color w:val="383638"/>
                    <w:w w:val="105"/>
                    <w:sz w:val="17"/>
                  </w:rPr>
                  <w:t>Format</w:t>
                </w:r>
                <w:r>
                  <w:rPr>
                    <w:color w:val="383638"/>
                    <w:spacing w:val="1"/>
                    <w:w w:val="105"/>
                    <w:sz w:val="17"/>
                  </w:rPr>
                  <w:t> </w:t>
                </w:r>
                <w:r>
                  <w:rPr>
                    <w:color w:val="383638"/>
                    <w:w w:val="105"/>
                    <w:sz w:val="17"/>
                  </w:rPr>
                  <w:t>Rules</w:t>
                </w:r>
              </w:p>
            </w:txbxContent>
          </v:textbox>
          <w10:wrap type="none"/>
        </v:shape>
      </w:pic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.669449pt;margin-top:25.016314pt;width:330.35pt;height:11.55pt;mso-position-horizontal-relative:page;mso-position-vertical-relative:page;z-index:-21456384" type="#_x0000_t202" id="docshape323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8"/>
                    <w:sz w:val="17"/>
                  </w:rPr>
                  <w:t>8.4</w:t>
                </w:r>
                <w:r>
                  <w:rPr>
                    <w:rFonts w:ascii="Arial"/>
                    <w:color w:val="383638"/>
                    <w:spacing w:val="63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Document</w:t>
                </w:r>
                <w:r>
                  <w:rPr>
                    <w:rFonts w:ascii="Arial"/>
                    <w:color w:val="383638"/>
                    <w:spacing w:val="4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Format</w:t>
                </w:r>
                <w:r>
                  <w:rPr>
                    <w:rFonts w:ascii="Arial"/>
                    <w:color w:val="383638"/>
                    <w:spacing w:val="2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Requirements</w:t>
                </w:r>
                <w:r>
                  <w:rPr>
                    <w:rFonts w:ascii="Arial"/>
                    <w:color w:val="383638"/>
                    <w:spacing w:val="9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and</w:t>
                </w:r>
                <w:r>
                  <w:rPr>
                    <w:rFonts w:ascii="Arial"/>
                    <w:color w:val="383638"/>
                    <w:spacing w:val="38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Service</w:t>
                </w:r>
                <w:r>
                  <w:rPr>
                    <w:rFonts w:ascii="Arial"/>
                    <w:color w:val="383638"/>
                    <w:spacing w:val="-6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Requirements</w:t>
                </w:r>
                <w:r>
                  <w:rPr>
                    <w:rFonts w:ascii="Arial"/>
                    <w:color w:val="383638"/>
                    <w:spacing w:val="30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for</w:t>
                </w:r>
                <w:r>
                  <w:rPr>
                    <w:rFonts w:ascii="Arial"/>
                    <w:color w:val="383638"/>
                    <w:spacing w:val="4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Appellate</w:t>
                </w:r>
                <w:r>
                  <w:rPr>
                    <w:rFonts w:ascii="Arial"/>
                    <w:color w:val="383638"/>
                    <w:spacing w:val="17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Briefs</w:t>
                </w:r>
              </w:p>
            </w:txbxContent>
          </v:textbox>
          <w10:wrap type="none"/>
        </v:shape>
      </w:pict>
    </w:r>
    <w:r>
      <w:rPr/>
      <w:pict>
        <v:shape style="position:absolute;margin-left:413.361298pt;margin-top:25.016314pt;width:21.25pt;height:11.55pt;mso-position-horizontal-relative:page;mso-position-vertical-relative:page;z-index:-21455872" type="#_x0000_t202" id="docshape324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383638"/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9.474892pt;margin-top:18.767937pt;width:23.15pt;height:12.1pt;mso-position-horizontal-relative:page;mso-position-vertical-relative:page;z-index:-21455360" type="#_x0000_t202" id="docshape326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A3838"/>
                    <w:w w:val="11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8.446899pt;margin-top:19.676422pt;width:211.55pt;height:11pt;mso-position-horizontal-relative:page;mso-position-vertical-relative:page;z-index:-21454848" type="#_x0000_t202" id="docshape327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3A3838"/>
                    <w:spacing w:val="-1"/>
                    <w:w w:val="105"/>
                    <w:sz w:val="16"/>
                  </w:rPr>
                  <w:t>Chapter</w:t>
                </w:r>
                <w:r>
                  <w:rPr>
                    <w:rFonts w:ascii="Arial"/>
                    <w:color w:val="3A3838"/>
                    <w:spacing w:val="-7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A3838"/>
                    <w:spacing w:val="-1"/>
                    <w:w w:val="105"/>
                    <w:sz w:val="16"/>
                  </w:rPr>
                  <w:t>Eight</w:t>
                </w:r>
                <w:r>
                  <w:rPr>
                    <w:rFonts w:ascii="Arial"/>
                    <w:color w:val="3A3838"/>
                    <w:spacing w:val="56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A3838"/>
                    <w:spacing w:val="-1"/>
                    <w:w w:val="105"/>
                    <w:sz w:val="16"/>
                  </w:rPr>
                  <w:t>Professionalism:</w:t>
                </w:r>
                <w:r>
                  <w:rPr>
                    <w:rFonts w:ascii="Arial"/>
                    <w:color w:val="3A3838"/>
                    <w:spacing w:val="-23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A3838"/>
                    <w:w w:val="105"/>
                    <w:sz w:val="16"/>
                  </w:rPr>
                  <w:t>Following</w:t>
                </w:r>
                <w:r>
                  <w:rPr>
                    <w:rFonts w:ascii="Arial"/>
                    <w:color w:val="3A3838"/>
                    <w:spacing w:val="-10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A3838"/>
                    <w:w w:val="105"/>
                    <w:sz w:val="16"/>
                  </w:rPr>
                  <w:t>Format Rules</w:t>
                </w:r>
              </w:p>
            </w:txbxContent>
          </v:textbox>
          <w10:wrap type="none"/>
        </v:shape>
      </w:pic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.643044pt;margin-top:26.470366pt;width:331.3pt;height:12.1pt;mso-position-horizontal-relative:page;mso-position-vertical-relative:page;z-index:-21454336" type="#_x0000_t202" id="docshape328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b/>
                    <w:color w:val="383638"/>
                    <w:sz w:val="18"/>
                  </w:rPr>
                  <w:t>8.4</w:t>
                </w:r>
                <w:r>
                  <w:rPr>
                    <w:rFonts w:ascii="Arial"/>
                    <w:b/>
                    <w:color w:val="383638"/>
                    <w:spacing w:val="53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Document</w:t>
                </w:r>
                <w:r>
                  <w:rPr>
                    <w:rFonts w:ascii="Arial"/>
                    <w:color w:val="383638"/>
                    <w:spacing w:val="4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Format</w:t>
                </w:r>
                <w:r>
                  <w:rPr>
                    <w:rFonts w:ascii="Arial"/>
                    <w:color w:val="383638"/>
                    <w:spacing w:val="3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Requirements</w:t>
                </w:r>
                <w:r>
                  <w:rPr>
                    <w:rFonts w:ascii="Arial"/>
                    <w:color w:val="383638"/>
                    <w:spacing w:val="11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and</w:t>
                </w:r>
                <w:r>
                  <w:rPr>
                    <w:rFonts w:ascii="Arial"/>
                    <w:color w:val="383638"/>
                    <w:spacing w:val="40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Service</w:t>
                </w:r>
                <w:r>
                  <w:rPr>
                    <w:rFonts w:ascii="Arial"/>
                    <w:color w:val="383638"/>
                    <w:spacing w:val="-8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Requirements</w:t>
                </w:r>
                <w:r>
                  <w:rPr>
                    <w:rFonts w:ascii="Arial"/>
                    <w:color w:val="383638"/>
                    <w:spacing w:val="31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for</w:t>
                </w:r>
                <w:r>
                  <w:rPr>
                    <w:rFonts w:ascii="Arial"/>
                    <w:color w:val="383638"/>
                    <w:spacing w:val="48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Appellate</w:t>
                </w:r>
                <w:r>
                  <w:rPr>
                    <w:rFonts w:ascii="Arial"/>
                    <w:color w:val="383638"/>
                    <w:spacing w:val="19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Briefs</w:t>
                </w:r>
              </w:p>
            </w:txbxContent>
          </v:textbox>
          <w10:wrap type="none"/>
        </v:shape>
      </w:pict>
    </w:r>
    <w:r>
      <w:rPr/>
      <w:pict>
        <v:shape style="position:absolute;margin-left:414.498413pt;margin-top:26.470366pt;width:22.1pt;height:12.1pt;mso-position-horizontal-relative:page;mso-position-vertical-relative:page;z-index:-21453824" type="#_x0000_t202" id="docshape329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2.31065pt;margin-top:23.131927pt;width:24.55pt;height:12.7pt;mso-position-horizontal-relative:page;mso-position-vertical-relative:page;z-index:-21453312" type="#_x0000_t202" id="docshape330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8"/>
                    <w:w w:val="11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1.861298pt;margin-top:23.714088pt;width:210.75pt;height:12.05pt;mso-position-horizontal-relative:page;mso-position-vertical-relative:page;z-index:-21452800" type="#_x0000_t202" id="docshape331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83638"/>
                    <w:sz w:val="18"/>
                  </w:rPr>
                  <w:t>Chapter</w:t>
                </w:r>
                <w:r>
                  <w:rPr>
                    <w:color w:val="383638"/>
                    <w:spacing w:val="-1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Eight</w:t>
                </w:r>
                <w:r>
                  <w:rPr>
                    <w:color w:val="383638"/>
                    <w:spacing w:val="58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Professionalism</w:t>
                </w:r>
                <w:r>
                  <w:rPr>
                    <w:color w:val="545456"/>
                    <w:sz w:val="18"/>
                  </w:rPr>
                  <w:t>:</w:t>
                </w:r>
                <w:r>
                  <w:rPr>
                    <w:color w:val="545456"/>
                    <w:spacing w:val="-4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Following</w:t>
                </w:r>
                <w:r>
                  <w:rPr>
                    <w:color w:val="383638"/>
                    <w:spacing w:val="-3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Format</w:t>
                </w:r>
                <w:r>
                  <w:rPr>
                    <w:color w:val="383638"/>
                    <w:spacing w:val="-3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Ru</w:t>
                </w:r>
                <w:r>
                  <w:rPr>
                    <w:color w:val="545456"/>
                    <w:sz w:val="18"/>
                  </w:rPr>
                  <w:t>l</w:t>
                </w:r>
                <w:r>
                  <w:rPr>
                    <w:color w:val="383638"/>
                    <w:sz w:val="18"/>
                  </w:rPr>
                  <w:t>es</w:t>
                </w:r>
              </w:p>
            </w:txbxContent>
          </v:textbox>
          <w10:wrap type="none"/>
        </v:shape>
      </w:pic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671898pt;margin-top:20.66461pt;width:322.75pt;height:11.55pt;mso-position-horizontal-relative:page;mso-position-vertical-relative:page;z-index:-21452288" type="#_x0000_t202" id="docshape33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i/>
                    <w:color w:val="383638"/>
                    <w:spacing w:val="-1"/>
                    <w:w w:val="105"/>
                    <w:sz w:val="17"/>
                  </w:rPr>
                  <w:t>8.5</w:t>
                </w:r>
                <w:r>
                  <w:rPr>
                    <w:rFonts w:ascii="Arial"/>
                    <w:i/>
                    <w:color w:val="383638"/>
                    <w:spacing w:val="43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pacing w:val="-1"/>
                    <w:w w:val="105"/>
                    <w:sz w:val="17"/>
                  </w:rPr>
                  <w:t>Document</w:t>
                </w:r>
                <w:r>
                  <w:rPr>
                    <w:rFonts w:ascii="Arial"/>
                    <w:color w:val="383638"/>
                    <w:spacing w:val="-23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Format</w:t>
                </w:r>
                <w:r>
                  <w:rPr>
                    <w:rFonts w:ascii="Arial"/>
                    <w:color w:val="383638"/>
                    <w:spacing w:val="-1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Requirements</w:t>
                </w:r>
                <w:r>
                  <w:rPr>
                    <w:rFonts w:ascii="Arial"/>
                    <w:color w:val="383638"/>
                    <w:spacing w:val="-18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and</w:t>
                </w:r>
                <w:r>
                  <w:rPr>
                    <w:rFonts w:ascii="Arial"/>
                    <w:color w:val="383638"/>
                    <w:spacing w:val="12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Service</w:t>
                </w:r>
                <w:r>
                  <w:rPr>
                    <w:rFonts w:ascii="Arial"/>
                    <w:color w:val="383638"/>
                    <w:spacing w:val="-11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Requirements</w:t>
                </w:r>
                <w:r>
                  <w:rPr>
                    <w:rFonts w:ascii="Arial"/>
                    <w:color w:val="383638"/>
                    <w:spacing w:val="-4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for</w:t>
                </w:r>
                <w:r>
                  <w:rPr>
                    <w:rFonts w:ascii="Arial"/>
                    <w:color w:val="383638"/>
                    <w:spacing w:val="23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Motion</w:t>
                </w:r>
                <w:r>
                  <w:rPr>
                    <w:rFonts w:ascii="Arial"/>
                    <w:color w:val="383638"/>
                    <w:spacing w:val="-23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Briefs</w:t>
                </w:r>
              </w:p>
            </w:txbxContent>
          </v:textbox>
          <w10:wrap type="none"/>
        </v:shape>
      </w:pict>
    </w:r>
    <w:r>
      <w:rPr/>
      <w:pict>
        <v:shape style="position:absolute;margin-left:411.513397pt;margin-top:20.210426pt;width:23.6pt;height:12.1pt;mso-position-horizontal-relative:page;mso-position-vertical-relative:page;z-index:-21451776" type="#_x0000_t202" id="docshape333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8"/>
                    <w:w w:val="11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07238pt;margin-top:17.812105pt;width:24.4pt;height:12.1pt;mso-position-horizontal-relative:page;mso-position-vertical-relative:page;z-index:-21451264" type="#_x0000_t202" id="docshape334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8"/>
                    <w:w w:val="11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6.050102pt;margin-top:18.720984pt;width:212.1pt;height:11pt;mso-position-horizontal-relative:page;mso-position-vertical-relative:page;z-index:-21450752" type="#_x0000_t202" id="docshape335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383638"/>
                    <w:spacing w:val="-1"/>
                    <w:w w:val="105"/>
                    <w:sz w:val="16"/>
                  </w:rPr>
                  <w:t>Chapter</w:t>
                </w:r>
                <w:r>
                  <w:rPr>
                    <w:rFonts w:ascii="Arial"/>
                    <w:color w:val="383638"/>
                    <w:spacing w:val="-6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83638"/>
                    <w:spacing w:val="-1"/>
                    <w:w w:val="105"/>
                    <w:sz w:val="16"/>
                  </w:rPr>
                  <w:t>Eight</w:t>
                </w:r>
                <w:r>
                  <w:rPr>
                    <w:rFonts w:ascii="Arial"/>
                    <w:color w:val="383638"/>
                    <w:spacing w:val="70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83638"/>
                    <w:spacing w:val="-1"/>
                    <w:w w:val="105"/>
                    <w:sz w:val="16"/>
                  </w:rPr>
                  <w:t>Professionalism:</w:t>
                </w:r>
                <w:r>
                  <w:rPr>
                    <w:rFonts w:ascii="Arial"/>
                    <w:color w:val="383638"/>
                    <w:spacing w:val="-23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6"/>
                  </w:rPr>
                  <w:t>Following</w:t>
                </w:r>
                <w:r>
                  <w:rPr>
                    <w:rFonts w:ascii="Arial"/>
                    <w:color w:val="383638"/>
                    <w:spacing w:val="-16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6"/>
                  </w:rPr>
                  <w:t>Format</w:t>
                </w:r>
                <w:r>
                  <w:rPr>
                    <w:rFonts w:ascii="Arial"/>
                    <w:color w:val="383638"/>
                    <w:spacing w:val="-1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6"/>
                  </w:rPr>
                  <w:t>Rules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5.80365pt;margin-top:14.888608pt;width:7.45pt;height:11.55pt;mso-position-horizontal-relative:page;mso-position-vertical-relative:page;z-index:-21602304" type="#_x0000_t202" id="docshape19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A3838"/>
                    <w:w w:val="114"/>
                    <w:sz w:val="17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103.241501pt;margin-top:14.888608pt;width:109.95pt;height:11.55pt;mso-position-horizontal-relative:page;mso-position-vertical-relative:page;z-index:-21601792" type="#_x0000_t202" id="docshape20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A3838"/>
                    <w:w w:val="105"/>
                    <w:sz w:val="17"/>
                  </w:rPr>
                  <w:t>Chapter</w:t>
                </w:r>
                <w:r>
                  <w:rPr>
                    <w:rFonts w:ascii="Arial"/>
                    <w:color w:val="3A3838"/>
                    <w:spacing w:val="-4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w w:val="105"/>
                    <w:sz w:val="17"/>
                  </w:rPr>
                  <w:t>One  </w:t>
                </w:r>
                <w:r>
                  <w:rPr>
                    <w:rFonts w:ascii="Arial"/>
                    <w:color w:val="3A3838"/>
                    <w:spacing w:val="30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w w:val="105"/>
                    <w:sz w:val="17"/>
                  </w:rPr>
                  <w:t>Introduction</w:t>
                </w:r>
              </w:p>
            </w:txbxContent>
          </v:textbox>
          <w10:wrap type="none"/>
        </v:shape>
      </w:pic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88162pt;margin-top:26.454288pt;width:323.5pt;height:11.55pt;mso-position-horizontal-relative:page;mso-position-vertical-relative:page;z-index:-21450240" type="#_x0000_t202" id="docshape336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8"/>
                    <w:w w:val="105"/>
                    <w:sz w:val="17"/>
                  </w:rPr>
                  <w:t>8.5</w:t>
                </w:r>
                <w:r>
                  <w:rPr>
                    <w:rFonts w:ascii="Arial"/>
                    <w:color w:val="383638"/>
                    <w:spacing w:val="23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Document</w:t>
                </w:r>
                <w:r>
                  <w:rPr>
                    <w:rFonts w:ascii="Arial"/>
                    <w:color w:val="383638"/>
                    <w:spacing w:val="-12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Format</w:t>
                </w:r>
                <w:r>
                  <w:rPr>
                    <w:rFonts w:ascii="Arial"/>
                    <w:color w:val="383638"/>
                    <w:spacing w:val="-3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Requirements</w:t>
                </w:r>
                <w:r>
                  <w:rPr>
                    <w:rFonts w:ascii="Arial"/>
                    <w:color w:val="383638"/>
                    <w:spacing w:val="-8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and</w:t>
                </w:r>
                <w:r>
                  <w:rPr>
                    <w:rFonts w:ascii="Arial"/>
                    <w:color w:val="383638"/>
                    <w:spacing w:val="-6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Service</w:t>
                </w:r>
                <w:r>
                  <w:rPr>
                    <w:rFonts w:ascii="Arial"/>
                    <w:color w:val="383638"/>
                    <w:spacing w:val="-10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Requirements</w:t>
                </w:r>
                <w:r>
                  <w:rPr>
                    <w:rFonts w:ascii="Arial"/>
                    <w:color w:val="383638"/>
                    <w:spacing w:val="-3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for</w:t>
                </w:r>
                <w:r>
                  <w:rPr>
                    <w:rFonts w:ascii="Arial"/>
                    <w:color w:val="383638"/>
                    <w:spacing w:val="26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Motlon</w:t>
                </w:r>
                <w:r>
                  <w:rPr>
                    <w:rFonts w:ascii="Arial"/>
                    <w:color w:val="383638"/>
                    <w:spacing w:val="-22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Briefs</w:t>
                </w:r>
              </w:p>
            </w:txbxContent>
          </v:textbox>
          <w10:wrap type="none"/>
        </v:shape>
      </w:pict>
    </w:r>
    <w:r>
      <w:rPr/>
      <w:pict>
        <v:shape style="position:absolute;margin-left:418.882111pt;margin-top:25.999928pt;width:17.4pt;height:12.1pt;mso-position-horizontal-relative:page;mso-position-vertical-relative:page;z-index:-21449728" type="#_x0000_t202" id="docshape337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383638"/>
                    <w:sz w:val="18"/>
                  </w:rPr>
                  <w:t>183</w:t>
                </w:r>
              </w:p>
            </w:txbxContent>
          </v:textbox>
          <w10:wrap type="none"/>
        </v:shape>
      </w:pic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1.380299pt;margin-top:19.237103pt;width:23.6pt;height:12.1pt;mso-position-horizontal-relative:page;mso-position-vertical-relative:page;z-index:-21449216" type="#_x0000_t202" id="docshape338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A3838"/>
                    <w:w w:val="11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9.923599pt;margin-top:19.364922pt;width:212pt;height:12pt;mso-position-horizontal-relative:page;mso-position-vertical-relative:page;z-index:-21448704" type="#_x0000_t202" id="docshape339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A3838"/>
                    <w:spacing w:val="-1"/>
                    <w:sz w:val="18"/>
                  </w:rPr>
                  <w:t>Chapter</w:t>
                </w:r>
                <w:r>
                  <w:rPr>
                    <w:color w:val="3A3838"/>
                    <w:spacing w:val="2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sz w:val="18"/>
                  </w:rPr>
                  <w:t>Eight</w:t>
                </w:r>
                <w:r>
                  <w:rPr>
                    <w:color w:val="3A3838"/>
                    <w:spacing w:val="82"/>
                    <w:sz w:val="18"/>
                  </w:rPr>
                  <w:t> </w:t>
                </w:r>
                <w:r>
                  <w:rPr>
                    <w:color w:val="3A3838"/>
                    <w:sz w:val="18"/>
                  </w:rPr>
                  <w:t>Professionalism:</w:t>
                </w:r>
                <w:r>
                  <w:rPr>
                    <w:color w:val="3A3838"/>
                    <w:spacing w:val="-16"/>
                    <w:sz w:val="18"/>
                  </w:rPr>
                  <w:t> </w:t>
                </w:r>
                <w:r>
                  <w:rPr>
                    <w:color w:val="3A3838"/>
                    <w:sz w:val="18"/>
                  </w:rPr>
                  <w:t>Following</w:t>
                </w:r>
                <w:r>
                  <w:rPr>
                    <w:color w:val="3A3838"/>
                    <w:spacing w:val="2"/>
                    <w:sz w:val="18"/>
                  </w:rPr>
                  <w:t> </w:t>
                </w:r>
                <w:r>
                  <w:rPr>
                    <w:color w:val="3A3838"/>
                    <w:sz w:val="18"/>
                  </w:rPr>
                  <w:t>Format Rules</w:t>
                </w:r>
              </w:p>
            </w:txbxContent>
          </v:textbox>
          <w10:wrap type="none"/>
        </v:shape>
      </w:pic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4.84729pt;margin-top:25.991121pt;width:361pt;height:12.1pt;mso-position-horizontal-relative:page;mso-position-vertical-relative:page;z-index:-21448192" type="#_x0000_t202" id="docshape340" filled="false" stroked="false">
          <v:textbox inset="0,0,0,0">
            <w:txbxContent>
              <w:p>
                <w:pPr>
                  <w:tabs>
                    <w:tab w:pos="7139" w:val="right" w:leader="none"/>
                  </w:tabs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color w:val="363436"/>
                    <w:spacing w:val="-1"/>
                    <w:w w:val="105"/>
                    <w:sz w:val="17"/>
                  </w:rPr>
                  <w:t>8.5</w:t>
                </w:r>
                <w:r>
                  <w:rPr>
                    <w:rFonts w:ascii="Arial"/>
                    <w:color w:val="363436"/>
                    <w:spacing w:val="21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spacing w:val="-1"/>
                    <w:w w:val="105"/>
                    <w:sz w:val="17"/>
                  </w:rPr>
                  <w:t>Document</w:t>
                </w:r>
                <w:r>
                  <w:rPr>
                    <w:rFonts w:ascii="Arial"/>
                    <w:color w:val="363436"/>
                    <w:spacing w:val="-6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spacing w:val="-1"/>
                    <w:w w:val="105"/>
                    <w:sz w:val="17"/>
                  </w:rPr>
                  <w:t>Format</w:t>
                </w:r>
                <w:r>
                  <w:rPr>
                    <w:rFonts w:ascii="Arial"/>
                    <w:color w:val="363436"/>
                    <w:spacing w:val="-14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spacing w:val="-1"/>
                    <w:w w:val="105"/>
                    <w:sz w:val="17"/>
                  </w:rPr>
                  <w:t>Requirements</w:t>
                </w:r>
                <w:r>
                  <w:rPr>
                    <w:rFonts w:ascii="Arial"/>
                    <w:color w:val="363436"/>
                    <w:spacing w:val="-9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w w:val="105"/>
                    <w:sz w:val="17"/>
                  </w:rPr>
                  <w:t>and</w:t>
                </w:r>
                <w:r>
                  <w:rPr>
                    <w:rFonts w:ascii="Arial"/>
                    <w:color w:val="363436"/>
                    <w:spacing w:val="12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w w:val="105"/>
                    <w:sz w:val="17"/>
                  </w:rPr>
                  <w:t>S</w:t>
                </w:r>
                <w:r>
                  <w:rPr>
                    <w:rFonts w:ascii="Arial"/>
                    <w:color w:val="4D4D4F"/>
                    <w:w w:val="105"/>
                    <w:sz w:val="17"/>
                  </w:rPr>
                  <w:t>e</w:t>
                </w:r>
                <w:r>
                  <w:rPr>
                    <w:rFonts w:ascii="Arial"/>
                    <w:color w:val="363436"/>
                    <w:w w:val="105"/>
                    <w:sz w:val="17"/>
                  </w:rPr>
                  <w:t>rvice</w:t>
                </w:r>
                <w:r>
                  <w:rPr>
                    <w:rFonts w:ascii="Arial"/>
                    <w:color w:val="363436"/>
                    <w:spacing w:val="-10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w w:val="105"/>
                    <w:sz w:val="17"/>
                  </w:rPr>
                  <w:t>Requirements</w:t>
                </w:r>
                <w:r>
                  <w:rPr>
                    <w:rFonts w:ascii="Arial"/>
                    <w:color w:val="363436"/>
                    <w:spacing w:val="-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w w:val="105"/>
                    <w:sz w:val="17"/>
                  </w:rPr>
                  <w:t>for</w:t>
                </w:r>
                <w:r>
                  <w:rPr>
                    <w:rFonts w:ascii="Arial"/>
                    <w:color w:val="363436"/>
                    <w:spacing w:val="21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w w:val="105"/>
                    <w:sz w:val="17"/>
                  </w:rPr>
                  <w:t>Motion</w:t>
                </w:r>
                <w:r>
                  <w:rPr>
                    <w:rFonts w:ascii="Arial"/>
                    <w:color w:val="363436"/>
                    <w:spacing w:val="-23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w w:val="105"/>
                    <w:sz w:val="17"/>
                  </w:rPr>
                  <w:t>Briefs</w:t>
                  <w:tab/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63436"/>
                    <w:w w:val="10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9.929668pt;margin-top:19.724623pt;width:21.05pt;height:12.1pt;mso-position-horizontal-relative:page;mso-position-vertical-relative:page;z-index:-21447680" type="#_x0000_t202" id="docshape34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A383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8.952797pt;margin-top:19.852474pt;width:212.45pt;height:12pt;mso-position-horizontal-relative:page;mso-position-vertical-relative:page;z-index:-21447168" type="#_x0000_t202" id="docshape34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A3838"/>
                    <w:sz w:val="18"/>
                  </w:rPr>
                  <w:t>Chapter</w:t>
                </w:r>
                <w:r>
                  <w:rPr>
                    <w:color w:val="3A3838"/>
                    <w:spacing w:val="1"/>
                    <w:sz w:val="18"/>
                  </w:rPr>
                  <w:t> </w:t>
                </w:r>
                <w:r>
                  <w:rPr>
                    <w:color w:val="2A2828"/>
                    <w:sz w:val="18"/>
                  </w:rPr>
                  <w:t>Eight</w:t>
                </w:r>
                <w:r>
                  <w:rPr>
                    <w:color w:val="2A2828"/>
                    <w:spacing w:val="75"/>
                    <w:sz w:val="18"/>
                  </w:rPr>
                  <w:t> </w:t>
                </w:r>
                <w:r>
                  <w:rPr>
                    <w:color w:val="3A3838"/>
                    <w:sz w:val="18"/>
                  </w:rPr>
                  <w:t>Professionalism:</w:t>
                </w:r>
                <w:r>
                  <w:rPr>
                    <w:color w:val="3A3838"/>
                    <w:spacing w:val="-15"/>
                    <w:sz w:val="18"/>
                  </w:rPr>
                  <w:t> </w:t>
                </w:r>
                <w:r>
                  <w:rPr>
                    <w:color w:val="3A3838"/>
                    <w:sz w:val="18"/>
                  </w:rPr>
                  <w:t>Following</w:t>
                </w:r>
                <w:r>
                  <w:rPr>
                    <w:color w:val="3A3838"/>
                    <w:spacing w:val="4"/>
                    <w:sz w:val="18"/>
                  </w:rPr>
                  <w:t> </w:t>
                </w:r>
                <w:r>
                  <w:rPr>
                    <w:color w:val="3A3838"/>
                    <w:sz w:val="18"/>
                  </w:rPr>
                  <w:t>Format</w:t>
                </w:r>
                <w:r>
                  <w:rPr>
                    <w:color w:val="3A3838"/>
                    <w:spacing w:val="2"/>
                    <w:sz w:val="18"/>
                  </w:rPr>
                  <w:t> </w:t>
                </w:r>
                <w:r>
                  <w:rPr>
                    <w:color w:val="3A3838"/>
                    <w:sz w:val="18"/>
                  </w:rPr>
                  <w:t>Rules</w:t>
                </w:r>
              </w:p>
            </w:txbxContent>
          </v:textbox>
          <w10:wrap type="none"/>
        </v:shape>
      </w:pic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528603pt;margin-top:22.637156pt;width:363.35pt;height:12.65pt;mso-position-horizontal-relative:page;mso-position-vertical-relative:page;z-index:-21446656" type="#_x0000_t202" id="docshape343" filled="false" stroked="false">
          <v:textbox inset="0,0,0,0">
            <w:txbxContent>
              <w:p>
                <w:pPr>
                  <w:tabs>
                    <w:tab w:pos="7186" w:val="right" w:leader="none"/>
                  </w:tabs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color w:val="383638"/>
                    <w:spacing w:val="-1"/>
                    <w:w w:val="105"/>
                    <w:sz w:val="17"/>
                  </w:rPr>
                  <w:t>8.5</w:t>
                </w:r>
                <w:r>
                  <w:rPr>
                    <w:rFonts w:ascii="Arial"/>
                    <w:color w:val="383638"/>
                    <w:spacing w:val="3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pacing w:val="-1"/>
                    <w:w w:val="105"/>
                    <w:sz w:val="17"/>
                  </w:rPr>
                  <w:t>Document</w:t>
                </w:r>
                <w:r>
                  <w:rPr>
                    <w:rFonts w:ascii="Arial"/>
                    <w:color w:val="383638"/>
                    <w:spacing w:val="-6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Format</w:t>
                </w:r>
                <w:r>
                  <w:rPr>
                    <w:rFonts w:ascii="Arial"/>
                    <w:color w:val="383638"/>
                    <w:spacing w:val="-1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Requirements</w:t>
                </w:r>
                <w:r>
                  <w:rPr>
                    <w:rFonts w:ascii="Arial"/>
                    <w:color w:val="383638"/>
                    <w:spacing w:val="-9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and</w:t>
                </w:r>
                <w:r>
                  <w:rPr>
                    <w:rFonts w:ascii="Arial"/>
                    <w:color w:val="383638"/>
                    <w:spacing w:val="12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Service</w:t>
                </w:r>
                <w:r>
                  <w:rPr>
                    <w:rFonts w:ascii="Arial"/>
                    <w:color w:val="383638"/>
                    <w:spacing w:val="-20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Requirements</w:t>
                </w:r>
                <w:r>
                  <w:rPr>
                    <w:rFonts w:ascii="Arial"/>
                    <w:color w:val="383638"/>
                    <w:spacing w:val="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for</w:t>
                </w:r>
                <w:r>
                  <w:rPr>
                    <w:rFonts w:ascii="Arial"/>
                    <w:color w:val="383638"/>
                    <w:spacing w:val="21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Motion</w:t>
                </w:r>
                <w:r>
                  <w:rPr>
                    <w:rFonts w:ascii="Arial"/>
                    <w:color w:val="383638"/>
                    <w:spacing w:val="-24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Briefs</w:t>
                  <w:tab/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8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32489pt;margin-top:15.393249pt;width:15.75pt;height:12.1pt;mso-position-horizontal-relative:page;mso-position-vertical-relative:page;z-index:-21446144" type="#_x0000_t202" id="docshape344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6"/>
                    <w:w w:val="7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2.292pt;margin-top:16.301584pt;width:211.05pt;height:11pt;mso-position-horizontal-relative:page;mso-position-vertical-relative:page;z-index:-21445632" type="#_x0000_t202" id="docshape345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383636"/>
                    <w:sz w:val="16"/>
                  </w:rPr>
                  <w:t>Chapter</w:t>
                </w:r>
                <w:r>
                  <w:rPr>
                    <w:rFonts w:ascii="Arial"/>
                    <w:color w:val="383636"/>
                    <w:spacing w:val="8"/>
                    <w:sz w:val="16"/>
                  </w:rPr>
                  <w:t> </w:t>
                </w:r>
                <w:r>
                  <w:rPr>
                    <w:rFonts w:ascii="Arial"/>
                    <w:color w:val="383636"/>
                    <w:sz w:val="16"/>
                  </w:rPr>
                  <w:t>Eight   </w:t>
                </w:r>
                <w:r>
                  <w:rPr>
                    <w:rFonts w:ascii="Arial"/>
                    <w:color w:val="383636"/>
                    <w:spacing w:val="31"/>
                    <w:sz w:val="16"/>
                  </w:rPr>
                  <w:t> </w:t>
                </w:r>
                <w:r>
                  <w:rPr>
                    <w:rFonts w:ascii="Arial"/>
                    <w:color w:val="383636"/>
                    <w:sz w:val="16"/>
                  </w:rPr>
                  <w:t>Professionalism</w:t>
                </w:r>
                <w:r>
                  <w:rPr>
                    <w:rFonts w:ascii="Arial"/>
                    <w:color w:val="525254"/>
                    <w:sz w:val="16"/>
                  </w:rPr>
                  <w:t>:</w:t>
                </w:r>
                <w:r>
                  <w:rPr>
                    <w:rFonts w:ascii="Arial"/>
                    <w:color w:val="525254"/>
                    <w:spacing w:val="9"/>
                    <w:sz w:val="16"/>
                  </w:rPr>
                  <w:t> </w:t>
                </w:r>
                <w:r>
                  <w:rPr>
                    <w:rFonts w:ascii="Arial"/>
                    <w:color w:val="383636"/>
                    <w:sz w:val="16"/>
                  </w:rPr>
                  <w:t>Follow</w:t>
                </w:r>
                <w:r>
                  <w:rPr>
                    <w:rFonts w:ascii="Arial"/>
                    <w:color w:val="525254"/>
                    <w:sz w:val="16"/>
                  </w:rPr>
                  <w:t>i</w:t>
                </w:r>
                <w:r>
                  <w:rPr>
                    <w:rFonts w:ascii="Arial"/>
                    <w:color w:val="383636"/>
                    <w:sz w:val="16"/>
                  </w:rPr>
                  <w:t>ng</w:t>
                </w:r>
                <w:r>
                  <w:rPr>
                    <w:rFonts w:ascii="Arial"/>
                    <w:color w:val="383636"/>
                    <w:spacing w:val="26"/>
                    <w:sz w:val="16"/>
                  </w:rPr>
                  <w:t> </w:t>
                </w:r>
                <w:r>
                  <w:rPr>
                    <w:rFonts w:ascii="Arial"/>
                    <w:color w:val="383636"/>
                    <w:sz w:val="16"/>
                  </w:rPr>
                  <w:t>Format</w:t>
                </w:r>
                <w:r>
                  <w:rPr>
                    <w:rFonts w:ascii="Arial"/>
                    <w:color w:val="383636"/>
                    <w:spacing w:val="3"/>
                    <w:sz w:val="16"/>
                  </w:rPr>
                  <w:t> </w:t>
                </w:r>
                <w:r>
                  <w:rPr>
                    <w:rFonts w:ascii="Arial"/>
                    <w:color w:val="383636"/>
                    <w:sz w:val="16"/>
                  </w:rPr>
                  <w:t>Rules</w:t>
                </w:r>
              </w:p>
            </w:txbxContent>
          </v:textbox>
          <w10:wrap type="none"/>
        </v:shape>
      </w:pic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8.048729pt;margin-top:20.224434pt;width:17.8pt;height:12.65pt;mso-position-horizontal-relative:page;mso-position-vertical-relative:page;z-index:-21445120" type="#_x0000_t202" id="docshape347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color w:val="383638"/>
                    <w:sz w:val="19"/>
                  </w:rPr>
                  <w:t>188</w:t>
                </w:r>
              </w:p>
            </w:txbxContent>
          </v:textbox>
          <w10:wrap type="none"/>
        </v:shape>
      </w:pict>
    </w:r>
    <w:r>
      <w:rPr/>
      <w:pict>
        <v:shape style="position:absolute;margin-left:92.135422pt;margin-top:21.132246pt;width:194.2pt;height:11.55pt;mso-position-horizontal-relative:page;mso-position-vertical-relative:page;z-index:-21444608" type="#_x0000_t202" id="docshape348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8"/>
                    <w:w w:val="90"/>
                    <w:sz w:val="17"/>
                  </w:rPr>
                  <w:t>Chapter</w:t>
                </w:r>
                <w:r>
                  <w:rPr>
                    <w:rFonts w:ascii="Arial"/>
                    <w:color w:val="383638"/>
                    <w:spacing w:val="-14"/>
                    <w:w w:val="90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90"/>
                    <w:sz w:val="17"/>
                  </w:rPr>
                  <w:t>Eight</w:t>
                </w:r>
                <w:r>
                  <w:rPr>
                    <w:rFonts w:ascii="Arial"/>
                    <w:color w:val="383638"/>
                    <w:spacing w:val="53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90"/>
                    <w:sz w:val="17"/>
                  </w:rPr>
                  <w:t>P</w:t>
                </w:r>
                <w:r>
                  <w:rPr>
                    <w:rFonts w:ascii="Arial"/>
                    <w:color w:val="4F4F52"/>
                    <w:w w:val="90"/>
                    <w:sz w:val="17"/>
                  </w:rPr>
                  <w:t>r</w:t>
                </w:r>
                <w:r>
                  <w:rPr>
                    <w:rFonts w:ascii="Arial"/>
                    <w:color w:val="383638"/>
                    <w:w w:val="90"/>
                    <w:sz w:val="17"/>
                  </w:rPr>
                  <w:t>ofess</w:t>
                </w:r>
                <w:r>
                  <w:rPr>
                    <w:rFonts w:ascii="Arial"/>
                    <w:color w:val="4F4F52"/>
                    <w:w w:val="90"/>
                    <w:sz w:val="17"/>
                  </w:rPr>
                  <w:t>i</w:t>
                </w:r>
                <w:r>
                  <w:rPr>
                    <w:rFonts w:ascii="Arial"/>
                    <w:color w:val="383638"/>
                    <w:w w:val="90"/>
                    <w:sz w:val="17"/>
                  </w:rPr>
                  <w:t>onalism</w:t>
                </w:r>
                <w:r>
                  <w:rPr>
                    <w:rFonts w:ascii="Arial"/>
                    <w:color w:val="4F4F52"/>
                    <w:w w:val="90"/>
                    <w:sz w:val="17"/>
                  </w:rPr>
                  <w:t>:</w:t>
                </w:r>
                <w:r>
                  <w:rPr>
                    <w:rFonts w:ascii="Arial"/>
                    <w:color w:val="4F4F52"/>
                    <w:spacing w:val="-6"/>
                    <w:w w:val="90"/>
                    <w:sz w:val="17"/>
                  </w:rPr>
                  <w:t> </w:t>
                </w:r>
                <w:r>
                  <w:rPr>
                    <w:rFonts w:ascii="Arial"/>
                    <w:color w:val="4F4F52"/>
                    <w:w w:val="90"/>
                    <w:sz w:val="17"/>
                  </w:rPr>
                  <w:t>F</w:t>
                </w:r>
                <w:r>
                  <w:rPr>
                    <w:rFonts w:ascii="Arial"/>
                    <w:color w:val="383638"/>
                    <w:w w:val="90"/>
                    <w:sz w:val="17"/>
                  </w:rPr>
                  <w:t>ollow</w:t>
                </w:r>
                <w:r>
                  <w:rPr>
                    <w:rFonts w:ascii="Arial"/>
                    <w:color w:val="4F4F52"/>
                    <w:w w:val="90"/>
                    <w:sz w:val="17"/>
                  </w:rPr>
                  <w:t>i</w:t>
                </w:r>
                <w:r>
                  <w:rPr>
                    <w:rFonts w:ascii="Arial"/>
                    <w:color w:val="383638"/>
                    <w:w w:val="90"/>
                    <w:sz w:val="17"/>
                  </w:rPr>
                  <w:t>ng</w:t>
                </w:r>
                <w:r>
                  <w:rPr>
                    <w:rFonts w:ascii="Arial"/>
                    <w:color w:val="383638"/>
                    <w:spacing w:val="-5"/>
                    <w:w w:val="90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90"/>
                    <w:sz w:val="17"/>
                  </w:rPr>
                  <w:t>Format</w:t>
                </w:r>
                <w:r>
                  <w:rPr>
                    <w:rFonts w:ascii="Arial"/>
                    <w:color w:val="383638"/>
                    <w:spacing w:val="-9"/>
                    <w:w w:val="90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90"/>
                    <w:sz w:val="17"/>
                  </w:rPr>
                  <w:t>Ru</w:t>
                </w:r>
                <w:r>
                  <w:rPr>
                    <w:rFonts w:ascii="Arial"/>
                    <w:color w:val="4F4F52"/>
                    <w:w w:val="90"/>
                    <w:sz w:val="17"/>
                  </w:rPr>
                  <w:t>l</w:t>
                </w:r>
                <w:r>
                  <w:rPr>
                    <w:rFonts w:ascii="Arial"/>
                    <w:color w:val="383638"/>
                    <w:w w:val="90"/>
                    <w:sz w:val="17"/>
                  </w:rPr>
                  <w:t>es</w:t>
                </w:r>
              </w:p>
            </w:txbxContent>
          </v:textbox>
          <w10:wrap type="none"/>
        </v:shape>
      </w:pic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77.476593pt;margin-top:27.436819pt;width:14.1pt;height:12.1pt;mso-position-horizontal-relative:page;mso-position-vertical-relative:page;z-index:-21444096" type="#_x0000_t202" id="docshape349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3D3B3D"/>
                    <w:spacing w:val="-1"/>
                    <w:w w:val="85"/>
                    <w:sz w:val="18"/>
                  </w:rPr>
                  <w:t>189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.496368pt;margin-top:46.732471pt;width:223.5pt;height:25.9pt;mso-position-horizontal-relative:page;mso-position-vertical-relative:page;z-index:-21443584" type="#_x0000_t202" id="docshape350" filled="false" stroked="false">
          <v:textbox inset="0,0,0,0">
            <w:txbxContent>
              <w:p>
                <w:pPr>
                  <w:spacing w:before="3"/>
                  <w:ind w:left="20" w:right="0" w:firstLine="0"/>
                  <w:jc w:val="left"/>
                  <w:rPr>
                    <w:b/>
                    <w:sz w:val="43"/>
                  </w:rPr>
                </w:pPr>
                <w:r>
                  <w:rPr>
                    <w:rFonts w:ascii="Arial"/>
                    <w:b/>
                    <w:color w:val="626264"/>
                    <w:w w:val="90"/>
                    <w:sz w:val="41"/>
                  </w:rPr>
                  <w:t>SPECIAL</w:t>
                </w:r>
                <w:r>
                  <w:rPr>
                    <w:rFonts w:ascii="Arial"/>
                    <w:b/>
                    <w:color w:val="626264"/>
                    <w:spacing w:val="9"/>
                    <w:w w:val="90"/>
                    <w:sz w:val="41"/>
                  </w:rPr>
                  <w:t> </w:t>
                </w:r>
                <w:r>
                  <w:rPr>
                    <w:b/>
                    <w:color w:val="626264"/>
                    <w:w w:val="90"/>
                    <w:sz w:val="43"/>
                  </w:rPr>
                  <w:t>TEAMS</w:t>
                </w:r>
                <w:r>
                  <w:rPr>
                    <w:b/>
                    <w:color w:val="3D3B3D"/>
                    <w:w w:val="90"/>
                    <w:sz w:val="43"/>
                  </w:rPr>
                  <w:t>:</w:t>
                </w:r>
                <w:r>
                  <w:rPr>
                    <w:b/>
                    <w:color w:val="3D3B3D"/>
                    <w:spacing w:val="-10"/>
                    <w:w w:val="90"/>
                    <w:sz w:val="43"/>
                  </w:rPr>
                  <w:t> </w:t>
                </w:r>
                <w:r>
                  <w:rPr>
                    <w:b/>
                    <w:color w:val="747577"/>
                    <w:w w:val="90"/>
                    <w:sz w:val="43"/>
                  </w:rPr>
                  <w:t>ISSUE</w:t>
                </w:r>
              </w:p>
            </w:txbxContent>
          </v:textbox>
          <w10:wrap type="none"/>
        </v:shape>
      </w:pic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73.051697pt;margin-top:21.839804pt;width:78.650pt;height:13.15pt;mso-position-horizontal-relative:page;mso-position-vertical-relative:page;z-index:-21609472" type="#_x0000_t202" id="docshape3" filled="false" stroked="false">
          <v:textbox inset="0,0,0,0">
            <w:txbxContent>
              <w:p>
                <w:pPr>
                  <w:tabs>
                    <w:tab w:pos="1492" w:val="right" w:leader="none"/>
                  </w:tabs>
                  <w:spacing w:before="12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Arial"/>
                    <w:color w:val="333131"/>
                    <w:w w:val="105"/>
                    <w:sz w:val="17"/>
                  </w:rPr>
                  <w:t>Contents</w:t>
                  <w:tab/>
                </w:r>
                <w:r>
                  <w:rPr/>
                  <w:fldChar w:fldCharType="begin"/>
                </w:r>
                <w:r>
                  <w:rPr>
                    <w:color w:val="333131"/>
                    <w:w w:val="105"/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76.981293pt;margin-top:25.536016pt;width:18.45pt;height:12.65pt;mso-position-horizontal-relative:page;mso-position-vertical-relative:page;z-index:-21443072" type="#_x0000_t202" id="docshape354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color w:val="3B3A3B"/>
                    <w:w w:val="105"/>
                    <w:sz w:val="19"/>
                  </w:rPr>
                  <w:t>189</w:t>
                </w:r>
              </w:p>
            </w:txbxContent>
          </v:textbox>
          <w10:wrap type="none"/>
        </v:shape>
      </w:pict>
    </w:r>
    <w:r>
      <w:rPr/>
      <w:pict>
        <v:shape style="position:absolute;margin-left:30.604019pt;margin-top:44.355942pt;width:231.4pt;height:26.45pt;mso-position-horizontal-relative:page;mso-position-vertical-relative:page;z-index:-21442560" type="#_x0000_t202" id="docshape355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rFonts w:ascii="Arial"/>
                    <w:b/>
                    <w:color w:val="59595B"/>
                    <w:w w:val="90"/>
                    <w:sz w:val="41"/>
                  </w:rPr>
                  <w:t>SPEC</w:t>
                </w:r>
                <w:r>
                  <w:rPr>
                    <w:rFonts w:ascii="Arial"/>
                    <w:b/>
                    <w:color w:val="7C7E80"/>
                    <w:w w:val="90"/>
                    <w:sz w:val="41"/>
                  </w:rPr>
                  <w:t>IA</w:t>
                </w:r>
                <w:r>
                  <w:rPr>
                    <w:rFonts w:ascii="Arial"/>
                    <w:b/>
                    <w:color w:val="59595B"/>
                    <w:w w:val="90"/>
                    <w:sz w:val="41"/>
                  </w:rPr>
                  <w:t>L</w:t>
                </w:r>
                <w:r>
                  <w:rPr>
                    <w:rFonts w:ascii="Arial"/>
                    <w:b/>
                    <w:color w:val="59595B"/>
                    <w:spacing w:val="-3"/>
                    <w:w w:val="90"/>
                    <w:sz w:val="41"/>
                  </w:rPr>
                  <w:t> </w:t>
                </w:r>
                <w:r>
                  <w:rPr>
                    <w:b/>
                    <w:color w:val="59595B"/>
                    <w:w w:val="90"/>
                    <w:sz w:val="44"/>
                  </w:rPr>
                  <w:t>TE</w:t>
                </w:r>
                <w:r>
                  <w:rPr>
                    <w:b/>
                    <w:color w:val="7C7E80"/>
                    <w:w w:val="90"/>
                    <w:sz w:val="44"/>
                  </w:rPr>
                  <w:t>AMS</w:t>
                </w:r>
                <w:r>
                  <w:rPr>
                    <w:b/>
                    <w:color w:val="59595B"/>
                    <w:w w:val="90"/>
                    <w:sz w:val="44"/>
                  </w:rPr>
                  <w:t>:</w:t>
                </w:r>
                <w:r>
                  <w:rPr>
                    <w:b/>
                    <w:color w:val="59595B"/>
                    <w:spacing w:val="75"/>
                    <w:w w:val="90"/>
                    <w:sz w:val="44"/>
                  </w:rPr>
                  <w:t> </w:t>
                </w:r>
                <w:r>
                  <w:rPr>
                    <w:b/>
                    <w:color w:val="6B6E70"/>
                    <w:w w:val="90"/>
                    <w:sz w:val="44"/>
                  </w:rPr>
                  <w:t>ISS</w:t>
                </w:r>
                <w:r>
                  <w:rPr>
                    <w:b/>
                    <w:color w:val="8C8E90"/>
                    <w:w w:val="90"/>
                    <w:sz w:val="44"/>
                  </w:rPr>
                  <w:t>UE</w:t>
                </w:r>
              </w:p>
            </w:txbxContent>
          </v:textbox>
          <w10:wrap type="none"/>
        </v:shape>
      </w:pic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.359253pt;margin-top:22.134617pt;width:19.5pt;height:12.1pt;mso-position-horizontal-relative:page;mso-position-vertical-relative:page;z-index:-21442048" type="#_x0000_t202" id="docshape356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383638"/>
                    <w:w w:val="115"/>
                    <w:sz w:val="18"/>
                  </w:rPr>
                  <w:t>190</w:t>
                </w:r>
              </w:p>
            </w:txbxContent>
          </v:textbox>
          <w10:wrap type="none"/>
        </v:shape>
      </w:pict>
    </w:r>
    <w:r>
      <w:rPr/>
      <w:pict>
        <v:shape style="position:absolute;margin-left:115.380798pt;margin-top:21.815441pt;width:274.850pt;height:12.6pt;mso-position-horizontal-relative:page;mso-position-vertical-relative:page;z-index:-21441536" type="#_x0000_t202" id="docshape357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83638"/>
                    <w:sz w:val="19"/>
                  </w:rPr>
                  <w:t>Chapter Nine</w:t>
                </w:r>
                <w:r>
                  <w:rPr>
                    <w:color w:val="383638"/>
                    <w:spacing w:val="71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Special</w:t>
                </w:r>
                <w:r>
                  <w:rPr>
                    <w:color w:val="383638"/>
                    <w:spacing w:val="-5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Teams:</w:t>
                </w:r>
                <w:r>
                  <w:rPr>
                    <w:color w:val="383638"/>
                    <w:spacing w:val="-4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Issue</w:t>
                </w:r>
                <w:r>
                  <w:rPr>
                    <w:color w:val="383638"/>
                    <w:spacing w:val="-14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Statements</w:t>
                </w:r>
                <w:r>
                  <w:rPr>
                    <w:color w:val="545254"/>
                    <w:sz w:val="19"/>
                  </w:rPr>
                  <w:t>,</w:t>
                </w:r>
                <w:r>
                  <w:rPr>
                    <w:color w:val="545254"/>
                    <w:spacing w:val="4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Statement</w:t>
                </w:r>
                <w:r>
                  <w:rPr>
                    <w:color w:val="383638"/>
                    <w:spacing w:val="-6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of</w:t>
                </w:r>
                <w:r>
                  <w:rPr>
                    <w:color w:val="383638"/>
                    <w:spacing w:val="16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the</w:t>
                </w:r>
                <w:r>
                  <w:rPr>
                    <w:color w:val="383638"/>
                    <w:spacing w:val="-5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Case</w:t>
                </w:r>
              </w:p>
            </w:txbxContent>
          </v:textbox>
          <w10:wrap type="none"/>
        </v:shape>
      </w:pic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8.610504pt;margin-top:28.523281pt;width:128.5500pt;height:12pt;mso-position-horizontal-relative:page;mso-position-vertical-relative:page;z-index:-21441024" type="#_x0000_t202" id="docshape359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83638"/>
                    <w:w w:val="105"/>
                    <w:sz w:val="18"/>
                  </w:rPr>
                  <w:t>9</w:t>
                </w:r>
                <w:r>
                  <w:rPr>
                    <w:color w:val="565657"/>
                    <w:w w:val="105"/>
                    <w:sz w:val="18"/>
                  </w:rPr>
                  <w:t>.</w:t>
                </w:r>
                <w:r>
                  <w:rPr>
                    <w:color w:val="383638"/>
                    <w:w w:val="105"/>
                    <w:sz w:val="18"/>
                  </w:rPr>
                  <w:t>1 </w:t>
                </w:r>
                <w:r>
                  <w:rPr>
                    <w:color w:val="383638"/>
                    <w:spacing w:val="9"/>
                    <w:w w:val="105"/>
                    <w:sz w:val="18"/>
                  </w:rPr>
                  <w:t> </w:t>
                </w:r>
                <w:r>
                  <w:rPr>
                    <w:color w:val="383638"/>
                    <w:w w:val="105"/>
                    <w:sz w:val="18"/>
                  </w:rPr>
                  <w:t>Writing</w:t>
                </w:r>
                <w:r>
                  <w:rPr>
                    <w:color w:val="383638"/>
                    <w:spacing w:val="7"/>
                    <w:w w:val="105"/>
                    <w:sz w:val="18"/>
                  </w:rPr>
                  <w:t> </w:t>
                </w:r>
                <w:r>
                  <w:rPr>
                    <w:color w:val="383638"/>
                    <w:w w:val="105"/>
                    <w:sz w:val="18"/>
                  </w:rPr>
                  <w:t>the </w:t>
                </w:r>
                <w:r>
                  <w:rPr>
                    <w:color w:val="383638"/>
                    <w:spacing w:val="13"/>
                    <w:w w:val="105"/>
                    <w:sz w:val="18"/>
                  </w:rPr>
                  <w:t> </w:t>
                </w:r>
                <w:r>
                  <w:rPr>
                    <w:color w:val="2A2628"/>
                    <w:w w:val="105"/>
                    <w:sz w:val="18"/>
                  </w:rPr>
                  <w:t>Issue</w:t>
                </w:r>
                <w:r>
                  <w:rPr>
                    <w:color w:val="2A2628"/>
                    <w:spacing w:val="-11"/>
                    <w:w w:val="105"/>
                    <w:sz w:val="18"/>
                  </w:rPr>
                  <w:t> </w:t>
                </w:r>
                <w:r>
                  <w:rPr>
                    <w:color w:val="383638"/>
                    <w:w w:val="105"/>
                    <w:sz w:val="18"/>
                  </w:rPr>
                  <w:t>Statement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848694pt;margin-top:28.395416pt;width:24.05pt;height:12.1pt;mso-position-horizontal-relative:page;mso-position-vertical-relative:page;z-index:-21440512" type="#_x0000_t202" id="docshape360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2A2628"/>
                    <w:w w:val="11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.182831pt;margin-top:21.166447pt;width:23.3pt;height:12.1pt;mso-position-horizontal-relative:page;mso-position-vertical-relative:page;z-index:-21440000" type="#_x0000_t202" id="docshape36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B3A3B"/>
                    <w:w w:val="11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197998pt;margin-top:21.294283pt;width:274.7pt;height:12pt;mso-position-horizontal-relative:page;mso-position-vertical-relative:page;z-index:-21439488" type="#_x0000_t202" id="docshape36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B3A3B"/>
                    <w:w w:val="105"/>
                    <w:sz w:val="18"/>
                  </w:rPr>
                  <w:t>Chapter</w:t>
                </w:r>
                <w:r>
                  <w:rPr>
                    <w:color w:val="3B3A3B"/>
                    <w:spacing w:val="6"/>
                    <w:w w:val="105"/>
                    <w:sz w:val="18"/>
                  </w:rPr>
                  <w:t> </w:t>
                </w:r>
                <w:r>
                  <w:rPr>
                    <w:color w:val="3B3A3B"/>
                    <w:w w:val="105"/>
                    <w:sz w:val="18"/>
                  </w:rPr>
                  <w:t>Nine </w:t>
                </w:r>
                <w:r>
                  <w:rPr>
                    <w:color w:val="3B3A3B"/>
                    <w:spacing w:val="15"/>
                    <w:w w:val="105"/>
                    <w:sz w:val="18"/>
                  </w:rPr>
                  <w:t> </w:t>
                </w:r>
                <w:r>
                  <w:rPr>
                    <w:color w:val="3B3A3B"/>
                    <w:w w:val="105"/>
                    <w:sz w:val="18"/>
                  </w:rPr>
                  <w:t>Special</w:t>
                </w:r>
                <w:r>
                  <w:rPr>
                    <w:color w:val="3B3A3B"/>
                    <w:spacing w:val="-1"/>
                    <w:w w:val="105"/>
                    <w:sz w:val="18"/>
                  </w:rPr>
                  <w:t> </w:t>
                </w:r>
                <w:r>
                  <w:rPr>
                    <w:color w:val="3B3A3B"/>
                    <w:w w:val="105"/>
                    <w:sz w:val="18"/>
                  </w:rPr>
                  <w:t>Teams:</w:t>
                </w:r>
                <w:r>
                  <w:rPr>
                    <w:color w:val="3B3A3B"/>
                    <w:spacing w:val="-9"/>
                    <w:w w:val="105"/>
                    <w:sz w:val="18"/>
                  </w:rPr>
                  <w:t> </w:t>
                </w:r>
                <w:r>
                  <w:rPr>
                    <w:color w:val="3B3A3B"/>
                    <w:w w:val="105"/>
                    <w:sz w:val="18"/>
                  </w:rPr>
                  <w:t>Issue</w:t>
                </w:r>
                <w:r>
                  <w:rPr>
                    <w:color w:val="3B3A3B"/>
                    <w:spacing w:val="-7"/>
                    <w:w w:val="105"/>
                    <w:sz w:val="18"/>
                  </w:rPr>
                  <w:t> </w:t>
                </w:r>
                <w:r>
                  <w:rPr>
                    <w:color w:val="3B3A3B"/>
                    <w:w w:val="105"/>
                    <w:sz w:val="18"/>
                  </w:rPr>
                  <w:t>Statements,</w:t>
                </w:r>
                <w:r>
                  <w:rPr>
                    <w:color w:val="3B3A3B"/>
                    <w:spacing w:val="-9"/>
                    <w:w w:val="105"/>
                    <w:sz w:val="18"/>
                  </w:rPr>
                  <w:t> </w:t>
                </w:r>
                <w:r>
                  <w:rPr>
                    <w:color w:val="3B3A3B"/>
                    <w:w w:val="105"/>
                    <w:sz w:val="18"/>
                  </w:rPr>
                  <w:t>Statement of</w:t>
                </w:r>
                <w:r>
                  <w:rPr>
                    <w:color w:val="3B3A3B"/>
                    <w:spacing w:val="10"/>
                    <w:w w:val="105"/>
                    <w:sz w:val="18"/>
                  </w:rPr>
                  <w:t> </w:t>
                </w:r>
                <w:r>
                  <w:rPr>
                    <w:color w:val="3B3A3B"/>
                    <w:w w:val="105"/>
                    <w:sz w:val="18"/>
                  </w:rPr>
                  <w:t>the</w:t>
                </w:r>
                <w:r>
                  <w:rPr>
                    <w:color w:val="3B3A3B"/>
                    <w:spacing w:val="29"/>
                    <w:w w:val="105"/>
                    <w:sz w:val="18"/>
                  </w:rPr>
                  <w:t> </w:t>
                </w:r>
                <w:r>
                  <w:rPr>
                    <w:color w:val="3B3A3B"/>
                    <w:w w:val="105"/>
                    <w:sz w:val="18"/>
                  </w:rPr>
                  <w:t>Case</w:t>
                </w:r>
              </w:p>
            </w:txbxContent>
          </v:textbox>
          <w10:wrap type="none"/>
        </v:shape>
      </w:pic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2.985687pt;margin-top:27.091625pt;width:128.5500pt;height:12.05pt;mso-position-horizontal-relative:page;mso-position-vertical-relative:page;z-index:-21438976" type="#_x0000_t202" id="docshape363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A383A"/>
                    <w:w w:val="105"/>
                    <w:sz w:val="18"/>
                  </w:rPr>
                  <w:t>9.1 </w:t>
                </w:r>
                <w:r>
                  <w:rPr>
                    <w:color w:val="3A383A"/>
                    <w:spacing w:val="22"/>
                    <w:w w:val="105"/>
                    <w:sz w:val="18"/>
                  </w:rPr>
                  <w:t> </w:t>
                </w:r>
                <w:r>
                  <w:rPr>
                    <w:color w:val="3A383A"/>
                    <w:w w:val="105"/>
                    <w:sz w:val="18"/>
                  </w:rPr>
                  <w:t>Writing</w:t>
                </w:r>
                <w:r>
                  <w:rPr>
                    <w:color w:val="3A383A"/>
                    <w:spacing w:val="11"/>
                    <w:w w:val="105"/>
                    <w:sz w:val="18"/>
                  </w:rPr>
                  <w:t> </w:t>
                </w:r>
                <w:r>
                  <w:rPr>
                    <w:color w:val="3A383A"/>
                    <w:w w:val="105"/>
                    <w:sz w:val="18"/>
                  </w:rPr>
                  <w:t>the  Issue</w:t>
                </w:r>
                <w:r>
                  <w:rPr>
                    <w:color w:val="3A383A"/>
                    <w:spacing w:val="-6"/>
                    <w:w w:val="105"/>
                    <w:sz w:val="18"/>
                  </w:rPr>
                  <w:t> </w:t>
                </w:r>
                <w:r>
                  <w:rPr>
                    <w:color w:val="3A383A"/>
                    <w:w w:val="105"/>
                    <w:sz w:val="18"/>
                  </w:rPr>
                  <w:t>Statement</w:t>
                </w:r>
              </w:p>
            </w:txbxContent>
          </v:textbox>
          <w10:wrap type="none"/>
        </v:shape>
      </w:pict>
    </w:r>
    <w:r>
      <w:rPr/>
      <w:pict>
        <v:shape style="position:absolute;margin-left:408.725494pt;margin-top:26.963699pt;width:24.05pt;height:12.1pt;mso-position-horizontal-relative:page;mso-position-vertical-relative:page;z-index:-21438464" type="#_x0000_t202" id="docshape364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A383A"/>
                    <w:w w:val="11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2.930397pt;margin-top:22.132217pt;width:24.5pt;height:12.1pt;mso-position-horizontal-relative:page;mso-position-vertical-relative:page;z-index:-21437952" type="#_x0000_t202" id="docshape365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8"/>
                    <w:w w:val="11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2.408501pt;margin-top:21.813074pt;width:274.25pt;height:12.6pt;mso-position-horizontal-relative:page;mso-position-vertical-relative:page;z-index:-21437440" type="#_x0000_t202" id="docshape366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83638"/>
                    <w:spacing w:val="-1"/>
                    <w:sz w:val="19"/>
                  </w:rPr>
                  <w:t>Chapter</w:t>
                </w:r>
                <w:r>
                  <w:rPr>
                    <w:color w:val="383638"/>
                    <w:spacing w:val="7"/>
                    <w:sz w:val="19"/>
                  </w:rPr>
                  <w:t> </w:t>
                </w:r>
                <w:r>
                  <w:rPr>
                    <w:color w:val="383638"/>
                    <w:spacing w:val="-1"/>
                    <w:sz w:val="19"/>
                  </w:rPr>
                  <w:t>Nine</w:t>
                </w:r>
                <w:r>
                  <w:rPr>
                    <w:color w:val="383638"/>
                    <w:spacing w:val="70"/>
                    <w:sz w:val="19"/>
                  </w:rPr>
                  <w:t> </w:t>
                </w:r>
                <w:r>
                  <w:rPr>
                    <w:color w:val="383638"/>
                    <w:spacing w:val="-1"/>
                    <w:sz w:val="19"/>
                  </w:rPr>
                  <w:t>Special</w:t>
                </w:r>
                <w:r>
                  <w:rPr>
                    <w:color w:val="383638"/>
                    <w:spacing w:val="-8"/>
                    <w:sz w:val="19"/>
                  </w:rPr>
                  <w:t> </w:t>
                </w:r>
                <w:r>
                  <w:rPr>
                    <w:color w:val="383638"/>
                    <w:spacing w:val="-1"/>
                    <w:sz w:val="19"/>
                  </w:rPr>
                  <w:t>Teams</w:t>
                </w:r>
                <w:r>
                  <w:rPr>
                    <w:color w:val="525052"/>
                    <w:spacing w:val="-1"/>
                    <w:sz w:val="19"/>
                  </w:rPr>
                  <w:t>:</w:t>
                </w:r>
                <w:r>
                  <w:rPr>
                    <w:color w:val="525052"/>
                    <w:spacing w:val="-17"/>
                    <w:sz w:val="19"/>
                  </w:rPr>
                  <w:t> </w:t>
                </w:r>
                <w:r>
                  <w:rPr>
                    <w:color w:val="383638"/>
                    <w:spacing w:val="-1"/>
                    <w:sz w:val="19"/>
                  </w:rPr>
                  <w:t>Issue</w:t>
                </w:r>
                <w:r>
                  <w:rPr>
                    <w:color w:val="383638"/>
                    <w:spacing w:val="-9"/>
                    <w:sz w:val="19"/>
                  </w:rPr>
                  <w:t> </w:t>
                </w:r>
                <w:r>
                  <w:rPr>
                    <w:color w:val="383638"/>
                    <w:spacing w:val="-1"/>
                    <w:sz w:val="19"/>
                  </w:rPr>
                  <w:t>Statements,</w:t>
                </w:r>
                <w:r>
                  <w:rPr>
                    <w:color w:val="383638"/>
                    <w:spacing w:val="2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Statement</w:t>
                </w:r>
                <w:r>
                  <w:rPr>
                    <w:color w:val="383638"/>
                    <w:spacing w:val="2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of</w:t>
                </w:r>
                <w:r>
                  <w:rPr>
                    <w:color w:val="383638"/>
                    <w:spacing w:val="11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the</w:t>
                </w:r>
                <w:r>
                  <w:rPr>
                    <w:color w:val="383638"/>
                    <w:spacing w:val="30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Case</w:t>
                </w:r>
              </w:p>
            </w:txbxContent>
          </v:textbox>
          <w10:wrap type="none"/>
        </v:shape>
      </w:pict>
    </w: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373199pt;margin-top:32.430233pt;width:128.9pt;height:12.6pt;mso-position-horizontal-relative:page;mso-position-vertical-relative:page;z-index:-21436928" type="#_x0000_t202" id="docshape367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83638"/>
                    <w:sz w:val="19"/>
                  </w:rPr>
                  <w:t>9.1</w:t>
                </w:r>
                <w:r>
                  <w:rPr>
                    <w:color w:val="383638"/>
                    <w:spacing w:val="55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Writing</w:t>
                </w:r>
                <w:r>
                  <w:rPr>
                    <w:color w:val="383638"/>
                    <w:spacing w:val="15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the</w:t>
                </w:r>
                <w:r>
                  <w:rPr>
                    <w:color w:val="383638"/>
                    <w:spacing w:val="46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Issue</w:t>
                </w:r>
                <w:r>
                  <w:rPr>
                    <w:color w:val="383638"/>
                    <w:spacing w:val="-5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Statement</w:t>
                </w:r>
              </w:p>
            </w:txbxContent>
          </v:textbox>
          <w10:wrap type="none"/>
        </v:shape>
      </w:pict>
    </w:r>
    <w:r>
      <w:rPr/>
      <w:pict>
        <v:shape style="position:absolute;margin-left:410.593292pt;margin-top:32.749596pt;width:23.3pt;height:12.1pt;mso-position-horizontal-relative:page;mso-position-vertical-relative:page;z-index:-21436416" type="#_x0000_t202" id="docshape368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8"/>
                    <w:w w:val="11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638252pt;margin-top:25.508507pt;width:23.6pt;height:12.1pt;mso-position-horizontal-relative:page;mso-position-vertical-relative:page;z-index:-21435904" type="#_x0000_t202" id="docshape369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B3A3B"/>
                    <w:w w:val="11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6.658302pt;margin-top:25.636385pt;width:275.650pt;height:12.05pt;mso-position-horizontal-relative:page;mso-position-vertical-relative:page;z-index:-21435392" type="#_x0000_t202" id="docshape370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B3A3B"/>
                    <w:w w:val="105"/>
                    <w:sz w:val="18"/>
                  </w:rPr>
                  <w:t>Chapter</w:t>
                </w:r>
                <w:r>
                  <w:rPr>
                    <w:color w:val="3B3A3B"/>
                    <w:spacing w:val="20"/>
                    <w:w w:val="105"/>
                    <w:sz w:val="18"/>
                  </w:rPr>
                  <w:t> </w:t>
                </w:r>
                <w:r>
                  <w:rPr>
                    <w:color w:val="3B3A3B"/>
                    <w:w w:val="105"/>
                    <w:sz w:val="18"/>
                  </w:rPr>
                  <w:t>Nine </w:t>
                </w:r>
                <w:r>
                  <w:rPr>
                    <w:color w:val="3B3A3B"/>
                    <w:spacing w:val="24"/>
                    <w:w w:val="105"/>
                    <w:sz w:val="18"/>
                  </w:rPr>
                  <w:t> </w:t>
                </w:r>
                <w:r>
                  <w:rPr>
                    <w:color w:val="3B3A3B"/>
                    <w:w w:val="105"/>
                    <w:sz w:val="18"/>
                  </w:rPr>
                  <w:t>Special</w:t>
                </w:r>
                <w:r>
                  <w:rPr>
                    <w:color w:val="3B3A3B"/>
                    <w:spacing w:val="-4"/>
                    <w:w w:val="105"/>
                    <w:sz w:val="18"/>
                  </w:rPr>
                  <w:t> </w:t>
                </w:r>
                <w:r>
                  <w:rPr>
                    <w:color w:val="3B3A3B"/>
                    <w:w w:val="105"/>
                    <w:sz w:val="18"/>
                  </w:rPr>
                  <w:t>Teams:</w:t>
                </w:r>
                <w:r>
                  <w:rPr>
                    <w:color w:val="3B3A3B"/>
                    <w:spacing w:val="-8"/>
                    <w:w w:val="105"/>
                    <w:sz w:val="18"/>
                  </w:rPr>
                  <w:t> </w:t>
                </w:r>
                <w:r>
                  <w:rPr>
                    <w:color w:val="3B3A3B"/>
                    <w:w w:val="105"/>
                    <w:sz w:val="18"/>
                  </w:rPr>
                  <w:t>Issue</w:t>
                </w:r>
                <w:r>
                  <w:rPr>
                    <w:color w:val="3B3A3B"/>
                    <w:spacing w:val="-15"/>
                    <w:w w:val="105"/>
                    <w:sz w:val="18"/>
                  </w:rPr>
                  <w:t> </w:t>
                </w:r>
                <w:r>
                  <w:rPr>
                    <w:color w:val="3B3A3B"/>
                    <w:w w:val="105"/>
                    <w:sz w:val="18"/>
                  </w:rPr>
                  <w:t>Statements,</w:t>
                </w:r>
                <w:r>
                  <w:rPr>
                    <w:color w:val="3B3A3B"/>
                    <w:spacing w:val="5"/>
                    <w:w w:val="105"/>
                    <w:sz w:val="18"/>
                  </w:rPr>
                  <w:t> </w:t>
                </w:r>
                <w:r>
                  <w:rPr>
                    <w:color w:val="3B3A3B"/>
                    <w:w w:val="105"/>
                    <w:sz w:val="18"/>
                  </w:rPr>
                  <w:t>Statement</w:t>
                </w:r>
                <w:r>
                  <w:rPr>
                    <w:color w:val="3B3A3B"/>
                    <w:spacing w:val="-8"/>
                    <w:w w:val="105"/>
                    <w:sz w:val="18"/>
                  </w:rPr>
                  <w:t> </w:t>
                </w:r>
                <w:r>
                  <w:rPr>
                    <w:color w:val="3B3A3B"/>
                    <w:w w:val="105"/>
                    <w:sz w:val="18"/>
                  </w:rPr>
                  <w:t>of</w:t>
                </w:r>
                <w:r>
                  <w:rPr>
                    <w:color w:val="3B3A3B"/>
                    <w:spacing w:val="15"/>
                    <w:w w:val="105"/>
                    <w:sz w:val="18"/>
                  </w:rPr>
                  <w:t> </w:t>
                </w:r>
                <w:r>
                  <w:rPr>
                    <w:color w:val="3B3A3B"/>
                    <w:w w:val="105"/>
                    <w:sz w:val="18"/>
                  </w:rPr>
                  <w:t>the</w:t>
                </w:r>
                <w:r>
                  <w:rPr>
                    <w:color w:val="3B3A3B"/>
                    <w:spacing w:val="20"/>
                    <w:w w:val="105"/>
                    <w:sz w:val="18"/>
                  </w:rPr>
                  <w:t> </w:t>
                </w:r>
                <w:r>
                  <w:rPr>
                    <w:color w:val="3B3A3B"/>
                    <w:w w:val="105"/>
                    <w:sz w:val="18"/>
                  </w:rPr>
                  <w:t>Case</w:t>
                </w:r>
              </w:p>
            </w:txbxContent>
          </v:textbox>
          <w10:wrap type="none"/>
        </v:shape>
      </w:pict>
    </w: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9.612091pt;margin-top:28.907516pt;width:170.6pt;height:12.65pt;mso-position-horizontal-relative:page;mso-position-vertical-relative:page;z-index:-21434880" type="#_x0000_t202" id="docshape371" filled="false" stroked="false">
          <v:textbox inset="0,0,0,0">
            <w:txbxContent>
              <w:p>
                <w:pPr>
                  <w:tabs>
                    <w:tab w:pos="3331" w:val="right" w:leader="none"/>
                  </w:tabs>
                  <w:spacing w:before="14"/>
                  <w:ind w:left="20" w:right="0" w:firstLine="0"/>
                  <w:jc w:val="left"/>
                  <w:rPr>
                    <w:rFonts w:ascii="Arial"/>
                    <w:sz w:val="19"/>
                  </w:rPr>
                </w:pPr>
                <w:r>
                  <w:rPr>
                    <w:rFonts w:ascii="Arial"/>
                    <w:color w:val="383638"/>
                    <w:w w:val="105"/>
                    <w:sz w:val="17"/>
                  </w:rPr>
                  <w:t>9.1 </w:t>
                </w:r>
                <w:r>
                  <w:rPr>
                    <w:rFonts w:ascii="Arial"/>
                    <w:color w:val="383638"/>
                    <w:spacing w:val="11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Writing</w:t>
                </w:r>
                <w:r>
                  <w:rPr>
                    <w:rFonts w:ascii="Arial"/>
                    <w:color w:val="383638"/>
                    <w:spacing w:val="-8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the</w:t>
                </w:r>
                <w:r>
                  <w:rPr>
                    <w:rFonts w:ascii="Arial"/>
                    <w:color w:val="383638"/>
                    <w:spacing w:val="-10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Issue</w:t>
                </w:r>
                <w:r>
                  <w:rPr>
                    <w:rFonts w:ascii="Arial"/>
                    <w:color w:val="383638"/>
                    <w:spacing w:val="-7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Statement</w:t>
                  <w:tab/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383638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765541pt;margin-top:23.606873pt;width:23.9pt;height:12.65pt;mso-position-horizontal-relative:page;mso-position-vertical-relative:page;z-index:-21434368" type="#_x0000_t202" id="docshape37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8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2.819901pt;margin-top:23.74184pt;width:277.2pt;height:12.6pt;mso-position-horizontal-relative:page;mso-position-vertical-relative:page;z-index:-21433856" type="#_x0000_t202" id="docshape373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83638"/>
                    <w:sz w:val="19"/>
                  </w:rPr>
                  <w:t>Chapter</w:t>
                </w:r>
                <w:r>
                  <w:rPr>
                    <w:color w:val="383638"/>
                    <w:spacing w:val="12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Nine</w:t>
                </w:r>
                <w:r>
                  <w:rPr>
                    <w:color w:val="383638"/>
                    <w:spacing w:val="75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Special</w:t>
                </w:r>
                <w:r>
                  <w:rPr>
                    <w:color w:val="383638"/>
                    <w:spacing w:val="-6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Teams:</w:t>
                </w:r>
                <w:r>
                  <w:rPr>
                    <w:color w:val="383638"/>
                    <w:spacing w:val="-6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Issue</w:t>
                </w:r>
                <w:r>
                  <w:rPr>
                    <w:color w:val="383638"/>
                    <w:spacing w:val="-13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Statements,</w:t>
                </w:r>
                <w:r>
                  <w:rPr>
                    <w:color w:val="383638"/>
                    <w:spacing w:val="10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Statement</w:t>
                </w:r>
                <w:r>
                  <w:rPr>
                    <w:color w:val="383638"/>
                    <w:spacing w:val="-5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of</w:t>
                </w:r>
                <w:r>
                  <w:rPr>
                    <w:color w:val="383638"/>
                    <w:spacing w:val="8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the</w:t>
                </w:r>
                <w:r>
                  <w:rPr>
                    <w:color w:val="383638"/>
                    <w:spacing w:val="21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Case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04.133499pt;margin-top:24.026789pt;width:109.45pt;height:11.55pt;mso-position-horizontal-relative:page;mso-position-vertical-relative:page;z-index:-21601280" type="#_x0000_t202" id="docshape21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6"/>
                    <w:w w:val="105"/>
                    <w:sz w:val="17"/>
                  </w:rPr>
                  <w:t>Chapter</w:t>
                </w:r>
                <w:r>
                  <w:rPr>
                    <w:rFonts w:ascii="Arial"/>
                    <w:color w:val="383636"/>
                    <w:spacing w:val="-6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One  </w:t>
                </w:r>
                <w:r>
                  <w:rPr>
                    <w:rFonts w:ascii="Arial"/>
                    <w:color w:val="383636"/>
                    <w:spacing w:val="24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Introduction</w:t>
                </w:r>
              </w:p>
            </w:txbxContent>
          </v:textbox>
          <w10:wrap type="none"/>
        </v:shape>
      </w:pict>
    </w: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4.545593pt;margin-top:32.410542pt;width:111.35pt;height:12.6pt;mso-position-horizontal-relative:page;mso-position-vertical-relative:page;z-index:-21433344" type="#_x0000_t202" id="docshape374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83638"/>
                    <w:w w:val="105"/>
                    <w:sz w:val="19"/>
                  </w:rPr>
                  <w:t>9.2Statements</w:t>
                </w:r>
                <w:r>
                  <w:rPr>
                    <w:color w:val="383638"/>
                    <w:spacing w:val="-1"/>
                    <w:w w:val="105"/>
                    <w:sz w:val="19"/>
                  </w:rPr>
                  <w:t> </w:t>
                </w:r>
                <w:r>
                  <w:rPr>
                    <w:color w:val="383638"/>
                    <w:w w:val="105"/>
                    <w:sz w:val="19"/>
                  </w:rPr>
                  <w:t>of</w:t>
                </w:r>
                <w:r>
                  <w:rPr>
                    <w:color w:val="383638"/>
                    <w:spacing w:val="34"/>
                    <w:w w:val="105"/>
                    <w:sz w:val="19"/>
                  </w:rPr>
                  <w:t> </w:t>
                </w:r>
                <w:r>
                  <w:rPr>
                    <w:color w:val="383638"/>
                    <w:w w:val="105"/>
                    <w:sz w:val="19"/>
                  </w:rPr>
                  <w:t>the </w:t>
                </w:r>
                <w:r>
                  <w:rPr>
                    <w:color w:val="383638"/>
                    <w:spacing w:val="1"/>
                    <w:w w:val="105"/>
                    <w:sz w:val="19"/>
                  </w:rPr>
                  <w:t> </w:t>
                </w:r>
                <w:r>
                  <w:rPr>
                    <w:color w:val="383638"/>
                    <w:w w:val="105"/>
                    <w:sz w:val="19"/>
                  </w:rPr>
                  <w:t>Case</w:t>
                </w:r>
              </w:p>
            </w:txbxContent>
          </v:textbox>
          <w10:wrap type="none"/>
        </v:shape>
      </w:pict>
    </w:r>
    <w:r>
      <w:rPr/>
      <w:pict>
        <v:shape style="position:absolute;margin-left:412.841797pt;margin-top:32.27557pt;width:24.35pt;height:12.65pt;mso-position-horizontal-relative:page;mso-position-vertical-relative:page;z-index:-21432832" type="#_x0000_t202" id="docshape375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8"/>
                    <w:w w:val="11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5.2407pt;margin-top:27.118666pt;width:23.75pt;height:12.6pt;mso-position-horizontal-relative:page;mso-position-vertical-relative:page;z-index:-21432320" type="#_x0000_t202" id="docshape376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B383A"/>
                    <w:w w:val="12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3.780998pt;margin-top:27.565798pt;width:277.6pt;height:12.05pt;mso-position-horizontal-relative:page;mso-position-vertical-relative:page;z-index:-21431808" type="#_x0000_t202" id="docshape377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B383A"/>
                    <w:w w:val="105"/>
                    <w:sz w:val="18"/>
                  </w:rPr>
                  <w:t>Chapter</w:t>
                </w:r>
                <w:r>
                  <w:rPr>
                    <w:color w:val="3B383A"/>
                    <w:spacing w:val="14"/>
                    <w:w w:val="105"/>
                    <w:sz w:val="18"/>
                  </w:rPr>
                  <w:t> </w:t>
                </w:r>
                <w:r>
                  <w:rPr>
                    <w:color w:val="3B383A"/>
                    <w:w w:val="105"/>
                    <w:sz w:val="18"/>
                  </w:rPr>
                  <w:t>Nine  </w:t>
                </w:r>
                <w:r>
                  <w:rPr>
                    <w:color w:val="3B383A"/>
                    <w:spacing w:val="1"/>
                    <w:w w:val="105"/>
                    <w:sz w:val="18"/>
                  </w:rPr>
                  <w:t> </w:t>
                </w:r>
                <w:r>
                  <w:rPr>
                    <w:color w:val="3B383A"/>
                    <w:w w:val="105"/>
                    <w:sz w:val="18"/>
                  </w:rPr>
                  <w:t>Special</w:t>
                </w:r>
                <w:r>
                  <w:rPr>
                    <w:color w:val="3B383A"/>
                    <w:spacing w:val="-1"/>
                    <w:w w:val="105"/>
                    <w:sz w:val="18"/>
                  </w:rPr>
                  <w:t> </w:t>
                </w:r>
                <w:r>
                  <w:rPr>
                    <w:color w:val="3B383A"/>
                    <w:w w:val="105"/>
                    <w:sz w:val="18"/>
                  </w:rPr>
                  <w:t>Teams:</w:t>
                </w:r>
                <w:r>
                  <w:rPr>
                    <w:color w:val="3B383A"/>
                    <w:spacing w:val="-7"/>
                    <w:w w:val="105"/>
                    <w:sz w:val="18"/>
                  </w:rPr>
                  <w:t> </w:t>
                </w:r>
                <w:r>
                  <w:rPr>
                    <w:color w:val="3B383A"/>
                    <w:w w:val="105"/>
                    <w:sz w:val="18"/>
                  </w:rPr>
                  <w:t>Issue</w:t>
                </w:r>
                <w:r>
                  <w:rPr>
                    <w:color w:val="3B383A"/>
                    <w:spacing w:val="-3"/>
                    <w:w w:val="105"/>
                    <w:sz w:val="18"/>
                  </w:rPr>
                  <w:t> </w:t>
                </w:r>
                <w:r>
                  <w:rPr>
                    <w:color w:val="3B383A"/>
                    <w:w w:val="105"/>
                    <w:sz w:val="18"/>
                  </w:rPr>
                  <w:t>Statements,</w:t>
                </w:r>
                <w:r>
                  <w:rPr>
                    <w:color w:val="3B383A"/>
                    <w:spacing w:val="-1"/>
                    <w:w w:val="105"/>
                    <w:sz w:val="18"/>
                  </w:rPr>
                  <w:t> </w:t>
                </w:r>
                <w:r>
                  <w:rPr>
                    <w:color w:val="3B383A"/>
                    <w:w w:val="105"/>
                    <w:sz w:val="18"/>
                  </w:rPr>
                  <w:t>Statement</w:t>
                </w:r>
                <w:r>
                  <w:rPr>
                    <w:color w:val="3B383A"/>
                    <w:spacing w:val="-12"/>
                    <w:w w:val="105"/>
                    <w:sz w:val="18"/>
                  </w:rPr>
                  <w:t> </w:t>
                </w:r>
                <w:r>
                  <w:rPr>
                    <w:color w:val="3B383A"/>
                    <w:w w:val="105"/>
                    <w:sz w:val="18"/>
                  </w:rPr>
                  <w:t>of</w:t>
                </w:r>
                <w:r>
                  <w:rPr>
                    <w:color w:val="3B383A"/>
                    <w:spacing w:val="20"/>
                    <w:w w:val="105"/>
                    <w:sz w:val="18"/>
                  </w:rPr>
                  <w:t> </w:t>
                </w:r>
                <w:r>
                  <w:rPr>
                    <w:color w:val="3B383A"/>
                    <w:w w:val="105"/>
                    <w:sz w:val="18"/>
                  </w:rPr>
                  <w:t>the</w:t>
                </w:r>
                <w:r>
                  <w:rPr>
                    <w:color w:val="3B383A"/>
                    <w:spacing w:val="24"/>
                    <w:w w:val="105"/>
                    <w:sz w:val="18"/>
                  </w:rPr>
                  <w:t> </w:t>
                </w:r>
                <w:r>
                  <w:rPr>
                    <w:color w:val="3B383A"/>
                    <w:w w:val="105"/>
                    <w:sz w:val="18"/>
                  </w:rPr>
                  <w:t>Case</w:t>
                </w:r>
              </w:p>
            </w:txbxContent>
          </v:textbox>
          <w10:wrap type="none"/>
        </v:shape>
      </w:pict>
    </w: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7"/>
      </w:rPr>
    </w:pPr>
    <w:r>
      <w:rPr/>
      <w:pict>
        <v:shape style="position:absolute;margin-left:279.829315pt;margin-top:21.441435pt;width:111.55pt;height:13.15pt;mso-position-horizontal-relative:page;mso-position-vertical-relative:page;z-index:-21431296" type="#_x0000_t202" id="docshape378" filled="false" stroked="false">
          <v:textbox inset="0,0,0,0">
            <w:txbxContent>
              <w:p>
                <w:pPr>
                  <w:tabs>
                    <w:tab w:pos="363" w:val="left" w:leader="none"/>
                  </w:tabs>
                  <w:spacing w:before="12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color w:val="3A383A"/>
                    <w:w w:val="95"/>
                    <w:sz w:val="17"/>
                  </w:rPr>
                  <w:t>9.2</w:t>
                  <w:tab/>
                </w:r>
                <w:r>
                  <w:rPr>
                    <w:color w:val="3A383A"/>
                    <w:w w:val="110"/>
                    <w:sz w:val="17"/>
                  </w:rPr>
                  <w:t>Statements</w:t>
                </w:r>
                <w:r>
                  <w:rPr>
                    <w:color w:val="3A383A"/>
                    <w:spacing w:val="-4"/>
                    <w:w w:val="110"/>
                    <w:sz w:val="17"/>
                  </w:rPr>
                  <w:t> </w:t>
                </w:r>
                <w:r>
                  <w:rPr>
                    <w:color w:val="3A383A"/>
                    <w:w w:val="110"/>
                    <w:sz w:val="17"/>
                  </w:rPr>
                  <w:t>of</w:t>
                </w:r>
                <w:r>
                  <w:rPr>
                    <w:color w:val="3A383A"/>
                    <w:spacing w:val="-2"/>
                    <w:w w:val="110"/>
                    <w:sz w:val="17"/>
                  </w:rPr>
                  <w:t> </w:t>
                </w:r>
                <w:r>
                  <w:rPr>
                    <w:color w:val="3A383A"/>
                    <w:w w:val="110"/>
                    <w:sz w:val="17"/>
                  </w:rPr>
                  <w:t>the</w:t>
                </w:r>
                <w:r>
                  <w:rPr>
                    <w:color w:val="3A383A"/>
                    <w:spacing w:val="30"/>
                    <w:w w:val="110"/>
                    <w:sz w:val="17"/>
                  </w:rPr>
                  <w:t> </w:t>
                </w:r>
                <w:r>
                  <w:rPr>
                    <w:b/>
                    <w:color w:val="3A383A"/>
                    <w:w w:val="110"/>
                    <w:sz w:val="20"/>
                  </w:rPr>
                  <w:t>Case</w:t>
                </w:r>
              </w:p>
            </w:txbxContent>
          </v:textbox>
          <w10:wrap type="none"/>
        </v:shape>
      </w:pict>
    </w:r>
    <w:r>
      <w:rPr/>
      <w:pict>
        <v:shape style="position:absolute;margin-left:410.115997pt;margin-top:21.441435pt;width:21.2pt;height:20.2pt;mso-position-horizontal-relative:page;mso-position-vertical-relative:page;z-index:-21430784" type="#_x0000_t202" id="docshape379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A383A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2.962502pt;margin-top:30.040314pt;width:15.15pt;height:13.15pt;mso-position-horizontal-relative:page;mso-position-vertical-relative:page;z-index:-21430272" type="#_x0000_t202" id="docshape380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83638"/>
                    <w:w w:val="6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2.952301pt;margin-top:30.005699pt;width:277.2pt;height:12.6pt;mso-position-horizontal-relative:page;mso-position-vertical-relative:page;z-index:-21429760" type="#_x0000_t202" id="docshape381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83638"/>
                    <w:sz w:val="19"/>
                  </w:rPr>
                  <w:t>Chapter</w:t>
                </w:r>
                <w:r>
                  <w:rPr>
                    <w:color w:val="383638"/>
                    <w:spacing w:val="10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Nine</w:t>
                </w:r>
                <w:r>
                  <w:rPr>
                    <w:color w:val="383638"/>
                    <w:spacing w:val="71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Special</w:t>
                </w:r>
                <w:r>
                  <w:rPr>
                    <w:color w:val="383638"/>
                    <w:spacing w:val="-7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Teams:</w:t>
                </w:r>
                <w:r>
                  <w:rPr>
                    <w:color w:val="383638"/>
                    <w:spacing w:val="-7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Issue</w:t>
                </w:r>
                <w:r>
                  <w:rPr>
                    <w:color w:val="383638"/>
                    <w:spacing w:val="-15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Statements,</w:t>
                </w:r>
                <w:r>
                  <w:rPr>
                    <w:color w:val="383638"/>
                    <w:spacing w:val="9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Statement</w:t>
                </w:r>
                <w:r>
                  <w:rPr>
                    <w:color w:val="383638"/>
                    <w:spacing w:val="4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of</w:t>
                </w:r>
                <w:r>
                  <w:rPr>
                    <w:color w:val="383638"/>
                    <w:spacing w:val="16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the</w:t>
                </w:r>
                <w:r>
                  <w:rPr>
                    <w:color w:val="383638"/>
                    <w:spacing w:val="19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Case</w:t>
                </w:r>
              </w:p>
            </w:txbxContent>
          </v:textbox>
          <w10:wrap type="none"/>
        </v:shape>
      </w:pict>
    </w: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504753pt;margin-top:21.375668pt;width:24.5pt;height:13.15pt;mso-position-horizontal-relative:page;mso-position-vertical-relative:page;z-index:-21429248" type="#_x0000_t202" id="docshape38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B3A3B"/>
                    <w:w w:val="11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1.025398pt;margin-top:22.270039pt;width:277.25pt;height:12.05pt;mso-position-horizontal-relative:page;mso-position-vertical-relative:page;z-index:-21428736" type="#_x0000_t202" id="docshape383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B3A3B"/>
                    <w:w w:val="105"/>
                    <w:sz w:val="18"/>
                  </w:rPr>
                  <w:t>Chapter</w:t>
                </w:r>
                <w:r>
                  <w:rPr>
                    <w:color w:val="3B3A3B"/>
                    <w:spacing w:val="10"/>
                    <w:w w:val="105"/>
                    <w:sz w:val="18"/>
                  </w:rPr>
                  <w:t> </w:t>
                </w:r>
                <w:r>
                  <w:rPr>
                    <w:color w:val="3B3A3B"/>
                    <w:w w:val="105"/>
                    <w:sz w:val="18"/>
                  </w:rPr>
                  <w:t>Nine </w:t>
                </w:r>
                <w:r>
                  <w:rPr>
                    <w:color w:val="3B3A3B"/>
                    <w:spacing w:val="37"/>
                    <w:w w:val="105"/>
                    <w:sz w:val="18"/>
                  </w:rPr>
                  <w:t> </w:t>
                </w:r>
                <w:r>
                  <w:rPr>
                    <w:color w:val="3B3A3B"/>
                    <w:w w:val="105"/>
                    <w:sz w:val="18"/>
                  </w:rPr>
                  <w:t>Special</w:t>
                </w:r>
                <w:r>
                  <w:rPr>
                    <w:color w:val="3B3A3B"/>
                    <w:spacing w:val="-8"/>
                    <w:w w:val="105"/>
                    <w:sz w:val="18"/>
                  </w:rPr>
                  <w:t> </w:t>
                </w:r>
                <w:r>
                  <w:rPr>
                    <w:color w:val="3B3A3B"/>
                    <w:w w:val="105"/>
                    <w:sz w:val="18"/>
                  </w:rPr>
                  <w:t>Teams:</w:t>
                </w:r>
                <w:r>
                  <w:rPr>
                    <w:color w:val="3B3A3B"/>
                    <w:spacing w:val="3"/>
                    <w:w w:val="105"/>
                    <w:sz w:val="18"/>
                  </w:rPr>
                  <w:t> </w:t>
                </w:r>
                <w:r>
                  <w:rPr>
                    <w:color w:val="3B3A3B"/>
                    <w:w w:val="105"/>
                    <w:sz w:val="18"/>
                  </w:rPr>
                  <w:t>Issue</w:t>
                </w:r>
                <w:r>
                  <w:rPr>
                    <w:color w:val="3B3A3B"/>
                    <w:spacing w:val="-4"/>
                    <w:w w:val="105"/>
                    <w:sz w:val="18"/>
                  </w:rPr>
                  <w:t> </w:t>
                </w:r>
                <w:r>
                  <w:rPr>
                    <w:color w:val="3B3A3B"/>
                    <w:w w:val="105"/>
                    <w:sz w:val="18"/>
                  </w:rPr>
                  <w:t>Statements,</w:t>
                </w:r>
                <w:r>
                  <w:rPr>
                    <w:color w:val="3B3A3B"/>
                    <w:spacing w:val="-5"/>
                    <w:w w:val="105"/>
                    <w:sz w:val="18"/>
                  </w:rPr>
                  <w:t> </w:t>
                </w:r>
                <w:r>
                  <w:rPr>
                    <w:color w:val="3B3A3B"/>
                    <w:w w:val="105"/>
                    <w:sz w:val="18"/>
                  </w:rPr>
                  <w:t>Statement</w:t>
                </w:r>
                <w:r>
                  <w:rPr>
                    <w:color w:val="3B3A3B"/>
                    <w:spacing w:val="-2"/>
                    <w:w w:val="105"/>
                    <w:sz w:val="18"/>
                  </w:rPr>
                  <w:t> </w:t>
                </w:r>
                <w:r>
                  <w:rPr>
                    <w:color w:val="3B3A3B"/>
                    <w:w w:val="105"/>
                    <w:sz w:val="18"/>
                  </w:rPr>
                  <w:t>of</w:t>
                </w:r>
                <w:r>
                  <w:rPr>
                    <w:color w:val="3B3A3B"/>
                    <w:spacing w:val="15"/>
                    <w:w w:val="105"/>
                    <w:sz w:val="18"/>
                  </w:rPr>
                  <w:t> </w:t>
                </w:r>
                <w:r>
                  <w:rPr>
                    <w:color w:val="3B3A3B"/>
                    <w:w w:val="105"/>
                    <w:sz w:val="18"/>
                  </w:rPr>
                  <w:t>the</w:t>
                </w:r>
                <w:r>
                  <w:rPr>
                    <w:color w:val="3B3A3B"/>
                    <w:spacing w:val="34"/>
                    <w:w w:val="105"/>
                    <w:sz w:val="18"/>
                  </w:rPr>
                  <w:t> </w:t>
                </w:r>
                <w:r>
                  <w:rPr>
                    <w:color w:val="3B3A3B"/>
                    <w:w w:val="105"/>
                    <w:sz w:val="18"/>
                  </w:rPr>
                  <w:t>Case</w:t>
                </w:r>
              </w:p>
            </w:txbxContent>
          </v:textbox>
          <w10:wrap type="none"/>
        </v:shape>
      </w:pict>
    </w: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8.824585pt;margin-top:30.976152pt;width:111.85pt;height:12.6pt;mso-position-horizontal-relative:page;mso-position-vertical-relative:page;z-index:-21428224" type="#_x0000_t202" id="docshape384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A3838"/>
                    <w:w w:val="105"/>
                    <w:sz w:val="19"/>
                  </w:rPr>
                  <w:t>9.2</w:t>
                </w:r>
                <w:r>
                  <w:rPr>
                    <w:color w:val="3A3838"/>
                    <w:spacing w:val="27"/>
                    <w:w w:val="105"/>
                    <w:sz w:val="19"/>
                  </w:rPr>
                  <w:t> </w:t>
                </w:r>
                <w:r>
                  <w:rPr>
                    <w:color w:val="3A3838"/>
                    <w:w w:val="105"/>
                    <w:sz w:val="19"/>
                  </w:rPr>
                  <w:t>Statements</w:t>
                </w:r>
                <w:r>
                  <w:rPr>
                    <w:color w:val="3A3838"/>
                    <w:spacing w:val="-8"/>
                    <w:w w:val="105"/>
                    <w:sz w:val="19"/>
                  </w:rPr>
                  <w:t> </w:t>
                </w:r>
                <w:r>
                  <w:rPr>
                    <w:color w:val="3A3838"/>
                    <w:w w:val="105"/>
                    <w:sz w:val="19"/>
                  </w:rPr>
                  <w:t>of</w:t>
                </w:r>
                <w:r>
                  <w:rPr>
                    <w:color w:val="3A3838"/>
                    <w:spacing w:val="9"/>
                    <w:w w:val="105"/>
                    <w:sz w:val="19"/>
                  </w:rPr>
                  <w:t> </w:t>
                </w:r>
                <w:r>
                  <w:rPr>
                    <w:color w:val="3A3838"/>
                    <w:w w:val="105"/>
                    <w:sz w:val="19"/>
                  </w:rPr>
                  <w:t>the</w:t>
                </w:r>
                <w:r>
                  <w:rPr>
                    <w:color w:val="3A3838"/>
                    <w:spacing w:val="31"/>
                    <w:w w:val="105"/>
                    <w:sz w:val="19"/>
                  </w:rPr>
                  <w:t> </w:t>
                </w:r>
                <w:r>
                  <w:rPr>
                    <w:color w:val="3A3838"/>
                    <w:w w:val="105"/>
                    <w:sz w:val="19"/>
                  </w:rPr>
                  <w:t>Case</w:t>
                </w:r>
              </w:p>
            </w:txbxContent>
          </v:textbox>
          <w10:wrap type="none"/>
        </v:shape>
      </w:pict>
    </w:r>
    <w:r>
      <w:rPr/>
      <w:pict>
        <v:shape style="position:absolute;margin-left:407.18161pt;margin-top:30.528967pt;width:23pt;height:13.15pt;mso-position-horizontal-relative:page;mso-position-vertical-relative:page;z-index:-21427712" type="#_x0000_t202" id="docshape385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A3838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173279pt;margin-top:25.185047pt;width:23.6pt;height:12.6pt;mso-position-horizontal-relative:page;mso-position-vertical-relative:page;z-index:-21427200" type="#_x0000_t202" id="docshape386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color w:val="383638"/>
                    <w:w w:val="11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6.6175pt;margin-top:25.185047pt;width:278.5pt;height:12.6pt;mso-position-horizontal-relative:page;mso-position-vertical-relative:page;z-index:-21426688" type="#_x0000_t202" id="docshape387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83638"/>
                    <w:sz w:val="19"/>
                  </w:rPr>
                  <w:t>Chapter</w:t>
                </w:r>
                <w:r>
                  <w:rPr>
                    <w:color w:val="383638"/>
                    <w:spacing w:val="12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Nine</w:t>
                </w:r>
                <w:r>
                  <w:rPr>
                    <w:color w:val="383638"/>
                    <w:spacing w:val="85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Special</w:t>
                </w:r>
                <w:r>
                  <w:rPr>
                    <w:color w:val="383638"/>
                    <w:spacing w:val="-7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Teams:</w:t>
                </w:r>
                <w:r>
                  <w:rPr>
                    <w:color w:val="383638"/>
                    <w:spacing w:val="-6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Issue</w:t>
                </w:r>
                <w:r>
                  <w:rPr>
                    <w:color w:val="383638"/>
                    <w:spacing w:val="-14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Statements,</w:t>
                </w:r>
                <w:r>
                  <w:rPr>
                    <w:color w:val="383638"/>
                    <w:spacing w:val="10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Statement</w:t>
                </w:r>
                <w:r>
                  <w:rPr>
                    <w:color w:val="383638"/>
                    <w:spacing w:val="6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of</w:t>
                </w:r>
                <w:r>
                  <w:rPr>
                    <w:color w:val="383638"/>
                    <w:spacing w:val="7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the</w:t>
                </w:r>
                <w:r>
                  <w:rPr>
                    <w:color w:val="383638"/>
                    <w:spacing w:val="31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Case</w:t>
                </w:r>
              </w:p>
            </w:txbxContent>
          </v:textbox>
          <w10:wrap type="none"/>
        </v:shape>
      </w:pict>
    </w: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8.164398pt;margin-top:23.774834pt;width:152.35pt;height:13.15pt;mso-position-horizontal-relative:page;mso-position-vertical-relative:page;z-index:-21426176" type="#_x0000_t202" id="docshape388" filled="false" stroked="false">
          <v:textbox inset="0,0,0,0">
            <w:txbxContent>
              <w:p>
                <w:pPr>
                  <w:tabs>
                    <w:tab w:pos="2966" w:val="right" w:leader="none"/>
                  </w:tabs>
                  <w:spacing w:before="12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color w:val="3A383A"/>
                    <w:w w:val="105"/>
                    <w:sz w:val="19"/>
                  </w:rPr>
                  <w:t>9.2</w:t>
                </w:r>
                <w:r>
                  <w:rPr>
                    <w:color w:val="3A383A"/>
                    <w:spacing w:val="39"/>
                    <w:w w:val="105"/>
                    <w:sz w:val="19"/>
                  </w:rPr>
                  <w:t> </w:t>
                </w:r>
                <w:r>
                  <w:rPr>
                    <w:color w:val="3A383A"/>
                    <w:w w:val="105"/>
                    <w:sz w:val="19"/>
                  </w:rPr>
                  <w:t>Statements</w:t>
                </w:r>
                <w:r>
                  <w:rPr>
                    <w:color w:val="3A383A"/>
                    <w:spacing w:val="-23"/>
                    <w:w w:val="105"/>
                    <w:sz w:val="19"/>
                  </w:rPr>
                  <w:t> </w:t>
                </w:r>
                <w:r>
                  <w:rPr>
                    <w:color w:val="3A383A"/>
                    <w:w w:val="105"/>
                    <w:sz w:val="19"/>
                  </w:rPr>
                  <w:t>of</w:t>
                </w:r>
                <w:r>
                  <w:rPr>
                    <w:color w:val="3A383A"/>
                    <w:spacing w:val="21"/>
                    <w:w w:val="105"/>
                    <w:sz w:val="19"/>
                  </w:rPr>
                  <w:t> </w:t>
                </w:r>
                <w:r>
                  <w:rPr>
                    <w:color w:val="3A383A"/>
                    <w:w w:val="105"/>
                    <w:sz w:val="19"/>
                  </w:rPr>
                  <w:t>the</w:t>
                </w:r>
                <w:r>
                  <w:rPr>
                    <w:color w:val="3A383A"/>
                    <w:spacing w:val="24"/>
                    <w:w w:val="105"/>
                    <w:sz w:val="19"/>
                  </w:rPr>
                  <w:t> </w:t>
                </w:r>
                <w:r>
                  <w:rPr>
                    <w:color w:val="3A383A"/>
                    <w:w w:val="105"/>
                    <w:sz w:val="19"/>
                  </w:rPr>
                  <w:t>Case</w:t>
                  <w:tab/>
                </w:r>
                <w:r>
                  <w:rPr/>
                  <w:fldChar w:fldCharType="begin"/>
                </w:r>
                <w:r>
                  <w:rPr>
                    <w:b/>
                    <w:color w:val="3A383A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3.450272pt;margin-top:23.270573pt;width:317.6pt;height:12.6pt;mso-position-horizontal-relative:page;mso-position-vertical-relative:page;z-index:-21425664" type="#_x0000_t202" id="docshape389" filled="false" stroked="false">
          <v:textbox inset="0,0,0,0">
            <w:txbxContent>
              <w:p>
                <w:pPr>
                  <w:tabs>
                    <w:tab w:pos="819" w:val="left" w:leader="none"/>
                  </w:tabs>
                  <w:spacing w:before="12"/>
                  <w:ind w:left="60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8"/>
                    <w:w w:val="10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208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383638"/>
                    <w:w w:val="105"/>
                    <w:sz w:val="18"/>
                  </w:rPr>
                  <w:tab/>
                </w:r>
                <w:r>
                  <w:rPr>
                    <w:color w:val="383638"/>
                    <w:sz w:val="19"/>
                  </w:rPr>
                  <w:t>Chapter</w:t>
                </w:r>
                <w:r>
                  <w:rPr>
                    <w:color w:val="383638"/>
                    <w:spacing w:val="12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Nine</w:t>
                </w:r>
                <w:r>
                  <w:rPr>
                    <w:color w:val="383638"/>
                    <w:spacing w:val="74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Special</w:t>
                </w:r>
                <w:r>
                  <w:rPr>
                    <w:color w:val="383638"/>
                    <w:spacing w:val="-6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Teams:</w:t>
                </w:r>
                <w:r>
                  <w:rPr>
                    <w:color w:val="383638"/>
                    <w:spacing w:val="-6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Issue</w:t>
                </w:r>
                <w:r>
                  <w:rPr>
                    <w:color w:val="383638"/>
                    <w:spacing w:val="-5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Statements,</w:t>
                </w:r>
                <w:r>
                  <w:rPr>
                    <w:color w:val="383638"/>
                    <w:spacing w:val="-2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Statement</w:t>
                </w:r>
                <w:r>
                  <w:rPr>
                    <w:color w:val="383638"/>
                    <w:spacing w:val="-1"/>
                    <w:sz w:val="19"/>
                  </w:rPr>
                  <w:t> </w:t>
                </w:r>
                <w:r>
                  <w:rPr>
                    <w:color w:val="383638"/>
                    <w:sz w:val="18"/>
                  </w:rPr>
                  <w:t>of</w:t>
                </w:r>
                <w:r>
                  <w:rPr>
                    <w:color w:val="383638"/>
                    <w:spacing w:val="18"/>
                    <w:sz w:val="18"/>
                  </w:rPr>
                  <w:t> </w:t>
                </w:r>
                <w:r>
                  <w:rPr>
                    <w:color w:val="383638"/>
                    <w:sz w:val="19"/>
                  </w:rPr>
                  <w:t>the</w:t>
                </w:r>
                <w:r>
                  <w:rPr>
                    <w:color w:val="383638"/>
                    <w:spacing w:val="32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Case</w:t>
                </w:r>
              </w:p>
            </w:txbxContent>
          </v:textbox>
          <w10:wrap type="none"/>
        </v:shape>
      </w:pict>
    </w: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580109pt;margin-top:31.438921pt;width:111.35pt;height:12.6pt;mso-position-horizontal-relative:page;mso-position-vertical-relative:page;z-index:-21425152" type="#_x0000_t202" id="docshape390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B383B"/>
                    <w:w w:val="105"/>
                    <w:sz w:val="19"/>
                  </w:rPr>
                  <w:t>9.2</w:t>
                </w:r>
                <w:r>
                  <w:rPr>
                    <w:color w:val="3B383B"/>
                    <w:spacing w:val="28"/>
                    <w:w w:val="105"/>
                    <w:sz w:val="19"/>
                  </w:rPr>
                  <w:t> </w:t>
                </w:r>
                <w:r>
                  <w:rPr>
                    <w:color w:val="3B383B"/>
                    <w:w w:val="105"/>
                    <w:sz w:val="19"/>
                  </w:rPr>
                  <w:t>Statements</w:t>
                </w:r>
                <w:r>
                  <w:rPr>
                    <w:color w:val="3B383B"/>
                    <w:spacing w:val="-8"/>
                    <w:w w:val="105"/>
                    <w:sz w:val="19"/>
                  </w:rPr>
                  <w:t> </w:t>
                </w:r>
                <w:r>
                  <w:rPr>
                    <w:color w:val="3B383B"/>
                    <w:w w:val="105"/>
                    <w:sz w:val="19"/>
                  </w:rPr>
                  <w:t>of</w:t>
                </w:r>
                <w:r>
                  <w:rPr>
                    <w:color w:val="3B383B"/>
                    <w:spacing w:val="8"/>
                    <w:w w:val="105"/>
                    <w:sz w:val="19"/>
                  </w:rPr>
                  <w:t> </w:t>
                </w:r>
                <w:r>
                  <w:rPr>
                    <w:color w:val="3B383B"/>
                    <w:w w:val="105"/>
                    <w:sz w:val="19"/>
                  </w:rPr>
                  <w:t>the</w:t>
                </w:r>
                <w:r>
                  <w:rPr>
                    <w:color w:val="3B383B"/>
                    <w:spacing w:val="20"/>
                    <w:w w:val="105"/>
                    <w:sz w:val="19"/>
                  </w:rPr>
                  <w:t> </w:t>
                </w:r>
                <w:r>
                  <w:rPr>
                    <w:color w:val="3B383B"/>
                    <w:w w:val="105"/>
                    <w:sz w:val="19"/>
                  </w:rPr>
                  <w:t>Case</w:t>
                </w:r>
              </w:p>
            </w:txbxContent>
          </v:textbox>
          <w10:wrap type="none"/>
        </v:shape>
      </w:pict>
    </w:r>
    <w:r>
      <w:rPr/>
      <w:pict>
        <v:shape style="position:absolute;margin-left:409.4216pt;margin-top:30.991999pt;width:23pt;height:13.15pt;mso-position-horizontal-relative:page;mso-position-vertical-relative:page;z-index:-21424640" type="#_x0000_t202" id="docshape391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3B383B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176697pt;margin-top:25.158688pt;width:101.25pt;height:12.05pt;mso-position-horizontal-relative:page;mso-position-vertical-relative:page;z-index:-21600768" type="#_x0000_t202" id="docshape2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color w:val="3B3A3B"/>
                    <w:sz w:val="16"/>
                  </w:rPr>
                  <w:t>1.2</w:t>
                </w:r>
                <w:r>
                  <w:rPr>
                    <w:rFonts w:ascii="Arial"/>
                    <w:b/>
                    <w:color w:val="3B3A3B"/>
                    <w:spacing w:val="87"/>
                    <w:sz w:val="16"/>
                  </w:rPr>
                  <w:t> </w:t>
                </w:r>
                <w:r>
                  <w:rPr>
                    <w:rFonts w:ascii="Arial"/>
                    <w:b/>
                    <w:color w:val="3B3A3B"/>
                    <w:sz w:val="16"/>
                  </w:rPr>
                  <w:t>Know </w:t>
                </w:r>
                <w:r>
                  <w:rPr>
                    <w:color w:val="3B3A3B"/>
                    <w:sz w:val="18"/>
                  </w:rPr>
                  <w:t>Your</w:t>
                </w:r>
                <w:r>
                  <w:rPr>
                    <w:color w:val="3B3A3B"/>
                    <w:spacing w:val="-3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3B3A3B"/>
                    <w:sz w:val="16"/>
                  </w:rPr>
                  <w:t>Audience</w:t>
                </w:r>
              </w:p>
            </w:txbxContent>
          </v:textbox>
          <w10:wrap type="none"/>
        </v:shape>
      </w:pict>
    </w:r>
    <w:r>
      <w:rPr/>
      <w:pict>
        <v:shape style="position:absolute;margin-left:432.427887pt;margin-top:24.576521pt;width:8.2pt;height:12.7pt;mso-position-horizontal-relative:page;mso-position-vertical-relative:page;z-index:-21600256" type="#_x0000_t202" id="docshape23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i/>
                    <w:sz w:val="19"/>
                  </w:rPr>
                </w:pPr>
                <w:r>
                  <w:rPr>
                    <w:rFonts w:ascii="Arial"/>
                    <w:b/>
                    <w:i/>
                    <w:color w:val="3B3A3B"/>
                    <w:w w:val="97"/>
                    <w:sz w:val="19"/>
                  </w:rPr>
                  <w:t>S</w:t>
                </w:r>
              </w:p>
            </w:txbxContent>
          </v:textbox>
          <w10:wrap type="none"/>
        </v:shape>
      </w:pict>
    </w: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5.268227pt;margin-top:25.0364pt;width:24.05pt;height:12.1pt;mso-position-horizontal-relative:page;mso-position-vertical-relative:page;z-index:-21424128" type="#_x0000_t202" id="docshape39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B383A"/>
                    <w:w w:val="11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4.764801pt;margin-top:24.717077pt;width:276.75pt;height:12.6pt;mso-position-horizontal-relative:page;mso-position-vertical-relative:page;z-index:-21423616" type="#_x0000_t202" id="docshape393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B383A"/>
                    <w:sz w:val="19"/>
                  </w:rPr>
                  <w:t>Chapter</w:t>
                </w:r>
                <w:r>
                  <w:rPr>
                    <w:color w:val="3B383A"/>
                    <w:spacing w:val="9"/>
                    <w:sz w:val="19"/>
                  </w:rPr>
                  <w:t> </w:t>
                </w:r>
                <w:r>
                  <w:rPr>
                    <w:color w:val="3B383A"/>
                    <w:sz w:val="19"/>
                  </w:rPr>
                  <w:t>Nine</w:t>
                </w:r>
                <w:r>
                  <w:rPr>
                    <w:color w:val="3B383A"/>
                    <w:spacing w:val="66"/>
                    <w:sz w:val="19"/>
                  </w:rPr>
                  <w:t> </w:t>
                </w:r>
                <w:r>
                  <w:rPr>
                    <w:color w:val="3B383A"/>
                    <w:sz w:val="19"/>
                  </w:rPr>
                  <w:t>Spe</w:t>
                </w:r>
                <w:r>
                  <w:rPr>
                    <w:color w:val="545456"/>
                    <w:sz w:val="19"/>
                  </w:rPr>
                  <w:t>ci</w:t>
                </w:r>
                <w:r>
                  <w:rPr>
                    <w:color w:val="3B383A"/>
                    <w:sz w:val="19"/>
                  </w:rPr>
                  <w:t>al</w:t>
                </w:r>
                <w:r>
                  <w:rPr>
                    <w:color w:val="3B383A"/>
                    <w:spacing w:val="-27"/>
                    <w:sz w:val="19"/>
                  </w:rPr>
                  <w:t> </w:t>
                </w:r>
                <w:r>
                  <w:rPr>
                    <w:color w:val="3B383A"/>
                    <w:sz w:val="19"/>
                  </w:rPr>
                  <w:t>Teams:</w:t>
                </w:r>
                <w:r>
                  <w:rPr>
                    <w:color w:val="3B383A"/>
                    <w:spacing w:val="4"/>
                    <w:sz w:val="19"/>
                  </w:rPr>
                  <w:t> </w:t>
                </w:r>
                <w:r>
                  <w:rPr>
                    <w:color w:val="3B383A"/>
                    <w:sz w:val="19"/>
                  </w:rPr>
                  <w:t>Issue</w:t>
                </w:r>
                <w:r>
                  <w:rPr>
                    <w:color w:val="3B383A"/>
                    <w:spacing w:val="-7"/>
                    <w:sz w:val="19"/>
                  </w:rPr>
                  <w:t> </w:t>
                </w:r>
                <w:r>
                  <w:rPr>
                    <w:color w:val="3B383A"/>
                    <w:sz w:val="19"/>
                  </w:rPr>
                  <w:t>Statements</w:t>
                </w:r>
                <w:r>
                  <w:rPr>
                    <w:color w:val="545456"/>
                    <w:sz w:val="19"/>
                  </w:rPr>
                  <w:t>,</w:t>
                </w:r>
                <w:r>
                  <w:rPr>
                    <w:color w:val="545456"/>
                    <w:spacing w:val="2"/>
                    <w:sz w:val="19"/>
                  </w:rPr>
                  <w:t> </w:t>
                </w:r>
                <w:r>
                  <w:rPr>
                    <w:color w:val="3B383A"/>
                    <w:sz w:val="19"/>
                  </w:rPr>
                  <w:t>Statement</w:t>
                </w:r>
                <w:r>
                  <w:rPr>
                    <w:color w:val="3B383A"/>
                    <w:spacing w:val="4"/>
                    <w:sz w:val="19"/>
                  </w:rPr>
                  <w:t> </w:t>
                </w:r>
                <w:r>
                  <w:rPr>
                    <w:color w:val="3B383A"/>
                    <w:sz w:val="19"/>
                  </w:rPr>
                  <w:t>of</w:t>
                </w:r>
                <w:r>
                  <w:rPr>
                    <w:color w:val="3B383A"/>
                    <w:spacing w:val="14"/>
                    <w:sz w:val="19"/>
                  </w:rPr>
                  <w:t> </w:t>
                </w:r>
                <w:r>
                  <w:rPr>
                    <w:color w:val="3B383A"/>
                    <w:sz w:val="19"/>
                  </w:rPr>
                  <w:t>the</w:t>
                </w:r>
                <w:r>
                  <w:rPr>
                    <w:color w:val="3B383A"/>
                    <w:spacing w:val="33"/>
                    <w:sz w:val="19"/>
                  </w:rPr>
                  <w:t> </w:t>
                </w:r>
                <w:r>
                  <w:rPr>
                    <w:color w:val="3B383A"/>
                    <w:sz w:val="19"/>
                  </w:rPr>
                  <w:t>Case</w:t>
                </w:r>
              </w:p>
            </w:txbxContent>
          </v:textbox>
          <w10:wrap type="none"/>
        </v:shape>
      </w:pict>
    </w: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6828pt;margin-top:28.571577pt;width:111.35pt;height:12.6pt;mso-position-horizontal-relative:page;mso-position-vertical-relative:page;z-index:-21423104" type="#_x0000_t202" id="docshape394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color w:val="383638"/>
                    <w:sz w:val="19"/>
                  </w:rPr>
                  <w:t>9.2</w:t>
                </w:r>
                <w:r>
                  <w:rPr>
                    <w:color w:val="383638"/>
                    <w:spacing w:val="76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Statements</w:t>
                </w:r>
                <w:r>
                  <w:rPr>
                    <w:color w:val="383638"/>
                    <w:spacing w:val="-10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of</w:t>
                </w:r>
                <w:r>
                  <w:rPr>
                    <w:color w:val="383638"/>
                    <w:spacing w:val="6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the</w:t>
                </w:r>
                <w:r>
                  <w:rPr>
                    <w:color w:val="383638"/>
                    <w:spacing w:val="14"/>
                    <w:sz w:val="19"/>
                  </w:rPr>
                  <w:t> </w:t>
                </w:r>
                <w:r>
                  <w:rPr>
                    <w:rFonts w:ascii="Arial"/>
                    <w:b/>
                    <w:color w:val="383638"/>
                    <w:sz w:val="18"/>
                  </w:rPr>
                  <w:t>Case</w:t>
                </w:r>
              </w:p>
            </w:txbxContent>
          </v:textbox>
          <w10:wrap type="none"/>
        </v:shape>
      </w:pict>
    </w:r>
    <w:r>
      <w:rPr/>
      <w:pict>
        <v:shape style="position:absolute;margin-left:411.054993pt;margin-top:28.8909pt;width:20.75pt;height:12.1pt;mso-position-horizontal-relative:page;mso-position-vertical-relative:page;z-index:-21422592" type="#_x0000_t202" id="docshape395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5.715843pt;margin-top:25.6569pt;width:317.55pt;height:12.6pt;mso-position-horizontal-relative:page;mso-position-vertical-relative:page;z-index:-21422080" type="#_x0000_t202" id="docshape396" filled="false" stroked="false">
          <v:textbox inset="0,0,0,0">
            <w:txbxContent>
              <w:p>
                <w:pPr>
                  <w:tabs>
                    <w:tab w:pos="799" w:val="left" w:leader="none"/>
                  </w:tabs>
                  <w:spacing w:before="12"/>
                  <w:ind w:left="60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A383A"/>
                    <w:w w:val="10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212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3A383A"/>
                    <w:w w:val="105"/>
                    <w:sz w:val="18"/>
                  </w:rPr>
                  <w:tab/>
                </w:r>
                <w:r>
                  <w:rPr>
                    <w:color w:val="3A383A"/>
                    <w:sz w:val="19"/>
                  </w:rPr>
                  <w:t>Chapter</w:t>
                </w:r>
                <w:r>
                  <w:rPr>
                    <w:color w:val="3A383A"/>
                    <w:spacing w:val="10"/>
                    <w:sz w:val="19"/>
                  </w:rPr>
                  <w:t> </w:t>
                </w:r>
                <w:r>
                  <w:rPr>
                    <w:color w:val="3A383A"/>
                    <w:sz w:val="19"/>
                  </w:rPr>
                  <w:t>Nine</w:t>
                </w:r>
                <w:r>
                  <w:rPr>
                    <w:color w:val="3A383A"/>
                    <w:spacing w:val="78"/>
                    <w:sz w:val="19"/>
                  </w:rPr>
                  <w:t> </w:t>
                </w:r>
                <w:r>
                  <w:rPr>
                    <w:color w:val="3A383A"/>
                    <w:sz w:val="19"/>
                  </w:rPr>
                  <w:t>Special</w:t>
                </w:r>
                <w:r>
                  <w:rPr>
                    <w:color w:val="3A383A"/>
                    <w:spacing w:val="-8"/>
                    <w:sz w:val="19"/>
                  </w:rPr>
                  <w:t> </w:t>
                </w:r>
                <w:r>
                  <w:rPr>
                    <w:color w:val="3A383A"/>
                    <w:sz w:val="19"/>
                  </w:rPr>
                  <w:t>Teams</w:t>
                </w:r>
                <w:r>
                  <w:rPr>
                    <w:color w:val="5B5B5D"/>
                    <w:sz w:val="19"/>
                  </w:rPr>
                  <w:t>:</w:t>
                </w:r>
                <w:r>
                  <w:rPr>
                    <w:color w:val="5B5B5D"/>
                    <w:spacing w:val="-6"/>
                    <w:sz w:val="19"/>
                  </w:rPr>
                  <w:t> </w:t>
                </w:r>
                <w:r>
                  <w:rPr>
                    <w:color w:val="3A383A"/>
                    <w:sz w:val="19"/>
                  </w:rPr>
                  <w:t>Issue</w:t>
                </w:r>
                <w:r>
                  <w:rPr>
                    <w:color w:val="3A383A"/>
                    <w:spacing w:val="-5"/>
                    <w:sz w:val="19"/>
                  </w:rPr>
                  <w:t> </w:t>
                </w:r>
                <w:r>
                  <w:rPr>
                    <w:color w:val="3A383A"/>
                    <w:sz w:val="19"/>
                  </w:rPr>
                  <w:t>Statements,</w:t>
                </w:r>
                <w:r>
                  <w:rPr>
                    <w:color w:val="3A383A"/>
                    <w:spacing w:val="8"/>
                    <w:sz w:val="19"/>
                  </w:rPr>
                  <w:t> </w:t>
                </w:r>
                <w:r>
                  <w:rPr>
                    <w:color w:val="3A383A"/>
                    <w:sz w:val="19"/>
                  </w:rPr>
                  <w:t>Statement</w:t>
                </w:r>
                <w:r>
                  <w:rPr>
                    <w:color w:val="3A383A"/>
                    <w:spacing w:val="4"/>
                    <w:sz w:val="19"/>
                  </w:rPr>
                  <w:t> </w:t>
                </w:r>
                <w:r>
                  <w:rPr>
                    <w:color w:val="3A383A"/>
                    <w:sz w:val="19"/>
                  </w:rPr>
                  <w:t>of</w:t>
                </w:r>
                <w:r>
                  <w:rPr>
                    <w:color w:val="3A383A"/>
                    <w:spacing w:val="14"/>
                    <w:sz w:val="19"/>
                  </w:rPr>
                  <w:t> </w:t>
                </w:r>
                <w:r>
                  <w:rPr>
                    <w:color w:val="3A383A"/>
                    <w:sz w:val="19"/>
                  </w:rPr>
                  <w:t>the</w:t>
                </w:r>
                <w:r>
                  <w:rPr>
                    <w:color w:val="3A383A"/>
                    <w:spacing w:val="34"/>
                    <w:sz w:val="19"/>
                  </w:rPr>
                  <w:t> </w:t>
                </w:r>
                <w:r>
                  <w:rPr>
                    <w:color w:val="3A383A"/>
                    <w:sz w:val="19"/>
                  </w:rPr>
                  <w:t>Case</w:t>
                </w:r>
              </w:p>
            </w:txbxContent>
          </v:textbox>
          <w10:wrap type="none"/>
        </v:shape>
      </w:pict>
    </w: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676514pt;margin-top:31.93766pt;width:111.35pt;height:12.6pt;mso-position-horizontal-relative:page;mso-position-vertical-relative:page;z-index:-21421568" type="#_x0000_t202" id="docshape397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83638"/>
                    <w:w w:val="105"/>
                    <w:sz w:val="19"/>
                  </w:rPr>
                  <w:t>9.2</w:t>
                </w:r>
                <w:r>
                  <w:rPr>
                    <w:color w:val="383638"/>
                    <w:spacing w:val="28"/>
                    <w:w w:val="105"/>
                    <w:sz w:val="19"/>
                  </w:rPr>
                  <w:t> </w:t>
                </w:r>
                <w:r>
                  <w:rPr>
                    <w:color w:val="383638"/>
                    <w:w w:val="105"/>
                    <w:sz w:val="19"/>
                  </w:rPr>
                  <w:t>Statements</w:t>
                </w:r>
                <w:r>
                  <w:rPr>
                    <w:color w:val="383638"/>
                    <w:spacing w:val="-8"/>
                    <w:w w:val="105"/>
                    <w:sz w:val="19"/>
                  </w:rPr>
                  <w:t> </w:t>
                </w:r>
                <w:r>
                  <w:rPr>
                    <w:color w:val="383638"/>
                    <w:w w:val="105"/>
                    <w:sz w:val="19"/>
                  </w:rPr>
                  <w:t>of</w:t>
                </w:r>
                <w:r>
                  <w:rPr>
                    <w:color w:val="383638"/>
                    <w:spacing w:val="8"/>
                    <w:w w:val="105"/>
                    <w:sz w:val="19"/>
                  </w:rPr>
                  <w:t> </w:t>
                </w:r>
                <w:r>
                  <w:rPr>
                    <w:color w:val="383638"/>
                    <w:w w:val="105"/>
                    <w:sz w:val="19"/>
                  </w:rPr>
                  <w:t>the</w:t>
                </w:r>
                <w:r>
                  <w:rPr>
                    <w:color w:val="383638"/>
                    <w:spacing w:val="21"/>
                    <w:w w:val="105"/>
                    <w:sz w:val="19"/>
                  </w:rPr>
                  <w:t> </w:t>
                </w:r>
                <w:r>
                  <w:rPr>
                    <w:color w:val="383638"/>
                    <w:w w:val="105"/>
                    <w:sz w:val="19"/>
                  </w:rPr>
                  <w:t>Case</w:t>
                </w:r>
              </w:p>
            </w:txbxContent>
          </v:textbox>
          <w10:wrap type="none"/>
        </v:shape>
      </w:pict>
    </w:r>
    <w:r>
      <w:rPr/>
      <w:pict>
        <v:shape style="position:absolute;margin-left:409.562195pt;margin-top:31.490501pt;width:23pt;height:13.15pt;mso-position-horizontal-relative:page;mso-position-vertical-relative:page;z-index:-21421056" type="#_x0000_t202" id="docshape398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383638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519821pt;margin-top:26.149841pt;width:318.1pt;height:12.6pt;mso-position-horizontal-relative:page;mso-position-vertical-relative:page;z-index:-21420544" type="#_x0000_t202" id="docshape399" filled="false" stroked="false">
          <v:textbox inset="0,0,0,0">
            <w:txbxContent>
              <w:p>
                <w:pPr>
                  <w:tabs>
                    <w:tab w:pos="809" w:val="left" w:leader="none"/>
                  </w:tabs>
                  <w:spacing w:before="12"/>
                  <w:ind w:left="60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A3838"/>
                    <w:w w:val="10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214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3A3838"/>
                    <w:w w:val="105"/>
                    <w:sz w:val="18"/>
                  </w:rPr>
                  <w:tab/>
                </w:r>
                <w:r>
                  <w:rPr>
                    <w:color w:val="3A3838"/>
                    <w:sz w:val="19"/>
                  </w:rPr>
                  <w:t>Chapter</w:t>
                </w:r>
                <w:r>
                  <w:rPr>
                    <w:color w:val="3A3838"/>
                    <w:spacing w:val="22"/>
                    <w:sz w:val="19"/>
                  </w:rPr>
                  <w:t> </w:t>
                </w:r>
                <w:r>
                  <w:rPr>
                    <w:color w:val="3A3838"/>
                    <w:sz w:val="19"/>
                  </w:rPr>
                  <w:t>Nine</w:t>
                </w:r>
                <w:r>
                  <w:rPr>
                    <w:color w:val="3A3838"/>
                    <w:spacing w:val="84"/>
                    <w:sz w:val="19"/>
                  </w:rPr>
                  <w:t> </w:t>
                </w:r>
                <w:r>
                  <w:rPr>
                    <w:color w:val="3A3838"/>
                    <w:sz w:val="19"/>
                  </w:rPr>
                  <w:t>Special</w:t>
                </w:r>
                <w:r>
                  <w:rPr>
                    <w:color w:val="3A3838"/>
                    <w:spacing w:val="-4"/>
                    <w:sz w:val="19"/>
                  </w:rPr>
                  <w:t> </w:t>
                </w:r>
                <w:r>
                  <w:rPr>
                    <w:color w:val="3A3838"/>
                    <w:sz w:val="19"/>
                  </w:rPr>
                  <w:t>Teams:</w:t>
                </w:r>
                <w:r>
                  <w:rPr>
                    <w:color w:val="3A3838"/>
                    <w:spacing w:val="-7"/>
                    <w:sz w:val="19"/>
                  </w:rPr>
                  <w:t> </w:t>
                </w:r>
                <w:r>
                  <w:rPr>
                    <w:color w:val="3A3838"/>
                    <w:sz w:val="19"/>
                  </w:rPr>
                  <w:t>Issue</w:t>
                </w:r>
                <w:r>
                  <w:rPr>
                    <w:color w:val="3A3838"/>
                    <w:spacing w:val="-3"/>
                    <w:sz w:val="19"/>
                  </w:rPr>
                  <w:t> </w:t>
                </w:r>
                <w:r>
                  <w:rPr>
                    <w:color w:val="3A3838"/>
                    <w:sz w:val="19"/>
                  </w:rPr>
                  <w:t>Statements,</w:t>
                </w:r>
                <w:r>
                  <w:rPr>
                    <w:color w:val="3A3838"/>
                    <w:spacing w:val="9"/>
                    <w:sz w:val="19"/>
                  </w:rPr>
                  <w:t> </w:t>
                </w:r>
                <w:r>
                  <w:rPr>
                    <w:color w:val="3A3838"/>
                    <w:sz w:val="19"/>
                  </w:rPr>
                  <w:t>Statement</w:t>
                </w:r>
                <w:r>
                  <w:rPr>
                    <w:color w:val="3A3838"/>
                    <w:spacing w:val="-12"/>
                    <w:sz w:val="19"/>
                  </w:rPr>
                  <w:t> </w:t>
                </w:r>
                <w:r>
                  <w:rPr>
                    <w:color w:val="3A3838"/>
                    <w:sz w:val="19"/>
                  </w:rPr>
                  <w:t>of</w:t>
                </w:r>
                <w:r>
                  <w:rPr>
                    <w:color w:val="3A3838"/>
                    <w:spacing w:val="7"/>
                    <w:sz w:val="19"/>
                  </w:rPr>
                  <w:t> </w:t>
                </w:r>
                <w:r>
                  <w:rPr>
                    <w:color w:val="3A3838"/>
                    <w:sz w:val="19"/>
                  </w:rPr>
                  <w:t>the</w:t>
                </w:r>
                <w:r>
                  <w:rPr>
                    <w:color w:val="3A3838"/>
                    <w:spacing w:val="31"/>
                    <w:sz w:val="19"/>
                  </w:rPr>
                  <w:t> </w:t>
                </w:r>
                <w:r>
                  <w:rPr>
                    <w:color w:val="4F4F50"/>
                    <w:sz w:val="19"/>
                  </w:rPr>
                  <w:t>Case</w:t>
                </w:r>
              </w:p>
            </w:txbxContent>
          </v:textbox>
          <w10:wrap type="none"/>
        </v:shape>
      </w:pict>
    </w: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4"/>
      </w:rPr>
    </w:pPr>
    <w:r>
      <w:rPr/>
      <w:pict>
        <v:shape style="position:absolute;margin-left:262.954407pt;margin-top:24.996761pt;width:126.15pt;height:11.55pt;mso-position-horizontal-relative:page;mso-position-vertical-relative:page;z-index:-21420032" type="#_x0000_t202" id="docshape400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63436"/>
                    <w:w w:val="105"/>
                    <w:sz w:val="17"/>
                  </w:rPr>
                  <w:t>9.3</w:t>
                </w:r>
                <w:r>
                  <w:rPr>
                    <w:rFonts w:ascii="Arial"/>
                    <w:color w:val="363436"/>
                    <w:spacing w:val="42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w w:val="105"/>
                    <w:sz w:val="17"/>
                  </w:rPr>
                  <w:t>Summary</w:t>
                </w:r>
                <w:r>
                  <w:rPr>
                    <w:rFonts w:ascii="Arial"/>
                    <w:color w:val="363436"/>
                    <w:spacing w:val="-11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w w:val="105"/>
                    <w:sz w:val="17"/>
                  </w:rPr>
                  <w:t>of</w:t>
                </w:r>
                <w:r>
                  <w:rPr>
                    <w:rFonts w:ascii="Arial"/>
                    <w:color w:val="363436"/>
                    <w:spacing w:val="24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w w:val="105"/>
                    <w:sz w:val="17"/>
                  </w:rPr>
                  <w:t>the</w:t>
                </w:r>
                <w:r>
                  <w:rPr>
                    <w:rFonts w:ascii="Arial"/>
                    <w:color w:val="363436"/>
                    <w:spacing w:val="22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w w:val="105"/>
                    <w:sz w:val="17"/>
                  </w:rPr>
                  <w:t>Argument</w:t>
                </w:r>
              </w:p>
            </w:txbxContent>
          </v:textbox>
          <w10:wrap type="none"/>
        </v:shape>
      </w:pict>
    </w:r>
    <w:r>
      <w:rPr/>
      <w:pict>
        <v:shape style="position:absolute;margin-left:408.732697pt;margin-top:24.996761pt;width:23.1pt;height:19.850pt;mso-position-horizontal-relative:page;mso-position-vertical-relative:page;z-index:-21419520" type="#_x0000_t202" id="docshape401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363436"/>
                    <w:w w:val="110"/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263817pt;margin-top:26.149841pt;width:317pt;height:12.6pt;mso-position-horizontal-relative:page;mso-position-vertical-relative:page;z-index:-21419008" type="#_x0000_t202" id="docshape402" filled="false" stroked="false">
          <v:textbox inset="0,0,0,0">
            <w:txbxContent>
              <w:p>
                <w:pPr>
                  <w:tabs>
                    <w:tab w:pos="790" w:val="left" w:leader="none"/>
                  </w:tabs>
                  <w:spacing w:before="12"/>
                  <w:ind w:left="60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B383A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216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3B383A"/>
                    <w:sz w:val="18"/>
                  </w:rPr>
                  <w:tab/>
                </w:r>
                <w:r>
                  <w:rPr>
                    <w:color w:val="3B383A"/>
                    <w:sz w:val="19"/>
                  </w:rPr>
                  <w:t>Chapter</w:t>
                </w:r>
                <w:r>
                  <w:rPr>
                    <w:color w:val="3B383A"/>
                    <w:spacing w:val="8"/>
                    <w:sz w:val="19"/>
                  </w:rPr>
                  <w:t> </w:t>
                </w:r>
                <w:r>
                  <w:rPr>
                    <w:color w:val="3B383A"/>
                    <w:sz w:val="19"/>
                  </w:rPr>
                  <w:t>Nine</w:t>
                </w:r>
                <w:r>
                  <w:rPr>
                    <w:color w:val="3B383A"/>
                    <w:spacing w:val="81"/>
                    <w:sz w:val="19"/>
                  </w:rPr>
                  <w:t> </w:t>
                </w:r>
                <w:r>
                  <w:rPr>
                    <w:color w:val="3B383A"/>
                    <w:sz w:val="19"/>
                  </w:rPr>
                  <w:t>Special</w:t>
                </w:r>
                <w:r>
                  <w:rPr>
                    <w:color w:val="3B383A"/>
                    <w:spacing w:val="-7"/>
                    <w:sz w:val="19"/>
                  </w:rPr>
                  <w:t> </w:t>
                </w:r>
                <w:r>
                  <w:rPr>
                    <w:color w:val="3B383A"/>
                    <w:sz w:val="19"/>
                  </w:rPr>
                  <w:t>Teams;</w:t>
                </w:r>
                <w:r>
                  <w:rPr>
                    <w:color w:val="3B383A"/>
                    <w:spacing w:val="10"/>
                    <w:sz w:val="19"/>
                  </w:rPr>
                  <w:t> </w:t>
                </w:r>
                <w:r>
                  <w:rPr>
                    <w:color w:val="3B383A"/>
                    <w:sz w:val="19"/>
                  </w:rPr>
                  <w:t>Issue</w:t>
                </w:r>
                <w:r>
                  <w:rPr>
                    <w:color w:val="3B383A"/>
                    <w:spacing w:val="-6"/>
                    <w:sz w:val="19"/>
                  </w:rPr>
                  <w:t> </w:t>
                </w:r>
                <w:r>
                  <w:rPr>
                    <w:color w:val="3B383A"/>
                    <w:sz w:val="19"/>
                  </w:rPr>
                  <w:t>Statements,</w:t>
                </w:r>
                <w:r>
                  <w:rPr>
                    <w:color w:val="3B383A"/>
                    <w:spacing w:val="8"/>
                    <w:sz w:val="19"/>
                  </w:rPr>
                  <w:t> </w:t>
                </w:r>
                <w:r>
                  <w:rPr>
                    <w:color w:val="3B383A"/>
                    <w:sz w:val="19"/>
                  </w:rPr>
                  <w:t>Sta</w:t>
                </w:r>
                <w:r>
                  <w:rPr>
                    <w:color w:val="565456"/>
                    <w:sz w:val="19"/>
                  </w:rPr>
                  <w:t>t</w:t>
                </w:r>
                <w:r>
                  <w:rPr>
                    <w:color w:val="3B383A"/>
                    <w:sz w:val="19"/>
                  </w:rPr>
                  <w:t>ement</w:t>
                </w:r>
                <w:r>
                  <w:rPr>
                    <w:color w:val="3B383A"/>
                    <w:spacing w:val="3"/>
                    <w:sz w:val="19"/>
                  </w:rPr>
                  <w:t> </w:t>
                </w:r>
                <w:r>
                  <w:rPr>
                    <w:color w:val="3B383A"/>
                    <w:sz w:val="19"/>
                  </w:rPr>
                  <w:t>of</w:t>
                </w:r>
                <w:r>
                  <w:rPr>
                    <w:color w:val="3B383A"/>
                    <w:spacing w:val="6"/>
                    <w:sz w:val="19"/>
                  </w:rPr>
                  <w:t> </w:t>
                </w:r>
                <w:r>
                  <w:rPr>
                    <w:color w:val="3B383A"/>
                    <w:sz w:val="19"/>
                  </w:rPr>
                  <w:t>the</w:t>
                </w:r>
                <w:r>
                  <w:rPr>
                    <w:color w:val="3B383A"/>
                    <w:spacing w:val="29"/>
                    <w:sz w:val="19"/>
                  </w:rPr>
                  <w:t> </w:t>
                </w:r>
                <w:r>
                  <w:rPr>
                    <w:color w:val="3B383A"/>
                    <w:sz w:val="19"/>
                  </w:rPr>
                  <w:t>Case</w:t>
                </w:r>
              </w:p>
            </w:txbxContent>
          </v:textbox>
          <w10:wrap type="none"/>
        </v:shape>
      </w:pict>
    </w:r>
  </w:p>
</w:hdr>
</file>

<file path=word/header2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2.954407pt;margin-top:24.996761pt;width:126.15pt;height:11.55pt;mso-position-horizontal-relative:page;mso-position-vertical-relative:page;z-index:-21418496" type="#_x0000_t202" id="docshape403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63436"/>
                    <w:w w:val="105"/>
                    <w:sz w:val="17"/>
                  </w:rPr>
                  <w:t>9.3</w:t>
                </w:r>
                <w:r>
                  <w:rPr>
                    <w:rFonts w:ascii="Arial"/>
                    <w:color w:val="363436"/>
                    <w:spacing w:val="42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w w:val="105"/>
                    <w:sz w:val="17"/>
                  </w:rPr>
                  <w:t>Summary</w:t>
                </w:r>
                <w:r>
                  <w:rPr>
                    <w:rFonts w:ascii="Arial"/>
                    <w:color w:val="363436"/>
                    <w:spacing w:val="-11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w w:val="105"/>
                    <w:sz w:val="17"/>
                  </w:rPr>
                  <w:t>of</w:t>
                </w:r>
                <w:r>
                  <w:rPr>
                    <w:rFonts w:ascii="Arial"/>
                    <w:color w:val="363436"/>
                    <w:spacing w:val="24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w w:val="105"/>
                    <w:sz w:val="17"/>
                  </w:rPr>
                  <w:t>the</w:t>
                </w:r>
                <w:r>
                  <w:rPr>
                    <w:rFonts w:ascii="Arial"/>
                    <w:color w:val="363436"/>
                    <w:spacing w:val="22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w w:val="105"/>
                    <w:sz w:val="17"/>
                  </w:rPr>
                  <w:t>Argument</w:t>
                </w:r>
              </w:p>
            </w:txbxContent>
          </v:textbox>
          <w10:wrap type="none"/>
        </v:shape>
      </w:pict>
    </w:r>
    <w:r>
      <w:rPr/>
      <w:pict>
        <v:shape style="position:absolute;margin-left:406.732697pt;margin-top:24.996761pt;width:22.55pt;height:11.55pt;mso-position-horizontal-relative:page;mso-position-vertical-relative:page;z-index:-21417984" type="#_x0000_t202" id="docshape404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363436"/>
                    <w:w w:val="110"/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5.74614pt;margin-top:24.821032pt;width:321.1pt;height:12.8pt;mso-position-horizontal-relative:page;mso-position-vertical-relative:page;z-index:-21417472" type="#_x0000_t202" id="docshape405" filled="false" stroked="false">
          <v:textbox inset="0,0,0,0">
            <w:txbxContent>
              <w:p>
                <w:pPr>
                  <w:tabs>
                    <w:tab w:pos="771" w:val="left" w:leader="none"/>
                  </w:tabs>
                  <w:spacing w:before="12"/>
                  <w:ind w:left="40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D3B3D"/>
                    <w:w w:val="10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220</w:t>
                </w:r>
                <w:r>
                  <w:rPr/>
                  <w:fldChar w:fldCharType="end"/>
                </w:r>
                <w:r>
                  <w:rPr>
                    <w:rFonts w:ascii="Arial"/>
                    <w:b/>
                    <w:color w:val="3D3B3D"/>
                    <w:w w:val="105"/>
                    <w:sz w:val="18"/>
                  </w:rPr>
                  <w:tab/>
                </w:r>
                <w:r>
                  <w:rPr>
                    <w:color w:val="3D3B3D"/>
                    <w:sz w:val="19"/>
                  </w:rPr>
                  <w:t>Chapter</w:t>
                </w:r>
                <w:r>
                  <w:rPr>
                    <w:color w:val="3D3B3D"/>
                    <w:spacing w:val="34"/>
                    <w:sz w:val="19"/>
                  </w:rPr>
                  <w:t> </w:t>
                </w:r>
                <w:r>
                  <w:rPr>
                    <w:color w:val="3D3B3D"/>
                    <w:sz w:val="19"/>
                  </w:rPr>
                  <w:t>Nine   </w:t>
                </w:r>
                <w:r>
                  <w:rPr>
                    <w:color w:val="3D3B3D"/>
                    <w:spacing w:val="26"/>
                    <w:sz w:val="19"/>
                  </w:rPr>
                  <w:t> </w:t>
                </w:r>
                <w:r>
                  <w:rPr>
                    <w:color w:val="3D3B3D"/>
                    <w:sz w:val="19"/>
                  </w:rPr>
                  <w:t>Special</w:t>
                </w:r>
                <w:r>
                  <w:rPr>
                    <w:color w:val="3D3B3D"/>
                    <w:spacing w:val="1"/>
                    <w:sz w:val="19"/>
                  </w:rPr>
                  <w:t> </w:t>
                </w:r>
                <w:r>
                  <w:rPr>
                    <w:color w:val="3D3B3D"/>
                    <w:sz w:val="19"/>
                  </w:rPr>
                  <w:t>Teams:</w:t>
                </w:r>
                <w:r>
                  <w:rPr>
                    <w:color w:val="3D3B3D"/>
                    <w:spacing w:val="5"/>
                    <w:sz w:val="19"/>
                  </w:rPr>
                  <w:t> </w:t>
                </w:r>
                <w:r>
                  <w:rPr>
                    <w:color w:val="3D3B3D"/>
                    <w:sz w:val="19"/>
                  </w:rPr>
                  <w:t>Issue</w:t>
                </w:r>
                <w:r>
                  <w:rPr>
                    <w:color w:val="3D3B3D"/>
                    <w:spacing w:val="-12"/>
                    <w:sz w:val="19"/>
                  </w:rPr>
                  <w:t> </w:t>
                </w:r>
                <w:r>
                  <w:rPr>
                    <w:color w:val="3D3B3D"/>
                    <w:sz w:val="19"/>
                  </w:rPr>
                  <w:t>Statements,</w:t>
                </w:r>
                <w:r>
                  <w:rPr>
                    <w:color w:val="3D3B3D"/>
                    <w:spacing w:val="23"/>
                    <w:sz w:val="19"/>
                  </w:rPr>
                  <w:t> </w:t>
                </w:r>
                <w:r>
                  <w:rPr>
                    <w:color w:val="3D3B3D"/>
                    <w:sz w:val="19"/>
                  </w:rPr>
                  <w:t>Statement </w:t>
                </w:r>
                <w:r>
                  <w:rPr>
                    <w:color w:val="3D3B3D"/>
                    <w:sz w:val="18"/>
                  </w:rPr>
                  <w:t>of</w:t>
                </w:r>
                <w:r>
                  <w:rPr>
                    <w:color w:val="3D3B3D"/>
                    <w:spacing w:val="18"/>
                    <w:sz w:val="18"/>
                  </w:rPr>
                  <w:t> </w:t>
                </w:r>
                <w:r>
                  <w:rPr>
                    <w:color w:val="3D3B3D"/>
                    <w:sz w:val="19"/>
                  </w:rPr>
                  <w:t>the</w:t>
                </w:r>
                <w:r>
                  <w:rPr>
                    <w:color w:val="3D3B3D"/>
                    <w:spacing w:val="30"/>
                    <w:sz w:val="19"/>
                  </w:rPr>
                  <w:t> </w:t>
                </w:r>
                <w:r>
                  <w:rPr>
                    <w:color w:val="3D3B3D"/>
                    <w:sz w:val="19"/>
                  </w:rPr>
                  <w:t>Case</w:t>
                </w:r>
              </w:p>
            </w:txbxContent>
          </v:textbox>
          <w10:wrap type="none"/>
        </v:shape>
      </w:pict>
    </w:r>
  </w:p>
</w:hdr>
</file>

<file path=word/header2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407806pt;margin-top:28.355492pt;width:80.150pt;height:11.55pt;mso-position-horizontal-relative:page;mso-position-vertical-relative:page;z-index:-21416960" type="#_x0000_t202" id="docshape406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D3B3D"/>
                    <w:w w:val="105"/>
                    <w:sz w:val="17"/>
                  </w:rPr>
                  <w:t>9.4 </w:t>
                </w:r>
                <w:r>
                  <w:rPr>
                    <w:rFonts w:ascii="Arial"/>
                    <w:color w:val="3D3B3D"/>
                    <w:spacing w:val="2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D3B3D"/>
                    <w:w w:val="105"/>
                    <w:sz w:val="17"/>
                  </w:rPr>
                  <w:t>Point</w:t>
                </w:r>
                <w:r>
                  <w:rPr>
                    <w:rFonts w:ascii="Arial"/>
                    <w:color w:val="3D3B3D"/>
                    <w:spacing w:val="-16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D3B3D"/>
                    <w:w w:val="105"/>
                    <w:sz w:val="17"/>
                  </w:rPr>
                  <w:t>Headings</w:t>
                </w:r>
              </w:p>
            </w:txbxContent>
          </v:textbox>
          <w10:wrap type="none"/>
        </v:shape>
      </w:pict>
    </w:r>
    <w:r>
      <w:rPr/>
      <w:pict>
        <v:shape style="position:absolute;margin-left:411.329407pt;margin-top:28.355492pt;width:16.850pt;height:11.55pt;mso-position-horizontal-relative:page;mso-position-vertical-relative:page;z-index:-21416448" type="#_x0000_t202" id="docshape407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D3B3D"/>
                    <w:w w:val="105"/>
                    <w:sz w:val="17"/>
                  </w:rPr>
                  <w:t>219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9.018108pt;margin-top:18.954941pt;width:12.6pt;height:13.15pt;mso-position-horizontal-relative:page;mso-position-vertical-relative:page;z-index:-21599744" type="#_x0000_t202" id="docshape24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i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i/>
                    <w:color w:val="3B383A"/>
                    <w:w w:val="111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8.8881pt;margin-top:19.401867pt;width:108.55pt;height:12.6pt;mso-position-horizontal-relative:page;mso-position-vertical-relative:page;z-index:-21599232" type="#_x0000_t202" id="docshape2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B383A"/>
                    <w:sz w:val="19"/>
                  </w:rPr>
                  <w:t>Chapter</w:t>
                </w:r>
                <w:r>
                  <w:rPr>
                    <w:color w:val="3B383A"/>
                    <w:spacing w:val="-1"/>
                    <w:sz w:val="19"/>
                  </w:rPr>
                  <w:t> </w:t>
                </w:r>
                <w:r>
                  <w:rPr>
                    <w:color w:val="3B383A"/>
                    <w:sz w:val="19"/>
                  </w:rPr>
                  <w:t>One   </w:t>
                </w:r>
                <w:r>
                  <w:rPr>
                    <w:color w:val="3B383A"/>
                    <w:spacing w:val="20"/>
                    <w:sz w:val="19"/>
                  </w:rPr>
                  <w:t> </w:t>
                </w:r>
                <w:r>
                  <w:rPr>
                    <w:color w:val="3B383A"/>
                    <w:sz w:val="19"/>
                  </w:rPr>
                  <w:t>Introduction</w:t>
                </w:r>
              </w:p>
            </w:txbxContent>
          </v:textbox>
          <w10:wrap type="none"/>
        </v:shape>
      </w:pict>
    </w:r>
  </w:p>
</w:hdr>
</file>

<file path=word/header2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.664993pt;margin-top:22.32408pt;width:22.55pt;height:13.15pt;mso-position-horizontal-relative:page;mso-position-vertical-relative:page;z-index:-21415936" type="#_x0000_t202" id="docshape410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A3838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675499pt;margin-top:22.770975pt;width:280.45pt;height:12.6pt;mso-position-horizontal-relative:page;mso-position-vertical-relative:page;z-index:-21415424" type="#_x0000_t202" id="docshape411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A3838"/>
                    <w:sz w:val="19"/>
                  </w:rPr>
                  <w:t>Chapter</w:t>
                </w:r>
                <w:r>
                  <w:rPr>
                    <w:color w:val="3A3838"/>
                    <w:spacing w:val="14"/>
                    <w:sz w:val="19"/>
                  </w:rPr>
                  <w:t> </w:t>
                </w:r>
                <w:r>
                  <w:rPr>
                    <w:color w:val="3A3838"/>
                    <w:sz w:val="19"/>
                  </w:rPr>
                  <w:t>Nine</w:t>
                </w:r>
                <w:r>
                  <w:rPr>
                    <w:color w:val="3A3838"/>
                    <w:spacing w:val="90"/>
                    <w:sz w:val="19"/>
                  </w:rPr>
                  <w:t> </w:t>
                </w:r>
                <w:r>
                  <w:rPr>
                    <w:color w:val="3A3838"/>
                    <w:sz w:val="19"/>
                  </w:rPr>
                  <w:t>Special</w:t>
                </w:r>
                <w:r>
                  <w:rPr>
                    <w:color w:val="3A3838"/>
                    <w:spacing w:val="-4"/>
                    <w:sz w:val="19"/>
                  </w:rPr>
                  <w:t> </w:t>
                </w:r>
                <w:r>
                  <w:rPr>
                    <w:color w:val="3A3838"/>
                    <w:sz w:val="19"/>
                  </w:rPr>
                  <w:t>Teams:</w:t>
                </w:r>
                <w:r>
                  <w:rPr>
                    <w:color w:val="3A3838"/>
                    <w:spacing w:val="-3"/>
                    <w:sz w:val="19"/>
                  </w:rPr>
                  <w:t> </w:t>
                </w:r>
                <w:r>
                  <w:rPr>
                    <w:color w:val="3A3838"/>
                    <w:sz w:val="19"/>
                  </w:rPr>
                  <w:t>Issue</w:t>
                </w:r>
                <w:r>
                  <w:rPr>
                    <w:color w:val="3A3838"/>
                    <w:spacing w:val="-14"/>
                    <w:sz w:val="19"/>
                  </w:rPr>
                  <w:t> </w:t>
                </w:r>
                <w:r>
                  <w:rPr>
                    <w:color w:val="3A3838"/>
                    <w:sz w:val="19"/>
                  </w:rPr>
                  <w:t>Statements,</w:t>
                </w:r>
                <w:r>
                  <w:rPr>
                    <w:color w:val="3A3838"/>
                    <w:spacing w:val="4"/>
                    <w:sz w:val="19"/>
                  </w:rPr>
                  <w:t> </w:t>
                </w:r>
                <w:r>
                  <w:rPr>
                    <w:color w:val="3A3838"/>
                    <w:sz w:val="19"/>
                  </w:rPr>
                  <w:t>Statement</w:t>
                </w:r>
                <w:r>
                  <w:rPr>
                    <w:color w:val="3A3838"/>
                    <w:spacing w:val="6"/>
                    <w:sz w:val="19"/>
                  </w:rPr>
                  <w:t> </w:t>
                </w:r>
                <w:r>
                  <w:rPr>
                    <w:color w:val="3A3838"/>
                    <w:sz w:val="19"/>
                  </w:rPr>
                  <w:t>of</w:t>
                </w:r>
                <w:r>
                  <w:rPr>
                    <w:color w:val="3A3838"/>
                    <w:spacing w:val="11"/>
                    <w:sz w:val="19"/>
                  </w:rPr>
                  <w:t> </w:t>
                </w:r>
                <w:r>
                  <w:rPr>
                    <w:color w:val="3A3838"/>
                    <w:sz w:val="19"/>
                  </w:rPr>
                  <w:t>the</w:t>
                </w:r>
                <w:r>
                  <w:rPr>
                    <w:color w:val="3A3838"/>
                    <w:spacing w:val="54"/>
                    <w:sz w:val="19"/>
                  </w:rPr>
                  <w:t> </w:t>
                </w:r>
                <w:r>
                  <w:rPr>
                    <w:color w:val="3A3838"/>
                    <w:sz w:val="19"/>
                  </w:rPr>
                  <w:t>Case</w:t>
                </w:r>
              </w:p>
            </w:txbxContent>
          </v:textbox>
          <w10:wrap type="none"/>
        </v:shape>
      </w:pict>
    </w:r>
  </w:p>
</w:hdr>
</file>

<file path=word/header2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576996pt;margin-top:24.749014pt;width:119.8pt;height:13.15pt;mso-position-horizontal-relative:page;mso-position-vertical-relative:page;z-index:-21414912" type="#_x0000_t202" id="docshape412" filled="false" stroked="false">
          <v:textbox inset="0,0,0,0">
            <w:txbxContent>
              <w:p>
                <w:pPr>
                  <w:tabs>
                    <w:tab w:pos="2315" w:val="right" w:leader="none"/>
                  </w:tabs>
                  <w:spacing w:before="12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rFonts w:ascii="Arial"/>
                    <w:color w:val="383636"/>
                    <w:w w:val="105"/>
                    <w:sz w:val="17"/>
                  </w:rPr>
                  <w:t>9.4</w:t>
                </w:r>
                <w:r>
                  <w:rPr>
                    <w:rFonts w:ascii="Arial"/>
                    <w:color w:val="383636"/>
                    <w:spacing w:val="44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Point</w:t>
                </w:r>
                <w:r>
                  <w:rPr>
                    <w:rFonts w:ascii="Arial"/>
                    <w:color w:val="383636"/>
                    <w:spacing w:val="-18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Headings</w:t>
                  <w:tab/>
                </w:r>
                <w:r>
                  <w:rPr/>
                  <w:fldChar w:fldCharType="begin"/>
                </w:r>
                <w:r>
                  <w:rPr>
                    <w:b/>
                    <w:color w:val="383636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.593117pt;margin-top:25.620747pt;width:21.8pt;height:12pt;mso-position-horizontal-relative:page;mso-position-vertical-relative:page;z-index:-21414400" type="#_x0000_t202" id="docshape413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A3838"/>
                    <w:w w:val="11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7.1036pt;margin-top:25.620747pt;width:278.350pt;height:12pt;mso-position-horizontal-relative:page;mso-position-vertical-relative:page;z-index:-21413888" type="#_x0000_t202" id="docshape414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color w:val="3A3838"/>
                    <w:w w:val="105"/>
                    <w:sz w:val="18"/>
                  </w:rPr>
                  <w:t>Chapter</w:t>
                </w:r>
                <w:r>
                  <w:rPr>
                    <w:color w:val="3A3838"/>
                    <w:spacing w:val="20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Nine </w:t>
                </w:r>
                <w:r>
                  <w:rPr>
                    <w:color w:val="3A3838"/>
                    <w:spacing w:val="40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Special</w:t>
                </w:r>
                <w:r>
                  <w:rPr>
                    <w:color w:val="3A3838"/>
                    <w:spacing w:val="-8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Team</w:t>
                </w:r>
                <w:r>
                  <w:rPr>
                    <w:color w:val="525254"/>
                    <w:w w:val="105"/>
                    <w:sz w:val="18"/>
                  </w:rPr>
                  <w:t>s</w:t>
                </w:r>
                <w:r>
                  <w:rPr>
                    <w:color w:val="3A3838"/>
                    <w:w w:val="105"/>
                    <w:sz w:val="18"/>
                  </w:rPr>
                  <w:t>: Issue</w:t>
                </w:r>
                <w:r>
                  <w:rPr>
                    <w:color w:val="3A3838"/>
                    <w:spacing w:val="-16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Statemen</w:t>
                </w:r>
                <w:r>
                  <w:rPr>
                    <w:color w:val="525254"/>
                    <w:w w:val="105"/>
                    <w:sz w:val="18"/>
                  </w:rPr>
                  <w:t>ts,</w:t>
                </w:r>
                <w:r>
                  <w:rPr>
                    <w:color w:val="525254"/>
                    <w:spacing w:val="19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Statement</w:t>
                </w:r>
                <w:r>
                  <w:rPr>
                    <w:color w:val="3A3838"/>
                    <w:spacing w:val="4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of</w:t>
                </w:r>
                <w:r>
                  <w:rPr>
                    <w:color w:val="3A3838"/>
                    <w:spacing w:val="5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the</w:t>
                </w:r>
                <w:r>
                  <w:rPr>
                    <w:color w:val="3A3838"/>
                    <w:spacing w:val="21"/>
                    <w:w w:val="105"/>
                    <w:sz w:val="18"/>
                  </w:rPr>
                  <w:t> </w:t>
                </w:r>
                <w:r>
                  <w:rPr>
                    <w:b/>
                    <w:color w:val="3A3838"/>
                    <w:w w:val="105"/>
                    <w:sz w:val="18"/>
                  </w:rPr>
                  <w:t>Case</w:t>
                </w:r>
              </w:p>
            </w:txbxContent>
          </v:textbox>
          <w10:wrap type="none"/>
        </v:shape>
      </w:pict>
    </w:r>
  </w:p>
</w:hdr>
</file>

<file path=word/header2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7.77179pt;margin-top:27.390867pt;width:79.7pt;height:11.55pt;mso-position-horizontal-relative:page;mso-position-vertical-relative:page;z-index:-21413376" type="#_x0000_t202" id="docshape415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A3838"/>
                    <w:w w:val="105"/>
                    <w:sz w:val="17"/>
                  </w:rPr>
                  <w:t>9.4</w:t>
                </w:r>
                <w:r>
                  <w:rPr>
                    <w:rFonts w:ascii="Arial"/>
                    <w:color w:val="3A3838"/>
                    <w:spacing w:val="40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w w:val="105"/>
                    <w:sz w:val="17"/>
                  </w:rPr>
                  <w:t>Point</w:t>
                </w:r>
                <w:r>
                  <w:rPr>
                    <w:rFonts w:ascii="Arial"/>
                    <w:color w:val="3A3838"/>
                    <w:spacing w:val="-1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w w:val="105"/>
                    <w:sz w:val="17"/>
                  </w:rPr>
                  <w:t>Headings</w:t>
                </w:r>
              </w:p>
            </w:txbxContent>
          </v:textbox>
          <w10:wrap type="none"/>
        </v:shape>
      </w:pict>
    </w:r>
    <w:r>
      <w:rPr/>
      <w:pict>
        <v:shape style="position:absolute;margin-left:414.712585pt;margin-top:27.390867pt;width:21.85pt;height:11.55pt;mso-position-horizontal-relative:page;mso-position-vertical-relative:page;z-index:-21412864" type="#_x0000_t202" id="docshape416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3A3838"/>
                    <w:w w:val="105"/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.229362pt;margin-top:23.737789pt;width:23.9pt;height:12.6pt;mso-position-horizontal-relative:page;mso-position-vertical-relative:page;z-index:-21412352" type="#_x0000_t202" id="docshape417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color w:val="383638"/>
                    <w:w w:val="12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4.7202pt;margin-top:23.737789pt;width:280.95pt;height:12.6pt;mso-position-horizontal-relative:page;mso-position-vertical-relative:page;z-index:-21411840" type="#_x0000_t202" id="docshape418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83638"/>
                    <w:sz w:val="19"/>
                  </w:rPr>
                  <w:t>Chapter</w:t>
                </w:r>
                <w:r>
                  <w:rPr>
                    <w:color w:val="383638"/>
                    <w:spacing w:val="22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Nine</w:t>
                </w:r>
                <w:r>
                  <w:rPr>
                    <w:color w:val="383638"/>
                    <w:spacing w:val="84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Special</w:t>
                </w:r>
                <w:r>
                  <w:rPr>
                    <w:color w:val="383638"/>
                    <w:spacing w:val="4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Teams:</w:t>
                </w:r>
                <w:r>
                  <w:rPr>
                    <w:color w:val="383638"/>
                    <w:spacing w:val="4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I</w:t>
                </w:r>
                <w:r>
                  <w:rPr>
                    <w:color w:val="525052"/>
                    <w:sz w:val="19"/>
                  </w:rPr>
                  <w:t>s</w:t>
                </w:r>
                <w:r>
                  <w:rPr>
                    <w:color w:val="383638"/>
                    <w:sz w:val="19"/>
                  </w:rPr>
                  <w:t>sue</w:t>
                </w:r>
                <w:r>
                  <w:rPr>
                    <w:color w:val="383638"/>
                    <w:spacing w:val="6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Statements,</w:t>
                </w:r>
                <w:r>
                  <w:rPr>
                    <w:color w:val="383638"/>
                    <w:spacing w:val="11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Statement</w:t>
                </w:r>
                <w:r>
                  <w:rPr>
                    <w:color w:val="383638"/>
                    <w:spacing w:val="5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of</w:t>
                </w:r>
                <w:r>
                  <w:rPr>
                    <w:color w:val="383638"/>
                    <w:spacing w:val="6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the</w:t>
                </w:r>
                <w:r>
                  <w:rPr>
                    <w:color w:val="383638"/>
                    <w:spacing w:val="30"/>
                    <w:sz w:val="19"/>
                  </w:rPr>
                  <w:t> </w:t>
                </w:r>
                <w:r>
                  <w:rPr>
                    <w:color w:val="383638"/>
                    <w:sz w:val="19"/>
                  </w:rPr>
                  <w:t>Case</w:t>
                </w:r>
              </w:p>
            </w:txbxContent>
          </v:textbox>
          <w10:wrap type="none"/>
        </v:shape>
      </w:pict>
    </w:r>
  </w:p>
</w:hdr>
</file>

<file path=word/header2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5.195396pt;margin-top:23.770802pt;width:24.2pt;height:13.15pt;mso-position-horizontal-relative:page;mso-position-vertical-relative:page;z-index:-21411328" type="#_x0000_t202" id="docshape419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A383A"/>
                    <w:w w:val="11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4.693802pt;margin-top:24.664684pt;width:327.150pt;height:12pt;mso-position-horizontal-relative:page;mso-position-vertical-relative:page;z-index:-21410816" type="#_x0000_t202" id="docshape420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A383A"/>
                    <w:sz w:val="18"/>
                  </w:rPr>
                  <w:t>Chapter</w:t>
                </w:r>
                <w:r>
                  <w:rPr>
                    <w:color w:val="3A383A"/>
                    <w:spacing w:val="-3"/>
                    <w:sz w:val="18"/>
                  </w:rPr>
                  <w:t> </w:t>
                </w:r>
                <w:r>
                  <w:rPr>
                    <w:color w:val="3A383A"/>
                    <w:sz w:val="18"/>
                  </w:rPr>
                  <w:t>Ten   </w:t>
                </w:r>
                <w:r>
                  <w:rPr>
                    <w:color w:val="3A383A"/>
                    <w:spacing w:val="31"/>
                    <w:sz w:val="18"/>
                  </w:rPr>
                  <w:t> </w:t>
                </w:r>
                <w:r>
                  <w:rPr>
                    <w:color w:val="3A383A"/>
                    <w:sz w:val="18"/>
                  </w:rPr>
                  <w:t>Six Degrees</w:t>
                </w:r>
                <w:r>
                  <w:rPr>
                    <w:color w:val="3A383A"/>
                    <w:spacing w:val="3"/>
                    <w:sz w:val="18"/>
                  </w:rPr>
                  <w:t> </w:t>
                </w:r>
                <w:r>
                  <w:rPr>
                    <w:color w:val="3A383A"/>
                    <w:sz w:val="18"/>
                  </w:rPr>
                  <w:t>of</w:t>
                </w:r>
                <w:r>
                  <w:rPr>
                    <w:color w:val="3A383A"/>
                    <w:spacing w:val="15"/>
                    <w:sz w:val="18"/>
                  </w:rPr>
                  <w:t> </w:t>
                </w:r>
                <w:r>
                  <w:rPr>
                    <w:color w:val="3A383A"/>
                    <w:sz w:val="18"/>
                  </w:rPr>
                  <w:t>Legal</w:t>
                </w:r>
                <w:r>
                  <w:rPr>
                    <w:color w:val="3A383A"/>
                    <w:spacing w:val="5"/>
                    <w:sz w:val="18"/>
                  </w:rPr>
                  <w:t> </w:t>
                </w:r>
                <w:r>
                  <w:rPr>
                    <w:color w:val="3A383A"/>
                    <w:sz w:val="18"/>
                  </w:rPr>
                  <w:t>Writing:</w:t>
                </w:r>
                <w:r>
                  <w:rPr>
                    <w:color w:val="3A383A"/>
                    <w:spacing w:val="7"/>
                    <w:sz w:val="18"/>
                  </w:rPr>
                  <w:t> </w:t>
                </w:r>
                <w:r>
                  <w:rPr>
                    <w:color w:val="3A383A"/>
                    <w:sz w:val="18"/>
                  </w:rPr>
                  <w:t>Making</w:t>
                </w:r>
                <w:r>
                  <w:rPr>
                    <w:color w:val="3A383A"/>
                    <w:spacing w:val="24"/>
                    <w:sz w:val="18"/>
                  </w:rPr>
                  <w:t> </w:t>
                </w:r>
                <w:r>
                  <w:rPr>
                    <w:color w:val="3A383A"/>
                    <w:sz w:val="18"/>
                  </w:rPr>
                  <w:t>Your</w:t>
                </w:r>
                <w:r>
                  <w:rPr>
                    <w:color w:val="3A383A"/>
                    <w:spacing w:val="23"/>
                    <w:sz w:val="18"/>
                  </w:rPr>
                  <w:t> </w:t>
                </w:r>
                <w:r>
                  <w:rPr>
                    <w:color w:val="3A383A"/>
                    <w:sz w:val="18"/>
                  </w:rPr>
                  <w:t>Document</w:t>
                </w:r>
                <w:r>
                  <w:rPr>
                    <w:color w:val="3A383A"/>
                    <w:spacing w:val="33"/>
                    <w:sz w:val="18"/>
                  </w:rPr>
                  <w:t> </w:t>
                </w:r>
                <w:r>
                  <w:rPr>
                    <w:color w:val="3A383A"/>
                    <w:sz w:val="18"/>
                  </w:rPr>
                  <w:t>Reader-Friendly</w:t>
                </w:r>
              </w:p>
            </w:txbxContent>
          </v:textbox>
          <w10:wrap type="none"/>
        </v:shape>
      </w:pict>
    </w:r>
  </w:p>
</w:hdr>
</file>

<file path=word/header2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.096161pt;margin-top:24.058416pt;width:23.75pt;height:12.1pt;mso-position-horizontal-relative:page;mso-position-vertical-relative:page;z-index:-21410304" type="#_x0000_t202" id="docshape42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3A3838"/>
                    <w:w w:val="11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7.504997pt;margin-top:24.058416pt;width:327pt;height:12.1pt;mso-position-horizontal-relative:page;mso-position-vertical-relative:page;z-index:-21409792" type="#_x0000_t202" id="docshape42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3A3838"/>
                    <w:w w:val="95"/>
                    <w:sz w:val="18"/>
                  </w:rPr>
                  <w:t>Chapter</w:t>
                </w:r>
                <w:r>
                  <w:rPr>
                    <w:rFonts w:ascii="Arial"/>
                    <w:color w:val="3A3838"/>
                    <w:spacing w:val="-6"/>
                    <w:w w:val="95"/>
                    <w:sz w:val="18"/>
                  </w:rPr>
                  <w:t> </w:t>
                </w:r>
                <w:r>
                  <w:rPr>
                    <w:rFonts w:ascii="Arial"/>
                    <w:color w:val="3A3838"/>
                    <w:w w:val="95"/>
                    <w:sz w:val="18"/>
                  </w:rPr>
                  <w:t>Ten</w:t>
                </w:r>
                <w:r>
                  <w:rPr>
                    <w:rFonts w:ascii="Arial"/>
                    <w:color w:val="3A3838"/>
                    <w:spacing w:val="89"/>
                    <w:sz w:val="18"/>
                  </w:rPr>
                  <w:t> </w:t>
                </w:r>
                <w:r>
                  <w:rPr>
                    <w:rFonts w:ascii="Arial"/>
                    <w:color w:val="3A3838"/>
                    <w:w w:val="95"/>
                    <w:sz w:val="18"/>
                  </w:rPr>
                  <w:t>Six</w:t>
                </w:r>
                <w:r>
                  <w:rPr>
                    <w:rFonts w:ascii="Arial"/>
                    <w:color w:val="3A3838"/>
                    <w:spacing w:val="-3"/>
                    <w:w w:val="95"/>
                    <w:sz w:val="18"/>
                  </w:rPr>
                  <w:t> </w:t>
                </w:r>
                <w:r>
                  <w:rPr>
                    <w:rFonts w:ascii="Arial"/>
                    <w:color w:val="3A3838"/>
                    <w:w w:val="95"/>
                    <w:sz w:val="18"/>
                  </w:rPr>
                  <w:t>Degrees</w:t>
                </w:r>
                <w:r>
                  <w:rPr>
                    <w:rFonts w:ascii="Arial"/>
                    <w:color w:val="3A3838"/>
                    <w:spacing w:val="-12"/>
                    <w:w w:val="95"/>
                    <w:sz w:val="18"/>
                  </w:rPr>
                  <w:t> </w:t>
                </w:r>
                <w:r>
                  <w:rPr>
                    <w:rFonts w:ascii="Arial"/>
                    <w:color w:val="3A3838"/>
                    <w:w w:val="95"/>
                    <w:sz w:val="18"/>
                  </w:rPr>
                  <w:t>of</w:t>
                </w:r>
                <w:r>
                  <w:rPr>
                    <w:rFonts w:ascii="Arial"/>
                    <w:color w:val="3A3838"/>
                    <w:spacing w:val="26"/>
                    <w:w w:val="95"/>
                    <w:sz w:val="18"/>
                  </w:rPr>
                  <w:t> </w:t>
                </w:r>
                <w:r>
                  <w:rPr>
                    <w:rFonts w:ascii="Arial"/>
                    <w:color w:val="3A3838"/>
                    <w:w w:val="95"/>
                    <w:sz w:val="18"/>
                  </w:rPr>
                  <w:t>Legal</w:t>
                </w:r>
                <w:r>
                  <w:rPr>
                    <w:rFonts w:ascii="Arial"/>
                    <w:color w:val="3A3838"/>
                    <w:spacing w:val="-8"/>
                    <w:w w:val="95"/>
                    <w:sz w:val="18"/>
                  </w:rPr>
                  <w:t> </w:t>
                </w:r>
                <w:r>
                  <w:rPr>
                    <w:rFonts w:ascii="Arial"/>
                    <w:color w:val="3A3838"/>
                    <w:w w:val="95"/>
                    <w:sz w:val="18"/>
                  </w:rPr>
                  <w:t>Writing:</w:t>
                </w:r>
                <w:r>
                  <w:rPr>
                    <w:rFonts w:ascii="Arial"/>
                    <w:color w:val="3A3838"/>
                    <w:spacing w:val="-12"/>
                    <w:w w:val="95"/>
                    <w:sz w:val="18"/>
                  </w:rPr>
                  <w:t> </w:t>
                </w:r>
                <w:r>
                  <w:rPr>
                    <w:rFonts w:ascii="Arial"/>
                    <w:color w:val="3A3838"/>
                    <w:w w:val="95"/>
                    <w:sz w:val="18"/>
                  </w:rPr>
                  <w:t>Making</w:t>
                </w:r>
                <w:r>
                  <w:rPr>
                    <w:rFonts w:ascii="Arial"/>
                    <w:color w:val="3A3838"/>
                    <w:spacing w:val="7"/>
                    <w:w w:val="95"/>
                    <w:sz w:val="18"/>
                  </w:rPr>
                  <w:t> </w:t>
                </w:r>
                <w:r>
                  <w:rPr>
                    <w:rFonts w:ascii="Arial"/>
                    <w:color w:val="3A3838"/>
                    <w:w w:val="95"/>
                    <w:sz w:val="18"/>
                  </w:rPr>
                  <w:t>Your</w:t>
                </w:r>
                <w:r>
                  <w:rPr>
                    <w:rFonts w:ascii="Arial"/>
                    <w:color w:val="3A3838"/>
                    <w:spacing w:val="-8"/>
                    <w:w w:val="95"/>
                    <w:sz w:val="18"/>
                  </w:rPr>
                  <w:t> </w:t>
                </w:r>
                <w:r>
                  <w:rPr>
                    <w:rFonts w:ascii="Arial"/>
                    <w:color w:val="3A3838"/>
                    <w:w w:val="95"/>
                    <w:sz w:val="18"/>
                  </w:rPr>
                  <w:t>Document</w:t>
                </w:r>
                <w:r>
                  <w:rPr>
                    <w:rFonts w:ascii="Arial"/>
                    <w:color w:val="3A3838"/>
                    <w:spacing w:val="-7"/>
                    <w:w w:val="95"/>
                    <w:sz w:val="18"/>
                  </w:rPr>
                  <w:t> </w:t>
                </w:r>
                <w:r>
                  <w:rPr>
                    <w:rFonts w:ascii="Arial"/>
                    <w:color w:val="3A3838"/>
                    <w:w w:val="95"/>
                    <w:sz w:val="18"/>
                  </w:rPr>
                  <w:t>Reader-Friendly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8.859802pt;margin-top:26.957687pt;width:154.35pt;height:12.1pt;mso-position-horizontal-relative:page;mso-position-vertical-relative:page;z-index:-21598720" type="#_x0000_t202" id="docshape26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color w:val="383638"/>
                    <w:spacing w:val="-1"/>
                    <w:w w:val="105"/>
                    <w:sz w:val="16"/>
                  </w:rPr>
                  <w:t>1.3</w:t>
                </w:r>
                <w:r>
                  <w:rPr>
                    <w:rFonts w:ascii="Arial"/>
                    <w:color w:val="383638"/>
                    <w:spacing w:val="4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83638"/>
                    <w:spacing w:val="-1"/>
                    <w:w w:val="105"/>
                    <w:sz w:val="16"/>
                  </w:rPr>
                  <w:t>Follow</w:t>
                </w:r>
                <w:r>
                  <w:rPr>
                    <w:rFonts w:ascii="Arial"/>
                    <w:color w:val="383638"/>
                    <w:spacing w:val="-20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83638"/>
                    <w:spacing w:val="-1"/>
                    <w:w w:val="105"/>
                    <w:sz w:val="16"/>
                  </w:rPr>
                  <w:t>an</w:t>
                </w:r>
                <w:r>
                  <w:rPr>
                    <w:rFonts w:ascii="Arial"/>
                    <w:color w:val="383638"/>
                    <w:spacing w:val="-6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83638"/>
                    <w:spacing w:val="-1"/>
                    <w:w w:val="105"/>
                    <w:sz w:val="16"/>
                  </w:rPr>
                  <w:t>Effective</w:t>
                </w:r>
                <w:r>
                  <w:rPr>
                    <w:rFonts w:ascii="Arial"/>
                    <w:color w:val="383638"/>
                    <w:spacing w:val="-3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83638"/>
                    <w:spacing w:val="-1"/>
                    <w:w w:val="105"/>
                    <w:sz w:val="16"/>
                  </w:rPr>
                  <w:t>Writing</w:t>
                </w:r>
                <w:r>
                  <w:rPr>
                    <w:rFonts w:ascii="Arial"/>
                    <w:color w:val="383638"/>
                    <w:spacing w:val="-16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b/>
                    <w:color w:val="383638"/>
                    <w:w w:val="105"/>
                    <w:sz w:val="18"/>
                  </w:rPr>
                  <w:t>Process</w:t>
                </w:r>
              </w:p>
            </w:txbxContent>
          </v:textbox>
          <w10:wrap type="none"/>
        </v:shape>
      </w:pict>
    </w:r>
    <w:r>
      <w:rPr/>
      <w:pict>
        <v:shape style="position:absolute;margin-left:432.451111pt;margin-top:26.503422pt;width:6.45pt;height:12.7pt;mso-position-horizontal-relative:page;mso-position-vertical-relative:page;z-index:-21598208" type="#_x0000_t202" id="docshape27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i/>
                    <w:sz w:val="19"/>
                  </w:rPr>
                </w:pPr>
                <w:r>
                  <w:rPr>
                    <w:rFonts w:ascii="Arial"/>
                    <w:b/>
                    <w:i/>
                    <w:color w:val="383638"/>
                    <w:w w:val="83"/>
                    <w:sz w:val="19"/>
                  </w:rPr>
                  <w:t>7</w:t>
                </w:r>
              </w:p>
            </w:txbxContent>
          </v:textbox>
          <w10:wrap type="none"/>
        </v:shape>
      </w:pict>
    </w:r>
  </w:p>
</w:hdr>
</file>

<file path=word/header2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8.961914pt;margin-top:30.346018pt;width:159.65pt;height:12.65pt;mso-position-horizontal-relative:page;mso-position-vertical-relative:page;z-index:-21409280" type="#_x0000_t202" id="docshape423" filled="false" stroked="false">
          <v:textbox inset="0,0,0,0">
            <w:txbxContent>
              <w:p>
                <w:pPr>
                  <w:tabs>
                    <w:tab w:pos="3172" w:val="right" w:leader="none"/>
                  </w:tabs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color w:val="383636"/>
                    <w:w w:val="105"/>
                    <w:sz w:val="17"/>
                  </w:rPr>
                  <w:t>10.1</w:t>
                </w:r>
                <w:r>
                  <w:rPr>
                    <w:rFonts w:ascii="Arial"/>
                    <w:color w:val="383636"/>
                    <w:spacing w:val="2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Find</w:t>
                </w:r>
                <w:r>
                  <w:rPr>
                    <w:rFonts w:ascii="Arial"/>
                    <w:color w:val="383636"/>
                    <w:spacing w:val="-16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Your</w:t>
                </w:r>
                <w:r>
                  <w:rPr>
                    <w:rFonts w:ascii="Arial"/>
                    <w:color w:val="383636"/>
                    <w:spacing w:val="-6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"Kevin</w:t>
                </w:r>
                <w:r>
                  <w:rPr>
                    <w:rFonts w:ascii="Arial"/>
                    <w:color w:val="383636"/>
                    <w:spacing w:val="-14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Bacon"</w:t>
                  <w:tab/>
                </w:r>
                <w:r>
                  <w:rPr>
                    <w:rFonts w:ascii="Arial"/>
                    <w:b/>
                    <w:color w:val="383636"/>
                    <w:w w:val="105"/>
                    <w:sz w:val="19"/>
                  </w:rPr>
                  <w:t>231</w:t>
                </w:r>
              </w:p>
            </w:txbxContent>
          </v:textbox>
          <w10:wrap type="none"/>
        </v:shape>
      </w:pict>
    </w:r>
  </w:p>
</w:hdr>
</file>

<file path=word/header2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.178612pt;margin-top:24.255478pt;width:24.2pt;height:13.15pt;mso-position-horizontal-relative:page;mso-position-vertical-relative:page;z-index:-21408768" type="#_x0000_t202" id="docshape424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B3A3B"/>
                    <w:w w:val="11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5951pt;margin-top:25.149469pt;width:327.2pt;height:12pt;mso-position-horizontal-relative:page;mso-position-vertical-relative:page;z-index:-21408256" type="#_x0000_t202" id="docshape425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B3A3B"/>
                    <w:sz w:val="17"/>
                  </w:rPr>
                  <w:t>Chapter</w:t>
                </w:r>
                <w:r>
                  <w:rPr>
                    <w:rFonts w:ascii="Arial"/>
                    <w:color w:val="3B3A3B"/>
                    <w:spacing w:val="18"/>
                    <w:sz w:val="17"/>
                  </w:rPr>
                  <w:t> </w:t>
                </w:r>
                <w:r>
                  <w:rPr>
                    <w:rFonts w:ascii="Arial"/>
                    <w:color w:val="3B3A3B"/>
                    <w:sz w:val="17"/>
                  </w:rPr>
                  <w:t>Ten   </w:t>
                </w:r>
                <w:r>
                  <w:rPr>
                    <w:rFonts w:ascii="Arial"/>
                    <w:color w:val="3B3A3B"/>
                    <w:spacing w:val="16"/>
                    <w:sz w:val="17"/>
                  </w:rPr>
                  <w:t> </w:t>
                </w:r>
                <w:r>
                  <w:rPr>
                    <w:rFonts w:ascii="Arial"/>
                    <w:color w:val="3B3A3B"/>
                    <w:sz w:val="17"/>
                  </w:rPr>
                  <w:t>Six</w:t>
                </w:r>
                <w:r>
                  <w:rPr>
                    <w:rFonts w:ascii="Arial"/>
                    <w:color w:val="3B3A3B"/>
                    <w:spacing w:val="-12"/>
                    <w:sz w:val="17"/>
                  </w:rPr>
                  <w:t> </w:t>
                </w:r>
                <w:r>
                  <w:rPr>
                    <w:rFonts w:ascii="Arial"/>
                    <w:color w:val="3B3A3B"/>
                    <w:sz w:val="17"/>
                  </w:rPr>
                  <w:t>Degrees</w:t>
                </w:r>
                <w:r>
                  <w:rPr>
                    <w:rFonts w:ascii="Arial"/>
                    <w:color w:val="3B3A3B"/>
                    <w:spacing w:val="-10"/>
                    <w:sz w:val="17"/>
                  </w:rPr>
                  <w:t> </w:t>
                </w:r>
                <w:r>
                  <w:rPr>
                    <w:color w:val="3B3A3B"/>
                    <w:sz w:val="18"/>
                  </w:rPr>
                  <w:t>of</w:t>
                </w:r>
                <w:r>
                  <w:rPr>
                    <w:color w:val="3B3A3B"/>
                    <w:spacing w:val="15"/>
                    <w:sz w:val="18"/>
                  </w:rPr>
                  <w:t> </w:t>
                </w:r>
                <w:r>
                  <w:rPr>
                    <w:rFonts w:ascii="Arial"/>
                    <w:color w:val="3B3A3B"/>
                    <w:sz w:val="17"/>
                  </w:rPr>
                  <w:t>Legal</w:t>
                </w:r>
                <w:r>
                  <w:rPr>
                    <w:rFonts w:ascii="Arial"/>
                    <w:color w:val="3B3A3B"/>
                    <w:spacing w:val="-4"/>
                    <w:sz w:val="17"/>
                  </w:rPr>
                  <w:t> </w:t>
                </w:r>
                <w:r>
                  <w:rPr>
                    <w:rFonts w:ascii="Arial"/>
                    <w:color w:val="3B3A3B"/>
                    <w:sz w:val="17"/>
                  </w:rPr>
                  <w:t>Writing:</w:t>
                </w:r>
                <w:r>
                  <w:rPr>
                    <w:rFonts w:ascii="Arial"/>
                    <w:color w:val="3B3A3B"/>
                    <w:spacing w:val="4"/>
                    <w:sz w:val="17"/>
                  </w:rPr>
                  <w:t> </w:t>
                </w:r>
                <w:r>
                  <w:rPr>
                    <w:rFonts w:ascii="Arial"/>
                    <w:color w:val="3B3A3B"/>
                    <w:sz w:val="17"/>
                  </w:rPr>
                  <w:t>Making</w:t>
                </w:r>
                <w:r>
                  <w:rPr>
                    <w:rFonts w:ascii="Arial"/>
                    <w:color w:val="3B3A3B"/>
                    <w:spacing w:val="-15"/>
                    <w:sz w:val="17"/>
                  </w:rPr>
                  <w:t> </w:t>
                </w:r>
                <w:r>
                  <w:rPr>
                    <w:rFonts w:ascii="Arial"/>
                    <w:color w:val="3B3A3B"/>
                    <w:sz w:val="17"/>
                  </w:rPr>
                  <w:t>Your</w:t>
                </w:r>
                <w:r>
                  <w:rPr>
                    <w:rFonts w:ascii="Arial"/>
                    <w:color w:val="3B3A3B"/>
                    <w:spacing w:val="-2"/>
                    <w:sz w:val="17"/>
                  </w:rPr>
                  <w:t> </w:t>
                </w:r>
                <w:r>
                  <w:rPr>
                    <w:rFonts w:ascii="Arial"/>
                    <w:color w:val="3B3A3B"/>
                    <w:sz w:val="17"/>
                  </w:rPr>
                  <w:t>Document</w:t>
                </w:r>
                <w:r>
                  <w:rPr>
                    <w:rFonts w:ascii="Arial"/>
                    <w:color w:val="3B3A3B"/>
                    <w:spacing w:val="-1"/>
                    <w:sz w:val="17"/>
                  </w:rPr>
                  <w:t> </w:t>
                </w:r>
                <w:r>
                  <w:rPr>
                    <w:rFonts w:ascii="Arial"/>
                    <w:color w:val="2D2A2B"/>
                    <w:sz w:val="17"/>
                  </w:rPr>
                  <w:t>Reader</w:t>
                </w:r>
                <w:r>
                  <w:rPr>
                    <w:rFonts w:ascii="Arial"/>
                    <w:color w:val="4D4D4D"/>
                    <w:sz w:val="17"/>
                  </w:rPr>
                  <w:t>-</w:t>
                </w:r>
                <w:r>
                  <w:rPr>
                    <w:rFonts w:ascii="Arial"/>
                    <w:color w:val="2D2A2B"/>
                    <w:sz w:val="17"/>
                  </w:rPr>
                  <w:t>Fr</w:t>
                </w:r>
                <w:r>
                  <w:rPr>
                    <w:rFonts w:ascii="Arial"/>
                    <w:color w:val="4D4D4D"/>
                    <w:sz w:val="17"/>
                  </w:rPr>
                  <w:t>ie</w:t>
                </w:r>
                <w:r>
                  <w:rPr>
                    <w:rFonts w:ascii="Arial"/>
                    <w:color w:val="2D2A2B"/>
                    <w:sz w:val="17"/>
                  </w:rPr>
                  <w:t>ndly</w:t>
                </w:r>
              </w:p>
            </w:txbxContent>
          </v:textbox>
          <w10:wrap type="none"/>
        </v:shape>
      </w:pict>
    </w:r>
  </w:p>
</w:hdr>
</file>

<file path=word/header2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24.398804pt;margin-top:32.244816pt;width:268.1pt;height:12.1pt;mso-position-horizontal-relative:page;mso-position-vertical-relative:page;z-index:-21407744" type="#_x0000_t202" id="docshape426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B383A"/>
                    <w:sz w:val="17"/>
                  </w:rPr>
                  <w:t>10.2</w:t>
                </w:r>
                <w:r>
                  <w:rPr>
                    <w:rFonts w:ascii="Arial"/>
                    <w:color w:val="3B383A"/>
                    <w:spacing w:val="17"/>
                    <w:sz w:val="17"/>
                  </w:rPr>
                  <w:t> </w:t>
                </w:r>
                <w:r>
                  <w:rPr>
                    <w:rFonts w:ascii="Arial"/>
                    <w:color w:val="3B383A"/>
                    <w:sz w:val="17"/>
                  </w:rPr>
                  <w:t>Install</w:t>
                </w:r>
                <w:r>
                  <w:rPr>
                    <w:rFonts w:ascii="Arial"/>
                    <w:color w:val="3B383A"/>
                    <w:spacing w:val="-9"/>
                    <w:sz w:val="17"/>
                  </w:rPr>
                  <w:t> </w:t>
                </w:r>
                <w:r>
                  <w:rPr>
                    <w:rFonts w:ascii="Arial"/>
                    <w:b/>
                    <w:color w:val="3B383A"/>
                    <w:sz w:val="18"/>
                  </w:rPr>
                  <w:t>a</w:t>
                </w:r>
                <w:r>
                  <w:rPr>
                    <w:rFonts w:ascii="Arial"/>
                    <w:b/>
                    <w:color w:val="3B383A"/>
                    <w:spacing w:val="-15"/>
                    <w:sz w:val="18"/>
                  </w:rPr>
                  <w:t> </w:t>
                </w:r>
                <w:r>
                  <w:rPr>
                    <w:rFonts w:ascii="Arial"/>
                    <w:color w:val="3B383A"/>
                    <w:sz w:val="17"/>
                  </w:rPr>
                  <w:t>Symbolic</w:t>
                </w:r>
                <w:r>
                  <w:rPr>
                    <w:rFonts w:ascii="Arial"/>
                    <w:color w:val="3B383A"/>
                    <w:spacing w:val="-7"/>
                    <w:sz w:val="17"/>
                  </w:rPr>
                  <w:t> </w:t>
                </w:r>
                <w:r>
                  <w:rPr>
                    <w:rFonts w:ascii="Arial"/>
                    <w:color w:val="3B383A"/>
                    <w:sz w:val="17"/>
                  </w:rPr>
                  <w:t>Template</w:t>
                </w:r>
                <w:r>
                  <w:rPr>
                    <w:rFonts w:ascii="Arial"/>
                    <w:color w:val="3B383A"/>
                    <w:spacing w:val="-2"/>
                    <w:sz w:val="17"/>
                  </w:rPr>
                  <w:t> </w:t>
                </w:r>
                <w:r>
                  <w:rPr>
                    <w:rFonts w:ascii="Arial"/>
                    <w:color w:val="3B383A"/>
                    <w:sz w:val="17"/>
                  </w:rPr>
                  <w:t>to</w:t>
                </w:r>
                <w:r>
                  <w:rPr>
                    <w:rFonts w:ascii="Arial"/>
                    <w:color w:val="3B383A"/>
                    <w:spacing w:val="11"/>
                    <w:sz w:val="17"/>
                  </w:rPr>
                  <w:t> </w:t>
                </w:r>
                <w:r>
                  <w:rPr>
                    <w:rFonts w:ascii="Arial"/>
                    <w:color w:val="3B383A"/>
                    <w:sz w:val="17"/>
                  </w:rPr>
                  <w:t>Help</w:t>
                </w:r>
                <w:r>
                  <w:rPr>
                    <w:rFonts w:ascii="Arial"/>
                    <w:color w:val="3B383A"/>
                    <w:spacing w:val="-12"/>
                    <w:sz w:val="17"/>
                  </w:rPr>
                  <w:t> </w:t>
                </w:r>
                <w:r>
                  <w:rPr>
                    <w:rFonts w:ascii="Arial"/>
                    <w:color w:val="3B383A"/>
                    <w:sz w:val="17"/>
                  </w:rPr>
                  <w:t>Your</w:t>
                </w:r>
                <w:r>
                  <w:rPr>
                    <w:rFonts w:ascii="Arial"/>
                    <w:color w:val="3B383A"/>
                    <w:spacing w:val="-11"/>
                    <w:sz w:val="17"/>
                  </w:rPr>
                  <w:t> </w:t>
                </w:r>
                <w:r>
                  <w:rPr>
                    <w:rFonts w:ascii="Arial"/>
                    <w:b/>
                    <w:color w:val="3B383A"/>
                    <w:sz w:val="18"/>
                  </w:rPr>
                  <w:t>Reader </w:t>
                </w:r>
                <w:r>
                  <w:rPr>
                    <w:rFonts w:ascii="Arial"/>
                    <w:color w:val="3B383A"/>
                    <w:sz w:val="17"/>
                  </w:rPr>
                  <w:t>and</w:t>
                </w:r>
                <w:r>
                  <w:rPr>
                    <w:rFonts w:ascii="Arial"/>
                    <w:color w:val="3B383A"/>
                    <w:spacing w:val="7"/>
                    <w:sz w:val="17"/>
                  </w:rPr>
                  <w:t> </w:t>
                </w:r>
                <w:r>
                  <w:rPr>
                    <w:rFonts w:ascii="Arial"/>
                    <w:color w:val="3B383A"/>
                    <w:sz w:val="17"/>
                  </w:rPr>
                  <w:t>Your</w:t>
                </w:r>
                <w:r>
                  <w:rPr>
                    <w:rFonts w:ascii="Arial"/>
                    <w:color w:val="3B383A"/>
                    <w:spacing w:val="-11"/>
                    <w:sz w:val="17"/>
                  </w:rPr>
                  <w:t> </w:t>
                </w:r>
                <w:r>
                  <w:rPr>
                    <w:rFonts w:ascii="Arial"/>
                    <w:color w:val="3B383A"/>
                    <w:sz w:val="17"/>
                  </w:rPr>
                  <w:t>User</w:t>
                </w:r>
              </w:p>
            </w:txbxContent>
          </v:textbox>
          <w10:wrap type="none"/>
        </v:shape>
      </w:pict>
    </w:r>
    <w:r>
      <w:rPr/>
      <w:pict>
        <v:shape style="position:absolute;margin-left:411.486389pt;margin-top:32.244816pt;width:17.1pt;height:12.1pt;mso-position-horizontal-relative:page;mso-position-vertical-relative:page;z-index:-21407232" type="#_x0000_t202" id="docshape427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3B383A"/>
                    <w:sz w:val="18"/>
                  </w:rPr>
                  <w:t>233</w:t>
                </w:r>
              </w:p>
            </w:txbxContent>
          </v:textbox>
          <w10:wrap type="none"/>
        </v:shape>
      </w:pict>
    </w:r>
  </w:p>
</w:hdr>
</file>

<file path=word/header2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.543442pt;margin-top:27.624521pt;width:16.2pt;height:13.15pt;mso-position-horizontal-relative:page;mso-position-vertical-relative:page;z-index:-21406720" type="#_x0000_t202" id="docshape428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83638"/>
                    <w:w w:val="7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9.973198pt;margin-top:28.844683pt;width:327.4pt;height:11.55pt;mso-position-horizontal-relative:page;mso-position-vertical-relative:page;z-index:-21406208" type="#_x0000_t202" id="docshape429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8"/>
                    <w:sz w:val="17"/>
                  </w:rPr>
                  <w:t>Chapter</w:t>
                </w:r>
                <w:r>
                  <w:rPr>
                    <w:rFonts w:ascii="Arial"/>
                    <w:color w:val="383638"/>
                    <w:spacing w:val="4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Ten   </w:t>
                </w:r>
                <w:r>
                  <w:rPr>
                    <w:rFonts w:ascii="Arial"/>
                    <w:color w:val="383638"/>
                    <w:spacing w:val="13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Six</w:t>
                </w:r>
                <w:r>
                  <w:rPr>
                    <w:rFonts w:ascii="Arial"/>
                    <w:color w:val="383638"/>
                    <w:spacing w:val="-13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Degrees</w:t>
                </w:r>
                <w:r>
                  <w:rPr>
                    <w:rFonts w:ascii="Arial"/>
                    <w:color w:val="383638"/>
                    <w:spacing w:val="-13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of</w:t>
                </w:r>
                <w:r>
                  <w:rPr>
                    <w:rFonts w:ascii="Arial"/>
                    <w:color w:val="383638"/>
                    <w:spacing w:val="30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Legal</w:t>
                </w:r>
                <w:r>
                  <w:rPr>
                    <w:rFonts w:ascii="Arial"/>
                    <w:color w:val="383638"/>
                    <w:spacing w:val="-8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Writing:</w:t>
                </w:r>
                <w:r>
                  <w:rPr>
                    <w:rFonts w:ascii="Arial"/>
                    <w:color w:val="383638"/>
                    <w:spacing w:val="6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Making</w:t>
                </w:r>
                <w:r>
                  <w:rPr>
                    <w:rFonts w:ascii="Arial"/>
                    <w:color w:val="383638"/>
                    <w:spacing w:val="-2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Your</w:t>
                </w:r>
                <w:r>
                  <w:rPr>
                    <w:rFonts w:ascii="Arial"/>
                    <w:color w:val="383638"/>
                    <w:spacing w:val="-3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Document</w:t>
                </w:r>
                <w:r>
                  <w:rPr>
                    <w:rFonts w:ascii="Arial"/>
                    <w:color w:val="383638"/>
                    <w:spacing w:val="-2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Reader-Friendly</w:t>
                </w:r>
              </w:p>
            </w:txbxContent>
          </v:textbox>
          <w10:wrap type="none"/>
        </v:shape>
      </w:pict>
    </w:r>
  </w:p>
</w:hdr>
</file>

<file path=word/header2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.526207pt;margin-top:26.467302pt;width:21.65pt;height:12.1pt;mso-position-horizontal-relative:page;mso-position-vertical-relative:page;z-index:-21405696" type="#_x0000_t202" id="docshape430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A383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9.442497pt;margin-top:26.921419pt;width:328.2pt;height:11.55pt;mso-position-horizontal-relative:page;mso-position-vertical-relative:page;z-index:-21405184" type="#_x0000_t202" id="docshape431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A3838"/>
                    <w:sz w:val="17"/>
                  </w:rPr>
                  <w:t>Chapter</w:t>
                </w:r>
                <w:r>
                  <w:rPr>
                    <w:rFonts w:ascii="Arial"/>
                    <w:color w:val="3A3838"/>
                    <w:spacing w:val="17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Ten    Six Degrees of</w:t>
                </w:r>
                <w:r>
                  <w:rPr>
                    <w:rFonts w:ascii="Arial"/>
                    <w:color w:val="3A3838"/>
                    <w:spacing w:val="20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Legal</w:t>
                </w:r>
                <w:r>
                  <w:rPr>
                    <w:rFonts w:ascii="Arial"/>
                    <w:color w:val="3A3838"/>
                    <w:spacing w:val="-7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Writing:</w:t>
                </w:r>
                <w:r>
                  <w:rPr>
                    <w:rFonts w:ascii="Arial"/>
                    <w:color w:val="3A3838"/>
                    <w:spacing w:val="-9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Making</w:t>
                </w:r>
                <w:r>
                  <w:rPr>
                    <w:rFonts w:ascii="Arial"/>
                    <w:color w:val="3A3838"/>
                    <w:spacing w:val="10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Your</w:t>
                </w:r>
                <w:r>
                  <w:rPr>
                    <w:rFonts w:ascii="Arial"/>
                    <w:color w:val="3A3838"/>
                    <w:spacing w:val="-1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Document</w:t>
                </w:r>
                <w:r>
                  <w:rPr>
                    <w:rFonts w:ascii="Arial"/>
                    <w:color w:val="3A3838"/>
                    <w:spacing w:val="-1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Reader-Friendly</w:t>
                </w:r>
              </w:p>
            </w:txbxContent>
          </v:textbox>
          <w10:wrap type="none"/>
        </v:shape>
      </w:pict>
    </w:r>
  </w:p>
</w:hdr>
</file>

<file path=word/header2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24.390999pt;margin-top:26.976286pt;width:308pt;height:12.65pt;mso-position-horizontal-relative:page;mso-position-vertical-relative:page;z-index:-21404672" type="#_x0000_t202" id="docshape432" filled="false" stroked="false">
          <v:textbox inset="0,0,0,0">
            <w:txbxContent>
              <w:p>
                <w:pPr>
                  <w:tabs>
                    <w:tab w:pos="6079" w:val="right" w:leader="none"/>
                  </w:tabs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color w:val="3B383A"/>
                    <w:sz w:val="17"/>
                  </w:rPr>
                  <w:t>10.2</w:t>
                </w:r>
                <w:r>
                  <w:rPr>
                    <w:rFonts w:ascii="Arial"/>
                    <w:color w:val="3B383A"/>
                    <w:spacing w:val="23"/>
                    <w:sz w:val="17"/>
                  </w:rPr>
                  <w:t> </w:t>
                </w:r>
                <w:r>
                  <w:rPr>
                    <w:rFonts w:ascii="Arial"/>
                    <w:color w:val="3B383A"/>
                    <w:sz w:val="17"/>
                  </w:rPr>
                  <w:t>Install</w:t>
                </w:r>
                <w:r>
                  <w:rPr>
                    <w:rFonts w:ascii="Arial"/>
                    <w:color w:val="3B383A"/>
                    <w:spacing w:val="-6"/>
                    <w:sz w:val="17"/>
                  </w:rPr>
                  <w:t> </w:t>
                </w:r>
                <w:r>
                  <w:rPr>
                    <w:rFonts w:ascii="Arial"/>
                    <w:color w:val="3B383A"/>
                    <w:sz w:val="17"/>
                  </w:rPr>
                  <w:t>a</w:t>
                </w:r>
                <w:r>
                  <w:rPr>
                    <w:rFonts w:ascii="Arial"/>
                    <w:color w:val="3B383A"/>
                    <w:spacing w:val="-10"/>
                    <w:sz w:val="17"/>
                  </w:rPr>
                  <w:t> </w:t>
                </w:r>
                <w:r>
                  <w:rPr>
                    <w:rFonts w:ascii="Arial"/>
                    <w:color w:val="3B383A"/>
                    <w:sz w:val="17"/>
                  </w:rPr>
                  <w:t>Symbolic</w:t>
                </w:r>
                <w:r>
                  <w:rPr>
                    <w:rFonts w:ascii="Arial"/>
                    <w:color w:val="3B383A"/>
                    <w:spacing w:val="8"/>
                    <w:sz w:val="17"/>
                  </w:rPr>
                  <w:t> </w:t>
                </w:r>
                <w:r>
                  <w:rPr>
                    <w:rFonts w:ascii="Arial"/>
                    <w:color w:val="3B383A"/>
                    <w:sz w:val="17"/>
                  </w:rPr>
                  <w:t>Template</w:t>
                </w:r>
                <w:r>
                  <w:rPr>
                    <w:rFonts w:ascii="Arial"/>
                    <w:color w:val="3B383A"/>
                    <w:spacing w:val="1"/>
                    <w:sz w:val="17"/>
                  </w:rPr>
                  <w:t> </w:t>
                </w:r>
                <w:r>
                  <w:rPr>
                    <w:rFonts w:ascii="Arial"/>
                    <w:color w:val="3B383A"/>
                    <w:sz w:val="17"/>
                  </w:rPr>
                  <w:t>to</w:t>
                </w:r>
                <w:r>
                  <w:rPr>
                    <w:rFonts w:ascii="Arial"/>
                    <w:color w:val="3B383A"/>
                    <w:spacing w:val="15"/>
                    <w:sz w:val="17"/>
                  </w:rPr>
                  <w:t> </w:t>
                </w:r>
                <w:r>
                  <w:rPr>
                    <w:rFonts w:ascii="Arial"/>
                    <w:color w:val="3B383A"/>
                    <w:sz w:val="17"/>
                  </w:rPr>
                  <w:t>Help</w:t>
                </w:r>
                <w:r>
                  <w:rPr>
                    <w:rFonts w:ascii="Arial"/>
                    <w:color w:val="3B383A"/>
                    <w:spacing w:val="-8"/>
                    <w:sz w:val="17"/>
                  </w:rPr>
                  <w:t> </w:t>
                </w:r>
                <w:r>
                  <w:rPr>
                    <w:rFonts w:ascii="Arial"/>
                    <w:color w:val="3B383A"/>
                    <w:sz w:val="17"/>
                  </w:rPr>
                  <w:t>Your</w:t>
                </w:r>
                <w:r>
                  <w:rPr>
                    <w:rFonts w:ascii="Arial"/>
                    <w:color w:val="3B383A"/>
                    <w:spacing w:val="-9"/>
                    <w:sz w:val="17"/>
                  </w:rPr>
                  <w:t> </w:t>
                </w:r>
                <w:r>
                  <w:rPr>
                    <w:rFonts w:ascii="Arial"/>
                    <w:color w:val="3B383A"/>
                    <w:sz w:val="17"/>
                  </w:rPr>
                  <w:t>Reader</w:t>
                </w:r>
                <w:r>
                  <w:rPr>
                    <w:rFonts w:ascii="Arial"/>
                    <w:color w:val="3B383A"/>
                    <w:spacing w:val="5"/>
                    <w:sz w:val="17"/>
                  </w:rPr>
                  <w:t> </w:t>
                </w:r>
                <w:r>
                  <w:rPr>
                    <w:rFonts w:ascii="Arial"/>
                    <w:color w:val="3B383A"/>
                    <w:sz w:val="17"/>
                  </w:rPr>
                  <w:t>and</w:t>
                </w:r>
                <w:r>
                  <w:rPr>
                    <w:rFonts w:ascii="Arial"/>
                    <w:color w:val="3B383A"/>
                    <w:spacing w:val="39"/>
                    <w:sz w:val="17"/>
                  </w:rPr>
                  <w:t> </w:t>
                </w:r>
                <w:r>
                  <w:rPr>
                    <w:rFonts w:ascii="Arial"/>
                    <w:color w:val="3B383A"/>
                    <w:sz w:val="17"/>
                  </w:rPr>
                  <w:t>Your</w:t>
                </w:r>
                <w:r>
                  <w:rPr>
                    <w:rFonts w:ascii="Arial"/>
                    <w:color w:val="3B383A"/>
                    <w:spacing w:val="-8"/>
                    <w:sz w:val="17"/>
                  </w:rPr>
                  <w:t> </w:t>
                </w:r>
                <w:r>
                  <w:rPr>
                    <w:rFonts w:ascii="Arial"/>
                    <w:color w:val="3B383A"/>
                    <w:sz w:val="17"/>
                  </w:rPr>
                  <w:t>User</w:t>
                  <w:tab/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B383A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.554298pt;margin-top:24.260513pt;width:24.5pt;height:13.15pt;mso-position-horizontal-relative:page;mso-position-vertical-relative:page;z-index:-21404160" type="#_x0000_t202" id="docshape433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B3B3B"/>
                    <w:w w:val="11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0.0821pt;margin-top:25.154686pt;width:326.95pt;height:12.05pt;mso-position-horizontal-relative:page;mso-position-vertical-relative:page;z-index:-21403648" type="#_x0000_t202" id="docshape434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B3B3B"/>
                    <w:sz w:val="18"/>
                  </w:rPr>
                  <w:t>Chapter</w:t>
                </w:r>
                <w:r>
                  <w:rPr>
                    <w:color w:val="3B3B3B"/>
                    <w:spacing w:val="-2"/>
                    <w:sz w:val="18"/>
                  </w:rPr>
                  <w:t> </w:t>
                </w:r>
                <w:r>
                  <w:rPr>
                    <w:color w:val="3B3B3B"/>
                    <w:sz w:val="18"/>
                  </w:rPr>
                  <w:t>Ten   </w:t>
                </w:r>
                <w:r>
                  <w:rPr>
                    <w:color w:val="3B3B3B"/>
                    <w:spacing w:val="35"/>
                    <w:sz w:val="18"/>
                  </w:rPr>
                  <w:t> </w:t>
                </w:r>
                <w:r>
                  <w:rPr>
                    <w:color w:val="3B3B3B"/>
                    <w:sz w:val="18"/>
                  </w:rPr>
                  <w:t>Six</w:t>
                </w:r>
                <w:r>
                  <w:rPr>
                    <w:color w:val="3B3B3B"/>
                    <w:spacing w:val="14"/>
                    <w:sz w:val="18"/>
                  </w:rPr>
                  <w:t> </w:t>
                </w:r>
                <w:r>
                  <w:rPr>
                    <w:color w:val="3B3B3B"/>
                    <w:sz w:val="18"/>
                  </w:rPr>
                  <w:t>Degrees</w:t>
                </w:r>
                <w:r>
                  <w:rPr>
                    <w:color w:val="3B3B3B"/>
                    <w:spacing w:val="-1"/>
                    <w:sz w:val="18"/>
                  </w:rPr>
                  <w:t> </w:t>
                </w:r>
                <w:r>
                  <w:rPr>
                    <w:color w:val="3B3B3B"/>
                    <w:sz w:val="18"/>
                  </w:rPr>
                  <w:t>of</w:t>
                </w:r>
                <w:r>
                  <w:rPr>
                    <w:color w:val="3B3B3B"/>
                    <w:spacing w:val="16"/>
                    <w:sz w:val="18"/>
                  </w:rPr>
                  <w:t> </w:t>
                </w:r>
                <w:r>
                  <w:rPr>
                    <w:color w:val="3B3B3B"/>
                    <w:sz w:val="18"/>
                  </w:rPr>
                  <w:t>Legal</w:t>
                </w:r>
                <w:r>
                  <w:rPr>
                    <w:color w:val="3B3B3B"/>
                    <w:spacing w:val="7"/>
                    <w:sz w:val="18"/>
                  </w:rPr>
                  <w:t> </w:t>
                </w:r>
                <w:r>
                  <w:rPr>
                    <w:color w:val="3B3B3B"/>
                    <w:sz w:val="18"/>
                  </w:rPr>
                  <w:t>Writing:</w:t>
                </w:r>
                <w:r>
                  <w:rPr>
                    <w:color w:val="3B3B3B"/>
                    <w:spacing w:val="8"/>
                    <w:sz w:val="18"/>
                  </w:rPr>
                  <w:t> </w:t>
                </w:r>
                <w:r>
                  <w:rPr>
                    <w:color w:val="3B3B3B"/>
                    <w:sz w:val="18"/>
                  </w:rPr>
                  <w:t>Making</w:t>
                </w:r>
                <w:r>
                  <w:rPr>
                    <w:color w:val="3B3B3B"/>
                    <w:spacing w:val="26"/>
                    <w:sz w:val="18"/>
                  </w:rPr>
                  <w:t> </w:t>
                </w:r>
                <w:r>
                  <w:rPr>
                    <w:color w:val="3B3B3B"/>
                    <w:sz w:val="18"/>
                  </w:rPr>
                  <w:t>Your</w:t>
                </w:r>
                <w:r>
                  <w:rPr>
                    <w:color w:val="3B3B3B"/>
                    <w:spacing w:val="13"/>
                    <w:sz w:val="18"/>
                  </w:rPr>
                  <w:t> </w:t>
                </w:r>
                <w:r>
                  <w:rPr>
                    <w:color w:val="3B3B3B"/>
                    <w:sz w:val="18"/>
                  </w:rPr>
                  <w:t>Document</w:t>
                </w:r>
                <w:r>
                  <w:rPr>
                    <w:color w:val="3B3B3B"/>
                    <w:spacing w:val="16"/>
                    <w:sz w:val="18"/>
                  </w:rPr>
                  <w:t> </w:t>
                </w:r>
                <w:r>
                  <w:rPr>
                    <w:color w:val="3B3B3B"/>
                    <w:sz w:val="18"/>
                  </w:rPr>
                  <w:t>Reader-Friendly</w:t>
                </w:r>
              </w:p>
            </w:txbxContent>
          </v:textbox>
          <w10:wrap type="none"/>
        </v:shape>
      </w:pict>
    </w:r>
  </w:p>
</w:hdr>
</file>

<file path=word/header2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24.862396pt;margin-top:25.990206pt;width:308.55pt;height:12.1pt;mso-position-horizontal-relative:page;mso-position-vertical-relative:page;z-index:-21403136" type="#_x0000_t202" id="docshape435" filled="false" stroked="false">
          <v:textbox inset="0,0,0,0">
            <w:txbxContent>
              <w:p>
                <w:pPr>
                  <w:tabs>
                    <w:tab w:pos="6090" w:val="right" w:leader="none"/>
                  </w:tabs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color w:val="3A3838"/>
                    <w:sz w:val="17"/>
                  </w:rPr>
                  <w:t>10.2</w:t>
                </w:r>
                <w:r>
                  <w:rPr>
                    <w:rFonts w:ascii="Arial"/>
                    <w:color w:val="3A3838"/>
                    <w:spacing w:val="24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Install</w:t>
                </w:r>
                <w:r>
                  <w:rPr>
                    <w:rFonts w:ascii="Arial"/>
                    <w:color w:val="3A3838"/>
                    <w:spacing w:val="-4"/>
                    <w:sz w:val="17"/>
                  </w:rPr>
                  <w:t> </w:t>
                </w:r>
                <w:r>
                  <w:rPr>
                    <w:rFonts w:ascii="Arial"/>
                    <w:b/>
                    <w:color w:val="3A3838"/>
                    <w:sz w:val="17"/>
                  </w:rPr>
                  <w:t>a</w:t>
                </w:r>
                <w:r>
                  <w:rPr>
                    <w:rFonts w:ascii="Arial"/>
                    <w:b/>
                    <w:color w:val="3A3838"/>
                    <w:spacing w:val="-1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Symbolic</w:t>
                </w:r>
                <w:r>
                  <w:rPr>
                    <w:rFonts w:ascii="Arial"/>
                    <w:color w:val="3A3838"/>
                    <w:spacing w:val="-2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Template</w:t>
                </w:r>
                <w:r>
                  <w:rPr>
                    <w:rFonts w:ascii="Arial"/>
                    <w:color w:val="3A3838"/>
                    <w:spacing w:val="-14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to</w:t>
                </w:r>
                <w:r>
                  <w:rPr>
                    <w:rFonts w:ascii="Arial"/>
                    <w:color w:val="3A3838"/>
                    <w:spacing w:val="23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Help</w:t>
                </w:r>
                <w:r>
                  <w:rPr>
                    <w:rFonts w:ascii="Arial"/>
                    <w:color w:val="3A3838"/>
                    <w:spacing w:val="-7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Your</w:t>
                </w:r>
                <w:r>
                  <w:rPr>
                    <w:rFonts w:ascii="Arial"/>
                    <w:color w:val="3A3838"/>
                    <w:spacing w:val="2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Reader</w:t>
                </w:r>
                <w:r>
                  <w:rPr>
                    <w:rFonts w:ascii="Arial"/>
                    <w:color w:val="3A3838"/>
                    <w:spacing w:val="6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and</w:t>
                </w:r>
                <w:r>
                  <w:rPr>
                    <w:rFonts w:ascii="Arial"/>
                    <w:color w:val="3A3838"/>
                    <w:spacing w:val="40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Your</w:t>
                </w:r>
                <w:r>
                  <w:rPr>
                    <w:rFonts w:ascii="Arial"/>
                    <w:color w:val="3A3838"/>
                    <w:spacing w:val="-7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User</w:t>
                  <w:tab/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A383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.207603pt;margin-top:23.297213pt;width:23.3pt;height:13.15pt;mso-position-horizontal-relative:page;mso-position-vertical-relative:page;z-index:-21402624" type="#_x0000_t202" id="docshape436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83638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157501pt;margin-top:24.517696pt;width:329.2pt;height:11.55pt;mso-position-horizontal-relative:page;mso-position-vertical-relative:page;z-index:-21402112" type="#_x0000_t202" id="docshape437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8"/>
                    <w:sz w:val="17"/>
                  </w:rPr>
                  <w:t>Chapter</w:t>
                </w:r>
                <w:r>
                  <w:rPr>
                    <w:rFonts w:ascii="Arial"/>
                    <w:color w:val="383638"/>
                    <w:spacing w:val="3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Ten   </w:t>
                </w:r>
                <w:r>
                  <w:rPr>
                    <w:rFonts w:ascii="Arial"/>
                    <w:color w:val="383638"/>
                    <w:spacing w:val="1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Six</w:t>
                </w:r>
                <w:r>
                  <w:rPr>
                    <w:rFonts w:ascii="Arial"/>
                    <w:color w:val="383638"/>
                    <w:spacing w:val="1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Degrees</w:t>
                </w:r>
                <w:r>
                  <w:rPr>
                    <w:rFonts w:ascii="Arial"/>
                    <w:color w:val="383638"/>
                    <w:spacing w:val="16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of</w:t>
                </w:r>
                <w:r>
                  <w:rPr>
                    <w:rFonts w:ascii="Arial"/>
                    <w:color w:val="383638"/>
                    <w:spacing w:val="24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Legal</w:t>
                </w:r>
                <w:r>
                  <w:rPr>
                    <w:rFonts w:ascii="Arial"/>
                    <w:color w:val="383638"/>
                    <w:spacing w:val="-7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Writing:</w:t>
                </w:r>
                <w:r>
                  <w:rPr>
                    <w:rFonts w:ascii="Arial"/>
                    <w:color w:val="383638"/>
                    <w:spacing w:val="-11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Making</w:t>
                </w:r>
                <w:r>
                  <w:rPr>
                    <w:rFonts w:ascii="Arial"/>
                    <w:color w:val="383638"/>
                    <w:spacing w:val="-3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Your</w:t>
                </w:r>
                <w:r>
                  <w:rPr>
                    <w:rFonts w:ascii="Arial"/>
                    <w:color w:val="383638"/>
                    <w:spacing w:val="-2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Document</w:t>
                </w:r>
                <w:r>
                  <w:rPr>
                    <w:rFonts w:ascii="Arial"/>
                    <w:color w:val="383638"/>
                    <w:spacing w:val="10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Reader-Friendly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2.208832pt;margin-top:21.178909pt;width:12.5pt;height:12.1pt;mso-position-horizontal-relative:page;mso-position-vertical-relative:page;z-index:-21597696" type="#_x0000_t202" id="docshape28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B383A"/>
                    <w:w w:val="109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1.764397pt;margin-top:21.633207pt;width:109.45pt;height:11.55pt;mso-position-horizontal-relative:page;mso-position-vertical-relative:page;z-index:-21597184" type="#_x0000_t202" id="docshape29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B383A"/>
                    <w:w w:val="105"/>
                    <w:sz w:val="17"/>
                  </w:rPr>
                  <w:t>Chapter</w:t>
                </w:r>
                <w:r>
                  <w:rPr>
                    <w:rFonts w:ascii="Arial"/>
                    <w:color w:val="3B383A"/>
                    <w:spacing w:val="2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83A"/>
                    <w:w w:val="105"/>
                    <w:sz w:val="17"/>
                  </w:rPr>
                  <w:t>One  </w:t>
                </w:r>
                <w:r>
                  <w:rPr>
                    <w:rFonts w:ascii="Arial"/>
                    <w:color w:val="3B383A"/>
                    <w:spacing w:val="16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83A"/>
                    <w:w w:val="105"/>
                    <w:sz w:val="17"/>
                  </w:rPr>
                  <w:t>Introduction</w:t>
                </w:r>
              </w:p>
            </w:txbxContent>
          </v:textbox>
          <w10:wrap type="none"/>
        </v:shape>
      </w:pict>
    </w:r>
  </w:p>
</w:hdr>
</file>

<file path=word/header2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25.901398pt;margin-top:24.091017pt;width:310.25pt;height:12.65pt;mso-position-horizontal-relative:page;mso-position-vertical-relative:page;z-index:-21401600" type="#_x0000_t202" id="docshape438" filled="false" stroked="false">
          <v:textbox inset="0,0,0,0">
            <w:txbxContent>
              <w:p>
                <w:pPr>
                  <w:tabs>
                    <w:tab w:pos="6124" w:val="right" w:leader="none"/>
                  </w:tabs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color w:val="383638"/>
                    <w:sz w:val="17"/>
                  </w:rPr>
                  <w:t>10.2</w:t>
                </w:r>
                <w:r>
                  <w:rPr>
                    <w:rFonts w:ascii="Arial"/>
                    <w:color w:val="383638"/>
                    <w:spacing w:val="24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Install</w:t>
                </w:r>
                <w:r>
                  <w:rPr>
                    <w:rFonts w:ascii="Arial"/>
                    <w:color w:val="383638"/>
                    <w:spacing w:val="-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a Symbolic</w:t>
                </w:r>
                <w:r>
                  <w:rPr>
                    <w:rFonts w:ascii="Arial"/>
                    <w:color w:val="383638"/>
                    <w:spacing w:val="6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Template</w:t>
                </w:r>
                <w:r>
                  <w:rPr>
                    <w:rFonts w:ascii="Arial"/>
                    <w:color w:val="383638"/>
                    <w:spacing w:val="1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to</w:t>
                </w:r>
                <w:r>
                  <w:rPr>
                    <w:rFonts w:ascii="Arial"/>
                    <w:color w:val="383638"/>
                    <w:spacing w:val="27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Help</w:t>
                </w:r>
                <w:r>
                  <w:rPr>
                    <w:rFonts w:ascii="Arial"/>
                    <w:color w:val="383638"/>
                    <w:spacing w:val="-20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Your</w:t>
                </w:r>
                <w:r>
                  <w:rPr>
                    <w:rFonts w:ascii="Arial"/>
                    <w:color w:val="383638"/>
                    <w:spacing w:val="-9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Reader</w:t>
                </w:r>
                <w:r>
                  <w:rPr>
                    <w:rFonts w:ascii="Arial"/>
                    <w:color w:val="383638"/>
                    <w:spacing w:val="4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and</w:t>
                </w:r>
                <w:r>
                  <w:rPr>
                    <w:rFonts w:ascii="Arial"/>
                    <w:color w:val="383638"/>
                    <w:spacing w:val="44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Your</w:t>
                </w:r>
                <w:r>
                  <w:rPr>
                    <w:rFonts w:ascii="Arial"/>
                    <w:color w:val="383638"/>
                    <w:spacing w:val="-9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User</w:t>
                  <w:tab/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8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390846pt;margin-top:22.595366pt;width:329.75pt;height:11.55pt;mso-position-horizontal-relative:page;mso-position-vertical-relative:page;z-index:-21401088" type="#_x0000_t202" id="docshape439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63436"/>
                    <w:sz w:val="17"/>
                  </w:rPr>
                  <w:t>Chapter</w:t>
                </w:r>
                <w:r>
                  <w:rPr>
                    <w:rFonts w:ascii="Arial"/>
                    <w:color w:val="363436"/>
                    <w:spacing w:val="20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sz w:val="17"/>
                  </w:rPr>
                  <w:t>Ten   </w:t>
                </w:r>
                <w:r>
                  <w:rPr>
                    <w:rFonts w:ascii="Arial"/>
                    <w:color w:val="363436"/>
                    <w:spacing w:val="23"/>
                    <w:sz w:val="17"/>
                  </w:rPr>
                  <w:t> </w:t>
                </w:r>
                <w:r>
                  <w:rPr>
                    <w:rFonts w:ascii="Arial"/>
                    <w:color w:val="464648"/>
                    <w:sz w:val="17"/>
                  </w:rPr>
                  <w:t>Six</w:t>
                </w:r>
                <w:r>
                  <w:rPr>
                    <w:rFonts w:ascii="Arial"/>
                    <w:color w:val="464648"/>
                    <w:spacing w:val="-11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sz w:val="17"/>
                  </w:rPr>
                  <w:t>Degrees</w:t>
                </w:r>
                <w:r>
                  <w:rPr>
                    <w:rFonts w:ascii="Arial"/>
                    <w:color w:val="363436"/>
                    <w:spacing w:val="2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sz w:val="17"/>
                  </w:rPr>
                  <w:t>of</w:t>
                </w:r>
                <w:r>
                  <w:rPr>
                    <w:rFonts w:ascii="Arial"/>
                    <w:color w:val="363436"/>
                    <w:spacing w:val="35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sz w:val="17"/>
                  </w:rPr>
                  <w:t>Legal</w:t>
                </w:r>
                <w:r>
                  <w:rPr>
                    <w:rFonts w:ascii="Arial"/>
                    <w:color w:val="363436"/>
                    <w:spacing w:val="-5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sz w:val="17"/>
                  </w:rPr>
                  <w:t>Writing:</w:t>
                </w:r>
                <w:r>
                  <w:rPr>
                    <w:rFonts w:ascii="Arial"/>
                    <w:color w:val="363436"/>
                    <w:spacing w:val="-5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sz w:val="17"/>
                  </w:rPr>
                  <w:t>Making</w:t>
                </w:r>
                <w:r>
                  <w:rPr>
                    <w:rFonts w:ascii="Arial"/>
                    <w:color w:val="363436"/>
                    <w:spacing w:val="-1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sz w:val="17"/>
                  </w:rPr>
                  <w:t>Your</w:t>
                </w:r>
                <w:r>
                  <w:rPr>
                    <w:rFonts w:ascii="Arial"/>
                    <w:color w:val="363436"/>
                    <w:spacing w:val="-1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sz w:val="17"/>
                  </w:rPr>
                  <w:t>Document</w:t>
                </w:r>
                <w:r>
                  <w:rPr>
                    <w:rFonts w:ascii="Arial"/>
                    <w:color w:val="363436"/>
                    <w:spacing w:val="-1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sz w:val="17"/>
                  </w:rPr>
                  <w:t>Reader-Friendly</w:t>
                </w:r>
              </w:p>
            </w:txbxContent>
          </v:textbox>
          <w10:wrap type="none"/>
        </v:shape>
      </w:pict>
    </w:r>
    <w:r>
      <w:rPr/>
      <w:pict>
        <v:shape style="position:absolute;margin-left:58.97625pt;margin-top:23.267027pt;width:22.2pt;height:12.6pt;mso-position-horizontal-relative:page;mso-position-vertical-relative:page;z-index:-21400576" type="#_x0000_t202" id="docshape440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63436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25.273697pt;margin-top:36.239395pt;width:268.5pt;height:12.05pt;mso-position-horizontal-relative:page;mso-position-vertical-relative:page;z-index:-21400064" type="#_x0000_t202" id="docshape441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A3838"/>
                    <w:spacing w:val="-1"/>
                    <w:w w:val="105"/>
                    <w:sz w:val="18"/>
                  </w:rPr>
                  <w:t>10.2</w:t>
                </w:r>
                <w:r>
                  <w:rPr>
                    <w:color w:val="3A3838"/>
                    <w:spacing w:val="25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w w:val="105"/>
                    <w:sz w:val="18"/>
                  </w:rPr>
                  <w:t>Install</w:t>
                </w:r>
                <w:r>
                  <w:rPr>
                    <w:color w:val="3A3838"/>
                    <w:spacing w:val="-9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w w:val="105"/>
                    <w:sz w:val="18"/>
                  </w:rPr>
                  <w:t>a</w:t>
                </w:r>
                <w:r>
                  <w:rPr>
                    <w:color w:val="3A3838"/>
                    <w:spacing w:val="12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w w:val="105"/>
                    <w:sz w:val="18"/>
                  </w:rPr>
                  <w:t>Symbolic</w:t>
                </w:r>
                <w:r>
                  <w:rPr>
                    <w:color w:val="3A3838"/>
                    <w:spacing w:val="-20"/>
                    <w:w w:val="105"/>
                    <w:sz w:val="18"/>
                  </w:rPr>
                  <w:t> </w:t>
                </w:r>
                <w:r>
                  <w:rPr>
                    <w:color w:val="2A282A"/>
                    <w:spacing w:val="-1"/>
                    <w:w w:val="105"/>
                    <w:sz w:val="18"/>
                  </w:rPr>
                  <w:t>Template</w:t>
                </w:r>
                <w:r>
                  <w:rPr>
                    <w:color w:val="2A282A"/>
                    <w:spacing w:val="-5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w w:val="105"/>
                    <w:sz w:val="18"/>
                  </w:rPr>
                  <w:t>to</w:t>
                </w:r>
                <w:r>
                  <w:rPr>
                    <w:color w:val="3A3838"/>
                    <w:spacing w:val="13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w w:val="105"/>
                    <w:sz w:val="18"/>
                  </w:rPr>
                  <w:t>Help</w:t>
                </w:r>
                <w:r>
                  <w:rPr>
                    <w:color w:val="3A3838"/>
                    <w:spacing w:val="-10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Your</w:t>
                </w:r>
                <w:r>
                  <w:rPr>
                    <w:color w:val="3A3838"/>
                    <w:spacing w:val="-4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Reader</w:t>
                </w:r>
                <w:r>
                  <w:rPr>
                    <w:color w:val="3A3838"/>
                    <w:spacing w:val="-14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and</w:t>
                </w:r>
                <w:r>
                  <w:rPr>
                    <w:color w:val="3A3838"/>
                    <w:spacing w:val="37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Your</w:t>
                </w:r>
                <w:r>
                  <w:rPr>
                    <w:color w:val="3A3838"/>
                    <w:spacing w:val="-2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User</w:t>
                </w:r>
              </w:p>
            </w:txbxContent>
          </v:textbox>
          <w10:wrap type="none"/>
        </v:shape>
      </w:pict>
    </w:r>
    <w:r>
      <w:rPr/>
      <w:pict>
        <v:shape style="position:absolute;margin-left:412.572693pt;margin-top:36.111492pt;width:17.55pt;height:12.1pt;mso-position-horizontal-relative:page;mso-position-vertical-relative:page;z-index:-21399552" type="#_x0000_t202" id="docshape44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3A3838"/>
                    <w:w w:val="105"/>
                    <w:sz w:val="18"/>
                  </w:rPr>
                  <w:t>243</w:t>
                </w:r>
              </w:p>
            </w:txbxContent>
          </v:textbox>
          <w10:wrap type="none"/>
        </v:shape>
      </w:pict>
    </w:r>
  </w:p>
</w:hdr>
</file>

<file path=word/header2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510578pt;margin-top:24.300781pt;width:24.25pt;height:13.7pt;mso-position-horizontal-relative:page;mso-position-vertical-relative:page;z-index:-21399040" type="#_x0000_t202" id="docshape449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A383A"/>
                    <w:w w:val="11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6.952431pt;margin-top:25.968723pt;width:330.75pt;height:11.55pt;mso-position-horizontal-relative:page;mso-position-vertical-relative:page;z-index:-21398528" type="#_x0000_t202" id="docshape450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A383A"/>
                    <w:sz w:val="17"/>
                  </w:rPr>
                  <w:t>Chapter</w:t>
                </w:r>
                <w:r>
                  <w:rPr>
                    <w:rFonts w:ascii="Arial"/>
                    <w:color w:val="3A383A"/>
                    <w:spacing w:val="-3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sz w:val="17"/>
                  </w:rPr>
                  <w:t>Ten   </w:t>
                </w:r>
                <w:r>
                  <w:rPr>
                    <w:rFonts w:ascii="Arial"/>
                    <w:color w:val="3A383A"/>
                    <w:spacing w:val="35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sz w:val="17"/>
                  </w:rPr>
                  <w:t>Six</w:t>
                </w:r>
                <w:r>
                  <w:rPr>
                    <w:rFonts w:ascii="Arial"/>
                    <w:color w:val="3A383A"/>
                    <w:spacing w:val="8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sz w:val="17"/>
                  </w:rPr>
                  <w:t>Degree</w:t>
                </w:r>
                <w:r>
                  <w:rPr>
                    <w:rFonts w:ascii="Arial"/>
                    <w:color w:val="525254"/>
                    <w:sz w:val="17"/>
                  </w:rPr>
                  <w:t>s</w:t>
                </w:r>
                <w:r>
                  <w:rPr>
                    <w:rFonts w:ascii="Arial"/>
                    <w:color w:val="525254"/>
                    <w:spacing w:val="-10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sz w:val="17"/>
                  </w:rPr>
                  <w:t>of</w:t>
                </w:r>
                <w:r>
                  <w:rPr>
                    <w:rFonts w:ascii="Arial"/>
                    <w:color w:val="3A383A"/>
                    <w:spacing w:val="34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sz w:val="17"/>
                  </w:rPr>
                  <w:t>Legal</w:t>
                </w:r>
                <w:r>
                  <w:rPr>
                    <w:rFonts w:ascii="Arial"/>
                    <w:color w:val="3A383A"/>
                    <w:spacing w:val="-3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sz w:val="17"/>
                  </w:rPr>
                  <w:t>Writing</w:t>
                </w:r>
                <w:r>
                  <w:rPr>
                    <w:rFonts w:ascii="Arial"/>
                    <w:color w:val="525254"/>
                    <w:sz w:val="17"/>
                  </w:rPr>
                  <w:t>:</w:t>
                </w:r>
                <w:r>
                  <w:rPr>
                    <w:rFonts w:ascii="Arial"/>
                    <w:color w:val="525254"/>
                    <w:spacing w:val="17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sz w:val="17"/>
                  </w:rPr>
                  <w:t>Making</w:t>
                </w:r>
                <w:r>
                  <w:rPr>
                    <w:rFonts w:ascii="Arial"/>
                    <w:color w:val="3A383A"/>
                    <w:spacing w:val="1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sz w:val="17"/>
                  </w:rPr>
                  <w:t>Your</w:t>
                </w:r>
                <w:r>
                  <w:rPr>
                    <w:rFonts w:ascii="Arial"/>
                    <w:color w:val="3A383A"/>
                    <w:spacing w:val="1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sz w:val="17"/>
                  </w:rPr>
                  <w:t>Document</w:t>
                </w:r>
                <w:r>
                  <w:rPr>
                    <w:rFonts w:ascii="Arial"/>
                    <w:color w:val="3A383A"/>
                    <w:spacing w:val="1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sz w:val="17"/>
                  </w:rPr>
                  <w:t>Reader-Friendly</w:t>
                </w:r>
              </w:p>
            </w:txbxContent>
          </v:textbox>
          <w10:wrap type="none"/>
        </v:shape>
      </w:pict>
    </w:r>
  </w:p>
</w:hdr>
</file>

<file path=word/header2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9.071999pt;margin-top:34.805584pt;width:305.850pt;height:12.6pt;mso-position-horizontal-relative:page;mso-position-vertical-relative:page;z-index:-21398016" type="#_x0000_t202" id="docshape451" filled="false" stroked="false">
          <v:textbox inset="0,0,0,0">
            <w:txbxContent>
              <w:p>
                <w:pPr>
                  <w:tabs>
                    <w:tab w:pos="5799" w:val="left" w:leader="none"/>
                  </w:tabs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rFonts w:ascii="Arial"/>
                    <w:color w:val="383436"/>
                    <w:sz w:val="17"/>
                  </w:rPr>
                  <w:t>10.2</w:t>
                </w:r>
                <w:r>
                  <w:rPr>
                    <w:rFonts w:ascii="Arial"/>
                    <w:color w:val="383436"/>
                    <w:spacing w:val="31"/>
                    <w:sz w:val="17"/>
                  </w:rPr>
                  <w:t> </w:t>
                </w:r>
                <w:r>
                  <w:rPr>
                    <w:rFonts w:ascii="Arial"/>
                    <w:color w:val="383436"/>
                    <w:sz w:val="17"/>
                  </w:rPr>
                  <w:t>Install</w:t>
                </w:r>
                <w:r>
                  <w:rPr>
                    <w:rFonts w:ascii="Arial"/>
                    <w:color w:val="383436"/>
                    <w:spacing w:val="-11"/>
                    <w:sz w:val="17"/>
                  </w:rPr>
                  <w:t> </w:t>
                </w:r>
                <w:r>
                  <w:rPr>
                    <w:rFonts w:ascii="Arial"/>
                    <w:color w:val="383436"/>
                    <w:sz w:val="17"/>
                  </w:rPr>
                  <w:t>a</w:t>
                </w:r>
                <w:r>
                  <w:rPr>
                    <w:rFonts w:ascii="Arial"/>
                    <w:color w:val="383436"/>
                    <w:spacing w:val="16"/>
                    <w:sz w:val="17"/>
                  </w:rPr>
                  <w:t> </w:t>
                </w:r>
                <w:r>
                  <w:rPr>
                    <w:rFonts w:ascii="Arial"/>
                    <w:color w:val="383436"/>
                    <w:sz w:val="17"/>
                  </w:rPr>
                  <w:t>Symbolic</w:t>
                </w:r>
                <w:r>
                  <w:rPr>
                    <w:rFonts w:ascii="Arial"/>
                    <w:color w:val="383436"/>
                    <w:spacing w:val="-3"/>
                    <w:sz w:val="17"/>
                  </w:rPr>
                  <w:t> </w:t>
                </w:r>
                <w:r>
                  <w:rPr>
                    <w:rFonts w:ascii="Arial"/>
                    <w:color w:val="383436"/>
                    <w:sz w:val="17"/>
                  </w:rPr>
                  <w:t>Template</w:t>
                </w:r>
                <w:r>
                  <w:rPr>
                    <w:rFonts w:ascii="Arial"/>
                    <w:color w:val="383436"/>
                    <w:spacing w:val="2"/>
                    <w:sz w:val="17"/>
                  </w:rPr>
                  <w:t> </w:t>
                </w:r>
                <w:r>
                  <w:rPr>
                    <w:rFonts w:ascii="Arial"/>
                    <w:color w:val="383436"/>
                    <w:sz w:val="17"/>
                  </w:rPr>
                  <w:t>to</w:t>
                </w:r>
                <w:r>
                  <w:rPr>
                    <w:rFonts w:ascii="Arial"/>
                    <w:color w:val="383436"/>
                    <w:spacing w:val="19"/>
                    <w:sz w:val="17"/>
                  </w:rPr>
                  <w:t> </w:t>
                </w:r>
                <w:r>
                  <w:rPr>
                    <w:rFonts w:ascii="Arial"/>
                    <w:color w:val="383436"/>
                    <w:sz w:val="17"/>
                  </w:rPr>
                  <w:t>Help</w:t>
                </w:r>
                <w:r>
                  <w:rPr>
                    <w:rFonts w:ascii="Arial"/>
                    <w:color w:val="383436"/>
                    <w:spacing w:val="-4"/>
                    <w:sz w:val="17"/>
                  </w:rPr>
                  <w:t> </w:t>
                </w:r>
                <w:r>
                  <w:rPr>
                    <w:rFonts w:ascii="Arial"/>
                    <w:color w:val="383436"/>
                    <w:sz w:val="17"/>
                  </w:rPr>
                  <w:t>Your</w:t>
                </w:r>
                <w:r>
                  <w:rPr>
                    <w:rFonts w:ascii="Arial"/>
                    <w:color w:val="383436"/>
                    <w:spacing w:val="-5"/>
                    <w:sz w:val="17"/>
                  </w:rPr>
                  <w:t> </w:t>
                </w:r>
                <w:r>
                  <w:rPr>
                    <w:rFonts w:ascii="Arial"/>
                    <w:color w:val="383436"/>
                    <w:sz w:val="17"/>
                  </w:rPr>
                  <w:t>Reader</w:t>
                </w:r>
                <w:r>
                  <w:rPr>
                    <w:rFonts w:ascii="Arial"/>
                    <w:color w:val="383436"/>
                    <w:spacing w:val="-3"/>
                    <w:sz w:val="17"/>
                  </w:rPr>
                  <w:t> </w:t>
                </w:r>
                <w:r>
                  <w:rPr>
                    <w:rFonts w:ascii="Arial"/>
                    <w:color w:val="383436"/>
                    <w:sz w:val="17"/>
                  </w:rPr>
                  <w:t>and</w:t>
                </w:r>
                <w:r>
                  <w:rPr>
                    <w:rFonts w:ascii="Arial"/>
                    <w:color w:val="383436"/>
                    <w:spacing w:val="54"/>
                    <w:sz w:val="17"/>
                  </w:rPr>
                  <w:t> </w:t>
                </w:r>
                <w:r>
                  <w:rPr>
                    <w:rFonts w:ascii="Arial"/>
                    <w:color w:val="383436"/>
                    <w:sz w:val="17"/>
                  </w:rPr>
                  <w:t>Your</w:t>
                </w:r>
                <w:r>
                  <w:rPr>
                    <w:rFonts w:ascii="Arial"/>
                    <w:color w:val="383436"/>
                    <w:spacing w:val="-2"/>
                    <w:sz w:val="17"/>
                  </w:rPr>
                  <w:t> </w:t>
                </w:r>
                <w:r>
                  <w:rPr>
                    <w:rFonts w:ascii="Arial"/>
                    <w:color w:val="383436"/>
                    <w:sz w:val="17"/>
                  </w:rPr>
                  <w:t>User</w:t>
                  <w:tab/>
                </w:r>
                <w:r>
                  <w:rPr>
                    <w:color w:val="383436"/>
                    <w:w w:val="105"/>
                    <w:sz w:val="19"/>
                  </w:rPr>
                  <w:t>24S</w:t>
                </w:r>
              </w:p>
            </w:txbxContent>
          </v:textbox>
          <w10:wrap type="none"/>
        </v:shape>
      </w:pict>
    </w:r>
  </w:p>
</w:hdr>
</file>

<file path=word/header2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.161926pt;margin-top:25.186642pt;width:23.65pt;height:12.6pt;mso-position-horizontal-relative:page;mso-position-vertical-relative:page;z-index:-21397504" type="#_x0000_t202" id="docshape45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83636"/>
                    <w:w w:val="11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8.071404pt;margin-top:25.959961pt;width:329.4pt;height:11.55pt;mso-position-horizontal-relative:page;mso-position-vertical-relative:page;z-index:-21396992" type="#_x0000_t202" id="docshape453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6"/>
                    <w:sz w:val="17"/>
                  </w:rPr>
                  <w:t>Chapter</w:t>
                </w:r>
                <w:r>
                  <w:rPr>
                    <w:rFonts w:ascii="Arial"/>
                    <w:color w:val="383636"/>
                    <w:spacing w:val="6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Ten   </w:t>
                </w:r>
                <w:r>
                  <w:rPr>
                    <w:rFonts w:ascii="Arial"/>
                    <w:color w:val="383636"/>
                    <w:spacing w:val="21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Six</w:t>
                </w:r>
                <w:r>
                  <w:rPr>
                    <w:rFonts w:ascii="Arial"/>
                    <w:color w:val="383636"/>
                    <w:spacing w:val="4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Degrees</w:t>
                </w:r>
                <w:r>
                  <w:rPr>
                    <w:rFonts w:ascii="Arial"/>
                    <w:color w:val="383636"/>
                    <w:spacing w:val="2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of</w:t>
                </w:r>
                <w:r>
                  <w:rPr>
                    <w:rFonts w:ascii="Arial"/>
                    <w:color w:val="383636"/>
                    <w:spacing w:val="34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Legal</w:t>
                </w:r>
                <w:r>
                  <w:rPr>
                    <w:rFonts w:ascii="Arial"/>
                    <w:color w:val="383636"/>
                    <w:spacing w:val="-6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Writing:</w:t>
                </w:r>
                <w:r>
                  <w:rPr>
                    <w:rFonts w:ascii="Arial"/>
                    <w:color w:val="383636"/>
                    <w:spacing w:val="-24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Making</w:t>
                </w:r>
                <w:r>
                  <w:rPr>
                    <w:rFonts w:ascii="Arial"/>
                    <w:color w:val="383636"/>
                    <w:spacing w:val="11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Your</w:t>
                </w:r>
                <w:r>
                  <w:rPr>
                    <w:rFonts w:ascii="Arial"/>
                    <w:color w:val="383636"/>
                    <w:spacing w:val="1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Document Reader-Friendly</w:t>
                </w:r>
              </w:p>
            </w:txbxContent>
          </v:textbox>
          <w10:wrap type="none"/>
        </v:shape>
      </w:pict>
    </w:r>
  </w:p>
</w:hdr>
</file>

<file path=word/header2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0.184998pt;margin-top:33.408401pt;width:182.25pt;height:13.15pt;mso-position-horizontal-relative:page;mso-position-vertical-relative:page;z-index:-21396480" type="#_x0000_t202" id="docshape454" filled="false" stroked="false">
          <v:textbox inset="0,0,0,0">
            <w:txbxContent>
              <w:p>
                <w:pPr>
                  <w:tabs>
                    <w:tab w:pos="3563" w:val="right" w:leader="none"/>
                  </w:tabs>
                  <w:spacing w:before="12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color w:val="383638"/>
                    <w:w w:val="105"/>
                    <w:sz w:val="18"/>
                  </w:rPr>
                  <w:t>10.3</w:t>
                </w:r>
                <w:r>
                  <w:rPr>
                    <w:color w:val="383638"/>
                    <w:spacing w:val="13"/>
                    <w:w w:val="105"/>
                    <w:sz w:val="18"/>
                  </w:rPr>
                  <w:t> </w:t>
                </w:r>
                <w:r>
                  <w:rPr>
                    <w:color w:val="383638"/>
                    <w:w w:val="105"/>
                    <w:sz w:val="18"/>
                  </w:rPr>
                  <w:t>Writing</w:t>
                </w:r>
                <w:r>
                  <w:rPr>
                    <w:color w:val="383638"/>
                    <w:spacing w:val="-6"/>
                    <w:w w:val="105"/>
                    <w:sz w:val="18"/>
                  </w:rPr>
                  <w:t> </w:t>
                </w:r>
                <w:r>
                  <w:rPr>
                    <w:color w:val="383638"/>
                    <w:w w:val="105"/>
                    <w:sz w:val="18"/>
                  </w:rPr>
                  <w:t>for</w:t>
                </w:r>
                <w:r>
                  <w:rPr>
                    <w:color w:val="383638"/>
                    <w:spacing w:val="23"/>
                    <w:w w:val="105"/>
                    <w:sz w:val="18"/>
                  </w:rPr>
                  <w:t> </w:t>
                </w:r>
                <w:r>
                  <w:rPr>
                    <w:color w:val="383638"/>
                    <w:w w:val="105"/>
                    <w:sz w:val="18"/>
                  </w:rPr>
                  <w:t>the  Digital</w:t>
                </w:r>
                <w:r>
                  <w:rPr>
                    <w:color w:val="383638"/>
                    <w:spacing w:val="18"/>
                    <w:w w:val="105"/>
                    <w:sz w:val="18"/>
                  </w:rPr>
                  <w:t> </w:t>
                </w:r>
                <w:r>
                  <w:rPr>
                    <w:color w:val="2A2628"/>
                    <w:w w:val="105"/>
                    <w:sz w:val="18"/>
                  </w:rPr>
                  <w:t>Reader</w:t>
                  <w:tab/>
                </w:r>
                <w:r>
                  <w:rPr/>
                  <w:fldChar w:fldCharType="begin"/>
                </w:r>
                <w:r>
                  <w:rPr>
                    <w:b/>
                    <w:color w:val="383638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5.690750pt;margin-top:27.619881pt;width:23.3pt;height:13.15pt;mso-position-horizontal-relative:page;mso-position-vertical-relative:page;z-index:-21395968" type="#_x0000_t202" id="docshape455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83638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104103pt;margin-top:28.839844pt;width:330.15pt;height:11.55pt;mso-position-horizontal-relative:page;mso-position-vertical-relative:page;z-index:-21395456" type="#_x0000_t202" id="docshape456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8"/>
                    <w:sz w:val="17"/>
                  </w:rPr>
                  <w:t>Chapter</w:t>
                </w:r>
                <w:r>
                  <w:rPr>
                    <w:rFonts w:ascii="Arial"/>
                    <w:color w:val="383638"/>
                    <w:spacing w:val="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Ten   </w:t>
                </w:r>
                <w:r>
                  <w:rPr>
                    <w:rFonts w:ascii="Arial"/>
                    <w:color w:val="383638"/>
                    <w:spacing w:val="3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Six</w:t>
                </w:r>
                <w:r>
                  <w:rPr>
                    <w:rFonts w:ascii="Arial"/>
                    <w:color w:val="383638"/>
                    <w:spacing w:val="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Degrees</w:t>
                </w:r>
                <w:r>
                  <w:rPr>
                    <w:rFonts w:ascii="Arial"/>
                    <w:color w:val="383638"/>
                    <w:spacing w:val="-7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of</w:t>
                </w:r>
                <w:r>
                  <w:rPr>
                    <w:rFonts w:ascii="Arial"/>
                    <w:color w:val="383638"/>
                    <w:spacing w:val="34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Legal</w:t>
                </w:r>
                <w:r>
                  <w:rPr>
                    <w:rFonts w:ascii="Arial"/>
                    <w:color w:val="383638"/>
                    <w:spacing w:val="-16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Writing:</w:t>
                </w:r>
                <w:r>
                  <w:rPr>
                    <w:rFonts w:ascii="Arial"/>
                    <w:color w:val="383638"/>
                    <w:spacing w:val="-4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Making</w:t>
                </w:r>
                <w:r>
                  <w:rPr>
                    <w:rFonts w:ascii="Arial"/>
                    <w:color w:val="383638"/>
                    <w:spacing w:val="-2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Your</w:t>
                </w:r>
                <w:r>
                  <w:rPr>
                    <w:rFonts w:ascii="Arial"/>
                    <w:color w:val="383638"/>
                    <w:spacing w:val="1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Document</w:t>
                </w:r>
                <w:r>
                  <w:rPr>
                    <w:rFonts w:ascii="Arial"/>
                    <w:color w:val="383638"/>
                    <w:spacing w:val="-2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Reader-Friendly</w:t>
                </w:r>
              </w:p>
            </w:txbxContent>
          </v:textbox>
          <w10:wrap type="none"/>
        </v:shape>
      </w:pict>
    </w:r>
  </w:p>
</w:hdr>
</file>

<file path=word/header2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5.865097pt;margin-top:28.052221pt;width:140.5pt;height:12.05pt;mso-position-horizontal-relative:page;mso-position-vertical-relative:page;z-index:-21394944" type="#_x0000_t202" id="docshape457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83638"/>
                    <w:w w:val="105"/>
                    <w:sz w:val="18"/>
                  </w:rPr>
                  <w:t>10.3</w:t>
                </w:r>
                <w:r>
                  <w:rPr>
                    <w:color w:val="383638"/>
                    <w:spacing w:val="15"/>
                    <w:w w:val="105"/>
                    <w:sz w:val="18"/>
                  </w:rPr>
                  <w:t> </w:t>
                </w:r>
                <w:r>
                  <w:rPr>
                    <w:color w:val="383638"/>
                    <w:w w:val="105"/>
                    <w:sz w:val="18"/>
                  </w:rPr>
                  <w:t>Writing</w:t>
                </w:r>
                <w:r>
                  <w:rPr>
                    <w:color w:val="383638"/>
                    <w:spacing w:val="-15"/>
                    <w:w w:val="105"/>
                    <w:sz w:val="18"/>
                  </w:rPr>
                  <w:t> </w:t>
                </w:r>
                <w:r>
                  <w:rPr>
                    <w:color w:val="383638"/>
                    <w:w w:val="105"/>
                    <w:sz w:val="18"/>
                  </w:rPr>
                  <w:t>for</w:t>
                </w:r>
                <w:r>
                  <w:rPr>
                    <w:color w:val="383638"/>
                    <w:spacing w:val="15"/>
                    <w:w w:val="105"/>
                    <w:sz w:val="18"/>
                  </w:rPr>
                  <w:t> </w:t>
                </w:r>
                <w:r>
                  <w:rPr>
                    <w:color w:val="383638"/>
                    <w:w w:val="105"/>
                    <w:sz w:val="18"/>
                  </w:rPr>
                  <w:t>the </w:t>
                </w:r>
                <w:r>
                  <w:rPr>
                    <w:color w:val="383638"/>
                    <w:spacing w:val="3"/>
                    <w:w w:val="105"/>
                    <w:sz w:val="18"/>
                  </w:rPr>
                  <w:t> </w:t>
                </w:r>
                <w:r>
                  <w:rPr>
                    <w:color w:val="383638"/>
                    <w:w w:val="105"/>
                    <w:sz w:val="18"/>
                  </w:rPr>
                  <w:t>Digital</w:t>
                </w:r>
                <w:r>
                  <w:rPr>
                    <w:color w:val="383638"/>
                    <w:spacing w:val="11"/>
                    <w:w w:val="105"/>
                    <w:sz w:val="18"/>
                  </w:rPr>
                  <w:t> </w:t>
                </w:r>
                <w:r>
                  <w:rPr>
                    <w:color w:val="383638"/>
                    <w:w w:val="105"/>
                    <w:sz w:val="18"/>
                  </w:rPr>
                  <w:t>Reader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39801pt;margin-top:27.605017pt;width:22.5pt;height:12.6pt;mso-position-horizontal-relative:page;mso-position-vertical-relative:page;z-index:-21394432" type="#_x0000_t202" id="docshape458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color w:val="383638"/>
                    <w:w w:val="11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.196442pt;margin-top:27.401815pt;width:22.7pt;height:11.55pt;mso-position-horizontal-relative:page;mso-position-vertical-relative:page;z-index:-21393920" type="#_x0000_t202" id="docshape459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383636"/>
                    <w:w w:val="110"/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1418pt;margin-top:27.401815pt;width:331.2pt;height:11.55pt;mso-position-horizontal-relative:page;mso-position-vertical-relative:page;z-index:-21393408" type="#_x0000_t202" id="docshape460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6"/>
                    <w:sz w:val="17"/>
                  </w:rPr>
                  <w:t>Chapter</w:t>
                </w:r>
                <w:r>
                  <w:rPr>
                    <w:rFonts w:ascii="Arial"/>
                    <w:color w:val="383636"/>
                    <w:spacing w:val="6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Ten   </w:t>
                </w:r>
                <w:r>
                  <w:rPr>
                    <w:rFonts w:ascii="Arial"/>
                    <w:color w:val="383636"/>
                    <w:spacing w:val="28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Six</w:t>
                </w:r>
                <w:r>
                  <w:rPr>
                    <w:rFonts w:ascii="Arial"/>
                    <w:color w:val="383636"/>
                    <w:spacing w:val="3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Degrees</w:t>
                </w:r>
                <w:r>
                  <w:rPr>
                    <w:rFonts w:ascii="Arial"/>
                    <w:color w:val="383636"/>
                    <w:spacing w:val="1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of</w:t>
                </w:r>
                <w:r>
                  <w:rPr>
                    <w:rFonts w:ascii="Arial"/>
                    <w:color w:val="383636"/>
                    <w:spacing w:val="26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Legal</w:t>
                </w:r>
                <w:r>
                  <w:rPr>
                    <w:rFonts w:ascii="Arial"/>
                    <w:color w:val="383636"/>
                    <w:spacing w:val="-3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Writing:</w:t>
                </w:r>
                <w:r>
                  <w:rPr>
                    <w:rFonts w:ascii="Arial"/>
                    <w:color w:val="383636"/>
                    <w:spacing w:val="8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Making</w:t>
                </w:r>
                <w:r>
                  <w:rPr>
                    <w:rFonts w:ascii="Arial"/>
                    <w:color w:val="383636"/>
                    <w:spacing w:val="-1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Your</w:t>
                </w:r>
                <w:r>
                  <w:rPr>
                    <w:rFonts w:ascii="Arial"/>
                    <w:color w:val="383636"/>
                    <w:spacing w:val="1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Document</w:t>
                </w:r>
                <w:r>
                  <w:rPr>
                    <w:rFonts w:ascii="Arial"/>
                    <w:color w:val="383636"/>
                    <w:spacing w:val="2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Reader-Friendly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256012pt;margin-top:29.851233pt;width:105.65pt;height:12.7pt;mso-position-horizontal-relative:page;mso-position-vertical-relative:page;z-index:-21596672" type="#_x0000_t202" id="docshape30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color w:val="363434"/>
                    <w:spacing w:val="-1"/>
                    <w:w w:val="203"/>
                    <w:sz w:val="17"/>
                  </w:rPr>
                  <w:t>1.</w:t>
                </w:r>
                <w:r>
                  <w:rPr>
                    <w:rFonts w:ascii="Arial"/>
                    <w:color w:val="363434"/>
                    <w:spacing w:val="-140"/>
                    <w:w w:val="203"/>
                    <w:sz w:val="17"/>
                  </w:rPr>
                  <w:t>4</w:t>
                </w:r>
                <w:r>
                  <w:rPr>
                    <w:rFonts w:ascii="Arial"/>
                    <w:color w:val="363434"/>
                    <w:spacing w:val="-1"/>
                    <w:w w:val="203"/>
                    <w:sz w:val="17"/>
                  </w:rPr>
                  <w:t>H</w:t>
                </w:r>
                <w:r>
                  <w:rPr>
                    <w:rFonts w:ascii="Arial"/>
                    <w:color w:val="363434"/>
                    <w:spacing w:val="-27"/>
                    <w:w w:val="203"/>
                    <w:sz w:val="17"/>
                  </w:rPr>
                  <w:t>o</w:t>
                </w:r>
                <w:r>
                  <w:rPr>
                    <w:color w:val="363434"/>
                    <w:spacing w:val="-82"/>
                    <w:w w:val="203"/>
                    <w:sz w:val="19"/>
                  </w:rPr>
                  <w:t>t</w:t>
                </w:r>
                <w:r>
                  <w:rPr>
                    <w:rFonts w:ascii="Arial"/>
                    <w:color w:val="363434"/>
                    <w:spacing w:val="-170"/>
                    <w:w w:val="203"/>
                    <w:sz w:val="17"/>
                  </w:rPr>
                  <w:t>w</w:t>
                </w:r>
                <w:r>
                  <w:rPr>
                    <w:color w:val="363434"/>
                    <w:spacing w:val="-91"/>
                    <w:w w:val="203"/>
                    <w:sz w:val="19"/>
                  </w:rPr>
                  <w:t>o</w:t>
                </w:r>
                <w:r>
                  <w:rPr>
                    <w:rFonts w:ascii="Arial"/>
                    <w:color w:val="363434"/>
                    <w:spacing w:val="-1"/>
                    <w:w w:val="104"/>
                    <w:sz w:val="17"/>
                  </w:rPr>
                  <w:t>Us</w:t>
                </w:r>
                <w:r>
                  <w:rPr>
                    <w:rFonts w:ascii="Arial"/>
                    <w:color w:val="363434"/>
                    <w:w w:val="104"/>
                    <w:sz w:val="17"/>
                  </w:rPr>
                  <w:t>e</w:t>
                </w:r>
                <w:r>
                  <w:rPr>
                    <w:rFonts w:ascii="Arial"/>
                    <w:color w:val="363434"/>
                    <w:spacing w:val="-26"/>
                    <w:sz w:val="17"/>
                  </w:rPr>
                  <w:t> </w:t>
                </w:r>
                <w:r>
                  <w:rPr>
                    <w:rFonts w:ascii="Arial"/>
                    <w:color w:val="363434"/>
                    <w:spacing w:val="-1"/>
                    <w:w w:val="103"/>
                    <w:sz w:val="17"/>
                  </w:rPr>
                  <w:t>Thi</w:t>
                </w:r>
                <w:r>
                  <w:rPr>
                    <w:rFonts w:ascii="Arial"/>
                    <w:color w:val="363434"/>
                    <w:w w:val="103"/>
                    <w:sz w:val="17"/>
                  </w:rPr>
                  <w:t>s</w:t>
                </w:r>
                <w:r>
                  <w:rPr>
                    <w:rFonts w:ascii="Arial"/>
                    <w:color w:val="363434"/>
                    <w:spacing w:val="-13"/>
                    <w:sz w:val="17"/>
                  </w:rPr>
                  <w:t> </w:t>
                </w:r>
                <w:r>
                  <w:rPr>
                    <w:rFonts w:ascii="Arial"/>
                    <w:b/>
                    <w:color w:val="363434"/>
                    <w:spacing w:val="-1"/>
                    <w:w w:val="84"/>
                    <w:sz w:val="19"/>
                  </w:rPr>
                  <w:t>Book</w:t>
                </w:r>
              </w:p>
            </w:txbxContent>
          </v:textbox>
          <w10:wrap type="none"/>
        </v:shape>
      </w:pict>
    </w:r>
    <w:r>
      <w:rPr/>
      <w:pict>
        <v:shape style="position:absolute;margin-left:434.588287pt;margin-top:30.305136pt;width:6.25pt;height:12.1pt;mso-position-horizontal-relative:page;mso-position-vertical-relative:page;z-index:-21596160" type="#_x0000_t202" id="docshape31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i/>
                    <w:sz w:val="18"/>
                  </w:rPr>
                </w:pPr>
                <w:r>
                  <w:rPr>
                    <w:rFonts w:ascii="Arial"/>
                    <w:b/>
                    <w:i/>
                    <w:color w:val="363434"/>
                    <w:w w:val="84"/>
                    <w:sz w:val="18"/>
                  </w:rPr>
                  <w:t>9</w:t>
                </w:r>
              </w:p>
            </w:txbxContent>
          </v:textbox>
          <w10:wrap type="none"/>
        </v:shape>
      </w:pict>
    </w:r>
  </w:p>
</w:hdr>
</file>

<file path=word/header2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572853pt;margin-top:23.303713pt;width:24.05pt;height:13.15pt;mso-position-horizontal-relative:page;mso-position-vertical-relative:page;z-index:-21392896" type="#_x0000_t202" id="docshape463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83636"/>
                    <w:w w:val="11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8.999496pt;margin-top:24.524519pt;width:220.65pt;height:11.55pt;mso-position-horizontal-relative:page;mso-position-vertical-relative:page;z-index:-21392384" type="#_x0000_t202" id="docshape464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6"/>
                    <w:sz w:val="17"/>
                  </w:rPr>
                  <w:t>Chapter</w:t>
                </w:r>
                <w:r>
                  <w:rPr>
                    <w:rFonts w:ascii="Arial"/>
                    <w:color w:val="383636"/>
                    <w:spacing w:val="1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Eleven   </w:t>
                </w:r>
                <w:r>
                  <w:rPr>
                    <w:rFonts w:ascii="Arial"/>
                    <w:color w:val="383636"/>
                    <w:spacing w:val="6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Exploiting</w:t>
                </w:r>
                <w:r>
                  <w:rPr>
                    <w:rFonts w:ascii="Arial"/>
                    <w:color w:val="383636"/>
                    <w:spacing w:val="-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Opportunities</w:t>
                </w:r>
                <w:r>
                  <w:rPr>
                    <w:rFonts w:ascii="Arial"/>
                    <w:color w:val="383636"/>
                    <w:spacing w:val="27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for</w:t>
                </w:r>
                <w:r>
                  <w:rPr>
                    <w:rFonts w:ascii="Arial"/>
                    <w:color w:val="383636"/>
                    <w:spacing w:val="-9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Persuasion</w:t>
                </w:r>
              </w:p>
            </w:txbxContent>
          </v:textbox>
          <w10:wrap type="none"/>
        </v:shape>
      </w:pict>
    </w:r>
  </w:p>
</w:hdr>
</file>

<file path=word/header2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8.257111pt;margin-top:24.07021pt;width:110.9pt;height:12.1pt;mso-position-horizontal-relative:page;mso-position-vertical-relative:page;z-index:-21391872" type="#_x0000_t202" id="docshape465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color w:val="383638"/>
                    <w:w w:val="115"/>
                    <w:sz w:val="17"/>
                  </w:rPr>
                  <w:t>11.2</w:t>
                </w:r>
                <w:r>
                  <w:rPr>
                    <w:color w:val="383638"/>
                    <w:spacing w:val="17"/>
                    <w:w w:val="115"/>
                    <w:sz w:val="17"/>
                  </w:rPr>
                  <w:t> </w:t>
                </w:r>
                <w:r>
                  <w:rPr>
                    <w:color w:val="383638"/>
                    <w:w w:val="115"/>
                    <w:sz w:val="17"/>
                  </w:rPr>
                  <w:t>HowNotto</w:t>
                </w:r>
                <w:r>
                  <w:rPr>
                    <w:color w:val="383638"/>
                    <w:spacing w:val="-6"/>
                    <w:w w:val="115"/>
                    <w:sz w:val="17"/>
                  </w:rPr>
                  <w:t> </w:t>
                </w:r>
                <w:r>
                  <w:rPr>
                    <w:rFonts w:ascii="Arial"/>
                    <w:b/>
                    <w:color w:val="383638"/>
                    <w:w w:val="110"/>
                    <w:sz w:val="18"/>
                  </w:rPr>
                  <w:t>Persuade</w:t>
                </w:r>
              </w:p>
            </w:txbxContent>
          </v:textbox>
          <w10:wrap type="none"/>
        </v:shape>
      </w:pict>
    </w:r>
    <w:r>
      <w:rPr/>
      <w:pict>
        <v:shape style="position:absolute;margin-left:408.292786pt;margin-top:24.07021pt;width:15.45pt;height:12.1pt;mso-position-horizontal-relative:page;mso-position-vertical-relative:page;z-index:-21391360" type="#_x0000_t202" id="docshape466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383638"/>
                    <w:w w:val="90"/>
                    <w:sz w:val="18"/>
                  </w:rPr>
                  <w:t>253</w:t>
                </w:r>
              </w:p>
            </w:txbxContent>
          </v:textbox>
          <w10:wrap type="none"/>
        </v:shape>
      </w:pict>
    </w:r>
  </w:p>
</w:hdr>
</file>

<file path=word/header2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572723pt;margin-top:24.538412pt;width:24.65pt;height:12.1pt;mso-position-horizontal-relative:page;mso-position-vertical-relative:page;z-index:-21390848" type="#_x0000_t202" id="docshape467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A3838"/>
                    <w:w w:val="1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9.050301pt;margin-top:24.21929pt;width:220.3pt;height:12.6pt;mso-position-horizontal-relative:page;mso-position-vertical-relative:page;z-index:-21390336" type="#_x0000_t202" id="docshape468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A3838"/>
                    <w:spacing w:val="-1"/>
                    <w:sz w:val="19"/>
                  </w:rPr>
                  <w:t>Chapter</w:t>
                </w:r>
                <w:r>
                  <w:rPr>
                    <w:color w:val="3A3838"/>
                    <w:spacing w:val="-5"/>
                    <w:sz w:val="19"/>
                  </w:rPr>
                  <w:t> </w:t>
                </w:r>
                <w:r>
                  <w:rPr>
                    <w:color w:val="3A3838"/>
                    <w:spacing w:val="-1"/>
                    <w:sz w:val="19"/>
                  </w:rPr>
                  <w:t>Eleven</w:t>
                </w:r>
                <w:r>
                  <w:rPr>
                    <w:color w:val="3A3838"/>
                    <w:spacing w:val="63"/>
                    <w:sz w:val="19"/>
                  </w:rPr>
                  <w:t> </w:t>
                </w:r>
                <w:r>
                  <w:rPr>
                    <w:color w:val="3A3838"/>
                    <w:sz w:val="19"/>
                  </w:rPr>
                  <w:t>Exploiting</w:t>
                </w:r>
                <w:r>
                  <w:rPr>
                    <w:color w:val="3A3838"/>
                    <w:spacing w:val="-1"/>
                    <w:sz w:val="19"/>
                  </w:rPr>
                  <w:t> </w:t>
                </w:r>
                <w:r>
                  <w:rPr>
                    <w:color w:val="3A3838"/>
                    <w:sz w:val="19"/>
                  </w:rPr>
                  <w:t>Opportunities</w:t>
                </w:r>
                <w:r>
                  <w:rPr>
                    <w:color w:val="3A3838"/>
                    <w:spacing w:val="-4"/>
                    <w:sz w:val="19"/>
                  </w:rPr>
                  <w:t> </w:t>
                </w:r>
                <w:r>
                  <w:rPr>
                    <w:color w:val="3A3838"/>
                    <w:sz w:val="19"/>
                  </w:rPr>
                  <w:t>for</w:t>
                </w:r>
                <w:r>
                  <w:rPr>
                    <w:color w:val="3A3838"/>
                    <w:spacing w:val="-12"/>
                    <w:sz w:val="19"/>
                  </w:rPr>
                  <w:t> </w:t>
                </w:r>
                <w:r>
                  <w:rPr>
                    <w:color w:val="3A3838"/>
                    <w:sz w:val="19"/>
                  </w:rPr>
                  <w:t>Persuasion</w:t>
                </w:r>
              </w:p>
            </w:txbxContent>
          </v:textbox>
          <w10:wrap type="none"/>
        </v:shape>
      </w:pict>
    </w:r>
  </w:p>
</w:hdr>
</file>

<file path=word/header2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0.041702pt;margin-top:24.184757pt;width:150.2pt;height:12pt;mso-position-horizontal-relative:page;mso-position-vertical-relative:page;z-index:-21389824" type="#_x0000_t202" id="docshape469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83638"/>
                    <w:sz w:val="18"/>
                  </w:rPr>
                  <w:t>11</w:t>
                </w:r>
                <w:r>
                  <w:rPr>
                    <w:color w:val="383638"/>
                    <w:spacing w:val="-12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.4</w:t>
                </w:r>
                <w:r>
                  <w:rPr>
                    <w:rFonts w:ascii="Arial"/>
                    <w:color w:val="383638"/>
                    <w:spacing w:val="76"/>
                    <w:sz w:val="17"/>
                  </w:rPr>
                  <w:t> </w:t>
                </w:r>
                <w:r>
                  <w:rPr>
                    <w:color w:val="383638"/>
                    <w:sz w:val="18"/>
                  </w:rPr>
                  <w:t>Exploi</w:t>
                </w:r>
                <w:r>
                  <w:rPr>
                    <w:color w:val="4F4F50"/>
                    <w:sz w:val="18"/>
                  </w:rPr>
                  <w:t>t</w:t>
                </w:r>
                <w:r>
                  <w:rPr>
                    <w:color w:val="383638"/>
                    <w:sz w:val="18"/>
                  </w:rPr>
                  <w:t>ing</w:t>
                </w:r>
                <w:r>
                  <w:rPr>
                    <w:color w:val="383638"/>
                    <w:spacing w:val="31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Positions</w:t>
                </w:r>
                <w:r>
                  <w:rPr>
                    <w:color w:val="383638"/>
                    <w:spacing w:val="-14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of</w:t>
                </w:r>
                <w:r>
                  <w:rPr>
                    <w:color w:val="383638"/>
                    <w:spacing w:val="34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Emphasis</w:t>
                </w:r>
              </w:p>
            </w:txbxContent>
          </v:textbox>
          <w10:wrap type="none"/>
        </v:shape>
      </w:pict>
    </w:r>
    <w:r>
      <w:rPr/>
      <w:pict>
        <v:shape style="position:absolute;margin-left:407.688904pt;margin-top:24.184757pt;width:21.25pt;height:12pt;mso-position-horizontal-relative:page;mso-position-vertical-relative:page;z-index:-21389312" type="#_x0000_t202" id="docshape470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383638"/>
                    <w:w w:val="10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9.974529pt;margin-top:24.18627pt;width:22.35pt;height:12pt;mso-position-horizontal-relative:page;mso-position-vertical-relative:page;z-index:-21388800" type="#_x0000_t202" id="docshape471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3A3838"/>
                    <w:w w:val="11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8.474876pt;margin-top:24.18627pt;width:221.6pt;height:12pt;mso-position-horizontal-relative:page;mso-position-vertical-relative:page;z-index:-21388288" type="#_x0000_t202" id="docshape47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A3838"/>
                    <w:spacing w:val="-1"/>
                    <w:w w:val="105"/>
                    <w:sz w:val="18"/>
                  </w:rPr>
                  <w:t>Chapter</w:t>
                </w:r>
                <w:r>
                  <w:rPr>
                    <w:color w:val="3A3838"/>
                    <w:spacing w:val="-14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w w:val="105"/>
                    <w:sz w:val="18"/>
                  </w:rPr>
                  <w:t>Eleven</w:t>
                </w:r>
                <w:r>
                  <w:rPr>
                    <w:color w:val="3A3838"/>
                    <w:spacing w:val="87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Exploiting</w:t>
                </w:r>
                <w:r>
                  <w:rPr>
                    <w:color w:val="3A3838"/>
                    <w:spacing w:val="9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Opportunities</w:t>
                </w:r>
                <w:r>
                  <w:rPr>
                    <w:color w:val="3A3838"/>
                    <w:spacing w:val="-3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for</w:t>
                </w:r>
                <w:r>
                  <w:rPr>
                    <w:color w:val="3A3838"/>
                    <w:spacing w:val="3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Persuasion</w:t>
                </w:r>
              </w:p>
            </w:txbxContent>
          </v:textbox>
          <w10:wrap type="none"/>
        </v:shape>
      </w:pict>
    </w:r>
  </w:p>
</w:hdr>
</file>

<file path=word/header2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2.659607pt;margin-top:31.891171pt;width:150.8pt;height:12pt;mso-position-horizontal-relative:page;mso-position-vertical-relative:page;z-index:-21387776" type="#_x0000_t202" id="docshape473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A3838"/>
                    <w:w w:val="105"/>
                    <w:sz w:val="18"/>
                  </w:rPr>
                  <w:t>11.4</w:t>
                </w:r>
                <w:r>
                  <w:rPr>
                    <w:color w:val="3A3838"/>
                    <w:spacing w:val="30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Exploiting</w:t>
                </w:r>
                <w:r>
                  <w:rPr>
                    <w:color w:val="3A3838"/>
                    <w:spacing w:val="14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Positions</w:t>
                </w:r>
                <w:r>
                  <w:rPr>
                    <w:color w:val="3A3838"/>
                    <w:spacing w:val="-8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of</w:t>
                </w:r>
                <w:r>
                  <w:rPr>
                    <w:color w:val="3A3838"/>
                    <w:spacing w:val="10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Emphasis</w:t>
                </w:r>
              </w:p>
            </w:txbxContent>
          </v:textbox>
          <w10:wrap type="none"/>
        </v:shape>
      </w:pict>
    </w:r>
    <w:r>
      <w:rPr/>
      <w:pict>
        <v:shape style="position:absolute;margin-left:399.826294pt;margin-top:31.309217pt;width:24.2pt;height:12.65pt;mso-position-horizontal-relative:page;mso-position-vertical-relative:page;z-index:-21387264" type="#_x0000_t202" id="docshape474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i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i/>
                    <w:color w:val="3A3838"/>
                    <w:w w:val="11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.696068pt;margin-top:28.079199pt;width:15.05pt;height:12.6pt;mso-position-horizontal-relative:page;mso-position-vertical-relative:page;z-index:-21386752" type="#_x0000_t202" id="docshape475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83638"/>
                    <w:w w:val="6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630798pt;margin-top:28.852596pt;width:221.65pt;height:11.55pt;mso-position-horizontal-relative:page;mso-position-vertical-relative:page;z-index:-21386240" type="#_x0000_t202" id="docshape476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8"/>
                    <w:sz w:val="17"/>
                  </w:rPr>
                  <w:t>Chapter</w:t>
                </w:r>
                <w:r>
                  <w:rPr>
                    <w:rFonts w:ascii="Arial"/>
                    <w:color w:val="383638"/>
                    <w:spacing w:val="11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Eleven   </w:t>
                </w:r>
                <w:r>
                  <w:rPr>
                    <w:rFonts w:ascii="Arial"/>
                    <w:color w:val="383638"/>
                    <w:spacing w:val="6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Exploiting</w:t>
                </w:r>
                <w:r>
                  <w:rPr>
                    <w:rFonts w:ascii="Arial"/>
                    <w:color w:val="383638"/>
                    <w:spacing w:val="-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Opportunities</w:t>
                </w:r>
                <w:r>
                  <w:rPr>
                    <w:rFonts w:ascii="Arial"/>
                    <w:color w:val="383638"/>
                    <w:spacing w:val="14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for</w:t>
                </w:r>
                <w:r>
                  <w:rPr>
                    <w:rFonts w:ascii="Arial"/>
                    <w:color w:val="383638"/>
                    <w:spacing w:val="13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Persuasion</w:t>
                </w:r>
              </w:p>
            </w:txbxContent>
          </v:textbox>
          <w10:wrap type="none"/>
        </v:shape>
      </w:pict>
    </w:r>
  </w:p>
</w:hdr>
</file>

<file path=word/header2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.12751pt;margin-top:25.505816pt;width:23.15pt;height:12.1pt;mso-position-horizontal-relative:page;mso-position-vertical-relative:page;z-index:-21385728" type="#_x0000_t202" id="docshape477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383638"/>
                    <w:w w:val="11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7.070602pt;margin-top:25.505816pt;width:221.35pt;height:12.1pt;mso-position-horizontal-relative:page;mso-position-vertical-relative:page;z-index:-21385216" type="#_x0000_t202" id="docshape478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383638"/>
                    <w:w w:val="95"/>
                    <w:sz w:val="18"/>
                  </w:rPr>
                  <w:t>Chapter</w:t>
                </w:r>
                <w:r>
                  <w:rPr>
                    <w:rFonts w:ascii="Arial"/>
                    <w:color w:val="383638"/>
                    <w:spacing w:val="-2"/>
                    <w:w w:val="95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w w:val="95"/>
                    <w:sz w:val="18"/>
                  </w:rPr>
                  <w:t>Eleven</w:t>
                </w:r>
                <w:r>
                  <w:rPr>
                    <w:rFonts w:ascii="Arial"/>
                    <w:color w:val="383638"/>
                    <w:spacing w:val="153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w w:val="95"/>
                    <w:sz w:val="18"/>
                  </w:rPr>
                  <w:t>Exploiting</w:t>
                </w:r>
                <w:r>
                  <w:rPr>
                    <w:rFonts w:ascii="Arial"/>
                    <w:color w:val="383638"/>
                    <w:spacing w:val="-3"/>
                    <w:w w:val="95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w w:val="95"/>
                    <w:sz w:val="18"/>
                  </w:rPr>
                  <w:t>Opportunities</w:t>
                </w:r>
                <w:r>
                  <w:rPr>
                    <w:rFonts w:ascii="Arial"/>
                    <w:color w:val="383638"/>
                    <w:spacing w:val="5"/>
                    <w:w w:val="95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w w:val="95"/>
                    <w:sz w:val="18"/>
                  </w:rPr>
                  <w:t>for</w:t>
                </w:r>
                <w:r>
                  <w:rPr>
                    <w:rFonts w:ascii="Arial"/>
                    <w:color w:val="383638"/>
                    <w:spacing w:val="-7"/>
                    <w:w w:val="95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w w:val="95"/>
                    <w:sz w:val="18"/>
                  </w:rPr>
                  <w:t>Persuasion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2.317478pt;margin-top:24.049149pt;width:18.1pt;height:12.1pt;mso-position-horizontal-relative:page;mso-position-vertical-relative:page;z-index:-21595648" type="#_x0000_t202" id="docshape3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6"/>
                    <w:w w:val="11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1.717201pt;margin-top:24.503073pt;width:109.45pt;height:11.55pt;mso-position-horizontal-relative:page;mso-position-vertical-relative:page;z-index:-21595136" type="#_x0000_t202" id="docshape33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6"/>
                    <w:w w:val="105"/>
                    <w:sz w:val="17"/>
                  </w:rPr>
                  <w:t>Chapter</w:t>
                </w:r>
                <w:r>
                  <w:rPr>
                    <w:rFonts w:ascii="Arial"/>
                    <w:color w:val="383636"/>
                    <w:spacing w:val="-19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One  </w:t>
                </w:r>
                <w:r>
                  <w:rPr>
                    <w:rFonts w:ascii="Arial"/>
                    <w:color w:val="383636"/>
                    <w:spacing w:val="39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Introduction</w:t>
                </w:r>
              </w:p>
            </w:txbxContent>
          </v:textbox>
          <w10:wrap type="none"/>
        </v:shape>
      </w:pict>
    </w:r>
  </w:p>
</w:hdr>
</file>

<file path=word/header2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3.448807pt;margin-top:31.412882pt;width:151.4pt;height:12pt;mso-position-horizontal-relative:page;mso-position-vertical-relative:page;z-index:-21384704" type="#_x0000_t202" id="docshape479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83638"/>
                    <w:w w:val="105"/>
                    <w:sz w:val="18"/>
                  </w:rPr>
                  <w:t>11.4</w:t>
                </w:r>
                <w:r>
                  <w:rPr>
                    <w:color w:val="383638"/>
                    <w:spacing w:val="35"/>
                    <w:w w:val="105"/>
                    <w:sz w:val="18"/>
                  </w:rPr>
                  <w:t> </w:t>
                </w:r>
                <w:r>
                  <w:rPr>
                    <w:color w:val="383638"/>
                    <w:w w:val="105"/>
                    <w:sz w:val="18"/>
                  </w:rPr>
                  <w:t>Exploiting</w:t>
                </w:r>
                <w:r>
                  <w:rPr>
                    <w:color w:val="383638"/>
                    <w:spacing w:val="17"/>
                    <w:w w:val="105"/>
                    <w:sz w:val="18"/>
                  </w:rPr>
                  <w:t> </w:t>
                </w:r>
                <w:r>
                  <w:rPr>
                    <w:color w:val="383638"/>
                    <w:w w:val="105"/>
                    <w:sz w:val="18"/>
                  </w:rPr>
                  <w:t>Positions</w:t>
                </w:r>
                <w:r>
                  <w:rPr>
                    <w:color w:val="383638"/>
                    <w:spacing w:val="-9"/>
                    <w:w w:val="105"/>
                    <w:sz w:val="18"/>
                  </w:rPr>
                  <w:t> </w:t>
                </w:r>
                <w:r>
                  <w:rPr>
                    <w:color w:val="383638"/>
                    <w:w w:val="105"/>
                    <w:sz w:val="18"/>
                  </w:rPr>
                  <w:t>of</w:t>
                </w:r>
                <w:r>
                  <w:rPr>
                    <w:color w:val="383638"/>
                    <w:spacing w:val="13"/>
                    <w:w w:val="105"/>
                    <w:sz w:val="18"/>
                  </w:rPr>
                  <w:t> </w:t>
                </w:r>
                <w:r>
                  <w:rPr>
                    <w:color w:val="383638"/>
                    <w:w w:val="105"/>
                    <w:sz w:val="18"/>
                  </w:rPr>
                  <w:t>Emphasis</w:t>
                </w:r>
              </w:p>
            </w:txbxContent>
          </v:textbox>
          <w10:wrap type="none"/>
        </v:shape>
      </w:pict>
    </w:r>
    <w:r>
      <w:rPr/>
      <w:pict>
        <v:shape style="position:absolute;margin-left:411.563995pt;margin-top:31.285015pt;width:23.15pt;height:12.1pt;mso-position-horizontal-relative:page;mso-position-vertical-relative:page;z-index:-21384192" type="#_x0000_t202" id="docshape480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8"/>
                    <w:w w:val="11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9.459671pt;margin-top:24.742212pt;width:21.95pt;height:13.15pt;mso-position-horizontal-relative:page;mso-position-vertical-relative:page;z-index:-21383680" type="#_x0000_t202" id="docshape481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83638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8.986717pt;margin-top:25.636385pt;width:221.1pt;height:12.05pt;mso-position-horizontal-relative:page;mso-position-vertical-relative:page;z-index:-21383168" type="#_x0000_t202" id="docshape48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83638"/>
                    <w:spacing w:val="-1"/>
                    <w:w w:val="105"/>
                    <w:sz w:val="18"/>
                  </w:rPr>
                  <w:t>Chapter</w:t>
                </w:r>
                <w:r>
                  <w:rPr>
                    <w:color w:val="383638"/>
                    <w:spacing w:val="-3"/>
                    <w:w w:val="105"/>
                    <w:sz w:val="18"/>
                  </w:rPr>
                  <w:t> </w:t>
                </w:r>
                <w:r>
                  <w:rPr>
                    <w:color w:val="383638"/>
                    <w:spacing w:val="-1"/>
                    <w:w w:val="105"/>
                    <w:sz w:val="18"/>
                  </w:rPr>
                  <w:t>Eleven</w:t>
                </w:r>
                <w:r>
                  <w:rPr>
                    <w:color w:val="383638"/>
                    <w:spacing w:val="87"/>
                    <w:w w:val="105"/>
                    <w:sz w:val="18"/>
                  </w:rPr>
                  <w:t> </w:t>
                </w:r>
                <w:r>
                  <w:rPr>
                    <w:color w:val="383638"/>
                    <w:spacing w:val="-1"/>
                    <w:w w:val="105"/>
                    <w:sz w:val="18"/>
                  </w:rPr>
                  <w:t>Exploiting</w:t>
                </w:r>
                <w:r>
                  <w:rPr>
                    <w:color w:val="383638"/>
                    <w:spacing w:val="9"/>
                    <w:w w:val="105"/>
                    <w:sz w:val="18"/>
                  </w:rPr>
                  <w:t> </w:t>
                </w:r>
                <w:r>
                  <w:rPr>
                    <w:color w:val="383638"/>
                    <w:w w:val="105"/>
                    <w:sz w:val="18"/>
                  </w:rPr>
                  <w:t>Opportunities</w:t>
                </w:r>
                <w:r>
                  <w:rPr>
                    <w:color w:val="383638"/>
                    <w:spacing w:val="-12"/>
                    <w:w w:val="105"/>
                    <w:sz w:val="18"/>
                  </w:rPr>
                  <w:t> </w:t>
                </w:r>
                <w:r>
                  <w:rPr>
                    <w:color w:val="383638"/>
                    <w:w w:val="105"/>
                    <w:sz w:val="18"/>
                  </w:rPr>
                  <w:t>for</w:t>
                </w:r>
                <w:r>
                  <w:rPr>
                    <w:color w:val="383638"/>
                    <w:spacing w:val="1"/>
                    <w:w w:val="105"/>
                    <w:sz w:val="18"/>
                  </w:rPr>
                  <w:t> </w:t>
                </w:r>
                <w:r>
                  <w:rPr>
                    <w:color w:val="383638"/>
                    <w:w w:val="105"/>
                    <w:sz w:val="18"/>
                  </w:rPr>
                  <w:t>Persuasion</w:t>
                </w:r>
              </w:p>
            </w:txbxContent>
          </v:textbox>
          <w10:wrap type="none"/>
        </v:shape>
      </w:pict>
    </w:r>
  </w:p>
</w:hdr>
</file>

<file path=word/header2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9.058807pt;margin-top:29.843306pt;width:150.9pt;height:12.1pt;mso-position-horizontal-relative:page;mso-position-vertical-relative:page;z-index:-21382656" type="#_x0000_t202" id="docshape483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282324"/>
                    <w:w w:val="95"/>
                    <w:sz w:val="18"/>
                  </w:rPr>
                  <w:t>11.4</w:t>
                </w:r>
                <w:r>
                  <w:rPr>
                    <w:rFonts w:ascii="Arial"/>
                    <w:color w:val="282324"/>
                    <w:spacing w:val="46"/>
                    <w:w w:val="95"/>
                    <w:sz w:val="18"/>
                  </w:rPr>
                  <w:t> </w:t>
                </w:r>
                <w:r>
                  <w:rPr>
                    <w:rFonts w:ascii="Arial"/>
                    <w:color w:val="494949"/>
                    <w:w w:val="95"/>
                    <w:sz w:val="18"/>
                  </w:rPr>
                  <w:t>Exploiting</w:t>
                </w:r>
                <w:r>
                  <w:rPr>
                    <w:rFonts w:ascii="Arial"/>
                    <w:color w:val="494949"/>
                    <w:spacing w:val="6"/>
                    <w:w w:val="95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w w:val="95"/>
                    <w:sz w:val="18"/>
                  </w:rPr>
                  <w:t>Positions</w:t>
                </w:r>
                <w:r>
                  <w:rPr>
                    <w:rFonts w:ascii="Arial"/>
                    <w:color w:val="383638"/>
                    <w:spacing w:val="19"/>
                    <w:w w:val="95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w w:val="95"/>
                    <w:sz w:val="18"/>
                  </w:rPr>
                  <w:t>of</w:t>
                </w:r>
                <w:r>
                  <w:rPr>
                    <w:rFonts w:ascii="Arial"/>
                    <w:color w:val="383638"/>
                    <w:spacing w:val="10"/>
                    <w:w w:val="95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w w:val="95"/>
                    <w:sz w:val="18"/>
                  </w:rPr>
                  <w:t>Emphasis</w:t>
                </w:r>
              </w:p>
            </w:txbxContent>
          </v:textbox>
          <w10:wrap type="none"/>
        </v:shape>
      </w:pict>
    </w:r>
    <w:r>
      <w:rPr/>
      <w:pict>
        <v:shape style="position:absolute;margin-left:406.985291pt;margin-top:29.843306pt;width:21.2pt;height:12.1pt;mso-position-horizontal-relative:page;mso-position-vertical-relative:page;z-index:-21382144" type="#_x0000_t202" id="docshape484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38363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309967pt;margin-top:24.264702pt;width:23.3pt;height:13.15pt;mso-position-horizontal-relative:page;mso-position-vertical-relative:page;z-index:-21381632" type="#_x0000_t202" id="docshape485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B383B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0.864601pt;margin-top:25.485382pt;width:199pt;height:11.55pt;mso-position-horizontal-relative:page;mso-position-vertical-relative:page;z-index:-21381120" type="#_x0000_t202" id="docshape486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B383B"/>
                    <w:w w:val="90"/>
                    <w:sz w:val="17"/>
                  </w:rPr>
                  <w:t>Chapter</w:t>
                </w:r>
                <w:r>
                  <w:rPr>
                    <w:rFonts w:ascii="Arial"/>
                    <w:color w:val="3B383B"/>
                    <w:spacing w:val="-3"/>
                    <w:w w:val="90"/>
                    <w:sz w:val="17"/>
                  </w:rPr>
                  <w:t> </w:t>
                </w:r>
                <w:r>
                  <w:rPr>
                    <w:rFonts w:ascii="Arial"/>
                    <w:color w:val="3B383B"/>
                    <w:w w:val="90"/>
                    <w:sz w:val="17"/>
                  </w:rPr>
                  <w:t>Eleven</w:t>
                </w:r>
                <w:r>
                  <w:rPr>
                    <w:rFonts w:ascii="Arial"/>
                    <w:color w:val="3B383B"/>
                    <w:spacing w:val="89"/>
                    <w:sz w:val="17"/>
                  </w:rPr>
                  <w:t> </w:t>
                </w:r>
                <w:r>
                  <w:rPr>
                    <w:rFonts w:ascii="Arial"/>
                    <w:color w:val="3B383B"/>
                    <w:w w:val="90"/>
                    <w:sz w:val="17"/>
                  </w:rPr>
                  <w:t>Exploiting</w:t>
                </w:r>
                <w:r>
                  <w:rPr>
                    <w:rFonts w:ascii="Arial"/>
                    <w:color w:val="3B383B"/>
                    <w:spacing w:val="-2"/>
                    <w:w w:val="90"/>
                    <w:sz w:val="17"/>
                  </w:rPr>
                  <w:t> </w:t>
                </w:r>
                <w:r>
                  <w:rPr>
                    <w:rFonts w:ascii="Arial"/>
                    <w:color w:val="3B383B"/>
                    <w:w w:val="90"/>
                    <w:sz w:val="17"/>
                  </w:rPr>
                  <w:t>Opportunities</w:t>
                </w:r>
                <w:r>
                  <w:rPr>
                    <w:rFonts w:ascii="Arial"/>
                    <w:color w:val="3B383B"/>
                    <w:spacing w:val="16"/>
                    <w:w w:val="90"/>
                    <w:sz w:val="17"/>
                  </w:rPr>
                  <w:t> </w:t>
                </w:r>
                <w:r>
                  <w:rPr>
                    <w:rFonts w:ascii="Arial"/>
                    <w:color w:val="3B383B"/>
                    <w:w w:val="90"/>
                    <w:sz w:val="17"/>
                  </w:rPr>
                  <w:t>for</w:t>
                </w:r>
                <w:r>
                  <w:rPr>
                    <w:rFonts w:ascii="Arial"/>
                    <w:color w:val="3B383B"/>
                    <w:spacing w:val="-4"/>
                    <w:w w:val="90"/>
                    <w:sz w:val="17"/>
                  </w:rPr>
                  <w:t> </w:t>
                </w:r>
                <w:r>
                  <w:rPr>
                    <w:rFonts w:ascii="Arial"/>
                    <w:color w:val="3B383B"/>
                    <w:w w:val="90"/>
                    <w:sz w:val="17"/>
                  </w:rPr>
                  <w:t>Persuasion</w:t>
                </w:r>
              </w:p>
            </w:txbxContent>
          </v:textbox>
          <w10:wrap type="none"/>
        </v:shape>
      </w:pict>
    </w:r>
  </w:p>
</w:hdr>
</file>

<file path=word/header2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2.027206pt;margin-top:28.600201pt;width:174.4pt;height:13.15pt;mso-position-horizontal-relative:page;mso-position-vertical-relative:page;z-index:-21380608" type="#_x0000_t202" id="docshape487" filled="false" stroked="false">
          <v:textbox inset="0,0,0,0">
            <w:txbxContent>
              <w:p>
                <w:pPr>
                  <w:tabs>
                    <w:tab w:pos="3467" w:val="right" w:leader="none"/>
                  </w:tabs>
                  <w:spacing w:before="12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rFonts w:ascii="Arial"/>
                    <w:color w:val="383638"/>
                    <w:w w:val="90"/>
                    <w:sz w:val="18"/>
                  </w:rPr>
                  <w:t>11</w:t>
                </w:r>
                <w:r>
                  <w:rPr>
                    <w:rFonts w:ascii="Arial"/>
                    <w:i/>
                    <w:color w:val="383638"/>
                    <w:w w:val="90"/>
                    <w:sz w:val="17"/>
                  </w:rPr>
                  <w:t>.4</w:t>
                </w:r>
                <w:r>
                  <w:rPr>
                    <w:rFonts w:ascii="Arial"/>
                    <w:i/>
                    <w:color w:val="383638"/>
                    <w:spacing w:val="31"/>
                    <w:w w:val="90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90"/>
                    <w:sz w:val="18"/>
                  </w:rPr>
                  <w:t>Explo</w:t>
                </w:r>
                <w:r>
                  <w:rPr>
                    <w:rFonts w:ascii="Arial"/>
                    <w:color w:val="545456"/>
                    <w:w w:val="90"/>
                    <w:sz w:val="18"/>
                  </w:rPr>
                  <w:t>i</w:t>
                </w:r>
                <w:r>
                  <w:rPr>
                    <w:rFonts w:ascii="Arial"/>
                    <w:color w:val="383638"/>
                    <w:w w:val="90"/>
                    <w:sz w:val="18"/>
                  </w:rPr>
                  <w:t>ting</w:t>
                </w:r>
                <w:r>
                  <w:rPr>
                    <w:rFonts w:ascii="Arial"/>
                    <w:color w:val="383638"/>
                    <w:spacing w:val="4"/>
                    <w:w w:val="90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w w:val="90"/>
                    <w:sz w:val="18"/>
                  </w:rPr>
                  <w:t>Pos</w:t>
                </w:r>
                <w:r>
                  <w:rPr>
                    <w:rFonts w:ascii="Arial"/>
                    <w:color w:val="545456"/>
                    <w:w w:val="90"/>
                    <w:sz w:val="18"/>
                  </w:rPr>
                  <w:t>i</w:t>
                </w:r>
                <w:r>
                  <w:rPr>
                    <w:rFonts w:ascii="Arial"/>
                    <w:color w:val="383638"/>
                    <w:w w:val="90"/>
                    <w:sz w:val="18"/>
                  </w:rPr>
                  <w:t>tions</w:t>
                </w:r>
                <w:r>
                  <w:rPr>
                    <w:rFonts w:ascii="Arial"/>
                    <w:color w:val="383638"/>
                    <w:spacing w:val="-18"/>
                    <w:w w:val="90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w w:val="90"/>
                    <w:sz w:val="18"/>
                  </w:rPr>
                  <w:t>of</w:t>
                </w:r>
                <w:r>
                  <w:rPr>
                    <w:rFonts w:ascii="Arial"/>
                    <w:color w:val="383638"/>
                    <w:spacing w:val="-6"/>
                    <w:w w:val="90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w w:val="90"/>
                    <w:sz w:val="18"/>
                  </w:rPr>
                  <w:t>Emphas</w:t>
                </w:r>
                <w:r>
                  <w:rPr>
                    <w:rFonts w:ascii="Arial"/>
                    <w:color w:val="545456"/>
                    <w:w w:val="90"/>
                    <w:sz w:val="18"/>
                  </w:rPr>
                  <w:t>i</w:t>
                </w:r>
                <w:r>
                  <w:rPr>
                    <w:rFonts w:ascii="Arial"/>
                    <w:color w:val="383638"/>
                    <w:w w:val="90"/>
                    <w:sz w:val="18"/>
                  </w:rPr>
                  <w:t>s</w:t>
                  <w:tab/>
                </w:r>
                <w:r>
                  <w:rPr>
                    <w:b/>
                    <w:color w:val="383638"/>
                    <w:w w:val="90"/>
                    <w:sz w:val="20"/>
                  </w:rPr>
                  <w:t>265</w:t>
                </w:r>
              </w:p>
            </w:txbxContent>
          </v:textbox>
          <w10:wrap type="none"/>
        </v:shape>
      </w:pict>
    </w:r>
  </w:p>
</w:hdr>
</file>

<file path=word/header2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285301pt;margin-top:24.702475pt;width:22.75pt;height:12.6pt;mso-position-horizontal-relative:page;mso-position-vertical-relative:page;z-index:-21380096" type="#_x0000_t202" id="docshape488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color w:val="383436"/>
                    <w:w w:val="11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3.731796pt;margin-top:24.702475pt;width:221.7pt;height:12.6pt;mso-position-horizontal-relative:page;mso-position-vertical-relative:page;z-index:-21379584" type="#_x0000_t202" id="docshape489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83436"/>
                    <w:sz w:val="19"/>
                  </w:rPr>
                  <w:t>Chapter</w:t>
                </w:r>
                <w:r>
                  <w:rPr>
                    <w:color w:val="383436"/>
                    <w:spacing w:val="-5"/>
                    <w:sz w:val="19"/>
                  </w:rPr>
                  <w:t> </w:t>
                </w:r>
                <w:r>
                  <w:rPr>
                    <w:color w:val="383436"/>
                    <w:sz w:val="19"/>
                  </w:rPr>
                  <w:t>Eleven</w:t>
                </w:r>
                <w:r>
                  <w:rPr>
                    <w:color w:val="383436"/>
                    <w:spacing w:val="73"/>
                    <w:sz w:val="19"/>
                  </w:rPr>
                  <w:t> </w:t>
                </w:r>
                <w:r>
                  <w:rPr>
                    <w:color w:val="383436"/>
                    <w:sz w:val="19"/>
                  </w:rPr>
                  <w:t>Exploiting</w:t>
                </w:r>
                <w:r>
                  <w:rPr>
                    <w:color w:val="383436"/>
                    <w:spacing w:val="-5"/>
                    <w:sz w:val="19"/>
                  </w:rPr>
                  <w:t> </w:t>
                </w:r>
                <w:r>
                  <w:rPr>
                    <w:color w:val="383436"/>
                    <w:sz w:val="19"/>
                  </w:rPr>
                  <w:t>Opportunities</w:t>
                </w:r>
                <w:r>
                  <w:rPr>
                    <w:color w:val="383436"/>
                    <w:spacing w:val="-3"/>
                    <w:sz w:val="19"/>
                  </w:rPr>
                  <w:t> </w:t>
                </w:r>
                <w:r>
                  <w:rPr>
                    <w:color w:val="383436"/>
                    <w:sz w:val="19"/>
                  </w:rPr>
                  <w:t>for</w:t>
                </w:r>
                <w:r>
                  <w:rPr>
                    <w:color w:val="383436"/>
                    <w:spacing w:val="-9"/>
                    <w:sz w:val="19"/>
                  </w:rPr>
                  <w:t> </w:t>
                </w:r>
                <w:r>
                  <w:rPr>
                    <w:color w:val="383436"/>
                    <w:sz w:val="19"/>
                  </w:rPr>
                  <w:t>Persuasion</w:t>
                </w:r>
              </w:p>
            </w:txbxContent>
          </v:textbox>
          <w10:wrap type="none"/>
        </v:shape>
      </w:pict>
    </w:r>
  </w:p>
</w:hdr>
</file>

<file path=word/header2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3.323196pt;margin-top:31.444174pt;width:150.4pt;height:12.6pt;mso-position-horizontal-relative:page;mso-position-vertical-relative:page;z-index:-21379072" type="#_x0000_t202" id="docshape490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83636"/>
                    <w:w w:val="95"/>
                    <w:sz w:val="19"/>
                  </w:rPr>
                  <w:t>11</w:t>
                </w:r>
                <w:r>
                  <w:rPr>
                    <w:color w:val="383636"/>
                    <w:spacing w:val="-17"/>
                    <w:w w:val="95"/>
                    <w:sz w:val="19"/>
                  </w:rPr>
                  <w:t> </w:t>
                </w:r>
                <w:r>
                  <w:rPr>
                    <w:rFonts w:ascii="Arial"/>
                    <w:color w:val="383636"/>
                    <w:w w:val="95"/>
                    <w:sz w:val="17"/>
                  </w:rPr>
                  <w:t>.4</w:t>
                </w:r>
                <w:r>
                  <w:rPr>
                    <w:rFonts w:ascii="Arial"/>
                    <w:color w:val="383636"/>
                    <w:spacing w:val="81"/>
                    <w:sz w:val="17"/>
                  </w:rPr>
                  <w:t> </w:t>
                </w:r>
                <w:r>
                  <w:rPr>
                    <w:color w:val="383636"/>
                    <w:w w:val="95"/>
                    <w:sz w:val="19"/>
                  </w:rPr>
                  <w:t>Exploiting</w:t>
                </w:r>
                <w:r>
                  <w:rPr>
                    <w:color w:val="383636"/>
                    <w:spacing w:val="25"/>
                    <w:w w:val="95"/>
                    <w:sz w:val="19"/>
                  </w:rPr>
                  <w:t> </w:t>
                </w:r>
                <w:r>
                  <w:rPr>
                    <w:color w:val="383636"/>
                    <w:w w:val="95"/>
                    <w:sz w:val="19"/>
                  </w:rPr>
                  <w:t>Positions</w:t>
                </w:r>
                <w:r>
                  <w:rPr>
                    <w:color w:val="383636"/>
                    <w:spacing w:val="-2"/>
                    <w:w w:val="95"/>
                    <w:sz w:val="19"/>
                  </w:rPr>
                  <w:t> </w:t>
                </w:r>
                <w:r>
                  <w:rPr>
                    <w:color w:val="383636"/>
                    <w:w w:val="95"/>
                    <w:sz w:val="19"/>
                  </w:rPr>
                  <w:t>of</w:t>
                </w:r>
                <w:r>
                  <w:rPr>
                    <w:color w:val="383636"/>
                    <w:spacing w:val="25"/>
                    <w:w w:val="95"/>
                    <w:sz w:val="19"/>
                  </w:rPr>
                  <w:t> </w:t>
                </w:r>
                <w:r>
                  <w:rPr>
                    <w:color w:val="383636"/>
                    <w:w w:val="95"/>
                    <w:sz w:val="19"/>
                  </w:rPr>
                  <w:t>Emphasis</w:t>
                </w:r>
              </w:p>
            </w:txbxContent>
          </v:textbox>
          <w10:wrap type="none"/>
        </v:shape>
      </w:pict>
    </w:r>
    <w:r>
      <w:rPr/>
      <w:pict>
        <v:shape style="position:absolute;margin-left:410.993286pt;margin-top:31.444174pt;width:21.35pt;height:12.6pt;mso-position-horizontal-relative:page;mso-position-vertical-relative:page;z-index:-21378560" type="#_x0000_t202" id="docshape491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color w:val="383636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063164pt;margin-top:24.565941pt;width:23.9pt;height:12.65pt;mso-position-horizontal-relative:page;mso-position-vertical-relative:page;z-index:-21378048" type="#_x0000_t202" id="docshape49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8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8.564102pt;margin-top:25.147858pt;width:220pt;height:12pt;mso-position-horizontal-relative:page;mso-position-vertical-relative:page;z-index:-21377536" type="#_x0000_t202" id="docshape493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83638"/>
                    <w:w w:val="105"/>
                    <w:sz w:val="18"/>
                  </w:rPr>
                  <w:t>Chapter</w:t>
                </w:r>
                <w:r>
                  <w:rPr>
                    <w:color w:val="383638"/>
                    <w:spacing w:val="-4"/>
                    <w:w w:val="105"/>
                    <w:sz w:val="18"/>
                  </w:rPr>
                  <w:t> </w:t>
                </w:r>
                <w:r>
                  <w:rPr>
                    <w:color w:val="383638"/>
                    <w:w w:val="105"/>
                    <w:sz w:val="18"/>
                  </w:rPr>
                  <w:t>Eleven </w:t>
                </w:r>
                <w:r>
                  <w:rPr>
                    <w:color w:val="383638"/>
                    <w:spacing w:val="16"/>
                    <w:w w:val="105"/>
                    <w:sz w:val="18"/>
                  </w:rPr>
                  <w:t> </w:t>
                </w:r>
                <w:r>
                  <w:rPr>
                    <w:color w:val="383638"/>
                    <w:w w:val="105"/>
                    <w:sz w:val="18"/>
                  </w:rPr>
                  <w:t>Exploiting</w:t>
                </w:r>
                <w:r>
                  <w:rPr>
                    <w:color w:val="383638"/>
                    <w:spacing w:val="-9"/>
                    <w:w w:val="105"/>
                    <w:sz w:val="18"/>
                  </w:rPr>
                  <w:t> </w:t>
                </w:r>
                <w:r>
                  <w:rPr>
                    <w:color w:val="383638"/>
                    <w:w w:val="105"/>
                    <w:sz w:val="18"/>
                  </w:rPr>
                  <w:t>Opportunities</w:t>
                </w:r>
                <w:r>
                  <w:rPr>
                    <w:color w:val="383638"/>
                    <w:spacing w:val="-7"/>
                    <w:w w:val="105"/>
                    <w:sz w:val="18"/>
                  </w:rPr>
                  <w:t> </w:t>
                </w:r>
                <w:r>
                  <w:rPr>
                    <w:color w:val="383638"/>
                    <w:w w:val="105"/>
                    <w:sz w:val="18"/>
                  </w:rPr>
                  <w:t>for</w:t>
                </w:r>
                <w:r>
                  <w:rPr>
                    <w:color w:val="383638"/>
                    <w:spacing w:val="-3"/>
                    <w:w w:val="105"/>
                    <w:sz w:val="18"/>
                  </w:rPr>
                  <w:t> </w:t>
                </w:r>
                <w:r>
                  <w:rPr>
                    <w:color w:val="383638"/>
                    <w:w w:val="105"/>
                    <w:sz w:val="18"/>
                  </w:rPr>
                  <w:t>Persuasion</w:t>
                </w:r>
              </w:p>
            </w:txbxContent>
          </v:textbox>
          <w10:wrap type="none"/>
        </v:shape>
      </w:pict>
    </w:r>
  </w:p>
</w:hdr>
</file>

<file path=word/header2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8.686295pt;margin-top:26.14539pt;width:187.95pt;height:12.6pt;mso-position-horizontal-relative:page;mso-position-vertical-relative:page;z-index:-21377024" type="#_x0000_t202" id="docshape494" filled="false" stroked="false">
          <v:textbox inset="0,0,0,0">
            <w:txbxContent>
              <w:p>
                <w:pPr>
                  <w:tabs>
                    <w:tab w:pos="3678" w:val="right" w:leader="none"/>
                  </w:tabs>
                  <w:spacing w:before="12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rFonts w:ascii="Arial"/>
                    <w:color w:val="3A3838"/>
                    <w:sz w:val="17"/>
                  </w:rPr>
                  <w:t>11.4</w:t>
                </w:r>
                <w:r>
                  <w:rPr>
                    <w:rFonts w:ascii="Arial"/>
                    <w:color w:val="3A3838"/>
                    <w:spacing w:val="59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Explo</w:t>
                </w:r>
                <w:r>
                  <w:rPr>
                    <w:rFonts w:ascii="Arial"/>
                    <w:color w:val="504F52"/>
                    <w:sz w:val="17"/>
                  </w:rPr>
                  <w:t>i</w:t>
                </w:r>
                <w:r>
                  <w:rPr>
                    <w:rFonts w:ascii="Arial"/>
                    <w:color w:val="3A3838"/>
                    <w:sz w:val="17"/>
                  </w:rPr>
                  <w:t>ting</w:t>
                </w:r>
                <w:r>
                  <w:rPr>
                    <w:rFonts w:ascii="Arial"/>
                    <w:color w:val="3A3838"/>
                    <w:spacing w:val="14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Positions</w:t>
                </w:r>
                <w:r>
                  <w:rPr>
                    <w:rFonts w:ascii="Arial"/>
                    <w:color w:val="3A3838"/>
                    <w:spacing w:val="7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of</w:t>
                </w:r>
                <w:r>
                  <w:rPr>
                    <w:rFonts w:ascii="Arial"/>
                    <w:color w:val="3A3838"/>
                    <w:spacing w:val="7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Empha</w:t>
                </w:r>
                <w:r>
                  <w:rPr>
                    <w:rFonts w:ascii="Arial"/>
                    <w:color w:val="504F52"/>
                    <w:sz w:val="17"/>
                  </w:rPr>
                  <w:t>s</w:t>
                </w:r>
                <w:r>
                  <w:rPr>
                    <w:rFonts w:ascii="Arial"/>
                    <w:color w:val="3A3838"/>
                    <w:sz w:val="17"/>
                  </w:rPr>
                  <w:t>is</w:t>
                  <w:tab/>
                </w:r>
                <w:r>
                  <w:rPr/>
                  <w:fldChar w:fldCharType="begin"/>
                </w:r>
                <w:r>
                  <w:rPr>
                    <w:b/>
                    <w:color w:val="3A3838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572723pt;margin-top:25.985703pt;width:14.25pt;height:12.1pt;mso-position-horizontal-relative:page;mso-position-vertical-relative:page;z-index:-21376512" type="#_x0000_t202" id="docshape495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63436"/>
                    <w:w w:val="6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8.5868pt;margin-top:26.11356pt;width:222pt;height:12pt;mso-position-horizontal-relative:page;mso-position-vertical-relative:page;z-index:-21376000" type="#_x0000_t202" id="docshape496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63436"/>
                    <w:w w:val="105"/>
                    <w:sz w:val="18"/>
                  </w:rPr>
                  <w:t>Chapter</w:t>
                </w:r>
                <w:r>
                  <w:rPr>
                    <w:color w:val="363436"/>
                    <w:spacing w:val="-3"/>
                    <w:w w:val="105"/>
                    <w:sz w:val="18"/>
                  </w:rPr>
                  <w:t> </w:t>
                </w:r>
                <w:r>
                  <w:rPr>
                    <w:color w:val="363436"/>
                    <w:w w:val="105"/>
                    <w:sz w:val="18"/>
                  </w:rPr>
                  <w:t>Eleven </w:t>
                </w:r>
                <w:r>
                  <w:rPr>
                    <w:color w:val="363436"/>
                    <w:spacing w:val="40"/>
                    <w:w w:val="105"/>
                    <w:sz w:val="18"/>
                  </w:rPr>
                  <w:t> </w:t>
                </w:r>
                <w:r>
                  <w:rPr>
                    <w:color w:val="363436"/>
                    <w:w w:val="105"/>
                    <w:sz w:val="18"/>
                  </w:rPr>
                  <w:t>Exploiting</w:t>
                </w:r>
                <w:r>
                  <w:rPr>
                    <w:color w:val="363436"/>
                    <w:spacing w:val="4"/>
                    <w:w w:val="105"/>
                    <w:sz w:val="18"/>
                  </w:rPr>
                  <w:t> </w:t>
                </w:r>
                <w:r>
                  <w:rPr>
                    <w:color w:val="363436"/>
                    <w:w w:val="105"/>
                    <w:sz w:val="18"/>
                  </w:rPr>
                  <w:t>Opportunities</w:t>
                </w:r>
                <w:r>
                  <w:rPr>
                    <w:color w:val="363436"/>
                    <w:spacing w:val="-12"/>
                    <w:w w:val="105"/>
                    <w:sz w:val="18"/>
                  </w:rPr>
                  <w:t> </w:t>
                </w:r>
                <w:r>
                  <w:rPr>
                    <w:color w:val="363436"/>
                    <w:w w:val="105"/>
                    <w:sz w:val="18"/>
                  </w:rPr>
                  <w:t>for</w:t>
                </w:r>
                <w:r>
                  <w:rPr>
                    <w:color w:val="363436"/>
                    <w:spacing w:val="-1"/>
                    <w:w w:val="105"/>
                    <w:sz w:val="18"/>
                  </w:rPr>
                  <w:t> </w:t>
                </w:r>
                <w:r>
                  <w:rPr>
                    <w:color w:val="363436"/>
                    <w:w w:val="105"/>
                    <w:sz w:val="18"/>
                  </w:rPr>
                  <w:t>Persuasion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30.62561pt;margin-top:20.209366pt;width:13.1pt;height:12.1pt;mso-position-horizontal-relative:page;mso-position-vertical-relative:page;z-index:-21594624" type="#_x0000_t202" id="docshape34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383638"/>
                    <w:w w:val="110"/>
                    <w:sz w:val="18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348.835999pt;margin-top:20.337238pt;width:58.05pt;height:12pt;mso-position-horizontal-relative:page;mso-position-vertical-relative:page;z-index:-21594112" type="#_x0000_t202" id="docshape35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83638"/>
                    <w:sz w:val="18"/>
                  </w:rPr>
                  <w:t>1.5   </w:t>
                </w:r>
                <w:r>
                  <w:rPr>
                    <w:color w:val="383638"/>
                    <w:spacing w:val="3"/>
                    <w:sz w:val="18"/>
                  </w:rPr>
                  <w:t> </w:t>
                </w:r>
                <w:r>
                  <w:rPr>
                    <w:color w:val="383638"/>
                    <w:sz w:val="18"/>
                  </w:rPr>
                  <w:t>Summary</w:t>
                </w:r>
              </w:p>
            </w:txbxContent>
          </v:textbox>
          <w10:wrap type="none"/>
        </v:shape>
      </w:pict>
    </w:r>
  </w:p>
</w:hdr>
</file>

<file path=word/header2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5.7332pt;margin-top:25.666548pt;width:175.8pt;height:12.6pt;mso-position-horizontal-relative:page;mso-position-vertical-relative:page;z-index:-21375488" type="#_x0000_t202" id="docshape497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A383A"/>
                    <w:sz w:val="19"/>
                  </w:rPr>
                  <w:t>11.6</w:t>
                </w:r>
                <w:r>
                  <w:rPr>
                    <w:color w:val="3A383A"/>
                    <w:spacing w:val="37"/>
                    <w:sz w:val="19"/>
                  </w:rPr>
                  <w:t> </w:t>
                </w:r>
                <w:r>
                  <w:rPr>
                    <w:color w:val="3A383A"/>
                    <w:sz w:val="19"/>
                  </w:rPr>
                  <w:t>Credibility</w:t>
                </w:r>
                <w:r>
                  <w:rPr>
                    <w:color w:val="3A383A"/>
                    <w:spacing w:val="4"/>
                    <w:sz w:val="19"/>
                  </w:rPr>
                  <w:t> </w:t>
                </w:r>
                <w:r>
                  <w:rPr>
                    <w:color w:val="3A383A"/>
                    <w:sz w:val="19"/>
                  </w:rPr>
                  <w:t>Through</w:t>
                </w:r>
                <w:r>
                  <w:rPr>
                    <w:color w:val="3A383A"/>
                    <w:spacing w:val="25"/>
                    <w:sz w:val="19"/>
                  </w:rPr>
                  <w:t> </w:t>
                </w:r>
                <w:r>
                  <w:rPr>
                    <w:color w:val="3A383A"/>
                    <w:sz w:val="19"/>
                  </w:rPr>
                  <w:t>Document</w:t>
                </w:r>
                <w:r>
                  <w:rPr>
                    <w:color w:val="3A383A"/>
                    <w:spacing w:val="37"/>
                    <w:sz w:val="19"/>
                  </w:rPr>
                  <w:t> </w:t>
                </w:r>
                <w:r>
                  <w:rPr>
                    <w:color w:val="3A383A"/>
                    <w:sz w:val="19"/>
                  </w:rPr>
                  <w:t>Design</w:t>
                </w:r>
              </w:p>
            </w:txbxContent>
          </v:textbox>
          <w10:wrap type="none"/>
        </v:shape>
      </w:pict>
    </w:r>
    <w:r>
      <w:rPr/>
      <w:pict>
        <v:shape style="position:absolute;margin-left:408.825592pt;margin-top:25.531586pt;width:24.05pt;height:12.65pt;mso-position-horizontal-relative:page;mso-position-vertical-relative:page;z-index:-21374976" type="#_x0000_t202" id="docshape498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2A2828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287128pt;margin-top:25.04315pt;width:24.35pt;height:12.65pt;mso-position-horizontal-relative:page;mso-position-vertical-relative:page;z-index:-21374464" type="#_x0000_t202" id="docshape499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B3A3B"/>
                    <w:w w:val="11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2.700302pt;margin-top:25.951143pt;width:223.9pt;height:11.55pt;mso-position-horizontal-relative:page;mso-position-vertical-relative:page;z-index:-21373952" type="#_x0000_t202" id="docshape500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B3A3B"/>
                    <w:spacing w:val="-1"/>
                    <w:w w:val="105"/>
                    <w:sz w:val="17"/>
                  </w:rPr>
                  <w:t>Chapter</w:t>
                </w:r>
                <w:r>
                  <w:rPr>
                    <w:rFonts w:ascii="Arial"/>
                    <w:color w:val="3B3A3B"/>
                    <w:spacing w:val="2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A3B"/>
                    <w:spacing w:val="-1"/>
                    <w:w w:val="105"/>
                    <w:sz w:val="17"/>
                  </w:rPr>
                  <w:t>Eleven</w:t>
                </w:r>
                <w:r>
                  <w:rPr>
                    <w:rFonts w:ascii="Arial"/>
                    <w:color w:val="3B3A3B"/>
                    <w:spacing w:val="6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A3B"/>
                    <w:spacing w:val="-1"/>
                    <w:w w:val="105"/>
                    <w:sz w:val="17"/>
                  </w:rPr>
                  <w:t>Exploiting</w:t>
                </w:r>
                <w:r>
                  <w:rPr>
                    <w:rFonts w:ascii="Arial"/>
                    <w:color w:val="3B3A3B"/>
                    <w:spacing w:val="-17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A3B"/>
                    <w:spacing w:val="-1"/>
                    <w:w w:val="105"/>
                    <w:sz w:val="17"/>
                  </w:rPr>
                  <w:t>Opportunities</w:t>
                </w:r>
                <w:r>
                  <w:rPr>
                    <w:rFonts w:ascii="Arial"/>
                    <w:color w:val="3B3A3B"/>
                    <w:spacing w:val="-10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A3B"/>
                    <w:spacing w:val="-1"/>
                    <w:w w:val="105"/>
                    <w:sz w:val="17"/>
                  </w:rPr>
                  <w:t>for</w:t>
                </w:r>
                <w:r>
                  <w:rPr>
                    <w:rFonts w:ascii="Arial"/>
                    <w:color w:val="3B3A3B"/>
                    <w:spacing w:val="-7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A3B"/>
                    <w:spacing w:val="-1"/>
                    <w:w w:val="105"/>
                    <w:sz w:val="17"/>
                  </w:rPr>
                  <w:t>Persuasion</w:t>
                </w:r>
              </w:p>
            </w:txbxContent>
          </v:textbox>
          <w10:wrap type="none"/>
        </v:shape>
      </w:pict>
    </w:r>
  </w:p>
</w:hdr>
</file>

<file path=word/header2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7.001801pt;margin-top:27.469999pt;width:215.95pt;height:12.7pt;mso-position-horizontal-relative:page;mso-position-vertical-relative:page;z-index:-21373440" type="#_x0000_t202" id="docshape501" filled="false" stroked="false">
          <v:textbox inset="0,0,0,0">
            <w:txbxContent>
              <w:p>
                <w:pPr>
                  <w:tabs>
                    <w:tab w:pos="4238" w:val="right" w:leader="none"/>
                  </w:tabs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color w:val="3B383B"/>
                    <w:w w:val="105"/>
                    <w:sz w:val="17"/>
                  </w:rPr>
                  <w:t>11.6  Credibility</w:t>
                </w:r>
                <w:r>
                  <w:rPr>
                    <w:rFonts w:ascii="Arial"/>
                    <w:color w:val="3B383B"/>
                    <w:spacing w:val="-7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83B"/>
                    <w:w w:val="105"/>
                    <w:sz w:val="17"/>
                  </w:rPr>
                  <w:t>Through</w:t>
                </w:r>
                <w:r>
                  <w:rPr>
                    <w:rFonts w:ascii="Arial"/>
                    <w:color w:val="3B383B"/>
                    <w:spacing w:val="-9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83B"/>
                    <w:w w:val="105"/>
                    <w:sz w:val="17"/>
                  </w:rPr>
                  <w:t>Document</w:t>
                </w:r>
                <w:r>
                  <w:rPr>
                    <w:rFonts w:ascii="Arial"/>
                    <w:color w:val="3B383B"/>
                    <w:spacing w:val="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83B"/>
                    <w:w w:val="105"/>
                    <w:sz w:val="17"/>
                  </w:rPr>
                  <w:t>Design</w:t>
                  <w:tab/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B383B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8.384003pt;margin-top:27.403019pt;width:176.8pt;height:11.55pt;mso-position-horizontal-relative:page;mso-position-vertical-relative:page;z-index:-21372928" type="#_x0000_t202" id="docshape5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8"/>
                    <w:spacing w:val="-1"/>
                    <w:w w:val="110"/>
                    <w:sz w:val="17"/>
                  </w:rPr>
                  <w:t>11.6</w:t>
                </w:r>
                <w:r>
                  <w:rPr>
                    <w:rFonts w:ascii="Arial"/>
                    <w:color w:val="383638"/>
                    <w:spacing w:val="22"/>
                    <w:w w:val="110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pacing w:val="-1"/>
                    <w:w w:val="110"/>
                    <w:sz w:val="17"/>
                  </w:rPr>
                  <w:t>Credibility</w:t>
                </w:r>
                <w:r>
                  <w:rPr>
                    <w:rFonts w:ascii="Arial"/>
                    <w:color w:val="383638"/>
                    <w:spacing w:val="-15"/>
                    <w:w w:val="110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pacing w:val="-1"/>
                    <w:w w:val="110"/>
                    <w:sz w:val="17"/>
                  </w:rPr>
                  <w:t>Through</w:t>
                </w:r>
                <w:r>
                  <w:rPr>
                    <w:rFonts w:ascii="Arial"/>
                    <w:color w:val="383638"/>
                    <w:spacing w:val="-15"/>
                    <w:w w:val="110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pacing w:val="-1"/>
                    <w:w w:val="110"/>
                    <w:sz w:val="17"/>
                  </w:rPr>
                  <w:t>Document</w:t>
                </w:r>
                <w:r>
                  <w:rPr>
                    <w:rFonts w:ascii="Arial"/>
                    <w:color w:val="383638"/>
                    <w:spacing w:val="-17"/>
                    <w:w w:val="110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pacing w:val="-1"/>
                    <w:w w:val="110"/>
                    <w:sz w:val="17"/>
                  </w:rPr>
                  <w:t>Design</w:t>
                </w:r>
              </w:p>
            </w:txbxContent>
          </v:textbox>
          <w10:wrap type="none"/>
        </v:shape>
      </w:pict>
    </w:r>
    <w:r>
      <w:rPr/>
      <w:pict>
        <v:shape style="position:absolute;margin-left:411.992889pt;margin-top:26.948902pt;width:23.45pt;height:12.1pt;mso-position-horizontal-relative:page;mso-position-vertical-relative:page;z-index:-21372416" type="#_x0000_t202" id="docshape503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i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i/>
                    <w:color w:val="383638"/>
                    <w:w w:val="11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5.689987pt;margin-top:25.494539pt;width:23.75pt;height:12.1pt;mso-position-horizontal-relative:page;mso-position-vertical-relative:page;z-index:-21371904" type="#_x0000_t202" id="docshape504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A383A"/>
                    <w:w w:val="11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4.690102pt;margin-top:25.622351pt;width:222.4pt;height:12pt;mso-position-horizontal-relative:page;mso-position-vertical-relative:page;z-index:-21371392" type="#_x0000_t202" id="docshape505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A383A"/>
                    <w:w w:val="105"/>
                    <w:sz w:val="18"/>
                  </w:rPr>
                  <w:t>Chapter</w:t>
                </w:r>
                <w:r>
                  <w:rPr>
                    <w:color w:val="3A383A"/>
                    <w:spacing w:val="-5"/>
                    <w:w w:val="105"/>
                    <w:sz w:val="18"/>
                  </w:rPr>
                  <w:t> </w:t>
                </w:r>
                <w:r>
                  <w:rPr>
                    <w:color w:val="3A383A"/>
                    <w:w w:val="105"/>
                    <w:sz w:val="18"/>
                  </w:rPr>
                  <w:t>Eleven </w:t>
                </w:r>
                <w:r>
                  <w:rPr>
                    <w:color w:val="3A383A"/>
                    <w:spacing w:val="42"/>
                    <w:w w:val="105"/>
                    <w:sz w:val="18"/>
                  </w:rPr>
                  <w:t> </w:t>
                </w:r>
                <w:r>
                  <w:rPr>
                    <w:color w:val="3A383A"/>
                    <w:w w:val="105"/>
                    <w:sz w:val="18"/>
                  </w:rPr>
                  <w:t>Exploiting</w:t>
                </w:r>
                <w:r>
                  <w:rPr>
                    <w:color w:val="3A383A"/>
                    <w:spacing w:val="8"/>
                    <w:w w:val="105"/>
                    <w:sz w:val="18"/>
                  </w:rPr>
                  <w:t> </w:t>
                </w:r>
                <w:r>
                  <w:rPr>
                    <w:color w:val="3A383A"/>
                    <w:w w:val="105"/>
                    <w:sz w:val="18"/>
                  </w:rPr>
                  <w:t>Opportunities</w:t>
                </w:r>
                <w:r>
                  <w:rPr>
                    <w:color w:val="3A383A"/>
                    <w:spacing w:val="-5"/>
                    <w:w w:val="105"/>
                    <w:sz w:val="18"/>
                  </w:rPr>
                  <w:t> </w:t>
                </w:r>
                <w:r>
                  <w:rPr>
                    <w:color w:val="3A383A"/>
                    <w:w w:val="105"/>
                    <w:sz w:val="18"/>
                  </w:rPr>
                  <w:t>for</w:t>
                </w:r>
                <w:r>
                  <w:rPr>
                    <w:color w:val="3A383A"/>
                    <w:spacing w:val="-2"/>
                    <w:w w:val="105"/>
                    <w:sz w:val="18"/>
                  </w:rPr>
                  <w:t> </w:t>
                </w:r>
                <w:r>
                  <w:rPr>
                    <w:color w:val="3A383A"/>
                    <w:w w:val="105"/>
                    <w:sz w:val="18"/>
                  </w:rPr>
                  <w:t>Persuasion</w:t>
                </w:r>
              </w:p>
            </w:txbxContent>
          </v:textbox>
          <w10:wrap type="none"/>
        </v:shape>
      </w:pict>
    </w:r>
  </w:p>
</w:hdr>
</file>

<file path=word/header2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6.087708pt;margin-top:29.339083pt;width:175.4pt;height:11.55pt;mso-position-horizontal-relative:page;mso-position-vertical-relative:page;z-index:-21370880" type="#_x0000_t202" id="docshape506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6"/>
                    <w:w w:val="105"/>
                    <w:sz w:val="17"/>
                  </w:rPr>
                  <w:t>11.6</w:t>
                </w:r>
                <w:r>
                  <w:rPr>
                    <w:rFonts w:ascii="Arial"/>
                    <w:color w:val="383636"/>
                    <w:spacing w:val="38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Credibility</w:t>
                </w:r>
                <w:r>
                  <w:rPr>
                    <w:rFonts w:ascii="Arial"/>
                    <w:color w:val="383636"/>
                    <w:spacing w:val="4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Through</w:t>
                </w:r>
                <w:r>
                  <w:rPr>
                    <w:rFonts w:ascii="Arial"/>
                    <w:color w:val="383636"/>
                    <w:spacing w:val="-4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Document</w:t>
                </w:r>
                <w:r>
                  <w:rPr>
                    <w:rFonts w:ascii="Arial"/>
                    <w:color w:val="383636"/>
                    <w:spacing w:val="16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Design</w:t>
                </w:r>
              </w:p>
            </w:txbxContent>
          </v:textbox>
          <w10:wrap type="none"/>
        </v:shape>
      </w:pict>
    </w:r>
    <w:r>
      <w:rPr/>
      <w:pict>
        <v:shape style="position:absolute;margin-left:408.661987pt;margin-top:29.339083pt;width:22.25pt;height:11.55pt;mso-position-horizontal-relative:page;mso-position-vertical-relative:page;z-index:-21370368" type="#_x0000_t202" id="docshape507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383636"/>
                    <w:w w:val="110"/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8.009251pt;margin-top:28.550022pt;width:262pt;height:12.6pt;mso-position-horizontal-relative:page;mso-position-vertical-relative:page;z-index:-21369856" type="#_x0000_t202" id="docshape508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63436"/>
                    <w:spacing w:val="-1"/>
                    <w:w w:val="13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278</w:t>
                </w:r>
                <w:r>
                  <w:rPr/>
                  <w:fldChar w:fldCharType="end"/>
                </w:r>
                <w:r>
                  <w:rPr>
                    <w:b/>
                    <w:color w:val="363436"/>
                    <w:spacing w:val="42"/>
                    <w:w w:val="130"/>
                    <w:sz w:val="19"/>
                  </w:rPr>
                  <w:t> </w:t>
                </w:r>
                <w:r>
                  <w:rPr>
                    <w:rFonts w:ascii="Arial"/>
                    <w:color w:val="363436"/>
                    <w:spacing w:val="-1"/>
                    <w:w w:val="110"/>
                    <w:sz w:val="17"/>
                  </w:rPr>
                  <w:t>Chapter</w:t>
                </w:r>
                <w:r>
                  <w:rPr>
                    <w:rFonts w:ascii="Arial"/>
                    <w:color w:val="363436"/>
                    <w:spacing w:val="-20"/>
                    <w:w w:val="110"/>
                    <w:sz w:val="17"/>
                  </w:rPr>
                  <w:t> </w:t>
                </w:r>
                <w:r>
                  <w:rPr>
                    <w:rFonts w:ascii="Arial"/>
                    <w:i/>
                    <w:color w:val="363436"/>
                    <w:spacing w:val="-1"/>
                    <w:w w:val="110"/>
                    <w:sz w:val="18"/>
                  </w:rPr>
                  <w:t>Eleven</w:t>
                </w:r>
                <w:r>
                  <w:rPr>
                    <w:rFonts w:ascii="Arial"/>
                    <w:i/>
                    <w:color w:val="363436"/>
                    <w:spacing w:val="58"/>
                    <w:w w:val="110"/>
                    <w:sz w:val="18"/>
                  </w:rPr>
                  <w:t> </w:t>
                </w:r>
                <w:r>
                  <w:rPr>
                    <w:rFonts w:ascii="Arial"/>
                    <w:color w:val="363436"/>
                    <w:spacing w:val="-1"/>
                    <w:w w:val="110"/>
                    <w:sz w:val="17"/>
                  </w:rPr>
                  <w:t>Exploiting</w:t>
                </w:r>
                <w:r>
                  <w:rPr>
                    <w:rFonts w:ascii="Arial"/>
                    <w:color w:val="363436"/>
                    <w:spacing w:val="-8"/>
                    <w:w w:val="110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spacing w:val="-1"/>
                    <w:w w:val="110"/>
                    <w:sz w:val="17"/>
                  </w:rPr>
                  <w:t>Opportunities</w:t>
                </w:r>
                <w:r>
                  <w:rPr>
                    <w:rFonts w:ascii="Arial"/>
                    <w:color w:val="363436"/>
                    <w:spacing w:val="-2"/>
                    <w:w w:val="110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spacing w:val="-1"/>
                    <w:w w:val="110"/>
                    <w:sz w:val="17"/>
                  </w:rPr>
                  <w:t>for</w:t>
                </w:r>
                <w:r>
                  <w:rPr>
                    <w:rFonts w:ascii="Arial"/>
                    <w:color w:val="363436"/>
                    <w:spacing w:val="-5"/>
                    <w:w w:val="110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w w:val="110"/>
                    <w:sz w:val="17"/>
                  </w:rPr>
                  <w:t>Persuasion</w:t>
                </w:r>
              </w:p>
            </w:txbxContent>
          </v:textbox>
          <w10:wrap type="none"/>
        </v:shape>
      </w:pict>
    </w:r>
  </w:p>
</w:hdr>
</file>

<file path=word/header2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0.01786pt;margin-top:23.288399pt;width:17.25pt;height:13.15pt;mso-position-horizontal-relative:page;mso-position-vertical-relative:page;z-index:-21369344" type="#_x0000_t202" id="docshape509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3B3A3B"/>
                    <w:sz w:val="20"/>
                  </w:rPr>
                  <w:t>280</w:t>
                </w:r>
              </w:p>
            </w:txbxContent>
          </v:textbox>
          <w10:wrap type="none"/>
        </v:shape>
      </w:pict>
    </w:r>
    <w:r>
      <w:rPr/>
      <w:pict>
        <v:shape style="position:absolute;margin-left:93.206871pt;margin-top:24.182245pt;width:96.95pt;height:12pt;mso-position-horizontal-relative:page;mso-position-vertical-relative:page;z-index:-21368832" type="#_x0000_t202" id="docshape510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B3A3B"/>
                    <w:w w:val="95"/>
                    <w:sz w:val="18"/>
                  </w:rPr>
                  <w:t>Chapter</w:t>
                </w:r>
                <w:r>
                  <w:rPr>
                    <w:color w:val="3B3A3B"/>
                    <w:spacing w:val="-8"/>
                    <w:w w:val="95"/>
                    <w:sz w:val="18"/>
                  </w:rPr>
                  <w:t> </w:t>
                </w:r>
                <w:r>
                  <w:rPr>
                    <w:color w:val="3B3A3B"/>
                    <w:w w:val="95"/>
                    <w:sz w:val="18"/>
                  </w:rPr>
                  <w:t>Twelve</w:t>
                </w:r>
                <w:r>
                  <w:rPr>
                    <w:color w:val="3B3A3B"/>
                    <w:spacing w:val="107"/>
                    <w:sz w:val="18"/>
                  </w:rPr>
                  <w:t> </w:t>
                </w:r>
                <w:r>
                  <w:rPr>
                    <w:color w:val="3B3A3B"/>
                    <w:w w:val="95"/>
                    <w:sz w:val="18"/>
                  </w:rPr>
                  <w:t>Polish</w:t>
                </w:r>
                <w:r>
                  <w:rPr>
                    <w:color w:val="565656"/>
                    <w:w w:val="95"/>
                    <w:sz w:val="18"/>
                  </w:rPr>
                  <w:t>i</w:t>
                </w:r>
                <w:r>
                  <w:rPr>
                    <w:color w:val="3B3A3B"/>
                    <w:w w:val="95"/>
                    <w:sz w:val="18"/>
                  </w:rPr>
                  <w:t>ng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151459pt;margin-top:26.174507pt;width:10.9pt;height:13.15pt;mso-position-horizontal-relative:page;mso-position-vertical-relative:page;z-index:-21368320" type="#_x0000_t202" id="docshape51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383636"/>
                    <w:w w:val="60"/>
                    <w:sz w:val="20"/>
                  </w:rPr>
                  <w:t>282</w:t>
                </w:r>
              </w:p>
            </w:txbxContent>
          </v:textbox>
          <w10:wrap type="none"/>
        </v:shape>
      </w:pict>
    </w:r>
    <w:r>
      <w:rPr/>
      <w:pict>
        <v:shape style="position:absolute;margin-left:107.128601pt;margin-top:26.621386pt;width:107.1pt;height:12.6pt;mso-position-horizontal-relative:page;mso-position-vertical-relative:page;z-index:-21367808" type="#_x0000_t202" id="docshape513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83636"/>
                    <w:spacing w:val="-1"/>
                    <w:sz w:val="19"/>
                  </w:rPr>
                  <w:t>Chapter</w:t>
                </w:r>
                <w:r>
                  <w:rPr>
                    <w:color w:val="383636"/>
                    <w:spacing w:val="-11"/>
                    <w:sz w:val="19"/>
                  </w:rPr>
                  <w:t> </w:t>
                </w:r>
                <w:r>
                  <w:rPr>
                    <w:color w:val="383636"/>
                    <w:spacing w:val="-1"/>
                    <w:sz w:val="19"/>
                  </w:rPr>
                  <w:t>Twelve</w:t>
                </w:r>
                <w:r>
                  <w:rPr>
                    <w:color w:val="383636"/>
                    <w:spacing w:val="131"/>
                    <w:sz w:val="19"/>
                  </w:rPr>
                  <w:t> </w:t>
                </w:r>
                <w:r>
                  <w:rPr>
                    <w:color w:val="383636"/>
                    <w:spacing w:val="-1"/>
                    <w:sz w:val="19"/>
                  </w:rPr>
                  <w:t>Polishing</w:t>
                </w:r>
              </w:p>
            </w:txbxContent>
          </v:textbox>
          <w10:wrap type="none"/>
        </v:shape>
      </w:pict>
    </w:r>
  </w:p>
</w:hdr>
</file>

<file path=word/header2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1367296" from="9.349889pt,-.068490pt" to="480.880775pt,-.068490pt" stroked="true" strokeweight="2.430147pt" strokecolor="#373535">
          <v:stroke dashstyle="longdash"/>
          <w10:wrap type="none"/>
        </v:line>
      </w:pict>
    </w:r>
    <w:r>
      <w:rPr/>
      <w:pict>
        <v:shape style="position:absolute;margin-left:229.539398pt;margin-top:30.012653pt;width:196.9pt;height:12.6pt;mso-position-horizontal-relative:page;mso-position-vertical-relative:page;z-index:-21366784" type="#_x0000_t202" id="docshape514" filled="false" stroked="false">
          <v:textbox inset="0,0,0,0">
            <w:txbxContent>
              <w:p>
                <w:pPr>
                  <w:tabs>
                    <w:tab w:pos="3917" w:val="right" w:leader="none"/>
                  </w:tabs>
                  <w:spacing w:before="12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rFonts w:ascii="Arial"/>
                    <w:color w:val="383636"/>
                    <w:w w:val="105"/>
                    <w:sz w:val="17"/>
                  </w:rPr>
                  <w:t>12.2</w:t>
                </w:r>
                <w:r>
                  <w:rPr>
                    <w:rFonts w:ascii="Arial"/>
                    <w:color w:val="383636"/>
                    <w:spacing w:val="22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Methods</w:t>
                </w:r>
                <w:r>
                  <w:rPr>
                    <w:rFonts w:ascii="Arial"/>
                    <w:color w:val="383636"/>
                    <w:spacing w:val="-6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to</w:t>
                </w:r>
                <w:r>
                  <w:rPr>
                    <w:rFonts w:ascii="Arial"/>
                    <w:color w:val="383636"/>
                    <w:spacing w:val="2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Use</w:t>
                </w:r>
                <w:r>
                  <w:rPr>
                    <w:rFonts w:ascii="Arial"/>
                    <w:color w:val="383636"/>
                    <w:spacing w:val="-16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on</w:t>
                </w:r>
                <w:r>
                  <w:rPr>
                    <w:rFonts w:ascii="Arial"/>
                    <w:color w:val="383636"/>
                    <w:spacing w:val="27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the</w:t>
                </w:r>
                <w:r>
                  <w:rPr>
                    <w:rFonts w:ascii="Arial"/>
                    <w:color w:val="383636"/>
                    <w:spacing w:val="2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Hard</w:t>
                </w:r>
                <w:r>
                  <w:rPr>
                    <w:rFonts w:ascii="Arial"/>
                    <w:color w:val="383636"/>
                    <w:spacing w:val="-17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Copy</w:t>
                  <w:tab/>
                </w:r>
                <w:r>
                  <w:rPr>
                    <w:b/>
                    <w:color w:val="383636"/>
                    <w:w w:val="105"/>
                    <w:sz w:val="19"/>
                  </w:rPr>
                  <w:t>283</w:t>
                </w:r>
              </w:p>
            </w:txbxContent>
          </v:textbox>
          <w10:wrap type="none"/>
        </v:shape>
      </w:pict>
    </w:r>
  </w:p>
</w:hdr>
</file>

<file path=word/header2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.013947pt;margin-top:24.054413pt;width:23.9pt;height:12.1pt;mso-position-horizontal-relative:page;mso-position-vertical-relative:page;z-index:-21366272" type="#_x0000_t202" id="docshape515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383638"/>
                    <w:w w:val="11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9.417397pt;margin-top:24.054413pt;width:108pt;height:12.1pt;mso-position-horizontal-relative:page;mso-position-vertical-relative:page;z-index:-21365760" type="#_x0000_t202" id="docshape516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383638"/>
                    <w:w w:val="95"/>
                    <w:sz w:val="18"/>
                  </w:rPr>
                  <w:t>Chapter</w:t>
                </w:r>
                <w:r>
                  <w:rPr>
                    <w:rFonts w:ascii="Arial"/>
                    <w:color w:val="383638"/>
                    <w:spacing w:val="-1"/>
                    <w:w w:val="95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w w:val="95"/>
                    <w:sz w:val="18"/>
                  </w:rPr>
                  <w:t>Twelve</w:t>
                </w:r>
                <w:r>
                  <w:rPr>
                    <w:rFonts w:ascii="Arial"/>
                    <w:color w:val="383638"/>
                    <w:spacing w:val="49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spacing w:val="49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w w:val="95"/>
                    <w:sz w:val="18"/>
                  </w:rPr>
                  <w:t>Polishing</w:t>
                </w:r>
              </w:p>
            </w:txbxContent>
          </v:textbox>
          <w10:wrap type="none"/>
        </v:shape>
      </w:pict>
    </w:r>
  </w:p>
</w:hdr>
</file>

<file path=word/header2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1365248" from="3.495524pt,.210149pt" to="479.850647pt,.210149pt" stroked="true" strokeweight="2.370526pt" strokecolor="#393739">
          <v:stroke dashstyle="longdash"/>
          <w10:wrap type="none"/>
        </v:line>
      </w:pict>
    </w:r>
    <w:r>
      <w:rPr/>
      <w:pict>
        <v:shape style="position:absolute;margin-left:202.987701pt;margin-top:29.513021pt;width:222.9pt;height:12.6pt;mso-position-horizontal-relative:page;mso-position-vertical-relative:page;z-index:-21364736" type="#_x0000_t202" id="docshape517" filled="false" stroked="false">
          <v:textbox inset="0,0,0,0">
            <w:txbxContent>
              <w:p>
                <w:pPr>
                  <w:tabs>
                    <w:tab w:pos="4437" w:val="right" w:leader="none"/>
                  </w:tabs>
                  <w:spacing w:before="12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rFonts w:ascii="Arial"/>
                    <w:color w:val="3A383A"/>
                    <w:spacing w:val="-1"/>
                    <w:w w:val="110"/>
                    <w:sz w:val="17"/>
                  </w:rPr>
                  <w:t>12</w:t>
                </w:r>
                <w:r>
                  <w:rPr>
                    <w:rFonts w:ascii="Arial"/>
                    <w:color w:val="525254"/>
                    <w:spacing w:val="-1"/>
                    <w:w w:val="110"/>
                    <w:sz w:val="17"/>
                  </w:rPr>
                  <w:t>.</w:t>
                </w:r>
                <w:r>
                  <w:rPr>
                    <w:rFonts w:ascii="Arial"/>
                    <w:color w:val="3A383A"/>
                    <w:spacing w:val="-1"/>
                    <w:w w:val="110"/>
                    <w:sz w:val="17"/>
                  </w:rPr>
                  <w:t>4</w:t>
                </w:r>
                <w:r>
                  <w:rPr>
                    <w:rFonts w:ascii="Arial"/>
                    <w:color w:val="3A383A"/>
                    <w:spacing w:val="24"/>
                    <w:w w:val="110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spacing w:val="-1"/>
                    <w:w w:val="110"/>
                    <w:sz w:val="17"/>
                  </w:rPr>
                  <w:t>The</w:t>
                </w:r>
                <w:r>
                  <w:rPr>
                    <w:rFonts w:ascii="Arial"/>
                    <w:color w:val="3A383A"/>
                    <w:spacing w:val="-29"/>
                    <w:w w:val="110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spacing w:val="-1"/>
                    <w:w w:val="110"/>
                    <w:sz w:val="17"/>
                  </w:rPr>
                  <w:t>Last</w:t>
                </w:r>
                <w:r>
                  <w:rPr>
                    <w:rFonts w:ascii="Arial"/>
                    <w:color w:val="3A383A"/>
                    <w:spacing w:val="-22"/>
                    <w:w w:val="110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w w:val="110"/>
                    <w:sz w:val="17"/>
                  </w:rPr>
                  <w:t>Thing</w:t>
                </w:r>
                <w:r>
                  <w:rPr>
                    <w:rFonts w:ascii="Arial"/>
                    <w:color w:val="3A383A"/>
                    <w:spacing w:val="-10"/>
                    <w:w w:val="110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w w:val="110"/>
                    <w:sz w:val="17"/>
                  </w:rPr>
                  <w:t>to</w:t>
                </w:r>
                <w:r>
                  <w:rPr>
                    <w:rFonts w:ascii="Arial"/>
                    <w:color w:val="3A383A"/>
                    <w:spacing w:val="-7"/>
                    <w:w w:val="110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w w:val="110"/>
                    <w:sz w:val="17"/>
                  </w:rPr>
                  <w:t>Do</w:t>
                </w:r>
                <w:r>
                  <w:rPr>
                    <w:rFonts w:ascii="Arial"/>
                    <w:color w:val="3A383A"/>
                    <w:spacing w:val="1"/>
                    <w:w w:val="110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w w:val="110"/>
                    <w:sz w:val="17"/>
                  </w:rPr>
                  <w:t>with</w:t>
                </w:r>
                <w:r>
                  <w:rPr>
                    <w:rFonts w:ascii="Arial"/>
                    <w:color w:val="3A383A"/>
                    <w:spacing w:val="-27"/>
                    <w:w w:val="110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w w:val="110"/>
                    <w:sz w:val="17"/>
                  </w:rPr>
                  <w:t>the</w:t>
                </w:r>
                <w:r>
                  <w:rPr>
                    <w:rFonts w:ascii="Arial"/>
                    <w:color w:val="3A383A"/>
                    <w:spacing w:val="-32"/>
                    <w:w w:val="110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w w:val="110"/>
                    <w:sz w:val="17"/>
                  </w:rPr>
                  <w:t>Document</w:t>
                  <w:tab/>
                </w:r>
                <w:r>
                  <w:rPr>
                    <w:b/>
                    <w:color w:val="3A383A"/>
                    <w:w w:val="110"/>
                    <w:sz w:val="19"/>
                  </w:rPr>
                  <w:t>285</w:t>
                </w:r>
              </w:p>
            </w:txbxContent>
          </v:textbox>
          <w10:wrap type="none"/>
        </v:shape>
      </w:pict>
    </w:r>
  </w:p>
</w:hdr>
</file>

<file path=word/header2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.162407pt;margin-top:23.253922pt;width:21.05pt;height:12.6pt;mso-position-horizontal-relative:page;mso-position-vertical-relative:page;z-index:-21364224" type="#_x0000_t202" id="docshape518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color w:val="363334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7.619904pt;margin-top:23.253922pt;width:108.05pt;height:12.6pt;mso-position-horizontal-relative:page;mso-position-vertical-relative:page;z-index:-21363712" type="#_x0000_t202" id="docshape519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63334"/>
                    <w:sz w:val="19"/>
                  </w:rPr>
                  <w:t>Chapter</w:t>
                </w:r>
                <w:r>
                  <w:rPr>
                    <w:color w:val="363334"/>
                    <w:spacing w:val="-12"/>
                    <w:sz w:val="19"/>
                  </w:rPr>
                  <w:t> </w:t>
                </w:r>
                <w:r>
                  <w:rPr>
                    <w:color w:val="363334"/>
                    <w:sz w:val="19"/>
                  </w:rPr>
                  <w:t>Twelve  </w:t>
                </w:r>
                <w:r>
                  <w:rPr>
                    <w:color w:val="363334"/>
                    <w:spacing w:val="33"/>
                    <w:sz w:val="19"/>
                  </w:rPr>
                  <w:t> </w:t>
                </w:r>
                <w:r>
                  <w:rPr>
                    <w:color w:val="363334"/>
                    <w:sz w:val="19"/>
                  </w:rPr>
                  <w:t>Polishing</w:t>
                </w:r>
              </w:p>
            </w:txbxContent>
          </v:textbox>
          <w10:wrap type="none"/>
        </v:shape>
      </w:pict>
    </w:r>
  </w:p>
</w:hdr>
</file>

<file path=word/header2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2.439369pt;margin-top:24.709192pt;width:174.55pt;height:12.6pt;mso-position-horizontal-relative:page;mso-position-vertical-relative:page;z-index:-21363200" type="#_x0000_t202" id="docshape523" filled="false" stroked="false">
          <v:textbox inset="0,0,0,0">
            <w:txbxContent>
              <w:p>
                <w:pPr>
                  <w:tabs>
                    <w:tab w:pos="750" w:val="left" w:leader="none"/>
                  </w:tabs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rFonts w:ascii="Arial"/>
                    <w:b/>
                    <w:color w:val="3D3B3D"/>
                    <w:w w:val="105"/>
                    <w:sz w:val="18"/>
                  </w:rPr>
                  <w:t>288</w:t>
                  <w:tab/>
                </w:r>
                <w:r>
                  <w:rPr>
                    <w:color w:val="3D3B3D"/>
                    <w:spacing w:val="-1"/>
                    <w:w w:val="105"/>
                    <w:sz w:val="19"/>
                  </w:rPr>
                  <w:t>Chapter</w:t>
                </w:r>
                <w:r>
                  <w:rPr>
                    <w:color w:val="3D3B3D"/>
                    <w:spacing w:val="-16"/>
                    <w:w w:val="105"/>
                    <w:sz w:val="19"/>
                  </w:rPr>
                  <w:t> </w:t>
                </w:r>
                <w:r>
                  <w:rPr>
                    <w:color w:val="3D3B3D"/>
                    <w:spacing w:val="-1"/>
                    <w:w w:val="105"/>
                    <w:sz w:val="19"/>
                  </w:rPr>
                  <w:t>Thirteen</w:t>
                </w:r>
                <w:r>
                  <w:rPr>
                    <w:color w:val="3D3B3D"/>
                    <w:spacing w:val="131"/>
                    <w:w w:val="105"/>
                    <w:sz w:val="19"/>
                  </w:rPr>
                  <w:t> </w:t>
                </w:r>
                <w:r>
                  <w:rPr>
                    <w:color w:val="3D3B3D"/>
                    <w:spacing w:val="-1"/>
                    <w:w w:val="105"/>
                    <w:sz w:val="19"/>
                  </w:rPr>
                  <w:t>Oral</w:t>
                </w:r>
                <w:r>
                  <w:rPr>
                    <w:color w:val="3D3B3D"/>
                    <w:spacing w:val="-12"/>
                    <w:w w:val="105"/>
                    <w:sz w:val="19"/>
                  </w:rPr>
                  <w:t> </w:t>
                </w:r>
                <w:r>
                  <w:rPr>
                    <w:color w:val="3D3B3D"/>
                    <w:spacing w:val="-1"/>
                    <w:w w:val="105"/>
                    <w:sz w:val="19"/>
                  </w:rPr>
                  <w:t>Argument</w:t>
                </w:r>
              </w:p>
            </w:txbxContent>
          </v:textbox>
          <w10:wrap type="none"/>
        </v:shape>
      </w:pict>
    </w:r>
  </w:p>
</w:hdr>
</file>

<file path=word/header2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51.456299pt;margin-top:31.744438pt;width:235.9pt;height:11.55pt;mso-position-horizontal-relative:page;mso-position-vertical-relative:page;z-index:-21362688" type="#_x0000_t202" id="docshape524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B383B"/>
                    <w:w w:val="105"/>
                    <w:sz w:val="17"/>
                  </w:rPr>
                  <w:t>13.3</w:t>
                </w:r>
                <w:r>
                  <w:rPr>
                    <w:rFonts w:ascii="Arial"/>
                    <w:color w:val="3B383B"/>
                    <w:spacing w:val="22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282426"/>
                    <w:w w:val="105"/>
                    <w:sz w:val="17"/>
                  </w:rPr>
                  <w:t>Intellectual</w:t>
                </w:r>
                <w:r>
                  <w:rPr>
                    <w:rFonts w:ascii="Arial"/>
                    <w:color w:val="282426"/>
                    <w:spacing w:val="-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83B"/>
                    <w:w w:val="105"/>
                    <w:sz w:val="17"/>
                  </w:rPr>
                  <w:t>Preparation:</w:t>
                </w:r>
                <w:r>
                  <w:rPr>
                    <w:rFonts w:ascii="Arial"/>
                    <w:color w:val="3B383B"/>
                    <w:spacing w:val="-8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83B"/>
                    <w:w w:val="105"/>
                    <w:sz w:val="17"/>
                  </w:rPr>
                  <w:t>What</w:t>
                </w:r>
                <w:r>
                  <w:rPr>
                    <w:rFonts w:ascii="Arial"/>
                    <w:color w:val="3B383B"/>
                    <w:spacing w:val="-1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83B"/>
                    <w:w w:val="105"/>
                    <w:sz w:val="17"/>
                  </w:rPr>
                  <w:t>Do</w:t>
                </w:r>
                <w:r>
                  <w:rPr>
                    <w:rFonts w:ascii="Arial"/>
                    <w:color w:val="3B383B"/>
                    <w:spacing w:val="-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83B"/>
                    <w:w w:val="105"/>
                    <w:sz w:val="17"/>
                  </w:rPr>
                  <w:t>You</w:t>
                </w:r>
                <w:r>
                  <w:rPr>
                    <w:rFonts w:ascii="Arial"/>
                    <w:color w:val="3B383B"/>
                    <w:spacing w:val="-19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83B"/>
                    <w:w w:val="105"/>
                    <w:sz w:val="17"/>
                  </w:rPr>
                  <w:t>Need</w:t>
                </w:r>
                <w:r>
                  <w:rPr>
                    <w:rFonts w:ascii="Arial"/>
                    <w:color w:val="3B383B"/>
                    <w:spacing w:val="1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83B"/>
                    <w:w w:val="105"/>
                    <w:sz w:val="17"/>
                  </w:rPr>
                  <w:t>to</w:t>
                </w:r>
                <w:r>
                  <w:rPr>
                    <w:rFonts w:ascii="Arial"/>
                    <w:color w:val="3B383B"/>
                    <w:spacing w:val="10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83B"/>
                    <w:w w:val="105"/>
                    <w:sz w:val="17"/>
                  </w:rPr>
                  <w:t>Know?</w:t>
                </w:r>
              </w:p>
            </w:txbxContent>
          </v:textbox>
          <w10:wrap type="none"/>
        </v:shape>
      </w:pict>
    </w:r>
    <w:r>
      <w:rPr/>
      <w:pict>
        <v:shape style="position:absolute;margin-left:404.334015pt;margin-top:30.970993pt;width:22.2pt;height:12.6pt;mso-position-horizontal-relative:page;mso-position-vertical-relative:page;z-index:-21362176" type="#_x0000_t202" id="docshape525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color w:val="3B383B"/>
                    <w:w w:val="105"/>
                    <w:sz w:val="19"/>
                  </w:rPr>
                  <w:t>289</w:t>
                </w:r>
              </w:p>
            </w:txbxContent>
          </v:textbox>
          <w10:wrap type="none"/>
        </v:shape>
      </w:pict>
    </w:r>
  </w:p>
</w:hdr>
</file>

<file path=word/header2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563950pt;margin-top:24.677217pt;width:21.95pt;height:12.05pt;mso-position-horizontal-relative:page;mso-position-vertical-relative:page;z-index:-21361664" type="#_x0000_t202" id="docshape526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3A3838"/>
                    <w:w w:val="11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0.555099pt;margin-top:24.677217pt;width:136.5pt;height:12.05pt;mso-position-horizontal-relative:page;mso-position-vertical-relative:page;z-index:-21361152" type="#_x0000_t202" id="docshape527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A3838"/>
                    <w:w w:val="105"/>
                    <w:sz w:val="18"/>
                  </w:rPr>
                  <w:t>Chapter</w:t>
                </w:r>
                <w:r>
                  <w:rPr>
                    <w:color w:val="3A3838"/>
                    <w:spacing w:val="-8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Thirteen   </w:t>
                </w:r>
                <w:r>
                  <w:rPr>
                    <w:color w:val="3A3838"/>
                    <w:spacing w:val="36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Oral</w:t>
                </w:r>
                <w:r>
                  <w:rPr>
                    <w:color w:val="3A3838"/>
                    <w:spacing w:val="3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Argument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04069pt;margin-top:23.262966pt;width:20.3pt;height:12.6pt;mso-position-horizontal-relative:page;mso-position-vertical-relative:page;z-index:-21608960" type="#_x0000_t202" id="docshape4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12F31"/>
                    <w:w w:val="110"/>
                    <w:sz w:val="19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5.077301pt;margin-top:23.262966pt;width:38.25pt;height:12.6pt;mso-position-horizontal-relative:page;mso-position-vertical-relative:page;z-index:-21608448" type="#_x0000_t202" id="docshape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12F31"/>
                    <w:w w:val="105"/>
                    <w:sz w:val="19"/>
                  </w:rPr>
                  <w:t>Contents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721272pt;margin-top:19.246943pt;width:13pt;height:12.1pt;mso-position-horizontal-relative:page;mso-position-vertical-relative:page;z-index:-21593600" type="#_x0000_t202" id="docshape38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3A3838"/>
                    <w:w w:val="110"/>
                    <w:sz w:val="18"/>
                  </w:rPr>
                  <w:t>14</w:t>
                </w:r>
              </w:p>
            </w:txbxContent>
          </v:textbox>
          <w10:wrap type="none"/>
        </v:shape>
      </w:pict>
    </w:r>
    <w:r>
      <w:rPr/>
      <w:pict>
        <v:shape style="position:absolute;margin-left:92.224022pt;margin-top:18.927732pt;width:241.5pt;height:12.6pt;mso-position-horizontal-relative:page;mso-position-vertical-relative:page;z-index:-21593088" type="#_x0000_t202" id="docshape39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A3838"/>
                    <w:w w:val="95"/>
                    <w:sz w:val="19"/>
                  </w:rPr>
                  <w:t>Chapter</w:t>
                </w:r>
                <w:r>
                  <w:rPr>
                    <w:color w:val="3A3838"/>
                    <w:spacing w:val="-2"/>
                    <w:w w:val="95"/>
                    <w:sz w:val="19"/>
                  </w:rPr>
                  <w:t> </w:t>
                </w:r>
                <w:r>
                  <w:rPr>
                    <w:color w:val="3A3838"/>
                    <w:w w:val="95"/>
                    <w:sz w:val="19"/>
                  </w:rPr>
                  <w:t>Two</w:t>
                </w:r>
                <w:r>
                  <w:rPr>
                    <w:color w:val="3A3838"/>
                    <w:spacing w:val="52"/>
                    <w:sz w:val="19"/>
                  </w:rPr>
                  <w:t> </w:t>
                </w:r>
                <w:r>
                  <w:rPr>
                    <w:color w:val="3A3838"/>
                    <w:spacing w:val="53"/>
                    <w:sz w:val="19"/>
                  </w:rPr>
                  <w:t> </w:t>
                </w:r>
                <w:r>
                  <w:rPr>
                    <w:color w:val="3A3838"/>
                    <w:w w:val="95"/>
                    <w:sz w:val="19"/>
                  </w:rPr>
                  <w:t>Appella</w:t>
                </w:r>
                <w:r>
                  <w:rPr>
                    <w:color w:val="545456"/>
                    <w:w w:val="95"/>
                    <w:sz w:val="19"/>
                  </w:rPr>
                  <w:t>t</w:t>
                </w:r>
                <w:r>
                  <w:rPr>
                    <w:color w:val="3A3838"/>
                    <w:w w:val="95"/>
                    <w:sz w:val="19"/>
                  </w:rPr>
                  <w:t>e</w:t>
                </w:r>
                <w:r>
                  <w:rPr>
                    <w:color w:val="3A3838"/>
                    <w:spacing w:val="31"/>
                    <w:w w:val="95"/>
                    <w:sz w:val="19"/>
                  </w:rPr>
                  <w:t> </w:t>
                </w:r>
                <w:r>
                  <w:rPr>
                    <w:color w:val="3A3838"/>
                    <w:w w:val="95"/>
                    <w:sz w:val="19"/>
                  </w:rPr>
                  <w:t>Jur</w:t>
                </w:r>
                <w:r>
                  <w:rPr>
                    <w:color w:val="545456"/>
                    <w:w w:val="95"/>
                    <w:sz w:val="19"/>
                  </w:rPr>
                  <w:t>i</w:t>
                </w:r>
                <w:r>
                  <w:rPr>
                    <w:color w:val="3A3838"/>
                    <w:w w:val="95"/>
                    <w:sz w:val="19"/>
                  </w:rPr>
                  <w:t>sd</w:t>
                </w:r>
                <w:r>
                  <w:rPr>
                    <w:color w:val="545456"/>
                    <w:w w:val="95"/>
                    <w:sz w:val="19"/>
                  </w:rPr>
                  <w:t>ic</w:t>
                </w:r>
                <w:r>
                  <w:rPr>
                    <w:color w:val="3A3838"/>
                    <w:w w:val="95"/>
                    <w:sz w:val="19"/>
                  </w:rPr>
                  <w:t>tion</w:t>
                </w:r>
                <w:r>
                  <w:rPr>
                    <w:color w:val="3A3838"/>
                    <w:spacing w:val="13"/>
                    <w:w w:val="95"/>
                    <w:sz w:val="19"/>
                  </w:rPr>
                  <w:t> </w:t>
                </w:r>
                <w:r>
                  <w:rPr>
                    <w:color w:val="3A3838"/>
                    <w:w w:val="95"/>
                    <w:sz w:val="19"/>
                  </w:rPr>
                  <w:t>and</w:t>
                </w:r>
                <w:r>
                  <w:rPr>
                    <w:color w:val="3A3838"/>
                    <w:spacing w:val="67"/>
                    <w:sz w:val="19"/>
                  </w:rPr>
                  <w:t> </w:t>
                </w:r>
                <w:r>
                  <w:rPr>
                    <w:color w:val="3A3838"/>
                    <w:w w:val="95"/>
                    <w:sz w:val="19"/>
                  </w:rPr>
                  <w:t>Standards</w:t>
                </w:r>
                <w:r>
                  <w:rPr>
                    <w:color w:val="3A3838"/>
                    <w:spacing w:val="10"/>
                    <w:w w:val="95"/>
                    <w:sz w:val="19"/>
                  </w:rPr>
                  <w:t> </w:t>
                </w:r>
                <w:r>
                  <w:rPr>
                    <w:color w:val="3A3838"/>
                    <w:w w:val="95"/>
                    <w:sz w:val="19"/>
                  </w:rPr>
                  <w:t>of</w:t>
                </w:r>
                <w:r>
                  <w:rPr>
                    <w:color w:val="3A3838"/>
                    <w:spacing w:val="30"/>
                    <w:w w:val="95"/>
                    <w:sz w:val="19"/>
                  </w:rPr>
                  <w:t> </w:t>
                </w:r>
                <w:r>
                  <w:rPr>
                    <w:color w:val="3A3838"/>
                    <w:w w:val="95"/>
                    <w:sz w:val="19"/>
                  </w:rPr>
                  <w:t>Review</w:t>
                </w:r>
              </w:p>
            </w:txbxContent>
          </v:textbox>
          <w10:wrap type="none"/>
        </v:shape>
      </w:pict>
    </w:r>
  </w:p>
</w:hdr>
</file>

<file path=word/header3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58.6073pt;margin-top:29.827141pt;width:276.05pt;height:12.1pt;mso-position-horizontal-relative:page;mso-position-vertical-relative:page;z-index:-21360640" type="#_x0000_t202" id="docshape528" filled="false" stroked="false">
          <v:textbox inset="0,0,0,0">
            <w:txbxContent>
              <w:p>
                <w:pPr>
                  <w:tabs>
                    <w:tab w:pos="5440" w:val="right" w:leader="none"/>
                  </w:tabs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color w:val="383638"/>
                    <w:w w:val="105"/>
                    <w:sz w:val="17"/>
                  </w:rPr>
                  <w:t>13.3</w:t>
                </w:r>
                <w:r>
                  <w:rPr>
                    <w:rFonts w:ascii="Arial"/>
                    <w:color w:val="383638"/>
                    <w:spacing w:val="22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Intellectual</w:t>
                </w:r>
                <w:r>
                  <w:rPr>
                    <w:rFonts w:ascii="Arial"/>
                    <w:color w:val="383638"/>
                    <w:spacing w:val="-12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Preparation:</w:t>
                </w:r>
                <w:r>
                  <w:rPr>
                    <w:rFonts w:ascii="Arial"/>
                    <w:color w:val="383638"/>
                    <w:spacing w:val="-10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What</w:t>
                </w:r>
                <w:r>
                  <w:rPr>
                    <w:rFonts w:ascii="Arial"/>
                    <w:color w:val="383638"/>
                    <w:spacing w:val="-1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Do</w:t>
                </w:r>
                <w:r>
                  <w:rPr>
                    <w:rFonts w:ascii="Arial"/>
                    <w:color w:val="383638"/>
                    <w:spacing w:val="-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You</w:t>
                </w:r>
                <w:r>
                  <w:rPr>
                    <w:rFonts w:ascii="Arial"/>
                    <w:color w:val="383638"/>
                    <w:spacing w:val="-19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Need</w:t>
                </w:r>
                <w:r>
                  <w:rPr>
                    <w:rFonts w:ascii="Arial"/>
                    <w:color w:val="383638"/>
                    <w:spacing w:val="-10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to</w:t>
                </w:r>
                <w:r>
                  <w:rPr>
                    <w:rFonts w:ascii="Arial"/>
                    <w:color w:val="383638"/>
                    <w:spacing w:val="11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Know?</w:t>
                  <w:tab/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8"/>
                    <w:w w:val="10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3.936653pt;margin-top:25.140951pt;width:21.65pt;height:12pt;mso-position-horizontal-relative:page;mso-position-vertical-relative:page;z-index:-21360128" type="#_x0000_t202" id="docshape529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3A3838"/>
                    <w:w w:val="11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2.909103pt;margin-top:25.140951pt;width:135.950pt;height:12pt;mso-position-horizontal-relative:page;mso-position-vertical-relative:page;z-index:-21359616" type="#_x0000_t202" id="docshape530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A3838"/>
                    <w:w w:val="105"/>
                    <w:sz w:val="18"/>
                  </w:rPr>
                  <w:t>Chapter</w:t>
                </w:r>
                <w:r>
                  <w:rPr>
                    <w:color w:val="3A3838"/>
                    <w:spacing w:val="-9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Thirteen   </w:t>
                </w:r>
                <w:r>
                  <w:rPr>
                    <w:color w:val="3A3838"/>
                    <w:spacing w:val="30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Oral</w:t>
                </w:r>
                <w:r>
                  <w:rPr>
                    <w:color w:val="3A3838"/>
                    <w:spacing w:val="1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Argument</w:t>
                </w:r>
              </w:p>
            </w:txbxContent>
          </v:textbox>
          <w10:wrap type="none"/>
        </v:shape>
      </w:pict>
    </w:r>
  </w:p>
</w:hdr>
</file>

<file path=word/header3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4.16288pt;margin-top:28.531017pt;width:320.25pt;height:12.05pt;mso-position-horizontal-relative:page;mso-position-vertical-relative:page;z-index:-21359104" type="#_x0000_t202" id="docshape531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A3838"/>
                    <w:w w:val="105"/>
                    <w:sz w:val="18"/>
                  </w:rPr>
                  <w:t>13.4</w:t>
                </w:r>
                <w:r>
                  <w:rPr>
                    <w:color w:val="3A3838"/>
                    <w:spacing w:val="32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Preparation</w:t>
                </w:r>
                <w:r>
                  <w:rPr>
                    <w:color w:val="3A3838"/>
                    <w:spacing w:val="11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of</w:t>
                </w:r>
                <w:r>
                  <w:rPr>
                    <w:color w:val="3A3838"/>
                    <w:spacing w:val="1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Written</w:t>
                </w:r>
                <w:r>
                  <w:rPr>
                    <w:color w:val="3A3838"/>
                    <w:spacing w:val="11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Materials:</w:t>
                </w:r>
                <w:r>
                  <w:rPr>
                    <w:color w:val="3A3838"/>
                    <w:spacing w:val="-13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What</w:t>
                </w:r>
                <w:r>
                  <w:rPr>
                    <w:color w:val="3A3838"/>
                    <w:spacing w:val="-14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Should</w:t>
                </w:r>
                <w:r>
                  <w:rPr>
                    <w:color w:val="3A3838"/>
                    <w:spacing w:val="8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You</w:t>
                </w:r>
                <w:r>
                  <w:rPr>
                    <w:color w:val="3A3838"/>
                    <w:spacing w:val="4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Bring</w:t>
                </w:r>
                <w:r>
                  <w:rPr>
                    <w:color w:val="3A3838"/>
                    <w:spacing w:val="-6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to</w:t>
                </w:r>
                <w:r>
                  <w:rPr>
                    <w:color w:val="3A3838"/>
                    <w:spacing w:val="32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the</w:t>
                </w:r>
                <w:r>
                  <w:rPr>
                    <w:color w:val="3A3838"/>
                    <w:spacing w:val="30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Courtroom?</w:t>
                </w:r>
              </w:p>
            </w:txbxContent>
          </v:textbox>
          <w10:wrap type="none"/>
        </v:shape>
      </w:pict>
    </w:r>
    <w:r>
      <w:rPr/>
      <w:pict>
        <v:shape style="position:absolute;margin-left:411.595703pt;margin-top:28.08386pt;width:23.05pt;height:12.6pt;mso-position-horizontal-relative:page;mso-position-vertical-relative:page;z-index:-21358592" type="#_x0000_t202" id="docshape53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A3838"/>
                    <w:w w:val="11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9.45319pt;margin-top:25.669834pt;width:23.05pt;height:12.6pt;mso-position-horizontal-relative:page;mso-position-vertical-relative:page;z-index:-21358080" type="#_x0000_t202" id="docshape533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83636"/>
                    <w:w w:val="11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8.938461pt;margin-top:25.669834pt;width:136.75pt;height:12.6pt;mso-position-horizontal-relative:page;mso-position-vertical-relative:page;z-index:-21357568" type="#_x0000_t202" id="docshape534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83636"/>
                    <w:sz w:val="19"/>
                  </w:rPr>
                  <w:t>Chapter</w:t>
                </w:r>
                <w:r>
                  <w:rPr>
                    <w:color w:val="383636"/>
                    <w:spacing w:val="-6"/>
                    <w:sz w:val="19"/>
                  </w:rPr>
                  <w:t> </w:t>
                </w:r>
                <w:r>
                  <w:rPr>
                    <w:color w:val="383636"/>
                    <w:sz w:val="19"/>
                  </w:rPr>
                  <w:t>Thirteen   </w:t>
                </w:r>
                <w:r>
                  <w:rPr>
                    <w:color w:val="383636"/>
                    <w:spacing w:val="30"/>
                    <w:sz w:val="19"/>
                  </w:rPr>
                  <w:t> </w:t>
                </w:r>
                <w:r>
                  <w:rPr>
                    <w:color w:val="383636"/>
                    <w:sz w:val="19"/>
                  </w:rPr>
                  <w:t>Oral Argument</w:t>
                </w:r>
              </w:p>
            </w:txbxContent>
          </v:textbox>
          <w10:wrap type="none"/>
        </v:shape>
      </w:pict>
    </w:r>
  </w:p>
</w:hdr>
</file>

<file path=word/header3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7.971191pt;margin-top:32.412636pt;width:124.7pt;height:12.6pt;mso-position-horizontal-relative:page;mso-position-vertical-relative:page;z-index:-21357056" type="#_x0000_t202" id="docshape53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83638"/>
                    <w:w w:val="105"/>
                    <w:sz w:val="19"/>
                  </w:rPr>
                  <w:t>13.5</w:t>
                </w:r>
                <w:r>
                  <w:rPr>
                    <w:color w:val="383638"/>
                    <w:spacing w:val="26"/>
                    <w:w w:val="105"/>
                    <w:sz w:val="19"/>
                  </w:rPr>
                  <w:t> </w:t>
                </w:r>
                <w:r>
                  <w:rPr>
                    <w:color w:val="383638"/>
                    <w:w w:val="105"/>
                    <w:sz w:val="19"/>
                  </w:rPr>
                  <w:t>Presenting</w:t>
                </w:r>
                <w:r>
                  <w:rPr>
                    <w:color w:val="383638"/>
                    <w:spacing w:val="5"/>
                    <w:w w:val="105"/>
                    <w:sz w:val="19"/>
                  </w:rPr>
                  <w:t> </w:t>
                </w:r>
                <w:r>
                  <w:rPr>
                    <w:color w:val="383638"/>
                    <w:w w:val="105"/>
                    <w:sz w:val="19"/>
                  </w:rPr>
                  <w:t>the</w:t>
                </w:r>
                <w:r>
                  <w:rPr>
                    <w:color w:val="383638"/>
                    <w:spacing w:val="9"/>
                    <w:w w:val="105"/>
                    <w:sz w:val="19"/>
                  </w:rPr>
                  <w:t> </w:t>
                </w:r>
                <w:r>
                  <w:rPr>
                    <w:color w:val="383638"/>
                    <w:w w:val="105"/>
                    <w:sz w:val="19"/>
                  </w:rPr>
                  <w:t>Argument</w:t>
                </w:r>
              </w:p>
            </w:txbxContent>
          </v:textbox>
          <w10:wrap type="none"/>
        </v:shape>
      </w:pict>
    </w:r>
    <w:r>
      <w:rPr/>
      <w:pict>
        <v:shape style="position:absolute;margin-left:412.598297pt;margin-top:32.412636pt;width:17.05pt;height:12.6pt;mso-position-horizontal-relative:page;mso-position-vertical-relative:page;z-index:-21356544" type="#_x0000_t202" id="docshape536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83638"/>
                    <w:w w:val="105"/>
                    <w:sz w:val="19"/>
                  </w:rPr>
                  <w:t>295</w:t>
                </w:r>
              </w:p>
            </w:txbxContent>
          </v:textbox>
          <w10:wrap type="none"/>
        </v:shape>
      </w:pict>
    </w:r>
  </w:p>
</w:hdr>
</file>

<file path=word/header3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888729pt;margin-top:25.683832pt;width:18.8pt;height:12.6pt;mso-position-horizontal-relative:page;mso-position-vertical-relative:page;z-index:-21356032" type="#_x0000_t202" id="docshape537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color w:val="383638"/>
                    <w:w w:val="120"/>
                    <w:sz w:val="19"/>
                  </w:rPr>
                  <w:t>296</w:t>
                </w:r>
              </w:p>
            </w:txbxContent>
          </v:textbox>
          <w10:wrap type="none"/>
        </v:shape>
      </w:pict>
    </w:r>
    <w:r>
      <w:rPr/>
      <w:pict>
        <v:shape style="position:absolute;margin-left:101.406898pt;margin-top:26.131136pt;width:136.8pt;height:12.05pt;mso-position-horizontal-relative:page;mso-position-vertical-relative:page;z-index:-21355520" type="#_x0000_t202" id="docshape538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83638"/>
                    <w:spacing w:val="-1"/>
                    <w:w w:val="110"/>
                    <w:sz w:val="18"/>
                  </w:rPr>
                  <w:t>Chapter</w:t>
                </w:r>
                <w:r>
                  <w:rPr>
                    <w:color w:val="383638"/>
                    <w:spacing w:val="-15"/>
                    <w:w w:val="110"/>
                    <w:sz w:val="18"/>
                  </w:rPr>
                  <w:t> </w:t>
                </w:r>
                <w:r>
                  <w:rPr>
                    <w:color w:val="383638"/>
                    <w:spacing w:val="-1"/>
                    <w:w w:val="110"/>
                    <w:sz w:val="18"/>
                  </w:rPr>
                  <w:t>Thirteen</w:t>
                </w:r>
                <w:r>
                  <w:rPr>
                    <w:color w:val="383638"/>
                    <w:spacing w:val="121"/>
                    <w:w w:val="110"/>
                    <w:sz w:val="18"/>
                  </w:rPr>
                  <w:t> </w:t>
                </w:r>
                <w:r>
                  <w:rPr>
                    <w:color w:val="383638"/>
                    <w:spacing w:val="-1"/>
                    <w:w w:val="110"/>
                    <w:sz w:val="18"/>
                  </w:rPr>
                  <w:t>Oral</w:t>
                </w:r>
                <w:r>
                  <w:rPr>
                    <w:color w:val="383638"/>
                    <w:spacing w:val="-8"/>
                    <w:w w:val="110"/>
                    <w:sz w:val="18"/>
                  </w:rPr>
                  <w:t> </w:t>
                </w:r>
                <w:r>
                  <w:rPr>
                    <w:color w:val="383638"/>
                    <w:spacing w:val="-1"/>
                    <w:w w:val="110"/>
                    <w:sz w:val="18"/>
                  </w:rPr>
                  <w:t>Argument</w:t>
                </w:r>
              </w:p>
            </w:txbxContent>
          </v:textbox>
          <w10:wrap type="none"/>
        </v:shape>
      </w:pict>
    </w:r>
  </w:p>
</w:hdr>
</file>

<file path=word/header3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8.835388pt;margin-top:32.854271pt;width:124.65pt;height:12pt;mso-position-horizontal-relative:page;mso-position-vertical-relative:page;z-index:-21355008" type="#_x0000_t202" id="docshape539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83636"/>
                    <w:w w:val="110"/>
                    <w:sz w:val="18"/>
                  </w:rPr>
                  <w:t>13.S</w:t>
                </w:r>
                <w:r>
                  <w:rPr>
                    <w:color w:val="383636"/>
                    <w:spacing w:val="25"/>
                    <w:w w:val="110"/>
                    <w:sz w:val="18"/>
                  </w:rPr>
                  <w:t> </w:t>
                </w:r>
                <w:r>
                  <w:rPr>
                    <w:color w:val="383636"/>
                    <w:w w:val="110"/>
                    <w:sz w:val="18"/>
                  </w:rPr>
                  <w:t>Presenting</w:t>
                </w:r>
                <w:r>
                  <w:rPr>
                    <w:color w:val="383636"/>
                    <w:spacing w:val="-4"/>
                    <w:w w:val="110"/>
                    <w:sz w:val="18"/>
                  </w:rPr>
                  <w:t> </w:t>
                </w:r>
                <w:r>
                  <w:rPr>
                    <w:color w:val="383636"/>
                    <w:w w:val="110"/>
                    <w:sz w:val="18"/>
                  </w:rPr>
                  <w:t>the</w:t>
                </w:r>
                <w:r>
                  <w:rPr>
                    <w:color w:val="383636"/>
                    <w:spacing w:val="23"/>
                    <w:w w:val="110"/>
                    <w:sz w:val="18"/>
                  </w:rPr>
                  <w:t> </w:t>
                </w:r>
                <w:r>
                  <w:rPr>
                    <w:color w:val="383636"/>
                    <w:w w:val="110"/>
                    <w:sz w:val="18"/>
                  </w:rPr>
                  <w:t>Argument</w:t>
                </w:r>
              </w:p>
            </w:txbxContent>
          </v:textbox>
          <w10:wrap type="none"/>
        </v:shape>
      </w:pict>
    </w:r>
    <w:r>
      <w:rPr/>
      <w:pict>
        <v:shape style="position:absolute;margin-left:412.847687pt;margin-top:32.854271pt;width:17.05pt;height:12pt;mso-position-horizontal-relative:page;mso-position-vertical-relative:page;z-index:-21354496" type="#_x0000_t202" id="docshape540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83636"/>
                    <w:w w:val="110"/>
                    <w:sz w:val="18"/>
                  </w:rPr>
                  <w:t>297</w:t>
                </w:r>
              </w:p>
            </w:txbxContent>
          </v:textbox>
          <w10:wrap type="none"/>
        </v:shape>
      </w:pict>
    </w:r>
  </w:p>
</w:hdr>
</file>

<file path=word/header3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2.033749pt;margin-top:26.574036pt;width:16pt;height:11.45pt;mso-position-horizontal-relative:page;mso-position-vertical-relative:page;z-index:-21353984" type="#_x0000_t202" id="docshape541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7"/>
                  </w:rPr>
                </w:pPr>
                <w:r>
                  <w:rPr>
                    <w:color w:val="3A383A"/>
                    <w:w w:val="110"/>
                    <w:sz w:val="17"/>
                  </w:rPr>
                  <w:t>296</w:t>
                </w:r>
              </w:p>
            </w:txbxContent>
          </v:textbox>
          <w10:wrap type="none"/>
        </v:shape>
      </w:pict>
    </w:r>
    <w:r>
      <w:rPr/>
      <w:pict>
        <v:shape style="position:absolute;margin-left:96.157623pt;margin-top:26.574036pt;width:121.35pt;height:11.45pt;mso-position-horizontal-relative:page;mso-position-vertical-relative:page;z-index:-21353472" type="#_x0000_t202" id="docshape54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7"/>
                  </w:rPr>
                </w:pPr>
                <w:r>
                  <w:rPr>
                    <w:color w:val="3A383A"/>
                    <w:sz w:val="17"/>
                  </w:rPr>
                  <w:t>Chapter</w:t>
                </w:r>
                <w:r>
                  <w:rPr>
                    <w:color w:val="3A383A"/>
                    <w:spacing w:val="-13"/>
                    <w:sz w:val="17"/>
                  </w:rPr>
                  <w:t> </w:t>
                </w:r>
                <w:r>
                  <w:rPr>
                    <w:color w:val="3A383A"/>
                    <w:sz w:val="17"/>
                  </w:rPr>
                  <w:t>Thirteen   </w:t>
                </w:r>
                <w:r>
                  <w:rPr>
                    <w:color w:val="3A383A"/>
                    <w:spacing w:val="12"/>
                    <w:sz w:val="17"/>
                  </w:rPr>
                  <w:t> </w:t>
                </w:r>
                <w:r>
                  <w:rPr>
                    <w:color w:val="3A383A"/>
                    <w:sz w:val="17"/>
                  </w:rPr>
                  <w:t>Oral</w:t>
                </w:r>
                <w:r>
                  <w:rPr>
                    <w:color w:val="3A383A"/>
                    <w:spacing w:val="-7"/>
                    <w:sz w:val="17"/>
                  </w:rPr>
                  <w:t> </w:t>
                </w:r>
                <w:r>
                  <w:rPr>
                    <w:color w:val="3A383A"/>
                    <w:sz w:val="17"/>
                  </w:rPr>
                  <w:t>Argument</w:t>
                </w:r>
              </w:p>
            </w:txbxContent>
          </v:textbox>
          <w10:wrap type="none"/>
        </v:shape>
      </w:pict>
    </w:r>
  </w:p>
</w:hdr>
</file>

<file path=word/header3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3.053299pt;margin-top:32.367344pt;width:114.65pt;height:12pt;mso-position-horizontal-relative:page;mso-position-vertical-relative:page;z-index:-21352960" type="#_x0000_t202" id="docshape543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A3838"/>
                    <w:spacing w:val="-1"/>
                    <w:w w:val="105"/>
                    <w:sz w:val="18"/>
                  </w:rPr>
                  <w:t>13.5</w:t>
                </w:r>
                <w:r>
                  <w:rPr>
                    <w:color w:val="3A3838"/>
                    <w:spacing w:val="3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w w:val="105"/>
                    <w:sz w:val="18"/>
                  </w:rPr>
                  <w:t>Presenting</w:t>
                </w:r>
                <w:r>
                  <w:rPr>
                    <w:color w:val="3A3838"/>
                    <w:spacing w:val="-9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w w:val="105"/>
                    <w:sz w:val="18"/>
                  </w:rPr>
                  <w:t>the</w:t>
                </w:r>
                <w:r>
                  <w:rPr>
                    <w:color w:val="3A3838"/>
                    <w:spacing w:val="3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w w:val="105"/>
                    <w:sz w:val="18"/>
                  </w:rPr>
                  <w:t>Argument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676208pt;margin-top:32.239513pt;width:18.150pt;height:12.1pt;mso-position-horizontal-relative:page;mso-position-vertical-relative:page;z-index:-21352448" type="#_x0000_t202" id="docshape544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i/>
                    <w:sz w:val="18"/>
                  </w:rPr>
                </w:pPr>
                <w:r>
                  <w:rPr>
                    <w:rFonts w:ascii="Arial"/>
                    <w:b/>
                    <w:i/>
                    <w:color w:val="3A3838"/>
                    <w:w w:val="90"/>
                    <w:sz w:val="18"/>
                  </w:rPr>
                  <w:t>1:97</w:t>
                </w:r>
              </w:p>
            </w:txbxContent>
          </v:textbox>
          <w10:wrap type="none"/>
        </v:shape>
      </w:pict>
    </w:r>
  </w:p>
</w:hdr>
</file>

<file path=word/header3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8.500191pt;margin-top:24.272829pt;width:24.8pt;height:13.15pt;mso-position-horizontal-relative:page;mso-position-vertical-relative:page;z-index:-21351936" type="#_x0000_t202" id="docshape545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83636"/>
                    <w:w w:val="1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8.030388pt;margin-top:25.167437pt;width:136.550pt;height:12.05pt;mso-position-horizontal-relative:page;mso-position-vertical-relative:page;z-index:-21351424" type="#_x0000_t202" id="docshape546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83636"/>
                    <w:w w:val="105"/>
                    <w:sz w:val="18"/>
                  </w:rPr>
                  <w:t>Chapter</w:t>
                </w:r>
                <w:r>
                  <w:rPr>
                    <w:color w:val="383636"/>
                    <w:spacing w:val="-5"/>
                    <w:w w:val="105"/>
                    <w:sz w:val="18"/>
                  </w:rPr>
                  <w:t> </w:t>
                </w:r>
                <w:r>
                  <w:rPr>
                    <w:color w:val="383636"/>
                    <w:w w:val="105"/>
                    <w:sz w:val="18"/>
                  </w:rPr>
                  <w:t>Thirteen   </w:t>
                </w:r>
                <w:r>
                  <w:rPr>
                    <w:color w:val="383636"/>
                    <w:spacing w:val="33"/>
                    <w:w w:val="105"/>
                    <w:sz w:val="18"/>
                  </w:rPr>
                  <w:t> </w:t>
                </w:r>
                <w:r>
                  <w:rPr>
                    <w:color w:val="383636"/>
                    <w:w w:val="105"/>
                    <w:sz w:val="18"/>
                  </w:rPr>
                  <w:t>Oral</w:t>
                </w:r>
                <w:r>
                  <w:rPr>
                    <w:color w:val="383636"/>
                    <w:spacing w:val="3"/>
                    <w:w w:val="105"/>
                    <w:sz w:val="18"/>
                  </w:rPr>
                  <w:t> </w:t>
                </w:r>
                <w:r>
                  <w:rPr>
                    <w:color w:val="383636"/>
                    <w:w w:val="105"/>
                    <w:sz w:val="18"/>
                  </w:rPr>
                  <w:t>Argument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9.585007pt;margin-top:24.686493pt;width:196.75pt;height:12.05pt;mso-position-horizontal-relative:page;mso-position-vertical-relative:page;z-index:-21592576" type="#_x0000_t202" id="docshape40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B383B"/>
                    <w:w w:val="105"/>
                    <w:sz w:val="18"/>
                  </w:rPr>
                  <w:t>2.2 </w:t>
                </w:r>
                <w:r>
                  <w:rPr>
                    <w:color w:val="3B383B"/>
                    <w:spacing w:val="3"/>
                    <w:w w:val="105"/>
                    <w:sz w:val="18"/>
                  </w:rPr>
                  <w:t> </w:t>
                </w:r>
                <w:r>
                  <w:rPr>
                    <w:color w:val="3B383B"/>
                    <w:w w:val="105"/>
                    <w:sz w:val="18"/>
                  </w:rPr>
                  <w:t>Jurisdiction</w:t>
                </w:r>
                <w:r>
                  <w:rPr>
                    <w:color w:val="3B383B"/>
                    <w:spacing w:val="8"/>
                    <w:w w:val="105"/>
                    <w:sz w:val="18"/>
                  </w:rPr>
                  <w:t> </w:t>
                </w:r>
                <w:r>
                  <w:rPr>
                    <w:color w:val="3B383B"/>
                    <w:w w:val="105"/>
                    <w:sz w:val="18"/>
                  </w:rPr>
                  <w:t>in</w:t>
                </w:r>
                <w:r>
                  <w:rPr>
                    <w:color w:val="3B383B"/>
                    <w:spacing w:val="8"/>
                    <w:w w:val="105"/>
                    <w:sz w:val="18"/>
                  </w:rPr>
                  <w:t> </w:t>
                </w:r>
                <w:r>
                  <w:rPr>
                    <w:color w:val="3B383B"/>
                    <w:w w:val="105"/>
                    <w:sz w:val="18"/>
                  </w:rPr>
                  <w:t>Intermediate</w:t>
                </w:r>
                <w:r>
                  <w:rPr>
                    <w:color w:val="3B383B"/>
                    <w:spacing w:val="6"/>
                    <w:w w:val="105"/>
                    <w:sz w:val="18"/>
                  </w:rPr>
                  <w:t> </w:t>
                </w:r>
                <w:r>
                  <w:rPr>
                    <w:color w:val="3B383B"/>
                    <w:w w:val="105"/>
                    <w:sz w:val="18"/>
                  </w:rPr>
                  <w:t>Courts</w:t>
                </w:r>
                <w:r>
                  <w:rPr>
                    <w:color w:val="3B383B"/>
                    <w:spacing w:val="-2"/>
                    <w:w w:val="105"/>
                    <w:sz w:val="18"/>
                  </w:rPr>
                  <w:t> </w:t>
                </w:r>
                <w:r>
                  <w:rPr>
                    <w:color w:val="3B383B"/>
                    <w:w w:val="105"/>
                    <w:sz w:val="18"/>
                  </w:rPr>
                  <w:t>of</w:t>
                </w:r>
                <w:r>
                  <w:rPr>
                    <w:color w:val="3B383B"/>
                    <w:spacing w:val="13"/>
                    <w:w w:val="105"/>
                    <w:sz w:val="18"/>
                  </w:rPr>
                  <w:t> </w:t>
                </w:r>
                <w:r>
                  <w:rPr>
                    <w:color w:val="3B383B"/>
                    <w:w w:val="105"/>
                    <w:sz w:val="18"/>
                  </w:rPr>
                  <w:t>Appeals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30.446411pt;margin-top:24.558546pt;width:12.6pt;height:12.1pt;mso-position-horizontal-relative:page;mso-position-vertical-relative:page;z-index:-21592064" type="#_x0000_t202" id="docshape41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3B383B"/>
                    <w:w w:val="105"/>
                    <w:sz w:val="18"/>
                  </w:rPr>
                  <w:t>15</w:t>
                </w:r>
              </w:p>
            </w:txbxContent>
          </v:textbox>
          <w10:wrap type="none"/>
        </v:shape>
      </w:pict>
    </w:r>
  </w:p>
</w:hdr>
</file>

<file path=word/header3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9.952789pt;margin-top:29.837116pt;width:165.5pt;height:12.1pt;mso-position-horizontal-relative:page;mso-position-vertical-relative:page;z-index:-21350912" type="#_x0000_t202" id="docshape547" filled="false" stroked="false">
          <v:textbox inset="0,0,0,0">
            <w:txbxContent>
              <w:p>
                <w:pPr>
                  <w:tabs>
                    <w:tab w:pos="3229" w:val="right" w:leader="none"/>
                  </w:tabs>
                  <w:spacing w:before="14"/>
                  <w:ind w:left="20" w:right="0" w:firstLine="0"/>
                  <w:jc w:val="left"/>
                  <w:rPr>
                    <w:rFonts w:ascii="Arial"/>
                    <w:i/>
                    <w:sz w:val="18"/>
                  </w:rPr>
                </w:pPr>
                <w:r>
                  <w:rPr>
                    <w:rFonts w:ascii="Arial"/>
                    <w:color w:val="3B3A3B"/>
                    <w:w w:val="105"/>
                    <w:sz w:val="17"/>
                  </w:rPr>
                  <w:t>1</w:t>
                </w:r>
                <w:r>
                  <w:rPr>
                    <w:rFonts w:ascii="Arial"/>
                    <w:color w:val="3B3A3B"/>
                    <w:spacing w:val="-32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A3B"/>
                    <w:w w:val="105"/>
                    <w:sz w:val="17"/>
                  </w:rPr>
                  <w:t>3.5</w:t>
                </w:r>
                <w:r>
                  <w:rPr>
                    <w:rFonts w:ascii="Arial"/>
                    <w:color w:val="3B3A3B"/>
                    <w:spacing w:val="26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A3B"/>
                    <w:w w:val="105"/>
                    <w:sz w:val="17"/>
                  </w:rPr>
                  <w:t>Presenting</w:t>
                </w:r>
                <w:r>
                  <w:rPr>
                    <w:rFonts w:ascii="Arial"/>
                    <w:color w:val="3B3A3B"/>
                    <w:spacing w:val="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A3B"/>
                    <w:w w:val="105"/>
                    <w:sz w:val="17"/>
                  </w:rPr>
                  <w:t>the</w:t>
                </w:r>
                <w:r>
                  <w:rPr>
                    <w:rFonts w:ascii="Arial"/>
                    <w:color w:val="3B3A3B"/>
                    <w:spacing w:val="17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A3B"/>
                    <w:w w:val="105"/>
                    <w:sz w:val="17"/>
                  </w:rPr>
                  <w:t>Argument</w:t>
                  <w:tab/>
                </w:r>
                <w:r>
                  <w:rPr/>
                  <w:fldChar w:fldCharType="begin"/>
                </w:r>
                <w:r>
                  <w:rPr>
                    <w:rFonts w:ascii="Arial"/>
                    <w:i/>
                    <w:color w:val="3B3A3B"/>
                    <w:w w:val="10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2.663952pt;margin-top:25.01054pt;width:24.05pt;height:12.1pt;mso-position-horizontal-relative:page;mso-position-vertical-relative:page;z-index:-21350400" type="#_x0000_t202" id="docshape548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3A383A"/>
                    <w:w w:val="11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2.1931pt;margin-top:25.01054pt;width:135.7pt;height:12.1pt;mso-position-horizontal-relative:page;mso-position-vertical-relative:page;z-index:-21349888" type="#_x0000_t202" id="docshape549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3A383A"/>
                    <w:spacing w:val="-1"/>
                    <w:sz w:val="18"/>
                  </w:rPr>
                  <w:t>Chapter</w:t>
                </w:r>
                <w:r>
                  <w:rPr>
                    <w:rFonts w:ascii="Arial"/>
                    <w:color w:val="3A383A"/>
                    <w:spacing w:val="-10"/>
                    <w:sz w:val="18"/>
                  </w:rPr>
                  <w:t> </w:t>
                </w:r>
                <w:r>
                  <w:rPr>
                    <w:rFonts w:ascii="Arial"/>
                    <w:color w:val="3A383A"/>
                    <w:spacing w:val="-1"/>
                    <w:sz w:val="18"/>
                  </w:rPr>
                  <w:t>Thirteen</w:t>
                </w:r>
                <w:r>
                  <w:rPr>
                    <w:rFonts w:ascii="Arial"/>
                    <w:color w:val="3A383A"/>
                    <w:spacing w:val="121"/>
                    <w:sz w:val="18"/>
                  </w:rPr>
                  <w:t> </w:t>
                </w:r>
                <w:r>
                  <w:rPr>
                    <w:rFonts w:ascii="Arial"/>
                    <w:color w:val="3A383A"/>
                    <w:sz w:val="18"/>
                  </w:rPr>
                  <w:t>Oral</w:t>
                </w:r>
                <w:r>
                  <w:rPr>
                    <w:rFonts w:ascii="Arial"/>
                    <w:color w:val="3A383A"/>
                    <w:spacing w:val="-16"/>
                    <w:sz w:val="18"/>
                  </w:rPr>
                  <w:t> </w:t>
                </w:r>
                <w:r>
                  <w:rPr>
                    <w:rFonts w:ascii="Arial"/>
                    <w:color w:val="3A383A"/>
                    <w:sz w:val="18"/>
                  </w:rPr>
                  <w:t>Argument</w:t>
                </w:r>
              </w:p>
            </w:txbxContent>
          </v:textbox>
          <w10:wrap type="none"/>
        </v:shape>
      </w:pict>
    </w:r>
  </w:p>
</w:hdr>
</file>

<file path=word/header3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7.577789pt;margin-top:29.817738pt;width:124.7pt;height:11.55pt;mso-position-horizontal-relative:page;mso-position-vertical-relative:page;z-index:-21349376" type="#_x0000_t202" id="docshape550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B383A"/>
                    <w:w w:val="105"/>
                    <w:sz w:val="17"/>
                  </w:rPr>
                  <w:t>13.5</w:t>
                </w:r>
                <w:r>
                  <w:rPr>
                    <w:rFonts w:ascii="Arial"/>
                    <w:color w:val="3B383A"/>
                    <w:spacing w:val="27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83A"/>
                    <w:w w:val="105"/>
                    <w:sz w:val="17"/>
                  </w:rPr>
                  <w:t>Presenting</w:t>
                </w:r>
                <w:r>
                  <w:rPr>
                    <w:rFonts w:ascii="Arial"/>
                    <w:color w:val="3B383A"/>
                    <w:spacing w:val="4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83A"/>
                    <w:w w:val="105"/>
                    <w:sz w:val="17"/>
                  </w:rPr>
                  <w:t>the</w:t>
                </w:r>
                <w:r>
                  <w:rPr>
                    <w:rFonts w:ascii="Arial"/>
                    <w:color w:val="3B383A"/>
                    <w:spacing w:val="26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83A"/>
                    <w:w w:val="105"/>
                    <w:sz w:val="17"/>
                  </w:rPr>
                  <w:t>Argument</w:t>
                </w:r>
              </w:p>
            </w:txbxContent>
          </v:textbox>
          <w10:wrap type="none"/>
        </v:shape>
      </w:pict>
    </w:r>
    <w:r>
      <w:rPr/>
      <w:pict>
        <v:shape style="position:absolute;margin-left:409.825287pt;margin-top:29.36352pt;width:23.45pt;height:12.1pt;mso-position-horizontal-relative:page;mso-position-vertical-relative:page;z-index:-21348864" type="#_x0000_t202" id="docshape55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B383A"/>
                    <w:w w:val="11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5.607758pt;margin-top:25.485382pt;width:23.25pt;height:11.55pt;mso-position-horizontal-relative:page;mso-position-vertical-relative:page;z-index:-21348352" type="#_x0000_t202" id="docshape552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3A383A"/>
                    <w:w w:val="115"/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157501pt;margin-top:25.485382pt;width:136.9pt;height:11.55pt;mso-position-horizontal-relative:page;mso-position-vertical-relative:page;z-index:-21347840" type="#_x0000_t202" id="docshape553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A383A"/>
                    <w:w w:val="105"/>
                    <w:sz w:val="17"/>
                  </w:rPr>
                  <w:t>Chapter</w:t>
                </w:r>
                <w:r>
                  <w:rPr>
                    <w:rFonts w:ascii="Arial"/>
                    <w:color w:val="3A383A"/>
                    <w:spacing w:val="-3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w w:val="105"/>
                    <w:sz w:val="17"/>
                  </w:rPr>
                  <w:t>Thirteen  </w:t>
                </w:r>
                <w:r>
                  <w:rPr>
                    <w:rFonts w:ascii="Arial"/>
                    <w:color w:val="3A383A"/>
                    <w:spacing w:val="39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w w:val="105"/>
                    <w:sz w:val="17"/>
                  </w:rPr>
                  <w:t>Oral</w:t>
                </w:r>
                <w:r>
                  <w:rPr>
                    <w:rFonts w:ascii="Arial"/>
                    <w:color w:val="3A383A"/>
                    <w:spacing w:val="-17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w w:val="105"/>
                    <w:sz w:val="17"/>
                  </w:rPr>
                  <w:t>Argument</w:t>
                </w:r>
              </w:p>
            </w:txbxContent>
          </v:textbox>
          <w10:wrap type="none"/>
        </v:shape>
      </w:pict>
    </w:r>
  </w:p>
</w:hdr>
</file>

<file path=word/header3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25.081497pt;margin-top:25.193459pt;width:167.2pt;height:12.6pt;mso-position-horizontal-relative:page;mso-position-vertical-relative:page;z-index:-21347328" type="#_x0000_t202" id="docshape554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83636"/>
                    <w:w w:val="105"/>
                    <w:sz w:val="19"/>
                  </w:rPr>
                  <w:t>13.6</w:t>
                </w:r>
                <w:r>
                  <w:rPr>
                    <w:color w:val="383636"/>
                    <w:spacing w:val="19"/>
                    <w:w w:val="105"/>
                    <w:sz w:val="19"/>
                  </w:rPr>
                  <w:t> </w:t>
                </w:r>
                <w:r>
                  <w:rPr>
                    <w:color w:val="383636"/>
                    <w:w w:val="105"/>
                    <w:sz w:val="19"/>
                  </w:rPr>
                  <w:t>Handling</w:t>
                </w:r>
                <w:r>
                  <w:rPr>
                    <w:color w:val="383636"/>
                    <w:spacing w:val="-6"/>
                    <w:w w:val="105"/>
                    <w:sz w:val="19"/>
                  </w:rPr>
                  <w:t> </w:t>
                </w:r>
                <w:r>
                  <w:rPr>
                    <w:color w:val="383636"/>
                    <w:w w:val="105"/>
                    <w:sz w:val="19"/>
                  </w:rPr>
                  <w:t>Questions</w:t>
                </w:r>
                <w:r>
                  <w:rPr>
                    <w:color w:val="383636"/>
                    <w:spacing w:val="-23"/>
                    <w:w w:val="105"/>
                    <w:sz w:val="19"/>
                  </w:rPr>
                  <w:t> </w:t>
                </w:r>
                <w:r>
                  <w:rPr>
                    <w:color w:val="383636"/>
                    <w:w w:val="105"/>
                    <w:sz w:val="19"/>
                  </w:rPr>
                  <w:t>from</w:t>
                </w:r>
                <w:r>
                  <w:rPr>
                    <w:color w:val="383636"/>
                    <w:spacing w:val="-8"/>
                    <w:w w:val="105"/>
                    <w:sz w:val="19"/>
                  </w:rPr>
                  <w:t> </w:t>
                </w:r>
                <w:r>
                  <w:rPr>
                    <w:color w:val="383636"/>
                    <w:w w:val="105"/>
                    <w:sz w:val="19"/>
                  </w:rPr>
                  <w:t>the</w:t>
                </w:r>
                <w:r>
                  <w:rPr>
                    <w:color w:val="383636"/>
                    <w:spacing w:val="18"/>
                    <w:w w:val="105"/>
                    <w:sz w:val="19"/>
                  </w:rPr>
                  <w:t> </w:t>
                </w:r>
                <w:r>
                  <w:rPr>
                    <w:color w:val="383636"/>
                    <w:w w:val="105"/>
                    <w:sz w:val="19"/>
                  </w:rPr>
                  <w:t>Bench</w:t>
                </w:r>
              </w:p>
            </w:txbxContent>
          </v:textbox>
          <w10:wrap type="none"/>
        </v:shape>
      </w:pict>
    </w:r>
    <w:r>
      <w:rPr/>
      <w:pict>
        <v:shape style="position:absolute;margin-left:409.742706pt;margin-top:25.193459pt;width:21.65pt;height:12.6pt;mso-position-horizontal-relative:page;mso-position-vertical-relative:page;z-index:-21346816" type="#_x0000_t202" id="docshape555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83636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8.90329pt;margin-top:29.074001pt;width:95.4pt;height:13.15pt;mso-position-horizontal-relative:page;mso-position-vertical-relative:page;z-index:-21346304" type="#_x0000_t202" id="docshape556" filled="false" stroked="false">
          <v:textbox inset="0,0,0,0">
            <w:txbxContent>
              <w:p>
                <w:pPr>
                  <w:tabs>
                    <w:tab w:pos="1887" w:val="right" w:leader="none"/>
                  </w:tabs>
                  <w:spacing w:before="12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color w:val="3A3838"/>
                    <w:w w:val="110"/>
                    <w:sz w:val="18"/>
                  </w:rPr>
                  <w:t>13.7</w:t>
                </w:r>
                <w:r>
                  <w:rPr>
                    <w:color w:val="3A3838"/>
                    <w:spacing w:val="39"/>
                    <w:w w:val="110"/>
                    <w:sz w:val="18"/>
                  </w:rPr>
                  <w:t> </w:t>
                </w:r>
                <w:r>
                  <w:rPr>
                    <w:color w:val="3A3838"/>
                    <w:w w:val="110"/>
                    <w:sz w:val="18"/>
                  </w:rPr>
                  <w:t>Rebuttal</w:t>
                  <w:tab/>
                </w:r>
                <w:r>
                  <w:rPr>
                    <w:b/>
                    <w:color w:val="3A3838"/>
                    <w:w w:val="110"/>
                    <w:sz w:val="20"/>
                  </w:rPr>
                  <w:t>305</w:t>
                </w:r>
              </w:p>
            </w:txbxContent>
          </v:textbox>
          <w10:wrap type="none"/>
        </v:shape>
      </w:pict>
    </w:r>
  </w:p>
</w:hdr>
</file>

<file path=word/header3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19746pt;margin-top:25.981918pt;width:24.2pt;height:12.1pt;mso-position-horizontal-relative:page;mso-position-vertical-relative:page;z-index:-21345792" type="#_x0000_t202" id="docshape557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383636"/>
                    <w:w w:val="115"/>
                    <w:sz w:val="18"/>
                  </w:rPr>
                  <w:t>306</w:t>
                </w:r>
              </w:p>
            </w:txbxContent>
          </v:textbox>
          <w10:wrap type="none"/>
        </v:shape>
      </w:pict>
    </w:r>
    <w:r>
      <w:rPr/>
      <w:pict>
        <v:shape style="position:absolute;margin-left:102.797997pt;margin-top:25.662807pt;width:137.6pt;height:12.6pt;mso-position-horizontal-relative:page;mso-position-vertical-relative:page;z-index:-21345280" type="#_x0000_t202" id="docshape558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83636"/>
                    <w:sz w:val="19"/>
                  </w:rPr>
                  <w:t>Chapter</w:t>
                </w:r>
                <w:r>
                  <w:rPr>
                    <w:color w:val="383636"/>
                    <w:spacing w:val="-4"/>
                    <w:sz w:val="19"/>
                  </w:rPr>
                  <w:t> </w:t>
                </w:r>
                <w:r>
                  <w:rPr>
                    <w:color w:val="383636"/>
                    <w:sz w:val="19"/>
                  </w:rPr>
                  <w:t>Thirteen   </w:t>
                </w:r>
                <w:r>
                  <w:rPr>
                    <w:color w:val="383636"/>
                    <w:spacing w:val="41"/>
                    <w:sz w:val="19"/>
                  </w:rPr>
                  <w:t> </w:t>
                </w:r>
                <w:r>
                  <w:rPr>
                    <w:color w:val="383636"/>
                    <w:sz w:val="19"/>
                  </w:rPr>
                  <w:t>Oral</w:t>
                </w:r>
                <w:r>
                  <w:rPr>
                    <w:color w:val="383636"/>
                    <w:spacing w:val="1"/>
                    <w:sz w:val="19"/>
                  </w:rPr>
                  <w:t> </w:t>
                </w:r>
                <w:r>
                  <w:rPr>
                    <w:color w:val="383636"/>
                    <w:sz w:val="19"/>
                  </w:rPr>
                  <w:t>Argument</w:t>
                </w:r>
              </w:p>
            </w:txbxContent>
          </v:textbox>
          <w10:wrap type="none"/>
        </v:shape>
      </w:pict>
    </w:r>
  </w:p>
</w:hdr>
</file>

<file path=word/header3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4.640289pt;margin-top:32.885406pt;width:99.55pt;height:12.6pt;mso-position-horizontal-relative:page;mso-position-vertical-relative:page;z-index:-21344768" type="#_x0000_t202" id="docshape559" filled="false" stroked="false">
          <v:textbox inset="0,0,0,0">
            <w:txbxContent>
              <w:p>
                <w:pPr>
                  <w:tabs>
                    <w:tab w:pos="1970" w:val="right" w:leader="none"/>
                  </w:tabs>
                  <w:spacing w:before="12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rFonts w:ascii="Arial"/>
                    <w:color w:val="383638"/>
                    <w:w w:val="105"/>
                    <w:sz w:val="17"/>
                  </w:rPr>
                  <w:t>13</w:t>
                </w:r>
                <w:r>
                  <w:rPr>
                    <w:rFonts w:ascii="Arial"/>
                    <w:color w:val="545456"/>
                    <w:w w:val="105"/>
                    <w:sz w:val="17"/>
                  </w:rPr>
                  <w:t>.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8</w:t>
                </w:r>
                <w:r>
                  <w:rPr>
                    <w:rFonts w:ascii="Arial"/>
                    <w:color w:val="383638"/>
                    <w:spacing w:val="40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Word</w:t>
                </w:r>
                <w:r>
                  <w:rPr>
                    <w:rFonts w:ascii="Arial"/>
                    <w:color w:val="383638"/>
                    <w:spacing w:val="-20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Use</w:t>
                  <w:tab/>
                </w:r>
                <w:r>
                  <w:rPr>
                    <w:b/>
                    <w:color w:val="383638"/>
                    <w:w w:val="105"/>
                    <w:sz w:val="19"/>
                  </w:rPr>
                  <w:t>307</w:t>
                </w:r>
              </w:p>
            </w:txbxContent>
          </v:textbox>
          <w10:wrap type="none"/>
        </v:shape>
      </w:pict>
    </w:r>
  </w:p>
</w:hdr>
</file>

<file path=word/header3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1.731831pt;margin-top:25.54184pt;width:23.9pt;height:12.7pt;mso-position-horizontal-relative:page;mso-position-vertical-relative:page;z-index:-21344256" type="#_x0000_t202" id="docshape560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color w:val="3A383A"/>
                    <w:w w:val="105"/>
                    <w:sz w:val="19"/>
                  </w:rPr>
                  <w:t>308</w:t>
                </w:r>
              </w:p>
            </w:txbxContent>
          </v:textbox>
          <w10:wrap type="none"/>
        </v:shape>
      </w:pict>
    </w:r>
    <w:r>
      <w:rPr/>
      <w:pict>
        <v:shape style="position:absolute;margin-left:100.795502pt;margin-top:26.450422pt;width:137.35pt;height:11.55pt;mso-position-horizontal-relative:page;mso-position-vertical-relative:page;z-index:-21343744" type="#_x0000_t202" id="docshape561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A383A"/>
                    <w:w w:val="105"/>
                    <w:sz w:val="17"/>
                  </w:rPr>
                  <w:t>Chapter</w:t>
                </w:r>
                <w:r>
                  <w:rPr>
                    <w:rFonts w:ascii="Arial"/>
                    <w:color w:val="3A383A"/>
                    <w:spacing w:val="-4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w w:val="105"/>
                    <w:sz w:val="17"/>
                  </w:rPr>
                  <w:t>Thirteen  </w:t>
                </w:r>
                <w:r>
                  <w:rPr>
                    <w:rFonts w:ascii="Arial"/>
                    <w:color w:val="3A383A"/>
                    <w:spacing w:val="46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w w:val="105"/>
                    <w:sz w:val="17"/>
                  </w:rPr>
                  <w:t>Oral</w:t>
                </w:r>
                <w:r>
                  <w:rPr>
                    <w:rFonts w:ascii="Arial"/>
                    <w:color w:val="3A383A"/>
                    <w:spacing w:val="-1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w w:val="105"/>
                    <w:sz w:val="17"/>
                  </w:rPr>
                  <w:t>Argument</w:t>
                </w:r>
              </w:p>
            </w:txbxContent>
          </v:textbox>
          <w10:wrap type="none"/>
        </v:shape>
      </w:pict>
    </w:r>
  </w:p>
</w:hdr>
</file>

<file path=word/header3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725723pt;margin-top:18.764648pt;width:19.6pt;height:12.1pt;mso-position-horizontal-relative:page;mso-position-vertical-relative:page;z-index:-21591552" type="#_x0000_t202" id="docshape4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D3B3D"/>
                    <w:w w:val="12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4.216904pt;margin-top:18.892521pt;width:241.25pt;height:12.05pt;mso-position-horizontal-relative:page;mso-position-vertical-relative:page;z-index:-21591040" type="#_x0000_t202" id="docshape43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D3B3D"/>
                    <w:spacing w:val="-1"/>
                    <w:w w:val="105"/>
                    <w:sz w:val="18"/>
                  </w:rPr>
                  <w:t>Chapter</w:t>
                </w:r>
                <w:r>
                  <w:rPr>
                    <w:color w:val="3D3B3D"/>
                    <w:spacing w:val="-11"/>
                    <w:w w:val="105"/>
                    <w:sz w:val="18"/>
                  </w:rPr>
                  <w:t> </w:t>
                </w:r>
                <w:r>
                  <w:rPr>
                    <w:color w:val="3D3B3D"/>
                    <w:spacing w:val="-1"/>
                    <w:w w:val="105"/>
                    <w:sz w:val="18"/>
                  </w:rPr>
                  <w:t>Two</w:t>
                </w:r>
                <w:r>
                  <w:rPr>
                    <w:color w:val="3D3B3D"/>
                    <w:spacing w:val="62"/>
                    <w:w w:val="105"/>
                    <w:sz w:val="18"/>
                  </w:rPr>
                  <w:t> </w:t>
                </w:r>
                <w:r>
                  <w:rPr>
                    <w:color w:val="3D3B3D"/>
                    <w:spacing w:val="-1"/>
                    <w:w w:val="105"/>
                    <w:sz w:val="18"/>
                  </w:rPr>
                  <w:t>Appe</w:t>
                </w:r>
                <w:r>
                  <w:rPr>
                    <w:color w:val="565456"/>
                    <w:spacing w:val="-1"/>
                    <w:w w:val="105"/>
                    <w:sz w:val="18"/>
                  </w:rPr>
                  <w:t>ll</w:t>
                </w:r>
                <w:r>
                  <w:rPr>
                    <w:color w:val="3D3B3D"/>
                    <w:spacing w:val="-1"/>
                    <w:w w:val="105"/>
                    <w:sz w:val="18"/>
                  </w:rPr>
                  <w:t>ate</w:t>
                </w:r>
                <w:r>
                  <w:rPr>
                    <w:color w:val="3D3B3D"/>
                    <w:spacing w:val="6"/>
                    <w:w w:val="105"/>
                    <w:sz w:val="18"/>
                  </w:rPr>
                  <w:t> </w:t>
                </w:r>
                <w:r>
                  <w:rPr>
                    <w:color w:val="3D3B3D"/>
                    <w:spacing w:val="-1"/>
                    <w:w w:val="105"/>
                    <w:sz w:val="18"/>
                  </w:rPr>
                  <w:t>Jurisdiction</w:t>
                </w:r>
                <w:r>
                  <w:rPr>
                    <w:color w:val="3D3B3D"/>
                    <w:spacing w:val="7"/>
                    <w:w w:val="105"/>
                    <w:sz w:val="18"/>
                  </w:rPr>
                  <w:t> </w:t>
                </w:r>
                <w:r>
                  <w:rPr>
                    <w:color w:val="3D3B3D"/>
                    <w:w w:val="105"/>
                    <w:sz w:val="18"/>
                  </w:rPr>
                  <w:t>and</w:t>
                </w:r>
                <w:r>
                  <w:rPr>
                    <w:color w:val="3D3B3D"/>
                    <w:spacing w:val="40"/>
                    <w:w w:val="105"/>
                    <w:sz w:val="18"/>
                  </w:rPr>
                  <w:t> </w:t>
                </w:r>
                <w:r>
                  <w:rPr>
                    <w:color w:val="3D3B3D"/>
                    <w:w w:val="105"/>
                    <w:sz w:val="18"/>
                  </w:rPr>
                  <w:t>Standards</w:t>
                </w:r>
                <w:r>
                  <w:rPr>
                    <w:color w:val="3D3B3D"/>
                    <w:spacing w:val="-17"/>
                    <w:w w:val="105"/>
                    <w:sz w:val="18"/>
                  </w:rPr>
                  <w:t> </w:t>
                </w:r>
                <w:r>
                  <w:rPr>
                    <w:color w:val="3D3B3D"/>
                    <w:w w:val="105"/>
                    <w:sz w:val="18"/>
                  </w:rPr>
                  <w:t>o</w:t>
                </w:r>
                <w:r>
                  <w:rPr>
                    <w:color w:val="565456"/>
                    <w:w w:val="105"/>
                    <w:sz w:val="18"/>
                  </w:rPr>
                  <w:t>f</w:t>
                </w:r>
                <w:r>
                  <w:rPr>
                    <w:color w:val="565456"/>
                    <w:spacing w:val="-2"/>
                    <w:w w:val="105"/>
                    <w:sz w:val="18"/>
                  </w:rPr>
                  <w:t> </w:t>
                </w:r>
                <w:r>
                  <w:rPr>
                    <w:color w:val="3D3B3D"/>
                    <w:w w:val="105"/>
                    <w:sz w:val="18"/>
                  </w:rPr>
                  <w:t>Review</w:t>
                </w:r>
              </w:p>
            </w:txbxContent>
          </v:textbox>
          <w10:wrap type="none"/>
        </v:shape>
      </w:pict>
    </w:r>
  </w:p>
</w:hdr>
</file>

<file path=word/header3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.871681pt;margin-top:24.076811pt;width:24.05pt;height:12.65pt;mso-position-horizontal-relative:page;mso-position-vertical-relative:page;z-index:-21343232" type="#_x0000_t202" id="docshape56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63436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9.998299pt;margin-top:24.21172pt;width:137.5pt;height:12.6pt;mso-position-horizontal-relative:page;mso-position-vertical-relative:page;z-index:-21342720" type="#_x0000_t202" id="docshape563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63436"/>
                    <w:spacing w:val="-1"/>
                    <w:w w:val="105"/>
                    <w:sz w:val="19"/>
                  </w:rPr>
                  <w:t>Chapter</w:t>
                </w:r>
                <w:r>
                  <w:rPr>
                    <w:color w:val="363436"/>
                    <w:spacing w:val="-16"/>
                    <w:w w:val="105"/>
                    <w:sz w:val="19"/>
                  </w:rPr>
                  <w:t> </w:t>
                </w:r>
                <w:r>
                  <w:rPr>
                    <w:color w:val="363436"/>
                    <w:spacing w:val="-1"/>
                    <w:w w:val="105"/>
                    <w:sz w:val="19"/>
                  </w:rPr>
                  <w:t>Thirteen</w:t>
                </w:r>
                <w:r>
                  <w:rPr>
                    <w:color w:val="363436"/>
                    <w:spacing w:val="121"/>
                    <w:w w:val="105"/>
                    <w:sz w:val="19"/>
                  </w:rPr>
                  <w:t> </w:t>
                </w:r>
                <w:r>
                  <w:rPr>
                    <w:color w:val="363436"/>
                    <w:spacing w:val="-1"/>
                    <w:w w:val="105"/>
                    <w:sz w:val="19"/>
                  </w:rPr>
                  <w:t>Oral</w:t>
                </w:r>
                <w:r>
                  <w:rPr>
                    <w:color w:val="363436"/>
                    <w:spacing w:val="-12"/>
                    <w:w w:val="105"/>
                    <w:sz w:val="19"/>
                  </w:rPr>
                  <w:t> </w:t>
                </w:r>
                <w:r>
                  <w:rPr>
                    <w:color w:val="363436"/>
                    <w:spacing w:val="-1"/>
                    <w:w w:val="105"/>
                    <w:sz w:val="19"/>
                  </w:rPr>
                  <w:t>Argument</w:t>
                </w:r>
              </w:p>
            </w:txbxContent>
          </v:textbox>
          <w10:wrap type="none"/>
        </v:shape>
      </w:pict>
    </w:r>
  </w:p>
</w:hdr>
</file>

<file path=word/header3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1.02359pt;margin-top:30.837885pt;width:19.2pt;height:12.7pt;mso-position-horizontal-relative:page;mso-position-vertical-relative:page;z-index:-21342208" type="#_x0000_t202" id="docshape564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color w:val="383638"/>
                    <w:w w:val="110"/>
                    <w:sz w:val="19"/>
                  </w:rPr>
                  <w:t>311</w:t>
                </w:r>
              </w:p>
            </w:txbxContent>
          </v:textbox>
          <w10:wrap type="none"/>
        </v:shape>
      </w:pict>
    </w:r>
    <w:r>
      <w:rPr/>
      <w:pict>
        <v:shape style="position:absolute;margin-left:25.63228pt;margin-top:47.615223pt;width:8.550pt;height:11pt;mso-position-horizontal-relative:page;mso-position-vertical-relative:page;z-index:-21341696" type="#_x0000_t202" id="docshape565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color w:val="383638"/>
                    <w:w w:val="85"/>
                    <w:sz w:val="16"/>
                  </w:rPr>
                  <w:t>C:</w:t>
                </w:r>
              </w:p>
            </w:txbxContent>
          </v:textbox>
          <w10:wrap type="none"/>
        </v:shape>
      </w:pict>
    </w:r>
  </w:p>
</w:hdr>
</file>

<file path=word/header3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558651pt;margin-top:25.986269pt;width:19.350pt;height:12.1pt;mso-position-horizontal-relative:page;mso-position-vertical-relative:page;z-index:-21341184" type="#_x0000_t202" id="docshape569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363436"/>
                    <w:w w:val="115"/>
                    <w:sz w:val="18"/>
                  </w:rPr>
                  <w:t>310</w:t>
                </w:r>
              </w:p>
            </w:txbxContent>
          </v:textbox>
          <w10:wrap type="none"/>
        </v:shape>
      </w:pict>
    </w:r>
    <w:r>
      <w:rPr/>
      <w:pict>
        <v:shape style="position:absolute;margin-left:92.581268pt;margin-top:25.986269pt;width:137.8pt;height:12.1pt;mso-position-horizontal-relative:page;mso-position-vertical-relative:page;z-index:-21340672" type="#_x0000_t202" id="docshape570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363436"/>
                    <w:sz w:val="18"/>
                  </w:rPr>
                  <w:t>Chapter</w:t>
                </w:r>
                <w:r>
                  <w:rPr>
                    <w:rFonts w:ascii="Arial"/>
                    <w:color w:val="363436"/>
                    <w:spacing w:val="-10"/>
                    <w:sz w:val="18"/>
                  </w:rPr>
                  <w:t> </w:t>
                </w:r>
                <w:r>
                  <w:rPr>
                    <w:rFonts w:ascii="Arial"/>
                    <w:color w:val="363436"/>
                    <w:sz w:val="18"/>
                  </w:rPr>
                  <w:t>Thirteen  </w:t>
                </w:r>
                <w:r>
                  <w:rPr>
                    <w:rFonts w:ascii="Arial"/>
                    <w:color w:val="363436"/>
                    <w:spacing w:val="38"/>
                    <w:sz w:val="18"/>
                  </w:rPr>
                  <w:t> </w:t>
                </w:r>
                <w:r>
                  <w:rPr>
                    <w:rFonts w:ascii="Arial"/>
                    <w:color w:val="363436"/>
                    <w:sz w:val="18"/>
                  </w:rPr>
                  <w:t>Oral</w:t>
                </w:r>
                <w:r>
                  <w:rPr>
                    <w:rFonts w:ascii="Arial"/>
                    <w:color w:val="363436"/>
                    <w:spacing w:val="-12"/>
                    <w:sz w:val="18"/>
                  </w:rPr>
                  <w:t> </w:t>
                </w:r>
                <w:r>
                  <w:rPr>
                    <w:rFonts w:ascii="Arial"/>
                    <w:color w:val="363436"/>
                    <w:sz w:val="18"/>
                  </w:rPr>
                  <w:t>Argument</w:t>
                </w:r>
              </w:p>
            </w:txbxContent>
          </v:textbox>
          <w10:wrap type="none"/>
        </v:shape>
      </w:pict>
    </w:r>
  </w:p>
</w:hdr>
</file>

<file path=word/header3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9.817902pt;margin-top:28.903242pt;width:19.2pt;height:12.65pt;mso-position-horizontal-relative:page;mso-position-vertical-relative:page;z-index:-21340160" type="#_x0000_t202" id="docshape571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color w:val="383636"/>
                    <w:w w:val="110"/>
                    <w:sz w:val="19"/>
                  </w:rPr>
                  <w:t>311</w:t>
                </w:r>
              </w:p>
            </w:txbxContent>
          </v:textbox>
          <w10:wrap type="none"/>
        </v:shape>
      </w:pict>
    </w:r>
    <w:r>
      <w:rPr/>
      <w:pict>
        <v:shape style="position:absolute;margin-left:24.65258pt;margin-top:44.71302pt;width:9.15pt;height:11pt;mso-position-horizontal-relative:page;mso-position-vertical-relative:page;z-index:-21339648" type="#_x0000_t202" id="docshape57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color w:val="383636"/>
                    <w:w w:val="90"/>
                    <w:sz w:val="16"/>
                  </w:rPr>
                  <w:t>C:</w:t>
                </w:r>
              </w:p>
            </w:txbxContent>
          </v:textbox>
          <w10:wrap type="none"/>
        </v:shape>
      </w:pict>
    </w:r>
  </w:p>
</w:hdr>
</file>

<file path=word/header3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.616199pt;margin-top:23.570444pt;width:16.95pt;height:12.1pt;mso-position-horizontal-relative:page;mso-position-vertical-relative:page;z-index:-21339136" type="#_x0000_t202" id="docshape573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3D3B3B"/>
                    <w:sz w:val="18"/>
                  </w:rPr>
                  <w:t>312</w:t>
                </w:r>
              </w:p>
            </w:txbxContent>
          </v:textbox>
          <w10:wrap type="none"/>
        </v:shape>
      </w:pict>
    </w:r>
    <w:r>
      <w:rPr/>
      <w:pict>
        <v:shape style="position:absolute;margin-left:86.315804pt;margin-top:24.024424pt;width:169.1pt;height:11.55pt;mso-position-horizontal-relative:page;mso-position-vertical-relative:page;z-index:-21338624" type="#_x0000_t202" id="docshape574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D3B3B"/>
                    <w:sz w:val="17"/>
                  </w:rPr>
                  <w:t>Chapter</w:t>
                </w:r>
                <w:r>
                  <w:rPr>
                    <w:rFonts w:ascii="Arial"/>
                    <w:color w:val="3D3B3B"/>
                    <w:spacing w:val="-8"/>
                    <w:sz w:val="17"/>
                  </w:rPr>
                  <w:t> </w:t>
                </w:r>
                <w:r>
                  <w:rPr>
                    <w:rFonts w:ascii="Arial"/>
                    <w:color w:val="3D3B3B"/>
                    <w:sz w:val="17"/>
                  </w:rPr>
                  <w:t>Fourteen  </w:t>
                </w:r>
                <w:r>
                  <w:rPr>
                    <w:rFonts w:ascii="Arial"/>
                    <w:color w:val="3D3B3B"/>
                    <w:spacing w:val="6"/>
                    <w:sz w:val="17"/>
                  </w:rPr>
                  <w:t> </w:t>
                </w:r>
                <w:r>
                  <w:rPr>
                    <w:rFonts w:ascii="Arial"/>
                    <w:color w:val="3D3B3B"/>
                    <w:sz w:val="17"/>
                  </w:rPr>
                  <w:t>Moot</w:t>
                </w:r>
                <w:r>
                  <w:rPr>
                    <w:rFonts w:ascii="Arial"/>
                    <w:color w:val="3D3B3B"/>
                    <w:spacing w:val="-24"/>
                    <w:sz w:val="17"/>
                  </w:rPr>
                  <w:t> </w:t>
                </w:r>
                <w:r>
                  <w:rPr>
                    <w:rFonts w:ascii="Arial"/>
                    <w:color w:val="3D3B3B"/>
                    <w:sz w:val="17"/>
                  </w:rPr>
                  <w:t>Court</w:t>
                </w:r>
                <w:r>
                  <w:rPr>
                    <w:rFonts w:ascii="Arial"/>
                    <w:color w:val="3D3B3B"/>
                    <w:spacing w:val="-10"/>
                    <w:sz w:val="17"/>
                  </w:rPr>
                  <w:t> </w:t>
                </w:r>
                <w:r>
                  <w:rPr>
                    <w:rFonts w:ascii="Arial"/>
                    <w:color w:val="3D3B3B"/>
                    <w:sz w:val="17"/>
                  </w:rPr>
                  <w:t>Competit</w:t>
                </w:r>
                <w:r>
                  <w:rPr>
                    <w:rFonts w:ascii="Arial"/>
                    <w:color w:val="565657"/>
                    <w:sz w:val="17"/>
                  </w:rPr>
                  <w:t>i</w:t>
                </w:r>
                <w:r>
                  <w:rPr>
                    <w:rFonts w:ascii="Arial"/>
                    <w:color w:val="3D3B3B"/>
                    <w:sz w:val="17"/>
                  </w:rPr>
                  <w:t>ons</w:t>
                </w:r>
              </w:p>
            </w:txbxContent>
          </v:textbox>
          <w10:wrap type="none"/>
        </v:shape>
      </w:pict>
    </w:r>
  </w:p>
</w:hdr>
</file>

<file path=word/header3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7.327606pt;margin-top:21.812853pt;width:137.550pt;height:12.6pt;mso-position-horizontal-relative:page;mso-position-vertical-relative:page;z-index:-21590528" type="#_x0000_t202" id="docshape44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17"/>
                  </w:rPr>
                </w:pPr>
                <w:r>
                  <w:rPr>
                    <w:color w:val="3B383B"/>
                    <w:sz w:val="19"/>
                  </w:rPr>
                  <w:t>2.   </w:t>
                </w:r>
                <w:r>
                  <w:rPr>
                    <w:color w:val="3B383B"/>
                    <w:spacing w:val="20"/>
                    <w:sz w:val="19"/>
                  </w:rPr>
                  <w:t> </w:t>
                </w:r>
                <w:r>
                  <w:rPr>
                    <w:color w:val="3B383B"/>
                    <w:sz w:val="19"/>
                  </w:rPr>
                  <w:t>Appellate</w:t>
                </w:r>
                <w:r>
                  <w:rPr>
                    <w:color w:val="3B383B"/>
                    <w:spacing w:val="-2"/>
                    <w:sz w:val="19"/>
                  </w:rPr>
                  <w:t> </w:t>
                </w:r>
                <w:r>
                  <w:rPr>
                    <w:color w:val="3B383B"/>
                    <w:sz w:val="18"/>
                  </w:rPr>
                  <w:t>Standards</w:t>
                </w:r>
                <w:r>
                  <w:rPr>
                    <w:color w:val="3B383B"/>
                    <w:spacing w:val="-4"/>
                    <w:sz w:val="18"/>
                  </w:rPr>
                  <w:t> </w:t>
                </w:r>
                <w:r>
                  <w:rPr>
                    <w:color w:val="3B383B"/>
                    <w:sz w:val="18"/>
                  </w:rPr>
                  <w:t>of</w:t>
                </w:r>
                <w:r>
                  <w:rPr>
                    <w:color w:val="3B383B"/>
                    <w:spacing w:val="10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3B383B"/>
                    <w:sz w:val="17"/>
                  </w:rPr>
                  <w:t>Review</w:t>
                </w:r>
              </w:p>
            </w:txbxContent>
          </v:textbox>
          <w10:wrap type="none"/>
        </v:shape>
      </w:pict>
    </w:r>
    <w:r>
      <w:rPr/>
      <w:pict>
        <v:shape style="position:absolute;margin-left:428.838196pt;margin-top:22.586075pt;width:11.05pt;height:11.55pt;mso-position-horizontal-relative:page;mso-position-vertical-relative:page;z-index:-21590016" type="#_x0000_t202" id="docshape45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b/>
                    <w:sz w:val="17"/>
                  </w:rPr>
                </w:pPr>
                <w:r>
                  <w:rPr>
                    <w:rFonts w:ascii="Arial"/>
                    <w:b/>
                    <w:color w:val="3B383B"/>
                    <w:sz w:val="17"/>
                  </w:rPr>
                  <w:t>17</w:t>
                </w:r>
              </w:p>
            </w:txbxContent>
          </v:textbox>
          <w10:wrap type="none"/>
        </v:shape>
      </w:pict>
    </w:r>
  </w:p>
</w:hdr>
</file>

<file path=word/header3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9.842201pt;margin-top:25.512718pt;width:183.6pt;height:12.1pt;mso-position-horizontal-relative:page;mso-position-vertical-relative:page;z-index:-21338112" type="#_x0000_t202" id="docshape575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383636"/>
                    <w:sz w:val="18"/>
                  </w:rPr>
                  <w:t>Chapter</w:t>
                </w:r>
                <w:r>
                  <w:rPr>
                    <w:rFonts w:ascii="Arial"/>
                    <w:color w:val="383636"/>
                    <w:spacing w:val="-7"/>
                    <w:sz w:val="18"/>
                  </w:rPr>
                  <w:t> </w:t>
                </w:r>
                <w:r>
                  <w:rPr>
                    <w:rFonts w:ascii="Arial"/>
                    <w:color w:val="383636"/>
                    <w:sz w:val="18"/>
                  </w:rPr>
                  <w:t>Fourteen   </w:t>
                </w:r>
                <w:r>
                  <w:rPr>
                    <w:rFonts w:ascii="Arial"/>
                    <w:color w:val="383636"/>
                    <w:spacing w:val="15"/>
                    <w:sz w:val="18"/>
                  </w:rPr>
                  <w:t> </w:t>
                </w:r>
                <w:r>
                  <w:rPr>
                    <w:rFonts w:ascii="Arial"/>
                    <w:color w:val="383636"/>
                    <w:sz w:val="18"/>
                  </w:rPr>
                  <w:t>Moot</w:t>
                </w:r>
                <w:r>
                  <w:rPr>
                    <w:rFonts w:ascii="Arial"/>
                    <w:color w:val="383636"/>
                    <w:spacing w:val="-10"/>
                    <w:sz w:val="18"/>
                  </w:rPr>
                  <w:t> </w:t>
                </w:r>
                <w:r>
                  <w:rPr>
                    <w:rFonts w:ascii="Arial"/>
                    <w:color w:val="383636"/>
                    <w:sz w:val="18"/>
                  </w:rPr>
                  <w:t>Court</w:t>
                </w:r>
                <w:r>
                  <w:rPr>
                    <w:rFonts w:ascii="Arial"/>
                    <w:color w:val="383636"/>
                    <w:spacing w:val="-10"/>
                    <w:sz w:val="18"/>
                  </w:rPr>
                  <w:t> </w:t>
                </w:r>
                <w:r>
                  <w:rPr>
                    <w:rFonts w:ascii="Arial"/>
                    <w:color w:val="383636"/>
                    <w:sz w:val="18"/>
                  </w:rPr>
                  <w:t>Competitions</w:t>
                </w:r>
              </w:p>
            </w:txbxContent>
          </v:textbox>
          <w10:wrap type="none"/>
        </v:shape>
      </w:pict>
    </w:r>
    <w:r>
      <w:rPr/>
      <w:pict>
        <v:shape style="position:absolute;margin-left:60.308022pt;margin-top:26.021954pt;width:23.9pt;height:12.7pt;mso-position-horizontal-relative:page;mso-position-vertical-relative:page;z-index:-21337600" type="#_x0000_t202" id="docshape576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6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0.294201pt;margin-top:23.743334pt;width:23.05pt;height:12.6pt;mso-position-horizontal-relative:page;mso-position-vertical-relative:page;z-index:-21337088" type="#_x0000_t202" id="docshape577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color w:val="383636"/>
                    <w:w w:val="11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9.9496pt;margin-top:23.743334pt;width:183.75pt;height:12.6pt;mso-position-horizontal-relative:page;mso-position-vertical-relative:page;z-index:-21336576" type="#_x0000_t202" id="docshape578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83636"/>
                    <w:spacing w:val="-1"/>
                    <w:w w:val="105"/>
                    <w:sz w:val="19"/>
                  </w:rPr>
                  <w:t>Chapter</w:t>
                </w:r>
                <w:r>
                  <w:rPr>
                    <w:color w:val="383636"/>
                    <w:spacing w:val="-3"/>
                    <w:w w:val="105"/>
                    <w:sz w:val="19"/>
                  </w:rPr>
                  <w:t> </w:t>
                </w:r>
                <w:r>
                  <w:rPr>
                    <w:color w:val="383636"/>
                    <w:w w:val="105"/>
                    <w:sz w:val="19"/>
                  </w:rPr>
                  <w:t>Fourteen </w:t>
                </w:r>
                <w:r>
                  <w:rPr>
                    <w:color w:val="383636"/>
                    <w:spacing w:val="38"/>
                    <w:w w:val="105"/>
                    <w:sz w:val="19"/>
                  </w:rPr>
                  <w:t> </w:t>
                </w:r>
                <w:r>
                  <w:rPr>
                    <w:color w:val="383636"/>
                    <w:w w:val="105"/>
                    <w:sz w:val="19"/>
                  </w:rPr>
                  <w:t>Moot</w:t>
                </w:r>
                <w:r>
                  <w:rPr>
                    <w:color w:val="383636"/>
                    <w:spacing w:val="-12"/>
                    <w:w w:val="105"/>
                    <w:sz w:val="19"/>
                  </w:rPr>
                  <w:t> </w:t>
                </w:r>
                <w:r>
                  <w:rPr>
                    <w:color w:val="383636"/>
                    <w:w w:val="105"/>
                    <w:sz w:val="19"/>
                  </w:rPr>
                  <w:t>Court</w:t>
                </w:r>
                <w:r>
                  <w:rPr>
                    <w:color w:val="383636"/>
                    <w:spacing w:val="-10"/>
                    <w:w w:val="105"/>
                    <w:sz w:val="19"/>
                  </w:rPr>
                  <w:t> </w:t>
                </w:r>
                <w:r>
                  <w:rPr>
                    <w:color w:val="383636"/>
                    <w:w w:val="105"/>
                    <w:sz w:val="19"/>
                  </w:rPr>
                  <w:t>Competitions</w:t>
                </w:r>
              </w:p>
            </w:txbxContent>
          </v:textbox>
          <w10:wrap type="none"/>
        </v:shape>
      </w:pict>
    </w:r>
  </w:p>
</w:hdr>
</file>

<file path=word/header3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7.918091pt;margin-top:28.846516pt;width:100.75pt;height:11.55pt;mso-position-horizontal-relative:page;mso-position-vertical-relative:page;z-index:-21336064" type="#_x0000_t202" id="docshape579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6"/>
                    <w:spacing w:val="-1"/>
                    <w:w w:val="105"/>
                    <w:sz w:val="17"/>
                  </w:rPr>
                  <w:t>14</w:t>
                </w:r>
                <w:r>
                  <w:rPr>
                    <w:rFonts w:ascii="Arial"/>
                    <w:color w:val="595759"/>
                    <w:spacing w:val="-1"/>
                    <w:w w:val="105"/>
                    <w:sz w:val="17"/>
                  </w:rPr>
                  <w:t>.</w:t>
                </w:r>
                <w:r>
                  <w:rPr>
                    <w:rFonts w:ascii="Arial"/>
                    <w:color w:val="383636"/>
                    <w:spacing w:val="-1"/>
                    <w:w w:val="105"/>
                    <w:sz w:val="17"/>
                  </w:rPr>
                  <w:t>5</w:t>
                </w:r>
                <w:r>
                  <w:rPr>
                    <w:rFonts w:ascii="Arial"/>
                    <w:color w:val="383636"/>
                    <w:spacing w:val="41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pacing w:val="-1"/>
                    <w:w w:val="105"/>
                    <w:sz w:val="17"/>
                  </w:rPr>
                  <w:t>Practice</w:t>
                </w:r>
                <w:r>
                  <w:rPr>
                    <w:rFonts w:ascii="Arial"/>
                    <w:color w:val="383636"/>
                    <w:spacing w:val="-17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pacing w:val="-1"/>
                    <w:w w:val="105"/>
                    <w:sz w:val="17"/>
                  </w:rPr>
                  <w:t>Arguments</w:t>
                </w:r>
              </w:p>
            </w:txbxContent>
          </v:textbox>
          <w10:wrap type="none"/>
        </v:shape>
      </w:pict>
    </w:r>
    <w:r>
      <w:rPr/>
      <w:pict>
        <v:shape style="position:absolute;margin-left:406.083099pt;margin-top:28.846516pt;width:22pt;height:11.55pt;mso-position-horizontal-relative:page;mso-position-vertical-relative:page;z-index:-21335552" type="#_x0000_t202" id="docshape580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794930pt;margin-top:25.675259pt;width:18.05pt;height:12.6pt;mso-position-horizontal-relative:page;mso-position-vertical-relative:page;z-index:-21335040" type="#_x0000_t202" id="docshape581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color w:val="383636"/>
                    <w:w w:val="115"/>
                    <w:sz w:val="19"/>
                  </w:rPr>
                  <w:t>324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684502pt;margin-top:25.675259pt;width:184.1pt;height:12.6pt;mso-position-horizontal-relative:page;mso-position-vertical-relative:page;z-index:-21334528" type="#_x0000_t202" id="docshape58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83636"/>
                    <w:w w:val="105"/>
                    <w:sz w:val="19"/>
                  </w:rPr>
                  <w:t>Chapter</w:t>
                </w:r>
                <w:r>
                  <w:rPr>
                    <w:color w:val="383636"/>
                    <w:spacing w:val="-5"/>
                    <w:w w:val="105"/>
                    <w:sz w:val="19"/>
                  </w:rPr>
                  <w:t> </w:t>
                </w:r>
                <w:r>
                  <w:rPr>
                    <w:color w:val="383636"/>
                    <w:w w:val="105"/>
                    <w:sz w:val="19"/>
                  </w:rPr>
                  <w:t>Fourteen </w:t>
                </w:r>
                <w:r>
                  <w:rPr>
                    <w:color w:val="383636"/>
                    <w:spacing w:val="30"/>
                    <w:w w:val="105"/>
                    <w:sz w:val="19"/>
                  </w:rPr>
                  <w:t> </w:t>
                </w:r>
                <w:r>
                  <w:rPr>
                    <w:color w:val="383636"/>
                    <w:w w:val="105"/>
                    <w:sz w:val="19"/>
                  </w:rPr>
                  <w:t>Moot</w:t>
                </w:r>
                <w:r>
                  <w:rPr>
                    <w:color w:val="383636"/>
                    <w:spacing w:val="-11"/>
                    <w:w w:val="105"/>
                    <w:sz w:val="19"/>
                  </w:rPr>
                  <w:t> </w:t>
                </w:r>
                <w:r>
                  <w:rPr>
                    <w:color w:val="383636"/>
                    <w:w w:val="105"/>
                    <w:sz w:val="19"/>
                  </w:rPr>
                  <w:t>Court</w:t>
                </w:r>
                <w:r>
                  <w:rPr>
                    <w:color w:val="383636"/>
                    <w:spacing w:val="-1"/>
                    <w:w w:val="105"/>
                    <w:sz w:val="19"/>
                  </w:rPr>
                  <w:t> </w:t>
                </w:r>
                <w:r>
                  <w:rPr>
                    <w:color w:val="383636"/>
                    <w:w w:val="105"/>
                    <w:sz w:val="19"/>
                  </w:rPr>
                  <w:t>Competitions</w:t>
                </w:r>
              </w:p>
            </w:txbxContent>
          </v:textbox>
          <w10:wrap type="none"/>
        </v:shape>
      </w:pict>
    </w:r>
  </w:p>
</w:hdr>
</file>

<file path=word/header3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475189pt;margin-top:25.01314pt;width:101.1pt;height:12.1pt;mso-position-horizontal-relative:page;mso-position-vertical-relative:page;z-index:-21334016" type="#_x0000_t202" id="docshape583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383636"/>
                    <w:spacing w:val="-1"/>
                    <w:sz w:val="18"/>
                  </w:rPr>
                  <w:t>14.5</w:t>
                </w:r>
                <w:r>
                  <w:rPr>
                    <w:rFonts w:ascii="Arial"/>
                    <w:color w:val="383636"/>
                    <w:spacing w:val="20"/>
                    <w:sz w:val="18"/>
                  </w:rPr>
                  <w:t> </w:t>
                </w:r>
                <w:r>
                  <w:rPr>
                    <w:rFonts w:ascii="Arial"/>
                    <w:color w:val="383636"/>
                    <w:spacing w:val="-1"/>
                    <w:sz w:val="18"/>
                  </w:rPr>
                  <w:t>Practice</w:t>
                </w:r>
                <w:r>
                  <w:rPr>
                    <w:rFonts w:ascii="Arial"/>
                    <w:color w:val="383636"/>
                    <w:spacing w:val="-15"/>
                    <w:sz w:val="18"/>
                  </w:rPr>
                  <w:t> </w:t>
                </w:r>
                <w:r>
                  <w:rPr>
                    <w:rFonts w:ascii="Arial"/>
                    <w:color w:val="383636"/>
                    <w:sz w:val="18"/>
                  </w:rPr>
                  <w:t>Arguments</w:t>
                </w:r>
              </w:p>
            </w:txbxContent>
          </v:textbox>
          <w10:wrap type="none"/>
        </v:shape>
      </w:pict>
    </w:r>
    <w:r>
      <w:rPr/>
      <w:pict>
        <v:shape style="position:absolute;margin-left:412.083588pt;margin-top:25.01314pt;width:22.1pt;height:12.1pt;mso-position-horizontal-relative:page;mso-position-vertical-relative:page;z-index:-21333504" type="#_x0000_t202" id="docshape584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383636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54707pt;margin-top:25.964336pt;width:18.1pt;height:11.55pt;mso-position-horizontal-relative:page;mso-position-vertical-relative:page;z-index:-21332992" type="#_x0000_t202" id="docshape585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6"/>
                    <w:w w:val="115"/>
                    <w:sz w:val="17"/>
                  </w:rPr>
                  <w:t>326</w:t>
                </w:r>
              </w:p>
            </w:txbxContent>
          </v:textbox>
          <w10:wrap type="none"/>
        </v:shape>
      </w:pict>
    </w:r>
    <w:r>
      <w:rPr/>
      <w:pict>
        <v:shape style="position:absolute;margin-left:93.094414pt;margin-top:25.964336pt;width:184.1pt;height:11.55pt;mso-position-horizontal-relative:page;mso-position-vertical-relative:page;z-index:-21332480" type="#_x0000_t202" id="docshape586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6"/>
                    <w:w w:val="105"/>
                    <w:sz w:val="17"/>
                  </w:rPr>
                  <w:t>Chapter</w:t>
                </w:r>
                <w:r>
                  <w:rPr>
                    <w:rFonts w:ascii="Arial"/>
                    <w:color w:val="383636"/>
                    <w:spacing w:val="13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Fourteen   </w:t>
                </w:r>
                <w:r>
                  <w:rPr>
                    <w:rFonts w:ascii="Arial"/>
                    <w:color w:val="383636"/>
                    <w:spacing w:val="23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Moot</w:t>
                </w:r>
                <w:r>
                  <w:rPr>
                    <w:rFonts w:ascii="Arial"/>
                    <w:color w:val="383636"/>
                    <w:spacing w:val="-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Court</w:t>
                </w:r>
                <w:r>
                  <w:rPr>
                    <w:rFonts w:ascii="Arial"/>
                    <w:color w:val="383636"/>
                    <w:spacing w:val="-6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Competitions</w:t>
                </w:r>
              </w:p>
            </w:txbxContent>
          </v:textbox>
          <w10:wrap type="none"/>
        </v:shape>
      </w:pict>
    </w:r>
  </w:p>
</w:hdr>
</file>

<file path=word/header3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586533pt;margin-top:17.320343pt;width:18pt;height:12.1pt;mso-position-horizontal-relative:page;mso-position-vertical-relative:page;z-index:-21589504" type="#_x0000_t202" id="docshape47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D3B3B"/>
                    <w:w w:val="11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9.098999pt;margin-top:17.448223pt;width:240.5pt;height:12.05pt;mso-position-horizontal-relative:page;mso-position-vertical-relative:page;z-index:-21588992" type="#_x0000_t202" id="docshape48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D3B3B"/>
                    <w:sz w:val="18"/>
                  </w:rPr>
                  <w:t>Chapter</w:t>
                </w:r>
                <w:r>
                  <w:rPr>
                    <w:color w:val="3D3B3B"/>
                    <w:spacing w:val="-11"/>
                    <w:sz w:val="18"/>
                  </w:rPr>
                  <w:t> </w:t>
                </w:r>
                <w:r>
                  <w:rPr>
                    <w:color w:val="3D3B3B"/>
                    <w:sz w:val="18"/>
                  </w:rPr>
                  <w:t>Two   </w:t>
                </w:r>
                <w:r>
                  <w:rPr>
                    <w:color w:val="3D3B3B"/>
                    <w:spacing w:val="19"/>
                    <w:sz w:val="18"/>
                  </w:rPr>
                  <w:t> </w:t>
                </w:r>
                <w:r>
                  <w:rPr>
                    <w:color w:val="3D3B3B"/>
                    <w:sz w:val="18"/>
                  </w:rPr>
                  <w:t>Appellate</w:t>
                </w:r>
                <w:r>
                  <w:rPr>
                    <w:color w:val="3D3B3B"/>
                    <w:spacing w:val="9"/>
                    <w:sz w:val="18"/>
                  </w:rPr>
                  <w:t> </w:t>
                </w:r>
                <w:r>
                  <w:rPr>
                    <w:color w:val="3D3B3B"/>
                    <w:sz w:val="18"/>
                  </w:rPr>
                  <w:t>Jurisdiction</w:t>
                </w:r>
                <w:r>
                  <w:rPr>
                    <w:color w:val="3D3B3B"/>
                    <w:spacing w:val="20"/>
                    <w:sz w:val="18"/>
                  </w:rPr>
                  <w:t> </w:t>
                </w:r>
                <w:r>
                  <w:rPr>
                    <w:color w:val="3D3B3B"/>
                    <w:sz w:val="18"/>
                  </w:rPr>
                  <w:t>and</w:t>
                </w:r>
                <w:r>
                  <w:rPr>
                    <w:color w:val="3D3B3B"/>
                    <w:spacing w:val="75"/>
                    <w:sz w:val="18"/>
                  </w:rPr>
                  <w:t> </w:t>
                </w:r>
                <w:r>
                  <w:rPr>
                    <w:color w:val="3D3B3B"/>
                    <w:sz w:val="18"/>
                  </w:rPr>
                  <w:t>Standards</w:t>
                </w:r>
                <w:r>
                  <w:rPr>
                    <w:color w:val="3D3B3B"/>
                    <w:spacing w:val="8"/>
                    <w:sz w:val="18"/>
                  </w:rPr>
                  <w:t> </w:t>
                </w:r>
                <w:r>
                  <w:rPr>
                    <w:color w:val="3D3B3B"/>
                    <w:sz w:val="18"/>
                  </w:rPr>
                  <w:t>of</w:t>
                </w:r>
                <w:r>
                  <w:rPr>
                    <w:color w:val="3D3B3B"/>
                    <w:spacing w:val="29"/>
                    <w:sz w:val="18"/>
                  </w:rPr>
                  <w:t> </w:t>
                </w:r>
                <w:r>
                  <w:rPr>
                    <w:color w:val="3D3B3B"/>
                    <w:sz w:val="18"/>
                  </w:rPr>
                  <w:t>Review</w:t>
                </w:r>
              </w:p>
            </w:txbxContent>
          </v:textbox>
          <w10:wrap type="none"/>
        </v:shape>
      </w:pict>
    </w:r>
  </w:p>
</w:hdr>
</file>

<file path=word/header3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48814pt;margin-top:27.40476pt;width:23.1pt;height:11.55pt;mso-position-horizontal-relative:page;mso-position-vertical-relative:page;z-index:-21331968" type="#_x0000_t202" id="docshape587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rFonts w:ascii="Arial"/>
                    <w:b/>
                    <w:sz w:val="17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436"/>
                    <w:w w:val="115"/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5.427048pt;margin-top:27.40476pt;width:286.25pt;height:11.55pt;mso-position-horizontal-relative:page;mso-position-vertical-relative:page;z-index:-21331456" type="#_x0000_t202" id="docshape588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436"/>
                    <w:w w:val="105"/>
                    <w:sz w:val="17"/>
                  </w:rPr>
                  <w:t>Appendix</w:t>
                </w:r>
                <w:r>
                  <w:rPr>
                    <w:rFonts w:ascii="Arial"/>
                    <w:color w:val="383436"/>
                    <w:spacing w:val="6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b/>
                    <w:color w:val="383436"/>
                    <w:w w:val="105"/>
                    <w:sz w:val="17"/>
                  </w:rPr>
                  <w:t>A </w:t>
                </w:r>
                <w:r>
                  <w:rPr>
                    <w:rFonts w:ascii="Arial"/>
                    <w:b/>
                    <w:color w:val="383436"/>
                    <w:spacing w:val="27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436"/>
                    <w:w w:val="105"/>
                    <w:sz w:val="17"/>
                  </w:rPr>
                  <w:t>For</w:t>
                </w:r>
                <w:r>
                  <w:rPr>
                    <w:rFonts w:ascii="Arial"/>
                    <w:color w:val="383436"/>
                    <w:spacing w:val="-17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436"/>
                    <w:w w:val="105"/>
                    <w:sz w:val="17"/>
                  </w:rPr>
                  <w:t>Reference:</w:t>
                </w:r>
                <w:r>
                  <w:rPr>
                    <w:rFonts w:ascii="Arial"/>
                    <w:color w:val="383436"/>
                    <w:spacing w:val="-9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436"/>
                    <w:w w:val="105"/>
                    <w:sz w:val="17"/>
                  </w:rPr>
                  <w:t>Citation</w:t>
                </w:r>
                <w:r>
                  <w:rPr>
                    <w:rFonts w:ascii="Arial"/>
                    <w:color w:val="383436"/>
                    <w:spacing w:val="-3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436"/>
                    <w:w w:val="105"/>
                    <w:sz w:val="17"/>
                  </w:rPr>
                  <w:t>Form</w:t>
                </w:r>
                <w:r>
                  <w:rPr>
                    <w:rFonts w:ascii="Arial"/>
                    <w:color w:val="383436"/>
                    <w:spacing w:val="-7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436"/>
                    <w:w w:val="105"/>
                    <w:sz w:val="17"/>
                  </w:rPr>
                  <w:t>and</w:t>
                </w:r>
                <w:r>
                  <w:rPr>
                    <w:rFonts w:ascii="Arial"/>
                    <w:color w:val="383436"/>
                    <w:spacing w:val="-21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436"/>
                    <w:w w:val="105"/>
                    <w:sz w:val="17"/>
                  </w:rPr>
                  <w:t>Punctuation</w:t>
                </w:r>
                <w:r>
                  <w:rPr>
                    <w:rFonts w:ascii="Arial"/>
                    <w:color w:val="383436"/>
                    <w:spacing w:val="-10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436"/>
                    <w:w w:val="105"/>
                    <w:sz w:val="17"/>
                  </w:rPr>
                  <w:t>Information</w:t>
                </w:r>
              </w:p>
            </w:txbxContent>
          </v:textbox>
          <w10:wrap type="none"/>
        </v:shape>
      </w:pict>
    </w:r>
  </w:p>
</w:hdr>
</file>

<file path=word/header3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7127pt;margin-top:26.147074pt;width:21.2pt;height:12.6pt;mso-position-horizontal-relative:page;mso-position-vertical-relative:page;z-index:-21330944" type="#_x0000_t202" id="docshape589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83638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4.008774pt;margin-top:26.920315pt;width:287.25pt;height:11.55pt;mso-position-horizontal-relative:page;mso-position-vertical-relative:page;z-index:-21330432" type="#_x0000_t202" id="docshape590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8"/>
                    <w:w w:val="105"/>
                    <w:sz w:val="17"/>
                  </w:rPr>
                  <w:t>Appendix</w:t>
                </w:r>
                <w:r>
                  <w:rPr>
                    <w:rFonts w:ascii="Arial"/>
                    <w:color w:val="383638"/>
                    <w:spacing w:val="-2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A  </w:t>
                </w:r>
                <w:r>
                  <w:rPr>
                    <w:rFonts w:ascii="Arial"/>
                    <w:color w:val="383638"/>
                    <w:spacing w:val="44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For</w:t>
                </w:r>
                <w:r>
                  <w:rPr>
                    <w:rFonts w:ascii="Arial"/>
                    <w:color w:val="383638"/>
                    <w:spacing w:val="-16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Reference</w:t>
                </w:r>
                <w:r>
                  <w:rPr>
                    <w:rFonts w:ascii="Arial"/>
                    <w:color w:val="59595B"/>
                    <w:w w:val="105"/>
                    <w:sz w:val="17"/>
                  </w:rPr>
                  <w:t>:</w:t>
                </w:r>
                <w:r>
                  <w:rPr>
                    <w:rFonts w:ascii="Arial"/>
                    <w:color w:val="59595B"/>
                    <w:spacing w:val="-3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Citation</w:t>
                </w:r>
                <w:r>
                  <w:rPr>
                    <w:rFonts w:ascii="Arial"/>
                    <w:color w:val="383638"/>
                    <w:spacing w:val="-1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Form</w:t>
                </w:r>
                <w:r>
                  <w:rPr>
                    <w:rFonts w:ascii="Arial"/>
                    <w:color w:val="383638"/>
                    <w:spacing w:val="-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and</w:t>
                </w:r>
                <w:r>
                  <w:rPr>
                    <w:rFonts w:ascii="Arial"/>
                    <w:color w:val="383638"/>
                    <w:spacing w:val="4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Punctuation</w:t>
                </w:r>
                <w:r>
                  <w:rPr>
                    <w:rFonts w:ascii="Arial"/>
                    <w:color w:val="383638"/>
                    <w:spacing w:val="-9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Information</w:t>
                </w:r>
              </w:p>
            </w:txbxContent>
          </v:textbox>
          <w10:wrap type="none"/>
        </v:shape>
      </w:pict>
    </w:r>
  </w:p>
</w:hdr>
</file>

<file path=word/header3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.62402pt;margin-top:26.029129pt;width:22.35pt;height:12.6pt;mso-position-horizontal-relative:page;mso-position-vertical-relative:page;z-index:-21329920" type="#_x0000_t202" id="docshape591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83638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5.427048pt;margin-top:26.802244pt;width:288.2pt;height:11.55pt;mso-position-horizontal-relative:page;mso-position-vertical-relative:page;z-index:-21329408" type="#_x0000_t202" id="docshape59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8"/>
                    <w:w w:val="105"/>
                    <w:sz w:val="17"/>
                  </w:rPr>
                  <w:t>Appendix</w:t>
                </w:r>
                <w:r>
                  <w:rPr>
                    <w:rFonts w:ascii="Arial"/>
                    <w:color w:val="383638"/>
                    <w:spacing w:val="7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A </w:t>
                </w:r>
                <w:r>
                  <w:rPr>
                    <w:rFonts w:ascii="Arial"/>
                    <w:color w:val="383638"/>
                    <w:spacing w:val="34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For</w:t>
                </w:r>
                <w:r>
                  <w:rPr>
                    <w:rFonts w:ascii="Arial"/>
                    <w:color w:val="383638"/>
                    <w:spacing w:val="-1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Reference:</w:t>
                </w:r>
                <w:r>
                  <w:rPr>
                    <w:rFonts w:ascii="Arial"/>
                    <w:color w:val="383638"/>
                    <w:spacing w:val="4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Citat</w:t>
                </w:r>
                <w:r>
                  <w:rPr>
                    <w:rFonts w:ascii="Arial"/>
                    <w:color w:val="575759"/>
                    <w:w w:val="105"/>
                    <w:sz w:val="17"/>
                  </w:rPr>
                  <w:t>i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on</w:t>
                </w:r>
                <w:r>
                  <w:rPr>
                    <w:rFonts w:ascii="Arial"/>
                    <w:color w:val="383638"/>
                    <w:spacing w:val="1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Form</w:t>
                </w:r>
                <w:r>
                  <w:rPr>
                    <w:rFonts w:ascii="Arial"/>
                    <w:color w:val="383638"/>
                    <w:spacing w:val="-9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and</w:t>
                </w:r>
                <w:r>
                  <w:rPr>
                    <w:rFonts w:ascii="Arial"/>
                    <w:color w:val="383638"/>
                    <w:spacing w:val="-9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Punctuation</w:t>
                </w:r>
                <w:r>
                  <w:rPr>
                    <w:rFonts w:ascii="Arial"/>
                    <w:color w:val="383638"/>
                    <w:spacing w:val="-9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Information</w:t>
                </w:r>
              </w:p>
            </w:txbxContent>
          </v:textbox>
          <w10:wrap type="none"/>
        </v:shape>
      </w:pict>
    </w:r>
  </w:p>
</w:hdr>
</file>

<file path=word/header3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.62402pt;margin-top:26.624222pt;width:22.35pt;height:12.6pt;mso-position-horizontal-relative:page;mso-position-vertical-relative:page;z-index:-21328896" type="#_x0000_t202" id="docshape593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83638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5.427048pt;margin-top:27.397337pt;width:288.2pt;height:11.55pt;mso-position-horizontal-relative:page;mso-position-vertical-relative:page;z-index:-21328384" type="#_x0000_t202" id="docshape594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8"/>
                    <w:w w:val="105"/>
                    <w:sz w:val="17"/>
                  </w:rPr>
                  <w:t>Appendix</w:t>
                </w:r>
                <w:r>
                  <w:rPr>
                    <w:rFonts w:ascii="Arial"/>
                    <w:color w:val="383638"/>
                    <w:spacing w:val="7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A </w:t>
                </w:r>
                <w:r>
                  <w:rPr>
                    <w:rFonts w:ascii="Arial"/>
                    <w:color w:val="383638"/>
                    <w:spacing w:val="34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For</w:t>
                </w:r>
                <w:r>
                  <w:rPr>
                    <w:rFonts w:ascii="Arial"/>
                    <w:color w:val="383638"/>
                    <w:spacing w:val="-1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Reference:</w:t>
                </w:r>
                <w:r>
                  <w:rPr>
                    <w:rFonts w:ascii="Arial"/>
                    <w:color w:val="383638"/>
                    <w:spacing w:val="4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Citat</w:t>
                </w:r>
                <w:r>
                  <w:rPr>
                    <w:rFonts w:ascii="Arial"/>
                    <w:color w:val="575759"/>
                    <w:w w:val="105"/>
                    <w:sz w:val="17"/>
                  </w:rPr>
                  <w:t>i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on</w:t>
                </w:r>
                <w:r>
                  <w:rPr>
                    <w:rFonts w:ascii="Arial"/>
                    <w:color w:val="383638"/>
                    <w:spacing w:val="1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Form</w:t>
                </w:r>
                <w:r>
                  <w:rPr>
                    <w:rFonts w:ascii="Arial"/>
                    <w:color w:val="383638"/>
                    <w:spacing w:val="-9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and</w:t>
                </w:r>
                <w:r>
                  <w:rPr>
                    <w:rFonts w:ascii="Arial"/>
                    <w:color w:val="383638"/>
                    <w:spacing w:val="-9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Punctuation</w:t>
                </w:r>
                <w:r>
                  <w:rPr>
                    <w:rFonts w:ascii="Arial"/>
                    <w:color w:val="383638"/>
                    <w:spacing w:val="-9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Information</w:t>
                </w:r>
              </w:p>
            </w:txbxContent>
          </v:textbox>
          <w10:wrap type="none"/>
        </v:shape>
      </w:pict>
    </w:r>
  </w:p>
</w:hdr>
</file>

<file path=word/header3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5.994705pt;margin-top:28.862221pt;width:145.3pt;height:11.55pt;mso-position-horizontal-relative:page;mso-position-vertical-relative:page;z-index:-21327872" type="#_x0000_t202" id="docshape595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8"/>
                    <w:w w:val="105"/>
                    <w:sz w:val="17"/>
                  </w:rPr>
                  <w:t>A.5</w:t>
                </w:r>
                <w:r>
                  <w:rPr>
                    <w:rFonts w:ascii="Arial"/>
                    <w:color w:val="383638"/>
                    <w:spacing w:val="18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Common</w:t>
                </w:r>
                <w:r>
                  <w:rPr>
                    <w:rFonts w:ascii="Arial"/>
                    <w:color w:val="383638"/>
                    <w:spacing w:val="-1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Punctuation Problems</w:t>
                </w:r>
              </w:p>
            </w:txbxContent>
          </v:textbox>
          <w10:wrap type="none"/>
        </v:shape>
      </w:pict>
    </w:r>
    <w:r>
      <w:rPr/>
      <w:pict>
        <v:shape style="position:absolute;margin-left:409.081299pt;margin-top:28.862221pt;width:21.4pt;height:11.55pt;mso-position-horizontal-relative:page;mso-position-vertical-relative:page;z-index:-21327360" type="#_x0000_t202" id="docshape596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383638"/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5"/>
      </w:rPr>
    </w:pPr>
    <w:r>
      <w:rPr/>
      <w:pict>
        <v:shape style="position:absolute;margin-left:425.998596pt;margin-top:25.680656pt;width:17.6pt;height:14.8pt;mso-position-horizontal-relative:page;mso-position-vertical-relative:page;z-index:-21588480" type="#_x0000_t202" id="docshape49" filled="false" stroked="false">
          <v:textbox inset="0,0,0,0">
            <w:txbxContent>
              <w:p>
                <w:pPr>
                  <w:spacing w:before="14"/>
                  <w:ind w:left="122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8"/>
                    <w:w w:val="10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69.213715pt;margin-top:26.255375pt;width:137.550pt;height:11.45pt;mso-position-horizontal-relative:page;mso-position-vertical-relative:page;z-index:-21587968" type="#_x0000_t202" id="docshape50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7"/>
                  </w:rPr>
                </w:pPr>
                <w:r>
                  <w:rPr>
                    <w:color w:val="383638"/>
                    <w:w w:val="110"/>
                    <w:sz w:val="17"/>
                  </w:rPr>
                  <w:t>2.3 </w:t>
                </w:r>
                <w:r>
                  <w:rPr>
                    <w:color w:val="383638"/>
                    <w:spacing w:val="18"/>
                    <w:w w:val="110"/>
                    <w:sz w:val="17"/>
                  </w:rPr>
                  <w:t> </w:t>
                </w:r>
                <w:r>
                  <w:rPr>
                    <w:color w:val="383638"/>
                    <w:w w:val="110"/>
                    <w:sz w:val="17"/>
                  </w:rPr>
                  <w:t>Appellate</w:t>
                </w:r>
                <w:r>
                  <w:rPr>
                    <w:color w:val="383638"/>
                    <w:spacing w:val="-4"/>
                    <w:w w:val="110"/>
                    <w:sz w:val="17"/>
                  </w:rPr>
                  <w:t> </w:t>
                </w:r>
                <w:r>
                  <w:rPr>
                    <w:color w:val="383638"/>
                    <w:w w:val="110"/>
                    <w:sz w:val="17"/>
                  </w:rPr>
                  <w:t>Standards</w:t>
                </w:r>
                <w:r>
                  <w:rPr>
                    <w:color w:val="383638"/>
                    <w:spacing w:val="-9"/>
                    <w:w w:val="110"/>
                    <w:sz w:val="17"/>
                  </w:rPr>
                  <w:t> </w:t>
                </w:r>
                <w:r>
                  <w:rPr>
                    <w:color w:val="383638"/>
                    <w:w w:val="110"/>
                    <w:sz w:val="17"/>
                  </w:rPr>
                  <w:t>of</w:t>
                </w:r>
                <w:r>
                  <w:rPr>
                    <w:color w:val="383638"/>
                    <w:spacing w:val="22"/>
                    <w:w w:val="110"/>
                    <w:sz w:val="17"/>
                  </w:rPr>
                  <w:t> </w:t>
                </w:r>
                <w:r>
                  <w:rPr>
                    <w:color w:val="383638"/>
                    <w:w w:val="110"/>
                    <w:sz w:val="17"/>
                  </w:rPr>
                  <w:t>Review</w:t>
                </w:r>
              </w:p>
            </w:txbxContent>
          </v:textbox>
          <w10:wrap type="none"/>
        </v:shape>
      </w:pict>
    </w:r>
  </w:p>
</w:hdr>
</file>

<file path=word/header3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1.533997pt;margin-top:29.530853pt;width:145.75pt;height:12.6pt;mso-position-horizontal-relative:page;mso-position-vertical-relative:page;z-index:-21326848" type="#_x0000_t202" id="docshape597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b/>
                    <w:color w:val="383638"/>
                    <w:spacing w:val="-1"/>
                    <w:w w:val="105"/>
                    <w:sz w:val="19"/>
                  </w:rPr>
                  <w:t>A.5</w:t>
                </w:r>
                <w:r>
                  <w:rPr>
                    <w:b/>
                    <w:color w:val="383638"/>
                    <w:spacing w:val="30"/>
                    <w:w w:val="105"/>
                    <w:sz w:val="19"/>
                  </w:rPr>
                  <w:t> </w:t>
                </w:r>
                <w:r>
                  <w:rPr>
                    <w:rFonts w:ascii="Arial"/>
                    <w:color w:val="383638"/>
                    <w:spacing w:val="-1"/>
                    <w:w w:val="105"/>
                    <w:sz w:val="17"/>
                  </w:rPr>
                  <w:t>Common</w:t>
                </w:r>
                <w:r>
                  <w:rPr>
                    <w:rFonts w:ascii="Arial"/>
                    <w:color w:val="383638"/>
                    <w:spacing w:val="-2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pacing w:val="-1"/>
                    <w:w w:val="105"/>
                    <w:sz w:val="17"/>
                  </w:rPr>
                  <w:t>Punctuation</w:t>
                </w:r>
                <w:r>
                  <w:rPr>
                    <w:rFonts w:ascii="Arial"/>
                    <w:color w:val="383638"/>
                    <w:spacing w:val="1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Problems</w:t>
                </w:r>
              </w:p>
            </w:txbxContent>
          </v:textbox>
          <w10:wrap type="none"/>
        </v:shape>
      </w:pict>
    </w:r>
    <w:r>
      <w:rPr/>
      <w:pict>
        <v:shape style="position:absolute;margin-left:404.686707pt;margin-top:30.304422pt;width:21.55pt;height:11.55pt;mso-position-horizontal-relative:page;mso-position-vertical-relative:page;z-index:-21326336" type="#_x0000_t202" id="docshape598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383638"/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39983pt;margin-top:24.270216pt;width:23.15pt;height:13.15pt;mso-position-horizontal-relative:page;mso-position-vertical-relative:page;z-index:-21325824" type="#_x0000_t202" id="docshape599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A3638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2.712601pt;margin-top:25.491169pt;width:288.8pt;height:11.55pt;mso-position-horizontal-relative:page;mso-position-vertical-relative:page;z-index:-21325312" type="#_x0000_t202" id="docshape600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A3638"/>
                    <w:w w:val="105"/>
                    <w:sz w:val="17"/>
                  </w:rPr>
                  <w:t>Appendix</w:t>
                </w:r>
                <w:r>
                  <w:rPr>
                    <w:rFonts w:ascii="Arial"/>
                    <w:color w:val="3A3638"/>
                    <w:spacing w:val="-3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638"/>
                    <w:w w:val="105"/>
                    <w:sz w:val="17"/>
                  </w:rPr>
                  <w:t>A    For</w:t>
                </w:r>
                <w:r>
                  <w:rPr>
                    <w:rFonts w:ascii="Arial"/>
                    <w:color w:val="3A3638"/>
                    <w:spacing w:val="-2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638"/>
                    <w:w w:val="105"/>
                    <w:sz w:val="17"/>
                  </w:rPr>
                  <w:t>Reference:</w:t>
                </w:r>
                <w:r>
                  <w:rPr>
                    <w:rFonts w:ascii="Arial"/>
                    <w:color w:val="3A3638"/>
                    <w:spacing w:val="-4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638"/>
                    <w:w w:val="105"/>
                    <w:sz w:val="17"/>
                  </w:rPr>
                  <w:t>Citation</w:t>
                </w:r>
                <w:r>
                  <w:rPr>
                    <w:rFonts w:ascii="Arial"/>
                    <w:color w:val="3A3638"/>
                    <w:spacing w:val="-14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638"/>
                    <w:w w:val="105"/>
                    <w:sz w:val="17"/>
                  </w:rPr>
                  <w:t>Form</w:t>
                </w:r>
                <w:r>
                  <w:rPr>
                    <w:rFonts w:ascii="Arial"/>
                    <w:color w:val="3A3638"/>
                    <w:spacing w:val="-4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638"/>
                    <w:w w:val="105"/>
                    <w:sz w:val="17"/>
                  </w:rPr>
                  <w:t>and</w:t>
                </w:r>
                <w:r>
                  <w:rPr>
                    <w:rFonts w:ascii="Arial"/>
                    <w:color w:val="3A3638"/>
                    <w:spacing w:val="6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638"/>
                    <w:w w:val="105"/>
                    <w:sz w:val="17"/>
                  </w:rPr>
                  <w:t>Punctuation</w:t>
                </w:r>
                <w:r>
                  <w:rPr>
                    <w:rFonts w:ascii="Arial"/>
                    <w:color w:val="3A3638"/>
                    <w:spacing w:val="-6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638"/>
                    <w:w w:val="105"/>
                    <w:sz w:val="17"/>
                  </w:rPr>
                  <w:t>Information</w:t>
                </w:r>
              </w:p>
            </w:txbxContent>
          </v:textbox>
          <w10:wrap type="none"/>
        </v:shape>
      </w:pict>
    </w:r>
  </w:p>
</w:hdr>
</file>

<file path=word/header3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2.710297pt;margin-top:28.891504pt;width:181.5pt;height:12.1pt;mso-position-horizontal-relative:page;mso-position-vertical-relative:page;z-index:-21324800" type="#_x0000_t202" id="docshape601" filled="false" stroked="false">
          <v:textbox inset="0,0,0,0">
            <w:txbxContent>
              <w:p>
                <w:pPr>
                  <w:tabs>
                    <w:tab w:pos="3609" w:val="right" w:leader="none"/>
                  </w:tabs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color w:val="383636"/>
                    <w:spacing w:val="-1"/>
                    <w:w w:val="105"/>
                    <w:sz w:val="17"/>
                  </w:rPr>
                  <w:t>A.5</w:t>
                </w:r>
                <w:r>
                  <w:rPr>
                    <w:rFonts w:ascii="Arial"/>
                    <w:color w:val="383636"/>
                    <w:spacing w:val="16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spacing w:val="-1"/>
                    <w:w w:val="105"/>
                    <w:sz w:val="17"/>
                  </w:rPr>
                  <w:t>Common</w:t>
                </w:r>
                <w:r>
                  <w:rPr>
                    <w:rFonts w:ascii="Arial"/>
                    <w:color w:val="383636"/>
                    <w:spacing w:val="-16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Punctuation</w:t>
                </w:r>
                <w:r>
                  <w:rPr>
                    <w:rFonts w:ascii="Arial"/>
                    <w:color w:val="383636"/>
                    <w:spacing w:val="-2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6"/>
                    <w:w w:val="105"/>
                    <w:sz w:val="17"/>
                  </w:rPr>
                  <w:t>Problems</w:t>
                  <w:tab/>
                </w:r>
                <w:r>
                  <w:rPr>
                    <w:rFonts w:ascii="Arial"/>
                    <w:b/>
                    <w:color w:val="383636"/>
                    <w:w w:val="105"/>
                    <w:sz w:val="18"/>
                  </w:rPr>
                  <w:t>341</w:t>
                </w:r>
              </w:p>
            </w:txbxContent>
          </v:textbox>
          <w10:wrap type="none"/>
        </v:shape>
      </w:pict>
    </w:r>
  </w:p>
</w:hdr>
</file>

<file path=word/header3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2.949421pt;margin-top:26.135534pt;width:18.05pt;height:12.55pt;mso-position-horizontal-relative:page;mso-position-vertical-relative:page;z-index:-21324288" type="#_x0000_t202" id="docshape6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color w:val="363434"/>
                    <w:w w:val="110"/>
                    <w:sz w:val="19"/>
                  </w:rPr>
                  <w:t>342</w:t>
                </w:r>
              </w:p>
            </w:txbxContent>
          </v:textbox>
          <w10:wrap type="none"/>
        </v:shape>
      </w:pict>
    </w:r>
    <w:r>
      <w:rPr/>
      <w:pict>
        <v:shape style="position:absolute;margin-left:100.226799pt;margin-top:26.908447pt;width:288.6pt;height:11.55pt;mso-position-horizontal-relative:page;mso-position-vertical-relative:page;z-index:-21323776" type="#_x0000_t202" id="docshape603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63434"/>
                    <w:w w:val="105"/>
                    <w:sz w:val="17"/>
                  </w:rPr>
                  <w:t>Appendix A   </w:t>
                </w:r>
                <w:r>
                  <w:rPr>
                    <w:rFonts w:ascii="Arial"/>
                    <w:color w:val="363434"/>
                    <w:spacing w:val="4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4"/>
                    <w:w w:val="105"/>
                    <w:sz w:val="17"/>
                  </w:rPr>
                  <w:t>For</w:t>
                </w:r>
                <w:r>
                  <w:rPr>
                    <w:rFonts w:ascii="Arial"/>
                    <w:color w:val="363434"/>
                    <w:spacing w:val="-14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4"/>
                    <w:w w:val="105"/>
                    <w:sz w:val="17"/>
                  </w:rPr>
                  <w:t>Reference:</w:t>
                </w:r>
                <w:r>
                  <w:rPr>
                    <w:rFonts w:ascii="Arial"/>
                    <w:color w:val="363434"/>
                    <w:spacing w:val="8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4"/>
                    <w:w w:val="105"/>
                    <w:sz w:val="17"/>
                  </w:rPr>
                  <w:t>Citation</w:t>
                </w:r>
                <w:r>
                  <w:rPr>
                    <w:rFonts w:ascii="Arial"/>
                    <w:color w:val="363434"/>
                    <w:spacing w:val="-14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4"/>
                    <w:w w:val="105"/>
                    <w:sz w:val="17"/>
                  </w:rPr>
                  <w:t>Form</w:t>
                </w:r>
                <w:r>
                  <w:rPr>
                    <w:rFonts w:ascii="Arial"/>
                    <w:color w:val="363434"/>
                    <w:spacing w:val="-7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4"/>
                    <w:w w:val="105"/>
                    <w:sz w:val="17"/>
                  </w:rPr>
                  <w:t>and</w:t>
                </w:r>
                <w:r>
                  <w:rPr>
                    <w:rFonts w:ascii="Arial"/>
                    <w:color w:val="363434"/>
                    <w:spacing w:val="-3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4"/>
                    <w:w w:val="105"/>
                    <w:sz w:val="17"/>
                  </w:rPr>
                  <w:t>Punctuation</w:t>
                </w:r>
                <w:r>
                  <w:rPr>
                    <w:rFonts w:ascii="Arial"/>
                    <w:color w:val="363434"/>
                    <w:spacing w:val="-7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4"/>
                    <w:w w:val="105"/>
                    <w:sz w:val="17"/>
                  </w:rPr>
                  <w:t>Information</w:t>
                </w:r>
              </w:p>
            </w:txbxContent>
          </v:textbox>
          <w10:wrap type="none"/>
        </v:shape>
      </w:pict>
    </w:r>
  </w:p>
</w:hdr>
</file>

<file path=word/header3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5.721191pt;margin-top:25.055901pt;width:18.9pt;height:12.65pt;mso-position-horizontal-relative:page;mso-position-vertical-relative:page;z-index:-21323264" type="#_x0000_t202" id="docshape604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color w:val="383436"/>
                    <w:w w:val="105"/>
                    <w:sz w:val="19"/>
                  </w:rPr>
                  <w:t>343</w:t>
                </w:r>
              </w:p>
            </w:txbxContent>
          </v:textbox>
          <w10:wrap type="none"/>
        </v:shape>
      </w:pict>
    </w:r>
  </w:p>
</w:hdr>
</file>

<file path=word/header3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0.09428pt;margin-top:24.752016pt;width:14.1pt;height:13.15pt;mso-position-horizontal-relative:page;mso-position-vertical-relative:page;z-index:-21322752" type="#_x0000_t202" id="docshape60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363434"/>
                    <w:w w:val="85"/>
                    <w:sz w:val="20"/>
                  </w:rPr>
                  <w:t>342</w:t>
                </w:r>
              </w:p>
            </w:txbxContent>
          </v:textbox>
          <w10:wrap type="none"/>
        </v:shape>
      </w:pict>
    </w:r>
    <w:r>
      <w:rPr/>
      <w:pict>
        <v:shape style="position:absolute;margin-left:96.924698pt;margin-top:25.972969pt;width:288.8pt;height:11.55pt;mso-position-horizontal-relative:page;mso-position-vertical-relative:page;z-index:-21322240" type="#_x0000_t202" id="docshape606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63434"/>
                    <w:w w:val="105"/>
                    <w:sz w:val="17"/>
                  </w:rPr>
                  <w:t>Appendix</w:t>
                </w:r>
                <w:r>
                  <w:rPr>
                    <w:rFonts w:ascii="Arial"/>
                    <w:color w:val="363434"/>
                    <w:spacing w:val="12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4"/>
                    <w:w w:val="105"/>
                    <w:sz w:val="17"/>
                  </w:rPr>
                  <w:t>A  </w:t>
                </w:r>
                <w:r>
                  <w:rPr>
                    <w:rFonts w:ascii="Arial"/>
                    <w:color w:val="363434"/>
                    <w:spacing w:val="38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4"/>
                    <w:w w:val="105"/>
                    <w:sz w:val="17"/>
                  </w:rPr>
                  <w:t>For</w:t>
                </w:r>
                <w:r>
                  <w:rPr>
                    <w:rFonts w:ascii="Arial"/>
                    <w:color w:val="363434"/>
                    <w:spacing w:val="-24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4"/>
                    <w:w w:val="105"/>
                    <w:sz w:val="17"/>
                  </w:rPr>
                  <w:t>Reference:</w:t>
                </w:r>
                <w:r>
                  <w:rPr>
                    <w:rFonts w:ascii="Arial"/>
                    <w:color w:val="363434"/>
                    <w:spacing w:val="6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4"/>
                    <w:w w:val="105"/>
                    <w:sz w:val="17"/>
                  </w:rPr>
                  <w:t>Citation</w:t>
                </w:r>
                <w:r>
                  <w:rPr>
                    <w:rFonts w:ascii="Arial"/>
                    <w:color w:val="363434"/>
                    <w:spacing w:val="-1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4"/>
                    <w:w w:val="105"/>
                    <w:sz w:val="17"/>
                  </w:rPr>
                  <w:t>Form</w:t>
                </w:r>
                <w:r>
                  <w:rPr>
                    <w:rFonts w:ascii="Arial"/>
                    <w:color w:val="363434"/>
                    <w:spacing w:val="-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4"/>
                    <w:w w:val="105"/>
                    <w:sz w:val="17"/>
                  </w:rPr>
                  <w:t>and</w:t>
                </w:r>
                <w:r>
                  <w:rPr>
                    <w:rFonts w:ascii="Arial"/>
                    <w:color w:val="363434"/>
                    <w:spacing w:val="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4"/>
                    <w:w w:val="105"/>
                    <w:sz w:val="17"/>
                  </w:rPr>
                  <w:t>Punctuation</w:t>
                </w:r>
                <w:r>
                  <w:rPr>
                    <w:rFonts w:ascii="Arial"/>
                    <w:color w:val="363434"/>
                    <w:spacing w:val="-8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63434"/>
                    <w:w w:val="105"/>
                    <w:sz w:val="17"/>
                  </w:rPr>
                  <w:t>Information</w:t>
                </w:r>
              </w:p>
            </w:txbxContent>
          </v:textbox>
          <w10:wrap type="none"/>
        </v:shape>
      </w:pict>
    </w:r>
  </w:p>
</w:hdr>
</file>

<file path=word/header3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7.157288pt;margin-top:26.991638pt;width:18.9pt;height:12.7pt;mso-position-horizontal-relative:page;mso-position-vertical-relative:page;z-index:-21321728" type="#_x0000_t202" id="docshape608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color w:val="363436"/>
                    <w:w w:val="105"/>
                    <w:sz w:val="19"/>
                  </w:rPr>
                  <w:t>343</w:t>
                </w:r>
              </w:p>
            </w:txbxContent>
          </v:textbox>
          <w10:wrap type="none"/>
        </v:shape>
      </w:pict>
    </w:r>
  </w:p>
</w:hdr>
</file>

<file path=word/header3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64.368156pt;margin-top:19.597469pt;width:20pt;height:15.85pt;mso-position-horizontal-relative:page;mso-position-vertical-relative:page;z-index:-21587456" type="#_x0000_t202" id="docshape51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color w:val="3B3A3B"/>
                    <w:w w:val="11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2.303101pt;margin-top:19.597469pt;width:242.85pt;height:12.6pt;mso-position-horizontal-relative:page;mso-position-vertical-relative:page;z-index:-21586944" type="#_x0000_t202" id="docshape5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B3A3B"/>
                    <w:sz w:val="19"/>
                  </w:rPr>
                  <w:t>Chapter</w:t>
                </w:r>
                <w:r>
                  <w:rPr>
                    <w:color w:val="3B3A3B"/>
                    <w:spacing w:val="-8"/>
                    <w:sz w:val="19"/>
                  </w:rPr>
                  <w:t> </w:t>
                </w:r>
                <w:r>
                  <w:rPr>
                    <w:color w:val="3B3A3B"/>
                    <w:sz w:val="19"/>
                  </w:rPr>
                  <w:t>Two</w:t>
                </w:r>
                <w:r>
                  <w:rPr>
                    <w:color w:val="3B3A3B"/>
                    <w:spacing w:val="59"/>
                    <w:sz w:val="19"/>
                  </w:rPr>
                  <w:t> </w:t>
                </w:r>
                <w:r>
                  <w:rPr>
                    <w:color w:val="3B3A3B"/>
                    <w:sz w:val="19"/>
                  </w:rPr>
                  <w:t>Appellate</w:t>
                </w:r>
                <w:r>
                  <w:rPr>
                    <w:color w:val="3B3A3B"/>
                    <w:spacing w:val="-7"/>
                    <w:sz w:val="19"/>
                  </w:rPr>
                  <w:t> </w:t>
                </w:r>
                <w:r>
                  <w:rPr>
                    <w:color w:val="3B3A3B"/>
                    <w:sz w:val="19"/>
                  </w:rPr>
                  <w:t>Jurisdiction</w:t>
                </w:r>
                <w:r>
                  <w:rPr>
                    <w:color w:val="3B3A3B"/>
                    <w:spacing w:val="16"/>
                    <w:sz w:val="19"/>
                  </w:rPr>
                  <w:t> </w:t>
                </w:r>
                <w:r>
                  <w:rPr>
                    <w:color w:val="3B3A3B"/>
                    <w:sz w:val="19"/>
                  </w:rPr>
                  <w:t>and</w:t>
                </w:r>
                <w:r>
                  <w:rPr>
                    <w:color w:val="3B3A3B"/>
                    <w:spacing w:val="-8"/>
                    <w:sz w:val="19"/>
                  </w:rPr>
                  <w:t> </w:t>
                </w:r>
                <w:r>
                  <w:rPr>
                    <w:color w:val="3B3A3B"/>
                    <w:sz w:val="19"/>
                  </w:rPr>
                  <w:t>Standards</w:t>
                </w:r>
                <w:r>
                  <w:rPr>
                    <w:color w:val="3B3A3B"/>
                    <w:spacing w:val="-8"/>
                    <w:sz w:val="19"/>
                  </w:rPr>
                  <w:t> </w:t>
                </w:r>
                <w:r>
                  <w:rPr>
                    <w:color w:val="3B3A3B"/>
                    <w:sz w:val="19"/>
                  </w:rPr>
                  <w:t>of</w:t>
                </w:r>
                <w:r>
                  <w:rPr>
                    <w:color w:val="3B3A3B"/>
                    <w:spacing w:val="16"/>
                    <w:sz w:val="19"/>
                  </w:rPr>
                  <w:t> </w:t>
                </w:r>
                <w:r>
                  <w:rPr>
                    <w:color w:val="3B3A3B"/>
                    <w:sz w:val="19"/>
                  </w:rPr>
                  <w:t>Review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9.113586pt;margin-top:25.978691pt;width:17.5pt;height:12.1pt;mso-position-horizontal-relative:page;mso-position-vertical-relative:page;z-index:-21586432" type="#_x0000_t202" id="docshape53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638"/>
                    <w:w w:val="10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69.213715pt;margin-top:26.55341pt;width:137.550pt;height:11.45pt;mso-position-horizontal-relative:page;mso-position-vertical-relative:page;z-index:-21585920" type="#_x0000_t202" id="docshape54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7"/>
                  </w:rPr>
                </w:pPr>
                <w:r>
                  <w:rPr>
                    <w:color w:val="383638"/>
                    <w:w w:val="110"/>
                    <w:sz w:val="17"/>
                  </w:rPr>
                  <w:t>2.3 </w:t>
                </w:r>
                <w:r>
                  <w:rPr>
                    <w:color w:val="383638"/>
                    <w:spacing w:val="18"/>
                    <w:w w:val="110"/>
                    <w:sz w:val="17"/>
                  </w:rPr>
                  <w:t> </w:t>
                </w:r>
                <w:r>
                  <w:rPr>
                    <w:color w:val="383638"/>
                    <w:w w:val="110"/>
                    <w:sz w:val="17"/>
                  </w:rPr>
                  <w:t>Appellate</w:t>
                </w:r>
                <w:r>
                  <w:rPr>
                    <w:color w:val="383638"/>
                    <w:spacing w:val="-4"/>
                    <w:w w:val="110"/>
                    <w:sz w:val="17"/>
                  </w:rPr>
                  <w:t> </w:t>
                </w:r>
                <w:r>
                  <w:rPr>
                    <w:color w:val="383638"/>
                    <w:w w:val="110"/>
                    <w:sz w:val="17"/>
                  </w:rPr>
                  <w:t>Standards</w:t>
                </w:r>
                <w:r>
                  <w:rPr>
                    <w:color w:val="383638"/>
                    <w:spacing w:val="-9"/>
                    <w:w w:val="110"/>
                    <w:sz w:val="17"/>
                  </w:rPr>
                  <w:t> </w:t>
                </w:r>
                <w:r>
                  <w:rPr>
                    <w:color w:val="383638"/>
                    <w:w w:val="110"/>
                    <w:sz w:val="17"/>
                  </w:rPr>
                  <w:t>of</w:t>
                </w:r>
                <w:r>
                  <w:rPr>
                    <w:color w:val="383638"/>
                    <w:spacing w:val="22"/>
                    <w:w w:val="110"/>
                    <w:sz w:val="17"/>
                  </w:rPr>
                  <w:t> </w:t>
                </w:r>
                <w:r>
                  <w:rPr>
                    <w:color w:val="383638"/>
                    <w:w w:val="110"/>
                    <w:sz w:val="17"/>
                  </w:rPr>
                  <w:t>Review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5.44339pt;margin-top:26.668465pt;width:17.05pt;height:13.15pt;mso-position-horizontal-relative:page;mso-position-vertical-relative:page;z-index:-21585408" type="#_x0000_t202" id="docshape55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63436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42.456497pt;margin-top:27.888952pt;width:261.1500pt;height:11.55pt;mso-position-horizontal-relative:page;mso-position-vertical-relative:page;z-index:-21584896" type="#_x0000_t202" id="docshape56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63436"/>
                    <w:sz w:val="17"/>
                  </w:rPr>
                  <w:t>2.4</w:t>
                </w:r>
                <w:r>
                  <w:rPr>
                    <w:rFonts w:ascii="Arial"/>
                    <w:color w:val="363436"/>
                    <w:spacing w:val="90"/>
                    <w:sz w:val="17"/>
                  </w:rPr>
                  <w:t> </w:t>
                </w:r>
                <w:r>
                  <w:rPr>
                    <w:rFonts w:ascii="Arial"/>
                    <w:color w:val="444444"/>
                    <w:sz w:val="17"/>
                  </w:rPr>
                  <w:t>"Pleading</w:t>
                </w:r>
                <w:r>
                  <w:rPr>
                    <w:rFonts w:ascii="Arial"/>
                    <w:color w:val="444444"/>
                    <w:spacing w:val="8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sz w:val="17"/>
                  </w:rPr>
                  <w:t>Standards"</w:t>
                </w:r>
                <w:r>
                  <w:rPr>
                    <w:rFonts w:ascii="Arial"/>
                    <w:color w:val="363436"/>
                    <w:spacing w:val="11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sz w:val="17"/>
                  </w:rPr>
                  <w:t>or</w:t>
                </w:r>
                <w:r>
                  <w:rPr>
                    <w:rFonts w:ascii="Arial"/>
                    <w:color w:val="363436"/>
                    <w:spacing w:val="34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sz w:val="17"/>
                  </w:rPr>
                  <w:t>Standards</w:t>
                </w:r>
                <w:r>
                  <w:rPr>
                    <w:rFonts w:ascii="Arial"/>
                    <w:color w:val="363436"/>
                    <w:spacing w:val="-9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sz w:val="17"/>
                  </w:rPr>
                  <w:t>of</w:t>
                </w:r>
                <w:r>
                  <w:rPr>
                    <w:rFonts w:ascii="Arial"/>
                    <w:color w:val="363436"/>
                    <w:spacing w:val="28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sz w:val="17"/>
                  </w:rPr>
                  <w:t>Review</w:t>
                </w:r>
                <w:r>
                  <w:rPr>
                    <w:rFonts w:ascii="Arial"/>
                    <w:color w:val="363436"/>
                    <w:spacing w:val="12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sz w:val="17"/>
                  </w:rPr>
                  <w:t>in</w:t>
                </w:r>
                <w:r>
                  <w:rPr>
                    <w:rFonts w:ascii="Arial"/>
                    <w:color w:val="363436"/>
                    <w:spacing w:val="29"/>
                    <w:sz w:val="17"/>
                  </w:rPr>
                  <w:t> </w:t>
                </w:r>
                <w:r>
                  <w:rPr>
                    <w:rFonts w:ascii="Arial"/>
                    <w:color w:val="363436"/>
                    <w:sz w:val="17"/>
                  </w:rPr>
                  <w:t>Motion Briefs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134338pt;margin-top:20.371010pt;width:17.7pt;height:12.6pt;mso-position-horizontal-relative:page;mso-position-vertical-relative:page;z-index:-21584384" type="#_x0000_t202" id="docshape57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D3B3B"/>
                    <w:w w:val="11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7.102203pt;margin-top:20.818054pt;width:242.2pt;height:12pt;mso-position-horizontal-relative:page;mso-position-vertical-relative:page;z-index:-21583872" type="#_x0000_t202" id="docshape58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D3B3B"/>
                    <w:w w:val="105"/>
                    <w:sz w:val="18"/>
                  </w:rPr>
                  <w:t>Chapter</w:t>
                </w:r>
                <w:r>
                  <w:rPr>
                    <w:color w:val="3D3B3B"/>
                    <w:spacing w:val="-3"/>
                    <w:w w:val="105"/>
                    <w:sz w:val="18"/>
                  </w:rPr>
                  <w:t> </w:t>
                </w:r>
                <w:r>
                  <w:rPr>
                    <w:color w:val="2D2A2A"/>
                    <w:w w:val="105"/>
                    <w:sz w:val="18"/>
                  </w:rPr>
                  <w:t>Two </w:t>
                </w:r>
                <w:r>
                  <w:rPr>
                    <w:color w:val="2D2A2A"/>
                    <w:spacing w:val="2"/>
                    <w:w w:val="105"/>
                    <w:sz w:val="18"/>
                  </w:rPr>
                  <w:t> </w:t>
                </w:r>
                <w:r>
                  <w:rPr>
                    <w:color w:val="3D3B3B"/>
                    <w:w w:val="105"/>
                    <w:sz w:val="18"/>
                  </w:rPr>
                  <w:t>Appellate</w:t>
                </w:r>
                <w:r>
                  <w:rPr>
                    <w:color w:val="3D3B3B"/>
                    <w:spacing w:val="-7"/>
                    <w:w w:val="105"/>
                    <w:sz w:val="18"/>
                  </w:rPr>
                  <w:t> </w:t>
                </w:r>
                <w:r>
                  <w:rPr>
                    <w:color w:val="3D3B3B"/>
                    <w:w w:val="105"/>
                    <w:sz w:val="18"/>
                  </w:rPr>
                  <w:t>Jurisdiction</w:t>
                </w:r>
                <w:r>
                  <w:rPr>
                    <w:color w:val="3D3B3B"/>
                    <w:spacing w:val="3"/>
                    <w:w w:val="105"/>
                    <w:sz w:val="18"/>
                  </w:rPr>
                  <w:t> </w:t>
                </w:r>
                <w:r>
                  <w:rPr>
                    <w:color w:val="3D3B3B"/>
                    <w:w w:val="105"/>
                    <w:sz w:val="18"/>
                  </w:rPr>
                  <w:t>and</w:t>
                </w:r>
                <w:r>
                  <w:rPr>
                    <w:color w:val="3D3B3B"/>
                    <w:spacing w:val="33"/>
                    <w:w w:val="105"/>
                    <w:sz w:val="18"/>
                  </w:rPr>
                  <w:t> </w:t>
                </w:r>
                <w:r>
                  <w:rPr>
                    <w:color w:val="3D3B3B"/>
                    <w:w w:val="105"/>
                    <w:sz w:val="18"/>
                  </w:rPr>
                  <w:t>Standards</w:t>
                </w:r>
                <w:r>
                  <w:rPr>
                    <w:color w:val="3D3B3B"/>
                    <w:spacing w:val="-9"/>
                    <w:w w:val="105"/>
                    <w:sz w:val="18"/>
                  </w:rPr>
                  <w:t> </w:t>
                </w:r>
                <w:r>
                  <w:rPr>
                    <w:color w:val="3D3B3B"/>
                    <w:w w:val="105"/>
                    <w:sz w:val="18"/>
                  </w:rPr>
                  <w:t>of</w:t>
                </w:r>
                <w:r>
                  <w:rPr>
                    <w:color w:val="3D3B3B"/>
                    <w:spacing w:val="6"/>
                    <w:w w:val="105"/>
                    <w:sz w:val="18"/>
                  </w:rPr>
                  <w:t> </w:t>
                </w:r>
                <w:r>
                  <w:rPr>
                    <w:color w:val="3D3B3B"/>
                    <w:w w:val="105"/>
                    <w:sz w:val="18"/>
                  </w:rPr>
                  <w:t>Review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34.171295pt;margin-top:20.885405pt;width:17.75pt;height:13.15pt;mso-position-horizontal-relative:page;mso-position-vertical-relative:page;z-index:-21607936" type="#_x0000_t202" id="docshape6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F2D2D"/>
                    <w:w w:val="110"/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72.891907pt;margin-top:21.297911pt;width:38.25pt;height:12pt;mso-position-horizontal-relative:page;mso-position-vertical-relative:page;z-index:-21607424" type="#_x0000_t202" id="docshape7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423F41"/>
                    <w:w w:val="115"/>
                    <w:sz w:val="18"/>
                  </w:rPr>
                  <w:t>Contents</w:t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170692pt;margin-top:22.336855pt;width:18.1pt;height:13.15pt;mso-position-horizontal-relative:page;mso-position-vertical-relative:page;z-index:-21583360" type="#_x0000_t202" id="docshape59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B383B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6.694496pt;margin-top:23.231129pt;width:241.4pt;height:12.05pt;mso-position-horizontal-relative:page;mso-position-vertical-relative:page;z-index:-21582848" type="#_x0000_t202" id="docshape60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B383B"/>
                    <w:w w:val="105"/>
                    <w:sz w:val="18"/>
                  </w:rPr>
                  <w:t>Chapter</w:t>
                </w:r>
                <w:r>
                  <w:rPr>
                    <w:color w:val="3B383B"/>
                    <w:spacing w:val="-12"/>
                    <w:w w:val="105"/>
                    <w:sz w:val="18"/>
                  </w:rPr>
                  <w:t> </w:t>
                </w:r>
                <w:r>
                  <w:rPr>
                    <w:color w:val="3B383B"/>
                    <w:w w:val="105"/>
                    <w:sz w:val="18"/>
                  </w:rPr>
                  <w:t>Two </w:t>
                </w:r>
                <w:r>
                  <w:rPr>
                    <w:color w:val="3B383B"/>
                    <w:spacing w:val="1"/>
                    <w:w w:val="105"/>
                    <w:sz w:val="18"/>
                  </w:rPr>
                  <w:t> </w:t>
                </w:r>
                <w:r>
                  <w:rPr>
                    <w:color w:val="3B383B"/>
                    <w:w w:val="105"/>
                    <w:sz w:val="18"/>
                  </w:rPr>
                  <w:t>Appellate</w:t>
                </w:r>
                <w:r>
                  <w:rPr>
                    <w:color w:val="3B383B"/>
                    <w:spacing w:val="-9"/>
                    <w:w w:val="105"/>
                    <w:sz w:val="18"/>
                  </w:rPr>
                  <w:t> </w:t>
                </w:r>
                <w:r>
                  <w:rPr>
                    <w:color w:val="3B383B"/>
                    <w:w w:val="105"/>
                    <w:sz w:val="18"/>
                  </w:rPr>
                  <w:t>Jurisd</w:t>
                </w:r>
                <w:r>
                  <w:rPr>
                    <w:color w:val="5B595B"/>
                    <w:w w:val="105"/>
                    <w:sz w:val="18"/>
                  </w:rPr>
                  <w:t>i</w:t>
                </w:r>
                <w:r>
                  <w:rPr>
                    <w:color w:val="3B383B"/>
                    <w:w w:val="105"/>
                    <w:sz w:val="18"/>
                  </w:rPr>
                  <w:t>ction</w:t>
                </w:r>
                <w:r>
                  <w:rPr>
                    <w:color w:val="3B383B"/>
                    <w:spacing w:val="8"/>
                    <w:w w:val="105"/>
                    <w:sz w:val="18"/>
                  </w:rPr>
                  <w:t> </w:t>
                </w:r>
                <w:r>
                  <w:rPr>
                    <w:color w:val="3B383B"/>
                    <w:w w:val="105"/>
                    <w:sz w:val="18"/>
                  </w:rPr>
                  <w:t>and</w:t>
                </w:r>
                <w:r>
                  <w:rPr>
                    <w:color w:val="3B383B"/>
                    <w:spacing w:val="35"/>
                    <w:w w:val="105"/>
                    <w:sz w:val="18"/>
                  </w:rPr>
                  <w:t> </w:t>
                </w:r>
                <w:r>
                  <w:rPr>
                    <w:color w:val="3B383B"/>
                    <w:w w:val="105"/>
                    <w:sz w:val="18"/>
                  </w:rPr>
                  <w:t>Standards</w:t>
                </w:r>
                <w:r>
                  <w:rPr>
                    <w:color w:val="3B383B"/>
                    <w:spacing w:val="-10"/>
                    <w:w w:val="105"/>
                    <w:sz w:val="18"/>
                  </w:rPr>
                  <w:t> </w:t>
                </w:r>
                <w:r>
                  <w:rPr>
                    <w:color w:val="3B383B"/>
                    <w:w w:val="105"/>
                    <w:sz w:val="18"/>
                  </w:rPr>
                  <w:t>of</w:t>
                </w:r>
                <w:r>
                  <w:rPr>
                    <w:color w:val="3B383B"/>
                    <w:spacing w:val="6"/>
                    <w:w w:val="105"/>
                    <w:sz w:val="18"/>
                  </w:rPr>
                  <w:t> </w:t>
                </w:r>
                <w:r>
                  <w:rPr>
                    <w:color w:val="3B383B"/>
                    <w:w w:val="105"/>
                    <w:sz w:val="18"/>
                  </w:rPr>
                  <w:t>Review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6.874207pt;margin-top:18.791903pt;width:18.6pt;height:12.65pt;mso-position-horizontal-relative:page;mso-position-vertical-relative:page;z-index:-21582336" type="#_x0000_t202" id="docshape6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B383B"/>
                    <w:w w:val="11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43.949097pt;margin-top:19.373938pt;width:260.95pt;height:12pt;mso-position-horizontal-relative:page;mso-position-vertical-relative:page;z-index:-21581824" type="#_x0000_t202" id="docshape6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B383B"/>
                    <w:w w:val="105"/>
                    <w:sz w:val="18"/>
                  </w:rPr>
                  <w:t>2.4</w:t>
                </w:r>
                <w:r>
                  <w:rPr>
                    <w:color w:val="3B383B"/>
                    <w:spacing w:val="11"/>
                    <w:w w:val="105"/>
                    <w:sz w:val="18"/>
                  </w:rPr>
                  <w:t> </w:t>
                </w:r>
                <w:r>
                  <w:rPr>
                    <w:color w:val="3B383B"/>
                    <w:w w:val="105"/>
                    <w:sz w:val="18"/>
                  </w:rPr>
                  <w:t>"Pleading</w:t>
                </w:r>
                <w:r>
                  <w:rPr>
                    <w:color w:val="3B383B"/>
                    <w:spacing w:val="-2"/>
                    <w:w w:val="105"/>
                    <w:sz w:val="18"/>
                  </w:rPr>
                  <w:t> </w:t>
                </w:r>
                <w:r>
                  <w:rPr>
                    <w:color w:val="3B383B"/>
                    <w:w w:val="105"/>
                    <w:sz w:val="18"/>
                  </w:rPr>
                  <w:t>Standards"</w:t>
                </w:r>
                <w:r>
                  <w:rPr>
                    <w:color w:val="3B383B"/>
                    <w:spacing w:val="-6"/>
                    <w:w w:val="105"/>
                    <w:sz w:val="18"/>
                  </w:rPr>
                  <w:t> </w:t>
                </w:r>
                <w:r>
                  <w:rPr>
                    <w:color w:val="3B383B"/>
                    <w:w w:val="105"/>
                    <w:sz w:val="18"/>
                  </w:rPr>
                  <w:t>or</w:t>
                </w:r>
                <w:r>
                  <w:rPr>
                    <w:color w:val="3B383B"/>
                    <w:spacing w:val="3"/>
                    <w:w w:val="105"/>
                    <w:sz w:val="18"/>
                  </w:rPr>
                  <w:t> </w:t>
                </w:r>
                <w:r>
                  <w:rPr>
                    <w:color w:val="3B383B"/>
                    <w:w w:val="105"/>
                    <w:sz w:val="18"/>
                  </w:rPr>
                  <w:t>Standards</w:t>
                </w:r>
                <w:r>
                  <w:rPr>
                    <w:color w:val="3B383B"/>
                    <w:spacing w:val="-5"/>
                    <w:w w:val="105"/>
                    <w:sz w:val="18"/>
                  </w:rPr>
                  <w:t> </w:t>
                </w:r>
                <w:r>
                  <w:rPr>
                    <w:color w:val="3B383B"/>
                    <w:w w:val="105"/>
                    <w:sz w:val="18"/>
                  </w:rPr>
                  <w:t>of</w:t>
                </w:r>
                <w:r>
                  <w:rPr>
                    <w:color w:val="3B383B"/>
                    <w:spacing w:val="22"/>
                    <w:w w:val="105"/>
                    <w:sz w:val="18"/>
                  </w:rPr>
                  <w:t> </w:t>
                </w:r>
                <w:r>
                  <w:rPr>
                    <w:color w:val="3B383B"/>
                    <w:w w:val="105"/>
                    <w:sz w:val="18"/>
                  </w:rPr>
                  <w:t>Review</w:t>
                </w:r>
                <w:r>
                  <w:rPr>
                    <w:color w:val="3B383B"/>
                    <w:spacing w:val="1"/>
                    <w:w w:val="105"/>
                    <w:sz w:val="18"/>
                  </w:rPr>
                  <w:t> </w:t>
                </w:r>
                <w:r>
                  <w:rPr>
                    <w:color w:val="3B383B"/>
                    <w:w w:val="105"/>
                    <w:sz w:val="18"/>
                  </w:rPr>
                  <w:t>in</w:t>
                </w:r>
                <w:r>
                  <w:rPr>
                    <w:color w:val="3B383B"/>
                    <w:spacing w:val="23"/>
                    <w:w w:val="105"/>
                    <w:sz w:val="18"/>
                  </w:rPr>
                  <w:t> </w:t>
                </w:r>
                <w:r>
                  <w:rPr>
                    <w:color w:val="3B383B"/>
                    <w:w w:val="105"/>
                    <w:sz w:val="18"/>
                  </w:rPr>
                  <w:t>Motion</w:t>
                </w:r>
                <w:r>
                  <w:rPr>
                    <w:color w:val="3B383B"/>
                    <w:spacing w:val="12"/>
                    <w:w w:val="105"/>
                    <w:sz w:val="18"/>
                  </w:rPr>
                  <w:t> </w:t>
                </w:r>
                <w:r>
                  <w:rPr>
                    <w:color w:val="3B383B"/>
                    <w:w w:val="105"/>
                    <w:sz w:val="18"/>
                  </w:rPr>
                  <w:t>Briefs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2043pt;margin-top:21.301847pt;width:18.4pt;height:12.05pt;mso-position-horizontal-relative:page;mso-position-vertical-relative:page;z-index:-21581312" type="#_x0000_t202" id="docshape63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3B383A"/>
                    <w:w w:val="12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6.6856pt;margin-top:21.173971pt;width:241.25pt;height:12.15pt;mso-position-horizontal-relative:page;mso-position-vertical-relative:page;z-index:-21580800" type="#_x0000_t202" id="docshape64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color w:val="3B383A"/>
                    <w:sz w:val="18"/>
                  </w:rPr>
                  <w:t>Q1apter</w:t>
                </w:r>
                <w:r>
                  <w:rPr>
                    <w:color w:val="3B383A"/>
                    <w:spacing w:val="-15"/>
                    <w:sz w:val="18"/>
                  </w:rPr>
                  <w:t> </w:t>
                </w:r>
                <w:r>
                  <w:rPr>
                    <w:color w:val="4D4B4D"/>
                    <w:sz w:val="18"/>
                  </w:rPr>
                  <w:t>Two  </w:t>
                </w:r>
                <w:r>
                  <w:rPr>
                    <w:color w:val="4D4B4D"/>
                    <w:spacing w:val="7"/>
                    <w:sz w:val="18"/>
                  </w:rPr>
                  <w:t> </w:t>
                </w:r>
                <w:r>
                  <w:rPr>
                    <w:color w:val="3B383A"/>
                    <w:sz w:val="18"/>
                  </w:rPr>
                  <w:t>Appellate</w:t>
                </w:r>
                <w:r>
                  <w:rPr>
                    <w:color w:val="3B383A"/>
                    <w:spacing w:val="11"/>
                    <w:sz w:val="18"/>
                  </w:rPr>
                  <w:t> </w:t>
                </w:r>
                <w:r>
                  <w:rPr>
                    <w:color w:val="3B383A"/>
                    <w:sz w:val="18"/>
                  </w:rPr>
                  <w:t>Jurisdiction</w:t>
                </w:r>
                <w:r>
                  <w:rPr>
                    <w:color w:val="3B383A"/>
                    <w:spacing w:val="9"/>
                    <w:sz w:val="18"/>
                  </w:rPr>
                  <w:t> </w:t>
                </w:r>
                <w:r>
                  <w:rPr>
                    <w:color w:val="3B383A"/>
                    <w:sz w:val="18"/>
                  </w:rPr>
                  <w:t>and</w:t>
                </w:r>
                <w:r>
                  <w:rPr>
                    <w:color w:val="3B383A"/>
                    <w:spacing w:val="57"/>
                    <w:sz w:val="18"/>
                  </w:rPr>
                  <w:t> </w:t>
                </w:r>
                <w:r>
                  <w:rPr>
                    <w:color w:val="3B383A"/>
                    <w:sz w:val="18"/>
                  </w:rPr>
                  <w:t>Standards</w:t>
                </w:r>
                <w:r>
                  <w:rPr>
                    <w:color w:val="3B383A"/>
                    <w:spacing w:val="5"/>
                    <w:sz w:val="18"/>
                  </w:rPr>
                  <w:t> </w:t>
                </w:r>
                <w:r>
                  <w:rPr>
                    <w:color w:val="3B383A"/>
                    <w:sz w:val="18"/>
                  </w:rPr>
                  <w:t>of</w:t>
                </w:r>
                <w:r>
                  <w:rPr>
                    <w:color w:val="3B383A"/>
                    <w:spacing w:val="13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3B383A"/>
                    <w:sz w:val="18"/>
                  </w:rPr>
                  <w:t>Review</w:t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639664pt;margin-top:16.064079pt;width:13.7pt;height:13.15pt;mso-position-horizontal-relative:page;mso-position-vertical-relative:page;z-index:-21580288" type="#_x0000_t202" id="docshape6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3A3838"/>
                    <w:w w:val="115"/>
                    <w:sz w:val="20"/>
                  </w:rPr>
                  <w:t>30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461098pt;margin-top:17.283976pt;width:242.1pt;height:11.55pt;mso-position-horizontal-relative:page;mso-position-vertical-relative:page;z-index:-21579776" type="#_x0000_t202" id="docshape66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A3838"/>
                    <w:sz w:val="17"/>
                  </w:rPr>
                  <w:t>Chapter</w:t>
                </w:r>
                <w:r>
                  <w:rPr>
                    <w:rFonts w:ascii="Arial"/>
                    <w:color w:val="3A3838"/>
                    <w:spacing w:val="7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Two  </w:t>
                </w:r>
                <w:r>
                  <w:rPr>
                    <w:rFonts w:ascii="Arial"/>
                    <w:color w:val="3A3838"/>
                    <w:spacing w:val="38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Appellate</w:t>
                </w:r>
                <w:r>
                  <w:rPr>
                    <w:rFonts w:ascii="Arial"/>
                    <w:color w:val="3A3838"/>
                    <w:spacing w:val="-13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Jurisdiction</w:t>
                </w:r>
                <w:r>
                  <w:rPr>
                    <w:rFonts w:ascii="Arial"/>
                    <w:color w:val="3A3838"/>
                    <w:spacing w:val="3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and</w:t>
                </w:r>
                <w:r>
                  <w:rPr>
                    <w:rFonts w:ascii="Arial"/>
                    <w:color w:val="3A3838"/>
                    <w:spacing w:val="27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Standards</w:t>
                </w:r>
                <w:r>
                  <w:rPr>
                    <w:rFonts w:ascii="Arial"/>
                    <w:color w:val="3A3838"/>
                    <w:spacing w:val="5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of</w:t>
                </w:r>
                <w:r>
                  <w:rPr>
                    <w:rFonts w:ascii="Arial"/>
                    <w:color w:val="3A3838"/>
                    <w:spacing w:val="24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z w:val="17"/>
                  </w:rPr>
                  <w:t>Review</w:t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5"/>
      </w:rPr>
    </w:pPr>
    <w:r>
      <w:rPr/>
      <w:pict>
        <v:shape style="position:absolute;margin-left:426.507813pt;margin-top:17.105213pt;width:17.6pt;height:16.3pt;mso-position-horizontal-relative:page;mso-position-vertical-relative:page;z-index:-21579264" type="#_x0000_t202" id="docshape67" filled="false" stroked="false">
          <v:textbox inset="0,0,0,0">
            <w:txbxContent>
              <w:p>
                <w:pPr>
                  <w:spacing w:before="12"/>
                  <w:ind w:left="36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383638"/>
                    <w:w w:val="105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306.790192pt;margin-top:17.999332pt;width:96.05pt;height:12pt;mso-position-horizontal-relative:page;mso-position-vertical-relative:page;z-index:-21578752" type="#_x0000_t202" id="docshape68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83638"/>
                    <w:w w:val="105"/>
                    <w:sz w:val="18"/>
                  </w:rPr>
                  <w:t>2.5</w:t>
                </w:r>
                <w:r>
                  <w:rPr>
                    <w:color w:val="383638"/>
                    <w:spacing w:val="42"/>
                    <w:w w:val="105"/>
                    <w:sz w:val="18"/>
                  </w:rPr>
                  <w:t> </w:t>
                </w:r>
                <w:r>
                  <w:rPr>
                    <w:color w:val="383638"/>
                    <w:w w:val="105"/>
                    <w:sz w:val="18"/>
                  </w:rPr>
                  <w:t>Avoiding</w:t>
                </w:r>
                <w:r>
                  <w:rPr>
                    <w:color w:val="383638"/>
                    <w:spacing w:val="-4"/>
                    <w:w w:val="105"/>
                    <w:sz w:val="18"/>
                  </w:rPr>
                  <w:t> </w:t>
                </w:r>
                <w:r>
                  <w:rPr>
                    <w:color w:val="383638"/>
                    <w:w w:val="105"/>
                    <w:sz w:val="18"/>
                  </w:rPr>
                  <w:t>Confusion</w:t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.011841pt;margin-top:17.45063pt;width:11.7pt;height:12.05pt;mso-position-horizontal-relative:page;mso-position-vertical-relative:page;z-index:-21578240" type="#_x0000_t202" id="docshape69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F3D3D"/>
                    <w:w w:val="110"/>
                    <w:sz w:val="18"/>
                  </w:rPr>
                  <w:t>32</w:t>
                </w:r>
              </w:p>
            </w:txbxContent>
          </v:textbox>
          <w10:wrap type="none"/>
        </v:shape>
      </w:pict>
    </w:r>
    <w:r>
      <w:rPr/>
      <w:pict>
        <v:shape style="position:absolute;margin-left:107.172501pt;margin-top:17.322737pt;width:237.45pt;height:12.15pt;mso-position-horizontal-relative:page;mso-position-vertical-relative:page;z-index:-21577728" type="#_x0000_t202" id="docshape70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color w:val="3F3D3D"/>
                    <w:sz w:val="18"/>
                  </w:rPr>
                  <w:t>Chapter</w:t>
                </w:r>
                <w:r>
                  <w:rPr>
                    <w:color w:val="3F3D3D"/>
                    <w:spacing w:val="-8"/>
                    <w:sz w:val="18"/>
                  </w:rPr>
                  <w:t> </w:t>
                </w:r>
                <w:r>
                  <w:rPr>
                    <w:color w:val="3F3D3D"/>
                    <w:sz w:val="18"/>
                  </w:rPr>
                  <w:t>Two</w:t>
                </w:r>
                <w:r>
                  <w:rPr>
                    <w:color w:val="3F3D3D"/>
                    <w:spacing w:val="77"/>
                    <w:sz w:val="18"/>
                  </w:rPr>
                  <w:t> </w:t>
                </w:r>
                <w:r>
                  <w:rPr>
                    <w:color w:val="3F3D3D"/>
                    <w:sz w:val="18"/>
                  </w:rPr>
                  <w:t>Appellate</w:t>
                </w:r>
                <w:r>
                  <w:rPr>
                    <w:color w:val="3F3D3D"/>
                    <w:spacing w:val="24"/>
                    <w:sz w:val="18"/>
                  </w:rPr>
                  <w:t> </w:t>
                </w:r>
                <w:r>
                  <w:rPr>
                    <w:color w:val="3F3D3D"/>
                    <w:sz w:val="18"/>
                  </w:rPr>
                  <w:t>jurisdiction</w:t>
                </w:r>
                <w:r>
                  <w:rPr>
                    <w:color w:val="3F3D3D"/>
                    <w:spacing w:val="6"/>
                    <w:sz w:val="18"/>
                  </w:rPr>
                  <w:t> </w:t>
                </w:r>
                <w:r>
                  <w:rPr>
                    <w:color w:val="3F3D3D"/>
                    <w:sz w:val="18"/>
                  </w:rPr>
                  <w:t>and</w:t>
                </w:r>
                <w:r>
                  <w:rPr>
                    <w:color w:val="3F3D3D"/>
                    <w:spacing w:val="40"/>
                    <w:sz w:val="18"/>
                  </w:rPr>
                  <w:t> </w:t>
                </w:r>
                <w:r>
                  <w:rPr>
                    <w:color w:val="3F3D3D"/>
                    <w:sz w:val="18"/>
                  </w:rPr>
                  <w:t>Standards</w:t>
                </w:r>
                <w:r>
                  <w:rPr>
                    <w:color w:val="3F3D3D"/>
                    <w:spacing w:val="-4"/>
                    <w:sz w:val="18"/>
                  </w:rPr>
                  <w:t> </w:t>
                </w:r>
                <w:r>
                  <w:rPr>
                    <w:color w:val="3F3D3D"/>
                    <w:sz w:val="18"/>
                  </w:rPr>
                  <w:t>of</w:t>
                </w:r>
                <w:r>
                  <w:rPr>
                    <w:color w:val="3F3D3D"/>
                    <w:spacing w:val="6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3F3D3D"/>
                    <w:sz w:val="18"/>
                  </w:rPr>
                  <w:t>Review</w:t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5.312286pt;margin-top:17.998219pt;width:17.75pt;height:13.15pt;mso-position-horizontal-relative:page;mso-position-vertical-relative:page;z-index:-21577216" type="#_x0000_t202" id="docshape71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383638"/>
                    <w:w w:val="105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306.790192pt;margin-top:18.892338pt;width:96.05pt;height:12pt;mso-position-horizontal-relative:page;mso-position-vertical-relative:page;z-index:-21576704" type="#_x0000_t202" id="docshape7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83638"/>
                    <w:w w:val="105"/>
                    <w:sz w:val="18"/>
                  </w:rPr>
                  <w:t>2.5</w:t>
                </w:r>
                <w:r>
                  <w:rPr>
                    <w:color w:val="383638"/>
                    <w:spacing w:val="42"/>
                    <w:w w:val="105"/>
                    <w:sz w:val="18"/>
                  </w:rPr>
                  <w:t> </w:t>
                </w:r>
                <w:r>
                  <w:rPr>
                    <w:color w:val="383638"/>
                    <w:w w:val="105"/>
                    <w:sz w:val="18"/>
                  </w:rPr>
                  <w:t>Avoiding</w:t>
                </w:r>
                <w:r>
                  <w:rPr>
                    <w:color w:val="383638"/>
                    <w:spacing w:val="-4"/>
                    <w:w w:val="105"/>
                    <w:sz w:val="18"/>
                  </w:rPr>
                  <w:t> </w:t>
                </w:r>
                <w:r>
                  <w:rPr>
                    <w:color w:val="383638"/>
                    <w:w w:val="105"/>
                    <w:sz w:val="18"/>
                  </w:rPr>
                  <w:t>Confusion</w:t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.196823pt;margin-top:14.912043pt;width:11.75pt;height:12.1pt;mso-position-horizontal-relative:page;mso-position-vertical-relative:page;z-index:-21576192" type="#_x0000_t202" id="docshape73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383638"/>
                    <w:sz w:val="18"/>
                  </w:rPr>
                  <w:t>34</w:t>
                </w:r>
              </w:p>
            </w:txbxContent>
          </v:textbox>
          <w10:wrap type="none"/>
        </v:shape>
      </w:pict>
    </w:r>
    <w:r>
      <w:rPr/>
      <w:pict>
        <v:shape style="position:absolute;margin-left:115.2323pt;margin-top:15.366239pt;width:239.2pt;height:11.55pt;mso-position-horizontal-relative:page;mso-position-vertical-relative:page;z-index:-21575680" type="#_x0000_t202" id="docshape74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8"/>
                    <w:sz w:val="17"/>
                  </w:rPr>
                  <w:t>Chapter</w:t>
                </w:r>
                <w:r>
                  <w:rPr>
                    <w:rFonts w:ascii="Arial"/>
                    <w:color w:val="383638"/>
                    <w:spacing w:val="-1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Two  </w:t>
                </w:r>
                <w:r>
                  <w:rPr>
                    <w:rFonts w:ascii="Arial"/>
                    <w:color w:val="383638"/>
                    <w:spacing w:val="3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Appellate</w:t>
                </w:r>
                <w:r>
                  <w:rPr>
                    <w:rFonts w:ascii="Arial"/>
                    <w:color w:val="383638"/>
                    <w:spacing w:val="-8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Jurisdiction</w:t>
                </w:r>
                <w:r>
                  <w:rPr>
                    <w:rFonts w:ascii="Arial"/>
                    <w:color w:val="383638"/>
                    <w:spacing w:val="-9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and</w:t>
                </w:r>
                <w:r>
                  <w:rPr>
                    <w:rFonts w:ascii="Arial"/>
                    <w:color w:val="383638"/>
                    <w:spacing w:val="-11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Standards</w:t>
                </w:r>
                <w:r>
                  <w:rPr>
                    <w:rFonts w:ascii="Arial"/>
                    <w:color w:val="383638"/>
                    <w:spacing w:val="1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of</w:t>
                </w:r>
                <w:r>
                  <w:rPr>
                    <w:rFonts w:ascii="Arial"/>
                    <w:color w:val="383638"/>
                    <w:spacing w:val="26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Review</w:t>
                </w:r>
              </w:p>
            </w:txbxContent>
          </v:textbox>
          <w10:wrap type="none"/>
        </v:shape>
      </w:pict>
    </w:r>
    <w:r>
      <w:rPr/>
      <w:pict>
        <v:shape style="position:absolute;margin-left:143.579498pt;margin-top:48.091801pt;width:27.1pt;height:23.05pt;mso-position-horizontal-relative:page;mso-position-vertical-relative:page;z-index:-21575168" type="#_x0000_t202" id="docshape75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ourier New"/>
                    <w:b/>
                    <w:sz w:val="37"/>
                  </w:rPr>
                </w:pPr>
                <w:r>
                  <w:rPr>
                    <w:rFonts w:ascii="Courier New"/>
                    <w:b/>
                    <w:color w:val="383638"/>
                    <w:w w:val="75"/>
                    <w:sz w:val="37"/>
                  </w:rPr>
                  <w:t>2.6</w:t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.85733pt;margin-top:22.145517pt;width:20.350pt;height:12.1pt;mso-position-horizontal-relative:page;mso-position-vertical-relative:page;z-index:-21606912" type="#_x0000_t202" id="docshape8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12D2F"/>
                    <w:w w:val="105"/>
                    <w:sz w:val="18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3.671303pt;margin-top:22.273445pt;width:37.65pt;height:12.05pt;mso-position-horizontal-relative:page;mso-position-vertical-relative:page;z-index:-21606400" type="#_x0000_t202" id="docshape9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12D2F"/>
                    <w:w w:val="110"/>
                    <w:sz w:val="18"/>
                  </w:rPr>
                  <w:t>Contents</w:t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.81282pt;margin-top:25.626493pt;width:17.5pt;height:12pt;mso-position-horizontal-relative:page;mso-position-vertical-relative:page;z-index:-21574656" type="#_x0000_t202" id="docshape76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83638"/>
                    <w:w w:val="11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7.652496pt;margin-top:25.952688pt;width:130.65pt;height:11.55pt;mso-position-horizontal-relative:page;mso-position-vertical-relative:page;z-index:-21574144" type="#_x0000_t202" id="docshape77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8"/>
                    <w:sz w:val="17"/>
                  </w:rPr>
                  <w:t>Chapter</w:t>
                </w:r>
                <w:r>
                  <w:rPr>
                    <w:rFonts w:ascii="Arial"/>
                    <w:color w:val="383638"/>
                    <w:spacing w:val="-4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Three  </w:t>
                </w:r>
                <w:r>
                  <w:rPr>
                    <w:rFonts w:ascii="Arial"/>
                    <w:color w:val="383638"/>
                    <w:spacing w:val="32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Before</w:t>
                </w:r>
                <w:r>
                  <w:rPr>
                    <w:rFonts w:ascii="Arial"/>
                    <w:color w:val="383638"/>
                    <w:spacing w:val="-3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You</w:t>
                </w:r>
                <w:r>
                  <w:rPr>
                    <w:rFonts w:ascii="Arial"/>
                    <w:color w:val="383638"/>
                    <w:spacing w:val="-12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Write</w:t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6.867889pt;margin-top:28.063253pt;width:16.75pt;height:12.6pt;mso-position-horizontal-relative:page;mso-position-vertical-relative:page;z-index:-21573632" type="#_x0000_t202" id="docshape78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A383A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49.805099pt;margin-top:28.510101pt;width:154.15pt;height:12pt;mso-position-horizontal-relative:page;mso-position-vertical-relative:page;z-index:-21573120" type="#_x0000_t202" id="docshape79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A383A"/>
                    <w:sz w:val="18"/>
                  </w:rPr>
                  <w:t>3.1   </w:t>
                </w:r>
                <w:r>
                  <w:rPr>
                    <w:color w:val="3A383A"/>
                    <w:spacing w:val="31"/>
                    <w:sz w:val="18"/>
                  </w:rPr>
                  <w:t> </w:t>
                </w:r>
                <w:r>
                  <w:rPr>
                    <w:color w:val="3A383A"/>
                    <w:sz w:val="18"/>
                  </w:rPr>
                  <w:t>Creating an</w:t>
                </w:r>
                <w:r>
                  <w:rPr>
                    <w:color w:val="3A383A"/>
                    <w:spacing w:val="20"/>
                    <w:sz w:val="18"/>
                  </w:rPr>
                  <w:t> </w:t>
                </w:r>
                <w:r>
                  <w:rPr>
                    <w:color w:val="3A383A"/>
                    <w:sz w:val="18"/>
                  </w:rPr>
                  <w:t>Abstract</w:t>
                </w:r>
                <w:r>
                  <w:rPr>
                    <w:color w:val="3A383A"/>
                    <w:spacing w:val="-8"/>
                    <w:sz w:val="18"/>
                  </w:rPr>
                  <w:t> </w:t>
                </w:r>
                <w:r>
                  <w:rPr>
                    <w:color w:val="3A383A"/>
                    <w:sz w:val="18"/>
                  </w:rPr>
                  <w:t>of</w:t>
                </w:r>
                <w:r>
                  <w:rPr>
                    <w:color w:val="3A383A"/>
                    <w:spacing w:val="17"/>
                    <w:sz w:val="18"/>
                  </w:rPr>
                  <w:t> </w:t>
                </w:r>
                <w:r>
                  <w:rPr>
                    <w:color w:val="3A383A"/>
                    <w:sz w:val="18"/>
                  </w:rPr>
                  <w:t>the</w:t>
                </w:r>
                <w:r>
                  <w:rPr>
                    <w:color w:val="3A383A"/>
                    <w:spacing w:val="36"/>
                    <w:sz w:val="18"/>
                  </w:rPr>
                  <w:t> </w:t>
                </w:r>
                <w:r>
                  <w:rPr>
                    <w:color w:val="3A383A"/>
                    <w:sz w:val="18"/>
                  </w:rPr>
                  <w:t>Record</w:t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930031pt;margin-top:22.112379pt;width:17.2pt;height:11.55pt;mso-position-horizontal-relative:page;mso-position-vertical-relative:page;z-index:-21572608" type="#_x0000_t202" id="docshape81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3B383A"/>
                    <w:w w:val="105"/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8.988197pt;margin-top:21.658136pt;width:131.15pt;height:12.1pt;mso-position-horizontal-relative:page;mso-position-vertical-relative:page;z-index:-21572096" type="#_x0000_t202" id="docshape8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B383A"/>
                    <w:sz w:val="17"/>
                  </w:rPr>
                  <w:t>Chapter</w:t>
                </w:r>
                <w:r>
                  <w:rPr>
                    <w:rFonts w:ascii="Arial"/>
                    <w:color w:val="3B383A"/>
                    <w:spacing w:val="-5"/>
                    <w:sz w:val="17"/>
                  </w:rPr>
                  <w:t> </w:t>
                </w:r>
                <w:r>
                  <w:rPr>
                    <w:rFonts w:ascii="Arial"/>
                    <w:color w:val="3B383A"/>
                    <w:sz w:val="17"/>
                  </w:rPr>
                  <w:t>Three  </w:t>
                </w:r>
                <w:r>
                  <w:rPr>
                    <w:rFonts w:ascii="Arial"/>
                    <w:color w:val="3B383A"/>
                    <w:spacing w:val="22"/>
                    <w:sz w:val="17"/>
                  </w:rPr>
                  <w:t> </w:t>
                </w:r>
                <w:r>
                  <w:rPr>
                    <w:rFonts w:ascii="Arial"/>
                    <w:i/>
                    <w:color w:val="3B383A"/>
                    <w:sz w:val="18"/>
                  </w:rPr>
                  <w:t>Before</w:t>
                </w:r>
                <w:r>
                  <w:rPr>
                    <w:rFonts w:ascii="Arial"/>
                    <w:i/>
                    <w:color w:val="3B383A"/>
                    <w:spacing w:val="-5"/>
                    <w:sz w:val="18"/>
                  </w:rPr>
                  <w:t> </w:t>
                </w:r>
                <w:r>
                  <w:rPr>
                    <w:rFonts w:ascii="Arial"/>
                    <w:color w:val="3B383A"/>
                    <w:sz w:val="17"/>
                  </w:rPr>
                  <w:t>You</w:t>
                </w:r>
                <w:r>
                  <w:rPr>
                    <w:rFonts w:ascii="Arial"/>
                    <w:color w:val="3B383A"/>
                    <w:spacing w:val="-17"/>
                    <w:sz w:val="17"/>
                  </w:rPr>
                  <w:t> </w:t>
                </w:r>
                <w:r>
                  <w:rPr>
                    <w:rFonts w:ascii="Arial"/>
                    <w:color w:val="3B383A"/>
                    <w:sz w:val="17"/>
                  </w:rPr>
                  <w:t>Write</w:t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6.088806pt;margin-top:25.96133pt;width:155.450pt;height:11.55pt;mso-position-horizontal-relative:page;mso-position-vertical-relative:page;z-index:-21571584" type="#_x0000_t202" id="docshape83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A3838"/>
                    <w:spacing w:val="-1"/>
                    <w:w w:val="105"/>
                    <w:sz w:val="17"/>
                  </w:rPr>
                  <w:t>3.1</w:t>
                </w:r>
                <w:r>
                  <w:rPr>
                    <w:rFonts w:ascii="Arial"/>
                    <w:color w:val="3A3838"/>
                    <w:spacing w:val="29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pacing w:val="-1"/>
                    <w:w w:val="105"/>
                    <w:sz w:val="17"/>
                  </w:rPr>
                  <w:t>Creating</w:t>
                </w:r>
                <w:r>
                  <w:rPr>
                    <w:rFonts w:ascii="Arial"/>
                    <w:color w:val="3A3838"/>
                    <w:spacing w:val="-7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w w:val="105"/>
                    <w:sz w:val="17"/>
                  </w:rPr>
                  <w:t>an</w:t>
                </w:r>
                <w:r>
                  <w:rPr>
                    <w:rFonts w:ascii="Arial"/>
                    <w:color w:val="3A3838"/>
                    <w:spacing w:val="-13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w w:val="105"/>
                    <w:sz w:val="17"/>
                  </w:rPr>
                  <w:t>Abstract</w:t>
                </w:r>
                <w:r>
                  <w:rPr>
                    <w:rFonts w:ascii="Arial"/>
                    <w:color w:val="3A3838"/>
                    <w:spacing w:val="-8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w w:val="105"/>
                    <w:sz w:val="17"/>
                  </w:rPr>
                  <w:t>of</w:t>
                </w:r>
                <w:r>
                  <w:rPr>
                    <w:rFonts w:ascii="Arial"/>
                    <w:color w:val="3A3838"/>
                    <w:spacing w:val="6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w w:val="105"/>
                    <w:sz w:val="17"/>
                  </w:rPr>
                  <w:t>the</w:t>
                </w:r>
                <w:r>
                  <w:rPr>
                    <w:rFonts w:ascii="Arial"/>
                    <w:color w:val="3A3838"/>
                    <w:spacing w:val="-1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w w:val="105"/>
                    <w:sz w:val="17"/>
                  </w:rPr>
                  <w:t>Record</w:t>
                </w:r>
              </w:p>
            </w:txbxContent>
          </v:textbox>
          <w10:wrap type="none"/>
        </v:shape>
      </w:pict>
    </w:r>
    <w:r>
      <w:rPr/>
      <w:pict>
        <v:shape style="position:absolute;margin-left:423.524414pt;margin-top:25.96133pt;width:16.8pt;height:11.55pt;mso-position-horizontal-relative:page;mso-position-vertical-relative:page;z-index:-21571072" type="#_x0000_t202" id="docshape84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3A3838"/>
                    <w:w w:val="105"/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01.795601pt;margin-top:23.701668pt;width:130.85pt;height:12pt;mso-position-horizontal-relative:page;mso-position-vertical-relative:page;z-index:-21570560" type="#_x0000_t202" id="docshape87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D3B3B"/>
                    <w:spacing w:val="-1"/>
                    <w:w w:val="105"/>
                    <w:sz w:val="18"/>
                  </w:rPr>
                  <w:t>Chapter</w:t>
                </w:r>
                <w:r>
                  <w:rPr>
                    <w:color w:val="3D3B3B"/>
                    <w:spacing w:val="-21"/>
                    <w:w w:val="105"/>
                    <w:sz w:val="18"/>
                  </w:rPr>
                  <w:t> </w:t>
                </w:r>
                <w:r>
                  <w:rPr>
                    <w:color w:val="3D3B3B"/>
                    <w:spacing w:val="-1"/>
                    <w:w w:val="105"/>
                    <w:sz w:val="18"/>
                  </w:rPr>
                  <w:t>Three</w:t>
                </w:r>
                <w:r>
                  <w:rPr>
                    <w:color w:val="3D3B3B"/>
                    <w:spacing w:val="119"/>
                    <w:w w:val="105"/>
                    <w:sz w:val="18"/>
                  </w:rPr>
                  <w:t> </w:t>
                </w:r>
                <w:r>
                  <w:rPr>
                    <w:color w:val="3D3B3B"/>
                    <w:w w:val="105"/>
                    <w:sz w:val="18"/>
                  </w:rPr>
                  <w:t>Before</w:t>
                </w:r>
                <w:r>
                  <w:rPr>
                    <w:color w:val="3D3B3B"/>
                    <w:spacing w:val="-21"/>
                    <w:w w:val="105"/>
                    <w:sz w:val="18"/>
                  </w:rPr>
                  <w:t> </w:t>
                </w:r>
                <w:r>
                  <w:rPr>
                    <w:i/>
                    <w:color w:val="3D3B3B"/>
                    <w:w w:val="105"/>
                    <w:sz w:val="18"/>
                  </w:rPr>
                  <w:t>You</w:t>
                </w:r>
                <w:r>
                  <w:rPr>
                    <w:i/>
                    <w:color w:val="3D3B3B"/>
                    <w:spacing w:val="23"/>
                    <w:w w:val="105"/>
                    <w:sz w:val="18"/>
                  </w:rPr>
                  <w:t> </w:t>
                </w:r>
                <w:r>
                  <w:rPr>
                    <w:color w:val="3D3B3B"/>
                    <w:w w:val="105"/>
                    <w:sz w:val="18"/>
                  </w:rPr>
                  <w:t>Write</w:t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610504pt;margin-top:21.595564pt;width:109.85pt;height:11pt;mso-position-horizontal-relative:page;mso-position-vertical-relative:page;z-index:-21570048" type="#_x0000_t202" id="docshape88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3A3838"/>
                    <w:w w:val="105"/>
                    <w:sz w:val="16"/>
                  </w:rPr>
                  <w:t>3.2</w:t>
                </w:r>
                <w:r>
                  <w:rPr>
                    <w:rFonts w:ascii="Arial"/>
                    <w:color w:val="3A3838"/>
                    <w:spacing w:val="36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A3838"/>
                    <w:w w:val="105"/>
                    <w:sz w:val="16"/>
                  </w:rPr>
                  <w:t>Planning</w:t>
                </w:r>
                <w:r>
                  <w:rPr>
                    <w:rFonts w:ascii="Arial"/>
                    <w:color w:val="3A3838"/>
                    <w:spacing w:val="-8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A3838"/>
                    <w:w w:val="105"/>
                    <w:sz w:val="16"/>
                  </w:rPr>
                  <w:t>Your</w:t>
                </w:r>
                <w:r>
                  <w:rPr>
                    <w:rFonts w:ascii="Arial"/>
                    <w:color w:val="3A3838"/>
                    <w:spacing w:val="5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A3838"/>
                    <w:w w:val="105"/>
                    <w:sz w:val="16"/>
                  </w:rPr>
                  <w:t>Research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428.322388pt;margin-top:20.687387pt;width:17.1pt;height:12.1pt;mso-position-horizontal-relative:page;mso-position-vertical-relative:page;z-index:-21569536" type="#_x0000_t202" id="docshape89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A383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.301163pt;margin-top:18.253038pt;width:18.05pt;height:11.55pt;mso-position-horizontal-relative:page;mso-position-vertical-relative:page;z-index:-21569024" type="#_x0000_t202" id="docshape90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3A383A"/>
                    <w:w w:val="115"/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6.052399pt;margin-top:18.253038pt;width:131.7pt;height:11.55pt;mso-position-horizontal-relative:page;mso-position-vertical-relative:page;z-index:-21568512" type="#_x0000_t202" id="docshape91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A383A"/>
                    <w:sz w:val="17"/>
                  </w:rPr>
                  <w:t>Chapter Three  </w:t>
                </w:r>
                <w:r>
                  <w:rPr>
                    <w:rFonts w:ascii="Arial"/>
                    <w:color w:val="3A383A"/>
                    <w:spacing w:val="46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sz w:val="17"/>
                  </w:rPr>
                  <w:t>Before</w:t>
                </w:r>
                <w:r>
                  <w:rPr>
                    <w:rFonts w:ascii="Arial"/>
                    <w:color w:val="3A383A"/>
                    <w:spacing w:val="-2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sz w:val="17"/>
                  </w:rPr>
                  <w:t>You</w:t>
                </w:r>
                <w:r>
                  <w:rPr>
                    <w:rFonts w:ascii="Arial"/>
                    <w:color w:val="3A383A"/>
                    <w:spacing w:val="-12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sz w:val="17"/>
                  </w:rPr>
                  <w:t>Write</w:t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4.920502pt;margin-top:20.684656pt;width:17.2pt;height:12.1pt;mso-position-horizontal-relative:page;mso-position-vertical-relative:page;z-index:-21568000" type="#_x0000_t202" id="docshape9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B3A3B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93.21701pt;margin-top:21.592739pt;width:110.2pt;height:11pt;mso-position-horizontal-relative:page;mso-position-vertical-relative:page;z-index:-21567488" type="#_x0000_t202" id="docshape93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3B3A3B"/>
                    <w:w w:val="105"/>
                    <w:sz w:val="16"/>
                  </w:rPr>
                  <w:t>3.2 </w:t>
                </w:r>
                <w:r>
                  <w:rPr>
                    <w:rFonts w:ascii="Arial"/>
                    <w:color w:val="3B3A3B"/>
                    <w:spacing w:val="5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B3A3B"/>
                    <w:w w:val="105"/>
                    <w:sz w:val="16"/>
                  </w:rPr>
                  <w:t>Planning</w:t>
                </w:r>
                <w:r>
                  <w:rPr>
                    <w:rFonts w:ascii="Arial"/>
                    <w:color w:val="3B3A3B"/>
                    <w:spacing w:val="-7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B3A3B"/>
                    <w:w w:val="105"/>
                    <w:sz w:val="16"/>
                  </w:rPr>
                  <w:t>Your</w:t>
                </w:r>
                <w:r>
                  <w:rPr>
                    <w:rFonts w:ascii="Arial"/>
                    <w:color w:val="3B3A3B"/>
                    <w:spacing w:val="-7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B3A3B"/>
                    <w:w w:val="105"/>
                    <w:sz w:val="16"/>
                  </w:rPr>
                  <w:t>Research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6.627808pt;margin-top:23.783787pt;width:78.6pt;height:13.15pt;mso-position-horizontal-relative:page;mso-position-vertical-relative:page;z-index:-21605888" type="#_x0000_t202" id="docshape10" filled="false" stroked="false">
          <v:textbox inset="0,0,0,0">
            <w:txbxContent>
              <w:p>
                <w:pPr>
                  <w:tabs>
                    <w:tab w:pos="1491" w:val="right" w:leader="none"/>
                  </w:tabs>
                  <w:spacing w:before="12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332F31"/>
                    <w:w w:val="105"/>
                    <w:sz w:val="19"/>
                  </w:rPr>
                  <w:t>Contents</w:t>
                  <w:tab/>
                </w:r>
                <w:r>
                  <w:rPr/>
                  <w:fldChar w:fldCharType="begin"/>
                </w:r>
                <w:r>
                  <w:rPr>
                    <w:color w:val="332F31"/>
                    <w:w w:val="105"/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2.297348pt;margin-top:17.805992pt;width:18.4pt;height:12.1pt;mso-position-horizontal-relative:page;mso-position-vertical-relative:page;z-index:-21566976" type="#_x0000_t202" id="docshape94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i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i/>
                    <w:color w:val="3A383A"/>
                    <w:w w:val="11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1.980698pt;margin-top:17.933899pt;width:129.9500pt;height:12.05pt;mso-position-horizontal-relative:page;mso-position-vertical-relative:page;z-index:-21566464" type="#_x0000_t202" id="docshape95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A383A"/>
                    <w:sz w:val="18"/>
                  </w:rPr>
                  <w:t>Chapter</w:t>
                </w:r>
                <w:r>
                  <w:rPr>
                    <w:color w:val="3A383A"/>
                    <w:spacing w:val="2"/>
                    <w:sz w:val="18"/>
                  </w:rPr>
                  <w:t> </w:t>
                </w:r>
                <w:r>
                  <w:rPr>
                    <w:color w:val="3A383A"/>
                    <w:sz w:val="18"/>
                  </w:rPr>
                  <w:t>Three   </w:t>
                </w:r>
                <w:r>
                  <w:rPr>
                    <w:color w:val="3A383A"/>
                    <w:spacing w:val="13"/>
                    <w:sz w:val="18"/>
                  </w:rPr>
                  <w:t> </w:t>
                </w:r>
                <w:r>
                  <w:rPr>
                    <w:color w:val="3A383A"/>
                    <w:sz w:val="18"/>
                  </w:rPr>
                  <w:t>Before</w:t>
                </w:r>
                <w:r>
                  <w:rPr>
                    <w:color w:val="3A383A"/>
                    <w:spacing w:val="-7"/>
                    <w:sz w:val="18"/>
                  </w:rPr>
                  <w:t> </w:t>
                </w:r>
                <w:r>
                  <w:rPr>
                    <w:color w:val="3A383A"/>
                    <w:sz w:val="18"/>
                  </w:rPr>
                  <w:t>You</w:t>
                </w:r>
                <w:r>
                  <w:rPr>
                    <w:color w:val="3A383A"/>
                    <w:spacing w:val="7"/>
                    <w:sz w:val="18"/>
                  </w:rPr>
                  <w:t> </w:t>
                </w:r>
                <w:r>
                  <w:rPr>
                    <w:color w:val="3A383A"/>
                    <w:sz w:val="18"/>
                  </w:rPr>
                  <w:t>Write</w:t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427.863098pt;margin-top:22.15679pt;width:17.150pt;height:13.15pt;mso-position-horizontal-relative:page;mso-position-vertical-relative:page;z-index:-21565952" type="#_x0000_t202" id="docshape96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A3838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96.198792pt;margin-top:23.831987pt;width:109.75pt;height:11pt;mso-position-horizontal-relative:page;mso-position-vertical-relative:page;z-index:-21565440" type="#_x0000_t202" id="docshape97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3A3838"/>
                    <w:w w:val="105"/>
                    <w:sz w:val="16"/>
                  </w:rPr>
                  <w:t>3.2</w:t>
                </w:r>
                <w:r>
                  <w:rPr>
                    <w:rFonts w:ascii="Arial"/>
                    <w:color w:val="3A3838"/>
                    <w:spacing w:val="-5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A3838"/>
                    <w:w w:val="105"/>
                    <w:sz w:val="16"/>
                  </w:rPr>
                  <w:t>Plann</w:t>
                </w:r>
                <w:r>
                  <w:rPr>
                    <w:rFonts w:ascii="Arial"/>
                    <w:color w:val="606064"/>
                    <w:w w:val="105"/>
                    <w:sz w:val="16"/>
                  </w:rPr>
                  <w:t>i</w:t>
                </w:r>
                <w:r>
                  <w:rPr>
                    <w:rFonts w:ascii="Arial"/>
                    <w:color w:val="3A3838"/>
                    <w:w w:val="105"/>
                    <w:sz w:val="16"/>
                  </w:rPr>
                  <w:t>ng</w:t>
                </w:r>
                <w:r>
                  <w:rPr>
                    <w:rFonts w:ascii="Arial"/>
                    <w:color w:val="3A3838"/>
                    <w:spacing w:val="34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A3838"/>
                    <w:w w:val="105"/>
                    <w:sz w:val="16"/>
                  </w:rPr>
                  <w:t>Your</w:t>
                </w:r>
                <w:r>
                  <w:rPr>
                    <w:rFonts w:ascii="Arial"/>
                    <w:color w:val="3A3838"/>
                    <w:spacing w:val="-2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A3838"/>
                    <w:w w:val="105"/>
                    <w:sz w:val="16"/>
                  </w:rPr>
                  <w:t>Research</w:t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7.863098pt;margin-top:21.859793pt;width:17.150pt;height:13.15pt;mso-position-horizontal-relative:page;mso-position-vertical-relative:page;z-index:-21564928" type="#_x0000_t202" id="docshape99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A3838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96.198792pt;margin-top:23.53499pt;width:109.75pt;height:11pt;mso-position-horizontal-relative:page;mso-position-vertical-relative:page;z-index:-21564416" type="#_x0000_t202" id="docshape100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3A3838"/>
                    <w:w w:val="105"/>
                    <w:sz w:val="16"/>
                  </w:rPr>
                  <w:t>3.2</w:t>
                </w:r>
                <w:r>
                  <w:rPr>
                    <w:rFonts w:ascii="Arial"/>
                    <w:color w:val="3A3838"/>
                    <w:spacing w:val="-5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A3838"/>
                    <w:w w:val="105"/>
                    <w:sz w:val="16"/>
                  </w:rPr>
                  <w:t>Plann</w:t>
                </w:r>
                <w:r>
                  <w:rPr>
                    <w:rFonts w:ascii="Arial"/>
                    <w:color w:val="606064"/>
                    <w:w w:val="105"/>
                    <w:sz w:val="16"/>
                  </w:rPr>
                  <w:t>i</w:t>
                </w:r>
                <w:r>
                  <w:rPr>
                    <w:rFonts w:ascii="Arial"/>
                    <w:color w:val="3A3838"/>
                    <w:w w:val="105"/>
                    <w:sz w:val="16"/>
                  </w:rPr>
                  <w:t>ng</w:t>
                </w:r>
                <w:r>
                  <w:rPr>
                    <w:rFonts w:ascii="Arial"/>
                    <w:color w:val="3A3838"/>
                    <w:spacing w:val="34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A3838"/>
                    <w:w w:val="105"/>
                    <w:sz w:val="16"/>
                  </w:rPr>
                  <w:t>Your</w:t>
                </w:r>
                <w:r>
                  <w:rPr>
                    <w:rFonts w:ascii="Arial"/>
                    <w:color w:val="3A3838"/>
                    <w:spacing w:val="-2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color w:val="3A3838"/>
                    <w:w w:val="105"/>
                    <w:sz w:val="16"/>
                  </w:rPr>
                  <w:t>Research</w:t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277008pt;margin-top:24.203691pt;width:109.25pt;height:12.05pt;mso-position-horizontal-relative:page;mso-position-vertical-relative:page;z-index:-21563904" type="#_x0000_t202" id="docshape101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B383A"/>
                    <w:spacing w:val="-1"/>
                    <w:w w:val="105"/>
                    <w:sz w:val="18"/>
                  </w:rPr>
                  <w:t>3.2</w:t>
                </w:r>
                <w:r>
                  <w:rPr>
                    <w:color w:val="3B383A"/>
                    <w:spacing w:val="26"/>
                    <w:w w:val="105"/>
                    <w:sz w:val="18"/>
                  </w:rPr>
                  <w:t> </w:t>
                </w:r>
                <w:r>
                  <w:rPr>
                    <w:color w:val="3B383A"/>
                    <w:w w:val="105"/>
                    <w:sz w:val="18"/>
                  </w:rPr>
                  <w:t>Planning</w:t>
                </w:r>
                <w:r>
                  <w:rPr>
                    <w:color w:val="3B383A"/>
                    <w:spacing w:val="-9"/>
                    <w:w w:val="105"/>
                    <w:sz w:val="18"/>
                  </w:rPr>
                  <w:t> </w:t>
                </w:r>
                <w:r>
                  <w:rPr>
                    <w:color w:val="3B383A"/>
                    <w:w w:val="105"/>
                    <w:sz w:val="18"/>
                  </w:rPr>
                  <w:t>Your</w:t>
                </w:r>
                <w:r>
                  <w:rPr>
                    <w:color w:val="3B383A"/>
                    <w:spacing w:val="-12"/>
                    <w:w w:val="105"/>
                    <w:sz w:val="18"/>
                  </w:rPr>
                  <w:t> </w:t>
                </w:r>
                <w:r>
                  <w:rPr>
                    <w:color w:val="3B383A"/>
                    <w:w w:val="105"/>
                    <w:sz w:val="18"/>
                  </w:rPr>
                  <w:t>Research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426.315094pt;margin-top:24.07575pt;width:17.3pt;height:12.1pt;mso-position-horizontal-relative:page;mso-position-vertical-relative:page;z-index:-21563392" type="#_x0000_t202" id="docshape1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B383A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767609pt;margin-top:21.774597pt;width:109.2pt;height:12pt;mso-position-horizontal-relative:page;mso-position-vertical-relative:page;z-index:-21562880" type="#_x0000_t202" id="docshape104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D3B3D"/>
                    <w:sz w:val="18"/>
                  </w:rPr>
                  <w:t>3.2</w:t>
                </w:r>
                <w:r>
                  <w:rPr>
                    <w:color w:val="3D3B3D"/>
                    <w:spacing w:val="76"/>
                    <w:sz w:val="18"/>
                  </w:rPr>
                  <w:t> </w:t>
                </w:r>
                <w:r>
                  <w:rPr>
                    <w:color w:val="3D3B3D"/>
                    <w:sz w:val="18"/>
                  </w:rPr>
                  <w:t>Planning</w:t>
                </w:r>
                <w:r>
                  <w:rPr>
                    <w:color w:val="3D3B3D"/>
                    <w:spacing w:val="6"/>
                    <w:sz w:val="18"/>
                  </w:rPr>
                  <w:t> </w:t>
                </w:r>
                <w:r>
                  <w:rPr>
                    <w:color w:val="3D3B3D"/>
                    <w:sz w:val="18"/>
                  </w:rPr>
                  <w:t>Your</w:t>
                </w:r>
                <w:r>
                  <w:rPr>
                    <w:color w:val="3D3B3D"/>
                    <w:spacing w:val="6"/>
                    <w:sz w:val="18"/>
                  </w:rPr>
                  <w:t> </w:t>
                </w:r>
                <w:r>
                  <w:rPr>
                    <w:color w:val="3D3B3D"/>
                    <w:sz w:val="18"/>
                  </w:rPr>
                  <w:t>Research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420.229401pt;margin-top:21.646769pt;width:17.25pt;height:12.1pt;mso-position-horizontal-relative:page;mso-position-vertical-relative:page;z-index:-21562368" type="#_x0000_t202" id="docshape105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D3B3D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048607pt;margin-top:21.165543pt;width:14.7pt;height:12.1pt;mso-position-horizontal-relative:page;mso-position-vertical-relative:page;z-index:-21561856" type="#_x0000_t202" id="docshape106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i/>
                    <w:sz w:val="18"/>
                  </w:rPr>
                </w:pPr>
                <w:r>
                  <w:rPr>
                    <w:rFonts w:ascii="Arial"/>
                    <w:b/>
                    <w:i/>
                    <w:color w:val="3B3A3B"/>
                    <w:w w:val="125"/>
                    <w:sz w:val="18"/>
                  </w:rPr>
                  <w:t>54</w:t>
                </w:r>
              </w:p>
            </w:txbxContent>
          </v:textbox>
          <w10:wrap type="none"/>
        </v:shape>
      </w:pict>
    </w:r>
    <w:r>
      <w:rPr/>
      <w:pict>
        <v:shape style="position:absolute;margin-left:113.887398pt;margin-top:21.165543pt;width:129.5pt;height:12.15pt;mso-position-horizontal-relative:page;mso-position-vertical-relative:page;z-index:-21561344" type="#_x0000_t202" id="docshape107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B3A3B"/>
                    <w:sz w:val="18"/>
                  </w:rPr>
                  <w:t>Chapter</w:t>
                </w:r>
                <w:r>
                  <w:rPr>
                    <w:color w:val="3B3A3B"/>
                    <w:spacing w:val="-6"/>
                    <w:sz w:val="18"/>
                  </w:rPr>
                  <w:t> </w:t>
                </w:r>
                <w:r>
                  <w:rPr>
                    <w:color w:val="3B3A3B"/>
                    <w:sz w:val="18"/>
                  </w:rPr>
                  <w:t>Three  </w:t>
                </w:r>
                <w:r>
                  <w:rPr>
                    <w:color w:val="3B3A3B"/>
                    <w:spacing w:val="20"/>
                    <w:sz w:val="18"/>
                  </w:rPr>
                  <w:t> </w:t>
                </w:r>
                <w:r>
                  <w:rPr>
                    <w:rFonts w:ascii="Arial"/>
                    <w:i/>
                    <w:color w:val="3B3A3B"/>
                    <w:sz w:val="18"/>
                  </w:rPr>
                  <w:t>Before</w:t>
                </w:r>
                <w:r>
                  <w:rPr>
                    <w:rFonts w:ascii="Arial"/>
                    <w:i/>
                    <w:color w:val="3B3A3B"/>
                    <w:spacing w:val="3"/>
                    <w:sz w:val="18"/>
                  </w:rPr>
                  <w:t> </w:t>
                </w:r>
                <w:r>
                  <w:rPr>
                    <w:color w:val="3B3A3B"/>
                    <w:sz w:val="18"/>
                  </w:rPr>
                  <w:t>You</w:t>
                </w:r>
                <w:r>
                  <w:rPr>
                    <w:color w:val="3B3A3B"/>
                    <w:spacing w:val="-4"/>
                    <w:sz w:val="18"/>
                  </w:rPr>
                  <w:t> </w:t>
                </w:r>
                <w:r>
                  <w:rPr>
                    <w:color w:val="3B3A3B"/>
                    <w:sz w:val="18"/>
                  </w:rPr>
                  <w:t>Write</w:t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.87888pt;margin-top:21.173544pt;width:25.65pt;height:12.1pt;mso-position-horizontal-relative:page;mso-position-vertical-relative:page;z-index:-21605376" type="#_x0000_t202" id="docshape1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33131"/>
                    <w:w w:val="105"/>
                    <w:sz w:val="18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4.097099pt;margin-top:21.627739pt;width:37.25pt;height:11.55pt;mso-position-horizontal-relative:page;mso-position-vertical-relative:page;z-index:-21604864" type="#_x0000_t202" id="docshape1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33131"/>
                    <w:w w:val="105"/>
                    <w:sz w:val="17"/>
                  </w:rPr>
                  <w:t>Contents</w:t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413651pt;margin-top:22.096273pt;width:13.7pt;height:11.55pt;mso-position-horizontal-relative:page;mso-position-vertical-relative:page;z-index:-21560832" type="#_x0000_t202" id="docshape108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b/>
                    <w:i/>
                    <w:sz w:val="17"/>
                  </w:rPr>
                </w:pPr>
                <w:r>
                  <w:rPr>
                    <w:rFonts w:ascii="Arial"/>
                    <w:b/>
                    <w:i/>
                    <w:color w:val="3B383A"/>
                    <w:w w:val="110"/>
                    <w:sz w:val="17"/>
                  </w:rPr>
                  <w:t>S6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209602pt;margin-top:21.770153pt;width:130.9pt;height:12pt;mso-position-horizontal-relative:page;mso-position-vertical-relative:page;z-index:-21560320" type="#_x0000_t202" id="docshape109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B383A"/>
                    <w:spacing w:val="-1"/>
                    <w:w w:val="105"/>
                    <w:sz w:val="18"/>
                  </w:rPr>
                  <w:t>Chapter</w:t>
                </w:r>
                <w:r>
                  <w:rPr>
                    <w:color w:val="3B383A"/>
                    <w:spacing w:val="-11"/>
                    <w:w w:val="105"/>
                    <w:sz w:val="18"/>
                  </w:rPr>
                  <w:t> </w:t>
                </w:r>
                <w:r>
                  <w:rPr>
                    <w:color w:val="3B383A"/>
                    <w:spacing w:val="-1"/>
                    <w:w w:val="105"/>
                    <w:sz w:val="18"/>
                  </w:rPr>
                  <w:t>Three</w:t>
                </w:r>
                <w:r>
                  <w:rPr>
                    <w:color w:val="3B383A"/>
                    <w:spacing w:val="118"/>
                    <w:w w:val="105"/>
                    <w:sz w:val="18"/>
                  </w:rPr>
                  <w:t> </w:t>
                </w:r>
                <w:r>
                  <w:rPr>
                    <w:color w:val="3B383A"/>
                    <w:spacing w:val="-1"/>
                    <w:w w:val="105"/>
                    <w:sz w:val="18"/>
                  </w:rPr>
                  <w:t>Before</w:t>
                </w:r>
                <w:r>
                  <w:rPr>
                    <w:color w:val="3B383A"/>
                    <w:spacing w:val="-7"/>
                    <w:w w:val="105"/>
                    <w:sz w:val="18"/>
                  </w:rPr>
                  <w:t> </w:t>
                </w:r>
                <w:r>
                  <w:rPr>
                    <w:color w:val="3B383A"/>
                    <w:spacing w:val="-1"/>
                    <w:w w:val="105"/>
                    <w:sz w:val="18"/>
                  </w:rPr>
                  <w:t>You</w:t>
                </w:r>
                <w:r>
                  <w:rPr>
                    <w:color w:val="3B383A"/>
                    <w:spacing w:val="-16"/>
                    <w:w w:val="105"/>
                    <w:sz w:val="18"/>
                  </w:rPr>
                  <w:t> </w:t>
                </w:r>
                <w:r>
                  <w:rPr>
                    <w:color w:val="3B383A"/>
                    <w:spacing w:val="-1"/>
                    <w:w w:val="105"/>
                    <w:sz w:val="18"/>
                  </w:rPr>
                  <w:t>Write</w:t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3.246185pt;margin-top:19.890179pt;width:16.95pt;height:12.6pt;mso-position-horizontal-relative:page;mso-position-vertical-relative:page;z-index:-21559808" type="#_x0000_t202" id="docshape110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color w:val="363436"/>
                    <w:w w:val="105"/>
                    <w:sz w:val="19"/>
                  </w:rPr>
                  <w:t>57</w:t>
                </w:r>
              </w:p>
            </w:txbxContent>
          </v:textbox>
          <w10:wrap type="none"/>
        </v:shape>
      </w:pict>
    </w:r>
    <w:r>
      <w:rPr/>
      <w:pict>
        <v:shape style="position:absolute;margin-left:265.660889pt;margin-top:20.337238pt;width:134.6pt;height:12pt;mso-position-horizontal-relative:page;mso-position-vertical-relative:page;z-index:-21559296" type="#_x0000_t202" id="docshape111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63436"/>
                    <w:w w:val="105"/>
                    <w:sz w:val="18"/>
                  </w:rPr>
                  <w:t>3</w:t>
                </w:r>
                <w:r>
                  <w:rPr>
                    <w:color w:val="575659"/>
                    <w:w w:val="105"/>
                    <w:sz w:val="18"/>
                  </w:rPr>
                  <w:t>.</w:t>
                </w:r>
                <w:r>
                  <w:rPr>
                    <w:color w:val="363436"/>
                    <w:w w:val="105"/>
                    <w:sz w:val="18"/>
                  </w:rPr>
                  <w:t>3</w:t>
                </w:r>
                <w:r>
                  <w:rPr>
                    <w:color w:val="363436"/>
                    <w:spacing w:val="41"/>
                    <w:w w:val="105"/>
                    <w:sz w:val="18"/>
                  </w:rPr>
                  <w:t> </w:t>
                </w:r>
                <w:r>
                  <w:rPr>
                    <w:color w:val="363436"/>
                    <w:w w:val="105"/>
                    <w:sz w:val="18"/>
                  </w:rPr>
                  <w:t>Executing</w:t>
                </w:r>
                <w:r>
                  <w:rPr>
                    <w:color w:val="363436"/>
                    <w:spacing w:val="-3"/>
                    <w:w w:val="105"/>
                    <w:sz w:val="18"/>
                  </w:rPr>
                  <w:t> </w:t>
                </w:r>
                <w:r>
                  <w:rPr>
                    <w:color w:val="363436"/>
                    <w:w w:val="105"/>
                    <w:sz w:val="18"/>
                  </w:rPr>
                  <w:t>Your</w:t>
                </w:r>
                <w:r>
                  <w:rPr>
                    <w:color w:val="363436"/>
                    <w:spacing w:val="-7"/>
                    <w:w w:val="105"/>
                    <w:sz w:val="18"/>
                  </w:rPr>
                  <w:t> </w:t>
                </w:r>
                <w:r>
                  <w:rPr>
                    <w:color w:val="363436"/>
                    <w:w w:val="105"/>
                    <w:sz w:val="18"/>
                  </w:rPr>
                  <w:t>Research</w:t>
                </w:r>
                <w:r>
                  <w:rPr>
                    <w:color w:val="363436"/>
                    <w:spacing w:val="-5"/>
                    <w:w w:val="105"/>
                    <w:sz w:val="18"/>
                  </w:rPr>
                  <w:t> </w:t>
                </w:r>
                <w:r>
                  <w:rPr>
                    <w:color w:val="363436"/>
                    <w:w w:val="105"/>
                    <w:sz w:val="18"/>
                  </w:rPr>
                  <w:t>Plan</w:t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9.346008pt;margin-top:18.480848pt;width:17.8pt;height:13.15pt;mso-position-horizontal-relative:page;mso-position-vertical-relative:page;z-index:-21558784" type="#_x0000_t202" id="docshape11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i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i/>
                    <w:color w:val="383638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72.155914pt;margin-top:19.375004pt;width:135.2pt;height:12.05pt;mso-position-horizontal-relative:page;mso-position-vertical-relative:page;z-index:-21558272" type="#_x0000_t202" id="docshape113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83638"/>
                    <w:w w:val="105"/>
                    <w:sz w:val="18"/>
                  </w:rPr>
                  <w:t>3.3</w:t>
                </w:r>
                <w:r>
                  <w:rPr>
                    <w:color w:val="383638"/>
                    <w:spacing w:val="43"/>
                    <w:w w:val="105"/>
                    <w:sz w:val="18"/>
                  </w:rPr>
                  <w:t> </w:t>
                </w:r>
                <w:r>
                  <w:rPr>
                    <w:color w:val="383638"/>
                    <w:w w:val="105"/>
                    <w:sz w:val="18"/>
                  </w:rPr>
                  <w:t>Executing</w:t>
                </w:r>
                <w:r>
                  <w:rPr>
                    <w:color w:val="383638"/>
                    <w:spacing w:val="1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Your </w:t>
                </w:r>
                <w:r>
                  <w:rPr>
                    <w:color w:val="383638"/>
                    <w:w w:val="105"/>
                    <w:sz w:val="18"/>
                  </w:rPr>
                  <w:t>Research</w:t>
                </w:r>
                <w:r>
                  <w:rPr>
                    <w:color w:val="383638"/>
                    <w:spacing w:val="3"/>
                    <w:w w:val="105"/>
                    <w:sz w:val="18"/>
                  </w:rPr>
                  <w:t> </w:t>
                </w:r>
                <w:r>
                  <w:rPr>
                    <w:color w:val="383638"/>
                    <w:w w:val="105"/>
                    <w:sz w:val="18"/>
                  </w:rPr>
                  <w:t>Plan</w:t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2.581299pt;margin-top:24.680086pt;width:135.2pt;height:12.05pt;mso-position-horizontal-relative:page;mso-position-vertical-relative:page;z-index:-21557760" type="#_x0000_t202" id="docshape114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A383A"/>
                    <w:w w:val="105"/>
                    <w:sz w:val="18"/>
                  </w:rPr>
                  <w:t>3.3</w:t>
                </w:r>
                <w:r>
                  <w:rPr>
                    <w:color w:val="3A383A"/>
                    <w:spacing w:val="31"/>
                    <w:w w:val="105"/>
                    <w:sz w:val="18"/>
                  </w:rPr>
                  <w:t> </w:t>
                </w:r>
                <w:r>
                  <w:rPr>
                    <w:color w:val="3A383A"/>
                    <w:w w:val="105"/>
                    <w:sz w:val="18"/>
                  </w:rPr>
                  <w:t>Executing</w:t>
                </w:r>
                <w:r>
                  <w:rPr>
                    <w:color w:val="3A383A"/>
                    <w:spacing w:val="-5"/>
                    <w:w w:val="105"/>
                    <w:sz w:val="18"/>
                  </w:rPr>
                  <w:t> </w:t>
                </w:r>
                <w:r>
                  <w:rPr>
                    <w:color w:val="3A383A"/>
                    <w:w w:val="105"/>
                    <w:sz w:val="18"/>
                  </w:rPr>
                  <w:t>Your</w:t>
                </w:r>
                <w:r>
                  <w:rPr>
                    <w:color w:val="3A383A"/>
                    <w:spacing w:val="2"/>
                    <w:w w:val="105"/>
                    <w:sz w:val="18"/>
                  </w:rPr>
                  <w:t> </w:t>
                </w:r>
                <w:r>
                  <w:rPr>
                    <w:color w:val="3A383A"/>
                    <w:w w:val="105"/>
                    <w:sz w:val="18"/>
                  </w:rPr>
                  <w:t>Research</w:t>
                </w:r>
                <w:r>
                  <w:rPr>
                    <w:color w:val="3A383A"/>
                    <w:spacing w:val="10"/>
                    <w:w w:val="105"/>
                    <w:sz w:val="18"/>
                  </w:rPr>
                  <w:t> </w:t>
                </w:r>
                <w:r>
                  <w:rPr>
                    <w:color w:val="3A383A"/>
                    <w:w w:val="105"/>
                    <w:sz w:val="18"/>
                  </w:rPr>
                  <w:t>Plan</w:t>
                </w:r>
              </w:p>
            </w:txbxContent>
          </v:textbox>
          <w10:wrap type="none"/>
        </v:shape>
      </w:pict>
    </w:r>
    <w:r>
      <w:rPr/>
      <w:pict>
        <v:shape style="position:absolute;margin-left:430.202515pt;margin-top:24.552172pt;width:17.5pt;height:12.1pt;mso-position-horizontal-relative:page;mso-position-vertical-relative:page;z-index:-21557248" type="#_x0000_t202" id="docshape115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A383A"/>
                    <w:w w:val="10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585930pt;margin-top:20.399540pt;width:18.6pt;height:13.15pt;mso-position-horizontal-relative:page;mso-position-vertical-relative:page;z-index:-21556736" type="#_x0000_t202" id="docshape116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i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i/>
                    <w:color w:val="3B383A"/>
                    <w:w w:val="11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1.011497pt;margin-top:21.293373pt;width:130pt;height:12pt;mso-position-horizontal-relative:page;mso-position-vertical-relative:page;z-index:-21556224" type="#_x0000_t202" id="docshape117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B383A"/>
                    <w:sz w:val="18"/>
                  </w:rPr>
                  <w:t>Chapter</w:t>
                </w:r>
                <w:r>
                  <w:rPr>
                    <w:color w:val="3B383A"/>
                    <w:spacing w:val="-4"/>
                    <w:sz w:val="18"/>
                  </w:rPr>
                  <w:t> </w:t>
                </w:r>
                <w:r>
                  <w:rPr>
                    <w:rFonts w:ascii="Arial"/>
                    <w:color w:val="3B383A"/>
                    <w:sz w:val="17"/>
                  </w:rPr>
                  <w:t>Three  </w:t>
                </w:r>
                <w:r>
                  <w:rPr>
                    <w:rFonts w:ascii="Arial"/>
                    <w:color w:val="3B383A"/>
                    <w:spacing w:val="29"/>
                    <w:sz w:val="17"/>
                  </w:rPr>
                  <w:t> </w:t>
                </w:r>
                <w:r>
                  <w:rPr>
                    <w:rFonts w:ascii="Arial"/>
                    <w:color w:val="3B383A"/>
                    <w:sz w:val="17"/>
                  </w:rPr>
                  <w:t>Before</w:t>
                </w:r>
                <w:r>
                  <w:rPr>
                    <w:rFonts w:ascii="Arial"/>
                    <w:color w:val="3B383A"/>
                    <w:spacing w:val="-5"/>
                    <w:sz w:val="17"/>
                  </w:rPr>
                  <w:t> </w:t>
                </w:r>
                <w:r>
                  <w:rPr>
                    <w:color w:val="3B383A"/>
                    <w:sz w:val="18"/>
                  </w:rPr>
                  <w:t>You Write</w:t>
                </w:r>
              </w:p>
            </w:txbxContent>
          </v:textbox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2.755096pt;margin-top:21.631504pt;width:153.050pt;height:11.55pt;mso-position-horizontal-relative:page;mso-position-vertical-relative:page;z-index:-21555712" type="#_x0000_t202" id="docshape118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B383B"/>
                    <w:w w:val="105"/>
                    <w:sz w:val="17"/>
                  </w:rPr>
                  <w:t>3.4</w:t>
                </w:r>
                <w:r>
                  <w:rPr>
                    <w:rFonts w:ascii="Arial"/>
                    <w:color w:val="3B383B"/>
                    <w:spacing w:val="19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83B"/>
                    <w:w w:val="105"/>
                    <w:sz w:val="17"/>
                  </w:rPr>
                  <w:t>The</w:t>
                </w:r>
                <w:r>
                  <w:rPr>
                    <w:rFonts w:ascii="Arial"/>
                    <w:color w:val="3B383B"/>
                    <w:spacing w:val="-1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83B"/>
                    <w:w w:val="105"/>
                    <w:sz w:val="17"/>
                  </w:rPr>
                  <w:t>Legal</w:t>
                </w:r>
                <w:r>
                  <w:rPr>
                    <w:rFonts w:ascii="Arial"/>
                    <w:color w:val="3B383B"/>
                    <w:spacing w:val="-15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83B"/>
                    <w:w w:val="105"/>
                    <w:sz w:val="17"/>
                  </w:rPr>
                  <w:t>Writer</w:t>
                </w:r>
                <w:r>
                  <w:rPr>
                    <w:rFonts w:ascii="Arial"/>
                    <w:color w:val="3B383B"/>
                    <w:spacing w:val="-4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83B"/>
                    <w:w w:val="105"/>
                    <w:sz w:val="17"/>
                  </w:rPr>
                  <w:t>as</w:t>
                </w:r>
                <w:r>
                  <w:rPr>
                    <w:rFonts w:ascii="Arial"/>
                    <w:color w:val="3B383B"/>
                    <w:spacing w:val="-18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83B"/>
                    <w:w w:val="105"/>
                    <w:sz w:val="17"/>
                  </w:rPr>
                  <w:t>Digital</w:t>
                </w:r>
                <w:r>
                  <w:rPr>
                    <w:rFonts w:ascii="Arial"/>
                    <w:color w:val="3B383B"/>
                    <w:spacing w:val="-11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B383B"/>
                    <w:w w:val="105"/>
                    <w:sz w:val="17"/>
                  </w:rPr>
                  <w:t>Reader</w:t>
                </w:r>
              </w:p>
            </w:txbxContent>
          </v:textbox>
          <w10:wrap type="none"/>
        </v:shape>
      </w:pict>
    </w:r>
    <w:r>
      <w:rPr/>
      <w:pict>
        <v:shape style="position:absolute;margin-left:427.752686pt;margin-top:21.631504pt;width:16.3500pt;height:11.55pt;mso-position-horizontal-relative:page;mso-position-vertical-relative:page;z-index:-21555200" type="#_x0000_t202" id="docshape119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3B383B"/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1.486504pt;margin-top:17.444403pt;width:129.4500pt;height:12pt;mso-position-horizontal-relative:page;mso-position-vertical-relative:page;z-index:-21554688" type="#_x0000_t202" id="docshape120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A3838"/>
                    <w:spacing w:val="-1"/>
                    <w:w w:val="105"/>
                    <w:sz w:val="18"/>
                  </w:rPr>
                  <w:t>Chapter</w:t>
                </w:r>
                <w:r>
                  <w:rPr>
                    <w:color w:val="3A3838"/>
                    <w:spacing w:val="-11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w w:val="105"/>
                    <w:sz w:val="18"/>
                  </w:rPr>
                  <w:t>Three</w:t>
                </w:r>
                <w:r>
                  <w:rPr>
                    <w:color w:val="3A3838"/>
                    <w:spacing w:val="97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i/>
                    <w:color w:val="3A3838"/>
                    <w:spacing w:val="-1"/>
                    <w:w w:val="105"/>
                    <w:sz w:val="16"/>
                  </w:rPr>
                  <w:t>Before</w:t>
                </w:r>
                <w:r>
                  <w:rPr>
                    <w:rFonts w:ascii="Arial"/>
                    <w:i/>
                    <w:color w:val="3A3838"/>
                    <w:spacing w:val="-5"/>
                    <w:w w:val="105"/>
                    <w:sz w:val="16"/>
                  </w:rPr>
                  <w:t> </w:t>
                </w:r>
                <w:r>
                  <w:rPr>
                    <w:color w:val="3A3838"/>
                    <w:spacing w:val="-1"/>
                    <w:w w:val="105"/>
                    <w:sz w:val="18"/>
                  </w:rPr>
                  <w:t>You</w:t>
                </w:r>
                <w:r>
                  <w:rPr>
                    <w:color w:val="3A3838"/>
                    <w:spacing w:val="-8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w w:val="105"/>
                    <w:sz w:val="18"/>
                  </w:rPr>
                  <w:t>Write</w:t>
                </w:r>
              </w:p>
            </w:txbxContent>
          </v:textbox>
          <w10:wrap type="none"/>
        </v:shape>
      </w:pict>
    </w:r>
    <w:r>
      <w:rPr/>
      <w:pict>
        <v:shape style="position:absolute;margin-left:72.993477pt;margin-top:18.224754pt;width:16.6pt;height:11pt;mso-position-horizontal-relative:page;mso-position-vertical-relative:page;z-index:-21554176" type="#_x0000_t202" id="docshape121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rFonts w:ascii="Arial"/>
                    <w:i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i/>
                    <w:color w:val="3A3838"/>
                    <w:w w:val="105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4.966614pt;margin-top:27.606562pt;width:11.65pt;height:12.6pt;mso-position-horizontal-relative:page;mso-position-vertical-relative:page;z-index:-21553664" type="#_x0000_t202" id="docshape12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color w:val="383638"/>
                    <w:sz w:val="19"/>
                  </w:rPr>
                  <w:t>65</w:t>
                </w:r>
              </w:p>
            </w:txbxContent>
          </v:textbox>
          <w10:wrap type="none"/>
        </v:shape>
      </w:pict>
    </w:r>
    <w:r>
      <w:rPr/>
      <w:pict>
        <v:shape style="position:absolute;margin-left:287.4953pt;margin-top:27.925875pt;width:113.35pt;height:12.1pt;mso-position-horizontal-relative:page;mso-position-vertical-relative:page;z-index:-21553152" type="#_x0000_t202" id="docshape123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383638"/>
                    <w:sz w:val="18"/>
                  </w:rPr>
                  <w:t>3.5</w:t>
                </w:r>
                <w:r>
                  <w:rPr>
                    <w:rFonts w:ascii="Arial"/>
                    <w:color w:val="383638"/>
                    <w:spacing w:val="48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sz w:val="18"/>
                  </w:rPr>
                  <w:t>Knowing</w:t>
                </w:r>
                <w:r>
                  <w:rPr>
                    <w:rFonts w:ascii="Arial"/>
                    <w:color w:val="383638"/>
                    <w:spacing w:val="-17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sz w:val="18"/>
                  </w:rPr>
                  <w:t>When</w:t>
                </w:r>
                <w:r>
                  <w:rPr>
                    <w:rFonts w:ascii="Arial"/>
                    <w:color w:val="383638"/>
                    <w:spacing w:val="15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sz w:val="18"/>
                  </w:rPr>
                  <w:t>to</w:t>
                </w:r>
                <w:r>
                  <w:rPr>
                    <w:rFonts w:ascii="Arial"/>
                    <w:color w:val="383638"/>
                    <w:spacing w:val="25"/>
                    <w:sz w:val="18"/>
                  </w:rPr>
                  <w:t> </w:t>
                </w:r>
                <w:r>
                  <w:rPr>
                    <w:rFonts w:ascii="Arial"/>
                    <w:color w:val="383638"/>
                    <w:sz w:val="18"/>
                  </w:rPr>
                  <w:t>Stop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9.861603pt;margin-top:18.924217pt;width:37.550pt;height:12.6pt;mso-position-horizontal-relative:page;mso-position-vertical-relative:page;z-index:-21604352" type="#_x0000_t202" id="docshape13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12F2F"/>
                    <w:w w:val="105"/>
                    <w:sz w:val="19"/>
                  </w:rPr>
                  <w:t>Contents</w:t>
                </w:r>
              </w:p>
            </w:txbxContent>
          </v:textbox>
          <w10:wrap type="none"/>
        </v:shape>
      </w:pict>
    </w:r>
    <w:r>
      <w:rPr/>
      <w:pict>
        <v:shape style="position:absolute;margin-left:427.776306pt;margin-top:18.924217pt;width:19.850pt;height:12.6pt;mso-position-horizontal-relative:page;mso-position-vertical-relative:page;z-index:-21603840" type="#_x0000_t202" id="docshape14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12F2F"/>
                    <w:w w:val="105"/>
                    <w:sz w:val="19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xix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.091228pt;margin-top:18.757265pt;width:10.55pt;height:12.1pt;mso-position-horizontal-relative:page;mso-position-vertical-relative:page;z-index:-21552640" type="#_x0000_t202" id="docshape124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i/>
                    <w:sz w:val="18"/>
                  </w:rPr>
                </w:pPr>
                <w:r>
                  <w:rPr>
                    <w:rFonts w:ascii="Arial"/>
                    <w:i/>
                    <w:color w:val="383638"/>
                    <w:w w:val="90"/>
                    <w:sz w:val="18"/>
                  </w:rPr>
                  <w:t>66</w:t>
                </w:r>
              </w:p>
            </w:txbxContent>
          </v:textbox>
          <w10:wrap type="none"/>
        </v:shape>
      </w:pict>
    </w:r>
    <w:r>
      <w:rPr/>
      <w:pict>
        <v:shape style="position:absolute;margin-left:93.529503pt;margin-top:19.211266pt;width:129.65pt;height:11.55pt;mso-position-horizontal-relative:page;mso-position-vertical-relative:page;z-index:-21552128" type="#_x0000_t202" id="docshape125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8"/>
                    <w:sz w:val="17"/>
                  </w:rPr>
                  <w:t>Chapter</w:t>
                </w:r>
                <w:r>
                  <w:rPr>
                    <w:rFonts w:ascii="Arial"/>
                    <w:color w:val="383638"/>
                    <w:spacing w:val="-6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Three  </w:t>
                </w:r>
                <w:r>
                  <w:rPr>
                    <w:rFonts w:ascii="Arial"/>
                    <w:color w:val="383638"/>
                    <w:spacing w:val="27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Before</w:t>
                </w:r>
                <w:r>
                  <w:rPr>
                    <w:rFonts w:ascii="Arial"/>
                    <w:color w:val="383638"/>
                    <w:spacing w:val="-4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You</w:t>
                </w:r>
                <w:r>
                  <w:rPr>
                    <w:rFonts w:ascii="Arial"/>
                    <w:color w:val="383638"/>
                    <w:spacing w:val="-22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Write</w:t>
                </w:r>
              </w:p>
            </w:txbxContent>
          </v:textbox>
          <w10:wrap type="non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6.211212pt;margin-top:26.155552pt;width:12.6pt;height:12.6pt;mso-position-horizontal-relative:page;mso-position-vertical-relative:page;z-index:-21551616" type="#_x0000_t202" id="docshape126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i/>
                    <w:sz w:val="19"/>
                  </w:rPr>
                </w:pPr>
                <w:r>
                  <w:rPr>
                    <w:b/>
                    <w:i/>
                    <w:color w:val="383638"/>
                    <w:w w:val="110"/>
                    <w:sz w:val="19"/>
                  </w:rPr>
                  <w:t>67</w:t>
                </w:r>
              </w:p>
            </w:txbxContent>
          </v:textbox>
          <w10:wrap type="none"/>
        </v:shape>
      </w:pict>
    </w:r>
    <w:r>
      <w:rPr/>
      <w:pict>
        <v:shape style="position:absolute;margin-left:28.350861pt;margin-top:48.14753pt;width:10.45pt;height:33.15pt;mso-position-horizontal-relative:page;mso-position-vertical-relative:page;z-index:-21551104" type="#_x0000_t202" id="docshape127" filled="false" stroked="false">
          <v:textbox inset="0,0,0,0">
            <w:txbxContent>
              <w:p>
                <w:pPr>
                  <w:spacing w:line="642" w:lineRule="exact" w:before="0"/>
                  <w:ind w:left="20" w:right="0" w:firstLine="0"/>
                  <w:jc w:val="left"/>
                  <w:rPr>
                    <w:sz w:val="56"/>
                  </w:rPr>
                </w:pPr>
                <w:r>
                  <w:rPr>
                    <w:color w:val="383638"/>
                    <w:w w:val="65"/>
                    <w:sz w:val="56"/>
                  </w:rPr>
                  <w:t>..</w:t>
                </w:r>
              </w:p>
            </w:txbxContent>
          </v:textbox>
          <w10:wrap type="non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2.817028pt;margin-top:20.17499pt;width:13.4pt;height:11.55pt;mso-position-horizontal-relative:page;mso-position-vertical-relative:page;z-index:-21550592" type="#_x0000_t202" id="docshape128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8"/>
                    <w:w w:val="120"/>
                    <w:sz w:val="17"/>
                  </w:rPr>
                  <w:t>66</w:t>
                </w:r>
              </w:p>
            </w:txbxContent>
          </v:textbox>
          <w10:wrap type="none"/>
        </v:shape>
      </w:pict>
    </w:r>
    <w:r>
      <w:rPr/>
      <w:pict>
        <v:shape style="position:absolute;margin-left:100.331398pt;margin-top:20.17499pt;width:129.8pt;height:11.55pt;mso-position-horizontal-relative:page;mso-position-vertical-relative:page;z-index:-21550080" type="#_x0000_t202" id="docshape129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8"/>
                    <w:sz w:val="17"/>
                  </w:rPr>
                  <w:t>Chapter</w:t>
                </w:r>
                <w:r>
                  <w:rPr>
                    <w:rFonts w:ascii="Arial"/>
                    <w:color w:val="383638"/>
                    <w:spacing w:val="-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Three  </w:t>
                </w:r>
                <w:r>
                  <w:rPr>
                    <w:rFonts w:ascii="Arial"/>
                    <w:color w:val="383638"/>
                    <w:spacing w:val="29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Before</w:t>
                </w:r>
                <w:r>
                  <w:rPr>
                    <w:rFonts w:ascii="Arial"/>
                    <w:color w:val="383638"/>
                    <w:spacing w:val="-4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You</w:t>
                </w:r>
                <w:r>
                  <w:rPr>
                    <w:rFonts w:ascii="Arial"/>
                    <w:color w:val="383638"/>
                    <w:spacing w:val="-22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Write</w:t>
                </w:r>
              </w:p>
            </w:txbxContent>
          </v:textbox>
          <w10:wrap type="non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4.663605pt;margin-top:25.174953pt;width:12.7pt;height:12.6pt;mso-position-horizontal-relative:page;mso-position-vertical-relative:page;z-index:-21549568" type="#_x0000_t202" id="docshape13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83638"/>
                    <w:w w:val="110"/>
                    <w:sz w:val="19"/>
                  </w:rPr>
                  <w:t>67</w:t>
                </w:r>
              </w:p>
            </w:txbxContent>
          </v:textbox>
          <w10:wrap type="none"/>
        </v:shape>
      </w:pict>
    </w:r>
    <w:r>
      <w:rPr/>
      <w:pict>
        <v:shape style="position:absolute;margin-left:27.368771pt;margin-top:46.671448pt;width:10.45pt;height:33.1pt;mso-position-horizontal-relative:page;mso-position-vertical-relative:page;z-index:-21549056" type="#_x0000_t202" id="docshape133" filled="false" stroked="false">
          <v:textbox inset="0,0,0,0">
            <w:txbxContent>
              <w:p>
                <w:pPr>
                  <w:spacing w:line="642" w:lineRule="exact" w:before="0"/>
                  <w:ind w:left="20" w:right="0" w:firstLine="0"/>
                  <w:jc w:val="left"/>
                  <w:rPr>
                    <w:sz w:val="56"/>
                  </w:rPr>
                </w:pPr>
                <w:r>
                  <w:rPr>
                    <w:color w:val="383638"/>
                    <w:w w:val="65"/>
                    <w:sz w:val="56"/>
                  </w:rPr>
                  <w:t>..</w:t>
                </w:r>
              </w:p>
            </w:txbxContent>
          </v:textbox>
          <w10:wrap type="non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.190170pt;margin-top:20.340929pt;width:12.7pt;height:12.05pt;mso-position-horizontal-relative:page;mso-position-vertical-relative:page;z-index:-21548544" type="#_x0000_t202" id="docshape134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83636"/>
                    <w:w w:val="120"/>
                    <w:sz w:val="18"/>
                  </w:rPr>
                  <w:t>68</w:t>
                </w:r>
              </w:p>
            </w:txbxContent>
          </v:textbox>
          <w10:wrap type="none"/>
        </v:shape>
      </w:pict>
    </w:r>
    <w:r>
      <w:rPr/>
      <w:pict>
        <v:shape style="position:absolute;margin-left:116.345901pt;margin-top:20.340929pt;width:144.15pt;height:12.05pt;mso-position-horizontal-relative:page;mso-position-vertical-relative:page;z-index:-21548032" type="#_x0000_t202" id="docshape135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83636"/>
                    <w:sz w:val="18"/>
                  </w:rPr>
                  <w:t>Chapter</w:t>
                </w:r>
                <w:r>
                  <w:rPr>
                    <w:color w:val="383636"/>
                    <w:spacing w:val="13"/>
                    <w:sz w:val="18"/>
                  </w:rPr>
                  <w:t> </w:t>
                </w:r>
                <w:r>
                  <w:rPr>
                    <w:color w:val="383636"/>
                    <w:sz w:val="18"/>
                  </w:rPr>
                  <w:t>Four   </w:t>
                </w:r>
                <w:r>
                  <w:rPr>
                    <w:color w:val="383636"/>
                    <w:spacing w:val="4"/>
                    <w:sz w:val="18"/>
                  </w:rPr>
                  <w:t> </w:t>
                </w:r>
                <w:r>
                  <w:rPr>
                    <w:color w:val="383636"/>
                    <w:sz w:val="18"/>
                  </w:rPr>
                  <w:t>Facing</w:t>
                </w:r>
                <w:r>
                  <w:rPr>
                    <w:color w:val="383636"/>
                    <w:spacing w:val="16"/>
                    <w:sz w:val="18"/>
                  </w:rPr>
                  <w:t> </w:t>
                </w:r>
                <w:r>
                  <w:rPr>
                    <w:rFonts w:ascii="Arial"/>
                    <w:color w:val="383636"/>
                    <w:sz w:val="17"/>
                  </w:rPr>
                  <w:t>the</w:t>
                </w:r>
                <w:r>
                  <w:rPr>
                    <w:rFonts w:ascii="Arial"/>
                    <w:color w:val="383636"/>
                    <w:spacing w:val="-10"/>
                    <w:sz w:val="17"/>
                  </w:rPr>
                  <w:t> </w:t>
                </w:r>
                <w:r>
                  <w:rPr>
                    <w:color w:val="383636"/>
                    <w:sz w:val="18"/>
                  </w:rPr>
                  <w:t>Blank</w:t>
                </w:r>
                <w:r>
                  <w:rPr>
                    <w:color w:val="383636"/>
                    <w:spacing w:val="9"/>
                    <w:sz w:val="18"/>
                  </w:rPr>
                  <w:t> </w:t>
                </w:r>
                <w:r>
                  <w:rPr>
                    <w:color w:val="383636"/>
                    <w:sz w:val="18"/>
                  </w:rPr>
                  <w:t>Page</w:t>
                </w:r>
              </w:p>
            </w:txbxContent>
          </v:textbox>
          <w10:wrap type="non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1.552185pt;margin-top:24.03483pt;width:89pt;height:11.55pt;mso-position-horizontal-relative:page;mso-position-vertical-relative:page;z-index:-21547520" type="#_x0000_t202" id="docshape137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8"/>
                    <w:w w:val="105"/>
                    <w:sz w:val="17"/>
                  </w:rPr>
                  <w:t>4.1 </w:t>
                </w:r>
                <w:r>
                  <w:rPr>
                    <w:rFonts w:ascii="Arial"/>
                    <w:color w:val="383638"/>
                    <w:spacing w:val="9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Finding</w:t>
                </w:r>
                <w:r>
                  <w:rPr>
                    <w:rFonts w:ascii="Arial"/>
                    <w:color w:val="383638"/>
                    <w:spacing w:val="4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t>Structure</w:t>
                </w:r>
              </w:p>
            </w:txbxContent>
          </v:textbox>
          <w10:wrap type="none"/>
        </v:shape>
      </w:pict>
    </w:r>
    <w:r>
      <w:rPr/>
      <w:pict>
        <v:shape style="position:absolute;margin-left:431.676086pt;margin-top:23.261478pt;width:17.150pt;height:12.6pt;mso-position-horizontal-relative:page;mso-position-vertical-relative:page;z-index:-21547008" type="#_x0000_t202" id="docshape138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83638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0.307297pt;margin-top:19.898890pt;width:12.5pt;height:12.6pt;mso-position-horizontal-relative:page;mso-position-vertical-relative:page;z-index:-21546496" type="#_x0000_t202" id="docshape139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color w:val="3B383A"/>
                    <w:w w:val="110"/>
                    <w:sz w:val="19"/>
                  </w:rPr>
                  <w:t>70</w:t>
                </w:r>
              </w:p>
            </w:txbxContent>
          </v:textbox>
          <w10:wrap type="none"/>
        </v:shape>
      </w:pict>
    </w:r>
    <w:r>
      <w:rPr/>
      <w:pict>
        <v:shape style="position:absolute;margin-left:127.413696pt;margin-top:19.898890pt;width:144.050pt;height:12.6pt;mso-position-horizontal-relative:page;mso-position-vertical-relative:page;z-index:-21545984" type="#_x0000_t202" id="docshape140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B383A"/>
                    <w:spacing w:val="-1"/>
                    <w:sz w:val="19"/>
                  </w:rPr>
                  <w:t>Chapter</w:t>
                </w:r>
                <w:r>
                  <w:rPr>
                    <w:color w:val="3B383A"/>
                    <w:spacing w:val="-11"/>
                    <w:sz w:val="19"/>
                  </w:rPr>
                  <w:t> </w:t>
                </w:r>
                <w:r>
                  <w:rPr>
                    <w:color w:val="3B383A"/>
                    <w:spacing w:val="-1"/>
                    <w:sz w:val="19"/>
                  </w:rPr>
                  <w:t>Four</w:t>
                </w:r>
                <w:r>
                  <w:rPr>
                    <w:color w:val="3B383A"/>
                    <w:spacing w:val="58"/>
                    <w:sz w:val="19"/>
                  </w:rPr>
                  <w:t> </w:t>
                </w:r>
                <w:r>
                  <w:rPr>
                    <w:color w:val="3B383A"/>
                    <w:spacing w:val="-1"/>
                    <w:sz w:val="19"/>
                  </w:rPr>
                  <w:t>Facing</w:t>
                </w:r>
                <w:r>
                  <w:rPr>
                    <w:color w:val="3B383A"/>
                    <w:spacing w:val="-8"/>
                    <w:sz w:val="19"/>
                  </w:rPr>
                  <w:t> </w:t>
                </w:r>
                <w:r>
                  <w:rPr>
                    <w:color w:val="3B383A"/>
                    <w:spacing w:val="-1"/>
                    <w:sz w:val="19"/>
                  </w:rPr>
                  <w:t>the</w:t>
                </w:r>
                <w:r>
                  <w:rPr>
                    <w:color w:val="3B383A"/>
                    <w:spacing w:val="-7"/>
                    <w:sz w:val="19"/>
                  </w:rPr>
                  <w:t> </w:t>
                </w:r>
                <w:r>
                  <w:rPr>
                    <w:color w:val="3B383A"/>
                    <w:spacing w:val="-1"/>
                    <w:sz w:val="19"/>
                  </w:rPr>
                  <w:t>Blank</w:t>
                </w:r>
                <w:r>
                  <w:rPr>
                    <w:color w:val="3B383A"/>
                    <w:spacing w:val="-3"/>
                    <w:sz w:val="19"/>
                  </w:rPr>
                  <w:t> </w:t>
                </w:r>
                <w:r>
                  <w:rPr>
                    <w:color w:val="3B383A"/>
                    <w:sz w:val="19"/>
                  </w:rPr>
                  <w:t>Page</w:t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8.698212pt;margin-top:23.559225pt;width:88.55pt;height:11.55pt;mso-position-horizontal-relative:page;mso-position-vertical-relative:page;z-index:-21545472" type="#_x0000_t202" id="docshape141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A3838"/>
                    <w:spacing w:val="-1"/>
                    <w:w w:val="110"/>
                    <w:sz w:val="17"/>
                  </w:rPr>
                  <w:t>4.1</w:t>
                </w:r>
                <w:r>
                  <w:rPr>
                    <w:rFonts w:ascii="Arial"/>
                    <w:color w:val="3A3838"/>
                    <w:spacing w:val="14"/>
                    <w:w w:val="110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pacing w:val="-1"/>
                    <w:w w:val="110"/>
                    <w:sz w:val="17"/>
                  </w:rPr>
                  <w:t>Finding</w:t>
                </w:r>
                <w:r>
                  <w:rPr>
                    <w:rFonts w:ascii="Arial"/>
                    <w:color w:val="3A3838"/>
                    <w:spacing w:val="-16"/>
                    <w:w w:val="110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spacing w:val="-1"/>
                    <w:w w:val="110"/>
                    <w:sz w:val="17"/>
                  </w:rPr>
                  <w:t>Structure</w:t>
                </w:r>
              </w:p>
            </w:txbxContent>
          </v:textbox>
          <w10:wrap type="none"/>
        </v:shape>
      </w:pict>
    </w:r>
    <w:r>
      <w:rPr/>
      <w:pict>
        <v:shape style="position:absolute;margin-left:429.773987pt;margin-top:23.10494pt;width:17.7pt;height:12.1pt;mso-position-horizontal-relative:page;mso-position-vertical-relative:page;z-index:-21544960" type="#_x0000_t202" id="docshape14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A3838"/>
                    <w:w w:val="10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06768pt;margin-top:25.215279pt;width:18pt;height:13.15pt;mso-position-horizontal-relative:page;mso-position-vertical-relative:page;z-index:-21544448" type="#_x0000_t202" id="docshape143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A3838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6.690598pt;margin-top:26.109167pt;width:144.6pt;height:12pt;mso-position-horizontal-relative:page;mso-position-vertical-relative:page;z-index:-21543936" type="#_x0000_t202" id="docshape144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A3838"/>
                    <w:spacing w:val="-1"/>
                    <w:w w:val="105"/>
                    <w:sz w:val="18"/>
                  </w:rPr>
                  <w:t>Chapter</w:t>
                </w:r>
                <w:r>
                  <w:rPr>
                    <w:color w:val="3A3838"/>
                    <w:spacing w:val="-11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w w:val="105"/>
                    <w:sz w:val="18"/>
                  </w:rPr>
                  <w:t>Four</w:t>
                </w:r>
                <w:r>
                  <w:rPr>
                    <w:color w:val="3A3838"/>
                    <w:spacing w:val="56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w w:val="105"/>
                    <w:sz w:val="18"/>
                  </w:rPr>
                  <w:t>Facing</w:t>
                </w:r>
                <w:r>
                  <w:rPr>
                    <w:color w:val="3A3838"/>
                    <w:spacing w:val="2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w w:val="105"/>
                    <w:sz w:val="18"/>
                  </w:rPr>
                  <w:t>the</w:t>
                </w:r>
                <w:r>
                  <w:rPr>
                    <w:color w:val="3A3838"/>
                    <w:spacing w:val="14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w w:val="105"/>
                    <w:sz w:val="18"/>
                  </w:rPr>
                  <w:t>Blank</w:t>
                </w:r>
                <w:r>
                  <w:rPr>
                    <w:color w:val="3A3838"/>
                    <w:spacing w:val="-3"/>
                    <w:w w:val="105"/>
                    <w:sz w:val="18"/>
                  </w:rPr>
                  <w:t> </w:t>
                </w:r>
                <w:r>
                  <w:rPr>
                    <w:color w:val="3A3838"/>
                    <w:spacing w:val="-1"/>
                    <w:w w:val="105"/>
                    <w:sz w:val="18"/>
                  </w:rPr>
                  <w:t>Page</w:t>
                </w:r>
              </w:p>
            </w:txbxContent>
          </v:textbox>
          <w10:wrap type="non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886108pt;margin-top:22.287619pt;width:89.25pt;height:12.6pt;mso-position-horizontal-relative:page;mso-position-vertical-relative:page;z-index:-21543424" type="#_x0000_t202" id="docshape14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43133"/>
                    <w:w w:val="105"/>
                    <w:sz w:val="19"/>
                  </w:rPr>
                  <w:t>4</w:t>
                </w:r>
                <w:r>
                  <w:rPr>
                    <w:color w:val="4B494B"/>
                    <w:w w:val="105"/>
                    <w:sz w:val="19"/>
                  </w:rPr>
                  <w:t>.</w:t>
                </w:r>
                <w:r>
                  <w:rPr>
                    <w:color w:val="343133"/>
                    <w:w w:val="105"/>
                    <w:sz w:val="19"/>
                  </w:rPr>
                  <w:t>1</w:t>
                </w:r>
                <w:r>
                  <w:rPr>
                    <w:color w:val="343133"/>
                    <w:spacing w:val="46"/>
                    <w:w w:val="105"/>
                    <w:sz w:val="19"/>
                  </w:rPr>
                  <w:t> </w:t>
                </w:r>
                <w:r>
                  <w:rPr>
                    <w:color w:val="343133"/>
                    <w:w w:val="105"/>
                    <w:sz w:val="19"/>
                  </w:rPr>
                  <w:t>Finding</w:t>
                </w:r>
                <w:r>
                  <w:rPr>
                    <w:color w:val="343133"/>
                    <w:spacing w:val="-19"/>
                    <w:w w:val="105"/>
                    <w:sz w:val="19"/>
                  </w:rPr>
                  <w:t> </w:t>
                </w:r>
                <w:r>
                  <w:rPr>
                    <w:color w:val="343133"/>
                    <w:w w:val="105"/>
                    <w:sz w:val="19"/>
                  </w:rPr>
                  <w:t>Structure</w:t>
                </w:r>
              </w:p>
            </w:txbxContent>
          </v:textbox>
          <w10:wrap type="none"/>
        </v:shape>
      </w:pict>
    </w:r>
    <w:r>
      <w:rPr/>
      <w:pict>
        <v:shape style="position:absolute;margin-left:431.495789pt;margin-top:22.287619pt;width:17.150pt;height:12.6pt;mso-position-horizontal-relative:page;mso-position-vertical-relative:page;z-index:-21542912" type="#_x0000_t202" id="docshape146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color w:val="343133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1.738972pt;margin-top:25.507448pt;width:19.4pt;height:12.1pt;mso-position-horizontal-relative:page;mso-position-vertical-relative:page;z-index:-21542400" type="#_x0000_t202" id="docshape147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B3A3B"/>
                    <w:w w:val="12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0.443703pt;margin-top:25.635321pt;width:144.65pt;height:12.05pt;mso-position-horizontal-relative:page;mso-position-vertical-relative:page;z-index:-21541888" type="#_x0000_t202" id="docshape148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B3A3B"/>
                    <w:spacing w:val="-1"/>
                    <w:w w:val="105"/>
                    <w:sz w:val="18"/>
                  </w:rPr>
                  <w:t>Chapter</w:t>
                </w:r>
                <w:r>
                  <w:rPr>
                    <w:color w:val="3B3A3B"/>
                    <w:spacing w:val="-11"/>
                    <w:w w:val="105"/>
                    <w:sz w:val="18"/>
                  </w:rPr>
                  <w:t> </w:t>
                </w:r>
                <w:r>
                  <w:rPr>
                    <w:color w:val="3B3A3B"/>
                    <w:spacing w:val="-1"/>
                    <w:w w:val="105"/>
                    <w:sz w:val="18"/>
                  </w:rPr>
                  <w:t>Four</w:t>
                </w:r>
                <w:r>
                  <w:rPr>
                    <w:color w:val="3B3A3B"/>
                    <w:spacing w:val="56"/>
                    <w:w w:val="105"/>
                    <w:sz w:val="18"/>
                  </w:rPr>
                  <w:t> </w:t>
                </w:r>
                <w:r>
                  <w:rPr>
                    <w:color w:val="3B3A3B"/>
                    <w:spacing w:val="-1"/>
                    <w:w w:val="105"/>
                    <w:sz w:val="18"/>
                  </w:rPr>
                  <w:t>Facing</w:t>
                </w:r>
                <w:r>
                  <w:rPr>
                    <w:color w:val="3B3A3B"/>
                    <w:spacing w:val="-6"/>
                    <w:w w:val="105"/>
                    <w:sz w:val="18"/>
                  </w:rPr>
                  <w:t> </w:t>
                </w:r>
                <w:r>
                  <w:rPr>
                    <w:color w:val="504F52"/>
                    <w:spacing w:val="-1"/>
                    <w:w w:val="105"/>
                    <w:sz w:val="18"/>
                  </w:rPr>
                  <w:t>the</w:t>
                </w:r>
                <w:r>
                  <w:rPr>
                    <w:color w:val="504F52"/>
                    <w:spacing w:val="23"/>
                    <w:w w:val="105"/>
                    <w:sz w:val="18"/>
                  </w:rPr>
                  <w:t> </w:t>
                </w:r>
                <w:r>
                  <w:rPr>
                    <w:color w:val="3B3A3B"/>
                    <w:spacing w:val="-1"/>
                    <w:w w:val="105"/>
                    <w:sz w:val="18"/>
                  </w:rPr>
                  <w:t>Blank</w:t>
                </w:r>
                <w:r>
                  <w:rPr>
                    <w:color w:val="3B3A3B"/>
                    <w:spacing w:val="-3"/>
                    <w:w w:val="105"/>
                    <w:sz w:val="18"/>
                  </w:rPr>
                  <w:t> </w:t>
                </w:r>
                <w:r>
                  <w:rPr>
                    <w:color w:val="3B3A3B"/>
                    <w:spacing w:val="-1"/>
                    <w:w w:val="105"/>
                    <w:sz w:val="18"/>
                  </w:rPr>
                  <w:t>Page</w:t>
                </w:r>
              </w:p>
            </w:txbxContent>
          </v:textbox>
          <w10:wrap type="non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8.500397pt;margin-top:21.622976pt;width:89pt;height:11.55pt;mso-position-horizontal-relative:page;mso-position-vertical-relative:page;z-index:-21541376" type="#_x0000_t202" id="docshape149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83638"/>
                    <w:spacing w:val="-2"/>
                    <w:w w:val="110"/>
                    <w:sz w:val="17"/>
                  </w:rPr>
                  <w:t>4.1</w:t>
                </w:r>
                <w:r>
                  <w:rPr>
                    <w:rFonts w:ascii="Arial"/>
                    <w:color w:val="383638"/>
                    <w:spacing w:val="31"/>
                    <w:w w:val="110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pacing w:val="-2"/>
                    <w:w w:val="110"/>
                    <w:sz w:val="17"/>
                  </w:rPr>
                  <w:t>Finding</w:t>
                </w:r>
                <w:r>
                  <w:rPr>
                    <w:rFonts w:ascii="Arial"/>
                    <w:color w:val="383638"/>
                    <w:spacing w:val="-10"/>
                    <w:w w:val="110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pacing w:val="-1"/>
                    <w:w w:val="110"/>
                    <w:sz w:val="17"/>
                  </w:rPr>
                  <w:t>Structure</w:t>
                </w:r>
              </w:p>
            </w:txbxContent>
          </v:textbox>
          <w10:wrap type="none"/>
        </v:shape>
      </w:pict>
    </w:r>
    <w:r>
      <w:rPr/>
      <w:pict>
        <v:shape style="position:absolute;margin-left:431.484589pt;margin-top:20.849752pt;width:19.850pt;height:12.6pt;mso-position-horizontal-relative:page;mso-position-vertical-relative:page;z-index:-21540864" type="#_x0000_t202" id="docshape150" filled="false" stroked="false">
          <v:textbox inset="0,0,0,0">
            <w:txbxContent>
              <w:p>
                <w:pPr>
                  <w:spacing w:before="30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383638"/>
                    <w:w w:val="105"/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5.308067pt;margin-top:20.853558pt;width:17.8pt;height:12.6pt;mso-position-horizontal-relative:page;mso-position-vertical-relative:page;z-index:-21540352" type="#_x0000_t202" id="docshape151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i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i/>
                    <w:color w:val="383638"/>
                    <w:w w:val="11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135201pt;margin-top:21.172749pt;width:144.450pt;height:12.1pt;mso-position-horizontal-relative:page;mso-position-vertical-relative:page;z-index:-21539840" type="#_x0000_t202" id="docshape15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i/>
                    <w:sz w:val="18"/>
                  </w:rPr>
                </w:pPr>
                <w:r>
                  <w:rPr>
                    <w:rFonts w:ascii="Arial"/>
                    <w:color w:val="383638"/>
                    <w:sz w:val="17"/>
                  </w:rPr>
                  <w:t>Chapter</w:t>
                </w:r>
                <w:r>
                  <w:rPr>
                    <w:rFonts w:ascii="Arial"/>
                    <w:color w:val="383638"/>
                    <w:spacing w:val="-17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Four  </w:t>
                </w:r>
                <w:r>
                  <w:rPr>
                    <w:rFonts w:ascii="Arial"/>
                    <w:color w:val="383638"/>
                    <w:spacing w:val="15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Facing</w:t>
                </w:r>
                <w:r>
                  <w:rPr>
                    <w:rFonts w:ascii="Arial"/>
                    <w:color w:val="383638"/>
                    <w:spacing w:val="-12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the</w:t>
                </w:r>
                <w:r>
                  <w:rPr>
                    <w:rFonts w:ascii="Arial"/>
                    <w:color w:val="383638"/>
                    <w:spacing w:val="-23"/>
                    <w:sz w:val="17"/>
                  </w:rPr>
                  <w:t> </w:t>
                </w:r>
                <w:r>
                  <w:rPr>
                    <w:rFonts w:ascii="Arial"/>
                    <w:color w:val="383638"/>
                    <w:sz w:val="17"/>
                  </w:rPr>
                  <w:t>Blank</w:t>
                </w:r>
                <w:r>
                  <w:rPr>
                    <w:rFonts w:ascii="Arial"/>
                    <w:color w:val="383638"/>
                    <w:spacing w:val="-15"/>
                    <w:sz w:val="17"/>
                  </w:rPr>
                  <w:t> </w:t>
                </w:r>
                <w:r>
                  <w:rPr>
                    <w:rFonts w:ascii="Arial"/>
                    <w:i/>
                    <w:color w:val="383638"/>
                    <w:sz w:val="18"/>
                  </w:rPr>
                  <w:t>Page</w:t>
                </w:r>
              </w:p>
            </w:txbxContent>
          </v:textbox>
          <w10:wrap type="non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17469pt;margin-top:23.570616pt;width:17.850pt;height:11.55pt;mso-position-horizontal-relative:page;mso-position-vertical-relative:page;z-index:-21539328" type="#_x0000_t202" id="docshape153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3A383A"/>
                    <w:w w:val="115"/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1.814201pt;margin-top:23.570616pt;width:145.2pt;height:11.55pt;mso-position-horizontal-relative:page;mso-position-vertical-relative:page;z-index:-21538816" type="#_x0000_t202" id="docshape154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A383A"/>
                    <w:sz w:val="17"/>
                  </w:rPr>
                  <w:t>Chapter</w:t>
                </w:r>
                <w:r>
                  <w:rPr>
                    <w:rFonts w:ascii="Arial"/>
                    <w:color w:val="3A383A"/>
                    <w:spacing w:val="1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sz w:val="17"/>
                  </w:rPr>
                  <w:t>Four  </w:t>
                </w:r>
                <w:r>
                  <w:rPr>
                    <w:rFonts w:ascii="Arial"/>
                    <w:color w:val="3A383A"/>
                    <w:spacing w:val="13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sz w:val="17"/>
                  </w:rPr>
                  <w:t>Facing</w:t>
                </w:r>
                <w:r>
                  <w:rPr>
                    <w:rFonts w:ascii="Arial"/>
                    <w:color w:val="3A383A"/>
                    <w:spacing w:val="-3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sz w:val="17"/>
                  </w:rPr>
                  <w:t>the</w:t>
                </w:r>
                <w:r>
                  <w:rPr>
                    <w:rFonts w:ascii="Arial"/>
                    <w:color w:val="3A383A"/>
                    <w:spacing w:val="-14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sz w:val="17"/>
                  </w:rPr>
                  <w:t>Blank</w:t>
                </w:r>
                <w:r>
                  <w:rPr>
                    <w:rFonts w:ascii="Arial"/>
                    <w:color w:val="3A383A"/>
                    <w:spacing w:val="-13"/>
                    <w:sz w:val="17"/>
                  </w:rPr>
                  <w:t> </w:t>
                </w:r>
                <w:r>
                  <w:rPr>
                    <w:rFonts w:ascii="Arial"/>
                    <w:color w:val="3A383A"/>
                    <w:sz w:val="17"/>
                  </w:rPr>
                  <w:t>Page</w:t>
                </w:r>
              </w:p>
            </w:txbxContent>
          </v:textbox>
          <w10:wrap type="non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521088pt;margin-top:21.331352pt;width:145.7pt;height:12.6pt;mso-position-horizontal-relative:page;mso-position-vertical-relative:page;z-index:-21538304" type="#_x0000_t202" id="docshape155" filled="false" stroked="false">
          <v:textbox inset="0,0,0,0">
            <w:txbxContent>
              <w:p>
                <w:pPr>
                  <w:tabs>
                    <w:tab w:pos="2833" w:val="right" w:leader="none"/>
                  </w:tabs>
                  <w:spacing w:before="12"/>
                  <w:ind w:left="20" w:right="0" w:firstLine="0"/>
                  <w:jc w:val="left"/>
                  <w:rPr>
                    <w:b/>
                    <w:i/>
                    <w:sz w:val="19"/>
                  </w:rPr>
                </w:pPr>
                <w:r>
                  <w:rPr>
                    <w:rFonts w:ascii="Arial"/>
                    <w:color w:val="3A3838"/>
                    <w:w w:val="105"/>
                    <w:sz w:val="17"/>
                  </w:rPr>
                  <w:t>4.3</w:t>
                </w:r>
                <w:r>
                  <w:rPr>
                    <w:rFonts w:ascii="Arial"/>
                    <w:color w:val="3A3838"/>
                    <w:spacing w:val="28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w w:val="105"/>
                    <w:sz w:val="17"/>
                  </w:rPr>
                  <w:t>Facing</w:t>
                </w:r>
                <w:r>
                  <w:rPr>
                    <w:rFonts w:ascii="Arial"/>
                    <w:color w:val="3A3838"/>
                    <w:spacing w:val="-8"/>
                    <w:w w:val="105"/>
                    <w:sz w:val="17"/>
                  </w:rPr>
                  <w:t> </w:t>
                </w:r>
                <w:r>
                  <w:rPr>
                    <w:rFonts w:ascii="Arial"/>
                    <w:color w:val="3A3838"/>
                    <w:w w:val="105"/>
                    <w:sz w:val="17"/>
                  </w:rPr>
                  <w:t>Procrastination</w:t>
                  <w:tab/>
                </w:r>
                <w:r>
                  <w:rPr/>
                  <w:fldChar w:fldCharType="begin"/>
                </w:r>
                <w:r>
                  <w:rPr>
                    <w:b/>
                    <w:i/>
                    <w:color w:val="3A3838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225609pt;margin-top:20.891754pt;width:19pt;height:13.15pt;mso-position-horizontal-relative:page;mso-position-vertical-relative:page;z-index:-21537792" type="#_x0000_t202" id="docshape156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B3B3B"/>
                    <w:w w:val="1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3.355904pt;margin-top:21.78603pt;width:144.2pt;height:12.05pt;mso-position-horizontal-relative:page;mso-position-vertical-relative:page;z-index:-21537280" type="#_x0000_t202" id="docshape157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B3B3B"/>
                    <w:sz w:val="18"/>
                  </w:rPr>
                  <w:t>Chapter</w:t>
                </w:r>
                <w:r>
                  <w:rPr>
                    <w:color w:val="3B3B3B"/>
                    <w:spacing w:val="4"/>
                    <w:sz w:val="18"/>
                  </w:rPr>
                  <w:t> </w:t>
                </w:r>
                <w:r>
                  <w:rPr>
                    <w:color w:val="3B3B3B"/>
                    <w:sz w:val="18"/>
                  </w:rPr>
                  <w:t>Four    Facing</w:t>
                </w:r>
                <w:r>
                  <w:rPr>
                    <w:color w:val="3B3B3B"/>
                    <w:spacing w:val="12"/>
                    <w:sz w:val="18"/>
                  </w:rPr>
                  <w:t> </w:t>
                </w:r>
                <w:r>
                  <w:rPr>
                    <w:color w:val="3B3B3B"/>
                    <w:sz w:val="18"/>
                  </w:rPr>
                  <w:t>the</w:t>
                </w:r>
                <w:r>
                  <w:rPr>
                    <w:color w:val="3B3B3B"/>
                    <w:spacing w:val="34"/>
                    <w:sz w:val="18"/>
                  </w:rPr>
                  <w:t> </w:t>
                </w:r>
                <w:r>
                  <w:rPr>
                    <w:color w:val="3B3B3B"/>
                    <w:sz w:val="18"/>
                  </w:rPr>
                  <w:t>Blank</w:t>
                </w:r>
                <w:r>
                  <w:rPr>
                    <w:color w:val="3B3B3B"/>
                    <w:spacing w:val="5"/>
                    <w:sz w:val="18"/>
                  </w:rPr>
                  <w:t> </w:t>
                </w:r>
                <w:r>
                  <w:rPr>
                    <w:color w:val="3B3B3B"/>
                    <w:sz w:val="18"/>
                  </w:rPr>
                  <w:t>Page</w:t>
                </w:r>
              </w:p>
            </w:txbxContent>
          </v:textbox>
          <w10:wrap type="non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205902pt;margin-top:19.890179pt;width:107.8pt;height:12.6pt;mso-position-horizontal-relative:page;mso-position-vertical-relative:page;z-index:-21536768" type="#_x0000_t202" id="docshape158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A3838"/>
                    <w:sz w:val="19"/>
                  </w:rPr>
                  <w:t>4.3</w:t>
                </w:r>
                <w:r>
                  <w:rPr>
                    <w:color w:val="3A3838"/>
                    <w:spacing w:val="81"/>
                    <w:sz w:val="19"/>
                  </w:rPr>
                  <w:t> </w:t>
                </w:r>
                <w:r>
                  <w:rPr>
                    <w:color w:val="3A3838"/>
                    <w:sz w:val="19"/>
                  </w:rPr>
                  <w:t>Facing</w:t>
                </w:r>
                <w:r>
                  <w:rPr>
                    <w:color w:val="3A3838"/>
                    <w:spacing w:val="8"/>
                    <w:sz w:val="19"/>
                  </w:rPr>
                  <w:t> </w:t>
                </w:r>
                <w:r>
                  <w:rPr>
                    <w:color w:val="3A3838"/>
                    <w:sz w:val="19"/>
                  </w:rPr>
                  <w:t>Procrastination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429.0672pt;margin-top:19.755203pt;width:17.95pt;height:12.65pt;mso-position-horizontal-relative:page;mso-position-vertical-relative:page;z-index:-21536256" type="#_x0000_t202" id="docshape159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A3838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89283pt;margin-top:22.294683pt;width:17.45pt;height:12.6pt;mso-position-horizontal-relative:page;mso-position-vertical-relative:page;z-index:-21535744" type="#_x0000_t202" id="docshape160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B383B"/>
                    <w:w w:val="11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1.895599pt;margin-top:23.067915pt;width:144.65pt;height:11.55pt;mso-position-horizontal-relative:page;mso-position-vertical-relative:page;z-index:-21535232" type="#_x0000_t202" id="docshape161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3B383B"/>
                    <w:spacing w:val="-1"/>
                    <w:sz w:val="17"/>
                  </w:rPr>
                  <w:t>Chapter</w:t>
                </w:r>
                <w:r>
                  <w:rPr>
                    <w:rFonts w:ascii="Arial"/>
                    <w:color w:val="3B383B"/>
                    <w:spacing w:val="-10"/>
                    <w:sz w:val="17"/>
                  </w:rPr>
                  <w:t> </w:t>
                </w:r>
                <w:r>
                  <w:rPr>
                    <w:rFonts w:ascii="Arial"/>
                    <w:color w:val="3B383B"/>
                    <w:spacing w:val="-1"/>
                    <w:sz w:val="17"/>
                  </w:rPr>
                  <w:t>Four</w:t>
                </w:r>
                <w:r>
                  <w:rPr>
                    <w:rFonts w:ascii="Arial"/>
                    <w:color w:val="3B383B"/>
                    <w:spacing w:val="113"/>
                    <w:sz w:val="17"/>
                  </w:rPr>
                  <w:t> </w:t>
                </w:r>
                <w:r>
                  <w:rPr>
                    <w:rFonts w:ascii="Arial"/>
                    <w:color w:val="3B383B"/>
                    <w:spacing w:val="-1"/>
                    <w:sz w:val="17"/>
                  </w:rPr>
                  <w:t>Facing</w:t>
                </w:r>
                <w:r>
                  <w:rPr>
                    <w:rFonts w:ascii="Arial"/>
                    <w:color w:val="3B383B"/>
                    <w:spacing w:val="-3"/>
                    <w:sz w:val="17"/>
                  </w:rPr>
                  <w:t> </w:t>
                </w:r>
                <w:r>
                  <w:rPr>
                    <w:rFonts w:ascii="Arial"/>
                    <w:color w:val="3B383B"/>
                    <w:spacing w:val="-1"/>
                    <w:sz w:val="17"/>
                  </w:rPr>
                  <w:t>the</w:t>
                </w:r>
                <w:r>
                  <w:rPr>
                    <w:rFonts w:ascii="Arial"/>
                    <w:color w:val="3B383B"/>
                    <w:spacing w:val="2"/>
                    <w:sz w:val="17"/>
                  </w:rPr>
                  <w:t> </w:t>
                </w:r>
                <w:r>
                  <w:rPr>
                    <w:rFonts w:ascii="Arial"/>
                    <w:color w:val="3B383B"/>
                    <w:sz w:val="17"/>
                  </w:rPr>
                  <w:t>Blank</w:t>
                </w:r>
                <w:r>
                  <w:rPr>
                    <w:rFonts w:ascii="Arial"/>
                    <w:color w:val="3B383B"/>
                    <w:spacing w:val="-14"/>
                    <w:sz w:val="17"/>
                  </w:rPr>
                  <w:t> </w:t>
                </w:r>
                <w:r>
                  <w:rPr>
                    <w:rFonts w:ascii="Arial"/>
                    <w:color w:val="3B383B"/>
                    <w:sz w:val="17"/>
                  </w:rPr>
                  <w:t>Page</w:t>
                </w:r>
              </w:p>
            </w:txbxContent>
          </v:textbox>
          <w10:wrap type="non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334106pt;margin-top:23.752419pt;width:107.85pt;height:12.6pt;mso-position-horizontal-relative:page;mso-position-vertical-relative:page;z-index:-21534720" type="#_x0000_t202" id="docshape16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83638"/>
                    <w:w w:val="105"/>
                    <w:sz w:val="19"/>
                  </w:rPr>
                  <w:t>4.3</w:t>
                </w:r>
                <w:r>
                  <w:rPr>
                    <w:color w:val="383638"/>
                    <w:spacing w:val="14"/>
                    <w:w w:val="105"/>
                    <w:sz w:val="19"/>
                  </w:rPr>
                  <w:t> </w:t>
                </w:r>
                <w:r>
                  <w:rPr>
                    <w:color w:val="383638"/>
                    <w:w w:val="105"/>
                    <w:sz w:val="19"/>
                  </w:rPr>
                  <w:t>Facing</w:t>
                </w:r>
                <w:r>
                  <w:rPr>
                    <w:color w:val="383638"/>
                    <w:spacing w:val="-10"/>
                    <w:w w:val="105"/>
                    <w:sz w:val="19"/>
                  </w:rPr>
                  <w:t> </w:t>
                </w:r>
                <w:r>
                  <w:rPr>
                    <w:color w:val="383638"/>
                    <w:w w:val="105"/>
                    <w:sz w:val="19"/>
                  </w:rPr>
                  <w:t>Procrastination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429.291504pt;margin-top:23.305193pt;width:17.350pt;height:13.15pt;mso-position-horizontal-relative:page;mso-position-vertical-relative:page;z-index:-21534208" type="#_x0000_t202" id="docshape163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383638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6">
    <w:multiLevelType w:val="hybridMultilevel"/>
    <w:lvl w:ilvl="0">
      <w:start w:val="1"/>
      <w:numFmt w:val="lowerLetter"/>
      <w:lvlText w:val="%1."/>
      <w:lvlJc w:val="left"/>
      <w:pPr>
        <w:ind w:left="2833" w:hanging="388"/>
        <w:jc w:val="righ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3517" w:hanging="38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194" w:hanging="3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71" w:hanging="3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48" w:hanging="3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26" w:hanging="3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03" w:hanging="3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80" w:hanging="3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57" w:hanging="388"/>
      </w:pPr>
      <w:rPr>
        <w:rFonts w:hint="default"/>
      </w:rPr>
    </w:lvl>
  </w:abstractNum>
  <w:abstractNum w:abstractNumId="123">
    <w:multiLevelType w:val="hybridMultilevel"/>
    <w:lvl w:ilvl="0">
      <w:start w:val="1"/>
      <w:numFmt w:val="lowerLetter"/>
      <w:lvlText w:val="%1."/>
      <w:lvlJc w:val="left"/>
      <w:pPr>
        <w:ind w:left="861" w:hanging="378"/>
        <w:jc w:val="right"/>
      </w:pPr>
      <w:rPr>
        <w:rFonts w:hint="default"/>
        <w:w w:val="101"/>
      </w:rPr>
    </w:lvl>
    <w:lvl w:ilvl="1">
      <w:start w:val="0"/>
      <w:numFmt w:val="bullet"/>
      <w:lvlText w:val="•"/>
      <w:lvlJc w:val="left"/>
      <w:pPr>
        <w:ind w:left="1581" w:hanging="3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03" w:hanging="3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25" w:hanging="3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47" w:hanging="3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68" w:hanging="3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90" w:hanging="3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12" w:hanging="3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634" w:hanging="378"/>
      </w:pPr>
      <w:rPr>
        <w:rFonts w:hint="default"/>
      </w:rPr>
    </w:lvl>
  </w:abstractNum>
  <w:abstractNum w:abstractNumId="96">
    <w:multiLevelType w:val="hybridMultilevel"/>
    <w:lvl w:ilvl="0">
      <w:start w:val="0"/>
      <w:numFmt w:val="bullet"/>
      <w:lvlText w:val="•"/>
      <w:lvlJc w:val="left"/>
      <w:pPr>
        <w:ind w:left="173" w:hanging="7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A282A"/>
        <w:spacing w:val="2"/>
        <w:w w:val="116"/>
        <w:sz w:val="16"/>
        <w:szCs w:val="16"/>
      </w:rPr>
    </w:lvl>
    <w:lvl w:ilvl="1">
      <w:start w:val="0"/>
      <w:numFmt w:val="bullet"/>
      <w:lvlText w:val="•"/>
      <w:lvlJc w:val="left"/>
      <w:pPr>
        <w:ind w:left="966" w:hanging="7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52" w:hanging="7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38" w:hanging="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25" w:hanging="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11" w:hanging="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897" w:hanging="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684" w:hanging="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70" w:hanging="77"/>
      </w:pPr>
      <w:rPr>
        <w:rFonts w:hint="default"/>
      </w:rPr>
    </w:lvl>
  </w:abstractNum>
  <w:abstractNum w:abstractNumId="82">
    <w:multiLevelType w:val="hybridMultilevel"/>
    <w:lvl w:ilvl="0">
      <w:start w:val="1"/>
      <w:numFmt w:val="lowerLetter"/>
      <w:lvlText w:val="%1."/>
      <w:lvlJc w:val="left"/>
      <w:pPr>
        <w:ind w:left="870" w:hanging="390"/>
        <w:jc w:val="right"/>
      </w:pPr>
      <w:rPr>
        <w:rFonts w:hint="default"/>
        <w:w w:val="116"/>
      </w:rPr>
    </w:lvl>
    <w:lvl w:ilvl="1">
      <w:start w:val="0"/>
      <w:numFmt w:val="bullet"/>
      <w:lvlText w:val="•"/>
      <w:lvlJc w:val="left"/>
      <w:pPr>
        <w:ind w:left="1588" w:hanging="39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96" w:hanging="3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04" w:hanging="3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12" w:hanging="3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20" w:hanging="3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29" w:hanging="3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37" w:hanging="3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45" w:hanging="390"/>
      </w:pPr>
      <w:rPr>
        <w:rFonts w:hint="default"/>
      </w:rPr>
    </w:lvl>
  </w:abstractNum>
  <w:abstractNum w:abstractNumId="59">
    <w:multiLevelType w:val="hybridMultilevel"/>
    <w:lvl w:ilvl="0">
      <w:start w:val="0"/>
      <w:numFmt w:val="bullet"/>
      <w:lvlText w:val="•"/>
      <w:lvlJc w:val="left"/>
      <w:pPr>
        <w:ind w:left="824" w:hanging="9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83638"/>
        <w:w w:val="103"/>
        <w:sz w:val="18"/>
        <w:szCs w:val="18"/>
      </w:rPr>
    </w:lvl>
    <w:lvl w:ilvl="1">
      <w:start w:val="0"/>
      <w:numFmt w:val="bullet"/>
      <w:lvlText w:val="•"/>
      <w:lvlJc w:val="left"/>
      <w:pPr>
        <w:ind w:left="1578" w:hanging="9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36" w:hanging="9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95" w:hanging="9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53" w:hanging="9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11" w:hanging="9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70" w:hanging="9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28" w:hanging="9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87" w:hanging="94"/>
      </w:pPr>
      <w:rPr>
        <w:rFonts w:hint="default"/>
      </w:rPr>
    </w:lvl>
  </w:abstractNum>
  <w:abstractNum w:abstractNumId="55">
    <w:multiLevelType w:val="hybridMultilevel"/>
    <w:lvl w:ilvl="0">
      <w:start w:val="1"/>
      <w:numFmt w:val="decimal"/>
      <w:lvlText w:val="%1"/>
      <w:lvlJc w:val="left"/>
      <w:pPr>
        <w:ind w:left="480" w:hanging="187"/>
        <w:jc w:val="left"/>
      </w:pPr>
      <w:rPr>
        <w:rFonts w:hint="default"/>
        <w:w w:val="213"/>
      </w:rPr>
    </w:lvl>
    <w:lvl w:ilvl="1">
      <w:start w:val="0"/>
      <w:numFmt w:val="bullet"/>
      <w:lvlText w:val="•"/>
      <w:lvlJc w:val="left"/>
      <w:pPr>
        <w:ind w:left="559" w:hanging="18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39" w:hanging="1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18" w:hanging="1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98" w:hanging="1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77" w:hanging="1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57" w:hanging="1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37" w:hanging="1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16" w:hanging="187"/>
      </w:pPr>
      <w:rPr>
        <w:rFonts w:hint="default"/>
      </w:rPr>
    </w:lvl>
  </w:abstractNum>
  <w:abstractNum w:abstractNumId="80">
    <w:multiLevelType w:val="hybridMultilevel"/>
    <w:lvl w:ilvl="0">
      <w:start w:val="1"/>
      <w:numFmt w:val="decimal"/>
      <w:lvlText w:val="(%1)"/>
      <w:lvlJc w:val="left"/>
      <w:pPr>
        <w:ind w:left="113" w:hanging="29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83638"/>
        <w:w w:val="94"/>
        <w:sz w:val="23"/>
        <w:szCs w:val="23"/>
      </w:rPr>
    </w:lvl>
    <w:lvl w:ilvl="1">
      <w:start w:val="0"/>
      <w:numFmt w:val="bullet"/>
      <w:lvlText w:val="•"/>
      <w:lvlJc w:val="left"/>
      <w:pPr>
        <w:ind w:left="620" w:hanging="29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0" w:hanging="2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40" w:hanging="2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50" w:hanging="2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60" w:hanging="2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70" w:hanging="2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80" w:hanging="2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90" w:hanging="292"/>
      </w:pPr>
      <w:rPr>
        <w:rFonts w:hint="default"/>
      </w:rPr>
    </w:lvl>
  </w:abstractNum>
  <w:abstractNum w:abstractNumId="23">
    <w:multiLevelType w:val="hybridMultilevel"/>
    <w:lvl w:ilvl="0">
      <w:start w:val="1"/>
      <w:numFmt w:val="lowerLetter"/>
      <w:lvlText w:val="%1."/>
      <w:lvlJc w:val="left"/>
      <w:pPr>
        <w:ind w:left="1543" w:hanging="387"/>
        <w:jc w:val="right"/>
      </w:pPr>
      <w:rPr>
        <w:rFonts w:hint="default"/>
        <w:w w:val="115"/>
      </w:rPr>
    </w:lvl>
    <w:lvl w:ilvl="1">
      <w:start w:val="0"/>
      <w:numFmt w:val="bullet"/>
      <w:lvlText w:val="•"/>
      <w:lvlJc w:val="left"/>
      <w:pPr>
        <w:ind w:left="2224" w:hanging="38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09" w:hanging="3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93" w:hanging="3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78" w:hanging="3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63" w:hanging="3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47" w:hanging="3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32" w:hanging="3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16" w:hanging="387"/>
      </w:pPr>
      <w:rPr>
        <w:rFonts w:hint="default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481" w:hanging="19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565657"/>
        <w:w w:val="100"/>
        <w:sz w:val="19"/>
        <w:szCs w:val="19"/>
      </w:rPr>
    </w:lvl>
    <w:lvl w:ilvl="1">
      <w:start w:val="0"/>
      <w:numFmt w:val="bullet"/>
      <w:lvlText w:val="•"/>
      <w:lvlJc w:val="left"/>
      <w:pPr>
        <w:ind w:left="1260" w:hanging="19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41" w:hanging="19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21" w:hanging="19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02" w:hanging="19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82" w:hanging="19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63" w:hanging="19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43" w:hanging="19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24" w:hanging="196"/>
      </w:pPr>
      <w:rPr>
        <w:rFonts w:hint="default"/>
      </w:rPr>
    </w:lvl>
  </w:abstractNum>
  <w:abstractNum w:abstractNumId="9">
    <w:multiLevelType w:val="hybridMultilevel"/>
    <w:lvl w:ilvl="0">
      <w:start w:val="1"/>
      <w:numFmt w:val="lowerLetter"/>
      <w:lvlText w:val="%1."/>
      <w:lvlJc w:val="left"/>
      <w:pPr>
        <w:ind w:left="2307" w:hanging="390"/>
        <w:jc w:val="left"/>
      </w:pPr>
      <w:rPr>
        <w:rFonts w:hint="default"/>
        <w:w w:val="99"/>
      </w:rPr>
    </w:lvl>
    <w:lvl w:ilvl="1">
      <w:start w:val="1"/>
      <w:numFmt w:val="upperRoman"/>
      <w:lvlText w:val="%2."/>
      <w:lvlJc w:val="left"/>
      <w:pPr>
        <w:ind w:left="2739" w:hanging="45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312D2F"/>
        <w:w w:val="123"/>
        <w:sz w:val="21"/>
        <w:szCs w:val="21"/>
      </w:rPr>
    </w:lvl>
    <w:lvl w:ilvl="2">
      <w:start w:val="0"/>
      <w:numFmt w:val="bullet"/>
      <w:lvlText w:val="•"/>
      <w:lvlJc w:val="left"/>
      <w:pPr>
        <w:ind w:left="3333" w:hanging="4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26" w:hanging="4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20" w:hanging="4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13" w:hanging="4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07" w:hanging="4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00" w:hanging="4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94" w:hanging="454"/>
      </w:pPr>
      <w:rPr>
        <w:rFonts w:hint="default"/>
      </w:rPr>
    </w:lvl>
  </w:abstractNum>
  <w:abstractNum w:abstractNumId="125">
    <w:multiLevelType w:val="hybridMultilevel"/>
    <w:lvl w:ilvl="0">
      <w:start w:val="1"/>
      <w:numFmt w:val="decimal"/>
      <w:lvlText w:val="%1."/>
      <w:lvlJc w:val="left"/>
      <w:pPr>
        <w:ind w:left="644" w:hanging="302"/>
        <w:jc w:val="right"/>
      </w:pPr>
      <w:rPr>
        <w:rFonts w:hint="default"/>
        <w:spacing w:val="-1"/>
        <w:w w:val="86"/>
      </w:rPr>
    </w:lvl>
    <w:lvl w:ilvl="1">
      <w:start w:val="0"/>
      <w:numFmt w:val="bullet"/>
      <w:lvlText w:val="•"/>
      <w:lvlJc w:val="left"/>
      <w:pPr>
        <w:ind w:left="1401" w:hanging="3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62" w:hanging="3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23" w:hanging="3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85" w:hanging="3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46" w:hanging="3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07" w:hanging="3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68" w:hanging="3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30" w:hanging="302"/>
      </w:pPr>
      <w:rPr>
        <w:rFonts w:hint="default"/>
      </w:rPr>
    </w:lvl>
  </w:abstractNum>
  <w:abstractNum w:abstractNumId="124">
    <w:multiLevelType w:val="hybridMultilevel"/>
    <w:lvl w:ilvl="0">
      <w:start w:val="1"/>
      <w:numFmt w:val="decimal"/>
      <w:lvlText w:val="%1."/>
      <w:lvlJc w:val="left"/>
      <w:pPr>
        <w:ind w:left="120" w:hanging="273"/>
        <w:jc w:val="right"/>
      </w:pPr>
      <w:rPr>
        <w:rFonts w:hint="default"/>
        <w:spacing w:val="-1"/>
        <w:w w:val="110"/>
      </w:rPr>
    </w:lvl>
    <w:lvl w:ilvl="1">
      <w:start w:val="0"/>
      <w:numFmt w:val="bullet"/>
      <w:lvlText w:val="•"/>
      <w:lvlJc w:val="left"/>
      <w:pPr>
        <w:ind w:left="929" w:hanging="27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38" w:hanging="27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47" w:hanging="27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57" w:hanging="27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66" w:hanging="27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975" w:hanging="27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84" w:hanging="27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94" w:hanging="273"/>
      </w:pPr>
      <w:rPr>
        <w:rFonts w:hint="default"/>
      </w:rPr>
    </w:lvl>
  </w:abstractNum>
  <w:abstractNum w:abstractNumId="122">
    <w:multiLevelType w:val="hybridMultilevel"/>
    <w:lvl w:ilvl="0">
      <w:start w:val="1"/>
      <w:numFmt w:val="decimal"/>
      <w:lvlText w:val="(%1)"/>
      <w:lvlJc w:val="left"/>
      <w:pPr>
        <w:ind w:left="425" w:hanging="334"/>
        <w:jc w:val="left"/>
      </w:pPr>
      <w:rPr>
        <w:rFonts w:hint="default"/>
        <w:spacing w:val="-1"/>
        <w:w w:val="113"/>
      </w:rPr>
    </w:lvl>
    <w:lvl w:ilvl="1">
      <w:start w:val="0"/>
      <w:numFmt w:val="bullet"/>
      <w:lvlText w:val="•"/>
      <w:lvlJc w:val="left"/>
      <w:pPr>
        <w:ind w:left="1248" w:hanging="33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76" w:hanging="33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05" w:hanging="33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33" w:hanging="33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61" w:hanging="33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90" w:hanging="33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18" w:hanging="33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47" w:hanging="334"/>
      </w:pPr>
      <w:rPr>
        <w:rFonts w:hint="default"/>
      </w:rPr>
    </w:lvl>
  </w:abstractNum>
  <w:abstractNum w:abstractNumId="121">
    <w:multiLevelType w:val="hybridMultilevel"/>
    <w:lvl w:ilvl="0">
      <w:start w:val="1"/>
      <w:numFmt w:val="upperLetter"/>
      <w:lvlText w:val="%1"/>
      <w:lvlJc w:val="left"/>
      <w:pPr>
        <w:ind w:left="5344" w:hanging="35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344" w:hanging="352"/>
        <w:jc w:val="right"/>
      </w:pPr>
      <w:rPr>
        <w:rFonts w:hint="default"/>
        <w:spacing w:val="-1"/>
        <w:w w:val="101"/>
      </w:rPr>
    </w:lvl>
    <w:lvl w:ilvl="2">
      <w:start w:val="0"/>
      <w:numFmt w:val="bullet"/>
      <w:lvlText w:val="•"/>
      <w:lvlJc w:val="left"/>
      <w:pPr>
        <w:ind w:left="6012" w:hanging="35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349" w:hanging="35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685" w:hanging="3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21" w:hanging="3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58" w:hanging="3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94" w:hanging="3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31" w:hanging="352"/>
      </w:pPr>
      <w:rPr>
        <w:rFonts w:hint="default"/>
      </w:rPr>
    </w:lvl>
  </w:abstractNum>
  <w:abstractNum w:abstractNumId="120">
    <w:multiLevelType w:val="hybridMultilevel"/>
    <w:lvl w:ilvl="0">
      <w:start w:val="1"/>
      <w:numFmt w:val="decimal"/>
      <w:lvlText w:val="(%1)"/>
      <w:lvlJc w:val="left"/>
      <w:pPr>
        <w:ind w:left="527" w:hanging="35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83436"/>
        <w:w w:val="106"/>
        <w:sz w:val="23"/>
        <w:szCs w:val="23"/>
      </w:rPr>
    </w:lvl>
    <w:lvl w:ilvl="1">
      <w:start w:val="0"/>
      <w:numFmt w:val="bullet"/>
      <w:lvlText w:val="•"/>
      <w:lvlJc w:val="left"/>
      <w:pPr>
        <w:ind w:left="1279" w:hanging="35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39" w:hanging="3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98" w:hanging="3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58" w:hanging="3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18" w:hanging="3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77" w:hanging="3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37" w:hanging="3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97" w:hanging="351"/>
      </w:pPr>
      <w:rPr>
        <w:rFonts w:hint="default"/>
      </w:rPr>
    </w:lvl>
  </w:abstractNum>
  <w:abstractNum w:abstractNumId="119">
    <w:multiLevelType w:val="hybridMultilevel"/>
    <w:lvl w:ilvl="0">
      <w:start w:val="1"/>
      <w:numFmt w:val="decimal"/>
      <w:lvlText w:val="(%1)"/>
      <w:lvlJc w:val="left"/>
      <w:pPr>
        <w:ind w:left="393" w:hanging="33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83638"/>
        <w:w w:val="98"/>
        <w:sz w:val="23"/>
        <w:szCs w:val="23"/>
      </w:rPr>
    </w:lvl>
    <w:lvl w:ilvl="1">
      <w:start w:val="1"/>
      <w:numFmt w:val="decimal"/>
      <w:lvlText w:val="(%2)"/>
      <w:lvlJc w:val="left"/>
      <w:pPr>
        <w:ind w:left="406" w:hanging="402"/>
        <w:jc w:val="right"/>
      </w:pPr>
      <w:rPr>
        <w:rFonts w:hint="default"/>
        <w:w w:val="110"/>
      </w:rPr>
    </w:lvl>
    <w:lvl w:ilvl="2">
      <w:start w:val="0"/>
      <w:numFmt w:val="bullet"/>
      <w:lvlText w:val="•"/>
      <w:lvlJc w:val="left"/>
      <w:pPr>
        <w:ind w:left="2058" w:hanging="4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87" w:hanging="4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16" w:hanging="4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45" w:hanging="4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74" w:hanging="4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03" w:hanging="4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32" w:hanging="402"/>
      </w:pPr>
      <w:rPr>
        <w:rFonts w:hint="default"/>
      </w:rPr>
    </w:lvl>
  </w:abstractNum>
  <w:abstractNum w:abstractNumId="118">
    <w:multiLevelType w:val="hybridMultilevel"/>
    <w:lvl w:ilvl="0">
      <w:start w:val="1"/>
      <w:numFmt w:val="upperLetter"/>
      <w:lvlText w:val="%1"/>
      <w:lvlJc w:val="left"/>
      <w:pPr>
        <w:ind w:left="2168" w:hanging="703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2168" w:hanging="703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8" w:hanging="703"/>
        <w:jc w:val="left"/>
      </w:pPr>
      <w:rPr>
        <w:rFonts w:hint="default"/>
        <w:spacing w:val="-1"/>
        <w:w w:val="108"/>
      </w:rPr>
    </w:lvl>
    <w:lvl w:ilvl="3">
      <w:start w:val="1"/>
      <w:numFmt w:val="lowerLetter"/>
      <w:lvlText w:val="%4."/>
      <w:lvlJc w:val="left"/>
      <w:pPr>
        <w:ind w:left="2500" w:hanging="341"/>
        <w:jc w:val="left"/>
      </w:pPr>
      <w:rPr>
        <w:rFonts w:hint="default"/>
        <w:w w:val="108"/>
      </w:rPr>
    </w:lvl>
    <w:lvl w:ilvl="4">
      <w:start w:val="0"/>
      <w:numFmt w:val="bullet"/>
      <w:lvlText w:val="•"/>
      <w:lvlJc w:val="left"/>
      <w:pPr>
        <w:ind w:left="4563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51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39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27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15" w:hanging="341"/>
      </w:pPr>
      <w:rPr>
        <w:rFonts w:hint="default"/>
      </w:rPr>
    </w:lvl>
  </w:abstractNum>
  <w:abstractNum w:abstractNumId="117">
    <w:multiLevelType w:val="hybridMultilevel"/>
    <w:lvl w:ilvl="0">
      <w:start w:val="1"/>
      <w:numFmt w:val="upperLetter"/>
      <w:lvlText w:val="%1"/>
      <w:lvlJc w:val="left"/>
      <w:pPr>
        <w:ind w:left="1453" w:hanging="50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3" w:hanging="501"/>
        <w:jc w:val="left"/>
      </w:pPr>
      <w:rPr>
        <w:rFonts w:hint="default"/>
        <w:spacing w:val="-1"/>
        <w:w w:val="97"/>
      </w:rPr>
    </w:lvl>
    <w:lvl w:ilvl="2">
      <w:start w:val="1"/>
      <w:numFmt w:val="decimal"/>
      <w:lvlText w:val="%1.%2.%3"/>
      <w:lvlJc w:val="left"/>
      <w:pPr>
        <w:ind w:left="2156" w:hanging="701"/>
        <w:jc w:val="left"/>
      </w:pPr>
      <w:rPr>
        <w:rFonts w:hint="default"/>
        <w:spacing w:val="-5"/>
        <w:w w:val="107"/>
      </w:rPr>
    </w:lvl>
    <w:lvl w:ilvl="3">
      <w:start w:val="0"/>
      <w:numFmt w:val="bullet"/>
      <w:lvlText w:val="•"/>
      <w:lvlJc w:val="left"/>
      <w:pPr>
        <w:ind w:left="2976" w:hanging="7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92" w:hanging="7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09" w:hanging="7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25" w:hanging="7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41" w:hanging="7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58" w:hanging="701"/>
      </w:pPr>
      <w:rPr>
        <w:rFonts w:hint="default"/>
      </w:rPr>
    </w:lvl>
  </w:abstractNum>
  <w:abstractNum w:abstractNumId="115">
    <w:multiLevelType w:val="hybridMultilevel"/>
    <w:lvl w:ilvl="0">
      <w:start w:val="14"/>
      <w:numFmt w:val="decimal"/>
      <w:lvlText w:val="%1"/>
      <w:lvlJc w:val="left"/>
      <w:pPr>
        <w:ind w:left="6245" w:hanging="445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245" w:hanging="445"/>
        <w:jc w:val="right"/>
      </w:pPr>
      <w:rPr>
        <w:rFonts w:hint="default"/>
        <w:spacing w:val="-1"/>
        <w:w w:val="105"/>
      </w:rPr>
    </w:lvl>
    <w:lvl w:ilvl="2">
      <w:start w:val="0"/>
      <w:numFmt w:val="bullet"/>
      <w:lvlText w:val="•"/>
      <w:lvlJc w:val="left"/>
      <w:pPr>
        <w:ind w:left="6661" w:hanging="4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871" w:hanging="4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082" w:hanging="4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93" w:hanging="4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03" w:hanging="4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14" w:hanging="4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25" w:hanging="445"/>
      </w:pPr>
      <w:rPr>
        <w:rFonts w:hint="default"/>
      </w:rPr>
    </w:lvl>
  </w:abstractNum>
  <w:abstractNum w:abstractNumId="114">
    <w:multiLevelType w:val="hybridMultilevel"/>
    <w:lvl w:ilvl="0">
      <w:start w:val="14"/>
      <w:numFmt w:val="decimal"/>
      <w:lvlText w:val="%1"/>
      <w:lvlJc w:val="left"/>
      <w:pPr>
        <w:ind w:left="847" w:hanging="59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7" w:hanging="599"/>
        <w:jc w:val="left"/>
      </w:pPr>
      <w:rPr>
        <w:rFonts w:hint="default"/>
        <w:spacing w:val="-1"/>
        <w:w w:val="108"/>
      </w:rPr>
    </w:lvl>
    <w:lvl w:ilvl="2">
      <w:start w:val="1"/>
      <w:numFmt w:val="decimal"/>
      <w:lvlText w:val="%1.%2.%3"/>
      <w:lvlJc w:val="left"/>
      <w:pPr>
        <w:ind w:left="1754" w:hanging="887"/>
        <w:jc w:val="left"/>
      </w:pPr>
      <w:rPr>
        <w:rFonts w:hint="default"/>
        <w:spacing w:val="-1"/>
        <w:w w:val="110"/>
      </w:rPr>
    </w:lvl>
    <w:lvl w:ilvl="3">
      <w:start w:val="1"/>
      <w:numFmt w:val="lowerLetter"/>
      <w:lvlText w:val="%4."/>
      <w:lvlJc w:val="left"/>
      <w:pPr>
        <w:ind w:left="1716" w:hanging="332"/>
        <w:jc w:val="left"/>
      </w:pPr>
      <w:rPr>
        <w:rFonts w:hint="default"/>
        <w:w w:val="107"/>
      </w:rPr>
    </w:lvl>
    <w:lvl w:ilvl="4">
      <w:start w:val="0"/>
      <w:numFmt w:val="bullet"/>
      <w:lvlText w:val="•"/>
      <w:lvlJc w:val="left"/>
      <w:pPr>
        <w:ind w:left="3254" w:hanging="3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01" w:hanging="3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48" w:hanging="3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95" w:hanging="3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242" w:hanging="332"/>
      </w:pPr>
      <w:rPr>
        <w:rFonts w:hint="default"/>
      </w:rPr>
    </w:lvl>
  </w:abstractNum>
  <w:abstractNum w:abstractNumId="113">
    <w:multiLevelType w:val="hybridMultilevel"/>
    <w:lvl w:ilvl="0">
      <w:start w:val="14"/>
      <w:numFmt w:val="decimal"/>
      <w:lvlText w:val="%1"/>
      <w:lvlJc w:val="left"/>
      <w:pPr>
        <w:ind w:left="801" w:hanging="60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609"/>
        <w:jc w:val="left"/>
      </w:pPr>
      <w:rPr>
        <w:rFonts w:hint="default"/>
        <w:spacing w:val="-1"/>
        <w:w w:val="111"/>
      </w:rPr>
    </w:lvl>
    <w:lvl w:ilvl="2">
      <w:start w:val="1"/>
      <w:numFmt w:val="decimal"/>
      <w:lvlText w:val="%1.%2.%3"/>
      <w:lvlJc w:val="left"/>
      <w:pPr>
        <w:ind w:left="1727" w:hanging="899"/>
        <w:jc w:val="left"/>
      </w:pPr>
      <w:rPr>
        <w:rFonts w:hint="default"/>
        <w:spacing w:val="-1"/>
        <w:w w:val="106"/>
      </w:rPr>
    </w:lvl>
    <w:lvl w:ilvl="3">
      <w:start w:val="1"/>
      <w:numFmt w:val="lowerLetter"/>
      <w:lvlText w:val="%4."/>
      <w:lvlJc w:val="left"/>
      <w:pPr>
        <w:ind w:left="1689" w:hanging="333"/>
        <w:jc w:val="left"/>
      </w:pPr>
      <w:rPr>
        <w:rFonts w:hint="default"/>
        <w:w w:val="113"/>
      </w:rPr>
    </w:lvl>
    <w:lvl w:ilvl="4">
      <w:start w:val="0"/>
      <w:numFmt w:val="bullet"/>
      <w:lvlText w:val="•"/>
      <w:lvlJc w:val="left"/>
      <w:pPr>
        <w:ind w:left="2568" w:hanging="3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97" w:hanging="3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26" w:hanging="3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055" w:hanging="3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883" w:hanging="333"/>
      </w:pPr>
      <w:rPr>
        <w:rFonts w:hint="default"/>
      </w:rPr>
    </w:lvl>
  </w:abstractNum>
  <w:abstractNum w:abstractNumId="112">
    <w:multiLevelType w:val="hybridMultilevel"/>
    <w:lvl w:ilvl="0">
      <w:start w:val="0"/>
      <w:numFmt w:val="bullet"/>
      <w:lvlText w:val="•"/>
      <w:lvlJc w:val="left"/>
      <w:pPr>
        <w:ind w:left="554" w:hanging="7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626264"/>
        <w:w w:val="111"/>
        <w:sz w:val="16"/>
        <w:szCs w:val="16"/>
      </w:rPr>
    </w:lvl>
    <w:lvl w:ilvl="1">
      <w:start w:val="0"/>
      <w:numFmt w:val="bullet"/>
      <w:lvlText w:val="•"/>
      <w:lvlJc w:val="left"/>
      <w:pPr>
        <w:ind w:left="1323" w:hanging="7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87" w:hanging="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50" w:hanging="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14" w:hanging="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77" w:hanging="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41" w:hanging="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04" w:hanging="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668" w:hanging="72"/>
      </w:pPr>
      <w:rPr>
        <w:rFonts w:hint="default"/>
      </w:rPr>
    </w:lvl>
  </w:abstractNum>
  <w:abstractNum w:abstractNumId="111">
    <w:multiLevelType w:val="hybridMultilevel"/>
    <w:lvl w:ilvl="0">
      <w:start w:val="13"/>
      <w:numFmt w:val="decimal"/>
      <w:lvlText w:val="%1"/>
      <w:lvlJc w:val="left"/>
      <w:pPr>
        <w:ind w:left="2124" w:hanging="811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2124" w:hanging="811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24" w:hanging="811"/>
        <w:jc w:val="left"/>
      </w:pPr>
      <w:rPr>
        <w:rFonts w:hint="default"/>
        <w:spacing w:val="-1"/>
        <w:w w:val="107"/>
      </w:rPr>
    </w:lvl>
    <w:lvl w:ilvl="3">
      <w:start w:val="0"/>
      <w:numFmt w:val="bullet"/>
      <w:lvlText w:val="•"/>
      <w:lvlJc w:val="left"/>
      <w:pPr>
        <w:ind w:left="3984" w:hanging="8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06" w:hanging="8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27" w:hanging="8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49" w:hanging="8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70" w:hanging="8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92" w:hanging="811"/>
      </w:pPr>
      <w:rPr>
        <w:rFonts w:hint="default"/>
      </w:rPr>
    </w:lvl>
  </w:abstractNum>
  <w:abstractNum w:abstractNumId="110">
    <w:multiLevelType w:val="hybridMultilevel"/>
    <w:lvl w:ilvl="0">
      <w:start w:val="13"/>
      <w:numFmt w:val="decimal"/>
      <w:lvlText w:val="%1"/>
      <w:lvlJc w:val="left"/>
      <w:pPr>
        <w:ind w:left="1326" w:hanging="62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26" w:hanging="621"/>
        <w:jc w:val="left"/>
      </w:pPr>
      <w:rPr>
        <w:rFonts w:hint="default"/>
        <w:spacing w:val="-1"/>
        <w:w w:val="114"/>
      </w:rPr>
    </w:lvl>
    <w:lvl w:ilvl="2">
      <w:start w:val="1"/>
      <w:numFmt w:val="decimal"/>
      <w:lvlText w:val="%1.%2.%3"/>
      <w:lvlJc w:val="left"/>
      <w:pPr>
        <w:ind w:left="2127" w:hanging="823"/>
        <w:jc w:val="left"/>
      </w:pPr>
      <w:rPr>
        <w:rFonts w:hint="default"/>
        <w:spacing w:val="-1"/>
        <w:w w:val="112"/>
      </w:rPr>
    </w:lvl>
    <w:lvl w:ilvl="3">
      <w:start w:val="0"/>
      <w:numFmt w:val="bullet"/>
      <w:lvlText w:val="•"/>
      <w:lvlJc w:val="left"/>
      <w:pPr>
        <w:ind w:left="3501" w:hanging="8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91" w:hanging="8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82" w:hanging="8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72" w:hanging="8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63" w:hanging="8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54" w:hanging="823"/>
      </w:pPr>
      <w:rPr>
        <w:rFonts w:hint="default"/>
      </w:rPr>
    </w:lvl>
  </w:abstractNum>
  <w:abstractNum w:abstractNumId="109">
    <w:multiLevelType w:val="hybridMultilevel"/>
    <w:lvl w:ilvl="0">
      <w:start w:val="0"/>
      <w:numFmt w:val="bullet"/>
      <w:lvlText w:val="•"/>
      <w:lvlJc w:val="left"/>
      <w:pPr>
        <w:ind w:left="1045" w:hanging="69"/>
      </w:pPr>
      <w:rPr>
        <w:rFonts w:hint="default" w:ascii="Times New Roman" w:hAnsi="Times New Roman" w:eastAsia="Times New Roman" w:cs="Times New Roman"/>
        <w:b w:val="0"/>
        <w:bCs w:val="0"/>
        <w:i/>
        <w:iCs/>
        <w:color w:val="545456"/>
        <w:w w:val="106"/>
        <w:sz w:val="16"/>
        <w:szCs w:val="16"/>
      </w:rPr>
    </w:lvl>
    <w:lvl w:ilvl="1">
      <w:start w:val="0"/>
      <w:numFmt w:val="bullet"/>
      <w:lvlText w:val="•"/>
      <w:lvlJc w:val="left"/>
      <w:pPr>
        <w:ind w:left="1768" w:hanging="6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96" w:hanging="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25" w:hanging="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53" w:hanging="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82" w:hanging="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10" w:hanging="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38" w:hanging="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67" w:hanging="69"/>
      </w:pPr>
      <w:rPr>
        <w:rFonts w:hint="default"/>
      </w:rPr>
    </w:lvl>
  </w:abstractNum>
  <w:abstractNum w:abstractNumId="108">
    <w:multiLevelType w:val="hybridMultilevel"/>
    <w:lvl w:ilvl="0">
      <w:start w:val="1"/>
      <w:numFmt w:val="decimal"/>
      <w:lvlText w:val="%1."/>
      <w:lvlJc w:val="left"/>
      <w:pPr>
        <w:ind w:left="158" w:hanging="227"/>
        <w:jc w:val="right"/>
      </w:pPr>
      <w:rPr>
        <w:rFonts w:hint="default"/>
        <w:spacing w:val="-1"/>
        <w:w w:val="113"/>
      </w:rPr>
    </w:lvl>
    <w:lvl w:ilvl="1">
      <w:start w:val="0"/>
      <w:numFmt w:val="bullet"/>
      <w:lvlText w:val="•"/>
      <w:lvlJc w:val="left"/>
      <w:pPr>
        <w:ind w:left="6000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237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475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13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51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89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27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65" w:hanging="227"/>
      </w:pPr>
      <w:rPr>
        <w:rFonts w:hint="default"/>
      </w:rPr>
    </w:lvl>
  </w:abstractNum>
  <w:abstractNum w:abstractNumId="107">
    <w:multiLevelType w:val="hybridMultilevel"/>
    <w:lvl w:ilvl="0">
      <w:start w:val="1"/>
      <w:numFmt w:val="decimal"/>
      <w:lvlText w:val="%1."/>
      <w:lvlJc w:val="left"/>
      <w:pPr>
        <w:ind w:left="290" w:hanging="242"/>
        <w:jc w:val="right"/>
      </w:pPr>
      <w:rPr>
        <w:rFonts w:hint="default"/>
        <w:spacing w:val="-1"/>
        <w:w w:val="103"/>
      </w:rPr>
    </w:lvl>
    <w:lvl w:ilvl="1">
      <w:start w:val="0"/>
      <w:numFmt w:val="bullet"/>
      <w:lvlText w:val="•"/>
      <w:lvlJc w:val="left"/>
      <w:pPr>
        <w:ind w:left="1066" w:hanging="24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33" w:hanging="2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00" w:hanging="2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66" w:hanging="2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33" w:hanging="2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900" w:hanging="2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667" w:hanging="2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33" w:hanging="242"/>
      </w:pPr>
      <w:rPr>
        <w:rFonts w:hint="default"/>
      </w:rPr>
    </w:lvl>
  </w:abstractNum>
  <w:abstractNum w:abstractNumId="106">
    <w:multiLevelType w:val="hybridMultilevel"/>
    <w:lvl w:ilvl="0">
      <w:start w:val="12"/>
      <w:numFmt w:val="decimal"/>
      <w:lvlText w:val="%1"/>
      <w:lvlJc w:val="left"/>
      <w:pPr>
        <w:ind w:left="1334" w:hanging="62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34" w:hanging="621"/>
        <w:jc w:val="left"/>
      </w:pPr>
      <w:rPr>
        <w:rFonts w:hint="default" w:ascii="Arial" w:hAnsi="Arial" w:eastAsia="Arial" w:cs="Arial"/>
        <w:b/>
        <w:bCs/>
        <w:i w:val="0"/>
        <w:iCs w:val="0"/>
        <w:color w:val="383636"/>
        <w:spacing w:val="-1"/>
        <w:w w:val="108"/>
        <w:sz w:val="21"/>
        <w:szCs w:val="21"/>
      </w:rPr>
    </w:lvl>
    <w:lvl w:ilvl="2">
      <w:start w:val="0"/>
      <w:numFmt w:val="bullet"/>
      <w:lvlText w:val="•"/>
      <w:lvlJc w:val="left"/>
      <w:pPr>
        <w:ind w:left="2746" w:hanging="6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50" w:hanging="6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53" w:hanging="6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57" w:hanging="6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60" w:hanging="6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64" w:hanging="6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67" w:hanging="621"/>
      </w:pPr>
      <w:rPr>
        <w:rFonts w:hint="default"/>
      </w:rPr>
    </w:lvl>
  </w:abstractNum>
  <w:abstractNum w:abstractNumId="105">
    <w:multiLevelType w:val="hybridMultilevel"/>
    <w:lvl w:ilvl="0">
      <w:start w:val="1"/>
      <w:numFmt w:val="decimal"/>
      <w:lvlText w:val="%1."/>
      <w:lvlJc w:val="left"/>
      <w:pPr>
        <w:ind w:left="2545" w:hanging="757"/>
        <w:jc w:val="left"/>
      </w:pPr>
      <w:rPr>
        <w:rFonts w:hint="default"/>
        <w:spacing w:val="-1"/>
        <w:w w:val="217"/>
      </w:rPr>
    </w:lvl>
    <w:lvl w:ilvl="1">
      <w:start w:val="1"/>
      <w:numFmt w:val="lowerLetter"/>
      <w:lvlText w:val="%2."/>
      <w:lvlJc w:val="left"/>
      <w:pPr>
        <w:ind w:left="3290" w:hanging="803"/>
        <w:jc w:val="left"/>
      </w:pPr>
      <w:rPr>
        <w:rFonts w:hint="default"/>
        <w:spacing w:val="-1"/>
        <w:w w:val="223"/>
      </w:rPr>
    </w:lvl>
    <w:lvl w:ilvl="2">
      <w:start w:val="0"/>
      <w:numFmt w:val="bullet"/>
      <w:lvlText w:val="•"/>
      <w:lvlJc w:val="left"/>
      <w:pPr>
        <w:ind w:left="3836" w:hanging="8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72" w:hanging="8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08" w:hanging="8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4" w:hanging="8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81" w:hanging="8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17" w:hanging="8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53" w:hanging="803"/>
      </w:pPr>
      <w:rPr>
        <w:rFonts w:hint="default"/>
      </w:rPr>
    </w:lvl>
  </w:abstractNum>
  <w:abstractNum w:abstractNumId="104">
    <w:multiLevelType w:val="hybridMultilevel"/>
    <w:lvl w:ilvl="0">
      <w:start w:val="1"/>
      <w:numFmt w:val="upperRoman"/>
      <w:lvlText w:val="%1."/>
      <w:lvlJc w:val="left"/>
      <w:pPr>
        <w:ind w:left="1085" w:hanging="49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83636"/>
        <w:w w:val="200"/>
        <w:sz w:val="20"/>
        <w:szCs w:val="20"/>
      </w:rPr>
    </w:lvl>
    <w:lvl w:ilvl="1">
      <w:start w:val="1"/>
      <w:numFmt w:val="upperLetter"/>
      <w:lvlText w:val="%2."/>
      <w:lvlJc w:val="left"/>
      <w:pPr>
        <w:ind w:left="1366" w:hanging="64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83636"/>
        <w:w w:val="96"/>
        <w:sz w:val="21"/>
        <w:szCs w:val="21"/>
      </w:rPr>
    </w:lvl>
    <w:lvl w:ilvl="2">
      <w:start w:val="0"/>
      <w:numFmt w:val="bullet"/>
      <w:lvlText w:val="•"/>
      <w:lvlJc w:val="left"/>
      <w:pPr>
        <w:ind w:left="1700" w:hanging="6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71" w:hanging="6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43" w:hanging="6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14" w:hanging="6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86" w:hanging="6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057" w:hanging="6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729" w:hanging="645"/>
      </w:pPr>
      <w:rPr>
        <w:rFonts w:hint="default"/>
      </w:rPr>
    </w:lvl>
  </w:abstractNum>
  <w:abstractNum w:abstractNumId="103">
    <w:multiLevelType w:val="hybridMultilevel"/>
    <w:lvl w:ilvl="0">
      <w:start w:val="1"/>
      <w:numFmt w:val="decimal"/>
      <w:lvlText w:val="%1."/>
      <w:lvlJc w:val="left"/>
      <w:pPr>
        <w:ind w:left="1362" w:hanging="279"/>
        <w:jc w:val="right"/>
      </w:pPr>
      <w:rPr>
        <w:rFonts w:hint="default"/>
        <w:w w:val="101"/>
      </w:rPr>
    </w:lvl>
    <w:lvl w:ilvl="1">
      <w:start w:val="2"/>
      <w:numFmt w:val="decimal"/>
      <w:lvlText w:val="%2."/>
      <w:lvlJc w:val="left"/>
      <w:pPr>
        <w:ind w:left="797" w:hanging="242"/>
        <w:jc w:val="left"/>
      </w:pPr>
      <w:rPr>
        <w:rFonts w:hint="default"/>
        <w:w w:val="114"/>
      </w:rPr>
    </w:lvl>
    <w:lvl w:ilvl="2">
      <w:start w:val="0"/>
      <w:numFmt w:val="bullet"/>
      <w:lvlText w:val="•"/>
      <w:lvlJc w:val="left"/>
      <w:pPr>
        <w:ind w:left="1990" w:hanging="2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20" w:hanging="2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50" w:hanging="2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81" w:hanging="2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511" w:hanging="2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41" w:hanging="2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772" w:hanging="242"/>
      </w:pPr>
      <w:rPr>
        <w:rFonts w:hint="default"/>
      </w:rPr>
    </w:lvl>
  </w:abstractNum>
  <w:abstractNum w:abstractNumId="102">
    <w:multiLevelType w:val="hybridMultilevel"/>
    <w:lvl w:ilvl="0">
      <w:start w:val="1"/>
      <w:numFmt w:val="lowerLetter"/>
      <w:lvlText w:val="%1."/>
      <w:lvlJc w:val="left"/>
      <w:pPr>
        <w:ind w:left="1542" w:hanging="369"/>
        <w:jc w:val="right"/>
      </w:pPr>
      <w:rPr>
        <w:rFonts w:hint="default"/>
        <w:w w:val="116"/>
      </w:rPr>
    </w:lvl>
    <w:lvl w:ilvl="1">
      <w:start w:val="1"/>
      <w:numFmt w:val="upperRoman"/>
      <w:lvlText w:val="%2."/>
      <w:lvlJc w:val="left"/>
      <w:pPr>
        <w:ind w:left="776" w:hanging="18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83636"/>
        <w:w w:val="109"/>
        <w:sz w:val="21"/>
        <w:szCs w:val="21"/>
      </w:rPr>
    </w:lvl>
    <w:lvl w:ilvl="2">
      <w:start w:val="1"/>
      <w:numFmt w:val="upperLetter"/>
      <w:lvlText w:val="%3."/>
      <w:lvlJc w:val="left"/>
      <w:pPr>
        <w:ind w:left="787" w:hanging="26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83636"/>
        <w:spacing w:val="-1"/>
        <w:w w:val="105"/>
        <w:sz w:val="21"/>
        <w:szCs w:val="21"/>
      </w:rPr>
    </w:lvl>
    <w:lvl w:ilvl="3">
      <w:start w:val="0"/>
      <w:numFmt w:val="bullet"/>
      <w:lvlText w:val="•"/>
      <w:lvlJc w:val="left"/>
      <w:pPr>
        <w:ind w:left="2756" w:hanging="2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64" w:hanging="2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72" w:hanging="2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580" w:hanging="2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88" w:hanging="2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796" w:hanging="269"/>
      </w:pPr>
      <w:rPr>
        <w:rFonts w:hint="default"/>
      </w:rPr>
    </w:lvl>
  </w:abstractNum>
  <w:abstractNum w:abstractNumId="101">
    <w:multiLevelType w:val="hybridMultilevel"/>
    <w:lvl w:ilvl="0">
      <w:start w:val="1"/>
      <w:numFmt w:val="lowerLetter"/>
      <w:lvlText w:val="%1."/>
      <w:lvlJc w:val="left"/>
      <w:pPr>
        <w:ind w:left="825" w:hanging="375"/>
        <w:jc w:val="right"/>
      </w:pPr>
      <w:rPr>
        <w:rFonts w:hint="default"/>
        <w:spacing w:val="0"/>
        <w:w w:val="123"/>
      </w:rPr>
    </w:lvl>
    <w:lvl w:ilvl="1">
      <w:start w:val="1"/>
      <w:numFmt w:val="lowerRoman"/>
      <w:lvlText w:val="%2."/>
      <w:lvlJc w:val="left"/>
      <w:pPr>
        <w:ind w:left="1242" w:hanging="226"/>
        <w:jc w:val="left"/>
      </w:pPr>
      <w:rPr>
        <w:rFonts w:hint="default" w:ascii="Arial" w:hAnsi="Arial" w:eastAsia="Arial" w:cs="Arial"/>
        <w:b w:val="0"/>
        <w:bCs w:val="0"/>
        <w:i/>
        <w:iCs/>
        <w:color w:val="383638"/>
        <w:w w:val="118"/>
        <w:sz w:val="20"/>
        <w:szCs w:val="20"/>
      </w:rPr>
    </w:lvl>
    <w:lvl w:ilvl="2">
      <w:start w:val="1"/>
      <w:numFmt w:val="decimal"/>
      <w:lvlText w:val="%3."/>
      <w:lvlJc w:val="left"/>
      <w:pPr>
        <w:ind w:left="1354" w:hanging="246"/>
        <w:jc w:val="left"/>
      </w:pPr>
      <w:rPr>
        <w:rFonts w:hint="default"/>
        <w:spacing w:val="-1"/>
        <w:w w:val="113"/>
      </w:rPr>
    </w:lvl>
    <w:lvl w:ilvl="3">
      <w:start w:val="0"/>
      <w:numFmt w:val="bullet"/>
      <w:lvlText w:val="•"/>
      <w:lvlJc w:val="left"/>
      <w:pPr>
        <w:ind w:left="2064" w:hanging="24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68" w:hanging="24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73" w:hanging="24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77" w:hanging="24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82" w:hanging="24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86" w:hanging="246"/>
      </w:pPr>
      <w:rPr>
        <w:rFonts w:hint="default"/>
      </w:rPr>
    </w:lvl>
  </w:abstractNum>
  <w:abstractNum w:abstractNumId="100">
    <w:multiLevelType w:val="hybridMultilevel"/>
    <w:lvl w:ilvl="0">
      <w:start w:val="1"/>
      <w:numFmt w:val="decimal"/>
      <w:lvlText w:val="(%1)"/>
      <w:lvlJc w:val="left"/>
      <w:pPr>
        <w:ind w:left="823" w:hanging="35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83638"/>
        <w:w w:val="95"/>
        <w:sz w:val="21"/>
        <w:szCs w:val="21"/>
      </w:rPr>
    </w:lvl>
    <w:lvl w:ilvl="1">
      <w:start w:val="1"/>
      <w:numFmt w:val="lowerLetter"/>
      <w:lvlText w:val="(%2)"/>
      <w:lvlJc w:val="left"/>
      <w:pPr>
        <w:ind w:left="541" w:hanging="3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A3838"/>
        <w:spacing w:val="-1"/>
        <w:w w:val="108"/>
        <w:sz w:val="23"/>
        <w:szCs w:val="23"/>
      </w:rPr>
    </w:lvl>
    <w:lvl w:ilvl="2">
      <w:start w:val="0"/>
      <w:numFmt w:val="bullet"/>
      <w:lvlText w:val="•"/>
      <w:lvlJc w:val="left"/>
      <w:pPr>
        <w:ind w:left="1509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98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88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77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67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56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46" w:hanging="356"/>
      </w:pPr>
      <w:rPr>
        <w:rFonts w:hint="default"/>
      </w:rPr>
    </w:lvl>
  </w:abstractNum>
  <w:abstractNum w:abstractNumId="99">
    <w:multiLevelType w:val="hybridMultilevel"/>
    <w:lvl w:ilvl="0">
      <w:start w:val="1"/>
      <w:numFmt w:val="lowerLetter"/>
      <w:lvlText w:val="(%1)"/>
      <w:lvlJc w:val="left"/>
      <w:pPr>
        <w:ind w:left="1358" w:hanging="29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83636"/>
        <w:spacing w:val="-1"/>
        <w:w w:val="109"/>
        <w:sz w:val="21"/>
        <w:szCs w:val="21"/>
      </w:rPr>
    </w:lvl>
    <w:lvl w:ilvl="1">
      <w:start w:val="1"/>
      <w:numFmt w:val="decimal"/>
      <w:lvlText w:val="(%2)"/>
      <w:lvlJc w:val="left"/>
      <w:pPr>
        <w:ind w:left="1458" w:hanging="33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83636"/>
        <w:w w:val="108"/>
        <w:sz w:val="21"/>
        <w:szCs w:val="21"/>
      </w:rPr>
    </w:lvl>
    <w:lvl w:ilvl="2">
      <w:start w:val="0"/>
      <w:numFmt w:val="bullet"/>
      <w:lvlText w:val="•"/>
      <w:lvlJc w:val="left"/>
      <w:pPr>
        <w:ind w:left="2217" w:hanging="3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75" w:hanging="3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33" w:hanging="3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91" w:hanging="3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49" w:hanging="3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07" w:hanging="3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65" w:hanging="335"/>
      </w:pPr>
      <w:rPr>
        <w:rFonts w:hint="default"/>
      </w:rPr>
    </w:lvl>
  </w:abstractNum>
  <w:abstractNum w:abstractNumId="98">
    <w:multiLevelType w:val="hybridMultilevel"/>
    <w:lvl w:ilvl="0">
      <w:start w:val="11"/>
      <w:numFmt w:val="decimal"/>
      <w:lvlText w:val="%1"/>
      <w:lvlJc w:val="left"/>
      <w:pPr>
        <w:ind w:left="1544" w:hanging="606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544" w:hanging="606"/>
        <w:jc w:val="left"/>
      </w:pPr>
      <w:rPr>
        <w:rFonts w:hint="default"/>
        <w:spacing w:val="-1"/>
        <w:w w:val="113"/>
      </w:rPr>
    </w:lvl>
    <w:lvl w:ilvl="2">
      <w:start w:val="1"/>
      <w:numFmt w:val="decimal"/>
      <w:lvlText w:val="%1.%2.%3"/>
      <w:lvlJc w:val="left"/>
      <w:pPr>
        <w:ind w:left="2443" w:hanging="888"/>
        <w:jc w:val="left"/>
      </w:pPr>
      <w:rPr>
        <w:rFonts w:hint="default"/>
        <w:spacing w:val="-5"/>
        <w:w w:val="109"/>
      </w:rPr>
    </w:lvl>
    <w:lvl w:ilvl="3">
      <w:start w:val="0"/>
      <w:numFmt w:val="bullet"/>
      <w:lvlText w:val="•"/>
      <w:lvlJc w:val="left"/>
      <w:pPr>
        <w:ind w:left="3788" w:hanging="8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62" w:hanging="8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36" w:hanging="8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10" w:hanging="8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84" w:hanging="8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58" w:hanging="888"/>
      </w:pPr>
      <w:rPr>
        <w:rFonts w:hint="default"/>
      </w:rPr>
    </w:lvl>
  </w:abstractNum>
  <w:abstractNum w:abstractNumId="97">
    <w:multiLevelType w:val="hybridMultilevel"/>
    <w:lvl w:ilvl="0">
      <w:start w:val="11"/>
      <w:numFmt w:val="decimal"/>
      <w:lvlText w:val="%1"/>
      <w:lvlJc w:val="left"/>
      <w:pPr>
        <w:ind w:left="783" w:hanging="60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3" w:hanging="608"/>
        <w:jc w:val="left"/>
      </w:pPr>
      <w:rPr>
        <w:rFonts w:hint="default"/>
        <w:spacing w:val="-1"/>
        <w:w w:val="108"/>
      </w:rPr>
    </w:lvl>
    <w:lvl w:ilvl="2">
      <w:start w:val="1"/>
      <w:numFmt w:val="decimal"/>
      <w:lvlText w:val="%1.%2.%3"/>
      <w:lvlJc w:val="left"/>
      <w:pPr>
        <w:ind w:left="1694" w:hanging="901"/>
        <w:jc w:val="right"/>
      </w:pPr>
      <w:rPr>
        <w:rFonts w:hint="default"/>
        <w:spacing w:val="-1"/>
        <w:w w:val="104"/>
      </w:rPr>
    </w:lvl>
    <w:lvl w:ilvl="3">
      <w:start w:val="1"/>
      <w:numFmt w:val="lowerLetter"/>
      <w:lvlText w:val="%4."/>
      <w:lvlJc w:val="left"/>
      <w:pPr>
        <w:ind w:left="2713" w:hanging="274"/>
        <w:jc w:val="left"/>
      </w:pPr>
      <w:rPr>
        <w:rFonts w:hint="default"/>
        <w:w w:val="112"/>
      </w:rPr>
    </w:lvl>
    <w:lvl w:ilvl="4">
      <w:start w:val="1"/>
      <w:numFmt w:val="lowerRoman"/>
      <w:lvlText w:val="%5."/>
      <w:lvlJc w:val="left"/>
      <w:pPr>
        <w:ind w:left="2297" w:hanging="27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83636"/>
        <w:spacing w:val="-1"/>
        <w:w w:val="112"/>
        <w:sz w:val="20"/>
        <w:szCs w:val="20"/>
      </w:rPr>
    </w:lvl>
    <w:lvl w:ilvl="5">
      <w:start w:val="0"/>
      <w:numFmt w:val="bullet"/>
      <w:lvlText w:val="•"/>
      <w:lvlJc w:val="left"/>
      <w:pPr>
        <w:ind w:left="3562" w:hanging="2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04" w:hanging="2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246" w:hanging="2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089" w:hanging="274"/>
      </w:pPr>
      <w:rPr>
        <w:rFonts w:hint="default"/>
      </w:rPr>
    </w:lvl>
  </w:abstractNum>
  <w:abstractNum w:abstractNumId="95">
    <w:multiLevelType w:val="hybridMultilevel"/>
    <w:lvl w:ilvl="0">
      <w:start w:val="1"/>
      <w:numFmt w:val="decimal"/>
      <w:lvlText w:val="%1."/>
      <w:lvlJc w:val="left"/>
      <w:pPr>
        <w:ind w:left="1257" w:hanging="288"/>
        <w:jc w:val="righ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1960" w:hanging="28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60" w:hanging="2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60" w:hanging="2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61" w:hanging="2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61" w:hanging="2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61" w:hanging="2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62" w:hanging="2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62" w:hanging="288"/>
      </w:pPr>
      <w:rPr>
        <w:rFonts w:hint="default"/>
      </w:rPr>
    </w:lvl>
  </w:abstractNum>
  <w:abstractNum w:abstractNumId="94">
    <w:multiLevelType w:val="hybridMultilevel"/>
    <w:lvl w:ilvl="0">
      <w:start w:val="0"/>
      <w:numFmt w:val="bullet"/>
      <w:lvlText w:val="•"/>
      <w:lvlJc w:val="left"/>
      <w:pPr>
        <w:ind w:left="179" w:hanging="7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B383A"/>
        <w:w w:val="119"/>
        <w:sz w:val="16"/>
        <w:szCs w:val="16"/>
      </w:rPr>
    </w:lvl>
    <w:lvl w:ilvl="1">
      <w:start w:val="0"/>
      <w:numFmt w:val="bullet"/>
      <w:lvlText w:val="•"/>
      <w:lvlJc w:val="left"/>
      <w:pPr>
        <w:ind w:left="969" w:hanging="7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59" w:hanging="7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49" w:hanging="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39" w:hanging="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29" w:hanging="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919" w:hanging="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09" w:hanging="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98" w:hanging="77"/>
      </w:pPr>
      <w:rPr>
        <w:rFonts w:hint="default"/>
      </w:rPr>
    </w:lvl>
  </w:abstractNum>
  <w:abstractNum w:abstractNumId="93">
    <w:multiLevelType w:val="hybridMultilevel"/>
    <w:lvl w:ilvl="0">
      <w:start w:val="1"/>
      <w:numFmt w:val="lowerLetter"/>
      <w:lvlText w:val="%1."/>
      <w:lvlJc w:val="left"/>
      <w:pPr>
        <w:ind w:left="871" w:hanging="401"/>
        <w:jc w:val="right"/>
      </w:pPr>
      <w:rPr>
        <w:rFonts w:hint="default"/>
        <w:w w:val="115"/>
      </w:rPr>
    </w:lvl>
    <w:lvl w:ilvl="1">
      <w:start w:val="1"/>
      <w:numFmt w:val="upperRoman"/>
      <w:lvlText w:val="%2."/>
      <w:lvlJc w:val="left"/>
      <w:pPr>
        <w:ind w:left="1150" w:hanging="435"/>
        <w:jc w:val="left"/>
      </w:pPr>
      <w:rPr>
        <w:rFonts w:hint="default"/>
        <w:w w:val="112"/>
      </w:rPr>
    </w:lvl>
    <w:lvl w:ilvl="2">
      <w:start w:val="1"/>
      <w:numFmt w:val="lowerLetter"/>
      <w:lvlText w:val="%3."/>
      <w:lvlJc w:val="left"/>
      <w:pPr>
        <w:ind w:left="1513" w:hanging="394"/>
        <w:jc w:val="right"/>
      </w:pPr>
      <w:rPr>
        <w:rFonts w:hint="default"/>
        <w:w w:val="112"/>
      </w:rPr>
    </w:lvl>
    <w:lvl w:ilvl="3">
      <w:start w:val="1"/>
      <w:numFmt w:val="upperRoman"/>
      <w:lvlText w:val="%4."/>
      <w:lvlJc w:val="left"/>
      <w:pPr>
        <w:ind w:left="491" w:hanging="15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A3838"/>
        <w:w w:val="109"/>
        <w:sz w:val="21"/>
        <w:szCs w:val="21"/>
      </w:rPr>
    </w:lvl>
    <w:lvl w:ilvl="4">
      <w:start w:val="0"/>
      <w:numFmt w:val="bullet"/>
      <w:lvlText w:val="•"/>
      <w:lvlJc w:val="left"/>
      <w:pPr>
        <w:ind w:left="1781" w:hanging="1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043" w:hanging="1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05" w:hanging="1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567" w:hanging="1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829" w:hanging="157"/>
      </w:pPr>
      <w:rPr>
        <w:rFonts w:hint="default"/>
      </w:rPr>
    </w:lvl>
  </w:abstractNum>
  <w:abstractNum w:abstractNumId="91">
    <w:multiLevelType w:val="hybridMultilevel"/>
    <w:lvl w:ilvl="0">
      <w:start w:val="10"/>
      <w:numFmt w:val="decimal"/>
      <w:lvlText w:val="%1"/>
      <w:lvlJc w:val="left"/>
      <w:pPr>
        <w:ind w:left="5569" w:hanging="47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69" w:hanging="472"/>
        <w:jc w:val="right"/>
      </w:pPr>
      <w:rPr>
        <w:rFonts w:hint="default"/>
        <w:w w:val="108"/>
      </w:rPr>
    </w:lvl>
    <w:lvl w:ilvl="2">
      <w:start w:val="0"/>
      <w:numFmt w:val="bullet"/>
      <w:lvlText w:val="•"/>
      <w:lvlJc w:val="left"/>
      <w:pPr>
        <w:ind w:left="6128" w:hanging="4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412" w:hanging="4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697" w:hanging="4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81" w:hanging="4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65" w:hanging="4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0" w:hanging="4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34" w:hanging="472"/>
      </w:pPr>
      <w:rPr>
        <w:rFonts w:hint="default"/>
      </w:rPr>
    </w:lvl>
  </w:abstractNum>
  <w:abstractNum w:abstractNumId="90">
    <w:multiLevelType w:val="hybridMultilevel"/>
    <w:lvl w:ilvl="0">
      <w:start w:val="10"/>
      <w:numFmt w:val="decimal"/>
      <w:lvlText w:val="%1"/>
      <w:lvlJc w:val="left"/>
      <w:pPr>
        <w:ind w:left="668" w:hanging="49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8" w:hanging="495"/>
        <w:jc w:val="left"/>
      </w:pPr>
      <w:rPr>
        <w:rFonts w:hint="default"/>
        <w:spacing w:val="-1"/>
        <w:w w:val="114"/>
      </w:rPr>
    </w:lvl>
    <w:lvl w:ilvl="2">
      <w:start w:val="1"/>
      <w:numFmt w:val="decimal"/>
      <w:lvlText w:val="%1.%2.%3"/>
      <w:lvlJc w:val="left"/>
      <w:pPr>
        <w:ind w:left="1350" w:hanging="685"/>
        <w:jc w:val="left"/>
      </w:pPr>
      <w:rPr>
        <w:rFonts w:hint="default" w:ascii="Arial" w:hAnsi="Arial" w:eastAsia="Arial" w:cs="Arial"/>
        <w:b/>
        <w:bCs/>
        <w:i w:val="0"/>
        <w:iCs w:val="0"/>
        <w:color w:val="3B383A"/>
        <w:spacing w:val="-1"/>
        <w:w w:val="110"/>
        <w:sz w:val="20"/>
        <w:szCs w:val="20"/>
      </w:rPr>
    </w:lvl>
    <w:lvl w:ilvl="3">
      <w:start w:val="1"/>
      <w:numFmt w:val="lowerLetter"/>
      <w:lvlText w:val="%4."/>
      <w:lvlJc w:val="left"/>
      <w:pPr>
        <w:ind w:left="1700" w:hanging="342"/>
        <w:jc w:val="left"/>
      </w:pPr>
      <w:rPr>
        <w:rFonts w:hint="default"/>
        <w:spacing w:val="-1"/>
        <w:w w:val="107"/>
      </w:rPr>
    </w:lvl>
    <w:lvl w:ilvl="4">
      <w:start w:val="0"/>
      <w:numFmt w:val="bullet"/>
      <w:lvlText w:val="•"/>
      <w:lvlJc w:val="left"/>
      <w:pPr>
        <w:ind w:left="2933" w:hanging="3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49" w:hanging="3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66" w:hanging="3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82" w:hanging="3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99" w:hanging="342"/>
      </w:pPr>
      <w:rPr>
        <w:rFonts w:hint="default"/>
      </w:rPr>
    </w:lvl>
  </w:abstractNum>
  <w:abstractNum w:abstractNumId="89">
    <w:multiLevelType w:val="hybridMultilevel"/>
    <w:lvl w:ilvl="0">
      <w:start w:val="2"/>
      <w:numFmt w:val="decimal"/>
      <w:lvlText w:val="(%1)"/>
      <w:lvlJc w:val="left"/>
      <w:pPr>
        <w:ind w:left="763" w:hanging="33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83638"/>
        <w:w w:val="106"/>
        <w:sz w:val="23"/>
        <w:szCs w:val="23"/>
      </w:rPr>
    </w:lvl>
    <w:lvl w:ilvl="1">
      <w:start w:val="1"/>
      <w:numFmt w:val="lowerLetter"/>
      <w:lvlText w:val="%2."/>
      <w:lvlJc w:val="left"/>
      <w:pPr>
        <w:ind w:left="1315" w:hanging="3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83636"/>
        <w:spacing w:val="-1"/>
        <w:w w:val="117"/>
        <w:sz w:val="21"/>
        <w:szCs w:val="21"/>
      </w:rPr>
    </w:lvl>
    <w:lvl w:ilvl="2">
      <w:start w:val="0"/>
      <w:numFmt w:val="bullet"/>
      <w:lvlText w:val="•"/>
      <w:lvlJc w:val="left"/>
      <w:pPr>
        <w:ind w:left="1320" w:hanging="3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39" w:hanging="3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58" w:hanging="3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77" w:hanging="3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97" w:hanging="3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16" w:hanging="3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35" w:hanging="321"/>
      </w:pPr>
      <w:rPr>
        <w:rFonts w:hint="default"/>
      </w:rPr>
    </w:lvl>
  </w:abstractNum>
  <w:abstractNum w:abstractNumId="92">
    <w:multiLevelType w:val="hybridMultilevel"/>
    <w:lvl w:ilvl="0">
      <w:start w:val="1"/>
      <w:numFmt w:val="decimal"/>
      <w:lvlText w:val="%1."/>
      <w:lvlJc w:val="left"/>
      <w:pPr>
        <w:ind w:left="1252" w:hanging="327"/>
        <w:jc w:val="left"/>
      </w:pPr>
      <w:rPr>
        <w:rFonts w:hint="default"/>
        <w:spacing w:val="-50"/>
        <w:w w:val="222"/>
      </w:rPr>
    </w:lvl>
    <w:lvl w:ilvl="1">
      <w:start w:val="0"/>
      <w:numFmt w:val="bullet"/>
      <w:lvlText w:val="•"/>
      <w:lvlJc w:val="left"/>
      <w:pPr>
        <w:ind w:left="940" w:hanging="3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60" w:hanging="3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07" w:hanging="3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54" w:hanging="3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01" w:hanging="3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48" w:hanging="3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95" w:hanging="3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342" w:hanging="327"/>
      </w:pPr>
      <w:rPr>
        <w:rFonts w:hint="default"/>
      </w:rPr>
    </w:lvl>
  </w:abstractNum>
  <w:abstractNum w:abstractNumId="88">
    <w:multiLevelType w:val="hybridMultilevel"/>
    <w:lvl w:ilvl="0">
      <w:start w:val="1"/>
      <w:numFmt w:val="lowerLetter"/>
      <w:lvlText w:val="%1."/>
      <w:lvlJc w:val="left"/>
      <w:pPr>
        <w:ind w:left="2291" w:hanging="25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A3838"/>
        <w:spacing w:val="-1"/>
        <w:w w:val="111"/>
        <w:sz w:val="21"/>
        <w:szCs w:val="21"/>
      </w:rPr>
    </w:lvl>
    <w:lvl w:ilvl="1">
      <w:start w:val="0"/>
      <w:numFmt w:val="bullet"/>
      <w:lvlText w:val="•"/>
      <w:lvlJc w:val="left"/>
      <w:pPr>
        <w:ind w:left="2896" w:hanging="25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93" w:hanging="25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90" w:hanging="2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86" w:hanging="2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83" w:hanging="2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80" w:hanging="2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77" w:hanging="2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73" w:hanging="253"/>
      </w:pPr>
      <w:rPr>
        <w:rFonts w:hint="default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left="829" w:hanging="350"/>
        <w:jc w:val="right"/>
      </w:pPr>
      <w:rPr>
        <w:rFonts w:hint="default"/>
        <w:w w:val="105"/>
      </w:rPr>
    </w:lvl>
    <w:lvl w:ilvl="1">
      <w:start w:val="1"/>
      <w:numFmt w:val="upperLetter"/>
      <w:lvlText w:val="%2."/>
      <w:lvlJc w:val="left"/>
      <w:pPr>
        <w:ind w:left="1194" w:hanging="365"/>
        <w:jc w:val="left"/>
      </w:pPr>
      <w:rPr>
        <w:rFonts w:hint="default"/>
        <w:spacing w:val="-1"/>
        <w:w w:val="97"/>
      </w:rPr>
    </w:lvl>
    <w:lvl w:ilvl="2">
      <w:start w:val="0"/>
      <w:numFmt w:val="bullet"/>
      <w:lvlText w:val="•"/>
      <w:lvlJc w:val="left"/>
      <w:pPr>
        <w:ind w:left="1967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35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02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70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38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05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73" w:hanging="365"/>
      </w:pPr>
      <w:rPr>
        <w:rFonts w:hint="default"/>
      </w:rPr>
    </w:lvl>
  </w:abstractNum>
  <w:abstractNum w:abstractNumId="86">
    <w:multiLevelType w:val="hybridMultilevel"/>
    <w:lvl w:ilvl="0">
      <w:start w:val="3"/>
      <w:numFmt w:val="upperRoman"/>
      <w:lvlText w:val="%1."/>
      <w:lvlJc w:val="left"/>
      <w:pPr>
        <w:ind w:left="781" w:hanging="33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83636"/>
        <w:w w:val="109"/>
        <w:sz w:val="21"/>
        <w:szCs w:val="21"/>
      </w:rPr>
    </w:lvl>
    <w:lvl w:ilvl="1">
      <w:start w:val="1"/>
      <w:numFmt w:val="upperLetter"/>
      <w:lvlText w:val="%2."/>
      <w:lvlJc w:val="left"/>
      <w:pPr>
        <w:ind w:left="1156" w:hanging="361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383636"/>
        <w:spacing w:val="-1"/>
        <w:w w:val="102"/>
        <w:sz w:val="21"/>
        <w:szCs w:val="21"/>
      </w:rPr>
    </w:lvl>
    <w:lvl w:ilvl="2">
      <w:start w:val="0"/>
      <w:numFmt w:val="bullet"/>
      <w:lvlText w:val="•"/>
      <w:lvlJc w:val="left"/>
      <w:pPr>
        <w:ind w:left="1932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04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76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48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20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92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64" w:hanging="361"/>
      </w:pPr>
      <w:rPr>
        <w:rFonts w:hint="default"/>
      </w:rPr>
    </w:lvl>
  </w:abstractNum>
  <w:abstractNum w:abstractNumId="85">
    <w:multiLevelType w:val="hybridMultilevel"/>
    <w:lvl w:ilvl="0">
      <w:start w:val="1"/>
      <w:numFmt w:val="upperLetter"/>
      <w:lvlText w:val="%1."/>
      <w:lvlJc w:val="left"/>
      <w:pPr>
        <w:ind w:left="1524" w:hanging="38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3A3838"/>
        <w:spacing w:val="-1"/>
        <w:w w:val="102"/>
        <w:sz w:val="21"/>
        <w:szCs w:val="21"/>
      </w:rPr>
    </w:lvl>
    <w:lvl w:ilvl="1">
      <w:start w:val="0"/>
      <w:numFmt w:val="bullet"/>
      <w:lvlText w:val="•"/>
      <w:lvlJc w:val="left"/>
      <w:pPr>
        <w:ind w:left="2196" w:hanging="3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73" w:hanging="3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49" w:hanging="3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26" w:hanging="3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03" w:hanging="3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79" w:hanging="3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56" w:hanging="3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33" w:hanging="380"/>
      </w:pPr>
      <w:rPr>
        <w:rFonts w:hint="default"/>
      </w:rPr>
    </w:lvl>
  </w:abstractNum>
  <w:abstractNum w:abstractNumId="84">
    <w:multiLevelType w:val="hybridMultilevel"/>
    <w:lvl w:ilvl="0">
      <w:start w:val="6"/>
      <w:numFmt w:val="decimal"/>
      <w:lvlText w:val="%1"/>
      <w:lvlJc w:val="left"/>
      <w:pPr>
        <w:ind w:left="421" w:hanging="273"/>
        <w:jc w:val="left"/>
      </w:pPr>
      <w:rPr>
        <w:rFonts w:hint="default" w:ascii="Arial" w:hAnsi="Arial" w:eastAsia="Arial" w:cs="Arial"/>
        <w:b/>
        <w:bCs/>
        <w:i w:val="0"/>
        <w:iCs w:val="0"/>
        <w:color w:val="3A383A"/>
        <w:w w:val="104"/>
        <w:sz w:val="16"/>
        <w:szCs w:val="16"/>
      </w:rPr>
    </w:lvl>
    <w:lvl w:ilvl="1">
      <w:start w:val="1"/>
      <w:numFmt w:val="decimal"/>
      <w:lvlText w:val="%2."/>
      <w:lvlJc w:val="left"/>
      <w:pPr>
        <w:ind w:left="965" w:hanging="24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B3A3B"/>
        <w:w w:val="109"/>
        <w:sz w:val="23"/>
        <w:szCs w:val="23"/>
      </w:rPr>
    </w:lvl>
    <w:lvl w:ilvl="2">
      <w:start w:val="1"/>
      <w:numFmt w:val="lowerLetter"/>
      <w:lvlText w:val="%3."/>
      <w:lvlJc w:val="left"/>
      <w:pPr>
        <w:ind w:left="1322" w:hanging="23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B3A3B"/>
        <w:spacing w:val="-1"/>
        <w:w w:val="112"/>
        <w:sz w:val="23"/>
        <w:szCs w:val="23"/>
      </w:rPr>
    </w:lvl>
    <w:lvl w:ilvl="3">
      <w:start w:val="0"/>
      <w:numFmt w:val="bullet"/>
      <w:lvlText w:val="•"/>
      <w:lvlJc w:val="left"/>
      <w:pPr>
        <w:ind w:left="1351" w:hanging="2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83" w:hanging="2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15" w:hanging="2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47" w:hanging="2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79" w:hanging="2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11" w:hanging="232"/>
      </w:pPr>
      <w:rPr>
        <w:rFonts w:hint="default"/>
      </w:rPr>
    </w:lvl>
  </w:abstractNum>
  <w:abstractNum w:abstractNumId="83">
    <w:multiLevelType w:val="hybridMultilevel"/>
    <w:lvl w:ilvl="0">
      <w:start w:val="1"/>
      <w:numFmt w:val="decimal"/>
      <w:lvlText w:val="%1"/>
      <w:lvlJc w:val="left"/>
      <w:pPr>
        <w:ind w:left="213" w:hanging="187"/>
        <w:jc w:val="right"/>
      </w:pPr>
      <w:rPr>
        <w:rFonts w:hint="default"/>
        <w:w w:val="121"/>
      </w:rPr>
    </w:lvl>
    <w:lvl w:ilvl="1">
      <w:start w:val="0"/>
      <w:numFmt w:val="bullet"/>
      <w:lvlText w:val="•"/>
      <w:lvlJc w:val="left"/>
      <w:pPr>
        <w:ind w:left="350" w:hanging="18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81" w:hanging="1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2" w:hanging="1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43" w:hanging="1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73" w:hanging="1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04" w:hanging="1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35" w:hanging="1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66" w:hanging="187"/>
      </w:pPr>
      <w:rPr>
        <w:rFonts w:hint="default"/>
      </w:rPr>
    </w:lvl>
  </w:abstractNum>
  <w:abstractNum w:abstractNumId="81">
    <w:multiLevelType w:val="hybridMultilevel"/>
    <w:lvl w:ilvl="0">
      <w:start w:val="0"/>
      <w:numFmt w:val="bullet"/>
      <w:lvlText w:val="•"/>
      <w:lvlJc w:val="left"/>
      <w:pPr>
        <w:ind w:left="1020" w:hanging="8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83638"/>
        <w:spacing w:val="-1"/>
        <w:w w:val="245"/>
        <w:sz w:val="8"/>
        <w:szCs w:val="8"/>
      </w:rPr>
    </w:lvl>
    <w:lvl w:ilvl="1">
      <w:start w:val="0"/>
      <w:numFmt w:val="bullet"/>
      <w:lvlText w:val="•"/>
      <w:lvlJc w:val="left"/>
      <w:pPr>
        <w:ind w:left="1755" w:hanging="8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90" w:hanging="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25" w:hanging="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61" w:hanging="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96" w:hanging="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31" w:hanging="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67" w:hanging="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02" w:hanging="87"/>
      </w:pPr>
      <w:rPr>
        <w:rFonts w:hint="default"/>
      </w:rPr>
    </w:lvl>
  </w:abstractNum>
  <w:abstractNum w:abstractNumId="79">
    <w:multiLevelType w:val="hybridMultilevel"/>
    <w:lvl w:ilvl="0">
      <w:start w:val="0"/>
      <w:numFmt w:val="bullet"/>
      <w:lvlText w:val="•"/>
      <w:lvlJc w:val="left"/>
      <w:pPr>
        <w:ind w:left="971" w:hanging="65"/>
      </w:pPr>
      <w:rPr>
        <w:rFonts w:hint="default" w:ascii="Arial" w:hAnsi="Arial" w:eastAsia="Arial" w:cs="Arial"/>
        <w:b w:val="0"/>
        <w:bCs w:val="0"/>
        <w:i w:val="0"/>
        <w:iCs w:val="0"/>
        <w:color w:val="3B3A3B"/>
        <w:spacing w:val="3"/>
        <w:w w:val="109"/>
        <w:sz w:val="14"/>
        <w:szCs w:val="14"/>
      </w:rPr>
    </w:lvl>
    <w:lvl w:ilvl="1">
      <w:start w:val="0"/>
      <w:numFmt w:val="bullet"/>
      <w:lvlText w:val="•"/>
      <w:lvlJc w:val="left"/>
      <w:pPr>
        <w:ind w:left="1704" w:hanging="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29" w:hanging="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53" w:hanging="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78" w:hanging="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03" w:hanging="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27" w:hanging="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52" w:hanging="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77" w:hanging="65"/>
      </w:pPr>
      <w:rPr>
        <w:rFonts w:hint="default"/>
      </w:rPr>
    </w:lvl>
  </w:abstractNum>
  <w:abstractNum w:abstractNumId="78">
    <w:multiLevelType w:val="hybridMultilevel"/>
    <w:lvl w:ilvl="0">
      <w:start w:val="1"/>
      <w:numFmt w:val="lowerRoman"/>
      <w:lvlText w:val="%1."/>
      <w:lvlJc w:val="left"/>
      <w:pPr>
        <w:ind w:left="1186" w:hanging="225"/>
        <w:jc w:val="left"/>
      </w:pPr>
      <w:rPr>
        <w:rFonts w:hint="default"/>
        <w:spacing w:val="-1"/>
        <w:w w:val="118"/>
      </w:rPr>
    </w:lvl>
    <w:lvl w:ilvl="1">
      <w:start w:val="0"/>
      <w:numFmt w:val="bullet"/>
      <w:lvlText w:val="•"/>
      <w:lvlJc w:val="left"/>
      <w:pPr>
        <w:ind w:left="1884" w:hanging="2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89" w:hanging="2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93" w:hanging="2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98" w:hanging="2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03" w:hanging="2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07" w:hanging="2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12" w:hanging="2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17" w:hanging="225"/>
      </w:pPr>
      <w:rPr>
        <w:rFonts w:hint="default"/>
      </w:rPr>
    </w:lvl>
  </w:abstractNum>
  <w:abstractNum w:abstractNumId="77">
    <w:multiLevelType w:val="hybridMultilevel"/>
    <w:lvl w:ilvl="0">
      <w:start w:val="1"/>
      <w:numFmt w:val="lowerLetter"/>
      <w:lvlText w:val="%1."/>
      <w:lvlJc w:val="left"/>
      <w:pPr>
        <w:ind w:left="1374" w:hanging="391"/>
        <w:jc w:val="right"/>
      </w:pPr>
      <w:rPr>
        <w:rFonts w:hint="default"/>
        <w:w w:val="110"/>
      </w:rPr>
    </w:lvl>
    <w:lvl w:ilvl="1">
      <w:start w:val="0"/>
      <w:numFmt w:val="bullet"/>
      <w:lvlText w:val="•"/>
      <w:lvlJc w:val="left"/>
      <w:pPr>
        <w:ind w:left="2060" w:hanging="39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40" w:hanging="39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20" w:hanging="39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00" w:hanging="39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80" w:hanging="39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61" w:hanging="39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41" w:hanging="39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21" w:hanging="391"/>
      </w:pPr>
      <w:rPr>
        <w:rFonts w:hint="default"/>
      </w:rPr>
    </w:lvl>
  </w:abstractNum>
  <w:abstractNum w:abstractNumId="76">
    <w:multiLevelType w:val="hybridMultilevel"/>
    <w:lvl w:ilvl="0">
      <w:start w:val="9"/>
      <w:numFmt w:val="decimal"/>
      <w:lvlText w:val="%1"/>
      <w:lvlJc w:val="left"/>
      <w:pPr>
        <w:ind w:left="627" w:hanging="46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7" w:hanging="467"/>
        <w:jc w:val="left"/>
      </w:pPr>
      <w:rPr>
        <w:rFonts w:hint="default"/>
        <w:spacing w:val="-1"/>
        <w:w w:val="85"/>
      </w:rPr>
    </w:lvl>
    <w:lvl w:ilvl="2">
      <w:start w:val="1"/>
      <w:numFmt w:val="decimal"/>
      <w:lvlText w:val="%1.%2.%3"/>
      <w:lvlJc w:val="left"/>
      <w:pPr>
        <w:ind w:left="1370" w:hanging="708"/>
        <w:jc w:val="left"/>
      </w:pPr>
      <w:rPr>
        <w:rFonts w:hint="default"/>
        <w:w w:val="117"/>
      </w:rPr>
    </w:lvl>
    <w:lvl w:ilvl="3">
      <w:start w:val="1"/>
      <w:numFmt w:val="lowerLetter"/>
      <w:lvlText w:val="%4."/>
      <w:lvlJc w:val="left"/>
      <w:pPr>
        <w:ind w:left="1698" w:hanging="708"/>
        <w:jc w:val="left"/>
      </w:pPr>
      <w:rPr>
        <w:rFonts w:hint="default"/>
        <w:spacing w:val="-1"/>
        <w:w w:val="97"/>
      </w:rPr>
    </w:lvl>
    <w:lvl w:ilvl="4">
      <w:start w:val="1"/>
      <w:numFmt w:val="upperRoman"/>
      <w:lvlText w:val="%5."/>
      <w:lvlJc w:val="left"/>
      <w:pPr>
        <w:ind w:left="1979" w:hanging="70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B3A3B"/>
        <w:w w:val="96"/>
        <w:sz w:val="20"/>
        <w:szCs w:val="20"/>
      </w:rPr>
    </w:lvl>
    <w:lvl w:ilvl="5">
      <w:start w:val="0"/>
      <w:numFmt w:val="bullet"/>
      <w:lvlText w:val="•"/>
      <w:lvlJc w:val="left"/>
      <w:pPr>
        <w:ind w:left="1700" w:hanging="70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80" w:hanging="70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96" w:hanging="70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612" w:hanging="708"/>
      </w:pPr>
      <w:rPr>
        <w:rFonts w:hint="default"/>
      </w:rPr>
    </w:lvl>
  </w:abstractNum>
  <w:abstractNum w:abstractNumId="75">
    <w:multiLevelType w:val="hybridMultilevel"/>
    <w:lvl w:ilvl="0">
      <w:start w:val="9"/>
      <w:numFmt w:val="decimal"/>
      <w:lvlText w:val="%1"/>
      <w:lvlJc w:val="left"/>
      <w:pPr>
        <w:ind w:left="1032" w:hanging="47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77"/>
        <w:jc w:val="left"/>
      </w:pPr>
      <w:rPr>
        <w:rFonts w:hint="default"/>
        <w:spacing w:val="-1"/>
        <w:w w:val="90"/>
      </w:rPr>
    </w:lvl>
    <w:lvl w:ilvl="2">
      <w:start w:val="1"/>
      <w:numFmt w:val="decimal"/>
      <w:lvlText w:val="%1.%2.%3"/>
      <w:lvlJc w:val="left"/>
      <w:pPr>
        <w:ind w:left="1775" w:hanging="698"/>
        <w:jc w:val="left"/>
      </w:pPr>
      <w:rPr>
        <w:rFonts w:hint="default"/>
        <w:spacing w:val="-1"/>
        <w:w w:val="112"/>
      </w:rPr>
    </w:lvl>
    <w:lvl w:ilvl="3">
      <w:start w:val="1"/>
      <w:numFmt w:val="lowerLetter"/>
      <w:lvlText w:val="%4."/>
      <w:lvlJc w:val="left"/>
      <w:pPr>
        <w:ind w:left="2093" w:hanging="698"/>
        <w:jc w:val="left"/>
      </w:pPr>
      <w:rPr>
        <w:rFonts w:hint="default"/>
        <w:spacing w:val="-1"/>
        <w:w w:val="96"/>
      </w:rPr>
    </w:lvl>
    <w:lvl w:ilvl="4">
      <w:start w:val="1"/>
      <w:numFmt w:val="upperRoman"/>
      <w:lvlText w:val="%5."/>
      <w:lvlJc w:val="left"/>
      <w:pPr>
        <w:ind w:left="2384" w:hanging="69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D3B3D"/>
        <w:w w:val="101"/>
        <w:sz w:val="21"/>
        <w:szCs w:val="21"/>
      </w:rPr>
    </w:lvl>
    <w:lvl w:ilvl="5">
      <w:start w:val="0"/>
      <w:numFmt w:val="bullet"/>
      <w:lvlText w:val="•"/>
      <w:lvlJc w:val="left"/>
      <w:pPr>
        <w:ind w:left="2100" w:hanging="6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80" w:hanging="6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92" w:hanging="6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05" w:hanging="698"/>
      </w:pPr>
      <w:rPr>
        <w:rFonts w:hint="default"/>
      </w:rPr>
    </w:lvl>
  </w:abstractNum>
  <w:abstractNum w:abstractNumId="74">
    <w:multiLevelType w:val="hybridMultilevel"/>
    <w:lvl w:ilvl="0">
      <w:start w:val="9"/>
      <w:numFmt w:val="decimal"/>
      <w:lvlText w:val="%1"/>
      <w:lvlJc w:val="left"/>
      <w:pPr>
        <w:ind w:left="822" w:hanging="698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22" w:hanging="698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22" w:hanging="698"/>
        <w:jc w:val="right"/>
      </w:pPr>
      <w:rPr>
        <w:rFonts w:hint="default"/>
        <w:spacing w:val="-1"/>
        <w:w w:val="106"/>
      </w:rPr>
    </w:lvl>
    <w:lvl w:ilvl="3">
      <w:start w:val="0"/>
      <w:numFmt w:val="bullet"/>
      <w:lvlText w:val="•"/>
      <w:lvlJc w:val="left"/>
      <w:pPr>
        <w:ind w:left="2790" w:hanging="6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47" w:hanging="6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04" w:hanging="6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61" w:hanging="6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18" w:hanging="6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074" w:hanging="698"/>
      </w:pPr>
      <w:rPr>
        <w:rFonts w:hint="default"/>
      </w:rPr>
    </w:lvl>
  </w:abstractNum>
  <w:abstractNum w:abstractNumId="73">
    <w:multiLevelType w:val="hybridMultilevel"/>
    <w:lvl w:ilvl="0">
      <w:start w:val="9"/>
      <w:numFmt w:val="decimal"/>
      <w:lvlText w:val="%1"/>
      <w:lvlJc w:val="left"/>
      <w:pPr>
        <w:ind w:left="813" w:hanging="698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3" w:hanging="698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3" w:hanging="698"/>
        <w:jc w:val="left"/>
      </w:pPr>
      <w:rPr>
        <w:rFonts w:hint="default" w:ascii="Arial" w:hAnsi="Arial" w:eastAsia="Arial" w:cs="Arial"/>
        <w:b/>
        <w:bCs/>
        <w:i w:val="0"/>
        <w:iCs w:val="0"/>
        <w:color w:val="3A383A"/>
        <w:spacing w:val="-1"/>
        <w:w w:val="110"/>
        <w:sz w:val="20"/>
        <w:szCs w:val="20"/>
      </w:rPr>
    </w:lvl>
    <w:lvl w:ilvl="3">
      <w:start w:val="1"/>
      <w:numFmt w:val="lowerLetter"/>
      <w:lvlText w:val="%4."/>
      <w:lvlJc w:val="left"/>
      <w:pPr>
        <w:ind w:left="1150" w:hanging="345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3A383A"/>
        <w:w w:val="107"/>
        <w:sz w:val="22"/>
        <w:szCs w:val="22"/>
      </w:rPr>
    </w:lvl>
    <w:lvl w:ilvl="4">
      <w:start w:val="0"/>
      <w:numFmt w:val="bullet"/>
      <w:lvlText w:val="•"/>
      <w:lvlJc w:val="left"/>
      <w:pPr>
        <w:ind w:left="3236" w:hanging="3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28" w:hanging="3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20" w:hanging="3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312" w:hanging="3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004" w:hanging="345"/>
      </w:pPr>
      <w:rPr>
        <w:rFonts w:hint="default"/>
      </w:rPr>
    </w:lvl>
  </w:abstractNum>
  <w:abstractNum w:abstractNumId="72">
    <w:multiLevelType w:val="hybridMultilevel"/>
    <w:lvl w:ilvl="0">
      <w:start w:val="9"/>
      <w:numFmt w:val="decimal"/>
      <w:lvlText w:val="%1"/>
      <w:lvlJc w:val="left"/>
      <w:pPr>
        <w:ind w:left="794" w:hanging="68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4" w:hanging="689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4" w:hanging="689"/>
        <w:jc w:val="left"/>
      </w:pPr>
      <w:rPr>
        <w:rFonts w:hint="default" w:ascii="Arial" w:hAnsi="Arial" w:eastAsia="Arial" w:cs="Arial"/>
        <w:b/>
        <w:bCs/>
        <w:i w:val="0"/>
        <w:iCs w:val="0"/>
        <w:color w:val="3A383A"/>
        <w:spacing w:val="-1"/>
        <w:w w:val="109"/>
        <w:sz w:val="20"/>
        <w:szCs w:val="20"/>
      </w:rPr>
    </w:lvl>
    <w:lvl w:ilvl="3">
      <w:start w:val="1"/>
      <w:numFmt w:val="lowerLetter"/>
      <w:lvlText w:val="%4."/>
      <w:lvlJc w:val="left"/>
      <w:pPr>
        <w:ind w:left="1140" w:hanging="354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3A383A"/>
        <w:w w:val="108"/>
        <w:sz w:val="22"/>
        <w:szCs w:val="22"/>
      </w:rPr>
    </w:lvl>
    <w:lvl w:ilvl="4">
      <w:start w:val="1"/>
      <w:numFmt w:val="upperRoman"/>
      <w:lvlText w:val="%5."/>
      <w:lvlJc w:val="left"/>
      <w:pPr>
        <w:ind w:left="1451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A383A"/>
        <w:w w:val="106"/>
        <w:sz w:val="22"/>
        <w:szCs w:val="22"/>
      </w:rPr>
    </w:lvl>
    <w:lvl w:ilvl="5">
      <w:start w:val="0"/>
      <w:numFmt w:val="bullet"/>
      <w:lvlText w:val="•"/>
      <w:lvlJc w:val="left"/>
      <w:pPr>
        <w:ind w:left="3683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24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65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906" w:hanging="361"/>
      </w:pPr>
      <w:rPr>
        <w:rFonts w:hint="default"/>
      </w:rPr>
    </w:lvl>
  </w:abstractNum>
  <w:abstractNum w:abstractNumId="71">
    <w:multiLevelType w:val="hybridMultilevel"/>
    <w:lvl w:ilvl="0">
      <w:start w:val="2"/>
      <w:numFmt w:val="lowerLetter"/>
      <w:lvlText w:val="(%1)"/>
      <w:lvlJc w:val="left"/>
      <w:pPr>
        <w:ind w:left="938" w:hanging="340"/>
        <w:jc w:val="right"/>
      </w:pPr>
      <w:rPr>
        <w:rFonts w:hint="default"/>
        <w:w w:val="104"/>
      </w:rPr>
    </w:lvl>
    <w:lvl w:ilvl="1">
      <w:start w:val="1"/>
      <w:numFmt w:val="upperLetter"/>
      <w:lvlText w:val="%2."/>
      <w:lvlJc w:val="left"/>
      <w:pPr>
        <w:ind w:left="2253" w:hanging="314"/>
        <w:jc w:val="right"/>
      </w:pPr>
      <w:rPr>
        <w:rFonts w:hint="default"/>
        <w:w w:val="101"/>
      </w:rPr>
    </w:lvl>
    <w:lvl w:ilvl="2">
      <w:start w:val="0"/>
      <w:numFmt w:val="bullet"/>
      <w:lvlText w:val="•"/>
      <w:lvlJc w:val="left"/>
      <w:pPr>
        <w:ind w:left="2897" w:hanging="3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34" w:hanging="3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72" w:hanging="3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09" w:hanging="3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47" w:hanging="3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84" w:hanging="3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22" w:hanging="314"/>
      </w:pPr>
      <w:rPr>
        <w:rFonts w:hint="default"/>
      </w:rPr>
    </w:lvl>
  </w:abstractNum>
  <w:abstractNum w:abstractNumId="70">
    <w:multiLevelType w:val="hybridMultilevel"/>
    <w:lvl w:ilvl="0">
      <w:start w:val="5"/>
      <w:numFmt w:val="lowerRoman"/>
      <w:lvlText w:val="%1."/>
      <w:lvlJc w:val="left"/>
      <w:pPr>
        <w:ind w:left="318" w:hanging="184"/>
        <w:jc w:val="left"/>
      </w:pPr>
      <w:rPr>
        <w:rFonts w:hint="default" w:ascii="Times New Roman" w:hAnsi="Times New Roman" w:eastAsia="Times New Roman" w:cs="Times New Roman"/>
        <w:b w:val="0"/>
        <w:bCs w:val="0"/>
        <w:i/>
        <w:iCs/>
        <w:color w:val="383638"/>
        <w:spacing w:val="-1"/>
        <w:w w:val="92"/>
        <w:sz w:val="24"/>
        <w:szCs w:val="24"/>
      </w:rPr>
    </w:lvl>
    <w:lvl w:ilvl="1">
      <w:start w:val="5"/>
      <w:numFmt w:val="lowerRoman"/>
      <w:lvlText w:val="%2."/>
      <w:lvlJc w:val="left"/>
      <w:pPr>
        <w:ind w:left="425" w:hanging="177"/>
        <w:jc w:val="left"/>
      </w:pPr>
      <w:rPr>
        <w:rFonts w:hint="default" w:ascii="Times New Roman" w:hAnsi="Times New Roman" w:eastAsia="Times New Roman" w:cs="Times New Roman"/>
        <w:b w:val="0"/>
        <w:bCs w:val="0"/>
        <w:i/>
        <w:iCs/>
        <w:color w:val="3B3A3B"/>
        <w:spacing w:val="-1"/>
        <w:w w:val="85"/>
        <w:sz w:val="24"/>
        <w:szCs w:val="24"/>
      </w:rPr>
    </w:lvl>
    <w:lvl w:ilvl="2">
      <w:start w:val="1"/>
      <w:numFmt w:val="upperRoman"/>
      <w:lvlText w:val="%3."/>
      <w:lvlJc w:val="left"/>
      <w:pPr>
        <w:ind w:left="1492" w:hanging="338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3A3838"/>
        <w:spacing w:val="-1"/>
        <w:w w:val="103"/>
        <w:sz w:val="19"/>
        <w:szCs w:val="19"/>
      </w:rPr>
    </w:lvl>
    <w:lvl w:ilvl="3">
      <w:start w:val="0"/>
      <w:numFmt w:val="bullet"/>
      <w:lvlText w:val="•"/>
      <w:lvlJc w:val="left"/>
      <w:pPr>
        <w:ind w:left="1440" w:hanging="3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00" w:hanging="3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80" w:hanging="3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80" w:hanging="3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85" w:hanging="3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91" w:hanging="338"/>
      </w:pPr>
      <w:rPr>
        <w:rFonts w:hint="default"/>
      </w:rPr>
    </w:lvl>
  </w:abstractNum>
  <w:abstractNum w:abstractNumId="69">
    <w:multiLevelType w:val="hybridMultilevel"/>
    <w:lvl w:ilvl="0">
      <w:start w:val="0"/>
      <w:numFmt w:val="bullet"/>
      <w:lvlText w:val="•"/>
      <w:lvlJc w:val="left"/>
      <w:pPr>
        <w:ind w:left="686" w:hanging="85"/>
      </w:pPr>
      <w:rPr>
        <w:rFonts w:hint="default" w:ascii="Arial" w:hAnsi="Arial" w:eastAsia="Arial" w:cs="Arial"/>
        <w:b w:val="0"/>
        <w:bCs w:val="0"/>
        <w:i w:val="0"/>
        <w:iCs w:val="0"/>
        <w:color w:val="383638"/>
        <w:w w:val="105"/>
        <w:sz w:val="16"/>
        <w:szCs w:val="16"/>
      </w:rPr>
    </w:lvl>
    <w:lvl w:ilvl="1">
      <w:start w:val="0"/>
      <w:numFmt w:val="bullet"/>
      <w:lvlText w:val="•"/>
      <w:lvlJc w:val="left"/>
      <w:pPr>
        <w:ind w:left="305" w:hanging="64"/>
      </w:pPr>
      <w:rPr>
        <w:rFonts w:hint="default" w:ascii="Times New Roman" w:hAnsi="Times New Roman" w:eastAsia="Times New Roman" w:cs="Times New Roman"/>
        <w:b w:val="0"/>
        <w:bCs w:val="0"/>
        <w:i/>
        <w:iCs/>
        <w:color w:val="3B383A"/>
        <w:w w:val="104"/>
        <w:sz w:val="15"/>
        <w:szCs w:val="15"/>
      </w:rPr>
    </w:lvl>
    <w:lvl w:ilvl="2">
      <w:start w:val="0"/>
      <w:numFmt w:val="bullet"/>
      <w:lvlText w:val="•"/>
      <w:lvlJc w:val="left"/>
      <w:pPr>
        <w:ind w:left="1481" w:hanging="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82" w:hanging="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83" w:hanging="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84" w:hanging="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85" w:hanging="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86" w:hanging="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287" w:hanging="64"/>
      </w:pPr>
      <w:rPr>
        <w:rFonts w:hint="default"/>
      </w:rPr>
    </w:lvl>
  </w:abstractNum>
  <w:abstractNum w:abstractNumId="68">
    <w:multiLevelType w:val="hybridMultilevel"/>
    <w:lvl w:ilvl="0">
      <w:start w:val="8"/>
      <w:numFmt w:val="decimal"/>
      <w:lvlText w:val="%1"/>
      <w:lvlJc w:val="left"/>
      <w:pPr>
        <w:ind w:left="1527" w:hanging="850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527" w:hanging="850"/>
        <w:jc w:val="left"/>
      </w:pPr>
      <w:rPr>
        <w:rFonts w:hint="default"/>
      </w:rPr>
    </w:lvl>
    <w:lvl w:ilvl="2">
      <w:start w:val="15"/>
      <w:numFmt w:val="decimal"/>
      <w:lvlText w:val="%1.%2.%3"/>
      <w:lvlJc w:val="left"/>
      <w:pPr>
        <w:ind w:left="1527" w:hanging="850"/>
        <w:jc w:val="left"/>
      </w:pPr>
      <w:rPr>
        <w:rFonts w:hint="default" w:ascii="Arial" w:hAnsi="Arial" w:eastAsia="Arial" w:cs="Arial"/>
        <w:b/>
        <w:bCs/>
        <w:i w:val="0"/>
        <w:iCs w:val="0"/>
        <w:color w:val="3B383A"/>
        <w:spacing w:val="-1"/>
        <w:w w:val="110"/>
        <w:sz w:val="20"/>
        <w:szCs w:val="20"/>
      </w:rPr>
    </w:lvl>
    <w:lvl w:ilvl="3">
      <w:start w:val="0"/>
      <w:numFmt w:val="bullet"/>
      <w:lvlText w:val="•"/>
      <w:lvlJc w:val="left"/>
      <w:pPr>
        <w:ind w:left="3285" w:hanging="8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74" w:hanging="8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62" w:hanging="8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51" w:hanging="8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639" w:hanging="8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228" w:hanging="850"/>
      </w:pPr>
      <w:rPr>
        <w:rFonts w:hint="default"/>
      </w:rPr>
    </w:lvl>
  </w:abstractNum>
  <w:abstractNum w:abstractNumId="67">
    <w:multiLevelType w:val="hybridMultilevel"/>
    <w:lvl w:ilvl="0">
      <w:start w:val="8"/>
      <w:numFmt w:val="decimal"/>
      <w:lvlText w:val="%1"/>
      <w:lvlJc w:val="left"/>
      <w:pPr>
        <w:ind w:left="1519" w:hanging="851"/>
        <w:jc w:val="left"/>
      </w:pPr>
      <w:rPr>
        <w:rFonts w:hint="default"/>
      </w:rPr>
    </w:lvl>
    <w:lvl w:ilvl="1">
      <w:start w:val="19"/>
      <w:numFmt w:val="upperLetter"/>
      <w:lvlText w:val="%1.%2"/>
      <w:lvlJc w:val="left"/>
      <w:pPr>
        <w:ind w:left="1519" w:hanging="851"/>
        <w:jc w:val="left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1519" w:hanging="851"/>
        <w:jc w:val="left"/>
      </w:pPr>
      <w:rPr>
        <w:rFonts w:hint="default" w:ascii="Arial" w:hAnsi="Arial" w:eastAsia="Arial" w:cs="Arial"/>
        <w:b/>
        <w:bCs/>
        <w:i w:val="0"/>
        <w:iCs w:val="0"/>
        <w:color w:val="3B383A"/>
        <w:spacing w:val="-1"/>
        <w:w w:val="108"/>
        <w:sz w:val="20"/>
        <w:szCs w:val="20"/>
      </w:rPr>
    </w:lvl>
    <w:lvl w:ilvl="3">
      <w:start w:val="0"/>
      <w:numFmt w:val="bullet"/>
      <w:lvlText w:val="•"/>
      <w:lvlJc w:val="left"/>
      <w:pPr>
        <w:ind w:left="3285" w:hanging="8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74" w:hanging="8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62" w:hanging="8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51" w:hanging="8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639" w:hanging="8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228" w:hanging="851"/>
      </w:pPr>
      <w:rPr>
        <w:rFonts w:hint="default"/>
      </w:rPr>
    </w:lvl>
  </w:abstractNum>
  <w:abstractNum w:abstractNumId="66">
    <w:multiLevelType w:val="hybridMultilevel"/>
    <w:lvl w:ilvl="0">
      <w:start w:val="8"/>
      <w:numFmt w:val="decimal"/>
      <w:lvlText w:val="%1"/>
      <w:lvlJc w:val="left"/>
      <w:pPr>
        <w:ind w:left="624" w:hanging="49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497"/>
        <w:jc w:val="left"/>
      </w:pPr>
      <w:rPr>
        <w:rFonts w:hint="default"/>
        <w:spacing w:val="-1"/>
        <w:w w:val="105"/>
      </w:rPr>
    </w:lvl>
    <w:lvl w:ilvl="2">
      <w:start w:val="1"/>
      <w:numFmt w:val="decimal"/>
      <w:lvlText w:val="%1.%2.%3"/>
      <w:lvlJc w:val="left"/>
      <w:pPr>
        <w:ind w:left="1470" w:hanging="850"/>
        <w:jc w:val="left"/>
      </w:pPr>
      <w:rPr>
        <w:rFonts w:hint="default" w:ascii="Arial" w:hAnsi="Arial" w:eastAsia="Arial" w:cs="Arial"/>
        <w:b/>
        <w:bCs/>
        <w:i w:val="0"/>
        <w:iCs w:val="0"/>
        <w:color w:val="3B383A"/>
        <w:spacing w:val="-1"/>
        <w:w w:val="112"/>
        <w:sz w:val="20"/>
        <w:szCs w:val="20"/>
      </w:rPr>
    </w:lvl>
    <w:lvl w:ilvl="3">
      <w:start w:val="0"/>
      <w:numFmt w:val="bullet"/>
      <w:lvlText w:val="•"/>
      <w:lvlJc w:val="left"/>
      <w:pPr>
        <w:ind w:left="2238" w:hanging="8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76" w:hanging="8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14" w:hanging="8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52" w:hanging="8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90" w:hanging="8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928" w:hanging="850"/>
      </w:pPr>
      <w:rPr>
        <w:rFonts w:hint="default"/>
      </w:rPr>
    </w:lvl>
  </w:abstractNum>
  <w:abstractNum w:abstractNumId="65">
    <w:multiLevelType w:val="hybridMultilevel"/>
    <w:lvl w:ilvl="0">
      <w:start w:val="0"/>
      <w:numFmt w:val="bullet"/>
      <w:lvlText w:val="•"/>
      <w:lvlJc w:val="left"/>
      <w:pPr>
        <w:ind w:left="443" w:hanging="89"/>
      </w:pPr>
      <w:rPr>
        <w:rFonts w:hint="default" w:ascii="Arial" w:hAnsi="Arial" w:eastAsia="Arial" w:cs="Arial"/>
        <w:b w:val="0"/>
        <w:bCs w:val="0"/>
        <w:i w:val="0"/>
        <w:iCs w:val="0"/>
        <w:color w:val="3A3838"/>
        <w:w w:val="106"/>
        <w:sz w:val="16"/>
        <w:szCs w:val="16"/>
      </w:rPr>
    </w:lvl>
    <w:lvl w:ilvl="1">
      <w:start w:val="0"/>
      <w:numFmt w:val="bullet"/>
      <w:lvlText w:val="•"/>
      <w:lvlJc w:val="left"/>
      <w:pPr>
        <w:ind w:left="1201" w:hanging="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62" w:hanging="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23" w:hanging="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84" w:hanging="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45" w:hanging="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06" w:hanging="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67" w:hanging="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28" w:hanging="89"/>
      </w:pPr>
      <w:rPr>
        <w:rFonts w:hint="default"/>
      </w:rPr>
    </w:lvl>
  </w:abstractNum>
  <w:abstractNum w:abstractNumId="64">
    <w:multiLevelType w:val="hybridMultilevel"/>
    <w:lvl w:ilvl="0">
      <w:start w:val="7"/>
      <w:numFmt w:val="decimal"/>
      <w:lvlText w:val="%1"/>
      <w:lvlJc w:val="left"/>
      <w:pPr>
        <w:ind w:left="1387" w:hanging="698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87" w:hanging="698"/>
        <w:jc w:val="left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387" w:hanging="698"/>
        <w:jc w:val="left"/>
      </w:pPr>
      <w:rPr>
        <w:rFonts w:hint="default"/>
        <w:spacing w:val="-1"/>
        <w:w w:val="105"/>
      </w:rPr>
    </w:lvl>
    <w:lvl w:ilvl="3">
      <w:start w:val="0"/>
      <w:numFmt w:val="bullet"/>
      <w:lvlText w:val="•"/>
      <w:lvlJc w:val="left"/>
      <w:pPr>
        <w:ind w:left="2952" w:hanging="6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77" w:hanging="6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01" w:hanging="6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525" w:hanging="6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049" w:hanging="6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74" w:hanging="698"/>
      </w:pPr>
      <w:rPr>
        <w:rFonts w:hint="default"/>
      </w:rPr>
    </w:lvl>
  </w:abstractNum>
  <w:abstractNum w:abstractNumId="63">
    <w:multiLevelType w:val="hybridMultilevel"/>
    <w:lvl w:ilvl="0">
      <w:start w:val="7"/>
      <w:numFmt w:val="decimal"/>
      <w:lvlText w:val="%1"/>
      <w:lvlJc w:val="left"/>
      <w:pPr>
        <w:ind w:left="674" w:hanging="48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4" w:hanging="487"/>
        <w:jc w:val="left"/>
      </w:pPr>
      <w:rPr>
        <w:rFonts w:hint="default"/>
        <w:w w:val="111"/>
      </w:rPr>
    </w:lvl>
    <w:lvl w:ilvl="2">
      <w:start w:val="1"/>
      <w:numFmt w:val="decimal"/>
      <w:lvlText w:val="%1.%2.%3"/>
      <w:lvlJc w:val="left"/>
      <w:pPr>
        <w:ind w:left="1377" w:hanging="689"/>
        <w:jc w:val="left"/>
      </w:pPr>
      <w:rPr>
        <w:rFonts w:hint="default"/>
        <w:spacing w:val="-1"/>
        <w:w w:val="110"/>
      </w:rPr>
    </w:lvl>
    <w:lvl w:ilvl="3">
      <w:start w:val="0"/>
      <w:numFmt w:val="bullet"/>
      <w:lvlText w:val="•"/>
      <w:lvlJc w:val="left"/>
      <w:pPr>
        <w:ind w:left="2545" w:hanging="6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27" w:hanging="6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10" w:hanging="6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92" w:hanging="6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75" w:hanging="6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457" w:hanging="689"/>
      </w:pPr>
      <w:rPr>
        <w:rFonts w:hint="default"/>
      </w:rPr>
    </w:lvl>
  </w:abstractNum>
  <w:abstractNum w:abstractNumId="62">
    <w:multiLevelType w:val="hybridMultilevel"/>
    <w:lvl w:ilvl="0">
      <w:start w:val="1"/>
      <w:numFmt w:val="decimal"/>
      <w:lvlText w:val="%1"/>
      <w:lvlJc w:val="left"/>
      <w:pPr>
        <w:ind w:left="299" w:hanging="182"/>
        <w:jc w:val="left"/>
      </w:pPr>
      <w:rPr>
        <w:rFonts w:hint="default"/>
        <w:w w:val="107"/>
      </w:rPr>
    </w:lvl>
    <w:lvl w:ilvl="1">
      <w:start w:val="0"/>
      <w:numFmt w:val="bullet"/>
      <w:lvlText w:val="•"/>
      <w:lvlJc w:val="left"/>
      <w:pPr>
        <w:ind w:left="700" w:hanging="18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26" w:hanging="1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52" w:hanging="1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79" w:hanging="1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05" w:hanging="1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32" w:hanging="1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8" w:hanging="1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5" w:hanging="182"/>
      </w:pPr>
      <w:rPr>
        <w:rFonts w:hint="default"/>
      </w:rPr>
    </w:lvl>
  </w:abstractNum>
  <w:abstractNum w:abstractNumId="61">
    <w:multiLevelType w:val="hybridMultilevel"/>
    <w:lvl w:ilvl="0">
      <w:start w:val="5"/>
      <w:numFmt w:val="lowerLetter"/>
      <w:lvlText w:val="(%1)"/>
      <w:lvlJc w:val="left"/>
      <w:pPr>
        <w:ind w:left="772" w:hanging="294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383638"/>
        <w:spacing w:val="-1"/>
        <w:w w:val="105"/>
        <w:sz w:val="21"/>
        <w:szCs w:val="21"/>
      </w:rPr>
    </w:lvl>
    <w:lvl w:ilvl="1">
      <w:start w:val="1"/>
      <w:numFmt w:val="decimal"/>
      <w:lvlText w:val="(%2)"/>
      <w:lvlJc w:val="left"/>
      <w:pPr>
        <w:ind w:left="470" w:hanging="31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83638"/>
        <w:w w:val="99"/>
        <w:sz w:val="22"/>
        <w:szCs w:val="22"/>
      </w:rPr>
    </w:lvl>
    <w:lvl w:ilvl="2">
      <w:start w:val="3"/>
      <w:numFmt w:val="decimal"/>
      <w:lvlText w:val="(%3)"/>
      <w:lvlJc w:val="left"/>
      <w:pPr>
        <w:ind w:left="590" w:hanging="336"/>
        <w:jc w:val="right"/>
      </w:pPr>
      <w:rPr>
        <w:rFonts w:hint="default"/>
        <w:w w:val="106"/>
      </w:rPr>
    </w:lvl>
    <w:lvl w:ilvl="3">
      <w:start w:val="1"/>
      <w:numFmt w:val="upperLetter"/>
      <w:lvlText w:val="(%4)"/>
      <w:lvlJc w:val="left"/>
      <w:pPr>
        <w:ind w:left="606" w:hanging="345"/>
        <w:jc w:val="left"/>
      </w:pPr>
      <w:rPr>
        <w:rFonts w:hint="default"/>
        <w:spacing w:val="-1"/>
        <w:w w:val="93"/>
      </w:rPr>
    </w:lvl>
    <w:lvl w:ilvl="4">
      <w:start w:val="0"/>
      <w:numFmt w:val="bullet"/>
      <w:lvlText w:val="•"/>
      <w:lvlJc w:val="left"/>
      <w:pPr>
        <w:ind w:left="2301" w:hanging="3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62" w:hanging="3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2" w:hanging="3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83" w:hanging="3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44" w:hanging="345"/>
      </w:pPr>
      <w:rPr>
        <w:rFonts w:hint="default"/>
      </w:rPr>
    </w:lvl>
  </w:abstractNum>
  <w:abstractNum w:abstractNumId="60">
    <w:multiLevelType w:val="hybridMultilevel"/>
    <w:lvl w:ilvl="0">
      <w:start w:val="1"/>
      <w:numFmt w:val="decimal"/>
      <w:lvlText w:val="(%1)"/>
      <w:lvlJc w:val="left"/>
      <w:pPr>
        <w:ind w:left="470" w:hanging="31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83638"/>
        <w:w w:val="103"/>
        <w:sz w:val="22"/>
        <w:szCs w:val="22"/>
      </w:rPr>
    </w:lvl>
    <w:lvl w:ilvl="1">
      <w:start w:val="0"/>
      <w:numFmt w:val="bullet"/>
      <w:lvlText w:val="•"/>
      <w:lvlJc w:val="left"/>
      <w:pPr>
        <w:ind w:left="1222" w:hanging="31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64" w:hanging="3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06" w:hanging="3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48" w:hanging="3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90" w:hanging="3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932" w:hanging="3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674" w:hanging="3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16" w:hanging="316"/>
      </w:pPr>
      <w:rPr>
        <w:rFonts w:hint="default"/>
      </w:rPr>
    </w:lvl>
  </w:abstractNum>
  <w:abstractNum w:abstractNumId="58">
    <w:multiLevelType w:val="hybridMultilevel"/>
    <w:lvl w:ilvl="0">
      <w:start w:val="1"/>
      <w:numFmt w:val="decimal"/>
      <w:lvlText w:val="%1"/>
      <w:lvlJc w:val="left"/>
      <w:pPr>
        <w:ind w:left="291" w:hanging="186"/>
        <w:jc w:val="left"/>
      </w:pPr>
      <w:rPr>
        <w:rFonts w:hint="default"/>
        <w:w w:val="119"/>
      </w:rPr>
    </w:lvl>
    <w:lvl w:ilvl="1">
      <w:start w:val="0"/>
      <w:numFmt w:val="bullet"/>
      <w:lvlText w:val="•"/>
      <w:lvlJc w:val="left"/>
      <w:pPr>
        <w:ind w:left="1340" w:hanging="1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16" w:hanging="1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92" w:hanging="1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68" w:hanging="1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45" w:hanging="1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21" w:hanging="1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97" w:hanging="1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74" w:hanging="186"/>
      </w:pPr>
      <w:rPr>
        <w:rFonts w:hint="default"/>
      </w:rPr>
    </w:lvl>
  </w:abstractNum>
  <w:abstractNum w:abstractNumId="57">
    <w:multiLevelType w:val="hybridMultilevel"/>
    <w:lvl w:ilvl="0">
      <w:start w:val="1"/>
      <w:numFmt w:val="decimal"/>
      <w:lvlText w:val="%1"/>
      <w:lvlJc w:val="left"/>
      <w:pPr>
        <w:ind w:left="302" w:hanging="185"/>
        <w:jc w:val="left"/>
      </w:pPr>
      <w:rPr>
        <w:rFonts w:hint="default"/>
        <w:w w:val="92"/>
      </w:rPr>
    </w:lvl>
    <w:lvl w:ilvl="1">
      <w:start w:val="0"/>
      <w:numFmt w:val="bullet"/>
      <w:lvlText w:val="•"/>
      <w:lvlJc w:val="left"/>
      <w:pPr>
        <w:ind w:left="1097" w:hanging="18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95" w:hanging="18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93" w:hanging="18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91" w:hanging="18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89" w:hanging="1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87" w:hanging="1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85" w:hanging="1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683" w:hanging="185"/>
      </w:pPr>
      <w:rPr>
        <w:rFonts w:hint="default"/>
      </w:rPr>
    </w:lvl>
  </w:abstractNum>
  <w:abstractNum w:abstractNumId="56">
    <w:multiLevelType w:val="hybridMultilevel"/>
    <w:lvl w:ilvl="0">
      <w:start w:val="0"/>
      <w:numFmt w:val="bullet"/>
      <w:lvlText w:val="•"/>
      <w:lvlJc w:val="left"/>
      <w:pPr>
        <w:ind w:left="518" w:hanging="7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A3838"/>
        <w:spacing w:val="11"/>
        <w:w w:val="102"/>
        <w:sz w:val="16"/>
        <w:szCs w:val="16"/>
      </w:rPr>
    </w:lvl>
    <w:lvl w:ilvl="1">
      <w:start w:val="0"/>
      <w:numFmt w:val="bullet"/>
      <w:lvlText w:val="•"/>
      <w:lvlJc w:val="left"/>
      <w:pPr>
        <w:ind w:left="1256" w:hanging="7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93" w:hanging="7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30" w:hanging="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67" w:hanging="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04" w:hanging="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940" w:hanging="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677" w:hanging="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14" w:hanging="77"/>
      </w:pPr>
      <w:rPr>
        <w:rFonts w:hint="default"/>
      </w:rPr>
    </w:lvl>
  </w:abstractNum>
  <w:abstractNum w:abstractNumId="54">
    <w:multiLevelType w:val="hybridMultilevel"/>
    <w:lvl w:ilvl="0">
      <w:start w:val="2"/>
      <w:numFmt w:val="decimal"/>
      <w:lvlText w:val="%1"/>
      <w:lvlJc w:val="left"/>
      <w:pPr>
        <w:ind w:left="168" w:hanging="177"/>
        <w:jc w:val="left"/>
      </w:pPr>
      <w:rPr>
        <w:rFonts w:hint="default" w:ascii="Arial" w:hAnsi="Arial" w:eastAsia="Arial" w:cs="Arial"/>
        <w:b/>
        <w:bCs/>
        <w:i w:val="0"/>
        <w:iCs w:val="0"/>
        <w:color w:val="3B3B3B"/>
        <w:w w:val="115"/>
        <w:sz w:val="15"/>
        <w:szCs w:val="15"/>
      </w:rPr>
    </w:lvl>
    <w:lvl w:ilvl="1">
      <w:start w:val="1"/>
      <w:numFmt w:val="decimal"/>
      <w:lvlText w:val="%2"/>
      <w:lvlJc w:val="left"/>
      <w:pPr>
        <w:ind w:left="353" w:hanging="182"/>
        <w:jc w:val="left"/>
      </w:pPr>
      <w:rPr>
        <w:rFonts w:hint="default"/>
        <w:w w:val="85"/>
      </w:rPr>
    </w:lvl>
    <w:lvl w:ilvl="2">
      <w:start w:val="0"/>
      <w:numFmt w:val="bullet"/>
      <w:lvlText w:val="•"/>
      <w:lvlJc w:val="left"/>
      <w:pPr>
        <w:ind w:left="380" w:hanging="1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0" w:hanging="1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-536" w:hanging="1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-1511" w:hanging="1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2486" w:hanging="1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3462" w:hanging="1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4437" w:hanging="182"/>
      </w:pPr>
      <w:rPr>
        <w:rFonts w:hint="default"/>
      </w:rPr>
    </w:lvl>
  </w:abstractNum>
  <w:abstractNum w:abstractNumId="53">
    <w:multiLevelType w:val="hybridMultilevel"/>
    <w:lvl w:ilvl="0">
      <w:start w:val="0"/>
      <w:numFmt w:val="bullet"/>
      <w:lvlText w:val="•"/>
      <w:lvlJc w:val="left"/>
      <w:pPr>
        <w:ind w:left="174" w:hanging="7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F4F50"/>
        <w:spacing w:val="14"/>
        <w:w w:val="97"/>
        <w:sz w:val="16"/>
        <w:szCs w:val="16"/>
      </w:rPr>
    </w:lvl>
    <w:lvl w:ilvl="1">
      <w:start w:val="0"/>
      <w:numFmt w:val="bullet"/>
      <w:lvlText w:val="•"/>
      <w:lvlJc w:val="left"/>
      <w:pPr>
        <w:ind w:left="1036" w:hanging="7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93" w:hanging="7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50" w:hanging="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07" w:hanging="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64" w:hanging="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21" w:hanging="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78" w:hanging="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35" w:hanging="77"/>
      </w:pPr>
      <w:rPr>
        <w:rFonts w:hint="default"/>
      </w:rPr>
    </w:lvl>
  </w:abstractNum>
  <w:abstractNum w:abstractNumId="52">
    <w:multiLevelType w:val="hybridMultilevel"/>
    <w:lvl w:ilvl="0">
      <w:start w:val="1"/>
      <w:numFmt w:val="decimal"/>
      <w:lvlText w:val="%1"/>
      <w:lvlJc w:val="left"/>
      <w:pPr>
        <w:ind w:left="171" w:hanging="190"/>
        <w:jc w:val="left"/>
      </w:pPr>
      <w:rPr>
        <w:rFonts w:hint="default"/>
        <w:w w:val="114"/>
      </w:rPr>
    </w:lvl>
    <w:lvl w:ilvl="1">
      <w:start w:val="0"/>
      <w:numFmt w:val="bullet"/>
      <w:lvlText w:val="•"/>
      <w:lvlJc w:val="left"/>
      <w:pPr>
        <w:ind w:left="259" w:hanging="19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9" w:hanging="1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9" w:hanging="1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9" w:hanging="1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9" w:hanging="1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9" w:hanging="1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9" w:hanging="1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9" w:hanging="190"/>
      </w:pPr>
      <w:rPr>
        <w:rFonts w:hint="default"/>
      </w:rPr>
    </w:lvl>
  </w:abstractNum>
  <w:abstractNum w:abstractNumId="51">
    <w:multiLevelType w:val="hybridMultilevel"/>
    <w:lvl w:ilvl="0">
      <w:start w:val="1"/>
      <w:numFmt w:val="lowerLetter"/>
      <w:lvlText w:val="%1."/>
      <w:lvlJc w:val="left"/>
      <w:pPr>
        <w:ind w:left="1298" w:hanging="391"/>
        <w:jc w:val="right"/>
      </w:pPr>
      <w:rPr>
        <w:rFonts w:hint="default"/>
        <w:w w:val="114"/>
      </w:rPr>
    </w:lvl>
    <w:lvl w:ilvl="1">
      <w:start w:val="0"/>
      <w:numFmt w:val="bullet"/>
      <w:lvlText w:val="•"/>
      <w:lvlJc w:val="left"/>
      <w:pPr>
        <w:ind w:left="1300" w:hanging="39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18" w:hanging="39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37" w:hanging="39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56" w:hanging="39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74" w:hanging="39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93" w:hanging="39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012" w:hanging="39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30" w:hanging="391"/>
      </w:pPr>
      <w:rPr>
        <w:rFonts w:hint="default"/>
      </w:rPr>
    </w:lvl>
  </w:abstractNum>
  <w:abstractNum w:abstractNumId="50">
    <w:multiLevelType w:val="hybridMultilevel"/>
    <w:lvl w:ilvl="0">
      <w:start w:val="1"/>
      <w:numFmt w:val="decimal"/>
      <w:lvlText w:val="(%1)"/>
      <w:lvlJc w:val="left"/>
      <w:pPr>
        <w:ind w:left="129" w:hanging="323"/>
        <w:jc w:val="right"/>
      </w:pPr>
      <w:rPr>
        <w:rFonts w:hint="default"/>
        <w:spacing w:val="-1"/>
        <w:w w:val="115"/>
      </w:rPr>
    </w:lvl>
    <w:lvl w:ilvl="1">
      <w:start w:val="0"/>
      <w:numFmt w:val="bullet"/>
      <w:lvlText w:val="•"/>
      <w:lvlJc w:val="left"/>
      <w:pPr>
        <w:ind w:left="901" w:hanging="3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82" w:hanging="3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64" w:hanging="3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45" w:hanging="3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27" w:hanging="3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808" w:hanging="3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590" w:hanging="3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371" w:hanging="323"/>
      </w:pPr>
      <w:rPr>
        <w:rFonts w:hint="default"/>
      </w:rPr>
    </w:lvl>
  </w:abstractNum>
  <w:abstractNum w:abstractNumId="49">
    <w:multiLevelType w:val="hybridMultilevel"/>
    <w:lvl w:ilvl="0">
      <w:start w:val="6"/>
      <w:numFmt w:val="decimal"/>
      <w:lvlText w:val="%1"/>
      <w:lvlJc w:val="left"/>
      <w:pPr>
        <w:ind w:left="664" w:hanging="50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4" w:hanging="507"/>
        <w:jc w:val="left"/>
      </w:pPr>
      <w:rPr>
        <w:rFonts w:hint="default"/>
        <w:spacing w:val="-1"/>
        <w:w w:val="98"/>
      </w:rPr>
    </w:lvl>
    <w:lvl w:ilvl="2">
      <w:start w:val="1"/>
      <w:numFmt w:val="decimal"/>
      <w:lvlText w:val="%1.%2.%3"/>
      <w:lvlJc w:val="left"/>
      <w:pPr>
        <w:ind w:left="1387" w:hanging="710"/>
        <w:jc w:val="left"/>
      </w:pPr>
      <w:rPr>
        <w:rFonts w:hint="default"/>
        <w:w w:val="109"/>
      </w:rPr>
    </w:lvl>
    <w:lvl w:ilvl="3">
      <w:start w:val="1"/>
      <w:numFmt w:val="lowerLetter"/>
      <w:lvlText w:val="%4."/>
      <w:lvlJc w:val="left"/>
      <w:pPr>
        <w:ind w:left="1695" w:hanging="710"/>
        <w:jc w:val="left"/>
      </w:pPr>
      <w:rPr>
        <w:rFonts w:hint="default"/>
        <w:w w:val="106"/>
      </w:rPr>
    </w:lvl>
    <w:lvl w:ilvl="4">
      <w:start w:val="0"/>
      <w:numFmt w:val="bullet"/>
      <w:lvlText w:val="•"/>
      <w:lvlJc w:val="left"/>
      <w:pPr>
        <w:ind w:left="2518" w:hanging="7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36" w:hanging="7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54" w:hanging="7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73" w:hanging="7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791" w:hanging="710"/>
      </w:pPr>
      <w:rPr>
        <w:rFonts w:hint="default"/>
      </w:rPr>
    </w:lvl>
  </w:abstractNum>
  <w:abstractNum w:abstractNumId="48">
    <w:multiLevelType w:val="hybridMultilevel"/>
    <w:lvl w:ilvl="0">
      <w:start w:val="1"/>
      <w:numFmt w:val="decimal"/>
      <w:lvlText w:val="(%1)"/>
      <w:lvlJc w:val="left"/>
      <w:pPr>
        <w:ind w:left="103" w:hanging="30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A383A"/>
        <w:w w:val="94"/>
        <w:sz w:val="23"/>
        <w:szCs w:val="23"/>
      </w:rPr>
    </w:lvl>
    <w:lvl w:ilvl="1">
      <w:start w:val="0"/>
      <w:numFmt w:val="bullet"/>
      <w:lvlText w:val="•"/>
      <w:lvlJc w:val="left"/>
      <w:pPr>
        <w:ind w:left="518" w:hanging="8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D4D4F"/>
        <w:spacing w:val="15"/>
        <w:w w:val="109"/>
        <w:sz w:val="15"/>
        <w:szCs w:val="15"/>
      </w:rPr>
    </w:lvl>
    <w:lvl w:ilvl="2">
      <w:start w:val="0"/>
      <w:numFmt w:val="bullet"/>
      <w:lvlText w:val="•"/>
      <w:lvlJc w:val="left"/>
      <w:pPr>
        <w:ind w:left="1336" w:hanging="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52" w:hanging="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68" w:hanging="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85" w:hanging="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01" w:hanging="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17" w:hanging="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234" w:hanging="81"/>
      </w:pPr>
      <w:rPr>
        <w:rFonts w:hint="default"/>
      </w:rPr>
    </w:lvl>
  </w:abstractNum>
  <w:abstractNum w:abstractNumId="47">
    <w:multiLevelType w:val="hybridMultilevel"/>
    <w:lvl w:ilvl="0">
      <w:start w:val="1"/>
      <w:numFmt w:val="decimal"/>
      <w:lvlText w:val="%1"/>
      <w:lvlJc w:val="left"/>
      <w:pPr>
        <w:ind w:left="868" w:hanging="177"/>
        <w:jc w:val="right"/>
      </w:pPr>
      <w:rPr>
        <w:rFonts w:hint="default"/>
        <w:w w:val="117"/>
      </w:rPr>
    </w:lvl>
    <w:lvl w:ilvl="1">
      <w:start w:val="0"/>
      <w:numFmt w:val="bullet"/>
      <w:lvlText w:val="•"/>
      <w:lvlJc w:val="left"/>
      <w:pPr>
        <w:ind w:left="1488" w:hanging="17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16" w:hanging="17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44" w:hanging="1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73" w:hanging="1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01" w:hanging="1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29" w:hanging="1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258" w:hanging="1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886" w:hanging="177"/>
      </w:pPr>
      <w:rPr>
        <w:rFonts w:hint="default"/>
      </w:rPr>
    </w:lvl>
  </w:abstractNum>
  <w:abstractNum w:abstractNumId="46">
    <w:multiLevelType w:val="hybridMultilevel"/>
    <w:lvl w:ilvl="0">
      <w:start w:val="1"/>
      <w:numFmt w:val="decimal"/>
      <w:lvlText w:val="%1"/>
      <w:lvlJc w:val="left"/>
      <w:pPr>
        <w:ind w:left="370" w:hanging="209"/>
        <w:jc w:val="right"/>
      </w:pPr>
      <w:rPr>
        <w:rFonts w:hint="default"/>
        <w:w w:val="119"/>
      </w:rPr>
    </w:lvl>
    <w:lvl w:ilvl="1">
      <w:start w:val="0"/>
      <w:numFmt w:val="bullet"/>
      <w:lvlText w:val="•"/>
      <w:lvlJc w:val="left"/>
      <w:pPr>
        <w:ind w:left="460" w:hanging="20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50" w:hanging="2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40" w:hanging="2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31" w:hanging="2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21" w:hanging="2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12" w:hanging="2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202" w:hanging="2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992" w:hanging="209"/>
      </w:pPr>
      <w:rPr>
        <w:rFonts w:hint="default"/>
      </w:rPr>
    </w:lvl>
  </w:abstractNum>
  <w:abstractNum w:abstractNumId="45">
    <w:multiLevelType w:val="hybridMultilevel"/>
    <w:lvl w:ilvl="0">
      <w:start w:val="0"/>
      <w:numFmt w:val="bullet"/>
      <w:lvlText w:val="•"/>
      <w:lvlJc w:val="left"/>
      <w:pPr>
        <w:ind w:left="563" w:hanging="58"/>
      </w:pPr>
      <w:rPr>
        <w:rFonts w:hint="default" w:ascii="Arial" w:hAnsi="Arial" w:eastAsia="Arial" w:cs="Arial"/>
        <w:b w:val="0"/>
        <w:bCs w:val="0"/>
        <w:i/>
        <w:iCs/>
        <w:color w:val="2B282A"/>
        <w:w w:val="100"/>
        <w:sz w:val="14"/>
        <w:szCs w:val="14"/>
      </w:rPr>
    </w:lvl>
    <w:lvl w:ilvl="1">
      <w:start w:val="0"/>
      <w:numFmt w:val="bullet"/>
      <w:lvlText w:val="•"/>
      <w:lvlJc w:val="left"/>
      <w:pPr>
        <w:ind w:left="1303" w:hanging="5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46" w:hanging="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89" w:hanging="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32" w:hanging="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76" w:hanging="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19" w:hanging="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62" w:hanging="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05" w:hanging="58"/>
      </w:pPr>
      <w:rPr>
        <w:rFonts w:hint="default"/>
      </w:rPr>
    </w:lvl>
  </w:abstractNum>
  <w:abstractNum w:abstractNumId="44">
    <w:multiLevelType w:val="hybridMultilevel"/>
    <w:lvl w:ilvl="0">
      <w:start w:val="2"/>
      <w:numFmt w:val="decimal"/>
      <w:lvlText w:val="%1"/>
      <w:lvlJc w:val="left"/>
      <w:pPr>
        <w:ind w:left="313" w:hanging="215"/>
        <w:jc w:val="left"/>
      </w:pPr>
      <w:rPr>
        <w:rFonts w:hint="default" w:ascii="Arial" w:hAnsi="Arial" w:eastAsia="Arial" w:cs="Arial"/>
        <w:b/>
        <w:bCs/>
        <w:i w:val="0"/>
        <w:iCs w:val="0"/>
        <w:color w:val="3B3A3B"/>
        <w:w w:val="93"/>
        <w:sz w:val="15"/>
        <w:szCs w:val="15"/>
      </w:rPr>
    </w:lvl>
    <w:lvl w:ilvl="1">
      <w:start w:val="0"/>
      <w:numFmt w:val="bullet"/>
      <w:lvlText w:val="•"/>
      <w:lvlJc w:val="left"/>
      <w:pPr>
        <w:ind w:left="419" w:hanging="21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18" w:hanging="21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7" w:hanging="21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16" w:hanging="21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15" w:hanging="21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15" w:hanging="21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14" w:hanging="21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13" w:hanging="215"/>
      </w:pPr>
      <w:rPr>
        <w:rFonts w:hint="default"/>
      </w:rPr>
    </w:lvl>
  </w:abstractNum>
  <w:abstractNum w:abstractNumId="43">
    <w:multiLevelType w:val="hybridMultilevel"/>
    <w:lvl w:ilvl="0">
      <w:start w:val="1"/>
      <w:numFmt w:val="lowerLetter"/>
      <w:lvlText w:val="%1."/>
      <w:lvlJc w:val="left"/>
      <w:pPr>
        <w:ind w:left="861" w:hanging="403"/>
        <w:jc w:val="right"/>
      </w:pPr>
      <w:rPr>
        <w:rFonts w:hint="default"/>
        <w:w w:val="98"/>
      </w:rPr>
    </w:lvl>
    <w:lvl w:ilvl="1">
      <w:start w:val="1"/>
      <w:numFmt w:val="lowerLetter"/>
      <w:lvlText w:val="%2."/>
      <w:lvlJc w:val="left"/>
      <w:pPr>
        <w:ind w:left="1017" w:hanging="394"/>
        <w:jc w:val="right"/>
      </w:pPr>
      <w:rPr>
        <w:rFonts w:hint="default"/>
        <w:spacing w:val="0"/>
        <w:w w:val="123"/>
      </w:rPr>
    </w:lvl>
    <w:lvl w:ilvl="2">
      <w:start w:val="0"/>
      <w:numFmt w:val="bullet"/>
      <w:lvlText w:val="•"/>
      <w:lvlJc w:val="left"/>
      <w:pPr>
        <w:ind w:left="1788" w:hanging="39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57" w:hanging="39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26" w:hanging="39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95" w:hanging="39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864" w:hanging="39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633" w:hanging="39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02" w:hanging="394"/>
      </w:pPr>
      <w:rPr>
        <w:rFonts w:hint="default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1267" w:hanging="215"/>
        <w:jc w:val="left"/>
      </w:pPr>
      <w:rPr>
        <w:rFonts w:hint="default"/>
        <w:w w:val="104"/>
      </w:rPr>
    </w:lvl>
    <w:lvl w:ilvl="1">
      <w:start w:val="1"/>
      <w:numFmt w:val="upperRoman"/>
      <w:lvlText w:val="%2."/>
      <w:lvlJc w:val="left"/>
      <w:pPr>
        <w:ind w:left="2088" w:hanging="36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B3A3B"/>
        <w:w w:val="114"/>
        <w:sz w:val="17"/>
        <w:szCs w:val="17"/>
      </w:rPr>
    </w:lvl>
    <w:lvl w:ilvl="2">
      <w:start w:val="1"/>
      <w:numFmt w:val="upperLetter"/>
      <w:lvlText w:val="%3."/>
      <w:lvlJc w:val="left"/>
      <w:pPr>
        <w:ind w:left="2465" w:hanging="37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B3A3B"/>
        <w:spacing w:val="-1"/>
        <w:w w:val="105"/>
        <w:sz w:val="17"/>
        <w:szCs w:val="17"/>
      </w:rPr>
    </w:lvl>
    <w:lvl w:ilvl="3">
      <w:start w:val="0"/>
      <w:numFmt w:val="bullet"/>
      <w:lvlText w:val="•"/>
      <w:lvlJc w:val="left"/>
      <w:pPr>
        <w:ind w:left="2800" w:hanging="3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22" w:hanging="3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45" w:hanging="3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68" w:hanging="3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291" w:hanging="3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914" w:hanging="375"/>
      </w:pPr>
      <w:rPr>
        <w:rFonts w:hint="default"/>
      </w:rPr>
    </w:lvl>
  </w:abstractNum>
  <w:abstractNum w:abstractNumId="41">
    <w:multiLevelType w:val="hybridMultilevel"/>
    <w:lvl w:ilvl="0">
      <w:start w:val="5"/>
      <w:numFmt w:val="decimal"/>
      <w:lvlText w:val="%1"/>
      <w:lvlJc w:val="left"/>
      <w:pPr>
        <w:ind w:left="1403" w:hanging="708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03" w:hanging="708"/>
        <w:jc w:val="left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03" w:hanging="708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383638"/>
        <w:w w:val="121"/>
        <w:sz w:val="21"/>
        <w:szCs w:val="21"/>
      </w:rPr>
    </w:lvl>
    <w:lvl w:ilvl="3">
      <w:start w:val="1"/>
      <w:numFmt w:val="lowerLetter"/>
      <w:lvlText w:val="%4."/>
      <w:lvlJc w:val="left"/>
      <w:pPr>
        <w:ind w:left="1589" w:hanging="385"/>
        <w:jc w:val="right"/>
      </w:pPr>
      <w:rPr>
        <w:rFonts w:hint="default"/>
        <w:w w:val="107"/>
      </w:rPr>
    </w:lvl>
    <w:lvl w:ilvl="4">
      <w:start w:val="0"/>
      <w:numFmt w:val="bullet"/>
      <w:lvlText w:val="•"/>
      <w:lvlJc w:val="left"/>
      <w:pPr>
        <w:ind w:left="3522" w:hanging="38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69" w:hanging="3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817" w:hanging="3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64" w:hanging="3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112" w:hanging="385"/>
      </w:pPr>
      <w:rPr>
        <w:rFonts w:hint="default"/>
      </w:rPr>
    </w:lvl>
  </w:abstractNum>
  <w:abstractNum w:abstractNumId="40">
    <w:multiLevelType w:val="hybridMultilevel"/>
    <w:lvl w:ilvl="0">
      <w:start w:val="19"/>
      <w:numFmt w:val="upperLetter"/>
      <w:lvlText w:val="%1"/>
      <w:lvlJc w:val="left"/>
      <w:pPr>
        <w:ind w:left="1391" w:hanging="70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91" w:hanging="70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91" w:hanging="706"/>
        <w:jc w:val="left"/>
      </w:pPr>
      <w:rPr>
        <w:rFonts w:hint="default"/>
        <w:spacing w:val="-1"/>
        <w:w w:val="108"/>
      </w:rPr>
    </w:lvl>
    <w:lvl w:ilvl="3">
      <w:start w:val="0"/>
      <w:numFmt w:val="bullet"/>
      <w:lvlText w:val="•"/>
      <w:lvlJc w:val="left"/>
      <w:pPr>
        <w:ind w:left="3360" w:hanging="7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13" w:hanging="7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67" w:hanging="7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20" w:hanging="7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73" w:hanging="7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627" w:hanging="706"/>
      </w:pPr>
      <w:rPr>
        <w:rFonts w:hint="default"/>
      </w:rPr>
    </w:lvl>
  </w:abstractNum>
  <w:abstractNum w:abstractNumId="39">
    <w:multiLevelType w:val="hybridMultilevel"/>
    <w:lvl w:ilvl="0">
      <w:start w:val="5"/>
      <w:numFmt w:val="decimal"/>
      <w:lvlText w:val="%1"/>
      <w:lvlJc w:val="left"/>
      <w:pPr>
        <w:ind w:left="663" w:hanging="50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3" w:hanging="509"/>
        <w:jc w:val="left"/>
      </w:pPr>
      <w:rPr>
        <w:rFonts w:hint="default" w:ascii="Arial" w:hAnsi="Arial" w:eastAsia="Arial" w:cs="Arial"/>
        <w:b/>
        <w:bCs/>
        <w:i w:val="0"/>
        <w:iCs w:val="0"/>
        <w:color w:val="383638"/>
        <w:spacing w:val="-1"/>
        <w:w w:val="107"/>
        <w:sz w:val="20"/>
        <w:szCs w:val="20"/>
      </w:rPr>
    </w:lvl>
    <w:lvl w:ilvl="2">
      <w:start w:val="1"/>
      <w:numFmt w:val="decimal"/>
      <w:lvlText w:val="%1.%2.%3"/>
      <w:lvlJc w:val="left"/>
      <w:pPr>
        <w:ind w:left="1336" w:hanging="681"/>
        <w:jc w:val="left"/>
      </w:pPr>
      <w:rPr>
        <w:rFonts w:hint="default"/>
        <w:w w:val="108"/>
      </w:rPr>
    </w:lvl>
    <w:lvl w:ilvl="3">
      <w:start w:val="1"/>
      <w:numFmt w:val="lowerLetter"/>
      <w:lvlText w:val="%4."/>
      <w:lvlJc w:val="left"/>
      <w:pPr>
        <w:ind w:left="1713" w:hanging="346"/>
        <w:jc w:val="left"/>
      </w:pPr>
      <w:rPr>
        <w:rFonts w:hint="default"/>
        <w:w w:val="105"/>
      </w:rPr>
    </w:lvl>
    <w:lvl w:ilvl="4">
      <w:start w:val="0"/>
      <w:numFmt w:val="bullet"/>
      <w:lvlText w:val="•"/>
      <w:lvlJc w:val="left"/>
      <w:pPr>
        <w:ind w:left="2607" w:hanging="34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95" w:hanging="34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83" w:hanging="34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271" w:hanging="34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158" w:hanging="346"/>
      </w:pPr>
      <w:rPr>
        <w:rFonts w:hint="default"/>
      </w:rPr>
    </w:lvl>
  </w:abstractNum>
  <w:abstractNum w:abstractNumId="38">
    <w:multiLevelType w:val="hybridMultilevel"/>
    <w:lvl w:ilvl="0">
      <w:start w:val="1"/>
      <w:numFmt w:val="upperRoman"/>
      <w:lvlText w:val="%1."/>
      <w:lvlJc w:val="left"/>
      <w:pPr>
        <w:ind w:left="476" w:hanging="34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83638"/>
        <w:w w:val="116"/>
        <w:sz w:val="20"/>
        <w:szCs w:val="20"/>
      </w:rPr>
    </w:lvl>
    <w:lvl w:ilvl="1">
      <w:start w:val="1"/>
      <w:numFmt w:val="upperLetter"/>
      <w:lvlText w:val="%2."/>
      <w:lvlJc w:val="left"/>
      <w:pPr>
        <w:ind w:left="765" w:hanging="274"/>
        <w:jc w:val="right"/>
      </w:pPr>
      <w:rPr>
        <w:rFonts w:hint="default"/>
        <w:spacing w:val="-1"/>
        <w:w w:val="97"/>
      </w:rPr>
    </w:lvl>
    <w:lvl w:ilvl="2">
      <w:start w:val="1"/>
      <w:numFmt w:val="decimal"/>
      <w:lvlText w:val="%3."/>
      <w:lvlJc w:val="left"/>
      <w:pPr>
        <w:ind w:left="1695" w:hanging="275"/>
        <w:jc w:val="left"/>
      </w:pPr>
      <w:rPr>
        <w:rFonts w:hint="default"/>
        <w:spacing w:val="-1"/>
        <w:w w:val="113"/>
      </w:rPr>
    </w:lvl>
    <w:lvl w:ilvl="3">
      <w:start w:val="0"/>
      <w:numFmt w:val="bullet"/>
      <w:lvlText w:val="•"/>
      <w:lvlJc w:val="left"/>
      <w:pPr>
        <w:ind w:left="1700" w:hanging="2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62" w:hanging="2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25" w:hanging="2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88" w:hanging="2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50" w:hanging="2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13" w:hanging="275"/>
      </w:pPr>
      <w:rPr>
        <w:rFonts w:hint="default"/>
      </w:rPr>
    </w:lvl>
  </w:abstractNum>
  <w:abstractNum w:abstractNumId="37">
    <w:multiLevelType w:val="hybridMultilevel"/>
    <w:lvl w:ilvl="0">
      <w:start w:val="2"/>
      <w:numFmt w:val="decimal"/>
      <w:lvlText w:val="%1."/>
      <w:lvlJc w:val="left"/>
      <w:pPr>
        <w:ind w:left="934" w:hanging="291"/>
        <w:jc w:val="right"/>
      </w:pPr>
      <w:rPr>
        <w:rFonts w:hint="default"/>
        <w:w w:val="109"/>
      </w:rPr>
    </w:lvl>
    <w:lvl w:ilvl="1">
      <w:start w:val="2"/>
      <w:numFmt w:val="decimal"/>
      <w:lvlText w:val="%2."/>
      <w:lvlJc w:val="left"/>
      <w:pPr>
        <w:ind w:left="954" w:hanging="270"/>
        <w:jc w:val="left"/>
      </w:pPr>
      <w:rPr>
        <w:rFonts w:hint="default"/>
        <w:w w:val="107"/>
      </w:rPr>
    </w:lvl>
    <w:lvl w:ilvl="2">
      <w:start w:val="0"/>
      <w:numFmt w:val="bullet"/>
      <w:lvlText w:val="•"/>
      <w:lvlJc w:val="left"/>
      <w:pPr>
        <w:ind w:left="1120" w:hanging="2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36" w:hanging="2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52" w:hanging="2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68" w:hanging="2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84" w:hanging="2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00" w:hanging="2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416" w:hanging="270"/>
      </w:pPr>
      <w:rPr>
        <w:rFonts w:hint="default"/>
      </w:rPr>
    </w:lvl>
  </w:abstractNum>
  <w:abstractNum w:abstractNumId="36">
    <w:multiLevelType w:val="hybridMultilevel"/>
    <w:lvl w:ilvl="0">
      <w:start w:val="1"/>
      <w:numFmt w:val="decimal"/>
      <w:lvlText w:val="(%1)"/>
      <w:lvlJc w:val="left"/>
      <w:pPr>
        <w:ind w:left="110" w:hanging="3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A3838"/>
        <w:w w:val="102"/>
        <w:sz w:val="23"/>
        <w:szCs w:val="23"/>
      </w:rPr>
    </w:lvl>
    <w:lvl w:ilvl="1">
      <w:start w:val="1"/>
      <w:numFmt w:val="upperRoman"/>
      <w:lvlText w:val="%2."/>
      <w:lvlJc w:val="left"/>
      <w:pPr>
        <w:ind w:left="949" w:hanging="27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A3838"/>
        <w:w w:val="108"/>
        <w:sz w:val="21"/>
        <w:szCs w:val="21"/>
      </w:rPr>
    </w:lvl>
    <w:lvl w:ilvl="2">
      <w:start w:val="0"/>
      <w:numFmt w:val="bullet"/>
      <w:lvlText w:val="•"/>
      <w:lvlJc w:val="left"/>
      <w:pPr>
        <w:ind w:left="1618" w:hanging="2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96" w:hanging="2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74" w:hanging="2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53" w:hanging="2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31" w:hanging="2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009" w:hanging="2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88" w:hanging="278"/>
      </w:pPr>
      <w:rPr>
        <w:rFonts w:hint="default"/>
      </w:rPr>
    </w:lvl>
  </w:abstractNum>
  <w:abstractNum w:abstractNumId="35">
    <w:multiLevelType w:val="hybridMultilevel"/>
    <w:lvl w:ilvl="0">
      <w:start w:val="1"/>
      <w:numFmt w:val="decimal"/>
      <w:lvlText w:val="(%1)"/>
      <w:lvlJc w:val="left"/>
      <w:pPr>
        <w:ind w:left="489" w:hanging="36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83638"/>
        <w:w w:val="102"/>
        <w:sz w:val="23"/>
        <w:szCs w:val="23"/>
      </w:rPr>
    </w:lvl>
    <w:lvl w:ilvl="1">
      <w:start w:val="0"/>
      <w:numFmt w:val="bullet"/>
      <w:lvlText w:val="•"/>
      <w:lvlJc w:val="left"/>
      <w:pPr>
        <w:ind w:left="1231" w:hanging="36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82" w:hanging="3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33" w:hanging="3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84" w:hanging="3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35" w:hanging="3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986" w:hanging="3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37" w:hanging="3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88" w:hanging="369"/>
      </w:pPr>
      <w:rPr>
        <w:rFonts w:hint="default"/>
      </w:rPr>
    </w:lvl>
  </w:abstractNum>
  <w:abstractNum w:abstractNumId="34">
    <w:multiLevelType w:val="hybridMultilevel"/>
    <w:lvl w:ilvl="0">
      <w:start w:val="4"/>
      <w:numFmt w:val="decimal"/>
      <w:lvlText w:val="%1"/>
      <w:lvlJc w:val="left"/>
      <w:pPr>
        <w:ind w:left="686" w:hanging="5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6" w:hanging="502"/>
        <w:jc w:val="left"/>
      </w:pPr>
      <w:rPr>
        <w:rFonts w:hint="default" w:ascii="Arial" w:hAnsi="Arial" w:eastAsia="Arial" w:cs="Arial"/>
        <w:b/>
        <w:bCs/>
        <w:i w:val="0"/>
        <w:iCs w:val="0"/>
        <w:color w:val="383638"/>
        <w:spacing w:val="-1"/>
        <w:w w:val="103"/>
        <w:sz w:val="20"/>
        <w:szCs w:val="20"/>
      </w:rPr>
    </w:lvl>
    <w:lvl w:ilvl="2">
      <w:start w:val="1"/>
      <w:numFmt w:val="decimal"/>
      <w:lvlText w:val="%1.%2.%3"/>
      <w:lvlJc w:val="left"/>
      <w:pPr>
        <w:ind w:left="1382" w:hanging="707"/>
        <w:jc w:val="left"/>
      </w:pPr>
      <w:rPr>
        <w:rFonts w:hint="default" w:ascii="Arial" w:hAnsi="Arial" w:eastAsia="Arial" w:cs="Arial"/>
        <w:b/>
        <w:bCs/>
        <w:i w:val="0"/>
        <w:iCs w:val="0"/>
        <w:color w:val="383638"/>
        <w:spacing w:val="-1"/>
        <w:w w:val="113"/>
        <w:sz w:val="20"/>
        <w:szCs w:val="20"/>
      </w:rPr>
    </w:lvl>
    <w:lvl w:ilvl="3">
      <w:start w:val="0"/>
      <w:numFmt w:val="bullet"/>
      <w:lvlText w:val="•"/>
      <w:lvlJc w:val="left"/>
      <w:pPr>
        <w:ind w:left="2161" w:hanging="70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22" w:hanging="70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83" w:hanging="70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44" w:hanging="70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205" w:hanging="70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966" w:hanging="707"/>
      </w:pPr>
      <w:rPr>
        <w:rFonts w:hint="default"/>
      </w:rPr>
    </w:lvl>
  </w:abstractNum>
  <w:abstractNum w:abstractNumId="33">
    <w:multiLevelType w:val="hybridMultilevel"/>
    <w:lvl w:ilvl="0">
      <w:start w:val="1"/>
      <w:numFmt w:val="decimal"/>
      <w:lvlText w:val="(%1)"/>
      <w:lvlJc w:val="left"/>
      <w:pPr>
        <w:ind w:left="489" w:hanging="35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83638"/>
        <w:w w:val="102"/>
        <w:sz w:val="23"/>
        <w:szCs w:val="23"/>
      </w:rPr>
    </w:lvl>
    <w:lvl w:ilvl="1">
      <w:start w:val="0"/>
      <w:numFmt w:val="bullet"/>
      <w:lvlText w:val="•"/>
      <w:lvlJc w:val="left"/>
      <w:pPr>
        <w:ind w:left="1231" w:hanging="35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83" w:hanging="3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34" w:hanging="3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86" w:hanging="3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38" w:hanging="3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989" w:hanging="3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41" w:hanging="3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92" w:hanging="359"/>
      </w:pPr>
      <w:rPr>
        <w:rFonts w:hint="default"/>
      </w:rPr>
    </w:lvl>
  </w:abstractNum>
  <w:abstractNum w:abstractNumId="32">
    <w:multiLevelType w:val="hybridMultilevel"/>
    <w:lvl w:ilvl="0">
      <w:start w:val="4"/>
      <w:numFmt w:val="decimal"/>
      <w:lvlText w:val="%1"/>
      <w:lvlJc w:val="left"/>
      <w:pPr>
        <w:ind w:left="685" w:hanging="50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5" w:hanging="503"/>
        <w:jc w:val="left"/>
      </w:pPr>
      <w:rPr>
        <w:rFonts w:hint="default"/>
        <w:spacing w:val="-1"/>
        <w:w w:val="102"/>
      </w:rPr>
    </w:lvl>
    <w:lvl w:ilvl="2">
      <w:start w:val="1"/>
      <w:numFmt w:val="decimal"/>
      <w:lvlText w:val="%1.%2.%3"/>
      <w:lvlJc w:val="left"/>
      <w:pPr>
        <w:ind w:left="1399" w:hanging="705"/>
        <w:jc w:val="left"/>
      </w:pPr>
      <w:rPr>
        <w:rFonts w:hint="default"/>
        <w:spacing w:val="-1"/>
        <w:w w:val="113"/>
      </w:rPr>
    </w:lvl>
    <w:lvl w:ilvl="3">
      <w:start w:val="0"/>
      <w:numFmt w:val="bullet"/>
      <w:lvlText w:val="•"/>
      <w:lvlJc w:val="left"/>
      <w:pPr>
        <w:ind w:left="2161" w:hanging="7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23" w:hanging="7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84" w:hanging="7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46" w:hanging="7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208" w:hanging="7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969" w:hanging="705"/>
      </w:pPr>
      <w:rPr>
        <w:rFonts w:hint="default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1048" w:hanging="13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B3A3B"/>
        <w:w w:val="110"/>
        <w:sz w:val="18"/>
        <w:szCs w:val="18"/>
      </w:rPr>
    </w:lvl>
    <w:lvl w:ilvl="1">
      <w:start w:val="0"/>
      <w:numFmt w:val="bullet"/>
      <w:lvlText w:val="•"/>
      <w:lvlJc w:val="left"/>
      <w:pPr>
        <w:ind w:left="1766" w:hanging="13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92" w:hanging="1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18" w:hanging="1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44" w:hanging="1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71" w:hanging="1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97" w:hanging="1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23" w:hanging="1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49" w:hanging="133"/>
      </w:pPr>
      <w:rPr>
        <w:rFonts w:hint="default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116" w:hanging="9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B383A"/>
        <w:w w:val="108"/>
        <w:sz w:val="17"/>
        <w:szCs w:val="17"/>
      </w:rPr>
    </w:lvl>
    <w:lvl w:ilvl="1">
      <w:start w:val="0"/>
      <w:numFmt w:val="bullet"/>
      <w:lvlText w:val="•"/>
      <w:lvlJc w:val="left"/>
      <w:pPr>
        <w:ind w:left="899" w:hanging="9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79" w:hanging="9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58" w:hanging="9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38" w:hanging="9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18" w:hanging="9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97" w:hanging="9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577" w:hanging="9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356" w:hanging="91"/>
      </w:pPr>
      <w:rPr>
        <w:rFonts w:hint="default"/>
      </w:rPr>
    </w:lvl>
  </w:abstractNum>
  <w:abstractNum w:abstractNumId="29">
    <w:multiLevelType w:val="hybridMultilevel"/>
    <w:lvl w:ilvl="0">
      <w:start w:val="1"/>
      <w:numFmt w:val="lowerRoman"/>
      <w:lvlText w:val="%1."/>
      <w:lvlJc w:val="left"/>
      <w:pPr>
        <w:ind w:left="1234" w:hanging="220"/>
        <w:jc w:val="right"/>
      </w:pPr>
      <w:rPr>
        <w:rFonts w:hint="default"/>
        <w:spacing w:val="-1"/>
        <w:w w:val="121"/>
      </w:rPr>
    </w:lvl>
    <w:lvl w:ilvl="1">
      <w:start w:val="0"/>
      <w:numFmt w:val="bullet"/>
      <w:lvlText w:val="•"/>
      <w:lvlJc w:val="left"/>
      <w:pPr>
        <w:ind w:left="1963" w:hanging="2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86" w:hanging="2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09" w:hanging="2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33" w:hanging="2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56" w:hanging="2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79" w:hanging="2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02" w:hanging="2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26" w:hanging="220"/>
      </w:pPr>
      <w:rPr>
        <w:rFonts w:hint="default"/>
      </w:rPr>
    </w:lvl>
  </w:abstractNum>
  <w:abstractNum w:abstractNumId="28">
    <w:multiLevelType w:val="hybridMultilevel"/>
    <w:lvl w:ilvl="0">
      <w:start w:val="1"/>
      <w:numFmt w:val="lowerLetter"/>
      <w:lvlText w:val="%1."/>
      <w:lvlJc w:val="left"/>
      <w:pPr>
        <w:ind w:left="903" w:hanging="402"/>
        <w:jc w:val="right"/>
      </w:pPr>
      <w:rPr>
        <w:rFonts w:hint="default"/>
        <w:w w:val="115"/>
      </w:rPr>
    </w:lvl>
    <w:lvl w:ilvl="1">
      <w:start w:val="0"/>
      <w:numFmt w:val="bullet"/>
      <w:lvlText w:val="•"/>
      <w:lvlJc w:val="left"/>
      <w:pPr>
        <w:ind w:left="1602" w:hanging="4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05" w:hanging="4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08" w:hanging="4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11" w:hanging="4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14" w:hanging="4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17" w:hanging="4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20" w:hanging="4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23" w:hanging="402"/>
      </w:pPr>
      <w:rPr>
        <w:rFonts w:hint="default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923" w:hanging="147"/>
      </w:pPr>
      <w:rPr>
        <w:rFonts w:hint="default" w:ascii="Arial" w:hAnsi="Arial" w:eastAsia="Arial" w:cs="Arial"/>
        <w:b w:val="0"/>
        <w:bCs w:val="0"/>
        <w:i w:val="0"/>
        <w:iCs w:val="0"/>
        <w:color w:val="3D3B3B"/>
        <w:w w:val="111"/>
        <w:sz w:val="16"/>
        <w:szCs w:val="16"/>
      </w:rPr>
    </w:lvl>
    <w:lvl w:ilvl="1">
      <w:start w:val="0"/>
      <w:numFmt w:val="bullet"/>
      <w:lvlText w:val="•"/>
      <w:lvlJc w:val="left"/>
      <w:pPr>
        <w:ind w:left="1658" w:hanging="14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97" w:hanging="1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36" w:hanging="1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75" w:hanging="1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14" w:hanging="1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52" w:hanging="1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91" w:hanging="1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30" w:hanging="147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2580" w:hanging="319"/>
        <w:jc w:val="right"/>
      </w:pPr>
      <w:rPr>
        <w:rFonts w:hint="default"/>
        <w:spacing w:val="-1"/>
        <w:w w:val="109"/>
      </w:rPr>
    </w:lvl>
    <w:lvl w:ilvl="1">
      <w:start w:val="0"/>
      <w:numFmt w:val="bullet"/>
      <w:lvlText w:val="•"/>
      <w:lvlJc w:val="left"/>
      <w:pPr>
        <w:ind w:left="3300" w:hanging="3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21" w:hanging="3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41" w:hanging="3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62" w:hanging="3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83" w:hanging="3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03" w:hanging="3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4" w:hanging="3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45" w:hanging="319"/>
      </w:pPr>
      <w:rPr>
        <w:rFonts w:hint="default"/>
      </w:rPr>
    </w:lvl>
  </w:abstractNum>
  <w:abstractNum w:abstractNumId="25">
    <w:multiLevelType w:val="hybridMultilevel"/>
    <w:lvl w:ilvl="0">
      <w:start w:val="3"/>
      <w:numFmt w:val="decimal"/>
      <w:lvlText w:val="%1"/>
      <w:lvlJc w:val="left"/>
      <w:pPr>
        <w:ind w:left="690" w:hanging="47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0" w:hanging="479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3A3838"/>
        <w:w w:val="107"/>
        <w:sz w:val="22"/>
        <w:szCs w:val="22"/>
      </w:rPr>
    </w:lvl>
    <w:lvl w:ilvl="2">
      <w:start w:val="1"/>
      <w:numFmt w:val="decimal"/>
      <w:lvlText w:val="%1.%2.%3"/>
      <w:lvlJc w:val="left"/>
      <w:pPr>
        <w:ind w:left="1417" w:hanging="685"/>
        <w:jc w:val="left"/>
      </w:pPr>
      <w:rPr>
        <w:rFonts w:hint="default"/>
        <w:w w:val="105"/>
      </w:rPr>
    </w:lvl>
    <w:lvl w:ilvl="3">
      <w:start w:val="1"/>
      <w:numFmt w:val="lowerLetter"/>
      <w:lvlText w:val="%4."/>
      <w:lvlJc w:val="left"/>
      <w:pPr>
        <w:ind w:left="1706" w:hanging="685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3A3838"/>
        <w:w w:val="111"/>
        <w:sz w:val="22"/>
        <w:szCs w:val="22"/>
      </w:rPr>
    </w:lvl>
    <w:lvl w:ilvl="4">
      <w:start w:val="1"/>
      <w:numFmt w:val="lowerRoman"/>
      <w:lvlText w:val="%5."/>
      <w:lvlJc w:val="left"/>
      <w:pPr>
        <w:ind w:left="2072" w:hanging="68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3A3838"/>
        <w:spacing w:val="-1"/>
        <w:w w:val="106"/>
        <w:sz w:val="20"/>
        <w:szCs w:val="20"/>
      </w:rPr>
    </w:lvl>
    <w:lvl w:ilvl="5">
      <w:start w:val="0"/>
      <w:numFmt w:val="bullet"/>
      <w:lvlText w:val="•"/>
      <w:lvlJc w:val="left"/>
      <w:pPr>
        <w:ind w:left="3056" w:hanging="6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33" w:hanging="6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009" w:hanging="6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986" w:hanging="685"/>
      </w:pPr>
      <w:rPr>
        <w:rFonts w:hint="default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151" w:hanging="69"/>
      </w:pPr>
      <w:rPr>
        <w:rFonts w:hint="default" w:ascii="Times New Roman" w:hAnsi="Times New Roman" w:eastAsia="Times New Roman" w:cs="Times New Roman"/>
        <w:b w:val="0"/>
        <w:bCs w:val="0"/>
        <w:i/>
        <w:iCs/>
        <w:color w:val="3D3B3B"/>
        <w:w w:val="192"/>
        <w:sz w:val="8"/>
        <w:szCs w:val="8"/>
      </w:rPr>
    </w:lvl>
    <w:lvl w:ilvl="1">
      <w:start w:val="0"/>
      <w:numFmt w:val="bullet"/>
      <w:lvlText w:val="•"/>
      <w:lvlJc w:val="left"/>
      <w:pPr>
        <w:ind w:left="1080" w:hanging="6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00" w:hanging="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20" w:hanging="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41" w:hanging="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61" w:hanging="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81" w:hanging="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01" w:hanging="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22" w:hanging="69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535" w:hanging="277"/>
        <w:jc w:val="right"/>
      </w:pPr>
      <w:rPr>
        <w:rFonts w:hint="default"/>
        <w:spacing w:val="-1"/>
        <w:w w:val="111"/>
      </w:rPr>
    </w:lvl>
    <w:lvl w:ilvl="1">
      <w:start w:val="0"/>
      <w:numFmt w:val="bullet"/>
      <w:lvlText w:val="•"/>
      <w:lvlJc w:val="left"/>
      <w:pPr>
        <w:ind w:left="1282" w:hanging="27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25" w:hanging="27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67" w:hanging="2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10" w:hanging="2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52" w:hanging="2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995" w:hanging="2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38" w:hanging="2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80" w:hanging="277"/>
      </w:pPr>
      <w:rPr>
        <w:rFonts w:hint="default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780" w:hanging="7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A3838"/>
        <w:spacing w:val="5"/>
        <w:w w:val="102"/>
        <w:sz w:val="18"/>
        <w:szCs w:val="18"/>
      </w:rPr>
    </w:lvl>
    <w:lvl w:ilvl="1">
      <w:start w:val="0"/>
      <w:numFmt w:val="bullet"/>
      <w:lvlText w:val="•"/>
      <w:lvlJc w:val="left"/>
      <w:pPr>
        <w:ind w:left="1517" w:hanging="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55" w:hanging="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93" w:hanging="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31" w:hanging="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69" w:hanging="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07" w:hanging="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44" w:hanging="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682" w:hanging="78"/>
      </w:pPr>
      <w:rPr>
        <w:rFonts w:hint="default"/>
      </w:rPr>
    </w:lvl>
  </w:abstractNum>
  <w:abstractNum w:abstractNumId="20">
    <w:multiLevelType w:val="hybridMultilevel"/>
    <w:lvl w:ilvl="0">
      <w:start w:val="2"/>
      <w:numFmt w:val="decimal"/>
      <w:lvlText w:val="%1"/>
      <w:lvlJc w:val="left"/>
      <w:pPr>
        <w:ind w:left="697" w:hanging="48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7" w:hanging="484"/>
        <w:jc w:val="left"/>
      </w:pPr>
      <w:rPr>
        <w:rFonts w:hint="default"/>
        <w:spacing w:val="-1"/>
        <w:w w:val="110"/>
      </w:rPr>
    </w:lvl>
    <w:lvl w:ilvl="2">
      <w:start w:val="1"/>
      <w:numFmt w:val="decimal"/>
      <w:lvlText w:val="%1.%2.%3"/>
      <w:lvlJc w:val="left"/>
      <w:pPr>
        <w:ind w:left="1427" w:hanging="693"/>
        <w:jc w:val="left"/>
      </w:pPr>
      <w:rPr>
        <w:rFonts w:hint="default"/>
        <w:spacing w:val="-1"/>
        <w:w w:val="109"/>
      </w:rPr>
    </w:lvl>
    <w:lvl w:ilvl="3">
      <w:start w:val="1"/>
      <w:numFmt w:val="lowerLetter"/>
      <w:lvlText w:val="%4."/>
      <w:lvlJc w:val="left"/>
      <w:pPr>
        <w:ind w:left="1687" w:hanging="693"/>
        <w:jc w:val="left"/>
      </w:pPr>
      <w:rPr>
        <w:rFonts w:hint="default"/>
        <w:w w:val="101"/>
      </w:rPr>
    </w:lvl>
    <w:lvl w:ilvl="4">
      <w:start w:val="0"/>
      <w:numFmt w:val="bullet"/>
      <w:lvlText w:val="•"/>
      <w:lvlJc w:val="left"/>
      <w:pPr>
        <w:ind w:left="3244" w:hanging="69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27" w:hanging="69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809" w:hanging="69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592" w:hanging="69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374" w:hanging="693"/>
      </w:pPr>
      <w:rPr>
        <w:rFonts w:hint="default"/>
      </w:rPr>
    </w:lvl>
  </w:abstractNum>
  <w:abstractNum w:abstractNumId="19">
    <w:multiLevelType w:val="hybridMultilevel"/>
    <w:lvl w:ilvl="0">
      <w:start w:val="2"/>
      <w:numFmt w:val="decimal"/>
      <w:lvlText w:val="(%1)"/>
      <w:lvlJc w:val="left"/>
      <w:pPr>
        <w:ind w:left="115" w:hanging="338"/>
        <w:jc w:val="left"/>
      </w:pPr>
      <w:rPr>
        <w:rFonts w:hint="default"/>
        <w:w w:val="101"/>
      </w:rPr>
    </w:lvl>
    <w:lvl w:ilvl="1">
      <w:start w:val="1"/>
      <w:numFmt w:val="lowerRoman"/>
      <w:lvlText w:val="%2."/>
      <w:lvlJc w:val="left"/>
      <w:pPr>
        <w:ind w:left="938" w:hanging="10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83636"/>
        <w:spacing w:val="-1"/>
        <w:w w:val="105"/>
        <w:sz w:val="17"/>
        <w:szCs w:val="17"/>
      </w:rPr>
    </w:lvl>
    <w:lvl w:ilvl="2">
      <w:start w:val="0"/>
      <w:numFmt w:val="bullet"/>
      <w:lvlText w:val="•"/>
      <w:lvlJc w:val="left"/>
      <w:pPr>
        <w:ind w:left="1609" w:hanging="10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79" w:hanging="10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49" w:hanging="10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18" w:hanging="10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88" w:hanging="10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58" w:hanging="10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27" w:hanging="107"/>
      </w:pPr>
      <w:rPr>
        <w:rFonts w:hint="default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119" w:hanging="8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B3A3B"/>
        <w:w w:val="107"/>
        <w:sz w:val="18"/>
        <w:szCs w:val="18"/>
      </w:rPr>
    </w:lvl>
    <w:lvl w:ilvl="1">
      <w:start w:val="0"/>
      <w:numFmt w:val="bullet"/>
      <w:lvlText w:val="•"/>
      <w:lvlJc w:val="left"/>
      <w:pPr>
        <w:ind w:left="902" w:hanging="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85" w:hanging="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67" w:hanging="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50" w:hanging="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33" w:hanging="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815" w:hanging="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598" w:hanging="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381" w:hanging="86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"/>
      <w:lvlJc w:val="left"/>
      <w:pPr>
        <w:ind w:left="751" w:hanging="50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1" w:hanging="505"/>
        <w:jc w:val="left"/>
      </w:pPr>
      <w:rPr>
        <w:rFonts w:hint="default" w:ascii="Arial" w:hAnsi="Arial" w:eastAsia="Arial" w:cs="Arial"/>
        <w:b/>
        <w:bCs/>
        <w:i w:val="0"/>
        <w:iCs w:val="0"/>
        <w:color w:val="3A3838"/>
        <w:spacing w:val="-1"/>
        <w:w w:val="110"/>
        <w:sz w:val="21"/>
        <w:szCs w:val="21"/>
      </w:rPr>
    </w:lvl>
    <w:lvl w:ilvl="2">
      <w:start w:val="1"/>
      <w:numFmt w:val="decimal"/>
      <w:lvlText w:val="(%3)"/>
      <w:lvlJc w:val="left"/>
      <w:pPr>
        <w:ind w:left="643" w:hanging="351"/>
        <w:jc w:val="right"/>
      </w:pPr>
      <w:rPr>
        <w:rFonts w:hint="default"/>
        <w:spacing w:val="-1"/>
        <w:w w:val="108"/>
      </w:rPr>
    </w:lvl>
    <w:lvl w:ilvl="3">
      <w:start w:val="0"/>
      <w:numFmt w:val="bullet"/>
      <w:lvlText w:val="•"/>
      <w:lvlJc w:val="left"/>
      <w:pPr>
        <w:ind w:left="2237" w:hanging="3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76" w:hanging="3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15" w:hanging="3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54" w:hanging="3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92" w:hanging="3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931" w:hanging="351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"/>
      <w:lvlJc w:val="left"/>
      <w:pPr>
        <w:ind w:left="804" w:hanging="69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4" w:hanging="69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312F2F"/>
        <w:spacing w:val="-1"/>
        <w:w w:val="108"/>
        <w:sz w:val="22"/>
        <w:szCs w:val="22"/>
      </w:rPr>
    </w:lvl>
    <w:lvl w:ilvl="2">
      <w:start w:val="1"/>
      <w:numFmt w:val="decimal"/>
      <w:lvlText w:val="%1.%2.%3"/>
      <w:lvlJc w:val="left"/>
      <w:pPr>
        <w:ind w:left="1531" w:hanging="732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312F2F"/>
        <w:spacing w:val="-1"/>
        <w:w w:val="116"/>
        <w:sz w:val="22"/>
        <w:szCs w:val="22"/>
      </w:rPr>
    </w:lvl>
    <w:lvl w:ilvl="3">
      <w:start w:val="1"/>
      <w:numFmt w:val="lowerLetter"/>
      <w:lvlText w:val="%4."/>
      <w:lvlJc w:val="left"/>
      <w:pPr>
        <w:ind w:left="1928" w:hanging="376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312F2F"/>
        <w:w w:val="103"/>
        <w:sz w:val="23"/>
        <w:szCs w:val="23"/>
      </w:rPr>
    </w:lvl>
    <w:lvl w:ilvl="4">
      <w:start w:val="0"/>
      <w:numFmt w:val="bullet"/>
      <w:lvlText w:val="•"/>
      <w:lvlJc w:val="left"/>
      <w:pPr>
        <w:ind w:left="2777" w:hanging="3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34" w:hanging="3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92" w:hanging="3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349" w:hanging="3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207" w:hanging="376"/>
      </w:pPr>
      <w:rPr>
        <w:rFonts w:hint="default"/>
      </w:rPr>
    </w:lvl>
  </w:abstractNum>
  <w:abstractNum w:abstractNumId="14">
    <w:multiLevelType w:val="hybridMultilevel"/>
    <w:lvl w:ilvl="0">
      <w:start w:val="14"/>
      <w:numFmt w:val="decimal"/>
      <w:lvlText w:val="%1"/>
      <w:lvlJc w:val="left"/>
      <w:pPr>
        <w:ind w:left="1105" w:hanging="68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05" w:hanging="688"/>
        <w:jc w:val="right"/>
      </w:pPr>
      <w:rPr>
        <w:rFonts w:hint="default"/>
        <w:spacing w:val="-1"/>
        <w:w w:val="124"/>
      </w:rPr>
    </w:lvl>
    <w:lvl w:ilvl="2">
      <w:start w:val="1"/>
      <w:numFmt w:val="decimal"/>
      <w:lvlText w:val="%1.%2.%3"/>
      <w:lvlJc w:val="left"/>
      <w:pPr>
        <w:ind w:left="1809" w:hanging="726"/>
        <w:jc w:val="right"/>
      </w:pPr>
      <w:rPr>
        <w:rFonts w:hint="default"/>
        <w:spacing w:val="-1"/>
        <w:w w:val="121"/>
      </w:rPr>
    </w:lvl>
    <w:lvl w:ilvl="3">
      <w:start w:val="1"/>
      <w:numFmt w:val="lowerLetter"/>
      <w:lvlText w:val="%4."/>
      <w:lvlJc w:val="left"/>
      <w:pPr>
        <w:ind w:left="2176" w:hanging="383"/>
        <w:jc w:val="left"/>
      </w:pPr>
      <w:rPr>
        <w:rFonts w:hint="default"/>
        <w:w w:val="110"/>
      </w:rPr>
    </w:lvl>
    <w:lvl w:ilvl="4">
      <w:start w:val="0"/>
      <w:numFmt w:val="bullet"/>
      <w:lvlText w:val="•"/>
      <w:lvlJc w:val="left"/>
      <w:pPr>
        <w:ind w:left="3047" w:hanging="3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15" w:hanging="3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83" w:hanging="3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651" w:hanging="3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19" w:hanging="383"/>
      </w:pPr>
      <w:rPr>
        <w:rFonts w:hint="default"/>
      </w:rPr>
    </w:lvl>
  </w:abstractNum>
  <w:abstractNum w:abstractNumId="13">
    <w:multiLevelType w:val="hybridMultilevel"/>
    <w:lvl w:ilvl="0">
      <w:start w:val="13"/>
      <w:numFmt w:val="decimal"/>
      <w:lvlText w:val="%1"/>
      <w:lvlJc w:val="left"/>
      <w:pPr>
        <w:ind w:left="1200" w:hanging="69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696"/>
        <w:jc w:val="left"/>
      </w:pPr>
      <w:rPr>
        <w:rFonts w:hint="default"/>
        <w:spacing w:val="-1"/>
        <w:w w:val="124"/>
      </w:rPr>
    </w:lvl>
    <w:lvl w:ilvl="2">
      <w:start w:val="1"/>
      <w:numFmt w:val="decimal"/>
      <w:lvlText w:val="%1.%2.%3"/>
      <w:lvlJc w:val="left"/>
      <w:pPr>
        <w:ind w:left="1939" w:hanging="741"/>
        <w:jc w:val="left"/>
      </w:pPr>
      <w:rPr>
        <w:rFonts w:hint="default"/>
        <w:spacing w:val="-1"/>
        <w:w w:val="124"/>
      </w:rPr>
    </w:lvl>
    <w:lvl w:ilvl="3">
      <w:start w:val="0"/>
      <w:numFmt w:val="bullet"/>
      <w:lvlText w:val="•"/>
      <w:lvlJc w:val="left"/>
      <w:pPr>
        <w:ind w:left="2746" w:hanging="7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33" w:hanging="7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20" w:hanging="7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07" w:hanging="7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94" w:hanging="7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681" w:hanging="741"/>
      </w:pPr>
      <w:rPr>
        <w:rFonts w:hint="default"/>
      </w:rPr>
    </w:lvl>
  </w:abstractNum>
  <w:abstractNum w:abstractNumId="12">
    <w:multiLevelType w:val="hybridMultilevel"/>
    <w:lvl w:ilvl="0">
      <w:start w:val="12"/>
      <w:numFmt w:val="decimal"/>
      <w:lvlText w:val="%1"/>
      <w:lvlJc w:val="left"/>
      <w:pPr>
        <w:ind w:left="1181" w:hanging="67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1" w:hanging="677"/>
        <w:jc w:val="left"/>
      </w:pPr>
      <w:rPr>
        <w:rFonts w:hint="default"/>
        <w:spacing w:val="-1"/>
        <w:w w:val="111"/>
      </w:rPr>
    </w:lvl>
    <w:lvl w:ilvl="2">
      <w:start w:val="0"/>
      <w:numFmt w:val="bullet"/>
      <w:lvlText w:val="•"/>
      <w:lvlJc w:val="left"/>
      <w:pPr>
        <w:ind w:left="1988" w:hanging="67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92" w:hanging="6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96" w:hanging="6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00" w:hanging="6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604" w:hanging="6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009" w:hanging="6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13" w:hanging="677"/>
      </w:pPr>
      <w:rPr>
        <w:rFonts w:hint="default"/>
      </w:rPr>
    </w:lvl>
  </w:abstractNum>
  <w:abstractNum w:abstractNumId="11">
    <w:multiLevelType w:val="hybridMultilevel"/>
    <w:lvl w:ilvl="0">
      <w:start w:val="10"/>
      <w:numFmt w:val="decimal"/>
      <w:lvlText w:val="%1"/>
      <w:lvlJc w:val="left"/>
      <w:pPr>
        <w:ind w:left="1569" w:hanging="73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69" w:hanging="732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69" w:hanging="732"/>
        <w:jc w:val="left"/>
      </w:pPr>
      <w:rPr>
        <w:rFonts w:hint="default" w:ascii="Arial" w:hAnsi="Arial" w:eastAsia="Arial" w:cs="Arial"/>
        <w:b/>
        <w:bCs/>
        <w:i w:val="0"/>
        <w:iCs w:val="0"/>
        <w:color w:val="332F31"/>
        <w:spacing w:val="-1"/>
        <w:w w:val="128"/>
        <w:sz w:val="18"/>
        <w:szCs w:val="18"/>
      </w:rPr>
    </w:lvl>
    <w:lvl w:ilvl="3">
      <w:start w:val="1"/>
      <w:numFmt w:val="lowerLetter"/>
      <w:lvlText w:val="%4."/>
      <w:lvlJc w:val="left"/>
      <w:pPr>
        <w:ind w:left="1951" w:hanging="385"/>
        <w:jc w:val="left"/>
      </w:pPr>
      <w:rPr>
        <w:rFonts w:hint="default"/>
        <w:w w:val="103"/>
      </w:rPr>
    </w:lvl>
    <w:lvl w:ilvl="4">
      <w:start w:val="0"/>
      <w:numFmt w:val="bullet"/>
      <w:lvlText w:val="•"/>
      <w:lvlJc w:val="left"/>
      <w:pPr>
        <w:ind w:left="3978" w:hanging="38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51" w:hanging="3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24" w:hanging="3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97" w:hanging="3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670" w:hanging="385"/>
      </w:pPr>
      <w:rPr>
        <w:rFonts w:hint="default"/>
      </w:rPr>
    </w:lvl>
  </w:abstractNum>
  <w:abstractNum w:abstractNumId="10">
    <w:multiLevelType w:val="hybridMultilevel"/>
    <w:lvl w:ilvl="0">
      <w:start w:val="10"/>
      <w:numFmt w:val="decimal"/>
      <w:lvlText w:val="%1"/>
      <w:lvlJc w:val="left"/>
      <w:pPr>
        <w:ind w:left="1014" w:hanging="70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4" w:hanging="704"/>
        <w:jc w:val="right"/>
      </w:pPr>
      <w:rPr>
        <w:rFonts w:hint="default"/>
        <w:spacing w:val="-1"/>
        <w:w w:val="127"/>
      </w:rPr>
    </w:lvl>
    <w:lvl w:ilvl="2">
      <w:start w:val="1"/>
      <w:numFmt w:val="lowerLetter"/>
      <w:lvlText w:val="%3."/>
      <w:lvlJc w:val="left"/>
      <w:pPr>
        <w:ind w:left="1933" w:hanging="378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332F31"/>
        <w:w w:val="98"/>
        <w:sz w:val="24"/>
        <w:szCs w:val="24"/>
      </w:rPr>
    </w:lvl>
    <w:lvl w:ilvl="3">
      <w:start w:val="0"/>
      <w:numFmt w:val="bullet"/>
      <w:lvlText w:val="•"/>
      <w:lvlJc w:val="left"/>
      <w:pPr>
        <w:ind w:left="3051" w:hanging="3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07" w:hanging="3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63" w:hanging="3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19" w:hanging="3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275" w:hanging="3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831" w:hanging="378"/>
      </w:pPr>
      <w:rPr>
        <w:rFonts w:hint="default"/>
      </w:rPr>
    </w:lvl>
  </w:abstractNum>
  <w:abstractNum w:abstractNumId="8">
    <w:multiLevelType w:val="hybridMultilevel"/>
    <w:lvl w:ilvl="0">
      <w:start w:val="9"/>
      <w:numFmt w:val="decimal"/>
      <w:lvlText w:val="%1"/>
      <w:lvlJc w:val="left"/>
      <w:pPr>
        <w:ind w:left="1174" w:hanging="70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4" w:hanging="709"/>
        <w:jc w:val="right"/>
      </w:pPr>
      <w:rPr>
        <w:rFonts w:hint="default"/>
        <w:w w:val="102"/>
      </w:rPr>
    </w:lvl>
    <w:lvl w:ilvl="2">
      <w:start w:val="1"/>
      <w:numFmt w:val="decimal"/>
      <w:lvlText w:val="%1.%2.%3"/>
      <w:lvlJc w:val="left"/>
      <w:pPr>
        <w:ind w:left="1892" w:hanging="762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312D2F"/>
        <w:w w:val="132"/>
        <w:sz w:val="22"/>
        <w:szCs w:val="22"/>
      </w:rPr>
    </w:lvl>
    <w:lvl w:ilvl="3">
      <w:start w:val="1"/>
      <w:numFmt w:val="lowerLetter"/>
      <w:lvlText w:val="%4."/>
      <w:lvlJc w:val="left"/>
      <w:pPr>
        <w:ind w:left="2250" w:hanging="39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312D2F"/>
        <w:w w:val="95"/>
        <w:sz w:val="23"/>
        <w:szCs w:val="23"/>
      </w:rPr>
    </w:lvl>
    <w:lvl w:ilvl="4">
      <w:start w:val="0"/>
      <w:numFmt w:val="bullet"/>
      <w:lvlText w:val="•"/>
      <w:lvlJc w:val="left"/>
      <w:pPr>
        <w:ind w:left="3091" w:hanging="3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23" w:hanging="3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54" w:hanging="3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586" w:hanging="3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17" w:hanging="390"/>
      </w:pPr>
      <w:rPr>
        <w:rFonts w:hint="default"/>
      </w:rPr>
    </w:lvl>
  </w:abstractNum>
  <w:abstractNum w:abstractNumId="7">
    <w:multiLevelType w:val="hybridMultilevel"/>
    <w:lvl w:ilvl="0">
      <w:start w:val="8"/>
      <w:numFmt w:val="decimal"/>
      <w:lvlText w:val="%1"/>
      <w:lvlJc w:val="left"/>
      <w:pPr>
        <w:ind w:left="1899" w:hanging="731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899" w:hanging="731"/>
        <w:jc w:val="left"/>
      </w:pPr>
      <w:rPr>
        <w:rFonts w:hint="default"/>
      </w:rPr>
    </w:lvl>
    <w:lvl w:ilvl="2">
      <w:start w:val="15"/>
      <w:numFmt w:val="decimal"/>
      <w:lvlText w:val="%1.%2.%3"/>
      <w:lvlJc w:val="left"/>
      <w:pPr>
        <w:ind w:left="1899" w:hanging="731"/>
        <w:jc w:val="left"/>
      </w:pPr>
      <w:rPr>
        <w:rFonts w:hint="default"/>
        <w:w w:val="126"/>
      </w:rPr>
    </w:lvl>
    <w:lvl w:ilvl="3">
      <w:start w:val="0"/>
      <w:numFmt w:val="bullet"/>
      <w:lvlText w:val="•"/>
      <w:lvlJc w:val="left"/>
      <w:pPr>
        <w:ind w:left="2647" w:hanging="73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96" w:hanging="73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45" w:hanging="73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94" w:hanging="73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44" w:hanging="73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93" w:hanging="731"/>
      </w:pPr>
      <w:rPr>
        <w:rFonts w:hint="default"/>
      </w:rPr>
    </w:lvl>
  </w:abstractNum>
  <w:abstractNum w:abstractNumId="6">
    <w:multiLevelType w:val="hybridMultilevel"/>
    <w:lvl w:ilvl="0">
      <w:start w:val="7"/>
      <w:numFmt w:val="decimal"/>
      <w:lvlText w:val="%1"/>
      <w:lvlJc w:val="left"/>
      <w:pPr>
        <w:ind w:left="937" w:hanging="69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7" w:hanging="695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312F31"/>
        <w:w w:val="122"/>
        <w:sz w:val="22"/>
        <w:szCs w:val="22"/>
      </w:rPr>
    </w:lvl>
    <w:lvl w:ilvl="2">
      <w:start w:val="1"/>
      <w:numFmt w:val="decimal"/>
      <w:lvlText w:val="%1.%2.%3"/>
      <w:lvlJc w:val="left"/>
      <w:pPr>
        <w:ind w:left="1667" w:hanging="741"/>
        <w:jc w:val="left"/>
      </w:pPr>
      <w:rPr>
        <w:rFonts w:hint="default"/>
        <w:w w:val="127"/>
      </w:rPr>
    </w:lvl>
    <w:lvl w:ilvl="3">
      <w:start w:val="0"/>
      <w:numFmt w:val="bullet"/>
      <w:lvlText w:val="•"/>
      <w:lvlJc w:val="left"/>
      <w:pPr>
        <w:ind w:left="2334" w:hanging="7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89" w:hanging="7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44" w:hanging="7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99" w:hanging="7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54" w:hanging="7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09" w:hanging="741"/>
      </w:pPr>
      <w:rPr>
        <w:rFonts w:hint="default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1159" w:hanging="69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696"/>
        <w:jc w:val="right"/>
      </w:pPr>
      <w:rPr>
        <w:rFonts w:hint="default"/>
        <w:w w:val="96"/>
      </w:rPr>
    </w:lvl>
    <w:lvl w:ilvl="2">
      <w:start w:val="1"/>
      <w:numFmt w:val="decimal"/>
      <w:lvlText w:val="%1.%2.%3"/>
      <w:lvlJc w:val="left"/>
      <w:pPr>
        <w:ind w:left="1771" w:hanging="739"/>
        <w:jc w:val="left"/>
      </w:pPr>
      <w:rPr>
        <w:rFonts w:hint="default"/>
        <w:w w:val="113"/>
      </w:rPr>
    </w:lvl>
    <w:lvl w:ilvl="3">
      <w:start w:val="1"/>
      <w:numFmt w:val="lowerLetter"/>
      <w:lvlText w:val="%4."/>
      <w:lvlJc w:val="left"/>
      <w:pPr>
        <w:ind w:left="2238" w:hanging="739"/>
        <w:jc w:val="left"/>
      </w:pPr>
      <w:rPr>
        <w:rFonts w:hint="default"/>
        <w:w w:val="97"/>
      </w:rPr>
    </w:lvl>
    <w:lvl w:ilvl="4">
      <w:start w:val="0"/>
      <w:numFmt w:val="bullet"/>
      <w:lvlText w:val="•"/>
      <w:lvlJc w:val="left"/>
      <w:pPr>
        <w:ind w:left="2240" w:hanging="7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1" w:hanging="7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83" w:hanging="7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54" w:hanging="7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126" w:hanging="739"/>
      </w:pPr>
      <w:rPr>
        <w:rFonts w:hint="default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831" w:hanging="7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1" w:hanging="702"/>
        <w:jc w:val="left"/>
      </w:pPr>
      <w:rPr>
        <w:rFonts w:hint="default" w:ascii="Courier New" w:hAnsi="Courier New" w:eastAsia="Courier New" w:cs="Courier New"/>
        <w:b/>
        <w:bCs/>
        <w:i w:val="0"/>
        <w:iCs w:val="0"/>
        <w:color w:val="333131"/>
        <w:spacing w:val="-1"/>
        <w:w w:val="84"/>
        <w:sz w:val="23"/>
        <w:szCs w:val="23"/>
      </w:rPr>
    </w:lvl>
    <w:lvl w:ilvl="2">
      <w:start w:val="1"/>
      <w:numFmt w:val="decimal"/>
      <w:lvlText w:val="%1.%2.%3"/>
      <w:lvlJc w:val="left"/>
      <w:pPr>
        <w:ind w:left="1589" w:hanging="738"/>
        <w:jc w:val="left"/>
      </w:pPr>
      <w:rPr>
        <w:rFonts w:hint="default"/>
        <w:spacing w:val="-1"/>
        <w:w w:val="80"/>
        <w:position w:val="1"/>
      </w:rPr>
    </w:lvl>
    <w:lvl w:ilvl="3">
      <w:start w:val="1"/>
      <w:numFmt w:val="lowerLetter"/>
      <w:lvlText w:val="%4."/>
      <w:lvlJc w:val="left"/>
      <w:pPr>
        <w:ind w:left="1966" w:hanging="738"/>
        <w:jc w:val="left"/>
      </w:pPr>
      <w:rPr>
        <w:rFonts w:hint="default"/>
        <w:w w:val="98"/>
      </w:rPr>
    </w:lvl>
    <w:lvl w:ilvl="4">
      <w:start w:val="0"/>
      <w:numFmt w:val="bullet"/>
      <w:lvlText w:val="•"/>
      <w:lvlJc w:val="left"/>
      <w:pPr>
        <w:ind w:left="3474" w:hanging="7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31" w:hanging="7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988" w:hanging="7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46" w:hanging="7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03" w:hanging="738"/>
      </w:pPr>
      <w:rPr>
        <w:rFonts w:hint="default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898" w:hanging="71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8" w:hanging="712"/>
        <w:jc w:val="right"/>
      </w:pPr>
      <w:rPr>
        <w:rFonts w:hint="default"/>
        <w:spacing w:val="0"/>
        <w:w w:val="124"/>
      </w:rPr>
    </w:lvl>
    <w:lvl w:ilvl="2">
      <w:start w:val="1"/>
      <w:numFmt w:val="decimal"/>
      <w:lvlText w:val="%1.%2.%3"/>
      <w:lvlJc w:val="left"/>
      <w:pPr>
        <w:ind w:left="1553" w:hanging="752"/>
        <w:jc w:val="left"/>
      </w:pPr>
      <w:rPr>
        <w:rFonts w:hint="default"/>
        <w:spacing w:val="-1"/>
        <w:w w:val="82"/>
      </w:rPr>
    </w:lvl>
    <w:lvl w:ilvl="3">
      <w:start w:val="0"/>
      <w:numFmt w:val="bullet"/>
      <w:lvlText w:val="•"/>
      <w:lvlJc w:val="left"/>
      <w:pPr>
        <w:ind w:left="2305" w:hanging="75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91" w:hanging="7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76" w:hanging="7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62" w:hanging="7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047" w:hanging="7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733" w:hanging="752"/>
      </w:pPr>
      <w:rPr>
        <w:rFonts w:hint="default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031" w:hanging="68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1" w:hanging="688"/>
        <w:jc w:val="right"/>
      </w:pPr>
      <w:rPr>
        <w:rFonts w:hint="default"/>
        <w:w w:val="117"/>
      </w:rPr>
    </w:lvl>
    <w:lvl w:ilvl="2">
      <w:start w:val="1"/>
      <w:numFmt w:val="decimal"/>
      <w:lvlText w:val="%1.%2.%3"/>
      <w:lvlJc w:val="left"/>
      <w:pPr>
        <w:ind w:left="1778" w:hanging="731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343133"/>
        <w:w w:val="124"/>
        <w:sz w:val="22"/>
        <w:szCs w:val="22"/>
      </w:rPr>
    </w:lvl>
    <w:lvl w:ilvl="3">
      <w:start w:val="1"/>
      <w:numFmt w:val="lowerLetter"/>
      <w:lvlText w:val="%4."/>
      <w:lvlJc w:val="left"/>
      <w:pPr>
        <w:ind w:left="2153" w:hanging="389"/>
        <w:jc w:val="left"/>
      </w:pPr>
      <w:rPr>
        <w:rFonts w:hint="default"/>
        <w:w w:val="110"/>
      </w:rPr>
    </w:lvl>
    <w:lvl w:ilvl="4">
      <w:start w:val="1"/>
      <w:numFmt w:val="upperRoman"/>
      <w:lvlText w:val="%5."/>
      <w:lvlJc w:val="left"/>
      <w:pPr>
        <w:ind w:left="2568" w:hanging="448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343133"/>
        <w:spacing w:val="-1"/>
        <w:w w:val="98"/>
        <w:sz w:val="21"/>
        <w:szCs w:val="21"/>
      </w:rPr>
    </w:lvl>
    <w:lvl w:ilvl="5">
      <w:start w:val="0"/>
      <w:numFmt w:val="bullet"/>
      <w:lvlText w:val="•"/>
      <w:lvlJc w:val="left"/>
      <w:pPr>
        <w:ind w:left="3466" w:hanging="4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73" w:hanging="4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279" w:hanging="4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186" w:hanging="448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829" w:hanging="69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9" w:hanging="694"/>
        <w:jc w:val="right"/>
      </w:pPr>
      <w:rPr>
        <w:rFonts w:hint="default"/>
        <w:spacing w:val="-1"/>
        <w:w w:val="102"/>
      </w:rPr>
    </w:lvl>
    <w:lvl w:ilvl="2">
      <w:start w:val="1"/>
      <w:numFmt w:val="decimal"/>
      <w:lvlText w:val="%1.%2.%3"/>
      <w:lvlJc w:val="left"/>
      <w:pPr>
        <w:ind w:left="1753" w:hanging="718"/>
        <w:jc w:val="left"/>
      </w:pPr>
      <w:rPr>
        <w:rFonts w:hint="default"/>
        <w:w w:val="119"/>
      </w:rPr>
    </w:lvl>
    <w:lvl w:ilvl="3">
      <w:start w:val="1"/>
      <w:numFmt w:val="lowerLetter"/>
      <w:lvlText w:val="%4."/>
      <w:lvlJc w:val="left"/>
      <w:pPr>
        <w:ind w:left="1962" w:hanging="718"/>
        <w:jc w:val="left"/>
      </w:pPr>
      <w:rPr>
        <w:rFonts w:hint="default"/>
        <w:w w:val="101"/>
      </w:rPr>
    </w:lvl>
    <w:lvl w:ilvl="4">
      <w:start w:val="0"/>
      <w:numFmt w:val="bullet"/>
      <w:lvlText w:val="•"/>
      <w:lvlJc w:val="left"/>
      <w:pPr>
        <w:ind w:left="2675" w:hanging="71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91" w:hanging="71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6" w:hanging="71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22" w:hanging="71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37" w:hanging="718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19" w:hanging="69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9" w:hanging="695"/>
        <w:jc w:val="left"/>
      </w:pPr>
      <w:rPr>
        <w:rFonts w:hint="default"/>
        <w:w w:val="109"/>
      </w:rPr>
    </w:lvl>
    <w:lvl w:ilvl="2">
      <w:start w:val="0"/>
      <w:numFmt w:val="bullet"/>
      <w:lvlText w:val="•"/>
      <w:lvlJc w:val="left"/>
      <w:pPr>
        <w:ind w:left="1509" w:hanging="6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54" w:hanging="6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99" w:hanging="6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44" w:hanging="6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89" w:hanging="6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34" w:hanging="6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79" w:hanging="695"/>
      </w:pPr>
      <w:rPr>
        <w:rFonts w:hint="default"/>
      </w:rPr>
    </w:lvl>
  </w:abstractNum>
  <w:num w:numId="117">
    <w:abstractNumId w:val="116"/>
  </w:num>
  <w:num w:numId="124">
    <w:abstractNumId w:val="123"/>
  </w:num>
  <w:num w:numId="97">
    <w:abstractNumId w:val="96"/>
  </w:num>
  <w:num w:numId="83">
    <w:abstractNumId w:val="82"/>
  </w:num>
  <w:num w:numId="60">
    <w:abstractNumId w:val="59"/>
  </w:num>
  <w:num w:numId="56">
    <w:abstractNumId w:val="55"/>
  </w:num>
  <w:num w:numId="81">
    <w:abstractNumId w:val="80"/>
  </w:num>
  <w:num w:numId="24">
    <w:abstractNumId w:val="23"/>
  </w:num>
  <w:num w:numId="19">
    <w:abstractNumId w:val="18"/>
  </w:num>
  <w:num w:numId="10">
    <w:abstractNumId w:val="9"/>
  </w:num>
  <w:num w:numId="126">
    <w:abstractNumId w:val="125"/>
  </w:num>
  <w:num w:numId="125">
    <w:abstractNumId w:val="124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6">
    <w:abstractNumId w:val="95"/>
  </w:num>
  <w:num w:numId="95">
    <w:abstractNumId w:val="94"/>
  </w:num>
  <w:num w:numId="94">
    <w:abstractNumId w:val="93"/>
  </w:num>
  <w:num w:numId="92">
    <w:abstractNumId w:val="91"/>
  </w:num>
  <w:num w:numId="91">
    <w:abstractNumId w:val="90"/>
  </w:num>
  <w:num w:numId="90">
    <w:abstractNumId w:val="89"/>
  </w:num>
  <w:num w:numId="93">
    <w:abstractNumId w:val="92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2">
    <w:abstractNumId w:val="81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59">
    <w:abstractNumId w:val="58"/>
  </w:num>
  <w:num w:numId="58">
    <w:abstractNumId w:val="57"/>
  </w:num>
  <w:num w:numId="57">
    <w:abstractNumId w:val="56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OC1" w:type="paragraph">
    <w:name w:val="TOC 1"/>
    <w:basedOn w:val="Normal"/>
    <w:uiPriority w:val="1"/>
    <w:qFormat/>
    <w:pPr>
      <w:spacing w:before="132"/>
      <w:ind w:left="898" w:hanging="712"/>
    </w:pPr>
    <w:rPr>
      <w:rFonts w:ascii="Arial" w:hAnsi="Arial" w:eastAsia="Arial" w:cs="Arial"/>
      <w:sz w:val="21"/>
      <w:szCs w:val="21"/>
    </w:rPr>
  </w:style>
  <w:style w:styleId="TOC2" w:type="paragraph">
    <w:name w:val="TOC 2"/>
    <w:basedOn w:val="Normal"/>
    <w:uiPriority w:val="1"/>
    <w:qFormat/>
    <w:pPr>
      <w:spacing w:before="429"/>
      <w:ind w:left="202"/>
    </w:pPr>
    <w:rPr>
      <w:rFonts w:ascii="Arial" w:hAnsi="Arial" w:eastAsia="Arial" w:cs="Arial"/>
      <w:sz w:val="20"/>
      <w:szCs w:val="20"/>
    </w:rPr>
  </w:style>
  <w:style w:styleId="TOC3" w:type="paragraph">
    <w:name w:val="TOC 3"/>
    <w:basedOn w:val="Normal"/>
    <w:uiPriority w:val="1"/>
    <w:qFormat/>
    <w:pPr>
      <w:ind w:left="920" w:hanging="701"/>
    </w:pPr>
    <w:rPr>
      <w:rFonts w:ascii="Arial" w:hAnsi="Arial" w:eastAsia="Arial" w:cs="Arial"/>
      <w:sz w:val="21"/>
      <w:szCs w:val="21"/>
    </w:rPr>
  </w:style>
  <w:style w:styleId="TOC4" w:type="paragraph">
    <w:name w:val="TOC 4"/>
    <w:basedOn w:val="Normal"/>
    <w:uiPriority w:val="1"/>
    <w:qFormat/>
    <w:pPr>
      <w:spacing w:before="31"/>
      <w:ind w:left="231"/>
    </w:pPr>
    <w:rPr>
      <w:rFonts w:ascii="Arial" w:hAnsi="Arial" w:eastAsia="Arial" w:cs="Arial"/>
      <w:b/>
      <w:bCs/>
      <w:i/>
      <w:iCs/>
    </w:rPr>
  </w:style>
  <w:style w:styleId="TOC5" w:type="paragraph">
    <w:name w:val="TOC 5"/>
    <w:basedOn w:val="Normal"/>
    <w:uiPriority w:val="1"/>
    <w:qFormat/>
    <w:pPr>
      <w:spacing w:before="7"/>
      <w:ind w:left="1031" w:hanging="701"/>
    </w:pPr>
    <w:rPr>
      <w:rFonts w:ascii="Arial" w:hAnsi="Arial" w:eastAsia="Arial" w:cs="Arial"/>
      <w:sz w:val="21"/>
      <w:szCs w:val="21"/>
    </w:rPr>
  </w:style>
  <w:style w:styleId="TOC6" w:type="paragraph">
    <w:name w:val="TOC 6"/>
    <w:basedOn w:val="Normal"/>
    <w:uiPriority w:val="1"/>
    <w:qFormat/>
    <w:pPr>
      <w:spacing w:before="429" w:line="203" w:lineRule="exact"/>
      <w:ind w:left="327"/>
    </w:pPr>
    <w:rPr>
      <w:rFonts w:ascii="Arial" w:hAnsi="Arial" w:eastAsia="Arial" w:cs="Arial"/>
      <w:sz w:val="20"/>
      <w:szCs w:val="20"/>
    </w:rPr>
  </w:style>
  <w:style w:styleId="TOC7" w:type="paragraph">
    <w:name w:val="TOC 7"/>
    <w:basedOn w:val="Normal"/>
    <w:uiPriority w:val="1"/>
    <w:qFormat/>
    <w:pPr>
      <w:spacing w:line="341" w:lineRule="exact"/>
      <w:ind w:left="357"/>
    </w:pPr>
    <w:rPr>
      <w:rFonts w:ascii="Arial" w:hAnsi="Arial" w:eastAsia="Arial" w:cs="Arial"/>
      <w:b/>
      <w:bCs/>
      <w:i/>
      <w:iCs/>
    </w:rPr>
  </w:style>
  <w:style w:styleId="TOC8" w:type="paragraph">
    <w:name w:val="TOC 8"/>
    <w:basedOn w:val="Normal"/>
    <w:uiPriority w:val="1"/>
    <w:qFormat/>
    <w:pPr>
      <w:spacing w:before="36" w:line="246" w:lineRule="exact"/>
      <w:ind w:left="1622" w:hanging="732"/>
    </w:pPr>
    <w:rPr>
      <w:rFonts w:ascii="Arial" w:hAnsi="Arial" w:eastAsia="Arial" w:cs="Arial"/>
      <w:sz w:val="21"/>
      <w:szCs w:val="21"/>
    </w:rPr>
  </w:style>
  <w:style w:styleId="TOC9" w:type="paragraph">
    <w:name w:val="TOC 9"/>
    <w:basedOn w:val="Normal"/>
    <w:uiPriority w:val="1"/>
    <w:qFormat/>
    <w:pPr>
      <w:spacing w:before="5"/>
      <w:ind w:left="1689" w:hanging="739"/>
    </w:pPr>
    <w:rPr>
      <w:rFonts w:ascii="Arial" w:hAnsi="Arial" w:eastAsia="Arial" w:cs="Arial"/>
      <w:sz w:val="21"/>
      <w:szCs w:val="21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3"/>
      <w:szCs w:val="23"/>
    </w:rPr>
  </w:style>
  <w:style w:styleId="Heading1" w:type="paragraph">
    <w:name w:val="Heading 1"/>
    <w:basedOn w:val="Normal"/>
    <w:uiPriority w:val="1"/>
    <w:qFormat/>
    <w:pPr>
      <w:spacing w:line="648" w:lineRule="exact"/>
      <w:outlineLvl w:val="1"/>
    </w:pPr>
    <w:rPr>
      <w:rFonts w:ascii="Times New Roman" w:hAnsi="Times New Roman" w:eastAsia="Times New Roman" w:cs="Times New Roman"/>
      <w:sz w:val="62"/>
      <w:szCs w:val="62"/>
    </w:rPr>
  </w:style>
  <w:style w:styleId="Heading2" w:type="paragraph">
    <w:name w:val="Heading 2"/>
    <w:basedOn w:val="Normal"/>
    <w:uiPriority w:val="1"/>
    <w:qFormat/>
    <w:pPr>
      <w:spacing w:line="488" w:lineRule="exact"/>
      <w:ind w:left="141"/>
      <w:outlineLvl w:val="2"/>
    </w:pPr>
    <w:rPr>
      <w:rFonts w:ascii="Arial" w:hAnsi="Arial" w:eastAsia="Arial" w:cs="Arial"/>
      <w:sz w:val="48"/>
      <w:szCs w:val="48"/>
    </w:rPr>
  </w:style>
  <w:style w:styleId="Heading3" w:type="paragraph">
    <w:name w:val="Heading 3"/>
    <w:basedOn w:val="Normal"/>
    <w:uiPriority w:val="1"/>
    <w:qFormat/>
    <w:pPr>
      <w:spacing w:line="348" w:lineRule="exact"/>
      <w:outlineLvl w:val="3"/>
    </w:pPr>
    <w:rPr>
      <w:rFonts w:ascii="Times New Roman" w:hAnsi="Times New Roman" w:eastAsia="Times New Roman" w:cs="Times New Roman"/>
      <w:sz w:val="47"/>
      <w:szCs w:val="47"/>
    </w:rPr>
  </w:style>
  <w:style w:styleId="Heading4" w:type="paragraph">
    <w:name w:val="Heading 4"/>
    <w:basedOn w:val="Normal"/>
    <w:uiPriority w:val="1"/>
    <w:qFormat/>
    <w:pPr>
      <w:ind w:left="114"/>
      <w:outlineLvl w:val="4"/>
    </w:pPr>
    <w:rPr>
      <w:rFonts w:ascii="Arial" w:hAnsi="Arial" w:eastAsia="Arial" w:cs="Arial"/>
      <w:b/>
      <w:bCs/>
      <w:sz w:val="40"/>
      <w:szCs w:val="40"/>
    </w:rPr>
  </w:style>
  <w:style w:styleId="Heading5" w:type="paragraph">
    <w:name w:val="Heading 5"/>
    <w:basedOn w:val="Normal"/>
    <w:uiPriority w:val="1"/>
    <w:qFormat/>
    <w:pPr>
      <w:spacing w:before="1"/>
      <w:ind w:left="106"/>
      <w:outlineLvl w:val="5"/>
    </w:pPr>
    <w:rPr>
      <w:rFonts w:ascii="Arial" w:hAnsi="Arial" w:eastAsia="Arial" w:cs="Arial"/>
      <w:sz w:val="40"/>
      <w:szCs w:val="40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Arial" w:hAnsi="Arial" w:eastAsia="Arial" w:cs="Arial"/>
      <w:b/>
      <w:bCs/>
      <w:sz w:val="38"/>
      <w:szCs w:val="38"/>
    </w:rPr>
  </w:style>
  <w:style w:styleId="Heading7" w:type="paragraph">
    <w:name w:val="Heading 7"/>
    <w:basedOn w:val="Normal"/>
    <w:uiPriority w:val="1"/>
    <w:qFormat/>
    <w:pPr>
      <w:spacing w:before="21"/>
      <w:ind w:left="20"/>
      <w:outlineLvl w:val="7"/>
    </w:pPr>
    <w:rPr>
      <w:rFonts w:ascii="Arial" w:hAnsi="Arial" w:eastAsia="Arial" w:cs="Arial"/>
      <w:b/>
      <w:bCs/>
      <w:sz w:val="37"/>
      <w:szCs w:val="37"/>
    </w:rPr>
  </w:style>
  <w:style w:styleId="Heading8" w:type="paragraph">
    <w:name w:val="Heading 8"/>
    <w:basedOn w:val="Normal"/>
    <w:uiPriority w:val="1"/>
    <w:qFormat/>
    <w:pPr>
      <w:spacing w:line="411" w:lineRule="exact"/>
      <w:outlineLvl w:val="8"/>
    </w:pPr>
    <w:rPr>
      <w:rFonts w:ascii="Times New Roman" w:hAnsi="Times New Roman" w:eastAsia="Times New Roman" w:cs="Times New Roman"/>
      <w:sz w:val="37"/>
      <w:szCs w:val="37"/>
    </w:rPr>
  </w:style>
  <w:style w:styleId="Heading9" w:type="paragraph">
    <w:name w:val="Heading 9"/>
    <w:basedOn w:val="Normal"/>
    <w:uiPriority w:val="1"/>
    <w:qFormat/>
    <w:pPr>
      <w:spacing w:before="91"/>
      <w:ind w:left="659"/>
      <w:outlineLvl w:val="9"/>
    </w:pPr>
    <w:rPr>
      <w:rFonts w:ascii="Courier New" w:hAnsi="Courier New" w:eastAsia="Courier New" w:cs="Courier New"/>
      <w:b/>
      <w:bCs/>
      <w:sz w:val="36"/>
      <w:szCs w:val="36"/>
    </w:rPr>
  </w:style>
  <w:style w:styleId="ListParagraph" w:type="paragraph">
    <w:name w:val="List Paragraph"/>
    <w:basedOn w:val="Normal"/>
    <w:uiPriority w:val="1"/>
    <w:qFormat/>
    <w:pPr>
      <w:ind w:left="1387" w:hanging="696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header" Target="header4.xml"/><Relationship Id="rId10" Type="http://schemas.openxmlformats.org/officeDocument/2006/relationships/header" Target="header5.xml"/><Relationship Id="rId11" Type="http://schemas.openxmlformats.org/officeDocument/2006/relationships/header" Target="header6.xml"/><Relationship Id="rId12" Type="http://schemas.openxmlformats.org/officeDocument/2006/relationships/header" Target="header7.xml"/><Relationship Id="rId13" Type="http://schemas.openxmlformats.org/officeDocument/2006/relationships/header" Target="header8.xml"/><Relationship Id="rId14" Type="http://schemas.openxmlformats.org/officeDocument/2006/relationships/header" Target="header9.xml"/><Relationship Id="rId15" Type="http://schemas.openxmlformats.org/officeDocument/2006/relationships/header" Target="header10.xml"/><Relationship Id="rId16" Type="http://schemas.openxmlformats.org/officeDocument/2006/relationships/header" Target="header11.xml"/><Relationship Id="rId17" Type="http://schemas.openxmlformats.org/officeDocument/2006/relationships/header" Target="header12.xml"/><Relationship Id="rId18" Type="http://schemas.openxmlformats.org/officeDocument/2006/relationships/header" Target="header13.xml"/><Relationship Id="rId19" Type="http://schemas.openxmlformats.org/officeDocument/2006/relationships/header" Target="header14.xml"/><Relationship Id="rId20" Type="http://schemas.openxmlformats.org/officeDocument/2006/relationships/header" Target="header15.xml"/><Relationship Id="rId21" Type="http://schemas.openxmlformats.org/officeDocument/2006/relationships/header" Target="header16.xml"/><Relationship Id="rId22" Type="http://schemas.openxmlformats.org/officeDocument/2006/relationships/header" Target="header17.xml"/><Relationship Id="rId23" Type="http://schemas.openxmlformats.org/officeDocument/2006/relationships/header" Target="header18.xml"/><Relationship Id="rId24" Type="http://schemas.openxmlformats.org/officeDocument/2006/relationships/header" Target="header19.xml"/><Relationship Id="rId25" Type="http://schemas.openxmlformats.org/officeDocument/2006/relationships/header" Target="header20.xml"/><Relationship Id="rId26" Type="http://schemas.openxmlformats.org/officeDocument/2006/relationships/header" Target="header21.xml"/><Relationship Id="rId27" Type="http://schemas.openxmlformats.org/officeDocument/2006/relationships/header" Target="header22.xml"/><Relationship Id="rId28" Type="http://schemas.openxmlformats.org/officeDocument/2006/relationships/hyperlink" Target="http://www.uscourts.gov/uscourts/Statlstlcs/Federal" TargetMode="External"/><Relationship Id="rId29" Type="http://schemas.openxmlformats.org/officeDocument/2006/relationships/hyperlink" Target="http://www.ln.gov/" TargetMode="External"/><Relationship Id="rId30" Type="http://schemas.openxmlformats.org/officeDocument/2006/relationships/hyperlink" Target="http://www.publicatlons.ojd.state.or.us/2009CAReport.pdf" TargetMode="External"/><Relationship Id="rId31" Type="http://schemas.openxmlformats.org/officeDocument/2006/relationships/header" Target="header23.xml"/><Relationship Id="rId32" Type="http://schemas.openxmlformats.org/officeDocument/2006/relationships/header" Target="header24.xml"/><Relationship Id="rId33" Type="http://schemas.openxmlformats.org/officeDocument/2006/relationships/header" Target="header25.xml"/><Relationship Id="rId34" Type="http://schemas.openxmlformats.org/officeDocument/2006/relationships/header" Target="header26.xml"/><Relationship Id="rId35" Type="http://schemas.openxmlformats.org/officeDocument/2006/relationships/header" Target="header27.xml"/><Relationship Id="rId36" Type="http://schemas.openxmlformats.org/officeDocument/2006/relationships/header" Target="header28.xml"/><Relationship Id="rId37" Type="http://schemas.openxmlformats.org/officeDocument/2006/relationships/hyperlink" Target="http://aesopfables.com/cgt/aesopl.cgl?srch&amp;fabl/TheWlndandtheSun" TargetMode="External"/><Relationship Id="rId38" Type="http://schemas.openxmlformats.org/officeDocument/2006/relationships/header" Target="header29.xml"/><Relationship Id="rId39" Type="http://schemas.openxmlformats.org/officeDocument/2006/relationships/header" Target="header30.xml"/><Relationship Id="rId40" Type="http://schemas.openxmlformats.org/officeDocument/2006/relationships/header" Target="header31.xml"/><Relationship Id="rId41" Type="http://schemas.openxmlformats.org/officeDocument/2006/relationships/header" Target="header32.xml"/><Relationship Id="rId42" Type="http://schemas.openxmlformats.org/officeDocument/2006/relationships/header" Target="header33.xml"/><Relationship Id="rId43" Type="http://schemas.openxmlformats.org/officeDocument/2006/relationships/hyperlink" Target="http://www.uscourts.gov/Viewer.aspx?doc=/uscourts/Statisttcs/" TargetMode="External"/><Relationship Id="rId44" Type="http://schemas.openxmlformats.org/officeDocument/2006/relationships/header" Target="header34.xml"/><Relationship Id="rId45" Type="http://schemas.openxmlformats.org/officeDocument/2006/relationships/header" Target="header35.xml"/><Relationship Id="rId46" Type="http://schemas.openxmlformats.org/officeDocument/2006/relationships/header" Target="header36.xml"/><Relationship Id="rId47" Type="http://schemas.openxmlformats.org/officeDocument/2006/relationships/header" Target="header37.xml"/><Relationship Id="rId48" Type="http://schemas.openxmlformats.org/officeDocument/2006/relationships/header" Target="header38.xml"/><Relationship Id="rId49" Type="http://schemas.openxmlformats.org/officeDocument/2006/relationships/header" Target="header39.xml"/><Relationship Id="rId50" Type="http://schemas.openxmlformats.org/officeDocument/2006/relationships/header" Target="header40.xml"/><Relationship Id="rId51" Type="http://schemas.openxmlformats.org/officeDocument/2006/relationships/header" Target="header41.xml"/><Relationship Id="rId52" Type="http://schemas.openxmlformats.org/officeDocument/2006/relationships/header" Target="header42.xml"/><Relationship Id="rId53" Type="http://schemas.openxmlformats.org/officeDocument/2006/relationships/header" Target="header43.xml"/><Relationship Id="rId54" Type="http://schemas.openxmlformats.org/officeDocument/2006/relationships/header" Target="header44.xml"/><Relationship Id="rId55" Type="http://schemas.openxmlformats.org/officeDocument/2006/relationships/header" Target="header45.xml"/><Relationship Id="rId56" Type="http://schemas.openxmlformats.org/officeDocument/2006/relationships/header" Target="header46.xml"/><Relationship Id="rId57" Type="http://schemas.openxmlformats.org/officeDocument/2006/relationships/header" Target="header47.xml"/><Relationship Id="rId58" Type="http://schemas.openxmlformats.org/officeDocument/2006/relationships/header" Target="header48.xml"/><Relationship Id="rId59" Type="http://schemas.openxmlformats.org/officeDocument/2006/relationships/header" Target="header49.xml"/><Relationship Id="rId60" Type="http://schemas.openxmlformats.org/officeDocument/2006/relationships/header" Target="header50.xml"/><Relationship Id="rId61" Type="http://schemas.openxmlformats.org/officeDocument/2006/relationships/header" Target="header51.xml"/><Relationship Id="rId62" Type="http://schemas.openxmlformats.org/officeDocument/2006/relationships/header" Target="header52.xml"/><Relationship Id="rId63" Type="http://schemas.openxmlformats.org/officeDocument/2006/relationships/header" Target="header53.xml"/><Relationship Id="rId64" Type="http://schemas.openxmlformats.org/officeDocument/2006/relationships/header" Target="header54.xml"/><Relationship Id="rId65" Type="http://schemas.openxmlformats.org/officeDocument/2006/relationships/header" Target="header55.xml"/><Relationship Id="rId66" Type="http://schemas.openxmlformats.org/officeDocument/2006/relationships/header" Target="header56.xml"/><Relationship Id="rId67" Type="http://schemas.openxmlformats.org/officeDocument/2006/relationships/header" Target="header57.xml"/><Relationship Id="rId68" Type="http://schemas.openxmlformats.org/officeDocument/2006/relationships/header" Target="header58.xml"/><Relationship Id="rId69" Type="http://schemas.openxmlformats.org/officeDocument/2006/relationships/header" Target="header59.xml"/><Relationship Id="rId70" Type="http://schemas.openxmlformats.org/officeDocument/2006/relationships/header" Target="header60.xml"/><Relationship Id="rId71" Type="http://schemas.openxmlformats.org/officeDocument/2006/relationships/header" Target="header61.xml"/><Relationship Id="rId72" Type="http://schemas.openxmlformats.org/officeDocument/2006/relationships/header" Target="header62.xml"/><Relationship Id="rId73" Type="http://schemas.openxmlformats.org/officeDocument/2006/relationships/header" Target="header63.xml"/><Relationship Id="rId74" Type="http://schemas.openxmlformats.org/officeDocument/2006/relationships/header" Target="header64.xml"/><Relationship Id="rId75" Type="http://schemas.openxmlformats.org/officeDocument/2006/relationships/header" Target="header65.xml"/><Relationship Id="rId76" Type="http://schemas.openxmlformats.org/officeDocument/2006/relationships/header" Target="header66.xml"/><Relationship Id="rId77" Type="http://schemas.openxmlformats.org/officeDocument/2006/relationships/header" Target="header67.xml"/><Relationship Id="rId78" Type="http://schemas.openxmlformats.org/officeDocument/2006/relationships/header" Target="header68.xml"/><Relationship Id="rId79" Type="http://schemas.openxmlformats.org/officeDocument/2006/relationships/header" Target="header69.xml"/><Relationship Id="rId80" Type="http://schemas.openxmlformats.org/officeDocument/2006/relationships/header" Target="header70.xml"/><Relationship Id="rId81" Type="http://schemas.openxmlformats.org/officeDocument/2006/relationships/header" Target="header71.xml"/><Relationship Id="rId82" Type="http://schemas.openxmlformats.org/officeDocument/2006/relationships/header" Target="header72.xml"/><Relationship Id="rId83" Type="http://schemas.openxmlformats.org/officeDocument/2006/relationships/header" Target="header73.xml"/><Relationship Id="rId84" Type="http://schemas.openxmlformats.org/officeDocument/2006/relationships/header" Target="header74.xml"/><Relationship Id="rId85" Type="http://schemas.openxmlformats.org/officeDocument/2006/relationships/header" Target="header75.xml"/><Relationship Id="rId86" Type="http://schemas.openxmlformats.org/officeDocument/2006/relationships/header" Target="header76.xml"/><Relationship Id="rId87" Type="http://schemas.openxmlformats.org/officeDocument/2006/relationships/header" Target="header77.xml"/><Relationship Id="rId88" Type="http://schemas.openxmlformats.org/officeDocument/2006/relationships/header" Target="header78.xml"/><Relationship Id="rId89" Type="http://schemas.openxmlformats.org/officeDocument/2006/relationships/header" Target="header79.xml"/><Relationship Id="rId90" Type="http://schemas.openxmlformats.org/officeDocument/2006/relationships/header" Target="header80.xml"/><Relationship Id="rId91" Type="http://schemas.openxmlformats.org/officeDocument/2006/relationships/header" Target="header81.xml"/><Relationship Id="rId92" Type="http://schemas.openxmlformats.org/officeDocument/2006/relationships/header" Target="header82.xml"/><Relationship Id="rId93" Type="http://schemas.openxmlformats.org/officeDocument/2006/relationships/header" Target="header83.xml"/><Relationship Id="rId94" Type="http://schemas.openxmlformats.org/officeDocument/2006/relationships/header" Target="header84.xml"/><Relationship Id="rId95" Type="http://schemas.openxmlformats.org/officeDocument/2006/relationships/header" Target="header85.xml"/><Relationship Id="rId96" Type="http://schemas.openxmlformats.org/officeDocument/2006/relationships/header" Target="header86.xml"/><Relationship Id="rId97" Type="http://schemas.openxmlformats.org/officeDocument/2006/relationships/header" Target="header87.xml"/><Relationship Id="rId98" Type="http://schemas.openxmlformats.org/officeDocument/2006/relationships/header" Target="header88.xml"/><Relationship Id="rId99" Type="http://schemas.openxmlformats.org/officeDocument/2006/relationships/header" Target="header89.xml"/><Relationship Id="rId100" Type="http://schemas.openxmlformats.org/officeDocument/2006/relationships/header" Target="header90.xml"/><Relationship Id="rId101" Type="http://schemas.openxmlformats.org/officeDocument/2006/relationships/header" Target="header91.xml"/><Relationship Id="rId102" Type="http://schemas.openxmlformats.org/officeDocument/2006/relationships/header" Target="header92.xml"/><Relationship Id="rId103" Type="http://schemas.openxmlformats.org/officeDocument/2006/relationships/header" Target="header93.xml"/><Relationship Id="rId104" Type="http://schemas.openxmlformats.org/officeDocument/2006/relationships/header" Target="header94.xml"/><Relationship Id="rId105" Type="http://schemas.openxmlformats.org/officeDocument/2006/relationships/header" Target="header95.xml"/><Relationship Id="rId106" Type="http://schemas.openxmlformats.org/officeDocument/2006/relationships/header" Target="header96.xml"/><Relationship Id="rId107" Type="http://schemas.openxmlformats.org/officeDocument/2006/relationships/hyperlink" Target="http://mln/" TargetMode="External"/><Relationship Id="rId108" Type="http://schemas.openxmlformats.org/officeDocument/2006/relationships/header" Target="header97.xml"/><Relationship Id="rId109" Type="http://schemas.openxmlformats.org/officeDocument/2006/relationships/header" Target="header98.xml"/><Relationship Id="rId110" Type="http://schemas.openxmlformats.org/officeDocument/2006/relationships/header" Target="header99.xml"/><Relationship Id="rId111" Type="http://schemas.openxmlformats.org/officeDocument/2006/relationships/header" Target="header100.xml"/><Relationship Id="rId112" Type="http://schemas.openxmlformats.org/officeDocument/2006/relationships/header" Target="header101.xml"/><Relationship Id="rId113" Type="http://schemas.openxmlformats.org/officeDocument/2006/relationships/header" Target="header102.xml"/><Relationship Id="rId114" Type="http://schemas.openxmlformats.org/officeDocument/2006/relationships/header" Target="header103.xml"/><Relationship Id="rId115" Type="http://schemas.openxmlformats.org/officeDocument/2006/relationships/header" Target="header104.xml"/><Relationship Id="rId116" Type="http://schemas.openxmlformats.org/officeDocument/2006/relationships/header" Target="header105.xml"/><Relationship Id="rId117" Type="http://schemas.openxmlformats.org/officeDocument/2006/relationships/header" Target="header106.xml"/><Relationship Id="rId118" Type="http://schemas.openxmlformats.org/officeDocument/2006/relationships/header" Target="header107.xml"/><Relationship Id="rId119" Type="http://schemas.openxmlformats.org/officeDocument/2006/relationships/header" Target="header108.xml"/><Relationship Id="rId120" Type="http://schemas.openxmlformats.org/officeDocument/2006/relationships/header" Target="header109.xml"/><Relationship Id="rId121" Type="http://schemas.openxmlformats.org/officeDocument/2006/relationships/header" Target="header110.xml"/><Relationship Id="rId122" Type="http://schemas.openxmlformats.org/officeDocument/2006/relationships/header" Target="header111.xml"/><Relationship Id="rId123" Type="http://schemas.openxmlformats.org/officeDocument/2006/relationships/header" Target="header112.xml"/><Relationship Id="rId124" Type="http://schemas.openxmlformats.org/officeDocument/2006/relationships/header" Target="header113.xml"/><Relationship Id="rId125" Type="http://schemas.openxmlformats.org/officeDocument/2006/relationships/header" Target="header114.xml"/><Relationship Id="rId126" Type="http://schemas.openxmlformats.org/officeDocument/2006/relationships/header" Target="header115.xml"/><Relationship Id="rId127" Type="http://schemas.openxmlformats.org/officeDocument/2006/relationships/header" Target="header116.xml"/><Relationship Id="rId128" Type="http://schemas.openxmlformats.org/officeDocument/2006/relationships/header" Target="header117.xml"/><Relationship Id="rId129" Type="http://schemas.openxmlformats.org/officeDocument/2006/relationships/header" Target="header118.xml"/><Relationship Id="rId130" Type="http://schemas.openxmlformats.org/officeDocument/2006/relationships/header" Target="header119.xml"/><Relationship Id="rId131" Type="http://schemas.openxmlformats.org/officeDocument/2006/relationships/header" Target="header120.xml"/><Relationship Id="rId132" Type="http://schemas.openxmlformats.org/officeDocument/2006/relationships/header" Target="header121.xml"/><Relationship Id="rId133" Type="http://schemas.openxmlformats.org/officeDocument/2006/relationships/header" Target="header122.xml"/><Relationship Id="rId134" Type="http://schemas.openxmlformats.org/officeDocument/2006/relationships/header" Target="header123.xml"/><Relationship Id="rId135" Type="http://schemas.openxmlformats.org/officeDocument/2006/relationships/header" Target="header124.xml"/><Relationship Id="rId136" Type="http://schemas.openxmlformats.org/officeDocument/2006/relationships/header" Target="header125.xml"/><Relationship Id="rId137" Type="http://schemas.openxmlformats.org/officeDocument/2006/relationships/hyperlink" Target="http://www/" TargetMode="External"/><Relationship Id="rId138" Type="http://schemas.openxmlformats.org/officeDocument/2006/relationships/hyperlink" Target="http://www.amertcanbar.org/groups/professlonal_responsiblllty/publkations/model" TargetMode="External"/><Relationship Id="rId139" Type="http://schemas.openxmlformats.org/officeDocument/2006/relationships/header" Target="header126.xml"/><Relationship Id="rId140" Type="http://schemas.openxmlformats.org/officeDocument/2006/relationships/header" Target="header127.xml"/><Relationship Id="rId141" Type="http://schemas.openxmlformats.org/officeDocument/2006/relationships/header" Target="header128.xml"/><Relationship Id="rId142" Type="http://schemas.openxmlformats.org/officeDocument/2006/relationships/header" Target="header129.xml"/><Relationship Id="rId143" Type="http://schemas.openxmlformats.org/officeDocument/2006/relationships/header" Target="header130.xml"/><Relationship Id="rId144" Type="http://schemas.openxmlformats.org/officeDocument/2006/relationships/header" Target="header131.xml"/><Relationship Id="rId145" Type="http://schemas.openxmlformats.org/officeDocument/2006/relationships/header" Target="header132.xml"/><Relationship Id="rId146" Type="http://schemas.openxmlformats.org/officeDocument/2006/relationships/header" Target="header133.xml"/><Relationship Id="rId147" Type="http://schemas.openxmlformats.org/officeDocument/2006/relationships/header" Target="header134.xml"/><Relationship Id="rId148" Type="http://schemas.openxmlformats.org/officeDocument/2006/relationships/header" Target="header135.xml"/><Relationship Id="rId149" Type="http://schemas.openxmlformats.org/officeDocument/2006/relationships/header" Target="header136.xml"/><Relationship Id="rId150" Type="http://schemas.openxmlformats.org/officeDocument/2006/relationships/header" Target="header137.xml"/><Relationship Id="rId151" Type="http://schemas.openxmlformats.org/officeDocument/2006/relationships/header" Target="header138.xml"/><Relationship Id="rId152" Type="http://schemas.openxmlformats.org/officeDocument/2006/relationships/header" Target="header139.xml"/><Relationship Id="rId153" Type="http://schemas.openxmlformats.org/officeDocument/2006/relationships/header" Target="header140.xml"/><Relationship Id="rId154" Type="http://schemas.openxmlformats.org/officeDocument/2006/relationships/header" Target="header141.xml"/><Relationship Id="rId155" Type="http://schemas.openxmlformats.org/officeDocument/2006/relationships/header" Target="header142.xml"/><Relationship Id="rId156" Type="http://schemas.openxmlformats.org/officeDocument/2006/relationships/header" Target="header143.xml"/><Relationship Id="rId157" Type="http://schemas.openxmlformats.org/officeDocument/2006/relationships/header" Target="header144.xml"/><Relationship Id="rId158" Type="http://schemas.openxmlformats.org/officeDocument/2006/relationships/header" Target="header145.xml"/><Relationship Id="rId159" Type="http://schemas.openxmlformats.org/officeDocument/2006/relationships/hyperlink" Target="http://www.npr.org/templates/transcrlpt/transcript" TargetMode="External"/><Relationship Id="rId160" Type="http://schemas.openxmlformats.org/officeDocument/2006/relationships/header" Target="header146.xml"/><Relationship Id="rId161" Type="http://schemas.openxmlformats.org/officeDocument/2006/relationships/header" Target="header147.xml"/><Relationship Id="rId162" Type="http://schemas.openxmlformats.org/officeDocument/2006/relationships/header" Target="header148.xml"/><Relationship Id="rId163" Type="http://schemas.openxmlformats.org/officeDocument/2006/relationships/header" Target="header149.xml"/><Relationship Id="rId164" Type="http://schemas.openxmlformats.org/officeDocument/2006/relationships/header" Target="header150.xml"/><Relationship Id="rId165" Type="http://schemas.openxmlformats.org/officeDocument/2006/relationships/header" Target="header151.xml"/><Relationship Id="rId166" Type="http://schemas.openxmlformats.org/officeDocument/2006/relationships/header" Target="header152.xml"/><Relationship Id="rId167" Type="http://schemas.openxmlformats.org/officeDocument/2006/relationships/header" Target="header153.xml"/><Relationship Id="rId168" Type="http://schemas.openxmlformats.org/officeDocument/2006/relationships/header" Target="header154.xml"/><Relationship Id="rId169" Type="http://schemas.openxmlformats.org/officeDocument/2006/relationships/header" Target="header155.xml"/><Relationship Id="rId170" Type="http://schemas.openxmlformats.org/officeDocument/2006/relationships/header" Target="header156.xml"/><Relationship Id="rId171" Type="http://schemas.openxmlformats.org/officeDocument/2006/relationships/header" Target="header157.xml"/><Relationship Id="rId172" Type="http://schemas.openxmlformats.org/officeDocument/2006/relationships/header" Target="header158.xml"/><Relationship Id="rId173" Type="http://schemas.openxmlformats.org/officeDocument/2006/relationships/header" Target="header159.xml"/><Relationship Id="rId174" Type="http://schemas.openxmlformats.org/officeDocument/2006/relationships/header" Target="header160.xml"/><Relationship Id="rId175" Type="http://schemas.openxmlformats.org/officeDocument/2006/relationships/header" Target="header161.xml"/><Relationship Id="rId176" Type="http://schemas.openxmlformats.org/officeDocument/2006/relationships/header" Target="header162.xml"/><Relationship Id="rId177" Type="http://schemas.openxmlformats.org/officeDocument/2006/relationships/header" Target="header163.xml"/><Relationship Id="rId178" Type="http://schemas.openxmlformats.org/officeDocument/2006/relationships/header" Target="header164.xml"/><Relationship Id="rId179" Type="http://schemas.openxmlformats.org/officeDocument/2006/relationships/header" Target="header165.xml"/><Relationship Id="rId180" Type="http://schemas.openxmlformats.org/officeDocument/2006/relationships/header" Target="header166.xml"/><Relationship Id="rId181" Type="http://schemas.openxmlformats.org/officeDocument/2006/relationships/header" Target="header167.xml"/><Relationship Id="rId182" Type="http://schemas.openxmlformats.org/officeDocument/2006/relationships/header" Target="header168.xml"/><Relationship Id="rId183" Type="http://schemas.openxmlformats.org/officeDocument/2006/relationships/header" Target="header169.xml"/><Relationship Id="rId184" Type="http://schemas.openxmlformats.org/officeDocument/2006/relationships/header" Target="header170.xml"/><Relationship Id="rId185" Type="http://schemas.openxmlformats.org/officeDocument/2006/relationships/header" Target="header171.xml"/><Relationship Id="rId186" Type="http://schemas.openxmlformats.org/officeDocument/2006/relationships/header" Target="header172.xml"/><Relationship Id="rId187" Type="http://schemas.openxmlformats.org/officeDocument/2006/relationships/header" Target="header173.xml"/><Relationship Id="rId188" Type="http://schemas.openxmlformats.org/officeDocument/2006/relationships/header" Target="header174.xml"/><Relationship Id="rId189" Type="http://schemas.openxmlformats.org/officeDocument/2006/relationships/hyperlink" Target="http://abovethelaw.com/tag/" TargetMode="External"/><Relationship Id="rId190" Type="http://schemas.openxmlformats.org/officeDocument/2006/relationships/header" Target="header175.xml"/><Relationship Id="rId191" Type="http://schemas.openxmlformats.org/officeDocument/2006/relationships/header" Target="header176.xml"/><Relationship Id="rId192" Type="http://schemas.openxmlformats.org/officeDocument/2006/relationships/header" Target="header177.xml"/><Relationship Id="rId193" Type="http://schemas.openxmlformats.org/officeDocument/2006/relationships/header" Target="header178.xml"/><Relationship Id="rId194" Type="http://schemas.openxmlformats.org/officeDocument/2006/relationships/hyperlink" Target="http://www.klngcounty.gov/courts/Clerk/E-Working%25ZO" TargetMode="External"/><Relationship Id="rId195" Type="http://schemas.openxmlformats.org/officeDocument/2006/relationships/header" Target="header179.xml"/><Relationship Id="rId196" Type="http://schemas.openxmlformats.org/officeDocument/2006/relationships/header" Target="header180.xml"/><Relationship Id="rId197" Type="http://schemas.openxmlformats.org/officeDocument/2006/relationships/header" Target="header181.xml"/><Relationship Id="rId198" Type="http://schemas.openxmlformats.org/officeDocument/2006/relationships/header" Target="header182.xml"/><Relationship Id="rId199" Type="http://schemas.openxmlformats.org/officeDocument/2006/relationships/header" Target="header183.xml"/><Relationship Id="rId200" Type="http://schemas.openxmlformats.org/officeDocument/2006/relationships/header" Target="header184.xml"/><Relationship Id="rId201" Type="http://schemas.openxmlformats.org/officeDocument/2006/relationships/header" Target="header185.xml"/><Relationship Id="rId202" Type="http://schemas.openxmlformats.org/officeDocument/2006/relationships/header" Target="header186.xml"/><Relationship Id="rId203" Type="http://schemas.openxmlformats.org/officeDocument/2006/relationships/header" Target="header187.xml"/><Relationship Id="rId204" Type="http://schemas.openxmlformats.org/officeDocument/2006/relationships/header" Target="header188.xml"/><Relationship Id="rId205" Type="http://schemas.openxmlformats.org/officeDocument/2006/relationships/header" Target="header189.xml"/><Relationship Id="rId206" Type="http://schemas.openxmlformats.org/officeDocument/2006/relationships/header" Target="header190.xml"/><Relationship Id="rId207" Type="http://schemas.openxmlformats.org/officeDocument/2006/relationships/header" Target="header191.xml"/><Relationship Id="rId208" Type="http://schemas.openxmlformats.org/officeDocument/2006/relationships/header" Target="header192.xml"/><Relationship Id="rId209" Type="http://schemas.openxmlformats.org/officeDocument/2006/relationships/header" Target="header193.xml"/><Relationship Id="rId210" Type="http://schemas.openxmlformats.org/officeDocument/2006/relationships/header" Target="header194.xml"/><Relationship Id="rId211" Type="http://schemas.openxmlformats.org/officeDocument/2006/relationships/hyperlink" Target="http://www.flnd.uscourts.gov/forms/Court%20Rules/local_rules.pdf" TargetMode="External"/><Relationship Id="rId212" Type="http://schemas.openxmlformats.org/officeDocument/2006/relationships/hyperlink" Target="http://www.couns.state.me.us/rules_admlnorders/rules/" TargetMode="External"/><Relationship Id="rId213" Type="http://schemas.openxmlformats.org/officeDocument/2006/relationships/header" Target="header195.xml"/><Relationship Id="rId214" Type="http://schemas.openxmlformats.org/officeDocument/2006/relationships/header" Target="header196.xml"/><Relationship Id="rId215" Type="http://schemas.openxmlformats.org/officeDocument/2006/relationships/header" Target="header197.xml"/><Relationship Id="rId216" Type="http://schemas.openxmlformats.org/officeDocument/2006/relationships/header" Target="header198.xml"/><Relationship Id="rId217" Type="http://schemas.openxmlformats.org/officeDocument/2006/relationships/header" Target="header199.xml"/><Relationship Id="rId218" Type="http://schemas.openxmlformats.org/officeDocument/2006/relationships/header" Target="header200.xml"/><Relationship Id="rId219" Type="http://schemas.openxmlformats.org/officeDocument/2006/relationships/header" Target="header201.xml"/><Relationship Id="rId220" Type="http://schemas.openxmlformats.org/officeDocument/2006/relationships/header" Target="header202.xml"/><Relationship Id="rId221" Type="http://schemas.openxmlformats.org/officeDocument/2006/relationships/header" Target="header203.xml"/><Relationship Id="rId222" Type="http://schemas.openxmlformats.org/officeDocument/2006/relationships/header" Target="header204.xml"/><Relationship Id="rId223" Type="http://schemas.openxmlformats.org/officeDocument/2006/relationships/header" Target="header205.xml"/><Relationship Id="rId224" Type="http://schemas.openxmlformats.org/officeDocument/2006/relationships/header" Target="header206.xml"/><Relationship Id="rId225" Type="http://schemas.openxmlformats.org/officeDocument/2006/relationships/header" Target="header207.xml"/><Relationship Id="rId226" Type="http://schemas.openxmlformats.org/officeDocument/2006/relationships/header" Target="header208.xml"/><Relationship Id="rId227" Type="http://schemas.openxmlformats.org/officeDocument/2006/relationships/header" Target="header209.xml"/><Relationship Id="rId228" Type="http://schemas.openxmlformats.org/officeDocument/2006/relationships/header" Target="header210.xml"/><Relationship Id="rId229" Type="http://schemas.openxmlformats.org/officeDocument/2006/relationships/header" Target="header211.xml"/><Relationship Id="rId230" Type="http://schemas.openxmlformats.org/officeDocument/2006/relationships/header" Target="header212.xml"/><Relationship Id="rId231" Type="http://schemas.openxmlformats.org/officeDocument/2006/relationships/header" Target="header213.xml"/><Relationship Id="rId232" Type="http://schemas.openxmlformats.org/officeDocument/2006/relationships/header" Target="header214.xml"/><Relationship Id="rId233" Type="http://schemas.openxmlformats.org/officeDocument/2006/relationships/header" Target="header215.xml"/><Relationship Id="rId234" Type="http://schemas.openxmlformats.org/officeDocument/2006/relationships/header" Target="header216.xml"/><Relationship Id="rId235" Type="http://schemas.openxmlformats.org/officeDocument/2006/relationships/header" Target="header217.xml"/><Relationship Id="rId236" Type="http://schemas.openxmlformats.org/officeDocument/2006/relationships/header" Target="header218.xml"/><Relationship Id="rId237" Type="http://schemas.openxmlformats.org/officeDocument/2006/relationships/header" Target="header219.xml"/><Relationship Id="rId238" Type="http://schemas.openxmlformats.org/officeDocument/2006/relationships/header" Target="header220.xml"/><Relationship Id="rId239" Type="http://schemas.openxmlformats.org/officeDocument/2006/relationships/header" Target="header221.xml"/><Relationship Id="rId240" Type="http://schemas.openxmlformats.org/officeDocument/2006/relationships/header" Target="header222.xml"/><Relationship Id="rId241" Type="http://schemas.openxmlformats.org/officeDocument/2006/relationships/header" Target="header223.xml"/><Relationship Id="rId242" Type="http://schemas.openxmlformats.org/officeDocument/2006/relationships/header" Target="header224.xml"/><Relationship Id="rId243" Type="http://schemas.openxmlformats.org/officeDocument/2006/relationships/header" Target="header225.xml"/><Relationship Id="rId244" Type="http://schemas.openxmlformats.org/officeDocument/2006/relationships/header" Target="header226.xml"/><Relationship Id="rId245" Type="http://schemas.openxmlformats.org/officeDocument/2006/relationships/header" Target="header227.xml"/><Relationship Id="rId246" Type="http://schemas.openxmlformats.org/officeDocument/2006/relationships/header" Target="header228.xml"/><Relationship Id="rId247" Type="http://schemas.openxmlformats.org/officeDocument/2006/relationships/header" Target="header229.xml"/><Relationship Id="rId248" Type="http://schemas.openxmlformats.org/officeDocument/2006/relationships/hyperlink" Target="http://cblr.columbla.edu/archlves/" TargetMode="External"/><Relationship Id="rId249" Type="http://schemas.openxmlformats.org/officeDocument/2006/relationships/hyperlink" Target="http://www.sclentlflcamerlcan.com/artlcle" TargetMode="External"/><Relationship Id="rId250" Type="http://schemas.openxmlformats.org/officeDocument/2006/relationships/header" Target="header230.xml"/><Relationship Id="rId251" Type="http://schemas.openxmlformats.org/officeDocument/2006/relationships/header" Target="header231.xml"/><Relationship Id="rId252" Type="http://schemas.openxmlformats.org/officeDocument/2006/relationships/header" Target="header232.xml"/><Relationship Id="rId253" Type="http://schemas.openxmlformats.org/officeDocument/2006/relationships/header" Target="header233.xml"/><Relationship Id="rId254" Type="http://schemas.openxmlformats.org/officeDocument/2006/relationships/header" Target="header234.xml"/><Relationship Id="rId255" Type="http://schemas.openxmlformats.org/officeDocument/2006/relationships/header" Target="header235.xml"/><Relationship Id="rId256" Type="http://schemas.openxmlformats.org/officeDocument/2006/relationships/header" Target="header236.xml"/><Relationship Id="rId257" Type="http://schemas.openxmlformats.org/officeDocument/2006/relationships/header" Target="header237.xml"/><Relationship Id="rId258" Type="http://schemas.openxmlformats.org/officeDocument/2006/relationships/header" Target="header238.xml"/><Relationship Id="rId259" Type="http://schemas.openxmlformats.org/officeDocument/2006/relationships/hyperlink" Target="http://www.sixdegrees.org/" TargetMode="External"/><Relationship Id="rId260" Type="http://schemas.openxmlformats.org/officeDocument/2006/relationships/header" Target="header239.xml"/><Relationship Id="rId261" Type="http://schemas.openxmlformats.org/officeDocument/2006/relationships/header" Target="header240.xml"/><Relationship Id="rId262" Type="http://schemas.openxmlformats.org/officeDocument/2006/relationships/header" Target="header241.xml"/><Relationship Id="rId263" Type="http://schemas.openxmlformats.org/officeDocument/2006/relationships/header" Target="header242.xml"/><Relationship Id="rId264" Type="http://schemas.openxmlformats.org/officeDocument/2006/relationships/header" Target="header243.xml"/><Relationship Id="rId265" Type="http://schemas.openxmlformats.org/officeDocument/2006/relationships/header" Target="header244.xml"/><Relationship Id="rId266" Type="http://schemas.openxmlformats.org/officeDocument/2006/relationships/header" Target="header245.xml"/><Relationship Id="rId267" Type="http://schemas.openxmlformats.org/officeDocument/2006/relationships/header" Target="header246.xml"/><Relationship Id="rId268" Type="http://schemas.openxmlformats.org/officeDocument/2006/relationships/header" Target="header247.xml"/><Relationship Id="rId269" Type="http://schemas.openxmlformats.org/officeDocument/2006/relationships/header" Target="header248.xml"/><Relationship Id="rId270" Type="http://schemas.openxmlformats.org/officeDocument/2006/relationships/hyperlink" Target="http://opentype.info/blog/201l/06/14/how-do-we-read" TargetMode="External"/><Relationship Id="rId271" Type="http://schemas.openxmlformats.org/officeDocument/2006/relationships/header" Target="header249.xml"/><Relationship Id="rId272" Type="http://schemas.openxmlformats.org/officeDocument/2006/relationships/header" Target="header250.xml"/><Relationship Id="rId273" Type="http://schemas.openxmlformats.org/officeDocument/2006/relationships/header" Target="header251.xml"/><Relationship Id="rId274" Type="http://schemas.openxmlformats.org/officeDocument/2006/relationships/header" Target="header252.xml"/><Relationship Id="rId275" Type="http://schemas.openxmlformats.org/officeDocument/2006/relationships/header" Target="header253.xml"/><Relationship Id="rId276" Type="http://schemas.openxmlformats.org/officeDocument/2006/relationships/header" Target="header254.xml"/><Relationship Id="rId277" Type="http://schemas.openxmlformats.org/officeDocument/2006/relationships/header" Target="header255.xml"/><Relationship Id="rId278" Type="http://schemas.openxmlformats.org/officeDocument/2006/relationships/header" Target="header256.xml"/><Relationship Id="rId279" Type="http://schemas.openxmlformats.org/officeDocument/2006/relationships/header" Target="header257.xml"/><Relationship Id="rId280" Type="http://schemas.openxmlformats.org/officeDocument/2006/relationships/header" Target="header258.xml"/><Relationship Id="rId281" Type="http://schemas.openxmlformats.org/officeDocument/2006/relationships/hyperlink" Target="http://www.amerlcanbar.org/content/dam/aba/publlcatlons/appellate_" TargetMode="External"/><Relationship Id="rId282" Type="http://schemas.openxmlformats.org/officeDocument/2006/relationships/hyperlink" Target="http://cblr.columbla.edu/archlves/t2940)" TargetMode="External"/><Relationship Id="rId283" Type="http://schemas.openxmlformats.org/officeDocument/2006/relationships/header" Target="header259.xml"/><Relationship Id="rId284" Type="http://schemas.openxmlformats.org/officeDocument/2006/relationships/header" Target="header260.xml"/><Relationship Id="rId285" Type="http://schemas.openxmlformats.org/officeDocument/2006/relationships/header" Target="header261.xml"/><Relationship Id="rId286" Type="http://schemas.openxmlformats.org/officeDocument/2006/relationships/header" Target="header262.xml"/><Relationship Id="rId287" Type="http://schemas.openxmlformats.org/officeDocument/2006/relationships/header" Target="header263.xml"/><Relationship Id="rId288" Type="http://schemas.openxmlformats.org/officeDocument/2006/relationships/header" Target="header264.xml"/><Relationship Id="rId289" Type="http://schemas.openxmlformats.org/officeDocument/2006/relationships/header" Target="header265.xml"/><Relationship Id="rId290" Type="http://schemas.openxmlformats.org/officeDocument/2006/relationships/header" Target="header266.xml"/><Relationship Id="rId291" Type="http://schemas.openxmlformats.org/officeDocument/2006/relationships/header" Target="header267.xml"/><Relationship Id="rId292" Type="http://schemas.openxmlformats.org/officeDocument/2006/relationships/header" Target="header268.xml"/><Relationship Id="rId293" Type="http://schemas.openxmlformats.org/officeDocument/2006/relationships/header" Target="header269.xml"/><Relationship Id="rId294" Type="http://schemas.openxmlformats.org/officeDocument/2006/relationships/header" Target="header270.xml"/><Relationship Id="rId295" Type="http://schemas.openxmlformats.org/officeDocument/2006/relationships/header" Target="header271.xml"/><Relationship Id="rId296" Type="http://schemas.openxmlformats.org/officeDocument/2006/relationships/header" Target="header272.xml"/><Relationship Id="rId297" Type="http://schemas.openxmlformats.org/officeDocument/2006/relationships/header" Target="header273.xml"/><Relationship Id="rId298" Type="http://schemas.openxmlformats.org/officeDocument/2006/relationships/header" Target="header274.xml"/><Relationship Id="rId299" Type="http://schemas.openxmlformats.org/officeDocument/2006/relationships/header" Target="header275.xml"/><Relationship Id="rId300" Type="http://schemas.openxmlformats.org/officeDocument/2006/relationships/header" Target="header276.xml"/><Relationship Id="rId301" Type="http://schemas.openxmlformats.org/officeDocument/2006/relationships/header" Target="header277.xml"/><Relationship Id="rId302" Type="http://schemas.openxmlformats.org/officeDocument/2006/relationships/header" Target="header278.xml"/><Relationship Id="rId303" Type="http://schemas.openxmlformats.org/officeDocument/2006/relationships/header" Target="header279.xml"/><Relationship Id="rId304" Type="http://schemas.openxmlformats.org/officeDocument/2006/relationships/header" Target="header280.xml"/><Relationship Id="rId305" Type="http://schemas.openxmlformats.org/officeDocument/2006/relationships/hyperlink" Target="http://www.ca7.uscourts.gov/Rules/type.pdf" TargetMode="External"/><Relationship Id="rId306" Type="http://schemas.openxmlformats.org/officeDocument/2006/relationships/header" Target="header281.xml"/><Relationship Id="rId307" Type="http://schemas.openxmlformats.org/officeDocument/2006/relationships/header" Target="header282.xml"/><Relationship Id="rId308" Type="http://schemas.openxmlformats.org/officeDocument/2006/relationships/header" Target="header283.xml"/><Relationship Id="rId309" Type="http://schemas.openxmlformats.org/officeDocument/2006/relationships/header" Target="header284.xml"/><Relationship Id="rId310" Type="http://schemas.openxmlformats.org/officeDocument/2006/relationships/header" Target="header285.xml"/><Relationship Id="rId311" Type="http://schemas.openxmlformats.org/officeDocument/2006/relationships/hyperlink" Target="http://opentype.lnfo/blog/2011/06/14/how-do-we-read" TargetMode="External"/><Relationship Id="rId312" Type="http://schemas.openxmlformats.org/officeDocument/2006/relationships/hyperlink" Target="http://www.sec.gov/news/extra/handbook" TargetMode="External"/><Relationship Id="rId313" Type="http://schemas.openxmlformats.org/officeDocument/2006/relationships/header" Target="header286.xml"/><Relationship Id="rId314" Type="http://schemas.openxmlformats.org/officeDocument/2006/relationships/header" Target="header287.xml"/><Relationship Id="rId315" Type="http://schemas.openxmlformats.org/officeDocument/2006/relationships/header" Target="header288.xml"/><Relationship Id="rId316" Type="http://schemas.openxmlformats.org/officeDocument/2006/relationships/header" Target="header289.xml"/><Relationship Id="rId317" Type="http://schemas.openxmlformats.org/officeDocument/2006/relationships/header" Target="header290.xml"/><Relationship Id="rId318" Type="http://schemas.openxmlformats.org/officeDocument/2006/relationships/header" Target="header291.xml"/><Relationship Id="rId319" Type="http://schemas.openxmlformats.org/officeDocument/2006/relationships/header" Target="header292.xml"/><Relationship Id="rId320" Type="http://schemas.openxmlformats.org/officeDocument/2006/relationships/header" Target="header293.xml"/><Relationship Id="rId321" Type="http://schemas.openxmlformats.org/officeDocument/2006/relationships/header" Target="header294.xml"/><Relationship Id="rId322" Type="http://schemas.openxmlformats.org/officeDocument/2006/relationships/header" Target="header295.xml"/><Relationship Id="rId323" Type="http://schemas.openxmlformats.org/officeDocument/2006/relationships/header" Target="header296.xml"/><Relationship Id="rId324" Type="http://schemas.openxmlformats.org/officeDocument/2006/relationships/header" Target="header297.xml"/><Relationship Id="rId325" Type="http://schemas.openxmlformats.org/officeDocument/2006/relationships/header" Target="header298.xml"/><Relationship Id="rId326" Type="http://schemas.openxmlformats.org/officeDocument/2006/relationships/header" Target="header299.xml"/><Relationship Id="rId327" Type="http://schemas.openxmlformats.org/officeDocument/2006/relationships/header" Target="header300.xml"/><Relationship Id="rId328" Type="http://schemas.openxmlformats.org/officeDocument/2006/relationships/header" Target="header301.xml"/><Relationship Id="rId329" Type="http://schemas.openxmlformats.org/officeDocument/2006/relationships/header" Target="header302.xml"/><Relationship Id="rId330" Type="http://schemas.openxmlformats.org/officeDocument/2006/relationships/header" Target="header303.xml"/><Relationship Id="rId331" Type="http://schemas.openxmlformats.org/officeDocument/2006/relationships/header" Target="header304.xml"/><Relationship Id="rId332" Type="http://schemas.openxmlformats.org/officeDocument/2006/relationships/header" Target="header305.xml"/><Relationship Id="rId333" Type="http://schemas.openxmlformats.org/officeDocument/2006/relationships/header" Target="header306.xml"/><Relationship Id="rId334" Type="http://schemas.openxmlformats.org/officeDocument/2006/relationships/hyperlink" Target="http://www2.ca3.uscourts.gov/legacyftles/lOP_2010_fina\2.pdf" TargetMode="External"/><Relationship Id="rId335" Type="http://schemas.openxmlformats.org/officeDocument/2006/relationships/header" Target="header307.xml"/><Relationship Id="rId336" Type="http://schemas.openxmlformats.org/officeDocument/2006/relationships/header" Target="header308.xml"/><Relationship Id="rId337" Type="http://schemas.openxmlformats.org/officeDocument/2006/relationships/hyperlink" Target="http://www2.ca3.uscourts.gov/legacyflles/lOP_2010_flnal2.pdf(last" TargetMode="External"/><Relationship Id="rId338" Type="http://schemas.openxmlformats.org/officeDocument/2006/relationships/header" Target="header309.xml"/><Relationship Id="rId339" Type="http://schemas.openxmlformats.org/officeDocument/2006/relationships/header" Target="header310.xml"/><Relationship Id="rId340" Type="http://schemas.openxmlformats.org/officeDocument/2006/relationships/header" Target="header311.xml"/><Relationship Id="rId341" Type="http://schemas.openxmlformats.org/officeDocument/2006/relationships/header" Target="header312.xml"/><Relationship Id="rId342" Type="http://schemas.openxmlformats.org/officeDocument/2006/relationships/header" Target="header313.xml"/><Relationship Id="rId343" Type="http://schemas.openxmlformats.org/officeDocument/2006/relationships/header" Target="header314.xml"/><Relationship Id="rId344" Type="http://schemas.openxmlformats.org/officeDocument/2006/relationships/header" Target="header315.xml"/><Relationship Id="rId345" Type="http://schemas.openxmlformats.org/officeDocument/2006/relationships/header" Target="header316.xml"/><Relationship Id="rId346" Type="http://schemas.openxmlformats.org/officeDocument/2006/relationships/header" Target="header317.xml"/><Relationship Id="rId347" Type="http://schemas.openxmlformats.org/officeDocument/2006/relationships/header" Target="header318.xml"/><Relationship Id="rId348" Type="http://schemas.openxmlformats.org/officeDocument/2006/relationships/header" Target="header319.xml"/><Relationship Id="rId349" Type="http://schemas.openxmlformats.org/officeDocument/2006/relationships/header" Target="header320.xml"/><Relationship Id="rId350" Type="http://schemas.openxmlformats.org/officeDocument/2006/relationships/header" Target="header321.xml"/><Relationship Id="rId351" Type="http://schemas.openxmlformats.org/officeDocument/2006/relationships/header" Target="header322.xml"/><Relationship Id="rId352" Type="http://schemas.openxmlformats.org/officeDocument/2006/relationships/header" Target="header323.xml"/><Relationship Id="rId353" Type="http://schemas.openxmlformats.org/officeDocument/2006/relationships/header" Target="header324.xml"/><Relationship Id="rId354" Type="http://schemas.openxmlformats.org/officeDocument/2006/relationships/header" Target="header325.xml"/><Relationship Id="rId355" Type="http://schemas.openxmlformats.org/officeDocument/2006/relationships/header" Target="header326.xml"/><Relationship Id="rId356" Type="http://schemas.openxmlformats.org/officeDocument/2006/relationships/header" Target="header327.xml"/><Relationship Id="rId357" Type="http://schemas.openxmlformats.org/officeDocument/2006/relationships/header" Target="header328.xml"/><Relationship Id="rId358" Type="http://schemas.openxmlformats.org/officeDocument/2006/relationships/header" Target="header329.xml"/><Relationship Id="rId359" Type="http://schemas.openxmlformats.org/officeDocument/2006/relationships/header" Target="header330.xml"/><Relationship Id="rId360" Type="http://schemas.openxmlformats.org/officeDocument/2006/relationships/header" Target="header331.xml"/><Relationship Id="rId361" Type="http://schemas.openxmlformats.org/officeDocument/2006/relationships/header" Target="header332.xml"/><Relationship Id="rId362" Type="http://schemas.openxmlformats.org/officeDocument/2006/relationships/header" Target="header333.xml"/><Relationship Id="rId363" Type="http://schemas.openxmlformats.org/officeDocument/2006/relationships/header" Target="header334.xml"/><Relationship Id="rId364" Type="http://schemas.openxmlformats.org/officeDocument/2006/relationships/header" Target="header335.xml"/><Relationship Id="rId365" Type="http://schemas.openxmlformats.org/officeDocument/2006/relationships/header" Target="header336.xml"/><Relationship Id="rId366" Type="http://schemas.openxmlformats.org/officeDocument/2006/relationships/header" Target="header337.xml"/><Relationship Id="rId367" Type="http://schemas.openxmlformats.org/officeDocument/2006/relationships/header" Target="header338.xml"/><Relationship Id="rId368" Type="http://schemas.openxmlformats.org/officeDocument/2006/relationships/header" Target="header339.xml"/><Relationship Id="rId369" Type="http://schemas.openxmlformats.org/officeDocument/2006/relationships/header" Target="header340.xml"/><Relationship Id="rId370" Type="http://schemas.openxmlformats.org/officeDocument/2006/relationships/header" Target="header341.xml"/><Relationship Id="rId371" Type="http://schemas.openxmlformats.org/officeDocument/2006/relationships/header" Target="header342.xml"/><Relationship Id="rId372" Type="http://schemas.openxmlformats.org/officeDocument/2006/relationships/header" Target="header343.xml"/><Relationship Id="rId373" Type="http://schemas.openxmlformats.org/officeDocument/2006/relationships/header" Target="header344.xml"/><Relationship Id="rId374" Type="http://schemas.openxmlformats.org/officeDocument/2006/relationships/header" Target="header345.xml"/><Relationship Id="rId375" Type="http://schemas.openxmlformats.org/officeDocument/2006/relationships/header" Target="header346.xml"/><Relationship Id="rId376" Type="http://schemas.openxmlformats.org/officeDocument/2006/relationships/header" Target="header347.xml"/><Relationship Id="rId377" Type="http://schemas.openxmlformats.org/officeDocument/2006/relationships/header" Target="header348.xml"/><Relationship Id="rId378" Type="http://schemas.openxmlformats.org/officeDocument/2006/relationships/header" Target="header349.xml"/><Relationship Id="rId379" Type="http://schemas.openxmlformats.org/officeDocument/2006/relationships/header" Target="header350.xml"/><Relationship Id="rId380" Type="http://schemas.openxmlformats.org/officeDocument/2006/relationships/header" Target="header351.xml"/><Relationship Id="rId381" Type="http://schemas.openxmlformats.org/officeDocument/2006/relationships/header" Target="header352.xml"/><Relationship Id="rId382" Type="http://schemas.openxmlformats.org/officeDocument/2006/relationships/header" Target="header353.xml"/><Relationship Id="rId383" Type="http://schemas.openxmlformats.org/officeDocument/2006/relationships/header" Target="header354.xml"/><Relationship Id="rId384" Type="http://schemas.openxmlformats.org/officeDocument/2006/relationships/header" Target="header355.xml"/><Relationship Id="rId385" Type="http://schemas.openxmlformats.org/officeDocument/2006/relationships/hyperlink" Target="http://www.supremecourt.gov/ctrules/2013RulesoftheCourt.pdf" TargetMode="External"/><Relationship Id="rId386" Type="http://schemas.openxmlformats.org/officeDocument/2006/relationships/hyperlink" Target="http://www.ca10.uscourts.gov/sites/default/files/clerk/FRAP%20RULE.s%20" TargetMode="External"/><Relationship Id="rId387" Type="http://schemas.openxmlformats.org/officeDocument/2006/relationships/hyperlink" Target="http://www.state.ii.us/court/AppellateCourt/LocalRules/3rd.pdf" TargetMode="External"/><Relationship Id="rId388" Type="http://schemas.openxmlformats.org/officeDocument/2006/relationships/hyperlink" Target="http://www.ohsd.uscourts.gov/judges/dlott/standing" TargetMode="External"/><Relationship Id="rId389" Type="http://schemas.openxmlformats.org/officeDocument/2006/relationships/hyperlink" Target="http://www.ohsd.uscourts.gov/judges/frost/" TargetMode="External"/><Relationship Id="rId390" Type="http://schemas.openxmlformats.org/officeDocument/2006/relationships/header" Target="header356.xml"/><Relationship Id="rId391" Type="http://schemas.openxmlformats.org/officeDocument/2006/relationships/hyperlink" Target="http://www.ca10.uscourts.gov/sites/default/files/clerk/FRAP%20RULF.S%20" TargetMode="External"/><Relationship Id="rId392" Type="http://schemas.openxmlformats.org/officeDocument/2006/relationships/hyperlink" Target="http://www.state.il.us/court/AppellateCourt/LocalRules/3rd.pdf" TargetMode="External"/><Relationship Id="rId393" Type="http://schemas.openxmlformats.org/officeDocument/2006/relationships/header" Target="header357.xml"/><Relationship Id="rId39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2022-02-03T23:07:18Z</dcterms:created>
  <dcterms:modified xsi:type="dcterms:W3CDTF">2022-02-03T23:07:18Z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2022-02-02T00:00:00Z</vt:filetime>
  </property>
  <property fmtid="{D5CDD505-2E9C-101B-9397-08002B2CF9AE}" pid="3" name="LastSaved">
    <vt:filetime>2022-02-03T00:00:00Z</vt:filetime>
  </property>
</Properties>
</file>